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44AE" w:rsidRPr="00412E03" w:rsidRDefault="00C044AE" w:rsidP="00C044AE">
      <w:pPr>
        <w:rPr>
          <w:rFonts w:cs="Miriam"/>
          <w:b/>
          <w:bCs/>
          <w:sz w:val="2"/>
          <w:szCs w:val="2"/>
          <w:u w:val="single"/>
        </w:rPr>
      </w:pPr>
      <w:bookmarkStart w:id="0" w:name="Writer_Name"/>
      <w:bookmarkEnd w:id="0"/>
    </w:p>
    <w:p w:rsidR="00C044AE" w:rsidRPr="00377102" w:rsidRDefault="00C044AE" w:rsidP="00C044AE">
      <w:pPr>
        <w:jc w:val="right"/>
        <w:rPr>
          <w:rFonts w:cs="Miriam"/>
          <w:b/>
          <w:bCs/>
          <w:sz w:val="16"/>
          <w:szCs w:val="16"/>
          <w:u w:val="single"/>
        </w:rPr>
      </w:pPr>
    </w:p>
    <w:tbl>
      <w:tblPr>
        <w:bidiVisual/>
        <w:tblW w:w="8363" w:type="dxa"/>
        <w:tblInd w:w="9" w:type="dxa"/>
        <w:tblLook w:val="0000" w:firstRow="0" w:lastRow="0" w:firstColumn="0" w:lastColumn="0" w:noHBand="0" w:noVBand="0"/>
      </w:tblPr>
      <w:tblGrid>
        <w:gridCol w:w="8363"/>
      </w:tblGrid>
      <w:tr w:rsidR="00C044AE" w:rsidTr="004272F4">
        <w:tc>
          <w:tcPr>
            <w:tcW w:w="7848" w:type="dxa"/>
          </w:tcPr>
          <w:p w:rsidR="00C044AE" w:rsidRPr="00624A42" w:rsidRDefault="00C044AE" w:rsidP="004272F4">
            <w:pPr>
              <w:pStyle w:val="FileNumber0"/>
              <w:rPr>
                <w:sz w:val="28"/>
                <w:u w:val="single"/>
                <w:rtl/>
              </w:rPr>
            </w:pPr>
            <w:r>
              <w:rPr>
                <w:u w:val="single"/>
                <w:rtl/>
              </w:rPr>
              <w:t>בבית המשפט העליון בשבתו כבית משפט גבוה לצדק</w:t>
            </w:r>
          </w:p>
        </w:tc>
      </w:tr>
    </w:tbl>
    <w:p w:rsidR="00C044AE" w:rsidRPr="00412E03" w:rsidRDefault="00C044AE" w:rsidP="00C044AE">
      <w:pPr>
        <w:jc w:val="right"/>
        <w:rPr>
          <w:rFonts w:cs="Miriam"/>
          <w:b/>
          <w:bCs/>
          <w:sz w:val="4"/>
          <w:szCs w:val="8"/>
          <w:u w:val="single"/>
        </w:rPr>
      </w:pPr>
    </w:p>
    <w:tbl>
      <w:tblPr>
        <w:bidiVisual/>
        <w:tblW w:w="8363" w:type="dxa"/>
        <w:tblLook w:val="0000" w:firstRow="0" w:lastRow="0" w:firstColumn="0" w:lastColumn="0" w:noHBand="0" w:noVBand="0"/>
      </w:tblPr>
      <w:tblGrid>
        <w:gridCol w:w="8363"/>
      </w:tblGrid>
      <w:tr w:rsidR="00C044AE" w:rsidTr="004272F4">
        <w:trPr>
          <w:trHeight w:val="342"/>
        </w:trPr>
        <w:tc>
          <w:tcPr>
            <w:tcW w:w="9828" w:type="dxa"/>
          </w:tcPr>
          <w:p w:rsidR="00C044AE" w:rsidRPr="00810894" w:rsidRDefault="00C044AE" w:rsidP="004272F4">
            <w:pPr>
              <w:pStyle w:val="FileNumber"/>
              <w:rPr>
                <w:sz w:val="28"/>
                <w:szCs w:val="28"/>
              </w:rPr>
            </w:pPr>
            <w:r>
              <w:rPr>
                <w:sz w:val="28"/>
                <w:szCs w:val="28"/>
                <w:rtl/>
              </w:rPr>
              <w:t>בג"ץ  5658/23</w:t>
            </w:r>
          </w:p>
        </w:tc>
      </w:tr>
      <w:tr w:rsidR="00C044AE" w:rsidTr="004272F4">
        <w:trPr>
          <w:trHeight w:val="342"/>
        </w:trPr>
        <w:tc>
          <w:tcPr>
            <w:tcW w:w="9828" w:type="dxa"/>
          </w:tcPr>
          <w:p w:rsidR="00C044AE" w:rsidRPr="00810894" w:rsidRDefault="00C044AE" w:rsidP="004272F4">
            <w:pPr>
              <w:pStyle w:val="FileNumber"/>
              <w:rPr>
                <w:sz w:val="28"/>
                <w:szCs w:val="28"/>
              </w:rPr>
            </w:pPr>
            <w:r>
              <w:rPr>
                <w:sz w:val="28"/>
                <w:szCs w:val="28"/>
                <w:rtl/>
              </w:rPr>
              <w:t>בג"ץ  5659/23</w:t>
            </w:r>
          </w:p>
        </w:tc>
      </w:tr>
      <w:tr w:rsidR="00C044AE" w:rsidTr="004272F4">
        <w:trPr>
          <w:trHeight w:val="342"/>
        </w:trPr>
        <w:tc>
          <w:tcPr>
            <w:tcW w:w="9828" w:type="dxa"/>
          </w:tcPr>
          <w:p w:rsidR="00C044AE" w:rsidRDefault="00C044AE" w:rsidP="004272F4">
            <w:pPr>
              <w:pStyle w:val="FileNumber"/>
              <w:rPr>
                <w:sz w:val="28"/>
                <w:szCs w:val="28"/>
                <w:rtl/>
              </w:rPr>
            </w:pPr>
            <w:r>
              <w:rPr>
                <w:sz w:val="28"/>
                <w:szCs w:val="28"/>
                <w:rtl/>
              </w:rPr>
              <w:t>בג"ץ  5660/23</w:t>
            </w:r>
          </w:p>
        </w:tc>
      </w:tr>
      <w:tr w:rsidR="00C044AE" w:rsidTr="004272F4">
        <w:trPr>
          <w:trHeight w:val="342"/>
        </w:trPr>
        <w:tc>
          <w:tcPr>
            <w:tcW w:w="9828" w:type="dxa"/>
          </w:tcPr>
          <w:p w:rsidR="00C044AE" w:rsidRDefault="00C044AE" w:rsidP="004272F4">
            <w:pPr>
              <w:pStyle w:val="FileNumber"/>
              <w:rPr>
                <w:sz w:val="28"/>
                <w:szCs w:val="28"/>
                <w:rtl/>
              </w:rPr>
            </w:pPr>
            <w:r>
              <w:rPr>
                <w:sz w:val="28"/>
                <w:szCs w:val="28"/>
                <w:rtl/>
              </w:rPr>
              <w:t>בג"ץ  5661/23</w:t>
            </w:r>
          </w:p>
        </w:tc>
      </w:tr>
      <w:tr w:rsidR="00C044AE" w:rsidTr="004272F4">
        <w:trPr>
          <w:trHeight w:val="71"/>
        </w:trPr>
        <w:tc>
          <w:tcPr>
            <w:tcW w:w="9828" w:type="dxa"/>
          </w:tcPr>
          <w:p w:rsidR="00C044AE" w:rsidRDefault="00C044AE" w:rsidP="004272F4">
            <w:pPr>
              <w:pStyle w:val="FileNumber"/>
              <w:rPr>
                <w:sz w:val="28"/>
                <w:szCs w:val="28"/>
                <w:rtl/>
              </w:rPr>
            </w:pPr>
            <w:r>
              <w:rPr>
                <w:sz w:val="28"/>
                <w:szCs w:val="28"/>
                <w:rtl/>
              </w:rPr>
              <w:t>בג"ץ  5662/23</w:t>
            </w:r>
          </w:p>
        </w:tc>
      </w:tr>
      <w:tr w:rsidR="00C044AE" w:rsidTr="004272F4">
        <w:trPr>
          <w:trHeight w:val="342"/>
        </w:trPr>
        <w:tc>
          <w:tcPr>
            <w:tcW w:w="9828" w:type="dxa"/>
          </w:tcPr>
          <w:p w:rsidR="00C044AE" w:rsidRDefault="00C044AE" w:rsidP="004272F4">
            <w:pPr>
              <w:pStyle w:val="FileNumber"/>
              <w:rPr>
                <w:sz w:val="28"/>
                <w:szCs w:val="28"/>
                <w:rtl/>
              </w:rPr>
            </w:pPr>
            <w:r>
              <w:rPr>
                <w:sz w:val="28"/>
                <w:szCs w:val="28"/>
                <w:rtl/>
              </w:rPr>
              <w:t>בג"ץ  5663/23</w:t>
            </w:r>
          </w:p>
        </w:tc>
      </w:tr>
      <w:tr w:rsidR="00C044AE" w:rsidTr="004272F4">
        <w:trPr>
          <w:trHeight w:val="342"/>
        </w:trPr>
        <w:tc>
          <w:tcPr>
            <w:tcW w:w="9828" w:type="dxa"/>
          </w:tcPr>
          <w:p w:rsidR="00C044AE" w:rsidRDefault="00C044AE" w:rsidP="004272F4">
            <w:pPr>
              <w:pStyle w:val="FileNumber"/>
              <w:rPr>
                <w:sz w:val="28"/>
                <w:szCs w:val="28"/>
                <w:rtl/>
              </w:rPr>
            </w:pPr>
            <w:r>
              <w:rPr>
                <w:sz w:val="28"/>
                <w:szCs w:val="28"/>
                <w:rtl/>
              </w:rPr>
              <w:t>בג"ץ  5711/23</w:t>
            </w:r>
          </w:p>
        </w:tc>
      </w:tr>
      <w:tr w:rsidR="00C044AE" w:rsidTr="004272F4">
        <w:trPr>
          <w:trHeight w:val="342"/>
        </w:trPr>
        <w:tc>
          <w:tcPr>
            <w:tcW w:w="9828" w:type="dxa"/>
          </w:tcPr>
          <w:p w:rsidR="00C044AE" w:rsidRDefault="00C044AE" w:rsidP="004272F4">
            <w:pPr>
              <w:pStyle w:val="FileNumber"/>
              <w:rPr>
                <w:sz w:val="28"/>
                <w:szCs w:val="28"/>
                <w:rtl/>
              </w:rPr>
            </w:pPr>
            <w:r>
              <w:rPr>
                <w:sz w:val="28"/>
                <w:szCs w:val="28"/>
                <w:rtl/>
              </w:rPr>
              <w:t>בג"ץ  5769/23</w:t>
            </w:r>
          </w:p>
        </w:tc>
      </w:tr>
    </w:tbl>
    <w:p w:rsidR="00C044AE" w:rsidRPr="00412E03" w:rsidRDefault="00C044AE" w:rsidP="00C044AE">
      <w:pPr>
        <w:tabs>
          <w:tab w:val="left" w:pos="2552"/>
        </w:tabs>
        <w:rPr>
          <w:sz w:val="2"/>
          <w:szCs w:val="4"/>
          <w:rtl/>
        </w:rPr>
      </w:pPr>
    </w:p>
    <w:p w:rsidR="00C044AE" w:rsidRDefault="00C044AE" w:rsidP="00C044AE">
      <w:pPr>
        <w:tabs>
          <w:tab w:val="left" w:pos="2552"/>
        </w:tabs>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10" w:type="dxa"/>
          </w:tcPr>
          <w:p w:rsidR="00C044AE" w:rsidRDefault="00C044AE" w:rsidP="004272F4">
            <w:pPr>
              <w:pStyle w:val="BodyRuller"/>
              <w:rPr>
                <w:rFonts w:cs="Miriam"/>
                <w:b/>
                <w:bCs/>
                <w:u w:val="single"/>
              </w:rPr>
            </w:pPr>
            <w:r>
              <w:rPr>
                <w:rFonts w:hint="cs"/>
                <w:rtl/>
              </w:rPr>
              <w:t>ל</w:t>
            </w:r>
            <w:r>
              <w:rPr>
                <w:rtl/>
              </w:rPr>
              <w:t>פני:</w:t>
            </w:r>
            <w:r>
              <w:rPr>
                <w:rtl/>
              </w:rPr>
              <w:tab/>
            </w:r>
          </w:p>
        </w:tc>
        <w:tc>
          <w:tcPr>
            <w:tcW w:w="5154" w:type="dxa"/>
          </w:tcPr>
          <w:p w:rsidR="00C044AE" w:rsidRDefault="00C044AE" w:rsidP="004272F4">
            <w:pPr>
              <w:pStyle w:val="BodyRuller"/>
              <w:rPr>
                <w:rtl/>
              </w:rPr>
            </w:pPr>
            <w:r>
              <w:rPr>
                <w:rtl/>
              </w:rPr>
              <w:t>כבוד הנשיאה</w:t>
            </w:r>
            <w:r>
              <w:rPr>
                <w:rFonts w:hint="cs"/>
                <w:rtl/>
              </w:rPr>
              <w:t xml:space="preserve"> (בדימ')</w:t>
            </w:r>
            <w:r>
              <w:rPr>
                <w:rtl/>
              </w:rPr>
              <w:t xml:space="preserve"> א' חיות</w:t>
            </w:r>
          </w:p>
          <w:p w:rsidR="00C044AE" w:rsidRDefault="00C044AE" w:rsidP="004272F4">
            <w:pPr>
              <w:pStyle w:val="BodyRuller"/>
              <w:rPr>
                <w:rtl/>
              </w:rPr>
            </w:pPr>
            <w:r>
              <w:rPr>
                <w:rFonts w:hint="cs"/>
                <w:rtl/>
              </w:rPr>
              <w:t>כבוד ממלא מקום הנשיא ע' פוגלמן</w:t>
            </w:r>
          </w:p>
          <w:p w:rsidR="00C044AE" w:rsidRDefault="00C044AE" w:rsidP="004272F4">
            <w:pPr>
              <w:pStyle w:val="BodyRuller"/>
              <w:rPr>
                <w:rtl/>
              </w:rPr>
            </w:pPr>
            <w:r>
              <w:rPr>
                <w:rFonts w:hint="cs"/>
                <w:rtl/>
              </w:rPr>
              <w:t>כבוד השופט י' עמית</w:t>
            </w:r>
          </w:p>
          <w:p w:rsidR="00C044AE" w:rsidRDefault="00C044AE" w:rsidP="004272F4">
            <w:pPr>
              <w:pStyle w:val="BodyRuller"/>
              <w:rPr>
                <w:rtl/>
              </w:rPr>
            </w:pPr>
            <w:r>
              <w:rPr>
                <w:rFonts w:hint="cs"/>
                <w:rtl/>
              </w:rPr>
              <w:t>כבוד השופט נ' סולברג</w:t>
            </w:r>
          </w:p>
          <w:p w:rsidR="00C044AE" w:rsidRDefault="00C044AE" w:rsidP="004272F4">
            <w:pPr>
              <w:pStyle w:val="BodyRuller"/>
              <w:rPr>
                <w:rtl/>
              </w:rPr>
            </w:pPr>
            <w:r>
              <w:rPr>
                <w:rFonts w:hint="cs"/>
                <w:rtl/>
              </w:rPr>
              <w:t>כבוד השופטת ד' ברק-ארז</w:t>
            </w:r>
          </w:p>
          <w:p w:rsidR="00C044AE" w:rsidRDefault="00C044AE" w:rsidP="004272F4">
            <w:pPr>
              <w:pStyle w:val="BodyRuller"/>
              <w:rPr>
                <w:rtl/>
              </w:rPr>
            </w:pPr>
            <w:r>
              <w:rPr>
                <w:rFonts w:hint="cs"/>
                <w:rtl/>
              </w:rPr>
              <w:t>כבוד השופטת (בדימ') ע' ברון</w:t>
            </w:r>
          </w:p>
          <w:p w:rsidR="00C044AE" w:rsidRDefault="00C044AE" w:rsidP="004272F4">
            <w:pPr>
              <w:pStyle w:val="BodyRuller"/>
              <w:rPr>
                <w:rtl/>
              </w:rPr>
            </w:pPr>
            <w:r>
              <w:rPr>
                <w:rFonts w:hint="cs"/>
                <w:rtl/>
              </w:rPr>
              <w:t>כבוד השופט ד' מינץ</w:t>
            </w:r>
          </w:p>
          <w:p w:rsidR="00C044AE" w:rsidRDefault="00C044AE" w:rsidP="004272F4">
            <w:pPr>
              <w:pStyle w:val="BodyRuller"/>
              <w:rPr>
                <w:rtl/>
              </w:rPr>
            </w:pPr>
            <w:r>
              <w:rPr>
                <w:rFonts w:hint="cs"/>
                <w:rtl/>
              </w:rPr>
              <w:t>כבוד השופט י' אלרון</w:t>
            </w:r>
          </w:p>
          <w:p w:rsidR="00C044AE" w:rsidRDefault="00C044AE" w:rsidP="004272F4">
            <w:pPr>
              <w:pStyle w:val="BodyRuller"/>
              <w:rPr>
                <w:rtl/>
              </w:rPr>
            </w:pPr>
            <w:r>
              <w:rPr>
                <w:rFonts w:hint="cs"/>
                <w:rtl/>
              </w:rPr>
              <w:t>כבוד השופטת י' וילנר</w:t>
            </w:r>
          </w:p>
          <w:p w:rsidR="00C044AE" w:rsidRDefault="00C044AE" w:rsidP="004272F4">
            <w:pPr>
              <w:pStyle w:val="BodyRuller"/>
              <w:rPr>
                <w:rtl/>
              </w:rPr>
            </w:pPr>
            <w:r>
              <w:rPr>
                <w:rFonts w:hint="cs"/>
                <w:rtl/>
              </w:rPr>
              <w:t xml:space="preserve">כבוד השופט ע' גרוסקופף </w:t>
            </w:r>
          </w:p>
          <w:p w:rsidR="00C044AE" w:rsidRDefault="00C044AE" w:rsidP="004272F4">
            <w:pPr>
              <w:pStyle w:val="BodyRuller"/>
              <w:rPr>
                <w:rtl/>
              </w:rPr>
            </w:pPr>
            <w:r>
              <w:rPr>
                <w:rFonts w:hint="cs"/>
                <w:rtl/>
              </w:rPr>
              <w:t>כבוד השופט א' שטיין</w:t>
            </w:r>
          </w:p>
          <w:p w:rsidR="00C044AE" w:rsidRDefault="00C044AE" w:rsidP="004272F4">
            <w:pPr>
              <w:pStyle w:val="BodyRuller"/>
              <w:rPr>
                <w:rtl/>
              </w:rPr>
            </w:pPr>
            <w:r>
              <w:rPr>
                <w:rFonts w:hint="cs"/>
                <w:rtl/>
              </w:rPr>
              <w:t>כבוד השופטת ג' כנפי-שטייניץ</w:t>
            </w:r>
          </w:p>
          <w:p w:rsidR="00C044AE" w:rsidRDefault="00C044AE" w:rsidP="004272F4">
            <w:pPr>
              <w:pStyle w:val="BodyRuller"/>
              <w:rPr>
                <w:rtl/>
              </w:rPr>
            </w:pPr>
            <w:r>
              <w:rPr>
                <w:rFonts w:hint="cs"/>
                <w:rtl/>
              </w:rPr>
              <w:t>כבוד השופט ח' כבוב</w:t>
            </w:r>
          </w:p>
          <w:p w:rsidR="00C044AE" w:rsidRDefault="00C044AE" w:rsidP="004272F4">
            <w:pPr>
              <w:pStyle w:val="BodyRuller"/>
              <w:rPr>
                <w:rtl/>
              </w:rPr>
            </w:pPr>
            <w:r>
              <w:rPr>
                <w:rFonts w:hint="cs"/>
                <w:rtl/>
              </w:rPr>
              <w:t>כבוד השופט י' כשר</w:t>
            </w:r>
          </w:p>
          <w:p w:rsidR="00C044AE" w:rsidRDefault="00C044AE" w:rsidP="004272F4">
            <w:pPr>
              <w:pStyle w:val="BodyRuller"/>
            </w:pPr>
            <w:r>
              <w:rPr>
                <w:rFonts w:hint="cs"/>
                <w:rtl/>
              </w:rPr>
              <w:t xml:space="preserve">כבוד השופטת ר' רונן </w:t>
            </w:r>
          </w:p>
        </w:tc>
      </w:tr>
    </w:tbl>
    <w:p w:rsidR="00C044AE" w:rsidRDefault="00C044AE" w:rsidP="00C044AE">
      <w:pPr>
        <w:pStyle w:val="Ruller3"/>
        <w:rPr>
          <w:rFonts w:cs="Miriam"/>
          <w:b/>
          <w:bCs/>
          <w:u w:val="single"/>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rPr>
                <w:rFonts w:ascii="David" w:hAnsi="David"/>
              </w:rPr>
            </w:pPr>
            <w:r>
              <w:rPr>
                <w:rFonts w:ascii="David" w:hAnsi="David"/>
                <w:rtl/>
              </w:rPr>
              <w:t>העותר</w:t>
            </w:r>
            <w:r>
              <w:rPr>
                <w:rFonts w:ascii="David" w:hAnsi="David" w:hint="cs"/>
                <w:rtl/>
              </w:rPr>
              <w:t>ת בבג"ץ 5658/23</w:t>
            </w:r>
            <w:r>
              <w:rPr>
                <w:rFonts w:ascii="David" w:hAnsi="David"/>
                <w:rtl/>
              </w:rPr>
              <w:t>:</w:t>
            </w:r>
          </w:p>
        </w:tc>
        <w:tc>
          <w:tcPr>
            <w:tcW w:w="5239" w:type="dxa"/>
          </w:tcPr>
          <w:p w:rsidR="00C044AE" w:rsidRDefault="00C044AE" w:rsidP="004272F4">
            <w:pPr>
              <w:pStyle w:val="BodyRuller"/>
            </w:pPr>
            <w:r>
              <w:rPr>
                <w:rtl/>
              </w:rPr>
              <w:t>התנועה למען איכות השלטון בישראל</w:t>
            </w:r>
          </w:p>
        </w:tc>
      </w:tr>
    </w:tbl>
    <w:p w:rsidR="00C044AE" w:rsidRDefault="00C044AE" w:rsidP="00C044AE">
      <w:pPr>
        <w:pStyle w:val="Ruller3"/>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rPr>
                <w:rFonts w:ascii="David" w:hAnsi="David"/>
              </w:rPr>
            </w:pPr>
            <w:r>
              <w:rPr>
                <w:rFonts w:ascii="David" w:hAnsi="David"/>
                <w:rtl/>
              </w:rPr>
              <w:t>העותר</w:t>
            </w:r>
            <w:r>
              <w:rPr>
                <w:rFonts w:ascii="David" w:hAnsi="David" w:hint="cs"/>
                <w:rtl/>
              </w:rPr>
              <w:t>ים בבג"ץ 5659/23</w:t>
            </w:r>
            <w:r>
              <w:rPr>
                <w:rFonts w:ascii="David" w:hAnsi="David"/>
                <w:rtl/>
              </w:rPr>
              <w:t>:</w:t>
            </w:r>
          </w:p>
        </w:tc>
        <w:tc>
          <w:tcPr>
            <w:tcW w:w="5239" w:type="dxa"/>
          </w:tcPr>
          <w:p w:rsidR="00C044AE" w:rsidRDefault="00C044AE" w:rsidP="004272F4">
            <w:pPr>
              <w:pStyle w:val="BodyRuller"/>
            </w:pPr>
            <w:r>
              <w:rPr>
                <w:rFonts w:hint="cs"/>
                <w:rtl/>
              </w:rPr>
              <w:t>טל אורון ואח'</w:t>
            </w:r>
          </w:p>
        </w:tc>
      </w:tr>
    </w:tbl>
    <w:p w:rsidR="00C044AE" w:rsidRDefault="00C044AE" w:rsidP="00C044AE">
      <w:pPr>
        <w:pStyle w:val="Ruller3"/>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rPr>
                <w:rFonts w:ascii="David" w:hAnsi="David"/>
              </w:rPr>
            </w:pPr>
            <w:r>
              <w:rPr>
                <w:rFonts w:ascii="David" w:hAnsi="David"/>
                <w:rtl/>
              </w:rPr>
              <w:t>העותר</w:t>
            </w:r>
            <w:r>
              <w:rPr>
                <w:rFonts w:ascii="David" w:hAnsi="David" w:hint="cs"/>
                <w:rtl/>
              </w:rPr>
              <w:t xml:space="preserve"> בבג"ץ 5660/23</w:t>
            </w:r>
            <w:r>
              <w:rPr>
                <w:rFonts w:ascii="David" w:hAnsi="David"/>
                <w:rtl/>
              </w:rPr>
              <w:t>:</w:t>
            </w:r>
          </w:p>
        </w:tc>
        <w:tc>
          <w:tcPr>
            <w:tcW w:w="5239" w:type="dxa"/>
          </w:tcPr>
          <w:p w:rsidR="00C044AE" w:rsidRDefault="00C044AE" w:rsidP="004272F4">
            <w:pPr>
              <w:pStyle w:val="BodyRuller"/>
            </w:pPr>
            <w:r>
              <w:rPr>
                <w:rFonts w:hint="cs"/>
                <w:rtl/>
              </w:rPr>
              <w:t>המיזם הרב מגזרי למיגור העישון</w:t>
            </w:r>
          </w:p>
        </w:tc>
      </w:tr>
    </w:tbl>
    <w:p w:rsidR="00C044AE" w:rsidRDefault="00C044AE" w:rsidP="00C044AE">
      <w:pPr>
        <w:pStyle w:val="Ruller3"/>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rPr>
                <w:rFonts w:ascii="David" w:hAnsi="David"/>
              </w:rPr>
            </w:pPr>
            <w:r>
              <w:rPr>
                <w:rFonts w:ascii="David" w:hAnsi="David"/>
                <w:rtl/>
              </w:rPr>
              <w:t>העותר</w:t>
            </w:r>
            <w:r>
              <w:rPr>
                <w:rFonts w:ascii="David" w:hAnsi="David" w:hint="cs"/>
                <w:rtl/>
              </w:rPr>
              <w:t>ות בבג"ץ 5661/23</w:t>
            </w:r>
            <w:r>
              <w:rPr>
                <w:rFonts w:ascii="David" w:hAnsi="David"/>
                <w:rtl/>
              </w:rPr>
              <w:t>:</w:t>
            </w:r>
          </w:p>
        </w:tc>
        <w:tc>
          <w:tcPr>
            <w:tcW w:w="5239" w:type="dxa"/>
          </w:tcPr>
          <w:p w:rsidR="00C044AE" w:rsidRDefault="00C044AE" w:rsidP="004272F4">
            <w:pPr>
              <w:pStyle w:val="BodyRuller"/>
            </w:pPr>
            <w:r>
              <w:rPr>
                <w:rFonts w:hint="cs"/>
                <w:rtl/>
              </w:rPr>
              <w:t>התנועה הדמוקרטית האזרחית ואח'</w:t>
            </w:r>
          </w:p>
        </w:tc>
      </w:tr>
    </w:tbl>
    <w:p w:rsidR="00C044AE" w:rsidRDefault="00C044AE" w:rsidP="00C044AE">
      <w:pPr>
        <w:pStyle w:val="Ruller3"/>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rPr>
                <w:rFonts w:ascii="David" w:hAnsi="David"/>
              </w:rPr>
            </w:pPr>
            <w:r>
              <w:rPr>
                <w:rFonts w:ascii="David" w:hAnsi="David"/>
                <w:rtl/>
              </w:rPr>
              <w:t>העותר</w:t>
            </w:r>
            <w:r>
              <w:rPr>
                <w:rFonts w:ascii="David" w:hAnsi="David" w:hint="cs"/>
                <w:rtl/>
              </w:rPr>
              <w:t>ים בבג"ץ 5662/23</w:t>
            </w:r>
            <w:r>
              <w:rPr>
                <w:rFonts w:ascii="David" w:hAnsi="David"/>
                <w:rtl/>
              </w:rPr>
              <w:t>:</w:t>
            </w:r>
          </w:p>
        </w:tc>
        <w:tc>
          <w:tcPr>
            <w:tcW w:w="5239" w:type="dxa"/>
          </w:tcPr>
          <w:p w:rsidR="00C044AE" w:rsidRDefault="00C044AE" w:rsidP="004272F4">
            <w:pPr>
              <w:pStyle w:val="BodyRuller"/>
            </w:pPr>
            <w:r>
              <w:rPr>
                <w:rFonts w:hint="cs"/>
                <w:rtl/>
              </w:rPr>
              <w:t>יהודה רסלר ואח'</w:t>
            </w:r>
          </w:p>
        </w:tc>
      </w:tr>
    </w:tbl>
    <w:p w:rsidR="00C044AE" w:rsidRDefault="00C044AE" w:rsidP="00C044AE">
      <w:pPr>
        <w:pStyle w:val="Ruller3"/>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rPr>
                <w:rFonts w:ascii="David" w:hAnsi="David"/>
              </w:rPr>
            </w:pPr>
            <w:r>
              <w:rPr>
                <w:rFonts w:ascii="David" w:hAnsi="David"/>
                <w:rtl/>
              </w:rPr>
              <w:t>העותר</w:t>
            </w:r>
            <w:r>
              <w:rPr>
                <w:rFonts w:ascii="David" w:hAnsi="David" w:hint="cs"/>
                <w:rtl/>
              </w:rPr>
              <w:t>ים בבג"ץ 5663/23</w:t>
            </w:r>
            <w:r>
              <w:rPr>
                <w:rFonts w:ascii="David" w:hAnsi="David"/>
                <w:rtl/>
              </w:rPr>
              <w:t>:</w:t>
            </w:r>
          </w:p>
        </w:tc>
        <w:tc>
          <w:tcPr>
            <w:tcW w:w="5239" w:type="dxa"/>
          </w:tcPr>
          <w:p w:rsidR="00C044AE" w:rsidRDefault="00C044AE" w:rsidP="004272F4">
            <w:pPr>
              <w:pStyle w:val="BodyRuller"/>
            </w:pPr>
            <w:r>
              <w:rPr>
                <w:rFonts w:hint="cs"/>
                <w:rtl/>
              </w:rPr>
              <w:t>לשכת עורכי הדין בישראל ואח'</w:t>
            </w:r>
          </w:p>
        </w:tc>
      </w:tr>
    </w:tbl>
    <w:p w:rsidR="00C044AE" w:rsidRDefault="00C044AE" w:rsidP="00C044AE">
      <w:pPr>
        <w:pStyle w:val="Ruller3"/>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rPr>
                <w:rFonts w:ascii="David" w:hAnsi="David"/>
              </w:rPr>
            </w:pPr>
            <w:r>
              <w:rPr>
                <w:rFonts w:ascii="David" w:hAnsi="David"/>
                <w:rtl/>
              </w:rPr>
              <w:t>העותר</w:t>
            </w:r>
            <w:r>
              <w:rPr>
                <w:rFonts w:ascii="David" w:hAnsi="David" w:hint="cs"/>
                <w:rtl/>
              </w:rPr>
              <w:t>ת בבג"ץ 5711/23</w:t>
            </w:r>
            <w:r>
              <w:rPr>
                <w:rFonts w:ascii="David" w:hAnsi="David"/>
                <w:rtl/>
              </w:rPr>
              <w:t>:</w:t>
            </w:r>
          </w:p>
        </w:tc>
        <w:tc>
          <w:tcPr>
            <w:tcW w:w="5239" w:type="dxa"/>
          </w:tcPr>
          <w:p w:rsidR="00C044AE" w:rsidRDefault="00C044AE" w:rsidP="004272F4">
            <w:pPr>
              <w:pStyle w:val="BodyRuller"/>
              <w:jc w:val="both"/>
            </w:pPr>
            <w:r>
              <w:rPr>
                <w:rFonts w:hint="cs"/>
                <w:rtl/>
              </w:rPr>
              <w:t>תנועת אומ"ץ, התנועה למען מנהל תקין, צדק חברתי ומשפטי</w:t>
            </w:r>
          </w:p>
        </w:tc>
      </w:tr>
    </w:tbl>
    <w:p w:rsidR="00C044AE" w:rsidRDefault="00C044AE" w:rsidP="00C044AE">
      <w:pPr>
        <w:pStyle w:val="Ruller3"/>
        <w:rPr>
          <w:rtl/>
        </w:rPr>
      </w:pPr>
    </w:p>
    <w:tbl>
      <w:tblPr>
        <w:bidiVisual/>
        <w:tblW w:w="8363" w:type="dxa"/>
        <w:tblLook w:val="0000" w:firstRow="0" w:lastRow="0" w:firstColumn="0" w:lastColumn="0" w:noHBand="0" w:noVBand="0"/>
      </w:tblPr>
      <w:tblGrid>
        <w:gridCol w:w="3222"/>
        <w:gridCol w:w="5141"/>
      </w:tblGrid>
      <w:tr w:rsidR="00C044AE" w:rsidTr="004272F4">
        <w:tc>
          <w:tcPr>
            <w:tcW w:w="3222" w:type="dxa"/>
          </w:tcPr>
          <w:p w:rsidR="00C044AE" w:rsidRPr="00B04EC6" w:rsidRDefault="00C044AE" w:rsidP="004272F4">
            <w:pPr>
              <w:pStyle w:val="BodyRuller"/>
            </w:pPr>
            <w:r w:rsidRPr="00B04EC6">
              <w:rPr>
                <w:rtl/>
              </w:rPr>
              <w:t>העותר</w:t>
            </w:r>
            <w:r>
              <w:rPr>
                <w:rFonts w:hint="cs"/>
                <w:rtl/>
              </w:rPr>
              <w:t xml:space="preserve"> </w:t>
            </w:r>
            <w:r w:rsidRPr="00B04EC6">
              <w:rPr>
                <w:rFonts w:hint="cs"/>
                <w:rtl/>
              </w:rPr>
              <w:t xml:space="preserve">בבג"ץ </w:t>
            </w:r>
            <w:r>
              <w:rPr>
                <w:rFonts w:hint="cs"/>
                <w:rtl/>
              </w:rPr>
              <w:t>5769</w:t>
            </w:r>
            <w:r w:rsidRPr="00B04EC6">
              <w:rPr>
                <w:rFonts w:hint="cs"/>
                <w:rtl/>
              </w:rPr>
              <w:t>/23</w:t>
            </w:r>
            <w:r w:rsidRPr="00B04EC6">
              <w:rPr>
                <w:rtl/>
              </w:rPr>
              <w:t>:</w:t>
            </w:r>
          </w:p>
        </w:tc>
        <w:tc>
          <w:tcPr>
            <w:tcW w:w="5141" w:type="dxa"/>
          </w:tcPr>
          <w:p w:rsidR="00C044AE" w:rsidRDefault="00C044AE" w:rsidP="0045135F">
            <w:pPr>
              <w:pStyle w:val="BodyRuller"/>
              <w:rPr>
                <w:rtl/>
              </w:rPr>
            </w:pPr>
            <w:r>
              <w:rPr>
                <w:rFonts w:hint="cs"/>
                <w:rtl/>
              </w:rPr>
              <w:t>רוני נומה</w:t>
            </w:r>
          </w:p>
          <w:p w:rsidR="00C044AE" w:rsidRDefault="00C044AE" w:rsidP="004272F4">
            <w:pPr>
              <w:pStyle w:val="BodyRuller"/>
            </w:pPr>
          </w:p>
        </w:tc>
      </w:tr>
      <w:tr w:rsidR="00C044AE" w:rsidTr="004272F4">
        <w:tc>
          <w:tcPr>
            <w:tcW w:w="3222" w:type="dxa"/>
          </w:tcPr>
          <w:p w:rsidR="00C044AE" w:rsidRPr="00B04EC6" w:rsidRDefault="00C044AE" w:rsidP="004272F4">
            <w:pPr>
              <w:pStyle w:val="BodyRuller"/>
              <w:rPr>
                <w:b/>
                <w:bCs/>
              </w:rPr>
            </w:pPr>
          </w:p>
        </w:tc>
        <w:tc>
          <w:tcPr>
            <w:tcW w:w="5141" w:type="dxa"/>
          </w:tcPr>
          <w:p w:rsidR="00C044AE" w:rsidRDefault="00C044AE" w:rsidP="004272F4">
            <w:pPr>
              <w:pStyle w:val="BodyRuller"/>
            </w:pPr>
            <w:r>
              <w:rPr>
                <w:rFonts w:hint="cs"/>
                <w:rtl/>
              </w:rPr>
              <w:t>נ</w:t>
            </w:r>
            <w:r>
              <w:t xml:space="preserve">  </w:t>
            </w:r>
            <w:r>
              <w:rPr>
                <w:rFonts w:hint="cs"/>
                <w:rtl/>
              </w:rPr>
              <w:t>ג</w:t>
            </w:r>
            <w:r>
              <w:t xml:space="preserve">  </w:t>
            </w:r>
            <w:r>
              <w:rPr>
                <w:rFonts w:hint="cs"/>
                <w:rtl/>
              </w:rPr>
              <w:t>ד</w:t>
            </w:r>
          </w:p>
        </w:tc>
      </w:tr>
    </w:tbl>
    <w:p w:rsidR="00C044AE" w:rsidRPr="00737988" w:rsidRDefault="00C044AE" w:rsidP="00C044AE">
      <w:pPr>
        <w:pStyle w:val="Ruller3"/>
        <w:rPr>
          <w:sz w:val="10"/>
          <w:szCs w:val="16"/>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rPr>
                <w:rFonts w:ascii="David" w:hAnsi="David"/>
              </w:rPr>
            </w:pPr>
            <w:r>
              <w:rPr>
                <w:rFonts w:ascii="David" w:hAnsi="David"/>
                <w:rtl/>
              </w:rPr>
              <w:t>המשיב</w:t>
            </w:r>
            <w:r>
              <w:rPr>
                <w:rFonts w:ascii="David" w:hAnsi="David" w:hint="cs"/>
                <w:rtl/>
              </w:rPr>
              <w:t>ות בבג"ץ 5658/23</w:t>
            </w:r>
            <w:r>
              <w:rPr>
                <w:rFonts w:ascii="David" w:hAnsi="David"/>
                <w:rtl/>
              </w:rPr>
              <w:t>:</w:t>
            </w:r>
          </w:p>
        </w:tc>
        <w:tc>
          <w:tcPr>
            <w:tcW w:w="5239" w:type="dxa"/>
          </w:tcPr>
          <w:p w:rsidR="00C044AE" w:rsidRDefault="00C044AE" w:rsidP="004272F4">
            <w:pPr>
              <w:pStyle w:val="BodyRuller"/>
            </w:pPr>
            <w:r>
              <w:rPr>
                <w:rtl/>
              </w:rPr>
              <w:t>1. הכנסת</w:t>
            </w:r>
          </w:p>
        </w:tc>
      </w:tr>
      <w:tr w:rsidR="00C044AE" w:rsidTr="004272F4">
        <w:trPr>
          <w:trHeight w:val="287"/>
        </w:trPr>
        <w:tc>
          <w:tcPr>
            <w:tcW w:w="3261" w:type="dxa"/>
          </w:tcPr>
          <w:p w:rsidR="00C044AE" w:rsidRDefault="00C044AE" w:rsidP="004272F4">
            <w:pPr>
              <w:pStyle w:val="BodyRuller"/>
              <w:rPr>
                <w:rFonts w:ascii="David" w:hAnsi="David"/>
                <w:rtl/>
              </w:rPr>
            </w:pPr>
          </w:p>
        </w:tc>
        <w:tc>
          <w:tcPr>
            <w:tcW w:w="5239" w:type="dxa"/>
          </w:tcPr>
          <w:p w:rsidR="00C044AE" w:rsidRDefault="00C044AE" w:rsidP="004272F4">
            <w:pPr>
              <w:pStyle w:val="BodyRuller"/>
              <w:rPr>
                <w:rtl/>
              </w:rPr>
            </w:pPr>
            <w:r>
              <w:rPr>
                <w:rtl/>
              </w:rPr>
              <w:t>2. ועדת החוקה, חוק ומשפט של הכנסת</w:t>
            </w:r>
          </w:p>
        </w:tc>
      </w:tr>
      <w:tr w:rsidR="00C044AE" w:rsidTr="004272F4">
        <w:trPr>
          <w:trHeight w:val="287"/>
        </w:trPr>
        <w:tc>
          <w:tcPr>
            <w:tcW w:w="3261" w:type="dxa"/>
          </w:tcPr>
          <w:p w:rsidR="00C044AE" w:rsidRDefault="00C044AE" w:rsidP="004272F4">
            <w:pPr>
              <w:pStyle w:val="BodyRuller"/>
              <w:rPr>
                <w:rFonts w:ascii="David" w:hAnsi="David"/>
                <w:rtl/>
              </w:rPr>
            </w:pPr>
          </w:p>
        </w:tc>
        <w:tc>
          <w:tcPr>
            <w:tcW w:w="5239" w:type="dxa"/>
          </w:tcPr>
          <w:p w:rsidR="00C044AE" w:rsidRDefault="00C044AE" w:rsidP="004272F4">
            <w:pPr>
              <w:pStyle w:val="BodyRuller"/>
              <w:rPr>
                <w:rtl/>
              </w:rPr>
            </w:pPr>
            <w:r>
              <w:rPr>
                <w:rtl/>
              </w:rPr>
              <w:t>3. ממשלת ישראל</w:t>
            </w:r>
          </w:p>
        </w:tc>
      </w:tr>
      <w:tr w:rsidR="00C044AE" w:rsidTr="004272F4">
        <w:trPr>
          <w:trHeight w:val="287"/>
        </w:trPr>
        <w:tc>
          <w:tcPr>
            <w:tcW w:w="3261" w:type="dxa"/>
          </w:tcPr>
          <w:p w:rsidR="00C044AE" w:rsidRDefault="00C044AE" w:rsidP="004272F4">
            <w:pPr>
              <w:pStyle w:val="BodyRuller"/>
              <w:rPr>
                <w:rFonts w:ascii="David" w:hAnsi="David"/>
                <w:rtl/>
              </w:rPr>
            </w:pPr>
          </w:p>
        </w:tc>
        <w:tc>
          <w:tcPr>
            <w:tcW w:w="5239" w:type="dxa"/>
          </w:tcPr>
          <w:p w:rsidR="00C044AE" w:rsidRDefault="00C044AE" w:rsidP="004272F4">
            <w:pPr>
              <w:pStyle w:val="BodyRuller"/>
              <w:rPr>
                <w:rtl/>
              </w:rPr>
            </w:pPr>
            <w:r>
              <w:rPr>
                <w:rtl/>
              </w:rPr>
              <w:t>4. היועצת המשפטית לממשלה</w:t>
            </w:r>
          </w:p>
        </w:tc>
      </w:tr>
    </w:tbl>
    <w:p w:rsidR="00C044AE" w:rsidRDefault="00C044AE" w:rsidP="00C044AE">
      <w:pPr>
        <w:pStyle w:val="Ruller3"/>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rPr>
                <w:rFonts w:ascii="David" w:hAnsi="David"/>
              </w:rPr>
            </w:pPr>
            <w:r>
              <w:rPr>
                <w:rFonts w:ascii="David" w:hAnsi="David" w:hint="cs"/>
                <w:rtl/>
              </w:rPr>
              <w:t>המשיבים בבג"ץ 5659/23</w:t>
            </w:r>
            <w:r>
              <w:rPr>
                <w:rFonts w:ascii="David" w:hAnsi="David"/>
                <w:rtl/>
              </w:rPr>
              <w:t>:</w:t>
            </w:r>
          </w:p>
        </w:tc>
        <w:tc>
          <w:tcPr>
            <w:tcW w:w="5239" w:type="dxa"/>
          </w:tcPr>
          <w:p w:rsidR="00C044AE" w:rsidRDefault="00C044AE" w:rsidP="004272F4">
            <w:pPr>
              <w:pStyle w:val="BodyRuller"/>
            </w:pPr>
            <w:r>
              <w:rPr>
                <w:rFonts w:hint="cs"/>
                <w:rtl/>
              </w:rPr>
              <w:t>1. ועדת החוקה, חוק ומשפט של הכנסת</w:t>
            </w:r>
          </w:p>
        </w:tc>
      </w:tr>
      <w:tr w:rsidR="00C044AE" w:rsidTr="004272F4">
        <w:trPr>
          <w:trHeight w:val="287"/>
        </w:trPr>
        <w:tc>
          <w:tcPr>
            <w:tcW w:w="3261" w:type="dxa"/>
          </w:tcPr>
          <w:p w:rsidR="00C044AE" w:rsidRDefault="00C044AE" w:rsidP="004272F4">
            <w:pPr>
              <w:pStyle w:val="BodyRuller"/>
              <w:rPr>
                <w:rFonts w:ascii="David" w:hAnsi="David"/>
                <w:rtl/>
              </w:rPr>
            </w:pPr>
          </w:p>
        </w:tc>
        <w:tc>
          <w:tcPr>
            <w:tcW w:w="5239" w:type="dxa"/>
          </w:tcPr>
          <w:p w:rsidR="00C044AE" w:rsidRDefault="00C044AE" w:rsidP="004272F4">
            <w:pPr>
              <w:pStyle w:val="BodyRuller"/>
              <w:rPr>
                <w:rtl/>
              </w:rPr>
            </w:pPr>
            <w:r>
              <w:rPr>
                <w:rFonts w:hint="cs"/>
                <w:rtl/>
              </w:rPr>
              <w:t>2. יו"ר ועדת החוקה, חוק ומשפט של הכנסת</w:t>
            </w:r>
          </w:p>
        </w:tc>
      </w:tr>
      <w:tr w:rsidR="00C044AE" w:rsidTr="004272F4">
        <w:trPr>
          <w:trHeight w:val="287"/>
        </w:trPr>
        <w:tc>
          <w:tcPr>
            <w:tcW w:w="3261" w:type="dxa"/>
          </w:tcPr>
          <w:p w:rsidR="00C044AE" w:rsidRPr="009A1B72" w:rsidRDefault="00C044AE" w:rsidP="004272F4">
            <w:pPr>
              <w:pStyle w:val="BodyRuller"/>
              <w:rPr>
                <w:rFonts w:ascii="David" w:hAnsi="David"/>
                <w:rtl/>
              </w:rPr>
            </w:pPr>
          </w:p>
        </w:tc>
        <w:tc>
          <w:tcPr>
            <w:tcW w:w="5239" w:type="dxa"/>
          </w:tcPr>
          <w:p w:rsidR="00C044AE" w:rsidRDefault="00C044AE" w:rsidP="004272F4">
            <w:pPr>
              <w:pStyle w:val="BodyRuller"/>
              <w:rPr>
                <w:rtl/>
              </w:rPr>
            </w:pPr>
            <w:r>
              <w:rPr>
                <w:rFonts w:hint="cs"/>
                <w:rtl/>
              </w:rPr>
              <w:t>3. הכנסת</w:t>
            </w:r>
          </w:p>
        </w:tc>
      </w:tr>
      <w:tr w:rsidR="00C044AE" w:rsidTr="004272F4">
        <w:trPr>
          <w:trHeight w:val="287"/>
        </w:trPr>
        <w:tc>
          <w:tcPr>
            <w:tcW w:w="3261" w:type="dxa"/>
          </w:tcPr>
          <w:p w:rsidR="00C044AE" w:rsidRPr="009A1B72" w:rsidRDefault="00C044AE" w:rsidP="004272F4">
            <w:pPr>
              <w:pStyle w:val="BodyRuller"/>
              <w:rPr>
                <w:rFonts w:ascii="David" w:hAnsi="David"/>
                <w:rtl/>
              </w:rPr>
            </w:pPr>
          </w:p>
        </w:tc>
        <w:tc>
          <w:tcPr>
            <w:tcW w:w="5239" w:type="dxa"/>
          </w:tcPr>
          <w:p w:rsidR="00C044AE" w:rsidRDefault="00C044AE" w:rsidP="004272F4">
            <w:pPr>
              <w:pStyle w:val="BodyRuller"/>
              <w:rPr>
                <w:rtl/>
              </w:rPr>
            </w:pPr>
            <w:r>
              <w:rPr>
                <w:rFonts w:hint="cs"/>
                <w:rtl/>
              </w:rPr>
              <w:t>4. היועצת המשפטית לממשלה</w:t>
            </w:r>
          </w:p>
        </w:tc>
      </w:tr>
      <w:tr w:rsidR="00C044AE" w:rsidTr="004272F4">
        <w:trPr>
          <w:trHeight w:val="287"/>
        </w:trPr>
        <w:tc>
          <w:tcPr>
            <w:tcW w:w="3261" w:type="dxa"/>
          </w:tcPr>
          <w:p w:rsidR="00C044AE" w:rsidRPr="009A1B72" w:rsidRDefault="00C044AE" w:rsidP="004272F4">
            <w:pPr>
              <w:pStyle w:val="BodyRuller"/>
              <w:rPr>
                <w:rFonts w:ascii="David" w:hAnsi="David"/>
                <w:rtl/>
              </w:rPr>
            </w:pPr>
          </w:p>
        </w:tc>
        <w:tc>
          <w:tcPr>
            <w:tcW w:w="5239" w:type="dxa"/>
          </w:tcPr>
          <w:p w:rsidR="00C044AE" w:rsidRDefault="00C044AE" w:rsidP="004272F4">
            <w:pPr>
              <w:pStyle w:val="BodyRuller"/>
              <w:rPr>
                <w:rtl/>
              </w:rPr>
            </w:pPr>
            <w:r>
              <w:rPr>
                <w:rFonts w:hint="cs"/>
                <w:rtl/>
              </w:rPr>
              <w:t>5. ממשלת ישראל</w:t>
            </w:r>
          </w:p>
        </w:tc>
      </w:tr>
    </w:tbl>
    <w:p w:rsidR="00C044AE" w:rsidRDefault="00C044AE" w:rsidP="00C044AE">
      <w:pPr>
        <w:pStyle w:val="Ruller3"/>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rPr>
                <w:rFonts w:ascii="David" w:hAnsi="David"/>
              </w:rPr>
            </w:pPr>
            <w:r>
              <w:rPr>
                <w:rFonts w:ascii="David" w:hAnsi="David" w:hint="cs"/>
                <w:rtl/>
              </w:rPr>
              <w:t>המשיבות בבג"ץ 5660/23</w:t>
            </w:r>
            <w:r>
              <w:rPr>
                <w:rFonts w:ascii="David" w:hAnsi="David"/>
                <w:rtl/>
              </w:rPr>
              <w:t>:</w:t>
            </w:r>
          </w:p>
        </w:tc>
        <w:tc>
          <w:tcPr>
            <w:tcW w:w="5239" w:type="dxa"/>
          </w:tcPr>
          <w:p w:rsidR="00C044AE" w:rsidRDefault="00C044AE" w:rsidP="004272F4">
            <w:pPr>
              <w:pStyle w:val="BodyRuller"/>
            </w:pPr>
            <w:r>
              <w:rPr>
                <w:rFonts w:hint="cs"/>
                <w:rtl/>
              </w:rPr>
              <w:t>1. הכנסת</w:t>
            </w:r>
          </w:p>
        </w:tc>
      </w:tr>
      <w:tr w:rsidR="00C044AE" w:rsidTr="004272F4">
        <w:trPr>
          <w:trHeight w:val="287"/>
        </w:trPr>
        <w:tc>
          <w:tcPr>
            <w:tcW w:w="3261" w:type="dxa"/>
          </w:tcPr>
          <w:p w:rsidR="00C044AE" w:rsidRDefault="00C044AE" w:rsidP="004272F4">
            <w:pPr>
              <w:pStyle w:val="BodyRuller"/>
              <w:rPr>
                <w:rFonts w:ascii="David" w:hAnsi="David"/>
                <w:rtl/>
              </w:rPr>
            </w:pPr>
          </w:p>
        </w:tc>
        <w:tc>
          <w:tcPr>
            <w:tcW w:w="5239" w:type="dxa"/>
          </w:tcPr>
          <w:p w:rsidR="00C044AE" w:rsidRDefault="00C044AE" w:rsidP="004272F4">
            <w:pPr>
              <w:pStyle w:val="BodyRuller"/>
              <w:rPr>
                <w:rtl/>
              </w:rPr>
            </w:pPr>
            <w:r>
              <w:rPr>
                <w:rFonts w:hint="cs"/>
                <w:rtl/>
              </w:rPr>
              <w:t>2. ממשלת ישראל</w:t>
            </w:r>
          </w:p>
        </w:tc>
      </w:tr>
    </w:tbl>
    <w:p w:rsidR="00C044AE" w:rsidRDefault="00C044AE" w:rsidP="00C044AE">
      <w:pPr>
        <w:pStyle w:val="Ruller3"/>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rPr>
                <w:rFonts w:ascii="David" w:hAnsi="David"/>
              </w:rPr>
            </w:pPr>
            <w:r>
              <w:rPr>
                <w:rFonts w:ascii="David" w:hAnsi="David" w:hint="cs"/>
                <w:rtl/>
              </w:rPr>
              <w:t>המשיבות בבג"ץ 5661/23</w:t>
            </w:r>
            <w:r>
              <w:rPr>
                <w:rFonts w:ascii="David" w:hAnsi="David"/>
                <w:rtl/>
              </w:rPr>
              <w:t>:</w:t>
            </w:r>
          </w:p>
        </w:tc>
        <w:tc>
          <w:tcPr>
            <w:tcW w:w="5239" w:type="dxa"/>
          </w:tcPr>
          <w:p w:rsidR="00C044AE" w:rsidRDefault="00C044AE" w:rsidP="004272F4">
            <w:pPr>
              <w:pStyle w:val="BodyRuller"/>
            </w:pPr>
            <w:r>
              <w:rPr>
                <w:rFonts w:hint="cs"/>
                <w:rtl/>
              </w:rPr>
              <w:t xml:space="preserve">1. הכנסת </w:t>
            </w:r>
          </w:p>
        </w:tc>
      </w:tr>
      <w:tr w:rsidR="00C044AE" w:rsidTr="004272F4">
        <w:trPr>
          <w:trHeight w:val="287"/>
        </w:trPr>
        <w:tc>
          <w:tcPr>
            <w:tcW w:w="3261" w:type="dxa"/>
          </w:tcPr>
          <w:p w:rsidR="00C044AE" w:rsidRDefault="00C044AE" w:rsidP="004272F4">
            <w:pPr>
              <w:pStyle w:val="BodyRuller"/>
              <w:rPr>
                <w:rFonts w:ascii="David" w:hAnsi="David"/>
                <w:rtl/>
              </w:rPr>
            </w:pPr>
          </w:p>
        </w:tc>
        <w:tc>
          <w:tcPr>
            <w:tcW w:w="5239" w:type="dxa"/>
          </w:tcPr>
          <w:p w:rsidR="00C044AE" w:rsidRDefault="00C044AE" w:rsidP="004272F4">
            <w:pPr>
              <w:pStyle w:val="BodyRuller"/>
              <w:rPr>
                <w:rtl/>
              </w:rPr>
            </w:pPr>
            <w:r>
              <w:rPr>
                <w:rFonts w:hint="cs"/>
                <w:rtl/>
              </w:rPr>
              <w:t>2. ועדת החוקה, חוק ומשפט של הכנסת</w:t>
            </w:r>
          </w:p>
        </w:tc>
      </w:tr>
      <w:tr w:rsidR="00C044AE" w:rsidTr="004272F4">
        <w:trPr>
          <w:trHeight w:val="287"/>
        </w:trPr>
        <w:tc>
          <w:tcPr>
            <w:tcW w:w="3261" w:type="dxa"/>
          </w:tcPr>
          <w:p w:rsidR="00C044AE" w:rsidRPr="009A1B72" w:rsidRDefault="00C044AE" w:rsidP="004272F4">
            <w:pPr>
              <w:pStyle w:val="BodyRuller"/>
              <w:rPr>
                <w:rFonts w:ascii="David" w:hAnsi="David"/>
                <w:rtl/>
              </w:rPr>
            </w:pPr>
          </w:p>
        </w:tc>
        <w:tc>
          <w:tcPr>
            <w:tcW w:w="5239" w:type="dxa"/>
          </w:tcPr>
          <w:p w:rsidR="00C044AE" w:rsidRDefault="00C044AE" w:rsidP="004272F4">
            <w:pPr>
              <w:pStyle w:val="BodyRuller"/>
              <w:rPr>
                <w:rtl/>
              </w:rPr>
            </w:pPr>
            <w:r>
              <w:rPr>
                <w:rFonts w:hint="cs"/>
                <w:rtl/>
              </w:rPr>
              <w:t>3. ממשלת ישראל</w:t>
            </w:r>
          </w:p>
        </w:tc>
      </w:tr>
      <w:tr w:rsidR="00C044AE" w:rsidTr="004272F4">
        <w:trPr>
          <w:trHeight w:val="287"/>
        </w:trPr>
        <w:tc>
          <w:tcPr>
            <w:tcW w:w="3261" w:type="dxa"/>
          </w:tcPr>
          <w:p w:rsidR="00C044AE" w:rsidRPr="009A1B72" w:rsidRDefault="00C044AE" w:rsidP="004272F4">
            <w:pPr>
              <w:pStyle w:val="BodyRuller"/>
              <w:rPr>
                <w:rFonts w:ascii="David" w:hAnsi="David"/>
                <w:rtl/>
              </w:rPr>
            </w:pPr>
          </w:p>
        </w:tc>
        <w:tc>
          <w:tcPr>
            <w:tcW w:w="5239" w:type="dxa"/>
          </w:tcPr>
          <w:p w:rsidR="00C044AE" w:rsidRDefault="00C044AE" w:rsidP="004272F4">
            <w:pPr>
              <w:pStyle w:val="BodyRuller"/>
              <w:rPr>
                <w:rtl/>
              </w:rPr>
            </w:pPr>
            <w:r>
              <w:rPr>
                <w:rFonts w:hint="cs"/>
                <w:rtl/>
              </w:rPr>
              <w:t>4. היועצת המשפטית לממשלה</w:t>
            </w:r>
          </w:p>
        </w:tc>
      </w:tr>
    </w:tbl>
    <w:p w:rsidR="00C044AE" w:rsidRDefault="00C044AE" w:rsidP="00C044AE">
      <w:pPr>
        <w:pStyle w:val="Ruller3"/>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10" w:type="dxa"/>
          </w:tcPr>
          <w:p w:rsidR="00C044AE" w:rsidRPr="00E75223" w:rsidRDefault="00C044AE" w:rsidP="004272F4">
            <w:pPr>
              <w:pStyle w:val="BodyRuller"/>
              <w:rPr>
                <w:rFonts w:ascii="David" w:hAnsi="David"/>
              </w:rPr>
            </w:pPr>
            <w:r>
              <w:rPr>
                <w:rFonts w:ascii="David" w:hAnsi="David" w:hint="cs"/>
                <w:rtl/>
              </w:rPr>
              <w:t>המשיבים בבג"ץ 5662/23</w:t>
            </w:r>
            <w:r>
              <w:rPr>
                <w:rFonts w:ascii="David" w:hAnsi="David"/>
                <w:rtl/>
              </w:rPr>
              <w:t>:</w:t>
            </w:r>
          </w:p>
        </w:tc>
        <w:tc>
          <w:tcPr>
            <w:tcW w:w="5154" w:type="dxa"/>
          </w:tcPr>
          <w:p w:rsidR="00C044AE" w:rsidRDefault="00C044AE" w:rsidP="004272F4">
            <w:pPr>
              <w:pStyle w:val="BodyRuller"/>
            </w:pPr>
            <w:r>
              <w:rPr>
                <w:rFonts w:hint="cs"/>
                <w:rtl/>
              </w:rPr>
              <w:t>1. הכנסת</w:t>
            </w:r>
          </w:p>
        </w:tc>
      </w:tr>
      <w:tr w:rsidR="00C044AE" w:rsidTr="004272F4">
        <w:trPr>
          <w:trHeight w:val="287"/>
        </w:trPr>
        <w:tc>
          <w:tcPr>
            <w:tcW w:w="3210" w:type="dxa"/>
          </w:tcPr>
          <w:p w:rsidR="00C044AE" w:rsidRDefault="00C044AE" w:rsidP="004272F4">
            <w:pPr>
              <w:pStyle w:val="BodyRuller"/>
              <w:rPr>
                <w:rFonts w:ascii="David" w:hAnsi="David"/>
                <w:rtl/>
              </w:rPr>
            </w:pPr>
          </w:p>
        </w:tc>
        <w:tc>
          <w:tcPr>
            <w:tcW w:w="5154" w:type="dxa"/>
          </w:tcPr>
          <w:p w:rsidR="00C044AE" w:rsidRDefault="00C044AE" w:rsidP="004272F4">
            <w:pPr>
              <w:pStyle w:val="BodyRuller"/>
              <w:rPr>
                <w:rtl/>
              </w:rPr>
            </w:pPr>
            <w:r>
              <w:rPr>
                <w:rFonts w:hint="cs"/>
                <w:rtl/>
              </w:rPr>
              <w:t>2. שר המשפטים</w:t>
            </w:r>
          </w:p>
        </w:tc>
      </w:tr>
    </w:tbl>
    <w:p w:rsidR="00C044AE" w:rsidRDefault="00C044AE" w:rsidP="00C044AE">
      <w:pPr>
        <w:pStyle w:val="Ruller3"/>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rPr>
                <w:rFonts w:ascii="David" w:hAnsi="David"/>
              </w:rPr>
            </w:pPr>
            <w:r>
              <w:rPr>
                <w:rFonts w:ascii="David" w:hAnsi="David" w:hint="cs"/>
                <w:rtl/>
              </w:rPr>
              <w:t>המשיבות בבג"ץ 5663/23</w:t>
            </w:r>
            <w:r>
              <w:rPr>
                <w:rFonts w:ascii="David" w:hAnsi="David"/>
                <w:rtl/>
              </w:rPr>
              <w:t>:</w:t>
            </w:r>
          </w:p>
        </w:tc>
        <w:tc>
          <w:tcPr>
            <w:tcW w:w="5239" w:type="dxa"/>
          </w:tcPr>
          <w:p w:rsidR="00C044AE" w:rsidRDefault="00C044AE" w:rsidP="004272F4">
            <w:pPr>
              <w:pStyle w:val="BodyRuller"/>
            </w:pPr>
            <w:r>
              <w:rPr>
                <w:rFonts w:hint="cs"/>
                <w:rtl/>
              </w:rPr>
              <w:t xml:space="preserve">1. הכנסת </w:t>
            </w:r>
          </w:p>
        </w:tc>
      </w:tr>
      <w:tr w:rsidR="00C044AE" w:rsidTr="004272F4">
        <w:trPr>
          <w:trHeight w:val="287"/>
        </w:trPr>
        <w:tc>
          <w:tcPr>
            <w:tcW w:w="3261" w:type="dxa"/>
          </w:tcPr>
          <w:p w:rsidR="00C044AE" w:rsidRDefault="00C044AE" w:rsidP="004272F4">
            <w:pPr>
              <w:pStyle w:val="BodyRuller"/>
              <w:rPr>
                <w:rFonts w:ascii="David" w:hAnsi="David"/>
                <w:rtl/>
              </w:rPr>
            </w:pPr>
          </w:p>
        </w:tc>
        <w:tc>
          <w:tcPr>
            <w:tcW w:w="5239" w:type="dxa"/>
          </w:tcPr>
          <w:p w:rsidR="00C044AE" w:rsidRDefault="00C044AE" w:rsidP="004272F4">
            <w:pPr>
              <w:pStyle w:val="BodyRuller"/>
              <w:rPr>
                <w:rtl/>
              </w:rPr>
            </w:pPr>
            <w:r>
              <w:rPr>
                <w:rFonts w:hint="cs"/>
                <w:rtl/>
              </w:rPr>
              <w:t>2. ממשלת ישראל</w:t>
            </w:r>
          </w:p>
        </w:tc>
      </w:tr>
      <w:tr w:rsidR="00C044AE" w:rsidTr="004272F4">
        <w:trPr>
          <w:trHeight w:val="287"/>
        </w:trPr>
        <w:tc>
          <w:tcPr>
            <w:tcW w:w="3261" w:type="dxa"/>
          </w:tcPr>
          <w:p w:rsidR="00C044AE" w:rsidRDefault="00C044AE" w:rsidP="004272F4">
            <w:pPr>
              <w:pStyle w:val="BodyRuller"/>
              <w:rPr>
                <w:rFonts w:ascii="David" w:hAnsi="David"/>
                <w:rtl/>
              </w:rPr>
            </w:pPr>
          </w:p>
        </w:tc>
        <w:tc>
          <w:tcPr>
            <w:tcW w:w="5239" w:type="dxa"/>
          </w:tcPr>
          <w:p w:rsidR="00C044AE" w:rsidRDefault="00C044AE" w:rsidP="004272F4">
            <w:pPr>
              <w:pStyle w:val="BodyRuller"/>
              <w:rPr>
                <w:rtl/>
              </w:rPr>
            </w:pPr>
            <w:r>
              <w:rPr>
                <w:rFonts w:hint="cs"/>
                <w:rtl/>
              </w:rPr>
              <w:t>3. ועדת החוקה, חוק ומשפט של הכנסת</w:t>
            </w:r>
          </w:p>
        </w:tc>
      </w:tr>
    </w:tbl>
    <w:p w:rsidR="00C044AE" w:rsidRDefault="00C044AE" w:rsidP="00C044AE">
      <w:pPr>
        <w:pStyle w:val="Ruller3"/>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rPr>
                <w:rFonts w:ascii="David" w:hAnsi="David"/>
              </w:rPr>
            </w:pPr>
            <w:r>
              <w:rPr>
                <w:rFonts w:ascii="David" w:hAnsi="David" w:hint="cs"/>
                <w:rtl/>
              </w:rPr>
              <w:t>המשיבות בבג"ץ 5711/23</w:t>
            </w:r>
            <w:r>
              <w:rPr>
                <w:rFonts w:ascii="David" w:hAnsi="David"/>
                <w:rtl/>
              </w:rPr>
              <w:t>:</w:t>
            </w:r>
          </w:p>
        </w:tc>
        <w:tc>
          <w:tcPr>
            <w:tcW w:w="5239" w:type="dxa"/>
          </w:tcPr>
          <w:p w:rsidR="00C044AE" w:rsidRDefault="00C044AE" w:rsidP="004272F4">
            <w:pPr>
              <w:pStyle w:val="BodyRuller"/>
            </w:pPr>
            <w:r>
              <w:rPr>
                <w:rFonts w:hint="cs"/>
                <w:rtl/>
              </w:rPr>
              <w:t>1. הכנסת</w:t>
            </w:r>
          </w:p>
        </w:tc>
      </w:tr>
      <w:tr w:rsidR="00C044AE" w:rsidTr="004272F4">
        <w:trPr>
          <w:trHeight w:val="287"/>
        </w:trPr>
        <w:tc>
          <w:tcPr>
            <w:tcW w:w="3261" w:type="dxa"/>
          </w:tcPr>
          <w:p w:rsidR="00C044AE" w:rsidRDefault="00C044AE" w:rsidP="004272F4">
            <w:pPr>
              <w:pStyle w:val="BodyRuller"/>
              <w:rPr>
                <w:rFonts w:ascii="David" w:hAnsi="David"/>
                <w:rtl/>
              </w:rPr>
            </w:pPr>
          </w:p>
        </w:tc>
        <w:tc>
          <w:tcPr>
            <w:tcW w:w="5239" w:type="dxa"/>
          </w:tcPr>
          <w:p w:rsidR="00C044AE" w:rsidRDefault="00C044AE" w:rsidP="004272F4">
            <w:pPr>
              <w:pStyle w:val="BodyRuller"/>
              <w:rPr>
                <w:rtl/>
              </w:rPr>
            </w:pPr>
            <w:r>
              <w:rPr>
                <w:rFonts w:hint="cs"/>
                <w:rtl/>
              </w:rPr>
              <w:t>2. ממשלת ישראל</w:t>
            </w:r>
          </w:p>
        </w:tc>
      </w:tr>
    </w:tbl>
    <w:p w:rsidR="00C044AE" w:rsidRDefault="00C044AE" w:rsidP="00C044AE">
      <w:pPr>
        <w:pStyle w:val="Ruller3"/>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rPr>
                <w:rFonts w:ascii="David" w:hAnsi="David"/>
              </w:rPr>
            </w:pPr>
            <w:r>
              <w:rPr>
                <w:rFonts w:ascii="David" w:hAnsi="David" w:hint="cs"/>
                <w:rtl/>
              </w:rPr>
              <w:t>המשיבים בבג"ץ 5769/23</w:t>
            </w:r>
            <w:r>
              <w:rPr>
                <w:rFonts w:ascii="David" w:hAnsi="David"/>
                <w:rtl/>
              </w:rPr>
              <w:t>:</w:t>
            </w:r>
          </w:p>
        </w:tc>
        <w:tc>
          <w:tcPr>
            <w:tcW w:w="5239" w:type="dxa"/>
          </w:tcPr>
          <w:p w:rsidR="00C044AE" w:rsidRDefault="00C044AE" w:rsidP="004272F4">
            <w:pPr>
              <w:pStyle w:val="BodyRuller"/>
            </w:pPr>
            <w:r>
              <w:rPr>
                <w:rFonts w:hint="cs"/>
                <w:rtl/>
              </w:rPr>
              <w:t>1. ראש ממשלת ישראל</w:t>
            </w:r>
          </w:p>
        </w:tc>
      </w:tr>
      <w:tr w:rsidR="00C044AE" w:rsidTr="004272F4">
        <w:trPr>
          <w:trHeight w:val="287"/>
        </w:trPr>
        <w:tc>
          <w:tcPr>
            <w:tcW w:w="3261" w:type="dxa"/>
          </w:tcPr>
          <w:p w:rsidR="00C044AE" w:rsidRDefault="00C044AE" w:rsidP="004272F4">
            <w:pPr>
              <w:pStyle w:val="BodyRuller"/>
              <w:rPr>
                <w:rFonts w:ascii="David" w:hAnsi="David"/>
                <w:rtl/>
              </w:rPr>
            </w:pPr>
          </w:p>
        </w:tc>
        <w:tc>
          <w:tcPr>
            <w:tcW w:w="5239" w:type="dxa"/>
          </w:tcPr>
          <w:p w:rsidR="00C044AE" w:rsidRDefault="00C044AE" w:rsidP="004272F4">
            <w:pPr>
              <w:pStyle w:val="BodyRuller"/>
              <w:rPr>
                <w:rtl/>
              </w:rPr>
            </w:pPr>
            <w:r>
              <w:rPr>
                <w:rFonts w:hint="cs"/>
                <w:rtl/>
              </w:rPr>
              <w:t>2. ועדת החוקה, חוק ומשפט של הכנסת</w:t>
            </w:r>
          </w:p>
          <w:p w:rsidR="00C044AE" w:rsidRDefault="00C044AE" w:rsidP="004272F4">
            <w:pPr>
              <w:pStyle w:val="BodyRuller"/>
              <w:rPr>
                <w:rtl/>
              </w:rPr>
            </w:pPr>
            <w:r>
              <w:rPr>
                <w:rFonts w:hint="cs"/>
                <w:rtl/>
              </w:rPr>
              <w:t>3. ועדת החוץ והביטחון של הכנסת</w:t>
            </w:r>
          </w:p>
          <w:p w:rsidR="00C044AE" w:rsidRDefault="00C044AE" w:rsidP="004272F4">
            <w:pPr>
              <w:pStyle w:val="BodyRuller"/>
              <w:rPr>
                <w:rtl/>
              </w:rPr>
            </w:pPr>
            <w:r>
              <w:rPr>
                <w:rFonts w:hint="cs"/>
                <w:rtl/>
              </w:rPr>
              <w:t>4. הכנסת</w:t>
            </w:r>
          </w:p>
        </w:tc>
      </w:tr>
    </w:tbl>
    <w:p w:rsidR="00C044AE" w:rsidRDefault="00C044AE" w:rsidP="00C044AE">
      <w:pPr>
        <w:pStyle w:val="Ruller3"/>
        <w:rPr>
          <w:rtl/>
        </w:rPr>
      </w:pPr>
    </w:p>
    <w:tbl>
      <w:tblPr>
        <w:bidiVisual/>
        <w:tblW w:w="8364" w:type="dxa"/>
        <w:tblLayout w:type="fixed"/>
        <w:tblLook w:val="0000" w:firstRow="0" w:lastRow="0" w:firstColumn="0" w:lastColumn="0" w:noHBand="0" w:noVBand="0"/>
      </w:tblPr>
      <w:tblGrid>
        <w:gridCol w:w="3210"/>
        <w:gridCol w:w="5102"/>
        <w:gridCol w:w="52"/>
      </w:tblGrid>
      <w:tr w:rsidR="00C044AE" w:rsidRPr="0035414C" w:rsidTr="004272F4">
        <w:trPr>
          <w:trHeight w:val="287"/>
        </w:trPr>
        <w:tc>
          <w:tcPr>
            <w:tcW w:w="3210" w:type="dxa"/>
          </w:tcPr>
          <w:p w:rsidR="00C044AE" w:rsidRPr="0047420A" w:rsidRDefault="00C044AE" w:rsidP="004272F4">
            <w:pPr>
              <w:jc w:val="both"/>
              <w:rPr>
                <w:rFonts w:ascii="David" w:hAnsi="David"/>
                <w:sz w:val="24"/>
                <w:szCs w:val="28"/>
              </w:rPr>
            </w:pPr>
            <w:r w:rsidRPr="0047420A">
              <w:rPr>
                <w:rFonts w:ascii="David" w:hAnsi="David" w:hint="cs"/>
                <w:sz w:val="24"/>
                <w:szCs w:val="28"/>
                <w:rtl/>
              </w:rPr>
              <w:t>ידידי בית המשפט</w:t>
            </w:r>
            <w:r w:rsidRPr="0047420A">
              <w:rPr>
                <w:rFonts w:ascii="David" w:hAnsi="David"/>
                <w:sz w:val="24"/>
                <w:szCs w:val="28"/>
                <w:rtl/>
              </w:rPr>
              <w:t>:</w:t>
            </w:r>
          </w:p>
        </w:tc>
        <w:tc>
          <w:tcPr>
            <w:tcW w:w="5154" w:type="dxa"/>
            <w:gridSpan w:val="2"/>
          </w:tcPr>
          <w:p w:rsidR="00C044AE" w:rsidRPr="0047420A" w:rsidRDefault="00C044AE" w:rsidP="004272F4">
            <w:pPr>
              <w:jc w:val="both"/>
              <w:rPr>
                <w:sz w:val="24"/>
                <w:szCs w:val="28"/>
                <w:rtl/>
              </w:rPr>
            </w:pPr>
            <w:r w:rsidRPr="0047420A">
              <w:rPr>
                <w:rFonts w:hint="cs"/>
                <w:sz w:val="24"/>
                <w:szCs w:val="28"/>
                <w:rtl/>
              </w:rPr>
              <w:t>1. האגודה לזכויות האזרח בישראל ואח'</w:t>
            </w:r>
          </w:p>
          <w:p w:rsidR="00C044AE" w:rsidRPr="0047420A" w:rsidRDefault="00C044AE" w:rsidP="004272F4">
            <w:pPr>
              <w:jc w:val="both"/>
              <w:rPr>
                <w:sz w:val="24"/>
                <w:szCs w:val="28"/>
              </w:rPr>
            </w:pPr>
            <w:r w:rsidRPr="0047420A">
              <w:rPr>
                <w:rFonts w:hint="cs"/>
                <w:sz w:val="24"/>
                <w:szCs w:val="28"/>
                <w:rtl/>
              </w:rPr>
              <w:t xml:space="preserve">2. אדם טבע ודין </w:t>
            </w:r>
            <w:r w:rsidRPr="0047420A">
              <w:rPr>
                <w:sz w:val="24"/>
                <w:szCs w:val="28"/>
                <w:rtl/>
              </w:rPr>
              <w:t>–</w:t>
            </w:r>
            <w:r w:rsidRPr="0047420A">
              <w:rPr>
                <w:rFonts w:hint="cs"/>
                <w:sz w:val="24"/>
                <w:szCs w:val="28"/>
                <w:rtl/>
              </w:rPr>
              <w:t xml:space="preserve"> אגודה ישראלית להגנת הסביבה</w:t>
            </w:r>
          </w:p>
        </w:tc>
      </w:tr>
      <w:tr w:rsidR="00C044AE" w:rsidRPr="00AE3699" w:rsidTr="004272F4">
        <w:trPr>
          <w:gridBefore w:val="1"/>
          <w:gridAfter w:val="1"/>
          <w:wBefore w:w="3210" w:type="dxa"/>
          <w:wAfter w:w="52" w:type="dxa"/>
        </w:trPr>
        <w:tc>
          <w:tcPr>
            <w:tcW w:w="5103" w:type="dxa"/>
          </w:tcPr>
          <w:p w:rsidR="00C044AE" w:rsidRPr="00AE3699" w:rsidRDefault="00C044AE" w:rsidP="004272F4">
            <w:pPr>
              <w:jc w:val="both"/>
              <w:rPr>
                <w:rFonts w:ascii="Century" w:hAnsi="Century" w:cs="Miriam"/>
                <w:b/>
                <w:sz w:val="22"/>
              </w:rPr>
            </w:pPr>
          </w:p>
        </w:tc>
      </w:tr>
      <w:tr w:rsidR="00C044AE" w:rsidRPr="00852B62" w:rsidTr="004272F4">
        <w:trPr>
          <w:gridBefore w:val="1"/>
          <w:gridAfter w:val="1"/>
          <w:wBefore w:w="3210" w:type="dxa"/>
          <w:wAfter w:w="52" w:type="dxa"/>
        </w:trPr>
        <w:tc>
          <w:tcPr>
            <w:tcW w:w="5103" w:type="dxa"/>
          </w:tcPr>
          <w:p w:rsidR="00C044AE" w:rsidRPr="00852B62" w:rsidRDefault="00C044AE" w:rsidP="004272F4">
            <w:pPr>
              <w:jc w:val="both"/>
              <w:rPr>
                <w:rFonts w:cs="Miriam"/>
                <w:b/>
                <w:sz w:val="22"/>
                <w:rtl/>
              </w:rPr>
            </w:pPr>
            <w:r>
              <w:rPr>
                <w:rFonts w:cs="Miriam" w:hint="cs"/>
                <w:b/>
                <w:sz w:val="22"/>
                <w:rtl/>
              </w:rPr>
              <w:t>התנגדות לעשיית הצו על תנאי לצו מוחלט</w:t>
            </w:r>
          </w:p>
        </w:tc>
      </w:tr>
    </w:tbl>
    <w:p w:rsidR="00C044AE" w:rsidRDefault="00C044AE" w:rsidP="00C044AE">
      <w:pPr>
        <w:pStyle w:val="Ruller3"/>
        <w:rPr>
          <w:rtl/>
        </w:rPr>
      </w:pPr>
    </w:p>
    <w:tbl>
      <w:tblPr>
        <w:bidiVisual/>
        <w:tblW w:w="8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0"/>
        <w:gridCol w:w="2373"/>
        <w:gridCol w:w="2790"/>
      </w:tblGrid>
      <w:tr w:rsidR="00C044AE" w:rsidTr="004272F4">
        <w:tc>
          <w:tcPr>
            <w:tcW w:w="3212" w:type="dxa"/>
            <w:tcBorders>
              <w:top w:val="nil"/>
              <w:left w:val="nil"/>
              <w:bottom w:val="nil"/>
              <w:right w:val="nil"/>
            </w:tcBorders>
          </w:tcPr>
          <w:p w:rsidR="00C044AE" w:rsidRPr="00BF58D1" w:rsidRDefault="00C044AE" w:rsidP="004272F4">
            <w:pPr>
              <w:pStyle w:val="BodyRuller"/>
              <w:jc w:val="both"/>
              <w:rPr>
                <w:sz w:val="28"/>
              </w:rPr>
            </w:pPr>
            <w:r w:rsidRPr="00BF58D1">
              <w:rPr>
                <w:sz w:val="28"/>
                <w:rtl/>
              </w:rPr>
              <w:lastRenderedPageBreak/>
              <w:t>תאריך הישיבה:</w:t>
            </w:r>
          </w:p>
        </w:tc>
        <w:tc>
          <w:tcPr>
            <w:tcW w:w="2409" w:type="dxa"/>
            <w:tcBorders>
              <w:top w:val="nil"/>
              <w:left w:val="nil"/>
              <w:bottom w:val="nil"/>
              <w:right w:val="nil"/>
            </w:tcBorders>
          </w:tcPr>
          <w:p w:rsidR="00C044AE" w:rsidRPr="00BF58D1" w:rsidRDefault="00C044AE" w:rsidP="004272F4">
            <w:pPr>
              <w:pStyle w:val="BodyRuller"/>
              <w:jc w:val="both"/>
              <w:rPr>
                <w:sz w:val="28"/>
                <w:rtl/>
              </w:rPr>
            </w:pPr>
            <w:r w:rsidRPr="00BF58D1">
              <w:rPr>
                <w:rFonts w:hint="cs"/>
                <w:sz w:val="28"/>
                <w:rtl/>
              </w:rPr>
              <w:t xml:space="preserve">כ"ו באלול התשפ"ג </w:t>
            </w:r>
          </w:p>
        </w:tc>
        <w:tc>
          <w:tcPr>
            <w:tcW w:w="2694" w:type="dxa"/>
            <w:tcBorders>
              <w:top w:val="nil"/>
              <w:left w:val="nil"/>
              <w:bottom w:val="nil"/>
              <w:right w:val="nil"/>
            </w:tcBorders>
          </w:tcPr>
          <w:p w:rsidR="00C044AE" w:rsidRPr="00BF58D1" w:rsidRDefault="00C044AE" w:rsidP="004272F4">
            <w:pPr>
              <w:pStyle w:val="BodyRuller"/>
              <w:jc w:val="both"/>
              <w:rPr>
                <w:sz w:val="28"/>
                <w:rtl/>
              </w:rPr>
            </w:pPr>
            <w:r w:rsidRPr="00BF58D1">
              <w:rPr>
                <w:rFonts w:hint="cs"/>
                <w:sz w:val="28"/>
                <w:rtl/>
              </w:rPr>
              <w:t>(12.9.2023)</w:t>
            </w:r>
          </w:p>
        </w:tc>
      </w:tr>
      <w:tr w:rsidR="00C044AE" w:rsidTr="004272F4">
        <w:tc>
          <w:tcPr>
            <w:tcW w:w="3257" w:type="dxa"/>
            <w:tcBorders>
              <w:top w:val="nil"/>
              <w:left w:val="nil"/>
              <w:bottom w:val="nil"/>
              <w:right w:val="nil"/>
            </w:tcBorders>
          </w:tcPr>
          <w:p w:rsidR="00C044AE" w:rsidRDefault="00C044AE" w:rsidP="004272F4">
            <w:pPr>
              <w:pStyle w:val="BodyRuller"/>
            </w:pPr>
          </w:p>
        </w:tc>
        <w:tc>
          <w:tcPr>
            <w:tcW w:w="5238" w:type="dxa"/>
            <w:gridSpan w:val="2"/>
            <w:tcBorders>
              <w:top w:val="nil"/>
              <w:left w:val="nil"/>
              <w:bottom w:val="nil"/>
              <w:right w:val="nil"/>
            </w:tcBorders>
          </w:tcPr>
          <w:p w:rsidR="00C044AE" w:rsidRDefault="00C044AE" w:rsidP="004272F4">
            <w:pPr>
              <w:pStyle w:val="BodyRuller"/>
            </w:pPr>
          </w:p>
        </w:tc>
      </w:tr>
    </w:tbl>
    <w:p w:rsidR="00C044AE" w:rsidRPr="009775D0" w:rsidRDefault="00C044AE" w:rsidP="00C044AE">
      <w:pPr>
        <w:pStyle w:val="Ruller3"/>
        <w:rPr>
          <w:sz w:val="12"/>
          <w:szCs w:val="18"/>
        </w:rPr>
      </w:pPr>
    </w:p>
    <w:tbl>
      <w:tblPr>
        <w:bidiVisual/>
        <w:tblW w:w="8363"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2"/>
        <w:gridCol w:w="5151"/>
      </w:tblGrid>
      <w:tr w:rsidR="00C044AE" w:rsidTr="004272F4">
        <w:tc>
          <w:tcPr>
            <w:tcW w:w="3257" w:type="dxa"/>
            <w:tcBorders>
              <w:top w:val="nil"/>
              <w:left w:val="nil"/>
              <w:bottom w:val="nil"/>
              <w:right w:val="nil"/>
            </w:tcBorders>
          </w:tcPr>
          <w:p w:rsidR="00C044AE" w:rsidRDefault="00C044AE" w:rsidP="004272F4">
            <w:pPr>
              <w:pStyle w:val="BodyRuller"/>
              <w:jc w:val="both"/>
            </w:pPr>
            <w:r>
              <w:rPr>
                <w:rFonts w:ascii="David" w:hAnsi="David" w:hint="cs"/>
                <w:rtl/>
              </w:rPr>
              <w:t xml:space="preserve">בשם </w:t>
            </w:r>
            <w:r>
              <w:rPr>
                <w:rFonts w:ascii="David" w:hAnsi="David"/>
                <w:rtl/>
              </w:rPr>
              <w:t>העותר</w:t>
            </w:r>
            <w:r>
              <w:rPr>
                <w:rFonts w:ascii="David" w:hAnsi="David" w:hint="cs"/>
                <w:rtl/>
              </w:rPr>
              <w:t>ת בבג"ץ 5658/23</w:t>
            </w:r>
            <w:r>
              <w:rPr>
                <w:rFonts w:ascii="David" w:hAnsi="David"/>
                <w:rtl/>
              </w:rPr>
              <w:t>:</w:t>
            </w:r>
          </w:p>
        </w:tc>
        <w:tc>
          <w:tcPr>
            <w:tcW w:w="5238" w:type="dxa"/>
            <w:tcBorders>
              <w:top w:val="nil"/>
              <w:left w:val="nil"/>
              <w:bottom w:val="nil"/>
              <w:right w:val="nil"/>
            </w:tcBorders>
          </w:tcPr>
          <w:p w:rsidR="00C044AE" w:rsidRDefault="00C044AE" w:rsidP="004272F4">
            <w:pPr>
              <w:pStyle w:val="BodyRuller"/>
              <w:jc w:val="both"/>
              <w:rPr>
                <w:rtl/>
              </w:rPr>
            </w:pPr>
            <w:r>
              <w:rPr>
                <w:rFonts w:hint="cs"/>
                <w:rtl/>
              </w:rPr>
              <w:t xml:space="preserve">עו"ד אליעד שרגא; עו"ד תומר נאור; </w:t>
            </w:r>
          </w:p>
          <w:p w:rsidR="00C044AE" w:rsidRDefault="00C044AE" w:rsidP="004272F4">
            <w:pPr>
              <w:pStyle w:val="BodyRuller"/>
              <w:jc w:val="both"/>
              <w:rPr>
                <w:rtl/>
              </w:rPr>
            </w:pPr>
            <w:r>
              <w:rPr>
                <w:rFonts w:hint="cs"/>
                <w:rtl/>
              </w:rPr>
              <w:t xml:space="preserve">עו"ד הידי נגב; עו"ד תמר באום; </w:t>
            </w:r>
          </w:p>
          <w:p w:rsidR="00C044AE" w:rsidRDefault="00C044AE" w:rsidP="004272F4">
            <w:pPr>
              <w:pStyle w:val="BodyRuller"/>
              <w:jc w:val="both"/>
            </w:pPr>
            <w:r w:rsidRPr="0047420A">
              <w:rPr>
                <w:rtl/>
              </w:rPr>
              <w:t>עו"ד גילי</w:t>
            </w:r>
            <w:r>
              <w:rPr>
                <w:rtl/>
              </w:rPr>
              <w:t xml:space="preserve"> גוטוירט; עו"ד רחל אל-שי רוזנפל</w:t>
            </w:r>
            <w:r>
              <w:rPr>
                <w:rFonts w:hint="cs"/>
                <w:rtl/>
              </w:rPr>
              <w:t>ד</w:t>
            </w:r>
          </w:p>
        </w:tc>
      </w:tr>
    </w:tbl>
    <w:p w:rsidR="00C044AE" w:rsidRPr="00454667" w:rsidRDefault="00C044AE" w:rsidP="00C044AE">
      <w:pPr>
        <w:tabs>
          <w:tab w:val="left" w:pos="2552"/>
        </w:tabs>
        <w:jc w:val="both"/>
        <w:rPr>
          <w:rtl/>
        </w:rPr>
      </w:pPr>
    </w:p>
    <w:tbl>
      <w:tblPr>
        <w:bidiVisual/>
        <w:tblW w:w="8363"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5148"/>
      </w:tblGrid>
      <w:tr w:rsidR="00C044AE" w:rsidTr="004272F4">
        <w:tc>
          <w:tcPr>
            <w:tcW w:w="3215" w:type="dxa"/>
            <w:tcBorders>
              <w:top w:val="nil"/>
              <w:left w:val="nil"/>
              <w:bottom w:val="nil"/>
              <w:right w:val="nil"/>
            </w:tcBorders>
          </w:tcPr>
          <w:p w:rsidR="00C044AE" w:rsidRDefault="00C044AE" w:rsidP="004272F4">
            <w:pPr>
              <w:pStyle w:val="BodyRuller"/>
            </w:pPr>
            <w:r>
              <w:rPr>
                <w:rFonts w:ascii="David" w:hAnsi="David" w:hint="cs"/>
                <w:rtl/>
              </w:rPr>
              <w:t xml:space="preserve">בשם </w:t>
            </w:r>
            <w:r>
              <w:rPr>
                <w:rFonts w:ascii="David" w:hAnsi="David"/>
                <w:rtl/>
              </w:rPr>
              <w:t>העותר</w:t>
            </w:r>
            <w:r>
              <w:rPr>
                <w:rFonts w:ascii="David" w:hAnsi="David" w:hint="cs"/>
                <w:rtl/>
              </w:rPr>
              <w:t>ים בבג"ץ 5659/23:</w:t>
            </w:r>
          </w:p>
        </w:tc>
        <w:tc>
          <w:tcPr>
            <w:tcW w:w="5148" w:type="dxa"/>
            <w:tcBorders>
              <w:top w:val="nil"/>
              <w:left w:val="nil"/>
              <w:bottom w:val="nil"/>
              <w:right w:val="nil"/>
            </w:tcBorders>
          </w:tcPr>
          <w:p w:rsidR="00C044AE" w:rsidRDefault="00C044AE" w:rsidP="004272F4">
            <w:pPr>
              <w:pStyle w:val="BodyRuller"/>
              <w:jc w:val="both"/>
              <w:rPr>
                <w:rtl/>
              </w:rPr>
            </w:pPr>
          </w:p>
          <w:p w:rsidR="00C044AE" w:rsidRDefault="00C044AE" w:rsidP="004272F4">
            <w:pPr>
              <w:pStyle w:val="BodyRuller"/>
              <w:jc w:val="both"/>
            </w:pPr>
            <w:r>
              <w:rPr>
                <w:rFonts w:hint="cs"/>
                <w:rtl/>
              </w:rPr>
              <w:t xml:space="preserve">עו"ד חגי קלעי; עו"ד אוהד רוזן; עו"ד עידן סגר </w:t>
            </w:r>
          </w:p>
        </w:tc>
      </w:tr>
    </w:tbl>
    <w:p w:rsidR="00C044AE" w:rsidRPr="0000787F" w:rsidRDefault="00C044AE" w:rsidP="00C044AE">
      <w:pPr>
        <w:tabs>
          <w:tab w:val="left" w:pos="2552"/>
        </w:tabs>
        <w:jc w:val="both"/>
        <w:rPr>
          <w:rtl/>
        </w:rPr>
      </w:pPr>
    </w:p>
    <w:p w:rsidR="00C044AE" w:rsidRDefault="00C044AE" w:rsidP="00C044AE">
      <w:pPr>
        <w:tabs>
          <w:tab w:val="left" w:pos="2552"/>
        </w:tabs>
        <w:jc w:val="both"/>
        <w:rPr>
          <w:rtl/>
        </w:rPr>
      </w:pPr>
    </w:p>
    <w:tbl>
      <w:tblPr>
        <w:bidiVisual/>
        <w:tblW w:w="8363"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5148"/>
      </w:tblGrid>
      <w:tr w:rsidR="00C044AE" w:rsidTr="004272F4">
        <w:tc>
          <w:tcPr>
            <w:tcW w:w="3215" w:type="dxa"/>
            <w:tcBorders>
              <w:top w:val="nil"/>
              <w:left w:val="nil"/>
              <w:bottom w:val="nil"/>
              <w:right w:val="nil"/>
            </w:tcBorders>
          </w:tcPr>
          <w:p w:rsidR="00C044AE" w:rsidRDefault="00C044AE" w:rsidP="004272F4">
            <w:pPr>
              <w:pStyle w:val="BodyRuller"/>
              <w:jc w:val="both"/>
            </w:pPr>
            <w:r>
              <w:rPr>
                <w:rFonts w:ascii="David" w:hAnsi="David" w:hint="cs"/>
                <w:rtl/>
              </w:rPr>
              <w:t xml:space="preserve">בשם </w:t>
            </w:r>
            <w:r>
              <w:rPr>
                <w:rFonts w:ascii="David" w:hAnsi="David"/>
                <w:rtl/>
              </w:rPr>
              <w:t>העותר</w:t>
            </w:r>
            <w:r>
              <w:rPr>
                <w:rFonts w:ascii="David" w:hAnsi="David" w:hint="cs"/>
                <w:rtl/>
              </w:rPr>
              <w:t xml:space="preserve"> בבג"ץ 5660/23:</w:t>
            </w:r>
          </w:p>
        </w:tc>
        <w:tc>
          <w:tcPr>
            <w:tcW w:w="5148" w:type="dxa"/>
            <w:tcBorders>
              <w:top w:val="nil"/>
              <w:left w:val="nil"/>
              <w:bottom w:val="nil"/>
              <w:right w:val="nil"/>
            </w:tcBorders>
          </w:tcPr>
          <w:p w:rsidR="00C044AE" w:rsidRDefault="00C044AE" w:rsidP="004272F4">
            <w:pPr>
              <w:pStyle w:val="BodyRuller"/>
              <w:jc w:val="both"/>
            </w:pPr>
            <w:r>
              <w:rPr>
                <w:rFonts w:hint="cs"/>
                <w:rtl/>
              </w:rPr>
              <w:t>עו"ד אפי מיכאלי</w:t>
            </w:r>
          </w:p>
        </w:tc>
      </w:tr>
    </w:tbl>
    <w:p w:rsidR="00C044AE" w:rsidRPr="009775D0" w:rsidRDefault="00C044AE" w:rsidP="00C044AE">
      <w:pPr>
        <w:tabs>
          <w:tab w:val="left" w:pos="2552"/>
        </w:tabs>
        <w:jc w:val="both"/>
        <w:rPr>
          <w:rtl/>
        </w:rPr>
      </w:pPr>
    </w:p>
    <w:p w:rsidR="00C044AE" w:rsidRDefault="00C044AE" w:rsidP="00C044AE">
      <w:pPr>
        <w:tabs>
          <w:tab w:val="left" w:pos="2552"/>
        </w:tabs>
        <w:jc w:val="both"/>
        <w:rPr>
          <w:rtl/>
        </w:rPr>
      </w:pPr>
    </w:p>
    <w:tbl>
      <w:tblPr>
        <w:bidiVisual/>
        <w:tblW w:w="8363"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5148"/>
      </w:tblGrid>
      <w:tr w:rsidR="00C044AE" w:rsidTr="004272F4">
        <w:tc>
          <w:tcPr>
            <w:tcW w:w="3215" w:type="dxa"/>
            <w:tcBorders>
              <w:top w:val="nil"/>
              <w:left w:val="nil"/>
              <w:bottom w:val="nil"/>
              <w:right w:val="nil"/>
            </w:tcBorders>
          </w:tcPr>
          <w:p w:rsidR="00C044AE" w:rsidRPr="00527E3C" w:rsidRDefault="00C044AE" w:rsidP="004272F4">
            <w:pPr>
              <w:pStyle w:val="BodyRuller"/>
              <w:rPr>
                <w:rFonts w:ascii="David" w:hAnsi="David"/>
              </w:rPr>
            </w:pPr>
            <w:r>
              <w:rPr>
                <w:rFonts w:ascii="David" w:hAnsi="David" w:hint="cs"/>
                <w:rtl/>
              </w:rPr>
              <w:t xml:space="preserve">בשם </w:t>
            </w:r>
            <w:r>
              <w:rPr>
                <w:rFonts w:ascii="David" w:hAnsi="David"/>
                <w:rtl/>
              </w:rPr>
              <w:t>העותר</w:t>
            </w:r>
            <w:r>
              <w:rPr>
                <w:rFonts w:ascii="David" w:hAnsi="David" w:hint="cs"/>
                <w:rtl/>
              </w:rPr>
              <w:t>ות בבג"ץ 5661/23:</w:t>
            </w:r>
          </w:p>
        </w:tc>
        <w:tc>
          <w:tcPr>
            <w:tcW w:w="5148" w:type="dxa"/>
            <w:tcBorders>
              <w:top w:val="nil"/>
              <w:left w:val="nil"/>
              <w:bottom w:val="nil"/>
              <w:right w:val="nil"/>
            </w:tcBorders>
          </w:tcPr>
          <w:p w:rsidR="00C044AE" w:rsidRDefault="00C044AE" w:rsidP="004272F4">
            <w:pPr>
              <w:pStyle w:val="BodyRuller"/>
              <w:jc w:val="both"/>
              <w:rPr>
                <w:rtl/>
              </w:rPr>
            </w:pPr>
          </w:p>
          <w:p w:rsidR="00C044AE" w:rsidRDefault="00C044AE" w:rsidP="004272F4">
            <w:pPr>
              <w:pStyle w:val="BodyRuller"/>
              <w:jc w:val="both"/>
            </w:pPr>
            <w:r>
              <w:rPr>
                <w:rFonts w:hint="cs"/>
                <w:rtl/>
              </w:rPr>
              <w:t xml:space="preserve">עו"ד גלעד ברנע; עו"ד גלעד שר; </w:t>
            </w:r>
            <w:r w:rsidRPr="0047420A">
              <w:rPr>
                <w:rtl/>
              </w:rPr>
              <w:t>עו"ד איתן טוקר</w:t>
            </w:r>
          </w:p>
        </w:tc>
      </w:tr>
    </w:tbl>
    <w:p w:rsidR="00C044AE" w:rsidRDefault="00C044AE" w:rsidP="00C044AE">
      <w:pPr>
        <w:tabs>
          <w:tab w:val="left" w:pos="2552"/>
        </w:tabs>
        <w:jc w:val="both"/>
        <w:rPr>
          <w:rtl/>
        </w:rPr>
      </w:pPr>
    </w:p>
    <w:p w:rsidR="00C044AE" w:rsidRDefault="00C044AE" w:rsidP="00C044AE">
      <w:pPr>
        <w:tabs>
          <w:tab w:val="left" w:pos="2552"/>
        </w:tabs>
        <w:jc w:val="both"/>
        <w:rPr>
          <w:rtl/>
        </w:rPr>
      </w:pPr>
    </w:p>
    <w:tbl>
      <w:tblPr>
        <w:bidiVisual/>
        <w:tblW w:w="8363"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5148"/>
      </w:tblGrid>
      <w:tr w:rsidR="00C044AE" w:rsidTr="004272F4">
        <w:tc>
          <w:tcPr>
            <w:tcW w:w="3215" w:type="dxa"/>
            <w:tcBorders>
              <w:top w:val="nil"/>
              <w:left w:val="nil"/>
              <w:bottom w:val="nil"/>
              <w:right w:val="nil"/>
            </w:tcBorders>
          </w:tcPr>
          <w:p w:rsidR="00C044AE" w:rsidRDefault="00C044AE" w:rsidP="004272F4">
            <w:pPr>
              <w:pStyle w:val="BodyRuller"/>
            </w:pPr>
            <w:r>
              <w:rPr>
                <w:rFonts w:ascii="David" w:hAnsi="David" w:hint="cs"/>
                <w:rtl/>
              </w:rPr>
              <w:t xml:space="preserve">בשם </w:t>
            </w:r>
            <w:r>
              <w:rPr>
                <w:rFonts w:ascii="David" w:hAnsi="David"/>
                <w:rtl/>
              </w:rPr>
              <w:t>העותר</w:t>
            </w:r>
            <w:r>
              <w:rPr>
                <w:rFonts w:ascii="David" w:hAnsi="David" w:hint="cs"/>
                <w:rtl/>
              </w:rPr>
              <w:t>ים בבג"ץ 5662/23:</w:t>
            </w:r>
          </w:p>
        </w:tc>
        <w:tc>
          <w:tcPr>
            <w:tcW w:w="5148" w:type="dxa"/>
            <w:tcBorders>
              <w:top w:val="nil"/>
              <w:left w:val="nil"/>
              <w:bottom w:val="nil"/>
              <w:right w:val="nil"/>
            </w:tcBorders>
          </w:tcPr>
          <w:p w:rsidR="00C044AE" w:rsidRDefault="00C044AE" w:rsidP="004272F4">
            <w:pPr>
              <w:pStyle w:val="BodyRuller"/>
              <w:jc w:val="both"/>
              <w:rPr>
                <w:rtl/>
              </w:rPr>
            </w:pPr>
          </w:p>
          <w:p w:rsidR="00C044AE" w:rsidRDefault="00C044AE" w:rsidP="004272F4">
            <w:pPr>
              <w:pStyle w:val="BodyRuller"/>
              <w:jc w:val="both"/>
            </w:pPr>
            <w:r>
              <w:rPr>
                <w:rFonts w:hint="cs"/>
                <w:rtl/>
              </w:rPr>
              <w:t xml:space="preserve">בעצמם </w:t>
            </w:r>
          </w:p>
        </w:tc>
      </w:tr>
    </w:tbl>
    <w:p w:rsidR="00C044AE" w:rsidRPr="00042BD1" w:rsidRDefault="00C044AE" w:rsidP="00C044AE">
      <w:pPr>
        <w:tabs>
          <w:tab w:val="left" w:pos="2552"/>
        </w:tabs>
        <w:jc w:val="both"/>
        <w:rPr>
          <w:rtl/>
        </w:rPr>
      </w:pPr>
    </w:p>
    <w:p w:rsidR="00C044AE" w:rsidRDefault="00C044AE" w:rsidP="00C044AE">
      <w:pPr>
        <w:tabs>
          <w:tab w:val="left" w:pos="2552"/>
        </w:tabs>
        <w:jc w:val="both"/>
        <w:rPr>
          <w:rtl/>
        </w:rPr>
      </w:pPr>
    </w:p>
    <w:tbl>
      <w:tblPr>
        <w:bidiVisual/>
        <w:tblW w:w="8363"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5148"/>
      </w:tblGrid>
      <w:tr w:rsidR="00C044AE" w:rsidTr="004272F4">
        <w:tc>
          <w:tcPr>
            <w:tcW w:w="3215" w:type="dxa"/>
            <w:tcBorders>
              <w:top w:val="nil"/>
              <w:left w:val="nil"/>
              <w:bottom w:val="nil"/>
              <w:right w:val="nil"/>
            </w:tcBorders>
          </w:tcPr>
          <w:p w:rsidR="00C044AE" w:rsidRPr="007244C6" w:rsidRDefault="00C044AE" w:rsidP="004272F4">
            <w:pPr>
              <w:pStyle w:val="BodyRuller"/>
              <w:rPr>
                <w:rFonts w:ascii="David" w:hAnsi="David"/>
              </w:rPr>
            </w:pPr>
            <w:r>
              <w:rPr>
                <w:rFonts w:ascii="David" w:hAnsi="David" w:hint="cs"/>
                <w:rtl/>
              </w:rPr>
              <w:t xml:space="preserve">בשם </w:t>
            </w:r>
            <w:r>
              <w:rPr>
                <w:rFonts w:ascii="David" w:hAnsi="David"/>
                <w:rtl/>
              </w:rPr>
              <w:t>העותר</w:t>
            </w:r>
            <w:r>
              <w:rPr>
                <w:rFonts w:ascii="David" w:hAnsi="David" w:hint="cs"/>
                <w:rtl/>
              </w:rPr>
              <w:t>ים בבג"ץ 5663/23:</w:t>
            </w:r>
          </w:p>
        </w:tc>
        <w:tc>
          <w:tcPr>
            <w:tcW w:w="5148" w:type="dxa"/>
            <w:tcBorders>
              <w:top w:val="nil"/>
              <w:left w:val="nil"/>
              <w:bottom w:val="nil"/>
              <w:right w:val="nil"/>
            </w:tcBorders>
          </w:tcPr>
          <w:p w:rsidR="00C044AE" w:rsidRDefault="00C044AE" w:rsidP="004272F4">
            <w:pPr>
              <w:pStyle w:val="BodyRuller"/>
              <w:rPr>
                <w:rtl/>
              </w:rPr>
            </w:pPr>
          </w:p>
          <w:p w:rsidR="00C044AE" w:rsidRDefault="00C044AE" w:rsidP="00C72E17">
            <w:pPr>
              <w:pStyle w:val="BodyRuller"/>
              <w:jc w:val="both"/>
              <w:rPr>
                <w:rtl/>
              </w:rPr>
            </w:pPr>
            <w:r>
              <w:rPr>
                <w:rFonts w:hint="cs"/>
                <w:rtl/>
              </w:rPr>
              <w:t xml:space="preserve">עו"ד נדב ויסמן; עו"ד איסר בירגר; </w:t>
            </w:r>
          </w:p>
          <w:p w:rsidR="00C044AE" w:rsidRDefault="00C044AE" w:rsidP="00C72E17">
            <w:pPr>
              <w:pStyle w:val="BodyRuller"/>
              <w:jc w:val="both"/>
              <w:rPr>
                <w:rtl/>
              </w:rPr>
            </w:pPr>
            <w:r>
              <w:rPr>
                <w:rFonts w:hint="cs"/>
                <w:rtl/>
              </w:rPr>
              <w:t xml:space="preserve">עו"ד עידן לרון; עו"ד עדי קופל-אביב; </w:t>
            </w:r>
          </w:p>
          <w:p w:rsidR="00C044AE" w:rsidRDefault="00C044AE" w:rsidP="00C72E17">
            <w:pPr>
              <w:pStyle w:val="BodyRuller"/>
              <w:jc w:val="both"/>
            </w:pPr>
            <w:r>
              <w:rPr>
                <w:rFonts w:hint="cs"/>
                <w:rtl/>
              </w:rPr>
              <w:t xml:space="preserve">עו"ד אדם הירש  </w:t>
            </w:r>
          </w:p>
        </w:tc>
      </w:tr>
    </w:tbl>
    <w:p w:rsidR="00C044AE" w:rsidRPr="00500BCB" w:rsidRDefault="00C044AE" w:rsidP="00C044AE">
      <w:pPr>
        <w:tabs>
          <w:tab w:val="left" w:pos="2552"/>
        </w:tabs>
        <w:jc w:val="both"/>
        <w:rPr>
          <w:rtl/>
        </w:rPr>
      </w:pPr>
    </w:p>
    <w:p w:rsidR="00C044AE" w:rsidRDefault="00C044AE" w:rsidP="00C044AE">
      <w:pPr>
        <w:tabs>
          <w:tab w:val="left" w:pos="2552"/>
        </w:tabs>
        <w:jc w:val="both"/>
        <w:rPr>
          <w:rtl/>
        </w:rPr>
      </w:pPr>
    </w:p>
    <w:tbl>
      <w:tblPr>
        <w:bidiVisual/>
        <w:tblW w:w="8363"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5148"/>
      </w:tblGrid>
      <w:tr w:rsidR="00C044AE" w:rsidTr="004272F4">
        <w:tc>
          <w:tcPr>
            <w:tcW w:w="3215" w:type="dxa"/>
            <w:tcBorders>
              <w:top w:val="nil"/>
              <w:left w:val="nil"/>
              <w:bottom w:val="nil"/>
              <w:right w:val="nil"/>
            </w:tcBorders>
          </w:tcPr>
          <w:p w:rsidR="00C044AE" w:rsidRDefault="00C044AE" w:rsidP="004272F4">
            <w:pPr>
              <w:pStyle w:val="BodyRuller"/>
              <w:jc w:val="both"/>
              <w:rPr>
                <w:rFonts w:ascii="David" w:hAnsi="David"/>
                <w:rtl/>
              </w:rPr>
            </w:pPr>
            <w:r>
              <w:rPr>
                <w:rFonts w:ascii="David" w:hAnsi="David" w:hint="cs"/>
                <w:rtl/>
              </w:rPr>
              <w:t xml:space="preserve">בשם </w:t>
            </w:r>
            <w:r>
              <w:rPr>
                <w:rFonts w:ascii="David" w:hAnsi="David"/>
                <w:rtl/>
              </w:rPr>
              <w:t>העותר</w:t>
            </w:r>
            <w:r>
              <w:rPr>
                <w:rFonts w:ascii="David" w:hAnsi="David" w:hint="cs"/>
                <w:rtl/>
              </w:rPr>
              <w:t xml:space="preserve">ת </w:t>
            </w:r>
          </w:p>
          <w:p w:rsidR="00C044AE" w:rsidRDefault="00C044AE" w:rsidP="004272F4">
            <w:pPr>
              <w:pStyle w:val="BodyRuller"/>
              <w:jc w:val="both"/>
            </w:pPr>
            <w:r>
              <w:rPr>
                <w:rFonts w:ascii="David" w:hAnsi="David" w:hint="cs"/>
                <w:rtl/>
              </w:rPr>
              <w:t>בבג"ץ 5711/23:</w:t>
            </w:r>
          </w:p>
        </w:tc>
        <w:tc>
          <w:tcPr>
            <w:tcW w:w="5148" w:type="dxa"/>
            <w:tcBorders>
              <w:top w:val="nil"/>
              <w:left w:val="nil"/>
              <w:bottom w:val="nil"/>
              <w:right w:val="nil"/>
            </w:tcBorders>
          </w:tcPr>
          <w:p w:rsidR="00C044AE" w:rsidRDefault="00C044AE" w:rsidP="004272F4">
            <w:pPr>
              <w:pStyle w:val="BodyRuller"/>
              <w:jc w:val="both"/>
              <w:rPr>
                <w:rtl/>
              </w:rPr>
            </w:pPr>
          </w:p>
          <w:p w:rsidR="00C044AE" w:rsidRDefault="00C044AE" w:rsidP="004272F4">
            <w:pPr>
              <w:pStyle w:val="BodyRuller"/>
              <w:jc w:val="both"/>
              <w:rPr>
                <w:rtl/>
              </w:rPr>
            </w:pPr>
            <w:r>
              <w:rPr>
                <w:rFonts w:hint="cs"/>
                <w:rtl/>
              </w:rPr>
              <w:t xml:space="preserve">עו"ד יצחק מינא; עו"ד רונית וולף; </w:t>
            </w:r>
          </w:p>
          <w:p w:rsidR="00C044AE" w:rsidRDefault="00C044AE" w:rsidP="004272F4">
            <w:pPr>
              <w:pStyle w:val="BodyRuller"/>
              <w:jc w:val="both"/>
            </w:pPr>
            <w:r>
              <w:rPr>
                <w:rFonts w:hint="cs"/>
                <w:rtl/>
              </w:rPr>
              <w:t xml:space="preserve">עו"ד חנוך קינן </w:t>
            </w:r>
          </w:p>
        </w:tc>
      </w:tr>
    </w:tbl>
    <w:p w:rsidR="00C044AE" w:rsidRDefault="00C044AE" w:rsidP="00C044AE">
      <w:pPr>
        <w:tabs>
          <w:tab w:val="left" w:pos="2552"/>
        </w:tabs>
        <w:jc w:val="both"/>
        <w:rPr>
          <w:rtl/>
        </w:rPr>
      </w:pPr>
    </w:p>
    <w:p w:rsidR="00C044AE" w:rsidRDefault="00C044AE" w:rsidP="00C044AE">
      <w:pPr>
        <w:tabs>
          <w:tab w:val="left" w:pos="2552"/>
        </w:tabs>
        <w:jc w:val="both"/>
        <w:rPr>
          <w:rtl/>
        </w:rPr>
      </w:pPr>
    </w:p>
    <w:tbl>
      <w:tblPr>
        <w:bidiVisual/>
        <w:tblW w:w="8363"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5148"/>
      </w:tblGrid>
      <w:tr w:rsidR="00C044AE" w:rsidTr="004272F4">
        <w:tc>
          <w:tcPr>
            <w:tcW w:w="3215" w:type="dxa"/>
            <w:tcBorders>
              <w:top w:val="nil"/>
              <w:left w:val="nil"/>
              <w:bottom w:val="nil"/>
              <w:right w:val="nil"/>
            </w:tcBorders>
          </w:tcPr>
          <w:p w:rsidR="00C044AE" w:rsidRDefault="00C044AE" w:rsidP="004272F4">
            <w:pPr>
              <w:pStyle w:val="BodyRuller"/>
              <w:jc w:val="both"/>
              <w:rPr>
                <w:rFonts w:ascii="David" w:hAnsi="David"/>
                <w:rtl/>
              </w:rPr>
            </w:pPr>
            <w:r>
              <w:rPr>
                <w:rFonts w:ascii="David" w:hAnsi="David" w:hint="cs"/>
                <w:rtl/>
              </w:rPr>
              <w:t xml:space="preserve">בשם </w:t>
            </w:r>
            <w:r>
              <w:rPr>
                <w:rFonts w:ascii="David" w:hAnsi="David"/>
                <w:rtl/>
              </w:rPr>
              <w:t>העותר</w:t>
            </w:r>
            <w:r>
              <w:rPr>
                <w:rFonts w:ascii="David" w:hAnsi="David" w:hint="cs"/>
                <w:rtl/>
              </w:rPr>
              <w:t xml:space="preserve"> </w:t>
            </w:r>
          </w:p>
          <w:p w:rsidR="00C044AE" w:rsidRDefault="00C044AE" w:rsidP="004272F4">
            <w:pPr>
              <w:pStyle w:val="BodyRuller"/>
              <w:jc w:val="both"/>
            </w:pPr>
            <w:r>
              <w:rPr>
                <w:rFonts w:ascii="David" w:hAnsi="David" w:hint="cs"/>
                <w:rtl/>
              </w:rPr>
              <w:t>בבג"ץ 5769/23:</w:t>
            </w:r>
          </w:p>
        </w:tc>
        <w:tc>
          <w:tcPr>
            <w:tcW w:w="5148" w:type="dxa"/>
            <w:tcBorders>
              <w:top w:val="nil"/>
              <w:left w:val="nil"/>
              <w:bottom w:val="nil"/>
              <w:right w:val="nil"/>
            </w:tcBorders>
          </w:tcPr>
          <w:p w:rsidR="00C044AE" w:rsidRDefault="00C044AE" w:rsidP="004272F4">
            <w:pPr>
              <w:pStyle w:val="BodyRuller"/>
              <w:jc w:val="both"/>
              <w:rPr>
                <w:rtl/>
              </w:rPr>
            </w:pPr>
          </w:p>
          <w:p w:rsidR="00C044AE" w:rsidRDefault="00C044AE" w:rsidP="004272F4">
            <w:pPr>
              <w:pStyle w:val="BodyRuller"/>
              <w:jc w:val="both"/>
            </w:pPr>
            <w:r>
              <w:rPr>
                <w:rFonts w:hint="cs"/>
                <w:rtl/>
              </w:rPr>
              <w:t xml:space="preserve">עו"ד עודד סבוראי; עו"ד סיון האוזמן </w:t>
            </w:r>
          </w:p>
        </w:tc>
      </w:tr>
    </w:tbl>
    <w:p w:rsidR="00C044AE" w:rsidRPr="004D0792" w:rsidRDefault="00C044AE" w:rsidP="00C044AE">
      <w:pPr>
        <w:tabs>
          <w:tab w:val="left" w:pos="2552"/>
        </w:tabs>
        <w:jc w:val="both"/>
        <w:rPr>
          <w:rtl/>
        </w:rPr>
      </w:pPr>
    </w:p>
    <w:p w:rsidR="00C044AE" w:rsidRDefault="00C044AE" w:rsidP="00C044AE">
      <w:pPr>
        <w:tabs>
          <w:tab w:val="left" w:pos="2552"/>
        </w:tabs>
        <w:jc w:val="both"/>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jc w:val="both"/>
              <w:rPr>
                <w:rFonts w:ascii="David" w:hAnsi="David"/>
              </w:rPr>
            </w:pPr>
            <w:r w:rsidRPr="00527E3C">
              <w:rPr>
                <w:rFonts w:ascii="David" w:hAnsi="David"/>
                <w:rtl/>
              </w:rPr>
              <w:t xml:space="preserve">בשם </w:t>
            </w:r>
            <w:r>
              <w:rPr>
                <w:rFonts w:ascii="David" w:hAnsi="David"/>
                <w:rtl/>
              </w:rPr>
              <w:t>המשיבות</w:t>
            </w:r>
            <w:r w:rsidRPr="00527E3C">
              <w:rPr>
                <w:rFonts w:ascii="David" w:hAnsi="David"/>
                <w:rtl/>
              </w:rPr>
              <w:t xml:space="preserve"> 2-1 בבג"ץ 5658/23:</w:t>
            </w:r>
          </w:p>
        </w:tc>
        <w:tc>
          <w:tcPr>
            <w:tcW w:w="5239" w:type="dxa"/>
          </w:tcPr>
          <w:p w:rsidR="00C044AE" w:rsidRDefault="00C044AE" w:rsidP="004272F4">
            <w:pPr>
              <w:pStyle w:val="BodyRuller"/>
              <w:jc w:val="both"/>
              <w:rPr>
                <w:rtl/>
              </w:rPr>
            </w:pPr>
          </w:p>
          <w:p w:rsidR="00C044AE" w:rsidRDefault="00C044AE" w:rsidP="004272F4">
            <w:pPr>
              <w:pStyle w:val="BodyRuller"/>
              <w:jc w:val="both"/>
            </w:pPr>
            <w:r>
              <w:rPr>
                <w:rFonts w:hint="cs"/>
                <w:rtl/>
              </w:rPr>
              <w:t xml:space="preserve">עו"ד יצחק ברט </w:t>
            </w:r>
          </w:p>
        </w:tc>
      </w:tr>
    </w:tbl>
    <w:p w:rsidR="00C044AE" w:rsidRDefault="00C044AE" w:rsidP="00C044AE">
      <w:pPr>
        <w:tabs>
          <w:tab w:val="left" w:pos="2552"/>
        </w:tabs>
        <w:jc w:val="both"/>
        <w:rPr>
          <w:rtl/>
        </w:rPr>
      </w:pPr>
    </w:p>
    <w:p w:rsidR="00C044AE" w:rsidRDefault="00C044AE" w:rsidP="00C044AE">
      <w:pPr>
        <w:tabs>
          <w:tab w:val="left" w:pos="2552"/>
        </w:tabs>
        <w:jc w:val="both"/>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rPr>
                <w:rFonts w:ascii="David" w:hAnsi="David"/>
              </w:rPr>
            </w:pPr>
            <w:r>
              <w:rPr>
                <w:rFonts w:ascii="David" w:hAnsi="David" w:hint="cs"/>
                <w:rtl/>
              </w:rPr>
              <w:t xml:space="preserve">בשם </w:t>
            </w:r>
            <w:r>
              <w:rPr>
                <w:rFonts w:ascii="David" w:hAnsi="David"/>
                <w:rtl/>
              </w:rPr>
              <w:t>המשיב</w:t>
            </w:r>
            <w:r>
              <w:rPr>
                <w:rFonts w:ascii="David" w:hAnsi="David" w:hint="cs"/>
                <w:rtl/>
              </w:rPr>
              <w:t xml:space="preserve"> 2 בבג"ץ 5659/23</w:t>
            </w:r>
            <w:r>
              <w:rPr>
                <w:rFonts w:ascii="David" w:hAnsi="David"/>
                <w:rtl/>
              </w:rPr>
              <w:t>:</w:t>
            </w:r>
          </w:p>
        </w:tc>
        <w:tc>
          <w:tcPr>
            <w:tcW w:w="5239" w:type="dxa"/>
          </w:tcPr>
          <w:p w:rsidR="00C044AE" w:rsidRDefault="00C044AE" w:rsidP="004272F4">
            <w:pPr>
              <w:pStyle w:val="BodyRuller"/>
              <w:jc w:val="both"/>
              <w:rPr>
                <w:rtl/>
              </w:rPr>
            </w:pPr>
          </w:p>
          <w:p w:rsidR="00C044AE" w:rsidRDefault="00C044AE" w:rsidP="004272F4">
            <w:pPr>
              <w:pStyle w:val="BodyRuller"/>
              <w:jc w:val="both"/>
            </w:pPr>
            <w:r>
              <w:rPr>
                <w:rFonts w:hint="cs"/>
                <w:rtl/>
              </w:rPr>
              <w:t>בעצמו; עו"ד אבי סגל; עו"ד יעל סינמון</w:t>
            </w:r>
          </w:p>
        </w:tc>
      </w:tr>
    </w:tbl>
    <w:p w:rsidR="00C044AE" w:rsidRDefault="00C044AE" w:rsidP="00C044AE">
      <w:pPr>
        <w:tabs>
          <w:tab w:val="left" w:pos="2552"/>
        </w:tabs>
        <w:jc w:val="both"/>
        <w:rPr>
          <w:rtl/>
        </w:rPr>
      </w:pPr>
    </w:p>
    <w:p w:rsidR="00C044AE" w:rsidRDefault="00C044AE" w:rsidP="00C044AE">
      <w:pPr>
        <w:tabs>
          <w:tab w:val="left" w:pos="2552"/>
        </w:tabs>
        <w:jc w:val="both"/>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rPr>
                <w:rFonts w:ascii="David" w:hAnsi="David"/>
              </w:rPr>
            </w:pPr>
            <w:r w:rsidRPr="00527E3C">
              <w:rPr>
                <w:rFonts w:ascii="David" w:hAnsi="David"/>
                <w:rtl/>
              </w:rPr>
              <w:t>בשם המשיבה 3 בבג"ץ 5658/23; המשיב 2 בבג"ץ 5662/23; והמשיב 1 בבג"ץ 5769:</w:t>
            </w:r>
          </w:p>
        </w:tc>
        <w:tc>
          <w:tcPr>
            <w:tcW w:w="5239" w:type="dxa"/>
          </w:tcPr>
          <w:p w:rsidR="00C044AE" w:rsidRDefault="00C044AE" w:rsidP="004272F4">
            <w:pPr>
              <w:pStyle w:val="BodyRuller"/>
              <w:jc w:val="both"/>
              <w:rPr>
                <w:rtl/>
              </w:rPr>
            </w:pPr>
          </w:p>
          <w:p w:rsidR="00C044AE" w:rsidRDefault="00C044AE" w:rsidP="004272F4">
            <w:pPr>
              <w:pStyle w:val="BodyRuller"/>
              <w:jc w:val="both"/>
              <w:rPr>
                <w:rtl/>
              </w:rPr>
            </w:pPr>
          </w:p>
          <w:p w:rsidR="00C044AE" w:rsidRDefault="00C044AE" w:rsidP="004272F4">
            <w:pPr>
              <w:pStyle w:val="BodyRuller"/>
              <w:jc w:val="both"/>
              <w:rPr>
                <w:rtl/>
              </w:rPr>
            </w:pPr>
          </w:p>
          <w:p w:rsidR="00C044AE" w:rsidRDefault="00C044AE" w:rsidP="004272F4">
            <w:pPr>
              <w:pStyle w:val="BodyRuller"/>
              <w:jc w:val="both"/>
            </w:pPr>
            <w:r>
              <w:rPr>
                <w:rFonts w:hint="cs"/>
                <w:rtl/>
              </w:rPr>
              <w:t>עו"ד אילן בומבך; עו"ד שי לוי; עו"ד מירי בומבך</w:t>
            </w:r>
          </w:p>
        </w:tc>
      </w:tr>
    </w:tbl>
    <w:p w:rsidR="00C044AE" w:rsidRDefault="00C044AE" w:rsidP="00C044AE">
      <w:pPr>
        <w:tabs>
          <w:tab w:val="left" w:pos="2552"/>
        </w:tabs>
        <w:jc w:val="both"/>
        <w:rPr>
          <w:rtl/>
        </w:rPr>
      </w:pPr>
    </w:p>
    <w:p w:rsidR="00C044AE" w:rsidRDefault="00C044AE" w:rsidP="00C044AE">
      <w:pPr>
        <w:tabs>
          <w:tab w:val="left" w:pos="2552"/>
        </w:tabs>
        <w:jc w:val="both"/>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jc w:val="both"/>
              <w:rPr>
                <w:rFonts w:ascii="David" w:hAnsi="David"/>
              </w:rPr>
            </w:pPr>
            <w:r>
              <w:rPr>
                <w:rFonts w:ascii="David" w:hAnsi="David" w:hint="cs"/>
                <w:rtl/>
              </w:rPr>
              <w:t xml:space="preserve">בשם </w:t>
            </w:r>
            <w:r>
              <w:rPr>
                <w:rFonts w:ascii="David" w:hAnsi="David"/>
                <w:rtl/>
              </w:rPr>
              <w:t>המשיב</w:t>
            </w:r>
            <w:r>
              <w:rPr>
                <w:rFonts w:ascii="David" w:hAnsi="David" w:hint="cs"/>
                <w:rtl/>
              </w:rPr>
              <w:t>ה 4 בבג"ץ 5658/23</w:t>
            </w:r>
            <w:r>
              <w:rPr>
                <w:rFonts w:ascii="David" w:hAnsi="David"/>
                <w:rtl/>
              </w:rPr>
              <w:t>:</w:t>
            </w:r>
          </w:p>
        </w:tc>
        <w:tc>
          <w:tcPr>
            <w:tcW w:w="5239" w:type="dxa"/>
          </w:tcPr>
          <w:p w:rsidR="00C044AE" w:rsidRDefault="00C044AE" w:rsidP="004272F4">
            <w:pPr>
              <w:pStyle w:val="BodyRuller"/>
              <w:jc w:val="both"/>
              <w:rPr>
                <w:rtl/>
              </w:rPr>
            </w:pPr>
          </w:p>
          <w:p w:rsidR="00C044AE" w:rsidRDefault="00C044AE" w:rsidP="004272F4">
            <w:pPr>
              <w:pStyle w:val="BodyRuller"/>
              <w:jc w:val="both"/>
            </w:pPr>
            <w:r>
              <w:rPr>
                <w:rFonts w:hint="cs"/>
                <w:rtl/>
              </w:rPr>
              <w:t xml:space="preserve">עו"ד ענר הלמן; עו"ד נטע אורן; עו"ד יונתן ברמן; עו"ד שרון אבירם </w:t>
            </w:r>
          </w:p>
        </w:tc>
      </w:tr>
    </w:tbl>
    <w:p w:rsidR="00C044AE" w:rsidRDefault="00C044AE" w:rsidP="00C044AE">
      <w:pPr>
        <w:tabs>
          <w:tab w:val="left" w:pos="2552"/>
        </w:tabs>
        <w:jc w:val="both"/>
        <w:rPr>
          <w:rtl/>
        </w:rPr>
      </w:pPr>
    </w:p>
    <w:p w:rsidR="00C044AE" w:rsidRDefault="00C044AE" w:rsidP="00C044AE">
      <w:pPr>
        <w:tabs>
          <w:tab w:val="left" w:pos="2552"/>
        </w:tabs>
        <w:jc w:val="both"/>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10" w:type="dxa"/>
          </w:tcPr>
          <w:p w:rsidR="00C044AE" w:rsidRPr="00394BD9" w:rsidRDefault="00C044AE" w:rsidP="004272F4">
            <w:pPr>
              <w:pStyle w:val="BodyRuller"/>
              <w:jc w:val="both"/>
              <w:rPr>
                <w:rFonts w:ascii="David" w:hAnsi="David"/>
              </w:rPr>
            </w:pPr>
            <w:r>
              <w:rPr>
                <w:rFonts w:ascii="David" w:hAnsi="David" w:hint="cs"/>
                <w:rtl/>
              </w:rPr>
              <w:t xml:space="preserve">בשם ידידי </w:t>
            </w:r>
            <w:r w:rsidRPr="00394BD9">
              <w:rPr>
                <w:rFonts w:ascii="David" w:hAnsi="David" w:hint="cs"/>
                <w:rtl/>
              </w:rPr>
              <w:t>בית המשפט</w:t>
            </w:r>
            <w:r>
              <w:rPr>
                <w:rFonts w:ascii="David" w:hAnsi="David" w:hint="cs"/>
                <w:rtl/>
              </w:rPr>
              <w:t xml:space="preserve"> 1</w:t>
            </w:r>
            <w:r w:rsidRPr="00394BD9">
              <w:rPr>
                <w:rFonts w:ascii="David" w:hAnsi="David"/>
                <w:rtl/>
              </w:rPr>
              <w:t>:</w:t>
            </w:r>
          </w:p>
        </w:tc>
        <w:tc>
          <w:tcPr>
            <w:tcW w:w="5154" w:type="dxa"/>
          </w:tcPr>
          <w:p w:rsidR="00C044AE" w:rsidRPr="00394BD9" w:rsidRDefault="00C044AE" w:rsidP="004272F4">
            <w:pPr>
              <w:pStyle w:val="BodyRuller"/>
              <w:jc w:val="both"/>
            </w:pPr>
            <w:r>
              <w:rPr>
                <w:rFonts w:hint="cs"/>
                <w:rtl/>
              </w:rPr>
              <w:t xml:space="preserve">עו"ד גיל גן-מור; עו"ד עודד פלר; </w:t>
            </w:r>
            <w:r>
              <w:rPr>
                <w:rtl/>
              </w:rPr>
              <w:t>עו"ד טל חסין; עו"ד הגר שחטר</w:t>
            </w:r>
          </w:p>
        </w:tc>
      </w:tr>
    </w:tbl>
    <w:p w:rsidR="00C044AE" w:rsidRPr="008904F8" w:rsidRDefault="00C044AE" w:rsidP="00C044AE">
      <w:pPr>
        <w:tabs>
          <w:tab w:val="left" w:pos="2552"/>
        </w:tabs>
        <w:jc w:val="both"/>
        <w:rPr>
          <w:rtl/>
        </w:rPr>
      </w:pPr>
    </w:p>
    <w:p w:rsidR="00C044AE" w:rsidRDefault="00C044AE" w:rsidP="00C044AE">
      <w:pPr>
        <w:tabs>
          <w:tab w:val="left" w:pos="2552"/>
        </w:tabs>
        <w:jc w:val="both"/>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405"/>
        </w:trPr>
        <w:tc>
          <w:tcPr>
            <w:tcW w:w="3210" w:type="dxa"/>
          </w:tcPr>
          <w:p w:rsidR="00C044AE" w:rsidRPr="00394BD9" w:rsidRDefault="00C044AE" w:rsidP="004272F4">
            <w:pPr>
              <w:pStyle w:val="BodyRuller"/>
              <w:jc w:val="both"/>
              <w:rPr>
                <w:rFonts w:ascii="David" w:hAnsi="David"/>
              </w:rPr>
            </w:pPr>
            <w:r>
              <w:rPr>
                <w:rFonts w:ascii="David" w:hAnsi="David" w:hint="cs"/>
                <w:rtl/>
              </w:rPr>
              <w:t xml:space="preserve">בשם ידידת </w:t>
            </w:r>
            <w:r w:rsidRPr="00394BD9">
              <w:rPr>
                <w:rFonts w:ascii="David" w:hAnsi="David" w:hint="cs"/>
                <w:rtl/>
              </w:rPr>
              <w:t>בית המשפט</w:t>
            </w:r>
            <w:r>
              <w:rPr>
                <w:rFonts w:ascii="David" w:hAnsi="David" w:hint="cs"/>
                <w:rtl/>
              </w:rPr>
              <w:t xml:space="preserve"> 2</w:t>
            </w:r>
            <w:r w:rsidRPr="00394BD9">
              <w:rPr>
                <w:rFonts w:ascii="David" w:hAnsi="David"/>
                <w:rtl/>
              </w:rPr>
              <w:t>:</w:t>
            </w:r>
          </w:p>
        </w:tc>
        <w:tc>
          <w:tcPr>
            <w:tcW w:w="5154" w:type="dxa"/>
          </w:tcPr>
          <w:p w:rsidR="00C044AE" w:rsidRPr="00394BD9" w:rsidRDefault="00C044AE" w:rsidP="004272F4">
            <w:pPr>
              <w:pStyle w:val="BodyRuller"/>
              <w:jc w:val="both"/>
            </w:pPr>
            <w:r>
              <w:rPr>
                <w:rFonts w:hint="cs"/>
                <w:rtl/>
              </w:rPr>
              <w:t>עו"ד אלי בן ארי; עו"ד בר רוזוב</w:t>
            </w:r>
          </w:p>
        </w:tc>
      </w:tr>
    </w:tbl>
    <w:p w:rsidR="00C044AE" w:rsidRDefault="00C044AE" w:rsidP="00C044AE">
      <w:pPr>
        <w:tabs>
          <w:tab w:val="left" w:pos="2552"/>
        </w:tabs>
        <w:rPr>
          <w:rtl/>
        </w:rPr>
      </w:pPr>
    </w:p>
    <w:p w:rsidR="00C044AE" w:rsidRPr="00607012" w:rsidRDefault="00C044AE" w:rsidP="00C044AE">
      <w:pPr>
        <w:tabs>
          <w:tab w:val="left" w:pos="2552"/>
        </w:tabs>
      </w:pPr>
    </w:p>
    <w:tbl>
      <w:tblPr>
        <w:bidiVisual/>
        <w:tblW w:w="8363" w:type="dxa"/>
        <w:tblLook w:val="0000" w:firstRow="0" w:lastRow="0" w:firstColumn="0" w:lastColumn="0" w:noHBand="0" w:noVBand="0"/>
      </w:tblPr>
      <w:tblGrid>
        <w:gridCol w:w="8363"/>
      </w:tblGrid>
      <w:tr w:rsidR="00C044AE" w:rsidTr="004272F4">
        <w:tc>
          <w:tcPr>
            <w:tcW w:w="9837" w:type="dxa"/>
          </w:tcPr>
          <w:p w:rsidR="00C044AE" w:rsidRDefault="00C044AE" w:rsidP="004272F4">
            <w:pPr>
              <w:pStyle w:val="DocumentHead"/>
            </w:pPr>
            <w:bookmarkStart w:id="1" w:name="secretary"/>
            <w:bookmarkStart w:id="2" w:name="BeginProtocol"/>
            <w:bookmarkEnd w:id="1"/>
            <w:bookmarkEnd w:id="2"/>
            <w:r>
              <w:rPr>
                <w:rtl/>
              </w:rPr>
              <w:t>פסק-דין</w:t>
            </w:r>
          </w:p>
        </w:tc>
      </w:tr>
    </w:tbl>
    <w:p w:rsidR="00C044AE" w:rsidRDefault="00C044AE" w:rsidP="00C044AE">
      <w:pPr>
        <w:pStyle w:val="BODYVERDICT"/>
      </w:pPr>
    </w:p>
    <w:p w:rsidR="00C044AE" w:rsidRDefault="00C044AE" w:rsidP="003B4CBD">
      <w:pPr>
        <w:pStyle w:val="BODYVERDICT"/>
        <w:outlineLvl w:val="0"/>
        <w:rPr>
          <w:rFonts w:cs="Miriam"/>
          <w:sz w:val="24"/>
          <w:szCs w:val="24"/>
          <w:u w:val="single"/>
          <w:rtl/>
        </w:rPr>
      </w:pPr>
      <w:r w:rsidRPr="00BA0A14">
        <w:rPr>
          <w:rFonts w:cs="Miriam"/>
          <w:sz w:val="24"/>
          <w:szCs w:val="24"/>
          <w:u w:val="single"/>
          <w:rtl/>
        </w:rPr>
        <w:t>הנשיאה</w:t>
      </w:r>
      <w:r w:rsidRPr="00BA0A14">
        <w:rPr>
          <w:rFonts w:cs="Miriam" w:hint="cs"/>
          <w:sz w:val="24"/>
          <w:szCs w:val="24"/>
          <w:u w:val="single"/>
          <w:rtl/>
        </w:rPr>
        <w:t xml:space="preserve"> (בדימ')</w:t>
      </w:r>
      <w:r w:rsidRPr="00BA0A14">
        <w:rPr>
          <w:rFonts w:cs="Miriam"/>
          <w:sz w:val="24"/>
          <w:szCs w:val="24"/>
          <w:u w:val="single"/>
          <w:rtl/>
        </w:rPr>
        <w:t xml:space="preserve"> א' חיות</w:t>
      </w:r>
      <w:r w:rsidRPr="00A7762C">
        <w:rPr>
          <w:rFonts w:cs="Miriam"/>
          <w:sz w:val="24"/>
          <w:szCs w:val="24"/>
          <w:rtl/>
        </w:rPr>
        <w:t>:</w:t>
      </w:r>
    </w:p>
    <w:p w:rsidR="00BA0A14" w:rsidRDefault="00BA0A14" w:rsidP="00C044AE">
      <w:pPr>
        <w:pStyle w:val="Ruller41"/>
        <w:rPr>
          <w:rtl/>
        </w:rPr>
      </w:pPr>
    </w:p>
    <w:p w:rsidR="00C044AE" w:rsidRDefault="00C044AE" w:rsidP="00C044AE">
      <w:pPr>
        <w:pStyle w:val="Ruller4"/>
        <w:rPr>
          <w:rtl/>
        </w:rPr>
      </w:pPr>
      <w:r>
        <w:rPr>
          <w:rFonts w:hint="cs"/>
          <w:rtl/>
        </w:rPr>
        <w:t>בתי המשפט מקיימים מאז קום המדינה</w:t>
      </w:r>
      <w:r w:rsidRPr="00C033B0">
        <w:rPr>
          <w:rFonts w:hint="cs"/>
          <w:rtl/>
        </w:rPr>
        <w:t xml:space="preserve"> ביקורת שיפוטית</w:t>
      </w:r>
      <w:r>
        <w:rPr>
          <w:rFonts w:hint="cs"/>
          <w:rtl/>
        </w:rPr>
        <w:t xml:space="preserve"> </w:t>
      </w:r>
      <w:r w:rsidRPr="004F2F66">
        <w:rPr>
          <w:rFonts w:ascii="Century" w:hAnsi="Century" w:cs="Miriam" w:hint="cs"/>
          <w:b/>
          <w:spacing w:val="0"/>
          <w:sz w:val="22"/>
          <w:szCs w:val="24"/>
          <w:rtl/>
        </w:rPr>
        <w:t>על כל גופי הרשות המבצעת</w:t>
      </w:r>
      <w:r>
        <w:rPr>
          <w:rFonts w:hint="cs"/>
          <w:rtl/>
        </w:rPr>
        <w:t>,</w:t>
      </w:r>
      <w:r w:rsidRPr="004F2F66">
        <w:rPr>
          <w:rFonts w:hint="cs"/>
          <w:rtl/>
        </w:rPr>
        <w:t xml:space="preserve"> </w:t>
      </w:r>
      <w:r>
        <w:rPr>
          <w:rFonts w:hint="cs"/>
          <w:rtl/>
        </w:rPr>
        <w:t xml:space="preserve">ללא יוצא מן הכלל, לפי </w:t>
      </w:r>
      <w:r w:rsidRPr="00C033B0">
        <w:rPr>
          <w:rFonts w:hint="cs"/>
          <w:rtl/>
        </w:rPr>
        <w:t>עילות הביק</w:t>
      </w:r>
      <w:r>
        <w:rPr>
          <w:rFonts w:hint="cs"/>
          <w:rtl/>
        </w:rPr>
        <w:t>ורת המינהליות שהתפתחו בפסיקה במרוצת השנים</w:t>
      </w:r>
      <w:r w:rsidRPr="00C033B0">
        <w:rPr>
          <w:rFonts w:hint="cs"/>
          <w:rtl/>
        </w:rPr>
        <w:t xml:space="preserve">. ביום 24.7.2023 </w:t>
      </w:r>
      <w:r>
        <w:rPr>
          <w:rFonts w:hint="cs"/>
          <w:rtl/>
        </w:rPr>
        <w:t>נפל דבר במשפט הישראלי</w:t>
      </w:r>
      <w:r w:rsidRPr="00C033B0">
        <w:rPr>
          <w:rFonts w:hint="cs"/>
          <w:rtl/>
        </w:rPr>
        <w:t>. ביום זה</w:t>
      </w:r>
      <w:r>
        <w:rPr>
          <w:rFonts w:hint="cs"/>
          <w:rtl/>
        </w:rPr>
        <w:t xml:space="preserve"> אישרה מליאת הכנסת בקריאה שנייה ושלישית את חוק-יסוד: השפיטה (תיקון מס' 3) (להלן בהתאמה: </w:t>
      </w:r>
      <w:r>
        <w:rPr>
          <w:rFonts w:ascii="Century" w:hAnsi="Century" w:cs="Miriam" w:hint="cs"/>
          <w:b/>
          <w:spacing w:val="0"/>
          <w:sz w:val="22"/>
          <w:szCs w:val="24"/>
          <w:rtl/>
        </w:rPr>
        <w:t xml:space="preserve">חוק היסוד </w:t>
      </w:r>
      <w:r w:rsidRPr="00F162C6">
        <w:rPr>
          <w:rFonts w:hint="cs"/>
          <w:rtl/>
        </w:rPr>
        <w:t>ו-</w:t>
      </w:r>
      <w:r>
        <w:rPr>
          <w:rFonts w:ascii="Century" w:hAnsi="Century" w:cs="Miriam" w:hint="cs"/>
          <w:b/>
          <w:spacing w:val="0"/>
          <w:sz w:val="22"/>
          <w:szCs w:val="24"/>
          <w:rtl/>
        </w:rPr>
        <w:t>התיקון</w:t>
      </w:r>
      <w:r>
        <w:rPr>
          <w:rFonts w:hint="cs"/>
          <w:rtl/>
        </w:rPr>
        <w:t xml:space="preserve">), לפיו התווסף לחוק היסוד סעיף 15(ד1) הקובע כך: </w:t>
      </w:r>
    </w:p>
    <w:p w:rsidR="00C044AE" w:rsidRDefault="00C044AE" w:rsidP="00C044AE">
      <w:pPr>
        <w:pStyle w:val="Ruller41"/>
        <w:rPr>
          <w:rtl/>
        </w:rPr>
      </w:pPr>
    </w:p>
    <w:p w:rsidR="00C044AE" w:rsidRDefault="00C044AE" w:rsidP="00C044AE">
      <w:pPr>
        <w:pStyle w:val="Ruller5"/>
        <w:rPr>
          <w:rtl/>
        </w:rPr>
      </w:pPr>
      <w:r>
        <w:rPr>
          <w:rFonts w:hint="cs"/>
          <w:rtl/>
        </w:rPr>
        <w:t>"</w:t>
      </w:r>
      <w:r>
        <w:rPr>
          <w:rtl/>
        </w:rPr>
        <w:t>על אף האמור בחוק-יסוד זה, מי שבידו סמכות שפיטה על פי דין, לרבות בית המשפט העליון בשבתו כבית משפט גבוה לצדק, לא ידון בעניין סבירות ההחלטה של הממשלה, של ראש הממשלה או של שר אחר, ולא ייתן צו בעניין כאמור; בסעיף זה</w:t>
      </w:r>
      <w:r>
        <w:rPr>
          <w:rFonts w:hint="cs"/>
          <w:rtl/>
        </w:rPr>
        <w:t xml:space="preserve">, 'החלטה' </w:t>
      </w:r>
      <w:r>
        <w:rPr>
          <w:rtl/>
        </w:rPr>
        <w:t>–</w:t>
      </w:r>
      <w:r>
        <w:rPr>
          <w:rFonts w:hint="cs"/>
          <w:rtl/>
        </w:rPr>
        <w:t xml:space="preserve"> </w:t>
      </w:r>
      <w:r>
        <w:rPr>
          <w:rtl/>
        </w:rPr>
        <w:t>כל החלטה, לרבות בענייני מינויים או החלטה להימנע מהפעלת כל סמכות</w:t>
      </w:r>
      <w:r>
        <w:rPr>
          <w:rFonts w:hint="cs"/>
          <w:rtl/>
        </w:rPr>
        <w:t>".</w:t>
      </w:r>
    </w:p>
    <w:p w:rsidR="00C044AE" w:rsidRDefault="00C044AE" w:rsidP="00C044AE">
      <w:pPr>
        <w:pStyle w:val="Ruller5"/>
        <w:rPr>
          <w:rtl/>
        </w:rPr>
      </w:pPr>
    </w:p>
    <w:p w:rsidR="00C044AE" w:rsidRPr="006D7CF9" w:rsidRDefault="00C044AE" w:rsidP="00C044AE">
      <w:pPr>
        <w:pStyle w:val="Ruller4"/>
        <w:numPr>
          <w:ilvl w:val="0"/>
          <w:numId w:val="0"/>
        </w:numPr>
      </w:pPr>
      <w:r>
        <w:rPr>
          <w:rtl/>
        </w:rPr>
        <w:tab/>
      </w:r>
      <w:r>
        <w:rPr>
          <w:rFonts w:hint="cs"/>
          <w:rtl/>
        </w:rPr>
        <w:t xml:space="preserve">במילים אחרות, התיקון קובע כי בתי המשפט </w:t>
      </w:r>
      <w:r>
        <w:rPr>
          <w:rtl/>
        </w:rPr>
        <w:t>–</w:t>
      </w:r>
      <w:r>
        <w:rPr>
          <w:rFonts w:hint="cs"/>
          <w:rtl/>
        </w:rPr>
        <w:t xml:space="preserve"> ובכללם בית </w:t>
      </w:r>
      <w:r w:rsidR="00DA12FA">
        <w:rPr>
          <w:rFonts w:hint="cs"/>
          <w:rtl/>
        </w:rPr>
        <w:t>ה</w:t>
      </w:r>
      <w:r>
        <w:rPr>
          <w:rFonts w:hint="cs"/>
          <w:rtl/>
        </w:rPr>
        <w:t xml:space="preserve">משפט העליון בשבתו כבית משפט גבוה לצדק </w:t>
      </w:r>
      <w:r>
        <w:rPr>
          <w:rtl/>
        </w:rPr>
        <w:t>–</w:t>
      </w:r>
      <w:r>
        <w:rPr>
          <w:rFonts w:hint="cs"/>
          <w:rtl/>
        </w:rPr>
        <w:t xml:space="preserve"> אינם מוסמכים עוד לקיים ביקורת שיפוטית על סבירות החלטות הממשלה, ראש הממשלה והשרים. </w:t>
      </w:r>
    </w:p>
    <w:p w:rsidR="00C044AE" w:rsidRPr="0009484D" w:rsidRDefault="00C044AE" w:rsidP="00C044AE">
      <w:pPr>
        <w:pStyle w:val="Ruller41"/>
        <w:rPr>
          <w:rtl/>
        </w:rPr>
      </w:pPr>
    </w:p>
    <w:p w:rsidR="00C044AE" w:rsidRDefault="00C044AE" w:rsidP="00C044AE">
      <w:pPr>
        <w:pStyle w:val="Ruller4"/>
        <w:rPr>
          <w:rtl/>
        </w:rPr>
      </w:pPr>
      <w:r>
        <w:rPr>
          <w:rtl/>
        </w:rPr>
        <w:tab/>
      </w:r>
      <w:r>
        <w:rPr>
          <w:rFonts w:hint="cs"/>
          <w:rtl/>
        </w:rPr>
        <w:t xml:space="preserve">זמן קצר לאחר שאושר התיקון הוגשו שמונה העתירות שלפנינו. הסעד העיקרי שהתבקש בהן הוא כי נורה על בטלות התיקון. זאת, על פי הנטען, נוכח פגיעתו הקשה במאפיינים הגרעיניים של מדינת ישראל כמדינה דמוקרטית; נוכח השימוש לרעה בסמכותה המכוננת של הכנסת; ובשל פגמים שנפלו בהליך חקיקתו. היועצת המשפטית לממשלה (להלן: </w:t>
      </w:r>
      <w:r w:rsidRPr="00DB02A8">
        <w:rPr>
          <w:rFonts w:ascii="Century" w:hAnsi="Century" w:cs="Miriam" w:hint="cs"/>
          <w:b/>
          <w:spacing w:val="0"/>
          <w:sz w:val="22"/>
          <w:szCs w:val="24"/>
          <w:rtl/>
        </w:rPr>
        <w:t>היועצת</w:t>
      </w:r>
      <w:r>
        <w:rPr>
          <w:rFonts w:hint="cs"/>
          <w:rtl/>
        </w:rPr>
        <w:t>) תומכת בעמדת העותרים וסבורה אף היא כי יש להורות על בטלות התיקון, בעוד יתר המשיבים טוענים כי יש לדחות את העתירות. בהינתן חשיבות הסוגיות שהתעוררו בעתירות דנן קיימנו בהן, באופן תקדימי, דיון בהרכב מלא של 15 שופטי בית המשפט העליון.</w:t>
      </w:r>
    </w:p>
    <w:p w:rsidR="00C044AE" w:rsidRDefault="00C044AE" w:rsidP="00C044AE">
      <w:pPr>
        <w:pStyle w:val="Ruller41"/>
        <w:rPr>
          <w:rtl/>
        </w:rPr>
      </w:pPr>
    </w:p>
    <w:p w:rsidR="00C044AE" w:rsidRPr="00207988" w:rsidRDefault="00C044AE" w:rsidP="00C044AE">
      <w:pPr>
        <w:pStyle w:val="Ruller41"/>
        <w:rPr>
          <w:rtl/>
        </w:rPr>
      </w:pPr>
      <w:r>
        <w:rPr>
          <w:rtl/>
        </w:rPr>
        <w:lastRenderedPageBreak/>
        <w:tab/>
      </w:r>
      <w:r>
        <w:rPr>
          <w:rFonts w:hint="cs"/>
          <w:rtl/>
        </w:rPr>
        <w:t xml:space="preserve">בפתח הדברים, וטרם שאדרש לסוגיות השונות העולות בעתירות, ראיתי לסקור בתמצית את התפתחותה של עילת הסבירות במשפט הישראלי ולהציג את השתלשלות הדברים שהובילה לחקיקת התיקון נושא העתירות.  </w:t>
      </w:r>
    </w:p>
    <w:p w:rsidR="00C044AE" w:rsidRDefault="00C044AE" w:rsidP="00C044AE">
      <w:pPr>
        <w:pStyle w:val="Ruller41"/>
        <w:rPr>
          <w:rtl/>
        </w:rPr>
      </w:pPr>
    </w:p>
    <w:p w:rsidR="00C044AE" w:rsidRPr="005D0FA1" w:rsidRDefault="00C044AE" w:rsidP="00C044AE">
      <w:pPr>
        <w:pStyle w:val="Ruller41"/>
        <w:spacing w:after="240" w:line="480" w:lineRule="auto"/>
        <w:outlineLvl w:val="0"/>
        <w:rPr>
          <w:rFonts w:ascii="Garamond" w:hAnsi="Garamond" w:cs="Miriam"/>
          <w:b/>
          <w:spacing w:val="0"/>
          <w:szCs w:val="24"/>
          <w:rtl/>
        </w:rPr>
      </w:pPr>
      <w:r>
        <w:rPr>
          <w:rFonts w:ascii="Garamond" w:hAnsi="Garamond" w:cs="Miriam" w:hint="cs"/>
          <w:b/>
          <w:spacing w:val="0"/>
          <w:szCs w:val="24"/>
          <w:rtl/>
        </w:rPr>
        <w:t>רקע הדברים</w:t>
      </w:r>
    </w:p>
    <w:p w:rsidR="00C044AE" w:rsidRPr="008F5E70" w:rsidRDefault="00C044AE" w:rsidP="0009484D">
      <w:pPr>
        <w:pStyle w:val="Ruller41"/>
        <w:numPr>
          <w:ilvl w:val="0"/>
          <w:numId w:val="3"/>
        </w:numPr>
        <w:ind w:left="714" w:hanging="357"/>
        <w:outlineLvl w:val="0"/>
        <w:rPr>
          <w:rFonts w:ascii="Garamond" w:hAnsi="Garamond" w:cs="Miriam"/>
          <w:b/>
          <w:spacing w:val="0"/>
          <w:szCs w:val="24"/>
          <w:rtl/>
        </w:rPr>
      </w:pPr>
      <w:r w:rsidRPr="009A335C">
        <w:rPr>
          <w:rFonts w:ascii="Garamond" w:hAnsi="Garamond" w:cs="Miriam" w:hint="cs"/>
          <w:b/>
          <w:spacing w:val="0"/>
          <w:szCs w:val="24"/>
          <w:rtl/>
        </w:rPr>
        <w:t>עילת הסבירות במשפט הישראלי</w:t>
      </w:r>
    </w:p>
    <w:p w:rsidR="00C044AE" w:rsidRDefault="00C044AE" w:rsidP="00C72E17">
      <w:pPr>
        <w:pStyle w:val="Ruller41"/>
        <w:spacing w:line="276" w:lineRule="auto"/>
        <w:rPr>
          <w:rtl/>
        </w:rPr>
      </w:pPr>
    </w:p>
    <w:p w:rsidR="00C044AE" w:rsidRDefault="00C044AE" w:rsidP="00C044AE">
      <w:pPr>
        <w:pStyle w:val="Ruller4"/>
        <w:rPr>
          <w:rtl/>
        </w:rPr>
      </w:pPr>
      <w:r>
        <w:rPr>
          <w:rFonts w:hint="cs"/>
          <w:rtl/>
        </w:rPr>
        <w:t xml:space="preserve">עילת הסבירות נמנית עם עילות הביקורת המינהלית עוד משחר ימיו של המשפט הישראלי. מקורה של עילה זו במשפט המינהלי האנגלי, </w:t>
      </w:r>
      <w:r w:rsidRPr="004D31ED">
        <w:rPr>
          <w:rFonts w:hint="eastAsia"/>
          <w:rtl/>
        </w:rPr>
        <w:t>שם</w:t>
      </w:r>
      <w:r w:rsidRPr="004D31ED">
        <w:rPr>
          <w:rtl/>
        </w:rPr>
        <w:t xml:space="preserve"> </w:t>
      </w:r>
      <w:r w:rsidRPr="004D31ED">
        <w:rPr>
          <w:rFonts w:hint="eastAsia"/>
          <w:rtl/>
        </w:rPr>
        <w:t>נעשה</w:t>
      </w:r>
      <w:r w:rsidRPr="004D31ED">
        <w:rPr>
          <w:rtl/>
        </w:rPr>
        <w:t xml:space="preserve"> </w:t>
      </w:r>
      <w:r>
        <w:rPr>
          <w:rFonts w:hint="eastAsia"/>
          <w:rtl/>
        </w:rPr>
        <w:t>ב</w:t>
      </w:r>
      <w:r>
        <w:rPr>
          <w:rFonts w:hint="cs"/>
          <w:rtl/>
        </w:rPr>
        <w:t xml:space="preserve">ה </w:t>
      </w:r>
      <w:r w:rsidRPr="004D31ED">
        <w:rPr>
          <w:rFonts w:hint="eastAsia"/>
          <w:rtl/>
        </w:rPr>
        <w:t>שימוש</w:t>
      </w:r>
      <w:r>
        <w:rPr>
          <w:rFonts w:hint="cs"/>
          <w:rtl/>
        </w:rPr>
        <w:t xml:space="preserve"> בתחילת הדרך בעיקר</w:t>
      </w:r>
      <w:r w:rsidRPr="004D31ED">
        <w:rPr>
          <w:rtl/>
        </w:rPr>
        <w:t xml:space="preserve"> </w:t>
      </w:r>
      <w:r w:rsidRPr="004D31ED">
        <w:rPr>
          <w:rFonts w:hint="eastAsia"/>
          <w:rtl/>
        </w:rPr>
        <w:t>לצורך</w:t>
      </w:r>
      <w:r w:rsidRPr="004D31ED">
        <w:rPr>
          <w:rtl/>
        </w:rPr>
        <w:t xml:space="preserve"> </w:t>
      </w:r>
      <w:r>
        <w:rPr>
          <w:rFonts w:hint="cs"/>
          <w:rtl/>
        </w:rPr>
        <w:t xml:space="preserve">בחינת חוקיותם של חוקי עזר (דפנה ברק-ארז </w:t>
      </w:r>
      <w:r w:rsidRPr="004D31ED">
        <w:rPr>
          <w:rFonts w:ascii="Century" w:hAnsi="Century" w:cs="Miriam" w:hint="cs"/>
          <w:b/>
          <w:spacing w:val="0"/>
          <w:sz w:val="22"/>
          <w:szCs w:val="24"/>
          <w:rtl/>
        </w:rPr>
        <w:t>משפט מינהלי</w:t>
      </w:r>
      <w:r w:rsidRPr="009015C3">
        <w:rPr>
          <w:rFonts w:hint="cs"/>
          <w:rtl/>
        </w:rPr>
        <w:t xml:space="preserve"> </w:t>
      </w:r>
      <w:r>
        <w:rPr>
          <w:rFonts w:hint="cs"/>
          <w:rtl/>
        </w:rPr>
        <w:t xml:space="preserve">כרך ב 723 (2010) (להלן: </w:t>
      </w:r>
      <w:r>
        <w:rPr>
          <w:rFonts w:ascii="Century" w:hAnsi="Century" w:cs="Miriam" w:hint="cs"/>
          <w:b/>
          <w:spacing w:val="0"/>
          <w:sz w:val="22"/>
          <w:szCs w:val="24"/>
          <w:rtl/>
        </w:rPr>
        <w:t>ברק-ארז "</w:t>
      </w:r>
      <w:r w:rsidRPr="004D31ED">
        <w:rPr>
          <w:rFonts w:ascii="Century" w:hAnsi="Century" w:cs="Miriam" w:hint="cs"/>
          <w:b/>
          <w:spacing w:val="0"/>
          <w:sz w:val="22"/>
          <w:szCs w:val="24"/>
          <w:rtl/>
        </w:rPr>
        <w:t>משפט מינהלי</w:t>
      </w:r>
      <w:r>
        <w:rPr>
          <w:rFonts w:ascii="Century" w:hAnsi="Century" w:cs="Miriam" w:hint="cs"/>
          <w:b/>
          <w:spacing w:val="0"/>
          <w:sz w:val="22"/>
          <w:szCs w:val="24"/>
          <w:rtl/>
        </w:rPr>
        <w:t>"</w:t>
      </w:r>
      <w:r>
        <w:rPr>
          <w:rFonts w:hint="cs"/>
          <w:rtl/>
        </w:rPr>
        <w:t>)).</w:t>
      </w:r>
      <w:r w:rsidRPr="004D31ED">
        <w:rPr>
          <w:rFonts w:hint="cs"/>
          <w:rtl/>
        </w:rPr>
        <w:t xml:space="preserve"> </w:t>
      </w:r>
      <w:r>
        <w:rPr>
          <w:rFonts w:hint="cs"/>
          <w:rtl/>
        </w:rPr>
        <w:t xml:space="preserve">פסק הדין האנגלי שנהוג להתייחס אליו כפסק הדין המרכזי בהקשר זה הוא </w:t>
      </w:r>
      <w:r>
        <w:rPr>
          <w:rFonts w:hint="cs"/>
        </w:rPr>
        <w:t>A</w:t>
      </w:r>
      <w:r>
        <w:t>ssociated Provincial Picture Houses Ltd. v. Wednesbury Corp. [1948] 1 KB 223 (CA)</w:t>
      </w:r>
      <w:r>
        <w:rPr>
          <w:rFonts w:hint="cs"/>
          <w:rtl/>
        </w:rPr>
        <w:t xml:space="preserve"> (להלן: </w:t>
      </w:r>
      <w:r w:rsidRPr="008F5E70">
        <w:rPr>
          <w:rFonts w:ascii="Century" w:hAnsi="Century" w:cs="Miriam" w:hint="cs"/>
          <w:b/>
          <w:spacing w:val="0"/>
          <w:sz w:val="22"/>
          <w:szCs w:val="24"/>
          <w:rtl/>
        </w:rPr>
        <w:t>עניין</w:t>
      </w:r>
      <w:r w:rsidRPr="00931364">
        <w:rPr>
          <w:rtl/>
        </w:rPr>
        <w:t xml:space="preserve"> </w:t>
      </w:r>
      <w:r>
        <w:t>Wednesbury</w:t>
      </w:r>
      <w:r>
        <w:rPr>
          <w:rFonts w:hint="cs"/>
          <w:rtl/>
        </w:rPr>
        <w:t xml:space="preserve">), בו נקבע כי כאשר רשות מקבלת החלטה כה בלתי סבירה עד שאף רשות סבירה לא הייתה מקבלת כמותה </w:t>
      </w:r>
      <w:r>
        <w:rPr>
          <w:rtl/>
        </w:rPr>
        <w:t>–</w:t>
      </w:r>
      <w:r>
        <w:rPr>
          <w:rFonts w:hint="cs"/>
          <w:rtl/>
        </w:rPr>
        <w:t xml:space="preserve"> יתערב בה בית המשפט. מדובר, כך הוסבר, בהחלטות שלא ניתן לראותן ככאלה המצויות בגדרי הסמכות שהוענקה לרשות המוסמכת. דוגמאות להחלטות כאלה הובאו בפסק הדין באשר למצבים שבהם, למשל, אדם מפוטר בגלל צבע שערו או שהרשות שוקלת בהחלטתה נסיבות בלתי-רלוונטיות ("</w:t>
      </w:r>
      <w:r w:rsidRPr="00644FDC">
        <w:t>extraneous matters</w:t>
      </w:r>
      <w:r>
        <w:rPr>
          <w:rFonts w:hint="cs"/>
          <w:rtl/>
        </w:rPr>
        <w:t xml:space="preserve">"). כלומר, בגרסתה המקורית באנגליה, עילת הסבירות נועדה להתמודד עם החלטות שהתקבלו באופן לא-הגיוני או שרירותי, או שנפלו בהן פגמים חמורים אחרים בהפעלת שיקול הדעת, דוגמת שיקולים זרים (ראו: </w:t>
      </w:r>
      <w:r w:rsidRPr="00594147">
        <w:rPr>
          <w:rFonts w:ascii="Century" w:hAnsi="Century" w:cs="Miriam" w:hint="eastAsia"/>
          <w:b/>
          <w:spacing w:val="0"/>
          <w:sz w:val="22"/>
          <w:szCs w:val="24"/>
          <w:rtl/>
        </w:rPr>
        <w:t>ברק</w:t>
      </w:r>
      <w:r>
        <w:rPr>
          <w:rFonts w:ascii="Century" w:hAnsi="Century" w:cs="Miriam" w:hint="cs"/>
          <w:b/>
          <w:spacing w:val="0"/>
          <w:sz w:val="22"/>
          <w:szCs w:val="24"/>
          <w:rtl/>
        </w:rPr>
        <w:t>-</w:t>
      </w:r>
      <w:r w:rsidRPr="00594147">
        <w:rPr>
          <w:rFonts w:ascii="Century" w:hAnsi="Century" w:cs="Miriam" w:hint="eastAsia"/>
          <w:b/>
          <w:spacing w:val="0"/>
          <w:sz w:val="22"/>
          <w:szCs w:val="24"/>
          <w:rtl/>
        </w:rPr>
        <w:t>ארז</w:t>
      </w:r>
      <w:r>
        <w:rPr>
          <w:rFonts w:hint="cs"/>
          <w:rtl/>
        </w:rPr>
        <w:t xml:space="preserve"> "</w:t>
      </w:r>
      <w:r w:rsidRPr="004D31ED">
        <w:rPr>
          <w:rFonts w:ascii="Century" w:hAnsi="Century" w:cs="Miriam" w:hint="cs"/>
          <w:b/>
          <w:spacing w:val="0"/>
          <w:sz w:val="22"/>
          <w:szCs w:val="24"/>
          <w:rtl/>
        </w:rPr>
        <w:t>משפט מינהלי</w:t>
      </w:r>
      <w:r>
        <w:rPr>
          <w:rFonts w:ascii="Century" w:hAnsi="Century" w:cs="Miriam" w:hint="cs"/>
          <w:b/>
          <w:spacing w:val="0"/>
          <w:sz w:val="22"/>
          <w:szCs w:val="24"/>
          <w:rtl/>
        </w:rPr>
        <w:t>"</w:t>
      </w:r>
      <w:r>
        <w:rPr>
          <w:rFonts w:hint="cs"/>
          <w:rtl/>
        </w:rPr>
        <w:t xml:space="preserve">, בעמ' 723; מרגית כהן "עילת אי-הסבירות במשפט המנהלי: היבטים השוואתיים והערות נורמטיביות אחדות" </w:t>
      </w:r>
      <w:r w:rsidRPr="004D31ED">
        <w:rPr>
          <w:rFonts w:ascii="Century" w:hAnsi="Century" w:cs="Miriam" w:hint="cs"/>
          <w:b/>
          <w:spacing w:val="0"/>
          <w:sz w:val="22"/>
          <w:szCs w:val="24"/>
          <w:rtl/>
        </w:rPr>
        <w:t>ספר אור</w:t>
      </w:r>
      <w:r w:rsidRPr="00984C37">
        <w:rPr>
          <w:rFonts w:ascii="Century" w:hAnsi="Century" w:cs="Miriam" w:hint="cs"/>
          <w:b/>
          <w:spacing w:val="0"/>
          <w:sz w:val="22"/>
          <w:szCs w:val="24"/>
          <w:rtl/>
        </w:rPr>
        <w:t xml:space="preserve"> </w:t>
      </w:r>
      <w:r>
        <w:rPr>
          <w:rFonts w:ascii="Century" w:hAnsi="Century" w:cs="Miriam"/>
          <w:b/>
          <w:spacing w:val="0"/>
          <w:sz w:val="22"/>
          <w:szCs w:val="24"/>
          <w:rtl/>
        </w:rPr>
        <w:t>–</w:t>
      </w:r>
      <w:r>
        <w:rPr>
          <w:rFonts w:ascii="Century" w:hAnsi="Century" w:cs="Miriam" w:hint="cs"/>
          <w:b/>
          <w:spacing w:val="0"/>
          <w:sz w:val="22"/>
          <w:szCs w:val="24"/>
          <w:rtl/>
        </w:rPr>
        <w:t xml:space="preserve"> </w:t>
      </w:r>
      <w:r w:rsidRPr="0095762F">
        <w:rPr>
          <w:rFonts w:ascii="Century" w:hAnsi="Century" w:cs="Miriam"/>
          <w:b/>
          <w:spacing w:val="0"/>
          <w:sz w:val="22"/>
          <w:szCs w:val="24"/>
          <w:rtl/>
        </w:rPr>
        <w:t>קובץ מאמרים לכבודו של השופט תיאודור אור</w:t>
      </w:r>
      <w:r w:rsidRPr="00A747AD">
        <w:rPr>
          <w:rFonts w:hint="cs"/>
          <w:rtl/>
        </w:rPr>
        <w:t xml:space="preserve"> </w:t>
      </w:r>
      <w:r>
        <w:rPr>
          <w:rFonts w:hint="cs"/>
          <w:rtl/>
        </w:rPr>
        <w:t xml:space="preserve">773, 782-778 (אהרן ברק ואח' עורכים, 2013) (להלן: </w:t>
      </w:r>
      <w:r w:rsidRPr="00385E06">
        <w:rPr>
          <w:rFonts w:ascii="Century" w:hAnsi="Century" w:cs="Miriam" w:hint="cs"/>
          <w:b/>
          <w:spacing w:val="0"/>
          <w:sz w:val="22"/>
          <w:szCs w:val="24"/>
          <w:rtl/>
        </w:rPr>
        <w:t>כהן "היבטים השוואתיים"</w:t>
      </w:r>
      <w:r>
        <w:rPr>
          <w:rFonts w:hint="cs"/>
          <w:rtl/>
        </w:rPr>
        <w:t>)).</w:t>
      </w:r>
    </w:p>
    <w:p w:rsidR="00C044AE" w:rsidRDefault="00C044AE" w:rsidP="00C044AE">
      <w:pPr>
        <w:pStyle w:val="Ruller41"/>
        <w:rPr>
          <w:rtl/>
        </w:rPr>
      </w:pPr>
    </w:p>
    <w:p w:rsidR="00C044AE" w:rsidRDefault="00C044AE" w:rsidP="0009484D">
      <w:pPr>
        <w:pStyle w:val="Ruller4"/>
        <w:rPr>
          <w:rtl/>
        </w:rPr>
      </w:pPr>
      <w:r>
        <w:rPr>
          <w:rFonts w:hint="cs"/>
          <w:rtl/>
        </w:rPr>
        <w:t xml:space="preserve">בראשית הדרך, יושמה עילת הסבירות בשיטתנו במתכונת הדומה לזו שבמשפט האנגלי המסורתי (יצחק זמיר </w:t>
      </w:r>
      <w:r w:rsidRPr="009C5642">
        <w:rPr>
          <w:rFonts w:ascii="Century" w:hAnsi="Century" w:cs="Miriam" w:hint="cs"/>
          <w:b/>
          <w:spacing w:val="0"/>
          <w:sz w:val="22"/>
          <w:szCs w:val="24"/>
          <w:rtl/>
        </w:rPr>
        <w:t>הסמכות המינהלית</w:t>
      </w:r>
      <w:r w:rsidRPr="009015C3">
        <w:rPr>
          <w:rFonts w:hint="cs"/>
          <w:rtl/>
        </w:rPr>
        <w:t xml:space="preserve"> </w:t>
      </w:r>
      <w:r>
        <w:rPr>
          <w:rFonts w:hint="cs"/>
          <w:rtl/>
        </w:rPr>
        <w:t xml:space="preserve">כרך ה 3551-3550 (2020) (להלן: </w:t>
      </w:r>
      <w:r w:rsidRPr="007D25FC">
        <w:rPr>
          <w:rFonts w:ascii="Century" w:hAnsi="Century" w:cs="Miriam" w:hint="cs"/>
          <w:b/>
          <w:spacing w:val="0"/>
          <w:sz w:val="22"/>
          <w:szCs w:val="24"/>
          <w:rtl/>
        </w:rPr>
        <w:t>זמיר "הסמכות המינהלית"</w:t>
      </w:r>
      <w:r>
        <w:rPr>
          <w:rFonts w:hint="cs"/>
          <w:rtl/>
        </w:rPr>
        <w:t xml:space="preserve">)). כך, כאשר בית המשפט התבקש לפסול חוק עזר עירוני משום שהוא חל למפרע, נקבע כי יש לעשות זאת לפי קנה מידה שבוחן האם ההוראה הרטרוספקטיבית "היא בלתי הגיונית או בלתי מתקבלת על הדעת", עד כדי כך שניתן לומר כי המחוקק מעולם לא הסמיך את הרשות לקבלה (בג"ץ 21/51 </w:t>
      </w:r>
      <w:r w:rsidRPr="0063503F">
        <w:rPr>
          <w:rFonts w:ascii="Century" w:hAnsi="Century" w:cs="Miriam" w:hint="eastAsia"/>
          <w:b/>
          <w:spacing w:val="0"/>
          <w:sz w:val="22"/>
          <w:szCs w:val="24"/>
          <w:rtl/>
        </w:rPr>
        <w:t>ביננבוים</w:t>
      </w:r>
      <w:r w:rsidRPr="0063503F">
        <w:rPr>
          <w:rFonts w:ascii="Century" w:hAnsi="Century" w:cs="Miriam"/>
          <w:b/>
          <w:spacing w:val="0"/>
          <w:sz w:val="22"/>
          <w:szCs w:val="24"/>
          <w:rtl/>
        </w:rPr>
        <w:t xml:space="preserve"> </w:t>
      </w:r>
      <w:r w:rsidRPr="0063503F">
        <w:rPr>
          <w:rFonts w:ascii="Century" w:hAnsi="Century" w:cs="Miriam" w:hint="eastAsia"/>
          <w:b/>
          <w:spacing w:val="0"/>
          <w:sz w:val="22"/>
          <w:szCs w:val="24"/>
          <w:rtl/>
        </w:rPr>
        <w:t>נ</w:t>
      </w:r>
      <w:r w:rsidRPr="0063503F">
        <w:rPr>
          <w:rFonts w:ascii="Century" w:hAnsi="Century" w:cs="Miriam"/>
          <w:b/>
          <w:spacing w:val="0"/>
          <w:sz w:val="22"/>
          <w:szCs w:val="24"/>
          <w:rtl/>
        </w:rPr>
        <w:t xml:space="preserve">' </w:t>
      </w:r>
      <w:r w:rsidRPr="0063503F">
        <w:rPr>
          <w:rFonts w:ascii="Century" w:hAnsi="Century" w:cs="Miriam" w:hint="eastAsia"/>
          <w:b/>
          <w:spacing w:val="0"/>
          <w:sz w:val="22"/>
          <w:szCs w:val="24"/>
          <w:rtl/>
        </w:rPr>
        <w:t>עירית</w:t>
      </w:r>
      <w:r w:rsidRPr="0063503F">
        <w:rPr>
          <w:rFonts w:ascii="Century" w:hAnsi="Century" w:cs="Miriam"/>
          <w:b/>
          <w:spacing w:val="0"/>
          <w:sz w:val="22"/>
          <w:szCs w:val="24"/>
          <w:rtl/>
        </w:rPr>
        <w:t xml:space="preserve"> </w:t>
      </w:r>
      <w:r w:rsidRPr="0063503F">
        <w:rPr>
          <w:rFonts w:ascii="Century" w:hAnsi="Century" w:cs="Miriam" w:hint="eastAsia"/>
          <w:b/>
          <w:spacing w:val="0"/>
          <w:sz w:val="22"/>
          <w:szCs w:val="24"/>
          <w:rtl/>
        </w:rPr>
        <w:t>תל</w:t>
      </w:r>
      <w:r w:rsidRPr="0063503F">
        <w:rPr>
          <w:rFonts w:ascii="Century" w:hAnsi="Century" w:cs="Miriam"/>
          <w:b/>
          <w:spacing w:val="0"/>
          <w:sz w:val="22"/>
          <w:szCs w:val="24"/>
          <w:rtl/>
        </w:rPr>
        <w:t xml:space="preserve"> </w:t>
      </w:r>
      <w:r w:rsidRPr="0063503F">
        <w:rPr>
          <w:rFonts w:ascii="Century" w:hAnsi="Century" w:cs="Miriam" w:hint="eastAsia"/>
          <w:b/>
          <w:spacing w:val="0"/>
          <w:sz w:val="22"/>
          <w:szCs w:val="24"/>
          <w:rtl/>
        </w:rPr>
        <w:t>אביב</w:t>
      </w:r>
      <w:r>
        <w:rPr>
          <w:rFonts w:hint="cs"/>
          <w:rtl/>
        </w:rPr>
        <w:t xml:space="preserve">, פ"ד ו 375, 386-385 (1952) (להלן: </w:t>
      </w:r>
      <w:r w:rsidRPr="00997A2A">
        <w:rPr>
          <w:rFonts w:ascii="Century" w:hAnsi="Century" w:cs="Miriam" w:hint="eastAsia"/>
          <w:b/>
          <w:spacing w:val="0"/>
          <w:sz w:val="22"/>
          <w:szCs w:val="24"/>
          <w:rtl/>
        </w:rPr>
        <w:t>עניין</w:t>
      </w:r>
      <w:r w:rsidRPr="00997A2A">
        <w:rPr>
          <w:rFonts w:ascii="Century" w:hAnsi="Century" w:cs="Miriam"/>
          <w:b/>
          <w:spacing w:val="0"/>
          <w:sz w:val="22"/>
          <w:szCs w:val="24"/>
          <w:rtl/>
        </w:rPr>
        <w:t xml:space="preserve"> </w:t>
      </w:r>
      <w:r w:rsidRPr="00997A2A">
        <w:rPr>
          <w:rFonts w:ascii="Century" w:hAnsi="Century" w:cs="Miriam" w:hint="eastAsia"/>
          <w:b/>
          <w:spacing w:val="0"/>
          <w:sz w:val="22"/>
          <w:szCs w:val="24"/>
          <w:rtl/>
        </w:rPr>
        <w:t>ביננבוים</w:t>
      </w:r>
      <w:r>
        <w:rPr>
          <w:rFonts w:hint="cs"/>
          <w:rtl/>
        </w:rPr>
        <w:t xml:space="preserve">); ראו גם: בג"ץ 129/57 </w:t>
      </w:r>
      <w:r w:rsidRPr="0063503F">
        <w:rPr>
          <w:rFonts w:ascii="Century" w:hAnsi="Century" w:cs="Miriam" w:hint="cs"/>
          <w:b/>
          <w:spacing w:val="0"/>
          <w:sz w:val="22"/>
          <w:szCs w:val="24"/>
          <w:rtl/>
        </w:rPr>
        <w:t>מנשי נ' שר הפנים</w:t>
      </w:r>
      <w:r>
        <w:rPr>
          <w:rFonts w:hint="cs"/>
          <w:rtl/>
        </w:rPr>
        <w:t xml:space="preserve">, פ"ד יב 209, 215 (1958)). עם השנים נקבע כי עילה זו חלה גם על </w:t>
      </w:r>
      <w:r>
        <w:rPr>
          <w:rFonts w:hint="cs"/>
          <w:rtl/>
        </w:rPr>
        <w:lastRenderedPageBreak/>
        <w:t xml:space="preserve">החלטות של </w:t>
      </w:r>
      <w:r w:rsidRPr="0068167E">
        <w:rPr>
          <w:rFonts w:hint="eastAsia"/>
          <w:rtl/>
        </w:rPr>
        <w:t>שרים</w:t>
      </w:r>
      <w:r>
        <w:rPr>
          <w:rFonts w:hint="cs"/>
          <w:rtl/>
        </w:rPr>
        <w:t xml:space="preserve"> ושל </w:t>
      </w:r>
      <w:r w:rsidRPr="0068167E">
        <w:rPr>
          <w:rFonts w:hint="eastAsia"/>
          <w:rtl/>
        </w:rPr>
        <w:t>הממשלה</w:t>
      </w:r>
      <w:r w:rsidRPr="0068167E">
        <w:rPr>
          <w:rtl/>
        </w:rPr>
        <w:t xml:space="preserve"> </w:t>
      </w:r>
      <w:r w:rsidRPr="0068167E">
        <w:rPr>
          <w:rFonts w:hint="eastAsia"/>
          <w:rtl/>
        </w:rPr>
        <w:t>כולה</w:t>
      </w:r>
      <w:r>
        <w:rPr>
          <w:rFonts w:hint="cs"/>
          <w:rtl/>
        </w:rPr>
        <w:t xml:space="preserve"> (ע"א 311/57 </w:t>
      </w:r>
      <w:r w:rsidRPr="0063503F">
        <w:rPr>
          <w:rFonts w:ascii="Century" w:hAnsi="Century" w:cs="Miriam" w:hint="cs"/>
          <w:b/>
          <w:spacing w:val="0"/>
          <w:sz w:val="22"/>
          <w:szCs w:val="24"/>
          <w:rtl/>
        </w:rPr>
        <w:t xml:space="preserve">היועץ המשפטי </w:t>
      </w:r>
      <w:r>
        <w:rPr>
          <w:rFonts w:ascii="Century" w:hAnsi="Century" w:cs="Miriam" w:hint="cs"/>
          <w:b/>
          <w:spacing w:val="0"/>
          <w:sz w:val="22"/>
          <w:szCs w:val="24"/>
          <w:rtl/>
        </w:rPr>
        <w:t xml:space="preserve">לממשלה </w:t>
      </w:r>
      <w:r w:rsidRPr="0063503F">
        <w:rPr>
          <w:rFonts w:ascii="Century" w:hAnsi="Century" w:cs="Miriam" w:hint="cs"/>
          <w:b/>
          <w:spacing w:val="0"/>
          <w:sz w:val="22"/>
          <w:szCs w:val="24"/>
          <w:rtl/>
        </w:rPr>
        <w:t xml:space="preserve">נ' מ. דיזנגוף ושות' </w:t>
      </w:r>
      <w:r>
        <w:rPr>
          <w:rFonts w:ascii="Century" w:hAnsi="Century" w:cs="Miriam" w:hint="cs"/>
          <w:b/>
          <w:spacing w:val="0"/>
          <w:sz w:val="22"/>
          <w:szCs w:val="24"/>
          <w:rtl/>
        </w:rPr>
        <w:t>(</w:t>
      </w:r>
      <w:r w:rsidRPr="0063503F">
        <w:rPr>
          <w:rFonts w:ascii="Century" w:hAnsi="Century" w:cs="Miriam" w:hint="cs"/>
          <w:b/>
          <w:spacing w:val="0"/>
          <w:sz w:val="22"/>
          <w:szCs w:val="24"/>
          <w:rtl/>
        </w:rPr>
        <w:t>שיט</w:t>
      </w:r>
      <w:r>
        <w:rPr>
          <w:rFonts w:ascii="Century" w:hAnsi="Century" w:cs="Miriam" w:hint="cs"/>
          <w:b/>
          <w:spacing w:val="0"/>
          <w:sz w:val="22"/>
          <w:szCs w:val="24"/>
          <w:rtl/>
        </w:rPr>
        <w:t>)</w:t>
      </w:r>
      <w:r w:rsidRPr="0063503F">
        <w:rPr>
          <w:rFonts w:ascii="Century" w:hAnsi="Century" w:cs="Miriam" w:hint="cs"/>
          <w:b/>
          <w:spacing w:val="0"/>
          <w:sz w:val="22"/>
          <w:szCs w:val="24"/>
          <w:rtl/>
        </w:rPr>
        <w:t xml:space="preserve"> בע"מ</w:t>
      </w:r>
      <w:r>
        <w:rPr>
          <w:rFonts w:hint="cs"/>
          <w:rtl/>
        </w:rPr>
        <w:t xml:space="preserve">, פ"ד יג 1026, 1031 (1959) (להלן: </w:t>
      </w:r>
      <w:r w:rsidRPr="0063503F">
        <w:rPr>
          <w:rFonts w:ascii="Century" w:hAnsi="Century" w:cs="Miriam" w:hint="cs"/>
          <w:b/>
          <w:spacing w:val="0"/>
          <w:sz w:val="22"/>
          <w:szCs w:val="24"/>
          <w:rtl/>
        </w:rPr>
        <w:t>עניין דיזנגוף</w:t>
      </w:r>
      <w:r>
        <w:rPr>
          <w:rFonts w:hint="cs"/>
          <w:rtl/>
        </w:rPr>
        <w:t xml:space="preserve">); </w:t>
      </w:r>
      <w:r w:rsidRPr="00681AD7">
        <w:rPr>
          <w:rFonts w:ascii="FrankRuehl" w:hAnsi="FrankRuehl"/>
          <w:sz w:val="28"/>
          <w:rtl/>
        </w:rPr>
        <w:t xml:space="preserve">בג"ץ 332/62 </w:t>
      </w:r>
      <w:r w:rsidRPr="00681AD7">
        <w:rPr>
          <w:rFonts w:ascii="Miriam" w:hAnsi="Miriam" w:cs="Miriam"/>
          <w:spacing w:val="0"/>
          <w:szCs w:val="24"/>
          <w:rtl/>
        </w:rPr>
        <w:t>שפניר נ' שר האוצר</w:t>
      </w:r>
      <w:r>
        <w:rPr>
          <w:rFonts w:ascii="FrankRuehl" w:hAnsi="FrankRuehl"/>
          <w:sz w:val="28"/>
          <w:rtl/>
        </w:rPr>
        <w:t>, פ"ד יז 574 (1963)</w:t>
      </w:r>
      <w:r>
        <w:rPr>
          <w:rFonts w:ascii="FrankRuehl" w:hAnsi="FrankRuehl" w:hint="cs"/>
          <w:sz w:val="28"/>
          <w:rtl/>
        </w:rPr>
        <w:t xml:space="preserve">; </w:t>
      </w:r>
      <w:r>
        <w:rPr>
          <w:rFonts w:hint="cs"/>
          <w:rtl/>
        </w:rPr>
        <w:t xml:space="preserve">ע"א 492/73 </w:t>
      </w:r>
      <w:r w:rsidRPr="00681AD7">
        <w:rPr>
          <w:rFonts w:ascii="Century" w:hAnsi="Century" w:cs="Miriam" w:hint="cs"/>
          <w:b/>
          <w:spacing w:val="0"/>
          <w:sz w:val="22"/>
          <w:szCs w:val="24"/>
          <w:rtl/>
        </w:rPr>
        <w:t>שפייזר נ' המועצה להסדר הימורים בספורט</w:t>
      </w:r>
      <w:r>
        <w:rPr>
          <w:rFonts w:hint="cs"/>
          <w:rtl/>
        </w:rPr>
        <w:t xml:space="preserve">, פ"ד כט(1) 22, 26 (1974)). </w:t>
      </w:r>
    </w:p>
    <w:p w:rsidR="00C044AE" w:rsidRPr="00057C2C" w:rsidRDefault="00C044AE" w:rsidP="00C044AE">
      <w:pPr>
        <w:pStyle w:val="Ruller41"/>
      </w:pPr>
    </w:p>
    <w:p w:rsidR="00C044AE" w:rsidRDefault="00C044AE" w:rsidP="0009484D">
      <w:pPr>
        <w:pStyle w:val="Ruller4"/>
        <w:rPr>
          <w:rtl/>
        </w:rPr>
      </w:pPr>
      <w:r>
        <w:rPr>
          <w:rFonts w:hint="cs"/>
          <w:rtl/>
        </w:rPr>
        <w:t xml:space="preserve">באותו שלב, נתפסה עילת הסבירות, בדומה למקורותיה האנגליים, כעילה הקשורה בקשר הדוק לעילת החריגה מסמכות. כך, בעניין </w:t>
      </w:r>
      <w:r w:rsidRPr="00DD6353">
        <w:rPr>
          <w:rFonts w:ascii="Century" w:hAnsi="Century" w:cs="Miriam" w:hint="cs"/>
          <w:b/>
          <w:spacing w:val="0"/>
          <w:sz w:val="22"/>
          <w:szCs w:val="24"/>
          <w:rtl/>
        </w:rPr>
        <w:t>דיזנגוף</w:t>
      </w:r>
      <w:r w:rsidRPr="009015C3">
        <w:rPr>
          <w:rFonts w:hint="cs"/>
          <w:rtl/>
        </w:rPr>
        <w:t xml:space="preserve"> </w:t>
      </w:r>
      <w:r>
        <w:rPr>
          <w:rFonts w:hint="cs"/>
          <w:rtl/>
        </w:rPr>
        <w:t>צוין</w:t>
      </w:r>
      <w:r w:rsidRPr="009015C3">
        <w:rPr>
          <w:rFonts w:hint="cs"/>
          <w:rtl/>
        </w:rPr>
        <w:t xml:space="preserve"> </w:t>
      </w:r>
      <w:r>
        <w:rPr>
          <w:rFonts w:hint="cs"/>
          <w:rtl/>
        </w:rPr>
        <w:t xml:space="preserve">כי קשה להבדיל באופן מהותי בין עילת הסבירות ובין עילות אחרות לבחינת שיקול הדעת המינהלי ובהן חוסר תום לב, שיקולים בלתי-כשרים ומטרות זרות. עוד צוין כי למעשה כלל העילות הללו אינן אלא מופעים ספציפיים של חריגה מסמכות </w:t>
      </w:r>
      <w:r w:rsidRPr="0068167E">
        <w:rPr>
          <w:color w:val="000000" w:themeColor="text1"/>
          <w:rtl/>
        </w:rPr>
        <w:t>(</w:t>
      </w:r>
      <w:r w:rsidRPr="0068167E">
        <w:rPr>
          <w:rFonts w:ascii="Century" w:hAnsi="Century" w:cs="Miriam" w:hint="eastAsia"/>
          <w:b/>
          <w:spacing w:val="0"/>
          <w:szCs w:val="24"/>
          <w:rtl/>
        </w:rPr>
        <w:t>שם</w:t>
      </w:r>
      <w:r w:rsidRPr="0068167E">
        <w:rPr>
          <w:color w:val="000000" w:themeColor="text1"/>
          <w:rtl/>
        </w:rPr>
        <w:t xml:space="preserve">, </w:t>
      </w:r>
      <w:r w:rsidRPr="0068167E">
        <w:rPr>
          <w:rFonts w:hint="eastAsia"/>
          <w:color w:val="000000" w:themeColor="text1"/>
          <w:rtl/>
        </w:rPr>
        <w:t>בעמ</w:t>
      </w:r>
      <w:r>
        <w:rPr>
          <w:color w:val="000000" w:themeColor="text1"/>
          <w:rtl/>
        </w:rPr>
        <w:t xml:space="preserve">' </w:t>
      </w:r>
      <w:r>
        <w:rPr>
          <w:rFonts w:hint="cs"/>
          <w:color w:val="000000" w:themeColor="text1"/>
          <w:rtl/>
        </w:rPr>
        <w:t>1038).</w:t>
      </w:r>
    </w:p>
    <w:p w:rsidR="0009484D" w:rsidRPr="0009484D" w:rsidRDefault="0009484D" w:rsidP="0009484D">
      <w:pPr>
        <w:pStyle w:val="Ruller41"/>
        <w:rPr>
          <w:rtl/>
        </w:rPr>
      </w:pPr>
    </w:p>
    <w:p w:rsidR="00C044AE" w:rsidRDefault="00C044AE" w:rsidP="00C044AE">
      <w:pPr>
        <w:pStyle w:val="Ruller4"/>
        <w:spacing w:after="240"/>
      </w:pPr>
      <w:r>
        <w:rPr>
          <w:rFonts w:hint="cs"/>
          <w:rtl/>
        </w:rPr>
        <w:t xml:space="preserve">התשתית לביסוס עילת הסבירות כעילת ביקורת עצמאית ונפרדת מיתר עילות הביקורת על שיקול הדעת המינהלי הונחה לראשונה בבג"ץ 156/75 </w:t>
      </w:r>
      <w:r w:rsidRPr="00F55759">
        <w:rPr>
          <w:rFonts w:ascii="Century" w:hAnsi="Century" w:cs="Miriam" w:hint="cs"/>
          <w:b/>
          <w:spacing w:val="0"/>
          <w:sz w:val="22"/>
          <w:szCs w:val="24"/>
          <w:rtl/>
        </w:rPr>
        <w:t>דקה נ' שר התחבורה</w:t>
      </w:r>
      <w:r>
        <w:rPr>
          <w:rFonts w:hint="cs"/>
          <w:rtl/>
        </w:rPr>
        <w:t xml:space="preserve">, פ"ד ל(2) 94 (1976) (להלן: </w:t>
      </w:r>
      <w:r w:rsidRPr="00F55759">
        <w:rPr>
          <w:rFonts w:ascii="Century" w:hAnsi="Century" w:cs="Miriam" w:hint="cs"/>
          <w:b/>
          <w:spacing w:val="0"/>
          <w:sz w:val="22"/>
          <w:szCs w:val="24"/>
          <w:rtl/>
        </w:rPr>
        <w:t>עניין דקה</w:t>
      </w:r>
      <w:r>
        <w:rPr>
          <w:rFonts w:hint="cs"/>
          <w:rtl/>
        </w:rPr>
        <w:t xml:space="preserve">). באותו עניין, השופט </w:t>
      </w:r>
      <w:r>
        <w:rPr>
          <w:rFonts w:ascii="Century" w:hAnsi="Century" w:cs="Miriam" w:hint="cs"/>
          <w:b/>
          <w:spacing w:val="0"/>
          <w:sz w:val="22"/>
          <w:szCs w:val="24"/>
          <w:rtl/>
        </w:rPr>
        <w:t xml:space="preserve">מ' </w:t>
      </w:r>
      <w:r w:rsidRPr="00F55759">
        <w:rPr>
          <w:rFonts w:ascii="Century" w:hAnsi="Century" w:cs="Miriam" w:hint="cs"/>
          <w:b/>
          <w:spacing w:val="0"/>
          <w:sz w:val="22"/>
          <w:szCs w:val="24"/>
          <w:rtl/>
        </w:rPr>
        <w:t>שמגר</w:t>
      </w:r>
      <w:r>
        <w:rPr>
          <w:rFonts w:hint="cs"/>
          <w:rtl/>
        </w:rPr>
        <w:t xml:space="preserve"> נכון היה להכיר, באופן עקרוני, באי-סבירותה של החלטה מינהלית גם כאשר אין היא נגועה בפגמים מינהליים אחרים, וזאת במקרים שבהם לא נערך איזון ראוי בין השיקולים הצריכים לעניין, וכלשונו:</w:t>
      </w:r>
    </w:p>
    <w:p w:rsidR="00C044AE" w:rsidRPr="003F0F4B" w:rsidRDefault="00C044AE" w:rsidP="00C044AE">
      <w:pPr>
        <w:pStyle w:val="Ruller5"/>
        <w:rPr>
          <w:rFonts w:ascii="Courier New" w:hAnsi="Courier New" w:cs="Courier New"/>
          <w:spacing w:val="0"/>
          <w:sz w:val="20"/>
          <w:szCs w:val="20"/>
          <w:rtl/>
        </w:rPr>
      </w:pPr>
      <w:r>
        <w:rPr>
          <w:rFonts w:hint="cs"/>
          <w:rtl/>
        </w:rPr>
        <w:t>"</w:t>
      </w:r>
      <w:r>
        <w:rPr>
          <w:rFonts w:ascii="Century" w:hAnsi="Century" w:hint="cs"/>
          <w:rtl/>
        </w:rPr>
        <w:t xml:space="preserve">[...] </w:t>
      </w:r>
      <w:r w:rsidRPr="001D5509">
        <w:rPr>
          <w:rFonts w:ascii="Century" w:hAnsi="Century"/>
          <w:rtl/>
        </w:rPr>
        <w:t>יכולה אי-הסבירות גם להתגלות כאשר היא בגפה: לדוגמ</w:t>
      </w:r>
      <w:r>
        <w:rPr>
          <w:rFonts w:ascii="Century" w:hAnsi="Century" w:hint="cs"/>
          <w:rtl/>
        </w:rPr>
        <w:t>ה</w:t>
      </w:r>
      <w:r w:rsidRPr="001D5509">
        <w:rPr>
          <w:rFonts w:ascii="Century" w:hAnsi="Century"/>
          <w:rtl/>
        </w:rPr>
        <w:t>, יכול שייווצרו נסיבות בהן לא נשקל על-ידי הרשות המיניסטריאלית שיקול זר, והובאו בחשבון אך ורק שיקולים שהם רלבנטיים לענין, אולם לשיקולים הרלבנטיים השונים יוחס משקל בפרופורציה כה מעוותת ביניהם לבין עצמם, עד שהמסקנה הסופית הפכה מופרכת מעיקרה ובשל כך לבלתי-סבירה לחלוטין</w:t>
      </w:r>
      <w:r>
        <w:rPr>
          <w:rFonts w:hint="cs"/>
          <w:rtl/>
        </w:rPr>
        <w:t>" (</w:t>
      </w:r>
      <w:r w:rsidRPr="00AC1F9F">
        <w:rPr>
          <w:rFonts w:ascii="Century" w:hAnsi="Century" w:cs="Miriam" w:hint="cs"/>
          <w:b/>
          <w:spacing w:val="0"/>
          <w:szCs w:val="24"/>
          <w:rtl/>
        </w:rPr>
        <w:t>שם</w:t>
      </w:r>
      <w:r>
        <w:rPr>
          <w:rFonts w:hint="cs"/>
          <w:rtl/>
        </w:rPr>
        <w:t>, בעמ' 105)</w:t>
      </w:r>
      <w:r>
        <w:rPr>
          <w:rtl/>
        </w:rPr>
        <w:t>.</w:t>
      </w:r>
    </w:p>
    <w:p w:rsidR="00C044AE" w:rsidRDefault="00C044AE" w:rsidP="00C044AE">
      <w:pPr>
        <w:pStyle w:val="Ruller41"/>
        <w:rPr>
          <w:rtl/>
        </w:rPr>
      </w:pPr>
    </w:p>
    <w:p w:rsidR="00C044AE" w:rsidRDefault="00C044AE" w:rsidP="00C044AE">
      <w:pPr>
        <w:pStyle w:val="Ruller4"/>
        <w:rPr>
          <w:rtl/>
        </w:rPr>
      </w:pPr>
      <w:r>
        <w:rPr>
          <w:rFonts w:hint="cs"/>
          <w:rtl/>
        </w:rPr>
        <w:t xml:space="preserve">גישה מרחיבה זו אומצה על ידי בית משפט זה בפסק הדין בבג"ץ 389/80 </w:t>
      </w:r>
      <w:r w:rsidRPr="001D3C3B">
        <w:rPr>
          <w:rFonts w:ascii="Century" w:hAnsi="Century" w:cs="Miriam" w:hint="cs"/>
          <w:b/>
          <w:spacing w:val="0"/>
          <w:sz w:val="22"/>
          <w:szCs w:val="24"/>
          <w:rtl/>
        </w:rPr>
        <w:t>דפי זהב</w:t>
      </w:r>
      <w:r>
        <w:rPr>
          <w:rFonts w:ascii="Century" w:hAnsi="Century" w:cs="Miriam" w:hint="cs"/>
          <w:b/>
          <w:spacing w:val="0"/>
          <w:sz w:val="22"/>
          <w:szCs w:val="24"/>
          <w:rtl/>
        </w:rPr>
        <w:t xml:space="preserve"> בע"מ</w:t>
      </w:r>
      <w:r w:rsidRPr="001D3C3B">
        <w:rPr>
          <w:rFonts w:ascii="Century" w:hAnsi="Century" w:cs="Miriam" w:hint="cs"/>
          <w:b/>
          <w:spacing w:val="0"/>
          <w:sz w:val="22"/>
          <w:szCs w:val="24"/>
          <w:rtl/>
        </w:rPr>
        <w:t xml:space="preserve"> נ' רשות השידור</w:t>
      </w:r>
      <w:r>
        <w:rPr>
          <w:rFonts w:hint="cs"/>
          <w:rtl/>
        </w:rPr>
        <w:t xml:space="preserve">, פ"ד לה(1) 421 (1980) (להלן: </w:t>
      </w:r>
      <w:r w:rsidRPr="001D3C3B">
        <w:rPr>
          <w:rFonts w:ascii="Century" w:hAnsi="Century" w:cs="Miriam" w:hint="cs"/>
          <w:b/>
          <w:spacing w:val="0"/>
          <w:sz w:val="22"/>
          <w:szCs w:val="24"/>
          <w:rtl/>
        </w:rPr>
        <w:t>עניין דפי זהב</w:t>
      </w:r>
      <w:r>
        <w:rPr>
          <w:rFonts w:hint="cs"/>
          <w:rtl/>
        </w:rPr>
        <w:t xml:space="preserve">). באותו עניין, עמד השופט </w:t>
      </w:r>
      <w:r>
        <w:rPr>
          <w:rFonts w:ascii="Century" w:hAnsi="Century" w:cs="Miriam" w:hint="cs"/>
          <w:b/>
          <w:spacing w:val="0"/>
          <w:sz w:val="22"/>
          <w:szCs w:val="24"/>
          <w:rtl/>
        </w:rPr>
        <w:t xml:space="preserve">א' </w:t>
      </w:r>
      <w:r w:rsidRPr="00DF1E21">
        <w:rPr>
          <w:rFonts w:ascii="Century" w:hAnsi="Century" w:cs="Miriam" w:hint="cs"/>
          <w:b/>
          <w:spacing w:val="0"/>
          <w:sz w:val="22"/>
          <w:szCs w:val="24"/>
          <w:rtl/>
        </w:rPr>
        <w:t>ברק</w:t>
      </w:r>
      <w:r>
        <w:rPr>
          <w:rFonts w:hint="cs"/>
          <w:rtl/>
        </w:rPr>
        <w:t xml:space="preserve"> על ארבעה עקרונות מנחים ביחס לעילת הסבירות, אשר לגישתו, שיקפו את הדין המצוי והדין הרצוי כאחד. </w:t>
      </w:r>
      <w:r w:rsidRPr="005128ED">
        <w:rPr>
          <w:rFonts w:ascii="Century" w:hAnsi="Century" w:cs="Miriam" w:hint="cs"/>
          <w:b/>
          <w:spacing w:val="0"/>
          <w:sz w:val="22"/>
          <w:szCs w:val="24"/>
          <w:rtl/>
        </w:rPr>
        <w:t>ראשית</w:t>
      </w:r>
      <w:r>
        <w:rPr>
          <w:rFonts w:hint="cs"/>
          <w:rtl/>
        </w:rPr>
        <w:t>, הובהר כי עילת הסבירות "[...] עומדת על רגליה היא, ו</w:t>
      </w:r>
      <w:r>
        <w:rPr>
          <w:rFonts w:ascii="FrankRuehl" w:hAnsi="FrankRuehl"/>
          <w:color w:val="000000"/>
          <w:sz w:val="28"/>
          <w:rtl/>
        </w:rPr>
        <w:t>מכוחה ייפסל שיקול</w:t>
      </w:r>
      <w:r>
        <w:rPr>
          <w:rFonts w:ascii="FrankRuehl" w:hAnsi="FrankRuehl" w:hint="cs"/>
          <w:color w:val="000000"/>
          <w:sz w:val="28"/>
          <w:rtl/>
        </w:rPr>
        <w:t>-</w:t>
      </w:r>
      <w:r>
        <w:rPr>
          <w:rFonts w:ascii="FrankRuehl" w:hAnsi="FrankRuehl"/>
          <w:color w:val="000000"/>
          <w:sz w:val="28"/>
          <w:rtl/>
        </w:rPr>
        <w:t>דעת מינהלי בלתי סביר, גם אם תוצאתו אינה החלטה שרירותית, וגם אם ההחלטה התקבלה בתום</w:t>
      </w:r>
      <w:r>
        <w:rPr>
          <w:rFonts w:ascii="FrankRuehl" w:hAnsi="FrankRuehl" w:hint="cs"/>
          <w:color w:val="000000"/>
          <w:sz w:val="28"/>
          <w:rtl/>
        </w:rPr>
        <w:t>-</w:t>
      </w:r>
      <w:r>
        <w:rPr>
          <w:rFonts w:ascii="FrankRuehl" w:hAnsi="FrankRuehl"/>
          <w:color w:val="000000"/>
          <w:sz w:val="28"/>
          <w:rtl/>
        </w:rPr>
        <w:t>לב תוך שקילת כל הגורמים הנוגעים לעניין וגורמים אלה בלבד" (</w:t>
      </w:r>
      <w:r w:rsidRPr="00C9596C">
        <w:rPr>
          <w:rFonts w:ascii="Century" w:hAnsi="Century" w:cs="Miriam"/>
          <w:b/>
          <w:spacing w:val="0"/>
          <w:sz w:val="22"/>
          <w:szCs w:val="24"/>
          <w:rtl/>
        </w:rPr>
        <w:t>שם</w:t>
      </w:r>
      <w:r>
        <w:rPr>
          <w:rFonts w:ascii="FrankRuehl" w:hAnsi="FrankRuehl"/>
          <w:color w:val="000000"/>
          <w:sz w:val="28"/>
          <w:rtl/>
        </w:rPr>
        <w:t>, בעמ' 439)</w:t>
      </w:r>
      <w:r>
        <w:rPr>
          <w:rFonts w:hint="cs"/>
          <w:rtl/>
        </w:rPr>
        <w:t xml:space="preserve">. </w:t>
      </w:r>
      <w:r w:rsidRPr="005128ED">
        <w:rPr>
          <w:rFonts w:ascii="Century" w:hAnsi="Century" w:cs="Miriam" w:hint="cs"/>
          <w:b/>
          <w:spacing w:val="0"/>
          <w:sz w:val="22"/>
          <w:szCs w:val="24"/>
          <w:rtl/>
        </w:rPr>
        <w:t>שנית</w:t>
      </w:r>
      <w:r>
        <w:rPr>
          <w:rFonts w:hint="cs"/>
          <w:rtl/>
        </w:rPr>
        <w:t xml:space="preserve">, בהסתמכו, בין היתר, על עניין </w:t>
      </w:r>
      <w:r w:rsidRPr="00C9596C">
        <w:rPr>
          <w:rFonts w:ascii="Century" w:hAnsi="Century" w:cs="Miriam" w:hint="cs"/>
          <w:b/>
          <w:spacing w:val="0"/>
          <w:sz w:val="22"/>
          <w:szCs w:val="24"/>
          <w:rtl/>
        </w:rPr>
        <w:t>דקה</w:t>
      </w:r>
      <w:r>
        <w:rPr>
          <w:rFonts w:hint="cs"/>
          <w:rtl/>
        </w:rPr>
        <w:t xml:space="preserve">, קבע השופט </w:t>
      </w:r>
      <w:r w:rsidRPr="003C0701">
        <w:rPr>
          <w:rFonts w:ascii="Century" w:hAnsi="Century" w:cs="Miriam" w:hint="eastAsia"/>
          <w:b/>
          <w:spacing w:val="0"/>
          <w:sz w:val="22"/>
          <w:szCs w:val="24"/>
          <w:rtl/>
        </w:rPr>
        <w:t>ברק</w:t>
      </w:r>
      <w:r>
        <w:rPr>
          <w:rFonts w:hint="cs"/>
          <w:rtl/>
        </w:rPr>
        <w:t xml:space="preserve"> </w:t>
      </w:r>
      <w:r w:rsidRPr="00EF6BFC">
        <w:rPr>
          <w:rFonts w:hint="eastAsia"/>
          <w:rtl/>
        </w:rPr>
        <w:t>כי</w:t>
      </w:r>
      <w:r w:rsidRPr="00EF6BFC">
        <w:rPr>
          <w:rtl/>
        </w:rPr>
        <w:t xml:space="preserve"> </w:t>
      </w:r>
      <w:r w:rsidRPr="00EF6BFC">
        <w:rPr>
          <w:rFonts w:hint="eastAsia"/>
          <w:rtl/>
        </w:rPr>
        <w:t>החלטה</w:t>
      </w:r>
      <w:r w:rsidRPr="00EF6BFC">
        <w:rPr>
          <w:rtl/>
        </w:rPr>
        <w:t xml:space="preserve"> </w:t>
      </w:r>
      <w:r w:rsidRPr="00EF6BFC">
        <w:rPr>
          <w:rFonts w:hint="eastAsia"/>
          <w:rtl/>
        </w:rPr>
        <w:t>מ</w:t>
      </w:r>
      <w:r>
        <w:rPr>
          <w:rFonts w:hint="cs"/>
          <w:rtl/>
        </w:rPr>
        <w:t>י</w:t>
      </w:r>
      <w:r w:rsidRPr="00EF6BFC">
        <w:rPr>
          <w:rFonts w:hint="eastAsia"/>
          <w:rtl/>
        </w:rPr>
        <w:t>נהלית</w:t>
      </w:r>
      <w:r w:rsidRPr="00EF6BFC">
        <w:rPr>
          <w:rtl/>
        </w:rPr>
        <w:t xml:space="preserve"> </w:t>
      </w:r>
      <w:r w:rsidRPr="00EF6BFC">
        <w:rPr>
          <w:rFonts w:hint="eastAsia"/>
          <w:rtl/>
        </w:rPr>
        <w:t>עשויה</w:t>
      </w:r>
      <w:r w:rsidRPr="00EF6BFC">
        <w:rPr>
          <w:rtl/>
        </w:rPr>
        <w:t xml:space="preserve"> </w:t>
      </w:r>
      <w:r w:rsidRPr="00EF6BFC">
        <w:rPr>
          <w:rFonts w:hint="eastAsia"/>
          <w:rtl/>
        </w:rPr>
        <w:t>להיחשב</w:t>
      </w:r>
      <w:r w:rsidRPr="00EF6BFC">
        <w:rPr>
          <w:rtl/>
        </w:rPr>
        <w:t xml:space="preserve"> </w:t>
      </w:r>
      <w:r w:rsidRPr="00EF6BFC">
        <w:rPr>
          <w:rFonts w:hint="eastAsia"/>
          <w:rtl/>
        </w:rPr>
        <w:t>בלתי</w:t>
      </w:r>
      <w:r w:rsidRPr="00EF6BFC">
        <w:rPr>
          <w:rtl/>
        </w:rPr>
        <w:t xml:space="preserve"> </w:t>
      </w:r>
      <w:r w:rsidRPr="00EF6BFC">
        <w:rPr>
          <w:rFonts w:hint="eastAsia"/>
          <w:rtl/>
        </w:rPr>
        <w:t>סבירה</w:t>
      </w:r>
      <w:r>
        <w:rPr>
          <w:rtl/>
        </w:rPr>
        <w:t xml:space="preserve"> </w:t>
      </w:r>
      <w:r w:rsidRPr="00EF6BFC">
        <w:rPr>
          <w:rFonts w:hint="eastAsia"/>
          <w:rtl/>
        </w:rPr>
        <w:t>אם</w:t>
      </w:r>
      <w:r w:rsidRPr="00EF6BFC">
        <w:rPr>
          <w:rtl/>
        </w:rPr>
        <w:t xml:space="preserve"> </w:t>
      </w:r>
      <w:r w:rsidRPr="00EF6BFC">
        <w:rPr>
          <w:rFonts w:hint="eastAsia"/>
          <w:rtl/>
        </w:rPr>
        <w:t>לא</w:t>
      </w:r>
      <w:r w:rsidRPr="00EF6BFC">
        <w:rPr>
          <w:rtl/>
        </w:rPr>
        <w:t xml:space="preserve"> </w:t>
      </w:r>
      <w:r w:rsidRPr="00EF6BFC">
        <w:rPr>
          <w:rFonts w:hint="eastAsia"/>
          <w:rtl/>
        </w:rPr>
        <w:t>ניתן</w:t>
      </w:r>
      <w:r w:rsidRPr="00EF6BFC">
        <w:rPr>
          <w:rtl/>
        </w:rPr>
        <w:t xml:space="preserve"> </w:t>
      </w:r>
      <w:r w:rsidRPr="00EF6BFC">
        <w:rPr>
          <w:rFonts w:hint="eastAsia"/>
          <w:rtl/>
        </w:rPr>
        <w:t>בה</w:t>
      </w:r>
      <w:r>
        <w:rPr>
          <w:rtl/>
        </w:rPr>
        <w:t xml:space="preserve"> </w:t>
      </w:r>
      <w:r w:rsidRPr="00EF6BFC">
        <w:rPr>
          <w:rFonts w:hint="eastAsia"/>
          <w:rtl/>
        </w:rPr>
        <w:t>משקל</w:t>
      </w:r>
      <w:r w:rsidRPr="00EF6BFC">
        <w:rPr>
          <w:rtl/>
        </w:rPr>
        <w:t xml:space="preserve"> </w:t>
      </w:r>
      <w:r w:rsidRPr="00EF6BFC">
        <w:rPr>
          <w:rFonts w:hint="eastAsia"/>
          <w:rtl/>
        </w:rPr>
        <w:t>ראוי</w:t>
      </w:r>
      <w:r w:rsidRPr="00EF6BFC">
        <w:rPr>
          <w:rtl/>
        </w:rPr>
        <w:t xml:space="preserve"> </w:t>
      </w:r>
      <w:r w:rsidRPr="00EF6BFC">
        <w:rPr>
          <w:rFonts w:hint="eastAsia"/>
          <w:rtl/>
        </w:rPr>
        <w:t>לאינטרסים</w:t>
      </w:r>
      <w:r w:rsidRPr="00EF6BFC">
        <w:rPr>
          <w:rtl/>
        </w:rPr>
        <w:t xml:space="preserve"> </w:t>
      </w:r>
      <w:r w:rsidRPr="00EF6BFC">
        <w:rPr>
          <w:rFonts w:hint="eastAsia"/>
          <w:rtl/>
        </w:rPr>
        <w:t>השונים</w:t>
      </w:r>
      <w:r w:rsidRPr="00EF6BFC">
        <w:rPr>
          <w:rtl/>
        </w:rPr>
        <w:t xml:space="preserve"> </w:t>
      </w:r>
      <w:r w:rsidRPr="00EF6BFC">
        <w:rPr>
          <w:rFonts w:hint="eastAsia"/>
          <w:rtl/>
        </w:rPr>
        <w:t>שעל</w:t>
      </w:r>
      <w:r w:rsidRPr="00EF6BFC">
        <w:rPr>
          <w:rtl/>
        </w:rPr>
        <w:t xml:space="preserve"> </w:t>
      </w:r>
      <w:r w:rsidRPr="00EF6BFC">
        <w:rPr>
          <w:rFonts w:hint="eastAsia"/>
          <w:rtl/>
        </w:rPr>
        <w:t>הרשות</w:t>
      </w:r>
      <w:r w:rsidRPr="00EF6BFC">
        <w:rPr>
          <w:rtl/>
        </w:rPr>
        <w:t xml:space="preserve"> </w:t>
      </w:r>
      <w:r w:rsidRPr="00EF6BFC">
        <w:rPr>
          <w:rFonts w:hint="eastAsia"/>
          <w:rtl/>
        </w:rPr>
        <w:t>להתחשב</w:t>
      </w:r>
      <w:r w:rsidRPr="00EF6BFC">
        <w:rPr>
          <w:rtl/>
        </w:rPr>
        <w:t xml:space="preserve"> </w:t>
      </w:r>
      <w:r w:rsidRPr="00EF6BFC">
        <w:rPr>
          <w:rFonts w:hint="eastAsia"/>
          <w:rtl/>
        </w:rPr>
        <w:t>בהם</w:t>
      </w:r>
      <w:r w:rsidRPr="00EF6BFC">
        <w:rPr>
          <w:rtl/>
        </w:rPr>
        <w:t xml:space="preserve"> </w:t>
      </w:r>
      <w:r w:rsidRPr="00EF6BFC">
        <w:rPr>
          <w:rFonts w:hint="eastAsia"/>
          <w:rtl/>
        </w:rPr>
        <w:t>בהחלטתה</w:t>
      </w:r>
      <w:r>
        <w:rPr>
          <w:rFonts w:hint="cs"/>
          <w:rtl/>
        </w:rPr>
        <w:t xml:space="preserve"> (</w:t>
      </w:r>
      <w:r w:rsidRPr="00CE1CD6">
        <w:rPr>
          <w:rFonts w:ascii="Century" w:hAnsi="Century" w:cs="Miriam" w:hint="cs"/>
          <w:b/>
          <w:spacing w:val="0"/>
          <w:sz w:val="22"/>
          <w:szCs w:val="24"/>
          <w:rtl/>
        </w:rPr>
        <w:t>שם</w:t>
      </w:r>
      <w:r>
        <w:rPr>
          <w:rFonts w:hint="cs"/>
          <w:rtl/>
        </w:rPr>
        <w:t>, בעמ' 446-445)</w:t>
      </w:r>
      <w:r w:rsidRPr="00EF6BFC">
        <w:rPr>
          <w:rtl/>
        </w:rPr>
        <w:t xml:space="preserve">. </w:t>
      </w:r>
      <w:r>
        <w:rPr>
          <w:rFonts w:hint="cs"/>
          <w:rtl/>
        </w:rPr>
        <w:lastRenderedPageBreak/>
        <w:t xml:space="preserve">בעניין זה הפנה השופט </w:t>
      </w:r>
      <w:r w:rsidRPr="00C9596C">
        <w:rPr>
          <w:rFonts w:ascii="Century" w:hAnsi="Century" w:cs="Miriam" w:hint="cs"/>
          <w:b/>
          <w:spacing w:val="0"/>
          <w:sz w:val="22"/>
          <w:szCs w:val="24"/>
          <w:rtl/>
        </w:rPr>
        <w:t>ברק</w:t>
      </w:r>
      <w:r w:rsidRPr="00C9596C">
        <w:rPr>
          <w:rFonts w:hint="cs"/>
          <w:rtl/>
        </w:rPr>
        <w:t xml:space="preserve"> </w:t>
      </w:r>
      <w:r>
        <w:rPr>
          <w:rFonts w:hint="cs"/>
          <w:rtl/>
        </w:rPr>
        <w:t xml:space="preserve">למספר פסקי דין מוקדמים אשר בהם לא נעשה אומנם שימוש במילה "סבירות", אך בפועל בית המשפט התערב שם בהחלטות מינהליות משמצא כי האיזון שנעשה על ידי הרשות המינהלית בין השיקולים השונים היה בלתי-סביר (למשל, </w:t>
      </w:r>
      <w:r w:rsidRPr="00C9596C">
        <w:rPr>
          <w:rFonts w:hint="eastAsia"/>
          <w:rtl/>
        </w:rPr>
        <w:t>בג</w:t>
      </w:r>
      <w:r w:rsidRPr="00C9596C">
        <w:rPr>
          <w:rtl/>
        </w:rPr>
        <w:t>"</w:t>
      </w:r>
      <w:r w:rsidRPr="00C9596C">
        <w:rPr>
          <w:rFonts w:hint="eastAsia"/>
          <w:rtl/>
        </w:rPr>
        <w:t>ץ</w:t>
      </w:r>
      <w:r w:rsidRPr="00C9596C">
        <w:rPr>
          <w:rtl/>
        </w:rPr>
        <w:t xml:space="preserve"> 73/53 </w:t>
      </w:r>
      <w:r w:rsidRPr="00C9596C">
        <w:rPr>
          <w:rFonts w:ascii="Century" w:hAnsi="Century" w:cs="Miriam" w:hint="eastAsia"/>
          <w:b/>
          <w:spacing w:val="0"/>
          <w:sz w:val="22"/>
          <w:szCs w:val="24"/>
          <w:rtl/>
        </w:rPr>
        <w:t>חברת</w:t>
      </w:r>
      <w:r w:rsidRPr="00C9596C">
        <w:rPr>
          <w:rFonts w:ascii="Century" w:hAnsi="Century" w:cs="Miriam"/>
          <w:b/>
          <w:spacing w:val="0"/>
          <w:sz w:val="22"/>
          <w:szCs w:val="24"/>
          <w:rtl/>
        </w:rPr>
        <w:t xml:space="preserve"> "</w:t>
      </w:r>
      <w:r w:rsidRPr="00C9596C">
        <w:rPr>
          <w:rFonts w:ascii="Century" w:hAnsi="Century" w:cs="Miriam" w:hint="eastAsia"/>
          <w:b/>
          <w:spacing w:val="0"/>
          <w:sz w:val="22"/>
          <w:szCs w:val="24"/>
          <w:rtl/>
        </w:rPr>
        <w:t>קול</w:t>
      </w:r>
      <w:r w:rsidRPr="00C9596C">
        <w:rPr>
          <w:rFonts w:ascii="Century" w:hAnsi="Century" w:cs="Miriam"/>
          <w:b/>
          <w:spacing w:val="0"/>
          <w:sz w:val="22"/>
          <w:szCs w:val="24"/>
          <w:rtl/>
        </w:rPr>
        <w:t xml:space="preserve"> </w:t>
      </w:r>
      <w:r w:rsidRPr="00C9596C">
        <w:rPr>
          <w:rFonts w:ascii="Century" w:hAnsi="Century" w:cs="Miriam" w:hint="eastAsia"/>
          <w:b/>
          <w:spacing w:val="0"/>
          <w:sz w:val="22"/>
          <w:szCs w:val="24"/>
          <w:rtl/>
        </w:rPr>
        <w:t>העם</w:t>
      </w:r>
      <w:r w:rsidRPr="00C9596C">
        <w:rPr>
          <w:rFonts w:ascii="Century" w:hAnsi="Century" w:cs="Miriam"/>
          <w:b/>
          <w:spacing w:val="0"/>
          <w:sz w:val="22"/>
          <w:szCs w:val="24"/>
          <w:rtl/>
        </w:rPr>
        <w:t>"</w:t>
      </w:r>
      <w:r>
        <w:rPr>
          <w:rFonts w:ascii="Century" w:hAnsi="Century" w:cs="Miriam" w:hint="cs"/>
          <w:b/>
          <w:spacing w:val="0"/>
          <w:sz w:val="22"/>
          <w:szCs w:val="24"/>
          <w:rtl/>
        </w:rPr>
        <w:t xml:space="preserve"> בע"מ</w:t>
      </w:r>
      <w:r w:rsidRPr="00C9596C">
        <w:rPr>
          <w:rFonts w:ascii="Century" w:hAnsi="Century" w:cs="Miriam"/>
          <w:b/>
          <w:spacing w:val="0"/>
          <w:sz w:val="22"/>
          <w:szCs w:val="24"/>
          <w:rtl/>
        </w:rPr>
        <w:t xml:space="preserve"> </w:t>
      </w:r>
      <w:r w:rsidRPr="00C9596C">
        <w:rPr>
          <w:rFonts w:ascii="Century" w:hAnsi="Century" w:cs="Miriam" w:hint="eastAsia"/>
          <w:b/>
          <w:spacing w:val="0"/>
          <w:sz w:val="22"/>
          <w:szCs w:val="24"/>
          <w:rtl/>
        </w:rPr>
        <w:t>נ</w:t>
      </w:r>
      <w:r w:rsidRPr="00C9596C">
        <w:rPr>
          <w:rFonts w:ascii="Century" w:hAnsi="Century" w:cs="Miriam"/>
          <w:b/>
          <w:spacing w:val="0"/>
          <w:sz w:val="22"/>
          <w:szCs w:val="24"/>
          <w:rtl/>
        </w:rPr>
        <w:t xml:space="preserve">' </w:t>
      </w:r>
      <w:r w:rsidRPr="00C9596C">
        <w:rPr>
          <w:rFonts w:ascii="Century" w:hAnsi="Century" w:cs="Miriam" w:hint="eastAsia"/>
          <w:b/>
          <w:spacing w:val="0"/>
          <w:sz w:val="22"/>
          <w:szCs w:val="24"/>
          <w:rtl/>
        </w:rPr>
        <w:t>שר</w:t>
      </w:r>
      <w:r w:rsidRPr="00C9596C">
        <w:rPr>
          <w:rFonts w:ascii="Century" w:hAnsi="Century" w:cs="Miriam"/>
          <w:b/>
          <w:spacing w:val="0"/>
          <w:sz w:val="22"/>
          <w:szCs w:val="24"/>
          <w:rtl/>
        </w:rPr>
        <w:t xml:space="preserve"> </w:t>
      </w:r>
      <w:r w:rsidRPr="00C9596C">
        <w:rPr>
          <w:rFonts w:ascii="Century" w:hAnsi="Century" w:cs="Miriam" w:hint="eastAsia"/>
          <w:b/>
          <w:spacing w:val="0"/>
          <w:sz w:val="22"/>
          <w:szCs w:val="24"/>
          <w:rtl/>
        </w:rPr>
        <w:t>הפנים</w:t>
      </w:r>
      <w:r w:rsidRPr="00C9596C">
        <w:rPr>
          <w:rtl/>
        </w:rPr>
        <w:t xml:space="preserve">, </w:t>
      </w:r>
      <w:r w:rsidRPr="00C9596C">
        <w:rPr>
          <w:rFonts w:hint="eastAsia"/>
          <w:rtl/>
        </w:rPr>
        <w:t>פ</w:t>
      </w:r>
      <w:r w:rsidRPr="00C9596C">
        <w:rPr>
          <w:rtl/>
        </w:rPr>
        <w:t>"</w:t>
      </w:r>
      <w:r w:rsidRPr="00C9596C">
        <w:rPr>
          <w:rFonts w:hint="eastAsia"/>
          <w:rtl/>
        </w:rPr>
        <w:t>ד</w:t>
      </w:r>
      <w:r w:rsidRPr="00C9596C">
        <w:rPr>
          <w:rtl/>
        </w:rPr>
        <w:t xml:space="preserve"> </w:t>
      </w:r>
      <w:r w:rsidRPr="00C9596C">
        <w:rPr>
          <w:rFonts w:hint="eastAsia"/>
          <w:rtl/>
        </w:rPr>
        <w:t>ז</w:t>
      </w:r>
      <w:r w:rsidRPr="00C9596C">
        <w:rPr>
          <w:rtl/>
        </w:rPr>
        <w:t xml:space="preserve"> 871, </w:t>
      </w:r>
      <w:r>
        <w:rPr>
          <w:rFonts w:hint="cs"/>
          <w:rtl/>
        </w:rPr>
        <w:t>892</w:t>
      </w:r>
      <w:r w:rsidRPr="00C9596C">
        <w:rPr>
          <w:rtl/>
        </w:rPr>
        <w:t xml:space="preserve"> (1953)</w:t>
      </w:r>
      <w:r>
        <w:rPr>
          <w:rFonts w:hint="cs"/>
          <w:rtl/>
        </w:rPr>
        <w:t xml:space="preserve"> (להלן: </w:t>
      </w:r>
      <w:r w:rsidRPr="002C0CD0">
        <w:rPr>
          <w:rFonts w:ascii="Century" w:hAnsi="Century" w:cs="Miriam" w:hint="eastAsia"/>
          <w:b/>
          <w:spacing w:val="0"/>
          <w:sz w:val="22"/>
          <w:szCs w:val="24"/>
          <w:rtl/>
        </w:rPr>
        <w:t>עניין</w:t>
      </w:r>
      <w:r w:rsidRPr="002C0CD0">
        <w:rPr>
          <w:rFonts w:ascii="Century" w:hAnsi="Century" w:cs="Miriam"/>
          <w:b/>
          <w:spacing w:val="0"/>
          <w:sz w:val="22"/>
          <w:szCs w:val="24"/>
          <w:rtl/>
        </w:rPr>
        <w:t xml:space="preserve"> </w:t>
      </w:r>
      <w:r w:rsidRPr="002C0CD0">
        <w:rPr>
          <w:rFonts w:ascii="Century" w:hAnsi="Century" w:cs="Miriam" w:hint="eastAsia"/>
          <w:b/>
          <w:spacing w:val="0"/>
          <w:sz w:val="22"/>
          <w:szCs w:val="24"/>
          <w:rtl/>
        </w:rPr>
        <w:t>קול</w:t>
      </w:r>
      <w:r w:rsidRPr="002C0CD0">
        <w:rPr>
          <w:rFonts w:ascii="Century" w:hAnsi="Century" w:cs="Miriam"/>
          <w:b/>
          <w:spacing w:val="0"/>
          <w:sz w:val="22"/>
          <w:szCs w:val="24"/>
          <w:rtl/>
        </w:rPr>
        <w:t xml:space="preserve"> </w:t>
      </w:r>
      <w:r w:rsidRPr="002C0CD0">
        <w:rPr>
          <w:rFonts w:ascii="Century" w:hAnsi="Century" w:cs="Miriam" w:hint="eastAsia"/>
          <w:b/>
          <w:spacing w:val="0"/>
          <w:sz w:val="22"/>
          <w:szCs w:val="24"/>
          <w:rtl/>
        </w:rPr>
        <w:t>העם</w:t>
      </w:r>
      <w:r>
        <w:rPr>
          <w:rFonts w:hint="cs"/>
          <w:rtl/>
        </w:rPr>
        <w:t>)).</w:t>
      </w:r>
      <w:r>
        <w:rPr>
          <w:rFonts w:ascii="Century" w:hAnsi="Century" w:cs="Miriam" w:hint="cs"/>
          <w:b/>
          <w:spacing w:val="0"/>
          <w:sz w:val="22"/>
          <w:szCs w:val="24"/>
          <w:rtl/>
        </w:rPr>
        <w:t xml:space="preserve"> </w:t>
      </w:r>
      <w:r w:rsidRPr="00915A48">
        <w:rPr>
          <w:rFonts w:ascii="Century" w:hAnsi="Century" w:cs="Miriam" w:hint="cs"/>
          <w:b/>
          <w:spacing w:val="0"/>
          <w:sz w:val="22"/>
          <w:szCs w:val="24"/>
          <w:rtl/>
        </w:rPr>
        <w:t>שלישית</w:t>
      </w:r>
      <w:r>
        <w:rPr>
          <w:rFonts w:hint="cs"/>
          <w:rtl/>
        </w:rPr>
        <w:t xml:space="preserve">, הובהר כי יש לבחון את חוסר הסבירות באמות מידה אובייקטיביות ("עובד הציבור הסביר"), וכי עקרון הסבירות קובע מתחם של אפשרויות סבירות שבתוכו לא יתערב בית המשפט בהחלטת הרשות המינהלית ולא יחליף את שיקול דעתה בשיקול דעתו (עניין </w:t>
      </w:r>
      <w:r w:rsidRPr="0052691E">
        <w:rPr>
          <w:rFonts w:ascii="Century" w:hAnsi="Century" w:cs="Miriam" w:hint="cs"/>
          <w:b/>
          <w:spacing w:val="0"/>
          <w:sz w:val="22"/>
          <w:szCs w:val="24"/>
          <w:rtl/>
        </w:rPr>
        <w:t>דפי זהב</w:t>
      </w:r>
      <w:r w:rsidRPr="00C9596C">
        <w:rPr>
          <w:rFonts w:hint="cs"/>
          <w:rtl/>
        </w:rPr>
        <w:t xml:space="preserve">, </w:t>
      </w:r>
      <w:r>
        <w:rPr>
          <w:rFonts w:hint="cs"/>
          <w:rtl/>
        </w:rPr>
        <w:t xml:space="preserve">בעמ' 443-439). </w:t>
      </w:r>
      <w:r w:rsidRPr="00385931">
        <w:rPr>
          <w:rFonts w:ascii="Century" w:hAnsi="Century" w:cs="Miriam" w:hint="cs"/>
          <w:b/>
          <w:spacing w:val="0"/>
          <w:sz w:val="22"/>
          <w:szCs w:val="24"/>
          <w:rtl/>
        </w:rPr>
        <w:t>רביעית</w:t>
      </w:r>
      <w:r>
        <w:rPr>
          <w:rFonts w:hint="cs"/>
          <w:rtl/>
        </w:rPr>
        <w:t xml:space="preserve">, צוין כי </w:t>
      </w:r>
      <w:r w:rsidRPr="00385931">
        <w:rPr>
          <w:rFonts w:hint="eastAsia"/>
          <w:rtl/>
        </w:rPr>
        <w:t>לצורך</w:t>
      </w:r>
      <w:r w:rsidRPr="00385931">
        <w:rPr>
          <w:rtl/>
        </w:rPr>
        <w:t xml:space="preserve"> </w:t>
      </w:r>
      <w:r w:rsidRPr="00385931">
        <w:rPr>
          <w:rFonts w:hint="eastAsia"/>
          <w:rtl/>
        </w:rPr>
        <w:t>התערבות</w:t>
      </w:r>
      <w:r w:rsidRPr="00385931">
        <w:rPr>
          <w:rtl/>
        </w:rPr>
        <w:t xml:space="preserve"> </w:t>
      </w:r>
      <w:r w:rsidRPr="00385931">
        <w:rPr>
          <w:rFonts w:hint="eastAsia"/>
          <w:rtl/>
        </w:rPr>
        <w:t>שיפוטית</w:t>
      </w:r>
      <w:r w:rsidRPr="00385931">
        <w:rPr>
          <w:rtl/>
        </w:rPr>
        <w:t xml:space="preserve"> </w:t>
      </w:r>
      <w:r>
        <w:rPr>
          <w:rFonts w:hint="cs"/>
          <w:rtl/>
        </w:rPr>
        <w:t xml:space="preserve">בהחלטת הרשות </w:t>
      </w:r>
      <w:r w:rsidRPr="00385931">
        <w:rPr>
          <w:rFonts w:hint="eastAsia"/>
          <w:rtl/>
        </w:rPr>
        <w:t>יש</w:t>
      </w:r>
      <w:r w:rsidRPr="00385931">
        <w:rPr>
          <w:rtl/>
        </w:rPr>
        <w:t xml:space="preserve"> </w:t>
      </w:r>
      <w:r w:rsidRPr="00385931">
        <w:rPr>
          <w:rFonts w:hint="eastAsia"/>
          <w:rtl/>
        </w:rPr>
        <w:t>להצביע</w:t>
      </w:r>
      <w:r w:rsidRPr="00385931">
        <w:rPr>
          <w:rtl/>
        </w:rPr>
        <w:t xml:space="preserve"> </w:t>
      </w:r>
      <w:r w:rsidRPr="00385931">
        <w:rPr>
          <w:rFonts w:hint="eastAsia"/>
          <w:rtl/>
        </w:rPr>
        <w:t>על</w:t>
      </w:r>
      <w:r w:rsidRPr="00385931">
        <w:rPr>
          <w:rtl/>
        </w:rPr>
        <w:t xml:space="preserve"> </w:t>
      </w:r>
      <w:r>
        <w:rPr>
          <w:rFonts w:hint="cs"/>
          <w:rtl/>
        </w:rPr>
        <w:t>אי-סבירות מהותית או קיצונית, היורדת לשורשו של עניין (</w:t>
      </w:r>
      <w:r w:rsidRPr="001177D4">
        <w:rPr>
          <w:rFonts w:ascii="Century" w:hAnsi="Century" w:cs="Miriam" w:hint="cs"/>
          <w:b/>
          <w:spacing w:val="0"/>
          <w:sz w:val="22"/>
          <w:szCs w:val="24"/>
          <w:rtl/>
        </w:rPr>
        <w:t>שם</w:t>
      </w:r>
      <w:r>
        <w:rPr>
          <w:rFonts w:hint="cs"/>
          <w:rtl/>
        </w:rPr>
        <w:t>, בעמ' 444).</w:t>
      </w:r>
    </w:p>
    <w:p w:rsidR="00C044AE" w:rsidRDefault="00C044AE" w:rsidP="00C044AE">
      <w:pPr>
        <w:pStyle w:val="Ruller41"/>
        <w:rPr>
          <w:rtl/>
        </w:rPr>
      </w:pPr>
    </w:p>
    <w:p w:rsidR="00C044AE" w:rsidRPr="00C9596C" w:rsidRDefault="00C044AE" w:rsidP="00C044AE">
      <w:pPr>
        <w:pStyle w:val="Ruller41"/>
        <w:rPr>
          <w:rtl/>
        </w:rPr>
      </w:pPr>
      <w:r>
        <w:rPr>
          <w:rtl/>
        </w:rPr>
        <w:tab/>
      </w:r>
      <w:r>
        <w:rPr>
          <w:rFonts w:hint="cs"/>
          <w:rtl/>
        </w:rPr>
        <w:t xml:space="preserve">השופטת </w:t>
      </w:r>
      <w:r w:rsidRPr="00C9596C">
        <w:rPr>
          <w:rFonts w:ascii="Century" w:hAnsi="Century" w:cs="Miriam" w:hint="cs"/>
          <w:b/>
          <w:spacing w:val="0"/>
          <w:szCs w:val="24"/>
          <w:rtl/>
        </w:rPr>
        <w:t>מ' בן-פורת</w:t>
      </w:r>
      <w:r w:rsidRPr="00C9596C">
        <w:rPr>
          <w:rFonts w:hint="cs"/>
          <w:rtl/>
        </w:rPr>
        <w:t xml:space="preserve"> </w:t>
      </w:r>
      <w:r>
        <w:rPr>
          <w:rFonts w:hint="cs"/>
          <w:rtl/>
        </w:rPr>
        <w:t xml:space="preserve">הצטרפה לעמדתו של השופט </w:t>
      </w:r>
      <w:r w:rsidRPr="003C0701">
        <w:rPr>
          <w:rFonts w:ascii="Century" w:hAnsi="Century" w:cs="Miriam" w:hint="eastAsia"/>
          <w:b/>
          <w:spacing w:val="0"/>
          <w:szCs w:val="24"/>
          <w:rtl/>
        </w:rPr>
        <w:t>ברק</w:t>
      </w:r>
      <w:r w:rsidRPr="00B74492">
        <w:rPr>
          <w:rFonts w:hint="cs"/>
          <w:rtl/>
        </w:rPr>
        <w:t xml:space="preserve"> </w:t>
      </w:r>
      <w:r>
        <w:rPr>
          <w:rFonts w:hint="cs"/>
          <w:rtl/>
        </w:rPr>
        <w:t xml:space="preserve">לפיה עילת הסבירות יכולה לשמש נימוק בלעדי המצדיק את התערבות בית המשפט. הנשיא </w:t>
      </w:r>
      <w:r w:rsidRPr="00C9596C">
        <w:rPr>
          <w:rFonts w:ascii="Century" w:hAnsi="Century" w:cs="Miriam" w:hint="cs"/>
          <w:b/>
          <w:spacing w:val="0"/>
          <w:szCs w:val="24"/>
          <w:rtl/>
        </w:rPr>
        <w:t>מ' לנדוי</w:t>
      </w:r>
      <w:r>
        <w:rPr>
          <w:rFonts w:hint="cs"/>
          <w:rtl/>
        </w:rPr>
        <w:t xml:space="preserve">, מצדו, סבר כי אין צורך להרחיב את עילת הסבירות כך שבמסגרת זו ייבחן גם האיזון בין השיקולים השונים בקבלת ההחלטה המינהלית; עם זאת, הנשיא </w:t>
      </w:r>
      <w:r w:rsidRPr="00C9596C">
        <w:rPr>
          <w:rFonts w:ascii="Century" w:hAnsi="Century" w:cs="Miriam" w:hint="cs"/>
          <w:b/>
          <w:spacing w:val="0"/>
          <w:szCs w:val="24"/>
          <w:rtl/>
        </w:rPr>
        <w:t>לנדוי</w:t>
      </w:r>
      <w:r w:rsidRPr="00C9596C">
        <w:rPr>
          <w:rFonts w:hint="cs"/>
          <w:rtl/>
        </w:rPr>
        <w:t xml:space="preserve"> </w:t>
      </w:r>
      <w:r>
        <w:rPr>
          <w:rFonts w:hint="cs"/>
          <w:rtl/>
        </w:rPr>
        <w:t xml:space="preserve">הבהיר כי למעשה ההבדל בין עמדתו ועמדת השופט </w:t>
      </w:r>
      <w:r w:rsidRPr="00C9596C">
        <w:rPr>
          <w:rFonts w:ascii="Century" w:hAnsi="Century" w:cs="Miriam" w:hint="cs"/>
          <w:b/>
          <w:spacing w:val="0"/>
          <w:szCs w:val="24"/>
          <w:rtl/>
        </w:rPr>
        <w:t>ברק</w:t>
      </w:r>
      <w:r>
        <w:rPr>
          <w:rFonts w:hint="cs"/>
          <w:rtl/>
        </w:rPr>
        <w:t xml:space="preserve"> אינו משמעותי, ומתמצה במידה רבה "בעניין שבמינוח" (</w:t>
      </w:r>
      <w:r w:rsidRPr="008A2F98">
        <w:rPr>
          <w:rFonts w:ascii="Century" w:hAnsi="Century" w:cs="Miriam" w:hint="cs"/>
          <w:b/>
          <w:spacing w:val="0"/>
          <w:szCs w:val="24"/>
          <w:rtl/>
        </w:rPr>
        <w:t>שם</w:t>
      </w:r>
      <w:r>
        <w:rPr>
          <w:rFonts w:hint="cs"/>
          <w:rtl/>
        </w:rPr>
        <w:t xml:space="preserve">, בעמ' 432). </w:t>
      </w:r>
    </w:p>
    <w:p w:rsidR="00C044AE" w:rsidRDefault="00C044AE" w:rsidP="00C044AE">
      <w:pPr>
        <w:pStyle w:val="Ruller41"/>
        <w:rPr>
          <w:rtl/>
        </w:rPr>
      </w:pPr>
    </w:p>
    <w:p w:rsidR="00C044AE" w:rsidRDefault="00C044AE" w:rsidP="00C044AE">
      <w:pPr>
        <w:pStyle w:val="Ruller4"/>
      </w:pPr>
      <w:r>
        <w:rPr>
          <w:rFonts w:hint="cs"/>
          <w:rtl/>
        </w:rPr>
        <w:t xml:space="preserve">מאז עניין </w:t>
      </w:r>
      <w:r w:rsidRPr="0060740E">
        <w:rPr>
          <w:rFonts w:ascii="Century" w:hAnsi="Century" w:cs="Miriam" w:hint="eastAsia"/>
          <w:b/>
          <w:spacing w:val="0"/>
          <w:sz w:val="22"/>
          <w:szCs w:val="24"/>
          <w:rtl/>
        </w:rPr>
        <w:t>דפי</w:t>
      </w:r>
      <w:r w:rsidRPr="0060740E">
        <w:rPr>
          <w:rFonts w:ascii="Century" w:hAnsi="Century" w:cs="Miriam"/>
          <w:b/>
          <w:spacing w:val="0"/>
          <w:sz w:val="22"/>
          <w:szCs w:val="24"/>
          <w:rtl/>
        </w:rPr>
        <w:t xml:space="preserve"> </w:t>
      </w:r>
      <w:r w:rsidRPr="0060740E">
        <w:rPr>
          <w:rFonts w:ascii="Century" w:hAnsi="Century" w:cs="Miriam" w:hint="eastAsia"/>
          <w:b/>
          <w:spacing w:val="0"/>
          <w:sz w:val="22"/>
          <w:szCs w:val="24"/>
          <w:rtl/>
        </w:rPr>
        <w:t>זהב</w:t>
      </w:r>
      <w:r w:rsidRPr="00EB5E57">
        <w:rPr>
          <w:rtl/>
        </w:rPr>
        <w:t xml:space="preserve"> </w:t>
      </w:r>
      <w:r>
        <w:rPr>
          <w:rFonts w:hint="cs"/>
          <w:rtl/>
        </w:rPr>
        <w:t xml:space="preserve">ומזה </w:t>
      </w:r>
      <w:r w:rsidRPr="00717AC4">
        <w:rPr>
          <w:rFonts w:hint="cs"/>
          <w:rtl/>
        </w:rPr>
        <w:t xml:space="preserve">למעלה </w:t>
      </w:r>
      <w:r>
        <w:rPr>
          <w:rFonts w:hint="cs"/>
          <w:rtl/>
        </w:rPr>
        <w:t xml:space="preserve">מארבעה עשורים, הלכה היא עמנו כי עילת הסבירות היא עילה מובחנת ועצמאית, לצד עילות אחרות הבוחנות את </w:t>
      </w:r>
      <w:r w:rsidRPr="00523C3F">
        <w:rPr>
          <w:rFonts w:ascii="Century" w:hAnsi="Century" w:cs="Miriam" w:hint="cs"/>
          <w:b/>
          <w:spacing w:val="0"/>
          <w:sz w:val="22"/>
          <w:szCs w:val="24"/>
          <w:rtl/>
        </w:rPr>
        <w:t>שיקול הדעת המ</w:t>
      </w:r>
      <w:r>
        <w:rPr>
          <w:rFonts w:ascii="Century" w:hAnsi="Century" w:cs="Miriam" w:hint="cs"/>
          <w:b/>
          <w:spacing w:val="0"/>
          <w:sz w:val="22"/>
          <w:szCs w:val="24"/>
          <w:rtl/>
        </w:rPr>
        <w:t>י</w:t>
      </w:r>
      <w:r w:rsidRPr="00523C3F">
        <w:rPr>
          <w:rFonts w:ascii="Century" w:hAnsi="Century" w:cs="Miriam" w:hint="cs"/>
          <w:b/>
          <w:spacing w:val="0"/>
          <w:sz w:val="22"/>
          <w:szCs w:val="24"/>
          <w:rtl/>
        </w:rPr>
        <w:t>נהלי</w:t>
      </w:r>
      <w:r w:rsidRPr="00523C3F">
        <w:rPr>
          <w:rFonts w:hint="cs"/>
          <w:rtl/>
        </w:rPr>
        <w:t xml:space="preserve"> </w:t>
      </w:r>
      <w:r>
        <w:rPr>
          <w:rFonts w:hint="cs"/>
          <w:rtl/>
        </w:rPr>
        <w:t>(כמו שיקולים זרים, מידתיות ואפליה), וכי היא "אינה מציינת עוד רק שרירות או חוסר היגיון מוחלט בהחלטה", אלא "בוחנת את האיזון הפנימי בין השיקולים שהפעילה הרשות" (</w:t>
      </w:r>
      <w:r w:rsidRPr="00AA3D89">
        <w:rPr>
          <w:rFonts w:ascii="Century" w:hAnsi="Century" w:cs="Miriam" w:hint="cs"/>
          <w:b/>
          <w:spacing w:val="0"/>
          <w:sz w:val="22"/>
          <w:szCs w:val="24"/>
          <w:rtl/>
        </w:rPr>
        <w:t>ברק</w:t>
      </w:r>
      <w:r>
        <w:rPr>
          <w:rFonts w:ascii="Century" w:hAnsi="Century" w:cs="Miriam" w:hint="cs"/>
          <w:b/>
          <w:spacing w:val="0"/>
          <w:sz w:val="22"/>
          <w:szCs w:val="24"/>
          <w:rtl/>
        </w:rPr>
        <w:t>-</w:t>
      </w:r>
      <w:r w:rsidRPr="00AA3D89">
        <w:rPr>
          <w:rFonts w:ascii="Century" w:hAnsi="Century" w:cs="Miriam" w:hint="cs"/>
          <w:b/>
          <w:spacing w:val="0"/>
          <w:sz w:val="22"/>
          <w:szCs w:val="24"/>
          <w:rtl/>
        </w:rPr>
        <w:t>ארז</w:t>
      </w:r>
      <w:r>
        <w:rPr>
          <w:rFonts w:ascii="Century" w:hAnsi="Century" w:cs="Miriam" w:hint="cs"/>
          <w:b/>
          <w:spacing w:val="0"/>
          <w:sz w:val="22"/>
          <w:szCs w:val="24"/>
          <w:rtl/>
        </w:rPr>
        <w:t xml:space="preserve"> "</w:t>
      </w:r>
      <w:r w:rsidRPr="00AA3D89">
        <w:rPr>
          <w:rFonts w:ascii="Century" w:hAnsi="Century" w:cs="Miriam" w:hint="cs"/>
          <w:b/>
          <w:spacing w:val="0"/>
          <w:sz w:val="22"/>
          <w:szCs w:val="24"/>
          <w:rtl/>
        </w:rPr>
        <w:t>משפט מינהלי</w:t>
      </w:r>
      <w:r>
        <w:rPr>
          <w:rFonts w:hint="cs"/>
          <w:rtl/>
        </w:rPr>
        <w:t xml:space="preserve">", בעמ' 725-724). במסגרת זו, בוחן בית המשפט האם שקלה הרשות המינהלית את מלוא השיקולים הרלוונטיים לעניין, והאם ניתן לכל אחד מהשיקולים הרלוונטיים משקלו היחסי הראוי (ראו, מיני רבים: </w:t>
      </w:r>
      <w:r w:rsidRPr="001B6FDB">
        <w:rPr>
          <w:rFonts w:hint="eastAsia"/>
          <w:rtl/>
        </w:rPr>
        <w:t>בג</w:t>
      </w:r>
      <w:r w:rsidRPr="001B6FDB">
        <w:rPr>
          <w:rtl/>
        </w:rPr>
        <w:t>"</w:t>
      </w:r>
      <w:r w:rsidRPr="001B6FDB">
        <w:rPr>
          <w:rFonts w:hint="eastAsia"/>
          <w:rtl/>
        </w:rPr>
        <w:t>ץ</w:t>
      </w:r>
      <w:r w:rsidRPr="001B6FDB">
        <w:rPr>
          <w:rtl/>
        </w:rPr>
        <w:t xml:space="preserve"> 5853/07 </w:t>
      </w:r>
      <w:r w:rsidRPr="001B6FDB">
        <w:rPr>
          <w:rFonts w:ascii="Century" w:hAnsi="Century" w:cs="Miriam" w:hint="eastAsia"/>
          <w:b/>
          <w:spacing w:val="0"/>
          <w:sz w:val="22"/>
          <w:szCs w:val="24"/>
          <w:rtl/>
        </w:rPr>
        <w:t>אמונה</w:t>
      </w:r>
      <w:r w:rsidRPr="001B6FDB">
        <w:rPr>
          <w:rFonts w:ascii="Century" w:hAnsi="Century" w:cs="Miriam"/>
          <w:b/>
          <w:spacing w:val="0"/>
          <w:sz w:val="22"/>
          <w:szCs w:val="24"/>
          <w:rtl/>
        </w:rPr>
        <w:t xml:space="preserve"> </w:t>
      </w:r>
      <w:r>
        <w:rPr>
          <w:rFonts w:ascii="Century" w:hAnsi="Century" w:cs="Miriam"/>
          <w:b/>
          <w:spacing w:val="0"/>
          <w:sz w:val="22"/>
          <w:szCs w:val="24"/>
          <w:rtl/>
        </w:rPr>
        <w:t>–</w:t>
      </w:r>
      <w:r>
        <w:rPr>
          <w:rFonts w:ascii="Century" w:hAnsi="Century" w:cs="Miriam" w:hint="cs"/>
          <w:b/>
          <w:spacing w:val="0"/>
          <w:sz w:val="22"/>
          <w:szCs w:val="24"/>
          <w:rtl/>
        </w:rPr>
        <w:t xml:space="preserve"> </w:t>
      </w:r>
      <w:r w:rsidRPr="001B6FDB">
        <w:rPr>
          <w:rFonts w:ascii="Century" w:hAnsi="Century" w:cs="Miriam" w:hint="eastAsia"/>
          <w:b/>
          <w:spacing w:val="0"/>
          <w:sz w:val="22"/>
          <w:szCs w:val="24"/>
          <w:rtl/>
        </w:rPr>
        <w:t>תנועת</w:t>
      </w:r>
      <w:r w:rsidRPr="001B6FDB">
        <w:rPr>
          <w:rFonts w:ascii="Century" w:hAnsi="Century" w:cs="Miriam"/>
          <w:b/>
          <w:spacing w:val="0"/>
          <w:sz w:val="22"/>
          <w:szCs w:val="24"/>
          <w:rtl/>
        </w:rPr>
        <w:t xml:space="preserve"> </w:t>
      </w:r>
      <w:r w:rsidRPr="001B6FDB">
        <w:rPr>
          <w:rFonts w:ascii="Century" w:hAnsi="Century" w:cs="Miriam" w:hint="eastAsia"/>
          <w:b/>
          <w:spacing w:val="0"/>
          <w:sz w:val="22"/>
          <w:szCs w:val="24"/>
          <w:rtl/>
        </w:rPr>
        <w:t>האשה</w:t>
      </w:r>
      <w:r w:rsidRPr="001B6FDB">
        <w:rPr>
          <w:rFonts w:ascii="Century" w:hAnsi="Century" w:cs="Miriam"/>
          <w:b/>
          <w:spacing w:val="0"/>
          <w:sz w:val="22"/>
          <w:szCs w:val="24"/>
          <w:rtl/>
        </w:rPr>
        <w:t xml:space="preserve"> </w:t>
      </w:r>
      <w:r w:rsidRPr="001B6FDB">
        <w:rPr>
          <w:rFonts w:ascii="Century" w:hAnsi="Century" w:cs="Miriam" w:hint="eastAsia"/>
          <w:b/>
          <w:spacing w:val="0"/>
          <w:sz w:val="22"/>
          <w:szCs w:val="24"/>
          <w:rtl/>
        </w:rPr>
        <w:t>הדתית</w:t>
      </w:r>
      <w:r w:rsidRPr="001B6FDB">
        <w:rPr>
          <w:rFonts w:ascii="Century" w:hAnsi="Century" w:cs="Miriam"/>
          <w:b/>
          <w:spacing w:val="0"/>
          <w:sz w:val="22"/>
          <w:szCs w:val="24"/>
          <w:rtl/>
        </w:rPr>
        <w:t xml:space="preserve"> </w:t>
      </w:r>
      <w:r w:rsidRPr="001B6FDB">
        <w:rPr>
          <w:rFonts w:ascii="Century" w:hAnsi="Century" w:cs="Miriam" w:hint="eastAsia"/>
          <w:b/>
          <w:spacing w:val="0"/>
          <w:sz w:val="22"/>
          <w:szCs w:val="24"/>
          <w:rtl/>
        </w:rPr>
        <w:t>לאומית</w:t>
      </w:r>
      <w:r w:rsidRPr="001B6FDB">
        <w:rPr>
          <w:rFonts w:ascii="Century" w:hAnsi="Century" w:cs="Miriam"/>
          <w:b/>
          <w:spacing w:val="0"/>
          <w:sz w:val="22"/>
          <w:szCs w:val="24"/>
          <w:rtl/>
        </w:rPr>
        <w:t xml:space="preserve"> </w:t>
      </w:r>
      <w:r w:rsidRPr="001B6FDB">
        <w:rPr>
          <w:rFonts w:ascii="Century" w:hAnsi="Century" w:cs="Miriam" w:hint="eastAsia"/>
          <w:b/>
          <w:spacing w:val="0"/>
          <w:sz w:val="22"/>
          <w:szCs w:val="24"/>
          <w:rtl/>
        </w:rPr>
        <w:t>נ</w:t>
      </w:r>
      <w:r w:rsidRPr="001B6FDB">
        <w:rPr>
          <w:rFonts w:ascii="Century" w:hAnsi="Century" w:cs="Miriam"/>
          <w:b/>
          <w:spacing w:val="0"/>
          <w:sz w:val="22"/>
          <w:szCs w:val="24"/>
          <w:rtl/>
        </w:rPr>
        <w:t xml:space="preserve">' </w:t>
      </w:r>
      <w:r w:rsidRPr="001B6FDB">
        <w:rPr>
          <w:rFonts w:ascii="Century" w:hAnsi="Century" w:cs="Miriam" w:hint="eastAsia"/>
          <w:b/>
          <w:spacing w:val="0"/>
          <w:sz w:val="22"/>
          <w:szCs w:val="24"/>
          <w:rtl/>
        </w:rPr>
        <w:t>ראש</w:t>
      </w:r>
      <w:r w:rsidRPr="001B6FDB">
        <w:rPr>
          <w:rFonts w:ascii="Century" w:hAnsi="Century" w:cs="Miriam"/>
          <w:b/>
          <w:spacing w:val="0"/>
          <w:sz w:val="22"/>
          <w:szCs w:val="24"/>
          <w:rtl/>
        </w:rPr>
        <w:t xml:space="preserve"> </w:t>
      </w:r>
      <w:r w:rsidRPr="001B6FDB">
        <w:rPr>
          <w:rFonts w:ascii="Century" w:hAnsi="Century" w:cs="Miriam" w:hint="eastAsia"/>
          <w:b/>
          <w:spacing w:val="0"/>
          <w:sz w:val="22"/>
          <w:szCs w:val="24"/>
          <w:rtl/>
        </w:rPr>
        <w:t>הממשלה</w:t>
      </w:r>
      <w:r>
        <w:rPr>
          <w:rFonts w:hint="cs"/>
          <w:rtl/>
        </w:rPr>
        <w:t>, פ"ד</w:t>
      </w:r>
      <w:r w:rsidRPr="001B6FDB">
        <w:rPr>
          <w:rtl/>
        </w:rPr>
        <w:t xml:space="preserve"> </w:t>
      </w:r>
      <w:r w:rsidRPr="001B6FDB">
        <w:rPr>
          <w:rFonts w:hint="eastAsia"/>
          <w:rtl/>
        </w:rPr>
        <w:t>סב</w:t>
      </w:r>
      <w:r w:rsidRPr="001B6FDB">
        <w:rPr>
          <w:rtl/>
        </w:rPr>
        <w:t xml:space="preserve">(3) </w:t>
      </w:r>
      <w:r w:rsidRPr="007F06AC">
        <w:rPr>
          <w:rtl/>
        </w:rPr>
        <w:t>445</w:t>
      </w:r>
      <w:r w:rsidRPr="007F06AC">
        <w:rPr>
          <w:rFonts w:hint="cs"/>
          <w:rtl/>
        </w:rPr>
        <w:t xml:space="preserve">, 487-486 </w:t>
      </w:r>
      <w:r w:rsidRPr="007F06AC">
        <w:rPr>
          <w:rtl/>
        </w:rPr>
        <w:t>(2007)</w:t>
      </w:r>
      <w:r>
        <w:rPr>
          <w:rFonts w:hint="cs"/>
          <w:rtl/>
        </w:rPr>
        <w:t xml:space="preserve"> (להלן: </w:t>
      </w:r>
      <w:r w:rsidRPr="00594147">
        <w:rPr>
          <w:rFonts w:ascii="Century" w:hAnsi="Century" w:cs="Miriam" w:hint="eastAsia"/>
          <w:b/>
          <w:spacing w:val="0"/>
          <w:sz w:val="22"/>
          <w:szCs w:val="24"/>
          <w:rtl/>
        </w:rPr>
        <w:t>עניין</w:t>
      </w:r>
      <w:r w:rsidRPr="00594147">
        <w:rPr>
          <w:rFonts w:ascii="Century" w:hAnsi="Century" w:cs="Miriam"/>
          <w:b/>
          <w:spacing w:val="0"/>
          <w:sz w:val="22"/>
          <w:szCs w:val="24"/>
          <w:rtl/>
        </w:rPr>
        <w:t xml:space="preserve"> </w:t>
      </w:r>
      <w:r w:rsidRPr="00594147">
        <w:rPr>
          <w:rFonts w:ascii="Century" w:hAnsi="Century" w:cs="Miriam" w:hint="eastAsia"/>
          <w:b/>
          <w:spacing w:val="0"/>
          <w:sz w:val="22"/>
          <w:szCs w:val="24"/>
          <w:rtl/>
        </w:rPr>
        <w:t>אמונה</w:t>
      </w:r>
      <w:r>
        <w:rPr>
          <w:rFonts w:hint="cs"/>
          <w:rtl/>
        </w:rPr>
        <w:t>)</w:t>
      </w:r>
      <w:r w:rsidRPr="007F06AC">
        <w:rPr>
          <w:rFonts w:hint="cs"/>
          <w:rtl/>
        </w:rPr>
        <w:t>;</w:t>
      </w:r>
      <w:r w:rsidRPr="007F06AC">
        <w:rPr>
          <w:rtl/>
        </w:rPr>
        <w:t xml:space="preserve"> </w:t>
      </w:r>
      <w:r w:rsidRPr="00144488">
        <w:rPr>
          <w:rFonts w:hint="eastAsia"/>
          <w:rtl/>
        </w:rPr>
        <w:t>בג</w:t>
      </w:r>
      <w:r w:rsidRPr="00144488">
        <w:rPr>
          <w:rtl/>
        </w:rPr>
        <w:t>"</w:t>
      </w:r>
      <w:r w:rsidRPr="00144488">
        <w:rPr>
          <w:rFonts w:hint="eastAsia"/>
          <w:rtl/>
        </w:rPr>
        <w:t>ץ</w:t>
      </w:r>
      <w:r w:rsidRPr="00144488">
        <w:rPr>
          <w:rtl/>
        </w:rPr>
        <w:t xml:space="preserve"> 3823/22 </w:t>
      </w:r>
      <w:r w:rsidRPr="00144488">
        <w:rPr>
          <w:rFonts w:ascii="Century" w:hAnsi="Century" w:cs="Miriam" w:hint="eastAsia"/>
          <w:b/>
          <w:spacing w:val="0"/>
          <w:sz w:val="22"/>
          <w:szCs w:val="24"/>
          <w:rtl/>
        </w:rPr>
        <w:t>נתניהו</w:t>
      </w:r>
      <w:r w:rsidRPr="00144488">
        <w:rPr>
          <w:rFonts w:ascii="Century" w:hAnsi="Century" w:cs="Miriam"/>
          <w:b/>
          <w:spacing w:val="0"/>
          <w:sz w:val="22"/>
          <w:szCs w:val="24"/>
          <w:rtl/>
        </w:rPr>
        <w:t xml:space="preserve"> </w:t>
      </w:r>
      <w:r w:rsidRPr="00144488">
        <w:rPr>
          <w:rFonts w:ascii="Century" w:hAnsi="Century" w:cs="Miriam" w:hint="eastAsia"/>
          <w:b/>
          <w:spacing w:val="0"/>
          <w:sz w:val="22"/>
          <w:szCs w:val="24"/>
          <w:rtl/>
        </w:rPr>
        <w:t>נ</w:t>
      </w:r>
      <w:r w:rsidRPr="00144488">
        <w:rPr>
          <w:rFonts w:ascii="Century" w:hAnsi="Century" w:cs="Miriam"/>
          <w:b/>
          <w:spacing w:val="0"/>
          <w:sz w:val="22"/>
          <w:szCs w:val="24"/>
          <w:rtl/>
        </w:rPr>
        <w:t xml:space="preserve">' </w:t>
      </w:r>
      <w:r w:rsidRPr="00144488">
        <w:rPr>
          <w:rFonts w:ascii="Century" w:hAnsi="Century" w:cs="Miriam" w:hint="eastAsia"/>
          <w:b/>
          <w:spacing w:val="0"/>
          <w:sz w:val="22"/>
          <w:szCs w:val="24"/>
          <w:rtl/>
        </w:rPr>
        <w:t>היועצת</w:t>
      </w:r>
      <w:r w:rsidRPr="00144488">
        <w:rPr>
          <w:rFonts w:ascii="Century" w:hAnsi="Century" w:cs="Miriam"/>
          <w:b/>
          <w:spacing w:val="0"/>
          <w:sz w:val="22"/>
          <w:szCs w:val="24"/>
          <w:rtl/>
        </w:rPr>
        <w:t xml:space="preserve"> </w:t>
      </w:r>
      <w:r w:rsidRPr="00144488">
        <w:rPr>
          <w:rFonts w:ascii="Century" w:hAnsi="Century" w:cs="Miriam" w:hint="eastAsia"/>
          <w:b/>
          <w:spacing w:val="0"/>
          <w:sz w:val="22"/>
          <w:szCs w:val="24"/>
          <w:rtl/>
        </w:rPr>
        <w:t>המשפטית</w:t>
      </w:r>
      <w:r w:rsidRPr="00144488">
        <w:rPr>
          <w:rFonts w:ascii="Century" w:hAnsi="Century" w:cs="Miriam"/>
          <w:b/>
          <w:spacing w:val="0"/>
          <w:sz w:val="22"/>
          <w:szCs w:val="24"/>
          <w:rtl/>
        </w:rPr>
        <w:t xml:space="preserve"> </w:t>
      </w:r>
      <w:r w:rsidRPr="00144488">
        <w:rPr>
          <w:rFonts w:ascii="Century" w:hAnsi="Century" w:cs="Miriam" w:hint="eastAsia"/>
          <w:b/>
          <w:spacing w:val="0"/>
          <w:sz w:val="22"/>
          <w:szCs w:val="24"/>
          <w:rtl/>
        </w:rPr>
        <w:t>לממשלה</w:t>
      </w:r>
      <w:r>
        <w:rPr>
          <w:rFonts w:hint="cs"/>
          <w:rtl/>
        </w:rPr>
        <w:t xml:space="preserve">, פסקה 4 לחוות דעתה של השופטת </w:t>
      </w:r>
      <w:r w:rsidRPr="005C00C8">
        <w:rPr>
          <w:rFonts w:ascii="Century" w:hAnsi="Century" w:cs="Miriam" w:hint="eastAsia"/>
          <w:b/>
          <w:spacing w:val="0"/>
          <w:sz w:val="22"/>
          <w:szCs w:val="24"/>
          <w:rtl/>
        </w:rPr>
        <w:t>ד</w:t>
      </w:r>
      <w:r w:rsidRPr="005C00C8">
        <w:rPr>
          <w:rFonts w:ascii="Century" w:hAnsi="Century" w:cs="Miriam"/>
          <w:b/>
          <w:spacing w:val="0"/>
          <w:sz w:val="22"/>
          <w:szCs w:val="24"/>
          <w:rtl/>
        </w:rPr>
        <w:t>'</w:t>
      </w:r>
      <w:r>
        <w:rPr>
          <w:rFonts w:hint="cs"/>
          <w:rtl/>
        </w:rPr>
        <w:t xml:space="preserve"> </w:t>
      </w:r>
      <w:r w:rsidRPr="00ED3CD4">
        <w:rPr>
          <w:rFonts w:ascii="Century" w:hAnsi="Century" w:cs="Miriam" w:hint="cs"/>
          <w:b/>
          <w:spacing w:val="0"/>
          <w:sz w:val="22"/>
          <w:szCs w:val="24"/>
          <w:rtl/>
        </w:rPr>
        <w:t>ברק-ארז</w:t>
      </w:r>
      <w:r w:rsidRPr="00144488">
        <w:rPr>
          <w:rtl/>
        </w:rPr>
        <w:t xml:space="preserve"> (17</w:t>
      </w:r>
      <w:r>
        <w:rPr>
          <w:rFonts w:hint="cs"/>
          <w:rtl/>
        </w:rPr>
        <w:t>.7</w:t>
      </w:r>
      <w:r w:rsidRPr="00144488">
        <w:rPr>
          <w:rtl/>
        </w:rPr>
        <w:t>.2023)</w:t>
      </w:r>
      <w:r>
        <w:rPr>
          <w:rFonts w:hint="cs"/>
          <w:rtl/>
        </w:rPr>
        <w:t xml:space="preserve"> (להלן: </w:t>
      </w:r>
      <w:r w:rsidRPr="00EC475E">
        <w:rPr>
          <w:rFonts w:ascii="Century" w:hAnsi="Century" w:cs="Miriam" w:hint="eastAsia"/>
          <w:b/>
          <w:spacing w:val="0"/>
          <w:sz w:val="22"/>
          <w:szCs w:val="24"/>
          <w:rtl/>
        </w:rPr>
        <w:t>עניין</w:t>
      </w:r>
      <w:r w:rsidRPr="00EC475E">
        <w:rPr>
          <w:rFonts w:ascii="Century" w:hAnsi="Century" w:cs="Miriam"/>
          <w:b/>
          <w:spacing w:val="0"/>
          <w:sz w:val="22"/>
          <w:szCs w:val="24"/>
          <w:rtl/>
        </w:rPr>
        <w:t xml:space="preserve"> </w:t>
      </w:r>
      <w:r w:rsidRPr="00EC475E">
        <w:rPr>
          <w:rFonts w:ascii="Century" w:hAnsi="Century" w:cs="Miriam" w:hint="eastAsia"/>
          <w:b/>
          <w:spacing w:val="0"/>
          <w:sz w:val="22"/>
          <w:szCs w:val="24"/>
          <w:rtl/>
        </w:rPr>
        <w:t>נתניהו</w:t>
      </w:r>
      <w:r>
        <w:rPr>
          <w:rFonts w:hint="cs"/>
          <w:rtl/>
        </w:rPr>
        <w:t>);</w:t>
      </w:r>
      <w:r w:rsidRPr="00143505">
        <w:rPr>
          <w:rtl/>
        </w:rPr>
        <w:t xml:space="preserve"> </w:t>
      </w:r>
      <w:r w:rsidRPr="00295183">
        <w:rPr>
          <w:rFonts w:hint="eastAsia"/>
          <w:rtl/>
        </w:rPr>
        <w:t>בג</w:t>
      </w:r>
      <w:r w:rsidRPr="00295183">
        <w:rPr>
          <w:rtl/>
        </w:rPr>
        <w:t>"</w:t>
      </w:r>
      <w:r w:rsidRPr="00295183">
        <w:rPr>
          <w:rFonts w:hint="eastAsia"/>
          <w:rtl/>
        </w:rPr>
        <w:t>ץ</w:t>
      </w:r>
      <w:r w:rsidRPr="00295183">
        <w:rPr>
          <w:rtl/>
        </w:rPr>
        <w:t xml:space="preserve"> 935/89</w:t>
      </w:r>
      <w:r w:rsidRPr="00295183">
        <w:rPr>
          <w:rFonts w:hint="cs"/>
          <w:rtl/>
        </w:rPr>
        <w:t xml:space="preserve"> </w:t>
      </w:r>
      <w:r w:rsidRPr="00295183">
        <w:rPr>
          <w:rFonts w:ascii="Century" w:hAnsi="Century" w:cs="Miriam" w:hint="eastAsia"/>
          <w:b/>
          <w:spacing w:val="0"/>
          <w:sz w:val="22"/>
          <w:szCs w:val="24"/>
          <w:rtl/>
        </w:rPr>
        <w:t>גנור</w:t>
      </w:r>
      <w:r w:rsidRPr="00295183">
        <w:rPr>
          <w:rFonts w:ascii="Century" w:hAnsi="Century" w:cs="Miriam"/>
          <w:b/>
          <w:spacing w:val="0"/>
          <w:sz w:val="22"/>
          <w:szCs w:val="24"/>
          <w:rtl/>
        </w:rPr>
        <w:t xml:space="preserve"> </w:t>
      </w:r>
      <w:r w:rsidRPr="00295183">
        <w:rPr>
          <w:rFonts w:ascii="Century" w:hAnsi="Century" w:cs="Miriam" w:hint="eastAsia"/>
          <w:b/>
          <w:spacing w:val="0"/>
          <w:sz w:val="22"/>
          <w:szCs w:val="24"/>
          <w:rtl/>
        </w:rPr>
        <w:t>נ</w:t>
      </w:r>
      <w:r w:rsidRPr="00295183">
        <w:rPr>
          <w:rFonts w:ascii="Century" w:hAnsi="Century" w:cs="Miriam"/>
          <w:b/>
          <w:spacing w:val="0"/>
          <w:sz w:val="22"/>
          <w:szCs w:val="24"/>
          <w:rtl/>
        </w:rPr>
        <w:t xml:space="preserve">' </w:t>
      </w:r>
      <w:r w:rsidRPr="00295183">
        <w:rPr>
          <w:rFonts w:ascii="Century" w:hAnsi="Century" w:cs="Miriam" w:hint="eastAsia"/>
          <w:b/>
          <w:spacing w:val="0"/>
          <w:sz w:val="22"/>
          <w:szCs w:val="24"/>
          <w:rtl/>
        </w:rPr>
        <w:t>היועץ</w:t>
      </w:r>
      <w:r w:rsidRPr="00295183">
        <w:rPr>
          <w:rFonts w:ascii="Century" w:hAnsi="Century" w:cs="Miriam"/>
          <w:b/>
          <w:spacing w:val="0"/>
          <w:sz w:val="22"/>
          <w:szCs w:val="24"/>
          <w:rtl/>
        </w:rPr>
        <w:t xml:space="preserve"> </w:t>
      </w:r>
      <w:r w:rsidRPr="00295183">
        <w:rPr>
          <w:rFonts w:ascii="Century" w:hAnsi="Century" w:cs="Miriam" w:hint="eastAsia"/>
          <w:b/>
          <w:spacing w:val="0"/>
          <w:sz w:val="22"/>
          <w:szCs w:val="24"/>
          <w:rtl/>
        </w:rPr>
        <w:t>המשפטי</w:t>
      </w:r>
      <w:r w:rsidRPr="00295183">
        <w:rPr>
          <w:rFonts w:ascii="Century" w:hAnsi="Century" w:cs="Miriam"/>
          <w:b/>
          <w:spacing w:val="0"/>
          <w:sz w:val="22"/>
          <w:szCs w:val="24"/>
          <w:rtl/>
        </w:rPr>
        <w:t xml:space="preserve"> </w:t>
      </w:r>
      <w:r w:rsidRPr="00295183">
        <w:rPr>
          <w:rFonts w:ascii="Century" w:hAnsi="Century" w:cs="Miriam" w:hint="eastAsia"/>
          <w:b/>
          <w:spacing w:val="0"/>
          <w:sz w:val="22"/>
          <w:szCs w:val="24"/>
          <w:rtl/>
        </w:rPr>
        <w:t>לממשלה</w:t>
      </w:r>
      <w:r w:rsidRPr="00295183">
        <w:rPr>
          <w:rtl/>
        </w:rPr>
        <w:t xml:space="preserve">, </w:t>
      </w:r>
      <w:r w:rsidRPr="00295183">
        <w:rPr>
          <w:rFonts w:hint="eastAsia"/>
          <w:rtl/>
        </w:rPr>
        <w:t>פ</w:t>
      </w:r>
      <w:r w:rsidRPr="00295183">
        <w:rPr>
          <w:rtl/>
        </w:rPr>
        <w:t>"</w:t>
      </w:r>
      <w:r w:rsidRPr="00295183">
        <w:rPr>
          <w:rFonts w:hint="eastAsia"/>
          <w:rtl/>
        </w:rPr>
        <w:t>ד</w:t>
      </w:r>
      <w:r w:rsidRPr="00295183">
        <w:rPr>
          <w:rtl/>
        </w:rPr>
        <w:t xml:space="preserve"> </w:t>
      </w:r>
      <w:r w:rsidRPr="00295183">
        <w:rPr>
          <w:rFonts w:hint="eastAsia"/>
          <w:rtl/>
        </w:rPr>
        <w:t>מד</w:t>
      </w:r>
      <w:r w:rsidRPr="00295183">
        <w:rPr>
          <w:rtl/>
        </w:rPr>
        <w:t>(2) 485, 516-</w:t>
      </w:r>
      <w:r w:rsidRPr="00827616">
        <w:rPr>
          <w:rtl/>
        </w:rPr>
        <w:t>514 (1990)</w:t>
      </w:r>
      <w:r>
        <w:rPr>
          <w:rFonts w:hint="cs"/>
          <w:rtl/>
        </w:rPr>
        <w:t xml:space="preserve"> (להלן: </w:t>
      </w:r>
      <w:r w:rsidRPr="002C0CD0">
        <w:rPr>
          <w:rFonts w:ascii="Century" w:hAnsi="Century" w:cs="Miriam" w:hint="eastAsia"/>
          <w:b/>
          <w:spacing w:val="0"/>
          <w:sz w:val="22"/>
          <w:szCs w:val="24"/>
          <w:rtl/>
        </w:rPr>
        <w:t>עניין</w:t>
      </w:r>
      <w:r w:rsidRPr="002C0CD0">
        <w:rPr>
          <w:rFonts w:ascii="Century" w:hAnsi="Century" w:cs="Miriam"/>
          <w:b/>
          <w:spacing w:val="0"/>
          <w:sz w:val="22"/>
          <w:szCs w:val="24"/>
          <w:rtl/>
        </w:rPr>
        <w:t xml:space="preserve"> </w:t>
      </w:r>
      <w:r w:rsidRPr="002C0CD0">
        <w:rPr>
          <w:rFonts w:ascii="Century" w:hAnsi="Century" w:cs="Miriam" w:hint="eastAsia"/>
          <w:b/>
          <w:spacing w:val="0"/>
          <w:sz w:val="22"/>
          <w:szCs w:val="24"/>
          <w:rtl/>
        </w:rPr>
        <w:t>גנור</w:t>
      </w:r>
      <w:r>
        <w:rPr>
          <w:rFonts w:hint="cs"/>
          <w:rtl/>
        </w:rPr>
        <w:t>)</w:t>
      </w:r>
      <w:r w:rsidRPr="00827616">
        <w:rPr>
          <w:rFonts w:hint="cs"/>
          <w:rtl/>
        </w:rPr>
        <w:t xml:space="preserve">). </w:t>
      </w:r>
    </w:p>
    <w:p w:rsidR="00C044AE" w:rsidRDefault="00C044AE" w:rsidP="00C044AE">
      <w:pPr>
        <w:pStyle w:val="Ruller4"/>
        <w:numPr>
          <w:ilvl w:val="0"/>
          <w:numId w:val="0"/>
        </w:numPr>
        <w:rPr>
          <w:rtl/>
        </w:rPr>
      </w:pPr>
    </w:p>
    <w:p w:rsidR="00C044AE" w:rsidRPr="00DE7325" w:rsidRDefault="00C044AE" w:rsidP="00C044AE">
      <w:pPr>
        <w:pStyle w:val="Ruller4"/>
        <w:numPr>
          <w:ilvl w:val="0"/>
          <w:numId w:val="0"/>
        </w:numPr>
      </w:pPr>
      <w:r>
        <w:rPr>
          <w:rtl/>
        </w:rPr>
        <w:tab/>
      </w:r>
      <w:r w:rsidRPr="008B446F">
        <w:rPr>
          <w:rFonts w:hint="cs"/>
          <w:rtl/>
        </w:rPr>
        <w:t xml:space="preserve">זהו כלל הסבירות אשר חל </w:t>
      </w:r>
      <w:r w:rsidRPr="008B446F">
        <w:rPr>
          <w:rtl/>
        </w:rPr>
        <w:t>–</w:t>
      </w:r>
      <w:r w:rsidRPr="008B446F">
        <w:rPr>
          <w:rFonts w:hint="cs"/>
          <w:rtl/>
        </w:rPr>
        <w:t xml:space="preserve"> עד לתיקון נושא העתירות דנן </w:t>
      </w:r>
      <w:r w:rsidRPr="008B446F">
        <w:rPr>
          <w:rtl/>
        </w:rPr>
        <w:t>–</w:t>
      </w:r>
      <w:r w:rsidRPr="008B446F">
        <w:rPr>
          <w:rFonts w:hint="cs"/>
          <w:rtl/>
        </w:rPr>
        <w:t xml:space="preserve"> על </w:t>
      </w:r>
      <w:r w:rsidRPr="008B446F">
        <w:rPr>
          <w:rFonts w:ascii="Century" w:hAnsi="Century" w:cs="Miriam" w:hint="cs"/>
          <w:b/>
          <w:spacing w:val="0"/>
          <w:sz w:val="22"/>
          <w:szCs w:val="24"/>
          <w:rtl/>
        </w:rPr>
        <w:t>כל</w:t>
      </w:r>
      <w:r w:rsidRPr="008B446F">
        <w:rPr>
          <w:rFonts w:hint="cs"/>
          <w:rtl/>
        </w:rPr>
        <w:t xml:space="preserve"> רשויות המנהל, לרבות הממשלה ושריה</w:t>
      </w:r>
      <w:r>
        <w:rPr>
          <w:rFonts w:hint="cs"/>
          <w:rtl/>
        </w:rPr>
        <w:t xml:space="preserve"> (ראו:</w:t>
      </w:r>
      <w:r w:rsidRPr="007B7683">
        <w:rPr>
          <w:rFonts w:hint="eastAsia"/>
          <w:rtl/>
        </w:rPr>
        <w:t xml:space="preserve"> בג</w:t>
      </w:r>
      <w:r w:rsidRPr="007B7683">
        <w:rPr>
          <w:rtl/>
        </w:rPr>
        <w:t>"</w:t>
      </w:r>
      <w:r w:rsidRPr="007B7683">
        <w:rPr>
          <w:rFonts w:hint="eastAsia"/>
          <w:rtl/>
        </w:rPr>
        <w:t>ץ</w:t>
      </w:r>
      <w:r w:rsidRPr="007B7683">
        <w:rPr>
          <w:rtl/>
        </w:rPr>
        <w:t xml:space="preserve"> 2624/97 </w:t>
      </w:r>
      <w:r w:rsidRPr="00594147">
        <w:rPr>
          <w:rFonts w:ascii="Century" w:hAnsi="Century" w:cs="Miriam" w:hint="eastAsia"/>
          <w:b/>
          <w:spacing w:val="0"/>
          <w:sz w:val="22"/>
          <w:szCs w:val="24"/>
          <w:rtl/>
        </w:rPr>
        <w:t>רונאל</w:t>
      </w:r>
      <w:r w:rsidRPr="00594147">
        <w:rPr>
          <w:rFonts w:ascii="Century" w:hAnsi="Century" w:cs="Miriam"/>
          <w:b/>
          <w:spacing w:val="0"/>
          <w:sz w:val="22"/>
          <w:szCs w:val="24"/>
          <w:rtl/>
        </w:rPr>
        <w:t xml:space="preserve"> </w:t>
      </w:r>
      <w:r w:rsidRPr="00594147">
        <w:rPr>
          <w:rFonts w:ascii="Century" w:hAnsi="Century" w:cs="Miriam" w:hint="eastAsia"/>
          <w:b/>
          <w:spacing w:val="0"/>
          <w:sz w:val="22"/>
          <w:szCs w:val="24"/>
          <w:rtl/>
        </w:rPr>
        <w:t>נ</w:t>
      </w:r>
      <w:r w:rsidRPr="00594147">
        <w:rPr>
          <w:rFonts w:ascii="Century" w:hAnsi="Century" w:cs="Miriam"/>
          <w:b/>
          <w:spacing w:val="0"/>
          <w:sz w:val="22"/>
          <w:szCs w:val="24"/>
          <w:rtl/>
        </w:rPr>
        <w:t xml:space="preserve">' </w:t>
      </w:r>
      <w:r w:rsidRPr="00594147">
        <w:rPr>
          <w:rFonts w:ascii="Century" w:hAnsi="Century" w:cs="Miriam" w:hint="eastAsia"/>
          <w:b/>
          <w:spacing w:val="0"/>
          <w:sz w:val="22"/>
          <w:szCs w:val="24"/>
          <w:rtl/>
        </w:rPr>
        <w:t>ממשלת</w:t>
      </w:r>
      <w:r w:rsidRPr="00594147">
        <w:rPr>
          <w:rFonts w:ascii="Century" w:hAnsi="Century" w:cs="Miriam"/>
          <w:b/>
          <w:spacing w:val="0"/>
          <w:sz w:val="22"/>
          <w:szCs w:val="24"/>
          <w:rtl/>
        </w:rPr>
        <w:t xml:space="preserve"> </w:t>
      </w:r>
      <w:r w:rsidRPr="00594147">
        <w:rPr>
          <w:rFonts w:ascii="Century" w:hAnsi="Century" w:cs="Miriam" w:hint="eastAsia"/>
          <w:b/>
          <w:spacing w:val="0"/>
          <w:sz w:val="22"/>
          <w:szCs w:val="24"/>
          <w:rtl/>
        </w:rPr>
        <w:t>ישראל</w:t>
      </w:r>
      <w:r w:rsidRPr="007B7683">
        <w:rPr>
          <w:rtl/>
        </w:rPr>
        <w:t xml:space="preserve">, </w:t>
      </w:r>
      <w:r w:rsidRPr="007B7683">
        <w:rPr>
          <w:rFonts w:hint="eastAsia"/>
          <w:rtl/>
        </w:rPr>
        <w:t>פ</w:t>
      </w:r>
      <w:r w:rsidRPr="007B7683">
        <w:rPr>
          <w:rtl/>
        </w:rPr>
        <w:t>"</w:t>
      </w:r>
      <w:r w:rsidRPr="007B7683">
        <w:rPr>
          <w:rFonts w:hint="eastAsia"/>
          <w:rtl/>
        </w:rPr>
        <w:t>ד</w:t>
      </w:r>
      <w:r w:rsidRPr="007B7683">
        <w:rPr>
          <w:rtl/>
        </w:rPr>
        <w:t xml:space="preserve"> </w:t>
      </w:r>
      <w:r w:rsidRPr="007B7683">
        <w:rPr>
          <w:rFonts w:hint="eastAsia"/>
          <w:rtl/>
        </w:rPr>
        <w:t>נא</w:t>
      </w:r>
      <w:r w:rsidRPr="007B7683">
        <w:rPr>
          <w:rtl/>
        </w:rPr>
        <w:t xml:space="preserve">(3) </w:t>
      </w:r>
      <w:r w:rsidRPr="007B7683">
        <w:rPr>
          <w:rtl/>
        </w:rPr>
        <w:lastRenderedPageBreak/>
        <w:t xml:space="preserve">71, </w:t>
      </w:r>
      <w:r>
        <w:rPr>
          <w:rFonts w:hint="cs"/>
          <w:rtl/>
        </w:rPr>
        <w:t xml:space="preserve">77 </w:t>
      </w:r>
      <w:r w:rsidRPr="007B7683">
        <w:rPr>
          <w:rtl/>
        </w:rPr>
        <w:t>(</w:t>
      </w:r>
      <w:r w:rsidRPr="00DE7325">
        <w:rPr>
          <w:rtl/>
        </w:rPr>
        <w:t>1997)</w:t>
      </w:r>
      <w:r w:rsidRPr="00DE7325">
        <w:rPr>
          <w:rFonts w:hint="cs"/>
          <w:rtl/>
        </w:rPr>
        <w:t xml:space="preserve">; </w:t>
      </w:r>
      <w:r w:rsidRPr="00DE7325">
        <w:rPr>
          <w:rFonts w:hint="eastAsia"/>
          <w:rtl/>
        </w:rPr>
        <w:t>בג</w:t>
      </w:r>
      <w:r w:rsidRPr="00DE7325">
        <w:rPr>
          <w:rtl/>
        </w:rPr>
        <w:t>"</w:t>
      </w:r>
      <w:r w:rsidRPr="00DE7325">
        <w:rPr>
          <w:rFonts w:hint="eastAsia"/>
          <w:rtl/>
        </w:rPr>
        <w:t>ץ</w:t>
      </w:r>
      <w:r w:rsidRPr="00DE7325">
        <w:rPr>
          <w:rtl/>
        </w:rPr>
        <w:t xml:space="preserve"> 1993/03 </w:t>
      </w:r>
      <w:r w:rsidRPr="00DE7325">
        <w:rPr>
          <w:rFonts w:ascii="Century" w:hAnsi="Century" w:cs="Miriam" w:hint="eastAsia"/>
          <w:b/>
          <w:spacing w:val="0"/>
          <w:sz w:val="22"/>
          <w:szCs w:val="24"/>
          <w:rtl/>
        </w:rPr>
        <w:t>התנועה</w:t>
      </w:r>
      <w:r w:rsidRPr="00DE7325">
        <w:rPr>
          <w:rFonts w:ascii="Century" w:hAnsi="Century" w:cs="Miriam"/>
          <w:b/>
          <w:spacing w:val="0"/>
          <w:sz w:val="22"/>
          <w:szCs w:val="24"/>
          <w:rtl/>
        </w:rPr>
        <w:t xml:space="preserve"> </w:t>
      </w:r>
      <w:r w:rsidRPr="00DE7325">
        <w:rPr>
          <w:rFonts w:ascii="Century" w:hAnsi="Century" w:cs="Miriam" w:hint="eastAsia"/>
          <w:b/>
          <w:spacing w:val="0"/>
          <w:sz w:val="22"/>
          <w:szCs w:val="24"/>
          <w:rtl/>
        </w:rPr>
        <w:t>למען</w:t>
      </w:r>
      <w:r w:rsidRPr="00DE7325">
        <w:rPr>
          <w:rFonts w:ascii="Century" w:hAnsi="Century" w:cs="Miriam"/>
          <w:b/>
          <w:spacing w:val="0"/>
          <w:sz w:val="22"/>
          <w:szCs w:val="24"/>
          <w:rtl/>
        </w:rPr>
        <w:t xml:space="preserve"> </w:t>
      </w:r>
      <w:r w:rsidRPr="00DE7325">
        <w:rPr>
          <w:rFonts w:ascii="Century" w:hAnsi="Century" w:cs="Miriam" w:hint="eastAsia"/>
          <w:b/>
          <w:spacing w:val="0"/>
          <w:sz w:val="22"/>
          <w:szCs w:val="24"/>
          <w:rtl/>
        </w:rPr>
        <w:t>איכות</w:t>
      </w:r>
      <w:r w:rsidRPr="00DE7325">
        <w:rPr>
          <w:rFonts w:ascii="Century" w:hAnsi="Century" w:cs="Miriam"/>
          <w:b/>
          <w:spacing w:val="0"/>
          <w:sz w:val="22"/>
          <w:szCs w:val="24"/>
          <w:rtl/>
        </w:rPr>
        <w:t xml:space="preserve"> </w:t>
      </w:r>
      <w:r w:rsidRPr="00DE7325">
        <w:rPr>
          <w:rFonts w:ascii="Century" w:hAnsi="Century" w:cs="Miriam" w:hint="eastAsia"/>
          <w:b/>
          <w:spacing w:val="0"/>
          <w:sz w:val="22"/>
          <w:szCs w:val="24"/>
          <w:rtl/>
        </w:rPr>
        <w:t>השלטון</w:t>
      </w:r>
      <w:r w:rsidRPr="00DE7325">
        <w:rPr>
          <w:rFonts w:ascii="Century" w:hAnsi="Century" w:cs="Miriam"/>
          <w:b/>
          <w:spacing w:val="0"/>
          <w:sz w:val="22"/>
          <w:szCs w:val="24"/>
          <w:rtl/>
        </w:rPr>
        <w:t xml:space="preserve"> </w:t>
      </w:r>
      <w:r w:rsidRPr="00DE7325">
        <w:rPr>
          <w:rFonts w:ascii="Century" w:hAnsi="Century" w:cs="Miriam" w:hint="eastAsia"/>
          <w:b/>
          <w:spacing w:val="0"/>
          <w:sz w:val="22"/>
          <w:szCs w:val="24"/>
          <w:rtl/>
        </w:rPr>
        <w:t>בישראל</w:t>
      </w:r>
      <w:r w:rsidRPr="00DE7325">
        <w:rPr>
          <w:rFonts w:ascii="Century" w:hAnsi="Century" w:cs="Miriam"/>
          <w:b/>
          <w:spacing w:val="0"/>
          <w:sz w:val="22"/>
          <w:szCs w:val="24"/>
          <w:rtl/>
        </w:rPr>
        <w:t xml:space="preserve"> </w:t>
      </w:r>
      <w:r w:rsidRPr="00DE7325">
        <w:rPr>
          <w:rFonts w:ascii="Century" w:hAnsi="Century" w:cs="Miriam" w:hint="eastAsia"/>
          <w:b/>
          <w:spacing w:val="0"/>
          <w:sz w:val="22"/>
          <w:szCs w:val="24"/>
          <w:rtl/>
        </w:rPr>
        <w:t>נ</w:t>
      </w:r>
      <w:r w:rsidRPr="00DE7325">
        <w:rPr>
          <w:rFonts w:ascii="Century" w:hAnsi="Century" w:cs="Miriam"/>
          <w:b/>
          <w:spacing w:val="0"/>
          <w:sz w:val="22"/>
          <w:szCs w:val="24"/>
          <w:rtl/>
        </w:rPr>
        <w:t xml:space="preserve">' </w:t>
      </w:r>
      <w:r w:rsidRPr="00DE7325">
        <w:rPr>
          <w:rFonts w:ascii="Century" w:hAnsi="Century" w:cs="Miriam" w:hint="eastAsia"/>
          <w:b/>
          <w:spacing w:val="0"/>
          <w:sz w:val="22"/>
          <w:szCs w:val="24"/>
          <w:rtl/>
        </w:rPr>
        <w:t>ראש</w:t>
      </w:r>
      <w:r w:rsidRPr="00DE7325">
        <w:rPr>
          <w:rFonts w:ascii="Century" w:hAnsi="Century" w:cs="Miriam"/>
          <w:b/>
          <w:spacing w:val="0"/>
          <w:sz w:val="22"/>
          <w:szCs w:val="24"/>
          <w:rtl/>
        </w:rPr>
        <w:t xml:space="preserve"> </w:t>
      </w:r>
      <w:r w:rsidRPr="00DE7325">
        <w:rPr>
          <w:rFonts w:ascii="Century" w:hAnsi="Century" w:cs="Miriam" w:hint="eastAsia"/>
          <w:b/>
          <w:spacing w:val="0"/>
          <w:sz w:val="22"/>
          <w:szCs w:val="24"/>
          <w:rtl/>
        </w:rPr>
        <w:t>הממשלה</w:t>
      </w:r>
      <w:r w:rsidRPr="00DE7325">
        <w:rPr>
          <w:rtl/>
        </w:rPr>
        <w:t xml:space="preserve">, </w:t>
      </w:r>
      <w:r w:rsidRPr="00DE7325">
        <w:rPr>
          <w:rFonts w:hint="eastAsia"/>
          <w:rtl/>
        </w:rPr>
        <w:t>פ</w:t>
      </w:r>
      <w:r w:rsidRPr="00DE7325">
        <w:rPr>
          <w:rtl/>
        </w:rPr>
        <w:t>"</w:t>
      </w:r>
      <w:r w:rsidRPr="00DE7325">
        <w:rPr>
          <w:rFonts w:hint="eastAsia"/>
          <w:rtl/>
        </w:rPr>
        <w:t>ד</w:t>
      </w:r>
      <w:r w:rsidRPr="00DE7325">
        <w:rPr>
          <w:rtl/>
        </w:rPr>
        <w:t xml:space="preserve"> </w:t>
      </w:r>
      <w:r w:rsidRPr="00DE7325">
        <w:rPr>
          <w:rFonts w:hint="eastAsia"/>
          <w:rtl/>
        </w:rPr>
        <w:t>נז</w:t>
      </w:r>
      <w:r w:rsidRPr="00DE7325">
        <w:rPr>
          <w:rtl/>
        </w:rPr>
        <w:t xml:space="preserve">(6) 817, </w:t>
      </w:r>
      <w:r w:rsidRPr="00DE7325">
        <w:rPr>
          <w:rFonts w:hint="cs"/>
          <w:rtl/>
        </w:rPr>
        <w:t>840</w:t>
      </w:r>
      <w:r w:rsidRPr="00DE7325">
        <w:rPr>
          <w:rtl/>
        </w:rPr>
        <w:t xml:space="preserve"> (2003)</w:t>
      </w:r>
      <w:r>
        <w:rPr>
          <w:rFonts w:hint="cs"/>
          <w:rtl/>
        </w:rPr>
        <w:t xml:space="preserve"> (להלן: </w:t>
      </w:r>
      <w:r w:rsidRPr="00917907">
        <w:rPr>
          <w:rFonts w:ascii="Century" w:hAnsi="Century" w:cs="Miriam" w:hint="cs"/>
          <w:b/>
          <w:spacing w:val="0"/>
          <w:sz w:val="22"/>
          <w:szCs w:val="24"/>
          <w:rtl/>
        </w:rPr>
        <w:t>עניין הנגבי</w:t>
      </w:r>
      <w:r>
        <w:rPr>
          <w:rFonts w:ascii="Century" w:hAnsi="Century" w:cs="Miriam" w:hint="cs"/>
          <w:b/>
          <w:spacing w:val="0"/>
          <w:sz w:val="22"/>
          <w:szCs w:val="24"/>
          <w:rtl/>
        </w:rPr>
        <w:t xml:space="preserve"> 2003</w:t>
      </w:r>
      <w:r>
        <w:rPr>
          <w:rFonts w:hint="cs"/>
          <w:rtl/>
        </w:rPr>
        <w:t>)</w:t>
      </w:r>
      <w:r w:rsidRPr="00DE7325">
        <w:rPr>
          <w:rtl/>
        </w:rPr>
        <w:t>)</w:t>
      </w:r>
      <w:r w:rsidRPr="00DE7325">
        <w:rPr>
          <w:rFonts w:hint="cs"/>
          <w:rtl/>
        </w:rPr>
        <w:t>.</w:t>
      </w:r>
    </w:p>
    <w:p w:rsidR="00C044AE" w:rsidRPr="00DE7325" w:rsidRDefault="00C044AE" w:rsidP="00C044AE">
      <w:pPr>
        <w:pStyle w:val="Ruller4"/>
        <w:numPr>
          <w:ilvl w:val="0"/>
          <w:numId w:val="0"/>
        </w:numPr>
        <w:rPr>
          <w:rtl/>
        </w:rPr>
      </w:pPr>
    </w:p>
    <w:p w:rsidR="00C044AE" w:rsidRPr="00DE7325" w:rsidRDefault="00C044AE" w:rsidP="00C044AE">
      <w:pPr>
        <w:pStyle w:val="Ruller4"/>
      </w:pPr>
      <w:r w:rsidRPr="00DE7325">
        <w:rPr>
          <w:rFonts w:hint="cs"/>
          <w:rtl/>
        </w:rPr>
        <w:t>ב</w:t>
      </w:r>
      <w:r>
        <w:rPr>
          <w:rFonts w:hint="cs"/>
          <w:rtl/>
        </w:rPr>
        <w:t>מרוצת</w:t>
      </w:r>
      <w:r w:rsidRPr="00DE7325">
        <w:rPr>
          <w:rFonts w:hint="cs"/>
          <w:rtl/>
        </w:rPr>
        <w:t xml:space="preserve"> השנים </w:t>
      </w:r>
      <w:r>
        <w:rPr>
          <w:rFonts w:hint="cs"/>
          <w:rtl/>
        </w:rPr>
        <w:t>נמתחה ביקורת</w:t>
      </w:r>
      <w:r w:rsidRPr="00DE7325">
        <w:rPr>
          <w:rFonts w:hint="cs"/>
          <w:rtl/>
        </w:rPr>
        <w:t xml:space="preserve">, בפסיקה ובספרות, </w:t>
      </w:r>
      <w:r>
        <w:rPr>
          <w:rFonts w:hint="cs"/>
          <w:rtl/>
        </w:rPr>
        <w:t xml:space="preserve">על </w:t>
      </w:r>
      <w:r w:rsidRPr="00DE7325">
        <w:rPr>
          <w:rFonts w:hint="cs"/>
          <w:rtl/>
        </w:rPr>
        <w:t xml:space="preserve">עילת הסבירות </w:t>
      </w:r>
      <w:r>
        <w:rPr>
          <w:rFonts w:hint="cs"/>
          <w:rtl/>
        </w:rPr>
        <w:t>במתכונתה זו</w:t>
      </w:r>
      <w:r w:rsidRPr="00DE7325">
        <w:rPr>
          <w:rFonts w:hint="cs"/>
          <w:rtl/>
        </w:rPr>
        <w:t xml:space="preserve">. הטענה המרכזית הנשמעת בהקשר זה היא כי העילה, במתכונתה מאז עניין </w:t>
      </w:r>
      <w:r w:rsidRPr="00DE7325">
        <w:rPr>
          <w:rFonts w:ascii="Century" w:hAnsi="Century" w:cs="Miriam" w:hint="eastAsia"/>
          <w:b/>
          <w:spacing w:val="0"/>
          <w:sz w:val="22"/>
          <w:szCs w:val="24"/>
          <w:rtl/>
        </w:rPr>
        <w:t>דפי</w:t>
      </w:r>
      <w:r w:rsidRPr="00DE7325">
        <w:rPr>
          <w:rFonts w:ascii="Century" w:hAnsi="Century" w:cs="Miriam"/>
          <w:b/>
          <w:spacing w:val="0"/>
          <w:sz w:val="22"/>
          <w:szCs w:val="24"/>
          <w:rtl/>
        </w:rPr>
        <w:t xml:space="preserve"> </w:t>
      </w:r>
      <w:r w:rsidRPr="00DE7325">
        <w:rPr>
          <w:rFonts w:ascii="Century" w:hAnsi="Century" w:cs="Miriam" w:hint="eastAsia"/>
          <w:b/>
          <w:spacing w:val="0"/>
          <w:sz w:val="22"/>
          <w:szCs w:val="24"/>
          <w:rtl/>
        </w:rPr>
        <w:t>זהב</w:t>
      </w:r>
      <w:r w:rsidRPr="00DE7325">
        <w:rPr>
          <w:rFonts w:hint="cs"/>
          <w:rtl/>
        </w:rPr>
        <w:t>, יוצרת אי-ודאות ב</w:t>
      </w:r>
      <w:r>
        <w:rPr>
          <w:rFonts w:hint="cs"/>
          <w:rtl/>
        </w:rPr>
        <w:t>אשר לאופן יישומה ומוליכה</w:t>
      </w:r>
      <w:r w:rsidRPr="00DE7325">
        <w:rPr>
          <w:rFonts w:hint="cs"/>
          <w:rtl/>
        </w:rPr>
        <w:t xml:space="preserve"> בפועל להחלפת שיקול דעתה של הרשות המוסמכת בשיקול דעתו של בית המשפט (</w:t>
      </w:r>
      <w:r w:rsidRPr="00DE7325">
        <w:rPr>
          <w:rFonts w:ascii="Century" w:hAnsi="Century" w:hint="cs"/>
          <w:sz w:val="22"/>
          <w:rtl/>
        </w:rPr>
        <w:t xml:space="preserve">ראו לעניין זה את עמדתו של השופט </w:t>
      </w:r>
      <w:r w:rsidRPr="00DE7325">
        <w:rPr>
          <w:rFonts w:ascii="Century" w:hAnsi="Century" w:cs="Miriam" w:hint="cs"/>
          <w:b/>
          <w:spacing w:val="0"/>
          <w:sz w:val="22"/>
          <w:szCs w:val="24"/>
          <w:rtl/>
        </w:rPr>
        <w:t>א' גרוניס</w:t>
      </w:r>
      <w:r w:rsidRPr="00DE7325">
        <w:rPr>
          <w:rFonts w:ascii="Century" w:hAnsi="Century" w:hint="cs"/>
          <w:sz w:val="22"/>
          <w:rtl/>
        </w:rPr>
        <w:t xml:space="preserve"> בעניין </w:t>
      </w:r>
      <w:r w:rsidRPr="00DE7325">
        <w:rPr>
          <w:rFonts w:ascii="Century" w:hAnsi="Century" w:cs="Miriam" w:hint="eastAsia"/>
          <w:b/>
          <w:spacing w:val="0"/>
          <w:sz w:val="22"/>
          <w:szCs w:val="24"/>
          <w:rtl/>
        </w:rPr>
        <w:t>אמונה</w:t>
      </w:r>
      <w:r w:rsidRPr="00DE7325">
        <w:rPr>
          <w:rFonts w:ascii="Century" w:hAnsi="Century" w:hint="cs"/>
          <w:sz w:val="22"/>
          <w:rtl/>
        </w:rPr>
        <w:t>, בעמ'</w:t>
      </w:r>
      <w:r w:rsidRPr="00DE7325">
        <w:rPr>
          <w:rFonts w:ascii="Century" w:hAnsi="Century"/>
          <w:sz w:val="22"/>
          <w:rtl/>
        </w:rPr>
        <w:t xml:space="preserve"> </w:t>
      </w:r>
      <w:r w:rsidRPr="00DE7325">
        <w:rPr>
          <w:rFonts w:ascii="Century" w:hAnsi="Century" w:hint="cs"/>
          <w:sz w:val="22"/>
          <w:rtl/>
        </w:rPr>
        <w:t>52</w:t>
      </w:r>
      <w:r>
        <w:rPr>
          <w:rFonts w:ascii="Century" w:hAnsi="Century" w:hint="cs"/>
          <w:sz w:val="22"/>
          <w:rtl/>
        </w:rPr>
        <w:t>4</w:t>
      </w:r>
      <w:r w:rsidRPr="00DE7325">
        <w:rPr>
          <w:rFonts w:ascii="Century" w:hAnsi="Century" w:hint="cs"/>
          <w:sz w:val="22"/>
          <w:rtl/>
        </w:rPr>
        <w:t>-521 וב</w:t>
      </w:r>
      <w:r w:rsidRPr="00DE7325">
        <w:rPr>
          <w:rFonts w:ascii="Century" w:hAnsi="Century"/>
          <w:rtl/>
        </w:rPr>
        <w:t>בג"ץ 3997/14</w:t>
      </w:r>
      <w:r w:rsidRPr="00DE7325">
        <w:rPr>
          <w:rFonts w:ascii="Century" w:hAnsi="Century"/>
        </w:rPr>
        <w:t> </w:t>
      </w:r>
      <w:r w:rsidRPr="00DE7325">
        <w:rPr>
          <w:rFonts w:ascii="Century" w:hAnsi="Century" w:cs="Miriam"/>
          <w:b/>
          <w:spacing w:val="0"/>
          <w:szCs w:val="24"/>
          <w:rtl/>
        </w:rPr>
        <w:t>התנועה למען איכות השלטון בישראל נ' שר החוץ</w:t>
      </w:r>
      <w:r w:rsidRPr="00DE7325">
        <w:rPr>
          <w:rFonts w:ascii="Century" w:hAnsi="Century" w:hint="cs"/>
          <w:rtl/>
        </w:rPr>
        <w:t xml:space="preserve">, </w:t>
      </w:r>
      <w:r w:rsidRPr="00DE7325">
        <w:rPr>
          <w:rFonts w:ascii="Century" w:hAnsi="Century"/>
          <w:rtl/>
        </w:rPr>
        <w:t xml:space="preserve">פסקה </w:t>
      </w:r>
      <w:r w:rsidRPr="00DE7325">
        <w:rPr>
          <w:rFonts w:ascii="Century" w:hAnsi="Century" w:hint="cs"/>
          <w:rtl/>
        </w:rPr>
        <w:t>29</w:t>
      </w:r>
      <w:r w:rsidRPr="00DE7325">
        <w:rPr>
          <w:rFonts w:ascii="Century" w:hAnsi="Century"/>
          <w:rtl/>
        </w:rPr>
        <w:t xml:space="preserve"> </w:t>
      </w:r>
      <w:r w:rsidRPr="00DE7325">
        <w:rPr>
          <w:rFonts w:ascii="Century" w:hAnsi="Century" w:hint="cs"/>
          <w:rtl/>
        </w:rPr>
        <w:t xml:space="preserve">לחוות דעתו (12.2.2015) (להלן: </w:t>
      </w:r>
      <w:r w:rsidRPr="00DE7325">
        <w:rPr>
          <w:rFonts w:ascii="Century" w:hAnsi="Century" w:cs="Miriam" w:hint="cs"/>
          <w:b/>
          <w:spacing w:val="0"/>
          <w:sz w:val="22"/>
          <w:szCs w:val="24"/>
          <w:rtl/>
        </w:rPr>
        <w:t>עניין הנגבי</w:t>
      </w:r>
      <w:r>
        <w:rPr>
          <w:rFonts w:ascii="Century" w:hAnsi="Century" w:cs="Miriam" w:hint="cs"/>
          <w:b/>
          <w:spacing w:val="0"/>
          <w:sz w:val="22"/>
          <w:szCs w:val="24"/>
          <w:rtl/>
        </w:rPr>
        <w:t xml:space="preserve"> 2014</w:t>
      </w:r>
      <w:r w:rsidRPr="00DE7325">
        <w:rPr>
          <w:rFonts w:ascii="Century" w:hAnsi="Century" w:hint="cs"/>
          <w:rtl/>
        </w:rPr>
        <w:t>)</w:t>
      </w:r>
      <w:r w:rsidRPr="00DE7325">
        <w:rPr>
          <w:rFonts w:hint="cs"/>
          <w:rtl/>
        </w:rPr>
        <w:t xml:space="preserve">; כן ראו את עמדתו של השופט </w:t>
      </w:r>
      <w:r w:rsidRPr="00DE7325">
        <w:rPr>
          <w:rFonts w:ascii="Century" w:hAnsi="Century" w:cs="Miriam" w:hint="cs"/>
          <w:b/>
          <w:spacing w:val="0"/>
          <w:sz w:val="22"/>
          <w:szCs w:val="24"/>
          <w:rtl/>
        </w:rPr>
        <w:t>נ' סולברג</w:t>
      </w:r>
      <w:r w:rsidRPr="00DE7325">
        <w:rPr>
          <w:rFonts w:hint="cs"/>
          <w:rtl/>
        </w:rPr>
        <w:t xml:space="preserve"> ב</w:t>
      </w:r>
      <w:r w:rsidRPr="00DE7325">
        <w:rPr>
          <w:rFonts w:hint="eastAsia"/>
          <w:rtl/>
        </w:rPr>
        <w:t>דנג</w:t>
      </w:r>
      <w:r w:rsidRPr="00DE7325">
        <w:rPr>
          <w:rtl/>
        </w:rPr>
        <w:t>"</w:t>
      </w:r>
      <w:r w:rsidRPr="00DE7325">
        <w:rPr>
          <w:rFonts w:hint="eastAsia"/>
          <w:rtl/>
        </w:rPr>
        <w:t>ץ</w:t>
      </w:r>
      <w:r w:rsidRPr="00DE7325">
        <w:rPr>
          <w:rtl/>
        </w:rPr>
        <w:t xml:space="preserve"> 3660/17 </w:t>
      </w:r>
      <w:r w:rsidRPr="00DE7325">
        <w:rPr>
          <w:rFonts w:ascii="Century" w:hAnsi="Century" w:cs="Miriam" w:hint="eastAsia"/>
          <w:b/>
          <w:spacing w:val="0"/>
          <w:szCs w:val="24"/>
          <w:rtl/>
        </w:rPr>
        <w:t>התאחדות</w:t>
      </w:r>
      <w:r w:rsidRPr="00DE7325">
        <w:rPr>
          <w:rFonts w:ascii="Century" w:hAnsi="Century" w:cs="Miriam"/>
          <w:b/>
          <w:spacing w:val="0"/>
          <w:szCs w:val="24"/>
          <w:rtl/>
        </w:rPr>
        <w:t xml:space="preserve"> </w:t>
      </w:r>
      <w:r w:rsidRPr="00DE7325">
        <w:rPr>
          <w:rFonts w:ascii="Century" w:hAnsi="Century" w:cs="Miriam" w:hint="eastAsia"/>
          <w:b/>
          <w:spacing w:val="0"/>
          <w:szCs w:val="24"/>
          <w:rtl/>
        </w:rPr>
        <w:t>הסוחרים</w:t>
      </w:r>
      <w:r w:rsidRPr="00DE7325">
        <w:rPr>
          <w:rFonts w:ascii="Century" w:hAnsi="Century" w:cs="Miriam"/>
          <w:b/>
          <w:spacing w:val="0"/>
          <w:szCs w:val="24"/>
          <w:rtl/>
        </w:rPr>
        <w:t xml:space="preserve"> </w:t>
      </w:r>
      <w:r w:rsidRPr="00DE7325">
        <w:rPr>
          <w:rFonts w:ascii="Century" w:hAnsi="Century" w:cs="Miriam" w:hint="eastAsia"/>
          <w:b/>
          <w:spacing w:val="0"/>
          <w:szCs w:val="24"/>
          <w:rtl/>
        </w:rPr>
        <w:t>והעצמאים</w:t>
      </w:r>
      <w:r w:rsidRPr="00DE7325">
        <w:rPr>
          <w:rFonts w:ascii="Century" w:hAnsi="Century" w:cs="Miriam"/>
          <w:b/>
          <w:spacing w:val="0"/>
          <w:szCs w:val="24"/>
          <w:rtl/>
        </w:rPr>
        <w:t xml:space="preserve"> </w:t>
      </w:r>
      <w:r w:rsidRPr="00DE7325">
        <w:rPr>
          <w:rFonts w:ascii="Century" w:hAnsi="Century" w:cs="Miriam" w:hint="eastAsia"/>
          <w:b/>
          <w:spacing w:val="0"/>
          <w:szCs w:val="24"/>
          <w:rtl/>
        </w:rPr>
        <w:t>הכללית</w:t>
      </w:r>
      <w:r w:rsidRPr="00DE7325">
        <w:rPr>
          <w:rFonts w:ascii="Century" w:hAnsi="Century" w:cs="Miriam"/>
          <w:b/>
          <w:spacing w:val="0"/>
          <w:szCs w:val="24"/>
          <w:rtl/>
        </w:rPr>
        <w:t xml:space="preserve"> </w:t>
      </w:r>
      <w:r w:rsidRPr="00DE7325">
        <w:rPr>
          <w:rFonts w:ascii="Century" w:hAnsi="Century" w:cs="Miriam" w:hint="eastAsia"/>
          <w:b/>
          <w:spacing w:val="0"/>
          <w:szCs w:val="24"/>
          <w:rtl/>
        </w:rPr>
        <w:t>נ</w:t>
      </w:r>
      <w:r w:rsidRPr="00DE7325">
        <w:rPr>
          <w:rFonts w:ascii="Century" w:hAnsi="Century" w:cs="Miriam"/>
          <w:b/>
          <w:spacing w:val="0"/>
          <w:szCs w:val="24"/>
          <w:rtl/>
        </w:rPr>
        <w:t xml:space="preserve">' </w:t>
      </w:r>
      <w:r w:rsidRPr="00DE7325">
        <w:rPr>
          <w:rFonts w:ascii="Century" w:hAnsi="Century" w:cs="Miriam" w:hint="eastAsia"/>
          <w:b/>
          <w:spacing w:val="0"/>
          <w:szCs w:val="24"/>
          <w:rtl/>
        </w:rPr>
        <w:t>שר</w:t>
      </w:r>
      <w:r w:rsidRPr="00DE7325">
        <w:rPr>
          <w:rFonts w:ascii="Century" w:hAnsi="Century" w:cs="Miriam"/>
          <w:b/>
          <w:spacing w:val="0"/>
          <w:szCs w:val="24"/>
          <w:rtl/>
        </w:rPr>
        <w:t xml:space="preserve"> </w:t>
      </w:r>
      <w:r w:rsidRPr="00DE7325">
        <w:rPr>
          <w:rFonts w:ascii="Century" w:hAnsi="Century" w:cs="Miriam" w:hint="eastAsia"/>
          <w:b/>
          <w:spacing w:val="0"/>
          <w:szCs w:val="24"/>
          <w:rtl/>
        </w:rPr>
        <w:t>הפנים</w:t>
      </w:r>
      <w:r w:rsidRPr="00DE7325">
        <w:rPr>
          <w:rFonts w:hint="cs"/>
          <w:rtl/>
        </w:rPr>
        <w:t xml:space="preserve">, פסקאות 36-35 לחוות דעתו </w:t>
      </w:r>
      <w:r w:rsidRPr="00DE7325">
        <w:rPr>
          <w:rtl/>
        </w:rPr>
        <w:t>(26.10.2017)</w:t>
      </w:r>
      <w:r>
        <w:rPr>
          <w:rFonts w:hint="cs"/>
          <w:rtl/>
        </w:rPr>
        <w:t xml:space="preserve"> (להלן: </w:t>
      </w:r>
      <w:r w:rsidRPr="00162006">
        <w:rPr>
          <w:rFonts w:ascii="Century" w:hAnsi="Century" w:cs="Miriam" w:hint="cs"/>
          <w:b/>
          <w:spacing w:val="0"/>
          <w:sz w:val="22"/>
          <w:szCs w:val="24"/>
          <w:rtl/>
        </w:rPr>
        <w:t>עניין התאחדות הסוחרים</w:t>
      </w:r>
      <w:r>
        <w:rPr>
          <w:rFonts w:hint="cs"/>
          <w:rtl/>
        </w:rPr>
        <w:t>)</w:t>
      </w:r>
      <w:r w:rsidRPr="00DE7325">
        <w:rPr>
          <w:rFonts w:hint="cs"/>
          <w:rtl/>
        </w:rPr>
        <w:t xml:space="preserve">, ובמאמריו </w:t>
      </w:r>
      <w:r w:rsidRPr="00DE7325">
        <w:rPr>
          <w:rtl/>
        </w:rPr>
        <w:t>"</w:t>
      </w:r>
      <w:r w:rsidRPr="00DE7325">
        <w:rPr>
          <w:rFonts w:hint="eastAsia"/>
          <w:rtl/>
        </w:rPr>
        <w:t>על</w:t>
      </w:r>
      <w:r w:rsidRPr="00DE7325">
        <w:rPr>
          <w:rtl/>
        </w:rPr>
        <w:t xml:space="preserve"> </w:t>
      </w:r>
      <w:r w:rsidRPr="00DE7325">
        <w:rPr>
          <w:rFonts w:hint="eastAsia"/>
          <w:rtl/>
        </w:rPr>
        <w:t>ערכים</w:t>
      </w:r>
      <w:r w:rsidRPr="00DE7325">
        <w:rPr>
          <w:rtl/>
        </w:rPr>
        <w:t xml:space="preserve"> </w:t>
      </w:r>
      <w:r w:rsidRPr="00DE7325">
        <w:rPr>
          <w:rFonts w:hint="eastAsia"/>
          <w:rtl/>
        </w:rPr>
        <w:t>סובייקטיביים</w:t>
      </w:r>
      <w:r w:rsidRPr="00DE7325">
        <w:rPr>
          <w:rtl/>
        </w:rPr>
        <w:t xml:space="preserve"> </w:t>
      </w:r>
      <w:r w:rsidRPr="00DE7325">
        <w:rPr>
          <w:rFonts w:hint="eastAsia"/>
          <w:rtl/>
        </w:rPr>
        <w:t>ושופטים</w:t>
      </w:r>
      <w:r w:rsidRPr="00DE7325">
        <w:rPr>
          <w:rtl/>
        </w:rPr>
        <w:t xml:space="preserve"> </w:t>
      </w:r>
      <w:r w:rsidRPr="00DE7325">
        <w:rPr>
          <w:rFonts w:hint="eastAsia"/>
          <w:rtl/>
        </w:rPr>
        <w:t>אובייקטיביים</w:t>
      </w:r>
      <w:r w:rsidRPr="00DE7325">
        <w:rPr>
          <w:rtl/>
        </w:rPr>
        <w:t>"</w:t>
      </w:r>
      <w:r>
        <w:rPr>
          <w:rFonts w:hint="cs"/>
          <w:rtl/>
        </w:rPr>
        <w:t xml:space="preserve"> </w:t>
      </w:r>
      <w:r w:rsidRPr="00984C37">
        <w:rPr>
          <w:rFonts w:ascii="Miriam" w:hAnsi="Miriam" w:cs="Miriam" w:hint="eastAsia"/>
          <w:spacing w:val="0"/>
          <w:szCs w:val="24"/>
          <w:rtl/>
        </w:rPr>
        <w:t>השילוח</w:t>
      </w:r>
      <w:r>
        <w:rPr>
          <w:rFonts w:hint="cs"/>
        </w:rPr>
        <w:t xml:space="preserve"> </w:t>
      </w:r>
      <w:r>
        <w:rPr>
          <w:rFonts w:hint="cs"/>
          <w:rtl/>
        </w:rPr>
        <w:t>18, 37</w:t>
      </w:r>
      <w:r>
        <w:rPr>
          <w:rtl/>
        </w:rPr>
        <w:tab/>
      </w:r>
      <w:r w:rsidRPr="00DE7325">
        <w:rPr>
          <w:rtl/>
        </w:rPr>
        <w:t xml:space="preserve"> (2020)</w:t>
      </w:r>
      <w:r w:rsidRPr="00DE7325">
        <w:rPr>
          <w:rFonts w:hint="cs"/>
          <w:rtl/>
        </w:rPr>
        <w:t xml:space="preserve"> (להלן: </w:t>
      </w:r>
      <w:r w:rsidRPr="00DE7325">
        <w:rPr>
          <w:rFonts w:ascii="Century" w:hAnsi="Century" w:cs="Miriam" w:hint="cs"/>
          <w:b/>
          <w:spacing w:val="0"/>
          <w:szCs w:val="24"/>
          <w:rtl/>
        </w:rPr>
        <w:t>סולברג "על ערכים סובייקטיבי</w:t>
      </w:r>
      <w:r>
        <w:rPr>
          <w:rFonts w:ascii="Century" w:hAnsi="Century" w:cs="Miriam" w:hint="cs"/>
          <w:b/>
          <w:spacing w:val="0"/>
          <w:szCs w:val="24"/>
          <w:rtl/>
        </w:rPr>
        <w:t>י</w:t>
      </w:r>
      <w:r w:rsidRPr="00DE7325">
        <w:rPr>
          <w:rFonts w:ascii="Century" w:hAnsi="Century" w:cs="Miriam" w:hint="cs"/>
          <w:b/>
          <w:spacing w:val="0"/>
          <w:szCs w:val="24"/>
          <w:rtl/>
        </w:rPr>
        <w:t>ם"</w:t>
      </w:r>
      <w:r w:rsidRPr="00DE7325">
        <w:rPr>
          <w:rFonts w:hint="cs"/>
          <w:rtl/>
        </w:rPr>
        <w:t>) ו-</w:t>
      </w:r>
      <w:r w:rsidRPr="00DE7325">
        <w:rPr>
          <w:rtl/>
        </w:rPr>
        <w:t>"</w:t>
      </w:r>
      <w:r w:rsidRPr="00DE7325">
        <w:rPr>
          <w:rFonts w:hint="eastAsia"/>
          <w:rtl/>
        </w:rPr>
        <w:t>הלכת</w:t>
      </w:r>
      <w:r w:rsidRPr="00DE7325">
        <w:rPr>
          <w:rtl/>
        </w:rPr>
        <w:t xml:space="preserve"> </w:t>
      </w:r>
      <w:r w:rsidRPr="00DE7325">
        <w:rPr>
          <w:rFonts w:hint="eastAsia"/>
          <w:rtl/>
        </w:rPr>
        <w:t>דרעי</w:t>
      </w:r>
      <w:r w:rsidRPr="00DE7325">
        <w:rPr>
          <w:rtl/>
        </w:rPr>
        <w:t>-</w:t>
      </w:r>
      <w:r w:rsidRPr="00DE7325">
        <w:rPr>
          <w:rFonts w:hint="eastAsia"/>
          <w:rtl/>
        </w:rPr>
        <w:t>פנחסי</w:t>
      </w:r>
      <w:r w:rsidRPr="00DE7325">
        <w:rPr>
          <w:rtl/>
        </w:rPr>
        <w:t xml:space="preserve"> </w:t>
      </w:r>
      <w:r w:rsidRPr="00DE7325">
        <w:rPr>
          <w:rFonts w:hint="eastAsia"/>
          <w:rtl/>
        </w:rPr>
        <w:t>בראי</w:t>
      </w:r>
      <w:r w:rsidRPr="00DE7325">
        <w:rPr>
          <w:rtl/>
        </w:rPr>
        <w:t xml:space="preserve"> </w:t>
      </w:r>
      <w:r w:rsidRPr="00DE7325">
        <w:rPr>
          <w:rFonts w:hint="eastAsia"/>
          <w:rtl/>
        </w:rPr>
        <w:t>עילת</w:t>
      </w:r>
      <w:r w:rsidRPr="00DE7325">
        <w:rPr>
          <w:rtl/>
        </w:rPr>
        <w:t xml:space="preserve"> </w:t>
      </w:r>
      <w:r w:rsidRPr="00DE7325">
        <w:rPr>
          <w:rFonts w:hint="eastAsia"/>
          <w:rtl/>
        </w:rPr>
        <w:t>הסבירות</w:t>
      </w:r>
      <w:r w:rsidRPr="00DE7325">
        <w:rPr>
          <w:rtl/>
        </w:rPr>
        <w:t xml:space="preserve">" </w:t>
      </w:r>
      <w:r>
        <w:rPr>
          <w:rFonts w:ascii="Century" w:hAnsi="Century" w:cs="Miriam" w:hint="cs"/>
          <w:b/>
          <w:spacing w:val="0"/>
          <w:sz w:val="22"/>
          <w:szCs w:val="24"/>
          <w:rtl/>
        </w:rPr>
        <w:t xml:space="preserve">הפורום הישראלי למשפט וחירות </w:t>
      </w:r>
      <w:r>
        <w:rPr>
          <w:rFonts w:ascii="Century" w:hAnsi="Century" w:cs="Miriam"/>
          <w:b/>
          <w:spacing w:val="0"/>
          <w:sz w:val="22"/>
          <w:szCs w:val="24"/>
          <w:rtl/>
        </w:rPr>
        <w:t>–</w:t>
      </w:r>
      <w:r>
        <w:rPr>
          <w:rFonts w:ascii="Century" w:hAnsi="Century" w:cs="Miriam" w:hint="cs"/>
          <w:b/>
          <w:spacing w:val="0"/>
          <w:sz w:val="22"/>
          <w:szCs w:val="24"/>
          <w:rtl/>
        </w:rPr>
        <w:t xml:space="preserve"> </w:t>
      </w:r>
      <w:r w:rsidRPr="00DE7325">
        <w:rPr>
          <w:rFonts w:ascii="Century" w:hAnsi="Century" w:cs="Miriam" w:hint="eastAsia"/>
          <w:b/>
          <w:spacing w:val="0"/>
          <w:sz w:val="22"/>
          <w:szCs w:val="24"/>
          <w:rtl/>
        </w:rPr>
        <w:t>בלוג</w:t>
      </w:r>
      <w:r w:rsidRPr="00DE7325">
        <w:rPr>
          <w:rFonts w:ascii="Century" w:hAnsi="Century" w:cs="Miriam"/>
          <w:b/>
          <w:spacing w:val="0"/>
          <w:sz w:val="22"/>
          <w:szCs w:val="24"/>
          <w:rtl/>
        </w:rPr>
        <w:t xml:space="preserve"> </w:t>
      </w:r>
      <w:r w:rsidRPr="00DE7325">
        <w:rPr>
          <w:rFonts w:ascii="Century" w:hAnsi="Century" w:cs="Miriam" w:hint="eastAsia"/>
          <w:b/>
          <w:spacing w:val="0"/>
          <w:sz w:val="22"/>
          <w:szCs w:val="24"/>
          <w:rtl/>
        </w:rPr>
        <w:t>רשות</w:t>
      </w:r>
      <w:r w:rsidRPr="00DE7325">
        <w:rPr>
          <w:rFonts w:ascii="Century" w:hAnsi="Century" w:cs="Miriam"/>
          <w:b/>
          <w:spacing w:val="0"/>
          <w:sz w:val="22"/>
          <w:szCs w:val="24"/>
          <w:rtl/>
        </w:rPr>
        <w:t xml:space="preserve"> </w:t>
      </w:r>
      <w:r w:rsidRPr="00DE7325">
        <w:rPr>
          <w:rFonts w:ascii="Century" w:hAnsi="Century" w:cs="Miriam" w:hint="eastAsia"/>
          <w:b/>
          <w:spacing w:val="0"/>
          <w:sz w:val="22"/>
          <w:szCs w:val="24"/>
          <w:rtl/>
        </w:rPr>
        <w:t>הרבים</w:t>
      </w:r>
      <w:r w:rsidRPr="00DE7325">
        <w:rPr>
          <w:rFonts w:hint="cs"/>
          <w:rtl/>
        </w:rPr>
        <w:t xml:space="preserve"> (</w:t>
      </w:r>
      <w:r>
        <w:rPr>
          <w:rFonts w:hint="cs"/>
          <w:rtl/>
        </w:rPr>
        <w:t>16.1.2022</w:t>
      </w:r>
      <w:r w:rsidRPr="00DE7325">
        <w:rPr>
          <w:rFonts w:hint="cs"/>
          <w:rtl/>
        </w:rPr>
        <w:t xml:space="preserve">); </w:t>
      </w:r>
      <w:r>
        <w:rPr>
          <w:rFonts w:hint="cs"/>
          <w:rtl/>
        </w:rPr>
        <w:t>כן ראו</w:t>
      </w:r>
      <w:r w:rsidRPr="00DE7325">
        <w:rPr>
          <w:rFonts w:hint="cs"/>
          <w:rtl/>
        </w:rPr>
        <w:t>: יואב דותן "שני מושגים של</w:t>
      </w:r>
      <w:r w:rsidRPr="00DE7325">
        <w:rPr>
          <w:rtl/>
        </w:rPr>
        <w:t xml:space="preserve"> </w:t>
      </w:r>
      <w:r w:rsidRPr="00DE7325">
        <w:rPr>
          <w:rFonts w:hint="eastAsia"/>
          <w:rtl/>
        </w:rPr>
        <w:t>ריסון</w:t>
      </w:r>
      <w:r>
        <w:rPr>
          <w:rFonts w:hint="cs"/>
          <w:rtl/>
        </w:rPr>
        <w:t xml:space="preserve"> </w:t>
      </w:r>
      <w:r>
        <w:rPr>
          <w:rtl/>
        </w:rPr>
        <w:t>–</w:t>
      </w:r>
      <w:r>
        <w:rPr>
          <w:rFonts w:hint="cs"/>
          <w:rtl/>
        </w:rPr>
        <w:t xml:space="preserve"> </w:t>
      </w:r>
      <w:r w:rsidRPr="00DE7325">
        <w:rPr>
          <w:rFonts w:hint="eastAsia"/>
          <w:rtl/>
        </w:rPr>
        <w:t>וסבירות</w:t>
      </w:r>
      <w:r w:rsidRPr="00DE7325">
        <w:rPr>
          <w:rFonts w:hint="cs"/>
          <w:rtl/>
        </w:rPr>
        <w:t xml:space="preserve">" </w:t>
      </w:r>
      <w:r w:rsidRPr="00DE7325">
        <w:rPr>
          <w:rFonts w:ascii="Century" w:hAnsi="Century" w:cs="Miriam" w:hint="cs"/>
          <w:b/>
          <w:spacing w:val="0"/>
          <w:sz w:val="22"/>
          <w:szCs w:val="24"/>
          <w:rtl/>
        </w:rPr>
        <w:t>משפטים</w:t>
      </w:r>
      <w:r w:rsidRPr="00DE7325">
        <w:rPr>
          <w:rFonts w:hint="cs"/>
          <w:rtl/>
        </w:rPr>
        <w:t xml:space="preserve"> נא 673</w:t>
      </w:r>
      <w:r w:rsidRPr="00DE7325">
        <w:rPr>
          <w:rtl/>
        </w:rPr>
        <w:t>, 703-701</w:t>
      </w:r>
      <w:r w:rsidRPr="00DE7325">
        <w:rPr>
          <w:rFonts w:hint="cs"/>
          <w:rtl/>
        </w:rPr>
        <w:t xml:space="preserve"> (2022)). </w:t>
      </w:r>
    </w:p>
    <w:p w:rsidR="00C044AE" w:rsidRPr="005E4487" w:rsidRDefault="00C044AE" w:rsidP="00C044AE">
      <w:pPr>
        <w:pStyle w:val="Ruller4"/>
        <w:numPr>
          <w:ilvl w:val="0"/>
          <w:numId w:val="0"/>
        </w:numPr>
        <w:rPr>
          <w:rtl/>
        </w:rPr>
      </w:pPr>
      <w:r>
        <w:rPr>
          <w:rtl/>
        </w:rPr>
        <w:tab/>
      </w:r>
    </w:p>
    <w:p w:rsidR="00C044AE" w:rsidRDefault="00C044AE" w:rsidP="00C044AE">
      <w:pPr>
        <w:pStyle w:val="Ruller4"/>
        <w:numPr>
          <w:ilvl w:val="0"/>
          <w:numId w:val="0"/>
        </w:numPr>
        <w:rPr>
          <w:rtl/>
        </w:rPr>
      </w:pPr>
      <w:r>
        <w:rPr>
          <w:rtl/>
        </w:rPr>
        <w:tab/>
      </w:r>
      <w:r>
        <w:rPr>
          <w:rFonts w:hint="cs"/>
          <w:rtl/>
        </w:rPr>
        <w:t xml:space="preserve">עם זאת, גם מבקרי העילה לא הציעו לבטלה כליל, וסברו כי הפתרון לקשיים שהיא מציבה טמון בצמצום תחולתה. כך הוצע, בין היתר, לפנות לעילת הסבירות אך במקרים קיצוניים וכמוצא אחרון </w:t>
      </w:r>
      <w:r w:rsidRPr="00545701">
        <w:rPr>
          <w:rtl/>
        </w:rPr>
        <w:t>(</w:t>
      </w:r>
      <w:r>
        <w:rPr>
          <w:rFonts w:hint="cs"/>
          <w:rtl/>
        </w:rPr>
        <w:t xml:space="preserve">ראו דבריו של השופט </w:t>
      </w:r>
      <w:r w:rsidRPr="00594147">
        <w:rPr>
          <w:rFonts w:ascii="Century" w:hAnsi="Century" w:cs="Miriam" w:hint="eastAsia"/>
          <w:b/>
          <w:spacing w:val="0"/>
          <w:sz w:val="22"/>
          <w:szCs w:val="24"/>
          <w:rtl/>
        </w:rPr>
        <w:t>גרוניס</w:t>
      </w:r>
      <w:r>
        <w:rPr>
          <w:rFonts w:hint="cs"/>
          <w:rtl/>
        </w:rPr>
        <w:t xml:space="preserve"> ב</w:t>
      </w:r>
      <w:r w:rsidRPr="005C641B">
        <w:rPr>
          <w:rFonts w:hint="cs"/>
          <w:rtl/>
        </w:rPr>
        <w:t xml:space="preserve">עניין </w:t>
      </w:r>
      <w:r w:rsidRPr="00310829">
        <w:rPr>
          <w:rFonts w:ascii="Century" w:hAnsi="Century" w:cs="Miriam" w:hint="cs"/>
          <w:b/>
          <w:spacing w:val="0"/>
          <w:sz w:val="22"/>
          <w:szCs w:val="24"/>
          <w:rtl/>
        </w:rPr>
        <w:t>אמונה</w:t>
      </w:r>
      <w:r w:rsidRPr="005C641B">
        <w:rPr>
          <w:rFonts w:hint="cs"/>
          <w:rtl/>
        </w:rPr>
        <w:t xml:space="preserve">, </w:t>
      </w:r>
      <w:r>
        <w:rPr>
          <w:rFonts w:hint="cs"/>
          <w:rtl/>
        </w:rPr>
        <w:t>בעמ' 524</w:t>
      </w:r>
      <w:r w:rsidRPr="005C641B">
        <w:rPr>
          <w:rtl/>
        </w:rPr>
        <w:t>)</w:t>
      </w:r>
      <w:r w:rsidRPr="005C641B">
        <w:rPr>
          <w:rFonts w:hint="cs"/>
          <w:rtl/>
        </w:rPr>
        <w:t>.</w:t>
      </w:r>
      <w:r>
        <w:rPr>
          <w:rFonts w:hint="cs"/>
          <w:rtl/>
        </w:rPr>
        <w:t xml:space="preserve"> הצעה אחרת שהועלתה היא לצמצם את היקף פרישתה של עילת הסבירות "המהותית" ולהחילה ביחס להחלטות הדרג המקצועי בלבד, להבדיל מהחלטות של הדרג הנבחר המשקפות על פי רוב תפיסת עולם ערכית (</w:t>
      </w:r>
      <w:r w:rsidRPr="00310829">
        <w:rPr>
          <w:rFonts w:ascii="Century" w:hAnsi="Century" w:cs="Miriam" w:hint="cs"/>
          <w:b/>
          <w:spacing w:val="0"/>
          <w:szCs w:val="24"/>
          <w:rtl/>
        </w:rPr>
        <w:t>סולברג "על ערכים סובייקטיבי</w:t>
      </w:r>
      <w:r>
        <w:rPr>
          <w:rFonts w:ascii="Century" w:hAnsi="Century" w:cs="Miriam" w:hint="cs"/>
          <w:b/>
          <w:spacing w:val="0"/>
          <w:szCs w:val="24"/>
          <w:rtl/>
        </w:rPr>
        <w:t>י</w:t>
      </w:r>
      <w:r w:rsidRPr="00310829">
        <w:rPr>
          <w:rFonts w:ascii="Century" w:hAnsi="Century" w:cs="Miriam" w:hint="cs"/>
          <w:b/>
          <w:spacing w:val="0"/>
          <w:szCs w:val="24"/>
          <w:rtl/>
        </w:rPr>
        <w:t>ם"</w:t>
      </w:r>
      <w:r>
        <w:rPr>
          <w:rFonts w:hint="cs"/>
          <w:rtl/>
        </w:rPr>
        <w:t xml:space="preserve">). </w:t>
      </w:r>
    </w:p>
    <w:p w:rsidR="00C044AE" w:rsidRPr="00781B4E" w:rsidRDefault="00C044AE" w:rsidP="00C044AE">
      <w:pPr>
        <w:pStyle w:val="Ruller41"/>
        <w:rPr>
          <w:rtl/>
        </w:rPr>
      </w:pPr>
    </w:p>
    <w:p w:rsidR="00C044AE" w:rsidRDefault="00C044AE" w:rsidP="00C044AE">
      <w:pPr>
        <w:pStyle w:val="Ruller4"/>
        <w:rPr>
          <w:rtl/>
        </w:rPr>
      </w:pPr>
      <w:r>
        <w:rPr>
          <w:rFonts w:hint="cs"/>
          <w:rtl/>
        </w:rPr>
        <w:t>מכל מקום, לאורך השנים הארוכות שבהן עוצבה עילת הסבירות בפסיקתו של בית משפט זה, התגבש</w:t>
      </w:r>
      <w:r>
        <w:rPr>
          <w:rtl/>
        </w:rPr>
        <w:t xml:space="preserve"> "קורפוס מקיף של כללים ואמות מידה ליישומה המצמצמים במידה רבה את אי-הוודאות של הכלל במתכונתו הראשונית-המופשטת</w:t>
      </w:r>
      <w:r>
        <w:rPr>
          <w:rFonts w:ascii="Century" w:hAnsi="Century" w:hint="cs"/>
          <w:rtl/>
        </w:rPr>
        <w:t>" (</w:t>
      </w:r>
      <w:r>
        <w:rPr>
          <w:rFonts w:hint="cs"/>
          <w:rtl/>
        </w:rPr>
        <w:t xml:space="preserve">עניין </w:t>
      </w:r>
      <w:r w:rsidRPr="00EB5E57">
        <w:rPr>
          <w:rFonts w:cs="Miriam" w:hint="eastAsia"/>
          <w:b/>
          <w:spacing w:val="0"/>
          <w:szCs w:val="24"/>
          <w:rtl/>
        </w:rPr>
        <w:t>הנגבי</w:t>
      </w:r>
      <w:r>
        <w:rPr>
          <w:rFonts w:hint="cs"/>
          <w:rtl/>
        </w:rPr>
        <w:t xml:space="preserve"> </w:t>
      </w:r>
      <w:r w:rsidRPr="00AF05C5">
        <w:rPr>
          <w:rFonts w:ascii="Century" w:hAnsi="Century" w:cs="Miriam" w:hint="cs"/>
          <w:b/>
          <w:spacing w:val="0"/>
          <w:sz w:val="22"/>
          <w:szCs w:val="24"/>
          <w:rtl/>
        </w:rPr>
        <w:t>2014</w:t>
      </w:r>
      <w:r>
        <w:rPr>
          <w:rFonts w:hint="cs"/>
          <w:rtl/>
        </w:rPr>
        <w:t xml:space="preserve">, </w:t>
      </w:r>
      <w:r>
        <w:rPr>
          <w:rFonts w:ascii="Century" w:hAnsi="Century" w:hint="cs"/>
          <w:rtl/>
        </w:rPr>
        <w:t>ב</w:t>
      </w:r>
      <w:r w:rsidRPr="00D53D3D">
        <w:rPr>
          <w:rFonts w:ascii="Century" w:hAnsi="Century"/>
          <w:rtl/>
        </w:rPr>
        <w:t>פסקה 4 לחוות דעת</w:t>
      </w:r>
      <w:r>
        <w:rPr>
          <w:rFonts w:ascii="Century" w:hAnsi="Century" w:hint="cs"/>
          <w:rtl/>
        </w:rPr>
        <w:t xml:space="preserve">י). </w:t>
      </w:r>
      <w:r>
        <w:rPr>
          <w:rFonts w:hint="cs"/>
          <w:rtl/>
        </w:rPr>
        <w:t xml:space="preserve">כך, </w:t>
      </w:r>
      <w:r w:rsidRPr="00CE6F8E">
        <w:rPr>
          <w:rFonts w:hint="cs"/>
          <w:color w:val="000000" w:themeColor="text1"/>
          <w:rtl/>
        </w:rPr>
        <w:t>באשר ל</w:t>
      </w:r>
      <w:r w:rsidRPr="00CE6F8E">
        <w:rPr>
          <w:rFonts w:cs="Miriam" w:hint="cs"/>
          <w:b/>
          <w:color w:val="000000" w:themeColor="text1"/>
          <w:spacing w:val="0"/>
          <w:sz w:val="22"/>
          <w:szCs w:val="24"/>
          <w:rtl/>
        </w:rPr>
        <w:t>זהות מקבל ההחלטה</w:t>
      </w:r>
      <w:r w:rsidRPr="00CE6F8E">
        <w:rPr>
          <w:rFonts w:hint="cs"/>
          <w:color w:val="000000" w:themeColor="text1"/>
          <w:rtl/>
        </w:rPr>
        <w:t xml:space="preserve">, נקבע כי ככל שמדובר בגורם בכיר יותר, מתחם הסבירות המסור לגוף המוסמך </w:t>
      </w:r>
      <w:r w:rsidRPr="00EC475E">
        <w:rPr>
          <w:rFonts w:hint="cs"/>
          <w:color w:val="000000" w:themeColor="text1"/>
          <w:rtl/>
        </w:rPr>
        <w:t>רחב יותר (</w:t>
      </w:r>
      <w:r w:rsidRPr="00984C37">
        <w:rPr>
          <w:rFonts w:hint="eastAsia"/>
          <w:rtl/>
        </w:rPr>
        <w:t>בג</w:t>
      </w:r>
      <w:r w:rsidRPr="00984C37">
        <w:rPr>
          <w:rtl/>
        </w:rPr>
        <w:t>"</w:t>
      </w:r>
      <w:r w:rsidRPr="00984C37">
        <w:rPr>
          <w:rFonts w:hint="eastAsia"/>
          <w:rtl/>
        </w:rPr>
        <w:t>ץ</w:t>
      </w:r>
      <w:r w:rsidRPr="00984C37">
        <w:rPr>
          <w:rtl/>
        </w:rPr>
        <w:t xml:space="preserve"> </w:t>
      </w:r>
      <w:r w:rsidRPr="00E87881">
        <w:rPr>
          <w:rtl/>
        </w:rPr>
        <w:t>4999</w:t>
      </w:r>
      <w:r>
        <w:rPr>
          <w:rFonts w:hint="cs"/>
          <w:rtl/>
        </w:rPr>
        <w:t>/</w:t>
      </w:r>
      <w:r w:rsidRPr="00E87881">
        <w:rPr>
          <w:rtl/>
        </w:rPr>
        <w:t xml:space="preserve">03 </w:t>
      </w:r>
      <w:r w:rsidRPr="00E87881">
        <w:rPr>
          <w:rFonts w:ascii="Century" w:hAnsi="Century" w:cs="Miriam" w:hint="eastAsia"/>
          <w:b/>
          <w:spacing w:val="0"/>
          <w:sz w:val="22"/>
          <w:szCs w:val="24"/>
          <w:rtl/>
        </w:rPr>
        <w:t>התנועה</w:t>
      </w:r>
      <w:r w:rsidRPr="00E87881">
        <w:rPr>
          <w:rFonts w:ascii="Century" w:hAnsi="Century" w:cs="Miriam"/>
          <w:b/>
          <w:spacing w:val="0"/>
          <w:sz w:val="22"/>
          <w:szCs w:val="24"/>
          <w:rtl/>
        </w:rPr>
        <w:t xml:space="preserve"> </w:t>
      </w:r>
      <w:r w:rsidRPr="00E87881">
        <w:rPr>
          <w:rFonts w:ascii="Century" w:hAnsi="Century" w:cs="Miriam" w:hint="eastAsia"/>
          <w:b/>
          <w:spacing w:val="0"/>
          <w:sz w:val="22"/>
          <w:szCs w:val="24"/>
          <w:rtl/>
        </w:rPr>
        <w:t>ל</w:t>
      </w:r>
      <w:r>
        <w:rPr>
          <w:rFonts w:ascii="Century" w:hAnsi="Century" w:cs="Miriam" w:hint="cs"/>
          <w:b/>
          <w:spacing w:val="0"/>
          <w:sz w:val="22"/>
          <w:szCs w:val="24"/>
          <w:rtl/>
        </w:rPr>
        <w:t xml:space="preserve">מען </w:t>
      </w:r>
      <w:r w:rsidRPr="00E87881">
        <w:rPr>
          <w:rFonts w:ascii="Century" w:hAnsi="Century" w:cs="Miriam" w:hint="eastAsia"/>
          <w:b/>
          <w:spacing w:val="0"/>
          <w:sz w:val="22"/>
          <w:szCs w:val="24"/>
          <w:rtl/>
        </w:rPr>
        <w:t>איכות</w:t>
      </w:r>
      <w:r w:rsidRPr="00E87881">
        <w:rPr>
          <w:rFonts w:ascii="Century" w:hAnsi="Century" w:cs="Miriam"/>
          <w:b/>
          <w:spacing w:val="0"/>
          <w:sz w:val="22"/>
          <w:szCs w:val="24"/>
          <w:rtl/>
        </w:rPr>
        <w:t xml:space="preserve"> </w:t>
      </w:r>
      <w:r w:rsidRPr="00E87881">
        <w:rPr>
          <w:rFonts w:ascii="Century" w:hAnsi="Century" w:cs="Miriam" w:hint="eastAsia"/>
          <w:b/>
          <w:spacing w:val="0"/>
          <w:sz w:val="22"/>
          <w:szCs w:val="24"/>
          <w:rtl/>
        </w:rPr>
        <w:t>השלטון</w:t>
      </w:r>
      <w:r w:rsidRPr="00E87881">
        <w:rPr>
          <w:rFonts w:ascii="Century" w:hAnsi="Century" w:cs="Miriam"/>
          <w:b/>
          <w:spacing w:val="0"/>
          <w:sz w:val="22"/>
          <w:szCs w:val="24"/>
          <w:rtl/>
        </w:rPr>
        <w:t xml:space="preserve"> </w:t>
      </w:r>
      <w:r w:rsidRPr="00E87881">
        <w:rPr>
          <w:rFonts w:ascii="Century" w:hAnsi="Century" w:cs="Miriam" w:hint="eastAsia"/>
          <w:b/>
          <w:spacing w:val="0"/>
          <w:sz w:val="22"/>
          <w:szCs w:val="24"/>
          <w:rtl/>
        </w:rPr>
        <w:t>בישראל</w:t>
      </w:r>
      <w:r w:rsidRPr="00E87881">
        <w:rPr>
          <w:rFonts w:ascii="Century" w:hAnsi="Century" w:cs="Miriam"/>
          <w:b/>
          <w:spacing w:val="0"/>
          <w:sz w:val="22"/>
          <w:szCs w:val="24"/>
          <w:rtl/>
        </w:rPr>
        <w:t xml:space="preserve"> </w:t>
      </w:r>
      <w:r w:rsidRPr="00E87881">
        <w:rPr>
          <w:rFonts w:ascii="Century" w:hAnsi="Century" w:cs="Miriam" w:hint="eastAsia"/>
          <w:b/>
          <w:spacing w:val="0"/>
          <w:sz w:val="22"/>
          <w:szCs w:val="24"/>
          <w:rtl/>
        </w:rPr>
        <w:t>נ</w:t>
      </w:r>
      <w:r w:rsidRPr="00E87881">
        <w:rPr>
          <w:rFonts w:ascii="Century" w:hAnsi="Century" w:cs="Miriam"/>
          <w:b/>
          <w:spacing w:val="0"/>
          <w:sz w:val="22"/>
          <w:szCs w:val="24"/>
          <w:rtl/>
        </w:rPr>
        <w:t xml:space="preserve">' </w:t>
      </w:r>
      <w:r w:rsidRPr="00E87881">
        <w:rPr>
          <w:rFonts w:ascii="Century" w:hAnsi="Century" w:cs="Miriam" w:hint="eastAsia"/>
          <w:b/>
          <w:spacing w:val="0"/>
          <w:sz w:val="22"/>
          <w:szCs w:val="24"/>
          <w:rtl/>
        </w:rPr>
        <w:t>ראש</w:t>
      </w:r>
      <w:r w:rsidRPr="00E87881">
        <w:rPr>
          <w:rFonts w:ascii="Century" w:hAnsi="Century" w:cs="Miriam"/>
          <w:b/>
          <w:spacing w:val="0"/>
          <w:sz w:val="22"/>
          <w:szCs w:val="24"/>
          <w:rtl/>
        </w:rPr>
        <w:t xml:space="preserve"> </w:t>
      </w:r>
      <w:r w:rsidRPr="00E87881">
        <w:rPr>
          <w:rFonts w:ascii="Century" w:hAnsi="Century" w:cs="Miriam" w:hint="eastAsia"/>
          <w:b/>
          <w:spacing w:val="0"/>
          <w:sz w:val="22"/>
          <w:szCs w:val="24"/>
          <w:rtl/>
        </w:rPr>
        <w:t>הממשלה</w:t>
      </w:r>
      <w:r>
        <w:rPr>
          <w:rFonts w:hint="cs"/>
          <w:rtl/>
        </w:rPr>
        <w:t>, פסקה 18 לחוות דעתי (10.5.2006</w:t>
      </w:r>
      <w:r w:rsidRPr="00CE6F8E">
        <w:rPr>
          <w:rFonts w:hint="cs"/>
          <w:color w:val="000000" w:themeColor="text1"/>
          <w:rtl/>
        </w:rPr>
        <w:t>)</w:t>
      </w:r>
      <w:r>
        <w:rPr>
          <w:rFonts w:hint="cs"/>
          <w:color w:val="000000" w:themeColor="text1"/>
          <w:rtl/>
        </w:rPr>
        <w:t xml:space="preserve"> (להלן: </w:t>
      </w:r>
      <w:r w:rsidRPr="00C735EA">
        <w:rPr>
          <w:rFonts w:ascii="Century" w:hAnsi="Century" w:cs="Miriam" w:hint="eastAsia"/>
          <w:b/>
          <w:spacing w:val="0"/>
          <w:sz w:val="22"/>
          <w:szCs w:val="24"/>
          <w:rtl/>
        </w:rPr>
        <w:t>בג</w:t>
      </w:r>
      <w:r w:rsidRPr="00C735EA">
        <w:rPr>
          <w:rFonts w:ascii="Century" w:hAnsi="Century" w:cs="Miriam"/>
          <w:b/>
          <w:spacing w:val="0"/>
          <w:sz w:val="22"/>
          <w:szCs w:val="24"/>
          <w:rtl/>
        </w:rPr>
        <w:t>"</w:t>
      </w:r>
      <w:r w:rsidRPr="00C735EA">
        <w:rPr>
          <w:rFonts w:ascii="Century" w:hAnsi="Century" w:cs="Miriam" w:hint="eastAsia"/>
          <w:b/>
          <w:spacing w:val="0"/>
          <w:sz w:val="22"/>
          <w:szCs w:val="24"/>
          <w:rtl/>
        </w:rPr>
        <w:t>ץ</w:t>
      </w:r>
      <w:r w:rsidRPr="00C735EA">
        <w:rPr>
          <w:rFonts w:ascii="Century" w:hAnsi="Century" w:cs="Miriam"/>
          <w:b/>
          <w:spacing w:val="0"/>
          <w:sz w:val="22"/>
          <w:szCs w:val="24"/>
          <w:rtl/>
        </w:rPr>
        <w:t xml:space="preserve"> 4999/03</w:t>
      </w:r>
      <w:r>
        <w:rPr>
          <w:rFonts w:hint="cs"/>
          <w:color w:val="000000" w:themeColor="text1"/>
          <w:rtl/>
        </w:rPr>
        <w:t>))</w:t>
      </w:r>
      <w:r w:rsidRPr="00CE6F8E">
        <w:rPr>
          <w:rFonts w:hint="cs"/>
          <w:color w:val="000000" w:themeColor="text1"/>
          <w:rtl/>
        </w:rPr>
        <w:t>.</w:t>
      </w:r>
      <w:r w:rsidRPr="00CE6F8E">
        <w:rPr>
          <w:rFonts w:hint="cs"/>
          <w:color w:val="2E74B5" w:themeColor="accent1" w:themeShade="BF"/>
          <w:rtl/>
        </w:rPr>
        <w:t xml:space="preserve"> </w:t>
      </w:r>
      <w:r w:rsidRPr="00CE6F8E">
        <w:rPr>
          <w:rFonts w:hint="cs"/>
          <w:color w:val="000000" w:themeColor="text1"/>
          <w:rtl/>
        </w:rPr>
        <w:t xml:space="preserve">בפרט, </w:t>
      </w:r>
      <w:r>
        <w:rPr>
          <w:rFonts w:hint="cs"/>
          <w:color w:val="000000" w:themeColor="text1"/>
          <w:rtl/>
        </w:rPr>
        <w:t xml:space="preserve">כך נפסק, על </w:t>
      </w:r>
      <w:r w:rsidRPr="00CE6F8E">
        <w:rPr>
          <w:rFonts w:hint="cs"/>
          <w:color w:val="000000" w:themeColor="text1"/>
          <w:rtl/>
        </w:rPr>
        <w:t xml:space="preserve">בית המשפט </w:t>
      </w:r>
      <w:r>
        <w:rPr>
          <w:rFonts w:hint="cs"/>
          <w:color w:val="000000" w:themeColor="text1"/>
          <w:rtl/>
        </w:rPr>
        <w:t>לגלות</w:t>
      </w:r>
      <w:r w:rsidRPr="00CE6F8E">
        <w:rPr>
          <w:rFonts w:hint="cs"/>
          <w:color w:val="000000" w:themeColor="text1"/>
          <w:rtl/>
        </w:rPr>
        <w:t xml:space="preserve"> </w:t>
      </w:r>
      <w:r>
        <w:rPr>
          <w:rFonts w:hint="cs"/>
          <w:color w:val="000000" w:themeColor="text1"/>
          <w:rtl/>
        </w:rPr>
        <w:t xml:space="preserve">מידה יתרה של </w:t>
      </w:r>
      <w:r w:rsidRPr="00CE6F8E">
        <w:rPr>
          <w:rFonts w:hint="cs"/>
          <w:color w:val="000000" w:themeColor="text1"/>
          <w:rtl/>
        </w:rPr>
        <w:t xml:space="preserve">ריסון בכל הנוגע להתערבות בהחלטות הממשלה, </w:t>
      </w:r>
      <w:r>
        <w:rPr>
          <w:rFonts w:hint="cs"/>
          <w:color w:val="000000" w:themeColor="text1"/>
          <w:rtl/>
        </w:rPr>
        <w:t>ו</w:t>
      </w:r>
      <w:r w:rsidRPr="00CE6F8E">
        <w:rPr>
          <w:rFonts w:hint="cs"/>
          <w:color w:val="000000" w:themeColor="text1"/>
          <w:rtl/>
        </w:rPr>
        <w:t>זאת נוכח "</w:t>
      </w:r>
      <w:r w:rsidRPr="00CE6F8E">
        <w:rPr>
          <w:rFonts w:hint="eastAsia"/>
          <w:color w:val="000000" w:themeColor="text1"/>
          <w:rtl/>
        </w:rPr>
        <w:t>מעמדה</w:t>
      </w:r>
      <w:r w:rsidRPr="00CE6F8E">
        <w:rPr>
          <w:color w:val="000000" w:themeColor="text1"/>
          <w:rtl/>
        </w:rPr>
        <w:t xml:space="preserve"> </w:t>
      </w:r>
      <w:r w:rsidRPr="00EC3B2C">
        <w:rPr>
          <w:rFonts w:hint="eastAsia"/>
          <w:rtl/>
        </w:rPr>
        <w:t>של</w:t>
      </w:r>
      <w:r w:rsidRPr="00EC3B2C">
        <w:rPr>
          <w:rtl/>
        </w:rPr>
        <w:t xml:space="preserve"> </w:t>
      </w:r>
      <w:r w:rsidRPr="00EC3B2C">
        <w:rPr>
          <w:rFonts w:hint="eastAsia"/>
          <w:rtl/>
        </w:rPr>
        <w:t>הממשלה</w:t>
      </w:r>
      <w:r w:rsidRPr="00EC3B2C">
        <w:rPr>
          <w:rtl/>
        </w:rPr>
        <w:t xml:space="preserve">, </w:t>
      </w:r>
      <w:r w:rsidRPr="00EC3B2C">
        <w:rPr>
          <w:rFonts w:hint="eastAsia"/>
          <w:rtl/>
        </w:rPr>
        <w:t>כמי</w:t>
      </w:r>
      <w:r w:rsidRPr="00EC3B2C">
        <w:rPr>
          <w:rtl/>
        </w:rPr>
        <w:t xml:space="preserve"> </w:t>
      </w:r>
      <w:r w:rsidRPr="00EC3B2C">
        <w:rPr>
          <w:rFonts w:hint="eastAsia"/>
          <w:rtl/>
        </w:rPr>
        <w:lastRenderedPageBreak/>
        <w:t>שעומדת</w:t>
      </w:r>
      <w:r w:rsidRPr="00EC3B2C">
        <w:rPr>
          <w:rtl/>
        </w:rPr>
        <w:t xml:space="preserve"> </w:t>
      </w:r>
      <w:r w:rsidRPr="00EC3B2C">
        <w:rPr>
          <w:rFonts w:hint="eastAsia"/>
          <w:rtl/>
        </w:rPr>
        <w:t>בראש</w:t>
      </w:r>
      <w:r w:rsidRPr="00EC3B2C">
        <w:rPr>
          <w:rtl/>
        </w:rPr>
        <w:t xml:space="preserve"> </w:t>
      </w:r>
      <w:r w:rsidRPr="00EC3B2C">
        <w:rPr>
          <w:rFonts w:hint="eastAsia"/>
          <w:rtl/>
        </w:rPr>
        <w:t>הרשות</w:t>
      </w:r>
      <w:r w:rsidRPr="00EC3B2C">
        <w:rPr>
          <w:rtl/>
        </w:rPr>
        <w:t xml:space="preserve"> </w:t>
      </w:r>
      <w:r w:rsidRPr="00EC3B2C">
        <w:rPr>
          <w:rFonts w:hint="eastAsia"/>
          <w:rtl/>
        </w:rPr>
        <w:t>המבצעת</w:t>
      </w:r>
      <w:r w:rsidRPr="00EC3B2C">
        <w:rPr>
          <w:rtl/>
        </w:rPr>
        <w:t xml:space="preserve"> </w:t>
      </w:r>
      <w:r w:rsidRPr="00EC3B2C">
        <w:rPr>
          <w:rFonts w:hint="eastAsia"/>
          <w:rtl/>
        </w:rPr>
        <w:t>ומופקדת</w:t>
      </w:r>
      <w:r w:rsidRPr="00EC3B2C">
        <w:rPr>
          <w:rtl/>
        </w:rPr>
        <w:t xml:space="preserve"> </w:t>
      </w:r>
      <w:r w:rsidRPr="00EC3B2C">
        <w:rPr>
          <w:rFonts w:hint="eastAsia"/>
          <w:rtl/>
        </w:rPr>
        <w:t>על</w:t>
      </w:r>
      <w:r w:rsidRPr="00EC3B2C">
        <w:rPr>
          <w:rtl/>
        </w:rPr>
        <w:t xml:space="preserve"> </w:t>
      </w:r>
      <w:r w:rsidRPr="00EC3B2C">
        <w:rPr>
          <w:rFonts w:hint="eastAsia"/>
          <w:rtl/>
        </w:rPr>
        <w:t>קביעת</w:t>
      </w:r>
      <w:r w:rsidRPr="00EC3B2C">
        <w:rPr>
          <w:rtl/>
        </w:rPr>
        <w:t xml:space="preserve"> </w:t>
      </w:r>
      <w:r w:rsidRPr="00EC3B2C">
        <w:rPr>
          <w:rFonts w:hint="eastAsia"/>
          <w:rtl/>
        </w:rPr>
        <w:t>מדיניות</w:t>
      </w:r>
      <w:r w:rsidRPr="00EC3B2C">
        <w:rPr>
          <w:rtl/>
        </w:rPr>
        <w:t xml:space="preserve"> </w:t>
      </w:r>
      <w:r w:rsidRPr="00EC3B2C">
        <w:rPr>
          <w:rFonts w:hint="eastAsia"/>
          <w:rtl/>
        </w:rPr>
        <w:t>ויישומה</w:t>
      </w:r>
      <w:r>
        <w:rPr>
          <w:rFonts w:hint="cs"/>
          <w:rtl/>
        </w:rPr>
        <w:t>" (</w:t>
      </w:r>
      <w:r w:rsidRPr="00EC3B2C">
        <w:rPr>
          <w:rFonts w:hint="eastAsia"/>
          <w:rtl/>
        </w:rPr>
        <w:t>בג</w:t>
      </w:r>
      <w:r w:rsidRPr="00EC3B2C">
        <w:rPr>
          <w:rtl/>
        </w:rPr>
        <w:t>"</w:t>
      </w:r>
      <w:r w:rsidRPr="00EC3B2C">
        <w:rPr>
          <w:rFonts w:hint="eastAsia"/>
          <w:rtl/>
        </w:rPr>
        <w:t>ץ</w:t>
      </w:r>
      <w:r w:rsidRPr="00EC3B2C">
        <w:rPr>
          <w:rtl/>
        </w:rPr>
        <w:t xml:space="preserve"> 3017/12 </w:t>
      </w:r>
      <w:r w:rsidRPr="00CE6F8E">
        <w:rPr>
          <w:rFonts w:cs="Miriam" w:hint="eastAsia"/>
          <w:b/>
          <w:spacing w:val="0"/>
          <w:sz w:val="22"/>
          <w:szCs w:val="24"/>
          <w:rtl/>
        </w:rPr>
        <w:t>ארגון</w:t>
      </w:r>
      <w:r w:rsidRPr="00CE6F8E">
        <w:rPr>
          <w:rFonts w:cs="Miriam"/>
          <w:b/>
          <w:spacing w:val="0"/>
          <w:sz w:val="22"/>
          <w:szCs w:val="24"/>
          <w:rtl/>
        </w:rPr>
        <w:t xml:space="preserve"> </w:t>
      </w:r>
      <w:r w:rsidRPr="00CE6F8E">
        <w:rPr>
          <w:rFonts w:cs="Miriam" w:hint="eastAsia"/>
          <w:b/>
          <w:spacing w:val="0"/>
          <w:sz w:val="22"/>
          <w:szCs w:val="24"/>
          <w:rtl/>
        </w:rPr>
        <w:t>נפגעי</w:t>
      </w:r>
      <w:r w:rsidRPr="00CE6F8E">
        <w:rPr>
          <w:rFonts w:cs="Miriam"/>
          <w:b/>
          <w:spacing w:val="0"/>
          <w:sz w:val="22"/>
          <w:szCs w:val="24"/>
          <w:rtl/>
        </w:rPr>
        <w:t xml:space="preserve"> </w:t>
      </w:r>
      <w:r w:rsidRPr="00CE6F8E">
        <w:rPr>
          <w:rFonts w:cs="Miriam" w:hint="eastAsia"/>
          <w:b/>
          <w:spacing w:val="0"/>
          <w:sz w:val="22"/>
          <w:szCs w:val="24"/>
          <w:rtl/>
        </w:rPr>
        <w:t>פעולות</w:t>
      </w:r>
      <w:r w:rsidRPr="00CE6F8E">
        <w:rPr>
          <w:rFonts w:cs="Miriam"/>
          <w:b/>
          <w:spacing w:val="0"/>
          <w:sz w:val="22"/>
          <w:szCs w:val="24"/>
          <w:rtl/>
        </w:rPr>
        <w:t xml:space="preserve"> </w:t>
      </w:r>
      <w:r w:rsidRPr="00CE6F8E">
        <w:rPr>
          <w:rFonts w:cs="Miriam" w:hint="eastAsia"/>
          <w:b/>
          <w:spacing w:val="0"/>
          <w:sz w:val="22"/>
          <w:szCs w:val="24"/>
          <w:rtl/>
        </w:rPr>
        <w:t>איבה</w:t>
      </w:r>
      <w:r w:rsidRPr="00CE6F8E">
        <w:rPr>
          <w:rFonts w:cs="Miriam"/>
          <w:b/>
          <w:spacing w:val="0"/>
          <w:sz w:val="22"/>
          <w:szCs w:val="24"/>
          <w:rtl/>
        </w:rPr>
        <w:t xml:space="preserve"> </w:t>
      </w:r>
      <w:r w:rsidRPr="00CE6F8E">
        <w:rPr>
          <w:rFonts w:cs="Miriam" w:hint="eastAsia"/>
          <w:b/>
          <w:spacing w:val="0"/>
          <w:sz w:val="22"/>
          <w:szCs w:val="24"/>
          <w:rtl/>
        </w:rPr>
        <w:t>הארגון</w:t>
      </w:r>
      <w:r w:rsidRPr="00CE6F8E">
        <w:rPr>
          <w:rFonts w:cs="Miriam"/>
          <w:b/>
          <w:spacing w:val="0"/>
          <w:sz w:val="22"/>
          <w:szCs w:val="24"/>
          <w:rtl/>
        </w:rPr>
        <w:t xml:space="preserve"> </w:t>
      </w:r>
      <w:r w:rsidRPr="00CE6F8E">
        <w:rPr>
          <w:rFonts w:cs="Miriam" w:hint="eastAsia"/>
          <w:b/>
          <w:spacing w:val="0"/>
          <w:sz w:val="22"/>
          <w:szCs w:val="24"/>
          <w:rtl/>
        </w:rPr>
        <w:t>היציג</w:t>
      </w:r>
      <w:r w:rsidRPr="00CE6F8E">
        <w:rPr>
          <w:rFonts w:cs="Miriam"/>
          <w:b/>
          <w:spacing w:val="0"/>
          <w:sz w:val="22"/>
          <w:szCs w:val="24"/>
          <w:rtl/>
        </w:rPr>
        <w:t xml:space="preserve"> </w:t>
      </w:r>
      <w:r w:rsidRPr="00CE6F8E">
        <w:rPr>
          <w:rFonts w:cs="Miriam" w:hint="eastAsia"/>
          <w:b/>
          <w:spacing w:val="0"/>
          <w:sz w:val="22"/>
          <w:szCs w:val="24"/>
          <w:rtl/>
        </w:rPr>
        <w:t>נ</w:t>
      </w:r>
      <w:r w:rsidRPr="00CE6F8E">
        <w:rPr>
          <w:rFonts w:cs="Miriam"/>
          <w:b/>
          <w:spacing w:val="0"/>
          <w:sz w:val="22"/>
          <w:szCs w:val="24"/>
          <w:rtl/>
        </w:rPr>
        <w:t xml:space="preserve">' </w:t>
      </w:r>
      <w:r w:rsidRPr="00CE6F8E">
        <w:rPr>
          <w:rFonts w:cs="Miriam" w:hint="eastAsia"/>
          <w:b/>
          <w:spacing w:val="0"/>
          <w:sz w:val="22"/>
          <w:szCs w:val="24"/>
          <w:rtl/>
        </w:rPr>
        <w:t>ראש</w:t>
      </w:r>
      <w:r w:rsidRPr="00CE6F8E">
        <w:rPr>
          <w:rFonts w:cs="Miriam"/>
          <w:b/>
          <w:spacing w:val="0"/>
          <w:sz w:val="22"/>
          <w:szCs w:val="24"/>
          <w:rtl/>
        </w:rPr>
        <w:t xml:space="preserve"> </w:t>
      </w:r>
      <w:r w:rsidRPr="00CE6F8E">
        <w:rPr>
          <w:rFonts w:cs="Miriam" w:hint="eastAsia"/>
          <w:b/>
          <w:spacing w:val="0"/>
          <w:sz w:val="22"/>
          <w:szCs w:val="24"/>
          <w:rtl/>
        </w:rPr>
        <w:t>הממשלה</w:t>
      </w:r>
      <w:r w:rsidRPr="00EC3B2C">
        <w:rPr>
          <w:rtl/>
        </w:rPr>
        <w:t xml:space="preserve">, </w:t>
      </w:r>
      <w:r w:rsidRPr="00EC3B2C">
        <w:rPr>
          <w:rFonts w:hint="eastAsia"/>
          <w:rtl/>
        </w:rPr>
        <w:t>פסקה</w:t>
      </w:r>
      <w:r w:rsidRPr="00EC3B2C">
        <w:rPr>
          <w:rtl/>
        </w:rPr>
        <w:t xml:space="preserve"> 10 (4.2.2013)</w:t>
      </w:r>
      <w:r>
        <w:rPr>
          <w:rFonts w:hint="cs"/>
          <w:rtl/>
        </w:rPr>
        <w:t xml:space="preserve">). </w:t>
      </w:r>
    </w:p>
    <w:p w:rsidR="00C044AE" w:rsidRPr="009F683D" w:rsidRDefault="00C044AE" w:rsidP="00C044AE">
      <w:pPr>
        <w:pStyle w:val="Ruller41"/>
      </w:pPr>
    </w:p>
    <w:p w:rsidR="00C044AE" w:rsidRDefault="00C044AE" w:rsidP="00C044AE">
      <w:pPr>
        <w:pStyle w:val="Ruller4"/>
        <w:numPr>
          <w:ilvl w:val="0"/>
          <w:numId w:val="0"/>
        </w:numPr>
        <w:rPr>
          <w:rtl/>
        </w:rPr>
      </w:pPr>
      <w:r>
        <w:rPr>
          <w:rtl/>
        </w:rPr>
        <w:tab/>
      </w:r>
      <w:r>
        <w:rPr>
          <w:rFonts w:hint="cs"/>
          <w:rtl/>
        </w:rPr>
        <w:t>באשר</w:t>
      </w:r>
      <w:r w:rsidRPr="007A556D">
        <w:rPr>
          <w:rFonts w:hint="cs"/>
          <w:rtl/>
        </w:rPr>
        <w:t xml:space="preserve"> ל</w:t>
      </w:r>
      <w:r w:rsidRPr="00207885">
        <w:rPr>
          <w:rFonts w:cs="Miriam" w:hint="cs"/>
          <w:b/>
          <w:color w:val="000000" w:themeColor="text1"/>
          <w:spacing w:val="0"/>
          <w:sz w:val="22"/>
          <w:szCs w:val="24"/>
          <w:rtl/>
        </w:rPr>
        <w:t>מאפייני הסמכות המ</w:t>
      </w:r>
      <w:r>
        <w:rPr>
          <w:rFonts w:cs="Miriam" w:hint="cs"/>
          <w:b/>
          <w:color w:val="000000" w:themeColor="text1"/>
          <w:spacing w:val="0"/>
          <w:sz w:val="22"/>
          <w:szCs w:val="24"/>
          <w:rtl/>
        </w:rPr>
        <w:t>י</w:t>
      </w:r>
      <w:r w:rsidRPr="00207885">
        <w:rPr>
          <w:rFonts w:cs="Miriam" w:hint="cs"/>
          <w:b/>
          <w:color w:val="000000" w:themeColor="text1"/>
          <w:spacing w:val="0"/>
          <w:sz w:val="22"/>
          <w:szCs w:val="24"/>
          <w:rtl/>
        </w:rPr>
        <w:t>נהלית</w:t>
      </w:r>
      <w:r>
        <w:rPr>
          <w:rFonts w:hint="cs"/>
          <w:rtl/>
        </w:rPr>
        <w:t xml:space="preserve">, נקבע כי ההתערבות השיפוטית תהא מצומצמת ככל שעסקינן בהחלטות המשקפות מדיניות רחבה (ראו למשל: </w:t>
      </w:r>
      <w:r w:rsidRPr="00EC3B2C">
        <w:rPr>
          <w:rFonts w:ascii="Arial TUR" w:hAnsi="Arial TUR" w:hint="eastAsia"/>
          <w:sz w:val="22"/>
          <w:rtl/>
        </w:rPr>
        <w:t>בג</w:t>
      </w:r>
      <w:r w:rsidRPr="00EC3B2C">
        <w:rPr>
          <w:rFonts w:ascii="Arial TUR" w:hAnsi="Arial TUR"/>
          <w:sz w:val="22"/>
          <w:rtl/>
        </w:rPr>
        <w:t>"</w:t>
      </w:r>
      <w:r w:rsidRPr="00EC3B2C">
        <w:rPr>
          <w:rFonts w:ascii="Arial TUR" w:hAnsi="Arial TUR" w:hint="eastAsia"/>
          <w:sz w:val="22"/>
          <w:rtl/>
        </w:rPr>
        <w:t>ץ</w:t>
      </w:r>
      <w:r w:rsidRPr="00EC3B2C">
        <w:rPr>
          <w:rFonts w:ascii="Arial TUR" w:hAnsi="Arial TUR"/>
          <w:sz w:val="22"/>
          <w:rtl/>
        </w:rPr>
        <w:t xml:space="preserve"> </w:t>
      </w:r>
      <w:r w:rsidRPr="00CE7BFB">
        <w:rPr>
          <w:rFonts w:ascii="Arial TUR" w:hAnsi="Arial TUR"/>
          <w:sz w:val="22"/>
          <w:rtl/>
        </w:rPr>
        <w:t xml:space="preserve">3975/95‏ </w:t>
      </w:r>
      <w:r w:rsidRPr="00CE7BFB">
        <w:rPr>
          <w:rFonts w:cs="Miriam" w:hint="eastAsia"/>
          <w:b/>
          <w:spacing w:val="0"/>
          <w:sz w:val="22"/>
          <w:szCs w:val="24"/>
          <w:rtl/>
        </w:rPr>
        <w:t>קניאל</w:t>
      </w:r>
      <w:r w:rsidRPr="00CE7BFB">
        <w:rPr>
          <w:rFonts w:cs="Miriam"/>
          <w:b/>
          <w:spacing w:val="0"/>
          <w:sz w:val="22"/>
          <w:szCs w:val="24"/>
          <w:rtl/>
        </w:rPr>
        <w:t xml:space="preserve"> </w:t>
      </w:r>
      <w:r w:rsidRPr="00CE7BFB">
        <w:rPr>
          <w:rFonts w:cs="Miriam" w:hint="eastAsia"/>
          <w:b/>
          <w:spacing w:val="0"/>
          <w:sz w:val="22"/>
          <w:szCs w:val="24"/>
          <w:rtl/>
        </w:rPr>
        <w:t>נ</w:t>
      </w:r>
      <w:r w:rsidRPr="00CE7BFB">
        <w:rPr>
          <w:rFonts w:cs="Miriam"/>
          <w:b/>
          <w:spacing w:val="0"/>
          <w:sz w:val="22"/>
          <w:szCs w:val="24"/>
          <w:rtl/>
        </w:rPr>
        <w:t xml:space="preserve">' </w:t>
      </w:r>
      <w:r w:rsidRPr="00CE7BFB">
        <w:rPr>
          <w:rFonts w:cs="Miriam" w:hint="eastAsia"/>
          <w:b/>
          <w:spacing w:val="0"/>
          <w:sz w:val="22"/>
          <w:szCs w:val="24"/>
          <w:rtl/>
        </w:rPr>
        <w:t>ממשלת</w:t>
      </w:r>
      <w:r w:rsidRPr="00CE7BFB">
        <w:rPr>
          <w:rFonts w:cs="Miriam"/>
          <w:b/>
          <w:spacing w:val="0"/>
          <w:sz w:val="22"/>
          <w:szCs w:val="24"/>
          <w:rtl/>
        </w:rPr>
        <w:t xml:space="preserve"> </w:t>
      </w:r>
      <w:r w:rsidRPr="00CE7BFB">
        <w:rPr>
          <w:rFonts w:cs="Miriam" w:hint="eastAsia"/>
          <w:b/>
          <w:spacing w:val="0"/>
          <w:sz w:val="22"/>
          <w:szCs w:val="24"/>
          <w:rtl/>
        </w:rPr>
        <w:t>ישראל</w:t>
      </w:r>
      <w:r w:rsidRPr="00CE7BFB">
        <w:rPr>
          <w:rFonts w:ascii="Arial TUR" w:hAnsi="Arial TUR"/>
          <w:sz w:val="22"/>
          <w:rtl/>
        </w:rPr>
        <w:t xml:space="preserve">‏, </w:t>
      </w:r>
      <w:r w:rsidRPr="00CE7BFB">
        <w:rPr>
          <w:rFonts w:ascii="Arial TUR" w:hAnsi="Arial TUR" w:hint="eastAsia"/>
          <w:sz w:val="22"/>
          <w:rtl/>
        </w:rPr>
        <w:t>פ</w:t>
      </w:r>
      <w:r w:rsidRPr="00CE7BFB">
        <w:rPr>
          <w:rFonts w:ascii="Arial TUR" w:hAnsi="Arial TUR" w:hint="cs"/>
          <w:sz w:val="22"/>
          <w:rtl/>
        </w:rPr>
        <w:t>"</w:t>
      </w:r>
      <w:r w:rsidRPr="00CE7BFB">
        <w:rPr>
          <w:rFonts w:ascii="Arial TUR" w:hAnsi="Arial TUR" w:hint="eastAsia"/>
          <w:sz w:val="22"/>
          <w:rtl/>
        </w:rPr>
        <w:t>ד</w:t>
      </w:r>
      <w:r w:rsidRPr="00CE7BFB">
        <w:rPr>
          <w:rFonts w:ascii="Arial TUR" w:hAnsi="Arial TUR"/>
          <w:sz w:val="22"/>
          <w:rtl/>
        </w:rPr>
        <w:t xml:space="preserve"> </w:t>
      </w:r>
      <w:r w:rsidRPr="00CE7BFB">
        <w:rPr>
          <w:rFonts w:ascii="Arial TUR" w:hAnsi="Arial TUR" w:hint="eastAsia"/>
          <w:sz w:val="22"/>
          <w:rtl/>
        </w:rPr>
        <w:t>נג</w:t>
      </w:r>
      <w:r w:rsidRPr="00CE7BFB">
        <w:rPr>
          <w:rFonts w:ascii="Arial TUR" w:hAnsi="Arial TUR"/>
          <w:sz w:val="22"/>
          <w:rtl/>
        </w:rPr>
        <w:t>(5) 459</w:t>
      </w:r>
      <w:r w:rsidRPr="00CE7BFB">
        <w:rPr>
          <w:rFonts w:ascii="Arial TUR" w:hAnsi="Arial TUR" w:hint="cs"/>
          <w:sz w:val="22"/>
          <w:rtl/>
        </w:rPr>
        <w:t>, 497 (1999)</w:t>
      </w:r>
      <w:r w:rsidRPr="00CE7BFB">
        <w:rPr>
          <w:rFonts w:hint="cs"/>
          <w:rtl/>
        </w:rPr>
        <w:t>;</w:t>
      </w:r>
      <w:r>
        <w:rPr>
          <w:rFonts w:hint="cs"/>
          <w:rtl/>
        </w:rPr>
        <w:t xml:space="preserve"> </w:t>
      </w:r>
      <w:r w:rsidRPr="007C1741">
        <w:rPr>
          <w:rFonts w:hint="eastAsia"/>
          <w:rtl/>
        </w:rPr>
        <w:t>בג</w:t>
      </w:r>
      <w:r w:rsidRPr="007C1741">
        <w:rPr>
          <w:rtl/>
        </w:rPr>
        <w:t>"</w:t>
      </w:r>
      <w:r w:rsidRPr="007C1741">
        <w:rPr>
          <w:rFonts w:hint="eastAsia"/>
          <w:rtl/>
        </w:rPr>
        <w:t>ץ</w:t>
      </w:r>
      <w:r w:rsidRPr="007C1741">
        <w:rPr>
          <w:rtl/>
        </w:rPr>
        <w:t xml:space="preserve"> 6407/06 </w:t>
      </w:r>
      <w:r w:rsidRPr="007C1741">
        <w:rPr>
          <w:rFonts w:cs="Miriam" w:hint="eastAsia"/>
          <w:b/>
          <w:spacing w:val="0"/>
          <w:sz w:val="22"/>
          <w:szCs w:val="24"/>
          <w:rtl/>
        </w:rPr>
        <w:t>דורון</w:t>
      </w:r>
      <w:r w:rsidRPr="007C1741">
        <w:rPr>
          <w:rFonts w:cs="Miriam"/>
          <w:b/>
          <w:spacing w:val="0"/>
          <w:sz w:val="22"/>
          <w:szCs w:val="24"/>
          <w:rtl/>
        </w:rPr>
        <w:t xml:space="preserve">, </w:t>
      </w:r>
      <w:r w:rsidRPr="007C1741">
        <w:rPr>
          <w:rFonts w:cs="Miriam" w:hint="eastAsia"/>
          <w:b/>
          <w:spacing w:val="0"/>
          <w:sz w:val="22"/>
          <w:szCs w:val="24"/>
          <w:rtl/>
        </w:rPr>
        <w:t>טיקוצקי</w:t>
      </w:r>
      <w:r w:rsidRPr="007C1741">
        <w:rPr>
          <w:rFonts w:cs="Miriam"/>
          <w:b/>
          <w:spacing w:val="0"/>
          <w:sz w:val="22"/>
          <w:szCs w:val="24"/>
          <w:rtl/>
        </w:rPr>
        <w:t xml:space="preserve">, </w:t>
      </w:r>
      <w:r w:rsidRPr="007C1741">
        <w:rPr>
          <w:rFonts w:cs="Miriam" w:hint="eastAsia"/>
          <w:b/>
          <w:spacing w:val="0"/>
          <w:sz w:val="22"/>
          <w:szCs w:val="24"/>
          <w:rtl/>
        </w:rPr>
        <w:t>עמיר</w:t>
      </w:r>
      <w:r w:rsidRPr="007C1741">
        <w:rPr>
          <w:rFonts w:cs="Miriam"/>
          <w:b/>
          <w:spacing w:val="0"/>
          <w:sz w:val="22"/>
          <w:szCs w:val="24"/>
          <w:rtl/>
        </w:rPr>
        <w:t xml:space="preserve">, </w:t>
      </w:r>
      <w:r w:rsidRPr="007C1741">
        <w:rPr>
          <w:rFonts w:cs="Miriam" w:hint="eastAsia"/>
          <w:b/>
          <w:spacing w:val="0"/>
          <w:sz w:val="22"/>
          <w:szCs w:val="24"/>
          <w:rtl/>
        </w:rPr>
        <w:t>מזרחי</w:t>
      </w:r>
      <w:r w:rsidRPr="007C1741">
        <w:rPr>
          <w:rFonts w:cs="Miriam"/>
          <w:b/>
          <w:spacing w:val="0"/>
          <w:sz w:val="22"/>
          <w:szCs w:val="24"/>
          <w:rtl/>
        </w:rPr>
        <w:t xml:space="preserve"> </w:t>
      </w:r>
      <w:r w:rsidRPr="007C1741">
        <w:rPr>
          <w:rFonts w:cs="Miriam" w:hint="eastAsia"/>
          <w:b/>
          <w:spacing w:val="0"/>
          <w:sz w:val="22"/>
          <w:szCs w:val="24"/>
          <w:rtl/>
        </w:rPr>
        <w:t>עורכי</w:t>
      </w:r>
      <w:r w:rsidRPr="007C1741">
        <w:rPr>
          <w:rFonts w:cs="Miriam"/>
          <w:b/>
          <w:spacing w:val="0"/>
          <w:sz w:val="22"/>
          <w:szCs w:val="24"/>
          <w:rtl/>
        </w:rPr>
        <w:t xml:space="preserve"> </w:t>
      </w:r>
      <w:r w:rsidRPr="007C1741">
        <w:rPr>
          <w:rFonts w:cs="Miriam" w:hint="eastAsia"/>
          <w:b/>
          <w:spacing w:val="0"/>
          <w:sz w:val="22"/>
          <w:szCs w:val="24"/>
          <w:rtl/>
        </w:rPr>
        <w:t>דין</w:t>
      </w:r>
      <w:r w:rsidRPr="007C1741">
        <w:rPr>
          <w:rFonts w:cs="Miriam"/>
          <w:b/>
          <w:spacing w:val="0"/>
          <w:sz w:val="22"/>
          <w:szCs w:val="24"/>
          <w:rtl/>
        </w:rPr>
        <w:t xml:space="preserve"> </w:t>
      </w:r>
      <w:r w:rsidRPr="007C1741">
        <w:rPr>
          <w:rFonts w:cs="Miriam" w:hint="eastAsia"/>
          <w:b/>
          <w:spacing w:val="0"/>
          <w:sz w:val="22"/>
          <w:szCs w:val="24"/>
          <w:rtl/>
        </w:rPr>
        <w:t>נ</w:t>
      </w:r>
      <w:r w:rsidRPr="007C1741">
        <w:rPr>
          <w:rFonts w:cs="Miriam"/>
          <w:b/>
          <w:spacing w:val="0"/>
          <w:sz w:val="22"/>
          <w:szCs w:val="24"/>
          <w:rtl/>
        </w:rPr>
        <w:t xml:space="preserve">' </w:t>
      </w:r>
      <w:r w:rsidRPr="007C1741">
        <w:rPr>
          <w:rFonts w:cs="Miriam" w:hint="eastAsia"/>
          <w:b/>
          <w:spacing w:val="0"/>
          <w:sz w:val="22"/>
          <w:szCs w:val="24"/>
          <w:rtl/>
        </w:rPr>
        <w:t>שר</w:t>
      </w:r>
      <w:r w:rsidRPr="007C1741">
        <w:rPr>
          <w:rFonts w:cs="Miriam"/>
          <w:b/>
          <w:spacing w:val="0"/>
          <w:sz w:val="22"/>
          <w:szCs w:val="24"/>
          <w:rtl/>
        </w:rPr>
        <w:t xml:space="preserve"> </w:t>
      </w:r>
      <w:r w:rsidRPr="007C1741">
        <w:rPr>
          <w:rFonts w:cs="Miriam" w:hint="eastAsia"/>
          <w:b/>
          <w:spacing w:val="0"/>
          <w:sz w:val="22"/>
          <w:szCs w:val="24"/>
          <w:rtl/>
        </w:rPr>
        <w:t>האוצר</w:t>
      </w:r>
      <w:r w:rsidRPr="007C1741">
        <w:rPr>
          <w:rtl/>
        </w:rPr>
        <w:t xml:space="preserve">, </w:t>
      </w:r>
      <w:r w:rsidRPr="007C1741">
        <w:rPr>
          <w:rFonts w:hint="eastAsia"/>
          <w:rtl/>
        </w:rPr>
        <w:t>פסקה</w:t>
      </w:r>
      <w:r w:rsidRPr="007C1741">
        <w:rPr>
          <w:rtl/>
        </w:rPr>
        <w:t xml:space="preserve"> 66 </w:t>
      </w:r>
      <w:r w:rsidRPr="000A1329">
        <w:rPr>
          <w:rtl/>
        </w:rPr>
        <w:t xml:space="preserve">לפסק דינה של השופטת </w:t>
      </w:r>
      <w:r w:rsidRPr="00EC475E">
        <w:rPr>
          <w:rFonts w:cs="Miriam" w:hint="eastAsia"/>
          <w:b/>
          <w:spacing w:val="0"/>
          <w:sz w:val="22"/>
          <w:szCs w:val="24"/>
          <w:rtl/>
        </w:rPr>
        <w:t>ע</w:t>
      </w:r>
      <w:r w:rsidRPr="00EC475E">
        <w:rPr>
          <w:rFonts w:cs="Miriam"/>
          <w:b/>
          <w:spacing w:val="0"/>
          <w:sz w:val="22"/>
          <w:szCs w:val="24"/>
          <w:rtl/>
        </w:rPr>
        <w:t xml:space="preserve">' </w:t>
      </w:r>
      <w:r w:rsidRPr="00EC475E">
        <w:rPr>
          <w:rFonts w:cs="Miriam" w:hint="eastAsia"/>
          <w:b/>
          <w:spacing w:val="0"/>
          <w:sz w:val="22"/>
          <w:szCs w:val="24"/>
          <w:rtl/>
        </w:rPr>
        <w:t>ארבל</w:t>
      </w:r>
      <w:r>
        <w:rPr>
          <w:rFonts w:hint="cs"/>
          <w:rtl/>
        </w:rPr>
        <w:t xml:space="preserve"> </w:t>
      </w:r>
      <w:r w:rsidRPr="007C1741">
        <w:rPr>
          <w:rtl/>
        </w:rPr>
        <w:t>(23.9.2007)</w:t>
      </w:r>
      <w:r w:rsidRPr="007C1741">
        <w:rPr>
          <w:rFonts w:hint="cs"/>
          <w:rtl/>
        </w:rPr>
        <w:t>)</w:t>
      </w:r>
      <w:r>
        <w:rPr>
          <w:rFonts w:hint="cs"/>
          <w:rtl/>
        </w:rPr>
        <w:t xml:space="preserve">; בסמכויות שהפעלתן כרוכה בשקילת שיקולים פוליטיים (ראו, </w:t>
      </w:r>
      <w:r w:rsidRPr="00FF0DC6">
        <w:rPr>
          <w:rFonts w:hint="cs"/>
          <w:color w:val="000000" w:themeColor="text1"/>
          <w:rtl/>
        </w:rPr>
        <w:t>למשל</w:t>
      </w:r>
      <w:r w:rsidRPr="00F938A2">
        <w:rPr>
          <w:rFonts w:hint="cs"/>
          <w:color w:val="000000" w:themeColor="text1"/>
          <w:rtl/>
        </w:rPr>
        <w:t xml:space="preserve">, בג"ץ 8948/22 </w:t>
      </w:r>
      <w:r w:rsidRPr="00F938A2">
        <w:rPr>
          <w:rFonts w:cs="Miriam" w:hint="cs"/>
          <w:b/>
          <w:color w:val="000000" w:themeColor="text1"/>
          <w:spacing w:val="0"/>
          <w:szCs w:val="24"/>
          <w:rtl/>
        </w:rPr>
        <w:t>שיינפלד נ' הכנסת</w:t>
      </w:r>
      <w:r w:rsidRPr="00F938A2">
        <w:rPr>
          <w:rFonts w:hint="cs"/>
          <w:color w:val="000000" w:themeColor="text1"/>
          <w:rtl/>
        </w:rPr>
        <w:t xml:space="preserve">, פסקה 52 לחוות דעתי (18.1.2023) (להלן: </w:t>
      </w:r>
      <w:r w:rsidRPr="00F938A2">
        <w:rPr>
          <w:rFonts w:cs="Miriam" w:hint="cs"/>
          <w:b/>
          <w:color w:val="000000" w:themeColor="text1"/>
          <w:spacing w:val="0"/>
          <w:sz w:val="22"/>
          <w:szCs w:val="24"/>
          <w:rtl/>
        </w:rPr>
        <w:t>עניין</w:t>
      </w:r>
      <w:r w:rsidRPr="00F938A2">
        <w:rPr>
          <w:rFonts w:hint="cs"/>
          <w:color w:val="000000" w:themeColor="text1"/>
          <w:rtl/>
        </w:rPr>
        <w:t xml:space="preserve"> </w:t>
      </w:r>
      <w:r w:rsidRPr="00F938A2">
        <w:rPr>
          <w:rFonts w:cs="Miriam" w:hint="cs"/>
          <w:b/>
          <w:color w:val="000000" w:themeColor="text1"/>
          <w:spacing w:val="0"/>
          <w:sz w:val="22"/>
          <w:szCs w:val="24"/>
          <w:rtl/>
        </w:rPr>
        <w:t>שיינפלד</w:t>
      </w:r>
      <w:r w:rsidRPr="00C735EA">
        <w:rPr>
          <w:rtl/>
        </w:rPr>
        <w:t>))</w:t>
      </w:r>
      <w:r w:rsidRPr="00FF0DC6">
        <w:rPr>
          <w:rFonts w:hint="cs"/>
          <w:color w:val="000000" w:themeColor="text1"/>
          <w:rtl/>
        </w:rPr>
        <w:t xml:space="preserve">; </w:t>
      </w:r>
      <w:r>
        <w:rPr>
          <w:rFonts w:hint="cs"/>
          <w:rtl/>
        </w:rPr>
        <w:t>וכשמדובר בהכרעות המשקפות מומחיות ומקצועיות של הגופים המוסמכים</w:t>
      </w:r>
      <w:r>
        <w:rPr>
          <w:rFonts w:ascii="Arial TUR" w:hAnsi="Arial TUR" w:hint="cs"/>
          <w:sz w:val="22"/>
          <w:rtl/>
        </w:rPr>
        <w:t xml:space="preserve"> (ראו למשל: </w:t>
      </w:r>
      <w:r w:rsidRPr="00922000">
        <w:rPr>
          <w:rFonts w:ascii="Arial TUR" w:hAnsi="Arial TUR" w:hint="cs"/>
          <w:sz w:val="22"/>
          <w:rtl/>
        </w:rPr>
        <w:t xml:space="preserve">ע"א 4276/94 </w:t>
      </w:r>
      <w:r w:rsidRPr="00922000">
        <w:rPr>
          <w:rFonts w:cs="Miriam" w:hint="cs"/>
          <w:b/>
          <w:spacing w:val="0"/>
          <w:sz w:val="22"/>
          <w:szCs w:val="24"/>
          <w:rtl/>
        </w:rPr>
        <w:t>הבורסה לניירות ערך בתל</w:t>
      </w:r>
      <w:r w:rsidRPr="00EC475E">
        <w:rPr>
          <w:rFonts w:cs="Miriam"/>
          <w:b/>
          <w:spacing w:val="0"/>
          <w:sz w:val="22"/>
          <w:szCs w:val="24"/>
          <w:rtl/>
        </w:rPr>
        <w:t>-</w:t>
      </w:r>
      <w:r w:rsidRPr="00922000">
        <w:rPr>
          <w:rFonts w:cs="Miriam" w:hint="cs"/>
          <w:b/>
          <w:spacing w:val="0"/>
          <w:sz w:val="22"/>
          <w:szCs w:val="24"/>
          <w:rtl/>
        </w:rPr>
        <w:t>אביב בע"מ נ' איגוד חברות ציבוריות הרשומות בבורסה</w:t>
      </w:r>
      <w:r w:rsidRPr="00922000">
        <w:rPr>
          <w:rFonts w:ascii="Arial TUR" w:hAnsi="Arial TUR" w:hint="cs"/>
          <w:sz w:val="22"/>
          <w:rtl/>
        </w:rPr>
        <w:t xml:space="preserve">, פ"ד נ(5) 728, </w:t>
      </w:r>
      <w:r>
        <w:rPr>
          <w:rFonts w:ascii="Arial TUR" w:hAnsi="Arial TUR" w:hint="cs"/>
          <w:sz w:val="22"/>
          <w:rtl/>
        </w:rPr>
        <w:t xml:space="preserve">739 </w:t>
      </w:r>
      <w:r w:rsidRPr="00922000">
        <w:rPr>
          <w:rFonts w:ascii="Arial TUR" w:hAnsi="Arial TUR" w:hint="cs"/>
          <w:sz w:val="22"/>
          <w:rtl/>
        </w:rPr>
        <w:t>(1997)</w:t>
      </w:r>
      <w:r>
        <w:rPr>
          <w:rFonts w:ascii="Arial TUR" w:hAnsi="Arial TUR" w:hint="cs"/>
          <w:sz w:val="22"/>
          <w:rtl/>
        </w:rPr>
        <w:t xml:space="preserve">; </w:t>
      </w:r>
      <w:r w:rsidRPr="00267856">
        <w:rPr>
          <w:rFonts w:ascii="Arial TUR" w:hAnsi="Arial TUR" w:hint="eastAsia"/>
          <w:sz w:val="22"/>
          <w:rtl/>
        </w:rPr>
        <w:t>בג</w:t>
      </w:r>
      <w:r w:rsidRPr="00267856">
        <w:rPr>
          <w:rFonts w:ascii="Arial TUR" w:hAnsi="Arial TUR" w:hint="cs"/>
          <w:sz w:val="22"/>
          <w:rtl/>
        </w:rPr>
        <w:t>"</w:t>
      </w:r>
      <w:r w:rsidRPr="00267856">
        <w:rPr>
          <w:rFonts w:ascii="Arial TUR" w:hAnsi="Arial TUR" w:hint="eastAsia"/>
          <w:sz w:val="22"/>
          <w:rtl/>
        </w:rPr>
        <w:t>ץ</w:t>
      </w:r>
      <w:r w:rsidRPr="00267856">
        <w:rPr>
          <w:rFonts w:ascii="Arial TUR" w:hAnsi="Arial TUR"/>
          <w:sz w:val="22"/>
          <w:rtl/>
        </w:rPr>
        <w:t xml:space="preserve"> 3017/05 </w:t>
      </w:r>
      <w:r w:rsidRPr="00267856">
        <w:rPr>
          <w:rFonts w:cs="Miriam" w:hint="eastAsia"/>
          <w:b/>
          <w:spacing w:val="0"/>
          <w:sz w:val="22"/>
          <w:szCs w:val="24"/>
          <w:rtl/>
        </w:rPr>
        <w:t>חברת</w:t>
      </w:r>
      <w:r w:rsidRPr="00267856">
        <w:rPr>
          <w:rFonts w:cs="Miriam"/>
          <w:b/>
          <w:spacing w:val="0"/>
          <w:sz w:val="22"/>
          <w:szCs w:val="24"/>
          <w:rtl/>
        </w:rPr>
        <w:t xml:space="preserve"> </w:t>
      </w:r>
      <w:r w:rsidRPr="00267856">
        <w:rPr>
          <w:rFonts w:cs="Miriam" w:hint="eastAsia"/>
          <w:b/>
          <w:spacing w:val="0"/>
          <w:sz w:val="22"/>
          <w:szCs w:val="24"/>
          <w:rtl/>
        </w:rPr>
        <w:t>הזרע</w:t>
      </w:r>
      <w:r w:rsidRPr="00267856">
        <w:rPr>
          <w:rFonts w:cs="Miriam"/>
          <w:b/>
          <w:spacing w:val="0"/>
          <w:sz w:val="22"/>
          <w:szCs w:val="24"/>
          <w:rtl/>
        </w:rPr>
        <w:t xml:space="preserve"> (1939) </w:t>
      </w:r>
      <w:r w:rsidRPr="00267856">
        <w:rPr>
          <w:rFonts w:cs="Miriam" w:hint="eastAsia"/>
          <w:b/>
          <w:spacing w:val="0"/>
          <w:sz w:val="22"/>
          <w:szCs w:val="24"/>
          <w:rtl/>
        </w:rPr>
        <w:t>בע</w:t>
      </w:r>
      <w:r w:rsidRPr="00267856">
        <w:rPr>
          <w:rFonts w:cs="Miriam"/>
          <w:b/>
          <w:spacing w:val="0"/>
          <w:sz w:val="22"/>
          <w:szCs w:val="24"/>
          <w:rtl/>
        </w:rPr>
        <w:t>"</w:t>
      </w:r>
      <w:r w:rsidRPr="00267856">
        <w:rPr>
          <w:rFonts w:cs="Miriam" w:hint="eastAsia"/>
          <w:b/>
          <w:spacing w:val="0"/>
          <w:sz w:val="22"/>
          <w:szCs w:val="24"/>
          <w:rtl/>
        </w:rPr>
        <w:t>מ</w:t>
      </w:r>
      <w:r w:rsidRPr="00267856">
        <w:rPr>
          <w:rFonts w:cs="Miriam"/>
          <w:b/>
          <w:spacing w:val="0"/>
          <w:sz w:val="22"/>
          <w:szCs w:val="24"/>
          <w:rtl/>
        </w:rPr>
        <w:t xml:space="preserve"> </w:t>
      </w:r>
      <w:r w:rsidRPr="00267856">
        <w:rPr>
          <w:rFonts w:cs="Miriam" w:hint="eastAsia"/>
          <w:b/>
          <w:spacing w:val="0"/>
          <w:sz w:val="22"/>
          <w:szCs w:val="24"/>
          <w:rtl/>
        </w:rPr>
        <w:t>נ</w:t>
      </w:r>
      <w:r w:rsidRPr="00267856">
        <w:rPr>
          <w:rFonts w:cs="Miriam"/>
          <w:b/>
          <w:spacing w:val="0"/>
          <w:sz w:val="22"/>
          <w:szCs w:val="24"/>
          <w:rtl/>
        </w:rPr>
        <w:t xml:space="preserve">' </w:t>
      </w:r>
      <w:r w:rsidRPr="00267856">
        <w:rPr>
          <w:rFonts w:cs="Miriam" w:hint="eastAsia"/>
          <w:b/>
          <w:spacing w:val="0"/>
          <w:sz w:val="22"/>
          <w:szCs w:val="24"/>
          <w:rtl/>
        </w:rPr>
        <w:t>המועצה</w:t>
      </w:r>
      <w:r w:rsidRPr="00267856">
        <w:rPr>
          <w:rFonts w:cs="Miriam"/>
          <w:b/>
          <w:spacing w:val="0"/>
          <w:sz w:val="22"/>
          <w:szCs w:val="24"/>
          <w:rtl/>
        </w:rPr>
        <w:t xml:space="preserve"> </w:t>
      </w:r>
      <w:r w:rsidRPr="00267856">
        <w:rPr>
          <w:rFonts w:cs="Miriam" w:hint="eastAsia"/>
          <w:b/>
          <w:spacing w:val="0"/>
          <w:sz w:val="22"/>
          <w:szCs w:val="24"/>
          <w:rtl/>
        </w:rPr>
        <w:t>הארצית</w:t>
      </w:r>
      <w:r w:rsidRPr="00267856">
        <w:rPr>
          <w:rFonts w:cs="Miriam"/>
          <w:b/>
          <w:spacing w:val="0"/>
          <w:sz w:val="22"/>
          <w:szCs w:val="24"/>
          <w:rtl/>
        </w:rPr>
        <w:t xml:space="preserve"> </w:t>
      </w:r>
      <w:r w:rsidRPr="00267856">
        <w:rPr>
          <w:rFonts w:cs="Miriam" w:hint="eastAsia"/>
          <w:b/>
          <w:spacing w:val="0"/>
          <w:sz w:val="22"/>
          <w:szCs w:val="24"/>
          <w:rtl/>
        </w:rPr>
        <w:t>לתכנון</w:t>
      </w:r>
      <w:r w:rsidRPr="00267856">
        <w:rPr>
          <w:rFonts w:cs="Miriam"/>
          <w:b/>
          <w:spacing w:val="0"/>
          <w:sz w:val="22"/>
          <w:szCs w:val="24"/>
          <w:rtl/>
        </w:rPr>
        <w:t xml:space="preserve"> </w:t>
      </w:r>
      <w:r w:rsidRPr="00267856">
        <w:rPr>
          <w:rFonts w:cs="Miriam" w:hint="eastAsia"/>
          <w:b/>
          <w:spacing w:val="0"/>
          <w:sz w:val="22"/>
          <w:szCs w:val="24"/>
          <w:rtl/>
        </w:rPr>
        <w:t>ובניה</w:t>
      </w:r>
      <w:r w:rsidRPr="00267856">
        <w:rPr>
          <w:rFonts w:ascii="Arial TUR" w:hAnsi="Arial TUR" w:hint="cs"/>
          <w:sz w:val="22"/>
          <w:rtl/>
        </w:rPr>
        <w:t>, פסקה 38</w:t>
      </w:r>
      <w:r w:rsidRPr="00EC475E">
        <w:rPr>
          <w:rFonts w:ascii="Arial TUR" w:hAnsi="Arial TUR"/>
          <w:sz w:val="22"/>
          <w:rtl/>
        </w:rPr>
        <w:t xml:space="preserve"> לפסק דינה של השופטת </w:t>
      </w:r>
      <w:r w:rsidRPr="00EC475E">
        <w:rPr>
          <w:rFonts w:cs="Miriam" w:hint="eastAsia"/>
          <w:b/>
          <w:spacing w:val="0"/>
          <w:sz w:val="22"/>
          <w:szCs w:val="24"/>
          <w:rtl/>
        </w:rPr>
        <w:t>א</w:t>
      </w:r>
      <w:r w:rsidRPr="00EC475E">
        <w:rPr>
          <w:rFonts w:cs="Miriam"/>
          <w:b/>
          <w:spacing w:val="0"/>
          <w:sz w:val="22"/>
          <w:szCs w:val="24"/>
          <w:rtl/>
        </w:rPr>
        <w:t>' פרוקצ'יה</w:t>
      </w:r>
      <w:r w:rsidRPr="00267856">
        <w:rPr>
          <w:rFonts w:ascii="Arial TUR" w:hAnsi="Arial TUR" w:hint="cs"/>
          <w:sz w:val="22"/>
          <w:rtl/>
        </w:rPr>
        <w:t xml:space="preserve"> (23.3.2011)</w:t>
      </w:r>
      <w:r>
        <w:rPr>
          <w:rFonts w:ascii="Arial TUR" w:hAnsi="Arial TUR" w:hint="cs"/>
          <w:sz w:val="22"/>
          <w:rtl/>
        </w:rPr>
        <w:t xml:space="preserve">; </w:t>
      </w:r>
      <w:r w:rsidRPr="00F734A9">
        <w:rPr>
          <w:rFonts w:ascii="Arial TUR" w:hAnsi="Arial TUR"/>
          <w:sz w:val="22"/>
          <w:rtl/>
        </w:rPr>
        <w:t xml:space="preserve">בג"ץ 6271/11 </w:t>
      </w:r>
      <w:r w:rsidRPr="00EC475E">
        <w:rPr>
          <w:rFonts w:cs="Miriam"/>
          <w:b/>
          <w:spacing w:val="0"/>
          <w:sz w:val="22"/>
          <w:szCs w:val="24"/>
          <w:rtl/>
        </w:rPr>
        <w:t>דלק חברת הדלק הישראלית בע"מ נ' שר האוצר</w:t>
      </w:r>
      <w:r w:rsidRPr="00F734A9">
        <w:rPr>
          <w:rFonts w:ascii="Arial TUR" w:hAnsi="Arial TUR"/>
          <w:sz w:val="22"/>
          <w:rtl/>
        </w:rPr>
        <w:t>, פסקה 11 (26.11.2012)</w:t>
      </w:r>
      <w:r w:rsidRPr="005535E9">
        <w:rPr>
          <w:rFonts w:ascii="Arial TUR" w:hAnsi="Arial TUR" w:hint="cs"/>
          <w:sz w:val="22"/>
          <w:rtl/>
        </w:rPr>
        <w:t>).</w:t>
      </w:r>
      <w:r>
        <w:rPr>
          <w:rFonts w:hint="cs"/>
          <w:rtl/>
        </w:rPr>
        <w:t xml:space="preserve"> </w:t>
      </w:r>
      <w:r w:rsidRPr="00FB5E57">
        <w:rPr>
          <w:rFonts w:ascii="Arial TUR" w:hAnsi="Arial TUR" w:hint="cs"/>
          <w:sz w:val="22"/>
          <w:rtl/>
        </w:rPr>
        <w:t xml:space="preserve">בנוסף, </w:t>
      </w:r>
      <w:r>
        <w:rPr>
          <w:rFonts w:ascii="Arial TUR" w:hAnsi="Arial TUR" w:hint="cs"/>
          <w:sz w:val="22"/>
          <w:rtl/>
        </w:rPr>
        <w:t xml:space="preserve">נקבע זה מכבר כי על </w:t>
      </w:r>
      <w:r w:rsidRPr="00FB5E57">
        <w:rPr>
          <w:rFonts w:ascii="Arial TUR" w:hAnsi="Arial TUR" w:hint="cs"/>
          <w:sz w:val="22"/>
          <w:rtl/>
        </w:rPr>
        <w:t xml:space="preserve">בית המשפט </w:t>
      </w:r>
      <w:r>
        <w:rPr>
          <w:rFonts w:ascii="Arial TUR" w:hAnsi="Arial TUR" w:hint="cs"/>
          <w:sz w:val="22"/>
          <w:rtl/>
        </w:rPr>
        <w:t xml:space="preserve">לנהוג </w:t>
      </w:r>
      <w:r w:rsidRPr="00FB5E57">
        <w:rPr>
          <w:rFonts w:ascii="Arial TUR" w:hAnsi="Arial TUR" w:hint="cs"/>
          <w:sz w:val="22"/>
          <w:rtl/>
        </w:rPr>
        <w:t xml:space="preserve">זהירות </w:t>
      </w:r>
      <w:r>
        <w:rPr>
          <w:rFonts w:ascii="Arial TUR" w:hAnsi="Arial TUR" w:hint="cs"/>
          <w:sz w:val="22"/>
          <w:rtl/>
        </w:rPr>
        <w:t xml:space="preserve">יתרה בבחינת סבירותן של תקנות, </w:t>
      </w:r>
      <w:r w:rsidRPr="00FB5E57">
        <w:rPr>
          <w:rFonts w:ascii="Arial TUR" w:hAnsi="Arial TUR" w:hint="cs"/>
          <w:sz w:val="22"/>
          <w:rtl/>
        </w:rPr>
        <w:t xml:space="preserve">בפרט </w:t>
      </w:r>
      <w:r>
        <w:rPr>
          <w:rFonts w:ascii="Arial TUR" w:hAnsi="Arial TUR" w:hint="cs"/>
          <w:sz w:val="22"/>
          <w:rtl/>
        </w:rPr>
        <w:t>מקום שבו</w:t>
      </w:r>
      <w:r w:rsidRPr="00FB5E57">
        <w:rPr>
          <w:rFonts w:ascii="Arial TUR" w:hAnsi="Arial TUR" w:hint="cs"/>
          <w:sz w:val="22"/>
          <w:rtl/>
        </w:rPr>
        <w:t xml:space="preserve"> </w:t>
      </w:r>
      <w:r>
        <w:rPr>
          <w:rFonts w:ascii="Arial TUR" w:hAnsi="Arial TUR" w:hint="cs"/>
          <w:sz w:val="22"/>
          <w:rtl/>
        </w:rPr>
        <w:t xml:space="preserve">מדובר </w:t>
      </w:r>
      <w:r w:rsidRPr="00FB5E57">
        <w:rPr>
          <w:rFonts w:ascii="Arial TUR" w:hAnsi="Arial TUR" w:hint="cs"/>
          <w:sz w:val="22"/>
          <w:rtl/>
        </w:rPr>
        <w:t>בתקנות שאושר</w:t>
      </w:r>
      <w:r>
        <w:rPr>
          <w:rFonts w:ascii="Arial TUR" w:hAnsi="Arial TUR" w:hint="cs"/>
          <w:sz w:val="22"/>
          <w:rtl/>
        </w:rPr>
        <w:t>ו</w:t>
      </w:r>
      <w:r w:rsidRPr="00FB5E57">
        <w:rPr>
          <w:rFonts w:ascii="Arial TUR" w:hAnsi="Arial TUR" w:hint="cs"/>
          <w:sz w:val="22"/>
          <w:rtl/>
        </w:rPr>
        <w:t xml:space="preserve"> על ידי ועדה מוועדות הכנסת (ראו למשל: </w:t>
      </w:r>
      <w:r w:rsidRPr="00422266">
        <w:rPr>
          <w:rFonts w:ascii="Arial TUR" w:hAnsi="Arial TUR" w:hint="eastAsia"/>
          <w:sz w:val="22"/>
          <w:rtl/>
        </w:rPr>
        <w:t>בג</w:t>
      </w:r>
      <w:r w:rsidRPr="00422266">
        <w:rPr>
          <w:rFonts w:ascii="Arial TUR" w:hAnsi="Arial TUR"/>
          <w:sz w:val="22"/>
          <w:rtl/>
        </w:rPr>
        <w:t>"</w:t>
      </w:r>
      <w:r w:rsidRPr="00422266">
        <w:rPr>
          <w:rFonts w:ascii="Arial TUR" w:hAnsi="Arial TUR" w:hint="cs"/>
          <w:sz w:val="22"/>
          <w:rtl/>
        </w:rPr>
        <w:t>ץ</w:t>
      </w:r>
      <w:r w:rsidRPr="00422266">
        <w:rPr>
          <w:rFonts w:ascii="Arial TUR" w:hAnsi="Arial TUR"/>
          <w:sz w:val="22"/>
          <w:rtl/>
        </w:rPr>
        <w:t xml:space="preserve"> 4769/90 </w:t>
      </w:r>
      <w:r w:rsidRPr="00422266">
        <w:rPr>
          <w:rFonts w:cs="Miriam" w:hint="eastAsia"/>
          <w:b/>
          <w:spacing w:val="0"/>
          <w:sz w:val="22"/>
          <w:szCs w:val="24"/>
          <w:rtl/>
        </w:rPr>
        <w:t>זידאן</w:t>
      </w:r>
      <w:r w:rsidRPr="00422266">
        <w:rPr>
          <w:rFonts w:cs="Miriam"/>
          <w:b/>
          <w:spacing w:val="0"/>
          <w:sz w:val="22"/>
          <w:szCs w:val="24"/>
          <w:rtl/>
        </w:rPr>
        <w:t xml:space="preserve"> </w:t>
      </w:r>
      <w:r w:rsidRPr="00422266">
        <w:rPr>
          <w:rFonts w:cs="Miriam" w:hint="eastAsia"/>
          <w:b/>
          <w:spacing w:val="0"/>
          <w:sz w:val="22"/>
          <w:szCs w:val="24"/>
          <w:rtl/>
        </w:rPr>
        <w:t>נ</w:t>
      </w:r>
      <w:r w:rsidRPr="00422266">
        <w:rPr>
          <w:rFonts w:cs="Miriam"/>
          <w:b/>
          <w:spacing w:val="0"/>
          <w:sz w:val="22"/>
          <w:szCs w:val="24"/>
          <w:rtl/>
        </w:rPr>
        <w:t xml:space="preserve">' </w:t>
      </w:r>
      <w:r w:rsidRPr="00422266">
        <w:rPr>
          <w:rFonts w:cs="Miriam" w:hint="eastAsia"/>
          <w:b/>
          <w:spacing w:val="0"/>
          <w:sz w:val="22"/>
          <w:szCs w:val="24"/>
          <w:rtl/>
        </w:rPr>
        <w:t>שר</w:t>
      </w:r>
      <w:r w:rsidRPr="00422266">
        <w:rPr>
          <w:rFonts w:cs="Miriam"/>
          <w:b/>
          <w:spacing w:val="0"/>
          <w:sz w:val="22"/>
          <w:szCs w:val="24"/>
          <w:rtl/>
        </w:rPr>
        <w:t xml:space="preserve"> </w:t>
      </w:r>
      <w:r w:rsidRPr="00422266">
        <w:rPr>
          <w:rFonts w:cs="Miriam" w:hint="eastAsia"/>
          <w:b/>
          <w:spacing w:val="0"/>
          <w:sz w:val="22"/>
          <w:szCs w:val="24"/>
          <w:rtl/>
        </w:rPr>
        <w:t>העבודה</w:t>
      </w:r>
      <w:r w:rsidRPr="00422266">
        <w:rPr>
          <w:rFonts w:cs="Miriam" w:hint="cs"/>
          <w:b/>
          <w:spacing w:val="0"/>
          <w:sz w:val="22"/>
          <w:szCs w:val="24"/>
          <w:rtl/>
        </w:rPr>
        <w:t xml:space="preserve"> והרווחה</w:t>
      </w:r>
      <w:r w:rsidRPr="00422266">
        <w:rPr>
          <w:rFonts w:ascii="Arial TUR" w:hAnsi="Arial TUR"/>
          <w:sz w:val="22"/>
          <w:rtl/>
        </w:rPr>
        <w:t xml:space="preserve">, </w:t>
      </w:r>
      <w:r w:rsidRPr="00422266">
        <w:rPr>
          <w:rFonts w:ascii="Arial TUR" w:hAnsi="Arial TUR" w:hint="cs"/>
          <w:sz w:val="22"/>
          <w:rtl/>
        </w:rPr>
        <w:t>פ"ד</w:t>
      </w:r>
      <w:r w:rsidRPr="00422266">
        <w:rPr>
          <w:rFonts w:ascii="Arial TUR" w:hAnsi="Arial TUR"/>
          <w:sz w:val="22"/>
          <w:rtl/>
        </w:rPr>
        <w:t xml:space="preserve"> </w:t>
      </w:r>
      <w:r w:rsidRPr="00422266">
        <w:rPr>
          <w:rFonts w:ascii="Arial TUR" w:hAnsi="Arial TUR" w:hint="eastAsia"/>
          <w:sz w:val="22"/>
          <w:rtl/>
        </w:rPr>
        <w:t>מז</w:t>
      </w:r>
      <w:r w:rsidRPr="00422266">
        <w:rPr>
          <w:rFonts w:ascii="Arial TUR" w:hAnsi="Arial TUR"/>
          <w:sz w:val="22"/>
          <w:rtl/>
        </w:rPr>
        <w:t>(2) 147, 172</w:t>
      </w:r>
      <w:r w:rsidRPr="00422266">
        <w:rPr>
          <w:rFonts w:ascii="Arial TUR" w:hAnsi="Arial TUR" w:hint="cs"/>
          <w:sz w:val="22"/>
          <w:rtl/>
        </w:rPr>
        <w:t xml:space="preserve"> (1993);</w:t>
      </w:r>
      <w:r>
        <w:rPr>
          <w:rFonts w:ascii="Arial TUR" w:hAnsi="Arial TUR" w:hint="cs"/>
          <w:sz w:val="22"/>
          <w:rtl/>
        </w:rPr>
        <w:t xml:space="preserve"> </w:t>
      </w:r>
      <w:r w:rsidRPr="00422266">
        <w:rPr>
          <w:rFonts w:hint="eastAsia"/>
          <w:rtl/>
        </w:rPr>
        <w:t>בג</w:t>
      </w:r>
      <w:r w:rsidRPr="00422266">
        <w:rPr>
          <w:rtl/>
        </w:rPr>
        <w:t>"</w:t>
      </w:r>
      <w:r w:rsidRPr="00422266">
        <w:rPr>
          <w:rFonts w:hint="eastAsia"/>
          <w:rtl/>
        </w:rPr>
        <w:t>ץ</w:t>
      </w:r>
      <w:r w:rsidRPr="00422266">
        <w:rPr>
          <w:rtl/>
        </w:rPr>
        <w:t xml:space="preserve"> 471/11 </w:t>
      </w:r>
      <w:r w:rsidRPr="00422266">
        <w:rPr>
          <w:rFonts w:cs="Miriam" w:hint="eastAsia"/>
          <w:b/>
          <w:spacing w:val="0"/>
          <w:sz w:val="22"/>
          <w:szCs w:val="24"/>
          <w:rtl/>
        </w:rPr>
        <w:t>חן</w:t>
      </w:r>
      <w:r w:rsidRPr="00422266">
        <w:rPr>
          <w:rFonts w:cs="Miriam"/>
          <w:b/>
          <w:spacing w:val="0"/>
          <w:sz w:val="22"/>
          <w:szCs w:val="24"/>
          <w:rtl/>
        </w:rPr>
        <w:t xml:space="preserve"> </w:t>
      </w:r>
      <w:r w:rsidRPr="00422266">
        <w:rPr>
          <w:rFonts w:cs="Miriam" w:hint="eastAsia"/>
          <w:b/>
          <w:spacing w:val="0"/>
          <w:sz w:val="22"/>
          <w:szCs w:val="24"/>
          <w:rtl/>
        </w:rPr>
        <w:t>המקום</w:t>
      </w:r>
      <w:r w:rsidRPr="00422266">
        <w:rPr>
          <w:rFonts w:cs="Miriam"/>
          <w:b/>
          <w:spacing w:val="0"/>
          <w:sz w:val="22"/>
          <w:szCs w:val="24"/>
          <w:rtl/>
        </w:rPr>
        <w:t xml:space="preserve"> </w:t>
      </w:r>
      <w:r w:rsidRPr="00422266">
        <w:rPr>
          <w:rFonts w:cs="Miriam" w:hint="eastAsia"/>
          <w:b/>
          <w:spacing w:val="0"/>
          <w:sz w:val="22"/>
          <w:szCs w:val="24"/>
          <w:rtl/>
        </w:rPr>
        <w:t>בע</w:t>
      </w:r>
      <w:r w:rsidRPr="00422266">
        <w:rPr>
          <w:rFonts w:cs="Miriam"/>
          <w:b/>
          <w:spacing w:val="0"/>
          <w:sz w:val="22"/>
          <w:szCs w:val="24"/>
          <w:rtl/>
        </w:rPr>
        <w:t>"</w:t>
      </w:r>
      <w:r w:rsidRPr="00422266">
        <w:rPr>
          <w:rFonts w:cs="Miriam" w:hint="eastAsia"/>
          <w:b/>
          <w:spacing w:val="0"/>
          <w:sz w:val="22"/>
          <w:szCs w:val="24"/>
          <w:rtl/>
        </w:rPr>
        <w:t>מ</w:t>
      </w:r>
      <w:r w:rsidRPr="00422266">
        <w:rPr>
          <w:rFonts w:cs="Miriam"/>
          <w:b/>
          <w:spacing w:val="0"/>
          <w:sz w:val="22"/>
          <w:szCs w:val="24"/>
          <w:rtl/>
        </w:rPr>
        <w:t xml:space="preserve"> </w:t>
      </w:r>
      <w:r w:rsidRPr="00422266">
        <w:rPr>
          <w:rFonts w:cs="Miriam" w:hint="eastAsia"/>
          <w:b/>
          <w:spacing w:val="0"/>
          <w:sz w:val="22"/>
          <w:szCs w:val="24"/>
          <w:rtl/>
        </w:rPr>
        <w:t>נ</w:t>
      </w:r>
      <w:r w:rsidRPr="00422266">
        <w:rPr>
          <w:rFonts w:cs="Miriam"/>
          <w:b/>
          <w:spacing w:val="0"/>
          <w:sz w:val="22"/>
          <w:szCs w:val="24"/>
          <w:rtl/>
        </w:rPr>
        <w:t xml:space="preserve">' </w:t>
      </w:r>
      <w:r w:rsidRPr="00422266">
        <w:rPr>
          <w:rFonts w:cs="Miriam" w:hint="eastAsia"/>
          <w:b/>
          <w:spacing w:val="0"/>
          <w:sz w:val="22"/>
          <w:szCs w:val="24"/>
          <w:rtl/>
        </w:rPr>
        <w:t>המשרד</w:t>
      </w:r>
      <w:r w:rsidRPr="00422266">
        <w:rPr>
          <w:rFonts w:cs="Miriam"/>
          <w:b/>
          <w:spacing w:val="0"/>
          <w:sz w:val="22"/>
          <w:szCs w:val="24"/>
          <w:rtl/>
        </w:rPr>
        <w:t xml:space="preserve"> </w:t>
      </w:r>
      <w:r w:rsidRPr="00422266">
        <w:rPr>
          <w:rFonts w:cs="Miriam" w:hint="eastAsia"/>
          <w:b/>
          <w:spacing w:val="0"/>
          <w:sz w:val="22"/>
          <w:szCs w:val="24"/>
          <w:rtl/>
        </w:rPr>
        <w:t>להגנת</w:t>
      </w:r>
      <w:r w:rsidRPr="00422266">
        <w:rPr>
          <w:rFonts w:cs="Miriam"/>
          <w:b/>
          <w:spacing w:val="0"/>
          <w:sz w:val="22"/>
          <w:szCs w:val="24"/>
          <w:rtl/>
        </w:rPr>
        <w:t xml:space="preserve"> </w:t>
      </w:r>
      <w:r w:rsidRPr="00422266">
        <w:rPr>
          <w:rFonts w:cs="Miriam" w:hint="eastAsia"/>
          <w:b/>
          <w:spacing w:val="0"/>
          <w:sz w:val="22"/>
          <w:szCs w:val="24"/>
          <w:rtl/>
        </w:rPr>
        <w:t>הסביבה</w:t>
      </w:r>
      <w:r w:rsidRPr="00422266">
        <w:rPr>
          <w:rtl/>
        </w:rPr>
        <w:t xml:space="preserve">, </w:t>
      </w:r>
      <w:r w:rsidRPr="00422266">
        <w:rPr>
          <w:rFonts w:hint="eastAsia"/>
          <w:rtl/>
        </w:rPr>
        <w:t>פסקה</w:t>
      </w:r>
      <w:r w:rsidRPr="00422266">
        <w:rPr>
          <w:rtl/>
        </w:rPr>
        <w:t xml:space="preserve"> </w:t>
      </w:r>
      <w:r w:rsidRPr="00422266">
        <w:rPr>
          <w:rFonts w:hint="eastAsia"/>
          <w:rtl/>
        </w:rPr>
        <w:t>ל</w:t>
      </w:r>
      <w:r w:rsidRPr="00422266">
        <w:rPr>
          <w:rtl/>
        </w:rPr>
        <w:t>"</w:t>
      </w:r>
      <w:r w:rsidRPr="00422266">
        <w:rPr>
          <w:rFonts w:hint="eastAsia"/>
          <w:rtl/>
        </w:rPr>
        <w:t>א</w:t>
      </w:r>
      <w:r w:rsidRPr="00422266">
        <w:rPr>
          <w:rtl/>
        </w:rPr>
        <w:t xml:space="preserve"> (23.4.2012)</w:t>
      </w:r>
      <w:r w:rsidRPr="00422266">
        <w:rPr>
          <w:rFonts w:hint="cs"/>
          <w:rtl/>
        </w:rPr>
        <w:t>).</w:t>
      </w:r>
    </w:p>
    <w:p w:rsidR="00C044AE" w:rsidRPr="00AF752D" w:rsidRDefault="00C044AE" w:rsidP="00C044AE">
      <w:pPr>
        <w:pStyle w:val="Ruller41"/>
        <w:rPr>
          <w:color w:val="000000" w:themeColor="text1"/>
          <w:rtl/>
        </w:rPr>
      </w:pPr>
      <w:r>
        <w:rPr>
          <w:rFonts w:ascii="FrankRuehl" w:hAnsi="FrankRuehl"/>
          <w:color w:val="000000"/>
          <w:sz w:val="28"/>
          <w:shd w:val="clear" w:color="auto" w:fill="FFFFFF"/>
        </w:rPr>
        <w:t> </w:t>
      </w:r>
    </w:p>
    <w:p w:rsidR="00C044AE" w:rsidRPr="00535F42" w:rsidRDefault="00C044AE" w:rsidP="00C044AE">
      <w:pPr>
        <w:pStyle w:val="Ruller4"/>
      </w:pPr>
      <w:r>
        <w:rPr>
          <w:rFonts w:hint="cs"/>
          <w:rtl/>
        </w:rPr>
        <w:t>בהתאם לכללים אלה שימשה עילת הסבירות את בית המשפט לצורך התערבות בהחלטות מינהליות שבהן האיזון בין השיקולים השונים שיקף חוסר סבירות קיצוני. זאת, בין היתר, ביחס ל</w:t>
      </w:r>
      <w:r w:rsidRPr="005F3F2B">
        <w:rPr>
          <w:rFonts w:ascii="Century" w:hAnsi="Century" w:cs="Miriam" w:hint="cs"/>
          <w:bCs/>
          <w:spacing w:val="0"/>
          <w:szCs w:val="24"/>
          <w:rtl/>
        </w:rPr>
        <w:t xml:space="preserve">החלטות מדיניות </w:t>
      </w:r>
      <w:r>
        <w:rPr>
          <w:rFonts w:hint="cs"/>
          <w:rtl/>
        </w:rPr>
        <w:t xml:space="preserve">מסוימות (ראו: </w:t>
      </w:r>
      <w:r w:rsidRPr="007C4227">
        <w:rPr>
          <w:rFonts w:hint="eastAsia"/>
          <w:rtl/>
        </w:rPr>
        <w:t>בג</w:t>
      </w:r>
      <w:r w:rsidRPr="007C4227">
        <w:rPr>
          <w:rtl/>
        </w:rPr>
        <w:t>"</w:t>
      </w:r>
      <w:r w:rsidRPr="007C4227">
        <w:rPr>
          <w:rFonts w:hint="eastAsia"/>
          <w:rtl/>
        </w:rPr>
        <w:t>ץ</w:t>
      </w:r>
      <w:r w:rsidRPr="007C4227">
        <w:rPr>
          <w:rtl/>
        </w:rPr>
        <w:t xml:space="preserve"> 8397/06 </w:t>
      </w:r>
      <w:r w:rsidRPr="007C4227">
        <w:rPr>
          <w:rFonts w:ascii="Century" w:hAnsi="Century" w:cs="Miriam" w:hint="eastAsia"/>
          <w:b/>
          <w:spacing w:val="0"/>
          <w:szCs w:val="24"/>
          <w:rtl/>
        </w:rPr>
        <w:t>ווסר</w:t>
      </w:r>
      <w:r w:rsidRPr="007C4227">
        <w:rPr>
          <w:rFonts w:ascii="Century" w:hAnsi="Century" w:cs="Miriam"/>
          <w:b/>
          <w:spacing w:val="0"/>
          <w:szCs w:val="24"/>
          <w:rtl/>
        </w:rPr>
        <w:t xml:space="preserve"> </w:t>
      </w:r>
      <w:r w:rsidRPr="007C4227">
        <w:rPr>
          <w:rFonts w:ascii="Century" w:hAnsi="Century" w:cs="Miriam" w:hint="eastAsia"/>
          <w:b/>
          <w:spacing w:val="0"/>
          <w:szCs w:val="24"/>
          <w:rtl/>
        </w:rPr>
        <w:t>נ</w:t>
      </w:r>
      <w:r w:rsidRPr="007C4227">
        <w:rPr>
          <w:rFonts w:ascii="Century" w:hAnsi="Century" w:cs="Miriam"/>
          <w:b/>
          <w:spacing w:val="0"/>
          <w:szCs w:val="24"/>
          <w:rtl/>
        </w:rPr>
        <w:t xml:space="preserve">' </w:t>
      </w:r>
      <w:r w:rsidRPr="007C4227">
        <w:rPr>
          <w:rFonts w:ascii="Century" w:hAnsi="Century" w:cs="Miriam" w:hint="eastAsia"/>
          <w:b/>
          <w:spacing w:val="0"/>
          <w:szCs w:val="24"/>
          <w:rtl/>
        </w:rPr>
        <w:t>שר</w:t>
      </w:r>
      <w:r w:rsidRPr="007C4227">
        <w:rPr>
          <w:rFonts w:ascii="Century" w:hAnsi="Century" w:cs="Miriam"/>
          <w:b/>
          <w:spacing w:val="0"/>
          <w:szCs w:val="24"/>
          <w:rtl/>
        </w:rPr>
        <w:t xml:space="preserve"> </w:t>
      </w:r>
      <w:r w:rsidRPr="007C4227">
        <w:rPr>
          <w:rFonts w:ascii="Century" w:hAnsi="Century" w:cs="Miriam" w:hint="eastAsia"/>
          <w:b/>
          <w:spacing w:val="0"/>
          <w:szCs w:val="24"/>
          <w:rtl/>
        </w:rPr>
        <w:t>הביטחון</w:t>
      </w:r>
      <w:r w:rsidRPr="007C4227">
        <w:rPr>
          <w:rtl/>
        </w:rPr>
        <w:t xml:space="preserve">, </w:t>
      </w:r>
      <w:r w:rsidRPr="007C4227">
        <w:rPr>
          <w:rFonts w:hint="eastAsia"/>
          <w:rtl/>
        </w:rPr>
        <w:t>פ</w:t>
      </w:r>
      <w:r w:rsidRPr="007C4227">
        <w:rPr>
          <w:rtl/>
        </w:rPr>
        <w:t>"</w:t>
      </w:r>
      <w:r w:rsidRPr="007C4227">
        <w:rPr>
          <w:rFonts w:hint="eastAsia"/>
          <w:rtl/>
        </w:rPr>
        <w:t>ד</w:t>
      </w:r>
      <w:r w:rsidRPr="007C4227">
        <w:rPr>
          <w:rtl/>
        </w:rPr>
        <w:t xml:space="preserve"> </w:t>
      </w:r>
      <w:r w:rsidRPr="007C4227">
        <w:rPr>
          <w:rFonts w:hint="eastAsia"/>
          <w:rtl/>
        </w:rPr>
        <w:t>סב</w:t>
      </w:r>
      <w:r w:rsidRPr="007C4227">
        <w:rPr>
          <w:rtl/>
        </w:rPr>
        <w:t>(2) 198 (2007)</w:t>
      </w:r>
      <w:r w:rsidRPr="007C4227">
        <w:rPr>
          <w:rFonts w:hint="cs"/>
          <w:rtl/>
        </w:rPr>
        <w:t xml:space="preserve"> (להלן: </w:t>
      </w:r>
      <w:r w:rsidRPr="007C4227">
        <w:rPr>
          <w:rFonts w:ascii="Century" w:hAnsi="Century" w:cs="Miriam" w:hint="cs"/>
          <w:b/>
          <w:spacing w:val="0"/>
          <w:sz w:val="22"/>
          <w:szCs w:val="24"/>
          <w:rtl/>
        </w:rPr>
        <w:t>עניין ווסר</w:t>
      </w:r>
      <w:r w:rsidRPr="007C4227">
        <w:rPr>
          <w:rFonts w:hint="cs"/>
          <w:rtl/>
        </w:rPr>
        <w:t>)</w:t>
      </w:r>
      <w:r>
        <w:rPr>
          <w:rFonts w:hint="cs"/>
          <w:rtl/>
        </w:rPr>
        <w:t xml:space="preserve">; </w:t>
      </w:r>
      <w:r w:rsidRPr="006F5682">
        <w:rPr>
          <w:rFonts w:hint="cs"/>
          <w:rtl/>
        </w:rPr>
        <w:t xml:space="preserve">בג"ץ 244/00 </w:t>
      </w:r>
      <w:r w:rsidRPr="006F5682">
        <w:rPr>
          <w:rFonts w:ascii="Century" w:hAnsi="Century" w:cs="Miriam" w:hint="cs"/>
          <w:b/>
          <w:spacing w:val="0"/>
          <w:szCs w:val="24"/>
          <w:rtl/>
        </w:rPr>
        <w:t>עמותת שיח חדש, למען השיח הדמוקרטי נ' שר התשתיות הלאומיות</w:t>
      </w:r>
      <w:r w:rsidRPr="006F5682">
        <w:rPr>
          <w:rFonts w:hint="cs"/>
          <w:rtl/>
        </w:rPr>
        <w:t>, פ"ד נו(6) 25 (2002);</w:t>
      </w:r>
      <w:r w:rsidRPr="006F5682">
        <w:rPr>
          <w:rFonts w:ascii="FrankRuehl" w:hAnsi="FrankRuehl"/>
          <w:color w:val="000000"/>
          <w:sz w:val="28"/>
          <w:rtl/>
        </w:rPr>
        <w:t xml:space="preserve"> בג</w:t>
      </w:r>
      <w:r w:rsidRPr="006F5682">
        <w:rPr>
          <w:rFonts w:ascii="FrankRuehl" w:hAnsi="FrankRuehl" w:hint="cs"/>
          <w:color w:val="000000"/>
          <w:sz w:val="28"/>
          <w:rtl/>
        </w:rPr>
        <w:t>"</w:t>
      </w:r>
      <w:r w:rsidRPr="006F5682">
        <w:rPr>
          <w:rFonts w:ascii="FrankRuehl" w:hAnsi="FrankRuehl"/>
          <w:color w:val="000000"/>
          <w:sz w:val="28"/>
          <w:rtl/>
        </w:rPr>
        <w:t xml:space="preserve">ץ 5782/21 </w:t>
      </w:r>
      <w:r w:rsidRPr="006F5682">
        <w:rPr>
          <w:rFonts w:ascii="Century" w:hAnsi="Century" w:cs="Miriam"/>
          <w:b/>
          <w:spacing w:val="0"/>
          <w:szCs w:val="24"/>
          <w:rtl/>
        </w:rPr>
        <w:t>זילבר נ' שר האוצר</w:t>
      </w:r>
      <w:r w:rsidRPr="006F5682">
        <w:rPr>
          <w:rFonts w:ascii="Century" w:hAnsi="Century" w:hint="cs"/>
          <w:rtl/>
        </w:rPr>
        <w:t xml:space="preserve"> (12.1.2022) (להלן: </w:t>
      </w:r>
      <w:r w:rsidRPr="006F5682">
        <w:rPr>
          <w:rFonts w:ascii="Century" w:hAnsi="Century" w:cs="Miriam" w:hint="cs"/>
          <w:b/>
          <w:spacing w:val="0"/>
          <w:sz w:val="22"/>
          <w:szCs w:val="24"/>
          <w:rtl/>
        </w:rPr>
        <w:t>עניין זילבר</w:t>
      </w:r>
      <w:r w:rsidRPr="006F5682">
        <w:rPr>
          <w:rFonts w:ascii="Century" w:hAnsi="Century" w:hint="cs"/>
          <w:rtl/>
        </w:rPr>
        <w:t>)</w:t>
      </w:r>
      <w:r w:rsidRPr="006F5682">
        <w:rPr>
          <w:rFonts w:hint="cs"/>
          <w:rtl/>
        </w:rPr>
        <w:t>)</w:t>
      </w:r>
      <w:r>
        <w:rPr>
          <w:rFonts w:hint="cs"/>
          <w:rtl/>
        </w:rPr>
        <w:t xml:space="preserve">; </w:t>
      </w:r>
      <w:r>
        <w:rPr>
          <w:rFonts w:hint="cs"/>
          <w:color w:val="000000" w:themeColor="text1"/>
          <w:rtl/>
        </w:rPr>
        <w:t>ביחס ל</w:t>
      </w:r>
      <w:r w:rsidRPr="005F3F2B">
        <w:rPr>
          <w:rFonts w:ascii="Century" w:hAnsi="Century" w:cs="Miriam" w:hint="cs"/>
          <w:bCs/>
          <w:spacing w:val="0"/>
          <w:sz w:val="22"/>
          <w:szCs w:val="24"/>
          <w:rtl/>
        </w:rPr>
        <w:t>מינויים</w:t>
      </w:r>
      <w:r>
        <w:rPr>
          <w:rFonts w:hint="cs"/>
          <w:color w:val="000000" w:themeColor="text1"/>
          <w:rtl/>
        </w:rPr>
        <w:t xml:space="preserve"> בשירות הציבורי</w:t>
      </w:r>
      <w:r>
        <w:rPr>
          <w:rFonts w:ascii="Century" w:hAnsi="Century" w:hint="cs"/>
          <w:rtl/>
        </w:rPr>
        <w:t xml:space="preserve"> </w:t>
      </w:r>
      <w:r>
        <w:rPr>
          <w:rFonts w:hint="cs"/>
          <w:rtl/>
        </w:rPr>
        <w:t xml:space="preserve">(ראו: </w:t>
      </w:r>
      <w:r w:rsidRPr="009F0F24">
        <w:rPr>
          <w:rFonts w:hint="eastAsia"/>
          <w:rtl/>
        </w:rPr>
        <w:t>בג</w:t>
      </w:r>
      <w:r w:rsidRPr="009F0F24">
        <w:rPr>
          <w:rtl/>
        </w:rPr>
        <w:t>"</w:t>
      </w:r>
      <w:r w:rsidRPr="009F0F24">
        <w:rPr>
          <w:rFonts w:hint="eastAsia"/>
          <w:rtl/>
        </w:rPr>
        <w:t>ץ</w:t>
      </w:r>
      <w:r w:rsidRPr="009F0F24">
        <w:rPr>
          <w:rtl/>
        </w:rPr>
        <w:t xml:space="preserve"> 6163/92 </w:t>
      </w:r>
      <w:r w:rsidRPr="009F0F24">
        <w:rPr>
          <w:rFonts w:ascii="Century" w:hAnsi="Century" w:cs="Miriam" w:hint="eastAsia"/>
          <w:b/>
          <w:spacing w:val="0"/>
          <w:szCs w:val="24"/>
          <w:rtl/>
        </w:rPr>
        <w:t>אייזנברג</w:t>
      </w:r>
      <w:r w:rsidRPr="009F0F24">
        <w:rPr>
          <w:rFonts w:ascii="Century" w:hAnsi="Century" w:cs="Miriam"/>
          <w:b/>
          <w:spacing w:val="0"/>
          <w:szCs w:val="24"/>
          <w:rtl/>
        </w:rPr>
        <w:t xml:space="preserve"> </w:t>
      </w:r>
      <w:r w:rsidRPr="009F0F24">
        <w:rPr>
          <w:rFonts w:ascii="Century" w:hAnsi="Century" w:cs="Miriam" w:hint="eastAsia"/>
          <w:b/>
          <w:spacing w:val="0"/>
          <w:szCs w:val="24"/>
          <w:rtl/>
        </w:rPr>
        <w:t>נ</w:t>
      </w:r>
      <w:r w:rsidRPr="009F0F24">
        <w:rPr>
          <w:rFonts w:ascii="Century" w:hAnsi="Century" w:cs="Miriam"/>
          <w:b/>
          <w:spacing w:val="0"/>
          <w:szCs w:val="24"/>
          <w:rtl/>
        </w:rPr>
        <w:t xml:space="preserve">' </w:t>
      </w:r>
      <w:r w:rsidRPr="009F0F24">
        <w:rPr>
          <w:rFonts w:ascii="Century" w:hAnsi="Century" w:cs="Miriam" w:hint="eastAsia"/>
          <w:b/>
          <w:spacing w:val="0"/>
          <w:szCs w:val="24"/>
          <w:rtl/>
        </w:rPr>
        <w:t>שר</w:t>
      </w:r>
      <w:r w:rsidRPr="009F0F24">
        <w:rPr>
          <w:rFonts w:ascii="Century" w:hAnsi="Century" w:cs="Miriam"/>
          <w:b/>
          <w:spacing w:val="0"/>
          <w:szCs w:val="24"/>
          <w:rtl/>
        </w:rPr>
        <w:t xml:space="preserve"> </w:t>
      </w:r>
      <w:r w:rsidRPr="009F0F24">
        <w:rPr>
          <w:rFonts w:ascii="Century" w:hAnsi="Century" w:cs="Miriam" w:hint="eastAsia"/>
          <w:b/>
          <w:spacing w:val="0"/>
          <w:szCs w:val="24"/>
          <w:rtl/>
        </w:rPr>
        <w:t>הבינוי</w:t>
      </w:r>
      <w:r w:rsidRPr="009F0F24">
        <w:rPr>
          <w:rFonts w:ascii="Century" w:hAnsi="Century" w:cs="Miriam"/>
          <w:b/>
          <w:spacing w:val="0"/>
          <w:szCs w:val="24"/>
          <w:rtl/>
        </w:rPr>
        <w:t xml:space="preserve"> </w:t>
      </w:r>
      <w:r w:rsidRPr="009F0F24">
        <w:rPr>
          <w:rFonts w:ascii="Century" w:hAnsi="Century" w:cs="Miriam" w:hint="eastAsia"/>
          <w:b/>
          <w:spacing w:val="0"/>
          <w:szCs w:val="24"/>
          <w:rtl/>
        </w:rPr>
        <w:t>והשיכון</w:t>
      </w:r>
      <w:r w:rsidRPr="009F0F24">
        <w:rPr>
          <w:rtl/>
        </w:rPr>
        <w:t xml:space="preserve">, </w:t>
      </w:r>
      <w:r w:rsidRPr="009F0F24">
        <w:rPr>
          <w:rFonts w:hint="eastAsia"/>
          <w:rtl/>
        </w:rPr>
        <w:t>פ</w:t>
      </w:r>
      <w:r w:rsidRPr="009F0F24">
        <w:rPr>
          <w:rtl/>
        </w:rPr>
        <w:t>"</w:t>
      </w:r>
      <w:r w:rsidRPr="009F0F24">
        <w:rPr>
          <w:rFonts w:hint="eastAsia"/>
          <w:rtl/>
        </w:rPr>
        <w:t>ד</w:t>
      </w:r>
      <w:r w:rsidRPr="009F0F24">
        <w:rPr>
          <w:rtl/>
        </w:rPr>
        <w:t xml:space="preserve"> </w:t>
      </w:r>
      <w:r w:rsidRPr="009F0F24">
        <w:rPr>
          <w:rFonts w:hint="eastAsia"/>
          <w:rtl/>
        </w:rPr>
        <w:t>מז</w:t>
      </w:r>
      <w:r w:rsidRPr="009F0F24">
        <w:rPr>
          <w:rtl/>
        </w:rPr>
        <w:t>(2) 229 (1993</w:t>
      </w:r>
      <w:r w:rsidRPr="009F0F24">
        <w:rPr>
          <w:rFonts w:hint="cs"/>
          <w:rtl/>
        </w:rPr>
        <w:t>)</w:t>
      </w:r>
      <w:r>
        <w:rPr>
          <w:rFonts w:hint="cs"/>
          <w:rtl/>
        </w:rPr>
        <w:t xml:space="preserve"> (להלן: </w:t>
      </w:r>
      <w:r w:rsidRPr="00C13A6D">
        <w:rPr>
          <w:rFonts w:ascii="Century" w:hAnsi="Century" w:cs="Miriam" w:hint="cs"/>
          <w:b/>
          <w:spacing w:val="0"/>
          <w:sz w:val="22"/>
          <w:szCs w:val="24"/>
          <w:rtl/>
        </w:rPr>
        <w:t>עניין אייזנברג</w:t>
      </w:r>
      <w:r>
        <w:rPr>
          <w:rFonts w:hint="cs"/>
          <w:rtl/>
        </w:rPr>
        <w:t xml:space="preserve">); </w:t>
      </w:r>
      <w:r w:rsidRPr="00F47BE2">
        <w:rPr>
          <w:rFonts w:hint="eastAsia"/>
          <w:rtl/>
        </w:rPr>
        <w:t>בג</w:t>
      </w:r>
      <w:r w:rsidRPr="00F47BE2">
        <w:rPr>
          <w:rtl/>
        </w:rPr>
        <w:t>"</w:t>
      </w:r>
      <w:r w:rsidRPr="00F47BE2">
        <w:rPr>
          <w:rFonts w:hint="eastAsia"/>
          <w:rtl/>
        </w:rPr>
        <w:t>ץ</w:t>
      </w:r>
      <w:r w:rsidRPr="00F47BE2">
        <w:rPr>
          <w:rtl/>
        </w:rPr>
        <w:t xml:space="preserve"> 3094/93 </w:t>
      </w:r>
      <w:r w:rsidRPr="00F47BE2">
        <w:rPr>
          <w:rFonts w:ascii="Century" w:hAnsi="Century" w:cs="Miriam" w:hint="eastAsia"/>
          <w:b/>
          <w:spacing w:val="0"/>
          <w:szCs w:val="24"/>
          <w:rtl/>
        </w:rPr>
        <w:t>התנועה</w:t>
      </w:r>
      <w:r w:rsidRPr="00F47BE2">
        <w:rPr>
          <w:rFonts w:ascii="Century" w:hAnsi="Century" w:cs="Miriam"/>
          <w:b/>
          <w:spacing w:val="0"/>
          <w:szCs w:val="24"/>
          <w:rtl/>
        </w:rPr>
        <w:t xml:space="preserve"> </w:t>
      </w:r>
      <w:r w:rsidRPr="00F47BE2">
        <w:rPr>
          <w:rFonts w:ascii="Century" w:hAnsi="Century" w:cs="Miriam" w:hint="eastAsia"/>
          <w:b/>
          <w:spacing w:val="0"/>
          <w:szCs w:val="24"/>
          <w:rtl/>
        </w:rPr>
        <w:t>למען</w:t>
      </w:r>
      <w:r w:rsidRPr="00F47BE2">
        <w:rPr>
          <w:rFonts w:ascii="Century" w:hAnsi="Century" w:cs="Miriam"/>
          <w:b/>
          <w:spacing w:val="0"/>
          <w:szCs w:val="24"/>
          <w:rtl/>
        </w:rPr>
        <w:t xml:space="preserve"> </w:t>
      </w:r>
      <w:r w:rsidRPr="00F47BE2">
        <w:rPr>
          <w:rFonts w:ascii="Century" w:hAnsi="Century" w:cs="Miriam" w:hint="eastAsia"/>
          <w:b/>
          <w:spacing w:val="0"/>
          <w:szCs w:val="24"/>
          <w:rtl/>
        </w:rPr>
        <w:t>איכות</w:t>
      </w:r>
      <w:r w:rsidRPr="00F47BE2">
        <w:rPr>
          <w:rFonts w:ascii="Century" w:hAnsi="Century" w:cs="Miriam"/>
          <w:b/>
          <w:spacing w:val="0"/>
          <w:szCs w:val="24"/>
          <w:rtl/>
        </w:rPr>
        <w:t xml:space="preserve"> </w:t>
      </w:r>
      <w:r w:rsidRPr="00F47BE2">
        <w:rPr>
          <w:rFonts w:ascii="Century" w:hAnsi="Century" w:cs="Miriam" w:hint="eastAsia"/>
          <w:b/>
          <w:spacing w:val="0"/>
          <w:szCs w:val="24"/>
          <w:rtl/>
        </w:rPr>
        <w:t>השלטון</w:t>
      </w:r>
      <w:r w:rsidRPr="00F47BE2">
        <w:rPr>
          <w:rFonts w:ascii="Century" w:hAnsi="Century" w:cs="Miriam"/>
          <w:b/>
          <w:spacing w:val="0"/>
          <w:szCs w:val="24"/>
          <w:rtl/>
        </w:rPr>
        <w:t xml:space="preserve"> </w:t>
      </w:r>
      <w:r w:rsidRPr="00F47BE2">
        <w:rPr>
          <w:rFonts w:ascii="Century" w:hAnsi="Century" w:cs="Miriam" w:hint="eastAsia"/>
          <w:b/>
          <w:spacing w:val="0"/>
          <w:szCs w:val="24"/>
          <w:rtl/>
        </w:rPr>
        <w:t>בישראל</w:t>
      </w:r>
      <w:r w:rsidRPr="00F47BE2">
        <w:rPr>
          <w:rFonts w:ascii="Century" w:hAnsi="Century" w:cs="Miriam"/>
          <w:b/>
          <w:spacing w:val="0"/>
          <w:szCs w:val="24"/>
          <w:rtl/>
        </w:rPr>
        <w:t xml:space="preserve"> </w:t>
      </w:r>
      <w:r w:rsidRPr="00F47BE2">
        <w:rPr>
          <w:rFonts w:ascii="Century" w:hAnsi="Century" w:cs="Miriam" w:hint="eastAsia"/>
          <w:b/>
          <w:spacing w:val="0"/>
          <w:szCs w:val="24"/>
          <w:rtl/>
        </w:rPr>
        <w:t>נ</w:t>
      </w:r>
      <w:r w:rsidRPr="00F47BE2">
        <w:rPr>
          <w:rFonts w:ascii="Century" w:hAnsi="Century" w:cs="Miriam"/>
          <w:b/>
          <w:spacing w:val="0"/>
          <w:szCs w:val="24"/>
          <w:rtl/>
        </w:rPr>
        <w:t xml:space="preserve">' </w:t>
      </w:r>
      <w:r w:rsidRPr="00F47BE2">
        <w:rPr>
          <w:rFonts w:ascii="Century" w:hAnsi="Century" w:cs="Miriam" w:hint="eastAsia"/>
          <w:b/>
          <w:spacing w:val="0"/>
          <w:szCs w:val="24"/>
          <w:rtl/>
        </w:rPr>
        <w:t>ממשלת</w:t>
      </w:r>
      <w:r w:rsidRPr="00F47BE2">
        <w:rPr>
          <w:rFonts w:ascii="Century" w:hAnsi="Century" w:cs="Miriam"/>
          <w:b/>
          <w:spacing w:val="0"/>
          <w:szCs w:val="24"/>
          <w:rtl/>
        </w:rPr>
        <w:t xml:space="preserve"> </w:t>
      </w:r>
      <w:r w:rsidRPr="00F47BE2">
        <w:rPr>
          <w:rFonts w:ascii="Century" w:hAnsi="Century" w:cs="Miriam" w:hint="eastAsia"/>
          <w:b/>
          <w:spacing w:val="0"/>
          <w:szCs w:val="24"/>
          <w:rtl/>
        </w:rPr>
        <w:t>ישראל</w:t>
      </w:r>
      <w:r w:rsidRPr="00F47BE2">
        <w:rPr>
          <w:rtl/>
        </w:rPr>
        <w:t xml:space="preserve">, </w:t>
      </w:r>
      <w:r w:rsidRPr="00F47BE2">
        <w:rPr>
          <w:rFonts w:hint="eastAsia"/>
          <w:rtl/>
        </w:rPr>
        <w:t>פ</w:t>
      </w:r>
      <w:r w:rsidRPr="00F47BE2">
        <w:rPr>
          <w:rtl/>
        </w:rPr>
        <w:t>"</w:t>
      </w:r>
      <w:r w:rsidRPr="00F47BE2">
        <w:rPr>
          <w:rFonts w:hint="eastAsia"/>
          <w:rtl/>
        </w:rPr>
        <w:t>ד</w:t>
      </w:r>
      <w:r w:rsidRPr="00F47BE2">
        <w:rPr>
          <w:rtl/>
        </w:rPr>
        <w:t xml:space="preserve"> </w:t>
      </w:r>
      <w:r w:rsidRPr="00F47BE2">
        <w:rPr>
          <w:rFonts w:hint="eastAsia"/>
          <w:rtl/>
        </w:rPr>
        <w:t>מז</w:t>
      </w:r>
      <w:r w:rsidRPr="00F47BE2">
        <w:rPr>
          <w:rtl/>
        </w:rPr>
        <w:t>(5) 404</w:t>
      </w:r>
      <w:r w:rsidRPr="00F47BE2">
        <w:rPr>
          <w:rFonts w:hint="cs"/>
          <w:rtl/>
        </w:rPr>
        <w:t xml:space="preserve"> (1993)</w:t>
      </w:r>
      <w:r>
        <w:rPr>
          <w:rFonts w:hint="cs"/>
          <w:rtl/>
        </w:rPr>
        <w:t xml:space="preserve"> (להלן: </w:t>
      </w:r>
      <w:r w:rsidRPr="00FD0599">
        <w:rPr>
          <w:rFonts w:ascii="Century" w:hAnsi="Century" w:cs="Miriam" w:hint="eastAsia"/>
          <w:b/>
          <w:spacing w:val="0"/>
          <w:szCs w:val="24"/>
          <w:rtl/>
        </w:rPr>
        <w:t>עניין</w:t>
      </w:r>
      <w:r w:rsidRPr="00FD0599">
        <w:rPr>
          <w:rFonts w:ascii="Century" w:hAnsi="Century" w:cs="Miriam"/>
          <w:b/>
          <w:spacing w:val="0"/>
          <w:szCs w:val="24"/>
          <w:rtl/>
        </w:rPr>
        <w:t xml:space="preserve"> </w:t>
      </w:r>
      <w:r w:rsidRPr="00FD0599">
        <w:rPr>
          <w:rFonts w:ascii="Century" w:hAnsi="Century" w:cs="Miriam" w:hint="eastAsia"/>
          <w:b/>
          <w:spacing w:val="0"/>
          <w:szCs w:val="24"/>
          <w:rtl/>
        </w:rPr>
        <w:t>דרעי</w:t>
      </w:r>
      <w:r w:rsidRPr="00F47BE2">
        <w:rPr>
          <w:rFonts w:hint="cs"/>
          <w:rtl/>
        </w:rPr>
        <w:t xml:space="preserve">); </w:t>
      </w:r>
      <w:r w:rsidRPr="00F47BE2">
        <w:rPr>
          <w:rFonts w:hint="eastAsia"/>
          <w:rtl/>
        </w:rPr>
        <w:t>בג</w:t>
      </w:r>
      <w:r w:rsidRPr="00F47BE2">
        <w:rPr>
          <w:rtl/>
        </w:rPr>
        <w:t>"</w:t>
      </w:r>
      <w:r w:rsidRPr="00F47BE2">
        <w:rPr>
          <w:rFonts w:hint="eastAsia"/>
          <w:rtl/>
        </w:rPr>
        <w:t>ץ</w:t>
      </w:r>
      <w:r w:rsidRPr="00F47BE2">
        <w:rPr>
          <w:rtl/>
        </w:rPr>
        <w:t xml:space="preserve"> 4267/93 </w:t>
      </w:r>
      <w:r w:rsidRPr="00F47BE2">
        <w:rPr>
          <w:rFonts w:ascii="Century" w:hAnsi="Century" w:cs="Miriam" w:hint="eastAsia"/>
          <w:b/>
          <w:spacing w:val="0"/>
          <w:szCs w:val="24"/>
          <w:rtl/>
        </w:rPr>
        <w:t>אמיתי</w:t>
      </w:r>
      <w:r w:rsidRPr="00F47BE2">
        <w:rPr>
          <w:rFonts w:ascii="Century" w:hAnsi="Century" w:cs="Miriam"/>
          <w:b/>
          <w:spacing w:val="0"/>
          <w:szCs w:val="24"/>
          <w:rtl/>
        </w:rPr>
        <w:t xml:space="preserve"> – </w:t>
      </w:r>
      <w:r w:rsidRPr="00F47BE2">
        <w:rPr>
          <w:rFonts w:ascii="Century" w:hAnsi="Century" w:cs="Miriam" w:hint="eastAsia"/>
          <w:b/>
          <w:spacing w:val="0"/>
          <w:szCs w:val="24"/>
          <w:rtl/>
        </w:rPr>
        <w:t>אזרחים</w:t>
      </w:r>
      <w:r w:rsidRPr="00F47BE2">
        <w:rPr>
          <w:rFonts w:ascii="Century" w:hAnsi="Century" w:cs="Miriam"/>
          <w:b/>
          <w:spacing w:val="0"/>
          <w:szCs w:val="24"/>
          <w:rtl/>
        </w:rPr>
        <w:t xml:space="preserve"> </w:t>
      </w:r>
      <w:r w:rsidRPr="00F47BE2">
        <w:rPr>
          <w:rFonts w:ascii="Century" w:hAnsi="Century" w:cs="Miriam" w:hint="eastAsia"/>
          <w:b/>
          <w:spacing w:val="0"/>
          <w:szCs w:val="24"/>
          <w:rtl/>
        </w:rPr>
        <w:t>למען</w:t>
      </w:r>
      <w:r w:rsidRPr="00F47BE2">
        <w:rPr>
          <w:rFonts w:ascii="Century" w:hAnsi="Century" w:cs="Miriam"/>
          <w:b/>
          <w:spacing w:val="0"/>
          <w:szCs w:val="24"/>
          <w:rtl/>
        </w:rPr>
        <w:t xml:space="preserve"> </w:t>
      </w:r>
      <w:r w:rsidRPr="00F47BE2">
        <w:rPr>
          <w:rFonts w:ascii="Century" w:hAnsi="Century" w:cs="Miriam" w:hint="eastAsia"/>
          <w:b/>
          <w:spacing w:val="0"/>
          <w:szCs w:val="24"/>
          <w:rtl/>
        </w:rPr>
        <w:t>מינהל</w:t>
      </w:r>
      <w:r w:rsidRPr="00F47BE2">
        <w:rPr>
          <w:rFonts w:ascii="Century" w:hAnsi="Century" w:cs="Miriam"/>
          <w:b/>
          <w:spacing w:val="0"/>
          <w:szCs w:val="24"/>
          <w:rtl/>
        </w:rPr>
        <w:t xml:space="preserve"> </w:t>
      </w:r>
      <w:r w:rsidRPr="00F47BE2">
        <w:rPr>
          <w:rFonts w:ascii="Century" w:hAnsi="Century" w:cs="Miriam" w:hint="eastAsia"/>
          <w:b/>
          <w:spacing w:val="0"/>
          <w:szCs w:val="24"/>
          <w:rtl/>
        </w:rPr>
        <w:t>תקין</w:t>
      </w:r>
      <w:r w:rsidRPr="00F47BE2">
        <w:rPr>
          <w:rFonts w:ascii="Century" w:hAnsi="Century" w:cs="Miriam"/>
          <w:b/>
          <w:spacing w:val="0"/>
          <w:szCs w:val="24"/>
          <w:rtl/>
        </w:rPr>
        <w:t xml:space="preserve"> </w:t>
      </w:r>
      <w:r w:rsidRPr="00F47BE2">
        <w:rPr>
          <w:rFonts w:ascii="Century" w:hAnsi="Century" w:cs="Miriam" w:hint="eastAsia"/>
          <w:b/>
          <w:spacing w:val="0"/>
          <w:szCs w:val="24"/>
          <w:rtl/>
        </w:rPr>
        <w:t>וטוהר</w:t>
      </w:r>
      <w:r w:rsidRPr="00F47BE2">
        <w:rPr>
          <w:rFonts w:ascii="Century" w:hAnsi="Century" w:cs="Miriam"/>
          <w:b/>
          <w:spacing w:val="0"/>
          <w:szCs w:val="24"/>
          <w:rtl/>
        </w:rPr>
        <w:t xml:space="preserve"> </w:t>
      </w:r>
      <w:r w:rsidRPr="00F47BE2">
        <w:rPr>
          <w:rFonts w:ascii="Century" w:hAnsi="Century" w:cs="Miriam" w:hint="eastAsia"/>
          <w:b/>
          <w:spacing w:val="0"/>
          <w:szCs w:val="24"/>
          <w:rtl/>
        </w:rPr>
        <w:t>המידות</w:t>
      </w:r>
      <w:r w:rsidRPr="00F47BE2">
        <w:rPr>
          <w:rFonts w:ascii="Century" w:hAnsi="Century" w:cs="Miriam"/>
          <w:b/>
          <w:spacing w:val="0"/>
          <w:szCs w:val="24"/>
          <w:rtl/>
        </w:rPr>
        <w:t xml:space="preserve"> </w:t>
      </w:r>
      <w:r w:rsidRPr="00F47BE2">
        <w:rPr>
          <w:rFonts w:ascii="Century" w:hAnsi="Century" w:cs="Miriam" w:hint="eastAsia"/>
          <w:b/>
          <w:spacing w:val="0"/>
          <w:szCs w:val="24"/>
          <w:rtl/>
        </w:rPr>
        <w:t>נ</w:t>
      </w:r>
      <w:r w:rsidRPr="00F47BE2">
        <w:rPr>
          <w:rFonts w:ascii="Century" w:hAnsi="Century" w:cs="Miriam"/>
          <w:b/>
          <w:spacing w:val="0"/>
          <w:szCs w:val="24"/>
          <w:rtl/>
        </w:rPr>
        <w:t xml:space="preserve">' </w:t>
      </w:r>
      <w:r w:rsidRPr="00F47BE2">
        <w:rPr>
          <w:rFonts w:ascii="Century" w:hAnsi="Century" w:cs="Miriam" w:hint="eastAsia"/>
          <w:b/>
          <w:spacing w:val="0"/>
          <w:szCs w:val="24"/>
          <w:rtl/>
        </w:rPr>
        <w:t>ראש</w:t>
      </w:r>
      <w:r w:rsidRPr="00F47BE2">
        <w:rPr>
          <w:rFonts w:ascii="Century" w:hAnsi="Century" w:cs="Miriam"/>
          <w:b/>
          <w:spacing w:val="0"/>
          <w:szCs w:val="24"/>
          <w:rtl/>
        </w:rPr>
        <w:t xml:space="preserve"> </w:t>
      </w:r>
      <w:r w:rsidRPr="00F47BE2">
        <w:rPr>
          <w:rFonts w:ascii="Century" w:hAnsi="Century" w:cs="Miriam" w:hint="eastAsia"/>
          <w:b/>
          <w:spacing w:val="0"/>
          <w:szCs w:val="24"/>
          <w:rtl/>
        </w:rPr>
        <w:t>ממשלת</w:t>
      </w:r>
      <w:r w:rsidRPr="00F47BE2">
        <w:rPr>
          <w:rFonts w:ascii="Century" w:hAnsi="Century" w:cs="Miriam"/>
          <w:b/>
          <w:spacing w:val="0"/>
          <w:szCs w:val="24"/>
          <w:rtl/>
        </w:rPr>
        <w:t xml:space="preserve"> </w:t>
      </w:r>
      <w:r w:rsidRPr="00F47BE2">
        <w:rPr>
          <w:rFonts w:ascii="Century" w:hAnsi="Century" w:cs="Miriam" w:hint="eastAsia"/>
          <w:b/>
          <w:spacing w:val="0"/>
          <w:szCs w:val="24"/>
          <w:rtl/>
        </w:rPr>
        <w:t>ישראל</w:t>
      </w:r>
      <w:r w:rsidRPr="00F47BE2">
        <w:rPr>
          <w:rtl/>
        </w:rPr>
        <w:t xml:space="preserve">, </w:t>
      </w:r>
      <w:r w:rsidRPr="00F47BE2">
        <w:rPr>
          <w:rFonts w:hint="eastAsia"/>
          <w:rtl/>
        </w:rPr>
        <w:t>פ</w:t>
      </w:r>
      <w:r w:rsidRPr="00F47BE2">
        <w:rPr>
          <w:rtl/>
        </w:rPr>
        <w:t>"</w:t>
      </w:r>
      <w:r w:rsidRPr="00F47BE2">
        <w:rPr>
          <w:rFonts w:hint="eastAsia"/>
          <w:rtl/>
        </w:rPr>
        <w:t>ד</w:t>
      </w:r>
      <w:r w:rsidRPr="00F47BE2">
        <w:rPr>
          <w:rtl/>
        </w:rPr>
        <w:t xml:space="preserve"> </w:t>
      </w:r>
      <w:r w:rsidRPr="00F47BE2">
        <w:rPr>
          <w:rFonts w:hint="eastAsia"/>
          <w:rtl/>
        </w:rPr>
        <w:t>מז</w:t>
      </w:r>
      <w:r w:rsidRPr="00F47BE2">
        <w:rPr>
          <w:rtl/>
        </w:rPr>
        <w:t>(5) 441 (1993)</w:t>
      </w:r>
      <w:r w:rsidRPr="00F47BE2">
        <w:rPr>
          <w:rFonts w:hint="cs"/>
          <w:rtl/>
        </w:rPr>
        <w:t xml:space="preserve"> (</w:t>
      </w:r>
      <w:r>
        <w:rPr>
          <w:rFonts w:hint="cs"/>
          <w:rtl/>
        </w:rPr>
        <w:t xml:space="preserve">להלן: </w:t>
      </w:r>
      <w:r w:rsidRPr="002C0CD0">
        <w:rPr>
          <w:rFonts w:ascii="Century" w:hAnsi="Century" w:cs="Miriam" w:hint="eastAsia"/>
          <w:b/>
          <w:spacing w:val="0"/>
          <w:sz w:val="22"/>
          <w:szCs w:val="24"/>
          <w:rtl/>
        </w:rPr>
        <w:t>עניין</w:t>
      </w:r>
      <w:r w:rsidRPr="002C0CD0">
        <w:rPr>
          <w:rFonts w:ascii="Century" w:hAnsi="Century" w:cs="Miriam"/>
          <w:b/>
          <w:spacing w:val="0"/>
          <w:sz w:val="22"/>
          <w:szCs w:val="24"/>
          <w:rtl/>
        </w:rPr>
        <w:t xml:space="preserve"> </w:t>
      </w:r>
      <w:r w:rsidRPr="002C0CD0">
        <w:rPr>
          <w:rFonts w:ascii="Century" w:hAnsi="Century" w:cs="Miriam" w:hint="eastAsia"/>
          <w:b/>
          <w:spacing w:val="0"/>
          <w:sz w:val="22"/>
          <w:szCs w:val="24"/>
          <w:rtl/>
        </w:rPr>
        <w:t>פנחסי</w:t>
      </w:r>
      <w:r>
        <w:rPr>
          <w:rFonts w:hint="cs"/>
          <w:rtl/>
        </w:rPr>
        <w:t xml:space="preserve">); </w:t>
      </w:r>
      <w:r w:rsidRPr="00F47BE2">
        <w:rPr>
          <w:rFonts w:hint="cs"/>
          <w:rtl/>
        </w:rPr>
        <w:t xml:space="preserve">בג"ץ 932/99 </w:t>
      </w:r>
      <w:r w:rsidRPr="00F47BE2">
        <w:rPr>
          <w:rFonts w:ascii="Century" w:hAnsi="Century" w:cs="Miriam" w:hint="cs"/>
          <w:b/>
          <w:spacing w:val="0"/>
          <w:szCs w:val="24"/>
          <w:rtl/>
        </w:rPr>
        <w:t>התנועה למען איכות השלטון בישראל נ' יושב ראש הוועדה לבדיקת מינויים</w:t>
      </w:r>
      <w:r w:rsidRPr="00F47BE2">
        <w:rPr>
          <w:rFonts w:hint="cs"/>
          <w:rtl/>
        </w:rPr>
        <w:t>, פ"ד נג(3) 769 (1999);</w:t>
      </w:r>
      <w:r>
        <w:rPr>
          <w:rFonts w:hint="cs"/>
          <w:rtl/>
        </w:rPr>
        <w:t xml:space="preserve"> </w:t>
      </w:r>
      <w:r w:rsidRPr="00F47BE2">
        <w:rPr>
          <w:rFonts w:hint="cs"/>
          <w:rtl/>
        </w:rPr>
        <w:t xml:space="preserve">בג"ץ 4668/01 </w:t>
      </w:r>
      <w:r w:rsidRPr="00F47BE2">
        <w:rPr>
          <w:rFonts w:ascii="Century" w:hAnsi="Century" w:cs="Miriam" w:hint="cs"/>
          <w:b/>
          <w:spacing w:val="0"/>
          <w:szCs w:val="24"/>
          <w:rtl/>
        </w:rPr>
        <w:t>שריד נ' ראש הממשלה</w:t>
      </w:r>
      <w:r w:rsidRPr="00F47BE2">
        <w:rPr>
          <w:rFonts w:hint="cs"/>
          <w:rtl/>
        </w:rPr>
        <w:t xml:space="preserve">, פ"ד נו(2) 265 (2001) (להלן: </w:t>
      </w:r>
      <w:r w:rsidRPr="00F47BE2">
        <w:rPr>
          <w:rFonts w:ascii="Century" w:hAnsi="Century" w:cs="Miriam" w:hint="cs"/>
          <w:b/>
          <w:spacing w:val="0"/>
          <w:sz w:val="22"/>
          <w:szCs w:val="24"/>
          <w:rtl/>
        </w:rPr>
        <w:t>עניין שריד</w:t>
      </w:r>
      <w:r w:rsidRPr="00F47BE2">
        <w:rPr>
          <w:rFonts w:hint="cs"/>
          <w:rtl/>
        </w:rPr>
        <w:t xml:space="preserve">); עניין </w:t>
      </w:r>
      <w:r w:rsidRPr="00F47BE2">
        <w:rPr>
          <w:rFonts w:ascii="Century" w:hAnsi="Century" w:cs="Miriam" w:hint="cs"/>
          <w:b/>
          <w:spacing w:val="0"/>
          <w:szCs w:val="24"/>
          <w:rtl/>
        </w:rPr>
        <w:t>שיינפלד</w:t>
      </w:r>
      <w:r w:rsidRPr="00F47BE2">
        <w:rPr>
          <w:rtl/>
        </w:rPr>
        <w:t>)</w:t>
      </w:r>
      <w:r w:rsidRPr="00F47BE2">
        <w:rPr>
          <w:rFonts w:hint="cs"/>
          <w:rtl/>
        </w:rPr>
        <w:t>;</w:t>
      </w:r>
      <w:r>
        <w:rPr>
          <w:rFonts w:hint="cs"/>
          <w:rtl/>
        </w:rPr>
        <w:t xml:space="preserve"> </w:t>
      </w:r>
      <w:r>
        <w:rPr>
          <w:rFonts w:ascii="Century" w:hAnsi="Century" w:hint="cs"/>
          <w:rtl/>
        </w:rPr>
        <w:t>ביחס</w:t>
      </w:r>
      <w:r>
        <w:rPr>
          <w:rFonts w:hint="cs"/>
          <w:rtl/>
        </w:rPr>
        <w:t xml:space="preserve"> ל</w:t>
      </w:r>
      <w:r>
        <w:rPr>
          <w:rFonts w:ascii="Century" w:hAnsi="Century" w:hint="cs"/>
          <w:rtl/>
        </w:rPr>
        <w:t xml:space="preserve">החלטות של </w:t>
      </w:r>
      <w:r w:rsidRPr="00E71E81">
        <w:rPr>
          <w:rFonts w:ascii="Century" w:hAnsi="Century" w:cs="Miriam" w:hint="cs"/>
          <w:bCs/>
          <w:spacing w:val="0"/>
          <w:szCs w:val="24"/>
          <w:rtl/>
        </w:rPr>
        <w:t>ממשלות מעבר</w:t>
      </w:r>
      <w:r>
        <w:rPr>
          <w:rFonts w:ascii="Century" w:hAnsi="Century" w:hint="cs"/>
          <w:rtl/>
        </w:rPr>
        <w:t xml:space="preserve"> (ראו, לדוגמה: </w:t>
      </w:r>
      <w:r w:rsidRPr="00092512">
        <w:rPr>
          <w:rFonts w:ascii="Century" w:hAnsi="Century" w:hint="eastAsia"/>
          <w:rtl/>
        </w:rPr>
        <w:t>בג</w:t>
      </w:r>
      <w:r w:rsidRPr="00092512">
        <w:rPr>
          <w:rFonts w:ascii="Century" w:hAnsi="Century"/>
          <w:rtl/>
        </w:rPr>
        <w:t>"</w:t>
      </w:r>
      <w:r w:rsidRPr="00092512">
        <w:rPr>
          <w:rFonts w:ascii="Century" w:hAnsi="Century" w:hint="eastAsia"/>
          <w:rtl/>
        </w:rPr>
        <w:t>ץ</w:t>
      </w:r>
      <w:r w:rsidRPr="00092512">
        <w:rPr>
          <w:rFonts w:ascii="Century" w:hAnsi="Century"/>
          <w:rtl/>
        </w:rPr>
        <w:t xml:space="preserve"> 5403</w:t>
      </w:r>
      <w:r w:rsidRPr="00092512">
        <w:rPr>
          <w:rFonts w:ascii="Century" w:hAnsi="Century" w:hint="cs"/>
          <w:rtl/>
        </w:rPr>
        <w:t>/</w:t>
      </w:r>
      <w:r w:rsidRPr="00092512">
        <w:rPr>
          <w:rFonts w:ascii="Century" w:hAnsi="Century"/>
          <w:rtl/>
        </w:rPr>
        <w:t xml:space="preserve">22 </w:t>
      </w:r>
      <w:r w:rsidRPr="00092512">
        <w:rPr>
          <w:rFonts w:ascii="Century" w:hAnsi="Century" w:cs="Miriam" w:hint="eastAsia"/>
          <w:b/>
          <w:spacing w:val="0"/>
          <w:szCs w:val="24"/>
          <w:rtl/>
        </w:rPr>
        <w:t>לביא</w:t>
      </w:r>
      <w:r w:rsidRPr="00092512">
        <w:rPr>
          <w:rFonts w:ascii="Century" w:hAnsi="Century" w:cs="Miriam"/>
          <w:b/>
          <w:spacing w:val="0"/>
          <w:szCs w:val="24"/>
          <w:rtl/>
        </w:rPr>
        <w:t xml:space="preserve">, </w:t>
      </w:r>
      <w:r w:rsidRPr="00092512">
        <w:rPr>
          <w:rFonts w:ascii="Century" w:hAnsi="Century" w:cs="Miriam" w:hint="eastAsia"/>
          <w:b/>
          <w:spacing w:val="0"/>
          <w:szCs w:val="24"/>
          <w:rtl/>
        </w:rPr>
        <w:t>זכויות</w:t>
      </w:r>
      <w:r w:rsidRPr="00092512">
        <w:rPr>
          <w:rFonts w:ascii="Century" w:hAnsi="Century" w:cs="Miriam"/>
          <w:b/>
          <w:spacing w:val="0"/>
          <w:szCs w:val="24"/>
          <w:rtl/>
        </w:rPr>
        <w:t xml:space="preserve"> </w:t>
      </w:r>
      <w:r w:rsidRPr="00092512">
        <w:rPr>
          <w:rFonts w:ascii="Century" w:hAnsi="Century" w:cs="Miriam" w:hint="eastAsia"/>
          <w:b/>
          <w:spacing w:val="0"/>
          <w:szCs w:val="24"/>
          <w:rtl/>
        </w:rPr>
        <w:t>אזרח</w:t>
      </w:r>
      <w:r w:rsidRPr="00092512">
        <w:rPr>
          <w:rFonts w:ascii="Century" w:hAnsi="Century" w:cs="Miriam"/>
          <w:b/>
          <w:spacing w:val="0"/>
          <w:szCs w:val="24"/>
          <w:rtl/>
        </w:rPr>
        <w:t xml:space="preserve">, </w:t>
      </w:r>
      <w:r w:rsidRPr="00092512">
        <w:rPr>
          <w:rFonts w:ascii="Century" w:hAnsi="Century" w:cs="Miriam" w:hint="eastAsia"/>
          <w:b/>
          <w:spacing w:val="0"/>
          <w:szCs w:val="24"/>
          <w:rtl/>
        </w:rPr>
        <w:t>מינהל</w:t>
      </w:r>
      <w:r w:rsidRPr="00092512">
        <w:rPr>
          <w:rFonts w:ascii="Century" w:hAnsi="Century" w:cs="Miriam"/>
          <w:b/>
          <w:spacing w:val="0"/>
          <w:szCs w:val="24"/>
          <w:rtl/>
        </w:rPr>
        <w:t xml:space="preserve"> </w:t>
      </w:r>
      <w:r w:rsidRPr="00092512">
        <w:rPr>
          <w:rFonts w:ascii="Century" w:hAnsi="Century" w:cs="Miriam" w:hint="eastAsia"/>
          <w:b/>
          <w:spacing w:val="0"/>
          <w:szCs w:val="24"/>
          <w:rtl/>
        </w:rPr>
        <w:t>תקין</w:t>
      </w:r>
      <w:r w:rsidRPr="00092512">
        <w:rPr>
          <w:rFonts w:ascii="Century" w:hAnsi="Century" w:cs="Miriam"/>
          <w:b/>
          <w:spacing w:val="0"/>
          <w:szCs w:val="24"/>
          <w:rtl/>
        </w:rPr>
        <w:t xml:space="preserve"> </w:t>
      </w:r>
      <w:r w:rsidRPr="00092512">
        <w:rPr>
          <w:rFonts w:ascii="Century" w:hAnsi="Century" w:cs="Miriam" w:hint="eastAsia"/>
          <w:b/>
          <w:spacing w:val="0"/>
          <w:szCs w:val="24"/>
          <w:rtl/>
        </w:rPr>
        <w:t>ועידוד</w:t>
      </w:r>
      <w:r w:rsidRPr="00092512">
        <w:rPr>
          <w:rFonts w:ascii="Century" w:hAnsi="Century" w:cs="Miriam"/>
          <w:b/>
          <w:spacing w:val="0"/>
          <w:szCs w:val="24"/>
          <w:rtl/>
        </w:rPr>
        <w:t xml:space="preserve"> </w:t>
      </w:r>
      <w:r w:rsidRPr="00092512">
        <w:rPr>
          <w:rFonts w:ascii="Century" w:hAnsi="Century" w:cs="Miriam" w:hint="eastAsia"/>
          <w:b/>
          <w:spacing w:val="0"/>
          <w:szCs w:val="24"/>
          <w:rtl/>
        </w:rPr>
        <w:t>ההתיישבות</w:t>
      </w:r>
      <w:r w:rsidRPr="00092512">
        <w:rPr>
          <w:rFonts w:ascii="Century" w:hAnsi="Century" w:cs="Miriam"/>
          <w:b/>
          <w:spacing w:val="0"/>
          <w:szCs w:val="24"/>
          <w:rtl/>
        </w:rPr>
        <w:t xml:space="preserve"> </w:t>
      </w:r>
      <w:r w:rsidRPr="00092512">
        <w:rPr>
          <w:rFonts w:ascii="Century" w:hAnsi="Century" w:cs="Miriam" w:hint="eastAsia"/>
          <w:b/>
          <w:spacing w:val="0"/>
          <w:szCs w:val="24"/>
          <w:rtl/>
        </w:rPr>
        <w:t>נ</w:t>
      </w:r>
      <w:r w:rsidRPr="00092512">
        <w:rPr>
          <w:rFonts w:ascii="Century" w:hAnsi="Century" w:cs="Miriam"/>
          <w:b/>
          <w:spacing w:val="0"/>
          <w:szCs w:val="24"/>
          <w:rtl/>
        </w:rPr>
        <w:t xml:space="preserve">' </w:t>
      </w:r>
      <w:r w:rsidRPr="00092512">
        <w:rPr>
          <w:rFonts w:ascii="Century" w:hAnsi="Century" w:cs="Miriam" w:hint="eastAsia"/>
          <w:b/>
          <w:spacing w:val="0"/>
          <w:szCs w:val="24"/>
          <w:rtl/>
        </w:rPr>
        <w:t>ראש</w:t>
      </w:r>
      <w:r w:rsidRPr="00092512">
        <w:rPr>
          <w:rFonts w:ascii="Century" w:hAnsi="Century" w:cs="Miriam"/>
          <w:b/>
          <w:spacing w:val="0"/>
          <w:szCs w:val="24"/>
          <w:rtl/>
        </w:rPr>
        <w:t xml:space="preserve"> </w:t>
      </w:r>
      <w:r w:rsidRPr="00092512">
        <w:rPr>
          <w:rFonts w:ascii="Century" w:hAnsi="Century" w:cs="Miriam" w:hint="eastAsia"/>
          <w:b/>
          <w:spacing w:val="0"/>
          <w:szCs w:val="24"/>
          <w:rtl/>
        </w:rPr>
        <w:t>הממשלה</w:t>
      </w:r>
      <w:r w:rsidRPr="00092512">
        <w:rPr>
          <w:rFonts w:ascii="Century" w:hAnsi="Century" w:hint="cs"/>
          <w:rtl/>
        </w:rPr>
        <w:t xml:space="preserve"> (22.9.2022) </w:t>
      </w:r>
      <w:r w:rsidRPr="00092512">
        <w:rPr>
          <w:rFonts w:ascii="Century" w:hAnsi="Century" w:hint="cs"/>
          <w:rtl/>
        </w:rPr>
        <w:lastRenderedPageBreak/>
        <w:t xml:space="preserve">(להלן: </w:t>
      </w:r>
      <w:r w:rsidRPr="00092512">
        <w:rPr>
          <w:rFonts w:ascii="Century" w:hAnsi="Century" w:cs="Miriam" w:hint="cs"/>
          <w:b/>
          <w:spacing w:val="0"/>
          <w:sz w:val="22"/>
          <w:szCs w:val="24"/>
          <w:rtl/>
        </w:rPr>
        <w:t>עניין לביא</w:t>
      </w:r>
      <w:r w:rsidRPr="00092512">
        <w:rPr>
          <w:rFonts w:ascii="Century" w:hAnsi="Century" w:hint="cs"/>
          <w:rtl/>
        </w:rPr>
        <w:t>))</w:t>
      </w:r>
      <w:r>
        <w:rPr>
          <w:rFonts w:ascii="Century" w:hAnsi="Century" w:hint="cs"/>
          <w:rtl/>
        </w:rPr>
        <w:t>;</w:t>
      </w:r>
      <w:r>
        <w:rPr>
          <w:rFonts w:hint="cs"/>
          <w:rtl/>
        </w:rPr>
        <w:t xml:space="preserve"> ביחס ל</w:t>
      </w:r>
      <w:r w:rsidRPr="00E71E81">
        <w:rPr>
          <w:rFonts w:ascii="Century" w:hAnsi="Century" w:cs="Miriam" w:hint="eastAsia"/>
          <w:b/>
          <w:bCs/>
          <w:spacing w:val="0"/>
          <w:sz w:val="22"/>
          <w:szCs w:val="24"/>
          <w:rtl/>
        </w:rPr>
        <w:t>החלטות</w:t>
      </w:r>
      <w:r w:rsidRPr="00E71E81">
        <w:rPr>
          <w:rFonts w:ascii="Century" w:hAnsi="Century" w:cs="Miriam"/>
          <w:b/>
          <w:bCs/>
          <w:spacing w:val="0"/>
          <w:sz w:val="22"/>
          <w:szCs w:val="24"/>
          <w:rtl/>
        </w:rPr>
        <w:t xml:space="preserve"> </w:t>
      </w:r>
      <w:r w:rsidRPr="00E71E81">
        <w:rPr>
          <w:rFonts w:ascii="Century" w:hAnsi="Century" w:cs="Miriam" w:hint="eastAsia"/>
          <w:b/>
          <w:bCs/>
          <w:spacing w:val="0"/>
          <w:sz w:val="22"/>
          <w:szCs w:val="24"/>
          <w:rtl/>
        </w:rPr>
        <w:t>פרטניות</w:t>
      </w:r>
      <w:r w:rsidRPr="00EB5E57">
        <w:rPr>
          <w:rtl/>
        </w:rPr>
        <w:t xml:space="preserve"> </w:t>
      </w:r>
      <w:r>
        <w:rPr>
          <w:rFonts w:hint="cs"/>
          <w:rtl/>
        </w:rPr>
        <w:t>שפגעו</w:t>
      </w:r>
      <w:r w:rsidRPr="00FD2420">
        <w:rPr>
          <w:rtl/>
        </w:rPr>
        <w:t xml:space="preserve"> </w:t>
      </w:r>
      <w:r w:rsidRPr="00FD2420">
        <w:rPr>
          <w:rFonts w:hint="eastAsia"/>
          <w:rtl/>
        </w:rPr>
        <w:t>בזכויות</w:t>
      </w:r>
      <w:r w:rsidRPr="00FD2420">
        <w:rPr>
          <w:rtl/>
        </w:rPr>
        <w:t xml:space="preserve"> </w:t>
      </w:r>
      <w:r w:rsidRPr="00FD2420">
        <w:rPr>
          <w:rFonts w:hint="eastAsia"/>
          <w:rtl/>
        </w:rPr>
        <w:t>ובאינטרסים</w:t>
      </w:r>
      <w:r w:rsidRPr="00FD2420">
        <w:rPr>
          <w:rtl/>
        </w:rPr>
        <w:t xml:space="preserve"> </w:t>
      </w:r>
      <w:r w:rsidRPr="00FD2420">
        <w:rPr>
          <w:rFonts w:hint="eastAsia"/>
          <w:rtl/>
        </w:rPr>
        <w:t>של</w:t>
      </w:r>
      <w:r w:rsidRPr="00FD2420">
        <w:rPr>
          <w:rtl/>
        </w:rPr>
        <w:t xml:space="preserve"> </w:t>
      </w:r>
      <w:r w:rsidRPr="00FD2420">
        <w:rPr>
          <w:rFonts w:hint="eastAsia"/>
          <w:rtl/>
        </w:rPr>
        <w:t>פרטים</w:t>
      </w:r>
      <w:r w:rsidRPr="00FD2420">
        <w:rPr>
          <w:rFonts w:hint="cs"/>
          <w:rtl/>
        </w:rPr>
        <w:t xml:space="preserve"> </w:t>
      </w:r>
      <w:r w:rsidRPr="00A1416B">
        <w:rPr>
          <w:rFonts w:hint="cs"/>
          <w:color w:val="000000" w:themeColor="text1"/>
          <w:rtl/>
        </w:rPr>
        <w:t>(</w:t>
      </w:r>
      <w:r>
        <w:rPr>
          <w:rFonts w:hint="cs"/>
          <w:rtl/>
        </w:rPr>
        <w:t xml:space="preserve">ראו למשל: </w:t>
      </w:r>
      <w:r w:rsidRPr="00B00F53">
        <w:rPr>
          <w:rFonts w:hint="eastAsia"/>
          <w:rtl/>
        </w:rPr>
        <w:t>עע</w:t>
      </w:r>
      <w:r w:rsidRPr="00B00F53">
        <w:rPr>
          <w:rtl/>
        </w:rPr>
        <w:t>"</w:t>
      </w:r>
      <w:r w:rsidRPr="00B00F53">
        <w:rPr>
          <w:rFonts w:hint="cs"/>
          <w:rtl/>
        </w:rPr>
        <w:t>ם</w:t>
      </w:r>
      <w:r w:rsidRPr="00B00F53">
        <w:rPr>
          <w:rtl/>
        </w:rPr>
        <w:t xml:space="preserve"> 812</w:t>
      </w:r>
      <w:r w:rsidRPr="00B00F53">
        <w:rPr>
          <w:rFonts w:hint="cs"/>
          <w:rtl/>
        </w:rPr>
        <w:t>/</w:t>
      </w:r>
      <w:r w:rsidRPr="00B00F53">
        <w:rPr>
          <w:rtl/>
        </w:rPr>
        <w:t xml:space="preserve">13 </w:t>
      </w:r>
      <w:r w:rsidRPr="00B00F53">
        <w:rPr>
          <w:rFonts w:cs="Miriam" w:hint="eastAsia"/>
          <w:b/>
          <w:spacing w:val="0"/>
          <w:sz w:val="22"/>
          <w:szCs w:val="24"/>
          <w:rtl/>
        </w:rPr>
        <w:t>באוטיסטה</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שר</w:t>
      </w:r>
      <w:r w:rsidRPr="00B00F53">
        <w:rPr>
          <w:rFonts w:cs="Miriam"/>
          <w:b/>
          <w:spacing w:val="0"/>
          <w:sz w:val="22"/>
          <w:szCs w:val="24"/>
          <w:rtl/>
        </w:rPr>
        <w:t xml:space="preserve"> </w:t>
      </w:r>
      <w:r w:rsidRPr="00B00F53">
        <w:rPr>
          <w:rFonts w:cs="Miriam" w:hint="eastAsia"/>
          <w:b/>
          <w:spacing w:val="0"/>
          <w:sz w:val="22"/>
          <w:szCs w:val="24"/>
          <w:rtl/>
        </w:rPr>
        <w:t>הפנים</w:t>
      </w:r>
      <w:r w:rsidRPr="00B00F53">
        <w:rPr>
          <w:rFonts w:hint="cs"/>
          <w:rtl/>
        </w:rPr>
        <w:t xml:space="preserve"> (21.1.2014)</w:t>
      </w:r>
      <w:r>
        <w:rPr>
          <w:rFonts w:hint="cs"/>
          <w:rtl/>
        </w:rPr>
        <w:t xml:space="preserve"> (להלן: </w:t>
      </w:r>
      <w:r w:rsidRPr="00C735EA">
        <w:rPr>
          <w:rFonts w:cs="Miriam" w:hint="eastAsia"/>
          <w:b/>
          <w:spacing w:val="0"/>
          <w:sz w:val="22"/>
          <w:szCs w:val="24"/>
          <w:rtl/>
        </w:rPr>
        <w:t>עניין</w:t>
      </w:r>
      <w:r w:rsidRPr="00C735EA">
        <w:rPr>
          <w:rFonts w:cs="Miriam"/>
          <w:b/>
          <w:spacing w:val="0"/>
          <w:sz w:val="22"/>
          <w:szCs w:val="24"/>
          <w:rtl/>
        </w:rPr>
        <w:t xml:space="preserve"> </w:t>
      </w:r>
      <w:r w:rsidRPr="00C735EA">
        <w:rPr>
          <w:rFonts w:cs="Miriam" w:hint="eastAsia"/>
          <w:b/>
          <w:spacing w:val="0"/>
          <w:sz w:val="22"/>
          <w:szCs w:val="24"/>
          <w:rtl/>
        </w:rPr>
        <w:t>באוטיסטה</w:t>
      </w:r>
      <w:r>
        <w:rPr>
          <w:rFonts w:hint="cs"/>
          <w:rtl/>
        </w:rPr>
        <w:t>)</w:t>
      </w:r>
      <w:r w:rsidRPr="00B00F53">
        <w:rPr>
          <w:rFonts w:hint="cs"/>
          <w:rtl/>
        </w:rPr>
        <w:t xml:space="preserve">; </w:t>
      </w:r>
      <w:r w:rsidRPr="00092512">
        <w:rPr>
          <w:rFonts w:ascii="Century" w:hAnsi="Century" w:hint="cs"/>
          <w:rtl/>
        </w:rPr>
        <w:t xml:space="preserve">עע"ם 662/11 </w:t>
      </w:r>
      <w:r w:rsidRPr="00092512">
        <w:rPr>
          <w:rFonts w:ascii="Century" w:hAnsi="Century" w:cs="Miriam" w:hint="cs"/>
          <w:b/>
          <w:spacing w:val="0"/>
          <w:szCs w:val="24"/>
          <w:rtl/>
        </w:rPr>
        <w:t>סלע נ' ראש המועצה המקומית כפר ורדים</w:t>
      </w:r>
      <w:r w:rsidRPr="00092512">
        <w:rPr>
          <w:rFonts w:ascii="Century" w:hAnsi="Century" w:hint="cs"/>
          <w:rtl/>
        </w:rPr>
        <w:t xml:space="preserve"> (9.9.2014) (להלן: </w:t>
      </w:r>
      <w:r w:rsidRPr="00092512">
        <w:rPr>
          <w:rFonts w:ascii="Century" w:hAnsi="Century" w:cs="Miriam" w:hint="cs"/>
          <w:b/>
          <w:spacing w:val="0"/>
          <w:sz w:val="22"/>
          <w:szCs w:val="24"/>
          <w:rtl/>
        </w:rPr>
        <w:t>עניין סלע</w:t>
      </w:r>
      <w:r w:rsidRPr="00092512">
        <w:rPr>
          <w:rFonts w:ascii="Century" w:hAnsi="Century" w:hint="cs"/>
          <w:rtl/>
        </w:rPr>
        <w:t xml:space="preserve">); עע"ם 5634/09 </w:t>
      </w:r>
      <w:r w:rsidRPr="00092512">
        <w:rPr>
          <w:rFonts w:ascii="Century" w:hAnsi="Century" w:cs="Miriam" w:hint="cs"/>
          <w:b/>
          <w:spacing w:val="0"/>
          <w:szCs w:val="24"/>
          <w:rtl/>
        </w:rPr>
        <w:t>ג'לאל נ' עיריית ירושלים</w:t>
      </w:r>
      <w:r w:rsidRPr="00092512">
        <w:rPr>
          <w:rFonts w:ascii="Century" w:hAnsi="Century" w:hint="cs"/>
          <w:rtl/>
        </w:rPr>
        <w:t xml:space="preserve"> (25.8.2009))</w:t>
      </w:r>
      <w:r>
        <w:rPr>
          <w:rFonts w:ascii="Century" w:hAnsi="Century" w:hint="cs"/>
          <w:rtl/>
        </w:rPr>
        <w:t xml:space="preserve">; וביחס להחלטות בעניין </w:t>
      </w:r>
      <w:r w:rsidRPr="005F3F2B">
        <w:rPr>
          <w:rFonts w:ascii="Century" w:hAnsi="Century" w:cs="Miriam" w:hint="cs"/>
          <w:bCs/>
          <w:spacing w:val="0"/>
          <w:szCs w:val="24"/>
          <w:rtl/>
        </w:rPr>
        <w:t>העמדה לדין</w:t>
      </w:r>
      <w:r>
        <w:rPr>
          <w:rFonts w:ascii="Century" w:hAnsi="Century" w:hint="cs"/>
          <w:rtl/>
        </w:rPr>
        <w:t xml:space="preserve"> פלילי ומשמעתי (</w:t>
      </w:r>
      <w:r>
        <w:rPr>
          <w:rFonts w:hint="cs"/>
          <w:rtl/>
        </w:rPr>
        <w:t>ראו למשל</w:t>
      </w:r>
      <w:r w:rsidRPr="00092512">
        <w:rPr>
          <w:rFonts w:hint="cs"/>
          <w:rtl/>
        </w:rPr>
        <w:t xml:space="preserve">: עניין </w:t>
      </w:r>
      <w:r w:rsidRPr="00092512">
        <w:rPr>
          <w:rFonts w:cs="Miriam" w:hint="cs"/>
          <w:b/>
          <w:spacing w:val="0"/>
          <w:szCs w:val="24"/>
          <w:rtl/>
        </w:rPr>
        <w:t>גנור</w:t>
      </w:r>
      <w:r w:rsidRPr="00092512">
        <w:rPr>
          <w:rFonts w:hint="cs"/>
          <w:sz w:val="22"/>
          <w:rtl/>
        </w:rPr>
        <w:t xml:space="preserve">; </w:t>
      </w:r>
      <w:r w:rsidRPr="00092512">
        <w:rPr>
          <w:rFonts w:hint="eastAsia"/>
          <w:rtl/>
        </w:rPr>
        <w:t>בג</w:t>
      </w:r>
      <w:r w:rsidRPr="00092512">
        <w:rPr>
          <w:rtl/>
        </w:rPr>
        <w:t>"</w:t>
      </w:r>
      <w:r w:rsidRPr="00092512">
        <w:rPr>
          <w:rFonts w:hint="eastAsia"/>
          <w:rtl/>
        </w:rPr>
        <w:t>ץ</w:t>
      </w:r>
      <w:r w:rsidRPr="00092512">
        <w:rPr>
          <w:rtl/>
        </w:rPr>
        <w:t xml:space="preserve"> 7150</w:t>
      </w:r>
      <w:r w:rsidRPr="00092512">
        <w:rPr>
          <w:rFonts w:hint="cs"/>
          <w:rtl/>
        </w:rPr>
        <w:t>/</w:t>
      </w:r>
      <w:r w:rsidRPr="00092512">
        <w:rPr>
          <w:rtl/>
        </w:rPr>
        <w:t xml:space="preserve">16 </w:t>
      </w:r>
      <w:r w:rsidRPr="00092512">
        <w:rPr>
          <w:rFonts w:cs="Miriam" w:hint="eastAsia"/>
          <w:b/>
          <w:spacing w:val="0"/>
          <w:szCs w:val="24"/>
          <w:rtl/>
        </w:rPr>
        <w:t>המרכז</w:t>
      </w:r>
      <w:r w:rsidRPr="00092512">
        <w:rPr>
          <w:rFonts w:cs="Miriam"/>
          <w:b/>
          <w:spacing w:val="0"/>
          <w:szCs w:val="24"/>
          <w:rtl/>
        </w:rPr>
        <w:t xml:space="preserve"> </w:t>
      </w:r>
      <w:r w:rsidRPr="00092512">
        <w:rPr>
          <w:rFonts w:cs="Miriam" w:hint="eastAsia"/>
          <w:b/>
          <w:spacing w:val="0"/>
          <w:szCs w:val="24"/>
          <w:rtl/>
        </w:rPr>
        <w:t>הרפורמי</w:t>
      </w:r>
      <w:r w:rsidRPr="00092512">
        <w:rPr>
          <w:rFonts w:cs="Miriam"/>
          <w:b/>
          <w:spacing w:val="0"/>
          <w:szCs w:val="24"/>
          <w:rtl/>
        </w:rPr>
        <w:t xml:space="preserve"> </w:t>
      </w:r>
      <w:r w:rsidRPr="00092512">
        <w:rPr>
          <w:rFonts w:cs="Miriam" w:hint="eastAsia"/>
          <w:b/>
          <w:spacing w:val="0"/>
          <w:szCs w:val="24"/>
          <w:rtl/>
        </w:rPr>
        <w:t>לדת</w:t>
      </w:r>
      <w:r w:rsidRPr="00092512">
        <w:rPr>
          <w:rFonts w:cs="Miriam"/>
          <w:b/>
          <w:spacing w:val="0"/>
          <w:szCs w:val="24"/>
          <w:rtl/>
        </w:rPr>
        <w:t xml:space="preserve"> </w:t>
      </w:r>
      <w:r w:rsidRPr="00092512">
        <w:rPr>
          <w:rFonts w:cs="Miriam" w:hint="eastAsia"/>
          <w:b/>
          <w:spacing w:val="0"/>
          <w:szCs w:val="24"/>
          <w:rtl/>
        </w:rPr>
        <w:t>ומדינה</w:t>
      </w:r>
      <w:r>
        <w:rPr>
          <w:rFonts w:cs="Miriam" w:hint="cs"/>
          <w:b/>
          <w:spacing w:val="0"/>
          <w:szCs w:val="24"/>
          <w:rtl/>
        </w:rPr>
        <w:t xml:space="preserve"> </w:t>
      </w:r>
      <w:r>
        <w:rPr>
          <w:rFonts w:cs="Miriam"/>
          <w:b/>
          <w:spacing w:val="0"/>
          <w:szCs w:val="24"/>
          <w:rtl/>
        </w:rPr>
        <w:t>–</w:t>
      </w:r>
      <w:r w:rsidRPr="00092512">
        <w:rPr>
          <w:rFonts w:cs="Miriam"/>
          <w:b/>
          <w:spacing w:val="0"/>
          <w:szCs w:val="24"/>
          <w:rtl/>
        </w:rPr>
        <w:t xml:space="preserve"> </w:t>
      </w:r>
      <w:r w:rsidRPr="00092512">
        <w:rPr>
          <w:rFonts w:cs="Miriam" w:hint="eastAsia"/>
          <w:b/>
          <w:spacing w:val="0"/>
          <w:szCs w:val="24"/>
          <w:rtl/>
        </w:rPr>
        <w:t>התנועה</w:t>
      </w:r>
      <w:r w:rsidRPr="00092512">
        <w:rPr>
          <w:rFonts w:cs="Miriam"/>
          <w:b/>
          <w:spacing w:val="0"/>
          <w:szCs w:val="24"/>
          <w:rtl/>
        </w:rPr>
        <w:t xml:space="preserve"> </w:t>
      </w:r>
      <w:r w:rsidRPr="00092512">
        <w:rPr>
          <w:rFonts w:cs="Miriam" w:hint="eastAsia"/>
          <w:b/>
          <w:spacing w:val="0"/>
          <w:szCs w:val="24"/>
          <w:rtl/>
        </w:rPr>
        <w:t>ליהדות</w:t>
      </w:r>
      <w:r w:rsidRPr="00092512">
        <w:rPr>
          <w:rFonts w:cs="Miriam"/>
          <w:b/>
          <w:spacing w:val="0"/>
          <w:szCs w:val="24"/>
          <w:rtl/>
        </w:rPr>
        <w:t xml:space="preserve"> </w:t>
      </w:r>
      <w:r w:rsidRPr="00092512">
        <w:rPr>
          <w:rFonts w:cs="Miriam" w:hint="eastAsia"/>
          <w:b/>
          <w:spacing w:val="0"/>
          <w:szCs w:val="24"/>
          <w:rtl/>
        </w:rPr>
        <w:t>מתקדמת</w:t>
      </w:r>
      <w:r w:rsidRPr="00092512">
        <w:rPr>
          <w:rFonts w:cs="Miriam"/>
          <w:b/>
          <w:spacing w:val="0"/>
          <w:szCs w:val="24"/>
          <w:rtl/>
        </w:rPr>
        <w:t xml:space="preserve"> </w:t>
      </w:r>
      <w:r w:rsidRPr="00092512">
        <w:rPr>
          <w:rFonts w:cs="Miriam" w:hint="eastAsia"/>
          <w:b/>
          <w:spacing w:val="0"/>
          <w:szCs w:val="24"/>
          <w:rtl/>
        </w:rPr>
        <w:t>בישראל</w:t>
      </w:r>
      <w:r w:rsidRPr="00092512">
        <w:rPr>
          <w:rFonts w:cs="Miriam"/>
          <w:b/>
          <w:spacing w:val="0"/>
          <w:szCs w:val="24"/>
          <w:rtl/>
        </w:rPr>
        <w:t xml:space="preserve"> </w:t>
      </w:r>
      <w:r w:rsidRPr="00092512">
        <w:rPr>
          <w:rFonts w:cs="Miriam" w:hint="eastAsia"/>
          <w:b/>
          <w:spacing w:val="0"/>
          <w:szCs w:val="24"/>
          <w:rtl/>
        </w:rPr>
        <w:t>נ</w:t>
      </w:r>
      <w:r w:rsidRPr="00092512">
        <w:rPr>
          <w:rFonts w:cs="Miriam"/>
          <w:b/>
          <w:spacing w:val="0"/>
          <w:szCs w:val="24"/>
          <w:rtl/>
        </w:rPr>
        <w:t xml:space="preserve">' </w:t>
      </w:r>
      <w:r w:rsidRPr="00092512">
        <w:rPr>
          <w:rFonts w:cs="Miriam" w:hint="eastAsia"/>
          <w:b/>
          <w:spacing w:val="0"/>
          <w:szCs w:val="24"/>
          <w:rtl/>
        </w:rPr>
        <w:t>שרת</w:t>
      </w:r>
      <w:r w:rsidRPr="00092512">
        <w:rPr>
          <w:rFonts w:cs="Miriam"/>
          <w:b/>
          <w:spacing w:val="0"/>
          <w:szCs w:val="24"/>
          <w:rtl/>
        </w:rPr>
        <w:t xml:space="preserve"> </w:t>
      </w:r>
      <w:r w:rsidRPr="00092512">
        <w:rPr>
          <w:rFonts w:cs="Miriam" w:hint="eastAsia"/>
          <w:b/>
          <w:spacing w:val="0"/>
          <w:szCs w:val="24"/>
          <w:rtl/>
        </w:rPr>
        <w:t>המשפטים</w:t>
      </w:r>
      <w:r w:rsidRPr="00092512">
        <w:rPr>
          <w:rFonts w:hint="cs"/>
          <w:rtl/>
        </w:rPr>
        <w:t xml:space="preserve"> (21.9.2020)</w:t>
      </w:r>
      <w:r>
        <w:rPr>
          <w:rFonts w:hint="cs"/>
          <w:rtl/>
        </w:rPr>
        <w:t>).</w:t>
      </w:r>
    </w:p>
    <w:p w:rsidR="00C044AE" w:rsidRDefault="00C044AE" w:rsidP="00C044AE">
      <w:pPr>
        <w:pStyle w:val="Ruller41"/>
        <w:rPr>
          <w:rtl/>
        </w:rPr>
      </w:pPr>
    </w:p>
    <w:p w:rsidR="00C044AE" w:rsidRDefault="00C044AE" w:rsidP="00C044AE">
      <w:pPr>
        <w:pStyle w:val="1"/>
        <w:numPr>
          <w:ilvl w:val="0"/>
          <w:numId w:val="3"/>
        </w:numPr>
        <w:rPr>
          <w:rtl/>
        </w:rPr>
      </w:pPr>
      <w:r w:rsidRPr="004960B6">
        <w:rPr>
          <w:rFonts w:hint="cs"/>
          <w:rtl/>
        </w:rPr>
        <w:t xml:space="preserve">הליך חקיקת </w:t>
      </w:r>
      <w:r>
        <w:rPr>
          <w:rFonts w:hint="cs"/>
          <w:rtl/>
        </w:rPr>
        <w:t>התיקון</w:t>
      </w:r>
    </w:p>
    <w:p w:rsidR="00C044AE" w:rsidRPr="00CB5119" w:rsidRDefault="00C044AE" w:rsidP="00DB265B">
      <w:pPr>
        <w:pStyle w:val="Ruller41"/>
        <w:spacing w:line="276" w:lineRule="auto"/>
        <w:rPr>
          <w:rtl/>
        </w:rPr>
      </w:pPr>
    </w:p>
    <w:p w:rsidR="00C044AE" w:rsidRPr="00904D67" w:rsidRDefault="00C044AE" w:rsidP="00C044AE">
      <w:pPr>
        <w:pStyle w:val="Ruller4"/>
        <w:rPr>
          <w:rtl/>
        </w:rPr>
      </w:pPr>
      <w:r w:rsidRPr="00904D67">
        <w:rPr>
          <w:rFonts w:hint="cs"/>
          <w:color w:val="000000" w:themeColor="text1"/>
          <w:rtl/>
        </w:rPr>
        <w:t xml:space="preserve">ביום 4.1.2023, שישה ימים לאחר השבעת הממשלה ה-37, נשא שר המשפטים יריב לוין נאום, במסגרתו הציג את מה שכינה "השלב הראשון של רפורמת המשילות". </w:t>
      </w:r>
      <w:r>
        <w:rPr>
          <w:rFonts w:hint="cs"/>
          <w:color w:val="000000" w:themeColor="text1"/>
          <w:rtl/>
        </w:rPr>
        <w:t xml:space="preserve">תכנית זו כללה מספר רכיבים: </w:t>
      </w:r>
      <w:r w:rsidRPr="00904D67">
        <w:rPr>
          <w:rFonts w:hint="cs"/>
          <w:color w:val="000000" w:themeColor="text1"/>
          <w:rtl/>
        </w:rPr>
        <w:t>שינוי הרכב הו</w:t>
      </w:r>
      <w:r>
        <w:rPr>
          <w:rFonts w:hint="cs"/>
          <w:color w:val="000000" w:themeColor="text1"/>
          <w:rtl/>
        </w:rPr>
        <w:t>ו</w:t>
      </w:r>
      <w:r w:rsidRPr="00904D67">
        <w:rPr>
          <w:rFonts w:hint="cs"/>
          <w:color w:val="000000" w:themeColor="text1"/>
          <w:rtl/>
        </w:rPr>
        <w:t xml:space="preserve">עדה לבחירת שופטים, </w:t>
      </w:r>
      <w:r>
        <w:rPr>
          <w:rFonts w:hint="cs"/>
          <w:color w:val="000000" w:themeColor="text1"/>
          <w:rtl/>
        </w:rPr>
        <w:t>הגבלה של הביקורת השיפוטית על חקיקת הכנסת, שינוי היבטים מסוימים הנוגעים לעבודת מערך הייעוץ המשפטי לממשלה</w:t>
      </w:r>
      <w:r w:rsidRPr="00904D67">
        <w:rPr>
          <w:rFonts w:hint="cs"/>
          <w:color w:val="000000" w:themeColor="text1"/>
          <w:rtl/>
        </w:rPr>
        <w:t xml:space="preserve">, </w:t>
      </w:r>
      <w:r>
        <w:rPr>
          <w:rFonts w:hint="cs"/>
          <w:color w:val="000000" w:themeColor="text1"/>
          <w:rtl/>
        </w:rPr>
        <w:t>וכן</w:t>
      </w:r>
      <w:r w:rsidRPr="00904D67">
        <w:rPr>
          <w:rFonts w:hint="cs"/>
          <w:color w:val="000000" w:themeColor="text1"/>
          <w:rtl/>
        </w:rPr>
        <w:t xml:space="preserve"> </w:t>
      </w:r>
      <w:r w:rsidRPr="00E7472D">
        <w:rPr>
          <w:rFonts w:hint="eastAsia"/>
          <w:color w:val="000000" w:themeColor="text1"/>
          <w:rtl/>
        </w:rPr>
        <w:t>ביטול</w:t>
      </w:r>
      <w:r w:rsidRPr="00E7472D">
        <w:rPr>
          <w:color w:val="000000" w:themeColor="text1"/>
          <w:rtl/>
        </w:rPr>
        <w:t xml:space="preserve"> </w:t>
      </w:r>
      <w:r w:rsidRPr="00E7472D">
        <w:rPr>
          <w:rFonts w:hint="eastAsia"/>
          <w:color w:val="000000" w:themeColor="text1"/>
          <w:rtl/>
        </w:rPr>
        <w:t>עילת</w:t>
      </w:r>
      <w:r w:rsidRPr="00E7472D">
        <w:rPr>
          <w:color w:val="000000" w:themeColor="text1"/>
          <w:rtl/>
        </w:rPr>
        <w:t xml:space="preserve"> </w:t>
      </w:r>
      <w:r w:rsidRPr="00E7472D">
        <w:rPr>
          <w:rFonts w:hint="eastAsia"/>
          <w:color w:val="000000" w:themeColor="text1"/>
          <w:rtl/>
        </w:rPr>
        <w:t>הסבירות</w:t>
      </w:r>
      <w:r>
        <w:rPr>
          <w:rFonts w:hint="cs"/>
          <w:rtl/>
        </w:rPr>
        <w:t xml:space="preserve">. </w:t>
      </w:r>
    </w:p>
    <w:p w:rsidR="00C044AE" w:rsidRPr="008E56AC" w:rsidRDefault="00C044AE" w:rsidP="00C044AE">
      <w:pPr>
        <w:pStyle w:val="Ruller41"/>
      </w:pPr>
    </w:p>
    <w:p w:rsidR="00C044AE" w:rsidRDefault="00C044AE" w:rsidP="00C044AE">
      <w:pPr>
        <w:pStyle w:val="Ruller4"/>
        <w:numPr>
          <w:ilvl w:val="0"/>
          <w:numId w:val="0"/>
        </w:numPr>
        <w:rPr>
          <w:color w:val="000000" w:themeColor="text1"/>
          <w:rtl/>
        </w:rPr>
      </w:pPr>
      <w:r>
        <w:rPr>
          <w:color w:val="000000" w:themeColor="text1"/>
          <w:rtl/>
        </w:rPr>
        <w:tab/>
      </w:r>
      <w:r>
        <w:rPr>
          <w:rFonts w:hint="cs"/>
          <w:color w:val="000000" w:themeColor="text1"/>
          <w:rtl/>
        </w:rPr>
        <w:t xml:space="preserve">כשבוע לאחר מכן, העביר שר המשפטים ליועצת המשפטית לממשלה, טיוטת תזכיר חוק-יסוד: השפיטה (תיקון </w:t>
      </w:r>
      <w:r>
        <w:rPr>
          <w:color w:val="000000" w:themeColor="text1"/>
          <w:rtl/>
        </w:rPr>
        <w:t>–</w:t>
      </w:r>
      <w:r>
        <w:rPr>
          <w:rFonts w:hint="cs"/>
          <w:color w:val="000000" w:themeColor="text1"/>
          <w:rtl/>
        </w:rPr>
        <w:t xml:space="preserve"> רפורמה במשפט) (להלן: </w:t>
      </w:r>
      <w:r w:rsidRPr="00EC475E">
        <w:rPr>
          <w:rFonts w:ascii="Miriam" w:hAnsi="Miriam" w:cs="Miriam" w:hint="eastAsia"/>
          <w:color w:val="000000" w:themeColor="text1"/>
          <w:spacing w:val="0"/>
          <w:szCs w:val="24"/>
          <w:rtl/>
        </w:rPr>
        <w:t>טיוטת</w:t>
      </w:r>
      <w:r w:rsidRPr="00EC475E">
        <w:rPr>
          <w:rFonts w:ascii="Miriam" w:hAnsi="Miriam" w:cs="Miriam"/>
          <w:color w:val="000000" w:themeColor="text1"/>
          <w:spacing w:val="0"/>
          <w:szCs w:val="24"/>
          <w:rtl/>
        </w:rPr>
        <w:t xml:space="preserve"> </w:t>
      </w:r>
      <w:r w:rsidRPr="00EC475E">
        <w:rPr>
          <w:rFonts w:ascii="Miriam" w:hAnsi="Miriam" w:cs="Miriam" w:hint="eastAsia"/>
          <w:color w:val="000000" w:themeColor="text1"/>
          <w:spacing w:val="0"/>
          <w:szCs w:val="24"/>
          <w:rtl/>
        </w:rPr>
        <w:t>התזכיר</w:t>
      </w:r>
      <w:r>
        <w:rPr>
          <w:rFonts w:hint="cs"/>
          <w:color w:val="000000" w:themeColor="text1"/>
          <w:rtl/>
        </w:rPr>
        <w:t>), אשר כללה הצעות לשינויים חקיקתיים הנוגעות לנושאים שהציג בנאומו, ובכללן ההצעה לפיה בית המשפט לא יפסול החלטות של "</w:t>
      </w:r>
      <w:r>
        <w:rPr>
          <w:rFonts w:hint="cs"/>
          <w:rtl/>
        </w:rPr>
        <w:t xml:space="preserve">הממשלה, שר משריה, רשות הנתונה לאחריותם או כל מי שפועל מטעמם" על יסוד מידת סבירותן. </w:t>
      </w:r>
      <w:r>
        <w:rPr>
          <w:rFonts w:hint="cs"/>
          <w:color w:val="000000" w:themeColor="text1"/>
          <w:rtl/>
        </w:rPr>
        <w:t xml:space="preserve">בחוות דעת שהוגשה מטעם היועצת ביום 2.2.2023, היא הבהירה כי כל אחד מההסדרים המוצעים בטיוטת התזכיר "מעלה קשיים מהותיים, היורדים לשורש עקרון הפרדת הרשויות, העצמאות השיפוטית והמקצועיות של הרשות השופטת, ההגנה על זכויות הפרט, שלטון החוק והשמירה על המינהל התקין". ביחס לביטול עילת הסבירות ציינה היועצת כי שינוי זה עלול להביא לפגיעה משמעותית ביכולת האזרח "להעמיד את מעשי הרשות לביקורת עצמאית ובלתי תלויה, ולקבל סעד מבית המשפט". </w:t>
      </w:r>
    </w:p>
    <w:p w:rsidR="00C044AE" w:rsidRDefault="00C044AE" w:rsidP="00C044AE">
      <w:pPr>
        <w:pStyle w:val="Ruller41"/>
        <w:rPr>
          <w:rtl/>
        </w:rPr>
      </w:pPr>
    </w:p>
    <w:p w:rsidR="00C044AE" w:rsidRDefault="00C044AE" w:rsidP="00C044AE">
      <w:pPr>
        <w:pStyle w:val="Ruller4"/>
        <w:rPr>
          <w:rtl/>
        </w:rPr>
      </w:pPr>
      <w:r>
        <w:rPr>
          <w:rFonts w:hint="cs"/>
          <w:color w:val="000000" w:themeColor="text1"/>
          <w:rtl/>
        </w:rPr>
        <w:t xml:space="preserve">בסופו של יום, טיוטת התזכיר לא קודמה ולא הוגשו הצעות חקיקה ממשלתיות בנושאים שנכללו בה. ואולם, במקביל להצגת טיוטת התזכיר, </w:t>
      </w:r>
      <w:r w:rsidRPr="00DA06F0">
        <w:rPr>
          <w:rFonts w:hint="cs"/>
          <w:color w:val="000000" w:themeColor="text1"/>
          <w:rtl/>
        </w:rPr>
        <w:t>ביום 11.1.2023</w:t>
      </w:r>
      <w:r w:rsidRPr="00DA06F0">
        <w:rPr>
          <w:rFonts w:hint="cs"/>
          <w:color w:val="000000" w:themeColor="text1"/>
        </w:rPr>
        <w:t xml:space="preserve"> </w:t>
      </w:r>
      <w:r>
        <w:rPr>
          <w:rFonts w:hint="cs"/>
          <w:color w:val="000000" w:themeColor="text1"/>
          <w:rtl/>
        </w:rPr>
        <w:t xml:space="preserve">החלה </w:t>
      </w:r>
      <w:r w:rsidRPr="00DA06F0">
        <w:rPr>
          <w:rFonts w:hint="cs"/>
          <w:color w:val="000000" w:themeColor="text1"/>
          <w:rtl/>
        </w:rPr>
        <w:t xml:space="preserve">ועדת החוקה, חוק ומשפט (להלן: </w:t>
      </w:r>
      <w:r w:rsidRPr="00DA06F0">
        <w:rPr>
          <w:rFonts w:ascii="Miriam" w:hAnsi="Miriam" w:cs="Miriam" w:hint="cs"/>
          <w:color w:val="000000" w:themeColor="text1"/>
          <w:spacing w:val="0"/>
          <w:szCs w:val="24"/>
          <w:rtl/>
        </w:rPr>
        <w:t>הוועדה</w:t>
      </w:r>
      <w:r>
        <w:rPr>
          <w:rFonts w:ascii="Miriam" w:hAnsi="Miriam" w:cs="Miriam" w:hint="cs"/>
          <w:color w:val="000000" w:themeColor="text1"/>
          <w:spacing w:val="0"/>
          <w:szCs w:val="24"/>
          <w:rtl/>
        </w:rPr>
        <w:t xml:space="preserve"> </w:t>
      </w:r>
      <w:r w:rsidRPr="00AB6725">
        <w:rPr>
          <w:rFonts w:ascii="Century" w:hAnsi="Century" w:hint="cs"/>
          <w:sz w:val="22"/>
          <w:rtl/>
        </w:rPr>
        <w:t>או</w:t>
      </w:r>
      <w:r w:rsidRPr="00AB6725">
        <w:rPr>
          <w:rFonts w:ascii="Miriam" w:hAnsi="Miriam" w:cs="Miriam" w:hint="cs"/>
          <w:color w:val="000000" w:themeColor="text1"/>
          <w:spacing w:val="0"/>
          <w:szCs w:val="24"/>
          <w:rtl/>
        </w:rPr>
        <w:t xml:space="preserve"> </w:t>
      </w:r>
      <w:r>
        <w:rPr>
          <w:rFonts w:ascii="Miriam" w:hAnsi="Miriam" w:cs="Miriam" w:hint="cs"/>
          <w:color w:val="000000" w:themeColor="text1"/>
          <w:spacing w:val="0"/>
          <w:szCs w:val="24"/>
          <w:rtl/>
        </w:rPr>
        <w:t>ועדת החוקה</w:t>
      </w:r>
      <w:r w:rsidRPr="00DA06F0">
        <w:rPr>
          <w:rFonts w:ascii="FrankRuehl" w:hAnsi="FrankRuehl" w:hint="cs"/>
          <w:color w:val="000000" w:themeColor="text1"/>
          <w:rtl/>
        </w:rPr>
        <w:t xml:space="preserve">), </w:t>
      </w:r>
      <w:r>
        <w:rPr>
          <w:rFonts w:hint="cs"/>
          <w:color w:val="000000" w:themeColor="text1"/>
          <w:rtl/>
        </w:rPr>
        <w:t>לקיים סדרת דיונים בהצעות שונות לשינויים בתחום המשפט</w:t>
      </w:r>
      <w:r w:rsidRPr="00DA06F0">
        <w:rPr>
          <w:rFonts w:hint="cs"/>
          <w:color w:val="000000" w:themeColor="text1"/>
          <w:rtl/>
        </w:rPr>
        <w:t xml:space="preserve"> </w:t>
      </w:r>
      <w:r w:rsidRPr="00DA06F0">
        <w:rPr>
          <w:rFonts w:ascii="FrankRuehl" w:hAnsi="FrankRuehl" w:hint="cs"/>
          <w:color w:val="000000" w:themeColor="text1"/>
          <w:rtl/>
        </w:rPr>
        <w:t>תחת הכותרת "ציון במשפט תפדה</w:t>
      </w:r>
      <w:r>
        <w:rPr>
          <w:rFonts w:ascii="FrankRuehl" w:hAnsi="FrankRuehl" w:hint="cs"/>
          <w:color w:val="000000" w:themeColor="text1"/>
          <w:rtl/>
        </w:rPr>
        <w:t xml:space="preserve"> </w:t>
      </w:r>
      <w:r>
        <w:rPr>
          <w:rFonts w:ascii="FrankRuehl" w:hAnsi="FrankRuehl"/>
          <w:color w:val="000000" w:themeColor="text1"/>
          <w:rtl/>
        </w:rPr>
        <w:t>–</w:t>
      </w:r>
      <w:r>
        <w:rPr>
          <w:rFonts w:ascii="FrankRuehl" w:hAnsi="FrankRuehl" w:hint="cs"/>
          <w:color w:val="000000" w:themeColor="text1"/>
          <w:rtl/>
        </w:rPr>
        <w:t xml:space="preserve"> מחזירים את הצדק למערכת המשפט</w:t>
      </w:r>
      <w:r w:rsidRPr="00DA06F0">
        <w:rPr>
          <w:rFonts w:ascii="FrankRuehl" w:hAnsi="FrankRuehl" w:hint="cs"/>
          <w:color w:val="000000" w:themeColor="text1"/>
          <w:rtl/>
        </w:rPr>
        <w:t>"</w:t>
      </w:r>
      <w:r>
        <w:rPr>
          <w:rFonts w:ascii="FrankRuehl" w:hAnsi="FrankRuehl" w:hint="cs"/>
          <w:color w:val="000000" w:themeColor="text1"/>
          <w:rtl/>
        </w:rPr>
        <w:t xml:space="preserve"> </w:t>
      </w:r>
      <w:r>
        <w:rPr>
          <w:rFonts w:hint="cs"/>
          <w:rtl/>
        </w:rPr>
        <w:t xml:space="preserve">(להלן: </w:t>
      </w:r>
      <w:r w:rsidRPr="002E5EA6">
        <w:rPr>
          <w:rFonts w:ascii="Century" w:hAnsi="Century" w:cs="Miriam" w:hint="cs"/>
          <w:b/>
          <w:spacing w:val="0"/>
          <w:sz w:val="22"/>
          <w:szCs w:val="24"/>
          <w:rtl/>
        </w:rPr>
        <w:t>התכנית לשינוי מערכת המשפט</w:t>
      </w:r>
      <w:r>
        <w:rPr>
          <w:rFonts w:hint="cs"/>
          <w:rtl/>
        </w:rPr>
        <w:t>)</w:t>
      </w:r>
      <w:r w:rsidRPr="00DA06F0">
        <w:rPr>
          <w:rFonts w:ascii="FrankRuehl" w:hAnsi="FrankRuehl" w:hint="cs"/>
          <w:color w:val="000000" w:themeColor="text1"/>
          <w:rtl/>
        </w:rPr>
        <w:t xml:space="preserve">. בדיון ציין יו"ר הוועדה, </w:t>
      </w:r>
      <w:r>
        <w:rPr>
          <w:rFonts w:ascii="FrankRuehl" w:hAnsi="FrankRuehl" w:hint="cs"/>
          <w:color w:val="000000" w:themeColor="text1"/>
          <w:rtl/>
        </w:rPr>
        <w:t>ח</w:t>
      </w:r>
      <w:r>
        <w:rPr>
          <w:rFonts w:ascii="FrankRuehl" w:hAnsi="FrankRuehl"/>
          <w:color w:val="000000" w:themeColor="text1"/>
          <w:rtl/>
        </w:rPr>
        <w:t>"</w:t>
      </w:r>
      <w:r>
        <w:rPr>
          <w:rFonts w:ascii="FrankRuehl" w:hAnsi="FrankRuehl" w:hint="cs"/>
          <w:color w:val="000000" w:themeColor="text1"/>
          <w:rtl/>
        </w:rPr>
        <w:t>כ</w:t>
      </w:r>
      <w:r w:rsidRPr="00DA06F0">
        <w:rPr>
          <w:rFonts w:ascii="FrankRuehl" w:hAnsi="FrankRuehl" w:hint="cs"/>
          <w:color w:val="000000" w:themeColor="text1"/>
          <w:rtl/>
        </w:rPr>
        <w:t xml:space="preserve"> שמחה רוטמן</w:t>
      </w:r>
      <w:r>
        <w:rPr>
          <w:rFonts w:ascii="FrankRuehl" w:hAnsi="FrankRuehl" w:hint="cs"/>
          <w:color w:val="000000" w:themeColor="text1"/>
          <w:rtl/>
        </w:rPr>
        <w:t xml:space="preserve"> (להלן: </w:t>
      </w:r>
      <w:r w:rsidRPr="002E5EA6">
        <w:rPr>
          <w:rFonts w:ascii="Century" w:hAnsi="Century" w:cs="Miriam" w:hint="cs"/>
          <w:b/>
          <w:spacing w:val="0"/>
          <w:sz w:val="22"/>
          <w:szCs w:val="24"/>
          <w:rtl/>
        </w:rPr>
        <w:t>ח"כ רוטמן</w:t>
      </w:r>
      <w:r>
        <w:rPr>
          <w:rFonts w:ascii="FrankRuehl" w:hAnsi="FrankRuehl" w:hint="cs"/>
          <w:color w:val="000000" w:themeColor="text1"/>
          <w:rtl/>
        </w:rPr>
        <w:t>)</w:t>
      </w:r>
      <w:r w:rsidRPr="00DA06F0">
        <w:rPr>
          <w:rFonts w:ascii="FrankRuehl" w:hAnsi="FrankRuehl" w:hint="cs"/>
          <w:color w:val="000000" w:themeColor="text1"/>
          <w:rtl/>
        </w:rPr>
        <w:t xml:space="preserve">, כי התיקונים </w:t>
      </w:r>
      <w:r>
        <w:rPr>
          <w:rFonts w:ascii="FrankRuehl" w:hAnsi="FrankRuehl" w:hint="cs"/>
          <w:color w:val="000000" w:themeColor="text1"/>
          <w:rtl/>
        </w:rPr>
        <w:t>שיידונו</w:t>
      </w:r>
      <w:r w:rsidRPr="00DA06F0">
        <w:rPr>
          <w:rFonts w:ascii="FrankRuehl" w:hAnsi="FrankRuehl" w:hint="cs"/>
          <w:color w:val="000000" w:themeColor="text1"/>
          <w:rtl/>
        </w:rPr>
        <w:t xml:space="preserve"> בוועדה יכללו הצעות חוק </w:t>
      </w:r>
      <w:r w:rsidRPr="00DA06F0">
        <w:rPr>
          <w:rFonts w:ascii="FrankRuehl" w:hAnsi="FrankRuehl" w:hint="cs"/>
          <w:color w:val="000000" w:themeColor="text1"/>
          <w:rtl/>
        </w:rPr>
        <w:lastRenderedPageBreak/>
        <w:t>ממשלתיות, הצעות חוק פרטיות ו</w:t>
      </w:r>
      <w:r>
        <w:rPr>
          <w:rFonts w:ascii="FrankRuehl" w:hAnsi="FrankRuehl" w:hint="cs"/>
          <w:color w:val="000000" w:themeColor="text1"/>
          <w:rtl/>
        </w:rPr>
        <w:t xml:space="preserve">כן </w:t>
      </w:r>
      <w:r w:rsidRPr="00DA06F0">
        <w:rPr>
          <w:rFonts w:ascii="FrankRuehl" w:hAnsi="FrankRuehl" w:hint="cs"/>
          <w:color w:val="000000" w:themeColor="text1"/>
          <w:rtl/>
        </w:rPr>
        <w:t xml:space="preserve">הצעות </w:t>
      </w:r>
      <w:r>
        <w:rPr>
          <w:rFonts w:ascii="FrankRuehl" w:hAnsi="FrankRuehl" w:hint="cs"/>
          <w:color w:val="000000" w:themeColor="text1"/>
          <w:rtl/>
        </w:rPr>
        <w:t xml:space="preserve">שיוגשו </w:t>
      </w:r>
      <w:r w:rsidRPr="00DA06F0">
        <w:rPr>
          <w:rFonts w:ascii="FrankRuehl" w:hAnsi="FrankRuehl" w:hint="cs"/>
          <w:color w:val="000000" w:themeColor="text1"/>
          <w:rtl/>
        </w:rPr>
        <w:t>מטעם הו</w:t>
      </w:r>
      <w:r>
        <w:rPr>
          <w:rFonts w:ascii="FrankRuehl" w:hAnsi="FrankRuehl" w:hint="cs"/>
          <w:color w:val="000000" w:themeColor="text1"/>
          <w:rtl/>
        </w:rPr>
        <w:t>ו</w:t>
      </w:r>
      <w:r w:rsidRPr="00DA06F0">
        <w:rPr>
          <w:rFonts w:ascii="FrankRuehl" w:hAnsi="FrankRuehl" w:hint="cs"/>
          <w:color w:val="000000" w:themeColor="text1"/>
          <w:rtl/>
        </w:rPr>
        <w:t>עדה</w:t>
      </w:r>
      <w:r>
        <w:rPr>
          <w:rFonts w:ascii="FrankRuehl" w:hAnsi="FrankRuehl" w:hint="cs"/>
          <w:color w:val="000000" w:themeColor="text1"/>
          <w:rtl/>
        </w:rPr>
        <w:t xml:space="preserve"> בהתאם לסעיף 80(א) לתקנון הכנסת, שזו לשונו:</w:t>
      </w:r>
    </w:p>
    <w:p w:rsidR="00C044AE" w:rsidRPr="006819EB" w:rsidRDefault="00C044AE" w:rsidP="00C044AE">
      <w:pPr>
        <w:pStyle w:val="Ruller41"/>
      </w:pPr>
    </w:p>
    <w:p w:rsidR="00C044AE" w:rsidRDefault="00C044AE" w:rsidP="00C044AE">
      <w:pPr>
        <w:pStyle w:val="Ruller5"/>
        <w:rPr>
          <w:color w:val="000000" w:themeColor="text1"/>
          <w:rtl/>
        </w:rPr>
      </w:pPr>
      <w:r>
        <w:rPr>
          <w:rFonts w:hint="cs"/>
          <w:shd w:val="clear" w:color="auto" w:fill="FFFFFF"/>
          <w:rtl/>
        </w:rPr>
        <w:t>"</w:t>
      </w:r>
      <w:r w:rsidRPr="00C663BB">
        <w:rPr>
          <w:shd w:val="clear" w:color="auto" w:fill="FFFFFF"/>
          <w:rtl/>
        </w:rPr>
        <w:t xml:space="preserve">ועדת הכנסת, ועדת החוקה חוק ומשפט </w:t>
      </w:r>
      <w:r w:rsidRPr="00BE6F4B">
        <w:rPr>
          <w:shd w:val="clear" w:color="auto" w:fill="FFFFFF"/>
          <w:rtl/>
        </w:rPr>
        <w:t xml:space="preserve">והוועדה לענייני ביקורת המדינה רשאיות ליזום, בתחומי ענייניהן לפי תקנון זה, הצעות חוק בנושאים אלה ולהכינן לקריאה הראשונה: חוקי יסוד, עניינים שמתחייבים מתיקון של חוק </w:t>
      </w:r>
      <w:r w:rsidRPr="00C663BB">
        <w:rPr>
          <w:shd w:val="clear" w:color="auto" w:fill="FFFFFF"/>
          <w:rtl/>
        </w:rPr>
        <w:t>יסוד ומוצעים לצדו, הכנסת, חברי הכנסת, הבחירות לכנסת, מפלגות, מימון מפלגות ומבקר המדינה</w:t>
      </w:r>
      <w:r>
        <w:rPr>
          <w:rFonts w:hint="cs"/>
          <w:color w:val="000000" w:themeColor="text1"/>
          <w:rtl/>
        </w:rPr>
        <w:t>".</w:t>
      </w:r>
    </w:p>
    <w:p w:rsidR="00C044AE" w:rsidRDefault="00C044AE" w:rsidP="00DB265B">
      <w:pPr>
        <w:pStyle w:val="Ruller5"/>
        <w:spacing w:line="360" w:lineRule="auto"/>
        <w:rPr>
          <w:color w:val="000000" w:themeColor="text1"/>
          <w:rtl/>
        </w:rPr>
      </w:pPr>
    </w:p>
    <w:p w:rsidR="00C044AE" w:rsidRDefault="00C044AE" w:rsidP="00C044AE">
      <w:pPr>
        <w:pStyle w:val="Ruller4"/>
        <w:numPr>
          <w:ilvl w:val="0"/>
          <w:numId w:val="0"/>
        </w:numPr>
        <w:rPr>
          <w:rtl/>
        </w:rPr>
      </w:pPr>
      <w:r>
        <w:rPr>
          <w:rtl/>
        </w:rPr>
        <w:tab/>
      </w:r>
      <w:r>
        <w:rPr>
          <w:rFonts w:hint="cs"/>
          <w:rtl/>
        </w:rPr>
        <w:t xml:space="preserve">ח"כ רוטמן הבהיר כי הנושא הראשון שיובא לדיון נוגע למערך הייעוץ המשפטי לממשלה וכי בהקשר זה תקודם הצעת חוק יסוד מטעם הוועדה. </w:t>
      </w:r>
    </w:p>
    <w:p w:rsidR="00C044AE" w:rsidRPr="005E3E54" w:rsidRDefault="00C044AE" w:rsidP="00C044AE">
      <w:pPr>
        <w:pStyle w:val="Ruller41"/>
      </w:pPr>
    </w:p>
    <w:p w:rsidR="00C044AE" w:rsidRPr="00E11541" w:rsidRDefault="00C044AE" w:rsidP="00C044AE">
      <w:pPr>
        <w:pStyle w:val="Ruller4"/>
        <w:rPr>
          <w:rFonts w:ascii="FrankRuehl" w:hAnsi="FrankRuehl"/>
          <w:color w:val="1F497D"/>
          <w:spacing w:val="0"/>
          <w:sz w:val="28"/>
          <w:rtl/>
        </w:rPr>
      </w:pPr>
      <w:r>
        <w:rPr>
          <w:rFonts w:hint="cs"/>
          <w:rtl/>
        </w:rPr>
        <w:t xml:space="preserve">ביום 16.1.2023 הועבר לחברי הוועדה מסמך הכנה מטעם הייעוץ המשפטי לוועדה, בו הובהר כי המסלול של הצעות חוק מטעם ועדה מהווה מסלול חקיקתי נדיר יחסית "שברוב המוחלט של המקרים יוחד בוועדת החוקה לנושאים שאינם שנויים במחלוקת או לנושאים הקשורים קשר הדוק לכנסת ולפעולותיה" (ראו גם: דברי היועצת </w:t>
      </w:r>
      <w:r w:rsidRPr="00AB6725">
        <w:rPr>
          <w:rFonts w:hint="cs"/>
          <w:rtl/>
        </w:rPr>
        <w:t xml:space="preserve">המשפטית לכנסת, עו"ד שגית אפיק (להלן: </w:t>
      </w:r>
      <w:r w:rsidRPr="00AB6725">
        <w:rPr>
          <w:rFonts w:ascii="Miriam" w:hAnsi="Miriam" w:cs="Miriam" w:hint="cs"/>
          <w:spacing w:val="0"/>
          <w:szCs w:val="24"/>
          <w:rtl/>
        </w:rPr>
        <w:t>עו"ד אפיק</w:t>
      </w:r>
      <w:r w:rsidRPr="00AB6725">
        <w:rPr>
          <w:rFonts w:hint="cs"/>
          <w:rtl/>
        </w:rPr>
        <w:t xml:space="preserve">) </w:t>
      </w:r>
      <w:r>
        <w:rPr>
          <w:rFonts w:hint="cs"/>
          <w:rtl/>
        </w:rPr>
        <w:t>ב</w:t>
      </w:r>
      <w:r>
        <w:rPr>
          <w:rFonts w:ascii="FrankRuehl" w:hAnsi="FrankRuehl"/>
          <w:color w:val="000000"/>
          <w:sz w:val="28"/>
          <w:rtl/>
        </w:rPr>
        <w:t xml:space="preserve">פרוטוקול ישיבה 7 של ועדת החוקה, הכנסת ה-25, </w:t>
      </w:r>
      <w:r>
        <w:rPr>
          <w:rFonts w:ascii="FrankRuehl" w:hAnsi="FrankRuehl" w:hint="cs"/>
          <w:color w:val="000000"/>
          <w:sz w:val="28"/>
          <w:rtl/>
        </w:rPr>
        <w:t xml:space="preserve">31 </w:t>
      </w:r>
      <w:r>
        <w:rPr>
          <w:rFonts w:ascii="FrankRuehl" w:hAnsi="FrankRuehl"/>
          <w:color w:val="000000"/>
          <w:sz w:val="28"/>
        </w:rPr>
        <w:t>(16.1.2023)</w:t>
      </w:r>
      <w:r>
        <w:rPr>
          <w:rFonts w:ascii="FrankRuehl" w:hAnsi="FrankRuehl" w:hint="cs"/>
          <w:color w:val="000000"/>
          <w:sz w:val="28"/>
          <w:rtl/>
        </w:rPr>
        <w:t xml:space="preserve"> </w:t>
      </w:r>
      <w:r>
        <w:rPr>
          <w:rFonts w:hint="cs"/>
          <w:rtl/>
        </w:rPr>
        <w:t xml:space="preserve">(להלן: </w:t>
      </w:r>
      <w:r w:rsidRPr="005F3F2B">
        <w:rPr>
          <w:rFonts w:ascii="Century" w:hAnsi="Century" w:cs="Miriam" w:hint="eastAsia"/>
          <w:b/>
          <w:spacing w:val="0"/>
          <w:sz w:val="22"/>
          <w:szCs w:val="24"/>
          <w:rtl/>
        </w:rPr>
        <w:t>פר</w:t>
      </w:r>
      <w:r>
        <w:rPr>
          <w:rFonts w:ascii="Century" w:hAnsi="Century" w:cs="Miriam" w:hint="cs"/>
          <w:b/>
          <w:spacing w:val="0"/>
          <w:sz w:val="22"/>
          <w:szCs w:val="24"/>
          <w:rtl/>
        </w:rPr>
        <w:t>ו</w:t>
      </w:r>
      <w:r w:rsidRPr="005F3F2B">
        <w:rPr>
          <w:rFonts w:ascii="Century" w:hAnsi="Century" w:cs="Miriam" w:hint="eastAsia"/>
          <w:b/>
          <w:spacing w:val="0"/>
          <w:sz w:val="22"/>
          <w:szCs w:val="24"/>
          <w:rtl/>
        </w:rPr>
        <w:t>טוקול</w:t>
      </w:r>
      <w:r w:rsidRPr="005F3F2B">
        <w:rPr>
          <w:rFonts w:ascii="Century" w:hAnsi="Century" w:cs="Miriam"/>
          <w:b/>
          <w:spacing w:val="0"/>
          <w:sz w:val="22"/>
          <w:szCs w:val="24"/>
          <w:rtl/>
        </w:rPr>
        <w:t xml:space="preserve"> </w:t>
      </w:r>
      <w:r w:rsidRPr="005F3F2B">
        <w:rPr>
          <w:rFonts w:ascii="Century" w:hAnsi="Century" w:cs="Miriam" w:hint="eastAsia"/>
          <w:b/>
          <w:spacing w:val="0"/>
          <w:sz w:val="22"/>
          <w:szCs w:val="24"/>
          <w:rtl/>
        </w:rPr>
        <w:t>ישיבה</w:t>
      </w:r>
      <w:r w:rsidRPr="005F3F2B">
        <w:rPr>
          <w:rFonts w:ascii="Century" w:hAnsi="Century" w:cs="Miriam"/>
          <w:b/>
          <w:spacing w:val="0"/>
          <w:sz w:val="22"/>
          <w:szCs w:val="24"/>
          <w:rtl/>
        </w:rPr>
        <w:t xml:space="preserve"> 7</w:t>
      </w:r>
      <w:r>
        <w:rPr>
          <w:rFonts w:hint="cs"/>
          <w:rtl/>
        </w:rPr>
        <w:t>)). בחוות דעתה</w:t>
      </w:r>
      <w:r w:rsidRPr="005E3E54">
        <w:rPr>
          <w:rFonts w:hint="cs"/>
          <w:rtl/>
        </w:rPr>
        <w:t xml:space="preserve"> מיום 25.1.2023 </w:t>
      </w:r>
      <w:r>
        <w:rPr>
          <w:rFonts w:hint="cs"/>
          <w:rtl/>
        </w:rPr>
        <w:t xml:space="preserve">הבהירה עו"ד אפיק כי את מרבית המרכיבים בתכנית לשינוי מערכת המשפט ניתן לקדם כהצעת חוק יסוד מטעם הוועדה, אך </w:t>
      </w:r>
      <w:r w:rsidRPr="005E3E54">
        <w:rPr>
          <w:rFonts w:hint="cs"/>
          <w:rtl/>
        </w:rPr>
        <w:t>על הוועדה לקיים "דיון משמעותי על כלל הסוגיות והשלכותיהן".</w:t>
      </w:r>
      <w:r>
        <w:rPr>
          <w:rFonts w:hint="cs"/>
          <w:rtl/>
        </w:rPr>
        <w:t xml:space="preserve"> עם זאת, באשר לחקיקה בעניין מערך הייעוץ המשפטי לממשלה, קבעה עו"ד אפיק כי מדובר בסוגיה שנכון להסדירה בחקיקה רגילה ולא בחוק יסוד, וכי אין מקום לקדמה כהצעה מטעם הוועדה בהתחשב בכך שמדובר בעניין מובהק הנוגע להתנהלות הממשלה.</w:t>
      </w:r>
      <w:r w:rsidRPr="005E3E54">
        <w:rPr>
          <w:rFonts w:hint="cs"/>
          <w:rtl/>
        </w:rPr>
        <w:t xml:space="preserve"> </w:t>
      </w:r>
      <w:r>
        <w:rPr>
          <w:rFonts w:hint="cs"/>
          <w:rtl/>
        </w:rPr>
        <w:t>לאחר מכן</w:t>
      </w:r>
      <w:r w:rsidRPr="005E3E54">
        <w:rPr>
          <w:rFonts w:hint="cs"/>
          <w:rtl/>
        </w:rPr>
        <w:t xml:space="preserve">, </w:t>
      </w:r>
      <w:r>
        <w:rPr>
          <w:rFonts w:hint="cs"/>
          <w:rtl/>
        </w:rPr>
        <w:t>נפסק הדיון בוועדה בהצעת התיקון הנוגעת למערך הייעוץ המשפטי לממשלה.</w:t>
      </w:r>
    </w:p>
    <w:p w:rsidR="00C044AE" w:rsidRDefault="00C044AE" w:rsidP="00C044AE">
      <w:pPr>
        <w:pStyle w:val="Ruller4"/>
        <w:numPr>
          <w:ilvl w:val="0"/>
          <w:numId w:val="0"/>
        </w:numPr>
        <w:rPr>
          <w:rFonts w:ascii="FrankRuehl" w:hAnsi="FrankRuehl"/>
          <w:color w:val="000000" w:themeColor="text1"/>
          <w:rtl/>
        </w:rPr>
      </w:pPr>
    </w:p>
    <w:p w:rsidR="00C044AE" w:rsidRPr="00AB6725" w:rsidRDefault="00C044AE" w:rsidP="00C044AE">
      <w:pPr>
        <w:pStyle w:val="Ruller4"/>
        <w:rPr>
          <w:rtl/>
        </w:rPr>
      </w:pPr>
      <w:r>
        <w:rPr>
          <w:rFonts w:hint="cs"/>
          <w:rtl/>
        </w:rPr>
        <w:t>ביני לביני, ב</w:t>
      </w:r>
      <w:r w:rsidRPr="00AB6725">
        <w:rPr>
          <w:rFonts w:hint="cs"/>
          <w:rtl/>
        </w:rPr>
        <w:t>יום 17.1.2023, הגיש ח</w:t>
      </w:r>
      <w:r w:rsidRPr="00AB6725">
        <w:rPr>
          <w:rtl/>
        </w:rPr>
        <w:t>"</w:t>
      </w:r>
      <w:r w:rsidRPr="00AB6725">
        <w:rPr>
          <w:rFonts w:hint="cs"/>
          <w:rtl/>
        </w:rPr>
        <w:t xml:space="preserve">כ רוטמן מטעם הוועדה </w:t>
      </w:r>
      <w:r>
        <w:rPr>
          <w:rFonts w:hint="cs"/>
          <w:rtl/>
        </w:rPr>
        <w:t xml:space="preserve">את </w:t>
      </w:r>
      <w:r w:rsidRPr="00AB6725">
        <w:rPr>
          <w:rFonts w:hint="cs"/>
          <w:rtl/>
        </w:rPr>
        <w:t xml:space="preserve">הצעת חוק-יסוד: השפיטה (תיקון </w:t>
      </w:r>
      <w:r w:rsidRPr="00AB6725">
        <w:rPr>
          <w:rtl/>
        </w:rPr>
        <w:t>–</w:t>
      </w:r>
      <w:r w:rsidRPr="00AB6725">
        <w:rPr>
          <w:rFonts w:hint="cs"/>
          <w:rtl/>
        </w:rPr>
        <w:t xml:space="preserve"> חיזוק הפרדת הרשויות) (להלן: </w:t>
      </w:r>
      <w:r w:rsidRPr="00AB6725">
        <w:rPr>
          <w:rFonts w:ascii="Miriam" w:hAnsi="Miriam" w:cs="Miriam" w:hint="cs"/>
          <w:spacing w:val="0"/>
          <w:szCs w:val="24"/>
          <w:rtl/>
        </w:rPr>
        <w:t xml:space="preserve">הצעת חוק-יסוד </w:t>
      </w:r>
      <w:r w:rsidRPr="00AB6725">
        <w:rPr>
          <w:rFonts w:ascii="Miriam" w:hAnsi="Miriam" w:cs="Miriam"/>
          <w:spacing w:val="0"/>
          <w:szCs w:val="24"/>
          <w:rtl/>
        </w:rPr>
        <w:t>–</w:t>
      </w:r>
      <w:r w:rsidRPr="00AB6725">
        <w:rPr>
          <w:rFonts w:ascii="Miriam" w:hAnsi="Miriam" w:cs="Miriam" w:hint="cs"/>
          <w:spacing w:val="0"/>
          <w:szCs w:val="24"/>
          <w:rtl/>
        </w:rPr>
        <w:t xml:space="preserve"> חיזוק הפרדת הרשויות</w:t>
      </w:r>
      <w:r>
        <w:rPr>
          <w:rFonts w:hint="cs"/>
          <w:rtl/>
        </w:rPr>
        <w:t>). ההצעה כללה סעיפים הנוגעים לשינוי הרכב הוועדה לבחירת שופטים ולהגבלת הביקורת השיפוטית על חוקי יסוד וחוקים. סעיף 2 להצעה התייחס לעילת הסבירות, ובו הוצע להוסיף לחוק היסוד את ההוראה הבאה:</w:t>
      </w:r>
    </w:p>
    <w:p w:rsidR="00C044AE" w:rsidRDefault="00C044AE" w:rsidP="00C044AE">
      <w:pPr>
        <w:pStyle w:val="Ruller41"/>
        <w:rPr>
          <w:rtl/>
        </w:rPr>
      </w:pPr>
    </w:p>
    <w:p w:rsidR="00C044AE" w:rsidRDefault="00C044AE" w:rsidP="00C044AE">
      <w:pPr>
        <w:pStyle w:val="Ruller5"/>
        <w:rPr>
          <w:rtl/>
        </w:rPr>
      </w:pPr>
      <w:r>
        <w:rPr>
          <w:rFonts w:hint="cs"/>
          <w:rtl/>
        </w:rPr>
        <w:t>"</w:t>
      </w:r>
      <w:r>
        <w:rPr>
          <w:rtl/>
        </w:rPr>
        <w:t xml:space="preserve">על אף האמור בחוק יסוד זה, מי שבידו סמכות שפיטה על פי דין, לרבות בית המשפט העליון, לא ידון ולא ייתן </w:t>
      </w:r>
      <w:r>
        <w:rPr>
          <w:rtl/>
        </w:rPr>
        <w:lastRenderedPageBreak/>
        <w:t>צו נגד הממשלה, ראש הממשלה, שר משריה או נבחר ציבור אחר כפי שייקבע בחוק, בעניין סבירות החלטתם</w:t>
      </w:r>
      <w:r>
        <w:rPr>
          <w:rFonts w:hint="cs"/>
          <w:rtl/>
        </w:rPr>
        <w:t>".</w:t>
      </w:r>
    </w:p>
    <w:p w:rsidR="00C044AE" w:rsidRDefault="00C044AE" w:rsidP="00C044AE">
      <w:pPr>
        <w:pStyle w:val="Ruller41"/>
        <w:rPr>
          <w:rtl/>
        </w:rPr>
      </w:pPr>
    </w:p>
    <w:p w:rsidR="00C044AE" w:rsidRDefault="00C044AE" w:rsidP="00C044AE">
      <w:pPr>
        <w:pStyle w:val="Ruller4"/>
        <w:rPr>
          <w:rtl/>
        </w:rPr>
      </w:pPr>
      <w:r>
        <w:rPr>
          <w:rFonts w:hint="cs"/>
          <w:rtl/>
        </w:rPr>
        <w:t>בדיון שהתקיים בוועדה ביום 22.1.2023, הציג ח</w:t>
      </w:r>
      <w:r>
        <w:rPr>
          <w:rtl/>
        </w:rPr>
        <w:t>"</w:t>
      </w:r>
      <w:r>
        <w:rPr>
          <w:rFonts w:hint="cs"/>
          <w:rtl/>
        </w:rPr>
        <w:t xml:space="preserve">כ רוטמן את הצעת החוק וציין כי בשונה מהנוסח שהתפרסם על ידי שר המשפטים, הצעתו בנוגע לעילת הסבירות מתמקדת רק בביקורת שיפוטית על סבירות החלטות </w:t>
      </w:r>
      <w:r w:rsidRPr="005E3E54">
        <w:rPr>
          <w:rFonts w:ascii="Miriam" w:hAnsi="Miriam" w:cs="Miriam" w:hint="cs"/>
          <w:spacing w:val="0"/>
          <w:szCs w:val="24"/>
          <w:rtl/>
        </w:rPr>
        <w:t>נבחרי הציבור</w:t>
      </w:r>
      <w:r>
        <w:rPr>
          <w:rFonts w:hint="cs"/>
          <w:rtl/>
        </w:rPr>
        <w:t xml:space="preserve">, היוצרת "בעיה דמוקרטית", כפי, שלדבריו, אף צוין במאמריו של השופט </w:t>
      </w:r>
      <w:r w:rsidRPr="005E3E54">
        <w:rPr>
          <w:rFonts w:ascii="Miriam" w:hAnsi="Miriam" w:cs="Miriam" w:hint="cs"/>
          <w:spacing w:val="0"/>
          <w:szCs w:val="24"/>
          <w:rtl/>
        </w:rPr>
        <w:t>סולברג</w:t>
      </w:r>
      <w:r>
        <w:rPr>
          <w:rFonts w:ascii="FrankRuehl" w:hAnsi="FrankRuehl" w:hint="cs"/>
          <w:rtl/>
        </w:rPr>
        <w:t xml:space="preserve"> (פרוטוקול ישיבה 13 של ועדת החוקה, הכנסת ה-25, 7 (22.1.2023))</w:t>
      </w:r>
      <w:r w:rsidRPr="005E3E54">
        <w:rPr>
          <w:rFonts w:ascii="FrankRuehl" w:hAnsi="FrankRuehl" w:hint="cs"/>
          <w:rtl/>
        </w:rPr>
        <w:t xml:space="preserve">. </w:t>
      </w:r>
      <w:r>
        <w:rPr>
          <w:rFonts w:hint="cs"/>
          <w:rtl/>
        </w:rPr>
        <w:t xml:space="preserve">בהמשך התקיימו שורה של דיונים נוספים בוועדה, ובעקבותיהם ההצבעה על הצעת חוק-יסוד </w:t>
      </w:r>
      <w:r>
        <w:rPr>
          <w:rtl/>
        </w:rPr>
        <w:t>–</w:t>
      </w:r>
      <w:r>
        <w:rPr>
          <w:rFonts w:hint="cs"/>
          <w:rtl/>
        </w:rPr>
        <w:t xml:space="preserve"> חיזוק הפרדת רשויות התקיימה אך ביחס לרכיבי ההצעה העוסקים בשינוי הרכב הוועדה לבחירת שופטים והגבלת הביקורת השיפוטית על חוקי יסוד וחוקים. רכיבים אלה בהצעה אושרו בקריאה ראשונה על ידי המליאה בימים 20.2.2023 ו-13.3.2023. ביום 27.3.2023 אף אושרה בוועדת החוקה לקריאה שנייה ושלישית הצעה לשינוי הרכב הוועדה לבחירת שופטים, באופן המבטיח רוב בוועדה זו לנציגי הממשלה והקואליציה. עם זאת, על רקע המחאה הציבורית רחבת ההיקף נגד התכנית לשינוי מערכת המשפט, הודיע ראש הממשלה באותו היום על השהיית קידום התכנית לצורך משא ומתן בנושא עם נציגי האופוזיציה. </w:t>
      </w:r>
    </w:p>
    <w:p w:rsidR="00C044AE" w:rsidRPr="005E3E54" w:rsidRDefault="00C044AE" w:rsidP="00C044AE">
      <w:pPr>
        <w:pStyle w:val="Ruller41"/>
        <w:rPr>
          <w:rtl/>
        </w:rPr>
      </w:pPr>
    </w:p>
    <w:p w:rsidR="00C044AE" w:rsidRDefault="00C044AE" w:rsidP="00C044AE">
      <w:pPr>
        <w:pStyle w:val="Ruller4"/>
        <w:rPr>
          <w:rtl/>
        </w:rPr>
      </w:pPr>
      <w:r>
        <w:rPr>
          <w:rFonts w:hint="cs"/>
          <w:rtl/>
        </w:rPr>
        <w:t xml:space="preserve">בחלוף מספר חודשים, ומשלא הושגו הסכמות בין הקואליציה לאופוזיציה, התחדשו ביום 20.6.2023 הליכי החקיקה לשינוי מערכת המשפט וח"כ רוטמן הניח באותו שלב על שולחן הוועדה את התיקון נושא העתירות דנן תחת הכותרת "הצעת חוק-יסוד: השפיטה (תיקון </w:t>
      </w:r>
      <w:r>
        <w:rPr>
          <w:rtl/>
        </w:rPr>
        <w:t>–</w:t>
      </w:r>
      <w:r>
        <w:rPr>
          <w:rFonts w:hint="cs"/>
          <w:rtl/>
        </w:rPr>
        <w:t xml:space="preserve"> עילת הסבירות)" (להלן: </w:t>
      </w:r>
      <w:r w:rsidRPr="005C7838">
        <w:rPr>
          <w:rFonts w:ascii="Miriam" w:hAnsi="Miriam" w:cs="Miriam" w:hint="cs"/>
          <w:spacing w:val="0"/>
          <w:szCs w:val="24"/>
          <w:rtl/>
        </w:rPr>
        <w:t>הצעת התיקון</w:t>
      </w:r>
      <w:r>
        <w:rPr>
          <w:rFonts w:hint="cs"/>
          <w:rtl/>
        </w:rPr>
        <w:t xml:space="preserve">). ההצעה החדשה קודמה כהצעת חוק מטעם הוועדה ונוסחה היה זהה לסעיף הנוגע לעילת הסבירות שנכלל בהצעת חוק-יסוד </w:t>
      </w:r>
      <w:r>
        <w:rPr>
          <w:rtl/>
        </w:rPr>
        <w:t>–</w:t>
      </w:r>
      <w:r>
        <w:rPr>
          <w:rFonts w:hint="cs"/>
          <w:rtl/>
        </w:rPr>
        <w:t xml:space="preserve"> חיזוק הפרדת הרשויות. </w:t>
      </w:r>
    </w:p>
    <w:p w:rsidR="00C044AE" w:rsidRPr="005C7838" w:rsidRDefault="00C044AE" w:rsidP="00C044AE">
      <w:pPr>
        <w:pStyle w:val="Ruller41"/>
      </w:pPr>
    </w:p>
    <w:p w:rsidR="00C044AE" w:rsidRDefault="00C044AE" w:rsidP="00C044AE">
      <w:pPr>
        <w:pStyle w:val="Ruller4"/>
        <w:rPr>
          <w:rtl/>
        </w:rPr>
      </w:pPr>
      <w:r>
        <w:rPr>
          <w:rFonts w:hint="cs"/>
          <w:rtl/>
        </w:rPr>
        <w:t xml:space="preserve">ביום 23.6.2023, לקראת הדיון בהצעת התיקון, פרסם הייעוץ המשפטי לוועדה מסמך הכנה (להלן: </w:t>
      </w:r>
      <w:r w:rsidRPr="00480151">
        <w:rPr>
          <w:rFonts w:ascii="Century" w:hAnsi="Century" w:cs="Miriam" w:hint="cs"/>
          <w:b/>
          <w:spacing w:val="0"/>
          <w:sz w:val="22"/>
          <w:szCs w:val="24"/>
          <w:rtl/>
        </w:rPr>
        <w:t>מסמך ההכנה מיום 23.6.2023</w:t>
      </w:r>
      <w:r>
        <w:rPr>
          <w:rFonts w:hint="cs"/>
          <w:rtl/>
        </w:rPr>
        <w:t>). במסמך צוין כי ההצעה מבטלת לחלוטין את עילת הסבירות ביחס לדרג הנבחר, לרבות עילת הסבירות במובן של "</w:t>
      </w:r>
      <w:r w:rsidRPr="004B1671">
        <w:rPr>
          <w:rtl/>
        </w:rPr>
        <w:t>מופרכוּת</w:t>
      </w:r>
      <w:r>
        <w:rPr>
          <w:rFonts w:hint="cs"/>
          <w:rtl/>
        </w:rPr>
        <w:t xml:space="preserve">", שהייתה קיימת לפני עניין </w:t>
      </w:r>
      <w:r w:rsidRPr="00F87FA3">
        <w:rPr>
          <w:rFonts w:ascii="Century" w:hAnsi="Century" w:cs="Miriam" w:hint="cs"/>
          <w:b/>
          <w:spacing w:val="0"/>
          <w:sz w:val="22"/>
          <w:szCs w:val="24"/>
          <w:rtl/>
        </w:rPr>
        <w:t>דפי זהב</w:t>
      </w:r>
      <w:r>
        <w:rPr>
          <w:rFonts w:hint="cs"/>
          <w:rtl/>
        </w:rPr>
        <w:t>. בהקשר זה נסקרו במסמך ההכנה היבטים מוקשים שונים של ההצעה, לרבות החשש מיצירתם של "חורים שחורים" בתחומים שבהם עיקר הביקורת השיפוטית מתבססת על עילת הסבירות. עוד צוין במסמך האמור כי יש לשקול האם ההבחנה הגורפת בין דרג נבחר ובין דרג מקצועי היא ראויה, בהתחשב בכך שהחלטות רבות של הדרג הנבחר הן החלטות ספציפיות הנוגעות לעניינו של הפרט; והוצע לבחון מודל חלופי לפיו עילת הסבירות תבוטל רק ביחס לסוג מסוים של החלטות.</w:t>
      </w:r>
    </w:p>
    <w:p w:rsidR="00C044AE" w:rsidRDefault="00C044AE" w:rsidP="00C044AE">
      <w:pPr>
        <w:pStyle w:val="Ruller41"/>
        <w:rPr>
          <w:rtl/>
        </w:rPr>
      </w:pPr>
    </w:p>
    <w:p w:rsidR="00C044AE" w:rsidRDefault="00C044AE" w:rsidP="00C044AE">
      <w:pPr>
        <w:pStyle w:val="Ruller4"/>
        <w:rPr>
          <w:rtl/>
        </w:rPr>
      </w:pPr>
      <w:r>
        <w:rPr>
          <w:rFonts w:hint="cs"/>
          <w:rtl/>
        </w:rPr>
        <w:lastRenderedPageBreak/>
        <w:t>החל מיום 25.6.2023 ובמשך עשרה ימים קיימה הוועדה חמישה דיונים בהצעת התיקון ובהכנתה לקריאה ראשונה. במהלך הדיונים ח"כ רוטמן דחה הצעות שהועלו לצמצם את היקפה של עילת הסבירות במקום לבטלה כליל ביחס לדרג הנבחר, למשל על ידי הותרת עילה מצומצמת של חוסר סבירות קיצונית. ח"כ רוטמן הסביר כי "[...]</w:t>
      </w:r>
      <w:r>
        <w:rPr>
          <w:rtl/>
        </w:rPr>
        <w:t xml:space="preserve"> יש בעיה מובנית, והבעיה המובנית היא כזאת: </w:t>
      </w:r>
      <w:r>
        <w:rPr>
          <w:rFonts w:hint="cs"/>
          <w:rtl/>
        </w:rPr>
        <w:t>[...]</w:t>
      </w:r>
      <w:r>
        <w:rPr>
          <w:rtl/>
        </w:rPr>
        <w:t xml:space="preserve"> אין דרך למתוח את הקו בין אי-סבירות קיצונית לאי-סבירות לא קיצונית. אין דרך לעשות את זה</w:t>
      </w:r>
      <w:r>
        <w:rPr>
          <w:rFonts w:hint="cs"/>
          <w:rtl/>
        </w:rPr>
        <w:t>" (</w:t>
      </w:r>
      <w:r>
        <w:rPr>
          <w:rFonts w:ascii="FrankRuehl" w:hAnsi="FrankRuehl"/>
          <w:color w:val="000000"/>
          <w:sz w:val="28"/>
          <w:rtl/>
        </w:rPr>
        <w:t xml:space="preserve">פרוטוקול ישיבה </w:t>
      </w:r>
      <w:r>
        <w:rPr>
          <w:rFonts w:ascii="FrankRuehl" w:hAnsi="FrankRuehl" w:hint="cs"/>
          <w:color w:val="000000"/>
          <w:sz w:val="28"/>
          <w:rtl/>
        </w:rPr>
        <w:t>105</w:t>
      </w:r>
      <w:r>
        <w:rPr>
          <w:rFonts w:ascii="FrankRuehl" w:hAnsi="FrankRuehl"/>
          <w:color w:val="000000"/>
          <w:sz w:val="28"/>
          <w:rtl/>
        </w:rPr>
        <w:t xml:space="preserve"> של </w:t>
      </w:r>
      <w:r>
        <w:rPr>
          <w:rFonts w:ascii="FrankRuehl" w:hAnsi="FrankRuehl" w:hint="cs"/>
          <w:color w:val="000000"/>
          <w:sz w:val="28"/>
          <w:rtl/>
        </w:rPr>
        <w:t>ועדת החוקה</w:t>
      </w:r>
      <w:r>
        <w:rPr>
          <w:rFonts w:ascii="FrankRuehl" w:hAnsi="FrankRuehl"/>
          <w:color w:val="000000"/>
          <w:sz w:val="28"/>
          <w:rtl/>
        </w:rPr>
        <w:t>, הכנסת ה-</w:t>
      </w:r>
      <w:r>
        <w:rPr>
          <w:rFonts w:ascii="FrankRuehl" w:hAnsi="FrankRuehl" w:hint="cs"/>
          <w:color w:val="000000"/>
          <w:sz w:val="28"/>
          <w:rtl/>
        </w:rPr>
        <w:t>25</w:t>
      </w:r>
      <w:r>
        <w:rPr>
          <w:rFonts w:ascii="FrankRuehl" w:hAnsi="FrankRuehl"/>
          <w:color w:val="000000"/>
          <w:sz w:val="28"/>
          <w:rtl/>
        </w:rPr>
        <w:t xml:space="preserve">, </w:t>
      </w:r>
      <w:r>
        <w:rPr>
          <w:rFonts w:ascii="FrankRuehl" w:hAnsi="FrankRuehl" w:hint="cs"/>
          <w:color w:val="000000"/>
          <w:sz w:val="28"/>
          <w:rtl/>
        </w:rPr>
        <w:t>113</w:t>
      </w:r>
      <w:r>
        <w:rPr>
          <w:rFonts w:ascii="FrankRuehl" w:hAnsi="FrankRuehl"/>
          <w:color w:val="000000"/>
          <w:sz w:val="28"/>
        </w:rPr>
        <w:t>(25.6.2023) </w:t>
      </w:r>
      <w:r>
        <w:rPr>
          <w:rFonts w:hint="cs"/>
          <w:rtl/>
        </w:rPr>
        <w:t xml:space="preserve"> (להלן: </w:t>
      </w:r>
      <w:r w:rsidRPr="00E4449E">
        <w:rPr>
          <w:rFonts w:ascii="Century" w:hAnsi="Century" w:cs="Miriam" w:hint="cs"/>
          <w:b/>
          <w:spacing w:val="0"/>
          <w:sz w:val="22"/>
          <w:szCs w:val="24"/>
          <w:rtl/>
        </w:rPr>
        <w:t>פרוטוקול ישיב</w:t>
      </w:r>
      <w:r>
        <w:rPr>
          <w:rFonts w:ascii="Century" w:hAnsi="Century" w:cs="Miriam" w:hint="cs"/>
          <w:b/>
          <w:spacing w:val="0"/>
          <w:sz w:val="22"/>
          <w:szCs w:val="24"/>
          <w:rtl/>
        </w:rPr>
        <w:t>ה</w:t>
      </w:r>
      <w:r w:rsidRPr="00E4449E">
        <w:rPr>
          <w:rFonts w:ascii="Century" w:hAnsi="Century" w:cs="Miriam" w:hint="cs"/>
          <w:b/>
          <w:spacing w:val="0"/>
          <w:sz w:val="22"/>
          <w:szCs w:val="24"/>
          <w:rtl/>
        </w:rPr>
        <w:t xml:space="preserve"> 105</w:t>
      </w:r>
      <w:r>
        <w:rPr>
          <w:rFonts w:hint="cs"/>
          <w:rtl/>
        </w:rPr>
        <w:t>)). עוד הסביר ח"כ רוטמן כי הצעת התיקון אינה מאיינת את האפשרות לקיים ביקורת שיפוטית מכוח עילות אחרות כמו חריגה מסמכות, פגיעה בזכויות ושיקולים זרים.</w:t>
      </w:r>
    </w:p>
    <w:p w:rsidR="00C044AE" w:rsidRDefault="00C044AE" w:rsidP="00C044AE">
      <w:pPr>
        <w:pStyle w:val="Ruller4"/>
        <w:numPr>
          <w:ilvl w:val="0"/>
          <w:numId w:val="0"/>
        </w:numPr>
        <w:rPr>
          <w:rtl/>
        </w:rPr>
      </w:pPr>
    </w:p>
    <w:p w:rsidR="00C044AE" w:rsidRDefault="00C044AE" w:rsidP="00C044AE">
      <w:pPr>
        <w:pStyle w:val="Ruller41"/>
        <w:rPr>
          <w:rtl/>
        </w:rPr>
      </w:pPr>
      <w:r>
        <w:rPr>
          <w:rtl/>
        </w:rPr>
        <w:tab/>
      </w:r>
      <w:r>
        <w:rPr>
          <w:rFonts w:ascii="FrankRuehl" w:hAnsi="FrankRuehl" w:hint="cs"/>
          <w:color w:val="000000" w:themeColor="text1"/>
          <w:rtl/>
        </w:rPr>
        <w:t xml:space="preserve">היועץ המשפטי לוועדה, עו"ד גור בליי (להלן: </w:t>
      </w:r>
      <w:r>
        <w:rPr>
          <w:rFonts w:ascii="Miriam" w:hAnsi="Miriam" w:cs="Miriam" w:hint="cs"/>
          <w:color w:val="000000" w:themeColor="text1"/>
          <w:spacing w:val="0"/>
          <w:szCs w:val="24"/>
          <w:rtl/>
        </w:rPr>
        <w:t>עו"ד בליי</w:t>
      </w:r>
      <w:r>
        <w:rPr>
          <w:rFonts w:ascii="FrankRuehl" w:hAnsi="FrankRuehl" w:hint="cs"/>
          <w:color w:val="000000" w:themeColor="text1"/>
          <w:rtl/>
        </w:rPr>
        <w:t xml:space="preserve">), </w:t>
      </w:r>
      <w:r>
        <w:rPr>
          <w:rFonts w:hint="cs"/>
          <w:rtl/>
        </w:rPr>
        <w:t>ציין כי הצעת התיקון היא הצעה חריגה שאינה מעגנת בחקיקה את כללי המשפט המינהלי, אלא אך שוללת את הביקורת השיפוטית מכוח עילת הסבירות בכל הנוגע לדרג הנבחר. עו"ד בליי הדגיש כי יש מקרים שבהם לא ניתן לאתר שיקול זר או זכות שנפגעת ובהם עילת הסבירות מהווה למעשה המענה היחיד לפגיעה באזרח, ובלעדיה עלול להיווצר "ואקום של פיקוח שיפוטי" (</w:t>
      </w:r>
      <w:r w:rsidRPr="00EC475E">
        <w:rPr>
          <w:rFonts w:ascii="Miriam" w:hAnsi="Miriam" w:cs="Miriam" w:hint="eastAsia"/>
          <w:color w:val="000000" w:themeColor="text1"/>
          <w:spacing w:val="0"/>
          <w:szCs w:val="24"/>
          <w:rtl/>
        </w:rPr>
        <w:t>שם</w:t>
      </w:r>
      <w:r>
        <w:rPr>
          <w:rFonts w:hint="cs"/>
          <w:rtl/>
        </w:rPr>
        <w:t>, בעמ' 115). בהקשר זה התייחס עו"ד בליי להחלטות פרטניות רבות שמשליכות על האינטרסים של הפרט, לרבות קבלת היתר, זיכיון או רישיון מהממשלה. עוד ציין עו"ד בליי כי גם בקרב מבקריה של עילת הסבירות הדעה הרווחת היא שיש לצמצמה ולא לבטלה, וכי צמצום זה מקומו בפסיקה ולא בחקיקה, תוך הותרת גמישות לבית המשפט.</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 xml:space="preserve">המשנה ליועצת המשפטית לממשלה (משפט ציבורי-מינהלי), עו"ד גיל לימון </w:t>
      </w:r>
      <w:r>
        <w:rPr>
          <w:rtl/>
        </w:rPr>
        <w:t>(</w:t>
      </w:r>
      <w:r>
        <w:rPr>
          <w:rFonts w:hint="eastAsia"/>
          <w:rtl/>
        </w:rPr>
        <w:t>להלן</w:t>
      </w:r>
      <w:r>
        <w:rPr>
          <w:rtl/>
        </w:rPr>
        <w:t xml:space="preserve">: </w:t>
      </w:r>
      <w:r>
        <w:rPr>
          <w:rFonts w:ascii="Century" w:hAnsi="Century" w:cs="Miriam" w:hint="cs"/>
          <w:b/>
          <w:spacing w:val="0"/>
          <w:sz w:val="22"/>
          <w:szCs w:val="24"/>
          <w:rtl/>
        </w:rPr>
        <w:t>עו"ד לימון</w:t>
      </w:r>
      <w:r>
        <w:rPr>
          <w:rFonts w:ascii="Century" w:hAnsi="Century" w:hint="cs"/>
          <w:sz w:val="22"/>
          <w:rtl/>
        </w:rPr>
        <w:t>)</w:t>
      </w:r>
      <w:r>
        <w:rPr>
          <w:rFonts w:hint="cs"/>
          <w:rtl/>
        </w:rPr>
        <w:t xml:space="preserve">, הביע בוועדה את התנגדות היועצת להצעה. עו"ד לימון ציין כי </w:t>
      </w:r>
      <w:r w:rsidRPr="00B4415B">
        <w:rPr>
          <w:rFonts w:hint="eastAsia"/>
          <w:rtl/>
        </w:rPr>
        <w:t>חובתו</w:t>
      </w:r>
      <w:r w:rsidRPr="00B4415B">
        <w:rPr>
          <w:rtl/>
        </w:rPr>
        <w:t xml:space="preserve"> </w:t>
      </w:r>
      <w:r w:rsidRPr="00B4415B">
        <w:rPr>
          <w:rFonts w:hint="eastAsia"/>
          <w:rtl/>
        </w:rPr>
        <w:t>של</w:t>
      </w:r>
      <w:r w:rsidRPr="00B4415B">
        <w:rPr>
          <w:rtl/>
        </w:rPr>
        <w:t xml:space="preserve"> </w:t>
      </w:r>
      <w:r w:rsidRPr="00B4415B">
        <w:rPr>
          <w:rFonts w:hint="eastAsia"/>
          <w:rtl/>
        </w:rPr>
        <w:t>השלטו</w:t>
      </w:r>
      <w:r>
        <w:rPr>
          <w:rFonts w:hint="cs"/>
          <w:rtl/>
        </w:rPr>
        <w:t>ן לנהוג</w:t>
      </w:r>
      <w:r w:rsidRPr="00B4415B">
        <w:rPr>
          <w:rtl/>
        </w:rPr>
        <w:t xml:space="preserve"> </w:t>
      </w:r>
      <w:r w:rsidRPr="00B4415B">
        <w:rPr>
          <w:rFonts w:hint="eastAsia"/>
          <w:rtl/>
        </w:rPr>
        <w:t>בסבירות</w:t>
      </w:r>
      <w:r w:rsidRPr="00B4415B">
        <w:rPr>
          <w:rtl/>
        </w:rPr>
        <w:t xml:space="preserve"> </w:t>
      </w:r>
      <w:r w:rsidRPr="00B4415B">
        <w:rPr>
          <w:rFonts w:hint="eastAsia"/>
          <w:rtl/>
        </w:rPr>
        <w:t>היא</w:t>
      </w:r>
      <w:r w:rsidRPr="00B4415B">
        <w:rPr>
          <w:rtl/>
        </w:rPr>
        <w:t xml:space="preserve"> </w:t>
      </w:r>
      <w:r w:rsidRPr="00B4415B">
        <w:rPr>
          <w:rFonts w:hint="eastAsia"/>
          <w:rtl/>
        </w:rPr>
        <w:t>ערובה</w:t>
      </w:r>
      <w:r w:rsidRPr="00B4415B">
        <w:rPr>
          <w:rtl/>
        </w:rPr>
        <w:t xml:space="preserve"> </w:t>
      </w:r>
      <w:r w:rsidRPr="00B4415B">
        <w:rPr>
          <w:rFonts w:hint="eastAsia"/>
          <w:rtl/>
        </w:rPr>
        <w:t>חשובה</w:t>
      </w:r>
      <w:r w:rsidRPr="00B4415B">
        <w:rPr>
          <w:rtl/>
        </w:rPr>
        <w:t xml:space="preserve"> </w:t>
      </w:r>
      <w:r w:rsidRPr="00B4415B">
        <w:rPr>
          <w:rFonts w:hint="eastAsia"/>
          <w:rtl/>
        </w:rPr>
        <w:t>למימוש</w:t>
      </w:r>
      <w:r w:rsidRPr="00B4415B">
        <w:rPr>
          <w:rtl/>
        </w:rPr>
        <w:t xml:space="preserve"> </w:t>
      </w:r>
      <w:r>
        <w:rPr>
          <w:rFonts w:hint="cs"/>
          <w:rtl/>
        </w:rPr>
        <w:t>ה</w:t>
      </w:r>
      <w:r w:rsidRPr="00B4415B">
        <w:rPr>
          <w:rFonts w:hint="eastAsia"/>
          <w:rtl/>
        </w:rPr>
        <w:t>ערכים</w:t>
      </w:r>
      <w:r w:rsidRPr="00B4415B">
        <w:rPr>
          <w:rtl/>
        </w:rPr>
        <w:t xml:space="preserve"> </w:t>
      </w:r>
      <w:r>
        <w:rPr>
          <w:rFonts w:hint="cs"/>
          <w:rtl/>
        </w:rPr>
        <w:t>ה</w:t>
      </w:r>
      <w:r w:rsidRPr="00B4415B">
        <w:rPr>
          <w:rFonts w:hint="eastAsia"/>
          <w:rtl/>
        </w:rPr>
        <w:t>דמוקרטיים</w:t>
      </w:r>
      <w:r>
        <w:rPr>
          <w:rFonts w:hint="cs"/>
          <w:rtl/>
        </w:rPr>
        <w:t xml:space="preserve"> של המדינה וכי ההצעה פוטרת בפועל את הדרג הנבחר מחובה זו ועל כן היא </w:t>
      </w:r>
      <w:r w:rsidRPr="00B4415B">
        <w:rPr>
          <w:rFonts w:hint="eastAsia"/>
          <w:rtl/>
        </w:rPr>
        <w:t>פוגעת</w:t>
      </w:r>
      <w:r w:rsidRPr="00B4415B">
        <w:rPr>
          <w:rtl/>
        </w:rPr>
        <w:t xml:space="preserve"> </w:t>
      </w:r>
      <w:r w:rsidRPr="00B4415B">
        <w:rPr>
          <w:rFonts w:hint="eastAsia"/>
          <w:rtl/>
        </w:rPr>
        <w:t>קשות</w:t>
      </w:r>
      <w:r w:rsidRPr="00B4415B">
        <w:rPr>
          <w:rtl/>
        </w:rPr>
        <w:t xml:space="preserve"> </w:t>
      </w:r>
      <w:r w:rsidRPr="00B4415B">
        <w:rPr>
          <w:rFonts w:hint="eastAsia"/>
          <w:rtl/>
        </w:rPr>
        <w:t>בערכיה</w:t>
      </w:r>
      <w:r w:rsidRPr="00B4415B">
        <w:rPr>
          <w:rtl/>
        </w:rPr>
        <w:t xml:space="preserve"> </w:t>
      </w:r>
      <w:r w:rsidRPr="00B4415B">
        <w:rPr>
          <w:rFonts w:hint="eastAsia"/>
          <w:rtl/>
        </w:rPr>
        <w:t>הבסיסיים</w:t>
      </w:r>
      <w:r w:rsidRPr="00B4415B">
        <w:rPr>
          <w:rtl/>
        </w:rPr>
        <w:t xml:space="preserve"> </w:t>
      </w:r>
      <w:r w:rsidRPr="00B4415B">
        <w:rPr>
          <w:rFonts w:hint="eastAsia"/>
          <w:rtl/>
        </w:rPr>
        <w:t>של</w:t>
      </w:r>
      <w:r w:rsidRPr="00B4415B">
        <w:rPr>
          <w:rtl/>
        </w:rPr>
        <w:t xml:space="preserve"> </w:t>
      </w:r>
      <w:r w:rsidRPr="00B4415B">
        <w:rPr>
          <w:rFonts w:hint="eastAsia"/>
          <w:rtl/>
        </w:rPr>
        <w:t>הדמוקרטיה</w:t>
      </w:r>
      <w:r w:rsidRPr="00B4415B">
        <w:rPr>
          <w:rtl/>
        </w:rPr>
        <w:t xml:space="preserve"> </w:t>
      </w:r>
      <w:r w:rsidRPr="00B4415B">
        <w:rPr>
          <w:rFonts w:hint="eastAsia"/>
          <w:rtl/>
        </w:rPr>
        <w:t>הישראלית</w:t>
      </w:r>
      <w:r>
        <w:rPr>
          <w:rFonts w:hint="cs"/>
          <w:rtl/>
        </w:rPr>
        <w:t>.</w:t>
      </w:r>
      <w:r w:rsidRPr="00B4415B">
        <w:rPr>
          <w:rtl/>
        </w:rPr>
        <w:t xml:space="preserve"> </w:t>
      </w:r>
      <w:r>
        <w:rPr>
          <w:rFonts w:hint="cs"/>
          <w:rtl/>
        </w:rPr>
        <w:t>עו"ד לימון הוסיף ועמד על כך שההצעה תוביל ל"יצירת חור שחור נורמטיבי" והדגיש את הקושי הטמון ב"</w:t>
      </w:r>
      <w:r>
        <w:rPr>
          <w:rtl/>
        </w:rPr>
        <w:t>חסימה מוחלטת של ביקורת שיפוטית על החלטות בלתי סבירות, בהתבסס אך ורק על זהות מקבל ההחלטה, ביחס להחלטות החשובות ביותר שמתקבלות על-ידי הדרג הממשלתי הגבוה ביות</w:t>
      </w:r>
      <w:r>
        <w:rPr>
          <w:rFonts w:hint="cs"/>
          <w:rtl/>
        </w:rPr>
        <w:t>ר" (</w:t>
      </w:r>
      <w:r>
        <w:rPr>
          <w:rFonts w:ascii="FrankRuehl" w:hAnsi="FrankRuehl"/>
          <w:color w:val="000000"/>
          <w:sz w:val="28"/>
          <w:rtl/>
        </w:rPr>
        <w:t xml:space="preserve">פרוטוקול ישיבה </w:t>
      </w:r>
      <w:r>
        <w:rPr>
          <w:rFonts w:ascii="FrankRuehl" w:hAnsi="FrankRuehl" w:hint="cs"/>
          <w:color w:val="000000"/>
          <w:sz w:val="28"/>
          <w:rtl/>
        </w:rPr>
        <w:t>108</w:t>
      </w:r>
      <w:r>
        <w:rPr>
          <w:rFonts w:ascii="FrankRuehl" w:hAnsi="FrankRuehl"/>
          <w:color w:val="000000"/>
          <w:sz w:val="28"/>
          <w:rtl/>
        </w:rPr>
        <w:t xml:space="preserve"> של </w:t>
      </w:r>
      <w:r>
        <w:rPr>
          <w:rFonts w:ascii="FrankRuehl" w:hAnsi="FrankRuehl" w:hint="cs"/>
          <w:color w:val="000000"/>
          <w:sz w:val="28"/>
          <w:rtl/>
        </w:rPr>
        <w:t>ועדת החוקה</w:t>
      </w:r>
      <w:r>
        <w:rPr>
          <w:rFonts w:ascii="FrankRuehl" w:hAnsi="FrankRuehl"/>
          <w:color w:val="000000"/>
          <w:sz w:val="28"/>
          <w:rtl/>
        </w:rPr>
        <w:t>, הכנסת ה-</w:t>
      </w:r>
      <w:r>
        <w:rPr>
          <w:rFonts w:ascii="FrankRuehl" w:hAnsi="FrankRuehl" w:hint="cs"/>
          <w:color w:val="000000"/>
          <w:sz w:val="28"/>
          <w:rtl/>
        </w:rPr>
        <w:t>25</w:t>
      </w:r>
      <w:r>
        <w:rPr>
          <w:rFonts w:ascii="FrankRuehl" w:hAnsi="FrankRuehl"/>
          <w:color w:val="000000"/>
          <w:sz w:val="28"/>
          <w:rtl/>
        </w:rPr>
        <w:t xml:space="preserve">, </w:t>
      </w:r>
      <w:r>
        <w:rPr>
          <w:rFonts w:ascii="FrankRuehl" w:hAnsi="FrankRuehl" w:hint="cs"/>
          <w:color w:val="000000"/>
          <w:sz w:val="28"/>
          <w:rtl/>
        </w:rPr>
        <w:t>10</w:t>
      </w:r>
      <w:r>
        <w:rPr>
          <w:rFonts w:ascii="FrankRuehl" w:hAnsi="FrankRuehl"/>
          <w:color w:val="000000"/>
          <w:sz w:val="28"/>
        </w:rPr>
        <w:t>(26.6.2023) </w:t>
      </w:r>
      <w:r>
        <w:rPr>
          <w:rFonts w:hint="cs"/>
          <w:rtl/>
        </w:rPr>
        <w:t xml:space="preserve"> (להלן: </w:t>
      </w:r>
      <w:r w:rsidRPr="00EC475E">
        <w:rPr>
          <w:rFonts w:ascii="Century" w:hAnsi="Century" w:cs="Miriam" w:hint="eastAsia"/>
          <w:b/>
          <w:spacing w:val="0"/>
          <w:sz w:val="22"/>
          <w:szCs w:val="24"/>
          <w:rtl/>
        </w:rPr>
        <w:t>פרוטוקול</w:t>
      </w:r>
      <w:r w:rsidRPr="00EC475E">
        <w:rPr>
          <w:rFonts w:ascii="Century" w:hAnsi="Century" w:cs="Miriam"/>
          <w:b/>
          <w:spacing w:val="0"/>
          <w:sz w:val="22"/>
          <w:szCs w:val="24"/>
          <w:rtl/>
        </w:rPr>
        <w:t xml:space="preserve"> </w:t>
      </w:r>
      <w:r w:rsidRPr="00EC475E">
        <w:rPr>
          <w:rFonts w:ascii="Century" w:hAnsi="Century" w:cs="Miriam" w:hint="eastAsia"/>
          <w:b/>
          <w:spacing w:val="0"/>
          <w:sz w:val="22"/>
          <w:szCs w:val="24"/>
          <w:rtl/>
        </w:rPr>
        <w:t>ישיבה</w:t>
      </w:r>
      <w:r w:rsidRPr="00EC475E">
        <w:rPr>
          <w:rFonts w:ascii="Century" w:hAnsi="Century" w:cs="Miriam"/>
          <w:b/>
          <w:spacing w:val="0"/>
          <w:sz w:val="22"/>
          <w:szCs w:val="24"/>
          <w:rtl/>
        </w:rPr>
        <w:t xml:space="preserve"> 108</w:t>
      </w:r>
      <w:r>
        <w:rPr>
          <w:rFonts w:hint="cs"/>
          <w:rtl/>
        </w:rPr>
        <w:t xml:space="preserve">)). בהמשך לכך סקר עו"ד לימון את ההשפעות רחבות ההיקף של הצעת התיקון, בפרט בכל הנוגע לטוהר המידות במינויים לתפקידים ציבוריים; פעולות הממשלה בתקופת בחירות; ומצבים שבהם נבחרי ציבור נמנעים במכוון מהפעלת סמכותם. </w:t>
      </w:r>
    </w:p>
    <w:p w:rsidR="00C044AE" w:rsidRPr="00B371DF" w:rsidRDefault="00C044AE" w:rsidP="00C044AE">
      <w:pPr>
        <w:pStyle w:val="Ruller41"/>
      </w:pPr>
    </w:p>
    <w:p w:rsidR="00C044AE" w:rsidRDefault="00C044AE" w:rsidP="00C044AE">
      <w:pPr>
        <w:pStyle w:val="Ruller4"/>
        <w:rPr>
          <w:rtl/>
        </w:rPr>
      </w:pPr>
      <w:r>
        <w:rPr>
          <w:rFonts w:hint="cs"/>
          <w:rtl/>
        </w:rPr>
        <w:t>במהלך הכנת הצעת התיקון לקריאה ראשונה נשמעו בוועדה עמדותיהם של מומחים מהאקדמיה וגורמים נוספים מהחברה האזרחית. כך, למשל, הוצגה עמדתו של פרופ' יואב דותן שהדגיש כי חרף ביקורתו על עילת הסבירות, הצעת התיקון גורפת מאוד "בבחינת לשפוך את התינוק עם מי האמבט" (</w:t>
      </w:r>
      <w:r>
        <w:rPr>
          <w:rFonts w:ascii="FrankRuehl" w:hAnsi="FrankRuehl"/>
          <w:color w:val="000000"/>
          <w:sz w:val="28"/>
          <w:rtl/>
        </w:rPr>
        <w:t xml:space="preserve">פרוטוקול ישיבה </w:t>
      </w:r>
      <w:r>
        <w:rPr>
          <w:rFonts w:ascii="FrankRuehl" w:hAnsi="FrankRuehl" w:hint="cs"/>
          <w:color w:val="000000"/>
          <w:sz w:val="28"/>
          <w:rtl/>
        </w:rPr>
        <w:t>114</w:t>
      </w:r>
      <w:r>
        <w:rPr>
          <w:rFonts w:ascii="FrankRuehl" w:hAnsi="FrankRuehl"/>
          <w:color w:val="000000"/>
          <w:sz w:val="28"/>
          <w:rtl/>
        </w:rPr>
        <w:t xml:space="preserve"> של </w:t>
      </w:r>
      <w:r>
        <w:rPr>
          <w:rFonts w:ascii="FrankRuehl" w:hAnsi="FrankRuehl" w:hint="cs"/>
          <w:color w:val="000000"/>
          <w:sz w:val="28"/>
          <w:rtl/>
        </w:rPr>
        <w:t>ועדת החוקה</w:t>
      </w:r>
      <w:r>
        <w:rPr>
          <w:rFonts w:ascii="FrankRuehl" w:hAnsi="FrankRuehl"/>
          <w:color w:val="000000"/>
          <w:sz w:val="28"/>
          <w:rtl/>
        </w:rPr>
        <w:t>, הכנסת ה-</w:t>
      </w:r>
      <w:r>
        <w:rPr>
          <w:rFonts w:ascii="FrankRuehl" w:hAnsi="FrankRuehl" w:hint="cs"/>
          <w:color w:val="000000"/>
          <w:sz w:val="28"/>
          <w:rtl/>
        </w:rPr>
        <w:t>25</w:t>
      </w:r>
      <w:r>
        <w:rPr>
          <w:rFonts w:ascii="FrankRuehl" w:hAnsi="FrankRuehl"/>
          <w:color w:val="000000"/>
          <w:sz w:val="28"/>
          <w:rtl/>
        </w:rPr>
        <w:t xml:space="preserve">, </w:t>
      </w:r>
      <w:r>
        <w:rPr>
          <w:rFonts w:ascii="FrankRuehl" w:hAnsi="FrankRuehl" w:hint="cs"/>
          <w:color w:val="000000"/>
          <w:sz w:val="28"/>
          <w:rtl/>
        </w:rPr>
        <w:t>42</w:t>
      </w:r>
      <w:r>
        <w:rPr>
          <w:rFonts w:ascii="FrankRuehl" w:hAnsi="FrankRuehl"/>
          <w:color w:val="000000"/>
          <w:sz w:val="28"/>
        </w:rPr>
        <w:t>(4.7.2023) </w:t>
      </w:r>
      <w:r>
        <w:rPr>
          <w:rFonts w:hint="cs"/>
          <w:rtl/>
        </w:rPr>
        <w:t>). פרופ' דותן הסביר כי "[...]</w:t>
      </w:r>
      <w:r>
        <w:rPr>
          <w:rtl/>
        </w:rPr>
        <w:t xml:space="preserve"> ההבחנה בין החלטות פוליטיות באופיין לבין החלטות שהן לא כאלה איננה יכולה להסתמך אך ורק על הדרג שמקבל את ההחלט</w:t>
      </w:r>
      <w:r>
        <w:rPr>
          <w:rFonts w:hint="cs"/>
          <w:rtl/>
        </w:rPr>
        <w:t xml:space="preserve">ה [...] </w:t>
      </w:r>
      <w:r>
        <w:rPr>
          <w:rtl/>
        </w:rPr>
        <w:t>חובה להבדיל קודם כל בין החלטות מדיניות כלליות לבין החלטות אינדיבידואליות</w:t>
      </w:r>
      <w:r>
        <w:rPr>
          <w:rFonts w:hint="cs"/>
          <w:rtl/>
        </w:rPr>
        <w:t>" (</w:t>
      </w:r>
      <w:r w:rsidRPr="00EC475E">
        <w:rPr>
          <w:rFonts w:ascii="Century" w:hAnsi="Century" w:cs="Miriam" w:hint="eastAsia"/>
          <w:b/>
          <w:spacing w:val="0"/>
          <w:sz w:val="22"/>
          <w:szCs w:val="24"/>
          <w:rtl/>
        </w:rPr>
        <w:t>שם</w:t>
      </w:r>
      <w:r w:rsidRPr="00581626">
        <w:rPr>
          <w:rFonts w:ascii="FrankRuehl" w:hAnsi="FrankRuehl" w:hint="cs"/>
          <w:color w:val="000000"/>
          <w:sz w:val="28"/>
          <w:rtl/>
        </w:rPr>
        <w:t>)</w:t>
      </w:r>
      <w:r>
        <w:rPr>
          <w:rFonts w:hint="cs"/>
          <w:rtl/>
        </w:rPr>
        <w:t>.</w:t>
      </w:r>
    </w:p>
    <w:p w:rsidR="00C044AE" w:rsidRDefault="00C044AE" w:rsidP="00C044AE">
      <w:pPr>
        <w:pStyle w:val="Ruller41"/>
        <w:rPr>
          <w:rtl/>
        </w:rPr>
      </w:pPr>
    </w:p>
    <w:p w:rsidR="00C044AE" w:rsidRDefault="00C044AE" w:rsidP="00C044AE">
      <w:pPr>
        <w:pStyle w:val="Ruller4"/>
      </w:pPr>
      <w:r>
        <w:rPr>
          <w:rFonts w:hint="cs"/>
          <w:rtl/>
        </w:rPr>
        <w:t xml:space="preserve">להשלמת הדברים יצוין כי במהלך הדיונים חברי כנסת מהאופוזיציה טענו כי לא ניתן היה להגיש את ההצעה במסלול של הצעת חוק מטעם הוועדה, וכי לא מדובר בהצעה שהוועדה "יזמה והכינה", כנדרש בסעיף 80 לתקנון הכנסת. ביום 2.7.2023 השיבה עו"ד אפיק לפנייתו של ח"כ גלעד קריב מסיעת העבודה (להלן: </w:t>
      </w:r>
      <w:r w:rsidRPr="00FD2812">
        <w:rPr>
          <w:rFonts w:ascii="Century" w:hAnsi="Century" w:cs="Miriam" w:hint="cs"/>
          <w:b/>
          <w:spacing w:val="0"/>
          <w:sz w:val="22"/>
          <w:szCs w:val="24"/>
          <w:rtl/>
        </w:rPr>
        <w:t>ח"כ קריב</w:t>
      </w:r>
      <w:r>
        <w:rPr>
          <w:rFonts w:hint="cs"/>
          <w:rtl/>
        </w:rPr>
        <w:t>) בנושא זה, וציינה כי אינה רואה מקום להתערב בהליך החקיקה, וכי אין כל חובה שהוועדה תקיים דיון מקדים בשאלה האם לקדם את הצעת התיקון כהצעה מטעמה.</w:t>
      </w:r>
    </w:p>
    <w:p w:rsidR="00C044AE" w:rsidRPr="001C4182" w:rsidRDefault="00C044AE" w:rsidP="00C044AE">
      <w:pPr>
        <w:pStyle w:val="Ruller41"/>
        <w:rPr>
          <w:rtl/>
        </w:rPr>
      </w:pPr>
    </w:p>
    <w:p w:rsidR="00C044AE" w:rsidRDefault="00C044AE" w:rsidP="00C044AE">
      <w:pPr>
        <w:pStyle w:val="Ruller4"/>
      </w:pPr>
      <w:r w:rsidRPr="00765FA7">
        <w:rPr>
          <w:rFonts w:hint="cs"/>
          <w:rtl/>
        </w:rPr>
        <w:t xml:space="preserve">בסופו של </w:t>
      </w:r>
      <w:r>
        <w:rPr>
          <w:rFonts w:hint="cs"/>
          <w:rtl/>
        </w:rPr>
        <w:t>יום</w:t>
      </w:r>
      <w:r w:rsidRPr="00765FA7">
        <w:rPr>
          <w:rFonts w:hint="cs"/>
          <w:rtl/>
        </w:rPr>
        <w:t>, ב</w:t>
      </w:r>
      <w:r>
        <w:rPr>
          <w:rFonts w:hint="cs"/>
          <w:rtl/>
        </w:rPr>
        <w:t>-</w:t>
      </w:r>
      <w:r w:rsidRPr="00765FA7">
        <w:rPr>
          <w:rFonts w:hint="cs"/>
          <w:rtl/>
        </w:rPr>
        <w:t xml:space="preserve">4.7.2023 אושרה הצעת התיקון לקריאה ראשונה </w:t>
      </w:r>
      <w:r>
        <w:rPr>
          <w:rFonts w:hint="cs"/>
          <w:rtl/>
        </w:rPr>
        <w:t>כ</w:t>
      </w:r>
      <w:r w:rsidRPr="00765FA7">
        <w:rPr>
          <w:rFonts w:hint="cs"/>
          <w:rtl/>
        </w:rPr>
        <w:t>הצעת חוק</w:t>
      </w:r>
      <w:r>
        <w:rPr>
          <w:rFonts w:hint="cs"/>
          <w:rtl/>
        </w:rPr>
        <w:t xml:space="preserve"> יסוד</w:t>
      </w:r>
      <w:r w:rsidRPr="00765FA7">
        <w:rPr>
          <w:rFonts w:hint="cs"/>
          <w:rtl/>
        </w:rPr>
        <w:t xml:space="preserve"> מטעם הוועדה, ברוב של תשעה תומכים מול ארבעה מתנגדים.</w:t>
      </w:r>
      <w:r>
        <w:rPr>
          <w:rFonts w:hint="cs"/>
          <w:rtl/>
        </w:rPr>
        <w:t xml:space="preserve"> בדברי ההסבר שהונחו בפני המליאה צוין, בהתבסס על ציטוט מעניין </w:t>
      </w:r>
      <w:r w:rsidRPr="001C4182">
        <w:rPr>
          <w:rFonts w:ascii="Century" w:hAnsi="Century" w:cs="Miriam" w:hint="cs"/>
          <w:b/>
          <w:spacing w:val="0"/>
          <w:sz w:val="22"/>
          <w:szCs w:val="24"/>
          <w:rtl/>
        </w:rPr>
        <w:t>דפי זהב</w:t>
      </w:r>
      <w:r>
        <w:rPr>
          <w:rFonts w:hint="cs"/>
          <w:rtl/>
        </w:rPr>
        <w:t>, כי כיום עילת הסבירות מאפשרת לפסול החלטות שאינן נותנות "משקל ראוי לאינטרסים השונים שעל הרשות המינהלית להתחשב בהם בהחלטתה" (הצעת חוק-יסוד: השפיטה (תיקון מס' 5) (עילת הסבירות), ה"ח הכנסת התשפ"ג 110). עוד צוין כי על השימוש בעילת הסבירות במובנה זה, ובפרט על החלתה ביחס לדרג הנבחר, נטען בין היתר כי קביעת האיזון הערכי בין שיקולים שונים "צריכה להיות נתונה לנבחרי הציבור ולא לבית המשפט" (</w:t>
      </w:r>
      <w:r w:rsidRPr="00EC475E">
        <w:rPr>
          <w:rFonts w:ascii="Century" w:hAnsi="Century" w:cs="Miriam" w:hint="eastAsia"/>
          <w:b/>
          <w:spacing w:val="0"/>
          <w:sz w:val="22"/>
          <w:szCs w:val="24"/>
          <w:rtl/>
        </w:rPr>
        <w:t>שם</w:t>
      </w:r>
      <w:r>
        <w:rPr>
          <w:rFonts w:hint="cs"/>
          <w:rtl/>
        </w:rPr>
        <w:t>).</w:t>
      </w:r>
      <w:r w:rsidRPr="00765FA7">
        <w:rPr>
          <w:rFonts w:hint="cs"/>
          <w:rtl/>
        </w:rPr>
        <w:t xml:space="preserve"> </w:t>
      </w:r>
      <w:r>
        <w:rPr>
          <w:rFonts w:hint="cs"/>
          <w:rtl/>
        </w:rPr>
        <w:t xml:space="preserve">כן הובהר בדברי ההסבר כי התיקון המוצע אינו מגביל את בית המשפט לקיים ביקורת שיפוטית בעילות מינהליות אחרות, ובהן עילת המידתיות. </w:t>
      </w:r>
    </w:p>
    <w:p w:rsidR="00C044AE" w:rsidRDefault="00C044AE" w:rsidP="00C044AE">
      <w:pPr>
        <w:pStyle w:val="Ruller4"/>
        <w:numPr>
          <w:ilvl w:val="0"/>
          <w:numId w:val="0"/>
        </w:numPr>
        <w:rPr>
          <w:rtl/>
        </w:rPr>
      </w:pPr>
    </w:p>
    <w:p w:rsidR="00C044AE" w:rsidRPr="00765FA7" w:rsidRDefault="00C044AE" w:rsidP="00C044AE">
      <w:pPr>
        <w:pStyle w:val="Ruller4"/>
        <w:numPr>
          <w:ilvl w:val="0"/>
          <w:numId w:val="0"/>
        </w:numPr>
        <w:rPr>
          <w:rtl/>
        </w:rPr>
      </w:pPr>
      <w:r>
        <w:rPr>
          <w:rtl/>
        </w:rPr>
        <w:tab/>
      </w:r>
      <w:r w:rsidRPr="00765FA7">
        <w:rPr>
          <w:rFonts w:hint="cs"/>
          <w:rtl/>
        </w:rPr>
        <w:t xml:space="preserve">ביום 10.7.2023 ההצעה אושרה בקריאה ראשונה במליאת הכנסת, ברוב של 64 תומכים מול </w:t>
      </w:r>
      <w:r>
        <w:rPr>
          <w:rFonts w:hint="cs"/>
          <w:rtl/>
        </w:rPr>
        <w:t xml:space="preserve">56 </w:t>
      </w:r>
      <w:r w:rsidRPr="00765FA7">
        <w:rPr>
          <w:rFonts w:hint="cs"/>
          <w:rtl/>
        </w:rPr>
        <w:t xml:space="preserve">מתנגדים. </w:t>
      </w:r>
    </w:p>
    <w:p w:rsidR="00C044AE" w:rsidRPr="00C74F91" w:rsidRDefault="00C044AE" w:rsidP="00C044AE">
      <w:pPr>
        <w:pStyle w:val="Ruller41"/>
      </w:pPr>
    </w:p>
    <w:p w:rsidR="00C044AE" w:rsidRDefault="00C044AE" w:rsidP="00C044AE">
      <w:pPr>
        <w:pStyle w:val="Ruller4"/>
        <w:rPr>
          <w:rtl/>
        </w:rPr>
      </w:pPr>
      <w:r>
        <w:rPr>
          <w:rFonts w:hint="cs"/>
          <w:rtl/>
        </w:rPr>
        <w:t xml:space="preserve">למחרת החל שלב ההכנה לקריאה שנייה ושלישית, במסגרתו התקיימו בתוך תשעה ימים ארבעה דיונים בנוגע להצעה וכן שלושה דיונים בהסתייגויות שהוגשו </w:t>
      </w:r>
      <w:r>
        <w:rPr>
          <w:rFonts w:hint="cs"/>
          <w:rtl/>
        </w:rPr>
        <w:lastRenderedPageBreak/>
        <w:t xml:space="preserve">לגביה. בשלב זה של הכנת הצעת התיקון לקריאה שנייה ושלישית נשמעו במסגרת דיוני הוועדה עמדותיהם של מספר מומחים משפטיים וגורמי מקצוע. בדיון ביום 11.7.2023, הזהיר היועץ המשפטי למשרד האוצר, עו"ד אסי מסינג, מהשלכות ההצעה, והתייחס, בין היתר, למשמעויותיה בעניין </w:t>
      </w:r>
      <w:r w:rsidRPr="003A7562">
        <w:rPr>
          <w:rtl/>
        </w:rPr>
        <w:t>מינויָם</w:t>
      </w:r>
      <w:r>
        <w:rPr>
          <w:rFonts w:hint="cs"/>
          <w:rtl/>
        </w:rPr>
        <w:t xml:space="preserve"> ופיטורם של שומרי סף בכירים ולכך שההצעה תאפשר את התערבות שר האוצר בהחלטות הדרגים המקצועיים בניגוד לנהלים הקיימים במשרד האוצר.</w:t>
      </w:r>
    </w:p>
    <w:p w:rsidR="00C044AE" w:rsidRDefault="00C044AE" w:rsidP="00C044AE">
      <w:pPr>
        <w:pStyle w:val="Ruller4"/>
        <w:numPr>
          <w:ilvl w:val="0"/>
          <w:numId w:val="0"/>
        </w:numPr>
        <w:rPr>
          <w:rtl/>
        </w:rPr>
      </w:pPr>
    </w:p>
    <w:p w:rsidR="00C044AE" w:rsidRDefault="00C044AE" w:rsidP="00C044AE">
      <w:pPr>
        <w:pStyle w:val="Ruller4"/>
      </w:pPr>
      <w:r>
        <w:rPr>
          <w:rFonts w:hint="cs"/>
          <w:rtl/>
        </w:rPr>
        <w:t xml:space="preserve">ביום 12.7.2023 דנה הוועדה באפשרויות שונות "לרכך" את תחולת ההצעה. עו"ד בליי הדגיש כי המתווה המוצע גורף בהרבה ממתווים אחרים שהוצגו על ידי </w:t>
      </w:r>
      <w:r>
        <w:rPr>
          <w:rFonts w:hint="eastAsia"/>
          <w:rtl/>
        </w:rPr>
        <w:t>הגורמים שהופיעו</w:t>
      </w:r>
      <w:r>
        <w:rPr>
          <w:rFonts w:hint="cs"/>
          <w:rtl/>
        </w:rPr>
        <w:t xml:space="preserve"> בוועדה, שכן הוא אינו מבחין בין סוגים שונים של החלטות הדרג הנבחר ואף אינו מותיר אפשרות להתערב בהחלטות "מופרכות". עו"ד בליי הצביע בפרט על שלושה נושאים שבהם יש מקום לשקול "מודלים עדינים יותר וזהירים יותר": התערבות בהחלטות של ממשלת מעבר; מינויים; ופגיעה באינטרסים של הפרט שאינה פוגעת בזכויותיו (</w:t>
      </w:r>
      <w:r w:rsidRPr="00B00F53">
        <w:rPr>
          <w:rFonts w:hint="cs"/>
          <w:color w:val="000000" w:themeColor="text1"/>
          <w:rtl/>
        </w:rPr>
        <w:t>פרוטוקול ישיבה</w:t>
      </w:r>
      <w:r>
        <w:rPr>
          <w:rFonts w:hint="cs"/>
          <w:color w:val="000000" w:themeColor="text1"/>
          <w:rtl/>
        </w:rPr>
        <w:t xml:space="preserve"> </w:t>
      </w:r>
      <w:r w:rsidRPr="00B00F53">
        <w:rPr>
          <w:rFonts w:hint="cs"/>
          <w:color w:val="000000" w:themeColor="text1"/>
          <w:rtl/>
        </w:rPr>
        <w:t xml:space="preserve">121 של ועדת החוקה, הכנסת ה-25, </w:t>
      </w:r>
      <w:r>
        <w:rPr>
          <w:rFonts w:hint="cs"/>
          <w:color w:val="000000" w:themeColor="text1"/>
          <w:rtl/>
        </w:rPr>
        <w:t>13-11</w:t>
      </w:r>
      <w:r w:rsidRPr="00B00F53">
        <w:rPr>
          <w:rFonts w:hint="cs"/>
          <w:color w:val="000000" w:themeColor="text1"/>
          <w:rtl/>
        </w:rPr>
        <w:t xml:space="preserve"> (12.7.2023) (להלן: </w:t>
      </w:r>
      <w:r w:rsidRPr="00B00F53">
        <w:rPr>
          <w:rFonts w:cs="Miriam" w:hint="cs"/>
          <w:b/>
          <w:spacing w:val="0"/>
          <w:sz w:val="22"/>
          <w:szCs w:val="24"/>
          <w:rtl/>
        </w:rPr>
        <w:t>פרוטוקול ישיבה 121</w:t>
      </w:r>
      <w:r w:rsidRPr="00B00F53">
        <w:rPr>
          <w:rFonts w:hint="cs"/>
          <w:color w:val="000000" w:themeColor="text1"/>
          <w:rtl/>
        </w:rPr>
        <w:t>)</w:t>
      </w:r>
      <w:r>
        <w:rPr>
          <w:rFonts w:hint="cs"/>
          <w:rtl/>
        </w:rPr>
        <w:t>). באותו הדיון הדגיש עו"ד לימון כי הצעת התיקון היא "ההצעה הקיצונית ביותר האפשרית לטיפול בעילת הסבירות", וציין כי אף שהיקף המקרים שבהם התערב בית המשפט בהחלטות שלטוניות מכוח עילת הסבירות אינו גבוה, לעילה זו השפעה משמעותית ביותר על שלבי עיצוב וגיבוש החלטות השרים בממשלה (</w:t>
      </w:r>
      <w:r w:rsidRPr="00A02B2C">
        <w:rPr>
          <w:rFonts w:cs="Miriam" w:hint="eastAsia"/>
          <w:b/>
          <w:spacing w:val="0"/>
          <w:sz w:val="22"/>
          <w:szCs w:val="24"/>
          <w:rtl/>
        </w:rPr>
        <w:t>שם</w:t>
      </w:r>
      <w:r>
        <w:rPr>
          <w:rFonts w:hint="cs"/>
          <w:rtl/>
        </w:rPr>
        <w:t xml:space="preserve">, בעמ' 34 ו-39). כמו כן ציין עו"ד לימון כי הפגיעה הקשה והמשמעותית ביותר הנובעת מהצעת התיקון היא במעמדם של שומרי הסף, וזאת בכל הנוגע </w:t>
      </w:r>
      <w:r>
        <w:rPr>
          <w:rFonts w:hint="eastAsia"/>
          <w:rtl/>
        </w:rPr>
        <w:t>למ</w:t>
      </w:r>
      <w:r>
        <w:rPr>
          <w:rFonts w:hint="cs"/>
          <w:rtl/>
        </w:rPr>
        <w:t>י</w:t>
      </w:r>
      <w:r>
        <w:rPr>
          <w:rFonts w:hint="eastAsia"/>
          <w:rtl/>
        </w:rPr>
        <w:t>נו</w:t>
      </w:r>
      <w:r w:rsidRPr="00A737FA">
        <w:rPr>
          <w:rFonts w:hint="eastAsia"/>
          <w:rtl/>
        </w:rPr>
        <w:t>יָם</w:t>
      </w:r>
      <w:r w:rsidRPr="00A737FA">
        <w:rPr>
          <w:rFonts w:hint="cs"/>
          <w:rtl/>
        </w:rPr>
        <w:t xml:space="preserve"> </w:t>
      </w:r>
      <w:r>
        <w:rPr>
          <w:rFonts w:hint="cs"/>
          <w:rtl/>
        </w:rPr>
        <w:t xml:space="preserve">ולאפשרות לפטרם משיקולים פוליטיים. </w:t>
      </w:r>
    </w:p>
    <w:p w:rsidR="00C044AE" w:rsidRPr="00A737FA" w:rsidRDefault="00C044AE" w:rsidP="00C044AE">
      <w:pPr>
        <w:pStyle w:val="Ruller4"/>
        <w:numPr>
          <w:ilvl w:val="0"/>
          <w:numId w:val="0"/>
        </w:numPr>
        <w:rPr>
          <w:rtl/>
        </w:rPr>
      </w:pPr>
    </w:p>
    <w:p w:rsidR="00C044AE" w:rsidRDefault="00C044AE" w:rsidP="00C044AE">
      <w:pPr>
        <w:pStyle w:val="Ruller4"/>
        <w:numPr>
          <w:ilvl w:val="0"/>
          <w:numId w:val="0"/>
        </w:numPr>
      </w:pPr>
      <w:r>
        <w:rPr>
          <w:rtl/>
        </w:rPr>
        <w:tab/>
      </w:r>
      <w:r>
        <w:rPr>
          <w:rFonts w:hint="cs"/>
          <w:rtl/>
        </w:rPr>
        <w:t>באותו היום הופץ לחברי הוועדה נוסח חדש לתיקון, שהוא גם הנוסח שאושר לבסוף. הנוסח כלל הסרת תיבה הנוגעת לתחולת הסעיף על "נבחר ציבור אחר כפי שייקבע בחוק" והוספת סיפה להצעה המקורית אשר מבהירה את היקף תחולתה:</w:t>
      </w:r>
    </w:p>
    <w:p w:rsidR="00C044AE" w:rsidRDefault="00C044AE" w:rsidP="00C044AE">
      <w:pPr>
        <w:pStyle w:val="Ruller4"/>
        <w:numPr>
          <w:ilvl w:val="0"/>
          <w:numId w:val="0"/>
        </w:numPr>
        <w:rPr>
          <w:rtl/>
        </w:rPr>
      </w:pPr>
    </w:p>
    <w:p w:rsidR="00C044AE" w:rsidRDefault="00C044AE" w:rsidP="00C044AE">
      <w:pPr>
        <w:pStyle w:val="Ruller5"/>
        <w:rPr>
          <w:rtl/>
        </w:rPr>
      </w:pPr>
      <w:r>
        <w:rPr>
          <w:rFonts w:hint="cs"/>
          <w:rtl/>
        </w:rPr>
        <w:t xml:space="preserve"> "</w:t>
      </w:r>
      <w:r>
        <w:rPr>
          <w:rtl/>
        </w:rPr>
        <w:t>על אף האמור בחוק יסוד זה, מי שבידו סמכות שפיטה על פי דין, לרבות בית המשפט העליון, לא ידון</w:t>
      </w:r>
      <w:r>
        <w:rPr>
          <w:rFonts w:hint="cs"/>
          <w:rtl/>
        </w:rPr>
        <w:t xml:space="preserve"> בעניין סבירות ההחלטה של</w:t>
      </w:r>
      <w:r>
        <w:rPr>
          <w:rtl/>
        </w:rPr>
        <w:t xml:space="preserve"> הממשלה,</w:t>
      </w:r>
      <w:r>
        <w:rPr>
          <w:rFonts w:hint="cs"/>
          <w:rtl/>
        </w:rPr>
        <w:t xml:space="preserve"> של</w:t>
      </w:r>
      <w:r>
        <w:rPr>
          <w:rtl/>
        </w:rPr>
        <w:t xml:space="preserve"> ראש הממשלה</w:t>
      </w:r>
      <w:r>
        <w:rPr>
          <w:rFonts w:hint="cs"/>
          <w:rtl/>
        </w:rPr>
        <w:t xml:space="preserve"> או של </w:t>
      </w:r>
      <w:r>
        <w:rPr>
          <w:rtl/>
        </w:rPr>
        <w:t xml:space="preserve">שר </w:t>
      </w:r>
      <w:r>
        <w:rPr>
          <w:rFonts w:hint="cs"/>
          <w:rtl/>
        </w:rPr>
        <w:t xml:space="preserve">אחר </w:t>
      </w:r>
      <w:r w:rsidRPr="00C96308">
        <w:rPr>
          <w:rFonts w:hint="cs"/>
          <w:strike/>
          <w:rtl/>
        </w:rPr>
        <w:t>וכן של</w:t>
      </w:r>
      <w:r w:rsidRPr="00494419">
        <w:rPr>
          <w:strike/>
          <w:rtl/>
        </w:rPr>
        <w:t xml:space="preserve"> נבחר ציבור אחר כפי שייקבע בחוק</w:t>
      </w:r>
      <w:r w:rsidRPr="00C96308">
        <w:rPr>
          <w:rtl/>
        </w:rPr>
        <w:t xml:space="preserve">, </w:t>
      </w:r>
      <w:r>
        <w:rPr>
          <w:rFonts w:hint="cs"/>
          <w:rtl/>
        </w:rPr>
        <w:t xml:space="preserve">ולא ייתן צו </w:t>
      </w:r>
      <w:r w:rsidRPr="00C96308">
        <w:rPr>
          <w:rFonts w:hint="cs"/>
          <w:strike/>
          <w:rtl/>
        </w:rPr>
        <w:t xml:space="preserve">כלפי מי מהם </w:t>
      </w:r>
      <w:r>
        <w:rPr>
          <w:rFonts w:hint="cs"/>
          <w:rtl/>
        </w:rPr>
        <w:t xml:space="preserve">בעניין כאמור; </w:t>
      </w:r>
      <w:r w:rsidRPr="006E4BB3">
        <w:rPr>
          <w:rFonts w:ascii="Century" w:hAnsi="Century" w:cs="Miriam" w:hint="cs"/>
          <w:b/>
          <w:spacing w:val="0"/>
          <w:szCs w:val="24"/>
          <w:rtl/>
        </w:rPr>
        <w:t xml:space="preserve">בסעיף זה: 'החלטה' </w:t>
      </w:r>
      <w:r w:rsidRPr="006E4BB3">
        <w:rPr>
          <w:rFonts w:ascii="Century" w:hAnsi="Century" w:cs="Miriam"/>
          <w:b/>
          <w:spacing w:val="0"/>
          <w:szCs w:val="24"/>
          <w:rtl/>
        </w:rPr>
        <w:t>–</w:t>
      </w:r>
      <w:r w:rsidRPr="006E4BB3">
        <w:rPr>
          <w:rFonts w:ascii="Century" w:hAnsi="Century" w:cs="Miriam" w:hint="cs"/>
          <w:b/>
          <w:spacing w:val="0"/>
          <w:szCs w:val="24"/>
          <w:rtl/>
        </w:rPr>
        <w:t xml:space="preserve"> כל החלטה לרבות בענייני מינויים או החלטה להימנע מהפעלת כל סמכות</w:t>
      </w:r>
      <w:r>
        <w:rPr>
          <w:rFonts w:hint="cs"/>
          <w:rtl/>
        </w:rPr>
        <w:t>".</w:t>
      </w:r>
    </w:p>
    <w:p w:rsidR="00C044AE" w:rsidRDefault="00C044AE" w:rsidP="00C044AE">
      <w:pPr>
        <w:pStyle w:val="Ruller4"/>
        <w:numPr>
          <w:ilvl w:val="0"/>
          <w:numId w:val="0"/>
        </w:numPr>
        <w:rPr>
          <w:rtl/>
        </w:rPr>
      </w:pPr>
    </w:p>
    <w:p w:rsidR="00C044AE" w:rsidRDefault="00C044AE" w:rsidP="00C044AE">
      <w:pPr>
        <w:pStyle w:val="Ruller4"/>
      </w:pPr>
      <w:r>
        <w:rPr>
          <w:rFonts w:hint="cs"/>
          <w:rtl/>
        </w:rPr>
        <w:t xml:space="preserve">ביום 13.7.2023 קיימה הוועדה דיון שלישי בהצעת התיקון לקראת הכנתה לקריאה שנייה ושלישית. במהלך הדיון טענה נציגת היועצת המשפטית לממשלה, עו"ד </w:t>
      </w:r>
      <w:r>
        <w:rPr>
          <w:rFonts w:hint="cs"/>
          <w:rtl/>
        </w:rPr>
        <w:lastRenderedPageBreak/>
        <w:t xml:space="preserve">אביטל שטרנברג, כי השינויים שהוטמעו בתיקון מהווים "החרפה" שלו. זאת, שכן ההצעה המתוקנת מחסנת מביקורת שיפוטית רק את הגורמים המחזיקים בכוח השלטוני הרב ביותר, ועל פיה התיקון נוגע גם להחלטות פרטניות, ולא רק להחלטות מדיניות עקרוניות. </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במהלך הדיון ציין ח</w:t>
      </w:r>
      <w:r>
        <w:rPr>
          <w:rtl/>
        </w:rPr>
        <w:t>"</w:t>
      </w:r>
      <w:r>
        <w:rPr>
          <w:rFonts w:hint="cs"/>
          <w:rtl/>
        </w:rPr>
        <w:t>כ רוטמן כי אין צורך לעגן בחוק היסוד את חובת השרים לפעול בסבירות, וכי אין כל מקום להבחנה בין החלטות פרטניות להחלטות מדיניות ובין סבירות לאי-סבירות קיצונית שכן הבחנות מסוג זה "לא עובדות בעולם האמיתי" (</w:t>
      </w:r>
      <w:r>
        <w:rPr>
          <w:rFonts w:ascii="FrankRuehl" w:hAnsi="FrankRuehl"/>
          <w:color w:val="000000"/>
          <w:sz w:val="28"/>
          <w:rtl/>
        </w:rPr>
        <w:t xml:space="preserve">פרוטוקול ישיבה </w:t>
      </w:r>
      <w:r>
        <w:rPr>
          <w:rFonts w:ascii="FrankRuehl" w:hAnsi="FrankRuehl" w:hint="cs"/>
          <w:color w:val="000000"/>
          <w:sz w:val="28"/>
          <w:rtl/>
        </w:rPr>
        <w:t>125</w:t>
      </w:r>
      <w:r>
        <w:rPr>
          <w:rFonts w:ascii="FrankRuehl" w:hAnsi="FrankRuehl"/>
          <w:color w:val="000000"/>
          <w:sz w:val="28"/>
          <w:rtl/>
        </w:rPr>
        <w:t xml:space="preserve"> של </w:t>
      </w:r>
      <w:r>
        <w:rPr>
          <w:rFonts w:ascii="FrankRuehl" w:hAnsi="FrankRuehl" w:hint="cs"/>
          <w:color w:val="000000"/>
          <w:sz w:val="28"/>
          <w:rtl/>
        </w:rPr>
        <w:t>ועדת החוקה</w:t>
      </w:r>
      <w:r>
        <w:rPr>
          <w:rFonts w:ascii="FrankRuehl" w:hAnsi="FrankRuehl"/>
          <w:color w:val="000000"/>
          <w:sz w:val="28"/>
          <w:rtl/>
        </w:rPr>
        <w:t>, הכנסת ה-</w:t>
      </w:r>
      <w:r>
        <w:rPr>
          <w:rFonts w:ascii="FrankRuehl" w:hAnsi="FrankRuehl" w:hint="cs"/>
          <w:color w:val="000000"/>
          <w:sz w:val="28"/>
          <w:rtl/>
        </w:rPr>
        <w:t>25</w:t>
      </w:r>
      <w:r>
        <w:rPr>
          <w:rFonts w:ascii="FrankRuehl" w:hAnsi="FrankRuehl"/>
          <w:color w:val="000000"/>
          <w:sz w:val="28"/>
          <w:rtl/>
        </w:rPr>
        <w:t xml:space="preserve">, </w:t>
      </w:r>
      <w:r>
        <w:rPr>
          <w:rFonts w:ascii="FrankRuehl" w:hAnsi="FrankRuehl" w:hint="cs"/>
          <w:color w:val="000000"/>
          <w:sz w:val="28"/>
          <w:rtl/>
        </w:rPr>
        <w:t>15</w:t>
      </w:r>
      <w:r>
        <w:rPr>
          <w:rFonts w:ascii="FrankRuehl" w:hAnsi="FrankRuehl"/>
          <w:color w:val="000000"/>
          <w:sz w:val="28"/>
        </w:rPr>
        <w:t>(13.7.2023) </w:t>
      </w:r>
      <w:r>
        <w:rPr>
          <w:rFonts w:hint="cs"/>
          <w:rtl/>
        </w:rPr>
        <w:t xml:space="preserve"> (להלן: </w:t>
      </w:r>
      <w:r w:rsidRPr="00E4449E">
        <w:rPr>
          <w:rFonts w:ascii="Century" w:hAnsi="Century" w:cs="Miriam" w:hint="cs"/>
          <w:b/>
          <w:spacing w:val="0"/>
          <w:sz w:val="22"/>
          <w:szCs w:val="24"/>
          <w:rtl/>
        </w:rPr>
        <w:t>פרוטוקול ישיבה 125</w:t>
      </w:r>
      <w:r>
        <w:rPr>
          <w:rFonts w:hint="cs"/>
          <w:rtl/>
        </w:rPr>
        <w:t>)). באשר לתחולת הצעת התיקון על החלטות של עובד ציבור שהתקבלו לאחר שסמכויות השר הואצלו אליו, ח</w:t>
      </w:r>
      <w:r>
        <w:rPr>
          <w:rtl/>
        </w:rPr>
        <w:t>"</w:t>
      </w:r>
      <w:r>
        <w:rPr>
          <w:rFonts w:hint="cs"/>
          <w:rtl/>
        </w:rPr>
        <w:t xml:space="preserve">כ רוטמן ועו"ד בליי הסכימו כי יש לבחון מי קיבל את ההחלטה בפועל, וככל שמי שקיבלה לא היה השר </w:t>
      </w:r>
      <w:r>
        <w:rPr>
          <w:rtl/>
        </w:rPr>
        <w:t>–</w:t>
      </w:r>
      <w:r>
        <w:rPr>
          <w:rFonts w:hint="cs"/>
          <w:rtl/>
        </w:rPr>
        <w:t xml:space="preserve"> התיקון לא יחול. עו"ד בליי ציין, עם זאת, כי אין בכך כדי לנטרל את התמריץ לקבלת ההחלטה על ידי השר על מנת לחסנה מביקורת שיפוטית. ח"כ קריב עמד על כך שהצעת התיקון קיצונית בשלושה מובנים: היא אינה חלה רק על הממשלה במליאתה אלא גם על כלל החלטות השרים; היא אינה מבחינה בין החלטות מדיניות להחלטות פרטניות; ואינה מסתפקת בהחזרת עילת הסבירות לגבולותיה טרם פסק הדין בעניין </w:t>
      </w:r>
      <w:r w:rsidRPr="00FD2812">
        <w:rPr>
          <w:rFonts w:ascii="Century" w:hAnsi="Century" w:cs="Miriam" w:hint="cs"/>
          <w:b/>
          <w:spacing w:val="0"/>
          <w:sz w:val="22"/>
          <w:szCs w:val="24"/>
          <w:rtl/>
        </w:rPr>
        <w:t>דפי זהב</w:t>
      </w:r>
      <w:r>
        <w:rPr>
          <w:rFonts w:hint="cs"/>
          <w:rtl/>
        </w:rPr>
        <w:t xml:space="preserve">, אלא מבטלת אותה לחלוטין. </w:t>
      </w:r>
    </w:p>
    <w:p w:rsidR="00C044AE" w:rsidRDefault="00C044AE" w:rsidP="00C044AE">
      <w:pPr>
        <w:pStyle w:val="Ruller41"/>
        <w:rPr>
          <w:rtl/>
        </w:rPr>
      </w:pPr>
    </w:p>
    <w:p w:rsidR="00C044AE" w:rsidRPr="00FD2812" w:rsidRDefault="00C044AE" w:rsidP="00C044AE">
      <w:pPr>
        <w:pStyle w:val="Ruller41"/>
        <w:rPr>
          <w:rtl/>
        </w:rPr>
      </w:pPr>
      <w:r>
        <w:rPr>
          <w:rtl/>
        </w:rPr>
        <w:tab/>
      </w:r>
      <w:r>
        <w:rPr>
          <w:rFonts w:hint="cs"/>
          <w:rtl/>
        </w:rPr>
        <w:t xml:space="preserve">בתום הדיון שהתקיים ביום 16.7.2023 הודיע ח"כ רוטמן כי ניתן יהיה להגיש הסתייגויות להצעת התיקון עד למחרת בבוקר.   </w:t>
      </w:r>
    </w:p>
    <w:p w:rsidR="00C044AE" w:rsidRDefault="00C044AE" w:rsidP="00C044AE">
      <w:pPr>
        <w:pStyle w:val="Ruller41"/>
        <w:rPr>
          <w:rtl/>
        </w:rPr>
      </w:pPr>
    </w:p>
    <w:p w:rsidR="00C044AE" w:rsidRDefault="00C044AE" w:rsidP="00C044AE">
      <w:pPr>
        <w:pStyle w:val="Ruller4"/>
      </w:pPr>
      <w:r>
        <w:rPr>
          <w:rFonts w:hint="cs"/>
          <w:rtl/>
        </w:rPr>
        <w:t xml:space="preserve">עם התכנסות הוועדה ביום 17.7.2023 ציינה עו"ד אפיק כי הוגש מספר חסר תקדים של למעלה מ-27,000 הסתייגויות להצעת התיקון, והפנתה בהקשר זה להנחיית היועצת המשפטית לכנסת "דיון והצבעה על הסתייגויות בהכנת הצעת חוק לקריאה השניה והשלישית" (1.8.2021) (להלן: </w:t>
      </w:r>
      <w:r w:rsidRPr="00A02B2C">
        <w:rPr>
          <w:rFonts w:ascii="Century" w:hAnsi="Century" w:cs="Miriam" w:hint="cs"/>
          <w:b/>
          <w:spacing w:val="0"/>
          <w:sz w:val="22"/>
          <w:szCs w:val="24"/>
          <w:rtl/>
        </w:rPr>
        <w:t>נוהל ההסתייגויות</w:t>
      </w:r>
      <w:r>
        <w:rPr>
          <w:rFonts w:hint="cs"/>
          <w:rtl/>
        </w:rPr>
        <w:t xml:space="preserve">), שנועדה להתמודד עם מצבים שבהם מוגשות אלפי הסתייגויות. עו"ד אפיק הציגה מספר אפשרויות לדיון בהסתייגויות אך המליצה שבשל המצב החריג, אם נציגי האופוזיציה יעדיפו את אחת החלופות, יו"ר הוועדה יאמץ חלופה זו. משלא הושגו הסכמות בין הקואליציה לאופוזיציה בחר ח"כ רוטמן את האפשרות לפיה תתקיים הנמקה מרוכזת של כל ההסתייגויות ולאחר מכן ייערכו הצבעות במקבצים של 20 הסתייגויות בכל פעם. הנמקת ההסתייגויות ארכה כ-18 שעות וההצבעות על ההסתייגויות ועל הרביזיות ארכו כ-18 שעות נוספות. בסופו של דבר כלל ההסתייגויות נדחו וביום 19.7.2023 אישרה הוועדה את הצעת התיקון ברוב של תשעה תומכים ושבעה מתנגדים. טענות שהעלו מספר חברי כנסת מסיעות האופוזיציה בדבר פגמים שנפלו בקיום ההצבעות בוועדה, נדחו על ידי עו"ד אפיק. </w:t>
      </w:r>
    </w:p>
    <w:p w:rsidR="00C044AE" w:rsidRDefault="00C044AE" w:rsidP="00C044AE">
      <w:pPr>
        <w:pStyle w:val="Ruller4"/>
        <w:numPr>
          <w:ilvl w:val="0"/>
          <w:numId w:val="0"/>
        </w:numPr>
        <w:rPr>
          <w:rtl/>
        </w:rPr>
      </w:pPr>
    </w:p>
    <w:p w:rsidR="00C044AE" w:rsidRDefault="00C044AE" w:rsidP="00C044AE">
      <w:pPr>
        <w:pStyle w:val="Ruller4"/>
        <w:numPr>
          <w:ilvl w:val="0"/>
          <w:numId w:val="0"/>
        </w:numPr>
      </w:pPr>
      <w:r>
        <w:rPr>
          <w:rtl/>
        </w:rPr>
        <w:tab/>
      </w:r>
      <w:r>
        <w:rPr>
          <w:rFonts w:hint="cs"/>
          <w:rtl/>
        </w:rPr>
        <w:t xml:space="preserve">ביום 19.7.2023 התקיים דיון בוועדת הכנסת על הפעלת סעיף 98 לתקנון הכנסת, המאפשר לוועדת הכנסת לקבוע סדרי דיון מיוחדים ביחס לחוקי תקציב ו"במקרים אחרים יוצאים מן הכלל", לרבות קביעת מסגרת הדיון וזמני הדיבור במליאה. ועדת הכנסת קבעה כי חברי האופוזיציה ינמקו את הסתייגויותיהם במשך 26 שעות ובהמשך יתקיימו הצבעות על 140 הסתייגויות במליאה לפי בחירת האופוזיציה. ביום 23.7.2023 החל הדיון במליאת הכנסת וביום 24.7.2023 אושרה ההצעה בקריאה שלישית ברוב של 64 חברי כנסת וללא מתנגדים, לאחר שסיעות האופוזיציה החרימו את ההצבעה. </w:t>
      </w:r>
    </w:p>
    <w:p w:rsidR="00C044AE" w:rsidRPr="00152F4A" w:rsidRDefault="00C044AE" w:rsidP="00C044AE">
      <w:pPr>
        <w:pStyle w:val="Ruller41"/>
        <w:rPr>
          <w:rtl/>
        </w:rPr>
      </w:pPr>
    </w:p>
    <w:p w:rsidR="00C044AE" w:rsidRDefault="00C044AE" w:rsidP="00C044AE">
      <w:pPr>
        <w:pStyle w:val="Ruller4"/>
        <w:numPr>
          <w:ilvl w:val="0"/>
          <w:numId w:val="0"/>
        </w:numPr>
        <w:rPr>
          <w:rtl/>
        </w:rPr>
      </w:pPr>
      <w:r>
        <w:rPr>
          <w:rtl/>
        </w:rPr>
        <w:tab/>
      </w:r>
      <w:r>
        <w:rPr>
          <w:rFonts w:hint="cs"/>
          <w:rtl/>
        </w:rPr>
        <w:t>ביום 26.7.2023 נכנס התיקון לתוקף עם פרסומו ברשומות.</w:t>
      </w:r>
    </w:p>
    <w:p w:rsidR="00C044AE" w:rsidRPr="006D7CF9" w:rsidRDefault="00C044AE" w:rsidP="00C044AE">
      <w:pPr>
        <w:pStyle w:val="Ruller41"/>
        <w:rPr>
          <w:rtl/>
        </w:rPr>
      </w:pPr>
    </w:p>
    <w:p w:rsidR="00C044AE" w:rsidRDefault="00C044AE" w:rsidP="00C044AE">
      <w:pPr>
        <w:pStyle w:val="Ruller41"/>
        <w:spacing w:line="276" w:lineRule="auto"/>
        <w:outlineLvl w:val="0"/>
        <w:rPr>
          <w:rFonts w:ascii="Garamond" w:hAnsi="Garamond" w:cs="Miriam"/>
          <w:b/>
          <w:spacing w:val="0"/>
          <w:szCs w:val="24"/>
          <w:rtl/>
          <w:lang w:val="en-GB"/>
        </w:rPr>
      </w:pPr>
      <w:r w:rsidRPr="00734BFD">
        <w:rPr>
          <w:rFonts w:ascii="Garamond" w:hAnsi="Garamond" w:cs="Miriam" w:hint="cs"/>
          <w:b/>
          <w:spacing w:val="0"/>
          <w:szCs w:val="24"/>
          <w:rtl/>
        </w:rPr>
        <w:t>העתירות</w:t>
      </w:r>
      <w:r>
        <w:rPr>
          <w:rFonts w:ascii="Garamond" w:hAnsi="Garamond" w:cs="Miriam" w:hint="cs"/>
          <w:b/>
          <w:spacing w:val="0"/>
          <w:szCs w:val="24"/>
          <w:rtl/>
        </w:rPr>
        <w:t xml:space="preserve"> </w:t>
      </w:r>
    </w:p>
    <w:p w:rsidR="00C044AE" w:rsidRPr="0072036A" w:rsidRDefault="00C044AE" w:rsidP="00C044AE">
      <w:pPr>
        <w:pStyle w:val="Ruller41"/>
        <w:rPr>
          <w:rtl/>
        </w:rPr>
      </w:pPr>
    </w:p>
    <w:p w:rsidR="00C044AE" w:rsidRDefault="00C044AE" w:rsidP="00C044AE">
      <w:pPr>
        <w:pStyle w:val="Ruller4"/>
        <w:rPr>
          <w:rtl/>
        </w:rPr>
      </w:pPr>
      <w:r>
        <w:rPr>
          <w:rFonts w:hint="cs"/>
          <w:rtl/>
        </w:rPr>
        <w:t xml:space="preserve">זמן קצר לאחר אישור התיקון לחוק היסוד הוגשו נגדו שמונה עתירות, ובכולן התבקש בית המשפט, בין היתר, להורות על ביטול התיקון. העתירות הוגשו על ידי ארגוני חברה אזרחית ואנשים פרטיים ואחת מהן הוגשה על ידי לשכת עורכי הדין בישראל (העותרת בבג"ץ 5663/23). בהחלטת השופט </w:t>
      </w:r>
      <w:r w:rsidRPr="00143A77">
        <w:rPr>
          <w:rFonts w:ascii="Century" w:hAnsi="Century" w:cs="Miriam" w:hint="cs"/>
          <w:b/>
          <w:spacing w:val="0"/>
          <w:sz w:val="22"/>
          <w:szCs w:val="24"/>
          <w:rtl/>
        </w:rPr>
        <w:t>ד' מינץ</w:t>
      </w:r>
      <w:r w:rsidRPr="00143A77">
        <w:rPr>
          <w:rFonts w:hint="cs"/>
          <w:rtl/>
        </w:rPr>
        <w:t xml:space="preserve"> </w:t>
      </w:r>
      <w:r>
        <w:rPr>
          <w:rFonts w:hint="cs"/>
          <w:rtl/>
        </w:rPr>
        <w:t xml:space="preserve">מיום 26.7.2023 נדחו בקשות למתן </w:t>
      </w:r>
      <w:r w:rsidRPr="00F8385B">
        <w:rPr>
          <w:rFonts w:hint="eastAsia"/>
          <w:rtl/>
        </w:rPr>
        <w:t>צו</w:t>
      </w:r>
      <w:r w:rsidRPr="00F8385B">
        <w:rPr>
          <w:rtl/>
        </w:rPr>
        <w:t xml:space="preserve"> </w:t>
      </w:r>
      <w:r w:rsidRPr="00F8385B">
        <w:rPr>
          <w:rFonts w:hint="eastAsia"/>
          <w:rtl/>
        </w:rPr>
        <w:t>ביניים</w:t>
      </w:r>
      <w:r w:rsidRPr="00F8385B">
        <w:rPr>
          <w:rtl/>
        </w:rPr>
        <w:t xml:space="preserve"> </w:t>
      </w:r>
      <w:r>
        <w:rPr>
          <w:rFonts w:hint="cs"/>
          <w:rtl/>
        </w:rPr>
        <w:t>למניעת</w:t>
      </w:r>
      <w:r w:rsidRPr="00F8385B">
        <w:rPr>
          <w:rtl/>
        </w:rPr>
        <w:t xml:space="preserve"> </w:t>
      </w:r>
      <w:r w:rsidRPr="00F8385B">
        <w:rPr>
          <w:rFonts w:hint="eastAsia"/>
          <w:rtl/>
        </w:rPr>
        <w:t>כניסתו</w:t>
      </w:r>
      <w:r w:rsidRPr="00F8385B">
        <w:rPr>
          <w:rtl/>
        </w:rPr>
        <w:t xml:space="preserve"> </w:t>
      </w:r>
      <w:r w:rsidRPr="00F8385B">
        <w:rPr>
          <w:rFonts w:hint="eastAsia"/>
          <w:rtl/>
        </w:rPr>
        <w:t>של</w:t>
      </w:r>
      <w:r w:rsidRPr="00F8385B">
        <w:rPr>
          <w:rtl/>
        </w:rPr>
        <w:t xml:space="preserve"> </w:t>
      </w:r>
      <w:r w:rsidRPr="00F8385B">
        <w:rPr>
          <w:rFonts w:hint="eastAsia"/>
          <w:rtl/>
        </w:rPr>
        <w:t>התיקון</w:t>
      </w:r>
      <w:r w:rsidRPr="00F8385B">
        <w:rPr>
          <w:rtl/>
        </w:rPr>
        <w:t xml:space="preserve"> </w:t>
      </w:r>
      <w:r w:rsidRPr="00F8385B">
        <w:rPr>
          <w:rFonts w:hint="eastAsia"/>
          <w:rtl/>
        </w:rPr>
        <w:t>לתוקף</w:t>
      </w:r>
      <w:r>
        <w:rPr>
          <w:rFonts w:hint="cs"/>
          <w:rtl/>
        </w:rPr>
        <w:t xml:space="preserve"> עד להכרעה בעתירות, ושבע מהעתירות נקבעו לדיון בפני הרכב. עתירה נוספת שהוגשה בהמשך בבג"ץ 5769/23 (להלן: </w:t>
      </w:r>
      <w:r w:rsidRPr="006E2717">
        <w:rPr>
          <w:rFonts w:ascii="Century" w:hAnsi="Century" w:cs="Miriam" w:hint="cs"/>
          <w:b/>
          <w:spacing w:val="0"/>
          <w:sz w:val="22"/>
          <w:szCs w:val="24"/>
          <w:rtl/>
        </w:rPr>
        <w:t>עתירת נומה</w:t>
      </w:r>
      <w:r>
        <w:rPr>
          <w:rFonts w:hint="cs"/>
          <w:rtl/>
        </w:rPr>
        <w:t xml:space="preserve">), אוחדה עם שבע העתירות האחרות, ואילו הטיפול בעתירות נוספות נגד התיקון שהוגשו לאחר מכן, הושהה עד למתן פסק דין בהליכים דנן. </w:t>
      </w:r>
    </w:p>
    <w:p w:rsidR="00C044AE" w:rsidRPr="0072036A" w:rsidRDefault="00C044AE" w:rsidP="00C044AE">
      <w:pPr>
        <w:pStyle w:val="Ruller41"/>
      </w:pPr>
    </w:p>
    <w:p w:rsidR="00C044AE" w:rsidRDefault="00C044AE" w:rsidP="00C044AE">
      <w:pPr>
        <w:pStyle w:val="Ruller4"/>
        <w:numPr>
          <w:ilvl w:val="0"/>
          <w:numId w:val="0"/>
        </w:numPr>
        <w:rPr>
          <w:rtl/>
        </w:rPr>
      </w:pPr>
      <w:r>
        <w:rPr>
          <w:rtl/>
        </w:rPr>
        <w:tab/>
      </w:r>
      <w:r>
        <w:rPr>
          <w:rFonts w:hint="cs"/>
          <w:rtl/>
        </w:rPr>
        <w:t xml:space="preserve">ביום 31.7.2023 קבעתי כי העתירות יישמעו בפני הרכב מורחב של 15 שופטים, וביום 9.8.2023 הורה ההרכב על מתן צו על-תנאי כמבוקש בעתירות מטעמים של יעילות הדיון בעתירות ומבלי שיהיה בכך משום הבעת עמדה לגופם של דברים. בהחלטה מאותו היום אף הורינו על צירופן של עמותת "אדם טבע ודין </w:t>
      </w:r>
      <w:r>
        <w:rPr>
          <w:rtl/>
        </w:rPr>
        <w:t>–</w:t>
      </w:r>
      <w:r>
        <w:rPr>
          <w:rFonts w:hint="cs"/>
          <w:rtl/>
        </w:rPr>
        <w:t xml:space="preserve"> אגודה ישראלית להגנת הסביבה" (להלן: </w:t>
      </w:r>
      <w:r w:rsidRPr="0072036A">
        <w:rPr>
          <w:rFonts w:ascii="Century" w:hAnsi="Century" w:cs="Miriam" w:hint="cs"/>
          <w:b/>
          <w:spacing w:val="0"/>
          <w:sz w:val="22"/>
          <w:szCs w:val="24"/>
          <w:rtl/>
        </w:rPr>
        <w:t>אדם טבע ודין</w:t>
      </w:r>
      <w:r>
        <w:rPr>
          <w:rFonts w:hint="cs"/>
          <w:rtl/>
        </w:rPr>
        <w:t xml:space="preserve">) ושל האגודה לזכויות האזרח בישראל ו-37 ארגוני זכויות אדם נוספים (להלן לשם הנוחות: </w:t>
      </w:r>
      <w:r w:rsidRPr="0072036A">
        <w:rPr>
          <w:rFonts w:ascii="Century" w:hAnsi="Century" w:cs="Miriam" w:hint="cs"/>
          <w:b/>
          <w:spacing w:val="0"/>
          <w:sz w:val="22"/>
          <w:szCs w:val="24"/>
          <w:rtl/>
        </w:rPr>
        <w:t>האגודה</w:t>
      </w:r>
      <w:r>
        <w:rPr>
          <w:rFonts w:hint="cs"/>
          <w:rtl/>
        </w:rPr>
        <w:t xml:space="preserve">) להליכים, במעמד של "ידידי בית המשפט". </w:t>
      </w:r>
    </w:p>
    <w:p w:rsidR="00C044AE" w:rsidRDefault="00C044AE" w:rsidP="00C044AE">
      <w:pPr>
        <w:pStyle w:val="Ruller41"/>
        <w:rPr>
          <w:rtl/>
        </w:rPr>
      </w:pPr>
    </w:p>
    <w:p w:rsidR="00C044AE" w:rsidRPr="00143A77" w:rsidRDefault="00C044AE" w:rsidP="00C044AE">
      <w:pPr>
        <w:pStyle w:val="Ruller4"/>
        <w:rPr>
          <w:rtl/>
        </w:rPr>
      </w:pPr>
      <w:r>
        <w:rPr>
          <w:rFonts w:hint="cs"/>
          <w:rtl/>
        </w:rPr>
        <w:t xml:space="preserve">לקראת הדיון בעתירות הגישו המשיבים תצהירי תשובה מטעמם. היועצת המשפטית לממשלה הציגה עמדה לפיה התיקון פוגע פגיעה אנושה בעקרונות יסוד דמוקרטיים, וכי יש לקבל את העתירות ולהורות על בטלותו של התיקון בשל חריגת הכנסת מגבולות הסמכות המכוננת ושימוש לרעה בסמכות זו. מנגד, הממשלה, ראש </w:t>
      </w:r>
      <w:r>
        <w:rPr>
          <w:rFonts w:hint="cs"/>
          <w:rtl/>
        </w:rPr>
        <w:lastRenderedPageBreak/>
        <w:t xml:space="preserve">הממשלה ושר המשפטים (להלן: </w:t>
      </w:r>
      <w:r w:rsidRPr="00143A77">
        <w:rPr>
          <w:rFonts w:ascii="Century" w:hAnsi="Century" w:cs="Miriam" w:hint="cs"/>
          <w:b/>
          <w:spacing w:val="0"/>
          <w:sz w:val="22"/>
          <w:szCs w:val="24"/>
          <w:rtl/>
        </w:rPr>
        <w:t>משיבי הממשלה</w:t>
      </w:r>
      <w:r>
        <w:rPr>
          <w:rFonts w:hint="cs"/>
          <w:rtl/>
        </w:rPr>
        <w:t xml:space="preserve">) </w:t>
      </w:r>
      <w:r>
        <w:rPr>
          <w:rtl/>
        </w:rPr>
        <w:t>–</w:t>
      </w:r>
      <w:r>
        <w:rPr>
          <w:rFonts w:hint="cs"/>
          <w:rtl/>
        </w:rPr>
        <w:t xml:space="preserve"> שיוצגו בהליכים בנפרד מהייעוץ המשפטי לממשלה, וכן הכנסת וח"כ רוטמן, שיוצג בנפרד מהייעוץ המשפטי לכנסת, טענו כי לבית המשפט אין סמכות להתערב בתיקון ואף לגופם של דברים סברו כי לא קמה עילה להתערב בו.  </w:t>
      </w:r>
    </w:p>
    <w:p w:rsidR="00C044AE" w:rsidRDefault="00C044AE" w:rsidP="00C044AE">
      <w:pPr>
        <w:pStyle w:val="Ruller4"/>
        <w:numPr>
          <w:ilvl w:val="0"/>
          <w:numId w:val="0"/>
        </w:numPr>
        <w:rPr>
          <w:rtl/>
        </w:rPr>
      </w:pPr>
    </w:p>
    <w:p w:rsidR="00C044AE" w:rsidRDefault="00C044AE" w:rsidP="00C044AE">
      <w:pPr>
        <w:pStyle w:val="Ruller4"/>
        <w:rPr>
          <w:rtl/>
        </w:rPr>
      </w:pPr>
      <w:r>
        <w:rPr>
          <w:rFonts w:hint="cs"/>
          <w:rtl/>
        </w:rPr>
        <w:t>ביום 12.9.2023 שמענו את טענות הצדדים על פה. במהלך הדיון התייחסו הצדדים בהרחבה לסוגיות העקרוניות הנוגעות לקיום ביקורת שיפוטית על חוקי יסוד וכן לתיקון הקונקרטי העומד במוקד העתירות. בתום הדיון אפשרנו לכנסת ולמשיבי הממשלה להגיש השלמות טיעון בכתב ביחס למספר סוגיות שהתעוררו במהלך הדיון. השלמת הטיעון מטעם משיבי הממשלה הוגשה ביום 16.10.2023 ומטעם הכנסת ביום 9.11.2023.</w:t>
      </w:r>
    </w:p>
    <w:p w:rsidR="00C044AE" w:rsidRDefault="00C044AE" w:rsidP="00C044AE">
      <w:pPr>
        <w:pStyle w:val="Ruller41"/>
        <w:rPr>
          <w:rtl/>
        </w:rPr>
      </w:pPr>
    </w:p>
    <w:p w:rsidR="00C044AE" w:rsidRPr="00143A77" w:rsidRDefault="00C044AE" w:rsidP="00C044AE">
      <w:pPr>
        <w:pStyle w:val="Ruller41"/>
        <w:spacing w:line="276" w:lineRule="auto"/>
        <w:outlineLvl w:val="0"/>
        <w:rPr>
          <w:rFonts w:ascii="Garamond" w:hAnsi="Garamond" w:cs="Miriam"/>
          <w:b/>
          <w:spacing w:val="0"/>
          <w:szCs w:val="24"/>
          <w:rtl/>
        </w:rPr>
      </w:pPr>
      <w:r w:rsidRPr="00053976">
        <w:rPr>
          <w:rFonts w:ascii="Garamond" w:hAnsi="Garamond" w:cs="Miriam" w:hint="eastAsia"/>
          <w:b/>
          <w:spacing w:val="0"/>
          <w:szCs w:val="24"/>
          <w:rtl/>
        </w:rPr>
        <w:t>תמצית</w:t>
      </w:r>
      <w:r w:rsidRPr="00053976">
        <w:rPr>
          <w:rFonts w:ascii="Garamond" w:hAnsi="Garamond" w:cs="Miriam"/>
          <w:b/>
          <w:spacing w:val="0"/>
          <w:szCs w:val="24"/>
          <w:rtl/>
        </w:rPr>
        <w:t xml:space="preserve"> </w:t>
      </w:r>
      <w:r w:rsidRPr="00053976">
        <w:rPr>
          <w:rFonts w:ascii="Garamond" w:hAnsi="Garamond" w:cs="Miriam" w:hint="eastAsia"/>
          <w:b/>
          <w:spacing w:val="0"/>
          <w:szCs w:val="24"/>
          <w:rtl/>
        </w:rPr>
        <w:t>טענות</w:t>
      </w:r>
      <w:r w:rsidRPr="00053976">
        <w:rPr>
          <w:rFonts w:ascii="Garamond" w:hAnsi="Garamond" w:cs="Miriam"/>
          <w:b/>
          <w:spacing w:val="0"/>
          <w:szCs w:val="24"/>
          <w:rtl/>
        </w:rPr>
        <w:t xml:space="preserve"> </w:t>
      </w:r>
      <w:r w:rsidRPr="00053976">
        <w:rPr>
          <w:rFonts w:ascii="Garamond" w:hAnsi="Garamond" w:cs="Miriam" w:hint="eastAsia"/>
          <w:b/>
          <w:spacing w:val="0"/>
          <w:szCs w:val="24"/>
          <w:rtl/>
        </w:rPr>
        <w:t>הצדדים</w:t>
      </w:r>
    </w:p>
    <w:p w:rsidR="00C044AE" w:rsidRDefault="00C044AE" w:rsidP="00C044AE">
      <w:pPr>
        <w:pStyle w:val="Ruller41"/>
        <w:rPr>
          <w:rtl/>
        </w:rPr>
      </w:pPr>
    </w:p>
    <w:p w:rsidR="00C044AE" w:rsidRDefault="00C044AE" w:rsidP="00C044AE">
      <w:pPr>
        <w:pStyle w:val="Ruller4"/>
        <w:rPr>
          <w:rtl/>
        </w:rPr>
      </w:pPr>
      <w:r>
        <w:rPr>
          <w:rFonts w:hint="cs"/>
          <w:rtl/>
        </w:rPr>
        <w:t xml:space="preserve"> טענתם המרכזית של העותרים היא כי התיקון נושא העתירה הוא "תיקון חוקתי שאינו חוקתי" ומשכך יש להורות על בטלותו. העותרים מפנים בהקשר זה לקביעותיו של בית משפט זה בבג"ץ 5555/18 </w:t>
      </w:r>
      <w:r w:rsidRPr="00CA085C">
        <w:rPr>
          <w:rFonts w:ascii="Century" w:hAnsi="Century" w:cs="Miriam" w:hint="cs"/>
          <w:b/>
          <w:spacing w:val="0"/>
          <w:sz w:val="22"/>
          <w:szCs w:val="24"/>
          <w:rtl/>
        </w:rPr>
        <w:t xml:space="preserve">חסון נ' </w:t>
      </w:r>
      <w:r>
        <w:rPr>
          <w:rFonts w:ascii="Century" w:hAnsi="Century" w:cs="Miriam" w:hint="cs"/>
          <w:b/>
          <w:spacing w:val="0"/>
          <w:sz w:val="22"/>
          <w:szCs w:val="24"/>
          <w:rtl/>
        </w:rPr>
        <w:t>כנסת ישראל</w:t>
      </w:r>
      <w:r w:rsidRPr="00CA085C">
        <w:rPr>
          <w:rFonts w:hint="cs"/>
          <w:rtl/>
        </w:rPr>
        <w:t xml:space="preserve"> </w:t>
      </w:r>
      <w:r>
        <w:rPr>
          <w:rFonts w:hint="cs"/>
          <w:rtl/>
        </w:rPr>
        <w:t xml:space="preserve">(8.7.2021) (להלן: </w:t>
      </w:r>
      <w:r w:rsidRPr="00CA085C">
        <w:rPr>
          <w:rFonts w:ascii="Century" w:hAnsi="Century" w:cs="Miriam" w:hint="cs"/>
          <w:b/>
          <w:spacing w:val="0"/>
          <w:sz w:val="22"/>
          <w:szCs w:val="24"/>
          <w:rtl/>
        </w:rPr>
        <w:t>עניין חסון</w:t>
      </w:r>
      <w:r>
        <w:rPr>
          <w:rFonts w:hint="cs"/>
          <w:rtl/>
        </w:rPr>
        <w:t xml:space="preserve">), שם צוין כי הרשות המכוננת אינה מוסמכת לשלול את המאפיינים הגרעיניים של מדינת ישראל כמדינה יהודית ודמוקרטית, אך לא הוכרעה השאלה באשר לסמכות בית המשפט לקיים ביקורת שיפוטית בהקשר זה. העותרים סבורים כי קיומה של סמכות כאמור מתחייב מתפקידו המוסדי של בית המשפט בשיטתנו; מהיעדרה של פרוצדורה נוקשה לחקיקת חוקי יסוד ולתיקונם; ומהחולשה המבנית של הפרדת הרשויות בישראל. עוד נטען כי יש לראות בסעיף 15 לחוק היסוד המסדיר את סמכותו הרחבה של בית המשפט הגבוה לצדק ליתן סעדים "למען הצדק" וצווים לכלל "רשויות המדינה", כמקור סמכות גם לביקורת על הרשות המכוננת. אי-הכרה בסמכותו של בית המשפט בהקשר זה, כך נטען, משמעותה כי ניתן לחסן כל חקיקה של הכנסת שהתקבלה ברוב קואליציוני מקרי מביקורת שיפוטית, באמצעות הכותרת "חוק יסוד", וזאת גם אם יש בה משום שלילת מאפייני הליבה של מדינת ישראל. </w:t>
      </w:r>
    </w:p>
    <w:p w:rsidR="00C044AE" w:rsidRDefault="00C044AE" w:rsidP="00C044AE">
      <w:pPr>
        <w:pStyle w:val="Ruller41"/>
        <w:rPr>
          <w:rtl/>
        </w:rPr>
      </w:pPr>
    </w:p>
    <w:p w:rsidR="00C044AE" w:rsidRDefault="00C044AE" w:rsidP="00C044AE">
      <w:pPr>
        <w:pStyle w:val="Ruller4"/>
      </w:pPr>
      <w:r>
        <w:rPr>
          <w:rFonts w:hint="cs"/>
          <w:rtl/>
        </w:rPr>
        <w:t xml:space="preserve">לשיטת העותרים, התיקון נושא העתירות פוגע פגיעה קשה במאפיינים הגרעיניים של ישראל כמדינה דמוקרטית. ראשית, כך נטען, התיקון פוגע בעקרון </w:t>
      </w:r>
      <w:r w:rsidRPr="00A51163">
        <w:rPr>
          <w:rFonts w:ascii="Century" w:hAnsi="Century" w:hint="cs"/>
          <w:sz w:val="22"/>
          <w:rtl/>
        </w:rPr>
        <w:t>שלטון החוק</w:t>
      </w:r>
      <w:r w:rsidRPr="00A51163">
        <w:rPr>
          <w:rFonts w:hint="cs"/>
          <w:rtl/>
        </w:rPr>
        <w:t xml:space="preserve"> </w:t>
      </w:r>
      <w:r>
        <w:rPr>
          <w:rFonts w:hint="cs"/>
          <w:rtl/>
        </w:rPr>
        <w:t xml:space="preserve">שכן הוא מאפשר לדרג הנבחר לפעול ככל העולה על רוחו וללא פיקוח שיפוטי. לטענת העותרים, משמעות התיקון היא למעשה ביטול בפועל של החובה החלה על הממשלה וחבריה לפעול בסבירות. שנית, העותרים טוענים כי התיקון פוגע קשות </w:t>
      </w:r>
      <w:r>
        <w:rPr>
          <w:rFonts w:hint="cs"/>
          <w:rtl/>
        </w:rPr>
        <w:lastRenderedPageBreak/>
        <w:t xml:space="preserve">בהפרדת הרשויות, היות שמשמעותו היא ריכוז כוח שלטוני חסר תקדים בידי הממשלה. עוד נטען כי התיקון שולל למעשה את זכות הגישה לערכאות ביחס להחלטות מינהליות רבות. ידידי בית המשפט הרחיבו בטענותיהם בהקשר זה באשר לזכויות ואינטרסים חשובים שלטענתם לא ניתן יהיה להגן עליהם ללא עילת הסבירות. </w:t>
      </w:r>
    </w:p>
    <w:p w:rsidR="00C044AE" w:rsidRPr="0037425C"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 xml:space="preserve">העותרים מוסיפים כי הפגיעה הנגרמת כתוצאה מהתיקון היא חמורה במיוחד נוכח נוסחו הגורף של התיקון, אשר שולל לחלוטין את עילת הסבירות באשר לכלל סוגי ההחלטות של הממשלה ושריה, לרבות החלטות בעניינו של הפרט שאין כל הצדקה לחסנן מביקורת שיפוטית. עוד נטען כי קיימים תחומים שלמים שבהם המגבלה היחידה על כוחה של הממשלה היא עילת הסבירות ובכללם תחום המינויים והפיטורים בשירות הציבורי והחלטות המתקבלות בתקופת בחירות. בעתירת נומה צוין עוד כי בעקבות התיקון תיפגע באופן ניכר היכולת להגן על משרתי כוחות הביטחון מפני העמדה לדין בגין הפרת כללי המשפט הבינלאומי. </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 xml:space="preserve">כמו כן ביקשו העותרים שבית המשפט יביא במניין השיקולים את העובדה שבמקביל לתיקון מקודמים צעדים נוספים כחלק מתכנית כוללת לשינוי מערכת המשפט, אשר נועדה להחלישה ולפגוע קשות בעצמאותה ולהקנות כוח מוחלט לממשלה ולרוב הקואליציוני. </w:t>
      </w:r>
    </w:p>
    <w:p w:rsidR="00C044AE" w:rsidRDefault="00C044AE" w:rsidP="00C044AE">
      <w:pPr>
        <w:pStyle w:val="Ruller41"/>
        <w:rPr>
          <w:rtl/>
        </w:rPr>
      </w:pPr>
    </w:p>
    <w:p w:rsidR="00C044AE" w:rsidRPr="00124117" w:rsidRDefault="00C044AE" w:rsidP="00C044AE">
      <w:pPr>
        <w:pStyle w:val="Ruller4"/>
        <w:rPr>
          <w:rtl/>
        </w:rPr>
      </w:pPr>
      <w:r>
        <w:rPr>
          <w:rFonts w:hint="cs"/>
          <w:rtl/>
        </w:rPr>
        <w:t xml:space="preserve">העותרים מוסיפים וטוענים כי יש להורות על בטלות התיקון גם מן הטעם שהוא מהווה שימוש לרעה בסמכות המכוננת. לשיטת העותרים, התיקון שהתקבל אינו עומד במבחני העזר שנקבעו בבג"ץ 5969/20 </w:t>
      </w:r>
      <w:r w:rsidRPr="00612468">
        <w:rPr>
          <w:rFonts w:ascii="Century" w:hAnsi="Century" w:cs="Miriam" w:hint="cs"/>
          <w:b/>
          <w:spacing w:val="0"/>
          <w:sz w:val="22"/>
          <w:szCs w:val="24"/>
          <w:rtl/>
        </w:rPr>
        <w:t>שפיר נ' הכנסת</w:t>
      </w:r>
      <w:r w:rsidRPr="00612468">
        <w:rPr>
          <w:rFonts w:hint="cs"/>
          <w:rtl/>
        </w:rPr>
        <w:t xml:space="preserve"> </w:t>
      </w:r>
      <w:r>
        <w:rPr>
          <w:rFonts w:hint="cs"/>
          <w:rtl/>
        </w:rPr>
        <w:t xml:space="preserve">(23.5.2021) (להלן: </w:t>
      </w:r>
      <w:r w:rsidRPr="00612468">
        <w:rPr>
          <w:rFonts w:ascii="Century" w:hAnsi="Century" w:cs="Miriam" w:hint="cs"/>
          <w:b/>
          <w:spacing w:val="0"/>
          <w:sz w:val="22"/>
          <w:szCs w:val="24"/>
          <w:rtl/>
        </w:rPr>
        <w:t>עניין שפיר</w:t>
      </w:r>
      <w:r>
        <w:rPr>
          <w:rFonts w:hint="cs"/>
          <w:rtl/>
        </w:rPr>
        <w:t xml:space="preserve">) לזיהויה של נורמה חוקתית. העותרים מתמקדים בהקשר זה בעיקר במבחן הכלליות ובמבחן ההתאמה למארג החוקתי. באשר למבחן הכלליות, נטען כי התיקון </w:t>
      </w:r>
      <w:r>
        <w:rPr>
          <w:rtl/>
        </w:rPr>
        <w:t>–</w:t>
      </w:r>
      <w:r>
        <w:rPr>
          <w:rFonts w:hint="cs"/>
          <w:rtl/>
        </w:rPr>
        <w:t xml:space="preserve"> שהוחל באופן מיידי </w:t>
      </w:r>
      <w:r>
        <w:rPr>
          <w:rtl/>
        </w:rPr>
        <w:t>–</w:t>
      </w:r>
      <w:r>
        <w:rPr>
          <w:rFonts w:hint="cs"/>
          <w:rtl/>
        </w:rPr>
        <w:t xml:space="preserve"> הוא תיקון פרסונאלי שנועד להיטיב בראש ובראשונה עם הממשלה המכהנת ולהעניק לה את היכולת לפעול ללא כל פיקוח. באשר למבחן ההתאמה למארג החוקתי, נטען כי אין אח ורע בחקיקת היסוד להוראה העוסקת בביטול עילת תביעה או עילת ביקורת שיפוטית ספציפית, וכי מקומה של הוראה מסוג זה הוא בחקיקה ראשית. בהיעדר כל צידוק לעיגונה של ההוראה בחוק יסוד </w:t>
      </w:r>
      <w:r>
        <w:rPr>
          <w:rtl/>
        </w:rPr>
        <w:t>–</w:t>
      </w:r>
      <w:r>
        <w:rPr>
          <w:rFonts w:hint="cs"/>
          <w:rtl/>
        </w:rPr>
        <w:t xml:space="preserve"> למעט הרצון לחסנה מהתערבות שיפוטית </w:t>
      </w:r>
      <w:r>
        <w:rPr>
          <w:rtl/>
        </w:rPr>
        <w:t>–</w:t>
      </w:r>
      <w:r>
        <w:rPr>
          <w:rFonts w:hint="cs"/>
          <w:rtl/>
        </w:rPr>
        <w:t xml:space="preserve"> נטען כי יש להורות על בטלות התיקון. כסעד חלופי מבקשים חלק מן העותרים להורות על דחיית תחולתו של התיקון לכנסת הבאה. </w:t>
      </w:r>
    </w:p>
    <w:p w:rsidR="00C044AE" w:rsidRDefault="00C044AE" w:rsidP="00C044AE">
      <w:pPr>
        <w:pStyle w:val="Ruller41"/>
        <w:rPr>
          <w:rtl/>
        </w:rPr>
      </w:pPr>
    </w:p>
    <w:p w:rsidR="00C044AE" w:rsidRDefault="00C044AE" w:rsidP="00C044AE">
      <w:pPr>
        <w:pStyle w:val="Ruller4"/>
        <w:rPr>
          <w:rtl/>
        </w:rPr>
      </w:pPr>
      <w:r>
        <w:rPr>
          <w:rtl/>
        </w:rPr>
        <w:tab/>
      </w:r>
      <w:r>
        <w:rPr>
          <w:rFonts w:hint="cs"/>
          <w:rtl/>
        </w:rPr>
        <w:t xml:space="preserve">כמו כן, טוענים העותרים לקיומם של פגמים בהליך חקיקת התיקון שאף הם מצדיקים את ביטולו. כך, נטען כי לא ניתן היה לקדם את הצעת התיקון במסלול של </w:t>
      </w:r>
      <w:r>
        <w:rPr>
          <w:rFonts w:hint="cs"/>
          <w:rtl/>
        </w:rPr>
        <w:lastRenderedPageBreak/>
        <w:t>הצעה מטעם ועדת החוקה לפי סעיף 80 לתקנון הכנסת וכי הבחירה במסלול זה נועדה לעקוף את המנגנונים הסדורים החלים על הצעות חוק ממשלתיות ופרטיות. עוד טוענים העותרים כי בענייננו נפל פגם מהותי אף בעקרון ההשתתפות של חברי הכנסת, כפי שהוגדר ב</w:t>
      </w:r>
      <w:r w:rsidRPr="0050324A">
        <w:rPr>
          <w:rFonts w:hint="cs"/>
          <w:color w:val="000000" w:themeColor="text1"/>
          <w:rtl/>
        </w:rPr>
        <w:t xml:space="preserve">בג"ץ 10042/16 </w:t>
      </w:r>
      <w:r w:rsidRPr="0050324A">
        <w:rPr>
          <w:rFonts w:ascii="Century" w:hAnsi="Century" w:cs="Miriam" w:hint="cs"/>
          <w:b/>
          <w:color w:val="000000" w:themeColor="text1"/>
          <w:spacing w:val="0"/>
          <w:sz w:val="22"/>
          <w:szCs w:val="24"/>
          <w:rtl/>
        </w:rPr>
        <w:t>קוונטינסקי נ' כנסת ישראל</w:t>
      </w:r>
      <w:r w:rsidRPr="0050324A">
        <w:rPr>
          <w:rFonts w:hint="cs"/>
          <w:color w:val="000000" w:themeColor="text1"/>
          <w:rtl/>
        </w:rPr>
        <w:t xml:space="preserve"> (6.8.2017) (להלן: </w:t>
      </w:r>
      <w:r w:rsidRPr="0050324A">
        <w:rPr>
          <w:rFonts w:ascii="Century" w:hAnsi="Century" w:cs="Miriam" w:hint="cs"/>
          <w:b/>
          <w:color w:val="000000" w:themeColor="text1"/>
          <w:spacing w:val="0"/>
          <w:sz w:val="22"/>
          <w:szCs w:val="24"/>
          <w:rtl/>
        </w:rPr>
        <w:t>עניין קוונטינסקי</w:t>
      </w:r>
      <w:r w:rsidRPr="0050324A">
        <w:rPr>
          <w:rFonts w:hint="cs"/>
          <w:color w:val="000000" w:themeColor="text1"/>
          <w:rtl/>
        </w:rPr>
        <w:t>).</w:t>
      </w:r>
      <w:r>
        <w:rPr>
          <w:rFonts w:hint="cs"/>
          <w:rtl/>
        </w:rPr>
        <w:t xml:space="preserve"> בהקשר זה נטען כי הדיונים בהצעת התיקון נמשכו שלושה שבועות בלבד, מבלי שנערך דיון ממצה בהשלכות התיקון, ובכללן השלכותיו על כשירות צה"ל ועל ביטחון המדינה; כי במהלך הדיונים הוטחו במשתתפים עלבונות ונשללה מהם זכות הדיבור, באופן שפגע ביכולת להשתתף בהליך החקיקה; וכי השימוש בסעיף 98 לתקנון הכנסת שנועד לקיצור הדיון בהצעת חוק במקרים חריגים וקיצוניים, פגע אף הוא בתקינות ההליך. </w:t>
      </w:r>
    </w:p>
    <w:p w:rsidR="00C044AE" w:rsidRDefault="00C044AE" w:rsidP="00C044AE">
      <w:pPr>
        <w:pStyle w:val="Ruller41"/>
        <w:rPr>
          <w:rtl/>
        </w:rPr>
      </w:pPr>
    </w:p>
    <w:p w:rsidR="00C044AE" w:rsidRDefault="00C044AE" w:rsidP="00C044AE">
      <w:pPr>
        <w:pStyle w:val="Ruller4"/>
      </w:pPr>
      <w:r>
        <w:rPr>
          <w:rFonts w:hint="cs"/>
          <w:rtl/>
        </w:rPr>
        <w:t xml:space="preserve">היועצת המשפטית לממשלה תומכת, כאמור, בעמדת העותרים וסבורה אף היא כי יש להורות על בטלות התיקון. לעמדתה, יש להכיר בסמכותו של בית משפט זה לקיים ביקורת שיפוטית על תוכנם של חוקי יסוד. בדומה לעמדת העותרים, סבורה היועצת כי סמכות זו נובעת מתפקידו המוסדי של בית המשפט הגבוה לצדק לוודא כי רשויות המדינה </w:t>
      </w:r>
      <w:r>
        <w:rPr>
          <w:rtl/>
        </w:rPr>
        <w:t>–</w:t>
      </w:r>
      <w:r>
        <w:rPr>
          <w:rFonts w:hint="cs"/>
          <w:rtl/>
        </w:rPr>
        <w:t xml:space="preserve"> ובכללן הרשות המכוננת </w:t>
      </w:r>
      <w:r>
        <w:rPr>
          <w:rtl/>
        </w:rPr>
        <w:t>–</w:t>
      </w:r>
      <w:r>
        <w:rPr>
          <w:rFonts w:hint="cs"/>
          <w:rtl/>
        </w:rPr>
        <w:t xml:space="preserve"> אינן חורגות מסמכותן, ומקורה בסמכות הנתונה לבית משפט זה להושיט סעד בהתאם לסעיף 15(ג) לחוק היסוד. היועצת מתייחסת אף היא בהקשר זה לקלות היתרה שבה ניתן לכונן חוקי יסוד ולמבנה המוסדי הייחודי של מדינת ישראל, וטוענת כי בהיעדר ביקורת שיפוטית אין כל דרך להתמודד עם תיקון חוקתי השולל את מאפייניה הגרעיניים של מדינת ישראל כמדינה יהודית ודמוקרטית.</w:t>
      </w:r>
    </w:p>
    <w:p w:rsidR="00C044AE" w:rsidRDefault="00C044AE" w:rsidP="00C044AE">
      <w:pPr>
        <w:pStyle w:val="Ruller4"/>
        <w:numPr>
          <w:ilvl w:val="0"/>
          <w:numId w:val="0"/>
        </w:numPr>
      </w:pPr>
    </w:p>
    <w:p w:rsidR="00C044AE" w:rsidRDefault="00C044AE" w:rsidP="00C044AE">
      <w:pPr>
        <w:pStyle w:val="Ruller4"/>
        <w:rPr>
          <w:rtl/>
        </w:rPr>
      </w:pPr>
      <w:r>
        <w:rPr>
          <w:rFonts w:hint="cs"/>
          <w:rtl/>
        </w:rPr>
        <w:t xml:space="preserve">היועצת סבורה כי התיקון נושא העתירה הוא מקרה חריג שבו אין מנוס מהתערבות בית המשפט, שכן מדובר בתיקון חסר תקדים הפוגע באופן אנוש בערובות הקיימות לריסון כוחו של הרוב. לשיטת היועצת, מדובר בתיקון גורף שחל לא רק על החלטות </w:t>
      </w:r>
      <w:r>
        <w:rPr>
          <w:rtl/>
        </w:rPr>
        <w:t>מדיני</w:t>
      </w:r>
      <w:r w:rsidRPr="00FD439C">
        <w:rPr>
          <w:rtl/>
        </w:rPr>
        <w:t>וּת</w:t>
      </w:r>
      <w:r>
        <w:rPr>
          <w:rFonts w:hint="cs"/>
          <w:rtl/>
        </w:rPr>
        <w:t xml:space="preserve"> רוחביות אלא גם על החלטות רבות של שרים שהן יישומיות-מקצועיות באופן מובהק. עוד נטען, כי בניגוד לטענות שנשמעו מצד תומכי התיקון בדיונים שקיימה הוועדה, פיקוח פרלמנטרי אינו יכול להוות תחליף אפקטיבי לביקורת שיפוטית מכוח עילת הסבירות; ועילות אחרות ובהן עילת המידתיות </w:t>
      </w:r>
      <w:r>
        <w:rPr>
          <w:rtl/>
        </w:rPr>
        <w:t>–</w:t>
      </w:r>
      <w:r>
        <w:rPr>
          <w:rFonts w:hint="cs"/>
          <w:rtl/>
        </w:rPr>
        <w:t xml:space="preserve"> אינן מספיקות לצורך מילוי "החלל הנורמטיבי" שנפער כתוצאה מביטול עילת הסבירות. </w:t>
      </w:r>
    </w:p>
    <w:p w:rsidR="00C044AE" w:rsidRDefault="00C044AE" w:rsidP="00C044AE">
      <w:pPr>
        <w:pStyle w:val="Ruller41"/>
        <w:rPr>
          <w:rtl/>
        </w:rPr>
      </w:pPr>
    </w:p>
    <w:p w:rsidR="00C044AE" w:rsidRDefault="00C044AE" w:rsidP="00C044AE">
      <w:pPr>
        <w:pStyle w:val="Ruller41"/>
        <w:rPr>
          <w:rtl/>
        </w:rPr>
      </w:pPr>
      <w:r>
        <w:rPr>
          <w:rtl/>
        </w:rPr>
        <w:tab/>
      </w:r>
      <w:r>
        <w:rPr>
          <w:rFonts w:hint="cs"/>
          <w:rtl/>
        </w:rPr>
        <w:t xml:space="preserve">היועצת מוסיפה כי התיקון פוגע קשות בשלטון החוק, שכן הוא מציב את הדרג הנבחר "מעל החוק", בהתחשב בכך שלבתי המשפט </w:t>
      </w:r>
      <w:r>
        <w:rPr>
          <w:rtl/>
        </w:rPr>
        <w:t>–</w:t>
      </w:r>
      <w:r>
        <w:rPr>
          <w:rFonts w:hint="cs"/>
          <w:rtl/>
        </w:rPr>
        <w:t xml:space="preserve"> וכתוצאה מכך גם למערך הייעוץ המשפטי לממשלה </w:t>
      </w:r>
      <w:r>
        <w:rPr>
          <w:rtl/>
        </w:rPr>
        <w:t>–</w:t>
      </w:r>
      <w:r>
        <w:rPr>
          <w:rFonts w:hint="cs"/>
          <w:rtl/>
        </w:rPr>
        <w:t xml:space="preserve"> לא נותרו כלים אפקטיביים לפקח על עמידתם של הממשלה והשרים </w:t>
      </w:r>
      <w:r>
        <w:rPr>
          <w:rFonts w:hint="cs"/>
          <w:rtl/>
        </w:rPr>
        <w:lastRenderedPageBreak/>
        <w:t xml:space="preserve">בחובת הסבירות. לשיטתה, התיקון עלול לגרום לפגיעה בלתי הפיכה בעצמאותם של שומרי סף; לשנות מן היסוד את מאפייני הליבה של השירות הציבורי; ולפגוע בשוויון בבחירות, שכן הממשלה המכהנת תוכל להשתמש בסמכויות ובמשאבים שברשותה בתקופת בחירות מבלי שבית המשפט יבחן את סבירות החלטותיה. היועצת מדגישה כי התיקון </w:t>
      </w:r>
      <w:r w:rsidRPr="0074021F">
        <w:rPr>
          <w:rFonts w:ascii="Century" w:hAnsi="Century" w:cs="Miriam" w:hint="cs"/>
          <w:b/>
          <w:spacing w:val="0"/>
          <w:szCs w:val="24"/>
          <w:rtl/>
        </w:rPr>
        <w:t>לבדו</w:t>
      </w:r>
      <w:r w:rsidRPr="0074021F">
        <w:rPr>
          <w:rFonts w:hint="cs"/>
          <w:rtl/>
        </w:rPr>
        <w:t xml:space="preserve"> </w:t>
      </w:r>
      <w:r>
        <w:rPr>
          <w:rFonts w:hint="cs"/>
          <w:rtl/>
        </w:rPr>
        <w:t xml:space="preserve">מוביל לפגיעה אנושה במאפיינים הגרעיניים של המשטר הדמוקרטי במדינה. היועצת מוסיפה כי יש להביא בחשבון בהקשר זה גם את העובדה שהתיקון מהווה חלק מתכנית רחבה יותר לשינוי מערכת המשפט, אשר עלולה לפגוע פגיעה בלתי הפיכה ביכולתו של בית המשפט למלא את תפקידו החוקתי במדינה דמוקרטית. </w:t>
      </w:r>
    </w:p>
    <w:p w:rsidR="00C044AE" w:rsidRDefault="00C044AE" w:rsidP="00C044AE">
      <w:pPr>
        <w:pStyle w:val="Ruller41"/>
        <w:rPr>
          <w:rtl/>
        </w:rPr>
      </w:pPr>
    </w:p>
    <w:p w:rsidR="00C044AE" w:rsidRDefault="00C044AE" w:rsidP="00C044AE">
      <w:pPr>
        <w:pStyle w:val="Ruller4"/>
        <w:rPr>
          <w:rtl/>
        </w:rPr>
      </w:pPr>
      <w:r>
        <w:rPr>
          <w:rFonts w:hint="cs"/>
          <w:rtl/>
        </w:rPr>
        <w:t xml:space="preserve">עוד טוענת היועצת, בדומה לעותרים, כי התיקון נחקק תוך שימוש לרעה בסמכות המכוננת, בהדגישה בהקשר זה בעיקר את אי העמידה במבחן המארג החוקתי. לטענתה, עיגון הוראה בחקיקת יסוד המבטלת עילת ביקורת שיפוטית ספציפית ביחס לממשלה ולשריה, מהווה נטע זר במארג החוקתי הכולל. לא בכדי, כך נטען, ההגבלות שנקבעו עד היום על סמכויותיהן של ערכאות שיפוטיות עוגנו בחקיקה ראשית או בחקיקת משנה. עיגון התיקון בחוק יסוד, כך מדגישה היועצת, אינו מאפשר לבחון את חוקתיותו בהתאם למבחני פסקת ההגבלה. היועצת מוסיפה ומציינת כי התיקון מעורר קושי אף במישור מבחן הכלליות ומבחן המובחנות. </w:t>
      </w:r>
    </w:p>
    <w:p w:rsidR="00C044AE" w:rsidRDefault="00C044AE" w:rsidP="00C044AE">
      <w:pPr>
        <w:pStyle w:val="Ruller41"/>
        <w:rPr>
          <w:rtl/>
        </w:rPr>
      </w:pPr>
    </w:p>
    <w:p w:rsidR="00C044AE" w:rsidRDefault="00C044AE" w:rsidP="00C044AE">
      <w:pPr>
        <w:pStyle w:val="Ruller4"/>
      </w:pPr>
      <w:r>
        <w:rPr>
          <w:rFonts w:hint="cs"/>
          <w:rtl/>
        </w:rPr>
        <w:t>לגישת היועצת, ספק אם טענות העותרים לפגמים בהליכי החקיקה מצדיקות את ביטול התיקון כשלעצמן</w:t>
      </w:r>
      <w:r>
        <w:rPr>
          <w:rFonts w:ascii="Century" w:hAnsi="Century" w:hint="cs"/>
          <w:sz w:val="22"/>
          <w:rtl/>
        </w:rPr>
        <w:t xml:space="preserve">, אך </w:t>
      </w:r>
      <w:r>
        <w:rPr>
          <w:rFonts w:hint="cs"/>
          <w:rtl/>
        </w:rPr>
        <w:t xml:space="preserve">פגמים אלה מחמירים את הפגמים האחרים שנפלו בתיקון. לבסוף מציינת היועצת, כי אף שככלל פתרון פרשני עדיף על פסילת התיקון, בענייננו לא ניתן לפרש את התיקון באופן שיאפשר להותירו על כנו, מבלי שנוסח התיקון ייכתב מחדש על ידי בית המשפט. על כן, ובהיעדר סעדים חלופיים אחרים שיתנו מענה לפגמים החמורים שנפלו בתיקון, סבורה היועצת כי אין מנוס מהכרזה על בטלותו. </w:t>
      </w:r>
    </w:p>
    <w:p w:rsidR="00C044AE" w:rsidRDefault="00C044AE" w:rsidP="00C044AE">
      <w:pPr>
        <w:pStyle w:val="Ruller4"/>
        <w:numPr>
          <w:ilvl w:val="0"/>
          <w:numId w:val="0"/>
        </w:numPr>
        <w:rPr>
          <w:rtl/>
        </w:rPr>
      </w:pPr>
    </w:p>
    <w:p w:rsidR="00C044AE" w:rsidRDefault="00C044AE" w:rsidP="00C044AE">
      <w:pPr>
        <w:pStyle w:val="Ruller4"/>
        <w:rPr>
          <w:rtl/>
        </w:rPr>
      </w:pPr>
      <w:r>
        <w:rPr>
          <w:rFonts w:hint="cs"/>
          <w:rtl/>
        </w:rPr>
        <w:t>הכנסת סבורה, מנגד, כי דין העתירות להידחות. הכנסת טוענת כי בית משפט זה אינו מוסמך לקיים ביקורת שיפוטית על חוקי יסוד, בין היתר, נוכח היעדרה של הסמכה מפורשת לביקורת מסוג זה והיעדרן של הוראות המגבילות את הרשות המכוננת בכינון חוקי יסוד. הכנסת מדגישה כי לא ניתן לראות בסעיף 15 לחוק-יסוד:</w:t>
      </w:r>
      <w:r>
        <w:rPr>
          <w:rFonts w:hint="cs"/>
        </w:rPr>
        <w:t xml:space="preserve"> </w:t>
      </w:r>
      <w:r>
        <w:rPr>
          <w:rFonts w:hint="cs"/>
          <w:rtl/>
        </w:rPr>
        <w:t xml:space="preserve">השפיטה, מקור סמכות לעריכת ביקורת שיפוטית על נורמות אחרות שאף הן מעוגנות בחוקי היסוד. בנוסף טוענת הכנסת כי עריכת ביקורת שיפוטית על חוקי יסוד שומטת את הבסיס לקיום ביקורת שיפוטית על חקיקה ראשית; וכי אל לו לבית המשפט לקבוע עקרונות שמגבילים את הרשות המכוננת, אשר לא נקבעו על ידי הריבון (העם). הכנסת מוסיפה כי היות </w:t>
      </w:r>
      <w:r>
        <w:rPr>
          <w:rFonts w:hint="cs"/>
          <w:rtl/>
        </w:rPr>
        <w:lastRenderedPageBreak/>
        <w:t>שהמפעל החוקתי הישראלי טרם הושלם, התיאוריות שהוצעו לביסוס הדוקטרינה בדבר תיקון חוקתי שאינו חוקתי, אינן מתאימות למדינת ישראל. על כן נטען כי אף אם קיימות מגבלות על הרשות המכוננת, אין מקום לאפשר פיקוח של בית המשפט על העמידה בהן.</w:t>
      </w:r>
    </w:p>
    <w:p w:rsidR="00C044AE" w:rsidRDefault="00C044AE" w:rsidP="00C044AE">
      <w:pPr>
        <w:pStyle w:val="Ruller41"/>
        <w:rPr>
          <w:rtl/>
        </w:rPr>
      </w:pPr>
    </w:p>
    <w:p w:rsidR="00C044AE" w:rsidRDefault="00C044AE" w:rsidP="00C044AE">
      <w:pPr>
        <w:pStyle w:val="Ruller4"/>
        <w:rPr>
          <w:rtl/>
        </w:rPr>
      </w:pPr>
      <w:r>
        <w:rPr>
          <w:rFonts w:hint="cs"/>
          <w:rtl/>
        </w:rPr>
        <w:t>מכל מקום, הכנסת סבורה כי דין העתירות להידחות על הסף מחמת חוסר בשלות, שכן טרם התגבשה התשתית העובדתית לבחינת השלכות התיקון. לטענתה, נוסחו של התיקון עמום וטרם ברור כיצד יפורש על ידי בתי המשפט. כמו כן, טרם התברר האם יש ביכולתה של הכנסת לאכוף באמצעות כלים פרלמנטריים את חובת הסבירות שעודנה חלה ביחס לממשלה והשרים. עוד טוענת הכנסת כי העתירות אינן בשלות אף משום שיישום התיקון תלוי בהתנהלות הממשלה והשרים במצב המשפטי החדש.</w:t>
      </w:r>
    </w:p>
    <w:p w:rsidR="00C044AE" w:rsidRDefault="00C044AE" w:rsidP="00C044AE">
      <w:pPr>
        <w:pStyle w:val="Ruller41"/>
        <w:rPr>
          <w:rtl/>
        </w:rPr>
      </w:pPr>
    </w:p>
    <w:p w:rsidR="00C044AE" w:rsidRDefault="00C044AE" w:rsidP="00C044AE">
      <w:pPr>
        <w:pStyle w:val="Ruller4"/>
        <w:rPr>
          <w:rtl/>
        </w:rPr>
      </w:pPr>
      <w:r>
        <w:rPr>
          <w:rFonts w:hint="cs"/>
          <w:rtl/>
        </w:rPr>
        <w:t xml:space="preserve">ככל שיוחלט להכריע בשאלת חוקתיות התיקון כבר כעת, הכנסת סבורה כי הוא אינו מגיע כדי תיקון חוקתי שאינו חוקתי, שכן הוא אינו פוגע בליבת מאפייניה הגרעיניים של המדינה. בהקשר זה נטען כי הייעוץ המשפטי לכנסת עמד במהלך הדיונים בוועדה על הקשיים העולים ממנו והציע חלופות לשינוי נוסח התיקון, אך אי-קבלת ההצעות האמורות אין משמעה כי התיקון כפי שהתקבל הוא בלתי חוקתי. הכנסת סבורה כי הרף לקיום ביקורת שיפוטית על תוכנה של חקיקת יסוד צריך להיות גבוה ביותר, בדומה לאמות המידה לפסילת מועמדים לבחירות לכנסת לפי סעיף 7א(א) לחוק-יסוד: הכנסת. בענייננו, כך נטען, מדובר בתיקון שאינו שולל כליל את הביקורת השיפוטית על החלטות הממשלה ושריה, אלא נוגע רק לשלילת עילת הסבירות, המוסיפה לחול ביחס לרשויות אחרות. עוד צוין כי לא ניתן לבסס ביקורת שיפוטית ביחס לתיקון בהסתמך על ההנחה שלפיה הוא מהווה חלק ממהלך מקיף ורחב יותר של שינויים עתידיים שיפגעו בזהות הדמוקרטית של המדינה. </w:t>
      </w:r>
    </w:p>
    <w:p w:rsidR="00C044AE" w:rsidRDefault="00C044AE" w:rsidP="00C044AE">
      <w:pPr>
        <w:pStyle w:val="Ruller41"/>
        <w:rPr>
          <w:rtl/>
        </w:rPr>
      </w:pPr>
    </w:p>
    <w:p w:rsidR="00C044AE" w:rsidRDefault="00C044AE" w:rsidP="00C044AE">
      <w:pPr>
        <w:pStyle w:val="Ruller41"/>
        <w:rPr>
          <w:rtl/>
        </w:rPr>
      </w:pPr>
      <w:r>
        <w:rPr>
          <w:rtl/>
        </w:rPr>
        <w:tab/>
      </w:r>
      <w:r>
        <w:rPr>
          <w:rFonts w:hint="cs"/>
          <w:rtl/>
        </w:rPr>
        <w:t xml:space="preserve">לכך מוסיפה הכנסת, כי ניתן לצמצם את היקף תחולתו של התיקון בדרכים פרשניות. כך, לשיטתה, ניתן לפרשו באופן שלא יחול על החלטות מופרכות שניתן היה לפסול אותן גם לפני עניין </w:t>
      </w:r>
      <w:r w:rsidRPr="00F223C6">
        <w:rPr>
          <w:rFonts w:ascii="Century" w:hAnsi="Century" w:cs="Miriam" w:hint="cs"/>
          <w:b/>
          <w:spacing w:val="0"/>
          <w:szCs w:val="24"/>
          <w:rtl/>
        </w:rPr>
        <w:t>דפי זהב</w:t>
      </w:r>
      <w:r>
        <w:rPr>
          <w:rFonts w:hint="cs"/>
          <w:rtl/>
        </w:rPr>
        <w:t xml:space="preserve">. עוד מציינת הכנסת כי ניתן לפתח כלים שיפוטיים חדשים לקיום ביקורת בתחום המינויים ובנוגע להחלטות של ממשלת מעבר. </w:t>
      </w:r>
    </w:p>
    <w:p w:rsidR="00C044AE" w:rsidRPr="00F223C6" w:rsidRDefault="00C044AE" w:rsidP="00C044AE">
      <w:pPr>
        <w:pStyle w:val="Ruller41"/>
      </w:pPr>
    </w:p>
    <w:p w:rsidR="00C044AE" w:rsidRDefault="00C044AE" w:rsidP="00C044AE">
      <w:pPr>
        <w:pStyle w:val="Ruller4"/>
        <w:rPr>
          <w:rtl/>
        </w:rPr>
      </w:pPr>
      <w:r>
        <w:rPr>
          <w:rFonts w:hint="cs"/>
          <w:rtl/>
        </w:rPr>
        <w:t xml:space="preserve">הכנסת מדגישה כי התיקון אינו מהווה שימוש לרעה בסמכות המכוננת, שכן מדובר בתיקון כללי, יציב ומופשט המתאים, לגישתה, למארג החוקתי הקיים. בהתייחס לתחולתו המיידית של התיקון, נטען כי אף שמוטב שתחולתם של חוקי יסוד משטריים תהא עתידית, בפועל נחקקו תיקונים רבים מסוג זה בתחולה מיידית ובפסיקה כבר הובהר </w:t>
      </w:r>
      <w:r>
        <w:rPr>
          <w:rFonts w:hint="cs"/>
          <w:rtl/>
        </w:rPr>
        <w:lastRenderedPageBreak/>
        <w:t xml:space="preserve">כי אין בעובדה זו כשלעצמה כדי להוות עילה לביטול חוק יסוד. באשר למבחן המארג החוקתי, מציינת הכנסת כי "המקום הטבעי" לקביעת כללים באשר לקיום ביקורת שיפוטית על ידי בית המשפט הוא חוק-יסוד: השפיטה, ואין כל פסול בתיקון שנותן מענה לעניין נקודתי ואינו מסדיר את כלל ההיבטים הנוגעים לביקורת שיפוטית על החלטות מינהליות. </w:t>
      </w:r>
    </w:p>
    <w:p w:rsidR="00C044AE" w:rsidRDefault="00C044AE" w:rsidP="00C044AE">
      <w:pPr>
        <w:pStyle w:val="Ruller41"/>
        <w:rPr>
          <w:rtl/>
        </w:rPr>
      </w:pPr>
    </w:p>
    <w:p w:rsidR="00C044AE" w:rsidRDefault="00C044AE" w:rsidP="00C044AE">
      <w:pPr>
        <w:pStyle w:val="Ruller4"/>
        <w:rPr>
          <w:rtl/>
        </w:rPr>
      </w:pPr>
      <w:r>
        <w:rPr>
          <w:rFonts w:hint="cs"/>
          <w:rtl/>
        </w:rPr>
        <w:t xml:space="preserve">לבסוף טוענת הכנסת כי לא נפל פגם בהליך החקיקה המצדיק את פסילת התיקון, וזאת אף ש"ניתן היה לנקוט בהליך חקיקה מיטבי יותר מזה שנהג בפועל" (פסקה 224 לתצהיר התשובה מטעמה). כך, נטען כי בהתאם להוראות תקנון הכנסת ניתן היה לקדם את הצעת התיקון כהצעה מטעם הוועדה; וכי הטענות בדבר פגיעה בעקרון ההשתתפות אינן עומדות, ולו בדוחק, במבחן שנקבע בעניין </w:t>
      </w:r>
      <w:r w:rsidRPr="00C3361E">
        <w:rPr>
          <w:rFonts w:ascii="Century" w:hAnsi="Century" w:cs="Miriam" w:hint="cs"/>
          <w:b/>
          <w:spacing w:val="0"/>
          <w:sz w:val="22"/>
          <w:szCs w:val="24"/>
          <w:rtl/>
        </w:rPr>
        <w:t>קוונטינסקי</w:t>
      </w:r>
      <w:r>
        <w:rPr>
          <w:rFonts w:hint="cs"/>
          <w:rtl/>
        </w:rPr>
        <w:t xml:space="preserve"> לפסילת חוק מטעמים אלה.</w:t>
      </w:r>
    </w:p>
    <w:p w:rsidR="00C044AE" w:rsidRDefault="00C044AE" w:rsidP="00C044AE">
      <w:pPr>
        <w:pStyle w:val="Ruller41"/>
        <w:rPr>
          <w:rtl/>
        </w:rPr>
      </w:pPr>
    </w:p>
    <w:p w:rsidR="00C044AE" w:rsidRDefault="00C044AE" w:rsidP="00C044AE">
      <w:pPr>
        <w:pStyle w:val="Ruller4"/>
        <w:rPr>
          <w:rtl/>
        </w:rPr>
      </w:pPr>
      <w:r>
        <w:rPr>
          <w:rFonts w:hint="cs"/>
          <w:rtl/>
        </w:rPr>
        <w:t>יו"ר ועדת החוקה, ח"כ רוטמן, מצטרף לעמדת הכנסת לפיה בית משפט זה נעדר סמכות לערוך ביקורת שיפוטית על חוקי יסוד, ולשיטתו על הדיונים בנוגע לחוקי היסוד להתקיים בכנסת בלבד. במהלך הדיון בעתירות שהתקיים ביום 12.9.2023 התייחס ח"כ רוטמן לאפשרות לצמצם את תחולת התיקון על דרך של פרשנות, שהוצעה בעמדה מטעם הכנסת, והדגיש כי עמדה זו אינה מקובלת עליו וכי לגישתו, התיקון שולל מבית המשפט את הסמכות לדון ולהחליט בטענות הנוגעות לסבירות החלטות הממשלה ושריה, מכל היבט שהוא (בעמ' 39-37 לפרוטוקול הדיון).</w:t>
      </w:r>
    </w:p>
    <w:p w:rsidR="00C044AE" w:rsidRDefault="00C044AE" w:rsidP="00C044AE">
      <w:pPr>
        <w:pStyle w:val="Ruller41"/>
        <w:rPr>
          <w:rtl/>
        </w:rPr>
      </w:pPr>
    </w:p>
    <w:p w:rsidR="00C044AE" w:rsidRDefault="00C044AE" w:rsidP="00C044AE">
      <w:pPr>
        <w:pStyle w:val="Ruller4"/>
        <w:rPr>
          <w:rtl/>
        </w:rPr>
      </w:pPr>
      <w:r>
        <w:rPr>
          <w:rFonts w:hint="cs"/>
          <w:rtl/>
        </w:rPr>
        <w:t xml:space="preserve">משיבי הממשלה טוענים כי יש לדחות את העתירות תוך קביעה עקרונית שלא ניתן לקיים ביקורת שיפוטית על חוקי יסוד. לשיטתם, משקבע בית המשפט כי הוא יונק מחוקי היסוד את סמכותו לקיים ביקורת שיפוטית על חקיקה, אין הוא רשאי לדון בתוקפם, והדברים נכונים ביתר שאת כאשר מדובר בחוק-יסוד: השפיטה. משיבי הממשלה מציינים כי אימוץ דוקטרינה של תיקון חוקתי שאינו חוקתי בשיטתנו, יציב את מדינת ישראל כמדינה היחידה שבה ניתן להפעיל ביקורת שיפוטית על תיקונים חוקתיים, בהיעדר "פסקת נצחיות" בחוקה ובהיעדר חוקה שלמה. בראיית משיבי הממשלה, "בישראל אין על הרשות המכוננת מגבלות מהותיות" (פסקה 255 לתצהיר התשובה מטעמם), ולא ניתן להסתמך על עקרונות היסוד של השיטה, ערכיה של מדינת ישראל כמדינה יהודית ודמוקרטית או על הכרזת העצמאות </w:t>
      </w:r>
      <w:r>
        <w:rPr>
          <w:rtl/>
        </w:rPr>
        <w:t>–</w:t>
      </w:r>
      <w:r>
        <w:rPr>
          <w:rFonts w:hint="cs"/>
          <w:rtl/>
        </w:rPr>
        <w:t xml:space="preserve"> שאינה מהווה מקור משפטי מחייב </w:t>
      </w:r>
      <w:r>
        <w:rPr>
          <w:rtl/>
        </w:rPr>
        <w:t>–</w:t>
      </w:r>
      <w:r>
        <w:rPr>
          <w:rFonts w:hint="cs"/>
          <w:rtl/>
        </w:rPr>
        <w:t xml:space="preserve"> כעוגן להצדקת ביקורת שיפוטית על תוכנם של חוקי היסוד. </w:t>
      </w:r>
    </w:p>
    <w:p w:rsidR="00C044AE" w:rsidRDefault="00C044AE" w:rsidP="00C044AE">
      <w:pPr>
        <w:pStyle w:val="Ruller41"/>
        <w:ind w:firstLine="720"/>
        <w:rPr>
          <w:rtl/>
        </w:rPr>
      </w:pPr>
    </w:p>
    <w:p w:rsidR="00C044AE" w:rsidRDefault="00C044AE" w:rsidP="00C044AE">
      <w:pPr>
        <w:pStyle w:val="Ruller4"/>
        <w:numPr>
          <w:ilvl w:val="0"/>
          <w:numId w:val="0"/>
        </w:numPr>
        <w:rPr>
          <w:rtl/>
        </w:rPr>
      </w:pPr>
      <w:r>
        <w:rPr>
          <w:rtl/>
        </w:rPr>
        <w:lastRenderedPageBreak/>
        <w:tab/>
      </w:r>
      <w:r>
        <w:rPr>
          <w:rFonts w:hint="cs"/>
          <w:rtl/>
        </w:rPr>
        <w:t xml:space="preserve">עוד טוענים משיבי הממשלה כי התיקון נושא העתירות מהווה חלק מ"דיאלוג חוקתי לגיטימי" בין רשויות השלטון והוא רחוק מרחק רב מפגיעה בדרישות המינימום להיותה של מדינת ישראל מדינה דמוקרטית. לשיטת משיבי הממשלה, אין כל קושי חוקתי בהגבלת הביקורת השיפוטית, בפרט משהיא אינה נוגעת לזכויות יסוד ומשעסקינן בצמצום השימוש בעילה מינהלית אחת בלבד. בשולי הדברים מציינים משיבי הממשלה כי אין ממש בטענות שהועלו בעתירת נומה בדבר סיכון מוגבר להעמדת אנשי כוחות הביטחון לדין פלילי בינלאומי בעקבות התיקון ומכל מקום, בית המשפט אינו מוסמך לקבוע אם חקיקה או חקיקת יסוד היא ראויה וטובה מבחינת משמעויותיה. </w:t>
      </w:r>
    </w:p>
    <w:p w:rsidR="00C044AE" w:rsidRDefault="00C044AE" w:rsidP="00C044AE">
      <w:pPr>
        <w:pStyle w:val="Ruller41"/>
        <w:rPr>
          <w:rtl/>
        </w:rPr>
      </w:pPr>
    </w:p>
    <w:p w:rsidR="00C044AE" w:rsidRDefault="00C044AE" w:rsidP="00C044AE">
      <w:pPr>
        <w:pStyle w:val="Ruller4"/>
        <w:rPr>
          <w:rtl/>
        </w:rPr>
      </w:pPr>
      <w:r>
        <w:rPr>
          <w:rFonts w:hint="cs"/>
          <w:rtl/>
        </w:rPr>
        <w:t xml:space="preserve">באשר לטענות לשימוש לרעה בסמכות המכוננת, מציינים משיבי הממשלה כי המבחנים שנקבעו בעניין </w:t>
      </w:r>
      <w:r w:rsidRPr="00934CD1">
        <w:rPr>
          <w:rFonts w:ascii="Century" w:hAnsi="Century" w:cs="Miriam" w:hint="cs"/>
          <w:b/>
          <w:spacing w:val="0"/>
          <w:sz w:val="22"/>
          <w:szCs w:val="24"/>
          <w:rtl/>
        </w:rPr>
        <w:t>שפיר</w:t>
      </w:r>
      <w:r w:rsidRPr="00934CD1">
        <w:rPr>
          <w:rFonts w:hint="cs"/>
          <w:rtl/>
        </w:rPr>
        <w:t xml:space="preserve"> </w:t>
      </w:r>
      <w:r>
        <w:rPr>
          <w:rFonts w:hint="cs"/>
          <w:rtl/>
        </w:rPr>
        <w:t xml:space="preserve">אינם מהווים הלכה, וכי אין מקום לאמץ דוקטרינה זו בשיטתנו. מכל מקום, נטען כי התיקון אינו מפר את המבחנים שנקבעו בעניין </w:t>
      </w:r>
      <w:r w:rsidRPr="00AA06F2">
        <w:rPr>
          <w:rFonts w:ascii="Century" w:hAnsi="Century" w:cs="Miriam" w:hint="cs"/>
          <w:b/>
          <w:spacing w:val="0"/>
          <w:sz w:val="22"/>
          <w:szCs w:val="24"/>
          <w:rtl/>
        </w:rPr>
        <w:t>שפיר</w:t>
      </w:r>
      <w:r>
        <w:rPr>
          <w:rFonts w:hint="cs"/>
          <w:rtl/>
        </w:rPr>
        <w:t xml:space="preserve"> לזיהוי נורמה חוקתית. לגישתם, מדובר בתיקון יציב, שלא נחקק כהוראת שעה, המתייחס באופן כללי וגורף לכל הממשלות העתידיות, ומתאים כתיקון לחוק-יסוד: השפיטה, אשר קובע את גבולות סמכותו של בית המשפט העליון לתת צווים לרשויות השלטון. כמו כן, דוחים משיבי הממשלה את האפשרות לקיים ביקורת שיפוטית על הליך חקיקת חוקי היסוד, אך מדגישים כי מכל מקום הליך חקיקת התיקון אינו מתקרב "ולו במעט" לנסיבות שנדונו בעניין </w:t>
      </w:r>
      <w:r w:rsidRPr="00934CD1">
        <w:rPr>
          <w:rFonts w:ascii="Century" w:hAnsi="Century" w:cs="Miriam" w:hint="cs"/>
          <w:b/>
          <w:spacing w:val="0"/>
          <w:sz w:val="22"/>
          <w:szCs w:val="24"/>
          <w:rtl/>
        </w:rPr>
        <w:t>קוונטינסקי</w:t>
      </w:r>
      <w:r>
        <w:rPr>
          <w:rFonts w:hint="cs"/>
          <w:rtl/>
        </w:rPr>
        <w:t xml:space="preserve">. </w:t>
      </w:r>
    </w:p>
    <w:p w:rsidR="00C044AE" w:rsidRDefault="00C044AE" w:rsidP="00C044AE">
      <w:pPr>
        <w:pStyle w:val="Ruller41"/>
        <w:rPr>
          <w:rtl/>
        </w:rPr>
      </w:pPr>
    </w:p>
    <w:p w:rsidR="00C044AE" w:rsidRPr="00934CD1" w:rsidRDefault="00C044AE" w:rsidP="00C044AE">
      <w:pPr>
        <w:pStyle w:val="Ruller41"/>
        <w:rPr>
          <w:rtl/>
        </w:rPr>
      </w:pPr>
      <w:r>
        <w:rPr>
          <w:rtl/>
        </w:rPr>
        <w:tab/>
      </w:r>
      <w:r>
        <w:rPr>
          <w:rFonts w:hint="cs"/>
          <w:rtl/>
        </w:rPr>
        <w:t xml:space="preserve"> במישור הסעד, מבהירים משיבי הממשלה כי אין מקום לנקוט בגישה של פרשנות מקיימת שתשנה את משמעות התיקון כפי שהיא נלמדת מלשון החוק והדיונים בכנסת. לגישתם, התיקון הוביל לכך ש"אין עוד אפשרות לביקורת שיפוטית בעילה של חוסר סבירות מכל סוג שהוא", לרבות ביחס להחלטות בלתי סבירות באופן קיצוני </w:t>
      </w:r>
      <w:r w:rsidRPr="00A90272">
        <w:rPr>
          <w:rFonts w:hint="cs"/>
          <w:rtl/>
        </w:rPr>
        <w:t xml:space="preserve">והחלטות מופרכות לחלוטין </w:t>
      </w:r>
      <w:r>
        <w:rPr>
          <w:rFonts w:hint="cs"/>
          <w:rtl/>
        </w:rPr>
        <w:t xml:space="preserve">(פסקה 45 להשלמת הטיעון מטעם משיבי הממשלה). בנוסף נטען כי אין כל בסיס למתן סעד של ביטול תחולתו המיידית של התיקון. </w:t>
      </w:r>
    </w:p>
    <w:p w:rsidR="00C044AE" w:rsidRDefault="00C044AE" w:rsidP="00C044AE">
      <w:pPr>
        <w:pStyle w:val="Ruller41"/>
        <w:rPr>
          <w:rtl/>
        </w:rPr>
      </w:pPr>
    </w:p>
    <w:p w:rsidR="00C044AE" w:rsidRPr="000739C5" w:rsidRDefault="00C044AE" w:rsidP="00C044AE">
      <w:pPr>
        <w:pStyle w:val="Ruller41"/>
        <w:spacing w:line="276" w:lineRule="auto"/>
        <w:outlineLvl w:val="0"/>
        <w:rPr>
          <w:rFonts w:ascii="Garamond" w:hAnsi="Garamond" w:cs="Miriam"/>
          <w:b/>
          <w:spacing w:val="0"/>
          <w:szCs w:val="24"/>
          <w:rtl/>
        </w:rPr>
      </w:pPr>
      <w:r w:rsidRPr="00E2621C">
        <w:rPr>
          <w:rFonts w:ascii="Garamond" w:hAnsi="Garamond" w:cs="Miriam" w:hint="cs"/>
          <w:b/>
          <w:spacing w:val="0"/>
          <w:szCs w:val="24"/>
          <w:rtl/>
        </w:rPr>
        <w:t>דיון והכרעה</w:t>
      </w:r>
    </w:p>
    <w:p w:rsidR="00C044AE" w:rsidRDefault="00C044AE" w:rsidP="00C044AE">
      <w:pPr>
        <w:pStyle w:val="Ruller41"/>
        <w:rPr>
          <w:rtl/>
        </w:rPr>
      </w:pPr>
    </w:p>
    <w:p w:rsidR="00C044AE" w:rsidRDefault="00C044AE" w:rsidP="00C044AE">
      <w:pPr>
        <w:pStyle w:val="Ruller4"/>
      </w:pPr>
      <w:r>
        <w:rPr>
          <w:rFonts w:hint="cs"/>
          <w:rtl/>
        </w:rPr>
        <w:t xml:space="preserve">בהליכים שלפנינו מתעוררות שתי שאלות עיקריות: </w:t>
      </w:r>
      <w:r w:rsidRPr="000739C5">
        <w:rPr>
          <w:rFonts w:ascii="Century" w:hAnsi="Century" w:cs="Miriam" w:hint="cs"/>
          <w:b/>
          <w:spacing w:val="0"/>
          <w:sz w:val="22"/>
          <w:szCs w:val="24"/>
          <w:rtl/>
        </w:rPr>
        <w:t>השאלה הראשונה</w:t>
      </w:r>
      <w:r w:rsidRPr="000739C5">
        <w:rPr>
          <w:rFonts w:hint="cs"/>
          <w:rtl/>
        </w:rPr>
        <w:t xml:space="preserve"> </w:t>
      </w:r>
      <w:r>
        <w:rPr>
          <w:rFonts w:hint="cs"/>
          <w:rtl/>
        </w:rPr>
        <w:t xml:space="preserve">היא האם ניתן לקיים ביקורת שיפוטית על </w:t>
      </w:r>
      <w:r w:rsidRPr="0053295D">
        <w:rPr>
          <w:rFonts w:ascii="Century" w:hAnsi="Century" w:cs="Miriam" w:hint="eastAsia"/>
          <w:b/>
          <w:spacing w:val="0"/>
          <w:sz w:val="22"/>
          <w:szCs w:val="24"/>
          <w:rtl/>
        </w:rPr>
        <w:t>תוכנם</w:t>
      </w:r>
      <w:r w:rsidRPr="007B00F9">
        <w:rPr>
          <w:rFonts w:hint="cs"/>
          <w:rtl/>
        </w:rPr>
        <w:t xml:space="preserve"> </w:t>
      </w:r>
      <w:r>
        <w:rPr>
          <w:rFonts w:hint="cs"/>
          <w:rtl/>
        </w:rPr>
        <w:t xml:space="preserve">של חוקי היסוד כאשר מועלית טענה לפיה הכנסת חרגה מסמכותה המכוננת. זוהי שאלה מורכבת ועד עתה, נמנע בית משפט זה מלהכריע בה, אך כעת היא ניצבת בבסיס העתירות ודורשת הכרעה. למעשה, אף משיבי הממשלה, הגורסים כי דין העתירות להידחות, סבורים כי יש להכריע בסוגיה עקרונית זו. </w:t>
      </w:r>
    </w:p>
    <w:p w:rsidR="00C044AE" w:rsidRPr="00E47912"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lastRenderedPageBreak/>
        <w:tab/>
      </w:r>
      <w:r w:rsidRPr="000739C5">
        <w:rPr>
          <w:rFonts w:ascii="Century" w:hAnsi="Century" w:cs="Miriam" w:hint="cs"/>
          <w:b/>
          <w:spacing w:val="0"/>
          <w:sz w:val="22"/>
          <w:szCs w:val="24"/>
          <w:rtl/>
        </w:rPr>
        <w:t>השאלה השנייה</w:t>
      </w:r>
      <w:r>
        <w:rPr>
          <w:rFonts w:hint="cs"/>
          <w:rtl/>
        </w:rPr>
        <w:t xml:space="preserve">, שהתשובה לה תלויה במענה שיינתן לשאלה הראשונה, היא האם התיקון נושא העתירות </w:t>
      </w:r>
      <w:r>
        <w:rPr>
          <w:rtl/>
        </w:rPr>
        <w:t>–</w:t>
      </w:r>
      <w:r>
        <w:rPr>
          <w:rFonts w:hint="cs"/>
          <w:rtl/>
        </w:rPr>
        <w:t xml:space="preserve"> תיקון מס' 3 לחוק-יסוד: השפיטה </w:t>
      </w:r>
      <w:r>
        <w:rPr>
          <w:rtl/>
        </w:rPr>
        <w:t>–</w:t>
      </w:r>
      <w:r>
        <w:rPr>
          <w:rFonts w:hint="cs"/>
          <w:rtl/>
        </w:rPr>
        <w:t xml:space="preserve"> דינו בטלות. בהקשר זה יש לדון בשורת הפגמים שמצדיקים, לטענת העותרים והיועצת, את ביטול התיקון, ובראשם הטענה כי הוא פוגע פגיעה קשה ביותר במאפיינים הגרעיניים של ישראל כמדינה דמוקרטית, וכי הכנסת חרגה מסמכותה המכוננת בחוקקה אותו. </w:t>
      </w:r>
    </w:p>
    <w:p w:rsidR="00C044AE" w:rsidRDefault="00C044AE" w:rsidP="00C044AE">
      <w:pPr>
        <w:pStyle w:val="Ruller41"/>
        <w:rPr>
          <w:rtl/>
        </w:rPr>
      </w:pPr>
    </w:p>
    <w:p w:rsidR="00C044AE" w:rsidRDefault="00C044AE" w:rsidP="00C044AE">
      <w:pPr>
        <w:pStyle w:val="Ruller41"/>
      </w:pPr>
      <w:r>
        <w:rPr>
          <w:rtl/>
        </w:rPr>
        <w:tab/>
      </w:r>
      <w:r>
        <w:rPr>
          <w:rFonts w:hint="cs"/>
          <w:rtl/>
        </w:rPr>
        <w:t xml:space="preserve">אדון בשתי שאלות אלה כסדרן ובהתאם, אדרש תחילה לשאלה העקרונית הנוגעת לקיום ביקורת שיפוטית על חוקי היסוד. </w:t>
      </w:r>
    </w:p>
    <w:p w:rsidR="00C044AE" w:rsidRDefault="00C044AE" w:rsidP="00C044AE">
      <w:pPr>
        <w:pStyle w:val="Ruller41"/>
        <w:rPr>
          <w:rtl/>
        </w:rPr>
      </w:pPr>
    </w:p>
    <w:p w:rsidR="00C044AE" w:rsidRPr="00BF3E15" w:rsidRDefault="00C044AE" w:rsidP="00C044AE">
      <w:pPr>
        <w:pStyle w:val="Ruller41"/>
        <w:outlineLvl w:val="0"/>
        <w:rPr>
          <w:rFonts w:ascii="Century" w:hAnsi="Century" w:cs="Miriam"/>
          <w:bCs/>
          <w:spacing w:val="0"/>
          <w:szCs w:val="24"/>
          <w:u w:val="single"/>
          <w:rtl/>
        </w:rPr>
      </w:pPr>
      <w:r>
        <w:rPr>
          <w:rFonts w:ascii="Century" w:hAnsi="Century" w:cs="Miriam" w:hint="cs"/>
          <w:bCs/>
          <w:spacing w:val="0"/>
          <w:szCs w:val="24"/>
          <w:u w:val="single"/>
          <w:rtl/>
        </w:rPr>
        <w:t xml:space="preserve">חלק ראשון: </w:t>
      </w:r>
      <w:r w:rsidRPr="003010D5">
        <w:rPr>
          <w:rFonts w:ascii="Century" w:hAnsi="Century" w:cs="Miriam" w:hint="cs"/>
          <w:bCs/>
          <w:spacing w:val="0"/>
          <w:szCs w:val="24"/>
          <w:u w:val="single"/>
          <w:rtl/>
        </w:rPr>
        <w:t>ביקורת שיפוטית על חוקי היסוד</w:t>
      </w:r>
    </w:p>
    <w:p w:rsidR="00C044AE" w:rsidRDefault="00C044AE" w:rsidP="00C044AE">
      <w:pPr>
        <w:pStyle w:val="Ruller41"/>
        <w:rPr>
          <w:rtl/>
        </w:rPr>
      </w:pPr>
    </w:p>
    <w:p w:rsidR="00C044AE" w:rsidRPr="00594C28" w:rsidRDefault="00C044AE" w:rsidP="00C044AE">
      <w:pPr>
        <w:pStyle w:val="Ruller41"/>
        <w:numPr>
          <w:ilvl w:val="0"/>
          <w:numId w:val="4"/>
        </w:numPr>
        <w:outlineLvl w:val="1"/>
        <w:rPr>
          <w:rFonts w:ascii="Century" w:hAnsi="Century" w:cs="Miriam"/>
          <w:b/>
          <w:spacing w:val="0"/>
          <w:szCs w:val="24"/>
          <w:rtl/>
        </w:rPr>
      </w:pPr>
      <w:r w:rsidRPr="00594C28">
        <w:rPr>
          <w:rFonts w:ascii="Century" w:hAnsi="Century" w:cs="Miriam" w:hint="cs"/>
          <w:b/>
          <w:spacing w:val="0"/>
          <w:szCs w:val="24"/>
          <w:rtl/>
        </w:rPr>
        <w:t xml:space="preserve">הסמכות </w:t>
      </w:r>
      <w:r>
        <w:rPr>
          <w:rFonts w:ascii="Century" w:hAnsi="Century" w:cs="Miriam" w:hint="cs"/>
          <w:b/>
          <w:spacing w:val="0"/>
          <w:szCs w:val="24"/>
          <w:rtl/>
        </w:rPr>
        <w:t>לכונן</w:t>
      </w:r>
      <w:r w:rsidRPr="00594C28">
        <w:rPr>
          <w:rFonts w:ascii="Century" w:hAnsi="Century" w:cs="Miriam" w:hint="cs"/>
          <w:b/>
          <w:spacing w:val="0"/>
          <w:szCs w:val="24"/>
          <w:rtl/>
        </w:rPr>
        <w:t xml:space="preserve"> חוקה לישראל</w:t>
      </w:r>
    </w:p>
    <w:p w:rsidR="00C044AE" w:rsidRDefault="00C044AE" w:rsidP="00C044AE">
      <w:pPr>
        <w:pStyle w:val="Ruller4"/>
        <w:numPr>
          <w:ilvl w:val="0"/>
          <w:numId w:val="0"/>
        </w:numPr>
        <w:rPr>
          <w:rtl/>
        </w:rPr>
      </w:pPr>
    </w:p>
    <w:p w:rsidR="00C044AE" w:rsidRPr="00047011" w:rsidRDefault="00C044AE" w:rsidP="00C044AE">
      <w:pPr>
        <w:pStyle w:val="Ruller4"/>
        <w:rPr>
          <w:rtl/>
        </w:rPr>
      </w:pPr>
      <w:r>
        <w:rPr>
          <w:rFonts w:hint="cs"/>
          <w:rtl/>
        </w:rPr>
        <w:t xml:space="preserve">על מנת לקיים דיון ממצה בכל הנוגע לקיום ביקורת שיפוטית על הפעלת סמכותה המכוננת של הכנסת, עלינו לשוב ולבחון את מקורותיה של סמכות זו ואת מהותה. היבטים אלה תוארו </w:t>
      </w:r>
      <w:r w:rsidRPr="003B6D94">
        <w:rPr>
          <w:rFonts w:hint="cs"/>
          <w:rtl/>
        </w:rPr>
        <w:t>לא אחת בפסיקת</w:t>
      </w:r>
      <w:r>
        <w:rPr>
          <w:rFonts w:hint="cs"/>
          <w:rtl/>
        </w:rPr>
        <w:t>ו של</w:t>
      </w:r>
      <w:r w:rsidRPr="003B6D94">
        <w:rPr>
          <w:rFonts w:hint="cs"/>
          <w:rtl/>
        </w:rPr>
        <w:t xml:space="preserve"> בית משפט זה ובספרות המשפטית (ראו, בין היתר: </w:t>
      </w:r>
      <w:r w:rsidRPr="003B6D94">
        <w:rPr>
          <w:rtl/>
        </w:rPr>
        <w:t xml:space="preserve">ע"א 6821/93 </w:t>
      </w:r>
      <w:r w:rsidRPr="003B6D94">
        <w:rPr>
          <w:rFonts w:ascii="Century" w:hAnsi="Century" w:cs="Miriam"/>
          <w:b/>
          <w:spacing w:val="0"/>
          <w:sz w:val="22"/>
          <w:szCs w:val="24"/>
          <w:rtl/>
        </w:rPr>
        <w:t xml:space="preserve">בנק המזרחי </w:t>
      </w:r>
      <w:r w:rsidRPr="003B6D94">
        <w:rPr>
          <w:rFonts w:ascii="Century" w:hAnsi="Century" w:cs="Miriam" w:hint="cs"/>
          <w:b/>
          <w:spacing w:val="0"/>
          <w:sz w:val="22"/>
          <w:szCs w:val="24"/>
          <w:rtl/>
        </w:rPr>
        <w:t>ה</w:t>
      </w:r>
      <w:r w:rsidRPr="003B6D94">
        <w:rPr>
          <w:rFonts w:ascii="Century" w:hAnsi="Century" w:cs="Miriam"/>
          <w:b/>
          <w:spacing w:val="0"/>
          <w:sz w:val="22"/>
          <w:szCs w:val="24"/>
          <w:rtl/>
        </w:rPr>
        <w:t>מאוחד בע"מ נ' מגדל כפר שיתופי</w:t>
      </w:r>
      <w:r w:rsidRPr="003B6D94">
        <w:rPr>
          <w:rtl/>
        </w:rPr>
        <w:t>, פ"ד מט(4) 221 (1995)</w:t>
      </w:r>
      <w:r w:rsidRPr="003B6D94">
        <w:rPr>
          <w:rFonts w:hint="cs"/>
          <w:rtl/>
        </w:rPr>
        <w:t xml:space="preserve"> (להלן: </w:t>
      </w:r>
      <w:r w:rsidRPr="003B6D94">
        <w:rPr>
          <w:rFonts w:ascii="Century" w:hAnsi="Century" w:cs="Miriam" w:hint="cs"/>
          <w:b/>
          <w:spacing w:val="0"/>
          <w:sz w:val="22"/>
          <w:szCs w:val="24"/>
          <w:rtl/>
        </w:rPr>
        <w:t>עניין בנק המזרחי</w:t>
      </w:r>
      <w:r w:rsidRPr="003B6D94">
        <w:rPr>
          <w:rFonts w:hint="cs"/>
          <w:rtl/>
        </w:rPr>
        <w:t xml:space="preserve">); אהרן ברק "מגילת העצמאות והכנסת כרשות מכוננת" </w:t>
      </w:r>
      <w:r w:rsidRPr="003B6D94">
        <w:rPr>
          <w:rFonts w:ascii="Century" w:hAnsi="Century" w:cs="Miriam" w:hint="cs"/>
          <w:b/>
          <w:spacing w:val="0"/>
          <w:sz w:val="22"/>
          <w:szCs w:val="24"/>
          <w:rtl/>
        </w:rPr>
        <w:t>חוקים</w:t>
      </w:r>
      <w:r w:rsidRPr="003B6D94">
        <w:rPr>
          <w:rFonts w:hint="cs"/>
          <w:rtl/>
        </w:rPr>
        <w:t xml:space="preserve"> יא 9 (2018)</w:t>
      </w:r>
      <w:r>
        <w:rPr>
          <w:rFonts w:hint="cs"/>
          <w:rtl/>
        </w:rPr>
        <w:t xml:space="preserve"> (להלן: </w:t>
      </w:r>
      <w:r w:rsidRPr="006C05FD">
        <w:rPr>
          <w:rFonts w:ascii="Century" w:hAnsi="Century" w:cs="Miriam" w:hint="cs"/>
          <w:b/>
          <w:spacing w:val="0"/>
          <w:sz w:val="22"/>
          <w:szCs w:val="24"/>
          <w:rtl/>
        </w:rPr>
        <w:t>ברק "מגילת העצמאות"</w:t>
      </w:r>
      <w:r>
        <w:rPr>
          <w:rFonts w:hint="cs"/>
          <w:rtl/>
        </w:rPr>
        <w:t xml:space="preserve">); רבקה ווייל "עשרים שנה לבנק המזרחי: סיפורה הפיקנטי של חוקת הכלאיים הישראלית" </w:t>
      </w:r>
      <w:r w:rsidRPr="001603B7">
        <w:rPr>
          <w:rFonts w:ascii="Century" w:hAnsi="Century" w:cs="Miriam" w:hint="cs"/>
          <w:b/>
          <w:spacing w:val="0"/>
          <w:szCs w:val="24"/>
          <w:rtl/>
        </w:rPr>
        <w:t>עיוני משפט</w:t>
      </w:r>
      <w:r>
        <w:rPr>
          <w:rFonts w:hint="cs"/>
          <w:rtl/>
        </w:rPr>
        <w:t xml:space="preserve"> לח 501 (2016) (להלן: </w:t>
      </w:r>
      <w:r w:rsidRPr="002C0CD0">
        <w:rPr>
          <w:rFonts w:ascii="Century" w:hAnsi="Century" w:cs="Miriam" w:hint="eastAsia"/>
          <w:b/>
          <w:spacing w:val="0"/>
          <w:sz w:val="22"/>
          <w:szCs w:val="24"/>
          <w:rtl/>
        </w:rPr>
        <w:t>ווייל</w:t>
      </w:r>
      <w:r w:rsidRPr="002C0CD0">
        <w:rPr>
          <w:rFonts w:ascii="Century" w:hAnsi="Century" w:cs="Miriam"/>
          <w:b/>
          <w:spacing w:val="0"/>
          <w:sz w:val="22"/>
          <w:szCs w:val="24"/>
          <w:rtl/>
        </w:rPr>
        <w:t xml:space="preserve"> "</w:t>
      </w:r>
      <w:r w:rsidRPr="002C0CD0">
        <w:rPr>
          <w:rFonts w:ascii="Century" w:hAnsi="Century" w:cs="Miriam" w:hint="eastAsia"/>
          <w:b/>
          <w:spacing w:val="0"/>
          <w:sz w:val="22"/>
          <w:szCs w:val="24"/>
          <w:rtl/>
        </w:rPr>
        <w:t>חוקת</w:t>
      </w:r>
      <w:r w:rsidRPr="002C0CD0">
        <w:rPr>
          <w:rFonts w:ascii="Century" w:hAnsi="Century" w:cs="Miriam"/>
          <w:b/>
          <w:spacing w:val="0"/>
          <w:sz w:val="22"/>
          <w:szCs w:val="24"/>
          <w:rtl/>
        </w:rPr>
        <w:t xml:space="preserve"> </w:t>
      </w:r>
      <w:r w:rsidRPr="002C0CD0">
        <w:rPr>
          <w:rFonts w:ascii="Century" w:hAnsi="Century" w:cs="Miriam" w:hint="eastAsia"/>
          <w:b/>
          <w:spacing w:val="0"/>
          <w:sz w:val="22"/>
          <w:szCs w:val="24"/>
          <w:rtl/>
        </w:rPr>
        <w:t>הכלאיים</w:t>
      </w:r>
      <w:r w:rsidRPr="002C0CD0">
        <w:rPr>
          <w:rFonts w:ascii="Century" w:hAnsi="Century" w:cs="Miriam"/>
          <w:b/>
          <w:spacing w:val="0"/>
          <w:sz w:val="22"/>
          <w:szCs w:val="24"/>
          <w:rtl/>
        </w:rPr>
        <w:t>"</w:t>
      </w:r>
      <w:r w:rsidRPr="003B6D94">
        <w:rPr>
          <w:rFonts w:hint="cs"/>
          <w:rtl/>
        </w:rPr>
        <w:t>)</w:t>
      </w:r>
      <w:r>
        <w:rPr>
          <w:rFonts w:hint="cs"/>
          <w:rtl/>
        </w:rPr>
        <w:t>). על כן,</w:t>
      </w:r>
      <w:r w:rsidRPr="003B6D94">
        <w:rPr>
          <w:rFonts w:hint="cs"/>
          <w:rtl/>
        </w:rPr>
        <w:t xml:space="preserve"> </w:t>
      </w:r>
      <w:r>
        <w:rPr>
          <w:rFonts w:hint="cs"/>
          <w:rtl/>
        </w:rPr>
        <w:t xml:space="preserve">אסתפק בסקירה תמציתית של הדברים.  </w:t>
      </w:r>
    </w:p>
    <w:p w:rsidR="00C044AE" w:rsidRDefault="00C044AE" w:rsidP="00C044AE">
      <w:pPr>
        <w:pStyle w:val="Ruller4"/>
        <w:numPr>
          <w:ilvl w:val="0"/>
          <w:numId w:val="0"/>
        </w:numPr>
        <w:rPr>
          <w:rtl/>
        </w:rPr>
      </w:pPr>
    </w:p>
    <w:p w:rsidR="00C044AE" w:rsidRDefault="00C044AE" w:rsidP="00C044AE">
      <w:pPr>
        <w:pStyle w:val="Ruller4"/>
        <w:rPr>
          <w:rFonts w:ascii="Century" w:hAnsi="Century"/>
          <w:sz w:val="22"/>
          <w:shd w:val="clear" w:color="auto" w:fill="FFFFFF"/>
          <w:rtl/>
        </w:rPr>
      </w:pPr>
      <w:r>
        <w:rPr>
          <w:rFonts w:hint="cs"/>
          <w:rtl/>
        </w:rPr>
        <w:t xml:space="preserve">ראשיתו של המפעל החוקתי הישראלי בערב שבת, ה' באייר התש"ח (14.5.1948), אז קרא דוד בן גוריון, במעמד ישיבת מועצת העם, את אחד המסמכים החשובים ביותר בדברי </w:t>
      </w:r>
      <w:r w:rsidRPr="00B07F6D">
        <w:rPr>
          <w:rFonts w:hint="cs"/>
          <w:rtl/>
        </w:rPr>
        <w:t xml:space="preserve">הימים </w:t>
      </w:r>
      <w:r>
        <w:rPr>
          <w:rFonts w:hint="cs"/>
          <w:rtl/>
        </w:rPr>
        <w:t xml:space="preserve">שלנו כעם: ההכרזה על הקמת מדינת ישראל (להלן: </w:t>
      </w:r>
      <w:r>
        <w:rPr>
          <w:rFonts w:ascii="Century" w:hAnsi="Century" w:cs="Miriam" w:hint="cs"/>
          <w:b/>
          <w:spacing w:val="0"/>
          <w:sz w:val="22"/>
          <w:szCs w:val="24"/>
          <w:rtl/>
        </w:rPr>
        <w:t>הכרזת העצמאות</w:t>
      </w:r>
      <w:r>
        <w:rPr>
          <w:rFonts w:ascii="Century" w:hAnsi="Century" w:hint="cs"/>
          <w:sz w:val="22"/>
          <w:rtl/>
        </w:rPr>
        <w:t>)</w:t>
      </w:r>
      <w:r>
        <w:rPr>
          <w:rFonts w:hint="cs"/>
          <w:rtl/>
        </w:rPr>
        <w:t xml:space="preserve">. </w:t>
      </w:r>
      <w:r>
        <w:rPr>
          <w:rFonts w:ascii="Century" w:hAnsi="Century" w:hint="cs"/>
          <w:sz w:val="22"/>
          <w:shd w:val="clear" w:color="auto" w:fill="FFFFFF"/>
          <w:rtl/>
        </w:rPr>
        <w:t>לצד ביסוס ההצדקה ההיסטורית והבינלאומית להקמת המדינה והצגת החזון שלה, כללה ההכרזה "חלק אופרטיבי" (</w:t>
      </w:r>
      <w:r w:rsidRPr="00545DC9">
        <w:rPr>
          <w:rFonts w:ascii="Century" w:hAnsi="Century" w:cs="Miriam" w:hint="eastAsia"/>
          <w:b/>
          <w:spacing w:val="0"/>
          <w:sz w:val="22"/>
          <w:szCs w:val="24"/>
          <w:shd w:val="clear" w:color="auto" w:fill="FFFFFF"/>
          <w:rtl/>
        </w:rPr>
        <w:t>ברק</w:t>
      </w:r>
      <w:r w:rsidRPr="00545DC9">
        <w:rPr>
          <w:rFonts w:ascii="Century" w:hAnsi="Century" w:cs="Miriam"/>
          <w:b/>
          <w:spacing w:val="0"/>
          <w:sz w:val="22"/>
          <w:szCs w:val="24"/>
          <w:shd w:val="clear" w:color="auto" w:fill="FFFFFF"/>
          <w:rtl/>
        </w:rPr>
        <w:t xml:space="preserve"> "</w:t>
      </w:r>
      <w:r w:rsidRPr="00545DC9">
        <w:rPr>
          <w:rFonts w:ascii="Century" w:hAnsi="Century" w:cs="Miriam" w:hint="eastAsia"/>
          <w:b/>
          <w:spacing w:val="0"/>
          <w:sz w:val="22"/>
          <w:szCs w:val="24"/>
          <w:shd w:val="clear" w:color="auto" w:fill="FFFFFF"/>
          <w:rtl/>
        </w:rPr>
        <w:t>מגילת</w:t>
      </w:r>
      <w:r w:rsidRPr="00545DC9">
        <w:rPr>
          <w:rFonts w:ascii="Century" w:hAnsi="Century" w:cs="Miriam"/>
          <w:b/>
          <w:spacing w:val="0"/>
          <w:sz w:val="22"/>
          <w:szCs w:val="24"/>
          <w:shd w:val="clear" w:color="auto" w:fill="FFFFFF"/>
          <w:rtl/>
        </w:rPr>
        <w:t xml:space="preserve"> </w:t>
      </w:r>
      <w:r w:rsidRPr="00545DC9">
        <w:rPr>
          <w:rFonts w:ascii="Century" w:hAnsi="Century" w:cs="Miriam" w:hint="eastAsia"/>
          <w:b/>
          <w:spacing w:val="0"/>
          <w:sz w:val="22"/>
          <w:szCs w:val="24"/>
          <w:shd w:val="clear" w:color="auto" w:fill="FFFFFF"/>
          <w:rtl/>
        </w:rPr>
        <w:t>העצמאות</w:t>
      </w:r>
      <w:r w:rsidRPr="00545DC9">
        <w:rPr>
          <w:rFonts w:ascii="Century" w:hAnsi="Century" w:cs="Miriam"/>
          <w:b/>
          <w:spacing w:val="0"/>
          <w:sz w:val="22"/>
          <w:szCs w:val="24"/>
          <w:shd w:val="clear" w:color="auto" w:fill="FFFFFF"/>
          <w:rtl/>
        </w:rPr>
        <w:t>"</w:t>
      </w:r>
      <w:r>
        <w:rPr>
          <w:rFonts w:ascii="Century" w:hAnsi="Century" w:hint="cs"/>
          <w:sz w:val="22"/>
          <w:shd w:val="clear" w:color="auto" w:fill="FFFFFF"/>
          <w:rtl/>
        </w:rPr>
        <w:t xml:space="preserve">, בעמ' 13): </w:t>
      </w:r>
    </w:p>
    <w:p w:rsidR="00C044AE" w:rsidRDefault="00C044AE" w:rsidP="00C044AE">
      <w:pPr>
        <w:pStyle w:val="Ruller41"/>
        <w:rPr>
          <w:rtl/>
        </w:rPr>
      </w:pPr>
    </w:p>
    <w:p w:rsidR="00C044AE" w:rsidRDefault="00C044AE" w:rsidP="00C044AE">
      <w:pPr>
        <w:pStyle w:val="Ruller5"/>
        <w:rPr>
          <w:rtl/>
        </w:rPr>
      </w:pPr>
      <w:r>
        <w:rPr>
          <w:rFonts w:hint="cs"/>
          <w:shd w:val="clear" w:color="auto" w:fill="FFFFFF"/>
          <w:rtl/>
        </w:rPr>
        <w:t>"</w:t>
      </w:r>
      <w:r w:rsidRPr="00545DC9">
        <w:rPr>
          <w:shd w:val="clear" w:color="auto" w:fill="FFFFFF"/>
          <w:rtl/>
        </w:rPr>
        <w:t>לפיכך נתכנסנו, אנו חברי מועצת העם, נציגי הישוב העברי והתנועה הציונית, ביום סיום המנדט הבריטי על ארץ־ישראל, ובתוקף זכותנו הטבעית וההיסטורית ועל יסוד החלטת עצרת האומות המאוחדות אנו מכריזים בזאת ע</w:t>
      </w:r>
      <w:r>
        <w:rPr>
          <w:rFonts w:ascii="Century" w:hAnsi="Century" w:hint="cs"/>
          <w:shd w:val="clear" w:color="auto" w:fill="FFFFFF"/>
          <w:rtl/>
        </w:rPr>
        <w:t xml:space="preserve">ל הקמת מדינה יהודית </w:t>
      </w:r>
      <w:r w:rsidRPr="00545DC9">
        <w:rPr>
          <w:shd w:val="clear" w:color="auto" w:fill="FFFFFF"/>
          <w:rtl/>
        </w:rPr>
        <w:t>בארץ־ישראל, היא מדינת ישראל</w:t>
      </w:r>
      <w:r w:rsidRPr="00545DC9">
        <w:rPr>
          <w:shd w:val="clear" w:color="auto" w:fill="FFFFFF"/>
        </w:rPr>
        <w:t>.</w:t>
      </w:r>
    </w:p>
    <w:p w:rsidR="00C044AE" w:rsidRDefault="00C044AE" w:rsidP="00C044AE">
      <w:pPr>
        <w:pStyle w:val="Ruller5"/>
        <w:rPr>
          <w:rtl/>
        </w:rPr>
      </w:pPr>
    </w:p>
    <w:p w:rsidR="00C044AE" w:rsidRPr="00DC5C74" w:rsidRDefault="00C044AE" w:rsidP="00C044AE">
      <w:pPr>
        <w:pStyle w:val="Ruller5"/>
        <w:rPr>
          <w:rtl/>
        </w:rPr>
      </w:pPr>
      <w:r>
        <w:rPr>
          <w:rtl/>
        </w:rPr>
        <w:lastRenderedPageBreak/>
        <w:t xml:space="preserve">אנו קובעים שהחל מרגע סיום המנדט, הלילה, אור ליום שבת ו' אייר תש"ח, 15 במאי 1948, ועד להקמת השלטונות הנבחרים והסדירים של המדינה </w:t>
      </w:r>
      <w:r w:rsidRPr="002D6425">
        <w:rPr>
          <w:rFonts w:ascii="Century" w:hAnsi="Century" w:cs="Miriam"/>
          <w:b/>
          <w:spacing w:val="0"/>
          <w:szCs w:val="24"/>
          <w:rtl/>
        </w:rPr>
        <w:t xml:space="preserve">בהתאם לחוקה שתיקבע על-ידי האספה המכוננת הנבחרת לא יאוחר </w:t>
      </w:r>
      <w:r w:rsidRPr="002D6425">
        <w:rPr>
          <w:rFonts w:ascii="Century" w:hAnsi="Century" w:cs="Miriam" w:hint="cs"/>
          <w:b/>
          <w:spacing w:val="0"/>
          <w:szCs w:val="24"/>
          <w:rtl/>
        </w:rPr>
        <w:t>מ</w:t>
      </w:r>
      <w:r w:rsidRPr="002D6425">
        <w:rPr>
          <w:rFonts w:ascii="Century" w:hAnsi="Century" w:cs="Miriam"/>
          <w:b/>
          <w:spacing w:val="0"/>
          <w:szCs w:val="24"/>
          <w:rtl/>
        </w:rPr>
        <w:t>-1 באוקטובר 1948</w:t>
      </w:r>
      <w:r>
        <w:rPr>
          <w:rtl/>
        </w:rPr>
        <w:t xml:space="preserve"> – תפעל מועצת העם כמועצת מדינה זמנית, ומוסד הביצוע שלה, מנהלת-העם, יהווה את הממשלה הזמנית של המדינה היהודית, אשר תיקרא בשם י ש ר א ל</w:t>
      </w:r>
      <w:r>
        <w:rPr>
          <w:rFonts w:hint="cs"/>
          <w:rtl/>
        </w:rPr>
        <w:t xml:space="preserve">" (ההדגשה הוספה). </w:t>
      </w:r>
    </w:p>
    <w:p w:rsidR="00C044AE" w:rsidRPr="00545DC9" w:rsidRDefault="00C044AE" w:rsidP="00DB265B">
      <w:pPr>
        <w:pStyle w:val="Ruller5"/>
        <w:spacing w:line="360" w:lineRule="auto"/>
        <w:rPr>
          <w:rtl/>
        </w:rPr>
      </w:pPr>
    </w:p>
    <w:p w:rsidR="00C044AE" w:rsidRPr="0076426A" w:rsidRDefault="00C044AE" w:rsidP="00C044AE">
      <w:pPr>
        <w:pStyle w:val="Ruller4"/>
        <w:numPr>
          <w:ilvl w:val="0"/>
          <w:numId w:val="0"/>
        </w:numPr>
        <w:rPr>
          <w:rFonts w:ascii="Century" w:hAnsi="Century"/>
          <w:sz w:val="22"/>
          <w:shd w:val="clear" w:color="auto" w:fill="FFFFFF"/>
        </w:rPr>
      </w:pPr>
      <w:r>
        <w:rPr>
          <w:rtl/>
        </w:rPr>
        <w:tab/>
      </w:r>
      <w:r>
        <w:rPr>
          <w:rFonts w:hint="cs"/>
          <w:rtl/>
        </w:rPr>
        <w:t>הנה כי כן, ביום הקמת המדינה ניטעה מחויבותה לכונן חוקה לישראל. דברים אלה עולים בקנה אחד עם האמור ב</w:t>
      </w:r>
      <w:r w:rsidRPr="00A43CD3">
        <w:rPr>
          <w:rFonts w:hint="cs"/>
          <w:rtl/>
        </w:rPr>
        <w:t xml:space="preserve">החלטה מס' 181 של </w:t>
      </w:r>
      <w:r>
        <w:rPr>
          <w:rFonts w:hint="cs"/>
          <w:rtl/>
        </w:rPr>
        <w:t>העצרת הכללית של</w:t>
      </w:r>
      <w:r w:rsidRPr="00A43CD3">
        <w:rPr>
          <w:rFonts w:hint="cs"/>
          <w:rtl/>
        </w:rPr>
        <w:t xml:space="preserve"> הא</w:t>
      </w:r>
      <w:r>
        <w:rPr>
          <w:rFonts w:hint="cs"/>
          <w:rtl/>
        </w:rPr>
        <w:t xml:space="preserve">ומות המאוחדות מכ"ט בנובמבר 1947 </w:t>
      </w:r>
      <w:r w:rsidRPr="00A43CD3">
        <w:rPr>
          <w:rFonts w:hint="cs"/>
          <w:rtl/>
        </w:rPr>
        <w:t xml:space="preserve">(להלן: </w:t>
      </w:r>
      <w:r w:rsidRPr="00A43CD3">
        <w:rPr>
          <w:rFonts w:cs="Miriam" w:hint="cs"/>
          <w:b/>
          <w:spacing w:val="0"/>
          <w:sz w:val="22"/>
          <w:szCs w:val="24"/>
          <w:rtl/>
        </w:rPr>
        <w:t>החלטת עצרת האו"ם</w:t>
      </w:r>
      <w:r w:rsidRPr="00A43CD3">
        <w:rPr>
          <w:rFonts w:hint="cs"/>
          <w:sz w:val="22"/>
          <w:rtl/>
        </w:rPr>
        <w:t>)</w:t>
      </w:r>
      <w:r>
        <w:rPr>
          <w:rFonts w:hint="cs"/>
          <w:rtl/>
        </w:rPr>
        <w:t xml:space="preserve">, שהיוותה "בסיס הלגיטימיות הבינלאומית" להקמת מדינת ישראל (ראו: עניין </w:t>
      </w:r>
      <w:r w:rsidRPr="008B45D8">
        <w:rPr>
          <w:rFonts w:cs="Miriam" w:hint="cs"/>
          <w:b/>
          <w:spacing w:val="0"/>
          <w:sz w:val="22"/>
          <w:szCs w:val="24"/>
          <w:rtl/>
        </w:rPr>
        <w:t>חסון</w:t>
      </w:r>
      <w:r>
        <w:rPr>
          <w:rFonts w:hint="cs"/>
          <w:rtl/>
        </w:rPr>
        <w:t xml:space="preserve">, בפסקה 6 לחוות דעתו של השופט (בדימ') </w:t>
      </w:r>
      <w:r w:rsidRPr="008B45D8">
        <w:rPr>
          <w:rFonts w:cs="Miriam" w:hint="cs"/>
          <w:b/>
          <w:spacing w:val="0"/>
          <w:sz w:val="22"/>
          <w:szCs w:val="24"/>
          <w:rtl/>
        </w:rPr>
        <w:t>מ' מזוז</w:t>
      </w:r>
      <w:r>
        <w:rPr>
          <w:rFonts w:hint="cs"/>
          <w:rtl/>
        </w:rPr>
        <w:t xml:space="preserve">). </w:t>
      </w:r>
      <w:r w:rsidRPr="00A43CD3">
        <w:rPr>
          <w:rFonts w:hint="cs"/>
          <w:rtl/>
        </w:rPr>
        <w:t>בהחלט</w:t>
      </w:r>
      <w:r>
        <w:rPr>
          <w:rFonts w:hint="cs"/>
          <w:rtl/>
        </w:rPr>
        <w:t>ת עצרת האו"ם</w:t>
      </w:r>
      <w:r w:rsidRPr="00A43CD3">
        <w:rPr>
          <w:rFonts w:hint="cs"/>
          <w:rtl/>
        </w:rPr>
        <w:t xml:space="preserve"> נקבע, בין היתר, כי </w:t>
      </w:r>
      <w:r w:rsidRPr="00A43CD3">
        <w:rPr>
          <w:rFonts w:hint="cs"/>
          <w:sz w:val="22"/>
          <w:shd w:val="clear" w:color="auto" w:fill="FFFFFF"/>
          <w:rtl/>
        </w:rPr>
        <w:t>כ</w:t>
      </w:r>
      <w:r>
        <w:rPr>
          <w:rFonts w:hint="cs"/>
          <w:sz w:val="22"/>
          <w:shd w:val="clear" w:color="auto" w:fill="FFFFFF"/>
          <w:rtl/>
        </w:rPr>
        <w:t>ל אחת מהמדינות שתקומנה בארץ ישראל המנדטורית</w:t>
      </w:r>
      <w:r w:rsidRPr="00A43CD3">
        <w:rPr>
          <w:rFonts w:hint="cs"/>
          <w:sz w:val="22"/>
          <w:shd w:val="clear" w:color="auto" w:fill="FFFFFF"/>
          <w:rtl/>
        </w:rPr>
        <w:t xml:space="preserve"> תקיים</w:t>
      </w:r>
      <w:r w:rsidRPr="00A43CD3">
        <w:rPr>
          <w:sz w:val="22"/>
          <w:shd w:val="clear" w:color="auto" w:fill="FFFFFF"/>
          <w:rtl/>
        </w:rPr>
        <w:t xml:space="preserve"> בחירות לאס</w:t>
      </w:r>
      <w:r w:rsidRPr="00A43CD3">
        <w:rPr>
          <w:rFonts w:hint="cs"/>
          <w:sz w:val="22"/>
          <w:shd w:val="clear" w:color="auto" w:fill="FFFFFF"/>
          <w:rtl/>
        </w:rPr>
        <w:t>י</w:t>
      </w:r>
      <w:r w:rsidRPr="00A43CD3">
        <w:rPr>
          <w:sz w:val="22"/>
          <w:shd w:val="clear" w:color="auto" w:fill="FFFFFF"/>
          <w:rtl/>
        </w:rPr>
        <w:t>פה מכוננת</w:t>
      </w:r>
      <w:r>
        <w:rPr>
          <w:rFonts w:hint="cs"/>
          <w:sz w:val="22"/>
          <w:shd w:val="clear" w:color="auto" w:fill="FFFFFF"/>
          <w:rtl/>
        </w:rPr>
        <w:t xml:space="preserve">, אשר </w:t>
      </w:r>
      <w:r w:rsidRPr="00A43CD3">
        <w:rPr>
          <w:rFonts w:hint="cs"/>
          <w:sz w:val="22"/>
          <w:shd w:val="clear" w:color="auto" w:fill="FFFFFF"/>
          <w:rtl/>
        </w:rPr>
        <w:t xml:space="preserve">תהא </w:t>
      </w:r>
      <w:r>
        <w:rPr>
          <w:rFonts w:hint="cs"/>
          <w:sz w:val="22"/>
          <w:shd w:val="clear" w:color="auto" w:fill="FFFFFF"/>
          <w:rtl/>
        </w:rPr>
        <w:t>אמונה</w:t>
      </w:r>
      <w:r w:rsidRPr="00A43CD3">
        <w:rPr>
          <w:rFonts w:hint="cs"/>
          <w:sz w:val="22"/>
          <w:shd w:val="clear" w:color="auto" w:fill="FFFFFF"/>
          <w:rtl/>
        </w:rPr>
        <w:t xml:space="preserve"> על גיבוש חוקה דמוקרטית</w:t>
      </w:r>
      <w:r>
        <w:rPr>
          <w:rFonts w:hint="cs"/>
          <w:sz w:val="22"/>
          <w:shd w:val="clear" w:color="auto" w:fill="FFFFFF"/>
          <w:rtl/>
        </w:rPr>
        <w:t xml:space="preserve"> ובמסגרתה יוקמו מוסדות המדינה ויוענקו זכויות יסוד לכלל יושביה</w:t>
      </w:r>
      <w:r w:rsidRPr="00A43CD3">
        <w:rPr>
          <w:rFonts w:hint="cs"/>
          <w:sz w:val="22"/>
          <w:shd w:val="clear" w:color="auto" w:fill="FFFFFF"/>
          <w:rtl/>
        </w:rPr>
        <w:t xml:space="preserve"> (</w:t>
      </w:r>
      <w:r>
        <w:rPr>
          <w:rFonts w:hint="cs"/>
          <w:sz w:val="22"/>
          <w:shd w:val="clear" w:color="auto" w:fill="FFFFFF"/>
          <w:rtl/>
        </w:rPr>
        <w:t>סעיפים 9 ו-10 לחלק 1(</w:t>
      </w:r>
      <w:r>
        <w:rPr>
          <w:rFonts w:hint="cs"/>
          <w:sz w:val="22"/>
          <w:shd w:val="clear" w:color="auto" w:fill="FFFFFF"/>
        </w:rPr>
        <w:t>B</w:t>
      </w:r>
      <w:r>
        <w:rPr>
          <w:rFonts w:hint="cs"/>
          <w:sz w:val="22"/>
          <w:shd w:val="clear" w:color="auto" w:fill="FFFFFF"/>
          <w:rtl/>
        </w:rPr>
        <w:t>) להחלטת עצרת האו"ם; ראו בהקשר זה: יוסף ויילר ודורין לוסטיג "</w:t>
      </w:r>
      <w:r w:rsidRPr="008B45D8">
        <w:rPr>
          <w:rFonts w:ascii="Century" w:hAnsi="Century" w:hint="eastAsia"/>
          <w:sz w:val="22"/>
          <w:shd w:val="clear" w:color="auto" w:fill="FFFFFF"/>
          <w:rtl/>
        </w:rPr>
        <w:t>מקום</w:t>
      </w:r>
      <w:r w:rsidRPr="008B45D8">
        <w:rPr>
          <w:rFonts w:ascii="Century" w:hAnsi="Century"/>
          <w:sz w:val="22"/>
          <w:shd w:val="clear" w:color="auto" w:fill="FFFFFF"/>
          <w:rtl/>
        </w:rPr>
        <w:t xml:space="preserve"> </w:t>
      </w:r>
      <w:r w:rsidRPr="008B45D8">
        <w:rPr>
          <w:rFonts w:ascii="Century" w:hAnsi="Century" w:hint="eastAsia"/>
          <w:sz w:val="22"/>
          <w:shd w:val="clear" w:color="auto" w:fill="FFFFFF"/>
          <w:rtl/>
        </w:rPr>
        <w:t>טוב</w:t>
      </w:r>
      <w:r w:rsidRPr="008B45D8">
        <w:rPr>
          <w:rFonts w:ascii="Century" w:hAnsi="Century"/>
          <w:sz w:val="22"/>
          <w:shd w:val="clear" w:color="auto" w:fill="FFFFFF"/>
          <w:rtl/>
        </w:rPr>
        <w:t xml:space="preserve"> </w:t>
      </w:r>
      <w:r w:rsidRPr="008B45D8">
        <w:rPr>
          <w:rFonts w:ascii="Century" w:hAnsi="Century" w:hint="eastAsia"/>
          <w:sz w:val="22"/>
          <w:shd w:val="clear" w:color="auto" w:fill="FFFFFF"/>
          <w:rtl/>
        </w:rPr>
        <w:t>באמצע</w:t>
      </w:r>
      <w:r w:rsidRPr="008B45D8">
        <w:rPr>
          <w:rFonts w:ascii="Century" w:hAnsi="Century"/>
          <w:sz w:val="22"/>
          <w:shd w:val="clear" w:color="auto" w:fill="FFFFFF"/>
          <w:rtl/>
        </w:rPr>
        <w:t xml:space="preserve">: </w:t>
      </w:r>
      <w:r w:rsidRPr="008B45D8">
        <w:rPr>
          <w:rFonts w:ascii="Century" w:hAnsi="Century" w:hint="eastAsia"/>
          <w:sz w:val="22"/>
          <w:shd w:val="clear" w:color="auto" w:fill="FFFFFF"/>
          <w:rtl/>
        </w:rPr>
        <w:t>מבט</w:t>
      </w:r>
      <w:r w:rsidRPr="008B45D8">
        <w:rPr>
          <w:rFonts w:ascii="Century" w:hAnsi="Century"/>
          <w:sz w:val="22"/>
          <w:shd w:val="clear" w:color="auto" w:fill="FFFFFF"/>
          <w:rtl/>
        </w:rPr>
        <w:t xml:space="preserve"> </w:t>
      </w:r>
      <w:r w:rsidRPr="008B45D8">
        <w:rPr>
          <w:rFonts w:ascii="Century" w:hAnsi="Century" w:hint="eastAsia"/>
          <w:sz w:val="22"/>
          <w:shd w:val="clear" w:color="auto" w:fill="FFFFFF"/>
          <w:rtl/>
        </w:rPr>
        <w:t>תלוי</w:t>
      </w:r>
      <w:r w:rsidRPr="008B45D8">
        <w:rPr>
          <w:rFonts w:ascii="Century" w:hAnsi="Century"/>
          <w:sz w:val="22"/>
          <w:shd w:val="clear" w:color="auto" w:fill="FFFFFF"/>
          <w:rtl/>
        </w:rPr>
        <w:t xml:space="preserve"> </w:t>
      </w:r>
      <w:r w:rsidRPr="008B45D8">
        <w:rPr>
          <w:rFonts w:ascii="Century" w:hAnsi="Century" w:hint="eastAsia"/>
          <w:sz w:val="22"/>
          <w:shd w:val="clear" w:color="auto" w:fill="FFFFFF"/>
          <w:rtl/>
        </w:rPr>
        <w:t>הקשר</w:t>
      </w:r>
      <w:r w:rsidRPr="008B45D8">
        <w:rPr>
          <w:rFonts w:ascii="Century" w:hAnsi="Century"/>
          <w:sz w:val="22"/>
          <w:shd w:val="clear" w:color="auto" w:fill="FFFFFF"/>
          <w:rtl/>
        </w:rPr>
        <w:t xml:space="preserve"> </w:t>
      </w:r>
      <w:r w:rsidRPr="008B45D8">
        <w:rPr>
          <w:rFonts w:ascii="Century" w:hAnsi="Century" w:hint="eastAsia"/>
          <w:sz w:val="22"/>
          <w:shd w:val="clear" w:color="auto" w:fill="FFFFFF"/>
          <w:rtl/>
        </w:rPr>
        <w:t>על</w:t>
      </w:r>
      <w:r>
        <w:rPr>
          <w:rFonts w:ascii="Century" w:hAnsi="Century" w:hint="cs"/>
          <w:sz w:val="22"/>
          <w:shd w:val="clear" w:color="auto" w:fill="FFFFFF"/>
          <w:rtl/>
        </w:rPr>
        <w:t xml:space="preserve"> </w:t>
      </w:r>
      <w:r w:rsidRPr="008B45D8">
        <w:rPr>
          <w:rFonts w:ascii="Century" w:hAnsi="Century" w:hint="eastAsia"/>
          <w:sz w:val="22"/>
          <w:shd w:val="clear" w:color="auto" w:fill="FFFFFF"/>
          <w:rtl/>
        </w:rPr>
        <w:t>המהפכה</w:t>
      </w:r>
      <w:r w:rsidRPr="008B45D8">
        <w:rPr>
          <w:rFonts w:ascii="Century" w:hAnsi="Century"/>
          <w:sz w:val="22"/>
          <w:shd w:val="clear" w:color="auto" w:fill="FFFFFF"/>
          <w:rtl/>
        </w:rPr>
        <w:t xml:space="preserve"> </w:t>
      </w:r>
      <w:r w:rsidRPr="008B45D8">
        <w:rPr>
          <w:rFonts w:ascii="Century" w:hAnsi="Century" w:hint="eastAsia"/>
          <w:sz w:val="22"/>
          <w:shd w:val="clear" w:color="auto" w:fill="FFFFFF"/>
          <w:rtl/>
        </w:rPr>
        <w:t>החוקתית</w:t>
      </w:r>
      <w:r w:rsidRPr="008B45D8">
        <w:rPr>
          <w:rFonts w:ascii="Century" w:hAnsi="Century"/>
          <w:sz w:val="22"/>
          <w:shd w:val="clear" w:color="auto" w:fill="FFFFFF"/>
          <w:rtl/>
        </w:rPr>
        <w:t xml:space="preserve"> </w:t>
      </w:r>
      <w:r w:rsidRPr="008B45D8">
        <w:rPr>
          <w:rFonts w:ascii="Century" w:hAnsi="Century" w:hint="eastAsia"/>
          <w:sz w:val="22"/>
          <w:shd w:val="clear" w:color="auto" w:fill="FFFFFF"/>
          <w:rtl/>
        </w:rPr>
        <w:t>בישראל</w:t>
      </w:r>
      <w:r>
        <w:rPr>
          <w:rFonts w:ascii="Century" w:hAnsi="Century" w:hint="cs"/>
          <w:sz w:val="22"/>
          <w:shd w:val="clear" w:color="auto" w:fill="FFFFFF"/>
          <w:rtl/>
        </w:rPr>
        <w:t xml:space="preserve">" </w:t>
      </w:r>
      <w:r w:rsidRPr="008B45D8">
        <w:rPr>
          <w:rFonts w:ascii="Century" w:hAnsi="Century" w:cs="Miriam" w:hint="cs"/>
          <w:b/>
          <w:spacing w:val="0"/>
          <w:sz w:val="22"/>
          <w:szCs w:val="24"/>
          <w:shd w:val="clear" w:color="auto" w:fill="FFFFFF"/>
          <w:rtl/>
        </w:rPr>
        <w:t>עיוני משפט</w:t>
      </w:r>
      <w:r w:rsidRPr="008B45D8">
        <w:rPr>
          <w:rFonts w:ascii="Century" w:hAnsi="Century" w:hint="cs"/>
          <w:sz w:val="22"/>
          <w:shd w:val="clear" w:color="auto" w:fill="FFFFFF"/>
          <w:rtl/>
        </w:rPr>
        <w:t xml:space="preserve"> </w:t>
      </w:r>
      <w:r>
        <w:rPr>
          <w:rFonts w:ascii="Century" w:hAnsi="Century" w:hint="cs"/>
          <w:sz w:val="22"/>
          <w:shd w:val="clear" w:color="auto" w:fill="FFFFFF"/>
          <w:rtl/>
        </w:rPr>
        <w:t>לח 419, 457-455 (2016)</w:t>
      </w:r>
      <w:r w:rsidRPr="008B45D8">
        <w:rPr>
          <w:rFonts w:hint="cs"/>
          <w:sz w:val="22"/>
          <w:shd w:val="clear" w:color="auto" w:fill="FFFFFF"/>
          <w:rtl/>
        </w:rPr>
        <w:t xml:space="preserve">). </w:t>
      </w:r>
    </w:p>
    <w:p w:rsidR="00C044AE" w:rsidRPr="00A43CD3" w:rsidRDefault="00C044AE" w:rsidP="00C044AE">
      <w:pPr>
        <w:pStyle w:val="Ruller4"/>
        <w:numPr>
          <w:ilvl w:val="0"/>
          <w:numId w:val="0"/>
        </w:numPr>
        <w:rPr>
          <w:rtl/>
        </w:rPr>
      </w:pPr>
    </w:p>
    <w:p w:rsidR="00C044AE" w:rsidRDefault="00C044AE" w:rsidP="00C044AE">
      <w:pPr>
        <w:pStyle w:val="Ruller4"/>
        <w:rPr>
          <w:rtl/>
        </w:rPr>
      </w:pPr>
      <w:r>
        <w:rPr>
          <w:rFonts w:hint="cs"/>
          <w:rtl/>
        </w:rPr>
        <w:t xml:space="preserve">מספר חודשים לאחר הקמת המדינה, מועצת המדינה הזמנית </w:t>
      </w:r>
      <w:r>
        <w:rPr>
          <w:rtl/>
        </w:rPr>
        <w:t>–</w:t>
      </w:r>
      <w:r>
        <w:rPr>
          <w:rFonts w:hint="cs"/>
          <w:rtl/>
        </w:rPr>
        <w:t xml:space="preserve"> ששימשה כרשות המחוקקת (ראו: סעיף 1 למנשר מטעם מועצת המדינה הזמנית מיום 14.5.1948 וסעיף 7(א) ל</w:t>
      </w:r>
      <w:r>
        <w:rPr>
          <w:rFonts w:hint="eastAsia"/>
          <w:rtl/>
        </w:rPr>
        <w:t>פקודת</w:t>
      </w:r>
      <w:r>
        <w:rPr>
          <w:rtl/>
        </w:rPr>
        <w:t xml:space="preserve"> </w:t>
      </w:r>
      <w:r>
        <w:rPr>
          <w:rFonts w:hint="eastAsia"/>
          <w:rtl/>
        </w:rPr>
        <w:t>סדרי</w:t>
      </w:r>
      <w:r>
        <w:rPr>
          <w:rtl/>
        </w:rPr>
        <w:t xml:space="preserve"> </w:t>
      </w:r>
      <w:r>
        <w:rPr>
          <w:rFonts w:hint="eastAsia"/>
          <w:rtl/>
        </w:rPr>
        <w:t>השלטון</w:t>
      </w:r>
      <w:r>
        <w:rPr>
          <w:rtl/>
        </w:rPr>
        <w:t xml:space="preserve"> </w:t>
      </w:r>
      <w:r>
        <w:rPr>
          <w:rFonts w:hint="eastAsia"/>
          <w:rtl/>
        </w:rPr>
        <w:t>והמשפט</w:t>
      </w:r>
      <w:r>
        <w:rPr>
          <w:rtl/>
        </w:rPr>
        <w:t xml:space="preserve">, </w:t>
      </w:r>
      <w:r>
        <w:rPr>
          <w:rFonts w:hint="cs"/>
          <w:rtl/>
        </w:rPr>
        <w:t>ה</w:t>
      </w:r>
      <w:r>
        <w:rPr>
          <w:rFonts w:hint="eastAsia"/>
          <w:rtl/>
        </w:rPr>
        <w:t>תש</w:t>
      </w:r>
      <w:r>
        <w:rPr>
          <w:rtl/>
        </w:rPr>
        <w:t>"</w:t>
      </w:r>
      <w:r>
        <w:rPr>
          <w:rFonts w:hint="eastAsia"/>
          <w:rtl/>
        </w:rPr>
        <w:t>ח</w:t>
      </w:r>
      <w:r>
        <w:rPr>
          <w:rtl/>
        </w:rPr>
        <w:t>-1948</w:t>
      </w:r>
      <w:r>
        <w:rPr>
          <w:rFonts w:hint="cs"/>
          <w:rtl/>
        </w:rPr>
        <w:t xml:space="preserve">) </w:t>
      </w:r>
      <w:r>
        <w:rPr>
          <w:rtl/>
        </w:rPr>
        <w:t>–</w:t>
      </w:r>
      <w:r>
        <w:rPr>
          <w:rFonts w:hint="cs"/>
          <w:rtl/>
        </w:rPr>
        <w:t xml:space="preserve"> חוקקה את פקודת הבחירות לאסיפה המכוננת, התש"ט-1948 ובהמשך לכך את פ</w:t>
      </w:r>
      <w:r w:rsidRPr="00197D90">
        <w:rPr>
          <w:rFonts w:hint="eastAsia"/>
          <w:rtl/>
        </w:rPr>
        <w:t>קודת</w:t>
      </w:r>
      <w:r w:rsidRPr="00197D90">
        <w:rPr>
          <w:rtl/>
        </w:rPr>
        <w:t xml:space="preserve"> </w:t>
      </w:r>
      <w:r w:rsidRPr="00197D90">
        <w:rPr>
          <w:rFonts w:hint="eastAsia"/>
          <w:rtl/>
        </w:rPr>
        <w:t>המעבר</w:t>
      </w:r>
      <w:r w:rsidRPr="00197D90">
        <w:rPr>
          <w:rtl/>
        </w:rPr>
        <w:t xml:space="preserve"> </w:t>
      </w:r>
      <w:r w:rsidRPr="00197D90">
        <w:rPr>
          <w:rFonts w:hint="eastAsia"/>
          <w:rtl/>
        </w:rPr>
        <w:t>לאסיפה</w:t>
      </w:r>
      <w:r w:rsidRPr="00197D90">
        <w:rPr>
          <w:rtl/>
        </w:rPr>
        <w:t xml:space="preserve"> </w:t>
      </w:r>
      <w:r w:rsidRPr="00197D90">
        <w:rPr>
          <w:rFonts w:hint="eastAsia"/>
          <w:rtl/>
        </w:rPr>
        <w:t>המכוננת</w:t>
      </w:r>
      <w:r w:rsidRPr="00197D90">
        <w:rPr>
          <w:rtl/>
        </w:rPr>
        <w:t xml:space="preserve">, </w:t>
      </w:r>
      <w:r>
        <w:rPr>
          <w:rFonts w:hint="cs"/>
          <w:rtl/>
        </w:rPr>
        <w:t>ה</w:t>
      </w:r>
      <w:r w:rsidRPr="00197D90">
        <w:rPr>
          <w:rFonts w:hint="eastAsia"/>
          <w:rtl/>
        </w:rPr>
        <w:t>תש״ט</w:t>
      </w:r>
      <w:r>
        <w:rPr>
          <w:rFonts w:hint="cs"/>
          <w:rtl/>
        </w:rPr>
        <w:t>-</w:t>
      </w:r>
      <w:r w:rsidRPr="00197D90">
        <w:rPr>
          <w:rtl/>
        </w:rPr>
        <w:t>1949</w:t>
      </w:r>
      <w:r>
        <w:rPr>
          <w:rFonts w:hint="cs"/>
          <w:rtl/>
        </w:rPr>
        <w:t>, שקבעה כי "</w:t>
      </w:r>
      <w:r w:rsidRPr="00197D90">
        <w:rPr>
          <w:rFonts w:hint="eastAsia"/>
          <w:rtl/>
        </w:rPr>
        <w:t>לאסיפה</w:t>
      </w:r>
      <w:r w:rsidRPr="00197D90">
        <w:rPr>
          <w:rtl/>
        </w:rPr>
        <w:t xml:space="preserve"> </w:t>
      </w:r>
      <w:r w:rsidRPr="00197D90">
        <w:rPr>
          <w:rFonts w:hint="eastAsia"/>
          <w:rtl/>
        </w:rPr>
        <w:t>המכוננת</w:t>
      </w:r>
      <w:r w:rsidRPr="00197D90">
        <w:rPr>
          <w:rtl/>
        </w:rPr>
        <w:t xml:space="preserve"> </w:t>
      </w:r>
      <w:r w:rsidRPr="00197D90">
        <w:rPr>
          <w:rFonts w:hint="eastAsia"/>
          <w:rtl/>
        </w:rPr>
        <w:t>יהיו</w:t>
      </w:r>
      <w:r w:rsidRPr="00197D90">
        <w:rPr>
          <w:rtl/>
        </w:rPr>
        <w:t xml:space="preserve"> </w:t>
      </w:r>
      <w:r w:rsidRPr="00197D90">
        <w:rPr>
          <w:rFonts w:hint="eastAsia"/>
          <w:rtl/>
        </w:rPr>
        <w:t>כל</w:t>
      </w:r>
      <w:r w:rsidRPr="00197D90">
        <w:rPr>
          <w:rtl/>
        </w:rPr>
        <w:t xml:space="preserve"> </w:t>
      </w:r>
      <w:r w:rsidRPr="00197D90">
        <w:rPr>
          <w:rFonts w:hint="eastAsia"/>
          <w:rtl/>
        </w:rPr>
        <w:t>הסמכויות</w:t>
      </w:r>
      <w:r w:rsidRPr="00197D90">
        <w:rPr>
          <w:rtl/>
        </w:rPr>
        <w:t xml:space="preserve"> </w:t>
      </w:r>
      <w:r w:rsidRPr="00197D90">
        <w:rPr>
          <w:rFonts w:hint="eastAsia"/>
          <w:rtl/>
        </w:rPr>
        <w:t>שהעניק</w:t>
      </w:r>
      <w:r w:rsidRPr="00197D90">
        <w:rPr>
          <w:rtl/>
        </w:rPr>
        <w:t xml:space="preserve"> </w:t>
      </w:r>
      <w:r w:rsidRPr="00197D90">
        <w:rPr>
          <w:rFonts w:hint="eastAsia"/>
          <w:rtl/>
        </w:rPr>
        <w:t>החוק</w:t>
      </w:r>
      <w:r w:rsidRPr="00197D90">
        <w:rPr>
          <w:rtl/>
        </w:rPr>
        <w:t xml:space="preserve"> </w:t>
      </w:r>
      <w:r w:rsidRPr="00197D90">
        <w:rPr>
          <w:rFonts w:hint="eastAsia"/>
          <w:rtl/>
        </w:rPr>
        <w:t>למועצת־המדינה</w:t>
      </w:r>
      <w:r w:rsidRPr="00197D90">
        <w:rPr>
          <w:rtl/>
        </w:rPr>
        <w:t xml:space="preserve"> </w:t>
      </w:r>
      <w:r w:rsidRPr="00197D90">
        <w:rPr>
          <w:rFonts w:hint="eastAsia"/>
          <w:rtl/>
        </w:rPr>
        <w:t>הזמנית</w:t>
      </w:r>
      <w:r>
        <w:rPr>
          <w:rFonts w:hint="cs"/>
          <w:rtl/>
        </w:rPr>
        <w:t xml:space="preserve">" (ראו גם: </w:t>
      </w:r>
      <w:r w:rsidRPr="00B00F53">
        <w:rPr>
          <w:rFonts w:hint="cs"/>
          <w:rtl/>
        </w:rPr>
        <w:t xml:space="preserve">בג"ץ 5119/23 </w:t>
      </w:r>
      <w:r w:rsidRPr="00B00F53">
        <w:rPr>
          <w:rFonts w:cs="Miriam" w:hint="cs"/>
          <w:b/>
          <w:spacing w:val="0"/>
          <w:sz w:val="22"/>
          <w:szCs w:val="24"/>
          <w:rtl/>
        </w:rPr>
        <w:t>התנועה לטוהר המידות נ' הכנסת</w:t>
      </w:r>
      <w:r w:rsidRPr="00B00F53">
        <w:rPr>
          <w:rFonts w:hint="cs"/>
          <w:rtl/>
        </w:rPr>
        <w:t xml:space="preserve">, </w:t>
      </w:r>
      <w:r>
        <w:rPr>
          <w:rFonts w:hint="cs"/>
          <w:rtl/>
        </w:rPr>
        <w:t>פסקאות</w:t>
      </w:r>
      <w:r w:rsidRPr="00B00F53">
        <w:rPr>
          <w:rFonts w:hint="cs"/>
          <w:rtl/>
        </w:rPr>
        <w:t xml:space="preserve"> </w:t>
      </w:r>
      <w:r>
        <w:rPr>
          <w:rFonts w:hint="cs"/>
          <w:rtl/>
        </w:rPr>
        <w:t xml:space="preserve">14-11 לחוות דעתו של השופט </w:t>
      </w:r>
      <w:r w:rsidRPr="0053295D">
        <w:rPr>
          <w:rFonts w:ascii="Century" w:hAnsi="Century" w:cs="Miriam" w:hint="cs"/>
          <w:b/>
          <w:spacing w:val="0"/>
          <w:sz w:val="22"/>
          <w:szCs w:val="24"/>
          <w:rtl/>
        </w:rPr>
        <w:t>א' שטיין</w:t>
      </w:r>
      <w:r w:rsidRPr="0053295D">
        <w:rPr>
          <w:rFonts w:cs="Miriam" w:hint="cs"/>
          <w:b/>
          <w:spacing w:val="0"/>
          <w:sz w:val="22"/>
          <w:szCs w:val="24"/>
          <w:rtl/>
        </w:rPr>
        <w:t xml:space="preserve"> </w:t>
      </w:r>
      <w:r w:rsidRPr="00B00F53">
        <w:rPr>
          <w:rFonts w:hint="cs"/>
          <w:rtl/>
        </w:rPr>
        <w:t xml:space="preserve">(26.10.2023) (להלן: </w:t>
      </w:r>
      <w:r w:rsidRPr="00B00F53">
        <w:rPr>
          <w:rFonts w:cs="Miriam" w:hint="cs"/>
          <w:b/>
          <w:spacing w:val="0"/>
          <w:sz w:val="22"/>
          <w:szCs w:val="24"/>
          <w:rtl/>
        </w:rPr>
        <w:t>עניין התנועה לטוהר המידות</w:t>
      </w:r>
      <w:r w:rsidRPr="00B00F53">
        <w:rPr>
          <w:rFonts w:hint="cs"/>
          <w:rtl/>
        </w:rPr>
        <w:t>)</w:t>
      </w:r>
      <w:r>
        <w:rPr>
          <w:rFonts w:hint="cs"/>
          <w:rtl/>
        </w:rPr>
        <w:t xml:space="preserve">). לאחר הבחירות, שנערכו בסופו של דבר בראשית שנת 1949, נחקק חוק המעבר, התש"ט-1949, ובו נקבע כי </w:t>
      </w:r>
      <w:r>
        <w:rPr>
          <w:rFonts w:ascii="FrankRuehl" w:hAnsi="FrankRuehl" w:hint="cs"/>
          <w:color w:val="000000"/>
          <w:rtl/>
        </w:rPr>
        <w:t>"</w:t>
      </w:r>
      <w:r>
        <w:rPr>
          <w:rFonts w:ascii="FrankRuehl" w:hAnsi="FrankRuehl"/>
          <w:color w:val="000000"/>
          <w:rtl/>
        </w:rPr>
        <w:t xml:space="preserve">לבית המחוקקים במדינת ישראל ייקרא 'הכנסת'. לאסיפה המכוננת </w:t>
      </w:r>
      <w:r w:rsidRPr="007A7195">
        <w:rPr>
          <w:rFonts w:ascii="FrankRuehl" w:hAnsi="FrankRuehl"/>
          <w:color w:val="000000"/>
          <w:rtl/>
        </w:rPr>
        <w:t>ייקרא 'הכנסת הראשונה</w:t>
      </w:r>
      <w:r w:rsidRPr="007A7195">
        <w:rPr>
          <w:rFonts w:ascii="FrankRuehl" w:hAnsi="FrankRuehl" w:hint="cs"/>
          <w:color w:val="000000"/>
          <w:rtl/>
        </w:rPr>
        <w:t xml:space="preserve">'" (סעיף 1 לחוק). </w:t>
      </w:r>
      <w:r>
        <w:rPr>
          <w:rFonts w:ascii="FrankRuehl" w:hAnsi="FrankRuehl" w:hint="cs"/>
          <w:color w:val="000000"/>
          <w:rtl/>
        </w:rPr>
        <w:t>לפיכך,</w:t>
      </w:r>
      <w:r w:rsidRPr="007A7195">
        <w:rPr>
          <w:rFonts w:ascii="FrankRuehl" w:hAnsi="FrankRuehl" w:hint="cs"/>
          <w:color w:val="000000"/>
          <w:rtl/>
        </w:rPr>
        <w:t xml:space="preserve"> הכנסת הראשונה החזיקה הן בסמכות החקיקה (אותה ירשה ממועצת המדינה הזמנית) והן בסמכות לכונן חוקה (</w:t>
      </w:r>
      <w:r>
        <w:rPr>
          <w:rFonts w:hint="cs"/>
          <w:rtl/>
        </w:rPr>
        <w:t>עניין</w:t>
      </w:r>
      <w:r w:rsidRPr="007A7195">
        <w:rPr>
          <w:rtl/>
        </w:rPr>
        <w:t xml:space="preserve"> </w:t>
      </w:r>
      <w:r w:rsidRPr="007A7195">
        <w:rPr>
          <w:rFonts w:ascii="Century" w:hAnsi="Century" w:cs="Miriam"/>
          <w:b/>
          <w:spacing w:val="0"/>
          <w:sz w:val="22"/>
          <w:szCs w:val="24"/>
          <w:rtl/>
        </w:rPr>
        <w:t>בנק המזרחי</w:t>
      </w:r>
      <w:r w:rsidRPr="003B6D94">
        <w:rPr>
          <w:rFonts w:ascii="FrankRuehl" w:hAnsi="FrankRuehl" w:hint="cs"/>
          <w:color w:val="000000"/>
          <w:rtl/>
        </w:rPr>
        <w:t>, בעמ'</w:t>
      </w:r>
      <w:r>
        <w:rPr>
          <w:rFonts w:ascii="Century" w:hAnsi="Century" w:cs="Miriam" w:hint="cs"/>
          <w:b/>
          <w:spacing w:val="0"/>
          <w:sz w:val="22"/>
          <w:szCs w:val="24"/>
          <w:rtl/>
        </w:rPr>
        <w:t xml:space="preserve"> </w:t>
      </w:r>
      <w:r w:rsidRPr="007A7195">
        <w:rPr>
          <w:rFonts w:hint="cs"/>
          <w:rtl/>
        </w:rPr>
        <w:t>364-362</w:t>
      </w:r>
      <w:r>
        <w:rPr>
          <w:rFonts w:hint="cs"/>
          <w:rtl/>
        </w:rPr>
        <w:t xml:space="preserve">). </w:t>
      </w:r>
    </w:p>
    <w:p w:rsidR="00C044AE" w:rsidRDefault="00C044AE" w:rsidP="00C044AE">
      <w:pPr>
        <w:pStyle w:val="Ruller41"/>
        <w:rPr>
          <w:rtl/>
        </w:rPr>
      </w:pPr>
    </w:p>
    <w:p w:rsidR="00C044AE" w:rsidRDefault="00C044AE" w:rsidP="00C044AE">
      <w:pPr>
        <w:pStyle w:val="Ruller41"/>
        <w:rPr>
          <w:rtl/>
        </w:rPr>
      </w:pPr>
      <w:r>
        <w:rPr>
          <w:rtl/>
        </w:rPr>
        <w:tab/>
      </w:r>
      <w:r>
        <w:rPr>
          <w:rFonts w:hint="cs"/>
          <w:rtl/>
        </w:rPr>
        <w:t>במשך מספר חודשים התנהל בכנסת הראשונה דיון עקרוני באשר לנחיצותה של חוקה ובאשר לתוכנה, ודיון זה הסתיים בסופו של דבר בפשרה המכונה "החלטת הררי", אשר אומצה על ידי מליאת הכנסת ביום 13.6.1950. בהחלטה נקבע כי "</w:t>
      </w:r>
      <w:r w:rsidRPr="00837FC0">
        <w:rPr>
          <w:rFonts w:hint="eastAsia"/>
          <w:rtl/>
        </w:rPr>
        <w:t>הכנסת</w:t>
      </w:r>
      <w:r w:rsidRPr="00837FC0">
        <w:rPr>
          <w:rtl/>
        </w:rPr>
        <w:t xml:space="preserve"> </w:t>
      </w:r>
      <w:r w:rsidRPr="00837FC0">
        <w:rPr>
          <w:rFonts w:hint="eastAsia"/>
          <w:rtl/>
        </w:rPr>
        <w:t>הראשונה</w:t>
      </w:r>
      <w:r w:rsidRPr="00837FC0">
        <w:rPr>
          <w:rtl/>
        </w:rPr>
        <w:t xml:space="preserve"> </w:t>
      </w:r>
      <w:r w:rsidRPr="00837FC0">
        <w:rPr>
          <w:rFonts w:hint="eastAsia"/>
          <w:rtl/>
        </w:rPr>
        <w:lastRenderedPageBreak/>
        <w:t>מטילה</w:t>
      </w:r>
      <w:r w:rsidRPr="00837FC0">
        <w:rPr>
          <w:rtl/>
        </w:rPr>
        <w:t xml:space="preserve"> </w:t>
      </w:r>
      <w:r w:rsidRPr="00837FC0">
        <w:rPr>
          <w:rFonts w:hint="eastAsia"/>
          <w:rtl/>
        </w:rPr>
        <w:t>על</w:t>
      </w:r>
      <w:r w:rsidRPr="00837FC0">
        <w:rPr>
          <w:rtl/>
        </w:rPr>
        <w:t xml:space="preserve"> </w:t>
      </w:r>
      <w:r w:rsidRPr="00837FC0">
        <w:rPr>
          <w:rFonts w:hint="eastAsia"/>
          <w:rtl/>
        </w:rPr>
        <w:t>ועדת</w:t>
      </w:r>
      <w:r w:rsidRPr="00837FC0">
        <w:rPr>
          <w:rtl/>
        </w:rPr>
        <w:t xml:space="preserve"> </w:t>
      </w:r>
      <w:r w:rsidRPr="00837FC0">
        <w:rPr>
          <w:rFonts w:hint="eastAsia"/>
          <w:rtl/>
        </w:rPr>
        <w:t>החוקה</w:t>
      </w:r>
      <w:r w:rsidRPr="00837FC0">
        <w:rPr>
          <w:rtl/>
        </w:rPr>
        <w:t xml:space="preserve">, </w:t>
      </w:r>
      <w:r w:rsidRPr="00837FC0">
        <w:rPr>
          <w:rFonts w:hint="eastAsia"/>
          <w:rtl/>
        </w:rPr>
        <w:t>חוק</w:t>
      </w:r>
      <w:r w:rsidRPr="00837FC0">
        <w:rPr>
          <w:rtl/>
        </w:rPr>
        <w:t xml:space="preserve"> </w:t>
      </w:r>
      <w:r w:rsidRPr="00837FC0">
        <w:rPr>
          <w:rFonts w:hint="eastAsia"/>
          <w:rtl/>
        </w:rPr>
        <w:t>ומשפט</w:t>
      </w:r>
      <w:r w:rsidRPr="00837FC0">
        <w:rPr>
          <w:rtl/>
        </w:rPr>
        <w:t xml:space="preserve"> </w:t>
      </w:r>
      <w:r w:rsidRPr="00837FC0">
        <w:rPr>
          <w:rFonts w:hint="eastAsia"/>
          <w:rtl/>
        </w:rPr>
        <w:t>להכין</w:t>
      </w:r>
      <w:r w:rsidRPr="00837FC0">
        <w:rPr>
          <w:rtl/>
        </w:rPr>
        <w:t xml:space="preserve"> </w:t>
      </w:r>
      <w:r w:rsidRPr="00837FC0">
        <w:rPr>
          <w:rFonts w:hint="eastAsia"/>
          <w:rtl/>
        </w:rPr>
        <w:t>הצעת</w:t>
      </w:r>
      <w:r w:rsidRPr="00837FC0">
        <w:rPr>
          <w:rtl/>
        </w:rPr>
        <w:t xml:space="preserve"> </w:t>
      </w:r>
      <w:r w:rsidRPr="00837FC0">
        <w:rPr>
          <w:rFonts w:hint="eastAsia"/>
          <w:rtl/>
        </w:rPr>
        <w:t>חוקה</w:t>
      </w:r>
      <w:r w:rsidRPr="00837FC0">
        <w:rPr>
          <w:rtl/>
        </w:rPr>
        <w:t xml:space="preserve"> </w:t>
      </w:r>
      <w:r w:rsidRPr="00837FC0">
        <w:rPr>
          <w:rFonts w:hint="eastAsia"/>
          <w:rtl/>
        </w:rPr>
        <w:t>למדינה</w:t>
      </w:r>
      <w:r w:rsidRPr="00837FC0">
        <w:rPr>
          <w:rtl/>
        </w:rPr>
        <w:t xml:space="preserve">. </w:t>
      </w:r>
      <w:r w:rsidRPr="00837FC0">
        <w:rPr>
          <w:rFonts w:hint="eastAsia"/>
          <w:rtl/>
        </w:rPr>
        <w:t>החוקה</w:t>
      </w:r>
      <w:r w:rsidRPr="00837FC0">
        <w:rPr>
          <w:rtl/>
        </w:rPr>
        <w:t xml:space="preserve"> </w:t>
      </w:r>
      <w:r w:rsidRPr="00837FC0">
        <w:rPr>
          <w:rFonts w:hint="eastAsia"/>
          <w:rtl/>
        </w:rPr>
        <w:t>תהיה</w:t>
      </w:r>
      <w:r w:rsidRPr="00837FC0">
        <w:rPr>
          <w:rtl/>
        </w:rPr>
        <w:t xml:space="preserve"> </w:t>
      </w:r>
      <w:r w:rsidRPr="00837FC0">
        <w:rPr>
          <w:rFonts w:hint="eastAsia"/>
          <w:rtl/>
        </w:rPr>
        <w:t>בנויה</w:t>
      </w:r>
      <w:r w:rsidRPr="00837FC0">
        <w:rPr>
          <w:rtl/>
        </w:rPr>
        <w:t xml:space="preserve"> </w:t>
      </w:r>
      <w:r w:rsidRPr="00837FC0">
        <w:rPr>
          <w:rFonts w:hint="eastAsia"/>
          <w:rtl/>
        </w:rPr>
        <w:t>פרקים</w:t>
      </w:r>
      <w:r w:rsidRPr="00837FC0">
        <w:rPr>
          <w:rtl/>
        </w:rPr>
        <w:t xml:space="preserve"> </w:t>
      </w:r>
      <w:r w:rsidRPr="00837FC0">
        <w:rPr>
          <w:rFonts w:hint="eastAsia"/>
          <w:rtl/>
        </w:rPr>
        <w:t>פרקים</w:t>
      </w:r>
      <w:r w:rsidRPr="00837FC0">
        <w:rPr>
          <w:rtl/>
        </w:rPr>
        <w:t xml:space="preserve">, </w:t>
      </w:r>
      <w:r w:rsidRPr="00837FC0">
        <w:rPr>
          <w:rFonts w:hint="eastAsia"/>
          <w:rtl/>
        </w:rPr>
        <w:t>באופן</w:t>
      </w:r>
      <w:r w:rsidRPr="00837FC0">
        <w:rPr>
          <w:rtl/>
        </w:rPr>
        <w:t xml:space="preserve"> </w:t>
      </w:r>
      <w:r w:rsidRPr="00837FC0">
        <w:rPr>
          <w:rFonts w:hint="eastAsia"/>
          <w:rtl/>
        </w:rPr>
        <w:t>שכל</w:t>
      </w:r>
      <w:r w:rsidRPr="00837FC0">
        <w:rPr>
          <w:rtl/>
        </w:rPr>
        <w:t xml:space="preserve"> </w:t>
      </w:r>
      <w:r w:rsidRPr="00837FC0">
        <w:rPr>
          <w:rFonts w:hint="eastAsia"/>
          <w:rtl/>
        </w:rPr>
        <w:t>אחד</w:t>
      </w:r>
      <w:r w:rsidRPr="00837FC0">
        <w:rPr>
          <w:rtl/>
        </w:rPr>
        <w:t xml:space="preserve"> </w:t>
      </w:r>
      <w:r w:rsidRPr="00837FC0">
        <w:rPr>
          <w:rFonts w:hint="eastAsia"/>
          <w:rtl/>
        </w:rPr>
        <w:t>מהם</w:t>
      </w:r>
      <w:r w:rsidRPr="00837FC0">
        <w:rPr>
          <w:rtl/>
        </w:rPr>
        <w:t xml:space="preserve"> </w:t>
      </w:r>
      <w:r w:rsidRPr="00837FC0">
        <w:rPr>
          <w:rFonts w:hint="eastAsia"/>
          <w:rtl/>
        </w:rPr>
        <w:t>יהווה</w:t>
      </w:r>
      <w:r w:rsidRPr="00837FC0">
        <w:rPr>
          <w:rtl/>
        </w:rPr>
        <w:t xml:space="preserve"> </w:t>
      </w:r>
      <w:r w:rsidRPr="00837FC0">
        <w:rPr>
          <w:rFonts w:hint="eastAsia"/>
          <w:rtl/>
        </w:rPr>
        <w:t>חוק</w:t>
      </w:r>
      <w:r w:rsidRPr="00837FC0">
        <w:rPr>
          <w:rtl/>
        </w:rPr>
        <w:t xml:space="preserve"> </w:t>
      </w:r>
      <w:r w:rsidRPr="00837FC0">
        <w:rPr>
          <w:rFonts w:hint="eastAsia"/>
          <w:rtl/>
        </w:rPr>
        <w:t>יסודי</w:t>
      </w:r>
      <w:r w:rsidRPr="00837FC0">
        <w:rPr>
          <w:rtl/>
        </w:rPr>
        <w:t xml:space="preserve"> </w:t>
      </w:r>
      <w:r w:rsidRPr="00837FC0">
        <w:rPr>
          <w:rFonts w:hint="eastAsia"/>
          <w:rtl/>
        </w:rPr>
        <w:t>בפני</w:t>
      </w:r>
      <w:r w:rsidRPr="00837FC0">
        <w:rPr>
          <w:rtl/>
        </w:rPr>
        <w:t xml:space="preserve"> </w:t>
      </w:r>
      <w:r w:rsidRPr="00837FC0">
        <w:rPr>
          <w:rFonts w:hint="eastAsia"/>
          <w:rtl/>
        </w:rPr>
        <w:t>עצמו</w:t>
      </w:r>
      <w:r w:rsidRPr="00837FC0">
        <w:rPr>
          <w:rtl/>
        </w:rPr>
        <w:t xml:space="preserve">. </w:t>
      </w:r>
      <w:r w:rsidRPr="00837FC0">
        <w:rPr>
          <w:rFonts w:hint="eastAsia"/>
          <w:rtl/>
        </w:rPr>
        <w:t>הפרקים</w:t>
      </w:r>
      <w:r w:rsidRPr="00837FC0">
        <w:rPr>
          <w:rtl/>
        </w:rPr>
        <w:t xml:space="preserve"> </w:t>
      </w:r>
      <w:r w:rsidRPr="00837FC0">
        <w:rPr>
          <w:rFonts w:hint="eastAsia"/>
          <w:rtl/>
        </w:rPr>
        <w:t>יובאו</w:t>
      </w:r>
      <w:r w:rsidRPr="00837FC0">
        <w:rPr>
          <w:rtl/>
        </w:rPr>
        <w:t xml:space="preserve"> </w:t>
      </w:r>
      <w:r w:rsidRPr="00837FC0">
        <w:rPr>
          <w:rFonts w:hint="eastAsia"/>
          <w:rtl/>
        </w:rPr>
        <w:t>בפני</w:t>
      </w:r>
      <w:r w:rsidRPr="00837FC0">
        <w:rPr>
          <w:rtl/>
        </w:rPr>
        <w:t xml:space="preserve"> </w:t>
      </w:r>
      <w:r w:rsidRPr="00837FC0">
        <w:rPr>
          <w:rFonts w:hint="eastAsia"/>
          <w:rtl/>
        </w:rPr>
        <w:t>הכנסת</w:t>
      </w:r>
      <w:r w:rsidRPr="00837FC0">
        <w:rPr>
          <w:rtl/>
        </w:rPr>
        <w:t xml:space="preserve">, </w:t>
      </w:r>
      <w:r w:rsidRPr="00837FC0">
        <w:rPr>
          <w:rFonts w:hint="eastAsia"/>
          <w:rtl/>
        </w:rPr>
        <w:t>במידה</w:t>
      </w:r>
      <w:r w:rsidRPr="00837FC0">
        <w:rPr>
          <w:rtl/>
        </w:rPr>
        <w:t xml:space="preserve"> </w:t>
      </w:r>
      <w:r w:rsidRPr="00837FC0">
        <w:rPr>
          <w:rFonts w:hint="eastAsia"/>
          <w:rtl/>
        </w:rPr>
        <w:t>שהוועדה</w:t>
      </w:r>
      <w:r w:rsidRPr="00837FC0">
        <w:rPr>
          <w:rtl/>
        </w:rPr>
        <w:t xml:space="preserve"> </w:t>
      </w:r>
      <w:r w:rsidRPr="00837FC0">
        <w:rPr>
          <w:rFonts w:hint="eastAsia"/>
          <w:rtl/>
        </w:rPr>
        <w:t>תסיים</w:t>
      </w:r>
      <w:r w:rsidRPr="00837FC0">
        <w:rPr>
          <w:rtl/>
        </w:rPr>
        <w:t xml:space="preserve"> </w:t>
      </w:r>
      <w:r w:rsidRPr="00837FC0">
        <w:rPr>
          <w:rFonts w:hint="eastAsia"/>
          <w:rtl/>
        </w:rPr>
        <w:t>את</w:t>
      </w:r>
      <w:r w:rsidRPr="00837FC0">
        <w:rPr>
          <w:rtl/>
        </w:rPr>
        <w:t xml:space="preserve"> </w:t>
      </w:r>
      <w:r w:rsidRPr="00837FC0">
        <w:rPr>
          <w:rFonts w:hint="eastAsia"/>
          <w:rtl/>
        </w:rPr>
        <w:t>עבודתה</w:t>
      </w:r>
      <w:r w:rsidRPr="00837FC0">
        <w:rPr>
          <w:rtl/>
        </w:rPr>
        <w:t xml:space="preserve">, </w:t>
      </w:r>
      <w:r w:rsidRPr="00837FC0">
        <w:rPr>
          <w:rFonts w:hint="eastAsia"/>
          <w:rtl/>
        </w:rPr>
        <w:t>וכל</w:t>
      </w:r>
      <w:r w:rsidRPr="00837FC0">
        <w:rPr>
          <w:rtl/>
        </w:rPr>
        <w:t xml:space="preserve"> </w:t>
      </w:r>
      <w:r w:rsidRPr="00837FC0">
        <w:rPr>
          <w:rFonts w:hint="eastAsia"/>
          <w:rtl/>
        </w:rPr>
        <w:t>הפרקים</w:t>
      </w:r>
      <w:r w:rsidRPr="00837FC0">
        <w:rPr>
          <w:rtl/>
        </w:rPr>
        <w:t xml:space="preserve"> </w:t>
      </w:r>
      <w:r w:rsidRPr="00837FC0">
        <w:rPr>
          <w:rFonts w:hint="eastAsia"/>
          <w:rtl/>
        </w:rPr>
        <w:t>יחד</w:t>
      </w:r>
      <w:r w:rsidRPr="00837FC0">
        <w:rPr>
          <w:rtl/>
        </w:rPr>
        <w:t xml:space="preserve"> </w:t>
      </w:r>
      <w:r w:rsidRPr="00837FC0">
        <w:rPr>
          <w:rFonts w:hint="eastAsia"/>
          <w:rtl/>
        </w:rPr>
        <w:t>יתאגדו</w:t>
      </w:r>
      <w:r w:rsidRPr="00837FC0">
        <w:rPr>
          <w:rtl/>
        </w:rPr>
        <w:t xml:space="preserve"> </w:t>
      </w:r>
      <w:r w:rsidRPr="00837FC0">
        <w:rPr>
          <w:rFonts w:hint="eastAsia"/>
          <w:rtl/>
        </w:rPr>
        <w:t>לחוקת</w:t>
      </w:r>
      <w:r w:rsidRPr="00837FC0">
        <w:rPr>
          <w:rtl/>
        </w:rPr>
        <w:t xml:space="preserve"> </w:t>
      </w:r>
      <w:r w:rsidRPr="00837FC0">
        <w:rPr>
          <w:rFonts w:hint="eastAsia"/>
          <w:rtl/>
        </w:rPr>
        <w:t>המדינה</w:t>
      </w:r>
      <w:r>
        <w:rPr>
          <w:rFonts w:hint="cs"/>
          <w:rtl/>
        </w:rPr>
        <w:t xml:space="preserve">" </w:t>
      </w:r>
      <w:r w:rsidRPr="00A11511">
        <w:rPr>
          <w:rtl/>
        </w:rPr>
        <w:t>(</w:t>
      </w:r>
      <w:r w:rsidRPr="00A11511">
        <w:rPr>
          <w:rFonts w:hint="eastAsia"/>
          <w:rtl/>
        </w:rPr>
        <w:t>ד</w:t>
      </w:r>
      <w:r w:rsidRPr="00A11511">
        <w:rPr>
          <w:rtl/>
        </w:rPr>
        <w:t>"</w:t>
      </w:r>
      <w:r w:rsidRPr="00A11511">
        <w:rPr>
          <w:rFonts w:hint="eastAsia"/>
          <w:rtl/>
        </w:rPr>
        <w:t>כ</w:t>
      </w:r>
      <w:r w:rsidRPr="00A11511">
        <w:rPr>
          <w:rtl/>
        </w:rPr>
        <w:t xml:space="preserve"> </w:t>
      </w:r>
      <w:r>
        <w:rPr>
          <w:rFonts w:hint="cs"/>
          <w:rtl/>
        </w:rPr>
        <w:t>14.6.1950, 1743</w:t>
      </w:r>
      <w:r>
        <w:rPr>
          <w:rtl/>
        </w:rPr>
        <w:t>)</w:t>
      </w:r>
      <w:r>
        <w:rPr>
          <w:rFonts w:hint="cs"/>
          <w:rtl/>
        </w:rPr>
        <w:t xml:space="preserve">. למרבה הצער, בעקבות החלטה זו אנו מצויים כיום </w:t>
      </w:r>
      <w:r>
        <w:rPr>
          <w:rtl/>
        </w:rPr>
        <w:t>–</w:t>
      </w:r>
      <w:r>
        <w:rPr>
          <w:rFonts w:hint="cs"/>
          <w:rtl/>
        </w:rPr>
        <w:t xml:space="preserve"> למעלה משבעים ושלוש שנים מאז קבלתה </w:t>
      </w:r>
      <w:r>
        <w:rPr>
          <w:rtl/>
        </w:rPr>
        <w:t>–</w:t>
      </w:r>
      <w:r>
        <w:rPr>
          <w:rFonts w:hint="cs"/>
          <w:rtl/>
        </w:rPr>
        <w:t xml:space="preserve"> ללא חוקת מדינה שלמה, או כפי שהיטיב לתאר זאת פרופ' אהרן ברק במאמרו "מפעל חוקי-היסוד </w:t>
      </w:r>
      <w:r>
        <w:rPr>
          <w:rtl/>
        </w:rPr>
        <w:t>–</w:t>
      </w:r>
      <w:r>
        <w:rPr>
          <w:rFonts w:hint="cs"/>
          <w:rtl/>
        </w:rPr>
        <w:t xml:space="preserve"> לאן?" </w:t>
      </w:r>
      <w:r w:rsidRPr="00984C37">
        <w:rPr>
          <w:rFonts w:ascii="Century" w:hAnsi="Century" w:cs="Miriam" w:hint="cs"/>
          <w:b/>
          <w:spacing w:val="0"/>
          <w:szCs w:val="24"/>
          <w:rtl/>
        </w:rPr>
        <w:t>משפט ועסקים</w:t>
      </w:r>
      <w:r>
        <w:rPr>
          <w:rFonts w:hint="cs"/>
          <w:rtl/>
        </w:rPr>
        <w:t xml:space="preserve"> יד 111 (2012): "החלטת הררי הצילה את מפעל החוקה מכיליון, במחיר תיעולו למסלול מקביל שהתנועה בו איטית" (</w:t>
      </w:r>
      <w:r w:rsidRPr="00984C37">
        <w:rPr>
          <w:rFonts w:ascii="Century" w:hAnsi="Century" w:cs="Miriam" w:hint="cs"/>
          <w:b/>
          <w:spacing w:val="0"/>
          <w:szCs w:val="24"/>
          <w:rtl/>
        </w:rPr>
        <w:t>שם</w:t>
      </w:r>
      <w:r>
        <w:rPr>
          <w:rFonts w:hint="cs"/>
          <w:rtl/>
        </w:rPr>
        <w:t>, בעמ' 112).</w:t>
      </w:r>
    </w:p>
    <w:p w:rsidR="00C044AE" w:rsidRDefault="00C044AE" w:rsidP="00C044AE">
      <w:pPr>
        <w:pStyle w:val="Ruller41"/>
        <w:rPr>
          <w:rtl/>
        </w:rPr>
      </w:pPr>
    </w:p>
    <w:p w:rsidR="00C044AE" w:rsidRPr="00C951E7" w:rsidRDefault="00C044AE" w:rsidP="00C044AE">
      <w:pPr>
        <w:pStyle w:val="Ruller4"/>
        <w:numPr>
          <w:ilvl w:val="0"/>
          <w:numId w:val="0"/>
        </w:numPr>
        <w:rPr>
          <w:rtl/>
        </w:rPr>
      </w:pPr>
      <w:r>
        <w:rPr>
          <w:rtl/>
        </w:rPr>
        <w:tab/>
      </w:r>
      <w:r>
        <w:rPr>
          <w:rFonts w:hint="cs"/>
          <w:rtl/>
        </w:rPr>
        <w:t>הכנסת הראשונה לא חוקקה חוקי יסוד כלשהם, אך העבירה את הסמכות המכוננת לכנסות שתבואנה אחריה. היא חוקקה את חוק המעבר לכנסת השניה, התשי"א-1951, בו נקבע כי "</w:t>
      </w:r>
      <w:r w:rsidRPr="000E2D9B">
        <w:rPr>
          <w:rFonts w:hint="eastAsia"/>
          <w:rtl/>
        </w:rPr>
        <w:t>לכנסת</w:t>
      </w:r>
      <w:r w:rsidRPr="000E2D9B">
        <w:rPr>
          <w:rtl/>
        </w:rPr>
        <w:t xml:space="preserve"> </w:t>
      </w:r>
      <w:r w:rsidRPr="000E2D9B">
        <w:rPr>
          <w:rFonts w:hint="eastAsia"/>
          <w:rtl/>
        </w:rPr>
        <w:t>השניה</w:t>
      </w:r>
      <w:r w:rsidRPr="000E2D9B">
        <w:rPr>
          <w:rtl/>
        </w:rPr>
        <w:t xml:space="preserve"> </w:t>
      </w:r>
      <w:r w:rsidRPr="000E2D9B">
        <w:rPr>
          <w:rFonts w:hint="eastAsia"/>
          <w:rtl/>
        </w:rPr>
        <w:t>ולחבריה</w:t>
      </w:r>
      <w:r w:rsidRPr="000E2D9B">
        <w:rPr>
          <w:rtl/>
        </w:rPr>
        <w:t xml:space="preserve"> </w:t>
      </w:r>
      <w:r w:rsidRPr="000E2D9B">
        <w:rPr>
          <w:rFonts w:hint="eastAsia"/>
          <w:rtl/>
        </w:rPr>
        <w:t>יהיו</w:t>
      </w:r>
      <w:r w:rsidRPr="000E2D9B">
        <w:rPr>
          <w:rtl/>
        </w:rPr>
        <w:t xml:space="preserve"> </w:t>
      </w:r>
      <w:r w:rsidRPr="000E2D9B">
        <w:rPr>
          <w:rFonts w:hint="eastAsia"/>
          <w:rtl/>
        </w:rPr>
        <w:t>כל</w:t>
      </w:r>
      <w:r w:rsidRPr="000E2D9B">
        <w:rPr>
          <w:rtl/>
        </w:rPr>
        <w:t xml:space="preserve"> </w:t>
      </w:r>
      <w:r w:rsidRPr="000E2D9B">
        <w:rPr>
          <w:rFonts w:hint="eastAsia"/>
          <w:rtl/>
        </w:rPr>
        <w:t>הסמכויות</w:t>
      </w:r>
      <w:r w:rsidRPr="000E2D9B">
        <w:rPr>
          <w:rtl/>
        </w:rPr>
        <w:t xml:space="preserve">, </w:t>
      </w:r>
      <w:r w:rsidRPr="000E2D9B">
        <w:rPr>
          <w:rFonts w:hint="eastAsia"/>
          <w:rtl/>
        </w:rPr>
        <w:t>הזכויות</w:t>
      </w:r>
      <w:r w:rsidRPr="000E2D9B">
        <w:rPr>
          <w:rtl/>
        </w:rPr>
        <w:t xml:space="preserve"> </w:t>
      </w:r>
      <w:r w:rsidRPr="000E2D9B">
        <w:rPr>
          <w:rFonts w:hint="eastAsia"/>
          <w:rtl/>
        </w:rPr>
        <w:t>והחובות</w:t>
      </w:r>
      <w:r w:rsidRPr="000E2D9B">
        <w:rPr>
          <w:rtl/>
        </w:rPr>
        <w:t xml:space="preserve"> </w:t>
      </w:r>
      <w:r w:rsidRPr="000E2D9B">
        <w:rPr>
          <w:rFonts w:hint="eastAsia"/>
          <w:rtl/>
        </w:rPr>
        <w:t>שהיו</w:t>
      </w:r>
      <w:r w:rsidRPr="000E2D9B">
        <w:rPr>
          <w:rtl/>
        </w:rPr>
        <w:t xml:space="preserve"> </w:t>
      </w:r>
      <w:r w:rsidRPr="000E2D9B">
        <w:rPr>
          <w:rFonts w:hint="eastAsia"/>
          <w:rtl/>
        </w:rPr>
        <w:t>לכנסת</w:t>
      </w:r>
      <w:r w:rsidRPr="000E2D9B">
        <w:rPr>
          <w:rtl/>
        </w:rPr>
        <w:t xml:space="preserve"> </w:t>
      </w:r>
      <w:r w:rsidRPr="000E2D9B">
        <w:rPr>
          <w:rFonts w:hint="eastAsia"/>
          <w:rtl/>
        </w:rPr>
        <w:t>הראשונה</w:t>
      </w:r>
      <w:r w:rsidRPr="000E2D9B">
        <w:rPr>
          <w:rtl/>
        </w:rPr>
        <w:t xml:space="preserve"> </w:t>
      </w:r>
      <w:r w:rsidRPr="000E2D9B">
        <w:rPr>
          <w:rFonts w:hint="eastAsia"/>
          <w:rtl/>
        </w:rPr>
        <w:t>ולחבריה</w:t>
      </w:r>
      <w:r>
        <w:rPr>
          <w:rFonts w:hint="cs"/>
          <w:rtl/>
        </w:rPr>
        <w:t>" וכי האמור יחול "</w:t>
      </w:r>
      <w:r w:rsidRPr="000E2D9B">
        <w:rPr>
          <w:rFonts w:hint="eastAsia"/>
          <w:rtl/>
        </w:rPr>
        <w:t>גם</w:t>
      </w:r>
      <w:r w:rsidRPr="000E2D9B">
        <w:rPr>
          <w:rtl/>
        </w:rPr>
        <w:t xml:space="preserve"> </w:t>
      </w:r>
      <w:r w:rsidRPr="000E2D9B">
        <w:rPr>
          <w:rFonts w:hint="eastAsia"/>
          <w:rtl/>
        </w:rPr>
        <w:t>על</w:t>
      </w:r>
      <w:r w:rsidRPr="000E2D9B">
        <w:rPr>
          <w:rtl/>
        </w:rPr>
        <w:t xml:space="preserve"> </w:t>
      </w:r>
      <w:r w:rsidRPr="000E2D9B">
        <w:rPr>
          <w:rFonts w:hint="eastAsia"/>
          <w:rtl/>
        </w:rPr>
        <w:t>המעבר</w:t>
      </w:r>
      <w:r w:rsidRPr="000E2D9B">
        <w:rPr>
          <w:rtl/>
        </w:rPr>
        <w:t xml:space="preserve"> </w:t>
      </w:r>
      <w:r w:rsidRPr="000E2D9B">
        <w:rPr>
          <w:rFonts w:hint="eastAsia"/>
          <w:rtl/>
        </w:rPr>
        <w:t>לכנסת</w:t>
      </w:r>
      <w:r w:rsidRPr="000E2D9B">
        <w:rPr>
          <w:rtl/>
        </w:rPr>
        <w:t xml:space="preserve"> </w:t>
      </w:r>
      <w:r w:rsidRPr="000E2D9B">
        <w:rPr>
          <w:rFonts w:hint="eastAsia"/>
          <w:rtl/>
        </w:rPr>
        <w:t>השלישית</w:t>
      </w:r>
      <w:r w:rsidRPr="000E2D9B">
        <w:rPr>
          <w:rtl/>
        </w:rPr>
        <w:t xml:space="preserve"> </w:t>
      </w:r>
      <w:r w:rsidRPr="000E2D9B">
        <w:rPr>
          <w:rFonts w:hint="eastAsia"/>
          <w:rtl/>
        </w:rPr>
        <w:t>ולכל</w:t>
      </w:r>
      <w:r w:rsidRPr="000E2D9B">
        <w:rPr>
          <w:rtl/>
        </w:rPr>
        <w:t xml:space="preserve"> </w:t>
      </w:r>
      <w:r w:rsidRPr="000E2D9B">
        <w:rPr>
          <w:rFonts w:hint="eastAsia"/>
          <w:rtl/>
        </w:rPr>
        <w:t>כנסת</w:t>
      </w:r>
      <w:r w:rsidRPr="000E2D9B">
        <w:rPr>
          <w:rtl/>
        </w:rPr>
        <w:t xml:space="preserve"> </w:t>
      </w:r>
      <w:r w:rsidRPr="000E2D9B">
        <w:rPr>
          <w:rFonts w:hint="eastAsia"/>
          <w:rtl/>
        </w:rPr>
        <w:t>שלאחריה</w:t>
      </w:r>
      <w:r>
        <w:rPr>
          <w:rFonts w:hint="cs"/>
          <w:rtl/>
        </w:rPr>
        <w:t xml:space="preserve">" (ראו: סעיפים 5, 9 ו-10 לחוק). </w:t>
      </w:r>
    </w:p>
    <w:p w:rsidR="00C044AE" w:rsidRDefault="00C044AE" w:rsidP="00C044AE">
      <w:pPr>
        <w:pStyle w:val="Ruller41"/>
        <w:rPr>
          <w:rtl/>
        </w:rPr>
      </w:pPr>
      <w:r>
        <w:rPr>
          <w:rFonts w:hint="cs"/>
          <w:rtl/>
        </w:rPr>
        <w:t xml:space="preserve"> </w:t>
      </w:r>
    </w:p>
    <w:p w:rsidR="00C044AE" w:rsidRDefault="00C044AE" w:rsidP="00C044AE">
      <w:pPr>
        <w:pStyle w:val="Ruller4"/>
        <w:rPr>
          <w:rtl/>
        </w:rPr>
      </w:pPr>
      <w:r>
        <w:rPr>
          <w:rFonts w:hint="cs"/>
          <w:rtl/>
        </w:rPr>
        <w:t xml:space="preserve">בשנת 1958, בתקופת כהונתה של הכנסת השלישית, נחקק חוק היסוד הראשון </w:t>
      </w:r>
      <w:r>
        <w:rPr>
          <w:rtl/>
        </w:rPr>
        <w:t>–</w:t>
      </w:r>
      <w:r>
        <w:rPr>
          <w:rFonts w:hint="cs"/>
          <w:rtl/>
        </w:rPr>
        <w:t xml:space="preserve"> חוק-יסוד: הכנסת, ובהמשך נחקקו שורה של חוקי יסוד נוספים הנוגעים למוסדות המדינה. פסקי הדין הראשונים שבהם נדון מעמדם של חוקי היסוד בפני בית המשפט העליון נגעו בעיקר להפרת עקרון השוויון בבחירות, אשר עוגן בחוק-יסוד הכנסת ובו אף נקבע כי אין לשנותו, במפורש או במשתמע, אלא ברוב של חברי הכנסת בכל אחד משלבי החקיקה (סעיפים 4 ו-46 לחוק-יסוד: הכנסת). בחלק מאותם פסקי דין הכריז בית המשפט כי הוראות חוק שלא עמדו בדרישת הרוב המיוחד הקבוע בחוק-יסוד: הכנסת, הן משוללות תוקף (ראו: </w:t>
      </w:r>
      <w:r w:rsidRPr="00ED2148">
        <w:rPr>
          <w:rFonts w:hint="eastAsia"/>
          <w:rtl/>
        </w:rPr>
        <w:t>בג</w:t>
      </w:r>
      <w:r w:rsidRPr="00ED2148">
        <w:rPr>
          <w:rtl/>
        </w:rPr>
        <w:t>"</w:t>
      </w:r>
      <w:r w:rsidRPr="00ED2148">
        <w:rPr>
          <w:rFonts w:hint="eastAsia"/>
          <w:rtl/>
        </w:rPr>
        <w:t>ץ</w:t>
      </w:r>
      <w:r w:rsidRPr="00ED2148">
        <w:rPr>
          <w:rtl/>
        </w:rPr>
        <w:t xml:space="preserve"> 98/69 </w:t>
      </w:r>
      <w:r w:rsidRPr="00ED2148">
        <w:rPr>
          <w:rFonts w:ascii="Century" w:hAnsi="Century" w:cs="Miriam" w:hint="eastAsia"/>
          <w:b/>
          <w:spacing w:val="0"/>
          <w:sz w:val="22"/>
          <w:szCs w:val="24"/>
          <w:rtl/>
        </w:rPr>
        <w:t>ברגמן</w:t>
      </w:r>
      <w:r w:rsidRPr="00ED2148">
        <w:rPr>
          <w:rFonts w:ascii="Century" w:hAnsi="Century" w:cs="Miriam"/>
          <w:b/>
          <w:spacing w:val="0"/>
          <w:sz w:val="22"/>
          <w:szCs w:val="24"/>
          <w:rtl/>
        </w:rPr>
        <w:t xml:space="preserve"> </w:t>
      </w:r>
      <w:r w:rsidRPr="00ED2148">
        <w:rPr>
          <w:rFonts w:ascii="Century" w:hAnsi="Century" w:cs="Miriam" w:hint="eastAsia"/>
          <w:b/>
          <w:spacing w:val="0"/>
          <w:sz w:val="22"/>
          <w:szCs w:val="24"/>
          <w:rtl/>
        </w:rPr>
        <w:t>נ</w:t>
      </w:r>
      <w:r w:rsidRPr="00ED2148">
        <w:rPr>
          <w:rFonts w:ascii="Century" w:hAnsi="Century" w:cs="Miriam"/>
          <w:b/>
          <w:spacing w:val="0"/>
          <w:sz w:val="22"/>
          <w:szCs w:val="24"/>
          <w:rtl/>
        </w:rPr>
        <w:t xml:space="preserve">' </w:t>
      </w:r>
      <w:r w:rsidRPr="00ED2148">
        <w:rPr>
          <w:rFonts w:ascii="Century" w:hAnsi="Century" w:cs="Miriam" w:hint="eastAsia"/>
          <w:b/>
          <w:spacing w:val="0"/>
          <w:sz w:val="22"/>
          <w:szCs w:val="24"/>
          <w:rtl/>
        </w:rPr>
        <w:t>שר</w:t>
      </w:r>
      <w:r w:rsidRPr="00ED2148">
        <w:rPr>
          <w:rFonts w:ascii="Century" w:hAnsi="Century" w:cs="Miriam"/>
          <w:b/>
          <w:spacing w:val="0"/>
          <w:sz w:val="22"/>
          <w:szCs w:val="24"/>
          <w:rtl/>
        </w:rPr>
        <w:t xml:space="preserve"> </w:t>
      </w:r>
      <w:r w:rsidRPr="00ED2148">
        <w:rPr>
          <w:rFonts w:ascii="Century" w:hAnsi="Century" w:cs="Miriam" w:hint="eastAsia"/>
          <w:b/>
          <w:spacing w:val="0"/>
          <w:sz w:val="22"/>
          <w:szCs w:val="24"/>
          <w:rtl/>
        </w:rPr>
        <w:t>האוצר</w:t>
      </w:r>
      <w:r w:rsidRPr="00ED2148">
        <w:rPr>
          <w:rtl/>
        </w:rPr>
        <w:t xml:space="preserve">, </w:t>
      </w:r>
      <w:r w:rsidRPr="00ED2148">
        <w:rPr>
          <w:rFonts w:hint="eastAsia"/>
          <w:rtl/>
        </w:rPr>
        <w:t>פ</w:t>
      </w:r>
      <w:r w:rsidRPr="00ED2148">
        <w:rPr>
          <w:rtl/>
        </w:rPr>
        <w:t>"</w:t>
      </w:r>
      <w:r w:rsidRPr="00ED2148">
        <w:rPr>
          <w:rFonts w:hint="eastAsia"/>
          <w:rtl/>
        </w:rPr>
        <w:t>ד</w:t>
      </w:r>
      <w:r w:rsidRPr="00ED2148">
        <w:rPr>
          <w:rtl/>
        </w:rPr>
        <w:t xml:space="preserve"> </w:t>
      </w:r>
      <w:r w:rsidRPr="00ED2148">
        <w:rPr>
          <w:rFonts w:hint="eastAsia"/>
          <w:rtl/>
        </w:rPr>
        <w:t>כג</w:t>
      </w:r>
      <w:r w:rsidRPr="00ED2148">
        <w:rPr>
          <w:rtl/>
        </w:rPr>
        <w:t>(1) 693 (1969)</w:t>
      </w:r>
      <w:r>
        <w:rPr>
          <w:rFonts w:hint="cs"/>
          <w:rtl/>
        </w:rPr>
        <w:t xml:space="preserve"> (להלן: </w:t>
      </w:r>
      <w:r w:rsidRPr="006307EA">
        <w:rPr>
          <w:rFonts w:ascii="Century" w:hAnsi="Century" w:cs="Miriam" w:hint="cs"/>
          <w:b/>
          <w:spacing w:val="0"/>
          <w:sz w:val="22"/>
          <w:szCs w:val="24"/>
          <w:rtl/>
        </w:rPr>
        <w:t>עניין ברגמן</w:t>
      </w:r>
      <w:r>
        <w:rPr>
          <w:rFonts w:hint="cs"/>
          <w:rtl/>
        </w:rPr>
        <w:t xml:space="preserve">); </w:t>
      </w:r>
      <w:r w:rsidRPr="00ED2148">
        <w:rPr>
          <w:rFonts w:hint="eastAsia"/>
          <w:rtl/>
        </w:rPr>
        <w:t>בג</w:t>
      </w:r>
      <w:r w:rsidRPr="00ED2148">
        <w:rPr>
          <w:rtl/>
        </w:rPr>
        <w:t>"</w:t>
      </w:r>
      <w:r w:rsidRPr="00ED2148">
        <w:rPr>
          <w:rFonts w:hint="eastAsia"/>
          <w:rtl/>
        </w:rPr>
        <w:t>ץ</w:t>
      </w:r>
      <w:r w:rsidRPr="00ED2148">
        <w:rPr>
          <w:rtl/>
        </w:rPr>
        <w:t xml:space="preserve"> 246/81 </w:t>
      </w:r>
      <w:r w:rsidRPr="00ED2148">
        <w:rPr>
          <w:rFonts w:ascii="Century" w:hAnsi="Century" w:cs="Miriam" w:hint="eastAsia"/>
          <w:b/>
          <w:spacing w:val="0"/>
          <w:sz w:val="22"/>
          <w:szCs w:val="24"/>
          <w:rtl/>
        </w:rPr>
        <w:t>אגודת</w:t>
      </w:r>
      <w:r w:rsidRPr="00ED2148">
        <w:rPr>
          <w:rFonts w:ascii="Century" w:hAnsi="Century" w:cs="Miriam"/>
          <w:b/>
          <w:spacing w:val="0"/>
          <w:sz w:val="22"/>
          <w:szCs w:val="24"/>
          <w:rtl/>
        </w:rPr>
        <w:t xml:space="preserve"> </w:t>
      </w:r>
      <w:r w:rsidRPr="00ED2148">
        <w:rPr>
          <w:rFonts w:ascii="Century" w:hAnsi="Century" w:cs="Miriam" w:hint="eastAsia"/>
          <w:b/>
          <w:spacing w:val="0"/>
          <w:sz w:val="22"/>
          <w:szCs w:val="24"/>
          <w:rtl/>
        </w:rPr>
        <w:t>דרך</w:t>
      </w:r>
      <w:r w:rsidRPr="00ED2148">
        <w:rPr>
          <w:rFonts w:ascii="Century" w:hAnsi="Century" w:cs="Miriam"/>
          <w:b/>
          <w:spacing w:val="0"/>
          <w:sz w:val="22"/>
          <w:szCs w:val="24"/>
          <w:rtl/>
        </w:rPr>
        <w:t xml:space="preserve"> </w:t>
      </w:r>
      <w:r w:rsidRPr="00ED2148">
        <w:rPr>
          <w:rFonts w:ascii="Century" w:hAnsi="Century" w:cs="Miriam" w:hint="eastAsia"/>
          <w:b/>
          <w:spacing w:val="0"/>
          <w:sz w:val="22"/>
          <w:szCs w:val="24"/>
          <w:rtl/>
        </w:rPr>
        <w:t>ארץ</w:t>
      </w:r>
      <w:r w:rsidRPr="00ED2148">
        <w:rPr>
          <w:rFonts w:ascii="Century" w:hAnsi="Century" w:cs="Miriam"/>
          <w:b/>
          <w:spacing w:val="0"/>
          <w:sz w:val="22"/>
          <w:szCs w:val="24"/>
          <w:rtl/>
        </w:rPr>
        <w:t xml:space="preserve"> </w:t>
      </w:r>
      <w:r w:rsidRPr="00ED2148">
        <w:rPr>
          <w:rFonts w:ascii="Century" w:hAnsi="Century" w:cs="Miriam" w:hint="eastAsia"/>
          <w:b/>
          <w:spacing w:val="0"/>
          <w:sz w:val="22"/>
          <w:szCs w:val="24"/>
          <w:rtl/>
        </w:rPr>
        <w:t>נ</w:t>
      </w:r>
      <w:r w:rsidRPr="00ED2148">
        <w:rPr>
          <w:rFonts w:ascii="Century" w:hAnsi="Century" w:cs="Miriam"/>
          <w:b/>
          <w:spacing w:val="0"/>
          <w:sz w:val="22"/>
          <w:szCs w:val="24"/>
          <w:rtl/>
        </w:rPr>
        <w:t xml:space="preserve">' </w:t>
      </w:r>
      <w:r w:rsidRPr="00ED2148">
        <w:rPr>
          <w:rFonts w:ascii="Century" w:hAnsi="Century" w:cs="Miriam" w:hint="eastAsia"/>
          <w:b/>
          <w:spacing w:val="0"/>
          <w:sz w:val="22"/>
          <w:szCs w:val="24"/>
          <w:rtl/>
        </w:rPr>
        <w:t>רשות</w:t>
      </w:r>
      <w:r w:rsidRPr="00ED2148">
        <w:rPr>
          <w:rFonts w:ascii="Century" w:hAnsi="Century" w:cs="Miriam"/>
          <w:b/>
          <w:spacing w:val="0"/>
          <w:sz w:val="22"/>
          <w:szCs w:val="24"/>
          <w:rtl/>
        </w:rPr>
        <w:t xml:space="preserve"> </w:t>
      </w:r>
      <w:r w:rsidRPr="00ED2148">
        <w:rPr>
          <w:rFonts w:ascii="Century" w:hAnsi="Century" w:cs="Miriam" w:hint="eastAsia"/>
          <w:b/>
          <w:spacing w:val="0"/>
          <w:sz w:val="22"/>
          <w:szCs w:val="24"/>
          <w:rtl/>
        </w:rPr>
        <w:t>השידור</w:t>
      </w:r>
      <w:r w:rsidRPr="00ED2148">
        <w:rPr>
          <w:rtl/>
        </w:rPr>
        <w:t xml:space="preserve">, </w:t>
      </w:r>
      <w:r w:rsidRPr="00ED2148">
        <w:rPr>
          <w:rFonts w:hint="eastAsia"/>
          <w:rtl/>
        </w:rPr>
        <w:t>פ</w:t>
      </w:r>
      <w:r w:rsidRPr="00ED2148">
        <w:rPr>
          <w:rtl/>
        </w:rPr>
        <w:t>"</w:t>
      </w:r>
      <w:r w:rsidRPr="00ED2148">
        <w:rPr>
          <w:rFonts w:hint="eastAsia"/>
          <w:rtl/>
        </w:rPr>
        <w:t>ד</w:t>
      </w:r>
      <w:r w:rsidRPr="00ED2148">
        <w:rPr>
          <w:rtl/>
        </w:rPr>
        <w:t xml:space="preserve"> </w:t>
      </w:r>
      <w:r w:rsidRPr="00ED2148">
        <w:rPr>
          <w:rFonts w:hint="eastAsia"/>
          <w:rtl/>
        </w:rPr>
        <w:t>לה</w:t>
      </w:r>
      <w:r>
        <w:rPr>
          <w:rtl/>
        </w:rPr>
        <w:t>(4) 1</w:t>
      </w:r>
      <w:r>
        <w:rPr>
          <w:rFonts w:hint="cs"/>
          <w:rtl/>
        </w:rPr>
        <w:t xml:space="preserve"> (1981) (להלן: </w:t>
      </w:r>
      <w:r w:rsidRPr="006307EA">
        <w:rPr>
          <w:rFonts w:ascii="Century" w:hAnsi="Century" w:cs="Miriam" w:hint="cs"/>
          <w:b/>
          <w:spacing w:val="0"/>
          <w:sz w:val="22"/>
          <w:szCs w:val="24"/>
          <w:rtl/>
        </w:rPr>
        <w:t>עניין דרך ארץ</w:t>
      </w:r>
      <w:r>
        <w:rPr>
          <w:rFonts w:hint="cs"/>
          <w:rtl/>
        </w:rPr>
        <w:t>)</w:t>
      </w:r>
      <w:r w:rsidRPr="00ED2148">
        <w:rPr>
          <w:rtl/>
        </w:rPr>
        <w:t>;</w:t>
      </w:r>
      <w:r>
        <w:rPr>
          <w:rFonts w:hint="cs"/>
          <w:rtl/>
        </w:rPr>
        <w:t xml:space="preserve"> </w:t>
      </w:r>
      <w:r w:rsidRPr="00ED2148">
        <w:rPr>
          <w:rFonts w:hint="eastAsia"/>
          <w:rtl/>
        </w:rPr>
        <w:t>בג</w:t>
      </w:r>
      <w:r w:rsidRPr="00ED2148">
        <w:rPr>
          <w:rtl/>
        </w:rPr>
        <w:t>"</w:t>
      </w:r>
      <w:r w:rsidRPr="00ED2148">
        <w:rPr>
          <w:rFonts w:hint="eastAsia"/>
          <w:rtl/>
        </w:rPr>
        <w:t>ץ</w:t>
      </w:r>
      <w:r w:rsidRPr="00ED2148">
        <w:rPr>
          <w:rtl/>
        </w:rPr>
        <w:t xml:space="preserve"> 141/82 </w:t>
      </w:r>
      <w:r w:rsidRPr="00ED2148">
        <w:rPr>
          <w:rFonts w:ascii="Century" w:hAnsi="Century" w:cs="Miriam" w:hint="eastAsia"/>
          <w:b/>
          <w:spacing w:val="0"/>
          <w:sz w:val="22"/>
          <w:szCs w:val="24"/>
          <w:rtl/>
        </w:rPr>
        <w:t>רובינשטיין</w:t>
      </w:r>
      <w:r w:rsidRPr="00ED2148">
        <w:rPr>
          <w:rFonts w:ascii="Century" w:hAnsi="Century" w:cs="Miriam"/>
          <w:b/>
          <w:spacing w:val="0"/>
          <w:sz w:val="22"/>
          <w:szCs w:val="24"/>
          <w:rtl/>
        </w:rPr>
        <w:t xml:space="preserve"> </w:t>
      </w:r>
      <w:r w:rsidRPr="00ED2148">
        <w:rPr>
          <w:rFonts w:ascii="Century" w:hAnsi="Century" w:cs="Miriam" w:hint="eastAsia"/>
          <w:b/>
          <w:spacing w:val="0"/>
          <w:sz w:val="22"/>
          <w:szCs w:val="24"/>
          <w:rtl/>
        </w:rPr>
        <w:t>נ</w:t>
      </w:r>
      <w:r w:rsidRPr="00ED2148">
        <w:rPr>
          <w:rFonts w:ascii="Century" w:hAnsi="Century" w:cs="Miriam"/>
          <w:b/>
          <w:spacing w:val="0"/>
          <w:sz w:val="22"/>
          <w:szCs w:val="24"/>
          <w:rtl/>
        </w:rPr>
        <w:t xml:space="preserve">' </w:t>
      </w:r>
      <w:r w:rsidRPr="00ED2148">
        <w:rPr>
          <w:rFonts w:ascii="Century" w:hAnsi="Century" w:cs="Miriam" w:hint="eastAsia"/>
          <w:b/>
          <w:spacing w:val="0"/>
          <w:sz w:val="22"/>
          <w:szCs w:val="24"/>
          <w:rtl/>
        </w:rPr>
        <w:t>יושב</w:t>
      </w:r>
      <w:r w:rsidRPr="00ED2148">
        <w:rPr>
          <w:rFonts w:ascii="Century" w:hAnsi="Century" w:cs="Miriam"/>
          <w:b/>
          <w:spacing w:val="0"/>
          <w:sz w:val="22"/>
          <w:szCs w:val="24"/>
          <w:rtl/>
        </w:rPr>
        <w:t>-</w:t>
      </w:r>
      <w:r w:rsidRPr="00ED2148">
        <w:rPr>
          <w:rFonts w:ascii="Century" w:hAnsi="Century" w:cs="Miriam" w:hint="eastAsia"/>
          <w:b/>
          <w:spacing w:val="0"/>
          <w:sz w:val="22"/>
          <w:szCs w:val="24"/>
          <w:rtl/>
        </w:rPr>
        <w:t>ראש</w:t>
      </w:r>
      <w:r w:rsidRPr="00ED2148">
        <w:rPr>
          <w:rFonts w:ascii="Century" w:hAnsi="Century" w:cs="Miriam"/>
          <w:b/>
          <w:spacing w:val="0"/>
          <w:sz w:val="22"/>
          <w:szCs w:val="24"/>
          <w:rtl/>
        </w:rPr>
        <w:t xml:space="preserve"> </w:t>
      </w:r>
      <w:r w:rsidRPr="00ED2148">
        <w:rPr>
          <w:rFonts w:ascii="Century" w:hAnsi="Century" w:cs="Miriam" w:hint="eastAsia"/>
          <w:b/>
          <w:spacing w:val="0"/>
          <w:sz w:val="22"/>
          <w:szCs w:val="24"/>
          <w:rtl/>
        </w:rPr>
        <w:t>הכנסת</w:t>
      </w:r>
      <w:r w:rsidRPr="00ED2148">
        <w:rPr>
          <w:rtl/>
        </w:rPr>
        <w:t xml:space="preserve">, </w:t>
      </w:r>
      <w:r w:rsidRPr="00ED2148">
        <w:rPr>
          <w:rFonts w:hint="eastAsia"/>
          <w:rtl/>
        </w:rPr>
        <w:t>פ</w:t>
      </w:r>
      <w:r w:rsidRPr="00ED2148">
        <w:rPr>
          <w:rtl/>
        </w:rPr>
        <w:t>"</w:t>
      </w:r>
      <w:r w:rsidRPr="00ED2148">
        <w:rPr>
          <w:rFonts w:hint="eastAsia"/>
          <w:rtl/>
        </w:rPr>
        <w:t>ד</w:t>
      </w:r>
      <w:r w:rsidRPr="00ED2148">
        <w:rPr>
          <w:rtl/>
        </w:rPr>
        <w:t xml:space="preserve"> </w:t>
      </w:r>
      <w:r w:rsidRPr="00ED2148">
        <w:rPr>
          <w:rFonts w:hint="eastAsia"/>
          <w:rtl/>
        </w:rPr>
        <w:t>לז</w:t>
      </w:r>
      <w:r>
        <w:rPr>
          <w:rtl/>
        </w:rPr>
        <w:t>(3) 141</w:t>
      </w:r>
      <w:r>
        <w:rPr>
          <w:rFonts w:hint="cs"/>
          <w:rtl/>
        </w:rPr>
        <w:t xml:space="preserve"> (1983) (להלן: </w:t>
      </w:r>
      <w:r w:rsidRPr="006307EA">
        <w:rPr>
          <w:rFonts w:ascii="Century" w:hAnsi="Century" w:cs="Miriam" w:hint="cs"/>
          <w:b/>
          <w:spacing w:val="0"/>
          <w:sz w:val="22"/>
          <w:szCs w:val="24"/>
          <w:rtl/>
        </w:rPr>
        <w:t>בג"ץ 141/82</w:t>
      </w:r>
      <w:r>
        <w:rPr>
          <w:rFonts w:hint="cs"/>
          <w:rtl/>
        </w:rPr>
        <w:t>)). עם זאת, באותם הליכים לא נדרש בית המשפט לדיון מהותי בשאלת סמכותה של הכנסת לכונן חוקה לישראל.</w:t>
      </w:r>
    </w:p>
    <w:p w:rsidR="00C044AE" w:rsidRPr="00ED2148" w:rsidRDefault="00C044AE" w:rsidP="00C044AE">
      <w:pPr>
        <w:pStyle w:val="Ruller41"/>
        <w:rPr>
          <w:rtl/>
        </w:rPr>
      </w:pPr>
    </w:p>
    <w:p w:rsidR="00C044AE" w:rsidRPr="00802BEE" w:rsidRDefault="00C044AE" w:rsidP="00C044AE">
      <w:pPr>
        <w:pStyle w:val="Ruller4"/>
      </w:pPr>
      <w:r>
        <w:rPr>
          <w:rFonts w:hint="cs"/>
          <w:rtl/>
        </w:rPr>
        <w:t xml:space="preserve">בשנת 1992 נחקקו שני חוקי היסוד הראשונים </w:t>
      </w:r>
      <w:r>
        <w:rPr>
          <w:rtl/>
        </w:rPr>
        <w:t>–</w:t>
      </w:r>
      <w:r>
        <w:rPr>
          <w:rFonts w:hint="cs"/>
          <w:rtl/>
        </w:rPr>
        <w:t xml:space="preserve"> והיחידים עד כה </w:t>
      </w:r>
      <w:r>
        <w:rPr>
          <w:rtl/>
        </w:rPr>
        <w:t>–</w:t>
      </w:r>
      <w:r>
        <w:rPr>
          <w:rFonts w:hint="cs"/>
          <w:rtl/>
        </w:rPr>
        <w:t xml:space="preserve"> שעוסקים בזכויות הפרט: חוק-יסוד: כבוד האדם וחירותו וחוק-יסוד: חופש העיסוק. חוקי יסוד אלה כללו, לראשונה, הוראת שריון "מהותי" ("פסקת הגבלה"), הקובעת כי אין פוגעים בזכויות שלפי חוקי היסוד האמורים "</w:t>
      </w:r>
      <w:r>
        <w:rPr>
          <w:rtl/>
        </w:rPr>
        <w:t>אלא בחוק ההולם את ערכיה של מדינת ישראל, שנועד לתכלית ראויה</w:t>
      </w:r>
      <w:r>
        <w:rPr>
          <w:rFonts w:hint="cs"/>
          <w:rtl/>
        </w:rPr>
        <w:t xml:space="preserve"> </w:t>
      </w:r>
      <w:r>
        <w:rPr>
          <w:rtl/>
        </w:rPr>
        <w:t>ובמידה שאינה עולה על הנדרש, או לפי חוק כאמור מכוח הסמכה מפורשת בו</w:t>
      </w:r>
      <w:r>
        <w:rPr>
          <w:rFonts w:hint="cs"/>
          <w:rtl/>
        </w:rPr>
        <w:t>" (</w:t>
      </w:r>
      <w:r w:rsidRPr="0064474A">
        <w:rPr>
          <w:rtl/>
        </w:rPr>
        <w:t xml:space="preserve">סעיף 8 לחוק-יסוד: כבוד האדם וחירותו; וסעיף 4 לחוק-יסוד: חופש </w:t>
      </w:r>
      <w:r w:rsidRPr="0064474A">
        <w:rPr>
          <w:rtl/>
        </w:rPr>
        <w:lastRenderedPageBreak/>
        <w:t>העיסוק</w:t>
      </w:r>
      <w:r>
        <w:rPr>
          <w:rFonts w:hint="cs"/>
          <w:rtl/>
        </w:rPr>
        <w:t xml:space="preserve">). בעקבות כך, החלו להגיע לפתחו של בית המשפט העליון הליכים שבהם עלו טענות בדבר אי-חוקתיותם של חוקים הפוגעים בזכויות יסוד ואינם עומדים בתנאי פסקת ההגבלה. </w:t>
      </w:r>
    </w:p>
    <w:p w:rsidR="00C044AE" w:rsidRDefault="00C044AE" w:rsidP="00C044AE">
      <w:pPr>
        <w:pStyle w:val="Ruller4"/>
        <w:numPr>
          <w:ilvl w:val="0"/>
          <w:numId w:val="0"/>
        </w:numPr>
        <w:rPr>
          <w:rtl/>
        </w:rPr>
      </w:pPr>
    </w:p>
    <w:p w:rsidR="00C044AE" w:rsidRDefault="00C044AE" w:rsidP="00C044AE">
      <w:pPr>
        <w:pStyle w:val="Ruller4"/>
        <w:rPr>
          <w:rtl/>
        </w:rPr>
      </w:pPr>
      <w:r>
        <w:rPr>
          <w:rFonts w:hint="cs"/>
          <w:rtl/>
        </w:rPr>
        <w:t xml:space="preserve">בעניין </w:t>
      </w:r>
      <w:r w:rsidRPr="00922BFE">
        <w:rPr>
          <w:rFonts w:ascii="Century" w:hAnsi="Century" w:cs="Miriam" w:hint="cs"/>
          <w:b/>
          <w:spacing w:val="0"/>
          <w:sz w:val="22"/>
          <w:szCs w:val="24"/>
          <w:rtl/>
        </w:rPr>
        <w:t>בנק המזרחי</w:t>
      </w:r>
      <w:r>
        <w:rPr>
          <w:rFonts w:hint="cs"/>
          <w:rtl/>
        </w:rPr>
        <w:t xml:space="preserve"> נדרש בית המשפט העליון, בהרכב מורחב של 9 שופטים, לסוגיות עקרוניות הנוגעות למעמדם של חוקי היסוד. באותו עניין נקבע, כנגד דעתו החולקת של השופט </w:t>
      </w:r>
      <w:r w:rsidRPr="00922BFE">
        <w:rPr>
          <w:rFonts w:ascii="Century" w:hAnsi="Century" w:cs="Miriam" w:hint="cs"/>
          <w:b/>
          <w:spacing w:val="0"/>
          <w:sz w:val="22"/>
          <w:szCs w:val="24"/>
          <w:rtl/>
        </w:rPr>
        <w:t>מ' חשין</w:t>
      </w:r>
      <w:r>
        <w:rPr>
          <w:rFonts w:hint="cs"/>
          <w:rtl/>
        </w:rPr>
        <w:t xml:space="preserve">, כי בחוקקה חוקי יסוד פועלת הכנסת מתוקף סמכותה ליתן חוקה לישראל וכי מבחינת ההיררכיה הנורמטיבית מעמדם של חוקי יסוד אלה, עליון על חקיקה ראשית "רגילה". לפיכך, כך הוסיף בית המשפט וקבע בעניין </w:t>
      </w:r>
      <w:r w:rsidRPr="00CD404B">
        <w:rPr>
          <w:rFonts w:ascii="Century" w:hAnsi="Century" w:cs="Miriam" w:hint="eastAsia"/>
          <w:b/>
          <w:spacing w:val="0"/>
          <w:sz w:val="22"/>
          <w:szCs w:val="24"/>
          <w:rtl/>
        </w:rPr>
        <w:t>בנק</w:t>
      </w:r>
      <w:r w:rsidRPr="00CD404B">
        <w:rPr>
          <w:rFonts w:ascii="Century" w:hAnsi="Century" w:cs="Miriam"/>
          <w:b/>
          <w:spacing w:val="0"/>
          <w:sz w:val="22"/>
          <w:szCs w:val="24"/>
          <w:rtl/>
        </w:rPr>
        <w:t xml:space="preserve"> </w:t>
      </w:r>
      <w:r w:rsidRPr="00CD404B">
        <w:rPr>
          <w:rFonts w:ascii="Century" w:hAnsi="Century" w:cs="Miriam" w:hint="eastAsia"/>
          <w:b/>
          <w:spacing w:val="0"/>
          <w:sz w:val="22"/>
          <w:szCs w:val="24"/>
          <w:rtl/>
        </w:rPr>
        <w:t>המזרחי</w:t>
      </w:r>
      <w:r>
        <w:rPr>
          <w:rFonts w:hint="cs"/>
          <w:rtl/>
        </w:rPr>
        <w:t>, ניתן לקיים ביקורת שיפוטית על חקיקה ראשית ואף להורות על בטלותה, ככל שאינה עומדת בתנאים שנקבעו בחוקי היסוד. זאת, נוכח סמכותו של בית המשפט לבחון האם "</w:t>
      </w:r>
      <w:r>
        <w:rPr>
          <w:rtl/>
        </w:rPr>
        <w:t>הוראה נורמאטיבית נמוכה חורגת מהוראה נורמאטיבית גבוהה יותר</w:t>
      </w:r>
      <w:r>
        <w:rPr>
          <w:rFonts w:hint="cs"/>
          <w:rtl/>
        </w:rPr>
        <w:t>" (</w:t>
      </w:r>
      <w:r w:rsidRPr="00922BFE">
        <w:rPr>
          <w:rFonts w:ascii="Century" w:hAnsi="Century" w:cs="Miriam" w:hint="cs"/>
          <w:b/>
          <w:spacing w:val="0"/>
          <w:sz w:val="22"/>
          <w:szCs w:val="24"/>
          <w:rtl/>
        </w:rPr>
        <w:t>שם</w:t>
      </w:r>
      <w:r>
        <w:rPr>
          <w:rFonts w:hint="cs"/>
          <w:rtl/>
        </w:rPr>
        <w:t xml:space="preserve">, בעמ' 276, וכן בעמ' 427). </w:t>
      </w:r>
    </w:p>
    <w:p w:rsidR="00C044AE" w:rsidRDefault="00C044AE" w:rsidP="00C044AE">
      <w:pPr>
        <w:pStyle w:val="Ruller41"/>
        <w:rPr>
          <w:rtl/>
        </w:rPr>
      </w:pPr>
    </w:p>
    <w:p w:rsidR="00C044AE" w:rsidRDefault="00C044AE" w:rsidP="00C044AE">
      <w:pPr>
        <w:pStyle w:val="Ruller41"/>
        <w:rPr>
          <w:rtl/>
        </w:rPr>
      </w:pPr>
      <w:r>
        <w:rPr>
          <w:rtl/>
        </w:rPr>
        <w:tab/>
      </w:r>
      <w:r>
        <w:rPr>
          <w:rFonts w:hint="cs"/>
          <w:rtl/>
        </w:rPr>
        <w:t>בפסק הדין הוצגו שתי גישות מתחרות לביסוס סמכותה של הכנסת לחוקק חוקי יסוד, הנהנים מעליונות נורמטיבית, אשר בבוא היום יהפכו לחוקתה של מדינת ישראל. הנשיא (בדימ')</w:t>
      </w:r>
      <w:r w:rsidRPr="00ED2148">
        <w:rPr>
          <w:rFonts w:ascii="Century" w:hAnsi="Century" w:cs="Miriam" w:hint="cs"/>
          <w:b/>
          <w:spacing w:val="0"/>
          <w:szCs w:val="24"/>
          <w:rtl/>
        </w:rPr>
        <w:t xml:space="preserve"> שמגר</w:t>
      </w:r>
      <w:r w:rsidRPr="00ED2148">
        <w:rPr>
          <w:rFonts w:hint="cs"/>
          <w:rtl/>
        </w:rPr>
        <w:t xml:space="preserve"> </w:t>
      </w:r>
      <w:r>
        <w:rPr>
          <w:rFonts w:hint="cs"/>
          <w:rtl/>
        </w:rPr>
        <w:t xml:space="preserve">התבסס על "תורת הריבונות הבלתי מוגבלת של הכנסת" לפיה </w:t>
      </w:r>
      <w:r w:rsidRPr="00ED2148">
        <w:rPr>
          <w:rFonts w:hint="eastAsia"/>
          <w:rtl/>
        </w:rPr>
        <w:t>הכנסת</w:t>
      </w:r>
      <w:r w:rsidRPr="00ED2148">
        <w:rPr>
          <w:rtl/>
        </w:rPr>
        <w:t xml:space="preserve"> </w:t>
      </w:r>
      <w:r w:rsidRPr="00ED2148">
        <w:rPr>
          <w:rFonts w:hint="eastAsia"/>
          <w:rtl/>
        </w:rPr>
        <w:t>בלתי</w:t>
      </w:r>
      <w:r w:rsidRPr="00ED2148">
        <w:rPr>
          <w:rtl/>
        </w:rPr>
        <w:t xml:space="preserve"> </w:t>
      </w:r>
      <w:r w:rsidRPr="00ED2148">
        <w:rPr>
          <w:rFonts w:hint="eastAsia"/>
          <w:rtl/>
        </w:rPr>
        <w:t>מוגבלת</w:t>
      </w:r>
      <w:r w:rsidRPr="00ED2148">
        <w:rPr>
          <w:rtl/>
        </w:rPr>
        <w:t xml:space="preserve"> </w:t>
      </w:r>
      <w:r w:rsidRPr="00ED2148">
        <w:rPr>
          <w:rFonts w:hint="eastAsia"/>
          <w:rtl/>
        </w:rPr>
        <w:t>בסמכותה</w:t>
      </w:r>
      <w:r w:rsidRPr="00ED2148">
        <w:rPr>
          <w:rtl/>
        </w:rPr>
        <w:t xml:space="preserve">, </w:t>
      </w:r>
      <w:r w:rsidRPr="00ED2148">
        <w:rPr>
          <w:rFonts w:hint="eastAsia"/>
          <w:rtl/>
        </w:rPr>
        <w:t>פרט</w:t>
      </w:r>
      <w:r w:rsidRPr="00ED2148">
        <w:rPr>
          <w:rtl/>
        </w:rPr>
        <w:t xml:space="preserve"> </w:t>
      </w:r>
      <w:r>
        <w:rPr>
          <w:rFonts w:hint="cs"/>
          <w:rtl/>
        </w:rPr>
        <w:t>ל</w:t>
      </w:r>
      <w:r w:rsidRPr="00ED2148">
        <w:rPr>
          <w:rFonts w:hint="eastAsia"/>
          <w:rtl/>
        </w:rPr>
        <w:t>הגבלות</w:t>
      </w:r>
      <w:r w:rsidRPr="00ED2148">
        <w:rPr>
          <w:rtl/>
        </w:rPr>
        <w:t xml:space="preserve"> </w:t>
      </w:r>
      <w:r>
        <w:rPr>
          <w:rFonts w:hint="cs"/>
          <w:rtl/>
        </w:rPr>
        <w:t xml:space="preserve">שאותן </w:t>
      </w:r>
      <w:r w:rsidRPr="00ED2148">
        <w:rPr>
          <w:rFonts w:hint="eastAsia"/>
          <w:rtl/>
        </w:rPr>
        <w:t>קבעה</w:t>
      </w:r>
      <w:r w:rsidRPr="00ED2148">
        <w:rPr>
          <w:rtl/>
        </w:rPr>
        <w:t xml:space="preserve"> </w:t>
      </w:r>
      <w:r w:rsidRPr="00ED2148">
        <w:rPr>
          <w:rFonts w:hint="eastAsia"/>
          <w:rtl/>
        </w:rPr>
        <w:t>לעצמה</w:t>
      </w:r>
      <w:r>
        <w:rPr>
          <w:rFonts w:hint="cs"/>
          <w:rtl/>
        </w:rPr>
        <w:t xml:space="preserve">. בהקשר זה ציין הנשיא (בדימ') </w:t>
      </w:r>
      <w:r w:rsidRPr="00ED2148">
        <w:rPr>
          <w:rFonts w:ascii="Century" w:hAnsi="Century" w:cs="Miriam" w:hint="cs"/>
          <w:b/>
          <w:spacing w:val="0"/>
          <w:szCs w:val="24"/>
          <w:rtl/>
        </w:rPr>
        <w:t>שמגר</w:t>
      </w:r>
      <w:r w:rsidRPr="00ED2148">
        <w:rPr>
          <w:rFonts w:hint="cs"/>
          <w:rtl/>
        </w:rPr>
        <w:t xml:space="preserve"> </w:t>
      </w:r>
      <w:r>
        <w:rPr>
          <w:rFonts w:hint="cs"/>
          <w:rtl/>
        </w:rPr>
        <w:t>כי:</w:t>
      </w:r>
    </w:p>
    <w:p w:rsidR="00C044AE" w:rsidRDefault="00C044AE" w:rsidP="00C044AE">
      <w:pPr>
        <w:pStyle w:val="Ruller41"/>
        <w:rPr>
          <w:rtl/>
        </w:rPr>
      </w:pPr>
    </w:p>
    <w:p w:rsidR="00C044AE" w:rsidRPr="00ED2148" w:rsidRDefault="00C044AE" w:rsidP="00C044AE">
      <w:pPr>
        <w:pStyle w:val="Ruller5"/>
        <w:rPr>
          <w:rtl/>
        </w:rPr>
      </w:pPr>
      <w:r>
        <w:rPr>
          <w:rFonts w:hint="cs"/>
          <w:rtl/>
        </w:rPr>
        <w:t>"</w:t>
      </w:r>
      <w:r w:rsidRPr="00ED2148">
        <w:rPr>
          <w:rtl/>
        </w:rPr>
        <w:t>הכנסת פועלת בתור שכזאת ללא חלוקה פנימית או פיצול למוסדות שונים שהאחד עליון על משנהו. פרי חקיקתה שייך</w:t>
      </w:r>
      <w:r>
        <w:rPr>
          <w:rFonts w:hint="cs"/>
          <w:rtl/>
        </w:rPr>
        <w:t>,</w:t>
      </w:r>
      <w:r w:rsidRPr="00ED2148">
        <w:t xml:space="preserve"> </w:t>
      </w:r>
      <w:r w:rsidRPr="00ED2148">
        <w:rPr>
          <w:rtl/>
        </w:rPr>
        <w:t>לפי בחירתה של הכנסת, למידרג החוקתי העליון או לחקיקה הרגילה, וכאשר היא מחוקקת חקיקה חוקתית היא קובעת בכך, מכוח סמכויותיה הבלתי מוגבלות, את עליונותו של החוק החוקתי על חוק רגיל ומוסמכת לפרט ולקבוע תנאים וסייגים שיחולו על חקיקה רגילה כדי להתאימה לנורמות הנקבעות על־ידי החקיקה החוקתית</w:t>
      </w:r>
      <w:r>
        <w:rPr>
          <w:rFonts w:hint="cs"/>
          <w:rtl/>
        </w:rPr>
        <w:t>" (</w:t>
      </w:r>
      <w:r w:rsidRPr="0092162B">
        <w:rPr>
          <w:rFonts w:ascii="Century" w:hAnsi="Century" w:cs="Miriam" w:hint="cs"/>
          <w:b/>
          <w:spacing w:val="0"/>
          <w:szCs w:val="24"/>
          <w:rtl/>
        </w:rPr>
        <w:t>שם</w:t>
      </w:r>
      <w:r>
        <w:rPr>
          <w:rFonts w:hint="cs"/>
          <w:rtl/>
        </w:rPr>
        <w:t xml:space="preserve">, בעמ' 285). </w:t>
      </w:r>
    </w:p>
    <w:p w:rsidR="00C044AE" w:rsidRPr="006B1F2C" w:rsidRDefault="00C044AE" w:rsidP="00C044AE">
      <w:pPr>
        <w:pStyle w:val="Ruller41"/>
        <w:rPr>
          <w:rtl/>
        </w:rPr>
      </w:pPr>
      <w:r>
        <w:rPr>
          <w:rtl/>
        </w:rPr>
        <w:tab/>
      </w:r>
    </w:p>
    <w:p w:rsidR="00C044AE" w:rsidRDefault="00C044AE" w:rsidP="0009484D">
      <w:pPr>
        <w:pStyle w:val="Ruller4"/>
        <w:numPr>
          <w:ilvl w:val="0"/>
          <w:numId w:val="0"/>
        </w:numPr>
        <w:rPr>
          <w:rtl/>
        </w:rPr>
      </w:pPr>
      <w:r>
        <w:rPr>
          <w:rtl/>
        </w:rPr>
        <w:tab/>
      </w:r>
      <w:r>
        <w:rPr>
          <w:rFonts w:hint="cs"/>
          <w:rtl/>
        </w:rPr>
        <w:t xml:space="preserve">לגישה זו לא הצטרפו יתר השופטים בעניין </w:t>
      </w:r>
      <w:r w:rsidRPr="00ED2148">
        <w:rPr>
          <w:rFonts w:ascii="Century" w:hAnsi="Century" w:cs="Miriam" w:hint="cs"/>
          <w:b/>
          <w:spacing w:val="0"/>
          <w:szCs w:val="24"/>
          <w:rtl/>
        </w:rPr>
        <w:t>בנק המזרחי</w:t>
      </w:r>
      <w:r>
        <w:rPr>
          <w:rFonts w:hint="cs"/>
          <w:rtl/>
        </w:rPr>
        <w:t xml:space="preserve">. </w:t>
      </w:r>
    </w:p>
    <w:p w:rsidR="00C044AE" w:rsidRPr="006B1F2C" w:rsidRDefault="00C044AE" w:rsidP="0009484D">
      <w:pPr>
        <w:pStyle w:val="Ruller41"/>
      </w:pPr>
    </w:p>
    <w:p w:rsidR="00C044AE" w:rsidRDefault="00C044AE" w:rsidP="00C044AE">
      <w:pPr>
        <w:pStyle w:val="Ruller4"/>
        <w:rPr>
          <w:rtl/>
        </w:rPr>
      </w:pPr>
      <w:r>
        <w:rPr>
          <w:rFonts w:hint="cs"/>
          <w:rtl/>
        </w:rPr>
        <w:t xml:space="preserve">הגישה האחרת, אשר השתרשה בפסיקה, הוצגה על-ידי הנשיא </w:t>
      </w:r>
      <w:r w:rsidRPr="00ED2148">
        <w:rPr>
          <w:rFonts w:ascii="Century" w:hAnsi="Century" w:cs="Miriam" w:hint="cs"/>
          <w:b/>
          <w:spacing w:val="0"/>
          <w:szCs w:val="24"/>
          <w:rtl/>
        </w:rPr>
        <w:t>ברק</w:t>
      </w:r>
      <w:r w:rsidRPr="00ED2148">
        <w:rPr>
          <w:rFonts w:hint="cs"/>
          <w:rtl/>
        </w:rPr>
        <w:t xml:space="preserve"> </w:t>
      </w:r>
      <w:r>
        <w:rPr>
          <w:rFonts w:hint="cs"/>
          <w:rtl/>
        </w:rPr>
        <w:t xml:space="preserve">ומכונה "תורת הרשות המכוננת" (ראו, בין היתר: </w:t>
      </w:r>
      <w:r w:rsidRPr="0092162B">
        <w:rPr>
          <w:rFonts w:hint="eastAsia"/>
          <w:rtl/>
        </w:rPr>
        <w:t>בג</w:t>
      </w:r>
      <w:r w:rsidRPr="0092162B">
        <w:rPr>
          <w:rtl/>
        </w:rPr>
        <w:t>"</w:t>
      </w:r>
      <w:r w:rsidRPr="0092162B">
        <w:rPr>
          <w:rFonts w:hint="eastAsia"/>
          <w:rtl/>
        </w:rPr>
        <w:t>ץ</w:t>
      </w:r>
      <w:r w:rsidRPr="0092162B">
        <w:rPr>
          <w:rtl/>
        </w:rPr>
        <w:t xml:space="preserve"> 4908/10 </w:t>
      </w:r>
      <w:r w:rsidRPr="0092162B">
        <w:rPr>
          <w:rFonts w:ascii="Century" w:hAnsi="Century" w:cs="Miriam" w:hint="eastAsia"/>
          <w:b/>
          <w:spacing w:val="0"/>
          <w:szCs w:val="24"/>
          <w:rtl/>
        </w:rPr>
        <w:t>בר</w:t>
      </w:r>
      <w:r w:rsidRPr="0092162B">
        <w:rPr>
          <w:rFonts w:ascii="Century" w:hAnsi="Century" w:cs="Miriam"/>
          <w:b/>
          <w:spacing w:val="0"/>
          <w:szCs w:val="24"/>
          <w:rtl/>
        </w:rPr>
        <w:t>-</w:t>
      </w:r>
      <w:r w:rsidRPr="0092162B">
        <w:rPr>
          <w:rFonts w:ascii="Century" w:hAnsi="Century" w:cs="Miriam" w:hint="eastAsia"/>
          <w:b/>
          <w:spacing w:val="0"/>
          <w:szCs w:val="24"/>
          <w:rtl/>
        </w:rPr>
        <w:t>און</w:t>
      </w:r>
      <w:r w:rsidRPr="0092162B">
        <w:rPr>
          <w:rFonts w:ascii="Century" w:hAnsi="Century" w:cs="Miriam"/>
          <w:b/>
          <w:spacing w:val="0"/>
          <w:szCs w:val="24"/>
          <w:rtl/>
        </w:rPr>
        <w:t xml:space="preserve"> </w:t>
      </w:r>
      <w:r w:rsidRPr="0092162B">
        <w:rPr>
          <w:rFonts w:ascii="Century" w:hAnsi="Century" w:cs="Miriam" w:hint="eastAsia"/>
          <w:b/>
          <w:spacing w:val="0"/>
          <w:szCs w:val="24"/>
          <w:rtl/>
        </w:rPr>
        <w:t>נ</w:t>
      </w:r>
      <w:r w:rsidRPr="0092162B">
        <w:rPr>
          <w:rFonts w:ascii="Century" w:hAnsi="Century" w:cs="Miriam"/>
          <w:b/>
          <w:spacing w:val="0"/>
          <w:szCs w:val="24"/>
          <w:rtl/>
        </w:rPr>
        <w:t xml:space="preserve">' </w:t>
      </w:r>
      <w:r w:rsidRPr="0092162B">
        <w:rPr>
          <w:rFonts w:ascii="Century" w:hAnsi="Century" w:cs="Miriam" w:hint="eastAsia"/>
          <w:b/>
          <w:spacing w:val="0"/>
          <w:szCs w:val="24"/>
          <w:rtl/>
        </w:rPr>
        <w:t>כנסת</w:t>
      </w:r>
      <w:r w:rsidRPr="0092162B">
        <w:rPr>
          <w:rFonts w:ascii="Century" w:hAnsi="Century" w:cs="Miriam"/>
          <w:b/>
          <w:spacing w:val="0"/>
          <w:szCs w:val="24"/>
          <w:rtl/>
        </w:rPr>
        <w:t xml:space="preserve"> </w:t>
      </w:r>
      <w:r w:rsidRPr="0092162B">
        <w:rPr>
          <w:rFonts w:ascii="Century" w:hAnsi="Century" w:cs="Miriam" w:hint="eastAsia"/>
          <w:b/>
          <w:spacing w:val="0"/>
          <w:szCs w:val="24"/>
          <w:rtl/>
        </w:rPr>
        <w:t>ישראל</w:t>
      </w:r>
      <w:r w:rsidRPr="0092162B">
        <w:rPr>
          <w:rtl/>
        </w:rPr>
        <w:t xml:space="preserve">, </w:t>
      </w:r>
      <w:r w:rsidRPr="0092162B">
        <w:rPr>
          <w:rFonts w:hint="eastAsia"/>
          <w:rtl/>
        </w:rPr>
        <w:t>פ</w:t>
      </w:r>
      <w:r w:rsidRPr="0092162B">
        <w:rPr>
          <w:rtl/>
        </w:rPr>
        <w:t>"</w:t>
      </w:r>
      <w:r w:rsidRPr="0092162B">
        <w:rPr>
          <w:rFonts w:hint="eastAsia"/>
          <w:rtl/>
        </w:rPr>
        <w:t>ד</w:t>
      </w:r>
      <w:r w:rsidRPr="0092162B">
        <w:rPr>
          <w:rtl/>
        </w:rPr>
        <w:t xml:space="preserve"> </w:t>
      </w:r>
      <w:r w:rsidRPr="0092162B">
        <w:rPr>
          <w:rFonts w:hint="eastAsia"/>
          <w:rtl/>
        </w:rPr>
        <w:t>סד</w:t>
      </w:r>
      <w:r w:rsidRPr="0092162B">
        <w:rPr>
          <w:rtl/>
        </w:rPr>
        <w:t>(3) 275</w:t>
      </w:r>
      <w:r>
        <w:rPr>
          <w:rFonts w:hint="cs"/>
          <w:rtl/>
        </w:rPr>
        <w:t>, 291</w:t>
      </w:r>
      <w:r w:rsidRPr="0092162B">
        <w:rPr>
          <w:rtl/>
        </w:rPr>
        <w:t xml:space="preserve"> (2011) (</w:t>
      </w:r>
      <w:r w:rsidRPr="0092162B">
        <w:rPr>
          <w:rFonts w:hint="eastAsia"/>
          <w:rtl/>
        </w:rPr>
        <w:t>להלן</w:t>
      </w:r>
      <w:r w:rsidRPr="0092162B">
        <w:rPr>
          <w:rtl/>
        </w:rPr>
        <w:t xml:space="preserve">: </w:t>
      </w:r>
      <w:r w:rsidRPr="0092162B">
        <w:rPr>
          <w:rFonts w:ascii="Century" w:hAnsi="Century" w:cs="Miriam" w:hint="eastAsia"/>
          <w:b/>
          <w:spacing w:val="0"/>
          <w:szCs w:val="24"/>
          <w:rtl/>
        </w:rPr>
        <w:t>עניין</w:t>
      </w:r>
      <w:r w:rsidRPr="0092162B">
        <w:rPr>
          <w:rFonts w:ascii="Century" w:hAnsi="Century" w:cs="Miriam"/>
          <w:b/>
          <w:spacing w:val="0"/>
          <w:szCs w:val="24"/>
          <w:rtl/>
        </w:rPr>
        <w:t xml:space="preserve"> </w:t>
      </w:r>
      <w:r w:rsidRPr="0092162B">
        <w:rPr>
          <w:rFonts w:ascii="Century" w:hAnsi="Century" w:cs="Miriam" w:hint="eastAsia"/>
          <w:b/>
          <w:spacing w:val="0"/>
          <w:szCs w:val="24"/>
          <w:rtl/>
        </w:rPr>
        <w:t>בר</w:t>
      </w:r>
      <w:r w:rsidRPr="0092162B">
        <w:rPr>
          <w:rFonts w:ascii="Century" w:hAnsi="Century" w:cs="Miriam"/>
          <w:b/>
          <w:spacing w:val="0"/>
          <w:szCs w:val="24"/>
          <w:rtl/>
        </w:rPr>
        <w:t>-</w:t>
      </w:r>
      <w:r w:rsidRPr="0092162B">
        <w:rPr>
          <w:rFonts w:ascii="Century" w:hAnsi="Century" w:cs="Miriam" w:hint="eastAsia"/>
          <w:b/>
          <w:spacing w:val="0"/>
          <w:szCs w:val="24"/>
          <w:rtl/>
        </w:rPr>
        <w:t>און</w:t>
      </w:r>
      <w:r w:rsidRPr="0092162B">
        <w:rPr>
          <w:rtl/>
        </w:rPr>
        <w:t>)</w:t>
      </w:r>
      <w:r>
        <w:rPr>
          <w:rFonts w:hint="cs"/>
          <w:rtl/>
        </w:rPr>
        <w:t xml:space="preserve">; עניין </w:t>
      </w:r>
      <w:r w:rsidRPr="00C93DDD">
        <w:rPr>
          <w:rFonts w:ascii="Century" w:hAnsi="Century" w:cs="Miriam" w:hint="cs"/>
          <w:b/>
          <w:spacing w:val="0"/>
          <w:szCs w:val="24"/>
          <w:rtl/>
        </w:rPr>
        <w:t>חסון</w:t>
      </w:r>
      <w:r>
        <w:rPr>
          <w:rFonts w:hint="cs"/>
          <w:rtl/>
        </w:rPr>
        <w:t xml:space="preserve">, בפסקה 17 לחוות דעתי ובפסקה 4 לחוות דעתו של השופט </w:t>
      </w:r>
      <w:r w:rsidRPr="00C93DDD">
        <w:rPr>
          <w:rFonts w:ascii="Century" w:hAnsi="Century" w:cs="Miriam" w:hint="cs"/>
          <w:b/>
          <w:spacing w:val="0"/>
          <w:szCs w:val="24"/>
          <w:rtl/>
        </w:rPr>
        <w:t>נ' הנדל</w:t>
      </w:r>
      <w:r>
        <w:rPr>
          <w:rFonts w:hint="cs"/>
          <w:rtl/>
        </w:rPr>
        <w:t xml:space="preserve">; </w:t>
      </w:r>
      <w:r w:rsidRPr="001F0313">
        <w:rPr>
          <w:rFonts w:hint="eastAsia"/>
          <w:rtl/>
        </w:rPr>
        <w:t>אמנון</w:t>
      </w:r>
      <w:r w:rsidRPr="001F0313">
        <w:rPr>
          <w:rtl/>
        </w:rPr>
        <w:t xml:space="preserve"> </w:t>
      </w:r>
      <w:r w:rsidRPr="001F0313">
        <w:rPr>
          <w:rFonts w:hint="eastAsia"/>
          <w:rtl/>
        </w:rPr>
        <w:t>רובינשטיין</w:t>
      </w:r>
      <w:r w:rsidRPr="001F0313">
        <w:rPr>
          <w:rtl/>
        </w:rPr>
        <w:t xml:space="preserve"> </w:t>
      </w:r>
      <w:r w:rsidRPr="001F0313">
        <w:rPr>
          <w:rFonts w:hint="eastAsia"/>
          <w:rtl/>
        </w:rPr>
        <w:t>וברק</w:t>
      </w:r>
      <w:r w:rsidRPr="001F0313">
        <w:rPr>
          <w:rtl/>
        </w:rPr>
        <w:t xml:space="preserve"> </w:t>
      </w:r>
      <w:r w:rsidRPr="001F0313">
        <w:rPr>
          <w:rFonts w:hint="eastAsia"/>
          <w:rtl/>
        </w:rPr>
        <w:t>מדינה</w:t>
      </w:r>
      <w:r w:rsidRPr="001F0313">
        <w:rPr>
          <w:rtl/>
        </w:rPr>
        <w:t xml:space="preserve"> </w:t>
      </w:r>
      <w:r w:rsidRPr="001F0313">
        <w:rPr>
          <w:rFonts w:ascii="Century" w:hAnsi="Century" w:cs="Miriam" w:hint="eastAsia"/>
          <w:b/>
          <w:spacing w:val="0"/>
          <w:szCs w:val="24"/>
          <w:rtl/>
        </w:rPr>
        <w:t>המשפט</w:t>
      </w:r>
      <w:r w:rsidRPr="001F0313">
        <w:rPr>
          <w:rFonts w:ascii="Century" w:hAnsi="Century" w:cs="Miriam"/>
          <w:b/>
          <w:spacing w:val="0"/>
          <w:szCs w:val="24"/>
          <w:rtl/>
        </w:rPr>
        <w:t xml:space="preserve"> </w:t>
      </w:r>
      <w:r w:rsidRPr="001F0313">
        <w:rPr>
          <w:rFonts w:ascii="Century" w:hAnsi="Century" w:cs="Miriam" w:hint="eastAsia"/>
          <w:b/>
          <w:spacing w:val="0"/>
          <w:szCs w:val="24"/>
          <w:rtl/>
        </w:rPr>
        <w:lastRenderedPageBreak/>
        <w:t>החוקתי</w:t>
      </w:r>
      <w:r w:rsidRPr="001F0313">
        <w:rPr>
          <w:rFonts w:ascii="Century" w:hAnsi="Century" w:cs="Miriam"/>
          <w:b/>
          <w:spacing w:val="0"/>
          <w:szCs w:val="24"/>
          <w:rtl/>
        </w:rPr>
        <w:t xml:space="preserve"> </w:t>
      </w:r>
      <w:r w:rsidRPr="001F0313">
        <w:rPr>
          <w:rFonts w:ascii="Century" w:hAnsi="Century" w:cs="Miriam" w:hint="eastAsia"/>
          <w:b/>
          <w:spacing w:val="0"/>
          <w:szCs w:val="24"/>
          <w:rtl/>
        </w:rPr>
        <w:t>של</w:t>
      </w:r>
      <w:r w:rsidRPr="001F0313">
        <w:rPr>
          <w:rFonts w:ascii="Century" w:hAnsi="Century" w:cs="Miriam"/>
          <w:b/>
          <w:spacing w:val="0"/>
          <w:szCs w:val="24"/>
          <w:rtl/>
        </w:rPr>
        <w:t xml:space="preserve"> </w:t>
      </w:r>
      <w:r w:rsidRPr="001F0313">
        <w:rPr>
          <w:rFonts w:ascii="Century" w:hAnsi="Century" w:cs="Miriam" w:hint="eastAsia"/>
          <w:b/>
          <w:spacing w:val="0"/>
          <w:szCs w:val="24"/>
          <w:rtl/>
        </w:rPr>
        <w:t>מדינת</w:t>
      </w:r>
      <w:r w:rsidRPr="001F0313">
        <w:rPr>
          <w:rFonts w:ascii="Century" w:hAnsi="Century" w:cs="Miriam"/>
          <w:b/>
          <w:spacing w:val="0"/>
          <w:szCs w:val="24"/>
          <w:rtl/>
        </w:rPr>
        <w:t xml:space="preserve"> </w:t>
      </w:r>
      <w:r w:rsidRPr="001F0313">
        <w:rPr>
          <w:rFonts w:ascii="Century" w:hAnsi="Century" w:cs="Miriam" w:hint="eastAsia"/>
          <w:b/>
          <w:spacing w:val="0"/>
          <w:szCs w:val="24"/>
          <w:rtl/>
        </w:rPr>
        <w:t>ישראל</w:t>
      </w:r>
      <w:r w:rsidRPr="001F0313">
        <w:rPr>
          <w:rtl/>
        </w:rPr>
        <w:t xml:space="preserve"> </w:t>
      </w:r>
      <w:r w:rsidRPr="001F0313">
        <w:rPr>
          <w:rFonts w:hint="eastAsia"/>
          <w:rtl/>
        </w:rPr>
        <w:t>כרך</w:t>
      </w:r>
      <w:r w:rsidRPr="001F0313">
        <w:rPr>
          <w:rtl/>
        </w:rPr>
        <w:t xml:space="preserve"> </w:t>
      </w:r>
      <w:r w:rsidRPr="001F0313">
        <w:rPr>
          <w:rFonts w:hint="eastAsia"/>
          <w:rtl/>
        </w:rPr>
        <w:t>א</w:t>
      </w:r>
      <w:r w:rsidRPr="001F0313">
        <w:rPr>
          <w:rtl/>
        </w:rPr>
        <w:t xml:space="preserve">: </w:t>
      </w:r>
      <w:r w:rsidRPr="001F0313">
        <w:rPr>
          <w:rFonts w:hint="eastAsia"/>
          <w:rtl/>
        </w:rPr>
        <w:t>עקרונות</w:t>
      </w:r>
      <w:r w:rsidRPr="001F0313">
        <w:rPr>
          <w:rtl/>
        </w:rPr>
        <w:t xml:space="preserve"> </w:t>
      </w:r>
      <w:r w:rsidRPr="001F0313">
        <w:rPr>
          <w:rFonts w:hint="eastAsia"/>
          <w:rtl/>
        </w:rPr>
        <w:t>יסוד</w:t>
      </w:r>
      <w:r w:rsidRPr="001F0313">
        <w:rPr>
          <w:rtl/>
        </w:rPr>
        <w:t xml:space="preserve"> </w:t>
      </w:r>
      <w:r>
        <w:rPr>
          <w:rFonts w:hint="cs"/>
          <w:rtl/>
        </w:rPr>
        <w:t>78</w:t>
      </w:r>
      <w:r w:rsidRPr="001F0313">
        <w:rPr>
          <w:rtl/>
        </w:rPr>
        <w:t xml:space="preserve"> (</w:t>
      </w:r>
      <w:r w:rsidRPr="001F0313">
        <w:rPr>
          <w:rFonts w:hint="eastAsia"/>
          <w:rtl/>
        </w:rPr>
        <w:t>מהדורה</w:t>
      </w:r>
      <w:r w:rsidRPr="001F0313">
        <w:rPr>
          <w:rtl/>
        </w:rPr>
        <w:t xml:space="preserve"> </w:t>
      </w:r>
      <w:r w:rsidRPr="001F0313">
        <w:rPr>
          <w:rFonts w:hint="eastAsia"/>
          <w:rtl/>
        </w:rPr>
        <w:t>שישית</w:t>
      </w:r>
      <w:r>
        <w:rPr>
          <w:rtl/>
        </w:rPr>
        <w:t>, 2005)</w:t>
      </w:r>
      <w:r>
        <w:rPr>
          <w:rFonts w:hint="cs"/>
          <w:rtl/>
        </w:rPr>
        <w:t xml:space="preserve"> (להלן: </w:t>
      </w:r>
      <w:r w:rsidRPr="00A40CCD">
        <w:rPr>
          <w:rFonts w:ascii="Century" w:hAnsi="Century" w:cs="Miriam" w:hint="cs"/>
          <w:b/>
          <w:spacing w:val="0"/>
          <w:szCs w:val="24"/>
          <w:rtl/>
        </w:rPr>
        <w:t>רובינשטיין ומדינה</w:t>
      </w:r>
      <w:r>
        <w:rPr>
          <w:rFonts w:hint="cs"/>
          <w:rtl/>
        </w:rPr>
        <w:t xml:space="preserve">); </w:t>
      </w:r>
      <w:r w:rsidRPr="00CC4B5A">
        <w:rPr>
          <w:rFonts w:hint="eastAsia"/>
          <w:rtl/>
        </w:rPr>
        <w:t>אורי</w:t>
      </w:r>
      <w:r w:rsidRPr="00CC4B5A">
        <w:rPr>
          <w:rtl/>
        </w:rPr>
        <w:t xml:space="preserve"> </w:t>
      </w:r>
      <w:r w:rsidRPr="00CC4B5A">
        <w:rPr>
          <w:rFonts w:hint="eastAsia"/>
          <w:rtl/>
        </w:rPr>
        <w:t>אהרונסון</w:t>
      </w:r>
      <w:r w:rsidRPr="00CC4B5A">
        <w:rPr>
          <w:rtl/>
        </w:rPr>
        <w:t xml:space="preserve"> "</w:t>
      </w:r>
      <w:r w:rsidRPr="00CC4B5A">
        <w:rPr>
          <w:rFonts w:hint="eastAsia"/>
          <w:rtl/>
        </w:rPr>
        <w:t>המהפכה</w:t>
      </w:r>
      <w:r w:rsidRPr="00CC4B5A">
        <w:rPr>
          <w:rtl/>
        </w:rPr>
        <w:t xml:space="preserve"> </w:t>
      </w:r>
      <w:r w:rsidRPr="00CC4B5A">
        <w:rPr>
          <w:rFonts w:hint="eastAsia"/>
          <w:rtl/>
        </w:rPr>
        <w:t>החוקתית</w:t>
      </w:r>
      <w:r w:rsidRPr="00CC4B5A">
        <w:rPr>
          <w:rtl/>
        </w:rPr>
        <w:t xml:space="preserve">: </w:t>
      </w:r>
      <w:r w:rsidRPr="00CC4B5A">
        <w:rPr>
          <w:rFonts w:hint="eastAsia"/>
          <w:rtl/>
        </w:rPr>
        <w:t>הדור</w:t>
      </w:r>
      <w:r w:rsidRPr="00CC4B5A">
        <w:rPr>
          <w:rtl/>
        </w:rPr>
        <w:t xml:space="preserve"> </w:t>
      </w:r>
      <w:r w:rsidRPr="00CC4B5A">
        <w:rPr>
          <w:rFonts w:hint="eastAsia"/>
          <w:rtl/>
        </w:rPr>
        <w:t>הבא</w:t>
      </w:r>
      <w:r w:rsidRPr="00CC4B5A">
        <w:rPr>
          <w:rtl/>
        </w:rPr>
        <w:t>"</w:t>
      </w:r>
      <w:r w:rsidRPr="00CC4B5A">
        <w:rPr>
          <w:rFonts w:ascii="Miriam" w:hAnsi="Miriam" w:cs="Miriam"/>
          <w:spacing w:val="0"/>
          <w:szCs w:val="24"/>
          <w:rtl/>
        </w:rPr>
        <w:t xml:space="preserve"> </w:t>
      </w:r>
      <w:r w:rsidRPr="00CC4B5A">
        <w:rPr>
          <w:rFonts w:ascii="Miriam" w:hAnsi="Miriam" w:cs="Miriam" w:hint="eastAsia"/>
          <w:spacing w:val="0"/>
          <w:szCs w:val="24"/>
          <w:rtl/>
        </w:rPr>
        <w:t>מחקרי</w:t>
      </w:r>
      <w:r w:rsidRPr="00CC4B5A">
        <w:rPr>
          <w:rFonts w:ascii="Miriam" w:hAnsi="Miriam" w:cs="Miriam"/>
          <w:spacing w:val="0"/>
          <w:szCs w:val="24"/>
          <w:rtl/>
        </w:rPr>
        <w:t xml:space="preserve"> </w:t>
      </w:r>
      <w:r w:rsidRPr="00CC4B5A">
        <w:rPr>
          <w:rFonts w:ascii="Miriam" w:hAnsi="Miriam" w:cs="Miriam" w:hint="eastAsia"/>
          <w:spacing w:val="0"/>
          <w:szCs w:val="24"/>
          <w:rtl/>
        </w:rPr>
        <w:t>משפט</w:t>
      </w:r>
      <w:r w:rsidRPr="00CC4B5A">
        <w:rPr>
          <w:rtl/>
        </w:rPr>
        <w:t xml:space="preserve"> </w:t>
      </w:r>
      <w:r w:rsidRPr="00CC4B5A">
        <w:rPr>
          <w:rFonts w:hint="eastAsia"/>
          <w:rtl/>
        </w:rPr>
        <w:t>לד</w:t>
      </w:r>
      <w:r w:rsidRPr="00CC4B5A">
        <w:rPr>
          <w:rtl/>
        </w:rPr>
        <w:t xml:space="preserve"> 1, 4 (</w:t>
      </w:r>
      <w:r w:rsidRPr="00D47D7D">
        <w:rPr>
          <w:rFonts w:hint="cs"/>
          <w:rtl/>
        </w:rPr>
        <w:t>צפוי להתפרסם</w:t>
      </w:r>
      <w:r w:rsidRPr="00CC4B5A">
        <w:rPr>
          <w:rtl/>
        </w:rPr>
        <w:t>)</w:t>
      </w:r>
      <w:r>
        <w:rPr>
          <w:rFonts w:hint="cs"/>
          <w:rtl/>
        </w:rPr>
        <w:t xml:space="preserve">). על פי גישה זו </w:t>
      </w:r>
      <w:r>
        <w:rPr>
          <w:rtl/>
        </w:rPr>
        <w:t>–</w:t>
      </w:r>
      <w:r>
        <w:rPr>
          <w:rFonts w:hint="cs"/>
          <w:rtl/>
        </w:rPr>
        <w:t xml:space="preserve"> שאליה הצטרפו השופטים </w:t>
      </w:r>
      <w:r w:rsidRPr="00ED2148">
        <w:rPr>
          <w:rFonts w:ascii="Century" w:hAnsi="Century" w:cs="Miriam" w:hint="cs"/>
          <w:b/>
          <w:spacing w:val="0"/>
          <w:szCs w:val="24"/>
          <w:rtl/>
        </w:rPr>
        <w:t>ד' לוין</w:t>
      </w:r>
      <w:r>
        <w:rPr>
          <w:rFonts w:hint="cs"/>
          <w:rtl/>
        </w:rPr>
        <w:t xml:space="preserve">, </w:t>
      </w:r>
      <w:r w:rsidRPr="00ED2148">
        <w:rPr>
          <w:rFonts w:ascii="Century" w:hAnsi="Century" w:cs="Miriam" w:hint="cs"/>
          <w:b/>
          <w:spacing w:val="0"/>
          <w:szCs w:val="24"/>
          <w:rtl/>
        </w:rPr>
        <w:t>י' זמיר</w:t>
      </w:r>
      <w:r w:rsidRPr="00ED2148">
        <w:rPr>
          <w:rFonts w:hint="cs"/>
          <w:rtl/>
        </w:rPr>
        <w:t xml:space="preserve"> </w:t>
      </w:r>
      <w:r>
        <w:rPr>
          <w:rFonts w:hint="cs"/>
          <w:rtl/>
        </w:rPr>
        <w:t>ו</w:t>
      </w:r>
      <w:r>
        <w:rPr>
          <w:rFonts w:ascii="Century" w:hAnsi="Century" w:cs="Miriam" w:hint="cs"/>
          <w:b/>
          <w:spacing w:val="0"/>
          <w:szCs w:val="24"/>
          <w:rtl/>
        </w:rPr>
        <w:t>א</w:t>
      </w:r>
      <w:r w:rsidRPr="00ED2148">
        <w:rPr>
          <w:rFonts w:ascii="Century" w:hAnsi="Century" w:cs="Miriam" w:hint="cs"/>
          <w:b/>
          <w:spacing w:val="0"/>
          <w:szCs w:val="24"/>
          <w:rtl/>
        </w:rPr>
        <w:t xml:space="preserve">' מצא </w:t>
      </w:r>
      <w:r>
        <w:rPr>
          <w:rFonts w:hint="cs"/>
          <w:rtl/>
        </w:rPr>
        <w:t xml:space="preserve">(שאר השופטים נמנעו מהכרעה מפורשת בין שתי הגישות) </w:t>
      </w:r>
      <w:r>
        <w:rPr>
          <w:rtl/>
        </w:rPr>
        <w:t>–</w:t>
      </w:r>
      <w:r>
        <w:rPr>
          <w:rFonts w:hint="cs"/>
          <w:rtl/>
        </w:rPr>
        <w:t xml:space="preserve"> הכנסת מחזיקה בשני "כובעים" או "כתרים" עיקריים: כובע הסמכות המכוננת, מכוחו </w:t>
      </w:r>
      <w:r w:rsidRPr="00077831">
        <w:rPr>
          <w:rFonts w:hint="cs"/>
          <w:rtl/>
        </w:rPr>
        <w:t xml:space="preserve">היא מכוננת חוקה; </w:t>
      </w:r>
      <w:r>
        <w:rPr>
          <w:rFonts w:hint="cs"/>
          <w:rtl/>
        </w:rPr>
        <w:t>וכובע</w:t>
      </w:r>
      <w:r w:rsidRPr="00077831">
        <w:rPr>
          <w:rFonts w:hint="cs"/>
          <w:rtl/>
        </w:rPr>
        <w:t xml:space="preserve"> הסמכות המחוקקת, מכוחו היא מחוקקת חוקים (</w:t>
      </w:r>
      <w:r w:rsidRPr="008B1175">
        <w:rPr>
          <w:rFonts w:hint="eastAsia"/>
          <w:rtl/>
        </w:rPr>
        <w:t>עניין</w:t>
      </w:r>
      <w:r>
        <w:rPr>
          <w:rFonts w:ascii="Century" w:hAnsi="Century" w:cs="Miriam" w:hint="cs"/>
          <w:spacing w:val="0"/>
          <w:szCs w:val="24"/>
          <w:rtl/>
        </w:rPr>
        <w:t xml:space="preserve"> בנק המזרחי</w:t>
      </w:r>
      <w:r w:rsidRPr="00077831">
        <w:rPr>
          <w:rFonts w:hint="cs"/>
          <w:rtl/>
        </w:rPr>
        <w:t xml:space="preserve">, בעמ' </w:t>
      </w:r>
      <w:r>
        <w:rPr>
          <w:rFonts w:hint="cs"/>
          <w:rtl/>
        </w:rPr>
        <w:t>356</w:t>
      </w:r>
      <w:r w:rsidRPr="00077831">
        <w:rPr>
          <w:rFonts w:hint="cs"/>
          <w:rtl/>
        </w:rPr>
        <w:t xml:space="preserve">). </w:t>
      </w:r>
    </w:p>
    <w:p w:rsidR="00C044AE" w:rsidRDefault="00C044AE" w:rsidP="00C044AE">
      <w:pPr>
        <w:pStyle w:val="Ruller41"/>
        <w:rPr>
          <w:rtl/>
        </w:rPr>
      </w:pPr>
    </w:p>
    <w:p w:rsidR="00C044AE" w:rsidRDefault="00C044AE" w:rsidP="00C044AE">
      <w:pPr>
        <w:pStyle w:val="Ruller4"/>
        <w:numPr>
          <w:ilvl w:val="0"/>
          <w:numId w:val="0"/>
        </w:numPr>
        <w:rPr>
          <w:rtl/>
        </w:rPr>
      </w:pPr>
      <w:r>
        <w:rPr>
          <w:rtl/>
        </w:rPr>
        <w:tab/>
      </w:r>
      <w:r>
        <w:rPr>
          <w:rFonts w:hint="cs"/>
          <w:rtl/>
        </w:rPr>
        <w:t xml:space="preserve">בחוות דעתו הדגיש </w:t>
      </w:r>
      <w:r w:rsidRPr="00077831">
        <w:rPr>
          <w:rFonts w:hint="cs"/>
          <w:rtl/>
        </w:rPr>
        <w:t xml:space="preserve">הנשיא </w:t>
      </w:r>
      <w:r w:rsidRPr="00B467F6">
        <w:rPr>
          <w:rFonts w:ascii="Century" w:hAnsi="Century" w:cs="Miriam" w:hint="cs"/>
          <w:b/>
          <w:spacing w:val="0"/>
          <w:szCs w:val="24"/>
          <w:rtl/>
        </w:rPr>
        <w:t>ברק</w:t>
      </w:r>
      <w:r w:rsidRPr="00B467F6">
        <w:rPr>
          <w:rFonts w:hint="cs"/>
          <w:rtl/>
        </w:rPr>
        <w:t xml:space="preserve"> </w:t>
      </w:r>
      <w:r w:rsidRPr="00077831">
        <w:rPr>
          <w:rFonts w:hint="cs"/>
          <w:rtl/>
        </w:rPr>
        <w:t xml:space="preserve">כי הכנסת לא יצרה לעצמה את סמכותה המכוננת, </w:t>
      </w:r>
      <w:r>
        <w:rPr>
          <w:rFonts w:hint="cs"/>
          <w:rtl/>
        </w:rPr>
        <w:t>וכי</w:t>
      </w:r>
      <w:r w:rsidRPr="00077831">
        <w:rPr>
          <w:rFonts w:hint="cs"/>
          <w:rtl/>
        </w:rPr>
        <w:t xml:space="preserve"> מדובר בסמכות ש"</w:t>
      </w:r>
      <w:r w:rsidRPr="00077831">
        <w:rPr>
          <w:rtl/>
        </w:rPr>
        <w:t>באה לה מהריבון, כלומר מהעם</w:t>
      </w:r>
      <w:r w:rsidRPr="00077831">
        <w:rPr>
          <w:rFonts w:hint="cs"/>
          <w:rtl/>
        </w:rPr>
        <w:t>" (</w:t>
      </w:r>
      <w:r w:rsidRPr="00077831">
        <w:rPr>
          <w:rFonts w:ascii="Century" w:hAnsi="Century" w:cs="Miriam" w:hint="cs"/>
          <w:b/>
          <w:spacing w:val="0"/>
          <w:szCs w:val="24"/>
          <w:rtl/>
        </w:rPr>
        <w:t>שם</w:t>
      </w:r>
      <w:r>
        <w:rPr>
          <w:rFonts w:hint="cs"/>
          <w:rtl/>
        </w:rPr>
        <w:t xml:space="preserve">). </w:t>
      </w:r>
      <w:r>
        <w:rPr>
          <w:rFonts w:ascii="Century" w:hAnsi="Century" w:hint="cs"/>
          <w:rtl/>
        </w:rPr>
        <w:t xml:space="preserve">בהמשך לכך, סקר </w:t>
      </w:r>
      <w:r w:rsidRPr="00077831">
        <w:rPr>
          <w:rFonts w:hint="cs"/>
          <w:rtl/>
        </w:rPr>
        <w:t xml:space="preserve">הנשיא </w:t>
      </w:r>
      <w:r w:rsidRPr="00B467F6">
        <w:rPr>
          <w:rFonts w:ascii="Century" w:hAnsi="Century" w:cs="Miriam" w:hint="cs"/>
          <w:b/>
          <w:spacing w:val="0"/>
          <w:szCs w:val="24"/>
          <w:rtl/>
        </w:rPr>
        <w:t>ברק</w:t>
      </w:r>
      <w:r w:rsidRPr="00A83CC6">
        <w:rPr>
          <w:rFonts w:hint="cs"/>
          <w:rtl/>
        </w:rPr>
        <w:t xml:space="preserve"> </w:t>
      </w:r>
      <w:r>
        <w:rPr>
          <w:rFonts w:ascii="Century" w:hAnsi="Century" w:hint="cs"/>
          <w:rtl/>
        </w:rPr>
        <w:t xml:space="preserve">שורה של "נתונים חוקתיים", ובכללם </w:t>
      </w:r>
      <w:r>
        <w:rPr>
          <w:rFonts w:ascii="Century" w:hAnsi="Century"/>
          <w:rtl/>
        </w:rPr>
        <w:t>–</w:t>
      </w:r>
      <w:r>
        <w:rPr>
          <w:rFonts w:ascii="Century" w:hAnsi="Century" w:hint="cs"/>
          <w:rtl/>
        </w:rPr>
        <w:t xml:space="preserve"> </w:t>
      </w:r>
      <w:r>
        <w:rPr>
          <w:rFonts w:hint="cs"/>
          <w:rtl/>
        </w:rPr>
        <w:t>הכרזת</w:t>
      </w:r>
      <w:r>
        <w:rPr>
          <w:rtl/>
        </w:rPr>
        <w:t xml:space="preserve"> העצמאות</w:t>
      </w:r>
      <w:r>
        <w:rPr>
          <w:rFonts w:hint="cs"/>
          <w:rtl/>
        </w:rPr>
        <w:t>;</w:t>
      </w:r>
      <w:r>
        <w:rPr>
          <w:rtl/>
        </w:rPr>
        <w:t xml:space="preserve"> החלטת הררי</w:t>
      </w:r>
      <w:r>
        <w:rPr>
          <w:rFonts w:hint="cs"/>
          <w:rtl/>
        </w:rPr>
        <w:t>;</w:t>
      </w:r>
      <w:r>
        <w:rPr>
          <w:rtl/>
        </w:rPr>
        <w:t xml:space="preserve"> חקיקתם של שנים</w:t>
      </w:r>
      <w:r>
        <w:rPr>
          <w:rFonts w:hint="cs"/>
          <w:rtl/>
        </w:rPr>
        <w:t>-</w:t>
      </w:r>
      <w:r>
        <w:rPr>
          <w:rtl/>
        </w:rPr>
        <w:t>עשר חוקי יסוד</w:t>
      </w:r>
      <w:r>
        <w:rPr>
          <w:rFonts w:hint="cs"/>
          <w:rtl/>
        </w:rPr>
        <w:t xml:space="preserve">; </w:t>
      </w:r>
      <w:r>
        <w:rPr>
          <w:rtl/>
        </w:rPr>
        <w:t>פסיקת</w:t>
      </w:r>
      <w:r>
        <w:rPr>
          <w:rFonts w:hint="cs"/>
          <w:rtl/>
        </w:rPr>
        <w:t xml:space="preserve"> </w:t>
      </w:r>
      <w:r>
        <w:rPr>
          <w:rtl/>
        </w:rPr>
        <w:t>בתי המשפט</w:t>
      </w:r>
      <w:r>
        <w:rPr>
          <w:rFonts w:hint="cs"/>
          <w:rtl/>
        </w:rPr>
        <w:t>;</w:t>
      </w:r>
      <w:r>
        <w:rPr>
          <w:rtl/>
        </w:rPr>
        <w:t xml:space="preserve"> תגובת הכנסת </w:t>
      </w:r>
      <w:r>
        <w:rPr>
          <w:rFonts w:hint="cs"/>
          <w:rtl/>
        </w:rPr>
        <w:t>לפסיקת בתי המשפט;</w:t>
      </w:r>
      <w:r>
        <w:rPr>
          <w:rtl/>
        </w:rPr>
        <w:t xml:space="preserve"> ועמדת הקהילה המשפטית</w:t>
      </w:r>
      <w:r>
        <w:rPr>
          <w:rFonts w:ascii="Century" w:hAnsi="Century" w:hint="cs"/>
          <w:rtl/>
        </w:rPr>
        <w:t xml:space="preserve">, </w:t>
      </w:r>
      <w:r w:rsidRPr="007E44BE">
        <w:rPr>
          <w:rFonts w:ascii="Century" w:hAnsi="Century" w:hint="cs"/>
          <w:rtl/>
        </w:rPr>
        <w:t>המעידים</w:t>
      </w:r>
      <w:r>
        <w:rPr>
          <w:rFonts w:ascii="Century" w:hAnsi="Century" w:hint="cs"/>
          <w:rtl/>
        </w:rPr>
        <w:t>, לגישתו,</w:t>
      </w:r>
      <w:r w:rsidRPr="007E44BE">
        <w:rPr>
          <w:rFonts w:ascii="Century" w:hAnsi="Century" w:hint="cs"/>
          <w:rtl/>
        </w:rPr>
        <w:t xml:space="preserve"> על </w:t>
      </w:r>
      <w:r w:rsidRPr="007E44BE">
        <w:rPr>
          <w:rtl/>
        </w:rPr>
        <w:t>כוחה המכונן של הכנסת</w:t>
      </w:r>
      <w:r w:rsidRPr="007E44BE">
        <w:rPr>
          <w:rFonts w:ascii="Century" w:hAnsi="Century" w:hint="cs"/>
          <w:rtl/>
        </w:rPr>
        <w:t xml:space="preserve">. </w:t>
      </w:r>
      <w:r>
        <w:rPr>
          <w:rFonts w:hint="cs"/>
          <w:rtl/>
        </w:rPr>
        <w:t xml:space="preserve">בהתבסס על נתונים אלה, הציג הנשיא </w:t>
      </w:r>
      <w:r w:rsidRPr="0092162B">
        <w:rPr>
          <w:rFonts w:ascii="Century" w:hAnsi="Century" w:cs="Miriam" w:hint="cs"/>
          <w:b/>
          <w:spacing w:val="0"/>
          <w:szCs w:val="24"/>
          <w:rtl/>
        </w:rPr>
        <w:t>ברק</w:t>
      </w:r>
      <w:r>
        <w:rPr>
          <w:rFonts w:hint="cs"/>
          <w:rtl/>
        </w:rPr>
        <w:t xml:space="preserve"> שלושה מודלים מתחום תורת-המשפט אשר, לשיטתו, מובילים כולם אל המסקנה כי לכנסת אכן נתונה סמכות מכוננת. "משנה תוקף" למסקנתו זו מצא הנשיא </w:t>
      </w:r>
      <w:r w:rsidRPr="00D96A81">
        <w:rPr>
          <w:rFonts w:ascii="Century" w:hAnsi="Century" w:cs="Miriam" w:hint="cs"/>
          <w:b/>
          <w:spacing w:val="0"/>
          <w:szCs w:val="24"/>
          <w:rtl/>
        </w:rPr>
        <w:t xml:space="preserve">ברק </w:t>
      </w:r>
      <w:r>
        <w:rPr>
          <w:rFonts w:hint="cs"/>
          <w:rtl/>
        </w:rPr>
        <w:t xml:space="preserve">בהתכנסותם של שלושת המודלים הללו לתוצאה זהה: </w:t>
      </w:r>
    </w:p>
    <w:p w:rsidR="00C044AE" w:rsidRDefault="00C044AE" w:rsidP="00C044AE">
      <w:pPr>
        <w:pStyle w:val="Ruller41"/>
        <w:rPr>
          <w:rtl/>
        </w:rPr>
      </w:pPr>
    </w:p>
    <w:p w:rsidR="00C044AE" w:rsidRDefault="00C044AE" w:rsidP="00C044AE">
      <w:pPr>
        <w:pStyle w:val="Ruller41"/>
        <w:numPr>
          <w:ilvl w:val="0"/>
          <w:numId w:val="5"/>
        </w:numPr>
      </w:pPr>
      <w:r>
        <w:rPr>
          <w:rFonts w:hint="cs"/>
          <w:rtl/>
        </w:rPr>
        <w:t xml:space="preserve">מודל </w:t>
      </w:r>
      <w:r w:rsidRPr="000454D1">
        <w:rPr>
          <w:rFonts w:ascii="Century" w:hAnsi="Century" w:cs="Miriam" w:hint="cs"/>
          <w:b/>
          <w:spacing w:val="0"/>
          <w:szCs w:val="24"/>
          <w:rtl/>
        </w:rPr>
        <w:t>הרציפות החוקתית</w:t>
      </w:r>
      <w:r>
        <w:rPr>
          <w:rFonts w:hint="cs"/>
          <w:rtl/>
        </w:rPr>
        <w:t xml:space="preserve">, לפיו "הנורמה הבסיסית" של מדינת ישראל </w:t>
      </w:r>
      <w:r>
        <w:rPr>
          <w:rtl/>
        </w:rPr>
        <w:t>–</w:t>
      </w:r>
      <w:r>
        <w:rPr>
          <w:rFonts w:hint="cs"/>
          <w:rtl/>
        </w:rPr>
        <w:t xml:space="preserve"> "</w:t>
      </w:r>
      <w:r w:rsidRPr="00FE3E44">
        <w:rPr>
          <w:rtl/>
        </w:rPr>
        <w:t>הנורמה העליונה, שכשלעצמה אינה חלק מהמשפט הפוזיטיבי אך הנותנת ביסוס משפטי לכל שאר הנורמות המשפטיות במדינה" (</w:t>
      </w:r>
      <w:r w:rsidRPr="00D47D7D">
        <w:rPr>
          <w:rFonts w:ascii="Century" w:hAnsi="Century" w:cs="Miriam" w:hint="eastAsia"/>
          <w:b/>
          <w:spacing w:val="0"/>
          <w:szCs w:val="24"/>
          <w:rtl/>
        </w:rPr>
        <w:t>שם</w:t>
      </w:r>
      <w:r w:rsidRPr="00FE3E44">
        <w:rPr>
          <w:rtl/>
        </w:rPr>
        <w:t xml:space="preserve">, בעמ' 359) </w:t>
      </w:r>
      <w:r>
        <w:rPr>
          <w:rtl/>
        </w:rPr>
        <w:t>–</w:t>
      </w:r>
      <w:r>
        <w:rPr>
          <w:rFonts w:hint="cs"/>
          <w:rtl/>
        </w:rPr>
        <w:t xml:space="preserve"> היא כי מועצת המדינה הזמנית היא הרשות העליונה של מדינת ישראל. בהתאם למודל זה, </w:t>
      </w:r>
      <w:r w:rsidRPr="00581626">
        <w:rPr>
          <w:rFonts w:hint="cs"/>
          <w:rtl/>
        </w:rPr>
        <w:t>המבוסס על</w:t>
      </w:r>
      <w:r>
        <w:rPr>
          <w:rFonts w:ascii="FrankRuehl" w:hAnsi="FrankRuehl" w:hint="cs"/>
          <w:color w:val="000000"/>
          <w:sz w:val="27"/>
          <w:szCs w:val="27"/>
          <w:rtl/>
        </w:rPr>
        <w:t xml:space="preserve"> </w:t>
      </w:r>
      <w:r>
        <w:rPr>
          <w:rFonts w:hint="cs"/>
          <w:rtl/>
        </w:rPr>
        <w:t xml:space="preserve">גישתו של המלומד הנס קלזן, מועצת המדינה הזמנית הורתה בהכרזת העצמאות כי תיקבע חוקה על ידי האסיפה המכוננת, וסמכות זו עברה ב"שרשרת הרציפות החוקתית" שתוארה לעיל, לכל כנסת מאז ועד היום. </w:t>
      </w:r>
    </w:p>
    <w:p w:rsidR="00C044AE" w:rsidRDefault="00C044AE" w:rsidP="00C044AE">
      <w:pPr>
        <w:pStyle w:val="Ruller41"/>
        <w:numPr>
          <w:ilvl w:val="0"/>
          <w:numId w:val="5"/>
        </w:numPr>
        <w:rPr>
          <w:rFonts w:ascii="Century" w:hAnsi="Century"/>
        </w:rPr>
      </w:pPr>
      <w:r w:rsidRPr="000454D1">
        <w:rPr>
          <w:rFonts w:ascii="Century" w:hAnsi="Century" w:hint="cs"/>
          <w:rtl/>
        </w:rPr>
        <w:t>מודל "</w:t>
      </w:r>
      <w:r w:rsidRPr="000454D1">
        <w:rPr>
          <w:rFonts w:ascii="Century" w:hAnsi="Century" w:cs="Miriam" w:hint="cs"/>
          <w:b/>
          <w:spacing w:val="0"/>
          <w:szCs w:val="24"/>
          <w:rtl/>
        </w:rPr>
        <w:t>כלל ההכרה של השיטה</w:t>
      </w:r>
      <w:r w:rsidRPr="000454D1">
        <w:rPr>
          <w:rFonts w:ascii="Century" w:hAnsi="Century" w:hint="cs"/>
          <w:rtl/>
        </w:rPr>
        <w:t xml:space="preserve">", המבוסס על </w:t>
      </w:r>
      <w:r>
        <w:rPr>
          <w:rFonts w:ascii="Century" w:hAnsi="Century" w:hint="cs"/>
          <w:rtl/>
        </w:rPr>
        <w:t>גישתו</w:t>
      </w:r>
      <w:r w:rsidRPr="000454D1">
        <w:rPr>
          <w:rFonts w:ascii="Century" w:hAnsi="Century" w:hint="cs"/>
          <w:rtl/>
        </w:rPr>
        <w:t xml:space="preserve"> של </w:t>
      </w:r>
      <w:r>
        <w:rPr>
          <w:rFonts w:ascii="Century" w:hAnsi="Century" w:hint="cs"/>
          <w:rtl/>
        </w:rPr>
        <w:t xml:space="preserve">פרופ' ה.ל.א </w:t>
      </w:r>
      <w:r w:rsidRPr="000454D1">
        <w:rPr>
          <w:rFonts w:ascii="Century" w:hAnsi="Century" w:hint="cs"/>
          <w:rtl/>
        </w:rPr>
        <w:t>הארט, ולפיו הכלל הקובע כיצד נוצרות הנורמות הראשוניות במדינה ומהו מעמדן הנורמטיבי</w:t>
      </w:r>
      <w:r>
        <w:rPr>
          <w:rFonts w:ascii="Century" w:hAnsi="Century" w:hint="cs"/>
          <w:rtl/>
        </w:rPr>
        <w:t>, הינו</w:t>
      </w:r>
      <w:r w:rsidRPr="000454D1">
        <w:rPr>
          <w:rFonts w:ascii="Century" w:hAnsi="Century" w:hint="cs"/>
          <w:rtl/>
        </w:rPr>
        <w:t xml:space="preserve"> ש"</w:t>
      </w:r>
      <w:r w:rsidRPr="000454D1">
        <w:rPr>
          <w:rFonts w:ascii="Century" w:hAnsi="Century"/>
          <w:rtl/>
        </w:rPr>
        <w:t>לכנסת נתונה סמכות מכוננת ומחוקקת גם יחד</w:t>
      </w:r>
      <w:r w:rsidRPr="000454D1">
        <w:rPr>
          <w:rFonts w:ascii="Century" w:hAnsi="Century" w:hint="cs"/>
          <w:rtl/>
        </w:rPr>
        <w:t>"</w:t>
      </w:r>
      <w:r>
        <w:rPr>
          <w:rFonts w:ascii="Century" w:hAnsi="Century" w:hint="cs"/>
          <w:rtl/>
        </w:rPr>
        <w:t>, והדבר</w:t>
      </w:r>
      <w:r w:rsidRPr="000454D1">
        <w:rPr>
          <w:rFonts w:ascii="Century" w:hAnsi="Century" w:hint="cs"/>
          <w:rtl/>
        </w:rPr>
        <w:t xml:space="preserve"> נלמד מ"מערכת החיים הלאומיים" של המדינה </w:t>
      </w:r>
      <w:r>
        <w:rPr>
          <w:rFonts w:ascii="Century" w:hAnsi="Century" w:hint="cs"/>
          <w:rtl/>
        </w:rPr>
        <w:t>(</w:t>
      </w:r>
      <w:r w:rsidRPr="007D0FF4">
        <w:rPr>
          <w:rFonts w:ascii="Century" w:hAnsi="Century" w:cs="Miriam" w:hint="cs"/>
          <w:b/>
          <w:spacing w:val="0"/>
          <w:szCs w:val="24"/>
          <w:rtl/>
        </w:rPr>
        <w:t>שם</w:t>
      </w:r>
      <w:r>
        <w:rPr>
          <w:rFonts w:ascii="Century" w:hAnsi="Century" w:hint="cs"/>
          <w:rtl/>
        </w:rPr>
        <w:t>, בעמ' 357).</w:t>
      </w:r>
    </w:p>
    <w:p w:rsidR="00C044AE" w:rsidRPr="004F78EB" w:rsidRDefault="00C044AE" w:rsidP="00C044AE">
      <w:pPr>
        <w:pStyle w:val="Ruller41"/>
        <w:numPr>
          <w:ilvl w:val="0"/>
          <w:numId w:val="5"/>
        </w:numPr>
        <w:rPr>
          <w:rFonts w:ascii="Century" w:hAnsi="Century"/>
          <w:i/>
          <w:iCs/>
          <w:rtl/>
        </w:rPr>
      </w:pPr>
      <w:r w:rsidRPr="000454D1">
        <w:rPr>
          <w:rFonts w:ascii="Century" w:hAnsi="Century" w:hint="cs"/>
          <w:rtl/>
        </w:rPr>
        <w:t xml:space="preserve">מודל </w:t>
      </w:r>
      <w:r>
        <w:rPr>
          <w:rFonts w:ascii="Century" w:hAnsi="Century" w:hint="cs"/>
          <w:rtl/>
        </w:rPr>
        <w:t>"</w:t>
      </w:r>
      <w:r w:rsidRPr="000454D1">
        <w:rPr>
          <w:rFonts w:ascii="Century" w:hAnsi="Century" w:cs="Miriam"/>
          <w:b/>
          <w:spacing w:val="0"/>
          <w:szCs w:val="24"/>
          <w:rtl/>
        </w:rPr>
        <w:t>הפירוש הטוב ביותר למכלול ההיסטוריה החברתית והמשפטית</w:t>
      </w:r>
      <w:r>
        <w:rPr>
          <w:rFonts w:ascii="Century" w:hAnsi="Century" w:cs="Miriam" w:hint="cs"/>
          <w:b/>
          <w:spacing w:val="0"/>
          <w:szCs w:val="24"/>
          <w:rtl/>
        </w:rPr>
        <w:t>"</w:t>
      </w:r>
      <w:r w:rsidRPr="000454D1">
        <w:rPr>
          <w:rFonts w:ascii="Century" w:hAnsi="Century"/>
          <w:rtl/>
        </w:rPr>
        <w:t xml:space="preserve"> של שיטה נתונה בזמן נתון</w:t>
      </w:r>
      <w:r>
        <w:rPr>
          <w:rFonts w:ascii="Century" w:hAnsi="Century" w:hint="cs"/>
          <w:rtl/>
        </w:rPr>
        <w:t>, המבוסס על גישתו של פרופ' רונלד דבורקין, ולפיו "</w:t>
      </w:r>
      <w:r w:rsidRPr="000454D1">
        <w:rPr>
          <w:rFonts w:ascii="Century" w:hAnsi="Century" w:hint="eastAsia"/>
          <w:rtl/>
        </w:rPr>
        <w:t>הפירוש</w:t>
      </w:r>
      <w:r w:rsidRPr="000454D1">
        <w:rPr>
          <w:rFonts w:ascii="Century" w:hAnsi="Century"/>
          <w:rtl/>
        </w:rPr>
        <w:t xml:space="preserve"> </w:t>
      </w:r>
      <w:r w:rsidRPr="000454D1">
        <w:rPr>
          <w:rFonts w:ascii="Century" w:hAnsi="Century" w:hint="eastAsia"/>
          <w:rtl/>
        </w:rPr>
        <w:t>המתאים</w:t>
      </w:r>
      <w:r w:rsidRPr="000454D1">
        <w:rPr>
          <w:rFonts w:ascii="Century" w:hAnsi="Century"/>
          <w:rtl/>
        </w:rPr>
        <w:t xml:space="preserve"> (</w:t>
      </w:r>
      <w:r w:rsidRPr="000454D1">
        <w:rPr>
          <w:rFonts w:ascii="Century" w:hAnsi="Century"/>
        </w:rPr>
        <w:t>fit</w:t>
      </w:r>
      <w:r w:rsidRPr="000454D1">
        <w:rPr>
          <w:rFonts w:ascii="Century" w:hAnsi="Century"/>
          <w:rtl/>
        </w:rPr>
        <w:t xml:space="preserve">) </w:t>
      </w:r>
      <w:r w:rsidRPr="000454D1">
        <w:rPr>
          <w:rFonts w:ascii="Century" w:hAnsi="Century" w:hint="eastAsia"/>
          <w:rtl/>
        </w:rPr>
        <w:t>ביותר</w:t>
      </w:r>
      <w:r w:rsidRPr="000454D1">
        <w:rPr>
          <w:rFonts w:ascii="Century" w:hAnsi="Century"/>
          <w:rtl/>
        </w:rPr>
        <w:t xml:space="preserve"> </w:t>
      </w:r>
      <w:r w:rsidRPr="000454D1">
        <w:rPr>
          <w:rFonts w:ascii="Century" w:hAnsi="Century" w:hint="eastAsia"/>
          <w:rtl/>
        </w:rPr>
        <w:t>של</w:t>
      </w:r>
      <w:r w:rsidRPr="000454D1">
        <w:rPr>
          <w:rFonts w:ascii="Century" w:hAnsi="Century"/>
          <w:rtl/>
        </w:rPr>
        <w:t xml:space="preserve"> </w:t>
      </w:r>
      <w:r w:rsidRPr="000454D1">
        <w:rPr>
          <w:rFonts w:ascii="Century" w:hAnsi="Century" w:hint="eastAsia"/>
          <w:rtl/>
        </w:rPr>
        <w:t>מכלול</w:t>
      </w:r>
      <w:r w:rsidRPr="000454D1">
        <w:rPr>
          <w:rFonts w:ascii="Century" w:hAnsi="Century"/>
          <w:rtl/>
        </w:rPr>
        <w:t xml:space="preserve"> </w:t>
      </w:r>
      <w:r w:rsidRPr="000454D1">
        <w:rPr>
          <w:rFonts w:ascii="Century" w:hAnsi="Century" w:hint="eastAsia"/>
          <w:rtl/>
        </w:rPr>
        <w:t>ההיסטוריה</w:t>
      </w:r>
      <w:r w:rsidRPr="000454D1">
        <w:rPr>
          <w:rFonts w:ascii="Century" w:hAnsi="Century"/>
          <w:rtl/>
        </w:rPr>
        <w:t xml:space="preserve"> </w:t>
      </w:r>
      <w:r w:rsidRPr="000454D1">
        <w:rPr>
          <w:rFonts w:ascii="Century" w:hAnsi="Century" w:hint="eastAsia"/>
          <w:rtl/>
        </w:rPr>
        <w:t>החוקתית</w:t>
      </w:r>
      <w:r w:rsidRPr="000454D1">
        <w:rPr>
          <w:rFonts w:ascii="Century" w:hAnsi="Century"/>
          <w:rtl/>
        </w:rPr>
        <w:t xml:space="preserve"> </w:t>
      </w:r>
      <w:r w:rsidRPr="000454D1">
        <w:rPr>
          <w:rFonts w:ascii="Century" w:hAnsi="Century" w:hint="eastAsia"/>
          <w:rtl/>
        </w:rPr>
        <w:t>של</w:t>
      </w:r>
      <w:r w:rsidRPr="000454D1">
        <w:rPr>
          <w:rFonts w:ascii="Century" w:hAnsi="Century"/>
          <w:rtl/>
        </w:rPr>
        <w:t xml:space="preserve"> </w:t>
      </w:r>
      <w:r w:rsidRPr="000454D1">
        <w:rPr>
          <w:rFonts w:ascii="Century" w:hAnsi="Century" w:hint="eastAsia"/>
          <w:rtl/>
        </w:rPr>
        <w:t>מדינת</w:t>
      </w:r>
      <w:r w:rsidRPr="000454D1">
        <w:rPr>
          <w:rFonts w:ascii="Century" w:hAnsi="Century"/>
          <w:rtl/>
        </w:rPr>
        <w:t xml:space="preserve"> </w:t>
      </w:r>
      <w:r w:rsidRPr="000454D1">
        <w:rPr>
          <w:rFonts w:ascii="Century" w:hAnsi="Century" w:hint="eastAsia"/>
          <w:rtl/>
        </w:rPr>
        <w:t>ישראל</w:t>
      </w:r>
      <w:r w:rsidRPr="000454D1">
        <w:rPr>
          <w:rFonts w:ascii="Century" w:hAnsi="Century"/>
          <w:rtl/>
        </w:rPr>
        <w:t xml:space="preserve"> </w:t>
      </w:r>
      <w:r w:rsidRPr="000454D1">
        <w:rPr>
          <w:rFonts w:ascii="Century" w:hAnsi="Century" w:hint="eastAsia"/>
          <w:rtl/>
        </w:rPr>
        <w:t>מאז</w:t>
      </w:r>
      <w:r w:rsidRPr="000454D1">
        <w:rPr>
          <w:rFonts w:ascii="Century" w:hAnsi="Century"/>
          <w:rtl/>
        </w:rPr>
        <w:t xml:space="preserve"> </w:t>
      </w:r>
      <w:r w:rsidRPr="000454D1">
        <w:rPr>
          <w:rFonts w:ascii="Century" w:hAnsi="Century" w:hint="eastAsia"/>
          <w:rtl/>
        </w:rPr>
        <w:t>הקמתה</w:t>
      </w:r>
      <w:r w:rsidRPr="000454D1">
        <w:rPr>
          <w:rFonts w:ascii="Century" w:hAnsi="Century"/>
          <w:rtl/>
        </w:rPr>
        <w:t xml:space="preserve"> </w:t>
      </w:r>
      <w:r w:rsidRPr="000454D1">
        <w:rPr>
          <w:rFonts w:ascii="Century" w:hAnsi="Century" w:hint="eastAsia"/>
          <w:rtl/>
        </w:rPr>
        <w:t>הינו</w:t>
      </w:r>
      <w:r w:rsidRPr="000454D1">
        <w:rPr>
          <w:rFonts w:ascii="Century" w:hAnsi="Century"/>
          <w:rtl/>
        </w:rPr>
        <w:t xml:space="preserve"> </w:t>
      </w:r>
      <w:r w:rsidRPr="000454D1">
        <w:rPr>
          <w:rFonts w:ascii="Century" w:hAnsi="Century" w:hint="eastAsia"/>
          <w:rtl/>
        </w:rPr>
        <w:t>כי</w:t>
      </w:r>
      <w:r w:rsidRPr="000454D1">
        <w:rPr>
          <w:rFonts w:ascii="Century" w:hAnsi="Century"/>
          <w:rtl/>
        </w:rPr>
        <w:t xml:space="preserve"> </w:t>
      </w:r>
      <w:r w:rsidRPr="000454D1">
        <w:rPr>
          <w:rFonts w:ascii="Century" w:hAnsi="Century" w:hint="eastAsia"/>
          <w:rtl/>
        </w:rPr>
        <w:t>לכנסת</w:t>
      </w:r>
      <w:r w:rsidRPr="000454D1">
        <w:rPr>
          <w:rFonts w:ascii="Century" w:hAnsi="Century"/>
          <w:rtl/>
        </w:rPr>
        <w:t xml:space="preserve"> </w:t>
      </w:r>
      <w:r w:rsidRPr="000454D1">
        <w:rPr>
          <w:rFonts w:ascii="Century" w:hAnsi="Century" w:hint="eastAsia"/>
          <w:rtl/>
        </w:rPr>
        <w:t>הסמכות</w:t>
      </w:r>
      <w:r w:rsidRPr="000454D1">
        <w:rPr>
          <w:rFonts w:ascii="Century" w:hAnsi="Century"/>
          <w:rtl/>
        </w:rPr>
        <w:t xml:space="preserve"> </w:t>
      </w:r>
      <w:r w:rsidRPr="000454D1">
        <w:rPr>
          <w:rFonts w:ascii="Century" w:hAnsi="Century" w:hint="eastAsia"/>
          <w:rtl/>
        </w:rPr>
        <w:t>לכונן</w:t>
      </w:r>
      <w:r w:rsidRPr="000454D1">
        <w:rPr>
          <w:rFonts w:ascii="Century" w:hAnsi="Century"/>
          <w:rtl/>
        </w:rPr>
        <w:t xml:space="preserve"> </w:t>
      </w:r>
      <w:r w:rsidRPr="000454D1">
        <w:rPr>
          <w:rFonts w:ascii="Century" w:hAnsi="Century" w:hint="eastAsia"/>
          <w:rtl/>
        </w:rPr>
        <w:t>חוקה</w:t>
      </w:r>
      <w:r w:rsidRPr="000454D1">
        <w:rPr>
          <w:rFonts w:ascii="Century" w:hAnsi="Century"/>
          <w:rtl/>
        </w:rPr>
        <w:t xml:space="preserve"> </w:t>
      </w:r>
      <w:r w:rsidRPr="000454D1">
        <w:rPr>
          <w:rFonts w:ascii="Century" w:hAnsi="Century" w:hint="eastAsia"/>
          <w:rtl/>
        </w:rPr>
        <w:t>לישראל</w:t>
      </w:r>
      <w:r>
        <w:rPr>
          <w:rFonts w:ascii="Century" w:hAnsi="Century" w:hint="cs"/>
          <w:rtl/>
        </w:rPr>
        <w:t>" (</w:t>
      </w:r>
      <w:r w:rsidRPr="0092162B">
        <w:rPr>
          <w:rFonts w:ascii="Century" w:hAnsi="Century" w:cs="Miriam" w:hint="cs"/>
          <w:b/>
          <w:spacing w:val="0"/>
          <w:szCs w:val="24"/>
          <w:rtl/>
        </w:rPr>
        <w:t>שם</w:t>
      </w:r>
      <w:r>
        <w:rPr>
          <w:rFonts w:ascii="Century" w:hAnsi="Century" w:hint="cs"/>
          <w:rtl/>
        </w:rPr>
        <w:t xml:space="preserve">, בעמ' 358). </w:t>
      </w:r>
    </w:p>
    <w:p w:rsidR="00C044AE" w:rsidRDefault="00C044AE" w:rsidP="00C044AE">
      <w:pPr>
        <w:pStyle w:val="Ruller41"/>
        <w:rPr>
          <w:rFonts w:ascii="Century" w:hAnsi="Century"/>
          <w:rtl/>
        </w:rPr>
      </w:pPr>
    </w:p>
    <w:p w:rsidR="00C044AE" w:rsidRDefault="00C044AE" w:rsidP="00C044AE">
      <w:pPr>
        <w:pStyle w:val="Ruller4"/>
      </w:pPr>
      <w:r>
        <w:rPr>
          <w:rFonts w:hint="cs"/>
          <w:rtl/>
        </w:rPr>
        <w:lastRenderedPageBreak/>
        <w:t xml:space="preserve">הנה כי כן, מאז פסק הדין בעניין </w:t>
      </w:r>
      <w:r w:rsidRPr="00B17EFF">
        <w:rPr>
          <w:rFonts w:ascii="Century" w:hAnsi="Century" w:cs="Miriam" w:hint="cs"/>
          <w:b/>
          <w:spacing w:val="0"/>
          <w:sz w:val="22"/>
          <w:szCs w:val="24"/>
          <w:rtl/>
        </w:rPr>
        <w:t>בנק המזרחי</w:t>
      </w:r>
      <w:r>
        <w:rPr>
          <w:rFonts w:hint="cs"/>
          <w:rtl/>
        </w:rPr>
        <w:t xml:space="preserve">, ואף שהליך כינון החוקה לא הושלם, חוקי היסוד </w:t>
      </w:r>
      <w:r>
        <w:rPr>
          <w:rtl/>
        </w:rPr>
        <w:t xml:space="preserve">נתפסים "בתרבות המשפטית ובמסורת הפוליטית </w:t>
      </w:r>
      <w:r>
        <w:rPr>
          <w:rFonts w:hint="cs"/>
          <w:rtl/>
        </w:rPr>
        <w:t xml:space="preserve">והציבורית </w:t>
      </w:r>
      <w:r>
        <w:rPr>
          <w:rtl/>
        </w:rPr>
        <w:t>שלנו כחלק מחוקת המדינה" (</w:t>
      </w:r>
      <w:r>
        <w:rPr>
          <w:rFonts w:hint="cs"/>
          <w:rtl/>
        </w:rPr>
        <w:t>עניין</w:t>
      </w:r>
      <w:r w:rsidRPr="00AB6CAD">
        <w:rPr>
          <w:rFonts w:ascii="Century" w:hAnsi="Century" w:cs="Miriam"/>
          <w:b/>
          <w:spacing w:val="0"/>
          <w:sz w:val="22"/>
          <w:szCs w:val="24"/>
          <w:rtl/>
        </w:rPr>
        <w:t xml:space="preserve"> </w:t>
      </w:r>
      <w:r w:rsidRPr="00AB6CAD">
        <w:rPr>
          <w:rFonts w:ascii="Century" w:hAnsi="Century" w:cs="Miriam" w:hint="eastAsia"/>
          <w:b/>
          <w:spacing w:val="0"/>
          <w:sz w:val="22"/>
          <w:szCs w:val="24"/>
          <w:rtl/>
        </w:rPr>
        <w:t>בר</w:t>
      </w:r>
      <w:r w:rsidRPr="00AB6CAD">
        <w:rPr>
          <w:rFonts w:ascii="Century" w:hAnsi="Century" w:cs="Miriam"/>
          <w:b/>
          <w:spacing w:val="0"/>
          <w:sz w:val="22"/>
          <w:szCs w:val="24"/>
          <w:rtl/>
        </w:rPr>
        <w:t>-</w:t>
      </w:r>
      <w:r w:rsidRPr="00AB6CAD">
        <w:rPr>
          <w:rFonts w:ascii="Century" w:hAnsi="Century" w:cs="Miriam" w:hint="eastAsia"/>
          <w:b/>
          <w:spacing w:val="0"/>
          <w:sz w:val="22"/>
          <w:szCs w:val="24"/>
          <w:rtl/>
        </w:rPr>
        <w:t>און</w:t>
      </w:r>
      <w:r w:rsidRPr="00AB6CAD">
        <w:rPr>
          <w:rFonts w:ascii="Century" w:hAnsi="Century" w:hint="cs"/>
          <w:sz w:val="22"/>
          <w:rtl/>
        </w:rPr>
        <w:t>, בעמ' 299)</w:t>
      </w:r>
      <w:r>
        <w:rPr>
          <w:rFonts w:ascii="Century" w:hAnsi="Century" w:hint="cs"/>
          <w:sz w:val="22"/>
          <w:rtl/>
        </w:rPr>
        <w:t xml:space="preserve">. בהתאם לכך, </w:t>
      </w:r>
      <w:r w:rsidRPr="0092162B">
        <w:rPr>
          <w:rFonts w:hint="cs"/>
          <w:rtl/>
        </w:rPr>
        <w:t>התבססה התפיסה לפיה "</w:t>
      </w:r>
      <w:r w:rsidRPr="0092162B">
        <w:rPr>
          <w:rtl/>
        </w:rPr>
        <w:t>תוצרי החקיקה של הכנסת בכובעה כרשות מחוקקת כפופים מבחינת המדרג הנורמטיבי להוראות חוקי היסוד, אשר זוכים למעמד חוקתי</w:t>
      </w:r>
      <w:r w:rsidRPr="0092162B">
        <w:rPr>
          <w:rFonts w:hint="cs"/>
          <w:rtl/>
        </w:rPr>
        <w:t xml:space="preserve">" (עניין </w:t>
      </w:r>
      <w:r w:rsidRPr="00B17EFF">
        <w:rPr>
          <w:rFonts w:ascii="Century" w:hAnsi="Century" w:cs="Miriam" w:hint="cs"/>
          <w:b/>
          <w:spacing w:val="0"/>
          <w:sz w:val="22"/>
          <w:szCs w:val="24"/>
          <w:rtl/>
        </w:rPr>
        <w:t>חסון</w:t>
      </w:r>
      <w:r w:rsidRPr="0092162B">
        <w:rPr>
          <w:rFonts w:hint="cs"/>
          <w:rtl/>
        </w:rPr>
        <w:t>, בפסקה 17 לחוות דעתי).</w:t>
      </w:r>
      <w:r>
        <w:rPr>
          <w:rFonts w:hint="cs"/>
          <w:rtl/>
        </w:rPr>
        <w:t xml:space="preserve"> </w:t>
      </w:r>
    </w:p>
    <w:p w:rsidR="00C044AE" w:rsidRPr="00AB6CAD" w:rsidRDefault="00C044AE" w:rsidP="00C044AE">
      <w:pPr>
        <w:pStyle w:val="Ruller4"/>
        <w:numPr>
          <w:ilvl w:val="0"/>
          <w:numId w:val="0"/>
        </w:numPr>
        <w:rPr>
          <w:rtl/>
        </w:rPr>
      </w:pPr>
    </w:p>
    <w:p w:rsidR="00C044AE" w:rsidRDefault="00C044AE" w:rsidP="00C044AE">
      <w:pPr>
        <w:pStyle w:val="Ruller4"/>
      </w:pPr>
      <w:r>
        <w:rPr>
          <w:rFonts w:hint="cs"/>
          <w:rtl/>
        </w:rPr>
        <w:t xml:space="preserve">ביחס לשאלה כיצד ניתן לזהות נורמות חוקתיות, </w:t>
      </w:r>
      <w:r>
        <w:rPr>
          <w:rtl/>
        </w:rPr>
        <w:t xml:space="preserve">נקבע </w:t>
      </w:r>
      <w:r>
        <w:rPr>
          <w:rFonts w:hint="cs"/>
          <w:rtl/>
        </w:rPr>
        <w:t xml:space="preserve">בעניין </w:t>
      </w:r>
      <w:r w:rsidRPr="003624C1">
        <w:rPr>
          <w:rFonts w:ascii="Century" w:hAnsi="Century" w:cs="Miriam" w:hint="cs"/>
          <w:b/>
          <w:spacing w:val="0"/>
          <w:sz w:val="22"/>
          <w:szCs w:val="24"/>
          <w:rtl/>
        </w:rPr>
        <w:t>בנק המזרחי</w:t>
      </w:r>
      <w:r>
        <w:rPr>
          <w:rFonts w:hint="cs"/>
          <w:rtl/>
        </w:rPr>
        <w:t xml:space="preserve"> </w:t>
      </w:r>
      <w:r>
        <w:rPr>
          <w:rtl/>
        </w:rPr>
        <w:t>מבחן צורני</w:t>
      </w:r>
      <w:r>
        <w:rPr>
          <w:rFonts w:hint="cs"/>
          <w:rtl/>
        </w:rPr>
        <w:t>, לפיו</w:t>
      </w:r>
      <w:r>
        <w:rPr>
          <w:rtl/>
        </w:rPr>
        <w:t xml:space="preserve"> "הכנסת משתמשת בסמכותה המכוננת [...] כאשר היא נותנת ביטוי חיצוני לכך בשם הנורמה ורואה בו 'חוק יסוד' (ללא ציון שנת החקיקה)" (</w:t>
      </w:r>
      <w:r w:rsidRPr="003624C1">
        <w:rPr>
          <w:rFonts w:ascii="Century" w:hAnsi="Century" w:cs="Miriam" w:hint="cs"/>
          <w:b/>
          <w:spacing w:val="0"/>
          <w:sz w:val="22"/>
          <w:szCs w:val="24"/>
          <w:rtl/>
        </w:rPr>
        <w:t>שם</w:t>
      </w:r>
      <w:r>
        <w:rPr>
          <w:rFonts w:hint="cs"/>
          <w:rtl/>
        </w:rPr>
        <w:t xml:space="preserve">, בעמ' 403). לצד קביעה זאת, הותיר בית המשפט בעניין </w:t>
      </w:r>
      <w:r w:rsidRPr="00FE3E44">
        <w:rPr>
          <w:rFonts w:ascii="Century" w:hAnsi="Century" w:cs="Miriam" w:hint="eastAsia"/>
          <w:b/>
          <w:spacing w:val="0"/>
          <w:sz w:val="22"/>
          <w:szCs w:val="24"/>
          <w:rtl/>
        </w:rPr>
        <w:t>בנק</w:t>
      </w:r>
      <w:r w:rsidRPr="00FE3E44">
        <w:rPr>
          <w:rFonts w:ascii="Century" w:hAnsi="Century" w:cs="Miriam"/>
          <w:b/>
          <w:spacing w:val="0"/>
          <w:sz w:val="22"/>
          <w:szCs w:val="24"/>
          <w:rtl/>
        </w:rPr>
        <w:t xml:space="preserve"> </w:t>
      </w:r>
      <w:r w:rsidRPr="00FE3E44">
        <w:rPr>
          <w:rFonts w:ascii="Century" w:hAnsi="Century" w:cs="Miriam" w:hint="eastAsia"/>
          <w:b/>
          <w:spacing w:val="0"/>
          <w:sz w:val="22"/>
          <w:szCs w:val="24"/>
          <w:rtl/>
        </w:rPr>
        <w:t>המזרחי</w:t>
      </w:r>
      <w:r w:rsidRPr="00816131">
        <w:rPr>
          <w:rFonts w:hint="cs"/>
          <w:rtl/>
        </w:rPr>
        <w:t xml:space="preserve"> </w:t>
      </w:r>
      <w:r>
        <w:rPr>
          <w:rFonts w:hint="cs"/>
          <w:rtl/>
        </w:rPr>
        <w:t>שתי שאלות בצריך עיון.</w:t>
      </w:r>
      <w:r w:rsidRPr="00AE6EB8">
        <w:rPr>
          <w:rFonts w:hint="cs"/>
          <w:rtl/>
        </w:rPr>
        <w:t xml:space="preserve"> ראשית, נשאלה השאלה "</w:t>
      </w:r>
      <w:r w:rsidRPr="00AE6EB8">
        <w:rPr>
          <w:rtl/>
        </w:rPr>
        <w:t xml:space="preserve">מה דין חקיקה עתידה של הכנסת, אשר תעשה </w:t>
      </w:r>
      <w:r w:rsidRPr="00462B52">
        <w:rPr>
          <w:rFonts w:cs="Miriam" w:hint="cs"/>
          <w:b/>
          <w:spacing w:val="0"/>
          <w:szCs w:val="24"/>
          <w:rtl/>
        </w:rPr>
        <w:t>'</w:t>
      </w:r>
      <w:r w:rsidRPr="00462B52">
        <w:rPr>
          <w:rFonts w:cs="Miriam"/>
          <w:b/>
          <w:spacing w:val="0"/>
          <w:szCs w:val="24"/>
          <w:rtl/>
        </w:rPr>
        <w:t>שימוש לרעה</w:t>
      </w:r>
      <w:r w:rsidRPr="00462B52">
        <w:rPr>
          <w:rFonts w:cs="Miriam" w:hint="cs"/>
          <w:b/>
          <w:spacing w:val="0"/>
          <w:szCs w:val="24"/>
          <w:rtl/>
        </w:rPr>
        <w:t>'</w:t>
      </w:r>
      <w:r w:rsidRPr="00462B52">
        <w:rPr>
          <w:rFonts w:cs="Miriam"/>
          <w:b/>
          <w:spacing w:val="0"/>
          <w:szCs w:val="24"/>
          <w:rtl/>
        </w:rPr>
        <w:t xml:space="preserve"> בדיבור </w:t>
      </w:r>
      <w:r w:rsidRPr="00462B52">
        <w:rPr>
          <w:rFonts w:cs="Miriam" w:hint="cs"/>
          <w:b/>
          <w:spacing w:val="0"/>
          <w:szCs w:val="24"/>
          <w:rtl/>
        </w:rPr>
        <w:t>'</w:t>
      </w:r>
      <w:r w:rsidRPr="00462B52">
        <w:rPr>
          <w:rFonts w:cs="Miriam"/>
          <w:b/>
          <w:spacing w:val="0"/>
          <w:szCs w:val="24"/>
          <w:rtl/>
        </w:rPr>
        <w:t>חוק יסוד</w:t>
      </w:r>
      <w:r w:rsidRPr="00462B52">
        <w:rPr>
          <w:rFonts w:cs="Miriam" w:hint="cs"/>
          <w:b/>
          <w:spacing w:val="0"/>
          <w:szCs w:val="24"/>
          <w:rtl/>
        </w:rPr>
        <w:t xml:space="preserve">' </w:t>
      </w:r>
      <w:r w:rsidRPr="00AE6EB8">
        <w:rPr>
          <w:rtl/>
        </w:rPr>
        <w:t>תוך שתצמיד אותו לחקיקה רגילה שבינה לבין חוקה אין ולא כלום?</w:t>
      </w:r>
      <w:r w:rsidRPr="00AE6EB8">
        <w:rPr>
          <w:rFonts w:hint="cs"/>
          <w:rtl/>
        </w:rPr>
        <w:t>" (</w:t>
      </w:r>
      <w:r w:rsidRPr="00462B52">
        <w:rPr>
          <w:rFonts w:cs="Miriam" w:hint="cs"/>
          <w:b/>
          <w:spacing w:val="0"/>
          <w:szCs w:val="24"/>
          <w:rtl/>
        </w:rPr>
        <w:t>שם</w:t>
      </w:r>
      <w:r>
        <w:rPr>
          <w:rFonts w:hint="cs"/>
          <w:rtl/>
        </w:rPr>
        <w:t>, בעמ' 406; ההדגשה הוספה</w:t>
      </w:r>
      <w:r w:rsidRPr="00AE6EB8">
        <w:rPr>
          <w:rFonts w:hint="cs"/>
          <w:rtl/>
        </w:rPr>
        <w:t>)</w:t>
      </w:r>
      <w:r>
        <w:rPr>
          <w:rFonts w:hint="cs"/>
          <w:rtl/>
        </w:rPr>
        <w:t xml:space="preserve">. הנשיא </w:t>
      </w:r>
      <w:r w:rsidRPr="00462B52">
        <w:rPr>
          <w:rFonts w:cs="Miriam" w:hint="cs"/>
          <w:b/>
          <w:spacing w:val="0"/>
          <w:szCs w:val="24"/>
          <w:rtl/>
        </w:rPr>
        <w:t>ברק</w:t>
      </w:r>
      <w:r w:rsidRPr="00462B52">
        <w:rPr>
          <w:rFonts w:hint="cs"/>
          <w:rtl/>
        </w:rPr>
        <w:t xml:space="preserve"> </w:t>
      </w:r>
      <w:r>
        <w:rPr>
          <w:rFonts w:hint="cs"/>
          <w:rtl/>
        </w:rPr>
        <w:t>ציין בהקשר זה כי "</w:t>
      </w:r>
      <w:r w:rsidRPr="00AE6EB8">
        <w:rPr>
          <w:rtl/>
        </w:rPr>
        <w:t xml:space="preserve">שאלה זו אינה פשוטה כלל </w:t>
      </w:r>
      <w:r>
        <w:rPr>
          <w:rtl/>
        </w:rPr>
        <w:t>ועיקר, והתשובה לה יורדת לשורשי היחסים בין הסמכות המכוננת (של הכנסת) לבין הסמכות השופטת (של בתי המשפט)</w:t>
      </w:r>
      <w:r>
        <w:rPr>
          <w:rFonts w:hint="cs"/>
          <w:rtl/>
        </w:rPr>
        <w:t>" (</w:t>
      </w:r>
      <w:r w:rsidRPr="00462B52">
        <w:rPr>
          <w:rFonts w:cs="Miriam" w:hint="cs"/>
          <w:b/>
          <w:spacing w:val="0"/>
          <w:szCs w:val="24"/>
          <w:rtl/>
        </w:rPr>
        <w:t>שם</w:t>
      </w:r>
      <w:r>
        <w:rPr>
          <w:rFonts w:hint="cs"/>
          <w:rtl/>
        </w:rPr>
        <w:t>)</w:t>
      </w:r>
      <w:r>
        <w:rPr>
          <w:rtl/>
        </w:rPr>
        <w:t xml:space="preserve">. </w:t>
      </w:r>
      <w:r>
        <w:rPr>
          <w:rFonts w:hint="cs"/>
          <w:rtl/>
        </w:rPr>
        <w:t>שנית, צוין כי עשוי להתעורר צורך "</w:t>
      </w:r>
      <w:r w:rsidRPr="00462B52">
        <w:rPr>
          <w:rFonts w:hint="eastAsia"/>
          <w:rtl/>
        </w:rPr>
        <w:t>לקבוע</w:t>
      </w:r>
      <w:r w:rsidRPr="00462B52">
        <w:rPr>
          <w:rtl/>
        </w:rPr>
        <w:t xml:space="preserve"> </w:t>
      </w:r>
      <w:r w:rsidRPr="00462B52">
        <w:rPr>
          <w:rFonts w:hint="eastAsia"/>
          <w:rtl/>
        </w:rPr>
        <w:t>אם</w:t>
      </w:r>
      <w:r w:rsidRPr="00462B52">
        <w:rPr>
          <w:rtl/>
        </w:rPr>
        <w:t xml:space="preserve"> </w:t>
      </w:r>
      <w:r w:rsidRPr="00462B52">
        <w:rPr>
          <w:rFonts w:hint="eastAsia"/>
          <w:rtl/>
        </w:rPr>
        <w:t>הוראות</w:t>
      </w:r>
      <w:r w:rsidRPr="00462B52">
        <w:rPr>
          <w:rtl/>
        </w:rPr>
        <w:t xml:space="preserve"> </w:t>
      </w:r>
      <w:r w:rsidRPr="00462B52">
        <w:rPr>
          <w:rFonts w:hint="eastAsia"/>
          <w:rtl/>
        </w:rPr>
        <w:t>מסוימות</w:t>
      </w:r>
      <w:r w:rsidRPr="00462B52">
        <w:rPr>
          <w:rtl/>
        </w:rPr>
        <w:t xml:space="preserve"> </w:t>
      </w:r>
      <w:r w:rsidRPr="00462B52">
        <w:rPr>
          <w:rFonts w:hint="eastAsia"/>
          <w:rtl/>
        </w:rPr>
        <w:t>המופיעות</w:t>
      </w:r>
      <w:r w:rsidRPr="00462B52">
        <w:rPr>
          <w:rtl/>
        </w:rPr>
        <w:t xml:space="preserve"> </w:t>
      </w:r>
      <w:r w:rsidRPr="00462B52">
        <w:rPr>
          <w:rFonts w:hint="eastAsia"/>
          <w:rtl/>
        </w:rPr>
        <w:t>בחוק</w:t>
      </w:r>
      <w:r w:rsidRPr="00462B52">
        <w:rPr>
          <w:rtl/>
        </w:rPr>
        <w:t xml:space="preserve"> </w:t>
      </w:r>
      <w:r w:rsidRPr="00462B52">
        <w:rPr>
          <w:rFonts w:hint="eastAsia"/>
          <w:rtl/>
        </w:rPr>
        <w:t>יסוד</w:t>
      </w:r>
      <w:r w:rsidRPr="00462B52">
        <w:rPr>
          <w:rtl/>
        </w:rPr>
        <w:t xml:space="preserve"> </w:t>
      </w:r>
      <w:r w:rsidRPr="00462B52">
        <w:rPr>
          <w:rFonts w:hint="eastAsia"/>
          <w:rtl/>
        </w:rPr>
        <w:t>אין</w:t>
      </w:r>
      <w:r w:rsidRPr="00462B52">
        <w:rPr>
          <w:rtl/>
        </w:rPr>
        <w:t xml:space="preserve"> </w:t>
      </w:r>
      <w:r w:rsidRPr="00462B52">
        <w:rPr>
          <w:rFonts w:hint="eastAsia"/>
          <w:rtl/>
        </w:rPr>
        <w:t>בהן</w:t>
      </w:r>
      <w:r w:rsidRPr="00462B52">
        <w:rPr>
          <w:rtl/>
        </w:rPr>
        <w:t xml:space="preserve"> </w:t>
      </w:r>
      <w:r w:rsidRPr="00462B52">
        <w:rPr>
          <w:rFonts w:hint="eastAsia"/>
          <w:rtl/>
        </w:rPr>
        <w:t>משום</w:t>
      </w:r>
      <w:r w:rsidRPr="00462B52">
        <w:rPr>
          <w:rtl/>
        </w:rPr>
        <w:t xml:space="preserve"> </w:t>
      </w:r>
      <w:r w:rsidRPr="00462B52">
        <w:rPr>
          <w:rFonts w:cs="Miriam" w:hint="eastAsia"/>
          <w:b/>
          <w:spacing w:val="0"/>
          <w:szCs w:val="24"/>
          <w:rtl/>
        </w:rPr>
        <w:t>חריגה</w:t>
      </w:r>
      <w:r w:rsidRPr="00462B52">
        <w:rPr>
          <w:rFonts w:cs="Miriam"/>
          <w:b/>
          <w:spacing w:val="0"/>
          <w:szCs w:val="24"/>
          <w:rtl/>
        </w:rPr>
        <w:t xml:space="preserve"> </w:t>
      </w:r>
      <w:r w:rsidRPr="00462B52">
        <w:rPr>
          <w:rFonts w:cs="Miriam" w:hint="eastAsia"/>
          <w:b/>
          <w:spacing w:val="0"/>
          <w:szCs w:val="24"/>
          <w:rtl/>
        </w:rPr>
        <w:t>מהסמכות</w:t>
      </w:r>
      <w:r w:rsidRPr="00462B52">
        <w:rPr>
          <w:rFonts w:cs="Miriam"/>
          <w:b/>
          <w:spacing w:val="0"/>
          <w:szCs w:val="24"/>
          <w:rtl/>
        </w:rPr>
        <w:t xml:space="preserve"> </w:t>
      </w:r>
      <w:r w:rsidRPr="00462B52">
        <w:rPr>
          <w:rFonts w:cs="Miriam" w:hint="eastAsia"/>
          <w:b/>
          <w:spacing w:val="0"/>
          <w:szCs w:val="24"/>
          <w:rtl/>
        </w:rPr>
        <w:t>המכוננת</w:t>
      </w:r>
      <w:r>
        <w:rPr>
          <w:rFonts w:hint="cs"/>
          <w:rtl/>
        </w:rPr>
        <w:t>" (</w:t>
      </w:r>
      <w:r w:rsidRPr="00462B52">
        <w:rPr>
          <w:rFonts w:cs="Miriam" w:hint="cs"/>
          <w:b/>
          <w:spacing w:val="0"/>
          <w:szCs w:val="24"/>
          <w:rtl/>
        </w:rPr>
        <w:t>שם</w:t>
      </w:r>
      <w:r>
        <w:rPr>
          <w:rFonts w:hint="cs"/>
          <w:rtl/>
        </w:rPr>
        <w:t xml:space="preserve">, בעמ' 394; ההדגשה הוספה). בהקשר זה ציין הנשיא </w:t>
      </w:r>
      <w:r w:rsidRPr="00462B52">
        <w:rPr>
          <w:rFonts w:cs="Miriam" w:hint="cs"/>
          <w:b/>
          <w:spacing w:val="0"/>
          <w:szCs w:val="24"/>
          <w:rtl/>
        </w:rPr>
        <w:t>ברק</w:t>
      </w:r>
      <w:r w:rsidRPr="00462B52">
        <w:rPr>
          <w:rFonts w:hint="cs"/>
          <w:rtl/>
        </w:rPr>
        <w:t xml:space="preserve"> </w:t>
      </w:r>
      <w:r>
        <w:rPr>
          <w:rFonts w:hint="cs"/>
          <w:rtl/>
        </w:rPr>
        <w:t xml:space="preserve">כי בתי המשפט בעולם נוהגים לבחון את חוקתיותם של תיקוני חוקה, ולא פעם נפסלו תיקונים שכאלה גם מטעמים מהותיים, אך גם נושא זה נותר בצריך עיון בעניין </w:t>
      </w:r>
      <w:r w:rsidRPr="00D47D7D">
        <w:rPr>
          <w:rFonts w:ascii="Century" w:hAnsi="Century" w:cs="Miriam" w:hint="cs"/>
          <w:b/>
          <w:spacing w:val="0"/>
          <w:sz w:val="22"/>
          <w:szCs w:val="24"/>
          <w:rtl/>
        </w:rPr>
        <w:t>בנק המזרחי</w:t>
      </w:r>
      <w:r>
        <w:rPr>
          <w:rFonts w:hint="cs"/>
          <w:rtl/>
        </w:rPr>
        <w:t xml:space="preserve">. </w:t>
      </w:r>
    </w:p>
    <w:p w:rsidR="00C044AE" w:rsidRPr="005A26EC"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בשנים האחרונות, כפי שיפורט להלן, שבו</w:t>
      </w:r>
      <w:r w:rsidRPr="00B17EFF">
        <w:rPr>
          <w:rFonts w:hint="cs"/>
          <w:rtl/>
        </w:rPr>
        <w:t xml:space="preserve"> </w:t>
      </w:r>
      <w:r>
        <w:rPr>
          <w:rFonts w:hint="cs"/>
          <w:rtl/>
        </w:rPr>
        <w:t xml:space="preserve">שאלות אלה והתעוררו בשורה של עתירות שהוגשו נגד חוקי יסוד ונגד תיקונים לחוקי יסוד שחוקקה הכנסת. </w:t>
      </w:r>
    </w:p>
    <w:p w:rsidR="00C044AE" w:rsidRPr="00DA74A1" w:rsidRDefault="00C044AE" w:rsidP="00C044AE">
      <w:pPr>
        <w:pStyle w:val="Ruller41"/>
        <w:rPr>
          <w:rtl/>
        </w:rPr>
      </w:pPr>
    </w:p>
    <w:p w:rsidR="00C044AE" w:rsidRPr="0010418B" w:rsidRDefault="00C044AE" w:rsidP="0009484D">
      <w:pPr>
        <w:pStyle w:val="Ruller41"/>
        <w:numPr>
          <w:ilvl w:val="0"/>
          <w:numId w:val="4"/>
        </w:numPr>
        <w:outlineLvl w:val="1"/>
        <w:rPr>
          <w:rFonts w:ascii="Century" w:hAnsi="Century" w:cs="Miriam"/>
          <w:b/>
          <w:spacing w:val="0"/>
          <w:szCs w:val="24"/>
        </w:rPr>
      </w:pPr>
      <w:r w:rsidRPr="0010418B">
        <w:rPr>
          <w:rFonts w:ascii="Century" w:hAnsi="Century" w:cs="Miriam" w:hint="cs"/>
          <w:b/>
          <w:spacing w:val="0"/>
          <w:szCs w:val="24"/>
          <w:rtl/>
        </w:rPr>
        <w:t>שימוש לרעה בסמכות המכוננת</w:t>
      </w:r>
    </w:p>
    <w:p w:rsidR="00C044AE" w:rsidRDefault="00C044AE" w:rsidP="0009484D">
      <w:pPr>
        <w:pStyle w:val="Ruller41"/>
        <w:rPr>
          <w:rtl/>
        </w:rPr>
      </w:pPr>
    </w:p>
    <w:p w:rsidR="00C044AE" w:rsidRPr="00427A10" w:rsidRDefault="00C044AE" w:rsidP="00C044AE">
      <w:pPr>
        <w:pStyle w:val="Ruller4"/>
        <w:rPr>
          <w:rtl/>
        </w:rPr>
      </w:pPr>
      <w:r>
        <w:rPr>
          <w:rFonts w:hint="cs"/>
          <w:rtl/>
        </w:rPr>
        <w:t xml:space="preserve">כפי שצוין, בעניין </w:t>
      </w:r>
      <w:r w:rsidRPr="003624C1">
        <w:rPr>
          <w:rFonts w:ascii="Century" w:hAnsi="Century" w:cs="Miriam" w:hint="cs"/>
          <w:b/>
          <w:spacing w:val="0"/>
          <w:sz w:val="22"/>
          <w:szCs w:val="24"/>
          <w:rtl/>
        </w:rPr>
        <w:t>בנק המזרחי</w:t>
      </w:r>
      <w:r>
        <w:rPr>
          <w:rFonts w:hint="cs"/>
          <w:rtl/>
        </w:rPr>
        <w:t xml:space="preserve"> לא נתלבנה לעומקה האפשרות שהכנסת תעשה שימוש לרעה בסמכותה המכוננת ותכתיר כחוק יסוד נורמה שאינה מתאימה מבחינת מאפייניה להוות חלק מהחוקה העתידית. הצורך להידרש לאפשרות זו ולעיין מחדש במבחן הצורני לזיהוי חוקי יסוד, התעורר תחילה על רקע שימוש הולך וגובר בסמכות המכוננת לצורך חקיקת תיקונים לחוקי יסוד כהוראות שעה זמניות. כך, בעניין </w:t>
      </w:r>
      <w:r w:rsidRPr="00427A10">
        <w:rPr>
          <w:rFonts w:ascii="Century" w:hAnsi="Century" w:cs="Miriam" w:hint="cs"/>
          <w:b/>
          <w:spacing w:val="0"/>
          <w:sz w:val="22"/>
          <w:szCs w:val="24"/>
          <w:rtl/>
        </w:rPr>
        <w:t>בר-און</w:t>
      </w:r>
      <w:r>
        <w:rPr>
          <w:rFonts w:hint="cs"/>
          <w:rtl/>
        </w:rPr>
        <w:t xml:space="preserve"> נדון תיקון לחוק יסוד שקבע ב</w:t>
      </w:r>
      <w:r w:rsidRPr="00427A10">
        <w:rPr>
          <w:rFonts w:ascii="Century" w:hAnsi="Century" w:cs="Miriam" w:hint="cs"/>
          <w:b/>
          <w:spacing w:val="0"/>
          <w:sz w:val="22"/>
          <w:szCs w:val="24"/>
          <w:rtl/>
        </w:rPr>
        <w:t>הוראת שעה</w:t>
      </w:r>
      <w:r w:rsidRPr="00FB5308">
        <w:rPr>
          <w:rFonts w:hint="cs"/>
          <w:rtl/>
        </w:rPr>
        <w:t xml:space="preserve"> </w:t>
      </w:r>
      <w:r>
        <w:rPr>
          <w:rFonts w:hint="cs"/>
          <w:rtl/>
        </w:rPr>
        <w:t xml:space="preserve">כי תקציב המדינה לשנים 2011 ו-2012 יהיה דו-שנתי. הנשיאה </w:t>
      </w:r>
      <w:r>
        <w:rPr>
          <w:rFonts w:ascii="Century" w:hAnsi="Century" w:cs="Miriam" w:hint="cs"/>
          <w:b/>
          <w:spacing w:val="0"/>
          <w:sz w:val="22"/>
          <w:szCs w:val="24"/>
          <w:rtl/>
        </w:rPr>
        <w:t xml:space="preserve">ד' </w:t>
      </w:r>
      <w:r w:rsidRPr="00427A10">
        <w:rPr>
          <w:rFonts w:ascii="Century" w:hAnsi="Century" w:cs="Miriam" w:hint="cs"/>
          <w:b/>
          <w:spacing w:val="0"/>
          <w:sz w:val="22"/>
          <w:szCs w:val="24"/>
          <w:rtl/>
        </w:rPr>
        <w:t>ביניש</w:t>
      </w:r>
      <w:r w:rsidRPr="003624C1">
        <w:rPr>
          <w:rFonts w:hint="cs"/>
          <w:rtl/>
        </w:rPr>
        <w:t xml:space="preserve"> </w:t>
      </w:r>
      <w:r>
        <w:rPr>
          <w:rFonts w:hint="cs"/>
          <w:rtl/>
        </w:rPr>
        <w:t>ציינה בהקשר זה כי הוראת שעה מנוגדת מעצם טיבה "</w:t>
      </w:r>
      <w:r w:rsidRPr="00427A10">
        <w:rPr>
          <w:rFonts w:hint="eastAsia"/>
          <w:rtl/>
        </w:rPr>
        <w:t>לרעיון</w:t>
      </w:r>
      <w:r w:rsidRPr="00427A10">
        <w:rPr>
          <w:rtl/>
        </w:rPr>
        <w:t xml:space="preserve"> </w:t>
      </w:r>
      <w:r w:rsidRPr="00427A10">
        <w:rPr>
          <w:rFonts w:hint="eastAsia"/>
          <w:rtl/>
        </w:rPr>
        <w:t>הבסיסי</w:t>
      </w:r>
      <w:r w:rsidRPr="00427A10">
        <w:rPr>
          <w:rtl/>
        </w:rPr>
        <w:t xml:space="preserve"> </w:t>
      </w:r>
      <w:r>
        <w:rPr>
          <w:rFonts w:hint="cs"/>
          <w:rtl/>
        </w:rPr>
        <w:t>ש</w:t>
      </w:r>
      <w:r w:rsidRPr="00427A10">
        <w:rPr>
          <w:rFonts w:hint="eastAsia"/>
          <w:rtl/>
        </w:rPr>
        <w:t>לפיו</w:t>
      </w:r>
      <w:r w:rsidRPr="00427A10">
        <w:rPr>
          <w:rtl/>
        </w:rPr>
        <w:t xml:space="preserve"> </w:t>
      </w:r>
      <w:r w:rsidRPr="00427A10">
        <w:rPr>
          <w:rFonts w:hint="eastAsia"/>
          <w:rtl/>
        </w:rPr>
        <w:t>הוראות</w:t>
      </w:r>
      <w:r w:rsidRPr="00427A10">
        <w:rPr>
          <w:rtl/>
        </w:rPr>
        <w:t xml:space="preserve"> </w:t>
      </w:r>
      <w:r w:rsidRPr="00427A10">
        <w:rPr>
          <w:rFonts w:hint="eastAsia"/>
          <w:rtl/>
        </w:rPr>
        <w:t>החוקה</w:t>
      </w:r>
      <w:r w:rsidRPr="00427A10">
        <w:rPr>
          <w:rtl/>
        </w:rPr>
        <w:t xml:space="preserve"> </w:t>
      </w:r>
      <w:r w:rsidRPr="00427A10">
        <w:rPr>
          <w:rFonts w:hint="eastAsia"/>
          <w:rtl/>
        </w:rPr>
        <w:t>הן</w:t>
      </w:r>
      <w:r w:rsidRPr="00427A10">
        <w:rPr>
          <w:rtl/>
        </w:rPr>
        <w:t xml:space="preserve"> </w:t>
      </w:r>
      <w:r w:rsidRPr="00427A10">
        <w:rPr>
          <w:rFonts w:hint="eastAsia"/>
          <w:rtl/>
        </w:rPr>
        <w:t>קבועות</w:t>
      </w:r>
      <w:r w:rsidRPr="00427A10">
        <w:rPr>
          <w:rtl/>
        </w:rPr>
        <w:t xml:space="preserve">, </w:t>
      </w:r>
      <w:r w:rsidRPr="00427A10">
        <w:rPr>
          <w:rFonts w:hint="eastAsia"/>
          <w:rtl/>
        </w:rPr>
        <w:t>ויש</w:t>
      </w:r>
      <w:r w:rsidRPr="00427A10">
        <w:rPr>
          <w:rtl/>
        </w:rPr>
        <w:t xml:space="preserve"> </w:t>
      </w:r>
      <w:r w:rsidRPr="00427A10">
        <w:rPr>
          <w:rFonts w:hint="eastAsia"/>
          <w:rtl/>
        </w:rPr>
        <w:t>שיאמרו</w:t>
      </w:r>
      <w:r w:rsidRPr="00427A10">
        <w:rPr>
          <w:rtl/>
        </w:rPr>
        <w:t xml:space="preserve"> </w:t>
      </w:r>
      <w:r w:rsidRPr="00427A10">
        <w:rPr>
          <w:rFonts w:hint="eastAsia"/>
          <w:rtl/>
        </w:rPr>
        <w:t>אף</w:t>
      </w:r>
      <w:r w:rsidRPr="00427A10">
        <w:rPr>
          <w:rtl/>
        </w:rPr>
        <w:t xml:space="preserve"> </w:t>
      </w:r>
      <w:r w:rsidRPr="00427A10">
        <w:rPr>
          <w:rFonts w:hint="eastAsia"/>
          <w:rtl/>
        </w:rPr>
        <w:t>נצחיות</w:t>
      </w:r>
      <w:r>
        <w:rPr>
          <w:rFonts w:hint="cs"/>
          <w:rtl/>
        </w:rPr>
        <w:t>" (</w:t>
      </w:r>
      <w:r>
        <w:rPr>
          <w:rFonts w:ascii="Century" w:hAnsi="Century" w:cs="Miriam" w:hint="cs"/>
          <w:b/>
          <w:spacing w:val="0"/>
          <w:sz w:val="22"/>
          <w:szCs w:val="24"/>
          <w:rtl/>
        </w:rPr>
        <w:t>שם</w:t>
      </w:r>
      <w:r w:rsidRPr="006506F5">
        <w:rPr>
          <w:rFonts w:ascii="Century" w:hAnsi="Century"/>
          <w:sz w:val="22"/>
          <w:rtl/>
        </w:rPr>
        <w:t xml:space="preserve">, </w:t>
      </w:r>
      <w:r w:rsidRPr="006506F5">
        <w:rPr>
          <w:rFonts w:ascii="Century" w:hAnsi="Century" w:hint="eastAsia"/>
          <w:sz w:val="22"/>
          <w:rtl/>
        </w:rPr>
        <w:t>בעמ</w:t>
      </w:r>
      <w:r w:rsidRPr="006506F5">
        <w:rPr>
          <w:rFonts w:ascii="Century" w:hAnsi="Century"/>
          <w:sz w:val="22"/>
          <w:rtl/>
        </w:rPr>
        <w:t xml:space="preserve">' </w:t>
      </w:r>
      <w:r>
        <w:rPr>
          <w:rFonts w:ascii="Century" w:hAnsi="Century" w:hint="cs"/>
          <w:sz w:val="22"/>
          <w:rtl/>
        </w:rPr>
        <w:t>300</w:t>
      </w:r>
      <w:r w:rsidRPr="006506F5">
        <w:rPr>
          <w:rFonts w:ascii="Century" w:hAnsi="Century"/>
          <w:sz w:val="22"/>
          <w:rtl/>
        </w:rPr>
        <w:t>)</w:t>
      </w:r>
      <w:r>
        <w:rPr>
          <w:rFonts w:hint="cs"/>
          <w:rtl/>
        </w:rPr>
        <w:t xml:space="preserve">. </w:t>
      </w:r>
      <w:r>
        <w:rPr>
          <w:rFonts w:hint="cs"/>
          <w:rtl/>
        </w:rPr>
        <w:lastRenderedPageBreak/>
        <w:t>היא אף הוסיפה כי "</w:t>
      </w:r>
      <w:r>
        <w:rPr>
          <w:rtl/>
        </w:rPr>
        <w:t>במקרים מסוימים, שאין ניתן לקבוע מראש מהם, ייתכן כי חקיקתו של חוק יסוד כהוראת שעה עלולה לעלות כדי 'שימוש לרעה' בכותרת 'חוק יסוד'</w:t>
      </w:r>
      <w:r>
        <w:rPr>
          <w:rFonts w:hint="cs"/>
          <w:rtl/>
        </w:rPr>
        <w:t>" (</w:t>
      </w:r>
      <w:r>
        <w:rPr>
          <w:rFonts w:ascii="Century" w:hAnsi="Century" w:cs="Miriam" w:hint="cs"/>
          <w:b/>
          <w:spacing w:val="0"/>
          <w:sz w:val="22"/>
          <w:szCs w:val="24"/>
          <w:rtl/>
        </w:rPr>
        <w:t>שם</w:t>
      </w:r>
      <w:r w:rsidRPr="0064474A">
        <w:rPr>
          <w:rtl/>
        </w:rPr>
        <w:t xml:space="preserve">, </w:t>
      </w:r>
      <w:r w:rsidRPr="0064474A">
        <w:rPr>
          <w:rFonts w:hint="eastAsia"/>
          <w:rtl/>
        </w:rPr>
        <w:t>בעמ</w:t>
      </w:r>
      <w:r w:rsidRPr="0064474A">
        <w:rPr>
          <w:rtl/>
        </w:rPr>
        <w:t>' 301</w:t>
      </w:r>
      <w:r w:rsidRPr="006506F5">
        <w:rPr>
          <w:rFonts w:ascii="Century" w:hAnsi="Century"/>
          <w:sz w:val="22"/>
          <w:rtl/>
        </w:rPr>
        <w:t xml:space="preserve">). </w:t>
      </w:r>
      <w:r>
        <w:rPr>
          <w:rFonts w:hint="cs"/>
          <w:rtl/>
        </w:rPr>
        <w:t xml:space="preserve">ביחס לתיקון </w:t>
      </w:r>
      <w:r w:rsidRPr="002618BB">
        <w:rPr>
          <w:rFonts w:hint="cs"/>
          <w:rtl/>
        </w:rPr>
        <w:t xml:space="preserve">הספציפי שנדון בעניין </w:t>
      </w:r>
      <w:r w:rsidRPr="002618BB">
        <w:rPr>
          <w:rFonts w:ascii="Century" w:hAnsi="Century" w:cs="Miriam" w:hint="cs"/>
          <w:b/>
          <w:spacing w:val="0"/>
          <w:szCs w:val="24"/>
          <w:rtl/>
        </w:rPr>
        <w:t>בר-און</w:t>
      </w:r>
      <w:r w:rsidRPr="002618BB">
        <w:rPr>
          <w:rFonts w:hint="cs"/>
          <w:rtl/>
        </w:rPr>
        <w:t>, דחה בית המשפט את הטענה כי יש לבטלו בשל שימוש לרעה בסמכות המכוננת</w:t>
      </w:r>
      <w:r>
        <w:rPr>
          <w:rFonts w:hint="cs"/>
          <w:rtl/>
        </w:rPr>
        <w:t xml:space="preserve">, אך הבהיר כי </w:t>
      </w:r>
      <w:r w:rsidRPr="002618BB">
        <w:rPr>
          <w:rFonts w:hint="cs"/>
          <w:rtl/>
        </w:rPr>
        <w:t xml:space="preserve">מוטב </w:t>
      </w:r>
      <w:r>
        <w:rPr>
          <w:rFonts w:hint="cs"/>
          <w:rtl/>
        </w:rPr>
        <w:t>אם בעתיד תימנע הכנסת מ</w:t>
      </w:r>
      <w:r w:rsidRPr="002618BB">
        <w:rPr>
          <w:rFonts w:hint="cs"/>
          <w:rtl/>
        </w:rPr>
        <w:t>שימוש בהוראות שעה ל</w:t>
      </w:r>
      <w:r>
        <w:rPr>
          <w:rFonts w:hint="cs"/>
          <w:rtl/>
        </w:rPr>
        <w:t>צורך תיקון הוראות חוקתיות (</w:t>
      </w:r>
      <w:r w:rsidRPr="0085416B">
        <w:rPr>
          <w:rFonts w:ascii="Century" w:hAnsi="Century" w:cs="Miriam" w:hint="cs"/>
          <w:b/>
          <w:spacing w:val="0"/>
          <w:szCs w:val="24"/>
          <w:rtl/>
        </w:rPr>
        <w:t>שם</w:t>
      </w:r>
      <w:r>
        <w:rPr>
          <w:rFonts w:hint="cs"/>
          <w:rtl/>
        </w:rPr>
        <w:t>, בעמ' 307).</w:t>
      </w:r>
    </w:p>
    <w:p w:rsidR="00C044AE" w:rsidRPr="00101F71" w:rsidRDefault="00C044AE" w:rsidP="00C044AE">
      <w:pPr>
        <w:pStyle w:val="Ruller41"/>
        <w:rPr>
          <w:rtl/>
        </w:rPr>
      </w:pPr>
    </w:p>
    <w:p w:rsidR="00C044AE" w:rsidRPr="00EA5F4A" w:rsidRDefault="00C044AE" w:rsidP="00C044AE">
      <w:pPr>
        <w:pStyle w:val="Ruller4"/>
        <w:rPr>
          <w:rFonts w:ascii="FrankRuehl" w:hAnsi="FrankRuehl"/>
          <w:color w:val="000000"/>
          <w:sz w:val="28"/>
        </w:rPr>
      </w:pPr>
      <w:r>
        <w:rPr>
          <w:rFonts w:hint="cs"/>
          <w:rtl/>
        </w:rPr>
        <w:t xml:space="preserve">חרף הערות בית המשפט בעניין </w:t>
      </w:r>
      <w:r w:rsidRPr="00EA5F4A">
        <w:rPr>
          <w:rFonts w:ascii="Century" w:hAnsi="Century" w:cs="Miriam" w:hint="cs"/>
          <w:b/>
          <w:spacing w:val="0"/>
          <w:sz w:val="22"/>
          <w:szCs w:val="24"/>
          <w:rtl/>
        </w:rPr>
        <w:t>בר-און</w:t>
      </w:r>
      <w:r>
        <w:rPr>
          <w:rFonts w:hint="cs"/>
          <w:rtl/>
        </w:rPr>
        <w:t xml:space="preserve">, הוסיפה הכנסת לשנות את חוקי היסוד על דרך של הוראות שעה על מנת לאשר תקציב דו-שנתי. בפעם החמישית שבה נעשה הדבר, העניק בית המשפט לראשונה סעד מכוח הדוקטרינה של "שימוש לרעה בסמכות המכוננת", וקבע התראת בטלות, לפיה בראייה לעתיד לא </w:t>
      </w:r>
      <w:r w:rsidRPr="00EA5F4A">
        <w:rPr>
          <w:rFonts w:hint="cs"/>
          <w:rtl/>
        </w:rPr>
        <w:t>ניתן יהיה</w:t>
      </w:r>
      <w:r w:rsidRPr="00EA5F4A">
        <w:rPr>
          <w:rFonts w:hint="cs"/>
          <w:sz w:val="28"/>
          <w:rtl/>
        </w:rPr>
        <w:t xml:space="preserve"> לקבוע תקציב שאינו חד-שנתי על דרך </w:t>
      </w:r>
      <w:r>
        <w:rPr>
          <w:rFonts w:hint="cs"/>
          <w:sz w:val="28"/>
          <w:rtl/>
        </w:rPr>
        <w:t xml:space="preserve">של </w:t>
      </w:r>
      <w:r w:rsidRPr="00EA5F4A">
        <w:rPr>
          <w:rFonts w:hint="cs"/>
          <w:sz w:val="28"/>
          <w:rtl/>
        </w:rPr>
        <w:t>הוראת שעה</w:t>
      </w:r>
      <w:r w:rsidRPr="00EA5F4A">
        <w:rPr>
          <w:rFonts w:hint="cs"/>
          <w:rtl/>
        </w:rPr>
        <w:t xml:space="preserve"> (</w:t>
      </w:r>
      <w:r w:rsidRPr="00EA5F4A">
        <w:rPr>
          <w:rFonts w:hint="eastAsia"/>
          <w:rtl/>
        </w:rPr>
        <w:t>בג</w:t>
      </w:r>
      <w:r w:rsidRPr="00EA5F4A">
        <w:rPr>
          <w:rtl/>
        </w:rPr>
        <w:t>"</w:t>
      </w:r>
      <w:r w:rsidRPr="00EA5F4A">
        <w:rPr>
          <w:rFonts w:hint="eastAsia"/>
          <w:rtl/>
        </w:rPr>
        <w:t>ץ</w:t>
      </w:r>
      <w:r w:rsidRPr="00EA5F4A">
        <w:rPr>
          <w:rtl/>
        </w:rPr>
        <w:t xml:space="preserve"> 8260</w:t>
      </w:r>
      <w:r w:rsidRPr="00EA5F4A">
        <w:rPr>
          <w:rFonts w:hint="cs"/>
          <w:rtl/>
        </w:rPr>
        <w:t>/</w:t>
      </w:r>
      <w:r w:rsidRPr="00EA5F4A">
        <w:rPr>
          <w:rtl/>
        </w:rPr>
        <w:t xml:space="preserve">16 </w:t>
      </w:r>
      <w:r w:rsidRPr="00EA5F4A">
        <w:rPr>
          <w:rFonts w:ascii="Century" w:hAnsi="Century" w:cs="Miriam" w:hint="eastAsia"/>
          <w:b/>
          <w:spacing w:val="0"/>
          <w:sz w:val="22"/>
          <w:szCs w:val="24"/>
          <w:rtl/>
        </w:rPr>
        <w:t>המרכז</w:t>
      </w:r>
      <w:r w:rsidRPr="00030102">
        <w:rPr>
          <w:rFonts w:ascii="Century" w:hAnsi="Century" w:cs="Miriam"/>
          <w:b/>
          <w:spacing w:val="0"/>
          <w:sz w:val="22"/>
          <w:szCs w:val="24"/>
          <w:rtl/>
        </w:rPr>
        <w:t xml:space="preserve"> </w:t>
      </w:r>
      <w:r w:rsidRPr="00030102">
        <w:rPr>
          <w:rFonts w:ascii="Century" w:hAnsi="Century" w:cs="Miriam" w:hint="eastAsia"/>
          <w:b/>
          <w:spacing w:val="0"/>
          <w:sz w:val="22"/>
          <w:szCs w:val="24"/>
          <w:rtl/>
        </w:rPr>
        <w:t>האקדמי</w:t>
      </w:r>
      <w:r w:rsidRPr="00030102">
        <w:rPr>
          <w:rFonts w:ascii="Century" w:hAnsi="Century" w:cs="Miriam"/>
          <w:b/>
          <w:spacing w:val="0"/>
          <w:sz w:val="22"/>
          <w:szCs w:val="24"/>
          <w:rtl/>
        </w:rPr>
        <w:t xml:space="preserve"> </w:t>
      </w:r>
      <w:r w:rsidRPr="00030102">
        <w:rPr>
          <w:rFonts w:ascii="Century" w:hAnsi="Century" w:cs="Miriam" w:hint="eastAsia"/>
          <w:b/>
          <w:spacing w:val="0"/>
          <w:sz w:val="22"/>
          <w:szCs w:val="24"/>
          <w:rtl/>
        </w:rPr>
        <w:t>למשפט</w:t>
      </w:r>
      <w:r w:rsidRPr="00030102">
        <w:rPr>
          <w:rFonts w:ascii="Century" w:hAnsi="Century" w:cs="Miriam"/>
          <w:b/>
          <w:spacing w:val="0"/>
          <w:sz w:val="22"/>
          <w:szCs w:val="24"/>
          <w:rtl/>
        </w:rPr>
        <w:t xml:space="preserve"> </w:t>
      </w:r>
      <w:r w:rsidRPr="00030102">
        <w:rPr>
          <w:rFonts w:ascii="Century" w:hAnsi="Century" w:cs="Miriam" w:hint="eastAsia"/>
          <w:b/>
          <w:spacing w:val="0"/>
          <w:sz w:val="22"/>
          <w:szCs w:val="24"/>
          <w:rtl/>
        </w:rPr>
        <w:t>ולעסקים</w:t>
      </w:r>
      <w:r w:rsidRPr="00030102">
        <w:rPr>
          <w:rFonts w:ascii="Century" w:hAnsi="Century" w:cs="Miriam"/>
          <w:b/>
          <w:spacing w:val="0"/>
          <w:sz w:val="22"/>
          <w:szCs w:val="24"/>
          <w:rtl/>
        </w:rPr>
        <w:t xml:space="preserve"> </w:t>
      </w:r>
      <w:r w:rsidRPr="00030102">
        <w:rPr>
          <w:rFonts w:ascii="Century" w:hAnsi="Century" w:cs="Miriam" w:hint="eastAsia"/>
          <w:b/>
          <w:spacing w:val="0"/>
          <w:sz w:val="22"/>
          <w:szCs w:val="24"/>
          <w:rtl/>
        </w:rPr>
        <w:t>נ</w:t>
      </w:r>
      <w:r w:rsidRPr="00030102">
        <w:rPr>
          <w:rFonts w:ascii="Century" w:hAnsi="Century" w:cs="Miriam"/>
          <w:b/>
          <w:spacing w:val="0"/>
          <w:sz w:val="22"/>
          <w:szCs w:val="24"/>
          <w:rtl/>
        </w:rPr>
        <w:t xml:space="preserve">' </w:t>
      </w:r>
      <w:r w:rsidRPr="00030102">
        <w:rPr>
          <w:rFonts w:ascii="Century" w:hAnsi="Century" w:cs="Miriam" w:hint="eastAsia"/>
          <w:b/>
          <w:spacing w:val="0"/>
          <w:sz w:val="22"/>
          <w:szCs w:val="24"/>
          <w:rtl/>
        </w:rPr>
        <w:t>כנסת</w:t>
      </w:r>
      <w:r w:rsidRPr="00030102">
        <w:rPr>
          <w:rFonts w:ascii="Century" w:hAnsi="Century" w:cs="Miriam"/>
          <w:b/>
          <w:spacing w:val="0"/>
          <w:sz w:val="22"/>
          <w:szCs w:val="24"/>
          <w:rtl/>
        </w:rPr>
        <w:t xml:space="preserve"> </w:t>
      </w:r>
      <w:r w:rsidRPr="00030102">
        <w:rPr>
          <w:rFonts w:ascii="Century" w:hAnsi="Century" w:cs="Miriam" w:hint="eastAsia"/>
          <w:b/>
          <w:spacing w:val="0"/>
          <w:sz w:val="22"/>
          <w:szCs w:val="24"/>
          <w:rtl/>
        </w:rPr>
        <w:t>ישראל</w:t>
      </w:r>
      <w:r w:rsidRPr="00030102">
        <w:rPr>
          <w:rFonts w:hint="cs"/>
          <w:rtl/>
        </w:rPr>
        <w:t xml:space="preserve"> (6.9.2017) (להלן: </w:t>
      </w:r>
      <w:r w:rsidRPr="00030102">
        <w:rPr>
          <w:rFonts w:ascii="Century" w:hAnsi="Century" w:cs="Miriam" w:hint="cs"/>
          <w:b/>
          <w:spacing w:val="0"/>
          <w:sz w:val="22"/>
          <w:szCs w:val="24"/>
          <w:rtl/>
        </w:rPr>
        <w:t>עניין המרכז האקדמי</w:t>
      </w:r>
      <w:r w:rsidRPr="00030102">
        <w:rPr>
          <w:rFonts w:hint="cs"/>
          <w:rtl/>
        </w:rPr>
        <w:t>)</w:t>
      </w:r>
      <w:r>
        <w:rPr>
          <w:rFonts w:hint="cs"/>
          <w:rtl/>
        </w:rPr>
        <w:t xml:space="preserve">). </w:t>
      </w:r>
      <w:r w:rsidRPr="00EA5F4A">
        <w:rPr>
          <w:rFonts w:ascii="FrankRuehl" w:hAnsi="FrankRuehl"/>
          <w:color w:val="000000"/>
          <w:sz w:val="28"/>
          <w:rtl/>
        </w:rPr>
        <w:t>המשנה לנשיאה (בדימ') </w:t>
      </w:r>
      <w:r w:rsidRPr="00EA5F4A">
        <w:rPr>
          <w:rFonts w:ascii="Century" w:hAnsi="Century" w:cs="Miriam"/>
          <w:b/>
          <w:spacing w:val="0"/>
          <w:sz w:val="22"/>
          <w:szCs w:val="24"/>
          <w:rtl/>
        </w:rPr>
        <w:t>א' רובינשטיין</w:t>
      </w:r>
      <w:r w:rsidRPr="00EA5F4A">
        <w:rPr>
          <w:rFonts w:ascii="FrankRuehl" w:hAnsi="FrankRuehl"/>
          <w:color w:val="000000"/>
          <w:sz w:val="28"/>
          <w:rtl/>
        </w:rPr>
        <w:t xml:space="preserve"> </w:t>
      </w:r>
      <w:r>
        <w:rPr>
          <w:rFonts w:ascii="FrankRuehl" w:hAnsi="FrankRuehl" w:hint="cs"/>
          <w:color w:val="000000"/>
          <w:sz w:val="28"/>
          <w:rtl/>
        </w:rPr>
        <w:t>קבע בהקשר זה כי "</w:t>
      </w:r>
      <w:r w:rsidRPr="00EA5F4A">
        <w:rPr>
          <w:rFonts w:ascii="FrankRuehl" w:hAnsi="FrankRuehl"/>
          <w:color w:val="000000"/>
          <w:sz w:val="28"/>
          <w:rtl/>
        </w:rPr>
        <w:t>במקום שמזוהה שימוש לרעה בכוח הרוב בטכסט חוקתי, נסוג הצורך הפוליטי מפני 'הליבה החוקתית' ו'קדושתה', חשיבותה המשפטית והערכית</w:t>
      </w:r>
      <w:r>
        <w:rPr>
          <w:rFonts w:ascii="FrankRuehl" w:hAnsi="FrankRuehl" w:hint="cs"/>
          <w:color w:val="000000"/>
          <w:sz w:val="28"/>
          <w:rtl/>
        </w:rPr>
        <w:t>"</w:t>
      </w:r>
      <w:r w:rsidRPr="00EA5F4A">
        <w:rPr>
          <w:rFonts w:ascii="FrankRuehl" w:hAnsi="FrankRuehl" w:hint="cs"/>
          <w:color w:val="000000"/>
          <w:sz w:val="28"/>
          <w:rtl/>
        </w:rPr>
        <w:t xml:space="preserve"> (</w:t>
      </w:r>
      <w:r w:rsidRPr="00EA5F4A">
        <w:rPr>
          <w:rFonts w:ascii="Century" w:hAnsi="Century" w:cs="Miriam" w:hint="cs"/>
          <w:b/>
          <w:spacing w:val="0"/>
          <w:sz w:val="22"/>
          <w:szCs w:val="24"/>
          <w:rtl/>
        </w:rPr>
        <w:t>שם</w:t>
      </w:r>
      <w:r w:rsidRPr="00EA5F4A">
        <w:rPr>
          <w:rFonts w:ascii="FrankRuehl" w:hAnsi="FrankRuehl" w:hint="cs"/>
          <w:color w:val="000000"/>
          <w:sz w:val="28"/>
          <w:rtl/>
        </w:rPr>
        <w:t>, בפסקה ל</w:t>
      </w:r>
      <w:r>
        <w:rPr>
          <w:rFonts w:ascii="FrankRuehl" w:hAnsi="FrankRuehl" w:hint="cs"/>
          <w:color w:val="000000"/>
          <w:sz w:val="28"/>
          <w:rtl/>
        </w:rPr>
        <w:t>' לחוות דעתו</w:t>
      </w:r>
      <w:r w:rsidRPr="00EA5F4A">
        <w:rPr>
          <w:rFonts w:ascii="FrankRuehl" w:hAnsi="FrankRuehl" w:hint="cs"/>
          <w:color w:val="000000"/>
          <w:sz w:val="28"/>
          <w:rtl/>
        </w:rPr>
        <w:t>)</w:t>
      </w:r>
      <w:r>
        <w:rPr>
          <w:rFonts w:ascii="FrankRuehl" w:hAnsi="FrankRuehl" w:hint="cs"/>
          <w:color w:val="000000"/>
          <w:sz w:val="28"/>
          <w:rtl/>
        </w:rPr>
        <w:t xml:space="preserve">. </w:t>
      </w:r>
      <w:r w:rsidRPr="00F67266">
        <w:rPr>
          <w:rFonts w:hint="cs"/>
          <w:rtl/>
        </w:rPr>
        <w:t>ה</w:t>
      </w:r>
      <w:r w:rsidRPr="00F67266">
        <w:rPr>
          <w:rFonts w:hint="eastAsia"/>
          <w:rtl/>
        </w:rPr>
        <w:t>משנה</w:t>
      </w:r>
      <w:r w:rsidRPr="00F67266">
        <w:rPr>
          <w:rtl/>
        </w:rPr>
        <w:t xml:space="preserve"> </w:t>
      </w:r>
      <w:r w:rsidRPr="00F67266">
        <w:rPr>
          <w:rFonts w:hint="eastAsia"/>
          <w:rtl/>
        </w:rPr>
        <w:t>לנשיאה</w:t>
      </w:r>
      <w:r w:rsidRPr="00F67266">
        <w:rPr>
          <w:rtl/>
        </w:rPr>
        <w:t xml:space="preserve"> (</w:t>
      </w:r>
      <w:r w:rsidRPr="00F67266">
        <w:rPr>
          <w:rFonts w:hint="eastAsia"/>
          <w:rtl/>
        </w:rPr>
        <w:t>בדימ</w:t>
      </w:r>
      <w:r w:rsidRPr="00F67266">
        <w:rPr>
          <w:rtl/>
        </w:rPr>
        <w:t xml:space="preserve">') </w:t>
      </w:r>
      <w:r>
        <w:rPr>
          <w:rFonts w:ascii="Century" w:hAnsi="Century" w:cs="Miriam" w:hint="cs"/>
          <w:b/>
          <w:spacing w:val="0"/>
          <w:szCs w:val="24"/>
          <w:rtl/>
        </w:rPr>
        <w:t xml:space="preserve">ס' </w:t>
      </w:r>
      <w:r w:rsidRPr="00EA5F4A">
        <w:rPr>
          <w:rFonts w:ascii="Century" w:hAnsi="Century" w:cs="Miriam" w:hint="eastAsia"/>
          <w:b/>
          <w:spacing w:val="0"/>
          <w:szCs w:val="24"/>
          <w:rtl/>
        </w:rPr>
        <w:t>ג</w:t>
      </w:r>
      <w:r w:rsidRPr="00EA5F4A">
        <w:rPr>
          <w:rFonts w:ascii="Century" w:hAnsi="Century" w:cs="Miriam"/>
          <w:b/>
          <w:spacing w:val="0"/>
          <w:szCs w:val="24"/>
          <w:rtl/>
        </w:rPr>
        <w:t>'</w:t>
      </w:r>
      <w:r w:rsidRPr="00EA5F4A">
        <w:rPr>
          <w:rFonts w:ascii="Century" w:hAnsi="Century" w:cs="Miriam" w:hint="eastAsia"/>
          <w:b/>
          <w:spacing w:val="0"/>
          <w:szCs w:val="24"/>
          <w:rtl/>
        </w:rPr>
        <w:t>ובראן</w:t>
      </w:r>
      <w:r w:rsidRPr="00F67266">
        <w:rPr>
          <w:rtl/>
        </w:rPr>
        <w:t xml:space="preserve"> </w:t>
      </w:r>
      <w:r>
        <w:rPr>
          <w:rFonts w:hint="cs"/>
          <w:rtl/>
        </w:rPr>
        <w:t>הוסיף</w:t>
      </w:r>
      <w:r w:rsidRPr="00F67266">
        <w:rPr>
          <w:rtl/>
        </w:rPr>
        <w:t xml:space="preserve"> </w:t>
      </w:r>
      <w:r w:rsidRPr="00F67266">
        <w:rPr>
          <w:rFonts w:hint="cs"/>
          <w:rtl/>
        </w:rPr>
        <w:t xml:space="preserve">כי </w:t>
      </w:r>
      <w:r w:rsidRPr="00EA5F4A">
        <w:rPr>
          <w:rFonts w:hint="cs"/>
          <w:sz w:val="28"/>
          <w:rtl/>
        </w:rPr>
        <w:t>דוקטרינת ה"שימוש לרעה" אינה מתמצה בנסיבות של חקיקת יסוד כהוראת שעה</w:t>
      </w:r>
      <w:r>
        <w:rPr>
          <w:rFonts w:hint="cs"/>
          <w:rtl/>
        </w:rPr>
        <w:t>,</w:t>
      </w:r>
      <w:r w:rsidRPr="00F67266">
        <w:rPr>
          <w:rFonts w:hint="cs"/>
          <w:rtl/>
        </w:rPr>
        <w:t xml:space="preserve"> וכי "</w:t>
      </w:r>
      <w:r w:rsidRPr="00EA5F4A">
        <w:rPr>
          <w:rFonts w:hint="cs"/>
          <w:sz w:val="28"/>
          <w:rtl/>
        </w:rPr>
        <w:t>חקיקת יסוד כהוראת שעה היא אפוא אך ביטוי אחד, ומצער, לניצול אפשרי של 'פרצה חוקתית' זו שאותה מותיר המבחן הצורני</w:t>
      </w:r>
      <w:r w:rsidRPr="003C0701">
        <w:rPr>
          <w:rFonts w:hint="cs"/>
          <w:rtl/>
        </w:rPr>
        <w:t>" (</w:t>
      </w:r>
      <w:r w:rsidRPr="00EA5F4A">
        <w:rPr>
          <w:rFonts w:ascii="Century" w:hAnsi="Century" w:cs="Miriam" w:hint="cs"/>
          <w:b/>
          <w:spacing w:val="0"/>
          <w:szCs w:val="24"/>
          <w:rtl/>
        </w:rPr>
        <w:t>שם</w:t>
      </w:r>
      <w:r w:rsidRPr="003C0701">
        <w:rPr>
          <w:rFonts w:hint="cs"/>
          <w:rtl/>
        </w:rPr>
        <w:t xml:space="preserve">, בפסקה 7 לחוות דעתו). </w:t>
      </w:r>
    </w:p>
    <w:p w:rsidR="00C044AE" w:rsidRPr="00F6698F" w:rsidRDefault="00C044AE" w:rsidP="00C044AE">
      <w:pPr>
        <w:pStyle w:val="Ruller41"/>
        <w:rPr>
          <w:rtl/>
        </w:rPr>
      </w:pPr>
    </w:p>
    <w:p w:rsidR="00C044AE" w:rsidRDefault="00C044AE" w:rsidP="00C044AE">
      <w:pPr>
        <w:pStyle w:val="Ruller4"/>
        <w:rPr>
          <w:rtl/>
        </w:rPr>
      </w:pPr>
      <w:r>
        <w:rPr>
          <w:rFonts w:hint="cs"/>
          <w:rtl/>
        </w:rPr>
        <w:t xml:space="preserve"> כארבע שנים לאחר מכן, ניתן פסק הדין בעניין</w:t>
      </w:r>
      <w:r w:rsidRPr="00E01874">
        <w:rPr>
          <w:rFonts w:ascii="Century" w:hAnsi="Century" w:cs="Miriam" w:hint="cs"/>
          <w:b/>
          <w:spacing w:val="0"/>
          <w:sz w:val="22"/>
          <w:szCs w:val="24"/>
          <w:rtl/>
        </w:rPr>
        <w:t xml:space="preserve"> שפיר</w:t>
      </w:r>
      <w:r>
        <w:rPr>
          <w:rFonts w:ascii="Century" w:hAnsi="Century" w:hint="cs"/>
          <w:sz w:val="22"/>
          <w:rtl/>
        </w:rPr>
        <w:t>, בו נדון</w:t>
      </w:r>
      <w:r>
        <w:rPr>
          <w:rFonts w:hint="cs"/>
          <w:rtl/>
        </w:rPr>
        <w:t xml:space="preserve"> תיקון מס' 50 לחוק-יסוד: הכנסת, אשר נחקק כהוראת שעה וכלל, בין היתר, תיקון עקיף לחוק-יסוד: משק המדינה שהביא להגדלה של תקרת התקציב ההמשכי לשנת 2020 ב-11 מיליארד ש"ח. באותו עניין</w:t>
      </w:r>
      <w:r w:rsidRPr="00721F93">
        <w:rPr>
          <w:rFonts w:hint="cs"/>
          <w:rtl/>
        </w:rPr>
        <w:t xml:space="preserve"> </w:t>
      </w:r>
      <w:r>
        <w:rPr>
          <w:rFonts w:hint="cs"/>
          <w:rtl/>
        </w:rPr>
        <w:t>נדונו טיבה של דוקטרינת השימוש לרעה בסמכות המכוננת ומקור סמכותו של בית המשפט לקיים ביקורת שיפוטית מכוחה:</w:t>
      </w:r>
    </w:p>
    <w:p w:rsidR="00C044AE" w:rsidRDefault="00C044AE" w:rsidP="00C044AE">
      <w:pPr>
        <w:pStyle w:val="Ruller41"/>
        <w:rPr>
          <w:rtl/>
        </w:rPr>
      </w:pPr>
    </w:p>
    <w:p w:rsidR="00C044AE" w:rsidRDefault="00C044AE" w:rsidP="00C044AE">
      <w:pPr>
        <w:pStyle w:val="Ruller5"/>
        <w:rPr>
          <w:rtl/>
        </w:rPr>
      </w:pPr>
      <w:r w:rsidRPr="00283419">
        <w:rPr>
          <w:rFonts w:hint="cs"/>
          <w:rtl/>
        </w:rPr>
        <w:t>"</w:t>
      </w:r>
      <w:r w:rsidRPr="00283419">
        <w:rPr>
          <w:rFonts w:hint="eastAsia"/>
          <w:rtl/>
        </w:rPr>
        <w:t>מרכז</w:t>
      </w:r>
      <w:r w:rsidRPr="00283419">
        <w:rPr>
          <w:rtl/>
        </w:rPr>
        <w:t xml:space="preserve"> הכובד של </w:t>
      </w:r>
      <w:r w:rsidRPr="00283419">
        <w:rPr>
          <w:rFonts w:hint="cs"/>
          <w:rtl/>
        </w:rPr>
        <w:t>דוקטרינת השימוש לרעה בסמכות המכוננת</w:t>
      </w:r>
      <w:r w:rsidRPr="00283419">
        <w:rPr>
          <w:rtl/>
        </w:rPr>
        <w:t xml:space="preserve"> </w:t>
      </w:r>
      <w:r w:rsidRPr="00283419">
        <w:rPr>
          <w:rFonts w:hint="eastAsia"/>
          <w:rtl/>
        </w:rPr>
        <w:t>מצוי</w:t>
      </w:r>
      <w:r w:rsidRPr="00283419">
        <w:rPr>
          <w:rFonts w:hint="cs"/>
          <w:rtl/>
        </w:rPr>
        <w:t>, כאמור,</w:t>
      </w:r>
      <w:r w:rsidRPr="00283419">
        <w:rPr>
          <w:rtl/>
        </w:rPr>
        <w:t xml:space="preserve"> </w:t>
      </w:r>
      <w:r w:rsidRPr="00283419">
        <w:rPr>
          <w:rFonts w:hint="eastAsia"/>
          <w:rtl/>
        </w:rPr>
        <w:t>בשאלה</w:t>
      </w:r>
      <w:r w:rsidRPr="00283419">
        <w:rPr>
          <w:rtl/>
        </w:rPr>
        <w:t xml:space="preserve"> אם הנורמה שעוגנה </w:t>
      </w:r>
      <w:r w:rsidRPr="00283419">
        <w:rPr>
          <w:rFonts w:hint="cs"/>
          <w:rtl/>
        </w:rPr>
        <w:t xml:space="preserve">בחוק היסוד </w:t>
      </w:r>
      <w:r w:rsidRPr="00283419">
        <w:rPr>
          <w:rtl/>
        </w:rPr>
        <w:t xml:space="preserve">היא </w:t>
      </w:r>
      <w:r w:rsidRPr="00283419">
        <w:rPr>
          <w:rFonts w:hint="cs"/>
          <w:rtl/>
        </w:rPr>
        <w:t xml:space="preserve">אכן </w:t>
      </w:r>
      <w:r w:rsidRPr="00283419">
        <w:rPr>
          <w:rtl/>
        </w:rPr>
        <w:t xml:space="preserve">נורמה </w:t>
      </w:r>
      <w:r w:rsidRPr="00283419">
        <w:rPr>
          <w:rFonts w:hint="cs"/>
          <w:rtl/>
        </w:rPr>
        <w:t>המצויה במדרג חוקתי,</w:t>
      </w:r>
      <w:r w:rsidRPr="00283419">
        <w:rPr>
          <w:rtl/>
        </w:rPr>
        <w:t xml:space="preserve"> על פי המבחנים הנ</w:t>
      </w:r>
      <w:r w:rsidRPr="00283419">
        <w:rPr>
          <w:rFonts w:hint="cs"/>
          <w:rtl/>
        </w:rPr>
        <w:t>ו</w:t>
      </w:r>
      <w:r w:rsidRPr="00283419">
        <w:rPr>
          <w:rtl/>
        </w:rPr>
        <w:t>הגים עמנו לזיהוי הסדרים מסוג זה</w:t>
      </w:r>
      <w:r w:rsidRPr="00283419">
        <w:rPr>
          <w:rFonts w:hint="cs"/>
          <w:rtl/>
        </w:rPr>
        <w:t>. משימת זיהויה של נורמה כנורמה משפטית במדרג נורמטיבי מסוים, לרבות המדרג החוקתי, מצויה בליבת תפקידו של בית המשפט [...] במילים אחרות, תפקידו של בית המשפט בהקשר זה הוא להגן על החוקה המתגבשת מפני חדירה של נורמות, שאינן מצויות במדרג המתאים לכך, אל תוך המארג החוקתי באופן שעלול לגרום לשחיקה וזילות במעמדם של חוקי היסוד</w:t>
      </w:r>
      <w:r>
        <w:rPr>
          <w:rFonts w:hint="cs"/>
          <w:rtl/>
        </w:rPr>
        <w:t>"</w:t>
      </w:r>
      <w:r w:rsidRPr="00283419">
        <w:rPr>
          <w:rFonts w:hint="cs"/>
          <w:rtl/>
        </w:rPr>
        <w:t xml:space="preserve"> (</w:t>
      </w:r>
      <w:r w:rsidRPr="00721F93">
        <w:rPr>
          <w:rFonts w:ascii="Century" w:hAnsi="Century" w:cs="Miriam" w:hint="cs"/>
          <w:b/>
          <w:spacing w:val="0"/>
          <w:szCs w:val="24"/>
          <w:rtl/>
        </w:rPr>
        <w:t>שם</w:t>
      </w:r>
      <w:r w:rsidRPr="00283419">
        <w:rPr>
          <w:rFonts w:hint="cs"/>
          <w:rtl/>
        </w:rPr>
        <w:t xml:space="preserve">, בפסקה </w:t>
      </w:r>
      <w:r>
        <w:rPr>
          <w:rFonts w:hint="cs"/>
          <w:rtl/>
        </w:rPr>
        <w:t>31</w:t>
      </w:r>
      <w:r w:rsidRPr="00283419">
        <w:rPr>
          <w:rFonts w:hint="cs"/>
          <w:rtl/>
        </w:rPr>
        <w:t xml:space="preserve"> לחוות </w:t>
      </w:r>
      <w:r>
        <w:rPr>
          <w:rFonts w:hint="cs"/>
          <w:rtl/>
        </w:rPr>
        <w:t>דעתי</w:t>
      </w:r>
      <w:r w:rsidRPr="00283419">
        <w:rPr>
          <w:rFonts w:hint="cs"/>
          <w:rtl/>
        </w:rPr>
        <w:t>)</w:t>
      </w:r>
      <w:r>
        <w:rPr>
          <w:rFonts w:hint="cs"/>
          <w:rtl/>
        </w:rPr>
        <w:t>.</w:t>
      </w:r>
    </w:p>
    <w:p w:rsidR="00C044AE" w:rsidRPr="00283419" w:rsidRDefault="00C044AE" w:rsidP="00C044AE">
      <w:pPr>
        <w:pStyle w:val="Ruller41"/>
      </w:pPr>
    </w:p>
    <w:p w:rsidR="00C044AE" w:rsidRDefault="00C044AE" w:rsidP="00C044AE">
      <w:pPr>
        <w:pStyle w:val="Ruller4"/>
        <w:numPr>
          <w:ilvl w:val="0"/>
          <w:numId w:val="0"/>
        </w:numPr>
        <w:rPr>
          <w:rtl/>
        </w:rPr>
      </w:pPr>
      <w:r>
        <w:rPr>
          <w:rtl/>
        </w:rPr>
        <w:tab/>
      </w:r>
      <w:r>
        <w:rPr>
          <w:rFonts w:hint="cs"/>
          <w:rtl/>
        </w:rPr>
        <w:t>הובהר כי עניינה של דוקטרינה זו הוא ב</w:t>
      </w:r>
      <w:r w:rsidRPr="00C12AF1">
        <w:rPr>
          <w:rFonts w:cs="Miriam" w:hint="cs"/>
          <w:sz w:val="22"/>
          <w:szCs w:val="24"/>
          <w:rtl/>
        </w:rPr>
        <w:t>זיהוי הנורמה</w:t>
      </w:r>
      <w:r w:rsidRPr="00C12AF1">
        <w:rPr>
          <w:rFonts w:hint="cs"/>
          <w:sz w:val="22"/>
          <w:szCs w:val="24"/>
          <w:rtl/>
        </w:rPr>
        <w:t xml:space="preserve"> </w:t>
      </w:r>
      <w:r>
        <w:rPr>
          <w:rFonts w:hint="cs"/>
          <w:rtl/>
        </w:rPr>
        <w:t xml:space="preserve">העומדת לדיון כנורמה חוקתית, בהתאם למאפיינים הפורמליים-פרוצדורליים שלה, וזאת להבדיל מהפעלת ביקורת שיפוטית על </w:t>
      </w:r>
      <w:r w:rsidRPr="00255CCB">
        <w:rPr>
          <w:rFonts w:ascii="Century" w:hAnsi="Century" w:cs="Miriam" w:hint="cs"/>
          <w:b/>
          <w:spacing w:val="0"/>
          <w:sz w:val="22"/>
          <w:szCs w:val="24"/>
          <w:rtl/>
        </w:rPr>
        <w:t>תוכן הנורמה</w:t>
      </w:r>
      <w:r>
        <w:rPr>
          <w:rFonts w:hint="cs"/>
          <w:rtl/>
        </w:rPr>
        <w:t>. לצורך כך, הוצג בחוות דעתי מבחן דו-שלבי שנועד להנחות את בית המשפט בבואו לבחון האם הכנסת עשתה שימוש לרעה בסמכותה המכוננת. בשלב הראשון, "</w:t>
      </w:r>
      <w:r w:rsidRPr="007D51EA">
        <w:rPr>
          <w:rFonts w:cs="Miriam" w:hint="cs"/>
          <w:sz w:val="20"/>
          <w:szCs w:val="24"/>
          <w:rtl/>
        </w:rPr>
        <w:t>שלב הזיהוי</w:t>
      </w:r>
      <w:r>
        <w:rPr>
          <w:rFonts w:hint="cs"/>
          <w:rtl/>
        </w:rPr>
        <w:t xml:space="preserve">", יבחן בית המשפט אם חוק היסוד או התיקון לו נושא את המאפיינים הצורניים וסימני ההיכר של נורמות חוקתיות. לשם כך נקבעו מספר מבחני עזר, </w:t>
      </w:r>
      <w:r w:rsidRPr="00721F93">
        <w:rPr>
          <w:rFonts w:ascii="Century" w:hAnsi="Century" w:hint="eastAsia"/>
          <w:sz w:val="22"/>
          <w:rtl/>
        </w:rPr>
        <w:t>שאינם</w:t>
      </w:r>
      <w:r w:rsidRPr="00721F93">
        <w:rPr>
          <w:rFonts w:ascii="Century" w:hAnsi="Century"/>
          <w:sz w:val="22"/>
          <w:rtl/>
        </w:rPr>
        <w:t xml:space="preserve"> </w:t>
      </w:r>
      <w:r w:rsidRPr="00721F93">
        <w:rPr>
          <w:rFonts w:ascii="Century" w:hAnsi="Century" w:hint="eastAsia"/>
          <w:sz w:val="22"/>
          <w:rtl/>
        </w:rPr>
        <w:t>בבחינת</w:t>
      </w:r>
      <w:r w:rsidRPr="00721F93">
        <w:rPr>
          <w:rFonts w:ascii="Century" w:hAnsi="Century"/>
          <w:sz w:val="22"/>
          <w:rtl/>
        </w:rPr>
        <w:t xml:space="preserve"> </w:t>
      </w:r>
      <w:r w:rsidRPr="00721F93">
        <w:rPr>
          <w:rFonts w:ascii="Century" w:hAnsi="Century" w:hint="eastAsia"/>
          <w:sz w:val="22"/>
          <w:rtl/>
        </w:rPr>
        <w:t>רשימה</w:t>
      </w:r>
      <w:r w:rsidRPr="00721F93">
        <w:rPr>
          <w:rFonts w:ascii="Century" w:hAnsi="Century"/>
          <w:sz w:val="22"/>
          <w:rtl/>
        </w:rPr>
        <w:t xml:space="preserve"> </w:t>
      </w:r>
      <w:r w:rsidRPr="00721F93">
        <w:rPr>
          <w:rFonts w:ascii="Century" w:hAnsi="Century" w:hint="eastAsia"/>
          <w:sz w:val="22"/>
          <w:rtl/>
        </w:rPr>
        <w:t>סגורה</w:t>
      </w:r>
      <w:r>
        <w:rPr>
          <w:rFonts w:hint="cs"/>
          <w:rtl/>
        </w:rPr>
        <w:t xml:space="preserve">: (1) </w:t>
      </w:r>
      <w:r w:rsidRPr="007D51EA">
        <w:rPr>
          <w:rFonts w:cs="Miriam" w:hint="cs"/>
          <w:sz w:val="20"/>
          <w:szCs w:val="24"/>
          <w:rtl/>
        </w:rPr>
        <w:t>מבחן היציבות</w:t>
      </w:r>
      <w:r>
        <w:rPr>
          <w:rFonts w:hint="cs"/>
          <w:rtl/>
        </w:rPr>
        <w:t xml:space="preserve">, במסגרתו תיבחן השאלה אם לפנינו הסדר קבע יציב הצופה פני עתיד, כנדרש מנורמות חוקתיות שנועדו לעצב את דמותה של המדינה לאורך זמן; (2) </w:t>
      </w:r>
      <w:r w:rsidRPr="00BB4D3D">
        <w:rPr>
          <w:rFonts w:cs="Miriam" w:hint="cs"/>
          <w:sz w:val="20"/>
          <w:szCs w:val="24"/>
          <w:rtl/>
        </w:rPr>
        <w:t>מבחן הכלליות</w:t>
      </w:r>
      <w:r>
        <w:rPr>
          <w:rFonts w:hint="cs"/>
          <w:rtl/>
        </w:rPr>
        <w:t xml:space="preserve">, במסגרתו נבחנת </w:t>
      </w:r>
      <w:r w:rsidRPr="002A726F">
        <w:rPr>
          <w:rFonts w:hint="cs"/>
          <w:rtl/>
        </w:rPr>
        <w:t xml:space="preserve">השאלה אם מדובר בנורמה בעלת תחולה כללית </w:t>
      </w:r>
      <w:r>
        <w:rPr>
          <w:rFonts w:hint="cs"/>
          <w:rtl/>
        </w:rPr>
        <w:t>ו</w:t>
      </w:r>
      <w:r w:rsidRPr="002A726F">
        <w:rPr>
          <w:rFonts w:hint="cs"/>
          <w:rtl/>
        </w:rPr>
        <w:t>מופשטת</w:t>
      </w:r>
      <w:r>
        <w:rPr>
          <w:rFonts w:hint="cs"/>
          <w:rtl/>
        </w:rPr>
        <w:t>,</w:t>
      </w:r>
      <w:r w:rsidRPr="002A726F">
        <w:rPr>
          <w:rFonts w:hint="cs"/>
          <w:rtl/>
        </w:rPr>
        <w:t xml:space="preserve"> </w:t>
      </w:r>
      <w:r>
        <w:rPr>
          <w:rFonts w:hint="cs"/>
          <w:rtl/>
        </w:rPr>
        <w:t xml:space="preserve">המתייחסת </w:t>
      </w:r>
      <w:r w:rsidRPr="002A726F">
        <w:rPr>
          <w:rFonts w:hint="cs"/>
          <w:rtl/>
        </w:rPr>
        <w:t>לקבוצה בלתי מסוימת</w:t>
      </w:r>
      <w:r>
        <w:rPr>
          <w:rFonts w:hint="cs"/>
          <w:rtl/>
        </w:rPr>
        <w:t xml:space="preserve">, וזאת להבדיל מנורמה פרסונאלית; (3) </w:t>
      </w:r>
      <w:r w:rsidRPr="00BB4D3D">
        <w:rPr>
          <w:rFonts w:cs="Miriam" w:hint="cs"/>
          <w:sz w:val="20"/>
          <w:szCs w:val="24"/>
          <w:rtl/>
        </w:rPr>
        <w:t xml:space="preserve">מבחן </w:t>
      </w:r>
      <w:r>
        <w:rPr>
          <w:rFonts w:cs="Miriam" w:hint="cs"/>
          <w:sz w:val="20"/>
          <w:szCs w:val="24"/>
          <w:rtl/>
        </w:rPr>
        <w:t>ההתאמה למארג החוקתי</w:t>
      </w:r>
      <w:r>
        <w:rPr>
          <w:rFonts w:hint="cs"/>
          <w:rtl/>
        </w:rPr>
        <w:t xml:space="preserve">, לפיו תיבחן השאלה אם הנורמה עולה בקנה אחד עם אופיים של אותם הנושאים שהוסדרו בחוקי היסוד. ככל שהחוק אינו מקיים אחד או יותר ממאפיינים אלו, בשלב השני </w:t>
      </w:r>
      <w:r>
        <w:rPr>
          <w:rtl/>
        </w:rPr>
        <w:t>–</w:t>
      </w:r>
      <w:r>
        <w:rPr>
          <w:rFonts w:hint="cs"/>
          <w:rtl/>
        </w:rPr>
        <w:t xml:space="preserve"> "</w:t>
      </w:r>
      <w:r w:rsidRPr="00554595">
        <w:rPr>
          <w:rFonts w:cs="Miriam" w:hint="cs"/>
          <w:sz w:val="20"/>
          <w:szCs w:val="24"/>
          <w:rtl/>
        </w:rPr>
        <w:t>שלב הצידוק</w:t>
      </w:r>
      <w:r>
        <w:rPr>
          <w:rFonts w:hint="cs"/>
          <w:rtl/>
        </w:rPr>
        <w:t xml:space="preserve">" </w:t>
      </w:r>
      <w:r>
        <w:rPr>
          <w:rtl/>
        </w:rPr>
        <w:t>–</w:t>
      </w:r>
      <w:r>
        <w:rPr>
          <w:rFonts w:hint="cs"/>
          <w:rtl/>
        </w:rPr>
        <w:t xml:space="preserve"> עובר הנטל אל כתפי המשיבים להצביע על הצדקה מיוחדת לקביעת הסדר שאינו חוקתי באופיו במסגרת חוק יסוד דווקא (והשוו לחוות דעתה של השופטת </w:t>
      </w:r>
      <w:r w:rsidRPr="00551D8E">
        <w:rPr>
          <w:rFonts w:ascii="Century" w:hAnsi="Century" w:cs="Miriam" w:hint="cs"/>
          <w:b/>
          <w:spacing w:val="0"/>
          <w:sz w:val="22"/>
          <w:szCs w:val="24"/>
          <w:rtl/>
        </w:rPr>
        <w:t>ברק-ארז</w:t>
      </w:r>
      <w:r w:rsidRPr="00551D8E">
        <w:rPr>
          <w:rFonts w:hint="cs"/>
          <w:rtl/>
        </w:rPr>
        <w:t xml:space="preserve"> </w:t>
      </w:r>
      <w:r>
        <w:rPr>
          <w:rFonts w:hint="cs"/>
          <w:rtl/>
        </w:rPr>
        <w:t xml:space="preserve">בעניין </w:t>
      </w:r>
      <w:r w:rsidRPr="00721F93">
        <w:rPr>
          <w:rFonts w:ascii="Century" w:hAnsi="Century" w:cs="Miriam" w:hint="cs"/>
          <w:b/>
          <w:spacing w:val="0"/>
          <w:sz w:val="22"/>
          <w:szCs w:val="24"/>
          <w:rtl/>
        </w:rPr>
        <w:t>שפיר</w:t>
      </w:r>
      <w:r w:rsidRPr="00721F93">
        <w:rPr>
          <w:rFonts w:hint="cs"/>
          <w:rtl/>
        </w:rPr>
        <w:t xml:space="preserve"> </w:t>
      </w:r>
      <w:r>
        <w:rPr>
          <w:rFonts w:hint="cs"/>
          <w:rtl/>
        </w:rPr>
        <w:t xml:space="preserve">שסברה כי חלף מבחן ההתאמה למארג החוקתי יאומץ מבחן "המובחנות" </w:t>
      </w:r>
      <w:r>
        <w:rPr>
          <w:rtl/>
        </w:rPr>
        <w:t>–</w:t>
      </w:r>
      <w:r>
        <w:rPr>
          <w:rFonts w:hint="cs"/>
          <w:rtl/>
        </w:rPr>
        <w:t xml:space="preserve"> הבוחן אם ההסדר שעוגן בחקיקת היסוד פולש באופן מובהק אל תחום אחריותן של אחת משלוש רשויות השלטון האחרות; וכן הציעה לוותר על שלב הצידוק, כך שהוראה שאינה עומדת במבחני הזיהוי לא תוכל להיחשב כחקיקת יסוד). </w:t>
      </w:r>
    </w:p>
    <w:p w:rsidR="00C044AE" w:rsidRDefault="00C044AE" w:rsidP="00C044AE">
      <w:pPr>
        <w:pStyle w:val="Ruller41"/>
        <w:rPr>
          <w:rtl/>
        </w:rPr>
      </w:pPr>
    </w:p>
    <w:p w:rsidR="00C044AE" w:rsidRPr="00A60EF5" w:rsidRDefault="00C044AE" w:rsidP="00C044AE">
      <w:pPr>
        <w:pStyle w:val="Ruller41"/>
        <w:rPr>
          <w:rtl/>
        </w:rPr>
      </w:pPr>
      <w:r>
        <w:rPr>
          <w:rtl/>
        </w:rPr>
        <w:tab/>
      </w:r>
      <w:r>
        <w:rPr>
          <w:rFonts w:hint="cs"/>
          <w:rtl/>
        </w:rPr>
        <w:t xml:space="preserve">בפסק הדין </w:t>
      </w:r>
      <w:r w:rsidRPr="008D67DC">
        <w:rPr>
          <w:rFonts w:hint="cs"/>
          <w:rtl/>
        </w:rPr>
        <w:t xml:space="preserve">נקבע בדעת רוב </w:t>
      </w:r>
      <w:r>
        <w:rPr>
          <w:rFonts w:hint="cs"/>
          <w:rtl/>
        </w:rPr>
        <w:t xml:space="preserve">של שישה מתוך תשעת שופטי ההרכב, </w:t>
      </w:r>
      <w:r w:rsidRPr="008D67DC">
        <w:rPr>
          <w:rFonts w:hint="cs"/>
          <w:rtl/>
        </w:rPr>
        <w:t xml:space="preserve">כי </w:t>
      </w:r>
      <w:r>
        <w:rPr>
          <w:rFonts w:hint="cs"/>
          <w:rtl/>
        </w:rPr>
        <w:t xml:space="preserve">תיקון מס' 50 לחוק-יסוד: הכנסת נעדר את סימני ההיכר של נורמה חוקתית וכי </w:t>
      </w:r>
      <w:r w:rsidRPr="008D67DC">
        <w:rPr>
          <w:rFonts w:hint="cs"/>
          <w:rtl/>
        </w:rPr>
        <w:t>הכנסת עשתה</w:t>
      </w:r>
      <w:r w:rsidRPr="008D67DC">
        <w:rPr>
          <w:rtl/>
        </w:rPr>
        <w:t xml:space="preserve"> שימוש לרעה בסמכות המכוננת</w:t>
      </w:r>
      <w:r>
        <w:rPr>
          <w:rFonts w:hint="cs"/>
          <w:rtl/>
        </w:rPr>
        <w:t xml:space="preserve">. עם זאת, </w:t>
      </w:r>
      <w:r w:rsidRPr="00816131">
        <w:rPr>
          <w:rFonts w:hint="eastAsia"/>
          <w:rtl/>
        </w:rPr>
        <w:t>נפסק</w:t>
      </w:r>
      <w:r w:rsidRPr="00816131">
        <w:rPr>
          <w:rtl/>
        </w:rPr>
        <w:t xml:space="preserve"> </w:t>
      </w:r>
      <w:r>
        <w:rPr>
          <w:rFonts w:hint="cs"/>
          <w:rtl/>
        </w:rPr>
        <w:t xml:space="preserve">כי </w:t>
      </w:r>
      <w:r w:rsidRPr="00816131">
        <w:rPr>
          <w:rFonts w:hint="eastAsia"/>
          <w:rtl/>
        </w:rPr>
        <w:t>באותו</w:t>
      </w:r>
      <w:r w:rsidRPr="00816131">
        <w:rPr>
          <w:rtl/>
        </w:rPr>
        <w:t xml:space="preserve"> </w:t>
      </w:r>
      <w:r w:rsidRPr="00816131">
        <w:rPr>
          <w:rFonts w:hint="eastAsia"/>
          <w:rtl/>
        </w:rPr>
        <w:t>העני</w:t>
      </w:r>
      <w:r>
        <w:rPr>
          <w:rFonts w:hint="cs"/>
          <w:rtl/>
        </w:rPr>
        <w:t>י</w:t>
      </w:r>
      <w:r w:rsidRPr="00816131">
        <w:rPr>
          <w:rFonts w:hint="eastAsia"/>
          <w:rtl/>
        </w:rPr>
        <w:t>ן</w:t>
      </w:r>
      <w:r>
        <w:rPr>
          <w:rFonts w:hint="cs"/>
          <w:rtl/>
        </w:rPr>
        <w:t xml:space="preserve"> יש </w:t>
      </w:r>
      <w:r w:rsidRPr="008D67DC">
        <w:rPr>
          <w:rtl/>
        </w:rPr>
        <w:t xml:space="preserve">להסתפק ב"התראת בטלות" </w:t>
      </w:r>
      <w:r>
        <w:rPr>
          <w:rFonts w:hint="cs"/>
          <w:rtl/>
        </w:rPr>
        <w:t>הקובעת</w:t>
      </w:r>
      <w:r w:rsidRPr="008D67DC">
        <w:rPr>
          <w:rtl/>
        </w:rPr>
        <w:t xml:space="preserve"> כי לא ניתן </w:t>
      </w:r>
      <w:r>
        <w:rPr>
          <w:rFonts w:hint="cs"/>
          <w:rtl/>
        </w:rPr>
        <w:t>לשוב ו</w:t>
      </w:r>
      <w:r w:rsidRPr="008D67DC">
        <w:rPr>
          <w:rtl/>
        </w:rPr>
        <w:t>לתקן את חוק</w:t>
      </w:r>
      <w:r>
        <w:rPr>
          <w:rFonts w:hint="cs"/>
          <w:rtl/>
        </w:rPr>
        <w:t>-</w:t>
      </w:r>
      <w:r w:rsidRPr="008D67DC">
        <w:rPr>
          <w:rtl/>
        </w:rPr>
        <w:t xml:space="preserve">יסוד: משק המדינה </w:t>
      </w:r>
      <w:r>
        <w:rPr>
          <w:rFonts w:hint="cs"/>
          <w:rtl/>
        </w:rPr>
        <w:t>באופן דומה לצורך</w:t>
      </w:r>
      <w:r w:rsidRPr="008D67DC">
        <w:rPr>
          <w:rtl/>
        </w:rPr>
        <w:t xml:space="preserve"> </w:t>
      </w:r>
      <w:r>
        <w:rPr>
          <w:rFonts w:hint="cs"/>
          <w:rtl/>
        </w:rPr>
        <w:t>הגדלת</w:t>
      </w:r>
      <w:r w:rsidRPr="008D67DC">
        <w:rPr>
          <w:rtl/>
        </w:rPr>
        <w:t xml:space="preserve"> תקרת התקציב ההמשכי</w:t>
      </w:r>
      <w:r w:rsidRPr="008D67DC">
        <w:rPr>
          <w:rFonts w:hint="cs"/>
          <w:rtl/>
        </w:rPr>
        <w:t>.</w:t>
      </w:r>
      <w:r>
        <w:rPr>
          <w:rFonts w:hint="cs"/>
          <w:rtl/>
        </w:rPr>
        <w:t xml:space="preserve"> דעת המיעוט (השופטים </w:t>
      </w:r>
      <w:r w:rsidRPr="00A60EF5">
        <w:rPr>
          <w:rFonts w:ascii="Century" w:hAnsi="Century" w:cs="Miriam" w:hint="cs"/>
          <w:b/>
          <w:spacing w:val="0"/>
          <w:szCs w:val="24"/>
          <w:rtl/>
        </w:rPr>
        <w:t>סולברג</w:t>
      </w:r>
      <w:r>
        <w:rPr>
          <w:rFonts w:hint="cs"/>
          <w:rtl/>
        </w:rPr>
        <w:t xml:space="preserve">, </w:t>
      </w:r>
      <w:r w:rsidRPr="00A60EF5">
        <w:rPr>
          <w:rFonts w:ascii="Century" w:hAnsi="Century" w:cs="Miriam" w:hint="cs"/>
          <w:b/>
          <w:spacing w:val="0"/>
          <w:szCs w:val="24"/>
          <w:rtl/>
        </w:rPr>
        <w:t>מינץ</w:t>
      </w:r>
      <w:r w:rsidRPr="00A60EF5">
        <w:rPr>
          <w:rFonts w:hint="cs"/>
          <w:rtl/>
        </w:rPr>
        <w:t xml:space="preserve"> </w:t>
      </w:r>
      <w:r>
        <w:rPr>
          <w:rFonts w:hint="cs"/>
          <w:rtl/>
        </w:rPr>
        <w:t>ו</w:t>
      </w:r>
      <w:r w:rsidRPr="00A60EF5">
        <w:rPr>
          <w:rFonts w:ascii="Century" w:hAnsi="Century" w:cs="Miriam" w:hint="cs"/>
          <w:b/>
          <w:spacing w:val="0"/>
          <w:szCs w:val="24"/>
          <w:rtl/>
        </w:rPr>
        <w:t>אלרון</w:t>
      </w:r>
      <w:r>
        <w:rPr>
          <w:rFonts w:hint="cs"/>
          <w:rtl/>
        </w:rPr>
        <w:t xml:space="preserve">) הסתייגה מאימוץ דוקטרינה החורגת מהמבחן הצורני לזיהוי חוקי יסוד על פי כותרתם. </w:t>
      </w:r>
    </w:p>
    <w:p w:rsidR="00C044AE" w:rsidRDefault="00C044AE" w:rsidP="00C044AE">
      <w:pPr>
        <w:pStyle w:val="Ruller41"/>
        <w:rPr>
          <w:rtl/>
        </w:rPr>
      </w:pPr>
    </w:p>
    <w:p w:rsidR="00C044AE" w:rsidRDefault="00C044AE" w:rsidP="00C044AE">
      <w:pPr>
        <w:pStyle w:val="Ruller4"/>
      </w:pPr>
      <w:r>
        <w:rPr>
          <w:rFonts w:hint="cs"/>
          <w:rtl/>
        </w:rPr>
        <w:t xml:space="preserve">דוקטרינת השימוש לרעה בסמכות המכוננת </w:t>
      </w:r>
      <w:r>
        <w:rPr>
          <w:rtl/>
        </w:rPr>
        <w:t>–</w:t>
      </w:r>
      <w:r>
        <w:rPr>
          <w:rFonts w:hint="cs"/>
          <w:rtl/>
        </w:rPr>
        <w:t xml:space="preserve"> אשר הוצגה עוד בעניין </w:t>
      </w:r>
      <w:r w:rsidRPr="004A30FD">
        <w:rPr>
          <w:rFonts w:ascii="Century" w:hAnsi="Century" w:cs="Miriam" w:hint="cs"/>
          <w:b/>
          <w:spacing w:val="0"/>
          <w:sz w:val="22"/>
          <w:szCs w:val="24"/>
          <w:rtl/>
        </w:rPr>
        <w:t>בר-און</w:t>
      </w:r>
      <w:r>
        <w:rPr>
          <w:rFonts w:hint="cs"/>
          <w:rtl/>
        </w:rPr>
        <w:t xml:space="preserve">, הוכרה ויושמה לראשונה בעניין </w:t>
      </w:r>
      <w:r w:rsidRPr="004A30FD">
        <w:rPr>
          <w:rFonts w:ascii="Century" w:hAnsi="Century" w:cs="Miriam" w:hint="cs"/>
          <w:b/>
          <w:spacing w:val="0"/>
          <w:sz w:val="22"/>
          <w:szCs w:val="24"/>
          <w:rtl/>
        </w:rPr>
        <w:t>המרכז האקדמי</w:t>
      </w:r>
      <w:r>
        <w:rPr>
          <w:rFonts w:hint="cs"/>
          <w:rtl/>
        </w:rPr>
        <w:t xml:space="preserve">, ופותחה לכדי מבחנים קונקרטיים בעניין </w:t>
      </w:r>
      <w:r w:rsidRPr="004A30FD">
        <w:rPr>
          <w:rFonts w:ascii="Century" w:hAnsi="Century" w:cs="Miriam" w:hint="cs"/>
          <w:b/>
          <w:spacing w:val="0"/>
          <w:sz w:val="22"/>
          <w:szCs w:val="24"/>
          <w:rtl/>
        </w:rPr>
        <w:t>שפיר</w:t>
      </w:r>
      <w:r>
        <w:rPr>
          <w:rFonts w:ascii="Century" w:hAnsi="Century" w:cs="Miriam" w:hint="cs"/>
          <w:b/>
          <w:spacing w:val="0"/>
          <w:sz w:val="22"/>
          <w:szCs w:val="24"/>
          <w:rtl/>
        </w:rPr>
        <w:t xml:space="preserve"> </w:t>
      </w:r>
      <w:r>
        <w:rPr>
          <w:rFonts w:ascii="Century" w:hAnsi="Century" w:cs="Miriam"/>
          <w:b/>
          <w:spacing w:val="0"/>
          <w:sz w:val="22"/>
          <w:szCs w:val="24"/>
          <w:rtl/>
        </w:rPr>
        <w:t>–</w:t>
      </w:r>
      <w:r>
        <w:rPr>
          <w:rFonts w:hint="cs"/>
          <w:rtl/>
        </w:rPr>
        <w:t xml:space="preserve"> השתרשה בפסיקה ובשנים האחרונות אף נבחנו לאורה תיקונים חוקתיים </w:t>
      </w:r>
      <w:r w:rsidRPr="004029E8">
        <w:rPr>
          <w:rFonts w:hint="cs"/>
          <w:rtl/>
        </w:rPr>
        <w:t>נוספים (</w:t>
      </w:r>
      <w:r>
        <w:rPr>
          <w:rFonts w:hint="cs"/>
          <w:rtl/>
        </w:rPr>
        <w:t xml:space="preserve">ראו: </w:t>
      </w:r>
      <w:r w:rsidRPr="004029E8">
        <w:rPr>
          <w:rtl/>
        </w:rPr>
        <w:t xml:space="preserve">בג"ץ 2905/20 </w:t>
      </w:r>
      <w:r w:rsidRPr="004029E8">
        <w:rPr>
          <w:rFonts w:ascii="Century" w:hAnsi="Century" w:cs="Miriam"/>
          <w:b/>
          <w:spacing w:val="0"/>
          <w:sz w:val="22"/>
          <w:szCs w:val="24"/>
          <w:rtl/>
        </w:rPr>
        <w:t>התנועה למען איכות השלטון בישראל נ</w:t>
      </w:r>
      <w:r w:rsidRPr="004029E8">
        <w:rPr>
          <w:rFonts w:ascii="Century" w:hAnsi="Century" w:cs="Miriam" w:hint="cs"/>
          <w:b/>
          <w:spacing w:val="0"/>
          <w:sz w:val="22"/>
          <w:szCs w:val="24"/>
          <w:rtl/>
        </w:rPr>
        <w:t>'</w:t>
      </w:r>
      <w:r w:rsidRPr="004029E8">
        <w:rPr>
          <w:rFonts w:ascii="Century" w:hAnsi="Century" w:cs="Miriam"/>
          <w:b/>
          <w:spacing w:val="0"/>
          <w:sz w:val="22"/>
          <w:szCs w:val="24"/>
          <w:rtl/>
        </w:rPr>
        <w:t xml:space="preserve"> כנסת ישראל</w:t>
      </w:r>
      <w:r>
        <w:rPr>
          <w:rFonts w:hint="cs"/>
          <w:rtl/>
        </w:rPr>
        <w:t xml:space="preserve"> (12.7.2021)</w:t>
      </w:r>
      <w:r w:rsidRPr="004029E8">
        <w:rPr>
          <w:rFonts w:hint="cs"/>
          <w:rtl/>
        </w:rPr>
        <w:t xml:space="preserve"> (להלן: </w:t>
      </w:r>
      <w:r w:rsidRPr="004029E8">
        <w:rPr>
          <w:rFonts w:ascii="Century" w:hAnsi="Century" w:cs="Miriam" w:hint="cs"/>
          <w:b/>
          <w:spacing w:val="0"/>
          <w:sz w:val="22"/>
          <w:szCs w:val="24"/>
          <w:rtl/>
        </w:rPr>
        <w:t>עניין ממשלת החילופים</w:t>
      </w:r>
      <w:r w:rsidRPr="004029E8">
        <w:rPr>
          <w:rFonts w:hint="cs"/>
          <w:rtl/>
        </w:rPr>
        <w:t xml:space="preserve">); </w:t>
      </w:r>
      <w:r>
        <w:rPr>
          <w:rFonts w:hint="cs"/>
          <w:rtl/>
        </w:rPr>
        <w:t xml:space="preserve">ועניין </w:t>
      </w:r>
      <w:r w:rsidRPr="00A41B9C">
        <w:rPr>
          <w:rFonts w:ascii="Century" w:hAnsi="Century" w:cs="Miriam" w:hint="cs"/>
          <w:b/>
          <w:spacing w:val="0"/>
          <w:sz w:val="22"/>
          <w:szCs w:val="24"/>
          <w:rtl/>
        </w:rPr>
        <w:t>שיינפלד</w:t>
      </w:r>
      <w:r w:rsidRPr="004029E8">
        <w:rPr>
          <w:rFonts w:hint="cs"/>
          <w:rtl/>
        </w:rPr>
        <w:t xml:space="preserve">). </w:t>
      </w:r>
      <w:r>
        <w:rPr>
          <w:rFonts w:hint="cs"/>
          <w:rtl/>
        </w:rPr>
        <w:t xml:space="preserve">זאת, בין היתר, נוכח </w:t>
      </w:r>
      <w:r>
        <w:rPr>
          <w:rFonts w:ascii="FrankRuehl" w:hAnsi="FrankRuehl" w:hint="cs"/>
          <w:color w:val="000000"/>
          <w:sz w:val="28"/>
          <w:rtl/>
        </w:rPr>
        <w:t xml:space="preserve">דפוס </w:t>
      </w:r>
      <w:r>
        <w:rPr>
          <w:rFonts w:ascii="FrankRuehl" w:hAnsi="FrankRuehl"/>
          <w:color w:val="000000"/>
          <w:sz w:val="28"/>
          <w:rtl/>
        </w:rPr>
        <w:t xml:space="preserve">של שינויים משטריים משמעותיים </w:t>
      </w:r>
      <w:r>
        <w:rPr>
          <w:rFonts w:ascii="FrankRuehl" w:hAnsi="FrankRuehl" w:hint="cs"/>
          <w:color w:val="000000"/>
          <w:sz w:val="28"/>
          <w:rtl/>
        </w:rPr>
        <w:t>"</w:t>
      </w:r>
      <w:r w:rsidRPr="00A22874">
        <w:rPr>
          <w:rFonts w:ascii="FrankRuehl" w:hAnsi="FrankRuehl"/>
          <w:color w:val="000000"/>
          <w:sz w:val="28"/>
          <w:rtl/>
        </w:rPr>
        <w:t xml:space="preserve">המבוצעים אד-הוק, לעתים בדרך של הוראת שעה, בתחולה </w:t>
      </w:r>
      <w:r w:rsidRPr="00A22874">
        <w:rPr>
          <w:rFonts w:ascii="FrankRuehl" w:hAnsi="FrankRuehl"/>
          <w:color w:val="000000"/>
          <w:sz w:val="28"/>
          <w:rtl/>
        </w:rPr>
        <w:lastRenderedPageBreak/>
        <w:t>מיידית (ולעתים בלעדית) לכנסת שביצעה אותם</w:t>
      </w:r>
      <w:r>
        <w:rPr>
          <w:rFonts w:ascii="FrankRuehl" w:hAnsi="FrankRuehl"/>
          <w:color w:val="000000"/>
          <w:sz w:val="28"/>
        </w:rPr>
        <w:t>"</w:t>
      </w:r>
      <w:r>
        <w:rPr>
          <w:rFonts w:ascii="FrankRuehl" w:hAnsi="FrankRuehl" w:hint="cs"/>
          <w:color w:val="000000"/>
          <w:sz w:val="28"/>
          <w:rtl/>
        </w:rPr>
        <w:t xml:space="preserve"> (עניין </w:t>
      </w:r>
      <w:r w:rsidRPr="00CE07AD">
        <w:rPr>
          <w:rFonts w:ascii="Century" w:hAnsi="Century" w:cs="Miriam" w:hint="cs"/>
          <w:b/>
          <w:spacing w:val="0"/>
          <w:sz w:val="22"/>
          <w:szCs w:val="24"/>
          <w:rtl/>
        </w:rPr>
        <w:t>ממשלת החילופים</w:t>
      </w:r>
      <w:r>
        <w:rPr>
          <w:rFonts w:ascii="FrankRuehl" w:hAnsi="FrankRuehl" w:hint="cs"/>
          <w:color w:val="000000"/>
          <w:sz w:val="28"/>
          <w:rtl/>
        </w:rPr>
        <w:t xml:space="preserve">, בפסקה 11 לחוות דעתי; ראו גם: עניין </w:t>
      </w:r>
      <w:r w:rsidRPr="00452668">
        <w:rPr>
          <w:rFonts w:ascii="Century" w:hAnsi="Century" w:cs="Miriam" w:hint="cs"/>
          <w:b/>
          <w:spacing w:val="0"/>
          <w:sz w:val="22"/>
          <w:szCs w:val="24"/>
          <w:rtl/>
        </w:rPr>
        <w:t>שיינפלד</w:t>
      </w:r>
      <w:r>
        <w:rPr>
          <w:rFonts w:ascii="FrankRuehl" w:hAnsi="FrankRuehl" w:hint="cs"/>
          <w:color w:val="000000"/>
          <w:sz w:val="28"/>
          <w:rtl/>
        </w:rPr>
        <w:t xml:space="preserve">, בפסקה 42 לחוות דעתי ובפסקה 4 לחוות דעתו של השופט </w:t>
      </w:r>
      <w:r w:rsidRPr="00452668">
        <w:rPr>
          <w:rFonts w:ascii="Century" w:hAnsi="Century" w:cs="Miriam" w:hint="cs"/>
          <w:b/>
          <w:spacing w:val="0"/>
          <w:sz w:val="22"/>
          <w:szCs w:val="24"/>
          <w:rtl/>
        </w:rPr>
        <w:t>ע' גרוסקופף</w:t>
      </w:r>
      <w:r>
        <w:rPr>
          <w:rFonts w:ascii="FrankRuehl" w:hAnsi="FrankRuehl" w:hint="cs"/>
          <w:color w:val="000000"/>
          <w:sz w:val="28"/>
          <w:rtl/>
        </w:rPr>
        <w:t xml:space="preserve">). </w:t>
      </w:r>
      <w:r>
        <w:rPr>
          <w:rFonts w:hint="cs"/>
          <w:rtl/>
        </w:rPr>
        <w:t>על כן, אין ממש בטענת משיבי הממשלה לפיה דוקטרינת השימוש לרעה בסמכות המכוננת</w:t>
      </w:r>
      <w:r w:rsidRPr="00AC0FA0">
        <w:rPr>
          <w:rtl/>
        </w:rPr>
        <w:t xml:space="preserve"> </w:t>
      </w:r>
      <w:r>
        <w:rPr>
          <w:rFonts w:hint="cs"/>
          <w:rtl/>
        </w:rPr>
        <w:t>"</w:t>
      </w:r>
      <w:r w:rsidRPr="00A274AC">
        <w:rPr>
          <w:rFonts w:hint="eastAsia"/>
          <w:rtl/>
        </w:rPr>
        <w:t>לא</w:t>
      </w:r>
      <w:r w:rsidRPr="00A274AC">
        <w:rPr>
          <w:rtl/>
        </w:rPr>
        <w:t xml:space="preserve"> </w:t>
      </w:r>
      <w:r w:rsidRPr="00A274AC">
        <w:rPr>
          <w:rFonts w:hint="eastAsia"/>
          <w:rtl/>
        </w:rPr>
        <w:t>התקבלה</w:t>
      </w:r>
      <w:r w:rsidRPr="00A274AC">
        <w:rPr>
          <w:rtl/>
        </w:rPr>
        <w:t xml:space="preserve"> </w:t>
      </w:r>
      <w:r w:rsidRPr="00A274AC">
        <w:rPr>
          <w:rFonts w:hint="eastAsia"/>
          <w:rtl/>
        </w:rPr>
        <w:t>למעשה</w:t>
      </w:r>
      <w:r w:rsidRPr="00A274AC">
        <w:rPr>
          <w:rtl/>
        </w:rPr>
        <w:t xml:space="preserve"> </w:t>
      </w:r>
      <w:r w:rsidRPr="00A274AC">
        <w:rPr>
          <w:rFonts w:hint="eastAsia"/>
          <w:rtl/>
        </w:rPr>
        <w:t>כהלכה</w:t>
      </w:r>
      <w:r w:rsidRPr="00A274AC">
        <w:rPr>
          <w:rtl/>
        </w:rPr>
        <w:t xml:space="preserve"> </w:t>
      </w:r>
      <w:r w:rsidRPr="00A274AC">
        <w:rPr>
          <w:rFonts w:hint="eastAsia"/>
          <w:rtl/>
        </w:rPr>
        <w:t>בידי</w:t>
      </w:r>
      <w:r w:rsidRPr="00A274AC">
        <w:rPr>
          <w:rtl/>
        </w:rPr>
        <w:t xml:space="preserve"> </w:t>
      </w:r>
      <w:r w:rsidRPr="00A274AC">
        <w:rPr>
          <w:rFonts w:hint="eastAsia"/>
          <w:rtl/>
        </w:rPr>
        <w:t>בית</w:t>
      </w:r>
      <w:r w:rsidRPr="00A274AC">
        <w:rPr>
          <w:rtl/>
        </w:rPr>
        <w:t xml:space="preserve"> </w:t>
      </w:r>
      <w:r w:rsidRPr="00A274AC">
        <w:rPr>
          <w:rFonts w:hint="eastAsia"/>
          <w:rtl/>
        </w:rPr>
        <w:t>המשפט</w:t>
      </w:r>
      <w:r>
        <w:rPr>
          <w:rFonts w:hint="cs"/>
          <w:rtl/>
        </w:rPr>
        <w:t>" (פסקה 148 לתצהיר התשובה מטעם משיבי הממשלה). כמפורט לעיל, דוקטרינה זו נדונה לא אחת</w:t>
      </w:r>
      <w:r w:rsidRPr="004029E8">
        <w:rPr>
          <w:rFonts w:hint="cs"/>
          <w:rtl/>
        </w:rPr>
        <w:t xml:space="preserve"> </w:t>
      </w:r>
      <w:r>
        <w:rPr>
          <w:rFonts w:hint="cs"/>
          <w:rtl/>
        </w:rPr>
        <w:t xml:space="preserve">בפני </w:t>
      </w:r>
      <w:r w:rsidRPr="004029E8">
        <w:rPr>
          <w:rFonts w:hint="cs"/>
          <w:rtl/>
        </w:rPr>
        <w:t>הרכב</w:t>
      </w:r>
      <w:r>
        <w:rPr>
          <w:rFonts w:hint="cs"/>
          <w:rtl/>
        </w:rPr>
        <w:t>ים</w:t>
      </w:r>
      <w:r w:rsidRPr="004029E8">
        <w:rPr>
          <w:rFonts w:hint="cs"/>
          <w:rtl/>
        </w:rPr>
        <w:t xml:space="preserve"> מורחב</w:t>
      </w:r>
      <w:r>
        <w:rPr>
          <w:rFonts w:hint="cs"/>
          <w:rtl/>
        </w:rPr>
        <w:t>ים</w:t>
      </w:r>
      <w:r w:rsidRPr="004029E8">
        <w:rPr>
          <w:rFonts w:hint="cs"/>
          <w:rtl/>
        </w:rPr>
        <w:t xml:space="preserve"> של בית משפט זה</w:t>
      </w:r>
      <w:r>
        <w:rPr>
          <w:rFonts w:hint="cs"/>
          <w:rtl/>
        </w:rPr>
        <w:t xml:space="preserve"> ואומצה שוב ושוב על ידי מרבית שופטי ההרכב. בשניים מן ההליכים הללו העתירות אף </w:t>
      </w:r>
      <w:r w:rsidRPr="009E60FD">
        <w:rPr>
          <w:rFonts w:ascii="Century" w:hAnsi="Century" w:cs="Miriam" w:hint="cs"/>
          <w:b/>
          <w:spacing w:val="0"/>
          <w:sz w:val="22"/>
          <w:szCs w:val="24"/>
          <w:rtl/>
        </w:rPr>
        <w:t>התקבלו</w:t>
      </w:r>
      <w:r w:rsidRPr="009E60FD">
        <w:rPr>
          <w:rFonts w:hint="cs"/>
          <w:rtl/>
        </w:rPr>
        <w:t xml:space="preserve"> </w:t>
      </w:r>
      <w:r>
        <w:rPr>
          <w:rFonts w:hint="cs"/>
          <w:rtl/>
        </w:rPr>
        <w:t>מן הטעם שהכנסת עשתה שימוש לרעה בסמכותה המכוננת, אך הסעד החוקתי שניתן בהן צפה פני עתיד.</w:t>
      </w:r>
      <w:r w:rsidRPr="004029E8">
        <w:rPr>
          <w:rFonts w:hint="cs"/>
          <w:rtl/>
        </w:rPr>
        <w:t xml:space="preserve"> </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ניתן לסכם ולומר כי במסגרת דוקטרינת השימוש לרעה בסמכות המכוננת,</w:t>
      </w:r>
      <w:r w:rsidRPr="00F55635">
        <w:rPr>
          <w:rFonts w:hint="cs"/>
          <w:rtl/>
        </w:rPr>
        <w:t xml:space="preserve"> </w:t>
      </w:r>
      <w:r>
        <w:rPr>
          <w:rFonts w:hint="cs"/>
          <w:rtl/>
        </w:rPr>
        <w:t xml:space="preserve">מתמקד בית המשפט </w:t>
      </w:r>
      <w:r w:rsidRPr="004029E8">
        <w:rPr>
          <w:rtl/>
        </w:rPr>
        <w:t xml:space="preserve">בזיהוי הנורמה העומדת לדיון </w:t>
      </w:r>
      <w:r>
        <w:rPr>
          <w:rFonts w:hint="cs"/>
          <w:rtl/>
        </w:rPr>
        <w:t>ובשאלה האם היא מתאימה מבחינת מאפייניה</w:t>
      </w:r>
      <w:r w:rsidRPr="004029E8">
        <w:rPr>
          <w:rFonts w:hint="cs"/>
          <w:rtl/>
        </w:rPr>
        <w:t xml:space="preserve"> </w:t>
      </w:r>
      <w:r>
        <w:rPr>
          <w:rFonts w:hint="cs"/>
          <w:rtl/>
        </w:rPr>
        <w:t>להימצא במדרג החוקתי</w:t>
      </w:r>
      <w:r w:rsidRPr="004029E8">
        <w:rPr>
          <w:rFonts w:hint="cs"/>
          <w:rtl/>
        </w:rPr>
        <w:t xml:space="preserve"> (</w:t>
      </w:r>
      <w:r w:rsidRPr="00776F43">
        <w:rPr>
          <w:rFonts w:hint="cs"/>
          <w:rtl/>
        </w:rPr>
        <w:t xml:space="preserve">עניין </w:t>
      </w:r>
      <w:r w:rsidRPr="00776F43">
        <w:rPr>
          <w:rFonts w:cs="Miriam" w:hint="cs"/>
          <w:b/>
          <w:spacing w:val="0"/>
          <w:szCs w:val="24"/>
          <w:rtl/>
        </w:rPr>
        <w:t>ממשלת החילופים</w:t>
      </w:r>
      <w:r w:rsidRPr="00776F43">
        <w:rPr>
          <w:rFonts w:hint="cs"/>
          <w:rtl/>
        </w:rPr>
        <w:t>, בפסקה 2 לחוות דעתי</w:t>
      </w:r>
      <w:r w:rsidRPr="004029E8">
        <w:rPr>
          <w:rFonts w:hint="cs"/>
          <w:rtl/>
        </w:rPr>
        <w:t>).</w:t>
      </w:r>
      <w:r>
        <w:rPr>
          <w:rFonts w:hint="cs"/>
          <w:rtl/>
        </w:rPr>
        <w:t xml:space="preserve"> הוא אינו מקיים, במסגרת דוקטרינה זו, ביקורת שיפוטית על תוכנה של</w:t>
      </w:r>
      <w:r w:rsidRPr="007F6893">
        <w:rPr>
          <w:rtl/>
        </w:rPr>
        <w:t xml:space="preserve"> </w:t>
      </w:r>
      <w:r w:rsidRPr="007F6893">
        <w:rPr>
          <w:rFonts w:hint="eastAsia"/>
          <w:rtl/>
        </w:rPr>
        <w:t>חקיקת</w:t>
      </w:r>
      <w:r w:rsidRPr="007F6893">
        <w:rPr>
          <w:rtl/>
        </w:rPr>
        <w:t xml:space="preserve"> </w:t>
      </w:r>
      <w:r w:rsidRPr="007F6893">
        <w:rPr>
          <w:rFonts w:hint="eastAsia"/>
          <w:rtl/>
        </w:rPr>
        <w:t>היסוד</w:t>
      </w:r>
      <w:r>
        <w:rPr>
          <w:rFonts w:hint="cs"/>
          <w:rtl/>
        </w:rPr>
        <w:t xml:space="preserve"> (ראו: </w:t>
      </w:r>
      <w:r w:rsidRPr="001E7B75">
        <w:rPr>
          <w:rFonts w:hint="cs"/>
          <w:rtl/>
        </w:rPr>
        <w:t xml:space="preserve">עניין </w:t>
      </w:r>
      <w:r w:rsidRPr="001E7B75">
        <w:rPr>
          <w:rFonts w:ascii="Century" w:hAnsi="Century" w:cs="Miriam" w:hint="cs"/>
          <w:b/>
          <w:spacing w:val="0"/>
          <w:sz w:val="22"/>
          <w:szCs w:val="24"/>
          <w:rtl/>
        </w:rPr>
        <w:t>המרכז האקדמי</w:t>
      </w:r>
      <w:r w:rsidRPr="001E7B75">
        <w:rPr>
          <w:rFonts w:hint="cs"/>
          <w:rtl/>
        </w:rPr>
        <w:t xml:space="preserve">, בפסקה 5 לחוות דעתו של המשנה לנשיאה (בדימ') </w:t>
      </w:r>
      <w:r w:rsidRPr="001E7B75">
        <w:rPr>
          <w:rFonts w:ascii="Century" w:hAnsi="Century" w:cs="Miriam" w:hint="cs"/>
          <w:b/>
          <w:spacing w:val="0"/>
          <w:szCs w:val="24"/>
          <w:rtl/>
        </w:rPr>
        <w:t>ג'ובראן</w:t>
      </w:r>
      <w:r>
        <w:rPr>
          <w:rFonts w:hint="cs"/>
          <w:rtl/>
        </w:rPr>
        <w:t>).</w:t>
      </w:r>
    </w:p>
    <w:p w:rsidR="00C044AE" w:rsidRDefault="00C044AE" w:rsidP="00C044AE">
      <w:pPr>
        <w:pStyle w:val="Ruller41"/>
        <w:rPr>
          <w:rtl/>
        </w:rPr>
      </w:pPr>
    </w:p>
    <w:p w:rsidR="00C044AE" w:rsidRPr="00487145" w:rsidRDefault="00C044AE" w:rsidP="00C044AE">
      <w:pPr>
        <w:pStyle w:val="Ruller41"/>
        <w:numPr>
          <w:ilvl w:val="0"/>
          <w:numId w:val="4"/>
        </w:numPr>
        <w:outlineLvl w:val="1"/>
        <w:rPr>
          <w:rFonts w:ascii="Century" w:hAnsi="Century" w:cs="Miriam"/>
          <w:b/>
          <w:spacing w:val="0"/>
          <w:szCs w:val="24"/>
          <w:rtl/>
        </w:rPr>
      </w:pPr>
      <w:r w:rsidRPr="00487145">
        <w:rPr>
          <w:rFonts w:ascii="Century" w:hAnsi="Century" w:cs="Miriam" w:hint="cs"/>
          <w:b/>
          <w:spacing w:val="0"/>
          <w:szCs w:val="24"/>
          <w:rtl/>
        </w:rPr>
        <w:t>חריגה מסמכות הכנסת כרשות מכוננת</w:t>
      </w:r>
    </w:p>
    <w:p w:rsidR="00C044AE" w:rsidRDefault="00C044AE" w:rsidP="00C044AE">
      <w:pPr>
        <w:pStyle w:val="Ruller4"/>
        <w:numPr>
          <w:ilvl w:val="0"/>
          <w:numId w:val="0"/>
        </w:numPr>
        <w:rPr>
          <w:rtl/>
        </w:rPr>
      </w:pPr>
    </w:p>
    <w:p w:rsidR="00C044AE" w:rsidRDefault="00C044AE" w:rsidP="00C044AE">
      <w:pPr>
        <w:pStyle w:val="Ruller4"/>
      </w:pPr>
      <w:r>
        <w:rPr>
          <w:rtl/>
        </w:rPr>
        <w:tab/>
      </w:r>
      <w:r>
        <w:rPr>
          <w:rFonts w:hint="cs"/>
          <w:rtl/>
        </w:rPr>
        <w:t xml:space="preserve">שאלה נפרדת היא השאלה האם ייתכנו מצבים שבהם לא נפל פגם בהכתרת הנורמה כ"חוק יסוד", אך </w:t>
      </w:r>
      <w:r w:rsidRPr="00540AFF">
        <w:rPr>
          <w:rFonts w:ascii="Century" w:hAnsi="Century" w:cs="Miriam" w:hint="cs"/>
          <w:b/>
          <w:spacing w:val="0"/>
          <w:sz w:val="22"/>
          <w:szCs w:val="24"/>
          <w:rtl/>
        </w:rPr>
        <w:t>תוכנה</w:t>
      </w:r>
      <w:r w:rsidRPr="00540AFF">
        <w:rPr>
          <w:rFonts w:hint="cs"/>
          <w:rtl/>
        </w:rPr>
        <w:t xml:space="preserve"> </w:t>
      </w:r>
      <w:r>
        <w:rPr>
          <w:rFonts w:hint="cs"/>
          <w:rtl/>
        </w:rPr>
        <w:t>המהותי של הנורמה מוביל למסקנה כי יש בה משום "</w:t>
      </w:r>
      <w:r w:rsidRPr="00540AFF">
        <w:rPr>
          <w:rFonts w:ascii="Century" w:hAnsi="Century" w:cs="Miriam" w:hint="cs"/>
          <w:b/>
          <w:spacing w:val="0"/>
          <w:sz w:val="22"/>
          <w:szCs w:val="24"/>
          <w:rtl/>
        </w:rPr>
        <w:t>חר</w:t>
      </w:r>
      <w:r>
        <w:rPr>
          <w:rFonts w:ascii="Century" w:hAnsi="Century" w:cs="Miriam" w:hint="cs"/>
          <w:b/>
          <w:spacing w:val="0"/>
          <w:sz w:val="22"/>
          <w:szCs w:val="24"/>
          <w:rtl/>
        </w:rPr>
        <w:t>י</w:t>
      </w:r>
      <w:r w:rsidRPr="00540AFF">
        <w:rPr>
          <w:rFonts w:ascii="Century" w:hAnsi="Century" w:cs="Miriam" w:hint="cs"/>
          <w:b/>
          <w:spacing w:val="0"/>
          <w:sz w:val="22"/>
          <w:szCs w:val="24"/>
          <w:rtl/>
        </w:rPr>
        <w:t>גה מ</w:t>
      </w:r>
      <w:r>
        <w:rPr>
          <w:rFonts w:ascii="Century" w:hAnsi="Century" w:cs="Miriam" w:hint="cs"/>
          <w:b/>
          <w:spacing w:val="0"/>
          <w:sz w:val="22"/>
          <w:szCs w:val="24"/>
          <w:rtl/>
        </w:rPr>
        <w:t>ה</w:t>
      </w:r>
      <w:r w:rsidRPr="00540AFF">
        <w:rPr>
          <w:rFonts w:ascii="Century" w:hAnsi="Century" w:cs="Miriam" w:hint="cs"/>
          <w:b/>
          <w:spacing w:val="0"/>
          <w:sz w:val="22"/>
          <w:szCs w:val="24"/>
          <w:rtl/>
        </w:rPr>
        <w:t>סמכות המכוננת</w:t>
      </w:r>
      <w:r>
        <w:rPr>
          <w:rFonts w:hint="cs"/>
          <w:rtl/>
        </w:rPr>
        <w:t xml:space="preserve">" של הכנסת (עניין </w:t>
      </w:r>
      <w:r w:rsidRPr="00127D2C">
        <w:rPr>
          <w:rFonts w:ascii="Century" w:hAnsi="Century" w:cs="Miriam" w:hint="cs"/>
          <w:b/>
          <w:spacing w:val="0"/>
          <w:sz w:val="22"/>
          <w:szCs w:val="24"/>
          <w:rtl/>
        </w:rPr>
        <w:t>בנק המזרחי</w:t>
      </w:r>
      <w:r>
        <w:rPr>
          <w:rFonts w:hint="cs"/>
          <w:rtl/>
        </w:rPr>
        <w:t xml:space="preserve">, בעמ' 394). סוגיה זו נבחנת במשפט המשווה בראי דוקטרינת "התיקון החוקתי שאינו חוקתי" </w:t>
      </w:r>
      <w:r w:rsidRPr="008551AF">
        <w:rPr>
          <w:rFonts w:hint="cs"/>
          <w:rtl/>
        </w:rPr>
        <w:t>(</w:t>
      </w:r>
      <w:r w:rsidRPr="008551AF">
        <w:t xml:space="preserve">Unconstitutional </w:t>
      </w:r>
      <w:r w:rsidRPr="008551AF">
        <w:rPr>
          <w:rFonts w:hint="cs"/>
        </w:rPr>
        <w:t>C</w:t>
      </w:r>
      <w:r w:rsidRPr="008551AF">
        <w:t xml:space="preserve">onstitutional </w:t>
      </w:r>
      <w:r w:rsidRPr="008551AF">
        <w:rPr>
          <w:rFonts w:hint="cs"/>
        </w:rPr>
        <w:t>A</w:t>
      </w:r>
      <w:r w:rsidRPr="008551AF">
        <w:t>mendment</w:t>
      </w:r>
      <w:r w:rsidRPr="008551AF">
        <w:rPr>
          <w:rFonts w:hint="cs"/>
          <w:rtl/>
        </w:rPr>
        <w:t>)</w:t>
      </w:r>
      <w:r>
        <w:rPr>
          <w:rFonts w:hint="cs"/>
          <w:rtl/>
        </w:rPr>
        <w:t xml:space="preserve">, המקובלת בשיטות שונות בעולם. בהתאם לדוקטרינה זו קיימות מגבלות מהותיות על הסמכות לתיקון החוקה, ובתי המשפט פוסלים תיקונים חוקתיים שחורגים ממגבלות אלה (להרחבה בנושא זה ראו: </w:t>
      </w:r>
      <w:r w:rsidRPr="008551AF">
        <w:rPr>
          <w:smallCaps/>
        </w:rPr>
        <w:t>Yaniv Roznai, Unconstitutional Constitutional Amendments: The Limits of Amendment Powers</w:t>
      </w:r>
      <w:r w:rsidRPr="008551AF">
        <w:t xml:space="preserve"> (2017)</w:t>
      </w:r>
      <w:r w:rsidRPr="008551AF">
        <w:rPr>
          <w:rFonts w:hint="cs"/>
          <w:rtl/>
        </w:rPr>
        <w:t xml:space="preserve"> (להלן: </w:t>
      </w:r>
      <w:r w:rsidRPr="008551AF">
        <w:rPr>
          <w:smallCaps/>
        </w:rPr>
        <w:t>Roznai</w:t>
      </w:r>
      <w:r w:rsidRPr="008551AF">
        <w:rPr>
          <w:rFonts w:hint="cs"/>
          <w:smallCaps/>
          <w:rtl/>
        </w:rPr>
        <w:t>)</w:t>
      </w:r>
      <w:r>
        <w:rPr>
          <w:rFonts w:hint="cs"/>
          <w:rtl/>
        </w:rPr>
        <w:t xml:space="preserve">). </w:t>
      </w:r>
    </w:p>
    <w:p w:rsidR="00C044AE" w:rsidRDefault="00C044AE" w:rsidP="00C044AE">
      <w:pPr>
        <w:pStyle w:val="Ruller4"/>
        <w:numPr>
          <w:ilvl w:val="0"/>
          <w:numId w:val="0"/>
        </w:numPr>
        <w:rPr>
          <w:rtl/>
        </w:rPr>
      </w:pPr>
    </w:p>
    <w:p w:rsidR="00C044AE" w:rsidRDefault="00C044AE" w:rsidP="00C044AE">
      <w:pPr>
        <w:pStyle w:val="Ruller4"/>
        <w:rPr>
          <w:rtl/>
        </w:rPr>
      </w:pPr>
      <w:r>
        <w:rPr>
          <w:rFonts w:hint="cs"/>
          <w:rtl/>
        </w:rPr>
        <w:t xml:space="preserve">מחקר שנערך בעניין זה מצא כי בכ-40% מהחוקות בעולם קיימות מגבלות </w:t>
      </w:r>
      <w:r w:rsidRPr="00F71242">
        <w:rPr>
          <w:rFonts w:ascii="Century" w:hAnsi="Century" w:cs="Miriam" w:hint="cs"/>
          <w:b/>
          <w:spacing w:val="0"/>
          <w:sz w:val="22"/>
          <w:szCs w:val="24"/>
          <w:rtl/>
        </w:rPr>
        <w:t>מפורשות</w:t>
      </w:r>
      <w:r>
        <w:rPr>
          <w:rFonts w:hint="cs"/>
          <w:rtl/>
        </w:rPr>
        <w:t xml:space="preserve"> על תיקון החוקה. מגבלות אלה מעוגנות</w:t>
      </w:r>
      <w:r w:rsidRPr="00B0279F">
        <w:rPr>
          <w:rFonts w:hint="cs"/>
          <w:rtl/>
        </w:rPr>
        <w:t xml:space="preserve"> </w:t>
      </w:r>
      <w:r>
        <w:rPr>
          <w:rFonts w:hint="cs"/>
          <w:rtl/>
        </w:rPr>
        <w:t xml:space="preserve">ב"פסקאות </w:t>
      </w:r>
      <w:r w:rsidRPr="008551AF">
        <w:rPr>
          <w:rFonts w:hint="cs"/>
          <w:rtl/>
        </w:rPr>
        <w:t>נצחיוּת</w:t>
      </w:r>
      <w:r>
        <w:rPr>
          <w:rFonts w:hint="cs"/>
          <w:rtl/>
        </w:rPr>
        <w:t xml:space="preserve">" הקבועות בחוקה עצמה, והן אוסרות על שינוי או תיקון של חלקים מסוימים בה </w:t>
      </w:r>
      <w:r w:rsidRPr="00487145">
        <w:rPr>
          <w:rFonts w:hint="cs"/>
          <w:rtl/>
        </w:rPr>
        <w:t>(</w:t>
      </w:r>
      <w:r w:rsidRPr="00487145">
        <w:rPr>
          <w:rFonts w:hint="eastAsia"/>
          <w:rtl/>
        </w:rPr>
        <w:t>יניב</w:t>
      </w:r>
      <w:r w:rsidRPr="00487145">
        <w:rPr>
          <w:rtl/>
        </w:rPr>
        <w:t xml:space="preserve"> </w:t>
      </w:r>
      <w:r w:rsidRPr="00487145">
        <w:rPr>
          <w:rFonts w:hint="eastAsia"/>
          <w:rtl/>
        </w:rPr>
        <w:t>רוזנאי</w:t>
      </w:r>
      <w:r w:rsidRPr="00487145">
        <w:rPr>
          <w:rtl/>
        </w:rPr>
        <w:t xml:space="preserve"> "</w:t>
      </w:r>
      <w:r w:rsidRPr="00487145">
        <w:rPr>
          <w:rFonts w:hint="eastAsia"/>
          <w:rtl/>
        </w:rPr>
        <w:t>שימוש</w:t>
      </w:r>
      <w:r w:rsidRPr="00487145">
        <w:rPr>
          <w:rtl/>
        </w:rPr>
        <w:t xml:space="preserve"> </w:t>
      </w:r>
      <w:r w:rsidRPr="00487145">
        <w:rPr>
          <w:rFonts w:hint="eastAsia"/>
          <w:rtl/>
        </w:rPr>
        <w:t>לרעה</w:t>
      </w:r>
      <w:r w:rsidRPr="00487145">
        <w:rPr>
          <w:rtl/>
        </w:rPr>
        <w:t xml:space="preserve"> </w:t>
      </w:r>
      <w:r w:rsidRPr="00487145">
        <w:rPr>
          <w:rFonts w:hint="eastAsia"/>
          <w:rtl/>
        </w:rPr>
        <w:t>בחוק</w:t>
      </w:r>
      <w:r w:rsidRPr="00487145">
        <w:rPr>
          <w:rtl/>
        </w:rPr>
        <w:t xml:space="preserve"> </w:t>
      </w:r>
      <w:r w:rsidRPr="00487145">
        <w:rPr>
          <w:rFonts w:hint="eastAsia"/>
          <w:rtl/>
        </w:rPr>
        <w:t>יסוד</w:t>
      </w:r>
      <w:r w:rsidRPr="00487145">
        <w:rPr>
          <w:rtl/>
        </w:rPr>
        <w:t xml:space="preserve">" </w:t>
      </w:r>
      <w:r w:rsidRPr="00487145">
        <w:rPr>
          <w:rFonts w:ascii="Century" w:hAnsi="Century" w:cs="Miriam" w:hint="eastAsia"/>
          <w:b/>
          <w:spacing w:val="0"/>
          <w:sz w:val="22"/>
          <w:szCs w:val="24"/>
          <w:rtl/>
        </w:rPr>
        <w:t>ספר</w:t>
      </w:r>
      <w:r w:rsidRPr="00487145">
        <w:rPr>
          <w:rFonts w:ascii="Century" w:hAnsi="Century" w:cs="Miriam"/>
          <w:b/>
          <w:spacing w:val="0"/>
          <w:sz w:val="22"/>
          <w:szCs w:val="24"/>
          <w:rtl/>
        </w:rPr>
        <w:t xml:space="preserve"> </w:t>
      </w:r>
      <w:r w:rsidRPr="00487145">
        <w:rPr>
          <w:rFonts w:ascii="Century" w:hAnsi="Century" w:cs="Miriam" w:hint="eastAsia"/>
          <w:b/>
          <w:spacing w:val="0"/>
          <w:sz w:val="22"/>
          <w:szCs w:val="24"/>
          <w:rtl/>
        </w:rPr>
        <w:t>אליקים</w:t>
      </w:r>
      <w:r w:rsidRPr="00487145">
        <w:rPr>
          <w:rFonts w:ascii="Century" w:hAnsi="Century" w:cs="Miriam"/>
          <w:b/>
          <w:spacing w:val="0"/>
          <w:sz w:val="22"/>
          <w:szCs w:val="24"/>
          <w:rtl/>
        </w:rPr>
        <w:t xml:space="preserve"> </w:t>
      </w:r>
      <w:r w:rsidRPr="00487145">
        <w:rPr>
          <w:rFonts w:ascii="Century" w:hAnsi="Century" w:cs="Miriam" w:hint="eastAsia"/>
          <w:b/>
          <w:spacing w:val="0"/>
          <w:sz w:val="22"/>
          <w:szCs w:val="24"/>
          <w:rtl/>
        </w:rPr>
        <w:t>רובינשטיין</w:t>
      </w:r>
      <w:r w:rsidRPr="00487145">
        <w:rPr>
          <w:rtl/>
        </w:rPr>
        <w:t xml:space="preserve"> </w:t>
      </w:r>
      <w:r>
        <w:rPr>
          <w:rFonts w:hint="cs"/>
          <w:rtl/>
        </w:rPr>
        <w:t xml:space="preserve">כרך ב </w:t>
      </w:r>
      <w:r w:rsidRPr="00487145">
        <w:rPr>
          <w:rtl/>
        </w:rPr>
        <w:t xml:space="preserve">1349, </w:t>
      </w:r>
      <w:r w:rsidRPr="00487145">
        <w:rPr>
          <w:rFonts w:hint="cs"/>
          <w:rtl/>
        </w:rPr>
        <w:t>1353</w:t>
      </w:r>
      <w:r w:rsidRPr="00487145">
        <w:rPr>
          <w:rtl/>
        </w:rPr>
        <w:t xml:space="preserve"> (</w:t>
      </w:r>
      <w:r w:rsidRPr="00487145">
        <w:rPr>
          <w:rFonts w:hint="eastAsia"/>
          <w:rtl/>
        </w:rPr>
        <w:t>אהרן</w:t>
      </w:r>
      <w:r w:rsidRPr="00487145">
        <w:rPr>
          <w:rtl/>
        </w:rPr>
        <w:t xml:space="preserve"> </w:t>
      </w:r>
      <w:r w:rsidRPr="00487145">
        <w:rPr>
          <w:rFonts w:hint="eastAsia"/>
          <w:rtl/>
        </w:rPr>
        <w:t>ברק</w:t>
      </w:r>
      <w:r w:rsidRPr="00487145">
        <w:rPr>
          <w:rtl/>
        </w:rPr>
        <w:t xml:space="preserve"> </w:t>
      </w:r>
      <w:r w:rsidRPr="00487145">
        <w:rPr>
          <w:rFonts w:hint="eastAsia"/>
          <w:rtl/>
        </w:rPr>
        <w:t>ואח</w:t>
      </w:r>
      <w:r w:rsidRPr="00487145">
        <w:rPr>
          <w:rtl/>
        </w:rPr>
        <w:t xml:space="preserve">' </w:t>
      </w:r>
      <w:r w:rsidRPr="00487145">
        <w:rPr>
          <w:rFonts w:hint="eastAsia"/>
          <w:rtl/>
        </w:rPr>
        <w:t>עורכים</w:t>
      </w:r>
      <w:r w:rsidRPr="00487145">
        <w:rPr>
          <w:rFonts w:hint="cs"/>
          <w:rtl/>
        </w:rPr>
        <w:t>,</w:t>
      </w:r>
      <w:r w:rsidRPr="00487145">
        <w:rPr>
          <w:rtl/>
        </w:rPr>
        <w:t xml:space="preserve"> </w:t>
      </w:r>
      <w:r>
        <w:rPr>
          <w:rFonts w:hint="cs"/>
          <w:rtl/>
        </w:rPr>
        <w:t>2021</w:t>
      </w:r>
      <w:r w:rsidRPr="00487145">
        <w:rPr>
          <w:rtl/>
        </w:rPr>
        <w:t>)</w:t>
      </w:r>
      <w:r w:rsidRPr="00487145">
        <w:rPr>
          <w:rFonts w:hint="cs"/>
          <w:rtl/>
        </w:rPr>
        <w:t>).</w:t>
      </w:r>
      <w:r>
        <w:rPr>
          <w:rFonts w:hint="cs"/>
          <w:rtl/>
        </w:rPr>
        <w:t xml:space="preserve"> פסקאות הנצחיות משקפות את הכרעת</w:t>
      </w:r>
      <w:r w:rsidRPr="008551AF">
        <w:rPr>
          <w:rFonts w:hint="cs"/>
          <w:rtl/>
        </w:rPr>
        <w:t xml:space="preserve"> הגוף המכונן </w:t>
      </w:r>
      <w:r>
        <w:rPr>
          <w:rFonts w:hint="cs"/>
          <w:rtl/>
        </w:rPr>
        <w:t>כי</w:t>
      </w:r>
      <w:r w:rsidRPr="008551AF">
        <w:rPr>
          <w:rFonts w:hint="cs"/>
          <w:rtl/>
        </w:rPr>
        <w:t xml:space="preserve"> הוראות מסוימות בחוקה </w:t>
      </w:r>
      <w:r>
        <w:rPr>
          <w:rFonts w:hint="cs"/>
          <w:rtl/>
        </w:rPr>
        <w:t>הן תנאי בסיסי לזהות המדינה ולקיומה</w:t>
      </w:r>
      <w:r w:rsidRPr="008551AF">
        <w:rPr>
          <w:rFonts w:hint="cs"/>
          <w:rtl/>
        </w:rPr>
        <w:t xml:space="preserve">, </w:t>
      </w:r>
      <w:r>
        <w:rPr>
          <w:rFonts w:hint="cs"/>
          <w:rtl/>
        </w:rPr>
        <w:t>ועל כן</w:t>
      </w:r>
      <w:r w:rsidRPr="008551AF">
        <w:rPr>
          <w:rFonts w:hint="cs"/>
          <w:rtl/>
        </w:rPr>
        <w:t xml:space="preserve"> יש להבטיח כי </w:t>
      </w:r>
      <w:r w:rsidRPr="00DD01C9">
        <w:rPr>
          <w:rFonts w:hint="cs"/>
          <w:rtl/>
        </w:rPr>
        <w:t xml:space="preserve">"הן תשרודנה לדורות בלא תלות ברצונו של רוב כזה או אחר" (עניין </w:t>
      </w:r>
      <w:r w:rsidRPr="00DD01C9">
        <w:rPr>
          <w:rFonts w:ascii="Century" w:hAnsi="Century" w:cs="Miriam" w:hint="cs"/>
          <w:b/>
          <w:spacing w:val="0"/>
          <w:sz w:val="22"/>
          <w:szCs w:val="24"/>
          <w:rtl/>
        </w:rPr>
        <w:t>חסון</w:t>
      </w:r>
      <w:r w:rsidRPr="00DD01C9">
        <w:rPr>
          <w:rFonts w:hint="cs"/>
          <w:rtl/>
        </w:rPr>
        <w:t>, בפסקה 13 לחוות דעתי)</w:t>
      </w:r>
      <w:r>
        <w:rPr>
          <w:rFonts w:hint="cs"/>
          <w:rtl/>
        </w:rPr>
        <w:t xml:space="preserve">. בחלק </w:t>
      </w:r>
      <w:r>
        <w:rPr>
          <w:rFonts w:hint="cs"/>
          <w:rtl/>
        </w:rPr>
        <w:lastRenderedPageBreak/>
        <w:t xml:space="preserve">מאותן החוקות קיימת לצד פסקאות הנצחיות, הוראה מפורשת המסמיכה את בית המשפט לבחון את חוקתיות התיקונים לחוקה בהתאם לפסקאות אלה (ראו: </w:t>
      </w:r>
      <w:r w:rsidRPr="00054CA2">
        <w:rPr>
          <w:rFonts w:hint="cs"/>
          <w:rtl/>
        </w:rPr>
        <w:t xml:space="preserve">אהרן ברק "תיקון של חוקה שאינו חוקתי" </w:t>
      </w:r>
      <w:r w:rsidRPr="00054CA2">
        <w:rPr>
          <w:rFonts w:ascii="Century" w:hAnsi="Century" w:cs="Miriam" w:hint="cs"/>
          <w:b/>
          <w:spacing w:val="0"/>
          <w:sz w:val="22"/>
          <w:szCs w:val="24"/>
          <w:rtl/>
        </w:rPr>
        <w:t>ספר גבריאל בך</w:t>
      </w:r>
      <w:r w:rsidRPr="00054CA2">
        <w:rPr>
          <w:rFonts w:hint="cs"/>
          <w:rtl/>
        </w:rPr>
        <w:t xml:space="preserve"> 361, 373 (דוד האן ואח' עורכים, 2011) (להלן: </w:t>
      </w:r>
      <w:r w:rsidRPr="00054CA2">
        <w:rPr>
          <w:rFonts w:ascii="Century" w:hAnsi="Century" w:cs="Miriam" w:hint="cs"/>
          <w:b/>
          <w:spacing w:val="0"/>
          <w:sz w:val="22"/>
          <w:szCs w:val="24"/>
          <w:rtl/>
        </w:rPr>
        <w:t>ברק "תיקון של חוקה</w:t>
      </w:r>
      <w:r w:rsidRPr="004A622F">
        <w:rPr>
          <w:rFonts w:ascii="Century" w:hAnsi="Century" w:cs="Miriam" w:hint="cs"/>
          <w:b/>
          <w:spacing w:val="0"/>
          <w:sz w:val="22"/>
          <w:szCs w:val="24"/>
          <w:rtl/>
        </w:rPr>
        <w:t>"</w:t>
      </w:r>
      <w:r>
        <w:rPr>
          <w:rFonts w:hint="cs"/>
          <w:rtl/>
        </w:rPr>
        <w:t xml:space="preserve">)). כמו כן, קיימות מדינות שבהן אף בהיעדר הוראה מפורשת כזו, נתפס בית המשפט כגורם המוסמך לבחון האם הופרה פסקת הנצחיות (ראו: </w:t>
      </w:r>
      <w:r w:rsidRPr="008551AF">
        <w:rPr>
          <w:smallCaps/>
        </w:rPr>
        <w:t>Roznai</w:t>
      </w:r>
      <w:r>
        <w:rPr>
          <w:rFonts w:hint="cs"/>
          <w:smallCaps/>
          <w:rtl/>
        </w:rPr>
        <w:t>, בעמ' 203)</w:t>
      </w:r>
      <w:r>
        <w:rPr>
          <w:rFonts w:hint="cs"/>
          <w:rtl/>
        </w:rPr>
        <w:t xml:space="preserve">. הדוגמה הבולטת בהקשר זה היא גרמניה. חוק היסוד הגרמני קובע כי לא ניתן לתקן את ההוראות הנוגעות, בין היתר, לכבוד האדם; לחלוקת הפדרציה למדינות; ולהיותה של גרמניה מדינה דמוקרטית וסוציאלית (סעיף 79(3) לחוק היסוד). לאורך השנים, בית המשפט החוקתי של גרמניה ראה עצמו מוסמך לקבוע אם תיקון חוקתי מפר את המגבלות הקבועות בחוקה בהקשר זה, אף שאין עיגון מפורש בטקסט החוקתי לסמכותו זו (ראו, למשל: </w:t>
      </w:r>
      <w:r w:rsidRPr="000D08EB">
        <w:t xml:space="preserve">30 </w:t>
      </w:r>
      <w:r w:rsidRPr="00581626">
        <w:rPr>
          <w:smallCaps/>
        </w:rPr>
        <w:t>BVerfGE</w:t>
      </w:r>
      <w:r w:rsidRPr="000D08EB">
        <w:t xml:space="preserve"> 1 (1970)</w:t>
      </w:r>
      <w:r>
        <w:rPr>
          <w:rFonts w:hint="cs"/>
          <w:rtl/>
        </w:rPr>
        <w:t xml:space="preserve">; </w:t>
      </w:r>
      <w:r w:rsidRPr="000D08EB">
        <w:t xml:space="preserve">109 </w:t>
      </w:r>
      <w:r w:rsidRPr="00581626">
        <w:rPr>
          <w:smallCaps/>
        </w:rPr>
        <w:t>BVerfGE</w:t>
      </w:r>
      <w:r w:rsidRPr="000D08EB">
        <w:t xml:space="preserve"> 279 (2004)</w:t>
      </w:r>
      <w:r>
        <w:rPr>
          <w:rFonts w:hint="cs"/>
          <w:rtl/>
        </w:rPr>
        <w:t xml:space="preserve">. דוגמה דומה נוספת היא ברזיל, ולהרחבה ראו: </w:t>
      </w:r>
      <w:r w:rsidRPr="002D6817">
        <w:t xml:space="preserve">Conrado Hübner Mendes, </w:t>
      </w:r>
      <w:r w:rsidRPr="002D6817">
        <w:rPr>
          <w:i/>
          <w:iCs/>
        </w:rPr>
        <w:t>Judicial Review of Constitutional Amendments in the Brazilian Supreme Court</w:t>
      </w:r>
      <w:r w:rsidRPr="002D6817">
        <w:t xml:space="preserve">, 17 </w:t>
      </w:r>
      <w:r w:rsidRPr="002D6817">
        <w:rPr>
          <w:smallCaps/>
        </w:rPr>
        <w:t>Fl. J. Int'l L</w:t>
      </w:r>
      <w:r w:rsidRPr="002D6817">
        <w:t>. 449</w:t>
      </w:r>
      <w:r>
        <w:t xml:space="preserve"> (2005)</w:t>
      </w:r>
      <w:r>
        <w:rPr>
          <w:rFonts w:hint="cs"/>
          <w:rtl/>
        </w:rPr>
        <w:t>).</w:t>
      </w:r>
    </w:p>
    <w:p w:rsidR="00C044AE" w:rsidRDefault="00C044AE" w:rsidP="00C044AE">
      <w:pPr>
        <w:pStyle w:val="Ruller41"/>
        <w:rPr>
          <w:rtl/>
        </w:rPr>
      </w:pPr>
    </w:p>
    <w:p w:rsidR="00C044AE" w:rsidRDefault="00C044AE" w:rsidP="00C044AE">
      <w:pPr>
        <w:pStyle w:val="Ruller41"/>
        <w:rPr>
          <w:rtl/>
        </w:rPr>
      </w:pPr>
      <w:r>
        <w:rPr>
          <w:rtl/>
        </w:rPr>
        <w:tab/>
      </w:r>
      <w:r>
        <w:rPr>
          <w:rFonts w:hint="cs"/>
          <w:rtl/>
        </w:rPr>
        <w:t xml:space="preserve">מודל נוסף של דוקטרינת התיקון החוקתי שאינו חוקתי, נשען על קיומן של מגבלות </w:t>
      </w:r>
      <w:r w:rsidRPr="00927C7A">
        <w:rPr>
          <w:rFonts w:ascii="Century" w:hAnsi="Century" w:cs="Miriam" w:hint="cs"/>
          <w:b/>
          <w:spacing w:val="0"/>
          <w:szCs w:val="24"/>
          <w:rtl/>
        </w:rPr>
        <w:t>משתמעות</w:t>
      </w:r>
      <w:r w:rsidRPr="00927C7A">
        <w:rPr>
          <w:rFonts w:hint="cs"/>
          <w:rtl/>
        </w:rPr>
        <w:t xml:space="preserve"> </w:t>
      </w:r>
      <w:r>
        <w:rPr>
          <w:rFonts w:hint="cs"/>
          <w:rtl/>
        </w:rPr>
        <w:t xml:space="preserve">באשר לתיקון החוקה. כך, בהודו נהוגה דוקטרינת "המבנה הבסיסי" של החוקה, לפיה הסמכות לתיקון החוקה אינה כוללת את </w:t>
      </w:r>
      <w:r w:rsidRPr="00B0279F">
        <w:rPr>
          <w:rFonts w:hint="cs"/>
          <w:rtl/>
        </w:rPr>
        <w:t xml:space="preserve">הסמכות לשנות מן היסוד את זהותה או את המאפיינים הבסיסיים שלה </w:t>
      </w:r>
      <w:r w:rsidRPr="00E11485">
        <w:rPr>
          <w:rFonts w:hint="cs"/>
          <w:rtl/>
        </w:rPr>
        <w:t xml:space="preserve">(ראו: </w:t>
      </w:r>
      <w:r w:rsidRPr="00B0279F">
        <w:rPr>
          <w:rFonts w:ascii="Garamond" w:hAnsi="Garamond"/>
          <w:smallCaps/>
          <w:sz w:val="24"/>
        </w:rPr>
        <w:t>Roznai</w:t>
      </w:r>
      <w:r w:rsidRPr="00B0279F">
        <w:rPr>
          <w:rFonts w:hint="cs"/>
          <w:rtl/>
        </w:rPr>
        <w:t xml:space="preserve">, בעמ' </w:t>
      </w:r>
      <w:r>
        <w:rPr>
          <w:rFonts w:hint="cs"/>
          <w:rtl/>
        </w:rPr>
        <w:t>47-42</w:t>
      </w:r>
      <w:r w:rsidRPr="00E11485">
        <w:rPr>
          <w:rFonts w:hint="cs"/>
          <w:rtl/>
        </w:rPr>
        <w:t>).</w:t>
      </w:r>
      <w:r w:rsidRPr="00B0279F">
        <w:rPr>
          <w:rFonts w:hint="cs"/>
          <w:rtl/>
        </w:rPr>
        <w:t xml:space="preserve"> בית המשפט העליון בהודו קבע כי בסמכותו </w:t>
      </w:r>
      <w:r>
        <w:rPr>
          <w:rFonts w:hint="cs"/>
          <w:rtl/>
        </w:rPr>
        <w:t>לקיים ביקורת שיפוטית מהותית על</w:t>
      </w:r>
      <w:r w:rsidRPr="00B0279F">
        <w:rPr>
          <w:rFonts w:hint="cs"/>
          <w:rtl/>
        </w:rPr>
        <w:t xml:space="preserve"> תיקונים</w:t>
      </w:r>
      <w:r>
        <w:rPr>
          <w:rFonts w:hint="cs"/>
          <w:rtl/>
        </w:rPr>
        <w:t xml:space="preserve"> חוקתיים מכוח דוקטרינה זו, ובמרוצת השנים אף ביטל מספר תיקונים חוקתיים (ראו, בין היתר: </w:t>
      </w:r>
      <w:r w:rsidRPr="008551AF">
        <w:rPr>
          <w:rFonts w:ascii="Garamond" w:hAnsi="Garamond"/>
          <w:sz w:val="24"/>
          <w:szCs w:val="32"/>
        </w:rPr>
        <w:t>Minerva Mills v. Union of India, AIR 1980 S.C. 1789</w:t>
      </w:r>
      <w:r>
        <w:rPr>
          <w:rFonts w:ascii="Garamond" w:hAnsi="Garamond"/>
          <w:sz w:val="24"/>
          <w:szCs w:val="32"/>
        </w:rPr>
        <w:t xml:space="preserve"> (1980)</w:t>
      </w:r>
      <w:r>
        <w:rPr>
          <w:rFonts w:hint="cs"/>
          <w:rtl/>
        </w:rPr>
        <w:t xml:space="preserve">; </w:t>
      </w:r>
      <w:r w:rsidRPr="00C96820">
        <w:rPr>
          <w:rFonts w:ascii="Garamond" w:hAnsi="Garamond"/>
        </w:rPr>
        <w:t>Supreme Court Advocates-on-Record Ass'n v. Union of India, (2016) 4 SCC 1</w:t>
      </w:r>
      <w:r>
        <w:rPr>
          <w:rFonts w:hint="cs"/>
          <w:rtl/>
        </w:rPr>
        <w:t xml:space="preserve">; ובאשר למדינות נוספות שבהן קיימות מגבלות משתמעות על החוקה </w:t>
      </w:r>
      <w:r w:rsidRPr="00B0279F">
        <w:rPr>
          <w:rFonts w:hint="cs"/>
          <w:rtl/>
        </w:rPr>
        <w:t xml:space="preserve">ראו: </w:t>
      </w:r>
      <w:r w:rsidRPr="00B0279F">
        <w:rPr>
          <w:rFonts w:ascii="Garamond" w:hAnsi="Garamond"/>
          <w:smallCaps/>
          <w:sz w:val="24"/>
        </w:rPr>
        <w:t>Roznai</w:t>
      </w:r>
      <w:r w:rsidRPr="00B0279F">
        <w:rPr>
          <w:rFonts w:hint="cs"/>
          <w:rtl/>
        </w:rPr>
        <w:t>, בעמ' 69-47).</w:t>
      </w:r>
      <w:r>
        <w:rPr>
          <w:rFonts w:hint="cs"/>
          <w:rtl/>
        </w:rPr>
        <w:t xml:space="preserve"> </w:t>
      </w:r>
    </w:p>
    <w:p w:rsidR="00C044AE" w:rsidRDefault="00C044AE" w:rsidP="00C044AE">
      <w:pPr>
        <w:pStyle w:val="Ruller41"/>
        <w:rPr>
          <w:rtl/>
        </w:rPr>
      </w:pPr>
    </w:p>
    <w:p w:rsidR="00C044AE" w:rsidRDefault="00C044AE" w:rsidP="00C044AE">
      <w:pPr>
        <w:pStyle w:val="Ruller4"/>
        <w:rPr>
          <w:rtl/>
        </w:rPr>
      </w:pPr>
      <w:r>
        <w:rPr>
          <w:rFonts w:hint="cs"/>
          <w:rtl/>
        </w:rPr>
        <w:t xml:space="preserve">מכל מקום, המודלים שצוינו לעיל חלים במדינות שבהן קיימת חוקה שלמה שגובשה מכוח הסמכות המכוננת "המקורית", ומכוחה מוטלות הגבלות </w:t>
      </w:r>
      <w:r>
        <w:rPr>
          <w:rtl/>
        </w:rPr>
        <w:t>–</w:t>
      </w:r>
      <w:r>
        <w:rPr>
          <w:rFonts w:hint="cs"/>
          <w:rtl/>
        </w:rPr>
        <w:t xml:space="preserve"> מפורשות או משתמעות </w:t>
      </w:r>
      <w:r>
        <w:rPr>
          <w:rtl/>
        </w:rPr>
        <w:t>–</w:t>
      </w:r>
      <w:r>
        <w:rPr>
          <w:rFonts w:hint="cs"/>
          <w:rtl/>
        </w:rPr>
        <w:t xml:space="preserve"> על הסמכות "הנגזרת" לתיקון החוקה (לעניין הבחנה זו בין סמכות מכוננת "מקורית" או "ראשונית" ובין סמכות מכוננת "נגזרת" או "משנית" ראו: </w:t>
      </w:r>
      <w:r w:rsidRPr="008551AF">
        <w:rPr>
          <w:rFonts w:hint="cs"/>
          <w:rtl/>
        </w:rPr>
        <w:t>קלוד קליין "בעקבות פסק</w:t>
      </w:r>
      <w:r>
        <w:rPr>
          <w:rFonts w:hint="cs"/>
          <w:rtl/>
        </w:rPr>
        <w:t>-</w:t>
      </w:r>
      <w:r w:rsidRPr="008551AF">
        <w:rPr>
          <w:rFonts w:hint="cs"/>
          <w:rtl/>
        </w:rPr>
        <w:t xml:space="preserve">הדין בנק המזרחי </w:t>
      </w:r>
      <w:r w:rsidRPr="008551AF">
        <w:rPr>
          <w:rtl/>
        </w:rPr>
        <w:t>–</w:t>
      </w:r>
      <w:r w:rsidRPr="008551AF">
        <w:rPr>
          <w:rFonts w:hint="cs"/>
          <w:rtl/>
        </w:rPr>
        <w:t xml:space="preserve"> הסמכות המכוננת בראי בית המשפט העליון" </w:t>
      </w:r>
      <w:r w:rsidRPr="008551AF">
        <w:rPr>
          <w:rFonts w:ascii="Century" w:hAnsi="Century" w:cs="Miriam" w:hint="cs"/>
          <w:b/>
          <w:spacing w:val="0"/>
          <w:szCs w:val="24"/>
          <w:rtl/>
        </w:rPr>
        <w:t>משפטים</w:t>
      </w:r>
      <w:r w:rsidRPr="008551AF">
        <w:rPr>
          <w:rFonts w:hint="cs"/>
          <w:rtl/>
        </w:rPr>
        <w:t xml:space="preserve"> כח 341</w:t>
      </w:r>
      <w:r>
        <w:rPr>
          <w:rFonts w:hint="cs"/>
          <w:rtl/>
        </w:rPr>
        <w:t>, 356-355</w:t>
      </w:r>
      <w:r w:rsidRPr="008551AF">
        <w:rPr>
          <w:rFonts w:hint="cs"/>
          <w:rtl/>
        </w:rPr>
        <w:t xml:space="preserve"> (1997)</w:t>
      </w:r>
      <w:r>
        <w:rPr>
          <w:rFonts w:hint="cs"/>
          <w:rtl/>
        </w:rPr>
        <w:t xml:space="preserve">; </w:t>
      </w:r>
      <w:r w:rsidRPr="0049735E">
        <w:rPr>
          <w:rFonts w:hint="eastAsia"/>
          <w:rtl/>
        </w:rPr>
        <w:t>אהרן</w:t>
      </w:r>
      <w:r w:rsidRPr="0049735E">
        <w:rPr>
          <w:rtl/>
        </w:rPr>
        <w:t xml:space="preserve"> </w:t>
      </w:r>
      <w:r w:rsidRPr="0049735E">
        <w:rPr>
          <w:rFonts w:hint="eastAsia"/>
          <w:rtl/>
        </w:rPr>
        <w:t>ברק</w:t>
      </w:r>
      <w:r>
        <w:rPr>
          <w:rFonts w:hint="cs"/>
          <w:rtl/>
        </w:rPr>
        <w:t xml:space="preserve"> </w:t>
      </w:r>
      <w:r w:rsidRPr="0049735E">
        <w:rPr>
          <w:rFonts w:ascii="Century" w:hAnsi="Century" w:cs="Miriam" w:hint="eastAsia"/>
          <w:b/>
          <w:spacing w:val="0"/>
          <w:sz w:val="22"/>
          <w:szCs w:val="24"/>
          <w:rtl/>
        </w:rPr>
        <w:t>חוק</w:t>
      </w:r>
      <w:r w:rsidRPr="0049735E">
        <w:rPr>
          <w:rFonts w:ascii="Century" w:hAnsi="Century" w:cs="Miriam"/>
          <w:b/>
          <w:spacing w:val="0"/>
          <w:sz w:val="22"/>
          <w:szCs w:val="24"/>
          <w:rtl/>
        </w:rPr>
        <w:t>-</w:t>
      </w:r>
      <w:r w:rsidRPr="0049735E">
        <w:rPr>
          <w:rFonts w:ascii="Century" w:hAnsi="Century" w:cs="Miriam" w:hint="eastAsia"/>
          <w:b/>
          <w:spacing w:val="0"/>
          <w:sz w:val="22"/>
          <w:szCs w:val="24"/>
          <w:rtl/>
        </w:rPr>
        <w:t>יסוד</w:t>
      </w:r>
      <w:r w:rsidRPr="0049735E">
        <w:rPr>
          <w:rFonts w:ascii="Century" w:hAnsi="Century" w:cs="Miriam"/>
          <w:b/>
          <w:spacing w:val="0"/>
          <w:sz w:val="22"/>
          <w:szCs w:val="24"/>
          <w:rtl/>
        </w:rPr>
        <w:t xml:space="preserve">: </w:t>
      </w:r>
      <w:r w:rsidRPr="0049735E">
        <w:rPr>
          <w:rFonts w:ascii="Century" w:hAnsi="Century" w:cs="Miriam" w:hint="eastAsia"/>
          <w:b/>
          <w:spacing w:val="0"/>
          <w:sz w:val="22"/>
          <w:szCs w:val="24"/>
          <w:rtl/>
        </w:rPr>
        <w:t>כבוד</w:t>
      </w:r>
      <w:r w:rsidRPr="0049735E">
        <w:rPr>
          <w:rFonts w:ascii="Century" w:hAnsi="Century" w:cs="Miriam"/>
          <w:b/>
          <w:spacing w:val="0"/>
          <w:sz w:val="22"/>
          <w:szCs w:val="24"/>
          <w:rtl/>
        </w:rPr>
        <w:t xml:space="preserve"> </w:t>
      </w:r>
      <w:r w:rsidRPr="0049735E">
        <w:rPr>
          <w:rFonts w:ascii="Century" w:hAnsi="Century" w:cs="Miriam" w:hint="eastAsia"/>
          <w:b/>
          <w:spacing w:val="0"/>
          <w:sz w:val="22"/>
          <w:szCs w:val="24"/>
          <w:rtl/>
        </w:rPr>
        <w:t>האדם</w:t>
      </w:r>
      <w:r w:rsidRPr="0049735E">
        <w:rPr>
          <w:rFonts w:ascii="Century" w:hAnsi="Century" w:cs="Miriam"/>
          <w:b/>
          <w:spacing w:val="0"/>
          <w:sz w:val="22"/>
          <w:szCs w:val="24"/>
          <w:rtl/>
        </w:rPr>
        <w:t xml:space="preserve"> </w:t>
      </w:r>
      <w:r w:rsidRPr="0049735E">
        <w:rPr>
          <w:rFonts w:ascii="Century" w:hAnsi="Century" w:cs="Miriam" w:hint="eastAsia"/>
          <w:b/>
          <w:spacing w:val="0"/>
          <w:sz w:val="22"/>
          <w:szCs w:val="24"/>
          <w:rtl/>
        </w:rPr>
        <w:t>וחירותו</w:t>
      </w:r>
      <w:r w:rsidRPr="0049735E">
        <w:rPr>
          <w:rFonts w:ascii="Century" w:hAnsi="Century" w:cs="Miriam"/>
          <w:b/>
          <w:spacing w:val="0"/>
          <w:sz w:val="22"/>
          <w:szCs w:val="24"/>
          <w:rtl/>
        </w:rPr>
        <w:t xml:space="preserve"> </w:t>
      </w:r>
      <w:r w:rsidRPr="0049735E">
        <w:rPr>
          <w:rFonts w:ascii="Century" w:hAnsi="Century" w:cs="Miriam" w:hint="eastAsia"/>
          <w:b/>
          <w:spacing w:val="0"/>
          <w:sz w:val="22"/>
          <w:szCs w:val="24"/>
          <w:rtl/>
        </w:rPr>
        <w:t>וחוק</w:t>
      </w:r>
      <w:r w:rsidRPr="0049735E">
        <w:rPr>
          <w:rFonts w:ascii="Century" w:hAnsi="Century" w:cs="Miriam"/>
          <w:b/>
          <w:spacing w:val="0"/>
          <w:sz w:val="22"/>
          <w:szCs w:val="24"/>
          <w:rtl/>
        </w:rPr>
        <w:t>-</w:t>
      </w:r>
      <w:r w:rsidRPr="0049735E">
        <w:rPr>
          <w:rFonts w:ascii="Century" w:hAnsi="Century" w:cs="Miriam" w:hint="eastAsia"/>
          <w:b/>
          <w:spacing w:val="0"/>
          <w:sz w:val="22"/>
          <w:szCs w:val="24"/>
          <w:rtl/>
        </w:rPr>
        <w:t>יסוד</w:t>
      </w:r>
      <w:r w:rsidRPr="0049735E">
        <w:rPr>
          <w:rFonts w:ascii="Century" w:hAnsi="Century" w:cs="Miriam"/>
          <w:b/>
          <w:spacing w:val="0"/>
          <w:sz w:val="22"/>
          <w:szCs w:val="24"/>
          <w:rtl/>
        </w:rPr>
        <w:t xml:space="preserve">: </w:t>
      </w:r>
      <w:r w:rsidRPr="0049735E">
        <w:rPr>
          <w:rFonts w:ascii="Century" w:hAnsi="Century" w:cs="Miriam" w:hint="eastAsia"/>
          <w:b/>
          <w:spacing w:val="0"/>
          <w:sz w:val="22"/>
          <w:szCs w:val="24"/>
          <w:rtl/>
        </w:rPr>
        <w:t>חופש</w:t>
      </w:r>
      <w:r w:rsidRPr="0049735E">
        <w:rPr>
          <w:rFonts w:ascii="Century" w:hAnsi="Century" w:cs="Miriam"/>
          <w:b/>
          <w:spacing w:val="0"/>
          <w:sz w:val="22"/>
          <w:szCs w:val="24"/>
          <w:rtl/>
        </w:rPr>
        <w:t xml:space="preserve"> </w:t>
      </w:r>
      <w:r w:rsidRPr="0049735E">
        <w:rPr>
          <w:rFonts w:ascii="Century" w:hAnsi="Century" w:cs="Miriam" w:hint="eastAsia"/>
          <w:b/>
          <w:spacing w:val="0"/>
          <w:sz w:val="22"/>
          <w:szCs w:val="24"/>
          <w:rtl/>
        </w:rPr>
        <w:t>העיסוק</w:t>
      </w:r>
      <w:r w:rsidRPr="0049735E">
        <w:rPr>
          <w:rtl/>
        </w:rPr>
        <w:t xml:space="preserve"> </w:t>
      </w:r>
      <w:r w:rsidRPr="0049735E">
        <w:rPr>
          <w:rFonts w:hint="eastAsia"/>
          <w:rtl/>
        </w:rPr>
        <w:t>כרך</w:t>
      </w:r>
      <w:r w:rsidRPr="0049735E">
        <w:rPr>
          <w:rtl/>
        </w:rPr>
        <w:t xml:space="preserve"> </w:t>
      </w:r>
      <w:r w:rsidRPr="0049735E">
        <w:rPr>
          <w:rFonts w:hint="eastAsia"/>
          <w:rtl/>
        </w:rPr>
        <w:t>א</w:t>
      </w:r>
      <w:r w:rsidRPr="0049735E">
        <w:rPr>
          <w:rtl/>
        </w:rPr>
        <w:t xml:space="preserve"> </w:t>
      </w:r>
      <w:r>
        <w:rPr>
          <w:rtl/>
        </w:rPr>
        <w:t>–</w:t>
      </w:r>
      <w:r w:rsidRPr="0049735E">
        <w:rPr>
          <w:rtl/>
        </w:rPr>
        <w:t xml:space="preserve"> </w:t>
      </w:r>
      <w:r w:rsidRPr="0049735E">
        <w:rPr>
          <w:rFonts w:hint="eastAsia"/>
          <w:rtl/>
        </w:rPr>
        <w:t>תורת</w:t>
      </w:r>
      <w:r w:rsidRPr="0049735E">
        <w:rPr>
          <w:rtl/>
        </w:rPr>
        <w:t xml:space="preserve"> </w:t>
      </w:r>
      <w:r w:rsidRPr="0049735E">
        <w:rPr>
          <w:rFonts w:hint="eastAsia"/>
          <w:rtl/>
        </w:rPr>
        <w:t>הזכויות</w:t>
      </w:r>
      <w:r w:rsidRPr="0049735E">
        <w:rPr>
          <w:rtl/>
        </w:rPr>
        <w:t xml:space="preserve"> </w:t>
      </w:r>
      <w:r w:rsidRPr="0049735E">
        <w:rPr>
          <w:rFonts w:hint="eastAsia"/>
          <w:rtl/>
        </w:rPr>
        <w:t>החוקתיות</w:t>
      </w:r>
      <w:r w:rsidRPr="0049735E">
        <w:rPr>
          <w:rtl/>
        </w:rPr>
        <w:t xml:space="preserve"> </w:t>
      </w:r>
      <w:r>
        <w:rPr>
          <w:rFonts w:hint="cs"/>
          <w:rtl/>
        </w:rPr>
        <w:t xml:space="preserve">209 </w:t>
      </w:r>
      <w:r w:rsidRPr="0049735E">
        <w:rPr>
          <w:rtl/>
        </w:rPr>
        <w:t>(</w:t>
      </w:r>
      <w:r w:rsidRPr="0049735E">
        <w:rPr>
          <w:rFonts w:hint="eastAsia"/>
          <w:rtl/>
        </w:rPr>
        <w:t>יצחק</w:t>
      </w:r>
      <w:r w:rsidRPr="0049735E">
        <w:rPr>
          <w:rtl/>
        </w:rPr>
        <w:t xml:space="preserve"> </w:t>
      </w:r>
      <w:r w:rsidRPr="0049735E">
        <w:rPr>
          <w:rFonts w:hint="eastAsia"/>
          <w:rtl/>
        </w:rPr>
        <w:t>זמיר</w:t>
      </w:r>
      <w:r w:rsidRPr="0049735E">
        <w:rPr>
          <w:rtl/>
        </w:rPr>
        <w:t xml:space="preserve"> </w:t>
      </w:r>
      <w:r w:rsidRPr="0049735E">
        <w:rPr>
          <w:rFonts w:hint="eastAsia"/>
          <w:rtl/>
        </w:rPr>
        <w:t>עורך</w:t>
      </w:r>
      <w:r w:rsidRPr="0049735E">
        <w:rPr>
          <w:rtl/>
        </w:rPr>
        <w:t>, 2023‏)</w:t>
      </w:r>
      <w:r>
        <w:rPr>
          <w:rFonts w:hint="cs"/>
          <w:rtl/>
        </w:rPr>
        <w:t xml:space="preserve"> (להלן: </w:t>
      </w:r>
      <w:r w:rsidRPr="007A5009">
        <w:rPr>
          <w:rFonts w:ascii="Century" w:hAnsi="Century" w:cs="Miriam" w:hint="cs"/>
          <w:b/>
          <w:spacing w:val="0"/>
          <w:sz w:val="22"/>
          <w:szCs w:val="24"/>
          <w:rtl/>
        </w:rPr>
        <w:t>ברק "תורת הזכויות החוקתיות"</w:t>
      </w:r>
      <w:r>
        <w:rPr>
          <w:rFonts w:hint="cs"/>
          <w:rtl/>
        </w:rPr>
        <w:t xml:space="preserve">)). מודלים אלה אינם ניתנים ליישום כמות שהם בישראל, שבה טרם הושלמה מלאכת כינון החוקה והיא עודנה נבנית "פרקים פרקים". משכך עצם </w:t>
      </w:r>
      <w:r>
        <w:rPr>
          <w:rFonts w:hint="cs"/>
          <w:rtl/>
        </w:rPr>
        <w:lastRenderedPageBreak/>
        <w:t xml:space="preserve">השימוש בביטוי "תיקון חוקתי" בשיטתנו, מעורר קשיים (ראו: </w:t>
      </w:r>
      <w:r w:rsidRPr="004A622F">
        <w:rPr>
          <w:rFonts w:ascii="Century" w:hAnsi="Century" w:cs="Miriam" w:hint="cs"/>
          <w:b/>
          <w:spacing w:val="0"/>
          <w:sz w:val="22"/>
          <w:szCs w:val="24"/>
          <w:rtl/>
        </w:rPr>
        <w:t>ברק "תיקון של חוקה"</w:t>
      </w:r>
      <w:r>
        <w:rPr>
          <w:rFonts w:hint="cs"/>
          <w:rtl/>
        </w:rPr>
        <w:t xml:space="preserve">, בעמ' 379). ואכן, על אף שבית משפט זה התייחס לא אחת לקיומם של עקרונות יסוד המצויים בבסיס זהותה של המדינה (ראו, למשל: </w:t>
      </w:r>
      <w:r w:rsidRPr="002B1B8F">
        <w:rPr>
          <w:rFonts w:hint="cs"/>
          <w:rtl/>
        </w:rPr>
        <w:t>בג"ץ 733/95</w:t>
      </w:r>
      <w:r>
        <w:rPr>
          <w:rFonts w:ascii="Century" w:hAnsi="Century" w:hint="cs"/>
          <w:rtl/>
        </w:rPr>
        <w:t xml:space="preserve"> </w:t>
      </w:r>
      <w:r w:rsidRPr="001365BF">
        <w:rPr>
          <w:rFonts w:ascii="Century" w:hAnsi="Century" w:cs="Miriam" w:hint="eastAsia"/>
          <w:b/>
          <w:spacing w:val="0"/>
          <w:szCs w:val="24"/>
          <w:rtl/>
        </w:rPr>
        <w:t>א</w:t>
      </w:r>
      <w:r w:rsidRPr="00451CD7">
        <w:rPr>
          <w:rFonts w:ascii="Century" w:hAnsi="Century" w:cs="Miriam" w:hint="cs"/>
          <w:b/>
          <w:spacing w:val="0"/>
          <w:szCs w:val="24"/>
          <w:rtl/>
        </w:rPr>
        <w:t>רפל אלומיניום בע"מ נ' קליל תעשיות בע"מ</w:t>
      </w:r>
      <w:r>
        <w:rPr>
          <w:rFonts w:ascii="Century" w:hAnsi="Century" w:hint="cs"/>
          <w:rtl/>
        </w:rPr>
        <w:t xml:space="preserve">, פ"ד נא(3) </w:t>
      </w:r>
      <w:r w:rsidRPr="008551AF">
        <w:rPr>
          <w:rFonts w:hint="cs"/>
          <w:rtl/>
        </w:rPr>
        <w:t>577, 630-629 (1997)</w:t>
      </w:r>
      <w:r>
        <w:rPr>
          <w:rFonts w:hint="cs"/>
          <w:rtl/>
        </w:rPr>
        <w:t xml:space="preserve"> (להלן: </w:t>
      </w:r>
      <w:r w:rsidRPr="0005120E">
        <w:rPr>
          <w:rFonts w:ascii="Century" w:hAnsi="Century" w:cs="Miriam" w:hint="cs"/>
          <w:b/>
          <w:spacing w:val="0"/>
          <w:sz w:val="22"/>
          <w:szCs w:val="24"/>
          <w:rtl/>
        </w:rPr>
        <w:t>עניין ארפל</w:t>
      </w:r>
      <w:r>
        <w:rPr>
          <w:rFonts w:hint="cs"/>
          <w:rtl/>
        </w:rPr>
        <w:t xml:space="preserve">); </w:t>
      </w:r>
      <w:r w:rsidRPr="008551AF">
        <w:rPr>
          <w:rFonts w:hint="cs"/>
          <w:rtl/>
        </w:rPr>
        <w:t>ב</w:t>
      </w:r>
      <w:r w:rsidRPr="008551AF">
        <w:rPr>
          <w:rtl/>
        </w:rPr>
        <w:t xml:space="preserve">ג"ץ 6427/02 </w:t>
      </w:r>
      <w:r w:rsidRPr="008551AF">
        <w:rPr>
          <w:rFonts w:ascii="Century" w:hAnsi="Century" w:cs="Miriam"/>
          <w:b/>
          <w:spacing w:val="0"/>
          <w:sz w:val="22"/>
          <w:szCs w:val="24"/>
          <w:rtl/>
        </w:rPr>
        <w:t>התנועה למען איכות השלטון בישראל נ' הכנסת</w:t>
      </w:r>
      <w:r w:rsidRPr="008551AF">
        <w:rPr>
          <w:rtl/>
        </w:rPr>
        <w:t xml:space="preserve">, פ"ד סא(1) 619, </w:t>
      </w:r>
      <w:r w:rsidRPr="008551AF">
        <w:rPr>
          <w:rFonts w:hint="cs"/>
          <w:rtl/>
        </w:rPr>
        <w:t>717</w:t>
      </w:r>
      <w:r w:rsidRPr="008551AF">
        <w:rPr>
          <w:rtl/>
        </w:rPr>
        <w:t xml:space="preserve"> (2006)</w:t>
      </w:r>
      <w:r>
        <w:rPr>
          <w:rFonts w:hint="cs"/>
          <w:rtl/>
        </w:rPr>
        <w:t xml:space="preserve"> (להלן: </w:t>
      </w:r>
      <w:r w:rsidRPr="00D844AA">
        <w:rPr>
          <w:rFonts w:ascii="Century" w:hAnsi="Century" w:cs="Miriam" w:hint="cs"/>
          <w:b/>
          <w:spacing w:val="0"/>
          <w:sz w:val="22"/>
          <w:szCs w:val="24"/>
          <w:rtl/>
        </w:rPr>
        <w:t>עניין חוק טל</w:t>
      </w:r>
      <w:r>
        <w:rPr>
          <w:rFonts w:hint="cs"/>
          <w:rtl/>
        </w:rPr>
        <w:t>)), שאלת תחולתה של דוקטרינת "התיקון החוקתי שאינו חוקתי" בישראל נותרה בצריך עיון, תוך שהודגש הקושי לאמץ בהקשר זה בשיטתנו מודלים מן המשפט המשווה (</w:t>
      </w:r>
      <w:r w:rsidRPr="008551AF">
        <w:rPr>
          <w:rFonts w:hint="cs"/>
          <w:rtl/>
        </w:rPr>
        <w:t xml:space="preserve">עניין </w:t>
      </w:r>
      <w:r w:rsidRPr="008551AF">
        <w:rPr>
          <w:rFonts w:ascii="Century" w:hAnsi="Century" w:cs="Miriam" w:hint="cs"/>
          <w:b/>
          <w:spacing w:val="0"/>
          <w:szCs w:val="24"/>
          <w:rtl/>
        </w:rPr>
        <w:t>בר-און</w:t>
      </w:r>
      <w:r w:rsidRPr="008551AF">
        <w:rPr>
          <w:rFonts w:hint="cs"/>
          <w:rtl/>
        </w:rPr>
        <w:t xml:space="preserve">, בעמ' </w:t>
      </w:r>
      <w:r>
        <w:rPr>
          <w:rFonts w:hint="cs"/>
          <w:rtl/>
        </w:rPr>
        <w:t>311-309</w:t>
      </w:r>
      <w:r w:rsidRPr="008551AF">
        <w:rPr>
          <w:rFonts w:hint="cs"/>
          <w:rtl/>
        </w:rPr>
        <w:t xml:space="preserve">; עניין </w:t>
      </w:r>
      <w:r w:rsidRPr="008551AF">
        <w:rPr>
          <w:rFonts w:ascii="Century" w:hAnsi="Century" w:cs="Miriam" w:hint="cs"/>
          <w:b/>
          <w:spacing w:val="0"/>
          <w:szCs w:val="24"/>
          <w:rtl/>
        </w:rPr>
        <w:t>המרכז האקדמי</w:t>
      </w:r>
      <w:r w:rsidRPr="008551AF">
        <w:rPr>
          <w:rFonts w:hint="cs"/>
          <w:rtl/>
        </w:rPr>
        <w:t xml:space="preserve">, בפסקה ל"ה </w:t>
      </w:r>
      <w:r>
        <w:rPr>
          <w:rFonts w:hint="cs"/>
          <w:rtl/>
        </w:rPr>
        <w:t>לחוות דעתו</w:t>
      </w:r>
      <w:r w:rsidRPr="008551AF">
        <w:rPr>
          <w:rFonts w:hint="cs"/>
          <w:rtl/>
        </w:rPr>
        <w:t xml:space="preserve"> של המשנה לנשיאה (בדימ') </w:t>
      </w:r>
      <w:r w:rsidRPr="008551AF">
        <w:rPr>
          <w:rFonts w:ascii="Century" w:hAnsi="Century" w:cs="Miriam" w:hint="cs"/>
          <w:b/>
          <w:spacing w:val="0"/>
          <w:szCs w:val="24"/>
          <w:rtl/>
        </w:rPr>
        <w:t>רובינשטיין</w:t>
      </w:r>
      <w:r w:rsidRPr="008551AF">
        <w:rPr>
          <w:rFonts w:hint="cs"/>
          <w:rtl/>
        </w:rPr>
        <w:t xml:space="preserve"> ובפסקה 15 לחוות דעתו של השופט </w:t>
      </w:r>
      <w:r w:rsidRPr="008551AF">
        <w:rPr>
          <w:rFonts w:ascii="Century" w:hAnsi="Century" w:cs="Miriam" w:hint="cs"/>
          <w:b/>
          <w:spacing w:val="0"/>
          <w:szCs w:val="24"/>
          <w:rtl/>
        </w:rPr>
        <w:t>ע' פוגלמן</w:t>
      </w:r>
      <w:r w:rsidRPr="008551AF">
        <w:rPr>
          <w:rFonts w:hint="cs"/>
          <w:rtl/>
        </w:rPr>
        <w:t xml:space="preserve">; בג"ץ 5744/16 </w:t>
      </w:r>
      <w:r w:rsidRPr="008551AF">
        <w:rPr>
          <w:rFonts w:ascii="Century" w:hAnsi="Century" w:cs="Miriam" w:hint="cs"/>
          <w:b/>
          <w:spacing w:val="0"/>
          <w:szCs w:val="24"/>
          <w:rtl/>
        </w:rPr>
        <w:t>בן מאיר נ' הכנסת</w:t>
      </w:r>
      <w:r>
        <w:rPr>
          <w:rFonts w:hint="cs"/>
          <w:rtl/>
        </w:rPr>
        <w:t>, פסקה 25 לחוות דעתי</w:t>
      </w:r>
      <w:r w:rsidRPr="008551AF">
        <w:rPr>
          <w:rFonts w:hint="cs"/>
          <w:rtl/>
        </w:rPr>
        <w:t xml:space="preserve"> (27.5.2018)</w:t>
      </w:r>
      <w:r>
        <w:rPr>
          <w:rFonts w:hint="cs"/>
          <w:rtl/>
        </w:rPr>
        <w:t xml:space="preserve"> (להלן: </w:t>
      </w:r>
      <w:r w:rsidRPr="00652531">
        <w:rPr>
          <w:rFonts w:ascii="Century" w:hAnsi="Century" w:cs="Miriam" w:hint="eastAsia"/>
          <w:b/>
          <w:spacing w:val="0"/>
          <w:sz w:val="22"/>
          <w:szCs w:val="24"/>
          <w:rtl/>
        </w:rPr>
        <w:t>עניין</w:t>
      </w:r>
      <w:r>
        <w:rPr>
          <w:rFonts w:hint="cs"/>
          <w:rtl/>
        </w:rPr>
        <w:t xml:space="preserve"> </w:t>
      </w:r>
      <w:r w:rsidRPr="002C0CD0">
        <w:rPr>
          <w:rFonts w:ascii="Century" w:hAnsi="Century" w:cs="Miriam" w:hint="eastAsia"/>
          <w:b/>
          <w:spacing w:val="0"/>
          <w:sz w:val="22"/>
          <w:szCs w:val="24"/>
          <w:rtl/>
        </w:rPr>
        <w:t>בן</w:t>
      </w:r>
      <w:r w:rsidRPr="002C0CD0">
        <w:rPr>
          <w:rFonts w:ascii="Century" w:hAnsi="Century" w:cs="Miriam"/>
          <w:b/>
          <w:spacing w:val="0"/>
          <w:sz w:val="22"/>
          <w:szCs w:val="24"/>
          <w:rtl/>
        </w:rPr>
        <w:t xml:space="preserve"> </w:t>
      </w:r>
      <w:r w:rsidRPr="002C0CD0">
        <w:rPr>
          <w:rFonts w:ascii="Century" w:hAnsi="Century" w:cs="Miriam" w:hint="eastAsia"/>
          <w:b/>
          <w:spacing w:val="0"/>
          <w:sz w:val="22"/>
          <w:szCs w:val="24"/>
          <w:rtl/>
        </w:rPr>
        <w:t>מאיר</w:t>
      </w:r>
      <w:r>
        <w:rPr>
          <w:rFonts w:hint="cs"/>
          <w:rtl/>
        </w:rPr>
        <w:t xml:space="preserve">)).  </w:t>
      </w:r>
    </w:p>
    <w:p w:rsidR="00C044AE" w:rsidRDefault="00C044AE" w:rsidP="00C044AE">
      <w:pPr>
        <w:pStyle w:val="Ruller41"/>
        <w:rPr>
          <w:rtl/>
        </w:rPr>
      </w:pPr>
    </w:p>
    <w:p w:rsidR="00C044AE" w:rsidRPr="00030102" w:rsidRDefault="00C044AE" w:rsidP="00C044AE">
      <w:pPr>
        <w:pStyle w:val="Ruller4"/>
        <w:rPr>
          <w:rtl/>
        </w:rPr>
      </w:pPr>
      <w:r w:rsidRPr="00030102">
        <w:rPr>
          <w:rFonts w:hint="cs"/>
          <w:rtl/>
        </w:rPr>
        <w:t>הדיון המשמעותי ביותר ב</w:t>
      </w:r>
      <w:r>
        <w:rPr>
          <w:rFonts w:hint="cs"/>
          <w:rtl/>
        </w:rPr>
        <w:t>אשר ל</w:t>
      </w:r>
      <w:r w:rsidRPr="00030102">
        <w:rPr>
          <w:rFonts w:hint="cs"/>
          <w:rtl/>
        </w:rPr>
        <w:t xml:space="preserve">גבולות הסמכות המכוננת </w:t>
      </w:r>
      <w:r>
        <w:rPr>
          <w:rFonts w:hint="cs"/>
          <w:rtl/>
        </w:rPr>
        <w:t>התקיים</w:t>
      </w:r>
      <w:r w:rsidRPr="00030102">
        <w:rPr>
          <w:rFonts w:hint="cs"/>
          <w:rtl/>
        </w:rPr>
        <w:t xml:space="preserve"> </w:t>
      </w:r>
      <w:r>
        <w:rPr>
          <w:rFonts w:hint="cs"/>
          <w:rtl/>
        </w:rPr>
        <w:t xml:space="preserve">בעניין </w:t>
      </w:r>
      <w:r w:rsidRPr="00127D2C">
        <w:rPr>
          <w:rFonts w:ascii="Century" w:hAnsi="Century" w:cs="Miriam" w:hint="cs"/>
          <w:b/>
          <w:spacing w:val="0"/>
          <w:sz w:val="22"/>
          <w:szCs w:val="24"/>
          <w:rtl/>
        </w:rPr>
        <w:t>חסון</w:t>
      </w:r>
      <w:r w:rsidRPr="00030102">
        <w:rPr>
          <w:rFonts w:hint="cs"/>
          <w:rtl/>
        </w:rPr>
        <w:t xml:space="preserve">, בו נדונה חוקתיותו של </w:t>
      </w:r>
      <w:r w:rsidRPr="00030102">
        <w:rPr>
          <w:rFonts w:ascii="FrankRuehl" w:hAnsi="FrankRuehl" w:hint="cs"/>
          <w:sz w:val="28"/>
          <w:rtl/>
        </w:rPr>
        <w:t xml:space="preserve">חוק-יסוד: ישראל </w:t>
      </w:r>
      <w:r w:rsidRPr="00030102">
        <w:rPr>
          <w:rFonts w:ascii="FrankRuehl" w:hAnsi="FrankRuehl"/>
          <w:sz w:val="28"/>
          <w:rtl/>
        </w:rPr>
        <w:t>–</w:t>
      </w:r>
      <w:r w:rsidRPr="00030102">
        <w:rPr>
          <w:rFonts w:ascii="FrankRuehl" w:hAnsi="FrankRuehl" w:hint="cs"/>
          <w:sz w:val="28"/>
          <w:rtl/>
        </w:rPr>
        <w:t xml:space="preserve"> מדינת הלאום של העם היהודי (להלן: </w:t>
      </w:r>
      <w:r>
        <w:rPr>
          <w:rFonts w:ascii="Century" w:hAnsi="Century" w:cs="Miriam" w:hint="cs"/>
          <w:b/>
          <w:spacing w:val="0"/>
          <w:sz w:val="22"/>
          <w:szCs w:val="24"/>
          <w:rtl/>
        </w:rPr>
        <w:t>חוק-</w:t>
      </w:r>
      <w:r w:rsidRPr="00030102">
        <w:rPr>
          <w:rFonts w:ascii="Century" w:hAnsi="Century" w:cs="Miriam" w:hint="cs"/>
          <w:b/>
          <w:spacing w:val="0"/>
          <w:sz w:val="22"/>
          <w:szCs w:val="24"/>
          <w:rtl/>
        </w:rPr>
        <w:t>יסוד: הלאום</w:t>
      </w:r>
      <w:r w:rsidRPr="00030102">
        <w:rPr>
          <w:rFonts w:ascii="FrankRuehl" w:hAnsi="FrankRuehl" w:hint="cs"/>
          <w:sz w:val="28"/>
          <w:rtl/>
        </w:rPr>
        <w:t>)</w:t>
      </w:r>
      <w:r>
        <w:rPr>
          <w:rFonts w:ascii="FrankRuehl" w:hAnsi="FrankRuehl" w:hint="cs"/>
          <w:sz w:val="28"/>
          <w:rtl/>
        </w:rPr>
        <w:t>.</w:t>
      </w:r>
      <w:r w:rsidRPr="00030102">
        <w:rPr>
          <w:rFonts w:ascii="FrankRuehl" w:hAnsi="FrankRuehl" w:hint="cs"/>
          <w:sz w:val="28"/>
          <w:rtl/>
        </w:rPr>
        <w:t xml:space="preserve"> </w:t>
      </w:r>
      <w:r w:rsidRPr="00030102">
        <w:rPr>
          <w:rFonts w:hint="cs"/>
          <w:rtl/>
        </w:rPr>
        <w:t xml:space="preserve">באותו עניין </w:t>
      </w:r>
      <w:r>
        <w:rPr>
          <w:rFonts w:hint="cs"/>
          <w:rtl/>
        </w:rPr>
        <w:t>צוין כי מן הראוי ש</w:t>
      </w:r>
      <w:r w:rsidRPr="00030102">
        <w:rPr>
          <w:rFonts w:hint="cs"/>
          <w:rtl/>
        </w:rPr>
        <w:t xml:space="preserve">שאלת אימוצה של </w:t>
      </w:r>
      <w:r w:rsidRPr="00030102">
        <w:rPr>
          <w:rtl/>
        </w:rPr>
        <w:t xml:space="preserve">דוקטרינה </w:t>
      </w:r>
      <w:r w:rsidRPr="00127D2C">
        <w:rPr>
          <w:rFonts w:ascii="Century" w:hAnsi="Century" w:hint="cs"/>
          <w:sz w:val="22"/>
          <w:rtl/>
        </w:rPr>
        <w:t>מקיפה</w:t>
      </w:r>
      <w:r w:rsidRPr="00127D2C">
        <w:rPr>
          <w:rFonts w:hint="cs"/>
          <w:rtl/>
        </w:rPr>
        <w:t xml:space="preserve"> </w:t>
      </w:r>
      <w:r w:rsidRPr="00030102">
        <w:rPr>
          <w:rFonts w:hint="cs"/>
          <w:rtl/>
        </w:rPr>
        <w:t>לב</w:t>
      </w:r>
      <w:r>
        <w:rPr>
          <w:rFonts w:hint="cs"/>
          <w:rtl/>
        </w:rPr>
        <w:t xml:space="preserve">חינת חוקתיותם של תיקונים לחוקה, </w:t>
      </w:r>
      <w:r w:rsidRPr="00030102">
        <w:rPr>
          <w:rFonts w:hint="cs"/>
          <w:rtl/>
        </w:rPr>
        <w:t>תוכרע</w:t>
      </w:r>
      <w:r w:rsidRPr="00030102">
        <w:rPr>
          <w:rtl/>
        </w:rPr>
        <w:t xml:space="preserve"> עם השלמת מפעל חוקי היסוד לכ</w:t>
      </w:r>
      <w:r w:rsidRPr="00030102">
        <w:rPr>
          <w:rFonts w:hint="cs"/>
          <w:rtl/>
        </w:rPr>
        <w:t>די</w:t>
      </w:r>
      <w:r w:rsidRPr="00030102">
        <w:rPr>
          <w:rtl/>
        </w:rPr>
        <w:t xml:space="preserve"> חוקה מלאה</w:t>
      </w:r>
      <w:r>
        <w:rPr>
          <w:rFonts w:hint="cs"/>
          <w:rtl/>
        </w:rPr>
        <w:t>. עם זאת, הודגש</w:t>
      </w:r>
      <w:r w:rsidRPr="00030102">
        <w:rPr>
          <w:rFonts w:hint="cs"/>
          <w:rtl/>
        </w:rPr>
        <w:t xml:space="preserve"> </w:t>
      </w:r>
      <w:r>
        <w:rPr>
          <w:rFonts w:hint="cs"/>
          <w:rtl/>
        </w:rPr>
        <w:t xml:space="preserve">כי </w:t>
      </w:r>
      <w:r w:rsidRPr="00030102">
        <w:rPr>
          <w:rFonts w:hint="cs"/>
          <w:rtl/>
        </w:rPr>
        <w:t xml:space="preserve">"משמעות הדבר </w:t>
      </w:r>
      <w:r w:rsidRPr="00030102">
        <w:rPr>
          <w:rFonts w:ascii="Century" w:hAnsi="Century" w:cs="Miriam" w:hint="cs"/>
          <w:b/>
          <w:spacing w:val="0"/>
          <w:sz w:val="22"/>
          <w:szCs w:val="24"/>
          <w:rtl/>
        </w:rPr>
        <w:t>אינה</w:t>
      </w:r>
      <w:r w:rsidRPr="00030102">
        <w:rPr>
          <w:rFonts w:hint="cs"/>
          <w:rtl/>
        </w:rPr>
        <w:t xml:space="preserve"> בהכרח כי בהיעדר דוקטרינה מקיפה כזו, סמכויותיה של הרשות המכוננת בישראל הן בלתי-מוגבלות" (</w:t>
      </w:r>
      <w:r w:rsidRPr="00030102">
        <w:rPr>
          <w:rFonts w:ascii="Century" w:hAnsi="Century" w:cs="Miriam" w:hint="cs"/>
          <w:b/>
          <w:spacing w:val="0"/>
          <w:sz w:val="22"/>
          <w:szCs w:val="24"/>
          <w:rtl/>
        </w:rPr>
        <w:t>שם</w:t>
      </w:r>
      <w:r w:rsidRPr="00030102">
        <w:rPr>
          <w:rFonts w:hint="cs"/>
          <w:rtl/>
        </w:rPr>
        <w:t>, בפסקה 15 לחוות דעת</w:t>
      </w:r>
      <w:r>
        <w:rPr>
          <w:rFonts w:hint="cs"/>
          <w:rtl/>
        </w:rPr>
        <w:t>י</w:t>
      </w:r>
      <w:r w:rsidRPr="00030102">
        <w:rPr>
          <w:rFonts w:hint="cs"/>
          <w:rtl/>
        </w:rPr>
        <w:t xml:space="preserve">; ההדגשה במקור). בהקשר זה </w:t>
      </w:r>
      <w:r>
        <w:rPr>
          <w:rFonts w:hint="cs"/>
          <w:rtl/>
        </w:rPr>
        <w:t>הובהר</w:t>
      </w:r>
      <w:r w:rsidRPr="00030102">
        <w:rPr>
          <w:rFonts w:hint="cs"/>
          <w:rtl/>
        </w:rPr>
        <w:t xml:space="preserve"> כי יש לבחון שתי שאלות נפרדות: "השאלה הראשונה היא אם קיימות כבר עתה </w:t>
      </w:r>
      <w:r w:rsidRPr="00030102">
        <w:rPr>
          <w:rFonts w:ascii="Century" w:hAnsi="Century" w:cs="Miriam" w:hint="cs"/>
          <w:b/>
          <w:spacing w:val="0"/>
          <w:sz w:val="22"/>
          <w:szCs w:val="24"/>
          <w:rtl/>
        </w:rPr>
        <w:t>מגבלות</w:t>
      </w:r>
      <w:r w:rsidRPr="00030102">
        <w:rPr>
          <w:rFonts w:hint="cs"/>
          <w:rtl/>
        </w:rPr>
        <w:t xml:space="preserve"> </w:t>
      </w:r>
      <w:r w:rsidRPr="00030102">
        <w:rPr>
          <w:rFonts w:ascii="Century" w:hAnsi="Century" w:cs="Miriam" w:hint="cs"/>
          <w:b/>
          <w:spacing w:val="0"/>
          <w:sz w:val="22"/>
          <w:szCs w:val="24"/>
          <w:rtl/>
        </w:rPr>
        <w:t>מהותיות</w:t>
      </w:r>
      <w:r w:rsidRPr="00030102">
        <w:rPr>
          <w:rFonts w:hint="cs"/>
          <w:rtl/>
        </w:rPr>
        <w:t xml:space="preserve"> (תוכניות) כלשהן על סמכותה המכוננת של הכנסת; השנייה </w:t>
      </w:r>
      <w:r w:rsidRPr="00030102">
        <w:rPr>
          <w:rtl/>
        </w:rPr>
        <w:t>–</w:t>
      </w:r>
      <w:r w:rsidRPr="00030102">
        <w:rPr>
          <w:rFonts w:hint="cs"/>
          <w:rtl/>
        </w:rPr>
        <w:t xml:space="preserve"> ככל שאכן קיימות מגבלות כאלה, האם בית משפט זה מוסמך לבצע מכוחן </w:t>
      </w:r>
      <w:r w:rsidRPr="00030102">
        <w:rPr>
          <w:rFonts w:ascii="Century" w:hAnsi="Century" w:cs="Miriam" w:hint="cs"/>
          <w:b/>
          <w:spacing w:val="0"/>
          <w:sz w:val="22"/>
          <w:szCs w:val="24"/>
          <w:rtl/>
        </w:rPr>
        <w:t>ביקורת שיפוטית</w:t>
      </w:r>
      <w:r w:rsidRPr="00030102">
        <w:rPr>
          <w:rFonts w:hint="cs"/>
          <w:rtl/>
        </w:rPr>
        <w:t xml:space="preserve"> </w:t>
      </w:r>
      <w:r w:rsidRPr="00030102">
        <w:rPr>
          <w:rFonts w:ascii="Century" w:hAnsi="Century" w:cs="Miriam" w:hint="cs"/>
          <w:b/>
          <w:spacing w:val="0"/>
          <w:sz w:val="22"/>
          <w:szCs w:val="24"/>
          <w:rtl/>
        </w:rPr>
        <w:t>מהותית</w:t>
      </w:r>
      <w:r w:rsidRPr="00030102">
        <w:rPr>
          <w:rFonts w:hint="cs"/>
          <w:rtl/>
        </w:rPr>
        <w:t xml:space="preserve"> על חוקי יסוד [...]" (</w:t>
      </w:r>
      <w:r w:rsidRPr="00030102">
        <w:rPr>
          <w:rFonts w:ascii="Century" w:hAnsi="Century" w:cs="Miriam" w:hint="cs"/>
          <w:b/>
          <w:spacing w:val="0"/>
          <w:sz w:val="22"/>
          <w:szCs w:val="24"/>
          <w:rtl/>
        </w:rPr>
        <w:t>שם</w:t>
      </w:r>
      <w:r w:rsidRPr="003922EB">
        <w:rPr>
          <w:rtl/>
        </w:rPr>
        <w:t xml:space="preserve">, </w:t>
      </w:r>
      <w:r w:rsidRPr="003922EB">
        <w:rPr>
          <w:rFonts w:hint="eastAsia"/>
          <w:rtl/>
        </w:rPr>
        <w:t>בפסקה</w:t>
      </w:r>
      <w:r w:rsidRPr="003922EB">
        <w:rPr>
          <w:rtl/>
        </w:rPr>
        <w:t xml:space="preserve"> 16 </w:t>
      </w:r>
      <w:r w:rsidRPr="003922EB">
        <w:rPr>
          <w:rFonts w:hint="eastAsia"/>
          <w:rtl/>
        </w:rPr>
        <w:t>לחוות</w:t>
      </w:r>
      <w:r w:rsidRPr="003922EB">
        <w:rPr>
          <w:rtl/>
        </w:rPr>
        <w:t xml:space="preserve"> </w:t>
      </w:r>
      <w:r w:rsidRPr="003922EB">
        <w:rPr>
          <w:rFonts w:hint="eastAsia"/>
          <w:rtl/>
        </w:rPr>
        <w:t>דעתי</w:t>
      </w:r>
      <w:r w:rsidRPr="00030102">
        <w:rPr>
          <w:rFonts w:hint="cs"/>
          <w:rtl/>
        </w:rPr>
        <w:t xml:space="preserve">; ההדגשות במקור). </w:t>
      </w:r>
      <w:r>
        <w:rPr>
          <w:rFonts w:hint="cs"/>
          <w:rtl/>
        </w:rPr>
        <w:t xml:space="preserve">לשאלה הראשונה ניתנה תשובה חיובית מהדהדת וברורה בפסק הדין בעניין </w:t>
      </w:r>
      <w:r w:rsidRPr="00127D2C">
        <w:rPr>
          <w:rFonts w:ascii="Century" w:hAnsi="Century" w:cs="Miriam" w:hint="cs"/>
          <w:b/>
          <w:spacing w:val="0"/>
          <w:sz w:val="22"/>
          <w:szCs w:val="24"/>
          <w:rtl/>
        </w:rPr>
        <w:t>חסון</w:t>
      </w:r>
      <w:r>
        <w:rPr>
          <w:rFonts w:hint="cs"/>
          <w:rtl/>
        </w:rPr>
        <w:t xml:space="preserve">; השאלה השנייה לא נדרשה לצורך הכרעה בעניין </w:t>
      </w:r>
      <w:r w:rsidRPr="004F78EB">
        <w:rPr>
          <w:rFonts w:ascii="Century" w:hAnsi="Century" w:cs="Miriam" w:hint="eastAsia"/>
          <w:b/>
          <w:spacing w:val="0"/>
          <w:sz w:val="22"/>
          <w:szCs w:val="24"/>
          <w:rtl/>
        </w:rPr>
        <w:t>חסון</w:t>
      </w:r>
      <w:r>
        <w:rPr>
          <w:rFonts w:hint="cs"/>
          <w:rtl/>
        </w:rPr>
        <w:t xml:space="preserve">, והיא עומדת לפתחנו כעת. </w:t>
      </w:r>
    </w:p>
    <w:p w:rsidR="00C044AE" w:rsidRDefault="00C044AE" w:rsidP="00C044AE">
      <w:pPr>
        <w:pStyle w:val="Ruller41"/>
        <w:rPr>
          <w:rtl/>
        </w:rPr>
      </w:pPr>
    </w:p>
    <w:p w:rsidR="00C044AE" w:rsidRPr="00594C28" w:rsidRDefault="00C044AE" w:rsidP="00C044AE">
      <w:pPr>
        <w:pStyle w:val="Ruller41"/>
        <w:ind w:left="360"/>
        <w:outlineLvl w:val="2"/>
        <w:rPr>
          <w:rFonts w:ascii="Century" w:hAnsi="Century" w:cs="Miriam"/>
          <w:b/>
          <w:spacing w:val="0"/>
          <w:szCs w:val="24"/>
          <w:rtl/>
        </w:rPr>
      </w:pPr>
      <w:r w:rsidRPr="00793419">
        <w:rPr>
          <w:rFonts w:ascii="Century" w:hAnsi="Century" w:cs="Miriam" w:hint="cs"/>
          <w:b/>
          <w:spacing w:val="0"/>
          <w:szCs w:val="24"/>
          <w:rtl/>
        </w:rPr>
        <w:t>ג.1</w:t>
      </w:r>
      <w:r>
        <w:rPr>
          <w:rFonts w:ascii="Century" w:hAnsi="Century" w:cs="Miriam" w:hint="cs"/>
          <w:b/>
          <w:spacing w:val="0"/>
          <w:szCs w:val="24"/>
          <w:rtl/>
        </w:rPr>
        <w:t>.</w:t>
      </w:r>
      <w:r w:rsidRPr="00793419">
        <w:rPr>
          <w:rFonts w:ascii="Century" w:hAnsi="Century" w:cs="Miriam" w:hint="cs"/>
          <w:b/>
          <w:spacing w:val="0"/>
          <w:szCs w:val="24"/>
          <w:rtl/>
        </w:rPr>
        <w:t xml:space="preserve"> גבולות סמכותה של הרשות המכוננת</w:t>
      </w:r>
    </w:p>
    <w:p w:rsidR="00C044AE" w:rsidRDefault="00C044AE" w:rsidP="00C044AE">
      <w:pPr>
        <w:pStyle w:val="Ruller41"/>
        <w:ind w:left="360"/>
        <w:rPr>
          <w:rFonts w:ascii="Century" w:hAnsi="Century"/>
          <w:u w:val="single"/>
          <w:rtl/>
        </w:rPr>
      </w:pPr>
    </w:p>
    <w:p w:rsidR="00C044AE" w:rsidRDefault="00C044AE" w:rsidP="00C044AE">
      <w:pPr>
        <w:pStyle w:val="Ruller4"/>
        <w:rPr>
          <w:rtl/>
        </w:rPr>
      </w:pPr>
      <w:r>
        <w:rPr>
          <w:rFonts w:hint="cs"/>
          <w:rtl/>
        </w:rPr>
        <w:t xml:space="preserve">פסק הדין בעניין </w:t>
      </w:r>
      <w:r w:rsidRPr="001F7E07">
        <w:rPr>
          <w:rFonts w:ascii="Century" w:hAnsi="Century" w:cs="Miriam" w:hint="cs"/>
          <w:b/>
          <w:spacing w:val="0"/>
          <w:sz w:val="22"/>
          <w:szCs w:val="24"/>
          <w:rtl/>
        </w:rPr>
        <w:t>חסון</w:t>
      </w:r>
      <w:r w:rsidRPr="001F7E07">
        <w:rPr>
          <w:rFonts w:hint="cs"/>
          <w:rtl/>
        </w:rPr>
        <w:t xml:space="preserve"> </w:t>
      </w:r>
      <w:r>
        <w:rPr>
          <w:rFonts w:hint="cs"/>
          <w:rtl/>
        </w:rPr>
        <w:t>קבע לראשונה, "ברחל בתך הקטנה", כי סמכותה של</w:t>
      </w:r>
      <w:r w:rsidRPr="00406C8C">
        <w:rPr>
          <w:rFonts w:hint="cs"/>
          <w:rtl/>
        </w:rPr>
        <w:t xml:space="preserve"> </w:t>
      </w:r>
      <w:r>
        <w:rPr>
          <w:rFonts w:hint="cs"/>
          <w:rtl/>
        </w:rPr>
        <w:t xml:space="preserve">הכנסת בכובעה כרשות מכוננת אינה בלתי מוגבלת וכי היא אינה מוסמכת לשלול </w:t>
      </w:r>
      <w:r>
        <w:rPr>
          <w:rtl/>
        </w:rPr>
        <w:t>–</w:t>
      </w:r>
      <w:r>
        <w:rPr>
          <w:rFonts w:hint="cs"/>
          <w:rtl/>
        </w:rPr>
        <w:t xml:space="preserve"> להלכה או למעשה </w:t>
      </w:r>
      <w:r>
        <w:rPr>
          <w:rtl/>
        </w:rPr>
        <w:t>–</w:t>
      </w:r>
      <w:r>
        <w:rPr>
          <w:rFonts w:hint="cs"/>
          <w:rtl/>
        </w:rPr>
        <w:t xml:space="preserve"> את מאפייני הזהות הגרעיניים של ישראל כמדינה יהודית ודמוקרטית. בהקשר זה צוין כי "</w:t>
      </w:r>
      <w:r w:rsidRPr="00406C8C">
        <w:rPr>
          <w:rFonts w:hint="eastAsia"/>
          <w:rtl/>
        </w:rPr>
        <w:t>המבנה</w:t>
      </w:r>
      <w:r w:rsidRPr="00406C8C">
        <w:rPr>
          <w:rtl/>
        </w:rPr>
        <w:t xml:space="preserve"> </w:t>
      </w:r>
      <w:r w:rsidRPr="00406C8C">
        <w:rPr>
          <w:rFonts w:hint="eastAsia"/>
          <w:rtl/>
        </w:rPr>
        <w:t>החוקתי</w:t>
      </w:r>
      <w:r w:rsidRPr="00406C8C">
        <w:rPr>
          <w:rtl/>
        </w:rPr>
        <w:t xml:space="preserve"> </w:t>
      </w:r>
      <w:r w:rsidRPr="00406C8C">
        <w:rPr>
          <w:rFonts w:hint="eastAsia"/>
          <w:rtl/>
        </w:rPr>
        <w:t>שלנו</w:t>
      </w:r>
      <w:r w:rsidRPr="00406C8C">
        <w:rPr>
          <w:rtl/>
        </w:rPr>
        <w:t xml:space="preserve"> </w:t>
      </w:r>
      <w:r w:rsidRPr="00406C8C">
        <w:rPr>
          <w:rFonts w:hint="eastAsia"/>
          <w:rtl/>
        </w:rPr>
        <w:t>אינו</w:t>
      </w:r>
      <w:r w:rsidRPr="00406C8C">
        <w:rPr>
          <w:rtl/>
        </w:rPr>
        <w:t xml:space="preserve"> </w:t>
      </w:r>
      <w:r w:rsidRPr="00406C8C">
        <w:rPr>
          <w:rFonts w:hint="eastAsia"/>
          <w:rtl/>
        </w:rPr>
        <w:t>שלם</w:t>
      </w:r>
      <w:r w:rsidRPr="00406C8C">
        <w:rPr>
          <w:rtl/>
        </w:rPr>
        <w:t xml:space="preserve"> </w:t>
      </w:r>
      <w:r w:rsidRPr="00406C8C">
        <w:rPr>
          <w:rFonts w:hint="eastAsia"/>
          <w:rtl/>
        </w:rPr>
        <w:t>ובהחלט</w:t>
      </w:r>
      <w:r w:rsidRPr="00406C8C">
        <w:rPr>
          <w:rtl/>
        </w:rPr>
        <w:t xml:space="preserve"> </w:t>
      </w:r>
      <w:r w:rsidRPr="00406C8C">
        <w:rPr>
          <w:rFonts w:hint="eastAsia"/>
          <w:rtl/>
        </w:rPr>
        <w:t>ייתכן</w:t>
      </w:r>
      <w:r w:rsidRPr="00406C8C">
        <w:rPr>
          <w:rtl/>
        </w:rPr>
        <w:t xml:space="preserve"> </w:t>
      </w:r>
      <w:r w:rsidRPr="00406C8C">
        <w:rPr>
          <w:rFonts w:hint="eastAsia"/>
          <w:rtl/>
        </w:rPr>
        <w:t>כי</w:t>
      </w:r>
      <w:r w:rsidRPr="00406C8C">
        <w:rPr>
          <w:rtl/>
        </w:rPr>
        <w:t xml:space="preserve"> </w:t>
      </w:r>
      <w:r w:rsidRPr="00406C8C">
        <w:rPr>
          <w:rFonts w:hint="eastAsia"/>
          <w:rtl/>
        </w:rPr>
        <w:t>יתווספו</w:t>
      </w:r>
      <w:r w:rsidRPr="00406C8C">
        <w:rPr>
          <w:rtl/>
        </w:rPr>
        <w:t xml:space="preserve"> </w:t>
      </w:r>
      <w:r w:rsidRPr="00406C8C">
        <w:rPr>
          <w:rFonts w:hint="eastAsia"/>
          <w:rtl/>
        </w:rPr>
        <w:t>לו</w:t>
      </w:r>
      <w:r w:rsidRPr="00406C8C">
        <w:rPr>
          <w:rtl/>
        </w:rPr>
        <w:t xml:space="preserve"> </w:t>
      </w:r>
      <w:r w:rsidRPr="00406C8C">
        <w:rPr>
          <w:rFonts w:hint="eastAsia"/>
          <w:rtl/>
        </w:rPr>
        <w:t>קומות</w:t>
      </w:r>
      <w:r w:rsidRPr="00406C8C">
        <w:rPr>
          <w:rtl/>
        </w:rPr>
        <w:t xml:space="preserve"> </w:t>
      </w:r>
      <w:r w:rsidRPr="00406C8C">
        <w:rPr>
          <w:rFonts w:hint="eastAsia"/>
          <w:rtl/>
        </w:rPr>
        <w:t>והסתעפויות</w:t>
      </w:r>
      <w:r w:rsidRPr="00406C8C">
        <w:rPr>
          <w:rtl/>
        </w:rPr>
        <w:t xml:space="preserve"> </w:t>
      </w:r>
      <w:r w:rsidRPr="00406C8C">
        <w:rPr>
          <w:rFonts w:hint="eastAsia"/>
          <w:rtl/>
        </w:rPr>
        <w:t>בהמשך</w:t>
      </w:r>
      <w:r w:rsidRPr="00406C8C">
        <w:rPr>
          <w:rtl/>
        </w:rPr>
        <w:t xml:space="preserve"> </w:t>
      </w:r>
      <w:r w:rsidRPr="00406C8C">
        <w:rPr>
          <w:rFonts w:hint="eastAsia"/>
          <w:rtl/>
        </w:rPr>
        <w:t>הדרך</w:t>
      </w:r>
      <w:r w:rsidRPr="00406C8C">
        <w:rPr>
          <w:rtl/>
        </w:rPr>
        <w:t xml:space="preserve">, </w:t>
      </w:r>
      <w:r w:rsidRPr="00406C8C">
        <w:rPr>
          <w:rFonts w:hint="eastAsia"/>
          <w:rtl/>
        </w:rPr>
        <w:t>אך</w:t>
      </w:r>
      <w:r w:rsidRPr="00406C8C">
        <w:rPr>
          <w:rtl/>
        </w:rPr>
        <w:t xml:space="preserve"> </w:t>
      </w:r>
      <w:r w:rsidRPr="00406C8C">
        <w:rPr>
          <w:rFonts w:hint="eastAsia"/>
          <w:rtl/>
        </w:rPr>
        <w:t>שני</w:t>
      </w:r>
      <w:r w:rsidRPr="00406C8C">
        <w:rPr>
          <w:rtl/>
        </w:rPr>
        <w:t xml:space="preserve"> </w:t>
      </w:r>
      <w:r w:rsidRPr="00406C8C">
        <w:rPr>
          <w:rFonts w:hint="eastAsia"/>
          <w:rtl/>
        </w:rPr>
        <w:t>עמודי</w:t>
      </w:r>
      <w:r w:rsidRPr="00406C8C">
        <w:rPr>
          <w:rtl/>
        </w:rPr>
        <w:t xml:space="preserve"> </w:t>
      </w:r>
      <w:r w:rsidRPr="00406C8C">
        <w:rPr>
          <w:rFonts w:hint="eastAsia"/>
          <w:rtl/>
        </w:rPr>
        <w:t>התווך</w:t>
      </w:r>
      <w:r w:rsidRPr="00406C8C">
        <w:rPr>
          <w:rtl/>
        </w:rPr>
        <w:t xml:space="preserve"> </w:t>
      </w:r>
      <w:r w:rsidRPr="00406C8C">
        <w:rPr>
          <w:rFonts w:hint="eastAsia"/>
          <w:rtl/>
        </w:rPr>
        <w:t>הללו</w:t>
      </w:r>
      <w:r w:rsidRPr="00406C8C">
        <w:rPr>
          <w:rtl/>
        </w:rPr>
        <w:t xml:space="preserve"> – </w:t>
      </w:r>
      <w:r w:rsidRPr="00406C8C">
        <w:rPr>
          <w:rFonts w:hint="eastAsia"/>
          <w:rtl/>
        </w:rPr>
        <w:t>העמוד</w:t>
      </w:r>
      <w:r w:rsidRPr="00406C8C">
        <w:rPr>
          <w:rtl/>
        </w:rPr>
        <w:t xml:space="preserve"> </w:t>
      </w:r>
      <w:r w:rsidRPr="00406C8C">
        <w:rPr>
          <w:rFonts w:hint="eastAsia"/>
          <w:rtl/>
        </w:rPr>
        <w:t>היהודי</w:t>
      </w:r>
      <w:r w:rsidRPr="00406C8C">
        <w:rPr>
          <w:rtl/>
        </w:rPr>
        <w:t xml:space="preserve"> </w:t>
      </w:r>
      <w:r w:rsidRPr="00406C8C">
        <w:rPr>
          <w:rFonts w:hint="eastAsia"/>
          <w:rtl/>
        </w:rPr>
        <w:t>והעמוד</w:t>
      </w:r>
      <w:r w:rsidRPr="00406C8C">
        <w:rPr>
          <w:rtl/>
        </w:rPr>
        <w:t xml:space="preserve"> </w:t>
      </w:r>
      <w:r w:rsidRPr="00406C8C">
        <w:rPr>
          <w:rFonts w:hint="eastAsia"/>
          <w:rtl/>
        </w:rPr>
        <w:t>הדמוקרטי</w:t>
      </w:r>
      <w:r w:rsidRPr="00406C8C">
        <w:rPr>
          <w:rtl/>
        </w:rPr>
        <w:t xml:space="preserve"> – </w:t>
      </w:r>
      <w:r w:rsidRPr="00406C8C">
        <w:rPr>
          <w:rFonts w:hint="eastAsia"/>
          <w:rtl/>
        </w:rPr>
        <w:t>הוצבו</w:t>
      </w:r>
      <w:r w:rsidRPr="00406C8C">
        <w:rPr>
          <w:rtl/>
        </w:rPr>
        <w:t xml:space="preserve"> </w:t>
      </w:r>
      <w:r w:rsidRPr="00406C8C">
        <w:rPr>
          <w:rFonts w:hint="eastAsia"/>
          <w:rtl/>
        </w:rPr>
        <w:t>בו</w:t>
      </w:r>
      <w:r w:rsidRPr="00406C8C">
        <w:rPr>
          <w:rtl/>
        </w:rPr>
        <w:t xml:space="preserve"> </w:t>
      </w:r>
      <w:r w:rsidRPr="00406C8C">
        <w:rPr>
          <w:rFonts w:hint="eastAsia"/>
          <w:rtl/>
        </w:rPr>
        <w:t>זה</w:t>
      </w:r>
      <w:r w:rsidRPr="00406C8C">
        <w:rPr>
          <w:rtl/>
        </w:rPr>
        <w:t xml:space="preserve"> </w:t>
      </w:r>
      <w:r w:rsidRPr="00406C8C">
        <w:rPr>
          <w:rFonts w:hint="eastAsia"/>
          <w:rtl/>
        </w:rPr>
        <w:t>מכבר</w:t>
      </w:r>
      <w:r w:rsidRPr="00406C8C">
        <w:rPr>
          <w:rtl/>
        </w:rPr>
        <w:t xml:space="preserve">. </w:t>
      </w:r>
      <w:r w:rsidRPr="00406C8C">
        <w:rPr>
          <w:rFonts w:hint="eastAsia"/>
          <w:rtl/>
        </w:rPr>
        <w:t>שלילת</w:t>
      </w:r>
      <w:r w:rsidRPr="00406C8C">
        <w:rPr>
          <w:rtl/>
        </w:rPr>
        <w:t xml:space="preserve"> </w:t>
      </w:r>
      <w:r w:rsidRPr="00406C8C">
        <w:rPr>
          <w:rFonts w:hint="eastAsia"/>
          <w:rtl/>
        </w:rPr>
        <w:t>איזה</w:t>
      </w:r>
      <w:r w:rsidRPr="00406C8C">
        <w:rPr>
          <w:rtl/>
        </w:rPr>
        <w:t xml:space="preserve"> </w:t>
      </w:r>
      <w:r w:rsidRPr="00406C8C">
        <w:rPr>
          <w:rFonts w:hint="eastAsia"/>
          <w:rtl/>
        </w:rPr>
        <w:t>מהם</w:t>
      </w:r>
      <w:r w:rsidRPr="00406C8C">
        <w:rPr>
          <w:rtl/>
        </w:rPr>
        <w:t xml:space="preserve"> </w:t>
      </w:r>
      <w:r w:rsidRPr="00406C8C">
        <w:rPr>
          <w:rFonts w:hint="eastAsia"/>
          <w:rtl/>
        </w:rPr>
        <w:t>מובילה</w:t>
      </w:r>
      <w:r w:rsidRPr="00406C8C">
        <w:rPr>
          <w:rtl/>
        </w:rPr>
        <w:t xml:space="preserve"> </w:t>
      </w:r>
      <w:r w:rsidRPr="00406C8C">
        <w:rPr>
          <w:rFonts w:hint="eastAsia"/>
          <w:rtl/>
        </w:rPr>
        <w:t>להתמוטטות</w:t>
      </w:r>
      <w:r w:rsidRPr="00406C8C">
        <w:rPr>
          <w:rtl/>
        </w:rPr>
        <w:t xml:space="preserve"> </w:t>
      </w:r>
      <w:r w:rsidRPr="00406C8C">
        <w:rPr>
          <w:rFonts w:hint="eastAsia"/>
          <w:rtl/>
        </w:rPr>
        <w:lastRenderedPageBreak/>
        <w:t>המבנה</w:t>
      </w:r>
      <w:r w:rsidRPr="00406C8C">
        <w:rPr>
          <w:rtl/>
        </w:rPr>
        <w:t xml:space="preserve"> </w:t>
      </w:r>
      <w:r w:rsidRPr="00406C8C">
        <w:rPr>
          <w:rFonts w:hint="eastAsia"/>
          <w:rtl/>
        </w:rPr>
        <w:t>כולו</w:t>
      </w:r>
      <w:r>
        <w:rPr>
          <w:rFonts w:hint="cs"/>
          <w:rtl/>
        </w:rPr>
        <w:t>" (</w:t>
      </w:r>
      <w:r w:rsidRPr="00406C8C">
        <w:rPr>
          <w:rFonts w:ascii="Century" w:hAnsi="Century" w:cs="Miriam" w:hint="cs"/>
          <w:b/>
          <w:spacing w:val="0"/>
          <w:sz w:val="22"/>
          <w:szCs w:val="24"/>
          <w:rtl/>
        </w:rPr>
        <w:t>שם</w:t>
      </w:r>
      <w:r>
        <w:rPr>
          <w:rFonts w:hint="cs"/>
          <w:rtl/>
        </w:rPr>
        <w:t xml:space="preserve">, בפסקה 18 לחוות דעתי). למסקנה זו היו שותפים 9 מבין 11 חברי ההרכב (השופטים </w:t>
      </w:r>
      <w:r w:rsidRPr="00406C8C">
        <w:rPr>
          <w:rFonts w:ascii="Century" w:hAnsi="Century" w:cs="Miriam" w:hint="cs"/>
          <w:b/>
          <w:spacing w:val="0"/>
          <w:sz w:val="22"/>
          <w:szCs w:val="24"/>
          <w:rtl/>
        </w:rPr>
        <w:t>סולברג</w:t>
      </w:r>
      <w:r w:rsidRPr="00406C8C">
        <w:rPr>
          <w:rFonts w:hint="cs"/>
          <w:rtl/>
        </w:rPr>
        <w:t xml:space="preserve"> </w:t>
      </w:r>
      <w:r>
        <w:rPr>
          <w:rFonts w:hint="cs"/>
          <w:rtl/>
        </w:rPr>
        <w:t>ו</w:t>
      </w:r>
      <w:r w:rsidRPr="00406C8C">
        <w:rPr>
          <w:rFonts w:ascii="Century" w:hAnsi="Century" w:cs="Miriam" w:hint="cs"/>
          <w:b/>
          <w:spacing w:val="0"/>
          <w:sz w:val="22"/>
          <w:szCs w:val="24"/>
          <w:rtl/>
        </w:rPr>
        <w:t>מינץ</w:t>
      </w:r>
      <w:r>
        <w:rPr>
          <w:rFonts w:hint="cs"/>
          <w:rtl/>
        </w:rPr>
        <w:t xml:space="preserve"> נמנעו מלהתייחס ישירות לסוגיה זו, והתמקדו בקשיים הנוגעים לקיום ביקורת שיפוטית על חוקי היסוד). </w:t>
      </w:r>
    </w:p>
    <w:p w:rsidR="00C044AE" w:rsidRDefault="00C044AE" w:rsidP="00C044AE">
      <w:pPr>
        <w:pStyle w:val="Ruller41"/>
        <w:rPr>
          <w:rtl/>
        </w:rPr>
      </w:pPr>
    </w:p>
    <w:p w:rsidR="00C044AE" w:rsidRPr="00B95B42" w:rsidRDefault="00C044AE" w:rsidP="00C044AE">
      <w:pPr>
        <w:pStyle w:val="Ruller4"/>
      </w:pPr>
      <w:r>
        <w:rPr>
          <w:rFonts w:hint="cs"/>
          <w:rtl/>
        </w:rPr>
        <w:t>המסקנה בדבר קיומן של מגבלות החלות על סמכות הכנסת לכונן חוקי יסוד, נלמדת מהטקסט החוקתי ומהמערך החוקתי בכללותו, כפי שהתפתחו מאז ימיה הראשונים של המדינה. הכרזת העצמאות, שבה הוטלה מלאכת כינון החוקה על "האספה המכוננת הנבחרת", הגדירה את ישראל כמדינה יהודית והעניקה ביטוי גלוי וברור לאופייה הדמוקרטי, כמדינה המחויבת לשוויון זכויות ולחירויות הפרט. בא-כוח משיבי הממשלה שב והדגיש אומנם, בכתובים ובעל-פה, כי להכרזה כשלעצמה אין מעמד משפטי מחייב, אך דומה כי אין חולק שהכרזה זו עיגנה, למעשה, את "</w:t>
      </w:r>
      <w:r w:rsidRPr="00B95B42">
        <w:rPr>
          <w:rFonts w:hint="eastAsia"/>
          <w:rtl/>
        </w:rPr>
        <w:t>תפיסות</w:t>
      </w:r>
      <w:r w:rsidRPr="00B95B42">
        <w:rPr>
          <w:rtl/>
        </w:rPr>
        <w:t xml:space="preserve"> </w:t>
      </w:r>
      <w:r w:rsidRPr="00B95B42">
        <w:rPr>
          <w:rFonts w:hint="eastAsia"/>
          <w:rtl/>
        </w:rPr>
        <w:t>היסוד</w:t>
      </w:r>
      <w:r w:rsidRPr="00B95B42">
        <w:rPr>
          <w:rtl/>
        </w:rPr>
        <w:t xml:space="preserve"> </w:t>
      </w:r>
      <w:r w:rsidRPr="00B95B42">
        <w:rPr>
          <w:rFonts w:hint="eastAsia"/>
          <w:rtl/>
        </w:rPr>
        <w:t>אשר</w:t>
      </w:r>
      <w:r w:rsidRPr="00B95B42">
        <w:rPr>
          <w:rtl/>
        </w:rPr>
        <w:t xml:space="preserve"> </w:t>
      </w:r>
      <w:r w:rsidRPr="00B95B42">
        <w:rPr>
          <w:rFonts w:hint="eastAsia"/>
          <w:rtl/>
        </w:rPr>
        <w:t>מלוות</w:t>
      </w:r>
      <w:r w:rsidRPr="00B95B42">
        <w:rPr>
          <w:rtl/>
        </w:rPr>
        <w:t xml:space="preserve"> </w:t>
      </w:r>
      <w:r w:rsidRPr="00B95B42">
        <w:rPr>
          <w:rFonts w:hint="eastAsia"/>
          <w:rtl/>
        </w:rPr>
        <w:t>את</w:t>
      </w:r>
      <w:r w:rsidRPr="00B95B42">
        <w:rPr>
          <w:rtl/>
        </w:rPr>
        <w:t xml:space="preserve"> </w:t>
      </w:r>
      <w:r w:rsidRPr="00B95B42">
        <w:rPr>
          <w:rFonts w:hint="eastAsia"/>
          <w:rtl/>
        </w:rPr>
        <w:t>המדינה</w:t>
      </w:r>
      <w:r w:rsidRPr="00B95B42">
        <w:rPr>
          <w:rtl/>
        </w:rPr>
        <w:t xml:space="preserve"> </w:t>
      </w:r>
      <w:r w:rsidRPr="00B95B42">
        <w:rPr>
          <w:rFonts w:hint="eastAsia"/>
          <w:rtl/>
        </w:rPr>
        <w:t>מראשיתה</w:t>
      </w:r>
      <w:r w:rsidRPr="00B95B42">
        <w:rPr>
          <w:rtl/>
        </w:rPr>
        <w:t xml:space="preserve"> </w:t>
      </w:r>
      <w:r w:rsidRPr="00B95B42">
        <w:rPr>
          <w:rFonts w:hint="eastAsia"/>
          <w:rtl/>
        </w:rPr>
        <w:t>ועד</w:t>
      </w:r>
      <w:r w:rsidRPr="00B95B42">
        <w:rPr>
          <w:rtl/>
        </w:rPr>
        <w:t xml:space="preserve"> </w:t>
      </w:r>
      <w:r w:rsidRPr="00B95B42">
        <w:rPr>
          <w:rFonts w:hint="eastAsia"/>
          <w:rtl/>
        </w:rPr>
        <w:t>ימינו</w:t>
      </w:r>
      <w:r w:rsidRPr="00B95B42">
        <w:rPr>
          <w:rtl/>
        </w:rPr>
        <w:t xml:space="preserve"> </w:t>
      </w:r>
      <w:r w:rsidRPr="00B95B42">
        <w:rPr>
          <w:rFonts w:hint="eastAsia"/>
          <w:rtl/>
        </w:rPr>
        <w:t>אלה</w:t>
      </w:r>
      <w:r>
        <w:rPr>
          <w:rFonts w:hint="cs"/>
          <w:rtl/>
        </w:rPr>
        <w:t>" (</w:t>
      </w:r>
      <w:r w:rsidRPr="00CF3F92">
        <w:rPr>
          <w:rFonts w:hint="cs"/>
          <w:rtl/>
        </w:rPr>
        <w:t>ע</w:t>
      </w:r>
      <w:r w:rsidRPr="00CF3F92">
        <w:rPr>
          <w:rtl/>
        </w:rPr>
        <w:t>"ב 1</w:t>
      </w:r>
      <w:r w:rsidRPr="00CF3F92">
        <w:rPr>
          <w:rFonts w:hint="cs"/>
          <w:rtl/>
        </w:rPr>
        <w:t>/</w:t>
      </w:r>
      <w:r w:rsidRPr="00CF3F92">
        <w:rPr>
          <w:rtl/>
        </w:rPr>
        <w:t xml:space="preserve">88 </w:t>
      </w:r>
      <w:r w:rsidRPr="003460C1">
        <w:rPr>
          <w:rFonts w:ascii="Century" w:hAnsi="Century" w:cs="Miriam"/>
          <w:b/>
          <w:spacing w:val="0"/>
          <w:sz w:val="22"/>
          <w:szCs w:val="24"/>
          <w:rtl/>
        </w:rPr>
        <w:t>ניימן נ' יו"ר ועדת הבחירות המרכזית לכנסת השתים-עשרה</w:t>
      </w:r>
      <w:r w:rsidRPr="00CF3F92">
        <w:rPr>
          <w:rtl/>
        </w:rPr>
        <w:t xml:space="preserve">, </w:t>
      </w:r>
      <w:r>
        <w:rPr>
          <w:rFonts w:hint="cs"/>
          <w:rtl/>
        </w:rPr>
        <w:t xml:space="preserve">פ"ד </w:t>
      </w:r>
      <w:r w:rsidRPr="00CF3F92">
        <w:rPr>
          <w:rtl/>
        </w:rPr>
        <w:t>מב(4) 177</w:t>
      </w:r>
      <w:r w:rsidRPr="00CF3F92">
        <w:rPr>
          <w:rFonts w:hint="cs"/>
          <w:rtl/>
        </w:rPr>
        <w:t xml:space="preserve">, </w:t>
      </w:r>
      <w:r>
        <w:rPr>
          <w:rFonts w:hint="cs"/>
          <w:rtl/>
        </w:rPr>
        <w:t xml:space="preserve">188 (1988) (להלן: </w:t>
      </w:r>
      <w:r w:rsidRPr="0064474A">
        <w:rPr>
          <w:rFonts w:ascii="Century" w:hAnsi="Century" w:cs="Miriam" w:hint="eastAsia"/>
          <w:b/>
          <w:spacing w:val="0"/>
          <w:sz w:val="22"/>
          <w:szCs w:val="24"/>
          <w:rtl/>
        </w:rPr>
        <w:t>עניין</w:t>
      </w:r>
      <w:r w:rsidRPr="0064474A">
        <w:rPr>
          <w:rFonts w:ascii="Century" w:hAnsi="Century" w:cs="Miriam"/>
          <w:b/>
          <w:spacing w:val="0"/>
          <w:sz w:val="22"/>
          <w:szCs w:val="24"/>
          <w:rtl/>
        </w:rPr>
        <w:t xml:space="preserve"> </w:t>
      </w:r>
      <w:r w:rsidRPr="0064474A">
        <w:rPr>
          <w:rFonts w:ascii="Century" w:hAnsi="Century" w:cs="Miriam" w:hint="eastAsia"/>
          <w:b/>
          <w:spacing w:val="0"/>
          <w:sz w:val="22"/>
          <w:szCs w:val="24"/>
          <w:rtl/>
        </w:rPr>
        <w:t>ניימן</w:t>
      </w:r>
      <w:r>
        <w:rPr>
          <w:rFonts w:hint="cs"/>
          <w:rtl/>
        </w:rPr>
        <w:t xml:space="preserve">)). זוהי "תעודת הלידה" של המדינה והיא מבטאת את חזון העם (עניין </w:t>
      </w:r>
      <w:r w:rsidRPr="0064474A">
        <w:rPr>
          <w:rFonts w:ascii="Century" w:hAnsi="Century" w:cs="Miriam" w:hint="cs"/>
          <w:b/>
          <w:spacing w:val="0"/>
          <w:sz w:val="22"/>
          <w:szCs w:val="24"/>
          <w:rtl/>
        </w:rPr>
        <w:t>קול העם</w:t>
      </w:r>
      <w:r>
        <w:rPr>
          <w:rFonts w:hint="cs"/>
          <w:rtl/>
        </w:rPr>
        <w:t xml:space="preserve">, בעמ' 884; </w:t>
      </w:r>
      <w:r w:rsidRPr="00956556">
        <w:rPr>
          <w:rFonts w:hint="eastAsia"/>
          <w:rtl/>
        </w:rPr>
        <w:t>עניין</w:t>
      </w:r>
      <w:r w:rsidRPr="00956556">
        <w:rPr>
          <w:rtl/>
        </w:rPr>
        <w:t xml:space="preserve"> </w:t>
      </w:r>
      <w:r w:rsidRPr="003460C1">
        <w:rPr>
          <w:rFonts w:ascii="Century" w:hAnsi="Century" w:cs="Miriam" w:hint="eastAsia"/>
          <w:b/>
          <w:spacing w:val="0"/>
          <w:sz w:val="22"/>
          <w:szCs w:val="24"/>
          <w:rtl/>
        </w:rPr>
        <w:t>בנק</w:t>
      </w:r>
      <w:r w:rsidRPr="003460C1">
        <w:rPr>
          <w:rFonts w:ascii="Century" w:hAnsi="Century" w:cs="Miriam"/>
          <w:b/>
          <w:spacing w:val="0"/>
          <w:sz w:val="22"/>
          <w:szCs w:val="24"/>
          <w:rtl/>
        </w:rPr>
        <w:t xml:space="preserve"> </w:t>
      </w:r>
      <w:r w:rsidRPr="003460C1">
        <w:rPr>
          <w:rFonts w:ascii="Century" w:hAnsi="Century" w:cs="Miriam" w:hint="eastAsia"/>
          <w:b/>
          <w:spacing w:val="0"/>
          <w:sz w:val="22"/>
          <w:szCs w:val="24"/>
          <w:rtl/>
        </w:rPr>
        <w:t>המזרחי</w:t>
      </w:r>
      <w:r w:rsidRPr="00956556">
        <w:rPr>
          <w:rtl/>
        </w:rPr>
        <w:t xml:space="preserve">, </w:t>
      </w:r>
      <w:r w:rsidRPr="00956556">
        <w:rPr>
          <w:rFonts w:hint="eastAsia"/>
          <w:rtl/>
        </w:rPr>
        <w:t>בעמ</w:t>
      </w:r>
      <w:r w:rsidRPr="00956556">
        <w:rPr>
          <w:rtl/>
        </w:rPr>
        <w:t>' 309</w:t>
      </w:r>
      <w:r>
        <w:rPr>
          <w:rFonts w:hint="cs"/>
          <w:rtl/>
        </w:rPr>
        <w:t xml:space="preserve">): ישראל היא מדינה </w:t>
      </w:r>
      <w:r w:rsidRPr="00CF2BA6">
        <w:rPr>
          <w:rFonts w:ascii="Century" w:hAnsi="Century" w:cs="Miriam" w:hint="cs"/>
          <w:b/>
          <w:spacing w:val="0"/>
          <w:sz w:val="22"/>
          <w:szCs w:val="24"/>
          <w:rtl/>
        </w:rPr>
        <w:t>יהודית</w:t>
      </w:r>
      <w:r>
        <w:rPr>
          <w:rFonts w:hint="cs"/>
          <w:rtl/>
        </w:rPr>
        <w:t>.</w:t>
      </w:r>
      <w:r w:rsidRPr="00B95B42">
        <w:rPr>
          <w:rFonts w:hint="cs"/>
          <w:rtl/>
        </w:rPr>
        <w:t xml:space="preserve"> </w:t>
      </w:r>
      <w:r>
        <w:rPr>
          <w:rFonts w:hint="cs"/>
          <w:rtl/>
        </w:rPr>
        <w:t xml:space="preserve">ישראל היא מדינה </w:t>
      </w:r>
      <w:r w:rsidRPr="00CF2BA6">
        <w:rPr>
          <w:rFonts w:ascii="Century" w:hAnsi="Century" w:cs="Miriam" w:hint="cs"/>
          <w:b/>
          <w:spacing w:val="0"/>
          <w:sz w:val="22"/>
          <w:szCs w:val="24"/>
          <w:rtl/>
        </w:rPr>
        <w:t>דמוקרטית</w:t>
      </w:r>
      <w:r>
        <w:rPr>
          <w:rFonts w:hint="cs"/>
          <w:rtl/>
        </w:rPr>
        <w:t xml:space="preserve">. </w:t>
      </w:r>
    </w:p>
    <w:p w:rsidR="00C044AE" w:rsidRPr="00B95B42" w:rsidRDefault="00C044AE" w:rsidP="00C044AE">
      <w:pPr>
        <w:pStyle w:val="Ruller41"/>
        <w:rPr>
          <w:rtl/>
        </w:rPr>
      </w:pPr>
    </w:p>
    <w:p w:rsidR="00C044AE" w:rsidRDefault="00C044AE" w:rsidP="00C044AE">
      <w:pPr>
        <w:pStyle w:val="Ruller4"/>
        <w:numPr>
          <w:ilvl w:val="0"/>
          <w:numId w:val="0"/>
        </w:numPr>
      </w:pPr>
      <w:r>
        <w:rPr>
          <w:rtl/>
        </w:rPr>
        <w:tab/>
      </w:r>
      <w:r>
        <w:rPr>
          <w:rFonts w:hint="cs"/>
          <w:rtl/>
        </w:rPr>
        <w:t xml:space="preserve">חוקי היסוד משקפים אף הם את העובדה שישראל היא מדינה יהודית ודמוקרטית וכי זוהי "תעודת הזהות" שלה (עניין </w:t>
      </w:r>
      <w:r w:rsidRPr="00956556">
        <w:rPr>
          <w:rFonts w:ascii="Century" w:hAnsi="Century" w:cs="Miriam" w:hint="cs"/>
          <w:b/>
          <w:spacing w:val="0"/>
          <w:sz w:val="22"/>
          <w:szCs w:val="24"/>
          <w:rtl/>
        </w:rPr>
        <w:t>חסון</w:t>
      </w:r>
      <w:r>
        <w:rPr>
          <w:rFonts w:hint="cs"/>
          <w:rtl/>
        </w:rPr>
        <w:t xml:space="preserve">, בפסקה 19 לחוות דעתי). כך, סעיף 1א לחוק-יסוד: כבוד האדם וחירותו וסעיף 2 לחוק-יסוד: חופש העיסוק, מתייחסים ל"ערכיה של מדינת ישראל כמדינה יהודית ודמוקרטית"; וסעיף 7א(א)(1) לחוק-יסוד: הכנסת, מאפשר לשלול את זכות היסוד להיבחר לכנסת ממי שמבקש לשלול את "קיומה של מדינת ישראל כמדינה יהודית ודמוקרטית". כמו כן, קיימים חוקים "רגילים" שבהם מעוגן מפורשות הצירוף "מדינה יהודית ודמוקרטית" ולצידם חוקים רבים נוספים שמעגנים את זהות המדינה ככזו על פי מהותם, ובהם, בין היתר, חוק השבות, התש"י-1950 (להלן: </w:t>
      </w:r>
      <w:r w:rsidRPr="001D46A6">
        <w:rPr>
          <w:rFonts w:ascii="Century" w:hAnsi="Century" w:cs="Miriam" w:hint="eastAsia"/>
          <w:b/>
          <w:spacing w:val="0"/>
          <w:sz w:val="22"/>
          <w:szCs w:val="24"/>
          <w:rtl/>
        </w:rPr>
        <w:t>חוק</w:t>
      </w:r>
      <w:r w:rsidRPr="001D46A6">
        <w:rPr>
          <w:rFonts w:ascii="Century" w:hAnsi="Century" w:cs="Miriam"/>
          <w:b/>
          <w:spacing w:val="0"/>
          <w:sz w:val="22"/>
          <w:szCs w:val="24"/>
          <w:rtl/>
        </w:rPr>
        <w:t xml:space="preserve"> </w:t>
      </w:r>
      <w:r w:rsidRPr="001D46A6">
        <w:rPr>
          <w:rFonts w:ascii="Century" w:hAnsi="Century" w:cs="Miriam" w:hint="eastAsia"/>
          <w:b/>
          <w:spacing w:val="0"/>
          <w:sz w:val="22"/>
          <w:szCs w:val="24"/>
          <w:rtl/>
        </w:rPr>
        <w:t>השבות</w:t>
      </w:r>
      <w:r>
        <w:rPr>
          <w:rFonts w:hint="cs"/>
          <w:rtl/>
        </w:rPr>
        <w:t xml:space="preserve">) וחוקים בדבר איסור אפליה (לפירוט ראו עניין </w:t>
      </w:r>
      <w:r w:rsidRPr="00956556">
        <w:rPr>
          <w:rFonts w:ascii="Century" w:hAnsi="Century" w:cs="Miriam" w:hint="cs"/>
          <w:b/>
          <w:spacing w:val="0"/>
          <w:sz w:val="22"/>
          <w:szCs w:val="24"/>
          <w:rtl/>
        </w:rPr>
        <w:t>חסון</w:t>
      </w:r>
      <w:r>
        <w:rPr>
          <w:rFonts w:hint="cs"/>
          <w:rtl/>
        </w:rPr>
        <w:t xml:space="preserve">, בפסקה 22 לחוות דעתי). פסיקת בתי המשפט עמדה אף היא לאורך השנים על כך שאופייה היהודי של </w:t>
      </w:r>
      <w:r w:rsidRPr="00ED5072">
        <w:rPr>
          <w:rFonts w:hint="cs"/>
          <w:rtl/>
        </w:rPr>
        <w:t xml:space="preserve">המדינה הוא "סימן ההיכר המובהק שלה </w:t>
      </w:r>
      <w:r>
        <w:rPr>
          <w:rFonts w:hint="cs"/>
          <w:rtl/>
        </w:rPr>
        <w:t>בין העמים והמדינות", ועל כך שזהותה הדמוקרטית היא "נשמת אפה" (</w:t>
      </w:r>
      <w:r w:rsidRPr="000F18EB">
        <w:rPr>
          <w:rtl/>
        </w:rPr>
        <w:t>א"ב 11280</w:t>
      </w:r>
      <w:r>
        <w:rPr>
          <w:rFonts w:hint="cs"/>
          <w:rtl/>
        </w:rPr>
        <w:t>/</w:t>
      </w:r>
      <w:r w:rsidRPr="000F18EB">
        <w:rPr>
          <w:rtl/>
        </w:rPr>
        <w:t xml:space="preserve">02 </w:t>
      </w:r>
      <w:r w:rsidRPr="00A55A7C">
        <w:rPr>
          <w:rFonts w:ascii="Century" w:hAnsi="Century" w:cs="Miriam"/>
          <w:b/>
          <w:spacing w:val="0"/>
          <w:szCs w:val="24"/>
          <w:rtl/>
        </w:rPr>
        <w:t>ועדת הבחירות המרכזית לכנסת השש-עשרה נ' טיבי</w:t>
      </w:r>
      <w:r>
        <w:rPr>
          <w:rFonts w:hint="cs"/>
          <w:rtl/>
        </w:rPr>
        <w:t>,</w:t>
      </w:r>
      <w:r w:rsidRPr="000F18EB">
        <w:rPr>
          <w:rtl/>
        </w:rPr>
        <w:t xml:space="preserve"> פ"ד נז(4) 1</w:t>
      </w:r>
      <w:r>
        <w:rPr>
          <w:rFonts w:hint="cs"/>
          <w:rtl/>
        </w:rPr>
        <w:t xml:space="preserve">, 101 (2003) (להלן: </w:t>
      </w:r>
      <w:r w:rsidRPr="002C0CD0">
        <w:rPr>
          <w:rFonts w:ascii="Century" w:hAnsi="Century" w:cs="Miriam" w:hint="eastAsia"/>
          <w:b/>
          <w:spacing w:val="0"/>
          <w:sz w:val="22"/>
          <w:szCs w:val="24"/>
          <w:rtl/>
        </w:rPr>
        <w:t>עניין</w:t>
      </w:r>
      <w:r w:rsidRPr="002C0CD0">
        <w:rPr>
          <w:rFonts w:ascii="Century" w:hAnsi="Century" w:cs="Miriam"/>
          <w:b/>
          <w:spacing w:val="0"/>
          <w:sz w:val="22"/>
          <w:szCs w:val="24"/>
          <w:rtl/>
        </w:rPr>
        <w:t xml:space="preserve"> </w:t>
      </w:r>
      <w:r w:rsidRPr="002C0CD0">
        <w:rPr>
          <w:rFonts w:ascii="Century" w:hAnsi="Century" w:cs="Miriam" w:hint="eastAsia"/>
          <w:b/>
          <w:spacing w:val="0"/>
          <w:sz w:val="22"/>
          <w:szCs w:val="24"/>
          <w:rtl/>
        </w:rPr>
        <w:t>טיבי</w:t>
      </w:r>
      <w:r>
        <w:rPr>
          <w:rFonts w:hint="cs"/>
          <w:rtl/>
        </w:rPr>
        <w:t xml:space="preserve">); עניין </w:t>
      </w:r>
      <w:r w:rsidRPr="0064474A">
        <w:rPr>
          <w:rFonts w:ascii="Century" w:hAnsi="Century" w:cs="Miriam" w:hint="eastAsia"/>
          <w:b/>
          <w:spacing w:val="0"/>
          <w:sz w:val="22"/>
          <w:szCs w:val="24"/>
          <w:rtl/>
        </w:rPr>
        <w:t>ניימן</w:t>
      </w:r>
      <w:r>
        <w:rPr>
          <w:rFonts w:hint="cs"/>
          <w:rtl/>
        </w:rPr>
        <w:t>, בעמ'</w:t>
      </w:r>
      <w:r w:rsidRPr="00CF3F92">
        <w:rPr>
          <w:rFonts w:hint="cs"/>
          <w:rtl/>
        </w:rPr>
        <w:t xml:space="preserve"> 188</w:t>
      </w:r>
      <w:r>
        <w:rPr>
          <w:rFonts w:hint="cs"/>
          <w:rtl/>
        </w:rPr>
        <w:t xml:space="preserve">; ראו גם: </w:t>
      </w:r>
      <w:r w:rsidRPr="00CA6654">
        <w:rPr>
          <w:rFonts w:hint="eastAsia"/>
          <w:rtl/>
        </w:rPr>
        <w:t>בג</w:t>
      </w:r>
      <w:r w:rsidRPr="00CA6654">
        <w:rPr>
          <w:rtl/>
        </w:rPr>
        <w:t>"</w:t>
      </w:r>
      <w:r w:rsidRPr="00CA6654">
        <w:rPr>
          <w:rFonts w:hint="eastAsia"/>
          <w:rtl/>
        </w:rPr>
        <w:t>ץ</w:t>
      </w:r>
      <w:r w:rsidRPr="00CA6654">
        <w:rPr>
          <w:rtl/>
        </w:rPr>
        <w:t xml:space="preserve"> 466/07 </w:t>
      </w:r>
      <w:r w:rsidRPr="00CA6654">
        <w:rPr>
          <w:rFonts w:ascii="Century" w:hAnsi="Century" w:cs="Miriam" w:hint="eastAsia"/>
          <w:b/>
          <w:spacing w:val="0"/>
          <w:sz w:val="22"/>
          <w:szCs w:val="24"/>
          <w:rtl/>
        </w:rPr>
        <w:t>גלאון</w:t>
      </w:r>
      <w:r w:rsidRPr="00CA6654">
        <w:rPr>
          <w:rFonts w:ascii="Century" w:hAnsi="Century" w:cs="Miriam"/>
          <w:b/>
          <w:spacing w:val="0"/>
          <w:sz w:val="22"/>
          <w:szCs w:val="24"/>
          <w:rtl/>
        </w:rPr>
        <w:t xml:space="preserve"> </w:t>
      </w:r>
      <w:r w:rsidRPr="00CA6654">
        <w:rPr>
          <w:rFonts w:ascii="Century" w:hAnsi="Century" w:cs="Miriam" w:hint="eastAsia"/>
          <w:b/>
          <w:spacing w:val="0"/>
          <w:sz w:val="22"/>
          <w:szCs w:val="24"/>
          <w:rtl/>
        </w:rPr>
        <w:t>נ</w:t>
      </w:r>
      <w:r w:rsidRPr="00CA6654">
        <w:rPr>
          <w:rFonts w:ascii="Century" w:hAnsi="Century" w:cs="Miriam"/>
          <w:b/>
          <w:spacing w:val="0"/>
          <w:sz w:val="22"/>
          <w:szCs w:val="24"/>
          <w:rtl/>
        </w:rPr>
        <w:t xml:space="preserve">' </w:t>
      </w:r>
      <w:r w:rsidRPr="00CA6654">
        <w:rPr>
          <w:rFonts w:ascii="Century" w:hAnsi="Century" w:cs="Miriam" w:hint="eastAsia"/>
          <w:b/>
          <w:spacing w:val="0"/>
          <w:sz w:val="22"/>
          <w:szCs w:val="24"/>
          <w:rtl/>
        </w:rPr>
        <w:t>היועץ</w:t>
      </w:r>
      <w:r w:rsidRPr="00CA6654">
        <w:rPr>
          <w:rFonts w:ascii="Century" w:hAnsi="Century" w:cs="Miriam"/>
          <w:b/>
          <w:spacing w:val="0"/>
          <w:sz w:val="22"/>
          <w:szCs w:val="24"/>
          <w:rtl/>
        </w:rPr>
        <w:t xml:space="preserve"> </w:t>
      </w:r>
      <w:r w:rsidRPr="00CA6654">
        <w:rPr>
          <w:rFonts w:ascii="Century" w:hAnsi="Century" w:cs="Miriam" w:hint="eastAsia"/>
          <w:b/>
          <w:spacing w:val="0"/>
          <w:sz w:val="22"/>
          <w:szCs w:val="24"/>
          <w:rtl/>
        </w:rPr>
        <w:t>המשפטי</w:t>
      </w:r>
      <w:r w:rsidRPr="00CA6654">
        <w:rPr>
          <w:rFonts w:ascii="Century" w:hAnsi="Century" w:cs="Miriam"/>
          <w:b/>
          <w:spacing w:val="0"/>
          <w:sz w:val="22"/>
          <w:szCs w:val="24"/>
          <w:rtl/>
        </w:rPr>
        <w:t xml:space="preserve"> </w:t>
      </w:r>
      <w:r w:rsidRPr="00CA6654">
        <w:rPr>
          <w:rFonts w:ascii="Century" w:hAnsi="Century" w:cs="Miriam" w:hint="eastAsia"/>
          <w:b/>
          <w:spacing w:val="0"/>
          <w:sz w:val="22"/>
          <w:szCs w:val="24"/>
          <w:rtl/>
        </w:rPr>
        <w:t>לממשלה</w:t>
      </w:r>
      <w:r w:rsidRPr="00CA6654">
        <w:rPr>
          <w:rtl/>
        </w:rPr>
        <w:t xml:space="preserve">, </w:t>
      </w:r>
      <w:r w:rsidRPr="00CA6654">
        <w:rPr>
          <w:rFonts w:hint="eastAsia"/>
          <w:rtl/>
        </w:rPr>
        <w:t>פ</w:t>
      </w:r>
      <w:r w:rsidRPr="00CA6654">
        <w:rPr>
          <w:rtl/>
        </w:rPr>
        <w:t>"</w:t>
      </w:r>
      <w:r w:rsidRPr="00CA6654">
        <w:rPr>
          <w:rFonts w:hint="eastAsia"/>
          <w:rtl/>
        </w:rPr>
        <w:t>ד</w:t>
      </w:r>
      <w:r w:rsidRPr="00CA6654">
        <w:rPr>
          <w:rtl/>
        </w:rPr>
        <w:t xml:space="preserve"> </w:t>
      </w:r>
      <w:r w:rsidRPr="00CA6654">
        <w:rPr>
          <w:rFonts w:hint="eastAsia"/>
          <w:rtl/>
        </w:rPr>
        <w:t>סה</w:t>
      </w:r>
      <w:r w:rsidRPr="00CA6654">
        <w:rPr>
          <w:rtl/>
        </w:rPr>
        <w:t>(2) 1, 63 (2012)</w:t>
      </w:r>
      <w:r>
        <w:rPr>
          <w:rFonts w:hint="cs"/>
          <w:rtl/>
        </w:rPr>
        <w:t xml:space="preserve">). </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מכל הדברים הללו עולה</w:t>
      </w:r>
      <w:r w:rsidRPr="007F32A4">
        <w:rPr>
          <w:rFonts w:hint="cs"/>
          <w:rtl/>
        </w:rPr>
        <w:t xml:space="preserve"> </w:t>
      </w:r>
      <w:r>
        <w:rPr>
          <w:rFonts w:hint="cs"/>
          <w:rtl/>
        </w:rPr>
        <w:t>כי:</w:t>
      </w:r>
    </w:p>
    <w:p w:rsidR="00C044AE" w:rsidRDefault="00C044AE" w:rsidP="00C044AE">
      <w:pPr>
        <w:pStyle w:val="Ruller41"/>
        <w:rPr>
          <w:rtl/>
        </w:rPr>
      </w:pPr>
    </w:p>
    <w:p w:rsidR="00C044AE" w:rsidRPr="007F32A4" w:rsidRDefault="00C044AE" w:rsidP="00C044AE">
      <w:pPr>
        <w:pStyle w:val="Ruller5"/>
        <w:rPr>
          <w:rtl/>
        </w:rPr>
      </w:pPr>
      <w:r w:rsidRPr="007F32A4">
        <w:rPr>
          <w:rFonts w:hint="cs"/>
          <w:rtl/>
        </w:rPr>
        <w:lastRenderedPageBreak/>
        <w:t>"הכרזת העצמאות התוותה את אופייה של המדינה כיהודית ודמוקרטית; חוקי היסוד עיגנו שני מרכיבים אלה בזהותה של המדינה באופן מפורש; החקיקה והפסיקה חיזקו וביצרו אותם; וקורות חייה של האומה מאז הקמתה שבו והמחישו כי זו דמותה. על כן, דומה כי אף שהמפעל החוקתי טרם הושלם, זהותה של מדינת ישראל כמדינה יהודית ודמוקרטית אינה ניתנת לערעור" (</w:t>
      </w:r>
      <w:r w:rsidRPr="005D168D">
        <w:rPr>
          <w:rFonts w:ascii="Century" w:hAnsi="Century" w:hint="cs"/>
          <w:rtl/>
        </w:rPr>
        <w:t xml:space="preserve">עניין </w:t>
      </w:r>
      <w:r>
        <w:rPr>
          <w:rFonts w:ascii="Century" w:hAnsi="Century" w:cs="Miriam" w:hint="cs"/>
          <w:b/>
          <w:spacing w:val="0"/>
          <w:szCs w:val="24"/>
          <w:rtl/>
        </w:rPr>
        <w:t>חסון</w:t>
      </w:r>
      <w:r w:rsidRPr="007F32A4">
        <w:rPr>
          <w:rFonts w:hint="cs"/>
          <w:rtl/>
        </w:rPr>
        <w:t>, בפסקה 23 לחוות דעתי</w:t>
      </w:r>
      <w:r>
        <w:rPr>
          <w:rFonts w:hint="cs"/>
          <w:rtl/>
        </w:rPr>
        <w:t xml:space="preserve">; ראו גם: </w:t>
      </w:r>
      <w:r w:rsidRPr="0064474A">
        <w:rPr>
          <w:rFonts w:ascii="Century" w:hAnsi="Century" w:cs="Miriam" w:hint="eastAsia"/>
          <w:b/>
          <w:spacing w:val="0"/>
          <w:szCs w:val="24"/>
          <w:rtl/>
        </w:rPr>
        <w:t>שם</w:t>
      </w:r>
      <w:r>
        <w:rPr>
          <w:rFonts w:hint="cs"/>
          <w:rtl/>
        </w:rPr>
        <w:t xml:space="preserve">, בפסקה 2 לחוות דעתו של המשנה לנשיאה (בדימ') </w:t>
      </w:r>
      <w:r w:rsidRPr="00FA5351">
        <w:rPr>
          <w:rFonts w:ascii="Century" w:hAnsi="Century" w:cs="Miriam" w:hint="cs"/>
          <w:b/>
          <w:spacing w:val="0"/>
          <w:szCs w:val="24"/>
          <w:rtl/>
        </w:rPr>
        <w:t>ח' מלצר</w:t>
      </w:r>
      <w:r w:rsidRPr="007F32A4">
        <w:rPr>
          <w:rFonts w:hint="cs"/>
          <w:rtl/>
        </w:rPr>
        <w:t>).</w:t>
      </w:r>
      <w:r>
        <w:rPr>
          <w:rFonts w:hint="cs"/>
          <w:rtl/>
        </w:rPr>
        <w:t xml:space="preserve">  </w:t>
      </w:r>
    </w:p>
    <w:p w:rsidR="00C044AE" w:rsidRDefault="00C044AE" w:rsidP="00C044AE">
      <w:pPr>
        <w:pStyle w:val="Ruller41"/>
        <w:rPr>
          <w:rtl/>
        </w:rPr>
      </w:pPr>
    </w:p>
    <w:p w:rsidR="00C044AE" w:rsidRDefault="00C044AE" w:rsidP="00C044AE">
      <w:pPr>
        <w:pStyle w:val="Ruller4"/>
        <w:rPr>
          <w:rtl/>
        </w:rPr>
      </w:pPr>
      <w:r>
        <w:rPr>
          <w:rFonts w:hint="cs"/>
          <w:rtl/>
        </w:rPr>
        <w:t>המסקנה באשר לגבולותיה של הסמכות המכוננת נגזרת במישרין מאותם "נתונים חוקתיים" המבססים את עצם קיומה של הסמכות המכוננת</w:t>
      </w:r>
      <w:r w:rsidRPr="00A91425">
        <w:rPr>
          <w:rFonts w:hint="cs"/>
          <w:rtl/>
        </w:rPr>
        <w:t xml:space="preserve">. </w:t>
      </w:r>
      <w:r>
        <w:rPr>
          <w:rFonts w:hint="cs"/>
          <w:rtl/>
        </w:rPr>
        <w:t xml:space="preserve">במילים אחרות, הבסיס למסקנה באשר לגבולותיה של הסמכות המכוננת הנתונה לכנסת הוא, לגישתי, המערך החוקתי הקיים בכללותו </w:t>
      </w:r>
      <w:r>
        <w:rPr>
          <w:rtl/>
        </w:rPr>
        <w:t>–</w:t>
      </w:r>
      <w:r>
        <w:rPr>
          <w:rFonts w:hint="cs"/>
          <w:rtl/>
        </w:rPr>
        <w:t xml:space="preserve"> קרי, אותם "נתונים קונסטיטוציוניים" שעל בסיסם גובשה לכתחילה תורת הרשות המכוננת. זאת, בשונה מגישות אחרות המסיקות את קיומן של מגבלות על הסמכות המכוננת מ"כללי מסגרת" שנקבעו בהכרזת העצמאות (</w:t>
      </w:r>
      <w:r w:rsidRPr="007A5009">
        <w:rPr>
          <w:rFonts w:ascii="Century" w:hAnsi="Century" w:cs="Miriam" w:hint="cs"/>
          <w:b/>
          <w:spacing w:val="0"/>
          <w:sz w:val="22"/>
          <w:szCs w:val="24"/>
          <w:rtl/>
        </w:rPr>
        <w:t>ברק "תורת הזכויות החוקתיות"</w:t>
      </w:r>
      <w:r>
        <w:rPr>
          <w:rFonts w:hint="cs"/>
          <w:rtl/>
        </w:rPr>
        <w:t xml:space="preserve">, בעמ' 283-282; ראו גם: </w:t>
      </w:r>
      <w:r w:rsidRPr="00030102">
        <w:rPr>
          <w:rtl/>
        </w:rPr>
        <w:t>אריאל בנדור "המעמד המשפטי של חוקי</w:t>
      </w:r>
      <w:r>
        <w:rPr>
          <w:rFonts w:hint="cs"/>
          <w:rtl/>
        </w:rPr>
        <w:t>-</w:t>
      </w:r>
      <w:r w:rsidRPr="00030102">
        <w:rPr>
          <w:rtl/>
        </w:rPr>
        <w:t xml:space="preserve">יסוד" </w:t>
      </w:r>
      <w:r w:rsidRPr="00030102">
        <w:rPr>
          <w:rFonts w:ascii="Century" w:hAnsi="Century" w:cs="Miriam"/>
          <w:b/>
          <w:spacing w:val="0"/>
          <w:szCs w:val="24"/>
          <w:rtl/>
        </w:rPr>
        <w:t>ספר</w:t>
      </w:r>
      <w:r w:rsidRPr="00030102">
        <w:rPr>
          <w:rtl/>
        </w:rPr>
        <w:t xml:space="preserve"> </w:t>
      </w:r>
      <w:r w:rsidRPr="00030102">
        <w:rPr>
          <w:rFonts w:ascii="Century" w:hAnsi="Century" w:cs="Miriam"/>
          <w:b/>
          <w:spacing w:val="0"/>
          <w:szCs w:val="24"/>
          <w:rtl/>
        </w:rPr>
        <w:t>ברנזון</w:t>
      </w:r>
      <w:r w:rsidRPr="00030102">
        <w:rPr>
          <w:rFonts w:ascii="Century" w:hAnsi="Century" w:cs="Miriam" w:hint="cs"/>
          <w:b/>
          <w:spacing w:val="0"/>
          <w:szCs w:val="24"/>
          <w:rtl/>
        </w:rPr>
        <w:t xml:space="preserve"> </w:t>
      </w:r>
      <w:r w:rsidRPr="00030102">
        <w:rPr>
          <w:rFonts w:ascii="Century" w:hAnsi="Century" w:hint="cs"/>
          <w:rtl/>
        </w:rPr>
        <w:t>כרך שני: בני סברה</w:t>
      </w:r>
      <w:r w:rsidRPr="00030102">
        <w:rPr>
          <w:rFonts w:ascii="Century" w:hAnsi="Century" w:cs="Miriam" w:hint="cs"/>
          <w:b/>
          <w:spacing w:val="0"/>
          <w:szCs w:val="24"/>
          <w:rtl/>
        </w:rPr>
        <w:t xml:space="preserve"> </w:t>
      </w:r>
      <w:r w:rsidRPr="00030102">
        <w:rPr>
          <w:rtl/>
        </w:rPr>
        <w:t>119</w:t>
      </w:r>
      <w:r w:rsidRPr="00030102">
        <w:rPr>
          <w:rFonts w:hint="cs"/>
          <w:rtl/>
        </w:rPr>
        <w:t>, 143 (</w:t>
      </w:r>
      <w:r w:rsidRPr="00030102">
        <w:rPr>
          <w:rtl/>
        </w:rPr>
        <w:t>אהרן ברק וחיים ברנזון עורכים</w:t>
      </w:r>
      <w:r w:rsidRPr="00030102">
        <w:rPr>
          <w:rFonts w:hint="cs"/>
          <w:rtl/>
        </w:rPr>
        <w:t>, 2000)</w:t>
      </w:r>
      <w:r>
        <w:rPr>
          <w:rFonts w:hint="cs"/>
          <w:rtl/>
        </w:rPr>
        <w:t xml:space="preserve"> (להלן: </w:t>
      </w:r>
      <w:r w:rsidRPr="00177088">
        <w:rPr>
          <w:rFonts w:ascii="Century" w:hAnsi="Century" w:cs="Miriam" w:hint="eastAsia"/>
          <w:b/>
          <w:spacing w:val="0"/>
          <w:sz w:val="22"/>
          <w:szCs w:val="24"/>
          <w:rtl/>
        </w:rPr>
        <w:t>בנדור</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המעמד</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המשפטי</w:t>
      </w:r>
      <w:r w:rsidRPr="00177088">
        <w:rPr>
          <w:rFonts w:ascii="Century" w:hAnsi="Century" w:cs="Miriam"/>
          <w:b/>
          <w:spacing w:val="0"/>
          <w:sz w:val="22"/>
          <w:szCs w:val="24"/>
          <w:rtl/>
        </w:rPr>
        <w:t>"</w:t>
      </w:r>
      <w:r>
        <w:rPr>
          <w:rFonts w:hint="cs"/>
          <w:rtl/>
        </w:rPr>
        <w:t xml:space="preserve">)) או מעקרונות על-חוקתיים בלתי כתובים (ראו גישתו של השופט </w:t>
      </w:r>
      <w:r w:rsidRPr="00A303E6">
        <w:rPr>
          <w:rFonts w:ascii="Century" w:hAnsi="Century" w:cs="Miriam" w:hint="cs"/>
          <w:b/>
          <w:spacing w:val="0"/>
          <w:sz w:val="22"/>
          <w:szCs w:val="24"/>
          <w:rtl/>
        </w:rPr>
        <w:t>חשין</w:t>
      </w:r>
      <w:r w:rsidRPr="00A303E6">
        <w:rPr>
          <w:rFonts w:hint="cs"/>
          <w:rtl/>
        </w:rPr>
        <w:t xml:space="preserve"> </w:t>
      </w:r>
      <w:r>
        <w:rPr>
          <w:rFonts w:hint="cs"/>
          <w:rtl/>
        </w:rPr>
        <w:t>ב</w:t>
      </w:r>
      <w:r w:rsidRPr="00030102">
        <w:rPr>
          <w:rFonts w:hint="cs"/>
          <w:rtl/>
        </w:rPr>
        <w:t xml:space="preserve">עניין </w:t>
      </w:r>
      <w:r w:rsidRPr="007A5009">
        <w:rPr>
          <w:rFonts w:cs="Miriam" w:hint="eastAsia"/>
          <w:sz w:val="22"/>
          <w:szCs w:val="24"/>
          <w:rtl/>
        </w:rPr>
        <w:t>ארפל</w:t>
      </w:r>
      <w:r>
        <w:rPr>
          <w:rFonts w:hint="cs"/>
          <w:rtl/>
        </w:rPr>
        <w:t>, בעמ' 629 וב</w:t>
      </w:r>
      <w:r w:rsidRPr="00030102">
        <w:rPr>
          <w:rFonts w:hint="cs"/>
          <w:rtl/>
        </w:rPr>
        <w:t xml:space="preserve">עניין </w:t>
      </w:r>
      <w:r w:rsidRPr="007A5009">
        <w:rPr>
          <w:rFonts w:ascii="Century" w:hAnsi="Century" w:cs="Miriam" w:hint="cs"/>
          <w:b/>
          <w:spacing w:val="0"/>
          <w:sz w:val="22"/>
          <w:szCs w:val="24"/>
          <w:rtl/>
        </w:rPr>
        <w:t>חוק טל</w:t>
      </w:r>
      <w:r w:rsidRPr="00030102">
        <w:rPr>
          <w:rFonts w:hint="cs"/>
          <w:rtl/>
        </w:rPr>
        <w:t>, בעמ' 761</w:t>
      </w:r>
      <w:r>
        <w:rPr>
          <w:rFonts w:hint="cs"/>
          <w:rtl/>
        </w:rPr>
        <w:t>). היטיב להגדיר זאת</w:t>
      </w:r>
      <w:r w:rsidRPr="00A91425">
        <w:rPr>
          <w:rFonts w:hint="cs"/>
          <w:rtl/>
        </w:rPr>
        <w:t xml:space="preserve"> השופט </w:t>
      </w:r>
      <w:r w:rsidRPr="00A91425">
        <w:rPr>
          <w:rFonts w:ascii="Century" w:hAnsi="Century" w:cs="Miriam" w:hint="cs"/>
          <w:b/>
          <w:spacing w:val="0"/>
          <w:sz w:val="22"/>
          <w:szCs w:val="24"/>
          <w:rtl/>
        </w:rPr>
        <w:t>הנדל</w:t>
      </w:r>
      <w:r>
        <w:rPr>
          <w:rFonts w:hint="cs"/>
          <w:rtl/>
        </w:rPr>
        <w:t xml:space="preserve"> בציינו כי </w:t>
      </w:r>
      <w:r w:rsidRPr="00A91425">
        <w:rPr>
          <w:rtl/>
        </w:rPr>
        <w:t>הפירוש המתאים</w:t>
      </w:r>
      <w:r>
        <w:rPr>
          <w:rFonts w:hint="cs"/>
          <w:rtl/>
        </w:rPr>
        <w:t xml:space="preserve"> </w:t>
      </w:r>
      <w:r>
        <w:rPr>
          <w:rtl/>
        </w:rPr>
        <w:t xml:space="preserve">ביותר </w:t>
      </w:r>
      <w:r>
        <w:rPr>
          <w:rFonts w:hint="cs"/>
          <w:rtl/>
        </w:rPr>
        <w:t>ל</w:t>
      </w:r>
      <w:r w:rsidRPr="00A91425">
        <w:rPr>
          <w:rtl/>
        </w:rPr>
        <w:t>מכלול ההיסטוריה החוקתית של מדינת ישראל</w:t>
      </w:r>
      <w:r w:rsidRPr="00A91425">
        <w:t xml:space="preserve"> </w:t>
      </w:r>
      <w:r w:rsidRPr="00A91425">
        <w:rPr>
          <w:rtl/>
        </w:rPr>
        <w:t>מאז הקמתה</w:t>
      </w:r>
      <w:r>
        <w:rPr>
          <w:rFonts w:hint="cs"/>
          <w:rtl/>
        </w:rPr>
        <w:t>,</w:t>
      </w:r>
      <w:r w:rsidRPr="00A91425">
        <w:rPr>
          <w:rtl/>
        </w:rPr>
        <w:t xml:space="preserve"> </w:t>
      </w:r>
      <w:r>
        <w:rPr>
          <w:rFonts w:hint="cs"/>
          <w:rtl/>
        </w:rPr>
        <w:t>הוא כי סמכות</w:t>
      </w:r>
      <w:r w:rsidRPr="00A91425">
        <w:rPr>
          <w:rFonts w:hint="cs"/>
          <w:rtl/>
        </w:rPr>
        <w:t xml:space="preserve"> הכנסת לכונן חוקה כפופה לשמירה על </w:t>
      </w:r>
      <w:r>
        <w:rPr>
          <w:rFonts w:hint="cs"/>
          <w:rtl/>
        </w:rPr>
        <w:t>"</w:t>
      </w:r>
      <w:r w:rsidRPr="00A91425">
        <w:rPr>
          <w:rFonts w:hint="cs"/>
          <w:rtl/>
        </w:rPr>
        <w:t>גלעין זהותה היהודית-דמוקרטית"</w:t>
      </w:r>
      <w:r>
        <w:rPr>
          <w:rFonts w:hint="cs"/>
          <w:rtl/>
        </w:rPr>
        <w:t>,</w:t>
      </w:r>
      <w:r w:rsidRPr="00A91425">
        <w:rPr>
          <w:rFonts w:hint="cs"/>
          <w:rtl/>
        </w:rPr>
        <w:t xml:space="preserve"> ו</w:t>
      </w:r>
      <w:r>
        <w:rPr>
          <w:rFonts w:hint="cs"/>
          <w:rtl/>
        </w:rPr>
        <w:t xml:space="preserve">כי </w:t>
      </w:r>
      <w:r w:rsidRPr="00A91425">
        <w:rPr>
          <w:rFonts w:hint="cs"/>
          <w:rtl/>
        </w:rPr>
        <w:t xml:space="preserve">הנתונים החוקתיים </w:t>
      </w:r>
      <w:r>
        <w:rPr>
          <w:rFonts w:hint="cs"/>
          <w:rtl/>
        </w:rPr>
        <w:t>מלמדים על קיומו של "כלל הכרה" אשר</w:t>
      </w:r>
      <w:r w:rsidRPr="00A91425">
        <w:rPr>
          <w:rFonts w:hint="cs"/>
          <w:rtl/>
        </w:rPr>
        <w:t xml:space="preserve"> </w:t>
      </w:r>
      <w:r>
        <w:rPr>
          <w:rFonts w:hint="cs"/>
          <w:rtl/>
        </w:rPr>
        <w:t xml:space="preserve">מכוחו מוגבלת סמכותה של הכנסת לבטל, </w:t>
      </w:r>
      <w:r w:rsidRPr="00A91425">
        <w:rPr>
          <w:rFonts w:hint="cs"/>
          <w:rtl/>
        </w:rPr>
        <w:t>באמצעות כללים מסדר ראשון</w:t>
      </w:r>
      <w:r>
        <w:rPr>
          <w:rFonts w:hint="cs"/>
          <w:rtl/>
        </w:rPr>
        <w:t xml:space="preserve">, </w:t>
      </w:r>
      <w:r w:rsidRPr="00A91425">
        <w:rPr>
          <w:rFonts w:hint="cs"/>
          <w:rtl/>
        </w:rPr>
        <w:t xml:space="preserve">את גלעין </w:t>
      </w:r>
      <w:r>
        <w:rPr>
          <w:rFonts w:hint="cs"/>
          <w:rtl/>
        </w:rPr>
        <w:t>אופייה היהודי והדמוקרטי של מדינת ישראל</w:t>
      </w:r>
      <w:r w:rsidRPr="00A91425">
        <w:rPr>
          <w:rFonts w:hint="cs"/>
          <w:rtl/>
        </w:rPr>
        <w:t xml:space="preserve"> (</w:t>
      </w:r>
      <w:r w:rsidRPr="001F7E07">
        <w:rPr>
          <w:rFonts w:ascii="Century" w:hAnsi="Century" w:hint="cs"/>
          <w:sz w:val="22"/>
          <w:rtl/>
        </w:rPr>
        <w:t xml:space="preserve">עניין </w:t>
      </w:r>
      <w:r>
        <w:rPr>
          <w:rFonts w:ascii="Century" w:hAnsi="Century" w:cs="Miriam" w:hint="cs"/>
          <w:b/>
          <w:spacing w:val="0"/>
          <w:sz w:val="22"/>
          <w:szCs w:val="24"/>
          <w:rtl/>
        </w:rPr>
        <w:t>חסון</w:t>
      </w:r>
      <w:r>
        <w:rPr>
          <w:rFonts w:hint="cs"/>
          <w:rtl/>
        </w:rPr>
        <w:t>, בפסקה 4 לחוות דעתו).</w:t>
      </w:r>
    </w:p>
    <w:p w:rsidR="00C044AE" w:rsidRDefault="00C044AE" w:rsidP="00C044AE">
      <w:pPr>
        <w:pStyle w:val="Ruller41"/>
        <w:rPr>
          <w:rtl/>
        </w:rPr>
      </w:pPr>
    </w:p>
    <w:p w:rsidR="00C044AE" w:rsidRPr="001F7E07" w:rsidRDefault="00C044AE" w:rsidP="00C044AE">
      <w:pPr>
        <w:pStyle w:val="Ruller4"/>
        <w:rPr>
          <w:rtl/>
        </w:rPr>
      </w:pPr>
      <w:r>
        <w:rPr>
          <w:rFonts w:hint="cs"/>
          <w:rtl/>
        </w:rPr>
        <w:t xml:space="preserve">בעניין </w:t>
      </w:r>
      <w:r w:rsidRPr="004F78EB">
        <w:rPr>
          <w:rFonts w:ascii="Century" w:hAnsi="Century" w:cs="Miriam" w:hint="eastAsia"/>
          <w:b/>
          <w:spacing w:val="0"/>
          <w:szCs w:val="24"/>
          <w:rtl/>
        </w:rPr>
        <w:t>חסון</w:t>
      </w:r>
      <w:r>
        <w:rPr>
          <w:rFonts w:hint="cs"/>
          <w:rtl/>
        </w:rPr>
        <w:t xml:space="preserve"> נקבע כי סמכותה המכוננת של הכנסת באה לה מן הריבון (העם) ועברה מכנסת לכנסת עד ימינו. משכך, האפשרות לקבוע הוראה חוקתית שתמוטט את אבני הבניין של המדינה כיהודית ודמוקרטית </w:t>
      </w:r>
      <w:r>
        <w:rPr>
          <w:rtl/>
        </w:rPr>
        <w:t>–</w:t>
      </w:r>
      <w:r>
        <w:rPr>
          <w:rFonts w:hint="cs"/>
          <w:rtl/>
        </w:rPr>
        <w:t xml:space="preserve"> "אינה באה בגדר הסמכות המכוננת הנתונה לכנסת" (</w:t>
      </w:r>
      <w:r>
        <w:rPr>
          <w:rFonts w:ascii="Century" w:hAnsi="Century" w:cs="Miriam" w:hint="cs"/>
          <w:b/>
          <w:spacing w:val="0"/>
          <w:szCs w:val="24"/>
          <w:rtl/>
        </w:rPr>
        <w:t>שם</w:t>
      </w:r>
      <w:r>
        <w:rPr>
          <w:rFonts w:hint="cs"/>
          <w:rtl/>
        </w:rPr>
        <w:t xml:space="preserve">, בפסקה 24 לחוות דעתי; ראו גם: עניין </w:t>
      </w:r>
      <w:r w:rsidRPr="00D844AA">
        <w:rPr>
          <w:rFonts w:ascii="Century" w:hAnsi="Century" w:cs="Miriam" w:hint="cs"/>
          <w:b/>
          <w:spacing w:val="0"/>
          <w:szCs w:val="24"/>
          <w:rtl/>
        </w:rPr>
        <w:t>חוק טל</w:t>
      </w:r>
      <w:r>
        <w:rPr>
          <w:rFonts w:hint="cs"/>
          <w:rtl/>
        </w:rPr>
        <w:t xml:space="preserve">, בעמ' 717). עוד נקבע בעניין </w:t>
      </w:r>
      <w:r w:rsidRPr="001D46A6">
        <w:rPr>
          <w:rFonts w:ascii="Century" w:hAnsi="Century" w:cs="Miriam" w:hint="cs"/>
          <w:b/>
          <w:spacing w:val="0"/>
          <w:sz w:val="22"/>
          <w:szCs w:val="24"/>
          <w:rtl/>
        </w:rPr>
        <w:t>חסון</w:t>
      </w:r>
      <w:r>
        <w:rPr>
          <w:rFonts w:hint="cs"/>
          <w:rtl/>
        </w:rPr>
        <w:t xml:space="preserve"> כי המגבלות על הסמכות המכוננת חלות הן על חקיקתו של חוק יסוד חדש והן על חקיקת תיקון לחוק יסוד קיים, אולם בהינתן השלב שבו מצוי המפעל החוקתי הישראלי, מגבלות אלה הן מגבלות צרות ביותר ונוגעות אך ל"מצבים שבהם </w:t>
      </w:r>
      <w:r w:rsidRPr="00FA5351">
        <w:rPr>
          <w:rFonts w:hint="eastAsia"/>
          <w:rtl/>
        </w:rPr>
        <w:t>חוק</w:t>
      </w:r>
      <w:r w:rsidRPr="00FA5351">
        <w:rPr>
          <w:rtl/>
        </w:rPr>
        <w:t xml:space="preserve"> </w:t>
      </w:r>
      <w:r w:rsidRPr="00FA5351">
        <w:rPr>
          <w:rFonts w:hint="eastAsia"/>
          <w:rtl/>
        </w:rPr>
        <w:t>יסוד</w:t>
      </w:r>
      <w:r w:rsidRPr="00FA5351">
        <w:rPr>
          <w:rtl/>
        </w:rPr>
        <w:t xml:space="preserve"> </w:t>
      </w:r>
      <w:r w:rsidRPr="00FA5351">
        <w:rPr>
          <w:rFonts w:hint="eastAsia"/>
          <w:rtl/>
        </w:rPr>
        <w:t>שולל</w:t>
      </w:r>
      <w:r w:rsidRPr="00FA5351">
        <w:rPr>
          <w:rtl/>
        </w:rPr>
        <w:t xml:space="preserve"> </w:t>
      </w:r>
      <w:r w:rsidRPr="00FA5351">
        <w:rPr>
          <w:rFonts w:hint="eastAsia"/>
          <w:rtl/>
        </w:rPr>
        <w:t>או</w:t>
      </w:r>
      <w:r w:rsidRPr="00FA5351">
        <w:rPr>
          <w:rtl/>
        </w:rPr>
        <w:t xml:space="preserve"> </w:t>
      </w:r>
      <w:r w:rsidRPr="00FA5351">
        <w:rPr>
          <w:rFonts w:hint="eastAsia"/>
          <w:rtl/>
        </w:rPr>
        <w:t>סותר</w:t>
      </w:r>
      <w:r w:rsidRPr="00FA5351">
        <w:rPr>
          <w:rtl/>
        </w:rPr>
        <w:t xml:space="preserve"> </w:t>
      </w:r>
      <w:r w:rsidRPr="00FA5351">
        <w:rPr>
          <w:rFonts w:hint="eastAsia"/>
          <w:rtl/>
        </w:rPr>
        <w:t>באופן</w:t>
      </w:r>
      <w:r w:rsidRPr="00FA5351">
        <w:rPr>
          <w:rtl/>
        </w:rPr>
        <w:t xml:space="preserve"> </w:t>
      </w:r>
      <w:r w:rsidRPr="00FA5351">
        <w:rPr>
          <w:rFonts w:hint="eastAsia"/>
          <w:rtl/>
        </w:rPr>
        <w:t>חזיתי</w:t>
      </w:r>
      <w:r w:rsidRPr="00FA5351">
        <w:rPr>
          <w:rtl/>
        </w:rPr>
        <w:t xml:space="preserve"> </w:t>
      </w:r>
      <w:r w:rsidRPr="00FA5351">
        <w:rPr>
          <w:rFonts w:hint="eastAsia"/>
          <w:rtl/>
        </w:rPr>
        <w:t>את</w:t>
      </w:r>
      <w:r w:rsidRPr="00FA5351">
        <w:rPr>
          <w:rtl/>
        </w:rPr>
        <w:t xml:space="preserve"> </w:t>
      </w:r>
      <w:r>
        <w:rPr>
          <w:rFonts w:hint="cs"/>
          <w:rtl/>
        </w:rPr>
        <w:t>'</w:t>
      </w:r>
      <w:r w:rsidRPr="00FA5351">
        <w:rPr>
          <w:rFonts w:hint="eastAsia"/>
          <w:rtl/>
        </w:rPr>
        <w:t>המאפיינים</w:t>
      </w:r>
      <w:r w:rsidRPr="00FA5351">
        <w:rPr>
          <w:rtl/>
        </w:rPr>
        <w:t xml:space="preserve"> '</w:t>
      </w:r>
      <w:r w:rsidRPr="00FA5351">
        <w:rPr>
          <w:rFonts w:hint="eastAsia"/>
          <w:rtl/>
        </w:rPr>
        <w:t>הגרעיניים</w:t>
      </w:r>
      <w:r w:rsidRPr="00FA5351">
        <w:rPr>
          <w:rtl/>
        </w:rPr>
        <w:t xml:space="preserve">' </w:t>
      </w:r>
      <w:r w:rsidRPr="00FA5351">
        <w:rPr>
          <w:rFonts w:hint="eastAsia"/>
          <w:rtl/>
        </w:rPr>
        <w:t>המעצבים</w:t>
      </w:r>
      <w:r w:rsidRPr="00FA5351">
        <w:rPr>
          <w:rtl/>
        </w:rPr>
        <w:t xml:space="preserve"> </w:t>
      </w:r>
      <w:r w:rsidRPr="00FA5351">
        <w:rPr>
          <w:rFonts w:hint="eastAsia"/>
          <w:rtl/>
        </w:rPr>
        <w:t>את</w:t>
      </w:r>
      <w:r w:rsidRPr="00FA5351">
        <w:rPr>
          <w:rtl/>
        </w:rPr>
        <w:t xml:space="preserve"> </w:t>
      </w:r>
      <w:r w:rsidRPr="00FA5351">
        <w:rPr>
          <w:rFonts w:hint="eastAsia"/>
          <w:rtl/>
        </w:rPr>
        <w:t>הגדרת</w:t>
      </w:r>
      <w:r w:rsidRPr="00FA5351">
        <w:rPr>
          <w:rtl/>
        </w:rPr>
        <w:t xml:space="preserve"> </w:t>
      </w:r>
      <w:r w:rsidRPr="00FA5351">
        <w:rPr>
          <w:rFonts w:hint="eastAsia"/>
          <w:rtl/>
        </w:rPr>
        <w:t>המינימום</w:t>
      </w:r>
      <w:r>
        <w:rPr>
          <w:rFonts w:hint="cs"/>
          <w:rtl/>
        </w:rPr>
        <w:t>'</w:t>
      </w:r>
      <w:r w:rsidRPr="00FA5351">
        <w:rPr>
          <w:rtl/>
        </w:rPr>
        <w:t xml:space="preserve"> </w:t>
      </w:r>
      <w:r w:rsidRPr="00FA5351">
        <w:rPr>
          <w:rFonts w:hint="eastAsia"/>
          <w:rtl/>
        </w:rPr>
        <w:t>של</w:t>
      </w:r>
      <w:r w:rsidRPr="00FA5351">
        <w:rPr>
          <w:rtl/>
        </w:rPr>
        <w:t xml:space="preserve"> </w:t>
      </w:r>
      <w:r w:rsidRPr="00FA5351">
        <w:rPr>
          <w:rFonts w:hint="eastAsia"/>
          <w:rtl/>
        </w:rPr>
        <w:t>היות</w:t>
      </w:r>
      <w:r w:rsidRPr="00FA5351">
        <w:rPr>
          <w:rtl/>
        </w:rPr>
        <w:t xml:space="preserve"> </w:t>
      </w:r>
      <w:r w:rsidRPr="00FA5351">
        <w:rPr>
          <w:rFonts w:hint="eastAsia"/>
          <w:rtl/>
        </w:rPr>
        <w:t>מדינת</w:t>
      </w:r>
      <w:r w:rsidRPr="00FA5351">
        <w:rPr>
          <w:rtl/>
        </w:rPr>
        <w:t xml:space="preserve"> </w:t>
      </w:r>
      <w:r w:rsidRPr="00FA5351">
        <w:rPr>
          <w:rFonts w:hint="eastAsia"/>
          <w:rtl/>
        </w:rPr>
        <w:t>ישראל</w:t>
      </w:r>
      <w:r w:rsidRPr="00FA5351">
        <w:rPr>
          <w:rtl/>
        </w:rPr>
        <w:t xml:space="preserve"> </w:t>
      </w:r>
      <w:r w:rsidRPr="00FA5351">
        <w:rPr>
          <w:rFonts w:hint="eastAsia"/>
          <w:rtl/>
        </w:rPr>
        <w:t>מדינה</w:t>
      </w:r>
      <w:r w:rsidRPr="00FA5351">
        <w:rPr>
          <w:rtl/>
        </w:rPr>
        <w:t xml:space="preserve"> </w:t>
      </w:r>
      <w:r w:rsidRPr="00FA5351">
        <w:rPr>
          <w:rFonts w:hint="eastAsia"/>
          <w:rtl/>
        </w:rPr>
        <w:t>יהודית</w:t>
      </w:r>
      <w:r w:rsidRPr="00FA5351">
        <w:rPr>
          <w:rtl/>
        </w:rPr>
        <w:t xml:space="preserve"> </w:t>
      </w:r>
      <w:r w:rsidRPr="00FA5351">
        <w:rPr>
          <w:rFonts w:hint="eastAsia"/>
          <w:rtl/>
        </w:rPr>
        <w:t>ודמוקרטית</w:t>
      </w:r>
      <w:r>
        <w:rPr>
          <w:rFonts w:hint="cs"/>
          <w:rtl/>
        </w:rPr>
        <w:t>" (</w:t>
      </w:r>
      <w:r w:rsidRPr="001D46A6">
        <w:rPr>
          <w:rFonts w:ascii="Century" w:hAnsi="Century" w:cs="Miriam" w:hint="cs"/>
          <w:b/>
          <w:spacing w:val="0"/>
          <w:sz w:val="22"/>
          <w:szCs w:val="24"/>
          <w:rtl/>
        </w:rPr>
        <w:t>שם</w:t>
      </w:r>
      <w:r>
        <w:rPr>
          <w:rFonts w:hint="cs"/>
          <w:rtl/>
        </w:rPr>
        <w:t xml:space="preserve">, בפסקאות 27 ו-29 לחוות דעתי; ראו גם: </w:t>
      </w:r>
      <w:r w:rsidRPr="001D46A6">
        <w:rPr>
          <w:rFonts w:ascii="Century" w:hAnsi="Century" w:cs="Miriam" w:hint="eastAsia"/>
          <w:b/>
          <w:spacing w:val="0"/>
          <w:sz w:val="22"/>
          <w:szCs w:val="24"/>
          <w:rtl/>
        </w:rPr>
        <w:t>שם</w:t>
      </w:r>
      <w:r>
        <w:rPr>
          <w:rFonts w:hint="cs"/>
          <w:rtl/>
        </w:rPr>
        <w:t>, בפסקה 4 לחוות דעתו של השופט (בדימ')</w:t>
      </w:r>
      <w:r w:rsidRPr="00581626">
        <w:rPr>
          <w:rFonts w:hint="cs"/>
          <w:rtl/>
        </w:rPr>
        <w:t xml:space="preserve"> </w:t>
      </w:r>
      <w:r w:rsidRPr="001D46A6">
        <w:rPr>
          <w:rFonts w:ascii="Century" w:hAnsi="Century" w:cs="Miriam" w:hint="cs"/>
          <w:b/>
          <w:spacing w:val="0"/>
          <w:sz w:val="22"/>
          <w:szCs w:val="24"/>
          <w:rtl/>
        </w:rPr>
        <w:t>מזוז</w:t>
      </w:r>
      <w:r>
        <w:rPr>
          <w:rFonts w:hint="cs"/>
          <w:rtl/>
        </w:rPr>
        <w:t>).</w:t>
      </w:r>
    </w:p>
    <w:p w:rsidR="00C044AE" w:rsidRPr="00594C28" w:rsidRDefault="00C044AE" w:rsidP="00C044AE">
      <w:pPr>
        <w:pStyle w:val="Ruller41"/>
      </w:pPr>
    </w:p>
    <w:p w:rsidR="00C044AE" w:rsidRPr="00594C28" w:rsidRDefault="00C044AE" w:rsidP="00C044AE">
      <w:pPr>
        <w:pStyle w:val="Ruller41"/>
        <w:ind w:left="360"/>
        <w:outlineLvl w:val="2"/>
        <w:rPr>
          <w:rFonts w:ascii="Century" w:hAnsi="Century" w:cs="Miriam"/>
          <w:b/>
          <w:spacing w:val="0"/>
          <w:szCs w:val="24"/>
        </w:rPr>
      </w:pPr>
      <w:r w:rsidRPr="00306D4E">
        <w:rPr>
          <w:rFonts w:ascii="Century" w:hAnsi="Century" w:cs="Miriam" w:hint="cs"/>
          <w:b/>
          <w:spacing w:val="0"/>
          <w:szCs w:val="24"/>
          <w:rtl/>
        </w:rPr>
        <w:t>ג.2</w:t>
      </w:r>
      <w:r>
        <w:rPr>
          <w:rFonts w:ascii="Century" w:hAnsi="Century" w:cs="Miriam" w:hint="cs"/>
          <w:b/>
          <w:spacing w:val="0"/>
          <w:szCs w:val="24"/>
          <w:rtl/>
        </w:rPr>
        <w:t>.</w:t>
      </w:r>
      <w:r w:rsidRPr="00306D4E">
        <w:rPr>
          <w:rFonts w:ascii="Century" w:hAnsi="Century" w:cs="Miriam" w:hint="cs"/>
          <w:b/>
          <w:spacing w:val="0"/>
          <w:szCs w:val="24"/>
          <w:rtl/>
        </w:rPr>
        <w:t xml:space="preserve"> תפקידו של בית המשפט</w:t>
      </w:r>
    </w:p>
    <w:p w:rsidR="00C044AE" w:rsidRDefault="00C044AE" w:rsidP="00C044AE">
      <w:pPr>
        <w:pStyle w:val="Ruller41"/>
        <w:rPr>
          <w:rtl/>
        </w:rPr>
      </w:pPr>
    </w:p>
    <w:p w:rsidR="00C044AE" w:rsidRDefault="00C044AE" w:rsidP="00C044AE">
      <w:pPr>
        <w:pStyle w:val="Ruller4"/>
        <w:rPr>
          <w:rtl/>
        </w:rPr>
      </w:pPr>
      <w:r>
        <w:rPr>
          <w:rFonts w:hint="cs"/>
          <w:rtl/>
        </w:rPr>
        <w:t xml:space="preserve">בהינתן המגבלות המהותיות המוטלות על הכנסת בהפעלת סמכותה המכוננת, השאלה המרכזית שנותר להכריע בה היא האם יש ליתן בידי בית משפט זה את האפשרות לקיים ביקורת שיפוטית על מנת להבטיח כי המגבלות הללו אכן נשמרות, ועל מנת להתערב באותם מקרים חריגים ונדירים שבהם הכנסת חרגה מהן. </w:t>
      </w:r>
    </w:p>
    <w:p w:rsidR="00C044AE" w:rsidRDefault="00C044AE" w:rsidP="00C044AE">
      <w:pPr>
        <w:pStyle w:val="Ruller41"/>
        <w:rPr>
          <w:rtl/>
        </w:rPr>
      </w:pPr>
    </w:p>
    <w:p w:rsidR="00C044AE" w:rsidRDefault="00C044AE" w:rsidP="00C044AE">
      <w:pPr>
        <w:pStyle w:val="Ruller41"/>
        <w:rPr>
          <w:rtl/>
        </w:rPr>
      </w:pPr>
      <w:r>
        <w:rPr>
          <w:rtl/>
        </w:rPr>
        <w:tab/>
      </w:r>
      <w:r>
        <w:rPr>
          <w:rFonts w:hint="cs"/>
          <w:rtl/>
        </w:rPr>
        <w:t xml:space="preserve">כאמור, שאלה זו נותרה ללא הכרעה בעניין </w:t>
      </w:r>
      <w:r w:rsidRPr="000C54DB">
        <w:rPr>
          <w:rFonts w:ascii="Century" w:hAnsi="Century" w:cs="Miriam" w:hint="cs"/>
          <w:b/>
          <w:spacing w:val="0"/>
          <w:szCs w:val="24"/>
          <w:rtl/>
        </w:rPr>
        <w:t>חסון</w:t>
      </w:r>
      <w:r>
        <w:rPr>
          <w:rFonts w:hint="cs"/>
          <w:rtl/>
        </w:rPr>
        <w:t xml:space="preserve">, שם סברו רוב השופטים כי חוק-יסוד: הלאום אינו שולל את המאפיינים הגרעיניים של מדינת ישראל כמדינה דמוקרטית, ומשכך אין צורך לטעת מסמרות בשאלת סמכותו של בית המשפט לקיים ביקורת שיפוטית מהותית על חוקי היסוד. </w:t>
      </w:r>
    </w:p>
    <w:p w:rsidR="00C044AE" w:rsidRDefault="00C044AE" w:rsidP="00C044AE">
      <w:pPr>
        <w:pStyle w:val="Ruller41"/>
        <w:rPr>
          <w:rtl/>
        </w:rPr>
      </w:pPr>
    </w:p>
    <w:p w:rsidR="00C044AE" w:rsidRDefault="00C044AE" w:rsidP="00C044AE">
      <w:pPr>
        <w:pStyle w:val="Ruller4"/>
        <w:rPr>
          <w:rtl/>
        </w:rPr>
      </w:pPr>
      <w:r>
        <w:rPr>
          <w:rFonts w:hint="cs"/>
          <w:rtl/>
        </w:rPr>
        <w:t xml:space="preserve">כפי שצוין בעניין </w:t>
      </w:r>
      <w:r w:rsidRPr="00177088">
        <w:rPr>
          <w:rFonts w:ascii="Century" w:hAnsi="Century" w:cs="Miriam" w:hint="cs"/>
          <w:b/>
          <w:spacing w:val="0"/>
          <w:sz w:val="22"/>
          <w:szCs w:val="24"/>
          <w:rtl/>
        </w:rPr>
        <w:t>חסון</w:t>
      </w:r>
      <w:r>
        <w:rPr>
          <w:rFonts w:hint="cs"/>
          <w:rtl/>
        </w:rPr>
        <w:t>,</w:t>
      </w:r>
      <w:r w:rsidRPr="00177088">
        <w:rPr>
          <w:rFonts w:hint="cs"/>
          <w:rtl/>
        </w:rPr>
        <w:t xml:space="preserve"> </w:t>
      </w:r>
      <w:r>
        <w:rPr>
          <w:rFonts w:hint="cs"/>
          <w:rtl/>
        </w:rPr>
        <w:t xml:space="preserve">עצם הקביעה לפיה הכנסת כרשות מכוננת איננה "כל יכולה" וחלות עליה מגבלות מסוימות, אינה מובילה </w:t>
      </w:r>
      <w:r w:rsidRPr="0088289F">
        <w:rPr>
          <w:rFonts w:ascii="Century" w:hAnsi="Century" w:cs="Miriam" w:hint="cs"/>
          <w:b/>
          <w:spacing w:val="0"/>
          <w:sz w:val="22"/>
          <w:szCs w:val="24"/>
          <w:rtl/>
        </w:rPr>
        <w:t>בהכרח</w:t>
      </w:r>
      <w:r w:rsidRPr="0088289F">
        <w:rPr>
          <w:rFonts w:hint="cs"/>
          <w:rtl/>
        </w:rPr>
        <w:t xml:space="preserve"> </w:t>
      </w:r>
      <w:r>
        <w:rPr>
          <w:rFonts w:hint="cs"/>
          <w:rtl/>
        </w:rPr>
        <w:t>למסקנה כי חריגת הכנסת מסמכותה בהקשר זה תהווה עילה לביקורת שיפוטית (</w:t>
      </w:r>
      <w:r w:rsidRPr="000C54DB">
        <w:rPr>
          <w:rFonts w:ascii="Century" w:hAnsi="Century" w:cs="Miriam" w:hint="cs"/>
          <w:b/>
          <w:spacing w:val="0"/>
          <w:sz w:val="22"/>
          <w:szCs w:val="24"/>
          <w:rtl/>
        </w:rPr>
        <w:t>שם</w:t>
      </w:r>
      <w:r>
        <w:rPr>
          <w:rFonts w:hint="cs"/>
          <w:rtl/>
        </w:rPr>
        <w:t xml:space="preserve">, בפסקה 32 לחוות דעתי). כך למשל, סעיף 89 לחוקה הצרפתית קובע פסקת נצחיות לפיה "צורת הממשל הרפובליקנית לא תהיה עניין לתיקון חוקתי", ולמרות זאת </w:t>
      </w:r>
      <w:r w:rsidRPr="00295B02">
        <w:rPr>
          <w:rtl/>
        </w:rPr>
        <w:t>"</w:t>
      </w:r>
      <w:r w:rsidRPr="00295B02">
        <w:rPr>
          <w:rFonts w:hint="eastAsia"/>
          <w:rtl/>
        </w:rPr>
        <w:t>המועצה</w:t>
      </w:r>
      <w:r w:rsidRPr="00295B02">
        <w:rPr>
          <w:rtl/>
        </w:rPr>
        <w:t xml:space="preserve"> </w:t>
      </w:r>
      <w:r w:rsidRPr="00295B02">
        <w:rPr>
          <w:rFonts w:hint="eastAsia"/>
          <w:rtl/>
        </w:rPr>
        <w:t>החוקתית</w:t>
      </w:r>
      <w:r w:rsidRPr="00A40CCD">
        <w:rPr>
          <w:rtl/>
        </w:rPr>
        <w:t>"</w:t>
      </w:r>
      <w:r w:rsidRPr="00A40CCD">
        <w:rPr>
          <w:rFonts w:hint="cs"/>
          <w:rtl/>
        </w:rPr>
        <w:t xml:space="preserve"> </w:t>
      </w:r>
      <w:r w:rsidRPr="00A40CCD">
        <w:rPr>
          <w:rtl/>
        </w:rPr>
        <w:t>(</w:t>
      </w:r>
      <w:r w:rsidRPr="00A40CCD">
        <w:t>Conseil</w:t>
      </w:r>
      <w:r>
        <w:t xml:space="preserve"> </w:t>
      </w:r>
      <w:r w:rsidRPr="00A40CCD">
        <w:t>Constitutionnel</w:t>
      </w:r>
      <w:r w:rsidRPr="00A40CCD">
        <w:rPr>
          <w:rFonts w:hint="cs"/>
          <w:rtl/>
        </w:rPr>
        <w:t xml:space="preserve">) </w:t>
      </w:r>
      <w:r w:rsidRPr="00A40CCD">
        <w:rPr>
          <w:rFonts w:hint="eastAsia"/>
          <w:rtl/>
        </w:rPr>
        <w:t>בצרפת</w:t>
      </w:r>
      <w:r w:rsidRPr="00A40CCD">
        <w:rPr>
          <w:rFonts w:hint="cs"/>
          <w:rtl/>
        </w:rPr>
        <w:t xml:space="preserve"> קבעה כי אין</w:t>
      </w:r>
      <w:r>
        <w:rPr>
          <w:rFonts w:hint="cs"/>
          <w:rtl/>
        </w:rPr>
        <w:t xml:space="preserve"> לה</w:t>
      </w:r>
      <w:r w:rsidRPr="00A40CCD">
        <w:rPr>
          <w:rFonts w:hint="cs"/>
          <w:rtl/>
        </w:rPr>
        <w:t xml:space="preserve"> סמכות לקיים ביקורת שיפוטית על תיקונים חוקתיים (</w:t>
      </w:r>
      <w:r w:rsidRPr="00A40CCD">
        <w:t>CC decision No. 2003-469</w:t>
      </w:r>
      <w:r>
        <w:t xml:space="preserve"> </w:t>
      </w:r>
      <w:r w:rsidRPr="00A40CCD">
        <w:t>DC, Mar. 26, 2003, Rec. 293</w:t>
      </w:r>
      <w:r w:rsidRPr="00A40CCD">
        <w:rPr>
          <w:rFonts w:hint="cs"/>
          <w:rtl/>
        </w:rPr>
        <w:t>). במדינות</w:t>
      </w:r>
      <w:r>
        <w:rPr>
          <w:rFonts w:hint="cs"/>
          <w:rtl/>
        </w:rPr>
        <w:t xml:space="preserve"> מסוג זה, ההגבלות על תיקון החוקה אינן אכיפות. השפעתן מתמצית בהפנמת כללי המשחק החוקתיים על ידי הגורמים המעורבים בכינון הנורמות החוקתיות, וככל שכללים אלה מופרים </w:t>
      </w:r>
      <w:r>
        <w:rPr>
          <w:rtl/>
        </w:rPr>
        <w:t>–</w:t>
      </w:r>
      <w:r>
        <w:rPr>
          <w:rFonts w:hint="cs"/>
          <w:rtl/>
        </w:rPr>
        <w:t xml:space="preserve"> יכול הציבור להשמיע את קולו בעניין זה ב"יום הבוחר" (עניין </w:t>
      </w:r>
      <w:r w:rsidRPr="00D34626">
        <w:rPr>
          <w:rFonts w:ascii="Century" w:hAnsi="Century" w:cs="Miriam" w:hint="cs"/>
          <w:b/>
          <w:spacing w:val="0"/>
          <w:sz w:val="22"/>
          <w:szCs w:val="24"/>
          <w:rtl/>
        </w:rPr>
        <w:t>חסון</w:t>
      </w:r>
      <w:r>
        <w:rPr>
          <w:rFonts w:hint="cs"/>
          <w:rtl/>
        </w:rPr>
        <w:t xml:space="preserve">, בפסקה 33 לחוות דעתי; ראו בהקשר זה: </w:t>
      </w:r>
      <w:r w:rsidRPr="006D630C">
        <w:rPr>
          <w:smallCaps/>
        </w:rPr>
        <w:t>European Commission for Democracy through Law (Venice Commission)</w:t>
      </w:r>
      <w:r>
        <w:rPr>
          <w:smallCaps/>
        </w:rPr>
        <w:t>,</w:t>
      </w:r>
      <w:r w:rsidRPr="006D630C">
        <w:rPr>
          <w:smallCaps/>
        </w:rPr>
        <w:t xml:space="preserve"> Report on Constitutional Amendment</w:t>
      </w:r>
      <w:r w:rsidRPr="006D630C">
        <w:rPr>
          <w:szCs w:val="32"/>
        </w:rPr>
        <w:t xml:space="preserve"> 44 (2010)</w:t>
      </w:r>
      <w:r>
        <w:rPr>
          <w:rFonts w:hint="cs"/>
          <w:rtl/>
        </w:rPr>
        <w:t xml:space="preserve">). לעומת זאת, כפי שצוין לעיל, במספר לא מבוטל של מדינות בתי משפט חוקתיים קבעו כי בסמכותם לבחון תיקונים חוקתיים ולהורות על ביטולם אם התיקון מפר מגבלות מפורשות בחוקה (למשל, </w:t>
      </w:r>
      <w:r w:rsidRPr="00110B74">
        <w:rPr>
          <w:rFonts w:hint="cs"/>
          <w:rtl/>
        </w:rPr>
        <w:t>בגרמניה) או מגבלות המשתמעות ממנה (למשל</w:t>
      </w:r>
      <w:r>
        <w:rPr>
          <w:rFonts w:hint="cs"/>
          <w:rtl/>
        </w:rPr>
        <w:t>,</w:t>
      </w:r>
      <w:r w:rsidRPr="00110B74">
        <w:rPr>
          <w:rFonts w:hint="cs"/>
          <w:rtl/>
        </w:rPr>
        <w:t xml:space="preserve"> בהודו), גם מבלי שסמכות זו עוגנה במפורש בטקסט החוקתי. </w:t>
      </w:r>
      <w:r>
        <w:rPr>
          <w:rFonts w:hint="cs"/>
          <w:rtl/>
        </w:rPr>
        <w:t xml:space="preserve">בשיטות אלה, תפקידו של בית המשפט הוא להבטיח כי המגבלות על תיקון החוקה לא ייוותרו במישור ההצהרתי בלבד, וכי במקרים שבהם "נפרצו" גבולות סמכות התיקון, ניתן יהיה להגן בפועל על אותה ליבה חוקתית שאינה ניתנת לשינוי. </w:t>
      </w:r>
    </w:p>
    <w:p w:rsidR="00C044AE" w:rsidRDefault="00C044AE" w:rsidP="00C044AE">
      <w:pPr>
        <w:pStyle w:val="Ruller4"/>
        <w:numPr>
          <w:ilvl w:val="0"/>
          <w:numId w:val="0"/>
        </w:numPr>
        <w:rPr>
          <w:rtl/>
        </w:rPr>
      </w:pPr>
    </w:p>
    <w:p w:rsidR="00C044AE" w:rsidRDefault="00C044AE" w:rsidP="00C044AE">
      <w:pPr>
        <w:pStyle w:val="Ruller4"/>
        <w:rPr>
          <w:rtl/>
        </w:rPr>
      </w:pPr>
      <w:r>
        <w:rPr>
          <w:rtl/>
        </w:rPr>
        <w:lastRenderedPageBreak/>
        <w:tab/>
      </w:r>
      <w:r w:rsidRPr="00110B74">
        <w:rPr>
          <w:rFonts w:hint="cs"/>
          <w:rtl/>
        </w:rPr>
        <w:t>בישראל</w:t>
      </w:r>
      <w:r>
        <w:rPr>
          <w:rFonts w:hint="cs"/>
          <w:rtl/>
        </w:rPr>
        <w:t>,</w:t>
      </w:r>
      <w:r w:rsidRPr="00110B74">
        <w:rPr>
          <w:rFonts w:hint="cs"/>
          <w:rtl/>
        </w:rPr>
        <w:t xml:space="preserve"> חוקי היסוד </w:t>
      </w:r>
      <w:r>
        <w:rPr>
          <w:rFonts w:hint="cs"/>
          <w:rtl/>
        </w:rPr>
        <w:t xml:space="preserve">אינם מתייחסים מפורשות לשאלת הסמכות לערוך </w:t>
      </w:r>
      <w:r w:rsidRPr="00110B74">
        <w:rPr>
          <w:rFonts w:hint="cs"/>
          <w:rtl/>
        </w:rPr>
        <w:t xml:space="preserve">ביקורת שיפוטית מהותית על חוקי היסוד. </w:t>
      </w:r>
      <w:r>
        <w:rPr>
          <w:rFonts w:hint="cs"/>
          <w:rtl/>
        </w:rPr>
        <w:t>כמו כן</w:t>
      </w:r>
      <w:r w:rsidRPr="00110B74">
        <w:rPr>
          <w:rFonts w:hint="cs"/>
          <w:rtl/>
        </w:rPr>
        <w:t xml:space="preserve">, </w:t>
      </w:r>
      <w:r>
        <w:rPr>
          <w:rFonts w:hint="cs"/>
          <w:rtl/>
        </w:rPr>
        <w:t xml:space="preserve">אין </w:t>
      </w:r>
      <w:r w:rsidRPr="00110B74">
        <w:rPr>
          <w:rFonts w:hint="cs"/>
          <w:rtl/>
        </w:rPr>
        <w:t xml:space="preserve">בחוקה </w:t>
      </w:r>
      <w:r>
        <w:rPr>
          <w:rFonts w:hint="cs"/>
          <w:rtl/>
        </w:rPr>
        <w:t>המתגבשת</w:t>
      </w:r>
      <w:r w:rsidRPr="00110B74">
        <w:rPr>
          <w:rFonts w:hint="cs"/>
          <w:rtl/>
        </w:rPr>
        <w:t xml:space="preserve"> פסקת נצחיות או "מבנה בסיסי" </w:t>
      </w:r>
      <w:r>
        <w:rPr>
          <w:rFonts w:hint="cs"/>
          <w:rtl/>
        </w:rPr>
        <w:t>שלם</w:t>
      </w:r>
      <w:r w:rsidRPr="00110B74">
        <w:rPr>
          <w:rFonts w:hint="cs"/>
          <w:rtl/>
        </w:rPr>
        <w:t xml:space="preserve"> שניתן להצביע עליו כיום</w:t>
      </w:r>
      <w:r>
        <w:rPr>
          <w:rFonts w:hint="cs"/>
          <w:rtl/>
        </w:rPr>
        <w:t xml:space="preserve">, והדבר מקשה על אימוץ דוקטרינה </w:t>
      </w:r>
      <w:r w:rsidRPr="00916D91">
        <w:rPr>
          <w:rFonts w:ascii="Century" w:hAnsi="Century" w:cs="Miriam" w:hint="cs"/>
          <w:b/>
          <w:spacing w:val="0"/>
          <w:sz w:val="22"/>
          <w:szCs w:val="24"/>
          <w:rtl/>
        </w:rPr>
        <w:t>מקיפה</w:t>
      </w:r>
      <w:r w:rsidRPr="00916D91">
        <w:rPr>
          <w:rFonts w:hint="cs"/>
          <w:rtl/>
        </w:rPr>
        <w:t xml:space="preserve"> </w:t>
      </w:r>
      <w:r>
        <w:rPr>
          <w:rFonts w:hint="cs"/>
          <w:rtl/>
        </w:rPr>
        <w:t>של תיקון חוקתי שאינו חוקתי</w:t>
      </w:r>
      <w:r w:rsidRPr="00110B74">
        <w:rPr>
          <w:rFonts w:hint="cs"/>
          <w:rtl/>
        </w:rPr>
        <w:t xml:space="preserve">. </w:t>
      </w:r>
      <w:r>
        <w:rPr>
          <w:rFonts w:hint="cs"/>
          <w:rtl/>
        </w:rPr>
        <w:t>עם זאת, גם</w:t>
      </w:r>
      <w:r w:rsidRPr="00110B74">
        <w:rPr>
          <w:rFonts w:hint="cs"/>
          <w:rtl/>
        </w:rPr>
        <w:t xml:space="preserve"> בשלב </w:t>
      </w:r>
      <w:r>
        <w:rPr>
          <w:rFonts w:hint="cs"/>
          <w:rtl/>
        </w:rPr>
        <w:t>ה</w:t>
      </w:r>
      <w:r w:rsidRPr="00110B74">
        <w:rPr>
          <w:rFonts w:hint="cs"/>
          <w:rtl/>
        </w:rPr>
        <w:t xml:space="preserve">זה של המפעל החוקתי ניתן לקבוע כי "'יהודית ודמוקרטית' הם היכין והבועז, עמודי התווך של מדינת ישראל" (עניין </w:t>
      </w:r>
      <w:r w:rsidRPr="00110B74">
        <w:rPr>
          <w:rFonts w:ascii="Century" w:hAnsi="Century" w:cs="Miriam" w:hint="cs"/>
          <w:b/>
          <w:spacing w:val="0"/>
          <w:sz w:val="22"/>
          <w:szCs w:val="24"/>
          <w:rtl/>
        </w:rPr>
        <w:t>חסון</w:t>
      </w:r>
      <w:r w:rsidRPr="00110B74">
        <w:rPr>
          <w:rFonts w:hint="cs"/>
          <w:rtl/>
        </w:rPr>
        <w:t xml:space="preserve">, </w:t>
      </w:r>
      <w:r>
        <w:rPr>
          <w:rFonts w:hint="cs"/>
          <w:rtl/>
        </w:rPr>
        <w:t>ב</w:t>
      </w:r>
      <w:r w:rsidRPr="00110B74">
        <w:rPr>
          <w:rFonts w:hint="cs"/>
          <w:rtl/>
        </w:rPr>
        <w:t xml:space="preserve">פסקה 1 לחוות דעתו של השופט </w:t>
      </w:r>
      <w:r>
        <w:rPr>
          <w:rFonts w:ascii="Century" w:hAnsi="Century" w:cs="Miriam" w:hint="cs"/>
          <w:b/>
          <w:spacing w:val="0"/>
          <w:sz w:val="22"/>
          <w:szCs w:val="24"/>
          <w:rtl/>
        </w:rPr>
        <w:t xml:space="preserve">י' </w:t>
      </w:r>
      <w:r w:rsidRPr="00110B74">
        <w:rPr>
          <w:rFonts w:ascii="Century" w:hAnsi="Century" w:cs="Miriam" w:hint="cs"/>
          <w:b/>
          <w:spacing w:val="0"/>
          <w:sz w:val="22"/>
          <w:szCs w:val="24"/>
          <w:rtl/>
        </w:rPr>
        <w:t>עמית</w:t>
      </w:r>
      <w:r w:rsidRPr="00110B74">
        <w:rPr>
          <w:rFonts w:hint="cs"/>
          <w:rtl/>
        </w:rPr>
        <w:t xml:space="preserve">), ויש בכך </w:t>
      </w:r>
      <w:r>
        <w:rPr>
          <w:rFonts w:hint="cs"/>
          <w:rtl/>
        </w:rPr>
        <w:t xml:space="preserve">כדי להציב מגבלה </w:t>
      </w:r>
      <w:r>
        <w:rPr>
          <w:rtl/>
        </w:rPr>
        <w:t>–</w:t>
      </w:r>
      <w:r>
        <w:rPr>
          <w:rFonts w:hint="cs"/>
          <w:rtl/>
        </w:rPr>
        <w:t xml:space="preserve"> צרה אומנם </w:t>
      </w:r>
      <w:r>
        <w:rPr>
          <w:rtl/>
        </w:rPr>
        <w:t>–</w:t>
      </w:r>
      <w:r w:rsidRPr="00110B74">
        <w:rPr>
          <w:rFonts w:hint="cs"/>
          <w:rtl/>
        </w:rPr>
        <w:t xml:space="preserve"> על סמכותה המכוננת של הכנסת.</w:t>
      </w:r>
      <w:r>
        <w:rPr>
          <w:rFonts w:hint="cs"/>
          <w:rtl/>
        </w:rPr>
        <w:t xml:space="preserve"> על רקע זה, ציין השופט </w:t>
      </w:r>
      <w:r w:rsidRPr="00110B74">
        <w:rPr>
          <w:rFonts w:ascii="Century" w:hAnsi="Century" w:cs="Miriam" w:hint="cs"/>
          <w:b/>
          <w:spacing w:val="0"/>
          <w:sz w:val="22"/>
          <w:szCs w:val="24"/>
          <w:rtl/>
        </w:rPr>
        <w:t>פוגלמן</w:t>
      </w:r>
      <w:r w:rsidRPr="00110B74">
        <w:rPr>
          <w:rFonts w:hint="cs"/>
          <w:rtl/>
        </w:rPr>
        <w:t xml:space="preserve"> </w:t>
      </w:r>
      <w:r>
        <w:rPr>
          <w:rFonts w:hint="cs"/>
          <w:rtl/>
        </w:rPr>
        <w:t xml:space="preserve">בעניין </w:t>
      </w:r>
      <w:r w:rsidRPr="004F78EB">
        <w:rPr>
          <w:rFonts w:ascii="Century" w:hAnsi="Century" w:cs="Miriam" w:hint="eastAsia"/>
          <w:b/>
          <w:spacing w:val="0"/>
          <w:sz w:val="22"/>
          <w:szCs w:val="24"/>
          <w:rtl/>
        </w:rPr>
        <w:t>חסון</w:t>
      </w:r>
      <w:r>
        <w:rPr>
          <w:rFonts w:hint="cs"/>
          <w:rtl/>
        </w:rPr>
        <w:t xml:space="preserve"> כי הוא נוטה לגישה לפיה סמכות הביקורת השיפוטית "נגזרת מן המגבלות המהותיות על סמכותה של הרשות המכוננת. זאת, על מנת שמגבלות אלו לא יהפכו </w:t>
      </w:r>
      <w:r w:rsidRPr="00110B74">
        <w:rPr>
          <w:rFonts w:hint="cs"/>
          <w:rtl/>
        </w:rPr>
        <w:t>לאות מתה" (</w:t>
      </w:r>
      <w:r w:rsidRPr="00110B74">
        <w:rPr>
          <w:rFonts w:ascii="Century" w:hAnsi="Century" w:cs="Miriam" w:hint="cs"/>
          <w:b/>
          <w:spacing w:val="0"/>
          <w:sz w:val="22"/>
          <w:szCs w:val="24"/>
          <w:rtl/>
        </w:rPr>
        <w:t>שם</w:t>
      </w:r>
      <w:r w:rsidRPr="00110B74">
        <w:rPr>
          <w:rFonts w:hint="cs"/>
          <w:rtl/>
        </w:rPr>
        <w:t xml:space="preserve">, בפסקה 4 לחוות דעתו; ראו </w:t>
      </w:r>
      <w:r>
        <w:rPr>
          <w:rFonts w:hint="cs"/>
          <w:rtl/>
        </w:rPr>
        <w:t>והשוו</w:t>
      </w:r>
      <w:r w:rsidRPr="00110B74">
        <w:rPr>
          <w:rFonts w:hint="cs"/>
          <w:rtl/>
        </w:rPr>
        <w:t xml:space="preserve">: </w:t>
      </w:r>
      <w:r w:rsidRPr="001B08A7">
        <w:rPr>
          <w:rFonts w:ascii="Century" w:hAnsi="Century" w:cs="Miriam" w:hint="cs"/>
          <w:b/>
          <w:spacing w:val="0"/>
          <w:sz w:val="22"/>
          <w:szCs w:val="24"/>
          <w:rtl/>
        </w:rPr>
        <w:t>שם</w:t>
      </w:r>
      <w:r w:rsidRPr="00110B74">
        <w:rPr>
          <w:rFonts w:hint="cs"/>
          <w:rtl/>
        </w:rPr>
        <w:t xml:space="preserve">, </w:t>
      </w:r>
      <w:r>
        <w:rPr>
          <w:rFonts w:hint="cs"/>
          <w:rtl/>
        </w:rPr>
        <w:t>ב</w:t>
      </w:r>
      <w:r w:rsidRPr="00110B74">
        <w:rPr>
          <w:rFonts w:hint="cs"/>
          <w:rtl/>
        </w:rPr>
        <w:t xml:space="preserve">פסקה 4 לחוות דעתו של השופט </w:t>
      </w:r>
      <w:r w:rsidRPr="00110B74">
        <w:rPr>
          <w:rFonts w:ascii="Century" w:hAnsi="Century" w:cs="Miriam" w:hint="cs"/>
          <w:b/>
          <w:spacing w:val="0"/>
          <w:sz w:val="22"/>
          <w:szCs w:val="24"/>
          <w:rtl/>
        </w:rPr>
        <w:t>הנדל</w:t>
      </w:r>
      <w:r w:rsidRPr="00110B74">
        <w:rPr>
          <w:rFonts w:hint="cs"/>
          <w:rtl/>
        </w:rPr>
        <w:t xml:space="preserve">; עניין </w:t>
      </w:r>
      <w:r w:rsidRPr="00110B74">
        <w:rPr>
          <w:rFonts w:ascii="Century" w:hAnsi="Century" w:cs="Miriam" w:hint="cs"/>
          <w:b/>
          <w:spacing w:val="0"/>
          <w:szCs w:val="24"/>
          <w:rtl/>
        </w:rPr>
        <w:t>המרכז האקדמי</w:t>
      </w:r>
      <w:r w:rsidRPr="00110B74">
        <w:rPr>
          <w:rFonts w:hint="cs"/>
          <w:rtl/>
        </w:rPr>
        <w:t xml:space="preserve">, בפסקה ל"ה </w:t>
      </w:r>
      <w:r>
        <w:rPr>
          <w:rFonts w:hint="cs"/>
          <w:rtl/>
        </w:rPr>
        <w:t>לחוות דעתו</w:t>
      </w:r>
      <w:r w:rsidRPr="00110B74">
        <w:rPr>
          <w:rFonts w:hint="cs"/>
          <w:rtl/>
        </w:rPr>
        <w:t xml:space="preserve"> של </w:t>
      </w:r>
      <w:r w:rsidRPr="00110B74">
        <w:rPr>
          <w:rFonts w:ascii="Century" w:hAnsi="Century" w:hint="cs"/>
          <w:rtl/>
        </w:rPr>
        <w:t xml:space="preserve">המשנה לנשיאה (בדימ') </w:t>
      </w:r>
      <w:r w:rsidRPr="00110B74">
        <w:rPr>
          <w:rFonts w:ascii="Century" w:hAnsi="Century" w:cs="Miriam" w:hint="cs"/>
          <w:b/>
          <w:spacing w:val="0"/>
          <w:szCs w:val="24"/>
          <w:rtl/>
        </w:rPr>
        <w:t>רובינשטיין</w:t>
      </w:r>
      <w:r w:rsidRPr="00110B74">
        <w:rPr>
          <w:rFonts w:hint="cs"/>
          <w:rtl/>
        </w:rPr>
        <w:t>).</w:t>
      </w:r>
      <w:r>
        <w:rPr>
          <w:rFonts w:hint="cs"/>
          <w:rtl/>
        </w:rPr>
        <w:t xml:space="preserve"> </w:t>
      </w:r>
    </w:p>
    <w:p w:rsidR="00C044AE" w:rsidRPr="00165562" w:rsidRDefault="00C044AE" w:rsidP="00C044AE">
      <w:pPr>
        <w:pStyle w:val="Ruller41"/>
        <w:rPr>
          <w:rtl/>
        </w:rPr>
      </w:pPr>
    </w:p>
    <w:p w:rsidR="00C044AE" w:rsidRDefault="00C044AE" w:rsidP="00C044AE">
      <w:pPr>
        <w:pStyle w:val="Ruller4"/>
      </w:pPr>
      <w:r>
        <w:rPr>
          <w:rFonts w:hint="cs"/>
          <w:rtl/>
        </w:rPr>
        <w:t xml:space="preserve">אקדים אחרית לראשית ואומר כי אף לדעתי באותם מצבים נדירים שבהם הכנסת חרגה מגבולות סמכותה המכוננת, מוסמך בית המשפט העליון בשבתו כבית המשפט הגבוה לצדק </w:t>
      </w:r>
      <w:r>
        <w:rPr>
          <w:rtl/>
        </w:rPr>
        <w:t>–</w:t>
      </w:r>
      <w:r>
        <w:rPr>
          <w:rFonts w:hint="cs"/>
          <w:rtl/>
        </w:rPr>
        <w:t xml:space="preserve"> ואף מחויב </w:t>
      </w:r>
      <w:r>
        <w:rPr>
          <w:rtl/>
        </w:rPr>
        <w:t>–</w:t>
      </w:r>
      <w:r>
        <w:rPr>
          <w:rFonts w:hint="cs"/>
          <w:rtl/>
        </w:rPr>
        <w:t xml:space="preserve"> להכריז על כך שאין מדובר בנורמה חוקתית תקפה. כפי שאפרט להלן, מסקנה זו נובעת באופן ישיר מהמאפיינים הייחודיים של המבנה החוקתי שלנו ומאופן הפעלת הסמכות המכוננת, אשר מבדלים את שיטתנו משיטות משפט אחרות ומובילים למסקנה כי לא ניתן להותיר את המגבלות על סמכותה המכוננת של הכנסת כמגבלות שאינן אכיפות.  </w:t>
      </w:r>
    </w:p>
    <w:p w:rsidR="00C044AE" w:rsidRPr="00E221C2" w:rsidRDefault="00C044AE" w:rsidP="00C044AE">
      <w:pPr>
        <w:pStyle w:val="Ruller4"/>
        <w:numPr>
          <w:ilvl w:val="0"/>
          <w:numId w:val="0"/>
        </w:numPr>
        <w:rPr>
          <w:rtl/>
        </w:rPr>
      </w:pPr>
    </w:p>
    <w:p w:rsidR="00C044AE" w:rsidRPr="00462465" w:rsidRDefault="00C044AE" w:rsidP="0009484D">
      <w:pPr>
        <w:pStyle w:val="Ruller41"/>
        <w:outlineLvl w:val="3"/>
        <w:rPr>
          <w:rFonts w:ascii="Century" w:hAnsi="Century" w:cs="Miriam"/>
          <w:b/>
          <w:spacing w:val="0"/>
          <w:sz w:val="24"/>
          <w:szCs w:val="24"/>
          <w:rtl/>
        </w:rPr>
      </w:pPr>
      <w:r>
        <w:rPr>
          <w:rFonts w:ascii="Century" w:hAnsi="Century" w:cs="Miriam"/>
          <w:b/>
          <w:spacing w:val="0"/>
          <w:sz w:val="24"/>
          <w:szCs w:val="24"/>
          <w:rtl/>
        </w:rPr>
        <w:tab/>
      </w:r>
      <w:r w:rsidRPr="00462465">
        <w:rPr>
          <w:rFonts w:ascii="Century" w:hAnsi="Century" w:cs="Miriam" w:hint="cs"/>
          <w:b/>
          <w:spacing w:val="0"/>
          <w:sz w:val="24"/>
          <w:szCs w:val="24"/>
          <w:rtl/>
        </w:rPr>
        <w:t xml:space="preserve">ייחודיותה של </w:t>
      </w:r>
      <w:r w:rsidRPr="00462465">
        <w:rPr>
          <w:rFonts w:ascii="Century" w:hAnsi="Century" w:cs="Miriam" w:hint="eastAsia"/>
          <w:b/>
          <w:spacing w:val="0"/>
          <w:sz w:val="24"/>
          <w:szCs w:val="24"/>
          <w:rtl/>
        </w:rPr>
        <w:t>החוקה</w:t>
      </w:r>
      <w:r w:rsidRPr="00462465">
        <w:rPr>
          <w:rFonts w:ascii="Century" w:hAnsi="Century" w:cs="Miriam" w:hint="cs"/>
          <w:b/>
          <w:spacing w:val="0"/>
          <w:sz w:val="24"/>
          <w:szCs w:val="24"/>
          <w:rtl/>
        </w:rPr>
        <w:t xml:space="preserve"> המתגבשת "נוסח ישראל"</w:t>
      </w:r>
    </w:p>
    <w:p w:rsidR="00C044AE" w:rsidRDefault="00C044AE" w:rsidP="0009484D">
      <w:pPr>
        <w:pStyle w:val="Ruller41"/>
        <w:rPr>
          <w:b/>
          <w:bCs/>
          <w:u w:val="single"/>
          <w:rtl/>
        </w:rPr>
      </w:pPr>
    </w:p>
    <w:p w:rsidR="00C044AE" w:rsidRDefault="00C044AE" w:rsidP="00C044AE">
      <w:pPr>
        <w:pStyle w:val="Ruller4"/>
      </w:pPr>
      <w:r>
        <w:rPr>
          <w:rFonts w:hint="cs"/>
          <w:rtl/>
        </w:rPr>
        <w:t xml:space="preserve">ייחודיותו של המפעל החוקתי הישראלי באה לידי ביטוי בשלושה מאפיינים עיקריים: (1) העובדה כי הוא נבנה בהדרגה, "פרקים פרקים", במשך עשרות שנים; (2) היעדר הליך ייחודי לכינון נורמות חוקתיות; (3) השליטה יוצאת הדופן שיש לרוב הפוליטי </w:t>
      </w:r>
      <w:r>
        <w:rPr>
          <w:rtl/>
        </w:rPr>
        <w:t>–</w:t>
      </w:r>
      <w:r>
        <w:rPr>
          <w:rFonts w:hint="cs"/>
          <w:rtl/>
        </w:rPr>
        <w:t xml:space="preserve"> ולממשלה בפרט </w:t>
      </w:r>
      <w:r>
        <w:rPr>
          <w:rtl/>
        </w:rPr>
        <w:t>–</w:t>
      </w:r>
      <w:r>
        <w:rPr>
          <w:rFonts w:hint="cs"/>
          <w:rtl/>
        </w:rPr>
        <w:t xml:space="preserve"> בהפעלת הסמכות המכוננת. </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להלן אתייחס בתמצית לכל אחד ממאפיינים אלה.</w:t>
      </w:r>
    </w:p>
    <w:p w:rsidR="00C044AE" w:rsidRDefault="00C044AE" w:rsidP="00C044AE">
      <w:pPr>
        <w:pStyle w:val="Ruller41"/>
        <w:rPr>
          <w:rtl/>
        </w:rPr>
      </w:pPr>
    </w:p>
    <w:p w:rsidR="00C044AE" w:rsidRPr="002D6817" w:rsidRDefault="00C044AE" w:rsidP="00C044AE">
      <w:pPr>
        <w:pStyle w:val="Ruller4"/>
        <w:numPr>
          <w:ilvl w:val="0"/>
          <w:numId w:val="0"/>
        </w:numPr>
        <w:ind w:left="360"/>
        <w:rPr>
          <w:rFonts w:ascii="Century" w:hAnsi="Century"/>
          <w:b/>
          <w:bCs/>
          <w:sz w:val="22"/>
          <w:rtl/>
        </w:rPr>
      </w:pPr>
      <w:r w:rsidRPr="002D6817">
        <w:rPr>
          <w:rFonts w:ascii="Century" w:hAnsi="Century" w:hint="cs"/>
          <w:b/>
          <w:bCs/>
          <w:sz w:val="22"/>
          <w:rtl/>
        </w:rPr>
        <w:t>(1) "פרקים פרקים"</w:t>
      </w:r>
    </w:p>
    <w:p w:rsidR="00C044AE" w:rsidRDefault="00C044AE" w:rsidP="00C044AE">
      <w:pPr>
        <w:pStyle w:val="Ruller41"/>
        <w:rPr>
          <w:rtl/>
        </w:rPr>
      </w:pPr>
    </w:p>
    <w:p w:rsidR="00C044AE" w:rsidRDefault="00C044AE" w:rsidP="00C044AE">
      <w:pPr>
        <w:pStyle w:val="Ruller4"/>
        <w:rPr>
          <w:rtl/>
        </w:rPr>
      </w:pPr>
      <w:r>
        <w:rPr>
          <w:rFonts w:hint="cs"/>
          <w:rtl/>
        </w:rPr>
        <w:t xml:space="preserve">להבדיל מחוקות במדינות אחרות שהתקבלו בד בבד עם ייסודה של המדינה או בעקבות מהפכה, מלחמה או שינוי קיצוני אחר בחיי האומה, בישראל עם קבלת "החלטת </w:t>
      </w:r>
      <w:r>
        <w:rPr>
          <w:rFonts w:hint="cs"/>
          <w:rtl/>
        </w:rPr>
        <w:lastRenderedPageBreak/>
        <w:t>הררי" והתפזרות האסיפה המכוננת (הכנסת הראשונה) מבלי שהתקבלה חוקה שלמה, "הוחמצה ההזדמנות לקבל חוקה ב'רגע המהפכני' של הקמת המדינה" (</w:t>
      </w:r>
      <w:r w:rsidRPr="00682CAB">
        <w:rPr>
          <w:rFonts w:ascii="Century" w:hAnsi="Century" w:cs="Miriam" w:hint="cs"/>
          <w:b/>
          <w:spacing w:val="0"/>
          <w:sz w:val="22"/>
          <w:szCs w:val="24"/>
          <w:rtl/>
        </w:rPr>
        <w:t>רובינשטיין ומדינה</w:t>
      </w:r>
      <w:r>
        <w:rPr>
          <w:rFonts w:hint="cs"/>
          <w:rtl/>
        </w:rPr>
        <w:t xml:space="preserve">, בעמ' 76). החוקה "נוסח ישראל" לא הושלמה, אפוא, במהלך חד-פעמי והיא עודנה </w:t>
      </w:r>
      <w:r w:rsidRPr="008F7D8D">
        <w:rPr>
          <w:rFonts w:hint="cs"/>
          <w:rtl/>
        </w:rPr>
        <w:t>מתגבשת</w:t>
      </w:r>
      <w:r>
        <w:rPr>
          <w:rFonts w:hint="cs"/>
          <w:rtl/>
        </w:rPr>
        <w:t xml:space="preserve"> </w:t>
      </w:r>
      <w:r w:rsidRPr="008F7D8D">
        <w:rPr>
          <w:rFonts w:hint="cs"/>
          <w:rtl/>
        </w:rPr>
        <w:t xml:space="preserve">"פרקים פרקים" (עניין </w:t>
      </w:r>
      <w:r w:rsidRPr="008F7D8D">
        <w:rPr>
          <w:rFonts w:ascii="Century" w:hAnsi="Century" w:cs="Miriam" w:hint="cs"/>
          <w:b/>
          <w:spacing w:val="0"/>
          <w:sz w:val="22"/>
          <w:szCs w:val="24"/>
          <w:rtl/>
        </w:rPr>
        <w:t>בר-און</w:t>
      </w:r>
      <w:r w:rsidRPr="008F7D8D">
        <w:rPr>
          <w:rFonts w:hint="cs"/>
          <w:rtl/>
        </w:rPr>
        <w:t xml:space="preserve">, </w:t>
      </w:r>
      <w:r w:rsidRPr="0066571A">
        <w:rPr>
          <w:rFonts w:hint="cs"/>
          <w:rtl/>
        </w:rPr>
        <w:t xml:space="preserve">בעמ' 299-297; עניין </w:t>
      </w:r>
      <w:r w:rsidRPr="0066571A">
        <w:rPr>
          <w:rFonts w:ascii="Century" w:hAnsi="Century" w:cs="Miriam" w:hint="cs"/>
          <w:b/>
          <w:spacing w:val="0"/>
          <w:sz w:val="22"/>
          <w:szCs w:val="24"/>
          <w:rtl/>
        </w:rPr>
        <w:t>המרכז האקדמי</w:t>
      </w:r>
      <w:r w:rsidRPr="0066571A">
        <w:rPr>
          <w:rFonts w:hint="cs"/>
          <w:rtl/>
        </w:rPr>
        <w:t xml:space="preserve">, בפסקה 15 לחוות דעתו של השופט </w:t>
      </w:r>
      <w:r w:rsidRPr="0066571A">
        <w:rPr>
          <w:rFonts w:ascii="Century" w:hAnsi="Century" w:cs="Miriam" w:hint="cs"/>
          <w:b/>
          <w:spacing w:val="0"/>
          <w:sz w:val="22"/>
          <w:szCs w:val="24"/>
          <w:rtl/>
        </w:rPr>
        <w:t>פוגלמן</w:t>
      </w:r>
      <w:r w:rsidRPr="0066571A">
        <w:rPr>
          <w:rFonts w:hint="cs"/>
          <w:rtl/>
        </w:rPr>
        <w:t>). כתוצאה מכך, עד היום טרם עוגנו בחוקי היסוד רכיבים המקובלים בחוקות</w:t>
      </w:r>
      <w:r>
        <w:rPr>
          <w:rFonts w:hint="cs"/>
          <w:rtl/>
        </w:rPr>
        <w:t xml:space="preserve"> העולם</w:t>
      </w:r>
      <w:r w:rsidRPr="0066571A">
        <w:rPr>
          <w:rFonts w:hint="cs"/>
          <w:rtl/>
        </w:rPr>
        <w:t xml:space="preserve">, לרבות הסדרת </w:t>
      </w:r>
      <w:r>
        <w:rPr>
          <w:rFonts w:hint="cs"/>
          <w:rtl/>
        </w:rPr>
        <w:t>חלק מזכויות היסוד ו</w:t>
      </w:r>
      <w:r w:rsidRPr="0066571A">
        <w:rPr>
          <w:rFonts w:hint="cs"/>
          <w:rtl/>
        </w:rPr>
        <w:t xml:space="preserve">אופן </w:t>
      </w:r>
      <w:r>
        <w:rPr>
          <w:rFonts w:hint="cs"/>
          <w:rtl/>
        </w:rPr>
        <w:t>ה</w:t>
      </w:r>
      <w:r w:rsidRPr="0066571A">
        <w:rPr>
          <w:rFonts w:hint="cs"/>
          <w:rtl/>
        </w:rPr>
        <w:t xml:space="preserve">תיקון </w:t>
      </w:r>
      <w:r>
        <w:rPr>
          <w:rFonts w:hint="cs"/>
          <w:rtl/>
        </w:rPr>
        <w:t xml:space="preserve">של </w:t>
      </w:r>
      <w:r w:rsidRPr="0066571A">
        <w:rPr>
          <w:rFonts w:hint="cs"/>
          <w:rtl/>
        </w:rPr>
        <w:t xml:space="preserve">הטקסט החוקתי (חוק-יסוד: החקיקה) (עניין </w:t>
      </w:r>
      <w:r w:rsidRPr="0066571A">
        <w:rPr>
          <w:rFonts w:ascii="Century" w:hAnsi="Century" w:cs="Miriam" w:hint="cs"/>
          <w:b/>
          <w:spacing w:val="0"/>
          <w:sz w:val="22"/>
          <w:szCs w:val="24"/>
          <w:rtl/>
        </w:rPr>
        <w:t>בר-און</w:t>
      </w:r>
      <w:r w:rsidRPr="0066571A">
        <w:rPr>
          <w:rFonts w:hint="cs"/>
          <w:rtl/>
        </w:rPr>
        <w:t xml:space="preserve">, בעמ' 297; </w:t>
      </w:r>
      <w:r w:rsidRPr="0066571A">
        <w:rPr>
          <w:rFonts w:hint="eastAsia"/>
          <w:rtl/>
        </w:rPr>
        <w:t>רבקה</w:t>
      </w:r>
      <w:r w:rsidRPr="0066571A">
        <w:rPr>
          <w:rtl/>
        </w:rPr>
        <w:t xml:space="preserve"> </w:t>
      </w:r>
      <w:r w:rsidRPr="0066571A">
        <w:rPr>
          <w:rFonts w:hint="eastAsia"/>
          <w:rtl/>
        </w:rPr>
        <w:t>ווייל</w:t>
      </w:r>
      <w:r w:rsidRPr="0066571A">
        <w:rPr>
          <w:rFonts w:hint="cs"/>
          <w:rtl/>
        </w:rPr>
        <w:t xml:space="preserve"> </w:t>
      </w:r>
      <w:r w:rsidRPr="0066571A">
        <w:rPr>
          <w:rtl/>
        </w:rPr>
        <w:t>"</w:t>
      </w:r>
      <w:r w:rsidRPr="0066571A">
        <w:rPr>
          <w:rFonts w:hint="eastAsia"/>
          <w:rtl/>
        </w:rPr>
        <w:t>הנשאל</w:t>
      </w:r>
      <w:r w:rsidRPr="0066571A">
        <w:rPr>
          <w:rtl/>
        </w:rPr>
        <w:t xml:space="preserve"> </w:t>
      </w:r>
      <w:r w:rsidRPr="0066571A">
        <w:rPr>
          <w:rFonts w:hint="eastAsia"/>
          <w:rtl/>
        </w:rPr>
        <w:t>את</w:t>
      </w:r>
      <w:r w:rsidRPr="0066571A">
        <w:rPr>
          <w:rtl/>
        </w:rPr>
        <w:t xml:space="preserve"> </w:t>
      </w:r>
      <w:r w:rsidRPr="0066571A">
        <w:rPr>
          <w:rFonts w:hint="eastAsia"/>
          <w:rtl/>
        </w:rPr>
        <w:t>פי</w:t>
      </w:r>
      <w:r w:rsidRPr="0066571A">
        <w:rPr>
          <w:rtl/>
        </w:rPr>
        <w:t xml:space="preserve"> </w:t>
      </w:r>
      <w:r w:rsidRPr="0066571A">
        <w:rPr>
          <w:rFonts w:hint="eastAsia"/>
          <w:rtl/>
        </w:rPr>
        <w:t>העם</w:t>
      </w:r>
      <w:r w:rsidRPr="0066571A">
        <w:rPr>
          <w:rtl/>
        </w:rPr>
        <w:t xml:space="preserve">? </w:t>
      </w:r>
      <w:r w:rsidRPr="0066571A">
        <w:rPr>
          <w:rFonts w:hint="eastAsia"/>
          <w:rtl/>
        </w:rPr>
        <w:t>על</w:t>
      </w:r>
      <w:r w:rsidRPr="0066571A">
        <w:rPr>
          <w:rtl/>
        </w:rPr>
        <w:t xml:space="preserve"> </w:t>
      </w:r>
      <w:r w:rsidRPr="0066571A">
        <w:rPr>
          <w:rFonts w:hint="eastAsia"/>
          <w:rtl/>
        </w:rPr>
        <w:t>הקשר</w:t>
      </w:r>
      <w:r w:rsidRPr="0066571A">
        <w:rPr>
          <w:rtl/>
        </w:rPr>
        <w:t xml:space="preserve"> </w:t>
      </w:r>
      <w:r w:rsidRPr="0066571A">
        <w:rPr>
          <w:rFonts w:hint="eastAsia"/>
          <w:rtl/>
        </w:rPr>
        <w:t>בין</w:t>
      </w:r>
      <w:r w:rsidRPr="0066571A">
        <w:rPr>
          <w:rtl/>
        </w:rPr>
        <w:t xml:space="preserve"> </w:t>
      </w:r>
      <w:r w:rsidRPr="0066571A">
        <w:rPr>
          <w:rFonts w:hint="eastAsia"/>
          <w:rtl/>
        </w:rPr>
        <w:t>הליכי</w:t>
      </w:r>
      <w:r w:rsidRPr="0066571A">
        <w:rPr>
          <w:rtl/>
        </w:rPr>
        <w:t xml:space="preserve"> </w:t>
      </w:r>
      <w:r w:rsidRPr="0066571A">
        <w:rPr>
          <w:rFonts w:hint="eastAsia"/>
          <w:rtl/>
        </w:rPr>
        <w:t>אימוצה</w:t>
      </w:r>
      <w:r w:rsidRPr="0066571A">
        <w:rPr>
          <w:rtl/>
        </w:rPr>
        <w:t xml:space="preserve"> </w:t>
      </w:r>
      <w:r w:rsidRPr="0066571A">
        <w:rPr>
          <w:rFonts w:hint="eastAsia"/>
          <w:rtl/>
        </w:rPr>
        <w:t>של</w:t>
      </w:r>
      <w:r w:rsidRPr="0066571A">
        <w:rPr>
          <w:rtl/>
        </w:rPr>
        <w:t xml:space="preserve"> </w:t>
      </w:r>
      <w:r w:rsidRPr="0066571A">
        <w:rPr>
          <w:rFonts w:hint="eastAsia"/>
          <w:rtl/>
        </w:rPr>
        <w:t>חוקה</w:t>
      </w:r>
      <w:r w:rsidRPr="0066571A">
        <w:rPr>
          <w:rtl/>
        </w:rPr>
        <w:t xml:space="preserve"> </w:t>
      </w:r>
      <w:r w:rsidRPr="0066571A">
        <w:rPr>
          <w:rFonts w:hint="eastAsia"/>
          <w:rtl/>
        </w:rPr>
        <w:t>לבין</w:t>
      </w:r>
      <w:r w:rsidRPr="0066571A">
        <w:rPr>
          <w:rtl/>
        </w:rPr>
        <w:t xml:space="preserve"> </w:t>
      </w:r>
      <w:r w:rsidRPr="0066571A">
        <w:rPr>
          <w:rFonts w:hint="eastAsia"/>
          <w:rtl/>
        </w:rPr>
        <w:t>הליכי</w:t>
      </w:r>
      <w:r w:rsidRPr="0066571A">
        <w:rPr>
          <w:rtl/>
        </w:rPr>
        <w:t xml:space="preserve"> </w:t>
      </w:r>
      <w:r w:rsidRPr="0066571A">
        <w:rPr>
          <w:rFonts w:hint="eastAsia"/>
          <w:rtl/>
        </w:rPr>
        <w:t>תיקונה</w:t>
      </w:r>
      <w:r w:rsidRPr="0066571A">
        <w:rPr>
          <w:rtl/>
        </w:rPr>
        <w:t xml:space="preserve">" </w:t>
      </w:r>
      <w:r w:rsidRPr="0066571A">
        <w:rPr>
          <w:rFonts w:ascii="Century" w:hAnsi="Century" w:cs="Miriam" w:hint="cs"/>
          <w:b/>
          <w:spacing w:val="0"/>
          <w:sz w:val="22"/>
          <w:szCs w:val="24"/>
          <w:rtl/>
        </w:rPr>
        <w:t>משפט וממשל</w:t>
      </w:r>
      <w:r w:rsidRPr="0066571A">
        <w:rPr>
          <w:rFonts w:hint="cs"/>
          <w:rtl/>
        </w:rPr>
        <w:t xml:space="preserve"> י 449, 450 (</w:t>
      </w:r>
      <w:r>
        <w:rPr>
          <w:rFonts w:hint="cs"/>
          <w:rtl/>
        </w:rPr>
        <w:t>2007</w:t>
      </w:r>
      <w:r w:rsidRPr="0066571A">
        <w:rPr>
          <w:rFonts w:hint="cs"/>
          <w:rtl/>
        </w:rPr>
        <w:t xml:space="preserve">)). </w:t>
      </w:r>
      <w:r>
        <w:rPr>
          <w:rFonts w:hint="cs"/>
          <w:rtl/>
        </w:rPr>
        <w:t>כמו כן,</w:t>
      </w:r>
      <w:r w:rsidRPr="0066571A">
        <w:rPr>
          <w:rFonts w:hint="cs"/>
          <w:rtl/>
        </w:rPr>
        <w:t xml:space="preserve"> </w:t>
      </w:r>
      <w:r>
        <w:rPr>
          <w:rFonts w:hint="cs"/>
          <w:rtl/>
        </w:rPr>
        <w:t>מדובר ב</w:t>
      </w:r>
      <w:r w:rsidRPr="0066571A">
        <w:rPr>
          <w:rFonts w:hint="cs"/>
          <w:rtl/>
        </w:rPr>
        <w:t xml:space="preserve">תהליך </w:t>
      </w:r>
      <w:r>
        <w:rPr>
          <w:rFonts w:hint="cs"/>
          <w:rtl/>
        </w:rPr>
        <w:t>ה</w:t>
      </w:r>
      <w:r w:rsidRPr="0066571A">
        <w:rPr>
          <w:rFonts w:hint="cs"/>
          <w:rtl/>
        </w:rPr>
        <w:t>משתרע על</w:t>
      </w:r>
      <w:r>
        <w:rPr>
          <w:rFonts w:hint="cs"/>
          <w:rtl/>
        </w:rPr>
        <w:t xml:space="preserve"> פני</w:t>
      </w:r>
      <w:r w:rsidRPr="0066571A">
        <w:rPr>
          <w:rFonts w:hint="cs"/>
          <w:rtl/>
        </w:rPr>
        <w:t xml:space="preserve"> תקופה ארוכה, </w:t>
      </w:r>
      <w:r>
        <w:rPr>
          <w:rFonts w:hint="cs"/>
          <w:rtl/>
        </w:rPr>
        <w:t>אשר אין לה</w:t>
      </w:r>
      <w:r w:rsidRPr="0066571A">
        <w:rPr>
          <w:rFonts w:hint="cs"/>
          <w:rtl/>
        </w:rPr>
        <w:t xml:space="preserve"> אח ורע בה</w:t>
      </w:r>
      <w:r>
        <w:rPr>
          <w:rFonts w:hint="cs"/>
          <w:rtl/>
        </w:rPr>
        <w:t>יסטוריה החוקתית של מדינות אחרות</w:t>
      </w:r>
      <w:r w:rsidRPr="0066571A">
        <w:rPr>
          <w:rFonts w:hint="cs"/>
          <w:rtl/>
        </w:rPr>
        <w:t xml:space="preserve">, </w:t>
      </w:r>
      <w:r>
        <w:rPr>
          <w:rFonts w:hint="cs"/>
          <w:rtl/>
        </w:rPr>
        <w:t>ו</w:t>
      </w:r>
      <w:r w:rsidRPr="0066571A">
        <w:rPr>
          <w:rFonts w:hint="cs"/>
          <w:rtl/>
        </w:rPr>
        <w:t xml:space="preserve">ללא כל מועד סיום הנראה לעין (עניין </w:t>
      </w:r>
      <w:r w:rsidRPr="0066571A">
        <w:rPr>
          <w:rFonts w:ascii="Century" w:hAnsi="Century" w:cs="Miriam" w:hint="cs"/>
          <w:b/>
          <w:spacing w:val="0"/>
          <w:sz w:val="22"/>
          <w:szCs w:val="24"/>
          <w:rtl/>
        </w:rPr>
        <w:t>בנק המזרחי</w:t>
      </w:r>
      <w:r>
        <w:rPr>
          <w:rFonts w:hint="cs"/>
          <w:rtl/>
        </w:rPr>
        <w:t>, בעמ' 402). משכך, נוצר ב</w:t>
      </w:r>
      <w:r w:rsidRPr="0066571A">
        <w:rPr>
          <w:rFonts w:hint="cs"/>
          <w:rtl/>
        </w:rPr>
        <w:t>ישראל</w:t>
      </w:r>
      <w:r>
        <w:rPr>
          <w:rFonts w:hint="cs"/>
          <w:rtl/>
        </w:rPr>
        <w:t xml:space="preserve"> </w:t>
      </w:r>
      <w:r w:rsidRPr="0066571A">
        <w:rPr>
          <w:rFonts w:hint="cs"/>
          <w:rtl/>
        </w:rPr>
        <w:t xml:space="preserve">מצב חריג שבו אין אסיפה מכוננת אחת, </w:t>
      </w:r>
      <w:r>
        <w:rPr>
          <w:rFonts w:hint="cs"/>
          <w:rtl/>
        </w:rPr>
        <w:t xml:space="preserve">והלכה למעשה </w:t>
      </w:r>
      <w:r w:rsidRPr="0066571A">
        <w:rPr>
          <w:rFonts w:hint="cs"/>
          <w:rtl/>
        </w:rPr>
        <w:t>כיהנו</w:t>
      </w:r>
      <w:r>
        <w:rPr>
          <w:rFonts w:hint="cs"/>
          <w:rtl/>
        </w:rPr>
        <w:t xml:space="preserve"> בה עד היום</w:t>
      </w:r>
      <w:r w:rsidRPr="0066571A">
        <w:rPr>
          <w:rFonts w:hint="cs"/>
          <w:rtl/>
        </w:rPr>
        <w:t xml:space="preserve"> 25 אסיפות מכוננות שחבריהן התחלפו אחת לכמה שנים (או חודשים) בהתאם לתוצאות הבחירות לכנסת</w:t>
      </w:r>
      <w:r>
        <w:rPr>
          <w:rFonts w:hint="cs"/>
          <w:rtl/>
        </w:rPr>
        <w:t xml:space="preserve">. במבט השוואתי, כפי שצוין בספרות, "אין בנמצא כל דוגמה לאספה מכוננת מוזרה שכזו </w:t>
      </w:r>
      <w:r>
        <w:rPr>
          <w:rtl/>
        </w:rPr>
        <w:t>–</w:t>
      </w:r>
      <w:r>
        <w:rPr>
          <w:rFonts w:hint="cs"/>
          <w:rtl/>
        </w:rPr>
        <w:t xml:space="preserve"> כל הדוגמאות הידועות הן של אספות מכוננות שנבחרו במיוחד לשם כך, ודנו בחקיקת חוקה במשך חודשים ספורים או שנים ספורות, ולאחר מכן התפזרו"</w:t>
      </w:r>
      <w:r w:rsidRPr="0066571A">
        <w:rPr>
          <w:rFonts w:hint="cs"/>
          <w:rtl/>
        </w:rPr>
        <w:t xml:space="preserve"> (עידו פורת "פוליטיקה חוקתית ופוליטיקה רגילה </w:t>
      </w:r>
      <w:r w:rsidRPr="0066571A">
        <w:rPr>
          <w:rtl/>
        </w:rPr>
        <w:t>–</w:t>
      </w:r>
      <w:r w:rsidRPr="0066571A">
        <w:rPr>
          <w:rFonts w:hint="cs"/>
          <w:rtl/>
        </w:rPr>
        <w:t xml:space="preserve"> חוק הלאום, תורת הסמכות המכוננת ודואליזם חוקתי" </w:t>
      </w:r>
      <w:r w:rsidRPr="00912257">
        <w:rPr>
          <w:rFonts w:ascii="Century" w:hAnsi="Century" w:cs="Miriam" w:hint="cs"/>
          <w:b/>
          <w:spacing w:val="0"/>
          <w:sz w:val="22"/>
          <w:szCs w:val="24"/>
          <w:rtl/>
        </w:rPr>
        <w:t>תרבות דמוקרטית</w:t>
      </w:r>
      <w:r w:rsidRPr="0066571A">
        <w:rPr>
          <w:rFonts w:hint="cs"/>
          <w:rtl/>
        </w:rPr>
        <w:t xml:space="preserve"> 20 217, 246 (2021) (להלן: </w:t>
      </w:r>
      <w:r w:rsidRPr="00912257">
        <w:rPr>
          <w:rFonts w:ascii="Century" w:hAnsi="Century" w:cs="Miriam" w:hint="cs"/>
          <w:b/>
          <w:spacing w:val="0"/>
          <w:sz w:val="22"/>
          <w:szCs w:val="24"/>
          <w:rtl/>
        </w:rPr>
        <w:t>פורת "פוליטיקה חוקתית</w:t>
      </w:r>
      <w:r w:rsidRPr="0066571A">
        <w:rPr>
          <w:rFonts w:hint="cs"/>
          <w:rtl/>
        </w:rPr>
        <w:t>")</w:t>
      </w:r>
      <w:r>
        <w:rPr>
          <w:rFonts w:hint="cs"/>
          <w:rtl/>
        </w:rPr>
        <w:t>)</w:t>
      </w:r>
      <w:r w:rsidRPr="0066571A">
        <w:rPr>
          <w:rFonts w:hint="cs"/>
          <w:rtl/>
        </w:rPr>
        <w:t xml:space="preserve">. </w:t>
      </w:r>
      <w:r>
        <w:rPr>
          <w:rtl/>
        </w:rPr>
        <w:tab/>
      </w:r>
    </w:p>
    <w:p w:rsidR="00C044AE" w:rsidRDefault="00C044AE" w:rsidP="00C044AE">
      <w:pPr>
        <w:pStyle w:val="Ruller41"/>
        <w:rPr>
          <w:rtl/>
        </w:rPr>
      </w:pPr>
    </w:p>
    <w:p w:rsidR="00C044AE" w:rsidRDefault="00C044AE" w:rsidP="00C044AE">
      <w:pPr>
        <w:pStyle w:val="Ruller4"/>
        <w:rPr>
          <w:rtl/>
        </w:rPr>
      </w:pPr>
      <w:r>
        <w:rPr>
          <w:rFonts w:hint="cs"/>
          <w:rtl/>
        </w:rPr>
        <w:t xml:space="preserve">העובדה שהחוקה הישראלית טרם הושלמה מצדיקה אומנם הימנעות מאימוץ דוקטרינה </w:t>
      </w:r>
      <w:r w:rsidRPr="008F7D8D">
        <w:rPr>
          <w:rFonts w:ascii="Century" w:hAnsi="Century" w:cs="Miriam" w:hint="cs"/>
          <w:b/>
          <w:spacing w:val="0"/>
          <w:sz w:val="22"/>
          <w:szCs w:val="24"/>
          <w:rtl/>
        </w:rPr>
        <w:t>מקיפה</w:t>
      </w:r>
      <w:r w:rsidRPr="008F7D8D">
        <w:rPr>
          <w:rFonts w:hint="cs"/>
          <w:rtl/>
        </w:rPr>
        <w:t xml:space="preserve"> </w:t>
      </w:r>
      <w:r>
        <w:rPr>
          <w:rFonts w:hint="cs"/>
          <w:rtl/>
        </w:rPr>
        <w:t xml:space="preserve">של תיקון חוקתי שאינו חוקתי. עם זאת, התארכות השלמת המפעל החוקתי והימשכותו על פני עשרות שנים, מגבירות את החשש מפני היחלשות אפשרית של הנראטיב המכונן שמגדיר את קיומנו ועמד בבסיס הקמת המדינה ואולי, חלילה, אף התנתקות ממנו. זאת ועוד, הקביעה כי אין כל אפשרות לקיים ביקורת שיפוטית על תוכנם של חוקי היסוד עד להשלמת החוקה, מהווה תמריץ שלילי לכנסת להוסיף ולדחות את סיום מלאכת כינון החוקה (עניין </w:t>
      </w:r>
      <w:r w:rsidRPr="00306F55">
        <w:rPr>
          <w:rFonts w:ascii="Century" w:hAnsi="Century" w:cs="Miriam" w:hint="cs"/>
          <w:b/>
          <w:spacing w:val="0"/>
          <w:sz w:val="22"/>
          <w:szCs w:val="24"/>
          <w:rtl/>
        </w:rPr>
        <w:t>חסון</w:t>
      </w:r>
      <w:r>
        <w:rPr>
          <w:rFonts w:hint="cs"/>
          <w:rtl/>
        </w:rPr>
        <w:t xml:space="preserve">, בפסקה 2 לחוות דעתה של השופטת </w:t>
      </w:r>
      <w:r w:rsidRPr="008F7D8D">
        <w:rPr>
          <w:rFonts w:ascii="Century" w:hAnsi="Century" w:cs="Miriam" w:hint="cs"/>
          <w:b/>
          <w:spacing w:val="0"/>
          <w:sz w:val="22"/>
          <w:szCs w:val="24"/>
          <w:rtl/>
        </w:rPr>
        <w:t>ע' ברון</w:t>
      </w:r>
      <w:r>
        <w:rPr>
          <w:rFonts w:hint="cs"/>
          <w:rtl/>
        </w:rPr>
        <w:t xml:space="preserve">). יפים לעניין זה דבריו של השופט </w:t>
      </w:r>
      <w:r>
        <w:rPr>
          <w:rFonts w:ascii="Century" w:hAnsi="Century" w:cs="Miriam" w:hint="cs"/>
          <w:b/>
          <w:spacing w:val="0"/>
          <w:sz w:val="22"/>
          <w:szCs w:val="24"/>
          <w:rtl/>
        </w:rPr>
        <w:t xml:space="preserve">ג' </w:t>
      </w:r>
      <w:r w:rsidRPr="001F79FD">
        <w:rPr>
          <w:rFonts w:ascii="Century" w:hAnsi="Century" w:cs="Miriam" w:hint="cs"/>
          <w:b/>
          <w:spacing w:val="0"/>
          <w:sz w:val="22"/>
          <w:szCs w:val="24"/>
          <w:rtl/>
        </w:rPr>
        <w:t>קרא</w:t>
      </w:r>
      <w:r w:rsidRPr="001F79FD">
        <w:rPr>
          <w:rFonts w:hint="cs"/>
          <w:rtl/>
        </w:rPr>
        <w:t xml:space="preserve"> </w:t>
      </w:r>
      <w:r>
        <w:rPr>
          <w:rFonts w:hint="cs"/>
          <w:rtl/>
        </w:rPr>
        <w:t xml:space="preserve">בדעת המיעוט שלו בעניין </w:t>
      </w:r>
      <w:r w:rsidRPr="008F7D8D">
        <w:rPr>
          <w:rFonts w:ascii="Century" w:hAnsi="Century" w:cs="Miriam" w:hint="cs"/>
          <w:b/>
          <w:spacing w:val="0"/>
          <w:sz w:val="22"/>
          <w:szCs w:val="24"/>
          <w:rtl/>
        </w:rPr>
        <w:t>חסון</w:t>
      </w:r>
      <w:r>
        <w:rPr>
          <w:rFonts w:hint="cs"/>
          <w:rtl/>
        </w:rPr>
        <w:t xml:space="preserve">: </w:t>
      </w:r>
    </w:p>
    <w:p w:rsidR="00C044AE" w:rsidRPr="00177088" w:rsidRDefault="00C044AE" w:rsidP="00C044AE">
      <w:pPr>
        <w:pStyle w:val="Ruller41"/>
        <w:rPr>
          <w:rtl/>
        </w:rPr>
      </w:pPr>
    </w:p>
    <w:p w:rsidR="00C044AE" w:rsidRPr="00D9766F" w:rsidRDefault="00C044AE" w:rsidP="00C044AE">
      <w:pPr>
        <w:pStyle w:val="Ruller5"/>
      </w:pPr>
      <w:r>
        <w:rPr>
          <w:rFonts w:hint="cs"/>
          <w:rtl/>
        </w:rPr>
        <w:t>"</w:t>
      </w:r>
      <w:r w:rsidRPr="00D9766F">
        <w:rPr>
          <w:rFonts w:hint="cs"/>
          <w:rtl/>
        </w:rPr>
        <w:t>אם תתקבל טענת ההמתנה לסיום מפעל החוקה, אזי בחסות היעדרם של הסדרים לעניין אופן הפעלתה של ביקורת שיפוטית, וחרף כך ש</w:t>
      </w:r>
      <w:r>
        <w:rPr>
          <w:rFonts w:hint="cs"/>
          <w:rtl/>
        </w:rPr>
        <w:t>'</w:t>
      </w:r>
      <w:r w:rsidRPr="00D9766F">
        <w:rPr>
          <w:rFonts w:hint="cs"/>
          <w:rtl/>
        </w:rPr>
        <w:t>מפעל כינון החוקה</w:t>
      </w:r>
      <w:r>
        <w:rPr>
          <w:rFonts w:hint="cs"/>
          <w:rtl/>
        </w:rPr>
        <w:t>'</w:t>
      </w:r>
      <w:r w:rsidRPr="00D9766F">
        <w:rPr>
          <w:rFonts w:hint="cs"/>
          <w:rtl/>
        </w:rPr>
        <w:t xml:space="preserve"> טרם הסתיים גם בחלוף יותר מ-70 שנים מקום המדינה </w:t>
      </w:r>
      <w:r w:rsidRPr="00D9766F">
        <w:rPr>
          <w:rtl/>
        </w:rPr>
        <w:t>–</w:t>
      </w:r>
      <w:r w:rsidRPr="00D9766F">
        <w:rPr>
          <w:rFonts w:hint="cs"/>
          <w:rtl/>
        </w:rPr>
        <w:t xml:space="preserve"> הרשות המכוננת תימצא </w:t>
      </w:r>
      <w:r>
        <w:rPr>
          <w:rFonts w:hint="cs"/>
          <w:rtl/>
        </w:rPr>
        <w:t>'</w:t>
      </w:r>
      <w:r w:rsidRPr="00D9766F">
        <w:rPr>
          <w:rFonts w:hint="cs"/>
          <w:rtl/>
        </w:rPr>
        <w:t>מחסנת</w:t>
      </w:r>
      <w:r>
        <w:rPr>
          <w:rFonts w:hint="cs"/>
          <w:rtl/>
        </w:rPr>
        <w:t>'</w:t>
      </w:r>
      <w:r w:rsidRPr="00D9766F">
        <w:rPr>
          <w:rFonts w:hint="cs"/>
          <w:rtl/>
        </w:rPr>
        <w:t xml:space="preserve"> את עצמה דה-פקטו מפני ביקורת שיפוטית. כך, לכאורה, יש לה יכולת בלתי מרוסנת ובלתי מוגבלת לקבוע חוקי יסוד ככל העולה על רוחה, לרבות חוקי יסוד הפוגעים ממשית בערכי יסוד </w:t>
      </w:r>
      <w:r w:rsidRPr="00D9766F">
        <w:rPr>
          <w:rFonts w:hint="cs"/>
          <w:rtl/>
        </w:rPr>
        <w:lastRenderedPageBreak/>
        <w:t xml:space="preserve">דמוקרטיים. למצב כזה של </w:t>
      </w:r>
      <w:r>
        <w:rPr>
          <w:rFonts w:hint="cs"/>
          <w:rtl/>
        </w:rPr>
        <w:t>'</w:t>
      </w:r>
      <w:r w:rsidRPr="00D9766F">
        <w:rPr>
          <w:rFonts w:hint="cs"/>
          <w:rtl/>
        </w:rPr>
        <w:t>ריק נורמטיבי</w:t>
      </w:r>
      <w:r>
        <w:rPr>
          <w:rFonts w:hint="cs"/>
          <w:rtl/>
        </w:rPr>
        <w:t>' אין להסכין" (</w:t>
      </w:r>
      <w:r w:rsidRPr="008F7D8D">
        <w:rPr>
          <w:rFonts w:ascii="Century" w:hAnsi="Century" w:cs="Miriam" w:hint="cs"/>
          <w:b/>
          <w:spacing w:val="0"/>
          <w:szCs w:val="24"/>
          <w:rtl/>
        </w:rPr>
        <w:t>שם</w:t>
      </w:r>
      <w:r>
        <w:rPr>
          <w:rFonts w:hint="cs"/>
          <w:rtl/>
        </w:rPr>
        <w:t xml:space="preserve">, בפסקה 9 לחוות דעתו). </w:t>
      </w:r>
    </w:p>
    <w:p w:rsidR="00C044AE" w:rsidRPr="008F7D8D" w:rsidRDefault="00C044AE" w:rsidP="00C044AE">
      <w:pPr>
        <w:pStyle w:val="Ruller41"/>
        <w:rPr>
          <w:rtl/>
        </w:rPr>
      </w:pPr>
    </w:p>
    <w:p w:rsidR="00C044AE" w:rsidRDefault="00C044AE" w:rsidP="00C91ED0">
      <w:pPr>
        <w:pStyle w:val="Ruller4"/>
        <w:numPr>
          <w:ilvl w:val="0"/>
          <w:numId w:val="0"/>
        </w:numPr>
        <w:ind w:left="360"/>
        <w:rPr>
          <w:rFonts w:ascii="Century" w:hAnsi="Century"/>
          <w:b/>
          <w:bCs/>
          <w:sz w:val="22"/>
          <w:rtl/>
        </w:rPr>
      </w:pPr>
      <w:r w:rsidRPr="002D6817">
        <w:rPr>
          <w:rFonts w:ascii="Century" w:hAnsi="Century" w:hint="cs"/>
          <w:b/>
          <w:bCs/>
          <w:sz w:val="22"/>
          <w:rtl/>
        </w:rPr>
        <w:t>(</w:t>
      </w:r>
      <w:r>
        <w:rPr>
          <w:rFonts w:ascii="Century" w:hAnsi="Century" w:hint="cs"/>
          <w:b/>
          <w:bCs/>
          <w:sz w:val="22"/>
          <w:rtl/>
        </w:rPr>
        <w:t>2</w:t>
      </w:r>
      <w:r w:rsidRPr="002D6817">
        <w:rPr>
          <w:rFonts w:ascii="Century" w:hAnsi="Century" w:hint="cs"/>
          <w:b/>
          <w:bCs/>
          <w:sz w:val="22"/>
          <w:rtl/>
        </w:rPr>
        <w:t xml:space="preserve">) </w:t>
      </w:r>
      <w:r>
        <w:rPr>
          <w:rFonts w:ascii="Century" w:hAnsi="Century" w:hint="cs"/>
          <w:b/>
          <w:bCs/>
          <w:sz w:val="22"/>
          <w:rtl/>
        </w:rPr>
        <w:t>היעדר הליך מיוחד לאימוץ נורמות חוקתיות</w:t>
      </w:r>
    </w:p>
    <w:p w:rsidR="00C044AE" w:rsidRDefault="00C044AE" w:rsidP="00C91ED0">
      <w:pPr>
        <w:pStyle w:val="Ruller41"/>
        <w:rPr>
          <w:rtl/>
        </w:rPr>
      </w:pPr>
    </w:p>
    <w:p w:rsidR="00C044AE" w:rsidRPr="00BC2969" w:rsidRDefault="00C044AE" w:rsidP="00C044AE">
      <w:pPr>
        <w:pStyle w:val="Ruller4"/>
      </w:pPr>
      <w:r>
        <w:rPr>
          <w:rFonts w:hint="cs"/>
          <w:rtl/>
        </w:rPr>
        <w:t xml:space="preserve">מאפיין נוסף שמייחד את המפעל החוקתי הישראלי בהשוואה לחוקות אחרות בעולם, הוא העובדה שבישראל אין הבדל של ממש בין הליך החקיקה של חוקי היסוד ובין הליך חקיקתם של חוקים "רגילים". הליך החקיקה של חוקי היסוד מוסדר בתקנון הכנסת וניתן לכונן חוקי יסוד חדשים ברוב פשוט מבין הנוכחים במליאה (ראו: </w:t>
      </w:r>
      <w:r w:rsidRPr="00BC2969">
        <w:rPr>
          <w:rFonts w:hint="cs"/>
          <w:rtl/>
        </w:rPr>
        <w:t xml:space="preserve">עניין </w:t>
      </w:r>
      <w:r w:rsidRPr="00BC2969">
        <w:rPr>
          <w:rFonts w:ascii="Century" w:hAnsi="Century" w:cs="Miriam" w:hint="cs"/>
          <w:b/>
          <w:spacing w:val="0"/>
          <w:sz w:val="22"/>
          <w:szCs w:val="24"/>
          <w:rtl/>
        </w:rPr>
        <w:t>בר-און</w:t>
      </w:r>
      <w:r w:rsidRPr="00BC2969">
        <w:rPr>
          <w:rFonts w:hint="cs"/>
          <w:rtl/>
        </w:rPr>
        <w:t>, בעמ' 298)</w:t>
      </w:r>
      <w:r>
        <w:rPr>
          <w:rFonts w:hint="cs"/>
          <w:rtl/>
        </w:rPr>
        <w:t xml:space="preserve">. הוא הדין באשר לתיקון חוק יסוד קיים. זאת, למעט חוקי יסוד משוריינים דוגמת חוק-יסוד: הממשלה, שאותם ניתן לתקן ברוב של 61 חברי כנסת בכל הקריאות, אך במצב הדברים הרגיל זהו רוב שממנו נהנית כל קואליציה. כמו כן, קיימות הוראות </w:t>
      </w:r>
      <w:r w:rsidRPr="00964DC7">
        <w:rPr>
          <w:rFonts w:ascii="Century" w:hAnsi="Century" w:cs="Miriam" w:hint="cs"/>
          <w:b/>
          <w:spacing w:val="0"/>
          <w:sz w:val="22"/>
          <w:szCs w:val="24"/>
          <w:rtl/>
        </w:rPr>
        <w:t>בודדות</w:t>
      </w:r>
      <w:r w:rsidRPr="00964DC7">
        <w:rPr>
          <w:rFonts w:hint="cs"/>
          <w:rtl/>
        </w:rPr>
        <w:t xml:space="preserve"> </w:t>
      </w:r>
      <w:r>
        <w:rPr>
          <w:rFonts w:hint="cs"/>
          <w:rtl/>
        </w:rPr>
        <w:t xml:space="preserve">שלשם תיקונן נדרש רוב של 80 חברי כנסת (סעיפים 9א(א), 44 ו-45 לחוק-יסוד: הכנסת, הנוגעים לדחיית הבחירות וגריעה של תקנות שעת חירום מהוראות חוק היסוד; וסעיפים 7-6 לחוק-יסוד: ירושלים בירת </w:t>
      </w:r>
      <w:r w:rsidRPr="00BC2969">
        <w:rPr>
          <w:rFonts w:hint="cs"/>
          <w:rtl/>
        </w:rPr>
        <w:t xml:space="preserve">ישראל </w:t>
      </w:r>
      <w:r>
        <w:rPr>
          <w:rFonts w:hint="cs"/>
          <w:rtl/>
        </w:rPr>
        <w:t>הנוגעים ל</w:t>
      </w:r>
      <w:r w:rsidRPr="00BC2969">
        <w:rPr>
          <w:rFonts w:hint="cs"/>
          <w:rtl/>
        </w:rPr>
        <w:t xml:space="preserve">העברת שטח מהעיר לגורם זר). </w:t>
      </w:r>
    </w:p>
    <w:p w:rsidR="00C044AE" w:rsidRPr="00BC2969" w:rsidRDefault="00C044AE" w:rsidP="00C044AE">
      <w:pPr>
        <w:pStyle w:val="Ruller4"/>
        <w:numPr>
          <w:ilvl w:val="0"/>
          <w:numId w:val="0"/>
        </w:numPr>
        <w:rPr>
          <w:rtl/>
        </w:rPr>
      </w:pPr>
    </w:p>
    <w:p w:rsidR="00C044AE" w:rsidRDefault="00C044AE" w:rsidP="00C044AE">
      <w:pPr>
        <w:pStyle w:val="Ruller4"/>
        <w:numPr>
          <w:ilvl w:val="0"/>
          <w:numId w:val="0"/>
        </w:numPr>
        <w:rPr>
          <w:rtl/>
        </w:rPr>
      </w:pPr>
      <w:r w:rsidRPr="00BC2969">
        <w:rPr>
          <w:rtl/>
        </w:rPr>
        <w:tab/>
      </w:r>
      <w:r w:rsidRPr="00BC2969">
        <w:rPr>
          <w:rFonts w:hint="cs"/>
          <w:rtl/>
        </w:rPr>
        <w:t>על רקע זה</w:t>
      </w:r>
      <w:r>
        <w:rPr>
          <w:rFonts w:hint="cs"/>
          <w:rtl/>
        </w:rPr>
        <w:t>, הודגשה לא פעם</w:t>
      </w:r>
      <w:r w:rsidRPr="00BC2969">
        <w:rPr>
          <w:rFonts w:hint="cs"/>
          <w:rtl/>
        </w:rPr>
        <w:t xml:space="preserve"> </w:t>
      </w:r>
      <w:r>
        <w:rPr>
          <w:rFonts w:hint="cs"/>
          <w:rtl/>
        </w:rPr>
        <w:t>"ה</w:t>
      </w:r>
      <w:r w:rsidRPr="00BC2969">
        <w:rPr>
          <w:rFonts w:hint="cs"/>
          <w:rtl/>
        </w:rPr>
        <w:t>קלות הבלתי נסבלת של חקיקת חוקי</w:t>
      </w:r>
      <w:r>
        <w:rPr>
          <w:rFonts w:hint="cs"/>
          <w:rtl/>
        </w:rPr>
        <w:t>-ה</w:t>
      </w:r>
      <w:r w:rsidRPr="00BC2969">
        <w:rPr>
          <w:rFonts w:hint="cs"/>
          <w:rtl/>
        </w:rPr>
        <w:t>יסוד ותיקונם" (</w:t>
      </w:r>
      <w:r w:rsidRPr="00BC2969">
        <w:rPr>
          <w:rFonts w:hint="eastAsia"/>
          <w:rtl/>
        </w:rPr>
        <w:t>אריאל</w:t>
      </w:r>
      <w:r w:rsidRPr="00BC2969">
        <w:rPr>
          <w:rtl/>
        </w:rPr>
        <w:t xml:space="preserve"> </w:t>
      </w:r>
      <w:r w:rsidRPr="00BC2969">
        <w:rPr>
          <w:rFonts w:hint="eastAsia"/>
          <w:rtl/>
        </w:rPr>
        <w:t>בנדור</w:t>
      </w:r>
      <w:r w:rsidRPr="00BC2969">
        <w:rPr>
          <w:rtl/>
        </w:rPr>
        <w:t xml:space="preserve"> "</w:t>
      </w:r>
      <w:r w:rsidRPr="00BC2969">
        <w:rPr>
          <w:rFonts w:hint="eastAsia"/>
          <w:rtl/>
        </w:rPr>
        <w:t>פגמים</w:t>
      </w:r>
      <w:r w:rsidRPr="00BC2969">
        <w:rPr>
          <w:rtl/>
        </w:rPr>
        <w:t xml:space="preserve"> </w:t>
      </w:r>
      <w:r w:rsidRPr="00BC2969">
        <w:rPr>
          <w:rFonts w:hint="eastAsia"/>
          <w:rtl/>
        </w:rPr>
        <w:t>בחקיקת</w:t>
      </w:r>
      <w:r w:rsidRPr="00BC2969">
        <w:rPr>
          <w:rtl/>
        </w:rPr>
        <w:t xml:space="preserve"> </w:t>
      </w:r>
      <w:r w:rsidRPr="00BC2969">
        <w:rPr>
          <w:rFonts w:hint="eastAsia"/>
          <w:rtl/>
        </w:rPr>
        <w:t>חוקי</w:t>
      </w:r>
      <w:r w:rsidRPr="00BC2969">
        <w:rPr>
          <w:rtl/>
        </w:rPr>
        <w:t>-</w:t>
      </w:r>
      <w:r w:rsidRPr="00BC2969">
        <w:rPr>
          <w:rFonts w:hint="eastAsia"/>
          <w:rtl/>
        </w:rPr>
        <w:t>היסוד</w:t>
      </w:r>
      <w:r w:rsidRPr="00BC2969">
        <w:rPr>
          <w:rtl/>
        </w:rPr>
        <w:t xml:space="preserve">" </w:t>
      </w:r>
      <w:r w:rsidRPr="00BC2969">
        <w:rPr>
          <w:rFonts w:ascii="Century" w:hAnsi="Century" w:cs="Miriam" w:hint="eastAsia"/>
          <w:b/>
          <w:spacing w:val="0"/>
          <w:sz w:val="22"/>
          <w:szCs w:val="24"/>
          <w:rtl/>
        </w:rPr>
        <w:t>משפט</w:t>
      </w:r>
      <w:r w:rsidRPr="00BC2969">
        <w:rPr>
          <w:rFonts w:ascii="Century" w:hAnsi="Century" w:cs="Miriam"/>
          <w:b/>
          <w:spacing w:val="0"/>
          <w:sz w:val="22"/>
          <w:szCs w:val="24"/>
          <w:rtl/>
        </w:rPr>
        <w:t xml:space="preserve"> </w:t>
      </w:r>
      <w:r w:rsidRPr="00BC2969">
        <w:rPr>
          <w:rFonts w:ascii="Century" w:hAnsi="Century" w:cs="Miriam" w:hint="eastAsia"/>
          <w:b/>
          <w:spacing w:val="0"/>
          <w:sz w:val="22"/>
          <w:szCs w:val="24"/>
          <w:rtl/>
        </w:rPr>
        <w:t>וממשל</w:t>
      </w:r>
      <w:r w:rsidRPr="00BC2969">
        <w:rPr>
          <w:rtl/>
        </w:rPr>
        <w:t xml:space="preserve"> </w:t>
      </w:r>
      <w:r w:rsidRPr="00BC2969">
        <w:rPr>
          <w:rFonts w:hint="eastAsia"/>
          <w:rtl/>
        </w:rPr>
        <w:t>ב</w:t>
      </w:r>
      <w:r w:rsidRPr="00BC2969">
        <w:rPr>
          <w:rtl/>
        </w:rPr>
        <w:t xml:space="preserve"> 443, </w:t>
      </w:r>
      <w:r w:rsidRPr="00BC2969">
        <w:rPr>
          <w:rFonts w:hint="cs"/>
          <w:rtl/>
        </w:rPr>
        <w:t>444</w:t>
      </w:r>
      <w:r w:rsidRPr="00BC2969">
        <w:rPr>
          <w:rtl/>
        </w:rPr>
        <w:t xml:space="preserve"> (</w:t>
      </w:r>
      <w:r w:rsidRPr="00BC2969">
        <w:rPr>
          <w:rFonts w:hint="eastAsia"/>
          <w:rtl/>
        </w:rPr>
        <w:t>התשנ</w:t>
      </w:r>
      <w:r w:rsidRPr="00BC2969">
        <w:rPr>
          <w:rtl/>
        </w:rPr>
        <w:t>"</w:t>
      </w:r>
      <w:r w:rsidRPr="00BC2969">
        <w:rPr>
          <w:rFonts w:hint="eastAsia"/>
          <w:rtl/>
        </w:rPr>
        <w:t>ה</w:t>
      </w:r>
      <w:r w:rsidRPr="00BC2969">
        <w:rPr>
          <w:rtl/>
        </w:rPr>
        <w:t>)</w:t>
      </w:r>
      <w:r w:rsidRPr="00BC2969">
        <w:rPr>
          <w:rFonts w:hint="cs"/>
          <w:rtl/>
        </w:rPr>
        <w:t xml:space="preserve">; ראו גם: עניין </w:t>
      </w:r>
      <w:r w:rsidRPr="00BC2969">
        <w:rPr>
          <w:rFonts w:ascii="Century" w:hAnsi="Century" w:cs="Miriam" w:hint="cs"/>
          <w:b/>
          <w:spacing w:val="0"/>
          <w:sz w:val="22"/>
          <w:szCs w:val="24"/>
          <w:rtl/>
        </w:rPr>
        <w:t>בנק המזרחי</w:t>
      </w:r>
      <w:r w:rsidRPr="00BC2969">
        <w:rPr>
          <w:rFonts w:hint="cs"/>
          <w:rtl/>
        </w:rPr>
        <w:t>, בעמ' 302</w:t>
      </w:r>
      <w:r>
        <w:rPr>
          <w:rFonts w:hint="cs"/>
          <w:rtl/>
        </w:rPr>
        <w:t xml:space="preserve">; עניין </w:t>
      </w:r>
      <w:r w:rsidRPr="00564498">
        <w:rPr>
          <w:rFonts w:ascii="Century" w:hAnsi="Century" w:cs="Miriam" w:hint="cs"/>
          <w:b/>
          <w:spacing w:val="0"/>
          <w:sz w:val="22"/>
          <w:szCs w:val="24"/>
          <w:rtl/>
        </w:rPr>
        <w:t>חסון</w:t>
      </w:r>
      <w:r>
        <w:rPr>
          <w:rFonts w:hint="cs"/>
          <w:rtl/>
        </w:rPr>
        <w:t xml:space="preserve">, בפסקה 5 לחוות דעתו של השופט (בדימ') </w:t>
      </w:r>
      <w:r w:rsidRPr="00E879D3">
        <w:rPr>
          <w:rFonts w:ascii="Century" w:hAnsi="Century" w:cs="Miriam" w:hint="cs"/>
          <w:b/>
          <w:spacing w:val="0"/>
          <w:sz w:val="22"/>
          <w:szCs w:val="24"/>
          <w:rtl/>
        </w:rPr>
        <w:t>מזוז</w:t>
      </w:r>
      <w:r w:rsidRPr="00BC2969">
        <w:rPr>
          <w:rFonts w:hint="cs"/>
          <w:rtl/>
        </w:rPr>
        <w:t>).</w:t>
      </w:r>
      <w:r>
        <w:rPr>
          <w:rFonts w:hint="cs"/>
          <w:rtl/>
        </w:rPr>
        <w:t xml:space="preserve"> בית משפט זה שב וקרא לכינון חוק-יסוד: החקיקה, שיעגן הליך חקיקה נוקשה וייחודי המבדיל כינון חוקי יסוד ותיקונם ממתווה החקיקה של חוקים "רגילים", אך למרבה הצער, כינונו של חוק יסוד זה מתמהמה (עניין </w:t>
      </w:r>
      <w:r w:rsidRPr="00DF2296">
        <w:rPr>
          <w:rFonts w:ascii="Century" w:hAnsi="Century" w:cs="Miriam" w:hint="cs"/>
          <w:b/>
          <w:spacing w:val="0"/>
          <w:sz w:val="22"/>
          <w:szCs w:val="24"/>
          <w:rtl/>
        </w:rPr>
        <w:t>חסון</w:t>
      </w:r>
      <w:r>
        <w:rPr>
          <w:rFonts w:hint="cs"/>
          <w:rtl/>
        </w:rPr>
        <w:t xml:space="preserve">, בפסקה 91 לחוות דעתי; ראו גם: עניין </w:t>
      </w:r>
      <w:r w:rsidRPr="00BC2969">
        <w:rPr>
          <w:rFonts w:ascii="Century" w:hAnsi="Century" w:cs="Miriam" w:hint="cs"/>
          <w:b/>
          <w:spacing w:val="0"/>
          <w:sz w:val="22"/>
          <w:szCs w:val="24"/>
          <w:rtl/>
        </w:rPr>
        <w:t>בר-און</w:t>
      </w:r>
      <w:r>
        <w:rPr>
          <w:rFonts w:hint="cs"/>
          <w:rtl/>
        </w:rPr>
        <w:t xml:space="preserve">, בעמ' 313; עניין </w:t>
      </w:r>
      <w:r w:rsidRPr="00BC2969">
        <w:rPr>
          <w:rFonts w:ascii="Century" w:hAnsi="Century" w:cs="Miriam" w:hint="cs"/>
          <w:b/>
          <w:spacing w:val="0"/>
          <w:sz w:val="22"/>
          <w:szCs w:val="24"/>
          <w:rtl/>
        </w:rPr>
        <w:t>שפיר</w:t>
      </w:r>
      <w:r>
        <w:rPr>
          <w:rFonts w:hint="cs"/>
          <w:rtl/>
        </w:rPr>
        <w:t xml:space="preserve">, בפסקה 3 לחוות דעתו של השופט </w:t>
      </w:r>
      <w:r w:rsidRPr="00BC2969">
        <w:rPr>
          <w:rFonts w:ascii="Century" w:hAnsi="Century" w:cs="Miriam" w:hint="cs"/>
          <w:b/>
          <w:spacing w:val="0"/>
          <w:sz w:val="22"/>
          <w:szCs w:val="24"/>
          <w:rtl/>
        </w:rPr>
        <w:t>עמית</w:t>
      </w:r>
      <w:r>
        <w:rPr>
          <w:rFonts w:hint="cs"/>
          <w:rtl/>
        </w:rPr>
        <w:t>).</w:t>
      </w:r>
    </w:p>
    <w:p w:rsidR="00C044AE" w:rsidRDefault="00C044AE" w:rsidP="00C044AE">
      <w:pPr>
        <w:pStyle w:val="Ruller41"/>
        <w:rPr>
          <w:rtl/>
        </w:rPr>
      </w:pPr>
    </w:p>
    <w:p w:rsidR="00C044AE" w:rsidRDefault="00C044AE" w:rsidP="00C044AE">
      <w:pPr>
        <w:pStyle w:val="Ruller4"/>
        <w:rPr>
          <w:rtl/>
        </w:rPr>
      </w:pPr>
      <w:r>
        <w:rPr>
          <w:rFonts w:hint="cs"/>
          <w:rtl/>
        </w:rPr>
        <w:t>ההליך הפשוט שבו ניתן לאמץ נורמות חוקתיות בישראל בולט בחריגותו לעומת מדינות אחרות. בסקירה משפטית משווה שנערכה לאחרונה לבקשת הייעוץ המשפטי לוועדת החוקה, נבחנו הסדרים לתיקון חוקות ב-22 דמוקרטיות מערביות (גבריאל בוקובזה</w:t>
      </w:r>
      <w:r w:rsidRPr="00373A0B">
        <w:rPr>
          <w:rtl/>
        </w:rPr>
        <w:t xml:space="preserve"> </w:t>
      </w:r>
      <w:r w:rsidRPr="00373A0B">
        <w:rPr>
          <w:rFonts w:ascii="Century" w:hAnsi="Century" w:cs="Miriam" w:hint="cs"/>
          <w:b/>
          <w:spacing w:val="0"/>
          <w:sz w:val="22"/>
          <w:szCs w:val="24"/>
          <w:rtl/>
        </w:rPr>
        <w:t>הסדרים לתיקון חוקות</w:t>
      </w:r>
      <w:r w:rsidRPr="00373A0B">
        <w:rPr>
          <w:rtl/>
        </w:rPr>
        <w:t xml:space="preserve"> (</w:t>
      </w:r>
      <w:r w:rsidRPr="00373A0B">
        <w:rPr>
          <w:rFonts w:hint="eastAsia"/>
          <w:rtl/>
        </w:rPr>
        <w:t>הכנסת</w:t>
      </w:r>
      <w:r w:rsidRPr="00373A0B">
        <w:rPr>
          <w:rtl/>
        </w:rPr>
        <w:t xml:space="preserve">, </w:t>
      </w:r>
      <w:r>
        <w:rPr>
          <w:rFonts w:hint="cs"/>
          <w:rtl/>
        </w:rPr>
        <w:t>מרכז מחקר ומידע, 2023</w:t>
      </w:r>
      <w:r w:rsidRPr="00373A0B">
        <w:rPr>
          <w:rtl/>
        </w:rPr>
        <w:t>)</w:t>
      </w:r>
      <w:r>
        <w:rPr>
          <w:rFonts w:hint="cs"/>
          <w:rtl/>
        </w:rPr>
        <w:t xml:space="preserve">). בכלל המדינות שנסקרו קיימת פרוצדורה ייחודית ומכבידה לתיקון החוקה, הכוללת לפחות אחד מן המנגנונים הבאים (ולרוב יותר): אישור התיקון בשני בתי הפרלמנט; אישור התיקון ברוב מיוחד (למשל, רוב של שלוש חמישיות או שני שלישים); אישור התיקון הן על ידי בתי המחוקקים הפדראליים והן על ידי מדינות הפדרציה; אישור התיקון רק לאחר קיום </w:t>
      </w:r>
      <w:r>
        <w:rPr>
          <w:rFonts w:hint="cs"/>
          <w:rtl/>
        </w:rPr>
        <w:lastRenderedPageBreak/>
        <w:t>בחירות לפרלמנט; ואישור התיקון במשאל עם. לא למותר לציין כי גם הליך יצירת חוקה חדשה הוא ככלל "מכביד יותר מהליך החקיקה הרגיל ונפרד ממנו" (</w:t>
      </w:r>
      <w:r w:rsidRPr="00AC7453">
        <w:rPr>
          <w:rFonts w:ascii="Century" w:hAnsi="Century" w:cs="Miriam" w:hint="cs"/>
          <w:b/>
          <w:spacing w:val="0"/>
          <w:sz w:val="22"/>
          <w:szCs w:val="24"/>
          <w:rtl/>
        </w:rPr>
        <w:t>פורת "פוליטיקה חוקתית"</w:t>
      </w:r>
      <w:r>
        <w:rPr>
          <w:rFonts w:hint="cs"/>
          <w:rtl/>
        </w:rPr>
        <w:t>, בעמ' 227). יוצא, אפוא, כי "</w:t>
      </w:r>
      <w:r w:rsidRPr="00177088">
        <w:rPr>
          <w:rFonts w:ascii="Century" w:hAnsi="Century" w:cs="Miriam" w:hint="eastAsia"/>
          <w:b/>
          <w:spacing w:val="0"/>
          <w:sz w:val="22"/>
          <w:szCs w:val="24"/>
          <w:rtl/>
        </w:rPr>
        <w:t>במדינות</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רבות</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נהוגות</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פרוצדורות</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שונות</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לתיקון</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החוקה</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ואולם</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אין</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מדינה</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שמתקיים</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בה</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מודל</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דומה</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לישראל</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שבו</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תיקון</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חוקתי</w:t>
      </w:r>
      <w:r w:rsidRPr="00177088">
        <w:rPr>
          <w:rFonts w:ascii="Century" w:hAnsi="Century" w:cs="Miriam"/>
          <w:b/>
          <w:spacing w:val="0"/>
          <w:sz w:val="22"/>
          <w:szCs w:val="24"/>
          <w:rtl/>
        </w:rPr>
        <w:t xml:space="preserve"> — </w:t>
      </w:r>
      <w:r w:rsidRPr="00177088">
        <w:rPr>
          <w:rFonts w:ascii="Century" w:hAnsi="Century" w:cs="Miriam" w:hint="eastAsia"/>
          <w:b/>
          <w:spacing w:val="0"/>
          <w:sz w:val="22"/>
          <w:szCs w:val="24"/>
          <w:rtl/>
        </w:rPr>
        <w:t>כלומר</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חקיקתו</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של</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חוק</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יסוד</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חדש</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או</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תיקונו</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של</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חוק</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יסוד</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קיים</w:t>
      </w:r>
      <w:r w:rsidRPr="00177088">
        <w:rPr>
          <w:rFonts w:ascii="Century" w:hAnsi="Century" w:cs="Miriam"/>
          <w:b/>
          <w:spacing w:val="0"/>
          <w:sz w:val="22"/>
          <w:szCs w:val="24"/>
          <w:rtl/>
        </w:rPr>
        <w:t xml:space="preserve"> — </w:t>
      </w:r>
      <w:r w:rsidRPr="00177088">
        <w:rPr>
          <w:rFonts w:ascii="Century" w:hAnsi="Century" w:cs="Miriam" w:hint="eastAsia"/>
          <w:b/>
          <w:spacing w:val="0"/>
          <w:sz w:val="22"/>
          <w:szCs w:val="24"/>
          <w:rtl/>
        </w:rPr>
        <w:t>יכול</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לעבור</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בהליך</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חקיקה</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רגיל</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ברוב</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רגיל</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בבית</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מחוקקים</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אחד</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ויחיד</w:t>
      </w:r>
      <w:r>
        <w:rPr>
          <w:rFonts w:hint="cs"/>
          <w:rtl/>
        </w:rPr>
        <w:t>" (</w:t>
      </w:r>
      <w:r w:rsidRPr="00C265DD">
        <w:rPr>
          <w:rFonts w:hint="eastAsia"/>
          <w:rtl/>
        </w:rPr>
        <w:t>עמיר</w:t>
      </w:r>
      <w:r w:rsidRPr="00C265DD">
        <w:rPr>
          <w:rtl/>
        </w:rPr>
        <w:t xml:space="preserve"> </w:t>
      </w:r>
      <w:r w:rsidRPr="00C265DD">
        <w:rPr>
          <w:rFonts w:hint="eastAsia"/>
          <w:rtl/>
        </w:rPr>
        <w:t>פוקס</w:t>
      </w:r>
      <w:r w:rsidRPr="00C265DD">
        <w:rPr>
          <w:rtl/>
        </w:rPr>
        <w:t xml:space="preserve"> </w:t>
      </w:r>
      <w:r w:rsidRPr="00C265DD">
        <w:rPr>
          <w:rFonts w:hint="eastAsia"/>
          <w:rtl/>
        </w:rPr>
        <w:t>ומרדכי</w:t>
      </w:r>
      <w:r w:rsidRPr="00C265DD">
        <w:rPr>
          <w:rtl/>
        </w:rPr>
        <w:t xml:space="preserve"> </w:t>
      </w:r>
      <w:r w:rsidRPr="00C265DD">
        <w:rPr>
          <w:rFonts w:hint="eastAsia"/>
          <w:rtl/>
        </w:rPr>
        <w:t>קרמניצר</w:t>
      </w:r>
      <w:r w:rsidRPr="00C265DD">
        <w:rPr>
          <w:rtl/>
        </w:rPr>
        <w:t xml:space="preserve"> </w:t>
      </w:r>
      <w:r w:rsidRPr="00C265DD">
        <w:rPr>
          <w:rFonts w:ascii="Century" w:hAnsi="Century" w:cs="Miriam" w:hint="eastAsia"/>
          <w:b/>
          <w:spacing w:val="0"/>
          <w:sz w:val="22"/>
          <w:szCs w:val="24"/>
          <w:rtl/>
        </w:rPr>
        <w:t>ביזור</w:t>
      </w:r>
      <w:r w:rsidRPr="00C265DD">
        <w:rPr>
          <w:rFonts w:ascii="Century" w:hAnsi="Century" w:cs="Miriam"/>
          <w:b/>
          <w:spacing w:val="0"/>
          <w:sz w:val="22"/>
          <w:szCs w:val="24"/>
          <w:rtl/>
        </w:rPr>
        <w:t xml:space="preserve"> </w:t>
      </w:r>
      <w:r w:rsidRPr="00C265DD">
        <w:rPr>
          <w:rFonts w:ascii="Century" w:hAnsi="Century" w:cs="Miriam" w:hint="eastAsia"/>
          <w:b/>
          <w:spacing w:val="0"/>
          <w:sz w:val="22"/>
          <w:szCs w:val="24"/>
          <w:rtl/>
        </w:rPr>
        <w:t>סמכויות</w:t>
      </w:r>
      <w:r w:rsidRPr="00C265DD">
        <w:rPr>
          <w:rFonts w:ascii="Century" w:hAnsi="Century" w:cs="Miriam"/>
          <w:b/>
          <w:spacing w:val="0"/>
          <w:sz w:val="22"/>
          <w:szCs w:val="24"/>
          <w:rtl/>
        </w:rPr>
        <w:t xml:space="preserve"> </w:t>
      </w:r>
      <w:r w:rsidRPr="00C265DD">
        <w:rPr>
          <w:rFonts w:ascii="Century" w:hAnsi="Century" w:cs="Miriam" w:hint="eastAsia"/>
          <w:b/>
          <w:spacing w:val="0"/>
          <w:sz w:val="22"/>
          <w:szCs w:val="24"/>
          <w:rtl/>
        </w:rPr>
        <w:t>ולא</w:t>
      </w:r>
      <w:r w:rsidRPr="00C265DD">
        <w:rPr>
          <w:rFonts w:ascii="Century" w:hAnsi="Century" w:cs="Miriam"/>
          <w:b/>
          <w:spacing w:val="0"/>
          <w:sz w:val="22"/>
          <w:szCs w:val="24"/>
          <w:rtl/>
        </w:rPr>
        <w:t xml:space="preserve"> </w:t>
      </w:r>
      <w:r w:rsidRPr="00C265DD">
        <w:rPr>
          <w:rFonts w:ascii="Century" w:hAnsi="Century" w:cs="Miriam" w:hint="eastAsia"/>
          <w:b/>
          <w:spacing w:val="0"/>
          <w:sz w:val="22"/>
          <w:szCs w:val="24"/>
          <w:rtl/>
        </w:rPr>
        <w:t>הפרדת</w:t>
      </w:r>
      <w:r w:rsidRPr="00C265DD">
        <w:rPr>
          <w:rFonts w:ascii="Century" w:hAnsi="Century" w:cs="Miriam"/>
          <w:b/>
          <w:spacing w:val="0"/>
          <w:sz w:val="22"/>
          <w:szCs w:val="24"/>
          <w:rtl/>
        </w:rPr>
        <w:t xml:space="preserve"> </w:t>
      </w:r>
      <w:r w:rsidRPr="00C265DD">
        <w:rPr>
          <w:rFonts w:ascii="Century" w:hAnsi="Century" w:cs="Miriam" w:hint="eastAsia"/>
          <w:b/>
          <w:spacing w:val="0"/>
          <w:sz w:val="22"/>
          <w:szCs w:val="24"/>
          <w:rtl/>
        </w:rPr>
        <w:t>רשויות</w:t>
      </w:r>
      <w:r w:rsidRPr="00C265DD">
        <w:rPr>
          <w:rFonts w:ascii="Century" w:hAnsi="Century" w:cs="Miriam"/>
          <w:b/>
          <w:spacing w:val="0"/>
          <w:sz w:val="22"/>
          <w:szCs w:val="24"/>
          <w:rtl/>
        </w:rPr>
        <w:t xml:space="preserve">: </w:t>
      </w:r>
      <w:r w:rsidRPr="00C265DD">
        <w:rPr>
          <w:rFonts w:ascii="Century" w:hAnsi="Century" w:cs="Miriam" w:hint="eastAsia"/>
          <w:b/>
          <w:spacing w:val="0"/>
          <w:sz w:val="22"/>
          <w:szCs w:val="24"/>
          <w:rtl/>
        </w:rPr>
        <w:t>על</w:t>
      </w:r>
      <w:r w:rsidRPr="00C265DD">
        <w:rPr>
          <w:rFonts w:ascii="Century" w:hAnsi="Century" w:cs="Miriam"/>
          <w:b/>
          <w:spacing w:val="0"/>
          <w:sz w:val="22"/>
          <w:szCs w:val="24"/>
          <w:rtl/>
        </w:rPr>
        <w:t xml:space="preserve"> </w:t>
      </w:r>
      <w:r w:rsidRPr="00C265DD">
        <w:rPr>
          <w:rFonts w:ascii="Century" w:hAnsi="Century" w:cs="Miriam" w:hint="eastAsia"/>
          <w:b/>
          <w:spacing w:val="0"/>
          <w:sz w:val="22"/>
          <w:szCs w:val="24"/>
          <w:rtl/>
        </w:rPr>
        <w:t>מניעת</w:t>
      </w:r>
      <w:r w:rsidRPr="00C265DD">
        <w:rPr>
          <w:rFonts w:ascii="Century" w:hAnsi="Century" w:cs="Miriam"/>
          <w:b/>
          <w:spacing w:val="0"/>
          <w:sz w:val="22"/>
          <w:szCs w:val="24"/>
          <w:rtl/>
        </w:rPr>
        <w:t xml:space="preserve"> </w:t>
      </w:r>
      <w:r w:rsidRPr="00C265DD">
        <w:rPr>
          <w:rFonts w:ascii="Century" w:hAnsi="Century" w:cs="Miriam" w:hint="eastAsia"/>
          <w:b/>
          <w:spacing w:val="0"/>
          <w:sz w:val="22"/>
          <w:szCs w:val="24"/>
          <w:rtl/>
        </w:rPr>
        <w:t>כוח</w:t>
      </w:r>
      <w:r w:rsidRPr="00C265DD">
        <w:rPr>
          <w:rFonts w:ascii="Century" w:hAnsi="Century" w:cs="Miriam"/>
          <w:b/>
          <w:spacing w:val="0"/>
          <w:sz w:val="22"/>
          <w:szCs w:val="24"/>
          <w:rtl/>
        </w:rPr>
        <w:t xml:space="preserve"> </w:t>
      </w:r>
      <w:r w:rsidRPr="00C265DD">
        <w:rPr>
          <w:rFonts w:ascii="Century" w:hAnsi="Century" w:cs="Miriam" w:hint="eastAsia"/>
          <w:b/>
          <w:spacing w:val="0"/>
          <w:sz w:val="22"/>
          <w:szCs w:val="24"/>
          <w:rtl/>
        </w:rPr>
        <w:t>מוחלט</w:t>
      </w:r>
      <w:r w:rsidRPr="00C265DD">
        <w:rPr>
          <w:rFonts w:ascii="Century" w:hAnsi="Century" w:cs="Miriam"/>
          <w:b/>
          <w:spacing w:val="0"/>
          <w:sz w:val="22"/>
          <w:szCs w:val="24"/>
          <w:rtl/>
        </w:rPr>
        <w:t xml:space="preserve"> </w:t>
      </w:r>
      <w:r w:rsidRPr="00C265DD">
        <w:rPr>
          <w:rFonts w:ascii="Century" w:hAnsi="Century" w:cs="Miriam" w:hint="eastAsia"/>
          <w:b/>
          <w:spacing w:val="0"/>
          <w:sz w:val="22"/>
          <w:szCs w:val="24"/>
          <w:rtl/>
        </w:rPr>
        <w:t>מרשויות</w:t>
      </w:r>
      <w:r w:rsidRPr="00C265DD">
        <w:rPr>
          <w:rFonts w:ascii="Century" w:hAnsi="Century" w:cs="Miriam"/>
          <w:b/>
          <w:spacing w:val="0"/>
          <w:sz w:val="22"/>
          <w:szCs w:val="24"/>
          <w:rtl/>
        </w:rPr>
        <w:t xml:space="preserve"> </w:t>
      </w:r>
      <w:r w:rsidRPr="00C265DD">
        <w:rPr>
          <w:rFonts w:ascii="Century" w:hAnsi="Century" w:cs="Miriam" w:hint="eastAsia"/>
          <w:b/>
          <w:spacing w:val="0"/>
          <w:sz w:val="22"/>
          <w:szCs w:val="24"/>
          <w:rtl/>
        </w:rPr>
        <w:t>השלטון</w:t>
      </w:r>
      <w:r w:rsidRPr="00C265DD">
        <w:rPr>
          <w:rtl/>
        </w:rPr>
        <w:t xml:space="preserve"> </w:t>
      </w:r>
      <w:r>
        <w:rPr>
          <w:rFonts w:hint="cs"/>
          <w:rtl/>
        </w:rPr>
        <w:t xml:space="preserve">65 </w:t>
      </w:r>
      <w:r w:rsidRPr="00C265DD">
        <w:rPr>
          <w:rtl/>
        </w:rPr>
        <w:t>(</w:t>
      </w:r>
      <w:r w:rsidRPr="00C265DD">
        <w:rPr>
          <w:rFonts w:hint="eastAsia"/>
          <w:rtl/>
        </w:rPr>
        <w:t>מחקר</w:t>
      </w:r>
      <w:r w:rsidRPr="00C265DD">
        <w:rPr>
          <w:rtl/>
        </w:rPr>
        <w:t xml:space="preserve"> </w:t>
      </w:r>
      <w:r w:rsidRPr="00C265DD">
        <w:rPr>
          <w:rFonts w:hint="eastAsia"/>
          <w:rtl/>
        </w:rPr>
        <w:t>מדיניות</w:t>
      </w:r>
      <w:r w:rsidRPr="00C265DD">
        <w:rPr>
          <w:rtl/>
        </w:rPr>
        <w:t xml:space="preserve"> 133, </w:t>
      </w:r>
      <w:r w:rsidRPr="00C265DD">
        <w:rPr>
          <w:rFonts w:hint="eastAsia"/>
          <w:rtl/>
        </w:rPr>
        <w:t>המכון</w:t>
      </w:r>
      <w:r w:rsidRPr="00C265DD">
        <w:rPr>
          <w:rtl/>
        </w:rPr>
        <w:t xml:space="preserve"> </w:t>
      </w:r>
      <w:r w:rsidRPr="00C265DD">
        <w:rPr>
          <w:rFonts w:hint="eastAsia"/>
          <w:rtl/>
        </w:rPr>
        <w:t>הישראלי</w:t>
      </w:r>
      <w:r w:rsidRPr="00C265DD">
        <w:rPr>
          <w:rtl/>
        </w:rPr>
        <w:t xml:space="preserve"> </w:t>
      </w:r>
      <w:r w:rsidRPr="00C265DD">
        <w:rPr>
          <w:rFonts w:hint="eastAsia"/>
          <w:rtl/>
        </w:rPr>
        <w:t>לדמוקרטיה</w:t>
      </w:r>
      <w:r w:rsidRPr="00C265DD">
        <w:rPr>
          <w:rtl/>
        </w:rPr>
        <w:t>, 2019)</w:t>
      </w:r>
      <w:r>
        <w:rPr>
          <w:rFonts w:hint="cs"/>
          <w:rtl/>
        </w:rPr>
        <w:t xml:space="preserve"> (להלן: </w:t>
      </w:r>
      <w:r w:rsidRPr="00FE1D97">
        <w:rPr>
          <w:rFonts w:ascii="Century" w:hAnsi="Century" w:cs="Miriam" w:hint="cs"/>
          <w:b/>
          <w:spacing w:val="0"/>
          <w:sz w:val="22"/>
          <w:szCs w:val="24"/>
          <w:rtl/>
        </w:rPr>
        <w:t>ביזור סמכויות</w:t>
      </w:r>
      <w:r>
        <w:rPr>
          <w:rFonts w:hint="cs"/>
          <w:rtl/>
        </w:rPr>
        <w:t xml:space="preserve">)). </w:t>
      </w:r>
    </w:p>
    <w:p w:rsidR="00C044AE" w:rsidRDefault="00C044AE" w:rsidP="00C044AE">
      <w:pPr>
        <w:pStyle w:val="Ruller41"/>
        <w:rPr>
          <w:rtl/>
        </w:rPr>
      </w:pPr>
    </w:p>
    <w:p w:rsidR="00C044AE" w:rsidRPr="00C265DD" w:rsidRDefault="00C044AE" w:rsidP="00C044AE">
      <w:pPr>
        <w:pStyle w:val="Ruller4"/>
        <w:rPr>
          <w:rtl/>
        </w:rPr>
      </w:pPr>
      <w:r>
        <w:rPr>
          <w:rFonts w:hint="cs"/>
          <w:rtl/>
        </w:rPr>
        <w:t xml:space="preserve">בהקשר זה ראוי להדגיש כי ישנם טעמים נכבדים לקיים הבחנה בין הליך לחקיקת חוקים רגילים </w:t>
      </w:r>
      <w:r>
        <w:rPr>
          <w:rtl/>
        </w:rPr>
        <w:t>–</w:t>
      </w:r>
      <w:r>
        <w:rPr>
          <w:rFonts w:hint="cs"/>
          <w:rtl/>
        </w:rPr>
        <w:t xml:space="preserve"> שמטבע הדברים מעוצב בהתאם לכללי "הפוליטיקה היומיומית" ומתבטא בהכרעות ברוב רגיל </w:t>
      </w:r>
      <w:r>
        <w:rPr>
          <w:rtl/>
        </w:rPr>
        <w:t>–</w:t>
      </w:r>
      <w:r>
        <w:rPr>
          <w:rFonts w:hint="cs"/>
          <w:rtl/>
        </w:rPr>
        <w:t xml:space="preserve"> ובין "הפוליטיקה החוקתית" שלפיה נורמות חוקתיות מתקבלות בהליך דליברטיבי, ממושך וקונצנזואלי (</w:t>
      </w:r>
      <w:r w:rsidRPr="00C265DD">
        <w:rPr>
          <w:rFonts w:ascii="Century" w:hAnsi="Century" w:cs="Miriam" w:hint="cs"/>
          <w:b/>
          <w:spacing w:val="0"/>
          <w:sz w:val="22"/>
          <w:szCs w:val="24"/>
          <w:rtl/>
        </w:rPr>
        <w:t>פורת "פוליטיקה חוקתית"</w:t>
      </w:r>
      <w:r>
        <w:rPr>
          <w:rFonts w:hint="cs"/>
          <w:rtl/>
        </w:rPr>
        <w:t xml:space="preserve">, בעמ' 218; </w:t>
      </w:r>
      <w:r w:rsidRPr="00742029">
        <w:rPr>
          <w:rFonts w:hint="eastAsia"/>
          <w:rtl/>
        </w:rPr>
        <w:t>יואב</w:t>
      </w:r>
      <w:r w:rsidRPr="00742029">
        <w:rPr>
          <w:rtl/>
        </w:rPr>
        <w:t xml:space="preserve"> </w:t>
      </w:r>
      <w:r w:rsidRPr="00742029">
        <w:rPr>
          <w:rFonts w:hint="eastAsia"/>
          <w:rtl/>
        </w:rPr>
        <w:t>דותן</w:t>
      </w:r>
      <w:r w:rsidRPr="00742029">
        <w:rPr>
          <w:rtl/>
        </w:rPr>
        <w:t xml:space="preserve"> "</w:t>
      </w:r>
      <w:r w:rsidRPr="00742029">
        <w:rPr>
          <w:rFonts w:hint="eastAsia"/>
          <w:rtl/>
        </w:rPr>
        <w:t>חוקה</w:t>
      </w:r>
      <w:r w:rsidRPr="00742029">
        <w:rPr>
          <w:rtl/>
        </w:rPr>
        <w:t xml:space="preserve"> </w:t>
      </w:r>
      <w:r w:rsidRPr="00742029">
        <w:rPr>
          <w:rFonts w:hint="eastAsia"/>
          <w:rtl/>
        </w:rPr>
        <w:t>למדינת</w:t>
      </w:r>
      <w:r w:rsidRPr="00742029">
        <w:rPr>
          <w:rtl/>
        </w:rPr>
        <w:t xml:space="preserve"> </w:t>
      </w:r>
      <w:r w:rsidRPr="00742029">
        <w:rPr>
          <w:rFonts w:hint="eastAsia"/>
          <w:rtl/>
        </w:rPr>
        <w:t>ישראל</w:t>
      </w:r>
      <w:r w:rsidRPr="00742029">
        <w:rPr>
          <w:rtl/>
        </w:rPr>
        <w:t xml:space="preserve">? </w:t>
      </w:r>
      <w:r>
        <w:rPr>
          <w:rtl/>
        </w:rPr>
        <w:t>–</w:t>
      </w:r>
      <w:r>
        <w:rPr>
          <w:rFonts w:hint="cs"/>
          <w:rtl/>
        </w:rPr>
        <w:t xml:space="preserve"> </w:t>
      </w:r>
      <w:r w:rsidRPr="00742029">
        <w:rPr>
          <w:rFonts w:hint="eastAsia"/>
          <w:rtl/>
        </w:rPr>
        <w:t>הדיאלוג</w:t>
      </w:r>
      <w:r w:rsidRPr="00742029">
        <w:rPr>
          <w:rtl/>
        </w:rPr>
        <w:t xml:space="preserve"> </w:t>
      </w:r>
      <w:r w:rsidRPr="00742029">
        <w:rPr>
          <w:rFonts w:hint="eastAsia"/>
          <w:rtl/>
        </w:rPr>
        <w:t>הקונסטיטוציוני</w:t>
      </w:r>
      <w:r w:rsidRPr="00742029">
        <w:rPr>
          <w:rtl/>
        </w:rPr>
        <w:t xml:space="preserve"> </w:t>
      </w:r>
      <w:r w:rsidRPr="00742029">
        <w:rPr>
          <w:rFonts w:hint="eastAsia"/>
          <w:rtl/>
        </w:rPr>
        <w:t>לאחר</w:t>
      </w:r>
      <w:r w:rsidRPr="00742029">
        <w:rPr>
          <w:rtl/>
        </w:rPr>
        <w:t xml:space="preserve"> </w:t>
      </w:r>
      <w:r>
        <w:rPr>
          <w:rFonts w:hint="cs"/>
          <w:rtl/>
        </w:rPr>
        <w:t>'</w:t>
      </w:r>
      <w:r w:rsidRPr="00742029">
        <w:rPr>
          <w:rFonts w:hint="eastAsia"/>
          <w:rtl/>
        </w:rPr>
        <w:t>המהפכה</w:t>
      </w:r>
      <w:r w:rsidRPr="00742029">
        <w:rPr>
          <w:rtl/>
        </w:rPr>
        <w:t xml:space="preserve"> </w:t>
      </w:r>
      <w:r w:rsidRPr="00742029">
        <w:rPr>
          <w:rFonts w:hint="eastAsia"/>
          <w:rtl/>
        </w:rPr>
        <w:t>החוקתית</w:t>
      </w:r>
      <w:r>
        <w:rPr>
          <w:rFonts w:hint="cs"/>
          <w:rtl/>
        </w:rPr>
        <w:t>'</w:t>
      </w:r>
      <w:r w:rsidRPr="00742029">
        <w:rPr>
          <w:rtl/>
        </w:rPr>
        <w:t xml:space="preserve">" </w:t>
      </w:r>
      <w:r w:rsidRPr="00080C47">
        <w:rPr>
          <w:rFonts w:ascii="Century" w:hAnsi="Century" w:cs="Miriam" w:hint="cs"/>
          <w:b/>
          <w:spacing w:val="0"/>
          <w:sz w:val="22"/>
          <w:szCs w:val="24"/>
          <w:rtl/>
        </w:rPr>
        <w:t>משפטים</w:t>
      </w:r>
      <w:r w:rsidRPr="00080C47">
        <w:rPr>
          <w:rFonts w:hint="cs"/>
          <w:rtl/>
        </w:rPr>
        <w:t xml:space="preserve"> </w:t>
      </w:r>
      <w:r>
        <w:rPr>
          <w:rFonts w:hint="cs"/>
          <w:rtl/>
        </w:rPr>
        <w:t xml:space="preserve">כח 149, 162 (התשנ"ז); </w:t>
      </w:r>
      <w:r w:rsidRPr="00FA3E69">
        <w:t xml:space="preserve">William Partlett &amp; Zim Nwokora, </w:t>
      </w:r>
      <w:r w:rsidRPr="00FA3E69">
        <w:rPr>
          <w:i/>
          <w:iCs/>
        </w:rPr>
        <w:t>The Foundations of Democratic Dualism: Why Constitutional Politics and Ordinary Politics Are Different</w:t>
      </w:r>
      <w:r w:rsidRPr="00FA3E69">
        <w:t xml:space="preserve">, 26 </w:t>
      </w:r>
      <w:r w:rsidRPr="00FA3E69">
        <w:rPr>
          <w:smallCaps/>
        </w:rPr>
        <w:t>Constellations</w:t>
      </w:r>
      <w:r w:rsidRPr="00FA3E69">
        <w:t xml:space="preserve"> 177</w:t>
      </w:r>
      <w:r>
        <w:t xml:space="preserve"> (2019)</w:t>
      </w:r>
      <w:r>
        <w:rPr>
          <w:rFonts w:hint="cs"/>
          <w:rtl/>
        </w:rPr>
        <w:t xml:space="preserve">). הליכים ייחודיים ונוקשים לכינון חוקה ושינויה מסייעים למנוע "מחטפים חוקתיים" על ידי רוב "צר"; מבטיחים את יציבותם של ההסדרים המהותיים ביותר בשיטה הפוליטית והמשפטית; מחייבים איזונים ופשרות בין קבוצות שונות במדינה; ומעניקים לטקסט החוקתי לגיטימציה רחבה (עניין </w:t>
      </w:r>
      <w:r w:rsidRPr="00AC7453">
        <w:rPr>
          <w:rFonts w:ascii="Century" w:hAnsi="Century" w:cs="Miriam" w:hint="cs"/>
          <w:b/>
          <w:spacing w:val="0"/>
          <w:sz w:val="22"/>
          <w:szCs w:val="24"/>
          <w:rtl/>
        </w:rPr>
        <w:t>חסון</w:t>
      </w:r>
      <w:r>
        <w:rPr>
          <w:rFonts w:hint="cs"/>
          <w:rtl/>
        </w:rPr>
        <w:t xml:space="preserve">, בפסקה 2 לחוות דעתו של השופט </w:t>
      </w:r>
      <w:r w:rsidRPr="00AC7453">
        <w:rPr>
          <w:rFonts w:ascii="Century" w:hAnsi="Century" w:cs="Miriam" w:hint="cs"/>
          <w:b/>
          <w:spacing w:val="0"/>
          <w:sz w:val="22"/>
          <w:szCs w:val="24"/>
          <w:rtl/>
        </w:rPr>
        <w:t>קרא</w:t>
      </w:r>
      <w:r>
        <w:rPr>
          <w:rFonts w:hint="cs"/>
          <w:rtl/>
        </w:rPr>
        <w:t xml:space="preserve">; </w:t>
      </w:r>
      <w:r w:rsidRPr="00C265DD">
        <w:rPr>
          <w:rFonts w:ascii="Century" w:hAnsi="Century" w:cs="Miriam" w:hint="cs"/>
          <w:b/>
          <w:spacing w:val="0"/>
          <w:sz w:val="22"/>
          <w:szCs w:val="24"/>
          <w:rtl/>
        </w:rPr>
        <w:t>פורת "פוליטיקה חוקתית"</w:t>
      </w:r>
      <w:r>
        <w:rPr>
          <w:rFonts w:hint="cs"/>
          <w:rtl/>
        </w:rPr>
        <w:t xml:space="preserve">, בעמ' 236-230). </w:t>
      </w:r>
    </w:p>
    <w:p w:rsidR="00C044AE" w:rsidRDefault="00C044AE" w:rsidP="00C044AE">
      <w:pPr>
        <w:pStyle w:val="Ruller41"/>
        <w:rPr>
          <w:rtl/>
        </w:rPr>
      </w:pPr>
    </w:p>
    <w:p w:rsidR="00C044AE" w:rsidRDefault="00C044AE" w:rsidP="00C044AE">
      <w:pPr>
        <w:pStyle w:val="Ruller4"/>
      </w:pPr>
      <w:r>
        <w:rPr>
          <w:rFonts w:hint="cs"/>
          <w:rtl/>
        </w:rPr>
        <w:t xml:space="preserve">מטבע הדברים, ככל שההליך הנדרש לתיקון החוקה הוא נוקשה ומכביד יותר, ההצדקה לקיום ביקורת שיפוטית מהותית על נורמות חוקתיות נחלשת. זאת, שכן השלמת הדרישות המורכבות לתיקון החוקה מהווה כשלעצמה "ערובה לקיומו של דיון משמעותי בתוכנו של התיקון ובהתאמתו לשיטה" (עניין </w:t>
      </w:r>
      <w:r w:rsidRPr="002D3565">
        <w:rPr>
          <w:rFonts w:ascii="Century" w:hAnsi="Century" w:cs="Miriam" w:hint="cs"/>
          <w:b/>
          <w:spacing w:val="0"/>
          <w:sz w:val="22"/>
          <w:szCs w:val="24"/>
          <w:rtl/>
        </w:rPr>
        <w:t>חסון</w:t>
      </w:r>
      <w:r>
        <w:rPr>
          <w:rFonts w:hint="cs"/>
          <w:rtl/>
        </w:rPr>
        <w:t xml:space="preserve">, בפסקה 12 לחוות דעתה של השופטת </w:t>
      </w:r>
      <w:r w:rsidRPr="002D3565">
        <w:rPr>
          <w:rFonts w:ascii="Century" w:hAnsi="Century" w:cs="Miriam" w:hint="cs"/>
          <w:b/>
          <w:spacing w:val="0"/>
          <w:sz w:val="22"/>
          <w:szCs w:val="24"/>
          <w:rtl/>
        </w:rPr>
        <w:t>ברק-ארז</w:t>
      </w:r>
      <w:r>
        <w:rPr>
          <w:rFonts w:hint="cs"/>
          <w:rtl/>
        </w:rPr>
        <w:t xml:space="preserve">). למשל, בארצות הברית </w:t>
      </w:r>
      <w:r>
        <w:rPr>
          <w:rtl/>
        </w:rPr>
        <w:t>–</w:t>
      </w:r>
      <w:r>
        <w:rPr>
          <w:rFonts w:hint="cs"/>
          <w:rtl/>
        </w:rPr>
        <w:t xml:space="preserve"> שבה בית המשפט העליון נמנע מלקיים ביקורת שיפוטית על תיקונים לחוקה (ראו: </w:t>
      </w:r>
      <w:r w:rsidRPr="008A70E1">
        <w:t>Coleman v. Miller, 307 U.S. 433</w:t>
      </w:r>
      <w:r w:rsidRPr="008A70E1">
        <w:rPr>
          <w:rtl/>
        </w:rPr>
        <w:t xml:space="preserve"> (1939)</w:t>
      </w:r>
      <w:r>
        <w:rPr>
          <w:rFonts w:hint="cs"/>
          <w:rtl/>
        </w:rPr>
        <w:t xml:space="preserve">) </w:t>
      </w:r>
      <w:r>
        <w:rPr>
          <w:rtl/>
        </w:rPr>
        <w:t>–</w:t>
      </w:r>
      <w:r>
        <w:rPr>
          <w:rFonts w:hint="cs"/>
          <w:rtl/>
        </w:rPr>
        <w:t xml:space="preserve"> הצעה לתיקון החוקה תתקבל בכפוף לאישורה ברוב של שני שליש בכל אחד מבתי הקונגרס ואישור של שלושה רבעים מהמדינות. מדובר בדרישות נוקשות ביותר, ולא בכדי התיקון האחרון לחוקה האמריקנית (התיקון ה-27) התקבל לפני למעלה מ-30 שנים. </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 xml:space="preserve">מנגד, השיטה הישראלית הינה מקרה קצה מובהק שבו ההליך הפשוט לאימוץ נורמות חוקתיות, מעניק לרוב פוליטי מזדמן את האפשרות לשנות מן היסוד, בקלות </w:t>
      </w:r>
      <w:r>
        <w:rPr>
          <w:rFonts w:hint="cs"/>
          <w:rtl/>
        </w:rPr>
        <w:lastRenderedPageBreak/>
        <w:t xml:space="preserve">ובתוך זמן קצר, את המבנה החוקתי ואת הזהות הלאומית של המדינה (ראו והשוו: עניין </w:t>
      </w:r>
      <w:r w:rsidRPr="00A01DB0">
        <w:rPr>
          <w:rFonts w:ascii="Century" w:hAnsi="Century" w:cs="Miriam" w:hint="cs"/>
          <w:b/>
          <w:spacing w:val="0"/>
          <w:sz w:val="22"/>
          <w:szCs w:val="24"/>
          <w:rtl/>
        </w:rPr>
        <w:t>בר-און</w:t>
      </w:r>
      <w:r>
        <w:rPr>
          <w:rFonts w:hint="cs"/>
          <w:rtl/>
        </w:rPr>
        <w:t xml:space="preserve">, בעמ' 313; עניין </w:t>
      </w:r>
      <w:r w:rsidRPr="00A01DB0">
        <w:rPr>
          <w:rFonts w:ascii="Century" w:hAnsi="Century" w:cs="Miriam" w:hint="cs"/>
          <w:b/>
          <w:spacing w:val="0"/>
          <w:sz w:val="22"/>
          <w:szCs w:val="24"/>
          <w:rtl/>
        </w:rPr>
        <w:t>ממשלת החילופים</w:t>
      </w:r>
      <w:r>
        <w:rPr>
          <w:rFonts w:hint="cs"/>
          <w:rtl/>
        </w:rPr>
        <w:t xml:space="preserve">, בפסקה 102 לחוות דעתו של המשנה לנשיאה (בדימ') </w:t>
      </w:r>
      <w:r w:rsidRPr="00A01DB0">
        <w:rPr>
          <w:rFonts w:ascii="Century" w:hAnsi="Century" w:cs="Miriam" w:hint="cs"/>
          <w:b/>
          <w:spacing w:val="0"/>
          <w:sz w:val="22"/>
          <w:szCs w:val="24"/>
          <w:rtl/>
        </w:rPr>
        <w:t>מלצר</w:t>
      </w:r>
      <w:r>
        <w:rPr>
          <w:rFonts w:hint="cs"/>
          <w:rtl/>
        </w:rPr>
        <w:t xml:space="preserve">, שנותר בדעת מיעוט לעניין התוצאה). על כן, יש הצדקה לקיים בישראל ביקורת שיפוטית מהותית על חוקי היסוד בהיעדר כל ערובות אחרות שמקנה הליך נוקשה דוגמת זה הקיים במדינות אחרות, לחקיקת נורמות חוקתיות. </w:t>
      </w:r>
    </w:p>
    <w:p w:rsidR="00C044AE" w:rsidRDefault="00C044AE" w:rsidP="00C044AE">
      <w:pPr>
        <w:pStyle w:val="Ruller41"/>
        <w:rPr>
          <w:rtl/>
        </w:rPr>
      </w:pPr>
    </w:p>
    <w:p w:rsidR="00C044AE" w:rsidRDefault="00C044AE" w:rsidP="00C044AE">
      <w:pPr>
        <w:pStyle w:val="Ruller4"/>
        <w:numPr>
          <w:ilvl w:val="0"/>
          <w:numId w:val="0"/>
        </w:numPr>
        <w:ind w:left="360"/>
        <w:rPr>
          <w:rFonts w:ascii="Century" w:hAnsi="Century"/>
          <w:b/>
          <w:bCs/>
          <w:sz w:val="22"/>
          <w:rtl/>
        </w:rPr>
      </w:pPr>
      <w:r w:rsidRPr="002D6817">
        <w:rPr>
          <w:rFonts w:ascii="Century" w:hAnsi="Century" w:hint="cs"/>
          <w:b/>
          <w:bCs/>
          <w:sz w:val="22"/>
          <w:rtl/>
        </w:rPr>
        <w:t>(</w:t>
      </w:r>
      <w:r>
        <w:rPr>
          <w:rFonts w:ascii="Century" w:hAnsi="Century" w:hint="cs"/>
          <w:b/>
          <w:bCs/>
          <w:sz w:val="22"/>
          <w:rtl/>
        </w:rPr>
        <w:t>3</w:t>
      </w:r>
      <w:r w:rsidRPr="002D6817">
        <w:rPr>
          <w:rFonts w:ascii="Century" w:hAnsi="Century" w:hint="cs"/>
          <w:b/>
          <w:bCs/>
          <w:sz w:val="22"/>
          <w:rtl/>
        </w:rPr>
        <w:t xml:space="preserve">) </w:t>
      </w:r>
      <w:r>
        <w:rPr>
          <w:rFonts w:ascii="Century" w:hAnsi="Century" w:hint="cs"/>
          <w:b/>
          <w:bCs/>
          <w:sz w:val="22"/>
          <w:rtl/>
        </w:rPr>
        <w:t>שליטת הרוב הפוליטי בהפעלת הסמכות המכוננת</w:t>
      </w:r>
    </w:p>
    <w:p w:rsidR="00C044AE" w:rsidRDefault="00C044AE" w:rsidP="00C044AE">
      <w:pPr>
        <w:pStyle w:val="Ruller41"/>
        <w:rPr>
          <w:rtl/>
        </w:rPr>
      </w:pPr>
    </w:p>
    <w:p w:rsidR="00C044AE" w:rsidRDefault="00C044AE" w:rsidP="00C044AE">
      <w:pPr>
        <w:pStyle w:val="Ruller4"/>
        <w:rPr>
          <w:rtl/>
        </w:rPr>
      </w:pPr>
      <w:r>
        <w:rPr>
          <w:rFonts w:hint="cs"/>
          <w:rtl/>
        </w:rPr>
        <w:t xml:space="preserve">כפי שצוין, ההיסטוריה החוקתית שלנו הובילה לכך שאותו גוף </w:t>
      </w:r>
      <w:r>
        <w:rPr>
          <w:rtl/>
        </w:rPr>
        <w:t>–</w:t>
      </w:r>
      <w:r>
        <w:rPr>
          <w:rFonts w:hint="cs"/>
          <w:rtl/>
        </w:rPr>
        <w:t xml:space="preserve"> כנסת ישראל </w:t>
      </w:r>
      <w:r>
        <w:rPr>
          <w:rtl/>
        </w:rPr>
        <w:t>–</w:t>
      </w:r>
      <w:r>
        <w:rPr>
          <w:rFonts w:hint="cs"/>
          <w:rtl/>
        </w:rPr>
        <w:t xml:space="preserve"> מחזיק באופן בלעדי הן בסמכות המחוקקת והן בסמכות המכוננת. במילים אחרות, אותם חברי כנסת שנבחרים בבחירות לפרלמנט בהתאם להשתייכותם המפלגתית, אמונים על חקיקת חוקים "רגילים" וחוקי יסוד כאחד. לצד זאת, המבנה המשטרי הישראלי מקנה לממשלה השפעה רבה על הליכי החקיקה, באמצעות מנגנונים כמו משמעת קואליציונית וועדת השרים לענייני חקיקה (</w:t>
      </w:r>
      <w:r w:rsidRPr="009C65FA">
        <w:rPr>
          <w:rFonts w:hint="eastAsia"/>
          <w:rtl/>
        </w:rPr>
        <w:t>מתן</w:t>
      </w:r>
      <w:r w:rsidRPr="009C65FA">
        <w:rPr>
          <w:rtl/>
        </w:rPr>
        <w:t xml:space="preserve"> </w:t>
      </w:r>
      <w:r w:rsidRPr="009C65FA">
        <w:rPr>
          <w:rFonts w:hint="eastAsia"/>
          <w:rtl/>
        </w:rPr>
        <w:t>גוטמן</w:t>
      </w:r>
      <w:r w:rsidRPr="009C65FA">
        <w:rPr>
          <w:rtl/>
        </w:rPr>
        <w:t xml:space="preserve"> "</w:t>
      </w:r>
      <w:r w:rsidRPr="009C65FA">
        <w:rPr>
          <w:rFonts w:hint="eastAsia"/>
          <w:rtl/>
        </w:rPr>
        <w:t>המדינה</w:t>
      </w:r>
      <w:r w:rsidRPr="009C65FA">
        <w:rPr>
          <w:rtl/>
        </w:rPr>
        <w:t xml:space="preserve"> </w:t>
      </w:r>
      <w:r w:rsidRPr="009C65FA">
        <w:rPr>
          <w:rFonts w:hint="eastAsia"/>
          <w:rtl/>
        </w:rPr>
        <w:t>הקואליציונית</w:t>
      </w:r>
      <w:r w:rsidRPr="009C65FA">
        <w:rPr>
          <w:rtl/>
        </w:rPr>
        <w:t xml:space="preserve">: </w:t>
      </w:r>
      <w:r>
        <w:rPr>
          <w:rFonts w:hint="cs"/>
          <w:rtl/>
        </w:rPr>
        <w:t>'</w:t>
      </w:r>
      <w:r w:rsidRPr="009C65FA">
        <w:rPr>
          <w:rFonts w:hint="eastAsia"/>
          <w:rtl/>
        </w:rPr>
        <w:t>חותמת</w:t>
      </w:r>
      <w:r w:rsidRPr="009C65FA">
        <w:rPr>
          <w:rtl/>
        </w:rPr>
        <w:t xml:space="preserve"> </w:t>
      </w:r>
      <w:r w:rsidRPr="009C65FA">
        <w:rPr>
          <w:rFonts w:hint="eastAsia"/>
          <w:rtl/>
        </w:rPr>
        <w:t>הגומי</w:t>
      </w:r>
      <w:r>
        <w:rPr>
          <w:rFonts w:hint="cs"/>
          <w:rtl/>
        </w:rPr>
        <w:t>'</w:t>
      </w:r>
      <w:r w:rsidRPr="009C65FA">
        <w:rPr>
          <w:rtl/>
        </w:rPr>
        <w:t xml:space="preserve"> </w:t>
      </w:r>
      <w:r w:rsidRPr="009C65FA">
        <w:rPr>
          <w:rFonts w:hint="eastAsia"/>
          <w:rtl/>
        </w:rPr>
        <w:t>ו</w:t>
      </w:r>
      <w:r>
        <w:rPr>
          <w:rFonts w:hint="cs"/>
          <w:rtl/>
        </w:rPr>
        <w:t>'</w:t>
      </w:r>
      <w:r w:rsidRPr="009C65FA">
        <w:rPr>
          <w:rFonts w:hint="eastAsia"/>
          <w:rtl/>
        </w:rPr>
        <w:t>להקת</w:t>
      </w:r>
      <w:r w:rsidRPr="009C65FA">
        <w:rPr>
          <w:rtl/>
        </w:rPr>
        <w:t xml:space="preserve"> </w:t>
      </w:r>
      <w:r w:rsidRPr="009C65FA">
        <w:rPr>
          <w:rFonts w:hint="eastAsia"/>
          <w:rtl/>
        </w:rPr>
        <w:t>המעודדות</w:t>
      </w:r>
      <w:r>
        <w:rPr>
          <w:rFonts w:hint="cs"/>
          <w:rtl/>
        </w:rPr>
        <w:t>'</w:t>
      </w:r>
      <w:r w:rsidRPr="009C65FA">
        <w:rPr>
          <w:rtl/>
        </w:rPr>
        <w:t xml:space="preserve"> – </w:t>
      </w:r>
      <w:r w:rsidRPr="009C65FA">
        <w:rPr>
          <w:rFonts w:hint="eastAsia"/>
          <w:rtl/>
        </w:rPr>
        <w:t>על</w:t>
      </w:r>
      <w:r w:rsidRPr="009C65FA">
        <w:rPr>
          <w:rtl/>
        </w:rPr>
        <w:t xml:space="preserve"> </w:t>
      </w:r>
      <w:r w:rsidRPr="009C65FA">
        <w:rPr>
          <w:rFonts w:hint="eastAsia"/>
          <w:rtl/>
        </w:rPr>
        <w:t>רמיסת</w:t>
      </w:r>
      <w:r w:rsidRPr="009C65FA">
        <w:rPr>
          <w:rtl/>
        </w:rPr>
        <w:t xml:space="preserve"> </w:t>
      </w:r>
      <w:r w:rsidRPr="009C65FA">
        <w:rPr>
          <w:rFonts w:hint="eastAsia"/>
          <w:rtl/>
        </w:rPr>
        <w:t>הכנסת</w:t>
      </w:r>
      <w:r w:rsidRPr="009C65FA">
        <w:rPr>
          <w:rtl/>
        </w:rPr>
        <w:t xml:space="preserve"> </w:t>
      </w:r>
      <w:r w:rsidRPr="009C65FA">
        <w:rPr>
          <w:rFonts w:hint="eastAsia"/>
          <w:rtl/>
        </w:rPr>
        <w:t>על</w:t>
      </w:r>
      <w:r w:rsidRPr="009C65FA">
        <w:rPr>
          <w:rtl/>
        </w:rPr>
        <w:t xml:space="preserve"> </w:t>
      </w:r>
      <w:r w:rsidRPr="009C65FA">
        <w:rPr>
          <w:rFonts w:hint="eastAsia"/>
          <w:rtl/>
        </w:rPr>
        <w:t>ידי</w:t>
      </w:r>
      <w:r w:rsidRPr="009C65FA">
        <w:rPr>
          <w:rtl/>
        </w:rPr>
        <w:t xml:space="preserve"> </w:t>
      </w:r>
      <w:r w:rsidRPr="009C65FA">
        <w:rPr>
          <w:rFonts w:hint="eastAsia"/>
          <w:rtl/>
        </w:rPr>
        <w:t>הממשלה</w:t>
      </w:r>
      <w:r w:rsidRPr="009C65FA">
        <w:rPr>
          <w:rtl/>
        </w:rPr>
        <w:t>"</w:t>
      </w:r>
      <w:r>
        <w:rPr>
          <w:rFonts w:hint="cs"/>
          <w:rtl/>
        </w:rPr>
        <w:t xml:space="preserve"> </w:t>
      </w:r>
      <w:r w:rsidRPr="009C65FA">
        <w:rPr>
          <w:rFonts w:ascii="Century" w:hAnsi="Century" w:cs="Miriam" w:hint="eastAsia"/>
          <w:b/>
          <w:spacing w:val="0"/>
          <w:sz w:val="22"/>
          <w:szCs w:val="24"/>
          <w:rtl/>
        </w:rPr>
        <w:t>ספר</w:t>
      </w:r>
      <w:r w:rsidRPr="009C65FA">
        <w:rPr>
          <w:rFonts w:ascii="Century" w:hAnsi="Century" w:cs="Miriam"/>
          <w:b/>
          <w:spacing w:val="0"/>
          <w:sz w:val="22"/>
          <w:szCs w:val="24"/>
          <w:rtl/>
        </w:rPr>
        <w:t xml:space="preserve"> </w:t>
      </w:r>
      <w:r w:rsidRPr="009C65FA">
        <w:rPr>
          <w:rFonts w:ascii="Century" w:hAnsi="Century" w:cs="Miriam" w:hint="eastAsia"/>
          <w:b/>
          <w:spacing w:val="0"/>
          <w:sz w:val="22"/>
          <w:szCs w:val="24"/>
          <w:rtl/>
        </w:rPr>
        <w:t>סלים</w:t>
      </w:r>
      <w:r w:rsidRPr="009C65FA">
        <w:rPr>
          <w:rFonts w:ascii="Century" w:hAnsi="Century" w:cs="Miriam"/>
          <w:b/>
          <w:spacing w:val="0"/>
          <w:sz w:val="22"/>
          <w:szCs w:val="24"/>
          <w:rtl/>
        </w:rPr>
        <w:t xml:space="preserve"> </w:t>
      </w:r>
      <w:r w:rsidRPr="009C65FA">
        <w:rPr>
          <w:rFonts w:ascii="Century" w:hAnsi="Century" w:cs="Miriam" w:hint="eastAsia"/>
          <w:b/>
          <w:spacing w:val="0"/>
          <w:sz w:val="22"/>
          <w:szCs w:val="24"/>
          <w:rtl/>
        </w:rPr>
        <w:t>ג</w:t>
      </w:r>
      <w:r w:rsidRPr="009C65FA">
        <w:rPr>
          <w:rFonts w:ascii="Century" w:hAnsi="Century" w:cs="Miriam"/>
          <w:b/>
          <w:spacing w:val="0"/>
          <w:sz w:val="22"/>
          <w:szCs w:val="24"/>
          <w:rtl/>
        </w:rPr>
        <w:t>'</w:t>
      </w:r>
      <w:r w:rsidRPr="009C65FA">
        <w:rPr>
          <w:rFonts w:ascii="Century" w:hAnsi="Century" w:cs="Miriam" w:hint="eastAsia"/>
          <w:b/>
          <w:spacing w:val="0"/>
          <w:sz w:val="22"/>
          <w:szCs w:val="24"/>
          <w:rtl/>
        </w:rPr>
        <w:t>ובראן</w:t>
      </w:r>
      <w:r w:rsidRPr="009C65FA">
        <w:rPr>
          <w:rtl/>
        </w:rPr>
        <w:t xml:space="preserve"> </w:t>
      </w:r>
      <w:r>
        <w:rPr>
          <w:rFonts w:hint="cs"/>
          <w:rtl/>
        </w:rPr>
        <w:t xml:space="preserve">197 </w:t>
      </w:r>
      <w:r w:rsidRPr="009C65FA">
        <w:rPr>
          <w:rtl/>
        </w:rPr>
        <w:t>(</w:t>
      </w:r>
      <w:r w:rsidRPr="009C65FA">
        <w:rPr>
          <w:rFonts w:hint="eastAsia"/>
          <w:rtl/>
        </w:rPr>
        <w:t>אהרן</w:t>
      </w:r>
      <w:r w:rsidRPr="009C65FA">
        <w:rPr>
          <w:rtl/>
        </w:rPr>
        <w:t xml:space="preserve"> </w:t>
      </w:r>
      <w:r w:rsidRPr="009C65FA">
        <w:rPr>
          <w:rFonts w:hint="eastAsia"/>
          <w:rtl/>
        </w:rPr>
        <w:t>ברק</w:t>
      </w:r>
      <w:r>
        <w:rPr>
          <w:rFonts w:hint="cs"/>
          <w:rtl/>
        </w:rPr>
        <w:t xml:space="preserve"> ואח' </w:t>
      </w:r>
      <w:r w:rsidRPr="009C65FA">
        <w:rPr>
          <w:rFonts w:hint="eastAsia"/>
          <w:rtl/>
        </w:rPr>
        <w:t>עורכים</w:t>
      </w:r>
      <w:r w:rsidRPr="009C65FA">
        <w:rPr>
          <w:rtl/>
        </w:rPr>
        <w:t>, 2023)</w:t>
      </w:r>
      <w:r>
        <w:rPr>
          <w:rFonts w:hint="cs"/>
          <w:rtl/>
        </w:rPr>
        <w:t xml:space="preserve"> (להלן: </w:t>
      </w:r>
      <w:r w:rsidRPr="007566FD">
        <w:rPr>
          <w:rFonts w:ascii="Century" w:hAnsi="Century" w:cs="Miriam" w:hint="cs"/>
          <w:b/>
          <w:spacing w:val="0"/>
          <w:sz w:val="22"/>
          <w:szCs w:val="24"/>
          <w:rtl/>
        </w:rPr>
        <w:t>גוטמן</w:t>
      </w:r>
      <w:r>
        <w:rPr>
          <w:rFonts w:hint="cs"/>
          <w:rtl/>
        </w:rPr>
        <w:t>)). ניתן היה לצפות כי מנגנונים אלה יישמרו רק להליכים שנוגעים לתפקידה של הכנסת כרשות מחוקקת, והיטיב לבטא זאת ח"כ יזהר הררי (שעל שמו קרויה החלטת הררי) בדברים שנשא במליאה במהלך דיון בהצעת חוק-יסוד: נשיא המדינה:</w:t>
      </w:r>
    </w:p>
    <w:p w:rsidR="00C044AE" w:rsidRDefault="00C044AE" w:rsidP="00C044AE">
      <w:pPr>
        <w:pStyle w:val="Ruller41"/>
        <w:rPr>
          <w:rtl/>
        </w:rPr>
      </w:pPr>
    </w:p>
    <w:p w:rsidR="00C044AE" w:rsidRPr="00A241AF" w:rsidRDefault="00C044AE" w:rsidP="00C044AE">
      <w:pPr>
        <w:pStyle w:val="Ruller5"/>
      </w:pPr>
      <w:r>
        <w:rPr>
          <w:rFonts w:hint="cs"/>
          <w:rtl/>
        </w:rPr>
        <w:t xml:space="preserve">"[...] </w:t>
      </w:r>
      <w:r>
        <w:rPr>
          <w:rtl/>
        </w:rPr>
        <w:t>בענין של חוקה ופרקי חוקה יש טשטוש גמור בין האינטרסים העכשוויים של סיעות בתמיכה בממשלה או נגד הממשלה, וטוב היה אילו בכלל היו חברי הכנסת מצביעים בחופש גמור, כי חוקה אשר אנו מקב</w:t>
      </w:r>
      <w:r>
        <w:rPr>
          <w:rtl/>
        </w:rPr>
        <w:softHyphen/>
        <w:t>לים איננה לכנסת זאת או לממשלה זאת כי אם לתקופה שאני מקווה שתהיה לפחות כתקופת חוקתה של ארצות</w:t>
      </w:r>
      <w:r>
        <w:rPr>
          <w:rFonts w:hint="cs"/>
          <w:rtl/>
        </w:rPr>
        <w:t xml:space="preserve"> </w:t>
      </w:r>
      <w:r>
        <w:rPr>
          <w:rtl/>
        </w:rPr>
        <w:softHyphen/>
        <w:t>הברית</w:t>
      </w:r>
      <w:r>
        <w:rPr>
          <w:rFonts w:hint="cs"/>
          <w:rtl/>
        </w:rPr>
        <w:t>" (ד"כ 9.6.1964, 2031).</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עם זאת, המציאות מלמדת כי תקווה זו שהביע ח"כ הררי לא התממשה. בפועל המשמעת הקואליציונית הפכה לחלק מובנה ובלתי נפרד בשיטתנו הפרלמנטרית והדבר בא לידי ביטוי גם בהליכי כינון חוקי היסוד (</w:t>
      </w:r>
      <w:r w:rsidRPr="00A676D0">
        <w:rPr>
          <w:rFonts w:hint="eastAsia"/>
          <w:rtl/>
        </w:rPr>
        <w:t>אמנון</w:t>
      </w:r>
      <w:r w:rsidRPr="00A676D0">
        <w:rPr>
          <w:rtl/>
        </w:rPr>
        <w:t xml:space="preserve"> </w:t>
      </w:r>
      <w:r w:rsidRPr="00A676D0">
        <w:rPr>
          <w:rFonts w:hint="eastAsia"/>
          <w:rtl/>
        </w:rPr>
        <w:t>רובינשטיין</w:t>
      </w:r>
      <w:r w:rsidRPr="00A676D0">
        <w:rPr>
          <w:rtl/>
        </w:rPr>
        <w:t xml:space="preserve"> </w:t>
      </w:r>
      <w:r w:rsidRPr="00A676D0">
        <w:rPr>
          <w:rFonts w:hint="eastAsia"/>
          <w:rtl/>
        </w:rPr>
        <w:t>ויובל</w:t>
      </w:r>
      <w:r w:rsidRPr="00A676D0">
        <w:rPr>
          <w:rtl/>
        </w:rPr>
        <w:t xml:space="preserve"> </w:t>
      </w:r>
      <w:r w:rsidRPr="00A676D0">
        <w:rPr>
          <w:rFonts w:hint="eastAsia"/>
          <w:rtl/>
        </w:rPr>
        <w:t>גבע</w:t>
      </w:r>
      <w:r w:rsidRPr="00A676D0">
        <w:rPr>
          <w:rtl/>
        </w:rPr>
        <w:t xml:space="preserve"> "</w:t>
      </w:r>
      <w:r w:rsidRPr="00A676D0">
        <w:rPr>
          <w:rFonts w:hint="eastAsia"/>
          <w:rtl/>
        </w:rPr>
        <w:t>השימוש</w:t>
      </w:r>
      <w:r w:rsidRPr="00A676D0">
        <w:rPr>
          <w:rtl/>
        </w:rPr>
        <w:t xml:space="preserve"> </w:t>
      </w:r>
      <w:r w:rsidRPr="00A676D0">
        <w:rPr>
          <w:rFonts w:hint="eastAsia"/>
          <w:rtl/>
        </w:rPr>
        <w:t>במשמעת</w:t>
      </w:r>
      <w:r w:rsidRPr="00A676D0">
        <w:rPr>
          <w:rtl/>
        </w:rPr>
        <w:t xml:space="preserve"> </w:t>
      </w:r>
      <w:r w:rsidRPr="00A676D0">
        <w:rPr>
          <w:rFonts w:hint="eastAsia"/>
          <w:rtl/>
        </w:rPr>
        <w:t>פוליטית</w:t>
      </w:r>
      <w:r w:rsidRPr="00A676D0">
        <w:rPr>
          <w:rtl/>
        </w:rPr>
        <w:t xml:space="preserve"> </w:t>
      </w:r>
      <w:r w:rsidRPr="00A676D0">
        <w:rPr>
          <w:rFonts w:hint="eastAsia"/>
          <w:rtl/>
        </w:rPr>
        <w:t>בעת</w:t>
      </w:r>
      <w:r w:rsidRPr="00A676D0">
        <w:rPr>
          <w:rtl/>
        </w:rPr>
        <w:t xml:space="preserve"> </w:t>
      </w:r>
      <w:r w:rsidRPr="00A676D0">
        <w:rPr>
          <w:rFonts w:hint="eastAsia"/>
          <w:rtl/>
        </w:rPr>
        <w:t>כינון</w:t>
      </w:r>
      <w:r w:rsidRPr="00A676D0">
        <w:rPr>
          <w:rtl/>
        </w:rPr>
        <w:t xml:space="preserve"> </w:t>
      </w:r>
      <w:r w:rsidRPr="00A676D0">
        <w:rPr>
          <w:rFonts w:hint="eastAsia"/>
          <w:rtl/>
        </w:rPr>
        <w:t>חוקי</w:t>
      </w:r>
      <w:r w:rsidRPr="00A676D0">
        <w:rPr>
          <w:rtl/>
        </w:rPr>
        <w:t>-</w:t>
      </w:r>
      <w:r w:rsidRPr="00A676D0">
        <w:rPr>
          <w:rFonts w:hint="eastAsia"/>
          <w:rtl/>
        </w:rPr>
        <w:t>יסוד</w:t>
      </w:r>
      <w:r w:rsidRPr="00A676D0">
        <w:rPr>
          <w:rtl/>
        </w:rPr>
        <w:t xml:space="preserve">" </w:t>
      </w:r>
      <w:r w:rsidRPr="00A676D0">
        <w:t>ICON-S-IL Blog</w:t>
      </w:r>
      <w:r w:rsidRPr="00A676D0">
        <w:rPr>
          <w:rtl/>
        </w:rPr>
        <w:t xml:space="preserve"> (25.3.2020)</w:t>
      </w:r>
      <w:r>
        <w:rPr>
          <w:rFonts w:hint="cs"/>
          <w:rtl/>
        </w:rPr>
        <w:t xml:space="preserve"> (להלן: </w:t>
      </w:r>
      <w:r w:rsidRPr="00E56C67">
        <w:rPr>
          <w:rFonts w:ascii="Century" w:hAnsi="Century" w:cs="Miriam" w:hint="cs"/>
          <w:b/>
          <w:spacing w:val="0"/>
          <w:sz w:val="22"/>
          <w:szCs w:val="24"/>
          <w:rtl/>
        </w:rPr>
        <w:t>רובינשטיין וגבע</w:t>
      </w:r>
      <w:r>
        <w:rPr>
          <w:rFonts w:hint="cs"/>
          <w:rtl/>
        </w:rPr>
        <w:t>)). השילוב בין הזהות המוסדית של הכנסת כרשות מחוקקת וכרשות מכוננת והדומיננטיות של הממשלה בהליכי החקיקה, מוביל לכך שלממשלה יש "כוח (שהיא משתמשת בו תדיר) ליצור תיקונים חוקתיים ובכך לשנות את חוקי היסוד ועימם את כללי המשחק" (</w:t>
      </w:r>
      <w:r w:rsidRPr="00FE1D97">
        <w:rPr>
          <w:rFonts w:ascii="Century" w:hAnsi="Century" w:cs="Miriam" w:hint="cs"/>
          <w:b/>
          <w:spacing w:val="0"/>
          <w:sz w:val="22"/>
          <w:szCs w:val="24"/>
          <w:rtl/>
        </w:rPr>
        <w:t>ביזור סמכויות</w:t>
      </w:r>
      <w:r>
        <w:rPr>
          <w:rFonts w:hint="cs"/>
          <w:rtl/>
        </w:rPr>
        <w:t xml:space="preserve">, בעמ' 66). ביטויים לשליטה אפקטיבית זו של הרוב </w:t>
      </w:r>
      <w:r>
        <w:rPr>
          <w:rFonts w:hint="cs"/>
          <w:rtl/>
        </w:rPr>
        <w:lastRenderedPageBreak/>
        <w:t xml:space="preserve">הפוליטי בהליכי כינון חוקי היסוד, ניתן למצוא, בין היתר, בהקמת ועדות מיוחדות "אד הוק" שידונו בהצעות לכינון חוקי יסוד במקום הוועדות הקבועות (ראו, למשל, הוועדה המשותפת שהוקמה לצורך חקיקת חוק-יסוד: הלאום; עניין </w:t>
      </w:r>
      <w:r w:rsidRPr="003E6C96">
        <w:rPr>
          <w:rFonts w:ascii="Century" w:hAnsi="Century" w:cs="Miriam" w:hint="cs"/>
          <w:b/>
          <w:spacing w:val="0"/>
          <w:sz w:val="22"/>
          <w:szCs w:val="24"/>
          <w:rtl/>
        </w:rPr>
        <w:t>חסון</w:t>
      </w:r>
      <w:r>
        <w:rPr>
          <w:rFonts w:hint="cs"/>
          <w:rtl/>
        </w:rPr>
        <w:t xml:space="preserve">, בפסקה 2 לחוות דעתי); ובחתימה על הסכמים קואליציוניים והתחייבויות ספציפיות לתמוך ביוזמות חקיקת חוקי יסוד, תוך שלילת האפשרות של חברי כנסת לגבש עמדה עצמאית בנושא (ראו: איתי בר-סימן-טוב "דיני החקיקה" </w:t>
      </w:r>
      <w:r w:rsidRPr="003E6C96">
        <w:rPr>
          <w:rFonts w:ascii="Century" w:hAnsi="Century" w:cs="Miriam" w:hint="cs"/>
          <w:b/>
          <w:spacing w:val="0"/>
          <w:sz w:val="22"/>
          <w:szCs w:val="24"/>
          <w:rtl/>
        </w:rPr>
        <w:t>עיוני משפט</w:t>
      </w:r>
      <w:r w:rsidRPr="003E6C96">
        <w:rPr>
          <w:rFonts w:hint="cs"/>
          <w:rtl/>
        </w:rPr>
        <w:t xml:space="preserve"> </w:t>
      </w:r>
      <w:r>
        <w:rPr>
          <w:rFonts w:hint="cs"/>
          <w:rtl/>
        </w:rPr>
        <w:t xml:space="preserve">לז 645, 696 (2016) (להלן: </w:t>
      </w:r>
      <w:r w:rsidRPr="00E56C67">
        <w:rPr>
          <w:rFonts w:ascii="Century" w:hAnsi="Century" w:cs="Miriam" w:hint="cs"/>
          <w:b/>
          <w:spacing w:val="0"/>
          <w:sz w:val="22"/>
          <w:szCs w:val="24"/>
          <w:rtl/>
        </w:rPr>
        <w:t>דיני החקיקה</w:t>
      </w:r>
      <w:r>
        <w:rPr>
          <w:rFonts w:hint="cs"/>
          <w:rtl/>
        </w:rPr>
        <w:t xml:space="preserve">)). </w:t>
      </w:r>
    </w:p>
    <w:p w:rsidR="00C044AE" w:rsidRDefault="00C044AE" w:rsidP="00C044AE">
      <w:pPr>
        <w:pStyle w:val="Ruller41"/>
        <w:rPr>
          <w:rtl/>
        </w:rPr>
      </w:pPr>
    </w:p>
    <w:p w:rsidR="00C044AE" w:rsidRDefault="00C044AE" w:rsidP="00C044AE">
      <w:pPr>
        <w:pStyle w:val="Ruller4"/>
        <w:rPr>
          <w:rtl/>
        </w:rPr>
      </w:pPr>
      <w:r>
        <w:rPr>
          <w:rFonts w:hint="cs"/>
          <w:rtl/>
        </w:rPr>
        <w:t xml:space="preserve">המבנה המוסדי בישראל מגביר, אפוא, את החשש כי תכנון חוקתי ארוך טווח יוכתם באינטרסים פוליטיים קצרי טווח, באופן שעלול להוביל לפגיעה קשה בסדר החוקתי (עניין </w:t>
      </w:r>
      <w:r w:rsidRPr="00C54F31">
        <w:rPr>
          <w:rFonts w:ascii="Century" w:hAnsi="Century" w:cs="Miriam" w:hint="cs"/>
          <w:b/>
          <w:spacing w:val="0"/>
          <w:sz w:val="22"/>
          <w:szCs w:val="24"/>
          <w:rtl/>
        </w:rPr>
        <w:t>ממשלת החילופים</w:t>
      </w:r>
      <w:r>
        <w:rPr>
          <w:rFonts w:hint="cs"/>
          <w:rtl/>
        </w:rPr>
        <w:t>, בפסקה 103 לחוות דעתו של המשנה לנשיאה (בדימ')</w:t>
      </w:r>
      <w:r w:rsidRPr="00581626">
        <w:rPr>
          <w:rFonts w:ascii="Century" w:hAnsi="Century" w:cs="Miriam" w:hint="cs"/>
          <w:b/>
          <w:spacing w:val="0"/>
          <w:sz w:val="22"/>
          <w:szCs w:val="24"/>
          <w:rtl/>
        </w:rPr>
        <w:t xml:space="preserve"> </w:t>
      </w:r>
      <w:r w:rsidRPr="003E6C96">
        <w:rPr>
          <w:rFonts w:ascii="Century" w:hAnsi="Century" w:cs="Miriam" w:hint="cs"/>
          <w:b/>
          <w:spacing w:val="0"/>
          <w:sz w:val="22"/>
          <w:szCs w:val="24"/>
          <w:rtl/>
        </w:rPr>
        <w:t>מלצר</w:t>
      </w:r>
      <w:r>
        <w:rPr>
          <w:rFonts w:hint="cs"/>
          <w:rtl/>
        </w:rPr>
        <w:t xml:space="preserve">). השליטה יוצאת הדופן של הרוב הפוליטי בהליך החקיקה מגבירה, על כן, אף היא את הצורך בקיום ביקורת שיפוטית על תוכנם של חוקי היסוד (ראו והשוו: עניין </w:t>
      </w:r>
      <w:r w:rsidRPr="003E6C96">
        <w:rPr>
          <w:rFonts w:ascii="Century" w:hAnsi="Century" w:cs="Miriam" w:hint="cs"/>
          <w:b/>
          <w:spacing w:val="0"/>
          <w:sz w:val="22"/>
          <w:szCs w:val="24"/>
          <w:rtl/>
        </w:rPr>
        <w:t>חסון</w:t>
      </w:r>
      <w:r>
        <w:rPr>
          <w:rFonts w:hint="cs"/>
          <w:rtl/>
        </w:rPr>
        <w:t xml:space="preserve">, בפסקה 2 לחוות דעתה של השופטת </w:t>
      </w:r>
      <w:r w:rsidRPr="003E6C96">
        <w:rPr>
          <w:rFonts w:ascii="Century" w:hAnsi="Century" w:cs="Miriam" w:hint="cs"/>
          <w:b/>
          <w:spacing w:val="0"/>
          <w:sz w:val="22"/>
          <w:szCs w:val="24"/>
          <w:rtl/>
        </w:rPr>
        <w:t>ברון</w:t>
      </w:r>
      <w:r>
        <w:rPr>
          <w:rFonts w:hint="cs"/>
          <w:rtl/>
        </w:rPr>
        <w:t xml:space="preserve">; </w:t>
      </w:r>
      <w:r w:rsidRPr="008551AF">
        <w:rPr>
          <w:smallCaps/>
        </w:rPr>
        <w:t>Roznai</w:t>
      </w:r>
      <w:r>
        <w:rPr>
          <w:rFonts w:hint="cs"/>
          <w:smallCaps/>
          <w:rtl/>
        </w:rPr>
        <w:t xml:space="preserve">, בעמ' </w:t>
      </w:r>
      <w:r w:rsidRPr="003E6C96">
        <w:rPr>
          <w:rFonts w:ascii="FrankRuehl" w:hAnsi="FrankRuehl"/>
          <w:sz w:val="28"/>
          <w:szCs w:val="32"/>
        </w:rPr>
        <w:t>219</w:t>
      </w:r>
      <w:r>
        <w:rPr>
          <w:rFonts w:hint="cs"/>
          <w:rtl/>
        </w:rPr>
        <w:t xml:space="preserve">). </w:t>
      </w:r>
    </w:p>
    <w:p w:rsidR="00C044AE" w:rsidRDefault="00C044AE" w:rsidP="00C044AE">
      <w:pPr>
        <w:pStyle w:val="Ruller41"/>
        <w:rPr>
          <w:rtl/>
        </w:rPr>
      </w:pPr>
    </w:p>
    <w:p w:rsidR="00C044AE" w:rsidRDefault="00C044AE" w:rsidP="00C044AE">
      <w:pPr>
        <w:pStyle w:val="Ruller4"/>
        <w:rPr>
          <w:rtl/>
        </w:rPr>
      </w:pPr>
      <w:r>
        <w:rPr>
          <w:rFonts w:hint="cs"/>
          <w:rtl/>
        </w:rPr>
        <w:t xml:space="preserve">שלושת המאפיינים המבניים שתוארו לעיל </w:t>
      </w:r>
      <w:r>
        <w:rPr>
          <w:rtl/>
        </w:rPr>
        <w:t>–</w:t>
      </w:r>
      <w:r>
        <w:rPr>
          <w:rFonts w:hint="cs"/>
          <w:rtl/>
        </w:rPr>
        <w:t xml:space="preserve"> גיבוש החוקה "פרקים פרקים", היעדר הליך נוקשה לכינונה ותיקונה, ושליטת הרוב הפוליטי בהפעלת הסמכות המכוננת, לא כל שכן הצטברותם, הופכים את שיטתנו החוקתית ליוצאת דופן בכל קנה מידה. במצב דברים זה, קיים קושי רב בהותרת המגבלות על סמכותה של הכנסת כמגבלות בלתי אכיפות, וללא כל אפשרות מצד בית המשפט לבחון </w:t>
      </w:r>
      <w:r>
        <w:rPr>
          <w:rtl/>
        </w:rPr>
        <w:t>–</w:t>
      </w:r>
      <w:r>
        <w:rPr>
          <w:rFonts w:hint="cs"/>
          <w:rtl/>
        </w:rPr>
        <w:t xml:space="preserve"> אף לא במקרים קיצוניים </w:t>
      </w:r>
      <w:r>
        <w:rPr>
          <w:rtl/>
        </w:rPr>
        <w:t>–</w:t>
      </w:r>
      <w:r>
        <w:rPr>
          <w:rFonts w:hint="cs"/>
          <w:rtl/>
        </w:rPr>
        <w:t xml:space="preserve"> אם הכנסת חרגה מגבולות סמכותה. היטיב להדגיש זאת השופט (בדימ') </w:t>
      </w:r>
      <w:r w:rsidRPr="002F118D">
        <w:rPr>
          <w:rFonts w:ascii="Century" w:hAnsi="Century" w:cs="Miriam" w:hint="cs"/>
          <w:b/>
          <w:spacing w:val="0"/>
          <w:sz w:val="22"/>
          <w:szCs w:val="24"/>
          <w:rtl/>
        </w:rPr>
        <w:t>מזוז</w:t>
      </w:r>
      <w:r>
        <w:rPr>
          <w:rFonts w:hint="cs"/>
          <w:rtl/>
        </w:rPr>
        <w:t xml:space="preserve"> בעניין </w:t>
      </w:r>
      <w:r>
        <w:rPr>
          <w:rFonts w:ascii="Century" w:hAnsi="Century" w:cs="Miriam" w:hint="cs"/>
          <w:b/>
          <w:spacing w:val="0"/>
          <w:sz w:val="22"/>
          <w:szCs w:val="24"/>
          <w:rtl/>
        </w:rPr>
        <w:t>חסון</w:t>
      </w:r>
      <w:r>
        <w:rPr>
          <w:rFonts w:ascii="Century" w:hAnsi="Century" w:hint="cs"/>
          <w:sz w:val="22"/>
          <w:rtl/>
        </w:rPr>
        <w:t xml:space="preserve"> בציינו</w:t>
      </w:r>
      <w:r>
        <w:rPr>
          <w:rFonts w:hint="cs"/>
          <w:rtl/>
        </w:rPr>
        <w:t>:</w:t>
      </w:r>
    </w:p>
    <w:p w:rsidR="00C044AE" w:rsidRDefault="00C044AE" w:rsidP="00C044AE">
      <w:pPr>
        <w:pStyle w:val="Ruller41"/>
        <w:rPr>
          <w:rtl/>
        </w:rPr>
      </w:pPr>
    </w:p>
    <w:p w:rsidR="00C044AE" w:rsidRDefault="00C044AE" w:rsidP="00C044AE">
      <w:pPr>
        <w:pStyle w:val="Ruller5"/>
      </w:pPr>
      <w:r>
        <w:rPr>
          <w:rFonts w:hint="cs"/>
          <w:rtl/>
        </w:rPr>
        <w:t xml:space="preserve">"[...] </w:t>
      </w:r>
      <w:r w:rsidRPr="00D2033E">
        <w:rPr>
          <w:rFonts w:hint="cs"/>
          <w:rtl/>
        </w:rPr>
        <w:t>העדרה של חוקה שלמה, וקיומו של מצב חריג, כאשר נורמות חוקתיות בישראל נחקקות למעשה בהליך חקיקתי רגיל, בהעדר הפרדה מוסדית והליכית בין חקיקת הוראות חוקתיות לבין חקיקה רגילה, ולא בהליך נוקשה וייחודי של חקיקת חוקה או תיקונים לחוקה כמקובל בחוקות בעולם, מעלה את הצורך והחשיבות בקיומן של מגבלות על הפעלת הסמכות המכוננת, ובקיום ביקורת שיפוטית דווקא בשלב זה</w:t>
      </w:r>
      <w:r>
        <w:rPr>
          <w:rFonts w:hint="cs"/>
          <w:rtl/>
        </w:rPr>
        <w:t>" (</w:t>
      </w:r>
      <w:r w:rsidRPr="004863AD">
        <w:rPr>
          <w:rFonts w:ascii="Century" w:hAnsi="Century" w:cs="Miriam" w:hint="eastAsia"/>
          <w:b/>
          <w:spacing w:val="0"/>
          <w:szCs w:val="24"/>
          <w:rtl/>
        </w:rPr>
        <w:t>שם</w:t>
      </w:r>
      <w:r>
        <w:rPr>
          <w:rFonts w:hint="cs"/>
          <w:rtl/>
        </w:rPr>
        <w:t>, בפסקה 5 לחוות דעתו).</w:t>
      </w:r>
    </w:p>
    <w:p w:rsidR="00C044AE" w:rsidRDefault="00C044AE" w:rsidP="00C044AE">
      <w:pPr>
        <w:pStyle w:val="Ruller41"/>
        <w:rPr>
          <w:rtl/>
        </w:rPr>
      </w:pPr>
    </w:p>
    <w:p w:rsidR="00C044AE" w:rsidRPr="00462465" w:rsidRDefault="00C044AE" w:rsidP="00C044AE">
      <w:pPr>
        <w:pStyle w:val="Ruller41"/>
        <w:outlineLvl w:val="3"/>
        <w:rPr>
          <w:rFonts w:ascii="Century" w:hAnsi="Century" w:cs="Miriam"/>
          <w:b/>
          <w:spacing w:val="0"/>
          <w:szCs w:val="24"/>
          <w:rtl/>
        </w:rPr>
      </w:pPr>
      <w:r>
        <w:rPr>
          <w:rFonts w:ascii="Century" w:hAnsi="Century" w:cs="Miriam"/>
          <w:b/>
          <w:spacing w:val="0"/>
          <w:szCs w:val="24"/>
          <w:rtl/>
        </w:rPr>
        <w:tab/>
      </w:r>
      <w:r>
        <w:rPr>
          <w:rFonts w:ascii="Century" w:hAnsi="Century" w:cs="Miriam" w:hint="cs"/>
          <w:b/>
          <w:spacing w:val="0"/>
          <w:szCs w:val="24"/>
          <w:rtl/>
        </w:rPr>
        <w:t>הפרקטיקה של הפעלת הסמכות המכוננת</w:t>
      </w:r>
    </w:p>
    <w:p w:rsidR="00C044AE" w:rsidRDefault="00C044AE" w:rsidP="009E6787">
      <w:pPr>
        <w:pStyle w:val="Ruller41"/>
        <w:spacing w:line="276" w:lineRule="auto"/>
      </w:pPr>
    </w:p>
    <w:p w:rsidR="00C044AE" w:rsidRDefault="00C044AE" w:rsidP="00C044AE">
      <w:pPr>
        <w:pStyle w:val="Ruller4"/>
        <w:rPr>
          <w:rtl/>
        </w:rPr>
      </w:pPr>
      <w:r w:rsidRPr="00177088">
        <w:rPr>
          <w:rFonts w:hint="cs"/>
          <w:rtl/>
        </w:rPr>
        <w:t xml:space="preserve">הפרקטיקה הבעייתית שהתפתחה בשנים האחרונות בכינון חוקי יסוד, </w:t>
      </w:r>
      <w:r>
        <w:rPr>
          <w:rFonts w:hint="cs"/>
          <w:rtl/>
        </w:rPr>
        <w:t>מחזקת אף היא</w:t>
      </w:r>
      <w:r w:rsidRPr="00177088">
        <w:rPr>
          <w:rtl/>
        </w:rPr>
        <w:t xml:space="preserve"> </w:t>
      </w:r>
      <w:r w:rsidRPr="00177088">
        <w:rPr>
          <w:rFonts w:hint="eastAsia"/>
          <w:rtl/>
        </w:rPr>
        <w:t>את</w:t>
      </w:r>
      <w:r w:rsidRPr="00177088">
        <w:rPr>
          <w:rtl/>
        </w:rPr>
        <w:t xml:space="preserve"> </w:t>
      </w:r>
      <w:r w:rsidRPr="00177088">
        <w:rPr>
          <w:rFonts w:hint="eastAsia"/>
          <w:rtl/>
        </w:rPr>
        <w:t>הצורך</w:t>
      </w:r>
      <w:r w:rsidRPr="00177088">
        <w:rPr>
          <w:rtl/>
        </w:rPr>
        <w:t xml:space="preserve"> </w:t>
      </w:r>
      <w:r w:rsidRPr="00177088">
        <w:rPr>
          <w:rFonts w:hint="eastAsia"/>
          <w:rtl/>
        </w:rPr>
        <w:t>בקיום</w:t>
      </w:r>
      <w:r w:rsidRPr="00177088">
        <w:rPr>
          <w:rtl/>
        </w:rPr>
        <w:t xml:space="preserve"> </w:t>
      </w:r>
      <w:r w:rsidRPr="00177088">
        <w:rPr>
          <w:rFonts w:hint="eastAsia"/>
          <w:rtl/>
        </w:rPr>
        <w:t>ביקורת</w:t>
      </w:r>
      <w:r w:rsidRPr="00177088">
        <w:rPr>
          <w:rtl/>
        </w:rPr>
        <w:t xml:space="preserve"> </w:t>
      </w:r>
      <w:r w:rsidRPr="00177088">
        <w:rPr>
          <w:rFonts w:hint="eastAsia"/>
          <w:rtl/>
        </w:rPr>
        <w:t>שיפוטית</w:t>
      </w:r>
      <w:r>
        <w:rPr>
          <w:rFonts w:hint="cs"/>
          <w:rtl/>
        </w:rPr>
        <w:t xml:space="preserve"> מהותית על חוקי היסוד</w:t>
      </w:r>
      <w:r w:rsidRPr="00177088">
        <w:rPr>
          <w:rFonts w:hint="cs"/>
          <w:rtl/>
        </w:rPr>
        <w:t>.</w:t>
      </w:r>
      <w:r>
        <w:rPr>
          <w:rFonts w:hint="cs"/>
          <w:rtl/>
        </w:rPr>
        <w:t xml:space="preserve"> </w:t>
      </w:r>
    </w:p>
    <w:p w:rsidR="00C044AE" w:rsidRPr="00D0471C" w:rsidRDefault="00C044AE" w:rsidP="00C044AE">
      <w:pPr>
        <w:pStyle w:val="Ruller41"/>
      </w:pPr>
    </w:p>
    <w:p w:rsidR="00C044AE" w:rsidRPr="00D0471C" w:rsidRDefault="00C044AE" w:rsidP="00C044AE">
      <w:pPr>
        <w:pStyle w:val="Ruller4"/>
        <w:numPr>
          <w:ilvl w:val="0"/>
          <w:numId w:val="0"/>
        </w:numPr>
        <w:rPr>
          <w:rtl/>
        </w:rPr>
      </w:pPr>
      <w:r>
        <w:rPr>
          <w:rtl/>
        </w:rPr>
        <w:tab/>
      </w:r>
      <w:r>
        <w:rPr>
          <w:rFonts w:hint="cs"/>
          <w:rtl/>
        </w:rPr>
        <w:t xml:space="preserve">ראשית, לאורך השנים ניכר שינוי בתפיסת תפקידם של חברי הכנסת בבואם לכונן פרקים בחוקתנו המתגבשת. כך, הליך כינון חוק היסוד הראשון </w:t>
      </w:r>
      <w:r>
        <w:rPr>
          <w:rtl/>
        </w:rPr>
        <w:t>–</w:t>
      </w:r>
      <w:r>
        <w:rPr>
          <w:rFonts w:hint="cs"/>
          <w:rtl/>
        </w:rPr>
        <w:t xml:space="preserve"> חוק-יסוד: הכנסת </w:t>
      </w:r>
      <w:r>
        <w:rPr>
          <w:rtl/>
        </w:rPr>
        <w:t>–</w:t>
      </w:r>
      <w:r>
        <w:rPr>
          <w:rFonts w:hint="cs"/>
          <w:rtl/>
        </w:rPr>
        <w:t xml:space="preserve"> נמשך שנים ארוכות, וחוק היסוד אושר לבסוף ברוב של 96 תומכים וללא מתנגדים. חוקי היסוד הנוגעים לזכויות האדם </w:t>
      </w:r>
      <w:r>
        <w:rPr>
          <w:rtl/>
        </w:rPr>
        <w:t>–</w:t>
      </w:r>
      <w:r>
        <w:rPr>
          <w:rFonts w:hint="cs"/>
          <w:rtl/>
        </w:rPr>
        <w:t xml:space="preserve"> חוק-יסוד: כבוד האדם וחירותו וחוק-יסוד: חופש העיסוק </w:t>
      </w:r>
      <w:r>
        <w:rPr>
          <w:rtl/>
        </w:rPr>
        <w:t>–</w:t>
      </w:r>
      <w:r>
        <w:rPr>
          <w:rFonts w:hint="cs"/>
          <w:rtl/>
        </w:rPr>
        <w:t xml:space="preserve"> אושרו אומנם ברוב מצומצם יותר ולא בלי התנגדות, אך קדם לחקיקתם תהליך שארך מספר שנים: ראשיתו בהכנת הצעה ממשלתית שגובשה במשרד המשפטים ונדונה בישיבות ממשלה רבות, וסופו בהצעות חוק פרטיות שהתבססו על הצעה זו ונתמכו על ידי חברי כנסת מסיעות הקואליציה והאופוזיציה כאחד (להרחבה ראו: </w:t>
      </w:r>
      <w:r w:rsidRPr="00B404C6">
        <w:rPr>
          <w:rFonts w:hint="eastAsia"/>
          <w:rtl/>
        </w:rPr>
        <w:t>אמנון</w:t>
      </w:r>
      <w:r w:rsidRPr="00B404C6">
        <w:rPr>
          <w:rtl/>
        </w:rPr>
        <w:t xml:space="preserve"> </w:t>
      </w:r>
      <w:r w:rsidRPr="00B404C6">
        <w:rPr>
          <w:rFonts w:hint="eastAsia"/>
          <w:rtl/>
        </w:rPr>
        <w:t>רובינשטיין</w:t>
      </w:r>
      <w:r w:rsidRPr="00B404C6">
        <w:rPr>
          <w:rtl/>
        </w:rPr>
        <w:t xml:space="preserve"> "</w:t>
      </w:r>
      <w:r w:rsidRPr="00B404C6">
        <w:rPr>
          <w:rFonts w:hint="eastAsia"/>
          <w:rtl/>
        </w:rPr>
        <w:t>הכנסת</w:t>
      </w:r>
      <w:r w:rsidRPr="00B404C6">
        <w:rPr>
          <w:rtl/>
        </w:rPr>
        <w:t xml:space="preserve"> </w:t>
      </w:r>
      <w:r w:rsidRPr="00B404C6">
        <w:rPr>
          <w:rFonts w:hint="eastAsia"/>
          <w:rtl/>
        </w:rPr>
        <w:t>וחוקי</w:t>
      </w:r>
      <w:r w:rsidRPr="00B404C6">
        <w:rPr>
          <w:rtl/>
        </w:rPr>
        <w:t xml:space="preserve"> </w:t>
      </w:r>
      <w:r w:rsidRPr="00B404C6">
        <w:rPr>
          <w:rFonts w:hint="eastAsia"/>
          <w:rtl/>
        </w:rPr>
        <w:t>היסוד</w:t>
      </w:r>
      <w:r w:rsidRPr="00B404C6">
        <w:rPr>
          <w:rtl/>
        </w:rPr>
        <w:t xml:space="preserve"> </w:t>
      </w:r>
      <w:r w:rsidRPr="00B404C6">
        <w:rPr>
          <w:rFonts w:hint="eastAsia"/>
          <w:rtl/>
        </w:rPr>
        <w:t>על</w:t>
      </w:r>
      <w:r w:rsidRPr="00B404C6">
        <w:rPr>
          <w:rtl/>
        </w:rPr>
        <w:t xml:space="preserve"> </w:t>
      </w:r>
      <w:r w:rsidRPr="00B404C6">
        <w:rPr>
          <w:rFonts w:hint="eastAsia"/>
          <w:rtl/>
        </w:rPr>
        <w:t>זכויות</w:t>
      </w:r>
      <w:r w:rsidRPr="00B404C6">
        <w:rPr>
          <w:rtl/>
        </w:rPr>
        <w:t xml:space="preserve"> </w:t>
      </w:r>
      <w:r w:rsidRPr="00B404C6">
        <w:rPr>
          <w:rFonts w:hint="eastAsia"/>
          <w:rtl/>
        </w:rPr>
        <w:t>האדם</w:t>
      </w:r>
      <w:r w:rsidRPr="00B404C6">
        <w:rPr>
          <w:rtl/>
        </w:rPr>
        <w:t xml:space="preserve">" </w:t>
      </w:r>
      <w:r w:rsidRPr="00B404C6">
        <w:rPr>
          <w:rFonts w:ascii="Century" w:hAnsi="Century" w:cs="Miriam" w:hint="eastAsia"/>
          <w:b/>
          <w:spacing w:val="0"/>
          <w:szCs w:val="24"/>
          <w:rtl/>
        </w:rPr>
        <w:t>משפט</w:t>
      </w:r>
      <w:r w:rsidRPr="00B404C6">
        <w:rPr>
          <w:rFonts w:ascii="Century" w:hAnsi="Century" w:cs="Miriam"/>
          <w:b/>
          <w:spacing w:val="0"/>
          <w:szCs w:val="24"/>
          <w:rtl/>
        </w:rPr>
        <w:t xml:space="preserve"> </w:t>
      </w:r>
      <w:r w:rsidRPr="00B404C6">
        <w:rPr>
          <w:rFonts w:ascii="Century" w:hAnsi="Century" w:cs="Miriam" w:hint="eastAsia"/>
          <w:b/>
          <w:spacing w:val="0"/>
          <w:szCs w:val="24"/>
          <w:rtl/>
        </w:rPr>
        <w:t>וממשל</w:t>
      </w:r>
      <w:r w:rsidRPr="00B404C6">
        <w:rPr>
          <w:rtl/>
        </w:rPr>
        <w:t xml:space="preserve"> ה 339 (תש"ס)</w:t>
      </w:r>
      <w:r>
        <w:rPr>
          <w:rFonts w:hint="cs"/>
          <w:rtl/>
        </w:rPr>
        <w:t xml:space="preserve">; </w:t>
      </w:r>
      <w:r w:rsidRPr="00B404C6">
        <w:rPr>
          <w:rFonts w:hint="eastAsia"/>
          <w:rtl/>
        </w:rPr>
        <w:t>אוריאל</w:t>
      </w:r>
      <w:r w:rsidRPr="00B404C6">
        <w:rPr>
          <w:rtl/>
        </w:rPr>
        <w:t xml:space="preserve"> לין </w:t>
      </w:r>
      <w:r w:rsidRPr="00070378">
        <w:rPr>
          <w:rFonts w:hint="eastAsia"/>
          <w:rtl/>
        </w:rPr>
        <w:t>ושלומי</w:t>
      </w:r>
      <w:r w:rsidRPr="00070378">
        <w:rPr>
          <w:rtl/>
        </w:rPr>
        <w:t xml:space="preserve"> לויה </w:t>
      </w:r>
      <w:r w:rsidRPr="00B404C6">
        <w:rPr>
          <w:rFonts w:ascii="Century" w:hAnsi="Century" w:cs="Miriam" w:hint="eastAsia"/>
          <w:b/>
          <w:spacing w:val="0"/>
          <w:szCs w:val="24"/>
          <w:rtl/>
        </w:rPr>
        <w:t>כיצד</w:t>
      </w:r>
      <w:r w:rsidRPr="00B404C6">
        <w:rPr>
          <w:rFonts w:ascii="Century" w:hAnsi="Century" w:cs="Miriam"/>
          <w:b/>
          <w:spacing w:val="0"/>
          <w:szCs w:val="24"/>
          <w:rtl/>
        </w:rPr>
        <w:t xml:space="preserve"> </w:t>
      </w:r>
      <w:r w:rsidRPr="00B404C6">
        <w:rPr>
          <w:rFonts w:ascii="Century" w:hAnsi="Century" w:cs="Miriam" w:hint="eastAsia"/>
          <w:b/>
          <w:spacing w:val="0"/>
          <w:szCs w:val="24"/>
          <w:rtl/>
        </w:rPr>
        <w:t>שונתה</w:t>
      </w:r>
      <w:r w:rsidRPr="00B404C6">
        <w:rPr>
          <w:rFonts w:ascii="Century" w:hAnsi="Century" w:cs="Miriam"/>
          <w:b/>
          <w:spacing w:val="0"/>
          <w:szCs w:val="24"/>
          <w:rtl/>
        </w:rPr>
        <w:t xml:space="preserve"> </w:t>
      </w:r>
      <w:r w:rsidRPr="00B404C6">
        <w:rPr>
          <w:rFonts w:ascii="Century" w:hAnsi="Century" w:cs="Miriam" w:hint="eastAsia"/>
          <w:b/>
          <w:spacing w:val="0"/>
          <w:szCs w:val="24"/>
          <w:rtl/>
        </w:rPr>
        <w:t>השיטה</w:t>
      </w:r>
      <w:r w:rsidRPr="00B404C6">
        <w:rPr>
          <w:rFonts w:ascii="Century" w:hAnsi="Century" w:cs="Miriam"/>
          <w:b/>
          <w:spacing w:val="0"/>
          <w:szCs w:val="24"/>
          <w:rtl/>
        </w:rPr>
        <w:t xml:space="preserve"> </w:t>
      </w:r>
      <w:r w:rsidRPr="00B404C6">
        <w:rPr>
          <w:rFonts w:ascii="Century" w:hAnsi="Century" w:cs="Miriam" w:hint="eastAsia"/>
          <w:b/>
          <w:spacing w:val="0"/>
          <w:szCs w:val="24"/>
          <w:rtl/>
        </w:rPr>
        <w:t>הפוליטית</w:t>
      </w:r>
      <w:r w:rsidRPr="00B404C6">
        <w:rPr>
          <w:rFonts w:ascii="Century" w:hAnsi="Century" w:cs="Miriam"/>
          <w:b/>
          <w:spacing w:val="0"/>
          <w:szCs w:val="24"/>
          <w:rtl/>
        </w:rPr>
        <w:t xml:space="preserve"> </w:t>
      </w:r>
      <w:r w:rsidRPr="00B404C6">
        <w:rPr>
          <w:rFonts w:ascii="Century" w:hAnsi="Century" w:cs="Miriam" w:hint="eastAsia"/>
          <w:b/>
          <w:spacing w:val="0"/>
          <w:szCs w:val="24"/>
          <w:rtl/>
        </w:rPr>
        <w:t>בישראל</w:t>
      </w:r>
      <w:r w:rsidRPr="00B404C6">
        <w:rPr>
          <w:rFonts w:ascii="Century" w:hAnsi="Century" w:cs="Miriam"/>
          <w:b/>
          <w:spacing w:val="0"/>
          <w:szCs w:val="24"/>
          <w:rtl/>
        </w:rPr>
        <w:t>, 2022-1990</w:t>
      </w:r>
      <w:r w:rsidRPr="00070378">
        <w:rPr>
          <w:rtl/>
        </w:rPr>
        <w:t xml:space="preserve"> </w:t>
      </w:r>
      <w:r>
        <w:rPr>
          <w:rFonts w:hint="cs"/>
          <w:rtl/>
        </w:rPr>
        <w:t xml:space="preserve">82-57 </w:t>
      </w:r>
      <w:r w:rsidRPr="00070378">
        <w:rPr>
          <w:rtl/>
        </w:rPr>
        <w:t>(2022)</w:t>
      </w:r>
      <w:r>
        <w:rPr>
          <w:rFonts w:hint="cs"/>
          <w:rtl/>
        </w:rPr>
        <w:t xml:space="preserve"> (להלן: </w:t>
      </w:r>
      <w:r w:rsidRPr="000809DC">
        <w:rPr>
          <w:rFonts w:ascii="Century" w:hAnsi="Century" w:cs="Miriam" w:hint="cs"/>
          <w:b/>
          <w:spacing w:val="0"/>
          <w:sz w:val="22"/>
          <w:szCs w:val="24"/>
          <w:rtl/>
        </w:rPr>
        <w:t>לין ולויה</w:t>
      </w:r>
      <w:r>
        <w:rPr>
          <w:rFonts w:hint="cs"/>
          <w:rtl/>
        </w:rPr>
        <w:t xml:space="preserve">)). יו"ר ועדת החוקה דאז, ח"כ אוריאל לין מסיעת הליכוד, הדגיש במועד אישור חוק-יסוד: כבוד האדם וחירותו בקריאה שנייה ושלישית כי </w:t>
      </w:r>
      <w:r w:rsidRPr="00220FDD">
        <w:rPr>
          <w:rFonts w:ascii="Century" w:hAnsi="Century" w:hint="cs"/>
          <w:sz w:val="22"/>
          <w:rtl/>
        </w:rPr>
        <w:t>"</w:t>
      </w:r>
      <w:r w:rsidRPr="00220FDD">
        <w:rPr>
          <w:rFonts w:ascii="Century" w:hAnsi="Century"/>
          <w:sz w:val="22"/>
          <w:rtl/>
        </w:rPr>
        <w:t xml:space="preserve">החוק הזה הוכן, </w:t>
      </w:r>
      <w:r>
        <w:rPr>
          <w:rFonts w:ascii="Century" w:hAnsi="Century" w:hint="cs"/>
          <w:sz w:val="22"/>
          <w:rtl/>
        </w:rPr>
        <w:t>ב</w:t>
      </w:r>
      <w:r w:rsidRPr="00220FDD">
        <w:rPr>
          <w:rFonts w:ascii="Century" w:hAnsi="Century"/>
          <w:sz w:val="22"/>
          <w:rtl/>
        </w:rPr>
        <w:t>הבנה שעלינו ליצור הסכמה רחבה של כל סיעות הבית. היינו מודעים לכך, שאין אנחנו יכולים להעביר חוק-יסוד, שמעגן את ערכיה של מדינת ישראל כמדינה יהודית ודמוקרטית, אם לא נגיע להסכמה רחבה של כל סיעות הבית</w:t>
      </w:r>
      <w:r w:rsidRPr="00220FDD">
        <w:rPr>
          <w:rFonts w:ascii="Century" w:hAnsi="Century" w:hint="cs"/>
          <w:sz w:val="22"/>
          <w:rtl/>
        </w:rPr>
        <w:t>"</w:t>
      </w:r>
      <w:r w:rsidRPr="00220FDD">
        <w:rPr>
          <w:rFonts w:hint="cs"/>
          <w:color w:val="000000"/>
          <w:sz w:val="27"/>
          <w:szCs w:val="27"/>
          <w:rtl/>
        </w:rPr>
        <w:t xml:space="preserve"> </w:t>
      </w:r>
      <w:r>
        <w:rPr>
          <w:rFonts w:hint="cs"/>
          <w:rtl/>
        </w:rPr>
        <w:t>(ד"כ 17.3.1992, 3782). שנתיים לאחר מכן אף אושר נוסח חדש של חוק</w:t>
      </w:r>
      <w:r w:rsidRPr="00220FDD">
        <w:rPr>
          <w:rFonts w:hint="cs"/>
          <w:rtl/>
        </w:rPr>
        <w:t>-יסוד: חופש העיסוק וכן תיקון עקיף לחוק-יסוד: כבוד האדם וחירותו</w:t>
      </w:r>
      <w:r>
        <w:rPr>
          <w:rFonts w:hint="cs"/>
          <w:rtl/>
        </w:rPr>
        <w:t>,</w:t>
      </w:r>
      <w:r w:rsidRPr="00220FDD">
        <w:rPr>
          <w:rFonts w:hint="cs"/>
          <w:rtl/>
        </w:rPr>
        <w:t xml:space="preserve"> ברוב גדול במליאת הכנסת (</w:t>
      </w:r>
      <w:r>
        <w:rPr>
          <w:rFonts w:hint="cs"/>
          <w:rtl/>
        </w:rPr>
        <w:t xml:space="preserve">להרחבה ראו: לין ולויה, בעמ' 83-82; </w:t>
      </w:r>
      <w:r w:rsidRPr="00220FDD">
        <w:rPr>
          <w:rFonts w:hint="cs"/>
          <w:rtl/>
        </w:rPr>
        <w:t xml:space="preserve">עמיחי כהן </w:t>
      </w:r>
      <w:r w:rsidRPr="00220FDD">
        <w:rPr>
          <w:rFonts w:ascii="Century" w:hAnsi="Century" w:cs="Miriam" w:hint="cs"/>
          <w:b/>
          <w:spacing w:val="0"/>
          <w:szCs w:val="24"/>
          <w:rtl/>
        </w:rPr>
        <w:t>מלחמות הבג"ץ</w:t>
      </w:r>
      <w:r>
        <w:rPr>
          <w:rFonts w:ascii="Century" w:hAnsi="Century" w:cs="Miriam" w:hint="cs"/>
          <w:b/>
          <w:spacing w:val="0"/>
          <w:szCs w:val="24"/>
          <w:rtl/>
        </w:rPr>
        <w:t>:</w:t>
      </w:r>
      <w:r w:rsidRPr="00220FDD">
        <w:rPr>
          <w:rFonts w:ascii="Century" w:hAnsi="Century" w:cs="Miriam" w:hint="cs"/>
          <w:b/>
          <w:spacing w:val="0"/>
          <w:szCs w:val="24"/>
          <w:rtl/>
        </w:rPr>
        <w:t xml:space="preserve"> המהפכה החוקתית ומהפכת הנגד</w:t>
      </w:r>
      <w:r w:rsidRPr="00220FDD">
        <w:rPr>
          <w:rFonts w:hint="cs"/>
          <w:rtl/>
        </w:rPr>
        <w:t xml:space="preserve"> 103-102 (2020))</w:t>
      </w:r>
      <w:r>
        <w:rPr>
          <w:rFonts w:hint="cs"/>
          <w:rtl/>
        </w:rPr>
        <w:t xml:space="preserve">. לעומת זאת, חוקי היסוד החדשים שאושרו בעשור האחרון התקבלו בהתבסס על קולות סיעות הקואליציה בלבד, תוך הפעלת מנגנון המשמעת הקואליציונית (ראו: </w:t>
      </w:r>
      <w:r w:rsidRPr="00E56C67">
        <w:rPr>
          <w:rFonts w:ascii="Century" w:hAnsi="Century" w:cs="Miriam" w:hint="cs"/>
          <w:b/>
          <w:spacing w:val="0"/>
          <w:sz w:val="22"/>
          <w:szCs w:val="24"/>
          <w:rtl/>
        </w:rPr>
        <w:t>דיני החקיקה</w:t>
      </w:r>
      <w:r>
        <w:rPr>
          <w:rFonts w:hint="cs"/>
          <w:rtl/>
        </w:rPr>
        <w:t xml:space="preserve">, בעמ' 696; </w:t>
      </w:r>
      <w:r w:rsidRPr="0064474A">
        <w:rPr>
          <w:rFonts w:ascii="Century" w:hAnsi="Century" w:cs="Miriam" w:hint="cs"/>
          <w:b/>
          <w:spacing w:val="0"/>
          <w:sz w:val="22"/>
          <w:szCs w:val="24"/>
          <w:rtl/>
        </w:rPr>
        <w:t>פורת "פוליטיקה חוקתית"</w:t>
      </w:r>
      <w:r>
        <w:rPr>
          <w:rFonts w:hint="cs"/>
          <w:rtl/>
        </w:rPr>
        <w:t xml:space="preserve">, בעמ' 253-252; </w:t>
      </w:r>
      <w:r w:rsidRPr="00E56C67">
        <w:rPr>
          <w:rFonts w:ascii="Century" w:hAnsi="Century" w:cs="Miriam" w:hint="cs"/>
          <w:b/>
          <w:spacing w:val="0"/>
          <w:sz w:val="22"/>
          <w:szCs w:val="24"/>
          <w:rtl/>
        </w:rPr>
        <w:t>רובינשטיין וגבע</w:t>
      </w:r>
      <w:r>
        <w:rPr>
          <w:rFonts w:hint="cs"/>
          <w:rtl/>
        </w:rPr>
        <w:t xml:space="preserve">). נראה כי יש בכך כדי לשקף נכוחה את שינוי העיתים ואת העובדה שבשנים האחרונות מלאכת כינון החוקה אינה נתפסת עוד כמשימה לאומית משותפת אלא כמוקד כוח נוסף הנתון בידי רוב פוליטי מזדמן בכנסת.  </w:t>
      </w:r>
    </w:p>
    <w:p w:rsidR="00C044AE" w:rsidRDefault="00C044AE" w:rsidP="00C044AE">
      <w:pPr>
        <w:pStyle w:val="Ruller4"/>
        <w:numPr>
          <w:ilvl w:val="0"/>
          <w:numId w:val="0"/>
        </w:numPr>
        <w:rPr>
          <w:rtl/>
        </w:rPr>
      </w:pPr>
    </w:p>
    <w:p w:rsidR="00C044AE" w:rsidRPr="00D0471C" w:rsidRDefault="00C044AE" w:rsidP="00C044AE">
      <w:pPr>
        <w:pStyle w:val="Ruller4"/>
        <w:rPr>
          <w:rtl/>
        </w:rPr>
      </w:pPr>
      <w:r>
        <w:rPr>
          <w:rFonts w:hint="cs"/>
          <w:rtl/>
        </w:rPr>
        <w:t xml:space="preserve">שנית, מחקר שנערך לאחרונה הצביע על כך שמאז שנחקק חוק היסוד הראשון (חוק-יסוד: הכנסת בשנת 1958) ועד לחודש ינואר 2023, נערכו 139 שינויים בחוקי היסוד (ראו: אלעד גיל </w:t>
      </w:r>
      <w:r w:rsidRPr="008E5E40">
        <w:rPr>
          <w:rtl/>
        </w:rPr>
        <w:t>"</w:t>
      </w:r>
      <w:r w:rsidRPr="008E5E40">
        <w:rPr>
          <w:rFonts w:hint="eastAsia"/>
          <w:rtl/>
        </w:rPr>
        <w:t>שינוי</w:t>
      </w:r>
      <w:r w:rsidRPr="008E5E40">
        <w:rPr>
          <w:rtl/>
        </w:rPr>
        <w:t xml:space="preserve"> </w:t>
      </w:r>
      <w:r w:rsidRPr="008E5E40">
        <w:rPr>
          <w:rFonts w:hint="eastAsia"/>
          <w:rtl/>
        </w:rPr>
        <w:t>כללי</w:t>
      </w:r>
      <w:r w:rsidRPr="008E5E40">
        <w:rPr>
          <w:rtl/>
        </w:rPr>
        <w:t xml:space="preserve"> </w:t>
      </w:r>
      <w:r w:rsidRPr="008E5E40">
        <w:rPr>
          <w:rFonts w:hint="eastAsia"/>
          <w:rtl/>
        </w:rPr>
        <w:t>המשחק</w:t>
      </w:r>
      <w:r w:rsidRPr="008E5E40">
        <w:rPr>
          <w:rtl/>
        </w:rPr>
        <w:t xml:space="preserve"> </w:t>
      </w:r>
      <w:r w:rsidRPr="008E5E40">
        <w:rPr>
          <w:rFonts w:hint="eastAsia"/>
          <w:rtl/>
        </w:rPr>
        <w:t>בזמן</w:t>
      </w:r>
      <w:r w:rsidRPr="008E5E40">
        <w:rPr>
          <w:rtl/>
        </w:rPr>
        <w:t xml:space="preserve"> </w:t>
      </w:r>
      <w:r w:rsidRPr="008E5E40">
        <w:rPr>
          <w:rFonts w:hint="eastAsia"/>
          <w:rtl/>
        </w:rPr>
        <w:t>המשחק</w:t>
      </w:r>
      <w:r w:rsidRPr="008E5E40">
        <w:rPr>
          <w:rtl/>
        </w:rPr>
        <w:t xml:space="preserve"> – </w:t>
      </w:r>
      <w:r>
        <w:rPr>
          <w:rFonts w:hint="cs"/>
          <w:rtl/>
        </w:rPr>
        <w:t>'</w:t>
      </w:r>
      <w:r w:rsidRPr="008E5E40">
        <w:rPr>
          <w:rFonts w:hint="eastAsia"/>
          <w:rtl/>
        </w:rPr>
        <w:t>פתולוגיה</w:t>
      </w:r>
      <w:r>
        <w:rPr>
          <w:rFonts w:hint="cs"/>
          <w:rtl/>
        </w:rPr>
        <w:t>'</w:t>
      </w:r>
      <w:r w:rsidRPr="008E5E40">
        <w:rPr>
          <w:rtl/>
        </w:rPr>
        <w:t xml:space="preserve"> </w:t>
      </w:r>
      <w:r w:rsidRPr="008E5E40">
        <w:rPr>
          <w:rFonts w:hint="eastAsia"/>
          <w:rtl/>
        </w:rPr>
        <w:t>ישראלית</w:t>
      </w:r>
      <w:r>
        <w:rPr>
          <w:rFonts w:hint="cs"/>
          <w:rtl/>
        </w:rPr>
        <w:t xml:space="preserve">" </w:t>
      </w:r>
      <w:r w:rsidRPr="008E5E40">
        <w:rPr>
          <w:rFonts w:ascii="Century" w:hAnsi="Century" w:cs="Miriam" w:hint="eastAsia"/>
          <w:b/>
          <w:spacing w:val="0"/>
          <w:sz w:val="22"/>
          <w:szCs w:val="24"/>
          <w:rtl/>
        </w:rPr>
        <w:t>תכלית</w:t>
      </w:r>
      <w:r w:rsidRPr="008E5E40">
        <w:rPr>
          <w:rFonts w:ascii="Century" w:hAnsi="Century" w:cs="Miriam"/>
          <w:b/>
          <w:spacing w:val="0"/>
          <w:sz w:val="22"/>
          <w:szCs w:val="24"/>
          <w:rtl/>
        </w:rPr>
        <w:t xml:space="preserve"> – </w:t>
      </w:r>
      <w:r w:rsidRPr="008E5E40">
        <w:rPr>
          <w:rFonts w:ascii="Century" w:hAnsi="Century" w:cs="Miriam" w:hint="eastAsia"/>
          <w:b/>
          <w:spacing w:val="0"/>
          <w:sz w:val="22"/>
          <w:szCs w:val="24"/>
          <w:rtl/>
        </w:rPr>
        <w:t>המכון</w:t>
      </w:r>
      <w:r w:rsidRPr="008E5E40">
        <w:rPr>
          <w:rFonts w:ascii="Century" w:hAnsi="Century" w:cs="Miriam"/>
          <w:b/>
          <w:spacing w:val="0"/>
          <w:sz w:val="22"/>
          <w:szCs w:val="24"/>
          <w:rtl/>
        </w:rPr>
        <w:t xml:space="preserve"> </w:t>
      </w:r>
      <w:r w:rsidRPr="008E5E40">
        <w:rPr>
          <w:rFonts w:ascii="Century" w:hAnsi="Century" w:cs="Miriam" w:hint="eastAsia"/>
          <w:b/>
          <w:spacing w:val="0"/>
          <w:sz w:val="22"/>
          <w:szCs w:val="24"/>
          <w:rtl/>
        </w:rPr>
        <w:t>למדיניות</w:t>
      </w:r>
      <w:r w:rsidRPr="008E5E40">
        <w:rPr>
          <w:rFonts w:ascii="Century" w:hAnsi="Century" w:cs="Miriam"/>
          <w:b/>
          <w:spacing w:val="0"/>
          <w:sz w:val="22"/>
          <w:szCs w:val="24"/>
          <w:rtl/>
        </w:rPr>
        <w:t xml:space="preserve"> </w:t>
      </w:r>
      <w:r w:rsidRPr="008E5E40">
        <w:rPr>
          <w:rFonts w:ascii="Century" w:hAnsi="Century" w:cs="Miriam" w:hint="eastAsia"/>
          <w:b/>
          <w:spacing w:val="0"/>
          <w:sz w:val="22"/>
          <w:szCs w:val="24"/>
          <w:rtl/>
        </w:rPr>
        <w:t>ישראלית</w:t>
      </w:r>
      <w:r w:rsidRPr="008E5E40">
        <w:rPr>
          <w:rFonts w:hint="cs"/>
          <w:rtl/>
        </w:rPr>
        <w:t xml:space="preserve"> </w:t>
      </w:r>
      <w:r>
        <w:rPr>
          <w:rFonts w:hint="cs"/>
          <w:rtl/>
        </w:rPr>
        <w:t xml:space="preserve">(18.1.2023)). על פי האמור במחקר, זהו קצב השינויים החוקתיים הגבוה ביותר בעולם, בפער ניכר. לשם השוואה, החוקה האמריקנית תוקנה 27 פעמים, מתוכם 8 תיקונים חוקתיים בלבד במאה השנים האחרונות. אם לא די בכך, בשמונה השנים האחרונות מספר השינויים בחוקי היסוד בישראל (4.75 שינויים בשנה בממוצע) הכפיל את עצמו לעומת מספר השינויים (2.15 שינויים בשנה בממוצע) </w:t>
      </w:r>
      <w:r>
        <w:rPr>
          <w:rFonts w:hint="cs"/>
          <w:rtl/>
        </w:rPr>
        <w:lastRenderedPageBreak/>
        <w:t xml:space="preserve">במשך עשרות שנים מאז שנת 1958. עוד נמצא במחקר כי 62% מהשינויים שנעשו בחוקי היסוד נגעו לחוק-יסוד: הכנסת ולחוק-יסוד: הממשלה </w:t>
      </w:r>
      <w:r>
        <w:rPr>
          <w:rtl/>
        </w:rPr>
        <w:t>–</w:t>
      </w:r>
      <w:r>
        <w:rPr>
          <w:rFonts w:hint="cs"/>
          <w:rtl/>
        </w:rPr>
        <w:t xml:space="preserve"> כלומר, הרוב המכריע של הכללים שהשתנו נוגעים ישירות לסמכותם של חברי הכנסת והממשלה עצמם, ובשנים האחרונות חלק ניכר מהשינויים המשטריים הללו מתקבלים מיד לאחר הבחירות לכנסת ועוד טרם הקמת הממשלה (ראו, בין היתר, התיקונים שנדונו בעניין </w:t>
      </w:r>
      <w:r w:rsidRPr="00660DBA">
        <w:rPr>
          <w:rFonts w:ascii="Century" w:hAnsi="Century" w:cs="Miriam" w:hint="cs"/>
          <w:b/>
          <w:spacing w:val="0"/>
          <w:sz w:val="22"/>
          <w:szCs w:val="24"/>
          <w:rtl/>
        </w:rPr>
        <w:t>ממשלת החילופים</w:t>
      </w:r>
      <w:r w:rsidRPr="00660DBA">
        <w:rPr>
          <w:rFonts w:hint="cs"/>
          <w:rtl/>
        </w:rPr>
        <w:t xml:space="preserve"> </w:t>
      </w:r>
      <w:r>
        <w:rPr>
          <w:rFonts w:hint="cs"/>
          <w:rtl/>
        </w:rPr>
        <w:t xml:space="preserve">ובעניין </w:t>
      </w:r>
      <w:r w:rsidRPr="00660DBA">
        <w:rPr>
          <w:rFonts w:ascii="Century" w:hAnsi="Century" w:cs="Miriam" w:hint="cs"/>
          <w:b/>
          <w:spacing w:val="0"/>
          <w:sz w:val="22"/>
          <w:szCs w:val="24"/>
          <w:rtl/>
        </w:rPr>
        <w:t>שיינפלד</w:t>
      </w:r>
      <w:r>
        <w:rPr>
          <w:rFonts w:hint="cs"/>
          <w:rtl/>
        </w:rPr>
        <w:t xml:space="preserve">). למעשה, כפי שאף צוין במחקר שנזכר לעיל, תהליך הקמת הממשלה מלווה בשנים האחרונות באופן שיטתי בשינוי כללי המשחק לטובת הממשלה הנכנסת. בהקשר זה ציינתי אך לאחרונה בעניין </w:t>
      </w:r>
      <w:r w:rsidRPr="00785698">
        <w:rPr>
          <w:rFonts w:ascii="Century" w:hAnsi="Century" w:cs="Miriam" w:hint="cs"/>
          <w:b/>
          <w:spacing w:val="0"/>
          <w:sz w:val="22"/>
          <w:szCs w:val="24"/>
          <w:rtl/>
        </w:rPr>
        <w:t>שיינפלד</w:t>
      </w:r>
      <w:r>
        <w:rPr>
          <w:rFonts w:hint="cs"/>
          <w:rtl/>
        </w:rPr>
        <w:t xml:space="preserve"> כי "קש</w:t>
      </w:r>
      <w:r w:rsidRPr="00660DBA">
        <w:rPr>
          <w:rFonts w:ascii="FrankRuehl" w:hAnsi="FrankRuehl"/>
          <w:color w:val="000000"/>
          <w:sz w:val="28"/>
          <w:rtl/>
        </w:rPr>
        <w:t>ה שלא לראות בתיקון מס' 11 לחוק היסוד שיא, או נכון יותר נקודת שפל, של אותה תופעה מדאיגה שעליה הצבעתי בעניין </w:t>
      </w:r>
      <w:r w:rsidRPr="00660DBA">
        <w:rPr>
          <w:rFonts w:ascii="Century" w:hAnsi="Century" w:cs="Miriam"/>
          <w:b/>
          <w:spacing w:val="0"/>
          <w:sz w:val="22"/>
          <w:szCs w:val="24"/>
          <w:rtl/>
        </w:rPr>
        <w:t>ממשלת החילופים</w:t>
      </w:r>
      <w:r>
        <w:rPr>
          <w:rFonts w:ascii="FrankRuehl" w:hAnsi="FrankRuehl" w:hint="cs"/>
          <w:color w:val="000000"/>
          <w:sz w:val="28"/>
          <w:rtl/>
        </w:rPr>
        <w:t xml:space="preserve">, </w:t>
      </w:r>
      <w:r w:rsidRPr="00660DBA">
        <w:rPr>
          <w:rFonts w:ascii="FrankRuehl" w:hAnsi="FrankRuehl"/>
          <w:color w:val="000000"/>
          <w:sz w:val="28"/>
          <w:rtl/>
        </w:rPr>
        <w:t>לפיה חברי הכנסת מנצלים את הקלות שבה ניתן לתקן את חוקי היסוד לצרכים פוליטיים נקודתיים</w:t>
      </w:r>
      <w:r>
        <w:rPr>
          <w:rFonts w:ascii="FrankRuehl" w:hAnsi="FrankRuehl" w:hint="cs"/>
          <w:color w:val="000000"/>
          <w:sz w:val="28"/>
          <w:rtl/>
        </w:rPr>
        <w:t xml:space="preserve">" </w:t>
      </w:r>
      <w:r>
        <w:rPr>
          <w:rFonts w:hint="cs"/>
          <w:rtl/>
        </w:rPr>
        <w:t>(</w:t>
      </w:r>
      <w:r>
        <w:rPr>
          <w:rFonts w:ascii="Century" w:hAnsi="Century" w:cs="Miriam" w:hint="cs"/>
          <w:b/>
          <w:spacing w:val="0"/>
          <w:sz w:val="22"/>
          <w:szCs w:val="24"/>
          <w:rtl/>
        </w:rPr>
        <w:t>שם</w:t>
      </w:r>
      <w:r>
        <w:rPr>
          <w:rFonts w:hint="cs"/>
          <w:rtl/>
        </w:rPr>
        <w:t xml:space="preserve">, בפסקה 43 לחוות דעתי).  </w:t>
      </w:r>
    </w:p>
    <w:p w:rsidR="00C044AE" w:rsidRDefault="00C044AE" w:rsidP="00C044AE">
      <w:pPr>
        <w:pStyle w:val="Ruller41"/>
        <w:rPr>
          <w:rtl/>
        </w:rPr>
      </w:pPr>
    </w:p>
    <w:p w:rsidR="00C044AE" w:rsidRDefault="00C044AE" w:rsidP="00C044AE">
      <w:pPr>
        <w:pStyle w:val="Ruller41"/>
        <w:rPr>
          <w:rtl/>
        </w:rPr>
      </w:pPr>
      <w:r>
        <w:rPr>
          <w:rtl/>
        </w:rPr>
        <w:tab/>
      </w:r>
      <w:r>
        <w:rPr>
          <w:rFonts w:hint="cs"/>
          <w:rtl/>
        </w:rPr>
        <w:t xml:space="preserve">תופעה זו של זילות חוקי היסוד צוינה עד היום בעיקר בהקשר של דוקטרינת השימוש לרעה בסמכות המכוננת, שבוחנת, בין היתר, האם הנורמה החוקתית היא למעשה נורמה פרסונאלית שנועדה לשרת ממשלה או כנסת ספציפית. עם זאת, תופעה זו ממחישה גם את הסיכון הנשקף מהותרת המגבלות על הסמכות המכוננת כמגבלות "על הנייר" בלבד. אכן, נוכח הפרצות שמאפשרות שינוי של נורמות חוקתיות בקלות </w:t>
      </w:r>
      <w:r w:rsidRPr="00A05396">
        <w:rPr>
          <w:rtl/>
        </w:rPr>
        <w:t>כ</w:t>
      </w:r>
      <w:r>
        <w:rPr>
          <w:rFonts w:hint="cs"/>
          <w:rtl/>
        </w:rPr>
        <w:t xml:space="preserve">ה רבה, והנכונות הגוברת של הרוב הפוליטי בכנסת לנצל פרצות אלה, דומה כי קיים קושי להיסמך על הריסון העצמי של הכנסת כבלם היחיד המגן מפני פגיעה במאפיינים הגרעיניים של מדינת ישראל כיהודית ודמוקרטית (ראו והשוו: </w:t>
      </w:r>
      <w:r w:rsidRPr="002D3565">
        <w:rPr>
          <w:rFonts w:ascii="Garamond" w:hAnsi="Garamond"/>
          <w:smallCaps/>
          <w:sz w:val="24"/>
        </w:rPr>
        <w:t>Roznai</w:t>
      </w:r>
      <w:r>
        <w:rPr>
          <w:rFonts w:hint="cs"/>
          <w:rtl/>
        </w:rPr>
        <w:t>, בעמ' 182)</w:t>
      </w:r>
      <w:r w:rsidRPr="00E5680D">
        <w:rPr>
          <w:rtl/>
        </w:rPr>
        <w:t>.</w:t>
      </w:r>
      <w:r>
        <w:rPr>
          <w:rFonts w:hint="cs"/>
          <w:rtl/>
        </w:rPr>
        <w:t xml:space="preserve"> </w:t>
      </w:r>
    </w:p>
    <w:p w:rsidR="00C044AE" w:rsidRDefault="00C044AE" w:rsidP="00C044AE">
      <w:pPr>
        <w:pStyle w:val="Ruller41"/>
        <w:rPr>
          <w:rtl/>
        </w:rPr>
      </w:pPr>
    </w:p>
    <w:p w:rsidR="00C044AE" w:rsidRDefault="00C044AE" w:rsidP="00C044AE">
      <w:pPr>
        <w:pStyle w:val="Ruller4"/>
        <w:rPr>
          <w:rtl/>
        </w:rPr>
      </w:pPr>
      <w:r>
        <w:rPr>
          <w:rFonts w:hint="cs"/>
          <w:rtl/>
        </w:rPr>
        <w:t xml:space="preserve">בתצהיר התשובה מטעם הכנסת צוין כי "[...] </w:t>
      </w:r>
      <w:r>
        <w:rPr>
          <w:rFonts w:hint="eastAsia"/>
          <w:rtl/>
        </w:rPr>
        <w:t>אם</w:t>
      </w:r>
      <w:r>
        <w:rPr>
          <w:rtl/>
        </w:rPr>
        <w:t xml:space="preserve"> </w:t>
      </w:r>
      <w:r>
        <w:rPr>
          <w:rFonts w:hint="eastAsia"/>
          <w:rtl/>
        </w:rPr>
        <w:t>חלילה</w:t>
      </w:r>
      <w:r>
        <w:rPr>
          <w:rtl/>
        </w:rPr>
        <w:t xml:space="preserve"> </w:t>
      </w:r>
      <w:r>
        <w:rPr>
          <w:rFonts w:hint="eastAsia"/>
          <w:rtl/>
        </w:rPr>
        <w:t>תכונן</w:t>
      </w:r>
      <w:r>
        <w:rPr>
          <w:rtl/>
        </w:rPr>
        <w:t xml:space="preserve"> </w:t>
      </w:r>
      <w:r>
        <w:rPr>
          <w:rFonts w:hint="eastAsia"/>
          <w:rtl/>
        </w:rPr>
        <w:t>הכנסת</w:t>
      </w:r>
      <w:r>
        <w:rPr>
          <w:rtl/>
        </w:rPr>
        <w:t xml:space="preserve"> </w:t>
      </w:r>
      <w:r>
        <w:rPr>
          <w:rFonts w:hint="eastAsia"/>
          <w:rtl/>
        </w:rPr>
        <w:t>חוקי</w:t>
      </w:r>
      <w:r>
        <w:rPr>
          <w:rtl/>
        </w:rPr>
        <w:t xml:space="preserve"> </w:t>
      </w:r>
      <w:r>
        <w:rPr>
          <w:rFonts w:hint="eastAsia"/>
          <w:rtl/>
        </w:rPr>
        <w:t>יסוד</w:t>
      </w:r>
      <w:r>
        <w:rPr>
          <w:rtl/>
        </w:rPr>
        <w:t xml:space="preserve"> </w:t>
      </w:r>
      <w:r>
        <w:rPr>
          <w:rFonts w:hint="eastAsia"/>
          <w:rtl/>
        </w:rPr>
        <w:t>שיפגעו</w:t>
      </w:r>
      <w:r>
        <w:rPr>
          <w:rtl/>
        </w:rPr>
        <w:t xml:space="preserve"> </w:t>
      </w:r>
      <w:r>
        <w:rPr>
          <w:rFonts w:hint="eastAsia"/>
          <w:rtl/>
        </w:rPr>
        <w:t>פגיעה</w:t>
      </w:r>
      <w:r>
        <w:rPr>
          <w:rtl/>
        </w:rPr>
        <w:t xml:space="preserve"> </w:t>
      </w:r>
      <w:r>
        <w:rPr>
          <w:rFonts w:hint="eastAsia"/>
          <w:rtl/>
        </w:rPr>
        <w:t>אנושה</w:t>
      </w:r>
      <w:r>
        <w:rPr>
          <w:rtl/>
        </w:rPr>
        <w:t xml:space="preserve"> </w:t>
      </w:r>
      <w:r>
        <w:rPr>
          <w:rFonts w:hint="eastAsia"/>
          <w:rtl/>
        </w:rPr>
        <w:t>בציפור</w:t>
      </w:r>
      <w:r>
        <w:rPr>
          <w:rtl/>
        </w:rPr>
        <w:t xml:space="preserve"> </w:t>
      </w:r>
      <w:r>
        <w:rPr>
          <w:rFonts w:hint="eastAsia"/>
          <w:rtl/>
        </w:rPr>
        <w:t>הנפש</w:t>
      </w:r>
      <w:r>
        <w:rPr>
          <w:rtl/>
        </w:rPr>
        <w:t xml:space="preserve"> </w:t>
      </w:r>
      <w:r>
        <w:rPr>
          <w:rFonts w:hint="eastAsia"/>
          <w:rtl/>
        </w:rPr>
        <w:t>של</w:t>
      </w:r>
      <w:r>
        <w:rPr>
          <w:rtl/>
        </w:rPr>
        <w:t xml:space="preserve"> </w:t>
      </w:r>
      <w:r>
        <w:rPr>
          <w:rFonts w:hint="eastAsia"/>
          <w:rtl/>
        </w:rPr>
        <w:t>הדמוקרטיה</w:t>
      </w:r>
      <w:r>
        <w:rPr>
          <w:rFonts w:hint="cs"/>
          <w:rtl/>
        </w:rPr>
        <w:t xml:space="preserve"> </w:t>
      </w:r>
      <w:r>
        <w:rPr>
          <w:rFonts w:hint="eastAsia"/>
          <w:rtl/>
        </w:rPr>
        <w:t>בישראל</w:t>
      </w:r>
      <w:r>
        <w:rPr>
          <w:rtl/>
        </w:rPr>
        <w:t xml:space="preserve">, </w:t>
      </w:r>
      <w:r>
        <w:rPr>
          <w:rFonts w:hint="eastAsia"/>
          <w:rtl/>
        </w:rPr>
        <w:t>חזקה</w:t>
      </w:r>
      <w:r>
        <w:rPr>
          <w:rtl/>
        </w:rPr>
        <w:t xml:space="preserve"> </w:t>
      </w:r>
      <w:r>
        <w:rPr>
          <w:rFonts w:hint="eastAsia"/>
          <w:rtl/>
        </w:rPr>
        <w:t>על</w:t>
      </w:r>
      <w:r>
        <w:rPr>
          <w:rtl/>
        </w:rPr>
        <w:t xml:space="preserve"> </w:t>
      </w:r>
      <w:r>
        <w:rPr>
          <w:rFonts w:hint="eastAsia"/>
          <w:rtl/>
        </w:rPr>
        <w:t>הריבון</w:t>
      </w:r>
      <w:r>
        <w:rPr>
          <w:rFonts w:hint="cs"/>
          <w:rtl/>
        </w:rPr>
        <w:t xml:space="preserve"> </w:t>
      </w:r>
      <w:r>
        <w:rPr>
          <w:rtl/>
        </w:rPr>
        <w:t xml:space="preserve">– </w:t>
      </w:r>
      <w:r>
        <w:rPr>
          <w:rFonts w:hint="eastAsia"/>
          <w:rtl/>
        </w:rPr>
        <w:t>העם</w:t>
      </w:r>
      <w:r>
        <w:rPr>
          <w:rFonts w:hint="cs"/>
          <w:rtl/>
        </w:rPr>
        <w:t xml:space="preserve"> </w:t>
      </w:r>
      <w:r>
        <w:rPr>
          <w:rtl/>
        </w:rPr>
        <w:t xml:space="preserve">– </w:t>
      </w:r>
      <w:r>
        <w:rPr>
          <w:rFonts w:hint="eastAsia"/>
          <w:rtl/>
        </w:rPr>
        <w:t>שיתקומם</w:t>
      </w:r>
      <w:r>
        <w:rPr>
          <w:rtl/>
        </w:rPr>
        <w:t xml:space="preserve"> </w:t>
      </w:r>
      <w:r>
        <w:rPr>
          <w:rFonts w:hint="eastAsia"/>
          <w:rtl/>
        </w:rPr>
        <w:t>נגדה</w:t>
      </w:r>
      <w:r>
        <w:rPr>
          <w:rtl/>
        </w:rPr>
        <w:t xml:space="preserve"> </w:t>
      </w:r>
      <w:r>
        <w:rPr>
          <w:rFonts w:hint="eastAsia"/>
          <w:rtl/>
        </w:rPr>
        <w:t>בדרכים</w:t>
      </w:r>
      <w:r>
        <w:rPr>
          <w:rtl/>
        </w:rPr>
        <w:t xml:space="preserve"> </w:t>
      </w:r>
      <w:r>
        <w:rPr>
          <w:rFonts w:hint="eastAsia"/>
          <w:rtl/>
        </w:rPr>
        <w:t>חוקיות</w:t>
      </w:r>
      <w:r>
        <w:rPr>
          <w:rtl/>
        </w:rPr>
        <w:t xml:space="preserve"> </w:t>
      </w:r>
      <w:r>
        <w:rPr>
          <w:rFonts w:hint="eastAsia"/>
          <w:rtl/>
        </w:rPr>
        <w:t>ויביא</w:t>
      </w:r>
      <w:r>
        <w:rPr>
          <w:rtl/>
        </w:rPr>
        <w:t xml:space="preserve"> </w:t>
      </w:r>
      <w:r>
        <w:rPr>
          <w:rFonts w:hint="eastAsia"/>
          <w:rtl/>
        </w:rPr>
        <w:t>ביום</w:t>
      </w:r>
      <w:r>
        <w:rPr>
          <w:rtl/>
        </w:rPr>
        <w:t xml:space="preserve"> </w:t>
      </w:r>
      <w:r>
        <w:rPr>
          <w:rFonts w:hint="eastAsia"/>
          <w:rtl/>
        </w:rPr>
        <w:t>הבוחר</w:t>
      </w:r>
      <w:r>
        <w:rPr>
          <w:rtl/>
        </w:rPr>
        <w:t xml:space="preserve"> </w:t>
      </w:r>
      <w:r>
        <w:rPr>
          <w:rFonts w:hint="eastAsia"/>
          <w:rtl/>
        </w:rPr>
        <w:t>להחלפת</w:t>
      </w:r>
      <w:r>
        <w:rPr>
          <w:rtl/>
        </w:rPr>
        <w:t xml:space="preserve"> </w:t>
      </w:r>
      <w:r>
        <w:rPr>
          <w:rFonts w:hint="eastAsia"/>
          <w:rtl/>
        </w:rPr>
        <w:t>חבריה</w:t>
      </w:r>
      <w:r>
        <w:rPr>
          <w:rFonts w:hint="cs"/>
          <w:rtl/>
        </w:rPr>
        <w:t xml:space="preserve">" (פסקה 353 לתצהיר התשובה). בהתחשב בעקרונות הליבה אשר מונחים על הכף </w:t>
      </w:r>
      <w:r>
        <w:rPr>
          <w:rtl/>
        </w:rPr>
        <w:t>–</w:t>
      </w:r>
      <w:r>
        <w:rPr>
          <w:rFonts w:hint="cs"/>
          <w:rtl/>
        </w:rPr>
        <w:t xml:space="preserve"> אופייה היהודי ויסודותיה הדמוקרטיים של המדינה </w:t>
      </w:r>
      <w:r>
        <w:rPr>
          <w:rtl/>
        </w:rPr>
        <w:t>–</w:t>
      </w:r>
      <w:r>
        <w:rPr>
          <w:rFonts w:hint="cs"/>
          <w:rtl/>
        </w:rPr>
        <w:t xml:space="preserve"> טענה זו ממעיטה, לטעמי, מחומרת הסיכון הנשקף במצבים שהכנסת חורגת מסמכותה המכוננת. איני סבורה כי ניתן להסתפק בהמתנה ל"יום הבוחר" (שבמצב הדברים הרגיל מתרחש אחת לארבע שנים), כמענה למצב שבו רוב פוליטי מחליט לנצל את ההזדמנות (הקלה לניצול) על מנת לשנות מן היסוד את הסדר החוקתי הקיים. הדבר נכון בפרט משום שהכללים הנוגעים להתנהלות הבחירות עצמן ניתנים אף הם לשינוי בקלות (למעט ההוראה הנוגעת לדחיית מועד הבחירות שמשוריינת ברוב מיוחד). </w:t>
      </w:r>
    </w:p>
    <w:p w:rsidR="00C044AE" w:rsidRDefault="00C044AE" w:rsidP="00C044AE">
      <w:pPr>
        <w:pStyle w:val="Ruller41"/>
        <w:rPr>
          <w:rtl/>
        </w:rPr>
      </w:pPr>
    </w:p>
    <w:p w:rsidR="00C044AE" w:rsidRDefault="00C044AE" w:rsidP="00C044AE">
      <w:pPr>
        <w:pStyle w:val="Ruller4"/>
      </w:pPr>
      <w:r>
        <w:rPr>
          <w:rFonts w:hint="cs"/>
          <w:rtl/>
        </w:rPr>
        <w:lastRenderedPageBreak/>
        <w:t xml:space="preserve">בנסיבות אלה, קיים צורך בגורם א-פוליטי, אשר ישמש כ"בלם חיצוני" מפני אותם מצבים קיצוניים שבהם הכנסת עלולה לפרוץ את גבולות סמכותה המכוננת. לכן, וכפי שיפורט להלן, דומה כי אין מנוס מהכרה באפשרות להעביר את חוקי היסוד תחת שבט הביקורת השיפוטית של בית משפט זה בשבתו כבית המשפט הגבוה לצדק, על מנת להבטיח מענה אפקטיבי באותם מצבי קיצון. </w:t>
      </w:r>
    </w:p>
    <w:p w:rsidR="00C044AE" w:rsidRDefault="00C044AE" w:rsidP="00C044AE">
      <w:pPr>
        <w:pStyle w:val="Ruller4"/>
        <w:numPr>
          <w:ilvl w:val="0"/>
          <w:numId w:val="0"/>
        </w:numPr>
        <w:rPr>
          <w:rtl/>
        </w:rPr>
      </w:pPr>
    </w:p>
    <w:p w:rsidR="00C044AE" w:rsidRDefault="00C044AE" w:rsidP="00C044AE">
      <w:pPr>
        <w:pStyle w:val="Ruller41"/>
        <w:outlineLvl w:val="3"/>
        <w:rPr>
          <w:rtl/>
        </w:rPr>
      </w:pPr>
      <w:r>
        <w:rPr>
          <w:rFonts w:ascii="Century" w:hAnsi="Century" w:cs="Miriam"/>
          <w:b/>
          <w:spacing w:val="0"/>
          <w:szCs w:val="24"/>
          <w:rtl/>
        </w:rPr>
        <w:tab/>
      </w:r>
      <w:r w:rsidRPr="0089174C">
        <w:rPr>
          <w:rFonts w:ascii="Century" w:hAnsi="Century" w:cs="Miriam" w:hint="cs"/>
          <w:b/>
          <w:spacing w:val="0"/>
          <w:szCs w:val="24"/>
          <w:rtl/>
        </w:rPr>
        <w:t>בית משפט זה כגורם המתאים לפקח על גבולות סמכותה של הרשות המכוננת</w:t>
      </w:r>
      <w:r w:rsidRPr="00E15300">
        <w:rPr>
          <w:rFonts w:ascii="Century" w:hAnsi="Century" w:cs="Miriam" w:hint="cs"/>
          <w:b/>
          <w:spacing w:val="0"/>
          <w:szCs w:val="24"/>
          <w:rtl/>
        </w:rPr>
        <w:t xml:space="preserve"> </w:t>
      </w:r>
    </w:p>
    <w:p w:rsidR="00C044AE" w:rsidRPr="00E15300" w:rsidRDefault="00C044AE" w:rsidP="00E459E2">
      <w:pPr>
        <w:pStyle w:val="Ruller41"/>
        <w:spacing w:line="276" w:lineRule="auto"/>
        <w:rPr>
          <w:rtl/>
        </w:rPr>
      </w:pPr>
    </w:p>
    <w:p w:rsidR="00C044AE" w:rsidRDefault="00C044AE" w:rsidP="00C044AE">
      <w:pPr>
        <w:pStyle w:val="Ruller4"/>
      </w:pPr>
      <w:r>
        <w:rPr>
          <w:rFonts w:hint="cs"/>
          <w:rtl/>
        </w:rPr>
        <w:t xml:space="preserve">המסקנה כי בית משפט זה הוא הגורם המתאים לעמוד על המשמר מפני פריצת גבולות סמכותה המכוננת של הכנסת, נובעת לגישתי ממהות תפקידו. </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 xml:space="preserve">בית המשפט מופקד על הגנת התפיסות וערכי היסוד של החברה הישראלית והוא משמש "הכלי העיקרי להבטחת קיומה וכיבודה של החוקה" (עניין </w:t>
      </w:r>
      <w:r w:rsidRPr="00C126A2">
        <w:rPr>
          <w:rFonts w:ascii="Century" w:hAnsi="Century" w:cs="Miriam" w:hint="cs"/>
          <w:b/>
          <w:spacing w:val="0"/>
          <w:sz w:val="22"/>
          <w:szCs w:val="24"/>
          <w:rtl/>
        </w:rPr>
        <w:t>בנק המזרחי</w:t>
      </w:r>
      <w:r>
        <w:rPr>
          <w:rFonts w:hint="cs"/>
          <w:rtl/>
        </w:rPr>
        <w:t xml:space="preserve">, בעמ' 317; ראו גם: </w:t>
      </w:r>
      <w:r w:rsidRPr="00AB25C1">
        <w:rPr>
          <w:rFonts w:ascii="Arial TUR" w:hAnsi="Arial TUR" w:hint="eastAsia"/>
          <w:sz w:val="22"/>
          <w:rtl/>
        </w:rPr>
        <w:t>אליהו</w:t>
      </w:r>
      <w:r w:rsidRPr="00AB25C1">
        <w:rPr>
          <w:rFonts w:ascii="Arial TUR" w:hAnsi="Arial TUR"/>
          <w:sz w:val="22"/>
          <w:rtl/>
        </w:rPr>
        <w:t xml:space="preserve"> </w:t>
      </w:r>
      <w:r w:rsidRPr="00AB25C1">
        <w:rPr>
          <w:rFonts w:ascii="Arial TUR" w:hAnsi="Arial TUR" w:hint="eastAsia"/>
          <w:sz w:val="22"/>
          <w:rtl/>
        </w:rPr>
        <w:t>מצא</w:t>
      </w:r>
      <w:r w:rsidRPr="00AB25C1">
        <w:rPr>
          <w:rFonts w:ascii="Arial TUR" w:hAnsi="Arial TUR"/>
          <w:sz w:val="22"/>
          <w:rtl/>
        </w:rPr>
        <w:t xml:space="preserve"> "</w:t>
      </w:r>
      <w:r w:rsidRPr="00AB25C1">
        <w:rPr>
          <w:rFonts w:ascii="Arial TUR" w:hAnsi="Arial TUR" w:hint="eastAsia"/>
          <w:sz w:val="22"/>
          <w:rtl/>
        </w:rPr>
        <w:t>האחריות</w:t>
      </w:r>
      <w:r w:rsidRPr="00AB25C1">
        <w:rPr>
          <w:rFonts w:ascii="Arial TUR" w:hAnsi="Arial TUR"/>
          <w:sz w:val="22"/>
          <w:rtl/>
        </w:rPr>
        <w:t xml:space="preserve"> </w:t>
      </w:r>
      <w:r w:rsidRPr="00AB25C1">
        <w:rPr>
          <w:rFonts w:ascii="Arial TUR" w:hAnsi="Arial TUR" w:hint="eastAsia"/>
          <w:sz w:val="22"/>
          <w:rtl/>
        </w:rPr>
        <w:t>השיפוטית</w:t>
      </w:r>
      <w:r w:rsidRPr="00AB25C1">
        <w:rPr>
          <w:rFonts w:ascii="Arial TUR" w:hAnsi="Arial TUR"/>
          <w:sz w:val="22"/>
          <w:rtl/>
        </w:rPr>
        <w:t xml:space="preserve">" </w:t>
      </w:r>
      <w:r w:rsidRPr="00C126A2">
        <w:rPr>
          <w:rFonts w:ascii="Century" w:hAnsi="Century" w:cs="Miriam" w:hint="eastAsia"/>
          <w:b/>
          <w:spacing w:val="0"/>
          <w:sz w:val="22"/>
          <w:szCs w:val="24"/>
          <w:rtl/>
        </w:rPr>
        <w:t>ספר</w:t>
      </w:r>
      <w:r w:rsidRPr="00C126A2">
        <w:rPr>
          <w:rFonts w:ascii="Century" w:hAnsi="Century" w:cs="Miriam"/>
          <w:b/>
          <w:spacing w:val="0"/>
          <w:sz w:val="22"/>
          <w:szCs w:val="24"/>
          <w:rtl/>
        </w:rPr>
        <w:t xml:space="preserve"> </w:t>
      </w:r>
      <w:r w:rsidRPr="00C126A2">
        <w:rPr>
          <w:rFonts w:ascii="Century" w:hAnsi="Century" w:cs="Miriam" w:hint="eastAsia"/>
          <w:b/>
          <w:spacing w:val="0"/>
          <w:sz w:val="22"/>
          <w:szCs w:val="24"/>
          <w:rtl/>
        </w:rPr>
        <w:t>אליהו</w:t>
      </w:r>
      <w:r w:rsidRPr="00C126A2">
        <w:rPr>
          <w:rFonts w:ascii="Century" w:hAnsi="Century" w:cs="Miriam"/>
          <w:b/>
          <w:spacing w:val="0"/>
          <w:sz w:val="22"/>
          <w:szCs w:val="24"/>
          <w:rtl/>
        </w:rPr>
        <w:t xml:space="preserve"> </w:t>
      </w:r>
      <w:r w:rsidRPr="00C126A2">
        <w:rPr>
          <w:rFonts w:ascii="Century" w:hAnsi="Century" w:cs="Miriam" w:hint="eastAsia"/>
          <w:b/>
          <w:spacing w:val="0"/>
          <w:sz w:val="22"/>
          <w:szCs w:val="24"/>
          <w:rtl/>
        </w:rPr>
        <w:t>מצא</w:t>
      </w:r>
      <w:r w:rsidRPr="00C126A2">
        <w:rPr>
          <w:rFonts w:ascii="Arial TUR" w:hAnsi="Arial TUR"/>
          <w:sz w:val="22"/>
          <w:rtl/>
        </w:rPr>
        <w:t xml:space="preserve"> </w:t>
      </w:r>
      <w:r w:rsidRPr="00AB25C1">
        <w:rPr>
          <w:rFonts w:ascii="Arial TUR" w:hAnsi="Arial TUR"/>
          <w:sz w:val="22"/>
          <w:rtl/>
        </w:rPr>
        <w:t>995, 997 (</w:t>
      </w:r>
      <w:r w:rsidRPr="00AB25C1">
        <w:rPr>
          <w:rFonts w:ascii="Arial TUR" w:hAnsi="Arial TUR" w:hint="eastAsia"/>
          <w:sz w:val="22"/>
          <w:rtl/>
        </w:rPr>
        <w:t>אהרן</w:t>
      </w:r>
      <w:r w:rsidRPr="00AB25C1">
        <w:rPr>
          <w:rFonts w:ascii="Arial TUR" w:hAnsi="Arial TUR"/>
          <w:sz w:val="22"/>
          <w:rtl/>
        </w:rPr>
        <w:t xml:space="preserve"> </w:t>
      </w:r>
      <w:r w:rsidRPr="00AB25C1">
        <w:rPr>
          <w:rFonts w:ascii="Arial TUR" w:hAnsi="Arial TUR" w:hint="eastAsia"/>
          <w:sz w:val="22"/>
          <w:rtl/>
        </w:rPr>
        <w:t>ברק</w:t>
      </w:r>
      <w:r w:rsidRPr="00AB25C1">
        <w:rPr>
          <w:rFonts w:ascii="Arial TUR" w:hAnsi="Arial TUR"/>
          <w:sz w:val="22"/>
          <w:rtl/>
        </w:rPr>
        <w:t xml:space="preserve"> </w:t>
      </w:r>
      <w:r w:rsidRPr="00AB25C1">
        <w:rPr>
          <w:rFonts w:ascii="Arial TUR" w:hAnsi="Arial TUR" w:hint="eastAsia"/>
          <w:sz w:val="22"/>
          <w:rtl/>
        </w:rPr>
        <w:t>ואח</w:t>
      </w:r>
      <w:r w:rsidRPr="00AB25C1">
        <w:rPr>
          <w:rFonts w:ascii="Arial TUR" w:hAnsi="Arial TUR"/>
          <w:sz w:val="22"/>
          <w:rtl/>
        </w:rPr>
        <w:t xml:space="preserve">' </w:t>
      </w:r>
      <w:r w:rsidRPr="00AB25C1">
        <w:rPr>
          <w:rFonts w:ascii="Arial TUR" w:hAnsi="Arial TUR" w:hint="eastAsia"/>
          <w:sz w:val="22"/>
          <w:rtl/>
        </w:rPr>
        <w:t>עורכים</w:t>
      </w:r>
      <w:r w:rsidRPr="00AB25C1">
        <w:rPr>
          <w:rFonts w:ascii="Arial TUR" w:hAnsi="Arial TUR"/>
          <w:sz w:val="22"/>
          <w:rtl/>
        </w:rPr>
        <w:t>, 2015)</w:t>
      </w:r>
      <w:r>
        <w:rPr>
          <w:rFonts w:hint="cs"/>
          <w:rtl/>
        </w:rPr>
        <w:t xml:space="preserve">). על תפקידו זה של בית המשפט עמדתי בעניין </w:t>
      </w:r>
      <w:r>
        <w:rPr>
          <w:rFonts w:ascii="Century" w:hAnsi="Century" w:cs="Miriam" w:hint="cs"/>
          <w:b/>
          <w:spacing w:val="0"/>
          <w:sz w:val="22"/>
          <w:szCs w:val="24"/>
          <w:rtl/>
        </w:rPr>
        <w:t>חסון</w:t>
      </w:r>
      <w:r>
        <w:rPr>
          <w:rFonts w:hint="cs"/>
          <w:rtl/>
        </w:rPr>
        <w:t>:</w:t>
      </w:r>
    </w:p>
    <w:p w:rsidR="00C044AE" w:rsidRPr="007B18EE" w:rsidRDefault="00C044AE" w:rsidP="00C044AE">
      <w:pPr>
        <w:pStyle w:val="Ruller41"/>
        <w:rPr>
          <w:rtl/>
        </w:rPr>
      </w:pPr>
    </w:p>
    <w:p w:rsidR="00C044AE" w:rsidRDefault="00C044AE" w:rsidP="00C044AE">
      <w:pPr>
        <w:pStyle w:val="Ruller5"/>
        <w:rPr>
          <w:rtl/>
        </w:rPr>
      </w:pPr>
      <w:r>
        <w:rPr>
          <w:rFonts w:hint="cs"/>
          <w:rtl/>
        </w:rPr>
        <w:t>"</w:t>
      </w:r>
      <w:r w:rsidRPr="008551AF">
        <w:rPr>
          <w:rFonts w:hint="cs"/>
          <w:rtl/>
        </w:rPr>
        <w:t xml:space="preserve">אחד מתפקידיו המרכזיים של בית המשפט הוא </w:t>
      </w:r>
      <w:r>
        <w:rPr>
          <w:rFonts w:hint="cs"/>
          <w:rtl/>
        </w:rPr>
        <w:t>'</w:t>
      </w:r>
      <w:r w:rsidRPr="008551AF">
        <w:rPr>
          <w:rFonts w:hint="cs"/>
          <w:rtl/>
        </w:rPr>
        <w:t>להגן על חוקי היסוד המצויים בליבת שיטתנו המשפטית</w:t>
      </w:r>
      <w:r>
        <w:rPr>
          <w:rFonts w:hint="cs"/>
          <w:rtl/>
        </w:rPr>
        <w:t>'</w:t>
      </w:r>
      <w:r w:rsidRPr="008551AF">
        <w:rPr>
          <w:rFonts w:hint="cs"/>
          <w:rtl/>
        </w:rPr>
        <w:t xml:space="preserve"> </w:t>
      </w:r>
      <w:r>
        <w:rPr>
          <w:rFonts w:hint="cs"/>
          <w:rtl/>
        </w:rPr>
        <w:t>[...]</w:t>
      </w:r>
      <w:r w:rsidRPr="008551AF">
        <w:rPr>
          <w:rFonts w:hint="cs"/>
          <w:rtl/>
        </w:rPr>
        <w:t xml:space="preserve"> על כן ניתן לטעון כי לצד הביקורת השיפוטית שמקיים בית המשפט על חקיקה ראשית ועל פעולות מנהליות, כדי להבטיח שלא יובילו לפגיעה קשה בערכים ובעקרונות המעוגנים בחוקי היסוד, עליו לוודא כי לא ישתלבו בחוקי היסוד עצמם הוראות שעלולות לפגוע פגיעה אנושה בליבת המערך החוקתי כולו, תוך שלילת אופייה של ישראל כמדינה יהודית ודמוקרטית </w:t>
      </w:r>
      <w:r>
        <w:rPr>
          <w:rFonts w:hint="cs"/>
          <w:rtl/>
        </w:rPr>
        <w:t xml:space="preserve">[...]" (עניין </w:t>
      </w:r>
      <w:r w:rsidRPr="00A83CC6">
        <w:rPr>
          <w:rFonts w:ascii="Century" w:hAnsi="Century" w:cs="Miriam" w:hint="eastAsia"/>
          <w:b/>
          <w:spacing w:val="0"/>
          <w:szCs w:val="24"/>
          <w:rtl/>
        </w:rPr>
        <w:t>חסון</w:t>
      </w:r>
      <w:r>
        <w:rPr>
          <w:rFonts w:hint="cs"/>
          <w:rtl/>
        </w:rPr>
        <w:t xml:space="preserve">, בפסקה 34 לחוות דעתי; ראו גם: </w:t>
      </w:r>
      <w:r w:rsidRPr="00581626">
        <w:rPr>
          <w:rFonts w:ascii="Century" w:hAnsi="Century" w:cs="Miriam" w:hint="eastAsia"/>
          <w:b/>
          <w:spacing w:val="0"/>
          <w:szCs w:val="24"/>
          <w:rtl/>
        </w:rPr>
        <w:t>שם</w:t>
      </w:r>
      <w:r>
        <w:rPr>
          <w:rFonts w:hint="cs"/>
          <w:rtl/>
        </w:rPr>
        <w:t xml:space="preserve">, בפסקה 8 לחוות דעתו של המשנה לנשיאה (בדימ') </w:t>
      </w:r>
      <w:r w:rsidRPr="00A41B9C">
        <w:rPr>
          <w:rFonts w:ascii="Century" w:hAnsi="Century" w:cs="Miriam" w:hint="cs"/>
          <w:b/>
          <w:spacing w:val="0"/>
          <w:szCs w:val="24"/>
          <w:rtl/>
        </w:rPr>
        <w:t>מלצר</w:t>
      </w:r>
      <w:r>
        <w:rPr>
          <w:rFonts w:hint="cs"/>
          <w:rtl/>
        </w:rPr>
        <w:t>).</w:t>
      </w:r>
    </w:p>
    <w:p w:rsidR="00C044AE" w:rsidRDefault="00C044AE" w:rsidP="00C044AE">
      <w:pPr>
        <w:pStyle w:val="Ruller5"/>
        <w:rPr>
          <w:rtl/>
        </w:rPr>
      </w:pPr>
    </w:p>
    <w:p w:rsidR="00C044AE" w:rsidRDefault="00C044AE" w:rsidP="00C044AE">
      <w:pPr>
        <w:pStyle w:val="Ruller5"/>
        <w:rPr>
          <w:rtl/>
        </w:rPr>
      </w:pPr>
    </w:p>
    <w:p w:rsidR="00C044AE" w:rsidRPr="003722B0" w:rsidRDefault="00C044AE" w:rsidP="00C044AE">
      <w:pPr>
        <w:pStyle w:val="Ruller4"/>
        <w:numPr>
          <w:ilvl w:val="0"/>
          <w:numId w:val="0"/>
        </w:numPr>
      </w:pPr>
      <w:r>
        <w:rPr>
          <w:rtl/>
        </w:rPr>
        <w:tab/>
      </w:r>
      <w:r>
        <w:rPr>
          <w:rFonts w:hint="cs"/>
          <w:rtl/>
        </w:rPr>
        <w:t xml:space="preserve">תפקידו של בית המשפט בהגנה על המפעל החוקתי, </w:t>
      </w:r>
      <w:r>
        <w:rPr>
          <w:rFonts w:ascii="FrankRuehl" w:hAnsi="FrankRuehl"/>
          <w:color w:val="000000"/>
          <w:sz w:val="28"/>
          <w:rtl/>
        </w:rPr>
        <w:t>נושא חשיבות יתרה נוכח מאפייניה הייחודיים של המערכת החוקתית-מוסדית בישראל</w:t>
      </w:r>
      <w:r>
        <w:rPr>
          <w:rFonts w:ascii="FrankRuehl" w:hAnsi="FrankRuehl" w:hint="cs"/>
          <w:color w:val="000000"/>
          <w:sz w:val="28"/>
          <w:rtl/>
        </w:rPr>
        <w:t xml:space="preserve"> שעליהם עמדתי לעיל (ראו גם עניין </w:t>
      </w:r>
      <w:r w:rsidRPr="002C0CD0">
        <w:rPr>
          <w:rFonts w:ascii="Century" w:hAnsi="Century" w:cs="Miriam" w:hint="eastAsia"/>
          <w:b/>
          <w:spacing w:val="0"/>
          <w:sz w:val="22"/>
          <w:szCs w:val="24"/>
          <w:rtl/>
        </w:rPr>
        <w:t>שפיר</w:t>
      </w:r>
      <w:r>
        <w:rPr>
          <w:rFonts w:ascii="FrankRuehl" w:hAnsi="FrankRuehl" w:hint="cs"/>
          <w:color w:val="000000"/>
          <w:sz w:val="28"/>
          <w:rtl/>
        </w:rPr>
        <w:t>, בפסקה 32 לחוות דעתי). במילוי תפקידו זה נדרש בית המשפט כיום למנוע</w:t>
      </w:r>
      <w:r w:rsidRPr="003722B0">
        <w:rPr>
          <w:rFonts w:hint="cs"/>
          <w:rtl/>
        </w:rPr>
        <w:t xml:space="preserve"> פגיעה בלתי מוצדקת בחוקי היסוד </w:t>
      </w:r>
      <w:r>
        <w:rPr>
          <w:rFonts w:hint="cs"/>
          <w:rtl/>
        </w:rPr>
        <w:t>הנגרמת</w:t>
      </w:r>
      <w:r w:rsidRPr="003722B0">
        <w:rPr>
          <w:rFonts w:hint="cs"/>
          <w:rtl/>
        </w:rPr>
        <w:t xml:space="preserve"> </w:t>
      </w:r>
      <w:r>
        <w:rPr>
          <w:rFonts w:hint="cs"/>
          <w:rtl/>
        </w:rPr>
        <w:t>בעקבות חקיקה רגילה והחלטות מינהליות</w:t>
      </w:r>
      <w:r w:rsidRPr="003722B0">
        <w:rPr>
          <w:rFonts w:hint="cs"/>
          <w:rtl/>
        </w:rPr>
        <w:t xml:space="preserve">; </w:t>
      </w:r>
      <w:r>
        <w:rPr>
          <w:rFonts w:hint="cs"/>
          <w:rtl/>
        </w:rPr>
        <w:t>לאכוף דרישות פרוצדוראליות והוראות "נוקשות"; ולזהות</w:t>
      </w:r>
      <w:r w:rsidRPr="003722B0">
        <w:rPr>
          <w:rFonts w:hint="cs"/>
          <w:rtl/>
        </w:rPr>
        <w:t xml:space="preserve"> הוראות</w:t>
      </w:r>
      <w:r>
        <w:rPr>
          <w:rFonts w:hint="cs"/>
          <w:rtl/>
        </w:rPr>
        <w:t xml:space="preserve"> בחוקי היסוד</w:t>
      </w:r>
      <w:r w:rsidRPr="003722B0">
        <w:rPr>
          <w:rFonts w:hint="cs"/>
          <w:rtl/>
        </w:rPr>
        <w:t xml:space="preserve"> שמבחינת מאפייניהן </w:t>
      </w:r>
      <w:r>
        <w:rPr>
          <w:rFonts w:hint="cs"/>
          <w:rtl/>
        </w:rPr>
        <w:t>אין מקומן</w:t>
      </w:r>
      <w:r w:rsidRPr="003722B0">
        <w:rPr>
          <w:rFonts w:hint="cs"/>
          <w:rtl/>
        </w:rPr>
        <w:t xml:space="preserve"> </w:t>
      </w:r>
      <w:r>
        <w:rPr>
          <w:rFonts w:hint="cs"/>
          <w:rtl/>
        </w:rPr>
        <w:t>במדרג חוקתי וחדירתן לחוקה המתגבשת</w:t>
      </w:r>
      <w:r>
        <w:rPr>
          <w:rFonts w:ascii="FrankRuehl" w:hAnsi="FrankRuehl"/>
          <w:color w:val="000000"/>
          <w:sz w:val="28"/>
          <w:rtl/>
        </w:rPr>
        <w:t xml:space="preserve"> </w:t>
      </w:r>
      <w:r>
        <w:rPr>
          <w:rFonts w:ascii="FrankRuehl" w:hAnsi="FrankRuehl" w:hint="cs"/>
          <w:color w:val="000000"/>
          <w:sz w:val="28"/>
          <w:rtl/>
        </w:rPr>
        <w:t>ת</w:t>
      </w:r>
      <w:r>
        <w:rPr>
          <w:rFonts w:ascii="FrankRuehl" w:hAnsi="FrankRuehl"/>
          <w:color w:val="000000"/>
          <w:sz w:val="28"/>
          <w:rtl/>
        </w:rPr>
        <w:t>גרום לשחיקה וזילות במעמד</w:t>
      </w:r>
      <w:r>
        <w:rPr>
          <w:rFonts w:ascii="FrankRuehl" w:hAnsi="FrankRuehl" w:hint="cs"/>
          <w:color w:val="000000"/>
          <w:sz w:val="28"/>
          <w:rtl/>
        </w:rPr>
        <w:t xml:space="preserve"> </w:t>
      </w:r>
      <w:r>
        <w:rPr>
          <w:rFonts w:ascii="FrankRuehl" w:hAnsi="FrankRuehl"/>
          <w:color w:val="000000"/>
          <w:sz w:val="28"/>
          <w:rtl/>
        </w:rPr>
        <w:t>חוקי היסוד</w:t>
      </w:r>
      <w:r>
        <w:rPr>
          <w:rFonts w:hint="cs"/>
          <w:rtl/>
        </w:rPr>
        <w:t>. קיומה של ביקורת שיפוטית</w:t>
      </w:r>
      <w:r w:rsidRPr="003722B0">
        <w:rPr>
          <w:rFonts w:hint="cs"/>
          <w:rtl/>
        </w:rPr>
        <w:t xml:space="preserve"> באותם מקרים </w:t>
      </w:r>
      <w:r>
        <w:rPr>
          <w:rFonts w:hint="cs"/>
          <w:rtl/>
        </w:rPr>
        <w:t>נדירים</w:t>
      </w:r>
      <w:r w:rsidRPr="003722B0">
        <w:rPr>
          <w:rFonts w:hint="cs"/>
          <w:rtl/>
        </w:rPr>
        <w:t xml:space="preserve"> שבהם הכנסת חרגה מסמכותה המכוננת ומן המגבלות (הצרות) ה</w:t>
      </w:r>
      <w:r>
        <w:rPr>
          <w:rFonts w:hint="cs"/>
          <w:rtl/>
        </w:rPr>
        <w:t xml:space="preserve">מוטלות עליה בעת כינון </w:t>
      </w:r>
      <w:r>
        <w:rPr>
          <w:rFonts w:hint="cs"/>
          <w:rtl/>
        </w:rPr>
        <w:lastRenderedPageBreak/>
        <w:t xml:space="preserve">חוקי יסוד, משתלבת, לגישתי, היטב בתפקיד המוטל על בית המשפט כמגן המפעל החוקתי. </w:t>
      </w:r>
    </w:p>
    <w:p w:rsidR="00C044AE" w:rsidRPr="003722B0" w:rsidRDefault="00C044AE" w:rsidP="00C044AE">
      <w:pPr>
        <w:pStyle w:val="Ruller5"/>
        <w:rPr>
          <w:rtl/>
        </w:rPr>
      </w:pPr>
    </w:p>
    <w:p w:rsidR="00C044AE" w:rsidRDefault="00C044AE" w:rsidP="00C044AE">
      <w:pPr>
        <w:pStyle w:val="Ruller4"/>
      </w:pPr>
      <w:r>
        <w:rPr>
          <w:rFonts w:hint="cs"/>
          <w:rtl/>
        </w:rPr>
        <w:t xml:space="preserve">עוד יש לזכור כי </w:t>
      </w:r>
      <w:r w:rsidRPr="001E41B3">
        <w:rPr>
          <w:rtl/>
        </w:rPr>
        <w:t xml:space="preserve">אחד </w:t>
      </w:r>
      <w:r>
        <w:rPr>
          <w:rFonts w:hint="cs"/>
          <w:rtl/>
        </w:rPr>
        <w:t>התפקידים</w:t>
      </w:r>
      <w:r w:rsidRPr="001E41B3">
        <w:rPr>
          <w:rtl/>
        </w:rPr>
        <w:t xml:space="preserve"> </w:t>
      </w:r>
      <w:r>
        <w:rPr>
          <w:rFonts w:hint="cs"/>
          <w:rtl/>
        </w:rPr>
        <w:t>העיקריים</w:t>
      </w:r>
      <w:r w:rsidRPr="001E41B3">
        <w:rPr>
          <w:rtl/>
        </w:rPr>
        <w:t xml:space="preserve"> של בית משפט זה הוא </w:t>
      </w:r>
      <w:r>
        <w:rPr>
          <w:rFonts w:hint="cs"/>
          <w:rtl/>
        </w:rPr>
        <w:t>להבטיח</w:t>
      </w:r>
      <w:r w:rsidRPr="001E41B3">
        <w:rPr>
          <w:rtl/>
        </w:rPr>
        <w:t xml:space="preserve"> כי כלל רשויות השלטון</w:t>
      </w:r>
      <w:r>
        <w:rPr>
          <w:rFonts w:hint="cs"/>
          <w:rtl/>
        </w:rPr>
        <w:t xml:space="preserve"> </w:t>
      </w:r>
      <w:r>
        <w:rPr>
          <w:rtl/>
        </w:rPr>
        <w:t xml:space="preserve">פועלות </w:t>
      </w:r>
      <w:r w:rsidRPr="001955AB">
        <w:rPr>
          <w:rFonts w:ascii="Century" w:hAnsi="Century" w:cs="Miriam"/>
          <w:b/>
          <w:spacing w:val="0"/>
          <w:sz w:val="22"/>
          <w:szCs w:val="24"/>
          <w:rtl/>
        </w:rPr>
        <w:t>בגדרי סמכותן</w:t>
      </w:r>
      <w:r>
        <w:rPr>
          <w:rFonts w:hint="cs"/>
          <w:rtl/>
        </w:rPr>
        <w:t>.</w:t>
      </w:r>
      <w:r w:rsidRPr="001E41B3">
        <w:rPr>
          <w:rtl/>
        </w:rPr>
        <w:t xml:space="preserve"> </w:t>
      </w:r>
      <w:r>
        <w:rPr>
          <w:rFonts w:hint="cs"/>
          <w:rtl/>
        </w:rPr>
        <w:t xml:space="preserve">לשם כך, בין היתר, </w:t>
      </w:r>
      <w:r w:rsidRPr="000438D4">
        <w:rPr>
          <w:rFonts w:hint="cs"/>
          <w:rtl/>
        </w:rPr>
        <w:t>הוקנתה לו ה</w:t>
      </w:r>
      <w:r w:rsidRPr="000438D4">
        <w:rPr>
          <w:rtl/>
        </w:rPr>
        <w:t>סמכות הרחבה</w:t>
      </w:r>
      <w:r w:rsidRPr="000438D4">
        <w:rPr>
          <w:rFonts w:hint="cs"/>
          <w:rtl/>
        </w:rPr>
        <w:t xml:space="preserve"> </w:t>
      </w:r>
      <w:r w:rsidRPr="000438D4">
        <w:rPr>
          <w:rtl/>
        </w:rPr>
        <w:t>ליתן "סעד למען הצדק" ו</w:t>
      </w:r>
      <w:r w:rsidRPr="000438D4">
        <w:rPr>
          <w:rFonts w:hint="cs"/>
          <w:rtl/>
        </w:rPr>
        <w:t xml:space="preserve">כן </w:t>
      </w:r>
      <w:r w:rsidRPr="000438D4">
        <w:rPr>
          <w:rtl/>
        </w:rPr>
        <w:t>צווים לכלל רשויות המדינה</w:t>
      </w:r>
      <w:r w:rsidRPr="000438D4">
        <w:rPr>
          <w:rFonts w:hint="cs"/>
          <w:rtl/>
        </w:rPr>
        <w:t xml:space="preserve">, לפי </w:t>
      </w:r>
      <w:r w:rsidRPr="000438D4">
        <w:rPr>
          <w:rtl/>
        </w:rPr>
        <w:t>סעיפים 15(ג) ו-15(ד)(2) לחוק-יסוד: השפיטה</w:t>
      </w:r>
      <w:r w:rsidRPr="000438D4">
        <w:rPr>
          <w:rFonts w:hint="cs"/>
          <w:rtl/>
        </w:rPr>
        <w:t xml:space="preserve"> </w:t>
      </w:r>
      <w:r w:rsidRPr="000438D4">
        <w:rPr>
          <w:rtl/>
        </w:rPr>
        <w:t>(</w:t>
      </w:r>
      <w:r w:rsidRPr="000438D4">
        <w:rPr>
          <w:rFonts w:hint="cs"/>
          <w:rtl/>
        </w:rPr>
        <w:t xml:space="preserve">ראו: </w:t>
      </w:r>
      <w:r w:rsidRPr="000438D4">
        <w:rPr>
          <w:rFonts w:hint="eastAsia"/>
          <w:rtl/>
        </w:rPr>
        <w:t>בג</w:t>
      </w:r>
      <w:r w:rsidRPr="000438D4">
        <w:rPr>
          <w:rtl/>
        </w:rPr>
        <w:t>"</w:t>
      </w:r>
      <w:r w:rsidRPr="000438D4">
        <w:rPr>
          <w:rFonts w:hint="eastAsia"/>
          <w:rtl/>
        </w:rPr>
        <w:t>ץ</w:t>
      </w:r>
      <w:r w:rsidRPr="000438D4">
        <w:rPr>
          <w:rtl/>
        </w:rPr>
        <w:t xml:space="preserve"> 971</w:t>
      </w:r>
      <w:r w:rsidRPr="000438D4">
        <w:rPr>
          <w:rFonts w:hint="cs"/>
          <w:rtl/>
        </w:rPr>
        <w:t>/</w:t>
      </w:r>
      <w:r w:rsidRPr="000438D4">
        <w:rPr>
          <w:rtl/>
        </w:rPr>
        <w:t xml:space="preserve">99 </w:t>
      </w:r>
      <w:r w:rsidRPr="000438D4">
        <w:rPr>
          <w:rFonts w:cs="Miriam" w:hint="eastAsia"/>
          <w:b/>
          <w:spacing w:val="0"/>
          <w:szCs w:val="24"/>
          <w:rtl/>
        </w:rPr>
        <w:t>התנועה</w:t>
      </w:r>
      <w:r w:rsidRPr="000438D4">
        <w:rPr>
          <w:rFonts w:cs="Miriam"/>
          <w:b/>
          <w:spacing w:val="0"/>
          <w:szCs w:val="24"/>
          <w:rtl/>
        </w:rPr>
        <w:t xml:space="preserve"> </w:t>
      </w:r>
      <w:r w:rsidRPr="000438D4">
        <w:rPr>
          <w:rFonts w:cs="Miriam" w:hint="eastAsia"/>
          <w:b/>
          <w:spacing w:val="0"/>
          <w:szCs w:val="24"/>
          <w:rtl/>
        </w:rPr>
        <w:t>למען</w:t>
      </w:r>
      <w:r w:rsidRPr="000438D4">
        <w:rPr>
          <w:rFonts w:cs="Miriam"/>
          <w:b/>
          <w:spacing w:val="0"/>
          <w:szCs w:val="24"/>
          <w:rtl/>
        </w:rPr>
        <w:t xml:space="preserve"> </w:t>
      </w:r>
      <w:r w:rsidRPr="000438D4">
        <w:rPr>
          <w:rFonts w:cs="Miriam" w:hint="eastAsia"/>
          <w:b/>
          <w:spacing w:val="0"/>
          <w:szCs w:val="24"/>
          <w:rtl/>
        </w:rPr>
        <w:t>איכות</w:t>
      </w:r>
      <w:r w:rsidRPr="000438D4">
        <w:rPr>
          <w:rFonts w:cs="Miriam"/>
          <w:b/>
          <w:spacing w:val="0"/>
          <w:szCs w:val="24"/>
          <w:rtl/>
        </w:rPr>
        <w:t xml:space="preserve"> </w:t>
      </w:r>
      <w:r w:rsidRPr="000438D4">
        <w:rPr>
          <w:rFonts w:cs="Miriam" w:hint="eastAsia"/>
          <w:b/>
          <w:spacing w:val="0"/>
          <w:szCs w:val="24"/>
          <w:rtl/>
        </w:rPr>
        <w:t>השלטון</w:t>
      </w:r>
      <w:r w:rsidRPr="000438D4">
        <w:rPr>
          <w:rFonts w:cs="Miriam"/>
          <w:b/>
          <w:spacing w:val="0"/>
          <w:szCs w:val="24"/>
          <w:rtl/>
        </w:rPr>
        <w:t xml:space="preserve"> </w:t>
      </w:r>
      <w:r w:rsidRPr="000438D4">
        <w:rPr>
          <w:rFonts w:cs="Miriam" w:hint="eastAsia"/>
          <w:b/>
          <w:spacing w:val="0"/>
          <w:szCs w:val="24"/>
          <w:rtl/>
        </w:rPr>
        <w:t>בישראל</w:t>
      </w:r>
      <w:r w:rsidRPr="000438D4">
        <w:rPr>
          <w:rFonts w:cs="Miriam"/>
          <w:b/>
          <w:spacing w:val="0"/>
          <w:szCs w:val="24"/>
          <w:rtl/>
        </w:rPr>
        <w:t xml:space="preserve"> </w:t>
      </w:r>
      <w:r w:rsidRPr="000438D4">
        <w:rPr>
          <w:rFonts w:cs="Miriam" w:hint="eastAsia"/>
          <w:b/>
          <w:spacing w:val="0"/>
          <w:szCs w:val="24"/>
          <w:rtl/>
        </w:rPr>
        <w:t>נ</w:t>
      </w:r>
      <w:r w:rsidRPr="000438D4">
        <w:rPr>
          <w:rFonts w:cs="Miriam"/>
          <w:b/>
          <w:spacing w:val="0"/>
          <w:szCs w:val="24"/>
          <w:rtl/>
        </w:rPr>
        <w:t xml:space="preserve">' </w:t>
      </w:r>
      <w:r w:rsidRPr="000438D4">
        <w:rPr>
          <w:rFonts w:cs="Miriam" w:hint="eastAsia"/>
          <w:b/>
          <w:spacing w:val="0"/>
          <w:szCs w:val="24"/>
          <w:rtl/>
        </w:rPr>
        <w:t>ועדת</w:t>
      </w:r>
      <w:r w:rsidRPr="000438D4">
        <w:rPr>
          <w:rFonts w:cs="Miriam"/>
          <w:b/>
          <w:spacing w:val="0"/>
          <w:szCs w:val="24"/>
          <w:rtl/>
        </w:rPr>
        <w:t xml:space="preserve"> </w:t>
      </w:r>
      <w:r w:rsidRPr="000438D4">
        <w:rPr>
          <w:rFonts w:cs="Miriam" w:hint="eastAsia"/>
          <w:b/>
          <w:spacing w:val="0"/>
          <w:szCs w:val="24"/>
          <w:rtl/>
        </w:rPr>
        <w:t>הכנסת</w:t>
      </w:r>
      <w:r w:rsidRPr="000438D4">
        <w:rPr>
          <w:rtl/>
        </w:rPr>
        <w:t xml:space="preserve">, </w:t>
      </w:r>
      <w:r w:rsidRPr="000438D4">
        <w:rPr>
          <w:rFonts w:hint="eastAsia"/>
          <w:rtl/>
        </w:rPr>
        <w:t>פ</w:t>
      </w:r>
      <w:r w:rsidRPr="000438D4">
        <w:rPr>
          <w:rtl/>
        </w:rPr>
        <w:t>"</w:t>
      </w:r>
      <w:r w:rsidRPr="000438D4">
        <w:rPr>
          <w:rFonts w:hint="eastAsia"/>
          <w:rtl/>
        </w:rPr>
        <w:t>ד</w:t>
      </w:r>
      <w:r w:rsidRPr="000438D4">
        <w:rPr>
          <w:rtl/>
        </w:rPr>
        <w:t xml:space="preserve"> </w:t>
      </w:r>
      <w:r w:rsidRPr="000438D4">
        <w:rPr>
          <w:rFonts w:hint="eastAsia"/>
          <w:rtl/>
        </w:rPr>
        <w:t>נו</w:t>
      </w:r>
      <w:r w:rsidRPr="000438D4">
        <w:rPr>
          <w:rtl/>
        </w:rPr>
        <w:t>(6) 117</w:t>
      </w:r>
      <w:r w:rsidRPr="000438D4">
        <w:rPr>
          <w:rFonts w:hint="cs"/>
          <w:rtl/>
        </w:rPr>
        <w:t xml:space="preserve">, 140, 165-164 (2002) (להלן: </w:t>
      </w:r>
      <w:r w:rsidRPr="000438D4">
        <w:rPr>
          <w:rFonts w:ascii="Century" w:hAnsi="Century" w:cs="Miriam" w:hint="eastAsia"/>
          <w:b/>
          <w:spacing w:val="0"/>
          <w:sz w:val="22"/>
          <w:szCs w:val="24"/>
          <w:rtl/>
        </w:rPr>
        <w:t>בג</w:t>
      </w:r>
      <w:r w:rsidRPr="000438D4">
        <w:rPr>
          <w:rFonts w:ascii="Century" w:hAnsi="Century" w:cs="Miriam"/>
          <w:b/>
          <w:spacing w:val="0"/>
          <w:sz w:val="22"/>
          <w:szCs w:val="24"/>
          <w:rtl/>
        </w:rPr>
        <w:t>"</w:t>
      </w:r>
      <w:r w:rsidRPr="000438D4">
        <w:rPr>
          <w:rFonts w:ascii="Century" w:hAnsi="Century" w:cs="Miriam" w:hint="eastAsia"/>
          <w:b/>
          <w:spacing w:val="0"/>
          <w:sz w:val="22"/>
          <w:szCs w:val="24"/>
          <w:rtl/>
        </w:rPr>
        <w:t>ץ</w:t>
      </w:r>
      <w:r w:rsidRPr="000438D4">
        <w:rPr>
          <w:rFonts w:ascii="Century" w:hAnsi="Century" w:cs="Miriam"/>
          <w:b/>
          <w:spacing w:val="0"/>
          <w:sz w:val="22"/>
          <w:szCs w:val="24"/>
          <w:rtl/>
        </w:rPr>
        <w:t xml:space="preserve"> 971/99</w:t>
      </w:r>
      <w:r w:rsidRPr="000438D4">
        <w:rPr>
          <w:rFonts w:hint="cs"/>
          <w:rtl/>
        </w:rPr>
        <w:t>);</w:t>
      </w:r>
      <w:r>
        <w:rPr>
          <w:rFonts w:hint="cs"/>
          <w:rtl/>
        </w:rPr>
        <w:t xml:space="preserve"> ראו גם: </w:t>
      </w:r>
      <w:r w:rsidRPr="00ED3852">
        <w:rPr>
          <w:rFonts w:hint="cs"/>
          <w:rtl/>
        </w:rPr>
        <w:t xml:space="preserve">יואב דותן </w:t>
      </w:r>
      <w:r w:rsidRPr="00ED3852">
        <w:rPr>
          <w:rFonts w:ascii="Century" w:hAnsi="Century" w:cs="Miriam" w:hint="cs"/>
          <w:b/>
          <w:spacing w:val="0"/>
          <w:szCs w:val="24"/>
          <w:rtl/>
        </w:rPr>
        <w:t>ביקורת שיפוטית על שיקול דעת מ</w:t>
      </w:r>
      <w:r>
        <w:rPr>
          <w:rFonts w:ascii="Century" w:hAnsi="Century" w:cs="Miriam" w:hint="cs"/>
          <w:b/>
          <w:spacing w:val="0"/>
          <w:szCs w:val="24"/>
          <w:rtl/>
        </w:rPr>
        <w:t>י</w:t>
      </w:r>
      <w:r w:rsidRPr="00ED3852">
        <w:rPr>
          <w:rFonts w:ascii="Century" w:hAnsi="Century" w:cs="Miriam" w:hint="cs"/>
          <w:b/>
          <w:spacing w:val="0"/>
          <w:szCs w:val="24"/>
          <w:rtl/>
        </w:rPr>
        <w:t>נהלי</w:t>
      </w:r>
      <w:r w:rsidRPr="00ED3852">
        <w:rPr>
          <w:rFonts w:hint="cs"/>
          <w:rtl/>
        </w:rPr>
        <w:t xml:space="preserve"> </w:t>
      </w:r>
      <w:r>
        <w:rPr>
          <w:rFonts w:hint="cs"/>
          <w:rtl/>
        </w:rPr>
        <w:t>כרך א</w:t>
      </w:r>
      <w:r w:rsidRPr="00ED3852">
        <w:rPr>
          <w:rFonts w:hint="cs"/>
          <w:rtl/>
        </w:rPr>
        <w:t xml:space="preserve"> 99-97 (2022) (להלן: </w:t>
      </w:r>
      <w:r w:rsidRPr="00ED3852">
        <w:rPr>
          <w:rFonts w:ascii="Century" w:hAnsi="Century" w:cs="Miriam" w:hint="cs"/>
          <w:b/>
          <w:spacing w:val="0"/>
          <w:sz w:val="22"/>
          <w:szCs w:val="24"/>
          <w:rtl/>
        </w:rPr>
        <w:t>דותן "ביקורת שיפוטית"</w:t>
      </w:r>
      <w:r w:rsidRPr="00ED3852">
        <w:rPr>
          <w:rFonts w:hint="cs"/>
          <w:rtl/>
        </w:rPr>
        <w:t xml:space="preserve">; </w:t>
      </w:r>
      <w:r w:rsidRPr="002241C1">
        <w:rPr>
          <w:rFonts w:ascii="Century" w:hAnsi="Century" w:cs="Miriam" w:hint="eastAsia"/>
          <w:b/>
          <w:spacing w:val="0"/>
          <w:sz w:val="22"/>
          <w:szCs w:val="24"/>
          <w:rtl/>
        </w:rPr>
        <w:t>זמיר</w:t>
      </w:r>
      <w:r w:rsidRPr="002241C1">
        <w:rPr>
          <w:rFonts w:hint="cs"/>
          <w:rtl/>
        </w:rPr>
        <w:t xml:space="preserve"> </w:t>
      </w:r>
      <w:r w:rsidRPr="002241C1">
        <w:rPr>
          <w:rFonts w:ascii="Century" w:hAnsi="Century" w:cs="Miriam" w:hint="cs"/>
          <w:b/>
          <w:spacing w:val="0"/>
          <w:szCs w:val="24"/>
          <w:rtl/>
        </w:rPr>
        <w:t>"</w:t>
      </w:r>
      <w:r w:rsidRPr="002241C1">
        <w:rPr>
          <w:rFonts w:ascii="Century" w:hAnsi="Century" w:cs="Miriam" w:hint="eastAsia"/>
          <w:b/>
          <w:spacing w:val="0"/>
          <w:szCs w:val="24"/>
          <w:rtl/>
        </w:rPr>
        <w:t>הסמכות</w:t>
      </w:r>
      <w:r w:rsidRPr="002241C1">
        <w:rPr>
          <w:rFonts w:ascii="Century" w:hAnsi="Century" w:cs="Miriam"/>
          <w:b/>
          <w:spacing w:val="0"/>
          <w:szCs w:val="24"/>
          <w:rtl/>
        </w:rPr>
        <w:t xml:space="preserve"> </w:t>
      </w:r>
      <w:r w:rsidRPr="002241C1">
        <w:rPr>
          <w:rFonts w:ascii="Century" w:hAnsi="Century" w:cs="Miriam" w:hint="eastAsia"/>
          <w:b/>
          <w:spacing w:val="0"/>
          <w:szCs w:val="24"/>
          <w:rtl/>
        </w:rPr>
        <w:t>המ</w:t>
      </w:r>
      <w:r>
        <w:rPr>
          <w:rFonts w:ascii="Century" w:hAnsi="Century" w:cs="Miriam" w:hint="cs"/>
          <w:b/>
          <w:spacing w:val="0"/>
          <w:szCs w:val="24"/>
          <w:rtl/>
        </w:rPr>
        <w:t>י</w:t>
      </w:r>
      <w:r w:rsidRPr="002241C1">
        <w:rPr>
          <w:rFonts w:ascii="Century" w:hAnsi="Century" w:cs="Miriam" w:hint="eastAsia"/>
          <w:b/>
          <w:spacing w:val="0"/>
          <w:szCs w:val="24"/>
          <w:rtl/>
        </w:rPr>
        <w:t>נהלית</w:t>
      </w:r>
      <w:r w:rsidRPr="002241C1">
        <w:rPr>
          <w:rFonts w:ascii="Century" w:hAnsi="Century" w:cs="Miriam" w:hint="cs"/>
          <w:b/>
          <w:spacing w:val="0"/>
          <w:szCs w:val="24"/>
          <w:rtl/>
        </w:rPr>
        <w:t>"</w:t>
      </w:r>
      <w:r w:rsidRPr="002241C1">
        <w:rPr>
          <w:rFonts w:ascii="Century" w:hAnsi="Century" w:hint="cs"/>
          <w:sz w:val="22"/>
          <w:rtl/>
        </w:rPr>
        <w:t>, בעמ'</w:t>
      </w:r>
      <w:r w:rsidRPr="002241C1">
        <w:rPr>
          <w:rFonts w:ascii="Century" w:hAnsi="Century"/>
          <w:sz w:val="22"/>
          <w:rtl/>
        </w:rPr>
        <w:t xml:space="preserve"> </w:t>
      </w:r>
      <w:r w:rsidRPr="002241C1">
        <w:rPr>
          <w:rFonts w:hint="cs"/>
          <w:rtl/>
        </w:rPr>
        <w:t>1590</w:t>
      </w:r>
      <w:r w:rsidRPr="002241C1">
        <w:rPr>
          <w:rtl/>
        </w:rPr>
        <w:t>).</w:t>
      </w:r>
      <w:r>
        <w:rPr>
          <w:rFonts w:hint="cs"/>
          <w:rtl/>
        </w:rPr>
        <w:t xml:space="preserve"> </w:t>
      </w:r>
    </w:p>
    <w:p w:rsidR="00C044AE" w:rsidRDefault="00C044AE" w:rsidP="00C044AE">
      <w:pPr>
        <w:pStyle w:val="Ruller4"/>
        <w:numPr>
          <w:ilvl w:val="0"/>
          <w:numId w:val="0"/>
        </w:numPr>
        <w:rPr>
          <w:rtl/>
        </w:rPr>
      </w:pPr>
    </w:p>
    <w:p w:rsidR="00C044AE" w:rsidRDefault="00C044AE" w:rsidP="00C044AE">
      <w:pPr>
        <w:pStyle w:val="Ruller4"/>
        <w:numPr>
          <w:ilvl w:val="0"/>
          <w:numId w:val="0"/>
        </w:numPr>
      </w:pPr>
      <w:r>
        <w:rPr>
          <w:rtl/>
        </w:rPr>
        <w:tab/>
      </w:r>
      <w:r>
        <w:rPr>
          <w:rFonts w:hint="cs"/>
          <w:rtl/>
        </w:rPr>
        <w:t xml:space="preserve">כפי שהובהר לא אחת, </w:t>
      </w:r>
      <w:r>
        <w:rPr>
          <w:rtl/>
        </w:rPr>
        <w:t xml:space="preserve">הביקורת השיפוטית המהותית על תוצרי הרשות המכוננת </w:t>
      </w:r>
      <w:r>
        <w:rPr>
          <w:rFonts w:hint="cs"/>
          <w:rtl/>
        </w:rPr>
        <w:t xml:space="preserve">תחומה לשאלה </w:t>
      </w:r>
      <w:r w:rsidRPr="000B3DB0">
        <w:rPr>
          <w:rFonts w:ascii="Century" w:hAnsi="Century" w:cs="Miriam" w:hint="cs"/>
          <w:b/>
          <w:spacing w:val="0"/>
          <w:sz w:val="22"/>
          <w:szCs w:val="24"/>
          <w:rtl/>
        </w:rPr>
        <w:t>האם חרגה הרשות המכוננת</w:t>
      </w:r>
      <w:r w:rsidRPr="000B3DB0">
        <w:rPr>
          <w:rFonts w:ascii="Century" w:hAnsi="Century" w:cs="Miriam"/>
          <w:b/>
          <w:spacing w:val="0"/>
          <w:sz w:val="22"/>
          <w:szCs w:val="24"/>
          <w:rtl/>
        </w:rPr>
        <w:t xml:space="preserve"> </w:t>
      </w:r>
      <w:r w:rsidRPr="000B3DB0">
        <w:rPr>
          <w:rFonts w:ascii="Century" w:hAnsi="Century" w:cs="Miriam" w:hint="cs"/>
          <w:b/>
          <w:spacing w:val="0"/>
          <w:sz w:val="22"/>
          <w:szCs w:val="24"/>
          <w:rtl/>
        </w:rPr>
        <w:t>מגדרי סמכותה</w:t>
      </w:r>
      <w:r>
        <w:rPr>
          <w:rtl/>
        </w:rPr>
        <w:t xml:space="preserve">. </w:t>
      </w:r>
      <w:r>
        <w:rPr>
          <w:rFonts w:hint="cs"/>
          <w:rtl/>
        </w:rPr>
        <w:t>כך, ב</w:t>
      </w:r>
      <w:r>
        <w:rPr>
          <w:rtl/>
        </w:rPr>
        <w:t xml:space="preserve">עניין </w:t>
      </w:r>
      <w:r>
        <w:rPr>
          <w:rFonts w:ascii="Century" w:hAnsi="Century" w:cs="Miriam"/>
          <w:b/>
          <w:spacing w:val="0"/>
          <w:sz w:val="22"/>
          <w:szCs w:val="24"/>
          <w:rtl/>
        </w:rPr>
        <w:t>חוק טל</w:t>
      </w:r>
      <w:r>
        <w:rPr>
          <w:rtl/>
        </w:rPr>
        <w:t xml:space="preserve"> צוין כי </w:t>
      </w:r>
      <w:r w:rsidRPr="000D65D0">
        <w:rPr>
          <w:rtl/>
        </w:rPr>
        <w:t xml:space="preserve">"יש מקום לתפישה כי חוק או חוק יסוד, אשר ישללו את אופייה של ישראל כמדינה יהודית או דמוקרטית, אינו חוקתי. העם, הריבון, </w:t>
      </w:r>
      <w:r w:rsidRPr="000D65D0">
        <w:rPr>
          <w:rFonts w:ascii="Century" w:hAnsi="Century" w:cs="Miriam"/>
          <w:b/>
          <w:spacing w:val="0"/>
          <w:sz w:val="22"/>
          <w:szCs w:val="24"/>
          <w:rtl/>
        </w:rPr>
        <w:t>לא הסמיך</w:t>
      </w:r>
      <w:r w:rsidRPr="000D65D0">
        <w:rPr>
          <w:rtl/>
        </w:rPr>
        <w:t xml:space="preserve"> לכך את הכנסת שלנו. זו הוסמכה לפעול במסגרת עקרונות היסוד של המשטר. היא </w:t>
      </w:r>
      <w:r w:rsidRPr="000D65D0">
        <w:rPr>
          <w:rFonts w:ascii="Century" w:hAnsi="Century" w:cs="Miriam"/>
          <w:b/>
          <w:spacing w:val="0"/>
          <w:sz w:val="22"/>
          <w:szCs w:val="24"/>
          <w:rtl/>
        </w:rPr>
        <w:t>לא הוסמכה</w:t>
      </w:r>
      <w:r w:rsidRPr="000D65D0">
        <w:rPr>
          <w:rtl/>
        </w:rPr>
        <w:t xml:space="preserve"> לבטלם" (</w:t>
      </w:r>
      <w:r w:rsidRPr="000D65D0">
        <w:rPr>
          <w:rFonts w:ascii="Century" w:hAnsi="Century" w:cs="Miriam"/>
          <w:b/>
          <w:spacing w:val="0"/>
          <w:sz w:val="22"/>
          <w:szCs w:val="24"/>
          <w:rtl/>
        </w:rPr>
        <w:t>שם</w:t>
      </w:r>
      <w:r w:rsidRPr="000D65D0">
        <w:rPr>
          <w:rtl/>
        </w:rPr>
        <w:t xml:space="preserve">, בעמ' 717; ההדגשות </w:t>
      </w:r>
      <w:r w:rsidRPr="00B87286">
        <w:rPr>
          <w:rtl/>
        </w:rPr>
        <w:t>הוספו</w:t>
      </w:r>
      <w:r w:rsidRPr="00B87286">
        <w:rPr>
          <w:rFonts w:hint="cs"/>
          <w:rtl/>
        </w:rPr>
        <w:t xml:space="preserve">; ראו גם: עניין </w:t>
      </w:r>
      <w:r w:rsidRPr="00B87286">
        <w:rPr>
          <w:rFonts w:ascii="Century" w:hAnsi="Century" w:cs="Miriam" w:hint="cs"/>
          <w:b/>
          <w:spacing w:val="0"/>
          <w:sz w:val="22"/>
          <w:szCs w:val="24"/>
          <w:rtl/>
        </w:rPr>
        <w:t>בנק המזרחי</w:t>
      </w:r>
      <w:r w:rsidRPr="00B87286">
        <w:rPr>
          <w:rFonts w:hint="cs"/>
          <w:rtl/>
        </w:rPr>
        <w:t>, בעמ' 394</w:t>
      </w:r>
      <w:r w:rsidRPr="00B87286">
        <w:rPr>
          <w:rtl/>
        </w:rPr>
        <w:t xml:space="preserve">). </w:t>
      </w:r>
      <w:r w:rsidRPr="00B87286">
        <w:rPr>
          <w:rFonts w:hint="cs"/>
          <w:rtl/>
        </w:rPr>
        <w:t>באופן</w:t>
      </w:r>
      <w:r>
        <w:rPr>
          <w:rFonts w:hint="cs"/>
          <w:rtl/>
        </w:rPr>
        <w:t xml:space="preserve"> דומה, צוינה </w:t>
      </w:r>
      <w:r w:rsidRPr="00DA1BE3">
        <w:rPr>
          <w:rtl/>
        </w:rPr>
        <w:t xml:space="preserve">בעניין </w:t>
      </w:r>
      <w:r w:rsidRPr="00DA1BE3">
        <w:rPr>
          <w:rFonts w:ascii="Century" w:hAnsi="Century" w:cs="Miriam"/>
          <w:b/>
          <w:spacing w:val="0"/>
          <w:sz w:val="22"/>
          <w:szCs w:val="24"/>
          <w:rtl/>
        </w:rPr>
        <w:t>בר-און</w:t>
      </w:r>
      <w:r w:rsidRPr="00DA1BE3">
        <w:rPr>
          <w:rtl/>
        </w:rPr>
        <w:t xml:space="preserve"> האפשרות </w:t>
      </w:r>
      <w:r>
        <w:rPr>
          <w:rFonts w:hint="cs"/>
          <w:rtl/>
        </w:rPr>
        <w:t>כי</w:t>
      </w:r>
      <w:r w:rsidRPr="00DA1BE3">
        <w:rPr>
          <w:rtl/>
        </w:rPr>
        <w:t xml:space="preserve"> בית המשפט יידרש "להכריע אם </w:t>
      </w:r>
      <w:r w:rsidRPr="00DA1BE3">
        <w:rPr>
          <w:rFonts w:ascii="Century" w:hAnsi="Century" w:cs="Miriam"/>
          <w:b/>
          <w:spacing w:val="0"/>
          <w:sz w:val="22"/>
          <w:szCs w:val="24"/>
          <w:rtl/>
        </w:rPr>
        <w:t>חרגה הכנסת</w:t>
      </w:r>
      <w:r w:rsidRPr="00DA1BE3">
        <w:rPr>
          <w:rtl/>
        </w:rPr>
        <w:t xml:space="preserve"> </w:t>
      </w:r>
      <w:r w:rsidRPr="00DA1BE3">
        <w:rPr>
          <w:rFonts w:ascii="Century" w:hAnsi="Century" w:cs="Miriam"/>
          <w:b/>
          <w:spacing w:val="0"/>
          <w:sz w:val="22"/>
          <w:szCs w:val="24"/>
          <w:rtl/>
        </w:rPr>
        <w:t>מסמכותה המכוננת</w:t>
      </w:r>
      <w:r w:rsidRPr="00DA1BE3">
        <w:rPr>
          <w:rtl/>
        </w:rPr>
        <w:t xml:space="preserve"> ופגעה ביסודות בסיסיים של המדינה כמדינה יהודית ודמוקרטית" (</w:t>
      </w:r>
      <w:r w:rsidRPr="00DA1BE3">
        <w:rPr>
          <w:rFonts w:ascii="Century" w:hAnsi="Century" w:cs="Miriam"/>
          <w:b/>
          <w:spacing w:val="0"/>
          <w:sz w:val="22"/>
          <w:szCs w:val="24"/>
          <w:rtl/>
        </w:rPr>
        <w:t>שם</w:t>
      </w:r>
      <w:r w:rsidRPr="00DA1BE3">
        <w:rPr>
          <w:rtl/>
        </w:rPr>
        <w:t xml:space="preserve">, בעמ' 312; ההדגשה הוספה; ראו גם: עניין </w:t>
      </w:r>
      <w:r w:rsidRPr="00DA1BE3">
        <w:rPr>
          <w:rFonts w:ascii="Century" w:hAnsi="Century" w:cs="Miriam"/>
          <w:b/>
          <w:spacing w:val="0"/>
          <w:sz w:val="22"/>
          <w:szCs w:val="24"/>
          <w:rtl/>
        </w:rPr>
        <w:t>חסון</w:t>
      </w:r>
      <w:r w:rsidRPr="00DA1BE3">
        <w:rPr>
          <w:rtl/>
        </w:rPr>
        <w:t xml:space="preserve">, בפסקה 29 לחוות דעתי; בפסקה 6 לחוות דעתו של המשנה לנשיאה (בדימ') </w:t>
      </w:r>
      <w:r w:rsidRPr="00DA1BE3">
        <w:rPr>
          <w:rFonts w:ascii="Century" w:hAnsi="Century" w:cs="Miriam"/>
          <w:b/>
          <w:spacing w:val="0"/>
          <w:sz w:val="22"/>
          <w:szCs w:val="24"/>
          <w:rtl/>
        </w:rPr>
        <w:t>מלצר</w:t>
      </w:r>
      <w:r w:rsidRPr="00DA1BE3">
        <w:rPr>
          <w:rtl/>
        </w:rPr>
        <w:t>; ובפסקה 13 לחוות דעתו של השופט</w:t>
      </w:r>
      <w:r>
        <w:rPr>
          <w:rFonts w:hint="cs"/>
          <w:rtl/>
        </w:rPr>
        <w:t xml:space="preserve"> (בדימ')</w:t>
      </w:r>
      <w:r w:rsidRPr="00DA1BE3">
        <w:rPr>
          <w:rtl/>
        </w:rPr>
        <w:t xml:space="preserve"> </w:t>
      </w:r>
      <w:r w:rsidRPr="00DA1BE3">
        <w:rPr>
          <w:rFonts w:ascii="Century" w:hAnsi="Century" w:cs="Miriam"/>
          <w:b/>
          <w:spacing w:val="0"/>
          <w:sz w:val="22"/>
          <w:szCs w:val="24"/>
          <w:rtl/>
        </w:rPr>
        <w:t>מזוז</w:t>
      </w:r>
      <w:r>
        <w:rPr>
          <w:rtl/>
        </w:rPr>
        <w:t xml:space="preserve">). </w:t>
      </w:r>
      <w:r>
        <w:rPr>
          <w:rFonts w:hint="cs"/>
          <w:rtl/>
        </w:rPr>
        <w:t>הסוגיה המשפטית של חריגה מסמכות מסורה, כאמור, לבית המשפט</w:t>
      </w:r>
      <w:r>
        <w:rPr>
          <w:rtl/>
        </w:rPr>
        <w:t xml:space="preserve">, </w:t>
      </w:r>
      <w:r>
        <w:rPr>
          <w:rFonts w:hint="cs"/>
          <w:rtl/>
        </w:rPr>
        <w:t xml:space="preserve">ועל כן ניתן להביאה להכרעתו גם ככל שהיא מתעוררת </w:t>
      </w:r>
      <w:r>
        <w:rPr>
          <w:rtl/>
        </w:rPr>
        <w:t>–</w:t>
      </w:r>
      <w:r>
        <w:rPr>
          <w:rFonts w:hint="cs"/>
          <w:rtl/>
        </w:rPr>
        <w:t xml:space="preserve"> במקרים קיצוניים וחריגים </w:t>
      </w:r>
      <w:r>
        <w:rPr>
          <w:rtl/>
        </w:rPr>
        <w:t>– ביחס לחקיק</w:t>
      </w:r>
      <w:r>
        <w:rPr>
          <w:rFonts w:hint="cs"/>
          <w:rtl/>
        </w:rPr>
        <w:t xml:space="preserve">ת חוק יסוד או לתיקונו. </w:t>
      </w:r>
    </w:p>
    <w:p w:rsidR="00C044AE" w:rsidRPr="00023B79" w:rsidRDefault="00C044AE" w:rsidP="00C044AE">
      <w:pPr>
        <w:pStyle w:val="Ruller41"/>
        <w:rPr>
          <w:rtl/>
        </w:rPr>
      </w:pPr>
    </w:p>
    <w:p w:rsidR="00C044AE" w:rsidRDefault="00C044AE" w:rsidP="00C044AE">
      <w:pPr>
        <w:pStyle w:val="Ruller4"/>
        <w:rPr>
          <w:rtl/>
        </w:rPr>
      </w:pPr>
      <w:r>
        <w:rPr>
          <w:rFonts w:hint="cs"/>
          <w:rtl/>
        </w:rPr>
        <w:t xml:space="preserve">לבסוף יש להדגיש כי בישראל, אין כיום גוף אחר מלבד בית המשפט, שאינו מעורב בחקיקת הנורמות החוקתיות, אשר יש ביכולתו לשמש "בלם חיצוני" בפני פריצת גבולות הסמכות </w:t>
      </w:r>
      <w:r w:rsidRPr="009B417C">
        <w:rPr>
          <w:rFonts w:hint="cs"/>
          <w:rtl/>
        </w:rPr>
        <w:t xml:space="preserve">המכוננת (השוו: אהרן ברק </w:t>
      </w:r>
      <w:r w:rsidRPr="009B417C">
        <w:rPr>
          <w:rFonts w:ascii="Century" w:hAnsi="Century" w:cs="Miriam" w:hint="cs"/>
          <w:b/>
          <w:spacing w:val="0"/>
          <w:sz w:val="22"/>
          <w:szCs w:val="24"/>
          <w:rtl/>
        </w:rPr>
        <w:t xml:space="preserve">שופט בחברה דמוקרטית </w:t>
      </w:r>
      <w:r w:rsidRPr="009B417C">
        <w:rPr>
          <w:rFonts w:ascii="Century" w:hAnsi="Century" w:hint="cs"/>
          <w:sz w:val="22"/>
          <w:rtl/>
        </w:rPr>
        <w:t xml:space="preserve">109 (2004)). </w:t>
      </w:r>
      <w:r>
        <w:rPr>
          <w:rFonts w:ascii="Century" w:hAnsi="Century" w:hint="cs"/>
          <w:sz w:val="22"/>
          <w:rtl/>
        </w:rPr>
        <w:t xml:space="preserve">במאמר מוסגר יצוין כי </w:t>
      </w:r>
      <w:r>
        <w:rPr>
          <w:rFonts w:hint="cs"/>
          <w:rtl/>
        </w:rPr>
        <w:t xml:space="preserve">גם במדינות אחרות שבהן המגבלות על תיקון החוקה הן אכיפות, הגוף המופקד ככלל על מלאכת הביקורת הוא בית המשפט </w:t>
      </w:r>
      <w:r w:rsidRPr="00F817CD">
        <w:rPr>
          <w:rFonts w:hint="cs"/>
          <w:rtl/>
        </w:rPr>
        <w:t xml:space="preserve">(ראו: </w:t>
      </w:r>
      <w:r w:rsidRPr="00F817CD">
        <w:rPr>
          <w:smallCaps/>
        </w:rPr>
        <w:t>Roznai</w:t>
      </w:r>
      <w:r w:rsidRPr="00F817CD">
        <w:rPr>
          <w:rFonts w:hint="cs"/>
          <w:rtl/>
        </w:rPr>
        <w:t>, בעמ' 203 ו-209).</w:t>
      </w:r>
      <w:r>
        <w:rPr>
          <w:rFonts w:hint="cs"/>
          <w:rtl/>
        </w:rPr>
        <w:t xml:space="preserve"> </w:t>
      </w:r>
    </w:p>
    <w:p w:rsidR="00C044AE" w:rsidRDefault="00C044AE" w:rsidP="00C044AE">
      <w:pPr>
        <w:pStyle w:val="Ruller41"/>
        <w:rPr>
          <w:rtl/>
        </w:rPr>
      </w:pPr>
    </w:p>
    <w:p w:rsidR="00C044AE" w:rsidRDefault="00C044AE" w:rsidP="00C044AE">
      <w:pPr>
        <w:pStyle w:val="Ruller4"/>
      </w:pPr>
      <w:r>
        <w:rPr>
          <w:rFonts w:hint="cs"/>
          <w:rtl/>
        </w:rPr>
        <w:t xml:space="preserve">משיבי הממשלה והכנסת העלו בטיעוניהם שורה של קשיים בכל הנוגע להכרה בסמכותו של בית משפט זה לקיים ביקורת שיפוטית מהותית על חוקי היסוד. </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לטענת משיבי הממשלה, ההכרה בסמכותו של בית המשפט לקיים ביקורת שיפוטית כאמור, תציב את ישראל כשיטה היחידה בעולם שבה בית המשפט "</w:t>
      </w:r>
      <w:r w:rsidRPr="00DB0A51">
        <w:rPr>
          <w:rFonts w:hint="eastAsia"/>
          <w:rtl/>
        </w:rPr>
        <w:t>מאמץ</w:t>
      </w:r>
      <w:r w:rsidRPr="00DB0A51">
        <w:rPr>
          <w:rtl/>
        </w:rPr>
        <w:t xml:space="preserve"> </w:t>
      </w:r>
      <w:r w:rsidRPr="00DB0A51">
        <w:rPr>
          <w:rFonts w:hint="eastAsia"/>
          <w:rtl/>
        </w:rPr>
        <w:t>לעצמו</w:t>
      </w:r>
      <w:r w:rsidRPr="00DB0A51">
        <w:rPr>
          <w:rtl/>
        </w:rPr>
        <w:t xml:space="preserve"> </w:t>
      </w:r>
      <w:r w:rsidRPr="00DB0A51">
        <w:rPr>
          <w:rFonts w:hint="eastAsia"/>
          <w:rtl/>
        </w:rPr>
        <w:t>סמכות</w:t>
      </w:r>
      <w:r w:rsidRPr="00DB0A51">
        <w:rPr>
          <w:rtl/>
        </w:rPr>
        <w:t xml:space="preserve"> </w:t>
      </w:r>
      <w:r w:rsidRPr="00DB0A51">
        <w:rPr>
          <w:rFonts w:hint="eastAsia"/>
          <w:rtl/>
        </w:rPr>
        <w:t>לבקר</w:t>
      </w:r>
      <w:r w:rsidRPr="00DB0A51">
        <w:rPr>
          <w:rtl/>
        </w:rPr>
        <w:t xml:space="preserve"> </w:t>
      </w:r>
      <w:r w:rsidRPr="00DB0A51">
        <w:rPr>
          <w:rFonts w:hint="eastAsia"/>
          <w:rtl/>
        </w:rPr>
        <w:t>תיקוני</w:t>
      </w:r>
      <w:r w:rsidRPr="00DB0A51">
        <w:rPr>
          <w:rtl/>
        </w:rPr>
        <w:t xml:space="preserve"> </w:t>
      </w:r>
      <w:r w:rsidRPr="00DB0A51">
        <w:rPr>
          <w:rFonts w:hint="eastAsia"/>
          <w:rtl/>
        </w:rPr>
        <w:t>חוקה</w:t>
      </w:r>
      <w:r w:rsidRPr="00DB0A51">
        <w:rPr>
          <w:rtl/>
        </w:rPr>
        <w:t xml:space="preserve"> </w:t>
      </w:r>
      <w:r w:rsidRPr="00DB0A51">
        <w:rPr>
          <w:rFonts w:hint="eastAsia"/>
          <w:rtl/>
        </w:rPr>
        <w:t>מבלי</w:t>
      </w:r>
      <w:r w:rsidRPr="00DB0A51">
        <w:rPr>
          <w:rtl/>
        </w:rPr>
        <w:t xml:space="preserve"> </w:t>
      </w:r>
      <w:r w:rsidRPr="00DB0A51">
        <w:rPr>
          <w:rFonts w:hint="eastAsia"/>
          <w:rtl/>
        </w:rPr>
        <w:t>שיש</w:t>
      </w:r>
      <w:r w:rsidRPr="00DB0A51">
        <w:rPr>
          <w:rtl/>
        </w:rPr>
        <w:t xml:space="preserve"> </w:t>
      </w:r>
      <w:r w:rsidRPr="00DB0A51">
        <w:rPr>
          <w:rFonts w:hint="eastAsia"/>
          <w:rtl/>
        </w:rPr>
        <w:t>פסקאות</w:t>
      </w:r>
      <w:r w:rsidRPr="00DB0A51">
        <w:rPr>
          <w:rtl/>
        </w:rPr>
        <w:t xml:space="preserve"> </w:t>
      </w:r>
      <w:r w:rsidRPr="00DB0A51">
        <w:rPr>
          <w:rFonts w:hint="eastAsia"/>
          <w:rtl/>
        </w:rPr>
        <w:t>נצחיות</w:t>
      </w:r>
      <w:r w:rsidRPr="00DB0A51">
        <w:rPr>
          <w:rtl/>
        </w:rPr>
        <w:t xml:space="preserve">, </w:t>
      </w:r>
      <w:r w:rsidRPr="00DB0A51">
        <w:rPr>
          <w:rFonts w:hint="eastAsia"/>
          <w:rtl/>
        </w:rPr>
        <w:t>ללא</w:t>
      </w:r>
      <w:r w:rsidRPr="00DB0A51">
        <w:rPr>
          <w:rtl/>
        </w:rPr>
        <w:t xml:space="preserve"> </w:t>
      </w:r>
      <w:r w:rsidRPr="00DB0A51">
        <w:rPr>
          <w:rFonts w:hint="eastAsia"/>
          <w:rtl/>
        </w:rPr>
        <w:t>שיש</w:t>
      </w:r>
      <w:r w:rsidRPr="00DB0A51">
        <w:rPr>
          <w:rtl/>
        </w:rPr>
        <w:t xml:space="preserve"> </w:t>
      </w:r>
      <w:r w:rsidRPr="00DB0A51">
        <w:rPr>
          <w:rFonts w:hint="eastAsia"/>
          <w:rtl/>
        </w:rPr>
        <w:t>חוקה</w:t>
      </w:r>
      <w:r w:rsidRPr="00DB0A51">
        <w:rPr>
          <w:rFonts w:hint="cs"/>
          <w:rtl/>
        </w:rPr>
        <w:t xml:space="preserve"> </w:t>
      </w:r>
      <w:r w:rsidRPr="00DB0A51">
        <w:rPr>
          <w:rFonts w:hint="eastAsia"/>
          <w:rtl/>
        </w:rPr>
        <w:t>שלימה</w:t>
      </w:r>
      <w:r w:rsidRPr="00DB0A51">
        <w:rPr>
          <w:rtl/>
        </w:rPr>
        <w:t xml:space="preserve">, </w:t>
      </w:r>
      <w:r w:rsidRPr="00DB0A51">
        <w:rPr>
          <w:rFonts w:hint="eastAsia"/>
          <w:rtl/>
        </w:rPr>
        <w:t>ללא</w:t>
      </w:r>
      <w:r w:rsidRPr="00DB0A51">
        <w:rPr>
          <w:rtl/>
        </w:rPr>
        <w:t xml:space="preserve"> </w:t>
      </w:r>
      <w:r w:rsidRPr="00DB0A51">
        <w:rPr>
          <w:rFonts w:hint="eastAsia"/>
          <w:rtl/>
        </w:rPr>
        <w:t>שניתן</w:t>
      </w:r>
      <w:r w:rsidRPr="00DB0A51">
        <w:rPr>
          <w:rtl/>
        </w:rPr>
        <w:t xml:space="preserve"> </w:t>
      </w:r>
      <w:r w:rsidRPr="00DB0A51">
        <w:rPr>
          <w:rFonts w:hint="eastAsia"/>
          <w:rtl/>
        </w:rPr>
        <w:t>להסיק</w:t>
      </w:r>
      <w:r w:rsidRPr="00DB0A51">
        <w:rPr>
          <w:rtl/>
        </w:rPr>
        <w:t xml:space="preserve"> </w:t>
      </w:r>
      <w:r w:rsidRPr="00DB0A51">
        <w:rPr>
          <w:rFonts w:hint="eastAsia"/>
          <w:rtl/>
        </w:rPr>
        <w:t>על</w:t>
      </w:r>
      <w:r w:rsidRPr="00DB0A51">
        <w:rPr>
          <w:rtl/>
        </w:rPr>
        <w:t xml:space="preserve"> </w:t>
      </w:r>
      <w:r w:rsidRPr="00DB0A51">
        <w:rPr>
          <w:rFonts w:hint="eastAsia"/>
          <w:rtl/>
        </w:rPr>
        <w:t>מבנה</w:t>
      </w:r>
      <w:r w:rsidRPr="00DB0A51">
        <w:rPr>
          <w:rtl/>
        </w:rPr>
        <w:t xml:space="preserve"> </w:t>
      </w:r>
      <w:r w:rsidRPr="00DB0A51">
        <w:rPr>
          <w:rFonts w:hint="eastAsia"/>
          <w:rtl/>
        </w:rPr>
        <w:t>בסיסי</w:t>
      </w:r>
      <w:r w:rsidRPr="00DB0A51">
        <w:rPr>
          <w:rtl/>
        </w:rPr>
        <w:t xml:space="preserve"> </w:t>
      </w:r>
      <w:r w:rsidRPr="00DB0A51">
        <w:rPr>
          <w:rFonts w:hint="eastAsia"/>
          <w:rtl/>
        </w:rPr>
        <w:t>לחוקה</w:t>
      </w:r>
      <w:r w:rsidRPr="00DB0A51">
        <w:rPr>
          <w:rtl/>
        </w:rPr>
        <w:t xml:space="preserve"> </w:t>
      </w:r>
      <w:r w:rsidRPr="00DB0A51">
        <w:rPr>
          <w:rFonts w:hint="eastAsia"/>
          <w:rtl/>
        </w:rPr>
        <w:t>שאיננה</w:t>
      </w:r>
      <w:r w:rsidRPr="00DB0A51">
        <w:rPr>
          <w:rFonts w:hint="cs"/>
          <w:rtl/>
        </w:rPr>
        <w:t>" (פסקה 107 לתצהיר התשובה).</w:t>
      </w:r>
      <w:r>
        <w:rPr>
          <w:rFonts w:hint="cs"/>
          <w:rtl/>
        </w:rPr>
        <w:t xml:space="preserve"> טיעון זה נסמך על סקירה מקיפה שהובאה בתצהיר התשובה מטעמם בנוגע לביקורת שיפוטית על תיקונים לחוקה במדינות שונות בעולם. ואולם, לגישתי לא ניתן לנתק את שאלת הביקורת השיפוטית על נורמות חוקתיות מהסביבה החוקתית שבה הן מתקבלות. בהקשר זה ראוי לזכור כי ישראל היא גם המדינה היחידה בעולם שחוקתה עודנה מצויה בתהליכי גיבוש במשך למעלה משבעה עשורים, ללא מועד סיום הנראה לעין; אשר בה הרוב הפוליטי זוכה לשליטה מלאה על כינון החוקה המתהווה; ואשר ביכולתו לאשר נורמות חוקתיות בהליך פשוט ביותר, הזהה להליך אישור חקיקה רגילה. אכן, לא בכדי כבר צוין </w:t>
      </w:r>
      <w:r w:rsidRPr="008340DF">
        <w:rPr>
          <w:rFonts w:hint="cs"/>
          <w:rtl/>
        </w:rPr>
        <w:t>כי "הפנייה ללמוד מניסיונן של שיטות חוקתיות אחרות בהקשר זה היא מורכבת" (</w:t>
      </w:r>
      <w:r w:rsidRPr="008340DF">
        <w:rPr>
          <w:rFonts w:ascii="Century" w:hAnsi="Century" w:hint="cs"/>
          <w:sz w:val="22"/>
          <w:rtl/>
        </w:rPr>
        <w:t>עניין</w:t>
      </w:r>
      <w:r w:rsidRPr="008340DF">
        <w:rPr>
          <w:rFonts w:ascii="Century" w:hAnsi="Century" w:cs="Miriam" w:hint="cs"/>
          <w:b/>
          <w:spacing w:val="0"/>
          <w:sz w:val="22"/>
          <w:szCs w:val="24"/>
          <w:rtl/>
        </w:rPr>
        <w:t xml:space="preserve"> חסון</w:t>
      </w:r>
      <w:r w:rsidRPr="008340DF">
        <w:rPr>
          <w:rFonts w:hint="cs"/>
          <w:rtl/>
        </w:rPr>
        <w:t xml:space="preserve">, בפסקה 12 לחוות דעתה של השופטת </w:t>
      </w:r>
      <w:r w:rsidRPr="008340DF">
        <w:rPr>
          <w:rFonts w:ascii="Century" w:hAnsi="Century" w:cs="Miriam" w:hint="cs"/>
          <w:b/>
          <w:spacing w:val="0"/>
          <w:sz w:val="22"/>
          <w:szCs w:val="24"/>
          <w:rtl/>
        </w:rPr>
        <w:t>ברק-ארז</w:t>
      </w:r>
      <w:r w:rsidRPr="008340DF">
        <w:rPr>
          <w:rFonts w:hint="cs"/>
          <w:rtl/>
        </w:rPr>
        <w:t>).</w:t>
      </w:r>
      <w:r>
        <w:rPr>
          <w:rFonts w:hint="cs"/>
          <w:rtl/>
        </w:rPr>
        <w:t xml:space="preserve"> </w:t>
      </w:r>
    </w:p>
    <w:p w:rsidR="00C044AE" w:rsidRDefault="00C044AE" w:rsidP="00C044AE">
      <w:pPr>
        <w:pStyle w:val="Ruller4"/>
        <w:numPr>
          <w:ilvl w:val="0"/>
          <w:numId w:val="0"/>
        </w:numPr>
        <w:rPr>
          <w:rtl/>
        </w:rPr>
      </w:pPr>
    </w:p>
    <w:p w:rsidR="00C044AE" w:rsidRPr="00983A7D" w:rsidRDefault="00C044AE" w:rsidP="00C044AE">
      <w:pPr>
        <w:pStyle w:val="Ruller4"/>
        <w:rPr>
          <w:rtl/>
        </w:rPr>
      </w:pPr>
      <w:r>
        <w:rPr>
          <w:rFonts w:hint="cs"/>
          <w:rtl/>
        </w:rPr>
        <w:t>טענה נוספת שמעלים הכנסת ומשיבי הממשלה היא ש</w:t>
      </w:r>
      <w:r>
        <w:rPr>
          <w:rFonts w:hint="eastAsia"/>
          <w:rtl/>
        </w:rPr>
        <w:t>הפקדת</w:t>
      </w:r>
      <w:r>
        <w:rPr>
          <w:rtl/>
        </w:rPr>
        <w:t xml:space="preserve"> </w:t>
      </w:r>
      <w:r>
        <w:rPr>
          <w:rFonts w:hint="eastAsia"/>
          <w:rtl/>
        </w:rPr>
        <w:t>הסמכות</w:t>
      </w:r>
      <w:r>
        <w:rPr>
          <w:rtl/>
        </w:rPr>
        <w:t xml:space="preserve"> </w:t>
      </w:r>
      <w:r>
        <w:rPr>
          <w:rFonts w:hint="eastAsia"/>
          <w:rtl/>
        </w:rPr>
        <w:t>ל</w:t>
      </w:r>
      <w:r>
        <w:rPr>
          <w:rFonts w:hint="cs"/>
          <w:rtl/>
        </w:rPr>
        <w:t xml:space="preserve">קיום ביקורת על חוקי היסוד בידי בית המשפט </w:t>
      </w:r>
      <w:r>
        <w:rPr>
          <w:rtl/>
        </w:rPr>
        <w:t>–</w:t>
      </w:r>
      <w:r>
        <w:rPr>
          <w:rFonts w:hint="cs"/>
          <w:rtl/>
        </w:rPr>
        <w:t xml:space="preserve"> כגוף שאינו ייצוגי </w:t>
      </w:r>
      <w:r>
        <w:rPr>
          <w:rtl/>
        </w:rPr>
        <w:t>–</w:t>
      </w:r>
      <w:r>
        <w:rPr>
          <w:rFonts w:hint="cs"/>
          <w:rtl/>
        </w:rPr>
        <w:t xml:space="preserve"> פוגעת בעקרון של ריבונות העם. טיעון זה אין לקבל. אישור חוק יסוד שיפגע בגרעין הזהות היהודית והדמוקרטית של המדינה אין בו משום ביטוי להגשמת ריבונות העם </w:t>
      </w:r>
      <w:r>
        <w:rPr>
          <w:rtl/>
        </w:rPr>
        <w:t>–</w:t>
      </w:r>
      <w:r>
        <w:rPr>
          <w:rFonts w:hint="cs"/>
          <w:rtl/>
        </w:rPr>
        <w:t xml:space="preserve"> נהפוך הוא. מדובר בחריגה מובהקת מהסמכות המוגבלת שבה מחזיקה הכנסת בכובעה כרשות מכוננת, אשר ניתנה לה בנאמנות על ידי העם (</w:t>
      </w:r>
      <w:r w:rsidRPr="002653C6">
        <w:rPr>
          <w:rFonts w:hint="cs"/>
          <w:rtl/>
        </w:rPr>
        <w:t xml:space="preserve">ראו והשוו: עניין </w:t>
      </w:r>
      <w:r w:rsidRPr="002653C6">
        <w:rPr>
          <w:rFonts w:ascii="Century" w:hAnsi="Century" w:cs="Miriam" w:hint="cs"/>
          <w:b/>
          <w:spacing w:val="0"/>
          <w:sz w:val="22"/>
          <w:szCs w:val="24"/>
          <w:rtl/>
        </w:rPr>
        <w:t>חסון</w:t>
      </w:r>
      <w:r w:rsidRPr="002653C6">
        <w:rPr>
          <w:rFonts w:hint="cs"/>
          <w:rtl/>
        </w:rPr>
        <w:t xml:space="preserve">, בפסקה 5 לחוות דעתו של המשנה לנשיאה (בדימ') </w:t>
      </w:r>
      <w:r w:rsidRPr="002653C6">
        <w:rPr>
          <w:rFonts w:ascii="Century" w:hAnsi="Century" w:cs="Miriam" w:hint="cs"/>
          <w:b/>
          <w:spacing w:val="0"/>
          <w:sz w:val="22"/>
          <w:szCs w:val="24"/>
          <w:rtl/>
        </w:rPr>
        <w:t>מלצר</w:t>
      </w:r>
      <w:r w:rsidRPr="002653C6">
        <w:rPr>
          <w:rFonts w:hint="cs"/>
          <w:rtl/>
        </w:rPr>
        <w:t>;</w:t>
      </w:r>
      <w:r w:rsidRPr="002653C6">
        <w:rPr>
          <w:rFonts w:hint="eastAsia"/>
          <w:rtl/>
        </w:rPr>
        <w:t xml:space="preserve"> יניב</w:t>
      </w:r>
      <w:r w:rsidRPr="002653C6">
        <w:rPr>
          <w:rtl/>
        </w:rPr>
        <w:t xml:space="preserve"> </w:t>
      </w:r>
      <w:r w:rsidRPr="002653C6">
        <w:rPr>
          <w:rFonts w:hint="eastAsia"/>
          <w:rtl/>
        </w:rPr>
        <w:t>רוזנאי</w:t>
      </w:r>
      <w:r w:rsidRPr="002653C6">
        <w:rPr>
          <w:rtl/>
        </w:rPr>
        <w:t xml:space="preserve"> "</w:t>
      </w:r>
      <w:r w:rsidRPr="002653C6">
        <w:rPr>
          <w:rFonts w:hint="eastAsia"/>
          <w:rtl/>
        </w:rPr>
        <w:t>שמרנות</w:t>
      </w:r>
      <w:r w:rsidRPr="002653C6">
        <w:rPr>
          <w:rtl/>
        </w:rPr>
        <w:t xml:space="preserve"> </w:t>
      </w:r>
      <w:r w:rsidRPr="002653C6">
        <w:rPr>
          <w:rFonts w:hint="eastAsia"/>
          <w:rtl/>
        </w:rPr>
        <w:t>רדיקלית</w:t>
      </w:r>
      <w:r w:rsidRPr="002653C6">
        <w:rPr>
          <w:rtl/>
        </w:rPr>
        <w:t xml:space="preserve"> </w:t>
      </w:r>
      <w:r w:rsidRPr="002653C6">
        <w:rPr>
          <w:rFonts w:hint="eastAsia"/>
          <w:rtl/>
        </w:rPr>
        <w:t>ודוקטרינת</w:t>
      </w:r>
      <w:r w:rsidRPr="002653C6">
        <w:rPr>
          <w:rtl/>
        </w:rPr>
        <w:t xml:space="preserve"> </w:t>
      </w:r>
      <w:r w:rsidRPr="002653C6">
        <w:rPr>
          <w:rFonts w:hint="eastAsia"/>
          <w:rtl/>
        </w:rPr>
        <w:t>התיקון</w:t>
      </w:r>
      <w:r w:rsidRPr="002653C6">
        <w:rPr>
          <w:rtl/>
        </w:rPr>
        <w:t xml:space="preserve"> </w:t>
      </w:r>
      <w:r w:rsidRPr="002653C6">
        <w:rPr>
          <w:rFonts w:hint="eastAsia"/>
          <w:rtl/>
        </w:rPr>
        <w:t>החוקתי</w:t>
      </w:r>
      <w:r w:rsidRPr="002653C6">
        <w:rPr>
          <w:rtl/>
        </w:rPr>
        <w:t xml:space="preserve"> </w:t>
      </w:r>
      <w:r w:rsidRPr="002653C6">
        <w:rPr>
          <w:rFonts w:hint="eastAsia"/>
          <w:rtl/>
        </w:rPr>
        <w:t>הלא־חוקתי</w:t>
      </w:r>
      <w:r w:rsidRPr="002653C6">
        <w:rPr>
          <w:rtl/>
        </w:rPr>
        <w:t xml:space="preserve">" </w:t>
      </w:r>
      <w:r w:rsidRPr="002653C6">
        <w:t>ICON-S Essays</w:t>
      </w:r>
      <w:r w:rsidRPr="002653C6">
        <w:rPr>
          <w:rtl/>
        </w:rPr>
        <w:t xml:space="preserve">: </w:t>
      </w:r>
      <w:r w:rsidRPr="002653C6">
        <w:rPr>
          <w:rFonts w:ascii="Century" w:hAnsi="Century" w:cs="Miriam" w:hint="eastAsia"/>
          <w:b/>
          <w:spacing w:val="0"/>
          <w:sz w:val="22"/>
          <w:szCs w:val="24"/>
          <w:rtl/>
        </w:rPr>
        <w:t>חיבורים</w:t>
      </w:r>
      <w:r w:rsidRPr="002653C6">
        <w:rPr>
          <w:rFonts w:ascii="Century" w:hAnsi="Century" w:cs="Miriam"/>
          <w:b/>
          <w:spacing w:val="0"/>
          <w:sz w:val="22"/>
          <w:szCs w:val="24"/>
          <w:rtl/>
        </w:rPr>
        <w:t xml:space="preserve"> </w:t>
      </w:r>
      <w:r w:rsidRPr="002653C6">
        <w:rPr>
          <w:rFonts w:ascii="Century" w:hAnsi="Century" w:cs="Miriam" w:hint="eastAsia"/>
          <w:b/>
          <w:spacing w:val="0"/>
          <w:sz w:val="22"/>
          <w:szCs w:val="24"/>
          <w:rtl/>
        </w:rPr>
        <w:t>במשפט</w:t>
      </w:r>
      <w:r w:rsidRPr="002653C6">
        <w:rPr>
          <w:rFonts w:ascii="Century" w:hAnsi="Century" w:cs="Miriam"/>
          <w:b/>
          <w:spacing w:val="0"/>
          <w:sz w:val="22"/>
          <w:szCs w:val="24"/>
          <w:rtl/>
        </w:rPr>
        <w:t xml:space="preserve"> </w:t>
      </w:r>
      <w:r w:rsidRPr="002653C6">
        <w:rPr>
          <w:rFonts w:ascii="Century" w:hAnsi="Century" w:cs="Miriam" w:hint="eastAsia"/>
          <w:b/>
          <w:spacing w:val="0"/>
          <w:sz w:val="22"/>
          <w:szCs w:val="24"/>
          <w:rtl/>
        </w:rPr>
        <w:t>הציבורי</w:t>
      </w:r>
      <w:r w:rsidRPr="002653C6">
        <w:rPr>
          <w:rtl/>
        </w:rPr>
        <w:t xml:space="preserve"> </w:t>
      </w:r>
      <w:r w:rsidRPr="002653C6">
        <w:rPr>
          <w:rFonts w:hint="eastAsia"/>
          <w:rtl/>
        </w:rPr>
        <w:t>א</w:t>
      </w:r>
      <w:r w:rsidRPr="002653C6">
        <w:rPr>
          <w:rtl/>
        </w:rPr>
        <w:t xml:space="preserve"> 1 (2022)</w:t>
      </w:r>
      <w:r w:rsidRPr="002653C6">
        <w:rPr>
          <w:rFonts w:hint="cs"/>
          <w:rtl/>
        </w:rPr>
        <w:t>).</w:t>
      </w:r>
      <w:r>
        <w:rPr>
          <w:rFonts w:hint="cs"/>
          <w:rtl/>
        </w:rPr>
        <w:t xml:space="preserve"> אכן</w:t>
      </w:r>
      <w:r w:rsidRPr="00527601">
        <w:rPr>
          <w:rFonts w:hint="cs"/>
          <w:rtl/>
        </w:rPr>
        <w:t>, "</w:t>
      </w:r>
      <w:r w:rsidRPr="00E77019">
        <w:rPr>
          <w:rtl/>
        </w:rPr>
        <w:t>הריבונות במדינה דמוקרטית היא של העם. הריבונות אינה של הכנסת, אינה של הממשלה ואינה של בתי</w:t>
      </w:r>
      <w:r w:rsidRPr="00E77019">
        <w:rPr>
          <w:rFonts w:hint="cs"/>
          <w:rtl/>
        </w:rPr>
        <w:t xml:space="preserve"> </w:t>
      </w:r>
      <w:r w:rsidRPr="00E77019">
        <w:rPr>
          <w:rtl/>
        </w:rPr>
        <w:t>המשפט</w:t>
      </w:r>
      <w:r w:rsidRPr="00E77019">
        <w:rPr>
          <w:rFonts w:hint="cs"/>
          <w:rtl/>
        </w:rPr>
        <w:t>" (</w:t>
      </w:r>
      <w:r w:rsidRPr="00E77019">
        <w:rPr>
          <w:rtl/>
        </w:rPr>
        <w:t xml:space="preserve">עניין </w:t>
      </w:r>
      <w:r w:rsidRPr="00E77019">
        <w:rPr>
          <w:rFonts w:ascii="Century" w:hAnsi="Century" w:cs="Miriam"/>
          <w:b/>
          <w:spacing w:val="0"/>
          <w:sz w:val="22"/>
          <w:szCs w:val="24"/>
          <w:rtl/>
        </w:rPr>
        <w:t>בנק המזרחי</w:t>
      </w:r>
      <w:r w:rsidRPr="00E77019">
        <w:rPr>
          <w:rFonts w:hint="cs"/>
          <w:rtl/>
        </w:rPr>
        <w:t>, בעמ' 399).</w:t>
      </w:r>
      <w:r>
        <w:rPr>
          <w:rFonts w:hint="cs"/>
          <w:rtl/>
        </w:rPr>
        <w:t xml:space="preserve"> על כן, בנסיבות חריגות שבהן נבחרי הציבור הפרו את חובת האמון </w:t>
      </w:r>
      <w:r w:rsidRPr="00983A7D">
        <w:rPr>
          <w:rFonts w:hint="cs"/>
          <w:rtl/>
        </w:rPr>
        <w:t>כלפי העם</w:t>
      </w:r>
      <w:r>
        <w:rPr>
          <w:rFonts w:hint="cs"/>
          <w:rtl/>
        </w:rPr>
        <w:t xml:space="preserve"> וחרגו מסמכותם המכוננת</w:t>
      </w:r>
      <w:r w:rsidRPr="00983A7D">
        <w:rPr>
          <w:rFonts w:hint="cs"/>
          <w:rtl/>
        </w:rPr>
        <w:t xml:space="preserve">, העובדה שבית המשפט </w:t>
      </w:r>
      <w:r>
        <w:rPr>
          <w:rFonts w:hint="cs"/>
          <w:rtl/>
        </w:rPr>
        <w:t>איננו גוף</w:t>
      </w:r>
      <w:r w:rsidRPr="00983A7D">
        <w:rPr>
          <w:rFonts w:hint="cs"/>
          <w:rtl/>
        </w:rPr>
        <w:t xml:space="preserve"> ייצוג</w:t>
      </w:r>
      <w:r w:rsidRPr="00196D19">
        <w:rPr>
          <w:rFonts w:hint="cs"/>
          <w:rtl/>
        </w:rPr>
        <w:t>י</w:t>
      </w:r>
      <w:r>
        <w:rPr>
          <w:rFonts w:hint="cs"/>
          <w:rtl/>
        </w:rPr>
        <w:t>, אינה פועלת בעוכריו בהקשר זה. היותו גוף א-פוליטי</w:t>
      </w:r>
      <w:r w:rsidRPr="00196D19">
        <w:rPr>
          <w:rFonts w:hint="cs"/>
          <w:rtl/>
        </w:rPr>
        <w:t xml:space="preserve"> </w:t>
      </w:r>
      <w:r>
        <w:rPr>
          <w:rFonts w:hint="cs"/>
          <w:rtl/>
        </w:rPr>
        <w:t>ובלתי תלוי</w:t>
      </w:r>
      <w:r w:rsidRPr="00196D19">
        <w:rPr>
          <w:rFonts w:hint="cs"/>
          <w:rtl/>
        </w:rPr>
        <w:t xml:space="preserve"> </w:t>
      </w:r>
      <w:r>
        <w:rPr>
          <w:rFonts w:hint="cs"/>
          <w:rtl/>
        </w:rPr>
        <w:t xml:space="preserve">הוא שהופך </w:t>
      </w:r>
      <w:r w:rsidRPr="00983A7D">
        <w:rPr>
          <w:rFonts w:hint="eastAsia"/>
          <w:rtl/>
        </w:rPr>
        <w:t>אותו</w:t>
      </w:r>
      <w:r w:rsidRPr="00983A7D">
        <w:rPr>
          <w:rtl/>
        </w:rPr>
        <w:t xml:space="preserve"> </w:t>
      </w:r>
      <w:r w:rsidRPr="00983A7D">
        <w:rPr>
          <w:rFonts w:hint="eastAsia"/>
          <w:rtl/>
        </w:rPr>
        <w:t>לגורם</w:t>
      </w:r>
      <w:r w:rsidRPr="00983A7D">
        <w:rPr>
          <w:rtl/>
        </w:rPr>
        <w:t xml:space="preserve"> </w:t>
      </w:r>
      <w:r w:rsidRPr="00983A7D">
        <w:rPr>
          <w:rFonts w:hint="eastAsia"/>
          <w:rtl/>
        </w:rPr>
        <w:t>שיוכל</w:t>
      </w:r>
      <w:r w:rsidRPr="00983A7D">
        <w:rPr>
          <w:rtl/>
        </w:rPr>
        <w:t xml:space="preserve"> </w:t>
      </w:r>
      <w:r w:rsidRPr="00983A7D">
        <w:rPr>
          <w:rFonts w:hint="eastAsia"/>
          <w:rtl/>
        </w:rPr>
        <w:t>ליתן</w:t>
      </w:r>
      <w:r w:rsidRPr="00983A7D">
        <w:rPr>
          <w:rtl/>
        </w:rPr>
        <w:t xml:space="preserve"> </w:t>
      </w:r>
      <w:r w:rsidRPr="00983A7D">
        <w:rPr>
          <w:rFonts w:hint="eastAsia"/>
          <w:rtl/>
        </w:rPr>
        <w:t>מענה</w:t>
      </w:r>
      <w:r w:rsidRPr="00983A7D">
        <w:rPr>
          <w:rtl/>
        </w:rPr>
        <w:t xml:space="preserve"> </w:t>
      </w:r>
      <w:r>
        <w:rPr>
          <w:rFonts w:hint="cs"/>
          <w:rtl/>
        </w:rPr>
        <w:t xml:space="preserve">אפקטיבי </w:t>
      </w:r>
      <w:r w:rsidRPr="00983A7D">
        <w:rPr>
          <w:rFonts w:hint="eastAsia"/>
          <w:rtl/>
        </w:rPr>
        <w:t>באותם</w:t>
      </w:r>
      <w:r w:rsidRPr="00983A7D">
        <w:rPr>
          <w:rtl/>
        </w:rPr>
        <w:t xml:space="preserve"> </w:t>
      </w:r>
      <w:r w:rsidRPr="00983A7D">
        <w:rPr>
          <w:rFonts w:hint="eastAsia"/>
          <w:rtl/>
        </w:rPr>
        <w:t>מצבי</w:t>
      </w:r>
      <w:r w:rsidRPr="00983A7D">
        <w:rPr>
          <w:rtl/>
        </w:rPr>
        <w:t xml:space="preserve"> </w:t>
      </w:r>
      <w:r w:rsidRPr="00983A7D">
        <w:rPr>
          <w:rFonts w:hint="eastAsia"/>
          <w:rtl/>
        </w:rPr>
        <w:t>קצה</w:t>
      </w:r>
      <w:r w:rsidRPr="00983A7D">
        <w:rPr>
          <w:rtl/>
        </w:rPr>
        <w:t xml:space="preserve"> (</w:t>
      </w:r>
      <w:r w:rsidRPr="00983A7D">
        <w:rPr>
          <w:rFonts w:hint="cs"/>
          <w:rtl/>
        </w:rPr>
        <w:t xml:space="preserve">השוו: </w:t>
      </w:r>
      <w:r w:rsidRPr="00F26FF1">
        <w:rPr>
          <w:rFonts w:hint="cs"/>
          <w:rtl/>
        </w:rPr>
        <w:t>ברק מדינה "</w:t>
      </w:r>
      <w:r w:rsidRPr="00F26FF1">
        <w:rPr>
          <w:rtl/>
        </w:rPr>
        <w:t>האם יש לישראל חוקה? על דמוקרטיה הליכית</w:t>
      </w:r>
      <w:r w:rsidRPr="00F26FF1">
        <w:rPr>
          <w:rFonts w:hint="cs"/>
          <w:rtl/>
        </w:rPr>
        <w:t xml:space="preserve"> </w:t>
      </w:r>
      <w:r w:rsidRPr="00F26FF1">
        <w:rPr>
          <w:rtl/>
        </w:rPr>
        <w:t>ועל דמוקרטיה ליברלית</w:t>
      </w:r>
      <w:r w:rsidRPr="00F26FF1">
        <w:rPr>
          <w:rFonts w:hint="cs"/>
          <w:rtl/>
        </w:rPr>
        <w:t xml:space="preserve">" </w:t>
      </w:r>
      <w:r w:rsidRPr="00F26FF1">
        <w:rPr>
          <w:rFonts w:ascii="Century" w:hAnsi="Century" w:cs="Miriam" w:hint="cs"/>
          <w:b/>
          <w:spacing w:val="0"/>
          <w:sz w:val="22"/>
          <w:szCs w:val="24"/>
          <w:rtl/>
        </w:rPr>
        <w:t>עיוני משפט</w:t>
      </w:r>
      <w:r w:rsidRPr="00F26FF1">
        <w:rPr>
          <w:rFonts w:hint="cs"/>
          <w:rtl/>
        </w:rPr>
        <w:t xml:space="preserve"> מד 5, 30-29 (2021); </w:t>
      </w:r>
      <w:r w:rsidRPr="007E4ACE">
        <w:rPr>
          <w:rFonts w:ascii="Century" w:hAnsi="Century" w:cs="Miriam" w:hint="cs"/>
          <w:b/>
          <w:spacing w:val="0"/>
          <w:sz w:val="22"/>
          <w:szCs w:val="24"/>
          <w:rtl/>
        </w:rPr>
        <w:t>דותן "ביקורת שיפוטית"</w:t>
      </w:r>
      <w:r w:rsidRPr="007E4ACE">
        <w:rPr>
          <w:rFonts w:hint="cs"/>
          <w:rtl/>
        </w:rPr>
        <w:t>, בעמ' 71</w:t>
      </w:r>
      <w:r w:rsidRPr="00983A7D">
        <w:rPr>
          <w:rFonts w:hint="cs"/>
          <w:rtl/>
        </w:rPr>
        <w:t xml:space="preserve">). </w:t>
      </w:r>
    </w:p>
    <w:p w:rsidR="00C044AE" w:rsidRPr="001546A4" w:rsidRDefault="00C044AE" w:rsidP="00C044AE">
      <w:pPr>
        <w:pStyle w:val="Ruller41"/>
        <w:rPr>
          <w:rtl/>
        </w:rPr>
      </w:pPr>
    </w:p>
    <w:p w:rsidR="00C044AE" w:rsidRDefault="00C044AE" w:rsidP="00C044AE">
      <w:pPr>
        <w:pStyle w:val="Ruller4"/>
        <w:rPr>
          <w:rtl/>
        </w:rPr>
      </w:pPr>
      <w:bookmarkStart w:id="3" w:name="_Hlk148756682"/>
      <w:r>
        <w:rPr>
          <w:rFonts w:hint="cs"/>
          <w:rtl/>
        </w:rPr>
        <w:t xml:space="preserve">הכנסת ומשיבי הממשלה מוסיפים וטוענים כי לא ניתן ליישב ביקורת שיפוטית על חוקי יסוד עם ההלכה שנקבעה בעניין </w:t>
      </w:r>
      <w:r w:rsidRPr="00A51F57">
        <w:rPr>
          <w:rFonts w:ascii="Miriam" w:hAnsi="Miriam" w:cs="Miriam" w:hint="cs"/>
          <w:spacing w:val="0"/>
          <w:szCs w:val="24"/>
          <w:rtl/>
        </w:rPr>
        <w:t>בנק המזרחי</w:t>
      </w:r>
      <w:r>
        <w:rPr>
          <w:rFonts w:hint="cs"/>
          <w:rtl/>
        </w:rPr>
        <w:t xml:space="preserve">, אשר ביססה את סמכות הביקורת השיפוטית בכל הנוגע לחקיקה רגילה על כך שחוקי היסוד מצויים בפסגת הפירמידה </w:t>
      </w:r>
      <w:r>
        <w:rPr>
          <w:rFonts w:hint="cs"/>
          <w:rtl/>
        </w:rPr>
        <w:lastRenderedPageBreak/>
        <w:t xml:space="preserve">הנורמטיבית. טענה זו מוקשית בעיניי. במוקד עניין </w:t>
      </w:r>
      <w:r w:rsidRPr="00B404C6">
        <w:rPr>
          <w:rFonts w:ascii="Miriam" w:hAnsi="Miriam" w:cs="Miriam" w:hint="cs"/>
          <w:spacing w:val="0"/>
          <w:szCs w:val="24"/>
          <w:rtl/>
        </w:rPr>
        <w:t>בנק המזרחי</w:t>
      </w:r>
      <w:r>
        <w:rPr>
          <w:rFonts w:hint="cs"/>
          <w:rtl/>
        </w:rPr>
        <w:t xml:space="preserve"> ניצבה סוגיית עליונותם הנורמטיבית של חוקי יסוד על חקיקה רגילה. אך אין קשר הכרחי בין מעמדה העליון של נורמה מסוג אחד לעומת נורמות מסוג אחר, ובין קיומן של מגבלות על הסמכות ליצור את אותה נורמה עליונה </w:t>
      </w:r>
      <w:r w:rsidRPr="00833CEB">
        <w:rPr>
          <w:rFonts w:hint="cs"/>
          <w:rtl/>
        </w:rPr>
        <w:t xml:space="preserve">(השוו: </w:t>
      </w:r>
      <w:r w:rsidRPr="00833CEB">
        <w:rPr>
          <w:rFonts w:ascii="Century" w:hAnsi="Century" w:cs="Miriam" w:hint="cs"/>
          <w:b/>
          <w:spacing w:val="0"/>
          <w:sz w:val="22"/>
          <w:szCs w:val="24"/>
          <w:rtl/>
        </w:rPr>
        <w:t>ברק</w:t>
      </w:r>
      <w:r w:rsidRPr="00833CEB">
        <w:rPr>
          <w:rFonts w:hint="cs"/>
          <w:rtl/>
        </w:rPr>
        <w:t xml:space="preserve"> </w:t>
      </w:r>
      <w:r w:rsidRPr="00833CEB">
        <w:rPr>
          <w:rFonts w:ascii="Miriam" w:hAnsi="Miriam" w:cs="Miriam" w:hint="cs"/>
          <w:spacing w:val="0"/>
          <w:szCs w:val="24"/>
          <w:rtl/>
        </w:rPr>
        <w:t>"מגילת העצמאות"</w:t>
      </w:r>
      <w:r w:rsidRPr="00833CEB">
        <w:rPr>
          <w:rFonts w:hint="cs"/>
          <w:rtl/>
        </w:rPr>
        <w:t>, בעמ' 35).</w:t>
      </w:r>
      <w:r>
        <w:rPr>
          <w:rFonts w:hint="cs"/>
          <w:rtl/>
        </w:rPr>
        <w:t xml:space="preserve"> ואכן, עוד בעניין </w:t>
      </w:r>
      <w:r w:rsidRPr="00B404C6">
        <w:rPr>
          <w:rFonts w:ascii="Miriam" w:hAnsi="Miriam" w:cs="Miriam" w:hint="cs"/>
          <w:spacing w:val="0"/>
          <w:szCs w:val="24"/>
          <w:rtl/>
        </w:rPr>
        <w:t>בנק המזרחי</w:t>
      </w:r>
      <w:r>
        <w:rPr>
          <w:rFonts w:hint="cs"/>
          <w:rtl/>
        </w:rPr>
        <w:t xml:space="preserve"> הוזכרה אפשרות קיומה של ביקורת שיפוטית במקרים שבהם הכנסת תחרוג מסמכותה המכוננת, אך ההכרעה בעניין זה לא נדרשה שם </w:t>
      </w:r>
      <w:r w:rsidRPr="00833CEB">
        <w:rPr>
          <w:rFonts w:hint="cs"/>
          <w:rtl/>
        </w:rPr>
        <w:t>(</w:t>
      </w:r>
      <w:r w:rsidRPr="00833CEB">
        <w:rPr>
          <w:rFonts w:ascii="Miriam" w:hAnsi="Miriam" w:cs="Miriam" w:hint="cs"/>
          <w:spacing w:val="0"/>
          <w:szCs w:val="24"/>
          <w:rtl/>
        </w:rPr>
        <w:t>שם</w:t>
      </w:r>
      <w:r w:rsidRPr="00833CEB">
        <w:rPr>
          <w:rFonts w:hint="cs"/>
          <w:rtl/>
        </w:rPr>
        <w:t>, בעמ' 394).</w:t>
      </w:r>
      <w:r>
        <w:rPr>
          <w:rFonts w:hint="cs"/>
          <w:rtl/>
        </w:rPr>
        <w:t xml:space="preserve"> מכל מקום יש להבהיר, למען הסר ספק, כי </w:t>
      </w:r>
      <w:r w:rsidRPr="0049584F">
        <w:rPr>
          <w:rFonts w:hint="cs"/>
          <w:rtl/>
        </w:rPr>
        <w:t>הביקורת השיפוטית המהותית על חוקי היסוד</w:t>
      </w:r>
      <w:r>
        <w:rPr>
          <w:rFonts w:hint="cs"/>
          <w:rtl/>
        </w:rPr>
        <w:t xml:space="preserve"> מתמקדת ב</w:t>
      </w:r>
      <w:r w:rsidRPr="0049584F">
        <w:rPr>
          <w:rFonts w:hint="cs"/>
          <w:rtl/>
        </w:rPr>
        <w:t>שמירה על גבולות סמכותה של הרשות המכו</w:t>
      </w:r>
      <w:r>
        <w:rPr>
          <w:rFonts w:hint="cs"/>
          <w:rtl/>
        </w:rPr>
        <w:t>נ</w:t>
      </w:r>
      <w:r w:rsidRPr="0049584F">
        <w:rPr>
          <w:rFonts w:hint="cs"/>
          <w:rtl/>
        </w:rPr>
        <w:t xml:space="preserve">נת, </w:t>
      </w:r>
      <w:r>
        <w:rPr>
          <w:rFonts w:hint="cs"/>
          <w:rtl/>
        </w:rPr>
        <w:t xml:space="preserve">ואינה נשענת על קיומן של נורמות כלשהן </w:t>
      </w:r>
      <w:r w:rsidRPr="0049584F">
        <w:rPr>
          <w:rFonts w:hint="cs"/>
          <w:rtl/>
        </w:rPr>
        <w:t xml:space="preserve">המצויות </w:t>
      </w:r>
      <w:r>
        <w:rPr>
          <w:rFonts w:hint="cs"/>
          <w:rtl/>
        </w:rPr>
        <w:t>מעל לחוקי-היסוד</w:t>
      </w:r>
      <w:r w:rsidRPr="0049584F">
        <w:rPr>
          <w:rFonts w:hint="cs"/>
          <w:rtl/>
        </w:rPr>
        <w:t xml:space="preserve"> </w:t>
      </w:r>
      <w:r>
        <w:rPr>
          <w:rFonts w:hint="cs"/>
          <w:rtl/>
        </w:rPr>
        <w:t xml:space="preserve">במדרג הנורמטיבי </w:t>
      </w:r>
      <w:r w:rsidRPr="00833CEB">
        <w:rPr>
          <w:rFonts w:hint="cs"/>
          <w:rtl/>
        </w:rPr>
        <w:t xml:space="preserve">(השוו: עניין </w:t>
      </w:r>
      <w:r w:rsidRPr="00833CEB">
        <w:rPr>
          <w:rFonts w:ascii="Century" w:hAnsi="Century" w:cs="Miriam" w:hint="cs"/>
          <w:b/>
          <w:spacing w:val="0"/>
          <w:sz w:val="22"/>
          <w:szCs w:val="24"/>
          <w:rtl/>
        </w:rPr>
        <w:t>חסון</w:t>
      </w:r>
      <w:r w:rsidRPr="00833CEB">
        <w:rPr>
          <w:rFonts w:hint="cs"/>
          <w:rtl/>
        </w:rPr>
        <w:t xml:space="preserve">, בפסקה 8 לחוות דעתו של השופט </w:t>
      </w:r>
      <w:r w:rsidRPr="00833CEB">
        <w:rPr>
          <w:rFonts w:ascii="Century" w:hAnsi="Century" w:cs="Miriam" w:hint="cs"/>
          <w:b/>
          <w:spacing w:val="0"/>
          <w:sz w:val="22"/>
          <w:szCs w:val="24"/>
          <w:rtl/>
        </w:rPr>
        <w:t>סולברג</w:t>
      </w:r>
      <w:r w:rsidRPr="00833CEB">
        <w:rPr>
          <w:rFonts w:hint="cs"/>
          <w:rtl/>
        </w:rPr>
        <w:t xml:space="preserve">; ראו גם: </w:t>
      </w:r>
      <w:r w:rsidRPr="00833CEB">
        <w:rPr>
          <w:rFonts w:ascii="Century" w:hAnsi="Century" w:cs="Miriam" w:hint="cs"/>
          <w:b/>
          <w:spacing w:val="0"/>
          <w:sz w:val="22"/>
          <w:szCs w:val="24"/>
          <w:rtl/>
        </w:rPr>
        <w:t>ברק "תורת הזכויות החוקתיות"</w:t>
      </w:r>
      <w:r w:rsidRPr="00833CEB">
        <w:rPr>
          <w:rFonts w:hint="cs"/>
          <w:rtl/>
        </w:rPr>
        <w:t xml:space="preserve">, בעמ' 281; </w:t>
      </w:r>
      <w:r w:rsidRPr="00E32F54">
        <w:rPr>
          <w:rFonts w:hint="cs"/>
          <w:rtl/>
        </w:rPr>
        <w:t xml:space="preserve">מנגד ראו: אלון הראל </w:t>
      </w:r>
      <w:r w:rsidRPr="00E32F54">
        <w:rPr>
          <w:rtl/>
        </w:rPr>
        <w:t>"</w:t>
      </w:r>
      <w:r w:rsidRPr="00E32F54">
        <w:rPr>
          <w:rFonts w:hint="cs"/>
          <w:rtl/>
        </w:rPr>
        <w:t>'</w:t>
      </w:r>
      <w:r w:rsidRPr="00E32F54">
        <w:rPr>
          <w:rFonts w:hint="eastAsia"/>
          <w:rtl/>
        </w:rPr>
        <w:t>יהודית</w:t>
      </w:r>
      <w:r w:rsidRPr="00E32F54">
        <w:rPr>
          <w:rtl/>
        </w:rPr>
        <w:t xml:space="preserve"> </w:t>
      </w:r>
      <w:r w:rsidRPr="00E32F54">
        <w:rPr>
          <w:rFonts w:hint="eastAsia"/>
          <w:rtl/>
        </w:rPr>
        <w:t>ודמוקרטית</w:t>
      </w:r>
      <w:r w:rsidRPr="00E32F54">
        <w:rPr>
          <w:rFonts w:hint="cs"/>
          <w:rtl/>
        </w:rPr>
        <w:t>'</w:t>
      </w:r>
      <w:r w:rsidRPr="00E32F54">
        <w:rPr>
          <w:rtl/>
        </w:rPr>
        <w:t xml:space="preserve"> – </w:t>
      </w:r>
      <w:r w:rsidRPr="00E32F54">
        <w:rPr>
          <w:rFonts w:hint="eastAsia"/>
          <w:rtl/>
        </w:rPr>
        <w:t>ההצדקה</w:t>
      </w:r>
      <w:r w:rsidRPr="00E32F54">
        <w:rPr>
          <w:rtl/>
        </w:rPr>
        <w:t xml:space="preserve"> </w:t>
      </w:r>
      <w:r w:rsidRPr="00E32F54">
        <w:rPr>
          <w:rFonts w:hint="eastAsia"/>
          <w:rtl/>
        </w:rPr>
        <w:t>המשפטית</w:t>
      </w:r>
      <w:r w:rsidRPr="00E32F54">
        <w:rPr>
          <w:rtl/>
        </w:rPr>
        <w:t xml:space="preserve"> </w:t>
      </w:r>
      <w:r w:rsidRPr="00E32F54">
        <w:rPr>
          <w:rFonts w:hint="eastAsia"/>
          <w:rtl/>
        </w:rPr>
        <w:t>לפסילת</w:t>
      </w:r>
      <w:r w:rsidRPr="00E32F54">
        <w:rPr>
          <w:rtl/>
        </w:rPr>
        <w:t xml:space="preserve"> </w:t>
      </w:r>
      <w:r w:rsidRPr="00E32F54">
        <w:rPr>
          <w:rFonts w:hint="eastAsia"/>
          <w:rtl/>
        </w:rPr>
        <w:t>חוקי</w:t>
      </w:r>
      <w:r w:rsidRPr="00E32F54">
        <w:rPr>
          <w:rtl/>
        </w:rPr>
        <w:t xml:space="preserve"> </w:t>
      </w:r>
      <w:r w:rsidRPr="00E32F54">
        <w:rPr>
          <w:rFonts w:hint="eastAsia"/>
          <w:rtl/>
        </w:rPr>
        <w:t>יסוד</w:t>
      </w:r>
      <w:r w:rsidRPr="00E32F54">
        <w:rPr>
          <w:rFonts w:hint="cs"/>
          <w:rtl/>
        </w:rPr>
        <w:t xml:space="preserve">" </w:t>
      </w:r>
      <w:r w:rsidRPr="00E32F54">
        <w:rPr>
          <w:rFonts w:ascii="Century" w:hAnsi="Century" w:cs="Miriam" w:hint="cs"/>
          <w:b/>
          <w:spacing w:val="0"/>
          <w:sz w:val="22"/>
          <w:szCs w:val="24"/>
          <w:rtl/>
        </w:rPr>
        <w:t>דיומא</w:t>
      </w:r>
      <w:r w:rsidRPr="00E32F54">
        <w:rPr>
          <w:rFonts w:hint="cs"/>
          <w:rtl/>
        </w:rPr>
        <w:t xml:space="preserve"> (14.8.2023) </w:t>
      </w:r>
      <w:r w:rsidRPr="00E32F54">
        <w:t>https://dyoma.co.il/law/1972</w:t>
      </w:r>
      <w:r w:rsidRPr="00E32F54">
        <w:rPr>
          <w:rFonts w:hint="cs"/>
          <w:rtl/>
        </w:rPr>
        <w:t>).</w:t>
      </w:r>
    </w:p>
    <w:p w:rsidR="00C044AE" w:rsidRDefault="00C044AE" w:rsidP="00C044AE">
      <w:pPr>
        <w:pStyle w:val="Ruller41"/>
        <w:rPr>
          <w:rtl/>
        </w:rPr>
      </w:pPr>
    </w:p>
    <w:p w:rsidR="00C044AE" w:rsidRDefault="00C044AE" w:rsidP="00C044AE">
      <w:pPr>
        <w:pStyle w:val="Ruller41"/>
        <w:rPr>
          <w:rtl/>
        </w:rPr>
      </w:pPr>
      <w:r>
        <w:rPr>
          <w:rtl/>
        </w:rPr>
        <w:tab/>
      </w:r>
      <w:r>
        <w:rPr>
          <w:rFonts w:hint="cs"/>
          <w:rtl/>
        </w:rPr>
        <w:t xml:space="preserve">טענה אחרת שנוגעת לעניין </w:t>
      </w:r>
      <w:r w:rsidRPr="00B404C6">
        <w:rPr>
          <w:rFonts w:ascii="Century" w:hAnsi="Century" w:cs="Miriam" w:hint="cs"/>
          <w:b/>
          <w:spacing w:val="0"/>
          <w:szCs w:val="24"/>
          <w:rtl/>
        </w:rPr>
        <w:t>בנק המזרחי</w:t>
      </w:r>
      <w:r w:rsidRPr="00B404C6">
        <w:rPr>
          <w:rFonts w:hint="cs"/>
          <w:rtl/>
        </w:rPr>
        <w:t xml:space="preserve"> </w:t>
      </w:r>
      <w:r>
        <w:rPr>
          <w:rFonts w:hint="cs"/>
          <w:rtl/>
        </w:rPr>
        <w:t xml:space="preserve">היא שהמאפיינים המבניים הייחודיים של שיטתנו החוקתית </w:t>
      </w:r>
      <w:r>
        <w:rPr>
          <w:rtl/>
        </w:rPr>
        <w:t>–</w:t>
      </w:r>
      <w:r>
        <w:rPr>
          <w:rFonts w:hint="cs"/>
          <w:rtl/>
        </w:rPr>
        <w:t xml:space="preserve"> כמו הקלות שבחקיקת חוקי היסוד </w:t>
      </w:r>
      <w:r>
        <w:rPr>
          <w:rtl/>
        </w:rPr>
        <w:t>–</w:t>
      </w:r>
      <w:r>
        <w:rPr>
          <w:rFonts w:hint="cs"/>
          <w:rtl/>
        </w:rPr>
        <w:t xml:space="preserve"> היו ידועים כבר אז, ולמרות זאת ניתן להם מעמד נורמטיבי עליון, ואילו עתה מאפיינים אלה משמשים כהצדקה לקיום ביקורת שיפוטית על חוקי היסוד עצמם. אכן, אין חולק כי האפשרות לכונן חוקי יסוד </w:t>
      </w:r>
      <w:r w:rsidRPr="00DC07B0">
        <w:rPr>
          <w:rFonts w:hint="cs"/>
          <w:rtl/>
        </w:rPr>
        <w:t xml:space="preserve">חדשים ולשנותם בהליך פשוט אינה מצב אידיאלי בדמוקרטיה חוקתית. היו אף מי שסברו כי יש בכך כדי להצדיק, במידה כזו או אחרת, את שלילת עליונותם הנורמטיבית (ראו, </w:t>
      </w:r>
      <w:r w:rsidRPr="00E841DE">
        <w:rPr>
          <w:rFonts w:hint="cs"/>
          <w:rtl/>
        </w:rPr>
        <w:t xml:space="preserve">למשל, </w:t>
      </w:r>
      <w:r w:rsidRPr="00E841DE">
        <w:rPr>
          <w:rFonts w:ascii="Century" w:hAnsi="Century" w:cs="Miriam" w:hint="cs"/>
          <w:b/>
          <w:spacing w:val="0"/>
          <w:szCs w:val="24"/>
          <w:rtl/>
        </w:rPr>
        <w:t>פורת "פוליטיקה חוקתית"</w:t>
      </w:r>
      <w:r w:rsidRPr="00E841DE">
        <w:rPr>
          <w:rFonts w:hint="cs"/>
          <w:rtl/>
        </w:rPr>
        <w:t>, בעמ' 222; ראו</w:t>
      </w:r>
      <w:r>
        <w:rPr>
          <w:rFonts w:hint="cs"/>
          <w:rtl/>
        </w:rPr>
        <w:t xml:space="preserve"> גם: </w:t>
      </w:r>
      <w:r w:rsidRPr="00E841DE">
        <w:rPr>
          <w:rFonts w:hint="eastAsia"/>
          <w:rtl/>
        </w:rPr>
        <w:t>רות</w:t>
      </w:r>
      <w:r w:rsidRPr="00E841DE">
        <w:rPr>
          <w:rtl/>
        </w:rPr>
        <w:t xml:space="preserve"> </w:t>
      </w:r>
      <w:r w:rsidRPr="00E841DE">
        <w:rPr>
          <w:rFonts w:hint="eastAsia"/>
          <w:rtl/>
        </w:rPr>
        <w:t>גביזון</w:t>
      </w:r>
      <w:r w:rsidRPr="00E841DE">
        <w:rPr>
          <w:rtl/>
        </w:rPr>
        <w:t xml:space="preserve"> "</w:t>
      </w:r>
      <w:r w:rsidRPr="00E841DE">
        <w:rPr>
          <w:rFonts w:hint="eastAsia"/>
          <w:rtl/>
        </w:rPr>
        <w:t>המהפכה</w:t>
      </w:r>
      <w:r w:rsidRPr="00E841DE">
        <w:rPr>
          <w:rtl/>
        </w:rPr>
        <w:t xml:space="preserve"> </w:t>
      </w:r>
      <w:r w:rsidRPr="00E841DE">
        <w:rPr>
          <w:rFonts w:hint="eastAsia"/>
          <w:rtl/>
        </w:rPr>
        <w:t>החוקתית</w:t>
      </w:r>
      <w:r w:rsidRPr="00E841DE">
        <w:rPr>
          <w:rtl/>
        </w:rPr>
        <w:t xml:space="preserve"> </w:t>
      </w:r>
      <w:r>
        <w:rPr>
          <w:rtl/>
        </w:rPr>
        <w:t>–</w:t>
      </w:r>
      <w:r w:rsidRPr="00E841DE">
        <w:rPr>
          <w:rtl/>
        </w:rPr>
        <w:t xml:space="preserve"> </w:t>
      </w:r>
      <w:r w:rsidRPr="00E841DE">
        <w:rPr>
          <w:rFonts w:hint="eastAsia"/>
          <w:rtl/>
        </w:rPr>
        <w:t>תיאור</w:t>
      </w:r>
      <w:r w:rsidRPr="00E841DE">
        <w:rPr>
          <w:rtl/>
        </w:rPr>
        <w:t xml:space="preserve"> </w:t>
      </w:r>
      <w:r w:rsidRPr="00E841DE">
        <w:rPr>
          <w:rFonts w:hint="eastAsia"/>
          <w:rtl/>
        </w:rPr>
        <w:t>המציאות</w:t>
      </w:r>
      <w:r w:rsidRPr="00E841DE">
        <w:rPr>
          <w:rtl/>
        </w:rPr>
        <w:t xml:space="preserve"> </w:t>
      </w:r>
      <w:r w:rsidRPr="00E841DE">
        <w:rPr>
          <w:rFonts w:hint="eastAsia"/>
          <w:rtl/>
        </w:rPr>
        <w:t>או</w:t>
      </w:r>
      <w:r w:rsidRPr="00E841DE">
        <w:rPr>
          <w:rtl/>
        </w:rPr>
        <w:t xml:space="preserve"> </w:t>
      </w:r>
      <w:r w:rsidRPr="00E841DE">
        <w:rPr>
          <w:rFonts w:hint="eastAsia"/>
          <w:rtl/>
        </w:rPr>
        <w:t>נבואה</w:t>
      </w:r>
      <w:r w:rsidRPr="00E841DE">
        <w:rPr>
          <w:rtl/>
        </w:rPr>
        <w:t xml:space="preserve"> </w:t>
      </w:r>
      <w:r w:rsidRPr="00E841DE">
        <w:rPr>
          <w:rFonts w:hint="eastAsia"/>
          <w:rtl/>
        </w:rPr>
        <w:t>המגשימה</w:t>
      </w:r>
      <w:r w:rsidRPr="00E841DE">
        <w:rPr>
          <w:rtl/>
        </w:rPr>
        <w:t xml:space="preserve"> </w:t>
      </w:r>
      <w:r w:rsidRPr="00E841DE">
        <w:rPr>
          <w:rFonts w:hint="eastAsia"/>
          <w:rtl/>
        </w:rPr>
        <w:t>את</w:t>
      </w:r>
      <w:r w:rsidRPr="00E841DE">
        <w:rPr>
          <w:rtl/>
        </w:rPr>
        <w:t xml:space="preserve"> </w:t>
      </w:r>
      <w:r w:rsidRPr="00E841DE">
        <w:rPr>
          <w:rFonts w:hint="eastAsia"/>
          <w:rtl/>
        </w:rPr>
        <w:t>עצמה</w:t>
      </w:r>
      <w:r w:rsidRPr="00E841DE">
        <w:rPr>
          <w:rtl/>
        </w:rPr>
        <w:t xml:space="preserve">?" </w:t>
      </w:r>
      <w:r w:rsidRPr="00E841DE">
        <w:rPr>
          <w:rFonts w:ascii="Century" w:hAnsi="Century" w:cs="Miriam" w:hint="cs"/>
          <w:b/>
          <w:spacing w:val="0"/>
          <w:szCs w:val="24"/>
          <w:rtl/>
        </w:rPr>
        <w:t>משפטים</w:t>
      </w:r>
      <w:r w:rsidRPr="00E841DE">
        <w:rPr>
          <w:rFonts w:hint="cs"/>
          <w:rtl/>
        </w:rPr>
        <w:t xml:space="preserve"> כח 21 (התשנ"ז)).</w:t>
      </w:r>
      <w:r w:rsidRPr="00DC07B0">
        <w:rPr>
          <w:rFonts w:hint="cs"/>
          <w:rtl/>
        </w:rPr>
        <w:t xml:space="preserve"> בעיניי מסקנה זו הינה מרחיקת לכת. ניתן להכיר בכך שקיימים פגמים בשיטתנו החוקתית מבלי לוותר על</w:t>
      </w:r>
      <w:r>
        <w:rPr>
          <w:rFonts w:hint="cs"/>
          <w:rtl/>
        </w:rPr>
        <w:t xml:space="preserve"> היתרונות החשובים הטמונים בקיומן של נורמות חוקתיות עליונות, אשר מתוות את אופייה של המדינה; </w:t>
      </w:r>
      <w:r w:rsidRPr="00E841DE">
        <w:rPr>
          <w:rFonts w:hint="cs"/>
          <w:rtl/>
        </w:rPr>
        <w:t>מבטאות "הסכמה על 'כללי המשחק המשותפים"; מבטיחות כי כל פעולות רשויות השלטון יהיו בהתאם להן; משמשות מקור פרשנות לכלל הנורמות המשפטיות; ומגלמות ערך חינוכי חשוב לאומה כולה (</w:t>
      </w:r>
      <w:r w:rsidRPr="00E841DE">
        <w:rPr>
          <w:rFonts w:ascii="Century" w:hAnsi="Century" w:cs="Miriam"/>
          <w:b/>
          <w:spacing w:val="0"/>
          <w:szCs w:val="24"/>
          <w:rtl/>
        </w:rPr>
        <w:t>רובינשטיין ומדינה</w:t>
      </w:r>
      <w:r w:rsidRPr="00E841DE">
        <w:rPr>
          <w:rtl/>
        </w:rPr>
        <w:t>, בעמ' 55-54</w:t>
      </w:r>
      <w:r w:rsidRPr="00E841DE">
        <w:rPr>
          <w:rFonts w:hint="cs"/>
          <w:rtl/>
        </w:rPr>
        <w:t xml:space="preserve">; </w:t>
      </w:r>
      <w:r w:rsidRPr="004279B7">
        <w:rPr>
          <w:rFonts w:hint="cs"/>
          <w:rtl/>
        </w:rPr>
        <w:t xml:space="preserve">ראו גם: </w:t>
      </w:r>
      <w:r w:rsidRPr="004279B7">
        <w:rPr>
          <w:rtl/>
        </w:rPr>
        <w:t>בג"ץ 1384</w:t>
      </w:r>
      <w:r w:rsidRPr="004279B7">
        <w:rPr>
          <w:rFonts w:hint="cs"/>
          <w:rtl/>
        </w:rPr>
        <w:t>/</w:t>
      </w:r>
      <w:r w:rsidRPr="004279B7">
        <w:rPr>
          <w:rtl/>
        </w:rPr>
        <w:t xml:space="preserve">98 </w:t>
      </w:r>
      <w:r w:rsidRPr="004279B7">
        <w:rPr>
          <w:rFonts w:ascii="Century" w:hAnsi="Century" w:cs="Miriam"/>
          <w:b/>
          <w:spacing w:val="0"/>
          <w:szCs w:val="24"/>
          <w:rtl/>
        </w:rPr>
        <w:t>אבני נ' ראש</w:t>
      </w:r>
      <w:r w:rsidRPr="004279B7">
        <w:rPr>
          <w:rFonts w:ascii="Century" w:hAnsi="Century" w:cs="Miriam" w:hint="cs"/>
          <w:b/>
          <w:spacing w:val="0"/>
          <w:szCs w:val="24"/>
          <w:rtl/>
        </w:rPr>
        <w:t xml:space="preserve"> </w:t>
      </w:r>
      <w:r w:rsidRPr="004279B7">
        <w:rPr>
          <w:rFonts w:ascii="Century" w:hAnsi="Century" w:cs="Miriam"/>
          <w:b/>
          <w:spacing w:val="0"/>
          <w:szCs w:val="24"/>
          <w:rtl/>
        </w:rPr>
        <w:t>הממשלה</w:t>
      </w:r>
      <w:r w:rsidRPr="004279B7">
        <w:rPr>
          <w:rtl/>
        </w:rPr>
        <w:t>, פ"ד נב(5) 206</w:t>
      </w:r>
      <w:r w:rsidRPr="004279B7">
        <w:rPr>
          <w:rFonts w:hint="cs"/>
          <w:rtl/>
        </w:rPr>
        <w:t>, 210 (1998)).</w:t>
      </w:r>
      <w:r>
        <w:rPr>
          <w:rFonts w:hint="cs"/>
          <w:rtl/>
        </w:rPr>
        <w:t xml:space="preserve"> אדרבא, ההכרה באפשרות להושיט סעד באותם מקרים חריגים שבהם הליקויים המבניים בשיטתנו ינוצלו באופן שיוביל לתוצאה הרסנית, מבצרת את המשך קיומו של המפעל החוקתי הישראלי.  </w:t>
      </w:r>
    </w:p>
    <w:p w:rsidR="00C044AE" w:rsidRPr="00382E05" w:rsidRDefault="00C044AE" w:rsidP="00C044AE">
      <w:pPr>
        <w:pStyle w:val="Ruller41"/>
        <w:rPr>
          <w:rtl/>
        </w:rPr>
      </w:pPr>
    </w:p>
    <w:p w:rsidR="00C044AE" w:rsidRPr="008E59DF" w:rsidRDefault="00C044AE" w:rsidP="00C044AE">
      <w:pPr>
        <w:pStyle w:val="Ruller4"/>
      </w:pPr>
      <w:r>
        <w:rPr>
          <w:rFonts w:hint="cs"/>
          <w:rtl/>
        </w:rPr>
        <w:t xml:space="preserve"> עוד טוענים הכנסת ומשיבי הממשלה כי בית המשפט אינו מוסמך לקיים ביקורת שיפוטית על חוקי יסוד, משום שסמכויותיו שלו נובעות מנורמה המצויה באותו מעמד, קרי </w:t>
      </w:r>
      <w:r w:rsidRPr="0007236C">
        <w:rPr>
          <w:rtl/>
        </w:rPr>
        <w:t>–</w:t>
      </w:r>
      <w:r>
        <w:rPr>
          <w:rFonts w:hint="cs"/>
          <w:rtl/>
        </w:rPr>
        <w:t xml:space="preserve"> חוק-יסוד: השפיטה. טענה זו אכן מעוררת קושי עיוני לא מבוטל, </w:t>
      </w:r>
      <w:r w:rsidRPr="004279B7">
        <w:rPr>
          <w:rFonts w:hint="cs"/>
          <w:rtl/>
        </w:rPr>
        <w:t xml:space="preserve">ומקובל עליי כי </w:t>
      </w:r>
      <w:r w:rsidRPr="004279B7">
        <w:rPr>
          <w:rFonts w:hint="cs"/>
          <w:rtl/>
        </w:rPr>
        <w:lastRenderedPageBreak/>
        <w:t xml:space="preserve">אין מקום לבחון את "חוקתיותם" של חוקי היסוד בהתאם למבחנים הקבועים בפסקת ההגבלה שלפיהם נבחנת </w:t>
      </w:r>
      <w:r>
        <w:rPr>
          <w:rFonts w:hint="cs"/>
          <w:rtl/>
        </w:rPr>
        <w:t>ה</w:t>
      </w:r>
      <w:r w:rsidRPr="004279B7">
        <w:rPr>
          <w:rFonts w:hint="cs"/>
          <w:rtl/>
        </w:rPr>
        <w:t xml:space="preserve">חוקתיות </w:t>
      </w:r>
      <w:r>
        <w:rPr>
          <w:rFonts w:hint="cs"/>
          <w:rtl/>
        </w:rPr>
        <w:t xml:space="preserve">של </w:t>
      </w:r>
      <w:r w:rsidRPr="004279B7">
        <w:rPr>
          <w:rFonts w:hint="cs"/>
          <w:rtl/>
        </w:rPr>
        <w:t xml:space="preserve">חוקים רגילים (ראו: עניין </w:t>
      </w:r>
      <w:r w:rsidRPr="004279B7">
        <w:rPr>
          <w:rFonts w:ascii="Miriam" w:hAnsi="Miriam" w:cs="Miriam" w:hint="cs"/>
          <w:spacing w:val="0"/>
          <w:sz w:val="22"/>
          <w:szCs w:val="24"/>
          <w:rtl/>
        </w:rPr>
        <w:t>בן מאיר</w:t>
      </w:r>
      <w:r w:rsidRPr="004279B7">
        <w:rPr>
          <w:rFonts w:hint="cs"/>
          <w:rtl/>
        </w:rPr>
        <w:t>, בפסקה 20 לחוות דעתי; בג"</w:t>
      </w:r>
      <w:r w:rsidRPr="004279B7">
        <w:rPr>
          <w:rtl/>
        </w:rPr>
        <w:t xml:space="preserve">ץ 1368/94 </w:t>
      </w:r>
      <w:r w:rsidRPr="004279B7">
        <w:rPr>
          <w:rFonts w:ascii="Miriam" w:hAnsi="Miriam" w:cs="Miriam"/>
          <w:spacing w:val="0"/>
          <w:sz w:val="22"/>
          <w:szCs w:val="24"/>
          <w:rtl/>
        </w:rPr>
        <w:t>פורת נ' ממשלת ישראל</w:t>
      </w:r>
      <w:r w:rsidRPr="004279B7">
        <w:rPr>
          <w:rtl/>
        </w:rPr>
        <w:t>, פ"ד נז(5) 913 (1994)</w:t>
      </w:r>
      <w:r w:rsidRPr="004279B7">
        <w:rPr>
          <w:rFonts w:hint="cs"/>
          <w:rtl/>
        </w:rPr>
        <w:t xml:space="preserve"> (להלן: </w:t>
      </w:r>
      <w:r w:rsidRPr="004279B7">
        <w:rPr>
          <w:rFonts w:ascii="Century" w:hAnsi="Century" w:cs="Miriam" w:hint="eastAsia"/>
          <w:b/>
          <w:spacing w:val="0"/>
          <w:sz w:val="22"/>
          <w:szCs w:val="24"/>
          <w:rtl/>
        </w:rPr>
        <w:t>עניין</w:t>
      </w:r>
      <w:r w:rsidRPr="004279B7">
        <w:rPr>
          <w:rtl/>
        </w:rPr>
        <w:t xml:space="preserve"> </w:t>
      </w:r>
      <w:r w:rsidRPr="004279B7">
        <w:rPr>
          <w:rFonts w:ascii="Century" w:hAnsi="Century" w:cs="Miriam" w:hint="cs"/>
          <w:b/>
          <w:spacing w:val="0"/>
          <w:sz w:val="22"/>
          <w:szCs w:val="24"/>
          <w:rtl/>
        </w:rPr>
        <w:t>פורת</w:t>
      </w:r>
      <w:r w:rsidRPr="004279B7">
        <w:rPr>
          <w:rFonts w:hint="cs"/>
          <w:rtl/>
        </w:rPr>
        <w:t>)).</w:t>
      </w:r>
      <w:r>
        <w:rPr>
          <w:rFonts w:hint="cs"/>
          <w:rtl/>
        </w:rPr>
        <w:t xml:space="preserve"> התנגשות אפשרית בין חוק יסוד אחד לאחר אף היא אינה מהווה, כשלעצמה, עילה להתערבות </w:t>
      </w:r>
      <w:r w:rsidRPr="008E59DF">
        <w:rPr>
          <w:rFonts w:hint="cs"/>
          <w:rtl/>
        </w:rPr>
        <w:t xml:space="preserve">שיפוטית (עניין </w:t>
      </w:r>
      <w:r w:rsidRPr="008E59DF">
        <w:rPr>
          <w:rFonts w:ascii="Century" w:hAnsi="Century" w:cs="Miriam" w:hint="cs"/>
          <w:b/>
          <w:spacing w:val="0"/>
          <w:sz w:val="22"/>
          <w:szCs w:val="24"/>
          <w:rtl/>
        </w:rPr>
        <w:t>חסון</w:t>
      </w:r>
      <w:r w:rsidRPr="008E59DF">
        <w:rPr>
          <w:rFonts w:hint="cs"/>
          <w:rtl/>
        </w:rPr>
        <w:t>, בפסקה 49 לחוות דעתי).</w:t>
      </w:r>
      <w:r>
        <w:rPr>
          <w:rFonts w:hint="cs"/>
          <w:rtl/>
        </w:rPr>
        <w:t xml:space="preserve"> אכן, כל עוד מדובר בנורמה חוקתית תקפה וכל עוד הרשות המכוננת פועלת בגבולות סמכותה, אין לקיים ביקורת שיפוטית על פעולותיה. זאת, </w:t>
      </w:r>
      <w:r w:rsidRPr="0007236C">
        <w:rPr>
          <w:rtl/>
        </w:rPr>
        <w:t>נוכח העובדה שחוקי היסוד "מצויים בפסגת המדרג הנורמט</w:t>
      </w:r>
      <w:r w:rsidRPr="008E59DF">
        <w:rPr>
          <w:rtl/>
        </w:rPr>
        <w:t>יבי הפוזיטיבי"</w:t>
      </w:r>
      <w:r w:rsidRPr="008E59DF">
        <w:rPr>
          <w:rFonts w:hint="cs"/>
          <w:rtl/>
        </w:rPr>
        <w:t xml:space="preserve"> (עניין </w:t>
      </w:r>
      <w:r w:rsidRPr="008E59DF">
        <w:rPr>
          <w:rFonts w:ascii="Miriam" w:hAnsi="Miriam" w:cs="Miriam" w:hint="cs"/>
          <w:spacing w:val="0"/>
          <w:sz w:val="22"/>
          <w:szCs w:val="24"/>
          <w:rtl/>
        </w:rPr>
        <w:t>חסון</w:t>
      </w:r>
      <w:r w:rsidRPr="008E59DF">
        <w:rPr>
          <w:rFonts w:hint="cs"/>
          <w:rtl/>
        </w:rPr>
        <w:t>, בפסקה 32 לחוות דעתי).</w:t>
      </w:r>
    </w:p>
    <w:p w:rsidR="00C044AE" w:rsidRDefault="00C044AE" w:rsidP="00C044AE">
      <w:pPr>
        <w:pStyle w:val="Ruller4"/>
        <w:numPr>
          <w:ilvl w:val="0"/>
          <w:numId w:val="0"/>
        </w:numPr>
        <w:rPr>
          <w:rtl/>
        </w:rPr>
      </w:pPr>
    </w:p>
    <w:p w:rsidR="00C044AE" w:rsidRDefault="00C044AE" w:rsidP="00C044AE">
      <w:pPr>
        <w:pStyle w:val="Ruller4"/>
        <w:numPr>
          <w:ilvl w:val="0"/>
          <w:numId w:val="0"/>
        </w:numPr>
      </w:pPr>
      <w:r>
        <w:rPr>
          <w:rtl/>
        </w:rPr>
        <w:tab/>
      </w:r>
      <w:r>
        <w:rPr>
          <w:rFonts w:hint="cs"/>
          <w:rtl/>
        </w:rPr>
        <w:t xml:space="preserve">ואולם, באותם המצבים שבהם חוק יסוד או תיקון לחוק יסוד נחקקו תוך חריגה מובהקת מגבולות הסמכות המכוננת של הכנסת, לא נוצרה למעשה, </w:t>
      </w:r>
      <w:r w:rsidRPr="00B404C6">
        <w:rPr>
          <w:rFonts w:ascii="Century" w:hAnsi="Century" w:cs="Miriam" w:hint="cs"/>
          <w:b/>
          <w:spacing w:val="0"/>
          <w:sz w:val="22"/>
          <w:szCs w:val="24"/>
          <w:rtl/>
        </w:rPr>
        <w:t>נורמה חוקתית תקפה</w:t>
      </w:r>
      <w:r>
        <w:rPr>
          <w:rFonts w:hint="cs"/>
          <w:rtl/>
        </w:rPr>
        <w:t>. לשון אחר, לצד תנאים אחרים שנבחנו עד היום, ובהם עמידה בדרישות פרוצדוראליות כמו שינוי חוק יסוד ברוב מסוים בהתאם לסעיף "נוקשות" (</w:t>
      </w:r>
      <w:r w:rsidRPr="004F374E">
        <w:rPr>
          <w:rFonts w:hint="cs"/>
          <w:rtl/>
        </w:rPr>
        <w:t>ראו והשוו: עניין</w:t>
      </w:r>
      <w:r w:rsidRPr="004F374E">
        <w:rPr>
          <w:rtl/>
        </w:rPr>
        <w:t xml:space="preserve"> </w:t>
      </w:r>
      <w:r w:rsidRPr="004F374E">
        <w:rPr>
          <w:rFonts w:ascii="Miriam" w:hAnsi="Miriam" w:cs="Miriam"/>
          <w:spacing w:val="0"/>
          <w:sz w:val="22"/>
          <w:szCs w:val="24"/>
          <w:rtl/>
        </w:rPr>
        <w:t>פורת</w:t>
      </w:r>
      <w:r w:rsidRPr="004F374E">
        <w:rPr>
          <w:rFonts w:hint="cs"/>
          <w:rtl/>
        </w:rPr>
        <w:t xml:space="preserve">; עניין </w:t>
      </w:r>
      <w:r w:rsidRPr="004F374E">
        <w:rPr>
          <w:rFonts w:ascii="Century" w:hAnsi="Century" w:cs="Miriam" w:hint="cs"/>
          <w:b/>
          <w:spacing w:val="0"/>
          <w:sz w:val="22"/>
          <w:szCs w:val="24"/>
          <w:rtl/>
        </w:rPr>
        <w:t>בן מאיר</w:t>
      </w:r>
      <w:r w:rsidRPr="004F374E">
        <w:rPr>
          <w:rFonts w:hint="cs"/>
          <w:rtl/>
        </w:rPr>
        <w:t xml:space="preserve">, בפסקה 10 לחוות דעתו של השופט </w:t>
      </w:r>
      <w:r w:rsidRPr="004F374E">
        <w:rPr>
          <w:rFonts w:ascii="Century" w:hAnsi="Century" w:cs="Miriam" w:hint="cs"/>
          <w:b/>
          <w:spacing w:val="0"/>
          <w:sz w:val="22"/>
          <w:szCs w:val="24"/>
          <w:rtl/>
        </w:rPr>
        <w:t>מזוז</w:t>
      </w:r>
      <w:r w:rsidRPr="004F374E">
        <w:rPr>
          <w:rFonts w:hint="cs"/>
          <w:rtl/>
        </w:rPr>
        <w:t>);</w:t>
      </w:r>
      <w:r>
        <w:rPr>
          <w:rFonts w:hint="cs"/>
          <w:rtl/>
        </w:rPr>
        <w:t xml:space="preserve"> וזיהוי הנורמה ככזו שאכן מצויה במדרג החוקתי (בהתאם לדוקטרינת השימוש לרעה בסמכות המכוננת) </w:t>
      </w:r>
      <w:r>
        <w:rPr>
          <w:rtl/>
        </w:rPr>
        <w:t>–</w:t>
      </w:r>
      <w:r>
        <w:rPr>
          <w:rFonts w:hint="cs"/>
          <w:rtl/>
        </w:rPr>
        <w:t xml:space="preserve"> יש לוודא כי הרשות המכוננת פעלה בסמכות בעת שכוננה אותה. ככל שהרשות המכוננת חרגה מסמכותה </w:t>
      </w:r>
      <w:r>
        <w:rPr>
          <w:rtl/>
        </w:rPr>
        <w:t>–</w:t>
      </w:r>
      <w:r>
        <w:rPr>
          <w:rFonts w:hint="cs"/>
          <w:rtl/>
        </w:rPr>
        <w:t xml:space="preserve"> סמכות בית המשפט לקיים ביקורת שיפוטית נסמכת על כך שלא נוצרה כלל נורמה חוקתית תקפה שניתן להכיר בעליונותה על נורמות אחרות. </w:t>
      </w:r>
    </w:p>
    <w:p w:rsidR="00C044AE" w:rsidRPr="0050060D" w:rsidRDefault="00C044AE" w:rsidP="00C044AE">
      <w:pPr>
        <w:pStyle w:val="Ruller41"/>
        <w:rPr>
          <w:rtl/>
        </w:rPr>
      </w:pPr>
    </w:p>
    <w:bookmarkEnd w:id="3"/>
    <w:p w:rsidR="00C044AE" w:rsidRDefault="00C044AE" w:rsidP="00C044AE">
      <w:pPr>
        <w:pStyle w:val="Ruller4"/>
      </w:pPr>
      <w:r>
        <w:rPr>
          <w:rFonts w:hint="cs"/>
          <w:rtl/>
        </w:rPr>
        <w:t xml:space="preserve">לבסוף, משיבי הממשלה מציינים כי אין מקום לאפשר ביקורת שיפוטית על חוקי יסוד שכן אם הרשות המכוננת נחושה להחריב את המשטר הדמוקרטי, ממילא פסק דין של בית משפט זה לא יעצור בעדה. בהקשר זה הם מציינים </w:t>
      </w:r>
      <w:r w:rsidRPr="001C5E47">
        <w:rPr>
          <w:rFonts w:hint="cs"/>
          <w:rtl/>
        </w:rPr>
        <w:t xml:space="preserve">כי </w:t>
      </w:r>
      <w:r w:rsidRPr="001C5E47">
        <w:rPr>
          <w:rtl/>
        </w:rPr>
        <w:t>"אין מעצבים משטר וקובעים סמכויות על יסוד תרחישי אימה"</w:t>
      </w:r>
      <w:r w:rsidRPr="001C5E47">
        <w:rPr>
          <w:rFonts w:hint="cs"/>
          <w:rtl/>
        </w:rPr>
        <w:t xml:space="preserve"> (פסקה 279 לתצהיר התשובה </w:t>
      </w:r>
      <w:r>
        <w:rPr>
          <w:rFonts w:hint="cs"/>
          <w:rtl/>
        </w:rPr>
        <w:t>מטעם</w:t>
      </w:r>
      <w:r w:rsidRPr="001C5E47">
        <w:rPr>
          <w:rFonts w:hint="cs"/>
          <w:rtl/>
        </w:rPr>
        <w:t xml:space="preserve"> משיבי הממשלה).</w:t>
      </w:r>
      <w:r>
        <w:rPr>
          <w:rFonts w:hint="cs"/>
          <w:rtl/>
        </w:rPr>
        <w:t xml:space="preserve"> </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דעתי שונה. לגישתי, הצורך למנוע מראש תרחישי קיצון עומד ביסוד הסדרים חוקתיים רבים ואין לי אלא להפנות לדברים שנפסקו בהקשר זה כבר בשנות השמונים של המאה הקודמת: "</w:t>
      </w:r>
      <w:r>
        <w:rPr>
          <w:rtl/>
        </w:rPr>
        <w:t>אין בונים נורמות קונסטיטוציונית על יסוד תקוות. אין מגבשים עקרונות יסוד ממלכתיים על בסי</w:t>
      </w:r>
      <w:r>
        <w:rPr>
          <w:rFonts w:hint="cs"/>
          <w:rtl/>
        </w:rPr>
        <w:t>ס</w:t>
      </w:r>
      <w:r>
        <w:rPr>
          <w:rtl/>
        </w:rPr>
        <w:t xml:space="preserve"> הנחות, כי הכול יתנהל כשורה</w:t>
      </w:r>
      <w:r w:rsidRPr="00A61112">
        <w:rPr>
          <w:rtl/>
        </w:rPr>
        <w:t>. נהפוך הוא: כל המבנה הקונסטיטוציוני מבוס</w:t>
      </w:r>
      <w:r w:rsidRPr="00A61112">
        <w:rPr>
          <w:rFonts w:hint="cs"/>
          <w:rtl/>
        </w:rPr>
        <w:t>ס</w:t>
      </w:r>
      <w:r w:rsidRPr="00A61112">
        <w:rPr>
          <w:rtl/>
        </w:rPr>
        <w:t xml:space="preserve"> על ההנחה, כי דברים עשויים שלא להתנהל כשורה, ועל</w:t>
      </w:r>
      <w:r w:rsidRPr="00A61112">
        <w:rPr>
          <w:rFonts w:hint="cs"/>
          <w:rtl/>
        </w:rPr>
        <w:t>-</w:t>
      </w:r>
      <w:r w:rsidRPr="00A61112">
        <w:rPr>
          <w:rtl/>
        </w:rPr>
        <w:t>כן יש להציב גבולות וגדרו</w:t>
      </w:r>
      <w:r w:rsidRPr="00A61112">
        <w:rPr>
          <w:rFonts w:hint="cs"/>
          <w:rtl/>
        </w:rPr>
        <w:t>ת" (</w:t>
      </w:r>
      <w:r w:rsidRPr="00A61112">
        <w:rPr>
          <w:rtl/>
        </w:rPr>
        <w:t xml:space="preserve">בג"ץ 428/86 </w:t>
      </w:r>
      <w:r w:rsidRPr="00A61112">
        <w:rPr>
          <w:rFonts w:ascii="Miriam" w:hAnsi="Miriam" w:cs="Miriam"/>
          <w:spacing w:val="0"/>
          <w:szCs w:val="24"/>
          <w:rtl/>
        </w:rPr>
        <w:t>ברזילי נ' ממשלת ישראל</w:t>
      </w:r>
      <w:r w:rsidRPr="00A61112">
        <w:rPr>
          <w:rtl/>
        </w:rPr>
        <w:t xml:space="preserve">, </w:t>
      </w:r>
      <w:r w:rsidRPr="00A61112">
        <w:rPr>
          <w:rFonts w:hint="cs"/>
          <w:rtl/>
        </w:rPr>
        <w:t xml:space="preserve">פ"ד </w:t>
      </w:r>
      <w:r w:rsidRPr="00A61112">
        <w:rPr>
          <w:rtl/>
        </w:rPr>
        <w:t>מ(3) 505, 606 (1986)</w:t>
      </w:r>
      <w:r w:rsidRPr="00A61112">
        <w:rPr>
          <w:rFonts w:hint="cs"/>
          <w:rtl/>
        </w:rPr>
        <w:t>).</w:t>
      </w:r>
      <w:r>
        <w:rPr>
          <w:rFonts w:hint="cs"/>
          <w:rtl/>
        </w:rPr>
        <w:t xml:space="preserve"> יתרה </w:t>
      </w:r>
      <w:r w:rsidRPr="00A61112">
        <w:rPr>
          <w:rFonts w:hint="cs"/>
          <w:rtl/>
        </w:rPr>
        <w:t xml:space="preserve">מכך, טענת משיבי הממשלה מתעלמת מהאפשרות שהפגיעה הקשה בגרעין הדמוקרטי של המדינה תתבצע בשלבים, וכי הביקורת השיפוטית עשויה לסייע בעצירת ההידרדרות הדמוקרטית טרם קריסה מוחלטת של השיטה כולה (ראו: </w:t>
      </w:r>
      <w:r w:rsidRPr="00A61112">
        <w:t xml:space="preserve">Rosalind </w:t>
      </w:r>
      <w:r w:rsidRPr="00A61112">
        <w:lastRenderedPageBreak/>
        <w:t xml:space="preserve">Dixon &amp; David Landau, </w:t>
      </w:r>
      <w:r w:rsidRPr="00A61112">
        <w:rPr>
          <w:i/>
          <w:iCs/>
        </w:rPr>
        <w:t>Transnational Constitutionalism and a Limited Doctrine of Unconstitutional Constitutional Amendment</w:t>
      </w:r>
      <w:r w:rsidRPr="00A61112">
        <w:t xml:space="preserve">, 13 </w:t>
      </w:r>
      <w:r w:rsidRPr="00A61112">
        <w:rPr>
          <w:smallCaps/>
        </w:rPr>
        <w:t>Int'l J. Const. L.</w:t>
      </w:r>
      <w:r w:rsidRPr="00A61112">
        <w:t xml:space="preserve"> 606, 636 (2015)</w:t>
      </w:r>
      <w:r w:rsidRPr="00A61112">
        <w:rPr>
          <w:rFonts w:hint="cs"/>
          <w:rtl/>
        </w:rPr>
        <w:t>).</w:t>
      </w:r>
      <w:r>
        <w:rPr>
          <w:rFonts w:hint="cs"/>
          <w:rtl/>
        </w:rPr>
        <w:t xml:space="preserve"> </w:t>
      </w:r>
    </w:p>
    <w:p w:rsidR="00C044AE" w:rsidRDefault="00C044AE" w:rsidP="00C044AE">
      <w:pPr>
        <w:pStyle w:val="Ruller41"/>
        <w:rPr>
          <w:rtl/>
        </w:rPr>
      </w:pPr>
    </w:p>
    <w:p w:rsidR="00C044AE" w:rsidRDefault="00C044AE" w:rsidP="00C044AE">
      <w:pPr>
        <w:pStyle w:val="Ruller4"/>
      </w:pPr>
      <w:r>
        <w:rPr>
          <w:rFonts w:hint="cs"/>
          <w:rtl/>
        </w:rPr>
        <w:t xml:space="preserve">הנה כי כן, משהכרנו בכך שהרשות המכוננת אינה בלתי מוגבלת ועלולה לחרוג מגבולות סמכותה, הקשיים שהועלו על ידי משיבי הממשלה והכנסת, אינם מאיינים לטעמי את ההכרח בביקורת שיפוטית שתבחן האם חרגה הכנסת מסמכותה המכוננת. ביקורת זו מתחייבת בהינתן המאפיינים המבניים הייחודיים של המפעל החוקתי הישראלי והפרקטיקה הבעייתית ביותר שהשתרשה בשיטתנו בכל הנוגע להפעלת הסמכות המכוננת. היא אף עולה בקנה אחד עם מהות תפקידו של בית המשפט והיותו הגורם המתאים ביותר (ולמעשה היחיד) לקיים ביקורת כזו. </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 xml:space="preserve">על כן, אני סבורה כי באותם מצבים קיצוניים שבהם הכנסת כוננה או שינתה חוק יסוד באופן שיש בו משום שלילה או סתירה חזיתית של המאפיינים הגרעיניים של ישראל כמדינה יהודית ודמוקרטית </w:t>
      </w:r>
      <w:r>
        <w:rPr>
          <w:rtl/>
        </w:rPr>
        <w:t>–</w:t>
      </w:r>
      <w:r>
        <w:rPr>
          <w:rFonts w:hint="cs"/>
          <w:rtl/>
        </w:rPr>
        <w:t xml:space="preserve"> יש להכיר בסמכותו של בית משפט זה לקבוע כי הכנסת חרגה מסמכותה המכוננת וכי אין מדובר בנורמה חוקתית תקפה. </w:t>
      </w:r>
    </w:p>
    <w:p w:rsidR="00C044AE" w:rsidRDefault="00C044AE" w:rsidP="00C044AE">
      <w:pPr>
        <w:pStyle w:val="Ruller41"/>
        <w:rPr>
          <w:rtl/>
        </w:rPr>
      </w:pPr>
    </w:p>
    <w:p w:rsidR="00C044AE" w:rsidRDefault="00C044AE" w:rsidP="00C044AE">
      <w:pPr>
        <w:pStyle w:val="Ruller4"/>
        <w:rPr>
          <w:rtl/>
        </w:rPr>
      </w:pPr>
      <w:r>
        <w:rPr>
          <w:rFonts w:hint="cs"/>
          <w:rtl/>
        </w:rPr>
        <w:t xml:space="preserve">חשוב להדגיש </w:t>
      </w:r>
      <w:r>
        <w:rPr>
          <w:rtl/>
        </w:rPr>
        <w:t>–</w:t>
      </w:r>
      <w:r>
        <w:rPr>
          <w:rFonts w:hint="cs"/>
          <w:rtl/>
        </w:rPr>
        <w:t xml:space="preserve"> האפשרות לקיים ביקורת שיפוטית מהותית על חוקי היסוד היא חריגה ביותר. היא נובעת מהמצב המשטרי הייחודי שקיים בישראל, ולכן על בית המשפט לנהוג בה ריסון מרבי ו</w:t>
      </w:r>
      <w:r w:rsidRPr="00A827CB">
        <w:rPr>
          <w:rFonts w:hint="cs"/>
          <w:rtl/>
        </w:rPr>
        <w:t xml:space="preserve">"לנקוט זהירות רבה כדי להימנע מגלישה ל'שגרה' של עתירות התוקפות חוקי יסוד או הוראות בהם בטענה של חריגה מהסמכות המכוננת" (עניין </w:t>
      </w:r>
      <w:r w:rsidRPr="00A827CB">
        <w:rPr>
          <w:rFonts w:ascii="Century" w:hAnsi="Century" w:cs="Miriam" w:hint="cs"/>
          <w:b/>
          <w:spacing w:val="0"/>
          <w:sz w:val="22"/>
          <w:szCs w:val="24"/>
          <w:rtl/>
        </w:rPr>
        <w:t>חסון</w:t>
      </w:r>
      <w:r w:rsidRPr="00A827CB">
        <w:rPr>
          <w:rFonts w:hint="cs"/>
          <w:rtl/>
        </w:rPr>
        <w:t>, בפסקה 13 לחוות דעתו של השופט</w:t>
      </w:r>
      <w:r>
        <w:rPr>
          <w:rFonts w:hint="cs"/>
          <w:rtl/>
        </w:rPr>
        <w:t xml:space="preserve"> (בדימ')</w:t>
      </w:r>
      <w:r w:rsidRPr="00A827CB">
        <w:rPr>
          <w:rFonts w:hint="cs"/>
          <w:rtl/>
        </w:rPr>
        <w:t xml:space="preserve"> </w:t>
      </w:r>
      <w:r w:rsidRPr="00A827CB">
        <w:rPr>
          <w:rFonts w:ascii="Century" w:hAnsi="Century" w:cs="Miriam" w:hint="cs"/>
          <w:b/>
          <w:spacing w:val="0"/>
          <w:sz w:val="22"/>
          <w:szCs w:val="24"/>
          <w:rtl/>
        </w:rPr>
        <w:t>מזוז</w:t>
      </w:r>
      <w:r w:rsidRPr="00A827CB">
        <w:rPr>
          <w:rFonts w:hint="cs"/>
          <w:rtl/>
        </w:rPr>
        <w:t>).</w:t>
      </w:r>
    </w:p>
    <w:p w:rsidR="00C044AE" w:rsidRDefault="00C044AE" w:rsidP="00C044AE">
      <w:pPr>
        <w:pStyle w:val="Ruller41"/>
        <w:rPr>
          <w:rtl/>
        </w:rPr>
      </w:pPr>
    </w:p>
    <w:p w:rsidR="00C044AE" w:rsidRPr="002C3F1E" w:rsidRDefault="00C044AE" w:rsidP="00C044AE">
      <w:pPr>
        <w:pStyle w:val="Ruller4"/>
        <w:numPr>
          <w:ilvl w:val="0"/>
          <w:numId w:val="0"/>
        </w:numPr>
        <w:rPr>
          <w:rtl/>
        </w:rPr>
      </w:pPr>
      <w:r>
        <w:rPr>
          <w:rtl/>
        </w:rPr>
        <w:tab/>
      </w:r>
      <w:r>
        <w:rPr>
          <w:rFonts w:hint="cs"/>
          <w:rtl/>
        </w:rPr>
        <w:t xml:space="preserve">עוד חשוב להדגיש כי מסקנותיי באשר לשאלת הביקורת השיפוטית על סמכותה המכוננת של </w:t>
      </w:r>
      <w:r w:rsidRPr="0049359B">
        <w:rPr>
          <w:rFonts w:hint="cs"/>
          <w:rtl/>
        </w:rPr>
        <w:t>הכנסת נשענות על המצב החוקתי הקיים. וכפי שכבר הובהר בפסיקתו של בית משפט זה: "</w:t>
      </w:r>
      <w:r w:rsidRPr="0049359B">
        <w:rPr>
          <w:rFonts w:hint="eastAsia"/>
          <w:rtl/>
        </w:rPr>
        <w:t>הלגיטימיות</w:t>
      </w:r>
      <w:r w:rsidRPr="0049359B">
        <w:rPr>
          <w:rtl/>
        </w:rPr>
        <w:t xml:space="preserve"> </w:t>
      </w:r>
      <w:r w:rsidRPr="0049359B">
        <w:rPr>
          <w:rFonts w:hint="eastAsia"/>
          <w:rtl/>
        </w:rPr>
        <w:t>של</w:t>
      </w:r>
      <w:r w:rsidRPr="0049359B">
        <w:rPr>
          <w:rtl/>
        </w:rPr>
        <w:t xml:space="preserve"> </w:t>
      </w:r>
      <w:r w:rsidRPr="0049359B">
        <w:rPr>
          <w:rFonts w:hint="eastAsia"/>
          <w:rtl/>
        </w:rPr>
        <w:t>הביקורת</w:t>
      </w:r>
      <w:r w:rsidRPr="0049359B">
        <w:rPr>
          <w:rtl/>
        </w:rPr>
        <w:t xml:space="preserve"> </w:t>
      </w:r>
      <w:r w:rsidRPr="0049359B">
        <w:rPr>
          <w:rFonts w:hint="eastAsia"/>
          <w:rtl/>
        </w:rPr>
        <w:t>השיפוטית</w:t>
      </w:r>
      <w:r w:rsidRPr="0049359B">
        <w:rPr>
          <w:rtl/>
        </w:rPr>
        <w:t xml:space="preserve"> </w:t>
      </w:r>
      <w:r w:rsidRPr="0049359B">
        <w:rPr>
          <w:rFonts w:hint="eastAsia"/>
          <w:rtl/>
        </w:rPr>
        <w:t>קשורה</w:t>
      </w:r>
      <w:r w:rsidRPr="0049359B">
        <w:rPr>
          <w:rtl/>
        </w:rPr>
        <w:t xml:space="preserve">, </w:t>
      </w:r>
      <w:r w:rsidRPr="0049359B">
        <w:rPr>
          <w:rFonts w:hint="eastAsia"/>
          <w:rtl/>
        </w:rPr>
        <w:t>לפחות</w:t>
      </w:r>
      <w:r w:rsidRPr="0049359B">
        <w:rPr>
          <w:rtl/>
        </w:rPr>
        <w:t xml:space="preserve"> </w:t>
      </w:r>
      <w:r w:rsidRPr="0049359B">
        <w:rPr>
          <w:rFonts w:hint="eastAsia"/>
          <w:rtl/>
        </w:rPr>
        <w:t>בחלקה</w:t>
      </w:r>
      <w:r w:rsidRPr="0049359B">
        <w:rPr>
          <w:rtl/>
        </w:rPr>
        <w:t xml:space="preserve">, </w:t>
      </w:r>
      <w:r w:rsidRPr="0049359B">
        <w:rPr>
          <w:rFonts w:hint="eastAsia"/>
          <w:rtl/>
        </w:rPr>
        <w:t>בתהליך</w:t>
      </w:r>
      <w:r w:rsidRPr="0049359B">
        <w:rPr>
          <w:rtl/>
        </w:rPr>
        <w:t xml:space="preserve"> </w:t>
      </w:r>
      <w:r w:rsidRPr="0049359B">
        <w:rPr>
          <w:rFonts w:hint="eastAsia"/>
          <w:rtl/>
        </w:rPr>
        <w:t>שהוביל</w:t>
      </w:r>
      <w:r w:rsidRPr="0049359B">
        <w:rPr>
          <w:rtl/>
        </w:rPr>
        <w:t xml:space="preserve"> </w:t>
      </w:r>
      <w:r w:rsidRPr="0049359B">
        <w:rPr>
          <w:rFonts w:hint="eastAsia"/>
          <w:rtl/>
        </w:rPr>
        <w:t>לתיקון</w:t>
      </w:r>
      <w:r w:rsidRPr="0049359B">
        <w:rPr>
          <w:rtl/>
        </w:rPr>
        <w:t xml:space="preserve"> </w:t>
      </w:r>
      <w:r w:rsidRPr="0049359B">
        <w:rPr>
          <w:rFonts w:hint="eastAsia"/>
          <w:rtl/>
        </w:rPr>
        <w:t>החוקתי</w:t>
      </w:r>
      <w:r w:rsidRPr="0049359B">
        <w:rPr>
          <w:rtl/>
        </w:rPr>
        <w:t xml:space="preserve">. </w:t>
      </w:r>
      <w:r w:rsidRPr="0049359B">
        <w:rPr>
          <w:rFonts w:hint="eastAsia"/>
          <w:rtl/>
        </w:rPr>
        <w:t>כלומר</w:t>
      </w:r>
      <w:r w:rsidRPr="0049359B">
        <w:rPr>
          <w:rtl/>
        </w:rPr>
        <w:t xml:space="preserve">, </w:t>
      </w:r>
      <w:r w:rsidRPr="0049359B">
        <w:rPr>
          <w:rFonts w:hint="eastAsia"/>
          <w:rtl/>
        </w:rPr>
        <w:t>ככל</w:t>
      </w:r>
      <w:r w:rsidRPr="0049359B">
        <w:rPr>
          <w:rtl/>
        </w:rPr>
        <w:t xml:space="preserve"> </w:t>
      </w:r>
      <w:r w:rsidRPr="0049359B">
        <w:rPr>
          <w:rFonts w:hint="eastAsia"/>
          <w:rtl/>
        </w:rPr>
        <w:t>שמלאכת</w:t>
      </w:r>
      <w:r w:rsidRPr="0049359B">
        <w:rPr>
          <w:rtl/>
        </w:rPr>
        <w:t xml:space="preserve"> </w:t>
      </w:r>
      <w:r w:rsidRPr="0049359B">
        <w:rPr>
          <w:rFonts w:hint="eastAsia"/>
          <w:rtl/>
        </w:rPr>
        <w:t>הרשות</w:t>
      </w:r>
      <w:r w:rsidRPr="0049359B">
        <w:rPr>
          <w:rtl/>
        </w:rPr>
        <w:t xml:space="preserve"> </w:t>
      </w:r>
      <w:r w:rsidRPr="0049359B">
        <w:rPr>
          <w:rFonts w:hint="eastAsia"/>
          <w:rtl/>
        </w:rPr>
        <w:t>המכוננת</w:t>
      </w:r>
      <w:r w:rsidRPr="0049359B">
        <w:rPr>
          <w:rtl/>
        </w:rPr>
        <w:t xml:space="preserve"> </w:t>
      </w:r>
      <w:r w:rsidRPr="0049359B">
        <w:rPr>
          <w:rFonts w:hint="eastAsia"/>
          <w:rtl/>
        </w:rPr>
        <w:t>מורכבת</w:t>
      </w:r>
      <w:r w:rsidRPr="0049359B">
        <w:rPr>
          <w:rtl/>
        </w:rPr>
        <w:t xml:space="preserve">, </w:t>
      </w:r>
      <w:r w:rsidRPr="0049359B">
        <w:rPr>
          <w:rFonts w:hint="eastAsia"/>
          <w:rtl/>
        </w:rPr>
        <w:t>כוללנית</w:t>
      </w:r>
      <w:r w:rsidRPr="0049359B">
        <w:rPr>
          <w:rtl/>
        </w:rPr>
        <w:t xml:space="preserve"> </w:t>
      </w:r>
      <w:r w:rsidRPr="0049359B">
        <w:rPr>
          <w:rFonts w:hint="eastAsia"/>
          <w:rtl/>
        </w:rPr>
        <w:t>ומקיפה</w:t>
      </w:r>
      <w:r w:rsidRPr="0049359B">
        <w:rPr>
          <w:rtl/>
        </w:rPr>
        <w:t xml:space="preserve">, </w:t>
      </w:r>
      <w:r w:rsidRPr="0049359B">
        <w:rPr>
          <w:rFonts w:hint="eastAsia"/>
          <w:rtl/>
        </w:rPr>
        <w:t>תוצריה</w:t>
      </w:r>
      <w:r w:rsidRPr="0049359B">
        <w:rPr>
          <w:rtl/>
        </w:rPr>
        <w:t xml:space="preserve"> </w:t>
      </w:r>
      <w:r w:rsidRPr="0049359B">
        <w:rPr>
          <w:rFonts w:hint="eastAsia"/>
          <w:rtl/>
        </w:rPr>
        <w:t>ייהנו</w:t>
      </w:r>
      <w:r w:rsidRPr="0049359B">
        <w:rPr>
          <w:rtl/>
        </w:rPr>
        <w:t xml:space="preserve"> </w:t>
      </w:r>
      <w:r w:rsidRPr="0049359B">
        <w:rPr>
          <w:rFonts w:hint="eastAsia"/>
          <w:rtl/>
        </w:rPr>
        <w:t>מלגיטימציה</w:t>
      </w:r>
      <w:r w:rsidRPr="0049359B">
        <w:rPr>
          <w:rtl/>
        </w:rPr>
        <w:t xml:space="preserve"> </w:t>
      </w:r>
      <w:r w:rsidRPr="0049359B">
        <w:rPr>
          <w:rFonts w:hint="eastAsia"/>
          <w:rtl/>
        </w:rPr>
        <w:t>דמוקרטית</w:t>
      </w:r>
      <w:r w:rsidRPr="0049359B">
        <w:rPr>
          <w:rtl/>
        </w:rPr>
        <w:t xml:space="preserve"> </w:t>
      </w:r>
      <w:r w:rsidRPr="0049359B">
        <w:rPr>
          <w:rFonts w:hint="eastAsia"/>
          <w:rtl/>
        </w:rPr>
        <w:t>רבה</w:t>
      </w:r>
      <w:r w:rsidRPr="0049359B">
        <w:rPr>
          <w:rtl/>
        </w:rPr>
        <w:t xml:space="preserve"> </w:t>
      </w:r>
      <w:r w:rsidRPr="0049359B">
        <w:rPr>
          <w:rFonts w:hint="eastAsia"/>
          <w:rtl/>
        </w:rPr>
        <w:t>יותר</w:t>
      </w:r>
      <w:r w:rsidRPr="0049359B">
        <w:rPr>
          <w:rtl/>
        </w:rPr>
        <w:t xml:space="preserve"> </w:t>
      </w:r>
      <w:r w:rsidRPr="0049359B">
        <w:rPr>
          <w:rFonts w:hint="eastAsia"/>
          <w:rtl/>
        </w:rPr>
        <w:t>ומנגד</w:t>
      </w:r>
      <w:r w:rsidRPr="0049359B">
        <w:rPr>
          <w:rtl/>
        </w:rPr>
        <w:t xml:space="preserve"> </w:t>
      </w:r>
      <w:r w:rsidRPr="0049359B">
        <w:rPr>
          <w:rFonts w:hint="eastAsia"/>
          <w:rtl/>
        </w:rPr>
        <w:t>הנכונות</w:t>
      </w:r>
      <w:r w:rsidRPr="0049359B">
        <w:rPr>
          <w:rtl/>
        </w:rPr>
        <w:t xml:space="preserve"> </w:t>
      </w:r>
      <w:r w:rsidRPr="0049359B">
        <w:rPr>
          <w:rFonts w:hint="eastAsia"/>
          <w:rtl/>
        </w:rPr>
        <w:t>לביקורת</w:t>
      </w:r>
      <w:r w:rsidRPr="0049359B">
        <w:rPr>
          <w:rtl/>
        </w:rPr>
        <w:t xml:space="preserve"> </w:t>
      </w:r>
      <w:r w:rsidRPr="0049359B">
        <w:rPr>
          <w:rFonts w:hint="eastAsia"/>
          <w:rtl/>
        </w:rPr>
        <w:t>שיפוטית</w:t>
      </w:r>
      <w:r w:rsidRPr="0049359B">
        <w:rPr>
          <w:rtl/>
        </w:rPr>
        <w:t xml:space="preserve"> </w:t>
      </w:r>
      <w:r w:rsidRPr="0049359B">
        <w:rPr>
          <w:rFonts w:hint="eastAsia"/>
          <w:rtl/>
        </w:rPr>
        <w:t>תפחת</w:t>
      </w:r>
      <w:r w:rsidRPr="0049359B">
        <w:rPr>
          <w:rFonts w:hint="cs"/>
          <w:rtl/>
        </w:rPr>
        <w:t>" (</w:t>
      </w:r>
      <w:r w:rsidRPr="0049359B">
        <w:rPr>
          <w:rFonts w:ascii="Century" w:hAnsi="Century" w:cs="Miriam" w:hint="cs"/>
          <w:b/>
          <w:spacing w:val="0"/>
          <w:szCs w:val="24"/>
          <w:rtl/>
        </w:rPr>
        <w:t>שם</w:t>
      </w:r>
      <w:r w:rsidRPr="0049359B">
        <w:rPr>
          <w:rFonts w:hint="cs"/>
          <w:rtl/>
        </w:rPr>
        <w:t xml:space="preserve">, בפסקה 2 לחוות דעתה של השופטת </w:t>
      </w:r>
      <w:r w:rsidRPr="0049359B">
        <w:rPr>
          <w:rFonts w:ascii="Century" w:hAnsi="Century" w:cs="Miriam" w:hint="cs"/>
          <w:b/>
          <w:spacing w:val="0"/>
          <w:szCs w:val="24"/>
          <w:rtl/>
        </w:rPr>
        <w:t>ברון</w:t>
      </w:r>
      <w:r w:rsidRPr="0049359B">
        <w:rPr>
          <w:rFonts w:hint="cs"/>
          <w:rtl/>
        </w:rPr>
        <w:t xml:space="preserve">; ראו והשוו: </w:t>
      </w:r>
      <w:r w:rsidRPr="0049359B">
        <w:rPr>
          <w:smallCaps/>
        </w:rPr>
        <w:t>Roznai</w:t>
      </w:r>
      <w:r w:rsidRPr="0049359B">
        <w:rPr>
          <w:rFonts w:hint="cs"/>
          <w:rtl/>
        </w:rPr>
        <w:t>, בעמ' 220-219).</w:t>
      </w:r>
      <w:r>
        <w:rPr>
          <w:rFonts w:hint="cs"/>
          <w:rtl/>
        </w:rPr>
        <w:t xml:space="preserve"> על כן, ככל שבעתיד ייקבע מתווה נוקשה וייחודי לחקיקת חוקי יסוד ותיקונם, המבטיח כי חקיקתם תתבסס על הסכמה ציבורית רחבה, יהיה מקום לשוב ולבחון את סוגיית הביקורת השיפוטית בנוגע לחוקי יסוד שיאומצו לפי מתווה זה. אך כל עוד אין זו המציאות החוקתית, אני סבורה כי יש להכיר בסמכותו של בית משפט זה להתערב באותם מקרים חריגים שבהם הכנסת חרגה מסמכותה כרשות מכוננת. </w:t>
      </w:r>
    </w:p>
    <w:p w:rsidR="00C044AE" w:rsidRPr="007A4A78" w:rsidRDefault="00C044AE" w:rsidP="00C044AE">
      <w:pPr>
        <w:pStyle w:val="Ruller41"/>
        <w:rPr>
          <w:rtl/>
        </w:rPr>
      </w:pPr>
    </w:p>
    <w:p w:rsidR="00C044AE" w:rsidRDefault="00C044AE" w:rsidP="00C044AE">
      <w:pPr>
        <w:pStyle w:val="Ruller41"/>
        <w:numPr>
          <w:ilvl w:val="0"/>
          <w:numId w:val="4"/>
        </w:numPr>
        <w:outlineLvl w:val="1"/>
        <w:rPr>
          <w:rFonts w:ascii="Century" w:hAnsi="Century" w:cs="Miriam"/>
          <w:b/>
          <w:spacing w:val="0"/>
          <w:szCs w:val="24"/>
        </w:rPr>
      </w:pPr>
      <w:r w:rsidRPr="007A4A78">
        <w:rPr>
          <w:rFonts w:ascii="Century" w:hAnsi="Century" w:cs="Miriam" w:hint="cs"/>
          <w:b/>
          <w:spacing w:val="0"/>
          <w:szCs w:val="24"/>
          <w:rtl/>
        </w:rPr>
        <w:lastRenderedPageBreak/>
        <w:t>סיכום ביניים</w:t>
      </w:r>
    </w:p>
    <w:p w:rsidR="00C044AE" w:rsidRDefault="00C044AE" w:rsidP="00C044AE">
      <w:pPr>
        <w:pStyle w:val="Ruller41"/>
        <w:rPr>
          <w:rFonts w:ascii="Century" w:hAnsi="Century" w:cs="Miriam"/>
          <w:b/>
          <w:spacing w:val="0"/>
          <w:szCs w:val="24"/>
          <w:rtl/>
        </w:rPr>
      </w:pPr>
    </w:p>
    <w:p w:rsidR="00C044AE" w:rsidRDefault="00C044AE" w:rsidP="00C044AE">
      <w:pPr>
        <w:pStyle w:val="Ruller4"/>
        <w:rPr>
          <w:rtl/>
        </w:rPr>
      </w:pPr>
      <w:r>
        <w:rPr>
          <w:rFonts w:hint="cs"/>
          <w:rtl/>
        </w:rPr>
        <w:t xml:space="preserve">ההיסטוריה החוקתית של מדינת ישראל היא יוצאת דופן ובלתי שגרתית. ההבטחה לכונן חוקה למדינה </w:t>
      </w:r>
      <w:r>
        <w:rPr>
          <w:rtl/>
        </w:rPr>
        <w:t>–</w:t>
      </w:r>
      <w:r>
        <w:rPr>
          <w:rFonts w:hint="cs"/>
          <w:rtl/>
        </w:rPr>
        <w:t xml:space="preserve"> הבטחה שנכללה מפורשות בהכרזת העצמאות </w:t>
      </w:r>
      <w:r>
        <w:rPr>
          <w:rtl/>
        </w:rPr>
        <w:t>–</w:t>
      </w:r>
      <w:r>
        <w:rPr>
          <w:rFonts w:hint="cs"/>
          <w:rtl/>
        </w:rPr>
        <w:t xml:space="preserve"> טרם מומשה גם בחלוף למעלה מ-75 שנים. תחת זאת, החליטה הכנסת לגבש את חוקתנו "פרקים פרקים" בדרך של חקיקת חוקי יסוד. בעניין </w:t>
      </w:r>
      <w:r w:rsidRPr="00567651">
        <w:rPr>
          <w:rFonts w:ascii="Century" w:hAnsi="Century" w:cs="Miriam" w:hint="cs"/>
          <w:b/>
          <w:spacing w:val="0"/>
          <w:sz w:val="22"/>
          <w:szCs w:val="24"/>
          <w:rtl/>
        </w:rPr>
        <w:t>בנק המזרחי</w:t>
      </w:r>
      <w:r>
        <w:rPr>
          <w:rFonts w:hint="cs"/>
          <w:rtl/>
        </w:rPr>
        <w:t xml:space="preserve"> עמד בית המשפט על כך שחוקי יסוד אלה הם נורמות חוקתיות, המצויות בפסגת הפירמידה הנורמטיבית. עם זאת, באותו עניין נותרו שתי שאלות שלא הוכרעו </w:t>
      </w:r>
      <w:r>
        <w:rPr>
          <w:rtl/>
        </w:rPr>
        <w:t>–</w:t>
      </w:r>
      <w:r>
        <w:rPr>
          <w:rFonts w:hint="cs"/>
          <w:rtl/>
        </w:rPr>
        <w:t xml:space="preserve"> האחת נוגעת למקרה שבו הכנסת תעשה שימוש לרעה בכותרת "חוק יסוד"; והשנייה נוגעת למצב שבו הכנסת תחרוג מסמכותה המכוננת. </w:t>
      </w:r>
    </w:p>
    <w:p w:rsidR="00C044AE" w:rsidRDefault="00C044AE" w:rsidP="00C044AE">
      <w:pPr>
        <w:pStyle w:val="Ruller41"/>
        <w:rPr>
          <w:rtl/>
        </w:rPr>
      </w:pPr>
    </w:p>
    <w:p w:rsidR="00C044AE" w:rsidRPr="00567651" w:rsidRDefault="00C044AE" w:rsidP="00C044AE">
      <w:pPr>
        <w:pStyle w:val="Ruller4"/>
        <w:numPr>
          <w:ilvl w:val="0"/>
          <w:numId w:val="0"/>
        </w:numPr>
        <w:rPr>
          <w:rtl/>
        </w:rPr>
      </w:pPr>
      <w:r>
        <w:rPr>
          <w:rtl/>
        </w:rPr>
        <w:tab/>
      </w:r>
      <w:r>
        <w:rPr>
          <w:rFonts w:hint="cs"/>
          <w:rtl/>
        </w:rPr>
        <w:t xml:space="preserve">בשנים האחרונות, על רקע המגמה הפסולה של שינוי חוקי יסוד בקצב מסחרר ביוזמת הרוב הפוליטי בכנסת, נאלץ בית המשפט להידרש לשתי השאלות הללו. ביחס לשאלה הראשונה בחן בית המשפט באמצעות דוקטרינת השימוש לרעה בסמכות המכוננת, האם ההסדרים שעוגנו בחוק יסוד מתאימים מבחינת מאפייניהם הפורמליים-פרוצדורליים לעיגון במדרג חוקתי. אשר לשאלה השנייה הנוגעת לתוכן חקיקת היסוד, בעניין </w:t>
      </w:r>
      <w:r w:rsidRPr="00567651">
        <w:rPr>
          <w:rFonts w:ascii="Century" w:hAnsi="Century" w:cs="Miriam" w:hint="cs"/>
          <w:b/>
          <w:spacing w:val="0"/>
          <w:sz w:val="22"/>
          <w:szCs w:val="24"/>
          <w:rtl/>
        </w:rPr>
        <w:t>חסון</w:t>
      </w:r>
      <w:r w:rsidRPr="00567651">
        <w:rPr>
          <w:rFonts w:hint="cs"/>
          <w:rtl/>
        </w:rPr>
        <w:t xml:space="preserve"> </w:t>
      </w:r>
      <w:r>
        <w:rPr>
          <w:rFonts w:hint="cs"/>
          <w:rtl/>
        </w:rPr>
        <w:t xml:space="preserve">הובהר לראשונה כי סמכותה של הרשות המכוננת אינה בלתי מוגבלת וכי היא אינה מוסמכת לשלול </w:t>
      </w:r>
      <w:r w:rsidRPr="0032586D">
        <w:rPr>
          <w:rFonts w:hint="cs"/>
          <w:rtl/>
        </w:rPr>
        <w:t xml:space="preserve">או לסתור חזיתית את המאפיינים הגרעיניים של מדינת ישראל כמדינה יהודית ודמוקרטית. </w:t>
      </w:r>
      <w:r>
        <w:rPr>
          <w:rFonts w:hint="cs"/>
          <w:rtl/>
        </w:rPr>
        <w:t xml:space="preserve">היום </w:t>
      </w:r>
      <w:r w:rsidRPr="0032586D">
        <w:rPr>
          <w:rFonts w:hint="cs"/>
          <w:rtl/>
        </w:rPr>
        <w:t xml:space="preserve">עלינו </w:t>
      </w:r>
      <w:r>
        <w:rPr>
          <w:rFonts w:hint="cs"/>
          <w:rtl/>
        </w:rPr>
        <w:t xml:space="preserve">לצעוד </w:t>
      </w:r>
      <w:r w:rsidRPr="0032586D">
        <w:rPr>
          <w:rFonts w:hint="cs"/>
          <w:rtl/>
        </w:rPr>
        <w:t xml:space="preserve">צעד נוסף ולקבוע כי במקרים נדירים שבהם </w:t>
      </w:r>
      <w:r w:rsidRPr="00095DE8">
        <w:rPr>
          <w:rFonts w:hint="cs"/>
          <w:rtl/>
        </w:rPr>
        <w:t xml:space="preserve">נפגע "הלב הפועם של 'החוקה נוסח ישראל'" (עניין </w:t>
      </w:r>
      <w:r w:rsidRPr="00095DE8">
        <w:rPr>
          <w:rFonts w:ascii="Century" w:hAnsi="Century" w:cs="Miriam" w:hint="cs"/>
          <w:b/>
          <w:spacing w:val="0"/>
          <w:sz w:val="22"/>
          <w:szCs w:val="24"/>
          <w:rtl/>
        </w:rPr>
        <w:t>חסון</w:t>
      </w:r>
      <w:r w:rsidRPr="00095DE8">
        <w:rPr>
          <w:rFonts w:hint="cs"/>
          <w:rtl/>
        </w:rPr>
        <w:t>, בפסקה 18 לחוות דעתי)</w:t>
      </w:r>
      <w:r w:rsidRPr="0032586D">
        <w:rPr>
          <w:rFonts w:hint="cs"/>
          <w:rtl/>
        </w:rPr>
        <w:t xml:space="preserve"> </w:t>
      </w:r>
      <w:r>
        <w:rPr>
          <w:rtl/>
        </w:rPr>
        <w:t>–</w:t>
      </w:r>
      <w:r>
        <w:rPr>
          <w:rFonts w:hint="cs"/>
          <w:rtl/>
        </w:rPr>
        <w:t xml:space="preserve"> </w:t>
      </w:r>
      <w:r w:rsidRPr="0032586D">
        <w:rPr>
          <w:rFonts w:hint="cs"/>
          <w:rtl/>
        </w:rPr>
        <w:t xml:space="preserve">בית משפט זה רשאי להכריז על בטלות חוק יסוד שיש בו משום חריגה מסמכותה המכוננת של הכנסת. </w:t>
      </w:r>
      <w:r>
        <w:rPr>
          <w:rFonts w:hint="cs"/>
          <w:rtl/>
        </w:rPr>
        <w:t xml:space="preserve">זאת, </w:t>
      </w:r>
      <w:r w:rsidRPr="0032586D">
        <w:rPr>
          <w:rFonts w:hint="cs"/>
          <w:rtl/>
        </w:rPr>
        <w:t>נוכח המאפיינים המבניים הייחודיים של השיטה החוקתית הישראלית</w:t>
      </w:r>
      <w:r>
        <w:rPr>
          <w:rFonts w:hint="cs"/>
          <w:rtl/>
        </w:rPr>
        <w:t>,</w:t>
      </w:r>
      <w:r w:rsidRPr="0032586D">
        <w:rPr>
          <w:rFonts w:hint="cs"/>
          <w:rtl/>
        </w:rPr>
        <w:t xml:space="preserve"> ובהינתן הפרקטיקה החוקתית בשנים האחרונות </w:t>
      </w:r>
      <w:r>
        <w:rPr>
          <w:rFonts w:hint="cs"/>
          <w:rtl/>
        </w:rPr>
        <w:t>ה</w:t>
      </w:r>
      <w:r w:rsidRPr="0032586D">
        <w:rPr>
          <w:rFonts w:hint="cs"/>
          <w:rtl/>
        </w:rPr>
        <w:t>ממחישה את הקלות שב</w:t>
      </w:r>
      <w:r>
        <w:rPr>
          <w:rFonts w:hint="cs"/>
          <w:rtl/>
        </w:rPr>
        <w:t>ה ניתן לשנות את שיטתנו מן היסוד.</w:t>
      </w:r>
    </w:p>
    <w:p w:rsidR="00C044AE" w:rsidRDefault="00C044AE" w:rsidP="00C044AE">
      <w:pPr>
        <w:pStyle w:val="Ruller41"/>
        <w:rPr>
          <w:rtl/>
        </w:rPr>
      </w:pPr>
    </w:p>
    <w:p w:rsidR="00C044AE" w:rsidRDefault="00C044AE" w:rsidP="00C044AE">
      <w:pPr>
        <w:pStyle w:val="Ruller41"/>
        <w:outlineLvl w:val="0"/>
        <w:rPr>
          <w:rFonts w:ascii="Garamond" w:hAnsi="Garamond" w:cs="Miriam"/>
          <w:bCs/>
          <w:spacing w:val="0"/>
          <w:szCs w:val="24"/>
          <w:u w:val="single"/>
          <w:rtl/>
        </w:rPr>
      </w:pPr>
      <w:r w:rsidRPr="00B00F53">
        <w:rPr>
          <w:rFonts w:ascii="Garamond" w:hAnsi="Garamond" w:cs="Miriam" w:hint="cs"/>
          <w:bCs/>
          <w:spacing w:val="0"/>
          <w:szCs w:val="24"/>
          <w:u w:val="single"/>
          <w:rtl/>
        </w:rPr>
        <w:t>חלק שני: תיקון מס' 3 לחוק-יסוד: השפיטה</w:t>
      </w:r>
    </w:p>
    <w:p w:rsidR="00C044AE" w:rsidRPr="00A35F7F" w:rsidRDefault="00C044AE" w:rsidP="00C044AE">
      <w:pPr>
        <w:pStyle w:val="Ruller41"/>
        <w:rPr>
          <w:rtl/>
        </w:rPr>
      </w:pPr>
    </w:p>
    <w:p w:rsidR="00C044AE" w:rsidRPr="00B00F53" w:rsidRDefault="00C044AE" w:rsidP="00C044AE">
      <w:pPr>
        <w:pStyle w:val="Ruller4"/>
        <w:rPr>
          <w:rtl/>
        </w:rPr>
      </w:pPr>
      <w:r w:rsidRPr="00B00F53">
        <w:rPr>
          <w:rFonts w:hint="cs"/>
          <w:rtl/>
        </w:rPr>
        <w:t xml:space="preserve">תיקון מס' 3 לחוק-יסוד: השפיטה, </w:t>
      </w:r>
      <w:r>
        <w:rPr>
          <w:rFonts w:hint="cs"/>
          <w:rtl/>
        </w:rPr>
        <w:t>הניצב</w:t>
      </w:r>
      <w:r w:rsidRPr="00B00F53">
        <w:rPr>
          <w:rFonts w:hint="cs"/>
          <w:rtl/>
        </w:rPr>
        <w:t xml:space="preserve"> במוקד שמונה העתירות שלפנינו, מונע כל אפשרות לקיים דיון </w:t>
      </w:r>
      <w:r>
        <w:rPr>
          <w:rFonts w:hint="cs"/>
          <w:rtl/>
        </w:rPr>
        <w:t>משפטי</w:t>
      </w:r>
      <w:r w:rsidRPr="00B00F53">
        <w:rPr>
          <w:rFonts w:hint="cs"/>
          <w:rtl/>
        </w:rPr>
        <w:t xml:space="preserve"> או ליתן צווים שיפוטיים </w:t>
      </w:r>
      <w:r w:rsidRPr="00B00F53">
        <w:rPr>
          <w:rtl/>
        </w:rPr>
        <w:t xml:space="preserve">בעניין סבירות </w:t>
      </w:r>
      <w:r>
        <w:rPr>
          <w:rFonts w:hint="cs"/>
          <w:rtl/>
        </w:rPr>
        <w:t>החלטות</w:t>
      </w:r>
      <w:r w:rsidRPr="00B00F53">
        <w:rPr>
          <w:rtl/>
        </w:rPr>
        <w:t xml:space="preserve"> הממשלה, ראש הממשלה </w:t>
      </w:r>
      <w:r w:rsidRPr="00B00F53">
        <w:rPr>
          <w:rFonts w:hint="cs"/>
          <w:rtl/>
        </w:rPr>
        <w:t xml:space="preserve">ושרי הממשלה. העותרים הצביעו, כאמור, על שלושה פגמים חמורים המחייבים, לשיטתם, את ביטול התיקון. הפגם הראשון </w:t>
      </w:r>
      <w:r w:rsidRPr="00B00F53">
        <w:rPr>
          <w:rtl/>
        </w:rPr>
        <w:t>–</w:t>
      </w:r>
      <w:r w:rsidRPr="00B00F53">
        <w:rPr>
          <w:rFonts w:hint="cs"/>
          <w:rtl/>
        </w:rPr>
        <w:t xml:space="preserve"> שעמד במרכז הדיון</w:t>
      </w:r>
      <w:r>
        <w:rPr>
          <w:rFonts w:hint="cs"/>
          <w:rtl/>
        </w:rPr>
        <w:t xml:space="preserve"> שקיימנו</w:t>
      </w:r>
      <w:r w:rsidRPr="00B00F53">
        <w:rPr>
          <w:rFonts w:hint="cs"/>
          <w:rtl/>
        </w:rPr>
        <w:t xml:space="preserve"> בעתירות ביום 12.9.2023 </w:t>
      </w:r>
      <w:r w:rsidRPr="00B00F53">
        <w:rPr>
          <w:rtl/>
        </w:rPr>
        <w:t>–</w:t>
      </w:r>
      <w:r w:rsidRPr="00B00F53">
        <w:rPr>
          <w:rFonts w:hint="cs"/>
          <w:rtl/>
        </w:rPr>
        <w:t xml:space="preserve"> נוגע ל</w:t>
      </w:r>
      <w:r w:rsidRPr="00B00F53">
        <w:rPr>
          <w:rFonts w:cs="Miriam" w:hint="cs"/>
          <w:b/>
          <w:spacing w:val="0"/>
          <w:sz w:val="22"/>
          <w:szCs w:val="24"/>
          <w:rtl/>
        </w:rPr>
        <w:t>תוכן</w:t>
      </w:r>
      <w:r w:rsidRPr="00B00F53">
        <w:rPr>
          <w:rFonts w:hint="cs"/>
          <w:rtl/>
        </w:rPr>
        <w:t xml:space="preserve"> ההסדר. בהקשר זה נטען כי הת</w:t>
      </w:r>
      <w:r>
        <w:rPr>
          <w:rFonts w:hint="cs"/>
          <w:rtl/>
        </w:rPr>
        <w:t xml:space="preserve">יקון פוגע פגיעה קשה ביותר במאפיינים </w:t>
      </w:r>
      <w:r w:rsidRPr="00B00F53">
        <w:rPr>
          <w:rFonts w:hint="cs"/>
          <w:rtl/>
        </w:rPr>
        <w:t xml:space="preserve">גרעיניים של ישראל כמדינה דמוקרטית, </w:t>
      </w:r>
      <w:r>
        <w:rPr>
          <w:rFonts w:hint="cs"/>
          <w:rtl/>
        </w:rPr>
        <w:t xml:space="preserve">וכי בחוקקה אותו חרגה הכנסת </w:t>
      </w:r>
      <w:r w:rsidRPr="00B00F53">
        <w:rPr>
          <w:rFonts w:hint="cs"/>
          <w:rtl/>
        </w:rPr>
        <w:t xml:space="preserve">מסמכותה המכוננת. הפגם השני ממוקד </w:t>
      </w:r>
      <w:r>
        <w:rPr>
          <w:rFonts w:hint="cs"/>
          <w:rtl/>
        </w:rPr>
        <w:t>ב</w:t>
      </w:r>
      <w:r>
        <w:rPr>
          <w:rFonts w:cs="Miriam" w:hint="cs"/>
          <w:b/>
          <w:spacing w:val="0"/>
          <w:sz w:val="22"/>
          <w:szCs w:val="24"/>
          <w:rtl/>
        </w:rPr>
        <w:t>מאפיינים הצורניים</w:t>
      </w:r>
      <w:r w:rsidRPr="00B00F53">
        <w:rPr>
          <w:rFonts w:hint="cs"/>
          <w:rtl/>
        </w:rPr>
        <w:t xml:space="preserve"> של </w:t>
      </w:r>
      <w:r w:rsidRPr="00B00F53">
        <w:rPr>
          <w:rFonts w:hint="cs"/>
          <w:rtl/>
        </w:rPr>
        <w:lastRenderedPageBreak/>
        <w:t>ההסדר</w:t>
      </w:r>
      <w:r>
        <w:rPr>
          <w:rFonts w:hint="cs"/>
          <w:rtl/>
        </w:rPr>
        <w:t>. בהקשר זה</w:t>
      </w:r>
      <w:r w:rsidRPr="00B00F53">
        <w:rPr>
          <w:rFonts w:hint="cs"/>
          <w:rtl/>
        </w:rPr>
        <w:t xml:space="preserve"> טוענים העותרים כי ההסדר </w:t>
      </w:r>
      <w:r>
        <w:rPr>
          <w:rFonts w:hint="cs"/>
          <w:rtl/>
        </w:rPr>
        <w:t>שקובע</w:t>
      </w:r>
      <w:r w:rsidRPr="00B00F53">
        <w:rPr>
          <w:rFonts w:hint="cs"/>
          <w:rtl/>
        </w:rPr>
        <w:t xml:space="preserve"> </w:t>
      </w:r>
      <w:r>
        <w:rPr>
          <w:rFonts w:hint="cs"/>
          <w:rtl/>
        </w:rPr>
        <w:t>ה</w:t>
      </w:r>
      <w:r w:rsidRPr="00B00F53">
        <w:rPr>
          <w:rFonts w:hint="cs"/>
          <w:rtl/>
        </w:rPr>
        <w:t>תיקון אינו נושא סימני היכר של נורמה חוקתית ומשכך חקיקתו מהווה שי</w:t>
      </w:r>
      <w:r>
        <w:rPr>
          <w:rFonts w:hint="cs"/>
          <w:rtl/>
        </w:rPr>
        <w:t xml:space="preserve">מוש לרעה בסמכות המכוננת. </w:t>
      </w:r>
      <w:r w:rsidRPr="00B00F53">
        <w:rPr>
          <w:rFonts w:hint="cs"/>
          <w:rtl/>
        </w:rPr>
        <w:t xml:space="preserve">הפגם השלישי נוגע לשורה של ליקויים </w:t>
      </w:r>
      <w:r>
        <w:rPr>
          <w:rFonts w:hint="cs"/>
          <w:rtl/>
        </w:rPr>
        <w:t>חמורים</w:t>
      </w:r>
      <w:r w:rsidRPr="00B00F53">
        <w:rPr>
          <w:rFonts w:hint="cs"/>
          <w:rtl/>
        </w:rPr>
        <w:t xml:space="preserve"> שנפלו</w:t>
      </w:r>
      <w:r>
        <w:rPr>
          <w:rFonts w:hint="cs"/>
          <w:rtl/>
        </w:rPr>
        <w:t>, לטענת העותרים,</w:t>
      </w:r>
      <w:r w:rsidRPr="00B00F53">
        <w:rPr>
          <w:rFonts w:hint="cs"/>
          <w:rtl/>
        </w:rPr>
        <w:t xml:space="preserve"> ב</w:t>
      </w:r>
      <w:r w:rsidRPr="00B00F53">
        <w:rPr>
          <w:rFonts w:cs="Miriam" w:hint="cs"/>
          <w:b/>
          <w:spacing w:val="0"/>
          <w:sz w:val="22"/>
          <w:szCs w:val="24"/>
          <w:rtl/>
        </w:rPr>
        <w:t xml:space="preserve">הליך כינונו </w:t>
      </w:r>
      <w:r w:rsidRPr="00B00F53">
        <w:rPr>
          <w:rFonts w:hint="cs"/>
          <w:rtl/>
        </w:rPr>
        <w:t xml:space="preserve">של התיקון.  </w:t>
      </w:r>
    </w:p>
    <w:p w:rsidR="00C044AE" w:rsidRPr="00B00F53" w:rsidRDefault="00C044AE" w:rsidP="00C044AE">
      <w:pPr>
        <w:pStyle w:val="Ruller41"/>
        <w:rPr>
          <w:rFonts w:ascii="Garamond" w:hAnsi="Garamond"/>
          <w:rtl/>
        </w:rPr>
      </w:pPr>
    </w:p>
    <w:p w:rsidR="00C044AE" w:rsidRPr="00B00F53" w:rsidRDefault="00C044AE" w:rsidP="00C044AE">
      <w:pPr>
        <w:pStyle w:val="Ruller4"/>
        <w:numPr>
          <w:ilvl w:val="0"/>
          <w:numId w:val="0"/>
        </w:numPr>
        <w:rPr>
          <w:rtl/>
        </w:rPr>
      </w:pPr>
      <w:r>
        <w:rPr>
          <w:rtl/>
        </w:rPr>
        <w:tab/>
      </w:r>
      <w:r w:rsidRPr="00B00F53">
        <w:rPr>
          <w:rFonts w:hint="cs"/>
          <w:rtl/>
        </w:rPr>
        <w:t xml:space="preserve">אקדים אחרית לראשית </w:t>
      </w:r>
      <w:r w:rsidRPr="00B00F53">
        <w:rPr>
          <w:rFonts w:hint="eastAsia"/>
          <w:rtl/>
        </w:rPr>
        <w:t>ואומר</w:t>
      </w:r>
      <w:r w:rsidRPr="00B00F53">
        <w:rPr>
          <w:rtl/>
        </w:rPr>
        <w:t xml:space="preserve"> </w:t>
      </w:r>
      <w:r w:rsidRPr="00B00F53">
        <w:rPr>
          <w:rFonts w:hint="eastAsia"/>
          <w:rtl/>
        </w:rPr>
        <w:t>כי</w:t>
      </w:r>
      <w:r w:rsidRPr="00B00F53">
        <w:rPr>
          <w:rtl/>
        </w:rPr>
        <w:t xml:space="preserve"> </w:t>
      </w:r>
      <w:r w:rsidRPr="00B00F53">
        <w:rPr>
          <w:rFonts w:hint="cs"/>
          <w:rtl/>
        </w:rPr>
        <w:t>במצב החוקתי הקיים בישראל</w:t>
      </w:r>
      <w:r>
        <w:rPr>
          <w:rFonts w:hint="cs"/>
          <w:rtl/>
        </w:rPr>
        <w:t>,</w:t>
      </w:r>
      <w:r w:rsidRPr="00B00F53">
        <w:rPr>
          <w:rFonts w:hint="cs"/>
          <w:rtl/>
        </w:rPr>
        <w:t xml:space="preserve"> התיקון נושא העתירות</w:t>
      </w:r>
      <w:r>
        <w:rPr>
          <w:rFonts w:hint="cs"/>
          <w:rtl/>
        </w:rPr>
        <w:t xml:space="preserve">, </w:t>
      </w:r>
      <w:r w:rsidRPr="00B00F53">
        <w:rPr>
          <w:rFonts w:hint="cs"/>
          <w:rtl/>
        </w:rPr>
        <w:t xml:space="preserve">אשר מבטל </w:t>
      </w:r>
      <w:r w:rsidRPr="00B00F53">
        <w:rPr>
          <w:rFonts w:cs="Miriam" w:hint="cs"/>
          <w:b/>
          <w:spacing w:val="0"/>
          <w:sz w:val="22"/>
          <w:szCs w:val="24"/>
          <w:rtl/>
        </w:rPr>
        <w:t xml:space="preserve">באופן גורף </w:t>
      </w:r>
      <w:r w:rsidRPr="00B00F53">
        <w:rPr>
          <w:rFonts w:hint="cs"/>
          <w:rtl/>
        </w:rPr>
        <w:t>את הביקורת השיפוטית על סבירות כלל החלטות הדרג הנבחר,</w:t>
      </w:r>
      <w:r>
        <w:rPr>
          <w:rFonts w:hint="cs"/>
          <w:rtl/>
        </w:rPr>
        <w:t xml:space="preserve"> אכן פוגע </w:t>
      </w:r>
      <w:r w:rsidRPr="00B00F53">
        <w:rPr>
          <w:rFonts w:hint="cs"/>
          <w:rtl/>
        </w:rPr>
        <w:t>פגיעה קשה ביותר בעקרון הפרדת הרשויות ובעקרון שלטון החוק</w:t>
      </w:r>
      <w:r>
        <w:rPr>
          <w:rFonts w:hint="cs"/>
          <w:rtl/>
        </w:rPr>
        <w:t>.</w:t>
      </w:r>
      <w:r w:rsidRPr="00B00F53">
        <w:rPr>
          <w:rFonts w:hint="cs"/>
          <w:rtl/>
        </w:rPr>
        <w:t xml:space="preserve"> </w:t>
      </w:r>
      <w:r>
        <w:rPr>
          <w:rFonts w:hint="cs"/>
          <w:rtl/>
        </w:rPr>
        <w:t>פגיעה קשה זו</w:t>
      </w:r>
      <w:r w:rsidRPr="00B00F53">
        <w:rPr>
          <w:rFonts w:hint="cs"/>
          <w:rtl/>
        </w:rPr>
        <w:t xml:space="preserve"> בשניים מהמאפיינים </w:t>
      </w:r>
      <w:r>
        <w:rPr>
          <w:rFonts w:hint="cs"/>
          <w:rtl/>
        </w:rPr>
        <w:t>המובהקים</w:t>
      </w:r>
      <w:r w:rsidRPr="00B00F53">
        <w:rPr>
          <w:rFonts w:hint="cs"/>
          <w:rtl/>
        </w:rPr>
        <w:t xml:space="preserve"> ביותר של מדינת ישראל כמדינה דמוקרטית</w:t>
      </w:r>
      <w:r>
        <w:rPr>
          <w:rFonts w:hint="cs"/>
          <w:rtl/>
        </w:rPr>
        <w:t>,</w:t>
      </w:r>
      <w:r w:rsidRPr="00B00F53">
        <w:rPr>
          <w:rFonts w:hint="cs"/>
          <w:rtl/>
        </w:rPr>
        <w:t xml:space="preserve"> </w:t>
      </w:r>
      <w:r>
        <w:rPr>
          <w:rFonts w:hint="cs"/>
          <w:rtl/>
        </w:rPr>
        <w:t>יש בה כדי להשפיע</w:t>
      </w:r>
      <w:r w:rsidRPr="00B00F53">
        <w:rPr>
          <w:rFonts w:hint="cs"/>
          <w:rtl/>
        </w:rPr>
        <w:t xml:space="preserve"> באופן </w:t>
      </w:r>
      <w:r>
        <w:rPr>
          <w:rFonts w:hint="cs"/>
          <w:rtl/>
        </w:rPr>
        <w:t>משמעותי וחסר תקדים</w:t>
      </w:r>
      <w:r w:rsidRPr="00B00F53">
        <w:rPr>
          <w:rFonts w:hint="cs"/>
          <w:rtl/>
        </w:rPr>
        <w:t xml:space="preserve"> על הפרט ועל הציבור בכללותו</w:t>
      </w:r>
      <w:r>
        <w:rPr>
          <w:rFonts w:hint="cs"/>
          <w:rtl/>
        </w:rPr>
        <w:t xml:space="preserve">, ולפיכך </w:t>
      </w:r>
      <w:r w:rsidRPr="00B00F53">
        <w:rPr>
          <w:rFonts w:hint="cs"/>
          <w:rtl/>
        </w:rPr>
        <w:t xml:space="preserve">אני סבורה </w:t>
      </w:r>
      <w:r>
        <w:rPr>
          <w:rFonts w:hint="cs"/>
          <w:rtl/>
        </w:rPr>
        <w:t>ש</w:t>
      </w:r>
      <w:r w:rsidRPr="00B00F53">
        <w:rPr>
          <w:rFonts w:hint="cs"/>
          <w:rtl/>
        </w:rPr>
        <w:t xml:space="preserve">אין מנוס מן הקביעה כי בחוקקה את תיקון מס' 3 חרגה הכנסת מסמכותה המכוננת </w:t>
      </w:r>
      <w:r>
        <w:rPr>
          <w:rFonts w:hint="cs"/>
          <w:rtl/>
        </w:rPr>
        <w:t xml:space="preserve">וכי דין התיקון </w:t>
      </w:r>
      <w:r>
        <w:rPr>
          <w:rtl/>
        </w:rPr>
        <w:t>–</w:t>
      </w:r>
      <w:r>
        <w:rPr>
          <w:rFonts w:hint="cs"/>
          <w:rtl/>
        </w:rPr>
        <w:t xml:space="preserve"> בטלות</w:t>
      </w:r>
      <w:r w:rsidRPr="00B00F53">
        <w:rPr>
          <w:rFonts w:hint="cs"/>
          <w:rtl/>
        </w:rPr>
        <w:t xml:space="preserve">. </w:t>
      </w:r>
      <w:r>
        <w:rPr>
          <w:rFonts w:hint="cs"/>
          <w:rtl/>
        </w:rPr>
        <w:t>נוכח מסקנה זו, אייחד את עיקר הדברים בהמשך לטעמים המבססים אותה</w:t>
      </w:r>
      <w:r w:rsidRPr="00B00F53">
        <w:rPr>
          <w:rFonts w:hint="cs"/>
          <w:rtl/>
        </w:rPr>
        <w:t xml:space="preserve">, ואסתפק </w:t>
      </w:r>
      <w:r>
        <w:rPr>
          <w:rFonts w:hint="cs"/>
          <w:rtl/>
        </w:rPr>
        <w:t>ב</w:t>
      </w:r>
      <w:r w:rsidRPr="00B00F53">
        <w:rPr>
          <w:rFonts w:hint="cs"/>
          <w:rtl/>
        </w:rPr>
        <w:t xml:space="preserve">הערות </w:t>
      </w:r>
      <w:r>
        <w:rPr>
          <w:rFonts w:hint="cs"/>
          <w:rtl/>
        </w:rPr>
        <w:t xml:space="preserve">אחדות בלבד לגבי </w:t>
      </w:r>
      <w:r w:rsidRPr="00B00F53">
        <w:rPr>
          <w:rFonts w:hint="cs"/>
          <w:rtl/>
        </w:rPr>
        <w:t>שני הפגמים האחרים</w:t>
      </w:r>
      <w:r>
        <w:rPr>
          <w:rFonts w:hint="cs"/>
          <w:rtl/>
        </w:rPr>
        <w:t xml:space="preserve"> שהעלו העותרים</w:t>
      </w:r>
      <w:r w:rsidRPr="00B00F53">
        <w:rPr>
          <w:rFonts w:hint="cs"/>
          <w:rtl/>
        </w:rPr>
        <w:t xml:space="preserve">. </w:t>
      </w:r>
    </w:p>
    <w:p w:rsidR="00C044AE" w:rsidRPr="00B00F53" w:rsidRDefault="00C044AE" w:rsidP="00C044AE">
      <w:pPr>
        <w:pStyle w:val="Ruller41"/>
        <w:rPr>
          <w:rFonts w:ascii="Garamond" w:hAnsi="Garamond"/>
          <w:rtl/>
        </w:rPr>
      </w:pPr>
    </w:p>
    <w:p w:rsidR="00C044AE" w:rsidRPr="00B00F53" w:rsidRDefault="00C044AE" w:rsidP="00C044AE">
      <w:pPr>
        <w:pStyle w:val="2"/>
        <w:numPr>
          <w:ilvl w:val="0"/>
          <w:numId w:val="6"/>
        </w:numPr>
        <w:rPr>
          <w:rFonts w:ascii="Garamond" w:eastAsia="Times New Roman" w:hAnsi="Garamond" w:cs="Miriam"/>
          <w:b/>
          <w:color w:val="auto"/>
          <w:spacing w:val="0"/>
          <w:sz w:val="22"/>
          <w:szCs w:val="24"/>
          <w:rtl/>
        </w:rPr>
      </w:pPr>
      <w:r>
        <w:rPr>
          <w:rFonts w:ascii="Garamond" w:eastAsia="Times New Roman" w:hAnsi="Garamond" w:cs="Miriam" w:hint="cs"/>
          <w:b/>
          <w:color w:val="auto"/>
          <w:spacing w:val="0"/>
          <w:sz w:val="22"/>
          <w:szCs w:val="24"/>
          <w:rtl/>
        </w:rPr>
        <w:t xml:space="preserve">טענת סף: </w:t>
      </w:r>
      <w:r w:rsidRPr="00B00F53">
        <w:rPr>
          <w:rFonts w:ascii="Garamond" w:eastAsia="Times New Roman" w:hAnsi="Garamond" w:cs="Miriam" w:hint="cs"/>
          <w:b/>
          <w:color w:val="auto"/>
          <w:spacing w:val="0"/>
          <w:sz w:val="22"/>
          <w:szCs w:val="24"/>
          <w:rtl/>
        </w:rPr>
        <w:t>בשלות העתירות</w:t>
      </w:r>
    </w:p>
    <w:p w:rsidR="00C044AE" w:rsidRPr="00B00F53" w:rsidRDefault="00C044AE" w:rsidP="00C044AE">
      <w:pPr>
        <w:rPr>
          <w:rFonts w:ascii="Garamond" w:hAnsi="Garamond"/>
          <w:rtl/>
        </w:rPr>
      </w:pPr>
    </w:p>
    <w:p w:rsidR="00C044AE" w:rsidRPr="00B00F53" w:rsidRDefault="00C044AE" w:rsidP="00C044AE">
      <w:pPr>
        <w:pStyle w:val="Ruller4"/>
        <w:rPr>
          <w:rtl/>
        </w:rPr>
      </w:pPr>
      <w:r w:rsidRPr="00B00F53">
        <w:rPr>
          <w:rFonts w:hint="cs"/>
          <w:rtl/>
        </w:rPr>
        <w:t xml:space="preserve">הכנסת סבורה כי דין העתירות להידחות על הסף, </w:t>
      </w:r>
      <w:r>
        <w:rPr>
          <w:rFonts w:hint="cs"/>
          <w:rtl/>
        </w:rPr>
        <w:t>משום</w:t>
      </w:r>
      <w:r w:rsidRPr="00B00F53">
        <w:rPr>
          <w:rFonts w:hint="cs"/>
          <w:rtl/>
        </w:rPr>
        <w:t xml:space="preserve"> </w:t>
      </w:r>
      <w:r>
        <w:rPr>
          <w:rFonts w:hint="cs"/>
          <w:rtl/>
        </w:rPr>
        <w:t>ש</w:t>
      </w:r>
      <w:r w:rsidRPr="00B00F53">
        <w:rPr>
          <w:rFonts w:hint="cs"/>
          <w:rtl/>
        </w:rPr>
        <w:t>טרם התגבשה</w:t>
      </w:r>
      <w:r>
        <w:rPr>
          <w:rFonts w:hint="cs"/>
          <w:rtl/>
        </w:rPr>
        <w:t>, לשיטתה,</w:t>
      </w:r>
      <w:r w:rsidRPr="00B00F53">
        <w:rPr>
          <w:rFonts w:hint="cs"/>
          <w:rtl/>
        </w:rPr>
        <w:t xml:space="preserve"> התשתית העובדתית והמשפטית הנדרשת להכרעה בסוגיות המועלות בעתירות. בהקשר זה נטען כי מכלול השלכותיו של התיקון טרם התבררו והן תלויות, במידה רבה, </w:t>
      </w:r>
      <w:r>
        <w:rPr>
          <w:rFonts w:hint="cs"/>
          <w:rtl/>
        </w:rPr>
        <w:t>באופן שבו יפורש</w:t>
      </w:r>
      <w:r w:rsidRPr="00B00F53">
        <w:rPr>
          <w:rFonts w:hint="cs"/>
          <w:rtl/>
        </w:rPr>
        <w:t xml:space="preserve"> התיקון על ידי בתי המשפט, בהשפעתו על התנהלות הממשלה ושריה וביכולת</w:t>
      </w:r>
      <w:r>
        <w:rPr>
          <w:rFonts w:hint="cs"/>
          <w:rtl/>
        </w:rPr>
        <w:t>ה של</w:t>
      </w:r>
      <w:r w:rsidRPr="00B00F53">
        <w:rPr>
          <w:rFonts w:hint="cs"/>
          <w:rtl/>
        </w:rPr>
        <w:t xml:space="preserve"> הכנסת לאכוף את חובת הסבירות על הדרג הנבחר. בנסיבות אלו, </w:t>
      </w:r>
      <w:r>
        <w:rPr>
          <w:rFonts w:hint="cs"/>
          <w:rtl/>
        </w:rPr>
        <w:t>כך לטענת הכנסת,</w:t>
      </w:r>
      <w:r w:rsidRPr="00B00F53">
        <w:rPr>
          <w:rFonts w:hint="cs"/>
          <w:rtl/>
        </w:rPr>
        <w:t xml:space="preserve"> "אין מקום לעשות שימוש ב'נשק יום הדין' של ביטול חוק יסוד בהתבסס על ספקות והערכות" (</w:t>
      </w:r>
      <w:r>
        <w:rPr>
          <w:rFonts w:hint="cs"/>
          <w:rtl/>
        </w:rPr>
        <w:t xml:space="preserve">פסקה </w:t>
      </w:r>
      <w:r w:rsidRPr="00B00F53">
        <w:rPr>
          <w:rFonts w:hint="cs"/>
          <w:rtl/>
        </w:rPr>
        <w:t>358 לתצהיר התשובה מטעמה).</w:t>
      </w:r>
    </w:p>
    <w:p w:rsidR="00C044AE" w:rsidRPr="00B00F53" w:rsidRDefault="00C044AE" w:rsidP="00C044AE">
      <w:pPr>
        <w:pStyle w:val="Ruller41"/>
        <w:rPr>
          <w:rFonts w:ascii="Garamond" w:hAnsi="Garamond"/>
        </w:rPr>
      </w:pPr>
    </w:p>
    <w:p w:rsidR="00C044AE" w:rsidRPr="00B00F53" w:rsidRDefault="00C044AE" w:rsidP="00C044AE">
      <w:pPr>
        <w:pStyle w:val="Ruller4"/>
        <w:rPr>
          <w:rtl/>
        </w:rPr>
      </w:pPr>
      <w:r w:rsidRPr="00B00F53">
        <w:rPr>
          <w:rFonts w:hint="eastAsia"/>
          <w:rtl/>
        </w:rPr>
        <w:t>דוקטרינת</w:t>
      </w:r>
      <w:r w:rsidRPr="00B00F53">
        <w:rPr>
          <w:rtl/>
        </w:rPr>
        <w:t xml:space="preserve"> </w:t>
      </w:r>
      <w:r w:rsidRPr="00B00F53">
        <w:rPr>
          <w:rFonts w:hint="eastAsia"/>
          <w:rtl/>
        </w:rPr>
        <w:t>הבשלות</w:t>
      </w:r>
      <w:r w:rsidRPr="00B00F53">
        <w:rPr>
          <w:rFonts w:hint="cs"/>
          <w:rtl/>
        </w:rPr>
        <w:t xml:space="preserve">, אשר נקלטה </w:t>
      </w:r>
      <w:r>
        <w:rPr>
          <w:rFonts w:hint="cs"/>
          <w:rtl/>
        </w:rPr>
        <w:t>ב</w:t>
      </w:r>
      <w:r w:rsidRPr="00B00F53">
        <w:rPr>
          <w:rFonts w:hint="cs"/>
          <w:rtl/>
        </w:rPr>
        <w:t>שיטת</w:t>
      </w:r>
      <w:r>
        <w:rPr>
          <w:rFonts w:hint="cs"/>
          <w:rtl/>
        </w:rPr>
        <w:t xml:space="preserve"> המשפט שלנו בשנים האחרונות, משקפת את תפיסת היסוד בדבר הריסון והזהירות שבה נוקט בית המשפט בקיום ביקורת חוקתית </w:t>
      </w:r>
      <w:r w:rsidRPr="00B00F53">
        <w:rPr>
          <w:rFonts w:hint="cs"/>
          <w:rtl/>
        </w:rPr>
        <w:t>(</w:t>
      </w:r>
      <w:r w:rsidRPr="00B00F53">
        <w:rPr>
          <w:rFonts w:hint="cs"/>
          <w:color w:val="000000" w:themeColor="text1"/>
          <w:rtl/>
        </w:rPr>
        <w:t>עניין</w:t>
      </w:r>
      <w:r w:rsidRPr="00B00F53">
        <w:rPr>
          <w:color w:val="000000" w:themeColor="text1"/>
          <w:rtl/>
        </w:rPr>
        <w:t xml:space="preserve"> </w:t>
      </w:r>
      <w:r w:rsidRPr="00B00F53">
        <w:rPr>
          <w:rFonts w:cs="Miriam" w:hint="eastAsia"/>
          <w:b/>
          <w:color w:val="000000" w:themeColor="text1"/>
          <w:spacing w:val="0"/>
          <w:szCs w:val="24"/>
          <w:rtl/>
        </w:rPr>
        <w:t>בן</w:t>
      </w:r>
      <w:r w:rsidRPr="00B00F53">
        <w:rPr>
          <w:rFonts w:cs="Miriam"/>
          <w:b/>
          <w:color w:val="000000" w:themeColor="text1"/>
          <w:spacing w:val="0"/>
          <w:szCs w:val="24"/>
          <w:rtl/>
        </w:rPr>
        <w:t xml:space="preserve"> </w:t>
      </w:r>
      <w:r w:rsidRPr="00B00F53">
        <w:rPr>
          <w:rFonts w:cs="Miriam" w:hint="eastAsia"/>
          <w:b/>
          <w:color w:val="000000" w:themeColor="text1"/>
          <w:spacing w:val="0"/>
          <w:szCs w:val="24"/>
          <w:rtl/>
        </w:rPr>
        <w:t>מאיר</w:t>
      </w:r>
      <w:r w:rsidRPr="00B00F53">
        <w:rPr>
          <w:color w:val="000000" w:themeColor="text1"/>
          <w:rtl/>
        </w:rPr>
        <w:t xml:space="preserve">, </w:t>
      </w:r>
      <w:r w:rsidRPr="00B00F53">
        <w:rPr>
          <w:rFonts w:hint="cs"/>
          <w:color w:val="000000" w:themeColor="text1"/>
          <w:rtl/>
        </w:rPr>
        <w:t>ב</w:t>
      </w:r>
      <w:r w:rsidRPr="00B00F53">
        <w:rPr>
          <w:rFonts w:hint="eastAsia"/>
          <w:color w:val="000000" w:themeColor="text1"/>
          <w:rtl/>
        </w:rPr>
        <w:t>פסקה</w:t>
      </w:r>
      <w:r w:rsidRPr="00B00F53">
        <w:rPr>
          <w:color w:val="000000" w:themeColor="text1"/>
          <w:rtl/>
        </w:rPr>
        <w:t xml:space="preserve"> 3 </w:t>
      </w:r>
      <w:r w:rsidRPr="00B00F53">
        <w:rPr>
          <w:rFonts w:hint="cs"/>
          <w:color w:val="000000" w:themeColor="text1"/>
          <w:rtl/>
        </w:rPr>
        <w:t>לחוות דעתו</w:t>
      </w:r>
      <w:r w:rsidRPr="00B00F53">
        <w:rPr>
          <w:color w:val="000000" w:themeColor="text1"/>
          <w:rtl/>
        </w:rPr>
        <w:t xml:space="preserve"> </w:t>
      </w:r>
      <w:r w:rsidRPr="00B00F53">
        <w:rPr>
          <w:rFonts w:hint="eastAsia"/>
          <w:color w:val="000000" w:themeColor="text1"/>
          <w:rtl/>
        </w:rPr>
        <w:t>של</w:t>
      </w:r>
      <w:r w:rsidRPr="00B00F53">
        <w:rPr>
          <w:color w:val="000000" w:themeColor="text1"/>
          <w:rtl/>
        </w:rPr>
        <w:t xml:space="preserve"> </w:t>
      </w:r>
      <w:r w:rsidRPr="00B00F53">
        <w:rPr>
          <w:rFonts w:hint="eastAsia"/>
          <w:color w:val="000000" w:themeColor="text1"/>
          <w:rtl/>
        </w:rPr>
        <w:t>השופט</w:t>
      </w:r>
      <w:r w:rsidRPr="00B00F53">
        <w:rPr>
          <w:color w:val="000000" w:themeColor="text1"/>
          <w:rtl/>
        </w:rPr>
        <w:t xml:space="preserve"> </w:t>
      </w:r>
      <w:r w:rsidRPr="00B00F53">
        <w:rPr>
          <w:rFonts w:cs="Miriam" w:hint="eastAsia"/>
          <w:b/>
          <w:color w:val="000000" w:themeColor="text1"/>
          <w:spacing w:val="0"/>
          <w:szCs w:val="24"/>
          <w:rtl/>
        </w:rPr>
        <w:t>מזוז</w:t>
      </w:r>
      <w:r>
        <w:rPr>
          <w:rFonts w:hint="cs"/>
          <w:rtl/>
        </w:rPr>
        <w:t>). דוקטרינה זו</w:t>
      </w:r>
      <w:r w:rsidRPr="00B00F53">
        <w:rPr>
          <w:rtl/>
        </w:rPr>
        <w:t xml:space="preserve"> </w:t>
      </w:r>
      <w:r>
        <w:rPr>
          <w:rFonts w:hint="cs"/>
          <w:rtl/>
        </w:rPr>
        <w:t>מהווה בידי בית המשפט</w:t>
      </w:r>
      <w:r w:rsidRPr="00B00F53">
        <w:rPr>
          <w:rtl/>
        </w:rPr>
        <w:t xml:space="preserve"> </w:t>
      </w:r>
      <w:r>
        <w:rPr>
          <w:rFonts w:hint="cs"/>
          <w:rtl/>
        </w:rPr>
        <w:t>כלי ל</w:t>
      </w:r>
      <w:r w:rsidRPr="00B00F53">
        <w:rPr>
          <w:rFonts w:hint="eastAsia"/>
          <w:rtl/>
        </w:rPr>
        <w:t>בקרה</w:t>
      </w:r>
      <w:r w:rsidRPr="00B00F53">
        <w:rPr>
          <w:rtl/>
        </w:rPr>
        <w:t xml:space="preserve"> </w:t>
      </w:r>
      <w:r w:rsidRPr="00B00F53">
        <w:rPr>
          <w:rFonts w:hint="eastAsia"/>
          <w:rtl/>
        </w:rPr>
        <w:t>וויסות</w:t>
      </w:r>
      <w:r w:rsidRPr="00B00F53">
        <w:rPr>
          <w:rtl/>
        </w:rPr>
        <w:t xml:space="preserve"> </w:t>
      </w:r>
      <w:r>
        <w:rPr>
          <w:rFonts w:hint="cs"/>
          <w:rtl/>
        </w:rPr>
        <w:t xml:space="preserve">של </w:t>
      </w:r>
      <w:r w:rsidRPr="00B00F53">
        <w:rPr>
          <w:rFonts w:hint="eastAsia"/>
          <w:rtl/>
        </w:rPr>
        <w:t>העניינים</w:t>
      </w:r>
      <w:r w:rsidRPr="00B00F53">
        <w:rPr>
          <w:rtl/>
        </w:rPr>
        <w:t xml:space="preserve"> </w:t>
      </w:r>
      <w:r w:rsidRPr="00B00F53">
        <w:rPr>
          <w:rFonts w:hint="eastAsia"/>
          <w:rtl/>
        </w:rPr>
        <w:t>החוקתיים</w:t>
      </w:r>
      <w:r w:rsidRPr="00B00F53">
        <w:rPr>
          <w:rtl/>
        </w:rPr>
        <w:t xml:space="preserve"> </w:t>
      </w:r>
      <w:r>
        <w:rPr>
          <w:rFonts w:hint="cs"/>
          <w:rtl/>
        </w:rPr>
        <w:t>שבהם יש</w:t>
      </w:r>
      <w:r w:rsidRPr="00B00F53">
        <w:rPr>
          <w:rtl/>
        </w:rPr>
        <w:t xml:space="preserve"> </w:t>
      </w:r>
      <w:r>
        <w:rPr>
          <w:rFonts w:hint="cs"/>
          <w:rtl/>
        </w:rPr>
        <w:t xml:space="preserve">צורך </w:t>
      </w:r>
      <w:r w:rsidRPr="00B00F53">
        <w:rPr>
          <w:rFonts w:hint="eastAsia"/>
          <w:rtl/>
        </w:rPr>
        <w:t>לדון</w:t>
      </w:r>
      <w:r w:rsidRPr="00B00F53">
        <w:rPr>
          <w:rtl/>
        </w:rPr>
        <w:t xml:space="preserve"> </w:t>
      </w:r>
      <w:r w:rsidRPr="00B00F53">
        <w:rPr>
          <w:rFonts w:hint="eastAsia"/>
          <w:rtl/>
        </w:rPr>
        <w:t>ולהכריע</w:t>
      </w:r>
      <w:r>
        <w:rPr>
          <w:rFonts w:hint="cs"/>
          <w:rtl/>
        </w:rPr>
        <w:t>,</w:t>
      </w:r>
      <w:r w:rsidRPr="00B00F53">
        <w:rPr>
          <w:rtl/>
        </w:rPr>
        <w:t xml:space="preserve"> </w:t>
      </w:r>
      <w:r>
        <w:rPr>
          <w:rFonts w:hint="cs"/>
          <w:rtl/>
        </w:rPr>
        <w:t>ו</w:t>
      </w:r>
      <w:r w:rsidRPr="00B00F53">
        <w:rPr>
          <w:rFonts w:hint="cs"/>
          <w:rtl/>
        </w:rPr>
        <w:t>עניינה בהערכת נקודת הזמן אשר בה מן הראוי כי בית המשפט יבחן סוגיה נתונה (</w:t>
      </w:r>
      <w:r w:rsidRPr="001C6B5B">
        <w:rPr>
          <w:rFonts w:cs="Miriam" w:hint="cs"/>
          <w:b/>
          <w:color w:val="000000" w:themeColor="text1"/>
          <w:spacing w:val="0"/>
          <w:szCs w:val="24"/>
          <w:rtl/>
        </w:rPr>
        <w:t>שם</w:t>
      </w:r>
      <w:r>
        <w:rPr>
          <w:rFonts w:hint="cs"/>
          <w:rtl/>
        </w:rPr>
        <w:t xml:space="preserve">; </w:t>
      </w:r>
      <w:r w:rsidRPr="00B00F53">
        <w:rPr>
          <w:rFonts w:hint="eastAsia"/>
          <w:rtl/>
        </w:rPr>
        <w:t>בג</w:t>
      </w:r>
      <w:r w:rsidRPr="00B00F53">
        <w:rPr>
          <w:rtl/>
        </w:rPr>
        <w:t>"</w:t>
      </w:r>
      <w:r w:rsidRPr="00B00F53">
        <w:rPr>
          <w:rFonts w:hint="eastAsia"/>
          <w:rtl/>
        </w:rPr>
        <w:t>ץ</w:t>
      </w:r>
      <w:r w:rsidRPr="00B00F53">
        <w:rPr>
          <w:rtl/>
        </w:rPr>
        <w:t xml:space="preserve"> 2311/11 </w:t>
      </w:r>
      <w:r w:rsidRPr="00B00F53">
        <w:rPr>
          <w:rFonts w:cs="Miriam" w:hint="eastAsia"/>
          <w:b/>
          <w:spacing w:val="0"/>
          <w:sz w:val="22"/>
          <w:szCs w:val="24"/>
          <w:rtl/>
        </w:rPr>
        <w:t>סבח</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הכנסת</w:t>
      </w:r>
      <w:r w:rsidRPr="00B00F53">
        <w:rPr>
          <w:rtl/>
        </w:rPr>
        <w:t>,</w:t>
      </w:r>
      <w:r w:rsidRPr="00B00F53">
        <w:rPr>
          <w:rFonts w:hint="cs"/>
          <w:rtl/>
        </w:rPr>
        <w:t xml:space="preserve"> </w:t>
      </w:r>
      <w:r w:rsidRPr="00B00F53">
        <w:rPr>
          <w:rFonts w:hint="eastAsia"/>
          <w:rtl/>
        </w:rPr>
        <w:t>פסקה</w:t>
      </w:r>
      <w:r w:rsidRPr="00B00F53">
        <w:rPr>
          <w:rtl/>
        </w:rPr>
        <w:t xml:space="preserve"> 12 </w:t>
      </w:r>
      <w:r w:rsidRPr="00B00F53">
        <w:rPr>
          <w:rFonts w:hint="eastAsia"/>
          <w:rtl/>
        </w:rPr>
        <w:t>לחוות</w:t>
      </w:r>
      <w:r w:rsidRPr="00B00F53">
        <w:rPr>
          <w:rtl/>
        </w:rPr>
        <w:t xml:space="preserve"> </w:t>
      </w:r>
      <w:r w:rsidRPr="00B00F53">
        <w:rPr>
          <w:rFonts w:hint="eastAsia"/>
          <w:rtl/>
        </w:rPr>
        <w:t>דעתו</w:t>
      </w:r>
      <w:r w:rsidRPr="00B00F53">
        <w:rPr>
          <w:rtl/>
        </w:rPr>
        <w:t xml:space="preserve"> </w:t>
      </w:r>
      <w:r w:rsidRPr="00B00F53">
        <w:rPr>
          <w:rFonts w:hint="eastAsia"/>
          <w:rtl/>
        </w:rPr>
        <w:t>של</w:t>
      </w:r>
      <w:r w:rsidRPr="00B00F53">
        <w:rPr>
          <w:rtl/>
        </w:rPr>
        <w:t xml:space="preserve"> </w:t>
      </w:r>
      <w:r w:rsidRPr="00B00F53">
        <w:rPr>
          <w:rFonts w:hint="eastAsia"/>
          <w:rtl/>
        </w:rPr>
        <w:t>הנשיא</w:t>
      </w:r>
      <w:r w:rsidRPr="00B00F53">
        <w:rPr>
          <w:rFonts w:cs="Miriam"/>
          <w:b/>
          <w:spacing w:val="0"/>
          <w:sz w:val="22"/>
          <w:szCs w:val="24"/>
          <w:rtl/>
        </w:rPr>
        <w:t xml:space="preserve"> </w:t>
      </w:r>
      <w:r w:rsidRPr="00B00F53">
        <w:rPr>
          <w:rFonts w:cs="Miriam" w:hint="eastAsia"/>
          <w:b/>
          <w:spacing w:val="0"/>
          <w:sz w:val="22"/>
          <w:szCs w:val="24"/>
          <w:rtl/>
        </w:rPr>
        <w:t>גרוניס</w:t>
      </w:r>
      <w:r w:rsidRPr="00B00F53">
        <w:rPr>
          <w:rtl/>
        </w:rPr>
        <w:t xml:space="preserve"> (17.9.2014) (</w:t>
      </w:r>
      <w:r w:rsidRPr="00B00F53">
        <w:rPr>
          <w:rFonts w:hint="eastAsia"/>
          <w:rtl/>
        </w:rPr>
        <w:t>להלן</w:t>
      </w:r>
      <w:r w:rsidRPr="00B00F53">
        <w:rPr>
          <w:rtl/>
        </w:rPr>
        <w:t xml:space="preserve">: </w:t>
      </w:r>
      <w:r w:rsidRPr="00B00F53">
        <w:rPr>
          <w:rFonts w:cs="Miriam" w:hint="eastAsia"/>
          <w:b/>
          <w:spacing w:val="0"/>
          <w:sz w:val="22"/>
          <w:szCs w:val="24"/>
          <w:rtl/>
        </w:rPr>
        <w:t>עניין</w:t>
      </w:r>
      <w:r w:rsidRPr="00B00F53">
        <w:rPr>
          <w:rFonts w:cs="Miriam"/>
          <w:b/>
          <w:spacing w:val="0"/>
          <w:sz w:val="22"/>
          <w:szCs w:val="24"/>
          <w:rtl/>
        </w:rPr>
        <w:t xml:space="preserve"> </w:t>
      </w:r>
      <w:r w:rsidRPr="00B00F53">
        <w:rPr>
          <w:rFonts w:cs="Miriam" w:hint="eastAsia"/>
          <w:b/>
          <w:spacing w:val="0"/>
          <w:sz w:val="22"/>
          <w:szCs w:val="24"/>
          <w:rtl/>
        </w:rPr>
        <w:t>סבח</w:t>
      </w:r>
      <w:r w:rsidRPr="00B00F53">
        <w:rPr>
          <w:rtl/>
        </w:rPr>
        <w:t>)</w:t>
      </w:r>
      <w:r>
        <w:rPr>
          <w:rFonts w:hint="cs"/>
          <w:rtl/>
        </w:rPr>
        <w:t xml:space="preserve">). </w:t>
      </w:r>
      <w:r w:rsidRPr="00B00F53">
        <w:rPr>
          <w:rFonts w:hint="cs"/>
          <w:rtl/>
        </w:rPr>
        <w:t xml:space="preserve">היא נועדה </w:t>
      </w:r>
      <w:r w:rsidRPr="00B00F53">
        <w:rPr>
          <w:rtl/>
        </w:rPr>
        <w:t>"</w:t>
      </w:r>
      <w:r w:rsidRPr="00B00F53">
        <w:rPr>
          <w:rFonts w:hint="eastAsia"/>
          <w:rtl/>
        </w:rPr>
        <w:t>לחסוך</w:t>
      </w:r>
      <w:r w:rsidRPr="00B00F53">
        <w:rPr>
          <w:rtl/>
        </w:rPr>
        <w:t xml:space="preserve"> </w:t>
      </w:r>
      <w:r w:rsidRPr="00B00F53">
        <w:rPr>
          <w:rFonts w:hint="eastAsia"/>
          <w:rtl/>
        </w:rPr>
        <w:t>מבית</w:t>
      </w:r>
      <w:r w:rsidRPr="00B00F53">
        <w:rPr>
          <w:rtl/>
        </w:rPr>
        <w:t xml:space="preserve"> </w:t>
      </w:r>
      <w:r w:rsidRPr="00B00F53">
        <w:rPr>
          <w:rFonts w:hint="eastAsia"/>
          <w:rtl/>
        </w:rPr>
        <w:t>המשפט</w:t>
      </w:r>
      <w:r w:rsidRPr="00B00F53">
        <w:rPr>
          <w:rtl/>
        </w:rPr>
        <w:t xml:space="preserve"> </w:t>
      </w:r>
      <w:r w:rsidRPr="00B00F53">
        <w:rPr>
          <w:rFonts w:hint="eastAsia"/>
          <w:rtl/>
        </w:rPr>
        <w:t>את</w:t>
      </w:r>
      <w:r w:rsidRPr="00B00F53">
        <w:rPr>
          <w:rtl/>
        </w:rPr>
        <w:t xml:space="preserve"> </w:t>
      </w:r>
      <w:r w:rsidRPr="00B00F53">
        <w:rPr>
          <w:rFonts w:hint="eastAsia"/>
          <w:rtl/>
        </w:rPr>
        <w:t>הצורך</w:t>
      </w:r>
      <w:r w:rsidRPr="00B00F53">
        <w:rPr>
          <w:rtl/>
        </w:rPr>
        <w:t xml:space="preserve"> </w:t>
      </w:r>
      <w:r w:rsidRPr="00B00F53">
        <w:rPr>
          <w:rFonts w:hint="eastAsia"/>
          <w:rtl/>
        </w:rPr>
        <w:t>לדון</w:t>
      </w:r>
      <w:r w:rsidRPr="00B00F53">
        <w:rPr>
          <w:rtl/>
        </w:rPr>
        <w:t xml:space="preserve"> </w:t>
      </w:r>
      <w:r w:rsidRPr="00B00F53">
        <w:rPr>
          <w:rFonts w:hint="eastAsia"/>
          <w:rtl/>
        </w:rPr>
        <w:t>בעניינים</w:t>
      </w:r>
      <w:r w:rsidRPr="00B00F53">
        <w:rPr>
          <w:rtl/>
        </w:rPr>
        <w:t xml:space="preserve"> </w:t>
      </w:r>
      <w:r w:rsidRPr="00B00F53">
        <w:rPr>
          <w:rFonts w:hint="eastAsia"/>
          <w:rtl/>
        </w:rPr>
        <w:t>שלא</w:t>
      </w:r>
      <w:r w:rsidRPr="00B00F53">
        <w:rPr>
          <w:rtl/>
        </w:rPr>
        <w:t xml:space="preserve"> </w:t>
      </w:r>
      <w:r w:rsidRPr="00B00F53">
        <w:rPr>
          <w:rFonts w:hint="eastAsia"/>
          <w:rtl/>
        </w:rPr>
        <w:t>בשלו</w:t>
      </w:r>
      <w:r w:rsidRPr="00B00F53">
        <w:rPr>
          <w:rtl/>
        </w:rPr>
        <w:t xml:space="preserve"> </w:t>
      </w:r>
      <w:r w:rsidRPr="00B00F53">
        <w:rPr>
          <w:rFonts w:hint="eastAsia"/>
          <w:rtl/>
        </w:rPr>
        <w:t>להכרעה</w:t>
      </w:r>
      <w:r w:rsidRPr="00B00F53">
        <w:rPr>
          <w:rtl/>
        </w:rPr>
        <w:t xml:space="preserve"> </w:t>
      </w:r>
      <w:r w:rsidRPr="00B00F53">
        <w:rPr>
          <w:rFonts w:hint="eastAsia"/>
          <w:rtl/>
        </w:rPr>
        <w:t>שיפוטית</w:t>
      </w:r>
      <w:r w:rsidRPr="00B00F53">
        <w:rPr>
          <w:rtl/>
        </w:rPr>
        <w:t xml:space="preserve"> </w:t>
      </w:r>
      <w:r w:rsidRPr="00B00F53">
        <w:rPr>
          <w:rFonts w:hint="eastAsia"/>
          <w:rtl/>
        </w:rPr>
        <w:t>בשל</w:t>
      </w:r>
      <w:r w:rsidRPr="00B00F53">
        <w:rPr>
          <w:rtl/>
        </w:rPr>
        <w:t xml:space="preserve"> </w:t>
      </w:r>
      <w:r w:rsidRPr="00B00F53">
        <w:rPr>
          <w:rFonts w:hint="eastAsia"/>
          <w:rtl/>
        </w:rPr>
        <w:t>שהפגיעה</w:t>
      </w:r>
      <w:r w:rsidRPr="00B00F53">
        <w:rPr>
          <w:rtl/>
        </w:rPr>
        <w:t xml:space="preserve"> </w:t>
      </w:r>
      <w:r w:rsidRPr="00B00F53">
        <w:rPr>
          <w:rFonts w:hint="eastAsia"/>
          <w:rtl/>
        </w:rPr>
        <w:t>הנטענת</w:t>
      </w:r>
      <w:r w:rsidRPr="00B00F53">
        <w:rPr>
          <w:rtl/>
        </w:rPr>
        <w:t xml:space="preserve"> </w:t>
      </w:r>
      <w:r w:rsidRPr="00B00F53">
        <w:rPr>
          <w:rFonts w:hint="eastAsia"/>
          <w:rtl/>
        </w:rPr>
        <w:t>בהם</w:t>
      </w:r>
      <w:r w:rsidRPr="00B00F53">
        <w:rPr>
          <w:rtl/>
        </w:rPr>
        <w:t xml:space="preserve"> </w:t>
      </w:r>
      <w:r w:rsidRPr="00B00F53">
        <w:rPr>
          <w:rFonts w:hint="eastAsia"/>
          <w:rtl/>
        </w:rPr>
        <w:t>היא</w:t>
      </w:r>
      <w:r w:rsidRPr="00B00F53">
        <w:rPr>
          <w:rtl/>
        </w:rPr>
        <w:t xml:space="preserve"> </w:t>
      </w:r>
      <w:r w:rsidRPr="00B00F53">
        <w:rPr>
          <w:rFonts w:hint="eastAsia"/>
          <w:rtl/>
        </w:rPr>
        <w:t>השערתית</w:t>
      </w:r>
      <w:r w:rsidRPr="00B00F53">
        <w:rPr>
          <w:rtl/>
        </w:rPr>
        <w:t xml:space="preserve"> </w:t>
      </w:r>
      <w:r w:rsidRPr="00B00F53">
        <w:rPr>
          <w:rFonts w:hint="eastAsia"/>
          <w:rtl/>
        </w:rPr>
        <w:t>גרידא</w:t>
      </w:r>
      <w:r w:rsidRPr="00B00F53">
        <w:rPr>
          <w:rtl/>
        </w:rPr>
        <w:t xml:space="preserve"> </w:t>
      </w:r>
      <w:r w:rsidRPr="00B00F53">
        <w:rPr>
          <w:rFonts w:hint="eastAsia"/>
          <w:rtl/>
        </w:rPr>
        <w:t>והיא</w:t>
      </w:r>
      <w:r w:rsidRPr="00B00F53">
        <w:rPr>
          <w:rtl/>
        </w:rPr>
        <w:t xml:space="preserve"> </w:t>
      </w:r>
      <w:r w:rsidRPr="00B00F53">
        <w:rPr>
          <w:rFonts w:hint="eastAsia"/>
          <w:rtl/>
        </w:rPr>
        <w:t>עשויה</w:t>
      </w:r>
      <w:r w:rsidRPr="00B00F53">
        <w:rPr>
          <w:rtl/>
        </w:rPr>
        <w:t xml:space="preserve"> </w:t>
      </w:r>
      <w:r w:rsidRPr="00B00F53">
        <w:rPr>
          <w:rFonts w:hint="eastAsia"/>
          <w:rtl/>
        </w:rPr>
        <w:t>שלא</w:t>
      </w:r>
      <w:r w:rsidRPr="00B00F53">
        <w:rPr>
          <w:rtl/>
        </w:rPr>
        <w:t xml:space="preserve"> </w:t>
      </w:r>
      <w:r w:rsidRPr="00B00F53">
        <w:rPr>
          <w:rFonts w:hint="eastAsia"/>
          <w:rtl/>
        </w:rPr>
        <w:t>להתקיים</w:t>
      </w:r>
      <w:r w:rsidRPr="00B00F53">
        <w:rPr>
          <w:rtl/>
        </w:rPr>
        <w:t xml:space="preserve"> </w:t>
      </w:r>
      <w:r w:rsidRPr="00B00F53">
        <w:rPr>
          <w:rFonts w:hint="eastAsia"/>
          <w:rtl/>
        </w:rPr>
        <w:t>כלל</w:t>
      </w:r>
      <w:r w:rsidRPr="00B00F53">
        <w:rPr>
          <w:rtl/>
        </w:rPr>
        <w:t>" (</w:t>
      </w:r>
      <w:r w:rsidRPr="00B00F53">
        <w:rPr>
          <w:rFonts w:hint="eastAsia"/>
          <w:rtl/>
        </w:rPr>
        <w:t>בג</w:t>
      </w:r>
      <w:r w:rsidRPr="00B00F53">
        <w:rPr>
          <w:rtl/>
        </w:rPr>
        <w:t>"</w:t>
      </w:r>
      <w:r w:rsidRPr="00B00F53">
        <w:rPr>
          <w:rFonts w:hint="eastAsia"/>
          <w:rtl/>
        </w:rPr>
        <w:t>ץ</w:t>
      </w:r>
      <w:r w:rsidRPr="00B00F53">
        <w:rPr>
          <w:rtl/>
        </w:rPr>
        <w:t xml:space="preserve"> 3803/11 </w:t>
      </w:r>
      <w:r w:rsidRPr="00B00F53">
        <w:rPr>
          <w:rFonts w:cs="Miriam" w:hint="eastAsia"/>
          <w:b/>
          <w:spacing w:val="0"/>
          <w:sz w:val="22"/>
          <w:szCs w:val="24"/>
          <w:rtl/>
        </w:rPr>
        <w:t>איגוד</w:t>
      </w:r>
      <w:r w:rsidRPr="00B00F53">
        <w:rPr>
          <w:rFonts w:cs="Miriam"/>
          <w:b/>
          <w:spacing w:val="0"/>
          <w:sz w:val="22"/>
          <w:szCs w:val="24"/>
          <w:rtl/>
        </w:rPr>
        <w:t xml:space="preserve"> </w:t>
      </w:r>
      <w:r w:rsidRPr="00B00F53">
        <w:rPr>
          <w:rFonts w:cs="Miriam" w:hint="eastAsia"/>
          <w:b/>
          <w:spacing w:val="0"/>
          <w:sz w:val="22"/>
          <w:szCs w:val="24"/>
          <w:rtl/>
        </w:rPr>
        <w:t>הנאמנים</w:t>
      </w:r>
      <w:r w:rsidRPr="00B00F53">
        <w:rPr>
          <w:rFonts w:cs="Miriam"/>
          <w:b/>
          <w:spacing w:val="0"/>
          <w:sz w:val="22"/>
          <w:szCs w:val="24"/>
          <w:rtl/>
        </w:rPr>
        <w:t xml:space="preserve"> </w:t>
      </w:r>
      <w:r w:rsidRPr="00B00F53">
        <w:rPr>
          <w:rFonts w:cs="Miriam" w:hint="eastAsia"/>
          <w:b/>
          <w:spacing w:val="0"/>
          <w:sz w:val="22"/>
          <w:szCs w:val="24"/>
          <w:rtl/>
        </w:rPr>
        <w:t>בשוק</w:t>
      </w:r>
      <w:r w:rsidRPr="00B00F53">
        <w:rPr>
          <w:rFonts w:cs="Miriam"/>
          <w:b/>
          <w:spacing w:val="0"/>
          <w:sz w:val="22"/>
          <w:szCs w:val="24"/>
          <w:rtl/>
        </w:rPr>
        <w:t xml:space="preserve"> </w:t>
      </w:r>
      <w:r w:rsidRPr="00B00F53">
        <w:rPr>
          <w:rFonts w:cs="Miriam" w:hint="eastAsia"/>
          <w:b/>
          <w:spacing w:val="0"/>
          <w:sz w:val="22"/>
          <w:szCs w:val="24"/>
          <w:rtl/>
        </w:rPr>
        <w:t>ההון</w:t>
      </w:r>
      <w:r w:rsidRPr="00B00F53">
        <w:rPr>
          <w:rFonts w:cs="Miriam"/>
          <w:b/>
          <w:spacing w:val="0"/>
          <w:sz w:val="22"/>
          <w:szCs w:val="24"/>
          <w:rtl/>
        </w:rPr>
        <w:t xml:space="preserve"> </w:t>
      </w:r>
      <w:r w:rsidRPr="00B00F53">
        <w:rPr>
          <w:rFonts w:cs="Miriam" w:hint="eastAsia"/>
          <w:b/>
          <w:spacing w:val="0"/>
          <w:sz w:val="22"/>
          <w:szCs w:val="24"/>
          <w:rtl/>
        </w:rPr>
        <w:lastRenderedPageBreak/>
        <w:t>בישראל</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מדינת</w:t>
      </w:r>
      <w:r w:rsidRPr="00B00F53">
        <w:rPr>
          <w:rFonts w:cs="Miriam"/>
          <w:b/>
          <w:spacing w:val="0"/>
          <w:sz w:val="22"/>
          <w:szCs w:val="24"/>
          <w:rtl/>
        </w:rPr>
        <w:t xml:space="preserve"> </w:t>
      </w:r>
      <w:r w:rsidRPr="00B00F53">
        <w:rPr>
          <w:rFonts w:cs="Miriam" w:hint="eastAsia"/>
          <w:b/>
          <w:spacing w:val="0"/>
          <w:sz w:val="22"/>
          <w:szCs w:val="24"/>
          <w:rtl/>
        </w:rPr>
        <w:t>ישראל</w:t>
      </w:r>
      <w:r w:rsidRPr="00B00F53">
        <w:rPr>
          <w:rFonts w:hint="cs"/>
          <w:rtl/>
        </w:rPr>
        <w:t>,</w:t>
      </w:r>
      <w:r w:rsidRPr="00B00F53">
        <w:rPr>
          <w:rtl/>
        </w:rPr>
        <w:t xml:space="preserve"> </w:t>
      </w:r>
      <w:r w:rsidRPr="00B00F53">
        <w:rPr>
          <w:rFonts w:hint="eastAsia"/>
          <w:rtl/>
        </w:rPr>
        <w:t>פסקה</w:t>
      </w:r>
      <w:r w:rsidRPr="00B00F53">
        <w:rPr>
          <w:rtl/>
        </w:rPr>
        <w:t xml:space="preserve"> 15 </w:t>
      </w:r>
      <w:r w:rsidRPr="00B00F53">
        <w:rPr>
          <w:rFonts w:hint="eastAsia"/>
          <w:rtl/>
        </w:rPr>
        <w:t>לפסק</w:t>
      </w:r>
      <w:r w:rsidRPr="00B00F53">
        <w:rPr>
          <w:rtl/>
        </w:rPr>
        <w:t xml:space="preserve"> </w:t>
      </w:r>
      <w:r w:rsidRPr="00B00F53">
        <w:rPr>
          <w:rFonts w:hint="eastAsia"/>
          <w:rtl/>
        </w:rPr>
        <w:t>דינו</w:t>
      </w:r>
      <w:r w:rsidRPr="00B00F53">
        <w:rPr>
          <w:rtl/>
        </w:rPr>
        <w:t xml:space="preserve"> </w:t>
      </w:r>
      <w:r w:rsidRPr="00B00F53">
        <w:rPr>
          <w:rFonts w:hint="eastAsia"/>
          <w:rtl/>
        </w:rPr>
        <w:t>של</w:t>
      </w:r>
      <w:r w:rsidRPr="00B00F53">
        <w:rPr>
          <w:rtl/>
        </w:rPr>
        <w:t xml:space="preserve"> </w:t>
      </w:r>
      <w:r w:rsidRPr="00B00F53">
        <w:rPr>
          <w:rFonts w:hint="eastAsia"/>
          <w:rtl/>
        </w:rPr>
        <w:t>המשנה</w:t>
      </w:r>
      <w:r w:rsidRPr="00B00F53">
        <w:rPr>
          <w:rtl/>
        </w:rPr>
        <w:t xml:space="preserve"> </w:t>
      </w:r>
      <w:r w:rsidRPr="00B00F53">
        <w:rPr>
          <w:rFonts w:hint="eastAsia"/>
          <w:rtl/>
        </w:rPr>
        <w:t>לנשיאה</w:t>
      </w:r>
      <w:r w:rsidRPr="00B00F53">
        <w:rPr>
          <w:rtl/>
        </w:rPr>
        <w:t xml:space="preserve"> </w:t>
      </w:r>
      <w:r w:rsidRPr="00B00F53">
        <w:rPr>
          <w:rFonts w:cs="Miriam" w:hint="eastAsia"/>
          <w:b/>
          <w:spacing w:val="0"/>
          <w:sz w:val="22"/>
          <w:szCs w:val="24"/>
          <w:rtl/>
        </w:rPr>
        <w:t>א</w:t>
      </w:r>
      <w:r w:rsidRPr="00B00F53">
        <w:rPr>
          <w:rFonts w:cs="Miriam"/>
          <w:b/>
          <w:spacing w:val="0"/>
          <w:sz w:val="22"/>
          <w:szCs w:val="24"/>
          <w:rtl/>
        </w:rPr>
        <w:t xml:space="preserve">' </w:t>
      </w:r>
      <w:r w:rsidRPr="00B00F53">
        <w:rPr>
          <w:rFonts w:cs="Miriam" w:hint="eastAsia"/>
          <w:b/>
          <w:spacing w:val="0"/>
          <w:sz w:val="22"/>
          <w:szCs w:val="24"/>
          <w:rtl/>
        </w:rPr>
        <w:t>ריבלין</w:t>
      </w:r>
      <w:r w:rsidRPr="00B00F53">
        <w:rPr>
          <w:rtl/>
        </w:rPr>
        <w:t xml:space="preserve"> (5.2.2012)</w:t>
      </w:r>
      <w:r w:rsidRPr="00B00F53">
        <w:rPr>
          <w:rFonts w:hint="cs"/>
          <w:rtl/>
        </w:rPr>
        <w:t xml:space="preserve">; ראו גם: </w:t>
      </w:r>
      <w:r w:rsidRPr="00B00F53">
        <w:rPr>
          <w:rFonts w:hint="eastAsia"/>
          <w:rtl/>
        </w:rPr>
        <w:t>בג</w:t>
      </w:r>
      <w:r w:rsidRPr="00B00F53">
        <w:rPr>
          <w:rtl/>
        </w:rPr>
        <w:t>"</w:t>
      </w:r>
      <w:r w:rsidRPr="00B00F53">
        <w:rPr>
          <w:rFonts w:hint="eastAsia"/>
          <w:rtl/>
        </w:rPr>
        <w:t>ץ</w:t>
      </w:r>
      <w:r w:rsidRPr="00B00F53">
        <w:rPr>
          <w:rtl/>
        </w:rPr>
        <w:t xml:space="preserve"> 3429/11 </w:t>
      </w:r>
      <w:r w:rsidRPr="00B00F53">
        <w:rPr>
          <w:rFonts w:cs="Miriam" w:hint="eastAsia"/>
          <w:b/>
          <w:spacing w:val="0"/>
          <w:sz w:val="22"/>
          <w:szCs w:val="24"/>
          <w:rtl/>
        </w:rPr>
        <w:t>בוגרי</w:t>
      </w:r>
      <w:r w:rsidRPr="00B00F53">
        <w:rPr>
          <w:rFonts w:cs="Miriam"/>
          <w:b/>
          <w:spacing w:val="0"/>
          <w:sz w:val="22"/>
          <w:szCs w:val="24"/>
          <w:rtl/>
        </w:rPr>
        <w:t xml:space="preserve"> </w:t>
      </w:r>
      <w:r w:rsidRPr="00B00F53">
        <w:rPr>
          <w:rFonts w:cs="Miriam" w:hint="eastAsia"/>
          <w:b/>
          <w:spacing w:val="0"/>
          <w:sz w:val="22"/>
          <w:szCs w:val="24"/>
          <w:rtl/>
        </w:rPr>
        <w:t>התיכון</w:t>
      </w:r>
      <w:r w:rsidRPr="00B00F53">
        <w:rPr>
          <w:rFonts w:cs="Miriam"/>
          <w:b/>
          <w:spacing w:val="0"/>
          <w:sz w:val="22"/>
          <w:szCs w:val="24"/>
          <w:rtl/>
        </w:rPr>
        <w:t xml:space="preserve"> </w:t>
      </w:r>
      <w:r w:rsidRPr="00B00F53">
        <w:rPr>
          <w:rFonts w:cs="Miriam" w:hint="eastAsia"/>
          <w:b/>
          <w:spacing w:val="0"/>
          <w:sz w:val="22"/>
          <w:szCs w:val="24"/>
          <w:rtl/>
        </w:rPr>
        <w:t>הערבי</w:t>
      </w:r>
      <w:r w:rsidRPr="00B00F53">
        <w:rPr>
          <w:rFonts w:cs="Miriam"/>
          <w:b/>
          <w:spacing w:val="0"/>
          <w:sz w:val="22"/>
          <w:szCs w:val="24"/>
          <w:rtl/>
        </w:rPr>
        <w:t xml:space="preserve"> </w:t>
      </w:r>
      <w:r w:rsidRPr="00B00F53">
        <w:rPr>
          <w:rFonts w:cs="Miriam" w:hint="eastAsia"/>
          <w:b/>
          <w:spacing w:val="0"/>
          <w:sz w:val="22"/>
          <w:szCs w:val="24"/>
          <w:rtl/>
        </w:rPr>
        <w:t>האורתודוקסי</w:t>
      </w:r>
      <w:r w:rsidRPr="00B00F53">
        <w:rPr>
          <w:rFonts w:cs="Miriam"/>
          <w:b/>
          <w:spacing w:val="0"/>
          <w:sz w:val="22"/>
          <w:szCs w:val="24"/>
          <w:rtl/>
        </w:rPr>
        <w:t xml:space="preserve"> </w:t>
      </w:r>
      <w:r w:rsidRPr="00B00F53">
        <w:rPr>
          <w:rFonts w:cs="Miriam" w:hint="eastAsia"/>
          <w:b/>
          <w:spacing w:val="0"/>
          <w:sz w:val="22"/>
          <w:szCs w:val="24"/>
          <w:rtl/>
        </w:rPr>
        <w:t>בחיפה</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שר</w:t>
      </w:r>
      <w:r w:rsidRPr="00B00F53">
        <w:rPr>
          <w:rFonts w:cs="Miriam"/>
          <w:b/>
          <w:spacing w:val="0"/>
          <w:sz w:val="22"/>
          <w:szCs w:val="24"/>
          <w:rtl/>
        </w:rPr>
        <w:t xml:space="preserve"> </w:t>
      </w:r>
      <w:r w:rsidRPr="00B00F53">
        <w:rPr>
          <w:rFonts w:cs="Miriam" w:hint="eastAsia"/>
          <w:b/>
          <w:spacing w:val="0"/>
          <w:sz w:val="22"/>
          <w:szCs w:val="24"/>
          <w:rtl/>
        </w:rPr>
        <w:t>האוצר</w:t>
      </w:r>
      <w:r w:rsidRPr="00B00F53">
        <w:rPr>
          <w:rFonts w:hint="cs"/>
          <w:rtl/>
        </w:rPr>
        <w:t xml:space="preserve">, פסקה 28 לפסק דינה של השופטת </w:t>
      </w:r>
      <w:r w:rsidRPr="00B00F53">
        <w:rPr>
          <w:rFonts w:cs="Miriam" w:hint="cs"/>
          <w:b/>
          <w:spacing w:val="0"/>
          <w:sz w:val="22"/>
          <w:szCs w:val="24"/>
          <w:rtl/>
        </w:rPr>
        <w:t>מ' נאור</w:t>
      </w:r>
      <w:r w:rsidRPr="00B00F53">
        <w:rPr>
          <w:rtl/>
        </w:rPr>
        <w:t xml:space="preserve"> (5.1.2012)</w:t>
      </w:r>
      <w:r w:rsidRPr="00B00F53">
        <w:rPr>
          <w:rFonts w:hint="cs"/>
          <w:rtl/>
        </w:rPr>
        <w:t xml:space="preserve">). </w:t>
      </w:r>
    </w:p>
    <w:p w:rsidR="00C044AE" w:rsidRPr="00B00F53" w:rsidRDefault="00C044AE" w:rsidP="00C044AE">
      <w:pPr>
        <w:pStyle w:val="Ruller41"/>
        <w:rPr>
          <w:rFonts w:ascii="Garamond" w:hAnsi="Garamond"/>
        </w:rPr>
      </w:pPr>
    </w:p>
    <w:p w:rsidR="00C044AE" w:rsidRPr="00B00F53" w:rsidRDefault="00C044AE" w:rsidP="00C044AE">
      <w:pPr>
        <w:pStyle w:val="Ruller4"/>
        <w:rPr>
          <w:rtl/>
        </w:rPr>
      </w:pPr>
      <w:r w:rsidRPr="00B00F53">
        <w:rPr>
          <w:rFonts w:hint="eastAsia"/>
          <w:rtl/>
        </w:rPr>
        <w:t>באופן</w:t>
      </w:r>
      <w:r w:rsidRPr="00B00F53">
        <w:rPr>
          <w:rtl/>
        </w:rPr>
        <w:t xml:space="preserve"> </w:t>
      </w:r>
      <w:r w:rsidRPr="00B00F53">
        <w:rPr>
          <w:rFonts w:hint="eastAsia"/>
          <w:rtl/>
        </w:rPr>
        <w:t>טיפוסי</w:t>
      </w:r>
      <w:r w:rsidRPr="00B00F53">
        <w:rPr>
          <w:rtl/>
        </w:rPr>
        <w:t xml:space="preserve"> </w:t>
      </w:r>
      <w:r w:rsidRPr="00B00F53">
        <w:rPr>
          <w:rFonts w:hint="eastAsia"/>
          <w:rtl/>
        </w:rPr>
        <w:t>מתעוררת</w:t>
      </w:r>
      <w:r w:rsidRPr="00B00F53">
        <w:rPr>
          <w:rtl/>
        </w:rPr>
        <w:t xml:space="preserve"> </w:t>
      </w:r>
      <w:r w:rsidRPr="00B00F53">
        <w:rPr>
          <w:rFonts w:hint="eastAsia"/>
          <w:rtl/>
        </w:rPr>
        <w:t>שאלת</w:t>
      </w:r>
      <w:r w:rsidRPr="00B00F53">
        <w:rPr>
          <w:rtl/>
        </w:rPr>
        <w:t xml:space="preserve"> </w:t>
      </w:r>
      <w:r w:rsidRPr="00B00F53">
        <w:rPr>
          <w:rFonts w:hint="eastAsia"/>
          <w:rtl/>
        </w:rPr>
        <w:t>בשלותה</w:t>
      </w:r>
      <w:r w:rsidRPr="00B00F53">
        <w:rPr>
          <w:rtl/>
        </w:rPr>
        <w:t xml:space="preserve"> </w:t>
      </w:r>
      <w:r w:rsidRPr="00B00F53">
        <w:rPr>
          <w:rFonts w:hint="eastAsia"/>
          <w:rtl/>
        </w:rPr>
        <w:t>של</w:t>
      </w:r>
      <w:r w:rsidRPr="00B00F53">
        <w:rPr>
          <w:rtl/>
        </w:rPr>
        <w:t xml:space="preserve"> </w:t>
      </w:r>
      <w:r w:rsidRPr="00B00F53">
        <w:rPr>
          <w:rFonts w:hint="eastAsia"/>
          <w:rtl/>
        </w:rPr>
        <w:t>עתירה</w:t>
      </w:r>
      <w:r w:rsidRPr="00B00F53">
        <w:rPr>
          <w:rtl/>
        </w:rPr>
        <w:t xml:space="preserve"> </w:t>
      </w:r>
      <w:r w:rsidRPr="00B00F53">
        <w:rPr>
          <w:rFonts w:hint="eastAsia"/>
          <w:rtl/>
        </w:rPr>
        <w:t>במצבים</w:t>
      </w:r>
      <w:r w:rsidRPr="00B00F53">
        <w:rPr>
          <w:rtl/>
        </w:rPr>
        <w:t xml:space="preserve"> </w:t>
      </w:r>
      <w:r>
        <w:rPr>
          <w:rFonts w:hint="cs"/>
          <w:rtl/>
        </w:rPr>
        <w:t>שבהם</w:t>
      </w:r>
      <w:r w:rsidRPr="00B00F53">
        <w:rPr>
          <w:rFonts w:hint="cs"/>
          <w:rtl/>
        </w:rPr>
        <w:t xml:space="preserve"> </w:t>
      </w:r>
      <w:r>
        <w:rPr>
          <w:rFonts w:hint="cs"/>
          <w:rtl/>
        </w:rPr>
        <w:t>ה</w:t>
      </w:r>
      <w:r w:rsidRPr="00B00F53">
        <w:rPr>
          <w:rFonts w:hint="eastAsia"/>
          <w:rtl/>
        </w:rPr>
        <w:t>חקיקה</w:t>
      </w:r>
      <w:r>
        <w:rPr>
          <w:rFonts w:hint="cs"/>
          <w:rtl/>
        </w:rPr>
        <w:t xml:space="preserve"> הנתקפת</w:t>
      </w:r>
      <w:r w:rsidRPr="00B00F53">
        <w:rPr>
          <w:rtl/>
        </w:rPr>
        <w:t xml:space="preserve"> </w:t>
      </w:r>
      <w:r w:rsidRPr="00B00F53">
        <w:rPr>
          <w:rFonts w:hint="eastAsia"/>
          <w:rtl/>
        </w:rPr>
        <w:t>טרם</w:t>
      </w:r>
      <w:r w:rsidRPr="00B00F53">
        <w:rPr>
          <w:rtl/>
        </w:rPr>
        <w:t xml:space="preserve"> </w:t>
      </w:r>
      <w:r w:rsidRPr="00B00F53">
        <w:rPr>
          <w:rFonts w:hint="eastAsia"/>
          <w:rtl/>
        </w:rPr>
        <w:t>יושמה</w:t>
      </w:r>
      <w:r w:rsidRPr="00B00F53">
        <w:rPr>
          <w:rtl/>
        </w:rPr>
        <w:t xml:space="preserve"> </w:t>
      </w:r>
      <w:r w:rsidRPr="00B00F53">
        <w:rPr>
          <w:rFonts w:hint="eastAsia"/>
          <w:rtl/>
        </w:rPr>
        <w:t>בפועל</w:t>
      </w:r>
      <w:r>
        <w:rPr>
          <w:rFonts w:hint="cs"/>
          <w:rtl/>
        </w:rPr>
        <w:t xml:space="preserve">. עם זאת, כבר </w:t>
      </w:r>
      <w:r w:rsidRPr="00B00F53">
        <w:rPr>
          <w:rFonts w:hint="cs"/>
          <w:rtl/>
        </w:rPr>
        <w:t xml:space="preserve">נפסק כי </w:t>
      </w:r>
      <w:r w:rsidRPr="00B00F53">
        <w:rPr>
          <w:rFonts w:hint="eastAsia"/>
          <w:rtl/>
        </w:rPr>
        <w:t>אין</w:t>
      </w:r>
      <w:r w:rsidRPr="00B00F53">
        <w:rPr>
          <w:rtl/>
        </w:rPr>
        <w:t xml:space="preserve"> </w:t>
      </w:r>
      <w:r w:rsidRPr="00B00F53">
        <w:rPr>
          <w:rFonts w:hint="eastAsia"/>
          <w:rtl/>
        </w:rPr>
        <w:t>די</w:t>
      </w:r>
      <w:r w:rsidRPr="00B00F53">
        <w:rPr>
          <w:rtl/>
        </w:rPr>
        <w:t xml:space="preserve"> </w:t>
      </w:r>
      <w:r w:rsidRPr="00B00F53">
        <w:rPr>
          <w:rFonts w:hint="eastAsia"/>
          <w:rtl/>
        </w:rPr>
        <w:t>בהיעדר</w:t>
      </w:r>
      <w:r w:rsidRPr="00B00F53">
        <w:rPr>
          <w:rtl/>
        </w:rPr>
        <w:t xml:space="preserve"> </w:t>
      </w:r>
      <w:r w:rsidRPr="00B00F53">
        <w:rPr>
          <w:rFonts w:hint="eastAsia"/>
          <w:rtl/>
        </w:rPr>
        <w:t>יישום</w:t>
      </w:r>
      <w:r w:rsidRPr="00B00F53">
        <w:rPr>
          <w:rtl/>
        </w:rPr>
        <w:t xml:space="preserve"> </w:t>
      </w:r>
      <w:r w:rsidRPr="00B00F53">
        <w:rPr>
          <w:rFonts w:hint="eastAsia"/>
          <w:rtl/>
        </w:rPr>
        <w:t>כשלעצמו</w:t>
      </w:r>
      <w:r w:rsidRPr="00B00F53">
        <w:rPr>
          <w:rtl/>
        </w:rPr>
        <w:t xml:space="preserve"> </w:t>
      </w:r>
      <w:r w:rsidRPr="00B00F53">
        <w:rPr>
          <w:rFonts w:hint="eastAsia"/>
          <w:rtl/>
        </w:rPr>
        <w:t>כדי</w:t>
      </w:r>
      <w:r w:rsidRPr="00B00F53">
        <w:rPr>
          <w:rtl/>
        </w:rPr>
        <w:t xml:space="preserve"> </w:t>
      </w:r>
      <w:r w:rsidRPr="00B00F53">
        <w:rPr>
          <w:rFonts w:hint="eastAsia"/>
          <w:rtl/>
        </w:rPr>
        <w:t>להצביע</w:t>
      </w:r>
      <w:r w:rsidRPr="00B00F53">
        <w:rPr>
          <w:rtl/>
        </w:rPr>
        <w:t xml:space="preserve"> </w:t>
      </w:r>
      <w:r w:rsidRPr="00B00F53">
        <w:rPr>
          <w:rFonts w:hint="eastAsia"/>
          <w:rtl/>
        </w:rPr>
        <w:t>על</w:t>
      </w:r>
      <w:r w:rsidRPr="00B00F53">
        <w:rPr>
          <w:rtl/>
        </w:rPr>
        <w:t xml:space="preserve"> </w:t>
      </w:r>
      <w:r w:rsidRPr="00B00F53">
        <w:rPr>
          <w:rFonts w:hint="eastAsia"/>
          <w:rtl/>
        </w:rPr>
        <w:t>כך</w:t>
      </w:r>
      <w:r w:rsidRPr="00B00F53">
        <w:rPr>
          <w:rtl/>
        </w:rPr>
        <w:t xml:space="preserve"> </w:t>
      </w:r>
      <w:r w:rsidRPr="00B00F53">
        <w:rPr>
          <w:rFonts w:hint="eastAsia"/>
          <w:rtl/>
        </w:rPr>
        <w:t>שעתירה</w:t>
      </w:r>
      <w:r w:rsidRPr="00B00F53">
        <w:rPr>
          <w:rtl/>
        </w:rPr>
        <w:t xml:space="preserve"> </w:t>
      </w:r>
      <w:r w:rsidRPr="00B00F53">
        <w:rPr>
          <w:rFonts w:hint="eastAsia"/>
          <w:rtl/>
        </w:rPr>
        <w:t>מסוימת</w:t>
      </w:r>
      <w:r w:rsidRPr="00B00F53">
        <w:rPr>
          <w:rtl/>
        </w:rPr>
        <w:t xml:space="preserve"> </w:t>
      </w:r>
      <w:r w:rsidRPr="00B00F53">
        <w:rPr>
          <w:rFonts w:hint="eastAsia"/>
          <w:rtl/>
        </w:rPr>
        <w:t>אינה</w:t>
      </w:r>
      <w:r w:rsidRPr="00B00F53">
        <w:rPr>
          <w:rtl/>
        </w:rPr>
        <w:t xml:space="preserve"> </w:t>
      </w:r>
      <w:r w:rsidRPr="00B00F53">
        <w:rPr>
          <w:rFonts w:hint="eastAsia"/>
          <w:rtl/>
        </w:rPr>
        <w:t>בשלה</w:t>
      </w:r>
      <w:r w:rsidRPr="00B00F53">
        <w:rPr>
          <w:rFonts w:hint="cs"/>
          <w:rtl/>
        </w:rPr>
        <w:t xml:space="preserve"> להכרעה (</w:t>
      </w:r>
      <w:r w:rsidRPr="00B00F53">
        <w:rPr>
          <w:rFonts w:hint="eastAsia"/>
          <w:rtl/>
        </w:rPr>
        <w:t>ראו</w:t>
      </w:r>
      <w:r w:rsidRPr="00B00F53">
        <w:rPr>
          <w:rtl/>
        </w:rPr>
        <w:t xml:space="preserve">: </w:t>
      </w:r>
      <w:r w:rsidRPr="00B00F53">
        <w:rPr>
          <w:rFonts w:hint="eastAsia"/>
          <w:rtl/>
        </w:rPr>
        <w:t>עניין</w:t>
      </w:r>
      <w:r w:rsidRPr="00B00F53">
        <w:rPr>
          <w:rtl/>
        </w:rPr>
        <w:t xml:space="preserve"> </w:t>
      </w:r>
      <w:r w:rsidRPr="00B00F53">
        <w:rPr>
          <w:rFonts w:cs="Miriam" w:hint="eastAsia"/>
          <w:b/>
          <w:spacing w:val="0"/>
          <w:sz w:val="22"/>
          <w:szCs w:val="24"/>
          <w:rtl/>
        </w:rPr>
        <w:t>סבח</w:t>
      </w:r>
      <w:r w:rsidRPr="00B00F53">
        <w:rPr>
          <w:rtl/>
        </w:rPr>
        <w:t xml:space="preserve">, </w:t>
      </w:r>
      <w:r w:rsidRPr="00B00F53">
        <w:rPr>
          <w:rFonts w:hint="eastAsia"/>
          <w:rtl/>
        </w:rPr>
        <w:t>בפסקה</w:t>
      </w:r>
      <w:r w:rsidRPr="00B00F53">
        <w:rPr>
          <w:rtl/>
        </w:rPr>
        <w:t xml:space="preserve"> </w:t>
      </w:r>
      <w:r>
        <w:rPr>
          <w:rFonts w:hint="cs"/>
          <w:rtl/>
        </w:rPr>
        <w:t>15</w:t>
      </w:r>
      <w:r w:rsidRPr="00B00F53">
        <w:rPr>
          <w:rtl/>
        </w:rPr>
        <w:t xml:space="preserve"> </w:t>
      </w:r>
      <w:r>
        <w:rPr>
          <w:rFonts w:hint="cs"/>
          <w:rtl/>
        </w:rPr>
        <w:t>לחוות דעתו</w:t>
      </w:r>
      <w:r w:rsidRPr="00B00F53">
        <w:rPr>
          <w:rtl/>
        </w:rPr>
        <w:t xml:space="preserve"> </w:t>
      </w:r>
      <w:r w:rsidRPr="00B00F53">
        <w:rPr>
          <w:rFonts w:hint="eastAsia"/>
          <w:rtl/>
        </w:rPr>
        <w:t>של</w:t>
      </w:r>
      <w:r w:rsidRPr="00B00F53">
        <w:rPr>
          <w:rtl/>
        </w:rPr>
        <w:t xml:space="preserve"> </w:t>
      </w:r>
      <w:r w:rsidRPr="00B00F53">
        <w:rPr>
          <w:rFonts w:hint="eastAsia"/>
          <w:rtl/>
        </w:rPr>
        <w:t>הנשיא</w:t>
      </w:r>
      <w:r w:rsidRPr="00B00F53">
        <w:rPr>
          <w:rtl/>
        </w:rPr>
        <w:t xml:space="preserve"> </w:t>
      </w:r>
      <w:r w:rsidRPr="00B00F53">
        <w:rPr>
          <w:rFonts w:cs="Miriam" w:hint="eastAsia"/>
          <w:b/>
          <w:spacing w:val="0"/>
          <w:sz w:val="22"/>
          <w:szCs w:val="24"/>
          <w:rtl/>
        </w:rPr>
        <w:t>גרוניס</w:t>
      </w:r>
      <w:r w:rsidRPr="00B00F53">
        <w:rPr>
          <w:rFonts w:hint="cs"/>
          <w:rtl/>
        </w:rPr>
        <w:t xml:space="preserve">; </w:t>
      </w:r>
      <w:r w:rsidRPr="00B00F53">
        <w:rPr>
          <w:rFonts w:hint="eastAsia"/>
          <w:color w:val="000000" w:themeColor="text1"/>
          <w:rtl/>
        </w:rPr>
        <w:t>בג</w:t>
      </w:r>
      <w:r w:rsidRPr="00B00F53">
        <w:rPr>
          <w:color w:val="000000" w:themeColor="text1"/>
          <w:rtl/>
        </w:rPr>
        <w:t>"</w:t>
      </w:r>
      <w:r w:rsidRPr="00B00F53">
        <w:rPr>
          <w:rFonts w:hint="eastAsia"/>
          <w:color w:val="000000" w:themeColor="text1"/>
          <w:rtl/>
        </w:rPr>
        <w:t>ץ</w:t>
      </w:r>
      <w:r w:rsidRPr="00B00F53">
        <w:rPr>
          <w:color w:val="000000" w:themeColor="text1"/>
          <w:rtl/>
        </w:rPr>
        <w:t xml:space="preserve"> 1308/17 </w:t>
      </w:r>
      <w:r w:rsidRPr="00B00F53">
        <w:rPr>
          <w:rFonts w:cs="Miriam" w:hint="eastAsia"/>
          <w:b/>
          <w:spacing w:val="0"/>
          <w:sz w:val="22"/>
          <w:szCs w:val="24"/>
          <w:rtl/>
        </w:rPr>
        <w:t>עיריית</w:t>
      </w:r>
      <w:r w:rsidRPr="00B00F53">
        <w:rPr>
          <w:rFonts w:cs="Miriam"/>
          <w:b/>
          <w:spacing w:val="0"/>
          <w:sz w:val="22"/>
          <w:szCs w:val="24"/>
          <w:rtl/>
        </w:rPr>
        <w:t xml:space="preserve"> </w:t>
      </w:r>
      <w:r w:rsidRPr="00B00F53">
        <w:rPr>
          <w:rFonts w:cs="Miriam" w:hint="eastAsia"/>
          <w:b/>
          <w:spacing w:val="0"/>
          <w:sz w:val="22"/>
          <w:szCs w:val="24"/>
          <w:rtl/>
        </w:rPr>
        <w:t>סלואד</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הכנסת</w:t>
      </w:r>
      <w:r w:rsidRPr="00B00F53">
        <w:rPr>
          <w:rFonts w:hint="cs"/>
          <w:color w:val="000000" w:themeColor="text1"/>
          <w:rtl/>
        </w:rPr>
        <w:t xml:space="preserve">, פסקה 35 לחוות דעתי </w:t>
      </w:r>
      <w:r w:rsidRPr="00B00F53">
        <w:rPr>
          <w:color w:val="000000" w:themeColor="text1"/>
          <w:rtl/>
        </w:rPr>
        <w:t>(</w:t>
      </w:r>
      <w:r w:rsidRPr="00B00F53">
        <w:rPr>
          <w:rFonts w:hint="cs"/>
          <w:color w:val="000000" w:themeColor="text1"/>
          <w:rtl/>
        </w:rPr>
        <w:t>9</w:t>
      </w:r>
      <w:r w:rsidRPr="00B00F53">
        <w:rPr>
          <w:color w:val="000000" w:themeColor="text1"/>
          <w:rtl/>
        </w:rPr>
        <w:t>.</w:t>
      </w:r>
      <w:r w:rsidRPr="00B00F53">
        <w:rPr>
          <w:rFonts w:hint="cs"/>
          <w:color w:val="000000" w:themeColor="text1"/>
          <w:rtl/>
        </w:rPr>
        <w:t>6</w:t>
      </w:r>
      <w:r w:rsidRPr="00B00F53">
        <w:rPr>
          <w:color w:val="000000" w:themeColor="text1"/>
          <w:rtl/>
        </w:rPr>
        <w:t xml:space="preserve">.2020)). </w:t>
      </w:r>
      <w:r w:rsidRPr="00B00F53">
        <w:rPr>
          <w:rFonts w:hint="cs"/>
          <w:rtl/>
        </w:rPr>
        <w:t>כך למשל, נקבע כי העתירה בשלה</w:t>
      </w:r>
      <w:r>
        <w:rPr>
          <w:rFonts w:hint="cs"/>
          <w:rtl/>
        </w:rPr>
        <w:t xml:space="preserve"> להכרעה</w:t>
      </w:r>
      <w:r w:rsidRPr="00B00F53">
        <w:rPr>
          <w:rFonts w:hint="cs"/>
          <w:rtl/>
        </w:rPr>
        <w:t xml:space="preserve"> כאשר השאלה החוקתית המתעוררת</w:t>
      </w:r>
      <w:r>
        <w:rPr>
          <w:rFonts w:hint="cs"/>
          <w:rtl/>
        </w:rPr>
        <w:t xml:space="preserve"> בה</w:t>
      </w:r>
      <w:r w:rsidRPr="00B00F53">
        <w:rPr>
          <w:rFonts w:hint="cs"/>
          <w:rtl/>
        </w:rPr>
        <w:t xml:space="preserve"> היא משפטית ב</w:t>
      </w:r>
      <w:r>
        <w:rPr>
          <w:rFonts w:hint="cs"/>
          <w:rtl/>
        </w:rPr>
        <w:t>עיקרה,</w:t>
      </w:r>
      <w:r w:rsidRPr="00B00F53">
        <w:rPr>
          <w:rFonts w:hint="cs"/>
          <w:rtl/>
        </w:rPr>
        <w:t xml:space="preserve"> והמענה לה אינו מחייב מסכת עובדתית מפורטת או יישום קונקרטי (</w:t>
      </w:r>
      <w:r>
        <w:rPr>
          <w:rFonts w:hint="cs"/>
          <w:rtl/>
        </w:rPr>
        <w:t xml:space="preserve">עניין </w:t>
      </w:r>
      <w:r w:rsidRPr="00AE7C9A">
        <w:rPr>
          <w:rFonts w:cs="Miriam" w:hint="cs"/>
          <w:b/>
          <w:spacing w:val="0"/>
          <w:sz w:val="22"/>
          <w:szCs w:val="24"/>
          <w:rtl/>
        </w:rPr>
        <w:t>בן מאיר</w:t>
      </w:r>
      <w:r>
        <w:rPr>
          <w:rFonts w:hint="cs"/>
          <w:rtl/>
        </w:rPr>
        <w:t xml:space="preserve">, בפסקאות 9-8 לחוות דעתי; ראו גם: </w:t>
      </w:r>
      <w:r w:rsidRPr="00B00F53">
        <w:rPr>
          <w:rFonts w:hint="eastAsia"/>
          <w:rtl/>
        </w:rPr>
        <w:t>בג</w:t>
      </w:r>
      <w:r w:rsidRPr="00B00F53">
        <w:rPr>
          <w:rtl/>
        </w:rPr>
        <w:t>"</w:t>
      </w:r>
      <w:r w:rsidRPr="00B00F53">
        <w:rPr>
          <w:rFonts w:hint="eastAsia"/>
          <w:rtl/>
        </w:rPr>
        <w:t>ץ</w:t>
      </w:r>
      <w:r w:rsidRPr="00B00F53">
        <w:rPr>
          <w:rtl/>
        </w:rPr>
        <w:t xml:space="preserve"> 3166/14 </w:t>
      </w:r>
      <w:r w:rsidRPr="00B00F53">
        <w:rPr>
          <w:rFonts w:cs="Miriam" w:hint="eastAsia"/>
          <w:b/>
          <w:spacing w:val="0"/>
          <w:sz w:val="22"/>
          <w:szCs w:val="24"/>
          <w:rtl/>
        </w:rPr>
        <w:t>גוטמן</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היועץ</w:t>
      </w:r>
      <w:r w:rsidRPr="00B00F53">
        <w:rPr>
          <w:rFonts w:cs="Miriam"/>
          <w:b/>
          <w:spacing w:val="0"/>
          <w:sz w:val="22"/>
          <w:szCs w:val="24"/>
          <w:rtl/>
        </w:rPr>
        <w:t xml:space="preserve"> </w:t>
      </w:r>
      <w:r w:rsidRPr="00B00F53">
        <w:rPr>
          <w:rFonts w:cs="Miriam" w:hint="eastAsia"/>
          <w:b/>
          <w:spacing w:val="0"/>
          <w:sz w:val="22"/>
          <w:szCs w:val="24"/>
          <w:rtl/>
        </w:rPr>
        <w:t>המשפטי</w:t>
      </w:r>
      <w:r w:rsidRPr="00B00F53">
        <w:rPr>
          <w:rFonts w:cs="Miriam"/>
          <w:b/>
          <w:spacing w:val="0"/>
          <w:sz w:val="22"/>
          <w:szCs w:val="24"/>
          <w:rtl/>
        </w:rPr>
        <w:t xml:space="preserve"> </w:t>
      </w:r>
      <w:r w:rsidRPr="00B00F53">
        <w:rPr>
          <w:rFonts w:cs="Miriam" w:hint="eastAsia"/>
          <w:b/>
          <w:spacing w:val="0"/>
          <w:sz w:val="22"/>
          <w:szCs w:val="24"/>
          <w:rtl/>
        </w:rPr>
        <w:t>לממשלה</w:t>
      </w:r>
      <w:r w:rsidRPr="00B00F53">
        <w:rPr>
          <w:rFonts w:hint="cs"/>
          <w:rtl/>
        </w:rPr>
        <w:t xml:space="preserve">, פסקה </w:t>
      </w:r>
      <w:r>
        <w:rPr>
          <w:rFonts w:hint="cs"/>
          <w:rtl/>
        </w:rPr>
        <w:t>43</w:t>
      </w:r>
      <w:r w:rsidRPr="00B00F53">
        <w:rPr>
          <w:rFonts w:hint="cs"/>
          <w:rtl/>
        </w:rPr>
        <w:t xml:space="preserve"> לחוות דעתו של הנשיא </w:t>
      </w:r>
      <w:r w:rsidRPr="00B00F53">
        <w:rPr>
          <w:rFonts w:cs="Miriam" w:hint="cs"/>
          <w:b/>
          <w:spacing w:val="0"/>
          <w:sz w:val="22"/>
          <w:szCs w:val="24"/>
          <w:rtl/>
        </w:rPr>
        <w:t>גרוניס</w:t>
      </w:r>
      <w:r w:rsidRPr="00B00F53">
        <w:rPr>
          <w:rFonts w:hint="cs"/>
          <w:rtl/>
        </w:rPr>
        <w:t xml:space="preserve"> </w:t>
      </w:r>
      <w:r w:rsidRPr="00B00F53">
        <w:rPr>
          <w:rtl/>
        </w:rPr>
        <w:t>(12.</w:t>
      </w:r>
      <w:r w:rsidRPr="00B00F53">
        <w:rPr>
          <w:rFonts w:hint="cs"/>
          <w:rtl/>
        </w:rPr>
        <w:t>3</w:t>
      </w:r>
      <w:r w:rsidRPr="00B00F53">
        <w:rPr>
          <w:rtl/>
        </w:rPr>
        <w:t>.2015)</w:t>
      </w:r>
      <w:r w:rsidRPr="00B00F53">
        <w:rPr>
          <w:rFonts w:hint="cs"/>
          <w:rtl/>
        </w:rPr>
        <w:t>). עוד נפסק כי בבוא בית המשפט להכריע בבשלות העתירה, עליו ל</w:t>
      </w:r>
      <w:r>
        <w:rPr>
          <w:rFonts w:hint="cs"/>
          <w:rtl/>
        </w:rPr>
        <w:t>שקול את האינטרס הציבורי בבירורה</w:t>
      </w:r>
      <w:r w:rsidRPr="00B00F53">
        <w:rPr>
          <w:rFonts w:hint="cs"/>
          <w:rtl/>
        </w:rPr>
        <w:t xml:space="preserve"> ולהתייחס, בין היתר, להשלכות דחיית ההכרעה השיפוטית על הפגיעה</w:t>
      </w:r>
      <w:r w:rsidRPr="00B00F53">
        <w:rPr>
          <w:rtl/>
        </w:rPr>
        <w:t xml:space="preserve"> </w:t>
      </w:r>
      <w:r w:rsidRPr="00B00F53">
        <w:rPr>
          <w:rFonts w:hint="eastAsia"/>
          <w:rtl/>
        </w:rPr>
        <w:t>בשלטון</w:t>
      </w:r>
      <w:r w:rsidRPr="00B00F53">
        <w:rPr>
          <w:rtl/>
        </w:rPr>
        <w:t xml:space="preserve"> </w:t>
      </w:r>
      <w:r w:rsidRPr="00B00F53">
        <w:rPr>
          <w:rFonts w:hint="eastAsia"/>
          <w:rtl/>
        </w:rPr>
        <w:t>החוק</w:t>
      </w:r>
      <w:r w:rsidRPr="00B00F53">
        <w:rPr>
          <w:rFonts w:hint="cs"/>
          <w:rtl/>
        </w:rPr>
        <w:t xml:space="preserve"> ו</w:t>
      </w:r>
      <w:r w:rsidRPr="00B00F53">
        <w:rPr>
          <w:rFonts w:hint="eastAsia"/>
          <w:rtl/>
        </w:rPr>
        <w:t>בוודאות</w:t>
      </w:r>
      <w:r w:rsidRPr="00B00F53">
        <w:rPr>
          <w:rtl/>
        </w:rPr>
        <w:t xml:space="preserve"> </w:t>
      </w:r>
      <w:r w:rsidRPr="00B00F53">
        <w:rPr>
          <w:rFonts w:hint="eastAsia"/>
          <w:rtl/>
        </w:rPr>
        <w:t>המשפטית</w:t>
      </w:r>
      <w:r w:rsidRPr="00B00F53">
        <w:rPr>
          <w:rFonts w:hint="cs"/>
          <w:rtl/>
        </w:rPr>
        <w:t xml:space="preserve"> (עניין </w:t>
      </w:r>
      <w:r w:rsidRPr="00B00F53">
        <w:rPr>
          <w:rFonts w:cs="Miriam" w:hint="cs"/>
          <w:b/>
          <w:spacing w:val="0"/>
          <w:sz w:val="22"/>
          <w:szCs w:val="24"/>
          <w:rtl/>
        </w:rPr>
        <w:t>סבח</w:t>
      </w:r>
      <w:r w:rsidRPr="00B00F53">
        <w:rPr>
          <w:rFonts w:hint="cs"/>
          <w:rtl/>
        </w:rPr>
        <w:t xml:space="preserve">, בפסקה 16 לחוות דעתו של הנשיא </w:t>
      </w:r>
      <w:r w:rsidRPr="00B00F53">
        <w:rPr>
          <w:rFonts w:cs="Miriam" w:hint="cs"/>
          <w:b/>
          <w:spacing w:val="0"/>
          <w:sz w:val="22"/>
          <w:szCs w:val="24"/>
          <w:rtl/>
        </w:rPr>
        <w:t>גרוניס</w:t>
      </w:r>
      <w:r w:rsidRPr="00B00F53">
        <w:rPr>
          <w:rFonts w:hint="cs"/>
          <w:rtl/>
        </w:rPr>
        <w:t>).</w:t>
      </w:r>
    </w:p>
    <w:p w:rsidR="00C044AE" w:rsidRPr="00B00F53" w:rsidRDefault="00C044AE" w:rsidP="00C044AE">
      <w:pPr>
        <w:pStyle w:val="ruller400"/>
        <w:shd w:val="clear" w:color="auto" w:fill="FFFFFF"/>
        <w:bidi/>
        <w:spacing w:before="0" w:beforeAutospacing="0" w:after="0" w:afterAutospacing="0" w:line="330" w:lineRule="atLeast"/>
        <w:jc w:val="both"/>
        <w:rPr>
          <w:rFonts w:ascii="Garamond" w:hAnsi="Garamond" w:cs="Arial TUR"/>
          <w:color w:val="000000"/>
          <w:spacing w:val="10"/>
          <w:sz w:val="18"/>
          <w:szCs w:val="18"/>
          <w:rtl/>
        </w:rPr>
      </w:pPr>
    </w:p>
    <w:p w:rsidR="00C044AE" w:rsidRPr="00345E4F" w:rsidRDefault="00C044AE" w:rsidP="00C044AE">
      <w:pPr>
        <w:pStyle w:val="Ruller4"/>
      </w:pPr>
      <w:r>
        <w:rPr>
          <w:rFonts w:hint="cs"/>
          <w:rtl/>
        </w:rPr>
        <w:t xml:space="preserve">לגישתי, </w:t>
      </w:r>
      <w:r w:rsidRPr="00B00F53">
        <w:rPr>
          <w:rFonts w:hint="eastAsia"/>
          <w:rtl/>
        </w:rPr>
        <w:t>המקרה</w:t>
      </w:r>
      <w:r w:rsidRPr="00B00F53">
        <w:rPr>
          <w:rtl/>
        </w:rPr>
        <w:t xml:space="preserve"> </w:t>
      </w:r>
      <w:r w:rsidRPr="00B00F53">
        <w:rPr>
          <w:rFonts w:hint="eastAsia"/>
          <w:rtl/>
        </w:rPr>
        <w:t>שלפנינו</w:t>
      </w:r>
      <w:r w:rsidRPr="00B00F53">
        <w:rPr>
          <w:rtl/>
        </w:rPr>
        <w:t xml:space="preserve"> </w:t>
      </w:r>
      <w:r w:rsidRPr="00B00F53">
        <w:rPr>
          <w:rFonts w:hint="eastAsia"/>
          <w:rtl/>
        </w:rPr>
        <w:t>איננו</w:t>
      </w:r>
      <w:r w:rsidRPr="00B00F53">
        <w:rPr>
          <w:rtl/>
        </w:rPr>
        <w:t xml:space="preserve"> </w:t>
      </w:r>
      <w:r w:rsidRPr="00B00F53">
        <w:rPr>
          <w:rFonts w:hint="eastAsia"/>
          <w:rtl/>
        </w:rPr>
        <w:t>המקרה</w:t>
      </w:r>
      <w:r w:rsidRPr="00B00F53">
        <w:rPr>
          <w:rtl/>
        </w:rPr>
        <w:t xml:space="preserve"> </w:t>
      </w:r>
      <w:r w:rsidRPr="00B00F53">
        <w:rPr>
          <w:rFonts w:hint="eastAsia"/>
          <w:rtl/>
        </w:rPr>
        <w:t>המתאים</w:t>
      </w:r>
      <w:r w:rsidRPr="00B00F53">
        <w:rPr>
          <w:rtl/>
        </w:rPr>
        <w:t xml:space="preserve"> </w:t>
      </w:r>
      <w:r w:rsidRPr="00B00F53">
        <w:rPr>
          <w:rFonts w:hint="eastAsia"/>
          <w:rtl/>
        </w:rPr>
        <w:t>להחלת</w:t>
      </w:r>
      <w:r w:rsidRPr="00B00F53">
        <w:rPr>
          <w:rtl/>
        </w:rPr>
        <w:t xml:space="preserve"> </w:t>
      </w:r>
      <w:r w:rsidRPr="00B00F53">
        <w:rPr>
          <w:rFonts w:hint="cs"/>
          <w:rtl/>
        </w:rPr>
        <w:t xml:space="preserve">דוקטרינת הבשלות. השאלות המתעוררות בעתירות דנן הן שאלות משפטיות מובהקות הנוגעות, בין היתר, </w:t>
      </w:r>
      <w:r>
        <w:rPr>
          <w:rFonts w:hint="cs"/>
          <w:rtl/>
        </w:rPr>
        <w:t>למידת</w:t>
      </w:r>
      <w:r w:rsidRPr="00B00F53">
        <w:rPr>
          <w:rFonts w:hint="cs"/>
          <w:rtl/>
        </w:rPr>
        <w:t xml:space="preserve"> פגיעתו של התיקון בליבת המפעל החוקתי ולעמידתה של הכנסת במגבלות החלות עליה בכובעה כרשות מכוננת</w:t>
      </w:r>
      <w:r w:rsidRPr="00B00F53">
        <w:rPr>
          <w:rFonts w:hint="cs"/>
          <w:shd w:val="clear" w:color="auto" w:fill="FFFFFF"/>
          <w:rtl/>
        </w:rPr>
        <w:t>. ההיבטים החיוניים</w:t>
      </w:r>
      <w:r w:rsidRPr="00B00F53">
        <w:rPr>
          <w:shd w:val="clear" w:color="auto" w:fill="FFFFFF"/>
          <w:rtl/>
        </w:rPr>
        <w:t xml:space="preserve"> </w:t>
      </w:r>
      <w:r>
        <w:rPr>
          <w:rFonts w:hint="cs"/>
          <w:shd w:val="clear" w:color="auto" w:fill="FFFFFF"/>
          <w:rtl/>
        </w:rPr>
        <w:t>ל</w:t>
      </w:r>
      <w:r w:rsidRPr="00B00F53">
        <w:rPr>
          <w:rFonts w:hint="eastAsia"/>
          <w:shd w:val="clear" w:color="auto" w:fill="FFFFFF"/>
          <w:rtl/>
        </w:rPr>
        <w:t>הכרעה</w:t>
      </w:r>
      <w:r w:rsidRPr="00B00F53">
        <w:rPr>
          <w:shd w:val="clear" w:color="auto" w:fill="FFFFFF"/>
          <w:rtl/>
        </w:rPr>
        <w:t xml:space="preserve"> </w:t>
      </w:r>
      <w:r w:rsidRPr="00B00F53">
        <w:rPr>
          <w:rFonts w:hint="cs"/>
          <w:shd w:val="clear" w:color="auto" w:fill="FFFFFF"/>
          <w:rtl/>
        </w:rPr>
        <w:t>בשאלות אלו</w:t>
      </w:r>
      <w:r w:rsidRPr="00B00F53">
        <w:rPr>
          <w:shd w:val="clear" w:color="auto" w:fill="FFFFFF"/>
          <w:rtl/>
        </w:rPr>
        <w:t xml:space="preserve"> </w:t>
      </w:r>
      <w:r w:rsidRPr="00B00F53">
        <w:rPr>
          <w:rFonts w:hint="cs"/>
          <w:shd w:val="clear" w:color="auto" w:fill="FFFFFF"/>
          <w:rtl/>
        </w:rPr>
        <w:t>הובאו</w:t>
      </w:r>
      <w:r w:rsidRPr="00B00F53">
        <w:rPr>
          <w:shd w:val="clear" w:color="auto" w:fill="FFFFFF"/>
          <w:rtl/>
        </w:rPr>
        <w:t xml:space="preserve"> </w:t>
      </w:r>
      <w:r w:rsidRPr="00B00F53">
        <w:rPr>
          <w:rFonts w:hint="eastAsia"/>
          <w:shd w:val="clear" w:color="auto" w:fill="FFFFFF"/>
          <w:rtl/>
        </w:rPr>
        <w:t>בפנינו</w:t>
      </w:r>
      <w:r>
        <w:rPr>
          <w:rFonts w:hint="cs"/>
          <w:shd w:val="clear" w:color="auto" w:fill="FFFFFF"/>
          <w:rtl/>
        </w:rPr>
        <w:t xml:space="preserve"> </w:t>
      </w:r>
      <w:r>
        <w:rPr>
          <w:rFonts w:hint="cs"/>
          <w:color w:val="000000" w:themeColor="text1"/>
          <w:rtl/>
        </w:rPr>
        <w:t>ו</w:t>
      </w:r>
      <w:r w:rsidRPr="00B00F53">
        <w:rPr>
          <w:rFonts w:hint="cs"/>
          <w:color w:val="000000" w:themeColor="text1"/>
          <w:rtl/>
        </w:rPr>
        <w:t xml:space="preserve">אינני סבורה כי התפתחות עובדתית עתידית </w:t>
      </w:r>
      <w:r>
        <w:rPr>
          <w:rFonts w:hint="cs"/>
          <w:color w:val="000000" w:themeColor="text1"/>
          <w:rtl/>
        </w:rPr>
        <w:t xml:space="preserve">יהיה בה </w:t>
      </w:r>
      <w:r w:rsidRPr="00B00F53">
        <w:rPr>
          <w:rFonts w:hint="cs"/>
          <w:color w:val="000000" w:themeColor="text1"/>
          <w:rtl/>
        </w:rPr>
        <w:t>כדי לתרום באופן ממשי להכרעה ב</w:t>
      </w:r>
      <w:r>
        <w:rPr>
          <w:rFonts w:hint="cs"/>
          <w:color w:val="000000" w:themeColor="text1"/>
          <w:rtl/>
        </w:rPr>
        <w:t xml:space="preserve">עתירות. </w:t>
      </w:r>
      <w:r w:rsidRPr="00B00F53">
        <w:rPr>
          <w:rFonts w:hint="cs"/>
          <w:rtl/>
        </w:rPr>
        <w:t>במובן זה ניתן לומר כי מונחת לפתחנו</w:t>
      </w:r>
      <w:r w:rsidRPr="00B00F53">
        <w:rPr>
          <w:rtl/>
        </w:rPr>
        <w:t xml:space="preserve"> </w:t>
      </w:r>
      <w:r w:rsidRPr="00B00F53">
        <w:rPr>
          <w:rFonts w:hint="cs"/>
          <w:rtl/>
        </w:rPr>
        <w:t xml:space="preserve">מחלוקת ממשית וברורה </w:t>
      </w:r>
      <w:r>
        <w:rPr>
          <w:rFonts w:hint="cs"/>
          <w:rtl/>
        </w:rPr>
        <w:t>וכי</w:t>
      </w:r>
      <w:r w:rsidRPr="00B00F53">
        <w:rPr>
          <w:rFonts w:hint="cs"/>
          <w:rtl/>
        </w:rPr>
        <w:t xml:space="preserve"> יישום קונקרטי של התיקון </w:t>
      </w:r>
      <w:r>
        <w:rPr>
          <w:rFonts w:hint="cs"/>
          <w:rtl/>
        </w:rPr>
        <w:t xml:space="preserve">אינו נדרש </w:t>
      </w:r>
      <w:r w:rsidRPr="00B00F53">
        <w:rPr>
          <w:rFonts w:hint="cs"/>
          <w:rtl/>
        </w:rPr>
        <w:t xml:space="preserve">לשם גיבושה (ראו והשוו: עניין </w:t>
      </w:r>
      <w:r w:rsidRPr="00B00F53">
        <w:rPr>
          <w:rFonts w:cs="Miriam" w:hint="cs"/>
          <w:b/>
          <w:spacing w:val="0"/>
          <w:szCs w:val="24"/>
          <w:rtl/>
        </w:rPr>
        <w:t>חסון</w:t>
      </w:r>
      <w:r w:rsidRPr="00B00F53">
        <w:rPr>
          <w:rFonts w:hint="cs"/>
          <w:rtl/>
        </w:rPr>
        <w:t>, בפסקה 12 לחוות דעתי).</w:t>
      </w:r>
      <w:r>
        <w:rPr>
          <w:rFonts w:hint="cs"/>
          <w:color w:val="000000" w:themeColor="text1"/>
          <w:rtl/>
        </w:rPr>
        <w:t xml:space="preserve"> </w:t>
      </w:r>
    </w:p>
    <w:p w:rsidR="00C044AE" w:rsidRDefault="00C044AE" w:rsidP="00C044AE">
      <w:pPr>
        <w:pStyle w:val="Ruller4"/>
        <w:numPr>
          <w:ilvl w:val="0"/>
          <w:numId w:val="0"/>
        </w:numPr>
        <w:rPr>
          <w:color w:val="000000" w:themeColor="text1"/>
          <w:rtl/>
        </w:rPr>
      </w:pPr>
    </w:p>
    <w:p w:rsidR="00C044AE" w:rsidRPr="00B00F53" w:rsidRDefault="00C044AE" w:rsidP="00C044AE">
      <w:pPr>
        <w:pStyle w:val="Ruller4"/>
        <w:numPr>
          <w:ilvl w:val="0"/>
          <w:numId w:val="0"/>
        </w:numPr>
      </w:pPr>
      <w:r>
        <w:rPr>
          <w:color w:val="000000" w:themeColor="text1"/>
          <w:rtl/>
        </w:rPr>
        <w:tab/>
      </w:r>
      <w:r w:rsidRPr="00B00F53">
        <w:rPr>
          <w:rFonts w:hint="cs"/>
          <w:color w:val="000000" w:themeColor="text1"/>
          <w:rtl/>
        </w:rPr>
        <w:t>לטענת הכנסת, אם בעתיד תתקבלנה החלטות בלתי סבירות של הממשלה, ראש הממשלה או אחד מהשרים ותוגש עתירה שבה ייטען כי מדובר בהחלטות בלתי סבירות באופן קיצוני, "ניתן יהיה לבחון את השלכות חוק היסוד המתקן על בסיס תשתית עובדתית קונקרטית" (</w:t>
      </w:r>
      <w:r>
        <w:rPr>
          <w:rFonts w:hint="cs"/>
          <w:color w:val="000000" w:themeColor="text1"/>
          <w:rtl/>
        </w:rPr>
        <w:t>פסקה</w:t>
      </w:r>
      <w:r w:rsidRPr="00B00F53">
        <w:rPr>
          <w:rFonts w:hint="cs"/>
          <w:color w:val="000000" w:themeColor="text1"/>
          <w:rtl/>
        </w:rPr>
        <w:t xml:space="preserve"> 298 לתצהיר התשובה מטעמה). טענה זו מעוררת תמיהה, שכן </w:t>
      </w:r>
      <w:r w:rsidRPr="00B00F53">
        <w:rPr>
          <w:rFonts w:hint="cs"/>
          <w:rtl/>
        </w:rPr>
        <w:t xml:space="preserve">התיקון אוסר </w:t>
      </w:r>
      <w:r>
        <w:rPr>
          <w:rFonts w:hint="cs"/>
          <w:rtl/>
        </w:rPr>
        <w:t>מפורשות</w:t>
      </w:r>
      <w:r w:rsidRPr="00B00F53">
        <w:rPr>
          <w:rFonts w:hint="cs"/>
          <w:rtl/>
        </w:rPr>
        <w:t xml:space="preserve"> על בתי המשפט, לרבות בית משפט זה, </w:t>
      </w:r>
      <w:r w:rsidRPr="00B00F53">
        <w:rPr>
          <w:rFonts w:hint="cs"/>
          <w:color w:val="000000" w:themeColor="text1"/>
          <w:rtl/>
        </w:rPr>
        <w:t>"לדון"</w:t>
      </w:r>
      <w:r w:rsidRPr="00B00F53">
        <w:rPr>
          <w:rFonts w:cs="Miriam" w:hint="cs"/>
          <w:b/>
          <w:color w:val="000000" w:themeColor="text1"/>
          <w:spacing w:val="0"/>
          <w:szCs w:val="24"/>
          <w:rtl/>
        </w:rPr>
        <w:t xml:space="preserve"> </w:t>
      </w:r>
      <w:r w:rsidRPr="00B00F53">
        <w:rPr>
          <w:rFonts w:hint="cs"/>
          <w:rtl/>
        </w:rPr>
        <w:t>בעניין סבירות החלטות הממשלה ושריה. משכך,</w:t>
      </w:r>
      <w:r w:rsidRPr="00B00F53">
        <w:rPr>
          <w:rFonts w:hint="cs"/>
          <w:color w:val="000000" w:themeColor="text1"/>
          <w:rtl/>
        </w:rPr>
        <w:t xml:space="preserve"> לא ברור כיצד יוכלו בתי המשפט להידרש לעתירות בעניינים אלה, ככל שאכן </w:t>
      </w:r>
      <w:r>
        <w:rPr>
          <w:rFonts w:hint="cs"/>
          <w:color w:val="000000" w:themeColor="text1"/>
          <w:rtl/>
        </w:rPr>
        <w:t>תוגשנה</w:t>
      </w:r>
      <w:r w:rsidRPr="00B00F53">
        <w:rPr>
          <w:rFonts w:hint="cs"/>
          <w:color w:val="000000" w:themeColor="text1"/>
          <w:rtl/>
        </w:rPr>
        <w:t xml:space="preserve">. </w:t>
      </w:r>
      <w:r>
        <w:rPr>
          <w:rFonts w:hint="cs"/>
          <w:rtl/>
        </w:rPr>
        <w:t xml:space="preserve">באופן דומה, </w:t>
      </w:r>
      <w:r w:rsidRPr="00B00F53">
        <w:rPr>
          <w:rFonts w:hint="cs"/>
          <w:rtl/>
        </w:rPr>
        <w:t xml:space="preserve">טענת הכנסת לפיה יש לדחות את העתירות מן הטעם שטרם התבררו השלכות התיקון על התנהלות הממשלה </w:t>
      </w:r>
      <w:r w:rsidRPr="00B00F53">
        <w:rPr>
          <w:rFonts w:hint="cs"/>
          <w:rtl/>
        </w:rPr>
        <w:lastRenderedPageBreak/>
        <w:t>ואפקטיביות הפיקוח של הכנסת</w:t>
      </w:r>
      <w:r>
        <w:rPr>
          <w:rFonts w:hint="cs"/>
          <w:rtl/>
        </w:rPr>
        <w:t>,</w:t>
      </w:r>
      <w:r w:rsidRPr="00B00F53">
        <w:rPr>
          <w:rFonts w:hint="cs"/>
          <w:rtl/>
        </w:rPr>
        <w:t xml:space="preserve"> אף היא</w:t>
      </w:r>
      <w:r>
        <w:rPr>
          <w:rFonts w:hint="cs"/>
          <w:rtl/>
        </w:rPr>
        <w:t xml:space="preserve"> מעוררת קושי רב. זאת, בין היתר, משום ש</w:t>
      </w:r>
      <w:r w:rsidRPr="00B00F53">
        <w:rPr>
          <w:rFonts w:hint="cs"/>
          <w:rtl/>
        </w:rPr>
        <w:t>התיקון משפיע</w:t>
      </w:r>
      <w:r>
        <w:rPr>
          <w:rFonts w:hint="cs"/>
          <w:rtl/>
        </w:rPr>
        <w:t xml:space="preserve"> כבר כעת</w:t>
      </w:r>
      <w:r w:rsidRPr="00B00F53">
        <w:rPr>
          <w:rFonts w:hint="cs"/>
          <w:rtl/>
        </w:rPr>
        <w:t xml:space="preserve"> באופן ישיר על מערכת היחסים שבין הפרט לשלטון והוא רלוונטי </w:t>
      </w:r>
      <w:r>
        <w:rPr>
          <w:rFonts w:hint="cs"/>
          <w:rtl/>
        </w:rPr>
        <w:t>ל</w:t>
      </w:r>
      <w:r w:rsidRPr="00B00F53">
        <w:rPr>
          <w:rFonts w:hint="cs"/>
          <w:rtl/>
        </w:rPr>
        <w:t xml:space="preserve">החלטות </w:t>
      </w:r>
      <w:r>
        <w:rPr>
          <w:rFonts w:hint="cs"/>
          <w:rtl/>
        </w:rPr>
        <w:t xml:space="preserve">רבות </w:t>
      </w:r>
      <w:r w:rsidRPr="00B00F53">
        <w:rPr>
          <w:rFonts w:hint="cs"/>
          <w:rtl/>
        </w:rPr>
        <w:t xml:space="preserve">שמתקבלות מדי יום על ידי הממשלה </w:t>
      </w:r>
      <w:r>
        <w:rPr>
          <w:rFonts w:hint="cs"/>
          <w:rtl/>
        </w:rPr>
        <w:t>ושריה</w:t>
      </w:r>
      <w:r w:rsidRPr="00B00F53">
        <w:rPr>
          <w:rFonts w:hint="cs"/>
          <w:rtl/>
        </w:rPr>
        <w:t>.</w:t>
      </w:r>
      <w:r>
        <w:rPr>
          <w:rFonts w:hint="cs"/>
          <w:rtl/>
        </w:rPr>
        <w:t xml:space="preserve"> למעשה, כפי שמציינת הכנסת עצמה, קיימים כבר כיום הליכים תלויים ועומדים שבמרכזם ניצבת טענה בדבר חוסר סבירות החלטות הדרג הנבחר (פסקה 274 לתצהיר התשובה מטעמה).</w:t>
      </w:r>
      <w:r w:rsidRPr="00B00F53">
        <w:rPr>
          <w:rFonts w:hint="cs"/>
          <w:rtl/>
        </w:rPr>
        <w:t xml:space="preserve"> </w:t>
      </w:r>
    </w:p>
    <w:p w:rsidR="00C044AE" w:rsidRPr="00B00F53" w:rsidRDefault="00C044AE" w:rsidP="00C044AE">
      <w:pPr>
        <w:pStyle w:val="Ruller41"/>
        <w:rPr>
          <w:rFonts w:ascii="Garamond" w:hAnsi="Garamond"/>
          <w:rtl/>
        </w:rPr>
      </w:pPr>
    </w:p>
    <w:p w:rsidR="00C044AE" w:rsidRDefault="00C044AE" w:rsidP="00C044AE">
      <w:pPr>
        <w:pStyle w:val="Ruller4"/>
        <w:rPr>
          <w:rtl/>
        </w:rPr>
      </w:pPr>
      <w:r w:rsidRPr="00B00F53">
        <w:rPr>
          <w:rFonts w:hint="cs"/>
          <w:rtl/>
        </w:rPr>
        <w:t>בנסיבות אלה, ובשים לב לאינטרס הציבורי המובהק בבירור העתירות</w:t>
      </w:r>
      <w:r>
        <w:rPr>
          <w:rFonts w:hint="cs"/>
          <w:rtl/>
        </w:rPr>
        <w:t xml:space="preserve"> לגופן</w:t>
      </w:r>
      <w:r w:rsidRPr="00B00F53">
        <w:rPr>
          <w:rFonts w:hint="cs"/>
          <w:rtl/>
        </w:rPr>
        <w:t>, אני סבורה כי טענת היעדר הבשלות שהעלתה הכנסת</w:t>
      </w:r>
      <w:r>
        <w:rPr>
          <w:rFonts w:hint="cs"/>
          <w:rtl/>
        </w:rPr>
        <w:t xml:space="preserve"> דינה</w:t>
      </w:r>
      <w:r w:rsidRPr="00B00F53">
        <w:rPr>
          <w:rFonts w:hint="cs"/>
          <w:rtl/>
        </w:rPr>
        <w:t xml:space="preserve"> להידחות. </w:t>
      </w:r>
    </w:p>
    <w:p w:rsidR="00C044AE" w:rsidRPr="002F18BC" w:rsidRDefault="00C044AE" w:rsidP="00C044AE">
      <w:pPr>
        <w:pStyle w:val="Ruller41"/>
        <w:rPr>
          <w:rtl/>
        </w:rPr>
      </w:pPr>
    </w:p>
    <w:p w:rsidR="00C044AE" w:rsidRPr="00B00F53" w:rsidRDefault="00C044AE" w:rsidP="00C044AE">
      <w:pPr>
        <w:pStyle w:val="Ruller41"/>
        <w:numPr>
          <w:ilvl w:val="0"/>
          <w:numId w:val="6"/>
        </w:numPr>
        <w:outlineLvl w:val="1"/>
        <w:rPr>
          <w:rFonts w:ascii="Garamond" w:hAnsi="Garamond" w:cs="Miriam"/>
          <w:b/>
          <w:spacing w:val="0"/>
          <w:szCs w:val="24"/>
          <w:rtl/>
        </w:rPr>
      </w:pPr>
      <w:r w:rsidRPr="00B00F53">
        <w:rPr>
          <w:rFonts w:ascii="Garamond" w:hAnsi="Garamond" w:cs="Miriam" w:hint="cs"/>
          <w:b/>
          <w:spacing w:val="0"/>
          <w:szCs w:val="24"/>
          <w:rtl/>
        </w:rPr>
        <w:t>בחינת הפגיעה ב"מאפיינים הגרעיניים" של מדינת ישראל</w:t>
      </w:r>
    </w:p>
    <w:p w:rsidR="00C044AE" w:rsidRPr="00B00F53" w:rsidRDefault="00C044AE" w:rsidP="00C044AE">
      <w:pPr>
        <w:pStyle w:val="Ruller41"/>
        <w:rPr>
          <w:rFonts w:ascii="Garamond" w:hAnsi="Garamond" w:cs="Miriam"/>
          <w:b/>
          <w:spacing w:val="0"/>
          <w:szCs w:val="24"/>
          <w:rtl/>
        </w:rPr>
      </w:pPr>
    </w:p>
    <w:p w:rsidR="00C044AE" w:rsidRPr="00CC5340" w:rsidRDefault="00C044AE" w:rsidP="00C044AE">
      <w:pPr>
        <w:pStyle w:val="Ruller4"/>
        <w:rPr>
          <w:color w:val="000000" w:themeColor="text1"/>
        </w:rPr>
      </w:pPr>
      <w:r w:rsidRPr="00B00F53">
        <w:rPr>
          <w:rFonts w:hint="cs"/>
          <w:color w:val="000000" w:themeColor="text1"/>
          <w:rtl/>
        </w:rPr>
        <w:t xml:space="preserve">טענתם המרכזית של העותרים </w:t>
      </w:r>
      <w:r w:rsidRPr="00B00F53">
        <w:rPr>
          <w:color w:val="000000" w:themeColor="text1"/>
          <w:rtl/>
        </w:rPr>
        <w:t>–</w:t>
      </w:r>
      <w:r w:rsidRPr="00B00F53">
        <w:rPr>
          <w:rFonts w:hint="cs"/>
          <w:color w:val="000000" w:themeColor="text1"/>
          <w:rtl/>
        </w:rPr>
        <w:t xml:space="preserve"> אליה מצטרפת היועצת </w:t>
      </w:r>
      <w:r w:rsidRPr="00B00F53">
        <w:rPr>
          <w:color w:val="000000" w:themeColor="text1"/>
          <w:rtl/>
        </w:rPr>
        <w:t>–</w:t>
      </w:r>
      <w:r w:rsidRPr="00B00F53">
        <w:rPr>
          <w:rFonts w:hint="cs"/>
          <w:color w:val="000000" w:themeColor="text1"/>
          <w:rtl/>
        </w:rPr>
        <w:t xml:space="preserve"> היא שהתיקון נושא העתירות </w:t>
      </w:r>
      <w:r>
        <w:rPr>
          <w:rFonts w:hint="cs"/>
          <w:color w:val="000000" w:themeColor="text1"/>
          <w:rtl/>
        </w:rPr>
        <w:t>מהווה</w:t>
      </w:r>
      <w:r w:rsidRPr="00B00F53">
        <w:rPr>
          <w:rFonts w:hint="cs"/>
          <w:color w:val="000000" w:themeColor="text1"/>
          <w:rtl/>
        </w:rPr>
        <w:t xml:space="preserve"> חריגה מגבולות הסמכות המכוננת</w:t>
      </w:r>
      <w:r>
        <w:rPr>
          <w:rFonts w:hint="cs"/>
          <w:color w:val="000000" w:themeColor="text1"/>
          <w:rtl/>
        </w:rPr>
        <w:t xml:space="preserve"> הנתונה לכנסת</w:t>
      </w:r>
      <w:r w:rsidRPr="00B00F53">
        <w:rPr>
          <w:rFonts w:hint="cs"/>
          <w:color w:val="000000" w:themeColor="text1"/>
          <w:rtl/>
        </w:rPr>
        <w:t xml:space="preserve">. </w:t>
      </w:r>
    </w:p>
    <w:p w:rsidR="00C044AE" w:rsidRDefault="00C044AE" w:rsidP="00C044AE">
      <w:pPr>
        <w:pStyle w:val="Ruller4"/>
        <w:numPr>
          <w:ilvl w:val="0"/>
          <w:numId w:val="0"/>
        </w:numPr>
        <w:rPr>
          <w:rtl/>
        </w:rPr>
      </w:pPr>
    </w:p>
    <w:p w:rsidR="00C044AE" w:rsidRDefault="00C044AE" w:rsidP="00C044AE">
      <w:pPr>
        <w:pStyle w:val="Ruller4"/>
        <w:numPr>
          <w:ilvl w:val="0"/>
          <w:numId w:val="0"/>
        </w:numPr>
      </w:pPr>
      <w:r>
        <w:rPr>
          <w:rtl/>
        </w:rPr>
        <w:tab/>
      </w:r>
      <w:r>
        <w:rPr>
          <w:rFonts w:hint="cs"/>
          <w:rtl/>
        </w:rPr>
        <w:t xml:space="preserve">הכנסת חורגת מסמכותה המכוננת אם היא מחוקקת חוק יסוד או תיקון לחוק יסוד אשר </w:t>
      </w:r>
      <w:r w:rsidRPr="00B00F53">
        <w:rPr>
          <w:rFonts w:hint="cs"/>
          <w:rtl/>
        </w:rPr>
        <w:t>"</w:t>
      </w:r>
      <w:r w:rsidRPr="00B00F53">
        <w:rPr>
          <w:rFonts w:hint="eastAsia"/>
          <w:rtl/>
        </w:rPr>
        <w:t>שולל</w:t>
      </w:r>
      <w:r w:rsidRPr="00B00F53">
        <w:rPr>
          <w:rtl/>
        </w:rPr>
        <w:t xml:space="preserve"> </w:t>
      </w:r>
      <w:r w:rsidRPr="00B00F53">
        <w:rPr>
          <w:rFonts w:hint="eastAsia"/>
          <w:rtl/>
        </w:rPr>
        <w:t>או</w:t>
      </w:r>
      <w:r w:rsidRPr="00B00F53">
        <w:rPr>
          <w:rtl/>
        </w:rPr>
        <w:t xml:space="preserve"> </w:t>
      </w:r>
      <w:r w:rsidRPr="00B00F53">
        <w:rPr>
          <w:rFonts w:hint="eastAsia"/>
          <w:rtl/>
        </w:rPr>
        <w:t>סותר</w:t>
      </w:r>
      <w:r w:rsidRPr="00B00F53">
        <w:rPr>
          <w:rtl/>
        </w:rPr>
        <w:t xml:space="preserve"> </w:t>
      </w:r>
      <w:r w:rsidRPr="00B00F53">
        <w:rPr>
          <w:rFonts w:hint="eastAsia"/>
          <w:rtl/>
        </w:rPr>
        <w:t>באופן</w:t>
      </w:r>
      <w:r w:rsidRPr="00B00F53">
        <w:rPr>
          <w:rtl/>
        </w:rPr>
        <w:t xml:space="preserve"> </w:t>
      </w:r>
      <w:r w:rsidRPr="00B00F53">
        <w:rPr>
          <w:rFonts w:hint="eastAsia"/>
          <w:rtl/>
        </w:rPr>
        <w:t>חזיתי</w:t>
      </w:r>
      <w:r w:rsidRPr="00B00F53">
        <w:rPr>
          <w:rtl/>
        </w:rPr>
        <w:t xml:space="preserve"> </w:t>
      </w:r>
      <w:r w:rsidRPr="00B00F53">
        <w:rPr>
          <w:rFonts w:hint="eastAsia"/>
          <w:rtl/>
        </w:rPr>
        <w:t>את</w:t>
      </w:r>
      <w:r w:rsidRPr="00B00F53">
        <w:rPr>
          <w:rtl/>
        </w:rPr>
        <w:t xml:space="preserve"> </w:t>
      </w:r>
      <w:r w:rsidRPr="00B00F53">
        <w:rPr>
          <w:rFonts w:hint="cs"/>
          <w:rtl/>
        </w:rPr>
        <w:t>'</w:t>
      </w:r>
      <w:r w:rsidRPr="00B00F53">
        <w:rPr>
          <w:rFonts w:hint="eastAsia"/>
          <w:rtl/>
        </w:rPr>
        <w:t>המאפיינים</w:t>
      </w:r>
      <w:r w:rsidRPr="00B00F53">
        <w:rPr>
          <w:rtl/>
        </w:rPr>
        <w:t xml:space="preserve"> '</w:t>
      </w:r>
      <w:r w:rsidRPr="00B00F53">
        <w:rPr>
          <w:rFonts w:hint="eastAsia"/>
          <w:rtl/>
        </w:rPr>
        <w:t>הגרעיניים</w:t>
      </w:r>
      <w:r w:rsidRPr="00B00F53">
        <w:rPr>
          <w:rtl/>
        </w:rPr>
        <w:t xml:space="preserve">' </w:t>
      </w:r>
      <w:r w:rsidRPr="00B00F53">
        <w:rPr>
          <w:rFonts w:hint="eastAsia"/>
          <w:rtl/>
        </w:rPr>
        <w:t>המעצבים</w:t>
      </w:r>
      <w:r w:rsidRPr="00B00F53">
        <w:rPr>
          <w:rtl/>
        </w:rPr>
        <w:t xml:space="preserve"> </w:t>
      </w:r>
      <w:r w:rsidRPr="00B00F53">
        <w:rPr>
          <w:rFonts w:hint="eastAsia"/>
          <w:rtl/>
        </w:rPr>
        <w:t>את</w:t>
      </w:r>
      <w:r w:rsidRPr="00B00F53">
        <w:rPr>
          <w:rtl/>
        </w:rPr>
        <w:t xml:space="preserve"> </w:t>
      </w:r>
      <w:r w:rsidRPr="00B00F53">
        <w:rPr>
          <w:rFonts w:hint="eastAsia"/>
          <w:rtl/>
        </w:rPr>
        <w:t>הגדרת</w:t>
      </w:r>
      <w:r w:rsidRPr="00B00F53">
        <w:rPr>
          <w:rtl/>
        </w:rPr>
        <w:t xml:space="preserve"> </w:t>
      </w:r>
      <w:r w:rsidRPr="00B00F53">
        <w:rPr>
          <w:rFonts w:hint="eastAsia"/>
          <w:rtl/>
        </w:rPr>
        <w:t>המינימום</w:t>
      </w:r>
      <w:r w:rsidRPr="00B00F53">
        <w:rPr>
          <w:rFonts w:hint="cs"/>
          <w:rtl/>
        </w:rPr>
        <w:t>'</w:t>
      </w:r>
      <w:r w:rsidRPr="00B00F53">
        <w:rPr>
          <w:rtl/>
        </w:rPr>
        <w:t xml:space="preserve"> </w:t>
      </w:r>
      <w:r w:rsidRPr="00B00F53">
        <w:rPr>
          <w:rFonts w:hint="eastAsia"/>
          <w:rtl/>
        </w:rPr>
        <w:t>של</w:t>
      </w:r>
      <w:r w:rsidRPr="00B00F53">
        <w:rPr>
          <w:rtl/>
        </w:rPr>
        <w:t xml:space="preserve"> </w:t>
      </w:r>
      <w:r w:rsidRPr="00B00F53">
        <w:rPr>
          <w:rFonts w:hint="eastAsia"/>
          <w:rtl/>
        </w:rPr>
        <w:t>היות</w:t>
      </w:r>
      <w:r w:rsidRPr="00B00F53">
        <w:rPr>
          <w:rtl/>
        </w:rPr>
        <w:t xml:space="preserve"> </w:t>
      </w:r>
      <w:r w:rsidRPr="00B00F53">
        <w:rPr>
          <w:rFonts w:hint="eastAsia"/>
          <w:rtl/>
        </w:rPr>
        <w:t>מדינת</w:t>
      </w:r>
      <w:r w:rsidRPr="00B00F53">
        <w:rPr>
          <w:rtl/>
        </w:rPr>
        <w:t xml:space="preserve"> </w:t>
      </w:r>
      <w:r w:rsidRPr="00B00F53">
        <w:rPr>
          <w:rFonts w:hint="eastAsia"/>
          <w:rtl/>
        </w:rPr>
        <w:t>ישראל</w:t>
      </w:r>
      <w:r w:rsidRPr="00B00F53">
        <w:rPr>
          <w:rtl/>
        </w:rPr>
        <w:t xml:space="preserve"> </w:t>
      </w:r>
      <w:r w:rsidRPr="00B00F53">
        <w:rPr>
          <w:rFonts w:hint="eastAsia"/>
          <w:rtl/>
        </w:rPr>
        <w:t>מדינה</w:t>
      </w:r>
      <w:r w:rsidRPr="00B00F53">
        <w:rPr>
          <w:rtl/>
        </w:rPr>
        <w:t xml:space="preserve"> </w:t>
      </w:r>
      <w:r w:rsidRPr="00B00F53">
        <w:rPr>
          <w:rFonts w:hint="eastAsia"/>
          <w:rtl/>
        </w:rPr>
        <w:t>יהודית</w:t>
      </w:r>
      <w:r w:rsidRPr="00B00F53">
        <w:rPr>
          <w:rtl/>
        </w:rPr>
        <w:t xml:space="preserve"> </w:t>
      </w:r>
      <w:r w:rsidRPr="00B00F53">
        <w:rPr>
          <w:rFonts w:hint="eastAsia"/>
          <w:rtl/>
        </w:rPr>
        <w:t>ודמוקרטית</w:t>
      </w:r>
      <w:r w:rsidRPr="00B00F53">
        <w:rPr>
          <w:rFonts w:hint="cs"/>
          <w:rtl/>
        </w:rPr>
        <w:t>" (</w:t>
      </w:r>
      <w:r w:rsidRPr="00B00F53">
        <w:rPr>
          <w:rFonts w:hint="cs"/>
          <w:sz w:val="22"/>
          <w:rtl/>
        </w:rPr>
        <w:t>עניין</w:t>
      </w:r>
      <w:r w:rsidRPr="00B00F53">
        <w:rPr>
          <w:rFonts w:cs="Miriam" w:hint="cs"/>
          <w:b/>
          <w:spacing w:val="0"/>
          <w:sz w:val="22"/>
          <w:szCs w:val="24"/>
          <w:rtl/>
        </w:rPr>
        <w:t xml:space="preserve"> חסון</w:t>
      </w:r>
      <w:r w:rsidRPr="00B00F53">
        <w:rPr>
          <w:rFonts w:hint="cs"/>
          <w:rtl/>
        </w:rPr>
        <w:t xml:space="preserve">, בפסקה 29 לחוות דעתי). </w:t>
      </w:r>
      <w:r>
        <w:rPr>
          <w:rFonts w:hint="cs"/>
          <w:rtl/>
        </w:rPr>
        <w:t>ה</w:t>
      </w:r>
      <w:r w:rsidRPr="00B00F53">
        <w:rPr>
          <w:rFonts w:hint="cs"/>
          <w:rtl/>
        </w:rPr>
        <w:t xml:space="preserve">מאפיינים הגרעיניים של מדינת ישראל </w:t>
      </w:r>
      <w:r w:rsidRPr="00457D6E">
        <w:rPr>
          <w:rFonts w:cs="Miriam" w:hint="cs"/>
          <w:b/>
          <w:spacing w:val="0"/>
          <w:sz w:val="22"/>
          <w:szCs w:val="24"/>
          <w:rtl/>
        </w:rPr>
        <w:t>כמדינה יהודית</w:t>
      </w:r>
      <w:r w:rsidRPr="00B00F53">
        <w:rPr>
          <w:rFonts w:hint="cs"/>
          <w:rtl/>
        </w:rPr>
        <w:t xml:space="preserve"> </w:t>
      </w:r>
      <w:r>
        <w:rPr>
          <w:rFonts w:hint="cs"/>
          <w:rtl/>
        </w:rPr>
        <w:t xml:space="preserve">כפי שנקבעו בפסיקה בעבר הם בעיקרם </w:t>
      </w:r>
      <w:r>
        <w:rPr>
          <w:rtl/>
        </w:rPr>
        <w:t>–</w:t>
      </w:r>
      <w:r w:rsidRPr="00B00F53">
        <w:rPr>
          <w:rFonts w:hint="cs"/>
          <w:rtl/>
        </w:rPr>
        <w:t xml:space="preserve"> "זכותו של כל יהודי לעלות למדינת ישראל, שהיהודים יהוו בה רוב"; היותה של העברית שפתה המרכזית של המדינה; </w:t>
      </w:r>
      <w:r>
        <w:rPr>
          <w:rFonts w:hint="cs"/>
          <w:rtl/>
        </w:rPr>
        <w:t>והיותם</w:t>
      </w:r>
      <w:r w:rsidRPr="00B00F53">
        <w:rPr>
          <w:rFonts w:hint="cs"/>
          <w:rtl/>
        </w:rPr>
        <w:t xml:space="preserve"> של החגים, הסמלים ו</w:t>
      </w:r>
      <w:r>
        <w:rPr>
          <w:rFonts w:hint="cs"/>
          <w:rtl/>
        </w:rPr>
        <w:t>ה</w:t>
      </w:r>
      <w:r w:rsidRPr="00B00F53">
        <w:rPr>
          <w:rFonts w:hint="cs"/>
          <w:rtl/>
        </w:rPr>
        <w:t>מורשת של העם היהודי חלק מזהות</w:t>
      </w:r>
      <w:r>
        <w:rPr>
          <w:rFonts w:hint="cs"/>
          <w:rtl/>
        </w:rPr>
        <w:t>ה</w:t>
      </w:r>
      <w:r w:rsidRPr="00B00F53">
        <w:rPr>
          <w:rFonts w:hint="cs"/>
          <w:rtl/>
        </w:rPr>
        <w:t xml:space="preserve"> </w:t>
      </w:r>
      <w:r>
        <w:rPr>
          <w:rFonts w:hint="cs"/>
          <w:rtl/>
        </w:rPr>
        <w:t xml:space="preserve">של </w:t>
      </w:r>
      <w:r w:rsidRPr="00B00F53">
        <w:rPr>
          <w:rFonts w:hint="cs"/>
          <w:rtl/>
        </w:rPr>
        <w:t xml:space="preserve">המדינה (עניין </w:t>
      </w:r>
      <w:r w:rsidRPr="00B00F53">
        <w:rPr>
          <w:rFonts w:cs="Miriam" w:hint="cs"/>
          <w:b/>
          <w:spacing w:val="0"/>
          <w:sz w:val="22"/>
          <w:szCs w:val="24"/>
          <w:rtl/>
        </w:rPr>
        <w:t>טיבי</w:t>
      </w:r>
      <w:r w:rsidRPr="00B00F53">
        <w:rPr>
          <w:rFonts w:hint="cs"/>
          <w:rtl/>
        </w:rPr>
        <w:t xml:space="preserve">, בעמ' 22). באשר למאפיינים </w:t>
      </w:r>
      <w:r w:rsidRPr="00457D6E">
        <w:rPr>
          <w:rFonts w:cs="Miriam" w:hint="cs"/>
          <w:b/>
          <w:spacing w:val="0"/>
          <w:sz w:val="22"/>
          <w:szCs w:val="24"/>
          <w:rtl/>
        </w:rPr>
        <w:t>הדמוקרטיים</w:t>
      </w:r>
      <w:r w:rsidRPr="00B00F53">
        <w:rPr>
          <w:rFonts w:hint="cs"/>
          <w:rtl/>
        </w:rPr>
        <w:t xml:space="preserve">, </w:t>
      </w:r>
      <w:r w:rsidRPr="00B00F53">
        <w:rPr>
          <w:rFonts w:hint="cs"/>
          <w:color w:val="000000"/>
          <w:sz w:val="28"/>
          <w:rtl/>
        </w:rPr>
        <w:t>נהוג להתייחס ל"הכרה בריבונות העם המתבטאת בבחירות חופשיות ושוות; הכרה בגרעין של זכויות אדם</w:t>
      </w:r>
      <w:r>
        <w:rPr>
          <w:rFonts w:hint="cs"/>
          <w:color w:val="000000"/>
          <w:sz w:val="28"/>
          <w:rtl/>
        </w:rPr>
        <w:t>,</w:t>
      </w:r>
      <w:r w:rsidRPr="00B00F53">
        <w:rPr>
          <w:rFonts w:hint="cs"/>
          <w:color w:val="000000"/>
          <w:sz w:val="28"/>
          <w:rtl/>
        </w:rPr>
        <w:t xml:space="preserve"> ובהן כבוד ושוויון, קיום הפרדת רשויות, שלטון החוק ורשות שופטת עצמאית</w:t>
      </w:r>
      <w:r w:rsidRPr="00B00F53">
        <w:rPr>
          <w:rFonts w:hint="cs"/>
          <w:rtl/>
        </w:rPr>
        <w:t>" (</w:t>
      </w:r>
      <w:r w:rsidRPr="00B00F53">
        <w:rPr>
          <w:rFonts w:cs="Miriam" w:hint="cs"/>
          <w:b/>
          <w:spacing w:val="0"/>
          <w:sz w:val="22"/>
          <w:szCs w:val="24"/>
          <w:rtl/>
        </w:rPr>
        <w:t>שם</w:t>
      </w:r>
      <w:r w:rsidRPr="00B00F53">
        <w:rPr>
          <w:rFonts w:hint="cs"/>
          <w:rtl/>
        </w:rPr>
        <w:t>, בעמ' 23</w:t>
      </w:r>
      <w:r>
        <w:rPr>
          <w:rFonts w:hint="cs"/>
          <w:rtl/>
        </w:rPr>
        <w:t>; וראו גם</w:t>
      </w:r>
      <w:r w:rsidRPr="00B00F53">
        <w:rPr>
          <w:rFonts w:hint="cs"/>
          <w:rtl/>
        </w:rPr>
        <w:t xml:space="preserve">: </w:t>
      </w:r>
      <w:r w:rsidRPr="00B00F53">
        <w:rPr>
          <w:rFonts w:hint="eastAsia"/>
          <w:rtl/>
        </w:rPr>
        <w:t>בג</w:t>
      </w:r>
      <w:r w:rsidRPr="00B00F53">
        <w:rPr>
          <w:rtl/>
        </w:rPr>
        <w:t>"</w:t>
      </w:r>
      <w:r w:rsidRPr="00B00F53">
        <w:rPr>
          <w:rFonts w:hint="eastAsia"/>
          <w:rtl/>
        </w:rPr>
        <w:t>ץ</w:t>
      </w:r>
      <w:r w:rsidRPr="00B00F53">
        <w:rPr>
          <w:rtl/>
        </w:rPr>
        <w:t xml:space="preserve"> 1661</w:t>
      </w:r>
      <w:r w:rsidRPr="00B00F53">
        <w:rPr>
          <w:rFonts w:hint="cs"/>
          <w:rtl/>
        </w:rPr>
        <w:t>/</w:t>
      </w:r>
      <w:r w:rsidRPr="00B00F53">
        <w:rPr>
          <w:rtl/>
        </w:rPr>
        <w:t xml:space="preserve">05 </w:t>
      </w:r>
      <w:r w:rsidRPr="00B00F53">
        <w:rPr>
          <w:rFonts w:cs="Miriam" w:hint="eastAsia"/>
          <w:b/>
          <w:spacing w:val="0"/>
          <w:sz w:val="22"/>
          <w:szCs w:val="24"/>
          <w:rtl/>
        </w:rPr>
        <w:t>המועצה</w:t>
      </w:r>
      <w:r w:rsidRPr="00B00F53">
        <w:rPr>
          <w:rFonts w:cs="Miriam"/>
          <w:b/>
          <w:spacing w:val="0"/>
          <w:sz w:val="22"/>
          <w:szCs w:val="24"/>
          <w:rtl/>
        </w:rPr>
        <w:t xml:space="preserve"> </w:t>
      </w:r>
      <w:r w:rsidRPr="00B00F53">
        <w:rPr>
          <w:rFonts w:cs="Miriam" w:hint="eastAsia"/>
          <w:b/>
          <w:spacing w:val="0"/>
          <w:sz w:val="22"/>
          <w:szCs w:val="24"/>
          <w:rtl/>
        </w:rPr>
        <w:t>האזורית</w:t>
      </w:r>
      <w:r w:rsidRPr="00B00F53">
        <w:rPr>
          <w:rFonts w:cs="Miriam"/>
          <w:b/>
          <w:spacing w:val="0"/>
          <w:sz w:val="22"/>
          <w:szCs w:val="24"/>
          <w:rtl/>
        </w:rPr>
        <w:t xml:space="preserve"> </w:t>
      </w:r>
      <w:r w:rsidRPr="00B00F53">
        <w:rPr>
          <w:rFonts w:cs="Miriam" w:hint="eastAsia"/>
          <w:b/>
          <w:spacing w:val="0"/>
          <w:sz w:val="22"/>
          <w:szCs w:val="24"/>
          <w:rtl/>
        </w:rPr>
        <w:t>חוף</w:t>
      </w:r>
      <w:r w:rsidRPr="00B00F53">
        <w:rPr>
          <w:rFonts w:cs="Miriam"/>
          <w:b/>
          <w:spacing w:val="0"/>
          <w:sz w:val="22"/>
          <w:szCs w:val="24"/>
          <w:rtl/>
        </w:rPr>
        <w:t xml:space="preserve"> </w:t>
      </w:r>
      <w:r w:rsidRPr="00B00F53">
        <w:rPr>
          <w:rFonts w:cs="Miriam" w:hint="eastAsia"/>
          <w:b/>
          <w:spacing w:val="0"/>
          <w:sz w:val="22"/>
          <w:szCs w:val="24"/>
          <w:rtl/>
        </w:rPr>
        <w:t>עזה</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כנסת</w:t>
      </w:r>
      <w:r w:rsidRPr="00B00F53">
        <w:rPr>
          <w:rFonts w:cs="Miriam"/>
          <w:b/>
          <w:spacing w:val="0"/>
          <w:sz w:val="22"/>
          <w:szCs w:val="24"/>
          <w:rtl/>
        </w:rPr>
        <w:t xml:space="preserve"> </w:t>
      </w:r>
      <w:r w:rsidRPr="00B00F53">
        <w:rPr>
          <w:rFonts w:cs="Miriam" w:hint="eastAsia"/>
          <w:b/>
          <w:spacing w:val="0"/>
          <w:sz w:val="22"/>
          <w:szCs w:val="24"/>
          <w:rtl/>
        </w:rPr>
        <w:t>ישראל</w:t>
      </w:r>
      <w:r w:rsidRPr="00B00F53">
        <w:rPr>
          <w:rtl/>
        </w:rPr>
        <w:t xml:space="preserve">, </w:t>
      </w:r>
      <w:r w:rsidRPr="00B00F53">
        <w:rPr>
          <w:rFonts w:hint="eastAsia"/>
          <w:rtl/>
        </w:rPr>
        <w:t>פ</w:t>
      </w:r>
      <w:r w:rsidRPr="00B00F53">
        <w:rPr>
          <w:rtl/>
        </w:rPr>
        <w:t>"</w:t>
      </w:r>
      <w:r w:rsidRPr="00B00F53">
        <w:rPr>
          <w:rFonts w:hint="eastAsia"/>
          <w:rtl/>
        </w:rPr>
        <w:t>ד</w:t>
      </w:r>
      <w:r w:rsidRPr="00B00F53">
        <w:rPr>
          <w:rtl/>
        </w:rPr>
        <w:t xml:space="preserve"> </w:t>
      </w:r>
      <w:r w:rsidRPr="00B00F53">
        <w:rPr>
          <w:rFonts w:hint="eastAsia"/>
          <w:rtl/>
        </w:rPr>
        <w:t>נט</w:t>
      </w:r>
      <w:r w:rsidRPr="00B00F53">
        <w:rPr>
          <w:rtl/>
        </w:rPr>
        <w:t>(2) 481</w:t>
      </w:r>
      <w:r w:rsidRPr="00B00F53">
        <w:rPr>
          <w:rFonts w:hint="cs"/>
          <w:rtl/>
        </w:rPr>
        <w:t xml:space="preserve">, </w:t>
      </w:r>
      <w:r>
        <w:rPr>
          <w:rFonts w:hint="cs"/>
          <w:rtl/>
        </w:rPr>
        <w:t>565</w:t>
      </w:r>
      <w:r w:rsidRPr="00B00F53">
        <w:rPr>
          <w:rFonts w:hint="cs"/>
          <w:rtl/>
        </w:rPr>
        <w:t xml:space="preserve"> (2005) (להלן: </w:t>
      </w:r>
      <w:r w:rsidRPr="00B00F53">
        <w:rPr>
          <w:rFonts w:cs="Miriam" w:hint="cs"/>
          <w:b/>
          <w:spacing w:val="0"/>
          <w:sz w:val="22"/>
          <w:szCs w:val="24"/>
          <w:rtl/>
        </w:rPr>
        <w:t>עניין חוף עזה</w:t>
      </w:r>
      <w:r w:rsidRPr="00B00F53">
        <w:rPr>
          <w:rFonts w:hint="cs"/>
          <w:rtl/>
        </w:rPr>
        <w:t xml:space="preserve">); </w:t>
      </w:r>
      <w:r w:rsidRPr="00B00F53">
        <w:rPr>
          <w:rFonts w:hint="eastAsia"/>
          <w:rtl/>
        </w:rPr>
        <w:t>בג</w:t>
      </w:r>
      <w:r w:rsidRPr="00B00F53">
        <w:rPr>
          <w:rtl/>
        </w:rPr>
        <w:t>"</w:t>
      </w:r>
      <w:r w:rsidRPr="00B00F53">
        <w:rPr>
          <w:rFonts w:hint="eastAsia"/>
          <w:rtl/>
        </w:rPr>
        <w:t>ץ</w:t>
      </w:r>
      <w:r w:rsidRPr="00B00F53">
        <w:rPr>
          <w:rtl/>
        </w:rPr>
        <w:t xml:space="preserve"> 5026/04‏ </w:t>
      </w:r>
      <w:r w:rsidRPr="00B00F53">
        <w:rPr>
          <w:rFonts w:cs="Miriam" w:hint="eastAsia"/>
          <w:b/>
          <w:spacing w:val="0"/>
          <w:sz w:val="22"/>
          <w:szCs w:val="24"/>
          <w:rtl/>
        </w:rPr>
        <w:t>דיזיין</w:t>
      </w:r>
      <w:r w:rsidRPr="00B00F53">
        <w:rPr>
          <w:rFonts w:cs="Miriam"/>
          <w:b/>
          <w:spacing w:val="0"/>
          <w:sz w:val="22"/>
          <w:szCs w:val="24"/>
          <w:rtl/>
        </w:rPr>
        <w:t xml:space="preserve"> 22 – </w:t>
      </w:r>
      <w:r w:rsidRPr="00B00F53">
        <w:rPr>
          <w:rFonts w:cs="Miriam" w:hint="eastAsia"/>
          <w:b/>
          <w:spacing w:val="0"/>
          <w:sz w:val="22"/>
          <w:szCs w:val="24"/>
          <w:rtl/>
        </w:rPr>
        <w:t>שארק</w:t>
      </w:r>
      <w:r w:rsidRPr="00B00F53">
        <w:rPr>
          <w:rFonts w:cs="Miriam"/>
          <w:b/>
          <w:spacing w:val="0"/>
          <w:sz w:val="22"/>
          <w:szCs w:val="24"/>
          <w:rtl/>
        </w:rPr>
        <w:t xml:space="preserve"> </w:t>
      </w:r>
      <w:r w:rsidRPr="00B00F53">
        <w:rPr>
          <w:rFonts w:cs="Miriam" w:hint="eastAsia"/>
          <w:b/>
          <w:spacing w:val="0"/>
          <w:sz w:val="22"/>
          <w:szCs w:val="24"/>
          <w:rtl/>
        </w:rPr>
        <w:t>דלוקס</w:t>
      </w:r>
      <w:r w:rsidRPr="00B00F53">
        <w:rPr>
          <w:rFonts w:cs="Miriam"/>
          <w:b/>
          <w:spacing w:val="0"/>
          <w:sz w:val="22"/>
          <w:szCs w:val="24"/>
          <w:rtl/>
        </w:rPr>
        <w:t xml:space="preserve"> </w:t>
      </w:r>
      <w:r w:rsidRPr="00B00F53">
        <w:rPr>
          <w:rFonts w:cs="Miriam" w:hint="eastAsia"/>
          <w:b/>
          <w:spacing w:val="0"/>
          <w:sz w:val="22"/>
          <w:szCs w:val="24"/>
          <w:rtl/>
        </w:rPr>
        <w:t>רהיטים</w:t>
      </w:r>
      <w:r w:rsidRPr="00B00F53">
        <w:rPr>
          <w:rFonts w:cs="Miriam"/>
          <w:b/>
          <w:spacing w:val="0"/>
          <w:sz w:val="22"/>
          <w:szCs w:val="24"/>
          <w:rtl/>
        </w:rPr>
        <w:t xml:space="preserve"> </w:t>
      </w:r>
      <w:r w:rsidRPr="00B00F53">
        <w:rPr>
          <w:rFonts w:cs="Miriam" w:hint="eastAsia"/>
          <w:b/>
          <w:spacing w:val="0"/>
          <w:sz w:val="22"/>
          <w:szCs w:val="24"/>
          <w:rtl/>
        </w:rPr>
        <w:t>בע</w:t>
      </w:r>
      <w:r w:rsidRPr="00B00F53">
        <w:rPr>
          <w:rFonts w:cs="Miriam"/>
          <w:b/>
          <w:spacing w:val="0"/>
          <w:sz w:val="22"/>
          <w:szCs w:val="24"/>
          <w:rtl/>
        </w:rPr>
        <w:t>"</w:t>
      </w:r>
      <w:r w:rsidRPr="00B00F53">
        <w:rPr>
          <w:rFonts w:cs="Miriam" w:hint="eastAsia"/>
          <w:b/>
          <w:spacing w:val="0"/>
          <w:sz w:val="22"/>
          <w:szCs w:val="24"/>
          <w:rtl/>
        </w:rPr>
        <w:t>מ</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ראש</w:t>
      </w:r>
      <w:r w:rsidRPr="00B00F53">
        <w:rPr>
          <w:rFonts w:cs="Miriam"/>
          <w:b/>
          <w:spacing w:val="0"/>
          <w:sz w:val="22"/>
          <w:szCs w:val="24"/>
          <w:rtl/>
        </w:rPr>
        <w:t xml:space="preserve"> </w:t>
      </w:r>
      <w:r w:rsidRPr="00B00F53">
        <w:rPr>
          <w:rFonts w:cs="Miriam" w:hint="eastAsia"/>
          <w:b/>
          <w:spacing w:val="0"/>
          <w:sz w:val="22"/>
          <w:szCs w:val="24"/>
          <w:rtl/>
        </w:rPr>
        <w:t>ענף</w:t>
      </w:r>
      <w:r w:rsidRPr="00B00F53">
        <w:rPr>
          <w:rFonts w:cs="Miriam"/>
          <w:b/>
          <w:spacing w:val="0"/>
          <w:sz w:val="22"/>
          <w:szCs w:val="24"/>
          <w:rtl/>
        </w:rPr>
        <w:t xml:space="preserve"> </w:t>
      </w:r>
      <w:r w:rsidRPr="00B00F53">
        <w:rPr>
          <w:rFonts w:cs="Miriam" w:hint="eastAsia"/>
          <w:b/>
          <w:spacing w:val="0"/>
          <w:sz w:val="22"/>
          <w:szCs w:val="24"/>
          <w:rtl/>
        </w:rPr>
        <w:t>היתרי</w:t>
      </w:r>
      <w:r w:rsidRPr="00B00F53">
        <w:rPr>
          <w:rFonts w:cs="Miriam"/>
          <w:b/>
          <w:spacing w:val="0"/>
          <w:sz w:val="22"/>
          <w:szCs w:val="24"/>
          <w:rtl/>
        </w:rPr>
        <w:t xml:space="preserve"> </w:t>
      </w:r>
      <w:r w:rsidRPr="00B00F53">
        <w:rPr>
          <w:rFonts w:cs="Miriam" w:hint="eastAsia"/>
          <w:b/>
          <w:spacing w:val="0"/>
          <w:sz w:val="22"/>
          <w:szCs w:val="24"/>
          <w:rtl/>
        </w:rPr>
        <w:t>עבודה</w:t>
      </w:r>
      <w:r w:rsidRPr="00B00F53">
        <w:rPr>
          <w:rFonts w:cs="Miriam"/>
          <w:b/>
          <w:spacing w:val="0"/>
          <w:sz w:val="22"/>
          <w:szCs w:val="24"/>
          <w:rtl/>
        </w:rPr>
        <w:t xml:space="preserve"> </w:t>
      </w:r>
      <w:r w:rsidRPr="00B00F53">
        <w:rPr>
          <w:rFonts w:cs="Miriam" w:hint="eastAsia"/>
          <w:b/>
          <w:spacing w:val="0"/>
          <w:sz w:val="22"/>
          <w:szCs w:val="24"/>
          <w:rtl/>
        </w:rPr>
        <w:t>בשבת</w:t>
      </w:r>
      <w:r w:rsidRPr="00B00F53">
        <w:rPr>
          <w:rFonts w:cs="Miriam"/>
          <w:b/>
          <w:spacing w:val="0"/>
          <w:sz w:val="22"/>
          <w:szCs w:val="24"/>
          <w:rtl/>
        </w:rPr>
        <w:t xml:space="preserve">, </w:t>
      </w:r>
      <w:r w:rsidRPr="00B00F53">
        <w:rPr>
          <w:rFonts w:cs="Miriam" w:hint="eastAsia"/>
          <w:b/>
          <w:spacing w:val="0"/>
          <w:sz w:val="22"/>
          <w:szCs w:val="24"/>
          <w:rtl/>
        </w:rPr>
        <w:t>אגף</w:t>
      </w:r>
      <w:r w:rsidRPr="00B00F53">
        <w:rPr>
          <w:rFonts w:cs="Miriam"/>
          <w:b/>
          <w:spacing w:val="0"/>
          <w:sz w:val="22"/>
          <w:szCs w:val="24"/>
          <w:rtl/>
        </w:rPr>
        <w:t xml:space="preserve"> </w:t>
      </w:r>
      <w:r w:rsidRPr="00B00F53">
        <w:rPr>
          <w:rFonts w:cs="Miriam" w:hint="eastAsia"/>
          <w:b/>
          <w:spacing w:val="0"/>
          <w:sz w:val="22"/>
          <w:szCs w:val="24"/>
          <w:rtl/>
        </w:rPr>
        <w:t>הפיקוח</w:t>
      </w:r>
      <w:r w:rsidRPr="00B00F53">
        <w:rPr>
          <w:rFonts w:cs="Miriam"/>
          <w:b/>
          <w:spacing w:val="0"/>
          <w:sz w:val="22"/>
          <w:szCs w:val="24"/>
          <w:rtl/>
        </w:rPr>
        <w:t xml:space="preserve"> </w:t>
      </w:r>
      <w:r w:rsidRPr="00B00F53">
        <w:rPr>
          <w:rFonts w:cs="Miriam" w:hint="eastAsia"/>
          <w:b/>
          <w:spacing w:val="0"/>
          <w:sz w:val="22"/>
          <w:szCs w:val="24"/>
          <w:rtl/>
        </w:rPr>
        <w:t>משרד</w:t>
      </w:r>
      <w:r w:rsidRPr="00B00F53">
        <w:rPr>
          <w:rFonts w:cs="Miriam"/>
          <w:b/>
          <w:spacing w:val="0"/>
          <w:sz w:val="22"/>
          <w:szCs w:val="24"/>
          <w:rtl/>
        </w:rPr>
        <w:t xml:space="preserve"> </w:t>
      </w:r>
      <w:r w:rsidRPr="00B00F53">
        <w:rPr>
          <w:rFonts w:cs="Miriam" w:hint="eastAsia"/>
          <w:b/>
          <w:spacing w:val="0"/>
          <w:sz w:val="22"/>
          <w:szCs w:val="24"/>
          <w:rtl/>
        </w:rPr>
        <w:t>העבודה</w:t>
      </w:r>
      <w:r w:rsidRPr="00B00F53">
        <w:rPr>
          <w:rFonts w:cs="Miriam"/>
          <w:b/>
          <w:spacing w:val="0"/>
          <w:sz w:val="22"/>
          <w:szCs w:val="24"/>
          <w:rtl/>
        </w:rPr>
        <w:t xml:space="preserve"> </w:t>
      </w:r>
      <w:r w:rsidRPr="00B00F53">
        <w:rPr>
          <w:rFonts w:cs="Miriam" w:hint="eastAsia"/>
          <w:b/>
          <w:spacing w:val="0"/>
          <w:sz w:val="22"/>
          <w:szCs w:val="24"/>
          <w:rtl/>
        </w:rPr>
        <w:t>והרווחה</w:t>
      </w:r>
      <w:r w:rsidRPr="00B00F53">
        <w:rPr>
          <w:rtl/>
        </w:rPr>
        <w:t xml:space="preserve">, </w:t>
      </w:r>
      <w:r w:rsidRPr="00B00F53">
        <w:rPr>
          <w:rFonts w:hint="eastAsia"/>
          <w:rtl/>
        </w:rPr>
        <w:t>פ</w:t>
      </w:r>
      <w:r w:rsidRPr="00B00F53">
        <w:rPr>
          <w:rtl/>
        </w:rPr>
        <w:t>''</w:t>
      </w:r>
      <w:r w:rsidRPr="00B00F53">
        <w:rPr>
          <w:rFonts w:hint="eastAsia"/>
          <w:rtl/>
        </w:rPr>
        <w:t>ד</w:t>
      </w:r>
      <w:r w:rsidRPr="00B00F53">
        <w:rPr>
          <w:rtl/>
        </w:rPr>
        <w:t xml:space="preserve"> </w:t>
      </w:r>
      <w:r w:rsidRPr="00B00F53">
        <w:rPr>
          <w:rFonts w:hint="eastAsia"/>
          <w:rtl/>
        </w:rPr>
        <w:t>ס</w:t>
      </w:r>
      <w:r w:rsidRPr="00B00F53">
        <w:rPr>
          <w:rtl/>
        </w:rPr>
        <w:t>(1) 38</w:t>
      </w:r>
      <w:r w:rsidRPr="00B00F53">
        <w:rPr>
          <w:rFonts w:hint="cs"/>
          <w:rtl/>
        </w:rPr>
        <w:t xml:space="preserve">, 54-53 (2005); </w:t>
      </w:r>
      <w:r w:rsidRPr="00B00F53">
        <w:rPr>
          <w:rFonts w:hint="eastAsia"/>
          <w:rtl/>
        </w:rPr>
        <w:t>א</w:t>
      </w:r>
      <w:r w:rsidRPr="00B00F53">
        <w:rPr>
          <w:rtl/>
        </w:rPr>
        <w:t>"</w:t>
      </w:r>
      <w:r w:rsidRPr="00B00F53">
        <w:rPr>
          <w:rFonts w:hint="eastAsia"/>
          <w:rtl/>
        </w:rPr>
        <w:t>ב</w:t>
      </w:r>
      <w:r w:rsidRPr="00B00F53">
        <w:rPr>
          <w:rtl/>
        </w:rPr>
        <w:t xml:space="preserve"> 1806</w:t>
      </w:r>
      <w:r w:rsidRPr="00B00F53">
        <w:rPr>
          <w:rFonts w:hint="cs"/>
          <w:rtl/>
        </w:rPr>
        <w:t>/</w:t>
      </w:r>
      <w:r w:rsidRPr="00B00F53">
        <w:rPr>
          <w:rtl/>
        </w:rPr>
        <w:t xml:space="preserve">19 </w:t>
      </w:r>
      <w:r w:rsidRPr="00B00F53">
        <w:rPr>
          <w:rFonts w:cs="Miriam" w:hint="eastAsia"/>
          <w:b/>
          <w:spacing w:val="0"/>
          <w:sz w:val="22"/>
          <w:szCs w:val="24"/>
          <w:rtl/>
        </w:rPr>
        <w:t>ועדת</w:t>
      </w:r>
      <w:r w:rsidRPr="00B00F53">
        <w:rPr>
          <w:rFonts w:cs="Miriam"/>
          <w:b/>
          <w:spacing w:val="0"/>
          <w:sz w:val="22"/>
          <w:szCs w:val="24"/>
          <w:rtl/>
        </w:rPr>
        <w:t xml:space="preserve"> </w:t>
      </w:r>
      <w:r w:rsidRPr="00B00F53">
        <w:rPr>
          <w:rFonts w:cs="Miriam" w:hint="eastAsia"/>
          <w:b/>
          <w:spacing w:val="0"/>
          <w:sz w:val="22"/>
          <w:szCs w:val="24"/>
          <w:rtl/>
        </w:rPr>
        <w:t>הבחירות</w:t>
      </w:r>
      <w:r w:rsidRPr="00B00F53">
        <w:rPr>
          <w:rFonts w:cs="Miriam"/>
          <w:b/>
          <w:spacing w:val="0"/>
          <w:sz w:val="22"/>
          <w:szCs w:val="24"/>
          <w:rtl/>
        </w:rPr>
        <w:t xml:space="preserve"> </w:t>
      </w:r>
      <w:r w:rsidRPr="00B00F53">
        <w:rPr>
          <w:rFonts w:cs="Miriam" w:hint="eastAsia"/>
          <w:b/>
          <w:spacing w:val="0"/>
          <w:sz w:val="22"/>
          <w:szCs w:val="24"/>
          <w:rtl/>
        </w:rPr>
        <w:t>המרכזית</w:t>
      </w:r>
      <w:r w:rsidRPr="00B00F53">
        <w:rPr>
          <w:rFonts w:cs="Miriam"/>
          <w:b/>
          <w:spacing w:val="0"/>
          <w:sz w:val="22"/>
          <w:szCs w:val="24"/>
          <w:rtl/>
        </w:rPr>
        <w:t xml:space="preserve"> </w:t>
      </w:r>
      <w:r w:rsidRPr="00B00F53">
        <w:rPr>
          <w:rFonts w:cs="Miriam" w:hint="eastAsia"/>
          <w:b/>
          <w:spacing w:val="0"/>
          <w:sz w:val="22"/>
          <w:szCs w:val="24"/>
          <w:rtl/>
        </w:rPr>
        <w:t>לכנסת</w:t>
      </w:r>
      <w:r w:rsidRPr="00B00F53">
        <w:rPr>
          <w:rFonts w:cs="Miriam"/>
          <w:b/>
          <w:spacing w:val="0"/>
          <w:sz w:val="22"/>
          <w:szCs w:val="24"/>
          <w:rtl/>
        </w:rPr>
        <w:t xml:space="preserve"> </w:t>
      </w:r>
      <w:r w:rsidRPr="00B00F53">
        <w:rPr>
          <w:rFonts w:cs="Miriam" w:hint="eastAsia"/>
          <w:b/>
          <w:spacing w:val="0"/>
          <w:sz w:val="22"/>
          <w:szCs w:val="24"/>
          <w:rtl/>
        </w:rPr>
        <w:t>ה</w:t>
      </w:r>
      <w:r w:rsidRPr="00B00F53">
        <w:rPr>
          <w:rFonts w:cs="Miriam"/>
          <w:b/>
          <w:spacing w:val="0"/>
          <w:sz w:val="22"/>
          <w:szCs w:val="24"/>
          <w:rtl/>
        </w:rPr>
        <w:t xml:space="preserve">-21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כסיף</w:t>
      </w:r>
      <w:r w:rsidRPr="00B00F53">
        <w:rPr>
          <w:rFonts w:hint="cs"/>
          <w:rtl/>
        </w:rPr>
        <w:t xml:space="preserve">, פסקה 13 לחוות דעתי (18.7.2019) (להלן: </w:t>
      </w:r>
      <w:r w:rsidRPr="00B00F53">
        <w:rPr>
          <w:rFonts w:cs="Miriam" w:hint="cs"/>
          <w:b/>
          <w:spacing w:val="0"/>
          <w:sz w:val="22"/>
          <w:szCs w:val="24"/>
          <w:rtl/>
        </w:rPr>
        <w:t>עניין כסיף</w:t>
      </w:r>
      <w:r w:rsidRPr="00B00F53">
        <w:rPr>
          <w:rFonts w:hint="cs"/>
          <w:rtl/>
        </w:rPr>
        <w:t xml:space="preserve">)). </w:t>
      </w:r>
    </w:p>
    <w:p w:rsidR="00C044AE" w:rsidRDefault="00C044AE" w:rsidP="00C044AE">
      <w:pPr>
        <w:pStyle w:val="Ruller4"/>
        <w:numPr>
          <w:ilvl w:val="0"/>
          <w:numId w:val="0"/>
        </w:numPr>
        <w:rPr>
          <w:rtl/>
        </w:rPr>
      </w:pPr>
    </w:p>
    <w:p w:rsidR="00C044AE" w:rsidRPr="00B00F53" w:rsidRDefault="00C044AE" w:rsidP="00C044AE">
      <w:pPr>
        <w:pStyle w:val="Ruller4"/>
        <w:numPr>
          <w:ilvl w:val="0"/>
          <w:numId w:val="0"/>
        </w:numPr>
        <w:rPr>
          <w:rtl/>
        </w:rPr>
      </w:pPr>
      <w:r>
        <w:rPr>
          <w:rtl/>
        </w:rPr>
        <w:tab/>
      </w:r>
      <w:r w:rsidRPr="00B00F53">
        <w:rPr>
          <w:rFonts w:hint="cs"/>
          <w:rtl/>
        </w:rPr>
        <w:t xml:space="preserve">אין </w:t>
      </w:r>
      <w:r>
        <w:rPr>
          <w:rFonts w:hint="cs"/>
          <w:rtl/>
        </w:rPr>
        <w:t>מדובר ברשימה סגורה או ממצה</w:t>
      </w:r>
      <w:r w:rsidRPr="00B00F53">
        <w:rPr>
          <w:rFonts w:hint="cs"/>
          <w:rtl/>
        </w:rPr>
        <w:t xml:space="preserve">, אך ככל שנטען </w:t>
      </w:r>
      <w:r>
        <w:rPr>
          <w:rFonts w:hint="cs"/>
          <w:rtl/>
        </w:rPr>
        <w:t>ש</w:t>
      </w:r>
      <w:r w:rsidRPr="00B00F53">
        <w:rPr>
          <w:rFonts w:hint="cs"/>
          <w:rtl/>
        </w:rPr>
        <w:t xml:space="preserve">קיימים מאפיינים גרעיניים נוספים, עליהם </w:t>
      </w:r>
      <w:r>
        <w:rPr>
          <w:rFonts w:hint="cs"/>
          <w:rtl/>
        </w:rPr>
        <w:t xml:space="preserve">לשקף </w:t>
      </w:r>
      <w:r w:rsidRPr="00B00F53">
        <w:rPr>
          <w:rFonts w:hint="cs"/>
          <w:rtl/>
        </w:rPr>
        <w:t xml:space="preserve">את ליבת הזהות היהודית והדמוקרטית של המדינה ברמת חשיבות דומה למאפיינים </w:t>
      </w:r>
      <w:r>
        <w:rPr>
          <w:rFonts w:hint="cs"/>
          <w:rtl/>
        </w:rPr>
        <w:t>שצוינו לעיל.</w:t>
      </w:r>
    </w:p>
    <w:p w:rsidR="00C044AE" w:rsidRPr="00B00F53" w:rsidRDefault="00C044AE" w:rsidP="00C044AE">
      <w:pPr>
        <w:pStyle w:val="Ruller41"/>
        <w:rPr>
          <w:rFonts w:ascii="Garamond" w:hAnsi="Garamond"/>
          <w:rtl/>
        </w:rPr>
      </w:pPr>
    </w:p>
    <w:p w:rsidR="00C044AE" w:rsidRDefault="00C044AE" w:rsidP="00C044AE">
      <w:pPr>
        <w:pStyle w:val="Ruller4"/>
      </w:pPr>
      <w:r w:rsidRPr="00B00F53">
        <w:rPr>
          <w:rFonts w:hint="cs"/>
          <w:rtl/>
        </w:rPr>
        <w:lastRenderedPageBreak/>
        <w:t xml:space="preserve">בעניין </w:t>
      </w:r>
      <w:r w:rsidRPr="00B00F53">
        <w:rPr>
          <w:rFonts w:cs="Miriam" w:hint="cs"/>
          <w:b/>
          <w:spacing w:val="0"/>
          <w:sz w:val="22"/>
          <w:szCs w:val="24"/>
          <w:rtl/>
        </w:rPr>
        <w:t>חסון</w:t>
      </w:r>
      <w:r w:rsidRPr="00B00F53">
        <w:rPr>
          <w:rFonts w:hint="cs"/>
          <w:rtl/>
        </w:rPr>
        <w:t xml:space="preserve"> </w:t>
      </w:r>
      <w:r>
        <w:rPr>
          <w:rFonts w:hint="cs"/>
          <w:rtl/>
        </w:rPr>
        <w:t>נדונה באופן תמציתי בלבד השאלה כיצד יש לבחון קיומה של פגיעה ב</w:t>
      </w:r>
      <w:r w:rsidRPr="00B00F53">
        <w:rPr>
          <w:rFonts w:hint="cs"/>
          <w:rtl/>
        </w:rPr>
        <w:t>"מאפיינים הגרעיניים"</w:t>
      </w:r>
      <w:r>
        <w:rPr>
          <w:rFonts w:hint="cs"/>
          <w:rtl/>
        </w:rPr>
        <w:t>.</w:t>
      </w:r>
      <w:r w:rsidRPr="00B00F53">
        <w:rPr>
          <w:rFonts w:hint="cs"/>
          <w:rtl/>
        </w:rPr>
        <w:t xml:space="preserve"> </w:t>
      </w:r>
      <w:r>
        <w:rPr>
          <w:rFonts w:hint="cs"/>
          <w:rtl/>
        </w:rPr>
        <w:t xml:space="preserve">זאת, </w:t>
      </w:r>
      <w:r w:rsidRPr="00B00F53">
        <w:rPr>
          <w:rFonts w:hint="cs"/>
          <w:rtl/>
        </w:rPr>
        <w:t>בהתחשב בכך שבאותו עניין</w:t>
      </w:r>
      <w:r>
        <w:rPr>
          <w:rFonts w:hint="cs"/>
          <w:rtl/>
        </w:rPr>
        <w:t xml:space="preserve"> לא נדרשנו להכריע ב</w:t>
      </w:r>
      <w:r w:rsidRPr="00B00F53">
        <w:rPr>
          <w:rFonts w:hint="cs"/>
          <w:rtl/>
        </w:rPr>
        <w:t>שאלת סמכות</w:t>
      </w:r>
      <w:r>
        <w:rPr>
          <w:rFonts w:hint="cs"/>
          <w:rtl/>
        </w:rPr>
        <w:t>ו של</w:t>
      </w:r>
      <w:r w:rsidRPr="00B00F53">
        <w:rPr>
          <w:rFonts w:hint="cs"/>
          <w:rtl/>
        </w:rPr>
        <w:t xml:space="preserve"> בית המשפט לקיים ביקורת שיפוטית מהותית על חוקי היסוד. </w:t>
      </w:r>
    </w:p>
    <w:p w:rsidR="00C044AE" w:rsidRDefault="00C044AE" w:rsidP="00C044AE">
      <w:pPr>
        <w:pStyle w:val="Ruller4"/>
        <w:numPr>
          <w:ilvl w:val="0"/>
          <w:numId w:val="0"/>
        </w:numPr>
        <w:rPr>
          <w:rtl/>
        </w:rPr>
      </w:pPr>
    </w:p>
    <w:p w:rsidR="00C044AE" w:rsidRPr="00B00F53" w:rsidRDefault="00C044AE" w:rsidP="00C044AE">
      <w:pPr>
        <w:pStyle w:val="Ruller4"/>
        <w:numPr>
          <w:ilvl w:val="0"/>
          <w:numId w:val="0"/>
        </w:numPr>
        <w:rPr>
          <w:rtl/>
        </w:rPr>
      </w:pPr>
      <w:r>
        <w:rPr>
          <w:rtl/>
        </w:rPr>
        <w:tab/>
      </w:r>
      <w:r>
        <w:rPr>
          <w:rFonts w:hint="cs"/>
          <w:rtl/>
        </w:rPr>
        <w:t>העניין שבפנינו מצריך הכרעה בסוגיה זו, ומשכך אדרש תחילה לטענות עקרוניות אחדות שהעלו הצדדים בהקשר זה</w:t>
      </w:r>
      <w:r w:rsidRPr="00B00F53">
        <w:rPr>
          <w:rFonts w:hint="cs"/>
          <w:rtl/>
        </w:rPr>
        <w:t>.</w:t>
      </w:r>
    </w:p>
    <w:p w:rsidR="00C044AE" w:rsidRPr="00B00F53" w:rsidRDefault="00C044AE" w:rsidP="00C044AE">
      <w:pPr>
        <w:pStyle w:val="Ruller41"/>
        <w:rPr>
          <w:rFonts w:ascii="Garamond" w:hAnsi="Garamond"/>
          <w:rtl/>
        </w:rPr>
      </w:pPr>
    </w:p>
    <w:p w:rsidR="00C044AE" w:rsidRPr="00B00F53" w:rsidRDefault="00C044AE" w:rsidP="00C044AE">
      <w:pPr>
        <w:pStyle w:val="Ruller4"/>
        <w:rPr>
          <w:rtl/>
        </w:rPr>
      </w:pPr>
      <w:r w:rsidRPr="00B00F53">
        <w:rPr>
          <w:rFonts w:hint="cs"/>
          <w:rtl/>
        </w:rPr>
        <w:t xml:space="preserve">בעמדה מטעם האגודה ויתר ארגוני החברה האזרחית, נטען כי תיקון מס' 3 מהווה חריגה מהסמכות המכוננת בהתאם לרף שנקבע בעניין </w:t>
      </w:r>
      <w:r w:rsidRPr="00B00F53">
        <w:rPr>
          <w:rFonts w:cs="Miriam" w:hint="cs"/>
          <w:b/>
          <w:spacing w:val="0"/>
          <w:sz w:val="22"/>
          <w:szCs w:val="24"/>
          <w:rtl/>
        </w:rPr>
        <w:t>חסון</w:t>
      </w:r>
      <w:r>
        <w:rPr>
          <w:rFonts w:hint="cs"/>
          <w:rtl/>
        </w:rPr>
        <w:t xml:space="preserve">. עם זאת, לגישתם, </w:t>
      </w:r>
      <w:r w:rsidRPr="00B00F53">
        <w:rPr>
          <w:rFonts w:hint="cs"/>
          <w:rtl/>
        </w:rPr>
        <w:t>המציאות המשטרית</w:t>
      </w:r>
      <w:r>
        <w:rPr>
          <w:rFonts w:hint="cs"/>
          <w:rtl/>
        </w:rPr>
        <w:t xml:space="preserve"> בישראל מחייבת</w:t>
      </w:r>
      <w:r w:rsidRPr="00B00F53">
        <w:rPr>
          <w:rFonts w:hint="cs"/>
          <w:rtl/>
        </w:rPr>
        <w:t xml:space="preserve"> </w:t>
      </w:r>
      <w:r>
        <w:rPr>
          <w:rFonts w:hint="cs"/>
          <w:rtl/>
        </w:rPr>
        <w:t>קביעת</w:t>
      </w:r>
      <w:r w:rsidRPr="00B00F53">
        <w:rPr>
          <w:rFonts w:hint="cs"/>
          <w:rtl/>
        </w:rPr>
        <w:t xml:space="preserve"> </w:t>
      </w:r>
      <w:r>
        <w:rPr>
          <w:rFonts w:hint="cs"/>
          <w:rtl/>
        </w:rPr>
        <w:t xml:space="preserve">רף התערבות נמוך יותר בחוקי יסוד שיבחן </w:t>
      </w:r>
      <w:r w:rsidRPr="00B00F53">
        <w:rPr>
          <w:rFonts w:hint="cs"/>
          <w:rtl/>
        </w:rPr>
        <w:t>אם הייתה הפרה לא מידתית של עקרון ליבה של החוקה או של חוק היסוד (</w:t>
      </w:r>
      <w:r>
        <w:rPr>
          <w:rFonts w:hint="cs"/>
          <w:rtl/>
        </w:rPr>
        <w:t xml:space="preserve">פסקאות 260-251 לעמדת האגודה; הצעה זו מבוססת על </w:t>
      </w:r>
      <w:r w:rsidRPr="00B00F53">
        <w:rPr>
          <w:smallCaps/>
        </w:rPr>
        <w:t>Roznai</w:t>
      </w:r>
      <w:r w:rsidRPr="00B00F53">
        <w:rPr>
          <w:rFonts w:hint="cs"/>
          <w:rtl/>
        </w:rPr>
        <w:t xml:space="preserve">, בעמ' </w:t>
      </w:r>
      <w:r w:rsidRPr="00415FA9">
        <w:rPr>
          <w:rFonts w:ascii="FrankRuehl" w:hAnsi="FrankRuehl"/>
          <w:sz w:val="28"/>
        </w:rPr>
        <w:t>221-220</w:t>
      </w:r>
      <w:r w:rsidRPr="00B00F53">
        <w:rPr>
          <w:rFonts w:hint="cs"/>
          <w:sz w:val="22"/>
          <w:rtl/>
        </w:rPr>
        <w:t xml:space="preserve">). </w:t>
      </w:r>
    </w:p>
    <w:p w:rsidR="00C044AE" w:rsidRPr="00B00F53" w:rsidRDefault="00C044AE" w:rsidP="00C044AE">
      <w:pPr>
        <w:pStyle w:val="Ruller41"/>
        <w:rPr>
          <w:rFonts w:ascii="Garamond" w:hAnsi="Garamond"/>
          <w:rtl/>
        </w:rPr>
      </w:pPr>
    </w:p>
    <w:p w:rsidR="00C044AE" w:rsidRPr="00B00F53" w:rsidRDefault="00C044AE" w:rsidP="00C044AE">
      <w:pPr>
        <w:pStyle w:val="Ruller41"/>
        <w:rPr>
          <w:rFonts w:ascii="Garamond" w:hAnsi="Garamond"/>
          <w:rtl/>
        </w:rPr>
      </w:pPr>
      <w:r w:rsidRPr="00B00F53">
        <w:rPr>
          <w:rFonts w:ascii="Garamond" w:hAnsi="Garamond"/>
          <w:rtl/>
        </w:rPr>
        <w:tab/>
      </w:r>
      <w:r w:rsidRPr="00B00F53">
        <w:rPr>
          <w:rFonts w:ascii="Garamond" w:hAnsi="Garamond" w:hint="cs"/>
          <w:rtl/>
        </w:rPr>
        <w:t xml:space="preserve">סטנדרט ביקורת </w:t>
      </w:r>
      <w:r>
        <w:rPr>
          <w:rFonts w:ascii="Garamond" w:hAnsi="Garamond" w:hint="cs"/>
          <w:rtl/>
        </w:rPr>
        <w:t>זה המוצע</w:t>
      </w:r>
      <w:r w:rsidRPr="00B00F53">
        <w:rPr>
          <w:rFonts w:ascii="Garamond" w:hAnsi="Garamond" w:hint="cs"/>
          <w:rtl/>
        </w:rPr>
        <w:t xml:space="preserve"> ביחס לחוקי היסוד</w:t>
      </w:r>
      <w:r>
        <w:rPr>
          <w:rFonts w:ascii="Garamond" w:hAnsi="Garamond" w:hint="cs"/>
          <w:rtl/>
        </w:rPr>
        <w:t>, אינו מקובל עלי</w:t>
      </w:r>
      <w:r w:rsidRPr="00B00F53">
        <w:rPr>
          <w:rFonts w:ascii="Garamond" w:hAnsi="Garamond" w:hint="cs"/>
          <w:rtl/>
        </w:rPr>
        <w:t xml:space="preserve">. </w:t>
      </w:r>
      <w:r>
        <w:rPr>
          <w:rFonts w:ascii="Garamond" w:hAnsi="Garamond" w:hint="cs"/>
          <w:rtl/>
        </w:rPr>
        <w:t xml:space="preserve">עצם </w:t>
      </w:r>
      <w:r w:rsidRPr="00B00F53">
        <w:rPr>
          <w:rFonts w:ascii="Garamond" w:hAnsi="Garamond" w:hint="cs"/>
          <w:rtl/>
        </w:rPr>
        <w:t xml:space="preserve">קיומה של ביקורת שיפוטית על תוכנם של חוקי </w:t>
      </w:r>
      <w:r w:rsidRPr="000B5786">
        <w:rPr>
          <w:rFonts w:ascii="Garamond" w:hAnsi="Garamond" w:hint="cs"/>
          <w:rtl/>
        </w:rPr>
        <w:t>היסוד אינ</w:t>
      </w:r>
      <w:r>
        <w:rPr>
          <w:rFonts w:ascii="Garamond" w:hAnsi="Garamond" w:hint="cs"/>
          <w:rtl/>
        </w:rPr>
        <w:t>ו</w:t>
      </w:r>
      <w:r w:rsidRPr="000B5786">
        <w:rPr>
          <w:rFonts w:ascii="Garamond" w:hAnsi="Garamond" w:hint="cs"/>
          <w:rtl/>
        </w:rPr>
        <w:t xml:space="preserve"> דבר של מה בכך. </w:t>
      </w:r>
      <w:r>
        <w:rPr>
          <w:rFonts w:ascii="Garamond" w:hAnsi="Garamond" w:hint="cs"/>
          <w:rtl/>
        </w:rPr>
        <w:t>ביקורת זו</w:t>
      </w:r>
      <w:r w:rsidRPr="000B5786">
        <w:rPr>
          <w:rFonts w:ascii="Garamond" w:hAnsi="Garamond" w:hint="cs"/>
          <w:rtl/>
        </w:rPr>
        <w:t xml:space="preserve"> נובעת מהמציאות החוקתית החריגה בישראל שעליה עמדתי (ראו פסקאות 83-72 לעיל),</w:t>
      </w:r>
      <w:r>
        <w:rPr>
          <w:rFonts w:ascii="Garamond" w:hAnsi="Garamond" w:hint="cs"/>
          <w:rtl/>
        </w:rPr>
        <w:t xml:space="preserve"> ולגישתי, מן הראוי כי תצמצם עצמה רק ל</w:t>
      </w:r>
      <w:r w:rsidRPr="00B00F53">
        <w:rPr>
          <w:rFonts w:ascii="Garamond" w:hAnsi="Garamond" w:hint="cs"/>
          <w:rtl/>
        </w:rPr>
        <w:t xml:space="preserve">אותם מצבי קצה שבהם חוק יסוד הוביל לפגיעה </w:t>
      </w:r>
      <w:r>
        <w:rPr>
          <w:rFonts w:ascii="Garamond" w:hAnsi="Garamond" w:hint="cs"/>
          <w:rtl/>
        </w:rPr>
        <w:t>שעוצמתה יוצאת דופן</w:t>
      </w:r>
      <w:r w:rsidRPr="00B00F53">
        <w:rPr>
          <w:rFonts w:ascii="Garamond" w:hAnsi="Garamond" w:hint="cs"/>
          <w:rtl/>
        </w:rPr>
        <w:t xml:space="preserve"> בסימני ההיכר היהודיים או הדמוקרטיים של </w:t>
      </w:r>
      <w:r>
        <w:rPr>
          <w:rFonts w:ascii="Garamond" w:hAnsi="Garamond" w:hint="cs"/>
          <w:rtl/>
        </w:rPr>
        <w:t>המדינה</w:t>
      </w:r>
      <w:r w:rsidRPr="00B00F53">
        <w:rPr>
          <w:rFonts w:ascii="Garamond" w:hAnsi="Garamond" w:hint="cs"/>
          <w:rtl/>
        </w:rPr>
        <w:t xml:space="preserve">. </w:t>
      </w:r>
      <w:r>
        <w:rPr>
          <w:rFonts w:ascii="Garamond" w:hAnsi="Garamond" w:hint="cs"/>
          <w:rtl/>
        </w:rPr>
        <w:t xml:space="preserve">איני סבורה כי יש מקום לאמץ בהקשר זה מבחנים הדומים במהותם לאלו המשמשים </w:t>
      </w:r>
      <w:r w:rsidRPr="00B00F53">
        <w:rPr>
          <w:rFonts w:ascii="Garamond" w:hAnsi="Garamond" w:hint="cs"/>
          <w:rtl/>
        </w:rPr>
        <w:t>לביקורת שיפוטית על חקי</w:t>
      </w:r>
      <w:r>
        <w:rPr>
          <w:rFonts w:ascii="Garamond" w:hAnsi="Garamond" w:hint="cs"/>
          <w:rtl/>
        </w:rPr>
        <w:t xml:space="preserve">קה ראשית ועל מעשי המנהל </w:t>
      </w:r>
      <w:r w:rsidRPr="00B00F53">
        <w:rPr>
          <w:rFonts w:ascii="Garamond" w:hAnsi="Garamond" w:hint="cs"/>
          <w:rtl/>
        </w:rPr>
        <w:t xml:space="preserve">(ראו והשוו: </w:t>
      </w:r>
      <w:r w:rsidRPr="00B00F53">
        <w:rPr>
          <w:rFonts w:ascii="Garamond" w:hAnsi="Garamond" w:hint="eastAsia"/>
          <w:rtl/>
        </w:rPr>
        <w:t>עניין</w:t>
      </w:r>
      <w:r w:rsidRPr="00B00F53">
        <w:rPr>
          <w:rFonts w:ascii="Garamond" w:hAnsi="Garamond"/>
          <w:rtl/>
        </w:rPr>
        <w:t xml:space="preserve"> </w:t>
      </w:r>
      <w:r w:rsidRPr="00B00F53">
        <w:rPr>
          <w:rFonts w:ascii="Garamond" w:hAnsi="Garamond" w:cs="Miriam" w:hint="eastAsia"/>
          <w:b/>
          <w:spacing w:val="0"/>
          <w:szCs w:val="24"/>
          <w:rtl/>
        </w:rPr>
        <w:t>חוק</w:t>
      </w:r>
      <w:r w:rsidRPr="00B00F53">
        <w:rPr>
          <w:rFonts w:ascii="Garamond" w:hAnsi="Garamond" w:cs="Miriam"/>
          <w:b/>
          <w:spacing w:val="0"/>
          <w:szCs w:val="24"/>
          <w:rtl/>
        </w:rPr>
        <w:t xml:space="preserve"> </w:t>
      </w:r>
      <w:r w:rsidRPr="00B00F53">
        <w:rPr>
          <w:rFonts w:ascii="Garamond" w:hAnsi="Garamond" w:cs="Miriam" w:hint="eastAsia"/>
          <w:b/>
          <w:spacing w:val="0"/>
          <w:szCs w:val="24"/>
          <w:rtl/>
        </w:rPr>
        <w:t>טל</w:t>
      </w:r>
      <w:r w:rsidRPr="00B00F53">
        <w:rPr>
          <w:rFonts w:ascii="Garamond" w:hAnsi="Garamond"/>
          <w:rtl/>
        </w:rPr>
        <w:t xml:space="preserve">, </w:t>
      </w:r>
      <w:r w:rsidRPr="00B00F53">
        <w:rPr>
          <w:rFonts w:ascii="Garamond" w:hAnsi="Garamond" w:hint="eastAsia"/>
          <w:rtl/>
        </w:rPr>
        <w:t>בעמ</w:t>
      </w:r>
      <w:r w:rsidRPr="00B00F53">
        <w:rPr>
          <w:rFonts w:ascii="Garamond" w:hAnsi="Garamond"/>
          <w:rtl/>
        </w:rPr>
        <w:t xml:space="preserve">' 717; </w:t>
      </w:r>
      <w:r w:rsidRPr="00B00F53">
        <w:rPr>
          <w:rFonts w:ascii="Garamond" w:hAnsi="Garamond" w:hint="eastAsia"/>
          <w:rtl/>
        </w:rPr>
        <w:t>עניין</w:t>
      </w:r>
      <w:r w:rsidRPr="00B00F53">
        <w:rPr>
          <w:rFonts w:ascii="Garamond" w:hAnsi="Garamond"/>
          <w:rtl/>
        </w:rPr>
        <w:t xml:space="preserve"> </w:t>
      </w:r>
      <w:r w:rsidRPr="00B00F53">
        <w:rPr>
          <w:rFonts w:ascii="Garamond" w:hAnsi="Garamond" w:cs="Miriam" w:hint="cs"/>
          <w:b/>
          <w:spacing w:val="0"/>
          <w:szCs w:val="24"/>
          <w:rtl/>
        </w:rPr>
        <w:t>בן מאיר</w:t>
      </w:r>
      <w:r w:rsidRPr="00B00F53">
        <w:rPr>
          <w:rFonts w:ascii="Garamond" w:hAnsi="Garamond"/>
          <w:rtl/>
        </w:rPr>
        <w:t xml:space="preserve">, </w:t>
      </w:r>
      <w:r w:rsidRPr="00B00F53">
        <w:rPr>
          <w:rFonts w:ascii="Garamond" w:hAnsi="Garamond" w:hint="eastAsia"/>
          <w:rtl/>
        </w:rPr>
        <w:t>בפסקה</w:t>
      </w:r>
      <w:r w:rsidRPr="00B00F53">
        <w:rPr>
          <w:rFonts w:ascii="Garamond" w:hAnsi="Garamond"/>
          <w:rtl/>
        </w:rPr>
        <w:t xml:space="preserve"> 36 </w:t>
      </w:r>
      <w:r w:rsidRPr="00B00F53">
        <w:rPr>
          <w:rFonts w:ascii="Garamond" w:hAnsi="Garamond" w:hint="eastAsia"/>
          <w:rtl/>
        </w:rPr>
        <w:t>לחוות</w:t>
      </w:r>
      <w:r w:rsidRPr="00B00F53">
        <w:rPr>
          <w:rFonts w:ascii="Garamond" w:hAnsi="Garamond"/>
          <w:rtl/>
        </w:rPr>
        <w:t xml:space="preserve"> </w:t>
      </w:r>
      <w:r w:rsidRPr="00B00F53">
        <w:rPr>
          <w:rFonts w:ascii="Garamond" w:hAnsi="Garamond" w:hint="eastAsia"/>
          <w:rtl/>
        </w:rPr>
        <w:t>דעתי</w:t>
      </w:r>
      <w:r w:rsidRPr="00B00F53">
        <w:rPr>
          <w:rFonts w:ascii="Garamond" w:hAnsi="Garamond" w:hint="cs"/>
          <w:rtl/>
        </w:rPr>
        <w:t xml:space="preserve">). </w:t>
      </w:r>
    </w:p>
    <w:p w:rsidR="00C044AE" w:rsidRPr="00B00F53" w:rsidRDefault="00C044AE" w:rsidP="00C044AE">
      <w:pPr>
        <w:pStyle w:val="Ruller41"/>
        <w:rPr>
          <w:rFonts w:ascii="Garamond" w:hAnsi="Garamond"/>
          <w:rtl/>
        </w:rPr>
      </w:pPr>
    </w:p>
    <w:p w:rsidR="00C044AE" w:rsidRPr="00B00F53" w:rsidRDefault="00C044AE" w:rsidP="00C044AE">
      <w:pPr>
        <w:pStyle w:val="Ruller4"/>
      </w:pPr>
      <w:r w:rsidRPr="00B00F53">
        <w:rPr>
          <w:rFonts w:hint="cs"/>
          <w:rtl/>
        </w:rPr>
        <w:t xml:space="preserve">מנגד, איני סבורה כי יש להגביה את רף </w:t>
      </w:r>
      <w:r>
        <w:rPr>
          <w:rFonts w:hint="cs"/>
          <w:rtl/>
        </w:rPr>
        <w:t xml:space="preserve">ההתערבות, </w:t>
      </w:r>
      <w:r w:rsidRPr="00B00F53">
        <w:rPr>
          <w:rFonts w:hint="cs"/>
          <w:rtl/>
        </w:rPr>
        <w:t>הגבוה ממילא</w:t>
      </w:r>
      <w:r>
        <w:rPr>
          <w:rFonts w:hint="cs"/>
          <w:rtl/>
        </w:rPr>
        <w:t>,</w:t>
      </w:r>
      <w:r w:rsidRPr="00B00F53">
        <w:rPr>
          <w:rFonts w:hint="cs"/>
          <w:rtl/>
        </w:rPr>
        <w:t xml:space="preserve"> עד </w:t>
      </w:r>
      <w:r>
        <w:rPr>
          <w:rFonts w:hint="cs"/>
          <w:rtl/>
        </w:rPr>
        <w:t>כי</w:t>
      </w:r>
      <w:r w:rsidRPr="00B00F53">
        <w:rPr>
          <w:rFonts w:hint="cs"/>
          <w:rtl/>
        </w:rPr>
        <w:t xml:space="preserve"> </w:t>
      </w:r>
      <w:r>
        <w:rPr>
          <w:rFonts w:hint="cs"/>
          <w:rtl/>
        </w:rPr>
        <w:t>נרוקן</w:t>
      </w:r>
      <w:r w:rsidRPr="00B00F53">
        <w:rPr>
          <w:rFonts w:hint="cs"/>
          <w:rtl/>
        </w:rPr>
        <w:t xml:space="preserve"> מתוכן </w:t>
      </w:r>
      <w:r>
        <w:rPr>
          <w:rFonts w:hint="cs"/>
          <w:rtl/>
        </w:rPr>
        <w:t>את</w:t>
      </w:r>
      <w:r w:rsidRPr="00B00F53">
        <w:rPr>
          <w:rFonts w:hint="cs"/>
          <w:rtl/>
        </w:rPr>
        <w:t xml:space="preserve"> </w:t>
      </w:r>
      <w:r>
        <w:rPr>
          <w:rFonts w:hint="cs"/>
          <w:rtl/>
        </w:rPr>
        <w:t>ה</w:t>
      </w:r>
      <w:r w:rsidRPr="00B00F53">
        <w:rPr>
          <w:rFonts w:hint="cs"/>
          <w:rtl/>
        </w:rPr>
        <w:t xml:space="preserve">אפשרות </w:t>
      </w:r>
      <w:r>
        <w:rPr>
          <w:rFonts w:hint="cs"/>
          <w:rtl/>
        </w:rPr>
        <w:t>ל</w:t>
      </w:r>
      <w:r w:rsidRPr="00B00F53">
        <w:rPr>
          <w:rFonts w:hint="cs"/>
          <w:rtl/>
        </w:rPr>
        <w:t>התערב במצבים שבהם הכנסת חרגה מסמכותה. בפרט</w:t>
      </w:r>
      <w:r>
        <w:rPr>
          <w:rFonts w:hint="cs"/>
          <w:rtl/>
        </w:rPr>
        <w:t>,</w:t>
      </w:r>
      <w:r w:rsidRPr="00B00F53">
        <w:rPr>
          <w:rFonts w:hint="cs"/>
          <w:rtl/>
        </w:rPr>
        <w:t xml:space="preserve"> </w:t>
      </w:r>
      <w:r>
        <w:rPr>
          <w:rFonts w:hint="cs"/>
          <w:rtl/>
        </w:rPr>
        <w:t>ו</w:t>
      </w:r>
      <w:r w:rsidRPr="00B00F53">
        <w:rPr>
          <w:rFonts w:hint="cs"/>
          <w:rtl/>
        </w:rPr>
        <w:t>בשונה מטענת בא</w:t>
      </w:r>
      <w:r>
        <w:rPr>
          <w:rFonts w:hint="cs"/>
          <w:rtl/>
        </w:rPr>
        <w:t>-</w:t>
      </w:r>
      <w:r w:rsidRPr="00B00F53">
        <w:rPr>
          <w:rFonts w:hint="cs"/>
          <w:rtl/>
        </w:rPr>
        <w:t xml:space="preserve">כוח הכנסת במהלך הדיון ביום 12.9.2023, </w:t>
      </w:r>
      <w:r>
        <w:rPr>
          <w:rFonts w:hint="cs"/>
          <w:rtl/>
        </w:rPr>
        <w:t xml:space="preserve">יש להדגיש כי </w:t>
      </w:r>
      <w:r w:rsidRPr="00B00F53">
        <w:rPr>
          <w:rFonts w:hint="cs"/>
          <w:rtl/>
        </w:rPr>
        <w:t xml:space="preserve">השאלה איננה האם חוק היסוד הופך את מדינת ישראל "למדינה שהיא לא דמוקרטית, כלומר דיקטטורה" (עמ' 27 לפרוטוקול הדיון). </w:t>
      </w:r>
      <w:r>
        <w:rPr>
          <w:rFonts w:hint="cs"/>
          <w:rtl/>
        </w:rPr>
        <w:t xml:space="preserve">השאלה שיש לשאול היא האם חוק היסוד או התיקון לחוק היסוד פוגעים </w:t>
      </w:r>
      <w:r w:rsidRPr="00B00F53">
        <w:rPr>
          <w:rFonts w:hint="cs"/>
          <w:rtl/>
        </w:rPr>
        <w:t xml:space="preserve">פגיעה </w:t>
      </w:r>
      <w:r>
        <w:rPr>
          <w:rFonts w:hint="cs"/>
          <w:rtl/>
        </w:rPr>
        <w:t>כה קשה</w:t>
      </w:r>
      <w:r w:rsidRPr="00B00F53">
        <w:rPr>
          <w:rFonts w:hint="cs"/>
          <w:rtl/>
        </w:rPr>
        <w:t xml:space="preserve"> במאפיינים גרעיניים </w:t>
      </w:r>
      <w:r>
        <w:rPr>
          <w:rFonts w:hint="cs"/>
          <w:rtl/>
        </w:rPr>
        <w:t>של המדינה, עד כדי זעזוע</w:t>
      </w:r>
      <w:r w:rsidRPr="00B00F53">
        <w:rPr>
          <w:rFonts w:hint="cs"/>
          <w:rtl/>
        </w:rPr>
        <w:t xml:space="preserve"> אבני הבניין של חוקתנו המתגבשת</w:t>
      </w:r>
      <w:r>
        <w:rPr>
          <w:rFonts w:hint="cs"/>
          <w:rtl/>
        </w:rPr>
        <w:t>.</w:t>
      </w:r>
      <w:r w:rsidRPr="00B00F53">
        <w:rPr>
          <w:rFonts w:hint="cs"/>
          <w:rtl/>
        </w:rPr>
        <w:t xml:space="preserve"> </w:t>
      </w:r>
      <w:r>
        <w:rPr>
          <w:rFonts w:hint="cs"/>
          <w:rtl/>
        </w:rPr>
        <w:t>ככל שזה המצב ה</w:t>
      </w:r>
      <w:r w:rsidRPr="00B00F53">
        <w:rPr>
          <w:rFonts w:hint="cs"/>
          <w:rtl/>
        </w:rPr>
        <w:t>מסקנה</w:t>
      </w:r>
      <w:r>
        <w:rPr>
          <w:rFonts w:hint="cs"/>
          <w:rtl/>
        </w:rPr>
        <w:t xml:space="preserve"> היא כי עניין לנו בחוק </w:t>
      </w:r>
      <w:r w:rsidRPr="00B00F53">
        <w:rPr>
          <w:rFonts w:hint="cs"/>
          <w:rtl/>
        </w:rPr>
        <w:t xml:space="preserve">יסוד </w:t>
      </w:r>
      <w:r>
        <w:rPr>
          <w:rFonts w:hint="cs"/>
          <w:rtl/>
        </w:rPr>
        <w:t>החורג</w:t>
      </w:r>
      <w:r w:rsidRPr="00B00F53">
        <w:rPr>
          <w:rFonts w:hint="cs"/>
          <w:rtl/>
        </w:rPr>
        <w:t xml:space="preserve"> </w:t>
      </w:r>
      <w:r>
        <w:rPr>
          <w:rFonts w:hint="cs"/>
          <w:rtl/>
        </w:rPr>
        <w:t>מ</w:t>
      </w:r>
      <w:r w:rsidRPr="00B00F53">
        <w:rPr>
          <w:rFonts w:hint="cs"/>
          <w:rtl/>
        </w:rPr>
        <w:t>גדר</w:t>
      </w:r>
      <w:r>
        <w:rPr>
          <w:rFonts w:hint="cs"/>
          <w:rtl/>
        </w:rPr>
        <w:t>י</w:t>
      </w:r>
      <w:r w:rsidRPr="00B00F53">
        <w:rPr>
          <w:rFonts w:hint="cs"/>
          <w:rtl/>
        </w:rPr>
        <w:t xml:space="preserve"> סמכותה המכוננת של הכנסת. </w:t>
      </w:r>
    </w:p>
    <w:p w:rsidR="00C044AE" w:rsidRPr="00B00F53" w:rsidRDefault="00C044AE" w:rsidP="00C044AE">
      <w:pPr>
        <w:pStyle w:val="Ruller4"/>
        <w:numPr>
          <w:ilvl w:val="0"/>
          <w:numId w:val="0"/>
        </w:numPr>
        <w:rPr>
          <w:rtl/>
        </w:rPr>
      </w:pPr>
    </w:p>
    <w:p w:rsidR="00C044AE" w:rsidRPr="00B00F53" w:rsidRDefault="00C044AE" w:rsidP="00C044AE">
      <w:pPr>
        <w:pStyle w:val="Ruller4"/>
        <w:rPr>
          <w:rtl/>
        </w:rPr>
      </w:pPr>
      <w:r w:rsidRPr="00B00F53">
        <w:rPr>
          <w:rFonts w:hint="cs"/>
          <w:rtl/>
        </w:rPr>
        <w:t>טענה אחרת שהעלתה הכנסת בתצהיר התשובה מטעמה היא שביקורת שיפוטית על תוכנה של חקיקת היסוד צריכה ל</w:t>
      </w:r>
      <w:r>
        <w:rPr>
          <w:rFonts w:hint="cs"/>
          <w:rtl/>
        </w:rPr>
        <w:t>היות תואמת את ה</w:t>
      </w:r>
      <w:r w:rsidRPr="00B00F53">
        <w:rPr>
          <w:rFonts w:hint="cs"/>
          <w:rtl/>
        </w:rPr>
        <w:t xml:space="preserve">רף שנקבע ביחס לפסילת מועמדים </w:t>
      </w:r>
      <w:r w:rsidRPr="00B00F53">
        <w:rPr>
          <w:rFonts w:hint="cs"/>
          <w:rtl/>
        </w:rPr>
        <w:lastRenderedPageBreak/>
        <w:t>ורשימות מהתמודדות בבחירות</w:t>
      </w:r>
      <w:r>
        <w:rPr>
          <w:rFonts w:hint="cs"/>
          <w:rtl/>
        </w:rPr>
        <w:t>,</w:t>
      </w:r>
      <w:r w:rsidRPr="00B00F53">
        <w:rPr>
          <w:rFonts w:hint="cs"/>
          <w:rtl/>
        </w:rPr>
        <w:t xml:space="preserve"> לפי סעיף 7א לחוק-יסוד: הכנסת</w:t>
      </w:r>
      <w:r>
        <w:rPr>
          <w:rFonts w:hint="cs"/>
          <w:rtl/>
        </w:rPr>
        <w:t xml:space="preserve"> (השוו: </w:t>
      </w:r>
      <w:r w:rsidRPr="00B00F53">
        <w:rPr>
          <w:rFonts w:cs="Miriam" w:hint="cs"/>
          <w:b/>
          <w:spacing w:val="0"/>
          <w:sz w:val="22"/>
          <w:szCs w:val="24"/>
          <w:rtl/>
        </w:rPr>
        <w:t>ווייל "חוקת הכלאיים"</w:t>
      </w:r>
      <w:r w:rsidRPr="00B00F53">
        <w:rPr>
          <w:rFonts w:hint="cs"/>
          <w:rtl/>
        </w:rPr>
        <w:t>, בעמ' 567-566). כלומר, לשיטת הכנסת, יש מקום להתערב בחוק היסוד רק אם מדובר בשינוי חוקתי שתמיכה בו הייתה מובילה לפסילת</w:t>
      </w:r>
      <w:r>
        <w:rPr>
          <w:rFonts w:hint="cs"/>
          <w:rtl/>
        </w:rPr>
        <w:t xml:space="preserve"> המועמד או הרשימה</w:t>
      </w:r>
      <w:r w:rsidRPr="00B00F53">
        <w:rPr>
          <w:rFonts w:hint="cs"/>
          <w:rtl/>
        </w:rPr>
        <w:t xml:space="preserve"> </w:t>
      </w:r>
      <w:r>
        <w:rPr>
          <w:rFonts w:hint="cs"/>
          <w:rtl/>
        </w:rPr>
        <w:t>מ</w:t>
      </w:r>
      <w:r w:rsidRPr="00B00F53">
        <w:rPr>
          <w:rFonts w:hint="cs"/>
          <w:rtl/>
        </w:rPr>
        <w:t>התמודדות בבחירות. לגישתי</w:t>
      </w:r>
      <w:r>
        <w:rPr>
          <w:rFonts w:hint="cs"/>
          <w:rtl/>
        </w:rPr>
        <w:t xml:space="preserve"> עמדה זו מערבת</w:t>
      </w:r>
      <w:r w:rsidRPr="00B00F53">
        <w:rPr>
          <w:rFonts w:hint="cs"/>
          <w:rtl/>
        </w:rPr>
        <w:t xml:space="preserve"> מין </w:t>
      </w:r>
      <w:r>
        <w:rPr>
          <w:rFonts w:hint="cs"/>
          <w:rtl/>
        </w:rPr>
        <w:t xml:space="preserve">בשאינו מינו. </w:t>
      </w:r>
      <w:r w:rsidRPr="00B00F53">
        <w:rPr>
          <w:rFonts w:hint="cs"/>
          <w:rtl/>
        </w:rPr>
        <w:t xml:space="preserve">המבחנים שגובשו </w:t>
      </w:r>
      <w:r>
        <w:rPr>
          <w:rFonts w:hint="cs"/>
          <w:rtl/>
        </w:rPr>
        <w:t>ל</w:t>
      </w:r>
      <w:r w:rsidRPr="00B00F53">
        <w:rPr>
          <w:rFonts w:hint="cs"/>
          <w:rtl/>
        </w:rPr>
        <w:t>עניין עילות הפסילה בסעיף 7א לחוק-יסוד: הכנסת</w:t>
      </w:r>
      <w:r>
        <w:rPr>
          <w:rFonts w:hint="cs"/>
          <w:rtl/>
        </w:rPr>
        <w:t>,</w:t>
      </w:r>
      <w:r w:rsidRPr="00B00F53">
        <w:rPr>
          <w:rFonts w:hint="cs"/>
          <w:rtl/>
        </w:rPr>
        <w:t xml:space="preserve"> מבוססים כל כולם על ההקשר הספציפי של סעיף זה ובפרט על כך ש</w:t>
      </w:r>
      <w:r>
        <w:rPr>
          <w:rFonts w:hint="cs"/>
          <w:rtl/>
        </w:rPr>
        <w:t xml:space="preserve">פסילת מועמד או רשימה, פוגעת </w:t>
      </w:r>
      <w:r w:rsidRPr="00B00F53">
        <w:rPr>
          <w:rFonts w:hint="cs"/>
          <w:rtl/>
        </w:rPr>
        <w:t xml:space="preserve">פגיעה חמורה בזכות לבחור ולהיבחר שהיא "נשמת אפו של כל משטר דמוקרטי" (עניין </w:t>
      </w:r>
      <w:r w:rsidRPr="00B00F53">
        <w:rPr>
          <w:rFonts w:cs="Miriam" w:hint="cs"/>
          <w:b/>
          <w:spacing w:val="0"/>
          <w:sz w:val="22"/>
          <w:szCs w:val="24"/>
          <w:rtl/>
        </w:rPr>
        <w:t>כסיף</w:t>
      </w:r>
      <w:r w:rsidRPr="00B00F53">
        <w:rPr>
          <w:rFonts w:hint="cs"/>
          <w:rtl/>
        </w:rPr>
        <w:t xml:space="preserve">, בפסקאות 3 ו-12 לחוות דעתי). הדוקטרינה של חריגה מהסמכות המכוננת </w:t>
      </w:r>
      <w:r>
        <w:rPr>
          <w:rFonts w:hint="cs"/>
          <w:rtl/>
        </w:rPr>
        <w:t>נוגעת</w:t>
      </w:r>
      <w:r w:rsidRPr="00B00F53">
        <w:rPr>
          <w:rFonts w:hint="cs"/>
          <w:rtl/>
        </w:rPr>
        <w:t xml:space="preserve"> למצב דברים שונה לחלוטין </w:t>
      </w:r>
      <w:r w:rsidRPr="00B00F53">
        <w:rPr>
          <w:rtl/>
        </w:rPr>
        <w:t>–</w:t>
      </w:r>
      <w:r w:rsidRPr="00B00F53">
        <w:rPr>
          <w:rFonts w:hint="cs"/>
          <w:rtl/>
        </w:rPr>
        <w:t xml:space="preserve"> היא בוחנת תוצר חוקתי מוגמר שעוגן בפסגת המדרג הנורמטיבי </w:t>
      </w:r>
      <w:r>
        <w:rPr>
          <w:rFonts w:hint="cs"/>
          <w:rtl/>
        </w:rPr>
        <w:t xml:space="preserve">ומקרין </w:t>
      </w:r>
      <w:r w:rsidRPr="00B00F53">
        <w:rPr>
          <w:rFonts w:hint="cs"/>
          <w:rtl/>
        </w:rPr>
        <w:t xml:space="preserve">על השיטה כולה. קביעה כי הוראה </w:t>
      </w:r>
      <w:r>
        <w:rPr>
          <w:rFonts w:hint="cs"/>
          <w:rtl/>
        </w:rPr>
        <w:t xml:space="preserve">כזו בחוק יסוד </w:t>
      </w:r>
      <w:r w:rsidRPr="00B00F53">
        <w:rPr>
          <w:rFonts w:hint="cs"/>
          <w:rtl/>
        </w:rPr>
        <w:t>אינה תקפה</w:t>
      </w:r>
      <w:r>
        <w:rPr>
          <w:rFonts w:hint="cs"/>
          <w:rtl/>
        </w:rPr>
        <w:t>,</w:t>
      </w:r>
      <w:r w:rsidRPr="00B00F53">
        <w:rPr>
          <w:rFonts w:hint="cs"/>
          <w:rtl/>
        </w:rPr>
        <w:t xml:space="preserve"> בנסיבות שבהן הכנסת חרגה מסמכותה</w:t>
      </w:r>
      <w:r>
        <w:rPr>
          <w:rFonts w:hint="cs"/>
          <w:rtl/>
        </w:rPr>
        <w:t>,</w:t>
      </w:r>
      <w:r w:rsidRPr="00B00F53">
        <w:rPr>
          <w:rFonts w:hint="cs"/>
          <w:rtl/>
        </w:rPr>
        <w:t xml:space="preserve"> נועדה </w:t>
      </w:r>
      <w:r>
        <w:rPr>
          <w:rFonts w:hint="cs"/>
          <w:rtl/>
        </w:rPr>
        <w:t xml:space="preserve">לרפא </w:t>
      </w:r>
      <w:r w:rsidRPr="00B00F53">
        <w:rPr>
          <w:rFonts w:hint="cs"/>
          <w:rtl/>
        </w:rPr>
        <w:t xml:space="preserve">פגיעה קשה בסדר החוקתי, </w:t>
      </w:r>
      <w:r>
        <w:rPr>
          <w:rFonts w:hint="cs"/>
          <w:rtl/>
        </w:rPr>
        <w:t>ו</w:t>
      </w:r>
      <w:r w:rsidRPr="00B00F53">
        <w:rPr>
          <w:rFonts w:hint="cs"/>
          <w:rtl/>
        </w:rPr>
        <w:t>היא אינה כרוכה בהרחקה</w:t>
      </w:r>
      <w:r>
        <w:rPr>
          <w:rFonts w:hint="cs"/>
          <w:rtl/>
        </w:rPr>
        <w:t xml:space="preserve"> מראש </w:t>
      </w:r>
      <w:r w:rsidRPr="00B00F53">
        <w:rPr>
          <w:rFonts w:hint="cs"/>
          <w:rtl/>
        </w:rPr>
        <w:t>(סעיף 7א לחוק-יסוד: הכנסת)</w:t>
      </w:r>
      <w:r>
        <w:rPr>
          <w:rFonts w:hint="cs"/>
          <w:rtl/>
        </w:rPr>
        <w:t xml:space="preserve"> או בדיעבד </w:t>
      </w:r>
      <w:r w:rsidRPr="00B00F53">
        <w:rPr>
          <w:rFonts w:hint="cs"/>
          <w:rtl/>
        </w:rPr>
        <w:t>(סעיף 42</w:t>
      </w:r>
      <w:r>
        <w:rPr>
          <w:rFonts w:hint="cs"/>
          <w:rtl/>
        </w:rPr>
        <w:t>א(ג)</w:t>
      </w:r>
      <w:r w:rsidRPr="00B00F53">
        <w:rPr>
          <w:rFonts w:hint="cs"/>
          <w:rtl/>
        </w:rPr>
        <w:t xml:space="preserve"> לחוק-יסוד: הכנסת)</w:t>
      </w:r>
      <w:r>
        <w:rPr>
          <w:rFonts w:hint="cs"/>
          <w:rtl/>
        </w:rPr>
        <w:t xml:space="preserve"> של אדם או רשימה מהכנסת</w:t>
      </w:r>
      <w:r w:rsidRPr="00B00F53">
        <w:rPr>
          <w:rFonts w:hint="cs"/>
          <w:rtl/>
        </w:rPr>
        <w:t xml:space="preserve">. משכך, אף שבדומה לפסילת </w:t>
      </w:r>
      <w:r>
        <w:rPr>
          <w:rFonts w:hint="cs"/>
          <w:rtl/>
        </w:rPr>
        <w:t>מועמדים ורשימות</w:t>
      </w:r>
      <w:r w:rsidRPr="00B00F53">
        <w:rPr>
          <w:rFonts w:hint="cs"/>
          <w:rtl/>
        </w:rPr>
        <w:t xml:space="preserve">, יש </w:t>
      </w:r>
      <w:r>
        <w:rPr>
          <w:rFonts w:hint="cs"/>
          <w:rtl/>
        </w:rPr>
        <w:t>לייחד התערבות</w:t>
      </w:r>
      <w:r w:rsidRPr="00B00F53">
        <w:rPr>
          <w:rFonts w:hint="cs"/>
          <w:rtl/>
        </w:rPr>
        <w:t xml:space="preserve"> בחקיקת יסוד </w:t>
      </w:r>
      <w:r>
        <w:rPr>
          <w:rFonts w:hint="cs"/>
          <w:rtl/>
        </w:rPr>
        <w:t>ל</w:t>
      </w:r>
      <w:r w:rsidRPr="00B00F53">
        <w:rPr>
          <w:rFonts w:hint="cs"/>
          <w:rtl/>
        </w:rPr>
        <w:t>מקרים חריגים ונדירים</w:t>
      </w:r>
      <w:r>
        <w:rPr>
          <w:rFonts w:hint="cs"/>
          <w:rtl/>
        </w:rPr>
        <w:t xml:space="preserve"> בלבד </w:t>
      </w:r>
      <w:r>
        <w:rPr>
          <w:rtl/>
        </w:rPr>
        <w:t>–</w:t>
      </w:r>
      <w:r w:rsidRPr="00B00F53">
        <w:rPr>
          <w:rFonts w:hint="cs"/>
          <w:rtl/>
        </w:rPr>
        <w:t xml:space="preserve"> </w:t>
      </w:r>
      <w:r>
        <w:rPr>
          <w:rFonts w:hint="cs"/>
          <w:rtl/>
        </w:rPr>
        <w:t>עלינו</w:t>
      </w:r>
      <w:r w:rsidRPr="00B00F53">
        <w:rPr>
          <w:rFonts w:hint="cs"/>
          <w:rtl/>
        </w:rPr>
        <w:t xml:space="preserve"> לבחון כל אחת מ</w:t>
      </w:r>
      <w:r>
        <w:rPr>
          <w:rFonts w:hint="cs"/>
          <w:rtl/>
        </w:rPr>
        <w:t xml:space="preserve">ן </w:t>
      </w:r>
      <w:r w:rsidRPr="00B00F53">
        <w:rPr>
          <w:rFonts w:hint="cs"/>
          <w:rtl/>
        </w:rPr>
        <w:t>הסוגיות</w:t>
      </w:r>
      <w:r>
        <w:rPr>
          <w:rFonts w:hint="cs"/>
          <w:rtl/>
        </w:rPr>
        <w:t xml:space="preserve"> הללו בהתאמה</w:t>
      </w:r>
      <w:r w:rsidRPr="00B00F53">
        <w:rPr>
          <w:rFonts w:hint="cs"/>
          <w:rtl/>
        </w:rPr>
        <w:t xml:space="preserve"> לסטנדרטים </w:t>
      </w:r>
      <w:r>
        <w:rPr>
          <w:rFonts w:hint="cs"/>
          <w:rtl/>
        </w:rPr>
        <w:t>הרלוונטיים</w:t>
      </w:r>
      <w:r w:rsidRPr="00B00F53">
        <w:rPr>
          <w:rFonts w:hint="cs"/>
          <w:rtl/>
        </w:rPr>
        <w:t xml:space="preserve"> </w:t>
      </w:r>
      <w:r>
        <w:rPr>
          <w:rFonts w:hint="cs"/>
          <w:rtl/>
        </w:rPr>
        <w:t>לעניינה</w:t>
      </w:r>
      <w:r w:rsidRPr="00B00F53">
        <w:rPr>
          <w:rFonts w:hint="cs"/>
          <w:rtl/>
        </w:rPr>
        <w:t xml:space="preserve">. </w:t>
      </w:r>
    </w:p>
    <w:p w:rsidR="00C044AE" w:rsidRPr="00B00F53" w:rsidRDefault="00C044AE" w:rsidP="00C044AE">
      <w:pPr>
        <w:pStyle w:val="Ruller41"/>
        <w:rPr>
          <w:rFonts w:ascii="Garamond" w:hAnsi="Garamond"/>
          <w:rtl/>
        </w:rPr>
      </w:pPr>
    </w:p>
    <w:p w:rsidR="00C044AE" w:rsidRPr="00B00F53" w:rsidRDefault="00C044AE" w:rsidP="00C044AE">
      <w:pPr>
        <w:pStyle w:val="Ruller4"/>
      </w:pPr>
      <w:r w:rsidRPr="00B00F53">
        <w:rPr>
          <w:rFonts w:hint="cs"/>
          <w:rtl/>
        </w:rPr>
        <w:t xml:space="preserve">פגיעה במאפיינים הגרעיניים עשויה להיות "להלכה או למעשה" (ראו: עניין </w:t>
      </w:r>
      <w:r w:rsidRPr="00B00F53">
        <w:rPr>
          <w:rFonts w:cs="Miriam" w:hint="cs"/>
          <w:b/>
          <w:spacing w:val="0"/>
          <w:sz w:val="22"/>
          <w:szCs w:val="24"/>
          <w:rtl/>
        </w:rPr>
        <w:t>חסון</w:t>
      </w:r>
      <w:r w:rsidRPr="00B00F53">
        <w:rPr>
          <w:rFonts w:hint="cs"/>
          <w:rtl/>
        </w:rPr>
        <w:t xml:space="preserve">, בפסקה 30 לחוות דעתי). כלומר, קיימים שני מצבים אפשריים לחריגה מהסמכות המכוננת. מצב אחד הוא התנתקות </w:t>
      </w:r>
      <w:r w:rsidRPr="00B00F53">
        <w:rPr>
          <w:rFonts w:cs="Miriam" w:hint="cs"/>
          <w:b/>
          <w:spacing w:val="0"/>
          <w:sz w:val="22"/>
          <w:szCs w:val="24"/>
          <w:rtl/>
        </w:rPr>
        <w:t>הצהרתית</w:t>
      </w:r>
      <w:r w:rsidRPr="00B00F53">
        <w:rPr>
          <w:rFonts w:hint="cs"/>
          <w:rtl/>
        </w:rPr>
        <w:t xml:space="preserve"> מאופייה של המדינה או ממאפיין גרעיני ספציפי. למשל, שלילת הגדרתה של ישראל כמדינה יהודית או שלילת מעמדה של השפה העברית. במקרים מסוג זה, אף מבלי לבחון את השפעת השינוי החוקתי בפועל, ברור כי מדובר בשינוי שסותר באופן חזיתי את הנראטיב המכונן של החוקה "נוסח ישראל"</w:t>
      </w:r>
      <w:r>
        <w:rPr>
          <w:rFonts w:hint="cs"/>
          <w:rtl/>
        </w:rPr>
        <w:t>,</w:t>
      </w:r>
      <w:r w:rsidRPr="00B00F53">
        <w:rPr>
          <w:rFonts w:hint="cs"/>
          <w:rtl/>
        </w:rPr>
        <w:t xml:space="preserve"> ולא ניתן להותירו על כנו מבלי שהדבר יוביל לשינוי המפעל החוקתי</w:t>
      </w:r>
      <w:r>
        <w:rPr>
          <w:rFonts w:hint="cs"/>
          <w:rtl/>
        </w:rPr>
        <w:t xml:space="preserve"> מן היסוד</w:t>
      </w:r>
      <w:r w:rsidRPr="00B00F53">
        <w:rPr>
          <w:rFonts w:hint="cs"/>
          <w:rtl/>
        </w:rPr>
        <w:t xml:space="preserve">. </w:t>
      </w:r>
    </w:p>
    <w:p w:rsidR="00C044AE" w:rsidRPr="00B00F53" w:rsidRDefault="00C044AE" w:rsidP="00C044AE">
      <w:pPr>
        <w:pStyle w:val="Ruller4"/>
        <w:numPr>
          <w:ilvl w:val="0"/>
          <w:numId w:val="0"/>
        </w:numPr>
        <w:rPr>
          <w:rtl/>
        </w:rPr>
      </w:pPr>
    </w:p>
    <w:p w:rsidR="00C044AE" w:rsidRPr="00B00F53" w:rsidRDefault="00C044AE" w:rsidP="00C044AE">
      <w:pPr>
        <w:pStyle w:val="Ruller4"/>
      </w:pPr>
      <w:r w:rsidRPr="00B00F53">
        <w:rPr>
          <w:rFonts w:hint="cs"/>
          <w:rtl/>
        </w:rPr>
        <w:t xml:space="preserve"> </w:t>
      </w:r>
      <w:r>
        <w:rPr>
          <w:rFonts w:hint="cs"/>
          <w:rtl/>
        </w:rPr>
        <w:t xml:space="preserve">פגיעה להלכה במאפיינים הגרעיניים של המדינה היא מקרה כה מובהק של חריגה מסמכותה המכוננת של הכנסת ועל כן, ככל שחלילה יקרה כדבר הזה, ברי כי תקום עילה להתערבותו של בית המשפט. </w:t>
      </w:r>
      <w:r w:rsidRPr="00B00F53">
        <w:rPr>
          <w:rFonts w:hint="cs"/>
          <w:rtl/>
        </w:rPr>
        <w:t xml:space="preserve">המקרים שבהם עשויה להתעורר </w:t>
      </w:r>
      <w:r>
        <w:rPr>
          <w:rFonts w:hint="cs"/>
          <w:rtl/>
        </w:rPr>
        <w:t>שאלה באשר</w:t>
      </w:r>
      <w:r w:rsidRPr="00B00F53">
        <w:rPr>
          <w:rFonts w:hint="cs"/>
          <w:rtl/>
        </w:rPr>
        <w:t xml:space="preserve"> </w:t>
      </w:r>
      <w:r>
        <w:rPr>
          <w:rFonts w:hint="cs"/>
          <w:rtl/>
        </w:rPr>
        <w:t>ל</w:t>
      </w:r>
      <w:r w:rsidRPr="00B00F53">
        <w:rPr>
          <w:rFonts w:hint="cs"/>
          <w:rtl/>
        </w:rPr>
        <w:t>חריגת הכנסת מסמכותה המכוננת</w:t>
      </w:r>
      <w:r>
        <w:rPr>
          <w:rFonts w:hint="cs"/>
          <w:rtl/>
        </w:rPr>
        <w:t>,</w:t>
      </w:r>
      <w:r w:rsidRPr="00B00F53">
        <w:rPr>
          <w:rFonts w:hint="cs"/>
          <w:rtl/>
        </w:rPr>
        <w:t xml:space="preserve"> </w:t>
      </w:r>
      <w:r>
        <w:rPr>
          <w:rFonts w:hint="cs"/>
          <w:rtl/>
        </w:rPr>
        <w:t>הם</w:t>
      </w:r>
      <w:r w:rsidRPr="00B00F53">
        <w:rPr>
          <w:rFonts w:hint="cs"/>
          <w:rtl/>
        </w:rPr>
        <w:t xml:space="preserve"> </w:t>
      </w:r>
      <w:r>
        <w:rPr>
          <w:rFonts w:hint="cs"/>
          <w:rtl/>
        </w:rPr>
        <w:t xml:space="preserve">בעיקרם המקרים של </w:t>
      </w:r>
      <w:r w:rsidRPr="00B00F53">
        <w:rPr>
          <w:rFonts w:hint="cs"/>
          <w:rtl/>
        </w:rPr>
        <w:t xml:space="preserve">פגיעה </w:t>
      </w:r>
      <w:r w:rsidRPr="00B00F53">
        <w:rPr>
          <w:rFonts w:cs="Miriam" w:hint="cs"/>
          <w:b/>
          <w:spacing w:val="0"/>
          <w:sz w:val="22"/>
          <w:szCs w:val="24"/>
          <w:rtl/>
        </w:rPr>
        <w:t>בפועל</w:t>
      </w:r>
      <w:r w:rsidRPr="00B00F53">
        <w:rPr>
          <w:rFonts w:hint="cs"/>
          <w:rtl/>
        </w:rPr>
        <w:t xml:space="preserve"> ב</w:t>
      </w:r>
      <w:r>
        <w:rPr>
          <w:rFonts w:hint="cs"/>
          <w:rtl/>
        </w:rPr>
        <w:t>איזה מן ה</w:t>
      </w:r>
      <w:r w:rsidRPr="00B00F53">
        <w:rPr>
          <w:rFonts w:hint="cs"/>
          <w:rtl/>
        </w:rPr>
        <w:t xml:space="preserve">מאפיינים </w:t>
      </w:r>
      <w:r>
        <w:rPr>
          <w:rFonts w:hint="cs"/>
          <w:rtl/>
        </w:rPr>
        <w:t>ה</w:t>
      </w:r>
      <w:r w:rsidRPr="00B00F53">
        <w:rPr>
          <w:rFonts w:hint="cs"/>
          <w:rtl/>
        </w:rPr>
        <w:t xml:space="preserve">גרעיניים </w:t>
      </w:r>
      <w:r>
        <w:rPr>
          <w:rFonts w:hint="cs"/>
          <w:rtl/>
        </w:rPr>
        <w:t>של המדינה</w:t>
      </w:r>
      <w:r w:rsidRPr="00B00F53">
        <w:rPr>
          <w:rFonts w:hint="cs"/>
          <w:rtl/>
        </w:rPr>
        <w:t xml:space="preserve">. במקרים אלה, עלינו לתור אחר השפעתו של השינוי החוקתי במבחן התוצאה. בחינה </w:t>
      </w:r>
      <w:r>
        <w:rPr>
          <w:rFonts w:hint="cs"/>
          <w:rtl/>
        </w:rPr>
        <w:t>זו</w:t>
      </w:r>
      <w:r w:rsidRPr="00B00F53">
        <w:rPr>
          <w:rFonts w:hint="cs"/>
          <w:rtl/>
        </w:rPr>
        <w:t xml:space="preserve"> אינה יכולה להתרחש ב</w:t>
      </w:r>
      <w:r>
        <w:rPr>
          <w:rFonts w:hint="cs"/>
          <w:rtl/>
        </w:rPr>
        <w:t>חלל ריק</w:t>
      </w:r>
      <w:r w:rsidRPr="00B00F53">
        <w:rPr>
          <w:rFonts w:hint="cs"/>
          <w:rtl/>
        </w:rPr>
        <w:t>.</w:t>
      </w:r>
      <w:r>
        <w:rPr>
          <w:rFonts w:hint="cs"/>
          <w:rtl/>
        </w:rPr>
        <w:t xml:space="preserve"> על מנת לעמוד על טיבה ומידת עוצמתה של הפגיעה, עלינו</w:t>
      </w:r>
      <w:r w:rsidRPr="00B00F53">
        <w:rPr>
          <w:rFonts w:hint="cs"/>
          <w:rtl/>
        </w:rPr>
        <w:t xml:space="preserve"> לבחון, כנקודת מוצא, את המערך החוקתי </w:t>
      </w:r>
      <w:r w:rsidRPr="00FF11E8">
        <w:rPr>
          <w:rFonts w:cs="Miriam" w:hint="cs"/>
          <w:b/>
          <w:spacing w:val="0"/>
          <w:sz w:val="22"/>
          <w:szCs w:val="24"/>
          <w:rtl/>
        </w:rPr>
        <w:t>הקיים</w:t>
      </w:r>
      <w:r w:rsidRPr="00B00F53">
        <w:rPr>
          <w:rFonts w:hint="cs"/>
          <w:rtl/>
        </w:rPr>
        <w:t xml:space="preserve">, ולצידו את השינוי בחוקי היסוד, ולהכריע האם בנסיבות העניין </w:t>
      </w:r>
      <w:r>
        <w:rPr>
          <w:rFonts w:hint="cs"/>
          <w:rtl/>
        </w:rPr>
        <w:t>נשלל או נסתר חזיתית איזה</w:t>
      </w:r>
      <w:r w:rsidRPr="00B00F53">
        <w:rPr>
          <w:rFonts w:hint="cs"/>
          <w:rtl/>
        </w:rPr>
        <w:t xml:space="preserve"> </w:t>
      </w:r>
      <w:r>
        <w:rPr>
          <w:rFonts w:hint="cs"/>
          <w:rtl/>
        </w:rPr>
        <w:t>מ</w:t>
      </w:r>
      <w:r w:rsidRPr="00B00F53">
        <w:rPr>
          <w:rFonts w:hint="cs"/>
          <w:rtl/>
        </w:rPr>
        <w:t xml:space="preserve">מאפייניה הגרעיניים של המדינה. </w:t>
      </w:r>
    </w:p>
    <w:p w:rsidR="00C044AE" w:rsidRPr="00B00F53" w:rsidRDefault="00C044AE" w:rsidP="00C044AE">
      <w:pPr>
        <w:pStyle w:val="Ruller4"/>
        <w:numPr>
          <w:ilvl w:val="0"/>
          <w:numId w:val="0"/>
        </w:numPr>
        <w:rPr>
          <w:rtl/>
        </w:rPr>
      </w:pPr>
    </w:p>
    <w:p w:rsidR="00C044AE" w:rsidRPr="00B00F53" w:rsidRDefault="00C044AE" w:rsidP="00C044AE">
      <w:pPr>
        <w:pStyle w:val="Ruller41"/>
        <w:rPr>
          <w:rFonts w:ascii="Garamond" w:hAnsi="Garamond"/>
          <w:rtl/>
        </w:rPr>
      </w:pPr>
      <w:r w:rsidRPr="00B00F53">
        <w:rPr>
          <w:rFonts w:ascii="Garamond" w:hAnsi="Garamond"/>
          <w:rtl/>
        </w:rPr>
        <w:lastRenderedPageBreak/>
        <w:tab/>
      </w:r>
      <w:r w:rsidRPr="00B00F53">
        <w:rPr>
          <w:rFonts w:ascii="Garamond" w:hAnsi="Garamond" w:hint="cs"/>
          <w:rtl/>
        </w:rPr>
        <w:t xml:space="preserve">לא ניתן לשלול מצב שבו מספר תיקונים לחוקי היסוד שהתקבלו בזה אחר זה, יובילו </w:t>
      </w:r>
      <w:r w:rsidRPr="00820479">
        <w:rPr>
          <w:rFonts w:ascii="Century" w:hAnsi="Century" w:cs="Miriam" w:hint="eastAsia"/>
          <w:b/>
          <w:spacing w:val="0"/>
          <w:szCs w:val="24"/>
          <w:rtl/>
        </w:rPr>
        <w:t>בהצטברותם</w:t>
      </w:r>
      <w:r w:rsidRPr="001C2C43">
        <w:rPr>
          <w:rFonts w:ascii="Garamond" w:hAnsi="Garamond" w:hint="cs"/>
          <w:rtl/>
        </w:rPr>
        <w:t xml:space="preserve"> </w:t>
      </w:r>
      <w:r w:rsidRPr="00B00F53">
        <w:rPr>
          <w:rFonts w:ascii="Garamond" w:hAnsi="Garamond" w:hint="cs"/>
          <w:rtl/>
        </w:rPr>
        <w:t xml:space="preserve">לפגיעה בליבה החוקתית שלנו (ראו והשוו: </w:t>
      </w:r>
      <w:r w:rsidRPr="00B00F53">
        <w:rPr>
          <w:rFonts w:ascii="Garamond" w:hAnsi="Garamond"/>
          <w:smallCaps/>
        </w:rPr>
        <w:t xml:space="preserve">Tom Ginsburg &amp; Aziz </w:t>
      </w:r>
      <w:r>
        <w:rPr>
          <w:rFonts w:ascii="Garamond" w:hAnsi="Garamond"/>
          <w:smallCaps/>
        </w:rPr>
        <w:t xml:space="preserve">Z. </w:t>
      </w:r>
      <w:r w:rsidRPr="00B00F53">
        <w:rPr>
          <w:rFonts w:ascii="Garamond" w:hAnsi="Garamond"/>
          <w:smallCaps/>
        </w:rPr>
        <w:t>Huq, How to Save a Constitutional Democracy</w:t>
      </w:r>
      <w:r w:rsidRPr="00B00F53">
        <w:rPr>
          <w:rFonts w:ascii="Garamond" w:hAnsi="Garamond"/>
        </w:rPr>
        <w:t xml:space="preserve"> 90-95 (2018)</w:t>
      </w:r>
      <w:r w:rsidRPr="00B00F53">
        <w:rPr>
          <w:rFonts w:ascii="Garamond" w:hAnsi="Garamond" w:hint="cs"/>
          <w:rtl/>
        </w:rPr>
        <w:t>;</w:t>
      </w:r>
      <w:r w:rsidRPr="00B00F53">
        <w:rPr>
          <w:rFonts w:ascii="Garamond" w:hAnsi="Garamond"/>
        </w:rPr>
        <w:t xml:space="preserve">David Landau, </w:t>
      </w:r>
      <w:r w:rsidRPr="00B00F53">
        <w:rPr>
          <w:rFonts w:ascii="Garamond" w:hAnsi="Garamond"/>
          <w:i/>
          <w:iCs/>
        </w:rPr>
        <w:t>Abusive Constitutionalism</w:t>
      </w:r>
      <w:r w:rsidRPr="00B00F53">
        <w:rPr>
          <w:rFonts w:ascii="Garamond" w:hAnsi="Garamond"/>
        </w:rPr>
        <w:t xml:space="preserve">, 47 </w:t>
      </w:r>
      <w:r w:rsidRPr="00B00F53">
        <w:rPr>
          <w:rFonts w:ascii="Garamond" w:hAnsi="Garamond"/>
          <w:smallCaps/>
        </w:rPr>
        <w:t xml:space="preserve">UCLA L. Rev. </w:t>
      </w:r>
      <w:r w:rsidRPr="00B00F53">
        <w:rPr>
          <w:rFonts w:ascii="Garamond" w:hAnsi="Garamond"/>
        </w:rPr>
        <w:t>189 (2013)</w:t>
      </w:r>
      <w:r w:rsidRPr="00B00F53">
        <w:rPr>
          <w:rFonts w:ascii="Garamond" w:hAnsi="Garamond" w:hint="cs"/>
          <w:rtl/>
        </w:rPr>
        <w:t xml:space="preserve">). </w:t>
      </w:r>
      <w:r>
        <w:rPr>
          <w:rFonts w:ascii="Garamond" w:hAnsi="Garamond" w:hint="cs"/>
          <w:rtl/>
        </w:rPr>
        <w:t>עם זאת, יש לנקוט משנה זהירות בהקשר זה, לרבות ביחס</w:t>
      </w:r>
      <w:r w:rsidRPr="00B00F53">
        <w:rPr>
          <w:rFonts w:ascii="Garamond" w:hAnsi="Garamond" w:hint="cs"/>
          <w:rtl/>
        </w:rPr>
        <w:t xml:space="preserve"> </w:t>
      </w:r>
      <w:r>
        <w:rPr>
          <w:rFonts w:ascii="Garamond" w:hAnsi="Garamond" w:hint="cs"/>
          <w:rtl/>
        </w:rPr>
        <w:t>ל</w:t>
      </w:r>
      <w:r w:rsidRPr="00B00F53">
        <w:rPr>
          <w:rFonts w:ascii="Garamond" w:hAnsi="Garamond" w:hint="cs"/>
          <w:rtl/>
        </w:rPr>
        <w:t xml:space="preserve">טענות </w:t>
      </w:r>
      <w:r>
        <w:rPr>
          <w:rFonts w:ascii="Garamond" w:hAnsi="Garamond" w:hint="cs"/>
          <w:rtl/>
        </w:rPr>
        <w:t xml:space="preserve">שהעלו </w:t>
      </w:r>
      <w:r w:rsidRPr="00B00F53">
        <w:rPr>
          <w:rFonts w:ascii="Garamond" w:hAnsi="Garamond" w:hint="cs"/>
          <w:rtl/>
        </w:rPr>
        <w:t xml:space="preserve">העותרים והיועצת </w:t>
      </w:r>
      <w:r>
        <w:rPr>
          <w:rFonts w:ascii="Garamond" w:hAnsi="Garamond" w:hint="cs"/>
          <w:rtl/>
        </w:rPr>
        <w:t>ו</w:t>
      </w:r>
      <w:r w:rsidRPr="00B00F53">
        <w:rPr>
          <w:rFonts w:ascii="Garamond" w:hAnsi="Garamond" w:hint="cs"/>
          <w:rtl/>
        </w:rPr>
        <w:t>לפיהן</w:t>
      </w:r>
      <w:r>
        <w:rPr>
          <w:rFonts w:ascii="Garamond" w:hAnsi="Garamond" w:hint="cs"/>
          <w:rtl/>
        </w:rPr>
        <w:t xml:space="preserve"> במסגרת </w:t>
      </w:r>
      <w:r w:rsidRPr="00B00F53">
        <w:rPr>
          <w:rFonts w:ascii="Garamond" w:hAnsi="Garamond" w:hint="cs"/>
          <w:rtl/>
        </w:rPr>
        <w:t xml:space="preserve">בחינת השפעתו בפועל של </w:t>
      </w:r>
      <w:r>
        <w:rPr>
          <w:rFonts w:ascii="Garamond" w:hAnsi="Garamond" w:hint="cs"/>
          <w:rtl/>
        </w:rPr>
        <w:t>תיקון לחוק יסוד,</w:t>
      </w:r>
      <w:r w:rsidRPr="00B00F53">
        <w:rPr>
          <w:rFonts w:ascii="Garamond" w:hAnsi="Garamond" w:hint="cs"/>
          <w:rtl/>
        </w:rPr>
        <w:t xml:space="preserve"> </w:t>
      </w:r>
      <w:r>
        <w:rPr>
          <w:rFonts w:ascii="Garamond" w:hAnsi="Garamond" w:hint="cs"/>
          <w:rtl/>
        </w:rPr>
        <w:t>יש</w:t>
      </w:r>
      <w:r w:rsidRPr="00B00F53">
        <w:rPr>
          <w:rFonts w:ascii="Garamond" w:hAnsi="Garamond" w:hint="cs"/>
          <w:rtl/>
        </w:rPr>
        <w:t xml:space="preserve"> ליתן משקל ליוזמות </w:t>
      </w:r>
      <w:r>
        <w:rPr>
          <w:rFonts w:ascii="Garamond" w:hAnsi="Garamond" w:hint="cs"/>
          <w:rtl/>
        </w:rPr>
        <w:t>חקיקה אחרות</w:t>
      </w:r>
      <w:r w:rsidRPr="00B00F53">
        <w:rPr>
          <w:rFonts w:ascii="Garamond" w:hAnsi="Garamond" w:hint="cs"/>
          <w:rtl/>
        </w:rPr>
        <w:t xml:space="preserve"> </w:t>
      </w:r>
      <w:r>
        <w:rPr>
          <w:rFonts w:ascii="Garamond" w:hAnsi="Garamond" w:hint="cs"/>
          <w:rtl/>
        </w:rPr>
        <w:t>המצויות "בצנרת" ואשר טרם התקבלו.</w:t>
      </w:r>
      <w:r w:rsidRPr="00B00F53">
        <w:rPr>
          <w:rFonts w:ascii="Garamond" w:hAnsi="Garamond" w:hint="cs"/>
          <w:rtl/>
        </w:rPr>
        <w:t xml:space="preserve"> </w:t>
      </w:r>
      <w:r>
        <w:rPr>
          <w:rFonts w:ascii="Garamond" w:hAnsi="Garamond" w:hint="cs"/>
          <w:rtl/>
        </w:rPr>
        <w:t>כלל יסוד הנובע מעקרון הפרדת הרשויות הוא שבית המשפט אינו נוהג לבחון הצעות חוק</w:t>
      </w:r>
      <w:r w:rsidRPr="00B00F53">
        <w:rPr>
          <w:rFonts w:ascii="Garamond" w:hAnsi="Garamond" w:hint="cs"/>
          <w:rtl/>
        </w:rPr>
        <w:t xml:space="preserve"> </w:t>
      </w:r>
      <w:r>
        <w:rPr>
          <w:rFonts w:ascii="Garamond" w:hAnsi="Garamond" w:hint="cs"/>
          <w:rtl/>
        </w:rPr>
        <w:t>טרם שאושרו ומצאו את מקומן</w:t>
      </w:r>
      <w:r w:rsidRPr="00B00F53">
        <w:rPr>
          <w:rFonts w:ascii="Garamond" w:hAnsi="Garamond" w:hint="cs"/>
          <w:rtl/>
        </w:rPr>
        <w:t xml:space="preserve"> בספר החוקים</w:t>
      </w:r>
      <w:r>
        <w:rPr>
          <w:rFonts w:ascii="Garamond" w:hAnsi="Garamond" w:hint="cs"/>
          <w:rtl/>
        </w:rPr>
        <w:t>.</w:t>
      </w:r>
      <w:r w:rsidRPr="00B00F53">
        <w:rPr>
          <w:rFonts w:ascii="Garamond" w:hAnsi="Garamond" w:hint="cs"/>
          <w:rtl/>
        </w:rPr>
        <w:t xml:space="preserve"> </w:t>
      </w:r>
      <w:r>
        <w:rPr>
          <w:rFonts w:ascii="Garamond" w:hAnsi="Garamond" w:hint="cs"/>
          <w:rtl/>
        </w:rPr>
        <w:t xml:space="preserve">זאת, בין היתר, משום שכלל לא ברור </w:t>
      </w:r>
      <w:r w:rsidRPr="00B00F53">
        <w:rPr>
          <w:rFonts w:ascii="Garamond" w:hAnsi="Garamond" w:hint="cs"/>
          <w:rtl/>
        </w:rPr>
        <w:t>באיזו מתכונת ה</w:t>
      </w:r>
      <w:r>
        <w:rPr>
          <w:rFonts w:ascii="Garamond" w:hAnsi="Garamond" w:hint="cs"/>
          <w:rtl/>
        </w:rPr>
        <w:t>ן</w:t>
      </w:r>
      <w:r w:rsidRPr="00B00F53">
        <w:rPr>
          <w:rFonts w:ascii="Garamond" w:hAnsi="Garamond" w:hint="cs"/>
          <w:rtl/>
        </w:rPr>
        <w:t xml:space="preserve"> יתקבלו בסופו של יום, אם בכלל</w:t>
      </w:r>
      <w:r>
        <w:rPr>
          <w:rFonts w:ascii="Garamond" w:hAnsi="Garamond" w:hint="cs"/>
          <w:rtl/>
        </w:rPr>
        <w:t xml:space="preserve"> </w:t>
      </w:r>
      <w:r w:rsidRPr="00B00F53">
        <w:rPr>
          <w:rFonts w:ascii="Garamond" w:hAnsi="Garamond" w:hint="cs"/>
          <w:rtl/>
        </w:rPr>
        <w:t>(ראו והשוו:</w:t>
      </w:r>
      <w:r>
        <w:rPr>
          <w:rFonts w:ascii="Garamond" w:hAnsi="Garamond" w:hint="cs"/>
          <w:rtl/>
        </w:rPr>
        <w:t xml:space="preserve"> בג"ץ 1210/23 </w:t>
      </w:r>
      <w:r w:rsidRPr="005D7CAF">
        <w:rPr>
          <w:rFonts w:ascii="Century" w:hAnsi="Century" w:cs="Miriam" w:hint="cs"/>
          <w:b/>
          <w:spacing w:val="0"/>
          <w:szCs w:val="24"/>
          <w:rtl/>
        </w:rPr>
        <w:t>ארד נ' שר המשפטים</w:t>
      </w:r>
      <w:r>
        <w:rPr>
          <w:rFonts w:ascii="Garamond" w:hAnsi="Garamond" w:hint="cs"/>
          <w:rtl/>
        </w:rPr>
        <w:t>, פסקה 3</w:t>
      </w:r>
      <w:r w:rsidRPr="005D7CAF">
        <w:rPr>
          <w:rFonts w:ascii="Garamond" w:hAnsi="Garamond" w:hint="cs"/>
          <w:rtl/>
        </w:rPr>
        <w:t xml:space="preserve"> </w:t>
      </w:r>
      <w:r>
        <w:rPr>
          <w:rFonts w:ascii="Garamond" w:hAnsi="Garamond" w:hint="cs"/>
          <w:rtl/>
        </w:rPr>
        <w:t>(14.2.2023);</w:t>
      </w:r>
      <w:r w:rsidRPr="00B00F53">
        <w:rPr>
          <w:rFonts w:ascii="Garamond" w:hAnsi="Garamond" w:hint="cs"/>
          <w:rtl/>
        </w:rPr>
        <w:t xml:space="preserve"> </w:t>
      </w:r>
      <w:r w:rsidRPr="00B00F53">
        <w:rPr>
          <w:rFonts w:ascii="Garamond" w:hAnsi="Garamond" w:hint="eastAsia"/>
          <w:sz w:val="24"/>
          <w:rtl/>
        </w:rPr>
        <w:t>בג</w:t>
      </w:r>
      <w:r w:rsidRPr="00B00F53">
        <w:rPr>
          <w:rFonts w:ascii="Garamond" w:hAnsi="Garamond" w:hint="cs"/>
          <w:sz w:val="24"/>
          <w:rtl/>
        </w:rPr>
        <w:t>"</w:t>
      </w:r>
      <w:r w:rsidRPr="00B00F53">
        <w:rPr>
          <w:rFonts w:ascii="Garamond" w:hAnsi="Garamond" w:hint="eastAsia"/>
          <w:sz w:val="24"/>
          <w:rtl/>
        </w:rPr>
        <w:t>ץ</w:t>
      </w:r>
      <w:r w:rsidRPr="00B00F53">
        <w:rPr>
          <w:rFonts w:ascii="Garamond" w:hAnsi="Garamond"/>
          <w:sz w:val="24"/>
          <w:rtl/>
        </w:rPr>
        <w:t xml:space="preserve"> 1234/23 </w:t>
      </w:r>
      <w:r w:rsidRPr="00B00F53">
        <w:rPr>
          <w:rFonts w:ascii="Garamond" w:hAnsi="Garamond" w:cs="Miriam" w:hint="eastAsia"/>
          <w:b/>
          <w:spacing w:val="0"/>
          <w:szCs w:val="24"/>
          <w:rtl/>
        </w:rPr>
        <w:t>אורון</w:t>
      </w:r>
      <w:r w:rsidRPr="00B00F53">
        <w:rPr>
          <w:rFonts w:ascii="Garamond" w:hAnsi="Garamond" w:cs="Miriam"/>
          <w:b/>
          <w:spacing w:val="0"/>
          <w:szCs w:val="24"/>
          <w:rtl/>
        </w:rPr>
        <w:t xml:space="preserve"> </w:t>
      </w:r>
      <w:r w:rsidRPr="00B00F53">
        <w:rPr>
          <w:rFonts w:ascii="Garamond" w:hAnsi="Garamond" w:cs="Miriam" w:hint="eastAsia"/>
          <w:b/>
          <w:spacing w:val="0"/>
          <w:szCs w:val="24"/>
          <w:rtl/>
        </w:rPr>
        <w:t>נ</w:t>
      </w:r>
      <w:r w:rsidRPr="00B00F53">
        <w:rPr>
          <w:rFonts w:ascii="Garamond" w:hAnsi="Garamond" w:cs="Miriam"/>
          <w:b/>
          <w:spacing w:val="0"/>
          <w:szCs w:val="24"/>
          <w:rtl/>
        </w:rPr>
        <w:t xml:space="preserve">' </w:t>
      </w:r>
      <w:r w:rsidRPr="00B00F53">
        <w:rPr>
          <w:rFonts w:ascii="Garamond" w:hAnsi="Garamond" w:cs="Miriam" w:hint="eastAsia"/>
          <w:b/>
          <w:spacing w:val="0"/>
          <w:szCs w:val="24"/>
          <w:rtl/>
        </w:rPr>
        <w:t>ועדת</w:t>
      </w:r>
      <w:r w:rsidRPr="00B00F53">
        <w:rPr>
          <w:rFonts w:ascii="Garamond" w:hAnsi="Garamond" w:cs="Miriam"/>
          <w:b/>
          <w:spacing w:val="0"/>
          <w:szCs w:val="24"/>
          <w:rtl/>
        </w:rPr>
        <w:t xml:space="preserve"> </w:t>
      </w:r>
      <w:r w:rsidRPr="00B00F53">
        <w:rPr>
          <w:rFonts w:ascii="Garamond" w:hAnsi="Garamond" w:cs="Miriam" w:hint="eastAsia"/>
          <w:b/>
          <w:spacing w:val="0"/>
          <w:szCs w:val="24"/>
          <w:rtl/>
        </w:rPr>
        <w:t>החוקה</w:t>
      </w:r>
      <w:r w:rsidRPr="00B00F53">
        <w:rPr>
          <w:rFonts w:ascii="Garamond" w:hAnsi="Garamond" w:cs="Miriam"/>
          <w:b/>
          <w:spacing w:val="0"/>
          <w:szCs w:val="24"/>
          <w:rtl/>
        </w:rPr>
        <w:t xml:space="preserve">, </w:t>
      </w:r>
      <w:r w:rsidRPr="00B00F53">
        <w:rPr>
          <w:rFonts w:ascii="Garamond" w:hAnsi="Garamond" w:cs="Miriam" w:hint="eastAsia"/>
          <w:b/>
          <w:spacing w:val="0"/>
          <w:szCs w:val="24"/>
          <w:rtl/>
        </w:rPr>
        <w:t>חוק</w:t>
      </w:r>
      <w:r w:rsidRPr="00B00F53">
        <w:rPr>
          <w:rFonts w:ascii="Garamond" w:hAnsi="Garamond" w:cs="Miriam"/>
          <w:b/>
          <w:spacing w:val="0"/>
          <w:szCs w:val="24"/>
          <w:rtl/>
        </w:rPr>
        <w:t xml:space="preserve"> </w:t>
      </w:r>
      <w:r w:rsidRPr="00B00F53">
        <w:rPr>
          <w:rFonts w:ascii="Garamond" w:hAnsi="Garamond" w:cs="Miriam" w:hint="eastAsia"/>
          <w:b/>
          <w:spacing w:val="0"/>
          <w:szCs w:val="24"/>
          <w:rtl/>
        </w:rPr>
        <w:t>ומשפט</w:t>
      </w:r>
      <w:r w:rsidRPr="00B00F53">
        <w:rPr>
          <w:rFonts w:ascii="Garamond" w:hAnsi="Garamond" w:cs="Miriam"/>
          <w:b/>
          <w:spacing w:val="0"/>
          <w:szCs w:val="24"/>
          <w:rtl/>
        </w:rPr>
        <w:t xml:space="preserve"> </w:t>
      </w:r>
      <w:r w:rsidRPr="00B00F53">
        <w:rPr>
          <w:rFonts w:ascii="Garamond" w:hAnsi="Garamond" w:cs="Miriam" w:hint="eastAsia"/>
          <w:b/>
          <w:spacing w:val="0"/>
          <w:szCs w:val="24"/>
          <w:rtl/>
        </w:rPr>
        <w:t>של</w:t>
      </w:r>
      <w:r w:rsidRPr="00B00F53">
        <w:rPr>
          <w:rFonts w:ascii="Garamond" w:hAnsi="Garamond" w:cs="Miriam"/>
          <w:b/>
          <w:spacing w:val="0"/>
          <w:szCs w:val="24"/>
          <w:rtl/>
        </w:rPr>
        <w:t xml:space="preserve"> </w:t>
      </w:r>
      <w:r w:rsidRPr="00B00F53">
        <w:rPr>
          <w:rFonts w:ascii="Garamond" w:hAnsi="Garamond" w:cs="Miriam" w:hint="eastAsia"/>
          <w:b/>
          <w:spacing w:val="0"/>
          <w:szCs w:val="24"/>
          <w:rtl/>
        </w:rPr>
        <w:t>הכנסת</w:t>
      </w:r>
      <w:r>
        <w:rPr>
          <w:rFonts w:ascii="Garamond" w:hAnsi="Garamond" w:hint="cs"/>
          <w:rtl/>
        </w:rPr>
        <w:t>, פסקה 3 (16.2.2023)</w:t>
      </w:r>
      <w:r w:rsidRPr="00B00F53">
        <w:rPr>
          <w:rFonts w:ascii="Garamond" w:hAnsi="Garamond" w:hint="cs"/>
          <w:rtl/>
        </w:rPr>
        <w:t xml:space="preserve">). </w:t>
      </w:r>
    </w:p>
    <w:p w:rsidR="00C044AE" w:rsidRPr="0009484D" w:rsidRDefault="00C044AE" w:rsidP="00C044AE">
      <w:pPr>
        <w:jc w:val="both"/>
        <w:rPr>
          <w:rFonts w:ascii="Garamond" w:hAnsi="Garamond"/>
          <w:sz w:val="22"/>
          <w:szCs w:val="28"/>
          <w:rtl/>
        </w:rPr>
      </w:pPr>
    </w:p>
    <w:p w:rsidR="00C044AE" w:rsidRPr="00B00F53" w:rsidRDefault="00C044AE" w:rsidP="00C044AE">
      <w:pPr>
        <w:pStyle w:val="Ruller4"/>
        <w:rPr>
          <w:rtl/>
        </w:rPr>
      </w:pPr>
      <w:r w:rsidRPr="00B00F53">
        <w:rPr>
          <w:rFonts w:hint="cs"/>
          <w:rtl/>
        </w:rPr>
        <w:t xml:space="preserve">בענייננו, תיקון מס' 3 לחוק-יסוד: השפיטה אינו מצהיר במופגן על נטישת מאפיין גרעיני כזה או אחר של שיטתנו. הפגיעה החמורה במאפיינים גרעיניים </w:t>
      </w:r>
      <w:r>
        <w:rPr>
          <w:rFonts w:hint="cs"/>
          <w:rtl/>
        </w:rPr>
        <w:t>בעקבות</w:t>
      </w:r>
      <w:r w:rsidRPr="00B00F53">
        <w:rPr>
          <w:rFonts w:hint="cs"/>
          <w:rtl/>
        </w:rPr>
        <w:t xml:space="preserve"> התיקון </w:t>
      </w:r>
      <w:r>
        <w:rPr>
          <w:rFonts w:hint="cs"/>
          <w:rtl/>
        </w:rPr>
        <w:t>ש</w:t>
      </w:r>
      <w:r w:rsidRPr="00B00F53">
        <w:rPr>
          <w:rFonts w:hint="cs"/>
          <w:rtl/>
        </w:rPr>
        <w:t>עליה מצביעים העותרים והיועצת</w:t>
      </w:r>
      <w:r>
        <w:rPr>
          <w:rFonts w:hint="cs"/>
          <w:rtl/>
        </w:rPr>
        <w:t>,</w:t>
      </w:r>
      <w:r w:rsidRPr="00B00F53">
        <w:rPr>
          <w:rFonts w:hint="cs"/>
          <w:rtl/>
        </w:rPr>
        <w:t xml:space="preserve"> ממוקדת </w:t>
      </w:r>
      <w:r>
        <w:rPr>
          <w:rFonts w:hint="cs"/>
          <w:rtl/>
        </w:rPr>
        <w:t>בעיקרה,</w:t>
      </w:r>
      <w:r w:rsidRPr="00B00F53">
        <w:rPr>
          <w:rFonts w:hint="cs"/>
          <w:rtl/>
        </w:rPr>
        <w:t xml:space="preserve"> </w:t>
      </w:r>
      <w:r w:rsidRPr="00B00F53">
        <w:rPr>
          <w:rFonts w:cs="Miriam" w:hint="cs"/>
          <w:b/>
          <w:spacing w:val="0"/>
          <w:sz w:val="22"/>
          <w:szCs w:val="24"/>
          <w:rtl/>
        </w:rPr>
        <w:t>במישור התוצאה</w:t>
      </w:r>
      <w:r w:rsidRPr="00B00F53">
        <w:rPr>
          <w:rFonts w:hint="cs"/>
          <w:rtl/>
        </w:rPr>
        <w:t xml:space="preserve">. על כן, </w:t>
      </w:r>
      <w:r>
        <w:rPr>
          <w:rFonts w:hint="cs"/>
          <w:rtl/>
        </w:rPr>
        <w:t>יש לבחון מהי</w:t>
      </w:r>
      <w:r w:rsidRPr="00B00F53">
        <w:rPr>
          <w:rFonts w:hint="cs"/>
          <w:rtl/>
        </w:rPr>
        <w:t xml:space="preserve"> משמעות</w:t>
      </w:r>
      <w:r>
        <w:rPr>
          <w:rFonts w:hint="cs"/>
          <w:rtl/>
        </w:rPr>
        <w:t>ו של</w:t>
      </w:r>
      <w:r w:rsidRPr="00B00F53">
        <w:rPr>
          <w:rFonts w:hint="cs"/>
          <w:rtl/>
        </w:rPr>
        <w:t xml:space="preserve"> התיקון בפועל</w:t>
      </w:r>
      <w:r>
        <w:rPr>
          <w:rFonts w:hint="cs"/>
          <w:rtl/>
        </w:rPr>
        <w:t xml:space="preserve"> וזאת על רקע </w:t>
      </w:r>
      <w:r w:rsidRPr="00B00F53">
        <w:rPr>
          <w:rFonts w:hint="cs"/>
          <w:rtl/>
        </w:rPr>
        <w:t xml:space="preserve">המצב החוקתי הקיים </w:t>
      </w:r>
      <w:r>
        <w:rPr>
          <w:rFonts w:hint="cs"/>
          <w:rtl/>
        </w:rPr>
        <w:t>והנוגע</w:t>
      </w:r>
      <w:r w:rsidRPr="00B00F53">
        <w:rPr>
          <w:rFonts w:hint="cs"/>
          <w:rtl/>
        </w:rPr>
        <w:t xml:space="preserve"> </w:t>
      </w:r>
      <w:r>
        <w:rPr>
          <w:rFonts w:hint="cs"/>
          <w:rtl/>
        </w:rPr>
        <w:t xml:space="preserve">לאותם </w:t>
      </w:r>
      <w:r w:rsidRPr="00B00F53">
        <w:rPr>
          <w:rFonts w:hint="cs"/>
          <w:rtl/>
        </w:rPr>
        <w:t>היבטים שבהם עוסק התיקון. לבחינה זו</w:t>
      </w:r>
      <w:r w:rsidRPr="001C2C43">
        <w:rPr>
          <w:rFonts w:hint="cs"/>
          <w:rtl/>
        </w:rPr>
        <w:t xml:space="preserve"> </w:t>
      </w:r>
      <w:r w:rsidRPr="00B00F53">
        <w:rPr>
          <w:rFonts w:hint="cs"/>
          <w:rtl/>
        </w:rPr>
        <w:t xml:space="preserve">אפנה עתה. </w:t>
      </w:r>
    </w:p>
    <w:p w:rsidR="00C044AE" w:rsidRPr="00B00F53" w:rsidRDefault="00C044AE" w:rsidP="00C044AE">
      <w:pPr>
        <w:pStyle w:val="Ruller41"/>
        <w:rPr>
          <w:rFonts w:ascii="Garamond" w:hAnsi="Garamond"/>
          <w:rtl/>
        </w:rPr>
      </w:pPr>
    </w:p>
    <w:p w:rsidR="00C044AE" w:rsidRPr="00B00F53" w:rsidRDefault="00C044AE" w:rsidP="00C044AE">
      <w:pPr>
        <w:pStyle w:val="Ruller41"/>
        <w:numPr>
          <w:ilvl w:val="0"/>
          <w:numId w:val="6"/>
        </w:numPr>
        <w:outlineLvl w:val="1"/>
        <w:rPr>
          <w:rFonts w:ascii="Garamond" w:hAnsi="Garamond" w:cs="Miriam"/>
          <w:b/>
          <w:spacing w:val="0"/>
          <w:szCs w:val="24"/>
          <w:rtl/>
        </w:rPr>
      </w:pPr>
      <w:r>
        <w:rPr>
          <w:rFonts w:ascii="Garamond" w:hAnsi="Garamond" w:cs="Miriam" w:hint="cs"/>
          <w:b/>
          <w:spacing w:val="0"/>
          <w:szCs w:val="24"/>
          <w:rtl/>
        </w:rPr>
        <w:t>חשיבותה של הביקורת השיפוטית על פעולות הממשלה</w:t>
      </w:r>
    </w:p>
    <w:p w:rsidR="00C044AE" w:rsidRPr="0009484D" w:rsidRDefault="00C044AE" w:rsidP="00C044AE">
      <w:pPr>
        <w:pStyle w:val="Ruller41"/>
        <w:rPr>
          <w:rFonts w:ascii="Garamond" w:hAnsi="Garamond" w:cs="Miriam"/>
          <w:b/>
          <w:spacing w:val="0"/>
          <w:sz w:val="24"/>
          <w:rtl/>
        </w:rPr>
      </w:pPr>
    </w:p>
    <w:p w:rsidR="00C044AE" w:rsidRPr="00B00F53" w:rsidRDefault="00C044AE" w:rsidP="00C044AE">
      <w:pPr>
        <w:pStyle w:val="Ruller4"/>
      </w:pPr>
      <w:r w:rsidRPr="00B00F53">
        <w:rPr>
          <w:rFonts w:hint="cs"/>
          <w:rtl/>
        </w:rPr>
        <w:t xml:space="preserve">הסוגיה </w:t>
      </w:r>
      <w:r>
        <w:rPr>
          <w:rFonts w:hint="cs"/>
          <w:rtl/>
        </w:rPr>
        <w:t>ש</w:t>
      </w:r>
      <w:r w:rsidRPr="00B00F53">
        <w:rPr>
          <w:rFonts w:hint="cs"/>
          <w:rtl/>
        </w:rPr>
        <w:t xml:space="preserve">בה עוסק תיקון מס' 3 היא הביקורת השיפוטית, וליתר דיוק </w:t>
      </w:r>
      <w:r w:rsidRPr="00B00F53">
        <w:rPr>
          <w:rtl/>
        </w:rPr>
        <w:t>–</w:t>
      </w:r>
      <w:r w:rsidRPr="00B00F53">
        <w:rPr>
          <w:rFonts w:hint="cs"/>
          <w:rtl/>
        </w:rPr>
        <w:t xml:space="preserve"> ביטול הביקורת השיפוטית בכל הנוגע לסבירות החלטות הממשלה, ראש הממשלה והשרים. </w:t>
      </w:r>
      <w:r>
        <w:rPr>
          <w:rFonts w:hint="cs"/>
          <w:rtl/>
        </w:rPr>
        <w:t>על מנת להבין</w:t>
      </w:r>
      <w:r w:rsidRPr="00B00F53">
        <w:rPr>
          <w:rFonts w:hint="cs"/>
          <w:rtl/>
        </w:rPr>
        <w:t xml:space="preserve"> את</w:t>
      </w:r>
      <w:r>
        <w:rPr>
          <w:rFonts w:hint="cs"/>
          <w:rtl/>
        </w:rPr>
        <w:t xml:space="preserve"> משמעותו ואת</w:t>
      </w:r>
      <w:r w:rsidRPr="00B00F53">
        <w:rPr>
          <w:rFonts w:hint="cs"/>
          <w:rtl/>
        </w:rPr>
        <w:t xml:space="preserve"> </w:t>
      </w:r>
      <w:r>
        <w:rPr>
          <w:rFonts w:hint="cs"/>
          <w:rtl/>
        </w:rPr>
        <w:t>השלכותיו</w:t>
      </w:r>
      <w:r w:rsidRPr="00B00F53">
        <w:rPr>
          <w:rFonts w:hint="cs"/>
          <w:rtl/>
        </w:rPr>
        <w:t xml:space="preserve"> של התיקון יש לבחון</w:t>
      </w:r>
      <w:r>
        <w:rPr>
          <w:rFonts w:hint="cs"/>
          <w:rtl/>
        </w:rPr>
        <w:t>, כאמור,</w:t>
      </w:r>
      <w:r w:rsidRPr="00B00F53">
        <w:rPr>
          <w:rFonts w:hint="cs"/>
          <w:rtl/>
        </w:rPr>
        <w:t xml:space="preserve"> את ההקשר החוקתי הרחב </w:t>
      </w:r>
      <w:r>
        <w:rPr>
          <w:rFonts w:hint="cs"/>
          <w:rtl/>
        </w:rPr>
        <w:t>ו</w:t>
      </w:r>
      <w:r w:rsidRPr="00B00F53">
        <w:rPr>
          <w:rFonts w:hint="cs"/>
          <w:rtl/>
        </w:rPr>
        <w:t xml:space="preserve">את מקומה של הביקורת השיפוטית בשיטתנו. </w:t>
      </w:r>
      <w:r>
        <w:rPr>
          <w:rFonts w:hint="cs"/>
          <w:rtl/>
        </w:rPr>
        <w:t xml:space="preserve">בחלק הראשון של חוות הדעת עמדתי על השליטה החריגה של הממשלה בהליכי כינון חוקי היסוד. כפי שיפורט להלן, מדובר אך בביטוי אחד לכוח הרב והבלתי-מוגבל כמעט המרוכז בידי הרוב השולט בישראל. על כן, בהיעדר מערכת אפקטיבית של איזונים ובלמים, </w:t>
      </w:r>
      <w:r w:rsidRPr="00B00F53">
        <w:rPr>
          <w:rFonts w:hint="cs"/>
          <w:rtl/>
        </w:rPr>
        <w:t xml:space="preserve">הביקורת השיפוטית מהווה </w:t>
      </w:r>
      <w:r>
        <w:rPr>
          <w:rFonts w:hint="cs"/>
          <w:rtl/>
        </w:rPr>
        <w:t xml:space="preserve">למעשה </w:t>
      </w:r>
      <w:r w:rsidRPr="00205E58">
        <w:rPr>
          <w:rFonts w:cs="Miriam" w:hint="cs"/>
          <w:b/>
          <w:spacing w:val="0"/>
          <w:sz w:val="22"/>
          <w:szCs w:val="24"/>
          <w:rtl/>
        </w:rPr>
        <w:t>המגבלה האפקטיבית היחידה</w:t>
      </w:r>
      <w:r>
        <w:rPr>
          <w:rFonts w:hint="cs"/>
          <w:rtl/>
        </w:rPr>
        <w:t xml:space="preserve"> על כוח זה.</w:t>
      </w:r>
      <w:r w:rsidRPr="00B00F53">
        <w:rPr>
          <w:rFonts w:hint="cs"/>
          <w:rtl/>
        </w:rPr>
        <w:t xml:space="preserve"> </w:t>
      </w:r>
    </w:p>
    <w:p w:rsidR="00C044AE" w:rsidRPr="00B00F53" w:rsidRDefault="00C044AE" w:rsidP="00C044AE">
      <w:pPr>
        <w:pStyle w:val="Ruller4"/>
        <w:numPr>
          <w:ilvl w:val="0"/>
          <w:numId w:val="0"/>
        </w:numPr>
        <w:rPr>
          <w:rtl/>
        </w:rPr>
      </w:pPr>
    </w:p>
    <w:p w:rsidR="00C044AE" w:rsidRPr="00B00F53" w:rsidRDefault="00C044AE" w:rsidP="00C044AE">
      <w:pPr>
        <w:pStyle w:val="Ruller4"/>
      </w:pPr>
      <w:r w:rsidRPr="00B00F53">
        <w:rPr>
          <w:rFonts w:hint="cs"/>
          <w:rtl/>
        </w:rPr>
        <w:t xml:space="preserve">ראשית, </w:t>
      </w:r>
      <w:r>
        <w:rPr>
          <w:rFonts w:hint="cs"/>
          <w:rtl/>
        </w:rPr>
        <w:t>כפי שכבר צוין,</w:t>
      </w:r>
      <w:r w:rsidRPr="00B00F53">
        <w:rPr>
          <w:rFonts w:hint="cs"/>
          <w:rtl/>
        </w:rPr>
        <w:t xml:space="preserve"> בשיטתנו הפרלמנטרית </w:t>
      </w:r>
      <w:r w:rsidRPr="00B00F53">
        <w:rPr>
          <w:color w:val="000000"/>
          <w:sz w:val="28"/>
          <w:rtl/>
        </w:rPr>
        <w:t xml:space="preserve">הממשלה </w:t>
      </w:r>
      <w:r w:rsidRPr="00B00F53">
        <w:rPr>
          <w:rFonts w:hint="cs"/>
          <w:color w:val="000000"/>
          <w:sz w:val="28"/>
          <w:rtl/>
        </w:rPr>
        <w:t xml:space="preserve">"שולטת" </w:t>
      </w:r>
      <w:r w:rsidRPr="00B00F53">
        <w:rPr>
          <w:color w:val="000000"/>
          <w:sz w:val="28"/>
          <w:rtl/>
        </w:rPr>
        <w:t>בכנסת הלכה למעשה</w:t>
      </w:r>
      <w:r w:rsidRPr="00B00F53">
        <w:rPr>
          <w:rFonts w:hint="cs"/>
          <w:rtl/>
        </w:rPr>
        <w:t xml:space="preserve"> (עניין </w:t>
      </w:r>
      <w:r w:rsidRPr="00B00F53">
        <w:rPr>
          <w:rFonts w:cs="Miriam" w:hint="cs"/>
          <w:b/>
          <w:spacing w:val="0"/>
          <w:sz w:val="22"/>
          <w:szCs w:val="24"/>
          <w:rtl/>
        </w:rPr>
        <w:t>קוונטינסקי</w:t>
      </w:r>
      <w:r w:rsidRPr="00B00F53">
        <w:rPr>
          <w:rFonts w:hint="cs"/>
          <w:rtl/>
        </w:rPr>
        <w:t xml:space="preserve">, בפסקה 39 לחוות דעתו של השופט </w:t>
      </w:r>
      <w:r w:rsidRPr="00B00F53">
        <w:rPr>
          <w:rFonts w:cs="Miriam" w:hint="cs"/>
          <w:b/>
          <w:spacing w:val="0"/>
          <w:sz w:val="22"/>
          <w:szCs w:val="24"/>
          <w:rtl/>
        </w:rPr>
        <w:t>סולברג</w:t>
      </w:r>
      <w:r w:rsidRPr="00B00F53">
        <w:rPr>
          <w:rFonts w:hint="cs"/>
          <w:rtl/>
        </w:rPr>
        <w:t>). הממשלה אומנם מכהנת מכוח אמון הכנסת, אך בפועל במצב הדברים הרגיל הממשלה נהנית מ"רוב אוטומטי" בכנסת, וניתן לומר כי "במובנים רבים לא הממשלה היא 'סוכנות הביצוע' של הכנסת, אלא הכנסת היא 'סוכנות החקיקה' של הממשלה" (</w:t>
      </w:r>
      <w:r w:rsidRPr="00B00F53">
        <w:rPr>
          <w:rFonts w:cs="Miriam" w:hint="cs"/>
          <w:b/>
          <w:spacing w:val="0"/>
          <w:sz w:val="22"/>
          <w:szCs w:val="24"/>
          <w:rtl/>
        </w:rPr>
        <w:t>ביזור סמכויות</w:t>
      </w:r>
      <w:r w:rsidRPr="00B00F53">
        <w:rPr>
          <w:rFonts w:hint="cs"/>
          <w:rtl/>
        </w:rPr>
        <w:t xml:space="preserve">, </w:t>
      </w:r>
      <w:r w:rsidRPr="00B00F53">
        <w:rPr>
          <w:rFonts w:hint="cs"/>
          <w:rtl/>
        </w:rPr>
        <w:lastRenderedPageBreak/>
        <w:t>בעמ' 76). הדבר בא לידי ביטוי, כפי ש</w:t>
      </w:r>
      <w:r>
        <w:rPr>
          <w:rFonts w:hint="cs"/>
          <w:rtl/>
        </w:rPr>
        <w:t xml:space="preserve">כבר </w:t>
      </w:r>
      <w:r w:rsidRPr="00B00F53">
        <w:rPr>
          <w:rFonts w:hint="cs"/>
          <w:rtl/>
        </w:rPr>
        <w:t xml:space="preserve">צוין לעיל, במנגנוני המשמעת הקואליציונית וועדת השרים לענייני חקיקה, שמובילים לכך שבפועל הממשלה </w:t>
      </w:r>
      <w:r w:rsidRPr="00B00F53">
        <w:rPr>
          <w:rtl/>
        </w:rPr>
        <w:t>–</w:t>
      </w:r>
      <w:r w:rsidRPr="00B00F53">
        <w:rPr>
          <w:rFonts w:hint="cs"/>
          <w:rtl/>
        </w:rPr>
        <w:t xml:space="preserve"> ובפרט ראש הממשלה והשרים הבכירים ("גרעין השליטה" של הרוב הקואליציוני) </w:t>
      </w:r>
      <w:r w:rsidRPr="00B00F53">
        <w:rPr>
          <w:rtl/>
        </w:rPr>
        <w:t>–</w:t>
      </w:r>
      <w:r w:rsidRPr="00B00F53">
        <w:rPr>
          <w:rFonts w:hint="cs"/>
          <w:rtl/>
        </w:rPr>
        <w:t xml:space="preserve"> הם שיקבעו את גורלן של הצעות החוק בכנסת, לשבט או לחסד (</w:t>
      </w:r>
      <w:r w:rsidRPr="00B00F53">
        <w:rPr>
          <w:rFonts w:cs="Miriam" w:hint="cs"/>
          <w:b/>
          <w:spacing w:val="0"/>
          <w:sz w:val="22"/>
          <w:szCs w:val="24"/>
          <w:rtl/>
        </w:rPr>
        <w:t>גוטמן</w:t>
      </w:r>
      <w:r w:rsidRPr="00B00F53">
        <w:rPr>
          <w:rFonts w:hint="cs"/>
          <w:rtl/>
        </w:rPr>
        <w:t>, בעמ' 217; עמיחי כהן ויניב רוזנאי "</w:t>
      </w:r>
      <w:r w:rsidRPr="00B00F53">
        <w:rPr>
          <w:rFonts w:hint="eastAsia"/>
          <w:rtl/>
        </w:rPr>
        <w:t>פופוליזם</w:t>
      </w:r>
      <w:r w:rsidRPr="00B00F53">
        <w:rPr>
          <w:rtl/>
        </w:rPr>
        <w:t xml:space="preserve"> </w:t>
      </w:r>
      <w:r w:rsidRPr="00B00F53">
        <w:rPr>
          <w:rFonts w:hint="eastAsia"/>
          <w:rtl/>
        </w:rPr>
        <w:t>והדמוקרטיה</w:t>
      </w:r>
      <w:r w:rsidRPr="00B00F53">
        <w:rPr>
          <w:rtl/>
        </w:rPr>
        <w:t xml:space="preserve"> </w:t>
      </w:r>
      <w:r w:rsidRPr="00B00F53">
        <w:rPr>
          <w:rFonts w:hint="eastAsia"/>
          <w:rtl/>
        </w:rPr>
        <w:t>החוקתית</w:t>
      </w:r>
      <w:r w:rsidRPr="00B00F53">
        <w:rPr>
          <w:rtl/>
        </w:rPr>
        <w:t xml:space="preserve"> </w:t>
      </w:r>
      <w:r w:rsidRPr="00B00F53">
        <w:rPr>
          <w:rFonts w:hint="eastAsia"/>
          <w:rtl/>
        </w:rPr>
        <w:t>בישראל</w:t>
      </w:r>
      <w:r w:rsidRPr="00B00F53">
        <w:rPr>
          <w:rtl/>
        </w:rPr>
        <w:t>"</w:t>
      </w:r>
      <w:r w:rsidRPr="00B00F53">
        <w:rPr>
          <w:rFonts w:hint="cs"/>
          <w:rtl/>
        </w:rPr>
        <w:t xml:space="preserve"> </w:t>
      </w:r>
      <w:r w:rsidRPr="00B00F53">
        <w:rPr>
          <w:rFonts w:cs="Miriam" w:hint="cs"/>
          <w:b/>
          <w:spacing w:val="0"/>
          <w:sz w:val="22"/>
          <w:szCs w:val="24"/>
          <w:rtl/>
        </w:rPr>
        <w:t>עיוני משפט</w:t>
      </w:r>
      <w:r w:rsidRPr="00B00F53">
        <w:rPr>
          <w:rFonts w:hint="cs"/>
          <w:rtl/>
        </w:rPr>
        <w:t xml:space="preserve"> מד 87, 123-122 (2021) (להלן: </w:t>
      </w:r>
      <w:r w:rsidRPr="00B00F53">
        <w:rPr>
          <w:rFonts w:cs="Miriam" w:hint="cs"/>
          <w:b/>
          <w:spacing w:val="0"/>
          <w:sz w:val="22"/>
          <w:szCs w:val="24"/>
          <w:rtl/>
        </w:rPr>
        <w:t>כהן ורוזנאי</w:t>
      </w:r>
      <w:r w:rsidRPr="00B00F53">
        <w:rPr>
          <w:rFonts w:hint="cs"/>
          <w:rtl/>
        </w:rPr>
        <w:t xml:space="preserve">); ראו גם: </w:t>
      </w:r>
      <w:r w:rsidRPr="00B00F53">
        <w:rPr>
          <w:rFonts w:hint="eastAsia"/>
          <w:rtl/>
        </w:rPr>
        <w:t>בג</w:t>
      </w:r>
      <w:r w:rsidRPr="00B00F53">
        <w:rPr>
          <w:rtl/>
        </w:rPr>
        <w:t>"</w:t>
      </w:r>
      <w:r w:rsidRPr="00B00F53">
        <w:rPr>
          <w:rFonts w:hint="eastAsia"/>
          <w:rtl/>
        </w:rPr>
        <w:t>ץ</w:t>
      </w:r>
      <w:r w:rsidRPr="00B00F53">
        <w:rPr>
          <w:rtl/>
        </w:rPr>
        <w:t xml:space="preserve"> 2144</w:t>
      </w:r>
      <w:r w:rsidRPr="00B00F53">
        <w:rPr>
          <w:rFonts w:hint="cs"/>
          <w:rtl/>
        </w:rPr>
        <w:t>/</w:t>
      </w:r>
      <w:r w:rsidRPr="00B00F53">
        <w:rPr>
          <w:rtl/>
        </w:rPr>
        <w:t xml:space="preserve">20 </w:t>
      </w:r>
      <w:r w:rsidRPr="00B00F53">
        <w:rPr>
          <w:rFonts w:cs="Miriam" w:hint="eastAsia"/>
          <w:b/>
          <w:spacing w:val="0"/>
          <w:sz w:val="22"/>
          <w:szCs w:val="24"/>
          <w:rtl/>
        </w:rPr>
        <w:t>התנועה</w:t>
      </w:r>
      <w:r w:rsidRPr="00B00F53">
        <w:rPr>
          <w:rFonts w:cs="Miriam"/>
          <w:b/>
          <w:spacing w:val="0"/>
          <w:sz w:val="22"/>
          <w:szCs w:val="24"/>
          <w:rtl/>
        </w:rPr>
        <w:t xml:space="preserve"> </w:t>
      </w:r>
      <w:r w:rsidRPr="00B00F53">
        <w:rPr>
          <w:rFonts w:cs="Miriam" w:hint="eastAsia"/>
          <w:b/>
          <w:spacing w:val="0"/>
          <w:sz w:val="22"/>
          <w:szCs w:val="24"/>
          <w:rtl/>
        </w:rPr>
        <w:t>למען</w:t>
      </w:r>
      <w:r w:rsidRPr="00B00F53">
        <w:rPr>
          <w:rFonts w:cs="Miriam"/>
          <w:b/>
          <w:spacing w:val="0"/>
          <w:sz w:val="22"/>
          <w:szCs w:val="24"/>
          <w:rtl/>
        </w:rPr>
        <w:t xml:space="preserve"> </w:t>
      </w:r>
      <w:r w:rsidRPr="00B00F53">
        <w:rPr>
          <w:rFonts w:cs="Miriam" w:hint="eastAsia"/>
          <w:b/>
          <w:spacing w:val="0"/>
          <w:sz w:val="22"/>
          <w:szCs w:val="24"/>
          <w:rtl/>
        </w:rPr>
        <w:t>איכות</w:t>
      </w:r>
      <w:r w:rsidRPr="00B00F53">
        <w:rPr>
          <w:rFonts w:cs="Miriam"/>
          <w:b/>
          <w:spacing w:val="0"/>
          <w:sz w:val="22"/>
          <w:szCs w:val="24"/>
          <w:rtl/>
        </w:rPr>
        <w:t xml:space="preserve"> </w:t>
      </w:r>
      <w:r w:rsidRPr="00B00F53">
        <w:rPr>
          <w:rFonts w:cs="Miriam" w:hint="eastAsia"/>
          <w:b/>
          <w:spacing w:val="0"/>
          <w:sz w:val="22"/>
          <w:szCs w:val="24"/>
          <w:rtl/>
        </w:rPr>
        <w:t>השלטון</w:t>
      </w:r>
      <w:r w:rsidRPr="00B00F53">
        <w:rPr>
          <w:rFonts w:cs="Miriam"/>
          <w:b/>
          <w:spacing w:val="0"/>
          <w:sz w:val="22"/>
          <w:szCs w:val="24"/>
          <w:rtl/>
        </w:rPr>
        <w:t xml:space="preserve"> </w:t>
      </w:r>
      <w:r w:rsidRPr="00B00F53">
        <w:rPr>
          <w:rFonts w:cs="Miriam" w:hint="eastAsia"/>
          <w:b/>
          <w:spacing w:val="0"/>
          <w:sz w:val="22"/>
          <w:szCs w:val="24"/>
          <w:rtl/>
        </w:rPr>
        <w:t>בישראל</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יושב</w:t>
      </w:r>
      <w:r w:rsidRPr="00B00F53">
        <w:rPr>
          <w:rFonts w:cs="Miriam"/>
          <w:b/>
          <w:spacing w:val="0"/>
          <w:sz w:val="22"/>
          <w:szCs w:val="24"/>
          <w:rtl/>
        </w:rPr>
        <w:t xml:space="preserve"> </w:t>
      </w:r>
      <w:r w:rsidRPr="00B00F53">
        <w:rPr>
          <w:rFonts w:cs="Miriam" w:hint="eastAsia"/>
          <w:b/>
          <w:spacing w:val="0"/>
          <w:sz w:val="22"/>
          <w:szCs w:val="24"/>
          <w:rtl/>
        </w:rPr>
        <w:t>ראש</w:t>
      </w:r>
      <w:r w:rsidRPr="00B00F53">
        <w:rPr>
          <w:rFonts w:cs="Miriam"/>
          <w:b/>
          <w:spacing w:val="0"/>
          <w:sz w:val="22"/>
          <w:szCs w:val="24"/>
          <w:rtl/>
        </w:rPr>
        <w:t xml:space="preserve"> </w:t>
      </w:r>
      <w:r w:rsidRPr="00B00F53">
        <w:rPr>
          <w:rFonts w:cs="Miriam" w:hint="eastAsia"/>
          <w:b/>
          <w:spacing w:val="0"/>
          <w:sz w:val="22"/>
          <w:szCs w:val="24"/>
          <w:rtl/>
        </w:rPr>
        <w:t>הכנסת</w:t>
      </w:r>
      <w:r w:rsidRPr="00B00F53">
        <w:rPr>
          <w:rFonts w:hint="cs"/>
          <w:rtl/>
        </w:rPr>
        <w:t>, פסקה 11 לחוות דעתי (23.3.2020)</w:t>
      </w:r>
      <w:r>
        <w:rPr>
          <w:rFonts w:hint="cs"/>
          <w:rtl/>
        </w:rPr>
        <w:t xml:space="preserve"> (להלן: </w:t>
      </w:r>
      <w:r w:rsidRPr="002547F5">
        <w:rPr>
          <w:rFonts w:cs="Miriam" w:hint="cs"/>
          <w:b/>
          <w:spacing w:val="0"/>
          <w:sz w:val="22"/>
          <w:szCs w:val="24"/>
          <w:rtl/>
        </w:rPr>
        <w:t>עניין אדלשטיין</w:t>
      </w:r>
      <w:r>
        <w:rPr>
          <w:rFonts w:hint="cs"/>
          <w:rtl/>
        </w:rPr>
        <w:t>)</w:t>
      </w:r>
      <w:r w:rsidRPr="00B00F53">
        <w:rPr>
          <w:rFonts w:hint="cs"/>
          <w:rtl/>
        </w:rPr>
        <w:t xml:space="preserve">; עניין </w:t>
      </w:r>
      <w:r w:rsidRPr="00B00F53">
        <w:rPr>
          <w:rFonts w:cs="Miriam" w:hint="cs"/>
          <w:b/>
          <w:spacing w:val="0"/>
          <w:sz w:val="22"/>
          <w:szCs w:val="24"/>
          <w:rtl/>
        </w:rPr>
        <w:t>המרכז האקדמי</w:t>
      </w:r>
      <w:r w:rsidRPr="00B00F53">
        <w:rPr>
          <w:rFonts w:hint="cs"/>
          <w:rtl/>
        </w:rPr>
        <w:t xml:space="preserve">, בפסקה י"ד לפסק דינו של המשנה לנשיאה (בדימ') </w:t>
      </w:r>
      <w:r w:rsidRPr="00B00F53">
        <w:rPr>
          <w:rFonts w:cs="Miriam" w:hint="cs"/>
          <w:b/>
          <w:spacing w:val="0"/>
          <w:szCs w:val="24"/>
          <w:rtl/>
        </w:rPr>
        <w:t>רובינשטיין</w:t>
      </w:r>
      <w:r w:rsidRPr="00B00F53">
        <w:rPr>
          <w:rFonts w:hint="cs"/>
          <w:rtl/>
        </w:rPr>
        <w:t>). שליטה זו של הממשלה</w:t>
      </w:r>
      <w:r>
        <w:rPr>
          <w:rFonts w:hint="cs"/>
          <w:rtl/>
        </w:rPr>
        <w:t xml:space="preserve"> על הליכי החקיקה</w:t>
      </w:r>
      <w:r w:rsidRPr="00B00F53">
        <w:rPr>
          <w:rFonts w:hint="cs"/>
          <w:rtl/>
        </w:rPr>
        <w:t xml:space="preserve"> רלוונטית</w:t>
      </w:r>
      <w:r>
        <w:rPr>
          <w:rFonts w:hint="cs"/>
          <w:rtl/>
        </w:rPr>
        <w:t>, כאמור,</w:t>
      </w:r>
      <w:r w:rsidRPr="00B00F53">
        <w:rPr>
          <w:rFonts w:hint="cs"/>
          <w:rtl/>
        </w:rPr>
        <w:t xml:space="preserve"> גם </w:t>
      </w:r>
      <w:r>
        <w:rPr>
          <w:rFonts w:hint="cs"/>
          <w:rtl/>
        </w:rPr>
        <w:t>באשר לחקיקת חוקי היסוד</w:t>
      </w:r>
      <w:r w:rsidRPr="00B00F53">
        <w:rPr>
          <w:rFonts w:hint="cs"/>
          <w:rtl/>
        </w:rPr>
        <w:t xml:space="preserve"> בהינתן ההליך הפשוט</w:t>
      </w:r>
      <w:r>
        <w:rPr>
          <w:rFonts w:hint="cs"/>
          <w:rtl/>
        </w:rPr>
        <w:t xml:space="preserve"> הנדרש לשם</w:t>
      </w:r>
      <w:r w:rsidRPr="00B00F53">
        <w:rPr>
          <w:rFonts w:hint="cs"/>
          <w:rtl/>
        </w:rPr>
        <w:t xml:space="preserve"> חקיקתם </w:t>
      </w:r>
      <w:r>
        <w:rPr>
          <w:rFonts w:hint="cs"/>
          <w:rtl/>
        </w:rPr>
        <w:t xml:space="preserve">או </w:t>
      </w:r>
      <w:r w:rsidRPr="00B00F53">
        <w:rPr>
          <w:rFonts w:hint="cs"/>
          <w:rtl/>
        </w:rPr>
        <w:t xml:space="preserve">שינויים, </w:t>
      </w:r>
      <w:r>
        <w:rPr>
          <w:rFonts w:hint="cs"/>
          <w:rtl/>
        </w:rPr>
        <w:t>והדבר</w:t>
      </w:r>
      <w:r w:rsidRPr="00B00F53">
        <w:rPr>
          <w:rFonts w:hint="cs"/>
          <w:rtl/>
        </w:rPr>
        <w:t xml:space="preserve"> מאפשר לממשלה לשנות כראות עיניה את "כללי המשחק" החוקתיים. </w:t>
      </w:r>
    </w:p>
    <w:p w:rsidR="00C044AE" w:rsidRPr="00B00F53" w:rsidRDefault="00C044AE" w:rsidP="00C044AE">
      <w:pPr>
        <w:pStyle w:val="Ruller4"/>
        <w:numPr>
          <w:ilvl w:val="0"/>
          <w:numId w:val="0"/>
        </w:numPr>
        <w:rPr>
          <w:rtl/>
        </w:rPr>
      </w:pPr>
    </w:p>
    <w:p w:rsidR="00C044AE" w:rsidRPr="00B00F53" w:rsidRDefault="00C044AE" w:rsidP="00C044AE">
      <w:pPr>
        <w:pStyle w:val="Ruller4"/>
        <w:numPr>
          <w:ilvl w:val="0"/>
          <w:numId w:val="0"/>
        </w:numPr>
        <w:rPr>
          <w:rtl/>
        </w:rPr>
      </w:pPr>
      <w:r w:rsidRPr="00B00F53">
        <w:rPr>
          <w:rtl/>
        </w:rPr>
        <w:tab/>
      </w:r>
      <w:r w:rsidRPr="00B00F53">
        <w:rPr>
          <w:rFonts w:hint="cs"/>
          <w:rtl/>
        </w:rPr>
        <w:t xml:space="preserve">מוסד אי-האמון, </w:t>
      </w:r>
      <w:r>
        <w:rPr>
          <w:rFonts w:hint="cs"/>
          <w:rtl/>
        </w:rPr>
        <w:t>ה</w:t>
      </w:r>
      <w:r w:rsidRPr="00B00F53">
        <w:rPr>
          <w:rFonts w:hint="cs"/>
          <w:rtl/>
        </w:rPr>
        <w:t xml:space="preserve">מהווה אחד מכלי הפיקוח המרכזיים של הכנסת על הממשלה, </w:t>
      </w:r>
      <w:r>
        <w:rPr>
          <w:rFonts w:hint="cs"/>
          <w:rtl/>
        </w:rPr>
        <w:t xml:space="preserve">אף הוא </w:t>
      </w:r>
      <w:r w:rsidRPr="00B00F53">
        <w:rPr>
          <w:rFonts w:hint="cs"/>
          <w:rtl/>
        </w:rPr>
        <w:t>צומצם באופן משמעותי לאורך השנים וכיום</w:t>
      </w:r>
      <w:r>
        <w:rPr>
          <w:rFonts w:hint="cs"/>
          <w:rtl/>
        </w:rPr>
        <w:t xml:space="preserve"> הוא</w:t>
      </w:r>
      <w:r w:rsidRPr="00B00F53">
        <w:rPr>
          <w:rFonts w:hint="cs"/>
          <w:rtl/>
        </w:rPr>
        <w:t xml:space="preserve"> מחייב החלטה של הכנסת, ברוב חבריה, להביע אמון בממשלה אחרת (שיטה המכונה "אי-אמון קונסטרוקטיבי"; סעיף 28 לחוק-יסוד הממשלה; להרחבה ראו: עניין </w:t>
      </w:r>
      <w:r w:rsidRPr="00B00F53">
        <w:rPr>
          <w:rFonts w:cs="Miriam" w:hint="cs"/>
          <w:b/>
          <w:spacing w:val="0"/>
          <w:sz w:val="22"/>
          <w:szCs w:val="24"/>
          <w:rtl/>
        </w:rPr>
        <w:t>ממשלת החילופים</w:t>
      </w:r>
      <w:r w:rsidRPr="00B00F53">
        <w:rPr>
          <w:rFonts w:hint="cs"/>
          <w:rtl/>
        </w:rPr>
        <w:t xml:space="preserve">, בפסקאות 5-4 לחוות דעתי). </w:t>
      </w:r>
      <w:r>
        <w:rPr>
          <w:rFonts w:hint="cs"/>
          <w:rtl/>
        </w:rPr>
        <w:t>זאת בעוד ש</w:t>
      </w:r>
      <w:r w:rsidRPr="00B00F53">
        <w:rPr>
          <w:rFonts w:hint="cs"/>
          <w:rtl/>
        </w:rPr>
        <w:t>לראש הממשלה</w:t>
      </w:r>
      <w:r>
        <w:rPr>
          <w:rFonts w:hint="cs"/>
          <w:rtl/>
        </w:rPr>
        <w:t xml:space="preserve">, </w:t>
      </w:r>
      <w:r w:rsidRPr="00B00F53">
        <w:rPr>
          <w:rFonts w:hint="cs"/>
          <w:rtl/>
        </w:rPr>
        <w:t>בהסכמת נשיא המדינה</w:t>
      </w:r>
      <w:r>
        <w:rPr>
          <w:rFonts w:hint="cs"/>
          <w:rtl/>
        </w:rPr>
        <w:t>, הוקנתה סמכות לפזר את הכנסת בצו</w:t>
      </w:r>
      <w:r w:rsidRPr="00B00F53">
        <w:rPr>
          <w:rFonts w:hint="cs"/>
          <w:rtl/>
        </w:rPr>
        <w:t xml:space="preserve"> (סעיף 29(א) לחוק-יסוד: הממשלה)</w:t>
      </w:r>
      <w:r>
        <w:rPr>
          <w:rFonts w:hint="cs"/>
          <w:rtl/>
        </w:rPr>
        <w:t>.</w:t>
      </w:r>
      <w:r w:rsidRPr="00B00F53">
        <w:rPr>
          <w:rFonts w:hint="cs"/>
          <w:rtl/>
        </w:rPr>
        <w:t xml:space="preserve"> בכך יש משום ערעור על עצם העקרון שלפיו "</w:t>
      </w:r>
      <w:r w:rsidRPr="00B00F53">
        <w:rPr>
          <w:rtl/>
        </w:rPr>
        <w:t xml:space="preserve">הממשלה מכהנת מכוח </w:t>
      </w:r>
      <w:r w:rsidRPr="00B00F53">
        <w:rPr>
          <w:rFonts w:hint="cs"/>
          <w:rtl/>
        </w:rPr>
        <w:t xml:space="preserve">[אמון] </w:t>
      </w:r>
      <w:r w:rsidRPr="00B00F53">
        <w:rPr>
          <w:rtl/>
        </w:rPr>
        <w:t>הכנסת ולא להפך</w:t>
      </w:r>
      <w:r w:rsidRPr="00B00F53">
        <w:rPr>
          <w:rFonts w:hint="cs"/>
          <w:rtl/>
        </w:rPr>
        <w:t>" (</w:t>
      </w:r>
      <w:r w:rsidRPr="00B00F53">
        <w:rPr>
          <w:rFonts w:hint="eastAsia"/>
          <w:rtl/>
        </w:rPr>
        <w:t>שמעון</w:t>
      </w:r>
      <w:r w:rsidRPr="00B00F53">
        <w:rPr>
          <w:rtl/>
        </w:rPr>
        <w:t xml:space="preserve"> </w:t>
      </w:r>
      <w:r w:rsidRPr="00B00F53">
        <w:rPr>
          <w:rFonts w:hint="eastAsia"/>
          <w:rtl/>
        </w:rPr>
        <w:t>שטרית</w:t>
      </w:r>
      <w:r w:rsidRPr="00B00F53">
        <w:rPr>
          <w:rtl/>
        </w:rPr>
        <w:t xml:space="preserve"> </w:t>
      </w:r>
      <w:r w:rsidRPr="00415FA9">
        <w:rPr>
          <w:rFonts w:cs="Miriam" w:hint="eastAsia"/>
          <w:b/>
          <w:spacing w:val="0"/>
          <w:sz w:val="22"/>
          <w:szCs w:val="24"/>
          <w:rtl/>
        </w:rPr>
        <w:t>הממשלה</w:t>
      </w:r>
      <w:r w:rsidRPr="00415FA9">
        <w:rPr>
          <w:rFonts w:cs="Miriam"/>
          <w:b/>
          <w:spacing w:val="0"/>
          <w:sz w:val="22"/>
          <w:szCs w:val="24"/>
          <w:rtl/>
        </w:rPr>
        <w:t xml:space="preserve">: </w:t>
      </w:r>
      <w:r w:rsidRPr="00B00F53">
        <w:rPr>
          <w:rFonts w:cs="Miriam" w:hint="eastAsia"/>
          <w:b/>
          <w:spacing w:val="0"/>
          <w:sz w:val="22"/>
          <w:szCs w:val="24"/>
          <w:rtl/>
        </w:rPr>
        <w:t>הרשות</w:t>
      </w:r>
      <w:r w:rsidRPr="00B00F53">
        <w:rPr>
          <w:rFonts w:cs="Miriam"/>
          <w:b/>
          <w:spacing w:val="0"/>
          <w:sz w:val="22"/>
          <w:szCs w:val="24"/>
          <w:rtl/>
        </w:rPr>
        <w:t xml:space="preserve"> </w:t>
      </w:r>
      <w:r w:rsidRPr="00B00F53">
        <w:rPr>
          <w:rFonts w:cs="Miriam" w:hint="eastAsia"/>
          <w:b/>
          <w:spacing w:val="0"/>
          <w:sz w:val="22"/>
          <w:szCs w:val="24"/>
          <w:rtl/>
        </w:rPr>
        <w:t>המבצעת</w:t>
      </w:r>
      <w:r w:rsidRPr="00B00F53">
        <w:rPr>
          <w:rFonts w:cs="Miriam"/>
          <w:b/>
          <w:spacing w:val="0"/>
          <w:sz w:val="22"/>
          <w:szCs w:val="24"/>
          <w:rtl/>
        </w:rPr>
        <w:t xml:space="preserve"> – </w:t>
      </w:r>
      <w:r w:rsidRPr="00B00F53">
        <w:rPr>
          <w:rFonts w:cs="Miriam" w:hint="eastAsia"/>
          <w:b/>
          <w:spacing w:val="0"/>
          <w:sz w:val="22"/>
          <w:szCs w:val="24"/>
          <w:rtl/>
        </w:rPr>
        <w:t>פירוש</w:t>
      </w:r>
      <w:r w:rsidRPr="00B00F53">
        <w:rPr>
          <w:rFonts w:cs="Miriam"/>
          <w:b/>
          <w:spacing w:val="0"/>
          <w:sz w:val="22"/>
          <w:szCs w:val="24"/>
          <w:rtl/>
        </w:rPr>
        <w:t xml:space="preserve"> </w:t>
      </w:r>
      <w:r w:rsidRPr="00B00F53">
        <w:rPr>
          <w:rFonts w:cs="Miriam" w:hint="eastAsia"/>
          <w:b/>
          <w:spacing w:val="0"/>
          <w:sz w:val="22"/>
          <w:szCs w:val="24"/>
          <w:rtl/>
        </w:rPr>
        <w:t>לחוק</w:t>
      </w:r>
      <w:r w:rsidRPr="00B00F53">
        <w:rPr>
          <w:rFonts w:cs="Miriam"/>
          <w:b/>
          <w:spacing w:val="0"/>
          <w:sz w:val="22"/>
          <w:szCs w:val="24"/>
          <w:rtl/>
        </w:rPr>
        <w:t>-</w:t>
      </w:r>
      <w:r w:rsidRPr="00B00F53">
        <w:rPr>
          <w:rFonts w:cs="Miriam" w:hint="eastAsia"/>
          <w:b/>
          <w:spacing w:val="0"/>
          <w:sz w:val="22"/>
          <w:szCs w:val="24"/>
          <w:rtl/>
        </w:rPr>
        <w:t>יסוד</w:t>
      </w:r>
      <w:r w:rsidRPr="00B00F53">
        <w:rPr>
          <w:rFonts w:cs="Miriam"/>
          <w:b/>
          <w:spacing w:val="0"/>
          <w:sz w:val="22"/>
          <w:szCs w:val="24"/>
          <w:rtl/>
        </w:rPr>
        <w:t xml:space="preserve">: </w:t>
      </w:r>
      <w:r w:rsidRPr="00B00F53">
        <w:rPr>
          <w:rFonts w:cs="Miriam" w:hint="eastAsia"/>
          <w:b/>
          <w:spacing w:val="0"/>
          <w:sz w:val="22"/>
          <w:szCs w:val="24"/>
          <w:rtl/>
        </w:rPr>
        <w:t>הממשלה</w:t>
      </w:r>
      <w:r w:rsidRPr="00B00F53">
        <w:rPr>
          <w:rtl/>
        </w:rPr>
        <w:t xml:space="preserve"> </w:t>
      </w:r>
      <w:r w:rsidRPr="00B00F53">
        <w:rPr>
          <w:rFonts w:hint="cs"/>
          <w:rtl/>
        </w:rPr>
        <w:t>509</w:t>
      </w:r>
      <w:r w:rsidRPr="00B00F53">
        <w:rPr>
          <w:rtl/>
        </w:rPr>
        <w:t xml:space="preserve"> (</w:t>
      </w:r>
      <w:r>
        <w:rPr>
          <w:rFonts w:hint="cs"/>
          <w:rtl/>
        </w:rPr>
        <w:t xml:space="preserve">יצחק זמיר עורך, </w:t>
      </w:r>
      <w:r w:rsidRPr="00B00F53">
        <w:rPr>
          <w:rtl/>
        </w:rPr>
        <w:t>2018)</w:t>
      </w:r>
      <w:r w:rsidRPr="00B00F53">
        <w:rPr>
          <w:rFonts w:hint="cs"/>
          <w:rtl/>
        </w:rPr>
        <w:t xml:space="preserve"> (להלן: </w:t>
      </w:r>
      <w:r w:rsidRPr="00B00F53">
        <w:rPr>
          <w:rFonts w:cs="Miriam" w:hint="cs"/>
          <w:b/>
          <w:spacing w:val="0"/>
          <w:sz w:val="22"/>
          <w:szCs w:val="24"/>
          <w:rtl/>
        </w:rPr>
        <w:t>שטרית</w:t>
      </w:r>
      <w:r w:rsidRPr="00B00F53">
        <w:rPr>
          <w:rFonts w:hint="cs"/>
          <w:rtl/>
        </w:rPr>
        <w:t xml:space="preserve">)). </w:t>
      </w:r>
    </w:p>
    <w:p w:rsidR="00C044AE" w:rsidRPr="00B00F53" w:rsidRDefault="00C044AE" w:rsidP="00C044AE">
      <w:pPr>
        <w:pStyle w:val="Ruller4"/>
        <w:numPr>
          <w:ilvl w:val="0"/>
          <w:numId w:val="0"/>
        </w:numPr>
        <w:rPr>
          <w:rtl/>
        </w:rPr>
      </w:pPr>
    </w:p>
    <w:p w:rsidR="00C044AE" w:rsidRPr="00B00F53" w:rsidRDefault="00C044AE" w:rsidP="00C044AE">
      <w:pPr>
        <w:pStyle w:val="Ruller4"/>
        <w:numPr>
          <w:ilvl w:val="0"/>
          <w:numId w:val="0"/>
        </w:numPr>
        <w:rPr>
          <w:rtl/>
        </w:rPr>
      </w:pPr>
      <w:r w:rsidRPr="00B00F53">
        <w:rPr>
          <w:rtl/>
        </w:rPr>
        <w:tab/>
      </w:r>
      <w:r w:rsidRPr="00B00F53">
        <w:rPr>
          <w:rFonts w:hint="cs"/>
          <w:rtl/>
        </w:rPr>
        <w:t xml:space="preserve">לכך יש להוסיף היבטים נוספים שחיזקו את אחיזת הממשלה בכנסת בשנים האחרונות, ובראשם הכהונה הממושכת של ממשלות מעבר, אשר נהנות מסמכויות </w:t>
      </w:r>
      <w:r>
        <w:rPr>
          <w:rFonts w:hint="cs"/>
          <w:rtl/>
        </w:rPr>
        <w:t>ה</w:t>
      </w:r>
      <w:r w:rsidRPr="00B00F53">
        <w:rPr>
          <w:rFonts w:hint="cs"/>
          <w:rtl/>
        </w:rPr>
        <w:t>דומות</w:t>
      </w:r>
      <w:r>
        <w:rPr>
          <w:rFonts w:hint="cs"/>
          <w:rtl/>
        </w:rPr>
        <w:t xml:space="preserve"> לאלה של</w:t>
      </w:r>
      <w:r w:rsidRPr="00B00F53">
        <w:rPr>
          <w:rFonts w:hint="cs"/>
          <w:rtl/>
        </w:rPr>
        <w:t xml:space="preserve"> ממשלות רגילות, אף שאינן פועלות מכוח אמון הכנסת (ראו: </w:t>
      </w:r>
      <w:r w:rsidRPr="00563186">
        <w:rPr>
          <w:rFonts w:ascii="FrankRuehl" w:hAnsi="FrankRuehl" w:hint="cs"/>
          <w:color w:val="000000"/>
          <w:sz w:val="28"/>
          <w:rtl/>
        </w:rPr>
        <w:t xml:space="preserve">בג"ץ 6654/22 </w:t>
      </w:r>
      <w:r w:rsidRPr="00563186">
        <w:rPr>
          <w:rFonts w:ascii="Century" w:hAnsi="Century" w:cs="Miriam" w:hint="cs"/>
          <w:b/>
          <w:spacing w:val="0"/>
          <w:szCs w:val="24"/>
          <w:rtl/>
        </w:rPr>
        <w:t>פורום קהלת נ' ראש הממשלה</w:t>
      </w:r>
      <w:r w:rsidRPr="00563186">
        <w:rPr>
          <w:rFonts w:ascii="FrankRuehl" w:hAnsi="FrankRuehl" w:hint="cs"/>
          <w:color w:val="000000"/>
          <w:sz w:val="28"/>
          <w:rtl/>
        </w:rPr>
        <w:t xml:space="preserve">, פסקה 6 לחוות </w:t>
      </w:r>
      <w:r>
        <w:rPr>
          <w:rFonts w:ascii="FrankRuehl" w:hAnsi="FrankRuehl" w:hint="cs"/>
          <w:color w:val="000000"/>
          <w:sz w:val="28"/>
          <w:rtl/>
        </w:rPr>
        <w:t>דעתי</w:t>
      </w:r>
      <w:r w:rsidRPr="00563186">
        <w:rPr>
          <w:rFonts w:ascii="FrankRuehl" w:hAnsi="FrankRuehl" w:hint="cs"/>
          <w:color w:val="000000"/>
          <w:sz w:val="28"/>
          <w:rtl/>
        </w:rPr>
        <w:t xml:space="preserve"> (13.12.2022)</w:t>
      </w:r>
      <w:r>
        <w:rPr>
          <w:rFonts w:ascii="FrankRuehl" w:hAnsi="FrankRuehl" w:hint="cs"/>
          <w:color w:val="000000"/>
          <w:sz w:val="28"/>
          <w:rtl/>
        </w:rPr>
        <w:t xml:space="preserve"> (להלן: </w:t>
      </w:r>
      <w:r w:rsidRPr="007566FD">
        <w:rPr>
          <w:rFonts w:ascii="Century" w:hAnsi="Century" w:cs="Miriam" w:hint="cs"/>
          <w:b/>
          <w:spacing w:val="0"/>
          <w:sz w:val="22"/>
          <w:szCs w:val="24"/>
          <w:rtl/>
        </w:rPr>
        <w:t>עניין פורום קהלת</w:t>
      </w:r>
      <w:r>
        <w:rPr>
          <w:rFonts w:ascii="FrankRuehl" w:hAnsi="FrankRuehl" w:hint="cs"/>
          <w:color w:val="000000"/>
          <w:sz w:val="28"/>
          <w:rtl/>
        </w:rPr>
        <w:t>)</w:t>
      </w:r>
      <w:r w:rsidRPr="00B00F53">
        <w:rPr>
          <w:rFonts w:hint="cs"/>
          <w:rtl/>
        </w:rPr>
        <w:t xml:space="preserve">). </w:t>
      </w:r>
      <w:r>
        <w:rPr>
          <w:rFonts w:hint="cs"/>
          <w:rtl/>
        </w:rPr>
        <w:t>עוד</w:t>
      </w:r>
      <w:r w:rsidRPr="00B00F53">
        <w:rPr>
          <w:rFonts w:hint="cs"/>
          <w:rtl/>
        </w:rPr>
        <w:t xml:space="preserve"> יש לציין את חקיקת "החוק הנורבגי", שמאפשר לחברי כנסת שמונו לתפקיד שר או סגן שר להתפטר מהכנסת, כך שבמקומם ייכנס הבא בתור ברשימתם; אך עם תום כהונתם בממשלה, הם רשאים לשוב ולכהן כחברי כנסת במקום חברי הכנסת "המחליפים" (סעיף 42ג לחוק-יסוד: הכנסת; ראו: </w:t>
      </w:r>
      <w:r w:rsidRPr="00B00F53">
        <w:rPr>
          <w:rFonts w:hint="eastAsia"/>
          <w:rtl/>
        </w:rPr>
        <w:t>בג</w:t>
      </w:r>
      <w:r w:rsidRPr="00B00F53">
        <w:rPr>
          <w:rtl/>
        </w:rPr>
        <w:t>"</w:t>
      </w:r>
      <w:r w:rsidRPr="00B00F53">
        <w:rPr>
          <w:rFonts w:hint="eastAsia"/>
          <w:rtl/>
        </w:rPr>
        <w:t>ץ</w:t>
      </w:r>
      <w:r w:rsidRPr="00B00F53">
        <w:rPr>
          <w:rtl/>
        </w:rPr>
        <w:t xml:space="preserve"> 4076/20 </w:t>
      </w:r>
      <w:r w:rsidRPr="00B00F53">
        <w:rPr>
          <w:rFonts w:cs="Miriam" w:hint="eastAsia"/>
          <w:b/>
          <w:spacing w:val="0"/>
          <w:sz w:val="22"/>
          <w:szCs w:val="24"/>
          <w:rtl/>
        </w:rPr>
        <w:t>שפירא</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הכנסת</w:t>
      </w:r>
      <w:r w:rsidRPr="00B00F53">
        <w:rPr>
          <w:rtl/>
        </w:rPr>
        <w:t xml:space="preserve"> (22.7.2020)</w:t>
      </w:r>
      <w:r w:rsidRPr="00B00F53">
        <w:rPr>
          <w:rFonts w:hint="cs"/>
          <w:rtl/>
        </w:rPr>
        <w:t>). על כן, אותם חברי כנסת "מחליפים" עשויים לחוש מחויבות יתרה לממשלה, בידיעה כי המשך כהונתם תלוי ברצונה הטוב (</w:t>
      </w:r>
      <w:r w:rsidRPr="00B00F53">
        <w:rPr>
          <w:rFonts w:cs="Miriam" w:hint="cs"/>
          <w:b/>
          <w:spacing w:val="0"/>
          <w:sz w:val="22"/>
          <w:szCs w:val="24"/>
          <w:rtl/>
        </w:rPr>
        <w:t>שטרית</w:t>
      </w:r>
      <w:r w:rsidRPr="00B00F53">
        <w:rPr>
          <w:rFonts w:hint="cs"/>
          <w:rtl/>
        </w:rPr>
        <w:t xml:space="preserve">, בעמ' 325-324). בשנים האחרונות הורחב ההסדר, באופן שמאפשר ליותר שרים וסגני שרים להתפטר מתפקידם </w:t>
      </w:r>
      <w:r w:rsidRPr="00B00F53">
        <w:rPr>
          <w:rFonts w:hint="cs"/>
          <w:rtl/>
        </w:rPr>
        <w:lastRenderedPageBreak/>
        <w:t xml:space="preserve">במסגרתו, ונכון לחודש ספטמבר 2023 </w:t>
      </w:r>
      <w:r w:rsidRPr="006747E2">
        <w:rPr>
          <w:rFonts w:cs="Miriam" w:hint="cs"/>
          <w:b/>
          <w:spacing w:val="0"/>
          <w:sz w:val="22"/>
          <w:szCs w:val="24"/>
          <w:rtl/>
        </w:rPr>
        <w:t>למעלה מרבע</w:t>
      </w:r>
      <w:r w:rsidRPr="00B00F53">
        <w:rPr>
          <w:rFonts w:hint="cs"/>
          <w:rtl/>
        </w:rPr>
        <w:t xml:space="preserve"> </w:t>
      </w:r>
      <w:r>
        <w:rPr>
          <w:rFonts w:hint="cs"/>
          <w:rtl/>
        </w:rPr>
        <w:t>מ</w:t>
      </w:r>
      <w:r w:rsidRPr="00B00F53">
        <w:rPr>
          <w:rFonts w:hint="cs"/>
          <w:rtl/>
        </w:rPr>
        <w:t xml:space="preserve">חברי </w:t>
      </w:r>
      <w:r>
        <w:rPr>
          <w:rFonts w:hint="cs"/>
          <w:rtl/>
        </w:rPr>
        <w:t>ה</w:t>
      </w:r>
      <w:r w:rsidRPr="00B00F53">
        <w:rPr>
          <w:rFonts w:hint="cs"/>
          <w:rtl/>
        </w:rPr>
        <w:t>כנסת מטעם הקואליציה החליפו חברי ממשלה שהתפטרו מהכנסת (פסקה 225 לתצהיר התשובה מטעם היועצת).</w:t>
      </w:r>
    </w:p>
    <w:p w:rsidR="00C044AE" w:rsidRPr="00B00F53" w:rsidRDefault="00C044AE" w:rsidP="00C044AE">
      <w:pPr>
        <w:pStyle w:val="Ruller41"/>
        <w:rPr>
          <w:rFonts w:ascii="Garamond" w:hAnsi="Garamond"/>
          <w:rtl/>
        </w:rPr>
      </w:pPr>
    </w:p>
    <w:p w:rsidR="00C044AE" w:rsidRPr="00B00F53" w:rsidRDefault="00C044AE" w:rsidP="00C044AE">
      <w:pPr>
        <w:pStyle w:val="Ruller41"/>
        <w:rPr>
          <w:rFonts w:ascii="Garamond" w:hAnsi="Garamond"/>
          <w:rtl/>
        </w:rPr>
      </w:pPr>
      <w:r w:rsidRPr="00B00F53">
        <w:rPr>
          <w:rFonts w:ascii="Garamond" w:hAnsi="Garamond"/>
          <w:rtl/>
        </w:rPr>
        <w:tab/>
      </w:r>
      <w:r w:rsidRPr="00B00F53">
        <w:rPr>
          <w:rFonts w:ascii="Garamond" w:hAnsi="Garamond" w:hint="cs"/>
          <w:rtl/>
        </w:rPr>
        <w:t>על רקע כל האמור, ניתן לומר כי "הממשלה טלטלה את מערך השלטון בישראל, מחקה כמעט לחלוטין את ביזור הסמכויות בין הרשויות הפוליטיות, וכיום היא מרכזת בידיה, הלכה למעשה, את סמכויות הביצוע והחקיקה גם יחד" (</w:t>
      </w:r>
      <w:r w:rsidRPr="00B00F53">
        <w:rPr>
          <w:rFonts w:ascii="Garamond" w:hAnsi="Garamond" w:cs="Miriam" w:hint="cs"/>
          <w:b/>
          <w:spacing w:val="0"/>
          <w:szCs w:val="24"/>
          <w:rtl/>
        </w:rPr>
        <w:t>גוטמן</w:t>
      </w:r>
      <w:r w:rsidRPr="00B00F53">
        <w:rPr>
          <w:rFonts w:ascii="Garamond" w:hAnsi="Garamond" w:hint="cs"/>
          <w:rtl/>
        </w:rPr>
        <w:t xml:space="preserve">, בעמ' 198).  </w:t>
      </w:r>
    </w:p>
    <w:p w:rsidR="00C044AE" w:rsidRPr="00B00F53" w:rsidRDefault="00C044AE" w:rsidP="00C044AE">
      <w:pPr>
        <w:pStyle w:val="Ruller41"/>
        <w:rPr>
          <w:rFonts w:ascii="Garamond" w:hAnsi="Garamond"/>
          <w:rtl/>
        </w:rPr>
      </w:pPr>
    </w:p>
    <w:p w:rsidR="00C044AE" w:rsidRPr="00B00F53" w:rsidRDefault="00C044AE" w:rsidP="00C044AE">
      <w:pPr>
        <w:pStyle w:val="Ruller4"/>
        <w:rPr>
          <w:rtl/>
        </w:rPr>
      </w:pPr>
      <w:r w:rsidRPr="00B00F53">
        <w:rPr>
          <w:rFonts w:hint="cs"/>
          <w:rtl/>
        </w:rPr>
        <w:t xml:space="preserve">למרות </w:t>
      </w:r>
      <w:r w:rsidRPr="00AE2107">
        <w:rPr>
          <w:rtl/>
        </w:rPr>
        <w:t>ה</w:t>
      </w:r>
      <w:r>
        <w:rPr>
          <w:rFonts w:hint="cs"/>
          <w:rtl/>
        </w:rPr>
        <w:t xml:space="preserve">כוח </w:t>
      </w:r>
      <w:r w:rsidRPr="00B00F53">
        <w:rPr>
          <w:rFonts w:hint="cs"/>
          <w:rtl/>
        </w:rPr>
        <w:t xml:space="preserve">חסר התקדים המרוכז בידי הרשות המבצעת-מחוקקת </w:t>
      </w:r>
      <w:r>
        <w:rPr>
          <w:rFonts w:hint="cs"/>
          <w:rtl/>
        </w:rPr>
        <w:t>שהופך אותה למעין "רשות-על", אין</w:t>
      </w:r>
      <w:r w:rsidRPr="00B00F53">
        <w:rPr>
          <w:rFonts w:hint="cs"/>
          <w:rtl/>
        </w:rPr>
        <w:t xml:space="preserve"> </w:t>
      </w:r>
      <w:r>
        <w:rPr>
          <w:rFonts w:hint="cs"/>
          <w:rtl/>
        </w:rPr>
        <w:t xml:space="preserve">כמעט </w:t>
      </w:r>
      <w:r w:rsidRPr="00B00F53">
        <w:rPr>
          <w:rFonts w:hint="cs"/>
          <w:rtl/>
        </w:rPr>
        <w:t xml:space="preserve">מגבלות על </w:t>
      </w:r>
      <w:r>
        <w:rPr>
          <w:rFonts w:hint="cs"/>
          <w:rtl/>
        </w:rPr>
        <w:t>כוחה זה</w:t>
      </w:r>
      <w:r w:rsidRPr="00B00F53">
        <w:rPr>
          <w:rFonts w:hint="cs"/>
          <w:rtl/>
        </w:rPr>
        <w:t xml:space="preserve">. </w:t>
      </w:r>
      <w:r>
        <w:rPr>
          <w:rFonts w:hint="cs"/>
          <w:rtl/>
        </w:rPr>
        <w:t>ראוי לתשומת לב בהקשר זה</w:t>
      </w:r>
      <w:r w:rsidRPr="00B00F53">
        <w:rPr>
          <w:rFonts w:hint="cs"/>
          <w:rtl/>
        </w:rPr>
        <w:t xml:space="preserve"> מחקר שבחן את קיומם של חמישה מנגנונים לביזור הכוח הפוליטי</w:t>
      </w:r>
      <w:r>
        <w:rPr>
          <w:rFonts w:hint="cs"/>
          <w:rtl/>
        </w:rPr>
        <w:t xml:space="preserve"> ב-</w:t>
      </w:r>
      <w:r w:rsidRPr="00B00F53">
        <w:rPr>
          <w:rFonts w:hint="cs"/>
          <w:rtl/>
        </w:rPr>
        <w:t>66 מדינות שדורגו כ"מדינות חופשיות"</w:t>
      </w:r>
      <w:r>
        <w:rPr>
          <w:rFonts w:hint="cs"/>
          <w:rtl/>
        </w:rPr>
        <w:t xml:space="preserve"> </w:t>
      </w:r>
      <w:r w:rsidRPr="00B00F53">
        <w:rPr>
          <w:rFonts w:hint="cs"/>
          <w:rtl/>
        </w:rPr>
        <w:t xml:space="preserve">על ידי הארגון </w:t>
      </w:r>
      <w:r w:rsidRPr="00B00F53">
        <w:t>Freedom House</w:t>
      </w:r>
      <w:r>
        <w:rPr>
          <w:rFonts w:hint="cs"/>
          <w:rtl/>
        </w:rPr>
        <w:t>:</w:t>
      </w:r>
      <w:r w:rsidRPr="00B00F53">
        <w:rPr>
          <w:rFonts w:hint="cs"/>
          <w:rtl/>
        </w:rPr>
        <w:t xml:space="preserve"> (1) פיצול הרשות המחוקקת לשני </w:t>
      </w:r>
      <w:r>
        <w:rPr>
          <w:rFonts w:hint="cs"/>
          <w:rtl/>
        </w:rPr>
        <w:t>גופים או "בתים"</w:t>
      </w:r>
      <w:r w:rsidRPr="00B00F53">
        <w:rPr>
          <w:rFonts w:hint="cs"/>
          <w:rtl/>
        </w:rPr>
        <w:t>; (2) שיטה נשיאותית שיוצרת הפרדה מובהקת בין הרשות המחוקקת לרשות המבצעת; (3) שיטה פדרלית שמבוססת על חלוקת הכוח בין השלטון המרכזי ל"מדינות" הפדרציה; (4) שיטת בחירות אזורית המחייבת את נבחרי הציבור ליתן משקל לאינטרסים "מקומיים"; (5) חברות בגופים בינלאומיים כמו האיחוד האירופי או בתי דין אזוריים לזכויות אדם, שמשפיעים על התנהלות המדינה (</w:t>
      </w:r>
      <w:r>
        <w:rPr>
          <w:rFonts w:hint="cs"/>
          <w:rtl/>
        </w:rPr>
        <w:t>ראו תמצית ממצאי המחקר ב</w:t>
      </w:r>
      <w:r w:rsidRPr="00B00F53">
        <w:rPr>
          <w:rFonts w:cs="Miriam" w:hint="cs"/>
          <w:b/>
          <w:spacing w:val="0"/>
          <w:sz w:val="22"/>
          <w:szCs w:val="24"/>
          <w:rtl/>
        </w:rPr>
        <w:t>כהן ורוזנאי</w:t>
      </w:r>
      <w:r w:rsidRPr="00B00F53">
        <w:rPr>
          <w:rFonts w:hint="cs"/>
          <w:rtl/>
        </w:rPr>
        <w:t>, בעמ' 122-117</w:t>
      </w:r>
      <w:r>
        <w:rPr>
          <w:rFonts w:hint="cs"/>
          <w:rtl/>
        </w:rPr>
        <w:t xml:space="preserve">; להרחבה ראו: </w:t>
      </w:r>
      <w:r w:rsidRPr="00B00F53">
        <w:rPr>
          <w:rFonts w:hint="cs"/>
          <w:rtl/>
        </w:rPr>
        <w:t xml:space="preserve">עמיחי כהן </w:t>
      </w:r>
      <w:r w:rsidRPr="00B00F53">
        <w:rPr>
          <w:rFonts w:cs="Miriam" w:hint="cs"/>
          <w:b/>
          <w:spacing w:val="0"/>
          <w:sz w:val="22"/>
          <w:szCs w:val="24"/>
          <w:rtl/>
        </w:rPr>
        <w:t>פסקת ההתגברות: איזונים ובלמים של המוסדות הפוליטיים ומערכת המשפט</w:t>
      </w:r>
      <w:r w:rsidRPr="00B00F53">
        <w:rPr>
          <w:rFonts w:hint="cs"/>
          <w:rtl/>
        </w:rPr>
        <w:t xml:space="preserve"> </w:t>
      </w:r>
      <w:r>
        <w:rPr>
          <w:rFonts w:hint="cs"/>
          <w:rtl/>
        </w:rPr>
        <w:t xml:space="preserve">23-14 </w:t>
      </w:r>
      <w:r w:rsidRPr="00B00F53">
        <w:rPr>
          <w:rFonts w:hint="cs"/>
          <w:rtl/>
        </w:rPr>
        <w:t xml:space="preserve">(2018) (להלן: </w:t>
      </w:r>
      <w:r w:rsidRPr="00B00F53">
        <w:rPr>
          <w:rFonts w:cs="Miriam" w:hint="cs"/>
          <w:b/>
          <w:spacing w:val="0"/>
          <w:sz w:val="22"/>
          <w:szCs w:val="24"/>
          <w:rtl/>
        </w:rPr>
        <w:t>כהן "איזונים ובלמים"</w:t>
      </w:r>
      <w:r w:rsidRPr="00B00F53">
        <w:rPr>
          <w:rFonts w:hint="cs"/>
          <w:rtl/>
        </w:rPr>
        <w:t xml:space="preserve">)). המחקר מצא כי ברוב הגדול של המדינות קיים יותר ממנגנון אחד מבין המנגנונים הללו. לעומת זאת, ישראל היא המדינה </w:t>
      </w:r>
      <w:r w:rsidRPr="00B00F53">
        <w:rPr>
          <w:rFonts w:cs="Miriam" w:hint="cs"/>
          <w:b/>
          <w:spacing w:val="0"/>
          <w:sz w:val="22"/>
          <w:szCs w:val="24"/>
          <w:rtl/>
        </w:rPr>
        <w:t xml:space="preserve">היחידה </w:t>
      </w:r>
      <w:r w:rsidRPr="00B00F53">
        <w:rPr>
          <w:rFonts w:hint="cs"/>
          <w:rtl/>
        </w:rPr>
        <w:t>שבה לא קיימת</w:t>
      </w:r>
      <w:r>
        <w:rPr>
          <w:rFonts w:hint="cs"/>
          <w:rtl/>
        </w:rPr>
        <w:t xml:space="preserve"> אף לא</w:t>
      </w:r>
      <w:r w:rsidRPr="00B00F53">
        <w:rPr>
          <w:rFonts w:hint="cs"/>
          <w:rtl/>
        </w:rPr>
        <w:t xml:space="preserve"> אחת מהמגבלות המבניות</w:t>
      </w:r>
      <w:r>
        <w:rPr>
          <w:rFonts w:hint="cs"/>
          <w:rtl/>
        </w:rPr>
        <w:t xml:space="preserve"> הללו</w:t>
      </w:r>
      <w:r w:rsidRPr="00B00F53">
        <w:rPr>
          <w:rFonts w:hint="cs"/>
          <w:rtl/>
        </w:rPr>
        <w:t xml:space="preserve"> על כוחו של הרוב</w:t>
      </w:r>
      <w:r>
        <w:rPr>
          <w:rFonts w:hint="cs"/>
          <w:rtl/>
        </w:rPr>
        <w:t xml:space="preserve"> הפוליטי (</w:t>
      </w:r>
      <w:r w:rsidRPr="00F93101">
        <w:rPr>
          <w:rFonts w:cs="Miriam" w:hint="cs"/>
          <w:b/>
          <w:spacing w:val="0"/>
          <w:sz w:val="22"/>
          <w:szCs w:val="24"/>
          <w:rtl/>
        </w:rPr>
        <w:t>כהן</w:t>
      </w:r>
      <w:r>
        <w:rPr>
          <w:rFonts w:cs="Miriam" w:hint="cs"/>
          <w:b/>
          <w:spacing w:val="0"/>
          <w:sz w:val="22"/>
          <w:szCs w:val="24"/>
          <w:rtl/>
        </w:rPr>
        <w:t xml:space="preserve"> ורוזנאי</w:t>
      </w:r>
      <w:r w:rsidRPr="00415FA9">
        <w:rPr>
          <w:rFonts w:ascii="Century" w:hAnsi="Century" w:hint="cs"/>
          <w:sz w:val="22"/>
          <w:rtl/>
        </w:rPr>
        <w:t>,</w:t>
      </w:r>
      <w:r>
        <w:rPr>
          <w:rFonts w:cs="Miriam" w:hint="cs"/>
          <w:b/>
          <w:spacing w:val="0"/>
          <w:sz w:val="22"/>
          <w:szCs w:val="24"/>
          <w:rtl/>
        </w:rPr>
        <w:t xml:space="preserve"> </w:t>
      </w:r>
      <w:r>
        <w:rPr>
          <w:rFonts w:hint="cs"/>
          <w:rtl/>
        </w:rPr>
        <w:t>בעמ' 122)</w:t>
      </w:r>
      <w:r w:rsidRPr="00B00F53">
        <w:rPr>
          <w:rFonts w:hint="cs"/>
          <w:rtl/>
        </w:rPr>
        <w:t xml:space="preserve">. </w:t>
      </w:r>
      <w:r>
        <w:rPr>
          <w:rFonts w:hint="cs"/>
          <w:rtl/>
        </w:rPr>
        <w:t>לכך יש להוסיף את העובדה ש</w:t>
      </w:r>
      <w:r w:rsidRPr="00B00F53">
        <w:rPr>
          <w:rFonts w:hint="cs"/>
          <w:rtl/>
        </w:rPr>
        <w:t>בישראל אין חוקה משוריינת ויציבה</w:t>
      </w:r>
      <w:r>
        <w:rPr>
          <w:rFonts w:hint="cs"/>
          <w:rtl/>
        </w:rPr>
        <w:t xml:space="preserve"> היוצרת הגנה</w:t>
      </w:r>
      <w:r w:rsidRPr="00B00F53">
        <w:rPr>
          <w:rFonts w:hint="cs"/>
          <w:rtl/>
        </w:rPr>
        <w:t xml:space="preserve"> משמעותית</w:t>
      </w:r>
      <w:r>
        <w:rPr>
          <w:rFonts w:hint="cs"/>
          <w:rtl/>
        </w:rPr>
        <w:t xml:space="preserve"> מפני כוחו של</w:t>
      </w:r>
      <w:r w:rsidRPr="00B00F53">
        <w:rPr>
          <w:rFonts w:hint="cs"/>
          <w:rtl/>
        </w:rPr>
        <w:t xml:space="preserve"> השלטון. היטיב </w:t>
      </w:r>
      <w:r>
        <w:rPr>
          <w:rFonts w:hint="cs"/>
          <w:rtl/>
        </w:rPr>
        <w:t>לתאר</w:t>
      </w:r>
      <w:r w:rsidRPr="00B00F53">
        <w:rPr>
          <w:rFonts w:hint="cs"/>
          <w:rtl/>
        </w:rPr>
        <w:t xml:space="preserve"> זאת פרופ' יצחק זמיר: </w:t>
      </w:r>
    </w:p>
    <w:p w:rsidR="00C044AE" w:rsidRPr="00B00F53" w:rsidRDefault="00C044AE" w:rsidP="00C044AE">
      <w:pPr>
        <w:pStyle w:val="Ruller41"/>
        <w:rPr>
          <w:rFonts w:ascii="Garamond" w:hAnsi="Garamond"/>
          <w:rtl/>
        </w:rPr>
      </w:pPr>
    </w:p>
    <w:p w:rsidR="00C044AE" w:rsidRPr="00B00F53" w:rsidRDefault="00C044AE" w:rsidP="00C044AE">
      <w:pPr>
        <w:pStyle w:val="Ruller5"/>
        <w:rPr>
          <w:rFonts w:ascii="Garamond" w:hAnsi="Garamond"/>
          <w:rtl/>
        </w:rPr>
      </w:pPr>
      <w:r w:rsidRPr="00B00F53">
        <w:rPr>
          <w:rFonts w:ascii="Garamond" w:hAnsi="Garamond" w:hint="cs"/>
          <w:rtl/>
        </w:rPr>
        <w:t>"[...] ספק בעיניי אם יש עוד מדינה דמוקרטית בעולם המערבי שממשלתה נהנית מכוח כה רב כמו הממשלה בישראל. כנגד כוח זה, המערכת של בלמים ואיזונים, שמקובלת בעולם כמערכת חיונית כדי למנוע שימוש לרעה בכוח השלטון, דלה וחלשה בישראל יותר מאשר בדמוקרטיות אחרות" (</w:t>
      </w:r>
      <w:r w:rsidRPr="00B00F53">
        <w:rPr>
          <w:rFonts w:ascii="Garamond" w:hAnsi="Garamond" w:cs="Miriam" w:hint="cs"/>
          <w:b/>
          <w:spacing w:val="0"/>
          <w:szCs w:val="24"/>
          <w:rtl/>
        </w:rPr>
        <w:t>זמיר "הסמכות המינהלית"</w:t>
      </w:r>
      <w:r w:rsidRPr="00B00F53">
        <w:rPr>
          <w:rFonts w:ascii="Garamond" w:hAnsi="Garamond" w:hint="cs"/>
          <w:rtl/>
        </w:rPr>
        <w:t xml:space="preserve">, בעמ' 3610). </w:t>
      </w:r>
    </w:p>
    <w:p w:rsidR="00C044AE" w:rsidRPr="00B00F53" w:rsidRDefault="00C044AE" w:rsidP="00DB265B">
      <w:pPr>
        <w:pStyle w:val="Ruller5"/>
        <w:spacing w:line="360" w:lineRule="auto"/>
        <w:rPr>
          <w:rFonts w:ascii="Garamond" w:hAnsi="Garamond"/>
          <w:rtl/>
        </w:rPr>
      </w:pPr>
    </w:p>
    <w:p w:rsidR="00C044AE" w:rsidRPr="00B00F53" w:rsidRDefault="00C044AE" w:rsidP="00C044AE">
      <w:pPr>
        <w:pStyle w:val="Ruller4"/>
      </w:pPr>
      <w:r w:rsidRPr="00B00F53">
        <w:rPr>
          <w:rFonts w:hint="cs"/>
          <w:rtl/>
        </w:rPr>
        <w:t>בנסיבות אלה, הביקורת השיפוטית על הרשות המחוקקת והמבצעת בישראל</w:t>
      </w:r>
      <w:r>
        <w:rPr>
          <w:rFonts w:hint="cs"/>
          <w:rtl/>
        </w:rPr>
        <w:t>, הינה</w:t>
      </w:r>
      <w:r w:rsidRPr="00B00F53">
        <w:rPr>
          <w:rFonts w:hint="cs"/>
          <w:rtl/>
        </w:rPr>
        <w:t xml:space="preserve"> </w:t>
      </w:r>
      <w:r>
        <w:rPr>
          <w:rFonts w:hint="cs"/>
          <w:rtl/>
        </w:rPr>
        <w:t>ה</w:t>
      </w:r>
      <w:r w:rsidRPr="00B00F53">
        <w:rPr>
          <w:rFonts w:hint="cs"/>
          <w:rtl/>
        </w:rPr>
        <w:t xml:space="preserve">מנגנון האפקטיבי </w:t>
      </w:r>
      <w:r w:rsidRPr="00B00F53">
        <w:rPr>
          <w:rFonts w:hint="cs"/>
          <w:sz w:val="22"/>
          <w:rtl/>
        </w:rPr>
        <w:t>היחיד</w:t>
      </w:r>
      <w:r w:rsidRPr="00B00F53">
        <w:rPr>
          <w:rFonts w:hint="cs"/>
          <w:rtl/>
        </w:rPr>
        <w:t xml:space="preserve"> שיש בו כדי להגביל </w:t>
      </w:r>
      <w:r>
        <w:rPr>
          <w:rFonts w:hint="cs"/>
          <w:rtl/>
        </w:rPr>
        <w:t>באופן</w:t>
      </w:r>
      <w:r w:rsidRPr="00B00F53">
        <w:rPr>
          <w:rFonts w:hint="cs"/>
          <w:rtl/>
        </w:rPr>
        <w:t xml:space="preserve"> ממשי את הכוח הריכוזי של הרוב (</w:t>
      </w:r>
      <w:r w:rsidRPr="00B00F53">
        <w:rPr>
          <w:rFonts w:cs="Miriam" w:hint="cs"/>
          <w:b/>
          <w:spacing w:val="0"/>
          <w:sz w:val="22"/>
          <w:szCs w:val="24"/>
          <w:rtl/>
        </w:rPr>
        <w:t>כהן "איזונים ובלמים"</w:t>
      </w:r>
      <w:r w:rsidRPr="00B00F53">
        <w:rPr>
          <w:rFonts w:hint="cs"/>
          <w:rtl/>
        </w:rPr>
        <w:t xml:space="preserve">, בעמ' 25; </w:t>
      </w:r>
      <w:r w:rsidRPr="00B00F53">
        <w:rPr>
          <w:rFonts w:cs="Miriam" w:hint="cs"/>
          <w:b/>
          <w:spacing w:val="0"/>
          <w:sz w:val="22"/>
          <w:szCs w:val="24"/>
          <w:rtl/>
        </w:rPr>
        <w:t>ביזור סמכויות</w:t>
      </w:r>
      <w:r w:rsidRPr="00B00F53">
        <w:rPr>
          <w:rFonts w:hint="cs"/>
          <w:rtl/>
        </w:rPr>
        <w:t>, בעמ' 64). קיימים</w:t>
      </w:r>
      <w:r>
        <w:rPr>
          <w:rFonts w:hint="cs"/>
          <w:rtl/>
        </w:rPr>
        <w:t xml:space="preserve"> אומנם שומרי סף</w:t>
      </w:r>
      <w:r w:rsidRPr="00B00F53">
        <w:rPr>
          <w:rFonts w:hint="cs"/>
          <w:rtl/>
        </w:rPr>
        <w:t xml:space="preserve"> </w:t>
      </w:r>
      <w:r>
        <w:rPr>
          <w:rFonts w:hint="cs"/>
          <w:rtl/>
        </w:rPr>
        <w:t>ו</w:t>
      </w:r>
      <w:r w:rsidRPr="00B00F53">
        <w:rPr>
          <w:rFonts w:hint="cs"/>
          <w:rtl/>
        </w:rPr>
        <w:t xml:space="preserve">מנגנוני פיקוח וביקורת נוספים בשיטתנו (ראו: </w:t>
      </w:r>
      <w:r w:rsidRPr="00B00F53">
        <w:rPr>
          <w:rFonts w:cs="Miriam" w:hint="cs"/>
          <w:b/>
          <w:spacing w:val="0"/>
          <w:sz w:val="22"/>
          <w:szCs w:val="24"/>
          <w:rtl/>
        </w:rPr>
        <w:t>זמיר "הסמכות המינהלית"</w:t>
      </w:r>
      <w:r w:rsidRPr="00B00F53">
        <w:rPr>
          <w:rFonts w:hint="cs"/>
          <w:sz w:val="22"/>
          <w:rtl/>
        </w:rPr>
        <w:t>,</w:t>
      </w:r>
      <w:r w:rsidRPr="00B00F53">
        <w:rPr>
          <w:rFonts w:hint="cs"/>
          <w:rtl/>
        </w:rPr>
        <w:t xml:space="preserve"> בעמ' </w:t>
      </w:r>
      <w:r w:rsidRPr="00B00F53">
        <w:rPr>
          <w:rFonts w:hint="cs"/>
          <w:rtl/>
        </w:rPr>
        <w:lastRenderedPageBreak/>
        <w:t>2320-</w:t>
      </w:r>
      <w:r>
        <w:rPr>
          <w:rFonts w:hint="cs"/>
          <w:rtl/>
        </w:rPr>
        <w:t>2319), אך הביקורת השיפוטית היא המנגנון החשוב ביותר</w:t>
      </w:r>
      <w:r w:rsidRPr="00B00F53">
        <w:rPr>
          <w:rFonts w:hint="cs"/>
          <w:rtl/>
        </w:rPr>
        <w:t xml:space="preserve"> במערכת </w:t>
      </w:r>
      <w:r>
        <w:rPr>
          <w:rFonts w:hint="cs"/>
          <w:rtl/>
        </w:rPr>
        <w:t>האיזונים והבלמים במדינה</w:t>
      </w:r>
      <w:r w:rsidRPr="00B00F53">
        <w:rPr>
          <w:rFonts w:hint="cs"/>
          <w:rtl/>
        </w:rPr>
        <w:t xml:space="preserve"> (</w:t>
      </w:r>
      <w:r w:rsidRPr="00B00F53">
        <w:rPr>
          <w:rFonts w:cs="Miriam" w:hint="cs"/>
          <w:b/>
          <w:spacing w:val="0"/>
          <w:sz w:val="22"/>
          <w:szCs w:val="24"/>
          <w:rtl/>
        </w:rPr>
        <w:t>שם</w:t>
      </w:r>
      <w:r w:rsidRPr="00B00F53">
        <w:rPr>
          <w:rFonts w:hint="cs"/>
          <w:rtl/>
        </w:rPr>
        <w:t>, בעמ' 101), ו</w:t>
      </w:r>
      <w:r>
        <w:rPr>
          <w:rFonts w:hint="cs"/>
          <w:rtl/>
        </w:rPr>
        <w:t>"</w:t>
      </w:r>
      <w:r w:rsidRPr="00B00F53">
        <w:rPr>
          <w:rFonts w:hint="cs"/>
          <w:rtl/>
        </w:rPr>
        <w:t xml:space="preserve">בלעדיה הופך שיקול-הדעת השלטוני לבלתי מוגבל, ואין זר מכך לאופיו הדמוקרטי של משטרנו" (עניין </w:t>
      </w:r>
      <w:r w:rsidRPr="00B00F53">
        <w:rPr>
          <w:rFonts w:cs="Miriam" w:hint="cs"/>
          <w:b/>
          <w:spacing w:val="0"/>
          <w:sz w:val="22"/>
          <w:szCs w:val="24"/>
          <w:rtl/>
        </w:rPr>
        <w:t>חוף עזה</w:t>
      </w:r>
      <w:r w:rsidRPr="00B00F53">
        <w:rPr>
          <w:rFonts w:hint="cs"/>
          <w:rtl/>
        </w:rPr>
        <w:t xml:space="preserve">, בעמ' 756). </w:t>
      </w:r>
    </w:p>
    <w:p w:rsidR="00C044AE" w:rsidRPr="00B00F53" w:rsidRDefault="00C044AE" w:rsidP="00C044AE">
      <w:pPr>
        <w:pStyle w:val="Ruller4"/>
        <w:numPr>
          <w:ilvl w:val="0"/>
          <w:numId w:val="0"/>
        </w:numPr>
        <w:rPr>
          <w:rtl/>
        </w:rPr>
      </w:pPr>
    </w:p>
    <w:p w:rsidR="00C044AE" w:rsidRPr="00B00F53" w:rsidRDefault="00C044AE" w:rsidP="00C044AE">
      <w:pPr>
        <w:pStyle w:val="Ruller4"/>
        <w:rPr>
          <w:rtl/>
        </w:rPr>
      </w:pPr>
      <w:r w:rsidRPr="00B00F53">
        <w:rPr>
          <w:rFonts w:hint="cs"/>
          <w:rtl/>
        </w:rPr>
        <w:t>המוסד העיקרי שאמון</w:t>
      </w:r>
      <w:r>
        <w:rPr>
          <w:rFonts w:hint="cs"/>
          <w:rtl/>
        </w:rPr>
        <w:t xml:space="preserve"> בשיטתנו</w:t>
      </w:r>
      <w:r w:rsidRPr="00B00F53">
        <w:rPr>
          <w:rFonts w:hint="cs"/>
          <w:rtl/>
        </w:rPr>
        <w:t xml:space="preserve"> על </w:t>
      </w:r>
      <w:r>
        <w:rPr>
          <w:rFonts w:hint="cs"/>
          <w:rtl/>
        </w:rPr>
        <w:t>קיום ביקורת שיפוטית</w:t>
      </w:r>
      <w:r w:rsidRPr="00B00F53">
        <w:rPr>
          <w:rFonts w:hint="cs"/>
          <w:rtl/>
        </w:rPr>
        <w:t>, בפרט כ</w:t>
      </w:r>
      <w:r>
        <w:rPr>
          <w:rFonts w:hint="cs"/>
          <w:rtl/>
        </w:rPr>
        <w:t xml:space="preserve">אשר </w:t>
      </w:r>
      <w:r w:rsidRPr="00B00F53">
        <w:rPr>
          <w:rFonts w:hint="cs"/>
          <w:rtl/>
        </w:rPr>
        <w:t xml:space="preserve">מדובר </w:t>
      </w:r>
      <w:r>
        <w:rPr>
          <w:rFonts w:hint="cs"/>
          <w:rtl/>
        </w:rPr>
        <w:t>ב</w:t>
      </w:r>
      <w:r w:rsidRPr="00B00F53">
        <w:rPr>
          <w:rFonts w:hint="cs"/>
          <w:rtl/>
        </w:rPr>
        <w:t>החלטות הממשלה והשרים</w:t>
      </w:r>
      <w:r>
        <w:rPr>
          <w:rFonts w:hint="cs"/>
          <w:rtl/>
        </w:rPr>
        <w:t>, הוא בית המשפט העליון בשבתו כבית המשפט הגבוה לצדק</w:t>
      </w:r>
      <w:r w:rsidRPr="00B00F53">
        <w:rPr>
          <w:rFonts w:hint="cs"/>
          <w:rtl/>
        </w:rPr>
        <w:t xml:space="preserve"> (ראו: דפנה ברק</w:t>
      </w:r>
      <w:r>
        <w:rPr>
          <w:rFonts w:hint="cs"/>
          <w:rtl/>
        </w:rPr>
        <w:t>-</w:t>
      </w:r>
      <w:r w:rsidRPr="00B00F53">
        <w:rPr>
          <w:rFonts w:hint="cs"/>
          <w:rtl/>
        </w:rPr>
        <w:t xml:space="preserve">ארז </w:t>
      </w:r>
      <w:r w:rsidRPr="00B00F53">
        <w:rPr>
          <w:rFonts w:cs="Miriam" w:hint="cs"/>
          <w:b/>
          <w:spacing w:val="0"/>
          <w:sz w:val="22"/>
          <w:szCs w:val="24"/>
          <w:rtl/>
        </w:rPr>
        <w:t>משפט מינהלי</w:t>
      </w:r>
      <w:r w:rsidRPr="00B00F53">
        <w:rPr>
          <w:rFonts w:hint="cs"/>
          <w:rtl/>
        </w:rPr>
        <w:t xml:space="preserve"> כרך ד </w:t>
      </w:r>
      <w:r w:rsidRPr="00B00F53">
        <w:rPr>
          <w:rtl/>
        </w:rPr>
        <w:t>–</w:t>
      </w:r>
      <w:r w:rsidRPr="00B00F53">
        <w:rPr>
          <w:rFonts w:hint="cs"/>
          <w:rtl/>
        </w:rPr>
        <w:t xml:space="preserve"> </w:t>
      </w:r>
      <w:r w:rsidRPr="00B00F53">
        <w:rPr>
          <w:rFonts w:hint="cs"/>
          <w:sz w:val="22"/>
          <w:rtl/>
        </w:rPr>
        <w:t xml:space="preserve">משפט מינהלי דיוני </w:t>
      </w:r>
      <w:r w:rsidRPr="00B00F53">
        <w:rPr>
          <w:rFonts w:hint="cs"/>
          <w:rtl/>
        </w:rPr>
        <w:t xml:space="preserve">49 (2017) (להלן: </w:t>
      </w:r>
      <w:r w:rsidRPr="00B00F53">
        <w:rPr>
          <w:rFonts w:cs="Miriam" w:hint="cs"/>
          <w:b/>
          <w:spacing w:val="0"/>
          <w:sz w:val="22"/>
          <w:szCs w:val="24"/>
          <w:rtl/>
        </w:rPr>
        <w:t>ברק-ארז "משפט מינהלי דיוני"</w:t>
      </w:r>
      <w:r w:rsidRPr="00B00F53">
        <w:rPr>
          <w:rFonts w:hint="cs"/>
          <w:rtl/>
        </w:rPr>
        <w:t xml:space="preserve">)). </w:t>
      </w:r>
      <w:r>
        <w:rPr>
          <w:rFonts w:hint="cs"/>
          <w:rtl/>
        </w:rPr>
        <w:t>לבית משפט זה</w:t>
      </w:r>
      <w:r w:rsidRPr="00B00F53">
        <w:rPr>
          <w:rFonts w:hint="cs"/>
          <w:rtl/>
        </w:rPr>
        <w:t xml:space="preserve"> הוקנתה</w:t>
      </w:r>
      <w:r>
        <w:rPr>
          <w:rFonts w:hint="cs"/>
          <w:rtl/>
        </w:rPr>
        <w:t xml:space="preserve"> סמכות רחבה</w:t>
      </w:r>
      <w:r w:rsidRPr="00B00F53">
        <w:rPr>
          <w:rFonts w:hint="cs"/>
          <w:rtl/>
        </w:rPr>
        <w:t xml:space="preserve"> ליתן סעד למען הצדק וצווים לכלל רשויות המדינה, אשר </w:t>
      </w:r>
      <w:r>
        <w:rPr>
          <w:rFonts w:hint="cs"/>
          <w:rtl/>
        </w:rPr>
        <w:t xml:space="preserve">שורשיה נטועים </w:t>
      </w:r>
      <w:r w:rsidRPr="00B00F53">
        <w:rPr>
          <w:rFonts w:hint="cs"/>
          <w:rtl/>
        </w:rPr>
        <w:t>עוד בתקופת המנדט (סימן 43 ל</w:t>
      </w:r>
      <w:r w:rsidRPr="00B00F53">
        <w:rPr>
          <w:rFonts w:hint="eastAsia"/>
          <w:rtl/>
        </w:rPr>
        <w:t>דבר</w:t>
      </w:r>
      <w:r w:rsidRPr="00B00F53">
        <w:rPr>
          <w:rtl/>
        </w:rPr>
        <w:t xml:space="preserve"> </w:t>
      </w:r>
      <w:r w:rsidRPr="00B00F53">
        <w:rPr>
          <w:rFonts w:hint="eastAsia"/>
          <w:rtl/>
        </w:rPr>
        <w:t>המלך</w:t>
      </w:r>
      <w:r w:rsidRPr="00B00F53">
        <w:rPr>
          <w:rtl/>
        </w:rPr>
        <w:t xml:space="preserve"> </w:t>
      </w:r>
      <w:r w:rsidRPr="00B00F53">
        <w:rPr>
          <w:rFonts w:hint="eastAsia"/>
          <w:rtl/>
        </w:rPr>
        <w:t>במועצה</w:t>
      </w:r>
      <w:r w:rsidRPr="00B00F53">
        <w:rPr>
          <w:rtl/>
        </w:rPr>
        <w:t xml:space="preserve"> </w:t>
      </w:r>
      <w:r w:rsidRPr="00B00F53">
        <w:rPr>
          <w:rFonts w:hint="eastAsia"/>
          <w:rtl/>
        </w:rPr>
        <w:t>על</w:t>
      </w:r>
      <w:r w:rsidRPr="00B00F53">
        <w:rPr>
          <w:rtl/>
        </w:rPr>
        <w:t xml:space="preserve"> </w:t>
      </w:r>
      <w:r w:rsidRPr="00B00F53">
        <w:rPr>
          <w:rFonts w:hint="eastAsia"/>
          <w:rtl/>
        </w:rPr>
        <w:t>ארץ</w:t>
      </w:r>
      <w:r>
        <w:rPr>
          <w:rFonts w:hint="cs"/>
          <w:rtl/>
        </w:rPr>
        <w:t>-</w:t>
      </w:r>
      <w:r w:rsidRPr="00B00F53">
        <w:rPr>
          <w:rFonts w:hint="eastAsia"/>
          <w:rtl/>
        </w:rPr>
        <w:t>ישראל</w:t>
      </w:r>
      <w:r>
        <w:rPr>
          <w:rFonts w:hint="cs"/>
          <w:rtl/>
        </w:rPr>
        <w:t>,</w:t>
      </w:r>
      <w:r w:rsidRPr="00B00F53">
        <w:rPr>
          <w:rFonts w:hint="cs"/>
          <w:rtl/>
        </w:rPr>
        <w:t xml:space="preserve"> </w:t>
      </w:r>
      <w:r>
        <w:rPr>
          <w:rFonts w:hint="cs"/>
          <w:rtl/>
        </w:rPr>
        <w:t xml:space="preserve">1947-1922 (להלן: </w:t>
      </w:r>
      <w:r w:rsidRPr="005E56FC">
        <w:rPr>
          <w:rFonts w:cs="Miriam" w:hint="cs"/>
          <w:b/>
          <w:spacing w:val="0"/>
          <w:sz w:val="22"/>
          <w:szCs w:val="24"/>
          <w:rtl/>
        </w:rPr>
        <w:t>דבר המלך</w:t>
      </w:r>
      <w:r>
        <w:rPr>
          <w:rFonts w:cs="Miriam" w:hint="cs"/>
          <w:b/>
          <w:spacing w:val="0"/>
          <w:sz w:val="22"/>
          <w:szCs w:val="24"/>
          <w:rtl/>
        </w:rPr>
        <w:t xml:space="preserve"> במועצה</w:t>
      </w:r>
      <w:r>
        <w:rPr>
          <w:rFonts w:hint="cs"/>
          <w:rtl/>
        </w:rPr>
        <w:t>)</w:t>
      </w:r>
      <w:r w:rsidRPr="00B00F53">
        <w:rPr>
          <w:rFonts w:hint="cs"/>
          <w:rtl/>
        </w:rPr>
        <w:t xml:space="preserve">; סעיף 7 לפקודת בתי המשפט, 1940), </w:t>
      </w:r>
      <w:r>
        <w:rPr>
          <w:rFonts w:hint="cs"/>
          <w:rtl/>
        </w:rPr>
        <w:t>וכן</w:t>
      </w:r>
      <w:r w:rsidRPr="00B00F53">
        <w:rPr>
          <w:rFonts w:hint="cs"/>
          <w:rtl/>
        </w:rPr>
        <w:t xml:space="preserve"> בחקיקה </w:t>
      </w:r>
      <w:r>
        <w:rPr>
          <w:rFonts w:hint="cs"/>
          <w:rtl/>
        </w:rPr>
        <w:t>"</w:t>
      </w:r>
      <w:r w:rsidRPr="00B00F53">
        <w:rPr>
          <w:rFonts w:hint="cs"/>
          <w:rtl/>
        </w:rPr>
        <w:t>רגילה</w:t>
      </w:r>
      <w:r>
        <w:rPr>
          <w:rFonts w:hint="cs"/>
          <w:rtl/>
        </w:rPr>
        <w:t>"</w:t>
      </w:r>
      <w:r w:rsidRPr="00B00F53">
        <w:rPr>
          <w:rFonts w:hint="cs"/>
          <w:rtl/>
        </w:rPr>
        <w:t xml:space="preserve"> (סעיף 7 לחוק בתי המשפט, התשי"ז-1957), </w:t>
      </w:r>
      <w:r>
        <w:rPr>
          <w:rFonts w:hint="cs"/>
          <w:rtl/>
        </w:rPr>
        <w:t>וכיום, כפי שצוין, היא מעוגנת</w:t>
      </w:r>
      <w:r w:rsidRPr="00B00F53">
        <w:rPr>
          <w:rFonts w:hint="cs"/>
          <w:rtl/>
        </w:rPr>
        <w:t xml:space="preserve"> בהוראת סעיף 15 לחוק-יסוד: השפיטה, </w:t>
      </w:r>
      <w:r>
        <w:rPr>
          <w:rFonts w:hint="cs"/>
          <w:rtl/>
        </w:rPr>
        <w:t>שביססה</w:t>
      </w:r>
      <w:r w:rsidRPr="00B00F53">
        <w:rPr>
          <w:rFonts w:hint="cs"/>
          <w:rtl/>
        </w:rPr>
        <w:t xml:space="preserve"> את מעמדו של בג"ץ כ"אבן יסוד של מערך האיזונים בין הרשויות בישראל" (</w:t>
      </w:r>
      <w:r w:rsidRPr="00B00F53">
        <w:rPr>
          <w:rFonts w:cs="Miriam" w:hint="cs"/>
          <w:b/>
          <w:spacing w:val="0"/>
          <w:sz w:val="22"/>
          <w:szCs w:val="24"/>
          <w:rtl/>
        </w:rPr>
        <w:t>ברק-ארז "משפט מינהלי דיוני"</w:t>
      </w:r>
      <w:r w:rsidRPr="00B00F53">
        <w:rPr>
          <w:rFonts w:hint="cs"/>
          <w:rtl/>
        </w:rPr>
        <w:t xml:space="preserve">, בעמ' 51; ראו גם: </w:t>
      </w:r>
      <w:r w:rsidRPr="00B00F53">
        <w:rPr>
          <w:rFonts w:cs="Miriam" w:hint="cs"/>
          <w:b/>
          <w:spacing w:val="0"/>
          <w:sz w:val="22"/>
          <w:szCs w:val="24"/>
          <w:rtl/>
        </w:rPr>
        <w:t>בג"ץ 971/99</w:t>
      </w:r>
      <w:r w:rsidRPr="00B00F53">
        <w:rPr>
          <w:rFonts w:hint="cs"/>
          <w:rtl/>
        </w:rPr>
        <w:t xml:space="preserve">, בעמ' 140). </w:t>
      </w:r>
    </w:p>
    <w:p w:rsidR="00C044AE" w:rsidRPr="00B00F53" w:rsidRDefault="00C044AE" w:rsidP="00C044AE">
      <w:pPr>
        <w:pStyle w:val="Ruller41"/>
        <w:rPr>
          <w:rFonts w:ascii="Garamond" w:hAnsi="Garamond"/>
          <w:rtl/>
        </w:rPr>
      </w:pPr>
    </w:p>
    <w:p w:rsidR="00C044AE" w:rsidRPr="00B00F53" w:rsidRDefault="00C044AE" w:rsidP="00C044AE">
      <w:pPr>
        <w:pStyle w:val="Ruller4"/>
        <w:rPr>
          <w:rtl/>
        </w:rPr>
      </w:pPr>
      <w:r w:rsidRPr="00B00F53">
        <w:rPr>
          <w:rFonts w:hint="cs"/>
          <w:rtl/>
        </w:rPr>
        <w:t>בהינתן העובדה שמערכת האיזונים והבלמים בישראל לכתחילה חלשה ושבר</w:t>
      </w:r>
      <w:r>
        <w:rPr>
          <w:rFonts w:hint="cs"/>
          <w:rtl/>
        </w:rPr>
        <w:t xml:space="preserve">ירית, פגיעה משמעותית בסמכויות בתי המשפט בכלל </w:t>
      </w:r>
      <w:r>
        <w:rPr>
          <w:rtl/>
        </w:rPr>
        <w:t>–</w:t>
      </w:r>
      <w:r>
        <w:rPr>
          <w:rFonts w:hint="cs"/>
          <w:rtl/>
        </w:rPr>
        <w:t xml:space="preserve"> ובית המשפט הגבוה לצדק בפרט </w:t>
      </w:r>
      <w:r>
        <w:rPr>
          <w:rtl/>
        </w:rPr>
        <w:t>–</w:t>
      </w:r>
      <w:r w:rsidRPr="00B00F53">
        <w:rPr>
          <w:rFonts w:hint="cs"/>
          <w:rtl/>
        </w:rPr>
        <w:t xml:space="preserve"> ל</w:t>
      </w:r>
      <w:r>
        <w:rPr>
          <w:rFonts w:hint="cs"/>
          <w:rtl/>
        </w:rPr>
        <w:t xml:space="preserve">קיים ביקורת שיפוטית, </w:t>
      </w:r>
      <w:r w:rsidRPr="00B00F53">
        <w:rPr>
          <w:rFonts w:hint="cs"/>
          <w:rtl/>
        </w:rPr>
        <w:t>עלולה</w:t>
      </w:r>
      <w:r>
        <w:rPr>
          <w:rFonts w:hint="cs"/>
          <w:rtl/>
        </w:rPr>
        <w:t xml:space="preserve"> לחולל סתירה חזיתית</w:t>
      </w:r>
      <w:r w:rsidRPr="00B00F53">
        <w:rPr>
          <w:rFonts w:hint="cs"/>
          <w:rtl/>
        </w:rPr>
        <w:t xml:space="preserve"> לפחות </w:t>
      </w:r>
      <w:r>
        <w:rPr>
          <w:rFonts w:hint="cs"/>
          <w:rtl/>
        </w:rPr>
        <w:t>ביחס ל</w:t>
      </w:r>
      <w:r w:rsidRPr="00B00F53">
        <w:rPr>
          <w:rFonts w:hint="cs"/>
          <w:rtl/>
        </w:rPr>
        <w:t>שניים מהמאפיינים הגרעיניים של מדינת ישראל כמדינה דמוקרטית</w:t>
      </w:r>
      <w:r>
        <w:rPr>
          <w:rFonts w:hint="cs"/>
          <w:rtl/>
        </w:rPr>
        <w:t xml:space="preserve"> </w:t>
      </w:r>
      <w:r>
        <w:rPr>
          <w:rtl/>
        </w:rPr>
        <w:t>–</w:t>
      </w:r>
      <w:r>
        <w:rPr>
          <w:rFonts w:hint="cs"/>
          <w:rtl/>
        </w:rPr>
        <w:t xml:space="preserve"> </w:t>
      </w:r>
      <w:r w:rsidRPr="00B00F53">
        <w:rPr>
          <w:rFonts w:hint="cs"/>
          <w:rtl/>
        </w:rPr>
        <w:t xml:space="preserve">הפרדת </w:t>
      </w:r>
      <w:r>
        <w:rPr>
          <w:rFonts w:hint="cs"/>
          <w:rtl/>
        </w:rPr>
        <w:t>ה</w:t>
      </w:r>
      <w:r w:rsidRPr="00B00F53">
        <w:rPr>
          <w:rFonts w:hint="cs"/>
          <w:rtl/>
        </w:rPr>
        <w:t>רשויות ו</w:t>
      </w:r>
      <w:r>
        <w:rPr>
          <w:rFonts w:hint="cs"/>
          <w:rtl/>
        </w:rPr>
        <w:t xml:space="preserve">שלטון החוק, </w:t>
      </w:r>
      <w:r w:rsidRPr="00B00F53">
        <w:rPr>
          <w:rFonts w:hint="cs"/>
          <w:rtl/>
        </w:rPr>
        <w:t>ובעניין זה כבר צוין כי:</w:t>
      </w:r>
    </w:p>
    <w:p w:rsidR="00C044AE" w:rsidRPr="00B00F53" w:rsidRDefault="00C044AE" w:rsidP="00C044AE">
      <w:pPr>
        <w:pStyle w:val="Ruller41"/>
        <w:rPr>
          <w:rFonts w:ascii="Garamond" w:hAnsi="Garamond"/>
          <w:rtl/>
        </w:rPr>
      </w:pPr>
    </w:p>
    <w:p w:rsidR="00C044AE" w:rsidRPr="00B00F53" w:rsidRDefault="00C044AE" w:rsidP="00C044AE">
      <w:pPr>
        <w:pStyle w:val="Ruller5"/>
        <w:rPr>
          <w:rFonts w:ascii="Garamond" w:hAnsi="Garamond"/>
          <w:rtl/>
        </w:rPr>
      </w:pPr>
      <w:r w:rsidRPr="00B00F53">
        <w:rPr>
          <w:rFonts w:ascii="Garamond" w:hAnsi="Garamond" w:hint="cs"/>
          <w:rtl/>
        </w:rPr>
        <w:t>"</w:t>
      </w:r>
      <w:r w:rsidRPr="00B00F53">
        <w:rPr>
          <w:rFonts w:ascii="Garamond" w:hAnsi="Garamond"/>
          <w:rtl/>
        </w:rPr>
        <w:t xml:space="preserve">בהיעדר ביקורת שיפוטית אין לקיים את </w:t>
      </w:r>
      <w:r w:rsidRPr="00B00F53">
        <w:rPr>
          <w:rFonts w:ascii="Garamond" w:hAnsi="Garamond" w:cs="Miriam"/>
          <w:b/>
          <w:spacing w:val="0"/>
          <w:szCs w:val="24"/>
          <w:rtl/>
        </w:rPr>
        <w:t>שלטון החוק</w:t>
      </w:r>
      <w:r w:rsidRPr="00B00F53">
        <w:rPr>
          <w:rFonts w:ascii="Garamond" w:hAnsi="Garamond" w:hint="cs"/>
          <w:rtl/>
        </w:rPr>
        <w:t xml:space="preserve"> [...]</w:t>
      </w:r>
      <w:r w:rsidRPr="00B00F53">
        <w:rPr>
          <w:rFonts w:ascii="Garamond" w:hAnsi="Garamond"/>
          <w:rtl/>
        </w:rPr>
        <w:t xml:space="preserve"> אכן, קיום אפקטיבי של משפט מחייב קיומה של ביקורת שיפוטית אפקטיבית; ללא ביקורת שיפוטית על הרשות המבצעת מתערערת </w:t>
      </w:r>
      <w:r w:rsidRPr="00B00F53">
        <w:rPr>
          <w:rFonts w:ascii="Garamond" w:hAnsi="Garamond" w:cs="Miriam"/>
          <w:b/>
          <w:spacing w:val="0"/>
          <w:szCs w:val="24"/>
          <w:rtl/>
        </w:rPr>
        <w:t>הפרדת הרשויות</w:t>
      </w:r>
      <w:r w:rsidRPr="00B00F53">
        <w:rPr>
          <w:rFonts w:ascii="Garamond" w:hAnsi="Garamond"/>
          <w:rtl/>
        </w:rPr>
        <w:t>. עמה נפגמת חירות האדם, ונפגמים היסודות של משטר חופשי</w:t>
      </w:r>
      <w:r w:rsidRPr="00B00F53">
        <w:rPr>
          <w:rFonts w:ascii="Garamond" w:hAnsi="Garamond" w:hint="cs"/>
          <w:rtl/>
        </w:rPr>
        <w:t>" (</w:t>
      </w:r>
      <w:r w:rsidRPr="00B00F53">
        <w:rPr>
          <w:rFonts w:hint="cs"/>
          <w:rtl/>
        </w:rPr>
        <w:t xml:space="preserve">בג"ץ 294/89 </w:t>
      </w:r>
      <w:r w:rsidRPr="00B00F53">
        <w:rPr>
          <w:rFonts w:cs="Miriam" w:hint="cs"/>
          <w:b/>
          <w:spacing w:val="0"/>
          <w:sz w:val="20"/>
          <w:szCs w:val="24"/>
          <w:rtl/>
        </w:rPr>
        <w:t xml:space="preserve">המוסד לביטוח לאומי נ' ועדת העררים </w:t>
      </w:r>
      <w:r>
        <w:rPr>
          <w:rFonts w:cs="Miriam" w:hint="cs"/>
          <w:b/>
          <w:spacing w:val="0"/>
          <w:sz w:val="20"/>
          <w:szCs w:val="24"/>
          <w:rtl/>
        </w:rPr>
        <w:t>על-פי סעיף 11 ל</w:t>
      </w:r>
      <w:r w:rsidRPr="00B00F53">
        <w:rPr>
          <w:rFonts w:cs="Miriam" w:hint="cs"/>
          <w:b/>
          <w:spacing w:val="0"/>
          <w:sz w:val="20"/>
          <w:szCs w:val="24"/>
          <w:rtl/>
        </w:rPr>
        <w:t>חוק התגמולים לנפגעי פעולות איבה, התש"ל-1970</w:t>
      </w:r>
      <w:r w:rsidRPr="00B00F53">
        <w:rPr>
          <w:rFonts w:hint="cs"/>
          <w:rtl/>
        </w:rPr>
        <w:t xml:space="preserve">, פ"ד מה(5) 445, </w:t>
      </w:r>
      <w:r>
        <w:rPr>
          <w:rFonts w:hint="cs"/>
          <w:rtl/>
        </w:rPr>
        <w:t>450</w:t>
      </w:r>
      <w:r w:rsidRPr="00B00F53">
        <w:rPr>
          <w:rFonts w:hint="cs"/>
          <w:rtl/>
        </w:rPr>
        <w:t xml:space="preserve"> (1991) (להלן: </w:t>
      </w:r>
      <w:r w:rsidRPr="00B00F53">
        <w:rPr>
          <w:rFonts w:cs="Miriam" w:hint="cs"/>
          <w:b/>
          <w:spacing w:val="0"/>
          <w:sz w:val="20"/>
          <w:szCs w:val="24"/>
          <w:rtl/>
        </w:rPr>
        <w:t>עניין המוסד לביטוח לאומי</w:t>
      </w:r>
      <w:r w:rsidRPr="00B00F53">
        <w:rPr>
          <w:rFonts w:hint="cs"/>
          <w:rtl/>
        </w:rPr>
        <w:t>)</w:t>
      </w:r>
      <w:r w:rsidRPr="00B00F53">
        <w:rPr>
          <w:rFonts w:ascii="Garamond" w:hAnsi="Garamond" w:hint="cs"/>
          <w:rtl/>
        </w:rPr>
        <w:t xml:space="preserve"> (ההדגשות הוספו)</w:t>
      </w:r>
      <w:r>
        <w:rPr>
          <w:rFonts w:ascii="Garamond" w:hAnsi="Garamond" w:hint="cs"/>
          <w:rtl/>
        </w:rPr>
        <w:t xml:space="preserve">; </w:t>
      </w:r>
      <w:r w:rsidRPr="00B00F53">
        <w:rPr>
          <w:rFonts w:hint="cs"/>
          <w:rtl/>
        </w:rPr>
        <w:t xml:space="preserve">השוו: </w:t>
      </w:r>
      <w:r w:rsidRPr="00B00F53">
        <w:rPr>
          <w:rFonts w:cs="Miriam" w:hint="cs"/>
          <w:b/>
          <w:spacing w:val="0"/>
          <w:szCs w:val="24"/>
          <w:rtl/>
        </w:rPr>
        <w:t>זמיר "הסמכות המינהלית"</w:t>
      </w:r>
      <w:r w:rsidRPr="00B00F53">
        <w:rPr>
          <w:rFonts w:hint="cs"/>
          <w:rtl/>
        </w:rPr>
        <w:t>, בעמ' 98</w:t>
      </w:r>
      <w:r w:rsidRPr="00B00F53">
        <w:rPr>
          <w:rFonts w:ascii="Garamond" w:hAnsi="Garamond" w:hint="cs"/>
          <w:rtl/>
        </w:rPr>
        <w:t>).</w:t>
      </w:r>
    </w:p>
    <w:p w:rsidR="00C044AE" w:rsidRPr="00B00F53" w:rsidRDefault="00C044AE" w:rsidP="00C044AE">
      <w:pPr>
        <w:pStyle w:val="Ruller5"/>
        <w:rPr>
          <w:rFonts w:ascii="Garamond" w:hAnsi="Garamond"/>
          <w:rtl/>
        </w:rPr>
      </w:pPr>
    </w:p>
    <w:p w:rsidR="00C044AE" w:rsidRPr="00B00F53" w:rsidRDefault="00C044AE" w:rsidP="00C044AE">
      <w:pPr>
        <w:pStyle w:val="Ruller4"/>
        <w:numPr>
          <w:ilvl w:val="0"/>
          <w:numId w:val="0"/>
        </w:numPr>
        <w:rPr>
          <w:rFonts w:cs="Miriam"/>
          <w:b/>
          <w:spacing w:val="0"/>
          <w:szCs w:val="24"/>
          <w:rtl/>
        </w:rPr>
      </w:pPr>
    </w:p>
    <w:p w:rsidR="00C044AE" w:rsidRPr="00B00F53" w:rsidRDefault="00C044AE" w:rsidP="00C044AE">
      <w:pPr>
        <w:pStyle w:val="2"/>
        <w:numPr>
          <w:ilvl w:val="0"/>
          <w:numId w:val="6"/>
        </w:numPr>
        <w:rPr>
          <w:rFonts w:ascii="Garamond" w:eastAsia="Times New Roman" w:hAnsi="Garamond" w:cs="Miriam"/>
          <w:b/>
          <w:color w:val="auto"/>
          <w:spacing w:val="0"/>
          <w:sz w:val="24"/>
          <w:szCs w:val="24"/>
          <w:rtl/>
        </w:rPr>
      </w:pPr>
      <w:r>
        <w:rPr>
          <w:rFonts w:ascii="Garamond" w:eastAsia="Times New Roman" w:hAnsi="Garamond" w:cs="Miriam" w:hint="cs"/>
          <w:b/>
          <w:color w:val="auto"/>
          <w:spacing w:val="0"/>
          <w:sz w:val="24"/>
          <w:szCs w:val="24"/>
          <w:rtl/>
        </w:rPr>
        <w:t>משמעותו של התיקון</w:t>
      </w:r>
    </w:p>
    <w:p w:rsidR="00C044AE" w:rsidRPr="0009484D" w:rsidRDefault="00C044AE" w:rsidP="00C044AE">
      <w:pPr>
        <w:pStyle w:val="Ruller41"/>
        <w:rPr>
          <w:rFonts w:ascii="Garamond" w:hAnsi="Garamond" w:cs="Miriam"/>
          <w:b/>
          <w:spacing w:val="0"/>
          <w:sz w:val="24"/>
          <w:rtl/>
        </w:rPr>
      </w:pPr>
    </w:p>
    <w:p w:rsidR="00C044AE" w:rsidRDefault="00C044AE" w:rsidP="00C044AE">
      <w:pPr>
        <w:pStyle w:val="Ruller4"/>
        <w:rPr>
          <w:rtl/>
        </w:rPr>
      </w:pPr>
      <w:r w:rsidRPr="00B00F53">
        <w:rPr>
          <w:rFonts w:hint="cs"/>
          <w:rtl/>
        </w:rPr>
        <w:t xml:space="preserve">משעמדתי על </w:t>
      </w:r>
      <w:r>
        <w:rPr>
          <w:rFonts w:hint="cs"/>
          <w:rtl/>
        </w:rPr>
        <w:t>המציאות</w:t>
      </w:r>
      <w:r w:rsidRPr="00B00F53">
        <w:rPr>
          <w:rFonts w:hint="cs"/>
          <w:rtl/>
        </w:rPr>
        <w:t xml:space="preserve"> החוקתי</w:t>
      </w:r>
      <w:r>
        <w:rPr>
          <w:rFonts w:hint="cs"/>
          <w:rtl/>
        </w:rPr>
        <w:t>ת הישראלית</w:t>
      </w:r>
      <w:r w:rsidRPr="00B00F53">
        <w:rPr>
          <w:rFonts w:hint="cs"/>
          <w:rtl/>
        </w:rPr>
        <w:t xml:space="preserve"> שב</w:t>
      </w:r>
      <w:r>
        <w:rPr>
          <w:rFonts w:hint="cs"/>
          <w:rtl/>
        </w:rPr>
        <w:t>ה</w:t>
      </w:r>
      <w:r w:rsidRPr="00B00F53">
        <w:rPr>
          <w:rFonts w:hint="cs"/>
          <w:rtl/>
        </w:rPr>
        <w:t xml:space="preserve"> התקבל </w:t>
      </w:r>
      <w:r>
        <w:rPr>
          <w:rFonts w:hint="cs"/>
          <w:rtl/>
        </w:rPr>
        <w:t>תיקון מס' 3 לחוק-יסוד: השפיטה</w:t>
      </w:r>
      <w:r w:rsidRPr="00B00F53">
        <w:rPr>
          <w:rFonts w:hint="cs"/>
          <w:rtl/>
        </w:rPr>
        <w:t xml:space="preserve">, </w:t>
      </w:r>
      <w:r>
        <w:rPr>
          <w:rFonts w:hint="cs"/>
          <w:rtl/>
        </w:rPr>
        <w:t>אפנה עתה לבחון את ה</w:t>
      </w:r>
      <w:r w:rsidRPr="00B00F53">
        <w:rPr>
          <w:rFonts w:hint="cs"/>
          <w:rtl/>
        </w:rPr>
        <w:t xml:space="preserve">תיקון עצמו. </w:t>
      </w:r>
    </w:p>
    <w:p w:rsidR="00C044AE" w:rsidRPr="00DB3A69" w:rsidRDefault="00C044AE" w:rsidP="00C044AE">
      <w:pPr>
        <w:pStyle w:val="Ruller41"/>
        <w:rPr>
          <w:rtl/>
        </w:rPr>
      </w:pPr>
    </w:p>
    <w:p w:rsidR="00C044AE" w:rsidRPr="000D56AC" w:rsidRDefault="00C044AE" w:rsidP="00C044AE">
      <w:pPr>
        <w:pStyle w:val="Ruller41"/>
        <w:ind w:left="360"/>
        <w:outlineLvl w:val="2"/>
        <w:rPr>
          <w:rFonts w:ascii="Century" w:hAnsi="Century" w:cs="Miriam"/>
          <w:b/>
          <w:spacing w:val="0"/>
          <w:szCs w:val="24"/>
          <w:rtl/>
        </w:rPr>
      </w:pPr>
      <w:r w:rsidRPr="000D56AC">
        <w:rPr>
          <w:rFonts w:ascii="Century" w:hAnsi="Century" w:cs="Miriam" w:hint="cs"/>
          <w:b/>
          <w:spacing w:val="0"/>
          <w:szCs w:val="24"/>
          <w:rtl/>
        </w:rPr>
        <w:t>ד.1</w:t>
      </w:r>
      <w:r>
        <w:rPr>
          <w:rFonts w:ascii="Century" w:hAnsi="Century" w:cs="Miriam" w:hint="cs"/>
          <w:b/>
          <w:spacing w:val="0"/>
          <w:szCs w:val="24"/>
          <w:rtl/>
        </w:rPr>
        <w:t>.</w:t>
      </w:r>
      <w:r w:rsidRPr="000D56AC">
        <w:rPr>
          <w:rFonts w:ascii="Century" w:hAnsi="Century" w:cs="Miriam" w:hint="cs"/>
          <w:b/>
          <w:spacing w:val="0"/>
          <w:szCs w:val="24"/>
          <w:rtl/>
        </w:rPr>
        <w:t xml:space="preserve"> </w:t>
      </w:r>
      <w:r>
        <w:rPr>
          <w:rFonts w:ascii="Century" w:hAnsi="Century" w:cs="Miriam" w:hint="cs"/>
          <w:b/>
          <w:spacing w:val="0"/>
          <w:szCs w:val="24"/>
          <w:rtl/>
        </w:rPr>
        <w:t>פרשנות</w:t>
      </w:r>
      <w:r w:rsidRPr="000D56AC">
        <w:rPr>
          <w:rFonts w:ascii="Century" w:hAnsi="Century" w:cs="Miriam" w:hint="cs"/>
          <w:b/>
          <w:spacing w:val="0"/>
          <w:szCs w:val="24"/>
          <w:rtl/>
        </w:rPr>
        <w:t xml:space="preserve"> התיקון</w:t>
      </w:r>
    </w:p>
    <w:p w:rsidR="00C044AE" w:rsidRPr="0009484D" w:rsidRDefault="00C044AE" w:rsidP="00C044AE">
      <w:pPr>
        <w:rPr>
          <w:rFonts w:ascii="Garamond" w:hAnsi="Garamond"/>
          <w:sz w:val="22"/>
          <w:szCs w:val="28"/>
          <w:rtl/>
        </w:rPr>
      </w:pPr>
    </w:p>
    <w:p w:rsidR="00C044AE" w:rsidRPr="00B00F53" w:rsidRDefault="00C044AE" w:rsidP="00C044AE">
      <w:pPr>
        <w:pStyle w:val="Ruller4"/>
        <w:rPr>
          <w:color w:val="000000" w:themeColor="text1"/>
          <w:rtl/>
        </w:rPr>
      </w:pPr>
      <w:r>
        <w:rPr>
          <w:rFonts w:hint="cs"/>
          <w:rtl/>
        </w:rPr>
        <w:t xml:space="preserve">למען שלמות התמונה </w:t>
      </w:r>
      <w:r w:rsidRPr="000D56AC">
        <w:rPr>
          <w:rFonts w:hint="cs"/>
          <w:rtl/>
        </w:rPr>
        <w:t>יובא</w:t>
      </w:r>
      <w:r w:rsidRPr="00B00F53">
        <w:rPr>
          <w:rFonts w:hint="cs"/>
          <w:rtl/>
        </w:rPr>
        <w:t xml:space="preserve"> להלן נוסחו </w:t>
      </w:r>
      <w:r>
        <w:rPr>
          <w:rFonts w:hint="cs"/>
          <w:rtl/>
        </w:rPr>
        <w:t xml:space="preserve">המלא </w:t>
      </w:r>
      <w:r w:rsidRPr="00B00F53">
        <w:rPr>
          <w:rFonts w:hint="cs"/>
          <w:rtl/>
        </w:rPr>
        <w:t xml:space="preserve">של סעיף 15 </w:t>
      </w:r>
      <w:r w:rsidRPr="00B00F53">
        <w:rPr>
          <w:rFonts w:hint="cs"/>
          <w:color w:val="000000" w:themeColor="text1"/>
          <w:rtl/>
        </w:rPr>
        <w:t>לחוק-יסוד: השפיטה</w:t>
      </w:r>
      <w:r>
        <w:rPr>
          <w:rFonts w:hint="cs"/>
          <w:color w:val="000000" w:themeColor="text1"/>
          <w:rtl/>
        </w:rPr>
        <w:t>, שבו שולבה ההוראה המתקנת</w:t>
      </w:r>
      <w:r w:rsidRPr="00B00F53">
        <w:rPr>
          <w:rFonts w:hint="cs"/>
          <w:color w:val="000000" w:themeColor="text1"/>
          <w:rtl/>
        </w:rPr>
        <w:t xml:space="preserve"> </w:t>
      </w:r>
      <w:r>
        <w:rPr>
          <w:rFonts w:hint="cs"/>
          <w:color w:val="000000" w:themeColor="text1"/>
          <w:rtl/>
        </w:rPr>
        <w:t>בסעיף 15(ד1)</w:t>
      </w:r>
      <w:r w:rsidRPr="00B00F53">
        <w:rPr>
          <w:rFonts w:hint="cs"/>
          <w:color w:val="000000" w:themeColor="text1"/>
          <w:rtl/>
        </w:rPr>
        <w:t>:</w:t>
      </w:r>
    </w:p>
    <w:p w:rsidR="00C044AE" w:rsidRPr="00B00F53" w:rsidRDefault="00C044AE" w:rsidP="00C044AE">
      <w:pPr>
        <w:pStyle w:val="Ruller41"/>
        <w:rPr>
          <w:rFonts w:ascii="Garamond" w:hAnsi="Garamond"/>
          <w:rtl/>
        </w:rPr>
      </w:pPr>
    </w:p>
    <w:p w:rsidR="00C044AE" w:rsidRPr="00B00F53" w:rsidRDefault="00C044AE" w:rsidP="00C044AE">
      <w:pPr>
        <w:pStyle w:val="Ruller5"/>
        <w:rPr>
          <w:rFonts w:ascii="Garamond" w:hAnsi="Garamond" w:cs="Miriam"/>
          <w:b/>
          <w:spacing w:val="0"/>
          <w:szCs w:val="24"/>
          <w:rtl/>
        </w:rPr>
      </w:pPr>
      <w:r w:rsidRPr="00B00F53">
        <w:rPr>
          <w:rFonts w:ascii="Garamond" w:hAnsi="Garamond" w:cs="Miriam" w:hint="cs"/>
          <w:b/>
          <w:spacing w:val="0"/>
          <w:szCs w:val="24"/>
          <w:rtl/>
        </w:rPr>
        <w:t>בית המשפט העליון</w:t>
      </w:r>
    </w:p>
    <w:p w:rsidR="00C044AE" w:rsidRPr="00B00F53" w:rsidRDefault="00C044AE" w:rsidP="00C044AE">
      <w:pPr>
        <w:pStyle w:val="Ruller5"/>
        <w:rPr>
          <w:rFonts w:ascii="Garamond" w:hAnsi="Garamond" w:cs="Miriam"/>
          <w:b/>
          <w:spacing w:val="0"/>
          <w:szCs w:val="24"/>
          <w:rtl/>
        </w:rPr>
      </w:pPr>
    </w:p>
    <w:p w:rsidR="00C044AE" w:rsidRPr="00B00F53" w:rsidRDefault="00C044AE" w:rsidP="00C044AE">
      <w:pPr>
        <w:pStyle w:val="Ruller5"/>
        <w:spacing w:after="120"/>
        <w:rPr>
          <w:rFonts w:ascii="Garamond" w:hAnsi="Garamond"/>
          <w:rtl/>
        </w:rPr>
      </w:pPr>
      <w:r w:rsidRPr="00B00F53">
        <w:rPr>
          <w:rFonts w:ascii="Garamond" w:hAnsi="Garamond" w:hint="cs"/>
          <w:rtl/>
        </w:rPr>
        <w:t xml:space="preserve">15. </w:t>
      </w:r>
      <w:r w:rsidRPr="00B00F53">
        <w:rPr>
          <w:rFonts w:ascii="Garamond" w:hAnsi="Garamond"/>
          <w:rtl/>
        </w:rPr>
        <w:t>(</w:t>
      </w:r>
      <w:r w:rsidRPr="00B00F53">
        <w:rPr>
          <w:rFonts w:ascii="Garamond" w:hAnsi="Garamond" w:hint="eastAsia"/>
          <w:rtl/>
        </w:rPr>
        <w:t>א</w:t>
      </w:r>
      <w:r w:rsidRPr="00B00F53">
        <w:rPr>
          <w:rFonts w:ascii="Garamond" w:hAnsi="Garamond"/>
          <w:rtl/>
        </w:rPr>
        <w:t>)</w:t>
      </w:r>
      <w:r w:rsidRPr="00B00F53">
        <w:rPr>
          <w:rFonts w:ascii="Garamond" w:hAnsi="Garamond" w:hint="cs"/>
          <w:rtl/>
        </w:rPr>
        <w:t xml:space="preserve"> </w:t>
      </w:r>
      <w:r w:rsidRPr="00B00F53">
        <w:rPr>
          <w:rFonts w:ascii="Garamond" w:hAnsi="Garamond" w:hint="eastAsia"/>
          <w:rtl/>
        </w:rPr>
        <w:t>מקום</w:t>
      </w:r>
      <w:r w:rsidRPr="00B00F53">
        <w:rPr>
          <w:rFonts w:ascii="Garamond" w:hAnsi="Garamond"/>
          <w:rtl/>
        </w:rPr>
        <w:t xml:space="preserve"> </w:t>
      </w:r>
      <w:r w:rsidRPr="00B00F53">
        <w:rPr>
          <w:rFonts w:ascii="Garamond" w:hAnsi="Garamond" w:hint="eastAsia"/>
          <w:rtl/>
        </w:rPr>
        <w:t>מושבו</w:t>
      </w:r>
      <w:r w:rsidRPr="00B00F53">
        <w:rPr>
          <w:rFonts w:ascii="Garamond" w:hAnsi="Garamond"/>
          <w:rtl/>
        </w:rPr>
        <w:t xml:space="preserve"> </w:t>
      </w:r>
      <w:r w:rsidRPr="00B00F53">
        <w:rPr>
          <w:rFonts w:ascii="Garamond" w:hAnsi="Garamond" w:hint="eastAsia"/>
          <w:rtl/>
        </w:rPr>
        <w:t>של</w:t>
      </w:r>
      <w:r w:rsidRPr="00B00F53">
        <w:rPr>
          <w:rFonts w:ascii="Garamond" w:hAnsi="Garamond"/>
          <w:rtl/>
        </w:rPr>
        <w:t xml:space="preserve"> </w:t>
      </w:r>
      <w:r w:rsidRPr="00B00F53">
        <w:rPr>
          <w:rFonts w:ascii="Garamond" w:hAnsi="Garamond" w:hint="eastAsia"/>
          <w:rtl/>
        </w:rPr>
        <w:t>בית</w:t>
      </w:r>
      <w:r w:rsidRPr="00B00F53">
        <w:rPr>
          <w:rFonts w:ascii="Garamond" w:hAnsi="Garamond"/>
          <w:rtl/>
        </w:rPr>
        <w:t xml:space="preserve"> </w:t>
      </w:r>
      <w:r w:rsidRPr="00B00F53">
        <w:rPr>
          <w:rFonts w:ascii="Garamond" w:hAnsi="Garamond" w:hint="eastAsia"/>
          <w:rtl/>
        </w:rPr>
        <w:t>המשפט</w:t>
      </w:r>
      <w:r w:rsidRPr="00B00F53">
        <w:rPr>
          <w:rFonts w:ascii="Garamond" w:hAnsi="Garamond"/>
          <w:rtl/>
        </w:rPr>
        <w:t xml:space="preserve"> </w:t>
      </w:r>
      <w:r w:rsidRPr="00B00F53">
        <w:rPr>
          <w:rFonts w:ascii="Garamond" w:hAnsi="Garamond" w:hint="eastAsia"/>
          <w:rtl/>
        </w:rPr>
        <w:t>העליון</w:t>
      </w:r>
      <w:r w:rsidRPr="00B00F53">
        <w:rPr>
          <w:rFonts w:ascii="Garamond" w:hAnsi="Garamond"/>
          <w:rtl/>
        </w:rPr>
        <w:t xml:space="preserve"> </w:t>
      </w:r>
      <w:r w:rsidRPr="00B00F53">
        <w:rPr>
          <w:rFonts w:ascii="Garamond" w:hAnsi="Garamond" w:hint="eastAsia"/>
          <w:rtl/>
        </w:rPr>
        <w:t>הוא</w:t>
      </w:r>
      <w:r w:rsidRPr="00B00F53">
        <w:rPr>
          <w:rFonts w:ascii="Garamond" w:hAnsi="Garamond"/>
          <w:rtl/>
        </w:rPr>
        <w:t xml:space="preserve"> </w:t>
      </w:r>
      <w:r w:rsidRPr="00B00F53">
        <w:rPr>
          <w:rFonts w:ascii="Garamond" w:hAnsi="Garamond" w:hint="eastAsia"/>
          <w:rtl/>
        </w:rPr>
        <w:t>ירושלים</w:t>
      </w:r>
      <w:r w:rsidRPr="00B00F53">
        <w:rPr>
          <w:rFonts w:ascii="Garamond" w:hAnsi="Garamond"/>
          <w:rtl/>
        </w:rPr>
        <w:t>.</w:t>
      </w:r>
    </w:p>
    <w:p w:rsidR="00C044AE" w:rsidRPr="00B00F53" w:rsidRDefault="00C044AE" w:rsidP="00C044AE">
      <w:pPr>
        <w:pStyle w:val="Ruller5"/>
        <w:spacing w:after="120"/>
        <w:rPr>
          <w:rFonts w:ascii="Garamond" w:hAnsi="Garamond"/>
          <w:rtl/>
        </w:rPr>
      </w:pPr>
      <w:r w:rsidRPr="00B00F53">
        <w:rPr>
          <w:rFonts w:ascii="Garamond" w:hAnsi="Garamond"/>
          <w:rtl/>
        </w:rPr>
        <w:t>(</w:t>
      </w:r>
      <w:r w:rsidRPr="00B00F53">
        <w:rPr>
          <w:rFonts w:ascii="Garamond" w:hAnsi="Garamond" w:hint="eastAsia"/>
          <w:rtl/>
        </w:rPr>
        <w:t>ב</w:t>
      </w:r>
      <w:r w:rsidRPr="00B00F53">
        <w:rPr>
          <w:rFonts w:ascii="Garamond" w:hAnsi="Garamond"/>
          <w:rtl/>
        </w:rPr>
        <w:t>)</w:t>
      </w:r>
      <w:r w:rsidRPr="00B00F53">
        <w:rPr>
          <w:rFonts w:ascii="Garamond" w:hAnsi="Garamond" w:hint="cs"/>
          <w:rtl/>
        </w:rPr>
        <w:t xml:space="preserve"> </w:t>
      </w:r>
      <w:r w:rsidRPr="00B00F53">
        <w:rPr>
          <w:rFonts w:ascii="Garamond" w:hAnsi="Garamond" w:hint="eastAsia"/>
          <w:rtl/>
        </w:rPr>
        <w:t>בית</w:t>
      </w:r>
      <w:r w:rsidRPr="00B00F53">
        <w:rPr>
          <w:rFonts w:ascii="Garamond" w:hAnsi="Garamond"/>
          <w:rtl/>
        </w:rPr>
        <w:t xml:space="preserve"> </w:t>
      </w:r>
      <w:r w:rsidRPr="00B00F53">
        <w:rPr>
          <w:rFonts w:ascii="Garamond" w:hAnsi="Garamond" w:hint="eastAsia"/>
          <w:rtl/>
        </w:rPr>
        <w:t>המשפט</w:t>
      </w:r>
      <w:r w:rsidRPr="00B00F53">
        <w:rPr>
          <w:rFonts w:ascii="Garamond" w:hAnsi="Garamond"/>
          <w:rtl/>
        </w:rPr>
        <w:t xml:space="preserve"> </w:t>
      </w:r>
      <w:r w:rsidRPr="00B00F53">
        <w:rPr>
          <w:rFonts w:ascii="Garamond" w:hAnsi="Garamond" w:hint="eastAsia"/>
          <w:rtl/>
        </w:rPr>
        <w:t>העליון</w:t>
      </w:r>
      <w:r w:rsidRPr="00B00F53">
        <w:rPr>
          <w:rFonts w:ascii="Garamond" w:hAnsi="Garamond"/>
          <w:rtl/>
        </w:rPr>
        <w:t xml:space="preserve"> </w:t>
      </w:r>
      <w:r w:rsidRPr="00B00F53">
        <w:rPr>
          <w:rFonts w:ascii="Garamond" w:hAnsi="Garamond" w:hint="eastAsia"/>
          <w:rtl/>
        </w:rPr>
        <w:t>ידון</w:t>
      </w:r>
      <w:r w:rsidRPr="00B00F53">
        <w:rPr>
          <w:rFonts w:ascii="Garamond" w:hAnsi="Garamond"/>
          <w:rtl/>
        </w:rPr>
        <w:t xml:space="preserve"> </w:t>
      </w:r>
      <w:r w:rsidRPr="00B00F53">
        <w:rPr>
          <w:rFonts w:ascii="Garamond" w:hAnsi="Garamond" w:hint="eastAsia"/>
          <w:rtl/>
        </w:rPr>
        <w:t>בערעורים</w:t>
      </w:r>
      <w:r w:rsidRPr="00B00F53">
        <w:rPr>
          <w:rFonts w:ascii="Garamond" w:hAnsi="Garamond"/>
          <w:rtl/>
        </w:rPr>
        <w:t xml:space="preserve"> </w:t>
      </w:r>
      <w:r w:rsidRPr="00B00F53">
        <w:rPr>
          <w:rFonts w:ascii="Garamond" w:hAnsi="Garamond" w:hint="eastAsia"/>
          <w:rtl/>
        </w:rPr>
        <w:t>על</w:t>
      </w:r>
      <w:r w:rsidRPr="00B00F53">
        <w:rPr>
          <w:rFonts w:ascii="Garamond" w:hAnsi="Garamond"/>
          <w:rtl/>
        </w:rPr>
        <w:t xml:space="preserve"> </w:t>
      </w:r>
      <w:r w:rsidRPr="00B00F53">
        <w:rPr>
          <w:rFonts w:ascii="Garamond" w:hAnsi="Garamond" w:hint="eastAsia"/>
          <w:rtl/>
        </w:rPr>
        <w:t>פסקי</w:t>
      </w:r>
      <w:r w:rsidRPr="00B00F53">
        <w:rPr>
          <w:rFonts w:ascii="Garamond" w:hAnsi="Garamond"/>
          <w:rtl/>
        </w:rPr>
        <w:t xml:space="preserve"> </w:t>
      </w:r>
      <w:r w:rsidRPr="00B00F53">
        <w:rPr>
          <w:rFonts w:ascii="Garamond" w:hAnsi="Garamond" w:hint="eastAsia"/>
          <w:rtl/>
        </w:rPr>
        <w:t>דין</w:t>
      </w:r>
      <w:r w:rsidRPr="00B00F53">
        <w:rPr>
          <w:rFonts w:ascii="Garamond" w:hAnsi="Garamond"/>
          <w:rtl/>
        </w:rPr>
        <w:t xml:space="preserve"> </w:t>
      </w:r>
      <w:r w:rsidRPr="00B00F53">
        <w:rPr>
          <w:rFonts w:ascii="Garamond" w:hAnsi="Garamond" w:hint="eastAsia"/>
          <w:rtl/>
        </w:rPr>
        <w:t>ועל</w:t>
      </w:r>
      <w:r w:rsidRPr="00B00F53">
        <w:rPr>
          <w:rFonts w:ascii="Garamond" w:hAnsi="Garamond"/>
          <w:rtl/>
        </w:rPr>
        <w:t xml:space="preserve"> </w:t>
      </w:r>
      <w:r w:rsidRPr="00B00F53">
        <w:rPr>
          <w:rFonts w:ascii="Garamond" w:hAnsi="Garamond" w:hint="eastAsia"/>
          <w:rtl/>
        </w:rPr>
        <w:t>החלטות</w:t>
      </w:r>
      <w:r w:rsidRPr="00B00F53">
        <w:rPr>
          <w:rFonts w:ascii="Garamond" w:hAnsi="Garamond"/>
          <w:rtl/>
        </w:rPr>
        <w:t xml:space="preserve"> </w:t>
      </w:r>
      <w:r w:rsidRPr="00B00F53">
        <w:rPr>
          <w:rFonts w:ascii="Garamond" w:hAnsi="Garamond" w:hint="eastAsia"/>
          <w:rtl/>
        </w:rPr>
        <w:t>אחרות</w:t>
      </w:r>
      <w:r w:rsidRPr="00B00F53">
        <w:rPr>
          <w:rFonts w:ascii="Garamond" w:hAnsi="Garamond"/>
          <w:rtl/>
        </w:rPr>
        <w:t xml:space="preserve"> </w:t>
      </w:r>
      <w:r w:rsidRPr="00B00F53">
        <w:rPr>
          <w:rFonts w:ascii="Garamond" w:hAnsi="Garamond" w:hint="eastAsia"/>
          <w:rtl/>
        </w:rPr>
        <w:t>של</w:t>
      </w:r>
      <w:r w:rsidRPr="00B00F53">
        <w:rPr>
          <w:rFonts w:ascii="Garamond" w:hAnsi="Garamond"/>
          <w:rtl/>
        </w:rPr>
        <w:t xml:space="preserve"> </w:t>
      </w:r>
      <w:r w:rsidRPr="00B00F53">
        <w:rPr>
          <w:rFonts w:ascii="Garamond" w:hAnsi="Garamond" w:hint="eastAsia"/>
          <w:rtl/>
        </w:rPr>
        <w:t>בתי</w:t>
      </w:r>
      <w:r w:rsidRPr="00B00F53">
        <w:rPr>
          <w:rFonts w:ascii="Garamond" w:hAnsi="Garamond"/>
          <w:rtl/>
        </w:rPr>
        <w:t xml:space="preserve"> </w:t>
      </w:r>
      <w:r w:rsidRPr="00B00F53">
        <w:rPr>
          <w:rFonts w:ascii="Garamond" w:hAnsi="Garamond" w:hint="eastAsia"/>
          <w:rtl/>
        </w:rPr>
        <w:t>המשפט</w:t>
      </w:r>
      <w:r w:rsidRPr="00B00F53">
        <w:rPr>
          <w:rFonts w:ascii="Garamond" w:hAnsi="Garamond"/>
          <w:rtl/>
        </w:rPr>
        <w:t xml:space="preserve"> </w:t>
      </w:r>
      <w:r w:rsidRPr="00B00F53">
        <w:rPr>
          <w:rFonts w:ascii="Garamond" w:hAnsi="Garamond" w:hint="eastAsia"/>
          <w:rtl/>
        </w:rPr>
        <w:t>המחוזיים</w:t>
      </w:r>
      <w:r w:rsidRPr="00B00F53">
        <w:rPr>
          <w:rFonts w:ascii="Garamond" w:hAnsi="Garamond"/>
          <w:rtl/>
        </w:rPr>
        <w:t>.</w:t>
      </w:r>
    </w:p>
    <w:p w:rsidR="00C044AE" w:rsidRPr="00B00F53" w:rsidRDefault="00C044AE" w:rsidP="00C044AE">
      <w:pPr>
        <w:pStyle w:val="Ruller5"/>
        <w:spacing w:after="120"/>
        <w:rPr>
          <w:rFonts w:ascii="Garamond" w:hAnsi="Garamond"/>
          <w:rtl/>
        </w:rPr>
      </w:pPr>
      <w:r w:rsidRPr="00B00F53">
        <w:rPr>
          <w:rFonts w:ascii="Garamond" w:hAnsi="Garamond"/>
          <w:rtl/>
        </w:rPr>
        <w:t>(</w:t>
      </w:r>
      <w:r w:rsidRPr="00B00F53">
        <w:rPr>
          <w:rFonts w:ascii="Garamond" w:hAnsi="Garamond" w:hint="eastAsia"/>
          <w:rtl/>
        </w:rPr>
        <w:t>ג</w:t>
      </w:r>
      <w:r w:rsidRPr="00B00F53">
        <w:rPr>
          <w:rFonts w:ascii="Garamond" w:hAnsi="Garamond"/>
          <w:rtl/>
        </w:rPr>
        <w:t>)</w:t>
      </w:r>
      <w:r w:rsidRPr="00B00F53">
        <w:rPr>
          <w:rFonts w:ascii="Garamond" w:hAnsi="Garamond" w:hint="cs"/>
          <w:rtl/>
        </w:rPr>
        <w:t xml:space="preserve"> </w:t>
      </w:r>
      <w:r w:rsidRPr="00B00F53">
        <w:rPr>
          <w:rFonts w:ascii="Garamond" w:hAnsi="Garamond" w:hint="eastAsia"/>
          <w:rtl/>
        </w:rPr>
        <w:t>בית</w:t>
      </w:r>
      <w:r w:rsidRPr="00B00F53">
        <w:rPr>
          <w:rFonts w:ascii="Garamond" w:hAnsi="Garamond"/>
          <w:rtl/>
        </w:rPr>
        <w:t xml:space="preserve"> </w:t>
      </w:r>
      <w:r w:rsidRPr="00B00F53">
        <w:rPr>
          <w:rFonts w:ascii="Garamond" w:hAnsi="Garamond" w:hint="eastAsia"/>
          <w:rtl/>
        </w:rPr>
        <w:t>המשפט</w:t>
      </w:r>
      <w:r w:rsidRPr="00B00F53">
        <w:rPr>
          <w:rFonts w:ascii="Garamond" w:hAnsi="Garamond"/>
          <w:rtl/>
        </w:rPr>
        <w:t xml:space="preserve"> </w:t>
      </w:r>
      <w:r w:rsidRPr="00B00F53">
        <w:rPr>
          <w:rFonts w:ascii="Garamond" w:hAnsi="Garamond" w:hint="eastAsia"/>
          <w:rtl/>
        </w:rPr>
        <w:t>העליון</w:t>
      </w:r>
      <w:r w:rsidRPr="00B00F53">
        <w:rPr>
          <w:rFonts w:ascii="Garamond" w:hAnsi="Garamond"/>
          <w:rtl/>
        </w:rPr>
        <w:t xml:space="preserve"> </w:t>
      </w:r>
      <w:r w:rsidRPr="00B00F53">
        <w:rPr>
          <w:rFonts w:ascii="Garamond" w:hAnsi="Garamond" w:hint="eastAsia"/>
          <w:rtl/>
        </w:rPr>
        <w:t>ישב</w:t>
      </w:r>
      <w:r w:rsidRPr="00B00F53">
        <w:rPr>
          <w:rFonts w:ascii="Garamond" w:hAnsi="Garamond"/>
          <w:rtl/>
        </w:rPr>
        <w:t xml:space="preserve"> </w:t>
      </w:r>
      <w:r w:rsidRPr="00B00F53">
        <w:rPr>
          <w:rFonts w:ascii="Garamond" w:hAnsi="Garamond" w:hint="eastAsia"/>
          <w:rtl/>
        </w:rPr>
        <w:t>גם</w:t>
      </w:r>
      <w:r w:rsidRPr="00B00F53">
        <w:rPr>
          <w:rFonts w:ascii="Garamond" w:hAnsi="Garamond"/>
          <w:rtl/>
        </w:rPr>
        <w:t xml:space="preserve"> </w:t>
      </w:r>
      <w:r w:rsidRPr="00B00F53">
        <w:rPr>
          <w:rFonts w:ascii="Garamond" w:hAnsi="Garamond" w:hint="eastAsia"/>
          <w:rtl/>
        </w:rPr>
        <w:t>כבית</w:t>
      </w:r>
      <w:r w:rsidRPr="00B00F53">
        <w:rPr>
          <w:rFonts w:ascii="Garamond" w:hAnsi="Garamond"/>
          <w:rtl/>
        </w:rPr>
        <w:t xml:space="preserve"> </w:t>
      </w:r>
      <w:r w:rsidRPr="00B00F53">
        <w:rPr>
          <w:rFonts w:ascii="Garamond" w:hAnsi="Garamond" w:hint="eastAsia"/>
          <w:rtl/>
        </w:rPr>
        <w:t>משפט</w:t>
      </w:r>
      <w:r w:rsidRPr="00B00F53">
        <w:rPr>
          <w:rFonts w:ascii="Garamond" w:hAnsi="Garamond"/>
          <w:rtl/>
        </w:rPr>
        <w:t xml:space="preserve"> </w:t>
      </w:r>
      <w:r w:rsidRPr="00B00F53">
        <w:rPr>
          <w:rFonts w:ascii="Garamond" w:hAnsi="Garamond" w:hint="eastAsia"/>
          <w:rtl/>
        </w:rPr>
        <w:t>גבוה</w:t>
      </w:r>
      <w:r w:rsidRPr="00B00F53">
        <w:rPr>
          <w:rFonts w:ascii="Garamond" w:hAnsi="Garamond"/>
          <w:rtl/>
        </w:rPr>
        <w:t xml:space="preserve"> </w:t>
      </w:r>
      <w:r w:rsidRPr="00B00F53">
        <w:rPr>
          <w:rFonts w:ascii="Garamond" w:hAnsi="Garamond" w:hint="eastAsia"/>
          <w:rtl/>
        </w:rPr>
        <w:t>לצדק</w:t>
      </w:r>
      <w:r w:rsidRPr="00B00F53">
        <w:rPr>
          <w:rFonts w:ascii="Garamond" w:hAnsi="Garamond"/>
          <w:rtl/>
        </w:rPr>
        <w:t xml:space="preserve">; </w:t>
      </w:r>
      <w:r w:rsidRPr="00B00F53">
        <w:rPr>
          <w:rFonts w:ascii="Garamond" w:hAnsi="Garamond" w:hint="eastAsia"/>
          <w:rtl/>
        </w:rPr>
        <w:t>בשבתו</w:t>
      </w:r>
      <w:r w:rsidRPr="00B00F53">
        <w:rPr>
          <w:rFonts w:ascii="Garamond" w:hAnsi="Garamond"/>
          <w:rtl/>
        </w:rPr>
        <w:t xml:space="preserve"> </w:t>
      </w:r>
      <w:r w:rsidRPr="00B00F53">
        <w:rPr>
          <w:rFonts w:ascii="Garamond" w:hAnsi="Garamond" w:hint="eastAsia"/>
          <w:rtl/>
        </w:rPr>
        <w:t>כאמור</w:t>
      </w:r>
      <w:r w:rsidRPr="00B00F53">
        <w:rPr>
          <w:rFonts w:ascii="Garamond" w:hAnsi="Garamond"/>
          <w:rtl/>
        </w:rPr>
        <w:t xml:space="preserve"> </w:t>
      </w:r>
      <w:r w:rsidRPr="00B00F53">
        <w:rPr>
          <w:rFonts w:ascii="Garamond" w:hAnsi="Garamond" w:hint="eastAsia"/>
          <w:rtl/>
        </w:rPr>
        <w:t>ידון</w:t>
      </w:r>
      <w:r w:rsidRPr="00B00F53">
        <w:rPr>
          <w:rFonts w:ascii="Garamond" w:hAnsi="Garamond"/>
          <w:rtl/>
        </w:rPr>
        <w:t xml:space="preserve"> </w:t>
      </w:r>
      <w:r w:rsidRPr="00B00F53">
        <w:rPr>
          <w:rFonts w:ascii="Garamond" w:hAnsi="Garamond" w:hint="eastAsia"/>
          <w:rtl/>
        </w:rPr>
        <w:t>בענינים</w:t>
      </w:r>
      <w:r w:rsidRPr="00B00F53">
        <w:rPr>
          <w:rFonts w:ascii="Garamond" w:hAnsi="Garamond"/>
          <w:rtl/>
        </w:rPr>
        <w:t xml:space="preserve"> </w:t>
      </w:r>
      <w:r w:rsidRPr="00B00F53">
        <w:rPr>
          <w:rFonts w:ascii="Garamond" w:hAnsi="Garamond" w:hint="eastAsia"/>
          <w:rtl/>
        </w:rPr>
        <w:t>אשר</w:t>
      </w:r>
      <w:r w:rsidRPr="00B00F53">
        <w:rPr>
          <w:rFonts w:ascii="Garamond" w:hAnsi="Garamond"/>
          <w:rtl/>
        </w:rPr>
        <w:t xml:space="preserve"> </w:t>
      </w:r>
      <w:r w:rsidRPr="00B00F53">
        <w:rPr>
          <w:rFonts w:ascii="Garamond" w:hAnsi="Garamond" w:hint="eastAsia"/>
          <w:rtl/>
        </w:rPr>
        <w:t>הוא</w:t>
      </w:r>
      <w:r w:rsidRPr="00B00F53">
        <w:rPr>
          <w:rFonts w:ascii="Garamond" w:hAnsi="Garamond"/>
          <w:rtl/>
        </w:rPr>
        <w:t xml:space="preserve"> </w:t>
      </w:r>
      <w:r w:rsidRPr="00B00F53">
        <w:rPr>
          <w:rFonts w:ascii="Garamond" w:hAnsi="Garamond" w:hint="eastAsia"/>
          <w:rtl/>
        </w:rPr>
        <w:t>רואה</w:t>
      </w:r>
      <w:r w:rsidRPr="00B00F53">
        <w:rPr>
          <w:rFonts w:ascii="Garamond" w:hAnsi="Garamond"/>
          <w:rtl/>
        </w:rPr>
        <w:t xml:space="preserve"> </w:t>
      </w:r>
      <w:r w:rsidRPr="00B00F53">
        <w:rPr>
          <w:rFonts w:ascii="Garamond" w:hAnsi="Garamond" w:hint="eastAsia"/>
          <w:rtl/>
        </w:rPr>
        <w:t>צורך</w:t>
      </w:r>
      <w:r w:rsidRPr="00B00F53">
        <w:rPr>
          <w:rFonts w:ascii="Garamond" w:hAnsi="Garamond"/>
          <w:rtl/>
        </w:rPr>
        <w:t xml:space="preserve"> </w:t>
      </w:r>
      <w:r w:rsidRPr="00B00F53">
        <w:rPr>
          <w:rFonts w:ascii="Garamond" w:hAnsi="Garamond" w:hint="eastAsia"/>
          <w:rtl/>
        </w:rPr>
        <w:t>לתת</w:t>
      </w:r>
      <w:r w:rsidRPr="00B00F53">
        <w:rPr>
          <w:rFonts w:ascii="Garamond" w:hAnsi="Garamond"/>
          <w:rtl/>
        </w:rPr>
        <w:t xml:space="preserve"> </w:t>
      </w:r>
      <w:r w:rsidRPr="00B00F53">
        <w:rPr>
          <w:rFonts w:ascii="Garamond" w:hAnsi="Garamond" w:hint="eastAsia"/>
          <w:rtl/>
        </w:rPr>
        <w:t>בהם</w:t>
      </w:r>
      <w:r w:rsidRPr="00B00F53">
        <w:rPr>
          <w:rFonts w:ascii="Garamond" w:hAnsi="Garamond"/>
          <w:rtl/>
        </w:rPr>
        <w:t xml:space="preserve"> </w:t>
      </w:r>
      <w:r w:rsidRPr="00B00F53">
        <w:rPr>
          <w:rFonts w:ascii="Garamond" w:hAnsi="Garamond" w:hint="eastAsia"/>
          <w:rtl/>
        </w:rPr>
        <w:t>סעד</w:t>
      </w:r>
      <w:r w:rsidRPr="00B00F53">
        <w:rPr>
          <w:rFonts w:ascii="Garamond" w:hAnsi="Garamond"/>
          <w:rtl/>
        </w:rPr>
        <w:t xml:space="preserve"> </w:t>
      </w:r>
      <w:r w:rsidRPr="00B00F53">
        <w:rPr>
          <w:rFonts w:ascii="Garamond" w:hAnsi="Garamond" w:hint="eastAsia"/>
          <w:rtl/>
        </w:rPr>
        <w:t>למען</w:t>
      </w:r>
      <w:r w:rsidRPr="00B00F53">
        <w:rPr>
          <w:rFonts w:ascii="Garamond" w:hAnsi="Garamond"/>
          <w:rtl/>
        </w:rPr>
        <w:t xml:space="preserve"> </w:t>
      </w:r>
      <w:r w:rsidRPr="00B00F53">
        <w:rPr>
          <w:rFonts w:ascii="Garamond" w:hAnsi="Garamond" w:hint="eastAsia"/>
          <w:rtl/>
        </w:rPr>
        <w:t>הצדק</w:t>
      </w:r>
      <w:r w:rsidRPr="00B00F53">
        <w:rPr>
          <w:rFonts w:ascii="Garamond" w:hAnsi="Garamond"/>
          <w:rtl/>
        </w:rPr>
        <w:t xml:space="preserve"> </w:t>
      </w:r>
      <w:r w:rsidRPr="00B00F53">
        <w:rPr>
          <w:rFonts w:ascii="Garamond" w:hAnsi="Garamond" w:hint="eastAsia"/>
          <w:rtl/>
        </w:rPr>
        <w:t>ואשר</w:t>
      </w:r>
      <w:r w:rsidRPr="00B00F53">
        <w:rPr>
          <w:rFonts w:ascii="Garamond" w:hAnsi="Garamond"/>
          <w:rtl/>
        </w:rPr>
        <w:t xml:space="preserve"> </w:t>
      </w:r>
      <w:r w:rsidRPr="00B00F53">
        <w:rPr>
          <w:rFonts w:ascii="Garamond" w:hAnsi="Garamond" w:hint="eastAsia"/>
          <w:rtl/>
        </w:rPr>
        <w:t>אינם</w:t>
      </w:r>
      <w:r w:rsidRPr="00B00F53">
        <w:rPr>
          <w:rFonts w:ascii="Garamond" w:hAnsi="Garamond"/>
          <w:rtl/>
        </w:rPr>
        <w:t xml:space="preserve"> </w:t>
      </w:r>
      <w:r w:rsidRPr="00B00F53">
        <w:rPr>
          <w:rFonts w:ascii="Garamond" w:hAnsi="Garamond" w:hint="eastAsia"/>
          <w:rtl/>
        </w:rPr>
        <w:t>בסמכותו</w:t>
      </w:r>
      <w:r w:rsidRPr="00B00F53">
        <w:rPr>
          <w:rFonts w:ascii="Garamond" w:hAnsi="Garamond"/>
          <w:rtl/>
        </w:rPr>
        <w:t xml:space="preserve"> </w:t>
      </w:r>
      <w:r w:rsidRPr="00B00F53">
        <w:rPr>
          <w:rFonts w:ascii="Garamond" w:hAnsi="Garamond" w:hint="eastAsia"/>
          <w:rtl/>
        </w:rPr>
        <w:t>של</w:t>
      </w:r>
      <w:r w:rsidRPr="00B00F53">
        <w:rPr>
          <w:rFonts w:ascii="Garamond" w:hAnsi="Garamond"/>
          <w:rtl/>
        </w:rPr>
        <w:t xml:space="preserve"> </w:t>
      </w:r>
      <w:r w:rsidRPr="00B00F53">
        <w:rPr>
          <w:rFonts w:ascii="Garamond" w:hAnsi="Garamond" w:hint="eastAsia"/>
          <w:rtl/>
        </w:rPr>
        <w:t>בית</w:t>
      </w:r>
      <w:r w:rsidRPr="00B00F53">
        <w:rPr>
          <w:rFonts w:ascii="Garamond" w:hAnsi="Garamond"/>
          <w:rtl/>
        </w:rPr>
        <w:t xml:space="preserve"> </w:t>
      </w:r>
      <w:r w:rsidRPr="00B00F53">
        <w:rPr>
          <w:rFonts w:ascii="Garamond" w:hAnsi="Garamond" w:hint="eastAsia"/>
          <w:rtl/>
        </w:rPr>
        <w:t>משפט</w:t>
      </w:r>
      <w:r w:rsidRPr="00B00F53">
        <w:rPr>
          <w:rFonts w:ascii="Garamond" w:hAnsi="Garamond"/>
          <w:rtl/>
        </w:rPr>
        <w:t xml:space="preserve"> </w:t>
      </w:r>
      <w:r w:rsidRPr="00B00F53">
        <w:rPr>
          <w:rFonts w:ascii="Garamond" w:hAnsi="Garamond" w:hint="eastAsia"/>
          <w:rtl/>
        </w:rPr>
        <w:t>או</w:t>
      </w:r>
      <w:r w:rsidRPr="00B00F53">
        <w:rPr>
          <w:rFonts w:ascii="Garamond" w:hAnsi="Garamond"/>
          <w:rtl/>
        </w:rPr>
        <w:t xml:space="preserve"> </w:t>
      </w:r>
      <w:r w:rsidRPr="00B00F53">
        <w:rPr>
          <w:rFonts w:ascii="Garamond" w:hAnsi="Garamond" w:hint="eastAsia"/>
          <w:rtl/>
        </w:rPr>
        <w:t>של</w:t>
      </w:r>
      <w:r w:rsidRPr="00B00F53">
        <w:rPr>
          <w:rFonts w:ascii="Garamond" w:hAnsi="Garamond"/>
          <w:rtl/>
        </w:rPr>
        <w:t xml:space="preserve"> </w:t>
      </w:r>
      <w:r w:rsidRPr="00B00F53">
        <w:rPr>
          <w:rFonts w:ascii="Garamond" w:hAnsi="Garamond" w:hint="eastAsia"/>
          <w:rtl/>
        </w:rPr>
        <w:t>בית</w:t>
      </w:r>
      <w:r w:rsidRPr="00B00F53">
        <w:rPr>
          <w:rFonts w:ascii="Garamond" w:hAnsi="Garamond"/>
          <w:rtl/>
        </w:rPr>
        <w:t xml:space="preserve"> </w:t>
      </w:r>
      <w:r w:rsidRPr="00B00F53">
        <w:rPr>
          <w:rFonts w:ascii="Garamond" w:hAnsi="Garamond" w:hint="eastAsia"/>
          <w:rtl/>
        </w:rPr>
        <w:t>דין</w:t>
      </w:r>
      <w:r w:rsidRPr="00B00F53">
        <w:rPr>
          <w:rFonts w:ascii="Garamond" w:hAnsi="Garamond"/>
          <w:rtl/>
        </w:rPr>
        <w:t xml:space="preserve"> </w:t>
      </w:r>
      <w:r w:rsidRPr="00B00F53">
        <w:rPr>
          <w:rFonts w:ascii="Garamond" w:hAnsi="Garamond" w:hint="eastAsia"/>
          <w:rtl/>
        </w:rPr>
        <w:t>אחר</w:t>
      </w:r>
      <w:r w:rsidRPr="00B00F53">
        <w:rPr>
          <w:rFonts w:ascii="Garamond" w:hAnsi="Garamond"/>
          <w:rtl/>
        </w:rPr>
        <w:t>.</w:t>
      </w:r>
    </w:p>
    <w:p w:rsidR="00C044AE" w:rsidRPr="00B00F53" w:rsidRDefault="00C044AE" w:rsidP="00C044AE">
      <w:pPr>
        <w:pStyle w:val="Ruller5"/>
        <w:spacing w:after="120"/>
        <w:rPr>
          <w:rFonts w:ascii="Garamond" w:hAnsi="Garamond"/>
          <w:rtl/>
        </w:rPr>
      </w:pPr>
      <w:r w:rsidRPr="00B00F53">
        <w:rPr>
          <w:rFonts w:ascii="Garamond" w:hAnsi="Garamond"/>
          <w:rtl/>
        </w:rPr>
        <w:t>(</w:t>
      </w:r>
      <w:r w:rsidRPr="00B00F53">
        <w:rPr>
          <w:rFonts w:ascii="Garamond" w:hAnsi="Garamond" w:hint="eastAsia"/>
          <w:rtl/>
        </w:rPr>
        <w:t>ד</w:t>
      </w:r>
      <w:r w:rsidRPr="00B00F53">
        <w:rPr>
          <w:rFonts w:ascii="Garamond" w:hAnsi="Garamond"/>
          <w:rtl/>
        </w:rPr>
        <w:t>)</w:t>
      </w:r>
      <w:r w:rsidRPr="00B00F53">
        <w:rPr>
          <w:rFonts w:ascii="Garamond" w:hAnsi="Garamond" w:hint="cs"/>
          <w:rtl/>
        </w:rPr>
        <w:t xml:space="preserve"> </w:t>
      </w:r>
      <w:r w:rsidRPr="00B00F53">
        <w:rPr>
          <w:rFonts w:ascii="Garamond" w:hAnsi="Garamond" w:hint="eastAsia"/>
          <w:rtl/>
        </w:rPr>
        <w:t>מבלי</w:t>
      </w:r>
      <w:r w:rsidRPr="00B00F53">
        <w:rPr>
          <w:rFonts w:ascii="Garamond" w:hAnsi="Garamond"/>
          <w:rtl/>
        </w:rPr>
        <w:t xml:space="preserve"> </w:t>
      </w:r>
      <w:r w:rsidRPr="00B00F53">
        <w:rPr>
          <w:rFonts w:ascii="Garamond" w:hAnsi="Garamond" w:hint="eastAsia"/>
          <w:rtl/>
        </w:rPr>
        <w:t>לפגוע</w:t>
      </w:r>
      <w:r w:rsidRPr="00B00F53">
        <w:rPr>
          <w:rFonts w:ascii="Garamond" w:hAnsi="Garamond"/>
          <w:rtl/>
        </w:rPr>
        <w:t xml:space="preserve"> </w:t>
      </w:r>
      <w:r w:rsidRPr="00B00F53">
        <w:rPr>
          <w:rFonts w:ascii="Garamond" w:hAnsi="Garamond" w:hint="eastAsia"/>
          <w:rtl/>
        </w:rPr>
        <w:t>בכלליות</w:t>
      </w:r>
      <w:r w:rsidRPr="00B00F53">
        <w:rPr>
          <w:rFonts w:ascii="Garamond" w:hAnsi="Garamond"/>
          <w:rtl/>
        </w:rPr>
        <w:t xml:space="preserve"> </w:t>
      </w:r>
      <w:r w:rsidRPr="00B00F53">
        <w:rPr>
          <w:rFonts w:ascii="Garamond" w:hAnsi="Garamond" w:hint="eastAsia"/>
          <w:rtl/>
        </w:rPr>
        <w:t>ההוראות</w:t>
      </w:r>
      <w:r w:rsidRPr="00B00F53">
        <w:rPr>
          <w:rFonts w:ascii="Garamond" w:hAnsi="Garamond"/>
          <w:rtl/>
        </w:rPr>
        <w:t xml:space="preserve"> </w:t>
      </w:r>
      <w:r w:rsidRPr="00B00F53">
        <w:rPr>
          <w:rFonts w:ascii="Garamond" w:hAnsi="Garamond" w:hint="eastAsia"/>
          <w:rtl/>
        </w:rPr>
        <w:t>שבסעיף</w:t>
      </w:r>
      <w:r w:rsidRPr="00B00F53">
        <w:rPr>
          <w:rFonts w:ascii="Garamond" w:hAnsi="Garamond"/>
          <w:rtl/>
        </w:rPr>
        <w:t xml:space="preserve"> </w:t>
      </w:r>
      <w:r w:rsidRPr="00B00F53">
        <w:rPr>
          <w:rFonts w:ascii="Garamond" w:hAnsi="Garamond" w:hint="eastAsia"/>
          <w:rtl/>
        </w:rPr>
        <w:t>קטן</w:t>
      </w:r>
      <w:r w:rsidRPr="00B00F53">
        <w:rPr>
          <w:rFonts w:ascii="Garamond" w:hAnsi="Garamond"/>
          <w:rtl/>
        </w:rPr>
        <w:t xml:space="preserve"> (</w:t>
      </w:r>
      <w:r w:rsidRPr="00B00F53">
        <w:rPr>
          <w:rFonts w:ascii="Garamond" w:hAnsi="Garamond" w:hint="eastAsia"/>
          <w:rtl/>
        </w:rPr>
        <w:t>ג</w:t>
      </w:r>
      <w:r w:rsidRPr="00B00F53">
        <w:rPr>
          <w:rFonts w:ascii="Garamond" w:hAnsi="Garamond"/>
          <w:rtl/>
        </w:rPr>
        <w:t xml:space="preserve">), </w:t>
      </w:r>
      <w:r w:rsidRPr="00B00F53">
        <w:rPr>
          <w:rFonts w:ascii="Garamond" w:hAnsi="Garamond" w:hint="eastAsia"/>
          <w:rtl/>
        </w:rPr>
        <w:t>מוסמך</w:t>
      </w:r>
      <w:r w:rsidRPr="00B00F53">
        <w:rPr>
          <w:rFonts w:ascii="Garamond" w:hAnsi="Garamond"/>
          <w:rtl/>
        </w:rPr>
        <w:t xml:space="preserve"> </w:t>
      </w:r>
      <w:r w:rsidRPr="00B00F53">
        <w:rPr>
          <w:rFonts w:ascii="Garamond" w:hAnsi="Garamond" w:hint="eastAsia"/>
          <w:rtl/>
        </w:rPr>
        <w:t>בית</w:t>
      </w:r>
      <w:r w:rsidRPr="00B00F53">
        <w:rPr>
          <w:rFonts w:ascii="Garamond" w:hAnsi="Garamond"/>
          <w:rtl/>
        </w:rPr>
        <w:t xml:space="preserve"> </w:t>
      </w:r>
      <w:r w:rsidRPr="00B00F53">
        <w:rPr>
          <w:rFonts w:ascii="Garamond" w:hAnsi="Garamond" w:hint="eastAsia"/>
          <w:rtl/>
        </w:rPr>
        <w:t>המשפט</w:t>
      </w:r>
      <w:r w:rsidRPr="00B00F53">
        <w:rPr>
          <w:rFonts w:ascii="Garamond" w:hAnsi="Garamond"/>
          <w:rtl/>
        </w:rPr>
        <w:t xml:space="preserve"> </w:t>
      </w:r>
      <w:r w:rsidRPr="00B00F53">
        <w:rPr>
          <w:rFonts w:ascii="Garamond" w:hAnsi="Garamond" w:hint="eastAsia"/>
          <w:rtl/>
        </w:rPr>
        <w:t>העליון</w:t>
      </w:r>
      <w:r w:rsidRPr="00B00F53">
        <w:rPr>
          <w:rFonts w:ascii="Garamond" w:hAnsi="Garamond"/>
          <w:rtl/>
        </w:rPr>
        <w:t xml:space="preserve"> </w:t>
      </w:r>
      <w:r w:rsidRPr="00B00F53">
        <w:rPr>
          <w:rFonts w:ascii="Garamond" w:hAnsi="Garamond" w:hint="eastAsia"/>
          <w:rtl/>
        </w:rPr>
        <w:t>בשבתו</w:t>
      </w:r>
      <w:r w:rsidRPr="00B00F53">
        <w:rPr>
          <w:rFonts w:ascii="Garamond" w:hAnsi="Garamond"/>
          <w:rtl/>
        </w:rPr>
        <w:t xml:space="preserve"> </w:t>
      </w:r>
      <w:r w:rsidRPr="00B00F53">
        <w:rPr>
          <w:rFonts w:ascii="Garamond" w:hAnsi="Garamond" w:hint="eastAsia"/>
          <w:rtl/>
        </w:rPr>
        <w:t>כבית</w:t>
      </w:r>
      <w:r w:rsidRPr="00B00F53">
        <w:rPr>
          <w:rFonts w:ascii="Garamond" w:hAnsi="Garamond"/>
          <w:rtl/>
        </w:rPr>
        <w:t xml:space="preserve"> </w:t>
      </w:r>
      <w:r w:rsidRPr="00B00F53">
        <w:rPr>
          <w:rFonts w:ascii="Garamond" w:hAnsi="Garamond" w:hint="eastAsia"/>
          <w:rtl/>
        </w:rPr>
        <w:t>משפט</w:t>
      </w:r>
      <w:r w:rsidRPr="00B00F53">
        <w:rPr>
          <w:rFonts w:ascii="Garamond" w:hAnsi="Garamond"/>
          <w:rtl/>
        </w:rPr>
        <w:t xml:space="preserve"> </w:t>
      </w:r>
      <w:r w:rsidRPr="00B00F53">
        <w:rPr>
          <w:rFonts w:ascii="Garamond" w:hAnsi="Garamond" w:hint="eastAsia"/>
          <w:rtl/>
        </w:rPr>
        <w:t>גבוה</w:t>
      </w:r>
      <w:r w:rsidRPr="00B00F53">
        <w:rPr>
          <w:rFonts w:ascii="Garamond" w:hAnsi="Garamond"/>
          <w:rtl/>
        </w:rPr>
        <w:t xml:space="preserve"> </w:t>
      </w:r>
      <w:r w:rsidRPr="00B00F53">
        <w:rPr>
          <w:rFonts w:ascii="Garamond" w:hAnsi="Garamond" w:hint="eastAsia"/>
          <w:rtl/>
        </w:rPr>
        <w:t>לצדק</w:t>
      </w:r>
      <w:r w:rsidRPr="00B00F53">
        <w:rPr>
          <w:rFonts w:ascii="Garamond" w:hAnsi="Garamond"/>
          <w:rtl/>
        </w:rPr>
        <w:t xml:space="preserve"> –</w:t>
      </w:r>
    </w:p>
    <w:p w:rsidR="00C044AE" w:rsidRPr="00B00F53" w:rsidRDefault="00C044AE" w:rsidP="00C044AE">
      <w:pPr>
        <w:pStyle w:val="Ruller5"/>
        <w:spacing w:after="120"/>
        <w:ind w:left="2160"/>
        <w:rPr>
          <w:rFonts w:ascii="Garamond" w:hAnsi="Garamond"/>
          <w:rtl/>
        </w:rPr>
      </w:pPr>
      <w:r w:rsidRPr="00B00F53">
        <w:rPr>
          <w:rFonts w:ascii="Garamond" w:hAnsi="Garamond"/>
          <w:rtl/>
        </w:rPr>
        <w:t>(1)</w:t>
      </w:r>
      <w:r w:rsidRPr="00B00F53">
        <w:rPr>
          <w:rFonts w:ascii="Garamond" w:hAnsi="Garamond" w:hint="cs"/>
          <w:rtl/>
        </w:rPr>
        <w:t xml:space="preserve"> </w:t>
      </w:r>
      <w:r w:rsidRPr="00B00F53">
        <w:rPr>
          <w:rFonts w:ascii="Garamond" w:hAnsi="Garamond" w:hint="eastAsia"/>
          <w:rtl/>
        </w:rPr>
        <w:t>לתת</w:t>
      </w:r>
      <w:r w:rsidRPr="00B00F53">
        <w:rPr>
          <w:rFonts w:ascii="Garamond" w:hAnsi="Garamond"/>
          <w:rtl/>
        </w:rPr>
        <w:t xml:space="preserve"> </w:t>
      </w:r>
      <w:r w:rsidRPr="00B00F53">
        <w:rPr>
          <w:rFonts w:ascii="Garamond" w:hAnsi="Garamond" w:hint="eastAsia"/>
          <w:rtl/>
        </w:rPr>
        <w:t>צווים</w:t>
      </w:r>
      <w:r w:rsidRPr="00B00F53">
        <w:rPr>
          <w:rFonts w:ascii="Garamond" w:hAnsi="Garamond"/>
          <w:rtl/>
        </w:rPr>
        <w:t xml:space="preserve"> </w:t>
      </w:r>
      <w:r w:rsidRPr="00B00F53">
        <w:rPr>
          <w:rFonts w:ascii="Garamond" w:hAnsi="Garamond" w:hint="eastAsia"/>
          <w:rtl/>
        </w:rPr>
        <w:t>על</w:t>
      </w:r>
      <w:r w:rsidRPr="00B00F53">
        <w:rPr>
          <w:rFonts w:ascii="Garamond" w:hAnsi="Garamond"/>
          <w:rtl/>
        </w:rPr>
        <w:t xml:space="preserve"> </w:t>
      </w:r>
      <w:r w:rsidRPr="00B00F53">
        <w:rPr>
          <w:rFonts w:ascii="Garamond" w:hAnsi="Garamond" w:hint="eastAsia"/>
          <w:rtl/>
        </w:rPr>
        <w:t>שחרור</w:t>
      </w:r>
      <w:r w:rsidRPr="00B00F53">
        <w:rPr>
          <w:rFonts w:ascii="Garamond" w:hAnsi="Garamond"/>
          <w:rtl/>
        </w:rPr>
        <w:t xml:space="preserve"> </w:t>
      </w:r>
      <w:r w:rsidRPr="00B00F53">
        <w:rPr>
          <w:rFonts w:ascii="Garamond" w:hAnsi="Garamond" w:hint="eastAsia"/>
          <w:rtl/>
        </w:rPr>
        <w:t>אנשים</w:t>
      </w:r>
      <w:r w:rsidRPr="00B00F53">
        <w:rPr>
          <w:rFonts w:ascii="Garamond" w:hAnsi="Garamond"/>
          <w:rtl/>
        </w:rPr>
        <w:t xml:space="preserve"> </w:t>
      </w:r>
      <w:r w:rsidRPr="00B00F53">
        <w:rPr>
          <w:rFonts w:ascii="Garamond" w:hAnsi="Garamond" w:hint="eastAsia"/>
          <w:rtl/>
        </w:rPr>
        <w:t>שנעצרו</w:t>
      </w:r>
      <w:r w:rsidRPr="00B00F53">
        <w:rPr>
          <w:rFonts w:ascii="Garamond" w:hAnsi="Garamond"/>
          <w:rtl/>
        </w:rPr>
        <w:t xml:space="preserve"> </w:t>
      </w:r>
      <w:r w:rsidRPr="00B00F53">
        <w:rPr>
          <w:rFonts w:ascii="Garamond" w:hAnsi="Garamond" w:hint="eastAsia"/>
          <w:rtl/>
        </w:rPr>
        <w:t>או</w:t>
      </w:r>
      <w:r w:rsidRPr="00B00F53">
        <w:rPr>
          <w:rFonts w:ascii="Garamond" w:hAnsi="Garamond"/>
          <w:rtl/>
        </w:rPr>
        <w:t xml:space="preserve"> </w:t>
      </w:r>
      <w:r w:rsidRPr="00B00F53">
        <w:rPr>
          <w:rFonts w:ascii="Garamond" w:hAnsi="Garamond" w:hint="eastAsia"/>
          <w:rtl/>
        </w:rPr>
        <w:t>נאסרו</w:t>
      </w:r>
      <w:r w:rsidRPr="00B00F53">
        <w:rPr>
          <w:rFonts w:ascii="Garamond" w:hAnsi="Garamond"/>
          <w:rtl/>
        </w:rPr>
        <w:t xml:space="preserve"> </w:t>
      </w:r>
      <w:r w:rsidRPr="00B00F53">
        <w:rPr>
          <w:rFonts w:ascii="Garamond" w:hAnsi="Garamond" w:hint="eastAsia"/>
          <w:rtl/>
        </w:rPr>
        <w:t>שלא</w:t>
      </w:r>
      <w:r w:rsidRPr="00B00F53">
        <w:rPr>
          <w:rFonts w:ascii="Garamond" w:hAnsi="Garamond"/>
          <w:rtl/>
        </w:rPr>
        <w:t xml:space="preserve"> </w:t>
      </w:r>
      <w:r w:rsidRPr="00B00F53">
        <w:rPr>
          <w:rFonts w:ascii="Garamond" w:hAnsi="Garamond" w:hint="eastAsia"/>
          <w:rtl/>
        </w:rPr>
        <w:t>כדין</w:t>
      </w:r>
      <w:r w:rsidRPr="00B00F53">
        <w:rPr>
          <w:rFonts w:ascii="Garamond" w:hAnsi="Garamond"/>
          <w:rtl/>
        </w:rPr>
        <w:t>;</w:t>
      </w:r>
    </w:p>
    <w:p w:rsidR="00C044AE" w:rsidRPr="00B00F53" w:rsidRDefault="00C044AE" w:rsidP="00C044AE">
      <w:pPr>
        <w:pStyle w:val="Ruller5"/>
        <w:spacing w:after="120"/>
        <w:ind w:left="2160"/>
        <w:rPr>
          <w:rFonts w:ascii="Garamond" w:hAnsi="Garamond"/>
          <w:rtl/>
        </w:rPr>
      </w:pPr>
      <w:r w:rsidRPr="00B00F53">
        <w:rPr>
          <w:rFonts w:ascii="Garamond" w:hAnsi="Garamond"/>
          <w:rtl/>
        </w:rPr>
        <w:t>(2)</w:t>
      </w:r>
      <w:r w:rsidRPr="00B00F53">
        <w:rPr>
          <w:rFonts w:ascii="Garamond" w:hAnsi="Garamond" w:hint="cs"/>
          <w:rtl/>
        </w:rPr>
        <w:t xml:space="preserve"> </w:t>
      </w:r>
      <w:r w:rsidRPr="00B00F53">
        <w:rPr>
          <w:rFonts w:ascii="Garamond" w:hAnsi="Garamond" w:hint="eastAsia"/>
          <w:rtl/>
        </w:rPr>
        <w:t>לתת</w:t>
      </w:r>
      <w:r w:rsidRPr="00B00F53">
        <w:rPr>
          <w:rFonts w:ascii="Garamond" w:hAnsi="Garamond"/>
          <w:rtl/>
        </w:rPr>
        <w:t xml:space="preserve"> </w:t>
      </w:r>
      <w:r w:rsidRPr="00B00F53">
        <w:rPr>
          <w:rFonts w:ascii="Garamond" w:hAnsi="Garamond" w:hint="eastAsia"/>
          <w:rtl/>
        </w:rPr>
        <w:t>צווים</w:t>
      </w:r>
      <w:r w:rsidRPr="00B00F53">
        <w:rPr>
          <w:rFonts w:ascii="Garamond" w:hAnsi="Garamond"/>
          <w:rtl/>
        </w:rPr>
        <w:t xml:space="preserve"> </w:t>
      </w:r>
      <w:r w:rsidRPr="00B00F53">
        <w:rPr>
          <w:rFonts w:ascii="Garamond" w:hAnsi="Garamond" w:hint="eastAsia"/>
          <w:rtl/>
        </w:rPr>
        <w:t>לרשויות</w:t>
      </w:r>
      <w:r w:rsidRPr="00B00F53">
        <w:rPr>
          <w:rFonts w:ascii="Garamond" w:hAnsi="Garamond"/>
          <w:rtl/>
        </w:rPr>
        <w:t xml:space="preserve"> </w:t>
      </w:r>
      <w:r w:rsidRPr="00B00F53">
        <w:rPr>
          <w:rFonts w:ascii="Garamond" w:hAnsi="Garamond" w:hint="eastAsia"/>
          <w:rtl/>
        </w:rPr>
        <w:t>המדינה</w:t>
      </w:r>
      <w:r w:rsidRPr="00B00F53">
        <w:rPr>
          <w:rFonts w:ascii="Garamond" w:hAnsi="Garamond"/>
          <w:rtl/>
        </w:rPr>
        <w:t xml:space="preserve">, </w:t>
      </w:r>
      <w:r w:rsidRPr="00B00F53">
        <w:rPr>
          <w:rFonts w:ascii="Garamond" w:hAnsi="Garamond" w:hint="eastAsia"/>
          <w:rtl/>
        </w:rPr>
        <w:t>לרשויות</w:t>
      </w:r>
      <w:r w:rsidRPr="00B00F53">
        <w:rPr>
          <w:rFonts w:ascii="Garamond" w:hAnsi="Garamond"/>
          <w:rtl/>
        </w:rPr>
        <w:t xml:space="preserve"> </w:t>
      </w:r>
      <w:r w:rsidRPr="00B00F53">
        <w:rPr>
          <w:rFonts w:ascii="Garamond" w:hAnsi="Garamond" w:hint="eastAsia"/>
          <w:rtl/>
        </w:rPr>
        <w:t>מקומיות</w:t>
      </w:r>
      <w:r w:rsidRPr="00B00F53">
        <w:rPr>
          <w:rFonts w:ascii="Garamond" w:hAnsi="Garamond"/>
          <w:rtl/>
        </w:rPr>
        <w:t xml:space="preserve">, </w:t>
      </w:r>
      <w:r w:rsidRPr="00B00F53">
        <w:rPr>
          <w:rFonts w:ascii="Garamond" w:hAnsi="Garamond" w:hint="eastAsia"/>
          <w:rtl/>
        </w:rPr>
        <w:t>לפקידיהן</w:t>
      </w:r>
      <w:r w:rsidRPr="00B00F53">
        <w:rPr>
          <w:rFonts w:ascii="Garamond" w:hAnsi="Garamond"/>
          <w:rtl/>
        </w:rPr>
        <w:t xml:space="preserve"> </w:t>
      </w:r>
      <w:r w:rsidRPr="00B00F53">
        <w:rPr>
          <w:rFonts w:ascii="Garamond" w:hAnsi="Garamond" w:hint="eastAsia"/>
          <w:rtl/>
        </w:rPr>
        <w:t>ולגופים</w:t>
      </w:r>
      <w:r w:rsidRPr="00B00F53">
        <w:rPr>
          <w:rFonts w:ascii="Garamond" w:hAnsi="Garamond"/>
          <w:rtl/>
        </w:rPr>
        <w:t xml:space="preserve"> </w:t>
      </w:r>
      <w:r w:rsidRPr="00B00F53">
        <w:rPr>
          <w:rFonts w:ascii="Garamond" w:hAnsi="Garamond" w:hint="eastAsia"/>
          <w:rtl/>
        </w:rPr>
        <w:t>ולאנשים</w:t>
      </w:r>
      <w:r w:rsidRPr="00B00F53">
        <w:rPr>
          <w:rFonts w:ascii="Garamond" w:hAnsi="Garamond"/>
          <w:rtl/>
        </w:rPr>
        <w:t xml:space="preserve"> </w:t>
      </w:r>
      <w:r w:rsidRPr="00B00F53">
        <w:rPr>
          <w:rFonts w:ascii="Garamond" w:hAnsi="Garamond" w:hint="eastAsia"/>
          <w:rtl/>
        </w:rPr>
        <w:t>אחרים</w:t>
      </w:r>
      <w:r w:rsidRPr="00B00F53">
        <w:rPr>
          <w:rFonts w:ascii="Garamond" w:hAnsi="Garamond"/>
          <w:rtl/>
        </w:rPr>
        <w:t xml:space="preserve"> </w:t>
      </w:r>
      <w:r w:rsidRPr="00B00F53">
        <w:rPr>
          <w:rFonts w:ascii="Garamond" w:hAnsi="Garamond" w:hint="eastAsia"/>
          <w:rtl/>
        </w:rPr>
        <w:t>הממלאים</w:t>
      </w:r>
      <w:r w:rsidRPr="00B00F53">
        <w:rPr>
          <w:rFonts w:ascii="Garamond" w:hAnsi="Garamond"/>
          <w:rtl/>
        </w:rPr>
        <w:t xml:space="preserve"> </w:t>
      </w:r>
      <w:r w:rsidRPr="00B00F53">
        <w:rPr>
          <w:rFonts w:ascii="Garamond" w:hAnsi="Garamond" w:hint="eastAsia"/>
          <w:rtl/>
        </w:rPr>
        <w:t>תפקידים</w:t>
      </w:r>
      <w:r w:rsidRPr="00B00F53">
        <w:rPr>
          <w:rFonts w:ascii="Garamond" w:hAnsi="Garamond"/>
          <w:rtl/>
        </w:rPr>
        <w:t xml:space="preserve"> </w:t>
      </w:r>
      <w:r w:rsidRPr="00B00F53">
        <w:rPr>
          <w:rFonts w:ascii="Garamond" w:hAnsi="Garamond" w:hint="eastAsia"/>
          <w:rtl/>
        </w:rPr>
        <w:t>ציבוריים</w:t>
      </w:r>
      <w:r w:rsidRPr="00B00F53">
        <w:rPr>
          <w:rFonts w:ascii="Garamond" w:hAnsi="Garamond"/>
          <w:rtl/>
        </w:rPr>
        <w:t xml:space="preserve"> </w:t>
      </w:r>
      <w:r w:rsidRPr="00B00F53">
        <w:rPr>
          <w:rFonts w:ascii="Garamond" w:hAnsi="Garamond" w:hint="eastAsia"/>
          <w:rtl/>
        </w:rPr>
        <w:t>על</w:t>
      </w:r>
      <w:r w:rsidRPr="00B00F53">
        <w:rPr>
          <w:rFonts w:ascii="Garamond" w:hAnsi="Garamond"/>
          <w:rtl/>
        </w:rPr>
        <w:t xml:space="preserve"> </w:t>
      </w:r>
      <w:r w:rsidRPr="00B00F53">
        <w:rPr>
          <w:rFonts w:ascii="Garamond" w:hAnsi="Garamond" w:hint="eastAsia"/>
          <w:rtl/>
        </w:rPr>
        <w:t>פי</w:t>
      </w:r>
      <w:r w:rsidRPr="00B00F53">
        <w:rPr>
          <w:rFonts w:ascii="Garamond" w:hAnsi="Garamond"/>
          <w:rtl/>
        </w:rPr>
        <w:t xml:space="preserve"> </w:t>
      </w:r>
      <w:r w:rsidRPr="00B00F53">
        <w:rPr>
          <w:rFonts w:ascii="Garamond" w:hAnsi="Garamond" w:hint="eastAsia"/>
          <w:rtl/>
        </w:rPr>
        <w:t>דין</w:t>
      </w:r>
      <w:r w:rsidRPr="00B00F53">
        <w:rPr>
          <w:rFonts w:ascii="Garamond" w:hAnsi="Garamond"/>
          <w:rtl/>
        </w:rPr>
        <w:t xml:space="preserve">, </w:t>
      </w:r>
      <w:r w:rsidRPr="00B00F53">
        <w:rPr>
          <w:rFonts w:ascii="Garamond" w:hAnsi="Garamond" w:hint="eastAsia"/>
          <w:rtl/>
        </w:rPr>
        <w:t>לעשות</w:t>
      </w:r>
      <w:r w:rsidRPr="00B00F53">
        <w:rPr>
          <w:rFonts w:ascii="Garamond" w:hAnsi="Garamond"/>
          <w:rtl/>
        </w:rPr>
        <w:t xml:space="preserve"> </w:t>
      </w:r>
      <w:r w:rsidRPr="00B00F53">
        <w:rPr>
          <w:rFonts w:ascii="Garamond" w:hAnsi="Garamond" w:hint="eastAsia"/>
          <w:rtl/>
        </w:rPr>
        <w:t>מעשה</w:t>
      </w:r>
      <w:r w:rsidRPr="00B00F53">
        <w:rPr>
          <w:rFonts w:ascii="Garamond" w:hAnsi="Garamond"/>
          <w:rtl/>
        </w:rPr>
        <w:t xml:space="preserve"> </w:t>
      </w:r>
      <w:r w:rsidRPr="00B00F53">
        <w:rPr>
          <w:rFonts w:ascii="Garamond" w:hAnsi="Garamond" w:hint="eastAsia"/>
          <w:rtl/>
        </w:rPr>
        <w:t>או</w:t>
      </w:r>
      <w:r w:rsidRPr="00B00F53">
        <w:rPr>
          <w:rFonts w:ascii="Garamond" w:hAnsi="Garamond"/>
          <w:rtl/>
        </w:rPr>
        <w:t xml:space="preserve"> </w:t>
      </w:r>
      <w:r w:rsidRPr="00B00F53">
        <w:rPr>
          <w:rFonts w:ascii="Garamond" w:hAnsi="Garamond" w:hint="eastAsia"/>
          <w:rtl/>
        </w:rPr>
        <w:t>להימנע</w:t>
      </w:r>
      <w:r w:rsidRPr="00B00F53">
        <w:rPr>
          <w:rFonts w:ascii="Garamond" w:hAnsi="Garamond"/>
          <w:rtl/>
        </w:rPr>
        <w:t xml:space="preserve"> </w:t>
      </w:r>
      <w:r w:rsidRPr="00B00F53">
        <w:rPr>
          <w:rFonts w:ascii="Garamond" w:hAnsi="Garamond" w:hint="eastAsia"/>
          <w:rtl/>
        </w:rPr>
        <w:t>מעשות</w:t>
      </w:r>
      <w:r w:rsidRPr="00B00F53">
        <w:rPr>
          <w:rFonts w:ascii="Garamond" w:hAnsi="Garamond"/>
          <w:rtl/>
        </w:rPr>
        <w:t xml:space="preserve"> </w:t>
      </w:r>
      <w:r w:rsidRPr="00B00F53">
        <w:rPr>
          <w:rFonts w:ascii="Garamond" w:hAnsi="Garamond" w:hint="eastAsia"/>
          <w:rtl/>
        </w:rPr>
        <w:t>מעשה</w:t>
      </w:r>
      <w:r w:rsidRPr="00B00F53">
        <w:rPr>
          <w:rFonts w:ascii="Garamond" w:hAnsi="Garamond"/>
          <w:rtl/>
        </w:rPr>
        <w:t xml:space="preserve"> </w:t>
      </w:r>
      <w:r w:rsidRPr="00B00F53">
        <w:rPr>
          <w:rFonts w:ascii="Garamond" w:hAnsi="Garamond" w:hint="eastAsia"/>
          <w:rtl/>
        </w:rPr>
        <w:t>במילוי</w:t>
      </w:r>
      <w:r w:rsidRPr="00B00F53">
        <w:rPr>
          <w:rFonts w:ascii="Garamond" w:hAnsi="Garamond"/>
          <w:rtl/>
        </w:rPr>
        <w:t xml:space="preserve"> </w:t>
      </w:r>
      <w:r w:rsidRPr="00B00F53">
        <w:rPr>
          <w:rFonts w:ascii="Garamond" w:hAnsi="Garamond" w:hint="eastAsia"/>
          <w:rtl/>
        </w:rPr>
        <w:t>תפקידיהם</w:t>
      </w:r>
      <w:r w:rsidRPr="00B00F53">
        <w:rPr>
          <w:rFonts w:ascii="Garamond" w:hAnsi="Garamond"/>
          <w:rtl/>
        </w:rPr>
        <w:t xml:space="preserve"> </w:t>
      </w:r>
      <w:r w:rsidRPr="00B00F53">
        <w:rPr>
          <w:rFonts w:ascii="Garamond" w:hAnsi="Garamond" w:hint="eastAsia"/>
          <w:rtl/>
        </w:rPr>
        <w:t>כדין</w:t>
      </w:r>
      <w:r w:rsidRPr="00B00F53">
        <w:rPr>
          <w:rFonts w:ascii="Garamond" w:hAnsi="Garamond"/>
          <w:rtl/>
        </w:rPr>
        <w:t xml:space="preserve">, </w:t>
      </w:r>
      <w:r w:rsidRPr="00B00F53">
        <w:rPr>
          <w:rFonts w:ascii="Garamond" w:hAnsi="Garamond" w:hint="eastAsia"/>
          <w:rtl/>
        </w:rPr>
        <w:t>ואם</w:t>
      </w:r>
      <w:r w:rsidRPr="00B00F53">
        <w:rPr>
          <w:rFonts w:ascii="Garamond" w:hAnsi="Garamond"/>
          <w:rtl/>
        </w:rPr>
        <w:t xml:space="preserve"> </w:t>
      </w:r>
      <w:r w:rsidRPr="00B00F53">
        <w:rPr>
          <w:rFonts w:ascii="Garamond" w:hAnsi="Garamond" w:hint="eastAsia"/>
          <w:rtl/>
        </w:rPr>
        <w:t>נבחרו</w:t>
      </w:r>
      <w:r w:rsidRPr="00B00F53">
        <w:rPr>
          <w:rFonts w:ascii="Garamond" w:hAnsi="Garamond"/>
          <w:rtl/>
        </w:rPr>
        <w:t xml:space="preserve"> </w:t>
      </w:r>
      <w:r w:rsidRPr="00B00F53">
        <w:rPr>
          <w:rFonts w:ascii="Garamond" w:hAnsi="Garamond" w:hint="eastAsia"/>
          <w:rtl/>
        </w:rPr>
        <w:t>או</w:t>
      </w:r>
      <w:r w:rsidRPr="00B00F53">
        <w:rPr>
          <w:rFonts w:ascii="Garamond" w:hAnsi="Garamond"/>
          <w:rtl/>
        </w:rPr>
        <w:t xml:space="preserve"> </w:t>
      </w:r>
      <w:r w:rsidRPr="00B00F53">
        <w:rPr>
          <w:rFonts w:ascii="Garamond" w:hAnsi="Garamond" w:hint="eastAsia"/>
          <w:rtl/>
        </w:rPr>
        <w:t>נתמנו</w:t>
      </w:r>
      <w:r w:rsidRPr="00B00F53">
        <w:rPr>
          <w:rFonts w:ascii="Garamond" w:hAnsi="Garamond"/>
          <w:rtl/>
        </w:rPr>
        <w:t xml:space="preserve"> </w:t>
      </w:r>
      <w:r w:rsidRPr="00B00F53">
        <w:rPr>
          <w:rFonts w:ascii="Garamond" w:hAnsi="Garamond" w:hint="eastAsia"/>
          <w:rtl/>
        </w:rPr>
        <w:t>שלא</w:t>
      </w:r>
      <w:r w:rsidRPr="00B00F53">
        <w:rPr>
          <w:rFonts w:ascii="Garamond" w:hAnsi="Garamond"/>
          <w:rtl/>
        </w:rPr>
        <w:t xml:space="preserve"> </w:t>
      </w:r>
      <w:r w:rsidRPr="00B00F53">
        <w:rPr>
          <w:rFonts w:ascii="Garamond" w:hAnsi="Garamond" w:hint="eastAsia"/>
          <w:rtl/>
        </w:rPr>
        <w:t>כדין</w:t>
      </w:r>
      <w:r w:rsidRPr="00B00F53">
        <w:rPr>
          <w:rFonts w:ascii="Garamond" w:hAnsi="Garamond"/>
          <w:rtl/>
        </w:rPr>
        <w:t xml:space="preserve"> – </w:t>
      </w:r>
      <w:r w:rsidRPr="00B00F53">
        <w:rPr>
          <w:rFonts w:ascii="Garamond" w:hAnsi="Garamond" w:hint="eastAsia"/>
          <w:rtl/>
        </w:rPr>
        <w:t>להימנע</w:t>
      </w:r>
      <w:r w:rsidRPr="00B00F53">
        <w:rPr>
          <w:rFonts w:ascii="Garamond" w:hAnsi="Garamond"/>
          <w:rtl/>
        </w:rPr>
        <w:t xml:space="preserve"> </w:t>
      </w:r>
      <w:r w:rsidRPr="00B00F53">
        <w:rPr>
          <w:rFonts w:ascii="Garamond" w:hAnsi="Garamond" w:hint="eastAsia"/>
          <w:rtl/>
        </w:rPr>
        <w:t>מלפעול</w:t>
      </w:r>
      <w:r w:rsidRPr="00B00F53">
        <w:rPr>
          <w:rFonts w:ascii="Garamond" w:hAnsi="Garamond"/>
          <w:rtl/>
        </w:rPr>
        <w:t>;</w:t>
      </w:r>
    </w:p>
    <w:p w:rsidR="00C044AE" w:rsidRPr="00B00F53" w:rsidRDefault="00C044AE" w:rsidP="00C044AE">
      <w:pPr>
        <w:pStyle w:val="Ruller5"/>
        <w:spacing w:after="120"/>
        <w:ind w:left="2160"/>
        <w:rPr>
          <w:rFonts w:ascii="Garamond" w:hAnsi="Garamond"/>
          <w:rtl/>
        </w:rPr>
      </w:pPr>
      <w:r w:rsidRPr="00B00F53">
        <w:rPr>
          <w:rFonts w:ascii="Garamond" w:hAnsi="Garamond"/>
          <w:rtl/>
        </w:rPr>
        <w:t>(3)</w:t>
      </w:r>
      <w:r w:rsidRPr="00B00F53">
        <w:rPr>
          <w:rFonts w:ascii="Garamond" w:hAnsi="Garamond" w:hint="cs"/>
          <w:rtl/>
        </w:rPr>
        <w:t xml:space="preserve"> </w:t>
      </w:r>
      <w:r w:rsidRPr="00B00F53">
        <w:rPr>
          <w:rFonts w:ascii="Garamond" w:hAnsi="Garamond" w:hint="eastAsia"/>
          <w:rtl/>
        </w:rPr>
        <w:t>לתת</w:t>
      </w:r>
      <w:r w:rsidRPr="00B00F53">
        <w:rPr>
          <w:rFonts w:ascii="Garamond" w:hAnsi="Garamond"/>
          <w:rtl/>
        </w:rPr>
        <w:t xml:space="preserve"> </w:t>
      </w:r>
      <w:r w:rsidRPr="00B00F53">
        <w:rPr>
          <w:rFonts w:ascii="Garamond" w:hAnsi="Garamond" w:hint="eastAsia"/>
          <w:rtl/>
        </w:rPr>
        <w:t>צווים</w:t>
      </w:r>
      <w:r w:rsidRPr="00B00F53">
        <w:rPr>
          <w:rFonts w:ascii="Garamond" w:hAnsi="Garamond"/>
          <w:rtl/>
        </w:rPr>
        <w:t xml:space="preserve"> </w:t>
      </w:r>
      <w:r w:rsidRPr="00B00F53">
        <w:rPr>
          <w:rFonts w:ascii="Garamond" w:hAnsi="Garamond" w:hint="eastAsia"/>
          <w:rtl/>
        </w:rPr>
        <w:t>לבתי</w:t>
      </w:r>
      <w:r w:rsidRPr="00B00F53">
        <w:rPr>
          <w:rFonts w:ascii="Garamond" w:hAnsi="Garamond"/>
          <w:rtl/>
        </w:rPr>
        <w:t xml:space="preserve"> </w:t>
      </w:r>
      <w:r w:rsidRPr="00B00F53">
        <w:rPr>
          <w:rFonts w:ascii="Garamond" w:hAnsi="Garamond" w:hint="eastAsia"/>
          <w:rtl/>
        </w:rPr>
        <w:t>משפט</w:t>
      </w:r>
      <w:r w:rsidRPr="00B00F53">
        <w:rPr>
          <w:rFonts w:ascii="Garamond" w:hAnsi="Garamond"/>
          <w:rtl/>
        </w:rPr>
        <w:t xml:space="preserve">, </w:t>
      </w:r>
      <w:r w:rsidRPr="00B00F53">
        <w:rPr>
          <w:rFonts w:ascii="Garamond" w:hAnsi="Garamond" w:hint="eastAsia"/>
          <w:rtl/>
        </w:rPr>
        <w:t>לבתי</w:t>
      </w:r>
      <w:r w:rsidRPr="00B00F53">
        <w:rPr>
          <w:rFonts w:ascii="Garamond" w:hAnsi="Garamond"/>
          <w:rtl/>
        </w:rPr>
        <w:t xml:space="preserve"> </w:t>
      </w:r>
      <w:r w:rsidRPr="00B00F53">
        <w:rPr>
          <w:rFonts w:ascii="Garamond" w:hAnsi="Garamond" w:hint="eastAsia"/>
          <w:rtl/>
        </w:rPr>
        <w:t>דין</w:t>
      </w:r>
      <w:r w:rsidRPr="00B00F53">
        <w:rPr>
          <w:rFonts w:ascii="Garamond" w:hAnsi="Garamond"/>
          <w:rtl/>
        </w:rPr>
        <w:t xml:space="preserve"> </w:t>
      </w:r>
      <w:r w:rsidRPr="00B00F53">
        <w:rPr>
          <w:rFonts w:ascii="Garamond" w:hAnsi="Garamond" w:hint="eastAsia"/>
          <w:rtl/>
        </w:rPr>
        <w:t>ולגופים</w:t>
      </w:r>
      <w:r w:rsidRPr="00B00F53">
        <w:rPr>
          <w:rFonts w:ascii="Garamond" w:hAnsi="Garamond"/>
          <w:rtl/>
        </w:rPr>
        <w:t xml:space="preserve"> </w:t>
      </w:r>
      <w:r w:rsidRPr="00B00F53">
        <w:rPr>
          <w:rFonts w:ascii="Garamond" w:hAnsi="Garamond" w:hint="eastAsia"/>
          <w:rtl/>
        </w:rPr>
        <w:t>ואנשים</w:t>
      </w:r>
      <w:r w:rsidRPr="00B00F53">
        <w:rPr>
          <w:rFonts w:ascii="Garamond" w:hAnsi="Garamond"/>
          <w:rtl/>
        </w:rPr>
        <w:t xml:space="preserve"> </w:t>
      </w:r>
      <w:r w:rsidRPr="00B00F53">
        <w:rPr>
          <w:rFonts w:ascii="Garamond" w:hAnsi="Garamond" w:hint="eastAsia"/>
          <w:rtl/>
        </w:rPr>
        <w:t>בעלי</w:t>
      </w:r>
      <w:r w:rsidRPr="00B00F53">
        <w:rPr>
          <w:rFonts w:ascii="Garamond" w:hAnsi="Garamond"/>
          <w:rtl/>
        </w:rPr>
        <w:t xml:space="preserve"> </w:t>
      </w:r>
      <w:r w:rsidRPr="00B00F53">
        <w:rPr>
          <w:rFonts w:ascii="Garamond" w:hAnsi="Garamond" w:hint="eastAsia"/>
          <w:rtl/>
        </w:rPr>
        <w:t>סמכויות</w:t>
      </w:r>
      <w:r w:rsidRPr="00B00F53">
        <w:rPr>
          <w:rFonts w:ascii="Garamond" w:hAnsi="Garamond"/>
          <w:rtl/>
        </w:rPr>
        <w:t xml:space="preserve"> </w:t>
      </w:r>
      <w:r w:rsidRPr="00B00F53">
        <w:rPr>
          <w:rFonts w:ascii="Garamond" w:hAnsi="Garamond" w:hint="eastAsia"/>
          <w:rtl/>
        </w:rPr>
        <w:t>שיפוטיות</w:t>
      </w:r>
      <w:r w:rsidRPr="00B00F53">
        <w:rPr>
          <w:rFonts w:ascii="Garamond" w:hAnsi="Garamond"/>
          <w:rtl/>
        </w:rPr>
        <w:t xml:space="preserve"> </w:t>
      </w:r>
      <w:r w:rsidRPr="00B00F53">
        <w:rPr>
          <w:rFonts w:ascii="Garamond" w:hAnsi="Garamond" w:hint="eastAsia"/>
          <w:rtl/>
        </w:rPr>
        <w:t>או</w:t>
      </w:r>
      <w:r w:rsidRPr="00B00F53">
        <w:rPr>
          <w:rFonts w:ascii="Garamond" w:hAnsi="Garamond"/>
          <w:rtl/>
        </w:rPr>
        <w:t xml:space="preserve"> </w:t>
      </w:r>
      <w:r w:rsidRPr="00B00F53">
        <w:rPr>
          <w:rFonts w:ascii="Garamond" w:hAnsi="Garamond" w:hint="eastAsia"/>
          <w:rtl/>
        </w:rPr>
        <w:t>מעין</w:t>
      </w:r>
      <w:r w:rsidRPr="00B00F53">
        <w:rPr>
          <w:rFonts w:ascii="Garamond" w:hAnsi="Garamond"/>
          <w:rtl/>
        </w:rPr>
        <w:t>-</w:t>
      </w:r>
      <w:r w:rsidRPr="00B00F53">
        <w:rPr>
          <w:rFonts w:ascii="Garamond" w:hAnsi="Garamond" w:hint="eastAsia"/>
          <w:rtl/>
        </w:rPr>
        <w:t>שיפוטיות</w:t>
      </w:r>
      <w:r w:rsidRPr="00B00F53">
        <w:rPr>
          <w:rFonts w:ascii="Garamond" w:hAnsi="Garamond"/>
          <w:rtl/>
        </w:rPr>
        <w:t xml:space="preserve"> </w:t>
      </w:r>
      <w:r w:rsidRPr="00B00F53">
        <w:rPr>
          <w:rFonts w:ascii="Garamond" w:hAnsi="Garamond" w:hint="eastAsia"/>
          <w:rtl/>
        </w:rPr>
        <w:t>על</w:t>
      </w:r>
      <w:r w:rsidRPr="00B00F53">
        <w:rPr>
          <w:rFonts w:ascii="Garamond" w:hAnsi="Garamond"/>
          <w:rtl/>
        </w:rPr>
        <w:t xml:space="preserve"> </w:t>
      </w:r>
      <w:r w:rsidRPr="00B00F53">
        <w:rPr>
          <w:rFonts w:ascii="Garamond" w:hAnsi="Garamond" w:hint="eastAsia"/>
          <w:rtl/>
        </w:rPr>
        <w:t>פי</w:t>
      </w:r>
      <w:r w:rsidRPr="00B00F53">
        <w:rPr>
          <w:rFonts w:ascii="Garamond" w:hAnsi="Garamond"/>
          <w:rtl/>
        </w:rPr>
        <w:t xml:space="preserve"> </w:t>
      </w:r>
      <w:r w:rsidRPr="00B00F53">
        <w:rPr>
          <w:rFonts w:ascii="Garamond" w:hAnsi="Garamond" w:hint="eastAsia"/>
          <w:rtl/>
        </w:rPr>
        <w:t>דין</w:t>
      </w:r>
      <w:r w:rsidRPr="00B00F53">
        <w:rPr>
          <w:rFonts w:ascii="Garamond" w:hAnsi="Garamond"/>
          <w:rtl/>
        </w:rPr>
        <w:t xml:space="preserve"> – </w:t>
      </w:r>
      <w:r w:rsidRPr="00B00F53">
        <w:rPr>
          <w:rFonts w:ascii="Garamond" w:hAnsi="Garamond" w:hint="eastAsia"/>
          <w:rtl/>
        </w:rPr>
        <w:t>למעט</w:t>
      </w:r>
      <w:r w:rsidRPr="00B00F53">
        <w:rPr>
          <w:rFonts w:ascii="Garamond" w:hAnsi="Garamond"/>
          <w:rtl/>
        </w:rPr>
        <w:t xml:space="preserve"> </w:t>
      </w:r>
      <w:r w:rsidRPr="00B00F53">
        <w:rPr>
          <w:rFonts w:ascii="Garamond" w:hAnsi="Garamond" w:hint="eastAsia"/>
          <w:rtl/>
        </w:rPr>
        <w:t>בתי</w:t>
      </w:r>
      <w:r w:rsidRPr="00B00F53">
        <w:rPr>
          <w:rFonts w:ascii="Garamond" w:hAnsi="Garamond"/>
          <w:rtl/>
        </w:rPr>
        <w:t xml:space="preserve"> </w:t>
      </w:r>
      <w:r w:rsidRPr="00B00F53">
        <w:rPr>
          <w:rFonts w:ascii="Garamond" w:hAnsi="Garamond" w:hint="eastAsia"/>
          <w:rtl/>
        </w:rPr>
        <w:t>משפט</w:t>
      </w:r>
      <w:r w:rsidRPr="00B00F53">
        <w:rPr>
          <w:rFonts w:ascii="Garamond" w:hAnsi="Garamond"/>
          <w:rtl/>
        </w:rPr>
        <w:t xml:space="preserve"> </w:t>
      </w:r>
      <w:r w:rsidRPr="00B00F53">
        <w:rPr>
          <w:rFonts w:ascii="Garamond" w:hAnsi="Garamond" w:hint="eastAsia"/>
          <w:rtl/>
        </w:rPr>
        <w:t>שחוק</w:t>
      </w:r>
      <w:r w:rsidRPr="00B00F53">
        <w:rPr>
          <w:rFonts w:ascii="Garamond" w:hAnsi="Garamond"/>
          <w:rtl/>
        </w:rPr>
        <w:t xml:space="preserve"> </w:t>
      </w:r>
      <w:r w:rsidRPr="00B00F53">
        <w:rPr>
          <w:rFonts w:ascii="Garamond" w:hAnsi="Garamond" w:hint="eastAsia"/>
          <w:rtl/>
        </w:rPr>
        <w:t>זה</w:t>
      </w:r>
      <w:r w:rsidRPr="00B00F53">
        <w:rPr>
          <w:rFonts w:ascii="Garamond" w:hAnsi="Garamond"/>
          <w:rtl/>
        </w:rPr>
        <w:t xml:space="preserve"> </w:t>
      </w:r>
      <w:r w:rsidRPr="00B00F53">
        <w:rPr>
          <w:rFonts w:ascii="Garamond" w:hAnsi="Garamond" w:hint="eastAsia"/>
          <w:rtl/>
        </w:rPr>
        <w:t>דן</w:t>
      </w:r>
      <w:r w:rsidRPr="00B00F53">
        <w:rPr>
          <w:rFonts w:ascii="Garamond" w:hAnsi="Garamond"/>
          <w:rtl/>
        </w:rPr>
        <w:t xml:space="preserve"> </w:t>
      </w:r>
      <w:r w:rsidRPr="00B00F53">
        <w:rPr>
          <w:rFonts w:ascii="Garamond" w:hAnsi="Garamond" w:hint="eastAsia"/>
          <w:rtl/>
        </w:rPr>
        <w:t>בהם</w:t>
      </w:r>
      <w:r w:rsidRPr="00B00F53">
        <w:rPr>
          <w:rFonts w:ascii="Garamond" w:hAnsi="Garamond"/>
          <w:rtl/>
        </w:rPr>
        <w:t xml:space="preserve"> </w:t>
      </w:r>
      <w:r w:rsidRPr="00B00F53">
        <w:rPr>
          <w:rFonts w:ascii="Garamond" w:hAnsi="Garamond" w:hint="eastAsia"/>
          <w:rtl/>
        </w:rPr>
        <w:t>ולמעט</w:t>
      </w:r>
      <w:r w:rsidRPr="00B00F53">
        <w:rPr>
          <w:rFonts w:ascii="Garamond" w:hAnsi="Garamond"/>
          <w:rtl/>
        </w:rPr>
        <w:t xml:space="preserve"> </w:t>
      </w:r>
      <w:r w:rsidRPr="00B00F53">
        <w:rPr>
          <w:rFonts w:ascii="Garamond" w:hAnsi="Garamond" w:hint="eastAsia"/>
          <w:rtl/>
        </w:rPr>
        <w:t>בתי</w:t>
      </w:r>
      <w:r w:rsidRPr="00B00F53">
        <w:rPr>
          <w:rFonts w:ascii="Garamond" w:hAnsi="Garamond"/>
          <w:rtl/>
        </w:rPr>
        <w:t xml:space="preserve"> </w:t>
      </w:r>
      <w:r w:rsidRPr="00B00F53">
        <w:rPr>
          <w:rFonts w:ascii="Garamond" w:hAnsi="Garamond" w:hint="eastAsia"/>
          <w:rtl/>
        </w:rPr>
        <w:t>דין</w:t>
      </w:r>
      <w:r w:rsidRPr="00B00F53">
        <w:rPr>
          <w:rFonts w:ascii="Garamond" w:hAnsi="Garamond"/>
          <w:rtl/>
        </w:rPr>
        <w:t xml:space="preserve"> </w:t>
      </w:r>
      <w:r w:rsidRPr="00B00F53">
        <w:rPr>
          <w:rFonts w:ascii="Garamond" w:hAnsi="Garamond" w:hint="eastAsia"/>
          <w:rtl/>
        </w:rPr>
        <w:t>דתיים</w:t>
      </w:r>
      <w:r w:rsidRPr="00B00F53">
        <w:rPr>
          <w:rFonts w:ascii="Garamond" w:hAnsi="Garamond"/>
          <w:rtl/>
        </w:rPr>
        <w:t xml:space="preserve"> – </w:t>
      </w:r>
      <w:r w:rsidRPr="00B00F53">
        <w:rPr>
          <w:rFonts w:ascii="Garamond" w:hAnsi="Garamond" w:hint="eastAsia"/>
          <w:rtl/>
        </w:rPr>
        <w:t>לדון</w:t>
      </w:r>
      <w:r w:rsidRPr="00B00F53">
        <w:rPr>
          <w:rFonts w:ascii="Garamond" w:hAnsi="Garamond"/>
          <w:rtl/>
        </w:rPr>
        <w:t xml:space="preserve"> </w:t>
      </w:r>
      <w:r w:rsidRPr="00B00F53">
        <w:rPr>
          <w:rFonts w:ascii="Garamond" w:hAnsi="Garamond" w:hint="eastAsia"/>
          <w:rtl/>
        </w:rPr>
        <w:t>בענין</w:t>
      </w:r>
      <w:r w:rsidRPr="00B00F53">
        <w:rPr>
          <w:rFonts w:ascii="Garamond" w:hAnsi="Garamond"/>
          <w:rtl/>
        </w:rPr>
        <w:t xml:space="preserve"> </w:t>
      </w:r>
      <w:r w:rsidRPr="00B00F53">
        <w:rPr>
          <w:rFonts w:ascii="Garamond" w:hAnsi="Garamond" w:hint="eastAsia"/>
          <w:rtl/>
        </w:rPr>
        <w:t>פלוני</w:t>
      </w:r>
      <w:r w:rsidRPr="00B00F53">
        <w:rPr>
          <w:rFonts w:ascii="Garamond" w:hAnsi="Garamond"/>
          <w:rtl/>
        </w:rPr>
        <w:t xml:space="preserve"> </w:t>
      </w:r>
      <w:r w:rsidRPr="00B00F53">
        <w:rPr>
          <w:rFonts w:ascii="Garamond" w:hAnsi="Garamond" w:hint="eastAsia"/>
          <w:rtl/>
        </w:rPr>
        <w:t>או</w:t>
      </w:r>
      <w:r w:rsidRPr="00B00F53">
        <w:rPr>
          <w:rFonts w:ascii="Garamond" w:hAnsi="Garamond"/>
          <w:rtl/>
        </w:rPr>
        <w:t xml:space="preserve"> </w:t>
      </w:r>
      <w:r w:rsidRPr="00B00F53">
        <w:rPr>
          <w:rFonts w:ascii="Garamond" w:hAnsi="Garamond" w:hint="eastAsia"/>
          <w:rtl/>
        </w:rPr>
        <w:t>להימנע</w:t>
      </w:r>
      <w:r w:rsidRPr="00B00F53">
        <w:rPr>
          <w:rFonts w:ascii="Garamond" w:hAnsi="Garamond"/>
          <w:rtl/>
        </w:rPr>
        <w:t xml:space="preserve"> </w:t>
      </w:r>
      <w:r w:rsidRPr="00B00F53">
        <w:rPr>
          <w:rFonts w:ascii="Garamond" w:hAnsi="Garamond" w:hint="eastAsia"/>
          <w:rtl/>
        </w:rPr>
        <w:t>מלדון</w:t>
      </w:r>
      <w:r w:rsidRPr="00B00F53">
        <w:rPr>
          <w:rFonts w:ascii="Garamond" w:hAnsi="Garamond"/>
          <w:rtl/>
        </w:rPr>
        <w:t xml:space="preserve"> </w:t>
      </w:r>
      <w:r w:rsidRPr="00B00F53">
        <w:rPr>
          <w:rFonts w:ascii="Garamond" w:hAnsi="Garamond" w:hint="eastAsia"/>
          <w:rtl/>
        </w:rPr>
        <w:t>או</w:t>
      </w:r>
      <w:r w:rsidRPr="00B00F53">
        <w:rPr>
          <w:rFonts w:ascii="Garamond" w:hAnsi="Garamond"/>
          <w:rtl/>
        </w:rPr>
        <w:t xml:space="preserve"> </w:t>
      </w:r>
      <w:r w:rsidRPr="00B00F53">
        <w:rPr>
          <w:rFonts w:ascii="Garamond" w:hAnsi="Garamond" w:hint="eastAsia"/>
          <w:rtl/>
        </w:rPr>
        <w:t>מלהוסיף</w:t>
      </w:r>
      <w:r w:rsidRPr="00B00F53">
        <w:rPr>
          <w:rFonts w:ascii="Garamond" w:hAnsi="Garamond"/>
          <w:rtl/>
        </w:rPr>
        <w:t xml:space="preserve"> </w:t>
      </w:r>
      <w:r w:rsidRPr="00B00F53">
        <w:rPr>
          <w:rFonts w:ascii="Garamond" w:hAnsi="Garamond" w:hint="eastAsia"/>
          <w:rtl/>
        </w:rPr>
        <w:t>ולדון</w:t>
      </w:r>
      <w:r w:rsidRPr="00B00F53">
        <w:rPr>
          <w:rFonts w:ascii="Garamond" w:hAnsi="Garamond"/>
          <w:rtl/>
        </w:rPr>
        <w:t xml:space="preserve"> </w:t>
      </w:r>
      <w:r w:rsidRPr="00B00F53">
        <w:rPr>
          <w:rFonts w:ascii="Garamond" w:hAnsi="Garamond" w:hint="eastAsia"/>
          <w:rtl/>
        </w:rPr>
        <w:t>בענין</w:t>
      </w:r>
      <w:r w:rsidRPr="00B00F53">
        <w:rPr>
          <w:rFonts w:ascii="Garamond" w:hAnsi="Garamond"/>
          <w:rtl/>
        </w:rPr>
        <w:t xml:space="preserve"> </w:t>
      </w:r>
      <w:r w:rsidRPr="00B00F53">
        <w:rPr>
          <w:rFonts w:ascii="Garamond" w:hAnsi="Garamond" w:hint="eastAsia"/>
          <w:rtl/>
        </w:rPr>
        <w:t>פלוני</w:t>
      </w:r>
      <w:r w:rsidRPr="00B00F53">
        <w:rPr>
          <w:rFonts w:ascii="Garamond" w:hAnsi="Garamond"/>
          <w:rtl/>
        </w:rPr>
        <w:t xml:space="preserve">, </w:t>
      </w:r>
      <w:r w:rsidRPr="00B00F53">
        <w:rPr>
          <w:rFonts w:ascii="Garamond" w:hAnsi="Garamond" w:hint="eastAsia"/>
          <w:rtl/>
        </w:rPr>
        <w:t>ולבטל</w:t>
      </w:r>
      <w:r w:rsidRPr="00B00F53">
        <w:rPr>
          <w:rFonts w:ascii="Garamond" w:hAnsi="Garamond"/>
          <w:rtl/>
        </w:rPr>
        <w:t xml:space="preserve"> </w:t>
      </w:r>
      <w:r w:rsidRPr="00B00F53">
        <w:rPr>
          <w:rFonts w:ascii="Garamond" w:hAnsi="Garamond" w:hint="eastAsia"/>
          <w:rtl/>
        </w:rPr>
        <w:t>דיון</w:t>
      </w:r>
      <w:r w:rsidRPr="00B00F53">
        <w:rPr>
          <w:rFonts w:ascii="Garamond" w:hAnsi="Garamond"/>
          <w:rtl/>
        </w:rPr>
        <w:t xml:space="preserve"> </w:t>
      </w:r>
      <w:r w:rsidRPr="00B00F53">
        <w:rPr>
          <w:rFonts w:ascii="Garamond" w:hAnsi="Garamond" w:hint="eastAsia"/>
          <w:rtl/>
        </w:rPr>
        <w:t>שנתקיים</w:t>
      </w:r>
      <w:r w:rsidRPr="00B00F53">
        <w:rPr>
          <w:rFonts w:ascii="Garamond" w:hAnsi="Garamond"/>
          <w:rtl/>
        </w:rPr>
        <w:t xml:space="preserve"> </w:t>
      </w:r>
      <w:r w:rsidRPr="00B00F53">
        <w:rPr>
          <w:rFonts w:ascii="Garamond" w:hAnsi="Garamond" w:hint="eastAsia"/>
          <w:rtl/>
        </w:rPr>
        <w:t>או</w:t>
      </w:r>
      <w:r w:rsidRPr="00B00F53">
        <w:rPr>
          <w:rFonts w:ascii="Garamond" w:hAnsi="Garamond"/>
          <w:rtl/>
        </w:rPr>
        <w:t xml:space="preserve"> </w:t>
      </w:r>
      <w:r w:rsidRPr="00B00F53">
        <w:rPr>
          <w:rFonts w:ascii="Garamond" w:hAnsi="Garamond" w:hint="eastAsia"/>
          <w:rtl/>
        </w:rPr>
        <w:t>החלטה</w:t>
      </w:r>
      <w:r w:rsidRPr="00B00F53">
        <w:rPr>
          <w:rFonts w:ascii="Garamond" w:hAnsi="Garamond"/>
          <w:rtl/>
        </w:rPr>
        <w:t xml:space="preserve"> </w:t>
      </w:r>
      <w:r w:rsidRPr="00B00F53">
        <w:rPr>
          <w:rFonts w:ascii="Garamond" w:hAnsi="Garamond" w:hint="eastAsia"/>
          <w:rtl/>
        </w:rPr>
        <w:t>שניתנה</w:t>
      </w:r>
      <w:r w:rsidRPr="00B00F53">
        <w:rPr>
          <w:rFonts w:ascii="Garamond" w:hAnsi="Garamond"/>
          <w:rtl/>
        </w:rPr>
        <w:t xml:space="preserve"> </w:t>
      </w:r>
      <w:r w:rsidRPr="00B00F53">
        <w:rPr>
          <w:rFonts w:ascii="Garamond" w:hAnsi="Garamond" w:hint="eastAsia"/>
          <w:rtl/>
        </w:rPr>
        <w:t>שלא</w:t>
      </w:r>
      <w:r w:rsidRPr="00B00F53">
        <w:rPr>
          <w:rFonts w:ascii="Garamond" w:hAnsi="Garamond"/>
          <w:rtl/>
        </w:rPr>
        <w:t xml:space="preserve"> </w:t>
      </w:r>
      <w:r w:rsidRPr="00B00F53">
        <w:rPr>
          <w:rFonts w:ascii="Garamond" w:hAnsi="Garamond" w:hint="eastAsia"/>
          <w:rtl/>
        </w:rPr>
        <w:t>כדין</w:t>
      </w:r>
      <w:r w:rsidRPr="00B00F53">
        <w:rPr>
          <w:rFonts w:ascii="Garamond" w:hAnsi="Garamond"/>
          <w:rtl/>
        </w:rPr>
        <w:t>;</w:t>
      </w:r>
    </w:p>
    <w:p w:rsidR="00C044AE" w:rsidRPr="00B00F53" w:rsidRDefault="00C044AE" w:rsidP="00C044AE">
      <w:pPr>
        <w:pStyle w:val="Ruller5"/>
        <w:spacing w:after="120"/>
        <w:ind w:left="2160"/>
        <w:rPr>
          <w:rFonts w:ascii="Garamond" w:hAnsi="Garamond"/>
          <w:rtl/>
        </w:rPr>
      </w:pPr>
      <w:r w:rsidRPr="00B00F53">
        <w:rPr>
          <w:rFonts w:ascii="Garamond" w:hAnsi="Garamond"/>
          <w:rtl/>
        </w:rPr>
        <w:t>(4)</w:t>
      </w:r>
      <w:r w:rsidRPr="00B00F53">
        <w:rPr>
          <w:rFonts w:ascii="Garamond" w:hAnsi="Garamond" w:hint="cs"/>
          <w:rtl/>
        </w:rPr>
        <w:t xml:space="preserve"> </w:t>
      </w:r>
      <w:r w:rsidRPr="00B00F53">
        <w:rPr>
          <w:rFonts w:ascii="Garamond" w:hAnsi="Garamond" w:hint="eastAsia"/>
          <w:rtl/>
        </w:rPr>
        <w:t>לתת</w:t>
      </w:r>
      <w:r w:rsidRPr="00B00F53">
        <w:rPr>
          <w:rFonts w:ascii="Garamond" w:hAnsi="Garamond"/>
          <w:rtl/>
        </w:rPr>
        <w:t xml:space="preserve"> </w:t>
      </w:r>
      <w:r w:rsidRPr="00B00F53">
        <w:rPr>
          <w:rFonts w:ascii="Garamond" w:hAnsi="Garamond" w:hint="eastAsia"/>
          <w:rtl/>
        </w:rPr>
        <w:t>צווים</w:t>
      </w:r>
      <w:r w:rsidRPr="00B00F53">
        <w:rPr>
          <w:rFonts w:ascii="Garamond" w:hAnsi="Garamond"/>
          <w:rtl/>
        </w:rPr>
        <w:t xml:space="preserve"> </w:t>
      </w:r>
      <w:r w:rsidRPr="00B00F53">
        <w:rPr>
          <w:rFonts w:ascii="Garamond" w:hAnsi="Garamond" w:hint="eastAsia"/>
          <w:rtl/>
        </w:rPr>
        <w:t>לבתי</w:t>
      </w:r>
      <w:r w:rsidRPr="00B00F53">
        <w:rPr>
          <w:rFonts w:ascii="Garamond" w:hAnsi="Garamond"/>
          <w:rtl/>
        </w:rPr>
        <w:t xml:space="preserve"> </w:t>
      </w:r>
      <w:r w:rsidRPr="00B00F53">
        <w:rPr>
          <w:rFonts w:ascii="Garamond" w:hAnsi="Garamond" w:hint="eastAsia"/>
          <w:rtl/>
        </w:rPr>
        <w:t>דין</w:t>
      </w:r>
      <w:r w:rsidRPr="00B00F53">
        <w:rPr>
          <w:rFonts w:ascii="Garamond" w:hAnsi="Garamond"/>
          <w:rtl/>
        </w:rPr>
        <w:t xml:space="preserve"> </w:t>
      </w:r>
      <w:r w:rsidRPr="00B00F53">
        <w:rPr>
          <w:rFonts w:ascii="Garamond" w:hAnsi="Garamond" w:hint="eastAsia"/>
          <w:rtl/>
        </w:rPr>
        <w:t>דתיים</w:t>
      </w:r>
      <w:r w:rsidRPr="00B00F53">
        <w:rPr>
          <w:rFonts w:ascii="Garamond" w:hAnsi="Garamond"/>
          <w:rtl/>
        </w:rPr>
        <w:t xml:space="preserve"> </w:t>
      </w:r>
      <w:r w:rsidRPr="00B00F53">
        <w:rPr>
          <w:rFonts w:ascii="Garamond" w:hAnsi="Garamond" w:hint="eastAsia"/>
          <w:rtl/>
        </w:rPr>
        <w:t>לדון</w:t>
      </w:r>
      <w:r w:rsidRPr="00B00F53">
        <w:rPr>
          <w:rFonts w:ascii="Garamond" w:hAnsi="Garamond"/>
          <w:rtl/>
        </w:rPr>
        <w:t xml:space="preserve"> </w:t>
      </w:r>
      <w:r w:rsidRPr="00B00F53">
        <w:rPr>
          <w:rFonts w:ascii="Garamond" w:hAnsi="Garamond" w:hint="eastAsia"/>
          <w:rtl/>
        </w:rPr>
        <w:t>בענין</w:t>
      </w:r>
      <w:r w:rsidRPr="00B00F53">
        <w:rPr>
          <w:rFonts w:ascii="Garamond" w:hAnsi="Garamond"/>
          <w:rtl/>
        </w:rPr>
        <w:t xml:space="preserve"> </w:t>
      </w:r>
      <w:r w:rsidRPr="00B00F53">
        <w:rPr>
          <w:rFonts w:ascii="Garamond" w:hAnsi="Garamond" w:hint="eastAsia"/>
          <w:rtl/>
        </w:rPr>
        <w:t>פלוני</w:t>
      </w:r>
      <w:r w:rsidRPr="00B00F53">
        <w:rPr>
          <w:rFonts w:ascii="Garamond" w:hAnsi="Garamond"/>
          <w:rtl/>
        </w:rPr>
        <w:t xml:space="preserve"> </w:t>
      </w:r>
      <w:r w:rsidRPr="00B00F53">
        <w:rPr>
          <w:rFonts w:ascii="Garamond" w:hAnsi="Garamond" w:hint="eastAsia"/>
          <w:rtl/>
        </w:rPr>
        <w:t>לפי</w:t>
      </w:r>
      <w:r w:rsidRPr="00B00F53">
        <w:rPr>
          <w:rFonts w:ascii="Garamond" w:hAnsi="Garamond"/>
          <w:rtl/>
        </w:rPr>
        <w:t xml:space="preserve"> </w:t>
      </w:r>
      <w:r w:rsidRPr="00B00F53">
        <w:rPr>
          <w:rFonts w:ascii="Garamond" w:hAnsi="Garamond" w:hint="eastAsia"/>
          <w:rtl/>
        </w:rPr>
        <w:t>סמכותם</w:t>
      </w:r>
      <w:r w:rsidRPr="00B00F53">
        <w:rPr>
          <w:rFonts w:ascii="Garamond" w:hAnsi="Garamond"/>
          <w:rtl/>
        </w:rPr>
        <w:t xml:space="preserve"> </w:t>
      </w:r>
      <w:r w:rsidRPr="00B00F53">
        <w:rPr>
          <w:rFonts w:ascii="Garamond" w:hAnsi="Garamond" w:hint="eastAsia"/>
          <w:rtl/>
        </w:rPr>
        <w:t>או</w:t>
      </w:r>
      <w:r w:rsidRPr="00B00F53">
        <w:rPr>
          <w:rFonts w:ascii="Garamond" w:hAnsi="Garamond"/>
          <w:rtl/>
        </w:rPr>
        <w:t xml:space="preserve"> </w:t>
      </w:r>
      <w:r w:rsidRPr="00B00F53">
        <w:rPr>
          <w:rFonts w:ascii="Garamond" w:hAnsi="Garamond" w:hint="eastAsia"/>
          <w:rtl/>
        </w:rPr>
        <w:t>להימנע</w:t>
      </w:r>
      <w:r w:rsidRPr="00B00F53">
        <w:rPr>
          <w:rFonts w:ascii="Garamond" w:hAnsi="Garamond"/>
          <w:rtl/>
        </w:rPr>
        <w:t xml:space="preserve"> </w:t>
      </w:r>
      <w:r w:rsidRPr="00B00F53">
        <w:rPr>
          <w:rFonts w:ascii="Garamond" w:hAnsi="Garamond" w:hint="eastAsia"/>
          <w:rtl/>
        </w:rPr>
        <w:t>מלדון</w:t>
      </w:r>
      <w:r w:rsidRPr="00B00F53">
        <w:rPr>
          <w:rFonts w:ascii="Garamond" w:hAnsi="Garamond"/>
          <w:rtl/>
        </w:rPr>
        <w:t xml:space="preserve"> </w:t>
      </w:r>
      <w:r w:rsidRPr="00B00F53">
        <w:rPr>
          <w:rFonts w:ascii="Garamond" w:hAnsi="Garamond" w:hint="eastAsia"/>
          <w:rtl/>
        </w:rPr>
        <w:t>או</w:t>
      </w:r>
      <w:r w:rsidRPr="00B00F53">
        <w:rPr>
          <w:rFonts w:ascii="Garamond" w:hAnsi="Garamond"/>
          <w:rtl/>
        </w:rPr>
        <w:t xml:space="preserve"> </w:t>
      </w:r>
      <w:r w:rsidRPr="00B00F53">
        <w:rPr>
          <w:rFonts w:ascii="Garamond" w:hAnsi="Garamond" w:hint="eastAsia"/>
          <w:rtl/>
        </w:rPr>
        <w:t>מלהוסיף</w:t>
      </w:r>
      <w:r w:rsidRPr="00B00F53">
        <w:rPr>
          <w:rFonts w:ascii="Garamond" w:hAnsi="Garamond"/>
          <w:rtl/>
        </w:rPr>
        <w:t xml:space="preserve"> </w:t>
      </w:r>
      <w:r w:rsidRPr="00B00F53">
        <w:rPr>
          <w:rFonts w:ascii="Garamond" w:hAnsi="Garamond" w:hint="eastAsia"/>
          <w:rtl/>
        </w:rPr>
        <w:t>ולדון</w:t>
      </w:r>
      <w:r w:rsidRPr="00B00F53">
        <w:rPr>
          <w:rFonts w:ascii="Garamond" w:hAnsi="Garamond"/>
          <w:rtl/>
        </w:rPr>
        <w:t xml:space="preserve"> </w:t>
      </w:r>
      <w:r w:rsidRPr="00B00F53">
        <w:rPr>
          <w:rFonts w:ascii="Garamond" w:hAnsi="Garamond" w:hint="eastAsia"/>
          <w:rtl/>
        </w:rPr>
        <w:t>בענין</w:t>
      </w:r>
      <w:r w:rsidRPr="00B00F53">
        <w:rPr>
          <w:rFonts w:ascii="Garamond" w:hAnsi="Garamond"/>
          <w:rtl/>
        </w:rPr>
        <w:t xml:space="preserve"> </w:t>
      </w:r>
      <w:r w:rsidRPr="00B00F53">
        <w:rPr>
          <w:rFonts w:ascii="Garamond" w:hAnsi="Garamond" w:hint="eastAsia"/>
          <w:rtl/>
        </w:rPr>
        <w:t>פלוני</w:t>
      </w:r>
      <w:r w:rsidRPr="00B00F53">
        <w:rPr>
          <w:rFonts w:ascii="Garamond" w:hAnsi="Garamond"/>
          <w:rtl/>
        </w:rPr>
        <w:t xml:space="preserve"> </w:t>
      </w:r>
      <w:r w:rsidRPr="00B00F53">
        <w:rPr>
          <w:rFonts w:ascii="Garamond" w:hAnsi="Garamond" w:hint="eastAsia"/>
          <w:rtl/>
        </w:rPr>
        <w:t>שלא</w:t>
      </w:r>
      <w:r w:rsidRPr="00B00F53">
        <w:rPr>
          <w:rFonts w:ascii="Garamond" w:hAnsi="Garamond"/>
          <w:rtl/>
        </w:rPr>
        <w:t xml:space="preserve"> </w:t>
      </w:r>
      <w:r w:rsidRPr="00B00F53">
        <w:rPr>
          <w:rFonts w:ascii="Garamond" w:hAnsi="Garamond" w:hint="eastAsia"/>
          <w:rtl/>
        </w:rPr>
        <w:t>לפי</w:t>
      </w:r>
      <w:r w:rsidRPr="00B00F53">
        <w:rPr>
          <w:rFonts w:ascii="Garamond" w:hAnsi="Garamond"/>
          <w:rtl/>
        </w:rPr>
        <w:t xml:space="preserve"> </w:t>
      </w:r>
      <w:r w:rsidRPr="00B00F53">
        <w:rPr>
          <w:rFonts w:ascii="Garamond" w:hAnsi="Garamond" w:hint="eastAsia"/>
          <w:rtl/>
        </w:rPr>
        <w:t>סמכותם</w:t>
      </w:r>
      <w:r w:rsidRPr="00B00F53">
        <w:rPr>
          <w:rFonts w:ascii="Garamond" w:hAnsi="Garamond"/>
          <w:rtl/>
        </w:rPr>
        <w:t xml:space="preserve">; </w:t>
      </w:r>
      <w:r w:rsidRPr="00B00F53">
        <w:rPr>
          <w:rFonts w:ascii="Garamond" w:hAnsi="Garamond" w:hint="eastAsia"/>
          <w:rtl/>
        </w:rPr>
        <w:t>ובלבד</w:t>
      </w:r>
      <w:r w:rsidRPr="00B00F53">
        <w:rPr>
          <w:rFonts w:ascii="Garamond" w:hAnsi="Garamond"/>
          <w:rtl/>
        </w:rPr>
        <w:t xml:space="preserve"> </w:t>
      </w:r>
      <w:r w:rsidRPr="00B00F53">
        <w:rPr>
          <w:rFonts w:ascii="Garamond" w:hAnsi="Garamond" w:hint="eastAsia"/>
          <w:rtl/>
        </w:rPr>
        <w:t>שלא</w:t>
      </w:r>
      <w:r w:rsidRPr="00B00F53">
        <w:rPr>
          <w:rFonts w:ascii="Garamond" w:hAnsi="Garamond"/>
          <w:rtl/>
        </w:rPr>
        <w:t xml:space="preserve"> </w:t>
      </w:r>
      <w:r w:rsidRPr="00B00F53">
        <w:rPr>
          <w:rFonts w:ascii="Garamond" w:hAnsi="Garamond" w:hint="eastAsia"/>
          <w:rtl/>
        </w:rPr>
        <w:t>ייזקק</w:t>
      </w:r>
      <w:r w:rsidRPr="00B00F53">
        <w:rPr>
          <w:rFonts w:ascii="Garamond" w:hAnsi="Garamond"/>
          <w:rtl/>
        </w:rPr>
        <w:t xml:space="preserve"> </w:t>
      </w:r>
      <w:r w:rsidRPr="00B00F53">
        <w:rPr>
          <w:rFonts w:ascii="Garamond" w:hAnsi="Garamond" w:hint="eastAsia"/>
          <w:rtl/>
        </w:rPr>
        <w:t>בית</w:t>
      </w:r>
      <w:r w:rsidRPr="00B00F53">
        <w:rPr>
          <w:rFonts w:ascii="Garamond" w:hAnsi="Garamond"/>
          <w:rtl/>
        </w:rPr>
        <w:t xml:space="preserve"> </w:t>
      </w:r>
      <w:r w:rsidRPr="00B00F53">
        <w:rPr>
          <w:rFonts w:ascii="Garamond" w:hAnsi="Garamond" w:hint="eastAsia"/>
          <w:rtl/>
        </w:rPr>
        <w:t>המשפט</w:t>
      </w:r>
      <w:r w:rsidRPr="00B00F53">
        <w:rPr>
          <w:rFonts w:ascii="Garamond" w:hAnsi="Garamond"/>
          <w:rtl/>
        </w:rPr>
        <w:t xml:space="preserve"> </w:t>
      </w:r>
      <w:r w:rsidRPr="00B00F53">
        <w:rPr>
          <w:rFonts w:ascii="Garamond" w:hAnsi="Garamond" w:hint="eastAsia"/>
          <w:rtl/>
        </w:rPr>
        <w:t>לבקשה</w:t>
      </w:r>
      <w:r w:rsidRPr="00B00F53">
        <w:rPr>
          <w:rFonts w:ascii="Garamond" w:hAnsi="Garamond"/>
          <w:rtl/>
        </w:rPr>
        <w:t xml:space="preserve"> </w:t>
      </w:r>
      <w:r w:rsidRPr="00B00F53">
        <w:rPr>
          <w:rFonts w:ascii="Garamond" w:hAnsi="Garamond" w:hint="eastAsia"/>
          <w:rtl/>
        </w:rPr>
        <w:t>לפי</w:t>
      </w:r>
      <w:r w:rsidRPr="00B00F53">
        <w:rPr>
          <w:rFonts w:ascii="Garamond" w:hAnsi="Garamond"/>
          <w:rtl/>
        </w:rPr>
        <w:t xml:space="preserve"> </w:t>
      </w:r>
      <w:r w:rsidRPr="00B00F53">
        <w:rPr>
          <w:rFonts w:ascii="Garamond" w:hAnsi="Garamond" w:hint="eastAsia"/>
          <w:rtl/>
        </w:rPr>
        <w:t>פסקה</w:t>
      </w:r>
      <w:r w:rsidRPr="00B00F53">
        <w:rPr>
          <w:rFonts w:ascii="Garamond" w:hAnsi="Garamond"/>
          <w:rtl/>
        </w:rPr>
        <w:t xml:space="preserve"> </w:t>
      </w:r>
      <w:r w:rsidRPr="00B00F53">
        <w:rPr>
          <w:rFonts w:ascii="Garamond" w:hAnsi="Garamond" w:hint="eastAsia"/>
          <w:rtl/>
        </w:rPr>
        <w:t>זו</w:t>
      </w:r>
      <w:r w:rsidRPr="00B00F53">
        <w:rPr>
          <w:rFonts w:ascii="Garamond" w:hAnsi="Garamond"/>
          <w:rtl/>
        </w:rPr>
        <w:t xml:space="preserve"> </w:t>
      </w:r>
      <w:r w:rsidRPr="00B00F53">
        <w:rPr>
          <w:rFonts w:ascii="Garamond" w:hAnsi="Garamond" w:hint="eastAsia"/>
          <w:rtl/>
        </w:rPr>
        <w:t>אם</w:t>
      </w:r>
      <w:r w:rsidRPr="00B00F53">
        <w:rPr>
          <w:rFonts w:ascii="Garamond" w:hAnsi="Garamond"/>
          <w:rtl/>
        </w:rPr>
        <w:t xml:space="preserve"> </w:t>
      </w:r>
      <w:r w:rsidRPr="00B00F53">
        <w:rPr>
          <w:rFonts w:ascii="Garamond" w:hAnsi="Garamond" w:hint="eastAsia"/>
          <w:rtl/>
        </w:rPr>
        <w:t>המבקש</w:t>
      </w:r>
      <w:r w:rsidRPr="00B00F53">
        <w:rPr>
          <w:rFonts w:ascii="Garamond" w:hAnsi="Garamond"/>
          <w:rtl/>
        </w:rPr>
        <w:t xml:space="preserve"> </w:t>
      </w:r>
      <w:r w:rsidRPr="00B00F53">
        <w:rPr>
          <w:rFonts w:ascii="Garamond" w:hAnsi="Garamond" w:hint="eastAsia"/>
          <w:rtl/>
        </w:rPr>
        <w:t>לא</w:t>
      </w:r>
      <w:r w:rsidRPr="00B00F53">
        <w:rPr>
          <w:rFonts w:ascii="Garamond" w:hAnsi="Garamond"/>
          <w:rtl/>
        </w:rPr>
        <w:t xml:space="preserve"> </w:t>
      </w:r>
      <w:r w:rsidRPr="00B00F53">
        <w:rPr>
          <w:rFonts w:ascii="Garamond" w:hAnsi="Garamond" w:hint="eastAsia"/>
          <w:rtl/>
        </w:rPr>
        <w:t>עורר</w:t>
      </w:r>
      <w:r w:rsidRPr="00B00F53">
        <w:rPr>
          <w:rFonts w:ascii="Garamond" w:hAnsi="Garamond"/>
          <w:rtl/>
        </w:rPr>
        <w:t xml:space="preserve"> </w:t>
      </w:r>
      <w:r w:rsidRPr="00B00F53">
        <w:rPr>
          <w:rFonts w:ascii="Garamond" w:hAnsi="Garamond" w:hint="eastAsia"/>
          <w:rtl/>
        </w:rPr>
        <w:t>את</w:t>
      </w:r>
      <w:r w:rsidRPr="00B00F53">
        <w:rPr>
          <w:rFonts w:ascii="Garamond" w:hAnsi="Garamond"/>
          <w:rtl/>
        </w:rPr>
        <w:t xml:space="preserve"> </w:t>
      </w:r>
      <w:r w:rsidRPr="00B00F53">
        <w:rPr>
          <w:rFonts w:ascii="Garamond" w:hAnsi="Garamond" w:hint="eastAsia"/>
          <w:rtl/>
        </w:rPr>
        <w:t>שאלת</w:t>
      </w:r>
      <w:r w:rsidRPr="00B00F53">
        <w:rPr>
          <w:rFonts w:ascii="Garamond" w:hAnsi="Garamond"/>
          <w:rtl/>
        </w:rPr>
        <w:t xml:space="preserve"> </w:t>
      </w:r>
      <w:r w:rsidRPr="00B00F53">
        <w:rPr>
          <w:rFonts w:ascii="Garamond" w:hAnsi="Garamond" w:hint="eastAsia"/>
          <w:rtl/>
        </w:rPr>
        <w:t>הסמכות</w:t>
      </w:r>
      <w:r w:rsidRPr="00B00F53">
        <w:rPr>
          <w:rFonts w:ascii="Garamond" w:hAnsi="Garamond"/>
          <w:rtl/>
        </w:rPr>
        <w:t xml:space="preserve"> </w:t>
      </w:r>
      <w:r w:rsidRPr="00B00F53">
        <w:rPr>
          <w:rFonts w:ascii="Garamond" w:hAnsi="Garamond" w:hint="eastAsia"/>
          <w:rtl/>
        </w:rPr>
        <w:t>בהזדמנות</w:t>
      </w:r>
      <w:r w:rsidRPr="00B00F53">
        <w:rPr>
          <w:rFonts w:ascii="Garamond" w:hAnsi="Garamond"/>
          <w:rtl/>
        </w:rPr>
        <w:t xml:space="preserve"> </w:t>
      </w:r>
      <w:r w:rsidRPr="00B00F53">
        <w:rPr>
          <w:rFonts w:ascii="Garamond" w:hAnsi="Garamond" w:hint="eastAsia"/>
          <w:rtl/>
        </w:rPr>
        <w:t>הראשונה</w:t>
      </w:r>
      <w:r w:rsidRPr="00B00F53">
        <w:rPr>
          <w:rFonts w:ascii="Garamond" w:hAnsi="Garamond"/>
          <w:rtl/>
        </w:rPr>
        <w:t xml:space="preserve"> </w:t>
      </w:r>
      <w:r w:rsidRPr="00B00F53">
        <w:rPr>
          <w:rFonts w:ascii="Garamond" w:hAnsi="Garamond" w:hint="eastAsia"/>
          <w:rtl/>
        </w:rPr>
        <w:t>שהיתה</w:t>
      </w:r>
      <w:r w:rsidRPr="00B00F53">
        <w:rPr>
          <w:rFonts w:ascii="Garamond" w:hAnsi="Garamond"/>
          <w:rtl/>
        </w:rPr>
        <w:t xml:space="preserve"> </w:t>
      </w:r>
      <w:r w:rsidRPr="00B00F53">
        <w:rPr>
          <w:rFonts w:ascii="Garamond" w:hAnsi="Garamond" w:hint="eastAsia"/>
          <w:rtl/>
        </w:rPr>
        <w:t>לו</w:t>
      </w:r>
      <w:r w:rsidRPr="00B00F53">
        <w:rPr>
          <w:rFonts w:ascii="Garamond" w:hAnsi="Garamond"/>
          <w:rtl/>
        </w:rPr>
        <w:t xml:space="preserve">; </w:t>
      </w:r>
      <w:r w:rsidRPr="00B00F53">
        <w:rPr>
          <w:rFonts w:ascii="Garamond" w:hAnsi="Garamond" w:hint="eastAsia"/>
          <w:rtl/>
        </w:rPr>
        <w:t>ואם</w:t>
      </w:r>
      <w:r w:rsidRPr="00B00F53">
        <w:rPr>
          <w:rFonts w:ascii="Garamond" w:hAnsi="Garamond"/>
          <w:rtl/>
        </w:rPr>
        <w:t xml:space="preserve"> </w:t>
      </w:r>
      <w:r w:rsidRPr="00B00F53">
        <w:rPr>
          <w:rFonts w:ascii="Garamond" w:hAnsi="Garamond" w:hint="eastAsia"/>
          <w:rtl/>
        </w:rPr>
        <w:t>לא</w:t>
      </w:r>
      <w:r w:rsidRPr="00B00F53">
        <w:rPr>
          <w:rFonts w:ascii="Garamond" w:hAnsi="Garamond"/>
          <w:rtl/>
        </w:rPr>
        <w:t xml:space="preserve"> </w:t>
      </w:r>
      <w:r w:rsidRPr="00B00F53">
        <w:rPr>
          <w:rFonts w:ascii="Garamond" w:hAnsi="Garamond" w:hint="eastAsia"/>
          <w:rtl/>
        </w:rPr>
        <w:t>היתה</w:t>
      </w:r>
      <w:r w:rsidRPr="00B00F53">
        <w:rPr>
          <w:rFonts w:ascii="Garamond" w:hAnsi="Garamond"/>
          <w:rtl/>
        </w:rPr>
        <w:t xml:space="preserve"> </w:t>
      </w:r>
      <w:r w:rsidRPr="00B00F53">
        <w:rPr>
          <w:rFonts w:ascii="Garamond" w:hAnsi="Garamond" w:hint="eastAsia"/>
          <w:rtl/>
        </w:rPr>
        <w:t>לו</w:t>
      </w:r>
      <w:r w:rsidRPr="00B00F53">
        <w:rPr>
          <w:rFonts w:ascii="Garamond" w:hAnsi="Garamond"/>
          <w:rtl/>
        </w:rPr>
        <w:t xml:space="preserve"> </w:t>
      </w:r>
      <w:r w:rsidRPr="00B00F53">
        <w:rPr>
          <w:rFonts w:ascii="Garamond" w:hAnsi="Garamond" w:hint="eastAsia"/>
          <w:rtl/>
        </w:rPr>
        <w:t>הזדמנות</w:t>
      </w:r>
      <w:r w:rsidRPr="00B00F53">
        <w:rPr>
          <w:rFonts w:ascii="Garamond" w:hAnsi="Garamond"/>
          <w:rtl/>
        </w:rPr>
        <w:t xml:space="preserve"> </w:t>
      </w:r>
      <w:r w:rsidRPr="00B00F53">
        <w:rPr>
          <w:rFonts w:ascii="Garamond" w:hAnsi="Garamond" w:hint="eastAsia"/>
          <w:rtl/>
        </w:rPr>
        <w:t>סבירה</w:t>
      </w:r>
      <w:r w:rsidRPr="00B00F53">
        <w:rPr>
          <w:rFonts w:ascii="Garamond" w:hAnsi="Garamond"/>
          <w:rtl/>
        </w:rPr>
        <w:t xml:space="preserve"> </w:t>
      </w:r>
      <w:r w:rsidRPr="00B00F53">
        <w:rPr>
          <w:rFonts w:ascii="Garamond" w:hAnsi="Garamond" w:hint="eastAsia"/>
          <w:rtl/>
        </w:rPr>
        <w:t>לעורר</w:t>
      </w:r>
      <w:r w:rsidRPr="00B00F53">
        <w:rPr>
          <w:rFonts w:ascii="Garamond" w:hAnsi="Garamond"/>
          <w:rtl/>
        </w:rPr>
        <w:t xml:space="preserve"> </w:t>
      </w:r>
      <w:r w:rsidRPr="00B00F53">
        <w:rPr>
          <w:rFonts w:ascii="Garamond" w:hAnsi="Garamond" w:hint="eastAsia"/>
          <w:rtl/>
        </w:rPr>
        <w:t>שאלת</w:t>
      </w:r>
      <w:r w:rsidRPr="00B00F53">
        <w:rPr>
          <w:rFonts w:ascii="Garamond" w:hAnsi="Garamond"/>
          <w:rtl/>
        </w:rPr>
        <w:t xml:space="preserve"> </w:t>
      </w:r>
      <w:r w:rsidRPr="00B00F53">
        <w:rPr>
          <w:rFonts w:ascii="Garamond" w:hAnsi="Garamond" w:hint="eastAsia"/>
          <w:rtl/>
        </w:rPr>
        <w:t>הסמכות</w:t>
      </w:r>
      <w:r w:rsidRPr="00B00F53">
        <w:rPr>
          <w:rFonts w:ascii="Garamond" w:hAnsi="Garamond"/>
          <w:rtl/>
        </w:rPr>
        <w:t xml:space="preserve"> </w:t>
      </w:r>
      <w:r w:rsidRPr="00B00F53">
        <w:rPr>
          <w:rFonts w:ascii="Garamond" w:hAnsi="Garamond" w:hint="eastAsia"/>
          <w:rtl/>
        </w:rPr>
        <w:t>עד</w:t>
      </w:r>
      <w:r w:rsidRPr="00B00F53">
        <w:rPr>
          <w:rFonts w:ascii="Garamond" w:hAnsi="Garamond"/>
          <w:rtl/>
        </w:rPr>
        <w:t xml:space="preserve"> </w:t>
      </w:r>
      <w:r w:rsidRPr="00B00F53">
        <w:rPr>
          <w:rFonts w:ascii="Garamond" w:hAnsi="Garamond" w:hint="eastAsia"/>
          <w:rtl/>
        </w:rPr>
        <w:t>שניתנה</w:t>
      </w:r>
      <w:r w:rsidRPr="00B00F53">
        <w:rPr>
          <w:rFonts w:ascii="Garamond" w:hAnsi="Garamond"/>
          <w:rtl/>
        </w:rPr>
        <w:t xml:space="preserve"> </w:t>
      </w:r>
      <w:r w:rsidRPr="00B00F53">
        <w:rPr>
          <w:rFonts w:ascii="Garamond" w:hAnsi="Garamond" w:hint="eastAsia"/>
          <w:rtl/>
        </w:rPr>
        <w:t>החלטה</w:t>
      </w:r>
      <w:r w:rsidRPr="00B00F53">
        <w:rPr>
          <w:rFonts w:ascii="Garamond" w:hAnsi="Garamond"/>
          <w:rtl/>
        </w:rPr>
        <w:t xml:space="preserve"> </w:t>
      </w:r>
      <w:r w:rsidRPr="00B00F53">
        <w:rPr>
          <w:rFonts w:ascii="Garamond" w:hAnsi="Garamond" w:hint="eastAsia"/>
          <w:rtl/>
        </w:rPr>
        <w:t>על</w:t>
      </w:r>
      <w:r w:rsidRPr="00B00F53">
        <w:rPr>
          <w:rFonts w:ascii="Garamond" w:hAnsi="Garamond"/>
          <w:rtl/>
        </w:rPr>
        <w:t xml:space="preserve"> </w:t>
      </w:r>
      <w:r w:rsidRPr="00B00F53">
        <w:rPr>
          <w:rFonts w:ascii="Garamond" w:hAnsi="Garamond" w:hint="eastAsia"/>
          <w:rtl/>
        </w:rPr>
        <w:t>ידי</w:t>
      </w:r>
      <w:r w:rsidRPr="00B00F53">
        <w:rPr>
          <w:rFonts w:ascii="Garamond" w:hAnsi="Garamond"/>
          <w:rtl/>
        </w:rPr>
        <w:t xml:space="preserve"> </w:t>
      </w:r>
      <w:r w:rsidRPr="00B00F53">
        <w:rPr>
          <w:rFonts w:ascii="Garamond" w:hAnsi="Garamond" w:hint="eastAsia"/>
          <w:rtl/>
        </w:rPr>
        <w:t>בית</w:t>
      </w:r>
      <w:r w:rsidRPr="00B00F53">
        <w:rPr>
          <w:rFonts w:ascii="Garamond" w:hAnsi="Garamond"/>
          <w:rtl/>
        </w:rPr>
        <w:t xml:space="preserve"> </w:t>
      </w:r>
      <w:r w:rsidRPr="00B00F53">
        <w:rPr>
          <w:rFonts w:ascii="Garamond" w:hAnsi="Garamond" w:hint="eastAsia"/>
          <w:rtl/>
        </w:rPr>
        <w:t>הדין</w:t>
      </w:r>
      <w:r w:rsidRPr="00B00F53">
        <w:rPr>
          <w:rFonts w:ascii="Garamond" w:hAnsi="Garamond"/>
          <w:rtl/>
        </w:rPr>
        <w:t xml:space="preserve"> </w:t>
      </w:r>
      <w:r w:rsidRPr="00B00F53">
        <w:rPr>
          <w:rFonts w:ascii="Garamond" w:hAnsi="Garamond" w:hint="eastAsia"/>
          <w:rtl/>
        </w:rPr>
        <w:t>הדתי</w:t>
      </w:r>
      <w:r w:rsidRPr="00B00F53">
        <w:rPr>
          <w:rFonts w:ascii="Garamond" w:hAnsi="Garamond"/>
          <w:rtl/>
        </w:rPr>
        <w:t xml:space="preserve">, </w:t>
      </w:r>
      <w:r w:rsidRPr="00B00F53">
        <w:rPr>
          <w:rFonts w:ascii="Garamond" w:hAnsi="Garamond" w:hint="eastAsia"/>
          <w:rtl/>
        </w:rPr>
        <w:t>רשאי</w:t>
      </w:r>
      <w:r w:rsidRPr="00B00F53">
        <w:rPr>
          <w:rFonts w:ascii="Garamond" w:hAnsi="Garamond"/>
          <w:rtl/>
        </w:rPr>
        <w:t xml:space="preserve"> </w:t>
      </w:r>
      <w:r w:rsidRPr="00B00F53">
        <w:rPr>
          <w:rFonts w:ascii="Garamond" w:hAnsi="Garamond" w:hint="eastAsia"/>
          <w:rtl/>
        </w:rPr>
        <w:t>בית</w:t>
      </w:r>
      <w:r w:rsidRPr="00B00F53">
        <w:rPr>
          <w:rFonts w:ascii="Garamond" w:hAnsi="Garamond"/>
          <w:rtl/>
        </w:rPr>
        <w:t xml:space="preserve"> </w:t>
      </w:r>
      <w:r w:rsidRPr="00B00F53">
        <w:rPr>
          <w:rFonts w:ascii="Garamond" w:hAnsi="Garamond" w:hint="eastAsia"/>
          <w:rtl/>
        </w:rPr>
        <w:t>המשפט</w:t>
      </w:r>
      <w:r w:rsidRPr="00B00F53">
        <w:rPr>
          <w:rFonts w:ascii="Garamond" w:hAnsi="Garamond"/>
          <w:rtl/>
        </w:rPr>
        <w:t xml:space="preserve"> </w:t>
      </w:r>
      <w:r w:rsidRPr="00B00F53">
        <w:rPr>
          <w:rFonts w:ascii="Garamond" w:hAnsi="Garamond" w:hint="eastAsia"/>
          <w:rtl/>
        </w:rPr>
        <w:t>לבטל</w:t>
      </w:r>
      <w:r w:rsidRPr="00B00F53">
        <w:rPr>
          <w:rFonts w:ascii="Garamond" w:hAnsi="Garamond"/>
          <w:rtl/>
        </w:rPr>
        <w:t xml:space="preserve"> </w:t>
      </w:r>
      <w:r w:rsidRPr="00B00F53">
        <w:rPr>
          <w:rFonts w:ascii="Garamond" w:hAnsi="Garamond" w:hint="eastAsia"/>
          <w:rtl/>
        </w:rPr>
        <w:t>דיון</w:t>
      </w:r>
      <w:r w:rsidRPr="00B00F53">
        <w:rPr>
          <w:rFonts w:ascii="Garamond" w:hAnsi="Garamond"/>
          <w:rtl/>
        </w:rPr>
        <w:t xml:space="preserve"> </w:t>
      </w:r>
      <w:r w:rsidRPr="00B00F53">
        <w:rPr>
          <w:rFonts w:ascii="Garamond" w:hAnsi="Garamond" w:hint="eastAsia"/>
          <w:rtl/>
        </w:rPr>
        <w:t>שנתקיים</w:t>
      </w:r>
      <w:r w:rsidRPr="00B00F53">
        <w:rPr>
          <w:rFonts w:ascii="Garamond" w:hAnsi="Garamond"/>
          <w:rtl/>
        </w:rPr>
        <w:t xml:space="preserve"> </w:t>
      </w:r>
      <w:r w:rsidRPr="00B00F53">
        <w:rPr>
          <w:rFonts w:ascii="Garamond" w:hAnsi="Garamond" w:hint="eastAsia"/>
          <w:rtl/>
        </w:rPr>
        <w:t>או</w:t>
      </w:r>
      <w:r w:rsidRPr="00B00F53">
        <w:rPr>
          <w:rFonts w:ascii="Garamond" w:hAnsi="Garamond"/>
          <w:rtl/>
        </w:rPr>
        <w:t xml:space="preserve"> </w:t>
      </w:r>
      <w:r w:rsidRPr="00B00F53">
        <w:rPr>
          <w:rFonts w:ascii="Garamond" w:hAnsi="Garamond" w:hint="eastAsia"/>
          <w:rtl/>
        </w:rPr>
        <w:t>החלטה</w:t>
      </w:r>
      <w:r w:rsidRPr="00B00F53">
        <w:rPr>
          <w:rFonts w:ascii="Garamond" w:hAnsi="Garamond"/>
          <w:rtl/>
        </w:rPr>
        <w:t xml:space="preserve"> </w:t>
      </w:r>
      <w:r w:rsidRPr="00B00F53">
        <w:rPr>
          <w:rFonts w:ascii="Garamond" w:hAnsi="Garamond" w:hint="eastAsia"/>
          <w:rtl/>
        </w:rPr>
        <w:t>שניתנה</w:t>
      </w:r>
      <w:r w:rsidRPr="00B00F53">
        <w:rPr>
          <w:rFonts w:ascii="Garamond" w:hAnsi="Garamond"/>
          <w:rtl/>
        </w:rPr>
        <w:t xml:space="preserve"> </w:t>
      </w:r>
      <w:r w:rsidRPr="00B00F53">
        <w:rPr>
          <w:rFonts w:ascii="Garamond" w:hAnsi="Garamond" w:hint="eastAsia"/>
          <w:rtl/>
        </w:rPr>
        <w:t>על</w:t>
      </w:r>
      <w:r w:rsidRPr="00B00F53">
        <w:rPr>
          <w:rFonts w:ascii="Garamond" w:hAnsi="Garamond"/>
          <w:rtl/>
        </w:rPr>
        <w:t xml:space="preserve"> </w:t>
      </w:r>
      <w:r w:rsidRPr="00B00F53">
        <w:rPr>
          <w:rFonts w:ascii="Garamond" w:hAnsi="Garamond" w:hint="eastAsia"/>
          <w:rtl/>
        </w:rPr>
        <w:t>ידי</w:t>
      </w:r>
      <w:r w:rsidRPr="00B00F53">
        <w:rPr>
          <w:rFonts w:ascii="Garamond" w:hAnsi="Garamond"/>
          <w:rtl/>
        </w:rPr>
        <w:t xml:space="preserve"> </w:t>
      </w:r>
      <w:r w:rsidRPr="00B00F53">
        <w:rPr>
          <w:rFonts w:ascii="Garamond" w:hAnsi="Garamond" w:hint="eastAsia"/>
          <w:rtl/>
        </w:rPr>
        <w:t>בית</w:t>
      </w:r>
      <w:r w:rsidRPr="00B00F53">
        <w:rPr>
          <w:rFonts w:ascii="Garamond" w:hAnsi="Garamond"/>
          <w:rtl/>
        </w:rPr>
        <w:t xml:space="preserve"> </w:t>
      </w:r>
      <w:r w:rsidRPr="00B00F53">
        <w:rPr>
          <w:rFonts w:ascii="Garamond" w:hAnsi="Garamond" w:hint="eastAsia"/>
          <w:rtl/>
        </w:rPr>
        <w:t>הדין</w:t>
      </w:r>
      <w:r w:rsidRPr="00B00F53">
        <w:rPr>
          <w:rFonts w:ascii="Garamond" w:hAnsi="Garamond"/>
          <w:rtl/>
        </w:rPr>
        <w:t xml:space="preserve"> </w:t>
      </w:r>
      <w:r w:rsidRPr="00B00F53">
        <w:rPr>
          <w:rFonts w:ascii="Garamond" w:hAnsi="Garamond" w:hint="eastAsia"/>
          <w:rtl/>
        </w:rPr>
        <w:t>הדתי</w:t>
      </w:r>
      <w:r w:rsidRPr="00B00F53">
        <w:rPr>
          <w:rFonts w:ascii="Garamond" w:hAnsi="Garamond"/>
          <w:rtl/>
        </w:rPr>
        <w:t xml:space="preserve"> </w:t>
      </w:r>
      <w:r w:rsidRPr="00B00F53">
        <w:rPr>
          <w:rFonts w:ascii="Garamond" w:hAnsi="Garamond" w:hint="eastAsia"/>
          <w:rtl/>
        </w:rPr>
        <w:t>ללא</w:t>
      </w:r>
      <w:r w:rsidRPr="00B00F53">
        <w:rPr>
          <w:rFonts w:ascii="Garamond" w:hAnsi="Garamond"/>
          <w:rtl/>
        </w:rPr>
        <w:t xml:space="preserve"> </w:t>
      </w:r>
      <w:r w:rsidRPr="00B00F53">
        <w:rPr>
          <w:rFonts w:ascii="Garamond" w:hAnsi="Garamond" w:hint="eastAsia"/>
          <w:rtl/>
        </w:rPr>
        <w:t>סמכות</w:t>
      </w:r>
      <w:r w:rsidRPr="00B00F53">
        <w:rPr>
          <w:rFonts w:ascii="Garamond" w:hAnsi="Garamond"/>
          <w:rtl/>
        </w:rPr>
        <w:t>.</w:t>
      </w:r>
    </w:p>
    <w:p w:rsidR="00C044AE" w:rsidRPr="00B00F53" w:rsidRDefault="00C044AE" w:rsidP="00C044AE">
      <w:pPr>
        <w:pStyle w:val="Ruller5"/>
        <w:spacing w:after="120"/>
        <w:rPr>
          <w:rFonts w:ascii="Garamond" w:hAnsi="Garamond" w:cs="Miriam"/>
          <w:b/>
          <w:spacing w:val="0"/>
          <w:szCs w:val="24"/>
          <w:rtl/>
        </w:rPr>
      </w:pPr>
      <w:r w:rsidRPr="00B00F53">
        <w:rPr>
          <w:rFonts w:ascii="Garamond" w:hAnsi="Garamond" w:cs="Miriam"/>
          <w:b/>
          <w:spacing w:val="0"/>
          <w:szCs w:val="24"/>
          <w:rtl/>
        </w:rPr>
        <w:t>(</w:t>
      </w:r>
      <w:r w:rsidRPr="00B00F53">
        <w:rPr>
          <w:rFonts w:ascii="Garamond" w:hAnsi="Garamond" w:cs="Miriam" w:hint="eastAsia"/>
          <w:b/>
          <w:spacing w:val="0"/>
          <w:szCs w:val="24"/>
          <w:rtl/>
        </w:rPr>
        <w:t>ד</w:t>
      </w:r>
      <w:r w:rsidRPr="00B00F53">
        <w:rPr>
          <w:rFonts w:ascii="Garamond" w:hAnsi="Garamond" w:cs="Miriam"/>
          <w:b/>
          <w:spacing w:val="0"/>
          <w:szCs w:val="24"/>
          <w:rtl/>
        </w:rPr>
        <w:t>1)</w:t>
      </w:r>
      <w:r w:rsidRPr="00B00F53">
        <w:rPr>
          <w:rFonts w:ascii="Garamond" w:hAnsi="Garamond" w:cs="Miriam" w:hint="cs"/>
          <w:b/>
          <w:spacing w:val="0"/>
          <w:szCs w:val="24"/>
          <w:rtl/>
        </w:rPr>
        <w:t xml:space="preserve"> </w:t>
      </w:r>
      <w:r w:rsidRPr="00B00F53">
        <w:rPr>
          <w:rFonts w:ascii="Garamond" w:hAnsi="Garamond" w:cs="Miriam" w:hint="eastAsia"/>
          <w:b/>
          <w:spacing w:val="0"/>
          <w:szCs w:val="24"/>
          <w:rtl/>
        </w:rPr>
        <w:t>על</w:t>
      </w:r>
      <w:r w:rsidRPr="00B00F53">
        <w:rPr>
          <w:rFonts w:ascii="Garamond" w:hAnsi="Garamond" w:cs="Miriam"/>
          <w:b/>
          <w:spacing w:val="0"/>
          <w:szCs w:val="24"/>
          <w:rtl/>
        </w:rPr>
        <w:t xml:space="preserve"> </w:t>
      </w:r>
      <w:r w:rsidRPr="00B00F53">
        <w:rPr>
          <w:rFonts w:ascii="Garamond" w:hAnsi="Garamond" w:cs="Miriam" w:hint="eastAsia"/>
          <w:b/>
          <w:spacing w:val="0"/>
          <w:szCs w:val="24"/>
          <w:rtl/>
        </w:rPr>
        <w:t>אף</w:t>
      </w:r>
      <w:r w:rsidRPr="00B00F53">
        <w:rPr>
          <w:rFonts w:ascii="Garamond" w:hAnsi="Garamond" w:cs="Miriam"/>
          <w:b/>
          <w:spacing w:val="0"/>
          <w:szCs w:val="24"/>
          <w:rtl/>
        </w:rPr>
        <w:t xml:space="preserve"> </w:t>
      </w:r>
      <w:r w:rsidRPr="00B00F53">
        <w:rPr>
          <w:rFonts w:ascii="Garamond" w:hAnsi="Garamond" w:cs="Miriam" w:hint="eastAsia"/>
          <w:b/>
          <w:spacing w:val="0"/>
          <w:szCs w:val="24"/>
          <w:rtl/>
        </w:rPr>
        <w:t>האמור</w:t>
      </w:r>
      <w:r w:rsidRPr="00B00F53">
        <w:rPr>
          <w:rFonts w:ascii="Garamond" w:hAnsi="Garamond" w:cs="Miriam"/>
          <w:b/>
          <w:spacing w:val="0"/>
          <w:szCs w:val="24"/>
          <w:rtl/>
        </w:rPr>
        <w:t xml:space="preserve"> </w:t>
      </w:r>
      <w:r w:rsidRPr="00B00F53">
        <w:rPr>
          <w:rFonts w:ascii="Garamond" w:hAnsi="Garamond" w:cs="Miriam" w:hint="eastAsia"/>
          <w:b/>
          <w:spacing w:val="0"/>
          <w:szCs w:val="24"/>
          <w:rtl/>
        </w:rPr>
        <w:t>בחוק</w:t>
      </w:r>
      <w:r w:rsidRPr="00B00F53">
        <w:rPr>
          <w:rFonts w:ascii="Garamond" w:hAnsi="Garamond" w:cs="Miriam"/>
          <w:b/>
          <w:spacing w:val="0"/>
          <w:szCs w:val="24"/>
          <w:rtl/>
        </w:rPr>
        <w:t>-</w:t>
      </w:r>
      <w:r w:rsidRPr="00B00F53">
        <w:rPr>
          <w:rFonts w:ascii="Garamond" w:hAnsi="Garamond" w:cs="Miriam" w:hint="eastAsia"/>
          <w:b/>
          <w:spacing w:val="0"/>
          <w:szCs w:val="24"/>
          <w:rtl/>
        </w:rPr>
        <w:t>יסוד</w:t>
      </w:r>
      <w:r w:rsidRPr="00B00F53">
        <w:rPr>
          <w:rFonts w:ascii="Garamond" w:hAnsi="Garamond" w:cs="Miriam"/>
          <w:b/>
          <w:spacing w:val="0"/>
          <w:szCs w:val="24"/>
          <w:rtl/>
        </w:rPr>
        <w:t xml:space="preserve"> </w:t>
      </w:r>
      <w:r w:rsidRPr="00B00F53">
        <w:rPr>
          <w:rFonts w:ascii="Garamond" w:hAnsi="Garamond" w:cs="Miriam" w:hint="eastAsia"/>
          <w:b/>
          <w:spacing w:val="0"/>
          <w:szCs w:val="24"/>
          <w:rtl/>
        </w:rPr>
        <w:t>זה</w:t>
      </w:r>
      <w:r w:rsidRPr="00B00F53">
        <w:rPr>
          <w:rFonts w:ascii="Garamond" w:hAnsi="Garamond" w:cs="Miriam"/>
          <w:b/>
          <w:spacing w:val="0"/>
          <w:szCs w:val="24"/>
          <w:rtl/>
        </w:rPr>
        <w:t xml:space="preserve">, </w:t>
      </w:r>
      <w:r w:rsidRPr="00B00F53">
        <w:rPr>
          <w:rFonts w:ascii="Garamond" w:hAnsi="Garamond" w:cs="Miriam" w:hint="eastAsia"/>
          <w:b/>
          <w:spacing w:val="0"/>
          <w:szCs w:val="24"/>
          <w:rtl/>
        </w:rPr>
        <w:t>מי</w:t>
      </w:r>
      <w:r w:rsidRPr="00B00F53">
        <w:rPr>
          <w:rFonts w:ascii="Garamond" w:hAnsi="Garamond" w:cs="Miriam"/>
          <w:b/>
          <w:spacing w:val="0"/>
          <w:szCs w:val="24"/>
          <w:rtl/>
        </w:rPr>
        <w:t xml:space="preserve"> </w:t>
      </w:r>
      <w:r w:rsidRPr="00B00F53">
        <w:rPr>
          <w:rFonts w:ascii="Garamond" w:hAnsi="Garamond" w:cs="Miriam" w:hint="eastAsia"/>
          <w:b/>
          <w:spacing w:val="0"/>
          <w:szCs w:val="24"/>
          <w:rtl/>
        </w:rPr>
        <w:t>שבידו</w:t>
      </w:r>
      <w:r w:rsidRPr="00B00F53">
        <w:rPr>
          <w:rFonts w:ascii="Garamond" w:hAnsi="Garamond" w:cs="Miriam"/>
          <w:b/>
          <w:spacing w:val="0"/>
          <w:szCs w:val="24"/>
          <w:rtl/>
        </w:rPr>
        <w:t xml:space="preserve"> </w:t>
      </w:r>
      <w:r w:rsidRPr="00B00F53">
        <w:rPr>
          <w:rFonts w:ascii="Garamond" w:hAnsi="Garamond" w:cs="Miriam" w:hint="eastAsia"/>
          <w:b/>
          <w:spacing w:val="0"/>
          <w:szCs w:val="24"/>
          <w:rtl/>
        </w:rPr>
        <w:t>סמכות</w:t>
      </w:r>
      <w:r w:rsidRPr="00B00F53">
        <w:rPr>
          <w:rFonts w:ascii="Garamond" w:hAnsi="Garamond" w:cs="Miriam"/>
          <w:b/>
          <w:spacing w:val="0"/>
          <w:szCs w:val="24"/>
          <w:rtl/>
        </w:rPr>
        <w:t xml:space="preserve"> </w:t>
      </w:r>
      <w:r w:rsidRPr="00B00F53">
        <w:rPr>
          <w:rFonts w:ascii="Garamond" w:hAnsi="Garamond" w:cs="Miriam" w:hint="eastAsia"/>
          <w:b/>
          <w:spacing w:val="0"/>
          <w:szCs w:val="24"/>
          <w:rtl/>
        </w:rPr>
        <w:t>שפיטה</w:t>
      </w:r>
      <w:r w:rsidRPr="00B00F53">
        <w:rPr>
          <w:rFonts w:ascii="Garamond" w:hAnsi="Garamond" w:cs="Miriam"/>
          <w:b/>
          <w:spacing w:val="0"/>
          <w:szCs w:val="24"/>
          <w:rtl/>
        </w:rPr>
        <w:t xml:space="preserve"> </w:t>
      </w:r>
      <w:r w:rsidRPr="00B00F53">
        <w:rPr>
          <w:rFonts w:ascii="Garamond" w:hAnsi="Garamond" w:cs="Miriam" w:hint="eastAsia"/>
          <w:b/>
          <w:spacing w:val="0"/>
          <w:szCs w:val="24"/>
          <w:rtl/>
        </w:rPr>
        <w:t>על</w:t>
      </w:r>
      <w:r w:rsidRPr="00B00F53">
        <w:rPr>
          <w:rFonts w:ascii="Garamond" w:hAnsi="Garamond" w:cs="Miriam"/>
          <w:b/>
          <w:spacing w:val="0"/>
          <w:szCs w:val="24"/>
          <w:rtl/>
        </w:rPr>
        <w:t xml:space="preserve"> </w:t>
      </w:r>
      <w:r w:rsidRPr="00B00F53">
        <w:rPr>
          <w:rFonts w:ascii="Garamond" w:hAnsi="Garamond" w:cs="Miriam" w:hint="eastAsia"/>
          <w:b/>
          <w:spacing w:val="0"/>
          <w:szCs w:val="24"/>
          <w:rtl/>
        </w:rPr>
        <w:t>פי</w:t>
      </w:r>
      <w:r w:rsidRPr="00B00F53">
        <w:rPr>
          <w:rFonts w:ascii="Garamond" w:hAnsi="Garamond" w:cs="Miriam"/>
          <w:b/>
          <w:spacing w:val="0"/>
          <w:szCs w:val="24"/>
          <w:rtl/>
        </w:rPr>
        <w:t xml:space="preserve"> </w:t>
      </w:r>
      <w:r w:rsidRPr="00B00F53">
        <w:rPr>
          <w:rFonts w:ascii="Garamond" w:hAnsi="Garamond" w:cs="Miriam" w:hint="eastAsia"/>
          <w:b/>
          <w:spacing w:val="0"/>
          <w:szCs w:val="24"/>
          <w:rtl/>
        </w:rPr>
        <w:t>דין</w:t>
      </w:r>
      <w:r w:rsidRPr="00B00F53">
        <w:rPr>
          <w:rFonts w:ascii="Garamond" w:hAnsi="Garamond" w:cs="Miriam"/>
          <w:b/>
          <w:spacing w:val="0"/>
          <w:szCs w:val="24"/>
          <w:rtl/>
        </w:rPr>
        <w:t xml:space="preserve">, </w:t>
      </w:r>
      <w:r w:rsidRPr="00B00F53">
        <w:rPr>
          <w:rFonts w:ascii="Garamond" w:hAnsi="Garamond" w:cs="Miriam" w:hint="eastAsia"/>
          <w:b/>
          <w:spacing w:val="0"/>
          <w:szCs w:val="24"/>
          <w:rtl/>
        </w:rPr>
        <w:t>לרבות</w:t>
      </w:r>
      <w:r w:rsidRPr="00B00F53">
        <w:rPr>
          <w:rFonts w:ascii="Garamond" w:hAnsi="Garamond" w:cs="Miriam"/>
          <w:b/>
          <w:spacing w:val="0"/>
          <w:szCs w:val="24"/>
          <w:rtl/>
        </w:rPr>
        <w:t xml:space="preserve"> </w:t>
      </w:r>
      <w:r w:rsidRPr="00B00F53">
        <w:rPr>
          <w:rFonts w:ascii="Garamond" w:hAnsi="Garamond" w:cs="Miriam" w:hint="eastAsia"/>
          <w:b/>
          <w:spacing w:val="0"/>
          <w:szCs w:val="24"/>
          <w:rtl/>
        </w:rPr>
        <w:t>בית</w:t>
      </w:r>
      <w:r w:rsidRPr="00B00F53">
        <w:rPr>
          <w:rFonts w:ascii="Garamond" w:hAnsi="Garamond" w:cs="Miriam"/>
          <w:b/>
          <w:spacing w:val="0"/>
          <w:szCs w:val="24"/>
          <w:rtl/>
        </w:rPr>
        <w:t xml:space="preserve"> </w:t>
      </w:r>
      <w:r w:rsidRPr="00B00F53">
        <w:rPr>
          <w:rFonts w:ascii="Garamond" w:hAnsi="Garamond" w:cs="Miriam" w:hint="eastAsia"/>
          <w:b/>
          <w:spacing w:val="0"/>
          <w:szCs w:val="24"/>
          <w:rtl/>
        </w:rPr>
        <w:t>המשפט</w:t>
      </w:r>
      <w:r w:rsidRPr="00B00F53">
        <w:rPr>
          <w:rFonts w:ascii="Garamond" w:hAnsi="Garamond" w:cs="Miriam"/>
          <w:b/>
          <w:spacing w:val="0"/>
          <w:szCs w:val="24"/>
          <w:rtl/>
        </w:rPr>
        <w:t xml:space="preserve"> </w:t>
      </w:r>
      <w:r w:rsidRPr="00B00F53">
        <w:rPr>
          <w:rFonts w:ascii="Garamond" w:hAnsi="Garamond" w:cs="Miriam" w:hint="eastAsia"/>
          <w:b/>
          <w:spacing w:val="0"/>
          <w:szCs w:val="24"/>
          <w:rtl/>
        </w:rPr>
        <w:t>העליון</w:t>
      </w:r>
      <w:r w:rsidRPr="00B00F53">
        <w:rPr>
          <w:rFonts w:ascii="Garamond" w:hAnsi="Garamond" w:cs="Miriam"/>
          <w:b/>
          <w:spacing w:val="0"/>
          <w:szCs w:val="24"/>
          <w:rtl/>
        </w:rPr>
        <w:t xml:space="preserve"> </w:t>
      </w:r>
      <w:r w:rsidRPr="00B00F53">
        <w:rPr>
          <w:rFonts w:ascii="Garamond" w:hAnsi="Garamond" w:cs="Miriam" w:hint="eastAsia"/>
          <w:b/>
          <w:spacing w:val="0"/>
          <w:szCs w:val="24"/>
          <w:rtl/>
        </w:rPr>
        <w:t>בשבתו</w:t>
      </w:r>
      <w:r w:rsidRPr="00B00F53">
        <w:rPr>
          <w:rFonts w:ascii="Garamond" w:hAnsi="Garamond" w:cs="Miriam"/>
          <w:b/>
          <w:spacing w:val="0"/>
          <w:szCs w:val="24"/>
          <w:rtl/>
        </w:rPr>
        <w:t xml:space="preserve"> </w:t>
      </w:r>
      <w:r w:rsidRPr="00B00F53">
        <w:rPr>
          <w:rFonts w:ascii="Garamond" w:hAnsi="Garamond" w:cs="Miriam" w:hint="eastAsia"/>
          <w:b/>
          <w:spacing w:val="0"/>
          <w:szCs w:val="24"/>
          <w:rtl/>
        </w:rPr>
        <w:t>כבית</w:t>
      </w:r>
      <w:r w:rsidRPr="00B00F53">
        <w:rPr>
          <w:rFonts w:ascii="Garamond" w:hAnsi="Garamond" w:cs="Miriam"/>
          <w:b/>
          <w:spacing w:val="0"/>
          <w:szCs w:val="24"/>
          <w:rtl/>
        </w:rPr>
        <w:t xml:space="preserve"> </w:t>
      </w:r>
      <w:r w:rsidRPr="00B00F53">
        <w:rPr>
          <w:rFonts w:ascii="Garamond" w:hAnsi="Garamond" w:cs="Miriam" w:hint="eastAsia"/>
          <w:b/>
          <w:spacing w:val="0"/>
          <w:szCs w:val="24"/>
          <w:rtl/>
        </w:rPr>
        <w:t>משפט</w:t>
      </w:r>
      <w:r w:rsidRPr="00B00F53">
        <w:rPr>
          <w:rFonts w:ascii="Garamond" w:hAnsi="Garamond" w:cs="Miriam"/>
          <w:b/>
          <w:spacing w:val="0"/>
          <w:szCs w:val="24"/>
          <w:rtl/>
        </w:rPr>
        <w:t xml:space="preserve"> </w:t>
      </w:r>
      <w:r w:rsidRPr="00B00F53">
        <w:rPr>
          <w:rFonts w:ascii="Garamond" w:hAnsi="Garamond" w:cs="Miriam" w:hint="eastAsia"/>
          <w:b/>
          <w:spacing w:val="0"/>
          <w:szCs w:val="24"/>
          <w:rtl/>
        </w:rPr>
        <w:t>גבוה</w:t>
      </w:r>
      <w:r w:rsidRPr="00B00F53">
        <w:rPr>
          <w:rFonts w:ascii="Garamond" w:hAnsi="Garamond" w:cs="Miriam"/>
          <w:b/>
          <w:spacing w:val="0"/>
          <w:szCs w:val="24"/>
          <w:rtl/>
        </w:rPr>
        <w:t xml:space="preserve"> </w:t>
      </w:r>
      <w:r w:rsidRPr="00B00F53">
        <w:rPr>
          <w:rFonts w:ascii="Garamond" w:hAnsi="Garamond" w:cs="Miriam" w:hint="eastAsia"/>
          <w:b/>
          <w:spacing w:val="0"/>
          <w:szCs w:val="24"/>
          <w:rtl/>
        </w:rPr>
        <w:t>לצדק</w:t>
      </w:r>
      <w:r w:rsidRPr="00B00F53">
        <w:rPr>
          <w:rFonts w:ascii="Garamond" w:hAnsi="Garamond" w:cs="Miriam"/>
          <w:b/>
          <w:spacing w:val="0"/>
          <w:szCs w:val="24"/>
          <w:rtl/>
        </w:rPr>
        <w:t xml:space="preserve">, </w:t>
      </w:r>
      <w:r w:rsidRPr="00B00F53">
        <w:rPr>
          <w:rFonts w:ascii="Garamond" w:hAnsi="Garamond" w:cs="Miriam" w:hint="eastAsia"/>
          <w:b/>
          <w:spacing w:val="0"/>
          <w:szCs w:val="24"/>
          <w:rtl/>
        </w:rPr>
        <w:t>לא</w:t>
      </w:r>
      <w:r w:rsidRPr="00B00F53">
        <w:rPr>
          <w:rFonts w:ascii="Garamond" w:hAnsi="Garamond" w:cs="Miriam"/>
          <w:b/>
          <w:spacing w:val="0"/>
          <w:szCs w:val="24"/>
          <w:rtl/>
        </w:rPr>
        <w:t xml:space="preserve"> </w:t>
      </w:r>
      <w:r w:rsidRPr="00B00F53">
        <w:rPr>
          <w:rFonts w:ascii="Garamond" w:hAnsi="Garamond" w:cs="Miriam" w:hint="eastAsia"/>
          <w:b/>
          <w:spacing w:val="0"/>
          <w:szCs w:val="24"/>
          <w:rtl/>
        </w:rPr>
        <w:t>ידון</w:t>
      </w:r>
      <w:r w:rsidRPr="00B00F53">
        <w:rPr>
          <w:rFonts w:ascii="Garamond" w:hAnsi="Garamond" w:cs="Miriam"/>
          <w:b/>
          <w:spacing w:val="0"/>
          <w:szCs w:val="24"/>
          <w:rtl/>
        </w:rPr>
        <w:t xml:space="preserve"> </w:t>
      </w:r>
      <w:r w:rsidRPr="00B00F53">
        <w:rPr>
          <w:rFonts w:ascii="Garamond" w:hAnsi="Garamond" w:cs="Miriam" w:hint="eastAsia"/>
          <w:b/>
          <w:spacing w:val="0"/>
          <w:szCs w:val="24"/>
          <w:rtl/>
        </w:rPr>
        <w:t>בעניין</w:t>
      </w:r>
      <w:r w:rsidRPr="00B00F53">
        <w:rPr>
          <w:rFonts w:ascii="Garamond" w:hAnsi="Garamond" w:cs="Miriam"/>
          <w:b/>
          <w:spacing w:val="0"/>
          <w:szCs w:val="24"/>
          <w:rtl/>
        </w:rPr>
        <w:t xml:space="preserve"> </w:t>
      </w:r>
      <w:r w:rsidRPr="00B00F53">
        <w:rPr>
          <w:rFonts w:ascii="Garamond" w:hAnsi="Garamond" w:cs="Miriam" w:hint="eastAsia"/>
          <w:b/>
          <w:spacing w:val="0"/>
          <w:szCs w:val="24"/>
          <w:rtl/>
        </w:rPr>
        <w:t>סבירות</w:t>
      </w:r>
      <w:r w:rsidRPr="00B00F53">
        <w:rPr>
          <w:rFonts w:ascii="Garamond" w:hAnsi="Garamond" w:cs="Miriam"/>
          <w:b/>
          <w:spacing w:val="0"/>
          <w:szCs w:val="24"/>
          <w:rtl/>
        </w:rPr>
        <w:t xml:space="preserve"> </w:t>
      </w:r>
      <w:r w:rsidRPr="00B00F53">
        <w:rPr>
          <w:rFonts w:ascii="Garamond" w:hAnsi="Garamond" w:cs="Miriam" w:hint="eastAsia"/>
          <w:b/>
          <w:spacing w:val="0"/>
          <w:szCs w:val="24"/>
          <w:rtl/>
        </w:rPr>
        <w:t>ההחלטה</w:t>
      </w:r>
      <w:r w:rsidRPr="00B00F53">
        <w:rPr>
          <w:rFonts w:ascii="Garamond" w:hAnsi="Garamond" w:cs="Miriam"/>
          <w:b/>
          <w:spacing w:val="0"/>
          <w:szCs w:val="24"/>
          <w:rtl/>
        </w:rPr>
        <w:t xml:space="preserve"> </w:t>
      </w:r>
      <w:r w:rsidRPr="00B00F53">
        <w:rPr>
          <w:rFonts w:ascii="Garamond" w:hAnsi="Garamond" w:cs="Miriam" w:hint="eastAsia"/>
          <w:b/>
          <w:spacing w:val="0"/>
          <w:szCs w:val="24"/>
          <w:rtl/>
        </w:rPr>
        <w:t>של</w:t>
      </w:r>
      <w:r w:rsidRPr="00B00F53">
        <w:rPr>
          <w:rFonts w:ascii="Garamond" w:hAnsi="Garamond" w:cs="Miriam"/>
          <w:b/>
          <w:spacing w:val="0"/>
          <w:szCs w:val="24"/>
          <w:rtl/>
        </w:rPr>
        <w:t xml:space="preserve"> </w:t>
      </w:r>
      <w:r w:rsidRPr="00B00F53">
        <w:rPr>
          <w:rFonts w:ascii="Garamond" w:hAnsi="Garamond" w:cs="Miriam" w:hint="eastAsia"/>
          <w:b/>
          <w:spacing w:val="0"/>
          <w:szCs w:val="24"/>
          <w:rtl/>
        </w:rPr>
        <w:t>הממשלה</w:t>
      </w:r>
      <w:r w:rsidRPr="00B00F53">
        <w:rPr>
          <w:rFonts w:ascii="Garamond" w:hAnsi="Garamond" w:cs="Miriam"/>
          <w:b/>
          <w:spacing w:val="0"/>
          <w:szCs w:val="24"/>
          <w:rtl/>
        </w:rPr>
        <w:t xml:space="preserve">, </w:t>
      </w:r>
      <w:r w:rsidRPr="00B00F53">
        <w:rPr>
          <w:rFonts w:ascii="Garamond" w:hAnsi="Garamond" w:cs="Miriam" w:hint="eastAsia"/>
          <w:b/>
          <w:spacing w:val="0"/>
          <w:szCs w:val="24"/>
          <w:rtl/>
        </w:rPr>
        <w:lastRenderedPageBreak/>
        <w:t>של</w:t>
      </w:r>
      <w:r w:rsidRPr="00B00F53">
        <w:rPr>
          <w:rFonts w:ascii="Garamond" w:hAnsi="Garamond" w:cs="Miriam"/>
          <w:b/>
          <w:spacing w:val="0"/>
          <w:szCs w:val="24"/>
          <w:rtl/>
        </w:rPr>
        <w:t xml:space="preserve"> </w:t>
      </w:r>
      <w:r w:rsidRPr="00B00F53">
        <w:rPr>
          <w:rFonts w:ascii="Garamond" w:hAnsi="Garamond" w:cs="Miriam" w:hint="eastAsia"/>
          <w:b/>
          <w:spacing w:val="0"/>
          <w:szCs w:val="24"/>
          <w:rtl/>
        </w:rPr>
        <w:t>ראש</w:t>
      </w:r>
      <w:r w:rsidRPr="00B00F53">
        <w:rPr>
          <w:rFonts w:ascii="Garamond" w:hAnsi="Garamond" w:cs="Miriam"/>
          <w:b/>
          <w:spacing w:val="0"/>
          <w:szCs w:val="24"/>
          <w:rtl/>
        </w:rPr>
        <w:t xml:space="preserve"> </w:t>
      </w:r>
      <w:r w:rsidRPr="00B00F53">
        <w:rPr>
          <w:rFonts w:ascii="Garamond" w:hAnsi="Garamond" w:cs="Miriam" w:hint="eastAsia"/>
          <w:b/>
          <w:spacing w:val="0"/>
          <w:szCs w:val="24"/>
          <w:rtl/>
        </w:rPr>
        <w:t>הממשלה</w:t>
      </w:r>
      <w:r w:rsidRPr="00B00F53">
        <w:rPr>
          <w:rFonts w:ascii="Garamond" w:hAnsi="Garamond" w:cs="Miriam"/>
          <w:b/>
          <w:spacing w:val="0"/>
          <w:szCs w:val="24"/>
          <w:rtl/>
        </w:rPr>
        <w:t xml:space="preserve"> </w:t>
      </w:r>
      <w:r w:rsidRPr="00B00F53">
        <w:rPr>
          <w:rFonts w:ascii="Garamond" w:hAnsi="Garamond" w:cs="Miriam" w:hint="eastAsia"/>
          <w:b/>
          <w:spacing w:val="0"/>
          <w:szCs w:val="24"/>
          <w:rtl/>
        </w:rPr>
        <w:t>או</w:t>
      </w:r>
      <w:r w:rsidRPr="00B00F53">
        <w:rPr>
          <w:rFonts w:ascii="Garamond" w:hAnsi="Garamond" w:cs="Miriam"/>
          <w:b/>
          <w:spacing w:val="0"/>
          <w:szCs w:val="24"/>
          <w:rtl/>
        </w:rPr>
        <w:t xml:space="preserve"> </w:t>
      </w:r>
      <w:r w:rsidRPr="00B00F53">
        <w:rPr>
          <w:rFonts w:ascii="Garamond" w:hAnsi="Garamond" w:cs="Miriam" w:hint="eastAsia"/>
          <w:b/>
          <w:spacing w:val="0"/>
          <w:szCs w:val="24"/>
          <w:rtl/>
        </w:rPr>
        <w:t>של</w:t>
      </w:r>
      <w:r w:rsidRPr="00B00F53">
        <w:rPr>
          <w:rFonts w:ascii="Garamond" w:hAnsi="Garamond" w:cs="Miriam"/>
          <w:b/>
          <w:spacing w:val="0"/>
          <w:szCs w:val="24"/>
          <w:rtl/>
        </w:rPr>
        <w:t xml:space="preserve"> </w:t>
      </w:r>
      <w:r w:rsidRPr="00B00F53">
        <w:rPr>
          <w:rFonts w:ascii="Garamond" w:hAnsi="Garamond" w:cs="Miriam" w:hint="eastAsia"/>
          <w:b/>
          <w:spacing w:val="0"/>
          <w:szCs w:val="24"/>
          <w:rtl/>
        </w:rPr>
        <w:t>שר</w:t>
      </w:r>
      <w:r w:rsidRPr="00B00F53">
        <w:rPr>
          <w:rFonts w:ascii="Garamond" w:hAnsi="Garamond" w:cs="Miriam"/>
          <w:b/>
          <w:spacing w:val="0"/>
          <w:szCs w:val="24"/>
          <w:rtl/>
        </w:rPr>
        <w:t xml:space="preserve"> </w:t>
      </w:r>
      <w:r w:rsidRPr="00B00F53">
        <w:rPr>
          <w:rFonts w:ascii="Garamond" w:hAnsi="Garamond" w:cs="Miriam" w:hint="eastAsia"/>
          <w:b/>
          <w:spacing w:val="0"/>
          <w:szCs w:val="24"/>
          <w:rtl/>
        </w:rPr>
        <w:t>אחר</w:t>
      </w:r>
      <w:r w:rsidRPr="00B00F53">
        <w:rPr>
          <w:rFonts w:ascii="Garamond" w:hAnsi="Garamond" w:cs="Miriam"/>
          <w:b/>
          <w:spacing w:val="0"/>
          <w:szCs w:val="24"/>
          <w:rtl/>
        </w:rPr>
        <w:t xml:space="preserve">, </w:t>
      </w:r>
      <w:r w:rsidRPr="00B00F53">
        <w:rPr>
          <w:rFonts w:ascii="Garamond" w:hAnsi="Garamond" w:cs="Miriam" w:hint="eastAsia"/>
          <w:b/>
          <w:spacing w:val="0"/>
          <w:szCs w:val="24"/>
          <w:rtl/>
        </w:rPr>
        <w:t>ולא</w:t>
      </w:r>
      <w:r w:rsidRPr="00B00F53">
        <w:rPr>
          <w:rFonts w:ascii="Garamond" w:hAnsi="Garamond" w:cs="Miriam"/>
          <w:b/>
          <w:spacing w:val="0"/>
          <w:szCs w:val="24"/>
          <w:rtl/>
        </w:rPr>
        <w:t xml:space="preserve"> </w:t>
      </w:r>
      <w:r w:rsidRPr="00B00F53">
        <w:rPr>
          <w:rFonts w:ascii="Garamond" w:hAnsi="Garamond" w:cs="Miriam" w:hint="eastAsia"/>
          <w:b/>
          <w:spacing w:val="0"/>
          <w:szCs w:val="24"/>
          <w:rtl/>
        </w:rPr>
        <w:t>ייתן</w:t>
      </w:r>
      <w:r w:rsidRPr="00B00F53">
        <w:rPr>
          <w:rFonts w:ascii="Garamond" w:hAnsi="Garamond" w:cs="Miriam"/>
          <w:b/>
          <w:spacing w:val="0"/>
          <w:szCs w:val="24"/>
          <w:rtl/>
        </w:rPr>
        <w:t xml:space="preserve"> </w:t>
      </w:r>
      <w:r w:rsidRPr="00B00F53">
        <w:rPr>
          <w:rFonts w:ascii="Garamond" w:hAnsi="Garamond" w:cs="Miriam" w:hint="eastAsia"/>
          <w:b/>
          <w:spacing w:val="0"/>
          <w:szCs w:val="24"/>
          <w:rtl/>
        </w:rPr>
        <w:t>צו</w:t>
      </w:r>
      <w:r w:rsidRPr="00B00F53">
        <w:rPr>
          <w:rFonts w:ascii="Garamond" w:hAnsi="Garamond" w:cs="Miriam"/>
          <w:b/>
          <w:spacing w:val="0"/>
          <w:szCs w:val="24"/>
          <w:rtl/>
        </w:rPr>
        <w:t xml:space="preserve"> </w:t>
      </w:r>
      <w:r w:rsidRPr="00B00F53">
        <w:rPr>
          <w:rFonts w:ascii="Garamond" w:hAnsi="Garamond" w:cs="Miriam" w:hint="eastAsia"/>
          <w:b/>
          <w:spacing w:val="0"/>
          <w:szCs w:val="24"/>
          <w:rtl/>
        </w:rPr>
        <w:t>בעניין</w:t>
      </w:r>
      <w:r w:rsidRPr="00B00F53">
        <w:rPr>
          <w:rFonts w:ascii="Garamond" w:hAnsi="Garamond" w:cs="Miriam"/>
          <w:b/>
          <w:spacing w:val="0"/>
          <w:szCs w:val="24"/>
          <w:rtl/>
        </w:rPr>
        <w:t xml:space="preserve"> </w:t>
      </w:r>
      <w:r w:rsidRPr="00B00F53">
        <w:rPr>
          <w:rFonts w:ascii="Garamond" w:hAnsi="Garamond" w:cs="Miriam" w:hint="eastAsia"/>
          <w:b/>
          <w:spacing w:val="0"/>
          <w:szCs w:val="24"/>
          <w:rtl/>
        </w:rPr>
        <w:t>כאמור</w:t>
      </w:r>
      <w:r w:rsidRPr="00B00F53">
        <w:rPr>
          <w:rFonts w:ascii="Garamond" w:hAnsi="Garamond" w:cs="Miriam"/>
          <w:b/>
          <w:spacing w:val="0"/>
          <w:szCs w:val="24"/>
          <w:rtl/>
        </w:rPr>
        <w:t xml:space="preserve">; </w:t>
      </w:r>
      <w:r w:rsidRPr="00B00F53">
        <w:rPr>
          <w:rFonts w:ascii="Garamond" w:hAnsi="Garamond" w:cs="Miriam" w:hint="eastAsia"/>
          <w:b/>
          <w:spacing w:val="0"/>
          <w:szCs w:val="24"/>
          <w:rtl/>
        </w:rPr>
        <w:t>בסעיף</w:t>
      </w:r>
      <w:r w:rsidRPr="00B00F53">
        <w:rPr>
          <w:rFonts w:ascii="Garamond" w:hAnsi="Garamond" w:cs="Miriam"/>
          <w:b/>
          <w:spacing w:val="0"/>
          <w:szCs w:val="24"/>
          <w:rtl/>
        </w:rPr>
        <w:t xml:space="preserve"> </w:t>
      </w:r>
      <w:r w:rsidRPr="00B00F53">
        <w:rPr>
          <w:rFonts w:ascii="Garamond" w:hAnsi="Garamond" w:cs="Miriam" w:hint="eastAsia"/>
          <w:b/>
          <w:spacing w:val="0"/>
          <w:szCs w:val="24"/>
          <w:rtl/>
        </w:rPr>
        <w:t>זה</w:t>
      </w:r>
      <w:r w:rsidRPr="00B00F53">
        <w:rPr>
          <w:rFonts w:ascii="Garamond" w:hAnsi="Garamond" w:cs="Miriam"/>
          <w:b/>
          <w:spacing w:val="0"/>
          <w:szCs w:val="24"/>
          <w:rtl/>
        </w:rPr>
        <w:t>, "</w:t>
      </w:r>
      <w:r w:rsidRPr="00B00F53">
        <w:rPr>
          <w:rFonts w:ascii="Garamond" w:hAnsi="Garamond" w:cs="Miriam" w:hint="eastAsia"/>
          <w:b/>
          <w:spacing w:val="0"/>
          <w:szCs w:val="24"/>
          <w:rtl/>
        </w:rPr>
        <w:t>החלטה</w:t>
      </w:r>
      <w:r w:rsidRPr="00B00F53">
        <w:rPr>
          <w:rFonts w:ascii="Garamond" w:hAnsi="Garamond" w:cs="Miriam"/>
          <w:b/>
          <w:spacing w:val="0"/>
          <w:szCs w:val="24"/>
          <w:rtl/>
        </w:rPr>
        <w:t xml:space="preserve">" – </w:t>
      </w:r>
      <w:r w:rsidRPr="00B00F53">
        <w:rPr>
          <w:rFonts w:ascii="Garamond" w:hAnsi="Garamond" w:cs="Miriam" w:hint="eastAsia"/>
          <w:b/>
          <w:spacing w:val="0"/>
          <w:szCs w:val="24"/>
          <w:rtl/>
        </w:rPr>
        <w:t>כל</w:t>
      </w:r>
      <w:r w:rsidRPr="00B00F53">
        <w:rPr>
          <w:rFonts w:ascii="Garamond" w:hAnsi="Garamond" w:cs="Miriam"/>
          <w:b/>
          <w:spacing w:val="0"/>
          <w:szCs w:val="24"/>
          <w:rtl/>
        </w:rPr>
        <w:t xml:space="preserve"> </w:t>
      </w:r>
      <w:r w:rsidRPr="00B00F53">
        <w:rPr>
          <w:rFonts w:ascii="Garamond" w:hAnsi="Garamond" w:cs="Miriam" w:hint="eastAsia"/>
          <w:b/>
          <w:spacing w:val="0"/>
          <w:szCs w:val="24"/>
          <w:rtl/>
        </w:rPr>
        <w:t>החלטה</w:t>
      </w:r>
      <w:r w:rsidRPr="00B00F53">
        <w:rPr>
          <w:rFonts w:ascii="Garamond" w:hAnsi="Garamond" w:cs="Miriam"/>
          <w:b/>
          <w:spacing w:val="0"/>
          <w:szCs w:val="24"/>
          <w:rtl/>
        </w:rPr>
        <w:t xml:space="preserve">, </w:t>
      </w:r>
      <w:r w:rsidRPr="00B00F53">
        <w:rPr>
          <w:rFonts w:ascii="Garamond" w:hAnsi="Garamond" w:cs="Miriam" w:hint="eastAsia"/>
          <w:b/>
          <w:spacing w:val="0"/>
          <w:szCs w:val="24"/>
          <w:rtl/>
        </w:rPr>
        <w:t>לרבות</w:t>
      </w:r>
      <w:r w:rsidRPr="00B00F53">
        <w:rPr>
          <w:rFonts w:ascii="Garamond" w:hAnsi="Garamond" w:cs="Miriam"/>
          <w:b/>
          <w:spacing w:val="0"/>
          <w:szCs w:val="24"/>
          <w:rtl/>
        </w:rPr>
        <w:t xml:space="preserve"> </w:t>
      </w:r>
      <w:r w:rsidRPr="00B00F53">
        <w:rPr>
          <w:rFonts w:ascii="Garamond" w:hAnsi="Garamond" w:cs="Miriam" w:hint="eastAsia"/>
          <w:b/>
          <w:spacing w:val="0"/>
          <w:szCs w:val="24"/>
          <w:rtl/>
        </w:rPr>
        <w:t>בענייני</w:t>
      </w:r>
      <w:r w:rsidRPr="00B00F53">
        <w:rPr>
          <w:rFonts w:ascii="Garamond" w:hAnsi="Garamond" w:cs="Miriam"/>
          <w:b/>
          <w:spacing w:val="0"/>
          <w:szCs w:val="24"/>
          <w:rtl/>
        </w:rPr>
        <w:t xml:space="preserve"> </w:t>
      </w:r>
      <w:r w:rsidRPr="00B00F53">
        <w:rPr>
          <w:rFonts w:ascii="Garamond" w:hAnsi="Garamond" w:cs="Miriam" w:hint="eastAsia"/>
          <w:b/>
          <w:spacing w:val="0"/>
          <w:szCs w:val="24"/>
          <w:rtl/>
        </w:rPr>
        <w:t>מינויים</w:t>
      </w:r>
      <w:r w:rsidRPr="00B00F53">
        <w:rPr>
          <w:rFonts w:ascii="Garamond" w:hAnsi="Garamond" w:cs="Miriam"/>
          <w:b/>
          <w:spacing w:val="0"/>
          <w:szCs w:val="24"/>
          <w:rtl/>
        </w:rPr>
        <w:t xml:space="preserve"> </w:t>
      </w:r>
      <w:r w:rsidRPr="00B00F53">
        <w:rPr>
          <w:rFonts w:ascii="Garamond" w:hAnsi="Garamond" w:cs="Miriam" w:hint="eastAsia"/>
          <w:b/>
          <w:spacing w:val="0"/>
          <w:szCs w:val="24"/>
          <w:rtl/>
        </w:rPr>
        <w:t>או</w:t>
      </w:r>
      <w:r w:rsidRPr="00B00F53">
        <w:rPr>
          <w:rFonts w:ascii="Garamond" w:hAnsi="Garamond" w:cs="Miriam"/>
          <w:b/>
          <w:spacing w:val="0"/>
          <w:szCs w:val="24"/>
          <w:rtl/>
        </w:rPr>
        <w:t xml:space="preserve"> </w:t>
      </w:r>
      <w:r w:rsidRPr="00B00F53">
        <w:rPr>
          <w:rFonts w:ascii="Garamond" w:hAnsi="Garamond" w:cs="Miriam" w:hint="eastAsia"/>
          <w:b/>
          <w:spacing w:val="0"/>
          <w:szCs w:val="24"/>
          <w:rtl/>
        </w:rPr>
        <w:t>החלטה</w:t>
      </w:r>
      <w:r w:rsidRPr="00B00F53">
        <w:rPr>
          <w:rFonts w:ascii="Garamond" w:hAnsi="Garamond" w:cs="Miriam"/>
          <w:b/>
          <w:spacing w:val="0"/>
          <w:szCs w:val="24"/>
          <w:rtl/>
        </w:rPr>
        <w:t xml:space="preserve"> </w:t>
      </w:r>
      <w:r w:rsidRPr="00B00F53">
        <w:rPr>
          <w:rFonts w:ascii="Garamond" w:hAnsi="Garamond" w:cs="Miriam" w:hint="eastAsia"/>
          <w:b/>
          <w:spacing w:val="0"/>
          <w:szCs w:val="24"/>
          <w:rtl/>
        </w:rPr>
        <w:t>להימנע</w:t>
      </w:r>
      <w:r w:rsidRPr="00B00F53">
        <w:rPr>
          <w:rFonts w:ascii="Garamond" w:hAnsi="Garamond" w:cs="Miriam"/>
          <w:b/>
          <w:spacing w:val="0"/>
          <w:szCs w:val="24"/>
          <w:rtl/>
        </w:rPr>
        <w:t xml:space="preserve"> </w:t>
      </w:r>
      <w:r w:rsidRPr="00B00F53">
        <w:rPr>
          <w:rFonts w:ascii="Garamond" w:hAnsi="Garamond" w:cs="Miriam" w:hint="eastAsia"/>
          <w:b/>
          <w:spacing w:val="0"/>
          <w:szCs w:val="24"/>
          <w:rtl/>
        </w:rPr>
        <w:t>מהפעלת</w:t>
      </w:r>
      <w:r w:rsidRPr="00B00F53">
        <w:rPr>
          <w:rFonts w:ascii="Garamond" w:hAnsi="Garamond" w:cs="Miriam"/>
          <w:b/>
          <w:spacing w:val="0"/>
          <w:szCs w:val="24"/>
          <w:rtl/>
        </w:rPr>
        <w:t xml:space="preserve"> </w:t>
      </w:r>
      <w:r w:rsidRPr="00B00F53">
        <w:rPr>
          <w:rFonts w:ascii="Garamond" w:hAnsi="Garamond" w:cs="Miriam" w:hint="eastAsia"/>
          <w:b/>
          <w:spacing w:val="0"/>
          <w:szCs w:val="24"/>
          <w:rtl/>
        </w:rPr>
        <w:t>כל</w:t>
      </w:r>
      <w:r w:rsidRPr="00B00F53">
        <w:rPr>
          <w:rFonts w:ascii="Garamond" w:hAnsi="Garamond" w:cs="Miriam"/>
          <w:b/>
          <w:spacing w:val="0"/>
          <w:szCs w:val="24"/>
          <w:rtl/>
        </w:rPr>
        <w:t xml:space="preserve"> </w:t>
      </w:r>
      <w:r w:rsidRPr="00B00F53">
        <w:rPr>
          <w:rFonts w:ascii="Garamond" w:hAnsi="Garamond" w:cs="Miriam" w:hint="eastAsia"/>
          <w:b/>
          <w:spacing w:val="0"/>
          <w:szCs w:val="24"/>
          <w:rtl/>
        </w:rPr>
        <w:t>סמכות</w:t>
      </w:r>
      <w:r>
        <w:rPr>
          <w:rFonts w:ascii="Garamond" w:hAnsi="Garamond" w:cs="Miriam" w:hint="cs"/>
          <w:b/>
          <w:spacing w:val="0"/>
          <w:szCs w:val="24"/>
          <w:rtl/>
        </w:rPr>
        <w:t>.</w:t>
      </w:r>
    </w:p>
    <w:p w:rsidR="00C044AE" w:rsidRDefault="00C044AE" w:rsidP="00C044AE">
      <w:pPr>
        <w:pStyle w:val="Ruller5"/>
        <w:spacing w:after="120"/>
        <w:rPr>
          <w:rFonts w:ascii="Garamond" w:hAnsi="Garamond"/>
          <w:rtl/>
        </w:rPr>
      </w:pPr>
      <w:r w:rsidRPr="00B00F53">
        <w:rPr>
          <w:rFonts w:ascii="Garamond" w:hAnsi="Garamond"/>
          <w:rtl/>
        </w:rPr>
        <w:t>(</w:t>
      </w:r>
      <w:r w:rsidRPr="00B00F53">
        <w:rPr>
          <w:rFonts w:ascii="Garamond" w:hAnsi="Garamond" w:hint="eastAsia"/>
          <w:rtl/>
        </w:rPr>
        <w:t>ה</w:t>
      </w:r>
      <w:r w:rsidRPr="00B00F53">
        <w:rPr>
          <w:rFonts w:ascii="Garamond" w:hAnsi="Garamond"/>
          <w:rtl/>
        </w:rPr>
        <w:t>)</w:t>
      </w:r>
      <w:r w:rsidRPr="00B00F53">
        <w:rPr>
          <w:rFonts w:ascii="Garamond" w:hAnsi="Garamond" w:hint="cs"/>
          <w:rtl/>
        </w:rPr>
        <w:t xml:space="preserve"> </w:t>
      </w:r>
      <w:r w:rsidRPr="00B00F53">
        <w:rPr>
          <w:rFonts w:ascii="Garamond" w:hAnsi="Garamond" w:hint="eastAsia"/>
          <w:rtl/>
        </w:rPr>
        <w:t>סמכויות</w:t>
      </w:r>
      <w:r w:rsidRPr="00B00F53">
        <w:rPr>
          <w:rFonts w:ascii="Garamond" w:hAnsi="Garamond"/>
          <w:rtl/>
        </w:rPr>
        <w:t xml:space="preserve"> </w:t>
      </w:r>
      <w:r w:rsidRPr="00B00F53">
        <w:rPr>
          <w:rFonts w:ascii="Garamond" w:hAnsi="Garamond" w:hint="eastAsia"/>
          <w:rtl/>
        </w:rPr>
        <w:t>אחרות</w:t>
      </w:r>
      <w:r w:rsidRPr="00B00F53">
        <w:rPr>
          <w:rFonts w:ascii="Garamond" w:hAnsi="Garamond"/>
          <w:rtl/>
        </w:rPr>
        <w:t xml:space="preserve"> </w:t>
      </w:r>
      <w:r w:rsidRPr="00B00F53">
        <w:rPr>
          <w:rFonts w:ascii="Garamond" w:hAnsi="Garamond" w:hint="eastAsia"/>
          <w:rtl/>
        </w:rPr>
        <w:t>של</w:t>
      </w:r>
      <w:r w:rsidRPr="00B00F53">
        <w:rPr>
          <w:rFonts w:ascii="Garamond" w:hAnsi="Garamond"/>
          <w:rtl/>
        </w:rPr>
        <w:t xml:space="preserve"> </w:t>
      </w:r>
      <w:r w:rsidRPr="00B00F53">
        <w:rPr>
          <w:rFonts w:ascii="Garamond" w:hAnsi="Garamond" w:hint="eastAsia"/>
          <w:rtl/>
        </w:rPr>
        <w:t>בית</w:t>
      </w:r>
      <w:r w:rsidRPr="00B00F53">
        <w:rPr>
          <w:rFonts w:ascii="Garamond" w:hAnsi="Garamond"/>
          <w:rtl/>
        </w:rPr>
        <w:t xml:space="preserve"> </w:t>
      </w:r>
      <w:r w:rsidRPr="00B00F53">
        <w:rPr>
          <w:rFonts w:ascii="Garamond" w:hAnsi="Garamond" w:hint="eastAsia"/>
          <w:rtl/>
        </w:rPr>
        <w:t>המשפט</w:t>
      </w:r>
      <w:r w:rsidRPr="00B00F53">
        <w:rPr>
          <w:rFonts w:ascii="Garamond" w:hAnsi="Garamond"/>
          <w:rtl/>
        </w:rPr>
        <w:t xml:space="preserve"> </w:t>
      </w:r>
      <w:r w:rsidRPr="00B00F53">
        <w:rPr>
          <w:rFonts w:ascii="Garamond" w:hAnsi="Garamond" w:hint="eastAsia"/>
          <w:rtl/>
        </w:rPr>
        <w:t>העליון</w:t>
      </w:r>
      <w:r w:rsidRPr="00B00F53">
        <w:rPr>
          <w:rFonts w:ascii="Garamond" w:hAnsi="Garamond"/>
          <w:rtl/>
        </w:rPr>
        <w:t xml:space="preserve"> </w:t>
      </w:r>
      <w:r w:rsidRPr="00B00F53">
        <w:rPr>
          <w:rFonts w:ascii="Garamond" w:hAnsi="Garamond" w:hint="eastAsia"/>
          <w:rtl/>
        </w:rPr>
        <w:t>ייקבעו</w:t>
      </w:r>
      <w:r w:rsidRPr="00B00F53">
        <w:rPr>
          <w:rFonts w:ascii="Garamond" w:hAnsi="Garamond"/>
          <w:rtl/>
        </w:rPr>
        <w:t xml:space="preserve"> </w:t>
      </w:r>
      <w:r w:rsidRPr="00B00F53">
        <w:rPr>
          <w:rFonts w:ascii="Garamond" w:hAnsi="Garamond" w:hint="eastAsia"/>
          <w:rtl/>
        </w:rPr>
        <w:t>בחוק</w:t>
      </w:r>
      <w:r w:rsidRPr="00B00F53">
        <w:rPr>
          <w:rFonts w:ascii="Garamond" w:hAnsi="Garamond"/>
          <w:rtl/>
        </w:rPr>
        <w:t>.</w:t>
      </w:r>
    </w:p>
    <w:p w:rsidR="00C044AE" w:rsidRPr="00B00F53" w:rsidRDefault="00C044AE" w:rsidP="00C044AE">
      <w:pPr>
        <w:pStyle w:val="Ruller41"/>
        <w:rPr>
          <w:rFonts w:ascii="Garamond" w:hAnsi="Garamond"/>
          <w:rtl/>
        </w:rPr>
      </w:pPr>
    </w:p>
    <w:p w:rsidR="00C044AE" w:rsidRPr="00B00F53" w:rsidRDefault="00C044AE" w:rsidP="00C044AE">
      <w:pPr>
        <w:pStyle w:val="Ruller4"/>
        <w:rPr>
          <w:rtl/>
        </w:rPr>
      </w:pPr>
      <w:r w:rsidRPr="00B00F53">
        <w:rPr>
          <w:rFonts w:hint="cs"/>
          <w:rtl/>
        </w:rPr>
        <w:t>הצדדים בענייננו</w:t>
      </w:r>
      <w:r w:rsidRPr="00B00F53">
        <w:rPr>
          <w:rtl/>
        </w:rPr>
        <w:t xml:space="preserve"> </w:t>
      </w:r>
      <w:r w:rsidRPr="00B00F53">
        <w:rPr>
          <w:rFonts w:hint="cs"/>
          <w:rtl/>
        </w:rPr>
        <w:t>חלוקים</w:t>
      </w:r>
      <w:r w:rsidRPr="00B00F53">
        <w:rPr>
          <w:rtl/>
        </w:rPr>
        <w:t xml:space="preserve"> </w:t>
      </w:r>
      <w:r w:rsidRPr="00B00F53">
        <w:rPr>
          <w:rFonts w:hint="cs"/>
          <w:rtl/>
        </w:rPr>
        <w:t>באשר ל</w:t>
      </w:r>
      <w:r w:rsidRPr="00B00F53">
        <w:rPr>
          <w:rFonts w:hint="eastAsia"/>
          <w:rtl/>
        </w:rPr>
        <w:t>פרשנות</w:t>
      </w:r>
      <w:r>
        <w:rPr>
          <w:rFonts w:hint="cs"/>
          <w:rtl/>
        </w:rPr>
        <w:t>ו של</w:t>
      </w:r>
      <w:r w:rsidRPr="00B00F53">
        <w:rPr>
          <w:rtl/>
        </w:rPr>
        <w:t xml:space="preserve"> </w:t>
      </w:r>
      <w:r>
        <w:rPr>
          <w:rFonts w:hint="cs"/>
          <w:rtl/>
        </w:rPr>
        <w:t>סעיף 15(ד1) לחוק היסוד</w:t>
      </w:r>
      <w:r w:rsidRPr="00B00F53">
        <w:rPr>
          <w:rFonts w:hint="cs"/>
          <w:rtl/>
        </w:rPr>
        <w:t>. הכנסת סבורה כי ניתן לפרש את התיקון באופן מצמצם</w:t>
      </w:r>
      <w:r>
        <w:rPr>
          <w:rFonts w:hint="cs"/>
          <w:rtl/>
        </w:rPr>
        <w:t>,</w:t>
      </w:r>
      <w:r w:rsidRPr="00B00F53">
        <w:rPr>
          <w:rFonts w:hint="cs"/>
          <w:rtl/>
        </w:rPr>
        <w:t xml:space="preserve"> כך שיחול על עילת הסבירות </w:t>
      </w:r>
      <w:r>
        <w:rPr>
          <w:rFonts w:hint="cs"/>
          <w:rtl/>
        </w:rPr>
        <w:t>כ</w:t>
      </w:r>
      <w:r w:rsidRPr="00B00F53">
        <w:rPr>
          <w:rFonts w:hint="cs"/>
          <w:rtl/>
        </w:rPr>
        <w:t>מתכונת</w:t>
      </w:r>
      <w:r>
        <w:rPr>
          <w:rFonts w:hint="cs"/>
          <w:rtl/>
        </w:rPr>
        <w:t xml:space="preserve">ה על פי </w:t>
      </w:r>
      <w:r w:rsidRPr="00B00F53">
        <w:rPr>
          <w:rFonts w:hint="cs"/>
          <w:rtl/>
        </w:rPr>
        <w:t xml:space="preserve">פסק הדין בעניין </w:t>
      </w:r>
      <w:r w:rsidRPr="00B00F53">
        <w:rPr>
          <w:rFonts w:cs="Miriam" w:hint="cs"/>
          <w:b/>
          <w:spacing w:val="0"/>
          <w:szCs w:val="24"/>
          <w:rtl/>
        </w:rPr>
        <w:t>דפי זהב</w:t>
      </w:r>
      <w:r>
        <w:rPr>
          <w:rFonts w:cs="Miriam" w:hint="cs"/>
          <w:b/>
          <w:spacing w:val="0"/>
          <w:szCs w:val="24"/>
          <w:rtl/>
        </w:rPr>
        <w:t xml:space="preserve"> </w:t>
      </w:r>
      <w:r>
        <w:rPr>
          <w:rFonts w:ascii="Century" w:hAnsi="Century" w:hint="cs"/>
          <w:sz w:val="22"/>
          <w:rtl/>
        </w:rPr>
        <w:t>בלבד,</w:t>
      </w:r>
      <w:r w:rsidRPr="00B00F53">
        <w:rPr>
          <w:rFonts w:hint="cs"/>
          <w:rtl/>
        </w:rPr>
        <w:t xml:space="preserve"> </w:t>
      </w:r>
      <w:r>
        <w:rPr>
          <w:rFonts w:hint="cs"/>
          <w:rtl/>
        </w:rPr>
        <w:t>ו</w:t>
      </w:r>
      <w:r w:rsidRPr="00B00F53">
        <w:rPr>
          <w:rFonts w:hint="cs"/>
          <w:rtl/>
        </w:rPr>
        <w:t xml:space="preserve">לא על החלטות "מופרכות" שניתן היה לפסול מכוח העילה </w:t>
      </w:r>
      <w:r>
        <w:rPr>
          <w:rFonts w:hint="cs"/>
          <w:rtl/>
        </w:rPr>
        <w:t>במתכונת שקדמה לאותו פסק דין</w:t>
      </w:r>
      <w:r w:rsidRPr="00B00F53">
        <w:rPr>
          <w:rFonts w:hint="cs"/>
          <w:rtl/>
        </w:rPr>
        <w:t xml:space="preserve">. פרשנות זו, לצד פרשנות מרחיבה של חוקים ועילות ביקורת אחרות, כך הכנסת, תצמצם את הקשיים </w:t>
      </w:r>
      <w:r>
        <w:rPr>
          <w:rFonts w:hint="cs"/>
          <w:rtl/>
        </w:rPr>
        <w:t>שמעורר ה</w:t>
      </w:r>
      <w:r w:rsidRPr="00B00F53">
        <w:rPr>
          <w:rFonts w:hint="cs"/>
          <w:rtl/>
        </w:rPr>
        <w:t>תיקון, והיא עדיפה על פני ביטולו.</w:t>
      </w:r>
    </w:p>
    <w:p w:rsidR="00C044AE" w:rsidRPr="00B00F53" w:rsidRDefault="00C044AE" w:rsidP="00C044AE">
      <w:pPr>
        <w:pStyle w:val="Ruller41"/>
        <w:rPr>
          <w:rFonts w:ascii="Garamond" w:hAnsi="Garamond"/>
          <w:rtl/>
        </w:rPr>
      </w:pPr>
    </w:p>
    <w:p w:rsidR="00C044AE" w:rsidRPr="00B00F53" w:rsidRDefault="00C044AE" w:rsidP="00C044AE">
      <w:pPr>
        <w:pStyle w:val="Ruller4"/>
        <w:rPr>
          <w:rtl/>
        </w:rPr>
      </w:pPr>
      <w:r>
        <w:rPr>
          <w:rFonts w:hint="cs"/>
          <w:rtl/>
        </w:rPr>
        <w:t xml:space="preserve">כל </w:t>
      </w:r>
      <w:r w:rsidRPr="00B00F53">
        <w:rPr>
          <w:rFonts w:hint="cs"/>
          <w:rtl/>
        </w:rPr>
        <w:t xml:space="preserve">הצדדים האחרים לעתירות </w:t>
      </w:r>
      <w:r w:rsidRPr="00B00F53">
        <w:rPr>
          <w:rtl/>
        </w:rPr>
        <w:t>–</w:t>
      </w:r>
      <w:r>
        <w:rPr>
          <w:rFonts w:hint="cs"/>
          <w:rtl/>
        </w:rPr>
        <w:t xml:space="preserve"> העותרים, היועצת וכמוהם גם </w:t>
      </w:r>
      <w:r w:rsidRPr="00B00F53">
        <w:rPr>
          <w:rFonts w:hint="cs"/>
          <w:rtl/>
        </w:rPr>
        <w:t xml:space="preserve">משיבי הממשלה ויו"ר ועדת החוקה </w:t>
      </w:r>
      <w:r w:rsidRPr="00B00F53">
        <w:rPr>
          <w:rtl/>
        </w:rPr>
        <w:t>–</w:t>
      </w:r>
      <w:r>
        <w:rPr>
          <w:rFonts w:hint="cs"/>
          <w:rtl/>
        </w:rPr>
        <w:t xml:space="preserve"> אינם שותפים לעמדתה של הכנסת ו</w:t>
      </w:r>
      <w:r w:rsidRPr="00B00F53">
        <w:rPr>
          <w:rFonts w:hint="cs"/>
          <w:rtl/>
        </w:rPr>
        <w:t xml:space="preserve">סבורים </w:t>
      </w:r>
      <w:r>
        <w:rPr>
          <w:rFonts w:hint="cs"/>
          <w:rtl/>
        </w:rPr>
        <w:t xml:space="preserve">כולם </w:t>
      </w:r>
      <w:r w:rsidRPr="00B00F53">
        <w:rPr>
          <w:rFonts w:hint="cs"/>
          <w:rtl/>
        </w:rPr>
        <w:t xml:space="preserve">כי לא ניתן לנקוט פרשנות מצמצמת </w:t>
      </w:r>
      <w:r>
        <w:rPr>
          <w:rFonts w:hint="cs"/>
          <w:rtl/>
        </w:rPr>
        <w:t>כזו</w:t>
      </w:r>
      <w:r w:rsidRPr="00B00F53">
        <w:rPr>
          <w:rFonts w:hint="cs"/>
          <w:rtl/>
        </w:rPr>
        <w:t xml:space="preserve">. העותרים מדגישים כי הפרשנות המוצעת על ידי הכנסת מהווה למעשה חקיקה שיפוטית וכי </w:t>
      </w:r>
      <w:r>
        <w:rPr>
          <w:rFonts w:hint="cs"/>
          <w:rtl/>
        </w:rPr>
        <w:t>"</w:t>
      </w:r>
      <w:r w:rsidRPr="004B1671">
        <w:rPr>
          <w:rtl/>
        </w:rPr>
        <w:t>מופרכוּת</w:t>
      </w:r>
      <w:r>
        <w:rPr>
          <w:rFonts w:hint="cs"/>
          <w:rtl/>
        </w:rPr>
        <w:t xml:space="preserve">" </w:t>
      </w:r>
      <w:r w:rsidRPr="00B00F53">
        <w:rPr>
          <w:rFonts w:hint="cs"/>
          <w:rtl/>
        </w:rPr>
        <w:t>היא חלק</w:t>
      </w:r>
      <w:r>
        <w:rPr>
          <w:rFonts w:hint="cs"/>
          <w:rtl/>
        </w:rPr>
        <w:t xml:space="preserve"> מעילת הסבירות</w:t>
      </w:r>
      <w:r w:rsidRPr="00B00F53">
        <w:rPr>
          <w:rFonts w:hint="cs"/>
          <w:rtl/>
        </w:rPr>
        <w:t xml:space="preserve"> </w:t>
      </w:r>
      <w:r>
        <w:rPr>
          <w:rFonts w:hint="cs"/>
          <w:rtl/>
        </w:rPr>
        <w:t>שלא ניתן לקיימו בנפרד ממנה</w:t>
      </w:r>
      <w:r w:rsidRPr="00B00F53">
        <w:rPr>
          <w:rFonts w:hint="cs"/>
          <w:rtl/>
        </w:rPr>
        <w:t xml:space="preserve"> (ראו: </w:t>
      </w:r>
      <w:r w:rsidRPr="00D829BF">
        <w:rPr>
          <w:rFonts w:hint="cs"/>
          <w:rtl/>
        </w:rPr>
        <w:t xml:space="preserve">סעיפים 105-103 לעיקרי הטיעון מטעם העותרים בבג"ץ </w:t>
      </w:r>
      <w:r w:rsidRPr="00C62D6F">
        <w:rPr>
          <w:rFonts w:hint="cs"/>
          <w:rtl/>
        </w:rPr>
        <w:t>5659/23; ובעמ' 123 ו-154 לפרוטוקול הדיון מיום 12.9.2023</w:t>
      </w:r>
      <w:r w:rsidRPr="00B00F53">
        <w:rPr>
          <w:rFonts w:hint="cs"/>
          <w:rtl/>
        </w:rPr>
        <w:t xml:space="preserve">). היועצת סבורה כי נקיטת פרשנות המצמצמת את תחולת התיקון למובן מסוים של "סבירות" או לסוג מסוים של "החלטות" אינה מתיישבת עם לשון התיקון, סותרת את כוונת המכונן </w:t>
      </w:r>
      <w:r w:rsidRPr="00B00F53">
        <w:rPr>
          <w:rtl/>
        </w:rPr>
        <w:t>–</w:t>
      </w:r>
      <w:r w:rsidRPr="00B00F53">
        <w:rPr>
          <w:rFonts w:hint="cs"/>
          <w:rtl/>
        </w:rPr>
        <w:t xml:space="preserve"> אשר דחה הבחנות אלו במפורש במסגרת הליך החקיקה </w:t>
      </w:r>
      <w:r w:rsidRPr="00B00F53">
        <w:rPr>
          <w:rtl/>
        </w:rPr>
        <w:t>–</w:t>
      </w:r>
      <w:r w:rsidRPr="00B00F53">
        <w:rPr>
          <w:rFonts w:hint="cs"/>
          <w:rtl/>
        </w:rPr>
        <w:t xml:space="preserve"> ויש בה משום ניסוח</w:t>
      </w:r>
      <w:r>
        <w:rPr>
          <w:rFonts w:hint="cs"/>
          <w:rtl/>
        </w:rPr>
        <w:t xml:space="preserve"> מחדש של</w:t>
      </w:r>
      <w:r w:rsidRPr="00B00F53">
        <w:rPr>
          <w:rFonts w:hint="cs"/>
          <w:rtl/>
        </w:rPr>
        <w:t xml:space="preserve"> ההסדר על ידי בית המשפט </w:t>
      </w:r>
      <w:r w:rsidRPr="00B00F53">
        <w:rPr>
          <w:rFonts w:hint="cs"/>
          <w:color w:val="000000" w:themeColor="text1"/>
          <w:rtl/>
        </w:rPr>
        <w:t>(</w:t>
      </w:r>
      <w:r w:rsidRPr="00015692">
        <w:rPr>
          <w:rFonts w:hint="cs"/>
          <w:color w:val="000000" w:themeColor="text1"/>
          <w:rtl/>
        </w:rPr>
        <w:t xml:space="preserve">סעיפים 428 ו-435 לתצהיר התשובה </w:t>
      </w:r>
      <w:r>
        <w:rPr>
          <w:rFonts w:hint="cs"/>
          <w:color w:val="000000" w:themeColor="text1"/>
          <w:rtl/>
        </w:rPr>
        <w:t>מטעם היועצת</w:t>
      </w:r>
      <w:r w:rsidRPr="00B00F53">
        <w:rPr>
          <w:rFonts w:hint="cs"/>
          <w:rtl/>
        </w:rPr>
        <w:t xml:space="preserve">). </w:t>
      </w:r>
    </w:p>
    <w:p w:rsidR="00C044AE" w:rsidRPr="00B00F53" w:rsidRDefault="00C044AE" w:rsidP="00C044AE">
      <w:pPr>
        <w:pStyle w:val="Ruller41"/>
        <w:rPr>
          <w:rFonts w:ascii="Garamond" w:hAnsi="Garamond"/>
          <w:rtl/>
        </w:rPr>
      </w:pPr>
    </w:p>
    <w:p w:rsidR="00C044AE" w:rsidRPr="00B00F53" w:rsidRDefault="00C044AE" w:rsidP="00C044AE">
      <w:pPr>
        <w:pStyle w:val="Ruller4"/>
        <w:numPr>
          <w:ilvl w:val="0"/>
          <w:numId w:val="0"/>
        </w:numPr>
        <w:rPr>
          <w:rtl/>
        </w:rPr>
      </w:pPr>
      <w:r>
        <w:rPr>
          <w:rtl/>
        </w:rPr>
        <w:tab/>
      </w:r>
      <w:r w:rsidRPr="00B00F53">
        <w:rPr>
          <w:rFonts w:hint="cs"/>
          <w:rtl/>
        </w:rPr>
        <w:t>משיבי הממשלה סבורים אף הם כי א</w:t>
      </w:r>
      <w:r>
        <w:rPr>
          <w:rFonts w:hint="cs"/>
          <w:rtl/>
        </w:rPr>
        <w:t xml:space="preserve">ין מקום לנקוט פרשנות מצמצמת כזו. </w:t>
      </w:r>
      <w:r w:rsidRPr="00B00F53">
        <w:rPr>
          <w:rFonts w:hint="cs"/>
          <w:rtl/>
        </w:rPr>
        <w:t>לשיטתם</w:t>
      </w:r>
      <w:r>
        <w:rPr>
          <w:rFonts w:hint="cs"/>
          <w:rtl/>
        </w:rPr>
        <w:t>,</w:t>
      </w:r>
      <w:r w:rsidRPr="00B00F53">
        <w:rPr>
          <w:rFonts w:hint="cs"/>
          <w:rtl/>
        </w:rPr>
        <w:t xml:space="preserve"> </w:t>
      </w:r>
      <w:r>
        <w:rPr>
          <w:rFonts w:hint="cs"/>
          <w:rtl/>
        </w:rPr>
        <w:t xml:space="preserve">היא </w:t>
      </w:r>
      <w:r w:rsidRPr="00B00F53">
        <w:rPr>
          <w:rFonts w:hint="cs"/>
          <w:rtl/>
        </w:rPr>
        <w:t>נוגדת את לשון התיקון ואת כוונת המכונן</w:t>
      </w:r>
      <w:r>
        <w:rPr>
          <w:rFonts w:hint="cs"/>
          <w:rtl/>
        </w:rPr>
        <w:t xml:space="preserve"> והם מדגישים כי</w:t>
      </w:r>
      <w:r w:rsidRPr="00B00F53">
        <w:rPr>
          <w:rFonts w:hint="cs"/>
          <w:rtl/>
        </w:rPr>
        <w:t xml:space="preserve"> בהיעדר יכולת מעשית להבחין בין מובניה השונים של עילת הסבירות, בחר המכונן לע</w:t>
      </w:r>
      <w:r>
        <w:rPr>
          <w:rFonts w:hint="cs"/>
          <w:rtl/>
        </w:rPr>
        <w:t>רוך</w:t>
      </w:r>
      <w:r w:rsidRPr="00B00F53">
        <w:rPr>
          <w:rFonts w:hint="cs"/>
          <w:rtl/>
        </w:rPr>
        <w:t xml:space="preserve"> ״הבחנה חותכת״ אשר תצמצם את גבולות העילה על בסיס זהות מקבל ההחלטה בלבד</w:t>
      </w:r>
      <w:r>
        <w:rPr>
          <w:rFonts w:hint="cs"/>
          <w:rtl/>
        </w:rPr>
        <w:t xml:space="preserve">. </w:t>
      </w:r>
      <w:r w:rsidRPr="00B00F53">
        <w:rPr>
          <w:rFonts w:hint="cs"/>
          <w:rtl/>
        </w:rPr>
        <w:t>לכן</w:t>
      </w:r>
      <w:r>
        <w:rPr>
          <w:rFonts w:hint="cs"/>
          <w:rtl/>
        </w:rPr>
        <w:t>, עמדת משיבי הממשלה היא כי</w:t>
      </w:r>
      <w:r w:rsidRPr="00B00F53">
        <w:rPr>
          <w:rFonts w:hint="cs"/>
          <w:rtl/>
        </w:rPr>
        <w:t xml:space="preserve"> יש לפרש את התיקון </w:t>
      </w:r>
      <w:r>
        <w:rPr>
          <w:rFonts w:hint="cs"/>
          <w:rtl/>
        </w:rPr>
        <w:t>באופן המחיל אותו</w:t>
      </w:r>
      <w:r w:rsidRPr="00B00F53">
        <w:rPr>
          <w:rFonts w:hint="cs"/>
          <w:rtl/>
        </w:rPr>
        <w:t xml:space="preserve"> על עילת הסבירות "מכל סוג שהוא", </w:t>
      </w:r>
      <w:r w:rsidRPr="001B2880">
        <w:rPr>
          <w:rFonts w:hint="cs"/>
          <w:rtl/>
        </w:rPr>
        <w:t>ו</w:t>
      </w:r>
      <w:r>
        <w:rPr>
          <w:rFonts w:hint="cs"/>
          <w:rtl/>
        </w:rPr>
        <w:t xml:space="preserve">זאת </w:t>
      </w:r>
      <w:r w:rsidRPr="001B2880">
        <w:rPr>
          <w:rFonts w:hint="cs"/>
          <w:rtl/>
        </w:rPr>
        <w:t>"אף אם יסבור מישהו שמדובר בהחלטה בלתי סבירה באופן קיצוני נוסח וונדסבורי" (פסקה 45 להשלמת הטיעון מטעם משיבי הממשלה</w:t>
      </w:r>
      <w:r w:rsidRPr="008B1175">
        <w:rPr>
          <w:rFonts w:hint="cs"/>
          <w:rtl/>
        </w:rPr>
        <w:t>; ראו גם: דברי בא-כוח משיבי הממשלה בעמ' 63-60 לפרוטוקול הדיון מיום 12.9.2023</w:t>
      </w:r>
      <w:r w:rsidRPr="00B00F53">
        <w:rPr>
          <w:rFonts w:hint="cs"/>
          <w:rtl/>
        </w:rPr>
        <w:t xml:space="preserve">). עמדה דומה הביע יו"ר </w:t>
      </w:r>
      <w:r>
        <w:rPr>
          <w:rFonts w:hint="cs"/>
          <w:rtl/>
        </w:rPr>
        <w:t>ועדת החוקה</w:t>
      </w:r>
      <w:r w:rsidRPr="00B00F53">
        <w:rPr>
          <w:rFonts w:hint="cs"/>
          <w:rtl/>
        </w:rPr>
        <w:t xml:space="preserve">, ח"כ רוטמן, בציינו כי התיקון מונע </w:t>
      </w:r>
      <w:r>
        <w:rPr>
          <w:rFonts w:hint="cs"/>
          <w:rtl/>
        </w:rPr>
        <w:t xml:space="preserve">כל </w:t>
      </w:r>
      <w:r w:rsidRPr="00B00F53">
        <w:rPr>
          <w:rFonts w:hint="cs"/>
          <w:rtl/>
        </w:rPr>
        <w:t xml:space="preserve">ביקורת שיפוטית בעניין סבירות החלטות הדרג הנבחר, </w:t>
      </w:r>
      <w:r w:rsidRPr="00B00F53">
        <w:rPr>
          <w:rFonts w:hint="cs"/>
          <w:sz w:val="22"/>
          <w:rtl/>
        </w:rPr>
        <w:t xml:space="preserve">על כלל מובניה של </w:t>
      </w:r>
      <w:r w:rsidRPr="00B00F53">
        <w:rPr>
          <w:rFonts w:hint="cs"/>
          <w:rtl/>
        </w:rPr>
        <w:t>העילה (</w:t>
      </w:r>
      <w:r w:rsidRPr="00D91D65">
        <w:rPr>
          <w:rFonts w:hint="cs"/>
          <w:rtl/>
        </w:rPr>
        <w:t>עמ' 39-37 לפרוטוקול הדיון מיום 12.9.2023</w:t>
      </w:r>
      <w:r w:rsidRPr="00B00F53">
        <w:rPr>
          <w:rFonts w:hint="cs"/>
          <w:rtl/>
        </w:rPr>
        <w:t xml:space="preserve">). </w:t>
      </w:r>
    </w:p>
    <w:p w:rsidR="00C044AE" w:rsidRPr="00B00F53" w:rsidRDefault="00C044AE" w:rsidP="00C044AE">
      <w:pPr>
        <w:pStyle w:val="Ruller41"/>
        <w:rPr>
          <w:rFonts w:ascii="Garamond" w:hAnsi="Garamond"/>
          <w:rtl/>
        </w:rPr>
      </w:pPr>
    </w:p>
    <w:p w:rsidR="00C044AE" w:rsidRDefault="00C044AE" w:rsidP="00C044AE">
      <w:pPr>
        <w:pStyle w:val="Ruller4"/>
        <w:rPr>
          <w:rtl/>
        </w:rPr>
      </w:pPr>
      <w:r w:rsidRPr="00B00F53">
        <w:rPr>
          <w:rFonts w:hint="cs"/>
          <w:rtl/>
        </w:rPr>
        <w:t xml:space="preserve">השאלה הניצבת בפנינו היא, אפוא, האם </w:t>
      </w:r>
      <w:r>
        <w:rPr>
          <w:rtl/>
        </w:rPr>
        <w:t>–</w:t>
      </w:r>
      <w:r>
        <w:rPr>
          <w:rFonts w:hint="cs"/>
          <w:rtl/>
        </w:rPr>
        <w:t xml:space="preserve"> כפי שהציע בא-כוח הכנסת </w:t>
      </w:r>
      <w:r>
        <w:rPr>
          <w:rtl/>
        </w:rPr>
        <w:t>–</w:t>
      </w:r>
      <w:r>
        <w:rPr>
          <w:rFonts w:hint="cs"/>
          <w:rtl/>
        </w:rPr>
        <w:t xml:space="preserve"> </w:t>
      </w:r>
      <w:r w:rsidRPr="00B00F53">
        <w:rPr>
          <w:rFonts w:hint="cs"/>
          <w:rtl/>
        </w:rPr>
        <w:t xml:space="preserve">ניתן </w:t>
      </w:r>
      <w:r>
        <w:rPr>
          <w:rFonts w:hint="cs"/>
          <w:rtl/>
        </w:rPr>
        <w:t xml:space="preserve">לפרש את התיקון באופן המצמצם </w:t>
      </w:r>
      <w:r w:rsidRPr="00B00F53">
        <w:rPr>
          <w:rFonts w:hint="cs"/>
          <w:rtl/>
        </w:rPr>
        <w:t>את תחולתו אך למובן מסוים של "סבירות"</w:t>
      </w:r>
      <w:r>
        <w:rPr>
          <w:rFonts w:hint="cs"/>
          <w:rtl/>
        </w:rPr>
        <w:t>?</w:t>
      </w:r>
      <w:r w:rsidRPr="00B00F53">
        <w:rPr>
          <w:rFonts w:hint="cs"/>
          <w:rtl/>
        </w:rPr>
        <w:t xml:space="preserve"> </w:t>
      </w:r>
    </w:p>
    <w:p w:rsidR="00C044AE" w:rsidRPr="00B00F53" w:rsidRDefault="00C044AE" w:rsidP="00C044AE">
      <w:pPr>
        <w:pStyle w:val="Ruller4"/>
        <w:numPr>
          <w:ilvl w:val="0"/>
          <w:numId w:val="0"/>
        </w:numPr>
        <w:rPr>
          <w:rtl/>
        </w:rPr>
      </w:pPr>
    </w:p>
    <w:p w:rsidR="00C044AE" w:rsidRPr="00B00F53" w:rsidRDefault="00C044AE" w:rsidP="00C044AE">
      <w:pPr>
        <w:pStyle w:val="Ruller4"/>
        <w:numPr>
          <w:ilvl w:val="0"/>
          <w:numId w:val="0"/>
        </w:numPr>
        <w:rPr>
          <w:rtl/>
        </w:rPr>
      </w:pPr>
      <w:r w:rsidRPr="00B00F53">
        <w:rPr>
          <w:rtl/>
        </w:rPr>
        <w:tab/>
      </w:r>
      <w:r>
        <w:rPr>
          <w:rFonts w:hint="cs"/>
          <w:rtl/>
        </w:rPr>
        <w:t>אינני סבורה כך</w:t>
      </w:r>
      <w:r w:rsidRPr="00B00F53">
        <w:rPr>
          <w:rFonts w:hint="cs"/>
          <w:rtl/>
        </w:rPr>
        <w:t>. לגישתי, פרשנות זו נעדרת אחיזה בלשון התיקון; היא נוגדת מפורשות את ההיסטוריה החקיקתית</w:t>
      </w:r>
      <w:r>
        <w:rPr>
          <w:rFonts w:hint="cs"/>
          <w:rtl/>
        </w:rPr>
        <w:t xml:space="preserve"> ואת התכלית הסובייקטיבית של התיקון</w:t>
      </w:r>
      <w:r w:rsidRPr="00B00F53">
        <w:rPr>
          <w:rFonts w:hint="cs"/>
          <w:rtl/>
        </w:rPr>
        <w:t xml:space="preserve">; </w:t>
      </w:r>
      <w:r>
        <w:rPr>
          <w:rFonts w:hint="cs"/>
          <w:rtl/>
        </w:rPr>
        <w:t>ו</w:t>
      </w:r>
      <w:r w:rsidRPr="00B00F53">
        <w:rPr>
          <w:rFonts w:hint="cs"/>
          <w:rtl/>
        </w:rPr>
        <w:t xml:space="preserve">חורגת מגבולותיה הלגיטימיים של המלאכה הפרשנית. הכל כפי שיפורט להלן. </w:t>
      </w:r>
    </w:p>
    <w:p w:rsidR="00C044AE" w:rsidRPr="00B00F53" w:rsidRDefault="00C044AE" w:rsidP="00C044AE">
      <w:pPr>
        <w:pStyle w:val="Ruller4"/>
        <w:numPr>
          <w:ilvl w:val="0"/>
          <w:numId w:val="0"/>
        </w:numPr>
        <w:rPr>
          <w:rtl/>
        </w:rPr>
      </w:pPr>
    </w:p>
    <w:p w:rsidR="00C044AE" w:rsidRDefault="00C044AE" w:rsidP="00C044AE">
      <w:pPr>
        <w:pStyle w:val="Ruller4"/>
        <w:rPr>
          <w:rtl/>
        </w:rPr>
      </w:pPr>
      <w:r w:rsidRPr="00B00F53">
        <w:rPr>
          <w:rFonts w:hint="cs"/>
          <w:rtl/>
        </w:rPr>
        <w:t xml:space="preserve">אכן, כלל </w:t>
      </w:r>
      <w:r>
        <w:rPr>
          <w:rFonts w:hint="cs"/>
          <w:rtl/>
        </w:rPr>
        <w:t>הוא ה</w:t>
      </w:r>
      <w:r w:rsidRPr="00B00F53">
        <w:rPr>
          <w:rFonts w:hint="cs"/>
          <w:rtl/>
        </w:rPr>
        <w:t xml:space="preserve">נקוט </w:t>
      </w:r>
      <w:r>
        <w:rPr>
          <w:rFonts w:hint="cs"/>
          <w:rtl/>
        </w:rPr>
        <w:t xml:space="preserve">בידנו </w:t>
      </w:r>
      <w:r w:rsidRPr="00B00F53">
        <w:rPr>
          <w:rFonts w:hint="cs"/>
          <w:rtl/>
        </w:rPr>
        <w:t>כי</w:t>
      </w:r>
      <w:r w:rsidRPr="00B00F53">
        <w:rPr>
          <w:rtl/>
        </w:rPr>
        <w:t xml:space="preserve"> "</w:t>
      </w:r>
      <w:r w:rsidRPr="00B00F53">
        <w:rPr>
          <w:rFonts w:hint="eastAsia"/>
          <w:rtl/>
        </w:rPr>
        <w:t>עדיף</w:t>
      </w:r>
      <w:r w:rsidRPr="00B00F53">
        <w:rPr>
          <w:rtl/>
        </w:rPr>
        <w:t xml:space="preserve"> </w:t>
      </w:r>
      <w:r w:rsidRPr="00B00F53">
        <w:rPr>
          <w:rFonts w:hint="eastAsia"/>
          <w:rtl/>
        </w:rPr>
        <w:t>להגיע</w:t>
      </w:r>
      <w:r w:rsidRPr="00B00F53">
        <w:rPr>
          <w:rtl/>
        </w:rPr>
        <w:t xml:space="preserve"> </w:t>
      </w:r>
      <w:r w:rsidRPr="00B00F53">
        <w:rPr>
          <w:rFonts w:hint="eastAsia"/>
          <w:rtl/>
        </w:rPr>
        <w:t>לצמצום</w:t>
      </w:r>
      <w:r w:rsidRPr="00B00F53">
        <w:rPr>
          <w:rtl/>
        </w:rPr>
        <w:t xml:space="preserve"> </w:t>
      </w:r>
      <w:r w:rsidRPr="00B00F53">
        <w:rPr>
          <w:rFonts w:hint="eastAsia"/>
          <w:rtl/>
        </w:rPr>
        <w:t>היקפו</w:t>
      </w:r>
      <w:r w:rsidRPr="00B00F53">
        <w:rPr>
          <w:rtl/>
        </w:rPr>
        <w:t xml:space="preserve"> </w:t>
      </w:r>
      <w:r w:rsidRPr="00B00F53">
        <w:rPr>
          <w:rFonts w:hint="eastAsia"/>
          <w:rtl/>
        </w:rPr>
        <w:t>של</w:t>
      </w:r>
      <w:r w:rsidRPr="00B00F53">
        <w:rPr>
          <w:rtl/>
        </w:rPr>
        <w:t xml:space="preserve"> </w:t>
      </w:r>
      <w:r w:rsidRPr="00B00F53">
        <w:rPr>
          <w:rFonts w:hint="eastAsia"/>
          <w:rtl/>
        </w:rPr>
        <w:t>חוק</w:t>
      </w:r>
      <w:r w:rsidRPr="00B00F53">
        <w:rPr>
          <w:rtl/>
        </w:rPr>
        <w:t xml:space="preserve"> </w:t>
      </w:r>
      <w:r w:rsidRPr="00B00F53">
        <w:rPr>
          <w:rFonts w:hint="eastAsia"/>
          <w:rtl/>
        </w:rPr>
        <w:t>בדרך</w:t>
      </w:r>
      <w:r w:rsidRPr="00B00F53">
        <w:rPr>
          <w:rtl/>
        </w:rPr>
        <w:t xml:space="preserve"> </w:t>
      </w:r>
      <w:r w:rsidRPr="00B00F53">
        <w:rPr>
          <w:rFonts w:hint="eastAsia"/>
          <w:rtl/>
        </w:rPr>
        <w:t>פרשנות</w:t>
      </w:r>
      <w:r w:rsidRPr="00B00F53">
        <w:rPr>
          <w:rtl/>
        </w:rPr>
        <w:t xml:space="preserve">, </w:t>
      </w:r>
      <w:r w:rsidRPr="00B00F53">
        <w:rPr>
          <w:rFonts w:hint="eastAsia"/>
          <w:rtl/>
        </w:rPr>
        <w:t>על</w:t>
      </w:r>
      <w:r w:rsidRPr="00B00F53">
        <w:rPr>
          <w:rtl/>
        </w:rPr>
        <w:t xml:space="preserve"> </w:t>
      </w:r>
      <w:r w:rsidRPr="00B00F53">
        <w:rPr>
          <w:rFonts w:hint="eastAsia"/>
          <w:rtl/>
        </w:rPr>
        <w:t>פני</w:t>
      </w:r>
      <w:r w:rsidRPr="00B00F53">
        <w:rPr>
          <w:rtl/>
        </w:rPr>
        <w:t xml:space="preserve"> </w:t>
      </w:r>
      <w:r w:rsidRPr="00B00F53">
        <w:rPr>
          <w:rFonts w:hint="eastAsia"/>
          <w:rtl/>
        </w:rPr>
        <w:t>הצורך</w:t>
      </w:r>
      <w:r w:rsidRPr="00B00F53">
        <w:rPr>
          <w:rtl/>
        </w:rPr>
        <w:t xml:space="preserve"> </w:t>
      </w:r>
      <w:r w:rsidRPr="00B00F53">
        <w:rPr>
          <w:rFonts w:hint="eastAsia"/>
          <w:rtl/>
        </w:rPr>
        <w:t>להגיע</w:t>
      </w:r>
      <w:r w:rsidRPr="00B00F53">
        <w:rPr>
          <w:rtl/>
        </w:rPr>
        <w:t xml:space="preserve"> </w:t>
      </w:r>
      <w:r w:rsidRPr="00B00F53">
        <w:rPr>
          <w:rFonts w:hint="eastAsia"/>
          <w:rtl/>
        </w:rPr>
        <w:t>לאותו</w:t>
      </w:r>
      <w:r w:rsidRPr="00B00F53">
        <w:rPr>
          <w:rtl/>
        </w:rPr>
        <w:t xml:space="preserve"> </w:t>
      </w:r>
      <w:r w:rsidRPr="00B00F53">
        <w:rPr>
          <w:rFonts w:hint="eastAsia"/>
          <w:rtl/>
        </w:rPr>
        <w:t>צמצום</w:t>
      </w:r>
      <w:r w:rsidRPr="00B00F53">
        <w:rPr>
          <w:rtl/>
        </w:rPr>
        <w:t xml:space="preserve"> </w:t>
      </w:r>
      <w:r w:rsidRPr="00B00F53">
        <w:rPr>
          <w:rFonts w:hint="eastAsia"/>
          <w:rtl/>
        </w:rPr>
        <w:t>עצמו</w:t>
      </w:r>
      <w:r w:rsidRPr="00B00F53">
        <w:rPr>
          <w:rtl/>
        </w:rPr>
        <w:t xml:space="preserve"> </w:t>
      </w:r>
      <w:r w:rsidRPr="00B00F53">
        <w:rPr>
          <w:rFonts w:hint="eastAsia"/>
          <w:rtl/>
        </w:rPr>
        <w:t>בדרך</w:t>
      </w:r>
      <w:r w:rsidRPr="00B00F53">
        <w:rPr>
          <w:rtl/>
        </w:rPr>
        <w:t xml:space="preserve"> </w:t>
      </w:r>
      <w:r w:rsidRPr="00B00F53">
        <w:rPr>
          <w:rFonts w:hint="eastAsia"/>
          <w:rtl/>
        </w:rPr>
        <w:t>של</w:t>
      </w:r>
      <w:r w:rsidRPr="00B00F53">
        <w:rPr>
          <w:rtl/>
        </w:rPr>
        <w:t xml:space="preserve"> </w:t>
      </w:r>
      <w:r w:rsidRPr="00B00F53">
        <w:rPr>
          <w:rFonts w:hint="eastAsia"/>
          <w:rtl/>
        </w:rPr>
        <w:t>הכרזת</w:t>
      </w:r>
      <w:r w:rsidRPr="00B00F53">
        <w:rPr>
          <w:rtl/>
        </w:rPr>
        <w:t xml:space="preserve"> </w:t>
      </w:r>
      <w:r w:rsidRPr="00B00F53">
        <w:rPr>
          <w:rFonts w:hint="eastAsia"/>
          <w:rtl/>
        </w:rPr>
        <w:t>חלק</w:t>
      </w:r>
      <w:r w:rsidRPr="00B00F53">
        <w:rPr>
          <w:rtl/>
        </w:rPr>
        <w:t xml:space="preserve"> </w:t>
      </w:r>
      <w:r w:rsidRPr="00B00F53">
        <w:rPr>
          <w:rFonts w:hint="eastAsia"/>
          <w:rtl/>
        </w:rPr>
        <w:t>מחוק</w:t>
      </w:r>
      <w:r w:rsidRPr="00B00F53">
        <w:rPr>
          <w:rtl/>
        </w:rPr>
        <w:t xml:space="preserve"> </w:t>
      </w:r>
      <w:r w:rsidRPr="00B00F53">
        <w:rPr>
          <w:rFonts w:hint="eastAsia"/>
          <w:rtl/>
        </w:rPr>
        <w:t>כבטל</w:t>
      </w:r>
      <w:r w:rsidRPr="00B00F53">
        <w:rPr>
          <w:rtl/>
        </w:rPr>
        <w:t>" (</w:t>
      </w:r>
      <w:r w:rsidRPr="006B3B2C">
        <w:rPr>
          <w:rFonts w:hint="eastAsia"/>
          <w:rtl/>
        </w:rPr>
        <w:t>בג</w:t>
      </w:r>
      <w:r w:rsidRPr="006B3B2C">
        <w:rPr>
          <w:rtl/>
        </w:rPr>
        <w:t>"</w:t>
      </w:r>
      <w:r w:rsidRPr="006B3B2C">
        <w:rPr>
          <w:rFonts w:hint="eastAsia"/>
          <w:rtl/>
        </w:rPr>
        <w:t>ץ</w:t>
      </w:r>
      <w:r w:rsidRPr="006B3B2C">
        <w:rPr>
          <w:rtl/>
        </w:rPr>
        <w:t xml:space="preserve"> 4562/92 </w:t>
      </w:r>
      <w:r w:rsidRPr="006B3B2C">
        <w:rPr>
          <w:rFonts w:cs="Miriam" w:hint="eastAsia"/>
          <w:b/>
          <w:spacing w:val="0"/>
          <w:szCs w:val="24"/>
          <w:rtl/>
        </w:rPr>
        <w:t>זנדברג</w:t>
      </w:r>
      <w:r w:rsidRPr="006B3B2C">
        <w:rPr>
          <w:rFonts w:cs="Miriam"/>
          <w:b/>
          <w:spacing w:val="0"/>
          <w:szCs w:val="24"/>
          <w:rtl/>
        </w:rPr>
        <w:t xml:space="preserve"> </w:t>
      </w:r>
      <w:r w:rsidRPr="006B3B2C">
        <w:rPr>
          <w:rFonts w:cs="Miriam" w:hint="eastAsia"/>
          <w:b/>
          <w:spacing w:val="0"/>
          <w:szCs w:val="24"/>
          <w:rtl/>
        </w:rPr>
        <w:t>נ</w:t>
      </w:r>
      <w:r w:rsidRPr="006B3B2C">
        <w:rPr>
          <w:rFonts w:cs="Miriam"/>
          <w:b/>
          <w:spacing w:val="0"/>
          <w:szCs w:val="24"/>
          <w:rtl/>
        </w:rPr>
        <w:t xml:space="preserve">' </w:t>
      </w:r>
      <w:r w:rsidRPr="006B3B2C">
        <w:rPr>
          <w:rFonts w:cs="Miriam" w:hint="eastAsia"/>
          <w:b/>
          <w:spacing w:val="0"/>
          <w:szCs w:val="24"/>
          <w:rtl/>
        </w:rPr>
        <w:t>רשות</w:t>
      </w:r>
      <w:r w:rsidRPr="006B3B2C">
        <w:rPr>
          <w:rFonts w:cs="Miriam"/>
          <w:b/>
          <w:spacing w:val="0"/>
          <w:szCs w:val="24"/>
          <w:rtl/>
        </w:rPr>
        <w:t xml:space="preserve"> </w:t>
      </w:r>
      <w:r w:rsidRPr="006B3B2C">
        <w:rPr>
          <w:rFonts w:cs="Miriam" w:hint="eastAsia"/>
          <w:b/>
          <w:spacing w:val="0"/>
          <w:szCs w:val="24"/>
          <w:rtl/>
        </w:rPr>
        <w:t>השידור</w:t>
      </w:r>
      <w:r w:rsidRPr="006B3B2C">
        <w:rPr>
          <w:rtl/>
        </w:rPr>
        <w:t xml:space="preserve">, </w:t>
      </w:r>
      <w:r w:rsidRPr="006B3B2C">
        <w:rPr>
          <w:rFonts w:hint="eastAsia"/>
          <w:rtl/>
        </w:rPr>
        <w:t>פ</w:t>
      </w:r>
      <w:r w:rsidRPr="006B3B2C">
        <w:rPr>
          <w:rtl/>
        </w:rPr>
        <w:t>"</w:t>
      </w:r>
      <w:r w:rsidRPr="006B3B2C">
        <w:rPr>
          <w:rFonts w:hint="eastAsia"/>
          <w:rtl/>
        </w:rPr>
        <w:t>ד</w:t>
      </w:r>
      <w:r w:rsidRPr="006B3B2C">
        <w:rPr>
          <w:rtl/>
        </w:rPr>
        <w:t xml:space="preserve"> </w:t>
      </w:r>
      <w:r w:rsidRPr="006B3B2C">
        <w:rPr>
          <w:rFonts w:hint="eastAsia"/>
          <w:rtl/>
        </w:rPr>
        <w:t>נ</w:t>
      </w:r>
      <w:r w:rsidRPr="006B3B2C">
        <w:rPr>
          <w:rtl/>
        </w:rPr>
        <w:t xml:space="preserve">(2) 793, </w:t>
      </w:r>
      <w:r w:rsidRPr="006B3B2C">
        <w:rPr>
          <w:rFonts w:hint="cs"/>
          <w:rtl/>
        </w:rPr>
        <w:t>814</w:t>
      </w:r>
      <w:r w:rsidRPr="006B3B2C">
        <w:rPr>
          <w:rtl/>
        </w:rPr>
        <w:t xml:space="preserve"> (1996)</w:t>
      </w:r>
      <w:r>
        <w:rPr>
          <w:rFonts w:hint="cs"/>
          <w:rtl/>
        </w:rPr>
        <w:t xml:space="preserve"> (להלן: </w:t>
      </w:r>
      <w:r w:rsidRPr="00415FA9">
        <w:rPr>
          <w:rFonts w:cs="Miriam" w:hint="eastAsia"/>
          <w:b/>
          <w:spacing w:val="0"/>
          <w:szCs w:val="24"/>
          <w:rtl/>
        </w:rPr>
        <w:t>עניין</w:t>
      </w:r>
      <w:r w:rsidRPr="00415FA9">
        <w:rPr>
          <w:rFonts w:cs="Miriam"/>
          <w:b/>
          <w:spacing w:val="0"/>
          <w:szCs w:val="24"/>
          <w:rtl/>
        </w:rPr>
        <w:t xml:space="preserve"> </w:t>
      </w:r>
      <w:r w:rsidRPr="00415FA9">
        <w:rPr>
          <w:rFonts w:cs="Miriam" w:hint="eastAsia"/>
          <w:b/>
          <w:spacing w:val="0"/>
          <w:szCs w:val="24"/>
          <w:rtl/>
        </w:rPr>
        <w:t>זנדברג</w:t>
      </w:r>
      <w:r>
        <w:rPr>
          <w:rFonts w:hint="cs"/>
          <w:rtl/>
        </w:rPr>
        <w:t>)</w:t>
      </w:r>
      <w:r w:rsidRPr="006B3B2C">
        <w:rPr>
          <w:rFonts w:hint="cs"/>
          <w:rtl/>
        </w:rPr>
        <w:t>;</w:t>
      </w:r>
      <w:r w:rsidRPr="00B00F53">
        <w:rPr>
          <w:rFonts w:hint="cs"/>
          <w:rtl/>
        </w:rPr>
        <w:t xml:space="preserve"> </w:t>
      </w:r>
      <w:r w:rsidRPr="00B00F53">
        <w:rPr>
          <w:rFonts w:hint="cs"/>
          <w:sz w:val="22"/>
          <w:rtl/>
        </w:rPr>
        <w:t xml:space="preserve">ראו גם: </w:t>
      </w:r>
      <w:r w:rsidRPr="006B3B2C">
        <w:rPr>
          <w:rFonts w:hint="eastAsia"/>
          <w:sz w:val="22"/>
          <w:rtl/>
        </w:rPr>
        <w:t>בג</w:t>
      </w:r>
      <w:r w:rsidRPr="006B3B2C">
        <w:rPr>
          <w:sz w:val="22"/>
          <w:rtl/>
        </w:rPr>
        <w:t>"</w:t>
      </w:r>
      <w:r w:rsidRPr="006B3B2C">
        <w:rPr>
          <w:rFonts w:hint="eastAsia"/>
          <w:sz w:val="22"/>
          <w:rtl/>
        </w:rPr>
        <w:t>ץ</w:t>
      </w:r>
      <w:r w:rsidRPr="006B3B2C">
        <w:rPr>
          <w:sz w:val="22"/>
          <w:rtl/>
        </w:rPr>
        <w:t xml:space="preserve"> 9098/01 </w:t>
      </w:r>
      <w:r w:rsidRPr="006B3B2C">
        <w:rPr>
          <w:rFonts w:cs="Miriam" w:hint="eastAsia"/>
          <w:b/>
          <w:spacing w:val="0"/>
          <w:szCs w:val="24"/>
          <w:rtl/>
        </w:rPr>
        <w:t>גניס</w:t>
      </w:r>
      <w:r w:rsidRPr="006B3B2C">
        <w:rPr>
          <w:rFonts w:cs="Miriam"/>
          <w:b/>
          <w:spacing w:val="0"/>
          <w:szCs w:val="24"/>
          <w:rtl/>
        </w:rPr>
        <w:t xml:space="preserve"> </w:t>
      </w:r>
      <w:r w:rsidRPr="006B3B2C">
        <w:rPr>
          <w:rFonts w:cs="Miriam" w:hint="eastAsia"/>
          <w:b/>
          <w:spacing w:val="0"/>
          <w:szCs w:val="24"/>
          <w:rtl/>
        </w:rPr>
        <w:t>נ</w:t>
      </w:r>
      <w:r w:rsidRPr="006B3B2C">
        <w:rPr>
          <w:rFonts w:cs="Miriam"/>
          <w:b/>
          <w:spacing w:val="0"/>
          <w:szCs w:val="24"/>
          <w:rtl/>
        </w:rPr>
        <w:t xml:space="preserve">' </w:t>
      </w:r>
      <w:r w:rsidRPr="006B3B2C">
        <w:rPr>
          <w:rFonts w:cs="Miriam" w:hint="eastAsia"/>
          <w:b/>
          <w:spacing w:val="0"/>
          <w:szCs w:val="24"/>
          <w:rtl/>
        </w:rPr>
        <w:t>משרד</w:t>
      </w:r>
      <w:r w:rsidRPr="006B3B2C">
        <w:rPr>
          <w:rFonts w:cs="Miriam"/>
          <w:b/>
          <w:spacing w:val="0"/>
          <w:szCs w:val="24"/>
          <w:rtl/>
        </w:rPr>
        <w:t xml:space="preserve"> </w:t>
      </w:r>
      <w:r w:rsidRPr="006B3B2C">
        <w:rPr>
          <w:rFonts w:cs="Miriam" w:hint="eastAsia"/>
          <w:b/>
          <w:spacing w:val="0"/>
          <w:szCs w:val="24"/>
          <w:rtl/>
        </w:rPr>
        <w:t>הבינוי</w:t>
      </w:r>
      <w:r w:rsidRPr="006B3B2C">
        <w:rPr>
          <w:rFonts w:cs="Miriam"/>
          <w:b/>
          <w:spacing w:val="0"/>
          <w:szCs w:val="24"/>
          <w:rtl/>
        </w:rPr>
        <w:t xml:space="preserve"> </w:t>
      </w:r>
      <w:r w:rsidRPr="006B3B2C">
        <w:rPr>
          <w:rFonts w:cs="Miriam" w:hint="eastAsia"/>
          <w:b/>
          <w:spacing w:val="0"/>
          <w:szCs w:val="24"/>
          <w:rtl/>
        </w:rPr>
        <w:t>והשיכון</w:t>
      </w:r>
      <w:r w:rsidRPr="006B3B2C">
        <w:rPr>
          <w:sz w:val="22"/>
          <w:rtl/>
        </w:rPr>
        <w:t xml:space="preserve">, </w:t>
      </w:r>
      <w:r w:rsidRPr="006B3B2C">
        <w:rPr>
          <w:rFonts w:hint="eastAsia"/>
          <w:sz w:val="22"/>
          <w:rtl/>
        </w:rPr>
        <w:t>פ</w:t>
      </w:r>
      <w:r w:rsidRPr="006B3B2C">
        <w:rPr>
          <w:sz w:val="22"/>
          <w:rtl/>
        </w:rPr>
        <w:t>"</w:t>
      </w:r>
      <w:r w:rsidRPr="006B3B2C">
        <w:rPr>
          <w:rFonts w:hint="eastAsia"/>
          <w:sz w:val="22"/>
          <w:rtl/>
        </w:rPr>
        <w:t>ד</w:t>
      </w:r>
      <w:r w:rsidRPr="006B3B2C">
        <w:rPr>
          <w:sz w:val="22"/>
          <w:rtl/>
        </w:rPr>
        <w:t xml:space="preserve"> </w:t>
      </w:r>
      <w:r w:rsidRPr="006B3B2C">
        <w:rPr>
          <w:rFonts w:hint="eastAsia"/>
          <w:sz w:val="22"/>
          <w:rtl/>
        </w:rPr>
        <w:t>נט</w:t>
      </w:r>
      <w:r w:rsidRPr="006B3B2C">
        <w:rPr>
          <w:sz w:val="22"/>
          <w:rtl/>
        </w:rPr>
        <w:t>(4) 241 (2004)</w:t>
      </w:r>
      <w:r w:rsidRPr="006B3B2C">
        <w:rPr>
          <w:rFonts w:hint="cs"/>
          <w:rtl/>
        </w:rPr>
        <w:t xml:space="preserve"> (להלן: </w:t>
      </w:r>
      <w:r w:rsidRPr="006B3B2C">
        <w:rPr>
          <w:rFonts w:cs="Miriam" w:hint="eastAsia"/>
          <w:b/>
          <w:spacing w:val="0"/>
          <w:szCs w:val="24"/>
          <w:rtl/>
        </w:rPr>
        <w:t>עניין</w:t>
      </w:r>
      <w:r w:rsidRPr="006B3B2C">
        <w:rPr>
          <w:rFonts w:cs="Miriam"/>
          <w:b/>
          <w:spacing w:val="0"/>
          <w:szCs w:val="24"/>
          <w:rtl/>
        </w:rPr>
        <w:t xml:space="preserve"> </w:t>
      </w:r>
      <w:r w:rsidRPr="006B3B2C">
        <w:rPr>
          <w:rFonts w:cs="Miriam" w:hint="eastAsia"/>
          <w:b/>
          <w:spacing w:val="0"/>
          <w:szCs w:val="24"/>
          <w:rtl/>
        </w:rPr>
        <w:t>גניס</w:t>
      </w:r>
      <w:r w:rsidRPr="006B3B2C">
        <w:rPr>
          <w:rFonts w:hint="cs"/>
          <w:rtl/>
        </w:rPr>
        <w:t>);</w:t>
      </w:r>
      <w:r w:rsidRPr="00B00F53">
        <w:rPr>
          <w:rFonts w:hint="cs"/>
          <w:rtl/>
        </w:rPr>
        <w:t xml:space="preserve"> </w:t>
      </w:r>
      <w:r w:rsidRPr="006B3B2C">
        <w:rPr>
          <w:rFonts w:hint="eastAsia"/>
          <w:rtl/>
        </w:rPr>
        <w:t>בג</w:t>
      </w:r>
      <w:r w:rsidRPr="006B3B2C">
        <w:rPr>
          <w:rtl/>
        </w:rPr>
        <w:t>"</w:t>
      </w:r>
      <w:r w:rsidRPr="006B3B2C">
        <w:rPr>
          <w:rFonts w:hint="eastAsia"/>
          <w:rtl/>
        </w:rPr>
        <w:t>ץ</w:t>
      </w:r>
      <w:r w:rsidRPr="006B3B2C">
        <w:rPr>
          <w:rtl/>
        </w:rPr>
        <w:t xml:space="preserve"> 781/15 </w:t>
      </w:r>
      <w:r w:rsidRPr="006B3B2C">
        <w:rPr>
          <w:rFonts w:cs="Miriam" w:hint="eastAsia"/>
          <w:b/>
          <w:spacing w:val="0"/>
          <w:sz w:val="22"/>
          <w:szCs w:val="24"/>
          <w:rtl/>
        </w:rPr>
        <w:t>ארד</w:t>
      </w:r>
      <w:r w:rsidRPr="006B3B2C">
        <w:rPr>
          <w:rFonts w:cs="Miriam"/>
          <w:b/>
          <w:spacing w:val="0"/>
          <w:sz w:val="22"/>
          <w:szCs w:val="24"/>
          <w:rtl/>
        </w:rPr>
        <w:t>-</w:t>
      </w:r>
      <w:r w:rsidRPr="006B3B2C">
        <w:rPr>
          <w:rFonts w:cs="Miriam" w:hint="eastAsia"/>
          <w:b/>
          <w:spacing w:val="0"/>
          <w:sz w:val="22"/>
          <w:szCs w:val="24"/>
          <w:rtl/>
        </w:rPr>
        <w:t>פנקס</w:t>
      </w:r>
      <w:r w:rsidRPr="006B3B2C">
        <w:rPr>
          <w:rFonts w:cs="Miriam"/>
          <w:b/>
          <w:spacing w:val="0"/>
          <w:sz w:val="22"/>
          <w:szCs w:val="24"/>
          <w:rtl/>
        </w:rPr>
        <w:t xml:space="preserve"> </w:t>
      </w:r>
      <w:r w:rsidRPr="006B3B2C">
        <w:rPr>
          <w:rFonts w:cs="Miriam" w:hint="eastAsia"/>
          <w:b/>
          <w:spacing w:val="0"/>
          <w:sz w:val="22"/>
          <w:szCs w:val="24"/>
          <w:rtl/>
        </w:rPr>
        <w:t>נ</w:t>
      </w:r>
      <w:r w:rsidRPr="006B3B2C">
        <w:rPr>
          <w:rFonts w:cs="Miriam"/>
          <w:b/>
          <w:spacing w:val="0"/>
          <w:sz w:val="22"/>
          <w:szCs w:val="24"/>
          <w:rtl/>
        </w:rPr>
        <w:t xml:space="preserve">' </w:t>
      </w:r>
      <w:r w:rsidRPr="006B3B2C">
        <w:rPr>
          <w:rFonts w:cs="Miriam" w:hint="eastAsia"/>
          <w:b/>
          <w:spacing w:val="0"/>
          <w:sz w:val="22"/>
          <w:szCs w:val="24"/>
          <w:rtl/>
        </w:rPr>
        <w:t>הוועדה</w:t>
      </w:r>
      <w:r w:rsidRPr="006B3B2C">
        <w:rPr>
          <w:rFonts w:cs="Miriam"/>
          <w:b/>
          <w:spacing w:val="0"/>
          <w:sz w:val="22"/>
          <w:szCs w:val="24"/>
          <w:rtl/>
        </w:rPr>
        <w:t xml:space="preserve"> </w:t>
      </w:r>
      <w:r w:rsidRPr="006B3B2C">
        <w:rPr>
          <w:rFonts w:cs="Miriam" w:hint="eastAsia"/>
          <w:b/>
          <w:spacing w:val="0"/>
          <w:sz w:val="22"/>
          <w:szCs w:val="24"/>
          <w:rtl/>
        </w:rPr>
        <w:t>לאישור</w:t>
      </w:r>
      <w:r w:rsidRPr="006B3B2C">
        <w:rPr>
          <w:rFonts w:cs="Miriam"/>
          <w:b/>
          <w:spacing w:val="0"/>
          <w:sz w:val="22"/>
          <w:szCs w:val="24"/>
          <w:rtl/>
        </w:rPr>
        <w:t xml:space="preserve"> </w:t>
      </w:r>
      <w:r w:rsidRPr="006B3B2C">
        <w:rPr>
          <w:rFonts w:cs="Miriam" w:hint="eastAsia"/>
          <w:b/>
          <w:spacing w:val="0"/>
          <w:sz w:val="22"/>
          <w:szCs w:val="24"/>
          <w:rtl/>
        </w:rPr>
        <w:t>הסכמים</w:t>
      </w:r>
      <w:r w:rsidRPr="006B3B2C">
        <w:rPr>
          <w:rFonts w:cs="Miriam"/>
          <w:b/>
          <w:spacing w:val="0"/>
          <w:sz w:val="22"/>
          <w:szCs w:val="24"/>
          <w:rtl/>
        </w:rPr>
        <w:t xml:space="preserve"> </w:t>
      </w:r>
      <w:r w:rsidRPr="006B3B2C">
        <w:rPr>
          <w:rFonts w:cs="Miriam" w:hint="eastAsia"/>
          <w:b/>
          <w:spacing w:val="0"/>
          <w:sz w:val="22"/>
          <w:szCs w:val="24"/>
          <w:rtl/>
        </w:rPr>
        <w:t>לנשיאת</w:t>
      </w:r>
      <w:r w:rsidRPr="006B3B2C">
        <w:rPr>
          <w:rFonts w:cs="Miriam"/>
          <w:b/>
          <w:spacing w:val="0"/>
          <w:sz w:val="22"/>
          <w:szCs w:val="24"/>
          <w:rtl/>
        </w:rPr>
        <w:t xml:space="preserve"> </w:t>
      </w:r>
      <w:r w:rsidRPr="006B3B2C">
        <w:rPr>
          <w:rFonts w:cs="Miriam" w:hint="eastAsia"/>
          <w:b/>
          <w:spacing w:val="0"/>
          <w:sz w:val="22"/>
          <w:szCs w:val="24"/>
          <w:rtl/>
        </w:rPr>
        <w:t>עוברים</w:t>
      </w:r>
      <w:r w:rsidRPr="006B3B2C">
        <w:rPr>
          <w:rFonts w:cs="Miriam"/>
          <w:b/>
          <w:spacing w:val="0"/>
          <w:sz w:val="22"/>
          <w:szCs w:val="24"/>
          <w:rtl/>
        </w:rPr>
        <w:t xml:space="preserve"> </w:t>
      </w:r>
      <w:r w:rsidRPr="006B3B2C">
        <w:rPr>
          <w:rFonts w:cs="Miriam" w:hint="eastAsia"/>
          <w:b/>
          <w:spacing w:val="0"/>
          <w:sz w:val="22"/>
          <w:szCs w:val="24"/>
          <w:rtl/>
        </w:rPr>
        <w:t>על</w:t>
      </w:r>
      <w:r w:rsidRPr="006B3B2C">
        <w:rPr>
          <w:rFonts w:cs="Miriam"/>
          <w:b/>
          <w:spacing w:val="0"/>
          <w:sz w:val="22"/>
          <w:szCs w:val="24"/>
          <w:rtl/>
        </w:rPr>
        <w:t xml:space="preserve"> </w:t>
      </w:r>
      <w:r w:rsidRPr="006B3B2C">
        <w:rPr>
          <w:rFonts w:cs="Miriam" w:hint="eastAsia"/>
          <w:b/>
          <w:spacing w:val="0"/>
          <w:sz w:val="22"/>
          <w:szCs w:val="24"/>
          <w:rtl/>
        </w:rPr>
        <w:t>פי</w:t>
      </w:r>
      <w:r w:rsidRPr="006B3B2C">
        <w:rPr>
          <w:rFonts w:cs="Miriam"/>
          <w:b/>
          <w:spacing w:val="0"/>
          <w:sz w:val="22"/>
          <w:szCs w:val="24"/>
          <w:rtl/>
        </w:rPr>
        <w:t xml:space="preserve"> </w:t>
      </w:r>
      <w:r w:rsidRPr="006B3B2C">
        <w:rPr>
          <w:rFonts w:cs="Miriam" w:hint="eastAsia"/>
          <w:b/>
          <w:spacing w:val="0"/>
          <w:sz w:val="22"/>
          <w:szCs w:val="24"/>
          <w:rtl/>
        </w:rPr>
        <w:t>חוק</w:t>
      </w:r>
      <w:r w:rsidRPr="006B3B2C">
        <w:rPr>
          <w:rFonts w:cs="Miriam"/>
          <w:b/>
          <w:spacing w:val="0"/>
          <w:sz w:val="22"/>
          <w:szCs w:val="24"/>
          <w:rtl/>
        </w:rPr>
        <w:t xml:space="preserve"> </w:t>
      </w:r>
      <w:r w:rsidRPr="006B3B2C">
        <w:rPr>
          <w:rFonts w:cs="Miriam" w:hint="eastAsia"/>
          <w:b/>
          <w:spacing w:val="0"/>
          <w:sz w:val="22"/>
          <w:szCs w:val="24"/>
          <w:rtl/>
        </w:rPr>
        <w:t>הסכמים</w:t>
      </w:r>
      <w:r w:rsidRPr="006B3B2C">
        <w:rPr>
          <w:rFonts w:cs="Miriam"/>
          <w:b/>
          <w:spacing w:val="0"/>
          <w:sz w:val="22"/>
          <w:szCs w:val="24"/>
          <w:rtl/>
        </w:rPr>
        <w:t xml:space="preserve"> </w:t>
      </w:r>
      <w:r w:rsidRPr="006B3B2C">
        <w:rPr>
          <w:rFonts w:cs="Miriam" w:hint="eastAsia"/>
          <w:b/>
          <w:spacing w:val="0"/>
          <w:sz w:val="22"/>
          <w:szCs w:val="24"/>
          <w:rtl/>
        </w:rPr>
        <w:t>לנשיאת</w:t>
      </w:r>
      <w:r w:rsidRPr="006B3B2C">
        <w:rPr>
          <w:rFonts w:cs="Miriam"/>
          <w:b/>
          <w:spacing w:val="0"/>
          <w:sz w:val="22"/>
          <w:szCs w:val="24"/>
          <w:rtl/>
        </w:rPr>
        <w:t xml:space="preserve"> </w:t>
      </w:r>
      <w:r w:rsidRPr="006B3B2C">
        <w:rPr>
          <w:rFonts w:cs="Miriam" w:hint="eastAsia"/>
          <w:b/>
          <w:spacing w:val="0"/>
          <w:sz w:val="22"/>
          <w:szCs w:val="24"/>
          <w:rtl/>
        </w:rPr>
        <w:t>עוברים</w:t>
      </w:r>
      <w:r w:rsidRPr="006B3B2C">
        <w:rPr>
          <w:rFonts w:cs="Miriam"/>
          <w:b/>
          <w:spacing w:val="0"/>
          <w:sz w:val="22"/>
          <w:szCs w:val="24"/>
          <w:rtl/>
        </w:rPr>
        <w:t xml:space="preserve"> (</w:t>
      </w:r>
      <w:r w:rsidRPr="006B3B2C">
        <w:rPr>
          <w:rFonts w:cs="Miriam" w:hint="eastAsia"/>
          <w:b/>
          <w:spacing w:val="0"/>
          <w:sz w:val="22"/>
          <w:szCs w:val="24"/>
          <w:rtl/>
        </w:rPr>
        <w:t>אישור</w:t>
      </w:r>
      <w:r w:rsidRPr="006B3B2C">
        <w:rPr>
          <w:rFonts w:cs="Miriam"/>
          <w:b/>
          <w:spacing w:val="0"/>
          <w:sz w:val="22"/>
          <w:szCs w:val="24"/>
          <w:rtl/>
        </w:rPr>
        <w:t xml:space="preserve"> </w:t>
      </w:r>
      <w:r w:rsidRPr="006B3B2C">
        <w:rPr>
          <w:rFonts w:cs="Miriam" w:hint="eastAsia"/>
          <w:b/>
          <w:spacing w:val="0"/>
          <w:sz w:val="22"/>
          <w:szCs w:val="24"/>
          <w:rtl/>
        </w:rPr>
        <w:t>הסכם</w:t>
      </w:r>
      <w:r w:rsidRPr="006B3B2C">
        <w:rPr>
          <w:rFonts w:cs="Miriam"/>
          <w:b/>
          <w:spacing w:val="0"/>
          <w:sz w:val="22"/>
          <w:szCs w:val="24"/>
          <w:rtl/>
        </w:rPr>
        <w:t xml:space="preserve"> </w:t>
      </w:r>
      <w:r w:rsidRPr="006B3B2C">
        <w:rPr>
          <w:rFonts w:cs="Miriam" w:hint="eastAsia"/>
          <w:b/>
          <w:spacing w:val="0"/>
          <w:sz w:val="22"/>
          <w:szCs w:val="24"/>
          <w:rtl/>
        </w:rPr>
        <w:t>ומעמד</w:t>
      </w:r>
      <w:r w:rsidRPr="006B3B2C">
        <w:rPr>
          <w:rFonts w:cs="Miriam"/>
          <w:b/>
          <w:spacing w:val="0"/>
          <w:sz w:val="22"/>
          <w:szCs w:val="24"/>
          <w:rtl/>
        </w:rPr>
        <w:t xml:space="preserve"> </w:t>
      </w:r>
      <w:r w:rsidRPr="006B3B2C">
        <w:rPr>
          <w:rFonts w:cs="Miriam" w:hint="eastAsia"/>
          <w:b/>
          <w:spacing w:val="0"/>
          <w:sz w:val="22"/>
          <w:szCs w:val="24"/>
          <w:rtl/>
        </w:rPr>
        <w:t>הילוד</w:t>
      </w:r>
      <w:r w:rsidRPr="006B3B2C">
        <w:rPr>
          <w:rFonts w:cs="Miriam"/>
          <w:b/>
          <w:spacing w:val="0"/>
          <w:sz w:val="22"/>
          <w:szCs w:val="24"/>
          <w:rtl/>
        </w:rPr>
        <w:t>)</w:t>
      </w:r>
      <w:r w:rsidRPr="006B3B2C">
        <w:rPr>
          <w:rtl/>
        </w:rPr>
        <w:t xml:space="preserve">, </w:t>
      </w:r>
      <w:r w:rsidRPr="00415FA9">
        <w:rPr>
          <w:rFonts w:cs="Miriam" w:hint="eastAsia"/>
          <w:b/>
          <w:spacing w:val="0"/>
          <w:sz w:val="22"/>
          <w:szCs w:val="24"/>
          <w:rtl/>
        </w:rPr>
        <w:t>התשנ</w:t>
      </w:r>
      <w:r w:rsidRPr="00415FA9">
        <w:rPr>
          <w:rFonts w:cs="Miriam"/>
          <w:b/>
          <w:spacing w:val="0"/>
          <w:sz w:val="22"/>
          <w:szCs w:val="24"/>
          <w:rtl/>
        </w:rPr>
        <w:t>"</w:t>
      </w:r>
      <w:r w:rsidRPr="00415FA9">
        <w:rPr>
          <w:rFonts w:cs="Miriam" w:hint="eastAsia"/>
          <w:b/>
          <w:spacing w:val="0"/>
          <w:sz w:val="22"/>
          <w:szCs w:val="24"/>
          <w:rtl/>
        </w:rPr>
        <w:t>ו</w:t>
      </w:r>
      <w:r w:rsidRPr="00415FA9">
        <w:rPr>
          <w:rFonts w:cs="Miriam"/>
          <w:b/>
          <w:spacing w:val="0"/>
          <w:sz w:val="22"/>
          <w:szCs w:val="24"/>
          <w:rtl/>
        </w:rPr>
        <w:t>-1996</w:t>
      </w:r>
      <w:r w:rsidRPr="006B3B2C">
        <w:rPr>
          <w:rtl/>
        </w:rPr>
        <w:t xml:space="preserve">, </w:t>
      </w:r>
      <w:r w:rsidRPr="006B3B2C">
        <w:rPr>
          <w:rFonts w:hint="eastAsia"/>
          <w:rtl/>
        </w:rPr>
        <w:t>פסקה</w:t>
      </w:r>
      <w:r w:rsidRPr="006B3B2C">
        <w:rPr>
          <w:rtl/>
        </w:rPr>
        <w:t xml:space="preserve"> 21 </w:t>
      </w:r>
      <w:r w:rsidRPr="006B3B2C">
        <w:rPr>
          <w:rFonts w:hint="eastAsia"/>
          <w:rtl/>
        </w:rPr>
        <w:t>לפסק</w:t>
      </w:r>
      <w:r w:rsidRPr="006B3B2C">
        <w:rPr>
          <w:rtl/>
        </w:rPr>
        <w:t xml:space="preserve"> </w:t>
      </w:r>
      <w:r w:rsidRPr="006B3B2C">
        <w:rPr>
          <w:rFonts w:hint="eastAsia"/>
          <w:rtl/>
        </w:rPr>
        <w:t>דיני</w:t>
      </w:r>
      <w:r w:rsidRPr="006B3B2C">
        <w:rPr>
          <w:rtl/>
        </w:rPr>
        <w:t xml:space="preserve"> (27.2.2020)</w:t>
      </w:r>
      <w:r w:rsidRPr="006B3B2C">
        <w:rPr>
          <w:rFonts w:hint="cs"/>
          <w:rtl/>
        </w:rPr>
        <w:t xml:space="preserve"> (להלן: </w:t>
      </w:r>
      <w:r w:rsidRPr="006B3B2C">
        <w:rPr>
          <w:rFonts w:cs="Miriam" w:hint="cs"/>
          <w:b/>
          <w:spacing w:val="0"/>
          <w:sz w:val="22"/>
          <w:szCs w:val="24"/>
          <w:rtl/>
        </w:rPr>
        <w:t>עניין ארד-פנקס</w:t>
      </w:r>
      <w:r w:rsidRPr="006B3B2C">
        <w:rPr>
          <w:rFonts w:hint="cs"/>
          <w:rtl/>
        </w:rPr>
        <w:t>)). כלל</w:t>
      </w:r>
      <w:r>
        <w:rPr>
          <w:rFonts w:hint="cs"/>
          <w:rtl/>
        </w:rPr>
        <w:t xml:space="preserve"> זה</w:t>
      </w:r>
      <w:r w:rsidRPr="00B00F53">
        <w:rPr>
          <w:rtl/>
        </w:rPr>
        <w:t xml:space="preserve"> </w:t>
      </w:r>
      <w:r w:rsidRPr="00B00F53">
        <w:rPr>
          <w:rFonts w:hint="cs"/>
          <w:rtl/>
        </w:rPr>
        <w:t>באשר לעדיפות השימוש בכלים פרשניים על פני הידרשות לתוקפו של חוק</w:t>
      </w:r>
      <w:r>
        <w:rPr>
          <w:rFonts w:hint="cs"/>
          <w:rtl/>
        </w:rPr>
        <w:t>, שנקבע</w:t>
      </w:r>
      <w:r w:rsidRPr="00B00F53">
        <w:rPr>
          <w:rtl/>
        </w:rPr>
        <w:t xml:space="preserve"> </w:t>
      </w:r>
      <w:r>
        <w:rPr>
          <w:rFonts w:hint="cs"/>
          <w:rtl/>
        </w:rPr>
        <w:t xml:space="preserve">תחילה </w:t>
      </w:r>
      <w:r w:rsidRPr="00B00F53">
        <w:rPr>
          <w:rFonts w:hint="eastAsia"/>
          <w:rtl/>
        </w:rPr>
        <w:t>לעניין</w:t>
      </w:r>
      <w:r w:rsidRPr="00B00F53">
        <w:rPr>
          <w:rtl/>
        </w:rPr>
        <w:t xml:space="preserve"> </w:t>
      </w:r>
      <w:r w:rsidRPr="00B00F53">
        <w:rPr>
          <w:rFonts w:hint="eastAsia"/>
          <w:rtl/>
        </w:rPr>
        <w:t>פרשנות</w:t>
      </w:r>
      <w:r w:rsidRPr="00B00F53">
        <w:rPr>
          <w:rtl/>
        </w:rPr>
        <w:t xml:space="preserve"> </w:t>
      </w:r>
      <w:r w:rsidRPr="00B00F53">
        <w:rPr>
          <w:rFonts w:hint="eastAsia"/>
          <w:rtl/>
        </w:rPr>
        <w:t>חקיקה</w:t>
      </w:r>
      <w:r w:rsidRPr="00B00F53">
        <w:rPr>
          <w:rtl/>
        </w:rPr>
        <w:t xml:space="preserve"> </w:t>
      </w:r>
      <w:r w:rsidRPr="00B00F53">
        <w:rPr>
          <w:rFonts w:hint="eastAsia"/>
          <w:rtl/>
        </w:rPr>
        <w:t>ראשית</w:t>
      </w:r>
      <w:r>
        <w:rPr>
          <w:rFonts w:hint="cs"/>
          <w:rtl/>
        </w:rPr>
        <w:t xml:space="preserve"> </w:t>
      </w:r>
      <w:r>
        <w:rPr>
          <w:rtl/>
        </w:rPr>
        <w:t>–</w:t>
      </w:r>
      <w:r>
        <w:rPr>
          <w:rFonts w:hint="cs"/>
          <w:rtl/>
        </w:rPr>
        <w:t xml:space="preserve"> יפה</w:t>
      </w:r>
      <w:r w:rsidRPr="00B00F53">
        <w:rPr>
          <w:rFonts w:hint="cs"/>
          <w:rtl/>
        </w:rPr>
        <w:t xml:space="preserve">, </w:t>
      </w:r>
      <w:r>
        <w:rPr>
          <w:rFonts w:hint="cs"/>
          <w:rtl/>
        </w:rPr>
        <w:t xml:space="preserve">על אחת וכמה, </w:t>
      </w:r>
      <w:r w:rsidRPr="00B00F53">
        <w:rPr>
          <w:rFonts w:hint="eastAsia"/>
          <w:rtl/>
        </w:rPr>
        <w:t>ביחס</w:t>
      </w:r>
      <w:r w:rsidRPr="00B00F53">
        <w:rPr>
          <w:rtl/>
        </w:rPr>
        <w:t xml:space="preserve"> </w:t>
      </w:r>
      <w:r w:rsidRPr="00B00F53">
        <w:rPr>
          <w:rFonts w:hint="eastAsia"/>
          <w:rtl/>
        </w:rPr>
        <w:t>לפרשנותם</w:t>
      </w:r>
      <w:r w:rsidRPr="00B00F53">
        <w:rPr>
          <w:rtl/>
        </w:rPr>
        <w:t xml:space="preserve"> </w:t>
      </w:r>
      <w:r w:rsidRPr="00B00F53">
        <w:rPr>
          <w:rFonts w:hint="eastAsia"/>
          <w:rtl/>
        </w:rPr>
        <w:t>של</w:t>
      </w:r>
      <w:r w:rsidRPr="00B00F53">
        <w:rPr>
          <w:rtl/>
        </w:rPr>
        <w:t xml:space="preserve"> </w:t>
      </w:r>
      <w:r w:rsidRPr="00B00F53">
        <w:rPr>
          <w:rFonts w:hint="eastAsia"/>
          <w:rtl/>
        </w:rPr>
        <w:t>חוקי</w:t>
      </w:r>
      <w:r w:rsidRPr="00B00F53">
        <w:rPr>
          <w:rtl/>
        </w:rPr>
        <w:t xml:space="preserve"> </w:t>
      </w:r>
      <w:r w:rsidRPr="00B00F53">
        <w:rPr>
          <w:rFonts w:hint="eastAsia"/>
          <w:rtl/>
        </w:rPr>
        <w:t>היסוד</w:t>
      </w:r>
      <w:r w:rsidRPr="005005F8">
        <w:rPr>
          <w:rFonts w:hint="cs"/>
          <w:sz w:val="28"/>
          <w:shd w:val="clear" w:color="auto" w:fill="FFFFFF"/>
          <w:rtl/>
        </w:rPr>
        <w:t xml:space="preserve"> </w:t>
      </w:r>
      <w:r w:rsidRPr="005005F8">
        <w:rPr>
          <w:sz w:val="28"/>
          <w:shd w:val="clear" w:color="auto" w:fill="FFFFFF"/>
          <w:rtl/>
        </w:rPr>
        <w:t>(</w:t>
      </w:r>
      <w:r w:rsidRPr="005005F8">
        <w:rPr>
          <w:rFonts w:hint="cs"/>
          <w:sz w:val="28"/>
          <w:shd w:val="clear" w:color="auto" w:fill="FFFFFF"/>
          <w:rtl/>
        </w:rPr>
        <w:t xml:space="preserve">עניין </w:t>
      </w:r>
      <w:r w:rsidRPr="005005F8">
        <w:rPr>
          <w:rFonts w:cs="Miriam" w:hint="cs"/>
          <w:b/>
          <w:spacing w:val="0"/>
          <w:szCs w:val="24"/>
          <w:rtl/>
        </w:rPr>
        <w:t>חסון</w:t>
      </w:r>
      <w:r w:rsidRPr="005005F8">
        <w:rPr>
          <w:rFonts w:hint="cs"/>
          <w:sz w:val="28"/>
          <w:shd w:val="clear" w:color="auto" w:fill="FFFFFF"/>
          <w:rtl/>
        </w:rPr>
        <w:t>, בפסקה 59 לחוות דעתי</w:t>
      </w:r>
      <w:r>
        <w:rPr>
          <w:rFonts w:hint="cs"/>
          <w:sz w:val="28"/>
          <w:shd w:val="clear" w:color="auto" w:fill="FFFFFF"/>
          <w:rtl/>
        </w:rPr>
        <w:t>)</w:t>
      </w:r>
      <w:r w:rsidRPr="005005F8">
        <w:rPr>
          <w:rFonts w:hint="cs"/>
          <w:sz w:val="22"/>
          <w:rtl/>
        </w:rPr>
        <w:t>.</w:t>
      </w:r>
      <w:r w:rsidRPr="00B00F53">
        <w:rPr>
          <w:rFonts w:hint="cs"/>
          <w:rtl/>
        </w:rPr>
        <w:t xml:space="preserve"> </w:t>
      </w:r>
    </w:p>
    <w:p w:rsidR="00C044AE" w:rsidRPr="005005F8" w:rsidRDefault="00C044AE" w:rsidP="00C044AE">
      <w:pPr>
        <w:pStyle w:val="Ruller41"/>
        <w:rPr>
          <w:rtl/>
        </w:rPr>
      </w:pPr>
    </w:p>
    <w:p w:rsidR="00C044AE" w:rsidRPr="00B00F53" w:rsidRDefault="00C044AE" w:rsidP="004272F4">
      <w:pPr>
        <w:pStyle w:val="Ruller4"/>
        <w:spacing w:after="240"/>
        <w:rPr>
          <w:rtl/>
        </w:rPr>
      </w:pPr>
      <w:r w:rsidRPr="00B00F53">
        <w:rPr>
          <w:rFonts w:hint="cs"/>
          <w:rtl/>
        </w:rPr>
        <w:t xml:space="preserve">ואולם, </w:t>
      </w:r>
      <w:r>
        <w:rPr>
          <w:rFonts w:hint="cs"/>
          <w:rtl/>
        </w:rPr>
        <w:t>מלאכת הפרשנות, ו</w:t>
      </w:r>
      <w:r w:rsidRPr="00B00F53">
        <w:rPr>
          <w:rFonts w:hint="cs"/>
          <w:rtl/>
        </w:rPr>
        <w:t>הפרשנות החוקתית</w:t>
      </w:r>
      <w:r>
        <w:rPr>
          <w:rFonts w:hint="cs"/>
          <w:rtl/>
        </w:rPr>
        <w:t xml:space="preserve"> בפרט</w:t>
      </w:r>
      <w:r w:rsidRPr="00B00F53">
        <w:rPr>
          <w:rFonts w:hint="cs"/>
          <w:rtl/>
        </w:rPr>
        <w:t xml:space="preserve">, </w:t>
      </w:r>
      <w:r>
        <w:rPr>
          <w:rFonts w:hint="cs"/>
          <w:rtl/>
        </w:rPr>
        <w:t>צריכה עיגון</w:t>
      </w:r>
      <w:r w:rsidRPr="00B00F53">
        <w:rPr>
          <w:rFonts w:hint="cs"/>
          <w:rtl/>
        </w:rPr>
        <w:t xml:space="preserve"> בלשון הטקסט </w:t>
      </w:r>
      <w:r>
        <w:rPr>
          <w:rFonts w:hint="cs"/>
          <w:rtl/>
        </w:rPr>
        <w:t>והיא נלמדת בראש ובראשונה</w:t>
      </w:r>
      <w:r w:rsidRPr="00B00F53">
        <w:rPr>
          <w:rFonts w:hint="cs"/>
          <w:rtl/>
        </w:rPr>
        <w:t xml:space="preserve"> מתוכו (אהרן ברק </w:t>
      </w:r>
      <w:r w:rsidRPr="00B00F53">
        <w:rPr>
          <w:rFonts w:cs="Miriam" w:hint="cs"/>
          <w:b/>
          <w:spacing w:val="0"/>
          <w:szCs w:val="24"/>
          <w:rtl/>
        </w:rPr>
        <w:t xml:space="preserve">פרשנות במשפט </w:t>
      </w:r>
      <w:r w:rsidRPr="00B00F53">
        <w:rPr>
          <w:rFonts w:cs="Miriam"/>
          <w:b/>
          <w:spacing w:val="0"/>
          <w:szCs w:val="24"/>
          <w:rtl/>
        </w:rPr>
        <w:t>–</w:t>
      </w:r>
      <w:r w:rsidRPr="00B00F53">
        <w:rPr>
          <w:rFonts w:cs="Miriam" w:hint="cs"/>
          <w:b/>
          <w:spacing w:val="0"/>
          <w:szCs w:val="24"/>
          <w:rtl/>
        </w:rPr>
        <w:t xml:space="preserve"> פרשנות חוקתית</w:t>
      </w:r>
      <w:r w:rsidRPr="00B00F53">
        <w:rPr>
          <w:rFonts w:hint="cs"/>
          <w:rtl/>
        </w:rPr>
        <w:t xml:space="preserve"> 135 (1994); אהרן ברק "פרשנותם של חוקי-יסוד" </w:t>
      </w:r>
      <w:r w:rsidRPr="00B00F53">
        <w:rPr>
          <w:rFonts w:cs="Miriam" w:hint="cs"/>
          <w:b/>
          <w:spacing w:val="0"/>
          <w:szCs w:val="24"/>
          <w:rtl/>
        </w:rPr>
        <w:t>משפטים</w:t>
      </w:r>
      <w:r w:rsidRPr="00B00F53">
        <w:rPr>
          <w:rFonts w:hint="cs"/>
          <w:rtl/>
        </w:rPr>
        <w:t xml:space="preserve"> כב </w:t>
      </w:r>
      <w:r>
        <w:rPr>
          <w:rFonts w:hint="cs"/>
          <w:rtl/>
        </w:rPr>
        <w:t>31</w:t>
      </w:r>
      <w:r w:rsidRPr="00B00F53">
        <w:rPr>
          <w:rFonts w:hint="cs"/>
          <w:rtl/>
        </w:rPr>
        <w:t xml:space="preserve">, 35-34 (1992)). בהקשר זה </w:t>
      </w:r>
      <w:r>
        <w:rPr>
          <w:rFonts w:hint="cs"/>
          <w:rtl/>
        </w:rPr>
        <w:t>כבר נפסק</w:t>
      </w:r>
      <w:r w:rsidRPr="00B00F53">
        <w:rPr>
          <w:rFonts w:hint="cs"/>
          <w:rtl/>
        </w:rPr>
        <w:t xml:space="preserve"> כי:</w:t>
      </w:r>
    </w:p>
    <w:p w:rsidR="00C044AE" w:rsidRPr="00B00F53" w:rsidRDefault="00C044AE" w:rsidP="00C044AE">
      <w:pPr>
        <w:pStyle w:val="Ruller5"/>
        <w:spacing w:before="120" w:after="120"/>
        <w:rPr>
          <w:rFonts w:ascii="Garamond" w:hAnsi="Garamond"/>
          <w:rtl/>
        </w:rPr>
      </w:pPr>
      <w:r w:rsidRPr="00B00F53">
        <w:rPr>
          <w:rFonts w:ascii="Garamond" w:hAnsi="Garamond" w:hint="cs"/>
          <w:rtl/>
        </w:rPr>
        <w:t>"</w:t>
      </w:r>
      <w:r w:rsidRPr="00B00F53">
        <w:rPr>
          <w:rFonts w:ascii="Garamond" w:hAnsi="Garamond" w:hint="eastAsia"/>
          <w:rtl/>
        </w:rPr>
        <w:t>הטעמים</w:t>
      </w:r>
      <w:r w:rsidRPr="00B00F53">
        <w:rPr>
          <w:rFonts w:ascii="Garamond" w:hAnsi="Garamond"/>
          <w:rtl/>
        </w:rPr>
        <w:t xml:space="preserve"> </w:t>
      </w:r>
      <w:r w:rsidRPr="00B00F53">
        <w:rPr>
          <w:rFonts w:ascii="Garamond" w:hAnsi="Garamond" w:hint="eastAsia"/>
          <w:rtl/>
        </w:rPr>
        <w:t>החוקתיים</w:t>
      </w:r>
      <w:r w:rsidRPr="00B00F53">
        <w:rPr>
          <w:rFonts w:ascii="Garamond" w:hAnsi="Garamond"/>
          <w:rtl/>
        </w:rPr>
        <w:t xml:space="preserve"> </w:t>
      </w:r>
      <w:r w:rsidRPr="00B00F53">
        <w:rPr>
          <w:rFonts w:ascii="Garamond" w:hAnsi="Garamond" w:hint="eastAsia"/>
          <w:rtl/>
        </w:rPr>
        <w:t>המגבילים</w:t>
      </w:r>
      <w:r w:rsidRPr="00B00F53">
        <w:rPr>
          <w:rFonts w:ascii="Garamond" w:hAnsi="Garamond"/>
          <w:rtl/>
        </w:rPr>
        <w:t xml:space="preserve"> </w:t>
      </w:r>
      <w:r w:rsidRPr="00B00F53">
        <w:rPr>
          <w:rFonts w:ascii="Garamond" w:hAnsi="Garamond" w:hint="eastAsia"/>
          <w:rtl/>
        </w:rPr>
        <w:t>את</w:t>
      </w:r>
      <w:r w:rsidRPr="00B00F53">
        <w:rPr>
          <w:rFonts w:ascii="Garamond" w:hAnsi="Garamond"/>
          <w:rtl/>
        </w:rPr>
        <w:t xml:space="preserve"> </w:t>
      </w:r>
      <w:r w:rsidRPr="00B00F53">
        <w:rPr>
          <w:rFonts w:ascii="Garamond" w:hAnsi="Garamond" w:hint="eastAsia"/>
          <w:rtl/>
        </w:rPr>
        <w:t>כוחו</w:t>
      </w:r>
      <w:r w:rsidRPr="00B00F53">
        <w:rPr>
          <w:rFonts w:ascii="Garamond" w:hAnsi="Garamond"/>
          <w:rtl/>
        </w:rPr>
        <w:t xml:space="preserve"> </w:t>
      </w:r>
      <w:r w:rsidRPr="00B00F53">
        <w:rPr>
          <w:rFonts w:ascii="Garamond" w:hAnsi="Garamond" w:hint="eastAsia"/>
          <w:rtl/>
        </w:rPr>
        <w:t>של</w:t>
      </w:r>
      <w:r w:rsidRPr="00B00F53">
        <w:rPr>
          <w:rFonts w:ascii="Garamond" w:hAnsi="Garamond"/>
          <w:rtl/>
        </w:rPr>
        <w:t xml:space="preserve"> </w:t>
      </w:r>
      <w:r w:rsidRPr="00B00F53">
        <w:rPr>
          <w:rFonts w:ascii="Garamond" w:hAnsi="Garamond" w:hint="eastAsia"/>
          <w:rtl/>
        </w:rPr>
        <w:t>שופט</w:t>
      </w:r>
      <w:r w:rsidRPr="00B00F53">
        <w:rPr>
          <w:rFonts w:ascii="Garamond" w:hAnsi="Garamond"/>
          <w:rtl/>
        </w:rPr>
        <w:t xml:space="preserve"> </w:t>
      </w:r>
      <w:r w:rsidRPr="00B00F53">
        <w:rPr>
          <w:rFonts w:ascii="Garamond" w:hAnsi="Garamond" w:hint="eastAsia"/>
          <w:rtl/>
        </w:rPr>
        <w:t>כפרשן</w:t>
      </w:r>
      <w:r w:rsidRPr="00B00F53">
        <w:rPr>
          <w:rFonts w:ascii="Garamond" w:hAnsi="Garamond"/>
          <w:rtl/>
        </w:rPr>
        <w:t xml:space="preserve"> </w:t>
      </w:r>
      <w:r w:rsidRPr="00B00F53">
        <w:rPr>
          <w:rFonts w:ascii="Garamond" w:hAnsi="Garamond" w:hint="eastAsia"/>
          <w:rtl/>
        </w:rPr>
        <w:t>פועלים</w:t>
      </w:r>
      <w:r w:rsidRPr="00B00F53">
        <w:rPr>
          <w:rFonts w:ascii="Garamond" w:hAnsi="Garamond"/>
          <w:rtl/>
        </w:rPr>
        <w:t xml:space="preserve"> </w:t>
      </w:r>
      <w:r w:rsidRPr="00B00F53">
        <w:rPr>
          <w:rFonts w:ascii="Garamond" w:hAnsi="Garamond" w:hint="eastAsia"/>
          <w:rtl/>
        </w:rPr>
        <w:t>במלוא</w:t>
      </w:r>
      <w:r w:rsidRPr="00B00F53">
        <w:rPr>
          <w:rFonts w:ascii="Garamond" w:hAnsi="Garamond"/>
          <w:rtl/>
        </w:rPr>
        <w:t xml:space="preserve"> </w:t>
      </w:r>
      <w:r w:rsidRPr="00B00F53">
        <w:rPr>
          <w:rFonts w:ascii="Garamond" w:hAnsi="Garamond" w:hint="eastAsia"/>
          <w:rtl/>
        </w:rPr>
        <w:t>עוצמתם</w:t>
      </w:r>
      <w:r w:rsidRPr="00B00F53">
        <w:rPr>
          <w:rFonts w:ascii="Garamond" w:hAnsi="Garamond"/>
          <w:rtl/>
        </w:rPr>
        <w:t xml:space="preserve"> </w:t>
      </w:r>
      <w:r w:rsidRPr="00B00F53">
        <w:rPr>
          <w:rFonts w:ascii="Garamond" w:hAnsi="Garamond" w:hint="eastAsia"/>
          <w:rtl/>
        </w:rPr>
        <w:t>כאשר</w:t>
      </w:r>
      <w:r w:rsidRPr="00B00F53">
        <w:rPr>
          <w:rFonts w:ascii="Garamond" w:hAnsi="Garamond"/>
          <w:rtl/>
        </w:rPr>
        <w:t xml:space="preserve"> </w:t>
      </w:r>
      <w:r w:rsidRPr="00B00F53">
        <w:rPr>
          <w:rFonts w:ascii="Garamond" w:hAnsi="Garamond" w:hint="eastAsia"/>
          <w:rtl/>
        </w:rPr>
        <w:t>השופט</w:t>
      </w:r>
      <w:r w:rsidRPr="00B00F53">
        <w:rPr>
          <w:rFonts w:ascii="Garamond" w:hAnsi="Garamond"/>
          <w:rtl/>
        </w:rPr>
        <w:t xml:space="preserve"> </w:t>
      </w:r>
      <w:r w:rsidRPr="00B00F53">
        <w:rPr>
          <w:rFonts w:ascii="Garamond" w:hAnsi="Garamond" w:hint="eastAsia"/>
          <w:rtl/>
        </w:rPr>
        <w:t>מפרש</w:t>
      </w:r>
      <w:r w:rsidRPr="00B00F53">
        <w:rPr>
          <w:rFonts w:ascii="Garamond" w:hAnsi="Garamond"/>
          <w:rtl/>
        </w:rPr>
        <w:t xml:space="preserve"> </w:t>
      </w:r>
      <w:r w:rsidRPr="00B00F53">
        <w:rPr>
          <w:rFonts w:ascii="Garamond" w:hAnsi="Garamond" w:hint="eastAsia"/>
          <w:rtl/>
        </w:rPr>
        <w:t>טקסט</w:t>
      </w:r>
      <w:r w:rsidRPr="00B00F53">
        <w:rPr>
          <w:rFonts w:ascii="Garamond" w:hAnsi="Garamond"/>
          <w:rtl/>
        </w:rPr>
        <w:t xml:space="preserve"> </w:t>
      </w:r>
      <w:r w:rsidRPr="00B00F53">
        <w:rPr>
          <w:rFonts w:ascii="Garamond" w:hAnsi="Garamond" w:hint="eastAsia"/>
          <w:rtl/>
        </w:rPr>
        <w:t>חוקתי</w:t>
      </w:r>
      <w:r w:rsidRPr="00B00F53">
        <w:rPr>
          <w:rFonts w:ascii="Garamond" w:hAnsi="Garamond"/>
          <w:rtl/>
        </w:rPr>
        <w:t xml:space="preserve">. </w:t>
      </w:r>
      <w:r w:rsidRPr="005005F8">
        <w:rPr>
          <w:rFonts w:ascii="Garamond" w:hAnsi="Garamond" w:hint="eastAsia"/>
          <w:rtl/>
        </w:rPr>
        <w:t>דווקא</w:t>
      </w:r>
      <w:r w:rsidRPr="005005F8">
        <w:rPr>
          <w:rFonts w:ascii="Garamond" w:hAnsi="Garamond"/>
          <w:rtl/>
        </w:rPr>
        <w:t xml:space="preserve"> </w:t>
      </w:r>
      <w:r w:rsidRPr="005005F8">
        <w:rPr>
          <w:rFonts w:ascii="Garamond" w:hAnsi="Garamond" w:hint="eastAsia"/>
          <w:rtl/>
        </w:rPr>
        <w:t>במצב</w:t>
      </w:r>
      <w:r w:rsidRPr="005005F8">
        <w:rPr>
          <w:rFonts w:ascii="Garamond" w:hAnsi="Garamond"/>
          <w:rtl/>
        </w:rPr>
        <w:t xml:space="preserve"> </w:t>
      </w:r>
      <w:r w:rsidRPr="005005F8">
        <w:rPr>
          <w:rFonts w:ascii="Garamond" w:hAnsi="Garamond" w:hint="eastAsia"/>
          <w:rtl/>
        </w:rPr>
        <w:t>דברים</w:t>
      </w:r>
      <w:r w:rsidRPr="005005F8">
        <w:rPr>
          <w:rFonts w:ascii="Garamond" w:hAnsi="Garamond"/>
          <w:rtl/>
        </w:rPr>
        <w:t xml:space="preserve"> </w:t>
      </w:r>
      <w:r w:rsidRPr="005005F8">
        <w:rPr>
          <w:rFonts w:ascii="Garamond" w:hAnsi="Garamond" w:hint="eastAsia"/>
          <w:rtl/>
        </w:rPr>
        <w:t>זה</w:t>
      </w:r>
      <w:r w:rsidRPr="005005F8">
        <w:rPr>
          <w:rFonts w:ascii="Garamond" w:hAnsi="Garamond"/>
          <w:rtl/>
        </w:rPr>
        <w:t xml:space="preserve"> </w:t>
      </w:r>
      <w:r w:rsidRPr="005005F8">
        <w:rPr>
          <w:rFonts w:ascii="Garamond" w:hAnsi="Garamond" w:hint="eastAsia"/>
          <w:rtl/>
        </w:rPr>
        <w:t>עליו</w:t>
      </w:r>
      <w:r w:rsidRPr="005005F8">
        <w:rPr>
          <w:rFonts w:ascii="Garamond" w:hAnsi="Garamond"/>
          <w:rtl/>
        </w:rPr>
        <w:t xml:space="preserve"> </w:t>
      </w:r>
      <w:r w:rsidRPr="005005F8">
        <w:rPr>
          <w:rFonts w:ascii="Garamond" w:hAnsi="Garamond" w:hint="eastAsia"/>
          <w:rtl/>
        </w:rPr>
        <w:t>לגלות</w:t>
      </w:r>
      <w:r w:rsidRPr="005005F8">
        <w:rPr>
          <w:rFonts w:ascii="Garamond" w:hAnsi="Garamond"/>
          <w:rtl/>
        </w:rPr>
        <w:t xml:space="preserve"> </w:t>
      </w:r>
      <w:r w:rsidRPr="005005F8">
        <w:rPr>
          <w:rFonts w:ascii="Garamond" w:hAnsi="Garamond" w:hint="eastAsia"/>
          <w:rtl/>
        </w:rPr>
        <w:t>זהירות</w:t>
      </w:r>
      <w:r w:rsidRPr="005005F8">
        <w:rPr>
          <w:rFonts w:ascii="Garamond" w:hAnsi="Garamond"/>
          <w:rtl/>
        </w:rPr>
        <w:t xml:space="preserve"> </w:t>
      </w:r>
      <w:r w:rsidRPr="005005F8">
        <w:rPr>
          <w:rFonts w:ascii="Garamond" w:hAnsi="Garamond" w:hint="eastAsia"/>
          <w:rtl/>
        </w:rPr>
        <w:t>מרובה</w:t>
      </w:r>
      <w:r w:rsidRPr="005005F8">
        <w:rPr>
          <w:rFonts w:ascii="Garamond" w:hAnsi="Garamond"/>
          <w:rtl/>
        </w:rPr>
        <w:t xml:space="preserve"> </w:t>
      </w:r>
      <w:r w:rsidRPr="005005F8">
        <w:rPr>
          <w:rFonts w:ascii="Garamond" w:hAnsi="Garamond" w:hint="eastAsia"/>
          <w:rtl/>
        </w:rPr>
        <w:t>שלא</w:t>
      </w:r>
      <w:r w:rsidRPr="005005F8">
        <w:rPr>
          <w:rFonts w:ascii="Garamond" w:hAnsi="Garamond"/>
          <w:rtl/>
        </w:rPr>
        <w:t xml:space="preserve"> </w:t>
      </w:r>
      <w:r w:rsidRPr="005005F8">
        <w:rPr>
          <w:rFonts w:ascii="Garamond" w:hAnsi="Garamond" w:hint="eastAsia"/>
          <w:rtl/>
        </w:rPr>
        <w:t>לחצות</w:t>
      </w:r>
      <w:r w:rsidRPr="005005F8">
        <w:rPr>
          <w:rFonts w:ascii="Garamond" w:hAnsi="Garamond"/>
          <w:rtl/>
        </w:rPr>
        <w:t xml:space="preserve"> </w:t>
      </w:r>
      <w:r w:rsidRPr="005005F8">
        <w:rPr>
          <w:rFonts w:ascii="Garamond" w:hAnsi="Garamond" w:hint="eastAsia"/>
          <w:rtl/>
        </w:rPr>
        <w:t>את</w:t>
      </w:r>
      <w:r w:rsidRPr="005005F8">
        <w:rPr>
          <w:rFonts w:ascii="Garamond" w:hAnsi="Garamond"/>
          <w:rtl/>
        </w:rPr>
        <w:t xml:space="preserve"> </w:t>
      </w:r>
      <w:r w:rsidRPr="005005F8">
        <w:rPr>
          <w:rFonts w:ascii="Garamond" w:hAnsi="Garamond" w:hint="eastAsia"/>
          <w:rtl/>
        </w:rPr>
        <w:t>גבול</w:t>
      </w:r>
      <w:r w:rsidRPr="005005F8">
        <w:rPr>
          <w:rFonts w:ascii="Garamond" w:hAnsi="Garamond"/>
          <w:rtl/>
        </w:rPr>
        <w:t xml:space="preserve"> </w:t>
      </w:r>
      <w:r w:rsidRPr="005005F8">
        <w:rPr>
          <w:rFonts w:ascii="Garamond" w:hAnsi="Garamond" w:hint="eastAsia"/>
          <w:rtl/>
        </w:rPr>
        <w:t>הלשון</w:t>
      </w:r>
      <w:r w:rsidRPr="005005F8">
        <w:rPr>
          <w:rFonts w:ascii="Garamond" w:hAnsi="Garamond"/>
          <w:rtl/>
        </w:rPr>
        <w:t xml:space="preserve"> </w:t>
      </w:r>
      <w:r w:rsidRPr="005005F8">
        <w:rPr>
          <w:rFonts w:ascii="Garamond" w:hAnsi="Garamond" w:hint="eastAsia"/>
          <w:rtl/>
        </w:rPr>
        <w:t>ושלא</w:t>
      </w:r>
      <w:r w:rsidRPr="005005F8">
        <w:rPr>
          <w:rFonts w:ascii="Garamond" w:hAnsi="Garamond"/>
          <w:rtl/>
        </w:rPr>
        <w:t xml:space="preserve"> </w:t>
      </w:r>
      <w:r w:rsidRPr="005005F8">
        <w:rPr>
          <w:rFonts w:ascii="Garamond" w:hAnsi="Garamond" w:hint="eastAsia"/>
          <w:rtl/>
        </w:rPr>
        <w:t>ליצור</w:t>
      </w:r>
      <w:r w:rsidRPr="005005F8">
        <w:rPr>
          <w:rFonts w:ascii="Garamond" w:hAnsi="Garamond"/>
          <w:rtl/>
        </w:rPr>
        <w:t xml:space="preserve"> </w:t>
      </w:r>
      <w:r w:rsidRPr="005005F8">
        <w:rPr>
          <w:rFonts w:ascii="Garamond" w:hAnsi="Garamond" w:hint="eastAsia"/>
          <w:rtl/>
        </w:rPr>
        <w:t>טקסט</w:t>
      </w:r>
      <w:r w:rsidRPr="005005F8">
        <w:rPr>
          <w:rFonts w:ascii="Garamond" w:hAnsi="Garamond"/>
          <w:rtl/>
        </w:rPr>
        <w:t xml:space="preserve"> </w:t>
      </w:r>
      <w:r w:rsidRPr="005005F8">
        <w:rPr>
          <w:rFonts w:ascii="Garamond" w:hAnsi="Garamond" w:hint="eastAsia"/>
          <w:rtl/>
        </w:rPr>
        <w:t>חוקתי</w:t>
      </w:r>
      <w:r w:rsidRPr="005005F8">
        <w:rPr>
          <w:rFonts w:ascii="Garamond" w:hAnsi="Garamond"/>
          <w:rtl/>
        </w:rPr>
        <w:t xml:space="preserve"> </w:t>
      </w:r>
      <w:r w:rsidRPr="005005F8">
        <w:rPr>
          <w:rFonts w:ascii="Garamond" w:hAnsi="Garamond" w:hint="eastAsia"/>
          <w:rtl/>
        </w:rPr>
        <w:t>חדש</w:t>
      </w:r>
      <w:r w:rsidRPr="00B00F53">
        <w:rPr>
          <w:rFonts w:ascii="Garamond" w:hAnsi="Garamond" w:hint="cs"/>
          <w:rtl/>
        </w:rPr>
        <w:t xml:space="preserve">" (בג"ץ </w:t>
      </w:r>
      <w:r w:rsidRPr="00B00F53">
        <w:rPr>
          <w:rFonts w:ascii="Garamond" w:hAnsi="Garamond"/>
          <w:rtl/>
        </w:rPr>
        <w:t>2257/04 </w:t>
      </w:r>
      <w:r w:rsidRPr="00B00F53">
        <w:rPr>
          <w:rFonts w:ascii="Garamond" w:hAnsi="Garamond" w:cs="Miriam"/>
          <w:b/>
          <w:spacing w:val="0"/>
          <w:szCs w:val="24"/>
          <w:rtl/>
        </w:rPr>
        <w:t>סיעת חד"ש – תע"ל נ' יושבת-ראש ועדת הבחירות המרכזית לכנסת ה-17</w:t>
      </w:r>
      <w:r w:rsidRPr="00B00F53">
        <w:rPr>
          <w:rFonts w:ascii="Garamond" w:hAnsi="Garamond" w:hint="cs"/>
          <w:rtl/>
        </w:rPr>
        <w:t xml:space="preserve">, פ"ד </w:t>
      </w:r>
      <w:r w:rsidRPr="00B00F53">
        <w:rPr>
          <w:rFonts w:ascii="Garamond" w:hAnsi="Garamond"/>
          <w:rtl/>
        </w:rPr>
        <w:t>נח(6) 685</w:t>
      </w:r>
      <w:r>
        <w:rPr>
          <w:rFonts w:ascii="Garamond" w:hAnsi="Garamond" w:hint="cs"/>
          <w:rtl/>
        </w:rPr>
        <w:t>, 710</w:t>
      </w:r>
      <w:r w:rsidRPr="00B00F53">
        <w:rPr>
          <w:rFonts w:ascii="Garamond" w:hAnsi="Garamond"/>
          <w:rtl/>
        </w:rPr>
        <w:t xml:space="preserve"> (2004)</w:t>
      </w:r>
      <w:r w:rsidRPr="00B00F53">
        <w:rPr>
          <w:rFonts w:ascii="Garamond" w:hAnsi="Garamond" w:hint="cs"/>
          <w:rtl/>
        </w:rPr>
        <w:t>).</w:t>
      </w:r>
    </w:p>
    <w:p w:rsidR="00C044AE" w:rsidRPr="00B00F53" w:rsidRDefault="00C044AE" w:rsidP="00C044AE">
      <w:pPr>
        <w:pStyle w:val="Ruller41"/>
        <w:rPr>
          <w:rFonts w:ascii="Garamond" w:hAnsi="Garamond"/>
          <w:rtl/>
        </w:rPr>
      </w:pPr>
    </w:p>
    <w:p w:rsidR="00C044AE" w:rsidRDefault="00C044AE" w:rsidP="00C044AE">
      <w:pPr>
        <w:pStyle w:val="Ruller4"/>
        <w:numPr>
          <w:ilvl w:val="0"/>
          <w:numId w:val="0"/>
        </w:numPr>
        <w:rPr>
          <w:rtl/>
        </w:rPr>
      </w:pPr>
      <w:r>
        <w:rPr>
          <w:rtl/>
        </w:rPr>
        <w:tab/>
      </w:r>
      <w:r w:rsidRPr="00B00F53">
        <w:rPr>
          <w:rFonts w:hint="cs"/>
          <w:rtl/>
        </w:rPr>
        <w:t>לשונו של הטקסט החוקתי היא</w:t>
      </w:r>
      <w:r>
        <w:rPr>
          <w:rFonts w:hint="cs"/>
          <w:rtl/>
        </w:rPr>
        <w:t>, אם כן,</w:t>
      </w:r>
      <w:r w:rsidRPr="00B00F53">
        <w:rPr>
          <w:rFonts w:hint="cs"/>
          <w:rtl/>
        </w:rPr>
        <w:t xml:space="preserve"> לעולם נקודת המוצא בבואנו לפרש את הוראותיו. היסוד הלשוני, אף שאינו הרכיב היחיד בפרשנות, הוא </w:t>
      </w:r>
      <w:r w:rsidRPr="00B00F53">
        <w:rPr>
          <w:rFonts w:hint="eastAsia"/>
          <w:rtl/>
        </w:rPr>
        <w:t>המבחין</w:t>
      </w:r>
      <w:r w:rsidRPr="00B00F53">
        <w:rPr>
          <w:rtl/>
        </w:rPr>
        <w:t xml:space="preserve"> </w:t>
      </w:r>
      <w:r w:rsidRPr="00B00F53">
        <w:rPr>
          <w:rFonts w:hint="eastAsia"/>
          <w:rtl/>
        </w:rPr>
        <w:t>בין</w:t>
      </w:r>
      <w:r w:rsidRPr="00B00F53">
        <w:rPr>
          <w:rtl/>
        </w:rPr>
        <w:t xml:space="preserve"> "</w:t>
      </w:r>
      <w:r w:rsidRPr="00B00F53">
        <w:rPr>
          <w:rFonts w:hint="eastAsia"/>
          <w:rtl/>
        </w:rPr>
        <w:t>כתיבתה</w:t>
      </w:r>
      <w:r w:rsidRPr="00B00F53">
        <w:rPr>
          <w:rtl/>
        </w:rPr>
        <w:t xml:space="preserve"> </w:t>
      </w:r>
      <w:r w:rsidRPr="00B00F53">
        <w:rPr>
          <w:rFonts w:hint="eastAsia"/>
          <w:rtl/>
        </w:rPr>
        <w:t>של</w:t>
      </w:r>
      <w:r w:rsidRPr="00B00F53">
        <w:rPr>
          <w:rtl/>
        </w:rPr>
        <w:t xml:space="preserve"> </w:t>
      </w:r>
      <w:r w:rsidRPr="00B00F53">
        <w:rPr>
          <w:rFonts w:hint="eastAsia"/>
          <w:rtl/>
        </w:rPr>
        <w:t>יצירה</w:t>
      </w:r>
      <w:r w:rsidRPr="00B00F53">
        <w:rPr>
          <w:rtl/>
        </w:rPr>
        <w:t xml:space="preserve"> </w:t>
      </w:r>
      <w:r w:rsidRPr="00B00F53">
        <w:rPr>
          <w:rFonts w:hint="eastAsia"/>
          <w:rtl/>
        </w:rPr>
        <w:t>חדשה</w:t>
      </w:r>
      <w:r w:rsidRPr="00B00F53">
        <w:rPr>
          <w:rtl/>
        </w:rPr>
        <w:t xml:space="preserve"> </w:t>
      </w:r>
      <w:r w:rsidRPr="00B00F53">
        <w:rPr>
          <w:rFonts w:hint="eastAsia"/>
          <w:rtl/>
        </w:rPr>
        <w:t>לבין</w:t>
      </w:r>
      <w:r w:rsidRPr="00B00F53">
        <w:rPr>
          <w:rtl/>
        </w:rPr>
        <w:t xml:space="preserve"> </w:t>
      </w:r>
      <w:r w:rsidRPr="00B00F53">
        <w:rPr>
          <w:rFonts w:hint="eastAsia"/>
          <w:rtl/>
        </w:rPr>
        <w:t>פירושה</w:t>
      </w:r>
      <w:r w:rsidRPr="00B00F53">
        <w:rPr>
          <w:rtl/>
        </w:rPr>
        <w:t xml:space="preserve"> </w:t>
      </w:r>
      <w:r w:rsidRPr="00B00F53">
        <w:rPr>
          <w:rFonts w:hint="eastAsia"/>
          <w:rtl/>
        </w:rPr>
        <w:t>של</w:t>
      </w:r>
      <w:r w:rsidRPr="00B00F53">
        <w:rPr>
          <w:rtl/>
        </w:rPr>
        <w:t xml:space="preserve"> </w:t>
      </w:r>
      <w:r w:rsidRPr="00B00F53">
        <w:rPr>
          <w:rFonts w:hint="eastAsia"/>
          <w:rtl/>
        </w:rPr>
        <w:t>יצירה</w:t>
      </w:r>
      <w:r w:rsidRPr="00B00F53">
        <w:rPr>
          <w:rtl/>
        </w:rPr>
        <w:t xml:space="preserve"> </w:t>
      </w:r>
      <w:r w:rsidRPr="00B00F53">
        <w:rPr>
          <w:rFonts w:hint="eastAsia"/>
          <w:rtl/>
        </w:rPr>
        <w:t>קיימת</w:t>
      </w:r>
      <w:r w:rsidRPr="00B00F53">
        <w:rPr>
          <w:rtl/>
        </w:rPr>
        <w:t>" (</w:t>
      </w:r>
      <w:r w:rsidRPr="00B00F53">
        <w:rPr>
          <w:rFonts w:hint="cs"/>
          <w:rtl/>
        </w:rPr>
        <w:t xml:space="preserve">אהרן ברק "פרשנות ושפיטה: יסודות לתורת פרשנות ישראלית" </w:t>
      </w:r>
      <w:r w:rsidRPr="00B00F53">
        <w:rPr>
          <w:rFonts w:cs="Miriam" w:hint="cs"/>
          <w:b/>
          <w:spacing w:val="0"/>
          <w:sz w:val="22"/>
          <w:szCs w:val="24"/>
          <w:rtl/>
        </w:rPr>
        <w:t xml:space="preserve">מבחר כתבים </w:t>
      </w:r>
      <w:r w:rsidRPr="00415FA9">
        <w:rPr>
          <w:rFonts w:hint="eastAsia"/>
          <w:rtl/>
        </w:rPr>
        <w:t>כרך</w:t>
      </w:r>
      <w:r w:rsidRPr="00415FA9">
        <w:rPr>
          <w:rtl/>
        </w:rPr>
        <w:t xml:space="preserve"> </w:t>
      </w:r>
      <w:r w:rsidRPr="00415FA9">
        <w:rPr>
          <w:rFonts w:hint="eastAsia"/>
          <w:rtl/>
        </w:rPr>
        <w:t>א</w:t>
      </w:r>
      <w:r w:rsidRPr="00B00F53">
        <w:rPr>
          <w:rFonts w:hint="cs"/>
          <w:rtl/>
        </w:rPr>
        <w:t xml:space="preserve"> 121, 138 (</w:t>
      </w:r>
      <w:r>
        <w:rPr>
          <w:rFonts w:hint="cs"/>
          <w:rtl/>
        </w:rPr>
        <w:t>ה</w:t>
      </w:r>
      <w:r w:rsidRPr="00B00F53">
        <w:rPr>
          <w:rFonts w:hint="cs"/>
          <w:rtl/>
        </w:rPr>
        <w:t>תש"ס); ראו גם:</w:t>
      </w:r>
      <w:r w:rsidRPr="00B00F53">
        <w:rPr>
          <w:rtl/>
        </w:rPr>
        <w:t xml:space="preserve"> </w:t>
      </w:r>
      <w:r w:rsidRPr="00B00F53">
        <w:rPr>
          <w:rFonts w:hint="eastAsia"/>
          <w:rtl/>
        </w:rPr>
        <w:t>ע</w:t>
      </w:r>
      <w:r w:rsidRPr="00B00F53">
        <w:rPr>
          <w:rtl/>
        </w:rPr>
        <w:t>"</w:t>
      </w:r>
      <w:r w:rsidRPr="00B00F53">
        <w:rPr>
          <w:rFonts w:hint="eastAsia"/>
          <w:rtl/>
        </w:rPr>
        <w:t>א</w:t>
      </w:r>
      <w:r w:rsidRPr="00B00F53">
        <w:rPr>
          <w:rtl/>
        </w:rPr>
        <w:t xml:space="preserve"> </w:t>
      </w:r>
      <w:r w:rsidRPr="00B00F53">
        <w:rPr>
          <w:rtl/>
        </w:rPr>
        <w:lastRenderedPageBreak/>
        <w:t xml:space="preserve">8569/06 </w:t>
      </w:r>
      <w:r w:rsidRPr="00B00F53">
        <w:rPr>
          <w:rFonts w:cs="Miriam" w:hint="eastAsia"/>
          <w:b/>
          <w:spacing w:val="0"/>
          <w:sz w:val="22"/>
          <w:szCs w:val="24"/>
          <w:rtl/>
        </w:rPr>
        <w:t>מנהל</w:t>
      </w:r>
      <w:r w:rsidRPr="00B00F53">
        <w:rPr>
          <w:rFonts w:cs="Miriam"/>
          <w:b/>
          <w:spacing w:val="0"/>
          <w:sz w:val="22"/>
          <w:szCs w:val="24"/>
          <w:rtl/>
        </w:rPr>
        <w:t xml:space="preserve"> </w:t>
      </w:r>
      <w:r w:rsidRPr="00B00F53">
        <w:rPr>
          <w:rFonts w:cs="Miriam" w:hint="eastAsia"/>
          <w:b/>
          <w:spacing w:val="0"/>
          <w:sz w:val="22"/>
          <w:szCs w:val="24"/>
          <w:rtl/>
        </w:rPr>
        <w:t>מיסוי</w:t>
      </w:r>
      <w:r w:rsidRPr="00B00F53">
        <w:rPr>
          <w:rFonts w:cs="Miriam"/>
          <w:b/>
          <w:spacing w:val="0"/>
          <w:sz w:val="22"/>
          <w:szCs w:val="24"/>
          <w:rtl/>
        </w:rPr>
        <w:t xml:space="preserve"> </w:t>
      </w:r>
      <w:r w:rsidRPr="00B00F53">
        <w:rPr>
          <w:rFonts w:cs="Miriam" w:hint="eastAsia"/>
          <w:b/>
          <w:spacing w:val="0"/>
          <w:sz w:val="22"/>
          <w:szCs w:val="24"/>
          <w:rtl/>
        </w:rPr>
        <w:t>מקרקעין</w:t>
      </w:r>
      <w:r w:rsidRPr="00B00F53">
        <w:rPr>
          <w:rFonts w:cs="Miriam"/>
          <w:b/>
          <w:spacing w:val="0"/>
          <w:sz w:val="22"/>
          <w:szCs w:val="24"/>
          <w:rtl/>
        </w:rPr>
        <w:t xml:space="preserve">, </w:t>
      </w:r>
      <w:r w:rsidRPr="00B00F53">
        <w:rPr>
          <w:rFonts w:cs="Miriam" w:hint="eastAsia"/>
          <w:b/>
          <w:spacing w:val="0"/>
          <w:sz w:val="22"/>
          <w:szCs w:val="24"/>
          <w:rtl/>
        </w:rPr>
        <w:t>חיפה</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פוליטי</w:t>
      </w:r>
      <w:r w:rsidRPr="00B00F53">
        <w:rPr>
          <w:rtl/>
        </w:rPr>
        <w:t xml:space="preserve">, </w:t>
      </w:r>
      <w:r w:rsidRPr="00B00F53">
        <w:rPr>
          <w:rFonts w:hint="eastAsia"/>
          <w:rtl/>
        </w:rPr>
        <w:t>פ</w:t>
      </w:r>
      <w:r w:rsidRPr="00B00F53">
        <w:rPr>
          <w:rtl/>
        </w:rPr>
        <w:t>"</w:t>
      </w:r>
      <w:r w:rsidRPr="00B00F53">
        <w:rPr>
          <w:rFonts w:hint="eastAsia"/>
          <w:rtl/>
        </w:rPr>
        <w:t>ד</w:t>
      </w:r>
      <w:r w:rsidRPr="00B00F53">
        <w:rPr>
          <w:rtl/>
        </w:rPr>
        <w:t xml:space="preserve"> </w:t>
      </w:r>
      <w:r w:rsidRPr="00B00F53">
        <w:rPr>
          <w:rFonts w:hint="eastAsia"/>
          <w:rtl/>
        </w:rPr>
        <w:t>סב</w:t>
      </w:r>
      <w:r w:rsidRPr="00B00F53">
        <w:rPr>
          <w:rtl/>
        </w:rPr>
        <w:t>(4) 280, 307 (2008)</w:t>
      </w:r>
      <w:r>
        <w:rPr>
          <w:rFonts w:hint="cs"/>
          <w:rtl/>
        </w:rPr>
        <w:t xml:space="preserve"> (להלן: </w:t>
      </w:r>
      <w:r w:rsidRPr="00F01541">
        <w:rPr>
          <w:rFonts w:ascii="Century" w:hAnsi="Century" w:cs="Miriam" w:hint="cs"/>
          <w:b/>
          <w:spacing w:val="0"/>
          <w:sz w:val="22"/>
          <w:szCs w:val="24"/>
          <w:rtl/>
        </w:rPr>
        <w:t>עניין פוליטי</w:t>
      </w:r>
      <w:r>
        <w:rPr>
          <w:rFonts w:hint="cs"/>
          <w:rtl/>
        </w:rPr>
        <w:t>)</w:t>
      </w:r>
      <w:r w:rsidRPr="00B00F53">
        <w:rPr>
          <w:szCs w:val="22"/>
          <w:rtl/>
        </w:rPr>
        <w:t>;</w:t>
      </w:r>
      <w:r w:rsidRPr="00B00F53">
        <w:rPr>
          <w:rFonts w:hint="eastAsia"/>
          <w:rtl/>
        </w:rPr>
        <w:t xml:space="preserve"> דנ</w:t>
      </w:r>
      <w:r w:rsidRPr="00B00F53">
        <w:rPr>
          <w:rtl/>
        </w:rPr>
        <w:t>"</w:t>
      </w:r>
      <w:r w:rsidRPr="00B00F53">
        <w:rPr>
          <w:rFonts w:hint="eastAsia"/>
          <w:rtl/>
        </w:rPr>
        <w:t>א</w:t>
      </w:r>
      <w:r w:rsidRPr="00B00F53">
        <w:rPr>
          <w:rtl/>
        </w:rPr>
        <w:t xml:space="preserve"> 5783/14 </w:t>
      </w:r>
      <w:r w:rsidRPr="00B00F53">
        <w:rPr>
          <w:rFonts w:cs="Miriam" w:hint="eastAsia"/>
          <w:b/>
          <w:spacing w:val="0"/>
          <w:sz w:val="22"/>
          <w:szCs w:val="24"/>
          <w:rtl/>
        </w:rPr>
        <w:t>צמח</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אל</w:t>
      </w:r>
      <w:r w:rsidRPr="00B00F53">
        <w:rPr>
          <w:rFonts w:cs="Miriam"/>
          <w:b/>
          <w:spacing w:val="0"/>
          <w:sz w:val="22"/>
          <w:szCs w:val="24"/>
          <w:rtl/>
        </w:rPr>
        <w:t xml:space="preserve"> </w:t>
      </w:r>
      <w:r w:rsidRPr="00B00F53">
        <w:rPr>
          <w:rFonts w:cs="Miriam" w:hint="eastAsia"/>
          <w:b/>
          <w:spacing w:val="0"/>
          <w:sz w:val="22"/>
          <w:szCs w:val="24"/>
          <w:rtl/>
        </w:rPr>
        <w:t>על</w:t>
      </w:r>
      <w:r w:rsidRPr="00B00F53">
        <w:rPr>
          <w:rFonts w:cs="Miriam"/>
          <w:b/>
          <w:spacing w:val="0"/>
          <w:sz w:val="22"/>
          <w:szCs w:val="24"/>
          <w:rtl/>
        </w:rPr>
        <w:t xml:space="preserve"> </w:t>
      </w:r>
      <w:r w:rsidRPr="00B00F53">
        <w:rPr>
          <w:rFonts w:cs="Miriam" w:hint="eastAsia"/>
          <w:b/>
          <w:spacing w:val="0"/>
          <w:sz w:val="22"/>
          <w:szCs w:val="24"/>
          <w:rtl/>
        </w:rPr>
        <w:t>נתיבי</w:t>
      </w:r>
      <w:r w:rsidRPr="00B00F53">
        <w:rPr>
          <w:rFonts w:cs="Miriam"/>
          <w:b/>
          <w:spacing w:val="0"/>
          <w:sz w:val="22"/>
          <w:szCs w:val="24"/>
          <w:rtl/>
        </w:rPr>
        <w:t xml:space="preserve"> </w:t>
      </w:r>
      <w:r w:rsidRPr="00B00F53">
        <w:rPr>
          <w:rFonts w:cs="Miriam" w:hint="eastAsia"/>
          <w:b/>
          <w:spacing w:val="0"/>
          <w:sz w:val="22"/>
          <w:szCs w:val="24"/>
          <w:rtl/>
        </w:rPr>
        <w:t>אויר</w:t>
      </w:r>
      <w:r w:rsidRPr="00B00F53">
        <w:rPr>
          <w:rFonts w:cs="Miriam"/>
          <w:b/>
          <w:spacing w:val="0"/>
          <w:sz w:val="22"/>
          <w:szCs w:val="24"/>
          <w:rtl/>
        </w:rPr>
        <w:t xml:space="preserve"> </w:t>
      </w:r>
      <w:r w:rsidRPr="00B00F53">
        <w:rPr>
          <w:rFonts w:cs="Miriam" w:hint="eastAsia"/>
          <w:b/>
          <w:spacing w:val="0"/>
          <w:sz w:val="22"/>
          <w:szCs w:val="24"/>
          <w:rtl/>
        </w:rPr>
        <w:t>לישראל</w:t>
      </w:r>
      <w:r w:rsidRPr="00B00F53">
        <w:rPr>
          <w:rFonts w:cs="Miriam"/>
          <w:b/>
          <w:spacing w:val="0"/>
          <w:sz w:val="22"/>
          <w:szCs w:val="24"/>
          <w:rtl/>
        </w:rPr>
        <w:t xml:space="preserve"> </w:t>
      </w:r>
      <w:r w:rsidRPr="00B00F53">
        <w:rPr>
          <w:rFonts w:cs="Miriam" w:hint="eastAsia"/>
          <w:b/>
          <w:spacing w:val="0"/>
          <w:sz w:val="22"/>
          <w:szCs w:val="24"/>
          <w:rtl/>
        </w:rPr>
        <w:t>בע</w:t>
      </w:r>
      <w:r w:rsidRPr="00B00F53">
        <w:rPr>
          <w:rFonts w:cs="Miriam"/>
          <w:b/>
          <w:spacing w:val="0"/>
          <w:sz w:val="22"/>
          <w:szCs w:val="24"/>
          <w:rtl/>
        </w:rPr>
        <w:t>"</w:t>
      </w:r>
      <w:r w:rsidRPr="00B00F53">
        <w:rPr>
          <w:rFonts w:cs="Miriam" w:hint="eastAsia"/>
          <w:b/>
          <w:spacing w:val="0"/>
          <w:sz w:val="22"/>
          <w:szCs w:val="24"/>
          <w:rtl/>
        </w:rPr>
        <w:t>מ</w:t>
      </w:r>
      <w:r w:rsidRPr="00B00F53">
        <w:rPr>
          <w:rtl/>
        </w:rPr>
        <w:t xml:space="preserve">, </w:t>
      </w:r>
      <w:r w:rsidRPr="00B00F53">
        <w:rPr>
          <w:rFonts w:hint="eastAsia"/>
          <w:rtl/>
        </w:rPr>
        <w:t>פסקה</w:t>
      </w:r>
      <w:r w:rsidRPr="00B00F53">
        <w:rPr>
          <w:rtl/>
        </w:rPr>
        <w:t xml:space="preserve"> 52 (12.9.2017)</w:t>
      </w:r>
      <w:r w:rsidRPr="00B00F53">
        <w:rPr>
          <w:rFonts w:hint="cs"/>
          <w:rtl/>
        </w:rPr>
        <w:t xml:space="preserve">). </w:t>
      </w:r>
    </w:p>
    <w:p w:rsidR="00C044AE" w:rsidRDefault="00C044AE" w:rsidP="00C044AE">
      <w:pPr>
        <w:pStyle w:val="Ruller41"/>
        <w:rPr>
          <w:rtl/>
        </w:rPr>
      </w:pPr>
    </w:p>
    <w:p w:rsidR="00C044AE" w:rsidRPr="00B00F53" w:rsidRDefault="00C044AE" w:rsidP="00C044AE">
      <w:pPr>
        <w:pStyle w:val="Ruller4"/>
        <w:rPr>
          <w:color w:val="000000" w:themeColor="text1"/>
          <w:rtl/>
        </w:rPr>
      </w:pPr>
      <w:r>
        <w:rPr>
          <w:rFonts w:hint="cs"/>
          <w:rtl/>
        </w:rPr>
        <w:t xml:space="preserve">לא נעלם מעיניי הכלל הפרשני שנפסק בעניין הגבלת ביקורת שיפוטית </w:t>
      </w:r>
      <w:r>
        <w:rPr>
          <w:rtl/>
        </w:rPr>
        <w:t>–</w:t>
      </w:r>
      <w:r>
        <w:rPr>
          <w:rFonts w:hint="cs"/>
          <w:rtl/>
        </w:rPr>
        <w:t xml:space="preserve"> שבו עוסק התיקון בענייננו </w:t>
      </w:r>
      <w:r>
        <w:rPr>
          <w:rtl/>
        </w:rPr>
        <w:t>–</w:t>
      </w:r>
      <w:r>
        <w:rPr>
          <w:rFonts w:hint="cs"/>
          <w:rtl/>
        </w:rPr>
        <w:t xml:space="preserve"> ולפיו חזקה על המחוקק שלא ביקש לפגוע בסמכויות בית המשפט, ועל כן יש</w:t>
      </w:r>
      <w:r w:rsidRPr="00B00F53">
        <w:rPr>
          <w:rFonts w:hint="cs"/>
          <w:rtl/>
        </w:rPr>
        <w:t xml:space="preserve"> לפרש</w:t>
      </w:r>
      <w:r>
        <w:rPr>
          <w:rFonts w:hint="cs"/>
          <w:rtl/>
        </w:rPr>
        <w:t xml:space="preserve"> דבר חקיקה כזה </w:t>
      </w:r>
      <w:r w:rsidRPr="00B00F53">
        <w:rPr>
          <w:rFonts w:hint="cs"/>
          <w:rtl/>
        </w:rPr>
        <w:t>"על דרך ההקפדה והצמצום" (</w:t>
      </w:r>
      <w:r>
        <w:rPr>
          <w:rFonts w:hint="cs"/>
          <w:sz w:val="22"/>
          <w:rtl/>
        </w:rPr>
        <w:t>עניין</w:t>
      </w:r>
      <w:r w:rsidRPr="00B00F53">
        <w:rPr>
          <w:rFonts w:hint="cs"/>
          <w:sz w:val="22"/>
          <w:rtl/>
        </w:rPr>
        <w:t xml:space="preserve"> </w:t>
      </w:r>
      <w:r>
        <w:rPr>
          <w:rFonts w:cs="Miriam" w:hint="cs"/>
          <w:b/>
          <w:spacing w:val="0"/>
          <w:sz w:val="20"/>
          <w:szCs w:val="24"/>
          <w:rtl/>
        </w:rPr>
        <w:t>המוסד לביטוח לאומי</w:t>
      </w:r>
      <w:r w:rsidRPr="006544F8">
        <w:rPr>
          <w:rFonts w:ascii="Century" w:hAnsi="Century" w:hint="cs"/>
          <w:sz w:val="22"/>
          <w:rtl/>
        </w:rPr>
        <w:t>, בעמ'</w:t>
      </w:r>
      <w:r w:rsidRPr="00B00F53">
        <w:rPr>
          <w:rFonts w:hint="cs"/>
          <w:sz w:val="22"/>
          <w:rtl/>
        </w:rPr>
        <w:t xml:space="preserve"> 451</w:t>
      </w:r>
      <w:r w:rsidRPr="00B00F53">
        <w:rPr>
          <w:rFonts w:hint="cs"/>
          <w:rtl/>
        </w:rPr>
        <w:t xml:space="preserve">; בג"ץ 212/03 </w:t>
      </w:r>
      <w:r w:rsidRPr="00B00F53">
        <w:rPr>
          <w:rFonts w:cs="Miriam" w:hint="cs"/>
          <w:b/>
          <w:spacing w:val="0"/>
          <w:sz w:val="20"/>
          <w:szCs w:val="24"/>
          <w:rtl/>
        </w:rPr>
        <w:t>חרות התנועה הלאומית נ' יושב-ראש ועדת הבחירות המרכזית לכנסת השש-עשרה</w:t>
      </w:r>
      <w:r w:rsidRPr="00B00F53">
        <w:rPr>
          <w:rFonts w:hint="cs"/>
          <w:rtl/>
        </w:rPr>
        <w:t xml:space="preserve">, פ"ד נז(1) 750, 756 (2003) (להלן: </w:t>
      </w:r>
      <w:r w:rsidRPr="00B00F53">
        <w:rPr>
          <w:rFonts w:cs="Miriam" w:hint="cs"/>
          <w:b/>
          <w:spacing w:val="0"/>
          <w:sz w:val="20"/>
          <w:szCs w:val="24"/>
          <w:rtl/>
        </w:rPr>
        <w:t>עניין חרות</w:t>
      </w:r>
      <w:r w:rsidRPr="00B00F53">
        <w:rPr>
          <w:rFonts w:hint="cs"/>
          <w:rtl/>
        </w:rPr>
        <w:t xml:space="preserve">)). ואולם, </w:t>
      </w:r>
      <w:r>
        <w:rPr>
          <w:rFonts w:hint="cs"/>
          <w:rtl/>
        </w:rPr>
        <w:t>עוד</w:t>
      </w:r>
      <w:r w:rsidRPr="00B00F53">
        <w:rPr>
          <w:rFonts w:hint="cs"/>
          <w:rtl/>
        </w:rPr>
        <w:t xml:space="preserve"> נפסק </w:t>
      </w:r>
      <w:r>
        <w:rPr>
          <w:rFonts w:hint="cs"/>
          <w:rtl/>
        </w:rPr>
        <w:t xml:space="preserve">כי </w:t>
      </w:r>
      <w:r w:rsidRPr="00B00F53">
        <w:rPr>
          <w:rFonts w:hint="cs"/>
          <w:rtl/>
        </w:rPr>
        <w:t xml:space="preserve">אין מדובר בחזקה חלוטה והכלל האמור ניתן לסתירה </w:t>
      </w:r>
      <w:r>
        <w:rPr>
          <w:rFonts w:hint="cs"/>
          <w:rtl/>
        </w:rPr>
        <w:t>מקום שבו</w:t>
      </w:r>
      <w:r w:rsidRPr="00B00F53">
        <w:rPr>
          <w:rFonts w:hint="cs"/>
          <w:rtl/>
        </w:rPr>
        <w:t xml:space="preserve"> דבר החקיקה נוקט "בלשון </w:t>
      </w:r>
      <w:r w:rsidRPr="00B00F53">
        <w:rPr>
          <w:rFonts w:cs="Miriam" w:hint="cs"/>
          <w:b/>
          <w:spacing w:val="0"/>
          <w:sz w:val="20"/>
          <w:szCs w:val="24"/>
          <w:rtl/>
        </w:rPr>
        <w:t>מפורשת וחד-משמעית</w:t>
      </w:r>
      <w:r w:rsidRPr="00B00F53">
        <w:rPr>
          <w:rFonts w:hint="cs"/>
          <w:rtl/>
        </w:rPr>
        <w:t xml:space="preserve"> שאינה משאירה מקום לשום ספק" (</w:t>
      </w:r>
      <w:r w:rsidRPr="00535154">
        <w:rPr>
          <w:rtl/>
        </w:rPr>
        <w:t>בג"ץ 403</w:t>
      </w:r>
      <w:r>
        <w:rPr>
          <w:rFonts w:hint="cs"/>
          <w:rtl/>
        </w:rPr>
        <w:t>/</w:t>
      </w:r>
      <w:r w:rsidRPr="00535154">
        <w:rPr>
          <w:rtl/>
        </w:rPr>
        <w:t xml:space="preserve">71 </w:t>
      </w:r>
      <w:r w:rsidRPr="00535154">
        <w:rPr>
          <w:rFonts w:cs="Miriam"/>
          <w:b/>
          <w:spacing w:val="0"/>
          <w:sz w:val="20"/>
          <w:szCs w:val="24"/>
          <w:rtl/>
        </w:rPr>
        <w:t>אלכורדי נ' בית-הדין הארצי לעבודה</w:t>
      </w:r>
      <w:r w:rsidRPr="00535154">
        <w:rPr>
          <w:rtl/>
        </w:rPr>
        <w:t xml:space="preserve">, פ"ד כו(2) </w:t>
      </w:r>
      <w:r>
        <w:rPr>
          <w:rFonts w:hint="cs"/>
          <w:rtl/>
        </w:rPr>
        <w:t>66, 72 (1972); ההדגשה הוספה;</w:t>
      </w:r>
      <w:r w:rsidRPr="00535154">
        <w:rPr>
          <w:rFonts w:hint="cs"/>
          <w:rtl/>
        </w:rPr>
        <w:t xml:space="preserve"> </w:t>
      </w:r>
      <w:r>
        <w:rPr>
          <w:rFonts w:hint="cs"/>
          <w:rtl/>
        </w:rPr>
        <w:t xml:space="preserve">ראו גם: </w:t>
      </w:r>
      <w:r w:rsidRPr="00B00F53">
        <w:rPr>
          <w:rFonts w:hint="cs"/>
          <w:sz w:val="22"/>
          <w:rtl/>
        </w:rPr>
        <w:t>עניין</w:t>
      </w:r>
      <w:r w:rsidRPr="00B00F53">
        <w:rPr>
          <w:rFonts w:cs="Miriam" w:hint="cs"/>
          <w:b/>
          <w:spacing w:val="0"/>
          <w:sz w:val="20"/>
          <w:szCs w:val="24"/>
          <w:rtl/>
        </w:rPr>
        <w:t xml:space="preserve"> המוסד לביטוח לאומי</w:t>
      </w:r>
      <w:r w:rsidRPr="00B00F53">
        <w:rPr>
          <w:rFonts w:hint="cs"/>
          <w:rtl/>
        </w:rPr>
        <w:t xml:space="preserve">, בעמ' 451; </w:t>
      </w:r>
      <w:r w:rsidRPr="00B00F53">
        <w:rPr>
          <w:rFonts w:hint="eastAsia"/>
          <w:color w:val="000000" w:themeColor="text1"/>
          <w:rtl/>
        </w:rPr>
        <w:t>בג</w:t>
      </w:r>
      <w:r w:rsidRPr="00B00F53">
        <w:rPr>
          <w:rFonts w:hint="cs"/>
          <w:color w:val="000000" w:themeColor="text1"/>
          <w:rtl/>
        </w:rPr>
        <w:t>"</w:t>
      </w:r>
      <w:r w:rsidRPr="00B00F53">
        <w:rPr>
          <w:rFonts w:hint="eastAsia"/>
          <w:color w:val="000000" w:themeColor="text1"/>
          <w:rtl/>
        </w:rPr>
        <w:t>ץ</w:t>
      </w:r>
      <w:r w:rsidRPr="00B00F53">
        <w:rPr>
          <w:color w:val="000000" w:themeColor="text1"/>
          <w:rtl/>
        </w:rPr>
        <w:t xml:space="preserve"> 1260/19 ‏</w:t>
      </w:r>
      <w:r w:rsidRPr="00B00F53">
        <w:rPr>
          <w:rFonts w:cs="Miriam" w:hint="eastAsia"/>
          <w:b/>
          <w:spacing w:val="0"/>
          <w:sz w:val="22"/>
          <w:szCs w:val="24"/>
          <w:rtl/>
        </w:rPr>
        <w:t>קריימר</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נציב</w:t>
      </w:r>
      <w:r w:rsidRPr="00B00F53">
        <w:rPr>
          <w:rFonts w:cs="Miriam"/>
          <w:b/>
          <w:spacing w:val="0"/>
          <w:sz w:val="22"/>
          <w:szCs w:val="24"/>
          <w:rtl/>
        </w:rPr>
        <w:t xml:space="preserve"> </w:t>
      </w:r>
      <w:r w:rsidRPr="00B00F53">
        <w:rPr>
          <w:rFonts w:cs="Miriam" w:hint="eastAsia"/>
          <w:b/>
          <w:spacing w:val="0"/>
          <w:sz w:val="22"/>
          <w:szCs w:val="24"/>
          <w:rtl/>
        </w:rPr>
        <w:t>תלונות</w:t>
      </w:r>
      <w:r w:rsidRPr="00B00F53">
        <w:rPr>
          <w:rFonts w:cs="Miriam"/>
          <w:b/>
          <w:spacing w:val="0"/>
          <w:sz w:val="22"/>
          <w:szCs w:val="24"/>
          <w:rtl/>
        </w:rPr>
        <w:t xml:space="preserve"> </w:t>
      </w:r>
      <w:r w:rsidRPr="00B00F53">
        <w:rPr>
          <w:rFonts w:cs="Miriam" w:hint="eastAsia"/>
          <w:b/>
          <w:spacing w:val="0"/>
          <w:sz w:val="22"/>
          <w:szCs w:val="24"/>
          <w:rtl/>
        </w:rPr>
        <w:t>הציבור</w:t>
      </w:r>
      <w:r w:rsidRPr="00B00F53">
        <w:rPr>
          <w:rFonts w:cs="Miriam"/>
          <w:b/>
          <w:spacing w:val="0"/>
          <w:sz w:val="22"/>
          <w:szCs w:val="24"/>
          <w:rtl/>
        </w:rPr>
        <w:t xml:space="preserve"> </w:t>
      </w:r>
      <w:r w:rsidRPr="00B00F53">
        <w:rPr>
          <w:rFonts w:cs="Miriam" w:hint="eastAsia"/>
          <w:b/>
          <w:spacing w:val="0"/>
          <w:sz w:val="22"/>
          <w:szCs w:val="24"/>
          <w:rtl/>
        </w:rPr>
        <w:t>על</w:t>
      </w:r>
      <w:r w:rsidRPr="00B00F53">
        <w:rPr>
          <w:rFonts w:cs="Miriam"/>
          <w:b/>
          <w:spacing w:val="0"/>
          <w:sz w:val="22"/>
          <w:szCs w:val="24"/>
          <w:rtl/>
        </w:rPr>
        <w:t xml:space="preserve"> </w:t>
      </w:r>
      <w:r w:rsidRPr="00B00F53">
        <w:rPr>
          <w:rFonts w:cs="Miriam" w:hint="eastAsia"/>
          <w:b/>
          <w:spacing w:val="0"/>
          <w:sz w:val="22"/>
          <w:szCs w:val="24"/>
          <w:rtl/>
        </w:rPr>
        <w:t>מייצגי</w:t>
      </w:r>
      <w:r w:rsidRPr="00B00F53">
        <w:rPr>
          <w:rFonts w:cs="Miriam"/>
          <w:b/>
          <w:spacing w:val="0"/>
          <w:sz w:val="22"/>
          <w:szCs w:val="24"/>
          <w:rtl/>
        </w:rPr>
        <w:t xml:space="preserve"> </w:t>
      </w:r>
      <w:r w:rsidRPr="00B00F53">
        <w:rPr>
          <w:rFonts w:cs="Miriam" w:hint="eastAsia"/>
          <w:b/>
          <w:spacing w:val="0"/>
          <w:sz w:val="22"/>
          <w:szCs w:val="24"/>
          <w:rtl/>
        </w:rPr>
        <w:t>המדינה</w:t>
      </w:r>
      <w:r w:rsidRPr="00B00F53">
        <w:rPr>
          <w:rFonts w:cs="Miriam"/>
          <w:b/>
          <w:spacing w:val="0"/>
          <w:sz w:val="22"/>
          <w:szCs w:val="24"/>
          <w:rtl/>
        </w:rPr>
        <w:t xml:space="preserve"> </w:t>
      </w:r>
      <w:r w:rsidRPr="00B00F53">
        <w:rPr>
          <w:rFonts w:cs="Miriam" w:hint="eastAsia"/>
          <w:b/>
          <w:spacing w:val="0"/>
          <w:sz w:val="22"/>
          <w:szCs w:val="24"/>
          <w:rtl/>
        </w:rPr>
        <w:t>בערכאות</w:t>
      </w:r>
      <w:r w:rsidRPr="00B00F53">
        <w:rPr>
          <w:rFonts w:hint="cs"/>
          <w:color w:val="000000" w:themeColor="text1"/>
          <w:rtl/>
        </w:rPr>
        <w:t xml:space="preserve">, פסקה 11 (14.5.2020)). </w:t>
      </w:r>
    </w:p>
    <w:p w:rsidR="00C044AE" w:rsidRDefault="00C044AE" w:rsidP="00C044AE">
      <w:pPr>
        <w:pStyle w:val="Ruller4"/>
        <w:numPr>
          <w:ilvl w:val="0"/>
          <w:numId w:val="0"/>
        </w:numPr>
        <w:rPr>
          <w:rtl/>
        </w:rPr>
      </w:pPr>
    </w:p>
    <w:p w:rsidR="00C044AE" w:rsidRPr="007E207B" w:rsidRDefault="00C044AE" w:rsidP="00C044AE">
      <w:pPr>
        <w:pStyle w:val="Ruller4"/>
      </w:pPr>
      <w:r w:rsidRPr="00B00F53">
        <w:rPr>
          <w:rFonts w:hint="cs"/>
          <w:rtl/>
        </w:rPr>
        <w:t xml:space="preserve">לגישתי, לשונו הגורפת </w:t>
      </w:r>
      <w:r>
        <w:rPr>
          <w:rFonts w:hint="cs"/>
          <w:rtl/>
        </w:rPr>
        <w:t>והבלתי-מסויגת</w:t>
      </w:r>
      <w:r w:rsidRPr="00B00F53">
        <w:rPr>
          <w:rFonts w:hint="cs"/>
          <w:rtl/>
        </w:rPr>
        <w:t xml:space="preserve"> של התיקון</w:t>
      </w:r>
      <w:r>
        <w:rPr>
          <w:rFonts w:hint="cs"/>
          <w:rtl/>
        </w:rPr>
        <w:t xml:space="preserve"> היא אכן "מפורשת וחד-משמעית". היא נעדרת</w:t>
      </w:r>
      <w:r w:rsidRPr="00B00F53">
        <w:rPr>
          <w:rFonts w:hint="cs"/>
          <w:rtl/>
        </w:rPr>
        <w:t xml:space="preserve"> נקודת אחיזה לפרשנות המצמצמת </w:t>
      </w:r>
      <w:r>
        <w:rPr>
          <w:rFonts w:hint="cs"/>
          <w:rtl/>
        </w:rPr>
        <w:t>המוצעת, ואינה מותירה "מקום לשום ספק" באשר לתחולתו של התיקון</w:t>
      </w:r>
      <w:r w:rsidRPr="00B00F53">
        <w:rPr>
          <w:rFonts w:hint="cs"/>
          <w:rtl/>
        </w:rPr>
        <w:t xml:space="preserve"> </w:t>
      </w:r>
      <w:r>
        <w:rPr>
          <w:rFonts w:hint="cs"/>
          <w:rtl/>
        </w:rPr>
        <w:t>על עילת</w:t>
      </w:r>
      <w:r w:rsidRPr="00B00F53">
        <w:rPr>
          <w:rFonts w:hint="cs"/>
          <w:rtl/>
        </w:rPr>
        <w:t xml:space="preserve"> </w:t>
      </w:r>
      <w:r>
        <w:rPr>
          <w:rFonts w:hint="cs"/>
          <w:rtl/>
        </w:rPr>
        <w:t>הסבירות בכללותה</w:t>
      </w:r>
      <w:r w:rsidRPr="00B00F53">
        <w:rPr>
          <w:rFonts w:hint="cs"/>
          <w:rtl/>
        </w:rPr>
        <w:t xml:space="preserve">. </w:t>
      </w:r>
      <w:r>
        <w:rPr>
          <w:rFonts w:ascii="Century" w:hAnsi="Century" w:hint="cs"/>
          <w:sz w:val="22"/>
          <w:rtl/>
        </w:rPr>
        <w:t>בעיניי, אין בסעיף, על פי לשונו, עיגון כלשהו להבחנה</w:t>
      </w:r>
      <w:r>
        <w:rPr>
          <w:rFonts w:hint="cs"/>
          <w:rtl/>
        </w:rPr>
        <w:t xml:space="preserve"> המוצעת</w:t>
      </w:r>
      <w:r w:rsidRPr="00B00F53">
        <w:rPr>
          <w:rFonts w:hint="cs"/>
          <w:rtl/>
        </w:rPr>
        <w:t xml:space="preserve"> בין </w:t>
      </w:r>
      <w:r>
        <w:rPr>
          <w:rFonts w:hint="cs"/>
          <w:rtl/>
        </w:rPr>
        <w:t>מובנים שונים</w:t>
      </w:r>
      <w:r w:rsidRPr="00B00F53">
        <w:rPr>
          <w:rFonts w:hint="cs"/>
          <w:rtl/>
        </w:rPr>
        <w:t xml:space="preserve"> </w:t>
      </w:r>
      <w:r>
        <w:rPr>
          <w:rFonts w:hint="cs"/>
          <w:rtl/>
        </w:rPr>
        <w:t>של</w:t>
      </w:r>
      <w:r w:rsidRPr="00B00F53">
        <w:rPr>
          <w:rFonts w:hint="cs"/>
          <w:rtl/>
        </w:rPr>
        <w:t xml:space="preserve"> עיל</w:t>
      </w:r>
      <w:r>
        <w:rPr>
          <w:rFonts w:hint="cs"/>
          <w:rtl/>
        </w:rPr>
        <w:t>ת הסבירות כפי שהתפתחה</w:t>
      </w:r>
      <w:r w:rsidRPr="00B00F53">
        <w:rPr>
          <w:rFonts w:hint="cs"/>
          <w:rtl/>
        </w:rPr>
        <w:t xml:space="preserve"> </w:t>
      </w:r>
      <w:r>
        <w:rPr>
          <w:rFonts w:hint="cs"/>
          <w:rtl/>
        </w:rPr>
        <w:t>בפסיקה ו</w:t>
      </w:r>
      <w:r w:rsidRPr="00B00F53">
        <w:rPr>
          <w:rFonts w:hint="cs"/>
          <w:rtl/>
        </w:rPr>
        <w:t>בהקשר זה כבר נפסק בעניין אחר</w:t>
      </w:r>
      <w:r>
        <w:rPr>
          <w:rFonts w:hint="cs"/>
          <w:rtl/>
        </w:rPr>
        <w:t xml:space="preserve"> כי: </w:t>
      </w:r>
      <w:r w:rsidRPr="00B00F53">
        <w:rPr>
          <w:rtl/>
        </w:rPr>
        <w:t>"</w:t>
      </w:r>
      <w:r w:rsidRPr="00122E73">
        <w:rPr>
          <w:rFonts w:hint="eastAsia"/>
          <w:rtl/>
        </w:rPr>
        <w:t>השופט</w:t>
      </w:r>
      <w:r w:rsidRPr="00122E73">
        <w:rPr>
          <w:rtl/>
        </w:rPr>
        <w:t xml:space="preserve"> </w:t>
      </w:r>
      <w:r w:rsidRPr="00122E73">
        <w:rPr>
          <w:rFonts w:hint="eastAsia"/>
          <w:rtl/>
        </w:rPr>
        <w:t>מפרש</w:t>
      </w:r>
      <w:r w:rsidRPr="00122E73">
        <w:rPr>
          <w:rtl/>
        </w:rPr>
        <w:t xml:space="preserve"> </w:t>
      </w:r>
      <w:r w:rsidRPr="00122E73">
        <w:rPr>
          <w:rFonts w:hint="eastAsia"/>
          <w:rtl/>
        </w:rPr>
        <w:t>טקסט</w:t>
      </w:r>
      <w:r w:rsidRPr="00122E73">
        <w:rPr>
          <w:rtl/>
        </w:rPr>
        <w:t xml:space="preserve"> </w:t>
      </w:r>
      <w:r w:rsidRPr="00122E73">
        <w:rPr>
          <w:rFonts w:hint="eastAsia"/>
          <w:rtl/>
        </w:rPr>
        <w:t>שנוצר</w:t>
      </w:r>
      <w:r w:rsidRPr="00122E73">
        <w:rPr>
          <w:rtl/>
        </w:rPr>
        <w:t xml:space="preserve"> </w:t>
      </w:r>
      <w:r w:rsidRPr="00122E73">
        <w:rPr>
          <w:rFonts w:hint="eastAsia"/>
          <w:rtl/>
        </w:rPr>
        <w:t>על</w:t>
      </w:r>
      <w:r w:rsidRPr="00122E73">
        <w:rPr>
          <w:rtl/>
        </w:rPr>
        <w:t xml:space="preserve"> </w:t>
      </w:r>
      <w:r w:rsidRPr="00122E73">
        <w:rPr>
          <w:rFonts w:hint="eastAsia"/>
          <w:rtl/>
        </w:rPr>
        <w:t>ידי</w:t>
      </w:r>
      <w:r w:rsidRPr="00122E73">
        <w:rPr>
          <w:rtl/>
        </w:rPr>
        <w:t xml:space="preserve"> </w:t>
      </w:r>
      <w:r w:rsidRPr="00122E73">
        <w:rPr>
          <w:rFonts w:hint="eastAsia"/>
          <w:rtl/>
        </w:rPr>
        <w:t>המחוקק</w:t>
      </w:r>
      <w:r w:rsidRPr="00122E73">
        <w:rPr>
          <w:rtl/>
        </w:rPr>
        <w:t xml:space="preserve"> </w:t>
      </w:r>
      <w:r w:rsidRPr="00122E73">
        <w:rPr>
          <w:rFonts w:hint="eastAsia"/>
          <w:rtl/>
        </w:rPr>
        <w:t>וגם</w:t>
      </w:r>
      <w:r w:rsidRPr="00122E73">
        <w:rPr>
          <w:rtl/>
        </w:rPr>
        <w:t xml:space="preserve"> </w:t>
      </w:r>
      <w:r w:rsidRPr="00122E73">
        <w:rPr>
          <w:rFonts w:hint="eastAsia"/>
          <w:rtl/>
        </w:rPr>
        <w:t>הגשמת</w:t>
      </w:r>
      <w:r w:rsidRPr="00122E73">
        <w:rPr>
          <w:rtl/>
        </w:rPr>
        <w:t xml:space="preserve"> </w:t>
      </w:r>
      <w:r w:rsidRPr="00122E73">
        <w:rPr>
          <w:rFonts w:hint="eastAsia"/>
          <w:rtl/>
        </w:rPr>
        <w:t>מטרה</w:t>
      </w:r>
      <w:r w:rsidRPr="00122E73">
        <w:rPr>
          <w:rFonts w:hint="cs"/>
          <w:rtl/>
        </w:rPr>
        <w:t>,</w:t>
      </w:r>
      <w:r w:rsidRPr="00122E73">
        <w:rPr>
          <w:rtl/>
        </w:rPr>
        <w:t xml:space="preserve"> </w:t>
      </w:r>
      <w:r w:rsidRPr="00122E73">
        <w:rPr>
          <w:rFonts w:hint="eastAsia"/>
          <w:rtl/>
        </w:rPr>
        <w:t>נעלה</w:t>
      </w:r>
      <w:r w:rsidRPr="00122E73">
        <w:rPr>
          <w:rtl/>
        </w:rPr>
        <w:t xml:space="preserve"> </w:t>
      </w:r>
      <w:r w:rsidRPr="00122E73">
        <w:rPr>
          <w:rFonts w:hint="eastAsia"/>
          <w:rtl/>
        </w:rPr>
        <w:t>ככל</w:t>
      </w:r>
      <w:r w:rsidRPr="00122E73">
        <w:rPr>
          <w:rtl/>
        </w:rPr>
        <w:t xml:space="preserve"> </w:t>
      </w:r>
      <w:r w:rsidRPr="00122E73">
        <w:rPr>
          <w:rFonts w:hint="eastAsia"/>
          <w:rtl/>
        </w:rPr>
        <w:t>שתהיה</w:t>
      </w:r>
      <w:r w:rsidRPr="00122E73">
        <w:rPr>
          <w:rFonts w:hint="cs"/>
          <w:rtl/>
        </w:rPr>
        <w:t>,</w:t>
      </w:r>
      <w:r w:rsidRPr="00122E73">
        <w:rPr>
          <w:rtl/>
        </w:rPr>
        <w:t xml:space="preserve"> </w:t>
      </w:r>
      <w:r w:rsidRPr="00122E73">
        <w:rPr>
          <w:rFonts w:hint="eastAsia"/>
          <w:rtl/>
        </w:rPr>
        <w:t>מחייבת</w:t>
      </w:r>
      <w:r w:rsidRPr="00122E73">
        <w:rPr>
          <w:rtl/>
        </w:rPr>
        <w:t xml:space="preserve"> </w:t>
      </w:r>
      <w:r w:rsidRPr="00122E73">
        <w:rPr>
          <w:rFonts w:hint="eastAsia"/>
          <w:rtl/>
        </w:rPr>
        <w:t>נקודת</w:t>
      </w:r>
      <w:r w:rsidRPr="00122E73">
        <w:rPr>
          <w:rtl/>
        </w:rPr>
        <w:t xml:space="preserve"> </w:t>
      </w:r>
      <w:r w:rsidRPr="00122E73">
        <w:rPr>
          <w:rFonts w:hint="eastAsia"/>
          <w:rtl/>
        </w:rPr>
        <w:t>אחיזה</w:t>
      </w:r>
      <w:r>
        <w:rPr>
          <w:rtl/>
        </w:rPr>
        <w:t xml:space="preserve"> </w:t>
      </w:r>
      <w:r>
        <w:rPr>
          <w:rFonts w:hint="cs"/>
          <w:rtl/>
        </w:rPr>
        <w:t>'</w:t>
      </w:r>
      <w:r>
        <w:rPr>
          <w:rFonts w:hint="eastAsia"/>
          <w:rtl/>
        </w:rPr>
        <w:t>ארכימדית</w:t>
      </w:r>
      <w:r>
        <w:rPr>
          <w:rFonts w:hint="cs"/>
          <w:rtl/>
        </w:rPr>
        <w:t>'</w:t>
      </w:r>
      <w:r>
        <w:rPr>
          <w:rtl/>
        </w:rPr>
        <w:t xml:space="preserve"> </w:t>
      </w:r>
      <w:r>
        <w:rPr>
          <w:rFonts w:hint="eastAsia"/>
          <w:rtl/>
        </w:rPr>
        <w:t>בלשונה</w:t>
      </w:r>
      <w:r>
        <w:rPr>
          <w:rtl/>
        </w:rPr>
        <w:t xml:space="preserve"> </w:t>
      </w:r>
      <w:r>
        <w:rPr>
          <w:rFonts w:hint="eastAsia"/>
          <w:rtl/>
        </w:rPr>
        <w:t>של</w:t>
      </w:r>
      <w:r>
        <w:rPr>
          <w:rtl/>
        </w:rPr>
        <w:t xml:space="preserve"> </w:t>
      </w:r>
      <w:r>
        <w:rPr>
          <w:rFonts w:hint="eastAsia"/>
          <w:rtl/>
        </w:rPr>
        <w:t>החקיקה</w:t>
      </w:r>
      <w:r>
        <w:rPr>
          <w:rtl/>
        </w:rPr>
        <w:t xml:space="preserve">. </w:t>
      </w:r>
      <w:r>
        <w:rPr>
          <w:rFonts w:hint="eastAsia"/>
          <w:rtl/>
        </w:rPr>
        <w:t>סטייה</w:t>
      </w:r>
      <w:r>
        <w:rPr>
          <w:rtl/>
        </w:rPr>
        <w:t xml:space="preserve"> </w:t>
      </w:r>
      <w:r>
        <w:rPr>
          <w:rFonts w:hint="eastAsia"/>
          <w:rtl/>
        </w:rPr>
        <w:t>מעקרון</w:t>
      </w:r>
      <w:r>
        <w:rPr>
          <w:rtl/>
        </w:rPr>
        <w:t xml:space="preserve"> </w:t>
      </w:r>
      <w:r>
        <w:rPr>
          <w:rFonts w:hint="eastAsia"/>
          <w:rtl/>
        </w:rPr>
        <w:t>זה</w:t>
      </w:r>
      <w:r>
        <w:rPr>
          <w:rtl/>
        </w:rPr>
        <w:t xml:space="preserve"> </w:t>
      </w:r>
      <w:r>
        <w:rPr>
          <w:rFonts w:hint="eastAsia"/>
          <w:rtl/>
        </w:rPr>
        <w:t>יורדת</w:t>
      </w:r>
      <w:r>
        <w:rPr>
          <w:rtl/>
        </w:rPr>
        <w:t xml:space="preserve"> </w:t>
      </w:r>
      <w:r>
        <w:rPr>
          <w:rFonts w:hint="eastAsia"/>
          <w:rtl/>
        </w:rPr>
        <w:t>לשורשם</w:t>
      </w:r>
      <w:r>
        <w:rPr>
          <w:rtl/>
        </w:rPr>
        <w:t xml:space="preserve"> </w:t>
      </w:r>
      <w:r>
        <w:rPr>
          <w:rFonts w:hint="eastAsia"/>
          <w:rtl/>
        </w:rPr>
        <w:t>של</w:t>
      </w:r>
      <w:r>
        <w:rPr>
          <w:rtl/>
        </w:rPr>
        <w:t xml:space="preserve"> </w:t>
      </w:r>
      <w:r>
        <w:rPr>
          <w:rFonts w:hint="eastAsia"/>
          <w:rtl/>
        </w:rPr>
        <w:t>דברים</w:t>
      </w:r>
      <w:r>
        <w:rPr>
          <w:rtl/>
        </w:rPr>
        <w:t xml:space="preserve"> </w:t>
      </w:r>
      <w:r>
        <w:rPr>
          <w:rFonts w:hint="eastAsia"/>
          <w:rtl/>
        </w:rPr>
        <w:t>ואינה</w:t>
      </w:r>
      <w:r>
        <w:rPr>
          <w:rtl/>
        </w:rPr>
        <w:t xml:space="preserve"> </w:t>
      </w:r>
      <w:r>
        <w:rPr>
          <w:rFonts w:hint="eastAsia"/>
          <w:rtl/>
        </w:rPr>
        <w:t>עולה</w:t>
      </w:r>
      <w:r>
        <w:rPr>
          <w:rtl/>
        </w:rPr>
        <w:t xml:space="preserve"> </w:t>
      </w:r>
      <w:r>
        <w:rPr>
          <w:rFonts w:hint="eastAsia"/>
          <w:rtl/>
        </w:rPr>
        <w:t>בקנה</w:t>
      </w:r>
      <w:r>
        <w:rPr>
          <w:rtl/>
        </w:rPr>
        <w:t xml:space="preserve"> </w:t>
      </w:r>
      <w:r>
        <w:rPr>
          <w:rFonts w:hint="eastAsia"/>
          <w:rtl/>
        </w:rPr>
        <w:t>אחד</w:t>
      </w:r>
      <w:r>
        <w:rPr>
          <w:rtl/>
        </w:rPr>
        <w:t xml:space="preserve"> </w:t>
      </w:r>
      <w:r>
        <w:rPr>
          <w:rFonts w:hint="eastAsia"/>
          <w:rtl/>
        </w:rPr>
        <w:t>עם</w:t>
      </w:r>
      <w:r>
        <w:rPr>
          <w:rtl/>
        </w:rPr>
        <w:t xml:space="preserve"> </w:t>
      </w:r>
      <w:r>
        <w:rPr>
          <w:rFonts w:hint="eastAsia"/>
          <w:rtl/>
        </w:rPr>
        <w:t>עקרונות</w:t>
      </w:r>
      <w:r>
        <w:rPr>
          <w:rtl/>
        </w:rPr>
        <w:t xml:space="preserve"> </w:t>
      </w:r>
      <w:r>
        <w:rPr>
          <w:rFonts w:hint="eastAsia"/>
          <w:rtl/>
        </w:rPr>
        <w:t>הפרשנות</w:t>
      </w:r>
      <w:r>
        <w:rPr>
          <w:rtl/>
        </w:rPr>
        <w:t xml:space="preserve"> </w:t>
      </w:r>
      <w:r>
        <w:rPr>
          <w:rFonts w:hint="eastAsia"/>
          <w:rtl/>
        </w:rPr>
        <w:t>המקובלים</w:t>
      </w:r>
      <w:r>
        <w:rPr>
          <w:rFonts w:hint="cs"/>
          <w:rtl/>
        </w:rPr>
        <w:t>'</w:t>
      </w:r>
      <w:r w:rsidRPr="00B00F53">
        <w:rPr>
          <w:rtl/>
        </w:rPr>
        <w:t>" (</w:t>
      </w:r>
      <w:r>
        <w:rPr>
          <w:rFonts w:hint="cs"/>
          <w:rtl/>
        </w:rPr>
        <w:t xml:space="preserve">עניין </w:t>
      </w:r>
      <w:r w:rsidRPr="00F01541">
        <w:rPr>
          <w:rFonts w:ascii="Century" w:hAnsi="Century" w:cs="Miriam" w:hint="cs"/>
          <w:b/>
          <w:spacing w:val="0"/>
          <w:sz w:val="22"/>
          <w:szCs w:val="24"/>
          <w:rtl/>
        </w:rPr>
        <w:t>פוליטי</w:t>
      </w:r>
      <w:r>
        <w:rPr>
          <w:rFonts w:hint="cs"/>
          <w:rtl/>
        </w:rPr>
        <w:t xml:space="preserve">, בעמ' 303; ראו גם: עניין </w:t>
      </w:r>
      <w:r w:rsidRPr="006B3B2C">
        <w:rPr>
          <w:rFonts w:cs="Miriam" w:hint="eastAsia"/>
          <w:b/>
          <w:spacing w:val="0"/>
          <w:szCs w:val="24"/>
          <w:rtl/>
        </w:rPr>
        <w:t>זנדברג</w:t>
      </w:r>
      <w:r>
        <w:rPr>
          <w:rFonts w:hint="cs"/>
          <w:rtl/>
        </w:rPr>
        <w:t>, בעמ' 803</w:t>
      </w:r>
      <w:r w:rsidRPr="00B00F53">
        <w:rPr>
          <w:rtl/>
        </w:rPr>
        <w:t xml:space="preserve">; </w:t>
      </w:r>
      <w:r w:rsidRPr="00B00F53">
        <w:rPr>
          <w:rFonts w:hint="cs"/>
          <w:rtl/>
        </w:rPr>
        <w:t xml:space="preserve">אהרן </w:t>
      </w:r>
      <w:r w:rsidRPr="00B00F53">
        <w:rPr>
          <w:rFonts w:hint="eastAsia"/>
          <w:rtl/>
        </w:rPr>
        <w:t>ברק</w:t>
      </w:r>
      <w:r w:rsidRPr="00B00F53">
        <w:rPr>
          <w:rtl/>
        </w:rPr>
        <w:t xml:space="preserve"> </w:t>
      </w:r>
      <w:r w:rsidRPr="009B67CB">
        <w:rPr>
          <w:rFonts w:cs="Miriam" w:hint="cs"/>
          <w:b/>
          <w:spacing w:val="0"/>
          <w:sz w:val="22"/>
          <w:szCs w:val="24"/>
          <w:rtl/>
        </w:rPr>
        <w:t xml:space="preserve">פרשנות במשפט </w:t>
      </w:r>
      <w:r w:rsidRPr="009B67CB">
        <w:rPr>
          <w:rFonts w:cs="Miriam"/>
          <w:b/>
          <w:spacing w:val="0"/>
          <w:sz w:val="22"/>
          <w:szCs w:val="24"/>
          <w:rtl/>
        </w:rPr>
        <w:t>–</w:t>
      </w:r>
      <w:r w:rsidRPr="009B67CB">
        <w:rPr>
          <w:rFonts w:cs="Miriam" w:hint="cs"/>
          <w:b/>
          <w:spacing w:val="0"/>
          <w:sz w:val="22"/>
          <w:szCs w:val="24"/>
          <w:rtl/>
        </w:rPr>
        <w:t xml:space="preserve"> </w:t>
      </w:r>
      <w:r w:rsidRPr="009B67CB">
        <w:rPr>
          <w:rFonts w:cs="Miriam" w:hint="eastAsia"/>
          <w:b/>
          <w:spacing w:val="0"/>
          <w:sz w:val="22"/>
          <w:szCs w:val="24"/>
          <w:rtl/>
        </w:rPr>
        <w:t>פרשנות</w:t>
      </w:r>
      <w:r w:rsidRPr="009B67CB">
        <w:rPr>
          <w:rFonts w:cs="Miriam"/>
          <w:b/>
          <w:spacing w:val="0"/>
          <w:sz w:val="22"/>
          <w:szCs w:val="24"/>
          <w:rtl/>
        </w:rPr>
        <w:t xml:space="preserve"> </w:t>
      </w:r>
      <w:r w:rsidRPr="009B67CB">
        <w:rPr>
          <w:rFonts w:cs="Miriam" w:hint="eastAsia"/>
          <w:b/>
          <w:spacing w:val="0"/>
          <w:sz w:val="22"/>
          <w:szCs w:val="24"/>
          <w:rtl/>
        </w:rPr>
        <w:t>החקיקה</w:t>
      </w:r>
      <w:r w:rsidRPr="00B00F53">
        <w:rPr>
          <w:rtl/>
        </w:rPr>
        <w:t xml:space="preserve"> </w:t>
      </w:r>
      <w:r>
        <w:rPr>
          <w:rFonts w:hint="cs"/>
          <w:rtl/>
        </w:rPr>
        <w:t>83</w:t>
      </w:r>
      <w:r w:rsidRPr="00B00F53">
        <w:rPr>
          <w:rFonts w:hint="cs"/>
          <w:rtl/>
        </w:rPr>
        <w:t xml:space="preserve"> (1993) (להלן: </w:t>
      </w:r>
      <w:r w:rsidRPr="009B67CB">
        <w:rPr>
          <w:rFonts w:cs="Miriam" w:hint="eastAsia"/>
          <w:b/>
          <w:spacing w:val="0"/>
          <w:sz w:val="22"/>
          <w:szCs w:val="24"/>
          <w:rtl/>
        </w:rPr>
        <w:t>ברק</w:t>
      </w:r>
      <w:r w:rsidRPr="009B67CB">
        <w:rPr>
          <w:rFonts w:cs="Miriam"/>
          <w:b/>
          <w:spacing w:val="0"/>
          <w:sz w:val="22"/>
          <w:szCs w:val="24"/>
          <w:rtl/>
        </w:rPr>
        <w:t xml:space="preserve"> "</w:t>
      </w:r>
      <w:r w:rsidRPr="009B67CB">
        <w:rPr>
          <w:rFonts w:cs="Miriam" w:hint="eastAsia"/>
          <w:b/>
          <w:spacing w:val="0"/>
          <w:sz w:val="22"/>
          <w:szCs w:val="24"/>
          <w:rtl/>
        </w:rPr>
        <w:t>פרשנות</w:t>
      </w:r>
      <w:r w:rsidRPr="009B67CB">
        <w:rPr>
          <w:rFonts w:cs="Miriam"/>
          <w:b/>
          <w:spacing w:val="0"/>
          <w:sz w:val="22"/>
          <w:szCs w:val="24"/>
          <w:rtl/>
        </w:rPr>
        <w:t xml:space="preserve"> </w:t>
      </w:r>
      <w:r w:rsidRPr="009B67CB">
        <w:rPr>
          <w:rFonts w:cs="Miriam" w:hint="eastAsia"/>
          <w:b/>
          <w:spacing w:val="0"/>
          <w:sz w:val="22"/>
          <w:szCs w:val="24"/>
          <w:rtl/>
        </w:rPr>
        <w:t>החקיקה</w:t>
      </w:r>
      <w:r w:rsidRPr="009B67CB">
        <w:rPr>
          <w:rFonts w:cs="Miriam"/>
          <w:b/>
          <w:spacing w:val="0"/>
          <w:sz w:val="22"/>
          <w:szCs w:val="24"/>
          <w:rtl/>
        </w:rPr>
        <w:t>"</w:t>
      </w:r>
      <w:r w:rsidRPr="00B00F53">
        <w:rPr>
          <w:rtl/>
        </w:rPr>
        <w:t>)</w:t>
      </w:r>
      <w:r>
        <w:rPr>
          <w:rFonts w:hint="cs"/>
          <w:rtl/>
        </w:rPr>
        <w:t>)</w:t>
      </w:r>
      <w:r w:rsidRPr="00B00F53">
        <w:rPr>
          <w:rtl/>
        </w:rPr>
        <w:t>.</w:t>
      </w:r>
      <w:r>
        <w:rPr>
          <w:rFonts w:hint="cs"/>
          <w:rtl/>
        </w:rPr>
        <w:t xml:space="preserve"> </w:t>
      </w:r>
    </w:p>
    <w:p w:rsidR="00C044AE" w:rsidRPr="00B00F53" w:rsidRDefault="00C044AE" w:rsidP="00C044AE">
      <w:pPr>
        <w:pStyle w:val="Ruller4"/>
        <w:numPr>
          <w:ilvl w:val="0"/>
          <w:numId w:val="0"/>
        </w:numPr>
        <w:rPr>
          <w:rtl/>
        </w:rPr>
      </w:pPr>
    </w:p>
    <w:p w:rsidR="00C044AE" w:rsidRDefault="00C044AE" w:rsidP="00C044AE">
      <w:pPr>
        <w:pStyle w:val="Ruller4"/>
      </w:pPr>
      <w:r w:rsidRPr="00B00F53">
        <w:rPr>
          <w:rFonts w:hint="cs"/>
          <w:rtl/>
        </w:rPr>
        <w:t>בחינת המשמעות הלשונית של</w:t>
      </w:r>
      <w:r>
        <w:rPr>
          <w:rFonts w:hint="cs"/>
          <w:rtl/>
        </w:rPr>
        <w:t xml:space="preserve"> המונח "סבירות", כפי שהתפתחה והשתרשה לאורך שנים </w:t>
      </w:r>
      <w:r w:rsidRPr="00B00F53">
        <w:rPr>
          <w:rFonts w:hint="cs"/>
          <w:rtl/>
        </w:rPr>
        <w:t xml:space="preserve">בפסיקתו של בית משפט זה </w:t>
      </w:r>
      <w:r>
        <w:rPr>
          <w:rFonts w:hint="cs"/>
          <w:rtl/>
        </w:rPr>
        <w:t>בכל הנוגע ל</w:t>
      </w:r>
      <w:r w:rsidRPr="00B00F53">
        <w:rPr>
          <w:rFonts w:hint="cs"/>
          <w:rtl/>
        </w:rPr>
        <w:t xml:space="preserve">ביקורת שיפוטית </w:t>
      </w:r>
      <w:r>
        <w:rPr>
          <w:rFonts w:hint="cs"/>
          <w:rtl/>
        </w:rPr>
        <w:t>על אופן הפעלת שיקול דעת הרשות,</w:t>
      </w:r>
      <w:r w:rsidRPr="00B00F53">
        <w:rPr>
          <w:rFonts w:hint="cs"/>
          <w:rtl/>
        </w:rPr>
        <w:t xml:space="preserve"> ממחישה כי </w:t>
      </w:r>
      <w:r>
        <w:rPr>
          <w:rFonts w:hint="cs"/>
          <w:rtl/>
        </w:rPr>
        <w:t xml:space="preserve">בהיעדר עיגון לשוני מפורש לכך, </w:t>
      </w:r>
      <w:r w:rsidRPr="00B00F53">
        <w:rPr>
          <w:rFonts w:hint="cs"/>
          <w:rtl/>
        </w:rPr>
        <w:t xml:space="preserve">לא ניתן </w:t>
      </w:r>
      <w:r>
        <w:rPr>
          <w:rFonts w:hint="cs"/>
          <w:rtl/>
        </w:rPr>
        <w:t>עוד לה</w:t>
      </w:r>
      <w:r w:rsidRPr="00B00F53">
        <w:rPr>
          <w:rFonts w:hint="cs"/>
          <w:rtl/>
        </w:rPr>
        <w:t xml:space="preserve">פריד בין מובניה השונים של העילה. </w:t>
      </w:r>
      <w:r>
        <w:rPr>
          <w:rFonts w:hint="cs"/>
          <w:rtl/>
        </w:rPr>
        <w:t xml:space="preserve">במילים אחרות, המונח "חוסר סבירות" משמעו, בין היתר, גם </w:t>
      </w:r>
      <w:r w:rsidRPr="004B1671">
        <w:rPr>
          <w:rtl/>
        </w:rPr>
        <w:t>מופרכוּת</w:t>
      </w:r>
      <w:r>
        <w:rPr>
          <w:rFonts w:hint="cs"/>
          <w:rtl/>
        </w:rPr>
        <w:t xml:space="preserve">. על כן, ביטול עילת הסבירות בחיתוך שקבע התיקון והנוגע לזהות המחליט, מוביל בהכרח לביטולה גם ביחס להחלטות מופרכות של אותו גורם. </w:t>
      </w:r>
    </w:p>
    <w:p w:rsidR="00C044AE" w:rsidRDefault="00C044AE" w:rsidP="00C044AE">
      <w:pPr>
        <w:pStyle w:val="Ruller4"/>
        <w:numPr>
          <w:ilvl w:val="0"/>
          <w:numId w:val="0"/>
        </w:numPr>
        <w:rPr>
          <w:rtl/>
        </w:rPr>
      </w:pPr>
    </w:p>
    <w:p w:rsidR="00C044AE" w:rsidRPr="00B00F53" w:rsidRDefault="00C044AE" w:rsidP="00C044AE">
      <w:pPr>
        <w:pStyle w:val="Ruller4"/>
        <w:numPr>
          <w:ilvl w:val="0"/>
          <w:numId w:val="0"/>
        </w:numPr>
      </w:pPr>
      <w:r>
        <w:rPr>
          <w:rtl/>
        </w:rPr>
        <w:lastRenderedPageBreak/>
        <w:tab/>
      </w:r>
      <w:r w:rsidRPr="00B00F53">
        <w:rPr>
          <w:rFonts w:hint="cs"/>
          <w:rtl/>
        </w:rPr>
        <w:t xml:space="preserve">כפי שפורט בפתח הדברים בהרחבה, עילת הסבירות הינה חלק משיטתנו </w:t>
      </w:r>
      <w:r>
        <w:rPr>
          <w:rFonts w:hint="cs"/>
          <w:rtl/>
        </w:rPr>
        <w:t>המשפטית עוד מראשית ימיה</w:t>
      </w:r>
      <w:r w:rsidRPr="00B00F53">
        <w:rPr>
          <w:rFonts w:hint="cs"/>
          <w:rtl/>
        </w:rPr>
        <w:t xml:space="preserve"> של המדינה. בתחילת </w:t>
      </w:r>
      <w:r>
        <w:rPr>
          <w:rFonts w:hint="cs"/>
          <w:rtl/>
        </w:rPr>
        <w:t xml:space="preserve">הדרך </w:t>
      </w:r>
      <w:r w:rsidRPr="00B00F53">
        <w:rPr>
          <w:rFonts w:hint="cs"/>
          <w:rtl/>
        </w:rPr>
        <w:t>אפשרה העילה לפסול החלטה מ</w:t>
      </w:r>
      <w:r>
        <w:rPr>
          <w:rFonts w:hint="cs"/>
          <w:rtl/>
        </w:rPr>
        <w:t>י</w:t>
      </w:r>
      <w:r w:rsidRPr="00B00F53">
        <w:rPr>
          <w:rFonts w:hint="cs"/>
          <w:rtl/>
        </w:rPr>
        <w:t xml:space="preserve">נהלית אם היא נמצאה "מופרכת", "בלתי הגיונית" או "בלתי מתקבלת על הדעת", וזאת בדומה לסטנדרט האנגלי שנקבע בעניין </w:t>
      </w:r>
      <w:r>
        <w:t>Wednesbury</w:t>
      </w:r>
      <w:r w:rsidRPr="00415FA9" w:rsidDel="00EB486C">
        <w:rPr>
          <w:rFonts w:cs="Miriam" w:hint="cs"/>
          <w:b/>
          <w:spacing w:val="0"/>
          <w:sz w:val="22"/>
          <w:szCs w:val="24"/>
          <w:rtl/>
        </w:rPr>
        <w:t xml:space="preserve"> </w:t>
      </w:r>
      <w:r w:rsidRPr="00B00F53">
        <w:rPr>
          <w:rFonts w:hint="cs"/>
          <w:rtl/>
        </w:rPr>
        <w:t xml:space="preserve">(עניין </w:t>
      </w:r>
      <w:r w:rsidRPr="00B00F53">
        <w:rPr>
          <w:rFonts w:cs="Miriam" w:hint="cs"/>
          <w:b/>
          <w:spacing w:val="0"/>
          <w:sz w:val="22"/>
          <w:szCs w:val="24"/>
          <w:rtl/>
        </w:rPr>
        <w:t>ביננבוים</w:t>
      </w:r>
      <w:r w:rsidRPr="00B00F53">
        <w:rPr>
          <w:rFonts w:hint="cs"/>
          <w:rtl/>
        </w:rPr>
        <w:t xml:space="preserve">, בעמ' 386-385; עניין </w:t>
      </w:r>
      <w:r w:rsidRPr="00B00F53">
        <w:rPr>
          <w:rFonts w:cs="Miriam" w:hint="cs"/>
          <w:b/>
          <w:spacing w:val="0"/>
          <w:sz w:val="22"/>
          <w:szCs w:val="24"/>
          <w:rtl/>
        </w:rPr>
        <w:t>דיזנגוף</w:t>
      </w:r>
      <w:r w:rsidRPr="00B00F53">
        <w:rPr>
          <w:rFonts w:hint="cs"/>
          <w:rtl/>
        </w:rPr>
        <w:t xml:space="preserve">, בעמ' 1039). </w:t>
      </w:r>
      <w:r>
        <w:rPr>
          <w:rFonts w:hint="cs"/>
          <w:rtl/>
        </w:rPr>
        <w:t xml:space="preserve">נהוג לייחס את הרחבתה של </w:t>
      </w:r>
      <w:r w:rsidRPr="00B00F53">
        <w:rPr>
          <w:rFonts w:hint="cs"/>
          <w:rtl/>
        </w:rPr>
        <w:t xml:space="preserve">עילת הסבירות לפסק הדין בעניין </w:t>
      </w:r>
      <w:r w:rsidRPr="00824E91">
        <w:rPr>
          <w:rFonts w:cs="Miriam" w:hint="cs"/>
          <w:b/>
          <w:spacing w:val="0"/>
          <w:sz w:val="22"/>
          <w:szCs w:val="24"/>
          <w:rtl/>
        </w:rPr>
        <w:t>דפי זהב</w:t>
      </w:r>
      <w:r w:rsidRPr="00B00F53">
        <w:rPr>
          <w:rFonts w:hint="cs"/>
          <w:rtl/>
        </w:rPr>
        <w:t xml:space="preserve">, </w:t>
      </w:r>
      <w:r>
        <w:rPr>
          <w:rFonts w:hint="cs"/>
          <w:rtl/>
        </w:rPr>
        <w:t>אך למעשה כבר קודם לכן</w:t>
      </w:r>
      <w:r w:rsidRPr="00B00F53">
        <w:rPr>
          <w:rFonts w:hint="cs"/>
          <w:rtl/>
        </w:rPr>
        <w:t xml:space="preserve"> פסל בית משפט זה החלטות מ</w:t>
      </w:r>
      <w:r>
        <w:rPr>
          <w:rFonts w:hint="cs"/>
          <w:rtl/>
        </w:rPr>
        <w:t>י</w:t>
      </w:r>
      <w:r w:rsidRPr="00B00F53">
        <w:rPr>
          <w:rFonts w:hint="cs"/>
          <w:rtl/>
        </w:rPr>
        <w:t xml:space="preserve">נהליות בהתבסס על איזון בלתי ראוי בין האינטרסים השונים הצריכים לעניין, </w:t>
      </w:r>
      <w:r>
        <w:rPr>
          <w:rFonts w:hint="cs"/>
          <w:rtl/>
        </w:rPr>
        <w:t>גם אם</w:t>
      </w:r>
      <w:r w:rsidRPr="00B00F53">
        <w:rPr>
          <w:rFonts w:hint="cs"/>
          <w:rtl/>
        </w:rPr>
        <w:t xml:space="preserve"> עשה זאת מבלי להזכיר במפורש את עילת הסבירות (ראו, למשל: עניין </w:t>
      </w:r>
      <w:r w:rsidRPr="00824E91">
        <w:rPr>
          <w:rFonts w:cs="Miriam" w:hint="eastAsia"/>
          <w:b/>
          <w:spacing w:val="0"/>
          <w:sz w:val="22"/>
          <w:szCs w:val="24"/>
          <w:rtl/>
        </w:rPr>
        <w:t>קול</w:t>
      </w:r>
      <w:r w:rsidRPr="00824E91">
        <w:rPr>
          <w:rFonts w:cs="Miriam"/>
          <w:b/>
          <w:spacing w:val="0"/>
          <w:sz w:val="22"/>
          <w:szCs w:val="24"/>
          <w:rtl/>
        </w:rPr>
        <w:t xml:space="preserve"> </w:t>
      </w:r>
      <w:r w:rsidRPr="00824E91">
        <w:rPr>
          <w:rFonts w:cs="Miriam" w:hint="eastAsia"/>
          <w:b/>
          <w:spacing w:val="0"/>
          <w:sz w:val="22"/>
          <w:szCs w:val="24"/>
          <w:rtl/>
        </w:rPr>
        <w:t>העם</w:t>
      </w:r>
      <w:r w:rsidRPr="00B00F53">
        <w:rPr>
          <w:rFonts w:hint="cs"/>
          <w:rtl/>
        </w:rPr>
        <w:t xml:space="preserve">; בג"ץ 243/62 </w:t>
      </w:r>
      <w:r w:rsidRPr="00824E91">
        <w:rPr>
          <w:rFonts w:cs="Miriam" w:hint="cs"/>
          <w:b/>
          <w:spacing w:val="0"/>
          <w:sz w:val="22"/>
          <w:szCs w:val="24"/>
          <w:rtl/>
        </w:rPr>
        <w:t>אולפני הסרטה בישראל בע"מ נ' גרי</w:t>
      </w:r>
      <w:r w:rsidRPr="00B00F53">
        <w:rPr>
          <w:rFonts w:hint="cs"/>
          <w:rtl/>
        </w:rPr>
        <w:t xml:space="preserve">, פ"ד טז(4) 2407 (1962)). </w:t>
      </w:r>
      <w:r>
        <w:rPr>
          <w:rFonts w:hint="cs"/>
          <w:rtl/>
        </w:rPr>
        <w:t xml:space="preserve">החיבור בין מובנו של המונח </w:t>
      </w:r>
      <w:r w:rsidRPr="00B00F53">
        <w:rPr>
          <w:rFonts w:hint="cs"/>
          <w:rtl/>
        </w:rPr>
        <w:t xml:space="preserve">"סבירות" </w:t>
      </w:r>
      <w:r>
        <w:rPr>
          <w:rFonts w:hint="cs"/>
          <w:rtl/>
        </w:rPr>
        <w:t>כ</w:t>
      </w:r>
      <w:r w:rsidRPr="004B1671">
        <w:rPr>
          <w:rtl/>
        </w:rPr>
        <w:t>מופרכוּת</w:t>
      </w:r>
      <w:r w:rsidRPr="00B00F53">
        <w:rPr>
          <w:rFonts w:hint="cs"/>
          <w:rtl/>
        </w:rPr>
        <w:t xml:space="preserve"> גרידא ו</w:t>
      </w:r>
      <w:r>
        <w:rPr>
          <w:rFonts w:hint="cs"/>
          <w:rtl/>
        </w:rPr>
        <w:t xml:space="preserve">בין </w:t>
      </w:r>
      <w:r w:rsidRPr="00B00F53">
        <w:rPr>
          <w:rFonts w:hint="cs"/>
          <w:rtl/>
        </w:rPr>
        <w:t>תפיסת</w:t>
      </w:r>
      <w:r>
        <w:rPr>
          <w:rFonts w:hint="cs"/>
          <w:rtl/>
        </w:rPr>
        <w:t>ו</w:t>
      </w:r>
      <w:r w:rsidRPr="00B00F53">
        <w:rPr>
          <w:rFonts w:hint="cs"/>
          <w:rtl/>
        </w:rPr>
        <w:t xml:space="preserve"> </w:t>
      </w:r>
      <w:r>
        <w:rPr>
          <w:rFonts w:hint="cs"/>
          <w:rtl/>
        </w:rPr>
        <w:t xml:space="preserve">כמתפרש גם על פגם בעריכת </w:t>
      </w:r>
      <w:r w:rsidRPr="00B00F53">
        <w:rPr>
          <w:rFonts w:hint="cs"/>
          <w:rtl/>
        </w:rPr>
        <w:t xml:space="preserve">איזון </w:t>
      </w:r>
      <w:r>
        <w:rPr>
          <w:rFonts w:hint="cs"/>
          <w:rtl/>
        </w:rPr>
        <w:t>ש</w:t>
      </w:r>
      <w:r w:rsidRPr="00B00F53">
        <w:rPr>
          <w:rFonts w:hint="cs"/>
          <w:rtl/>
        </w:rPr>
        <w:t xml:space="preserve">בין השיקולים השונים </w:t>
      </w:r>
      <w:r>
        <w:rPr>
          <w:rFonts w:hint="cs"/>
          <w:rtl/>
        </w:rPr>
        <w:t>הצריכים לעניין, צוין מפורשות</w:t>
      </w:r>
      <w:r w:rsidRPr="00B00F53">
        <w:rPr>
          <w:rFonts w:hint="cs"/>
          <w:rtl/>
        </w:rPr>
        <w:t xml:space="preserve"> </w:t>
      </w:r>
      <w:r>
        <w:rPr>
          <w:rFonts w:hint="cs"/>
          <w:rtl/>
        </w:rPr>
        <w:t xml:space="preserve">כבר </w:t>
      </w:r>
      <w:r w:rsidRPr="00B00F53">
        <w:rPr>
          <w:rFonts w:hint="cs"/>
          <w:rtl/>
        </w:rPr>
        <w:t xml:space="preserve">בעניין </w:t>
      </w:r>
      <w:r w:rsidRPr="00824E91">
        <w:rPr>
          <w:rFonts w:cs="Miriam" w:hint="cs"/>
          <w:b/>
          <w:spacing w:val="0"/>
          <w:sz w:val="22"/>
          <w:szCs w:val="24"/>
          <w:rtl/>
        </w:rPr>
        <w:t>דקה</w:t>
      </w:r>
      <w:r w:rsidRPr="00B00F53">
        <w:rPr>
          <w:rFonts w:hint="cs"/>
          <w:rtl/>
        </w:rPr>
        <w:t xml:space="preserve">, </w:t>
      </w:r>
      <w:r>
        <w:rPr>
          <w:rFonts w:hint="cs"/>
          <w:rtl/>
        </w:rPr>
        <w:t xml:space="preserve">שניתן שנים לפני פסק הדין בעניין </w:t>
      </w:r>
      <w:r w:rsidRPr="00455F14">
        <w:rPr>
          <w:rFonts w:cs="Miriam" w:hint="cs"/>
          <w:b/>
          <w:spacing w:val="0"/>
          <w:sz w:val="22"/>
          <w:szCs w:val="24"/>
          <w:rtl/>
        </w:rPr>
        <w:t>דפי זהב</w:t>
      </w:r>
      <w:r>
        <w:rPr>
          <w:rFonts w:hint="cs"/>
          <w:rtl/>
        </w:rPr>
        <w:t>, ובו</w:t>
      </w:r>
      <w:r w:rsidRPr="00B00F53">
        <w:rPr>
          <w:rFonts w:hint="cs"/>
          <w:rtl/>
        </w:rPr>
        <w:t xml:space="preserve"> קבע השופט </w:t>
      </w:r>
      <w:r w:rsidRPr="00824E91">
        <w:rPr>
          <w:rFonts w:cs="Miriam" w:hint="cs"/>
          <w:b/>
          <w:spacing w:val="0"/>
          <w:sz w:val="22"/>
          <w:szCs w:val="24"/>
          <w:rtl/>
        </w:rPr>
        <w:t>שמגר</w:t>
      </w:r>
      <w:r w:rsidRPr="00B00F53">
        <w:rPr>
          <w:rFonts w:hint="cs"/>
          <w:rtl/>
        </w:rPr>
        <w:t xml:space="preserve"> כי עילת הסבירות עשויה להביא לפסילת ההחלטה המ</w:t>
      </w:r>
      <w:r>
        <w:rPr>
          <w:rFonts w:hint="cs"/>
          <w:rtl/>
        </w:rPr>
        <w:t>י</w:t>
      </w:r>
      <w:r w:rsidRPr="00B00F53">
        <w:rPr>
          <w:rFonts w:hint="cs"/>
          <w:rtl/>
        </w:rPr>
        <w:t>נהלית מקום שבו "</w:t>
      </w:r>
      <w:r w:rsidRPr="00B00F53">
        <w:rPr>
          <w:rFonts w:hint="eastAsia"/>
          <w:rtl/>
        </w:rPr>
        <w:t>לשיקולים</w:t>
      </w:r>
      <w:r w:rsidRPr="00B00F53">
        <w:rPr>
          <w:rtl/>
        </w:rPr>
        <w:t xml:space="preserve"> </w:t>
      </w:r>
      <w:r w:rsidRPr="00B00F53">
        <w:rPr>
          <w:rFonts w:hint="eastAsia"/>
          <w:rtl/>
        </w:rPr>
        <w:t>הרל</w:t>
      </w:r>
      <w:r>
        <w:rPr>
          <w:rFonts w:hint="cs"/>
          <w:rtl/>
        </w:rPr>
        <w:t>וו</w:t>
      </w:r>
      <w:r w:rsidRPr="00B00F53">
        <w:rPr>
          <w:rFonts w:hint="eastAsia"/>
          <w:rtl/>
        </w:rPr>
        <w:t>נטיים</w:t>
      </w:r>
      <w:r w:rsidRPr="00B00F53">
        <w:rPr>
          <w:rtl/>
        </w:rPr>
        <w:t xml:space="preserve"> </w:t>
      </w:r>
      <w:r w:rsidRPr="00B00F53">
        <w:rPr>
          <w:rFonts w:hint="eastAsia"/>
          <w:rtl/>
        </w:rPr>
        <w:t>השונים</w:t>
      </w:r>
      <w:r w:rsidRPr="00B00F53">
        <w:rPr>
          <w:rtl/>
        </w:rPr>
        <w:t xml:space="preserve"> </w:t>
      </w:r>
      <w:r w:rsidRPr="00824E91">
        <w:rPr>
          <w:rFonts w:ascii="Century" w:hAnsi="Century" w:cs="Miriam" w:hint="eastAsia"/>
          <w:b/>
          <w:spacing w:val="0"/>
          <w:sz w:val="22"/>
          <w:szCs w:val="24"/>
          <w:rtl/>
        </w:rPr>
        <w:t>יוחס</w:t>
      </w:r>
      <w:r w:rsidRPr="00824E91">
        <w:rPr>
          <w:rFonts w:ascii="Century" w:hAnsi="Century" w:cs="Miriam"/>
          <w:b/>
          <w:spacing w:val="0"/>
          <w:sz w:val="22"/>
          <w:szCs w:val="24"/>
          <w:rtl/>
        </w:rPr>
        <w:t xml:space="preserve"> </w:t>
      </w:r>
      <w:r w:rsidRPr="00824E91">
        <w:rPr>
          <w:rFonts w:ascii="Century" w:hAnsi="Century" w:cs="Miriam" w:hint="eastAsia"/>
          <w:b/>
          <w:spacing w:val="0"/>
          <w:sz w:val="22"/>
          <w:szCs w:val="24"/>
          <w:rtl/>
        </w:rPr>
        <w:t>משקל</w:t>
      </w:r>
      <w:r w:rsidRPr="00824E91">
        <w:rPr>
          <w:rFonts w:ascii="Century" w:hAnsi="Century" w:cs="Miriam"/>
          <w:b/>
          <w:spacing w:val="0"/>
          <w:sz w:val="22"/>
          <w:szCs w:val="24"/>
          <w:rtl/>
        </w:rPr>
        <w:t xml:space="preserve"> </w:t>
      </w:r>
      <w:r w:rsidRPr="00824E91">
        <w:rPr>
          <w:rFonts w:ascii="Century" w:hAnsi="Century" w:cs="Miriam" w:hint="eastAsia"/>
          <w:b/>
          <w:spacing w:val="0"/>
          <w:sz w:val="22"/>
          <w:szCs w:val="24"/>
          <w:rtl/>
        </w:rPr>
        <w:t>בפרופורציה</w:t>
      </w:r>
      <w:r w:rsidRPr="00F250FF">
        <w:rPr>
          <w:rtl/>
        </w:rPr>
        <w:t xml:space="preserve"> </w:t>
      </w:r>
      <w:r w:rsidRPr="00B00F53">
        <w:rPr>
          <w:rFonts w:hint="eastAsia"/>
          <w:rtl/>
        </w:rPr>
        <w:t>כה</w:t>
      </w:r>
      <w:r w:rsidRPr="00B00F53">
        <w:rPr>
          <w:rtl/>
        </w:rPr>
        <w:t xml:space="preserve"> </w:t>
      </w:r>
      <w:r w:rsidRPr="00B00F53">
        <w:rPr>
          <w:rFonts w:hint="eastAsia"/>
          <w:rtl/>
        </w:rPr>
        <w:t>מעוותת</w:t>
      </w:r>
      <w:r w:rsidRPr="00B00F53">
        <w:rPr>
          <w:rtl/>
        </w:rPr>
        <w:t xml:space="preserve"> </w:t>
      </w:r>
      <w:r w:rsidRPr="00B00F53">
        <w:rPr>
          <w:rFonts w:hint="eastAsia"/>
          <w:rtl/>
        </w:rPr>
        <w:t>ביניהם</w:t>
      </w:r>
      <w:r w:rsidRPr="00B00F53">
        <w:rPr>
          <w:rtl/>
        </w:rPr>
        <w:t xml:space="preserve"> </w:t>
      </w:r>
      <w:r w:rsidRPr="00B00F53">
        <w:rPr>
          <w:rFonts w:hint="eastAsia"/>
          <w:rtl/>
        </w:rPr>
        <w:t>לבין</w:t>
      </w:r>
      <w:r w:rsidRPr="00B00F53">
        <w:rPr>
          <w:rtl/>
        </w:rPr>
        <w:t xml:space="preserve"> </w:t>
      </w:r>
      <w:r w:rsidRPr="00B00F53">
        <w:rPr>
          <w:rFonts w:hint="eastAsia"/>
          <w:rtl/>
        </w:rPr>
        <w:t>עצמם</w:t>
      </w:r>
      <w:r w:rsidRPr="00B00F53">
        <w:rPr>
          <w:rtl/>
        </w:rPr>
        <w:t xml:space="preserve">, </w:t>
      </w:r>
      <w:r w:rsidRPr="00B00F53">
        <w:rPr>
          <w:rFonts w:hint="eastAsia"/>
          <w:rtl/>
        </w:rPr>
        <w:t>עד</w:t>
      </w:r>
      <w:r w:rsidRPr="00B00F53">
        <w:rPr>
          <w:rtl/>
        </w:rPr>
        <w:t xml:space="preserve"> </w:t>
      </w:r>
      <w:r w:rsidRPr="00B00F53">
        <w:rPr>
          <w:rFonts w:hint="eastAsia"/>
          <w:rtl/>
        </w:rPr>
        <w:t>שהמסקנה</w:t>
      </w:r>
      <w:r w:rsidRPr="00B00F53">
        <w:rPr>
          <w:rtl/>
        </w:rPr>
        <w:t xml:space="preserve"> </w:t>
      </w:r>
      <w:r w:rsidRPr="00B00F53">
        <w:rPr>
          <w:rFonts w:hint="eastAsia"/>
          <w:rtl/>
        </w:rPr>
        <w:t>הסופית</w:t>
      </w:r>
      <w:r w:rsidRPr="00B00F53">
        <w:rPr>
          <w:rtl/>
        </w:rPr>
        <w:t xml:space="preserve"> </w:t>
      </w:r>
      <w:r w:rsidRPr="00B00F53">
        <w:rPr>
          <w:rFonts w:hint="eastAsia"/>
          <w:rtl/>
        </w:rPr>
        <w:t>הפכה</w:t>
      </w:r>
      <w:r w:rsidRPr="00B00F53">
        <w:rPr>
          <w:rtl/>
        </w:rPr>
        <w:t xml:space="preserve"> </w:t>
      </w:r>
      <w:r w:rsidRPr="00824E91">
        <w:rPr>
          <w:rFonts w:cs="Miriam" w:hint="eastAsia"/>
          <w:b/>
          <w:spacing w:val="0"/>
          <w:sz w:val="22"/>
          <w:szCs w:val="24"/>
          <w:rtl/>
        </w:rPr>
        <w:t>מופרכת</w:t>
      </w:r>
      <w:r w:rsidRPr="00824E91">
        <w:rPr>
          <w:rFonts w:cs="Miriam"/>
          <w:b/>
          <w:spacing w:val="0"/>
          <w:sz w:val="22"/>
          <w:szCs w:val="24"/>
          <w:rtl/>
        </w:rPr>
        <w:t xml:space="preserve"> </w:t>
      </w:r>
      <w:r w:rsidRPr="00824E91">
        <w:rPr>
          <w:rFonts w:cs="Miriam" w:hint="eastAsia"/>
          <w:b/>
          <w:spacing w:val="0"/>
          <w:sz w:val="22"/>
          <w:szCs w:val="24"/>
          <w:rtl/>
        </w:rPr>
        <w:t>מעיקרה</w:t>
      </w:r>
      <w:r w:rsidRPr="00B00F53">
        <w:rPr>
          <w:rtl/>
        </w:rPr>
        <w:t xml:space="preserve"> </w:t>
      </w:r>
      <w:r w:rsidRPr="00B00F53">
        <w:rPr>
          <w:rFonts w:hint="eastAsia"/>
          <w:rtl/>
        </w:rPr>
        <w:t>ובשל</w:t>
      </w:r>
      <w:r w:rsidRPr="00B00F53">
        <w:rPr>
          <w:rtl/>
        </w:rPr>
        <w:t xml:space="preserve"> </w:t>
      </w:r>
      <w:r w:rsidRPr="00B00F53">
        <w:rPr>
          <w:rFonts w:hint="eastAsia"/>
          <w:rtl/>
        </w:rPr>
        <w:t>כך</w:t>
      </w:r>
      <w:r w:rsidRPr="00B00F53">
        <w:rPr>
          <w:rtl/>
        </w:rPr>
        <w:t xml:space="preserve"> </w:t>
      </w:r>
      <w:r w:rsidRPr="00B00F53">
        <w:rPr>
          <w:rFonts w:hint="eastAsia"/>
          <w:rtl/>
        </w:rPr>
        <w:t>לבלתי</w:t>
      </w:r>
      <w:r w:rsidRPr="00B00F53">
        <w:rPr>
          <w:rtl/>
        </w:rPr>
        <w:t>-</w:t>
      </w:r>
      <w:r w:rsidRPr="00B00F53">
        <w:rPr>
          <w:rFonts w:hint="eastAsia"/>
          <w:rtl/>
        </w:rPr>
        <w:t>סבירה</w:t>
      </w:r>
      <w:r w:rsidRPr="00B00F53">
        <w:rPr>
          <w:rtl/>
        </w:rPr>
        <w:t xml:space="preserve"> </w:t>
      </w:r>
      <w:r w:rsidRPr="00B00F53">
        <w:rPr>
          <w:rFonts w:hint="eastAsia"/>
          <w:rtl/>
        </w:rPr>
        <w:t>לחלוטין</w:t>
      </w:r>
      <w:r w:rsidRPr="00B00F53">
        <w:rPr>
          <w:rFonts w:hint="cs"/>
          <w:rtl/>
        </w:rPr>
        <w:t>" (</w:t>
      </w:r>
      <w:r w:rsidRPr="00824E91">
        <w:rPr>
          <w:rFonts w:cs="Miriam" w:hint="cs"/>
          <w:b/>
          <w:spacing w:val="0"/>
          <w:sz w:val="22"/>
          <w:szCs w:val="24"/>
          <w:rtl/>
        </w:rPr>
        <w:t>שם</w:t>
      </w:r>
      <w:r w:rsidRPr="00B00F53">
        <w:rPr>
          <w:rFonts w:hint="cs"/>
          <w:rtl/>
        </w:rPr>
        <w:t xml:space="preserve">, בעמ' 105; </w:t>
      </w:r>
      <w:r>
        <w:rPr>
          <w:rFonts w:hint="cs"/>
          <w:rtl/>
        </w:rPr>
        <w:t>ההדגשות הוספו</w:t>
      </w:r>
      <w:r w:rsidRPr="00B00F53">
        <w:rPr>
          <w:rFonts w:hint="cs"/>
          <w:rtl/>
        </w:rPr>
        <w:t xml:space="preserve">). </w:t>
      </w:r>
    </w:p>
    <w:p w:rsidR="00C044AE" w:rsidRPr="00B00F53" w:rsidRDefault="00C044AE" w:rsidP="00C044AE">
      <w:pPr>
        <w:pStyle w:val="Ruller4"/>
        <w:numPr>
          <w:ilvl w:val="0"/>
          <w:numId w:val="0"/>
        </w:numPr>
        <w:rPr>
          <w:rtl/>
        </w:rPr>
      </w:pPr>
    </w:p>
    <w:p w:rsidR="00C044AE" w:rsidRPr="00B00F53" w:rsidRDefault="00C044AE" w:rsidP="00C044AE">
      <w:pPr>
        <w:pStyle w:val="Ruller4"/>
        <w:rPr>
          <w:rtl/>
        </w:rPr>
      </w:pPr>
      <w:r w:rsidRPr="00B00F53">
        <w:rPr>
          <w:rFonts w:hint="cs"/>
          <w:rtl/>
        </w:rPr>
        <w:t xml:space="preserve">הנה כי כן, פסק הדין בעניין </w:t>
      </w:r>
      <w:r w:rsidRPr="00B00F53">
        <w:rPr>
          <w:rFonts w:cs="Miriam" w:hint="cs"/>
          <w:b/>
          <w:spacing w:val="0"/>
          <w:sz w:val="22"/>
          <w:szCs w:val="24"/>
          <w:rtl/>
        </w:rPr>
        <w:t>דפי זהב</w:t>
      </w:r>
      <w:r w:rsidRPr="00B00F53">
        <w:rPr>
          <w:rFonts w:hint="cs"/>
          <w:rtl/>
        </w:rPr>
        <w:t xml:space="preserve"> לא בא </w:t>
      </w:r>
      <w:r>
        <w:rPr>
          <w:rFonts w:hint="cs"/>
          <w:rtl/>
        </w:rPr>
        <w:t xml:space="preserve">לעולם </w:t>
      </w:r>
      <w:r w:rsidRPr="00B00F53">
        <w:rPr>
          <w:rFonts w:hint="cs"/>
          <w:rtl/>
        </w:rPr>
        <w:t>בחלל ריק. הוא נשען על פסיקה ענפה של בית משפט זה</w:t>
      </w:r>
      <w:r>
        <w:rPr>
          <w:rFonts w:hint="cs"/>
          <w:rtl/>
        </w:rPr>
        <w:t>,</w:t>
      </w:r>
      <w:r w:rsidRPr="00B00F53">
        <w:rPr>
          <w:rFonts w:hint="cs"/>
          <w:rtl/>
        </w:rPr>
        <w:t xml:space="preserve"> שהתפתחה בהתאם לעקרונות המשפט המקובל</w:t>
      </w:r>
      <w:r>
        <w:rPr>
          <w:rFonts w:hint="cs"/>
          <w:rtl/>
        </w:rPr>
        <w:t>, ו</w:t>
      </w:r>
      <w:r w:rsidRPr="00B00F53">
        <w:rPr>
          <w:rFonts w:hint="cs"/>
          <w:rtl/>
        </w:rPr>
        <w:t>הוסיף להגדרה הצרה של עילת הסבירות, המתמקדת ב</w:t>
      </w:r>
      <w:r w:rsidRPr="004B1671">
        <w:rPr>
          <w:rtl/>
        </w:rPr>
        <w:t>מופרכוּת</w:t>
      </w:r>
      <w:r w:rsidRPr="00B00F53">
        <w:rPr>
          <w:rFonts w:hint="cs"/>
          <w:rtl/>
        </w:rPr>
        <w:t xml:space="preserve"> ההחלטה, מבחן רחב יותר הבוחן את האיזון שערכה הרשות בין השיקולים השונים </w:t>
      </w:r>
      <w:r>
        <w:rPr>
          <w:rFonts w:hint="cs"/>
          <w:rtl/>
        </w:rPr>
        <w:t xml:space="preserve">טרם קבלת </w:t>
      </w:r>
      <w:r w:rsidRPr="00B00F53">
        <w:rPr>
          <w:rFonts w:hint="cs"/>
          <w:rtl/>
        </w:rPr>
        <w:t xml:space="preserve">החלטתה. </w:t>
      </w:r>
      <w:r>
        <w:rPr>
          <w:rFonts w:hint="cs"/>
          <w:rtl/>
        </w:rPr>
        <w:t xml:space="preserve">מכך אין ללמוד כי החלטות מופרכות אינן באות עוד בגדרו של המונח "סבירות". </w:t>
      </w:r>
      <w:r w:rsidRPr="00B00F53">
        <w:rPr>
          <w:rFonts w:hint="cs"/>
          <w:rtl/>
        </w:rPr>
        <w:t xml:space="preserve">כפי שצוין בעניין </w:t>
      </w:r>
      <w:r w:rsidRPr="00B00F53">
        <w:rPr>
          <w:rFonts w:cs="Miriam" w:hint="cs"/>
          <w:b/>
          <w:spacing w:val="0"/>
          <w:sz w:val="22"/>
          <w:szCs w:val="24"/>
          <w:rtl/>
        </w:rPr>
        <w:t>דקה</w:t>
      </w:r>
      <w:r w:rsidRPr="00B00F53">
        <w:rPr>
          <w:rFonts w:hint="cs"/>
          <w:rtl/>
        </w:rPr>
        <w:t>, מתן משקל מעוות לשיקולים הרלוונטיים השונים בקבלת החלטה המ</w:t>
      </w:r>
      <w:r>
        <w:rPr>
          <w:rFonts w:hint="cs"/>
          <w:rtl/>
        </w:rPr>
        <w:t>י</w:t>
      </w:r>
      <w:r w:rsidRPr="00B00F53">
        <w:rPr>
          <w:rFonts w:hint="cs"/>
          <w:rtl/>
        </w:rPr>
        <w:t xml:space="preserve">נהלית עשוי ללמד על </w:t>
      </w:r>
      <w:r w:rsidRPr="004B1671">
        <w:rPr>
          <w:rFonts w:cs="Miriam"/>
          <w:b/>
          <w:spacing w:val="0"/>
          <w:sz w:val="22"/>
          <w:szCs w:val="24"/>
          <w:rtl/>
        </w:rPr>
        <w:t>מופרכוּת</w:t>
      </w:r>
      <w:r>
        <w:rPr>
          <w:rFonts w:cs="Miriam" w:hint="cs"/>
          <w:b/>
          <w:spacing w:val="0"/>
          <w:sz w:val="22"/>
          <w:szCs w:val="24"/>
          <w:rtl/>
        </w:rPr>
        <w:t xml:space="preserve">ה </w:t>
      </w:r>
      <w:r w:rsidRPr="00B00F53">
        <w:rPr>
          <w:rFonts w:hint="cs"/>
          <w:rtl/>
        </w:rPr>
        <w:t xml:space="preserve">ומכאן גם על </w:t>
      </w:r>
      <w:r w:rsidRPr="00B00F53">
        <w:rPr>
          <w:rFonts w:cs="Miriam" w:hint="cs"/>
          <w:b/>
          <w:spacing w:val="0"/>
          <w:sz w:val="22"/>
          <w:szCs w:val="24"/>
          <w:rtl/>
        </w:rPr>
        <w:t>אי-סבירותה</w:t>
      </w:r>
      <w:r>
        <w:rPr>
          <w:rFonts w:hint="cs"/>
          <w:rtl/>
        </w:rPr>
        <w:t>.</w:t>
      </w:r>
      <w:r w:rsidRPr="00B00F53">
        <w:rPr>
          <w:rFonts w:hint="cs"/>
          <w:rtl/>
        </w:rPr>
        <w:t xml:space="preserve"> על דברים אלו שב בית </w:t>
      </w:r>
      <w:r>
        <w:rPr>
          <w:rFonts w:hint="cs"/>
          <w:rtl/>
        </w:rPr>
        <w:t>ה</w:t>
      </w:r>
      <w:r w:rsidRPr="00B00F53">
        <w:rPr>
          <w:rFonts w:hint="cs"/>
          <w:rtl/>
        </w:rPr>
        <w:t>משפט</w:t>
      </w:r>
      <w:r>
        <w:rPr>
          <w:rFonts w:hint="cs"/>
          <w:rtl/>
        </w:rPr>
        <w:t xml:space="preserve"> וחזר</w:t>
      </w:r>
      <w:r w:rsidRPr="001C2C43">
        <w:rPr>
          <w:rFonts w:hint="cs"/>
          <w:rtl/>
        </w:rPr>
        <w:t xml:space="preserve"> </w:t>
      </w:r>
      <w:r>
        <w:rPr>
          <w:rFonts w:hint="cs"/>
          <w:rtl/>
        </w:rPr>
        <w:t>בעשורים האחרונים</w:t>
      </w:r>
      <w:r w:rsidRPr="00B00F53">
        <w:rPr>
          <w:rFonts w:hint="cs"/>
          <w:rtl/>
        </w:rPr>
        <w:t xml:space="preserve"> בשור</w:t>
      </w:r>
      <w:r>
        <w:rPr>
          <w:rFonts w:hint="cs"/>
          <w:rtl/>
        </w:rPr>
        <w:t>ה של</w:t>
      </w:r>
      <w:r w:rsidRPr="00B00F53">
        <w:rPr>
          <w:rFonts w:hint="cs"/>
          <w:rtl/>
        </w:rPr>
        <w:t xml:space="preserve"> פסקי דין</w:t>
      </w:r>
      <w:r>
        <w:rPr>
          <w:rFonts w:hint="cs"/>
          <w:rtl/>
        </w:rPr>
        <w:t>.</w:t>
      </w:r>
      <w:r w:rsidRPr="00B00F53">
        <w:rPr>
          <w:rFonts w:hint="cs"/>
          <w:rtl/>
        </w:rPr>
        <w:t xml:space="preserve"> כך</w:t>
      </w:r>
      <w:r>
        <w:rPr>
          <w:rFonts w:hint="cs"/>
          <w:rtl/>
        </w:rPr>
        <w:t xml:space="preserve"> למשל</w:t>
      </w:r>
      <w:r w:rsidRPr="00B00F53">
        <w:rPr>
          <w:rFonts w:hint="cs"/>
          <w:rtl/>
        </w:rPr>
        <w:t>, בעניין</w:t>
      </w:r>
      <w:r w:rsidRPr="00B00F53">
        <w:rPr>
          <w:rtl/>
        </w:rPr>
        <w:t xml:space="preserve"> </w:t>
      </w:r>
      <w:r w:rsidRPr="00B00F53">
        <w:rPr>
          <w:rFonts w:cs="Miriam" w:hint="eastAsia"/>
          <w:b/>
          <w:spacing w:val="0"/>
          <w:szCs w:val="24"/>
          <w:rtl/>
        </w:rPr>
        <w:t>גנור</w:t>
      </w:r>
      <w:r>
        <w:rPr>
          <w:rFonts w:hint="cs"/>
          <w:rtl/>
        </w:rPr>
        <w:t xml:space="preserve"> </w:t>
      </w:r>
      <w:r w:rsidRPr="00B00F53">
        <w:rPr>
          <w:rFonts w:hint="cs"/>
          <w:rtl/>
        </w:rPr>
        <w:t>צוין כי "חוסר</w:t>
      </w:r>
      <w:r w:rsidRPr="00B00F53">
        <w:rPr>
          <w:rtl/>
        </w:rPr>
        <w:t xml:space="preserve"> </w:t>
      </w:r>
      <w:r w:rsidRPr="00B00F53">
        <w:rPr>
          <w:rFonts w:hint="eastAsia"/>
          <w:rtl/>
        </w:rPr>
        <w:t>הסבירות</w:t>
      </w:r>
      <w:r w:rsidRPr="00B00F53">
        <w:rPr>
          <w:rtl/>
        </w:rPr>
        <w:t xml:space="preserve"> </w:t>
      </w:r>
      <w:r w:rsidRPr="00B00F53">
        <w:rPr>
          <w:rFonts w:hint="eastAsia"/>
          <w:rtl/>
        </w:rPr>
        <w:t>שבהחלטת</w:t>
      </w:r>
      <w:r w:rsidRPr="00B00F53">
        <w:rPr>
          <w:rtl/>
        </w:rPr>
        <w:t xml:space="preserve"> </w:t>
      </w:r>
      <w:r w:rsidRPr="00B00F53">
        <w:rPr>
          <w:rFonts w:hint="eastAsia"/>
          <w:rtl/>
        </w:rPr>
        <w:t>היועץ</w:t>
      </w:r>
      <w:r w:rsidRPr="00B00F53">
        <w:rPr>
          <w:rtl/>
        </w:rPr>
        <w:t xml:space="preserve"> </w:t>
      </w:r>
      <w:r w:rsidRPr="00B00F53">
        <w:rPr>
          <w:rFonts w:hint="eastAsia"/>
          <w:rtl/>
        </w:rPr>
        <w:t>המשפטי</w:t>
      </w:r>
      <w:r w:rsidRPr="00B00F53">
        <w:rPr>
          <w:rtl/>
        </w:rPr>
        <w:t xml:space="preserve"> </w:t>
      </w:r>
      <w:r w:rsidRPr="00B00F53">
        <w:rPr>
          <w:rFonts w:hint="eastAsia"/>
          <w:rtl/>
        </w:rPr>
        <w:t>לממשלה</w:t>
      </w:r>
      <w:r w:rsidRPr="00B00F53">
        <w:rPr>
          <w:rtl/>
        </w:rPr>
        <w:t xml:space="preserve"> </w:t>
      </w:r>
      <w:r w:rsidRPr="00B00F53">
        <w:rPr>
          <w:rFonts w:hint="eastAsia"/>
          <w:rtl/>
        </w:rPr>
        <w:t>מקורו</w:t>
      </w:r>
      <w:r w:rsidRPr="00B00F53">
        <w:rPr>
          <w:rtl/>
        </w:rPr>
        <w:t xml:space="preserve"> </w:t>
      </w:r>
      <w:r w:rsidRPr="00B00F53">
        <w:rPr>
          <w:rFonts w:hint="eastAsia"/>
          <w:rtl/>
        </w:rPr>
        <w:t>בסטייה</w:t>
      </w:r>
      <w:r w:rsidRPr="00B00F53">
        <w:rPr>
          <w:rtl/>
        </w:rPr>
        <w:t xml:space="preserve"> </w:t>
      </w:r>
      <w:r w:rsidRPr="00B00F53">
        <w:rPr>
          <w:rFonts w:hint="eastAsia"/>
          <w:rtl/>
        </w:rPr>
        <w:t>מהותית</w:t>
      </w:r>
      <w:r w:rsidRPr="00B00F53">
        <w:rPr>
          <w:rtl/>
        </w:rPr>
        <w:t xml:space="preserve">, </w:t>
      </w:r>
      <w:r w:rsidRPr="00B00F53">
        <w:rPr>
          <w:rFonts w:hint="eastAsia"/>
          <w:rtl/>
        </w:rPr>
        <w:t>היורדת</w:t>
      </w:r>
      <w:r w:rsidRPr="00B00F53">
        <w:rPr>
          <w:rtl/>
        </w:rPr>
        <w:t xml:space="preserve"> </w:t>
      </w:r>
      <w:r w:rsidRPr="00B00F53">
        <w:rPr>
          <w:rFonts w:hint="eastAsia"/>
          <w:rtl/>
        </w:rPr>
        <w:t>לשורש</w:t>
      </w:r>
      <w:r w:rsidRPr="00B00F53">
        <w:rPr>
          <w:rtl/>
        </w:rPr>
        <w:t xml:space="preserve"> </w:t>
      </w:r>
      <w:r w:rsidRPr="00B00F53">
        <w:rPr>
          <w:rFonts w:hint="eastAsia"/>
          <w:rtl/>
        </w:rPr>
        <w:t>העניין</w:t>
      </w:r>
      <w:r w:rsidRPr="00B00F53">
        <w:rPr>
          <w:rtl/>
        </w:rPr>
        <w:t xml:space="preserve">, </w:t>
      </w:r>
      <w:r w:rsidRPr="00B00F53">
        <w:rPr>
          <w:rFonts w:cs="Miriam" w:hint="eastAsia"/>
          <w:b/>
          <w:spacing w:val="0"/>
          <w:sz w:val="22"/>
          <w:szCs w:val="24"/>
          <w:rtl/>
        </w:rPr>
        <w:t>עד</w:t>
      </w:r>
      <w:r w:rsidRPr="00B00F53">
        <w:rPr>
          <w:rFonts w:cs="Miriam"/>
          <w:b/>
          <w:spacing w:val="0"/>
          <w:sz w:val="22"/>
          <w:szCs w:val="24"/>
          <w:rtl/>
        </w:rPr>
        <w:t xml:space="preserve"> </w:t>
      </w:r>
      <w:r w:rsidRPr="00B00F53">
        <w:rPr>
          <w:rFonts w:cs="Miriam" w:hint="eastAsia"/>
          <w:b/>
          <w:spacing w:val="0"/>
          <w:sz w:val="22"/>
          <w:szCs w:val="24"/>
          <w:rtl/>
        </w:rPr>
        <w:t>שהמסקנה</w:t>
      </w:r>
      <w:r w:rsidRPr="00B00F53">
        <w:rPr>
          <w:rFonts w:cs="Miriam"/>
          <w:b/>
          <w:spacing w:val="0"/>
          <w:sz w:val="22"/>
          <w:szCs w:val="24"/>
          <w:rtl/>
        </w:rPr>
        <w:t xml:space="preserve"> </w:t>
      </w:r>
      <w:r w:rsidRPr="00B00F53">
        <w:rPr>
          <w:rFonts w:cs="Miriam" w:hint="eastAsia"/>
          <w:b/>
          <w:spacing w:val="0"/>
          <w:sz w:val="22"/>
          <w:szCs w:val="24"/>
          <w:rtl/>
        </w:rPr>
        <w:t>הסופית</w:t>
      </w:r>
      <w:r w:rsidRPr="00B00F53">
        <w:rPr>
          <w:rFonts w:cs="Miriam"/>
          <w:b/>
          <w:spacing w:val="0"/>
          <w:sz w:val="22"/>
          <w:szCs w:val="24"/>
          <w:rtl/>
        </w:rPr>
        <w:t xml:space="preserve"> </w:t>
      </w:r>
      <w:r w:rsidRPr="00B00F53">
        <w:rPr>
          <w:rFonts w:cs="Miriam" w:hint="eastAsia"/>
          <w:b/>
          <w:spacing w:val="0"/>
          <w:sz w:val="22"/>
          <w:szCs w:val="24"/>
          <w:rtl/>
        </w:rPr>
        <w:t>היא</w:t>
      </w:r>
      <w:r w:rsidRPr="00B00F53">
        <w:rPr>
          <w:rFonts w:cs="Miriam"/>
          <w:b/>
          <w:spacing w:val="0"/>
          <w:sz w:val="22"/>
          <w:szCs w:val="24"/>
          <w:rtl/>
        </w:rPr>
        <w:t xml:space="preserve"> </w:t>
      </w:r>
      <w:r w:rsidRPr="00B00F53">
        <w:rPr>
          <w:rFonts w:cs="Miriam" w:hint="eastAsia"/>
          <w:b/>
          <w:spacing w:val="0"/>
          <w:sz w:val="22"/>
          <w:szCs w:val="24"/>
          <w:rtl/>
        </w:rPr>
        <w:t>מופרכת</w:t>
      </w:r>
      <w:r w:rsidRPr="00B00F53">
        <w:rPr>
          <w:rFonts w:cs="Miriam"/>
          <w:b/>
          <w:spacing w:val="0"/>
          <w:sz w:val="22"/>
          <w:szCs w:val="24"/>
          <w:rtl/>
        </w:rPr>
        <w:t xml:space="preserve"> </w:t>
      </w:r>
      <w:r w:rsidRPr="00B00F53">
        <w:rPr>
          <w:rFonts w:cs="Miriam" w:hint="eastAsia"/>
          <w:b/>
          <w:spacing w:val="0"/>
          <w:sz w:val="22"/>
          <w:szCs w:val="24"/>
          <w:rtl/>
        </w:rPr>
        <w:t>מעיקרה</w:t>
      </w:r>
      <w:r w:rsidRPr="00B00F53">
        <w:rPr>
          <w:rFonts w:cs="Miriam"/>
          <w:b/>
          <w:spacing w:val="0"/>
          <w:sz w:val="22"/>
          <w:szCs w:val="24"/>
          <w:rtl/>
        </w:rPr>
        <w:t xml:space="preserve">, </w:t>
      </w:r>
      <w:r w:rsidRPr="00B00F53">
        <w:rPr>
          <w:rFonts w:cs="Miriam" w:hint="eastAsia"/>
          <w:b/>
          <w:spacing w:val="0"/>
          <w:sz w:val="22"/>
          <w:szCs w:val="24"/>
          <w:rtl/>
        </w:rPr>
        <w:t>ובשל</w:t>
      </w:r>
      <w:r w:rsidRPr="00B00F53">
        <w:rPr>
          <w:rFonts w:cs="Miriam"/>
          <w:b/>
          <w:spacing w:val="0"/>
          <w:sz w:val="22"/>
          <w:szCs w:val="24"/>
          <w:rtl/>
        </w:rPr>
        <w:t xml:space="preserve"> </w:t>
      </w:r>
      <w:r w:rsidRPr="00B00F53">
        <w:rPr>
          <w:rFonts w:cs="Miriam" w:hint="eastAsia"/>
          <w:b/>
          <w:spacing w:val="0"/>
          <w:sz w:val="22"/>
          <w:szCs w:val="24"/>
          <w:rtl/>
        </w:rPr>
        <w:t>כך</w:t>
      </w:r>
      <w:r w:rsidRPr="00B00F53">
        <w:rPr>
          <w:rFonts w:cs="Miriam"/>
          <w:b/>
          <w:spacing w:val="0"/>
          <w:sz w:val="22"/>
          <w:szCs w:val="24"/>
          <w:rtl/>
        </w:rPr>
        <w:t xml:space="preserve"> </w:t>
      </w:r>
      <w:r w:rsidRPr="00B00F53">
        <w:rPr>
          <w:rFonts w:cs="Miriam" w:hint="eastAsia"/>
          <w:b/>
          <w:spacing w:val="0"/>
          <w:sz w:val="22"/>
          <w:szCs w:val="24"/>
          <w:rtl/>
        </w:rPr>
        <w:t>בלתי</w:t>
      </w:r>
      <w:r w:rsidRPr="00B00F53">
        <w:rPr>
          <w:rFonts w:cs="Miriam"/>
          <w:b/>
          <w:spacing w:val="0"/>
          <w:sz w:val="22"/>
          <w:szCs w:val="24"/>
          <w:rtl/>
        </w:rPr>
        <w:t xml:space="preserve"> </w:t>
      </w:r>
      <w:r w:rsidRPr="00B00F53">
        <w:rPr>
          <w:rFonts w:cs="Miriam" w:hint="eastAsia"/>
          <w:b/>
          <w:spacing w:val="0"/>
          <w:sz w:val="22"/>
          <w:szCs w:val="24"/>
          <w:rtl/>
        </w:rPr>
        <w:t>סבירה</w:t>
      </w:r>
      <w:r w:rsidRPr="00B00F53">
        <w:rPr>
          <w:rFonts w:cs="Miriam"/>
          <w:b/>
          <w:spacing w:val="0"/>
          <w:sz w:val="22"/>
          <w:szCs w:val="24"/>
          <w:rtl/>
        </w:rPr>
        <w:t xml:space="preserve"> </w:t>
      </w:r>
      <w:r w:rsidRPr="00B00F53">
        <w:rPr>
          <w:rFonts w:cs="Miriam" w:hint="eastAsia"/>
          <w:b/>
          <w:spacing w:val="0"/>
          <w:sz w:val="22"/>
          <w:szCs w:val="24"/>
          <w:rtl/>
        </w:rPr>
        <w:t>לחלוטין</w:t>
      </w:r>
      <w:r w:rsidRPr="00B00F53">
        <w:rPr>
          <w:rFonts w:hint="cs"/>
          <w:rtl/>
        </w:rPr>
        <w:t>" (</w:t>
      </w:r>
      <w:r w:rsidRPr="00C54D74">
        <w:rPr>
          <w:rFonts w:ascii="Century" w:hAnsi="Century" w:cs="Miriam" w:hint="cs"/>
          <w:b/>
          <w:spacing w:val="0"/>
          <w:sz w:val="22"/>
          <w:szCs w:val="24"/>
          <w:rtl/>
        </w:rPr>
        <w:t>שם</w:t>
      </w:r>
      <w:r>
        <w:rPr>
          <w:rFonts w:hint="cs"/>
          <w:rtl/>
        </w:rPr>
        <w:t xml:space="preserve">, </w:t>
      </w:r>
      <w:r w:rsidRPr="00B00F53">
        <w:rPr>
          <w:rFonts w:hint="eastAsia"/>
          <w:rtl/>
        </w:rPr>
        <w:t>בעמ</w:t>
      </w:r>
      <w:r w:rsidRPr="00B00F53">
        <w:rPr>
          <w:rtl/>
        </w:rPr>
        <w:t>'</w:t>
      </w:r>
      <w:r w:rsidRPr="00B00F53">
        <w:rPr>
          <w:rFonts w:hint="cs"/>
          <w:rtl/>
        </w:rPr>
        <w:t xml:space="preserve"> </w:t>
      </w:r>
      <w:r>
        <w:rPr>
          <w:rFonts w:hint="cs"/>
          <w:rtl/>
        </w:rPr>
        <w:t>523;</w:t>
      </w:r>
      <w:r w:rsidRPr="00B00F53">
        <w:rPr>
          <w:rFonts w:hint="cs"/>
          <w:rtl/>
        </w:rPr>
        <w:t xml:space="preserve"> ההדגשה הוספה; וראו גם, בין היתר: </w:t>
      </w:r>
      <w:r w:rsidRPr="00B00F53">
        <w:rPr>
          <w:rFonts w:hint="eastAsia"/>
          <w:rtl/>
        </w:rPr>
        <w:t>בג</w:t>
      </w:r>
      <w:r w:rsidRPr="00B00F53">
        <w:rPr>
          <w:rtl/>
        </w:rPr>
        <w:t>"</w:t>
      </w:r>
      <w:r w:rsidRPr="00B00F53">
        <w:rPr>
          <w:rFonts w:hint="eastAsia"/>
          <w:rtl/>
        </w:rPr>
        <w:t>ץ</w:t>
      </w:r>
      <w:r w:rsidRPr="00B00F53">
        <w:rPr>
          <w:rtl/>
        </w:rPr>
        <w:t xml:space="preserve"> 910/86 </w:t>
      </w:r>
      <w:r w:rsidRPr="00B00F53">
        <w:rPr>
          <w:rFonts w:cs="Miriam" w:hint="eastAsia"/>
          <w:b/>
          <w:spacing w:val="0"/>
          <w:szCs w:val="24"/>
          <w:rtl/>
        </w:rPr>
        <w:t>רסלר</w:t>
      </w:r>
      <w:r w:rsidRPr="00B00F53">
        <w:rPr>
          <w:rFonts w:cs="Miriam"/>
          <w:b/>
          <w:spacing w:val="0"/>
          <w:szCs w:val="24"/>
          <w:rtl/>
        </w:rPr>
        <w:t xml:space="preserve"> </w:t>
      </w:r>
      <w:r w:rsidRPr="00B00F53">
        <w:rPr>
          <w:rFonts w:cs="Miriam" w:hint="eastAsia"/>
          <w:b/>
          <w:spacing w:val="0"/>
          <w:szCs w:val="24"/>
          <w:rtl/>
        </w:rPr>
        <w:t>נ</w:t>
      </w:r>
      <w:r w:rsidRPr="00B00F53">
        <w:rPr>
          <w:rFonts w:cs="Miriam"/>
          <w:b/>
          <w:spacing w:val="0"/>
          <w:szCs w:val="24"/>
          <w:rtl/>
        </w:rPr>
        <w:t xml:space="preserve">' </w:t>
      </w:r>
      <w:r w:rsidRPr="00B00F53">
        <w:rPr>
          <w:rFonts w:cs="Miriam" w:hint="eastAsia"/>
          <w:b/>
          <w:spacing w:val="0"/>
          <w:szCs w:val="24"/>
          <w:rtl/>
        </w:rPr>
        <w:t>שר</w:t>
      </w:r>
      <w:r w:rsidRPr="00B00F53">
        <w:rPr>
          <w:rFonts w:cs="Miriam"/>
          <w:b/>
          <w:spacing w:val="0"/>
          <w:szCs w:val="24"/>
          <w:rtl/>
        </w:rPr>
        <w:t xml:space="preserve"> </w:t>
      </w:r>
      <w:r w:rsidRPr="00B00F53">
        <w:rPr>
          <w:rFonts w:cs="Miriam" w:hint="eastAsia"/>
          <w:b/>
          <w:spacing w:val="0"/>
          <w:szCs w:val="24"/>
          <w:rtl/>
        </w:rPr>
        <w:t>הביטחון</w:t>
      </w:r>
      <w:r w:rsidRPr="00B00F53">
        <w:rPr>
          <w:rtl/>
        </w:rPr>
        <w:t xml:space="preserve">, </w:t>
      </w:r>
      <w:r>
        <w:rPr>
          <w:rFonts w:hint="cs"/>
          <w:rtl/>
        </w:rPr>
        <w:t xml:space="preserve">פ"ד </w:t>
      </w:r>
      <w:r w:rsidRPr="00B00F53">
        <w:rPr>
          <w:rFonts w:hint="eastAsia"/>
          <w:rtl/>
        </w:rPr>
        <w:t>מב</w:t>
      </w:r>
      <w:r w:rsidRPr="00B00F53">
        <w:rPr>
          <w:rtl/>
        </w:rPr>
        <w:t>(2) 441</w:t>
      </w:r>
      <w:r w:rsidRPr="00B00F53">
        <w:rPr>
          <w:rFonts w:hint="cs"/>
          <w:rtl/>
        </w:rPr>
        <w:t xml:space="preserve">, </w:t>
      </w:r>
      <w:r>
        <w:rPr>
          <w:rFonts w:hint="cs"/>
          <w:rtl/>
        </w:rPr>
        <w:t>503</w:t>
      </w:r>
      <w:r w:rsidRPr="00B00F53">
        <w:rPr>
          <w:rFonts w:hint="cs"/>
          <w:rtl/>
        </w:rPr>
        <w:t xml:space="preserve"> </w:t>
      </w:r>
      <w:r w:rsidRPr="00B00F53">
        <w:rPr>
          <w:rtl/>
        </w:rPr>
        <w:t>(1988)</w:t>
      </w:r>
      <w:r>
        <w:rPr>
          <w:rFonts w:hint="cs"/>
          <w:rtl/>
        </w:rPr>
        <w:t xml:space="preserve"> (להלן: </w:t>
      </w:r>
      <w:r w:rsidRPr="00DB4D01">
        <w:rPr>
          <w:rFonts w:ascii="Century" w:hAnsi="Century" w:cs="Miriam" w:hint="cs"/>
          <w:b/>
          <w:spacing w:val="0"/>
          <w:sz w:val="22"/>
          <w:szCs w:val="24"/>
          <w:rtl/>
        </w:rPr>
        <w:t>עניין רסלר</w:t>
      </w:r>
      <w:r>
        <w:rPr>
          <w:rFonts w:hint="cs"/>
          <w:rtl/>
        </w:rPr>
        <w:t>)</w:t>
      </w:r>
      <w:r w:rsidRPr="00B00F53">
        <w:rPr>
          <w:rFonts w:hint="cs"/>
          <w:rtl/>
        </w:rPr>
        <w:t xml:space="preserve">; </w:t>
      </w:r>
      <w:r w:rsidRPr="00B00F53">
        <w:rPr>
          <w:rFonts w:hint="eastAsia"/>
          <w:rtl/>
        </w:rPr>
        <w:t>בג</w:t>
      </w:r>
      <w:r w:rsidRPr="00B00F53">
        <w:rPr>
          <w:rtl/>
        </w:rPr>
        <w:t>"</w:t>
      </w:r>
      <w:r w:rsidRPr="00B00F53">
        <w:rPr>
          <w:rFonts w:hint="eastAsia"/>
          <w:rtl/>
        </w:rPr>
        <w:t>ץ</w:t>
      </w:r>
      <w:r w:rsidRPr="00B00F53">
        <w:rPr>
          <w:rtl/>
        </w:rPr>
        <w:t xml:space="preserve"> 581/87 </w:t>
      </w:r>
      <w:r w:rsidRPr="00B00F53">
        <w:rPr>
          <w:rFonts w:cs="Miriam" w:hint="eastAsia"/>
          <w:b/>
          <w:spacing w:val="0"/>
          <w:szCs w:val="24"/>
          <w:rtl/>
        </w:rPr>
        <w:t>צוקר</w:t>
      </w:r>
      <w:r w:rsidRPr="00B00F53">
        <w:rPr>
          <w:rFonts w:cs="Miriam"/>
          <w:b/>
          <w:spacing w:val="0"/>
          <w:szCs w:val="24"/>
          <w:rtl/>
        </w:rPr>
        <w:t xml:space="preserve"> </w:t>
      </w:r>
      <w:r w:rsidRPr="00B00F53">
        <w:rPr>
          <w:rFonts w:cs="Miriam" w:hint="eastAsia"/>
          <w:b/>
          <w:spacing w:val="0"/>
          <w:szCs w:val="24"/>
          <w:rtl/>
        </w:rPr>
        <w:t>נ</w:t>
      </w:r>
      <w:r w:rsidRPr="00B00F53">
        <w:rPr>
          <w:rFonts w:cs="Miriam"/>
          <w:b/>
          <w:spacing w:val="0"/>
          <w:szCs w:val="24"/>
          <w:rtl/>
        </w:rPr>
        <w:t xml:space="preserve">' </w:t>
      </w:r>
      <w:r w:rsidRPr="00B00F53">
        <w:rPr>
          <w:rFonts w:cs="Miriam" w:hint="eastAsia"/>
          <w:b/>
          <w:spacing w:val="0"/>
          <w:szCs w:val="24"/>
          <w:rtl/>
        </w:rPr>
        <w:t>שר</w:t>
      </w:r>
      <w:r w:rsidRPr="00B00F53">
        <w:rPr>
          <w:rFonts w:cs="Miriam"/>
          <w:b/>
          <w:spacing w:val="0"/>
          <w:szCs w:val="24"/>
          <w:rtl/>
        </w:rPr>
        <w:t xml:space="preserve"> </w:t>
      </w:r>
      <w:r w:rsidRPr="00B00F53">
        <w:rPr>
          <w:rFonts w:cs="Miriam" w:hint="eastAsia"/>
          <w:b/>
          <w:spacing w:val="0"/>
          <w:szCs w:val="24"/>
          <w:rtl/>
        </w:rPr>
        <w:t>הפנים</w:t>
      </w:r>
      <w:r w:rsidRPr="00B00F53">
        <w:rPr>
          <w:rtl/>
        </w:rPr>
        <w:t xml:space="preserve">, </w:t>
      </w:r>
      <w:r>
        <w:rPr>
          <w:rFonts w:hint="cs"/>
          <w:rtl/>
        </w:rPr>
        <w:t xml:space="preserve">פ"ד </w:t>
      </w:r>
      <w:r w:rsidRPr="00B00F53">
        <w:rPr>
          <w:rFonts w:hint="eastAsia"/>
          <w:rtl/>
        </w:rPr>
        <w:t>מב</w:t>
      </w:r>
      <w:r w:rsidRPr="00B00F53">
        <w:rPr>
          <w:rtl/>
        </w:rPr>
        <w:t>(4) 529</w:t>
      </w:r>
      <w:r w:rsidRPr="00B00F53">
        <w:rPr>
          <w:rFonts w:hint="cs"/>
          <w:rtl/>
        </w:rPr>
        <w:t xml:space="preserve">, </w:t>
      </w:r>
      <w:r>
        <w:rPr>
          <w:rFonts w:hint="cs"/>
          <w:rtl/>
        </w:rPr>
        <w:t>545</w:t>
      </w:r>
      <w:r w:rsidRPr="00B00F53">
        <w:rPr>
          <w:rFonts w:hint="cs"/>
          <w:rtl/>
        </w:rPr>
        <w:t xml:space="preserve"> </w:t>
      </w:r>
      <w:r w:rsidRPr="00B00F53">
        <w:rPr>
          <w:rtl/>
        </w:rPr>
        <w:t>(1989)</w:t>
      </w:r>
      <w:r w:rsidRPr="00B00F53">
        <w:rPr>
          <w:rFonts w:hint="cs"/>
          <w:rtl/>
        </w:rPr>
        <w:t xml:space="preserve">; עניין </w:t>
      </w:r>
      <w:r>
        <w:rPr>
          <w:rFonts w:cs="Miriam" w:hint="cs"/>
          <w:b/>
          <w:spacing w:val="0"/>
          <w:sz w:val="22"/>
          <w:szCs w:val="24"/>
          <w:rtl/>
        </w:rPr>
        <w:t>פנחסי</w:t>
      </w:r>
      <w:r w:rsidRPr="00B00F53">
        <w:rPr>
          <w:rFonts w:hint="cs"/>
          <w:sz w:val="22"/>
          <w:rtl/>
        </w:rPr>
        <w:t xml:space="preserve">, בעמ' </w:t>
      </w:r>
      <w:r>
        <w:rPr>
          <w:rFonts w:hint="cs"/>
          <w:sz w:val="22"/>
          <w:rtl/>
        </w:rPr>
        <w:t>464</w:t>
      </w:r>
      <w:r w:rsidRPr="00B00F53">
        <w:rPr>
          <w:rFonts w:hint="cs"/>
          <w:sz w:val="22"/>
          <w:rtl/>
        </w:rPr>
        <w:t xml:space="preserve">; </w:t>
      </w:r>
      <w:r w:rsidRPr="00B00F53">
        <w:rPr>
          <w:rFonts w:hint="eastAsia"/>
          <w:rtl/>
        </w:rPr>
        <w:t>בג</w:t>
      </w:r>
      <w:r w:rsidRPr="00B00F53">
        <w:rPr>
          <w:rtl/>
        </w:rPr>
        <w:t>"</w:t>
      </w:r>
      <w:r w:rsidRPr="00B00F53">
        <w:rPr>
          <w:rFonts w:hint="eastAsia"/>
          <w:rtl/>
        </w:rPr>
        <w:t>ץ</w:t>
      </w:r>
      <w:r w:rsidRPr="00B00F53">
        <w:rPr>
          <w:rtl/>
        </w:rPr>
        <w:t xml:space="preserve"> 320/96 </w:t>
      </w:r>
      <w:r w:rsidRPr="00B00F53">
        <w:rPr>
          <w:rFonts w:cs="Miriam" w:hint="eastAsia"/>
          <w:b/>
          <w:spacing w:val="0"/>
          <w:szCs w:val="24"/>
          <w:rtl/>
        </w:rPr>
        <w:t>גרמן</w:t>
      </w:r>
      <w:r w:rsidRPr="00B00F53">
        <w:rPr>
          <w:rFonts w:cs="Miriam"/>
          <w:b/>
          <w:spacing w:val="0"/>
          <w:szCs w:val="24"/>
          <w:rtl/>
        </w:rPr>
        <w:t xml:space="preserve"> </w:t>
      </w:r>
      <w:r w:rsidRPr="00B00F53">
        <w:rPr>
          <w:rFonts w:cs="Miriam" w:hint="eastAsia"/>
          <w:b/>
          <w:spacing w:val="0"/>
          <w:szCs w:val="24"/>
          <w:rtl/>
        </w:rPr>
        <w:t>נ</w:t>
      </w:r>
      <w:r w:rsidRPr="00B00F53">
        <w:rPr>
          <w:rFonts w:cs="Miriam"/>
          <w:b/>
          <w:spacing w:val="0"/>
          <w:szCs w:val="24"/>
          <w:rtl/>
        </w:rPr>
        <w:t xml:space="preserve">' </w:t>
      </w:r>
      <w:r w:rsidRPr="00B00F53">
        <w:rPr>
          <w:rFonts w:cs="Miriam" w:hint="eastAsia"/>
          <w:b/>
          <w:spacing w:val="0"/>
          <w:szCs w:val="24"/>
          <w:rtl/>
        </w:rPr>
        <w:t>מועצת</w:t>
      </w:r>
      <w:r w:rsidRPr="00B00F53">
        <w:rPr>
          <w:rFonts w:cs="Miriam"/>
          <w:b/>
          <w:spacing w:val="0"/>
          <w:szCs w:val="24"/>
          <w:rtl/>
        </w:rPr>
        <w:t xml:space="preserve"> </w:t>
      </w:r>
      <w:r w:rsidRPr="00B00F53">
        <w:rPr>
          <w:rFonts w:cs="Miriam" w:hint="eastAsia"/>
          <w:b/>
          <w:spacing w:val="0"/>
          <w:szCs w:val="24"/>
          <w:rtl/>
        </w:rPr>
        <w:t>עיריית</w:t>
      </w:r>
      <w:r w:rsidRPr="00B00F53">
        <w:rPr>
          <w:rFonts w:cs="Miriam"/>
          <w:b/>
          <w:spacing w:val="0"/>
          <w:szCs w:val="24"/>
          <w:rtl/>
        </w:rPr>
        <w:t xml:space="preserve"> </w:t>
      </w:r>
      <w:r w:rsidRPr="00B00F53">
        <w:rPr>
          <w:rFonts w:cs="Miriam" w:hint="eastAsia"/>
          <w:b/>
          <w:spacing w:val="0"/>
          <w:szCs w:val="24"/>
          <w:rtl/>
        </w:rPr>
        <w:t>הרצליה</w:t>
      </w:r>
      <w:r w:rsidRPr="00B00F53">
        <w:rPr>
          <w:rFonts w:hint="cs"/>
          <w:rtl/>
        </w:rPr>
        <w:t xml:space="preserve">, פ"ד </w:t>
      </w:r>
      <w:r w:rsidRPr="00B00F53">
        <w:rPr>
          <w:rFonts w:hint="eastAsia"/>
          <w:rtl/>
        </w:rPr>
        <w:t>נב</w:t>
      </w:r>
      <w:r w:rsidRPr="00B00F53">
        <w:rPr>
          <w:rtl/>
        </w:rPr>
        <w:t>(2) 222</w:t>
      </w:r>
      <w:r w:rsidRPr="00B00F53">
        <w:rPr>
          <w:rFonts w:hint="cs"/>
          <w:rtl/>
        </w:rPr>
        <w:t xml:space="preserve">, 238 </w:t>
      </w:r>
      <w:r w:rsidRPr="00B00F53">
        <w:rPr>
          <w:rtl/>
        </w:rPr>
        <w:t>(1998)</w:t>
      </w:r>
      <w:r w:rsidRPr="00B00F53">
        <w:rPr>
          <w:rFonts w:hint="cs"/>
          <w:sz w:val="22"/>
          <w:rtl/>
        </w:rPr>
        <w:t xml:space="preserve">; </w:t>
      </w:r>
      <w:r w:rsidRPr="00B00F53">
        <w:rPr>
          <w:rFonts w:hint="eastAsia"/>
          <w:rtl/>
        </w:rPr>
        <w:t>בג</w:t>
      </w:r>
      <w:r w:rsidRPr="00B00F53">
        <w:rPr>
          <w:rtl/>
        </w:rPr>
        <w:t>"</w:t>
      </w:r>
      <w:r w:rsidRPr="00B00F53">
        <w:rPr>
          <w:rFonts w:hint="eastAsia"/>
          <w:rtl/>
        </w:rPr>
        <w:t>ץ</w:t>
      </w:r>
      <w:r w:rsidRPr="00B00F53">
        <w:rPr>
          <w:rtl/>
        </w:rPr>
        <w:t xml:space="preserve"> 5331/13 </w:t>
      </w:r>
      <w:r w:rsidRPr="00B00F53">
        <w:rPr>
          <w:rFonts w:cs="Miriam" w:hint="eastAsia"/>
          <w:b/>
          <w:spacing w:val="0"/>
          <w:szCs w:val="24"/>
          <w:rtl/>
        </w:rPr>
        <w:t>טייב</w:t>
      </w:r>
      <w:r w:rsidRPr="00B00F53">
        <w:rPr>
          <w:rFonts w:cs="Miriam"/>
          <w:b/>
          <w:spacing w:val="0"/>
          <w:szCs w:val="24"/>
          <w:rtl/>
        </w:rPr>
        <w:t xml:space="preserve"> </w:t>
      </w:r>
      <w:r w:rsidRPr="00B00F53">
        <w:rPr>
          <w:rFonts w:cs="Miriam" w:hint="eastAsia"/>
          <w:b/>
          <w:spacing w:val="0"/>
          <w:szCs w:val="24"/>
          <w:rtl/>
        </w:rPr>
        <w:t>נ</w:t>
      </w:r>
      <w:r w:rsidRPr="00B00F53">
        <w:rPr>
          <w:rFonts w:cs="Miriam"/>
          <w:b/>
          <w:spacing w:val="0"/>
          <w:szCs w:val="24"/>
          <w:rtl/>
        </w:rPr>
        <w:t xml:space="preserve">' </w:t>
      </w:r>
      <w:r w:rsidRPr="00B00F53">
        <w:rPr>
          <w:rFonts w:cs="Miriam" w:hint="eastAsia"/>
          <w:b/>
          <w:spacing w:val="0"/>
          <w:szCs w:val="24"/>
          <w:rtl/>
        </w:rPr>
        <w:t>היועץ</w:t>
      </w:r>
      <w:r w:rsidRPr="00B00F53">
        <w:rPr>
          <w:rFonts w:cs="Miriam"/>
          <w:b/>
          <w:spacing w:val="0"/>
          <w:szCs w:val="24"/>
          <w:rtl/>
        </w:rPr>
        <w:t xml:space="preserve"> </w:t>
      </w:r>
      <w:r w:rsidRPr="00B00F53">
        <w:rPr>
          <w:rFonts w:cs="Miriam" w:hint="eastAsia"/>
          <w:b/>
          <w:spacing w:val="0"/>
          <w:szCs w:val="24"/>
          <w:rtl/>
        </w:rPr>
        <w:t>המשפטי</w:t>
      </w:r>
      <w:r w:rsidRPr="00B00F53">
        <w:rPr>
          <w:rFonts w:cs="Miriam"/>
          <w:b/>
          <w:spacing w:val="0"/>
          <w:szCs w:val="24"/>
          <w:rtl/>
        </w:rPr>
        <w:t xml:space="preserve"> </w:t>
      </w:r>
      <w:r w:rsidRPr="00B00F53">
        <w:rPr>
          <w:rFonts w:cs="Miriam" w:hint="eastAsia"/>
          <w:b/>
          <w:spacing w:val="0"/>
          <w:szCs w:val="24"/>
          <w:rtl/>
        </w:rPr>
        <w:t>לממשלה</w:t>
      </w:r>
      <w:r w:rsidRPr="00B00F53">
        <w:rPr>
          <w:rFonts w:hint="cs"/>
          <w:rtl/>
        </w:rPr>
        <w:t xml:space="preserve">, פסקה כ"ח לפסק דינו של השופט </w:t>
      </w:r>
      <w:r w:rsidRPr="00B00F53">
        <w:rPr>
          <w:rFonts w:cs="Miriam" w:hint="cs"/>
          <w:b/>
          <w:spacing w:val="0"/>
          <w:szCs w:val="24"/>
          <w:rtl/>
        </w:rPr>
        <w:t>רובינשטיין</w:t>
      </w:r>
      <w:r w:rsidRPr="00B00F53">
        <w:rPr>
          <w:rtl/>
        </w:rPr>
        <w:t xml:space="preserve"> (25.</w:t>
      </w:r>
      <w:r w:rsidRPr="00B00F53">
        <w:rPr>
          <w:rFonts w:hint="cs"/>
          <w:rtl/>
        </w:rPr>
        <w:t>2</w:t>
      </w:r>
      <w:r w:rsidRPr="00B00F53">
        <w:rPr>
          <w:rtl/>
        </w:rPr>
        <w:t>.2014)</w:t>
      </w:r>
      <w:r w:rsidRPr="00B00F53">
        <w:rPr>
          <w:rFonts w:hint="cs"/>
          <w:sz w:val="22"/>
          <w:rtl/>
        </w:rPr>
        <w:t>)</w:t>
      </w:r>
      <w:r w:rsidRPr="00B00F53">
        <w:rPr>
          <w:rFonts w:hint="cs"/>
          <w:rtl/>
        </w:rPr>
        <w:t>.</w:t>
      </w:r>
      <w:r>
        <w:rPr>
          <w:rFonts w:hint="cs"/>
          <w:rtl/>
        </w:rPr>
        <w:t xml:space="preserve"> </w:t>
      </w:r>
    </w:p>
    <w:p w:rsidR="00C044AE" w:rsidRPr="00B00F53" w:rsidRDefault="00C044AE" w:rsidP="00C044AE">
      <w:pPr>
        <w:pStyle w:val="Ruller4"/>
        <w:numPr>
          <w:ilvl w:val="0"/>
          <w:numId w:val="0"/>
        </w:numPr>
        <w:rPr>
          <w:rtl/>
        </w:rPr>
      </w:pPr>
    </w:p>
    <w:p w:rsidR="00C044AE" w:rsidRPr="006B4B7A" w:rsidRDefault="00C044AE" w:rsidP="00C044AE">
      <w:pPr>
        <w:pStyle w:val="Ruller4"/>
      </w:pPr>
      <w:r>
        <w:rPr>
          <w:rFonts w:hint="cs"/>
          <w:rtl/>
        </w:rPr>
        <w:lastRenderedPageBreak/>
        <w:t>בהתאם לכללי המשפט המינהלי הנוהגים עמנו מימים ימימה, ה</w:t>
      </w:r>
      <w:r w:rsidRPr="004B1671">
        <w:rPr>
          <w:rtl/>
        </w:rPr>
        <w:t>מופרכוּת</w:t>
      </w:r>
      <w:r>
        <w:rPr>
          <w:rFonts w:hint="cs"/>
          <w:rtl/>
        </w:rPr>
        <w:t xml:space="preserve"> נטועה, אפוא, בעילת הסבירות ובהיעדר עיגון לשוני מפורש לכך, לא ניתן להציב</w:t>
      </w:r>
      <w:r w:rsidRPr="00B00F53">
        <w:rPr>
          <w:rFonts w:hint="cs"/>
          <w:rtl/>
        </w:rPr>
        <w:t xml:space="preserve"> גבול</w:t>
      </w:r>
      <w:r>
        <w:rPr>
          <w:rFonts w:hint="cs"/>
          <w:rtl/>
        </w:rPr>
        <w:t xml:space="preserve"> פרשני</w:t>
      </w:r>
      <w:r w:rsidRPr="00B00F53">
        <w:rPr>
          <w:rFonts w:hint="cs"/>
          <w:rtl/>
        </w:rPr>
        <w:t xml:space="preserve"> שרירותי ה</w:t>
      </w:r>
      <w:r>
        <w:rPr>
          <w:rFonts w:hint="cs"/>
          <w:rtl/>
        </w:rPr>
        <w:t xml:space="preserve">מפרק את העילה לגורמים ומנתק את החיבור הקיים בין כלל מובניה. </w:t>
      </w:r>
      <w:r w:rsidRPr="00C54D74">
        <w:rPr>
          <w:rFonts w:hint="cs"/>
          <w:rtl/>
        </w:rPr>
        <w:t xml:space="preserve"> </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 xml:space="preserve">על כן, וכפי שאף הדגישו משיבי הממשלה ויו"ר ועדת החוקה בטיעוניהם, המשמעות הברורה של לשון התיקון, שאינה משתמעת לשתי פנים, היא כי הוא מונע כל ביקורת שיפוטית ביחס לשיקול הדעת של הדרג הנבחר מכוח עילת הסבירות, על כלל מובניה, לרבות ביחס להחלטות מופרכות. </w:t>
      </w:r>
    </w:p>
    <w:p w:rsidR="00C044AE" w:rsidRDefault="00C044AE" w:rsidP="00C044AE">
      <w:pPr>
        <w:pStyle w:val="Ruller41"/>
        <w:rPr>
          <w:rtl/>
        </w:rPr>
      </w:pPr>
    </w:p>
    <w:p w:rsidR="00C044AE" w:rsidRPr="00B00F53" w:rsidRDefault="00C044AE" w:rsidP="00C044AE">
      <w:pPr>
        <w:pStyle w:val="Ruller4"/>
      </w:pPr>
      <w:r w:rsidRPr="00B00F53">
        <w:rPr>
          <w:rFonts w:hint="cs"/>
          <w:rtl/>
        </w:rPr>
        <w:t>אפילו</w:t>
      </w:r>
      <w:r w:rsidRPr="00B00F53">
        <w:rPr>
          <w:rtl/>
        </w:rPr>
        <w:t xml:space="preserve"> </w:t>
      </w:r>
      <w:r w:rsidRPr="00B00F53">
        <w:rPr>
          <w:rFonts w:hint="eastAsia"/>
          <w:rtl/>
        </w:rPr>
        <w:t>אניח</w:t>
      </w:r>
      <w:r>
        <w:rPr>
          <w:rFonts w:hint="cs"/>
          <w:rtl/>
        </w:rPr>
        <w:t>, לצורך הדיון בלבד,</w:t>
      </w:r>
      <w:r w:rsidRPr="00B00F53">
        <w:rPr>
          <w:rtl/>
        </w:rPr>
        <w:t xml:space="preserve"> </w:t>
      </w:r>
      <w:r w:rsidRPr="00B00F53">
        <w:rPr>
          <w:rFonts w:hint="eastAsia"/>
          <w:rtl/>
        </w:rPr>
        <w:t>כי</w:t>
      </w:r>
      <w:r w:rsidRPr="00B00F53">
        <w:rPr>
          <w:rtl/>
        </w:rPr>
        <w:t xml:space="preserve"> </w:t>
      </w:r>
      <w:r w:rsidRPr="00B00F53">
        <w:rPr>
          <w:rFonts w:hint="cs"/>
          <w:rtl/>
        </w:rPr>
        <w:t>לשון התיקון סובלת</w:t>
      </w:r>
      <w:r w:rsidRPr="001C2C43">
        <w:rPr>
          <w:rFonts w:hint="cs"/>
          <w:rtl/>
        </w:rPr>
        <w:t xml:space="preserve"> </w:t>
      </w:r>
      <w:r>
        <w:rPr>
          <w:rFonts w:hint="cs"/>
          <w:rtl/>
        </w:rPr>
        <w:t>בדוחק</w:t>
      </w:r>
      <w:r w:rsidRPr="00B00F53">
        <w:rPr>
          <w:rFonts w:hint="cs"/>
          <w:rtl/>
        </w:rPr>
        <w:t xml:space="preserve"> את הפרשנות המוצעת על ידי </w:t>
      </w:r>
      <w:r>
        <w:rPr>
          <w:rFonts w:hint="cs"/>
          <w:rtl/>
        </w:rPr>
        <w:t xml:space="preserve">בא-כוח </w:t>
      </w:r>
      <w:r w:rsidRPr="00B00F53">
        <w:rPr>
          <w:rFonts w:hint="cs"/>
          <w:rtl/>
        </w:rPr>
        <w:t>הכנסת</w:t>
      </w:r>
      <w:r>
        <w:rPr>
          <w:rFonts w:hint="cs"/>
          <w:rtl/>
        </w:rPr>
        <w:t>,</w:t>
      </w:r>
      <w:r w:rsidRPr="00B00F53">
        <w:rPr>
          <w:rFonts w:hint="cs"/>
          <w:rtl/>
        </w:rPr>
        <w:t xml:space="preserve"> קשה להתעלם מכך שפרשנות זו עומדת בסתירה ברורה לתכלית הסובייקטיבית של התיקון, כפי שהיא נלמדת מההיסטוריה החקיקתית שלו</w:t>
      </w:r>
      <w:r>
        <w:rPr>
          <w:rFonts w:hint="cs"/>
          <w:rtl/>
        </w:rPr>
        <w:t xml:space="preserve"> וכפי שהובנה על ידי כלל הגורמים המעורבים בחקיקתו, ובכללם הייעוץ המשפטי לכנסת עצמו</w:t>
      </w:r>
      <w:r w:rsidRPr="00B00F53">
        <w:rPr>
          <w:rFonts w:hint="cs"/>
          <w:rtl/>
        </w:rPr>
        <w:t xml:space="preserve">. </w:t>
      </w:r>
      <w:r>
        <w:rPr>
          <w:rFonts w:hint="cs"/>
          <w:rtl/>
        </w:rPr>
        <w:t xml:space="preserve">כך, </w:t>
      </w:r>
      <w:r w:rsidRPr="00B00F53">
        <w:rPr>
          <w:rFonts w:hint="cs"/>
          <w:rtl/>
        </w:rPr>
        <w:t>לאורך</w:t>
      </w:r>
      <w:r>
        <w:rPr>
          <w:rFonts w:hint="cs"/>
          <w:rtl/>
        </w:rPr>
        <w:t xml:space="preserve"> כל</w:t>
      </w:r>
      <w:r w:rsidRPr="00B00F53">
        <w:rPr>
          <w:rFonts w:hint="cs"/>
          <w:rtl/>
        </w:rPr>
        <w:t xml:space="preserve"> הליך החקיקה</w:t>
      </w:r>
      <w:r w:rsidRPr="00B00F53">
        <w:rPr>
          <w:rtl/>
        </w:rPr>
        <w:t xml:space="preserve"> </w:t>
      </w:r>
      <w:r w:rsidRPr="00B00F53">
        <w:rPr>
          <w:rFonts w:hint="eastAsia"/>
          <w:rtl/>
        </w:rPr>
        <w:t>עמדו</w:t>
      </w:r>
      <w:r w:rsidRPr="00B00F53">
        <w:rPr>
          <w:rtl/>
        </w:rPr>
        <w:t xml:space="preserve"> </w:t>
      </w:r>
      <w:r w:rsidRPr="00B00F53">
        <w:rPr>
          <w:rFonts w:hint="cs"/>
          <w:rtl/>
        </w:rPr>
        <w:t xml:space="preserve">גורמי הייעוץ המשפטי לוועדה ולממשלה, </w:t>
      </w:r>
      <w:r>
        <w:rPr>
          <w:rFonts w:hint="cs"/>
          <w:rtl/>
        </w:rPr>
        <w:t>וכן</w:t>
      </w:r>
      <w:r w:rsidRPr="00B00F53">
        <w:rPr>
          <w:rFonts w:hint="cs"/>
          <w:rtl/>
        </w:rPr>
        <w:t xml:space="preserve"> משפטנים ואנשי מקצוע נוספים, על הקשיים הטמונים </w:t>
      </w:r>
      <w:r w:rsidRPr="00B00F53">
        <w:rPr>
          <w:rFonts w:hint="eastAsia"/>
          <w:rtl/>
        </w:rPr>
        <w:t>בנוסחו</w:t>
      </w:r>
      <w:r w:rsidRPr="00B00F53">
        <w:rPr>
          <w:rtl/>
        </w:rPr>
        <w:t xml:space="preserve"> </w:t>
      </w:r>
      <w:r w:rsidRPr="00B00F53">
        <w:rPr>
          <w:rFonts w:hint="eastAsia"/>
          <w:rtl/>
        </w:rPr>
        <w:t>הגורף</w:t>
      </w:r>
      <w:r w:rsidRPr="00B00F53">
        <w:rPr>
          <w:rtl/>
        </w:rPr>
        <w:t xml:space="preserve"> </w:t>
      </w:r>
      <w:r>
        <w:rPr>
          <w:rFonts w:hint="cs"/>
          <w:rtl/>
        </w:rPr>
        <w:t>והבלתי מסויג</w:t>
      </w:r>
      <w:r w:rsidRPr="00B00F53">
        <w:rPr>
          <w:rtl/>
        </w:rPr>
        <w:t xml:space="preserve"> </w:t>
      </w:r>
      <w:r w:rsidRPr="00B00F53">
        <w:rPr>
          <w:rFonts w:hint="eastAsia"/>
          <w:rtl/>
        </w:rPr>
        <w:t>של</w:t>
      </w:r>
      <w:r w:rsidRPr="00B00F53">
        <w:rPr>
          <w:rtl/>
        </w:rPr>
        <w:t xml:space="preserve"> </w:t>
      </w:r>
      <w:r w:rsidRPr="00B00F53">
        <w:rPr>
          <w:rFonts w:hint="cs"/>
          <w:color w:val="000000" w:themeColor="text1"/>
          <w:rtl/>
        </w:rPr>
        <w:t xml:space="preserve">התיקון המוצע, השולל </w:t>
      </w:r>
      <w:r>
        <w:rPr>
          <w:rFonts w:hint="cs"/>
          <w:color w:val="000000" w:themeColor="text1"/>
          <w:rtl/>
        </w:rPr>
        <w:t xml:space="preserve">לחלוטין </w:t>
      </w:r>
      <w:r w:rsidRPr="00B00F53">
        <w:rPr>
          <w:rFonts w:hint="cs"/>
          <w:color w:val="000000" w:themeColor="text1"/>
          <w:rtl/>
        </w:rPr>
        <w:t>את הביקורת השיפוטית בעילת הסבירות</w:t>
      </w:r>
      <w:r>
        <w:rPr>
          <w:rFonts w:hint="cs"/>
          <w:color w:val="000000" w:themeColor="text1"/>
          <w:rtl/>
        </w:rPr>
        <w:t>,</w:t>
      </w:r>
      <w:r w:rsidRPr="00B00F53">
        <w:rPr>
          <w:rFonts w:hint="cs"/>
          <w:color w:val="000000" w:themeColor="text1"/>
          <w:rtl/>
        </w:rPr>
        <w:t xml:space="preserve"> ללא הבחנה בין מובניה השונים של העילה או בין סוגים שונים של החלטות הדרג הנבחר. </w:t>
      </w:r>
      <w:r>
        <w:rPr>
          <w:rFonts w:hint="cs"/>
          <w:rtl/>
        </w:rPr>
        <w:t xml:space="preserve">עמדה זו קיבלה ביטוי, בין היתר, </w:t>
      </w:r>
      <w:r w:rsidRPr="00B00F53">
        <w:rPr>
          <w:rFonts w:hint="cs"/>
          <w:rtl/>
        </w:rPr>
        <w:t>כבר במסמך ההכנה מיום 23.6.2023</w:t>
      </w:r>
      <w:r>
        <w:rPr>
          <w:rFonts w:hint="cs"/>
          <w:rtl/>
        </w:rPr>
        <w:t>, בו</w:t>
      </w:r>
      <w:r w:rsidRPr="00B00F53">
        <w:rPr>
          <w:rFonts w:hint="cs"/>
          <w:rtl/>
        </w:rPr>
        <w:t xml:space="preserve"> הצביע הייעוץ המשפטי לוועדה על כך שהתיקון המוצע אינו מבטל</w:t>
      </w:r>
      <w:r w:rsidRPr="007015D8">
        <w:rPr>
          <w:rFonts w:hint="cs"/>
          <w:color w:val="000000" w:themeColor="text1"/>
          <w:rtl/>
        </w:rPr>
        <w:t xml:space="preserve"> את עילת הסבירות אך כמובנה בעניין </w:t>
      </w:r>
      <w:r w:rsidRPr="007015D8">
        <w:rPr>
          <w:rFonts w:cs="Miriam" w:hint="cs"/>
          <w:b/>
          <w:color w:val="000000" w:themeColor="text1"/>
          <w:spacing w:val="0"/>
          <w:szCs w:val="24"/>
          <w:rtl/>
        </w:rPr>
        <w:t>דפי זהב</w:t>
      </w:r>
      <w:r w:rsidRPr="007015D8">
        <w:rPr>
          <w:rFonts w:hint="cs"/>
          <w:color w:val="000000" w:themeColor="text1"/>
          <w:rtl/>
        </w:rPr>
        <w:t>, אלא שולל באופן קטגורי את השימוש בה, לרבות במובנה הצר כ"</w:t>
      </w:r>
      <w:r w:rsidRPr="004B1671">
        <w:rPr>
          <w:color w:val="000000" w:themeColor="text1"/>
          <w:rtl/>
        </w:rPr>
        <w:t>מופרכוּת</w:t>
      </w:r>
      <w:r w:rsidRPr="007015D8">
        <w:rPr>
          <w:rFonts w:hint="cs"/>
          <w:color w:val="000000" w:themeColor="text1"/>
          <w:rtl/>
        </w:rPr>
        <w:t>" (עמ' 8 למסמך ההכנה).</w:t>
      </w:r>
      <w:r w:rsidRPr="00B00F53">
        <w:rPr>
          <w:rFonts w:hint="cs"/>
          <w:rtl/>
        </w:rPr>
        <w:t xml:space="preserve"> </w:t>
      </w:r>
    </w:p>
    <w:p w:rsidR="00C044AE" w:rsidRPr="00B00F53" w:rsidRDefault="00C044AE" w:rsidP="00C044AE">
      <w:pPr>
        <w:pStyle w:val="Ruller4"/>
        <w:numPr>
          <w:ilvl w:val="0"/>
          <w:numId w:val="0"/>
        </w:numPr>
      </w:pPr>
    </w:p>
    <w:p w:rsidR="00C044AE" w:rsidRPr="006B4B7A" w:rsidRDefault="00C044AE" w:rsidP="00C044AE">
      <w:pPr>
        <w:pStyle w:val="Ruller4"/>
        <w:rPr>
          <w:rtl/>
        </w:rPr>
      </w:pPr>
      <w:r w:rsidRPr="00B00F53">
        <w:rPr>
          <w:rFonts w:hint="cs"/>
          <w:rtl/>
        </w:rPr>
        <w:t>דברי ההסבר של הצעת התיקון</w:t>
      </w:r>
      <w:r>
        <w:rPr>
          <w:rFonts w:hint="cs"/>
          <w:rtl/>
        </w:rPr>
        <w:t>,</w:t>
      </w:r>
      <w:r w:rsidRPr="00B00F53">
        <w:rPr>
          <w:rFonts w:hint="cs"/>
          <w:rtl/>
        </w:rPr>
        <w:t xml:space="preserve"> כפי שהונחה לקריאה ראשונה ביום 5.7.2023</w:t>
      </w:r>
      <w:r>
        <w:rPr>
          <w:rFonts w:hint="cs"/>
          <w:rtl/>
        </w:rPr>
        <w:t>,</w:t>
      </w:r>
      <w:r w:rsidRPr="00B00F53">
        <w:rPr>
          <w:rFonts w:hint="cs"/>
          <w:rtl/>
        </w:rPr>
        <w:t xml:space="preserve"> </w:t>
      </w:r>
      <w:r>
        <w:rPr>
          <w:rFonts w:hint="cs"/>
          <w:rtl/>
        </w:rPr>
        <w:t xml:space="preserve">כללו אומנם ציטוט מפסק הדין בעניין </w:t>
      </w:r>
      <w:r w:rsidRPr="006B4B7A">
        <w:rPr>
          <w:rFonts w:ascii="Century" w:hAnsi="Century" w:cs="Miriam" w:hint="cs"/>
          <w:b/>
          <w:spacing w:val="0"/>
          <w:sz w:val="22"/>
          <w:szCs w:val="24"/>
          <w:rtl/>
        </w:rPr>
        <w:t>דפי זהב</w:t>
      </w:r>
      <w:r w:rsidRPr="006B4B7A">
        <w:rPr>
          <w:rFonts w:hint="cs"/>
          <w:rtl/>
        </w:rPr>
        <w:t xml:space="preserve"> </w:t>
      </w:r>
      <w:r>
        <w:rPr>
          <w:rFonts w:hint="cs"/>
          <w:rtl/>
        </w:rPr>
        <w:t xml:space="preserve">לצורך תיאור </w:t>
      </w:r>
      <w:r w:rsidRPr="00B00F53">
        <w:rPr>
          <w:rFonts w:hint="cs"/>
          <w:rtl/>
        </w:rPr>
        <w:t xml:space="preserve">עילת </w:t>
      </w:r>
      <w:r>
        <w:rPr>
          <w:rFonts w:hint="cs"/>
          <w:rtl/>
        </w:rPr>
        <w:t>ה</w:t>
      </w:r>
      <w:r w:rsidRPr="00B00F53">
        <w:rPr>
          <w:rFonts w:hint="cs"/>
          <w:rtl/>
        </w:rPr>
        <w:t>סבירות</w:t>
      </w:r>
      <w:r>
        <w:rPr>
          <w:rFonts w:hint="cs"/>
          <w:rtl/>
        </w:rPr>
        <w:t xml:space="preserve"> כיום,</w:t>
      </w:r>
      <w:r w:rsidRPr="00B00F53">
        <w:rPr>
          <w:rFonts w:hint="cs"/>
          <w:rtl/>
        </w:rPr>
        <w:t xml:space="preserve"> </w:t>
      </w:r>
      <w:r>
        <w:rPr>
          <w:rFonts w:hint="cs"/>
          <w:rtl/>
        </w:rPr>
        <w:t xml:space="preserve">וכן צוין כי לגבי השימוש בעילת הסבירות במובנה זה עלתה הטענה כי </w:t>
      </w:r>
      <w:r w:rsidRPr="00B00F53">
        <w:rPr>
          <w:rFonts w:hint="cs"/>
          <w:rtl/>
        </w:rPr>
        <w:t>"</w:t>
      </w:r>
      <w:r w:rsidRPr="00B00F53">
        <w:rPr>
          <w:rtl/>
        </w:rPr>
        <w:t>קביעת האיזון הערכי בין השיקולים השונים הנוגעים להחלטה מינהלית צריכה להיות נתונה לנבחרי הציבור ולא לבית המשפט</w:t>
      </w:r>
      <w:r w:rsidRPr="00B00F53">
        <w:rPr>
          <w:rFonts w:hint="cs"/>
          <w:rtl/>
        </w:rPr>
        <w:t>". עם זאת, היועץ המשפטי לוועדה, עו"ד בליי</w:t>
      </w:r>
      <w:r>
        <w:rPr>
          <w:rFonts w:hint="cs"/>
          <w:rtl/>
        </w:rPr>
        <w:t xml:space="preserve"> שב והבהיר </w:t>
      </w:r>
      <w:r w:rsidRPr="00B00F53">
        <w:rPr>
          <w:rFonts w:hint="cs"/>
          <w:rtl/>
        </w:rPr>
        <w:t>גם לאחר פרסום דברי ההסבר</w:t>
      </w:r>
      <w:r>
        <w:rPr>
          <w:rFonts w:hint="cs"/>
          <w:rtl/>
        </w:rPr>
        <w:t>,</w:t>
      </w:r>
      <w:r w:rsidRPr="00B00F53">
        <w:rPr>
          <w:rFonts w:hint="cs"/>
          <w:rtl/>
        </w:rPr>
        <w:t xml:space="preserve"> כי נוסח התיקון "לא מותיר ביחס לנבחרי ציבור עילה של חוסר סבירות קיצונית במובן של </w:t>
      </w:r>
      <w:r w:rsidRPr="004B1671">
        <w:rPr>
          <w:rtl/>
          <w:lang w:eastAsia="he-IL"/>
        </w:rPr>
        <w:t>מופרכוּת</w:t>
      </w:r>
      <w:r w:rsidRPr="00B00F53">
        <w:rPr>
          <w:rFonts w:hint="cs"/>
          <w:rtl/>
        </w:rPr>
        <w:t>" (פרוטוקול ישיבה 121</w:t>
      </w:r>
      <w:r>
        <w:rPr>
          <w:rFonts w:hint="cs"/>
          <w:rtl/>
        </w:rPr>
        <w:t>,</w:t>
      </w:r>
      <w:r w:rsidRPr="00B00F53">
        <w:rPr>
          <w:rFonts w:hint="cs"/>
          <w:rtl/>
        </w:rPr>
        <w:t xml:space="preserve"> </w:t>
      </w:r>
      <w:r>
        <w:rPr>
          <w:rFonts w:hint="cs"/>
          <w:rtl/>
        </w:rPr>
        <w:t>בעמ'</w:t>
      </w:r>
      <w:r w:rsidRPr="00B00F53">
        <w:rPr>
          <w:rFonts w:hint="cs"/>
          <w:rtl/>
        </w:rPr>
        <w:t xml:space="preserve"> 11). כלומר, בראיית הייעוץ המשפטי לוועדה, אשר ניסח את דברי ההסבר</w:t>
      </w:r>
      <w:r>
        <w:rPr>
          <w:rFonts w:hint="cs"/>
          <w:rtl/>
        </w:rPr>
        <w:t xml:space="preserve"> </w:t>
      </w:r>
      <w:r w:rsidRPr="00B00F53">
        <w:rPr>
          <w:rFonts w:hint="cs"/>
          <w:rtl/>
        </w:rPr>
        <w:t>(</w:t>
      </w:r>
      <w:r>
        <w:rPr>
          <w:rFonts w:hint="cs"/>
          <w:rtl/>
        </w:rPr>
        <w:t>ראו:</w:t>
      </w:r>
      <w:r w:rsidRPr="00B00F53">
        <w:rPr>
          <w:rFonts w:hint="cs"/>
          <w:rtl/>
        </w:rPr>
        <w:t xml:space="preserve"> </w:t>
      </w:r>
      <w:r>
        <w:rPr>
          <w:rFonts w:hint="cs"/>
          <w:rtl/>
        </w:rPr>
        <w:t xml:space="preserve">הבהרת </w:t>
      </w:r>
      <w:r w:rsidRPr="00B00F53">
        <w:rPr>
          <w:rFonts w:hint="cs"/>
          <w:rtl/>
        </w:rPr>
        <w:t>ח"כ רוטמן ובא-כוח הכנסת בדיון שהתקיים בפנינו</w:t>
      </w:r>
      <w:r>
        <w:rPr>
          <w:rFonts w:hint="cs"/>
          <w:rtl/>
        </w:rPr>
        <w:t>, בעמ'</w:t>
      </w:r>
      <w:r w:rsidRPr="00B00F53">
        <w:rPr>
          <w:rFonts w:hint="cs"/>
          <w:rtl/>
        </w:rPr>
        <w:t xml:space="preserve"> 38 ו-</w:t>
      </w:r>
      <w:r>
        <w:rPr>
          <w:rFonts w:hint="cs"/>
          <w:rtl/>
        </w:rPr>
        <w:t>194-193</w:t>
      </w:r>
      <w:r w:rsidRPr="00B00F53">
        <w:rPr>
          <w:rFonts w:hint="cs"/>
          <w:rtl/>
        </w:rPr>
        <w:t xml:space="preserve"> לפרוטוקול הדיון מיום 12.9.2023</w:t>
      </w:r>
      <w:r>
        <w:rPr>
          <w:rFonts w:hint="cs"/>
          <w:rtl/>
        </w:rPr>
        <w:t>; פסקה 6(ד) להשלמת הטיעון מטעם הכנסת</w:t>
      </w:r>
      <w:r w:rsidRPr="00B00F53">
        <w:rPr>
          <w:rFonts w:hint="cs"/>
          <w:rtl/>
        </w:rPr>
        <w:t xml:space="preserve">), האזכור של עניין </w:t>
      </w:r>
      <w:r w:rsidRPr="00B00F53">
        <w:rPr>
          <w:rFonts w:cs="Miriam" w:hint="cs"/>
          <w:b/>
          <w:spacing w:val="0"/>
          <w:sz w:val="22"/>
          <w:szCs w:val="24"/>
          <w:rtl/>
        </w:rPr>
        <w:t xml:space="preserve">דפי זהב </w:t>
      </w:r>
      <w:r w:rsidRPr="00B00F53">
        <w:rPr>
          <w:rFonts w:hint="cs"/>
          <w:sz w:val="22"/>
          <w:rtl/>
        </w:rPr>
        <w:t>בדברי ההסבר</w:t>
      </w:r>
      <w:r w:rsidRPr="00B00F53">
        <w:rPr>
          <w:rFonts w:hint="cs"/>
          <w:rtl/>
        </w:rPr>
        <w:t xml:space="preserve"> אין משמעו כי התיקון נועד לחול </w:t>
      </w:r>
      <w:r>
        <w:rPr>
          <w:rFonts w:hint="cs"/>
          <w:rtl/>
        </w:rPr>
        <w:t xml:space="preserve">על </w:t>
      </w:r>
      <w:r w:rsidRPr="00B00F53">
        <w:rPr>
          <w:rFonts w:hint="cs"/>
          <w:rtl/>
        </w:rPr>
        <w:t xml:space="preserve">עילת הסבירות </w:t>
      </w:r>
      <w:r>
        <w:rPr>
          <w:rFonts w:hint="cs"/>
          <w:rtl/>
        </w:rPr>
        <w:t>רק במובן אשר נדון</w:t>
      </w:r>
      <w:r w:rsidRPr="00B00F53">
        <w:rPr>
          <w:rFonts w:hint="cs"/>
          <w:rtl/>
        </w:rPr>
        <w:t xml:space="preserve"> באותו עניין. </w:t>
      </w:r>
      <w:r w:rsidRPr="00B00F53">
        <w:rPr>
          <w:rFonts w:hint="cs"/>
          <w:rtl/>
        </w:rPr>
        <w:lastRenderedPageBreak/>
        <w:t>עמדה דומה הביע המשנה ליועצת המשפטית לממשלה, עו"ד לימון, שסבר כי מדובר בהצעה קיצונית ביותר אשר "</w:t>
      </w:r>
      <w:r w:rsidRPr="00B00F53">
        <w:rPr>
          <w:rFonts w:hint="eastAsia"/>
          <w:rtl/>
        </w:rPr>
        <w:t>מבטלת</w:t>
      </w:r>
      <w:r w:rsidRPr="00B00F53">
        <w:rPr>
          <w:rtl/>
        </w:rPr>
        <w:t xml:space="preserve"> </w:t>
      </w:r>
      <w:r w:rsidRPr="00B00F53">
        <w:rPr>
          <w:rFonts w:hint="eastAsia"/>
          <w:rtl/>
        </w:rPr>
        <w:t>לחלוטין</w:t>
      </w:r>
      <w:r w:rsidRPr="00B00F53">
        <w:rPr>
          <w:rtl/>
        </w:rPr>
        <w:t xml:space="preserve"> </w:t>
      </w:r>
      <w:r w:rsidRPr="00B00F53">
        <w:rPr>
          <w:rFonts w:hint="eastAsia"/>
          <w:rtl/>
        </w:rPr>
        <w:t>את</w:t>
      </w:r>
      <w:r w:rsidRPr="00B00F53">
        <w:rPr>
          <w:rtl/>
        </w:rPr>
        <w:t xml:space="preserve"> </w:t>
      </w:r>
      <w:r w:rsidRPr="00B00F53">
        <w:rPr>
          <w:rFonts w:hint="eastAsia"/>
          <w:rtl/>
        </w:rPr>
        <w:t>הפסיקה</w:t>
      </w:r>
      <w:r w:rsidRPr="00B00F53">
        <w:rPr>
          <w:rtl/>
        </w:rPr>
        <w:t xml:space="preserve"> </w:t>
      </w:r>
      <w:r w:rsidRPr="00B00F53">
        <w:rPr>
          <w:rFonts w:hint="eastAsia"/>
          <w:rtl/>
        </w:rPr>
        <w:t>של</w:t>
      </w:r>
      <w:r w:rsidRPr="00B00F53">
        <w:rPr>
          <w:rtl/>
        </w:rPr>
        <w:t xml:space="preserve"> </w:t>
      </w:r>
      <w:r w:rsidRPr="00B00F53">
        <w:rPr>
          <w:rFonts w:hint="eastAsia"/>
          <w:rtl/>
        </w:rPr>
        <w:t>בית</w:t>
      </w:r>
      <w:r w:rsidRPr="00B00F53">
        <w:rPr>
          <w:rtl/>
        </w:rPr>
        <w:t xml:space="preserve"> </w:t>
      </w:r>
      <w:r w:rsidRPr="00B00F53">
        <w:rPr>
          <w:rFonts w:hint="eastAsia"/>
          <w:rtl/>
        </w:rPr>
        <w:t>המשפט</w:t>
      </w:r>
      <w:r w:rsidRPr="00B00F53">
        <w:rPr>
          <w:rtl/>
        </w:rPr>
        <w:t xml:space="preserve"> </w:t>
      </w:r>
      <w:r w:rsidRPr="00B00F53">
        <w:rPr>
          <w:rFonts w:hint="eastAsia"/>
          <w:rtl/>
        </w:rPr>
        <w:t>העליון</w:t>
      </w:r>
      <w:r w:rsidRPr="00B00F53">
        <w:rPr>
          <w:rtl/>
        </w:rPr>
        <w:t xml:space="preserve"> </w:t>
      </w:r>
      <w:r w:rsidRPr="00B00F53">
        <w:rPr>
          <w:rFonts w:hint="eastAsia"/>
          <w:rtl/>
        </w:rPr>
        <w:t>בנושא</w:t>
      </w:r>
      <w:r w:rsidRPr="00B00F53">
        <w:rPr>
          <w:rtl/>
        </w:rPr>
        <w:t xml:space="preserve"> </w:t>
      </w:r>
      <w:r w:rsidRPr="00B00F53">
        <w:rPr>
          <w:rFonts w:hint="eastAsia"/>
          <w:rtl/>
        </w:rPr>
        <w:t>סבירות</w:t>
      </w:r>
      <w:r w:rsidRPr="00B00F53">
        <w:rPr>
          <w:rtl/>
        </w:rPr>
        <w:t xml:space="preserve">, </w:t>
      </w:r>
      <w:r w:rsidRPr="00B00F53">
        <w:rPr>
          <w:rFonts w:hint="eastAsia"/>
          <w:rtl/>
        </w:rPr>
        <w:t>לא</w:t>
      </w:r>
      <w:r w:rsidRPr="00B00F53">
        <w:rPr>
          <w:rtl/>
        </w:rPr>
        <w:t xml:space="preserve"> </w:t>
      </w:r>
      <w:r w:rsidRPr="00B00F53">
        <w:rPr>
          <w:rFonts w:hint="eastAsia"/>
          <w:rtl/>
        </w:rPr>
        <w:t>רק</w:t>
      </w:r>
      <w:r w:rsidRPr="00B00F53">
        <w:rPr>
          <w:rtl/>
        </w:rPr>
        <w:t xml:space="preserve"> </w:t>
      </w:r>
      <w:r w:rsidRPr="00B00F53">
        <w:rPr>
          <w:rFonts w:hint="eastAsia"/>
          <w:rtl/>
        </w:rPr>
        <w:t>את</w:t>
      </w:r>
      <w:r w:rsidRPr="00B00F53">
        <w:rPr>
          <w:rtl/>
        </w:rPr>
        <w:t xml:space="preserve"> </w:t>
      </w:r>
      <w:r w:rsidRPr="00B00F53">
        <w:rPr>
          <w:rFonts w:hint="eastAsia"/>
          <w:rtl/>
        </w:rPr>
        <w:t>הפסיקה</w:t>
      </w:r>
      <w:r w:rsidRPr="00B00F53">
        <w:rPr>
          <w:rtl/>
        </w:rPr>
        <w:t xml:space="preserve"> </w:t>
      </w:r>
      <w:r w:rsidRPr="00B00F53">
        <w:rPr>
          <w:rFonts w:hint="eastAsia"/>
          <w:rtl/>
        </w:rPr>
        <w:t>בעניין</w:t>
      </w:r>
      <w:r w:rsidRPr="00B00F53">
        <w:rPr>
          <w:rtl/>
        </w:rPr>
        <w:t xml:space="preserve"> </w:t>
      </w:r>
      <w:r w:rsidRPr="00B00F53">
        <w:rPr>
          <w:rFonts w:hint="eastAsia"/>
          <w:rtl/>
        </w:rPr>
        <w:t>דפי</w:t>
      </w:r>
      <w:r w:rsidRPr="00B00F53">
        <w:rPr>
          <w:rtl/>
        </w:rPr>
        <w:t xml:space="preserve"> </w:t>
      </w:r>
      <w:r w:rsidRPr="00B00F53">
        <w:rPr>
          <w:rFonts w:hint="eastAsia"/>
          <w:rtl/>
        </w:rPr>
        <w:t>זהב</w:t>
      </w:r>
      <w:r w:rsidRPr="00B00F53">
        <w:rPr>
          <w:rtl/>
        </w:rPr>
        <w:t xml:space="preserve"> </w:t>
      </w:r>
      <w:r w:rsidRPr="00B00F53">
        <w:rPr>
          <w:rFonts w:hint="cs"/>
          <w:rtl/>
        </w:rPr>
        <w:t>[...]</w:t>
      </w:r>
      <w:r w:rsidRPr="00B00F53">
        <w:rPr>
          <w:rtl/>
        </w:rPr>
        <w:t xml:space="preserve"> </w:t>
      </w:r>
      <w:r w:rsidRPr="00B00F53">
        <w:rPr>
          <w:rFonts w:hint="eastAsia"/>
          <w:rtl/>
        </w:rPr>
        <w:t>אלא</w:t>
      </w:r>
      <w:r w:rsidRPr="00B00F53">
        <w:rPr>
          <w:rtl/>
        </w:rPr>
        <w:t xml:space="preserve"> </w:t>
      </w:r>
      <w:r w:rsidRPr="00B00F53">
        <w:rPr>
          <w:rFonts w:hint="eastAsia"/>
          <w:rtl/>
        </w:rPr>
        <w:t>מראשית</w:t>
      </w:r>
      <w:r w:rsidRPr="00B00F53">
        <w:rPr>
          <w:rtl/>
        </w:rPr>
        <w:t xml:space="preserve"> </w:t>
      </w:r>
      <w:r w:rsidRPr="00B00F53">
        <w:rPr>
          <w:rFonts w:hint="eastAsia"/>
          <w:rtl/>
        </w:rPr>
        <w:t>ימי</w:t>
      </w:r>
      <w:r w:rsidRPr="00B00F53">
        <w:rPr>
          <w:rtl/>
        </w:rPr>
        <w:t xml:space="preserve"> </w:t>
      </w:r>
      <w:r w:rsidRPr="00B00F53">
        <w:rPr>
          <w:rFonts w:hint="eastAsia"/>
          <w:rtl/>
        </w:rPr>
        <w:t>המדינה</w:t>
      </w:r>
      <w:r w:rsidRPr="00B00F53">
        <w:rPr>
          <w:rFonts w:hint="cs"/>
          <w:rtl/>
        </w:rPr>
        <w:t>" (</w:t>
      </w:r>
      <w:r w:rsidRPr="00B00F53">
        <w:rPr>
          <w:rFonts w:hint="cs"/>
          <w:sz w:val="22"/>
          <w:rtl/>
        </w:rPr>
        <w:t>פרוטוקול ישיבה 121</w:t>
      </w:r>
      <w:r w:rsidRPr="00B00F53">
        <w:rPr>
          <w:rFonts w:hint="cs"/>
          <w:rtl/>
        </w:rPr>
        <w:t xml:space="preserve">, בעמ' 33). אף חברי הוועדה עמדו על הקושי הגלום בתיקון המוצע אשר למעשה מבטל באופן גורף את עילת הסבירות, על כלל </w:t>
      </w:r>
      <w:r>
        <w:rPr>
          <w:rFonts w:hint="cs"/>
          <w:rtl/>
        </w:rPr>
        <w:t>מובניה</w:t>
      </w:r>
      <w:r w:rsidRPr="00B00F53">
        <w:rPr>
          <w:rFonts w:hint="cs"/>
          <w:rtl/>
        </w:rPr>
        <w:t>. כך למשל, טען ח"כ קריב כי הצעת התיקון "</w:t>
      </w:r>
      <w:r w:rsidRPr="00B00F53">
        <w:rPr>
          <w:rFonts w:hint="eastAsia"/>
          <w:rtl/>
        </w:rPr>
        <w:t>מעניקה</w:t>
      </w:r>
      <w:r w:rsidRPr="00B00F53">
        <w:rPr>
          <w:rtl/>
        </w:rPr>
        <w:t xml:space="preserve"> </w:t>
      </w:r>
      <w:r w:rsidRPr="00B00F53">
        <w:rPr>
          <w:rFonts w:hint="eastAsia"/>
          <w:rtl/>
        </w:rPr>
        <w:t>חסינות</w:t>
      </w:r>
      <w:r w:rsidRPr="00B00F53">
        <w:rPr>
          <w:rtl/>
        </w:rPr>
        <w:t xml:space="preserve"> </w:t>
      </w:r>
      <w:r w:rsidRPr="00B00F53">
        <w:rPr>
          <w:rFonts w:hint="eastAsia"/>
          <w:rtl/>
        </w:rPr>
        <w:t>גם</w:t>
      </w:r>
      <w:r w:rsidRPr="00B00F53">
        <w:rPr>
          <w:rtl/>
        </w:rPr>
        <w:t xml:space="preserve"> </w:t>
      </w:r>
      <w:r w:rsidRPr="00B00F53">
        <w:rPr>
          <w:rFonts w:hint="eastAsia"/>
          <w:rtl/>
        </w:rPr>
        <w:t>מהיעדר</w:t>
      </w:r>
      <w:r w:rsidRPr="00B00F53">
        <w:rPr>
          <w:rtl/>
        </w:rPr>
        <w:t xml:space="preserve"> </w:t>
      </w:r>
      <w:r w:rsidRPr="00B00F53">
        <w:rPr>
          <w:rFonts w:hint="eastAsia"/>
          <w:rtl/>
        </w:rPr>
        <w:t>סבירות</w:t>
      </w:r>
      <w:r w:rsidRPr="00B00F53">
        <w:rPr>
          <w:rtl/>
        </w:rPr>
        <w:t xml:space="preserve"> </w:t>
      </w:r>
      <w:r w:rsidRPr="00B00F53">
        <w:rPr>
          <w:rFonts w:hint="eastAsia"/>
          <w:rtl/>
        </w:rPr>
        <w:t>קיצונית</w:t>
      </w:r>
      <w:r w:rsidRPr="00B00F53">
        <w:rPr>
          <w:rtl/>
        </w:rPr>
        <w:t xml:space="preserve"> </w:t>
      </w:r>
      <w:r w:rsidRPr="00B00F53">
        <w:rPr>
          <w:rFonts w:hint="eastAsia"/>
          <w:rtl/>
        </w:rPr>
        <w:t>או</w:t>
      </w:r>
      <w:r w:rsidRPr="00B00F53">
        <w:rPr>
          <w:rtl/>
        </w:rPr>
        <w:t xml:space="preserve"> </w:t>
      </w:r>
      <w:r w:rsidRPr="00B00F53">
        <w:rPr>
          <w:rFonts w:hint="eastAsia"/>
          <w:rtl/>
        </w:rPr>
        <w:t>סבירות</w:t>
      </w:r>
      <w:r w:rsidRPr="00B00F53">
        <w:rPr>
          <w:rtl/>
        </w:rPr>
        <w:t xml:space="preserve"> </w:t>
      </w:r>
      <w:r w:rsidRPr="00B00F53">
        <w:rPr>
          <w:rFonts w:hint="eastAsia"/>
          <w:rtl/>
        </w:rPr>
        <w:t>מופרכת</w:t>
      </w:r>
      <w:r w:rsidRPr="00B00F53">
        <w:rPr>
          <w:rtl/>
        </w:rPr>
        <w:t xml:space="preserve"> </w:t>
      </w:r>
      <w:r w:rsidRPr="00B00F53">
        <w:rPr>
          <w:rFonts w:hint="eastAsia"/>
          <w:rtl/>
        </w:rPr>
        <w:t>על</w:t>
      </w:r>
      <w:r w:rsidRPr="00B00F53">
        <w:rPr>
          <w:rtl/>
        </w:rPr>
        <w:t xml:space="preserve"> </w:t>
      </w:r>
      <w:r w:rsidRPr="00B00F53">
        <w:rPr>
          <w:rFonts w:hint="eastAsia"/>
          <w:rtl/>
        </w:rPr>
        <w:t>החלטות</w:t>
      </w:r>
      <w:r w:rsidRPr="00B00F53">
        <w:rPr>
          <w:rtl/>
        </w:rPr>
        <w:t xml:space="preserve"> </w:t>
      </w:r>
      <w:r w:rsidRPr="00B00F53">
        <w:rPr>
          <w:rFonts w:hint="eastAsia"/>
          <w:rtl/>
        </w:rPr>
        <w:t>דרג</w:t>
      </w:r>
      <w:r w:rsidRPr="00B00F53">
        <w:rPr>
          <w:rtl/>
        </w:rPr>
        <w:t xml:space="preserve"> </w:t>
      </w:r>
      <w:r w:rsidRPr="00B00F53">
        <w:rPr>
          <w:rFonts w:hint="eastAsia"/>
          <w:rtl/>
        </w:rPr>
        <w:t>פוליטי</w:t>
      </w:r>
      <w:r w:rsidRPr="00B00F53">
        <w:rPr>
          <w:rFonts w:hint="cs"/>
          <w:rtl/>
        </w:rPr>
        <w:t>.</w:t>
      </w:r>
      <w:r w:rsidRPr="00B00F53">
        <w:rPr>
          <w:rtl/>
        </w:rPr>
        <w:t xml:space="preserve"> </w:t>
      </w:r>
      <w:r w:rsidRPr="00B00F53">
        <w:rPr>
          <w:rFonts w:hint="eastAsia"/>
          <w:rtl/>
        </w:rPr>
        <w:t>אתם</w:t>
      </w:r>
      <w:r w:rsidRPr="00B00F53">
        <w:rPr>
          <w:rtl/>
        </w:rPr>
        <w:t xml:space="preserve"> </w:t>
      </w:r>
      <w:r w:rsidRPr="00B00F53">
        <w:rPr>
          <w:rFonts w:hint="eastAsia"/>
          <w:rtl/>
        </w:rPr>
        <w:t>לא</w:t>
      </w:r>
      <w:r w:rsidRPr="00B00F53">
        <w:rPr>
          <w:rtl/>
        </w:rPr>
        <w:t xml:space="preserve"> </w:t>
      </w:r>
      <w:r w:rsidRPr="00B00F53">
        <w:rPr>
          <w:rFonts w:hint="eastAsia"/>
          <w:rtl/>
        </w:rPr>
        <w:t>מציעים</w:t>
      </w:r>
      <w:r w:rsidRPr="00B00F53">
        <w:rPr>
          <w:rtl/>
        </w:rPr>
        <w:t xml:space="preserve"> </w:t>
      </w:r>
      <w:r w:rsidRPr="00B00F53">
        <w:rPr>
          <w:rFonts w:hint="eastAsia"/>
          <w:rtl/>
        </w:rPr>
        <w:t>לחזור</w:t>
      </w:r>
      <w:r w:rsidRPr="00B00F53">
        <w:rPr>
          <w:rtl/>
        </w:rPr>
        <w:t xml:space="preserve"> </w:t>
      </w:r>
      <w:r w:rsidRPr="00B00F53">
        <w:rPr>
          <w:rFonts w:hint="eastAsia"/>
          <w:rtl/>
        </w:rPr>
        <w:t>למצב</w:t>
      </w:r>
      <w:r w:rsidRPr="00B00F53">
        <w:rPr>
          <w:rtl/>
        </w:rPr>
        <w:t xml:space="preserve"> </w:t>
      </w:r>
      <w:r w:rsidRPr="00B00F53">
        <w:rPr>
          <w:rFonts w:hint="eastAsia"/>
          <w:rtl/>
        </w:rPr>
        <w:t>שלפני</w:t>
      </w:r>
      <w:r w:rsidRPr="00B00F53">
        <w:rPr>
          <w:rtl/>
        </w:rPr>
        <w:t xml:space="preserve"> </w:t>
      </w:r>
      <w:r w:rsidRPr="00B00F53">
        <w:rPr>
          <w:rFonts w:hint="eastAsia"/>
          <w:rtl/>
        </w:rPr>
        <w:t>דפי</w:t>
      </w:r>
      <w:r w:rsidRPr="00B00F53">
        <w:rPr>
          <w:rtl/>
        </w:rPr>
        <w:t xml:space="preserve"> </w:t>
      </w:r>
      <w:r w:rsidRPr="00B00F53">
        <w:rPr>
          <w:rFonts w:hint="eastAsia"/>
          <w:rtl/>
        </w:rPr>
        <w:t>זהב</w:t>
      </w:r>
      <w:r w:rsidRPr="00B00F53">
        <w:rPr>
          <w:rFonts w:hint="cs"/>
          <w:rtl/>
        </w:rPr>
        <w:t>" (</w:t>
      </w:r>
      <w:r w:rsidRPr="00B00F53">
        <w:rPr>
          <w:rFonts w:hint="cs"/>
          <w:sz w:val="22"/>
          <w:rtl/>
        </w:rPr>
        <w:t>פרוטוקול ישיבה 105</w:t>
      </w:r>
      <w:r w:rsidRPr="00B00F53">
        <w:rPr>
          <w:rFonts w:hint="cs"/>
          <w:rtl/>
        </w:rPr>
        <w:t xml:space="preserve">, בעמ' </w:t>
      </w:r>
      <w:r>
        <w:rPr>
          <w:rFonts w:hint="cs"/>
          <w:rtl/>
        </w:rPr>
        <w:t>100</w:t>
      </w:r>
      <w:r w:rsidRPr="00B00F53">
        <w:rPr>
          <w:rFonts w:hint="cs"/>
          <w:rtl/>
        </w:rPr>
        <w:t xml:space="preserve">; וכן ראו את עמדתה של ח"כ </w:t>
      </w:r>
      <w:r w:rsidRPr="00B00F53">
        <w:rPr>
          <w:rFonts w:hint="eastAsia"/>
          <w:rtl/>
        </w:rPr>
        <w:t>אורית</w:t>
      </w:r>
      <w:r w:rsidRPr="00B00F53">
        <w:rPr>
          <w:rtl/>
        </w:rPr>
        <w:t xml:space="preserve"> </w:t>
      </w:r>
      <w:r w:rsidRPr="00B00F53">
        <w:rPr>
          <w:rFonts w:hint="eastAsia"/>
          <w:rtl/>
        </w:rPr>
        <w:t>פרקש</w:t>
      </w:r>
      <w:r>
        <w:rPr>
          <w:rFonts w:hint="cs"/>
          <w:rtl/>
        </w:rPr>
        <w:t>-</w:t>
      </w:r>
      <w:r w:rsidRPr="00B00F53">
        <w:rPr>
          <w:rFonts w:hint="eastAsia"/>
          <w:rtl/>
        </w:rPr>
        <w:t>הכהן</w:t>
      </w:r>
      <w:r w:rsidRPr="00B00F53">
        <w:rPr>
          <w:rFonts w:hint="cs"/>
          <w:rtl/>
        </w:rPr>
        <w:t xml:space="preserve"> בפרוטוקול ישיבה 126 של ועדת החוקה, הכנסת ה-25, 94 (16.7.2023) (להלן: </w:t>
      </w:r>
      <w:r w:rsidRPr="00B00F53">
        <w:rPr>
          <w:rFonts w:cs="Miriam" w:hint="cs"/>
          <w:b/>
          <w:spacing w:val="0"/>
          <w:sz w:val="22"/>
          <w:szCs w:val="24"/>
          <w:rtl/>
        </w:rPr>
        <w:t>פרוטוקול ישיבה 126</w:t>
      </w:r>
      <w:r w:rsidRPr="00B00F53">
        <w:rPr>
          <w:rFonts w:hint="cs"/>
          <w:rtl/>
        </w:rPr>
        <w:t>)).</w:t>
      </w:r>
    </w:p>
    <w:p w:rsidR="00C044AE" w:rsidRPr="00B00F53" w:rsidRDefault="00C044AE" w:rsidP="00C044AE">
      <w:pPr>
        <w:pStyle w:val="Ruller41"/>
        <w:rPr>
          <w:rFonts w:ascii="Garamond" w:hAnsi="Garamond"/>
          <w:rtl/>
        </w:rPr>
      </w:pPr>
    </w:p>
    <w:p w:rsidR="00C044AE" w:rsidRDefault="00C044AE" w:rsidP="00C044AE">
      <w:pPr>
        <w:pStyle w:val="Ruller4"/>
        <w:rPr>
          <w:color w:val="000000" w:themeColor="text1"/>
          <w:rtl/>
        </w:rPr>
      </w:pPr>
      <w:r w:rsidRPr="00B00F53">
        <w:rPr>
          <w:rFonts w:hint="cs"/>
          <w:rtl/>
        </w:rPr>
        <w:t xml:space="preserve">על רקע האמור, </w:t>
      </w:r>
      <w:r>
        <w:rPr>
          <w:rFonts w:hint="cs"/>
          <w:rtl/>
        </w:rPr>
        <w:t xml:space="preserve">אף הוצעו </w:t>
      </w:r>
      <w:r w:rsidRPr="00B00F53">
        <w:rPr>
          <w:rFonts w:hint="cs"/>
          <w:color w:val="000000" w:themeColor="text1"/>
          <w:rtl/>
        </w:rPr>
        <w:t xml:space="preserve">במסגרת דיוני הוועדה חלופות שונות לריכוך נוסחו הגורף של התיקון. ואולם, הצעות אלו נדחו </w:t>
      </w:r>
      <w:r w:rsidRPr="00B00F53">
        <w:rPr>
          <w:rFonts w:hint="eastAsia"/>
          <w:rtl/>
        </w:rPr>
        <w:t>באופן</w:t>
      </w:r>
      <w:r w:rsidRPr="00B00F53">
        <w:rPr>
          <w:rtl/>
        </w:rPr>
        <w:t xml:space="preserve"> </w:t>
      </w:r>
      <w:r w:rsidRPr="00B00F53">
        <w:rPr>
          <w:rFonts w:hint="eastAsia"/>
          <w:rtl/>
        </w:rPr>
        <w:t>מפורש</w:t>
      </w:r>
      <w:r w:rsidRPr="00B00F53">
        <w:rPr>
          <w:rtl/>
        </w:rPr>
        <w:t xml:space="preserve"> </w:t>
      </w:r>
      <w:r w:rsidRPr="00B00F53">
        <w:rPr>
          <w:rFonts w:hint="eastAsia"/>
          <w:rtl/>
        </w:rPr>
        <w:t>על</w:t>
      </w:r>
      <w:r>
        <w:rPr>
          <w:rFonts w:hint="cs"/>
          <w:rtl/>
        </w:rPr>
        <w:t>-</w:t>
      </w:r>
      <w:r w:rsidRPr="00B00F53">
        <w:rPr>
          <w:rFonts w:hint="eastAsia"/>
          <w:rtl/>
        </w:rPr>
        <w:t>ידי</w:t>
      </w:r>
      <w:r w:rsidRPr="00B00F53">
        <w:rPr>
          <w:rtl/>
        </w:rPr>
        <w:t xml:space="preserve"> </w:t>
      </w:r>
      <w:r w:rsidRPr="00B00F53">
        <w:rPr>
          <w:rFonts w:hint="eastAsia"/>
          <w:rtl/>
        </w:rPr>
        <w:t>יו</w:t>
      </w:r>
      <w:r w:rsidRPr="00B00F53">
        <w:rPr>
          <w:rtl/>
        </w:rPr>
        <w:t>"</w:t>
      </w:r>
      <w:r w:rsidRPr="00B00F53">
        <w:rPr>
          <w:rFonts w:hint="eastAsia"/>
          <w:rtl/>
        </w:rPr>
        <w:t>ר</w:t>
      </w:r>
      <w:r w:rsidRPr="00B00F53">
        <w:rPr>
          <w:rtl/>
        </w:rPr>
        <w:t xml:space="preserve"> </w:t>
      </w:r>
      <w:r w:rsidRPr="00B00F53">
        <w:rPr>
          <w:rFonts w:hint="eastAsia"/>
          <w:rtl/>
        </w:rPr>
        <w:t>הוועדה</w:t>
      </w:r>
      <w:r w:rsidRPr="00B00F53">
        <w:rPr>
          <w:rtl/>
        </w:rPr>
        <w:t xml:space="preserve"> </w:t>
      </w:r>
      <w:r w:rsidRPr="00B00F53">
        <w:rPr>
          <w:rFonts w:hint="cs"/>
          <w:rtl/>
        </w:rPr>
        <w:t>ונציגי</w:t>
      </w:r>
      <w:r w:rsidRPr="00B00F53">
        <w:rPr>
          <w:rtl/>
        </w:rPr>
        <w:t xml:space="preserve"> </w:t>
      </w:r>
      <w:r w:rsidRPr="00B00F53">
        <w:rPr>
          <w:rFonts w:hint="cs"/>
          <w:rtl/>
        </w:rPr>
        <w:t>הקואליצי</w:t>
      </w:r>
      <w:r w:rsidRPr="00B00F53">
        <w:rPr>
          <w:rFonts w:hint="eastAsia"/>
          <w:rtl/>
        </w:rPr>
        <w:t>ה</w:t>
      </w:r>
      <w:r w:rsidRPr="00B00F53">
        <w:rPr>
          <w:rFonts w:hint="cs"/>
          <w:rtl/>
        </w:rPr>
        <w:t xml:space="preserve"> בוועדה</w:t>
      </w:r>
      <w:r w:rsidRPr="00B00F53">
        <w:rPr>
          <w:rtl/>
        </w:rPr>
        <w:t>.</w:t>
      </w:r>
      <w:r w:rsidRPr="00B00F53">
        <w:rPr>
          <w:rFonts w:hint="cs"/>
          <w:color w:val="000000" w:themeColor="text1"/>
          <w:rtl/>
        </w:rPr>
        <w:t xml:space="preserve"> </w:t>
      </w:r>
      <w:r w:rsidRPr="00B00F53">
        <w:rPr>
          <w:rFonts w:hint="cs"/>
          <w:rtl/>
        </w:rPr>
        <w:t xml:space="preserve">יו"ר הוועדה, ח"כ רוטמן, </w:t>
      </w:r>
      <w:r>
        <w:rPr>
          <w:rFonts w:hint="cs"/>
          <w:rtl/>
        </w:rPr>
        <w:t xml:space="preserve">שיזם את התיקון, ציין </w:t>
      </w:r>
      <w:r w:rsidRPr="00B00F53">
        <w:rPr>
          <w:rFonts w:hint="cs"/>
          <w:rtl/>
        </w:rPr>
        <w:t xml:space="preserve">כי אין דרך "למתוח את הקו" בין מובניה השונים של עילת הסבירות </w:t>
      </w:r>
      <w:r w:rsidRPr="00B00F53">
        <w:rPr>
          <w:rFonts w:hint="cs"/>
          <w:color w:val="000000" w:themeColor="text1"/>
          <w:rtl/>
        </w:rPr>
        <w:t>וכי</w:t>
      </w:r>
      <w:r w:rsidRPr="00B00F53">
        <w:rPr>
          <w:rFonts w:hint="cs"/>
          <w:rtl/>
        </w:rPr>
        <w:t xml:space="preserve"> אימוץ ההבחנות שהוצעו יוביל לטשטוש גבולותיה של העילה על ידי בתי המשפט וירוקן למעשה את התיקון מתוכן (</w:t>
      </w:r>
      <w:r w:rsidRPr="00B00F53">
        <w:rPr>
          <w:rFonts w:hint="cs"/>
          <w:sz w:val="22"/>
          <w:rtl/>
        </w:rPr>
        <w:t>פרוטוקול ישיבה 105,</w:t>
      </w:r>
      <w:r w:rsidRPr="00B00F53">
        <w:rPr>
          <w:rFonts w:hint="cs"/>
          <w:color w:val="000000" w:themeColor="text1"/>
          <w:rtl/>
        </w:rPr>
        <w:t xml:space="preserve"> בעמ' </w:t>
      </w:r>
      <w:r>
        <w:rPr>
          <w:rFonts w:hint="cs"/>
          <w:color w:val="000000" w:themeColor="text1"/>
          <w:rtl/>
        </w:rPr>
        <w:t>113</w:t>
      </w:r>
      <w:r w:rsidRPr="00B00F53">
        <w:rPr>
          <w:rFonts w:hint="cs"/>
          <w:color w:val="000000" w:themeColor="text1"/>
          <w:rtl/>
        </w:rPr>
        <w:t xml:space="preserve">; </w:t>
      </w:r>
      <w:r w:rsidRPr="00B00F53">
        <w:rPr>
          <w:rFonts w:hint="cs"/>
          <w:sz w:val="22"/>
          <w:rtl/>
        </w:rPr>
        <w:t>פרוטוקול ישיבה 125</w:t>
      </w:r>
      <w:r w:rsidRPr="00B00F53">
        <w:rPr>
          <w:rFonts w:hint="cs"/>
          <w:color w:val="000000" w:themeColor="text1"/>
          <w:rtl/>
        </w:rPr>
        <w:t xml:space="preserve">, בעמ' 15). </w:t>
      </w:r>
      <w:r>
        <w:rPr>
          <w:rFonts w:hint="cs"/>
          <w:color w:val="000000" w:themeColor="text1"/>
          <w:rtl/>
        </w:rPr>
        <w:t>על כן</w:t>
      </w:r>
      <w:r w:rsidRPr="00B00F53">
        <w:rPr>
          <w:rFonts w:hint="cs"/>
          <w:rtl/>
        </w:rPr>
        <w:t xml:space="preserve">, </w:t>
      </w:r>
      <w:r>
        <w:rPr>
          <w:rFonts w:hint="cs"/>
          <w:rtl/>
        </w:rPr>
        <w:t xml:space="preserve">כך </w:t>
      </w:r>
      <w:r w:rsidRPr="00B00F53">
        <w:rPr>
          <w:rFonts w:hint="cs"/>
          <w:rtl/>
        </w:rPr>
        <w:t>סבר ח"כ רוטמן</w:t>
      </w:r>
      <w:r>
        <w:rPr>
          <w:rFonts w:hint="cs"/>
          <w:rtl/>
        </w:rPr>
        <w:t>,</w:t>
      </w:r>
      <w:r w:rsidRPr="00B00F53">
        <w:rPr>
          <w:rFonts w:hint="cs"/>
          <w:rtl/>
        </w:rPr>
        <w:t xml:space="preserve"> אין מנוס מביטולה הגורף של עילת הסבירות ביחס לכל החלטות הדרג הנבחר, וזאת על כלל מובניה של העילה. </w:t>
      </w:r>
      <w:r w:rsidRPr="00B00F53">
        <w:rPr>
          <w:rFonts w:hint="cs"/>
          <w:color w:val="000000" w:themeColor="text1"/>
          <w:rtl/>
        </w:rPr>
        <w:t xml:space="preserve">במסגרת הצגת הצעת התיקון בדיון במליאת הכנסת לקראת קריאה שנייה ושלישית, </w:t>
      </w:r>
      <w:r>
        <w:rPr>
          <w:rFonts w:hint="cs"/>
          <w:color w:val="000000" w:themeColor="text1"/>
          <w:rtl/>
        </w:rPr>
        <w:t>הוסיף</w:t>
      </w:r>
      <w:r w:rsidRPr="00B00F53">
        <w:rPr>
          <w:rFonts w:hint="cs"/>
          <w:color w:val="000000" w:themeColor="text1"/>
          <w:rtl/>
        </w:rPr>
        <w:t xml:space="preserve"> ח"כ רוטמן</w:t>
      </w:r>
      <w:r>
        <w:rPr>
          <w:rFonts w:hint="cs"/>
          <w:color w:val="000000" w:themeColor="text1"/>
          <w:rtl/>
        </w:rPr>
        <w:t xml:space="preserve"> בהקשר זה</w:t>
      </w:r>
      <w:r w:rsidRPr="00B00F53">
        <w:rPr>
          <w:rFonts w:hint="cs"/>
          <w:color w:val="000000" w:themeColor="text1"/>
          <w:rtl/>
        </w:rPr>
        <w:t xml:space="preserve"> </w:t>
      </w:r>
      <w:r>
        <w:rPr>
          <w:rFonts w:hint="cs"/>
          <w:color w:val="000000" w:themeColor="text1"/>
          <w:rtl/>
        </w:rPr>
        <w:t xml:space="preserve">וציין </w:t>
      </w:r>
      <w:r w:rsidRPr="00B00F53">
        <w:rPr>
          <w:rFonts w:hint="cs"/>
          <w:color w:val="000000" w:themeColor="text1"/>
          <w:rtl/>
        </w:rPr>
        <w:t>כך:</w:t>
      </w:r>
    </w:p>
    <w:p w:rsidR="00C044AE" w:rsidRPr="000812E1" w:rsidRDefault="00C044AE" w:rsidP="00C044AE">
      <w:pPr>
        <w:pStyle w:val="Ruller41"/>
        <w:rPr>
          <w:rtl/>
        </w:rPr>
      </w:pPr>
    </w:p>
    <w:p w:rsidR="00C044AE" w:rsidRPr="000812E1" w:rsidRDefault="00C044AE" w:rsidP="00C044AE">
      <w:pPr>
        <w:spacing w:after="120"/>
        <w:ind w:left="1469" w:right="1797"/>
        <w:jc w:val="both"/>
        <w:textAlignment w:val="auto"/>
        <w:rPr>
          <w:rFonts w:ascii="Garamond" w:hAnsi="Garamond" w:cs="FrankRuehl"/>
          <w:spacing w:val="10"/>
          <w:sz w:val="22"/>
          <w:szCs w:val="28"/>
          <w:rtl/>
        </w:rPr>
      </w:pPr>
      <w:r w:rsidRPr="000812E1">
        <w:rPr>
          <w:rFonts w:ascii="Garamond" w:hAnsi="Garamond" w:cs="FrankRuehl" w:hint="cs"/>
          <w:spacing w:val="10"/>
          <w:sz w:val="22"/>
          <w:szCs w:val="28"/>
          <w:rtl/>
        </w:rPr>
        <w:t>"</w:t>
      </w:r>
      <w:r w:rsidRPr="000812E1">
        <w:rPr>
          <w:rFonts w:ascii="Garamond" w:hAnsi="Garamond" w:cs="FrankRuehl" w:hint="eastAsia"/>
          <w:spacing w:val="10"/>
          <w:sz w:val="22"/>
          <w:szCs w:val="28"/>
          <w:rtl/>
        </w:rPr>
        <w:t>אחרים</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הציעו</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לחזור</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ל</w:t>
      </w:r>
      <w:r w:rsidRPr="000812E1">
        <w:rPr>
          <w:rFonts w:ascii="Garamond" w:hAnsi="Garamond" w:cs="Miriam" w:hint="eastAsia"/>
          <w:b/>
          <w:sz w:val="22"/>
          <w:rtl/>
        </w:rPr>
        <w:t>עילת</w:t>
      </w:r>
      <w:r w:rsidRPr="000812E1">
        <w:rPr>
          <w:rFonts w:ascii="Garamond" w:hAnsi="Garamond" w:cs="Miriam"/>
          <w:b/>
          <w:sz w:val="22"/>
          <w:rtl/>
        </w:rPr>
        <w:t xml:space="preserve"> </w:t>
      </w:r>
      <w:r w:rsidRPr="000812E1">
        <w:rPr>
          <w:rFonts w:ascii="Garamond" w:hAnsi="Garamond" w:cs="Miriam" w:hint="eastAsia"/>
          <w:b/>
          <w:sz w:val="22"/>
          <w:rtl/>
        </w:rPr>
        <w:t>האי</w:t>
      </w:r>
      <w:r w:rsidRPr="000812E1">
        <w:rPr>
          <w:rFonts w:ascii="Garamond" w:hAnsi="Garamond" w:cs="Miriam"/>
          <w:b/>
          <w:sz w:val="22"/>
          <w:rtl/>
        </w:rPr>
        <w:t>-</w:t>
      </w:r>
      <w:r w:rsidRPr="000812E1">
        <w:rPr>
          <w:rFonts w:ascii="Garamond" w:hAnsi="Garamond" w:cs="Miriam" w:hint="eastAsia"/>
          <w:b/>
          <w:sz w:val="22"/>
          <w:rtl/>
        </w:rPr>
        <w:t>סבירות</w:t>
      </w:r>
      <w:r w:rsidRPr="000812E1">
        <w:rPr>
          <w:rFonts w:ascii="Garamond" w:hAnsi="Garamond" w:cs="Miriam"/>
          <w:b/>
          <w:sz w:val="22"/>
          <w:rtl/>
        </w:rPr>
        <w:t xml:space="preserve"> </w:t>
      </w:r>
      <w:r w:rsidRPr="000812E1">
        <w:rPr>
          <w:rFonts w:ascii="Garamond" w:hAnsi="Garamond" w:cs="Miriam" w:hint="eastAsia"/>
          <w:b/>
          <w:sz w:val="22"/>
          <w:rtl/>
        </w:rPr>
        <w:t>הקיצונית</w:t>
      </w:r>
      <w:r w:rsidRPr="000812E1">
        <w:rPr>
          <w:rFonts w:ascii="Garamond" w:hAnsi="Garamond" w:cs="Miriam"/>
          <w:b/>
          <w:sz w:val="22"/>
          <w:rtl/>
        </w:rPr>
        <w:t xml:space="preserve"> </w:t>
      </w:r>
      <w:r w:rsidRPr="000812E1">
        <w:rPr>
          <w:rFonts w:ascii="Garamond" w:hAnsi="Garamond" w:cs="Miriam" w:hint="eastAsia"/>
          <w:b/>
          <w:sz w:val="22"/>
          <w:rtl/>
        </w:rPr>
        <w:t>של</w:t>
      </w:r>
      <w:r w:rsidRPr="000812E1">
        <w:rPr>
          <w:rFonts w:ascii="Garamond" w:hAnsi="Garamond" w:cs="Miriam"/>
          <w:b/>
          <w:sz w:val="22"/>
          <w:rtl/>
        </w:rPr>
        <w:t xml:space="preserve"> </w:t>
      </w:r>
      <w:r w:rsidRPr="000812E1">
        <w:rPr>
          <w:rFonts w:ascii="Garamond" w:hAnsi="Garamond" w:cs="Miriam" w:hint="eastAsia"/>
          <w:b/>
          <w:sz w:val="22"/>
          <w:rtl/>
        </w:rPr>
        <w:t>וודנסברי</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אלא</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שפתרון</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זה</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כפי</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שהעירו</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רבים</w:t>
      </w:r>
      <w:r w:rsidRPr="000812E1">
        <w:rPr>
          <w:rFonts w:ascii="Garamond" w:hAnsi="Garamond" w:cs="FrankRuehl"/>
          <w:spacing w:val="10"/>
          <w:sz w:val="22"/>
          <w:szCs w:val="28"/>
          <w:rtl/>
        </w:rPr>
        <w:t xml:space="preserve">, </w:t>
      </w:r>
      <w:r w:rsidRPr="000812E1">
        <w:rPr>
          <w:rFonts w:ascii="Garamond" w:hAnsi="Garamond" w:cs="Miriam" w:hint="eastAsia"/>
          <w:b/>
          <w:sz w:val="22"/>
          <w:rtl/>
        </w:rPr>
        <w:t>לא</w:t>
      </w:r>
      <w:r w:rsidRPr="000812E1">
        <w:rPr>
          <w:rFonts w:ascii="Garamond" w:hAnsi="Garamond" w:cs="Miriam"/>
          <w:b/>
          <w:sz w:val="22"/>
          <w:rtl/>
        </w:rPr>
        <w:t xml:space="preserve"> </w:t>
      </w:r>
      <w:r w:rsidRPr="000812E1">
        <w:rPr>
          <w:rFonts w:ascii="Garamond" w:hAnsi="Garamond" w:cs="Miriam" w:hint="eastAsia"/>
          <w:b/>
          <w:sz w:val="22"/>
          <w:rtl/>
        </w:rPr>
        <w:t>הוכיח</w:t>
      </w:r>
      <w:r w:rsidRPr="000812E1">
        <w:rPr>
          <w:rFonts w:ascii="Garamond" w:hAnsi="Garamond" w:cs="Miriam"/>
          <w:b/>
          <w:sz w:val="22"/>
          <w:rtl/>
        </w:rPr>
        <w:t xml:space="preserve"> </w:t>
      </w:r>
      <w:r w:rsidRPr="000812E1">
        <w:rPr>
          <w:rFonts w:ascii="Garamond" w:hAnsi="Garamond" w:cs="Miriam" w:hint="eastAsia"/>
          <w:b/>
          <w:sz w:val="22"/>
          <w:rtl/>
        </w:rPr>
        <w:t>את</w:t>
      </w:r>
      <w:r w:rsidRPr="000812E1">
        <w:rPr>
          <w:rFonts w:ascii="Garamond" w:hAnsi="Garamond" w:cs="Miriam"/>
          <w:b/>
          <w:sz w:val="22"/>
          <w:rtl/>
        </w:rPr>
        <w:t xml:space="preserve"> </w:t>
      </w:r>
      <w:r w:rsidRPr="000812E1">
        <w:rPr>
          <w:rFonts w:ascii="Garamond" w:hAnsi="Garamond" w:cs="Miriam" w:hint="eastAsia"/>
          <w:b/>
          <w:sz w:val="22"/>
          <w:rtl/>
        </w:rPr>
        <w:t>עצמו</w:t>
      </w:r>
      <w:r w:rsidRPr="000812E1">
        <w:rPr>
          <w:rFonts w:ascii="Garamond" w:hAnsi="Garamond" w:cs="Miriam"/>
          <w:b/>
          <w:sz w:val="22"/>
          <w:rtl/>
        </w:rPr>
        <w:t>,</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שהרי</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השופט</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אהרן</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ברק</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בעצמו</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בפסק</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דין</w:t>
      </w:r>
      <w:r w:rsidRPr="000812E1">
        <w:rPr>
          <w:rFonts w:ascii="Garamond" w:hAnsi="Garamond" w:cs="FrankRuehl"/>
          <w:spacing w:val="10"/>
          <w:sz w:val="22"/>
          <w:szCs w:val="28"/>
          <w:rtl/>
        </w:rPr>
        <w:t xml:space="preserve"> </w:t>
      </w:r>
      <w:r w:rsidRPr="000812E1">
        <w:rPr>
          <w:rFonts w:ascii="Garamond" w:hAnsi="Garamond" w:cs="FrankRuehl" w:hint="cs"/>
          <w:spacing w:val="10"/>
          <w:sz w:val="22"/>
          <w:szCs w:val="28"/>
          <w:rtl/>
        </w:rPr>
        <w:t>'</w:t>
      </w:r>
      <w:r w:rsidRPr="000812E1">
        <w:rPr>
          <w:rFonts w:ascii="Garamond" w:hAnsi="Garamond" w:cs="FrankRuehl" w:hint="eastAsia"/>
          <w:spacing w:val="10"/>
          <w:sz w:val="22"/>
          <w:szCs w:val="28"/>
          <w:rtl/>
        </w:rPr>
        <w:t>דפי</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זהב</w:t>
      </w:r>
      <w:r w:rsidRPr="000812E1">
        <w:rPr>
          <w:rFonts w:ascii="Garamond" w:hAnsi="Garamond" w:cs="FrankRuehl" w:hint="cs"/>
          <w:spacing w:val="10"/>
          <w:sz w:val="22"/>
          <w:szCs w:val="28"/>
          <w:rtl/>
        </w:rPr>
        <w:t>'</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טען</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שהסתמך</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על</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עילת</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האי</w:t>
      </w:r>
      <w:r w:rsidRPr="000812E1">
        <w:rPr>
          <w:rFonts w:ascii="Garamond" w:hAnsi="Garamond" w:cs="FrankRuehl"/>
          <w:spacing w:val="10"/>
          <w:sz w:val="22"/>
          <w:szCs w:val="28"/>
          <w:rtl/>
        </w:rPr>
        <w:t>-</w:t>
      </w:r>
      <w:r w:rsidRPr="000812E1">
        <w:rPr>
          <w:rFonts w:ascii="Garamond" w:hAnsi="Garamond" w:cs="FrankRuehl" w:hint="eastAsia"/>
          <w:spacing w:val="10"/>
          <w:sz w:val="22"/>
          <w:szCs w:val="28"/>
          <w:rtl/>
        </w:rPr>
        <w:t>סבירות</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הקיצונית</w:t>
      </w:r>
      <w:r w:rsidRPr="000812E1">
        <w:rPr>
          <w:rFonts w:ascii="Garamond" w:hAnsi="Garamond" w:cs="FrankRuehl"/>
          <w:spacing w:val="10"/>
          <w:sz w:val="22"/>
          <w:szCs w:val="28"/>
          <w:rtl/>
        </w:rPr>
        <w:t>.</w:t>
      </w:r>
      <w:r w:rsidRPr="000812E1">
        <w:rPr>
          <w:rFonts w:ascii="Garamond" w:hAnsi="Garamond" w:cs="FrankRuehl" w:hint="cs"/>
          <w:spacing w:val="10"/>
          <w:sz w:val="22"/>
          <w:szCs w:val="28"/>
          <w:rtl/>
        </w:rPr>
        <w:t xml:space="preserve"> [...]</w:t>
      </w:r>
    </w:p>
    <w:p w:rsidR="00C044AE" w:rsidRPr="000812E1" w:rsidRDefault="00C044AE" w:rsidP="00C044AE">
      <w:pPr>
        <w:spacing w:after="120"/>
        <w:ind w:left="1469" w:right="1797"/>
        <w:jc w:val="both"/>
        <w:textAlignment w:val="auto"/>
        <w:rPr>
          <w:rFonts w:ascii="Garamond" w:hAnsi="Garamond" w:cs="FrankRuehl"/>
          <w:spacing w:val="10"/>
          <w:sz w:val="22"/>
          <w:szCs w:val="28"/>
          <w:rtl/>
        </w:rPr>
      </w:pPr>
      <w:r w:rsidRPr="000812E1">
        <w:rPr>
          <w:rFonts w:ascii="Garamond" w:hAnsi="Garamond" w:cs="FrankRuehl" w:hint="eastAsia"/>
          <w:spacing w:val="10"/>
          <w:sz w:val="22"/>
          <w:szCs w:val="28"/>
          <w:rtl/>
        </w:rPr>
        <w:t>לפיכך</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מוצע</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לקבוע</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בחוק</w:t>
      </w:r>
      <w:r w:rsidRPr="000812E1">
        <w:rPr>
          <w:rFonts w:ascii="Garamond" w:hAnsi="Garamond" w:cs="FrankRuehl"/>
          <w:spacing w:val="10"/>
          <w:sz w:val="22"/>
          <w:szCs w:val="28"/>
          <w:rtl/>
        </w:rPr>
        <w:t>-</w:t>
      </w:r>
      <w:r w:rsidRPr="000812E1">
        <w:rPr>
          <w:rFonts w:ascii="Garamond" w:hAnsi="Garamond" w:cs="FrankRuehl" w:hint="eastAsia"/>
          <w:spacing w:val="10"/>
          <w:sz w:val="22"/>
          <w:szCs w:val="28"/>
          <w:rtl/>
        </w:rPr>
        <w:t>יסוד</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השפיטה</w:t>
      </w:r>
      <w:r w:rsidRPr="000812E1">
        <w:rPr>
          <w:rFonts w:ascii="Garamond" w:hAnsi="Garamond" w:cs="FrankRuehl" w:hint="cs"/>
          <w:spacing w:val="10"/>
          <w:sz w:val="22"/>
          <w:szCs w:val="28"/>
          <w:rtl/>
        </w:rPr>
        <w:t xml:space="preserve"> [...] </w:t>
      </w:r>
      <w:r w:rsidRPr="000812E1">
        <w:rPr>
          <w:rFonts w:ascii="Garamond" w:hAnsi="Garamond" w:cs="FrankRuehl" w:hint="eastAsia"/>
          <w:spacing w:val="10"/>
          <w:sz w:val="22"/>
          <w:szCs w:val="28"/>
          <w:rtl/>
        </w:rPr>
        <w:t>שרשות</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שיפוטית</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לא</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תוכל</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לדון</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בעניין</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סבירות</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ההחלטה</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של</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הממשלה</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במליאתה</w:t>
      </w:r>
      <w:r w:rsidRPr="000812E1">
        <w:rPr>
          <w:rFonts w:ascii="Garamond" w:hAnsi="Garamond" w:cs="FrankRuehl" w:hint="cs"/>
          <w:spacing w:val="10"/>
          <w:szCs w:val="28"/>
          <w:rtl/>
        </w:rPr>
        <w:t xml:space="preserve"> [...] </w:t>
      </w:r>
      <w:r w:rsidRPr="000812E1">
        <w:rPr>
          <w:rFonts w:ascii="Garamond" w:hAnsi="Garamond" w:cs="FrankRuehl" w:hint="eastAsia"/>
          <w:spacing w:val="10"/>
          <w:sz w:val="22"/>
          <w:szCs w:val="28"/>
          <w:rtl/>
        </w:rPr>
        <w:t>של</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ראש</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ממשלה</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או</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של</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שר</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אחר</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או</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להוציא</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צו</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כלפי</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מי</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מהם</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בעניין</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סבירות</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החלטתו</w:t>
      </w:r>
      <w:r w:rsidRPr="000812E1">
        <w:rPr>
          <w:rFonts w:ascii="Garamond" w:hAnsi="Garamond" w:cs="FrankRuehl"/>
          <w:spacing w:val="10"/>
          <w:sz w:val="22"/>
          <w:szCs w:val="28"/>
          <w:rtl/>
        </w:rPr>
        <w:t xml:space="preserve">, </w:t>
      </w:r>
      <w:r w:rsidRPr="000812E1">
        <w:rPr>
          <w:rFonts w:ascii="Garamond" w:hAnsi="Garamond" w:cs="Miriam" w:hint="eastAsia"/>
          <w:b/>
          <w:color w:val="000000"/>
          <w:sz w:val="24"/>
          <w:rtl/>
        </w:rPr>
        <w:t>בין</w:t>
      </w:r>
      <w:r w:rsidRPr="000812E1">
        <w:rPr>
          <w:rFonts w:ascii="Garamond" w:hAnsi="Garamond" w:cs="Miriam"/>
          <w:b/>
          <w:color w:val="000000"/>
          <w:sz w:val="24"/>
          <w:rtl/>
        </w:rPr>
        <w:t xml:space="preserve"> </w:t>
      </w:r>
      <w:r w:rsidRPr="000812E1">
        <w:rPr>
          <w:rFonts w:ascii="Garamond" w:hAnsi="Garamond" w:cs="Miriam" w:hint="eastAsia"/>
          <w:b/>
          <w:color w:val="000000"/>
          <w:sz w:val="24"/>
          <w:rtl/>
        </w:rPr>
        <w:t>אם</w:t>
      </w:r>
      <w:r w:rsidRPr="000812E1">
        <w:rPr>
          <w:rFonts w:ascii="Garamond" w:hAnsi="Garamond" w:cs="Miriam"/>
          <w:b/>
          <w:color w:val="000000"/>
          <w:sz w:val="24"/>
          <w:rtl/>
        </w:rPr>
        <w:t xml:space="preserve"> </w:t>
      </w:r>
      <w:r w:rsidRPr="000812E1">
        <w:rPr>
          <w:rFonts w:ascii="Garamond" w:hAnsi="Garamond" w:cs="Miriam" w:hint="eastAsia"/>
          <w:b/>
          <w:color w:val="000000"/>
          <w:sz w:val="24"/>
          <w:rtl/>
        </w:rPr>
        <w:t>מכוח</w:t>
      </w:r>
      <w:r w:rsidRPr="000812E1">
        <w:rPr>
          <w:rFonts w:ascii="Garamond" w:hAnsi="Garamond" w:cs="Miriam"/>
          <w:b/>
          <w:color w:val="000000"/>
          <w:sz w:val="24"/>
          <w:rtl/>
        </w:rPr>
        <w:t xml:space="preserve"> </w:t>
      </w:r>
      <w:r w:rsidRPr="000812E1">
        <w:rPr>
          <w:rFonts w:ascii="Garamond" w:hAnsi="Garamond" w:cs="Miriam" w:hint="eastAsia"/>
          <w:b/>
          <w:color w:val="000000"/>
          <w:sz w:val="24"/>
          <w:rtl/>
        </w:rPr>
        <w:t>עילת</w:t>
      </w:r>
      <w:r w:rsidRPr="000812E1">
        <w:rPr>
          <w:rFonts w:ascii="Garamond" w:hAnsi="Garamond" w:cs="Miriam"/>
          <w:b/>
          <w:color w:val="000000"/>
          <w:sz w:val="24"/>
          <w:rtl/>
        </w:rPr>
        <w:t xml:space="preserve"> </w:t>
      </w:r>
      <w:r w:rsidRPr="000812E1">
        <w:rPr>
          <w:rFonts w:ascii="Garamond" w:hAnsi="Garamond" w:cs="Miriam" w:hint="eastAsia"/>
          <w:b/>
          <w:color w:val="000000"/>
          <w:sz w:val="24"/>
          <w:rtl/>
        </w:rPr>
        <w:t>הסבירות</w:t>
      </w:r>
      <w:r w:rsidRPr="000812E1">
        <w:rPr>
          <w:rFonts w:ascii="Garamond" w:hAnsi="Garamond" w:cs="Miriam"/>
          <w:b/>
          <w:color w:val="000000"/>
          <w:sz w:val="24"/>
          <w:rtl/>
        </w:rPr>
        <w:t xml:space="preserve"> </w:t>
      </w:r>
      <w:r w:rsidRPr="000812E1">
        <w:rPr>
          <w:rFonts w:ascii="Garamond" w:hAnsi="Garamond" w:cs="Miriam" w:hint="eastAsia"/>
          <w:b/>
          <w:color w:val="000000"/>
          <w:sz w:val="24"/>
          <w:rtl/>
        </w:rPr>
        <w:t>המקורית</w:t>
      </w:r>
      <w:r w:rsidRPr="000812E1">
        <w:rPr>
          <w:rFonts w:ascii="Garamond" w:hAnsi="Garamond" w:cs="Miriam"/>
          <w:b/>
          <w:color w:val="000000"/>
          <w:sz w:val="24"/>
          <w:rtl/>
        </w:rPr>
        <w:t xml:space="preserve"> </w:t>
      </w:r>
      <w:r w:rsidRPr="000812E1">
        <w:rPr>
          <w:rFonts w:ascii="Garamond" w:hAnsi="Garamond" w:cs="Miriam" w:hint="eastAsia"/>
          <w:b/>
          <w:color w:val="000000"/>
          <w:sz w:val="24"/>
          <w:rtl/>
        </w:rPr>
        <w:t>ובין</w:t>
      </w:r>
      <w:r w:rsidRPr="000812E1">
        <w:rPr>
          <w:rFonts w:ascii="Garamond" w:hAnsi="Garamond" w:cs="Miriam"/>
          <w:b/>
          <w:color w:val="000000"/>
          <w:sz w:val="24"/>
          <w:rtl/>
        </w:rPr>
        <w:t xml:space="preserve"> </w:t>
      </w:r>
      <w:r w:rsidRPr="000812E1">
        <w:rPr>
          <w:rFonts w:ascii="Garamond" w:hAnsi="Garamond" w:cs="Miriam" w:hint="eastAsia"/>
          <w:b/>
          <w:color w:val="000000"/>
          <w:sz w:val="24"/>
          <w:rtl/>
        </w:rPr>
        <w:t>אם</w:t>
      </w:r>
      <w:r w:rsidRPr="000812E1">
        <w:rPr>
          <w:rFonts w:ascii="Garamond" w:hAnsi="Garamond" w:cs="Miriam"/>
          <w:b/>
          <w:color w:val="000000"/>
          <w:sz w:val="24"/>
          <w:rtl/>
        </w:rPr>
        <w:t xml:space="preserve"> </w:t>
      </w:r>
      <w:r w:rsidRPr="000812E1">
        <w:rPr>
          <w:rFonts w:ascii="Garamond" w:hAnsi="Garamond" w:cs="Miriam" w:hint="eastAsia"/>
          <w:b/>
          <w:color w:val="000000"/>
          <w:sz w:val="24"/>
          <w:rtl/>
        </w:rPr>
        <w:t>מכוח</w:t>
      </w:r>
      <w:r w:rsidRPr="000812E1">
        <w:rPr>
          <w:rFonts w:ascii="Garamond" w:hAnsi="Garamond" w:cs="Miriam"/>
          <w:b/>
          <w:color w:val="000000"/>
          <w:sz w:val="24"/>
          <w:rtl/>
        </w:rPr>
        <w:t xml:space="preserve"> </w:t>
      </w:r>
      <w:r w:rsidRPr="000812E1">
        <w:rPr>
          <w:rFonts w:ascii="Garamond" w:hAnsi="Garamond" w:cs="Miriam" w:hint="eastAsia"/>
          <w:b/>
          <w:color w:val="000000"/>
          <w:sz w:val="24"/>
          <w:rtl/>
        </w:rPr>
        <w:t>עילת</w:t>
      </w:r>
      <w:r w:rsidRPr="000812E1">
        <w:rPr>
          <w:rFonts w:ascii="Garamond" w:hAnsi="Garamond" w:cs="Miriam"/>
          <w:b/>
          <w:color w:val="000000"/>
          <w:sz w:val="24"/>
          <w:rtl/>
        </w:rPr>
        <w:t xml:space="preserve"> </w:t>
      </w:r>
      <w:r w:rsidRPr="000812E1">
        <w:rPr>
          <w:rFonts w:ascii="Garamond" w:hAnsi="Garamond" w:cs="Miriam" w:hint="eastAsia"/>
          <w:b/>
          <w:color w:val="000000"/>
          <w:sz w:val="24"/>
          <w:rtl/>
        </w:rPr>
        <w:t>הסבירות</w:t>
      </w:r>
      <w:r w:rsidRPr="000812E1">
        <w:rPr>
          <w:rFonts w:ascii="Garamond" w:hAnsi="Garamond" w:cs="Miriam"/>
          <w:b/>
          <w:color w:val="000000"/>
          <w:sz w:val="24"/>
          <w:rtl/>
        </w:rPr>
        <w:t xml:space="preserve"> </w:t>
      </w:r>
      <w:r w:rsidRPr="000812E1">
        <w:rPr>
          <w:rFonts w:ascii="Garamond" w:hAnsi="Garamond" w:cs="Miriam" w:hint="eastAsia"/>
          <w:b/>
          <w:color w:val="000000"/>
          <w:sz w:val="24"/>
          <w:rtl/>
        </w:rPr>
        <w:t>החדשה</w:t>
      </w:r>
      <w:r w:rsidRPr="000812E1">
        <w:rPr>
          <w:rFonts w:ascii="Garamond" w:hAnsi="Garamond" w:cs="Miriam"/>
          <w:b/>
          <w:color w:val="000000"/>
          <w:sz w:val="24"/>
          <w:rtl/>
        </w:rPr>
        <w:t xml:space="preserve">, </w:t>
      </w:r>
      <w:r w:rsidRPr="000812E1">
        <w:rPr>
          <w:rFonts w:ascii="Garamond" w:hAnsi="Garamond" w:cs="Miriam" w:hint="eastAsia"/>
          <w:b/>
          <w:color w:val="000000"/>
          <w:sz w:val="24"/>
          <w:rtl/>
        </w:rPr>
        <w:t>וזאת</w:t>
      </w:r>
      <w:r w:rsidRPr="000812E1">
        <w:rPr>
          <w:rFonts w:ascii="Garamond" w:hAnsi="Garamond" w:cs="Miriam"/>
          <w:b/>
          <w:color w:val="000000"/>
          <w:sz w:val="24"/>
          <w:rtl/>
        </w:rPr>
        <w:t xml:space="preserve"> </w:t>
      </w:r>
      <w:r w:rsidRPr="000812E1">
        <w:rPr>
          <w:rFonts w:ascii="Garamond" w:hAnsi="Garamond" w:cs="Miriam" w:hint="eastAsia"/>
          <w:b/>
          <w:color w:val="000000"/>
          <w:sz w:val="24"/>
          <w:rtl/>
        </w:rPr>
        <w:t>אף</w:t>
      </w:r>
      <w:r w:rsidRPr="000812E1">
        <w:rPr>
          <w:rFonts w:ascii="Garamond" w:hAnsi="Garamond" w:cs="Miriam"/>
          <w:b/>
          <w:color w:val="000000"/>
          <w:sz w:val="24"/>
          <w:rtl/>
        </w:rPr>
        <w:t xml:space="preserve"> </w:t>
      </w:r>
      <w:r w:rsidRPr="000812E1">
        <w:rPr>
          <w:rFonts w:ascii="Garamond" w:hAnsi="Garamond" w:cs="Miriam" w:hint="eastAsia"/>
          <w:b/>
          <w:color w:val="000000"/>
          <w:sz w:val="24"/>
          <w:rtl/>
        </w:rPr>
        <w:t>בנושא</w:t>
      </w:r>
      <w:r w:rsidRPr="000812E1">
        <w:rPr>
          <w:rFonts w:ascii="Garamond" w:hAnsi="Garamond" w:cs="Miriam"/>
          <w:b/>
          <w:color w:val="000000"/>
          <w:sz w:val="24"/>
          <w:rtl/>
        </w:rPr>
        <w:t xml:space="preserve"> </w:t>
      </w:r>
      <w:r w:rsidRPr="000812E1">
        <w:rPr>
          <w:rFonts w:ascii="Garamond" w:hAnsi="Garamond" w:cs="Miriam" w:hint="eastAsia"/>
          <w:b/>
          <w:color w:val="000000"/>
          <w:sz w:val="24"/>
          <w:rtl/>
        </w:rPr>
        <w:t>מינויים</w:t>
      </w:r>
      <w:r w:rsidRPr="000812E1">
        <w:rPr>
          <w:rFonts w:ascii="Garamond" w:hAnsi="Garamond" w:cs="Miriam"/>
          <w:b/>
          <w:color w:val="000000"/>
          <w:sz w:val="24"/>
          <w:rtl/>
        </w:rPr>
        <w:t xml:space="preserve"> </w:t>
      </w:r>
      <w:r w:rsidRPr="000812E1">
        <w:rPr>
          <w:rFonts w:ascii="Garamond" w:hAnsi="Garamond" w:cs="Miriam" w:hint="eastAsia"/>
          <w:b/>
          <w:color w:val="000000"/>
          <w:sz w:val="24"/>
          <w:rtl/>
        </w:rPr>
        <w:t>ובעניין</w:t>
      </w:r>
      <w:r w:rsidRPr="000812E1">
        <w:rPr>
          <w:rFonts w:ascii="Garamond" w:hAnsi="Garamond" w:cs="Miriam"/>
          <w:b/>
          <w:color w:val="000000"/>
          <w:sz w:val="24"/>
          <w:rtl/>
        </w:rPr>
        <w:t xml:space="preserve"> </w:t>
      </w:r>
      <w:r w:rsidRPr="000812E1">
        <w:rPr>
          <w:rFonts w:ascii="Garamond" w:hAnsi="Garamond" w:cs="Miriam" w:hint="eastAsia"/>
          <w:b/>
          <w:color w:val="000000"/>
          <w:sz w:val="24"/>
          <w:rtl/>
        </w:rPr>
        <w:t>החלטה</w:t>
      </w:r>
      <w:r w:rsidRPr="000812E1">
        <w:rPr>
          <w:rFonts w:ascii="Garamond" w:hAnsi="Garamond" w:cs="Miriam"/>
          <w:b/>
          <w:color w:val="000000"/>
          <w:sz w:val="24"/>
          <w:rtl/>
        </w:rPr>
        <w:t xml:space="preserve"> </w:t>
      </w:r>
      <w:r w:rsidRPr="000812E1">
        <w:rPr>
          <w:rFonts w:ascii="Garamond" w:hAnsi="Garamond" w:cs="Miriam" w:hint="eastAsia"/>
          <w:b/>
          <w:color w:val="000000"/>
          <w:sz w:val="24"/>
          <w:rtl/>
        </w:rPr>
        <w:t>שלא</w:t>
      </w:r>
      <w:r w:rsidRPr="000812E1">
        <w:rPr>
          <w:rFonts w:ascii="Garamond" w:hAnsi="Garamond" w:cs="Miriam"/>
          <w:b/>
          <w:color w:val="000000"/>
          <w:sz w:val="24"/>
          <w:rtl/>
        </w:rPr>
        <w:t xml:space="preserve"> </w:t>
      </w:r>
      <w:r w:rsidRPr="000812E1">
        <w:rPr>
          <w:rFonts w:ascii="Garamond" w:hAnsi="Garamond" w:cs="Miriam" w:hint="eastAsia"/>
          <w:b/>
          <w:color w:val="000000"/>
          <w:sz w:val="24"/>
          <w:rtl/>
        </w:rPr>
        <w:t>להפעיל</w:t>
      </w:r>
      <w:r w:rsidRPr="000812E1">
        <w:rPr>
          <w:rFonts w:ascii="Garamond" w:hAnsi="Garamond" w:cs="Miriam"/>
          <w:b/>
          <w:color w:val="000000"/>
          <w:sz w:val="24"/>
          <w:rtl/>
        </w:rPr>
        <w:t xml:space="preserve"> </w:t>
      </w:r>
      <w:r w:rsidRPr="000812E1">
        <w:rPr>
          <w:rFonts w:ascii="Garamond" w:hAnsi="Garamond" w:cs="Miriam" w:hint="eastAsia"/>
          <w:b/>
          <w:color w:val="000000"/>
          <w:sz w:val="24"/>
          <w:rtl/>
        </w:rPr>
        <w:t>סמכות</w:t>
      </w:r>
      <w:r w:rsidRPr="000812E1">
        <w:rPr>
          <w:rFonts w:ascii="Garamond" w:hAnsi="Garamond" w:cs="FrankRuehl" w:hint="cs"/>
          <w:spacing w:val="10"/>
          <w:sz w:val="22"/>
          <w:szCs w:val="28"/>
          <w:rtl/>
        </w:rPr>
        <w:t xml:space="preserve"> [...] </w:t>
      </w:r>
      <w:r w:rsidRPr="000812E1">
        <w:rPr>
          <w:rFonts w:ascii="Garamond" w:hAnsi="Garamond" w:cs="FrankRuehl" w:hint="cs"/>
          <w:spacing w:val="10"/>
          <w:szCs w:val="28"/>
          <w:rtl/>
        </w:rPr>
        <w:t>[הדברים]</w:t>
      </w:r>
      <w:r w:rsidRPr="000812E1">
        <w:rPr>
          <w:rFonts w:ascii="Garamond" w:hAnsi="Garamond" w:cs="FrankRuehl"/>
          <w:spacing w:val="10"/>
          <w:szCs w:val="28"/>
          <w:rtl/>
        </w:rPr>
        <w:t xml:space="preserve"> </w:t>
      </w:r>
      <w:bookmarkStart w:id="4" w:name="_ETM_Q162_424340"/>
      <w:bookmarkEnd w:id="4"/>
      <w:r w:rsidRPr="000812E1">
        <w:rPr>
          <w:rFonts w:ascii="Garamond" w:hAnsi="Garamond" w:cs="FrankRuehl"/>
          <w:spacing w:val="10"/>
          <w:szCs w:val="28"/>
          <w:rtl/>
        </w:rPr>
        <w:t xml:space="preserve">הללו </w:t>
      </w:r>
      <w:bookmarkStart w:id="5" w:name="_ETM_Q162_424609"/>
      <w:bookmarkEnd w:id="5"/>
      <w:r w:rsidRPr="000812E1">
        <w:rPr>
          <w:rFonts w:ascii="Garamond" w:hAnsi="Garamond" w:cs="FrankRuehl"/>
          <w:spacing w:val="10"/>
          <w:szCs w:val="28"/>
          <w:rtl/>
        </w:rPr>
        <w:t xml:space="preserve">משקפים </w:t>
      </w:r>
      <w:bookmarkStart w:id="6" w:name="_ETM_Q162_425299"/>
      <w:bookmarkEnd w:id="6"/>
      <w:r w:rsidRPr="000812E1">
        <w:rPr>
          <w:rFonts w:ascii="Garamond" w:hAnsi="Garamond" w:cs="FrankRuehl"/>
          <w:spacing w:val="10"/>
          <w:szCs w:val="28"/>
          <w:rtl/>
        </w:rPr>
        <w:t>מבחינתי</w:t>
      </w:r>
      <w:r w:rsidRPr="000812E1">
        <w:rPr>
          <w:rFonts w:ascii="Garamond" w:hAnsi="Garamond" w:cs="FrankRuehl" w:hint="cs"/>
          <w:spacing w:val="10"/>
          <w:szCs w:val="28"/>
          <w:rtl/>
        </w:rPr>
        <w:t>,</w:t>
      </w:r>
      <w:r w:rsidRPr="000812E1">
        <w:rPr>
          <w:rFonts w:ascii="Garamond" w:hAnsi="Garamond" w:cs="FrankRuehl"/>
          <w:spacing w:val="10"/>
          <w:szCs w:val="28"/>
          <w:rtl/>
        </w:rPr>
        <w:t xml:space="preserve"> </w:t>
      </w:r>
      <w:bookmarkStart w:id="7" w:name="_ETM_Q162_426739"/>
      <w:bookmarkEnd w:id="7"/>
      <w:r w:rsidRPr="000812E1">
        <w:rPr>
          <w:rFonts w:ascii="Garamond" w:hAnsi="Garamond" w:cs="FrankRuehl"/>
          <w:spacing w:val="10"/>
          <w:szCs w:val="28"/>
          <w:rtl/>
        </w:rPr>
        <w:t xml:space="preserve">ואני </w:t>
      </w:r>
      <w:bookmarkStart w:id="8" w:name="_ETM_Q162_427099"/>
      <w:bookmarkEnd w:id="8"/>
      <w:r w:rsidRPr="000812E1">
        <w:rPr>
          <w:rFonts w:ascii="Garamond" w:hAnsi="Garamond" w:cs="FrankRuehl"/>
          <w:spacing w:val="10"/>
          <w:szCs w:val="28"/>
          <w:rtl/>
        </w:rPr>
        <w:t xml:space="preserve">חושב </w:t>
      </w:r>
      <w:bookmarkStart w:id="9" w:name="_ETM_Q162_427639"/>
      <w:bookmarkEnd w:id="9"/>
      <w:r w:rsidRPr="000812E1">
        <w:rPr>
          <w:rFonts w:ascii="Garamond" w:hAnsi="Garamond" w:cs="FrankRuehl"/>
          <w:spacing w:val="10"/>
          <w:szCs w:val="28"/>
          <w:rtl/>
        </w:rPr>
        <w:t xml:space="preserve">שאני </w:t>
      </w:r>
      <w:bookmarkStart w:id="10" w:name="_ETM_Q162_427879"/>
      <w:bookmarkEnd w:id="10"/>
      <w:r w:rsidRPr="000812E1">
        <w:rPr>
          <w:rFonts w:ascii="Garamond" w:hAnsi="Garamond" w:cs="FrankRuehl"/>
          <w:spacing w:val="10"/>
          <w:szCs w:val="28"/>
          <w:rtl/>
        </w:rPr>
        <w:t xml:space="preserve">מדבר </w:t>
      </w:r>
      <w:bookmarkStart w:id="11" w:name="_ETM_Q162_428329"/>
      <w:bookmarkEnd w:id="11"/>
      <w:r w:rsidRPr="000812E1">
        <w:rPr>
          <w:rFonts w:ascii="Garamond" w:hAnsi="Garamond" w:cs="FrankRuehl"/>
          <w:spacing w:val="10"/>
          <w:szCs w:val="28"/>
          <w:rtl/>
        </w:rPr>
        <w:t xml:space="preserve">בשם </w:t>
      </w:r>
      <w:bookmarkStart w:id="12" w:name="_ETM_Q162_428659"/>
      <w:bookmarkEnd w:id="12"/>
      <w:r w:rsidRPr="000812E1">
        <w:rPr>
          <w:rFonts w:ascii="Garamond" w:hAnsi="Garamond" w:cs="FrankRuehl"/>
          <w:spacing w:val="10"/>
          <w:szCs w:val="28"/>
          <w:rtl/>
        </w:rPr>
        <w:t xml:space="preserve">חבריי </w:t>
      </w:r>
      <w:bookmarkStart w:id="13" w:name="_ETM_Q162_429079"/>
      <w:bookmarkEnd w:id="13"/>
      <w:r w:rsidRPr="000812E1">
        <w:rPr>
          <w:rFonts w:ascii="Garamond" w:hAnsi="Garamond" w:cs="FrankRuehl"/>
          <w:spacing w:val="10"/>
          <w:szCs w:val="28"/>
          <w:rtl/>
        </w:rPr>
        <w:t xml:space="preserve">לקואליציה </w:t>
      </w:r>
      <w:bookmarkStart w:id="14" w:name="_ETM_Q162_429769"/>
      <w:bookmarkEnd w:id="14"/>
      <w:r w:rsidRPr="000812E1">
        <w:rPr>
          <w:rFonts w:ascii="Garamond" w:hAnsi="Garamond" w:cs="FrankRuehl"/>
          <w:spacing w:val="10"/>
          <w:szCs w:val="28"/>
          <w:rtl/>
        </w:rPr>
        <w:t>בוודאי</w:t>
      </w:r>
      <w:r w:rsidRPr="000812E1">
        <w:rPr>
          <w:rFonts w:ascii="Garamond" w:hAnsi="Garamond" w:cs="FrankRuehl" w:hint="cs"/>
          <w:spacing w:val="10"/>
          <w:szCs w:val="28"/>
          <w:rtl/>
        </w:rPr>
        <w:t>,</w:t>
      </w:r>
      <w:r w:rsidRPr="000812E1">
        <w:rPr>
          <w:rFonts w:ascii="Garamond" w:hAnsi="Garamond" w:cs="FrankRuehl"/>
          <w:spacing w:val="10"/>
          <w:szCs w:val="28"/>
          <w:rtl/>
        </w:rPr>
        <w:t xml:space="preserve"> </w:t>
      </w:r>
      <w:bookmarkStart w:id="15" w:name="_ETM_Q162_430919"/>
      <w:bookmarkEnd w:id="15"/>
      <w:r w:rsidRPr="000812E1">
        <w:rPr>
          <w:rFonts w:ascii="Garamond" w:hAnsi="Garamond" w:cs="FrankRuehl"/>
          <w:spacing w:val="10"/>
          <w:szCs w:val="28"/>
          <w:rtl/>
        </w:rPr>
        <w:t xml:space="preserve">את </w:t>
      </w:r>
      <w:bookmarkStart w:id="16" w:name="_ETM_Q162_431249"/>
      <w:bookmarkEnd w:id="16"/>
      <w:r w:rsidRPr="000812E1">
        <w:rPr>
          <w:rFonts w:ascii="Garamond" w:hAnsi="Garamond" w:cs="FrankRuehl"/>
          <w:spacing w:val="10"/>
          <w:szCs w:val="28"/>
          <w:rtl/>
        </w:rPr>
        <w:t xml:space="preserve">העקרונות </w:t>
      </w:r>
      <w:bookmarkStart w:id="17" w:name="_ETM_Q162_431909"/>
      <w:bookmarkEnd w:id="17"/>
      <w:r w:rsidRPr="000812E1">
        <w:rPr>
          <w:rFonts w:ascii="Garamond" w:hAnsi="Garamond" w:cs="FrankRuehl"/>
          <w:spacing w:val="10"/>
          <w:szCs w:val="28"/>
          <w:rtl/>
        </w:rPr>
        <w:t xml:space="preserve">ואת </w:t>
      </w:r>
      <w:bookmarkStart w:id="18" w:name="_ETM_Q162_432150"/>
      <w:bookmarkEnd w:id="18"/>
      <w:r w:rsidRPr="000812E1">
        <w:rPr>
          <w:rFonts w:ascii="Garamond" w:hAnsi="Garamond" w:cs="FrankRuehl"/>
          <w:spacing w:val="10"/>
          <w:szCs w:val="28"/>
          <w:rtl/>
        </w:rPr>
        <w:t xml:space="preserve">היסודות </w:t>
      </w:r>
      <w:bookmarkStart w:id="19" w:name="_ETM_Q162_433079"/>
      <w:bookmarkEnd w:id="19"/>
      <w:r w:rsidRPr="000812E1">
        <w:rPr>
          <w:rFonts w:ascii="Garamond" w:hAnsi="Garamond" w:cs="FrankRuehl"/>
          <w:spacing w:val="10"/>
          <w:szCs w:val="28"/>
          <w:rtl/>
        </w:rPr>
        <w:t xml:space="preserve">שבבסיס </w:t>
      </w:r>
      <w:bookmarkStart w:id="20" w:name="_ETM_Q162_433769"/>
      <w:bookmarkEnd w:id="20"/>
      <w:r w:rsidRPr="000812E1">
        <w:rPr>
          <w:rFonts w:ascii="Garamond" w:hAnsi="Garamond" w:cs="FrankRuehl"/>
          <w:spacing w:val="10"/>
          <w:szCs w:val="28"/>
          <w:rtl/>
        </w:rPr>
        <w:t xml:space="preserve">ההצעה </w:t>
      </w:r>
      <w:bookmarkStart w:id="21" w:name="_ETM_Q162_434219"/>
      <w:bookmarkEnd w:id="21"/>
      <w:r w:rsidRPr="000812E1">
        <w:rPr>
          <w:rFonts w:ascii="Garamond" w:hAnsi="Garamond" w:cs="FrankRuehl"/>
          <w:color w:val="000000"/>
          <w:spacing w:val="10"/>
          <w:szCs w:val="28"/>
          <w:rtl/>
        </w:rPr>
        <w:t>הזו</w:t>
      </w:r>
      <w:r w:rsidRPr="000812E1">
        <w:rPr>
          <w:rFonts w:ascii="Garamond" w:hAnsi="Garamond" w:cs="FrankRuehl" w:hint="cs"/>
          <w:color w:val="000000"/>
          <w:spacing w:val="10"/>
          <w:sz w:val="22"/>
          <w:szCs w:val="28"/>
          <w:rtl/>
        </w:rPr>
        <w:t xml:space="preserve">" </w:t>
      </w:r>
      <w:r w:rsidRPr="000812E1">
        <w:rPr>
          <w:rFonts w:ascii="Garamond" w:hAnsi="Garamond" w:cs="FrankRuehl" w:hint="cs"/>
          <w:color w:val="000000"/>
          <w:spacing w:val="10"/>
          <w:szCs w:val="28"/>
          <w:rtl/>
        </w:rPr>
        <w:t xml:space="preserve">(פרוטוקול ישיבה 97 </w:t>
      </w:r>
      <w:r>
        <w:rPr>
          <w:rFonts w:ascii="Garamond" w:hAnsi="Garamond" w:cs="FrankRuehl" w:hint="cs"/>
          <w:color w:val="000000"/>
          <w:spacing w:val="10"/>
          <w:szCs w:val="28"/>
          <w:rtl/>
        </w:rPr>
        <w:t>של</w:t>
      </w:r>
      <w:r w:rsidRPr="000812E1">
        <w:rPr>
          <w:rFonts w:ascii="Garamond" w:hAnsi="Garamond" w:cs="FrankRuehl" w:hint="cs"/>
          <w:color w:val="000000"/>
          <w:spacing w:val="10"/>
          <w:szCs w:val="28"/>
          <w:rtl/>
        </w:rPr>
        <w:t xml:space="preserve"> הכנסת ה-25, </w:t>
      </w:r>
      <w:r>
        <w:rPr>
          <w:rFonts w:ascii="Garamond" w:hAnsi="Garamond" w:cs="FrankRuehl" w:hint="cs"/>
          <w:color w:val="000000"/>
          <w:spacing w:val="10"/>
          <w:szCs w:val="28"/>
          <w:rtl/>
        </w:rPr>
        <w:t>552-551</w:t>
      </w:r>
      <w:r w:rsidRPr="000812E1">
        <w:rPr>
          <w:rFonts w:ascii="Garamond" w:hAnsi="Garamond" w:cs="FrankRuehl" w:hint="cs"/>
          <w:color w:val="000000"/>
          <w:spacing w:val="10"/>
          <w:szCs w:val="28"/>
          <w:rtl/>
        </w:rPr>
        <w:t xml:space="preserve"> (23.7.2023); ההדגשות הוספו)</w:t>
      </w:r>
      <w:r w:rsidRPr="000812E1">
        <w:rPr>
          <w:rFonts w:ascii="Garamond" w:hAnsi="Garamond" w:cs="FrankRuehl"/>
          <w:color w:val="000000"/>
          <w:spacing w:val="10"/>
          <w:sz w:val="22"/>
          <w:szCs w:val="28"/>
          <w:rtl/>
        </w:rPr>
        <w:t xml:space="preserve">. </w:t>
      </w:r>
    </w:p>
    <w:p w:rsidR="00C044AE" w:rsidRPr="00B00F53" w:rsidRDefault="00C044AE" w:rsidP="00C044AE">
      <w:pPr>
        <w:spacing w:after="120"/>
        <w:ind w:left="1469" w:right="1797"/>
        <w:jc w:val="both"/>
        <w:textAlignment w:val="auto"/>
        <w:rPr>
          <w:rFonts w:ascii="Garamond" w:hAnsi="Garamond"/>
          <w:sz w:val="22"/>
          <w:rtl/>
        </w:rPr>
      </w:pPr>
    </w:p>
    <w:p w:rsidR="00C044AE" w:rsidRPr="00B00F53" w:rsidRDefault="00C044AE" w:rsidP="00C044AE">
      <w:pPr>
        <w:pStyle w:val="Ruller4"/>
        <w:rPr>
          <w:color w:val="000000" w:themeColor="text1"/>
          <w:sz w:val="22"/>
          <w:rtl/>
        </w:rPr>
      </w:pPr>
      <w:r w:rsidRPr="00B00F53">
        <w:rPr>
          <w:rFonts w:hint="cs"/>
          <w:rtl/>
        </w:rPr>
        <w:lastRenderedPageBreak/>
        <w:t xml:space="preserve">אם כן, </w:t>
      </w:r>
      <w:r w:rsidRPr="00B00F53">
        <w:rPr>
          <w:rFonts w:hint="cs"/>
          <w:color w:val="000000" w:themeColor="text1"/>
          <w:rtl/>
        </w:rPr>
        <w:t xml:space="preserve">התחקות אחר הליך חקיקת התיקון מלמדת כי שתיקתו של התיקון ביחס להגדרת המונח "סבירות" אינה "תקלה חקיקתית" או תוצר של אי-נקיטת עמדה בסוגיה, אשר טעונה השלמה בדרך פרשנית (ראו והשוו: ע"א 108/59 </w:t>
      </w:r>
      <w:r w:rsidRPr="00B00F53">
        <w:rPr>
          <w:rFonts w:cs="Miriam" w:hint="cs"/>
          <w:b/>
          <w:color w:val="000000" w:themeColor="text1"/>
          <w:spacing w:val="0"/>
          <w:szCs w:val="24"/>
          <w:rtl/>
        </w:rPr>
        <w:t>פריצקר נ' "ניב"</w:t>
      </w:r>
      <w:r>
        <w:rPr>
          <w:rFonts w:cs="Miriam" w:hint="cs"/>
          <w:b/>
          <w:color w:val="000000" w:themeColor="text1"/>
          <w:spacing w:val="0"/>
          <w:szCs w:val="24"/>
          <w:rtl/>
        </w:rPr>
        <w:t xml:space="preserve"> אגודה חקלאית שיתופית של קצינים משוחררים</w:t>
      </w:r>
      <w:r w:rsidRPr="00B00F53">
        <w:rPr>
          <w:rFonts w:cs="Miriam" w:hint="cs"/>
          <w:b/>
          <w:color w:val="000000" w:themeColor="text1"/>
          <w:spacing w:val="0"/>
          <w:szCs w:val="24"/>
          <w:rtl/>
        </w:rPr>
        <w:t xml:space="preserve"> בע"מ</w:t>
      </w:r>
      <w:r>
        <w:rPr>
          <w:rFonts w:cs="Miriam" w:hint="cs"/>
          <w:b/>
          <w:color w:val="000000" w:themeColor="text1"/>
          <w:spacing w:val="0"/>
          <w:szCs w:val="24"/>
          <w:rtl/>
        </w:rPr>
        <w:t xml:space="preserve"> (בפירוק)</w:t>
      </w:r>
      <w:r w:rsidRPr="00B00F53">
        <w:rPr>
          <w:rFonts w:hint="cs"/>
          <w:color w:val="000000" w:themeColor="text1"/>
          <w:rtl/>
        </w:rPr>
        <w:t xml:space="preserve">, פ"ד יד 1545, 1549 (1960); עניין </w:t>
      </w:r>
      <w:r w:rsidRPr="00B00F53">
        <w:rPr>
          <w:rFonts w:cs="Miriam" w:hint="cs"/>
          <w:b/>
          <w:color w:val="000000" w:themeColor="text1"/>
          <w:spacing w:val="0"/>
          <w:szCs w:val="24"/>
          <w:rtl/>
        </w:rPr>
        <w:t>חרות</w:t>
      </w:r>
      <w:r w:rsidRPr="00B00F53">
        <w:rPr>
          <w:rFonts w:hint="cs"/>
          <w:color w:val="000000" w:themeColor="text1"/>
          <w:rtl/>
        </w:rPr>
        <w:t xml:space="preserve">, בעמ' 759). להיפך, לשונו הגורפת של התיקון היא פרי בחירה </w:t>
      </w:r>
      <w:r w:rsidRPr="00B00F53">
        <w:rPr>
          <w:rFonts w:cs="Miriam" w:hint="cs"/>
          <w:b/>
          <w:color w:val="000000" w:themeColor="text1"/>
          <w:spacing w:val="0"/>
          <w:szCs w:val="24"/>
          <w:rtl/>
        </w:rPr>
        <w:t>מודעת</w:t>
      </w:r>
      <w:r w:rsidRPr="00B00F53">
        <w:rPr>
          <w:rFonts w:hint="cs"/>
          <w:color w:val="000000" w:themeColor="text1"/>
          <w:rtl/>
        </w:rPr>
        <w:t xml:space="preserve"> של המכונן אשר ביקש לשלול את השימוש בעילת הסבירות בי</w:t>
      </w:r>
      <w:r>
        <w:rPr>
          <w:rFonts w:hint="cs"/>
          <w:color w:val="000000" w:themeColor="text1"/>
          <w:rtl/>
        </w:rPr>
        <w:t>חס לכל החלטות הדרג הנבחר, ו</w:t>
      </w:r>
      <w:r w:rsidRPr="00B00F53">
        <w:rPr>
          <w:rFonts w:hint="cs"/>
          <w:color w:val="000000" w:themeColor="text1"/>
          <w:rtl/>
        </w:rPr>
        <w:t xml:space="preserve">ביחס לכלל </w:t>
      </w:r>
      <w:r>
        <w:rPr>
          <w:rFonts w:hint="cs"/>
          <w:color w:val="000000" w:themeColor="text1"/>
          <w:rtl/>
        </w:rPr>
        <w:t>המובנים</w:t>
      </w:r>
      <w:r w:rsidRPr="00B00F53">
        <w:rPr>
          <w:rFonts w:hint="cs"/>
          <w:color w:val="000000" w:themeColor="text1"/>
          <w:rtl/>
        </w:rPr>
        <w:t xml:space="preserve"> של העילה. בנסיבות אלו</w:t>
      </w:r>
      <w:r w:rsidRPr="00B00F53">
        <w:rPr>
          <w:rFonts w:hint="cs"/>
          <w:rtl/>
        </w:rPr>
        <w:t xml:space="preserve">, פרשנות המבקשת לצמצם את תחולת התיקון אך לעילת הסבירות </w:t>
      </w:r>
      <w:r>
        <w:rPr>
          <w:rFonts w:hint="cs"/>
          <w:rtl/>
        </w:rPr>
        <w:t>כ</w:t>
      </w:r>
      <w:r w:rsidRPr="00B00F53">
        <w:rPr>
          <w:rFonts w:hint="cs"/>
          <w:rtl/>
        </w:rPr>
        <w:t xml:space="preserve">מובנה בעניין </w:t>
      </w:r>
      <w:r w:rsidRPr="00B00F53">
        <w:rPr>
          <w:rFonts w:cs="Miriam" w:hint="cs"/>
          <w:b/>
          <w:color w:val="000000" w:themeColor="text1"/>
          <w:spacing w:val="0"/>
          <w:szCs w:val="24"/>
          <w:rtl/>
        </w:rPr>
        <w:t>דפי זהב</w:t>
      </w:r>
      <w:r>
        <w:rPr>
          <w:rFonts w:hint="cs"/>
          <w:rtl/>
        </w:rPr>
        <w:t>,</w:t>
      </w:r>
      <w:r w:rsidRPr="00B00F53">
        <w:rPr>
          <w:rFonts w:hint="cs"/>
          <w:rtl/>
        </w:rPr>
        <w:t xml:space="preserve"> לא רק </w:t>
      </w:r>
      <w:r>
        <w:rPr>
          <w:rFonts w:hint="cs"/>
          <w:rtl/>
        </w:rPr>
        <w:t>שהיא אינה מתיישבת עם לשון הסעיף</w:t>
      </w:r>
      <w:r w:rsidRPr="00B00F53">
        <w:rPr>
          <w:rFonts w:hint="cs"/>
          <w:rtl/>
        </w:rPr>
        <w:t xml:space="preserve">, </w:t>
      </w:r>
      <w:r>
        <w:rPr>
          <w:rFonts w:hint="cs"/>
          <w:rtl/>
        </w:rPr>
        <w:t>היא</w:t>
      </w:r>
      <w:r w:rsidRPr="00B00F53">
        <w:rPr>
          <w:rFonts w:hint="cs"/>
          <w:rtl/>
        </w:rPr>
        <w:t xml:space="preserve"> אף מנוגדת באופן מובהק לתכליתו הסובייקטיבית </w:t>
      </w:r>
      <w:r>
        <w:rPr>
          <w:rFonts w:hint="cs"/>
          <w:rtl/>
        </w:rPr>
        <w:t xml:space="preserve">והמוצהרת </w:t>
      </w:r>
      <w:r w:rsidRPr="00B00F53">
        <w:rPr>
          <w:rFonts w:hint="cs"/>
          <w:rtl/>
        </w:rPr>
        <w:t xml:space="preserve">של התיקון. </w:t>
      </w:r>
    </w:p>
    <w:p w:rsidR="00C044AE" w:rsidRPr="00B00F53" w:rsidRDefault="00C044AE" w:rsidP="00C044AE">
      <w:pPr>
        <w:pStyle w:val="Ruller41"/>
        <w:rPr>
          <w:rFonts w:ascii="Garamond" w:hAnsi="Garamond"/>
          <w:rtl/>
        </w:rPr>
      </w:pPr>
    </w:p>
    <w:p w:rsidR="00C044AE" w:rsidRPr="009A05CE" w:rsidRDefault="00C044AE" w:rsidP="00C044AE">
      <w:pPr>
        <w:pStyle w:val="Ruller4"/>
        <w:rPr>
          <w:rtl/>
        </w:rPr>
      </w:pPr>
      <w:r w:rsidRPr="009A05CE">
        <w:rPr>
          <w:rFonts w:hint="cs"/>
          <w:rtl/>
        </w:rPr>
        <w:t xml:space="preserve">למעשה, אף בא-כוח הכנסת הדגיש כי "מלשון חוק היסוד המתקן נראה שחוק היסוד המתקן חל על עילת הסבירות בכל היבטיה, מבלי להבחין בין עילת הסבירות המסורתית לבין עילת הסבירות החדשה" (פסקה 14 להשלמת הטיעון מטעם הכנסת). הוא אף לא חלק על כך שתכליתו הסובייקטיבית </w:t>
      </w:r>
      <w:r>
        <w:rPr>
          <w:rFonts w:hint="cs"/>
          <w:rtl/>
        </w:rPr>
        <w:t>מוליכה לאותה מסקנה</w:t>
      </w:r>
      <w:r w:rsidRPr="009A05CE">
        <w:rPr>
          <w:rFonts w:hint="cs"/>
          <w:rtl/>
        </w:rPr>
        <w:t xml:space="preserve">. עם זאת, לשיטתו </w:t>
      </w:r>
      <w:r>
        <w:rPr>
          <w:rFonts w:hint="cs"/>
          <w:rtl/>
        </w:rPr>
        <w:t xml:space="preserve">אין לפרש חוק יסוד </w:t>
      </w:r>
      <w:r w:rsidRPr="009A05CE">
        <w:rPr>
          <w:rFonts w:hint="cs"/>
          <w:rtl/>
        </w:rPr>
        <w:t xml:space="preserve">רק על בסיס </w:t>
      </w:r>
      <w:r>
        <w:rPr>
          <w:rFonts w:hint="cs"/>
          <w:rtl/>
        </w:rPr>
        <w:t xml:space="preserve">מבחנים אלה ויש להעניק מעמד בכורה </w:t>
      </w:r>
      <w:r w:rsidRPr="009A05CE">
        <w:rPr>
          <w:rFonts w:hint="cs"/>
          <w:rtl/>
        </w:rPr>
        <w:t>לכלל לפיו</w:t>
      </w:r>
      <w:r w:rsidRPr="009A05CE">
        <w:rPr>
          <w:rFonts w:ascii="David" w:hAnsi="David"/>
        </w:rPr>
        <w:t xml:space="preserve"> </w:t>
      </w:r>
      <w:r w:rsidRPr="009A05CE">
        <w:rPr>
          <w:rFonts w:ascii="David" w:hAnsi="David" w:hint="cs"/>
          <w:rtl/>
        </w:rPr>
        <w:t>"</w:t>
      </w:r>
      <w:r w:rsidRPr="009A05CE">
        <w:rPr>
          <w:rFonts w:ascii="David" w:hAnsi="David"/>
          <w:rtl/>
        </w:rPr>
        <w:t>יש</w:t>
      </w:r>
      <w:r w:rsidRPr="009A05CE">
        <w:rPr>
          <w:rFonts w:ascii="David" w:hAnsi="David"/>
        </w:rPr>
        <w:t xml:space="preserve"> </w:t>
      </w:r>
      <w:r w:rsidRPr="009A05CE">
        <w:rPr>
          <w:rFonts w:ascii="David" w:hAnsi="David"/>
          <w:rtl/>
        </w:rPr>
        <w:t>להעדיף</w:t>
      </w:r>
      <w:r w:rsidRPr="009A05CE">
        <w:rPr>
          <w:rFonts w:ascii="David" w:hAnsi="David"/>
        </w:rPr>
        <w:t xml:space="preserve"> </w:t>
      </w:r>
      <w:r w:rsidRPr="009A05CE">
        <w:rPr>
          <w:rFonts w:ascii="David" w:hAnsi="David"/>
          <w:rtl/>
        </w:rPr>
        <w:t>פרשנות</w:t>
      </w:r>
      <w:r w:rsidRPr="009A05CE">
        <w:rPr>
          <w:rFonts w:ascii="David" w:hAnsi="David"/>
        </w:rPr>
        <w:t xml:space="preserve"> </w:t>
      </w:r>
      <w:r w:rsidRPr="009A05CE">
        <w:rPr>
          <w:rFonts w:ascii="David" w:hAnsi="David"/>
          <w:rtl/>
        </w:rPr>
        <w:t>מצמצמת</w:t>
      </w:r>
      <w:r w:rsidRPr="009A05CE">
        <w:rPr>
          <w:rFonts w:ascii="David" w:hAnsi="David"/>
        </w:rPr>
        <w:t xml:space="preserve"> </w:t>
      </w:r>
      <w:r w:rsidRPr="009A05CE">
        <w:rPr>
          <w:rFonts w:ascii="David" w:hAnsi="David"/>
          <w:rtl/>
        </w:rPr>
        <w:t>של</w:t>
      </w:r>
      <w:r w:rsidRPr="009A05CE">
        <w:rPr>
          <w:rFonts w:ascii="David" w:hAnsi="David"/>
        </w:rPr>
        <w:t xml:space="preserve"> </w:t>
      </w:r>
      <w:r w:rsidRPr="009A05CE">
        <w:rPr>
          <w:rFonts w:ascii="David" w:hAnsi="David"/>
          <w:rtl/>
        </w:rPr>
        <w:t>חוק</w:t>
      </w:r>
      <w:r w:rsidRPr="009A05CE">
        <w:rPr>
          <w:rFonts w:ascii="David" w:hAnsi="David"/>
        </w:rPr>
        <w:t xml:space="preserve"> </w:t>
      </w:r>
      <w:r w:rsidRPr="009A05CE">
        <w:rPr>
          <w:rFonts w:ascii="David" w:hAnsi="David"/>
          <w:rtl/>
        </w:rPr>
        <w:t>על</w:t>
      </w:r>
      <w:r w:rsidRPr="009A05CE">
        <w:rPr>
          <w:rFonts w:ascii="David" w:hAnsi="David"/>
        </w:rPr>
        <w:t xml:space="preserve"> </w:t>
      </w:r>
      <w:r w:rsidRPr="009A05CE">
        <w:rPr>
          <w:rFonts w:ascii="David" w:hAnsi="David"/>
          <w:rtl/>
        </w:rPr>
        <w:t>פני</w:t>
      </w:r>
      <w:r w:rsidRPr="009A05CE">
        <w:rPr>
          <w:rFonts w:ascii="David" w:hAnsi="David"/>
        </w:rPr>
        <w:t xml:space="preserve"> </w:t>
      </w:r>
      <w:r w:rsidRPr="009A05CE">
        <w:rPr>
          <w:rFonts w:ascii="David" w:hAnsi="David"/>
          <w:rtl/>
        </w:rPr>
        <w:t>ביטולו</w:t>
      </w:r>
      <w:r w:rsidRPr="009A05CE">
        <w:rPr>
          <w:rFonts w:ascii="David" w:hAnsi="David" w:hint="cs"/>
          <w:rtl/>
        </w:rPr>
        <w:t>"</w:t>
      </w:r>
      <w:r>
        <w:rPr>
          <w:rFonts w:ascii="David" w:hAnsi="David" w:hint="cs"/>
          <w:rtl/>
        </w:rPr>
        <w:t xml:space="preserve"> (</w:t>
      </w:r>
      <w:r w:rsidRPr="009A05CE">
        <w:rPr>
          <w:rFonts w:cs="Miriam" w:hint="cs"/>
          <w:b/>
          <w:spacing w:val="0"/>
          <w:sz w:val="22"/>
          <w:szCs w:val="24"/>
          <w:rtl/>
        </w:rPr>
        <w:t>שם</w:t>
      </w:r>
      <w:r>
        <w:rPr>
          <w:rFonts w:ascii="David" w:hAnsi="David" w:hint="cs"/>
          <w:rtl/>
        </w:rPr>
        <w:t>)</w:t>
      </w:r>
      <w:r w:rsidRPr="009A05CE">
        <w:rPr>
          <w:rFonts w:ascii="David" w:hAnsi="David"/>
        </w:rPr>
        <w:t>.</w:t>
      </w:r>
    </w:p>
    <w:p w:rsidR="00C044AE" w:rsidRDefault="00C044AE" w:rsidP="00C044AE">
      <w:pPr>
        <w:pStyle w:val="Ruller4"/>
        <w:numPr>
          <w:ilvl w:val="0"/>
          <w:numId w:val="0"/>
        </w:numPr>
      </w:pPr>
    </w:p>
    <w:p w:rsidR="00C044AE" w:rsidRPr="00B00F53" w:rsidRDefault="00C044AE" w:rsidP="00C044AE">
      <w:pPr>
        <w:pStyle w:val="Ruller4"/>
        <w:rPr>
          <w:rtl/>
        </w:rPr>
      </w:pPr>
      <w:r w:rsidRPr="00353580">
        <w:rPr>
          <w:rFonts w:hint="eastAsia"/>
          <w:rtl/>
        </w:rPr>
        <w:t>אכן</w:t>
      </w:r>
      <w:r w:rsidRPr="00353580">
        <w:rPr>
          <w:rtl/>
        </w:rPr>
        <w:t xml:space="preserve">, </w:t>
      </w:r>
      <w:r w:rsidRPr="00353580">
        <w:rPr>
          <w:rFonts w:hint="eastAsia"/>
          <w:rtl/>
        </w:rPr>
        <w:t>על</w:t>
      </w:r>
      <w:r w:rsidRPr="00353580">
        <w:rPr>
          <w:rtl/>
        </w:rPr>
        <w:t xml:space="preserve"> </w:t>
      </w:r>
      <w:r w:rsidRPr="00353580">
        <w:rPr>
          <w:rFonts w:hint="eastAsia"/>
          <w:rtl/>
        </w:rPr>
        <w:t>פי</w:t>
      </w:r>
      <w:r w:rsidRPr="00353580">
        <w:rPr>
          <w:rtl/>
        </w:rPr>
        <w:t xml:space="preserve"> </w:t>
      </w:r>
      <w:r w:rsidRPr="00353580">
        <w:rPr>
          <w:rFonts w:hint="eastAsia"/>
          <w:rtl/>
        </w:rPr>
        <w:t>תורת</w:t>
      </w:r>
      <w:r w:rsidRPr="00353580">
        <w:rPr>
          <w:rtl/>
        </w:rPr>
        <w:t xml:space="preserve"> </w:t>
      </w:r>
      <w:r w:rsidRPr="00353580">
        <w:rPr>
          <w:rFonts w:hint="eastAsia"/>
          <w:rtl/>
        </w:rPr>
        <w:t>הפרשנות</w:t>
      </w:r>
      <w:r w:rsidRPr="00353580">
        <w:rPr>
          <w:rtl/>
        </w:rPr>
        <w:t xml:space="preserve"> </w:t>
      </w:r>
      <w:r w:rsidRPr="00353580">
        <w:rPr>
          <w:rFonts w:hint="eastAsia"/>
          <w:rtl/>
        </w:rPr>
        <w:t>התכליתית</w:t>
      </w:r>
      <w:r w:rsidRPr="00353580">
        <w:rPr>
          <w:rtl/>
        </w:rPr>
        <w:t xml:space="preserve"> </w:t>
      </w:r>
      <w:r w:rsidRPr="00353580">
        <w:rPr>
          <w:rFonts w:hint="eastAsia"/>
          <w:rtl/>
        </w:rPr>
        <w:t>הנהוגה</w:t>
      </w:r>
      <w:r w:rsidRPr="00353580">
        <w:rPr>
          <w:rtl/>
        </w:rPr>
        <w:t xml:space="preserve"> </w:t>
      </w:r>
      <w:r w:rsidRPr="00353580">
        <w:rPr>
          <w:rFonts w:hint="eastAsia"/>
          <w:rtl/>
        </w:rPr>
        <w:t>בשיטתנו</w:t>
      </w:r>
      <w:r w:rsidRPr="00353580">
        <w:rPr>
          <w:rtl/>
        </w:rPr>
        <w:t xml:space="preserve">, </w:t>
      </w:r>
      <w:r w:rsidRPr="00353580">
        <w:rPr>
          <w:rFonts w:hint="eastAsia"/>
          <w:rtl/>
        </w:rPr>
        <w:t>התכלית</w:t>
      </w:r>
      <w:r w:rsidRPr="00353580">
        <w:rPr>
          <w:rtl/>
        </w:rPr>
        <w:t xml:space="preserve"> </w:t>
      </w:r>
      <w:r w:rsidRPr="00353580">
        <w:rPr>
          <w:rFonts w:hint="eastAsia"/>
          <w:rtl/>
        </w:rPr>
        <w:t>הסובייקטיבית</w:t>
      </w:r>
      <w:r w:rsidRPr="00353580">
        <w:rPr>
          <w:rtl/>
        </w:rPr>
        <w:t xml:space="preserve"> </w:t>
      </w:r>
      <w:r w:rsidRPr="00353580">
        <w:rPr>
          <w:rFonts w:hint="eastAsia"/>
          <w:rtl/>
        </w:rPr>
        <w:t>היא</w:t>
      </w:r>
      <w:r w:rsidRPr="00353580">
        <w:rPr>
          <w:rtl/>
        </w:rPr>
        <w:t xml:space="preserve"> </w:t>
      </w:r>
      <w:r w:rsidRPr="00353580">
        <w:rPr>
          <w:rFonts w:hint="eastAsia"/>
          <w:rtl/>
        </w:rPr>
        <w:t>רק</w:t>
      </w:r>
      <w:r w:rsidRPr="00353580">
        <w:rPr>
          <w:rtl/>
        </w:rPr>
        <w:t xml:space="preserve"> </w:t>
      </w:r>
      <w:r w:rsidRPr="00353580">
        <w:rPr>
          <w:rFonts w:hint="eastAsia"/>
          <w:rtl/>
        </w:rPr>
        <w:t>מרכיב</w:t>
      </w:r>
      <w:r w:rsidRPr="00353580">
        <w:rPr>
          <w:rtl/>
        </w:rPr>
        <w:t xml:space="preserve"> </w:t>
      </w:r>
      <w:r w:rsidRPr="00353580">
        <w:rPr>
          <w:rFonts w:hint="eastAsia"/>
          <w:rtl/>
        </w:rPr>
        <w:t>אחד</w:t>
      </w:r>
      <w:r w:rsidRPr="00353580">
        <w:rPr>
          <w:rtl/>
        </w:rPr>
        <w:t xml:space="preserve"> </w:t>
      </w:r>
      <w:r w:rsidRPr="00353580">
        <w:rPr>
          <w:rFonts w:hint="eastAsia"/>
          <w:rtl/>
        </w:rPr>
        <w:t>במלאכת</w:t>
      </w:r>
      <w:r w:rsidRPr="00353580">
        <w:rPr>
          <w:rtl/>
        </w:rPr>
        <w:t xml:space="preserve"> </w:t>
      </w:r>
      <w:r w:rsidRPr="00353580">
        <w:rPr>
          <w:rFonts w:hint="eastAsia"/>
          <w:rtl/>
        </w:rPr>
        <w:t>הפרשנות</w:t>
      </w:r>
      <w:r w:rsidRPr="00353580">
        <w:rPr>
          <w:rtl/>
        </w:rPr>
        <w:t xml:space="preserve">, </w:t>
      </w:r>
      <w:r w:rsidRPr="00353580">
        <w:rPr>
          <w:rFonts w:hint="eastAsia"/>
          <w:rtl/>
        </w:rPr>
        <w:t>וככלל</w:t>
      </w:r>
      <w:r w:rsidRPr="00353580">
        <w:rPr>
          <w:rtl/>
        </w:rPr>
        <w:t xml:space="preserve">, </w:t>
      </w:r>
      <w:r w:rsidRPr="00353580">
        <w:rPr>
          <w:rFonts w:hint="eastAsia"/>
          <w:rtl/>
        </w:rPr>
        <w:t>אין</w:t>
      </w:r>
      <w:r w:rsidRPr="00353580">
        <w:rPr>
          <w:rtl/>
        </w:rPr>
        <w:t xml:space="preserve"> </w:t>
      </w:r>
      <w:r w:rsidRPr="00353580">
        <w:rPr>
          <w:rFonts w:hint="eastAsia"/>
          <w:rtl/>
        </w:rPr>
        <w:t>ליתן</w:t>
      </w:r>
      <w:r w:rsidRPr="00353580">
        <w:rPr>
          <w:rtl/>
        </w:rPr>
        <w:t xml:space="preserve"> </w:t>
      </w:r>
      <w:r w:rsidRPr="00353580">
        <w:rPr>
          <w:rFonts w:hint="eastAsia"/>
          <w:rtl/>
        </w:rPr>
        <w:t>לה</w:t>
      </w:r>
      <w:r w:rsidRPr="00353580">
        <w:rPr>
          <w:rtl/>
        </w:rPr>
        <w:t xml:space="preserve"> </w:t>
      </w:r>
      <w:r w:rsidRPr="00353580">
        <w:rPr>
          <w:rFonts w:hint="eastAsia"/>
          <w:rtl/>
        </w:rPr>
        <w:t>משקל</w:t>
      </w:r>
      <w:r w:rsidRPr="00353580">
        <w:rPr>
          <w:rtl/>
        </w:rPr>
        <w:t xml:space="preserve"> </w:t>
      </w:r>
      <w:r w:rsidRPr="00353580">
        <w:rPr>
          <w:rFonts w:hint="eastAsia"/>
          <w:rtl/>
        </w:rPr>
        <w:t>מכריע</w:t>
      </w:r>
      <w:r w:rsidRPr="00353580">
        <w:rPr>
          <w:rtl/>
        </w:rPr>
        <w:t xml:space="preserve"> </w:t>
      </w:r>
      <w:r w:rsidRPr="00353580">
        <w:rPr>
          <w:rFonts w:hint="eastAsia"/>
          <w:rtl/>
        </w:rPr>
        <w:t>על</w:t>
      </w:r>
      <w:r w:rsidRPr="00353580">
        <w:rPr>
          <w:rtl/>
        </w:rPr>
        <w:t xml:space="preserve"> </w:t>
      </w:r>
      <w:r w:rsidRPr="00353580">
        <w:rPr>
          <w:rFonts w:hint="eastAsia"/>
          <w:rtl/>
        </w:rPr>
        <w:t>פני</w:t>
      </w:r>
      <w:r w:rsidRPr="00B00F53">
        <w:rPr>
          <w:rtl/>
        </w:rPr>
        <w:t xml:space="preserve"> </w:t>
      </w:r>
      <w:r w:rsidRPr="00B00F53">
        <w:rPr>
          <w:rFonts w:hint="eastAsia"/>
          <w:rtl/>
        </w:rPr>
        <w:t>התכלית</w:t>
      </w:r>
      <w:r w:rsidRPr="00B00F53">
        <w:rPr>
          <w:rtl/>
        </w:rPr>
        <w:t xml:space="preserve"> </w:t>
      </w:r>
      <w:r w:rsidRPr="00B00F53">
        <w:rPr>
          <w:rFonts w:hint="eastAsia"/>
          <w:rtl/>
        </w:rPr>
        <w:t>האובייקטיבית</w:t>
      </w:r>
      <w:r w:rsidRPr="00B00F53">
        <w:rPr>
          <w:rFonts w:hint="cs"/>
          <w:rtl/>
        </w:rPr>
        <w:t>, ש</w:t>
      </w:r>
      <w:r w:rsidRPr="00B00F53">
        <w:rPr>
          <w:rFonts w:hint="eastAsia"/>
          <w:rtl/>
        </w:rPr>
        <w:t>עניינה</w:t>
      </w:r>
      <w:r w:rsidRPr="00B00F53">
        <w:rPr>
          <w:rtl/>
        </w:rPr>
        <w:t xml:space="preserve"> </w:t>
      </w:r>
      <w:r w:rsidRPr="00B00F53">
        <w:rPr>
          <w:rFonts w:hint="cs"/>
          <w:rtl/>
        </w:rPr>
        <w:t xml:space="preserve">הערכים והעקרונות שאותם נועד להגשים דבר החקיקה בחברה דמוקרטית מודרנית </w:t>
      </w:r>
      <w:r w:rsidRPr="00B00F53">
        <w:rPr>
          <w:rtl/>
        </w:rPr>
        <w:t>(</w:t>
      </w:r>
      <w:r w:rsidRPr="00B00F53">
        <w:rPr>
          <w:rFonts w:cs="Miriam" w:hint="eastAsia"/>
          <w:b/>
          <w:spacing w:val="0"/>
          <w:sz w:val="22"/>
          <w:szCs w:val="24"/>
          <w:rtl/>
        </w:rPr>
        <w:t>ברק</w:t>
      </w:r>
      <w:r w:rsidRPr="00B00F53">
        <w:rPr>
          <w:rFonts w:cs="Miriam"/>
          <w:b/>
          <w:spacing w:val="0"/>
          <w:sz w:val="22"/>
          <w:szCs w:val="24"/>
          <w:rtl/>
        </w:rPr>
        <w:t xml:space="preserve"> "</w:t>
      </w:r>
      <w:r w:rsidRPr="00B00F53">
        <w:rPr>
          <w:rFonts w:cs="Miriam" w:hint="eastAsia"/>
          <w:b/>
          <w:spacing w:val="0"/>
          <w:sz w:val="22"/>
          <w:szCs w:val="24"/>
          <w:rtl/>
        </w:rPr>
        <w:t>פרשנות</w:t>
      </w:r>
      <w:r w:rsidRPr="00B00F53">
        <w:rPr>
          <w:rFonts w:cs="Miriam"/>
          <w:b/>
          <w:spacing w:val="0"/>
          <w:sz w:val="22"/>
          <w:szCs w:val="24"/>
          <w:rtl/>
        </w:rPr>
        <w:t xml:space="preserve"> </w:t>
      </w:r>
      <w:r w:rsidRPr="00B00F53">
        <w:rPr>
          <w:rFonts w:cs="Miriam" w:hint="eastAsia"/>
          <w:b/>
          <w:spacing w:val="0"/>
          <w:sz w:val="22"/>
          <w:szCs w:val="24"/>
          <w:rtl/>
        </w:rPr>
        <w:t>החקיקה</w:t>
      </w:r>
      <w:r w:rsidRPr="00B00F53">
        <w:rPr>
          <w:rFonts w:cs="Miriam"/>
          <w:b/>
          <w:spacing w:val="0"/>
          <w:sz w:val="22"/>
          <w:szCs w:val="24"/>
          <w:rtl/>
        </w:rPr>
        <w:t>"</w:t>
      </w:r>
      <w:r w:rsidRPr="00B00F53">
        <w:rPr>
          <w:rFonts w:hint="cs"/>
          <w:rtl/>
        </w:rPr>
        <w:t>, בעמ'</w:t>
      </w:r>
      <w:r w:rsidRPr="00B00F53">
        <w:rPr>
          <w:rtl/>
        </w:rPr>
        <w:t xml:space="preserve"> 202</w:t>
      </w:r>
      <w:r w:rsidRPr="00B00F53">
        <w:rPr>
          <w:rFonts w:hint="cs"/>
          <w:rtl/>
        </w:rPr>
        <w:t xml:space="preserve">; </w:t>
      </w:r>
      <w:r>
        <w:rPr>
          <w:rFonts w:hint="cs"/>
          <w:rtl/>
        </w:rPr>
        <w:t>עניין</w:t>
      </w:r>
      <w:r w:rsidRPr="00B00F53">
        <w:rPr>
          <w:rFonts w:hint="cs"/>
          <w:rtl/>
        </w:rPr>
        <w:t xml:space="preserve"> </w:t>
      </w:r>
      <w:r w:rsidRPr="00B00F53">
        <w:rPr>
          <w:rFonts w:cs="Miriam" w:hint="cs"/>
          <w:b/>
          <w:spacing w:val="0"/>
          <w:sz w:val="22"/>
          <w:szCs w:val="24"/>
          <w:rtl/>
        </w:rPr>
        <w:t>התנועה לטוהר המידות</w:t>
      </w:r>
      <w:r w:rsidRPr="00B00F53">
        <w:rPr>
          <w:rFonts w:hint="cs"/>
          <w:rtl/>
        </w:rPr>
        <w:t xml:space="preserve">, </w:t>
      </w:r>
      <w:r>
        <w:rPr>
          <w:rFonts w:hint="cs"/>
          <w:rtl/>
        </w:rPr>
        <w:t>ב</w:t>
      </w:r>
      <w:r w:rsidRPr="00B00F53">
        <w:rPr>
          <w:rFonts w:hint="cs"/>
          <w:rtl/>
        </w:rPr>
        <w:t xml:space="preserve">פסקה 62 לפסק דינו של ממלא מקום הנשיא </w:t>
      </w:r>
      <w:r w:rsidRPr="00B00F53">
        <w:rPr>
          <w:rFonts w:cs="Miriam" w:hint="cs"/>
          <w:b/>
          <w:spacing w:val="0"/>
          <w:sz w:val="22"/>
          <w:szCs w:val="24"/>
          <w:rtl/>
        </w:rPr>
        <w:t>פוגלמן</w:t>
      </w:r>
      <w:r w:rsidRPr="00B00F53">
        <w:rPr>
          <w:rFonts w:hint="cs"/>
          <w:rtl/>
        </w:rPr>
        <w:t xml:space="preserve">; </w:t>
      </w:r>
      <w:r w:rsidRPr="00B00F53">
        <w:rPr>
          <w:rtl/>
        </w:rPr>
        <w:t>ד</w:t>
      </w:r>
      <w:r w:rsidRPr="00B00F53">
        <w:rPr>
          <w:rFonts w:hint="cs"/>
          <w:rtl/>
        </w:rPr>
        <w:t>נג"</w:t>
      </w:r>
      <w:r w:rsidRPr="00B00F53">
        <w:rPr>
          <w:rtl/>
        </w:rPr>
        <w:t>ץ 5026/16 </w:t>
      </w:r>
      <w:r w:rsidRPr="00B00F53">
        <w:rPr>
          <w:rFonts w:cs="Miriam"/>
          <w:b/>
          <w:spacing w:val="0"/>
          <w:sz w:val="22"/>
          <w:szCs w:val="24"/>
          <w:rtl/>
        </w:rPr>
        <w:t>גיני נ' הרבנות הראשית לישרא</w:t>
      </w:r>
      <w:r w:rsidRPr="00B00F53">
        <w:rPr>
          <w:rFonts w:cs="Miriam" w:hint="cs"/>
          <w:b/>
          <w:spacing w:val="0"/>
          <w:sz w:val="22"/>
          <w:szCs w:val="24"/>
          <w:rtl/>
        </w:rPr>
        <w:t>ל</w:t>
      </w:r>
      <w:r w:rsidRPr="00B00F53">
        <w:rPr>
          <w:rFonts w:hint="cs"/>
          <w:rtl/>
        </w:rPr>
        <w:t xml:space="preserve">, </w:t>
      </w:r>
      <w:r w:rsidRPr="00B00F53">
        <w:rPr>
          <w:rtl/>
        </w:rPr>
        <w:t>פסקאות 25-24 לפסק הדין של הנשיאה</w:t>
      </w:r>
      <w:r w:rsidRPr="00B00F53">
        <w:rPr>
          <w:rFonts w:cs="Miriam"/>
          <w:b/>
          <w:spacing w:val="0"/>
          <w:sz w:val="22"/>
          <w:szCs w:val="24"/>
          <w:rtl/>
        </w:rPr>
        <w:t xml:space="preserve"> </w:t>
      </w:r>
      <w:r w:rsidRPr="00B00F53">
        <w:rPr>
          <w:rFonts w:cs="Miriam" w:hint="cs"/>
          <w:b/>
          <w:spacing w:val="0"/>
          <w:sz w:val="22"/>
          <w:szCs w:val="24"/>
          <w:rtl/>
        </w:rPr>
        <w:t>נאור</w:t>
      </w:r>
      <w:r w:rsidRPr="00B00F53">
        <w:rPr>
          <w:rFonts w:hint="cs"/>
          <w:rtl/>
        </w:rPr>
        <w:t xml:space="preserve"> (12.9.2017)). ואולם, אף </w:t>
      </w:r>
      <w:r>
        <w:rPr>
          <w:rFonts w:hint="cs"/>
          <w:rtl/>
        </w:rPr>
        <w:t>שאין ספק בדבר קיומן של</w:t>
      </w:r>
      <w:r w:rsidRPr="00B00F53">
        <w:rPr>
          <w:rFonts w:hint="cs"/>
          <w:rtl/>
        </w:rPr>
        <w:t xml:space="preserve"> תכליות אובייקטיביות</w:t>
      </w:r>
      <w:r>
        <w:rPr>
          <w:rFonts w:hint="cs"/>
          <w:rtl/>
        </w:rPr>
        <w:t xml:space="preserve"> חשובות</w:t>
      </w:r>
      <w:r w:rsidRPr="00B00F53">
        <w:rPr>
          <w:rFonts w:hint="cs"/>
          <w:rtl/>
        </w:rPr>
        <w:t xml:space="preserve"> </w:t>
      </w:r>
      <w:r>
        <w:rPr>
          <w:rFonts w:hint="cs"/>
          <w:rtl/>
        </w:rPr>
        <w:t>שתוגשמנה אם תיושם הפרשנות המצמצמת לתיקון,</w:t>
      </w:r>
      <w:r w:rsidRPr="00B00F53">
        <w:rPr>
          <w:rFonts w:hint="cs"/>
          <w:rtl/>
        </w:rPr>
        <w:t xml:space="preserve"> איני סבורה כי </w:t>
      </w:r>
      <w:r>
        <w:rPr>
          <w:rFonts w:hint="cs"/>
          <w:rtl/>
        </w:rPr>
        <w:t xml:space="preserve">בנסיבות העניין ניתן </w:t>
      </w:r>
      <w:r w:rsidRPr="00B00F53">
        <w:rPr>
          <w:rFonts w:hint="cs"/>
          <w:rtl/>
        </w:rPr>
        <w:t xml:space="preserve">להעניק </w:t>
      </w:r>
      <w:r>
        <w:rPr>
          <w:rFonts w:hint="cs"/>
          <w:rtl/>
        </w:rPr>
        <w:t xml:space="preserve">להן </w:t>
      </w:r>
      <w:r w:rsidRPr="00B00F53">
        <w:rPr>
          <w:rFonts w:hint="cs"/>
          <w:rtl/>
        </w:rPr>
        <w:t>מעמד בכורה</w:t>
      </w:r>
      <w:r>
        <w:rPr>
          <w:rFonts w:hint="cs"/>
          <w:rtl/>
        </w:rPr>
        <w:t xml:space="preserve"> על פני לשונו המפורשת של התיקון והתכלית הסובייקטיבית המוצהרת שלו</w:t>
      </w:r>
      <w:r w:rsidRPr="00B00F53">
        <w:rPr>
          <w:rFonts w:hint="cs"/>
          <w:rtl/>
        </w:rPr>
        <w:t xml:space="preserve">. </w:t>
      </w:r>
    </w:p>
    <w:p w:rsidR="00C044AE" w:rsidRPr="00B00F53" w:rsidRDefault="00C044AE" w:rsidP="00C044AE">
      <w:pPr>
        <w:pStyle w:val="Ruller41"/>
        <w:rPr>
          <w:rFonts w:ascii="Garamond" w:hAnsi="Garamond"/>
        </w:rPr>
      </w:pPr>
    </w:p>
    <w:p w:rsidR="00C044AE" w:rsidRDefault="00C044AE" w:rsidP="00C044AE">
      <w:pPr>
        <w:pStyle w:val="Ruller4"/>
        <w:rPr>
          <w:color w:val="000000" w:themeColor="text1"/>
        </w:rPr>
      </w:pPr>
      <w:r>
        <w:rPr>
          <w:rFonts w:hint="cs"/>
          <w:rtl/>
        </w:rPr>
        <w:t>מסקנה זו נובעת בעיניי מהמגבלות ה</w:t>
      </w:r>
      <w:r>
        <w:rPr>
          <w:rtl/>
        </w:rPr>
        <w:t>מובְנו</w:t>
      </w:r>
      <w:r w:rsidRPr="00D43E27">
        <w:rPr>
          <w:rtl/>
        </w:rPr>
        <w:t>ת</w:t>
      </w:r>
      <w:r w:rsidRPr="00D43E27">
        <w:rPr>
          <w:rFonts w:hint="cs"/>
          <w:rtl/>
        </w:rPr>
        <w:t xml:space="preserve"> </w:t>
      </w:r>
      <w:r>
        <w:rPr>
          <w:rFonts w:hint="cs"/>
          <w:rtl/>
        </w:rPr>
        <w:t xml:space="preserve">של מלאכת הפרשנות. כך, הכלל היסודי בשיטתנו קובע אומנם כי </w:t>
      </w:r>
      <w:r w:rsidRPr="00B00F53">
        <w:rPr>
          <w:rFonts w:hint="cs"/>
          <w:rtl/>
        </w:rPr>
        <w:t>שומה עלינו ל</w:t>
      </w:r>
      <w:r>
        <w:rPr>
          <w:rFonts w:hint="cs"/>
          <w:rtl/>
        </w:rPr>
        <w:t>תור אחר פתרון פרשני שייתר את הצורך להכריע</w:t>
      </w:r>
      <w:r w:rsidRPr="00B00F53">
        <w:rPr>
          <w:rFonts w:hint="cs"/>
          <w:rtl/>
        </w:rPr>
        <w:t xml:space="preserve"> </w:t>
      </w:r>
      <w:r>
        <w:rPr>
          <w:rFonts w:hint="cs"/>
          <w:rtl/>
        </w:rPr>
        <w:t xml:space="preserve">בדבר </w:t>
      </w:r>
      <w:r w:rsidRPr="00B00F53">
        <w:rPr>
          <w:rFonts w:hint="cs"/>
          <w:rtl/>
        </w:rPr>
        <w:t>תוקפו</w:t>
      </w:r>
      <w:r>
        <w:rPr>
          <w:rFonts w:hint="cs"/>
          <w:rtl/>
        </w:rPr>
        <w:t xml:space="preserve"> של דבר חקיקה (</w:t>
      </w:r>
      <w:r w:rsidRPr="00B00F53">
        <w:rPr>
          <w:rFonts w:hint="cs"/>
          <w:rtl/>
        </w:rPr>
        <w:t xml:space="preserve">ראו, מיני רבים: </w:t>
      </w:r>
      <w:r w:rsidRPr="00B00F53">
        <w:rPr>
          <w:rFonts w:hint="eastAsia"/>
          <w:rtl/>
        </w:rPr>
        <w:t>בג</w:t>
      </w:r>
      <w:r w:rsidRPr="00B00F53">
        <w:rPr>
          <w:rtl/>
        </w:rPr>
        <w:t>"</w:t>
      </w:r>
      <w:r w:rsidRPr="00B00F53">
        <w:rPr>
          <w:rFonts w:hint="eastAsia"/>
          <w:rtl/>
        </w:rPr>
        <w:t>ץ</w:t>
      </w:r>
      <w:r w:rsidRPr="00B00F53">
        <w:rPr>
          <w:rtl/>
        </w:rPr>
        <w:t xml:space="preserve"> 3267/97 </w:t>
      </w:r>
      <w:r w:rsidRPr="00B00F53">
        <w:rPr>
          <w:rFonts w:cs="Miriam" w:hint="eastAsia"/>
          <w:b/>
          <w:color w:val="000000" w:themeColor="text1"/>
          <w:spacing w:val="0"/>
          <w:sz w:val="22"/>
          <w:szCs w:val="24"/>
          <w:rtl/>
        </w:rPr>
        <w:t>רובינשטיין</w:t>
      </w:r>
      <w:r w:rsidRPr="00B00F53">
        <w:rPr>
          <w:rFonts w:cs="Miriam"/>
          <w:b/>
          <w:color w:val="000000" w:themeColor="text1"/>
          <w:spacing w:val="0"/>
          <w:sz w:val="22"/>
          <w:szCs w:val="24"/>
          <w:rtl/>
        </w:rPr>
        <w:t xml:space="preserve"> </w:t>
      </w:r>
      <w:r w:rsidRPr="00B00F53">
        <w:rPr>
          <w:rFonts w:cs="Miriam" w:hint="eastAsia"/>
          <w:b/>
          <w:color w:val="000000" w:themeColor="text1"/>
          <w:spacing w:val="0"/>
          <w:sz w:val="22"/>
          <w:szCs w:val="24"/>
          <w:rtl/>
        </w:rPr>
        <w:t>נ</w:t>
      </w:r>
      <w:r w:rsidRPr="00B00F53">
        <w:rPr>
          <w:rFonts w:cs="Miriam"/>
          <w:b/>
          <w:color w:val="000000" w:themeColor="text1"/>
          <w:spacing w:val="0"/>
          <w:sz w:val="22"/>
          <w:szCs w:val="24"/>
          <w:rtl/>
        </w:rPr>
        <w:t xml:space="preserve">' </w:t>
      </w:r>
      <w:r w:rsidRPr="00B00F53">
        <w:rPr>
          <w:rFonts w:cs="Miriam" w:hint="eastAsia"/>
          <w:b/>
          <w:color w:val="000000" w:themeColor="text1"/>
          <w:spacing w:val="0"/>
          <w:sz w:val="22"/>
          <w:szCs w:val="24"/>
          <w:rtl/>
        </w:rPr>
        <w:t>שר</w:t>
      </w:r>
      <w:r w:rsidRPr="00B00F53">
        <w:rPr>
          <w:rFonts w:cs="Miriam"/>
          <w:b/>
          <w:color w:val="000000" w:themeColor="text1"/>
          <w:spacing w:val="0"/>
          <w:sz w:val="22"/>
          <w:szCs w:val="24"/>
          <w:rtl/>
        </w:rPr>
        <w:t xml:space="preserve"> </w:t>
      </w:r>
      <w:r w:rsidRPr="00B00F53">
        <w:rPr>
          <w:rFonts w:cs="Miriam" w:hint="eastAsia"/>
          <w:b/>
          <w:color w:val="000000" w:themeColor="text1"/>
          <w:spacing w:val="0"/>
          <w:sz w:val="22"/>
          <w:szCs w:val="24"/>
          <w:rtl/>
        </w:rPr>
        <w:t>הביטחון</w:t>
      </w:r>
      <w:r w:rsidRPr="00B00F53">
        <w:rPr>
          <w:rtl/>
        </w:rPr>
        <w:t xml:space="preserve">, </w:t>
      </w:r>
      <w:r w:rsidRPr="00B00F53">
        <w:rPr>
          <w:rFonts w:hint="eastAsia"/>
          <w:rtl/>
        </w:rPr>
        <w:t>פ</w:t>
      </w:r>
      <w:r w:rsidRPr="00B00F53">
        <w:rPr>
          <w:rtl/>
        </w:rPr>
        <w:t>"</w:t>
      </w:r>
      <w:r w:rsidRPr="00B00F53">
        <w:rPr>
          <w:rFonts w:hint="eastAsia"/>
          <w:rtl/>
        </w:rPr>
        <w:t>ד</w:t>
      </w:r>
      <w:r w:rsidRPr="00B00F53">
        <w:rPr>
          <w:rtl/>
        </w:rPr>
        <w:t xml:space="preserve"> </w:t>
      </w:r>
      <w:r w:rsidRPr="00B00F53">
        <w:rPr>
          <w:rFonts w:hint="eastAsia"/>
          <w:rtl/>
        </w:rPr>
        <w:t>נב</w:t>
      </w:r>
      <w:r w:rsidRPr="00B00F53">
        <w:rPr>
          <w:rtl/>
        </w:rPr>
        <w:t>(5) 481, 524 (1998)</w:t>
      </w:r>
      <w:r w:rsidRPr="00B00F53">
        <w:rPr>
          <w:rFonts w:hint="cs"/>
          <w:rtl/>
        </w:rPr>
        <w:t xml:space="preserve"> (להלן: </w:t>
      </w:r>
      <w:r w:rsidRPr="00B00F53">
        <w:rPr>
          <w:rFonts w:cs="Miriam" w:hint="cs"/>
          <w:b/>
          <w:spacing w:val="0"/>
          <w:sz w:val="22"/>
          <w:szCs w:val="24"/>
          <w:rtl/>
        </w:rPr>
        <w:t>עניין רובינשטיין</w:t>
      </w:r>
      <w:r w:rsidRPr="00B00F53">
        <w:rPr>
          <w:rFonts w:hint="cs"/>
          <w:rtl/>
        </w:rPr>
        <w:t>)</w:t>
      </w:r>
      <w:r w:rsidRPr="00B00F53">
        <w:rPr>
          <w:rtl/>
        </w:rPr>
        <w:t xml:space="preserve">; </w:t>
      </w:r>
      <w:r w:rsidRPr="00B00F53">
        <w:rPr>
          <w:rFonts w:hint="eastAsia"/>
          <w:rtl/>
        </w:rPr>
        <w:t>בג</w:t>
      </w:r>
      <w:r w:rsidRPr="00B00F53">
        <w:rPr>
          <w:rtl/>
        </w:rPr>
        <w:t>"</w:t>
      </w:r>
      <w:r w:rsidRPr="00B00F53">
        <w:rPr>
          <w:rFonts w:hint="eastAsia"/>
          <w:rtl/>
        </w:rPr>
        <w:t>ץ</w:t>
      </w:r>
      <w:r w:rsidRPr="00B00F53">
        <w:rPr>
          <w:rtl/>
        </w:rPr>
        <w:t xml:space="preserve"> 5113/12 </w:t>
      </w:r>
      <w:r w:rsidRPr="00B00F53">
        <w:rPr>
          <w:rFonts w:cs="Miriam" w:hint="eastAsia"/>
          <w:b/>
          <w:color w:val="000000" w:themeColor="text1"/>
          <w:spacing w:val="0"/>
          <w:sz w:val="22"/>
          <w:szCs w:val="24"/>
          <w:rtl/>
        </w:rPr>
        <w:t>פרידמן</w:t>
      </w:r>
      <w:r w:rsidRPr="00B00F53">
        <w:rPr>
          <w:rFonts w:cs="Miriam"/>
          <w:b/>
          <w:color w:val="000000" w:themeColor="text1"/>
          <w:spacing w:val="0"/>
          <w:sz w:val="22"/>
          <w:szCs w:val="24"/>
          <w:rtl/>
        </w:rPr>
        <w:t xml:space="preserve"> </w:t>
      </w:r>
      <w:r w:rsidRPr="00B00F53">
        <w:rPr>
          <w:rFonts w:cs="Miriam" w:hint="eastAsia"/>
          <w:b/>
          <w:color w:val="000000" w:themeColor="text1"/>
          <w:spacing w:val="0"/>
          <w:sz w:val="22"/>
          <w:szCs w:val="24"/>
          <w:rtl/>
        </w:rPr>
        <w:t>נ</w:t>
      </w:r>
      <w:r w:rsidRPr="00B00F53">
        <w:rPr>
          <w:rFonts w:cs="Miriam"/>
          <w:b/>
          <w:color w:val="000000" w:themeColor="text1"/>
          <w:spacing w:val="0"/>
          <w:sz w:val="22"/>
          <w:szCs w:val="24"/>
          <w:rtl/>
        </w:rPr>
        <w:t xml:space="preserve">' </w:t>
      </w:r>
      <w:r w:rsidRPr="00B00F53">
        <w:rPr>
          <w:rFonts w:cs="Miriam" w:hint="eastAsia"/>
          <w:b/>
          <w:color w:val="000000" w:themeColor="text1"/>
          <w:spacing w:val="0"/>
          <w:sz w:val="22"/>
          <w:szCs w:val="24"/>
          <w:rtl/>
        </w:rPr>
        <w:t>כנסת</w:t>
      </w:r>
      <w:r w:rsidRPr="00B00F53">
        <w:rPr>
          <w:rFonts w:cs="Miriam"/>
          <w:b/>
          <w:color w:val="000000" w:themeColor="text1"/>
          <w:spacing w:val="0"/>
          <w:sz w:val="22"/>
          <w:szCs w:val="24"/>
          <w:rtl/>
        </w:rPr>
        <w:t xml:space="preserve"> </w:t>
      </w:r>
      <w:r w:rsidRPr="00B00F53">
        <w:rPr>
          <w:rFonts w:cs="Miriam" w:hint="eastAsia"/>
          <w:b/>
          <w:color w:val="000000" w:themeColor="text1"/>
          <w:spacing w:val="0"/>
          <w:sz w:val="22"/>
          <w:szCs w:val="24"/>
          <w:rtl/>
        </w:rPr>
        <w:t>ישראל</w:t>
      </w:r>
      <w:r w:rsidRPr="00B00F53">
        <w:rPr>
          <w:rtl/>
        </w:rPr>
        <w:t xml:space="preserve">, </w:t>
      </w:r>
      <w:r w:rsidRPr="00B00F53">
        <w:rPr>
          <w:rFonts w:hint="eastAsia"/>
          <w:rtl/>
        </w:rPr>
        <w:t>פסקה</w:t>
      </w:r>
      <w:r w:rsidRPr="00B00F53">
        <w:rPr>
          <w:rtl/>
        </w:rPr>
        <w:t xml:space="preserve"> 5 </w:t>
      </w:r>
      <w:r w:rsidRPr="00B00F53">
        <w:rPr>
          <w:rFonts w:hint="eastAsia"/>
          <w:rtl/>
        </w:rPr>
        <w:t>לחוות</w:t>
      </w:r>
      <w:r w:rsidRPr="00B00F53">
        <w:rPr>
          <w:rtl/>
        </w:rPr>
        <w:t xml:space="preserve"> </w:t>
      </w:r>
      <w:r w:rsidRPr="00B00F53">
        <w:rPr>
          <w:rFonts w:hint="eastAsia"/>
          <w:rtl/>
        </w:rPr>
        <w:t>דעתה</w:t>
      </w:r>
      <w:r w:rsidRPr="00B00F53">
        <w:rPr>
          <w:rtl/>
        </w:rPr>
        <w:t xml:space="preserve"> </w:t>
      </w:r>
      <w:r w:rsidRPr="00B00F53">
        <w:rPr>
          <w:rFonts w:hint="eastAsia"/>
          <w:rtl/>
        </w:rPr>
        <w:t>של</w:t>
      </w:r>
      <w:r w:rsidRPr="00B00F53">
        <w:rPr>
          <w:rtl/>
        </w:rPr>
        <w:t xml:space="preserve"> </w:t>
      </w:r>
      <w:r w:rsidRPr="00B00F53">
        <w:rPr>
          <w:rFonts w:hint="eastAsia"/>
          <w:rtl/>
        </w:rPr>
        <w:t>השופטת</w:t>
      </w:r>
      <w:r w:rsidRPr="00B00F53">
        <w:rPr>
          <w:rtl/>
        </w:rPr>
        <w:t xml:space="preserve"> </w:t>
      </w:r>
      <w:r w:rsidRPr="00B00F53">
        <w:rPr>
          <w:rFonts w:cs="Miriam" w:hint="eastAsia"/>
          <w:b/>
          <w:color w:val="000000" w:themeColor="text1"/>
          <w:spacing w:val="0"/>
          <w:sz w:val="22"/>
          <w:szCs w:val="24"/>
          <w:rtl/>
        </w:rPr>
        <w:t>ארבל</w:t>
      </w:r>
      <w:r w:rsidRPr="00B00F53">
        <w:rPr>
          <w:rtl/>
        </w:rPr>
        <w:t xml:space="preserve"> (7.8.2012)</w:t>
      </w:r>
      <w:r>
        <w:rPr>
          <w:rFonts w:hint="cs"/>
          <w:rtl/>
        </w:rPr>
        <w:t xml:space="preserve">; </w:t>
      </w:r>
      <w:r w:rsidRPr="00B00F53">
        <w:rPr>
          <w:rFonts w:hint="cs"/>
          <w:color w:val="000000" w:themeColor="text1"/>
          <w:rtl/>
        </w:rPr>
        <w:t xml:space="preserve">עניין </w:t>
      </w:r>
      <w:r w:rsidRPr="00B00F53">
        <w:rPr>
          <w:rFonts w:cs="Miriam" w:hint="cs"/>
          <w:b/>
          <w:color w:val="000000" w:themeColor="text1"/>
          <w:spacing w:val="0"/>
          <w:szCs w:val="24"/>
          <w:rtl/>
        </w:rPr>
        <w:t xml:space="preserve">התנועה </w:t>
      </w:r>
      <w:r w:rsidRPr="00B00F53">
        <w:rPr>
          <w:rFonts w:cs="Miriam" w:hint="cs"/>
          <w:b/>
          <w:color w:val="000000" w:themeColor="text1"/>
          <w:spacing w:val="0"/>
          <w:szCs w:val="24"/>
          <w:rtl/>
        </w:rPr>
        <w:lastRenderedPageBreak/>
        <w:t>לטוהר המידות</w:t>
      </w:r>
      <w:r w:rsidRPr="00B00F53">
        <w:rPr>
          <w:rFonts w:hint="cs"/>
          <w:color w:val="000000" w:themeColor="text1"/>
          <w:rtl/>
        </w:rPr>
        <w:t xml:space="preserve">, בפסקה 31 לחוות דעתו של ממלא מקום הנשיא </w:t>
      </w:r>
      <w:r w:rsidRPr="00B00F53">
        <w:rPr>
          <w:rFonts w:cs="Miriam" w:hint="cs"/>
          <w:b/>
          <w:color w:val="000000" w:themeColor="text1"/>
          <w:spacing w:val="0"/>
          <w:szCs w:val="24"/>
          <w:rtl/>
        </w:rPr>
        <w:t>פוגלמן</w:t>
      </w:r>
      <w:r>
        <w:rPr>
          <w:rFonts w:hint="cs"/>
          <w:rtl/>
        </w:rPr>
        <w:t xml:space="preserve">). אולם, </w:t>
      </w:r>
      <w:r w:rsidRPr="00B00F53">
        <w:rPr>
          <w:rFonts w:hint="cs"/>
          <w:rtl/>
        </w:rPr>
        <w:t>לא</w:t>
      </w:r>
      <w:r>
        <w:rPr>
          <w:rFonts w:hint="cs"/>
          <w:rtl/>
        </w:rPr>
        <w:t xml:space="preserve"> אחת נאלץ בית המשפט לקבוע כי פרשנות המוליכה לפתרון כזה אינה אפשרית. </w:t>
      </w:r>
      <w:r w:rsidRPr="00B00F53">
        <w:rPr>
          <w:rFonts w:hint="cs"/>
          <w:color w:val="000000" w:themeColor="text1"/>
          <w:rtl/>
        </w:rPr>
        <w:t>הדבר נכון בפרט כאשר פרשנות</w:t>
      </w:r>
      <w:r>
        <w:rPr>
          <w:rFonts w:hint="cs"/>
          <w:color w:val="000000" w:themeColor="text1"/>
          <w:rtl/>
        </w:rPr>
        <w:t xml:space="preserve"> כזו</w:t>
      </w:r>
      <w:r w:rsidRPr="00B00F53">
        <w:rPr>
          <w:rFonts w:hint="cs"/>
          <w:color w:val="000000" w:themeColor="text1"/>
          <w:rtl/>
        </w:rPr>
        <w:t xml:space="preserve"> </w:t>
      </w:r>
      <w:r>
        <w:rPr>
          <w:rFonts w:hint="cs"/>
          <w:color w:val="000000" w:themeColor="text1"/>
          <w:rtl/>
        </w:rPr>
        <w:t>הינה</w:t>
      </w:r>
      <w:r w:rsidRPr="00B00F53">
        <w:rPr>
          <w:rFonts w:hint="cs"/>
          <w:color w:val="000000" w:themeColor="text1"/>
          <w:rtl/>
        </w:rPr>
        <w:t xml:space="preserve"> </w:t>
      </w:r>
      <w:r w:rsidRPr="00B00F53">
        <w:rPr>
          <w:rFonts w:hint="cs"/>
          <w:rtl/>
        </w:rPr>
        <w:t xml:space="preserve">מלאכותית </w:t>
      </w:r>
      <w:r>
        <w:rPr>
          <w:rFonts w:hint="cs"/>
          <w:rtl/>
        </w:rPr>
        <w:t>ומובילה</w:t>
      </w:r>
      <w:r w:rsidRPr="00B00F53">
        <w:rPr>
          <w:rFonts w:hint="cs"/>
          <w:rtl/>
        </w:rPr>
        <w:t xml:space="preserve"> לריקון ההסדר החוקי מתוכנו או </w:t>
      </w:r>
      <w:r>
        <w:rPr>
          <w:rFonts w:hint="cs"/>
          <w:rtl/>
        </w:rPr>
        <w:t>שהיא מובילה, הלכה למעשה, לכתיבת</w:t>
      </w:r>
      <w:r w:rsidRPr="00B00F53">
        <w:rPr>
          <w:rFonts w:hint="cs"/>
          <w:rtl/>
        </w:rPr>
        <w:t xml:space="preserve"> החוק</w:t>
      </w:r>
      <w:r>
        <w:rPr>
          <w:rFonts w:hint="cs"/>
          <w:rtl/>
        </w:rPr>
        <w:t xml:space="preserve"> מחדש</w:t>
      </w:r>
      <w:r w:rsidRPr="00B00F53">
        <w:rPr>
          <w:rFonts w:hint="cs"/>
          <w:rtl/>
        </w:rPr>
        <w:t xml:space="preserve"> (ראו: </w:t>
      </w:r>
      <w:r w:rsidRPr="00B00F53">
        <w:rPr>
          <w:rFonts w:hint="eastAsia"/>
          <w:rtl/>
        </w:rPr>
        <w:t>בג</w:t>
      </w:r>
      <w:r w:rsidRPr="00B00F53">
        <w:rPr>
          <w:rtl/>
        </w:rPr>
        <w:t>"</w:t>
      </w:r>
      <w:r w:rsidRPr="00B00F53">
        <w:rPr>
          <w:rFonts w:hint="eastAsia"/>
          <w:rtl/>
        </w:rPr>
        <w:t>ץ</w:t>
      </w:r>
      <w:r w:rsidRPr="00B00F53">
        <w:rPr>
          <w:rtl/>
        </w:rPr>
        <w:t xml:space="preserve"> 7146/12 </w:t>
      </w:r>
      <w:r w:rsidRPr="00B00F53">
        <w:rPr>
          <w:rFonts w:cs="Miriam" w:hint="eastAsia"/>
          <w:b/>
          <w:spacing w:val="0"/>
          <w:szCs w:val="24"/>
          <w:rtl/>
        </w:rPr>
        <w:t>אדם</w:t>
      </w:r>
      <w:r w:rsidRPr="00B00F53">
        <w:rPr>
          <w:rFonts w:cs="Miriam"/>
          <w:b/>
          <w:spacing w:val="0"/>
          <w:szCs w:val="24"/>
          <w:rtl/>
        </w:rPr>
        <w:t xml:space="preserve"> </w:t>
      </w:r>
      <w:r w:rsidRPr="00B00F53">
        <w:rPr>
          <w:rFonts w:cs="Miriam" w:hint="eastAsia"/>
          <w:b/>
          <w:spacing w:val="0"/>
          <w:szCs w:val="24"/>
          <w:rtl/>
        </w:rPr>
        <w:t>נ</w:t>
      </w:r>
      <w:r w:rsidRPr="00B00F53">
        <w:rPr>
          <w:rFonts w:cs="Miriam"/>
          <w:b/>
          <w:spacing w:val="0"/>
          <w:szCs w:val="24"/>
          <w:rtl/>
        </w:rPr>
        <w:t xml:space="preserve">' </w:t>
      </w:r>
      <w:r w:rsidRPr="00B00F53">
        <w:rPr>
          <w:rFonts w:cs="Miriam" w:hint="eastAsia"/>
          <w:b/>
          <w:spacing w:val="0"/>
          <w:szCs w:val="24"/>
          <w:rtl/>
        </w:rPr>
        <w:t>הכנסת</w:t>
      </w:r>
      <w:r w:rsidRPr="00B00F53">
        <w:rPr>
          <w:rtl/>
        </w:rPr>
        <w:t xml:space="preserve">, </w:t>
      </w:r>
      <w:r w:rsidRPr="00B00F53">
        <w:rPr>
          <w:rFonts w:hint="eastAsia"/>
          <w:rtl/>
        </w:rPr>
        <w:t>פ</w:t>
      </w:r>
      <w:r w:rsidRPr="00B00F53">
        <w:rPr>
          <w:rtl/>
        </w:rPr>
        <w:t>"</w:t>
      </w:r>
      <w:r w:rsidRPr="00B00F53">
        <w:rPr>
          <w:rFonts w:hint="eastAsia"/>
          <w:rtl/>
        </w:rPr>
        <w:t>ד</w:t>
      </w:r>
      <w:r w:rsidRPr="00B00F53">
        <w:rPr>
          <w:rtl/>
        </w:rPr>
        <w:t xml:space="preserve"> </w:t>
      </w:r>
      <w:r w:rsidRPr="00B00F53">
        <w:rPr>
          <w:rFonts w:hint="eastAsia"/>
          <w:rtl/>
        </w:rPr>
        <w:t>סו</w:t>
      </w:r>
      <w:r w:rsidRPr="00B00F53">
        <w:rPr>
          <w:rtl/>
        </w:rPr>
        <w:t xml:space="preserve">(1) 717, </w:t>
      </w:r>
      <w:r w:rsidRPr="00B00F53">
        <w:rPr>
          <w:rFonts w:hint="cs"/>
          <w:rtl/>
        </w:rPr>
        <w:t>848</w:t>
      </w:r>
      <w:r w:rsidRPr="00B00F53">
        <w:rPr>
          <w:rtl/>
        </w:rPr>
        <w:t xml:space="preserve"> (2013)</w:t>
      </w:r>
      <w:r w:rsidRPr="00B00F53">
        <w:rPr>
          <w:rFonts w:hint="cs"/>
          <w:rtl/>
        </w:rPr>
        <w:t xml:space="preserve">; </w:t>
      </w:r>
      <w:r w:rsidRPr="00B00F53">
        <w:rPr>
          <w:rFonts w:hint="eastAsia"/>
          <w:rtl/>
        </w:rPr>
        <w:t>בג</w:t>
      </w:r>
      <w:r w:rsidRPr="00B00F53">
        <w:rPr>
          <w:rtl/>
        </w:rPr>
        <w:t>"</w:t>
      </w:r>
      <w:r w:rsidRPr="00B00F53">
        <w:rPr>
          <w:rFonts w:hint="eastAsia"/>
          <w:rtl/>
        </w:rPr>
        <w:t>ץ</w:t>
      </w:r>
      <w:r w:rsidRPr="00B00F53">
        <w:rPr>
          <w:rtl/>
        </w:rPr>
        <w:t xml:space="preserve"> 7385/13 </w:t>
      </w:r>
      <w:r w:rsidRPr="00B00F53">
        <w:rPr>
          <w:rFonts w:cs="Miriam" w:hint="eastAsia"/>
          <w:b/>
          <w:color w:val="000000" w:themeColor="text1"/>
          <w:spacing w:val="0"/>
          <w:sz w:val="22"/>
          <w:szCs w:val="24"/>
          <w:rtl/>
        </w:rPr>
        <w:t>איתן</w:t>
      </w:r>
      <w:r w:rsidRPr="00B00F53">
        <w:rPr>
          <w:rFonts w:cs="Miriam"/>
          <w:b/>
          <w:color w:val="000000" w:themeColor="text1"/>
          <w:spacing w:val="0"/>
          <w:sz w:val="22"/>
          <w:szCs w:val="24"/>
          <w:rtl/>
        </w:rPr>
        <w:t xml:space="preserve"> – </w:t>
      </w:r>
      <w:r w:rsidRPr="00B00F53">
        <w:rPr>
          <w:rFonts w:cs="Miriam" w:hint="eastAsia"/>
          <w:b/>
          <w:color w:val="000000" w:themeColor="text1"/>
          <w:spacing w:val="0"/>
          <w:sz w:val="22"/>
          <w:szCs w:val="24"/>
          <w:rtl/>
        </w:rPr>
        <w:t>מדיניות</w:t>
      </w:r>
      <w:r w:rsidRPr="00B00F53">
        <w:rPr>
          <w:rFonts w:cs="Miriam"/>
          <w:b/>
          <w:color w:val="000000" w:themeColor="text1"/>
          <w:spacing w:val="0"/>
          <w:sz w:val="22"/>
          <w:szCs w:val="24"/>
          <w:rtl/>
        </w:rPr>
        <w:t xml:space="preserve"> </w:t>
      </w:r>
      <w:r w:rsidRPr="00B00F53">
        <w:rPr>
          <w:rFonts w:cs="Miriam" w:hint="eastAsia"/>
          <w:b/>
          <w:color w:val="000000" w:themeColor="text1"/>
          <w:spacing w:val="0"/>
          <w:sz w:val="22"/>
          <w:szCs w:val="24"/>
          <w:rtl/>
        </w:rPr>
        <w:t>הגירה</w:t>
      </w:r>
      <w:r w:rsidRPr="00B00F53">
        <w:rPr>
          <w:rFonts w:cs="Miriam"/>
          <w:b/>
          <w:color w:val="000000" w:themeColor="text1"/>
          <w:spacing w:val="0"/>
          <w:sz w:val="22"/>
          <w:szCs w:val="24"/>
          <w:rtl/>
        </w:rPr>
        <w:t xml:space="preserve"> </w:t>
      </w:r>
      <w:r w:rsidRPr="00B00F53">
        <w:rPr>
          <w:rFonts w:cs="Miriam" w:hint="eastAsia"/>
          <w:b/>
          <w:color w:val="000000" w:themeColor="text1"/>
          <w:spacing w:val="0"/>
          <w:sz w:val="22"/>
          <w:szCs w:val="24"/>
          <w:rtl/>
        </w:rPr>
        <w:t>ישראלית</w:t>
      </w:r>
      <w:r w:rsidRPr="00B00F53">
        <w:rPr>
          <w:rFonts w:cs="Miriam"/>
          <w:b/>
          <w:color w:val="000000" w:themeColor="text1"/>
          <w:spacing w:val="0"/>
          <w:sz w:val="22"/>
          <w:szCs w:val="24"/>
          <w:rtl/>
        </w:rPr>
        <w:t xml:space="preserve"> </w:t>
      </w:r>
      <w:r w:rsidRPr="00B00F53">
        <w:rPr>
          <w:rFonts w:cs="Miriam" w:hint="eastAsia"/>
          <w:b/>
          <w:color w:val="000000" w:themeColor="text1"/>
          <w:spacing w:val="0"/>
          <w:sz w:val="22"/>
          <w:szCs w:val="24"/>
          <w:rtl/>
        </w:rPr>
        <w:t>נ</w:t>
      </w:r>
      <w:r w:rsidRPr="00B00F53">
        <w:rPr>
          <w:rFonts w:cs="Miriam"/>
          <w:b/>
          <w:color w:val="000000" w:themeColor="text1"/>
          <w:spacing w:val="0"/>
          <w:sz w:val="22"/>
          <w:szCs w:val="24"/>
          <w:rtl/>
        </w:rPr>
        <w:t xml:space="preserve">' </w:t>
      </w:r>
      <w:r w:rsidRPr="00B00F53">
        <w:rPr>
          <w:rFonts w:cs="Miriam" w:hint="eastAsia"/>
          <w:b/>
          <w:color w:val="000000" w:themeColor="text1"/>
          <w:spacing w:val="0"/>
          <w:sz w:val="22"/>
          <w:szCs w:val="24"/>
          <w:rtl/>
        </w:rPr>
        <w:t>ממשלת</w:t>
      </w:r>
      <w:r w:rsidRPr="00B00F53">
        <w:rPr>
          <w:rFonts w:cs="Miriam"/>
          <w:b/>
          <w:color w:val="000000" w:themeColor="text1"/>
          <w:spacing w:val="0"/>
          <w:sz w:val="22"/>
          <w:szCs w:val="24"/>
          <w:rtl/>
        </w:rPr>
        <w:t xml:space="preserve"> </w:t>
      </w:r>
      <w:r w:rsidRPr="00B00F53">
        <w:rPr>
          <w:rFonts w:cs="Miriam" w:hint="eastAsia"/>
          <w:b/>
          <w:color w:val="000000" w:themeColor="text1"/>
          <w:spacing w:val="0"/>
          <w:sz w:val="22"/>
          <w:szCs w:val="24"/>
          <w:rtl/>
        </w:rPr>
        <w:t>ישראל</w:t>
      </w:r>
      <w:r w:rsidRPr="00B00F53">
        <w:rPr>
          <w:rFonts w:hint="cs"/>
          <w:rtl/>
        </w:rPr>
        <w:t xml:space="preserve">, פסקה 200 לחוות דעתו של השופט </w:t>
      </w:r>
      <w:r w:rsidRPr="00B00F53">
        <w:rPr>
          <w:rFonts w:cs="Miriam" w:hint="cs"/>
          <w:b/>
          <w:color w:val="000000" w:themeColor="text1"/>
          <w:spacing w:val="0"/>
          <w:sz w:val="22"/>
          <w:szCs w:val="24"/>
          <w:rtl/>
        </w:rPr>
        <w:t>פוגלמן</w:t>
      </w:r>
      <w:r w:rsidRPr="00B00F53">
        <w:rPr>
          <w:rtl/>
        </w:rPr>
        <w:t xml:space="preserve"> (22.9.2014)</w:t>
      </w:r>
      <w:r>
        <w:rPr>
          <w:rFonts w:hint="cs"/>
          <w:rtl/>
        </w:rPr>
        <w:t xml:space="preserve"> (להלן: </w:t>
      </w:r>
      <w:r w:rsidRPr="003D20DA">
        <w:rPr>
          <w:rFonts w:cs="Miriam" w:hint="eastAsia"/>
          <w:b/>
          <w:color w:val="000000" w:themeColor="text1"/>
          <w:spacing w:val="0"/>
          <w:sz w:val="22"/>
          <w:szCs w:val="24"/>
          <w:rtl/>
        </w:rPr>
        <w:t>עניין</w:t>
      </w:r>
      <w:r w:rsidRPr="003D20DA">
        <w:rPr>
          <w:rFonts w:cs="Miriam"/>
          <w:b/>
          <w:color w:val="000000" w:themeColor="text1"/>
          <w:spacing w:val="0"/>
          <w:sz w:val="22"/>
          <w:szCs w:val="24"/>
          <w:rtl/>
        </w:rPr>
        <w:t xml:space="preserve"> </w:t>
      </w:r>
      <w:r w:rsidRPr="003D20DA">
        <w:rPr>
          <w:rFonts w:cs="Miriam" w:hint="eastAsia"/>
          <w:b/>
          <w:color w:val="000000" w:themeColor="text1"/>
          <w:spacing w:val="0"/>
          <w:sz w:val="22"/>
          <w:szCs w:val="24"/>
          <w:rtl/>
        </w:rPr>
        <w:t>איתן</w:t>
      </w:r>
      <w:r>
        <w:rPr>
          <w:rFonts w:hint="cs"/>
          <w:rtl/>
        </w:rPr>
        <w:t>)</w:t>
      </w:r>
      <w:r w:rsidRPr="00B00F53">
        <w:rPr>
          <w:rFonts w:hint="cs"/>
          <w:rtl/>
        </w:rPr>
        <w:t>; עניין</w:t>
      </w:r>
      <w:r w:rsidRPr="00B00F53">
        <w:rPr>
          <w:rtl/>
        </w:rPr>
        <w:t xml:space="preserve"> </w:t>
      </w:r>
      <w:r w:rsidRPr="00B00F53">
        <w:rPr>
          <w:rFonts w:cs="Miriam" w:hint="eastAsia"/>
          <w:b/>
          <w:color w:val="000000" w:themeColor="text1"/>
          <w:spacing w:val="0"/>
          <w:sz w:val="22"/>
          <w:szCs w:val="24"/>
          <w:rtl/>
        </w:rPr>
        <w:t>ארד</w:t>
      </w:r>
      <w:r w:rsidRPr="00B00F53">
        <w:rPr>
          <w:rFonts w:cs="Miriam"/>
          <w:b/>
          <w:color w:val="000000" w:themeColor="text1"/>
          <w:spacing w:val="0"/>
          <w:sz w:val="22"/>
          <w:szCs w:val="24"/>
          <w:rtl/>
        </w:rPr>
        <w:t>-</w:t>
      </w:r>
      <w:r w:rsidRPr="00B00F53">
        <w:rPr>
          <w:rFonts w:cs="Miriam" w:hint="eastAsia"/>
          <w:b/>
          <w:color w:val="000000" w:themeColor="text1"/>
          <w:spacing w:val="0"/>
          <w:sz w:val="22"/>
          <w:szCs w:val="24"/>
          <w:rtl/>
        </w:rPr>
        <w:t>פנקס</w:t>
      </w:r>
      <w:r w:rsidRPr="00244A94">
        <w:rPr>
          <w:rFonts w:ascii="Century" w:hAnsi="Century" w:hint="cs"/>
          <w:sz w:val="22"/>
          <w:rtl/>
        </w:rPr>
        <w:t>,</w:t>
      </w:r>
      <w:r w:rsidRPr="00B00F53">
        <w:rPr>
          <w:rFonts w:cs="Miriam" w:hint="cs"/>
          <w:b/>
          <w:color w:val="000000" w:themeColor="text1"/>
          <w:spacing w:val="0"/>
          <w:sz w:val="22"/>
          <w:szCs w:val="24"/>
          <w:rtl/>
        </w:rPr>
        <w:t xml:space="preserve"> </w:t>
      </w:r>
      <w:r w:rsidRPr="00B00F53">
        <w:rPr>
          <w:rFonts w:hint="cs"/>
          <w:sz w:val="22"/>
          <w:rtl/>
        </w:rPr>
        <w:t>ב</w:t>
      </w:r>
      <w:r w:rsidRPr="00B00F53">
        <w:rPr>
          <w:rFonts w:hint="eastAsia"/>
          <w:rtl/>
        </w:rPr>
        <w:t>פסקה</w:t>
      </w:r>
      <w:r w:rsidRPr="00B00F53">
        <w:rPr>
          <w:rtl/>
        </w:rPr>
        <w:t xml:space="preserve"> 21 </w:t>
      </w:r>
      <w:r w:rsidRPr="00B00F53">
        <w:rPr>
          <w:rFonts w:hint="eastAsia"/>
          <w:rtl/>
        </w:rPr>
        <w:t>לפסק</w:t>
      </w:r>
      <w:r w:rsidRPr="00B00F53">
        <w:rPr>
          <w:rtl/>
        </w:rPr>
        <w:t xml:space="preserve"> </w:t>
      </w:r>
      <w:r w:rsidRPr="00B00F53">
        <w:rPr>
          <w:rFonts w:hint="eastAsia"/>
          <w:rtl/>
        </w:rPr>
        <w:t>דיני</w:t>
      </w:r>
      <w:r w:rsidRPr="00B00F53">
        <w:rPr>
          <w:rFonts w:hint="cs"/>
          <w:rtl/>
        </w:rPr>
        <w:t>;</w:t>
      </w:r>
      <w:r w:rsidRPr="00B00F53">
        <w:rPr>
          <w:rFonts w:cs="Miriam" w:hint="cs"/>
          <w:b/>
          <w:color w:val="000000" w:themeColor="text1"/>
          <w:spacing w:val="0"/>
          <w:sz w:val="22"/>
          <w:szCs w:val="24"/>
          <w:rtl/>
        </w:rPr>
        <w:t xml:space="preserve"> </w:t>
      </w:r>
      <w:r w:rsidRPr="00B00F53">
        <w:rPr>
          <w:rFonts w:hint="cs"/>
          <w:rtl/>
        </w:rPr>
        <w:t>וכן ראו את הערתי בעניין זה ב</w:t>
      </w:r>
      <w:r w:rsidRPr="00B00F53">
        <w:rPr>
          <w:rFonts w:hint="eastAsia"/>
          <w:rtl/>
        </w:rPr>
        <w:t>בג</w:t>
      </w:r>
      <w:r w:rsidRPr="00B00F53">
        <w:rPr>
          <w:rtl/>
        </w:rPr>
        <w:t>"</w:t>
      </w:r>
      <w:r w:rsidRPr="00B00F53">
        <w:rPr>
          <w:rFonts w:hint="eastAsia"/>
          <w:rtl/>
        </w:rPr>
        <w:t>ץ</w:t>
      </w:r>
      <w:r w:rsidRPr="00B00F53">
        <w:rPr>
          <w:rtl/>
        </w:rPr>
        <w:t xml:space="preserve"> 5469/20 ‏</w:t>
      </w:r>
      <w:r w:rsidRPr="00B00F53">
        <w:rPr>
          <w:rFonts w:cs="Miriam" w:hint="eastAsia"/>
          <w:b/>
          <w:spacing w:val="0"/>
          <w:szCs w:val="24"/>
          <w:rtl/>
        </w:rPr>
        <w:t>אחריות</w:t>
      </w:r>
      <w:r w:rsidRPr="00B00F53">
        <w:rPr>
          <w:rFonts w:cs="Miriam"/>
          <w:b/>
          <w:spacing w:val="0"/>
          <w:szCs w:val="24"/>
          <w:rtl/>
        </w:rPr>
        <w:t xml:space="preserve"> </w:t>
      </w:r>
      <w:r w:rsidRPr="00B00F53">
        <w:rPr>
          <w:rFonts w:cs="Miriam" w:hint="eastAsia"/>
          <w:b/>
          <w:spacing w:val="0"/>
          <w:szCs w:val="24"/>
          <w:rtl/>
        </w:rPr>
        <w:t>לאומית</w:t>
      </w:r>
      <w:r w:rsidRPr="00B00F53">
        <w:rPr>
          <w:rFonts w:cs="Miriam"/>
          <w:b/>
          <w:spacing w:val="0"/>
          <w:szCs w:val="24"/>
          <w:rtl/>
        </w:rPr>
        <w:t xml:space="preserve"> – </w:t>
      </w:r>
      <w:r w:rsidRPr="00B00F53">
        <w:rPr>
          <w:rFonts w:cs="Miriam" w:hint="eastAsia"/>
          <w:b/>
          <w:spacing w:val="0"/>
          <w:szCs w:val="24"/>
          <w:rtl/>
        </w:rPr>
        <w:t>ישראל</w:t>
      </w:r>
      <w:r w:rsidRPr="00B00F53">
        <w:rPr>
          <w:rFonts w:cs="Miriam"/>
          <w:b/>
          <w:spacing w:val="0"/>
          <w:szCs w:val="24"/>
          <w:rtl/>
        </w:rPr>
        <w:t xml:space="preserve"> </w:t>
      </w:r>
      <w:r w:rsidRPr="00B00F53">
        <w:rPr>
          <w:rFonts w:cs="Miriam" w:hint="eastAsia"/>
          <w:b/>
          <w:spacing w:val="0"/>
          <w:szCs w:val="24"/>
          <w:rtl/>
        </w:rPr>
        <w:t>הבית</w:t>
      </w:r>
      <w:r w:rsidRPr="00B00F53">
        <w:rPr>
          <w:rFonts w:cs="Miriam"/>
          <w:b/>
          <w:spacing w:val="0"/>
          <w:szCs w:val="24"/>
          <w:rtl/>
        </w:rPr>
        <w:t xml:space="preserve"> </w:t>
      </w:r>
      <w:r w:rsidRPr="00B00F53">
        <w:rPr>
          <w:rFonts w:cs="Miriam" w:hint="eastAsia"/>
          <w:b/>
          <w:spacing w:val="0"/>
          <w:szCs w:val="24"/>
          <w:rtl/>
        </w:rPr>
        <w:t>שלי</w:t>
      </w:r>
      <w:r w:rsidRPr="00B00F53">
        <w:rPr>
          <w:rFonts w:cs="Miriam"/>
          <w:b/>
          <w:spacing w:val="0"/>
          <w:szCs w:val="24"/>
          <w:rtl/>
        </w:rPr>
        <w:t xml:space="preserve"> </w:t>
      </w:r>
      <w:r w:rsidRPr="00B00F53">
        <w:rPr>
          <w:rFonts w:cs="Miriam" w:hint="eastAsia"/>
          <w:b/>
          <w:spacing w:val="0"/>
          <w:szCs w:val="24"/>
          <w:rtl/>
        </w:rPr>
        <w:t>נ</w:t>
      </w:r>
      <w:r w:rsidRPr="00B00F53">
        <w:rPr>
          <w:rFonts w:cs="Miriam"/>
          <w:b/>
          <w:spacing w:val="0"/>
          <w:szCs w:val="24"/>
          <w:rtl/>
        </w:rPr>
        <w:t xml:space="preserve">' </w:t>
      </w:r>
      <w:r w:rsidRPr="00B00F53">
        <w:rPr>
          <w:rFonts w:cs="Miriam" w:hint="eastAsia"/>
          <w:b/>
          <w:spacing w:val="0"/>
          <w:szCs w:val="24"/>
          <w:rtl/>
        </w:rPr>
        <w:t>ממשלת</w:t>
      </w:r>
      <w:r w:rsidRPr="00B00F53">
        <w:rPr>
          <w:rFonts w:cs="Miriam"/>
          <w:b/>
          <w:spacing w:val="0"/>
          <w:szCs w:val="24"/>
          <w:rtl/>
        </w:rPr>
        <w:t xml:space="preserve"> </w:t>
      </w:r>
      <w:r w:rsidRPr="00B00F53">
        <w:rPr>
          <w:rFonts w:cs="Miriam" w:hint="eastAsia"/>
          <w:b/>
          <w:spacing w:val="0"/>
          <w:szCs w:val="24"/>
          <w:rtl/>
        </w:rPr>
        <w:t>ישראל</w:t>
      </w:r>
      <w:r w:rsidRPr="00B00F53">
        <w:rPr>
          <w:rtl/>
        </w:rPr>
        <w:t xml:space="preserve">, </w:t>
      </w:r>
      <w:r w:rsidRPr="00B00F53">
        <w:rPr>
          <w:rFonts w:hint="eastAsia"/>
          <w:rtl/>
        </w:rPr>
        <w:t>פסקה</w:t>
      </w:r>
      <w:r w:rsidRPr="00B00F53">
        <w:rPr>
          <w:rtl/>
        </w:rPr>
        <w:t xml:space="preserve"> 39 </w:t>
      </w:r>
      <w:r w:rsidRPr="00B00F53">
        <w:rPr>
          <w:rFonts w:hint="eastAsia"/>
          <w:rtl/>
        </w:rPr>
        <w:t>לחוות</w:t>
      </w:r>
      <w:r w:rsidRPr="00B00F53">
        <w:rPr>
          <w:rtl/>
        </w:rPr>
        <w:t xml:space="preserve"> </w:t>
      </w:r>
      <w:r w:rsidRPr="00B00F53">
        <w:rPr>
          <w:rFonts w:hint="eastAsia"/>
          <w:rtl/>
        </w:rPr>
        <w:t>דעתי</w:t>
      </w:r>
      <w:r w:rsidRPr="00B00F53">
        <w:rPr>
          <w:rtl/>
        </w:rPr>
        <w:t xml:space="preserve"> (4.4.2021)</w:t>
      </w:r>
      <w:r w:rsidRPr="00B00F53">
        <w:rPr>
          <w:rFonts w:hint="cs"/>
          <w:rtl/>
        </w:rPr>
        <w:t xml:space="preserve">). </w:t>
      </w:r>
    </w:p>
    <w:p w:rsidR="00C044AE" w:rsidRDefault="00C044AE" w:rsidP="00C044AE">
      <w:pPr>
        <w:pStyle w:val="Ruller41"/>
        <w:rPr>
          <w:rtl/>
        </w:rPr>
      </w:pPr>
    </w:p>
    <w:p w:rsidR="00C044AE" w:rsidRPr="00E14158" w:rsidRDefault="00C044AE" w:rsidP="00C044AE">
      <w:pPr>
        <w:pStyle w:val="Ruller41"/>
        <w:rPr>
          <w:rtl/>
        </w:rPr>
      </w:pPr>
      <w:r>
        <w:rPr>
          <w:rtl/>
        </w:rPr>
        <w:tab/>
      </w:r>
      <w:r w:rsidRPr="00B00F53">
        <w:rPr>
          <w:rFonts w:hint="cs"/>
          <w:rtl/>
        </w:rPr>
        <w:t xml:space="preserve">כזה הוא המקרה שלפנינו. לגישתי, פרשנות המצמצמת את תחולתו של התיקון </w:t>
      </w:r>
      <w:r>
        <w:rPr>
          <w:rFonts w:hint="cs"/>
          <w:rtl/>
        </w:rPr>
        <w:t xml:space="preserve">המבטל את </w:t>
      </w:r>
      <w:r w:rsidRPr="00B00F53">
        <w:rPr>
          <w:rFonts w:hint="cs"/>
          <w:rtl/>
        </w:rPr>
        <w:t>עילת הסבירות</w:t>
      </w:r>
      <w:r>
        <w:rPr>
          <w:rFonts w:hint="cs"/>
          <w:rtl/>
        </w:rPr>
        <w:t xml:space="preserve"> ביחס לדרג הנבחר אך</w:t>
      </w:r>
      <w:r w:rsidRPr="00B00F53">
        <w:rPr>
          <w:rFonts w:hint="cs"/>
          <w:rtl/>
        </w:rPr>
        <w:t xml:space="preserve"> </w:t>
      </w:r>
      <w:r>
        <w:rPr>
          <w:rFonts w:hint="cs"/>
          <w:rtl/>
        </w:rPr>
        <w:t>כ</w:t>
      </w:r>
      <w:r w:rsidRPr="00B00F53">
        <w:rPr>
          <w:rFonts w:hint="cs"/>
          <w:rtl/>
        </w:rPr>
        <w:t xml:space="preserve">מובנה בפסק הדין בעניין </w:t>
      </w:r>
      <w:r w:rsidRPr="00B00F53">
        <w:rPr>
          <w:rFonts w:cs="Miriam" w:hint="cs"/>
          <w:b/>
          <w:spacing w:val="0"/>
          <w:szCs w:val="24"/>
          <w:rtl/>
        </w:rPr>
        <w:t>דפי זהב</w:t>
      </w:r>
      <w:r>
        <w:rPr>
          <w:rFonts w:ascii="Century" w:hAnsi="Century" w:hint="cs"/>
          <w:rtl/>
        </w:rPr>
        <w:t xml:space="preserve"> היא פרשנות מוקשית המהווה למעשה כתיבה מחדש של התיקון על ידי בית המשפט במשמעות שונה לחלוטין מזו של התיקון הקיים</w:t>
      </w:r>
      <w:r w:rsidRPr="00B00F53">
        <w:rPr>
          <w:rFonts w:hint="cs"/>
          <w:rtl/>
        </w:rPr>
        <w:t xml:space="preserve">. </w:t>
      </w:r>
      <w:r w:rsidRPr="00B00F53">
        <w:rPr>
          <w:rFonts w:ascii="Garamond" w:hAnsi="Garamond" w:hint="cs"/>
          <w:rtl/>
        </w:rPr>
        <w:t xml:space="preserve">מסקנה זו מקבלת משנה תוקף </w:t>
      </w:r>
      <w:r>
        <w:rPr>
          <w:rFonts w:ascii="Garamond" w:hAnsi="Garamond" w:hint="cs"/>
          <w:rtl/>
        </w:rPr>
        <w:t>משום שמדובר</w:t>
      </w:r>
      <w:r w:rsidRPr="00B00F53">
        <w:rPr>
          <w:rFonts w:ascii="Garamond" w:hAnsi="Garamond" w:hint="cs"/>
          <w:rtl/>
        </w:rPr>
        <w:t xml:space="preserve"> בפרשנות הנוגעת </w:t>
      </w:r>
      <w:r w:rsidRPr="00B00F53">
        <w:rPr>
          <w:rFonts w:ascii="Garamond" w:hAnsi="Garamond" w:cs="Miriam" w:hint="cs"/>
          <w:b/>
          <w:spacing w:val="0"/>
          <w:sz w:val="24"/>
          <w:szCs w:val="24"/>
          <w:rtl/>
        </w:rPr>
        <w:t>לליבת</w:t>
      </w:r>
      <w:r w:rsidRPr="00B00F53">
        <w:rPr>
          <w:rFonts w:ascii="Garamond" w:hAnsi="Garamond" w:hint="cs"/>
          <w:rtl/>
        </w:rPr>
        <w:t xml:space="preserve"> ההסדר החוקתי, </w:t>
      </w:r>
      <w:r>
        <w:rPr>
          <w:rFonts w:ascii="Garamond" w:hAnsi="Garamond" w:hint="cs"/>
          <w:color w:val="000000" w:themeColor="text1"/>
          <w:rtl/>
        </w:rPr>
        <w:t xml:space="preserve">ולא להיבטים </w:t>
      </w:r>
      <w:r w:rsidRPr="00B00F53">
        <w:rPr>
          <w:rFonts w:ascii="Garamond" w:hAnsi="Garamond" w:hint="cs"/>
          <w:color w:val="000000" w:themeColor="text1"/>
          <w:rtl/>
        </w:rPr>
        <w:t xml:space="preserve">נלווים </w:t>
      </w:r>
      <w:r>
        <w:rPr>
          <w:rFonts w:ascii="Garamond" w:hAnsi="Garamond" w:hint="cs"/>
          <w:color w:val="000000" w:themeColor="text1"/>
          <w:rtl/>
        </w:rPr>
        <w:t>ש</w:t>
      </w:r>
      <w:r w:rsidRPr="00B00F53">
        <w:rPr>
          <w:rFonts w:ascii="Garamond" w:hAnsi="Garamond" w:hint="cs"/>
          <w:color w:val="000000" w:themeColor="text1"/>
          <w:rtl/>
        </w:rPr>
        <w:t>לו</w:t>
      </w:r>
      <w:r w:rsidRPr="00B00F53">
        <w:rPr>
          <w:rFonts w:ascii="Garamond" w:hAnsi="Garamond"/>
          <w:color w:val="000000" w:themeColor="text1"/>
          <w:rtl/>
        </w:rPr>
        <w:t xml:space="preserve">, </w:t>
      </w:r>
      <w:r>
        <w:rPr>
          <w:rFonts w:ascii="Garamond" w:hAnsi="Garamond" w:hint="cs"/>
          <w:color w:val="000000" w:themeColor="text1"/>
          <w:rtl/>
        </w:rPr>
        <w:t>דוגמת</w:t>
      </w:r>
      <w:r w:rsidRPr="00B00F53">
        <w:rPr>
          <w:rFonts w:ascii="Garamond" w:hAnsi="Garamond" w:hint="cs"/>
          <w:color w:val="000000" w:themeColor="text1"/>
          <w:rtl/>
        </w:rPr>
        <w:t xml:space="preserve"> </w:t>
      </w:r>
      <w:r w:rsidRPr="00B00F53">
        <w:rPr>
          <w:rFonts w:ascii="Garamond" w:hAnsi="Garamond" w:hint="eastAsia"/>
          <w:color w:val="000000" w:themeColor="text1"/>
          <w:rtl/>
        </w:rPr>
        <w:t>תחולתו</w:t>
      </w:r>
      <w:r w:rsidRPr="00B00F53">
        <w:rPr>
          <w:rFonts w:ascii="Garamond" w:hAnsi="Garamond"/>
          <w:color w:val="000000" w:themeColor="text1"/>
          <w:rtl/>
        </w:rPr>
        <w:t xml:space="preserve"> </w:t>
      </w:r>
      <w:r w:rsidRPr="00B00F53">
        <w:rPr>
          <w:rFonts w:ascii="Garamond" w:hAnsi="Garamond" w:hint="eastAsia"/>
          <w:color w:val="000000" w:themeColor="text1"/>
          <w:rtl/>
        </w:rPr>
        <w:t>בזמן</w:t>
      </w:r>
      <w:r w:rsidRPr="00B00F53">
        <w:rPr>
          <w:rFonts w:ascii="Garamond" w:hAnsi="Garamond" w:hint="cs"/>
          <w:color w:val="000000" w:themeColor="text1"/>
          <w:rtl/>
        </w:rPr>
        <w:t xml:space="preserve"> (ראו למשל, עניין </w:t>
      </w:r>
      <w:r w:rsidRPr="00B00F53">
        <w:rPr>
          <w:rFonts w:ascii="Garamond" w:hAnsi="Garamond" w:cs="Miriam" w:hint="cs"/>
          <w:b/>
          <w:spacing w:val="0"/>
          <w:sz w:val="24"/>
          <w:szCs w:val="24"/>
          <w:rtl/>
        </w:rPr>
        <w:t>גניס</w:t>
      </w:r>
      <w:r w:rsidRPr="00B00F53">
        <w:rPr>
          <w:rFonts w:ascii="Garamond" w:hAnsi="Garamond" w:hint="cs"/>
          <w:color w:val="000000" w:themeColor="text1"/>
          <w:rtl/>
        </w:rPr>
        <w:t xml:space="preserve">, בעמ' 258; עניין </w:t>
      </w:r>
      <w:r w:rsidRPr="00B00F53">
        <w:rPr>
          <w:rFonts w:ascii="Garamond" w:hAnsi="Garamond" w:cs="Miriam" w:hint="cs"/>
          <w:b/>
          <w:spacing w:val="0"/>
          <w:sz w:val="24"/>
          <w:szCs w:val="24"/>
          <w:rtl/>
        </w:rPr>
        <w:t>התנועה לטוהר המידות</w:t>
      </w:r>
      <w:r w:rsidRPr="00B00F53">
        <w:rPr>
          <w:rFonts w:ascii="Garamond" w:hAnsi="Garamond" w:hint="cs"/>
          <w:color w:val="000000" w:themeColor="text1"/>
          <w:rtl/>
        </w:rPr>
        <w:t xml:space="preserve">, בפסקאות 34-33 לפסק דינו של ממלא מקום הנשיא </w:t>
      </w:r>
      <w:r w:rsidRPr="00B00F53">
        <w:rPr>
          <w:rFonts w:ascii="Garamond" w:hAnsi="Garamond" w:cs="Miriam" w:hint="cs"/>
          <w:b/>
          <w:spacing w:val="0"/>
          <w:sz w:val="24"/>
          <w:szCs w:val="24"/>
          <w:rtl/>
        </w:rPr>
        <w:t>פוגלמן</w:t>
      </w:r>
      <w:r w:rsidRPr="00B00F53">
        <w:rPr>
          <w:rFonts w:ascii="Garamond" w:hAnsi="Garamond" w:hint="cs"/>
          <w:color w:val="000000" w:themeColor="text1"/>
          <w:rtl/>
        </w:rPr>
        <w:t>)</w:t>
      </w:r>
      <w:r w:rsidRPr="00B00F53">
        <w:rPr>
          <w:rFonts w:ascii="Garamond" w:hAnsi="Garamond"/>
          <w:color w:val="000000" w:themeColor="text1"/>
          <w:rtl/>
        </w:rPr>
        <w:t xml:space="preserve">. </w:t>
      </w:r>
    </w:p>
    <w:p w:rsidR="00C044AE" w:rsidRPr="00B00F53" w:rsidRDefault="00C044AE" w:rsidP="00C044AE">
      <w:pPr>
        <w:pStyle w:val="Ruller41"/>
        <w:rPr>
          <w:rFonts w:ascii="Garamond" w:hAnsi="Garamond"/>
          <w:color w:val="000000" w:themeColor="text1"/>
          <w:rtl/>
        </w:rPr>
      </w:pPr>
    </w:p>
    <w:p w:rsidR="00C044AE" w:rsidRPr="00C54D74" w:rsidRDefault="00C044AE" w:rsidP="00C044AE">
      <w:pPr>
        <w:pStyle w:val="Ruller4"/>
      </w:pPr>
      <w:r w:rsidRPr="001C2C43">
        <w:rPr>
          <w:rFonts w:hint="cs"/>
          <w:color w:val="000000" w:themeColor="text1"/>
          <w:rtl/>
        </w:rPr>
        <w:t>נוכח כל הטעמים שפורטו לעיל,</w:t>
      </w:r>
      <w:r w:rsidRPr="001C2C43">
        <w:rPr>
          <w:color w:val="000000" w:themeColor="text1"/>
          <w:rtl/>
        </w:rPr>
        <w:t xml:space="preserve"> </w:t>
      </w:r>
      <w:r w:rsidRPr="001C2C43">
        <w:rPr>
          <w:rFonts w:hint="cs"/>
          <w:color w:val="000000" w:themeColor="text1"/>
          <w:rtl/>
        </w:rPr>
        <w:t xml:space="preserve">אינני סבורה כי ניתן </w:t>
      </w:r>
      <w:r w:rsidRPr="00B00F53">
        <w:rPr>
          <w:rFonts w:hint="cs"/>
          <w:rtl/>
        </w:rPr>
        <w:t>לאמץ</w:t>
      </w:r>
      <w:r>
        <w:rPr>
          <w:rFonts w:hint="cs"/>
          <w:rtl/>
        </w:rPr>
        <w:t xml:space="preserve"> בדרך פרשנית</w:t>
      </w:r>
      <w:r w:rsidRPr="00B00F53">
        <w:rPr>
          <w:rFonts w:hint="cs"/>
          <w:rtl/>
        </w:rPr>
        <w:t xml:space="preserve"> את ההבחנה שמציעה הכנסת בין משמעויותיה השונות של עילת הסבירות</w:t>
      </w:r>
      <w:r>
        <w:rPr>
          <w:rFonts w:hint="cs"/>
          <w:rtl/>
        </w:rPr>
        <w:t xml:space="preserve"> לעניין תחולת התיקון</w:t>
      </w:r>
      <w:r w:rsidRPr="00B00F53">
        <w:rPr>
          <w:rFonts w:hint="cs"/>
          <w:rtl/>
        </w:rPr>
        <w:t>. מסקנתי היא</w:t>
      </w:r>
      <w:r>
        <w:rPr>
          <w:rFonts w:hint="cs"/>
          <w:rtl/>
        </w:rPr>
        <w:t>, אפוא,</w:t>
      </w:r>
      <w:r w:rsidRPr="00B00F53">
        <w:rPr>
          <w:rFonts w:hint="cs"/>
          <w:rtl/>
        </w:rPr>
        <w:t xml:space="preserve"> כי יש לפרש את התיקון כפשוטו</w:t>
      </w:r>
      <w:r>
        <w:rPr>
          <w:rFonts w:hint="cs"/>
          <w:rtl/>
        </w:rPr>
        <w:t>, דהיינו</w:t>
      </w:r>
      <w:r w:rsidRPr="00B00F53">
        <w:rPr>
          <w:rFonts w:hint="cs"/>
          <w:rtl/>
        </w:rPr>
        <w:t xml:space="preserve"> </w:t>
      </w:r>
      <w:r w:rsidRPr="00B00F53">
        <w:rPr>
          <w:rtl/>
        </w:rPr>
        <w:t>–</w:t>
      </w:r>
      <w:r w:rsidRPr="00B00F53">
        <w:rPr>
          <w:rFonts w:hint="cs"/>
          <w:rtl/>
        </w:rPr>
        <w:t xml:space="preserve"> </w:t>
      </w:r>
      <w:r>
        <w:rPr>
          <w:rFonts w:hint="cs"/>
          <w:rtl/>
        </w:rPr>
        <w:t>כהוראה</w:t>
      </w:r>
      <w:r w:rsidRPr="00B00F53">
        <w:rPr>
          <w:rFonts w:hint="cs"/>
          <w:rtl/>
        </w:rPr>
        <w:t xml:space="preserve"> השולל</w:t>
      </w:r>
      <w:r>
        <w:rPr>
          <w:rFonts w:hint="cs"/>
          <w:rtl/>
        </w:rPr>
        <w:t>ת</w:t>
      </w:r>
      <w:r w:rsidRPr="00B00F53">
        <w:rPr>
          <w:rFonts w:hint="cs"/>
          <w:rtl/>
        </w:rPr>
        <w:t xml:space="preserve"> </w:t>
      </w:r>
      <w:r>
        <w:rPr>
          <w:rFonts w:hint="cs"/>
          <w:rtl/>
        </w:rPr>
        <w:t>ביקורת שיפוטית מכוח</w:t>
      </w:r>
      <w:r w:rsidRPr="00B00F53">
        <w:rPr>
          <w:rFonts w:hint="cs"/>
          <w:rtl/>
        </w:rPr>
        <w:t xml:space="preserve"> עילת הסבירות</w:t>
      </w:r>
      <w:r>
        <w:rPr>
          <w:rFonts w:hint="cs"/>
          <w:rtl/>
        </w:rPr>
        <w:t xml:space="preserve"> באופן גורף, על כלל מובניה,</w:t>
      </w:r>
      <w:r w:rsidRPr="00B00F53">
        <w:rPr>
          <w:rFonts w:hint="cs"/>
          <w:rtl/>
        </w:rPr>
        <w:t xml:space="preserve"> </w:t>
      </w:r>
      <w:r>
        <w:rPr>
          <w:rFonts w:hint="cs"/>
          <w:rtl/>
        </w:rPr>
        <w:t xml:space="preserve">ככל שהיא נוגעת להחלטות </w:t>
      </w:r>
      <w:r w:rsidRPr="00B00F53">
        <w:rPr>
          <w:rFonts w:hint="cs"/>
          <w:rtl/>
        </w:rPr>
        <w:t>הממשלה, ראש הממשלה והשרים</w:t>
      </w:r>
      <w:r>
        <w:rPr>
          <w:rFonts w:hint="cs"/>
          <w:rtl/>
        </w:rPr>
        <w:t>.</w:t>
      </w:r>
      <w:r w:rsidRPr="00B00F53">
        <w:rPr>
          <w:rFonts w:hint="cs"/>
          <w:rtl/>
        </w:rPr>
        <w:t xml:space="preserve"> </w:t>
      </w:r>
    </w:p>
    <w:p w:rsidR="00C044AE" w:rsidRDefault="00C044AE" w:rsidP="00C044AE">
      <w:pPr>
        <w:pStyle w:val="Ruller41"/>
        <w:rPr>
          <w:rtl/>
        </w:rPr>
      </w:pPr>
    </w:p>
    <w:p w:rsidR="00C044AE" w:rsidRPr="008A38D2" w:rsidRDefault="00C044AE" w:rsidP="00C044AE">
      <w:pPr>
        <w:pStyle w:val="Ruller41"/>
        <w:ind w:left="360"/>
        <w:outlineLvl w:val="2"/>
        <w:rPr>
          <w:rFonts w:ascii="Century" w:hAnsi="Century" w:cs="Miriam"/>
          <w:b/>
          <w:spacing w:val="0"/>
          <w:szCs w:val="24"/>
          <w:rtl/>
        </w:rPr>
      </w:pPr>
      <w:r w:rsidRPr="008A38D2">
        <w:rPr>
          <w:rFonts w:ascii="Century" w:hAnsi="Century" w:cs="Miriam" w:hint="cs"/>
          <w:b/>
          <w:spacing w:val="0"/>
          <w:szCs w:val="24"/>
          <w:rtl/>
        </w:rPr>
        <w:t>ד.2</w:t>
      </w:r>
      <w:r>
        <w:rPr>
          <w:rFonts w:ascii="Century" w:hAnsi="Century" w:cs="Miriam" w:hint="cs"/>
          <w:b/>
          <w:spacing w:val="0"/>
          <w:szCs w:val="24"/>
          <w:rtl/>
        </w:rPr>
        <w:t>.</w:t>
      </w:r>
      <w:r w:rsidRPr="008A38D2">
        <w:rPr>
          <w:rFonts w:ascii="Century" w:hAnsi="Century" w:cs="Miriam" w:hint="cs"/>
          <w:b/>
          <w:spacing w:val="0"/>
          <w:szCs w:val="24"/>
          <w:rtl/>
        </w:rPr>
        <w:t xml:space="preserve"> נוסחו של התיקון </w:t>
      </w:r>
      <w:r w:rsidRPr="008A38D2">
        <w:rPr>
          <w:rFonts w:ascii="Century" w:hAnsi="Century" w:cs="Miriam"/>
          <w:b/>
          <w:spacing w:val="0"/>
          <w:szCs w:val="24"/>
          <w:rtl/>
        </w:rPr>
        <w:t>–</w:t>
      </w:r>
      <w:r w:rsidRPr="008A38D2">
        <w:rPr>
          <w:rFonts w:ascii="Century" w:hAnsi="Century" w:cs="Miriam" w:hint="cs"/>
          <w:b/>
          <w:spacing w:val="0"/>
          <w:szCs w:val="24"/>
          <w:rtl/>
        </w:rPr>
        <w:t xml:space="preserve"> קיצוני וחריג</w:t>
      </w:r>
    </w:p>
    <w:p w:rsidR="00C044AE" w:rsidRPr="000D56AC" w:rsidRDefault="00C044AE" w:rsidP="00BC480B">
      <w:pPr>
        <w:pStyle w:val="Ruller41"/>
        <w:spacing w:line="276" w:lineRule="auto"/>
      </w:pPr>
    </w:p>
    <w:p w:rsidR="00C044AE" w:rsidRPr="00B00F53" w:rsidRDefault="00C044AE" w:rsidP="00C044AE">
      <w:pPr>
        <w:pStyle w:val="Ruller4"/>
        <w:rPr>
          <w:rtl/>
        </w:rPr>
      </w:pPr>
      <w:r>
        <w:rPr>
          <w:rFonts w:hint="cs"/>
          <w:rtl/>
        </w:rPr>
        <w:t xml:space="preserve">טרם שאדרש למשמעויות ולהשלכות של התיקון נושא העתירות, אבקש להתעכב על נוסחו של התיקון ולהצביע על חמישה היבטים שונים המעידים עד כמה הוא </w:t>
      </w:r>
      <w:r w:rsidRPr="00CA4A01">
        <w:rPr>
          <w:rFonts w:ascii="Century" w:hAnsi="Century" w:cs="Miriam" w:hint="cs"/>
          <w:b/>
          <w:spacing w:val="0"/>
          <w:sz w:val="22"/>
          <w:szCs w:val="24"/>
          <w:rtl/>
        </w:rPr>
        <w:t>קיצוני וחריג</w:t>
      </w:r>
      <w:r>
        <w:rPr>
          <w:rFonts w:hint="cs"/>
          <w:rtl/>
        </w:rPr>
        <w:t>:</w:t>
      </w:r>
    </w:p>
    <w:p w:rsidR="00C044AE" w:rsidRPr="00B00F53" w:rsidRDefault="00C044AE" w:rsidP="00C044AE">
      <w:pPr>
        <w:pStyle w:val="Ruller41"/>
        <w:rPr>
          <w:rFonts w:ascii="Garamond" w:hAnsi="Garamond"/>
          <w:rtl/>
        </w:rPr>
      </w:pPr>
    </w:p>
    <w:p w:rsidR="00C044AE" w:rsidRPr="00B00F53" w:rsidRDefault="00C044AE" w:rsidP="00C044AE">
      <w:pPr>
        <w:pStyle w:val="Ruller41"/>
        <w:rPr>
          <w:rtl/>
        </w:rPr>
      </w:pPr>
      <w:r>
        <w:rPr>
          <w:rFonts w:cs="Miriam"/>
          <w:b/>
          <w:spacing w:val="0"/>
          <w:szCs w:val="24"/>
          <w:rtl/>
        </w:rPr>
        <w:tab/>
      </w:r>
      <w:r w:rsidRPr="00B00F53">
        <w:rPr>
          <w:rFonts w:cs="Miriam" w:hint="cs"/>
          <w:b/>
          <w:spacing w:val="0"/>
          <w:szCs w:val="24"/>
          <w:rtl/>
        </w:rPr>
        <w:t>ראשית</w:t>
      </w:r>
      <w:r w:rsidRPr="00B00F53">
        <w:rPr>
          <w:rFonts w:hint="cs"/>
          <w:rtl/>
        </w:rPr>
        <w:t>, כפי שהובהר לעיל, התיקון מתייחס ל</w:t>
      </w:r>
      <w:r>
        <w:rPr>
          <w:rFonts w:hint="cs"/>
          <w:rtl/>
        </w:rPr>
        <w:t xml:space="preserve">כלל מובניה של </w:t>
      </w:r>
      <w:r w:rsidRPr="00B00F53">
        <w:rPr>
          <w:rFonts w:hint="cs"/>
          <w:rtl/>
        </w:rPr>
        <w:t>עילת הסבירות, ומשכך הוא מונע התערבות גם בהחלטות שלטוניות מופרכות ובלתי סבירות בעליל</w:t>
      </w:r>
      <w:r>
        <w:rPr>
          <w:rFonts w:hint="cs"/>
          <w:rtl/>
        </w:rPr>
        <w:t>, ככל ש</w:t>
      </w:r>
      <w:r w:rsidRPr="00B00F53">
        <w:rPr>
          <w:rFonts w:hint="cs"/>
          <w:rtl/>
        </w:rPr>
        <w:t>לא נפל בהן פגם מ</w:t>
      </w:r>
      <w:r>
        <w:rPr>
          <w:rFonts w:hint="cs"/>
          <w:rtl/>
        </w:rPr>
        <w:t>י</w:t>
      </w:r>
      <w:r w:rsidRPr="00B00F53">
        <w:rPr>
          <w:rFonts w:hint="cs"/>
          <w:rtl/>
        </w:rPr>
        <w:t>נהלי אחר.</w:t>
      </w:r>
    </w:p>
    <w:p w:rsidR="00C044AE" w:rsidRPr="00B00F53" w:rsidRDefault="00C044AE" w:rsidP="00C044AE">
      <w:pPr>
        <w:pStyle w:val="Ruller41"/>
        <w:rPr>
          <w:rFonts w:ascii="Garamond" w:hAnsi="Garamond"/>
          <w:rtl/>
        </w:rPr>
      </w:pPr>
    </w:p>
    <w:p w:rsidR="00C044AE" w:rsidRPr="00B00F53" w:rsidRDefault="00C044AE" w:rsidP="00C044AE">
      <w:pPr>
        <w:pStyle w:val="Ruller41"/>
        <w:rPr>
          <w:rtl/>
        </w:rPr>
      </w:pPr>
      <w:r>
        <w:rPr>
          <w:rFonts w:cs="Miriam"/>
          <w:b/>
          <w:spacing w:val="0"/>
          <w:szCs w:val="24"/>
          <w:rtl/>
        </w:rPr>
        <w:lastRenderedPageBreak/>
        <w:tab/>
      </w:r>
      <w:r w:rsidRPr="00B00F53">
        <w:rPr>
          <w:rFonts w:cs="Miriam" w:hint="cs"/>
          <w:b/>
          <w:spacing w:val="0"/>
          <w:szCs w:val="24"/>
          <w:rtl/>
        </w:rPr>
        <w:t>שנית</w:t>
      </w:r>
      <w:r w:rsidRPr="00B00F53">
        <w:rPr>
          <w:rFonts w:hint="cs"/>
          <w:rtl/>
        </w:rPr>
        <w:t>, התיקון חל על כל בית משפט ולמעשה על כל "מ</w:t>
      </w:r>
      <w:r>
        <w:rPr>
          <w:rFonts w:hint="cs"/>
          <w:rtl/>
        </w:rPr>
        <w:t xml:space="preserve">י שבידו סמכות שפיטה על פי דין", לרבות בית המשפט הגבוה לצדק אשר בידו ניתנה על פי סעיף 15(ג) לחוק-יסוד: השפיטה, סמכות כללית ליתן "סעד למען הצדק". העובדה שהתיקון שולל </w:t>
      </w:r>
      <w:r w:rsidRPr="00502A42">
        <w:rPr>
          <w:rFonts w:cs="Miriam" w:hint="cs"/>
          <w:b/>
          <w:spacing w:val="0"/>
          <w:szCs w:val="24"/>
          <w:rtl/>
        </w:rPr>
        <w:t>מפורשות</w:t>
      </w:r>
      <w:r w:rsidRPr="00502A42">
        <w:rPr>
          <w:rFonts w:hint="cs"/>
          <w:rtl/>
        </w:rPr>
        <w:t xml:space="preserve"> </w:t>
      </w:r>
      <w:r>
        <w:rPr>
          <w:rFonts w:hint="cs"/>
          <w:rtl/>
        </w:rPr>
        <w:t xml:space="preserve">גם </w:t>
      </w:r>
      <w:r w:rsidRPr="00502A42">
        <w:rPr>
          <w:rFonts w:hint="cs"/>
          <w:rtl/>
        </w:rPr>
        <w:t xml:space="preserve">את סמכותו של </w:t>
      </w:r>
      <w:r>
        <w:rPr>
          <w:rFonts w:hint="cs"/>
          <w:rtl/>
        </w:rPr>
        <w:t>בג"ץ</w:t>
      </w:r>
      <w:r w:rsidRPr="00502A42">
        <w:rPr>
          <w:rFonts w:hint="cs"/>
          <w:rtl/>
        </w:rPr>
        <w:t xml:space="preserve"> </w:t>
      </w:r>
      <w:r>
        <w:rPr>
          <w:rFonts w:hint="cs"/>
          <w:rtl/>
        </w:rPr>
        <w:t xml:space="preserve">בהקשר זה מעידה על מידת קיצוניותו לעומת </w:t>
      </w:r>
      <w:r w:rsidRPr="00502A42">
        <w:rPr>
          <w:rFonts w:hint="cs"/>
          <w:rtl/>
        </w:rPr>
        <w:t>הוראות</w:t>
      </w:r>
      <w:r w:rsidRPr="00B00F53">
        <w:rPr>
          <w:rFonts w:hint="cs"/>
          <w:rtl/>
        </w:rPr>
        <w:t xml:space="preserve"> אחרות</w:t>
      </w:r>
      <w:r>
        <w:rPr>
          <w:rFonts w:hint="cs"/>
          <w:rtl/>
        </w:rPr>
        <w:t>,</w:t>
      </w:r>
      <w:r w:rsidRPr="00B00F53">
        <w:rPr>
          <w:rFonts w:hint="cs"/>
          <w:rtl/>
        </w:rPr>
        <w:t xml:space="preserve"> שהגבילו פנייה לבית המשפט </w:t>
      </w:r>
      <w:r>
        <w:rPr>
          <w:rFonts w:hint="cs"/>
          <w:rtl/>
        </w:rPr>
        <w:t xml:space="preserve">אך פורשו ככאלה שמותירות אפשרות </w:t>
      </w:r>
      <w:r w:rsidRPr="00B00F53">
        <w:rPr>
          <w:rFonts w:hint="cs"/>
          <w:rtl/>
        </w:rPr>
        <w:t xml:space="preserve">עקרונית להגיש עתירה </w:t>
      </w:r>
      <w:r>
        <w:rPr>
          <w:rFonts w:hint="cs"/>
          <w:rtl/>
        </w:rPr>
        <w:t>לבג"ץ</w:t>
      </w:r>
      <w:r w:rsidRPr="00B00F53">
        <w:rPr>
          <w:rFonts w:hint="cs"/>
          <w:rtl/>
        </w:rPr>
        <w:t xml:space="preserve"> (ראו, מיני רבים: בג"ץ 76/63 </w:t>
      </w:r>
      <w:r w:rsidRPr="00B00F53">
        <w:rPr>
          <w:rFonts w:cs="Miriam" w:hint="cs"/>
          <w:b/>
          <w:spacing w:val="0"/>
          <w:szCs w:val="24"/>
          <w:rtl/>
        </w:rPr>
        <w:t>טרודלר נ' פקידי הבחירות לוועדות החקלאיות</w:t>
      </w:r>
      <w:r w:rsidRPr="00B00F53">
        <w:rPr>
          <w:rFonts w:hint="cs"/>
          <w:rtl/>
        </w:rPr>
        <w:t xml:space="preserve">, פ"ד יז 2503, </w:t>
      </w:r>
      <w:r>
        <w:rPr>
          <w:rFonts w:hint="cs"/>
          <w:rtl/>
        </w:rPr>
        <w:t>2512-2511</w:t>
      </w:r>
      <w:r w:rsidRPr="00B00F53">
        <w:rPr>
          <w:rFonts w:hint="cs"/>
          <w:rtl/>
        </w:rPr>
        <w:t xml:space="preserve"> (1963); </w:t>
      </w:r>
      <w:r w:rsidRPr="00B00F53">
        <w:rPr>
          <w:rtl/>
        </w:rPr>
        <w:t xml:space="preserve">בג"ץ 181/65 </w:t>
      </w:r>
      <w:r w:rsidRPr="00B00F53">
        <w:rPr>
          <w:rFonts w:cs="Miriam"/>
          <w:b/>
          <w:spacing w:val="0"/>
          <w:szCs w:val="24"/>
          <w:rtl/>
        </w:rPr>
        <w:t>סוכר נ' בית-הדין לערעורים לביטוח לאומי</w:t>
      </w:r>
      <w:r w:rsidRPr="00B00F53">
        <w:rPr>
          <w:rtl/>
        </w:rPr>
        <w:t xml:space="preserve">, פ"ד </w:t>
      </w:r>
      <w:r w:rsidRPr="00B00F53">
        <w:rPr>
          <w:rFonts w:hint="cs"/>
          <w:rtl/>
        </w:rPr>
        <w:t>יט(2)</w:t>
      </w:r>
      <w:r w:rsidRPr="00B00F53">
        <w:rPr>
          <w:rtl/>
        </w:rPr>
        <w:t xml:space="preserve"> </w:t>
      </w:r>
      <w:r w:rsidRPr="00B00F53">
        <w:rPr>
          <w:rFonts w:hint="cs"/>
          <w:rtl/>
        </w:rPr>
        <w:t>563, 566</w:t>
      </w:r>
      <w:r w:rsidRPr="00B00F53">
        <w:rPr>
          <w:rtl/>
        </w:rPr>
        <w:t xml:space="preserve"> </w:t>
      </w:r>
      <w:r w:rsidRPr="00B00F53">
        <w:rPr>
          <w:rFonts w:hint="cs"/>
          <w:rtl/>
        </w:rPr>
        <w:t xml:space="preserve">(1965); עניין </w:t>
      </w:r>
      <w:r w:rsidRPr="00B00F53">
        <w:rPr>
          <w:rFonts w:cs="Miriam" w:hint="cs"/>
          <w:b/>
          <w:spacing w:val="0"/>
          <w:szCs w:val="24"/>
          <w:rtl/>
        </w:rPr>
        <w:t>חרות</w:t>
      </w:r>
      <w:r w:rsidRPr="00B00F53">
        <w:rPr>
          <w:rFonts w:hint="cs"/>
          <w:rtl/>
        </w:rPr>
        <w:t xml:space="preserve">, בעמ' 756-755; </w:t>
      </w:r>
      <w:r w:rsidRPr="00B00F53">
        <w:rPr>
          <w:rtl/>
        </w:rPr>
        <w:t xml:space="preserve">בג"ץ 68/07 </w:t>
      </w:r>
      <w:r w:rsidRPr="00B00F53">
        <w:rPr>
          <w:rFonts w:cs="Miriam"/>
          <w:b/>
          <w:spacing w:val="0"/>
          <w:szCs w:val="24"/>
          <w:rtl/>
        </w:rPr>
        <w:t>רובינסון נ' מדינת ישראל – האוצר – הלשכה לשיקום נכים</w:t>
      </w:r>
      <w:r w:rsidRPr="00B00F53">
        <w:rPr>
          <w:rFonts w:hint="cs"/>
          <w:rtl/>
        </w:rPr>
        <w:t>, פסקה 3 (9.8.2007)).</w:t>
      </w:r>
    </w:p>
    <w:p w:rsidR="00C044AE" w:rsidRPr="00B00F53" w:rsidRDefault="00C044AE" w:rsidP="00C044AE">
      <w:pPr>
        <w:pStyle w:val="Ruller41"/>
        <w:rPr>
          <w:rFonts w:ascii="Garamond" w:hAnsi="Garamond"/>
          <w:rtl/>
        </w:rPr>
      </w:pPr>
    </w:p>
    <w:p w:rsidR="00C044AE" w:rsidRPr="00B00F53" w:rsidRDefault="00C044AE" w:rsidP="00C044AE">
      <w:pPr>
        <w:pStyle w:val="Ruller41"/>
        <w:rPr>
          <w:rtl/>
        </w:rPr>
      </w:pPr>
      <w:r>
        <w:rPr>
          <w:rFonts w:cs="Miriam"/>
          <w:b/>
          <w:spacing w:val="0"/>
          <w:szCs w:val="24"/>
          <w:rtl/>
        </w:rPr>
        <w:tab/>
      </w:r>
      <w:r w:rsidRPr="00B00F53">
        <w:rPr>
          <w:rFonts w:cs="Miriam" w:hint="cs"/>
          <w:b/>
          <w:spacing w:val="0"/>
          <w:szCs w:val="24"/>
          <w:rtl/>
        </w:rPr>
        <w:t>שלישית</w:t>
      </w:r>
      <w:r w:rsidRPr="00B00F53">
        <w:rPr>
          <w:rFonts w:hint="cs"/>
          <w:rtl/>
        </w:rPr>
        <w:t xml:space="preserve">, התיקון לא רק מונע מתן סעד מכוח עילת הסבירות ביחס להחלטות הדרג הנבחר ("לא ייתן צו"), אלא מונע את עצם הדיון בשאלת </w:t>
      </w:r>
      <w:r>
        <w:rPr>
          <w:rFonts w:hint="cs"/>
          <w:rtl/>
        </w:rPr>
        <w:t>ה</w:t>
      </w:r>
      <w:r w:rsidRPr="00B00F53">
        <w:rPr>
          <w:rFonts w:hint="cs"/>
          <w:rtl/>
        </w:rPr>
        <w:t xml:space="preserve">סבירות </w:t>
      </w:r>
      <w:r>
        <w:rPr>
          <w:rFonts w:hint="cs"/>
          <w:rtl/>
        </w:rPr>
        <w:t xml:space="preserve">של </w:t>
      </w:r>
      <w:r w:rsidRPr="00B00F53">
        <w:rPr>
          <w:rFonts w:hint="cs"/>
          <w:rtl/>
        </w:rPr>
        <w:t>החלטות אלה ("לא ידון"). כלומר, בעקבות התיקון, אדם שנפגע ישירות מהחלטה של שר בשל אי-סבירותה, לא יכול כלל</w:t>
      </w:r>
      <w:r>
        <w:rPr>
          <w:rFonts w:hint="cs"/>
          <w:rtl/>
        </w:rPr>
        <w:t xml:space="preserve"> להביא את עניינו </w:t>
      </w:r>
      <w:r w:rsidRPr="00B00F53">
        <w:rPr>
          <w:rFonts w:hint="cs"/>
          <w:rtl/>
        </w:rPr>
        <w:t xml:space="preserve">בפני בית המשפט. </w:t>
      </w:r>
    </w:p>
    <w:p w:rsidR="00C044AE" w:rsidRPr="00B00F53" w:rsidRDefault="00C044AE" w:rsidP="00C044AE">
      <w:pPr>
        <w:pStyle w:val="Ruller41"/>
        <w:rPr>
          <w:rFonts w:ascii="Garamond" w:hAnsi="Garamond"/>
          <w:rtl/>
        </w:rPr>
      </w:pPr>
    </w:p>
    <w:p w:rsidR="00C044AE" w:rsidRPr="00B00F53" w:rsidRDefault="00C044AE" w:rsidP="00C044AE">
      <w:pPr>
        <w:pStyle w:val="Ruller41"/>
        <w:rPr>
          <w:color w:val="000000"/>
          <w:rtl/>
        </w:rPr>
      </w:pPr>
      <w:r>
        <w:rPr>
          <w:rFonts w:cs="Miriam"/>
          <w:b/>
          <w:spacing w:val="0"/>
          <w:szCs w:val="24"/>
          <w:rtl/>
        </w:rPr>
        <w:tab/>
      </w:r>
      <w:r w:rsidRPr="00B00F53">
        <w:rPr>
          <w:rFonts w:cs="Miriam" w:hint="cs"/>
          <w:b/>
          <w:spacing w:val="0"/>
          <w:szCs w:val="24"/>
          <w:rtl/>
        </w:rPr>
        <w:t>רביעית</w:t>
      </w:r>
      <w:r w:rsidRPr="00B00F53">
        <w:rPr>
          <w:rFonts w:hint="cs"/>
          <w:rtl/>
        </w:rPr>
        <w:t>, התיקון חל על כל החלטה, ובלבד שהתקבלה על ידי הממשלה, ראש הממשלה או שר משרי הממשלה. על מנת להסיר כל ספק, הדבר אף הובהר בסיפ</w:t>
      </w:r>
      <w:r>
        <w:rPr>
          <w:rFonts w:hint="cs"/>
          <w:rtl/>
        </w:rPr>
        <w:t>ה</w:t>
      </w:r>
      <w:r w:rsidRPr="00B00F53">
        <w:rPr>
          <w:rFonts w:hint="cs"/>
          <w:rtl/>
        </w:rPr>
        <w:t xml:space="preserve"> של </w:t>
      </w:r>
      <w:r>
        <w:rPr>
          <w:rFonts w:hint="cs"/>
          <w:rtl/>
        </w:rPr>
        <w:t>ה</w:t>
      </w:r>
      <w:r w:rsidRPr="00B00F53">
        <w:rPr>
          <w:rFonts w:hint="cs"/>
          <w:rtl/>
        </w:rPr>
        <w:t>סעיף ("'</w:t>
      </w:r>
      <w:r w:rsidRPr="00B00F53">
        <w:rPr>
          <w:rFonts w:hint="eastAsia"/>
          <w:rtl/>
        </w:rPr>
        <w:t>החלטה</w:t>
      </w:r>
      <w:r w:rsidRPr="00B00F53">
        <w:rPr>
          <w:rFonts w:hint="cs"/>
          <w:rtl/>
        </w:rPr>
        <w:t>'</w:t>
      </w:r>
      <w:r w:rsidRPr="00B00F53">
        <w:rPr>
          <w:rtl/>
        </w:rPr>
        <w:t xml:space="preserve"> – </w:t>
      </w:r>
      <w:r w:rsidRPr="00B00F53">
        <w:rPr>
          <w:rFonts w:hint="eastAsia"/>
          <w:rtl/>
        </w:rPr>
        <w:t>כל</w:t>
      </w:r>
      <w:r w:rsidRPr="00B00F53">
        <w:rPr>
          <w:rtl/>
        </w:rPr>
        <w:t xml:space="preserve"> </w:t>
      </w:r>
      <w:r w:rsidRPr="00B00F53">
        <w:rPr>
          <w:rFonts w:hint="eastAsia"/>
          <w:rtl/>
        </w:rPr>
        <w:t>החלטה</w:t>
      </w:r>
      <w:r w:rsidRPr="00B00F53">
        <w:rPr>
          <w:rFonts w:hint="cs"/>
          <w:rtl/>
        </w:rPr>
        <w:t xml:space="preserve"> [...]").</w:t>
      </w:r>
      <w:r>
        <w:rPr>
          <w:rFonts w:hint="cs"/>
          <w:rtl/>
        </w:rPr>
        <w:t xml:space="preserve"> </w:t>
      </w:r>
      <w:r w:rsidRPr="00B00F53">
        <w:rPr>
          <w:rFonts w:hint="cs"/>
          <w:rtl/>
        </w:rPr>
        <w:t>בפסיקה ובספרות המשפטית צוין לא אחת כי בכל הנוגע לעילת הסבירות, הביקורת השיפוטית נגזרת מסוג ההחלטה שהתקבלה וממהות הסמכות שהופעלה (</w:t>
      </w:r>
      <w:r w:rsidRPr="00B00F53">
        <w:rPr>
          <w:rFonts w:hint="eastAsia"/>
          <w:rtl/>
        </w:rPr>
        <w:t>בג</w:t>
      </w:r>
      <w:r w:rsidRPr="00B00F53">
        <w:rPr>
          <w:rtl/>
        </w:rPr>
        <w:t>"</w:t>
      </w:r>
      <w:r w:rsidRPr="00B00F53">
        <w:rPr>
          <w:rFonts w:hint="eastAsia"/>
          <w:rtl/>
        </w:rPr>
        <w:t>ץ</w:t>
      </w:r>
      <w:r w:rsidRPr="00B00F53">
        <w:rPr>
          <w:rtl/>
        </w:rPr>
        <w:t xml:space="preserve"> 2533/97‏ </w:t>
      </w:r>
      <w:r w:rsidRPr="00B00F53">
        <w:rPr>
          <w:rFonts w:cs="Miriam" w:hint="eastAsia"/>
          <w:b/>
          <w:spacing w:val="0"/>
          <w:szCs w:val="24"/>
          <w:rtl/>
        </w:rPr>
        <w:t>התנועה</w:t>
      </w:r>
      <w:r w:rsidRPr="00B00F53">
        <w:rPr>
          <w:rFonts w:cs="Miriam"/>
          <w:b/>
          <w:spacing w:val="0"/>
          <w:szCs w:val="24"/>
          <w:rtl/>
        </w:rPr>
        <w:t xml:space="preserve"> </w:t>
      </w:r>
      <w:r w:rsidRPr="00B00F53">
        <w:rPr>
          <w:rFonts w:cs="Miriam" w:hint="eastAsia"/>
          <w:b/>
          <w:spacing w:val="0"/>
          <w:szCs w:val="24"/>
          <w:rtl/>
        </w:rPr>
        <w:t>למען</w:t>
      </w:r>
      <w:r w:rsidRPr="00B00F53">
        <w:rPr>
          <w:rFonts w:cs="Miriam"/>
          <w:b/>
          <w:spacing w:val="0"/>
          <w:szCs w:val="24"/>
          <w:rtl/>
        </w:rPr>
        <w:t xml:space="preserve"> </w:t>
      </w:r>
      <w:r w:rsidRPr="00B00F53">
        <w:rPr>
          <w:rFonts w:cs="Miriam" w:hint="eastAsia"/>
          <w:b/>
          <w:spacing w:val="0"/>
          <w:szCs w:val="24"/>
          <w:rtl/>
        </w:rPr>
        <w:t>איכות</w:t>
      </w:r>
      <w:r w:rsidRPr="00B00F53">
        <w:rPr>
          <w:rFonts w:cs="Miriam"/>
          <w:b/>
          <w:spacing w:val="0"/>
          <w:szCs w:val="24"/>
          <w:rtl/>
        </w:rPr>
        <w:t xml:space="preserve"> </w:t>
      </w:r>
      <w:r w:rsidRPr="00B00F53">
        <w:rPr>
          <w:rFonts w:cs="Miriam" w:hint="eastAsia"/>
          <w:b/>
          <w:spacing w:val="0"/>
          <w:szCs w:val="24"/>
          <w:rtl/>
        </w:rPr>
        <w:t>השלטון</w:t>
      </w:r>
      <w:r w:rsidRPr="00B00F53">
        <w:rPr>
          <w:rFonts w:cs="Miriam"/>
          <w:b/>
          <w:spacing w:val="0"/>
          <w:szCs w:val="24"/>
          <w:rtl/>
        </w:rPr>
        <w:t xml:space="preserve"> </w:t>
      </w:r>
      <w:r w:rsidRPr="00B00F53">
        <w:rPr>
          <w:rFonts w:cs="Miriam" w:hint="eastAsia"/>
          <w:b/>
          <w:spacing w:val="0"/>
          <w:szCs w:val="24"/>
          <w:rtl/>
        </w:rPr>
        <w:t>בישראל</w:t>
      </w:r>
      <w:r w:rsidRPr="00B00F53">
        <w:rPr>
          <w:rFonts w:cs="Miriam"/>
          <w:b/>
          <w:spacing w:val="0"/>
          <w:szCs w:val="24"/>
          <w:rtl/>
        </w:rPr>
        <w:t xml:space="preserve"> </w:t>
      </w:r>
      <w:r w:rsidRPr="00B00F53">
        <w:rPr>
          <w:rFonts w:cs="Miriam" w:hint="eastAsia"/>
          <w:b/>
          <w:spacing w:val="0"/>
          <w:szCs w:val="24"/>
          <w:rtl/>
        </w:rPr>
        <w:t>נ</w:t>
      </w:r>
      <w:r w:rsidRPr="00B00F53">
        <w:rPr>
          <w:rFonts w:cs="Miriam"/>
          <w:b/>
          <w:spacing w:val="0"/>
          <w:szCs w:val="24"/>
          <w:rtl/>
        </w:rPr>
        <w:t xml:space="preserve">' </w:t>
      </w:r>
      <w:r w:rsidRPr="00B00F53">
        <w:rPr>
          <w:rFonts w:cs="Miriam" w:hint="eastAsia"/>
          <w:b/>
          <w:spacing w:val="0"/>
          <w:szCs w:val="24"/>
          <w:rtl/>
        </w:rPr>
        <w:t>ממשלת</w:t>
      </w:r>
      <w:r w:rsidRPr="00B00F53">
        <w:rPr>
          <w:rFonts w:cs="Miriam"/>
          <w:b/>
          <w:spacing w:val="0"/>
          <w:szCs w:val="24"/>
          <w:rtl/>
        </w:rPr>
        <w:t xml:space="preserve"> </w:t>
      </w:r>
      <w:r w:rsidRPr="00B00F53">
        <w:rPr>
          <w:rFonts w:cs="Miriam" w:hint="eastAsia"/>
          <w:b/>
          <w:spacing w:val="0"/>
          <w:szCs w:val="24"/>
          <w:rtl/>
        </w:rPr>
        <w:t>ישראל</w:t>
      </w:r>
      <w:r w:rsidRPr="00B00F53">
        <w:rPr>
          <w:rtl/>
        </w:rPr>
        <w:t xml:space="preserve">‏, </w:t>
      </w:r>
      <w:r w:rsidRPr="00B00F53">
        <w:rPr>
          <w:rFonts w:hint="eastAsia"/>
          <w:rtl/>
        </w:rPr>
        <w:t>פ</w:t>
      </w:r>
      <w:r w:rsidRPr="00B00F53">
        <w:rPr>
          <w:rFonts w:hint="cs"/>
          <w:rtl/>
        </w:rPr>
        <w:t>"</w:t>
      </w:r>
      <w:r w:rsidRPr="00B00F53">
        <w:rPr>
          <w:rFonts w:hint="eastAsia"/>
          <w:rtl/>
        </w:rPr>
        <w:t>ד</w:t>
      </w:r>
      <w:r w:rsidRPr="00B00F53">
        <w:rPr>
          <w:rtl/>
        </w:rPr>
        <w:t xml:space="preserve"> </w:t>
      </w:r>
      <w:r w:rsidRPr="00B00F53">
        <w:rPr>
          <w:rFonts w:hint="eastAsia"/>
          <w:rtl/>
        </w:rPr>
        <w:t>נא</w:t>
      </w:r>
      <w:r w:rsidRPr="00B00F53">
        <w:rPr>
          <w:rtl/>
        </w:rPr>
        <w:t>(3) 46</w:t>
      </w:r>
      <w:r w:rsidRPr="00B00F53">
        <w:rPr>
          <w:rFonts w:hint="cs"/>
          <w:rtl/>
        </w:rPr>
        <w:t xml:space="preserve">, 58-57 (1997); </w:t>
      </w:r>
      <w:r w:rsidRPr="00B00F53">
        <w:rPr>
          <w:rFonts w:hint="eastAsia"/>
          <w:rtl/>
        </w:rPr>
        <w:t>בג</w:t>
      </w:r>
      <w:r w:rsidRPr="00B00F53">
        <w:rPr>
          <w:rtl/>
        </w:rPr>
        <w:t>"</w:t>
      </w:r>
      <w:r w:rsidRPr="00B00F53">
        <w:rPr>
          <w:rFonts w:hint="eastAsia"/>
          <w:rtl/>
        </w:rPr>
        <w:t>ץ</w:t>
      </w:r>
      <w:r w:rsidRPr="00B00F53">
        <w:rPr>
          <w:rtl/>
        </w:rPr>
        <w:t xml:space="preserve"> 1163/98 </w:t>
      </w:r>
      <w:r w:rsidRPr="00B00F53">
        <w:rPr>
          <w:rFonts w:cs="Miriam" w:hint="eastAsia"/>
          <w:b/>
          <w:spacing w:val="0"/>
          <w:szCs w:val="24"/>
          <w:rtl/>
        </w:rPr>
        <w:t>שדות</w:t>
      </w:r>
      <w:r w:rsidRPr="00B00F53">
        <w:rPr>
          <w:rFonts w:cs="Miriam"/>
          <w:b/>
          <w:spacing w:val="0"/>
          <w:szCs w:val="24"/>
          <w:rtl/>
        </w:rPr>
        <w:t xml:space="preserve"> </w:t>
      </w:r>
      <w:r w:rsidRPr="00B00F53">
        <w:rPr>
          <w:rFonts w:cs="Miriam" w:hint="eastAsia"/>
          <w:b/>
          <w:spacing w:val="0"/>
          <w:szCs w:val="24"/>
          <w:rtl/>
        </w:rPr>
        <w:t>נ</w:t>
      </w:r>
      <w:r w:rsidRPr="00B00F53">
        <w:rPr>
          <w:rFonts w:cs="Miriam"/>
          <w:b/>
          <w:spacing w:val="0"/>
          <w:szCs w:val="24"/>
          <w:rtl/>
        </w:rPr>
        <w:t xml:space="preserve">' </w:t>
      </w:r>
      <w:r w:rsidRPr="00B00F53">
        <w:rPr>
          <w:rFonts w:cs="Miriam" w:hint="eastAsia"/>
          <w:b/>
          <w:spacing w:val="0"/>
          <w:szCs w:val="24"/>
          <w:rtl/>
        </w:rPr>
        <w:t>שירות</w:t>
      </w:r>
      <w:r w:rsidRPr="00B00F53">
        <w:rPr>
          <w:rFonts w:cs="Miriam"/>
          <w:b/>
          <w:spacing w:val="0"/>
          <w:szCs w:val="24"/>
          <w:rtl/>
        </w:rPr>
        <w:t xml:space="preserve"> </w:t>
      </w:r>
      <w:r w:rsidRPr="00B00F53">
        <w:rPr>
          <w:rFonts w:cs="Miriam" w:hint="eastAsia"/>
          <w:b/>
          <w:spacing w:val="0"/>
          <w:szCs w:val="24"/>
          <w:rtl/>
        </w:rPr>
        <w:t>בתי</w:t>
      </w:r>
      <w:r w:rsidRPr="00B00F53">
        <w:rPr>
          <w:rFonts w:cs="Miriam"/>
          <w:b/>
          <w:spacing w:val="0"/>
          <w:szCs w:val="24"/>
          <w:rtl/>
        </w:rPr>
        <w:t xml:space="preserve"> </w:t>
      </w:r>
      <w:r w:rsidRPr="00B00F53">
        <w:rPr>
          <w:rFonts w:cs="Miriam" w:hint="eastAsia"/>
          <w:b/>
          <w:spacing w:val="0"/>
          <w:szCs w:val="24"/>
          <w:rtl/>
        </w:rPr>
        <w:t>הסוהר</w:t>
      </w:r>
      <w:r w:rsidRPr="00B00F53">
        <w:rPr>
          <w:rtl/>
        </w:rPr>
        <w:t xml:space="preserve">, </w:t>
      </w:r>
      <w:r w:rsidRPr="00B00F53">
        <w:rPr>
          <w:rFonts w:hint="eastAsia"/>
          <w:rtl/>
        </w:rPr>
        <w:t>פ</w:t>
      </w:r>
      <w:r>
        <w:rPr>
          <w:rFonts w:hint="cs"/>
          <w:rtl/>
        </w:rPr>
        <w:t>"</w:t>
      </w:r>
      <w:r w:rsidRPr="00B00F53">
        <w:rPr>
          <w:rFonts w:hint="eastAsia"/>
          <w:rtl/>
        </w:rPr>
        <w:t>ד</w:t>
      </w:r>
      <w:r w:rsidRPr="00B00F53">
        <w:rPr>
          <w:rtl/>
        </w:rPr>
        <w:t xml:space="preserve"> </w:t>
      </w:r>
      <w:r w:rsidRPr="00B00F53">
        <w:rPr>
          <w:rFonts w:hint="eastAsia"/>
          <w:rtl/>
        </w:rPr>
        <w:t>נה</w:t>
      </w:r>
      <w:r w:rsidRPr="00B00F53">
        <w:rPr>
          <w:rtl/>
        </w:rPr>
        <w:t>(4) 817</w:t>
      </w:r>
      <w:r w:rsidRPr="00B00F53">
        <w:rPr>
          <w:rFonts w:hint="cs"/>
          <w:rtl/>
        </w:rPr>
        <w:t xml:space="preserve">, 846 (2001); </w:t>
      </w:r>
      <w:r w:rsidRPr="00B00F53">
        <w:rPr>
          <w:rFonts w:cs="Miriam" w:hint="cs"/>
          <w:b/>
          <w:spacing w:val="0"/>
          <w:szCs w:val="24"/>
          <w:rtl/>
        </w:rPr>
        <w:t>ברק-ארז "משפט מינהלי"</w:t>
      </w:r>
      <w:r w:rsidRPr="00B00F53">
        <w:rPr>
          <w:rFonts w:hint="cs"/>
          <w:rtl/>
        </w:rPr>
        <w:t xml:space="preserve">, בעמ' 762-757; </w:t>
      </w:r>
      <w:r w:rsidRPr="00B00F53">
        <w:rPr>
          <w:rFonts w:cs="Miriam" w:hint="cs"/>
          <w:b/>
          <w:spacing w:val="0"/>
          <w:szCs w:val="24"/>
          <w:rtl/>
        </w:rPr>
        <w:t>רובינשטיין ומדינה</w:t>
      </w:r>
      <w:r w:rsidRPr="00B00F53">
        <w:rPr>
          <w:rFonts w:hint="cs"/>
          <w:rtl/>
        </w:rPr>
        <w:t>, בעמ' 223).</w:t>
      </w:r>
      <w:r>
        <w:rPr>
          <w:rFonts w:hint="cs"/>
          <w:rtl/>
        </w:rPr>
        <w:t xml:space="preserve"> וב</w:t>
      </w:r>
      <w:r w:rsidRPr="00B00F53">
        <w:rPr>
          <w:color w:val="000000"/>
          <w:rtl/>
        </w:rPr>
        <w:t>יחס להחלטות הממשלה או מי מחבריה</w:t>
      </w:r>
      <w:r w:rsidRPr="00B00F53">
        <w:rPr>
          <w:rFonts w:hint="cs"/>
          <w:color w:val="000000"/>
          <w:rtl/>
        </w:rPr>
        <w:t>,</w:t>
      </w:r>
      <w:r>
        <w:rPr>
          <w:rFonts w:hint="cs"/>
          <w:color w:val="000000"/>
          <w:rtl/>
        </w:rPr>
        <w:t xml:space="preserve"> נפסק בהקשר זה</w:t>
      </w:r>
      <w:r w:rsidRPr="00B00F53">
        <w:rPr>
          <w:rFonts w:hint="cs"/>
          <w:color w:val="000000"/>
          <w:rtl/>
        </w:rPr>
        <w:t xml:space="preserve"> כי "</w:t>
      </w:r>
      <w:r w:rsidRPr="00B00F53">
        <w:rPr>
          <w:color w:val="000000"/>
          <w:rtl/>
        </w:rPr>
        <w:t>גבולות הגיזרה של </w:t>
      </w:r>
      <w:r w:rsidRPr="00B00F53">
        <w:rPr>
          <w:rFonts w:hint="cs"/>
          <w:color w:val="000000"/>
          <w:rtl/>
        </w:rPr>
        <w:t>'</w:t>
      </w:r>
      <w:r w:rsidRPr="00B00F53">
        <w:rPr>
          <w:color w:val="000000"/>
          <w:rtl/>
        </w:rPr>
        <w:t>מיתחם הסבירות</w:t>
      </w:r>
      <w:r w:rsidRPr="00B00F53">
        <w:rPr>
          <w:rFonts w:hint="cs"/>
          <w:color w:val="000000"/>
          <w:rtl/>
        </w:rPr>
        <w:t>'</w:t>
      </w:r>
      <w:r w:rsidRPr="00B00F53">
        <w:rPr>
          <w:color w:val="000000"/>
          <w:rtl/>
        </w:rPr>
        <w:t xml:space="preserve"> </w:t>
      </w:r>
      <w:r>
        <w:rPr>
          <w:rFonts w:hint="cs"/>
          <w:color w:val="000000"/>
          <w:rtl/>
        </w:rPr>
        <w:t xml:space="preserve">[...] </w:t>
      </w:r>
      <w:r w:rsidRPr="00B00F53">
        <w:rPr>
          <w:color w:val="000000"/>
          <w:rtl/>
        </w:rPr>
        <w:t>נמתחים ומתכווצים בהתאם למהות הסמכות</w:t>
      </w:r>
      <w:r w:rsidRPr="00B00F53">
        <w:rPr>
          <w:rFonts w:hint="cs"/>
          <w:color w:val="000000"/>
          <w:rtl/>
        </w:rPr>
        <w:t xml:space="preserve">" (עניין </w:t>
      </w:r>
      <w:r w:rsidRPr="00B00F53">
        <w:rPr>
          <w:rFonts w:cs="Miriam" w:hint="cs"/>
          <w:b/>
          <w:spacing w:val="0"/>
          <w:szCs w:val="24"/>
          <w:rtl/>
        </w:rPr>
        <w:t>הנגבי 2003</w:t>
      </w:r>
      <w:r w:rsidRPr="00B00F53">
        <w:rPr>
          <w:rFonts w:hint="cs"/>
          <w:color w:val="000000"/>
          <w:rtl/>
        </w:rPr>
        <w:t xml:space="preserve">, בעמ' 841). </w:t>
      </w:r>
      <w:r w:rsidRPr="00B00F53">
        <w:rPr>
          <w:rFonts w:hint="cs"/>
          <w:rtl/>
        </w:rPr>
        <w:t xml:space="preserve">למרות זאת, התיקון חל באופן גורף על </w:t>
      </w:r>
      <w:r>
        <w:rPr>
          <w:rFonts w:cs="Miriam" w:hint="cs"/>
          <w:b/>
          <w:spacing w:val="0"/>
          <w:szCs w:val="24"/>
          <w:rtl/>
        </w:rPr>
        <w:t>כל</w:t>
      </w:r>
      <w:r w:rsidRPr="00B00F53">
        <w:rPr>
          <w:rFonts w:cs="Miriam" w:hint="cs"/>
          <w:b/>
          <w:spacing w:val="0"/>
          <w:szCs w:val="24"/>
          <w:rtl/>
        </w:rPr>
        <w:t xml:space="preserve"> ההחלטות</w:t>
      </w:r>
      <w:r w:rsidRPr="00B00F53">
        <w:rPr>
          <w:rFonts w:hint="cs"/>
          <w:rtl/>
        </w:rPr>
        <w:t xml:space="preserve"> ללא יוצא מן הכלל. התיקון אינו מבחין בין החלטות </w:t>
      </w:r>
      <w:r>
        <w:rPr>
          <w:rFonts w:hint="cs"/>
          <w:rtl/>
        </w:rPr>
        <w:t xml:space="preserve">הממשלה הקובעות </w:t>
      </w:r>
      <w:r w:rsidRPr="00B00F53">
        <w:rPr>
          <w:rFonts w:hint="cs"/>
          <w:rtl/>
        </w:rPr>
        <w:t>מדיניות רחבה ובין החלטות "פרטניות" שמתקבלות מדי יום ומשליכות באופן ישיר על עניינ</w:t>
      </w:r>
      <w:r>
        <w:rPr>
          <w:rFonts w:hint="cs"/>
          <w:rtl/>
        </w:rPr>
        <w:t>ם</w:t>
      </w:r>
      <w:r w:rsidRPr="00B00F53">
        <w:rPr>
          <w:rFonts w:hint="cs"/>
          <w:rtl/>
        </w:rPr>
        <w:t xml:space="preserve"> האישי של אדם או גוף מסוים. כמו כן, התיקון אינו מבחין בין החלטות שהתקבלו על ידי ממשלה המכהנת מכוח אמון הכנסת</w:t>
      </w:r>
      <w:r>
        <w:rPr>
          <w:rFonts w:hint="cs"/>
          <w:rtl/>
        </w:rPr>
        <w:t>,</w:t>
      </w:r>
      <w:r w:rsidRPr="00B00F53">
        <w:rPr>
          <w:rFonts w:hint="cs"/>
          <w:rtl/>
        </w:rPr>
        <w:t xml:space="preserve"> </w:t>
      </w:r>
      <w:r>
        <w:rPr>
          <w:rFonts w:hint="cs"/>
          <w:rtl/>
        </w:rPr>
        <w:t>ל</w:t>
      </w:r>
      <w:r w:rsidRPr="00B00F53">
        <w:rPr>
          <w:rFonts w:hint="cs"/>
          <w:rtl/>
        </w:rPr>
        <w:t>החלטות שהתקבלו על ידי ממשלת מעבר</w:t>
      </w:r>
      <w:r>
        <w:rPr>
          <w:rFonts w:hint="cs"/>
          <w:rtl/>
        </w:rPr>
        <w:t>.</w:t>
      </w:r>
      <w:r w:rsidRPr="00B00F53">
        <w:rPr>
          <w:rFonts w:hint="cs"/>
          <w:rtl/>
        </w:rPr>
        <w:t xml:space="preserve"> </w:t>
      </w:r>
      <w:r>
        <w:rPr>
          <w:rFonts w:hint="cs"/>
          <w:rtl/>
        </w:rPr>
        <w:t>הוא</w:t>
      </w:r>
      <w:r w:rsidRPr="00B00F53">
        <w:rPr>
          <w:rFonts w:hint="cs"/>
          <w:rtl/>
        </w:rPr>
        <w:t xml:space="preserve"> </w:t>
      </w:r>
      <w:r>
        <w:rPr>
          <w:rFonts w:hint="cs"/>
          <w:rtl/>
        </w:rPr>
        <w:t xml:space="preserve">אף </w:t>
      </w:r>
      <w:r w:rsidRPr="00B00F53">
        <w:rPr>
          <w:rFonts w:hint="cs"/>
          <w:rtl/>
        </w:rPr>
        <w:t xml:space="preserve">אינו מבחין בין תחומים שבהם קיים מענה משפטי מספק באמצעות עילות ביקורת אחרות ובין תחומים שבהם עילת הסבירות מהווה בפועל העילה היחידה </w:t>
      </w:r>
      <w:r>
        <w:rPr>
          <w:rFonts w:hint="cs"/>
          <w:rtl/>
        </w:rPr>
        <w:t>שמכוחה ניתן לקבל סעד בבית המשפט, ועל כך עוד יפורט בהרחבה להלן</w:t>
      </w:r>
      <w:r w:rsidRPr="00B00F53">
        <w:rPr>
          <w:rFonts w:hint="cs"/>
          <w:rtl/>
        </w:rPr>
        <w:t xml:space="preserve">. </w:t>
      </w:r>
    </w:p>
    <w:p w:rsidR="00C044AE" w:rsidRPr="00B00F53" w:rsidRDefault="00C044AE" w:rsidP="00C044AE">
      <w:pPr>
        <w:pStyle w:val="Ruller41"/>
        <w:rPr>
          <w:rFonts w:ascii="Garamond" w:hAnsi="Garamond"/>
          <w:rtl/>
        </w:rPr>
      </w:pPr>
    </w:p>
    <w:p w:rsidR="00C044AE" w:rsidRPr="00022FAF" w:rsidRDefault="00C044AE" w:rsidP="00C044AE">
      <w:pPr>
        <w:pStyle w:val="Ruller4"/>
        <w:numPr>
          <w:ilvl w:val="0"/>
          <w:numId w:val="0"/>
        </w:numPr>
        <w:rPr>
          <w:rFonts w:ascii="FrankRuehl" w:hAnsi="FrankRuehl"/>
          <w:color w:val="000000"/>
          <w:sz w:val="22"/>
          <w:rtl/>
        </w:rPr>
      </w:pPr>
      <w:r>
        <w:rPr>
          <w:rFonts w:cs="Miriam"/>
          <w:b/>
          <w:spacing w:val="0"/>
          <w:szCs w:val="24"/>
          <w:rtl/>
        </w:rPr>
        <w:lastRenderedPageBreak/>
        <w:tab/>
      </w:r>
      <w:r w:rsidRPr="00B00F53">
        <w:rPr>
          <w:rFonts w:cs="Miriam" w:hint="cs"/>
          <w:b/>
          <w:spacing w:val="0"/>
          <w:szCs w:val="24"/>
          <w:rtl/>
        </w:rPr>
        <w:t>חמישית</w:t>
      </w:r>
      <w:r w:rsidRPr="00B00F53">
        <w:rPr>
          <w:rFonts w:hint="cs"/>
          <w:rtl/>
        </w:rPr>
        <w:t>, התיקון מונע התערבות גם ב"</w:t>
      </w:r>
      <w:r w:rsidRPr="00B00F53">
        <w:rPr>
          <w:rFonts w:hint="eastAsia"/>
          <w:rtl/>
        </w:rPr>
        <w:t>החלטה</w:t>
      </w:r>
      <w:r w:rsidRPr="00B00F53">
        <w:rPr>
          <w:rtl/>
        </w:rPr>
        <w:t xml:space="preserve"> </w:t>
      </w:r>
      <w:r w:rsidRPr="00B00F53">
        <w:rPr>
          <w:rFonts w:hint="eastAsia"/>
          <w:rtl/>
        </w:rPr>
        <w:t>להימנע</w:t>
      </w:r>
      <w:r w:rsidRPr="00B00F53">
        <w:rPr>
          <w:rtl/>
        </w:rPr>
        <w:t xml:space="preserve"> </w:t>
      </w:r>
      <w:r w:rsidRPr="00B00F53">
        <w:rPr>
          <w:rFonts w:hint="eastAsia"/>
          <w:rtl/>
        </w:rPr>
        <w:t>מהפעלת</w:t>
      </w:r>
      <w:r w:rsidRPr="00B00F53">
        <w:rPr>
          <w:rtl/>
        </w:rPr>
        <w:t xml:space="preserve"> </w:t>
      </w:r>
      <w:r w:rsidRPr="00B00F53">
        <w:rPr>
          <w:rFonts w:hint="eastAsia"/>
          <w:rtl/>
        </w:rPr>
        <w:t>כל</w:t>
      </w:r>
      <w:r w:rsidRPr="00B00F53">
        <w:rPr>
          <w:rtl/>
        </w:rPr>
        <w:t xml:space="preserve"> </w:t>
      </w:r>
      <w:r w:rsidRPr="00B00F53">
        <w:rPr>
          <w:rFonts w:hint="eastAsia"/>
          <w:rtl/>
        </w:rPr>
        <w:t>סמכות</w:t>
      </w:r>
      <w:r w:rsidRPr="00B00F53">
        <w:rPr>
          <w:rFonts w:hint="cs"/>
          <w:rtl/>
        </w:rPr>
        <w:t>".</w:t>
      </w:r>
      <w:r>
        <w:rPr>
          <w:rFonts w:ascii="FrankRuehl" w:hAnsi="FrankRuehl" w:hint="cs"/>
          <w:color w:val="000000"/>
          <w:sz w:val="22"/>
          <w:rtl/>
        </w:rPr>
        <w:t xml:space="preserve"> </w:t>
      </w:r>
      <w:r w:rsidRPr="00B00F53">
        <w:rPr>
          <w:rFonts w:hint="cs"/>
          <w:rtl/>
        </w:rPr>
        <w:t xml:space="preserve">הכנסת הדגישה </w:t>
      </w:r>
      <w:r>
        <w:rPr>
          <w:rFonts w:hint="cs"/>
          <w:rtl/>
        </w:rPr>
        <w:t>מצידה</w:t>
      </w:r>
      <w:r w:rsidRPr="00B00F53">
        <w:rPr>
          <w:rFonts w:hint="cs"/>
          <w:rtl/>
        </w:rPr>
        <w:t xml:space="preserve"> כי התיקון </w:t>
      </w:r>
      <w:r>
        <w:rPr>
          <w:rFonts w:hint="cs"/>
          <w:rtl/>
        </w:rPr>
        <w:t>אינו</w:t>
      </w:r>
      <w:r w:rsidRPr="00B00F53">
        <w:rPr>
          <w:rFonts w:hint="cs"/>
          <w:rtl/>
        </w:rPr>
        <w:t xml:space="preserve"> חל על מצבים שבהם רשות נמנעת מקבלת החלטה, אלא רק</w:t>
      </w:r>
      <w:r>
        <w:rPr>
          <w:rFonts w:hint="cs"/>
          <w:rtl/>
        </w:rPr>
        <w:t xml:space="preserve"> על</w:t>
      </w:r>
      <w:r w:rsidRPr="00B00F53">
        <w:rPr>
          <w:rFonts w:hint="cs"/>
          <w:rtl/>
        </w:rPr>
        <w:t xml:space="preserve"> מצבים שבהם התקבלה </w:t>
      </w:r>
      <w:r w:rsidRPr="00022FAF">
        <w:rPr>
          <w:rFonts w:cs="Miriam" w:hint="cs"/>
          <w:b/>
          <w:spacing w:val="0"/>
          <w:szCs w:val="24"/>
          <w:rtl/>
        </w:rPr>
        <w:t xml:space="preserve">החלטה פוזיטיבית </w:t>
      </w:r>
      <w:r w:rsidRPr="00B00F53">
        <w:rPr>
          <w:rFonts w:hint="cs"/>
          <w:rtl/>
        </w:rPr>
        <w:t>שלא להפעיל סמכות</w:t>
      </w:r>
      <w:r>
        <w:rPr>
          <w:rFonts w:hint="cs"/>
          <w:rtl/>
        </w:rPr>
        <w:t xml:space="preserve"> (</w:t>
      </w:r>
      <w:r w:rsidRPr="001B2B67">
        <w:rPr>
          <w:rFonts w:hint="cs"/>
          <w:rtl/>
        </w:rPr>
        <w:t>פסקה 22 להשלמת הטיעון מטעמה</w:t>
      </w:r>
      <w:r>
        <w:rPr>
          <w:rFonts w:hint="cs"/>
          <w:rtl/>
        </w:rPr>
        <w:t>)</w:t>
      </w:r>
      <w:r w:rsidRPr="00B00F53">
        <w:rPr>
          <w:rFonts w:hint="cs"/>
          <w:rtl/>
        </w:rPr>
        <w:t xml:space="preserve">. פרשנות זו מקובלת עליי, אך גם הבהרה זו מותירה פתח רחב להתפרקות מודעת של הממשלה וחבריה מהפעלת סמכויות מסוימות, ומונעת מבית המשפט להושיט סעד ביחס למחדלים שפוגעים באופן חמור בפרט או בציבור כולו. </w:t>
      </w:r>
    </w:p>
    <w:p w:rsidR="00C044AE" w:rsidRPr="00B00F53" w:rsidRDefault="00C044AE" w:rsidP="00C044AE">
      <w:pPr>
        <w:pStyle w:val="Ruller41"/>
        <w:rPr>
          <w:rFonts w:ascii="Garamond" w:hAnsi="Garamond"/>
          <w:rtl/>
        </w:rPr>
      </w:pPr>
    </w:p>
    <w:p w:rsidR="00C044AE" w:rsidRPr="00B00F53" w:rsidRDefault="00C044AE" w:rsidP="00C044AE">
      <w:pPr>
        <w:pStyle w:val="Ruller4"/>
        <w:rPr>
          <w:rtl/>
        </w:rPr>
      </w:pPr>
      <w:r w:rsidRPr="00B00F53">
        <w:rPr>
          <w:rFonts w:hint="cs"/>
          <w:rtl/>
        </w:rPr>
        <w:t xml:space="preserve">הכנסת, יו"ר הוועדה ומשיבי הממשלה </w:t>
      </w:r>
      <w:r>
        <w:rPr>
          <w:rFonts w:hint="cs"/>
          <w:rtl/>
        </w:rPr>
        <w:t>טענו</w:t>
      </w:r>
      <w:r w:rsidRPr="00B00F53">
        <w:rPr>
          <w:rFonts w:hint="cs"/>
          <w:rtl/>
        </w:rPr>
        <w:t xml:space="preserve"> כי התיקון נשען על ההבחנה העקרונית שהציג חברי השופט </w:t>
      </w:r>
      <w:r w:rsidRPr="00B00F53">
        <w:rPr>
          <w:rFonts w:cs="Miriam" w:hint="cs"/>
          <w:b/>
          <w:spacing w:val="0"/>
          <w:sz w:val="22"/>
          <w:szCs w:val="24"/>
          <w:rtl/>
        </w:rPr>
        <w:t>סולברג</w:t>
      </w:r>
      <w:r w:rsidRPr="00B00F53">
        <w:rPr>
          <w:rFonts w:hint="cs"/>
          <w:rtl/>
        </w:rPr>
        <w:t xml:space="preserve"> בכתיבתו האקדמית בין </w:t>
      </w:r>
      <w:r>
        <w:rPr>
          <w:rFonts w:hint="cs"/>
          <w:rtl/>
        </w:rPr>
        <w:t xml:space="preserve">החלטות של </w:t>
      </w:r>
      <w:r w:rsidRPr="00B00F53">
        <w:rPr>
          <w:rFonts w:hint="cs"/>
          <w:rtl/>
        </w:rPr>
        <w:t xml:space="preserve">הדרג הנבחר </w:t>
      </w:r>
      <w:r>
        <w:rPr>
          <w:rFonts w:hint="cs"/>
          <w:rtl/>
        </w:rPr>
        <w:t>והחלטות של ה</w:t>
      </w:r>
      <w:r w:rsidRPr="00B00F53">
        <w:rPr>
          <w:rFonts w:hint="cs"/>
          <w:rtl/>
        </w:rPr>
        <w:t xml:space="preserve">דרג המקצועי. </w:t>
      </w:r>
      <w:r>
        <w:rPr>
          <w:rFonts w:hint="cs"/>
          <w:rtl/>
        </w:rPr>
        <w:t xml:space="preserve">ככל שהבנתי מגעת, דומני כי </w:t>
      </w:r>
      <w:r w:rsidRPr="00B00F53">
        <w:rPr>
          <w:rFonts w:hint="cs"/>
          <w:rtl/>
        </w:rPr>
        <w:t xml:space="preserve">השופט </w:t>
      </w:r>
      <w:r w:rsidRPr="00B00F53">
        <w:rPr>
          <w:rFonts w:cs="Miriam" w:hint="cs"/>
          <w:b/>
          <w:spacing w:val="0"/>
          <w:sz w:val="22"/>
          <w:szCs w:val="24"/>
          <w:rtl/>
        </w:rPr>
        <w:t>סולברג</w:t>
      </w:r>
      <w:r>
        <w:rPr>
          <w:rFonts w:hint="cs"/>
          <w:rtl/>
        </w:rPr>
        <w:t xml:space="preserve"> </w:t>
      </w:r>
      <w:r>
        <w:rPr>
          <w:rtl/>
        </w:rPr>
        <w:t>–</w:t>
      </w:r>
      <w:r>
        <w:rPr>
          <w:rFonts w:hint="cs"/>
          <w:rtl/>
        </w:rPr>
        <w:t xml:space="preserve"> אף ש</w:t>
      </w:r>
      <w:r w:rsidRPr="00B00F53">
        <w:rPr>
          <w:rFonts w:hint="cs"/>
          <w:rtl/>
        </w:rPr>
        <w:t>ביקר במאמרו מגמות מסוימות בפסיקת בית המשפט</w:t>
      </w:r>
      <w:r>
        <w:rPr>
          <w:rFonts w:hint="cs"/>
          <w:rtl/>
        </w:rPr>
        <w:t xml:space="preserve"> </w:t>
      </w:r>
      <w:r>
        <w:rPr>
          <w:rtl/>
        </w:rPr>
        <w:t>–</w:t>
      </w:r>
      <w:r w:rsidRPr="00B00F53">
        <w:rPr>
          <w:rFonts w:hint="cs"/>
          <w:rtl/>
        </w:rPr>
        <w:t xml:space="preserve"> לא הציע להגביל</w:t>
      </w:r>
      <w:r>
        <w:rPr>
          <w:rFonts w:hint="cs"/>
          <w:rtl/>
        </w:rPr>
        <w:t xml:space="preserve"> לחלוטין</w:t>
      </w:r>
      <w:r w:rsidRPr="00B00F53">
        <w:rPr>
          <w:rFonts w:hint="cs"/>
          <w:rtl/>
        </w:rPr>
        <w:t xml:space="preserve"> </w:t>
      </w:r>
      <w:r>
        <w:rPr>
          <w:rFonts w:hint="cs"/>
          <w:rtl/>
        </w:rPr>
        <w:t>ו</w:t>
      </w:r>
      <w:r w:rsidRPr="00B00F53">
        <w:rPr>
          <w:rFonts w:hint="cs"/>
          <w:rtl/>
        </w:rPr>
        <w:t>באופן גורף את השימוש בעילת הסבירות</w:t>
      </w:r>
      <w:r>
        <w:rPr>
          <w:rFonts w:hint="cs"/>
          <w:rtl/>
        </w:rPr>
        <w:t>, בוודאי לא בדרך של</w:t>
      </w:r>
      <w:r w:rsidRPr="00B00F53">
        <w:rPr>
          <w:rFonts w:hint="cs"/>
          <w:rtl/>
        </w:rPr>
        <w:t xml:space="preserve"> </w:t>
      </w:r>
      <w:r w:rsidRPr="00B00F53">
        <w:rPr>
          <w:rFonts w:cs="Miriam" w:hint="cs"/>
          <w:b/>
          <w:spacing w:val="0"/>
          <w:sz w:val="22"/>
          <w:szCs w:val="24"/>
          <w:rtl/>
        </w:rPr>
        <w:t>חקיקת חוק יסוד</w:t>
      </w:r>
      <w:r w:rsidRPr="00B00F53">
        <w:rPr>
          <w:rFonts w:hint="cs"/>
          <w:rtl/>
        </w:rPr>
        <w:t xml:space="preserve">. </w:t>
      </w:r>
      <w:r>
        <w:rPr>
          <w:rFonts w:hint="cs"/>
          <w:rtl/>
        </w:rPr>
        <w:t xml:space="preserve">ואילו התיקון, בנוסח </w:t>
      </w:r>
      <w:r w:rsidRPr="00B00F53">
        <w:rPr>
          <w:rFonts w:hint="cs"/>
          <w:rtl/>
        </w:rPr>
        <w:t>הקיצוני שהתקבל</w:t>
      </w:r>
      <w:r>
        <w:rPr>
          <w:rFonts w:hint="cs"/>
          <w:rtl/>
        </w:rPr>
        <w:t>,</w:t>
      </w:r>
      <w:r w:rsidRPr="00B00F53">
        <w:rPr>
          <w:rFonts w:hint="cs"/>
          <w:rtl/>
        </w:rPr>
        <w:t xml:space="preserve"> אינו מותיר כל גמישות ושיקול דעת בידי בית המשפט בהקשר זה: הוא מונע </w:t>
      </w:r>
      <w:r>
        <w:rPr>
          <w:rFonts w:hint="cs"/>
          <w:rtl/>
        </w:rPr>
        <w:t xml:space="preserve">מכל בית משפט </w:t>
      </w:r>
      <w:r w:rsidRPr="00B00F53">
        <w:rPr>
          <w:rFonts w:hint="cs"/>
          <w:rtl/>
        </w:rPr>
        <w:t>את עצם האפשרות</w:t>
      </w:r>
      <w:r>
        <w:rPr>
          <w:rFonts w:hint="cs"/>
          <w:rtl/>
        </w:rPr>
        <w:t xml:space="preserve"> לדון</w:t>
      </w:r>
      <w:r w:rsidRPr="00B00F53">
        <w:rPr>
          <w:rFonts w:hint="cs"/>
          <w:rtl/>
        </w:rPr>
        <w:t xml:space="preserve"> </w:t>
      </w:r>
      <w:r>
        <w:rPr>
          <w:rFonts w:hint="cs"/>
          <w:rtl/>
        </w:rPr>
        <w:t>ו</w:t>
      </w:r>
      <w:r w:rsidRPr="00B00F53">
        <w:rPr>
          <w:rFonts w:hint="cs"/>
          <w:rtl/>
        </w:rPr>
        <w:t>לשמוע טיעונים בנושא</w:t>
      </w:r>
      <w:r>
        <w:rPr>
          <w:rFonts w:hint="cs"/>
          <w:rtl/>
        </w:rPr>
        <w:t>;</w:t>
      </w:r>
      <w:r w:rsidRPr="00B00F53">
        <w:rPr>
          <w:rFonts w:hint="cs"/>
          <w:rtl/>
        </w:rPr>
        <w:t xml:space="preserve"> והוא </w:t>
      </w:r>
      <w:r>
        <w:rPr>
          <w:rFonts w:hint="cs"/>
          <w:rtl/>
        </w:rPr>
        <w:t>מבטל את עילת</w:t>
      </w:r>
      <w:r w:rsidRPr="00B00F53">
        <w:rPr>
          <w:rFonts w:hint="cs"/>
          <w:rtl/>
        </w:rPr>
        <w:t xml:space="preserve"> הסבירות</w:t>
      </w:r>
      <w:r>
        <w:rPr>
          <w:rFonts w:hint="cs"/>
          <w:rtl/>
        </w:rPr>
        <w:t xml:space="preserve"> כליל, ככל שהדבר נוגע לדרג הנבחר, לגבי</w:t>
      </w:r>
      <w:r w:rsidRPr="00B00F53">
        <w:rPr>
          <w:rFonts w:hint="cs"/>
          <w:rtl/>
        </w:rPr>
        <w:t xml:space="preserve"> כל החלטה, לרבות החלטה להימנע מהפעלת סמכות. </w:t>
      </w:r>
    </w:p>
    <w:p w:rsidR="00C044AE" w:rsidRPr="00B00F53" w:rsidRDefault="00C044AE" w:rsidP="00C044AE">
      <w:pPr>
        <w:pStyle w:val="Ruller41"/>
        <w:rPr>
          <w:rFonts w:ascii="Garamond" w:hAnsi="Garamond"/>
          <w:rtl/>
        </w:rPr>
      </w:pPr>
    </w:p>
    <w:p w:rsidR="00C044AE" w:rsidRPr="00DB1595" w:rsidRDefault="00C044AE" w:rsidP="00C044AE">
      <w:pPr>
        <w:pStyle w:val="Ruller4"/>
        <w:rPr>
          <w:sz w:val="22"/>
          <w:rtl/>
        </w:rPr>
      </w:pPr>
      <w:r w:rsidRPr="00B00F53">
        <w:rPr>
          <w:rFonts w:hint="cs"/>
          <w:rtl/>
        </w:rPr>
        <w:t>במהלך הדיונים בוועדת החוקה</w:t>
      </w:r>
      <w:r>
        <w:rPr>
          <w:rFonts w:hint="cs"/>
          <w:rtl/>
        </w:rPr>
        <w:t xml:space="preserve">, ובמסגרת מאמציו של </w:t>
      </w:r>
      <w:r w:rsidRPr="00B00F53">
        <w:rPr>
          <w:rFonts w:hint="cs"/>
          <w:rtl/>
        </w:rPr>
        <w:t>הייעוץ המשפטי לוועדה "לרכך" את נוסחו הקיצוני של התיקון</w:t>
      </w:r>
      <w:r>
        <w:rPr>
          <w:rFonts w:hint="cs"/>
          <w:rtl/>
        </w:rPr>
        <w:t>, הוצע</w:t>
      </w:r>
      <w:r w:rsidRPr="00B00F53">
        <w:rPr>
          <w:rFonts w:hint="cs"/>
          <w:rtl/>
        </w:rPr>
        <w:t xml:space="preserve"> </w:t>
      </w:r>
      <w:r w:rsidRPr="00D06168">
        <w:rPr>
          <w:rFonts w:hint="cs"/>
          <w:rtl/>
        </w:rPr>
        <w:t>כבר במסמך ההכנה מיום 23.6.2023</w:t>
      </w:r>
      <w:r w:rsidRPr="00B00F53">
        <w:rPr>
          <w:rFonts w:hint="cs"/>
          <w:rtl/>
        </w:rPr>
        <w:t xml:space="preserve"> לשקול מודל חלופי לפיו הגבלת עילת הסבירות לא תחול "</w:t>
      </w:r>
      <w:r w:rsidRPr="00B00F53">
        <w:rPr>
          <w:rFonts w:hint="eastAsia"/>
          <w:rtl/>
        </w:rPr>
        <w:t>ביחס</w:t>
      </w:r>
      <w:r w:rsidRPr="00B00F53">
        <w:rPr>
          <w:rtl/>
        </w:rPr>
        <w:t xml:space="preserve"> </w:t>
      </w:r>
      <w:r w:rsidRPr="00B00F53">
        <w:rPr>
          <w:rFonts w:hint="eastAsia"/>
          <w:rtl/>
        </w:rPr>
        <w:t>לכלל</w:t>
      </w:r>
      <w:r w:rsidRPr="00B00F53">
        <w:rPr>
          <w:rFonts w:hint="cs"/>
          <w:rtl/>
        </w:rPr>
        <w:t xml:space="preserve"> </w:t>
      </w:r>
      <w:r w:rsidRPr="00B00F53">
        <w:rPr>
          <w:rFonts w:hint="eastAsia"/>
          <w:rtl/>
        </w:rPr>
        <w:t>ההחלטות</w:t>
      </w:r>
      <w:r w:rsidRPr="00B00F53">
        <w:rPr>
          <w:rtl/>
        </w:rPr>
        <w:t xml:space="preserve"> </w:t>
      </w:r>
      <w:r w:rsidRPr="00B00F53">
        <w:rPr>
          <w:rFonts w:hint="eastAsia"/>
          <w:rtl/>
        </w:rPr>
        <w:t>המתקבלות</w:t>
      </w:r>
      <w:r w:rsidRPr="00B00F53">
        <w:rPr>
          <w:rtl/>
        </w:rPr>
        <w:t xml:space="preserve"> </w:t>
      </w:r>
      <w:r w:rsidRPr="00B00F53">
        <w:rPr>
          <w:rFonts w:hint="eastAsia"/>
          <w:rtl/>
        </w:rPr>
        <w:t>ע</w:t>
      </w:r>
      <w:r w:rsidRPr="00B00F53">
        <w:rPr>
          <w:rFonts w:hint="cs"/>
          <w:rtl/>
        </w:rPr>
        <w:t>ל</w:t>
      </w:r>
      <w:r w:rsidRPr="00B00F53">
        <w:rPr>
          <w:rtl/>
        </w:rPr>
        <w:t>-</w:t>
      </w:r>
      <w:r w:rsidRPr="00B00F53">
        <w:rPr>
          <w:rFonts w:hint="eastAsia"/>
          <w:rtl/>
        </w:rPr>
        <w:t>ידי</w:t>
      </w:r>
      <w:r w:rsidRPr="00B00F53">
        <w:rPr>
          <w:rtl/>
        </w:rPr>
        <w:t xml:space="preserve"> </w:t>
      </w:r>
      <w:r w:rsidRPr="00B00F53">
        <w:rPr>
          <w:rFonts w:hint="eastAsia"/>
          <w:rtl/>
        </w:rPr>
        <w:t>הדרג</w:t>
      </w:r>
      <w:r w:rsidRPr="00B00F53">
        <w:rPr>
          <w:rtl/>
        </w:rPr>
        <w:t xml:space="preserve"> </w:t>
      </w:r>
      <w:r w:rsidRPr="00B00F53">
        <w:rPr>
          <w:rFonts w:hint="eastAsia"/>
          <w:rtl/>
        </w:rPr>
        <w:t>הנבחר</w:t>
      </w:r>
      <w:r w:rsidRPr="00B00F53">
        <w:rPr>
          <w:rtl/>
        </w:rPr>
        <w:t xml:space="preserve"> </w:t>
      </w:r>
      <w:r w:rsidRPr="00B00F53">
        <w:rPr>
          <w:rFonts w:hint="eastAsia"/>
          <w:rtl/>
        </w:rPr>
        <w:t>אלא</w:t>
      </w:r>
      <w:r w:rsidRPr="00B00F53">
        <w:rPr>
          <w:rtl/>
        </w:rPr>
        <w:t xml:space="preserve"> </w:t>
      </w:r>
      <w:r w:rsidRPr="00415FA9">
        <w:rPr>
          <w:rFonts w:ascii="Century" w:hAnsi="Century" w:cs="Miriam" w:hint="eastAsia"/>
          <w:b/>
          <w:spacing w:val="0"/>
          <w:sz w:val="22"/>
          <w:szCs w:val="24"/>
          <w:rtl/>
        </w:rPr>
        <w:t>רק</w:t>
      </w:r>
      <w:r w:rsidRPr="00415FA9">
        <w:rPr>
          <w:rFonts w:ascii="Century" w:hAnsi="Century" w:cs="Miriam"/>
          <w:b/>
          <w:spacing w:val="0"/>
          <w:sz w:val="22"/>
          <w:szCs w:val="24"/>
          <w:rtl/>
        </w:rPr>
        <w:t xml:space="preserve"> </w:t>
      </w:r>
      <w:r w:rsidRPr="00415FA9">
        <w:rPr>
          <w:rFonts w:ascii="Century" w:hAnsi="Century" w:cs="Miriam" w:hint="eastAsia"/>
          <w:b/>
          <w:spacing w:val="0"/>
          <w:sz w:val="22"/>
          <w:szCs w:val="24"/>
          <w:rtl/>
        </w:rPr>
        <w:t>ביחס</w:t>
      </w:r>
      <w:r w:rsidRPr="00415FA9">
        <w:rPr>
          <w:rFonts w:ascii="Century" w:hAnsi="Century" w:cs="Miriam"/>
          <w:b/>
          <w:spacing w:val="0"/>
          <w:sz w:val="22"/>
          <w:szCs w:val="24"/>
          <w:rtl/>
        </w:rPr>
        <w:t xml:space="preserve"> </w:t>
      </w:r>
      <w:r w:rsidRPr="00415FA9">
        <w:rPr>
          <w:rFonts w:ascii="Century" w:hAnsi="Century" w:cs="Miriam" w:hint="eastAsia"/>
          <w:b/>
          <w:spacing w:val="0"/>
          <w:sz w:val="22"/>
          <w:szCs w:val="24"/>
          <w:rtl/>
        </w:rPr>
        <w:t>לסוג</w:t>
      </w:r>
      <w:r w:rsidRPr="00415FA9">
        <w:rPr>
          <w:rFonts w:ascii="Century" w:hAnsi="Century" w:cs="Miriam"/>
          <w:b/>
          <w:spacing w:val="0"/>
          <w:sz w:val="22"/>
          <w:szCs w:val="24"/>
          <w:rtl/>
        </w:rPr>
        <w:t xml:space="preserve"> </w:t>
      </w:r>
      <w:r w:rsidRPr="00415FA9">
        <w:rPr>
          <w:rFonts w:ascii="Century" w:hAnsi="Century" w:cs="Miriam" w:hint="eastAsia"/>
          <w:b/>
          <w:spacing w:val="0"/>
          <w:sz w:val="22"/>
          <w:szCs w:val="24"/>
          <w:rtl/>
        </w:rPr>
        <w:t>מסוים</w:t>
      </w:r>
      <w:r w:rsidRPr="00415FA9">
        <w:rPr>
          <w:rFonts w:ascii="Century" w:hAnsi="Century" w:cs="Miriam"/>
          <w:b/>
          <w:spacing w:val="0"/>
          <w:sz w:val="22"/>
          <w:szCs w:val="24"/>
          <w:rtl/>
        </w:rPr>
        <w:t xml:space="preserve"> </w:t>
      </w:r>
      <w:r w:rsidRPr="00415FA9">
        <w:rPr>
          <w:rFonts w:ascii="Century" w:hAnsi="Century" w:cs="Miriam" w:hint="eastAsia"/>
          <w:b/>
          <w:spacing w:val="0"/>
          <w:sz w:val="22"/>
          <w:szCs w:val="24"/>
          <w:rtl/>
        </w:rPr>
        <w:t>של</w:t>
      </w:r>
      <w:r w:rsidRPr="00415FA9">
        <w:rPr>
          <w:rFonts w:ascii="Century" w:hAnsi="Century" w:cs="Miriam"/>
          <w:b/>
          <w:spacing w:val="0"/>
          <w:sz w:val="22"/>
          <w:szCs w:val="24"/>
          <w:rtl/>
        </w:rPr>
        <w:t xml:space="preserve"> </w:t>
      </w:r>
      <w:r w:rsidRPr="00415FA9">
        <w:rPr>
          <w:rFonts w:ascii="Century" w:hAnsi="Century" w:cs="Miriam" w:hint="eastAsia"/>
          <w:b/>
          <w:spacing w:val="0"/>
          <w:sz w:val="22"/>
          <w:szCs w:val="24"/>
          <w:rtl/>
        </w:rPr>
        <w:t>החלטות</w:t>
      </w:r>
      <w:r w:rsidRPr="00B00F53">
        <w:rPr>
          <w:rFonts w:hint="cs"/>
          <w:rtl/>
        </w:rPr>
        <w:t>" (עמ' 12 למסמך ההכנה</w:t>
      </w:r>
      <w:r>
        <w:rPr>
          <w:rFonts w:hint="cs"/>
          <w:rtl/>
        </w:rPr>
        <w:t>; ההדגשה במקור</w:t>
      </w:r>
      <w:r w:rsidRPr="00B00F53">
        <w:rPr>
          <w:rFonts w:hint="cs"/>
          <w:rtl/>
        </w:rPr>
        <w:t xml:space="preserve">). בדיון ביום 25.6.2023 שב והציע היועץ המשפטי לוועדה, עו"ד בליי, </w:t>
      </w:r>
      <w:r w:rsidRPr="003C0FC5">
        <w:rPr>
          <w:rFonts w:hint="cs"/>
          <w:rtl/>
        </w:rPr>
        <w:t>"</w:t>
      </w:r>
      <w:r w:rsidRPr="003C0FC5">
        <w:rPr>
          <w:rFonts w:hint="eastAsia"/>
          <w:rtl/>
        </w:rPr>
        <w:t>למקד</w:t>
      </w:r>
      <w:r w:rsidRPr="003C0FC5">
        <w:rPr>
          <w:rtl/>
        </w:rPr>
        <w:t xml:space="preserve"> </w:t>
      </w:r>
      <w:r w:rsidRPr="003C0FC5">
        <w:rPr>
          <w:rFonts w:hint="eastAsia"/>
          <w:rtl/>
        </w:rPr>
        <w:t>את</w:t>
      </w:r>
      <w:r w:rsidRPr="003C0FC5">
        <w:rPr>
          <w:rtl/>
        </w:rPr>
        <w:t xml:space="preserve"> </w:t>
      </w:r>
      <w:r w:rsidRPr="003C0FC5">
        <w:rPr>
          <w:rFonts w:hint="eastAsia"/>
          <w:rtl/>
        </w:rPr>
        <w:t>ההגבלה</w:t>
      </w:r>
      <w:r w:rsidRPr="003C0FC5">
        <w:rPr>
          <w:rtl/>
        </w:rPr>
        <w:t xml:space="preserve"> </w:t>
      </w:r>
      <w:r w:rsidRPr="003C0FC5">
        <w:rPr>
          <w:rFonts w:hint="cs"/>
          <w:rtl/>
        </w:rPr>
        <w:t xml:space="preserve">[על השימוש בעילת הסבירות] </w:t>
      </w:r>
      <w:r w:rsidRPr="003C0FC5">
        <w:rPr>
          <w:rFonts w:hint="eastAsia"/>
          <w:rtl/>
        </w:rPr>
        <w:t>בהחלטות</w:t>
      </w:r>
      <w:r w:rsidRPr="003C0FC5">
        <w:rPr>
          <w:rtl/>
        </w:rPr>
        <w:t xml:space="preserve"> </w:t>
      </w:r>
      <w:r w:rsidRPr="003C0FC5">
        <w:rPr>
          <w:rFonts w:hint="eastAsia"/>
          <w:rtl/>
        </w:rPr>
        <w:t>מסוימות</w:t>
      </w:r>
      <w:r w:rsidRPr="003C0FC5">
        <w:rPr>
          <w:rtl/>
        </w:rPr>
        <w:t xml:space="preserve"> </w:t>
      </w:r>
      <w:r w:rsidRPr="003C0FC5">
        <w:rPr>
          <w:rFonts w:hint="eastAsia"/>
          <w:rtl/>
        </w:rPr>
        <w:t>של</w:t>
      </w:r>
      <w:r w:rsidRPr="003C0FC5">
        <w:rPr>
          <w:rtl/>
        </w:rPr>
        <w:t xml:space="preserve"> </w:t>
      </w:r>
      <w:r w:rsidRPr="003C0FC5">
        <w:rPr>
          <w:rFonts w:hint="eastAsia"/>
          <w:rtl/>
        </w:rPr>
        <w:t>הדרג</w:t>
      </w:r>
      <w:r w:rsidRPr="003C0FC5">
        <w:rPr>
          <w:rtl/>
        </w:rPr>
        <w:t xml:space="preserve"> </w:t>
      </w:r>
      <w:r w:rsidRPr="003C0FC5">
        <w:rPr>
          <w:rFonts w:hint="eastAsia"/>
          <w:rtl/>
        </w:rPr>
        <w:t>הנבחר</w:t>
      </w:r>
      <w:r w:rsidRPr="003C0FC5">
        <w:rPr>
          <w:rtl/>
        </w:rPr>
        <w:t>"</w:t>
      </w:r>
      <w:r w:rsidRPr="003C0FC5">
        <w:rPr>
          <w:rFonts w:hint="cs"/>
          <w:rtl/>
        </w:rPr>
        <w:t xml:space="preserve"> והבהיר כי משמעות נוסחו הגורף של התיקון היא שלילת ביקורת שיפוטית על החלטות מינהליות "גם במצבים קיצוניים [...] שבהם גם לפי הכלל הישן של וונסברי היית יכול להתערב בהם" (פרוטוקול ישיבה 105, בעמ' 86, 106).</w:t>
      </w:r>
      <w:r w:rsidRPr="00B00F53">
        <w:rPr>
          <w:rFonts w:hint="cs"/>
          <w:rtl/>
        </w:rPr>
        <w:t xml:space="preserve"> יומיים לאחר מכן, הדגיש עו"ד בליי את הצורך "</w:t>
      </w:r>
      <w:r w:rsidRPr="00EE43E0">
        <w:rPr>
          <w:rFonts w:hint="eastAsia"/>
          <w:rtl/>
        </w:rPr>
        <w:t>לתת</w:t>
      </w:r>
      <w:r w:rsidRPr="00EE43E0">
        <w:rPr>
          <w:rtl/>
        </w:rPr>
        <w:t xml:space="preserve"> </w:t>
      </w:r>
      <w:r w:rsidRPr="00EE43E0">
        <w:rPr>
          <w:rFonts w:hint="eastAsia"/>
          <w:rtl/>
        </w:rPr>
        <w:t>החרגה</w:t>
      </w:r>
      <w:r w:rsidRPr="00EE43E0">
        <w:rPr>
          <w:rtl/>
        </w:rPr>
        <w:t xml:space="preserve"> </w:t>
      </w:r>
      <w:r w:rsidRPr="00EE43E0">
        <w:rPr>
          <w:rFonts w:hint="eastAsia"/>
          <w:rtl/>
        </w:rPr>
        <w:t>לכל</w:t>
      </w:r>
      <w:r w:rsidRPr="00EE43E0">
        <w:rPr>
          <w:rtl/>
        </w:rPr>
        <w:t xml:space="preserve"> </w:t>
      </w:r>
      <w:r w:rsidRPr="00EE43E0">
        <w:rPr>
          <w:rFonts w:hint="eastAsia"/>
          <w:rtl/>
        </w:rPr>
        <w:t>החלטה</w:t>
      </w:r>
      <w:r w:rsidRPr="00EE43E0">
        <w:rPr>
          <w:rtl/>
        </w:rPr>
        <w:t xml:space="preserve"> </w:t>
      </w:r>
      <w:r w:rsidRPr="00EE43E0">
        <w:rPr>
          <w:rFonts w:hint="eastAsia"/>
          <w:rtl/>
        </w:rPr>
        <w:t>שמשפיעה</w:t>
      </w:r>
      <w:r w:rsidRPr="00EE43E0">
        <w:rPr>
          <w:rtl/>
        </w:rPr>
        <w:t xml:space="preserve"> </w:t>
      </w:r>
      <w:r w:rsidRPr="00EE43E0">
        <w:rPr>
          <w:rFonts w:hint="eastAsia"/>
          <w:rtl/>
        </w:rPr>
        <w:t>ישירות</w:t>
      </w:r>
      <w:r w:rsidRPr="00EE43E0">
        <w:rPr>
          <w:rtl/>
        </w:rPr>
        <w:t xml:space="preserve"> </w:t>
      </w:r>
      <w:r w:rsidRPr="00EE43E0">
        <w:rPr>
          <w:rFonts w:hint="eastAsia"/>
          <w:rtl/>
        </w:rPr>
        <w:t>על</w:t>
      </w:r>
      <w:r w:rsidRPr="00EE43E0">
        <w:rPr>
          <w:rtl/>
        </w:rPr>
        <w:t xml:space="preserve"> </w:t>
      </w:r>
      <w:r w:rsidRPr="00EE43E0">
        <w:rPr>
          <w:rFonts w:hint="eastAsia"/>
          <w:rtl/>
        </w:rPr>
        <w:t>פרט</w:t>
      </w:r>
      <w:r w:rsidRPr="00EE43E0">
        <w:rPr>
          <w:rtl/>
        </w:rPr>
        <w:t xml:space="preserve">, </w:t>
      </w:r>
      <w:r w:rsidRPr="00EE43E0">
        <w:rPr>
          <w:rFonts w:hint="eastAsia"/>
          <w:rtl/>
        </w:rPr>
        <w:t>בין</w:t>
      </w:r>
      <w:r w:rsidRPr="00EE43E0">
        <w:rPr>
          <w:rtl/>
        </w:rPr>
        <w:t xml:space="preserve"> </w:t>
      </w:r>
      <w:r w:rsidRPr="00EE43E0">
        <w:rPr>
          <w:rFonts w:hint="eastAsia"/>
          <w:rtl/>
        </w:rPr>
        <w:t>אם</w:t>
      </w:r>
      <w:r w:rsidRPr="00EE43E0">
        <w:rPr>
          <w:rtl/>
        </w:rPr>
        <w:t xml:space="preserve"> </w:t>
      </w:r>
      <w:r w:rsidRPr="00EE43E0">
        <w:rPr>
          <w:rFonts w:hint="eastAsia"/>
          <w:rtl/>
        </w:rPr>
        <w:t>זה</w:t>
      </w:r>
      <w:r w:rsidRPr="00EE43E0">
        <w:rPr>
          <w:rtl/>
        </w:rPr>
        <w:t xml:space="preserve"> </w:t>
      </w:r>
      <w:r w:rsidRPr="00EE43E0">
        <w:rPr>
          <w:rFonts w:hint="eastAsia"/>
          <w:rtl/>
        </w:rPr>
        <w:t>מה</w:t>
      </w:r>
      <w:r w:rsidRPr="00EE43E0">
        <w:rPr>
          <w:rtl/>
        </w:rPr>
        <w:t xml:space="preserve"> </w:t>
      </w:r>
      <w:r w:rsidRPr="00EE43E0">
        <w:rPr>
          <w:rFonts w:hint="eastAsia"/>
          <w:rtl/>
        </w:rPr>
        <w:t>שמכונה</w:t>
      </w:r>
      <w:r w:rsidRPr="00EE43E0">
        <w:rPr>
          <w:rtl/>
        </w:rPr>
        <w:t xml:space="preserve"> </w:t>
      </w:r>
      <w:r w:rsidRPr="00EE43E0">
        <w:rPr>
          <w:rFonts w:hint="eastAsia"/>
          <w:rtl/>
        </w:rPr>
        <w:t>בספרות</w:t>
      </w:r>
      <w:r w:rsidRPr="00EE43E0">
        <w:rPr>
          <w:rtl/>
        </w:rPr>
        <w:t xml:space="preserve"> </w:t>
      </w:r>
      <w:r w:rsidRPr="00EE43E0">
        <w:rPr>
          <w:rFonts w:hint="eastAsia"/>
          <w:rtl/>
        </w:rPr>
        <w:t>זכות</w:t>
      </w:r>
      <w:r w:rsidRPr="00EE43E0">
        <w:rPr>
          <w:rtl/>
        </w:rPr>
        <w:t xml:space="preserve"> </w:t>
      </w:r>
      <w:r w:rsidRPr="00EE43E0">
        <w:rPr>
          <w:rFonts w:hint="eastAsia"/>
          <w:rtl/>
        </w:rPr>
        <w:t>של</w:t>
      </w:r>
      <w:r w:rsidRPr="00EE43E0">
        <w:rPr>
          <w:rtl/>
        </w:rPr>
        <w:t xml:space="preserve"> </w:t>
      </w:r>
      <w:r w:rsidRPr="00EE43E0">
        <w:rPr>
          <w:rFonts w:hint="eastAsia"/>
          <w:rtl/>
        </w:rPr>
        <w:t>הפרט</w:t>
      </w:r>
      <w:r w:rsidRPr="00EE43E0">
        <w:rPr>
          <w:rtl/>
        </w:rPr>
        <w:t xml:space="preserve"> </w:t>
      </w:r>
      <w:r w:rsidRPr="00EE43E0">
        <w:rPr>
          <w:rFonts w:hint="eastAsia"/>
          <w:rtl/>
        </w:rPr>
        <w:t>או</w:t>
      </w:r>
      <w:r w:rsidRPr="00EE43E0">
        <w:rPr>
          <w:rtl/>
        </w:rPr>
        <w:t xml:space="preserve"> </w:t>
      </w:r>
      <w:r w:rsidRPr="00EE43E0">
        <w:rPr>
          <w:rFonts w:hint="eastAsia"/>
          <w:rtl/>
        </w:rPr>
        <w:t>מה</w:t>
      </w:r>
      <w:r w:rsidRPr="00EE43E0">
        <w:rPr>
          <w:rtl/>
        </w:rPr>
        <w:t xml:space="preserve"> </w:t>
      </w:r>
      <w:r w:rsidRPr="00EE43E0">
        <w:rPr>
          <w:rFonts w:hint="eastAsia"/>
          <w:rtl/>
        </w:rPr>
        <w:t>שמכונה</w:t>
      </w:r>
      <w:r w:rsidRPr="00EE43E0">
        <w:rPr>
          <w:rtl/>
        </w:rPr>
        <w:t xml:space="preserve"> </w:t>
      </w:r>
      <w:r w:rsidRPr="00EE43E0">
        <w:rPr>
          <w:rFonts w:hint="eastAsia"/>
          <w:rtl/>
        </w:rPr>
        <w:t>אינטרס</w:t>
      </w:r>
      <w:r w:rsidRPr="00EE43E0">
        <w:rPr>
          <w:rtl/>
        </w:rPr>
        <w:t xml:space="preserve"> </w:t>
      </w:r>
      <w:r w:rsidRPr="00EE43E0">
        <w:rPr>
          <w:rFonts w:hint="eastAsia"/>
          <w:rtl/>
        </w:rPr>
        <w:t>של</w:t>
      </w:r>
      <w:r w:rsidRPr="00EE43E0">
        <w:rPr>
          <w:rtl/>
        </w:rPr>
        <w:t xml:space="preserve"> </w:t>
      </w:r>
      <w:r w:rsidRPr="00EE43E0">
        <w:rPr>
          <w:rFonts w:hint="eastAsia"/>
          <w:rtl/>
        </w:rPr>
        <w:t>הפרט</w:t>
      </w:r>
      <w:r w:rsidRPr="00EE43E0">
        <w:rPr>
          <w:rFonts w:hint="cs"/>
          <w:rtl/>
        </w:rPr>
        <w:t>" (</w:t>
      </w:r>
      <w:r w:rsidRPr="00EE43E0">
        <w:rPr>
          <w:rFonts w:hint="eastAsia"/>
          <w:rtl/>
        </w:rPr>
        <w:t>פרוטוקול</w:t>
      </w:r>
      <w:r w:rsidRPr="00EE43E0">
        <w:rPr>
          <w:rtl/>
        </w:rPr>
        <w:t xml:space="preserve"> </w:t>
      </w:r>
      <w:r w:rsidRPr="00EE43E0">
        <w:rPr>
          <w:rFonts w:hint="eastAsia"/>
          <w:rtl/>
        </w:rPr>
        <w:t>ישיבה</w:t>
      </w:r>
      <w:r w:rsidRPr="00EE43E0">
        <w:rPr>
          <w:rtl/>
        </w:rPr>
        <w:t xml:space="preserve"> 109 </w:t>
      </w:r>
      <w:r w:rsidRPr="00EE43E0">
        <w:rPr>
          <w:rFonts w:hint="eastAsia"/>
          <w:rtl/>
        </w:rPr>
        <w:t>של</w:t>
      </w:r>
      <w:r w:rsidRPr="00EE43E0">
        <w:rPr>
          <w:rtl/>
        </w:rPr>
        <w:t xml:space="preserve"> </w:t>
      </w:r>
      <w:r w:rsidRPr="00EE43E0">
        <w:rPr>
          <w:rFonts w:hint="eastAsia"/>
          <w:rtl/>
        </w:rPr>
        <w:t>ועדת</w:t>
      </w:r>
      <w:r w:rsidRPr="00EE43E0">
        <w:rPr>
          <w:rtl/>
        </w:rPr>
        <w:t xml:space="preserve"> </w:t>
      </w:r>
      <w:r w:rsidRPr="00EE43E0">
        <w:rPr>
          <w:rFonts w:hint="eastAsia"/>
          <w:rtl/>
        </w:rPr>
        <w:t>החוקה</w:t>
      </w:r>
      <w:r w:rsidRPr="00EE43E0">
        <w:rPr>
          <w:rtl/>
        </w:rPr>
        <w:t xml:space="preserve">, </w:t>
      </w:r>
      <w:r w:rsidRPr="00EE43E0">
        <w:rPr>
          <w:rFonts w:hint="eastAsia"/>
          <w:rtl/>
        </w:rPr>
        <w:t>הכנסת</w:t>
      </w:r>
      <w:r w:rsidRPr="00EE43E0">
        <w:rPr>
          <w:rtl/>
        </w:rPr>
        <w:t xml:space="preserve"> </w:t>
      </w:r>
      <w:r w:rsidRPr="00EE43E0">
        <w:rPr>
          <w:rFonts w:hint="eastAsia"/>
          <w:rtl/>
        </w:rPr>
        <w:t>ה</w:t>
      </w:r>
      <w:r w:rsidRPr="00EE43E0">
        <w:rPr>
          <w:rtl/>
        </w:rPr>
        <w:t>-25, 45 (27.6.2023)</w:t>
      </w:r>
      <w:r w:rsidRPr="00EE43E0">
        <w:rPr>
          <w:rFonts w:hint="cs"/>
          <w:rtl/>
        </w:rPr>
        <w:t xml:space="preserve"> (להלן: </w:t>
      </w:r>
      <w:r w:rsidRPr="00EE43E0">
        <w:rPr>
          <w:rFonts w:cs="Miriam" w:hint="cs"/>
          <w:b/>
          <w:spacing w:val="0"/>
          <w:sz w:val="22"/>
          <w:szCs w:val="24"/>
          <w:rtl/>
        </w:rPr>
        <w:t>פרוטוקול ישיבה 109</w:t>
      </w:r>
      <w:r w:rsidRPr="00EE43E0">
        <w:rPr>
          <w:rFonts w:hint="cs"/>
          <w:rtl/>
        </w:rPr>
        <w:t>)).</w:t>
      </w:r>
      <w:r w:rsidRPr="00B00F53">
        <w:rPr>
          <w:rFonts w:hint="cs"/>
          <w:rtl/>
        </w:rPr>
        <w:t xml:space="preserve"> לאחר שהצעת התיקון אושרה בקריאה ראשונה, </w:t>
      </w:r>
      <w:r>
        <w:rPr>
          <w:rFonts w:hint="cs"/>
          <w:rtl/>
        </w:rPr>
        <w:t>הוסיף</w:t>
      </w:r>
      <w:r w:rsidRPr="00B00F53">
        <w:rPr>
          <w:rFonts w:hint="cs"/>
          <w:rtl/>
        </w:rPr>
        <w:t xml:space="preserve"> עו"ד בליי</w:t>
      </w:r>
      <w:r>
        <w:rPr>
          <w:rFonts w:hint="cs"/>
          <w:rtl/>
        </w:rPr>
        <w:t xml:space="preserve"> ועמד</w:t>
      </w:r>
      <w:r w:rsidRPr="00B00F53">
        <w:rPr>
          <w:rFonts w:hint="cs"/>
          <w:rtl/>
        </w:rPr>
        <w:t xml:space="preserve"> על כך שהצעת התיקון גורפת יותר מכל מתווה אחר שנשקל ביחס לעילת הסבירות</w:t>
      </w:r>
      <w:r>
        <w:rPr>
          <w:rFonts w:hint="cs"/>
          <w:rtl/>
        </w:rPr>
        <w:t>,</w:t>
      </w:r>
      <w:r w:rsidRPr="00B00F53">
        <w:rPr>
          <w:rFonts w:hint="cs"/>
          <w:rtl/>
        </w:rPr>
        <w:t xml:space="preserve"> והזכיר שלושה תחומים מרכזיים שבהם לא תיוותר ביקורת שיפוטית אפקטיבית בעקבות התיקון: החלטות ממשלת מעבר, החלטות בעניין מינויים ופיטורים והחלטות פרטניות שאינן כרוכות בפגיעה בזכויות מוגנות </w:t>
      </w:r>
      <w:r w:rsidRPr="0056572C">
        <w:rPr>
          <w:rFonts w:hint="cs"/>
          <w:rtl/>
        </w:rPr>
        <w:t>(פרוטוקול ישיבה 121, בעמ' 13-11).</w:t>
      </w:r>
      <w:r w:rsidRPr="00B00F53">
        <w:rPr>
          <w:rFonts w:hint="cs"/>
          <w:rtl/>
        </w:rPr>
        <w:t xml:space="preserve"> </w:t>
      </w:r>
    </w:p>
    <w:p w:rsidR="00C044AE" w:rsidRDefault="00C044AE" w:rsidP="00C044AE">
      <w:pPr>
        <w:pStyle w:val="Ruller4"/>
        <w:numPr>
          <w:ilvl w:val="0"/>
          <w:numId w:val="0"/>
        </w:numPr>
        <w:rPr>
          <w:rtl/>
        </w:rPr>
      </w:pPr>
    </w:p>
    <w:p w:rsidR="00C044AE" w:rsidRPr="00B00F53" w:rsidRDefault="00C044AE" w:rsidP="00C044AE">
      <w:pPr>
        <w:pStyle w:val="Ruller4"/>
        <w:numPr>
          <w:ilvl w:val="0"/>
          <w:numId w:val="0"/>
        </w:numPr>
        <w:rPr>
          <w:sz w:val="22"/>
          <w:rtl/>
        </w:rPr>
      </w:pPr>
      <w:r>
        <w:rPr>
          <w:rtl/>
        </w:rPr>
        <w:tab/>
      </w:r>
      <w:r>
        <w:rPr>
          <w:rFonts w:hint="cs"/>
          <w:rtl/>
        </w:rPr>
        <w:t xml:space="preserve">חרף </w:t>
      </w:r>
      <w:r w:rsidRPr="00B00F53">
        <w:rPr>
          <w:rFonts w:hint="cs"/>
          <w:rtl/>
        </w:rPr>
        <w:t xml:space="preserve">כל </w:t>
      </w:r>
      <w:r>
        <w:rPr>
          <w:rFonts w:hint="cs"/>
          <w:rtl/>
        </w:rPr>
        <w:t>ההערות ו</w:t>
      </w:r>
      <w:r w:rsidRPr="00B00F53">
        <w:rPr>
          <w:rFonts w:hint="cs"/>
          <w:rtl/>
        </w:rPr>
        <w:t xml:space="preserve">ההצעות הללו, הצעת התיקון נותרה </w:t>
      </w:r>
      <w:r>
        <w:rPr>
          <w:rFonts w:hint="cs"/>
          <w:rtl/>
        </w:rPr>
        <w:t xml:space="preserve">כמעט </w:t>
      </w:r>
      <w:r w:rsidRPr="00B00F53">
        <w:rPr>
          <w:rFonts w:hint="cs"/>
          <w:rtl/>
        </w:rPr>
        <w:t xml:space="preserve">כמות שהיא, והשינוי </w:t>
      </w:r>
      <w:r>
        <w:rPr>
          <w:rFonts w:hint="cs"/>
          <w:rtl/>
        </w:rPr>
        <w:t>העיקרי</w:t>
      </w:r>
      <w:r w:rsidRPr="00B00F53">
        <w:rPr>
          <w:rFonts w:hint="cs"/>
          <w:rtl/>
        </w:rPr>
        <w:t xml:space="preserve"> </w:t>
      </w:r>
      <w:r w:rsidRPr="00B00F53">
        <w:rPr>
          <w:rFonts w:hint="cs"/>
          <w:sz w:val="22"/>
          <w:rtl/>
        </w:rPr>
        <w:t xml:space="preserve">שהוטמע בה לפני שאושרה בקריאה שנייה ושלישית אף החריף את הנוסח הקיים והבהיר כי "החלטה" היא </w:t>
      </w:r>
      <w:r w:rsidRPr="00B00F53">
        <w:rPr>
          <w:sz w:val="22"/>
          <w:rtl/>
        </w:rPr>
        <w:t>"</w:t>
      </w:r>
      <w:r w:rsidRPr="00D06168">
        <w:rPr>
          <w:rFonts w:hint="eastAsia"/>
          <w:sz w:val="22"/>
          <w:rtl/>
        </w:rPr>
        <w:t>כל</w:t>
      </w:r>
      <w:r w:rsidRPr="00D06168">
        <w:rPr>
          <w:sz w:val="22"/>
          <w:rtl/>
        </w:rPr>
        <w:t xml:space="preserve"> </w:t>
      </w:r>
      <w:r w:rsidRPr="00D06168">
        <w:rPr>
          <w:rFonts w:hint="eastAsia"/>
          <w:sz w:val="22"/>
          <w:rtl/>
        </w:rPr>
        <w:t>החלטה</w:t>
      </w:r>
      <w:r w:rsidRPr="00D06168">
        <w:rPr>
          <w:sz w:val="22"/>
          <w:rtl/>
        </w:rPr>
        <w:t xml:space="preserve">, </w:t>
      </w:r>
      <w:r w:rsidRPr="00D06168">
        <w:rPr>
          <w:rFonts w:hint="eastAsia"/>
          <w:sz w:val="22"/>
          <w:rtl/>
        </w:rPr>
        <w:t>לרבות</w:t>
      </w:r>
      <w:r w:rsidRPr="00D06168">
        <w:rPr>
          <w:sz w:val="22"/>
          <w:rtl/>
        </w:rPr>
        <w:t xml:space="preserve"> </w:t>
      </w:r>
      <w:r w:rsidRPr="00D06168">
        <w:rPr>
          <w:rFonts w:hint="eastAsia"/>
          <w:sz w:val="22"/>
          <w:rtl/>
        </w:rPr>
        <w:t>בענייני</w:t>
      </w:r>
      <w:r w:rsidRPr="00D06168">
        <w:rPr>
          <w:sz w:val="22"/>
          <w:rtl/>
        </w:rPr>
        <w:t xml:space="preserve"> </w:t>
      </w:r>
      <w:r w:rsidRPr="00D06168">
        <w:rPr>
          <w:rFonts w:hint="eastAsia"/>
          <w:sz w:val="22"/>
          <w:rtl/>
        </w:rPr>
        <w:t>מינויים</w:t>
      </w:r>
      <w:r w:rsidRPr="00D06168">
        <w:rPr>
          <w:sz w:val="22"/>
          <w:rtl/>
        </w:rPr>
        <w:t xml:space="preserve"> </w:t>
      </w:r>
      <w:r w:rsidRPr="00D06168">
        <w:rPr>
          <w:rFonts w:hint="eastAsia"/>
          <w:sz w:val="22"/>
          <w:rtl/>
        </w:rPr>
        <w:t>או</w:t>
      </w:r>
      <w:r w:rsidRPr="00D06168">
        <w:rPr>
          <w:sz w:val="22"/>
          <w:rtl/>
        </w:rPr>
        <w:t xml:space="preserve"> </w:t>
      </w:r>
      <w:r w:rsidRPr="00D06168">
        <w:rPr>
          <w:rFonts w:hint="eastAsia"/>
          <w:sz w:val="22"/>
          <w:rtl/>
        </w:rPr>
        <w:t>החלטה</w:t>
      </w:r>
      <w:r w:rsidRPr="00D06168">
        <w:rPr>
          <w:sz w:val="22"/>
          <w:rtl/>
        </w:rPr>
        <w:t xml:space="preserve"> </w:t>
      </w:r>
      <w:r w:rsidRPr="00D06168">
        <w:rPr>
          <w:rFonts w:hint="eastAsia"/>
          <w:sz w:val="22"/>
          <w:rtl/>
        </w:rPr>
        <w:t>להימנע</w:t>
      </w:r>
      <w:r w:rsidRPr="00D06168">
        <w:rPr>
          <w:sz w:val="22"/>
          <w:rtl/>
        </w:rPr>
        <w:t xml:space="preserve"> </w:t>
      </w:r>
      <w:r w:rsidRPr="00D06168">
        <w:rPr>
          <w:rFonts w:hint="eastAsia"/>
          <w:sz w:val="22"/>
          <w:rtl/>
        </w:rPr>
        <w:t>מהפעלת</w:t>
      </w:r>
      <w:r w:rsidRPr="00D06168">
        <w:rPr>
          <w:sz w:val="22"/>
          <w:rtl/>
        </w:rPr>
        <w:t xml:space="preserve"> </w:t>
      </w:r>
      <w:r w:rsidRPr="00D06168">
        <w:rPr>
          <w:rFonts w:hint="eastAsia"/>
          <w:sz w:val="22"/>
          <w:rtl/>
        </w:rPr>
        <w:t>כל</w:t>
      </w:r>
      <w:r w:rsidRPr="00D06168">
        <w:rPr>
          <w:sz w:val="22"/>
          <w:rtl/>
        </w:rPr>
        <w:t xml:space="preserve"> </w:t>
      </w:r>
      <w:r w:rsidRPr="00D06168">
        <w:rPr>
          <w:rFonts w:hint="eastAsia"/>
          <w:sz w:val="22"/>
          <w:rtl/>
        </w:rPr>
        <w:t>סמכות</w:t>
      </w:r>
      <w:r w:rsidRPr="00D06168">
        <w:rPr>
          <w:rFonts w:hint="cs"/>
          <w:sz w:val="22"/>
          <w:rtl/>
        </w:rPr>
        <w:t>".</w:t>
      </w:r>
      <w:r w:rsidRPr="00B00F53">
        <w:rPr>
          <w:rFonts w:hint="cs"/>
          <w:sz w:val="22"/>
          <w:rtl/>
        </w:rPr>
        <w:t xml:space="preserve"> </w:t>
      </w:r>
    </w:p>
    <w:p w:rsidR="00C044AE" w:rsidRPr="00B00F53" w:rsidRDefault="00C044AE" w:rsidP="00C044AE">
      <w:pPr>
        <w:pStyle w:val="Ruller4"/>
        <w:numPr>
          <w:ilvl w:val="0"/>
          <w:numId w:val="0"/>
        </w:numPr>
        <w:rPr>
          <w:rtl/>
        </w:rPr>
      </w:pPr>
    </w:p>
    <w:p w:rsidR="00C044AE" w:rsidRPr="00B00F53" w:rsidRDefault="00C044AE" w:rsidP="00C044AE">
      <w:pPr>
        <w:pStyle w:val="Ruller4"/>
        <w:rPr>
          <w:rtl/>
        </w:rPr>
      </w:pPr>
      <w:r w:rsidRPr="00B00F53">
        <w:rPr>
          <w:rFonts w:hint="cs"/>
          <w:rtl/>
        </w:rPr>
        <w:t>כפי שיפורט להלן, כתוצאה מהנוסח הקיצוני</w:t>
      </w:r>
      <w:r>
        <w:rPr>
          <w:rFonts w:hint="cs"/>
          <w:rtl/>
        </w:rPr>
        <w:t xml:space="preserve"> והחריג</w:t>
      </w:r>
      <w:r w:rsidRPr="00B00F53">
        <w:rPr>
          <w:rFonts w:hint="cs"/>
          <w:rtl/>
        </w:rPr>
        <w:t xml:space="preserve"> של התיקון, </w:t>
      </w:r>
      <w:r>
        <w:rPr>
          <w:rFonts w:hint="cs"/>
          <w:rtl/>
        </w:rPr>
        <w:t xml:space="preserve">ובהינתן המציאות החוקתית הקיימת, </w:t>
      </w:r>
      <w:r w:rsidRPr="00B00F53">
        <w:rPr>
          <w:rFonts w:hint="cs"/>
          <w:rtl/>
        </w:rPr>
        <w:t xml:space="preserve">נגרמת פגיעה </w:t>
      </w:r>
      <w:r w:rsidRPr="00B00F53">
        <w:rPr>
          <w:rFonts w:cs="Miriam" w:hint="cs"/>
          <w:b/>
          <w:spacing w:val="0"/>
          <w:sz w:val="22"/>
          <w:szCs w:val="24"/>
          <w:rtl/>
        </w:rPr>
        <w:t>חסרת תקדים בהיקפה</w:t>
      </w:r>
      <w:r w:rsidRPr="00B00F53">
        <w:rPr>
          <w:rFonts w:hint="cs"/>
          <w:rtl/>
        </w:rPr>
        <w:t xml:space="preserve"> בשניים מהמאפיינים הגרעיניים של שיטתנו הדמוקרטית </w:t>
      </w:r>
      <w:r w:rsidRPr="00B00F53">
        <w:rPr>
          <w:rtl/>
        </w:rPr>
        <w:t>–</w:t>
      </w:r>
      <w:r w:rsidRPr="00B00F53">
        <w:rPr>
          <w:rFonts w:hint="cs"/>
          <w:rtl/>
        </w:rPr>
        <w:t xml:space="preserve"> עקרון הפרדת הרשויות ועקרון שלטון החוק.</w:t>
      </w:r>
    </w:p>
    <w:p w:rsidR="00C044AE" w:rsidRPr="004272F4" w:rsidRDefault="00C044AE" w:rsidP="00C044AE">
      <w:pPr>
        <w:pStyle w:val="Ruller41"/>
        <w:rPr>
          <w:rFonts w:ascii="Garamond" w:hAnsi="Garamond" w:cs="Miriam"/>
          <w:b/>
          <w:spacing w:val="0"/>
          <w:sz w:val="24"/>
          <w:rtl/>
        </w:rPr>
      </w:pPr>
    </w:p>
    <w:p w:rsidR="00C044AE" w:rsidRPr="008A38D2" w:rsidRDefault="00C044AE" w:rsidP="00C044AE">
      <w:pPr>
        <w:pStyle w:val="Ruller41"/>
        <w:ind w:left="360"/>
        <w:outlineLvl w:val="2"/>
        <w:rPr>
          <w:rFonts w:ascii="Century" w:hAnsi="Century" w:cs="Miriam"/>
          <w:b/>
          <w:spacing w:val="0"/>
          <w:szCs w:val="24"/>
          <w:rtl/>
        </w:rPr>
      </w:pPr>
      <w:r w:rsidRPr="008A38D2">
        <w:rPr>
          <w:rFonts w:ascii="Century" w:hAnsi="Century" w:cs="Miriam" w:hint="cs"/>
          <w:b/>
          <w:spacing w:val="0"/>
          <w:szCs w:val="24"/>
          <w:rtl/>
        </w:rPr>
        <w:t>ד.3</w:t>
      </w:r>
      <w:r>
        <w:rPr>
          <w:rFonts w:ascii="Century" w:hAnsi="Century" w:cs="Miriam" w:hint="cs"/>
          <w:b/>
          <w:spacing w:val="0"/>
          <w:szCs w:val="24"/>
          <w:rtl/>
        </w:rPr>
        <w:t>.</w:t>
      </w:r>
      <w:r w:rsidRPr="008A38D2">
        <w:rPr>
          <w:rFonts w:ascii="Century" w:hAnsi="Century" w:cs="Miriam" w:hint="cs"/>
          <w:b/>
          <w:spacing w:val="0"/>
          <w:szCs w:val="24"/>
          <w:rtl/>
        </w:rPr>
        <w:t xml:space="preserve"> הפגיעה בהפרדת הרשויות</w:t>
      </w:r>
    </w:p>
    <w:p w:rsidR="00C044AE" w:rsidRPr="004272F4" w:rsidRDefault="00C044AE" w:rsidP="00C044AE">
      <w:pPr>
        <w:pStyle w:val="Ruller41"/>
        <w:rPr>
          <w:rFonts w:ascii="Garamond" w:hAnsi="Garamond" w:cs="Miriam"/>
          <w:b/>
          <w:spacing w:val="0"/>
          <w:sz w:val="24"/>
          <w:rtl/>
        </w:rPr>
      </w:pPr>
    </w:p>
    <w:p w:rsidR="00C044AE" w:rsidRPr="00B00F53" w:rsidRDefault="00C044AE" w:rsidP="00C044AE">
      <w:pPr>
        <w:pStyle w:val="Ruller4"/>
        <w:rPr>
          <w:rtl/>
        </w:rPr>
      </w:pPr>
      <w:r>
        <w:rPr>
          <w:rFonts w:hint="cs"/>
          <w:rtl/>
        </w:rPr>
        <w:t xml:space="preserve">הרעיון הניצב </w:t>
      </w:r>
      <w:r w:rsidRPr="00B00F53">
        <w:rPr>
          <w:rFonts w:hint="cs"/>
          <w:rtl/>
        </w:rPr>
        <w:t xml:space="preserve">בבסיסו של עקרון הפרדת הרשויות </w:t>
      </w:r>
      <w:r>
        <w:rPr>
          <w:rFonts w:hint="cs"/>
          <w:rtl/>
        </w:rPr>
        <w:t>הוא</w:t>
      </w:r>
      <w:r w:rsidRPr="00B00F53">
        <w:rPr>
          <w:rFonts w:hint="cs"/>
          <w:rtl/>
        </w:rPr>
        <w:t xml:space="preserve"> </w:t>
      </w:r>
      <w:r w:rsidRPr="00B00F53">
        <w:rPr>
          <w:rFonts w:cs="Miriam" w:hint="cs"/>
          <w:b/>
          <w:spacing w:val="0"/>
          <w:sz w:val="22"/>
          <w:szCs w:val="24"/>
          <w:rtl/>
        </w:rPr>
        <w:t>ביזור הכוחות</w:t>
      </w:r>
      <w:r>
        <w:rPr>
          <w:rFonts w:cs="Miriam" w:hint="cs"/>
          <w:b/>
          <w:spacing w:val="0"/>
          <w:sz w:val="22"/>
          <w:szCs w:val="24"/>
          <w:rtl/>
        </w:rPr>
        <w:t xml:space="preserve"> וחלוקת הסמכויות</w:t>
      </w:r>
      <w:r w:rsidRPr="00B00F53">
        <w:rPr>
          <w:rFonts w:hint="cs"/>
          <w:rtl/>
        </w:rPr>
        <w:t xml:space="preserve"> בין רשויות השלטון </w:t>
      </w:r>
      <w:r w:rsidRPr="00B00F53">
        <w:rPr>
          <w:rtl/>
        </w:rPr>
        <w:t>–</w:t>
      </w:r>
      <w:r w:rsidRPr="00B00F53">
        <w:rPr>
          <w:rFonts w:hint="cs"/>
          <w:rtl/>
        </w:rPr>
        <w:t xml:space="preserve"> "המחוקק יחוקק; המבצע יבצע; השופט ישפוט" (</w:t>
      </w:r>
      <w:r w:rsidRPr="00B00F53">
        <w:rPr>
          <w:rFonts w:hint="eastAsia"/>
          <w:rtl/>
        </w:rPr>
        <w:t>בג</w:t>
      </w:r>
      <w:r w:rsidRPr="00B00F53">
        <w:rPr>
          <w:rtl/>
        </w:rPr>
        <w:t>"</w:t>
      </w:r>
      <w:r w:rsidRPr="00B00F53">
        <w:rPr>
          <w:rFonts w:hint="eastAsia"/>
          <w:rtl/>
        </w:rPr>
        <w:t>ץ</w:t>
      </w:r>
      <w:r w:rsidRPr="00B00F53">
        <w:rPr>
          <w:rtl/>
        </w:rPr>
        <w:t xml:space="preserve"> 11163</w:t>
      </w:r>
      <w:r w:rsidRPr="00B00F53">
        <w:rPr>
          <w:rFonts w:hint="cs"/>
          <w:rtl/>
        </w:rPr>
        <w:t>/</w:t>
      </w:r>
      <w:r w:rsidRPr="00B00F53">
        <w:rPr>
          <w:rtl/>
        </w:rPr>
        <w:t xml:space="preserve">03 </w:t>
      </w:r>
      <w:r w:rsidRPr="00DB1595">
        <w:rPr>
          <w:rFonts w:cs="Miriam" w:hint="eastAsia"/>
          <w:b/>
          <w:spacing w:val="0"/>
          <w:sz w:val="22"/>
          <w:szCs w:val="24"/>
          <w:rtl/>
        </w:rPr>
        <w:t>ועדת</w:t>
      </w:r>
      <w:r w:rsidRPr="00DB1595">
        <w:rPr>
          <w:rFonts w:cs="Miriam"/>
          <w:b/>
          <w:spacing w:val="0"/>
          <w:sz w:val="22"/>
          <w:szCs w:val="24"/>
          <w:rtl/>
        </w:rPr>
        <w:t xml:space="preserve"> </w:t>
      </w:r>
      <w:r w:rsidRPr="00DB1595">
        <w:rPr>
          <w:rFonts w:cs="Miriam" w:hint="eastAsia"/>
          <w:b/>
          <w:spacing w:val="0"/>
          <w:sz w:val="22"/>
          <w:szCs w:val="24"/>
          <w:rtl/>
        </w:rPr>
        <w:t>המעקב</w:t>
      </w:r>
      <w:r w:rsidRPr="00DB1595">
        <w:rPr>
          <w:rFonts w:cs="Miriam"/>
          <w:b/>
          <w:spacing w:val="0"/>
          <w:sz w:val="22"/>
          <w:szCs w:val="24"/>
          <w:rtl/>
        </w:rPr>
        <w:t xml:space="preserve"> </w:t>
      </w:r>
      <w:r w:rsidRPr="00DB1595">
        <w:rPr>
          <w:rFonts w:cs="Miriam" w:hint="eastAsia"/>
          <w:b/>
          <w:spacing w:val="0"/>
          <w:sz w:val="22"/>
          <w:szCs w:val="24"/>
          <w:rtl/>
        </w:rPr>
        <w:t>העליונה</w:t>
      </w:r>
      <w:r w:rsidRPr="00DB1595">
        <w:rPr>
          <w:rFonts w:cs="Miriam"/>
          <w:b/>
          <w:spacing w:val="0"/>
          <w:sz w:val="22"/>
          <w:szCs w:val="24"/>
          <w:rtl/>
        </w:rPr>
        <w:t xml:space="preserve"> </w:t>
      </w:r>
      <w:r w:rsidRPr="00DB1595">
        <w:rPr>
          <w:rFonts w:cs="Miriam" w:hint="eastAsia"/>
          <w:b/>
          <w:spacing w:val="0"/>
          <w:sz w:val="22"/>
          <w:szCs w:val="24"/>
          <w:rtl/>
        </w:rPr>
        <w:t>לענייני</w:t>
      </w:r>
      <w:r w:rsidRPr="00DB1595">
        <w:rPr>
          <w:rFonts w:cs="Miriam"/>
          <w:b/>
          <w:spacing w:val="0"/>
          <w:sz w:val="22"/>
          <w:szCs w:val="24"/>
          <w:rtl/>
        </w:rPr>
        <w:t xml:space="preserve"> </w:t>
      </w:r>
      <w:r w:rsidRPr="00DB1595">
        <w:rPr>
          <w:rFonts w:cs="Miriam" w:hint="eastAsia"/>
          <w:b/>
          <w:spacing w:val="0"/>
          <w:sz w:val="22"/>
          <w:szCs w:val="24"/>
          <w:rtl/>
        </w:rPr>
        <w:t>הערבים</w:t>
      </w:r>
      <w:r w:rsidRPr="00DB1595">
        <w:rPr>
          <w:rFonts w:cs="Miriam"/>
          <w:b/>
          <w:spacing w:val="0"/>
          <w:sz w:val="22"/>
          <w:szCs w:val="24"/>
          <w:rtl/>
        </w:rPr>
        <w:t xml:space="preserve"> </w:t>
      </w:r>
      <w:r w:rsidRPr="00DB1595">
        <w:rPr>
          <w:rFonts w:cs="Miriam" w:hint="eastAsia"/>
          <w:b/>
          <w:spacing w:val="0"/>
          <w:sz w:val="22"/>
          <w:szCs w:val="24"/>
          <w:rtl/>
        </w:rPr>
        <w:t>בישראל</w:t>
      </w:r>
      <w:r w:rsidRPr="00DB1595">
        <w:rPr>
          <w:rFonts w:cs="Miriam"/>
          <w:b/>
          <w:spacing w:val="0"/>
          <w:sz w:val="22"/>
          <w:szCs w:val="24"/>
          <w:rtl/>
        </w:rPr>
        <w:t xml:space="preserve"> </w:t>
      </w:r>
      <w:r w:rsidRPr="00DB1595">
        <w:rPr>
          <w:rFonts w:cs="Miriam" w:hint="eastAsia"/>
          <w:b/>
          <w:spacing w:val="0"/>
          <w:sz w:val="22"/>
          <w:szCs w:val="24"/>
          <w:rtl/>
        </w:rPr>
        <w:t>נ</w:t>
      </w:r>
      <w:r w:rsidRPr="00DB1595">
        <w:rPr>
          <w:rFonts w:cs="Miriam"/>
          <w:b/>
          <w:spacing w:val="0"/>
          <w:sz w:val="22"/>
          <w:szCs w:val="24"/>
          <w:rtl/>
        </w:rPr>
        <w:t xml:space="preserve">' </w:t>
      </w:r>
      <w:r w:rsidRPr="00DB1595">
        <w:rPr>
          <w:rFonts w:cs="Miriam" w:hint="eastAsia"/>
          <w:b/>
          <w:spacing w:val="0"/>
          <w:sz w:val="22"/>
          <w:szCs w:val="24"/>
          <w:rtl/>
        </w:rPr>
        <w:t>ראש</w:t>
      </w:r>
      <w:r w:rsidRPr="00DB1595">
        <w:rPr>
          <w:rFonts w:cs="Miriam"/>
          <w:b/>
          <w:spacing w:val="0"/>
          <w:sz w:val="22"/>
          <w:szCs w:val="24"/>
          <w:rtl/>
        </w:rPr>
        <w:t xml:space="preserve"> </w:t>
      </w:r>
      <w:r w:rsidRPr="00DB1595">
        <w:rPr>
          <w:rFonts w:cs="Miriam" w:hint="eastAsia"/>
          <w:b/>
          <w:spacing w:val="0"/>
          <w:sz w:val="22"/>
          <w:szCs w:val="24"/>
          <w:rtl/>
        </w:rPr>
        <w:t>ממשלת</w:t>
      </w:r>
      <w:r w:rsidRPr="00DB1595">
        <w:rPr>
          <w:rFonts w:cs="Miriam"/>
          <w:b/>
          <w:spacing w:val="0"/>
          <w:sz w:val="22"/>
          <w:szCs w:val="24"/>
          <w:rtl/>
        </w:rPr>
        <w:t xml:space="preserve"> </w:t>
      </w:r>
      <w:r w:rsidRPr="00DB1595">
        <w:rPr>
          <w:rFonts w:cs="Miriam" w:hint="eastAsia"/>
          <w:b/>
          <w:spacing w:val="0"/>
          <w:sz w:val="22"/>
          <w:szCs w:val="24"/>
          <w:rtl/>
        </w:rPr>
        <w:t>ישראל</w:t>
      </w:r>
      <w:r w:rsidRPr="00B00F53">
        <w:rPr>
          <w:rtl/>
        </w:rPr>
        <w:t>,</w:t>
      </w:r>
      <w:r w:rsidRPr="00B00F53">
        <w:rPr>
          <w:rFonts w:hint="cs"/>
          <w:rtl/>
        </w:rPr>
        <w:t xml:space="preserve"> פ"ד</w:t>
      </w:r>
      <w:r w:rsidRPr="00B00F53">
        <w:rPr>
          <w:rtl/>
        </w:rPr>
        <w:t xml:space="preserve"> </w:t>
      </w:r>
      <w:r w:rsidRPr="00B00F53">
        <w:rPr>
          <w:rFonts w:hint="eastAsia"/>
          <w:rtl/>
        </w:rPr>
        <w:t>סא</w:t>
      </w:r>
      <w:r w:rsidRPr="00B00F53">
        <w:rPr>
          <w:rtl/>
        </w:rPr>
        <w:t>(1) 1</w:t>
      </w:r>
      <w:r w:rsidRPr="00B00F53">
        <w:rPr>
          <w:rFonts w:hint="cs"/>
          <w:rtl/>
        </w:rPr>
        <w:t xml:space="preserve">, 55 (2006) (להלן: </w:t>
      </w:r>
      <w:r w:rsidRPr="00B00F53">
        <w:rPr>
          <w:rFonts w:cs="Miriam" w:hint="cs"/>
          <w:b/>
          <w:spacing w:val="0"/>
          <w:sz w:val="22"/>
          <w:szCs w:val="24"/>
          <w:rtl/>
        </w:rPr>
        <w:t>עניין ועדת המעקב</w:t>
      </w:r>
      <w:r w:rsidRPr="00B00F53">
        <w:rPr>
          <w:rFonts w:hint="cs"/>
          <w:rtl/>
        </w:rPr>
        <w:t xml:space="preserve">)). עם זאת, מדובר רק ברכיב אחד </w:t>
      </w:r>
      <w:r>
        <w:rPr>
          <w:rFonts w:hint="cs"/>
          <w:rtl/>
        </w:rPr>
        <w:t xml:space="preserve">של </w:t>
      </w:r>
      <w:r w:rsidRPr="00B00F53">
        <w:rPr>
          <w:rFonts w:hint="cs"/>
          <w:rtl/>
        </w:rPr>
        <w:t xml:space="preserve">עקרון הפרדת הרשויות. כיום ברור לכל כי הפרדת רשויות במדינה דמוקרטית משמעה גם </w:t>
      </w:r>
      <w:r w:rsidRPr="00B00F53">
        <w:rPr>
          <w:rFonts w:cs="Miriam" w:hint="cs"/>
          <w:b/>
          <w:spacing w:val="0"/>
          <w:sz w:val="22"/>
          <w:szCs w:val="24"/>
          <w:rtl/>
        </w:rPr>
        <w:t>פיקוח הדדי</w:t>
      </w:r>
      <w:r w:rsidRPr="00B00F53">
        <w:rPr>
          <w:rFonts w:hint="cs"/>
          <w:rtl/>
        </w:rPr>
        <w:t xml:space="preserve"> בין הרשויות כך שכל אחת </w:t>
      </w:r>
      <w:r>
        <w:rPr>
          <w:rFonts w:hint="cs"/>
          <w:rtl/>
        </w:rPr>
        <w:t>מהן</w:t>
      </w:r>
      <w:r w:rsidRPr="00B00F53">
        <w:rPr>
          <w:rFonts w:hint="cs"/>
          <w:rtl/>
        </w:rPr>
        <w:t xml:space="preserve"> מאזנת ובולמת את הרשויות האחרות (</w:t>
      </w:r>
      <w:r w:rsidRPr="00B00F53">
        <w:rPr>
          <w:rFonts w:cs="Miriam" w:hint="cs"/>
          <w:b/>
          <w:spacing w:val="0"/>
          <w:sz w:val="22"/>
          <w:szCs w:val="24"/>
          <w:rtl/>
        </w:rPr>
        <w:t>שם</w:t>
      </w:r>
      <w:r w:rsidRPr="00B00F53">
        <w:rPr>
          <w:rFonts w:hint="cs"/>
          <w:rtl/>
        </w:rPr>
        <w:t xml:space="preserve">; </w:t>
      </w:r>
      <w:r w:rsidRPr="00B00F53">
        <w:rPr>
          <w:rFonts w:hint="eastAsia"/>
          <w:rtl/>
        </w:rPr>
        <w:t>בג</w:t>
      </w:r>
      <w:r w:rsidRPr="00B00F53">
        <w:rPr>
          <w:rtl/>
        </w:rPr>
        <w:t>"</w:t>
      </w:r>
      <w:r w:rsidRPr="00B00F53">
        <w:rPr>
          <w:rFonts w:hint="eastAsia"/>
          <w:rtl/>
        </w:rPr>
        <w:t>ץ</w:t>
      </w:r>
      <w:r w:rsidRPr="00B00F53">
        <w:rPr>
          <w:rtl/>
        </w:rPr>
        <w:t xml:space="preserve"> 5364</w:t>
      </w:r>
      <w:r w:rsidRPr="00B00F53">
        <w:rPr>
          <w:rFonts w:hint="cs"/>
          <w:rtl/>
        </w:rPr>
        <w:t>/</w:t>
      </w:r>
      <w:r w:rsidRPr="00B00F53">
        <w:rPr>
          <w:rtl/>
        </w:rPr>
        <w:t xml:space="preserve">94 </w:t>
      </w:r>
      <w:r w:rsidRPr="00B00F53">
        <w:rPr>
          <w:rFonts w:cs="Miriam" w:hint="eastAsia"/>
          <w:b/>
          <w:spacing w:val="0"/>
          <w:sz w:val="22"/>
          <w:szCs w:val="24"/>
          <w:rtl/>
        </w:rPr>
        <w:t>ולנר</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יושב</w:t>
      </w:r>
      <w:r w:rsidRPr="00B00F53">
        <w:rPr>
          <w:rFonts w:cs="Miriam"/>
          <w:b/>
          <w:spacing w:val="0"/>
          <w:sz w:val="22"/>
          <w:szCs w:val="24"/>
          <w:rtl/>
        </w:rPr>
        <w:t>-</w:t>
      </w:r>
      <w:r w:rsidRPr="00B00F53">
        <w:rPr>
          <w:rFonts w:cs="Miriam" w:hint="eastAsia"/>
          <w:b/>
          <w:spacing w:val="0"/>
          <w:sz w:val="22"/>
          <w:szCs w:val="24"/>
          <w:rtl/>
        </w:rPr>
        <w:t>ראש</w:t>
      </w:r>
      <w:r w:rsidRPr="00B00F53">
        <w:rPr>
          <w:rFonts w:cs="Miriam"/>
          <w:b/>
          <w:spacing w:val="0"/>
          <w:sz w:val="22"/>
          <w:szCs w:val="24"/>
          <w:rtl/>
        </w:rPr>
        <w:t xml:space="preserve"> </w:t>
      </w:r>
      <w:r w:rsidRPr="00B00F53">
        <w:rPr>
          <w:rFonts w:cs="Miriam" w:hint="eastAsia"/>
          <w:b/>
          <w:spacing w:val="0"/>
          <w:sz w:val="22"/>
          <w:szCs w:val="24"/>
          <w:rtl/>
        </w:rPr>
        <w:t>מפלגת</w:t>
      </w:r>
      <w:r w:rsidRPr="00B00F53">
        <w:rPr>
          <w:rFonts w:cs="Miriam"/>
          <w:b/>
          <w:spacing w:val="0"/>
          <w:sz w:val="22"/>
          <w:szCs w:val="24"/>
          <w:rtl/>
        </w:rPr>
        <w:t xml:space="preserve"> </w:t>
      </w:r>
      <w:r w:rsidRPr="00B00F53">
        <w:rPr>
          <w:rFonts w:cs="Miriam" w:hint="eastAsia"/>
          <w:b/>
          <w:spacing w:val="0"/>
          <w:sz w:val="22"/>
          <w:szCs w:val="24"/>
          <w:rtl/>
        </w:rPr>
        <w:t>העבודה</w:t>
      </w:r>
      <w:r w:rsidRPr="00B00F53">
        <w:rPr>
          <w:rFonts w:cs="Miriam"/>
          <w:b/>
          <w:spacing w:val="0"/>
          <w:sz w:val="22"/>
          <w:szCs w:val="24"/>
          <w:rtl/>
        </w:rPr>
        <w:t xml:space="preserve"> </w:t>
      </w:r>
      <w:r w:rsidRPr="00B00F53">
        <w:rPr>
          <w:rFonts w:cs="Miriam" w:hint="eastAsia"/>
          <w:b/>
          <w:spacing w:val="0"/>
          <w:sz w:val="22"/>
          <w:szCs w:val="24"/>
          <w:rtl/>
        </w:rPr>
        <w:t>הישראלית</w:t>
      </w:r>
      <w:r w:rsidRPr="00B00F53">
        <w:rPr>
          <w:rtl/>
        </w:rPr>
        <w:t>,</w:t>
      </w:r>
      <w:r w:rsidRPr="00B00F53">
        <w:rPr>
          <w:rFonts w:hint="cs"/>
          <w:rtl/>
        </w:rPr>
        <w:t xml:space="preserve"> פ"ד</w:t>
      </w:r>
      <w:r w:rsidRPr="00B00F53">
        <w:rPr>
          <w:rtl/>
        </w:rPr>
        <w:t xml:space="preserve"> </w:t>
      </w:r>
      <w:r w:rsidRPr="00B00F53">
        <w:rPr>
          <w:rFonts w:hint="eastAsia"/>
          <w:rtl/>
        </w:rPr>
        <w:t>מט</w:t>
      </w:r>
      <w:r w:rsidRPr="00B00F53">
        <w:rPr>
          <w:rtl/>
        </w:rPr>
        <w:t>(1) 758</w:t>
      </w:r>
      <w:r w:rsidRPr="00B00F53">
        <w:rPr>
          <w:rFonts w:hint="cs"/>
          <w:rtl/>
        </w:rPr>
        <w:t xml:space="preserve">, </w:t>
      </w:r>
      <w:r>
        <w:rPr>
          <w:rFonts w:hint="cs"/>
          <w:rtl/>
        </w:rPr>
        <w:t xml:space="preserve">783 </w:t>
      </w:r>
      <w:r w:rsidRPr="00B00F53">
        <w:rPr>
          <w:rFonts w:hint="cs"/>
          <w:rtl/>
        </w:rPr>
        <w:t xml:space="preserve">(1995); ראו גם: </w:t>
      </w:r>
      <w:r w:rsidRPr="006F31B9">
        <w:rPr>
          <w:rtl/>
        </w:rPr>
        <w:t>בג"ץ 306</w:t>
      </w:r>
      <w:r>
        <w:rPr>
          <w:rFonts w:hint="cs"/>
          <w:rtl/>
        </w:rPr>
        <w:t>/</w:t>
      </w:r>
      <w:r w:rsidRPr="006F31B9">
        <w:rPr>
          <w:rtl/>
        </w:rPr>
        <w:t xml:space="preserve">81 </w:t>
      </w:r>
      <w:r w:rsidRPr="00526FF8">
        <w:rPr>
          <w:rFonts w:ascii="Century" w:hAnsi="Century" w:cs="Miriam" w:hint="eastAsia"/>
          <w:b/>
          <w:spacing w:val="0"/>
          <w:sz w:val="22"/>
          <w:szCs w:val="24"/>
          <w:rtl/>
        </w:rPr>
        <w:t>שרון</w:t>
      </w:r>
      <w:r w:rsidRPr="00D32508">
        <w:rPr>
          <w:rFonts w:ascii="Century" w:hAnsi="Century" w:cs="Miriam"/>
          <w:b/>
          <w:spacing w:val="0"/>
          <w:sz w:val="22"/>
          <w:szCs w:val="24"/>
          <w:rtl/>
        </w:rPr>
        <w:t xml:space="preserve"> </w:t>
      </w:r>
      <w:r w:rsidRPr="00D32508">
        <w:rPr>
          <w:rFonts w:ascii="Century" w:hAnsi="Century" w:cs="Miriam" w:hint="eastAsia"/>
          <w:b/>
          <w:spacing w:val="0"/>
          <w:sz w:val="22"/>
          <w:szCs w:val="24"/>
          <w:rtl/>
        </w:rPr>
        <w:t>נ</w:t>
      </w:r>
      <w:r w:rsidRPr="00D32508">
        <w:rPr>
          <w:rFonts w:ascii="Century" w:hAnsi="Century" w:cs="Miriam"/>
          <w:b/>
          <w:spacing w:val="0"/>
          <w:sz w:val="22"/>
          <w:szCs w:val="24"/>
          <w:rtl/>
        </w:rPr>
        <w:t xml:space="preserve">' </w:t>
      </w:r>
      <w:r w:rsidRPr="00526FF8">
        <w:rPr>
          <w:rFonts w:ascii="Century" w:hAnsi="Century" w:cs="Miriam" w:hint="eastAsia"/>
          <w:b/>
          <w:spacing w:val="0"/>
          <w:sz w:val="22"/>
          <w:szCs w:val="24"/>
          <w:rtl/>
        </w:rPr>
        <w:t>ועדת</w:t>
      </w:r>
      <w:r w:rsidRPr="00D32508">
        <w:rPr>
          <w:rFonts w:ascii="Century" w:hAnsi="Century" w:cs="Miriam"/>
          <w:b/>
          <w:spacing w:val="0"/>
          <w:sz w:val="22"/>
          <w:szCs w:val="24"/>
          <w:rtl/>
        </w:rPr>
        <w:t xml:space="preserve"> </w:t>
      </w:r>
      <w:r w:rsidRPr="00D32508">
        <w:rPr>
          <w:rFonts w:ascii="Century" w:hAnsi="Century" w:cs="Miriam" w:hint="eastAsia"/>
          <w:b/>
          <w:spacing w:val="0"/>
          <w:sz w:val="22"/>
          <w:szCs w:val="24"/>
          <w:rtl/>
        </w:rPr>
        <w:t>הכנסת</w:t>
      </w:r>
      <w:r w:rsidRPr="006F31B9">
        <w:rPr>
          <w:rtl/>
        </w:rPr>
        <w:t>, פ"ד לה(4) 118</w:t>
      </w:r>
      <w:r>
        <w:rPr>
          <w:rFonts w:hint="cs"/>
          <w:rtl/>
        </w:rPr>
        <w:t>, 141</w:t>
      </w:r>
      <w:r w:rsidRPr="006F31B9" w:rsidDel="006F31B9">
        <w:rPr>
          <w:rFonts w:hint="eastAsia"/>
          <w:rtl/>
        </w:rPr>
        <w:t xml:space="preserve"> </w:t>
      </w:r>
      <w:r>
        <w:rPr>
          <w:rFonts w:hint="cs"/>
          <w:rtl/>
        </w:rPr>
        <w:t>(1981)</w:t>
      </w:r>
      <w:r w:rsidRPr="00B00F53">
        <w:rPr>
          <w:rFonts w:hint="cs"/>
          <w:rtl/>
        </w:rPr>
        <w:t xml:space="preserve">; </w:t>
      </w:r>
      <w:r w:rsidRPr="00B00F53">
        <w:rPr>
          <w:rFonts w:cs="Miriam" w:hint="cs"/>
          <w:b/>
          <w:spacing w:val="0"/>
          <w:sz w:val="22"/>
          <w:szCs w:val="24"/>
          <w:rtl/>
        </w:rPr>
        <w:t>רובינשטיין ומדינה</w:t>
      </w:r>
      <w:r w:rsidRPr="00B00F53">
        <w:rPr>
          <w:rFonts w:hint="cs"/>
          <w:rtl/>
        </w:rPr>
        <w:t>, בעמ' 128-127). כפי שצוין בפסיקה, "נוסחה עדינה ומורכבת זו של ביזור סמכויות ופיקוח הדדי היא המניעה את שלוש רשויות השלטון והקובעת את יחסיהן ההדדיים; מכוחה מתקיימים ונשמרים שלטון החוק והדמוקרטיה; ו</w:t>
      </w:r>
      <w:r w:rsidRPr="00B00F53">
        <w:rPr>
          <w:rFonts w:cs="Miriam" w:hint="cs"/>
          <w:b/>
          <w:spacing w:val="0"/>
          <w:sz w:val="22"/>
          <w:szCs w:val="24"/>
          <w:rtl/>
        </w:rPr>
        <w:t>שיבושה עלול לסכן את המישטר כולו</w:t>
      </w:r>
      <w:r w:rsidRPr="00B00F53">
        <w:rPr>
          <w:rFonts w:hint="cs"/>
          <w:rtl/>
        </w:rPr>
        <w:t xml:space="preserve">" (עניין </w:t>
      </w:r>
      <w:r w:rsidRPr="00B00F53">
        <w:rPr>
          <w:rFonts w:cs="Miriam" w:hint="cs"/>
          <w:b/>
          <w:spacing w:val="0"/>
          <w:sz w:val="22"/>
          <w:szCs w:val="24"/>
          <w:rtl/>
        </w:rPr>
        <w:t>ועדת המעקב</w:t>
      </w:r>
      <w:r w:rsidRPr="00B00F53">
        <w:rPr>
          <w:rFonts w:hint="cs"/>
          <w:rtl/>
        </w:rPr>
        <w:t>, בעמ' 55; ההדגשה הוספה).</w:t>
      </w:r>
    </w:p>
    <w:p w:rsidR="00C044AE" w:rsidRPr="00B00F53" w:rsidRDefault="00C044AE" w:rsidP="00C044AE">
      <w:pPr>
        <w:pStyle w:val="Ruller41"/>
        <w:rPr>
          <w:rFonts w:ascii="Garamond" w:hAnsi="Garamond"/>
          <w:rtl/>
        </w:rPr>
      </w:pPr>
    </w:p>
    <w:p w:rsidR="00C044AE" w:rsidRPr="00B00F53" w:rsidRDefault="00C044AE" w:rsidP="00C044AE">
      <w:pPr>
        <w:pStyle w:val="Ruller41"/>
        <w:rPr>
          <w:rFonts w:ascii="Garamond" w:hAnsi="Garamond"/>
          <w:rtl/>
        </w:rPr>
      </w:pPr>
      <w:r w:rsidRPr="00B00F53">
        <w:rPr>
          <w:rFonts w:ascii="Garamond" w:hAnsi="Garamond"/>
          <w:rtl/>
        </w:rPr>
        <w:tab/>
      </w:r>
      <w:r>
        <w:rPr>
          <w:rFonts w:ascii="Garamond" w:hAnsi="Garamond" w:hint="cs"/>
          <w:rtl/>
        </w:rPr>
        <w:t>חשוב להדגיש</w:t>
      </w:r>
      <w:r w:rsidRPr="00B00F53">
        <w:rPr>
          <w:rFonts w:ascii="Garamond" w:hAnsi="Garamond" w:hint="cs"/>
          <w:rtl/>
        </w:rPr>
        <w:t xml:space="preserve"> </w:t>
      </w:r>
      <w:r w:rsidRPr="00B00F53">
        <w:rPr>
          <w:rFonts w:ascii="Garamond" w:hAnsi="Garamond"/>
          <w:rtl/>
        </w:rPr>
        <w:t>–</w:t>
      </w:r>
      <w:r w:rsidRPr="00B00F53">
        <w:rPr>
          <w:rFonts w:ascii="Garamond" w:hAnsi="Garamond" w:hint="cs"/>
          <w:rtl/>
        </w:rPr>
        <w:t xml:space="preserve"> תכליתו המרכזית של עקרון הפרדת הרשויות אינה מתמקדת ברשויות עצמן ובתקינות היחסים ביניהן. הפרדת הרשויות נועדה למנוע "ריכוז כוח בידי גורם שלטוני אחד באופן העשוי לפגוע בחירות הפרט" (עניין </w:t>
      </w:r>
      <w:r w:rsidRPr="00B00F53">
        <w:rPr>
          <w:rFonts w:ascii="Garamond" w:hAnsi="Garamond" w:cs="Miriam" w:hint="cs"/>
          <w:b/>
          <w:spacing w:val="0"/>
          <w:szCs w:val="24"/>
          <w:rtl/>
        </w:rPr>
        <w:t>רובינשטיין</w:t>
      </w:r>
      <w:r w:rsidRPr="00B00F53">
        <w:rPr>
          <w:rFonts w:ascii="Garamond" w:hAnsi="Garamond" w:hint="cs"/>
          <w:rtl/>
        </w:rPr>
        <w:t xml:space="preserve">, בעמ' 512; לעניין מקורותיו ההיסטוריים של עקרון הפרדת הרשויות ראו: </w:t>
      </w:r>
      <w:r w:rsidRPr="00B00F53">
        <w:rPr>
          <w:rFonts w:ascii="Garamond" w:hAnsi="Garamond" w:cs="Miriam" w:hint="cs"/>
          <w:b/>
          <w:spacing w:val="0"/>
          <w:szCs w:val="24"/>
          <w:rtl/>
        </w:rPr>
        <w:t>ביזור סמכויות</w:t>
      </w:r>
      <w:r w:rsidRPr="00B00F53">
        <w:rPr>
          <w:rFonts w:ascii="Garamond" w:hAnsi="Garamond" w:hint="cs"/>
          <w:rtl/>
        </w:rPr>
        <w:t>, בעמ' 24-13). אכן, מדובר בעקרון שכל כולו נשען על הצורך ב</w:t>
      </w:r>
      <w:r w:rsidRPr="00B00F53">
        <w:rPr>
          <w:rFonts w:ascii="Garamond" w:hAnsi="Garamond" w:cs="Miriam" w:hint="cs"/>
          <w:b/>
          <w:spacing w:val="0"/>
          <w:szCs w:val="24"/>
          <w:rtl/>
        </w:rPr>
        <w:t>הגנה על הפרט מפני השלטון</w:t>
      </w:r>
      <w:r w:rsidRPr="00B00F53">
        <w:rPr>
          <w:rFonts w:ascii="Garamond" w:hAnsi="Garamond" w:hint="cs"/>
          <w:rtl/>
        </w:rPr>
        <w:t xml:space="preserve">. </w:t>
      </w:r>
    </w:p>
    <w:p w:rsidR="00C044AE" w:rsidRPr="00B00F53" w:rsidRDefault="00C044AE" w:rsidP="00C044AE">
      <w:pPr>
        <w:pStyle w:val="Ruller41"/>
        <w:rPr>
          <w:rFonts w:ascii="Garamond" w:hAnsi="Garamond"/>
          <w:rtl/>
        </w:rPr>
      </w:pPr>
    </w:p>
    <w:p w:rsidR="00C044AE" w:rsidRPr="00B00F53" w:rsidRDefault="00C044AE" w:rsidP="00C044AE">
      <w:pPr>
        <w:pStyle w:val="Ruller4"/>
      </w:pPr>
      <w:r w:rsidRPr="00B00F53">
        <w:rPr>
          <w:rFonts w:hint="cs"/>
          <w:rtl/>
        </w:rPr>
        <w:t>בהתחשב בכוח הרב המרוכז בידי הרשות המבצעת בכלל והממשלה בפרט בשיטה הישראלית, הביקורת השיפוטית מהווה מנגנון פיקוח</w:t>
      </w:r>
      <w:r>
        <w:rPr>
          <w:rFonts w:hint="cs"/>
          <w:rtl/>
        </w:rPr>
        <w:t xml:space="preserve"> שלא ניתן להפריז </w:t>
      </w:r>
      <w:r>
        <w:rPr>
          <w:rFonts w:hint="cs"/>
          <w:rtl/>
        </w:rPr>
        <w:lastRenderedPageBreak/>
        <w:t>בחשיבותו</w:t>
      </w:r>
      <w:r w:rsidRPr="00B00F53">
        <w:rPr>
          <w:rFonts w:hint="cs"/>
          <w:rtl/>
        </w:rPr>
        <w:t xml:space="preserve"> להבטחת ההגנה על הפרט מפני פגיעה שלטונית. בהקשר זה כבר נפסק כי "היעדר פיקוח שיפוטי סופו פגיעה בחירותו של האדם" (</w:t>
      </w:r>
      <w:r w:rsidRPr="00B00F53">
        <w:rPr>
          <w:rFonts w:hint="eastAsia"/>
          <w:rtl/>
        </w:rPr>
        <w:t>רע</w:t>
      </w:r>
      <w:r w:rsidRPr="00B00F53">
        <w:rPr>
          <w:rtl/>
        </w:rPr>
        <w:t>"</w:t>
      </w:r>
      <w:r w:rsidRPr="00B00F53">
        <w:rPr>
          <w:rFonts w:hint="eastAsia"/>
          <w:rtl/>
        </w:rPr>
        <w:t>פ</w:t>
      </w:r>
      <w:r w:rsidRPr="00B00F53">
        <w:rPr>
          <w:rtl/>
        </w:rPr>
        <w:t xml:space="preserve"> 2060</w:t>
      </w:r>
      <w:r w:rsidRPr="00B00F53">
        <w:rPr>
          <w:rFonts w:hint="cs"/>
          <w:rtl/>
        </w:rPr>
        <w:t>/</w:t>
      </w:r>
      <w:r w:rsidRPr="00B00F53">
        <w:rPr>
          <w:rtl/>
        </w:rPr>
        <w:t xml:space="preserve">97 </w:t>
      </w:r>
      <w:r w:rsidRPr="00B00F53">
        <w:rPr>
          <w:rFonts w:cs="Miriam" w:hint="eastAsia"/>
          <w:b/>
          <w:spacing w:val="0"/>
          <w:sz w:val="22"/>
          <w:szCs w:val="24"/>
          <w:rtl/>
        </w:rPr>
        <w:t>וילנצ</w:t>
      </w:r>
      <w:r w:rsidRPr="00B00F53">
        <w:rPr>
          <w:rFonts w:cs="Miriam"/>
          <w:b/>
          <w:spacing w:val="0"/>
          <w:sz w:val="22"/>
          <w:szCs w:val="24"/>
          <w:rtl/>
        </w:rPr>
        <w:t>'</w:t>
      </w:r>
      <w:r w:rsidRPr="00B00F53">
        <w:rPr>
          <w:rFonts w:cs="Miriam" w:hint="eastAsia"/>
          <w:b/>
          <w:spacing w:val="0"/>
          <w:sz w:val="22"/>
          <w:szCs w:val="24"/>
          <w:rtl/>
        </w:rPr>
        <w:t>יק</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הפסיכיאטר</w:t>
      </w:r>
      <w:r w:rsidRPr="00B00F53">
        <w:rPr>
          <w:rFonts w:cs="Miriam"/>
          <w:b/>
          <w:spacing w:val="0"/>
          <w:sz w:val="22"/>
          <w:szCs w:val="24"/>
          <w:rtl/>
        </w:rPr>
        <w:t xml:space="preserve"> </w:t>
      </w:r>
      <w:r w:rsidRPr="00B00F53">
        <w:rPr>
          <w:rFonts w:cs="Miriam" w:hint="eastAsia"/>
          <w:b/>
          <w:spacing w:val="0"/>
          <w:sz w:val="22"/>
          <w:szCs w:val="24"/>
          <w:rtl/>
        </w:rPr>
        <w:t>המחוזי</w:t>
      </w:r>
      <w:r w:rsidRPr="00B00F53">
        <w:rPr>
          <w:rFonts w:cs="Miriam"/>
          <w:b/>
          <w:spacing w:val="0"/>
          <w:sz w:val="22"/>
          <w:szCs w:val="24"/>
          <w:rtl/>
        </w:rPr>
        <w:t xml:space="preserve"> – </w:t>
      </w:r>
      <w:r w:rsidRPr="00B00F53">
        <w:rPr>
          <w:rFonts w:cs="Miriam" w:hint="eastAsia"/>
          <w:b/>
          <w:spacing w:val="0"/>
          <w:sz w:val="22"/>
          <w:szCs w:val="24"/>
          <w:rtl/>
        </w:rPr>
        <w:t>תל</w:t>
      </w:r>
      <w:r w:rsidRPr="00B00F53">
        <w:rPr>
          <w:rFonts w:cs="Miriam"/>
          <w:b/>
          <w:spacing w:val="0"/>
          <w:sz w:val="22"/>
          <w:szCs w:val="24"/>
          <w:rtl/>
        </w:rPr>
        <w:t>-</w:t>
      </w:r>
      <w:r w:rsidRPr="00B00F53">
        <w:rPr>
          <w:rFonts w:cs="Miriam" w:hint="eastAsia"/>
          <w:b/>
          <w:spacing w:val="0"/>
          <w:sz w:val="22"/>
          <w:szCs w:val="24"/>
          <w:rtl/>
        </w:rPr>
        <w:t>אביב</w:t>
      </w:r>
      <w:r w:rsidRPr="00B00F53">
        <w:rPr>
          <w:rtl/>
        </w:rPr>
        <w:t xml:space="preserve">, </w:t>
      </w:r>
      <w:r w:rsidRPr="00B00F53">
        <w:rPr>
          <w:rFonts w:hint="eastAsia"/>
          <w:rtl/>
        </w:rPr>
        <w:t>פ</w:t>
      </w:r>
      <w:r w:rsidRPr="00B00F53">
        <w:rPr>
          <w:rtl/>
        </w:rPr>
        <w:t>"</w:t>
      </w:r>
      <w:r w:rsidRPr="00B00F53">
        <w:rPr>
          <w:rFonts w:hint="eastAsia"/>
          <w:rtl/>
        </w:rPr>
        <w:t>ד</w:t>
      </w:r>
      <w:r w:rsidRPr="00B00F53">
        <w:rPr>
          <w:rtl/>
        </w:rPr>
        <w:t xml:space="preserve"> </w:t>
      </w:r>
      <w:r w:rsidRPr="00B00F53">
        <w:rPr>
          <w:rFonts w:hint="eastAsia"/>
          <w:rtl/>
        </w:rPr>
        <w:t>נב</w:t>
      </w:r>
      <w:r w:rsidRPr="00B00F53">
        <w:rPr>
          <w:rtl/>
        </w:rPr>
        <w:t>(1) 697</w:t>
      </w:r>
      <w:r w:rsidRPr="00B00F53">
        <w:rPr>
          <w:rFonts w:hint="cs"/>
          <w:rtl/>
        </w:rPr>
        <w:t xml:space="preserve">, </w:t>
      </w:r>
      <w:r>
        <w:rPr>
          <w:rFonts w:hint="cs"/>
          <w:rtl/>
        </w:rPr>
        <w:t>713</w:t>
      </w:r>
      <w:r w:rsidRPr="00B00F53">
        <w:rPr>
          <w:rFonts w:hint="cs"/>
          <w:rtl/>
        </w:rPr>
        <w:t xml:space="preserve"> (1998)). </w:t>
      </w:r>
    </w:p>
    <w:p w:rsidR="00C044AE" w:rsidRPr="00B00F53" w:rsidRDefault="00C044AE" w:rsidP="00C044AE">
      <w:pPr>
        <w:pStyle w:val="Ruller4"/>
        <w:numPr>
          <w:ilvl w:val="0"/>
          <w:numId w:val="0"/>
        </w:numPr>
        <w:rPr>
          <w:rtl/>
        </w:rPr>
      </w:pPr>
    </w:p>
    <w:p w:rsidR="00C044AE" w:rsidRPr="00B00F53" w:rsidRDefault="00C044AE" w:rsidP="00C044AE">
      <w:pPr>
        <w:pStyle w:val="Ruller4"/>
        <w:numPr>
          <w:ilvl w:val="0"/>
          <w:numId w:val="0"/>
        </w:numPr>
        <w:rPr>
          <w:rtl/>
        </w:rPr>
      </w:pPr>
      <w:r w:rsidRPr="00B00F53">
        <w:rPr>
          <w:rtl/>
        </w:rPr>
        <w:tab/>
      </w:r>
      <w:r w:rsidRPr="00B00F53">
        <w:rPr>
          <w:rFonts w:hint="cs"/>
          <w:rtl/>
        </w:rPr>
        <w:t xml:space="preserve">לענייננו יש להדגיש כי "על פי תפישת המשפט המינהלי בדורות האחרונים משמשת עילת הסבירות מכשיר עיקרי וחיוני של הביקורת השיפוטית על המינהל והיא ניצבת במוקד ההגנה על הפרט והציבור מפני שרירות השלטון" (עניין </w:t>
      </w:r>
      <w:r w:rsidRPr="00B00F53">
        <w:rPr>
          <w:rFonts w:cs="Miriam" w:hint="cs"/>
          <w:b/>
          <w:spacing w:val="0"/>
          <w:sz w:val="22"/>
          <w:szCs w:val="24"/>
          <w:rtl/>
        </w:rPr>
        <w:t>אמונה</w:t>
      </w:r>
      <w:r w:rsidRPr="00B00F53">
        <w:rPr>
          <w:rFonts w:hint="cs"/>
          <w:rtl/>
        </w:rPr>
        <w:t>, בעמ' 486). כפי שיובהר להלן, תיקון מס' 3 לחוק-יסוד: השפיטה</w:t>
      </w:r>
      <w:r>
        <w:rPr>
          <w:rFonts w:hint="cs"/>
          <w:rtl/>
        </w:rPr>
        <w:t>,</w:t>
      </w:r>
      <w:r w:rsidRPr="00B00F53">
        <w:rPr>
          <w:rFonts w:hint="cs"/>
          <w:rtl/>
        </w:rPr>
        <w:t xml:space="preserve"> מוביל לריכוז כוח שלטוני רב</w:t>
      </w:r>
      <w:r>
        <w:rPr>
          <w:rFonts w:hint="cs"/>
          <w:rtl/>
        </w:rPr>
        <w:t xml:space="preserve"> עוד יותר</w:t>
      </w:r>
      <w:r w:rsidRPr="00B00F53">
        <w:rPr>
          <w:rFonts w:hint="cs"/>
          <w:rtl/>
        </w:rPr>
        <w:t xml:space="preserve"> בידי הדרג הנבחר </w:t>
      </w:r>
      <w:r>
        <w:rPr>
          <w:rFonts w:hint="cs"/>
          <w:rtl/>
        </w:rPr>
        <w:t>ו</w:t>
      </w:r>
      <w:r w:rsidRPr="00B00F53">
        <w:rPr>
          <w:rFonts w:hint="cs"/>
          <w:rtl/>
        </w:rPr>
        <w:t>לכך שבמצבים רבים</w:t>
      </w:r>
      <w:r>
        <w:rPr>
          <w:rFonts w:hint="cs"/>
          <w:rtl/>
        </w:rPr>
        <w:t xml:space="preserve"> הפרט ייוותר</w:t>
      </w:r>
      <w:r w:rsidRPr="00B00F53">
        <w:rPr>
          <w:rFonts w:hint="cs"/>
          <w:rtl/>
        </w:rPr>
        <w:t xml:space="preserve"> </w:t>
      </w:r>
      <w:r>
        <w:rPr>
          <w:rFonts w:hint="cs"/>
          <w:rtl/>
        </w:rPr>
        <w:t>ללא</w:t>
      </w:r>
      <w:r w:rsidRPr="00B00F53">
        <w:rPr>
          <w:rFonts w:hint="cs"/>
          <w:rtl/>
        </w:rPr>
        <w:t xml:space="preserve"> כל הגנה מ</w:t>
      </w:r>
      <w:r>
        <w:rPr>
          <w:rFonts w:hint="cs"/>
          <w:rtl/>
        </w:rPr>
        <w:t xml:space="preserve">פני </w:t>
      </w:r>
      <w:r w:rsidRPr="00B00F53">
        <w:rPr>
          <w:rFonts w:hint="cs"/>
          <w:rtl/>
        </w:rPr>
        <w:t xml:space="preserve">פגיעה חמורה בו על ידי הממשלה או </w:t>
      </w:r>
      <w:r>
        <w:rPr>
          <w:rFonts w:hint="cs"/>
          <w:rtl/>
        </w:rPr>
        <w:t>מי מ</w:t>
      </w:r>
      <w:r w:rsidRPr="00B00F53">
        <w:rPr>
          <w:rFonts w:hint="cs"/>
          <w:rtl/>
        </w:rPr>
        <w:t xml:space="preserve">חבריה, </w:t>
      </w:r>
      <w:r>
        <w:rPr>
          <w:rFonts w:hint="cs"/>
          <w:rtl/>
        </w:rPr>
        <w:t>מאחר ש</w:t>
      </w:r>
      <w:r w:rsidRPr="00B00F53">
        <w:rPr>
          <w:rFonts w:hint="cs"/>
          <w:rtl/>
        </w:rPr>
        <w:t>דרכו לבית המשפט נחסמה כליל.</w:t>
      </w:r>
    </w:p>
    <w:p w:rsidR="00C044AE" w:rsidRPr="00B00F53" w:rsidRDefault="00C044AE" w:rsidP="00C044AE">
      <w:pPr>
        <w:pStyle w:val="Ruller41"/>
        <w:rPr>
          <w:rFonts w:ascii="Garamond" w:hAnsi="Garamond"/>
          <w:rtl/>
        </w:rPr>
      </w:pPr>
    </w:p>
    <w:p w:rsidR="00C044AE" w:rsidRPr="003F5F24" w:rsidRDefault="00C044AE" w:rsidP="00C044AE">
      <w:pPr>
        <w:pStyle w:val="Ruller4"/>
      </w:pPr>
      <w:r w:rsidRPr="00B00F53">
        <w:rPr>
          <w:rFonts w:hint="cs"/>
          <w:rtl/>
        </w:rPr>
        <w:t>מדברי ההסבר להצעת התיקון ניתן להסיק כי התפיסה שעמדה בבסיסו היא שהחלטות הדרג הנבחר עוסקות</w:t>
      </w:r>
      <w:r>
        <w:rPr>
          <w:rFonts w:hint="cs"/>
          <w:rtl/>
        </w:rPr>
        <w:t>,</w:t>
      </w:r>
      <w:r w:rsidRPr="00B00F53">
        <w:rPr>
          <w:rFonts w:hint="cs"/>
          <w:rtl/>
        </w:rPr>
        <w:t xml:space="preserve"> ככלל</w:t>
      </w:r>
      <w:r>
        <w:rPr>
          <w:rFonts w:hint="cs"/>
          <w:rtl/>
        </w:rPr>
        <w:t>,</w:t>
      </w:r>
      <w:r w:rsidRPr="00B00F53">
        <w:rPr>
          <w:rFonts w:hint="cs"/>
          <w:rtl/>
        </w:rPr>
        <w:t xml:space="preserve"> בהתוויית מדיניות עקרונית המבוססת על </w:t>
      </w:r>
      <w:r>
        <w:rPr>
          <w:rFonts w:hint="cs"/>
          <w:rtl/>
        </w:rPr>
        <w:t>השקפת</w:t>
      </w:r>
      <w:r w:rsidRPr="00B00F53">
        <w:rPr>
          <w:rFonts w:hint="cs"/>
          <w:rtl/>
        </w:rPr>
        <w:t xml:space="preserve"> העולם שבשמה נבחרו חברי הממשלה, ומשכך "</w:t>
      </w:r>
      <w:r w:rsidRPr="00B00F53">
        <w:rPr>
          <w:rtl/>
        </w:rPr>
        <w:t>קביעת האיזון הערכי בין השיקולים השונים הנוגעים להחלטה מינהלית צריכה להיות נתונה לנבחרי הציבור ולא לבית המשפט</w:t>
      </w:r>
      <w:r w:rsidRPr="00B00F53">
        <w:rPr>
          <w:rFonts w:hint="cs"/>
          <w:rtl/>
        </w:rPr>
        <w:t>" (עמ' 110 להצעת התיקון). עם זאת, כפי שהובהר לאורך דיוני הוועדה, החלטות הממשלה והשרים אינן מתמצות באיזון תיאורטי בין ערכים</w:t>
      </w:r>
      <w:r>
        <w:rPr>
          <w:rFonts w:hint="cs"/>
          <w:rtl/>
        </w:rPr>
        <w:t>.</w:t>
      </w:r>
      <w:r w:rsidRPr="00B00F53">
        <w:rPr>
          <w:rFonts w:hint="cs"/>
          <w:rtl/>
        </w:rPr>
        <w:t xml:space="preserve"> הן משפיעות </w:t>
      </w:r>
      <w:r w:rsidRPr="003F5F24">
        <w:rPr>
          <w:rFonts w:hint="cs"/>
          <w:rtl/>
        </w:rPr>
        <w:t xml:space="preserve">באופן ישיר על חייהם של אנשים ספציפיים, ולעיתים כרוכות בפגיעה קשה בהם (ראו, בין היתר, פרוטוקול ישיבה 105, בעמ' </w:t>
      </w:r>
      <w:r>
        <w:rPr>
          <w:rFonts w:hint="cs"/>
          <w:rtl/>
        </w:rPr>
        <w:t>117-116</w:t>
      </w:r>
      <w:r w:rsidRPr="003F5F24">
        <w:rPr>
          <w:rFonts w:hint="cs"/>
          <w:rtl/>
        </w:rPr>
        <w:t xml:space="preserve">; פרוטוקול ישיבה 121, בעמ' </w:t>
      </w:r>
      <w:r>
        <w:rPr>
          <w:rFonts w:hint="cs"/>
          <w:rtl/>
        </w:rPr>
        <w:t>13</w:t>
      </w:r>
      <w:r w:rsidRPr="003F5F24">
        <w:rPr>
          <w:rFonts w:hint="cs"/>
          <w:rtl/>
        </w:rPr>
        <w:t>-12</w:t>
      </w:r>
      <w:r>
        <w:rPr>
          <w:rFonts w:hint="cs"/>
          <w:rtl/>
        </w:rPr>
        <w:t>, 16-15</w:t>
      </w:r>
      <w:r w:rsidRPr="003F5F24">
        <w:rPr>
          <w:rFonts w:hint="cs"/>
          <w:rtl/>
        </w:rPr>
        <w:t xml:space="preserve">). </w:t>
      </w:r>
    </w:p>
    <w:p w:rsidR="00C044AE" w:rsidRPr="003F5F24" w:rsidRDefault="00C044AE" w:rsidP="00C044AE">
      <w:pPr>
        <w:pStyle w:val="Ruller4"/>
        <w:numPr>
          <w:ilvl w:val="0"/>
          <w:numId w:val="0"/>
        </w:numPr>
        <w:rPr>
          <w:rtl/>
        </w:rPr>
      </w:pPr>
    </w:p>
    <w:p w:rsidR="00C044AE" w:rsidRDefault="00C044AE" w:rsidP="00C044AE">
      <w:pPr>
        <w:pStyle w:val="Ruller4"/>
        <w:rPr>
          <w:rtl/>
        </w:rPr>
      </w:pPr>
      <w:r w:rsidRPr="003F5F24">
        <w:rPr>
          <w:rFonts w:hint="cs"/>
          <w:rtl/>
        </w:rPr>
        <w:t xml:space="preserve">סמכויות רבות שהחוק מקנה לשרי הממשלה עוסקות בעניינים פרטניים הנוגעים ישירות לאדם או לגוף מסוים. במסגרת זו ניתן להזכיר, כרשימה </w:t>
      </w:r>
      <w:r w:rsidRPr="003F5F24">
        <w:rPr>
          <w:rFonts w:ascii="Century" w:hAnsi="Century" w:cs="Miriam" w:hint="cs"/>
          <w:b/>
          <w:spacing w:val="0"/>
          <w:sz w:val="22"/>
          <w:szCs w:val="24"/>
          <w:rtl/>
        </w:rPr>
        <w:t>חלקית ביותר ובלתי ממצה</w:t>
      </w:r>
      <w:r w:rsidRPr="003F5F24">
        <w:rPr>
          <w:rFonts w:hint="cs"/>
          <w:rtl/>
        </w:rPr>
        <w:t>, את הסמכויות הבאות:</w:t>
      </w:r>
    </w:p>
    <w:p w:rsidR="00C044AE" w:rsidRPr="00EC384F" w:rsidRDefault="00C044AE" w:rsidP="00C044AE">
      <w:pPr>
        <w:pStyle w:val="Ruller41"/>
      </w:pPr>
    </w:p>
    <w:p w:rsidR="00C044AE" w:rsidRPr="003F5F24" w:rsidRDefault="00C044AE" w:rsidP="00C044AE">
      <w:pPr>
        <w:pStyle w:val="Ruller4"/>
        <w:numPr>
          <w:ilvl w:val="0"/>
          <w:numId w:val="7"/>
        </w:numPr>
        <w:rPr>
          <w:rtl/>
        </w:rPr>
      </w:pPr>
      <w:r w:rsidRPr="003F5F24">
        <w:rPr>
          <w:rFonts w:hint="cs"/>
          <w:rtl/>
        </w:rPr>
        <w:t xml:space="preserve">סמכויות שר הפנים </w:t>
      </w:r>
      <w:r w:rsidRPr="003F5F24">
        <w:rPr>
          <w:rFonts w:ascii="Century" w:hAnsi="Century" w:cs="Miriam" w:hint="cs"/>
          <w:b/>
          <w:spacing w:val="0"/>
          <w:sz w:val="22"/>
          <w:szCs w:val="24"/>
          <w:rtl/>
        </w:rPr>
        <w:t xml:space="preserve">להעניק או לבטל אזרחות </w:t>
      </w:r>
      <w:r>
        <w:rPr>
          <w:rFonts w:ascii="Century" w:hAnsi="Century" w:cs="Miriam" w:hint="cs"/>
          <w:b/>
          <w:spacing w:val="0"/>
          <w:sz w:val="22"/>
          <w:szCs w:val="24"/>
          <w:rtl/>
        </w:rPr>
        <w:t>ו</w:t>
      </w:r>
      <w:r w:rsidRPr="003F5F24">
        <w:rPr>
          <w:rFonts w:ascii="Century" w:hAnsi="Century" w:cs="Miriam" w:hint="cs"/>
          <w:b/>
          <w:spacing w:val="0"/>
          <w:sz w:val="22"/>
          <w:szCs w:val="24"/>
          <w:rtl/>
        </w:rPr>
        <w:t>אשרת ישיבה ו</w:t>
      </w:r>
      <w:r>
        <w:rPr>
          <w:rFonts w:ascii="Century" w:hAnsi="Century" w:cs="Miriam" w:hint="cs"/>
          <w:b/>
          <w:spacing w:val="0"/>
          <w:sz w:val="22"/>
          <w:szCs w:val="24"/>
          <w:rtl/>
        </w:rPr>
        <w:t xml:space="preserve">כן למנוע קבלת </w:t>
      </w:r>
      <w:r w:rsidRPr="003F5F24">
        <w:rPr>
          <w:rFonts w:ascii="Century" w:hAnsi="Century" w:cs="Miriam" w:hint="cs"/>
          <w:b/>
          <w:spacing w:val="0"/>
          <w:sz w:val="22"/>
          <w:szCs w:val="24"/>
          <w:rtl/>
        </w:rPr>
        <w:t>אשרת עולה</w:t>
      </w:r>
      <w:r w:rsidRPr="003F5F24">
        <w:rPr>
          <w:rFonts w:hint="cs"/>
          <w:rtl/>
        </w:rPr>
        <w:t xml:space="preserve"> (חוק האזרחות, התשי"ב-1952; חוק הכניסה לישראל, התשי"ב-1952; סעיף 2(ב) לחוק השבות).</w:t>
      </w:r>
    </w:p>
    <w:p w:rsidR="00C044AE" w:rsidRPr="003F5F24" w:rsidRDefault="00C044AE" w:rsidP="00C044AE">
      <w:pPr>
        <w:pStyle w:val="Ruller4"/>
        <w:numPr>
          <w:ilvl w:val="0"/>
          <w:numId w:val="7"/>
        </w:numPr>
      </w:pPr>
      <w:r w:rsidRPr="003F5F24">
        <w:rPr>
          <w:rFonts w:hint="cs"/>
          <w:rtl/>
        </w:rPr>
        <w:t xml:space="preserve">סמכויות </w:t>
      </w:r>
      <w:r w:rsidRPr="003F5F24">
        <w:rPr>
          <w:rFonts w:ascii="Century" w:hAnsi="Century" w:cs="Miriam" w:hint="cs"/>
          <w:b/>
          <w:spacing w:val="0"/>
          <w:sz w:val="22"/>
          <w:szCs w:val="24"/>
          <w:rtl/>
        </w:rPr>
        <w:t>להעניק או לבטל רישיונות, זיכיונות והיתרים</w:t>
      </w:r>
      <w:r w:rsidRPr="003F5F24">
        <w:rPr>
          <w:rFonts w:hint="cs"/>
          <w:rtl/>
        </w:rPr>
        <w:t xml:space="preserve"> (ראו, למשל: סעיף 41 לפקודת הרופאים [נוסח חדש], התשל"ז-1976; </w:t>
      </w:r>
      <w:r w:rsidRPr="003F5F24">
        <w:rPr>
          <w:rFonts w:hint="eastAsia"/>
          <w:rtl/>
        </w:rPr>
        <w:t>סעיף</w:t>
      </w:r>
      <w:r w:rsidRPr="003F5F24">
        <w:rPr>
          <w:rtl/>
        </w:rPr>
        <w:t xml:space="preserve"> 19 </w:t>
      </w:r>
      <w:r w:rsidRPr="003F5F24">
        <w:rPr>
          <w:rFonts w:hint="eastAsia"/>
          <w:rtl/>
        </w:rPr>
        <w:t>לחוק</w:t>
      </w:r>
      <w:r w:rsidRPr="003F5F24">
        <w:rPr>
          <w:rtl/>
        </w:rPr>
        <w:t xml:space="preserve"> </w:t>
      </w:r>
      <w:r w:rsidRPr="003F5F24">
        <w:rPr>
          <w:rFonts w:hint="eastAsia"/>
          <w:rtl/>
        </w:rPr>
        <w:t>הרופאים</w:t>
      </w:r>
      <w:r w:rsidRPr="003F5F24">
        <w:rPr>
          <w:rtl/>
        </w:rPr>
        <w:t xml:space="preserve"> </w:t>
      </w:r>
      <w:r w:rsidRPr="003F5F24">
        <w:rPr>
          <w:rFonts w:hint="eastAsia"/>
          <w:rtl/>
        </w:rPr>
        <w:t>הווטרינרים</w:t>
      </w:r>
      <w:r w:rsidRPr="003F5F24">
        <w:rPr>
          <w:rtl/>
        </w:rPr>
        <w:t xml:space="preserve">, </w:t>
      </w:r>
      <w:r w:rsidRPr="003F5F24">
        <w:rPr>
          <w:rFonts w:hint="eastAsia"/>
          <w:rtl/>
        </w:rPr>
        <w:t>התשנ</w:t>
      </w:r>
      <w:r w:rsidRPr="003F5F24">
        <w:rPr>
          <w:rtl/>
        </w:rPr>
        <w:t>"</w:t>
      </w:r>
      <w:r w:rsidRPr="003F5F24">
        <w:rPr>
          <w:rFonts w:hint="eastAsia"/>
          <w:rtl/>
        </w:rPr>
        <w:t>א</w:t>
      </w:r>
      <w:r w:rsidRPr="003F5F24">
        <w:rPr>
          <w:rtl/>
        </w:rPr>
        <w:t>-1991</w:t>
      </w:r>
      <w:r w:rsidRPr="003F5F24">
        <w:rPr>
          <w:rFonts w:hint="cs"/>
          <w:rtl/>
        </w:rPr>
        <w:t xml:space="preserve">; סעיף 10א לחוק משק הגז הטבעי, התשס"ב-2002; סעיף 4(ב2) לחוק משק החשמל, התשנ"ו-1996; סמכויות שונות מכוח חוק התקשורת (בזק ושידורים), התשמ"ב-1982; סעיפים </w:t>
      </w:r>
      <w:r w:rsidRPr="003F5F24">
        <w:rPr>
          <w:rtl/>
        </w:rPr>
        <w:t>11(</w:t>
      </w:r>
      <w:r w:rsidRPr="003F5F24">
        <w:rPr>
          <w:rFonts w:hint="eastAsia"/>
          <w:rtl/>
        </w:rPr>
        <w:t>א</w:t>
      </w:r>
      <w:r w:rsidRPr="003F5F24">
        <w:rPr>
          <w:rtl/>
        </w:rPr>
        <w:t xml:space="preserve">) </w:t>
      </w:r>
      <w:r w:rsidRPr="003F5F24">
        <w:rPr>
          <w:rFonts w:hint="eastAsia"/>
          <w:rtl/>
        </w:rPr>
        <w:t>ו</w:t>
      </w:r>
      <w:r w:rsidRPr="003F5F24">
        <w:rPr>
          <w:rtl/>
        </w:rPr>
        <w:t>-11</w:t>
      </w:r>
      <w:r w:rsidRPr="003F5F24">
        <w:rPr>
          <w:rFonts w:hint="eastAsia"/>
          <w:rtl/>
        </w:rPr>
        <w:t>ב</w:t>
      </w:r>
      <w:r w:rsidRPr="003F5F24">
        <w:rPr>
          <w:rtl/>
        </w:rPr>
        <w:t>(</w:t>
      </w:r>
      <w:r w:rsidRPr="003F5F24">
        <w:rPr>
          <w:rFonts w:hint="eastAsia"/>
          <w:rtl/>
        </w:rPr>
        <w:t>א</w:t>
      </w:r>
      <w:r w:rsidRPr="003F5F24">
        <w:rPr>
          <w:rtl/>
        </w:rPr>
        <w:t>)</w:t>
      </w:r>
      <w:r w:rsidRPr="003F5F24">
        <w:rPr>
          <w:rFonts w:hint="cs"/>
          <w:rtl/>
        </w:rPr>
        <w:t xml:space="preserve"> </w:t>
      </w:r>
      <w:r w:rsidRPr="003F5F24">
        <w:rPr>
          <w:rFonts w:hint="eastAsia"/>
          <w:rtl/>
        </w:rPr>
        <w:t>לחוק</w:t>
      </w:r>
      <w:r w:rsidRPr="003F5F24">
        <w:rPr>
          <w:rtl/>
        </w:rPr>
        <w:t xml:space="preserve"> </w:t>
      </w:r>
      <w:r w:rsidRPr="003F5F24">
        <w:rPr>
          <w:rFonts w:hint="eastAsia"/>
          <w:rtl/>
        </w:rPr>
        <w:t>המהנדסים</w:t>
      </w:r>
      <w:r w:rsidRPr="003F5F24">
        <w:rPr>
          <w:rtl/>
        </w:rPr>
        <w:t xml:space="preserve"> </w:t>
      </w:r>
      <w:r w:rsidRPr="003F5F24">
        <w:rPr>
          <w:rFonts w:hint="eastAsia"/>
          <w:rtl/>
        </w:rPr>
        <w:t>והאדריכלים</w:t>
      </w:r>
      <w:r w:rsidRPr="003F5F24">
        <w:rPr>
          <w:rtl/>
        </w:rPr>
        <w:t xml:space="preserve">, </w:t>
      </w:r>
      <w:r w:rsidRPr="003F5F24">
        <w:rPr>
          <w:rFonts w:hint="eastAsia"/>
          <w:rtl/>
        </w:rPr>
        <w:t>התשי</w:t>
      </w:r>
      <w:r w:rsidRPr="003F5F24">
        <w:rPr>
          <w:rtl/>
        </w:rPr>
        <w:t>"</w:t>
      </w:r>
      <w:r w:rsidRPr="003F5F24">
        <w:rPr>
          <w:rFonts w:hint="eastAsia"/>
          <w:rtl/>
        </w:rPr>
        <w:t>ח</w:t>
      </w:r>
      <w:r w:rsidRPr="003F5F24">
        <w:rPr>
          <w:rtl/>
        </w:rPr>
        <w:t>-1958</w:t>
      </w:r>
      <w:r w:rsidRPr="003F5F24">
        <w:rPr>
          <w:rFonts w:hint="cs"/>
          <w:rtl/>
        </w:rPr>
        <w:t xml:space="preserve">; </w:t>
      </w:r>
      <w:r w:rsidRPr="003F5F24">
        <w:rPr>
          <w:rFonts w:hint="eastAsia"/>
          <w:rtl/>
        </w:rPr>
        <w:t>סעיף</w:t>
      </w:r>
      <w:r w:rsidRPr="003F5F24">
        <w:rPr>
          <w:rtl/>
        </w:rPr>
        <w:t xml:space="preserve"> 3 </w:t>
      </w:r>
      <w:r w:rsidRPr="003F5F24">
        <w:rPr>
          <w:rFonts w:hint="eastAsia"/>
          <w:rtl/>
        </w:rPr>
        <w:t>לחוק</w:t>
      </w:r>
      <w:r w:rsidRPr="003F5F24">
        <w:rPr>
          <w:rtl/>
        </w:rPr>
        <w:t xml:space="preserve"> </w:t>
      </w:r>
      <w:r w:rsidRPr="003F5F24">
        <w:rPr>
          <w:rFonts w:hint="eastAsia"/>
          <w:rtl/>
        </w:rPr>
        <w:t>בשר</w:t>
      </w:r>
      <w:r w:rsidRPr="003F5F24">
        <w:rPr>
          <w:rtl/>
        </w:rPr>
        <w:t xml:space="preserve"> </w:t>
      </w:r>
      <w:r w:rsidRPr="003F5F24">
        <w:rPr>
          <w:rFonts w:hint="eastAsia"/>
          <w:rtl/>
        </w:rPr>
        <w:t>ומוצריו</w:t>
      </w:r>
      <w:r w:rsidRPr="003F5F24">
        <w:rPr>
          <w:rtl/>
        </w:rPr>
        <w:t xml:space="preserve">, </w:t>
      </w:r>
      <w:r w:rsidRPr="003F5F24">
        <w:rPr>
          <w:rFonts w:hint="eastAsia"/>
          <w:rtl/>
        </w:rPr>
        <w:t>התשנ</w:t>
      </w:r>
      <w:r w:rsidRPr="003F5F24">
        <w:rPr>
          <w:rtl/>
        </w:rPr>
        <w:t>"</w:t>
      </w:r>
      <w:r w:rsidRPr="003F5F24">
        <w:rPr>
          <w:rFonts w:hint="eastAsia"/>
          <w:rtl/>
        </w:rPr>
        <w:t>ד</w:t>
      </w:r>
      <w:r w:rsidRPr="003F5F24">
        <w:rPr>
          <w:rtl/>
        </w:rPr>
        <w:t>-</w:t>
      </w:r>
      <w:r w:rsidRPr="003F5F24">
        <w:rPr>
          <w:rtl/>
        </w:rPr>
        <w:lastRenderedPageBreak/>
        <w:t>1994</w:t>
      </w:r>
      <w:r w:rsidRPr="003F5F24">
        <w:rPr>
          <w:rFonts w:hint="cs"/>
          <w:rtl/>
        </w:rPr>
        <w:t>;</w:t>
      </w:r>
      <w:r w:rsidRPr="003F5F24">
        <w:rPr>
          <w:rFonts w:hint="eastAsia"/>
          <w:rtl/>
        </w:rPr>
        <w:t xml:space="preserve"> סעיפים</w:t>
      </w:r>
      <w:r w:rsidRPr="003F5F24">
        <w:rPr>
          <w:rtl/>
        </w:rPr>
        <w:t xml:space="preserve"> 3-2 </w:t>
      </w:r>
      <w:r w:rsidRPr="003F5F24">
        <w:rPr>
          <w:rFonts w:hint="eastAsia"/>
          <w:rtl/>
        </w:rPr>
        <w:t>לחוק</w:t>
      </w:r>
      <w:r w:rsidRPr="003F5F24">
        <w:rPr>
          <w:rtl/>
        </w:rPr>
        <w:t xml:space="preserve"> </w:t>
      </w:r>
      <w:r w:rsidRPr="003F5F24">
        <w:rPr>
          <w:rFonts w:hint="eastAsia"/>
          <w:rtl/>
        </w:rPr>
        <w:t>חמרי</w:t>
      </w:r>
      <w:r w:rsidRPr="003F5F24">
        <w:rPr>
          <w:rtl/>
        </w:rPr>
        <w:t xml:space="preserve"> </w:t>
      </w:r>
      <w:r w:rsidRPr="003F5F24">
        <w:rPr>
          <w:rFonts w:hint="eastAsia"/>
          <w:rtl/>
        </w:rPr>
        <w:t>נפץ</w:t>
      </w:r>
      <w:r w:rsidRPr="003F5F24">
        <w:rPr>
          <w:rtl/>
        </w:rPr>
        <w:t xml:space="preserve">, </w:t>
      </w:r>
      <w:r w:rsidRPr="003F5F24">
        <w:rPr>
          <w:rFonts w:hint="eastAsia"/>
          <w:rtl/>
        </w:rPr>
        <w:t>התשי</w:t>
      </w:r>
      <w:r w:rsidRPr="003F5F24">
        <w:rPr>
          <w:rtl/>
        </w:rPr>
        <w:t>"</w:t>
      </w:r>
      <w:r w:rsidRPr="003F5F24">
        <w:rPr>
          <w:rFonts w:hint="eastAsia"/>
          <w:rtl/>
        </w:rPr>
        <w:t>ד</w:t>
      </w:r>
      <w:r w:rsidRPr="003F5F24">
        <w:rPr>
          <w:rtl/>
        </w:rPr>
        <w:t>-1954</w:t>
      </w:r>
      <w:r w:rsidRPr="003F5F24">
        <w:rPr>
          <w:rFonts w:hint="cs"/>
          <w:rtl/>
        </w:rPr>
        <w:t xml:space="preserve">; </w:t>
      </w:r>
      <w:r w:rsidRPr="003F5F24">
        <w:rPr>
          <w:rFonts w:hint="eastAsia"/>
          <w:rtl/>
        </w:rPr>
        <w:t>סעיף</w:t>
      </w:r>
      <w:r w:rsidRPr="003F5F24">
        <w:rPr>
          <w:rtl/>
        </w:rPr>
        <w:t xml:space="preserve"> 4</w:t>
      </w:r>
      <w:r w:rsidRPr="003F5F24">
        <w:rPr>
          <w:rFonts w:hint="eastAsia"/>
          <w:rtl/>
        </w:rPr>
        <w:t>א</w:t>
      </w:r>
      <w:r w:rsidRPr="003F5F24">
        <w:rPr>
          <w:rtl/>
        </w:rPr>
        <w:t>(</w:t>
      </w:r>
      <w:r w:rsidRPr="003F5F24">
        <w:rPr>
          <w:rFonts w:hint="eastAsia"/>
          <w:rtl/>
        </w:rPr>
        <w:t>א</w:t>
      </w:r>
      <w:r w:rsidRPr="003F5F24">
        <w:rPr>
          <w:rtl/>
        </w:rPr>
        <w:t xml:space="preserve">) </w:t>
      </w:r>
      <w:r w:rsidRPr="003F5F24">
        <w:rPr>
          <w:rFonts w:hint="eastAsia"/>
          <w:rtl/>
        </w:rPr>
        <w:t>לחוק</w:t>
      </w:r>
      <w:r w:rsidRPr="003F5F24">
        <w:rPr>
          <w:rtl/>
        </w:rPr>
        <w:t xml:space="preserve"> </w:t>
      </w:r>
      <w:r w:rsidRPr="003F5F24">
        <w:rPr>
          <w:rFonts w:hint="eastAsia"/>
          <w:rtl/>
        </w:rPr>
        <w:t>הזרעים</w:t>
      </w:r>
      <w:r w:rsidRPr="003F5F24">
        <w:rPr>
          <w:rtl/>
        </w:rPr>
        <w:t xml:space="preserve">, </w:t>
      </w:r>
      <w:r w:rsidRPr="003F5F24">
        <w:rPr>
          <w:rFonts w:hint="eastAsia"/>
          <w:rtl/>
        </w:rPr>
        <w:t>התשט</w:t>
      </w:r>
      <w:r w:rsidRPr="003F5F24">
        <w:rPr>
          <w:rtl/>
        </w:rPr>
        <w:t>"</w:t>
      </w:r>
      <w:r w:rsidRPr="003F5F24">
        <w:rPr>
          <w:rFonts w:hint="eastAsia"/>
          <w:rtl/>
        </w:rPr>
        <w:t>ז</w:t>
      </w:r>
      <w:r w:rsidRPr="003F5F24">
        <w:rPr>
          <w:rtl/>
        </w:rPr>
        <w:t>-1956</w:t>
      </w:r>
      <w:r w:rsidRPr="003F5F24">
        <w:rPr>
          <w:rFonts w:hint="cs"/>
          <w:rtl/>
        </w:rPr>
        <w:t>).</w:t>
      </w:r>
    </w:p>
    <w:p w:rsidR="00C044AE" w:rsidRPr="003F5F24" w:rsidRDefault="00C044AE" w:rsidP="00C044AE">
      <w:pPr>
        <w:pStyle w:val="Ruller4"/>
        <w:numPr>
          <w:ilvl w:val="0"/>
          <w:numId w:val="7"/>
        </w:numPr>
      </w:pPr>
      <w:r w:rsidRPr="003F5F24">
        <w:rPr>
          <w:rFonts w:hint="cs"/>
          <w:rtl/>
        </w:rPr>
        <w:t>סמכויות הנוגעות ל</w:t>
      </w:r>
      <w:r w:rsidRPr="003F5F24">
        <w:rPr>
          <w:rFonts w:ascii="Century" w:hAnsi="Century" w:cs="Miriam" w:hint="cs"/>
          <w:b/>
          <w:spacing w:val="0"/>
          <w:sz w:val="22"/>
          <w:szCs w:val="24"/>
          <w:rtl/>
        </w:rPr>
        <w:t xml:space="preserve">הפקעת קרקעות לצרכי ציבור, לפיצוי בגין תכניות פוגעות ומתן פטור מהיטל השבחה </w:t>
      </w:r>
      <w:r w:rsidRPr="003F5F24">
        <w:rPr>
          <w:rFonts w:hint="cs"/>
          <w:rtl/>
        </w:rPr>
        <w:t>(סעיף 3 לפקודת הקרקעות (רכישה לצרכי ציבור), 1943; סעיפים 189(ב), 190(א)(2), 197(ב) וסעיף 19(ב)(2) לתוספת השלישית לחוק התכנון והבניה, התשכ"ה-1965</w:t>
      </w:r>
      <w:r>
        <w:rPr>
          <w:rFonts w:hint="cs"/>
          <w:rtl/>
        </w:rPr>
        <w:t xml:space="preserve"> (להלן: </w:t>
      </w:r>
      <w:r w:rsidRPr="00D32508">
        <w:rPr>
          <w:rFonts w:ascii="Century" w:hAnsi="Century" w:cs="Miriam" w:hint="eastAsia"/>
          <w:b/>
          <w:spacing w:val="0"/>
          <w:sz w:val="22"/>
          <w:szCs w:val="24"/>
          <w:rtl/>
        </w:rPr>
        <w:t>חוק</w:t>
      </w:r>
      <w:r w:rsidRPr="00D32508">
        <w:rPr>
          <w:rFonts w:ascii="Century" w:hAnsi="Century" w:cs="Miriam"/>
          <w:b/>
          <w:spacing w:val="0"/>
          <w:sz w:val="22"/>
          <w:szCs w:val="24"/>
          <w:rtl/>
        </w:rPr>
        <w:t xml:space="preserve"> </w:t>
      </w:r>
      <w:r w:rsidRPr="00D32508">
        <w:rPr>
          <w:rFonts w:ascii="Century" w:hAnsi="Century" w:cs="Miriam" w:hint="eastAsia"/>
          <w:b/>
          <w:spacing w:val="0"/>
          <w:sz w:val="22"/>
          <w:szCs w:val="24"/>
          <w:rtl/>
        </w:rPr>
        <w:t>התכנון</w:t>
      </w:r>
      <w:r w:rsidRPr="00D32508">
        <w:rPr>
          <w:rFonts w:ascii="Century" w:hAnsi="Century" w:cs="Miriam"/>
          <w:b/>
          <w:spacing w:val="0"/>
          <w:sz w:val="22"/>
          <w:szCs w:val="24"/>
          <w:rtl/>
        </w:rPr>
        <w:t xml:space="preserve"> </w:t>
      </w:r>
      <w:r w:rsidRPr="00D32508">
        <w:rPr>
          <w:rFonts w:ascii="Century" w:hAnsi="Century" w:cs="Miriam" w:hint="eastAsia"/>
          <w:b/>
          <w:spacing w:val="0"/>
          <w:sz w:val="22"/>
          <w:szCs w:val="24"/>
          <w:rtl/>
        </w:rPr>
        <w:t>והבניה</w:t>
      </w:r>
      <w:r>
        <w:rPr>
          <w:rFonts w:hint="cs"/>
          <w:rtl/>
        </w:rPr>
        <w:t>)</w:t>
      </w:r>
      <w:r w:rsidRPr="003F5F24">
        <w:rPr>
          <w:rFonts w:hint="cs"/>
          <w:rtl/>
        </w:rPr>
        <w:t>).</w:t>
      </w:r>
    </w:p>
    <w:p w:rsidR="00C044AE" w:rsidRPr="003F5F24" w:rsidRDefault="00C044AE" w:rsidP="00C044AE">
      <w:pPr>
        <w:pStyle w:val="Ruller4"/>
        <w:numPr>
          <w:ilvl w:val="0"/>
          <w:numId w:val="7"/>
        </w:numPr>
      </w:pPr>
      <w:r w:rsidRPr="003F5F24">
        <w:rPr>
          <w:rFonts w:hint="cs"/>
          <w:rtl/>
        </w:rPr>
        <w:t>סמכויות הנוגעות ל</w:t>
      </w:r>
      <w:r w:rsidRPr="003F5F24">
        <w:rPr>
          <w:rFonts w:ascii="Century" w:hAnsi="Century" w:cs="Miriam" w:hint="cs"/>
          <w:b/>
          <w:spacing w:val="0"/>
          <w:sz w:val="22"/>
          <w:szCs w:val="24"/>
          <w:rtl/>
        </w:rPr>
        <w:t>הליכים פליליים</w:t>
      </w:r>
      <w:r w:rsidRPr="003F5F24">
        <w:rPr>
          <w:rFonts w:hint="cs"/>
          <w:rtl/>
        </w:rPr>
        <w:t xml:space="preserve"> (סעיף 18 לחוק ההסגרה, התשי"ד-1954; </w:t>
      </w:r>
      <w:r w:rsidRPr="003F5F24">
        <w:rPr>
          <w:rFonts w:hint="eastAsia"/>
          <w:rtl/>
        </w:rPr>
        <w:t>סעיפים</w:t>
      </w:r>
      <w:r w:rsidRPr="003F5F24">
        <w:rPr>
          <w:rtl/>
        </w:rPr>
        <w:t xml:space="preserve"> 8-7 </w:t>
      </w:r>
      <w:r w:rsidRPr="003F5F24">
        <w:rPr>
          <w:rFonts w:hint="eastAsia"/>
          <w:rtl/>
        </w:rPr>
        <w:t>ו</w:t>
      </w:r>
      <w:r w:rsidRPr="003F5F24">
        <w:rPr>
          <w:rtl/>
        </w:rPr>
        <w:t xml:space="preserve">-13 </w:t>
      </w:r>
      <w:r w:rsidRPr="003F5F24">
        <w:rPr>
          <w:rFonts w:hint="eastAsia"/>
          <w:rtl/>
        </w:rPr>
        <w:t>לחוק</w:t>
      </w:r>
      <w:r w:rsidRPr="003F5F24">
        <w:rPr>
          <w:rtl/>
        </w:rPr>
        <w:t xml:space="preserve"> </w:t>
      </w:r>
      <w:r w:rsidRPr="003F5F24">
        <w:rPr>
          <w:rFonts w:hint="eastAsia"/>
          <w:rtl/>
        </w:rPr>
        <w:t>לנשיאת</w:t>
      </w:r>
      <w:r w:rsidRPr="003F5F24">
        <w:rPr>
          <w:rtl/>
        </w:rPr>
        <w:t xml:space="preserve"> </w:t>
      </w:r>
      <w:r w:rsidRPr="003F5F24">
        <w:rPr>
          <w:rFonts w:hint="eastAsia"/>
          <w:rtl/>
        </w:rPr>
        <w:t>עונש</w:t>
      </w:r>
      <w:r w:rsidRPr="003F5F24">
        <w:rPr>
          <w:rtl/>
        </w:rPr>
        <w:t xml:space="preserve"> </w:t>
      </w:r>
      <w:r w:rsidRPr="003F5F24">
        <w:rPr>
          <w:rFonts w:hint="eastAsia"/>
          <w:rtl/>
        </w:rPr>
        <w:t>מאסר</w:t>
      </w:r>
      <w:r w:rsidRPr="003F5F24">
        <w:rPr>
          <w:rtl/>
        </w:rPr>
        <w:t xml:space="preserve"> </w:t>
      </w:r>
      <w:r w:rsidRPr="003F5F24">
        <w:rPr>
          <w:rFonts w:hint="eastAsia"/>
          <w:rtl/>
        </w:rPr>
        <w:t>במדינת</w:t>
      </w:r>
      <w:r w:rsidRPr="003F5F24">
        <w:rPr>
          <w:rtl/>
        </w:rPr>
        <w:t xml:space="preserve"> </w:t>
      </w:r>
      <w:r w:rsidRPr="003F5F24">
        <w:rPr>
          <w:rFonts w:hint="eastAsia"/>
          <w:rtl/>
        </w:rPr>
        <w:t>אזרחותו</w:t>
      </w:r>
      <w:r w:rsidRPr="003F5F24">
        <w:rPr>
          <w:rtl/>
        </w:rPr>
        <w:t xml:space="preserve"> </w:t>
      </w:r>
      <w:r w:rsidRPr="003F5F24">
        <w:rPr>
          <w:rFonts w:hint="eastAsia"/>
          <w:rtl/>
        </w:rPr>
        <w:t>של</w:t>
      </w:r>
      <w:r w:rsidRPr="003F5F24">
        <w:rPr>
          <w:rtl/>
        </w:rPr>
        <w:t xml:space="preserve"> </w:t>
      </w:r>
      <w:r w:rsidRPr="003F5F24">
        <w:rPr>
          <w:rFonts w:hint="eastAsia"/>
          <w:rtl/>
        </w:rPr>
        <w:t>האסיר</w:t>
      </w:r>
      <w:r w:rsidRPr="003F5F24">
        <w:rPr>
          <w:rtl/>
        </w:rPr>
        <w:t xml:space="preserve">, </w:t>
      </w:r>
      <w:r w:rsidRPr="003F5F24">
        <w:rPr>
          <w:rFonts w:hint="eastAsia"/>
          <w:rtl/>
        </w:rPr>
        <w:t>התשנ</w:t>
      </w:r>
      <w:r w:rsidRPr="003F5F24">
        <w:rPr>
          <w:rtl/>
        </w:rPr>
        <w:t>"</w:t>
      </w:r>
      <w:r w:rsidRPr="003F5F24">
        <w:rPr>
          <w:rFonts w:hint="eastAsia"/>
          <w:rtl/>
        </w:rPr>
        <w:t>ז</w:t>
      </w:r>
      <w:r w:rsidRPr="003F5F24">
        <w:rPr>
          <w:rtl/>
        </w:rPr>
        <w:t>-1996</w:t>
      </w:r>
      <w:r w:rsidRPr="003F5F24">
        <w:rPr>
          <w:rFonts w:hint="cs"/>
          <w:rtl/>
        </w:rPr>
        <w:t xml:space="preserve">. כן ראו סעיף 12 לחוק-יסוד: נשיא המדינה ודנג"ץ </w:t>
      </w:r>
      <w:r w:rsidRPr="003F5F24">
        <w:rPr>
          <w:rtl/>
        </w:rPr>
        <w:t>219</w:t>
      </w:r>
      <w:r w:rsidRPr="003F5F24">
        <w:rPr>
          <w:rFonts w:hint="cs"/>
          <w:rtl/>
        </w:rPr>
        <w:t>/</w:t>
      </w:r>
      <w:r w:rsidRPr="003F5F24">
        <w:rPr>
          <w:rtl/>
        </w:rPr>
        <w:t xml:space="preserve">09 </w:t>
      </w:r>
      <w:r w:rsidRPr="003F5F24">
        <w:rPr>
          <w:rFonts w:ascii="Century" w:hAnsi="Century" w:cs="Miriam" w:hint="eastAsia"/>
          <w:b/>
          <w:spacing w:val="0"/>
          <w:sz w:val="22"/>
          <w:szCs w:val="24"/>
          <w:rtl/>
        </w:rPr>
        <w:t>שר</w:t>
      </w:r>
      <w:r w:rsidRPr="003F5F24">
        <w:rPr>
          <w:rFonts w:ascii="Century" w:hAnsi="Century" w:cs="Miriam"/>
          <w:b/>
          <w:spacing w:val="0"/>
          <w:sz w:val="22"/>
          <w:szCs w:val="24"/>
          <w:rtl/>
        </w:rPr>
        <w:t xml:space="preserve"> </w:t>
      </w:r>
      <w:r w:rsidRPr="003F5F24">
        <w:rPr>
          <w:rFonts w:ascii="Century" w:hAnsi="Century" w:cs="Miriam" w:hint="eastAsia"/>
          <w:b/>
          <w:spacing w:val="0"/>
          <w:sz w:val="22"/>
          <w:szCs w:val="24"/>
          <w:rtl/>
        </w:rPr>
        <w:t>המשפטים</w:t>
      </w:r>
      <w:r w:rsidRPr="003F5F24">
        <w:rPr>
          <w:rFonts w:ascii="Century" w:hAnsi="Century" w:cs="Miriam"/>
          <w:b/>
          <w:spacing w:val="0"/>
          <w:sz w:val="22"/>
          <w:szCs w:val="24"/>
          <w:rtl/>
        </w:rPr>
        <w:t xml:space="preserve"> </w:t>
      </w:r>
      <w:r w:rsidRPr="003F5F24">
        <w:rPr>
          <w:rFonts w:ascii="Century" w:hAnsi="Century" w:cs="Miriam" w:hint="eastAsia"/>
          <w:b/>
          <w:spacing w:val="0"/>
          <w:sz w:val="22"/>
          <w:szCs w:val="24"/>
          <w:rtl/>
        </w:rPr>
        <w:t>נ</w:t>
      </w:r>
      <w:r w:rsidRPr="003F5F24">
        <w:rPr>
          <w:rFonts w:ascii="Century" w:hAnsi="Century" w:cs="Miriam"/>
          <w:b/>
          <w:spacing w:val="0"/>
          <w:sz w:val="22"/>
          <w:szCs w:val="24"/>
          <w:rtl/>
        </w:rPr>
        <w:t xml:space="preserve">' </w:t>
      </w:r>
      <w:r w:rsidRPr="003F5F24">
        <w:rPr>
          <w:rFonts w:ascii="Century" w:hAnsi="Century" w:cs="Miriam" w:hint="eastAsia"/>
          <w:b/>
          <w:spacing w:val="0"/>
          <w:sz w:val="22"/>
          <w:szCs w:val="24"/>
          <w:rtl/>
        </w:rPr>
        <w:t>זוהר</w:t>
      </w:r>
      <w:r w:rsidRPr="003F5F24">
        <w:rPr>
          <w:rtl/>
        </w:rPr>
        <w:t xml:space="preserve">, </w:t>
      </w:r>
      <w:r w:rsidRPr="003F5F24">
        <w:rPr>
          <w:rFonts w:hint="eastAsia"/>
          <w:rtl/>
        </w:rPr>
        <w:t>פ</w:t>
      </w:r>
      <w:r w:rsidRPr="003F5F24">
        <w:rPr>
          <w:rtl/>
        </w:rPr>
        <w:t>"</w:t>
      </w:r>
      <w:r w:rsidRPr="003F5F24">
        <w:rPr>
          <w:rFonts w:hint="eastAsia"/>
          <w:rtl/>
        </w:rPr>
        <w:t>ד</w:t>
      </w:r>
      <w:r w:rsidRPr="003F5F24">
        <w:rPr>
          <w:rtl/>
        </w:rPr>
        <w:t xml:space="preserve"> </w:t>
      </w:r>
      <w:r w:rsidRPr="003F5F24">
        <w:rPr>
          <w:rFonts w:hint="eastAsia"/>
          <w:rtl/>
        </w:rPr>
        <w:t>סד</w:t>
      </w:r>
      <w:r w:rsidRPr="003F5F24">
        <w:rPr>
          <w:rtl/>
        </w:rPr>
        <w:t>(2) 421</w:t>
      </w:r>
      <w:r w:rsidRPr="003F5F24">
        <w:rPr>
          <w:rFonts w:hint="cs"/>
          <w:rtl/>
        </w:rPr>
        <w:t xml:space="preserve"> (2010) העוסק בחתימת הקיום של שר המשפטים בענייני חנינה).</w:t>
      </w:r>
    </w:p>
    <w:p w:rsidR="00C044AE" w:rsidRPr="003F5F24" w:rsidRDefault="00C044AE" w:rsidP="00C044AE">
      <w:pPr>
        <w:pStyle w:val="Ruller4"/>
        <w:numPr>
          <w:ilvl w:val="0"/>
          <w:numId w:val="7"/>
        </w:numPr>
      </w:pPr>
      <w:r w:rsidRPr="003F5F24">
        <w:rPr>
          <w:rFonts w:hint="cs"/>
          <w:rtl/>
        </w:rPr>
        <w:t>סמכויות הנוגעות ל</w:t>
      </w:r>
      <w:r w:rsidRPr="003F5F24">
        <w:rPr>
          <w:rFonts w:ascii="Century" w:hAnsi="Century" w:cs="Miriam" w:hint="cs"/>
          <w:b/>
          <w:spacing w:val="0"/>
          <w:sz w:val="22"/>
          <w:szCs w:val="24"/>
          <w:rtl/>
        </w:rPr>
        <w:t xml:space="preserve">זכויות עובדים </w:t>
      </w:r>
      <w:r w:rsidRPr="003F5F24">
        <w:rPr>
          <w:rFonts w:hint="cs"/>
          <w:rtl/>
        </w:rPr>
        <w:t>(סעיפים 9ד1 ו-12 לחוק שעות עבודה ומנוחה, התשי"א-1951; סעיפים 1 ו-9 לחוק עבודת נשים, התשי"ד-1954; סעיף 28 לחוק פיצויי פיטורים, התשכ"ג-1963;</w:t>
      </w:r>
      <w:r w:rsidRPr="003F5F24">
        <w:rPr>
          <w:rFonts w:hint="eastAsia"/>
          <w:rtl/>
        </w:rPr>
        <w:t xml:space="preserve"> סעי</w:t>
      </w:r>
      <w:r w:rsidRPr="003F5F24">
        <w:rPr>
          <w:rFonts w:hint="cs"/>
          <w:rtl/>
        </w:rPr>
        <w:t>ף</w:t>
      </w:r>
      <w:r w:rsidRPr="003F5F24">
        <w:rPr>
          <w:rtl/>
        </w:rPr>
        <w:t xml:space="preserve"> 2(</w:t>
      </w:r>
      <w:r w:rsidRPr="003F5F24">
        <w:rPr>
          <w:rFonts w:hint="eastAsia"/>
          <w:rtl/>
        </w:rPr>
        <w:t>ג</w:t>
      </w:r>
      <w:r w:rsidRPr="003F5F24">
        <w:rPr>
          <w:rtl/>
        </w:rPr>
        <w:t>)</w:t>
      </w:r>
      <w:r w:rsidRPr="003F5F24">
        <w:rPr>
          <w:rFonts w:hint="cs"/>
          <w:rtl/>
        </w:rPr>
        <w:t xml:space="preserve"> </w:t>
      </w:r>
      <w:r w:rsidRPr="003F5F24">
        <w:rPr>
          <w:rFonts w:hint="eastAsia"/>
          <w:rtl/>
        </w:rPr>
        <w:t>לחוק</w:t>
      </w:r>
      <w:r w:rsidRPr="003F5F24">
        <w:rPr>
          <w:rtl/>
        </w:rPr>
        <w:t xml:space="preserve"> </w:t>
      </w:r>
      <w:r w:rsidRPr="003F5F24">
        <w:rPr>
          <w:rFonts w:hint="eastAsia"/>
          <w:rtl/>
        </w:rPr>
        <w:t>עבודת</w:t>
      </w:r>
      <w:r w:rsidRPr="003F5F24">
        <w:rPr>
          <w:rtl/>
        </w:rPr>
        <w:t xml:space="preserve"> </w:t>
      </w:r>
      <w:r w:rsidRPr="003F5F24">
        <w:rPr>
          <w:rFonts w:hint="eastAsia"/>
          <w:rtl/>
        </w:rPr>
        <w:t>הנוער</w:t>
      </w:r>
      <w:r w:rsidRPr="003F5F24">
        <w:rPr>
          <w:rtl/>
        </w:rPr>
        <w:t xml:space="preserve">, </w:t>
      </w:r>
      <w:r w:rsidRPr="003F5F24">
        <w:rPr>
          <w:rFonts w:hint="eastAsia"/>
          <w:rtl/>
        </w:rPr>
        <w:t>התשי</w:t>
      </w:r>
      <w:r w:rsidRPr="003F5F24">
        <w:rPr>
          <w:rtl/>
        </w:rPr>
        <w:t>"</w:t>
      </w:r>
      <w:r w:rsidRPr="003F5F24">
        <w:rPr>
          <w:rFonts w:hint="eastAsia"/>
          <w:rtl/>
        </w:rPr>
        <w:t>ג</w:t>
      </w:r>
      <w:r w:rsidRPr="003F5F24">
        <w:rPr>
          <w:rtl/>
        </w:rPr>
        <w:t>-1953</w:t>
      </w:r>
      <w:r w:rsidRPr="003F5F24">
        <w:rPr>
          <w:rFonts w:hint="cs"/>
          <w:rtl/>
        </w:rPr>
        <w:t>; סעיף 1ה(ג)(1) לחוק עובדים זרים, התשנ"א-1991).</w:t>
      </w:r>
    </w:p>
    <w:p w:rsidR="00C044AE" w:rsidRPr="003F5F24" w:rsidRDefault="00C044AE" w:rsidP="00C044AE">
      <w:pPr>
        <w:pStyle w:val="Ruller4"/>
        <w:numPr>
          <w:ilvl w:val="0"/>
          <w:numId w:val="7"/>
        </w:numPr>
      </w:pPr>
      <w:r w:rsidRPr="003F5F24">
        <w:rPr>
          <w:rFonts w:hint="cs"/>
          <w:rtl/>
        </w:rPr>
        <w:t xml:space="preserve">סמכויות בענייני </w:t>
      </w:r>
      <w:r w:rsidRPr="003F5F24">
        <w:rPr>
          <w:rFonts w:ascii="Century" w:hAnsi="Century" w:cs="Miriam" w:hint="cs"/>
          <w:b/>
          <w:spacing w:val="0"/>
          <w:sz w:val="22"/>
          <w:szCs w:val="24"/>
          <w:rtl/>
        </w:rPr>
        <w:t>משפחה, מעמד אישי וירושה</w:t>
      </w:r>
      <w:r w:rsidRPr="003F5F24">
        <w:rPr>
          <w:rFonts w:hint="cs"/>
          <w:rtl/>
        </w:rPr>
        <w:t xml:space="preserve"> (</w:t>
      </w:r>
      <w:r>
        <w:rPr>
          <w:rFonts w:hint="cs"/>
          <w:rtl/>
        </w:rPr>
        <w:t xml:space="preserve">ראו למשל: </w:t>
      </w:r>
      <w:r w:rsidRPr="003F5F24">
        <w:rPr>
          <w:rFonts w:hint="cs"/>
          <w:rtl/>
        </w:rPr>
        <w:t>סעיף 28טז ל</w:t>
      </w:r>
      <w:r w:rsidRPr="003F5F24">
        <w:rPr>
          <w:rFonts w:hint="eastAsia"/>
          <w:rtl/>
        </w:rPr>
        <w:t>חוק</w:t>
      </w:r>
      <w:r w:rsidRPr="003F5F24">
        <w:rPr>
          <w:rtl/>
        </w:rPr>
        <w:t xml:space="preserve"> </w:t>
      </w:r>
      <w:r w:rsidRPr="003F5F24">
        <w:rPr>
          <w:rFonts w:hint="eastAsia"/>
          <w:rtl/>
        </w:rPr>
        <w:t>אימוץ</w:t>
      </w:r>
      <w:r w:rsidRPr="003F5F24">
        <w:rPr>
          <w:rtl/>
        </w:rPr>
        <w:t xml:space="preserve"> </w:t>
      </w:r>
      <w:r w:rsidRPr="003F5F24">
        <w:rPr>
          <w:rFonts w:hint="eastAsia"/>
          <w:rtl/>
        </w:rPr>
        <w:t>ילדים</w:t>
      </w:r>
      <w:r w:rsidRPr="003F5F24">
        <w:rPr>
          <w:rtl/>
        </w:rPr>
        <w:t xml:space="preserve">, </w:t>
      </w:r>
      <w:r w:rsidRPr="003F5F24">
        <w:rPr>
          <w:rFonts w:hint="eastAsia"/>
          <w:rtl/>
        </w:rPr>
        <w:t>התשמ</w:t>
      </w:r>
      <w:r w:rsidRPr="003F5F24">
        <w:rPr>
          <w:rtl/>
        </w:rPr>
        <w:t>"</w:t>
      </w:r>
      <w:r w:rsidRPr="003F5F24">
        <w:rPr>
          <w:rFonts w:hint="eastAsia"/>
          <w:rtl/>
        </w:rPr>
        <w:t>א</w:t>
      </w:r>
      <w:r w:rsidRPr="003F5F24">
        <w:rPr>
          <w:rtl/>
        </w:rPr>
        <w:t>-1981</w:t>
      </w:r>
      <w:r w:rsidRPr="003F5F24">
        <w:rPr>
          <w:rFonts w:hint="cs"/>
          <w:rtl/>
        </w:rPr>
        <w:t xml:space="preserve">; סעיף 16 לחוק השמות, התשט"ז-1956; סעיף 17(ב) לחוק הירושה, התשכ"ה-1965). </w:t>
      </w:r>
    </w:p>
    <w:p w:rsidR="00C044AE" w:rsidRPr="003F5F24" w:rsidRDefault="00C044AE" w:rsidP="00C044AE">
      <w:pPr>
        <w:pStyle w:val="Ruller4"/>
        <w:numPr>
          <w:ilvl w:val="0"/>
          <w:numId w:val="0"/>
        </w:numPr>
        <w:rPr>
          <w:rtl/>
        </w:rPr>
      </w:pPr>
    </w:p>
    <w:p w:rsidR="00C044AE" w:rsidRPr="003F5F24" w:rsidRDefault="00C044AE" w:rsidP="00C044AE">
      <w:pPr>
        <w:pStyle w:val="Ruller4"/>
        <w:numPr>
          <w:ilvl w:val="0"/>
          <w:numId w:val="0"/>
        </w:numPr>
      </w:pPr>
      <w:r w:rsidRPr="003F5F24">
        <w:rPr>
          <w:rtl/>
        </w:rPr>
        <w:tab/>
      </w:r>
      <w:r w:rsidRPr="003F5F24">
        <w:rPr>
          <w:rFonts w:hint="cs"/>
          <w:rtl/>
        </w:rPr>
        <w:t xml:space="preserve">בחלק מן המקרים הסמכויות האמורות הואצלו על ידי השר לגורמים אחרים, אך </w:t>
      </w:r>
      <w:r>
        <w:rPr>
          <w:rFonts w:hint="cs"/>
          <w:rtl/>
        </w:rPr>
        <w:t xml:space="preserve">כידוע </w:t>
      </w:r>
      <w:r w:rsidRPr="003F5F24">
        <w:rPr>
          <w:rFonts w:hint="cs"/>
          <w:rtl/>
        </w:rPr>
        <w:t xml:space="preserve">האצלות מסוג זה ניתנות לביטול בכל עת (ראו: </w:t>
      </w:r>
      <w:r w:rsidRPr="003F5F24">
        <w:rPr>
          <w:rFonts w:ascii="Century" w:hAnsi="Century" w:cs="Miriam" w:hint="cs"/>
          <w:b/>
          <w:spacing w:val="0"/>
          <w:sz w:val="22"/>
          <w:szCs w:val="24"/>
          <w:rtl/>
        </w:rPr>
        <w:t>ברק-ארז "משפט מינהלי"</w:t>
      </w:r>
      <w:r w:rsidRPr="003F5F24">
        <w:rPr>
          <w:rFonts w:hint="cs"/>
          <w:rtl/>
        </w:rPr>
        <w:t>, בעמ' 188-187 והאסמכתאות שם), ו</w:t>
      </w:r>
      <w:r>
        <w:rPr>
          <w:rFonts w:hint="cs"/>
          <w:rtl/>
        </w:rPr>
        <w:t xml:space="preserve">אילו </w:t>
      </w:r>
      <w:r w:rsidRPr="003F5F24">
        <w:rPr>
          <w:rFonts w:hint="cs"/>
          <w:rtl/>
        </w:rPr>
        <w:t>הסמכות</w:t>
      </w:r>
      <w:r>
        <w:rPr>
          <w:rFonts w:hint="cs"/>
          <w:rtl/>
        </w:rPr>
        <w:t xml:space="preserve"> </w:t>
      </w:r>
      <w:r>
        <w:rPr>
          <w:rtl/>
        </w:rPr>
        <w:t>–</w:t>
      </w:r>
      <w:r>
        <w:rPr>
          <w:rFonts w:hint="cs"/>
          <w:rtl/>
        </w:rPr>
        <w:t xml:space="preserve"> </w:t>
      </w:r>
      <w:r w:rsidRPr="003F5F24">
        <w:rPr>
          <w:rFonts w:hint="cs"/>
          <w:rtl/>
        </w:rPr>
        <w:t>על פי החוק המסמיך</w:t>
      </w:r>
      <w:r>
        <w:rPr>
          <w:rFonts w:hint="cs"/>
          <w:rtl/>
        </w:rPr>
        <w:t xml:space="preserve"> </w:t>
      </w:r>
      <w:r>
        <w:rPr>
          <w:rtl/>
        </w:rPr>
        <w:t>–</w:t>
      </w:r>
      <w:r>
        <w:rPr>
          <w:rFonts w:hint="cs"/>
          <w:rtl/>
        </w:rPr>
        <w:t xml:space="preserve"> </w:t>
      </w:r>
      <w:r w:rsidRPr="003F5F24">
        <w:rPr>
          <w:rFonts w:hint="cs"/>
          <w:rtl/>
        </w:rPr>
        <w:t xml:space="preserve">מצויה בידי השר.  </w:t>
      </w:r>
    </w:p>
    <w:p w:rsidR="00C044AE" w:rsidRPr="003F5F24" w:rsidRDefault="00C044AE" w:rsidP="00C044AE">
      <w:pPr>
        <w:pStyle w:val="Ruller4"/>
        <w:numPr>
          <w:ilvl w:val="0"/>
          <w:numId w:val="0"/>
        </w:numPr>
        <w:rPr>
          <w:rtl/>
        </w:rPr>
      </w:pPr>
    </w:p>
    <w:p w:rsidR="00C044AE" w:rsidRPr="00B00F53" w:rsidRDefault="00C044AE" w:rsidP="00C044AE">
      <w:pPr>
        <w:pStyle w:val="Ruller4"/>
        <w:rPr>
          <w:rtl/>
        </w:rPr>
      </w:pPr>
      <w:r>
        <w:rPr>
          <w:rFonts w:hint="cs"/>
          <w:rtl/>
        </w:rPr>
        <w:t>ב</w:t>
      </w:r>
      <w:r w:rsidRPr="00B00F53">
        <w:rPr>
          <w:rFonts w:hint="cs"/>
          <w:rtl/>
        </w:rPr>
        <w:t xml:space="preserve">מקרים </w:t>
      </w:r>
      <w:r>
        <w:rPr>
          <w:rFonts w:hint="cs"/>
          <w:rtl/>
        </w:rPr>
        <w:t xml:space="preserve">לא מעטים נדרש בית המשפט להגן </w:t>
      </w:r>
      <w:r w:rsidRPr="00B00F53">
        <w:rPr>
          <w:rFonts w:hint="cs"/>
          <w:rtl/>
        </w:rPr>
        <w:t xml:space="preserve">על זכויות ואינטרסים חשובים של פרטים כתוצאה מהחלטות הדרג הנבחר שהיו נגועות בחוסר סבירות קיצוני וביטאו איזון מעוות בין השיקולים השונים הנוגעים לעניין. כך היה, למשל, כאשר שר הביטחון סירב לבקשת משפחות שכולות לשינוי הכיתוב על מצבת יקיריהם (בג"ץ 6069/00 </w:t>
      </w:r>
      <w:r w:rsidRPr="00B00F53">
        <w:rPr>
          <w:rFonts w:cs="Miriam" w:hint="cs"/>
          <w:b/>
          <w:spacing w:val="0"/>
          <w:sz w:val="22"/>
          <w:szCs w:val="24"/>
          <w:rtl/>
        </w:rPr>
        <w:t>העמותה להנצחת חללי אסון המסוקים בשאר יישוב נ' שר הביטחון</w:t>
      </w:r>
      <w:r w:rsidRPr="00B00F53">
        <w:rPr>
          <w:rFonts w:hint="cs"/>
          <w:rtl/>
        </w:rPr>
        <w:t>, פ"ד נה(4) 75 (2001)); כאשר שר הפנים סירב להעניק מעמד בישראל לבת של אזרחית ישראלית שגדלה והתחנכה ב</w:t>
      </w:r>
      <w:r>
        <w:rPr>
          <w:rFonts w:hint="cs"/>
          <w:rtl/>
        </w:rPr>
        <w:t>ישראל</w:t>
      </w:r>
      <w:r w:rsidRPr="00B00F53">
        <w:rPr>
          <w:rFonts w:hint="cs"/>
          <w:rtl/>
        </w:rPr>
        <w:t xml:space="preserve"> ושהוחלט להעניק לה בעבר מעמד קבע, אך ההחלטה לא הובאה לידיעתה (</w:t>
      </w:r>
      <w:r>
        <w:rPr>
          <w:rFonts w:hint="cs"/>
          <w:rtl/>
        </w:rPr>
        <w:t>עניין</w:t>
      </w:r>
      <w:r w:rsidRPr="00B00F53">
        <w:rPr>
          <w:rtl/>
        </w:rPr>
        <w:t xml:space="preserve"> </w:t>
      </w:r>
      <w:r w:rsidRPr="00B00F53">
        <w:rPr>
          <w:rFonts w:cs="Miriam" w:hint="eastAsia"/>
          <w:b/>
          <w:spacing w:val="0"/>
          <w:sz w:val="22"/>
          <w:szCs w:val="24"/>
          <w:rtl/>
        </w:rPr>
        <w:t>באוטיסטה</w:t>
      </w:r>
      <w:r w:rsidRPr="00B00F53">
        <w:rPr>
          <w:rFonts w:hint="cs"/>
          <w:rtl/>
        </w:rPr>
        <w:t xml:space="preserve">; ראו גם: </w:t>
      </w:r>
      <w:r w:rsidRPr="00CF22E3">
        <w:rPr>
          <w:rtl/>
        </w:rPr>
        <w:t>בג"ץ 3840</w:t>
      </w:r>
      <w:r>
        <w:rPr>
          <w:rFonts w:hint="cs"/>
          <w:rtl/>
        </w:rPr>
        <w:t>/</w:t>
      </w:r>
      <w:r w:rsidRPr="00CF22E3">
        <w:rPr>
          <w:rtl/>
        </w:rPr>
        <w:t xml:space="preserve">13 </w:t>
      </w:r>
      <w:r w:rsidRPr="00526FF8">
        <w:rPr>
          <w:rFonts w:ascii="Century" w:hAnsi="Century" w:cs="Miriam" w:hint="eastAsia"/>
          <w:b/>
          <w:spacing w:val="0"/>
          <w:sz w:val="22"/>
          <w:szCs w:val="24"/>
          <w:rtl/>
        </w:rPr>
        <w:t>פלוני</w:t>
      </w:r>
      <w:r w:rsidRPr="00D32508">
        <w:rPr>
          <w:rFonts w:ascii="Century" w:hAnsi="Century" w:cs="Miriam"/>
          <w:b/>
          <w:spacing w:val="0"/>
          <w:sz w:val="22"/>
          <w:szCs w:val="24"/>
          <w:rtl/>
        </w:rPr>
        <w:t xml:space="preserve"> </w:t>
      </w:r>
      <w:r w:rsidRPr="00D32508">
        <w:rPr>
          <w:rFonts w:ascii="Century" w:hAnsi="Century" w:cs="Miriam" w:hint="eastAsia"/>
          <w:b/>
          <w:spacing w:val="0"/>
          <w:sz w:val="22"/>
          <w:szCs w:val="24"/>
          <w:rtl/>
        </w:rPr>
        <w:t>נ</w:t>
      </w:r>
      <w:r w:rsidRPr="00D32508">
        <w:rPr>
          <w:rFonts w:ascii="Century" w:hAnsi="Century" w:cs="Miriam"/>
          <w:b/>
          <w:spacing w:val="0"/>
          <w:sz w:val="22"/>
          <w:szCs w:val="24"/>
          <w:rtl/>
        </w:rPr>
        <w:t xml:space="preserve">' </w:t>
      </w:r>
      <w:r w:rsidRPr="00D32508">
        <w:rPr>
          <w:rFonts w:ascii="Century" w:hAnsi="Century" w:cs="Miriam" w:hint="eastAsia"/>
          <w:b/>
          <w:spacing w:val="0"/>
          <w:sz w:val="22"/>
          <w:szCs w:val="24"/>
          <w:rtl/>
        </w:rPr>
        <w:t>משרד</w:t>
      </w:r>
      <w:r w:rsidRPr="00D32508">
        <w:rPr>
          <w:rFonts w:ascii="Century" w:hAnsi="Century" w:cs="Miriam"/>
          <w:b/>
          <w:spacing w:val="0"/>
          <w:sz w:val="22"/>
          <w:szCs w:val="24"/>
          <w:rtl/>
        </w:rPr>
        <w:t xml:space="preserve"> </w:t>
      </w:r>
      <w:r w:rsidRPr="00D32508">
        <w:rPr>
          <w:rFonts w:ascii="Century" w:hAnsi="Century" w:cs="Miriam" w:hint="eastAsia"/>
          <w:b/>
          <w:spacing w:val="0"/>
          <w:sz w:val="22"/>
          <w:szCs w:val="24"/>
          <w:rtl/>
        </w:rPr>
        <w:t>הפנים</w:t>
      </w:r>
      <w:r w:rsidRPr="00CF22E3" w:rsidDel="00CF22E3">
        <w:rPr>
          <w:rFonts w:hint="cs"/>
          <w:rtl/>
        </w:rPr>
        <w:t xml:space="preserve"> </w:t>
      </w:r>
      <w:r>
        <w:rPr>
          <w:rFonts w:hint="cs"/>
          <w:rtl/>
        </w:rPr>
        <w:t>(30.11.2015))</w:t>
      </w:r>
      <w:r w:rsidRPr="00B00F53">
        <w:rPr>
          <w:rFonts w:hint="cs"/>
          <w:rtl/>
        </w:rPr>
        <w:t>; ו</w:t>
      </w:r>
      <w:r>
        <w:rPr>
          <w:rFonts w:hint="cs"/>
          <w:rtl/>
        </w:rPr>
        <w:t xml:space="preserve">כן </w:t>
      </w:r>
      <w:r w:rsidRPr="00B00F53">
        <w:rPr>
          <w:rFonts w:hint="cs"/>
          <w:rtl/>
        </w:rPr>
        <w:t xml:space="preserve">כאשר החלטות של שרים פגעו בצורה ניכרת באינטרסים כלכליים של פרטים (ראו למשל: </w:t>
      </w:r>
      <w:r w:rsidRPr="00B00F53">
        <w:rPr>
          <w:rFonts w:hint="eastAsia"/>
          <w:rtl/>
        </w:rPr>
        <w:t>בג</w:t>
      </w:r>
      <w:r w:rsidRPr="00B00F53">
        <w:rPr>
          <w:rtl/>
        </w:rPr>
        <w:t>"</w:t>
      </w:r>
      <w:r w:rsidRPr="00B00F53">
        <w:rPr>
          <w:rFonts w:hint="eastAsia"/>
          <w:rtl/>
        </w:rPr>
        <w:t>ץ</w:t>
      </w:r>
      <w:r w:rsidRPr="00B00F53">
        <w:rPr>
          <w:rtl/>
        </w:rPr>
        <w:t xml:space="preserve"> 176/90 </w:t>
      </w:r>
      <w:r w:rsidRPr="00B00F53">
        <w:rPr>
          <w:rFonts w:cs="Miriam" w:hint="eastAsia"/>
          <w:b/>
          <w:spacing w:val="0"/>
          <w:sz w:val="22"/>
          <w:szCs w:val="24"/>
          <w:rtl/>
        </w:rPr>
        <w:t>מכנס</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שר</w:t>
      </w:r>
      <w:r w:rsidRPr="00B00F53">
        <w:rPr>
          <w:rFonts w:cs="Miriam"/>
          <w:b/>
          <w:spacing w:val="0"/>
          <w:sz w:val="22"/>
          <w:szCs w:val="24"/>
          <w:rtl/>
        </w:rPr>
        <w:t xml:space="preserve"> </w:t>
      </w:r>
      <w:r w:rsidRPr="00B00F53">
        <w:rPr>
          <w:rFonts w:cs="Miriam" w:hint="eastAsia"/>
          <w:b/>
          <w:spacing w:val="0"/>
          <w:sz w:val="22"/>
          <w:szCs w:val="24"/>
          <w:rtl/>
        </w:rPr>
        <w:t>העבודה</w:t>
      </w:r>
      <w:r w:rsidRPr="00B00F53">
        <w:rPr>
          <w:rFonts w:cs="Miriam"/>
          <w:b/>
          <w:spacing w:val="0"/>
          <w:sz w:val="22"/>
          <w:szCs w:val="24"/>
          <w:rtl/>
        </w:rPr>
        <w:t xml:space="preserve"> </w:t>
      </w:r>
      <w:r w:rsidRPr="00B00F53">
        <w:rPr>
          <w:rFonts w:cs="Miriam" w:hint="eastAsia"/>
          <w:b/>
          <w:spacing w:val="0"/>
          <w:sz w:val="22"/>
          <w:szCs w:val="24"/>
          <w:rtl/>
        </w:rPr>
        <w:t>והרווחה</w:t>
      </w:r>
      <w:r w:rsidRPr="00B00F53">
        <w:rPr>
          <w:rtl/>
        </w:rPr>
        <w:t xml:space="preserve">, </w:t>
      </w:r>
      <w:r w:rsidRPr="00B00F53">
        <w:rPr>
          <w:rFonts w:hint="eastAsia"/>
          <w:rtl/>
        </w:rPr>
        <w:t>פ</w:t>
      </w:r>
      <w:r w:rsidRPr="00B00F53">
        <w:rPr>
          <w:rtl/>
        </w:rPr>
        <w:t>"</w:t>
      </w:r>
      <w:r w:rsidRPr="00B00F53">
        <w:rPr>
          <w:rFonts w:hint="eastAsia"/>
          <w:rtl/>
        </w:rPr>
        <w:t>ד</w:t>
      </w:r>
      <w:r w:rsidRPr="00B00F53">
        <w:rPr>
          <w:rtl/>
        </w:rPr>
        <w:t xml:space="preserve"> </w:t>
      </w:r>
      <w:r w:rsidRPr="00B00F53">
        <w:rPr>
          <w:rFonts w:hint="eastAsia"/>
          <w:rtl/>
        </w:rPr>
        <w:t>מז</w:t>
      </w:r>
      <w:r w:rsidRPr="00B00F53">
        <w:rPr>
          <w:rtl/>
        </w:rPr>
        <w:t>(5) 711</w:t>
      </w:r>
      <w:r w:rsidRPr="00B00F53">
        <w:rPr>
          <w:rFonts w:hint="cs"/>
          <w:rtl/>
        </w:rPr>
        <w:t>, 730</w:t>
      </w:r>
      <w:r w:rsidRPr="00B00F53">
        <w:rPr>
          <w:rtl/>
        </w:rPr>
        <w:t xml:space="preserve"> (1993)</w:t>
      </w:r>
      <w:r w:rsidRPr="00B00F53">
        <w:rPr>
          <w:rFonts w:hint="cs"/>
          <w:rtl/>
        </w:rPr>
        <w:t xml:space="preserve">; </w:t>
      </w:r>
      <w:r w:rsidRPr="00B00F53">
        <w:rPr>
          <w:rFonts w:hint="eastAsia"/>
          <w:rtl/>
        </w:rPr>
        <w:t>בג</w:t>
      </w:r>
      <w:r w:rsidRPr="00B00F53">
        <w:rPr>
          <w:rtl/>
        </w:rPr>
        <w:t>"</w:t>
      </w:r>
      <w:r w:rsidRPr="00B00F53">
        <w:rPr>
          <w:rFonts w:hint="eastAsia"/>
          <w:rtl/>
        </w:rPr>
        <w:t>ץ</w:t>
      </w:r>
      <w:r w:rsidRPr="00B00F53">
        <w:rPr>
          <w:rtl/>
        </w:rPr>
        <w:t xml:space="preserve"> 1829/93 </w:t>
      </w:r>
      <w:r w:rsidRPr="00B00F53">
        <w:rPr>
          <w:rFonts w:cs="Miriam" w:hint="eastAsia"/>
          <w:b/>
          <w:spacing w:val="0"/>
          <w:sz w:val="22"/>
          <w:szCs w:val="24"/>
          <w:rtl/>
        </w:rPr>
        <w:t>חברת</w:t>
      </w:r>
      <w:r w:rsidRPr="00B00F53">
        <w:rPr>
          <w:rFonts w:cs="Miriam"/>
          <w:b/>
          <w:spacing w:val="0"/>
          <w:sz w:val="22"/>
          <w:szCs w:val="24"/>
          <w:rtl/>
        </w:rPr>
        <w:t xml:space="preserve"> </w:t>
      </w:r>
      <w:r w:rsidRPr="00B00F53">
        <w:rPr>
          <w:rFonts w:cs="Miriam" w:hint="eastAsia"/>
          <w:b/>
          <w:spacing w:val="0"/>
          <w:sz w:val="22"/>
          <w:szCs w:val="24"/>
          <w:rtl/>
        </w:rPr>
        <w:lastRenderedPageBreak/>
        <w:t>הנסיעות</w:t>
      </w:r>
      <w:r w:rsidRPr="00B00F53">
        <w:rPr>
          <w:rFonts w:cs="Miriam"/>
          <w:b/>
          <w:spacing w:val="0"/>
          <w:sz w:val="22"/>
          <w:szCs w:val="24"/>
          <w:rtl/>
        </w:rPr>
        <w:t xml:space="preserve"> </w:t>
      </w:r>
      <w:r w:rsidRPr="00B00F53">
        <w:rPr>
          <w:rFonts w:cs="Miriam" w:hint="eastAsia"/>
          <w:b/>
          <w:spacing w:val="0"/>
          <w:sz w:val="22"/>
          <w:szCs w:val="24"/>
          <w:rtl/>
        </w:rPr>
        <w:t>והתיירות</w:t>
      </w:r>
      <w:r w:rsidRPr="00B00F53">
        <w:rPr>
          <w:rFonts w:cs="Miriam"/>
          <w:b/>
          <w:spacing w:val="0"/>
          <w:sz w:val="22"/>
          <w:szCs w:val="24"/>
          <w:rtl/>
        </w:rPr>
        <w:t xml:space="preserve"> </w:t>
      </w:r>
      <w:r w:rsidRPr="00B00F53">
        <w:rPr>
          <w:rFonts w:cs="Miriam" w:hint="eastAsia"/>
          <w:b/>
          <w:spacing w:val="0"/>
          <w:sz w:val="22"/>
          <w:szCs w:val="24"/>
          <w:rtl/>
        </w:rPr>
        <w:t>נצרת</w:t>
      </w:r>
      <w:r w:rsidRPr="00B00F53">
        <w:rPr>
          <w:rFonts w:cs="Miriam"/>
          <w:b/>
          <w:spacing w:val="0"/>
          <w:sz w:val="22"/>
          <w:szCs w:val="24"/>
          <w:rtl/>
        </w:rPr>
        <w:t xml:space="preserve"> </w:t>
      </w:r>
      <w:r w:rsidRPr="00B00F53">
        <w:rPr>
          <w:rFonts w:cs="Miriam" w:hint="eastAsia"/>
          <w:b/>
          <w:spacing w:val="0"/>
          <w:sz w:val="22"/>
          <w:szCs w:val="24"/>
          <w:rtl/>
        </w:rPr>
        <w:t>בע</w:t>
      </w:r>
      <w:r w:rsidRPr="00B00F53">
        <w:rPr>
          <w:rFonts w:cs="Miriam"/>
          <w:b/>
          <w:spacing w:val="0"/>
          <w:sz w:val="22"/>
          <w:szCs w:val="24"/>
          <w:rtl/>
        </w:rPr>
        <w:t>"</w:t>
      </w:r>
      <w:r w:rsidRPr="00B00F53">
        <w:rPr>
          <w:rFonts w:cs="Miriam" w:hint="eastAsia"/>
          <w:b/>
          <w:spacing w:val="0"/>
          <w:sz w:val="22"/>
          <w:szCs w:val="24"/>
          <w:rtl/>
        </w:rPr>
        <w:t>מ</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שר</w:t>
      </w:r>
      <w:r w:rsidRPr="00B00F53">
        <w:rPr>
          <w:rFonts w:cs="Miriam"/>
          <w:b/>
          <w:spacing w:val="0"/>
          <w:sz w:val="22"/>
          <w:szCs w:val="24"/>
          <w:rtl/>
        </w:rPr>
        <w:t xml:space="preserve"> </w:t>
      </w:r>
      <w:r w:rsidRPr="00B00F53">
        <w:rPr>
          <w:rFonts w:cs="Miriam" w:hint="eastAsia"/>
          <w:b/>
          <w:spacing w:val="0"/>
          <w:sz w:val="22"/>
          <w:szCs w:val="24"/>
          <w:rtl/>
        </w:rPr>
        <w:t>האוצר</w:t>
      </w:r>
      <w:r w:rsidRPr="00B00F53">
        <w:rPr>
          <w:rtl/>
        </w:rPr>
        <w:t xml:space="preserve">, </w:t>
      </w:r>
      <w:r w:rsidRPr="00B00F53">
        <w:rPr>
          <w:rFonts w:hint="eastAsia"/>
          <w:rtl/>
        </w:rPr>
        <w:t>פ</w:t>
      </w:r>
      <w:r w:rsidRPr="00B00F53">
        <w:rPr>
          <w:rtl/>
        </w:rPr>
        <w:t>"</w:t>
      </w:r>
      <w:r w:rsidRPr="00B00F53">
        <w:rPr>
          <w:rFonts w:hint="eastAsia"/>
          <w:rtl/>
        </w:rPr>
        <w:t>ד</w:t>
      </w:r>
      <w:r w:rsidRPr="00B00F53">
        <w:rPr>
          <w:rtl/>
        </w:rPr>
        <w:t xml:space="preserve"> </w:t>
      </w:r>
      <w:r w:rsidRPr="00B00F53">
        <w:rPr>
          <w:rFonts w:hint="eastAsia"/>
          <w:rtl/>
        </w:rPr>
        <w:t>מח</w:t>
      </w:r>
      <w:r w:rsidRPr="00B00F53">
        <w:rPr>
          <w:rtl/>
        </w:rPr>
        <w:t>(4) 42 (1994</w:t>
      </w:r>
      <w:r w:rsidRPr="00B00F53">
        <w:rPr>
          <w:rFonts w:hint="cs"/>
          <w:rtl/>
        </w:rPr>
        <w:t>)</w:t>
      </w:r>
      <w:r>
        <w:rPr>
          <w:rFonts w:hint="cs"/>
          <w:rtl/>
        </w:rPr>
        <w:t xml:space="preserve">; </w:t>
      </w:r>
      <w:r w:rsidRPr="00B00F53">
        <w:rPr>
          <w:rFonts w:hint="cs"/>
          <w:rtl/>
        </w:rPr>
        <w:t xml:space="preserve">בג"ץ 5946/03 </w:t>
      </w:r>
      <w:r w:rsidRPr="00B00F53">
        <w:rPr>
          <w:rFonts w:cs="Miriam" w:hint="cs"/>
          <w:b/>
          <w:spacing w:val="0"/>
          <w:sz w:val="22"/>
          <w:szCs w:val="24"/>
          <w:rtl/>
        </w:rPr>
        <w:t xml:space="preserve">קשת פרימה תוספות מזון לב"ח בע"מ נ' המפקחת על המחירים </w:t>
      </w:r>
      <w:r w:rsidRPr="00B00F53">
        <w:rPr>
          <w:rFonts w:cs="Miriam"/>
          <w:b/>
          <w:spacing w:val="0"/>
          <w:sz w:val="22"/>
          <w:szCs w:val="24"/>
          <w:rtl/>
        </w:rPr>
        <w:t>–</w:t>
      </w:r>
      <w:r w:rsidRPr="00B00F53">
        <w:rPr>
          <w:rFonts w:cs="Miriam" w:hint="cs"/>
          <w:b/>
          <w:spacing w:val="0"/>
          <w:sz w:val="22"/>
          <w:szCs w:val="24"/>
          <w:rtl/>
        </w:rPr>
        <w:t xml:space="preserve"> משרד התעשייה והרווחה</w:t>
      </w:r>
      <w:r w:rsidRPr="00B00F53">
        <w:rPr>
          <w:rFonts w:hint="cs"/>
          <w:rtl/>
        </w:rPr>
        <w:t xml:space="preserve"> (25.2.2007)). במקרה אחר שבו הוחלט לשלול מאדם את זכייתו בפרס ישראל בשל שיקולים לבר-מקצועיים</w:t>
      </w:r>
      <w:r>
        <w:rPr>
          <w:rFonts w:hint="cs"/>
          <w:rtl/>
        </w:rPr>
        <w:t>,</w:t>
      </w:r>
      <w:r w:rsidRPr="00B00F53">
        <w:rPr>
          <w:rFonts w:hint="cs"/>
          <w:rtl/>
        </w:rPr>
        <w:t xml:space="preserve"> אף נקבע שהחלטת השרה היא כה בלתי סבירה עד שהיא אינה עומדת </w:t>
      </w:r>
      <w:r>
        <w:rPr>
          <w:rFonts w:hint="cs"/>
          <w:rtl/>
        </w:rPr>
        <w:t xml:space="preserve">ולו </w:t>
      </w:r>
      <w:r w:rsidRPr="00B00F53">
        <w:rPr>
          <w:rFonts w:hint="cs"/>
          <w:rtl/>
        </w:rPr>
        <w:t>בסטנדרט הסבירות "הצר", שכן מדובר בהחלטה לא-רציונאלית (</w:t>
      </w:r>
      <w:r w:rsidRPr="00B00F53">
        <w:rPr>
          <w:rFonts w:hint="eastAsia"/>
          <w:rtl/>
        </w:rPr>
        <w:t>בג</w:t>
      </w:r>
      <w:r w:rsidRPr="00B00F53">
        <w:rPr>
          <w:rtl/>
        </w:rPr>
        <w:t>"</w:t>
      </w:r>
      <w:r w:rsidRPr="00B00F53">
        <w:rPr>
          <w:rFonts w:hint="eastAsia"/>
          <w:rtl/>
        </w:rPr>
        <w:t>ץ</w:t>
      </w:r>
      <w:r w:rsidRPr="00B00F53">
        <w:rPr>
          <w:rtl/>
        </w:rPr>
        <w:t xml:space="preserve"> 8076</w:t>
      </w:r>
      <w:r w:rsidRPr="00B00F53">
        <w:rPr>
          <w:rFonts w:hint="cs"/>
          <w:rtl/>
        </w:rPr>
        <w:t>/</w:t>
      </w:r>
      <w:r w:rsidRPr="00B00F53">
        <w:rPr>
          <w:rtl/>
        </w:rPr>
        <w:t xml:space="preserve">21 </w:t>
      </w:r>
      <w:r w:rsidRPr="00B00F53">
        <w:rPr>
          <w:rFonts w:cs="Miriam" w:hint="eastAsia"/>
          <w:b/>
          <w:spacing w:val="0"/>
          <w:sz w:val="22"/>
          <w:szCs w:val="24"/>
          <w:rtl/>
        </w:rPr>
        <w:t>ועדת</w:t>
      </w:r>
      <w:r w:rsidRPr="00B00F53">
        <w:rPr>
          <w:rFonts w:cs="Miriam"/>
          <w:b/>
          <w:spacing w:val="0"/>
          <w:sz w:val="22"/>
          <w:szCs w:val="24"/>
          <w:rtl/>
        </w:rPr>
        <w:t xml:space="preserve"> </w:t>
      </w:r>
      <w:r w:rsidRPr="00B00F53">
        <w:rPr>
          <w:rFonts w:cs="Miriam" w:hint="eastAsia"/>
          <w:b/>
          <w:spacing w:val="0"/>
          <w:sz w:val="22"/>
          <w:szCs w:val="24"/>
          <w:rtl/>
        </w:rPr>
        <w:t>השופטים</w:t>
      </w:r>
      <w:r w:rsidRPr="00B00F53">
        <w:rPr>
          <w:rFonts w:cs="Miriam"/>
          <w:b/>
          <w:spacing w:val="0"/>
          <w:sz w:val="22"/>
          <w:szCs w:val="24"/>
          <w:rtl/>
        </w:rPr>
        <w:t xml:space="preserve"> </w:t>
      </w:r>
      <w:r w:rsidRPr="00B00F53">
        <w:rPr>
          <w:rFonts w:cs="Miriam" w:hint="eastAsia"/>
          <w:b/>
          <w:spacing w:val="0"/>
          <w:sz w:val="22"/>
          <w:szCs w:val="24"/>
          <w:rtl/>
        </w:rPr>
        <w:t>להענקת</w:t>
      </w:r>
      <w:r w:rsidRPr="00B00F53">
        <w:rPr>
          <w:rFonts w:cs="Miriam"/>
          <w:b/>
          <w:spacing w:val="0"/>
          <w:sz w:val="22"/>
          <w:szCs w:val="24"/>
          <w:rtl/>
        </w:rPr>
        <w:t xml:space="preserve"> </w:t>
      </w:r>
      <w:r w:rsidRPr="00B00F53">
        <w:rPr>
          <w:rFonts w:cs="Miriam" w:hint="eastAsia"/>
          <w:b/>
          <w:spacing w:val="0"/>
          <w:sz w:val="22"/>
          <w:szCs w:val="24"/>
          <w:rtl/>
        </w:rPr>
        <w:t>פרס</w:t>
      </w:r>
      <w:r w:rsidRPr="00B00F53">
        <w:rPr>
          <w:rFonts w:cs="Miriam"/>
          <w:b/>
          <w:spacing w:val="0"/>
          <w:sz w:val="22"/>
          <w:szCs w:val="24"/>
          <w:rtl/>
        </w:rPr>
        <w:t xml:space="preserve"> </w:t>
      </w:r>
      <w:r w:rsidRPr="00B00F53">
        <w:rPr>
          <w:rFonts w:cs="Miriam" w:hint="eastAsia"/>
          <w:b/>
          <w:spacing w:val="0"/>
          <w:sz w:val="22"/>
          <w:szCs w:val="24"/>
          <w:rtl/>
        </w:rPr>
        <w:t>ישראל</w:t>
      </w:r>
      <w:r w:rsidRPr="00B00F53">
        <w:rPr>
          <w:rFonts w:cs="Miriam"/>
          <w:b/>
          <w:spacing w:val="0"/>
          <w:sz w:val="22"/>
          <w:szCs w:val="24"/>
          <w:rtl/>
        </w:rPr>
        <w:t xml:space="preserve"> </w:t>
      </w:r>
      <w:r w:rsidRPr="00B00F53">
        <w:rPr>
          <w:rFonts w:cs="Miriam" w:hint="eastAsia"/>
          <w:b/>
          <w:spacing w:val="0"/>
          <w:sz w:val="22"/>
          <w:szCs w:val="24"/>
          <w:rtl/>
        </w:rPr>
        <w:t>לשנת</w:t>
      </w:r>
      <w:r w:rsidRPr="00B00F53">
        <w:rPr>
          <w:rFonts w:cs="Miriam"/>
          <w:b/>
          <w:spacing w:val="0"/>
          <w:sz w:val="22"/>
          <w:szCs w:val="24"/>
          <w:rtl/>
        </w:rPr>
        <w:t xml:space="preserve"> </w:t>
      </w:r>
      <w:r w:rsidRPr="00B00F53">
        <w:rPr>
          <w:rFonts w:cs="Miriam" w:hint="eastAsia"/>
          <w:b/>
          <w:spacing w:val="0"/>
          <w:sz w:val="22"/>
          <w:szCs w:val="24"/>
          <w:rtl/>
        </w:rPr>
        <w:t>תשפ</w:t>
      </w:r>
      <w:r w:rsidRPr="00B00F53">
        <w:rPr>
          <w:rFonts w:cs="Miriam"/>
          <w:b/>
          <w:spacing w:val="0"/>
          <w:sz w:val="22"/>
          <w:szCs w:val="24"/>
          <w:rtl/>
        </w:rPr>
        <w:t>"</w:t>
      </w:r>
      <w:r w:rsidRPr="00B00F53">
        <w:rPr>
          <w:rFonts w:cs="Miriam" w:hint="eastAsia"/>
          <w:b/>
          <w:spacing w:val="0"/>
          <w:sz w:val="22"/>
          <w:szCs w:val="24"/>
          <w:rtl/>
        </w:rPr>
        <w:t>א</w:t>
      </w:r>
      <w:r w:rsidRPr="00B00F53">
        <w:rPr>
          <w:rFonts w:cs="Miriam"/>
          <w:b/>
          <w:spacing w:val="0"/>
          <w:sz w:val="22"/>
          <w:szCs w:val="24"/>
          <w:rtl/>
        </w:rPr>
        <w:t xml:space="preserve"> </w:t>
      </w:r>
      <w:r w:rsidRPr="00B00F53">
        <w:rPr>
          <w:rFonts w:cs="Miriam" w:hint="eastAsia"/>
          <w:b/>
          <w:spacing w:val="0"/>
          <w:sz w:val="22"/>
          <w:szCs w:val="24"/>
          <w:rtl/>
        </w:rPr>
        <w:t>בתחום</w:t>
      </w:r>
      <w:r w:rsidRPr="00B00F53">
        <w:rPr>
          <w:rFonts w:cs="Miriam"/>
          <w:b/>
          <w:spacing w:val="0"/>
          <w:sz w:val="22"/>
          <w:szCs w:val="24"/>
          <w:rtl/>
        </w:rPr>
        <w:t xml:space="preserve"> </w:t>
      </w:r>
      <w:r w:rsidRPr="00B00F53">
        <w:rPr>
          <w:rFonts w:cs="Miriam" w:hint="eastAsia"/>
          <w:b/>
          <w:spacing w:val="0"/>
          <w:sz w:val="22"/>
          <w:szCs w:val="24"/>
          <w:rtl/>
        </w:rPr>
        <w:t>חקר</w:t>
      </w:r>
      <w:r w:rsidRPr="00B00F53">
        <w:rPr>
          <w:rFonts w:cs="Miriam"/>
          <w:b/>
          <w:spacing w:val="0"/>
          <w:sz w:val="22"/>
          <w:szCs w:val="24"/>
          <w:rtl/>
        </w:rPr>
        <w:t xml:space="preserve"> </w:t>
      </w:r>
      <w:r w:rsidRPr="00B00F53">
        <w:rPr>
          <w:rFonts w:cs="Miriam" w:hint="eastAsia"/>
          <w:b/>
          <w:spacing w:val="0"/>
          <w:sz w:val="22"/>
          <w:szCs w:val="24"/>
          <w:rtl/>
        </w:rPr>
        <w:t>מדעי</w:t>
      </w:r>
      <w:r w:rsidRPr="00B00F53">
        <w:rPr>
          <w:rFonts w:cs="Miriam"/>
          <w:b/>
          <w:spacing w:val="0"/>
          <w:sz w:val="22"/>
          <w:szCs w:val="24"/>
          <w:rtl/>
        </w:rPr>
        <w:t xml:space="preserve"> </w:t>
      </w:r>
      <w:r w:rsidRPr="00B00F53">
        <w:rPr>
          <w:rFonts w:cs="Miriam" w:hint="eastAsia"/>
          <w:b/>
          <w:spacing w:val="0"/>
          <w:sz w:val="22"/>
          <w:szCs w:val="24"/>
          <w:rtl/>
        </w:rPr>
        <w:t>המחשב</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שרת</w:t>
      </w:r>
      <w:r w:rsidRPr="00B00F53">
        <w:rPr>
          <w:rFonts w:cs="Miriam"/>
          <w:b/>
          <w:spacing w:val="0"/>
          <w:sz w:val="22"/>
          <w:szCs w:val="24"/>
          <w:rtl/>
        </w:rPr>
        <w:t xml:space="preserve"> </w:t>
      </w:r>
      <w:r w:rsidRPr="00B00F53">
        <w:rPr>
          <w:rFonts w:cs="Miriam" w:hint="eastAsia"/>
          <w:b/>
          <w:spacing w:val="0"/>
          <w:sz w:val="22"/>
          <w:szCs w:val="24"/>
          <w:rtl/>
        </w:rPr>
        <w:t>החינוך</w:t>
      </w:r>
      <w:r w:rsidRPr="00B00F53">
        <w:rPr>
          <w:rFonts w:hint="cs"/>
          <w:rtl/>
        </w:rPr>
        <w:t xml:space="preserve">, פסקה 52 לחוות דעתה של השופטת </w:t>
      </w:r>
      <w:r w:rsidRPr="00B00F53">
        <w:rPr>
          <w:rFonts w:cs="Miriam" w:hint="cs"/>
          <w:b/>
          <w:spacing w:val="0"/>
          <w:sz w:val="22"/>
          <w:szCs w:val="24"/>
          <w:rtl/>
        </w:rPr>
        <w:t>י' וילנר</w:t>
      </w:r>
      <w:r w:rsidRPr="00B00F53">
        <w:rPr>
          <w:rFonts w:hint="cs"/>
          <w:rtl/>
        </w:rPr>
        <w:t xml:space="preserve"> (29.3.2022); </w:t>
      </w:r>
      <w:r>
        <w:rPr>
          <w:rFonts w:hint="cs"/>
          <w:rtl/>
        </w:rPr>
        <w:t>ו</w:t>
      </w:r>
      <w:r w:rsidRPr="00B00F53">
        <w:rPr>
          <w:rFonts w:hint="cs"/>
          <w:rtl/>
        </w:rPr>
        <w:t xml:space="preserve">השוו </w:t>
      </w:r>
      <w:r>
        <w:rPr>
          <w:rFonts w:hint="cs"/>
          <w:rtl/>
        </w:rPr>
        <w:t xml:space="preserve">למקרה </w:t>
      </w:r>
      <w:r w:rsidRPr="00B00F53">
        <w:rPr>
          <w:rFonts w:hint="cs"/>
          <w:rtl/>
        </w:rPr>
        <w:t xml:space="preserve">של </w:t>
      </w:r>
      <w:r>
        <w:rPr>
          <w:rFonts w:hint="cs"/>
          <w:rtl/>
        </w:rPr>
        <w:t>החלטה</w:t>
      </w:r>
      <w:r w:rsidRPr="00B00F53">
        <w:rPr>
          <w:rFonts w:hint="cs"/>
          <w:rtl/>
        </w:rPr>
        <w:t xml:space="preserve"> בלתי </w:t>
      </w:r>
      <w:r>
        <w:rPr>
          <w:rFonts w:hint="cs"/>
          <w:rtl/>
        </w:rPr>
        <w:t>סבירה</w:t>
      </w:r>
      <w:r w:rsidRPr="00B00F53">
        <w:rPr>
          <w:rFonts w:hint="cs"/>
          <w:rtl/>
        </w:rPr>
        <w:t xml:space="preserve"> להימנע ממינוי אדם שנמצא כמתאים על ידי הגורמים המקצועיים הרלוונטיים: בג"ץ 8134/11 </w:t>
      </w:r>
      <w:r w:rsidRPr="00B00F53">
        <w:rPr>
          <w:rFonts w:cs="Miriam" w:hint="cs"/>
          <w:b/>
          <w:spacing w:val="0"/>
          <w:sz w:val="22"/>
          <w:szCs w:val="24"/>
          <w:rtl/>
        </w:rPr>
        <w:t>אשר נ' שר האוצר</w:t>
      </w:r>
      <w:r w:rsidRPr="00B00F53">
        <w:rPr>
          <w:rFonts w:hint="cs"/>
          <w:sz w:val="22"/>
          <w:rtl/>
        </w:rPr>
        <w:t xml:space="preserve">, פסקה 20 לחוות דעתו של המשנה לנשיאה </w:t>
      </w:r>
      <w:r w:rsidRPr="00B00F53">
        <w:rPr>
          <w:rFonts w:cs="Miriam" w:hint="cs"/>
          <w:b/>
          <w:spacing w:val="0"/>
          <w:sz w:val="22"/>
          <w:szCs w:val="24"/>
          <w:rtl/>
        </w:rPr>
        <w:t>ריבלין</w:t>
      </w:r>
      <w:r w:rsidRPr="00B00F53">
        <w:rPr>
          <w:rFonts w:hint="cs"/>
          <w:rtl/>
        </w:rPr>
        <w:t xml:space="preserve"> (29.1.2012)). </w:t>
      </w:r>
    </w:p>
    <w:p w:rsidR="00C044AE" w:rsidRPr="00B00F53" w:rsidRDefault="00C044AE" w:rsidP="00C044AE">
      <w:pPr>
        <w:pStyle w:val="Ruller41"/>
        <w:rPr>
          <w:rFonts w:ascii="Garamond" w:hAnsi="Garamond"/>
        </w:rPr>
      </w:pPr>
    </w:p>
    <w:p w:rsidR="00C044AE" w:rsidRPr="00B00F53" w:rsidRDefault="00C044AE" w:rsidP="00C044AE">
      <w:pPr>
        <w:pStyle w:val="Ruller4"/>
        <w:rPr>
          <w:rtl/>
        </w:rPr>
      </w:pPr>
      <w:r w:rsidRPr="00B00F53">
        <w:rPr>
          <w:rFonts w:hint="cs"/>
          <w:rtl/>
        </w:rPr>
        <w:t>גם החלטות רוחביות שניתן לראותן כהחלטות הנוגעות למדיניות עקרונית</w:t>
      </w:r>
      <w:r>
        <w:rPr>
          <w:rFonts w:hint="cs"/>
          <w:rtl/>
        </w:rPr>
        <w:t>,</w:t>
      </w:r>
      <w:r w:rsidRPr="00B00F53">
        <w:rPr>
          <w:rFonts w:hint="cs"/>
          <w:rtl/>
        </w:rPr>
        <w:t xml:space="preserve"> עשויות להוביל לפגיעה קשה ביותר בפרטים, וזאת דווקא בשל חשיבותם של התחומים המוסדרים על ידי הממשלה וחבריה. הדוגמה המובהקת היא עניין </w:t>
      </w:r>
      <w:r w:rsidRPr="00B00F53">
        <w:rPr>
          <w:rFonts w:cs="Miriam" w:hint="cs"/>
          <w:b/>
          <w:spacing w:val="0"/>
          <w:sz w:val="22"/>
          <w:szCs w:val="24"/>
          <w:rtl/>
        </w:rPr>
        <w:t>ווסר</w:t>
      </w:r>
      <w:r w:rsidRPr="00B00F53">
        <w:rPr>
          <w:rFonts w:hint="cs"/>
          <w:rtl/>
        </w:rPr>
        <w:t xml:space="preserve"> שבו התערב בית המשפט בהחלטת הממשלה למגן באופן חלקי בלבד את מוסדות החינוך ב"עוטף עזה", בקובעו כי</w:t>
      </w:r>
      <w:r>
        <w:rPr>
          <w:rFonts w:hint="cs"/>
          <w:rtl/>
        </w:rPr>
        <w:t xml:space="preserve"> בהינתן האיום הביטחוני הממשי והקונקרטי,</w:t>
      </w:r>
      <w:r w:rsidRPr="00B00F53">
        <w:rPr>
          <w:rFonts w:hint="cs"/>
          <w:rtl/>
        </w:rPr>
        <w:t xml:space="preserve"> האיזון שבוצע באותו עניין </w:t>
      </w:r>
      <w:r w:rsidRPr="00B00F53">
        <w:rPr>
          <w:rFonts w:hint="eastAsia"/>
          <w:rtl/>
        </w:rPr>
        <w:t>בין</w:t>
      </w:r>
      <w:r w:rsidRPr="00B00F53">
        <w:rPr>
          <w:rtl/>
        </w:rPr>
        <w:t xml:space="preserve"> </w:t>
      </w:r>
      <w:r w:rsidRPr="00B00F53">
        <w:rPr>
          <w:rFonts w:hint="cs"/>
          <w:rtl/>
        </w:rPr>
        <w:t>"</w:t>
      </w:r>
      <w:r w:rsidRPr="00B00F53">
        <w:rPr>
          <w:rFonts w:hint="eastAsia"/>
          <w:rtl/>
        </w:rPr>
        <w:t>השיקול</w:t>
      </w:r>
      <w:r w:rsidRPr="00B00F53">
        <w:rPr>
          <w:rtl/>
        </w:rPr>
        <w:t xml:space="preserve"> </w:t>
      </w:r>
      <w:r w:rsidRPr="00B00F53">
        <w:rPr>
          <w:rFonts w:hint="eastAsia"/>
          <w:rtl/>
        </w:rPr>
        <w:t>הביטחוני</w:t>
      </w:r>
      <w:r w:rsidRPr="00B00F53">
        <w:rPr>
          <w:rtl/>
        </w:rPr>
        <w:t>-</w:t>
      </w:r>
      <w:r w:rsidRPr="00B00F53">
        <w:rPr>
          <w:rFonts w:hint="eastAsia"/>
          <w:rtl/>
        </w:rPr>
        <w:t>מקצועי</w:t>
      </w:r>
      <w:r w:rsidRPr="00B00F53">
        <w:rPr>
          <w:rtl/>
        </w:rPr>
        <w:t xml:space="preserve"> </w:t>
      </w:r>
      <w:r w:rsidRPr="00B00F53">
        <w:rPr>
          <w:rFonts w:hint="eastAsia"/>
          <w:rtl/>
        </w:rPr>
        <w:t>לשיקול</w:t>
      </w:r>
      <w:r w:rsidRPr="00B00F53">
        <w:rPr>
          <w:rtl/>
        </w:rPr>
        <w:t xml:space="preserve"> </w:t>
      </w:r>
      <w:r w:rsidRPr="00B00F53">
        <w:rPr>
          <w:rFonts w:hint="eastAsia"/>
          <w:rtl/>
        </w:rPr>
        <w:t>התקציבי</w:t>
      </w:r>
      <w:r w:rsidRPr="00B00F53">
        <w:rPr>
          <w:rtl/>
        </w:rPr>
        <w:t xml:space="preserve"> </w:t>
      </w:r>
      <w:r w:rsidRPr="00B00F53">
        <w:rPr>
          <w:rFonts w:hint="eastAsia"/>
          <w:rtl/>
        </w:rPr>
        <w:t>חורג</w:t>
      </w:r>
      <w:r w:rsidRPr="00B00F53">
        <w:rPr>
          <w:rtl/>
        </w:rPr>
        <w:t xml:space="preserve"> </w:t>
      </w:r>
      <w:r w:rsidRPr="00B00F53">
        <w:rPr>
          <w:rFonts w:hint="cs"/>
          <w:rtl/>
        </w:rPr>
        <w:t>חריגה ניכרת</w:t>
      </w:r>
      <w:r w:rsidRPr="00B00F53">
        <w:rPr>
          <w:rtl/>
        </w:rPr>
        <w:t xml:space="preserve"> </w:t>
      </w:r>
      <w:r w:rsidRPr="00B00F53">
        <w:rPr>
          <w:rFonts w:hint="eastAsia"/>
          <w:rtl/>
        </w:rPr>
        <w:t>ממתחם</w:t>
      </w:r>
      <w:r w:rsidRPr="00B00F53">
        <w:rPr>
          <w:rtl/>
        </w:rPr>
        <w:t xml:space="preserve"> </w:t>
      </w:r>
      <w:r w:rsidRPr="00B00F53">
        <w:rPr>
          <w:rFonts w:hint="eastAsia"/>
          <w:rtl/>
        </w:rPr>
        <w:t>הסבירו</w:t>
      </w:r>
      <w:r w:rsidRPr="00B00F53">
        <w:rPr>
          <w:rFonts w:hint="cs"/>
          <w:rtl/>
        </w:rPr>
        <w:t>ת" (</w:t>
      </w:r>
      <w:r w:rsidRPr="00B00F53">
        <w:rPr>
          <w:rFonts w:cs="Miriam" w:hint="cs"/>
          <w:b/>
          <w:spacing w:val="0"/>
          <w:sz w:val="22"/>
          <w:szCs w:val="24"/>
          <w:rtl/>
        </w:rPr>
        <w:t>שם</w:t>
      </w:r>
      <w:r w:rsidRPr="00B00F53">
        <w:rPr>
          <w:rFonts w:hint="cs"/>
          <w:rtl/>
        </w:rPr>
        <w:t xml:space="preserve">, בעמ' 215). דוגמה עדכנית נוספת היא עניין </w:t>
      </w:r>
      <w:r w:rsidRPr="00B00F53">
        <w:rPr>
          <w:rFonts w:cs="Miriam" w:hint="cs"/>
          <w:b/>
          <w:spacing w:val="0"/>
          <w:sz w:val="22"/>
          <w:szCs w:val="24"/>
          <w:rtl/>
        </w:rPr>
        <w:t>זילבר</w:t>
      </w:r>
      <w:r w:rsidRPr="00B00F53">
        <w:rPr>
          <w:rFonts w:hint="cs"/>
          <w:rtl/>
        </w:rPr>
        <w:t xml:space="preserve">, שבו </w:t>
      </w:r>
      <w:r w:rsidRPr="00EC384F">
        <w:rPr>
          <w:rFonts w:hint="cs"/>
          <w:rtl/>
        </w:rPr>
        <w:t>קבע בית המשפט כי</w:t>
      </w:r>
      <w:r w:rsidRPr="00B00F53">
        <w:rPr>
          <w:rFonts w:hint="cs"/>
          <w:rtl/>
        </w:rPr>
        <w:t xml:space="preserve"> המדיניות החדשה של שר האוצר ושרת הכלכלה והתעשייה לשינוי מבחני התמיכה לסבסוד מעונות היום למשפחות אברכים</w:t>
      </w:r>
      <w:r>
        <w:rPr>
          <w:rFonts w:hint="cs"/>
          <w:rtl/>
        </w:rPr>
        <w:t>,</w:t>
      </w:r>
      <w:r w:rsidRPr="00B00F53">
        <w:rPr>
          <w:rFonts w:hint="cs"/>
          <w:rtl/>
        </w:rPr>
        <w:t xml:space="preserve"> כוללת הוראת מעבר קצרה </w:t>
      </w:r>
      <w:r>
        <w:rPr>
          <w:rFonts w:hint="cs"/>
          <w:rtl/>
        </w:rPr>
        <w:t xml:space="preserve">שהינה </w:t>
      </w:r>
      <w:r w:rsidRPr="00B00F53">
        <w:rPr>
          <w:rFonts w:hint="cs"/>
          <w:rtl/>
        </w:rPr>
        <w:t>בלתי סבירה באופן קיצוני</w:t>
      </w:r>
      <w:r>
        <w:rPr>
          <w:rFonts w:hint="cs"/>
          <w:rtl/>
        </w:rPr>
        <w:t xml:space="preserve"> </w:t>
      </w:r>
      <w:r w:rsidRPr="00B00F53">
        <w:rPr>
          <w:rFonts w:hint="cs"/>
          <w:rtl/>
        </w:rPr>
        <w:t>(</w:t>
      </w:r>
      <w:r>
        <w:rPr>
          <w:rFonts w:hint="cs"/>
          <w:rtl/>
        </w:rPr>
        <w:t xml:space="preserve">ראו והשוו: </w:t>
      </w:r>
      <w:r w:rsidRPr="00B00F53">
        <w:rPr>
          <w:rFonts w:hint="cs"/>
          <w:rtl/>
        </w:rPr>
        <w:t>ב</w:t>
      </w:r>
      <w:r w:rsidRPr="00B00F53">
        <w:rPr>
          <w:rFonts w:hint="eastAsia"/>
          <w:rtl/>
        </w:rPr>
        <w:t>ג</w:t>
      </w:r>
      <w:r w:rsidRPr="00B00F53">
        <w:rPr>
          <w:rtl/>
        </w:rPr>
        <w:t>"</w:t>
      </w:r>
      <w:r w:rsidRPr="00B00F53">
        <w:rPr>
          <w:rFonts w:hint="eastAsia"/>
          <w:rtl/>
        </w:rPr>
        <w:t>ץ</w:t>
      </w:r>
      <w:r w:rsidRPr="00B00F53">
        <w:rPr>
          <w:rtl/>
        </w:rPr>
        <w:t xml:space="preserve"> 5290/97 </w:t>
      </w:r>
      <w:r w:rsidRPr="00B00F53">
        <w:rPr>
          <w:rFonts w:cs="Miriam" w:hint="eastAsia"/>
          <w:b/>
          <w:spacing w:val="0"/>
          <w:sz w:val="22"/>
          <w:szCs w:val="24"/>
          <w:rtl/>
        </w:rPr>
        <w:t>עזרא</w:t>
      </w:r>
      <w:r>
        <w:rPr>
          <w:rFonts w:cs="Miriam" w:hint="cs"/>
          <w:b/>
          <w:spacing w:val="0"/>
          <w:sz w:val="22"/>
          <w:szCs w:val="24"/>
          <w:rtl/>
        </w:rPr>
        <w:t xml:space="preserve"> </w:t>
      </w:r>
      <w:r>
        <w:rPr>
          <w:rFonts w:cs="Miriam"/>
          <w:b/>
          <w:spacing w:val="0"/>
          <w:sz w:val="22"/>
          <w:szCs w:val="24"/>
          <w:rtl/>
        </w:rPr>
        <w:t>–</w:t>
      </w:r>
      <w:r w:rsidRPr="00B00F53">
        <w:rPr>
          <w:rFonts w:cs="Miriam" w:hint="eastAsia"/>
          <w:b/>
          <w:spacing w:val="0"/>
          <w:sz w:val="22"/>
          <w:szCs w:val="24"/>
          <w:rtl/>
        </w:rPr>
        <w:t>תנועת</w:t>
      </w:r>
      <w:r w:rsidRPr="00B00F53">
        <w:rPr>
          <w:rFonts w:cs="Miriam"/>
          <w:b/>
          <w:spacing w:val="0"/>
          <w:sz w:val="22"/>
          <w:szCs w:val="24"/>
          <w:rtl/>
        </w:rPr>
        <w:t xml:space="preserve"> </w:t>
      </w:r>
      <w:r w:rsidRPr="00B00F53">
        <w:rPr>
          <w:rFonts w:cs="Miriam" w:hint="eastAsia"/>
          <w:b/>
          <w:spacing w:val="0"/>
          <w:sz w:val="22"/>
          <w:szCs w:val="24"/>
          <w:rtl/>
        </w:rPr>
        <w:t>הנוער</w:t>
      </w:r>
      <w:r w:rsidRPr="00B00F53">
        <w:rPr>
          <w:rFonts w:cs="Miriam"/>
          <w:b/>
          <w:spacing w:val="0"/>
          <w:sz w:val="22"/>
          <w:szCs w:val="24"/>
          <w:rtl/>
        </w:rPr>
        <w:t xml:space="preserve"> </w:t>
      </w:r>
      <w:r w:rsidRPr="00B00F53">
        <w:rPr>
          <w:rFonts w:cs="Miriam" w:hint="eastAsia"/>
          <w:b/>
          <w:spacing w:val="0"/>
          <w:sz w:val="22"/>
          <w:szCs w:val="24"/>
          <w:rtl/>
        </w:rPr>
        <w:t>החרדי</w:t>
      </w:r>
      <w:r w:rsidRPr="00B00F53">
        <w:rPr>
          <w:rFonts w:cs="Miriam"/>
          <w:b/>
          <w:spacing w:val="0"/>
          <w:sz w:val="22"/>
          <w:szCs w:val="24"/>
          <w:rtl/>
        </w:rPr>
        <w:t xml:space="preserve"> </w:t>
      </w:r>
      <w:r w:rsidRPr="00B00F53">
        <w:rPr>
          <w:rFonts w:cs="Miriam" w:hint="eastAsia"/>
          <w:b/>
          <w:spacing w:val="0"/>
          <w:sz w:val="22"/>
          <w:szCs w:val="24"/>
          <w:rtl/>
        </w:rPr>
        <w:t>לאומי</w:t>
      </w:r>
      <w:r w:rsidRPr="00B00F53">
        <w:rPr>
          <w:rFonts w:cs="Miriam"/>
          <w:b/>
          <w:spacing w:val="0"/>
          <w:sz w:val="22"/>
          <w:szCs w:val="24"/>
          <w:rtl/>
        </w:rPr>
        <w:t xml:space="preserve"> </w:t>
      </w:r>
      <w:r w:rsidRPr="00B00F53">
        <w:rPr>
          <w:rFonts w:cs="Miriam" w:hint="eastAsia"/>
          <w:b/>
          <w:spacing w:val="0"/>
          <w:sz w:val="22"/>
          <w:szCs w:val="24"/>
          <w:rtl/>
        </w:rPr>
        <w:t>בא</w:t>
      </w:r>
      <w:r w:rsidRPr="00B00F53">
        <w:rPr>
          <w:rFonts w:cs="Miriam"/>
          <w:b/>
          <w:spacing w:val="0"/>
          <w:sz w:val="22"/>
          <w:szCs w:val="24"/>
          <w:rtl/>
        </w:rPr>
        <w:t>"</w:t>
      </w:r>
      <w:r w:rsidRPr="00B00F53">
        <w:rPr>
          <w:rFonts w:cs="Miriam" w:hint="eastAsia"/>
          <w:b/>
          <w:spacing w:val="0"/>
          <w:sz w:val="22"/>
          <w:szCs w:val="24"/>
          <w:rtl/>
        </w:rPr>
        <w:t>י</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cs"/>
          <w:b/>
          <w:spacing w:val="0"/>
          <w:sz w:val="22"/>
          <w:szCs w:val="24"/>
          <w:rtl/>
        </w:rPr>
        <w:t>ה</w:t>
      </w:r>
      <w:r w:rsidRPr="00B00F53">
        <w:rPr>
          <w:rFonts w:cs="Miriam" w:hint="eastAsia"/>
          <w:b/>
          <w:spacing w:val="0"/>
          <w:sz w:val="22"/>
          <w:szCs w:val="24"/>
          <w:rtl/>
        </w:rPr>
        <w:t>שר</w:t>
      </w:r>
      <w:r w:rsidRPr="00B00F53">
        <w:rPr>
          <w:rFonts w:cs="Miriam"/>
          <w:b/>
          <w:spacing w:val="0"/>
          <w:sz w:val="22"/>
          <w:szCs w:val="24"/>
          <w:rtl/>
        </w:rPr>
        <w:t xml:space="preserve"> </w:t>
      </w:r>
      <w:r w:rsidRPr="00B00F53">
        <w:rPr>
          <w:rFonts w:cs="Miriam" w:hint="cs"/>
          <w:b/>
          <w:spacing w:val="0"/>
          <w:sz w:val="22"/>
          <w:szCs w:val="24"/>
          <w:rtl/>
        </w:rPr>
        <w:t>לענייני דתות</w:t>
      </w:r>
      <w:r w:rsidRPr="00B00F53">
        <w:rPr>
          <w:rtl/>
        </w:rPr>
        <w:t xml:space="preserve">, </w:t>
      </w:r>
      <w:r w:rsidRPr="00B00F53">
        <w:rPr>
          <w:rFonts w:hint="eastAsia"/>
          <w:rtl/>
        </w:rPr>
        <w:t>פ</w:t>
      </w:r>
      <w:r w:rsidRPr="00B00F53">
        <w:rPr>
          <w:rtl/>
        </w:rPr>
        <w:t>"</w:t>
      </w:r>
      <w:r w:rsidRPr="00B00F53">
        <w:rPr>
          <w:rFonts w:hint="eastAsia"/>
          <w:rtl/>
        </w:rPr>
        <w:t>ד</w:t>
      </w:r>
      <w:r w:rsidRPr="00B00F53">
        <w:rPr>
          <w:rtl/>
        </w:rPr>
        <w:t xml:space="preserve"> </w:t>
      </w:r>
      <w:r w:rsidRPr="00B00F53">
        <w:rPr>
          <w:rFonts w:hint="eastAsia"/>
          <w:rtl/>
        </w:rPr>
        <w:t>נא</w:t>
      </w:r>
      <w:r w:rsidRPr="00B00F53">
        <w:rPr>
          <w:rtl/>
        </w:rPr>
        <w:t>(5) 410</w:t>
      </w:r>
      <w:r w:rsidRPr="00B00F53">
        <w:rPr>
          <w:rFonts w:hint="cs"/>
          <w:rtl/>
        </w:rPr>
        <w:t>, 430</w:t>
      </w:r>
      <w:r w:rsidRPr="00B00F53">
        <w:rPr>
          <w:rtl/>
        </w:rPr>
        <w:t xml:space="preserve"> (1997)</w:t>
      </w:r>
      <w:r w:rsidRPr="00B00F53">
        <w:rPr>
          <w:rFonts w:hint="cs"/>
          <w:rtl/>
        </w:rPr>
        <w:t>).</w:t>
      </w:r>
    </w:p>
    <w:p w:rsidR="00C044AE" w:rsidRPr="00B00F53" w:rsidRDefault="00C044AE" w:rsidP="00C044AE">
      <w:pPr>
        <w:pStyle w:val="Ruller41"/>
        <w:rPr>
          <w:rFonts w:ascii="Garamond" w:hAnsi="Garamond"/>
          <w:rtl/>
        </w:rPr>
      </w:pPr>
    </w:p>
    <w:p w:rsidR="00C044AE" w:rsidRPr="00B00F53" w:rsidRDefault="00C044AE" w:rsidP="00C044AE">
      <w:pPr>
        <w:pStyle w:val="Ruller4"/>
      </w:pPr>
      <w:r w:rsidRPr="00B00F53">
        <w:rPr>
          <w:rFonts w:hint="cs"/>
          <w:rtl/>
        </w:rPr>
        <w:t xml:space="preserve">ויודגש </w:t>
      </w:r>
      <w:r w:rsidRPr="00B00F53">
        <w:rPr>
          <w:rtl/>
        </w:rPr>
        <w:t>–</w:t>
      </w:r>
      <w:r w:rsidRPr="00B00F53">
        <w:rPr>
          <w:rFonts w:hint="cs"/>
          <w:rtl/>
        </w:rPr>
        <w:t xml:space="preserve"> בניגוד לטענות שנשמעו בהליכי חקיקת התיקון ו</w:t>
      </w:r>
      <w:r>
        <w:rPr>
          <w:rFonts w:hint="cs"/>
          <w:rtl/>
        </w:rPr>
        <w:t xml:space="preserve">כן </w:t>
      </w:r>
      <w:r w:rsidRPr="00B00F53">
        <w:rPr>
          <w:rFonts w:hint="cs"/>
          <w:rtl/>
        </w:rPr>
        <w:t>על ידי חלק מהמשיבים בהלי</w:t>
      </w:r>
      <w:r>
        <w:rPr>
          <w:rFonts w:hint="cs"/>
          <w:rtl/>
        </w:rPr>
        <w:t>כים</w:t>
      </w:r>
      <w:r w:rsidRPr="00B00F53">
        <w:rPr>
          <w:rFonts w:hint="cs"/>
          <w:rtl/>
        </w:rPr>
        <w:t xml:space="preserve"> דנן</w:t>
      </w:r>
      <w:r>
        <w:rPr>
          <w:rFonts w:hint="cs"/>
          <w:rtl/>
        </w:rPr>
        <w:t xml:space="preserve"> </w:t>
      </w:r>
      <w:r>
        <w:rPr>
          <w:rtl/>
        </w:rPr>
        <w:t>–</w:t>
      </w:r>
      <w:r w:rsidRPr="00B00F53">
        <w:rPr>
          <w:rFonts w:hint="cs"/>
          <w:rtl/>
        </w:rPr>
        <w:t xml:space="preserve"> עילות הביקורת האחרות במשפט המ</w:t>
      </w:r>
      <w:r>
        <w:rPr>
          <w:rFonts w:hint="cs"/>
          <w:rtl/>
        </w:rPr>
        <w:t>י</w:t>
      </w:r>
      <w:r w:rsidRPr="00B00F53">
        <w:rPr>
          <w:rFonts w:hint="cs"/>
          <w:rtl/>
        </w:rPr>
        <w:t>נהלי אינן מהוות תחליף אפקטיבי לעילת הסבירות</w:t>
      </w:r>
      <w:r>
        <w:rPr>
          <w:rFonts w:hint="cs"/>
          <w:rtl/>
        </w:rPr>
        <w:t>. לכן,</w:t>
      </w:r>
      <w:r w:rsidRPr="00B00F53">
        <w:rPr>
          <w:rFonts w:hint="cs"/>
          <w:rtl/>
        </w:rPr>
        <w:t xml:space="preserve"> ברבים מן המקרים שצוינו לעיל ובמקרים </w:t>
      </w:r>
      <w:r>
        <w:rPr>
          <w:rFonts w:hint="cs"/>
          <w:rtl/>
        </w:rPr>
        <w:t xml:space="preserve">נוספים </w:t>
      </w:r>
      <w:r w:rsidRPr="00B00F53">
        <w:rPr>
          <w:rFonts w:hint="cs"/>
          <w:rtl/>
        </w:rPr>
        <w:t xml:space="preserve">אחרים, </w:t>
      </w:r>
      <w:r>
        <w:rPr>
          <w:rFonts w:hint="cs"/>
          <w:rtl/>
        </w:rPr>
        <w:t xml:space="preserve">ללא </w:t>
      </w:r>
      <w:r w:rsidRPr="00B00F53">
        <w:rPr>
          <w:rFonts w:hint="cs"/>
          <w:rtl/>
        </w:rPr>
        <w:t>עילת הסבירות</w:t>
      </w:r>
      <w:r>
        <w:rPr>
          <w:rFonts w:hint="cs"/>
          <w:rtl/>
        </w:rPr>
        <w:t xml:space="preserve"> לא ניתן היה להעניק סעד לעותרים והם היו מוצאים עצמם בפני</w:t>
      </w:r>
      <w:r w:rsidRPr="00B00F53">
        <w:rPr>
          <w:rFonts w:hint="cs"/>
          <w:rtl/>
        </w:rPr>
        <w:t xml:space="preserve"> שוקת שבורה. </w:t>
      </w:r>
    </w:p>
    <w:p w:rsidR="00C044AE" w:rsidRPr="00B00F53" w:rsidRDefault="00C044AE" w:rsidP="00C044AE">
      <w:pPr>
        <w:pStyle w:val="Ruller4"/>
        <w:numPr>
          <w:ilvl w:val="0"/>
          <w:numId w:val="0"/>
        </w:numPr>
        <w:rPr>
          <w:rtl/>
        </w:rPr>
      </w:pPr>
    </w:p>
    <w:p w:rsidR="00C044AE" w:rsidRDefault="00C044AE" w:rsidP="00C044AE">
      <w:pPr>
        <w:pStyle w:val="Ruller4"/>
        <w:rPr>
          <w:rtl/>
        </w:rPr>
      </w:pPr>
      <w:r>
        <w:rPr>
          <w:rFonts w:hint="cs"/>
          <w:rtl/>
        </w:rPr>
        <w:t xml:space="preserve">אחת הטענות המרכזיות שנשמעו בדיוני הוועדה ועלו בטענות של חלק מן המשיבים בהקשר זה, היא שעילת המידתיות ממילא משמשת כעילת ביקורת שיפוטית על החלטות שפוגעות בזכויות יסוד, ומשכך הפגיעה הנגרמת כתוצאה מביטול עילת הסבירות ביחס להחלטות הדרג הנבחר אינה דרמטית (ראו: </w:t>
      </w:r>
      <w:r w:rsidRPr="00373BAA">
        <w:rPr>
          <w:rFonts w:hint="cs"/>
          <w:rtl/>
        </w:rPr>
        <w:t xml:space="preserve">דבריו של ח"כ רוטמן </w:t>
      </w:r>
      <w:r w:rsidRPr="00373BAA">
        <w:rPr>
          <w:rFonts w:hint="cs"/>
          <w:rtl/>
        </w:rPr>
        <w:lastRenderedPageBreak/>
        <w:t xml:space="preserve">בפרוטוקול ישיבה 105, בעמ' </w:t>
      </w:r>
      <w:r w:rsidRPr="00C36277">
        <w:rPr>
          <w:rFonts w:hint="cs"/>
          <w:rtl/>
        </w:rPr>
        <w:t>77 ובפרוטוקול ישיבה 113 של ועדת החוקה, הכנסת ה-25, 55 (3.7.2023);</w:t>
      </w:r>
      <w:r w:rsidRPr="00373BAA">
        <w:rPr>
          <w:rFonts w:hint="cs"/>
          <w:rtl/>
        </w:rPr>
        <w:t xml:space="preserve"> פסקה 332 לתצהירי התשובה מטעם הכנסת; פסקה 245 לתצהירי התשובה מטעם משיבי הממשלה</w:t>
      </w:r>
      <w:r>
        <w:rPr>
          <w:rFonts w:hint="cs"/>
          <w:rtl/>
        </w:rPr>
        <w:t xml:space="preserve">). </w:t>
      </w:r>
    </w:p>
    <w:p w:rsidR="00C044AE" w:rsidRDefault="00C044AE" w:rsidP="00C044AE">
      <w:pPr>
        <w:pStyle w:val="Ruller4"/>
        <w:numPr>
          <w:ilvl w:val="0"/>
          <w:numId w:val="0"/>
        </w:numPr>
        <w:rPr>
          <w:rtl/>
        </w:rPr>
      </w:pPr>
    </w:p>
    <w:p w:rsidR="00C044AE" w:rsidRPr="00AF08EA" w:rsidRDefault="00C044AE" w:rsidP="00C044AE">
      <w:pPr>
        <w:pStyle w:val="Ruller4"/>
        <w:numPr>
          <w:ilvl w:val="0"/>
          <w:numId w:val="0"/>
        </w:numPr>
        <w:rPr>
          <w:rtl/>
        </w:rPr>
      </w:pPr>
      <w:r>
        <w:rPr>
          <w:rtl/>
        </w:rPr>
        <w:tab/>
      </w:r>
      <w:r>
        <w:rPr>
          <w:rFonts w:hint="cs"/>
          <w:rtl/>
        </w:rPr>
        <w:t xml:space="preserve">עילת המידתיות </w:t>
      </w:r>
      <w:r w:rsidRPr="00B00F53">
        <w:rPr>
          <w:rFonts w:hint="cs"/>
          <w:rtl/>
        </w:rPr>
        <w:t xml:space="preserve">התפתחה </w:t>
      </w:r>
      <w:r>
        <w:rPr>
          <w:rFonts w:hint="cs"/>
          <w:rtl/>
        </w:rPr>
        <w:t>והתעצבה לאורך השנים</w:t>
      </w:r>
      <w:r w:rsidRPr="00B00F53">
        <w:rPr>
          <w:rFonts w:hint="cs"/>
          <w:rtl/>
        </w:rPr>
        <w:t xml:space="preserve"> </w:t>
      </w:r>
      <w:r>
        <w:rPr>
          <w:rFonts w:hint="cs"/>
          <w:rtl/>
        </w:rPr>
        <w:t>בשיטתנו בעיקר</w:t>
      </w:r>
      <w:r w:rsidRPr="00B00F53">
        <w:rPr>
          <w:rFonts w:hint="cs"/>
          <w:rtl/>
        </w:rPr>
        <w:t xml:space="preserve"> </w:t>
      </w:r>
      <w:r>
        <w:rPr>
          <w:rFonts w:hint="cs"/>
          <w:rtl/>
        </w:rPr>
        <w:t>על רקע</w:t>
      </w:r>
      <w:r w:rsidRPr="00B00F53">
        <w:rPr>
          <w:rFonts w:hint="cs"/>
          <w:rtl/>
        </w:rPr>
        <w:t xml:space="preserve"> </w:t>
      </w:r>
      <w:r>
        <w:rPr>
          <w:rFonts w:hint="cs"/>
          <w:rtl/>
        </w:rPr>
        <w:t>עיגונה המפורש</w:t>
      </w:r>
      <w:r w:rsidRPr="00B00F53">
        <w:rPr>
          <w:rFonts w:hint="cs"/>
          <w:rtl/>
        </w:rPr>
        <w:t xml:space="preserve"> בחוק-יסוד: כבוד האדם וחירותו ובחוק-יסוד: חופש העיסוק, </w:t>
      </w:r>
      <w:r>
        <w:rPr>
          <w:rFonts w:hint="cs"/>
          <w:rtl/>
        </w:rPr>
        <w:t>וכיום היא נתפשת בפסיקה כעילה חשובה המספקת הגנה במקרים</w:t>
      </w:r>
      <w:r w:rsidRPr="00B00F53">
        <w:rPr>
          <w:rFonts w:hint="cs"/>
          <w:rtl/>
        </w:rPr>
        <w:t xml:space="preserve"> שבהם נפגעות </w:t>
      </w:r>
      <w:r w:rsidRPr="00AF08EA">
        <w:rPr>
          <w:rFonts w:ascii="Century" w:hAnsi="Century" w:hint="cs"/>
          <w:sz w:val="22"/>
          <w:rtl/>
        </w:rPr>
        <w:t>זכויות הפרט</w:t>
      </w:r>
      <w:r w:rsidRPr="00AF08EA">
        <w:rPr>
          <w:rFonts w:hint="cs"/>
          <w:rtl/>
        </w:rPr>
        <w:t xml:space="preserve"> </w:t>
      </w:r>
      <w:r w:rsidRPr="00B00F53">
        <w:rPr>
          <w:rFonts w:hint="cs"/>
          <w:rtl/>
        </w:rPr>
        <w:t xml:space="preserve">(ראו, מני רבים: </w:t>
      </w:r>
      <w:r w:rsidRPr="00B00F53">
        <w:rPr>
          <w:rtl/>
        </w:rPr>
        <w:t xml:space="preserve">בג"ץ 2651/09 </w:t>
      </w:r>
      <w:r w:rsidRPr="00B00F53">
        <w:rPr>
          <w:rFonts w:cs="Miriam"/>
          <w:spacing w:val="0"/>
          <w:szCs w:val="24"/>
          <w:rtl/>
        </w:rPr>
        <w:t>האגודה לזכויות האזרח בישראל נ' שר הפנים</w:t>
      </w:r>
      <w:r w:rsidRPr="00B00F53">
        <w:rPr>
          <w:rFonts w:hint="cs"/>
          <w:rtl/>
        </w:rPr>
        <w:t xml:space="preserve">, פסקה 19 לחוות דעתו של השופט </w:t>
      </w:r>
      <w:r w:rsidRPr="00B00F53">
        <w:rPr>
          <w:rFonts w:cs="Miriam" w:hint="cs"/>
          <w:b/>
          <w:spacing w:val="0"/>
          <w:sz w:val="22"/>
          <w:szCs w:val="24"/>
          <w:rtl/>
        </w:rPr>
        <w:t>י' דנציגר</w:t>
      </w:r>
      <w:r w:rsidRPr="00B00F53">
        <w:rPr>
          <w:rtl/>
        </w:rPr>
        <w:t xml:space="preserve"> (15.6.2011)</w:t>
      </w:r>
      <w:r w:rsidRPr="00B00F53">
        <w:rPr>
          <w:rFonts w:hint="cs"/>
          <w:rtl/>
        </w:rPr>
        <w:t xml:space="preserve">; </w:t>
      </w:r>
      <w:r w:rsidRPr="00B00F53">
        <w:rPr>
          <w:rtl/>
        </w:rPr>
        <w:t xml:space="preserve">בג"ץ 794/17 </w:t>
      </w:r>
      <w:r w:rsidRPr="00B00F53">
        <w:rPr>
          <w:rFonts w:cs="Miriam"/>
          <w:spacing w:val="0"/>
          <w:szCs w:val="24"/>
          <w:rtl/>
        </w:rPr>
        <w:t>זיאדה נ' מפקד כוחות צה"ל בגדה המערבית</w:t>
      </w:r>
      <w:r w:rsidRPr="00B00F53">
        <w:rPr>
          <w:rFonts w:hint="cs"/>
          <w:rtl/>
        </w:rPr>
        <w:t xml:space="preserve">, פסקה 73 לחוות דעתו של המשנה לנשיאה (בדימ') </w:t>
      </w:r>
      <w:r w:rsidRPr="00B00F53">
        <w:rPr>
          <w:rFonts w:cs="Miriam" w:hint="cs"/>
          <w:b/>
          <w:spacing w:val="0"/>
          <w:sz w:val="22"/>
          <w:szCs w:val="24"/>
          <w:rtl/>
        </w:rPr>
        <w:t>ג'ובראן</w:t>
      </w:r>
      <w:r w:rsidRPr="00B00F53">
        <w:rPr>
          <w:rFonts w:hint="cs"/>
          <w:rtl/>
        </w:rPr>
        <w:t xml:space="preserve"> </w:t>
      </w:r>
      <w:r w:rsidRPr="00B00F53">
        <w:rPr>
          <w:rtl/>
        </w:rPr>
        <w:t>(31.10.2017)</w:t>
      </w:r>
      <w:r>
        <w:rPr>
          <w:rFonts w:hint="cs"/>
          <w:rtl/>
        </w:rPr>
        <w:t xml:space="preserve">; ראו גם: בג"ץ 11437/05 </w:t>
      </w:r>
      <w:r w:rsidRPr="00833693">
        <w:rPr>
          <w:rFonts w:ascii="Miriam" w:hAnsi="Miriam" w:cs="Miriam" w:hint="cs"/>
          <w:spacing w:val="0"/>
          <w:szCs w:val="24"/>
          <w:rtl/>
        </w:rPr>
        <w:t>קו לעובד נ' משרד הפנים</w:t>
      </w:r>
      <w:r>
        <w:rPr>
          <w:rFonts w:hint="cs"/>
          <w:rtl/>
        </w:rPr>
        <w:t>, פ"ד סד(3) 122, 193-190</w:t>
      </w:r>
      <w:r>
        <w:rPr>
          <w:rFonts w:hint="cs"/>
        </w:rPr>
        <w:t xml:space="preserve"> </w:t>
      </w:r>
      <w:r>
        <w:rPr>
          <w:rFonts w:hint="cs"/>
          <w:rtl/>
        </w:rPr>
        <w:t xml:space="preserve">(2011); </w:t>
      </w:r>
      <w:r w:rsidRPr="00F46595">
        <w:rPr>
          <w:rFonts w:ascii="Century" w:hAnsi="Century" w:cs="Miriam" w:hint="cs"/>
          <w:b/>
          <w:spacing w:val="0"/>
          <w:sz w:val="22"/>
          <w:szCs w:val="24"/>
          <w:rtl/>
        </w:rPr>
        <w:t>ברק-ארז "משפט מינהלי"</w:t>
      </w:r>
      <w:r>
        <w:rPr>
          <w:rFonts w:hint="cs"/>
          <w:rtl/>
        </w:rPr>
        <w:t>, בעמ' 785-784</w:t>
      </w:r>
      <w:r w:rsidRPr="00B00F53">
        <w:rPr>
          <w:rFonts w:hint="cs"/>
          <w:rtl/>
        </w:rPr>
        <w:t>). עם זאת, כפי ש</w:t>
      </w:r>
      <w:r>
        <w:rPr>
          <w:rFonts w:hint="cs"/>
          <w:rtl/>
        </w:rPr>
        <w:t xml:space="preserve">מלמדות </w:t>
      </w:r>
      <w:r w:rsidRPr="00B00F53">
        <w:rPr>
          <w:rFonts w:hint="cs"/>
          <w:rtl/>
        </w:rPr>
        <w:t xml:space="preserve">הדוגמאות שהוצגו </w:t>
      </w:r>
      <w:r>
        <w:rPr>
          <w:rFonts w:hint="cs"/>
          <w:rtl/>
        </w:rPr>
        <w:t>לעיל</w:t>
      </w:r>
      <w:r w:rsidRPr="00B00F53">
        <w:rPr>
          <w:rFonts w:hint="cs"/>
          <w:rtl/>
        </w:rPr>
        <w:t xml:space="preserve">, לעיתים </w:t>
      </w:r>
      <w:r>
        <w:rPr>
          <w:rFonts w:hint="cs"/>
          <w:rtl/>
        </w:rPr>
        <w:t>נפגע הפרט</w:t>
      </w:r>
      <w:r w:rsidRPr="00B00F53">
        <w:rPr>
          <w:rFonts w:hint="cs"/>
          <w:rtl/>
        </w:rPr>
        <w:t xml:space="preserve"> פגיעה משמעותית כתוצאה מהחלטה שלטונית גם בלא שניתן להצביע על פגיעה ישירה בזכות (ראו בהקשר זה גם את </w:t>
      </w:r>
      <w:r w:rsidRPr="00DE4AA8">
        <w:rPr>
          <w:rFonts w:hint="cs"/>
          <w:rtl/>
        </w:rPr>
        <w:t xml:space="preserve">דבריו של עו"ד בליי בפרוטוקול ישיבה 109, בעמ' 42-41; ובפרוטוקול ישיבה 120 של ועדת החוקה, הכנסת ה-25, 76 (11.7.2023) (להלן: </w:t>
      </w:r>
      <w:r w:rsidRPr="00DE4AA8">
        <w:rPr>
          <w:rFonts w:ascii="Century" w:hAnsi="Century" w:cs="Miriam" w:hint="cs"/>
          <w:b/>
          <w:spacing w:val="0"/>
          <w:sz w:val="22"/>
          <w:szCs w:val="24"/>
          <w:rtl/>
        </w:rPr>
        <w:t>פרוטוקול ישיבה 120</w:t>
      </w:r>
      <w:r w:rsidRPr="00DE4AA8">
        <w:rPr>
          <w:rFonts w:hint="cs"/>
          <w:rtl/>
        </w:rPr>
        <w:t>)).</w:t>
      </w:r>
      <w:r w:rsidRPr="00B00F53">
        <w:rPr>
          <w:rFonts w:hint="cs"/>
          <w:rtl/>
        </w:rPr>
        <w:t xml:space="preserve"> </w:t>
      </w:r>
      <w:r>
        <w:rPr>
          <w:rFonts w:hint="cs"/>
          <w:rtl/>
        </w:rPr>
        <w:t>כך</w:t>
      </w:r>
      <w:r w:rsidRPr="00B00F53">
        <w:rPr>
          <w:rFonts w:hint="cs"/>
          <w:rtl/>
        </w:rPr>
        <w:t>, למשל, כאשר מדובר באיזון פגום בין שיקולים תקציביים לשיקולי ביטחון הציבור</w:t>
      </w:r>
      <w:r>
        <w:rPr>
          <w:rFonts w:hint="cs"/>
          <w:rtl/>
        </w:rPr>
        <w:t>,</w:t>
      </w:r>
      <w:r w:rsidRPr="00B00F53">
        <w:rPr>
          <w:rFonts w:hint="cs"/>
          <w:rtl/>
        </w:rPr>
        <w:t xml:space="preserve"> או כאשר האינטרסים שנפגעים הם אינטרסים כלכליים וחברתיים שאינם בגדר זכויות מוקנות </w:t>
      </w:r>
      <w:r w:rsidRPr="00B00F53">
        <w:rPr>
          <w:rtl/>
        </w:rPr>
        <w:t>–</w:t>
      </w:r>
      <w:r w:rsidRPr="00B00F53">
        <w:rPr>
          <w:rFonts w:hint="cs"/>
          <w:rtl/>
        </w:rPr>
        <w:t xml:space="preserve"> כמו סובסידיות, שירותים סוציאליים, רישיונות, מינויים, פרסים וענייני מעמד. במקרים כאלה</w:t>
      </w:r>
      <w:r>
        <w:rPr>
          <w:rFonts w:hint="cs"/>
          <w:rtl/>
        </w:rPr>
        <w:t>,</w:t>
      </w:r>
      <w:r w:rsidRPr="00B00F53">
        <w:rPr>
          <w:rFonts w:hint="cs"/>
          <w:rtl/>
        </w:rPr>
        <w:t xml:space="preserve"> עילת הסבירות עשויה להיות הכלי </w:t>
      </w:r>
      <w:r>
        <w:rPr>
          <w:rFonts w:hint="cs"/>
          <w:rtl/>
        </w:rPr>
        <w:t xml:space="preserve">המשפטי </w:t>
      </w:r>
      <w:r w:rsidRPr="00B00F53">
        <w:rPr>
          <w:rFonts w:hint="cs"/>
          <w:rtl/>
        </w:rPr>
        <w:t xml:space="preserve">היחיד להגנה אפקטיבית על הפרט (ראו והשוו למקרים נוספים שבהם שימשה עילה זו להתערבות בהחלטות של רשויות אחרות: עניין </w:t>
      </w:r>
      <w:r w:rsidRPr="00B00F53">
        <w:rPr>
          <w:rFonts w:cs="Miriam" w:hint="cs"/>
          <w:b/>
          <w:spacing w:val="0"/>
          <w:sz w:val="22"/>
          <w:szCs w:val="24"/>
          <w:rtl/>
        </w:rPr>
        <w:t>סלע</w:t>
      </w:r>
      <w:r w:rsidRPr="00B00F53">
        <w:rPr>
          <w:rFonts w:hint="cs"/>
          <w:rtl/>
        </w:rPr>
        <w:t xml:space="preserve"> שבו הרשות המקומית נמנעה מהקצ</w:t>
      </w:r>
      <w:r>
        <w:rPr>
          <w:rFonts w:hint="cs"/>
          <w:rtl/>
        </w:rPr>
        <w:t>א</w:t>
      </w:r>
      <w:r w:rsidRPr="00B00F53">
        <w:rPr>
          <w:rFonts w:hint="cs"/>
          <w:rtl/>
        </w:rPr>
        <w:t>ת קרקע להקמת מקווה ולא העניקה משקל ראוי לפגיע</w:t>
      </w:r>
      <w:r>
        <w:rPr>
          <w:rFonts w:hint="cs"/>
          <w:rtl/>
        </w:rPr>
        <w:t>ה</w:t>
      </w:r>
      <w:r w:rsidRPr="00B00F53">
        <w:rPr>
          <w:rFonts w:hint="cs"/>
          <w:rtl/>
        </w:rPr>
        <w:t xml:space="preserve"> באורח החיים של תושבות היישוב שומרות המצוות; </w:t>
      </w:r>
      <w:r w:rsidRPr="00DE4AA8">
        <w:rPr>
          <w:rFonts w:hint="cs"/>
          <w:rtl/>
        </w:rPr>
        <w:t>ו</w:t>
      </w:r>
      <w:r w:rsidRPr="00DE4AA8">
        <w:rPr>
          <w:rFonts w:hint="eastAsia"/>
          <w:rtl/>
        </w:rPr>
        <w:t>בג</w:t>
      </w:r>
      <w:r w:rsidRPr="00DE4AA8">
        <w:rPr>
          <w:rtl/>
        </w:rPr>
        <w:t>"</w:t>
      </w:r>
      <w:r w:rsidRPr="00DE4AA8">
        <w:rPr>
          <w:rFonts w:hint="eastAsia"/>
          <w:rtl/>
        </w:rPr>
        <w:t>ץ</w:t>
      </w:r>
      <w:r w:rsidRPr="00DE4AA8">
        <w:rPr>
          <w:rtl/>
        </w:rPr>
        <w:t xml:space="preserve"> 4988/19 </w:t>
      </w:r>
      <w:r w:rsidRPr="00DE4AA8">
        <w:rPr>
          <w:rFonts w:cs="Miriam" w:hint="eastAsia"/>
          <w:b/>
          <w:spacing w:val="0"/>
          <w:sz w:val="22"/>
          <w:szCs w:val="24"/>
          <w:rtl/>
        </w:rPr>
        <w:t>רונזצווייג</w:t>
      </w:r>
      <w:r w:rsidRPr="00DE4AA8">
        <w:rPr>
          <w:rFonts w:cs="Miriam"/>
          <w:b/>
          <w:spacing w:val="0"/>
          <w:sz w:val="22"/>
          <w:szCs w:val="24"/>
          <w:rtl/>
        </w:rPr>
        <w:t xml:space="preserve"> </w:t>
      </w:r>
      <w:r w:rsidRPr="00DE4AA8">
        <w:rPr>
          <w:rFonts w:cs="Miriam" w:hint="eastAsia"/>
          <w:b/>
          <w:spacing w:val="0"/>
          <w:sz w:val="22"/>
          <w:szCs w:val="24"/>
          <w:rtl/>
        </w:rPr>
        <w:t>מויסה</w:t>
      </w:r>
      <w:r w:rsidRPr="00DE4AA8">
        <w:rPr>
          <w:rFonts w:cs="Miriam"/>
          <w:b/>
          <w:spacing w:val="0"/>
          <w:sz w:val="22"/>
          <w:szCs w:val="24"/>
          <w:rtl/>
        </w:rPr>
        <w:t xml:space="preserve"> </w:t>
      </w:r>
      <w:r w:rsidRPr="00DE4AA8">
        <w:rPr>
          <w:rFonts w:cs="Miriam" w:hint="eastAsia"/>
          <w:b/>
          <w:spacing w:val="0"/>
          <w:sz w:val="22"/>
          <w:szCs w:val="24"/>
          <w:rtl/>
        </w:rPr>
        <w:t>נ</w:t>
      </w:r>
      <w:r w:rsidRPr="00DE4AA8">
        <w:rPr>
          <w:rFonts w:cs="Miriam"/>
          <w:b/>
          <w:spacing w:val="0"/>
          <w:sz w:val="22"/>
          <w:szCs w:val="24"/>
          <w:rtl/>
        </w:rPr>
        <w:t xml:space="preserve">' </w:t>
      </w:r>
      <w:r w:rsidRPr="00DE4AA8">
        <w:rPr>
          <w:rFonts w:cs="Miriam" w:hint="eastAsia"/>
          <w:b/>
          <w:spacing w:val="0"/>
          <w:sz w:val="22"/>
          <w:szCs w:val="24"/>
          <w:rtl/>
        </w:rPr>
        <w:t>הרשות</w:t>
      </w:r>
      <w:r w:rsidRPr="00DE4AA8">
        <w:rPr>
          <w:rFonts w:cs="Miriam"/>
          <w:b/>
          <w:spacing w:val="0"/>
          <w:sz w:val="22"/>
          <w:szCs w:val="24"/>
          <w:rtl/>
        </w:rPr>
        <w:t xml:space="preserve"> </w:t>
      </w:r>
      <w:r w:rsidRPr="00DE4AA8">
        <w:rPr>
          <w:rFonts w:cs="Miriam" w:hint="eastAsia"/>
          <w:b/>
          <w:spacing w:val="0"/>
          <w:sz w:val="22"/>
          <w:szCs w:val="24"/>
          <w:rtl/>
        </w:rPr>
        <w:t>לשירותים</w:t>
      </w:r>
      <w:r w:rsidRPr="00DE4AA8">
        <w:rPr>
          <w:rFonts w:cs="Miriam"/>
          <w:b/>
          <w:spacing w:val="0"/>
          <w:sz w:val="22"/>
          <w:szCs w:val="24"/>
          <w:rtl/>
        </w:rPr>
        <w:t xml:space="preserve"> </w:t>
      </w:r>
      <w:r w:rsidRPr="00DE4AA8">
        <w:rPr>
          <w:rFonts w:cs="Miriam" w:hint="eastAsia"/>
          <w:b/>
          <w:spacing w:val="0"/>
          <w:sz w:val="22"/>
          <w:szCs w:val="24"/>
          <w:rtl/>
        </w:rPr>
        <w:t>ציבוריים</w:t>
      </w:r>
      <w:r w:rsidRPr="00DE4AA8">
        <w:rPr>
          <w:rFonts w:cs="Miriam" w:hint="cs"/>
          <w:b/>
          <w:spacing w:val="0"/>
          <w:sz w:val="22"/>
          <w:szCs w:val="24"/>
          <w:rtl/>
        </w:rPr>
        <w:t xml:space="preserve"> </w:t>
      </w:r>
      <w:r w:rsidRPr="00DE4AA8">
        <w:rPr>
          <w:rFonts w:cs="Miriam" w:hint="eastAsia"/>
          <w:b/>
          <w:spacing w:val="0"/>
          <w:sz w:val="22"/>
          <w:szCs w:val="24"/>
          <w:rtl/>
        </w:rPr>
        <w:t>חשמל</w:t>
      </w:r>
      <w:r w:rsidRPr="00DE4AA8">
        <w:rPr>
          <w:rtl/>
        </w:rPr>
        <w:t xml:space="preserve"> (20.1.2022)</w:t>
      </w:r>
      <w:r w:rsidRPr="00DE4AA8">
        <w:rPr>
          <w:rFonts w:hint="cs"/>
          <w:rtl/>
        </w:rPr>
        <w:t xml:space="preserve"> שבו נ</w:t>
      </w:r>
      <w:r w:rsidRPr="00B00F53">
        <w:rPr>
          <w:rFonts w:hint="cs"/>
          <w:rtl/>
        </w:rPr>
        <w:t>יתן צו מוחלט הקובע כי רשימת הצרכנים שאספ</w:t>
      </w:r>
      <w:r>
        <w:rPr>
          <w:rFonts w:hint="cs"/>
          <w:rtl/>
        </w:rPr>
        <w:t>ק</w:t>
      </w:r>
      <w:r w:rsidRPr="00B00F53">
        <w:rPr>
          <w:rFonts w:hint="cs"/>
          <w:rtl/>
        </w:rPr>
        <w:t xml:space="preserve">ת החשמל חיונית להם ואין לנתק אספקה זו </w:t>
      </w:r>
      <w:r w:rsidRPr="00DE4AA8">
        <w:rPr>
          <w:rFonts w:hint="cs"/>
          <w:rtl/>
        </w:rPr>
        <w:t>בשל חוב, הינה "מצומצמת באופן החורג ממתחם הסבירות").</w:t>
      </w:r>
    </w:p>
    <w:p w:rsidR="00C044AE" w:rsidRPr="00B00F53" w:rsidRDefault="00C044AE" w:rsidP="00C044AE">
      <w:pPr>
        <w:pStyle w:val="Ruller4"/>
        <w:numPr>
          <w:ilvl w:val="0"/>
          <w:numId w:val="0"/>
        </w:numPr>
      </w:pPr>
    </w:p>
    <w:p w:rsidR="00C044AE" w:rsidRPr="00B00F53" w:rsidRDefault="00C044AE" w:rsidP="00C044AE">
      <w:pPr>
        <w:pStyle w:val="Ruller4"/>
        <w:rPr>
          <w:rtl/>
        </w:rPr>
      </w:pPr>
      <w:r w:rsidRPr="00B00F53">
        <w:rPr>
          <w:rFonts w:hint="cs"/>
          <w:rtl/>
        </w:rPr>
        <w:t xml:space="preserve">הדברים יפים גם </w:t>
      </w:r>
      <w:r>
        <w:rPr>
          <w:rFonts w:hint="cs"/>
          <w:rtl/>
        </w:rPr>
        <w:t xml:space="preserve">באשר </w:t>
      </w:r>
      <w:r w:rsidRPr="00B00F53">
        <w:rPr>
          <w:rFonts w:hint="cs"/>
          <w:rtl/>
        </w:rPr>
        <w:t>לעיל</w:t>
      </w:r>
      <w:r>
        <w:rPr>
          <w:rFonts w:hint="cs"/>
          <w:rtl/>
        </w:rPr>
        <w:t>ה</w:t>
      </w:r>
      <w:r w:rsidRPr="00B00F53">
        <w:rPr>
          <w:rFonts w:hint="cs"/>
          <w:rtl/>
        </w:rPr>
        <w:t xml:space="preserve"> </w:t>
      </w:r>
      <w:r>
        <w:rPr>
          <w:rFonts w:hint="cs"/>
          <w:rtl/>
        </w:rPr>
        <w:t>הנוגעת ל</w:t>
      </w:r>
      <w:r w:rsidRPr="00B00F53">
        <w:rPr>
          <w:rFonts w:hint="cs"/>
          <w:rtl/>
        </w:rPr>
        <w:t>שיקולים זרים</w:t>
      </w:r>
      <w:r>
        <w:rPr>
          <w:rFonts w:hint="cs"/>
          <w:rtl/>
        </w:rPr>
        <w:t>.</w:t>
      </w:r>
      <w:r w:rsidRPr="00B00F53">
        <w:rPr>
          <w:rFonts w:hint="cs"/>
          <w:rtl/>
        </w:rPr>
        <w:t xml:space="preserve"> </w:t>
      </w:r>
      <w:r>
        <w:rPr>
          <w:rFonts w:hint="cs"/>
          <w:rtl/>
        </w:rPr>
        <w:t xml:space="preserve">עילה זו </w:t>
      </w:r>
      <w:r w:rsidRPr="00B00F53">
        <w:rPr>
          <w:rFonts w:hint="cs"/>
          <w:rtl/>
        </w:rPr>
        <w:t>אף היא אינה מהווה חלופה אפקטיבית לעילת הסבירות. הטוען לקיומם של שיקולים זרים בהחלטת הרשות המ</w:t>
      </w:r>
      <w:r>
        <w:rPr>
          <w:rFonts w:hint="cs"/>
          <w:rtl/>
        </w:rPr>
        <w:t>י</w:t>
      </w:r>
      <w:r w:rsidRPr="00B00F53">
        <w:rPr>
          <w:rFonts w:hint="cs"/>
          <w:rtl/>
        </w:rPr>
        <w:t>נהלית</w:t>
      </w:r>
      <w:r>
        <w:rPr>
          <w:rFonts w:hint="cs"/>
          <w:rtl/>
        </w:rPr>
        <w:t xml:space="preserve"> נדרש</w:t>
      </w:r>
      <w:r w:rsidRPr="00B00F53">
        <w:rPr>
          <w:rFonts w:hint="cs"/>
          <w:rtl/>
        </w:rPr>
        <w:t xml:space="preserve"> להניח תשתית ראייתית לטענותיו</w:t>
      </w:r>
      <w:r>
        <w:rPr>
          <w:rFonts w:hint="cs"/>
          <w:rtl/>
        </w:rPr>
        <w:t>.</w:t>
      </w:r>
      <w:r w:rsidRPr="00B00F53">
        <w:rPr>
          <w:rFonts w:hint="cs"/>
          <w:rtl/>
        </w:rPr>
        <w:t xml:space="preserve"> </w:t>
      </w:r>
      <w:r>
        <w:rPr>
          <w:rFonts w:hint="cs"/>
          <w:rtl/>
        </w:rPr>
        <w:t>מדובר ב</w:t>
      </w:r>
      <w:r w:rsidRPr="00B00F53">
        <w:rPr>
          <w:rFonts w:hint="cs"/>
          <w:rtl/>
        </w:rPr>
        <w:t xml:space="preserve">נטל משמעותי </w:t>
      </w:r>
      <w:r>
        <w:rPr>
          <w:rFonts w:hint="cs"/>
          <w:rtl/>
        </w:rPr>
        <w:t xml:space="preserve">בהינתן </w:t>
      </w:r>
      <w:r w:rsidRPr="00B00F53">
        <w:rPr>
          <w:rFonts w:hint="cs"/>
          <w:rtl/>
        </w:rPr>
        <w:t xml:space="preserve">העובדה שהוא נדרש לחשוף את מניעיה </w:t>
      </w:r>
      <w:r>
        <w:rPr>
          <w:rFonts w:hint="cs"/>
          <w:rtl/>
        </w:rPr>
        <w:t xml:space="preserve">הפסולים </w:t>
      </w:r>
      <w:r w:rsidRPr="00B00F53">
        <w:rPr>
          <w:rFonts w:hint="cs"/>
          <w:rtl/>
        </w:rPr>
        <w:t>של הרשות, או להציג אינדיקציות נסיבתיות בעלות</w:t>
      </w:r>
      <w:r>
        <w:rPr>
          <w:rFonts w:hint="cs"/>
          <w:rtl/>
        </w:rPr>
        <w:t xml:space="preserve"> משקל ממשי המעידות על מניעים אלה</w:t>
      </w:r>
      <w:r w:rsidRPr="00B00F53">
        <w:rPr>
          <w:rFonts w:hint="cs"/>
          <w:rtl/>
        </w:rPr>
        <w:t xml:space="preserve"> (</w:t>
      </w:r>
      <w:r>
        <w:rPr>
          <w:rFonts w:hint="cs"/>
          <w:rtl/>
        </w:rPr>
        <w:t xml:space="preserve">ראו: </w:t>
      </w:r>
      <w:r w:rsidRPr="00B00F53">
        <w:rPr>
          <w:rFonts w:hint="eastAsia"/>
          <w:rtl/>
        </w:rPr>
        <w:t>בג</w:t>
      </w:r>
      <w:r w:rsidRPr="00B00F53">
        <w:rPr>
          <w:rtl/>
        </w:rPr>
        <w:t>"</w:t>
      </w:r>
      <w:r w:rsidRPr="00B00F53">
        <w:rPr>
          <w:rFonts w:hint="eastAsia"/>
          <w:rtl/>
        </w:rPr>
        <w:t>ץ</w:t>
      </w:r>
      <w:r w:rsidRPr="00B00F53">
        <w:rPr>
          <w:rFonts w:hint="cs"/>
          <w:rtl/>
        </w:rPr>
        <w:t xml:space="preserve"> </w:t>
      </w:r>
      <w:r w:rsidRPr="00B00F53">
        <w:rPr>
          <w:rtl/>
        </w:rPr>
        <w:t xml:space="preserve">4500/07 </w:t>
      </w:r>
      <w:r w:rsidRPr="00B00F53">
        <w:rPr>
          <w:rFonts w:cs="Miriam" w:hint="eastAsia"/>
          <w:spacing w:val="0"/>
          <w:szCs w:val="24"/>
          <w:rtl/>
        </w:rPr>
        <w:t>יחימוביץ</w:t>
      </w:r>
      <w:r w:rsidRPr="00B00F53">
        <w:rPr>
          <w:rFonts w:cs="Miriam"/>
          <w:spacing w:val="0"/>
          <w:szCs w:val="24"/>
          <w:rtl/>
        </w:rPr>
        <w:t xml:space="preserve">' </w:t>
      </w:r>
      <w:r w:rsidRPr="00B00F53">
        <w:rPr>
          <w:rFonts w:cs="Miriam" w:hint="eastAsia"/>
          <w:spacing w:val="0"/>
          <w:szCs w:val="24"/>
          <w:rtl/>
        </w:rPr>
        <w:t>נ</w:t>
      </w:r>
      <w:r w:rsidRPr="00B00F53">
        <w:rPr>
          <w:rFonts w:cs="Miriam"/>
          <w:spacing w:val="0"/>
          <w:szCs w:val="24"/>
          <w:rtl/>
        </w:rPr>
        <w:t xml:space="preserve">' </w:t>
      </w:r>
      <w:r w:rsidRPr="00B00F53">
        <w:rPr>
          <w:rFonts w:cs="Miriam" w:hint="eastAsia"/>
          <w:spacing w:val="0"/>
          <w:szCs w:val="24"/>
          <w:rtl/>
        </w:rPr>
        <w:t>מועצת</w:t>
      </w:r>
      <w:r w:rsidRPr="00B00F53">
        <w:rPr>
          <w:rFonts w:cs="Miriam"/>
          <w:spacing w:val="0"/>
          <w:szCs w:val="24"/>
          <w:rtl/>
        </w:rPr>
        <w:t xml:space="preserve"> </w:t>
      </w:r>
      <w:r w:rsidRPr="00B00F53">
        <w:rPr>
          <w:rFonts w:cs="Miriam" w:hint="eastAsia"/>
          <w:spacing w:val="0"/>
          <w:szCs w:val="24"/>
          <w:rtl/>
        </w:rPr>
        <w:t>הרשות</w:t>
      </w:r>
      <w:r w:rsidRPr="00B00F53">
        <w:rPr>
          <w:rFonts w:cs="Miriam"/>
          <w:spacing w:val="0"/>
          <w:szCs w:val="24"/>
          <w:rtl/>
        </w:rPr>
        <w:t xml:space="preserve"> </w:t>
      </w:r>
      <w:r w:rsidRPr="00B00F53">
        <w:rPr>
          <w:rFonts w:cs="Miriam" w:hint="eastAsia"/>
          <w:spacing w:val="0"/>
          <w:szCs w:val="24"/>
          <w:rtl/>
        </w:rPr>
        <w:t>השניה</w:t>
      </w:r>
      <w:r w:rsidRPr="00B00F53">
        <w:rPr>
          <w:rFonts w:cs="Miriam"/>
          <w:spacing w:val="0"/>
          <w:szCs w:val="24"/>
          <w:rtl/>
        </w:rPr>
        <w:t xml:space="preserve"> </w:t>
      </w:r>
      <w:r w:rsidRPr="00B00F53">
        <w:rPr>
          <w:rFonts w:cs="Miriam" w:hint="eastAsia"/>
          <w:spacing w:val="0"/>
          <w:szCs w:val="24"/>
          <w:rtl/>
        </w:rPr>
        <w:t>לרדיו</w:t>
      </w:r>
      <w:r w:rsidRPr="00B00F53">
        <w:rPr>
          <w:rFonts w:cs="Miriam"/>
          <w:spacing w:val="0"/>
          <w:szCs w:val="24"/>
          <w:rtl/>
        </w:rPr>
        <w:t xml:space="preserve"> </w:t>
      </w:r>
      <w:r w:rsidRPr="00B00F53">
        <w:rPr>
          <w:rFonts w:cs="Miriam" w:hint="eastAsia"/>
          <w:spacing w:val="0"/>
          <w:szCs w:val="24"/>
          <w:rtl/>
        </w:rPr>
        <w:t>ולטלוויזיה</w:t>
      </w:r>
      <w:r w:rsidRPr="00B00F53">
        <w:rPr>
          <w:rtl/>
        </w:rPr>
        <w:t xml:space="preserve">, </w:t>
      </w:r>
      <w:r w:rsidRPr="00B00F53">
        <w:rPr>
          <w:rFonts w:hint="eastAsia"/>
          <w:rtl/>
        </w:rPr>
        <w:t>פסקה</w:t>
      </w:r>
      <w:r w:rsidRPr="00B00F53">
        <w:rPr>
          <w:rtl/>
        </w:rPr>
        <w:t xml:space="preserve"> 12 (21.11.2007)</w:t>
      </w:r>
      <w:r w:rsidRPr="00B00F53">
        <w:rPr>
          <w:rFonts w:hint="cs"/>
          <w:rtl/>
        </w:rPr>
        <w:t xml:space="preserve">; </w:t>
      </w:r>
      <w:r w:rsidRPr="00B00F53">
        <w:rPr>
          <w:rFonts w:hint="eastAsia"/>
          <w:rtl/>
        </w:rPr>
        <w:t>בג</w:t>
      </w:r>
      <w:r w:rsidRPr="00B00F53">
        <w:rPr>
          <w:rtl/>
        </w:rPr>
        <w:t>"</w:t>
      </w:r>
      <w:r w:rsidRPr="00B00F53">
        <w:rPr>
          <w:rFonts w:hint="eastAsia"/>
          <w:rtl/>
        </w:rPr>
        <w:t>ץ</w:t>
      </w:r>
      <w:r w:rsidRPr="00B00F53">
        <w:rPr>
          <w:rtl/>
        </w:rPr>
        <w:t xml:space="preserve"> 8756/07 </w:t>
      </w:r>
      <w:r w:rsidRPr="00B00F53">
        <w:rPr>
          <w:rFonts w:cs="Miriam" w:hint="eastAsia"/>
          <w:spacing w:val="0"/>
          <w:szCs w:val="24"/>
          <w:rtl/>
        </w:rPr>
        <w:t>עמותת</w:t>
      </w:r>
      <w:r w:rsidRPr="00B00F53">
        <w:rPr>
          <w:rFonts w:cs="Miriam"/>
          <w:spacing w:val="0"/>
          <w:szCs w:val="24"/>
          <w:rtl/>
        </w:rPr>
        <w:t xml:space="preserve"> "</w:t>
      </w:r>
      <w:r w:rsidRPr="00B00F53">
        <w:rPr>
          <w:rFonts w:cs="Miriam" w:hint="eastAsia"/>
          <w:spacing w:val="0"/>
          <w:szCs w:val="24"/>
          <w:rtl/>
        </w:rPr>
        <w:t>מבוי</w:t>
      </w:r>
      <w:r w:rsidRPr="00B00F53">
        <w:rPr>
          <w:rFonts w:cs="Miriam"/>
          <w:spacing w:val="0"/>
          <w:szCs w:val="24"/>
          <w:rtl/>
        </w:rPr>
        <w:t xml:space="preserve"> </w:t>
      </w:r>
      <w:r w:rsidRPr="00B00F53">
        <w:rPr>
          <w:rFonts w:cs="Miriam" w:hint="eastAsia"/>
          <w:spacing w:val="0"/>
          <w:szCs w:val="24"/>
          <w:rtl/>
        </w:rPr>
        <w:t>סתום</w:t>
      </w:r>
      <w:r w:rsidRPr="00B00F53">
        <w:rPr>
          <w:rFonts w:cs="Miriam"/>
          <w:spacing w:val="0"/>
          <w:szCs w:val="24"/>
          <w:rtl/>
        </w:rPr>
        <w:t xml:space="preserve">" </w:t>
      </w:r>
      <w:r w:rsidRPr="00B00F53">
        <w:rPr>
          <w:rFonts w:cs="Miriam" w:hint="eastAsia"/>
          <w:spacing w:val="0"/>
          <w:szCs w:val="24"/>
          <w:rtl/>
        </w:rPr>
        <w:t>נ</w:t>
      </w:r>
      <w:r w:rsidRPr="00B00F53">
        <w:rPr>
          <w:rFonts w:cs="Miriam"/>
          <w:spacing w:val="0"/>
          <w:szCs w:val="24"/>
          <w:rtl/>
        </w:rPr>
        <w:t xml:space="preserve">' </w:t>
      </w:r>
      <w:r w:rsidRPr="00B00F53">
        <w:rPr>
          <w:rFonts w:cs="Miriam" w:hint="eastAsia"/>
          <w:spacing w:val="0"/>
          <w:szCs w:val="24"/>
          <w:rtl/>
        </w:rPr>
        <w:t>הוועדה</w:t>
      </w:r>
      <w:r w:rsidRPr="00B00F53">
        <w:rPr>
          <w:rFonts w:cs="Miriam"/>
          <w:spacing w:val="0"/>
          <w:szCs w:val="24"/>
          <w:rtl/>
        </w:rPr>
        <w:t xml:space="preserve"> </w:t>
      </w:r>
      <w:r w:rsidRPr="00B00F53">
        <w:rPr>
          <w:rFonts w:cs="Miriam" w:hint="eastAsia"/>
          <w:spacing w:val="0"/>
          <w:szCs w:val="24"/>
          <w:rtl/>
        </w:rPr>
        <w:t>למינוי</w:t>
      </w:r>
      <w:r w:rsidRPr="00B00F53">
        <w:rPr>
          <w:rFonts w:cs="Miriam"/>
          <w:spacing w:val="0"/>
          <w:szCs w:val="24"/>
          <w:rtl/>
        </w:rPr>
        <w:t xml:space="preserve"> </w:t>
      </w:r>
      <w:r w:rsidRPr="00B00F53">
        <w:rPr>
          <w:rFonts w:cs="Miriam" w:hint="eastAsia"/>
          <w:spacing w:val="0"/>
          <w:szCs w:val="24"/>
          <w:rtl/>
        </w:rPr>
        <w:t>דיינים</w:t>
      </w:r>
      <w:r w:rsidRPr="00B00F53">
        <w:rPr>
          <w:rtl/>
        </w:rPr>
        <w:t xml:space="preserve">, </w:t>
      </w:r>
      <w:r w:rsidRPr="00B00F53">
        <w:rPr>
          <w:rFonts w:hint="eastAsia"/>
          <w:rtl/>
        </w:rPr>
        <w:t>פסקה</w:t>
      </w:r>
      <w:r w:rsidRPr="00B00F53">
        <w:rPr>
          <w:rtl/>
        </w:rPr>
        <w:t xml:space="preserve"> 43</w:t>
      </w:r>
      <w:r w:rsidRPr="00B00F53">
        <w:rPr>
          <w:rFonts w:hint="cs"/>
          <w:rtl/>
        </w:rPr>
        <w:t xml:space="preserve"> </w:t>
      </w:r>
      <w:r w:rsidRPr="00B00F53">
        <w:rPr>
          <w:rtl/>
        </w:rPr>
        <w:t>(3.6.2008)</w:t>
      </w:r>
      <w:r w:rsidRPr="00B00F53">
        <w:rPr>
          <w:rFonts w:hint="cs"/>
          <w:rtl/>
        </w:rPr>
        <w:t xml:space="preserve">; </w:t>
      </w:r>
      <w:r w:rsidRPr="00B00F53">
        <w:rPr>
          <w:rFonts w:cs="Miriam" w:hint="cs"/>
          <w:b/>
          <w:spacing w:val="0"/>
          <w:sz w:val="22"/>
          <w:szCs w:val="24"/>
          <w:rtl/>
        </w:rPr>
        <w:t>ברק-</w:t>
      </w:r>
      <w:r w:rsidRPr="00B00F53">
        <w:rPr>
          <w:rFonts w:cs="Miriam" w:hint="cs"/>
          <w:b/>
          <w:spacing w:val="0"/>
          <w:sz w:val="22"/>
          <w:szCs w:val="24"/>
          <w:rtl/>
        </w:rPr>
        <w:lastRenderedPageBreak/>
        <w:t>ארז "משפט מינהלי"</w:t>
      </w:r>
      <w:r w:rsidRPr="00B00F53">
        <w:rPr>
          <w:rFonts w:hint="cs"/>
          <w:rtl/>
        </w:rPr>
        <w:t>, בעמ' 672-669). בשל הקשיים הראייתיים המשמעותיים</w:t>
      </w:r>
      <w:r>
        <w:rPr>
          <w:rFonts w:hint="cs"/>
          <w:rtl/>
        </w:rPr>
        <w:t xml:space="preserve"> הקיימים בהקשר זה </w:t>
      </w:r>
      <w:r w:rsidRPr="00B00F53">
        <w:rPr>
          <w:rtl/>
        </w:rPr>
        <w:t>–</w:t>
      </w:r>
      <w:r>
        <w:rPr>
          <w:rFonts w:hint="cs"/>
          <w:rtl/>
        </w:rPr>
        <w:t xml:space="preserve"> </w:t>
      </w:r>
      <w:r w:rsidRPr="00B00F53">
        <w:rPr>
          <w:rFonts w:hint="cs"/>
          <w:rtl/>
        </w:rPr>
        <w:t xml:space="preserve">חלק ניכר מהעתירות </w:t>
      </w:r>
      <w:r>
        <w:rPr>
          <w:rFonts w:hint="cs"/>
          <w:rtl/>
        </w:rPr>
        <w:t xml:space="preserve">המבוססות על הטענה בדבר </w:t>
      </w:r>
      <w:r w:rsidRPr="00B00F53">
        <w:rPr>
          <w:rFonts w:hint="cs"/>
          <w:rtl/>
        </w:rPr>
        <w:t>שיקולים זרים</w:t>
      </w:r>
      <w:r>
        <w:rPr>
          <w:rFonts w:hint="cs"/>
          <w:rtl/>
        </w:rPr>
        <w:t>,</w:t>
      </w:r>
      <w:r w:rsidRPr="00B00F53">
        <w:rPr>
          <w:rFonts w:hint="cs"/>
          <w:rtl/>
        </w:rPr>
        <w:t xml:space="preserve"> נדחות בהיעדר ביסוס עובדתי (</w:t>
      </w:r>
      <w:r w:rsidRPr="00B00F53">
        <w:rPr>
          <w:rFonts w:cs="Miriam" w:hint="cs"/>
          <w:b/>
          <w:spacing w:val="0"/>
          <w:sz w:val="22"/>
          <w:szCs w:val="24"/>
          <w:rtl/>
        </w:rPr>
        <w:t>שם</w:t>
      </w:r>
      <w:r w:rsidRPr="00B00F53">
        <w:rPr>
          <w:rFonts w:hint="cs"/>
          <w:rtl/>
        </w:rPr>
        <w:t>, בעמ' 670)</w:t>
      </w:r>
      <w:r>
        <w:rPr>
          <w:rFonts w:hint="cs"/>
          <w:rtl/>
        </w:rPr>
        <w:t>. כמו כן, ה</w:t>
      </w:r>
      <w:r w:rsidRPr="00B00F53">
        <w:rPr>
          <w:rFonts w:hint="cs"/>
          <w:rtl/>
        </w:rPr>
        <w:t xml:space="preserve">עילה </w:t>
      </w:r>
      <w:r>
        <w:rPr>
          <w:rFonts w:hint="cs"/>
          <w:rtl/>
        </w:rPr>
        <w:t xml:space="preserve">בדבר שיקולים זרים </w:t>
      </w:r>
      <w:r w:rsidRPr="00B00F53">
        <w:rPr>
          <w:rFonts w:hint="cs"/>
          <w:rtl/>
        </w:rPr>
        <w:t xml:space="preserve">אינה מתייחסת כלל למצבים של </w:t>
      </w:r>
      <w:r>
        <w:rPr>
          <w:rFonts w:hint="cs"/>
          <w:rtl/>
        </w:rPr>
        <w:t>פגם באיזון שערכה הרשות</w:t>
      </w:r>
      <w:r w:rsidRPr="00B00F53">
        <w:rPr>
          <w:rFonts w:hint="cs"/>
          <w:rtl/>
        </w:rPr>
        <w:t xml:space="preserve"> בין שיקולים </w:t>
      </w:r>
      <w:r>
        <w:rPr>
          <w:rFonts w:hint="cs"/>
          <w:rtl/>
        </w:rPr>
        <w:t xml:space="preserve">שהינם </w:t>
      </w:r>
      <w:r w:rsidRPr="00E552EF">
        <w:rPr>
          <w:rFonts w:ascii="Century" w:hAnsi="Century" w:hint="cs"/>
          <w:sz w:val="22"/>
          <w:rtl/>
        </w:rPr>
        <w:t>ראויים</w:t>
      </w:r>
      <w:r w:rsidRPr="00E552EF">
        <w:rPr>
          <w:rFonts w:hint="cs"/>
          <w:rtl/>
        </w:rPr>
        <w:t xml:space="preserve"> </w:t>
      </w:r>
      <w:r>
        <w:rPr>
          <w:rFonts w:hint="cs"/>
          <w:rtl/>
        </w:rPr>
        <w:t xml:space="preserve">כשלעצמם </w:t>
      </w:r>
      <w:r w:rsidRPr="00B00F53">
        <w:rPr>
          <w:rFonts w:hint="cs"/>
          <w:rtl/>
        </w:rPr>
        <w:t xml:space="preserve">(ראו: </w:t>
      </w:r>
      <w:r w:rsidRPr="00B00F53">
        <w:rPr>
          <w:rFonts w:hint="eastAsia"/>
          <w:rtl/>
        </w:rPr>
        <w:t>עע</w:t>
      </w:r>
      <w:r w:rsidRPr="00B00F53">
        <w:rPr>
          <w:rtl/>
        </w:rPr>
        <w:t>"</w:t>
      </w:r>
      <w:r w:rsidRPr="00B00F53">
        <w:rPr>
          <w:rFonts w:hint="cs"/>
          <w:rtl/>
        </w:rPr>
        <w:t>ם</w:t>
      </w:r>
      <w:r w:rsidRPr="00B00F53">
        <w:rPr>
          <w:rtl/>
        </w:rPr>
        <w:t xml:space="preserve"> 343/09 </w:t>
      </w:r>
      <w:r w:rsidRPr="00B00F53">
        <w:rPr>
          <w:rFonts w:cs="Miriam" w:hint="eastAsia"/>
          <w:spacing w:val="0"/>
          <w:szCs w:val="24"/>
          <w:rtl/>
        </w:rPr>
        <w:t>הבית</w:t>
      </w:r>
      <w:r w:rsidRPr="00B00F53">
        <w:rPr>
          <w:rFonts w:cs="Miriam"/>
          <w:spacing w:val="0"/>
          <w:szCs w:val="24"/>
          <w:rtl/>
        </w:rPr>
        <w:t xml:space="preserve"> </w:t>
      </w:r>
      <w:r w:rsidRPr="00B00F53">
        <w:rPr>
          <w:rFonts w:cs="Miriam" w:hint="eastAsia"/>
          <w:spacing w:val="0"/>
          <w:szCs w:val="24"/>
          <w:rtl/>
        </w:rPr>
        <w:t>הפתוח</w:t>
      </w:r>
      <w:r w:rsidRPr="00B00F53">
        <w:rPr>
          <w:rFonts w:cs="Miriam"/>
          <w:spacing w:val="0"/>
          <w:szCs w:val="24"/>
          <w:rtl/>
        </w:rPr>
        <w:t xml:space="preserve"> </w:t>
      </w:r>
      <w:r w:rsidRPr="00B00F53">
        <w:rPr>
          <w:rFonts w:cs="Miriam" w:hint="eastAsia"/>
          <w:spacing w:val="0"/>
          <w:szCs w:val="24"/>
          <w:rtl/>
        </w:rPr>
        <w:t>בירושלים</w:t>
      </w:r>
      <w:r w:rsidRPr="00B00F53">
        <w:rPr>
          <w:rFonts w:cs="Miriam"/>
          <w:spacing w:val="0"/>
          <w:szCs w:val="24"/>
          <w:rtl/>
        </w:rPr>
        <w:t xml:space="preserve"> </w:t>
      </w:r>
      <w:r w:rsidRPr="00B00F53">
        <w:rPr>
          <w:rFonts w:cs="Miriam" w:hint="eastAsia"/>
          <w:spacing w:val="0"/>
          <w:szCs w:val="24"/>
          <w:rtl/>
        </w:rPr>
        <w:t>לגאווה</w:t>
      </w:r>
      <w:r w:rsidRPr="00B00F53">
        <w:rPr>
          <w:rFonts w:cs="Miriam"/>
          <w:spacing w:val="0"/>
          <w:szCs w:val="24"/>
          <w:rtl/>
        </w:rPr>
        <w:t xml:space="preserve"> </w:t>
      </w:r>
      <w:r w:rsidRPr="00B00F53">
        <w:rPr>
          <w:rFonts w:cs="Miriam" w:hint="eastAsia"/>
          <w:spacing w:val="0"/>
          <w:szCs w:val="24"/>
          <w:rtl/>
        </w:rPr>
        <w:t>וסובלנות</w:t>
      </w:r>
      <w:r w:rsidRPr="00B00F53">
        <w:rPr>
          <w:rFonts w:cs="Miriam"/>
          <w:spacing w:val="0"/>
          <w:szCs w:val="24"/>
          <w:rtl/>
        </w:rPr>
        <w:t xml:space="preserve"> </w:t>
      </w:r>
      <w:r w:rsidRPr="00B00F53">
        <w:rPr>
          <w:rFonts w:cs="Miriam" w:hint="eastAsia"/>
          <w:spacing w:val="0"/>
          <w:szCs w:val="24"/>
          <w:rtl/>
        </w:rPr>
        <w:t>נ</w:t>
      </w:r>
      <w:r w:rsidRPr="00B00F53">
        <w:rPr>
          <w:rFonts w:cs="Miriam"/>
          <w:spacing w:val="0"/>
          <w:szCs w:val="24"/>
          <w:rtl/>
        </w:rPr>
        <w:t xml:space="preserve">' </w:t>
      </w:r>
      <w:r w:rsidRPr="00B00F53">
        <w:rPr>
          <w:rFonts w:cs="Miriam" w:hint="eastAsia"/>
          <w:spacing w:val="0"/>
          <w:szCs w:val="24"/>
          <w:rtl/>
        </w:rPr>
        <w:t>עיריית</w:t>
      </w:r>
      <w:r w:rsidRPr="00B00F53">
        <w:rPr>
          <w:rFonts w:cs="Miriam"/>
          <w:spacing w:val="0"/>
          <w:szCs w:val="24"/>
          <w:rtl/>
        </w:rPr>
        <w:t xml:space="preserve"> </w:t>
      </w:r>
      <w:r w:rsidRPr="00B00F53">
        <w:rPr>
          <w:rFonts w:cs="Miriam" w:hint="eastAsia"/>
          <w:spacing w:val="0"/>
          <w:szCs w:val="24"/>
          <w:rtl/>
        </w:rPr>
        <w:t>ירושלים</w:t>
      </w:r>
      <w:r w:rsidRPr="00B00F53">
        <w:rPr>
          <w:rtl/>
        </w:rPr>
        <w:t xml:space="preserve">, </w:t>
      </w:r>
      <w:r w:rsidRPr="00B00F53">
        <w:rPr>
          <w:rFonts w:hint="eastAsia"/>
          <w:rtl/>
        </w:rPr>
        <w:t>פ</w:t>
      </w:r>
      <w:r w:rsidRPr="00B00F53">
        <w:rPr>
          <w:rtl/>
        </w:rPr>
        <w:t>"</w:t>
      </w:r>
      <w:r w:rsidRPr="00B00F53">
        <w:rPr>
          <w:rFonts w:hint="eastAsia"/>
          <w:rtl/>
        </w:rPr>
        <w:t>ד</w:t>
      </w:r>
      <w:r w:rsidRPr="00B00F53">
        <w:rPr>
          <w:rtl/>
        </w:rPr>
        <w:t xml:space="preserve"> </w:t>
      </w:r>
      <w:r w:rsidRPr="00B00F53">
        <w:rPr>
          <w:rFonts w:hint="eastAsia"/>
          <w:rtl/>
        </w:rPr>
        <w:t>סד</w:t>
      </w:r>
      <w:r w:rsidRPr="00B00F53">
        <w:rPr>
          <w:rtl/>
        </w:rPr>
        <w:t xml:space="preserve">(2) 1, </w:t>
      </w:r>
      <w:r w:rsidRPr="00B00F53">
        <w:rPr>
          <w:rFonts w:hint="cs"/>
          <w:rtl/>
        </w:rPr>
        <w:t>40-39</w:t>
      </w:r>
      <w:r w:rsidRPr="00B00F53">
        <w:rPr>
          <w:rtl/>
        </w:rPr>
        <w:t xml:space="preserve"> (2010)</w:t>
      </w:r>
      <w:r>
        <w:rPr>
          <w:rFonts w:hint="cs"/>
          <w:rtl/>
        </w:rPr>
        <w:t xml:space="preserve">), וגם בשל כך עילה זו </w:t>
      </w:r>
      <w:r w:rsidRPr="00B00F53">
        <w:rPr>
          <w:rFonts w:hint="cs"/>
          <w:rtl/>
        </w:rPr>
        <w:t>אינה מהווה תחליף לבחינת סבירותה של החלטה.</w:t>
      </w:r>
    </w:p>
    <w:p w:rsidR="00C044AE" w:rsidRPr="00B00F53" w:rsidRDefault="00C044AE" w:rsidP="00C044AE">
      <w:pPr>
        <w:pStyle w:val="Ruller41"/>
        <w:rPr>
          <w:rFonts w:ascii="Garamond" w:hAnsi="Garamond"/>
          <w:rtl/>
        </w:rPr>
      </w:pPr>
    </w:p>
    <w:p w:rsidR="00C044AE" w:rsidRPr="00B00F53" w:rsidRDefault="00C044AE" w:rsidP="00C044AE">
      <w:pPr>
        <w:pStyle w:val="Ruller4"/>
        <w:rPr>
          <w:rtl/>
        </w:rPr>
      </w:pPr>
      <w:r w:rsidRPr="00B00F53">
        <w:rPr>
          <w:rtl/>
        </w:rPr>
        <w:tab/>
      </w:r>
      <w:r>
        <w:rPr>
          <w:rFonts w:hint="cs"/>
          <w:rtl/>
        </w:rPr>
        <w:t>עילה</w:t>
      </w:r>
      <w:r w:rsidRPr="00B00F53">
        <w:rPr>
          <w:rFonts w:hint="cs"/>
          <w:rtl/>
        </w:rPr>
        <w:t xml:space="preserve"> נוספת </w:t>
      </w:r>
      <w:r>
        <w:rPr>
          <w:rFonts w:hint="cs"/>
          <w:rtl/>
        </w:rPr>
        <w:t>שהוזכרה</w:t>
      </w:r>
      <w:r w:rsidRPr="00B00F53">
        <w:rPr>
          <w:rFonts w:hint="cs"/>
          <w:rtl/>
        </w:rPr>
        <w:t xml:space="preserve"> בדיוני הוועדה ובטענות </w:t>
      </w:r>
      <w:r>
        <w:rPr>
          <w:rFonts w:hint="cs"/>
          <w:rtl/>
        </w:rPr>
        <w:t>הצדדים</w:t>
      </w:r>
      <w:r w:rsidRPr="00B00F53">
        <w:rPr>
          <w:rFonts w:hint="cs"/>
          <w:rtl/>
        </w:rPr>
        <w:t xml:space="preserve"> בהלי</w:t>
      </w:r>
      <w:r>
        <w:rPr>
          <w:rFonts w:hint="cs"/>
          <w:rtl/>
        </w:rPr>
        <w:t>כים</w:t>
      </w:r>
      <w:r w:rsidRPr="00B00F53">
        <w:rPr>
          <w:rFonts w:hint="cs"/>
          <w:rtl/>
        </w:rPr>
        <w:t xml:space="preserve"> דנן</w:t>
      </w:r>
      <w:r>
        <w:rPr>
          <w:rFonts w:hint="cs"/>
          <w:rtl/>
        </w:rPr>
        <w:t>,</w:t>
      </w:r>
      <w:r w:rsidRPr="00B00F53">
        <w:rPr>
          <w:rFonts w:hint="cs"/>
          <w:rtl/>
        </w:rPr>
        <w:t xml:space="preserve"> היא עילת השרירות (ראו, למשל: </w:t>
      </w:r>
      <w:r w:rsidRPr="00B00F53">
        <w:rPr>
          <w:rFonts w:cs="Miriam" w:hint="cs"/>
          <w:spacing w:val="0"/>
          <w:szCs w:val="24"/>
          <w:rtl/>
        </w:rPr>
        <w:t>פרוטוקול ישיבה 126</w:t>
      </w:r>
      <w:r w:rsidRPr="00B00F53">
        <w:rPr>
          <w:rFonts w:hint="cs"/>
          <w:rtl/>
        </w:rPr>
        <w:t>, ב</w:t>
      </w:r>
      <w:r>
        <w:rPr>
          <w:rFonts w:hint="cs"/>
          <w:rtl/>
        </w:rPr>
        <w:t xml:space="preserve">עמ' </w:t>
      </w:r>
      <w:r w:rsidRPr="00B00F53">
        <w:rPr>
          <w:rFonts w:hint="cs"/>
          <w:rtl/>
        </w:rPr>
        <w:t>50</w:t>
      </w:r>
      <w:r>
        <w:rPr>
          <w:rFonts w:hint="cs"/>
          <w:rtl/>
        </w:rPr>
        <w:t xml:space="preserve"> ו-57</w:t>
      </w:r>
      <w:r w:rsidRPr="00B00F53">
        <w:rPr>
          <w:rFonts w:hint="cs"/>
          <w:rtl/>
        </w:rPr>
        <w:t xml:space="preserve">; פסקה 316(א) לתצהיר התשובה של הכנסת). אפילו אניח כי מדובר בעילה מובחנת מעילת הסבירות </w:t>
      </w:r>
      <w:r>
        <w:rPr>
          <w:rFonts w:hint="cs"/>
          <w:rtl/>
        </w:rPr>
        <w:t>ולא באחד הרבדים של עילת הסבירות, בדומה ל</w:t>
      </w:r>
      <w:r w:rsidRPr="00B00F53">
        <w:rPr>
          <w:rFonts w:hint="cs"/>
          <w:rtl/>
        </w:rPr>
        <w:t>"</w:t>
      </w:r>
      <w:r w:rsidRPr="004B1671">
        <w:rPr>
          <w:rtl/>
        </w:rPr>
        <w:t>מופרכוּת</w:t>
      </w:r>
      <w:r w:rsidRPr="00B00F53">
        <w:rPr>
          <w:rFonts w:hint="cs"/>
          <w:rtl/>
        </w:rPr>
        <w:t xml:space="preserve">" (ראו גישות שונות בהקשר זה: </w:t>
      </w:r>
      <w:r w:rsidRPr="00B00F53">
        <w:rPr>
          <w:rFonts w:cs="Miriam" w:hint="cs"/>
          <w:b/>
          <w:spacing w:val="0"/>
          <w:szCs w:val="24"/>
          <w:rtl/>
        </w:rPr>
        <w:t>זמיר "הסמכות המ</w:t>
      </w:r>
      <w:r>
        <w:rPr>
          <w:rFonts w:cs="Miriam" w:hint="cs"/>
          <w:b/>
          <w:spacing w:val="0"/>
          <w:szCs w:val="24"/>
          <w:rtl/>
        </w:rPr>
        <w:t>י</w:t>
      </w:r>
      <w:r w:rsidRPr="00B00F53">
        <w:rPr>
          <w:rFonts w:cs="Miriam" w:hint="cs"/>
          <w:b/>
          <w:spacing w:val="0"/>
          <w:szCs w:val="24"/>
          <w:rtl/>
        </w:rPr>
        <w:t>נהלית"</w:t>
      </w:r>
      <w:r w:rsidRPr="00B00F53">
        <w:rPr>
          <w:rFonts w:hint="cs"/>
          <w:rtl/>
        </w:rPr>
        <w:t xml:space="preserve">, בעמ' 3537-3535; </w:t>
      </w:r>
      <w:r w:rsidRPr="00B00F53">
        <w:rPr>
          <w:rFonts w:cs="Miriam" w:hint="cs"/>
          <w:b/>
          <w:spacing w:val="0"/>
          <w:szCs w:val="24"/>
          <w:rtl/>
        </w:rPr>
        <w:t>ברק-ארז "משפט מ</w:t>
      </w:r>
      <w:r>
        <w:rPr>
          <w:rFonts w:cs="Miriam" w:hint="cs"/>
          <w:b/>
          <w:spacing w:val="0"/>
          <w:szCs w:val="24"/>
          <w:rtl/>
        </w:rPr>
        <w:t>י</w:t>
      </w:r>
      <w:r w:rsidRPr="00B00F53">
        <w:rPr>
          <w:rFonts w:cs="Miriam" w:hint="cs"/>
          <w:b/>
          <w:spacing w:val="0"/>
          <w:szCs w:val="24"/>
          <w:rtl/>
        </w:rPr>
        <w:t>נהלי"</w:t>
      </w:r>
      <w:r w:rsidRPr="00B00F53">
        <w:rPr>
          <w:rFonts w:hint="cs"/>
          <w:rtl/>
        </w:rPr>
        <w:t>, בעמ' 724; ראו גם:</w:t>
      </w:r>
      <w:r w:rsidRPr="00B00F53">
        <w:rPr>
          <w:rFonts w:hint="cs"/>
        </w:rPr>
        <w:t xml:space="preserve"> </w:t>
      </w:r>
      <w:r w:rsidRPr="00B00F53">
        <w:rPr>
          <w:rFonts w:cs="Miriam" w:hint="cs"/>
          <w:spacing w:val="0"/>
          <w:szCs w:val="24"/>
          <w:rtl/>
        </w:rPr>
        <w:t>פרוטוקול ישיבה מס' 126</w:t>
      </w:r>
      <w:r w:rsidRPr="00B00F53">
        <w:rPr>
          <w:rFonts w:hint="cs"/>
          <w:rtl/>
        </w:rPr>
        <w:t xml:space="preserve">, בעמ' 127) </w:t>
      </w:r>
      <w:r w:rsidRPr="00B00F53">
        <w:rPr>
          <w:rtl/>
        </w:rPr>
        <w:t>–</w:t>
      </w:r>
      <w:r w:rsidRPr="00B00F53">
        <w:rPr>
          <w:rFonts w:hint="cs"/>
          <w:rtl/>
        </w:rPr>
        <w:t xml:space="preserve"> שרירות נוגעת, מעצם טבעה, להתנהלות שלטונית נדירה וקיצונית. כך, </w:t>
      </w:r>
      <w:r>
        <w:rPr>
          <w:rFonts w:hint="cs"/>
          <w:rtl/>
        </w:rPr>
        <w:t>הפסיקה והספרות התייחסו להחלטה שרירותית כהחלטה שהתקבלה "על יסוד תחושה בעלמא" או "ללא</w:t>
      </w:r>
      <w:r w:rsidRPr="00B00F53">
        <w:rPr>
          <w:rFonts w:hint="cs"/>
          <w:rtl/>
        </w:rPr>
        <w:t xml:space="preserve"> </w:t>
      </w:r>
      <w:r>
        <w:rPr>
          <w:rFonts w:hint="cs"/>
          <w:rtl/>
        </w:rPr>
        <w:t xml:space="preserve">תלות בעובדות המקרה" ואף כ"סוג של שחיתות" (בג"ץ 986/05 </w:t>
      </w:r>
      <w:r w:rsidRPr="00A96421">
        <w:rPr>
          <w:rFonts w:ascii="Century" w:hAnsi="Century" w:cs="Miriam" w:hint="cs"/>
          <w:b/>
          <w:spacing w:val="0"/>
          <w:szCs w:val="24"/>
          <w:rtl/>
        </w:rPr>
        <w:t>פלד נ' עיריית תל אביב-יפו</w:t>
      </w:r>
      <w:r>
        <w:rPr>
          <w:rFonts w:hint="cs"/>
          <w:rtl/>
        </w:rPr>
        <w:t>, פסקה 14</w:t>
      </w:r>
      <w:r w:rsidRPr="00A96421">
        <w:rPr>
          <w:rFonts w:hint="cs"/>
          <w:rtl/>
        </w:rPr>
        <w:t xml:space="preserve"> </w:t>
      </w:r>
      <w:r>
        <w:rPr>
          <w:rFonts w:hint="cs"/>
          <w:rtl/>
        </w:rPr>
        <w:t xml:space="preserve">(13.4.2005); </w:t>
      </w:r>
      <w:r w:rsidRPr="00D32508">
        <w:rPr>
          <w:rFonts w:ascii="Century" w:hAnsi="Century" w:cs="Miriam" w:hint="cs"/>
          <w:b/>
          <w:spacing w:val="0"/>
          <w:szCs w:val="24"/>
          <w:rtl/>
        </w:rPr>
        <w:t xml:space="preserve">זמיר </w:t>
      </w:r>
      <w:r w:rsidRPr="00B8025D">
        <w:rPr>
          <w:rFonts w:ascii="Century" w:hAnsi="Century" w:cs="Miriam" w:hint="cs"/>
          <w:b/>
          <w:spacing w:val="0"/>
          <w:szCs w:val="24"/>
          <w:rtl/>
        </w:rPr>
        <w:t>"</w:t>
      </w:r>
      <w:r w:rsidRPr="00D32508">
        <w:rPr>
          <w:rFonts w:ascii="Century" w:hAnsi="Century" w:cs="Miriam" w:hint="cs"/>
          <w:b/>
          <w:spacing w:val="0"/>
          <w:szCs w:val="24"/>
          <w:rtl/>
        </w:rPr>
        <w:t xml:space="preserve">הסמכות </w:t>
      </w:r>
      <w:r w:rsidRPr="00B8025D">
        <w:rPr>
          <w:rFonts w:ascii="Century" w:hAnsi="Century" w:cs="Miriam" w:hint="cs"/>
          <w:b/>
          <w:spacing w:val="0"/>
          <w:szCs w:val="24"/>
          <w:rtl/>
        </w:rPr>
        <w:t>המינהלית"</w:t>
      </w:r>
      <w:r>
        <w:rPr>
          <w:rFonts w:hint="cs"/>
          <w:rtl/>
        </w:rPr>
        <w:t xml:space="preserve">, בעמ' 3447-3446; ראו גם: </w:t>
      </w:r>
      <w:r w:rsidRPr="004863AD">
        <w:rPr>
          <w:rtl/>
        </w:rPr>
        <w:t>עע"</w:t>
      </w:r>
      <w:r w:rsidRPr="004863AD">
        <w:rPr>
          <w:rFonts w:hint="cs"/>
          <w:rtl/>
        </w:rPr>
        <w:t>ם</w:t>
      </w:r>
      <w:r w:rsidRPr="004863AD">
        <w:rPr>
          <w:rtl/>
        </w:rPr>
        <w:t xml:space="preserve"> 1930</w:t>
      </w:r>
      <w:r w:rsidRPr="004863AD">
        <w:rPr>
          <w:rFonts w:hint="cs"/>
          <w:rtl/>
        </w:rPr>
        <w:t>/</w:t>
      </w:r>
      <w:r w:rsidRPr="004863AD">
        <w:rPr>
          <w:rtl/>
        </w:rPr>
        <w:t xml:space="preserve">22 </w:t>
      </w:r>
      <w:r w:rsidRPr="004863AD">
        <w:rPr>
          <w:rFonts w:ascii="Century" w:hAnsi="Century" w:cs="Miriam"/>
          <w:b/>
          <w:spacing w:val="0"/>
          <w:sz w:val="22"/>
          <w:szCs w:val="24"/>
          <w:rtl/>
        </w:rPr>
        <w:t>הבית הפתוח בירושלים לגאווה ולסובלנות (ע"ר) נ' עיריית ירושלים</w:t>
      </w:r>
      <w:r w:rsidRPr="004863AD">
        <w:rPr>
          <w:rFonts w:hint="cs"/>
          <w:rtl/>
        </w:rPr>
        <w:t xml:space="preserve">, פסקה 39 לפסק דינו של השופט </w:t>
      </w:r>
      <w:r w:rsidRPr="004863AD">
        <w:rPr>
          <w:rFonts w:ascii="Century" w:hAnsi="Century" w:cs="Miriam" w:hint="cs"/>
          <w:b/>
          <w:spacing w:val="0"/>
          <w:sz w:val="22"/>
          <w:szCs w:val="24"/>
          <w:rtl/>
        </w:rPr>
        <w:t>גרוסקופף</w:t>
      </w:r>
      <w:r w:rsidRPr="004863AD">
        <w:rPr>
          <w:rFonts w:hint="cs"/>
          <w:rtl/>
        </w:rPr>
        <w:t xml:space="preserve"> (11.10.2023);</w:t>
      </w:r>
      <w:r>
        <w:rPr>
          <w:rFonts w:hint="cs"/>
          <w:rtl/>
        </w:rPr>
        <w:t xml:space="preserve"> </w:t>
      </w:r>
      <w:r w:rsidRPr="00B00F53">
        <w:rPr>
          <w:rFonts w:hint="cs"/>
          <w:rtl/>
        </w:rPr>
        <w:t xml:space="preserve">רע"פ 1611/16 </w:t>
      </w:r>
      <w:r w:rsidRPr="00B00F53">
        <w:rPr>
          <w:rFonts w:cs="Miriam" w:hint="cs"/>
          <w:spacing w:val="0"/>
          <w:szCs w:val="24"/>
          <w:rtl/>
        </w:rPr>
        <w:t>מדינת ישראל נ' ורדי</w:t>
      </w:r>
      <w:r w:rsidRPr="00B00F53">
        <w:rPr>
          <w:rFonts w:hint="cs"/>
          <w:rtl/>
        </w:rPr>
        <w:t xml:space="preserve">, </w:t>
      </w:r>
      <w:r w:rsidRPr="00B00F53">
        <w:rPr>
          <w:rtl/>
        </w:rPr>
        <w:t xml:space="preserve">פסקאות 72-70 לפסק דינו של </w:t>
      </w:r>
      <w:r>
        <w:rPr>
          <w:rFonts w:hint="cs"/>
          <w:rtl/>
        </w:rPr>
        <w:t>המשנה לנשיאה</w:t>
      </w:r>
      <w:r w:rsidRPr="00B00F53">
        <w:rPr>
          <w:rtl/>
        </w:rPr>
        <w:t xml:space="preserve"> </w:t>
      </w:r>
      <w:r w:rsidRPr="00B00F53">
        <w:rPr>
          <w:rFonts w:cs="Miriam"/>
          <w:spacing w:val="0"/>
          <w:szCs w:val="24"/>
          <w:rtl/>
        </w:rPr>
        <w:t>מלצר</w:t>
      </w:r>
      <w:r w:rsidRPr="00B00F53">
        <w:rPr>
          <w:rFonts w:hint="cs"/>
          <w:rtl/>
        </w:rPr>
        <w:t xml:space="preserve"> (31.10.2018); בג"ץ 376/81 </w:t>
      </w:r>
      <w:r w:rsidRPr="00B00F53">
        <w:rPr>
          <w:rFonts w:cs="Miriam" w:hint="cs"/>
          <w:spacing w:val="0"/>
          <w:szCs w:val="24"/>
          <w:rtl/>
        </w:rPr>
        <w:t xml:space="preserve">לוגסי נ' </w:t>
      </w:r>
      <w:r>
        <w:rPr>
          <w:rFonts w:cs="Miriam" w:hint="cs"/>
          <w:spacing w:val="0"/>
          <w:szCs w:val="24"/>
          <w:rtl/>
        </w:rPr>
        <w:t>שר התקשורת</w:t>
      </w:r>
      <w:r>
        <w:rPr>
          <w:rFonts w:hint="cs"/>
          <w:rtl/>
        </w:rPr>
        <w:t xml:space="preserve">, פ"ד לו(2) 449, 460 (1981)). </w:t>
      </w:r>
      <w:r w:rsidRPr="00B00F53">
        <w:rPr>
          <w:rFonts w:hint="cs"/>
          <w:rtl/>
        </w:rPr>
        <w:t xml:space="preserve">עילה עצמאית המבוססת על כל אחת מההגדרות </w:t>
      </w:r>
      <w:r>
        <w:rPr>
          <w:rFonts w:hint="cs"/>
          <w:rtl/>
        </w:rPr>
        <w:t>הללו</w:t>
      </w:r>
      <w:r w:rsidRPr="00B00F53">
        <w:rPr>
          <w:rFonts w:hint="cs"/>
          <w:rtl/>
        </w:rPr>
        <w:t xml:space="preserve"> אינה יכולה להוות חלופה </w:t>
      </w:r>
      <w:r>
        <w:rPr>
          <w:rFonts w:hint="cs"/>
          <w:rtl/>
        </w:rPr>
        <w:t xml:space="preserve">של ממש לבחינת חוסר </w:t>
      </w:r>
      <w:r w:rsidRPr="00B00F53">
        <w:rPr>
          <w:rFonts w:hint="cs"/>
          <w:rtl/>
        </w:rPr>
        <w:t xml:space="preserve">הסבירות של החלטות, שכן הגדרות </w:t>
      </w:r>
      <w:r>
        <w:rPr>
          <w:rFonts w:hint="cs"/>
          <w:rtl/>
        </w:rPr>
        <w:t xml:space="preserve">אלה </w:t>
      </w:r>
      <w:r w:rsidRPr="00B00F53">
        <w:rPr>
          <w:rFonts w:hint="cs"/>
          <w:rtl/>
        </w:rPr>
        <w:t>מכוונות למצבי קיצון שבהם נדמה כ</w:t>
      </w:r>
      <w:r>
        <w:rPr>
          <w:rFonts w:hint="cs"/>
          <w:rtl/>
        </w:rPr>
        <w:t xml:space="preserve">י לא הופעל שיקול דעת כלל טרם קבלת ההחלטה. </w:t>
      </w:r>
    </w:p>
    <w:p w:rsidR="00C044AE" w:rsidRPr="00B00F53" w:rsidRDefault="00C044AE" w:rsidP="00C044AE">
      <w:pPr>
        <w:pStyle w:val="Ruller41"/>
        <w:rPr>
          <w:rFonts w:ascii="Garamond" w:hAnsi="Garamond"/>
          <w:rtl/>
        </w:rPr>
      </w:pPr>
    </w:p>
    <w:p w:rsidR="00C044AE" w:rsidRPr="00B00F53" w:rsidRDefault="00C044AE" w:rsidP="00C044AE">
      <w:pPr>
        <w:pStyle w:val="Ruller4"/>
        <w:rPr>
          <w:rtl/>
        </w:rPr>
      </w:pPr>
      <w:r w:rsidRPr="00B00F53">
        <w:rPr>
          <w:rFonts w:hint="cs"/>
          <w:rtl/>
        </w:rPr>
        <w:t xml:space="preserve">למעשה, </w:t>
      </w:r>
      <w:r>
        <w:rPr>
          <w:rFonts w:hint="cs"/>
          <w:rtl/>
        </w:rPr>
        <w:t>עילת</w:t>
      </w:r>
      <w:r w:rsidRPr="00B00F53">
        <w:rPr>
          <w:rFonts w:hint="cs"/>
          <w:rtl/>
        </w:rPr>
        <w:t xml:space="preserve"> הסבירות היא </w:t>
      </w:r>
      <w:r>
        <w:rPr>
          <w:rFonts w:hint="cs"/>
          <w:rtl/>
        </w:rPr>
        <w:t xml:space="preserve">זו </w:t>
      </w:r>
      <w:r w:rsidRPr="00B00F53">
        <w:rPr>
          <w:rFonts w:hint="cs"/>
          <w:rtl/>
        </w:rPr>
        <w:t xml:space="preserve">שמהווה במקרים רבים תחליף לעילות הביקורת האחרות, ומניעת היכולת להתבסס עליה פוגעת פגיעה קשה בפרט גם בהקשר זה. </w:t>
      </w:r>
      <w:r>
        <w:rPr>
          <w:rFonts w:hint="cs"/>
          <w:rtl/>
        </w:rPr>
        <w:t xml:space="preserve">הפסיקה עמדה לא אחת </w:t>
      </w:r>
      <w:r w:rsidRPr="00B00F53">
        <w:rPr>
          <w:rFonts w:hint="cs"/>
          <w:rtl/>
        </w:rPr>
        <w:t xml:space="preserve">על תפקידה של </w:t>
      </w:r>
      <w:r>
        <w:rPr>
          <w:rFonts w:hint="cs"/>
          <w:rtl/>
        </w:rPr>
        <w:t xml:space="preserve">עילת </w:t>
      </w:r>
      <w:r w:rsidRPr="00B00F53">
        <w:rPr>
          <w:rFonts w:hint="cs"/>
          <w:rtl/>
        </w:rPr>
        <w:t>הסבירות כמעין "מושג שסתום" שיכול לשמש כלי חשוב לאיתור החלטות מ</w:t>
      </w:r>
      <w:r>
        <w:rPr>
          <w:rFonts w:hint="cs"/>
          <w:rtl/>
        </w:rPr>
        <w:t>י</w:t>
      </w:r>
      <w:r w:rsidRPr="00B00F53">
        <w:rPr>
          <w:rFonts w:hint="cs"/>
          <w:rtl/>
        </w:rPr>
        <w:t>נהליות הנגועות בפגמים חמורים אחרים</w:t>
      </w:r>
      <w:r>
        <w:rPr>
          <w:rFonts w:hint="cs"/>
          <w:rtl/>
        </w:rPr>
        <w:t>,</w:t>
      </w:r>
      <w:r w:rsidRPr="00B00F53">
        <w:rPr>
          <w:rFonts w:hint="cs"/>
          <w:rtl/>
        </w:rPr>
        <w:t xml:space="preserve"> כמו שיקולים זרים</w:t>
      </w:r>
      <w:r>
        <w:rPr>
          <w:rFonts w:hint="cs"/>
          <w:rtl/>
        </w:rPr>
        <w:t>,</w:t>
      </w:r>
      <w:r w:rsidRPr="00B00F53">
        <w:rPr>
          <w:rFonts w:hint="cs"/>
          <w:rtl/>
        </w:rPr>
        <w:t xml:space="preserve"> </w:t>
      </w:r>
      <w:r>
        <w:rPr>
          <w:rFonts w:hint="cs"/>
          <w:rtl/>
        </w:rPr>
        <w:t xml:space="preserve">מקום </w:t>
      </w:r>
      <w:r w:rsidRPr="00B00F53">
        <w:rPr>
          <w:rFonts w:hint="cs"/>
          <w:rtl/>
        </w:rPr>
        <w:t xml:space="preserve">שקיים קושי ראייתי להוכיחם (עניין </w:t>
      </w:r>
      <w:r w:rsidRPr="00B00F53">
        <w:rPr>
          <w:rFonts w:cs="Miriam" w:hint="cs"/>
          <w:b/>
          <w:spacing w:val="0"/>
          <w:szCs w:val="24"/>
          <w:rtl/>
        </w:rPr>
        <w:t>הנגבי 2014</w:t>
      </w:r>
      <w:r w:rsidRPr="00B00F53">
        <w:rPr>
          <w:rFonts w:hint="cs"/>
          <w:rtl/>
        </w:rPr>
        <w:t xml:space="preserve">, בפסקה 2 לחוות דעתה של הנשיאה </w:t>
      </w:r>
      <w:r w:rsidRPr="00B00F53">
        <w:rPr>
          <w:rFonts w:cs="Miriam" w:hint="cs"/>
          <w:b/>
          <w:spacing w:val="0"/>
          <w:szCs w:val="24"/>
          <w:rtl/>
        </w:rPr>
        <w:t>נאור</w:t>
      </w:r>
      <w:r w:rsidRPr="00B00F53">
        <w:rPr>
          <w:rFonts w:hint="cs"/>
          <w:rtl/>
        </w:rPr>
        <w:t xml:space="preserve">; </w:t>
      </w:r>
      <w:r>
        <w:rPr>
          <w:rFonts w:hint="cs"/>
          <w:rtl/>
        </w:rPr>
        <w:t>עניין</w:t>
      </w:r>
      <w:r w:rsidRPr="00B00F53">
        <w:rPr>
          <w:rtl/>
        </w:rPr>
        <w:t xml:space="preserve"> </w:t>
      </w:r>
      <w:r w:rsidRPr="00B00F53">
        <w:rPr>
          <w:rFonts w:cs="Miriam" w:hint="eastAsia"/>
          <w:b/>
          <w:spacing w:val="0"/>
          <w:szCs w:val="24"/>
          <w:rtl/>
        </w:rPr>
        <w:t>נתניהו</w:t>
      </w:r>
      <w:r w:rsidRPr="00B00F53">
        <w:rPr>
          <w:rFonts w:hint="cs"/>
          <w:rtl/>
        </w:rPr>
        <w:t xml:space="preserve">, </w:t>
      </w:r>
      <w:r>
        <w:rPr>
          <w:rFonts w:hint="cs"/>
          <w:rtl/>
        </w:rPr>
        <w:t>ב</w:t>
      </w:r>
      <w:r w:rsidRPr="00B00F53">
        <w:rPr>
          <w:rFonts w:hint="cs"/>
          <w:rtl/>
        </w:rPr>
        <w:t xml:space="preserve">פסקה 5 לחוות דעתה של השופטת </w:t>
      </w:r>
      <w:r w:rsidRPr="00B00F53">
        <w:rPr>
          <w:rFonts w:cs="Miriam" w:hint="cs"/>
          <w:b/>
          <w:spacing w:val="0"/>
          <w:szCs w:val="24"/>
          <w:rtl/>
        </w:rPr>
        <w:t>ברק-ארז</w:t>
      </w:r>
      <w:r w:rsidRPr="00B00F53">
        <w:rPr>
          <w:rFonts w:hint="cs"/>
          <w:rtl/>
        </w:rPr>
        <w:t xml:space="preserve">; ראו גם: </w:t>
      </w:r>
      <w:r w:rsidRPr="00B00F53">
        <w:rPr>
          <w:rFonts w:cs="Miriam" w:hint="cs"/>
          <w:b/>
          <w:spacing w:val="0"/>
          <w:szCs w:val="24"/>
          <w:rtl/>
        </w:rPr>
        <w:t>ברק-ארז "משפט מינהלי"</w:t>
      </w:r>
      <w:r w:rsidRPr="00B00F53">
        <w:rPr>
          <w:rFonts w:hint="cs"/>
          <w:rtl/>
        </w:rPr>
        <w:t xml:space="preserve">, בעמ' 726). </w:t>
      </w:r>
      <w:r>
        <w:rPr>
          <w:rFonts w:hint="cs"/>
          <w:rtl/>
        </w:rPr>
        <w:t>בהקשר זה נפסק כי</w:t>
      </w:r>
      <w:r w:rsidRPr="00B00F53">
        <w:rPr>
          <w:rFonts w:hint="cs"/>
          <w:rtl/>
        </w:rPr>
        <w:t xml:space="preserve"> "</w:t>
      </w:r>
      <w:r w:rsidRPr="00B00F53">
        <w:rPr>
          <w:rtl/>
        </w:rPr>
        <w:t xml:space="preserve">בפועלה במתכונת שיורית זו, דוקטרינת הסבירות מביאה תועלת חברתית מרובה: היא מספקת לבתי המשפט כלי יעיל והכרחי לביקורת שיפוטית תחת חוסר ודאות ואינה מאפשרת לרשויות השלטון </w:t>
      </w:r>
      <w:r w:rsidRPr="00B00F53">
        <w:rPr>
          <w:rtl/>
        </w:rPr>
        <w:lastRenderedPageBreak/>
        <w:t>להסתיר את קלקלתן על ידי ניצול של עמימות המסד העובדתי</w:t>
      </w:r>
      <w:r w:rsidRPr="00B00F53">
        <w:rPr>
          <w:rFonts w:hint="cs"/>
          <w:rtl/>
        </w:rPr>
        <w:t xml:space="preserve">" (עניין </w:t>
      </w:r>
      <w:r w:rsidRPr="00B00F53">
        <w:rPr>
          <w:rFonts w:cs="Miriam" w:hint="cs"/>
          <w:b/>
          <w:spacing w:val="0"/>
          <w:szCs w:val="24"/>
          <w:rtl/>
        </w:rPr>
        <w:t>שיינפלד</w:t>
      </w:r>
      <w:r w:rsidRPr="00B00F53">
        <w:rPr>
          <w:rFonts w:hint="cs"/>
          <w:rtl/>
        </w:rPr>
        <w:t xml:space="preserve">, בפסקה 35 לחוות דעתו של השופט </w:t>
      </w:r>
      <w:r w:rsidRPr="00B00F53">
        <w:rPr>
          <w:rFonts w:cs="Miriam" w:hint="cs"/>
          <w:b/>
          <w:spacing w:val="0"/>
          <w:szCs w:val="24"/>
          <w:rtl/>
        </w:rPr>
        <w:t>שטיין</w:t>
      </w:r>
      <w:r w:rsidRPr="00B00F53">
        <w:rPr>
          <w:rFonts w:hint="cs"/>
          <w:rtl/>
        </w:rPr>
        <w:t>). בנסיבות אלה, כפי שהיטיב לציין פרופ' יצחק זמיר, "</w:t>
      </w:r>
      <w:r w:rsidRPr="00B00F53">
        <w:rPr>
          <w:rFonts w:hint="eastAsia"/>
          <w:rtl/>
        </w:rPr>
        <w:t>לא</w:t>
      </w:r>
      <w:r w:rsidRPr="00B00F53">
        <w:rPr>
          <w:rtl/>
        </w:rPr>
        <w:t xml:space="preserve"> </w:t>
      </w:r>
      <w:r w:rsidRPr="00B00F53">
        <w:rPr>
          <w:rFonts w:hint="eastAsia"/>
          <w:rtl/>
        </w:rPr>
        <w:t>יהיה</w:t>
      </w:r>
      <w:r w:rsidRPr="00B00F53">
        <w:rPr>
          <w:rtl/>
        </w:rPr>
        <w:t xml:space="preserve"> </w:t>
      </w:r>
      <w:r w:rsidRPr="00B00F53">
        <w:rPr>
          <w:rFonts w:hint="eastAsia"/>
          <w:rtl/>
        </w:rPr>
        <w:t>זה</w:t>
      </w:r>
      <w:r w:rsidRPr="00B00F53">
        <w:rPr>
          <w:rtl/>
        </w:rPr>
        <w:t xml:space="preserve"> </w:t>
      </w:r>
      <w:r w:rsidRPr="00B00F53">
        <w:rPr>
          <w:rFonts w:hint="eastAsia"/>
          <w:rtl/>
        </w:rPr>
        <w:t>הוגן</w:t>
      </w:r>
      <w:r w:rsidRPr="00B00F53">
        <w:rPr>
          <w:rtl/>
        </w:rPr>
        <w:t xml:space="preserve"> </w:t>
      </w:r>
      <w:r w:rsidRPr="00B00F53">
        <w:rPr>
          <w:rFonts w:hint="eastAsia"/>
          <w:rtl/>
        </w:rPr>
        <w:t>לשלול</w:t>
      </w:r>
      <w:r w:rsidRPr="00B00F53">
        <w:rPr>
          <w:rtl/>
        </w:rPr>
        <w:t xml:space="preserve"> </w:t>
      </w:r>
      <w:r w:rsidRPr="00B00F53">
        <w:rPr>
          <w:rFonts w:hint="eastAsia"/>
          <w:rtl/>
        </w:rPr>
        <w:t>מן</w:t>
      </w:r>
      <w:r w:rsidRPr="00B00F53">
        <w:rPr>
          <w:rtl/>
        </w:rPr>
        <w:t xml:space="preserve"> </w:t>
      </w:r>
      <w:r w:rsidRPr="00B00F53">
        <w:rPr>
          <w:rFonts w:hint="eastAsia"/>
          <w:rtl/>
        </w:rPr>
        <w:t>העותר</w:t>
      </w:r>
      <w:r w:rsidRPr="00B00F53">
        <w:rPr>
          <w:rtl/>
        </w:rPr>
        <w:t xml:space="preserve"> </w:t>
      </w:r>
      <w:r w:rsidRPr="00B00F53">
        <w:rPr>
          <w:rFonts w:hint="eastAsia"/>
          <w:rtl/>
        </w:rPr>
        <w:t>את</w:t>
      </w:r>
      <w:r w:rsidRPr="00B00F53">
        <w:rPr>
          <w:rtl/>
        </w:rPr>
        <w:t xml:space="preserve"> </w:t>
      </w:r>
      <w:r w:rsidRPr="00B00F53">
        <w:rPr>
          <w:rFonts w:hint="eastAsia"/>
          <w:rtl/>
        </w:rPr>
        <w:t>כבשת</w:t>
      </w:r>
      <w:r w:rsidRPr="00B00F53">
        <w:rPr>
          <w:rtl/>
        </w:rPr>
        <w:t xml:space="preserve"> </w:t>
      </w:r>
      <w:r w:rsidRPr="00B00F53">
        <w:rPr>
          <w:rFonts w:hint="eastAsia"/>
          <w:rtl/>
        </w:rPr>
        <w:t>הרש</w:t>
      </w:r>
      <w:r w:rsidRPr="00B00F53">
        <w:rPr>
          <w:rtl/>
        </w:rPr>
        <w:t xml:space="preserve"> </w:t>
      </w:r>
      <w:r w:rsidRPr="00B00F53">
        <w:rPr>
          <w:rFonts w:hint="eastAsia"/>
          <w:rtl/>
        </w:rPr>
        <w:t>של</w:t>
      </w:r>
      <w:r w:rsidRPr="00B00F53">
        <w:rPr>
          <w:rtl/>
        </w:rPr>
        <w:t xml:space="preserve"> </w:t>
      </w:r>
      <w:r w:rsidRPr="00B00F53">
        <w:rPr>
          <w:rFonts w:hint="eastAsia"/>
          <w:rtl/>
        </w:rPr>
        <w:t>עילת</w:t>
      </w:r>
      <w:r w:rsidRPr="00B00F53">
        <w:rPr>
          <w:rtl/>
        </w:rPr>
        <w:t xml:space="preserve"> </w:t>
      </w:r>
      <w:r w:rsidRPr="00B00F53">
        <w:rPr>
          <w:rFonts w:hint="eastAsia"/>
          <w:rtl/>
        </w:rPr>
        <w:t>הסבירות</w:t>
      </w:r>
      <w:r w:rsidRPr="00B00F53">
        <w:rPr>
          <w:rtl/>
        </w:rPr>
        <w:t xml:space="preserve">, </w:t>
      </w:r>
      <w:r w:rsidRPr="00B00F53">
        <w:rPr>
          <w:rFonts w:hint="eastAsia"/>
          <w:rtl/>
        </w:rPr>
        <w:t>שלא</w:t>
      </w:r>
      <w:r w:rsidRPr="00B00F53">
        <w:rPr>
          <w:rtl/>
        </w:rPr>
        <w:t xml:space="preserve"> </w:t>
      </w:r>
      <w:r w:rsidRPr="00B00F53">
        <w:rPr>
          <w:rFonts w:hint="eastAsia"/>
          <w:rtl/>
        </w:rPr>
        <w:t>פעם</w:t>
      </w:r>
      <w:r w:rsidRPr="00B00F53">
        <w:rPr>
          <w:rtl/>
        </w:rPr>
        <w:t xml:space="preserve"> </w:t>
      </w:r>
      <w:r w:rsidRPr="00B00F53">
        <w:rPr>
          <w:rFonts w:hint="eastAsia"/>
          <w:rtl/>
        </w:rPr>
        <w:t>היא</w:t>
      </w:r>
      <w:r w:rsidRPr="00B00F53">
        <w:rPr>
          <w:rtl/>
        </w:rPr>
        <w:t xml:space="preserve"> </w:t>
      </w:r>
      <w:r w:rsidRPr="00B00F53">
        <w:rPr>
          <w:rFonts w:hint="eastAsia"/>
          <w:rtl/>
        </w:rPr>
        <w:t>העילה</w:t>
      </w:r>
      <w:r w:rsidRPr="00B00F53">
        <w:rPr>
          <w:rtl/>
        </w:rPr>
        <w:t xml:space="preserve"> </w:t>
      </w:r>
      <w:r w:rsidRPr="00B00F53">
        <w:rPr>
          <w:rFonts w:hint="eastAsia"/>
          <w:rtl/>
        </w:rPr>
        <w:t>היחידה</w:t>
      </w:r>
      <w:r w:rsidRPr="00B00F53">
        <w:rPr>
          <w:rtl/>
        </w:rPr>
        <w:t xml:space="preserve"> </w:t>
      </w:r>
      <w:r w:rsidRPr="00B00F53">
        <w:rPr>
          <w:rFonts w:hint="eastAsia"/>
          <w:rtl/>
        </w:rPr>
        <w:t>המאפשרת</w:t>
      </w:r>
      <w:r w:rsidRPr="00B00F53">
        <w:rPr>
          <w:rtl/>
        </w:rPr>
        <w:t xml:space="preserve"> </w:t>
      </w:r>
      <w:r w:rsidRPr="00B00F53">
        <w:rPr>
          <w:rFonts w:hint="eastAsia"/>
          <w:rtl/>
        </w:rPr>
        <w:t>לו</w:t>
      </w:r>
      <w:r w:rsidRPr="00B00F53">
        <w:rPr>
          <w:rtl/>
        </w:rPr>
        <w:t xml:space="preserve">, </w:t>
      </w:r>
      <w:r w:rsidRPr="00B00F53">
        <w:rPr>
          <w:rFonts w:hint="eastAsia"/>
          <w:rtl/>
        </w:rPr>
        <w:t>באמצעות</w:t>
      </w:r>
      <w:r w:rsidRPr="00B00F53">
        <w:rPr>
          <w:rtl/>
        </w:rPr>
        <w:t xml:space="preserve"> </w:t>
      </w:r>
      <w:r w:rsidRPr="00B00F53">
        <w:rPr>
          <w:rFonts w:hint="eastAsia"/>
          <w:rtl/>
        </w:rPr>
        <w:t>בית</w:t>
      </w:r>
      <w:r w:rsidRPr="00B00F53">
        <w:rPr>
          <w:rtl/>
        </w:rPr>
        <w:t xml:space="preserve"> </w:t>
      </w:r>
      <w:r w:rsidRPr="00B00F53">
        <w:rPr>
          <w:rFonts w:hint="eastAsia"/>
          <w:rtl/>
        </w:rPr>
        <w:t>המשפט</w:t>
      </w:r>
      <w:r w:rsidRPr="00B00F53">
        <w:rPr>
          <w:rtl/>
        </w:rPr>
        <w:t xml:space="preserve">, </w:t>
      </w:r>
      <w:r w:rsidRPr="00B00F53">
        <w:rPr>
          <w:rFonts w:hint="eastAsia"/>
          <w:rtl/>
        </w:rPr>
        <w:t>לעשות</w:t>
      </w:r>
      <w:r w:rsidRPr="00B00F53">
        <w:rPr>
          <w:rtl/>
        </w:rPr>
        <w:t xml:space="preserve"> </w:t>
      </w:r>
      <w:r w:rsidRPr="00B00F53">
        <w:rPr>
          <w:rFonts w:hint="eastAsia"/>
          <w:rtl/>
        </w:rPr>
        <w:t>משפט</w:t>
      </w:r>
      <w:r w:rsidRPr="00B00F53">
        <w:rPr>
          <w:rtl/>
        </w:rPr>
        <w:t xml:space="preserve"> </w:t>
      </w:r>
      <w:r w:rsidRPr="00B00F53">
        <w:rPr>
          <w:rFonts w:hint="eastAsia"/>
          <w:rtl/>
        </w:rPr>
        <w:t>צדק</w:t>
      </w:r>
      <w:r w:rsidRPr="00B00F53">
        <w:rPr>
          <w:rtl/>
        </w:rPr>
        <w:t xml:space="preserve"> </w:t>
      </w:r>
      <w:r w:rsidRPr="00B00F53">
        <w:rPr>
          <w:rFonts w:hint="eastAsia"/>
          <w:rtl/>
        </w:rPr>
        <w:t>ולהגן</w:t>
      </w:r>
      <w:r w:rsidRPr="00B00F53">
        <w:rPr>
          <w:rtl/>
        </w:rPr>
        <w:t xml:space="preserve"> </w:t>
      </w:r>
      <w:r w:rsidRPr="00B00F53">
        <w:rPr>
          <w:rFonts w:hint="eastAsia"/>
          <w:rtl/>
        </w:rPr>
        <w:t>על</w:t>
      </w:r>
      <w:r w:rsidRPr="00B00F53">
        <w:rPr>
          <w:rtl/>
        </w:rPr>
        <w:t xml:space="preserve"> </w:t>
      </w:r>
      <w:r w:rsidRPr="00B00F53">
        <w:rPr>
          <w:rFonts w:hint="eastAsia"/>
          <w:rtl/>
        </w:rPr>
        <w:t>חוקיות</w:t>
      </w:r>
      <w:r w:rsidRPr="00B00F53">
        <w:rPr>
          <w:rtl/>
        </w:rPr>
        <w:t xml:space="preserve"> </w:t>
      </w:r>
      <w:r w:rsidRPr="00B00F53">
        <w:rPr>
          <w:rFonts w:hint="eastAsia"/>
          <w:rtl/>
        </w:rPr>
        <w:t>המינהל</w:t>
      </w:r>
      <w:r w:rsidRPr="00B00F53">
        <w:rPr>
          <w:rFonts w:hint="cs"/>
          <w:rtl/>
        </w:rPr>
        <w:t>" (</w:t>
      </w:r>
      <w:r w:rsidRPr="00B00F53">
        <w:rPr>
          <w:rFonts w:cs="Miriam" w:hint="cs"/>
          <w:b/>
          <w:spacing w:val="0"/>
          <w:szCs w:val="24"/>
          <w:rtl/>
        </w:rPr>
        <w:t>זמיר "הסמכות המינהלית"</w:t>
      </w:r>
      <w:r w:rsidRPr="00B00F53">
        <w:rPr>
          <w:rFonts w:hint="cs"/>
          <w:rtl/>
        </w:rPr>
        <w:t xml:space="preserve">, בעמ' 3607).   </w:t>
      </w:r>
    </w:p>
    <w:p w:rsidR="00C044AE" w:rsidRPr="00B00F53" w:rsidRDefault="00C044AE" w:rsidP="00C044AE">
      <w:pPr>
        <w:pStyle w:val="Ruller41"/>
        <w:rPr>
          <w:rFonts w:ascii="Garamond" w:hAnsi="Garamond"/>
          <w:rtl/>
        </w:rPr>
      </w:pPr>
    </w:p>
    <w:p w:rsidR="00C044AE" w:rsidRPr="00B00F53" w:rsidRDefault="00C044AE" w:rsidP="00C044AE">
      <w:pPr>
        <w:pStyle w:val="Ruller4"/>
        <w:rPr>
          <w:rtl/>
        </w:rPr>
      </w:pPr>
      <w:r w:rsidRPr="00B00F53">
        <w:rPr>
          <w:rFonts w:hint="cs"/>
          <w:rtl/>
        </w:rPr>
        <w:t xml:space="preserve">הנה כי כן, במצב המשפטי הקיים עילות הביקורת האחרות לא תוכלנה לפצות על הפגיעה רחבת ההיקף בפרט </w:t>
      </w:r>
      <w:r>
        <w:rPr>
          <w:rFonts w:hint="cs"/>
          <w:rtl/>
        </w:rPr>
        <w:t xml:space="preserve">אם </w:t>
      </w:r>
      <w:r w:rsidRPr="00B00F53">
        <w:rPr>
          <w:rFonts w:hint="cs"/>
          <w:rtl/>
        </w:rPr>
        <w:t>שורת החלטות המתקבלות על ידי הדרג הנבחר על בסיס יומיומי</w:t>
      </w:r>
      <w:r>
        <w:rPr>
          <w:rFonts w:hint="cs"/>
          <w:rtl/>
        </w:rPr>
        <w:t>,</w:t>
      </w:r>
      <w:r w:rsidRPr="00B00F53">
        <w:rPr>
          <w:rFonts w:hint="cs"/>
          <w:rtl/>
        </w:rPr>
        <w:t xml:space="preserve"> יהיו חסינות מפני ביקורת</w:t>
      </w:r>
      <w:r>
        <w:rPr>
          <w:rFonts w:hint="cs"/>
          <w:rtl/>
        </w:rPr>
        <w:t xml:space="preserve"> על פי עילת הסבירות</w:t>
      </w:r>
      <w:r w:rsidRPr="00B00F53">
        <w:rPr>
          <w:rFonts w:hint="cs"/>
          <w:rtl/>
        </w:rPr>
        <w:t xml:space="preserve">. בהקשר זה צוין בעניין </w:t>
      </w:r>
      <w:r w:rsidRPr="00B00F53">
        <w:rPr>
          <w:rFonts w:cs="Miriam" w:hint="cs"/>
          <w:b/>
          <w:spacing w:val="0"/>
          <w:sz w:val="22"/>
          <w:szCs w:val="24"/>
          <w:rtl/>
        </w:rPr>
        <w:t>אמונה</w:t>
      </w:r>
      <w:r w:rsidRPr="00B00F53">
        <w:rPr>
          <w:rFonts w:hint="cs"/>
          <w:rtl/>
        </w:rPr>
        <w:t xml:space="preserve"> כי:</w:t>
      </w:r>
    </w:p>
    <w:p w:rsidR="00C044AE" w:rsidRPr="00B00F53" w:rsidRDefault="00C044AE" w:rsidP="00C044AE">
      <w:pPr>
        <w:pStyle w:val="Ruller41"/>
        <w:rPr>
          <w:rFonts w:ascii="Garamond" w:hAnsi="Garamond"/>
          <w:rtl/>
        </w:rPr>
      </w:pPr>
    </w:p>
    <w:p w:rsidR="00C044AE" w:rsidRPr="00B00F53" w:rsidRDefault="00C044AE" w:rsidP="00C044AE">
      <w:pPr>
        <w:pStyle w:val="Ruller5"/>
        <w:rPr>
          <w:rFonts w:ascii="Garamond" w:hAnsi="Garamond"/>
          <w:rtl/>
        </w:rPr>
      </w:pPr>
      <w:r w:rsidRPr="00B00F53">
        <w:rPr>
          <w:rFonts w:ascii="Garamond" w:hAnsi="Garamond" w:hint="cs"/>
          <w:rtl/>
        </w:rPr>
        <w:t>"צמצומה של עילת הסבירות עלול ליצור חלל ריק במיתחם הביקורת השיפוטית שעילות ביקורת אחרות לא תמלאנה, ולהצר עד למא</w:t>
      </w:r>
      <w:r>
        <w:rPr>
          <w:rFonts w:ascii="Garamond" w:hAnsi="Garamond" w:hint="cs"/>
          <w:rtl/>
        </w:rPr>
        <w:t>ו</w:t>
      </w:r>
      <w:r w:rsidRPr="00B00F53">
        <w:rPr>
          <w:rFonts w:ascii="Garamond" w:hAnsi="Garamond" w:hint="cs"/>
          <w:rtl/>
        </w:rPr>
        <w:t>ד את נכונותו של בית המשפט להתערב במצבים בהם הרשות המינהלית בהחלטתה לא שקלה את מלוא השיקולים הרלבנטיים ואותם בלבד, או שקלה אותם, אך לא ייחסה להם את המשקלות היחסיים המתאימים. קל לשער את הנזק הצפוי מתהליך כזה לרעיון חוקיות המינהל ולתכלית ההגנה על האזרח ביחסו אל הממשל, העומד ביסוד הגדרתן של עילות הביקורת השיפוטית על המינהל" (</w:t>
      </w:r>
      <w:r w:rsidRPr="00B00F53">
        <w:rPr>
          <w:rFonts w:ascii="Garamond" w:hAnsi="Garamond" w:cs="Miriam" w:hint="cs"/>
          <w:b/>
          <w:spacing w:val="0"/>
          <w:szCs w:val="24"/>
          <w:rtl/>
        </w:rPr>
        <w:t>שם</w:t>
      </w:r>
      <w:r w:rsidRPr="00B00F53">
        <w:rPr>
          <w:rFonts w:ascii="Garamond" w:hAnsi="Garamond" w:hint="cs"/>
          <w:rtl/>
        </w:rPr>
        <w:t>, בעמ' 487).</w:t>
      </w:r>
    </w:p>
    <w:p w:rsidR="00C044AE" w:rsidRPr="00B00F53" w:rsidRDefault="00C044AE" w:rsidP="00C044AE">
      <w:pPr>
        <w:pStyle w:val="Ruller4"/>
        <w:numPr>
          <w:ilvl w:val="0"/>
          <w:numId w:val="0"/>
        </w:numPr>
        <w:rPr>
          <w:rtl/>
        </w:rPr>
      </w:pPr>
    </w:p>
    <w:p w:rsidR="00C044AE" w:rsidRPr="00B00F53" w:rsidRDefault="00C044AE" w:rsidP="00C044AE">
      <w:pPr>
        <w:pStyle w:val="Ruller4"/>
      </w:pPr>
      <w:r w:rsidRPr="00B00F53">
        <w:rPr>
          <w:rFonts w:hint="cs"/>
          <w:rtl/>
        </w:rPr>
        <w:t>הכנסת טוענת כי עם הזמן ניתן יהיה להתמודד עם השלכות התיקון בכלים שיפוטיים</w:t>
      </w:r>
      <w:r>
        <w:rPr>
          <w:rFonts w:hint="cs"/>
          <w:rtl/>
        </w:rPr>
        <w:t xml:space="preserve"> באמצעות </w:t>
      </w:r>
      <w:r w:rsidRPr="00B00F53">
        <w:rPr>
          <w:rFonts w:hint="cs"/>
          <w:rtl/>
        </w:rPr>
        <w:t xml:space="preserve">פיתוח עילות חדשות או שינוי הדרך </w:t>
      </w:r>
      <w:r>
        <w:rPr>
          <w:rFonts w:hint="cs"/>
          <w:rtl/>
        </w:rPr>
        <w:t>ש</w:t>
      </w:r>
      <w:r w:rsidRPr="00B00F53">
        <w:rPr>
          <w:rFonts w:hint="cs"/>
          <w:rtl/>
        </w:rPr>
        <w:t>בה מיושמות עילות ביקורת קיימות.</w:t>
      </w:r>
      <w:r>
        <w:rPr>
          <w:rFonts w:hint="cs"/>
          <w:rtl/>
        </w:rPr>
        <w:t xml:space="preserve"> ואולם, הנחה</w:t>
      </w:r>
      <w:r w:rsidRPr="00B00F53">
        <w:rPr>
          <w:rFonts w:hint="cs"/>
          <w:rtl/>
        </w:rPr>
        <w:t xml:space="preserve"> ספקולטיבית</w:t>
      </w:r>
      <w:r>
        <w:rPr>
          <w:rFonts w:hint="cs"/>
          <w:rtl/>
        </w:rPr>
        <w:t xml:space="preserve"> זו,</w:t>
      </w:r>
      <w:r w:rsidRPr="00B00F53">
        <w:rPr>
          <w:rFonts w:hint="cs"/>
          <w:rtl/>
        </w:rPr>
        <w:t xml:space="preserve"> אינה מספקת מענה למצוקותיהם של פרטים שייפגעו כבר עת</w:t>
      </w:r>
      <w:r>
        <w:rPr>
          <w:rFonts w:hint="cs"/>
          <w:rtl/>
        </w:rPr>
        <w:t>ה</w:t>
      </w:r>
      <w:r w:rsidRPr="00B00F53">
        <w:rPr>
          <w:rFonts w:hint="cs"/>
          <w:rtl/>
        </w:rPr>
        <w:t xml:space="preserve"> מהחלטות מ</w:t>
      </w:r>
      <w:r>
        <w:rPr>
          <w:rFonts w:hint="cs"/>
          <w:rtl/>
        </w:rPr>
        <w:t>י</w:t>
      </w:r>
      <w:r w:rsidRPr="00B00F53">
        <w:rPr>
          <w:rFonts w:hint="cs"/>
          <w:rtl/>
        </w:rPr>
        <w:t xml:space="preserve">נהליות בלתי-סבירות </w:t>
      </w:r>
      <w:r>
        <w:rPr>
          <w:rFonts w:hint="cs"/>
          <w:rtl/>
        </w:rPr>
        <w:t xml:space="preserve">בלא יכולת </w:t>
      </w:r>
      <w:r w:rsidRPr="00B00F53">
        <w:rPr>
          <w:rFonts w:hint="cs"/>
          <w:rtl/>
        </w:rPr>
        <w:t xml:space="preserve">להמתין שנים לשינויים מהותיים </w:t>
      </w:r>
      <w:r>
        <w:rPr>
          <w:rFonts w:hint="cs"/>
          <w:rtl/>
        </w:rPr>
        <w:t xml:space="preserve">שאולי יתרחשו </w:t>
      </w:r>
      <w:r w:rsidRPr="00B00F53">
        <w:rPr>
          <w:rFonts w:hint="cs"/>
          <w:rtl/>
        </w:rPr>
        <w:t>במשפט המ</w:t>
      </w:r>
      <w:r>
        <w:rPr>
          <w:rFonts w:hint="cs"/>
          <w:rtl/>
        </w:rPr>
        <w:t>י</w:t>
      </w:r>
      <w:r w:rsidRPr="00B00F53">
        <w:rPr>
          <w:rFonts w:hint="cs"/>
          <w:rtl/>
        </w:rPr>
        <w:t>נהלי</w:t>
      </w:r>
      <w:r>
        <w:rPr>
          <w:rFonts w:hint="cs"/>
          <w:rtl/>
        </w:rPr>
        <w:t xml:space="preserve"> בעתיד, אם בכלל</w:t>
      </w:r>
      <w:r w:rsidRPr="00B00F53">
        <w:rPr>
          <w:rFonts w:hint="cs"/>
          <w:rtl/>
        </w:rPr>
        <w:t>.</w:t>
      </w:r>
    </w:p>
    <w:p w:rsidR="00C044AE" w:rsidRPr="00B00F53" w:rsidRDefault="00C044AE" w:rsidP="00C044AE">
      <w:pPr>
        <w:pStyle w:val="Ruller4"/>
        <w:numPr>
          <w:ilvl w:val="0"/>
          <w:numId w:val="0"/>
        </w:numPr>
      </w:pPr>
    </w:p>
    <w:p w:rsidR="00C044AE" w:rsidRPr="00B00F53" w:rsidRDefault="00C044AE" w:rsidP="00C044AE">
      <w:pPr>
        <w:pStyle w:val="Ruller4"/>
        <w:numPr>
          <w:ilvl w:val="0"/>
          <w:numId w:val="0"/>
        </w:numPr>
      </w:pPr>
      <w:r w:rsidRPr="00B00F53">
        <w:rPr>
          <w:rtl/>
        </w:rPr>
        <w:tab/>
      </w:r>
      <w:r w:rsidRPr="00B00F53">
        <w:rPr>
          <w:rFonts w:hint="cs"/>
          <w:rtl/>
        </w:rPr>
        <w:t xml:space="preserve">האפשרות להחליף את הביקורת השיפוטית על החלטות בלתי-סבירות בביקורת ציבורית או ביקורת פרלמנטרית, שהועלתה כאפשרות על ידי הכנסת ומשיבי הממשלה (ראו: פסקאות 319-318 לתצהיר התשובה של הכנסת; פסקה 265 לתצהיר התשובה של משיבי הממשלה), </w:t>
      </w:r>
      <w:r>
        <w:rPr>
          <w:rFonts w:hint="cs"/>
          <w:rtl/>
        </w:rPr>
        <w:t xml:space="preserve">אף היא </w:t>
      </w:r>
      <w:r w:rsidRPr="00B00F53">
        <w:rPr>
          <w:rFonts w:hint="cs"/>
          <w:rtl/>
        </w:rPr>
        <w:t xml:space="preserve">אינה מספקת מענה לפגיעה הקשה בפרט הנגרמת כתוצאה מהתיקון. במישור המוסדי, הכנסת וועדותיה אינן מסוגלות </w:t>
      </w:r>
      <w:r w:rsidRPr="00B00F53">
        <w:rPr>
          <w:rtl/>
        </w:rPr>
        <w:t>–</w:t>
      </w:r>
      <w:r w:rsidRPr="00B00F53">
        <w:rPr>
          <w:rFonts w:hint="cs"/>
          <w:rtl/>
        </w:rPr>
        <w:t xml:space="preserve"> ואינן אמורות </w:t>
      </w:r>
      <w:r w:rsidRPr="00B00F53">
        <w:rPr>
          <w:rtl/>
        </w:rPr>
        <w:t>–</w:t>
      </w:r>
      <w:r w:rsidRPr="00B00F53">
        <w:rPr>
          <w:rFonts w:hint="cs"/>
          <w:rtl/>
        </w:rPr>
        <w:t xml:space="preserve"> לקיים פיקוח שוטף ואפקטיבי על אלפי ההחלטות המתקבלות בידי הממשלה והשרים, </w:t>
      </w:r>
      <w:r>
        <w:rPr>
          <w:rFonts w:hint="cs"/>
          <w:rtl/>
        </w:rPr>
        <w:t xml:space="preserve">מדי שנה, </w:t>
      </w:r>
      <w:r w:rsidRPr="00B00F53">
        <w:rPr>
          <w:rFonts w:hint="cs"/>
          <w:rtl/>
        </w:rPr>
        <w:t xml:space="preserve">רבות מהן בעלות אופי פרטני (עמד על כך הייעוץ המשפטי לוועדה בעמ' 11 למסמך ההכנה מיום 23.6.2023; על מגבלות יכולת הפיקוח של הכנסת ראו: </w:t>
      </w:r>
      <w:r w:rsidRPr="00B00F53">
        <w:rPr>
          <w:rFonts w:hint="eastAsia"/>
          <w:rtl/>
        </w:rPr>
        <w:t>חן</w:t>
      </w:r>
      <w:r w:rsidRPr="00B00F53">
        <w:rPr>
          <w:rtl/>
        </w:rPr>
        <w:t xml:space="preserve"> </w:t>
      </w:r>
      <w:r w:rsidRPr="00B00F53">
        <w:rPr>
          <w:rFonts w:hint="eastAsia"/>
          <w:rtl/>
        </w:rPr>
        <w:t>פרידברג</w:t>
      </w:r>
      <w:r w:rsidRPr="00B00F53">
        <w:rPr>
          <w:rtl/>
        </w:rPr>
        <w:t xml:space="preserve"> </w:t>
      </w:r>
      <w:r w:rsidRPr="00B00F53">
        <w:rPr>
          <w:rFonts w:hint="eastAsia"/>
          <w:rtl/>
        </w:rPr>
        <w:t>וראובן</w:t>
      </w:r>
      <w:r w:rsidRPr="00B00F53">
        <w:rPr>
          <w:rtl/>
        </w:rPr>
        <w:t xml:space="preserve"> </w:t>
      </w:r>
      <w:r w:rsidRPr="00B00F53">
        <w:rPr>
          <w:rFonts w:hint="eastAsia"/>
          <w:rtl/>
        </w:rPr>
        <w:t>חזן</w:t>
      </w:r>
      <w:r w:rsidRPr="00B00F53">
        <w:rPr>
          <w:rtl/>
        </w:rPr>
        <w:t xml:space="preserve"> </w:t>
      </w:r>
      <w:r w:rsidRPr="00B00F53">
        <w:rPr>
          <w:rFonts w:cs="Miriam" w:hint="eastAsia"/>
          <w:spacing w:val="0"/>
          <w:szCs w:val="24"/>
          <w:rtl/>
        </w:rPr>
        <w:t>פיקוח</w:t>
      </w:r>
      <w:r w:rsidRPr="00B00F53">
        <w:rPr>
          <w:rFonts w:cs="Miriam"/>
          <w:spacing w:val="0"/>
          <w:szCs w:val="24"/>
          <w:rtl/>
        </w:rPr>
        <w:t xml:space="preserve"> </w:t>
      </w:r>
      <w:r w:rsidRPr="00B00F53">
        <w:rPr>
          <w:rFonts w:cs="Miriam" w:hint="eastAsia"/>
          <w:spacing w:val="0"/>
          <w:szCs w:val="24"/>
          <w:rtl/>
        </w:rPr>
        <w:t>הכנסת</w:t>
      </w:r>
      <w:r w:rsidRPr="00B00F53">
        <w:rPr>
          <w:rFonts w:cs="Miriam"/>
          <w:spacing w:val="0"/>
          <w:szCs w:val="24"/>
          <w:rtl/>
        </w:rPr>
        <w:t xml:space="preserve"> </w:t>
      </w:r>
      <w:r w:rsidRPr="00B00F53">
        <w:rPr>
          <w:rFonts w:cs="Miriam" w:hint="eastAsia"/>
          <w:spacing w:val="0"/>
          <w:szCs w:val="24"/>
          <w:rtl/>
        </w:rPr>
        <w:t>על</w:t>
      </w:r>
      <w:r w:rsidRPr="00B00F53">
        <w:rPr>
          <w:rFonts w:cs="Miriam"/>
          <w:spacing w:val="0"/>
          <w:szCs w:val="24"/>
          <w:rtl/>
        </w:rPr>
        <w:t xml:space="preserve"> </w:t>
      </w:r>
      <w:r w:rsidRPr="00B00F53">
        <w:rPr>
          <w:rFonts w:cs="Miriam" w:hint="eastAsia"/>
          <w:spacing w:val="0"/>
          <w:szCs w:val="24"/>
          <w:rtl/>
        </w:rPr>
        <w:t>הממשלה</w:t>
      </w:r>
      <w:r w:rsidRPr="00B00F53">
        <w:rPr>
          <w:rFonts w:cs="Miriam"/>
          <w:spacing w:val="0"/>
          <w:szCs w:val="24"/>
          <w:rtl/>
        </w:rPr>
        <w:t xml:space="preserve">: </w:t>
      </w:r>
      <w:r w:rsidRPr="00B00F53">
        <w:rPr>
          <w:rFonts w:cs="Miriam" w:hint="eastAsia"/>
          <w:spacing w:val="0"/>
          <w:szCs w:val="24"/>
          <w:rtl/>
        </w:rPr>
        <w:t>תמונת</w:t>
      </w:r>
      <w:r w:rsidRPr="00B00F53">
        <w:rPr>
          <w:rFonts w:cs="Miriam"/>
          <w:spacing w:val="0"/>
          <w:szCs w:val="24"/>
          <w:rtl/>
        </w:rPr>
        <w:t xml:space="preserve"> </w:t>
      </w:r>
      <w:r w:rsidRPr="00B00F53">
        <w:rPr>
          <w:rFonts w:cs="Miriam" w:hint="eastAsia"/>
          <w:spacing w:val="0"/>
          <w:szCs w:val="24"/>
          <w:rtl/>
        </w:rPr>
        <w:t>מצב</w:t>
      </w:r>
      <w:r w:rsidRPr="00B00F53">
        <w:rPr>
          <w:rFonts w:cs="Miriam"/>
          <w:spacing w:val="0"/>
          <w:szCs w:val="24"/>
          <w:rtl/>
        </w:rPr>
        <w:t xml:space="preserve"> </w:t>
      </w:r>
      <w:r w:rsidRPr="00B00F53">
        <w:rPr>
          <w:rFonts w:cs="Miriam" w:hint="eastAsia"/>
          <w:spacing w:val="0"/>
          <w:szCs w:val="24"/>
          <w:rtl/>
        </w:rPr>
        <w:t>והצעה</w:t>
      </w:r>
      <w:r w:rsidRPr="00B00F53">
        <w:rPr>
          <w:rFonts w:cs="Miriam"/>
          <w:spacing w:val="0"/>
          <w:szCs w:val="24"/>
          <w:rtl/>
        </w:rPr>
        <w:t xml:space="preserve"> </w:t>
      </w:r>
      <w:r w:rsidRPr="00B00F53">
        <w:rPr>
          <w:rFonts w:cs="Miriam" w:hint="eastAsia"/>
          <w:spacing w:val="0"/>
          <w:szCs w:val="24"/>
          <w:rtl/>
        </w:rPr>
        <w:t>לרפורמה</w:t>
      </w:r>
      <w:r w:rsidRPr="00B00F53">
        <w:rPr>
          <w:rtl/>
        </w:rPr>
        <w:t xml:space="preserve"> (</w:t>
      </w:r>
      <w:r>
        <w:rPr>
          <w:rFonts w:hint="cs"/>
          <w:rtl/>
        </w:rPr>
        <w:t xml:space="preserve">מחקר מדיניות 77, המכון </w:t>
      </w:r>
      <w:r>
        <w:rPr>
          <w:rFonts w:hint="cs"/>
          <w:rtl/>
        </w:rPr>
        <w:lastRenderedPageBreak/>
        <w:t xml:space="preserve">הישראלי לדמוקרטיה, </w:t>
      </w:r>
      <w:r w:rsidRPr="00B00F53">
        <w:rPr>
          <w:rtl/>
        </w:rPr>
        <w:t>2009)</w:t>
      </w:r>
      <w:r w:rsidRPr="00B00F53">
        <w:rPr>
          <w:rFonts w:hint="cs"/>
          <w:rtl/>
        </w:rPr>
        <w:t xml:space="preserve">). ההכרעה בשיטה דמוקרטית בריבו של האזרח עם השלטון נעשית בבית המשפט (ראו: </w:t>
      </w:r>
      <w:r w:rsidRPr="00B00F53">
        <w:rPr>
          <w:rFonts w:hint="eastAsia"/>
          <w:rtl/>
        </w:rPr>
        <w:t>בג</w:t>
      </w:r>
      <w:r w:rsidRPr="00B00F53">
        <w:rPr>
          <w:rtl/>
        </w:rPr>
        <w:t>"</w:t>
      </w:r>
      <w:r w:rsidRPr="00B00F53">
        <w:rPr>
          <w:rFonts w:hint="eastAsia"/>
          <w:rtl/>
        </w:rPr>
        <w:t>ץ</w:t>
      </w:r>
      <w:r w:rsidRPr="00B00F53">
        <w:rPr>
          <w:rtl/>
        </w:rPr>
        <w:t xml:space="preserve"> 287</w:t>
      </w:r>
      <w:r w:rsidRPr="00B00F53">
        <w:rPr>
          <w:rFonts w:hint="cs"/>
          <w:rtl/>
        </w:rPr>
        <w:t>/</w:t>
      </w:r>
      <w:r w:rsidRPr="00B00F53">
        <w:rPr>
          <w:rtl/>
        </w:rPr>
        <w:t xml:space="preserve">69 </w:t>
      </w:r>
      <w:r w:rsidRPr="00B00F53">
        <w:rPr>
          <w:rFonts w:cs="Miriam" w:hint="eastAsia"/>
          <w:b/>
          <w:spacing w:val="0"/>
          <w:sz w:val="22"/>
          <w:szCs w:val="24"/>
          <w:rtl/>
        </w:rPr>
        <w:t>מירון</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שר</w:t>
      </w:r>
      <w:r w:rsidRPr="00B00F53">
        <w:rPr>
          <w:rFonts w:cs="Miriam"/>
          <w:b/>
          <w:spacing w:val="0"/>
          <w:sz w:val="22"/>
          <w:szCs w:val="24"/>
          <w:rtl/>
        </w:rPr>
        <w:t xml:space="preserve"> </w:t>
      </w:r>
      <w:r w:rsidRPr="00B00F53">
        <w:rPr>
          <w:rFonts w:cs="Miriam" w:hint="eastAsia"/>
          <w:b/>
          <w:spacing w:val="0"/>
          <w:sz w:val="22"/>
          <w:szCs w:val="24"/>
          <w:rtl/>
        </w:rPr>
        <w:t>העבודה</w:t>
      </w:r>
      <w:r w:rsidRPr="00B00F53">
        <w:rPr>
          <w:rtl/>
        </w:rPr>
        <w:t>,</w:t>
      </w:r>
      <w:r w:rsidRPr="00B00F53">
        <w:rPr>
          <w:rFonts w:hint="cs"/>
          <w:rtl/>
        </w:rPr>
        <w:t xml:space="preserve"> פ"ד</w:t>
      </w:r>
      <w:r w:rsidRPr="00B00F53">
        <w:rPr>
          <w:rtl/>
        </w:rPr>
        <w:t xml:space="preserve"> </w:t>
      </w:r>
      <w:r w:rsidRPr="00B00F53">
        <w:rPr>
          <w:rFonts w:hint="eastAsia"/>
          <w:rtl/>
        </w:rPr>
        <w:t>כד</w:t>
      </w:r>
      <w:r w:rsidRPr="00B00F53">
        <w:rPr>
          <w:rtl/>
        </w:rPr>
        <w:t xml:space="preserve"> 337</w:t>
      </w:r>
      <w:r w:rsidRPr="00B00F53">
        <w:rPr>
          <w:rFonts w:hint="cs"/>
          <w:rtl/>
        </w:rPr>
        <w:t xml:space="preserve">, </w:t>
      </w:r>
      <w:r>
        <w:rPr>
          <w:rFonts w:hint="cs"/>
          <w:rtl/>
        </w:rPr>
        <w:t>362</w:t>
      </w:r>
      <w:r w:rsidRPr="00B00F53">
        <w:rPr>
          <w:rFonts w:hint="cs"/>
          <w:rtl/>
        </w:rPr>
        <w:t xml:space="preserve"> (1970)</w:t>
      </w:r>
      <w:r>
        <w:rPr>
          <w:rFonts w:hint="cs"/>
          <w:rtl/>
        </w:rPr>
        <w:t>)</w:t>
      </w:r>
      <w:r w:rsidRPr="00B00F53">
        <w:rPr>
          <w:rFonts w:hint="cs"/>
          <w:rtl/>
        </w:rPr>
        <w:t>. מנגנוני הביקורת הפרלמנטריים מתמקדים ב"הליכים של קביעת מדיניות כללית על ידי הממשלה ו[פיקוח] עליהם", ולא במקרים ספציפיים המגיעים כ</w:t>
      </w:r>
      <w:r>
        <w:rPr>
          <w:rFonts w:hint="cs"/>
          <w:rtl/>
        </w:rPr>
        <w:t>עניין</w:t>
      </w:r>
      <w:r w:rsidRPr="00B00F53">
        <w:rPr>
          <w:rFonts w:hint="cs"/>
          <w:rtl/>
        </w:rPr>
        <w:t xml:space="preserve"> שבשגרה לבתי המשפט (</w:t>
      </w:r>
      <w:r w:rsidRPr="00B00F53">
        <w:rPr>
          <w:rFonts w:cs="Miriam" w:hint="cs"/>
          <w:b/>
          <w:spacing w:val="0"/>
          <w:sz w:val="22"/>
          <w:szCs w:val="24"/>
          <w:rtl/>
        </w:rPr>
        <w:t>דותן "ביקורת שיפוטית"</w:t>
      </w:r>
      <w:r w:rsidRPr="00B00F53">
        <w:rPr>
          <w:rFonts w:hint="cs"/>
          <w:rtl/>
        </w:rPr>
        <w:t>, בעמ' 83-82). זאת,</w:t>
      </w:r>
      <w:r>
        <w:rPr>
          <w:rFonts w:hint="cs"/>
          <w:rtl/>
        </w:rPr>
        <w:t xml:space="preserve"> אף</w:t>
      </w:r>
      <w:r w:rsidRPr="00B00F53">
        <w:rPr>
          <w:rFonts w:hint="cs"/>
          <w:rtl/>
        </w:rPr>
        <w:t xml:space="preserve"> מבלי להתייחס לקושי הטמון בכך </w:t>
      </w:r>
      <w:r>
        <w:rPr>
          <w:rFonts w:hint="cs"/>
          <w:rtl/>
        </w:rPr>
        <w:t>ש</w:t>
      </w:r>
      <w:r w:rsidRPr="00B00F53">
        <w:rPr>
          <w:rFonts w:hint="cs"/>
          <w:rtl/>
        </w:rPr>
        <w:t>בכנסת ובוועדות</w:t>
      </w:r>
      <w:r>
        <w:rPr>
          <w:rFonts w:hint="cs"/>
          <w:rtl/>
        </w:rPr>
        <w:t>יה</w:t>
      </w:r>
      <w:r w:rsidRPr="00B00F53">
        <w:rPr>
          <w:rFonts w:hint="cs"/>
          <w:rtl/>
        </w:rPr>
        <w:t xml:space="preserve"> קיים, מטבע הדברים, רוב קואליציוני שיכולתו לשמש בלם אפקטיבי על</w:t>
      </w:r>
      <w:r>
        <w:rPr>
          <w:rFonts w:hint="cs"/>
          <w:rtl/>
        </w:rPr>
        <w:t xml:space="preserve"> פעולות</w:t>
      </w:r>
      <w:r w:rsidRPr="00B00F53">
        <w:rPr>
          <w:rFonts w:hint="cs"/>
          <w:rtl/>
        </w:rPr>
        <w:t xml:space="preserve"> הממשלה מוטלת בספק,</w:t>
      </w:r>
      <w:r>
        <w:rPr>
          <w:rFonts w:hint="cs"/>
          <w:rtl/>
        </w:rPr>
        <w:t xml:space="preserve"> וזאת</w:t>
      </w:r>
      <w:r w:rsidRPr="00B00F53">
        <w:rPr>
          <w:rFonts w:hint="cs"/>
          <w:rtl/>
        </w:rPr>
        <w:t xml:space="preserve"> בלשון המעטה (ראו והשוו: </w:t>
      </w:r>
      <w:r w:rsidRPr="00B00F53">
        <w:rPr>
          <w:rFonts w:cs="Miriam" w:hint="cs"/>
          <w:spacing w:val="0"/>
          <w:szCs w:val="24"/>
          <w:rtl/>
        </w:rPr>
        <w:t>שם</w:t>
      </w:r>
      <w:r w:rsidRPr="00B00F53">
        <w:rPr>
          <w:rFonts w:hint="cs"/>
          <w:rtl/>
        </w:rPr>
        <w:t>, בעמ' 85).</w:t>
      </w:r>
    </w:p>
    <w:p w:rsidR="00C044AE" w:rsidRPr="00B00F53" w:rsidRDefault="00C044AE" w:rsidP="00C044AE">
      <w:pPr>
        <w:pStyle w:val="Ruller4"/>
        <w:numPr>
          <w:ilvl w:val="0"/>
          <w:numId w:val="0"/>
        </w:numPr>
        <w:rPr>
          <w:rtl/>
        </w:rPr>
      </w:pPr>
      <w:r w:rsidRPr="00B00F53">
        <w:rPr>
          <w:rFonts w:hint="cs"/>
          <w:rtl/>
        </w:rPr>
        <w:t xml:space="preserve"> </w:t>
      </w:r>
    </w:p>
    <w:p w:rsidR="00C044AE" w:rsidRPr="00B00F53" w:rsidRDefault="00C044AE" w:rsidP="00C044AE">
      <w:pPr>
        <w:pStyle w:val="Ruller4"/>
      </w:pPr>
      <w:r>
        <w:rPr>
          <w:rFonts w:hint="cs"/>
          <w:rtl/>
        </w:rPr>
        <w:t xml:space="preserve">כמו כן, </w:t>
      </w:r>
      <w:r w:rsidRPr="00B00F53">
        <w:rPr>
          <w:rFonts w:hint="cs"/>
          <w:rtl/>
        </w:rPr>
        <w:t xml:space="preserve">אין ממש בטענת משיבי הממשלה לפיה התיקון אך קובע "נורמה [ה]מקובלת ברובן המכריע של מדינות המערב הדמוקרטיות" ביחס לתחולת עילת הסבירות (פסקה </w:t>
      </w:r>
      <w:r>
        <w:rPr>
          <w:rFonts w:hint="cs"/>
          <w:rtl/>
        </w:rPr>
        <w:t>258</w:t>
      </w:r>
      <w:r w:rsidRPr="00B00F53">
        <w:rPr>
          <w:rFonts w:hint="cs"/>
          <w:rtl/>
        </w:rPr>
        <w:t xml:space="preserve"> לתצהיר התשובה מטעמם). ראשית, כפי שכבר צוין לעיל, יש לבחון את השלכות התיקון על רקע ההקשר החוקתי הספציפי שבו הוא התקבל. ברי כי בשיטה שבה הממשלה שולטת ברשות המחוקקת והביקורת השיפוטית היא המנגנון האפקטיבי היחיד שמשמש כבלם על פעולותיה, צמצום משמעותי של עילת הסבירות </w:t>
      </w:r>
      <w:r>
        <w:rPr>
          <w:rFonts w:hint="cs"/>
          <w:rtl/>
        </w:rPr>
        <w:t xml:space="preserve">פוגע </w:t>
      </w:r>
      <w:r w:rsidRPr="00B00F53">
        <w:rPr>
          <w:rFonts w:hint="cs"/>
          <w:rtl/>
        </w:rPr>
        <w:t>פגיעה קשה ומשמעותית</w:t>
      </w:r>
      <w:r>
        <w:rPr>
          <w:rFonts w:hint="cs"/>
          <w:rtl/>
        </w:rPr>
        <w:t xml:space="preserve"> הרבה</w:t>
      </w:r>
      <w:r w:rsidRPr="00B00F53">
        <w:rPr>
          <w:rFonts w:hint="cs"/>
          <w:rtl/>
        </w:rPr>
        <w:t xml:space="preserve"> </w:t>
      </w:r>
      <w:r>
        <w:rPr>
          <w:rFonts w:hint="cs"/>
          <w:rtl/>
        </w:rPr>
        <w:t xml:space="preserve">יותר </w:t>
      </w:r>
      <w:r w:rsidRPr="00B00F53">
        <w:rPr>
          <w:rFonts w:hint="cs"/>
          <w:rtl/>
        </w:rPr>
        <w:t>ב</w:t>
      </w:r>
      <w:r>
        <w:rPr>
          <w:rFonts w:hint="cs"/>
          <w:rtl/>
        </w:rPr>
        <w:t>הפרדת הרשויות לעומת הפגיעה שעלולה להיגרם כתוצאה מתיקון דומה ב</w:t>
      </w:r>
      <w:r w:rsidRPr="00B00F53">
        <w:rPr>
          <w:rFonts w:hint="cs"/>
          <w:rtl/>
        </w:rPr>
        <w:t xml:space="preserve">שיטות </w:t>
      </w:r>
      <w:r>
        <w:rPr>
          <w:rFonts w:hint="cs"/>
          <w:rtl/>
        </w:rPr>
        <w:t>המצויידות ב</w:t>
      </w:r>
      <w:r w:rsidRPr="00B00F53">
        <w:rPr>
          <w:rFonts w:hint="cs"/>
          <w:rtl/>
        </w:rPr>
        <w:t xml:space="preserve">מנגנונים מגוונים של איזונים ובלמים. </w:t>
      </w:r>
    </w:p>
    <w:p w:rsidR="00C044AE" w:rsidRPr="00B00F53" w:rsidRDefault="00C044AE" w:rsidP="00C044AE">
      <w:pPr>
        <w:pStyle w:val="Ruller4"/>
        <w:numPr>
          <w:ilvl w:val="0"/>
          <w:numId w:val="0"/>
        </w:numPr>
        <w:rPr>
          <w:rtl/>
        </w:rPr>
      </w:pPr>
    </w:p>
    <w:p w:rsidR="00C044AE" w:rsidRPr="00B00F53" w:rsidRDefault="00C044AE" w:rsidP="00C044AE">
      <w:pPr>
        <w:pStyle w:val="Ruller4"/>
        <w:numPr>
          <w:ilvl w:val="0"/>
          <w:numId w:val="0"/>
        </w:numPr>
        <w:rPr>
          <w:rtl/>
        </w:rPr>
      </w:pPr>
      <w:r w:rsidRPr="00B00F53">
        <w:rPr>
          <w:rtl/>
        </w:rPr>
        <w:tab/>
      </w:r>
      <w:r>
        <w:rPr>
          <w:rFonts w:hint="cs"/>
          <w:rtl/>
        </w:rPr>
        <w:t xml:space="preserve">זאת ועוד </w:t>
      </w:r>
      <w:r>
        <w:rPr>
          <w:rtl/>
        </w:rPr>
        <w:t>–</w:t>
      </w:r>
      <w:r>
        <w:rPr>
          <w:rFonts w:hint="cs"/>
          <w:rtl/>
        </w:rPr>
        <w:t xml:space="preserve"> </w:t>
      </w:r>
      <w:r w:rsidRPr="00B00F53">
        <w:rPr>
          <w:rFonts w:hint="cs"/>
          <w:rtl/>
        </w:rPr>
        <w:t xml:space="preserve">טענה זו </w:t>
      </w:r>
      <w:r>
        <w:rPr>
          <w:rFonts w:hint="cs"/>
          <w:rtl/>
        </w:rPr>
        <w:t xml:space="preserve">אף </w:t>
      </w:r>
      <w:r w:rsidRPr="00B00F53">
        <w:rPr>
          <w:rFonts w:hint="cs"/>
          <w:rtl/>
        </w:rPr>
        <w:t xml:space="preserve">אינה מדויקת כשלעצמה. המגמה העולמית בעשורים האחרונים </w:t>
      </w:r>
      <w:r>
        <w:rPr>
          <w:rFonts w:hint="cs"/>
          <w:rtl/>
        </w:rPr>
        <w:t xml:space="preserve">הינה מגמה המרחיבה את תחולתה של עילת הסבירות ועילות דומות לביקורת על שיקול הדעת המינהלי, ולא של צמצומן </w:t>
      </w:r>
      <w:r w:rsidRPr="00B00F53">
        <w:rPr>
          <w:rFonts w:hint="cs"/>
          <w:rtl/>
        </w:rPr>
        <w:t>(</w:t>
      </w:r>
      <w:r w:rsidRPr="00B00F53">
        <w:rPr>
          <w:rFonts w:hint="cs"/>
          <w:color w:val="000000"/>
          <w:rtl/>
        </w:rPr>
        <w:t>ראו פירוט</w:t>
      </w:r>
      <w:r w:rsidRPr="00B00F53">
        <w:rPr>
          <w:rFonts w:hint="cs"/>
          <w:color w:val="000000"/>
        </w:rPr>
        <w:t xml:space="preserve"> </w:t>
      </w:r>
      <w:r w:rsidRPr="00B00F53">
        <w:rPr>
          <w:rFonts w:hint="cs"/>
          <w:color w:val="000000"/>
          <w:rtl/>
        </w:rPr>
        <w:t>ב</w:t>
      </w:r>
      <w:r w:rsidRPr="00B00F53">
        <w:rPr>
          <w:rFonts w:hint="cs"/>
          <w:sz w:val="22"/>
          <w:rtl/>
        </w:rPr>
        <w:t>מסמך ההכנה מיום 23.6.2023</w:t>
      </w:r>
      <w:r w:rsidRPr="00B00F53">
        <w:rPr>
          <w:rFonts w:hint="cs"/>
          <w:color w:val="000000"/>
          <w:rtl/>
        </w:rPr>
        <w:t xml:space="preserve">, בעמ' 6; כן ראו: </w:t>
      </w:r>
      <w:r w:rsidRPr="00B00F53">
        <w:rPr>
          <w:rFonts w:cs="Miriam" w:hint="cs"/>
          <w:color w:val="000000"/>
          <w:spacing w:val="0"/>
          <w:szCs w:val="24"/>
          <w:rtl/>
        </w:rPr>
        <w:t>ברק-ארז "משפט מ</w:t>
      </w:r>
      <w:r>
        <w:rPr>
          <w:rFonts w:cs="Miriam" w:hint="cs"/>
          <w:color w:val="000000"/>
          <w:spacing w:val="0"/>
          <w:szCs w:val="24"/>
          <w:rtl/>
        </w:rPr>
        <w:t>י</w:t>
      </w:r>
      <w:r w:rsidRPr="00B00F53">
        <w:rPr>
          <w:rFonts w:cs="Miriam" w:hint="cs"/>
          <w:color w:val="000000"/>
          <w:spacing w:val="0"/>
          <w:szCs w:val="24"/>
          <w:rtl/>
        </w:rPr>
        <w:t>נהלי"</w:t>
      </w:r>
      <w:r w:rsidRPr="00B00F53">
        <w:rPr>
          <w:rFonts w:hint="cs"/>
          <w:color w:val="000000"/>
          <w:rtl/>
        </w:rPr>
        <w:t>, בעמ' 724</w:t>
      </w:r>
      <w:r w:rsidRPr="00B00F53">
        <w:rPr>
          <w:rFonts w:hint="cs"/>
          <w:rtl/>
        </w:rPr>
        <w:t>). דוגמה בולטת ל</w:t>
      </w:r>
      <w:r>
        <w:rPr>
          <w:rFonts w:hint="cs"/>
          <w:rtl/>
        </w:rPr>
        <w:t>כך ניתן למצוא ב</w:t>
      </w:r>
      <w:r w:rsidRPr="00B00F53">
        <w:rPr>
          <w:rFonts w:hint="cs"/>
          <w:rtl/>
        </w:rPr>
        <w:t xml:space="preserve">בריטניה, בה עוצב לראשונה מבחן </w:t>
      </w:r>
      <w:r>
        <w:t>Wednesbury</w:t>
      </w:r>
      <w:r w:rsidRPr="00B00F53" w:rsidDel="00EB486C">
        <w:rPr>
          <w:rFonts w:cs="Miriam" w:hint="cs"/>
          <w:spacing w:val="0"/>
          <w:szCs w:val="24"/>
          <w:rtl/>
        </w:rPr>
        <w:t xml:space="preserve"> </w:t>
      </w:r>
      <w:r w:rsidRPr="00B00F53">
        <w:rPr>
          <w:rFonts w:hint="cs"/>
          <w:rtl/>
        </w:rPr>
        <w:t xml:space="preserve">המצמצם. </w:t>
      </w:r>
      <w:r>
        <w:rPr>
          <w:rFonts w:hint="cs"/>
          <w:rtl/>
        </w:rPr>
        <w:t xml:space="preserve">כיום דוגלת השיטה הבריטית בגישה מרחיבה יותר לעילת הסבירות </w:t>
      </w:r>
      <w:r w:rsidRPr="00B00F53">
        <w:rPr>
          <w:rFonts w:hint="cs"/>
          <w:rtl/>
        </w:rPr>
        <w:t xml:space="preserve">(ראו: </w:t>
      </w:r>
      <w:r w:rsidRPr="00B00F53">
        <w:rPr>
          <w:rFonts w:cs="Miriam" w:hint="cs"/>
          <w:spacing w:val="0"/>
          <w:szCs w:val="24"/>
          <w:rtl/>
        </w:rPr>
        <w:t>כהן "היבטים השוואתיים"</w:t>
      </w:r>
      <w:r w:rsidRPr="00B00F53">
        <w:rPr>
          <w:rFonts w:hint="cs"/>
          <w:rtl/>
        </w:rPr>
        <w:t>, בעמ' 790-782;</w:t>
      </w:r>
      <w:r w:rsidRPr="00B00F53">
        <w:rPr>
          <w:rFonts w:hint="cs"/>
        </w:rPr>
        <w:t xml:space="preserve"> </w:t>
      </w:r>
      <w:r w:rsidRPr="00B00F53">
        <w:rPr>
          <w:smallCaps/>
          <w:sz w:val="22"/>
          <w:szCs w:val="22"/>
        </w:rPr>
        <w:t>Harry Woolf et al., De Smith's Judicial Review</w:t>
      </w:r>
      <w:r w:rsidRPr="00B00F53">
        <w:rPr>
          <w:sz w:val="22"/>
          <w:szCs w:val="22"/>
        </w:rPr>
        <w:t>, para. 11-099 (8th ed. 2018)</w:t>
      </w:r>
      <w:r w:rsidRPr="00B00F53">
        <w:rPr>
          <w:rtl/>
        </w:rPr>
        <w:t>)</w:t>
      </w:r>
      <w:r>
        <w:rPr>
          <w:rFonts w:hint="cs"/>
          <w:rtl/>
        </w:rPr>
        <w:t>, ו</w:t>
      </w:r>
      <w:r w:rsidRPr="00B00F53">
        <w:rPr>
          <w:rFonts w:hint="cs"/>
          <w:rtl/>
        </w:rPr>
        <w:t>בפסקי דין מהעת האחרונה אף הובהר, בדומה לגישה הנקוטה בישראל</w:t>
      </w:r>
      <w:r>
        <w:rPr>
          <w:rFonts w:hint="cs"/>
          <w:rtl/>
        </w:rPr>
        <w:t>,</w:t>
      </w:r>
      <w:r w:rsidRPr="00FF0B84">
        <w:rPr>
          <w:rFonts w:hint="cs"/>
          <w:rtl/>
        </w:rPr>
        <w:t xml:space="preserve"> </w:t>
      </w:r>
      <w:r w:rsidRPr="00B00F53">
        <w:rPr>
          <w:rFonts w:hint="cs"/>
          <w:rtl/>
        </w:rPr>
        <w:t>כי לעילת הסבירות ישנו גם היבט "איזוני" (</w:t>
      </w:r>
      <w:r>
        <w:rPr>
          <w:rFonts w:hint="cs"/>
          <w:rtl/>
        </w:rPr>
        <w:t xml:space="preserve">ראו: </w:t>
      </w:r>
      <w:r w:rsidRPr="00B00F53">
        <w:rPr>
          <w:rFonts w:cs="Miriam" w:hint="cs"/>
          <w:spacing w:val="0"/>
          <w:szCs w:val="24"/>
          <w:rtl/>
        </w:rPr>
        <w:t>שם</w:t>
      </w:r>
      <w:r w:rsidRPr="00B00F53">
        <w:rPr>
          <w:rFonts w:hint="cs"/>
          <w:rtl/>
        </w:rPr>
        <w:t xml:space="preserve">, בפסקה 11-030; </w:t>
      </w:r>
      <w:r w:rsidRPr="00D32508">
        <w:rPr>
          <w:sz w:val="22"/>
        </w:rPr>
        <w:t>Kennedy v The Charity Commission</w:t>
      </w:r>
      <w:r w:rsidRPr="00B00F53">
        <w:rPr>
          <w:sz w:val="22"/>
          <w:szCs w:val="22"/>
        </w:rPr>
        <w:t xml:space="preserve"> [2014] UKSC 20, para. 54</w:t>
      </w:r>
      <w:r>
        <w:rPr>
          <w:rFonts w:hint="cs"/>
          <w:sz w:val="22"/>
          <w:szCs w:val="22"/>
          <w:rtl/>
        </w:rPr>
        <w:t>;</w:t>
      </w:r>
      <w:r w:rsidRPr="006730F7">
        <w:t xml:space="preserve">Adam Perry, </w:t>
      </w:r>
      <w:r w:rsidRPr="00832336">
        <w:rPr>
          <w:i/>
          <w:iCs/>
        </w:rPr>
        <w:t>Wednesbury Unreasonableness</w:t>
      </w:r>
      <w:r w:rsidRPr="006730F7">
        <w:t xml:space="preserve">, </w:t>
      </w:r>
      <w:r>
        <w:t xml:space="preserve">82 </w:t>
      </w:r>
      <w:r w:rsidRPr="00832336">
        <w:rPr>
          <w:smallCaps/>
        </w:rPr>
        <w:t>Cambridge L.J</w:t>
      </w:r>
      <w:r w:rsidRPr="006730F7">
        <w:t xml:space="preserve">. </w:t>
      </w:r>
      <w:r>
        <w:t>483</w:t>
      </w:r>
      <w:r w:rsidRPr="006730F7">
        <w:t xml:space="preserve">, </w:t>
      </w:r>
      <w:r>
        <w:t>486</w:t>
      </w:r>
      <w:r w:rsidRPr="006730F7">
        <w:t xml:space="preserve"> (2023)</w:t>
      </w:r>
      <w:r>
        <w:rPr>
          <w:rFonts w:hint="cs"/>
          <w:rtl/>
        </w:rPr>
        <w:t>).</w:t>
      </w:r>
      <w:r w:rsidRPr="00B00F53">
        <w:rPr>
          <w:rFonts w:hint="cs"/>
          <w:rtl/>
        </w:rPr>
        <w:t xml:space="preserve"> </w:t>
      </w:r>
      <w:r>
        <w:rPr>
          <w:rFonts w:hint="cs"/>
          <w:rtl/>
        </w:rPr>
        <w:t>מעבר לכך,</w:t>
      </w:r>
      <w:r w:rsidRPr="00B00F53">
        <w:rPr>
          <w:rFonts w:hint="cs"/>
          <w:rtl/>
        </w:rPr>
        <w:t xml:space="preserve"> בתי המשפט בבריטניה בוחנים גם את סבירות החלטותיהם של שרים, תוך מתן משקל להיותם נבחרי ציבור (</w:t>
      </w:r>
      <w:r w:rsidRPr="00B00F53">
        <w:rPr>
          <w:smallCaps/>
          <w:sz w:val="22"/>
          <w:szCs w:val="22"/>
        </w:rPr>
        <w:t>H.W.R. Wade &amp; C.F. Forsyth</w:t>
      </w:r>
      <w:r w:rsidRPr="00B00F53">
        <w:rPr>
          <w:sz w:val="22"/>
          <w:szCs w:val="22"/>
        </w:rPr>
        <w:t>,</w:t>
      </w:r>
      <w:r w:rsidRPr="00B00F53">
        <w:rPr>
          <w:smallCaps/>
          <w:sz w:val="22"/>
          <w:szCs w:val="22"/>
        </w:rPr>
        <w:t xml:space="preserve"> Administrative Law</w:t>
      </w:r>
      <w:r w:rsidRPr="00B00F53">
        <w:rPr>
          <w:sz w:val="22"/>
          <w:szCs w:val="22"/>
        </w:rPr>
        <w:t xml:space="preserve"> 318 (10th ed. 2009)</w:t>
      </w:r>
      <w:r w:rsidRPr="00B00F53">
        <w:rPr>
          <w:rFonts w:hint="cs"/>
          <w:rtl/>
        </w:rPr>
        <w:t>;</w:t>
      </w:r>
      <w:r w:rsidRPr="00B00F53">
        <w:rPr>
          <w:rFonts w:hint="cs"/>
          <w:smallCaps/>
          <w:sz w:val="17"/>
          <w:szCs w:val="17"/>
          <w:rtl/>
        </w:rPr>
        <w:t xml:space="preserve"> </w:t>
      </w:r>
      <w:r w:rsidRPr="00D32508">
        <w:rPr>
          <w:sz w:val="22"/>
        </w:rPr>
        <w:t>Padfield v Minister of Agriculture, Fisheries and Food</w:t>
      </w:r>
      <w:r w:rsidRPr="00B00F53">
        <w:rPr>
          <w:i/>
          <w:iCs/>
          <w:sz w:val="22"/>
          <w:szCs w:val="22"/>
        </w:rPr>
        <w:t xml:space="preserve"> </w:t>
      </w:r>
      <w:r w:rsidRPr="00B00F53">
        <w:rPr>
          <w:sz w:val="22"/>
          <w:szCs w:val="22"/>
        </w:rPr>
        <w:t>[1968] AC 997</w:t>
      </w:r>
      <w:r>
        <w:rPr>
          <w:sz w:val="22"/>
          <w:szCs w:val="22"/>
        </w:rPr>
        <w:t xml:space="preserve"> (HL)</w:t>
      </w:r>
      <w:r w:rsidRPr="00B00F53">
        <w:rPr>
          <w:rFonts w:hint="cs"/>
          <w:sz w:val="22"/>
          <w:szCs w:val="22"/>
          <w:rtl/>
        </w:rPr>
        <w:t xml:space="preserve">. </w:t>
      </w:r>
      <w:r w:rsidRPr="00B00F53">
        <w:rPr>
          <w:rFonts w:hint="cs"/>
          <w:rtl/>
        </w:rPr>
        <w:t xml:space="preserve">ראו גם: </w:t>
      </w:r>
      <w:r w:rsidRPr="00B00F53">
        <w:rPr>
          <w:rFonts w:cs="Miriam" w:hint="cs"/>
          <w:spacing w:val="0"/>
          <w:szCs w:val="24"/>
          <w:rtl/>
        </w:rPr>
        <w:t>זמיר "הסמכות המ</w:t>
      </w:r>
      <w:r>
        <w:rPr>
          <w:rFonts w:cs="Miriam" w:hint="cs"/>
          <w:spacing w:val="0"/>
          <w:szCs w:val="24"/>
          <w:rtl/>
        </w:rPr>
        <w:t>י</w:t>
      </w:r>
      <w:r w:rsidRPr="00B00F53">
        <w:rPr>
          <w:rFonts w:cs="Miriam" w:hint="cs"/>
          <w:spacing w:val="0"/>
          <w:szCs w:val="24"/>
          <w:rtl/>
        </w:rPr>
        <w:t>נהלית"</w:t>
      </w:r>
      <w:r w:rsidRPr="00B00F53">
        <w:rPr>
          <w:rFonts w:hint="cs"/>
          <w:rtl/>
        </w:rPr>
        <w:t>, בעמ' 3871-3870)</w:t>
      </w:r>
      <w:r>
        <w:rPr>
          <w:rFonts w:hint="cs"/>
          <w:rtl/>
        </w:rPr>
        <w:t>.</w:t>
      </w:r>
    </w:p>
    <w:p w:rsidR="00C044AE" w:rsidRPr="00B00F53" w:rsidRDefault="00C044AE" w:rsidP="00C044AE">
      <w:pPr>
        <w:pStyle w:val="Ruller41"/>
        <w:rPr>
          <w:rFonts w:ascii="Garamond" w:hAnsi="Garamond"/>
          <w:rtl/>
        </w:rPr>
      </w:pPr>
    </w:p>
    <w:p w:rsidR="00C044AE" w:rsidRPr="00B00F53" w:rsidRDefault="00C044AE" w:rsidP="00C044AE">
      <w:pPr>
        <w:pStyle w:val="Ruller4"/>
        <w:numPr>
          <w:ilvl w:val="0"/>
          <w:numId w:val="0"/>
        </w:numPr>
        <w:rPr>
          <w:rtl/>
        </w:rPr>
      </w:pPr>
      <w:r w:rsidRPr="00B00F53">
        <w:rPr>
          <w:rtl/>
        </w:rPr>
        <w:lastRenderedPageBreak/>
        <w:tab/>
      </w:r>
      <w:r w:rsidRPr="00B00F53">
        <w:rPr>
          <w:rFonts w:hint="cs"/>
          <w:rtl/>
        </w:rPr>
        <w:t>כמו כן, בעשור האחרון קיימו בתי המשפט העליונים באוסטרליה ובקנדה דיונים מקיפים בעילת הסבירות, במסגרתם הסדירו וביססו את השימוש בה כעילה מרכזית במשפט המ</w:t>
      </w:r>
      <w:r>
        <w:rPr>
          <w:rFonts w:hint="cs"/>
          <w:rtl/>
        </w:rPr>
        <w:t>י</w:t>
      </w:r>
      <w:r w:rsidRPr="00B00F53">
        <w:rPr>
          <w:rFonts w:hint="cs"/>
          <w:rtl/>
        </w:rPr>
        <w:t xml:space="preserve">נהלי. באוסטרליה הרחיב בית המשפט העליון את אמת המידה לחוסר-סבירות של החלטות, תוך שקבע כי יש לנטוש את המבחן המצמצם המזוהה עם עניין </w:t>
      </w:r>
      <w:r>
        <w:t>Wednesbury</w:t>
      </w:r>
      <w:r w:rsidRPr="00B00F53">
        <w:rPr>
          <w:rFonts w:hint="cs"/>
          <w:rtl/>
        </w:rPr>
        <w:t>, ולהעדיף בחינה מעמיקה יותר (</w:t>
      </w:r>
      <w:r w:rsidRPr="00D32508">
        <w:rPr>
          <w:i/>
        </w:rPr>
        <w:t>Minister of Immigration v Li</w:t>
      </w:r>
      <w:r w:rsidRPr="00B00F53">
        <w:t>, (2013) 249 CLR 332</w:t>
      </w:r>
      <w:r w:rsidRPr="00B00F53">
        <w:rPr>
          <w:rFonts w:hint="cs"/>
          <w:sz w:val="22"/>
          <w:rtl/>
        </w:rPr>
        <w:t xml:space="preserve">; עילת הסבירות </w:t>
      </w:r>
      <w:r>
        <w:rPr>
          <w:rFonts w:hint="cs"/>
          <w:sz w:val="22"/>
          <w:rtl/>
        </w:rPr>
        <w:t xml:space="preserve">אף </w:t>
      </w:r>
      <w:r w:rsidRPr="00B00F53">
        <w:rPr>
          <w:rFonts w:hint="cs"/>
          <w:sz w:val="22"/>
          <w:rtl/>
        </w:rPr>
        <w:t xml:space="preserve">מעוגנת באוסטרליה בחוק: </w:t>
      </w:r>
      <w:r w:rsidRPr="00D32508">
        <w:rPr>
          <w:i/>
        </w:rPr>
        <w:t>Administrative Decisions (Judicial Review) Act</w:t>
      </w:r>
      <w:r w:rsidRPr="00B00F53">
        <w:t xml:space="preserve"> 1977, </w:t>
      </w:r>
      <w:r>
        <w:t>s</w:t>
      </w:r>
      <w:r w:rsidRPr="00B00F53">
        <w:t xml:space="preserve"> 5(2)(g)</w:t>
      </w:r>
      <w:r w:rsidRPr="00B00F53">
        <w:rPr>
          <w:rFonts w:hint="cs"/>
          <w:sz w:val="22"/>
          <w:rtl/>
        </w:rPr>
        <w:t>)</w:t>
      </w:r>
      <w:r w:rsidRPr="00B00F53">
        <w:rPr>
          <w:rFonts w:hint="cs"/>
          <w:rtl/>
        </w:rPr>
        <w:t xml:space="preserve">. בקנדה ערך בית המשפט העליון </w:t>
      </w:r>
      <w:r>
        <w:rPr>
          <w:rFonts w:hint="cs"/>
          <w:rtl/>
        </w:rPr>
        <w:t xml:space="preserve">בפסק דין משנת 2019 הסדרה מקיפה של </w:t>
      </w:r>
      <w:r w:rsidRPr="00B00F53">
        <w:rPr>
          <w:rFonts w:hint="cs"/>
          <w:rtl/>
        </w:rPr>
        <w:t>עילות הביקורת המ</w:t>
      </w:r>
      <w:r>
        <w:rPr>
          <w:rFonts w:hint="cs"/>
          <w:rtl/>
        </w:rPr>
        <w:t>י</w:t>
      </w:r>
      <w:r w:rsidRPr="00B00F53">
        <w:rPr>
          <w:rFonts w:hint="cs"/>
          <w:rtl/>
        </w:rPr>
        <w:t xml:space="preserve">נהליות והעצים את </w:t>
      </w:r>
      <w:r>
        <w:rPr>
          <w:rFonts w:hint="cs"/>
          <w:rtl/>
        </w:rPr>
        <w:t>מקומה ותפקידה</w:t>
      </w:r>
      <w:r w:rsidRPr="00B00F53">
        <w:rPr>
          <w:rFonts w:hint="cs"/>
          <w:rtl/>
        </w:rPr>
        <w:t xml:space="preserve"> של עילת הסבירות על חשבון בחינה </w:t>
      </w:r>
      <w:r>
        <w:rPr>
          <w:rFonts w:hint="cs"/>
          <w:rtl/>
        </w:rPr>
        <w:t>דה-נובו</w:t>
      </w:r>
      <w:r w:rsidRPr="00B00F53">
        <w:rPr>
          <w:rFonts w:hint="cs"/>
          <w:rtl/>
        </w:rPr>
        <w:t xml:space="preserve"> של ההחלטה המ</w:t>
      </w:r>
      <w:r>
        <w:rPr>
          <w:rFonts w:hint="cs"/>
          <w:rtl/>
        </w:rPr>
        <w:t>י</w:t>
      </w:r>
      <w:r w:rsidRPr="00B00F53">
        <w:rPr>
          <w:rFonts w:hint="cs"/>
          <w:rtl/>
        </w:rPr>
        <w:t>נהלית</w:t>
      </w:r>
      <w:r>
        <w:rPr>
          <w:rFonts w:hint="cs"/>
          <w:rtl/>
        </w:rPr>
        <w:t>,</w:t>
      </w:r>
      <w:r w:rsidRPr="00B00F53">
        <w:rPr>
          <w:rFonts w:hint="cs"/>
          <w:rtl/>
        </w:rPr>
        <w:t xml:space="preserve"> שתתקיים רק במקרים חריגים (</w:t>
      </w:r>
      <w:r w:rsidRPr="00B00F53">
        <w:t>Canada (Minister of Citizenship and Immigration) v. Vavilov, [2019] 4 S.C.R. 653</w:t>
      </w:r>
      <w:r w:rsidRPr="00B00F53">
        <w:rPr>
          <w:rFonts w:hint="cs"/>
          <w:rtl/>
        </w:rPr>
        <w:t xml:space="preserve"> (להלן: </w:t>
      </w:r>
      <w:r w:rsidRPr="00B00F53">
        <w:rPr>
          <w:rFonts w:cs="Miriam" w:hint="cs"/>
          <w:spacing w:val="0"/>
          <w:szCs w:val="24"/>
          <w:rtl/>
        </w:rPr>
        <w:t>עניין ואבילוב</w:t>
      </w:r>
      <w:r w:rsidRPr="00B00F53">
        <w:rPr>
          <w:rFonts w:hint="cs"/>
          <w:rtl/>
        </w:rPr>
        <w:t>);</w:t>
      </w:r>
      <w:r w:rsidRPr="00B00F53">
        <w:rPr>
          <w:rFonts w:hint="cs"/>
          <w:sz w:val="17"/>
          <w:szCs w:val="17"/>
          <w:rtl/>
        </w:rPr>
        <w:t xml:space="preserve"> </w:t>
      </w:r>
      <w:r w:rsidRPr="00B00F53">
        <w:rPr>
          <w:smallCaps/>
        </w:rPr>
        <w:t>Paul Daly &amp; Colleen Flood, Administrative Law in Context</w:t>
      </w:r>
      <w:r w:rsidRPr="00B00F53">
        <w:t xml:space="preserve"> 351 (2021)</w:t>
      </w:r>
      <w:r w:rsidRPr="00B00F53">
        <w:rPr>
          <w:rFonts w:hint="cs"/>
          <w:rtl/>
        </w:rPr>
        <w:t xml:space="preserve">). פסק הדין הבהיר כי עילת הסבירות חלה גם על החלטות שקיבלו שרים ועל החלטות מדיניות (עניין </w:t>
      </w:r>
      <w:r w:rsidRPr="00B00F53">
        <w:rPr>
          <w:rFonts w:cs="Miriam" w:hint="cs"/>
          <w:spacing w:val="0"/>
          <w:szCs w:val="24"/>
          <w:rtl/>
        </w:rPr>
        <w:t>ואבילוב</w:t>
      </w:r>
      <w:r w:rsidRPr="00B00F53">
        <w:rPr>
          <w:rFonts w:hint="cs"/>
          <w:rtl/>
        </w:rPr>
        <w:t xml:space="preserve">, בפסקאות 89-88). בספרות </w:t>
      </w:r>
      <w:r>
        <w:rPr>
          <w:rFonts w:hint="cs"/>
          <w:rtl/>
        </w:rPr>
        <w:t xml:space="preserve">אף </w:t>
      </w:r>
      <w:r w:rsidRPr="00B00F53">
        <w:rPr>
          <w:rFonts w:hint="cs"/>
          <w:rtl/>
        </w:rPr>
        <w:t xml:space="preserve">צוין כי </w:t>
      </w:r>
      <w:r>
        <w:rPr>
          <w:rFonts w:hint="cs"/>
          <w:rtl/>
        </w:rPr>
        <w:t xml:space="preserve">במובנים מסוימים </w:t>
      </w:r>
      <w:r w:rsidRPr="00B00F53">
        <w:rPr>
          <w:rFonts w:hint="cs"/>
          <w:rtl/>
        </w:rPr>
        <w:t xml:space="preserve">מאז עניין </w:t>
      </w:r>
      <w:r w:rsidRPr="00B00F53">
        <w:rPr>
          <w:rFonts w:cs="Miriam" w:hint="cs"/>
          <w:spacing w:val="0"/>
          <w:szCs w:val="24"/>
          <w:rtl/>
        </w:rPr>
        <w:t>ואבילוב</w:t>
      </w:r>
      <w:r w:rsidRPr="00B00F53">
        <w:rPr>
          <w:rFonts w:hint="cs"/>
          <w:rtl/>
        </w:rPr>
        <w:t xml:space="preserve"> הוחמרה הביקורת השיפוטית</w:t>
      </w:r>
      <w:r>
        <w:rPr>
          <w:rFonts w:hint="cs"/>
          <w:rtl/>
        </w:rPr>
        <w:t xml:space="preserve"> בקנדה</w:t>
      </w:r>
      <w:r w:rsidRPr="00B00F53">
        <w:rPr>
          <w:rFonts w:hint="cs"/>
          <w:rtl/>
        </w:rPr>
        <w:t xml:space="preserve"> על החלטות של שרים ונבחרי ציבור אחרים (</w:t>
      </w:r>
      <w:r w:rsidRPr="00B00F53">
        <w:t xml:space="preserve">Paul Daly, </w:t>
      </w:r>
      <w:r w:rsidRPr="00B00F53">
        <w:rPr>
          <w:i/>
          <w:iCs/>
        </w:rPr>
        <w:t>Vavilov and the Culture of Justification in Contemporary Administrative Law</w:t>
      </w:r>
      <w:r w:rsidRPr="00B00F53">
        <w:t xml:space="preserve">, 100 </w:t>
      </w:r>
      <w:r w:rsidRPr="00B00F53">
        <w:rPr>
          <w:smallCaps/>
        </w:rPr>
        <w:t>Sup. Ct. L. Rev</w:t>
      </w:r>
      <w:r w:rsidRPr="00B00F53">
        <w:t>. 279, 303-304 (2021)</w:t>
      </w:r>
      <w:r w:rsidRPr="00B00F53">
        <w:rPr>
          <w:rFonts w:hint="cs"/>
          <w:rtl/>
        </w:rPr>
        <w:t xml:space="preserve">). </w:t>
      </w:r>
    </w:p>
    <w:p w:rsidR="00C044AE" w:rsidRPr="00B00F53" w:rsidRDefault="00C044AE" w:rsidP="00C044AE">
      <w:pPr>
        <w:pStyle w:val="Ruller41"/>
        <w:rPr>
          <w:rFonts w:ascii="Garamond" w:hAnsi="Garamond"/>
          <w:rtl/>
        </w:rPr>
      </w:pPr>
    </w:p>
    <w:p w:rsidR="00C044AE" w:rsidRPr="00B00F53" w:rsidRDefault="00C044AE" w:rsidP="00C044AE">
      <w:pPr>
        <w:pStyle w:val="Ruller41"/>
        <w:rPr>
          <w:rFonts w:ascii="Garamond" w:hAnsi="Garamond"/>
          <w:rtl/>
        </w:rPr>
      </w:pPr>
      <w:r w:rsidRPr="00B00F53">
        <w:rPr>
          <w:rFonts w:ascii="Garamond" w:hAnsi="Garamond"/>
          <w:rtl/>
        </w:rPr>
        <w:tab/>
      </w:r>
      <w:r>
        <w:rPr>
          <w:rFonts w:ascii="Garamond" w:hAnsi="Garamond" w:hint="cs"/>
          <w:rtl/>
        </w:rPr>
        <w:t>עוד יצוין כי</w:t>
      </w:r>
      <w:r w:rsidRPr="00B00F53">
        <w:rPr>
          <w:rFonts w:ascii="Garamond" w:hAnsi="Garamond" w:hint="cs"/>
          <w:rtl/>
        </w:rPr>
        <w:t xml:space="preserve"> אף שעילת הסבירות אינה עילה מרכזית בשיטות המשפט הקונטיננטליות, הלכה למעשה גם בשיטות אלו קיימת ביקורת שיפוטית על שיקול דעת מ</w:t>
      </w:r>
      <w:r>
        <w:rPr>
          <w:rFonts w:ascii="Garamond" w:hAnsi="Garamond" w:hint="cs"/>
          <w:rtl/>
        </w:rPr>
        <w:t>י</w:t>
      </w:r>
      <w:r w:rsidRPr="00B00F53">
        <w:rPr>
          <w:rFonts w:ascii="Garamond" w:hAnsi="Garamond" w:hint="cs"/>
          <w:rtl/>
        </w:rPr>
        <w:t>נהל</w:t>
      </w:r>
      <w:r>
        <w:rPr>
          <w:rFonts w:ascii="Garamond" w:hAnsi="Garamond" w:hint="cs"/>
          <w:rtl/>
        </w:rPr>
        <w:t>י</w:t>
      </w:r>
      <w:r w:rsidRPr="00B00F53">
        <w:rPr>
          <w:rFonts w:ascii="Garamond" w:hAnsi="Garamond" w:hint="cs"/>
          <w:rtl/>
        </w:rPr>
        <w:t xml:space="preserve"> בהתבסס על מבחנים דומים במהותם, ולעיתים קרובות אף מחמירים יותר ביחס לרשות המ</w:t>
      </w:r>
      <w:r>
        <w:rPr>
          <w:rFonts w:ascii="Garamond" w:hAnsi="Garamond" w:hint="cs"/>
          <w:rtl/>
        </w:rPr>
        <w:t>י</w:t>
      </w:r>
      <w:r w:rsidRPr="00B00F53">
        <w:rPr>
          <w:rFonts w:ascii="Garamond" w:hAnsi="Garamond" w:hint="cs"/>
          <w:rtl/>
        </w:rPr>
        <w:t xml:space="preserve">נהלית בהשוואה לאלו הנהוגים במשפט המקובל (רון </w:t>
      </w:r>
      <w:r w:rsidRPr="00B00F53">
        <w:rPr>
          <w:rFonts w:ascii="Garamond" w:hAnsi="Garamond" w:hint="cs"/>
          <w:color w:val="000000"/>
          <w:rtl/>
        </w:rPr>
        <w:t>שפירא</w:t>
      </w:r>
      <w:r w:rsidRPr="00B00F53">
        <w:rPr>
          <w:rFonts w:ascii="Garamond" w:hAnsi="Garamond" w:hint="cs"/>
          <w:rtl/>
        </w:rPr>
        <w:t xml:space="preserve"> "על סבירותה של עילת הסבירות" </w:t>
      </w:r>
      <w:r>
        <w:rPr>
          <w:rFonts w:ascii="Century" w:hAnsi="Century" w:cs="Miriam" w:hint="cs"/>
          <w:b/>
          <w:spacing w:val="0"/>
          <w:szCs w:val="24"/>
          <w:rtl/>
        </w:rPr>
        <w:t xml:space="preserve">הפורום הישראלי למשפט וחירות </w:t>
      </w:r>
      <w:r>
        <w:rPr>
          <w:rFonts w:ascii="Century" w:hAnsi="Century" w:cs="Miriam"/>
          <w:b/>
          <w:spacing w:val="0"/>
          <w:szCs w:val="24"/>
          <w:rtl/>
        </w:rPr>
        <w:t>–</w:t>
      </w:r>
      <w:r>
        <w:rPr>
          <w:rFonts w:ascii="Century" w:hAnsi="Century" w:cs="Miriam" w:hint="cs"/>
          <w:b/>
          <w:spacing w:val="0"/>
          <w:szCs w:val="24"/>
          <w:rtl/>
        </w:rPr>
        <w:t xml:space="preserve"> </w:t>
      </w:r>
      <w:r w:rsidRPr="00DE7325">
        <w:rPr>
          <w:rFonts w:ascii="Century" w:hAnsi="Century" w:cs="Miriam" w:hint="eastAsia"/>
          <w:b/>
          <w:spacing w:val="0"/>
          <w:szCs w:val="24"/>
          <w:rtl/>
        </w:rPr>
        <w:t>בלוג</w:t>
      </w:r>
      <w:r w:rsidRPr="00DE7325">
        <w:rPr>
          <w:rFonts w:ascii="Century" w:hAnsi="Century" w:cs="Miriam"/>
          <w:b/>
          <w:spacing w:val="0"/>
          <w:szCs w:val="24"/>
          <w:rtl/>
        </w:rPr>
        <w:t xml:space="preserve"> </w:t>
      </w:r>
      <w:r w:rsidRPr="00D32508">
        <w:rPr>
          <w:rFonts w:ascii="Century" w:hAnsi="Century" w:cs="Miriam" w:hint="eastAsia"/>
          <w:b/>
          <w:spacing w:val="0"/>
          <w:szCs w:val="24"/>
          <w:rtl/>
        </w:rPr>
        <w:t>רשות</w:t>
      </w:r>
      <w:r w:rsidRPr="00D32508">
        <w:rPr>
          <w:rFonts w:ascii="Century" w:hAnsi="Century" w:cs="Miriam"/>
          <w:b/>
          <w:spacing w:val="0"/>
          <w:szCs w:val="24"/>
          <w:rtl/>
        </w:rPr>
        <w:t xml:space="preserve"> </w:t>
      </w:r>
      <w:r w:rsidRPr="00D32508">
        <w:rPr>
          <w:rFonts w:ascii="Century" w:hAnsi="Century" w:cs="Miriam" w:hint="eastAsia"/>
          <w:b/>
          <w:spacing w:val="0"/>
          <w:szCs w:val="24"/>
          <w:rtl/>
        </w:rPr>
        <w:t>הרבים</w:t>
      </w:r>
      <w:r w:rsidRPr="00D32508">
        <w:rPr>
          <w:rFonts w:hint="cs"/>
          <w:rtl/>
        </w:rPr>
        <w:t xml:space="preserve"> </w:t>
      </w:r>
      <w:r w:rsidRPr="00B00F53">
        <w:rPr>
          <w:rFonts w:ascii="Garamond" w:hAnsi="Garamond" w:hint="cs"/>
          <w:rtl/>
        </w:rPr>
        <w:t>1, 2 (</w:t>
      </w:r>
      <w:r>
        <w:rPr>
          <w:rFonts w:ascii="Garamond" w:hAnsi="Garamond" w:hint="cs"/>
          <w:rtl/>
        </w:rPr>
        <w:t>16.1.2023</w:t>
      </w:r>
      <w:r w:rsidRPr="00B00F53">
        <w:rPr>
          <w:rFonts w:ascii="Garamond" w:hAnsi="Garamond" w:hint="cs"/>
          <w:rtl/>
        </w:rPr>
        <w:t>); יצחק זמיר "</w:t>
      </w:r>
      <w:r w:rsidRPr="00B00F53">
        <w:rPr>
          <w:rFonts w:ascii="Garamond" w:hAnsi="Garamond"/>
          <w:rtl/>
        </w:rPr>
        <w:t>המשפט המינהלי של ישראל בהשוואה למשפט המינהלי של גרמניה</w:t>
      </w:r>
      <w:r w:rsidRPr="00B00F53">
        <w:rPr>
          <w:rFonts w:ascii="Garamond" w:hAnsi="Garamond" w:hint="cs"/>
          <w:rtl/>
        </w:rPr>
        <w:t xml:space="preserve">" </w:t>
      </w:r>
      <w:r w:rsidRPr="00B00F53">
        <w:rPr>
          <w:rFonts w:ascii="Garamond" w:hAnsi="Garamond" w:cs="Miriam" w:hint="cs"/>
          <w:b/>
          <w:spacing w:val="0"/>
          <w:szCs w:val="24"/>
          <w:rtl/>
        </w:rPr>
        <w:t>משפט וממשל</w:t>
      </w:r>
      <w:r w:rsidRPr="00B00F53">
        <w:rPr>
          <w:rFonts w:ascii="Garamond" w:hAnsi="Garamond" w:hint="cs"/>
          <w:rtl/>
        </w:rPr>
        <w:t xml:space="preserve"> ב 109, 130-129 (התשנ"ד). כן ראו: </w:t>
      </w:r>
      <w:r w:rsidRPr="00B00F53">
        <w:rPr>
          <w:rFonts w:ascii="Garamond" w:hAnsi="Garamond"/>
          <w:smallCaps/>
        </w:rPr>
        <w:t>John Bell &amp; François Lich</w:t>
      </w:r>
      <w:r w:rsidRPr="00D32508">
        <w:rPr>
          <w:rFonts w:ascii="Garamond" w:hAnsi="Garamond"/>
          <w:smallCaps/>
        </w:rPr>
        <w:t>è</w:t>
      </w:r>
      <w:r w:rsidRPr="00B00F53">
        <w:rPr>
          <w:rFonts w:ascii="Garamond" w:hAnsi="Garamond"/>
          <w:smallCaps/>
        </w:rPr>
        <w:t>re, Contemporary French Administrative Law 191-95 (2002)</w:t>
      </w:r>
      <w:r w:rsidRPr="00B00F53">
        <w:rPr>
          <w:rFonts w:ascii="Garamond" w:hAnsi="Garamond" w:hint="cs"/>
          <w:rtl/>
        </w:rPr>
        <w:t xml:space="preserve">; </w:t>
      </w:r>
      <w:r w:rsidRPr="00B00F53">
        <w:rPr>
          <w:rFonts w:ascii="Garamond" w:hAnsi="Garamond"/>
          <w:smallCaps/>
        </w:rPr>
        <w:t xml:space="preserve">Mahendra P. Singh, German Administrative Law in Common Law Perspective </w:t>
      </w:r>
      <w:r>
        <w:rPr>
          <w:rFonts w:ascii="Garamond" w:hAnsi="Garamond"/>
          <w:smallCaps/>
        </w:rPr>
        <w:t>165-66</w:t>
      </w:r>
      <w:r w:rsidRPr="00B00F53">
        <w:rPr>
          <w:rFonts w:ascii="Garamond" w:hAnsi="Garamond"/>
          <w:smallCaps/>
        </w:rPr>
        <w:t xml:space="preserve"> (2001)</w:t>
      </w:r>
      <w:r w:rsidRPr="00B00F53">
        <w:rPr>
          <w:rFonts w:ascii="Garamond" w:hAnsi="Garamond" w:hint="cs"/>
          <w:rtl/>
        </w:rPr>
        <w:t>).</w:t>
      </w:r>
    </w:p>
    <w:p w:rsidR="00C044AE" w:rsidRPr="00B00F53" w:rsidRDefault="00C044AE" w:rsidP="00C044AE">
      <w:pPr>
        <w:pStyle w:val="Ruller4"/>
        <w:numPr>
          <w:ilvl w:val="0"/>
          <w:numId w:val="0"/>
        </w:numPr>
        <w:rPr>
          <w:rtl/>
        </w:rPr>
      </w:pPr>
    </w:p>
    <w:p w:rsidR="00C044AE" w:rsidRPr="00B00F53" w:rsidRDefault="00C044AE" w:rsidP="00C044AE">
      <w:pPr>
        <w:pStyle w:val="Ruller4"/>
      </w:pPr>
      <w:r>
        <w:rPr>
          <w:rFonts w:hint="cs"/>
          <w:rtl/>
        </w:rPr>
        <w:t>הסקירה ההשוואתית אך ממחישה</w:t>
      </w:r>
      <w:r w:rsidRPr="00B00F53">
        <w:rPr>
          <w:rFonts w:hint="cs"/>
          <w:rtl/>
        </w:rPr>
        <w:t xml:space="preserve"> את הקשיים </w:t>
      </w:r>
      <w:r>
        <w:rPr>
          <w:rFonts w:hint="cs"/>
          <w:rtl/>
        </w:rPr>
        <w:t>המהותיים</w:t>
      </w:r>
      <w:r w:rsidRPr="00B00F53">
        <w:rPr>
          <w:rFonts w:hint="cs"/>
          <w:rtl/>
        </w:rPr>
        <w:t xml:space="preserve"> שמעורר התיקון</w:t>
      </w:r>
      <w:r>
        <w:rPr>
          <w:rFonts w:hint="cs"/>
          <w:rtl/>
        </w:rPr>
        <w:t xml:space="preserve"> </w:t>
      </w:r>
      <w:r>
        <w:rPr>
          <w:rtl/>
        </w:rPr>
        <w:t>–</w:t>
      </w:r>
      <w:r>
        <w:rPr>
          <w:rFonts w:hint="cs"/>
          <w:rtl/>
        </w:rPr>
        <w:t xml:space="preserve"> </w:t>
      </w:r>
      <w:r w:rsidRPr="00B00F53">
        <w:rPr>
          <w:rFonts w:hint="cs"/>
          <w:rtl/>
        </w:rPr>
        <w:t>בשיטות</w:t>
      </w:r>
      <w:r>
        <w:rPr>
          <w:rFonts w:hint="cs"/>
          <w:rtl/>
        </w:rPr>
        <w:t xml:space="preserve"> משפט</w:t>
      </w:r>
      <w:r w:rsidRPr="00B00F53">
        <w:rPr>
          <w:rFonts w:hint="cs"/>
          <w:rtl/>
        </w:rPr>
        <w:t xml:space="preserve"> אחרות </w:t>
      </w:r>
      <w:r>
        <w:rPr>
          <w:rFonts w:hint="cs"/>
          <w:rtl/>
        </w:rPr>
        <w:t>המגמה היא להרחיב</w:t>
      </w:r>
      <w:r w:rsidRPr="00B00F53">
        <w:rPr>
          <w:rFonts w:hint="cs"/>
          <w:rtl/>
        </w:rPr>
        <w:t xml:space="preserve"> את השימוש בעילת הסבירות, וזאת בין היתר, על רקע הגידול בכוחה של</w:t>
      </w:r>
      <w:r>
        <w:rPr>
          <w:rFonts w:hint="cs"/>
          <w:rtl/>
        </w:rPr>
        <w:t xml:space="preserve"> הרשות המבצעת במדינה המודרנית וה</w:t>
      </w:r>
      <w:r w:rsidRPr="00B00F53">
        <w:rPr>
          <w:rFonts w:hint="cs"/>
          <w:rtl/>
        </w:rPr>
        <w:t>צורך לפקח על שיקול דעתה (</w:t>
      </w:r>
      <w:r>
        <w:rPr>
          <w:rFonts w:hint="cs"/>
          <w:rtl/>
        </w:rPr>
        <w:t xml:space="preserve">ראו והשוו: יואב </w:t>
      </w:r>
      <w:r w:rsidRPr="00B00F53">
        <w:rPr>
          <w:rFonts w:hint="cs"/>
          <w:rtl/>
        </w:rPr>
        <w:t>דותן</w:t>
      </w:r>
      <w:r>
        <w:rPr>
          <w:rFonts w:hint="cs"/>
          <w:rtl/>
        </w:rPr>
        <w:t xml:space="preserve"> </w:t>
      </w:r>
      <w:r w:rsidRPr="00502A42">
        <w:rPr>
          <w:rFonts w:ascii="Century" w:hAnsi="Century" w:cs="Miriam" w:hint="cs"/>
          <w:b/>
          <w:spacing w:val="0"/>
          <w:sz w:val="22"/>
          <w:szCs w:val="24"/>
          <w:rtl/>
        </w:rPr>
        <w:t>הנחיות מ</w:t>
      </w:r>
      <w:r>
        <w:rPr>
          <w:rFonts w:ascii="Century" w:hAnsi="Century" w:cs="Miriam" w:hint="cs"/>
          <w:b/>
          <w:spacing w:val="0"/>
          <w:sz w:val="22"/>
          <w:szCs w:val="24"/>
          <w:rtl/>
        </w:rPr>
        <w:t>י</w:t>
      </w:r>
      <w:r w:rsidRPr="00502A42">
        <w:rPr>
          <w:rFonts w:ascii="Century" w:hAnsi="Century" w:cs="Miriam" w:hint="cs"/>
          <w:b/>
          <w:spacing w:val="0"/>
          <w:sz w:val="22"/>
          <w:szCs w:val="24"/>
          <w:rtl/>
        </w:rPr>
        <w:t>נהליות</w:t>
      </w:r>
      <w:r w:rsidRPr="00502A42">
        <w:rPr>
          <w:rFonts w:hint="cs"/>
          <w:rtl/>
        </w:rPr>
        <w:t xml:space="preserve"> </w:t>
      </w:r>
      <w:r>
        <w:rPr>
          <w:rFonts w:hint="cs"/>
          <w:rtl/>
        </w:rPr>
        <w:t>511-510 (1996)</w:t>
      </w:r>
      <w:r w:rsidRPr="00B00F53">
        <w:rPr>
          <w:rFonts w:hint="cs"/>
          <w:rtl/>
        </w:rPr>
        <w:t>).</w:t>
      </w:r>
      <w:r>
        <w:rPr>
          <w:rFonts w:hint="cs"/>
          <w:rtl/>
        </w:rPr>
        <w:t xml:space="preserve"> לעומת זאת,</w:t>
      </w:r>
      <w:r w:rsidRPr="00B00F53">
        <w:rPr>
          <w:rFonts w:hint="cs"/>
          <w:rtl/>
        </w:rPr>
        <w:t xml:space="preserve"> בישראל </w:t>
      </w:r>
      <w:r w:rsidRPr="00B00F53">
        <w:rPr>
          <w:rtl/>
        </w:rPr>
        <w:t>–</w:t>
      </w:r>
      <w:r w:rsidRPr="00B00F53">
        <w:rPr>
          <w:rFonts w:hint="cs"/>
          <w:rtl/>
        </w:rPr>
        <w:t xml:space="preserve"> שבה הממשלה מרכזת בידה כוח חסר תקדים במונחים השוואתיים</w:t>
      </w:r>
      <w:r>
        <w:rPr>
          <w:rFonts w:hint="cs"/>
          <w:rtl/>
        </w:rPr>
        <w:t xml:space="preserve"> </w:t>
      </w:r>
      <w:r>
        <w:rPr>
          <w:rtl/>
        </w:rPr>
        <w:t>–</w:t>
      </w:r>
      <w:r w:rsidRPr="00B00F53">
        <w:rPr>
          <w:rFonts w:hint="cs"/>
          <w:rtl/>
        </w:rPr>
        <w:t xml:space="preserve"> </w:t>
      </w:r>
      <w:r>
        <w:rPr>
          <w:rFonts w:hint="cs"/>
          <w:rtl/>
        </w:rPr>
        <w:t xml:space="preserve">בחרה </w:t>
      </w:r>
      <w:r>
        <w:rPr>
          <w:rFonts w:hint="cs"/>
          <w:rtl/>
        </w:rPr>
        <w:lastRenderedPageBreak/>
        <w:t>הרשות המכוננת לחסום באופן גורף, קיצוני וחריג</w:t>
      </w:r>
      <w:r w:rsidRPr="00B00F53">
        <w:rPr>
          <w:rFonts w:hint="cs"/>
          <w:rtl/>
        </w:rPr>
        <w:t xml:space="preserve"> </w:t>
      </w:r>
      <w:r>
        <w:rPr>
          <w:rFonts w:hint="cs"/>
          <w:rtl/>
        </w:rPr>
        <w:t xml:space="preserve">את </w:t>
      </w:r>
      <w:r w:rsidRPr="00B00F53">
        <w:rPr>
          <w:rFonts w:hint="cs"/>
          <w:rtl/>
        </w:rPr>
        <w:t xml:space="preserve">האפשרות לבחון את סבירות </w:t>
      </w:r>
      <w:r>
        <w:rPr>
          <w:rFonts w:hint="cs"/>
          <w:rtl/>
        </w:rPr>
        <w:t>החלטות הממשלה, ראש הממשלה והשרים</w:t>
      </w:r>
      <w:r w:rsidRPr="00B00F53">
        <w:rPr>
          <w:rFonts w:hint="cs"/>
          <w:rtl/>
        </w:rPr>
        <w:t xml:space="preserve">. </w:t>
      </w:r>
    </w:p>
    <w:p w:rsidR="00C044AE" w:rsidRPr="00B00F53" w:rsidRDefault="00C044AE" w:rsidP="00C044AE">
      <w:pPr>
        <w:pStyle w:val="Ruller4"/>
        <w:numPr>
          <w:ilvl w:val="0"/>
          <w:numId w:val="0"/>
        </w:numPr>
        <w:rPr>
          <w:rtl/>
        </w:rPr>
      </w:pPr>
    </w:p>
    <w:p w:rsidR="00C044AE" w:rsidRPr="00B00F53" w:rsidRDefault="00C044AE" w:rsidP="00C044AE">
      <w:pPr>
        <w:pStyle w:val="Ruller4"/>
      </w:pPr>
      <w:r w:rsidRPr="00B00F53">
        <w:rPr>
          <w:rFonts w:hint="cs"/>
          <w:rtl/>
        </w:rPr>
        <w:t>המשמעות המיידית של התיקון</w:t>
      </w:r>
      <w:r>
        <w:rPr>
          <w:rFonts w:hint="cs"/>
          <w:rtl/>
        </w:rPr>
        <w:t xml:space="preserve"> </w:t>
      </w:r>
      <w:r>
        <w:rPr>
          <w:rtl/>
        </w:rPr>
        <w:t>–</w:t>
      </w:r>
      <w:r w:rsidRPr="00B00F53">
        <w:rPr>
          <w:rFonts w:hint="cs"/>
          <w:rtl/>
        </w:rPr>
        <w:t xml:space="preserve"> </w:t>
      </w:r>
      <w:r>
        <w:rPr>
          <w:rFonts w:hint="cs"/>
          <w:rtl/>
        </w:rPr>
        <w:t>ה</w:t>
      </w:r>
      <w:r w:rsidRPr="00B00F53">
        <w:rPr>
          <w:rFonts w:hint="cs"/>
          <w:rtl/>
        </w:rPr>
        <w:t>שולל לחלוטין מן הפרט כל אפשרות להעל</w:t>
      </w:r>
      <w:r>
        <w:rPr>
          <w:rFonts w:hint="cs"/>
          <w:rtl/>
        </w:rPr>
        <w:t>ו</w:t>
      </w:r>
      <w:r w:rsidRPr="00B00F53">
        <w:rPr>
          <w:rFonts w:hint="cs"/>
          <w:rtl/>
        </w:rPr>
        <w:t xml:space="preserve">ת טענות בעניין סבירות החלטות הממשלה ושריה </w:t>
      </w:r>
      <w:r>
        <w:rPr>
          <w:rFonts w:hint="cs"/>
          <w:rtl/>
        </w:rPr>
        <w:t>ו</w:t>
      </w:r>
      <w:r w:rsidRPr="00B00F53">
        <w:rPr>
          <w:rFonts w:hint="cs"/>
          <w:rtl/>
        </w:rPr>
        <w:t>את האפשרות לקבל סעד מכוח טענות אלה</w:t>
      </w:r>
      <w:r>
        <w:rPr>
          <w:rFonts w:hint="cs"/>
          <w:rtl/>
        </w:rPr>
        <w:t xml:space="preserve"> </w:t>
      </w:r>
      <w:r>
        <w:rPr>
          <w:rtl/>
        </w:rPr>
        <w:t>–</w:t>
      </w:r>
      <w:r w:rsidRPr="00B00F53">
        <w:rPr>
          <w:rFonts w:hint="cs"/>
          <w:rtl/>
        </w:rPr>
        <w:t xml:space="preserve"> היא פגיעה אנושה בזכות הגישה לערכאות "שקיומה הינו תנאי הכרחי וחיוני לקיומן של שאר זכויות-היסוד" (</w:t>
      </w:r>
      <w:r>
        <w:rPr>
          <w:rFonts w:hint="cs"/>
          <w:rtl/>
        </w:rPr>
        <w:t xml:space="preserve">עניין </w:t>
      </w:r>
      <w:r w:rsidRPr="00B00F53">
        <w:rPr>
          <w:rFonts w:ascii="Century" w:hAnsi="Century" w:cs="Miriam" w:hint="cs"/>
          <w:b/>
          <w:spacing w:val="0"/>
          <w:sz w:val="22"/>
          <w:szCs w:val="24"/>
          <w:rtl/>
        </w:rPr>
        <w:t>ארפל</w:t>
      </w:r>
      <w:r>
        <w:rPr>
          <w:rFonts w:hint="cs"/>
          <w:rtl/>
        </w:rPr>
        <w:t>, בעמ'</w:t>
      </w:r>
      <w:r w:rsidRPr="00B00F53">
        <w:rPr>
          <w:rFonts w:hint="cs"/>
          <w:rtl/>
        </w:rPr>
        <w:t xml:space="preserve"> 629). </w:t>
      </w:r>
    </w:p>
    <w:p w:rsidR="00C044AE" w:rsidRPr="00B00F53" w:rsidRDefault="00C044AE" w:rsidP="00C044AE">
      <w:pPr>
        <w:pStyle w:val="Ruller4"/>
        <w:numPr>
          <w:ilvl w:val="0"/>
          <w:numId w:val="0"/>
        </w:numPr>
        <w:rPr>
          <w:rtl/>
        </w:rPr>
      </w:pPr>
    </w:p>
    <w:p w:rsidR="00C044AE" w:rsidRPr="00C13A6D" w:rsidRDefault="00C044AE" w:rsidP="00C044AE">
      <w:pPr>
        <w:spacing w:line="360" w:lineRule="auto"/>
        <w:jc w:val="both"/>
        <w:rPr>
          <w:rFonts w:ascii="Garamond" w:hAnsi="Garamond" w:cs="FrankRuehl"/>
          <w:spacing w:val="10"/>
          <w:sz w:val="24"/>
          <w:szCs w:val="28"/>
          <w:rtl/>
        </w:rPr>
      </w:pPr>
      <w:r w:rsidRPr="00C13A6D">
        <w:rPr>
          <w:rFonts w:ascii="Garamond" w:hAnsi="Garamond" w:cs="FrankRuehl"/>
          <w:spacing w:val="10"/>
          <w:szCs w:val="28"/>
          <w:rtl/>
        </w:rPr>
        <w:tab/>
      </w:r>
      <w:r w:rsidRPr="00C13A6D">
        <w:rPr>
          <w:rFonts w:ascii="Garamond" w:hAnsi="Garamond" w:cs="FrankRuehl" w:hint="cs"/>
          <w:spacing w:val="10"/>
          <w:szCs w:val="28"/>
          <w:rtl/>
        </w:rPr>
        <w:t>משיבי הממשלה טוענים כי בענייננו אין כל פגיעה בזכות הגישה לערכאות, שכן זכות ז</w:t>
      </w:r>
      <w:r>
        <w:rPr>
          <w:rFonts w:ascii="Garamond" w:hAnsi="Garamond" w:cs="FrankRuehl" w:hint="cs"/>
          <w:spacing w:val="10"/>
          <w:szCs w:val="28"/>
          <w:rtl/>
        </w:rPr>
        <w:t>ו</w:t>
      </w:r>
      <w:r w:rsidRPr="00C13A6D">
        <w:rPr>
          <w:rFonts w:ascii="Garamond" w:hAnsi="Garamond" w:cs="FrankRuehl" w:hint="cs"/>
          <w:spacing w:val="10"/>
          <w:szCs w:val="28"/>
          <w:rtl/>
        </w:rPr>
        <w:t xml:space="preserve"> נוגעת לאפשרות לקבל סעד על פי הדין ובענייננו הדין עצמו השתנה (פסקה 266 לתצהיר התשובה מטעמם). טענה זו </w:t>
      </w:r>
      <w:r>
        <w:rPr>
          <w:rFonts w:ascii="Garamond" w:hAnsi="Garamond" w:cs="FrankRuehl" w:hint="cs"/>
          <w:spacing w:val="10"/>
          <w:szCs w:val="28"/>
          <w:rtl/>
        </w:rPr>
        <w:t>אין לקבל</w:t>
      </w:r>
      <w:r w:rsidRPr="00C13A6D">
        <w:rPr>
          <w:rFonts w:ascii="Garamond" w:hAnsi="Garamond" w:cs="FrankRuehl" w:hint="cs"/>
          <w:spacing w:val="10"/>
          <w:szCs w:val="28"/>
          <w:rtl/>
        </w:rPr>
        <w:t xml:space="preserve">. התיקון אומנם ביטל את </w:t>
      </w:r>
      <w:r w:rsidRPr="00C13A6D">
        <w:rPr>
          <w:rFonts w:ascii="Garamond" w:hAnsi="Garamond" w:cs="Miriam" w:hint="cs"/>
          <w:b/>
          <w:sz w:val="22"/>
          <w:rtl/>
        </w:rPr>
        <w:t>עילת הסבירות</w:t>
      </w:r>
      <w:r w:rsidRPr="00C13A6D">
        <w:rPr>
          <w:rFonts w:ascii="Garamond" w:hAnsi="Garamond" w:cs="FrankRuehl" w:hint="cs"/>
          <w:spacing w:val="10"/>
          <w:szCs w:val="28"/>
          <w:rtl/>
        </w:rPr>
        <w:t xml:space="preserve"> כעילת ביקורת שיפוטית ביחס לדרג הנבחר, אך אין בו כדי לשחרר את הממשלה וחבריה מ</w:t>
      </w:r>
      <w:r w:rsidRPr="00C13A6D">
        <w:rPr>
          <w:rFonts w:ascii="Garamond" w:hAnsi="Garamond" w:cs="Miriam" w:hint="cs"/>
          <w:b/>
          <w:sz w:val="22"/>
          <w:rtl/>
        </w:rPr>
        <w:t>חובת סבירות</w:t>
      </w:r>
      <w:r w:rsidRPr="00C13A6D">
        <w:rPr>
          <w:rFonts w:ascii="Garamond" w:hAnsi="Garamond" w:cs="FrankRuehl" w:hint="cs"/>
          <w:spacing w:val="10"/>
          <w:szCs w:val="28"/>
          <w:rtl/>
        </w:rPr>
        <w:t xml:space="preserve">. בהתאם לחובה זו </w:t>
      </w:r>
      <w:r>
        <w:rPr>
          <w:rFonts w:ascii="Garamond" w:hAnsi="Garamond" w:cs="FrankRuehl" w:hint="cs"/>
          <w:spacing w:val="10"/>
          <w:szCs w:val="28"/>
          <w:rtl/>
        </w:rPr>
        <w:t>עליהם</w:t>
      </w:r>
      <w:r w:rsidRPr="00C13A6D">
        <w:rPr>
          <w:rFonts w:ascii="Garamond" w:hAnsi="Garamond" w:cs="FrankRuehl" w:hint="cs"/>
          <w:spacing w:val="10"/>
          <w:szCs w:val="28"/>
          <w:rtl/>
        </w:rPr>
        <w:t xml:space="preserve"> להפעיל את שיקול הדעת באופן ראוי, תוך מתן משקל מ</w:t>
      </w:r>
      <w:r>
        <w:rPr>
          <w:rFonts w:ascii="Garamond" w:hAnsi="Garamond" w:cs="FrankRuehl" w:hint="cs"/>
          <w:spacing w:val="10"/>
          <w:szCs w:val="28"/>
          <w:rtl/>
        </w:rPr>
        <w:t>תאים למכלול השיקולים הרלוונטיים. זאת,</w:t>
      </w:r>
      <w:r w:rsidRPr="00C13A6D">
        <w:rPr>
          <w:rFonts w:ascii="Garamond" w:hAnsi="Garamond" w:cs="FrankRuehl" w:hint="cs"/>
          <w:spacing w:val="10"/>
          <w:szCs w:val="28"/>
          <w:rtl/>
        </w:rPr>
        <w:t xml:space="preserve"> </w:t>
      </w:r>
      <w:r>
        <w:rPr>
          <w:rFonts w:ascii="Garamond" w:hAnsi="Garamond" w:cs="FrankRuehl" w:hint="cs"/>
          <w:spacing w:val="10"/>
          <w:szCs w:val="28"/>
          <w:rtl/>
        </w:rPr>
        <w:t>שכן כל</w:t>
      </w:r>
      <w:r w:rsidRPr="00C13A6D">
        <w:rPr>
          <w:rFonts w:ascii="Garamond" w:hAnsi="Garamond" w:cs="FrankRuehl" w:hint="cs"/>
          <w:spacing w:val="10"/>
          <w:szCs w:val="28"/>
          <w:rtl/>
        </w:rPr>
        <w:t xml:space="preserve"> רשות מ</w:t>
      </w:r>
      <w:r>
        <w:rPr>
          <w:rFonts w:ascii="Garamond" w:hAnsi="Garamond" w:cs="FrankRuehl" w:hint="cs"/>
          <w:spacing w:val="10"/>
          <w:szCs w:val="28"/>
          <w:rtl/>
        </w:rPr>
        <w:t>י</w:t>
      </w:r>
      <w:r w:rsidRPr="00C13A6D">
        <w:rPr>
          <w:rFonts w:ascii="Garamond" w:hAnsi="Garamond" w:cs="FrankRuehl" w:hint="cs"/>
          <w:spacing w:val="10"/>
          <w:szCs w:val="28"/>
          <w:rtl/>
        </w:rPr>
        <w:t xml:space="preserve">נהלית מפעילה את סמכויותיה כנאמנה של הציבור (ראו: עניין </w:t>
      </w:r>
      <w:r w:rsidRPr="00C13A6D">
        <w:rPr>
          <w:rFonts w:ascii="Century" w:hAnsi="Century" w:cs="Miriam" w:hint="cs"/>
          <w:b/>
          <w:sz w:val="22"/>
          <w:rtl/>
        </w:rPr>
        <w:t>אייזנברג</w:t>
      </w:r>
      <w:r w:rsidRPr="00C13A6D">
        <w:rPr>
          <w:rFonts w:ascii="Garamond" w:hAnsi="Garamond" w:cs="FrankRuehl" w:hint="cs"/>
          <w:spacing w:val="10"/>
          <w:szCs w:val="28"/>
          <w:rtl/>
        </w:rPr>
        <w:t xml:space="preserve">, בעמ' 259-258; </w:t>
      </w:r>
      <w:r w:rsidRPr="00C13A6D">
        <w:rPr>
          <w:rFonts w:ascii="Garamond" w:hAnsi="Garamond" w:cs="FrankRuehl" w:hint="eastAsia"/>
          <w:spacing w:val="10"/>
          <w:sz w:val="24"/>
          <w:szCs w:val="28"/>
          <w:rtl/>
        </w:rPr>
        <w:t>בג</w:t>
      </w:r>
      <w:r w:rsidRPr="00C13A6D">
        <w:rPr>
          <w:rFonts w:ascii="Garamond" w:hAnsi="Garamond" w:cs="FrankRuehl" w:hint="cs"/>
          <w:spacing w:val="10"/>
          <w:sz w:val="24"/>
          <w:szCs w:val="28"/>
          <w:rtl/>
        </w:rPr>
        <w:t>"</w:t>
      </w:r>
      <w:r w:rsidRPr="00C13A6D">
        <w:rPr>
          <w:rFonts w:ascii="Garamond" w:hAnsi="Garamond" w:cs="FrankRuehl" w:hint="eastAsia"/>
          <w:spacing w:val="10"/>
          <w:sz w:val="24"/>
          <w:szCs w:val="28"/>
          <w:rtl/>
        </w:rPr>
        <w:t>ץ</w:t>
      </w:r>
      <w:r w:rsidRPr="00C13A6D">
        <w:rPr>
          <w:rFonts w:ascii="Garamond" w:hAnsi="Garamond" w:cs="FrankRuehl"/>
          <w:spacing w:val="10"/>
          <w:sz w:val="24"/>
          <w:szCs w:val="28"/>
          <w:rtl/>
        </w:rPr>
        <w:t xml:space="preserve"> 5657/09 ‏</w:t>
      </w:r>
      <w:r w:rsidRPr="00C13A6D">
        <w:rPr>
          <w:rFonts w:ascii="Century" w:hAnsi="Century" w:cs="Miriam" w:hint="eastAsia"/>
          <w:b/>
          <w:sz w:val="22"/>
          <w:rtl/>
        </w:rPr>
        <w:t>התנועה</w:t>
      </w:r>
      <w:r w:rsidRPr="00C13A6D">
        <w:rPr>
          <w:rFonts w:ascii="Century" w:hAnsi="Century" w:cs="Miriam"/>
          <w:b/>
          <w:sz w:val="22"/>
          <w:rtl/>
        </w:rPr>
        <w:t xml:space="preserve"> </w:t>
      </w:r>
      <w:r w:rsidRPr="00C13A6D">
        <w:rPr>
          <w:rFonts w:ascii="Century" w:hAnsi="Century" w:cs="Miriam" w:hint="eastAsia"/>
          <w:b/>
          <w:sz w:val="22"/>
          <w:rtl/>
        </w:rPr>
        <w:t>למען</w:t>
      </w:r>
      <w:r w:rsidRPr="00C13A6D">
        <w:rPr>
          <w:rFonts w:ascii="Century" w:hAnsi="Century" w:cs="Miriam"/>
          <w:b/>
          <w:sz w:val="22"/>
          <w:rtl/>
        </w:rPr>
        <w:t xml:space="preserve"> </w:t>
      </w:r>
      <w:r w:rsidRPr="00C13A6D">
        <w:rPr>
          <w:rFonts w:ascii="Century" w:hAnsi="Century" w:cs="Miriam" w:hint="eastAsia"/>
          <w:b/>
          <w:sz w:val="22"/>
          <w:rtl/>
        </w:rPr>
        <w:t>איכות</w:t>
      </w:r>
      <w:r w:rsidRPr="00C13A6D">
        <w:rPr>
          <w:rFonts w:ascii="Century" w:hAnsi="Century" w:cs="Miriam"/>
          <w:b/>
          <w:sz w:val="22"/>
          <w:rtl/>
        </w:rPr>
        <w:t xml:space="preserve"> </w:t>
      </w:r>
      <w:r w:rsidRPr="00C13A6D">
        <w:rPr>
          <w:rFonts w:ascii="Century" w:hAnsi="Century" w:cs="Miriam" w:hint="eastAsia"/>
          <w:b/>
          <w:sz w:val="22"/>
          <w:rtl/>
        </w:rPr>
        <w:t>השלטון</w:t>
      </w:r>
      <w:r w:rsidRPr="00C13A6D">
        <w:rPr>
          <w:rFonts w:ascii="Century" w:hAnsi="Century" w:cs="Miriam"/>
          <w:b/>
          <w:sz w:val="22"/>
          <w:rtl/>
        </w:rPr>
        <w:t xml:space="preserve"> </w:t>
      </w:r>
      <w:r w:rsidRPr="00C13A6D">
        <w:rPr>
          <w:rFonts w:ascii="Century" w:hAnsi="Century" w:cs="Miriam" w:hint="eastAsia"/>
          <w:b/>
          <w:sz w:val="22"/>
          <w:rtl/>
        </w:rPr>
        <w:t>בישראל</w:t>
      </w:r>
      <w:r w:rsidRPr="00C13A6D">
        <w:rPr>
          <w:rFonts w:ascii="Century" w:hAnsi="Century" w:cs="Miriam"/>
          <w:b/>
          <w:sz w:val="22"/>
          <w:rtl/>
        </w:rPr>
        <w:t xml:space="preserve"> </w:t>
      </w:r>
      <w:r w:rsidRPr="00C13A6D">
        <w:rPr>
          <w:rFonts w:ascii="Century" w:hAnsi="Century" w:cs="Miriam" w:hint="eastAsia"/>
          <w:b/>
          <w:sz w:val="22"/>
          <w:rtl/>
        </w:rPr>
        <w:t>נ</w:t>
      </w:r>
      <w:r w:rsidRPr="00C13A6D">
        <w:rPr>
          <w:rFonts w:ascii="Century" w:hAnsi="Century" w:cs="Miriam"/>
          <w:b/>
          <w:sz w:val="22"/>
          <w:rtl/>
        </w:rPr>
        <w:t xml:space="preserve">' </w:t>
      </w:r>
      <w:r w:rsidRPr="00C13A6D">
        <w:rPr>
          <w:rFonts w:ascii="Century" w:hAnsi="Century" w:cs="Miriam" w:hint="eastAsia"/>
          <w:b/>
          <w:sz w:val="22"/>
          <w:rtl/>
        </w:rPr>
        <w:t>ממשלת</w:t>
      </w:r>
      <w:r w:rsidRPr="00C13A6D">
        <w:rPr>
          <w:rFonts w:ascii="Century" w:hAnsi="Century" w:cs="Miriam"/>
          <w:b/>
          <w:sz w:val="22"/>
          <w:rtl/>
        </w:rPr>
        <w:t xml:space="preserve"> </w:t>
      </w:r>
      <w:r w:rsidRPr="00C13A6D">
        <w:rPr>
          <w:rFonts w:ascii="Century" w:hAnsi="Century" w:cs="Miriam" w:hint="eastAsia"/>
          <w:b/>
          <w:sz w:val="22"/>
          <w:rtl/>
        </w:rPr>
        <w:t>ישראל</w:t>
      </w:r>
      <w:r w:rsidRPr="00C13A6D">
        <w:rPr>
          <w:rFonts w:ascii="Garamond" w:hAnsi="Garamond" w:cs="FrankRuehl" w:hint="cs"/>
          <w:spacing w:val="10"/>
          <w:szCs w:val="28"/>
          <w:rtl/>
        </w:rPr>
        <w:t>, פסקה 39 (24.11.2009)</w:t>
      </w:r>
      <w:r>
        <w:rPr>
          <w:rFonts w:ascii="Garamond" w:hAnsi="Garamond" w:cs="FrankRuehl" w:hint="cs"/>
          <w:spacing w:val="10"/>
          <w:szCs w:val="28"/>
          <w:rtl/>
        </w:rPr>
        <w:t xml:space="preserve"> (להלן: </w:t>
      </w:r>
      <w:r w:rsidRPr="00443161">
        <w:rPr>
          <w:rFonts w:ascii="Century" w:hAnsi="Century" w:cs="Miriam" w:hint="cs"/>
          <w:b/>
          <w:sz w:val="22"/>
          <w:rtl/>
        </w:rPr>
        <w:t>עניין ג'רבי</w:t>
      </w:r>
      <w:r>
        <w:rPr>
          <w:rFonts w:ascii="Garamond" w:hAnsi="Garamond" w:cs="FrankRuehl" w:hint="cs"/>
          <w:spacing w:val="10"/>
          <w:szCs w:val="28"/>
          <w:rtl/>
        </w:rPr>
        <w:t>)</w:t>
      </w:r>
      <w:r w:rsidRPr="00C13A6D">
        <w:rPr>
          <w:rFonts w:ascii="Garamond" w:hAnsi="Garamond" w:cs="FrankRuehl" w:hint="cs"/>
          <w:spacing w:val="10"/>
          <w:szCs w:val="28"/>
          <w:rtl/>
        </w:rPr>
        <w:t xml:space="preserve">). במהלך הדיונים בוועדת החוקה </w:t>
      </w:r>
      <w:r>
        <w:rPr>
          <w:rFonts w:ascii="Garamond" w:hAnsi="Garamond" w:cs="FrankRuehl" w:hint="cs"/>
          <w:spacing w:val="10"/>
          <w:szCs w:val="28"/>
          <w:rtl/>
        </w:rPr>
        <w:t xml:space="preserve">אף </w:t>
      </w:r>
      <w:r w:rsidRPr="00C13A6D">
        <w:rPr>
          <w:rFonts w:ascii="Garamond" w:hAnsi="Garamond" w:cs="FrankRuehl" w:hint="cs"/>
          <w:spacing w:val="10"/>
          <w:szCs w:val="28"/>
          <w:rtl/>
        </w:rPr>
        <w:t>הבהיר יו"ר הוועדה, ח"כ רוטמן,</w:t>
      </w:r>
      <w:r>
        <w:rPr>
          <w:rFonts w:ascii="Garamond" w:hAnsi="Garamond" w:cs="FrankRuehl" w:hint="cs"/>
          <w:spacing w:val="10"/>
          <w:szCs w:val="28"/>
          <w:rtl/>
        </w:rPr>
        <w:t xml:space="preserve"> יוזם התיקון,</w:t>
      </w:r>
      <w:r w:rsidRPr="00C13A6D">
        <w:rPr>
          <w:rFonts w:ascii="Garamond" w:hAnsi="Garamond" w:cs="FrankRuehl" w:hint="cs"/>
          <w:spacing w:val="10"/>
          <w:szCs w:val="28"/>
          <w:rtl/>
        </w:rPr>
        <w:t xml:space="preserve"> כי חובה זו נותרה שרירה וקיימת ביחס לממשלה ולשרים (פרוטוקול ישיבה 121, בעמ' 35-34). עמדה </w:t>
      </w:r>
      <w:r>
        <w:rPr>
          <w:rFonts w:ascii="Garamond" w:hAnsi="Garamond" w:cs="FrankRuehl" w:hint="cs"/>
          <w:spacing w:val="10"/>
          <w:szCs w:val="28"/>
          <w:rtl/>
        </w:rPr>
        <w:t>דומה</w:t>
      </w:r>
      <w:r w:rsidRPr="00C13A6D">
        <w:rPr>
          <w:rFonts w:ascii="Garamond" w:hAnsi="Garamond" w:cs="FrankRuehl" w:hint="cs"/>
          <w:spacing w:val="10"/>
          <w:szCs w:val="28"/>
          <w:rtl/>
        </w:rPr>
        <w:t xml:space="preserve"> הוצגה בהליך שלפנינו גם </w:t>
      </w:r>
      <w:r>
        <w:rPr>
          <w:rFonts w:ascii="Garamond" w:hAnsi="Garamond" w:cs="FrankRuehl" w:hint="cs"/>
          <w:spacing w:val="10"/>
          <w:szCs w:val="28"/>
          <w:rtl/>
        </w:rPr>
        <w:t xml:space="preserve">בטיעוני </w:t>
      </w:r>
      <w:r w:rsidRPr="00C13A6D">
        <w:rPr>
          <w:rFonts w:ascii="Garamond" w:hAnsi="Garamond" w:cs="FrankRuehl" w:hint="cs"/>
          <w:spacing w:val="10"/>
          <w:szCs w:val="28"/>
          <w:rtl/>
        </w:rPr>
        <w:t>הכנסת</w:t>
      </w:r>
      <w:r w:rsidRPr="008047AC">
        <w:rPr>
          <w:rFonts w:ascii="Garamond" w:hAnsi="Garamond" w:cs="FrankRuehl" w:hint="cs"/>
          <w:spacing w:val="10"/>
          <w:szCs w:val="28"/>
          <w:rtl/>
        </w:rPr>
        <w:t xml:space="preserve"> (פסקה 301 לתצהיר התשובה מטעם הכנסת). על כן, בעוד </w:t>
      </w:r>
      <w:r>
        <w:rPr>
          <w:rFonts w:ascii="Garamond" w:hAnsi="Garamond" w:cs="FrankRuehl" w:hint="cs"/>
          <w:spacing w:val="10"/>
          <w:szCs w:val="28"/>
          <w:rtl/>
        </w:rPr>
        <w:t>ש</w:t>
      </w:r>
      <w:r w:rsidRPr="008047AC">
        <w:rPr>
          <w:rFonts w:ascii="Garamond" w:hAnsi="Garamond" w:cs="FrankRuehl" w:hint="cs"/>
          <w:spacing w:val="10"/>
          <w:szCs w:val="28"/>
          <w:rtl/>
        </w:rPr>
        <w:t>הדין החל</w:t>
      </w:r>
      <w:r w:rsidRPr="00C13A6D">
        <w:rPr>
          <w:rFonts w:ascii="Garamond" w:hAnsi="Garamond" w:cs="FrankRuehl" w:hint="cs"/>
          <w:spacing w:val="10"/>
          <w:szCs w:val="28"/>
          <w:rtl/>
        </w:rPr>
        <w:t xml:space="preserve"> בהקשר זה על הממשלה, ראש הממשלה והשרים נותר כמות שהוא </w:t>
      </w:r>
      <w:r w:rsidRPr="00C13A6D">
        <w:rPr>
          <w:rFonts w:ascii="Garamond" w:hAnsi="Garamond" w:cs="FrankRuehl"/>
          <w:spacing w:val="10"/>
          <w:szCs w:val="28"/>
          <w:rtl/>
        </w:rPr>
        <w:t>–</w:t>
      </w:r>
      <w:r w:rsidRPr="00C13A6D">
        <w:rPr>
          <w:rFonts w:ascii="Garamond" w:hAnsi="Garamond" w:cs="FrankRuehl" w:hint="cs"/>
          <w:spacing w:val="10"/>
          <w:szCs w:val="28"/>
          <w:rtl/>
        </w:rPr>
        <w:t xml:space="preserve"> מן הפרט נשלל</w:t>
      </w:r>
      <w:r>
        <w:rPr>
          <w:rFonts w:ascii="Garamond" w:hAnsi="Garamond" w:cs="FrankRuehl" w:hint="cs"/>
          <w:spacing w:val="10"/>
          <w:szCs w:val="28"/>
          <w:rtl/>
        </w:rPr>
        <w:t>ת ההגנה</w:t>
      </w:r>
      <w:r w:rsidRPr="00C13A6D">
        <w:rPr>
          <w:rFonts w:ascii="Garamond" w:hAnsi="Garamond" w:cs="FrankRuehl" w:hint="cs"/>
          <w:spacing w:val="10"/>
          <w:szCs w:val="28"/>
          <w:rtl/>
        </w:rPr>
        <w:t xml:space="preserve"> מפני כוחו של השלטון, שכן הוא לא יוכל עוד לקבל סעד בגין הפרה של הדין, אף אם מדובר בפגיעה קשה וחמורה באינטרסים חשובים שלו. </w:t>
      </w:r>
    </w:p>
    <w:p w:rsidR="00C044AE" w:rsidRPr="00B00F53" w:rsidRDefault="00C044AE" w:rsidP="00C044AE">
      <w:pPr>
        <w:pStyle w:val="Ruller4"/>
        <w:numPr>
          <w:ilvl w:val="0"/>
          <w:numId w:val="0"/>
        </w:numPr>
        <w:rPr>
          <w:rtl/>
        </w:rPr>
      </w:pPr>
    </w:p>
    <w:p w:rsidR="00C044AE" w:rsidRDefault="00C044AE" w:rsidP="00C044AE">
      <w:pPr>
        <w:pStyle w:val="Ruller4"/>
      </w:pPr>
      <w:r>
        <w:rPr>
          <w:rFonts w:hint="cs"/>
          <w:rtl/>
        </w:rPr>
        <w:t xml:space="preserve">בעניין </w:t>
      </w:r>
      <w:r w:rsidRPr="00D25FF5">
        <w:rPr>
          <w:rFonts w:ascii="Century" w:hAnsi="Century" w:cs="Miriam" w:hint="cs"/>
          <w:b/>
          <w:spacing w:val="0"/>
          <w:sz w:val="22"/>
          <w:szCs w:val="24"/>
          <w:rtl/>
        </w:rPr>
        <w:t>ארפל</w:t>
      </w:r>
      <w:r>
        <w:rPr>
          <w:rFonts w:hint="cs"/>
          <w:rtl/>
        </w:rPr>
        <w:t xml:space="preserve"> צוין כי </w:t>
      </w:r>
      <w:r w:rsidRPr="00B00F53">
        <w:rPr>
          <w:rFonts w:hint="cs"/>
          <w:rtl/>
        </w:rPr>
        <w:t xml:space="preserve">"חסימת הדרך לבית-משפט </w:t>
      </w:r>
      <w:r w:rsidRPr="00B00F53">
        <w:rPr>
          <w:rtl/>
        </w:rPr>
        <w:t>–</w:t>
      </w:r>
      <w:r w:rsidRPr="00B00F53">
        <w:rPr>
          <w:rFonts w:hint="cs"/>
          <w:rtl/>
        </w:rPr>
        <w:t xml:space="preserve"> בין במישרין ובין בעקיפין </w:t>
      </w:r>
      <w:r w:rsidRPr="00B00F53">
        <w:rPr>
          <w:rtl/>
        </w:rPr>
        <w:t>–</w:t>
      </w:r>
      <w:r w:rsidRPr="00B00F53">
        <w:rPr>
          <w:rFonts w:hint="cs"/>
          <w:rtl/>
        </w:rPr>
        <w:t xml:space="preserve"> ולו באורח חלקי" </w:t>
      </w:r>
      <w:r>
        <w:rPr>
          <w:rFonts w:hint="cs"/>
          <w:rtl/>
        </w:rPr>
        <w:t>פוגעת</w:t>
      </w:r>
      <w:r w:rsidRPr="00B00F53">
        <w:rPr>
          <w:rFonts w:hint="cs"/>
          <w:rtl/>
        </w:rPr>
        <w:t xml:space="preserve"> "ביסוד הדמוקרטי של המדינה" (</w:t>
      </w:r>
      <w:r w:rsidRPr="00D25FF5">
        <w:rPr>
          <w:rFonts w:ascii="Century" w:hAnsi="Century" w:cs="Miriam" w:hint="cs"/>
          <w:b/>
          <w:spacing w:val="0"/>
          <w:sz w:val="22"/>
          <w:szCs w:val="24"/>
          <w:rtl/>
        </w:rPr>
        <w:t>שם</w:t>
      </w:r>
      <w:r>
        <w:rPr>
          <w:rFonts w:hint="cs"/>
          <w:rtl/>
        </w:rPr>
        <w:t>, בעמ' 629</w:t>
      </w:r>
      <w:r w:rsidRPr="00B00F53">
        <w:rPr>
          <w:rFonts w:hint="cs"/>
          <w:rtl/>
        </w:rPr>
        <w:t xml:space="preserve">). </w:t>
      </w:r>
      <w:r>
        <w:rPr>
          <w:rFonts w:hint="cs"/>
          <w:rtl/>
        </w:rPr>
        <w:t xml:space="preserve">מסקנה זו </w:t>
      </w:r>
      <w:r w:rsidRPr="00B00F53">
        <w:rPr>
          <w:rFonts w:hint="cs"/>
          <w:rtl/>
        </w:rPr>
        <w:t>נובע</w:t>
      </w:r>
      <w:r>
        <w:rPr>
          <w:rFonts w:hint="cs"/>
          <w:rtl/>
        </w:rPr>
        <w:t>ת</w:t>
      </w:r>
      <w:r w:rsidRPr="00B00F53">
        <w:rPr>
          <w:rFonts w:hint="cs"/>
          <w:rtl/>
        </w:rPr>
        <w:t xml:space="preserve"> </w:t>
      </w:r>
      <w:r>
        <w:rPr>
          <w:rFonts w:hint="cs"/>
          <w:rtl/>
        </w:rPr>
        <w:t>מן</w:t>
      </w:r>
      <w:r w:rsidRPr="00B00F53">
        <w:rPr>
          <w:rFonts w:hint="cs"/>
          <w:rtl/>
        </w:rPr>
        <w:t xml:space="preserve"> </w:t>
      </w:r>
      <w:r>
        <w:rPr>
          <w:rFonts w:hint="cs"/>
          <w:rtl/>
        </w:rPr>
        <w:t>ה</w:t>
      </w:r>
      <w:r w:rsidRPr="00B00F53">
        <w:rPr>
          <w:rFonts w:hint="cs"/>
          <w:rtl/>
        </w:rPr>
        <w:t xml:space="preserve">תכלית העומדת </w:t>
      </w:r>
      <w:r>
        <w:rPr>
          <w:rFonts w:hint="cs"/>
          <w:rtl/>
        </w:rPr>
        <w:t xml:space="preserve">לכתחילה </w:t>
      </w:r>
      <w:r w:rsidRPr="00B00F53">
        <w:rPr>
          <w:rFonts w:hint="cs"/>
          <w:rtl/>
        </w:rPr>
        <w:t>בבסיס עקרון הפרדת הרשויות</w:t>
      </w:r>
      <w:r>
        <w:rPr>
          <w:rFonts w:hint="cs"/>
          <w:rtl/>
        </w:rPr>
        <w:t xml:space="preserve"> </w:t>
      </w:r>
      <w:r w:rsidRPr="00B00F53">
        <w:rPr>
          <w:rtl/>
        </w:rPr>
        <w:t>–</w:t>
      </w:r>
      <w:r w:rsidRPr="00B00F53">
        <w:rPr>
          <w:rFonts w:hint="cs"/>
          <w:rtl/>
        </w:rPr>
        <w:t xml:space="preserve"> מניעת צבירת כוח רב בידי השלטון </w:t>
      </w:r>
      <w:r>
        <w:rPr>
          <w:rFonts w:hint="cs"/>
          <w:rtl/>
        </w:rPr>
        <w:t xml:space="preserve">ומניעת </w:t>
      </w:r>
      <w:r w:rsidRPr="00B00F53">
        <w:rPr>
          <w:rFonts w:hint="cs"/>
          <w:rtl/>
        </w:rPr>
        <w:t>האיום שייווצר כתוצאה מכך על הפרטים במדינה. התיקון נושא העתירות</w:t>
      </w:r>
      <w:r>
        <w:rPr>
          <w:rFonts w:hint="cs"/>
          <w:rtl/>
        </w:rPr>
        <w:t xml:space="preserve"> וביטול עילת הסבירות בכל הנוגע לדרג הנבחר, שומט מידי בית המשפט כלי פיקוח מרכזי</w:t>
      </w:r>
      <w:r w:rsidRPr="00B00F53">
        <w:rPr>
          <w:rFonts w:hint="cs"/>
          <w:rtl/>
        </w:rPr>
        <w:t xml:space="preserve"> </w:t>
      </w:r>
      <w:r>
        <w:rPr>
          <w:rFonts w:hint="cs"/>
          <w:rtl/>
        </w:rPr>
        <w:t xml:space="preserve">ומקנה </w:t>
      </w:r>
      <w:r w:rsidRPr="00B00F53">
        <w:rPr>
          <w:rFonts w:hint="cs"/>
          <w:rtl/>
        </w:rPr>
        <w:t xml:space="preserve">כוח </w:t>
      </w:r>
      <w:r>
        <w:rPr>
          <w:rFonts w:hint="cs"/>
          <w:rtl/>
        </w:rPr>
        <w:t xml:space="preserve">שלטוני </w:t>
      </w:r>
      <w:r w:rsidRPr="00B00F53">
        <w:rPr>
          <w:rFonts w:hint="cs"/>
          <w:rtl/>
        </w:rPr>
        <w:t xml:space="preserve">משמעותי נוסף </w:t>
      </w:r>
      <w:r>
        <w:rPr>
          <w:rFonts w:hint="cs"/>
          <w:rtl/>
        </w:rPr>
        <w:t xml:space="preserve">ובלתי מוגבל </w:t>
      </w:r>
      <w:r w:rsidRPr="00B00F53">
        <w:rPr>
          <w:rFonts w:hint="cs"/>
          <w:rtl/>
        </w:rPr>
        <w:t>בידי הממשלה, המחזיקה ממילא בכוח חסר תקדים</w:t>
      </w:r>
      <w:r>
        <w:rPr>
          <w:rFonts w:hint="cs"/>
          <w:rtl/>
        </w:rPr>
        <w:t>.</w:t>
      </w:r>
    </w:p>
    <w:p w:rsidR="00C044AE" w:rsidRDefault="00C044AE" w:rsidP="00C044AE">
      <w:pPr>
        <w:pStyle w:val="Ruller4"/>
        <w:numPr>
          <w:ilvl w:val="0"/>
          <w:numId w:val="0"/>
        </w:numPr>
        <w:rPr>
          <w:rtl/>
        </w:rPr>
      </w:pPr>
    </w:p>
    <w:p w:rsidR="00C044AE" w:rsidRDefault="00C044AE" w:rsidP="00C044AE">
      <w:pPr>
        <w:pStyle w:val="Ruller41"/>
        <w:rPr>
          <w:rtl/>
        </w:rPr>
      </w:pPr>
      <w:r>
        <w:rPr>
          <w:rtl/>
        </w:rPr>
        <w:lastRenderedPageBreak/>
        <w:tab/>
      </w:r>
      <w:r w:rsidRPr="00B00F53">
        <w:rPr>
          <w:rFonts w:hint="cs"/>
          <w:rtl/>
        </w:rPr>
        <w:t xml:space="preserve">לפיכך, </w:t>
      </w:r>
      <w:r>
        <w:rPr>
          <w:rFonts w:hint="cs"/>
          <w:rtl/>
        </w:rPr>
        <w:t xml:space="preserve">אין מנוס מן המסקנה כי </w:t>
      </w:r>
      <w:r w:rsidRPr="00B00F53">
        <w:rPr>
          <w:rFonts w:hint="cs"/>
          <w:rtl/>
        </w:rPr>
        <w:t>התיקון פוגע פגיעה חמורה וקשה ביותר בעקרון הפרדת הרשויות, שהוא אחד המאפיינים הגרעיניים של מדינת ישראל כמדינה דמוקרטי</w:t>
      </w:r>
      <w:r>
        <w:rPr>
          <w:rFonts w:hint="cs"/>
          <w:rtl/>
        </w:rPr>
        <w:t>ת</w:t>
      </w:r>
      <w:r w:rsidRPr="00B00F53">
        <w:rPr>
          <w:rFonts w:hint="cs"/>
          <w:rtl/>
        </w:rPr>
        <w:t>.</w:t>
      </w:r>
    </w:p>
    <w:p w:rsidR="00C044AE" w:rsidRPr="000847CB" w:rsidRDefault="00C044AE" w:rsidP="00C044AE">
      <w:pPr>
        <w:pStyle w:val="Ruller41"/>
        <w:rPr>
          <w:rtl/>
        </w:rPr>
      </w:pPr>
    </w:p>
    <w:p w:rsidR="00C044AE" w:rsidRPr="008A38D2" w:rsidRDefault="00C044AE" w:rsidP="00C044AE">
      <w:pPr>
        <w:pStyle w:val="Ruller41"/>
        <w:ind w:left="360"/>
        <w:outlineLvl w:val="2"/>
        <w:rPr>
          <w:rFonts w:ascii="Century" w:hAnsi="Century" w:cs="Miriam"/>
          <w:b/>
          <w:spacing w:val="0"/>
          <w:szCs w:val="24"/>
          <w:rtl/>
        </w:rPr>
      </w:pPr>
      <w:r w:rsidRPr="008A38D2">
        <w:rPr>
          <w:rFonts w:ascii="Century" w:hAnsi="Century" w:cs="Miriam" w:hint="cs"/>
          <w:b/>
          <w:spacing w:val="0"/>
          <w:szCs w:val="24"/>
          <w:rtl/>
        </w:rPr>
        <w:t>ד.4</w:t>
      </w:r>
      <w:r>
        <w:rPr>
          <w:rFonts w:ascii="Century" w:hAnsi="Century" w:cs="Miriam" w:hint="cs"/>
          <w:b/>
          <w:spacing w:val="0"/>
          <w:szCs w:val="24"/>
          <w:rtl/>
        </w:rPr>
        <w:t>.</w:t>
      </w:r>
      <w:r w:rsidRPr="008A38D2">
        <w:rPr>
          <w:rFonts w:ascii="Century" w:hAnsi="Century" w:cs="Miriam" w:hint="cs"/>
          <w:b/>
          <w:spacing w:val="0"/>
          <w:szCs w:val="24"/>
          <w:rtl/>
        </w:rPr>
        <w:t xml:space="preserve"> הפגיעה בשלטון החוק</w:t>
      </w:r>
    </w:p>
    <w:p w:rsidR="00C044AE" w:rsidRDefault="00C044AE" w:rsidP="00C044AE">
      <w:pPr>
        <w:pStyle w:val="Ruller41"/>
        <w:rPr>
          <w:rFonts w:ascii="Garamond" w:hAnsi="Garamond"/>
          <w:rtl/>
        </w:rPr>
      </w:pPr>
    </w:p>
    <w:p w:rsidR="00C044AE" w:rsidRDefault="00C044AE" w:rsidP="00C044AE">
      <w:pPr>
        <w:pStyle w:val="Ruller4"/>
      </w:pPr>
      <w:r>
        <w:rPr>
          <w:rFonts w:hint="cs"/>
          <w:rtl/>
        </w:rPr>
        <w:t xml:space="preserve">משמעותו הבסיסית של </w:t>
      </w:r>
      <w:r w:rsidRPr="002D29A9">
        <w:rPr>
          <w:rFonts w:hint="cs"/>
          <w:rtl/>
        </w:rPr>
        <w:t>עקרון שלטון החוק במדינה דמוקרטית היא ש"אין איש או גוף שהוא מעל למשפט" (</w:t>
      </w:r>
      <w:r w:rsidRPr="002D29A9">
        <w:rPr>
          <w:rFonts w:hint="eastAsia"/>
          <w:rtl/>
        </w:rPr>
        <w:t>בג</w:t>
      </w:r>
      <w:r w:rsidRPr="002D29A9">
        <w:rPr>
          <w:rtl/>
        </w:rPr>
        <w:t>"</w:t>
      </w:r>
      <w:r w:rsidRPr="002D29A9">
        <w:rPr>
          <w:rFonts w:hint="eastAsia"/>
          <w:rtl/>
        </w:rPr>
        <w:t>ץ</w:t>
      </w:r>
      <w:r w:rsidRPr="002D29A9">
        <w:rPr>
          <w:rtl/>
        </w:rPr>
        <w:t xml:space="preserve"> 1843</w:t>
      </w:r>
      <w:r w:rsidRPr="002D29A9">
        <w:rPr>
          <w:rFonts w:hint="cs"/>
          <w:rtl/>
        </w:rPr>
        <w:t>/</w:t>
      </w:r>
      <w:r w:rsidRPr="002D29A9">
        <w:rPr>
          <w:rtl/>
        </w:rPr>
        <w:t xml:space="preserve">93 </w:t>
      </w:r>
      <w:r w:rsidRPr="002D29A9">
        <w:rPr>
          <w:rFonts w:ascii="Century" w:hAnsi="Century" w:cs="Miriam" w:hint="eastAsia"/>
          <w:b/>
          <w:spacing w:val="0"/>
          <w:sz w:val="22"/>
          <w:szCs w:val="24"/>
          <w:rtl/>
        </w:rPr>
        <w:t>פנחסי</w:t>
      </w:r>
      <w:r w:rsidRPr="002D29A9">
        <w:rPr>
          <w:rFonts w:ascii="Century" w:hAnsi="Century" w:cs="Miriam"/>
          <w:b/>
          <w:spacing w:val="0"/>
          <w:sz w:val="22"/>
          <w:szCs w:val="24"/>
          <w:rtl/>
        </w:rPr>
        <w:t xml:space="preserve"> </w:t>
      </w:r>
      <w:r w:rsidRPr="002D29A9">
        <w:rPr>
          <w:rFonts w:ascii="Century" w:hAnsi="Century" w:cs="Miriam" w:hint="eastAsia"/>
          <w:b/>
          <w:spacing w:val="0"/>
          <w:sz w:val="22"/>
          <w:szCs w:val="24"/>
          <w:rtl/>
        </w:rPr>
        <w:t>נ</w:t>
      </w:r>
      <w:r w:rsidRPr="002D29A9">
        <w:rPr>
          <w:rFonts w:ascii="Century" w:hAnsi="Century" w:cs="Miriam"/>
          <w:b/>
          <w:spacing w:val="0"/>
          <w:sz w:val="22"/>
          <w:szCs w:val="24"/>
          <w:rtl/>
        </w:rPr>
        <w:t xml:space="preserve">' </w:t>
      </w:r>
      <w:r w:rsidRPr="002D29A9">
        <w:rPr>
          <w:rFonts w:ascii="Century" w:hAnsi="Century" w:cs="Miriam" w:hint="eastAsia"/>
          <w:b/>
          <w:spacing w:val="0"/>
          <w:sz w:val="22"/>
          <w:szCs w:val="24"/>
          <w:rtl/>
        </w:rPr>
        <w:t>כנסת</w:t>
      </w:r>
      <w:r w:rsidRPr="002D29A9">
        <w:rPr>
          <w:rFonts w:ascii="Century" w:hAnsi="Century" w:cs="Miriam"/>
          <w:b/>
          <w:spacing w:val="0"/>
          <w:sz w:val="22"/>
          <w:szCs w:val="24"/>
          <w:rtl/>
        </w:rPr>
        <w:t xml:space="preserve"> </w:t>
      </w:r>
      <w:r w:rsidRPr="002D29A9">
        <w:rPr>
          <w:rFonts w:ascii="Century" w:hAnsi="Century" w:cs="Miriam" w:hint="eastAsia"/>
          <w:b/>
          <w:spacing w:val="0"/>
          <w:sz w:val="22"/>
          <w:szCs w:val="24"/>
          <w:rtl/>
        </w:rPr>
        <w:t>ישראל</w:t>
      </w:r>
      <w:r w:rsidRPr="002D29A9">
        <w:rPr>
          <w:rtl/>
        </w:rPr>
        <w:t>,</w:t>
      </w:r>
      <w:r w:rsidRPr="002D29A9">
        <w:rPr>
          <w:rFonts w:hint="cs"/>
          <w:rtl/>
        </w:rPr>
        <w:t xml:space="preserve"> פ"ד</w:t>
      </w:r>
      <w:r w:rsidRPr="002D29A9">
        <w:rPr>
          <w:rtl/>
        </w:rPr>
        <w:t xml:space="preserve"> </w:t>
      </w:r>
      <w:r w:rsidRPr="002D29A9">
        <w:rPr>
          <w:rFonts w:hint="eastAsia"/>
          <w:rtl/>
        </w:rPr>
        <w:t>מט</w:t>
      </w:r>
      <w:r w:rsidRPr="002D29A9">
        <w:rPr>
          <w:rtl/>
        </w:rPr>
        <w:t>(1) 661</w:t>
      </w:r>
      <w:r w:rsidRPr="002D29A9">
        <w:rPr>
          <w:rFonts w:hint="cs"/>
          <w:rtl/>
        </w:rPr>
        <w:t>, 682 (1995)).</w:t>
      </w:r>
      <w:r>
        <w:rPr>
          <w:rFonts w:hint="cs"/>
          <w:rtl/>
        </w:rPr>
        <w:t xml:space="preserve"> </w:t>
      </w:r>
      <w:r w:rsidRPr="003325D9">
        <w:rPr>
          <w:rFonts w:hint="cs"/>
          <w:rtl/>
        </w:rPr>
        <w:t xml:space="preserve">עקרון זה אינו חל רק על הפרטים במדינה: "[...] כל הרשויות השלטוניות, לרבות הממשלה עצמה, כפופות לחוק. אין רשות שהיא מעל </w:t>
      </w:r>
      <w:r>
        <w:rPr>
          <w:rFonts w:hint="cs"/>
          <w:rtl/>
        </w:rPr>
        <w:t>ל</w:t>
      </w:r>
      <w:r w:rsidRPr="003325D9">
        <w:rPr>
          <w:rFonts w:hint="cs"/>
          <w:rtl/>
        </w:rPr>
        <w:t xml:space="preserve">חוק" (עניין </w:t>
      </w:r>
      <w:r w:rsidRPr="003325D9">
        <w:rPr>
          <w:rFonts w:ascii="Century" w:hAnsi="Century" w:cs="Miriam" w:hint="cs"/>
          <w:b/>
          <w:spacing w:val="0"/>
          <w:sz w:val="22"/>
          <w:szCs w:val="24"/>
          <w:rtl/>
        </w:rPr>
        <w:t>אייזנברג</w:t>
      </w:r>
      <w:r w:rsidRPr="003325D9">
        <w:rPr>
          <w:rFonts w:hint="cs"/>
          <w:rtl/>
        </w:rPr>
        <w:t xml:space="preserve">, בעמ' 274). </w:t>
      </w:r>
      <w:r>
        <w:rPr>
          <w:rFonts w:hint="cs"/>
          <w:rtl/>
        </w:rPr>
        <w:t xml:space="preserve">הביקורת השיפוטית על מעשי המינהל משמשת משכבר הימים כלי מרכזי ביותר בהגנה על שלטון החוק, וההבטחה כי השלטון פועל </w:t>
      </w:r>
      <w:r w:rsidRPr="00DB4D01">
        <w:rPr>
          <w:rFonts w:ascii="Century" w:hAnsi="Century" w:cs="Miriam" w:hint="cs"/>
          <w:b/>
          <w:spacing w:val="0"/>
          <w:sz w:val="22"/>
          <w:szCs w:val="24"/>
          <w:rtl/>
        </w:rPr>
        <w:t>כדין</w:t>
      </w:r>
      <w:r w:rsidRPr="00DB4D01">
        <w:rPr>
          <w:rFonts w:hint="cs"/>
          <w:rtl/>
        </w:rPr>
        <w:t xml:space="preserve"> </w:t>
      </w:r>
      <w:r>
        <w:rPr>
          <w:rFonts w:hint="cs"/>
          <w:rtl/>
        </w:rPr>
        <w:t>מצויה בליבת תפקידו של בית המשפט בחברה דמוקרטית (</w:t>
      </w:r>
      <w:r w:rsidRPr="005522D6">
        <w:rPr>
          <w:rFonts w:hint="cs"/>
          <w:rtl/>
        </w:rPr>
        <w:t xml:space="preserve">ראו: </w:t>
      </w:r>
      <w:r w:rsidRPr="005522D6">
        <w:rPr>
          <w:rFonts w:ascii="Century" w:hAnsi="Century" w:hint="cs"/>
          <w:sz w:val="22"/>
          <w:rtl/>
        </w:rPr>
        <w:t>עניין</w:t>
      </w:r>
      <w:r w:rsidRPr="005522D6">
        <w:rPr>
          <w:rFonts w:ascii="Century" w:hAnsi="Century" w:cs="Miriam" w:hint="cs"/>
          <w:b/>
          <w:spacing w:val="0"/>
          <w:sz w:val="22"/>
          <w:szCs w:val="24"/>
          <w:rtl/>
        </w:rPr>
        <w:t xml:space="preserve"> רסלר</w:t>
      </w:r>
      <w:r w:rsidRPr="005522D6">
        <w:rPr>
          <w:rFonts w:ascii="Century" w:hAnsi="Century" w:hint="cs"/>
          <w:sz w:val="22"/>
          <w:rtl/>
        </w:rPr>
        <w:t xml:space="preserve">, בעמ' 462; </w:t>
      </w:r>
      <w:r w:rsidRPr="005522D6">
        <w:rPr>
          <w:rFonts w:ascii="Century" w:hAnsi="Century" w:cs="Miriam" w:hint="cs"/>
          <w:b/>
          <w:spacing w:val="0"/>
          <w:sz w:val="22"/>
          <w:szCs w:val="24"/>
          <w:rtl/>
        </w:rPr>
        <w:t>דותן "ביקורת שיפוטית"</w:t>
      </w:r>
      <w:r w:rsidRPr="005522D6">
        <w:rPr>
          <w:rFonts w:hint="cs"/>
          <w:rtl/>
        </w:rPr>
        <w:t xml:space="preserve">, בעמ' 70; </w:t>
      </w:r>
      <w:r w:rsidRPr="005522D6">
        <w:rPr>
          <w:rFonts w:ascii="Century" w:hAnsi="Century" w:cs="Miriam" w:hint="cs"/>
          <w:b/>
          <w:spacing w:val="0"/>
          <w:sz w:val="22"/>
          <w:szCs w:val="24"/>
          <w:rtl/>
        </w:rPr>
        <w:t>רובינשטיין ומדינה,</w:t>
      </w:r>
      <w:r w:rsidRPr="005522D6">
        <w:rPr>
          <w:rFonts w:hint="cs"/>
          <w:rtl/>
        </w:rPr>
        <w:t xml:space="preserve"> בעמ' 174).</w:t>
      </w:r>
      <w:r>
        <w:rPr>
          <w:rFonts w:hint="cs"/>
          <w:rtl/>
        </w:rPr>
        <w:t xml:space="preserve"> </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 xml:space="preserve">הדין משמעו </w:t>
      </w:r>
      <w:r>
        <w:rPr>
          <w:rtl/>
        </w:rPr>
        <w:t>–</w:t>
      </w:r>
      <w:r>
        <w:rPr>
          <w:rFonts w:hint="cs"/>
          <w:rtl/>
        </w:rPr>
        <w:t xml:space="preserve"> הדין החקוק והדין הפסוק, ובכללו המשפט המינהלי כפי שעוצב לאורך השנים בפסיקה </w:t>
      </w:r>
      <w:r w:rsidRPr="00381282">
        <w:rPr>
          <w:rFonts w:hint="cs"/>
          <w:rtl/>
        </w:rPr>
        <w:t>(</w:t>
      </w:r>
      <w:r w:rsidRPr="00381282">
        <w:rPr>
          <w:rFonts w:hint="eastAsia"/>
          <w:rtl/>
        </w:rPr>
        <w:t>עע</w:t>
      </w:r>
      <w:r w:rsidRPr="00381282">
        <w:rPr>
          <w:rtl/>
        </w:rPr>
        <w:t>"</w:t>
      </w:r>
      <w:r w:rsidRPr="00381282">
        <w:rPr>
          <w:rFonts w:hint="eastAsia"/>
          <w:rtl/>
        </w:rPr>
        <w:t>ם</w:t>
      </w:r>
      <w:r w:rsidRPr="00381282">
        <w:rPr>
          <w:rtl/>
        </w:rPr>
        <w:t xml:space="preserve"> 867/11 </w:t>
      </w:r>
      <w:r w:rsidRPr="00381282">
        <w:rPr>
          <w:rFonts w:ascii="Century" w:hAnsi="Century" w:cs="Miriam" w:hint="eastAsia"/>
          <w:b/>
          <w:spacing w:val="0"/>
          <w:sz w:val="22"/>
          <w:szCs w:val="24"/>
          <w:rtl/>
        </w:rPr>
        <w:t>עיריית</w:t>
      </w:r>
      <w:r w:rsidRPr="00381282">
        <w:rPr>
          <w:rFonts w:ascii="Century" w:hAnsi="Century" w:cs="Miriam"/>
          <w:b/>
          <w:spacing w:val="0"/>
          <w:sz w:val="22"/>
          <w:szCs w:val="24"/>
          <w:rtl/>
        </w:rPr>
        <w:t xml:space="preserve"> </w:t>
      </w:r>
      <w:r w:rsidRPr="00381282">
        <w:rPr>
          <w:rFonts w:ascii="Century" w:hAnsi="Century" w:cs="Miriam" w:hint="eastAsia"/>
          <w:b/>
          <w:spacing w:val="0"/>
          <w:sz w:val="22"/>
          <w:szCs w:val="24"/>
          <w:rtl/>
        </w:rPr>
        <w:t>תל</w:t>
      </w:r>
      <w:r w:rsidRPr="00381282">
        <w:rPr>
          <w:rFonts w:ascii="Century" w:hAnsi="Century" w:cs="Miriam"/>
          <w:b/>
          <w:spacing w:val="0"/>
          <w:sz w:val="22"/>
          <w:szCs w:val="24"/>
          <w:rtl/>
        </w:rPr>
        <w:t xml:space="preserve"> </w:t>
      </w:r>
      <w:r w:rsidRPr="00381282">
        <w:rPr>
          <w:rFonts w:ascii="Century" w:hAnsi="Century" w:cs="Miriam" w:hint="eastAsia"/>
          <w:b/>
          <w:spacing w:val="0"/>
          <w:sz w:val="22"/>
          <w:szCs w:val="24"/>
          <w:rtl/>
        </w:rPr>
        <w:t>אביב</w:t>
      </w:r>
      <w:r w:rsidRPr="00381282">
        <w:rPr>
          <w:rFonts w:ascii="Century" w:hAnsi="Century" w:cs="Miriam"/>
          <w:b/>
          <w:spacing w:val="0"/>
          <w:sz w:val="22"/>
          <w:szCs w:val="24"/>
          <w:rtl/>
        </w:rPr>
        <w:t>-</w:t>
      </w:r>
      <w:r w:rsidRPr="00381282">
        <w:rPr>
          <w:rFonts w:ascii="Century" w:hAnsi="Century" w:cs="Miriam" w:hint="eastAsia"/>
          <w:b/>
          <w:spacing w:val="0"/>
          <w:sz w:val="22"/>
          <w:szCs w:val="24"/>
          <w:rtl/>
        </w:rPr>
        <w:t>יפו</w:t>
      </w:r>
      <w:r w:rsidRPr="00381282">
        <w:rPr>
          <w:rFonts w:ascii="Century" w:hAnsi="Century" w:cs="Miriam"/>
          <w:b/>
          <w:spacing w:val="0"/>
          <w:sz w:val="22"/>
          <w:szCs w:val="24"/>
          <w:rtl/>
        </w:rPr>
        <w:t xml:space="preserve"> </w:t>
      </w:r>
      <w:r w:rsidRPr="00381282">
        <w:rPr>
          <w:rFonts w:ascii="Century" w:hAnsi="Century" w:cs="Miriam" w:hint="eastAsia"/>
          <w:b/>
          <w:spacing w:val="0"/>
          <w:sz w:val="22"/>
          <w:szCs w:val="24"/>
          <w:rtl/>
        </w:rPr>
        <w:t>נ</w:t>
      </w:r>
      <w:r w:rsidRPr="00381282">
        <w:rPr>
          <w:rFonts w:ascii="Century" w:hAnsi="Century" w:cs="Miriam"/>
          <w:b/>
          <w:spacing w:val="0"/>
          <w:sz w:val="22"/>
          <w:szCs w:val="24"/>
          <w:rtl/>
        </w:rPr>
        <w:t xml:space="preserve">' </w:t>
      </w:r>
      <w:r w:rsidRPr="00381282">
        <w:rPr>
          <w:rFonts w:ascii="Century" w:hAnsi="Century" w:cs="Miriam" w:hint="eastAsia"/>
          <w:b/>
          <w:spacing w:val="0"/>
          <w:sz w:val="22"/>
          <w:szCs w:val="24"/>
          <w:rtl/>
        </w:rPr>
        <w:t>אי</w:t>
      </w:r>
      <w:r w:rsidRPr="00381282">
        <w:rPr>
          <w:rFonts w:ascii="Century" w:hAnsi="Century" w:cs="Miriam"/>
          <w:b/>
          <w:spacing w:val="0"/>
          <w:sz w:val="22"/>
          <w:szCs w:val="24"/>
          <w:rtl/>
        </w:rPr>
        <w:t>.</w:t>
      </w:r>
      <w:r w:rsidRPr="00381282">
        <w:rPr>
          <w:rFonts w:ascii="Century" w:hAnsi="Century" w:cs="Miriam" w:hint="eastAsia"/>
          <w:b/>
          <w:spacing w:val="0"/>
          <w:sz w:val="22"/>
          <w:szCs w:val="24"/>
          <w:rtl/>
        </w:rPr>
        <w:t>בי</w:t>
      </w:r>
      <w:r w:rsidRPr="00381282">
        <w:rPr>
          <w:rFonts w:ascii="Century" w:hAnsi="Century" w:cs="Miriam"/>
          <w:b/>
          <w:spacing w:val="0"/>
          <w:sz w:val="22"/>
          <w:szCs w:val="24"/>
          <w:rtl/>
        </w:rPr>
        <w:t>.</w:t>
      </w:r>
      <w:r w:rsidRPr="00381282">
        <w:rPr>
          <w:rFonts w:ascii="Century" w:hAnsi="Century" w:cs="Miriam" w:hint="eastAsia"/>
          <w:b/>
          <w:spacing w:val="0"/>
          <w:sz w:val="22"/>
          <w:szCs w:val="24"/>
          <w:rtl/>
        </w:rPr>
        <w:t>סי</w:t>
      </w:r>
      <w:r w:rsidRPr="00381282">
        <w:rPr>
          <w:rFonts w:ascii="Century" w:hAnsi="Century" w:cs="Miriam"/>
          <w:b/>
          <w:spacing w:val="0"/>
          <w:sz w:val="22"/>
          <w:szCs w:val="24"/>
          <w:rtl/>
        </w:rPr>
        <w:t xml:space="preserve"> </w:t>
      </w:r>
      <w:r w:rsidRPr="00381282">
        <w:rPr>
          <w:rFonts w:ascii="Century" w:hAnsi="Century" w:cs="Miriam" w:hint="eastAsia"/>
          <w:b/>
          <w:spacing w:val="0"/>
          <w:sz w:val="22"/>
          <w:szCs w:val="24"/>
          <w:rtl/>
        </w:rPr>
        <w:t>ניהול</w:t>
      </w:r>
      <w:r w:rsidRPr="00381282">
        <w:rPr>
          <w:rFonts w:ascii="Century" w:hAnsi="Century" w:cs="Miriam"/>
          <w:b/>
          <w:spacing w:val="0"/>
          <w:sz w:val="22"/>
          <w:szCs w:val="24"/>
          <w:rtl/>
        </w:rPr>
        <w:t xml:space="preserve"> </w:t>
      </w:r>
      <w:r w:rsidRPr="00381282">
        <w:rPr>
          <w:rFonts w:ascii="Century" w:hAnsi="Century" w:cs="Miriam" w:hint="eastAsia"/>
          <w:b/>
          <w:spacing w:val="0"/>
          <w:sz w:val="22"/>
          <w:szCs w:val="24"/>
          <w:rtl/>
        </w:rPr>
        <w:t>ואחזקה</w:t>
      </w:r>
      <w:r w:rsidRPr="00381282">
        <w:rPr>
          <w:rFonts w:ascii="Century" w:hAnsi="Century" w:cs="Miriam"/>
          <w:b/>
          <w:spacing w:val="0"/>
          <w:sz w:val="22"/>
          <w:szCs w:val="24"/>
          <w:rtl/>
        </w:rPr>
        <w:t xml:space="preserve"> </w:t>
      </w:r>
      <w:r w:rsidRPr="00381282">
        <w:rPr>
          <w:rFonts w:ascii="Century" w:hAnsi="Century" w:cs="Miriam" w:hint="eastAsia"/>
          <w:b/>
          <w:spacing w:val="0"/>
          <w:sz w:val="22"/>
          <w:szCs w:val="24"/>
          <w:rtl/>
        </w:rPr>
        <w:t>בע</w:t>
      </w:r>
      <w:r w:rsidRPr="00381282">
        <w:rPr>
          <w:rFonts w:ascii="Century" w:hAnsi="Century" w:cs="Miriam"/>
          <w:b/>
          <w:spacing w:val="0"/>
          <w:sz w:val="22"/>
          <w:szCs w:val="24"/>
          <w:rtl/>
        </w:rPr>
        <w:t>"</w:t>
      </w:r>
      <w:r w:rsidRPr="00381282">
        <w:rPr>
          <w:rFonts w:ascii="Century" w:hAnsi="Century" w:cs="Miriam" w:hint="eastAsia"/>
          <w:b/>
          <w:spacing w:val="0"/>
          <w:sz w:val="22"/>
          <w:szCs w:val="24"/>
          <w:rtl/>
        </w:rPr>
        <w:t>מ</w:t>
      </w:r>
      <w:r w:rsidRPr="00381282">
        <w:rPr>
          <w:rFonts w:ascii="Century" w:hAnsi="Century"/>
          <w:sz w:val="22"/>
          <w:rtl/>
        </w:rPr>
        <w:t>,</w:t>
      </w:r>
      <w:r w:rsidRPr="00381282">
        <w:rPr>
          <w:rFonts w:ascii="Century" w:hAnsi="Century" w:cs="Miriam"/>
          <w:b/>
          <w:spacing w:val="0"/>
          <w:sz w:val="22"/>
          <w:szCs w:val="24"/>
          <w:rtl/>
        </w:rPr>
        <w:t xml:space="preserve"> </w:t>
      </w:r>
      <w:r w:rsidRPr="00381282">
        <w:rPr>
          <w:rFonts w:hint="eastAsia"/>
          <w:rtl/>
        </w:rPr>
        <w:t>פסקה</w:t>
      </w:r>
      <w:r w:rsidRPr="00381282">
        <w:rPr>
          <w:rtl/>
        </w:rPr>
        <w:t xml:space="preserve"> </w:t>
      </w:r>
      <w:r w:rsidRPr="00381282">
        <w:rPr>
          <w:rFonts w:hint="cs"/>
          <w:rtl/>
        </w:rPr>
        <w:t xml:space="preserve">28 לחוות דעתו של השופט </w:t>
      </w:r>
      <w:r w:rsidRPr="00381282">
        <w:rPr>
          <w:rFonts w:ascii="Century" w:hAnsi="Century" w:cs="Miriam" w:hint="cs"/>
          <w:b/>
          <w:spacing w:val="0"/>
          <w:sz w:val="22"/>
          <w:szCs w:val="24"/>
          <w:rtl/>
        </w:rPr>
        <w:t>פוגלמן</w:t>
      </w:r>
      <w:r w:rsidRPr="00381282">
        <w:rPr>
          <w:rtl/>
        </w:rPr>
        <w:t xml:space="preserve"> (28.12.2014)</w:t>
      </w:r>
      <w:r w:rsidRPr="00381282">
        <w:rPr>
          <w:rFonts w:hint="cs"/>
          <w:rtl/>
        </w:rPr>
        <w:t>).</w:t>
      </w:r>
      <w:r>
        <w:rPr>
          <w:rFonts w:hint="cs"/>
          <w:rtl/>
        </w:rPr>
        <w:t xml:space="preserve"> עילת הסבירות נמנית עם כללי המשפט המינהלי ובאשר לתחולתה על כלל רשויות המינהל צוין כי:</w:t>
      </w:r>
    </w:p>
    <w:p w:rsidR="00C044AE" w:rsidRDefault="00C044AE" w:rsidP="00C044AE">
      <w:pPr>
        <w:pStyle w:val="Ruller41"/>
        <w:rPr>
          <w:rtl/>
        </w:rPr>
      </w:pPr>
    </w:p>
    <w:p w:rsidR="00C044AE" w:rsidRPr="0009665A" w:rsidRDefault="00C044AE" w:rsidP="00C044AE">
      <w:pPr>
        <w:pStyle w:val="Ruller5"/>
        <w:rPr>
          <w:rtl/>
        </w:rPr>
      </w:pPr>
      <w:r w:rsidRPr="00EB1B6F">
        <w:rPr>
          <w:rFonts w:hint="cs"/>
          <w:rtl/>
        </w:rPr>
        <w:t>"ככל החלטה של גוף מינהלי, גם החלטות הממשלה, שריה והעומד ב</w:t>
      </w:r>
      <w:r>
        <w:rPr>
          <w:rFonts w:hint="cs"/>
          <w:rtl/>
        </w:rPr>
        <w:t>ראשה נתונות לביקורת שיפוטית, על-</w:t>
      </w:r>
      <w:r w:rsidRPr="00EB1B6F">
        <w:rPr>
          <w:rFonts w:hint="cs"/>
          <w:rtl/>
        </w:rPr>
        <w:t xml:space="preserve">פי עילות המשפט המינהלי. </w:t>
      </w:r>
      <w:r>
        <w:rPr>
          <w:rFonts w:hint="cs"/>
          <w:rtl/>
        </w:rPr>
        <w:t>'שיקול-הדעת של הממשלה, כמו שיקול-</w:t>
      </w:r>
      <w:r w:rsidRPr="00EB1B6F">
        <w:rPr>
          <w:rFonts w:hint="cs"/>
          <w:rtl/>
        </w:rPr>
        <w:t xml:space="preserve">הדעת של כל </w:t>
      </w:r>
      <w:r>
        <w:rPr>
          <w:rFonts w:hint="cs"/>
          <w:rtl/>
        </w:rPr>
        <w:t xml:space="preserve">שר </w:t>
      </w:r>
      <w:r w:rsidRPr="00EB1B6F">
        <w:rPr>
          <w:rFonts w:hint="cs"/>
          <w:rtl/>
        </w:rPr>
        <w:t>בממשלה וש</w:t>
      </w:r>
      <w:r>
        <w:rPr>
          <w:rFonts w:hint="cs"/>
          <w:rtl/>
        </w:rPr>
        <w:t>ל כל רשות אחרת, מוגבל ומונחה על-ידי כללים משפטיים, ובית-</w:t>
      </w:r>
      <w:r w:rsidRPr="00EB1B6F">
        <w:rPr>
          <w:rFonts w:hint="cs"/>
          <w:rtl/>
        </w:rPr>
        <w:t>המשפט מופקד על קיום כללים אלה. בין השאר, הממש</w:t>
      </w:r>
      <w:r>
        <w:rPr>
          <w:rFonts w:hint="cs"/>
          <w:rtl/>
        </w:rPr>
        <w:t>לה חייבת להפעיל את סמכויותיה על-</w:t>
      </w:r>
      <w:r w:rsidRPr="00EB1B6F">
        <w:rPr>
          <w:rFonts w:hint="cs"/>
          <w:rtl/>
        </w:rPr>
        <w:t>פי שיקולים ענייניים, ולא על יסוד שיקולים זרים, במסגרת מיתחם הסבירות ובאופן מידתי</w:t>
      </w:r>
      <w:r>
        <w:rPr>
          <w:rFonts w:hint="cs"/>
          <w:rtl/>
        </w:rPr>
        <w:t>'</w:t>
      </w:r>
      <w:r w:rsidRPr="00EB1B6F">
        <w:rPr>
          <w:rFonts w:hint="cs"/>
          <w:rtl/>
        </w:rPr>
        <w:t xml:space="preserve"> [...] כל רשות שלטונית עלולה לקבל החלטה שאינה סבירה, או שאינה עולה בקנה אחד עם כללי המשפט המי</w:t>
      </w:r>
      <w:r>
        <w:rPr>
          <w:rFonts w:hint="cs"/>
          <w:rtl/>
        </w:rPr>
        <w:t>נהלי. הממשלה אינה חריג לכלל זה [...]" (</w:t>
      </w:r>
      <w:r w:rsidRPr="00823995">
        <w:rPr>
          <w:rFonts w:hint="cs"/>
          <w:rtl/>
        </w:rPr>
        <w:t xml:space="preserve">עניין </w:t>
      </w:r>
      <w:r w:rsidRPr="00823995">
        <w:rPr>
          <w:rFonts w:ascii="Century" w:hAnsi="Century" w:cs="Miriam" w:hint="cs"/>
          <w:b/>
          <w:spacing w:val="0"/>
          <w:szCs w:val="24"/>
          <w:rtl/>
        </w:rPr>
        <w:t>הנגבי 2003</w:t>
      </w:r>
      <w:r w:rsidRPr="00823995">
        <w:rPr>
          <w:rFonts w:hint="cs"/>
          <w:rtl/>
        </w:rPr>
        <w:t>, בעמ' 840).</w:t>
      </w:r>
      <w:r>
        <w:rPr>
          <w:rFonts w:hint="cs"/>
          <w:rtl/>
        </w:rPr>
        <w:t xml:space="preserve">  </w:t>
      </w:r>
    </w:p>
    <w:p w:rsidR="00C044AE" w:rsidRPr="00EB1B6F" w:rsidRDefault="00C044AE" w:rsidP="00C044AE">
      <w:pPr>
        <w:pStyle w:val="Ruller41"/>
        <w:rPr>
          <w:rtl/>
        </w:rPr>
      </w:pPr>
    </w:p>
    <w:p w:rsidR="00C044AE" w:rsidRDefault="00C044AE" w:rsidP="00C044AE">
      <w:pPr>
        <w:pStyle w:val="Ruller4"/>
      </w:pPr>
      <w:r>
        <w:rPr>
          <w:rFonts w:hint="cs"/>
          <w:rtl/>
        </w:rPr>
        <w:t>בחינה מעמיקה של התיקון מלמדת כי השלכותיו במישור שלטון החוק הן קשות ביותר. כאמור, התיקון לא שינה במאום מחובת הסבירות החלה על הממשלה, על ראש הממשלה ועל כל שר מן השרים, אשר מהיותם נאמני ציבור נגזרת באופן ישיר חובתם לפעול בסבירות (</w:t>
      </w:r>
      <w:r w:rsidRPr="00995733">
        <w:rPr>
          <w:rFonts w:hint="cs"/>
          <w:rtl/>
        </w:rPr>
        <w:t xml:space="preserve">עניין </w:t>
      </w:r>
      <w:r w:rsidRPr="00995733">
        <w:rPr>
          <w:rFonts w:ascii="Century" w:hAnsi="Century" w:cs="Miriam" w:hint="cs"/>
          <w:b/>
          <w:spacing w:val="0"/>
          <w:sz w:val="22"/>
          <w:szCs w:val="24"/>
          <w:rtl/>
        </w:rPr>
        <w:t>פנחסי</w:t>
      </w:r>
      <w:r w:rsidRPr="00995733">
        <w:rPr>
          <w:rFonts w:hint="cs"/>
          <w:rtl/>
        </w:rPr>
        <w:t>, בעמ' 461</w:t>
      </w:r>
      <w:r>
        <w:rPr>
          <w:rFonts w:hint="cs"/>
          <w:rtl/>
        </w:rPr>
        <w:t xml:space="preserve">). על הממשלה ועל שריה כמו על כל רשות מינהלית אחרת מוטלת על כן, החובה </w:t>
      </w:r>
      <w:r w:rsidRPr="00A2294D">
        <w:rPr>
          <w:rFonts w:hint="cs"/>
          <w:rtl/>
        </w:rPr>
        <w:t>"</w:t>
      </w:r>
      <w:r w:rsidRPr="00A2294D">
        <w:rPr>
          <w:rFonts w:hint="eastAsia"/>
          <w:rtl/>
        </w:rPr>
        <w:t>לשקול</w:t>
      </w:r>
      <w:r w:rsidRPr="00A2294D">
        <w:rPr>
          <w:rtl/>
        </w:rPr>
        <w:t xml:space="preserve"> </w:t>
      </w:r>
      <w:r w:rsidRPr="00A2294D">
        <w:rPr>
          <w:rFonts w:hint="eastAsia"/>
          <w:rtl/>
        </w:rPr>
        <w:t>את</w:t>
      </w:r>
      <w:r w:rsidRPr="00A2294D">
        <w:rPr>
          <w:rtl/>
        </w:rPr>
        <w:t xml:space="preserve"> </w:t>
      </w:r>
      <w:r w:rsidRPr="00A2294D">
        <w:rPr>
          <w:rFonts w:hint="eastAsia"/>
          <w:rtl/>
        </w:rPr>
        <w:t>מכלול</w:t>
      </w:r>
      <w:r w:rsidRPr="00A2294D">
        <w:rPr>
          <w:rtl/>
        </w:rPr>
        <w:t xml:space="preserve"> </w:t>
      </w:r>
      <w:r w:rsidRPr="00A2294D">
        <w:rPr>
          <w:rFonts w:hint="eastAsia"/>
          <w:rtl/>
        </w:rPr>
        <w:t>השיקולים</w:t>
      </w:r>
      <w:r w:rsidRPr="00A2294D">
        <w:rPr>
          <w:rtl/>
        </w:rPr>
        <w:t xml:space="preserve"> </w:t>
      </w:r>
      <w:r w:rsidRPr="00A2294D">
        <w:rPr>
          <w:rFonts w:hint="eastAsia"/>
          <w:rtl/>
        </w:rPr>
        <w:t>הרל</w:t>
      </w:r>
      <w:r>
        <w:rPr>
          <w:rFonts w:hint="cs"/>
          <w:rtl/>
        </w:rPr>
        <w:t>ב</w:t>
      </w:r>
      <w:r w:rsidRPr="00A2294D">
        <w:rPr>
          <w:rFonts w:hint="eastAsia"/>
          <w:rtl/>
        </w:rPr>
        <w:t>נטיים</w:t>
      </w:r>
      <w:r w:rsidRPr="00A2294D">
        <w:rPr>
          <w:rtl/>
        </w:rPr>
        <w:t xml:space="preserve">, </w:t>
      </w:r>
      <w:r w:rsidRPr="00A2294D">
        <w:rPr>
          <w:rFonts w:hint="eastAsia"/>
          <w:rtl/>
        </w:rPr>
        <w:lastRenderedPageBreak/>
        <w:t>ולהימנע</w:t>
      </w:r>
      <w:r w:rsidRPr="00A2294D">
        <w:rPr>
          <w:rtl/>
        </w:rPr>
        <w:t xml:space="preserve"> </w:t>
      </w:r>
      <w:r w:rsidRPr="00A2294D">
        <w:rPr>
          <w:rFonts w:hint="eastAsia"/>
          <w:rtl/>
        </w:rPr>
        <w:t>משיקולים</w:t>
      </w:r>
      <w:r w:rsidRPr="00A2294D">
        <w:rPr>
          <w:rtl/>
        </w:rPr>
        <w:t xml:space="preserve"> </w:t>
      </w:r>
      <w:r w:rsidRPr="00A2294D">
        <w:rPr>
          <w:rFonts w:hint="eastAsia"/>
          <w:rtl/>
        </w:rPr>
        <w:t>שאינם</w:t>
      </w:r>
      <w:r w:rsidRPr="00A2294D">
        <w:rPr>
          <w:rtl/>
        </w:rPr>
        <w:t xml:space="preserve"> </w:t>
      </w:r>
      <w:r w:rsidRPr="00A2294D">
        <w:rPr>
          <w:rFonts w:hint="eastAsia"/>
          <w:rtl/>
        </w:rPr>
        <w:t>ממין</w:t>
      </w:r>
      <w:r w:rsidRPr="00A2294D">
        <w:rPr>
          <w:rtl/>
        </w:rPr>
        <w:t xml:space="preserve"> </w:t>
      </w:r>
      <w:r w:rsidRPr="00A2294D">
        <w:rPr>
          <w:rFonts w:hint="eastAsia"/>
          <w:rtl/>
        </w:rPr>
        <w:t>הענין</w:t>
      </w:r>
      <w:r w:rsidRPr="00A2294D">
        <w:rPr>
          <w:rtl/>
        </w:rPr>
        <w:t xml:space="preserve">; </w:t>
      </w:r>
      <w:r w:rsidRPr="00A2294D">
        <w:rPr>
          <w:rFonts w:hint="cs"/>
          <w:rtl/>
        </w:rPr>
        <w:t xml:space="preserve">[...] </w:t>
      </w:r>
      <w:r w:rsidRPr="00A2294D">
        <w:rPr>
          <w:rFonts w:hint="eastAsia"/>
          <w:rtl/>
        </w:rPr>
        <w:t>להעניק</w:t>
      </w:r>
      <w:r w:rsidRPr="00A2294D">
        <w:rPr>
          <w:rtl/>
        </w:rPr>
        <w:t xml:space="preserve"> </w:t>
      </w:r>
      <w:r w:rsidRPr="00A2294D">
        <w:rPr>
          <w:rFonts w:hint="eastAsia"/>
          <w:rtl/>
        </w:rPr>
        <w:t>לכל</w:t>
      </w:r>
      <w:r w:rsidRPr="00A2294D">
        <w:rPr>
          <w:rtl/>
        </w:rPr>
        <w:t xml:space="preserve"> </w:t>
      </w:r>
      <w:r w:rsidRPr="00A2294D">
        <w:rPr>
          <w:rFonts w:hint="eastAsia"/>
          <w:rtl/>
        </w:rPr>
        <w:t>אחד</w:t>
      </w:r>
      <w:r w:rsidRPr="00A2294D">
        <w:rPr>
          <w:rtl/>
        </w:rPr>
        <w:t xml:space="preserve"> </w:t>
      </w:r>
      <w:r w:rsidRPr="00A2294D">
        <w:rPr>
          <w:rFonts w:hint="eastAsia"/>
          <w:rtl/>
        </w:rPr>
        <w:t>מן</w:t>
      </w:r>
      <w:r w:rsidRPr="00A2294D">
        <w:rPr>
          <w:rtl/>
        </w:rPr>
        <w:t xml:space="preserve"> </w:t>
      </w:r>
      <w:r w:rsidRPr="00A2294D">
        <w:rPr>
          <w:rFonts w:hint="eastAsia"/>
          <w:rtl/>
        </w:rPr>
        <w:t>השיקולים</w:t>
      </w:r>
      <w:r w:rsidRPr="00A2294D">
        <w:rPr>
          <w:rtl/>
        </w:rPr>
        <w:t xml:space="preserve"> </w:t>
      </w:r>
      <w:r w:rsidRPr="00A2294D">
        <w:rPr>
          <w:rFonts w:hint="eastAsia"/>
          <w:rtl/>
        </w:rPr>
        <w:t>הרל</w:t>
      </w:r>
      <w:r>
        <w:rPr>
          <w:rFonts w:hint="cs"/>
          <w:rtl/>
        </w:rPr>
        <w:t>ב</w:t>
      </w:r>
      <w:r w:rsidRPr="00A2294D">
        <w:rPr>
          <w:rFonts w:hint="eastAsia"/>
          <w:rtl/>
        </w:rPr>
        <w:t>נטיים</w:t>
      </w:r>
      <w:r w:rsidRPr="00A2294D">
        <w:rPr>
          <w:rtl/>
        </w:rPr>
        <w:t xml:space="preserve"> </w:t>
      </w:r>
      <w:r w:rsidRPr="00A2294D">
        <w:rPr>
          <w:rFonts w:hint="eastAsia"/>
          <w:rtl/>
        </w:rPr>
        <w:t>את</w:t>
      </w:r>
      <w:r w:rsidRPr="00A2294D">
        <w:rPr>
          <w:rtl/>
        </w:rPr>
        <w:t xml:space="preserve"> </w:t>
      </w:r>
      <w:r w:rsidRPr="00A2294D">
        <w:rPr>
          <w:rFonts w:hint="eastAsia"/>
          <w:rtl/>
        </w:rPr>
        <w:t>המשקל</w:t>
      </w:r>
      <w:r w:rsidRPr="00A2294D">
        <w:rPr>
          <w:rtl/>
        </w:rPr>
        <w:t xml:space="preserve"> </w:t>
      </w:r>
      <w:r w:rsidRPr="00A2294D">
        <w:rPr>
          <w:rFonts w:hint="eastAsia"/>
          <w:rtl/>
        </w:rPr>
        <w:t>הראוי</w:t>
      </w:r>
      <w:r w:rsidRPr="00A2294D">
        <w:rPr>
          <w:rtl/>
        </w:rPr>
        <w:t xml:space="preserve"> </w:t>
      </w:r>
      <w:r w:rsidRPr="00A2294D">
        <w:rPr>
          <w:rFonts w:hint="eastAsia"/>
          <w:rtl/>
        </w:rPr>
        <w:t>לו</w:t>
      </w:r>
      <w:r w:rsidRPr="00A2294D">
        <w:rPr>
          <w:rtl/>
        </w:rPr>
        <w:t xml:space="preserve"> </w:t>
      </w:r>
      <w:r w:rsidRPr="00A2294D">
        <w:rPr>
          <w:rFonts w:hint="eastAsia"/>
          <w:rtl/>
        </w:rPr>
        <w:t>בנסיבות</w:t>
      </w:r>
      <w:r w:rsidRPr="00A2294D">
        <w:rPr>
          <w:rtl/>
        </w:rPr>
        <w:t xml:space="preserve"> </w:t>
      </w:r>
      <w:r w:rsidRPr="00A2294D">
        <w:rPr>
          <w:rFonts w:hint="eastAsia"/>
          <w:rtl/>
        </w:rPr>
        <w:t>הענין</w:t>
      </w:r>
      <w:r w:rsidRPr="00A2294D">
        <w:rPr>
          <w:rtl/>
        </w:rPr>
        <w:t xml:space="preserve">, </w:t>
      </w:r>
      <w:r w:rsidRPr="00A2294D">
        <w:rPr>
          <w:rFonts w:hint="eastAsia"/>
          <w:rtl/>
        </w:rPr>
        <w:t>ולהגיע</w:t>
      </w:r>
      <w:r w:rsidRPr="00A2294D">
        <w:rPr>
          <w:rtl/>
        </w:rPr>
        <w:t xml:space="preserve"> </w:t>
      </w:r>
      <w:r w:rsidRPr="00A2294D">
        <w:rPr>
          <w:rFonts w:hint="eastAsia"/>
          <w:rtl/>
        </w:rPr>
        <w:t>בדרך</w:t>
      </w:r>
      <w:r w:rsidRPr="00A2294D">
        <w:rPr>
          <w:rtl/>
        </w:rPr>
        <w:t xml:space="preserve"> </w:t>
      </w:r>
      <w:r w:rsidRPr="00A2294D">
        <w:rPr>
          <w:rFonts w:hint="eastAsia"/>
          <w:rtl/>
        </w:rPr>
        <w:t>של</w:t>
      </w:r>
      <w:r w:rsidRPr="00A2294D">
        <w:rPr>
          <w:rtl/>
        </w:rPr>
        <w:t xml:space="preserve"> </w:t>
      </w:r>
      <w:r w:rsidRPr="00A2294D">
        <w:rPr>
          <w:rFonts w:hint="eastAsia"/>
          <w:rtl/>
        </w:rPr>
        <w:t>שיקלול</w:t>
      </w:r>
      <w:r w:rsidRPr="00A2294D">
        <w:rPr>
          <w:rtl/>
        </w:rPr>
        <w:t xml:space="preserve"> </w:t>
      </w:r>
      <w:r w:rsidRPr="00A2294D">
        <w:rPr>
          <w:rFonts w:hint="eastAsia"/>
          <w:rtl/>
        </w:rPr>
        <w:t>נאות</w:t>
      </w:r>
      <w:r w:rsidRPr="00A2294D">
        <w:rPr>
          <w:rtl/>
        </w:rPr>
        <w:t xml:space="preserve"> </w:t>
      </w:r>
      <w:r w:rsidRPr="00A2294D">
        <w:rPr>
          <w:rFonts w:hint="eastAsia"/>
          <w:rtl/>
        </w:rPr>
        <w:t>של</w:t>
      </w:r>
      <w:r w:rsidRPr="00A2294D">
        <w:rPr>
          <w:rtl/>
        </w:rPr>
        <w:t xml:space="preserve"> </w:t>
      </w:r>
      <w:r w:rsidRPr="00A2294D">
        <w:rPr>
          <w:rFonts w:hint="eastAsia"/>
          <w:rtl/>
        </w:rPr>
        <w:t>הגורמים</w:t>
      </w:r>
      <w:r w:rsidRPr="00A2294D">
        <w:rPr>
          <w:rtl/>
        </w:rPr>
        <w:t xml:space="preserve"> </w:t>
      </w:r>
      <w:r w:rsidRPr="00A2294D">
        <w:rPr>
          <w:rFonts w:hint="eastAsia"/>
          <w:rtl/>
        </w:rPr>
        <w:t>השונים</w:t>
      </w:r>
      <w:r w:rsidRPr="00A2294D">
        <w:rPr>
          <w:rtl/>
        </w:rPr>
        <w:t xml:space="preserve"> </w:t>
      </w:r>
      <w:r w:rsidRPr="00A2294D">
        <w:rPr>
          <w:rFonts w:hint="eastAsia"/>
          <w:rtl/>
        </w:rPr>
        <w:t>להחלטה</w:t>
      </w:r>
      <w:r w:rsidRPr="00A2294D">
        <w:rPr>
          <w:rtl/>
        </w:rPr>
        <w:t xml:space="preserve"> </w:t>
      </w:r>
      <w:r w:rsidRPr="00A2294D">
        <w:rPr>
          <w:rFonts w:hint="eastAsia"/>
          <w:rtl/>
        </w:rPr>
        <w:t>מאוזנת</w:t>
      </w:r>
      <w:r w:rsidRPr="00A2294D">
        <w:rPr>
          <w:rtl/>
        </w:rPr>
        <w:t xml:space="preserve">, </w:t>
      </w:r>
      <w:r w:rsidRPr="00A2294D">
        <w:rPr>
          <w:rFonts w:hint="eastAsia"/>
          <w:rtl/>
        </w:rPr>
        <w:t>שתימצא</w:t>
      </w:r>
      <w:r w:rsidRPr="00A2294D">
        <w:rPr>
          <w:rtl/>
        </w:rPr>
        <w:t xml:space="preserve"> </w:t>
      </w:r>
      <w:r w:rsidRPr="00A2294D">
        <w:rPr>
          <w:rFonts w:hint="eastAsia"/>
          <w:rtl/>
        </w:rPr>
        <w:t>במתחם</w:t>
      </w:r>
      <w:r w:rsidRPr="00A2294D">
        <w:rPr>
          <w:rtl/>
        </w:rPr>
        <w:t xml:space="preserve"> </w:t>
      </w:r>
      <w:r w:rsidRPr="00A2294D">
        <w:rPr>
          <w:rFonts w:hint="eastAsia"/>
          <w:rtl/>
        </w:rPr>
        <w:t>הסבירות</w:t>
      </w:r>
      <w:r w:rsidRPr="00A2294D">
        <w:rPr>
          <w:rFonts w:hint="cs"/>
          <w:rtl/>
        </w:rPr>
        <w:t xml:space="preserve">" (עניין </w:t>
      </w:r>
      <w:r w:rsidRPr="00A2294D">
        <w:rPr>
          <w:rFonts w:ascii="Century" w:hAnsi="Century" w:cs="Miriam" w:hint="cs"/>
          <w:b/>
          <w:spacing w:val="0"/>
          <w:sz w:val="22"/>
          <w:szCs w:val="24"/>
          <w:rtl/>
        </w:rPr>
        <w:t>ג'רבי</w:t>
      </w:r>
      <w:r w:rsidRPr="00A2294D">
        <w:rPr>
          <w:rFonts w:hint="cs"/>
          <w:rtl/>
        </w:rPr>
        <w:t>, בפסקה 39).</w:t>
      </w:r>
      <w:r>
        <w:rPr>
          <w:rFonts w:hint="cs"/>
          <w:rtl/>
        </w:rPr>
        <w:t xml:space="preserve"> </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 xml:space="preserve">עם זאת, בעקבות התיקון, חובת הסבירות נותרה בלתי אכיפה ביחס לממשלה וחבריה, וזאת בניגוד ליתר רשויות המינהל. במילים אחרות, התיקון קובע, באופן גורף, כי בית המשפט אינו מוסמך עוד לדון בסבירות החלטה כלשהי שתתקבל על ידי הממשלה או מי מחבריה וממילא אין הוא מוסמך עוד להושיט סעד באותם המקרים שבהם ההחלטה שהתקבלה הינה בלתי-סבירה. זאת בעוד שאם אותה החלטה ממש תתקבל על ידי כל גוף או בעל תפקיד אחר ברשות המבצעת </w:t>
      </w:r>
      <w:r>
        <w:rPr>
          <w:rtl/>
        </w:rPr>
        <w:t>–</w:t>
      </w:r>
      <w:r>
        <w:rPr>
          <w:rFonts w:hint="cs"/>
          <w:rtl/>
        </w:rPr>
        <w:t xml:space="preserve"> שאינו חלק מן הממשלה </w:t>
      </w:r>
      <w:r>
        <w:rPr>
          <w:rtl/>
        </w:rPr>
        <w:t>–</w:t>
      </w:r>
      <w:r>
        <w:rPr>
          <w:rFonts w:hint="cs"/>
          <w:rtl/>
        </w:rPr>
        <w:t xml:space="preserve"> הפטור לא יחול וההחלטה תהא כפופה לביקורת שיפוטית מכוח עילת הסבירות. </w:t>
      </w:r>
    </w:p>
    <w:p w:rsidR="00C044AE" w:rsidRDefault="00C044AE" w:rsidP="00C044AE">
      <w:pPr>
        <w:pStyle w:val="Ruller41"/>
        <w:rPr>
          <w:rtl/>
        </w:rPr>
      </w:pPr>
    </w:p>
    <w:p w:rsidR="00C044AE" w:rsidRDefault="00C044AE" w:rsidP="00C044AE">
      <w:pPr>
        <w:pStyle w:val="Ruller4"/>
        <w:rPr>
          <w:rtl/>
        </w:rPr>
      </w:pPr>
      <w:r>
        <w:rPr>
          <w:rFonts w:hint="cs"/>
          <w:rtl/>
        </w:rPr>
        <w:t xml:space="preserve">הפועל היוצא מהמצב המשפטי שנוצר בעקבות חקיקת התיקון הוא שביחס לדרג הנבחר </w:t>
      </w:r>
      <w:r w:rsidRPr="00A465D6">
        <w:rPr>
          <w:rFonts w:ascii="Century" w:hAnsi="Century" w:cs="Miriam" w:hint="cs"/>
          <w:b/>
          <w:spacing w:val="0"/>
          <w:sz w:val="22"/>
          <w:szCs w:val="24"/>
          <w:rtl/>
        </w:rPr>
        <w:t>קיים "דין"</w:t>
      </w:r>
      <w:r w:rsidRPr="00A465D6">
        <w:rPr>
          <w:rFonts w:hint="cs"/>
          <w:rtl/>
        </w:rPr>
        <w:t xml:space="preserve"> </w:t>
      </w:r>
      <w:r>
        <w:rPr>
          <w:rFonts w:hint="cs"/>
          <w:rtl/>
        </w:rPr>
        <w:t xml:space="preserve">(חובת הסבירות) אך </w:t>
      </w:r>
      <w:r w:rsidRPr="00A465D6">
        <w:rPr>
          <w:rFonts w:ascii="Century" w:hAnsi="Century" w:cs="Miriam" w:hint="cs"/>
          <w:b/>
          <w:spacing w:val="0"/>
          <w:sz w:val="22"/>
          <w:szCs w:val="24"/>
          <w:rtl/>
        </w:rPr>
        <w:t>אין "דיין"</w:t>
      </w:r>
      <w:r w:rsidRPr="00A465D6">
        <w:rPr>
          <w:rFonts w:hint="cs"/>
          <w:rtl/>
        </w:rPr>
        <w:t xml:space="preserve"> </w:t>
      </w:r>
      <w:r>
        <w:rPr>
          <w:rFonts w:hint="cs"/>
          <w:rtl/>
        </w:rPr>
        <w:t xml:space="preserve">שיוכל לבחון את קיום החובה, משום שהתיקון שולל את סמכותו של כל גורם המחזיק בסמכות שפיטה לשמוע טענות בעניין סבירות החלטות הממשלה וחבריה או להעניק סעד מכוח עילה זו. כך יוצא שהדרג הנבחר, המחזיק למעשה בכוח השלטוני הרב ביותר ולרשותו עומדות סמכויות רחבות היקף שעשויות לפגוע פגיעה קשה בפרטים ובאינטרס הציבורי, פטור מביקורת שיפוטית בכל הנוגע לסבירות החלטותיו וכבר נפסק כי </w:t>
      </w:r>
      <w:r w:rsidRPr="006F785F">
        <w:rPr>
          <w:rFonts w:hint="cs"/>
          <w:rtl/>
        </w:rPr>
        <w:t xml:space="preserve">"באין דיין ייעלם אף הדין עמו" (עניין </w:t>
      </w:r>
      <w:r w:rsidRPr="006F785F">
        <w:rPr>
          <w:rFonts w:ascii="Century" w:hAnsi="Century" w:cs="Miriam" w:hint="cs"/>
          <w:b/>
          <w:spacing w:val="0"/>
          <w:sz w:val="22"/>
          <w:szCs w:val="24"/>
          <w:rtl/>
        </w:rPr>
        <w:t>ארפל</w:t>
      </w:r>
      <w:r w:rsidRPr="006F785F">
        <w:rPr>
          <w:rFonts w:hint="cs"/>
          <w:rtl/>
        </w:rPr>
        <w:t>, בעמ' 629).</w:t>
      </w:r>
      <w:r>
        <w:rPr>
          <w:rFonts w:hint="cs"/>
          <w:rtl/>
        </w:rPr>
        <w:t xml:space="preserve"> מצב דברים זה יש בו משום פגיעה אנושה בעקרון שלטון החוק, ברובד הפורמאלי וברובד המהותי כאחד. כפי </w:t>
      </w:r>
      <w:r w:rsidRPr="00863C52">
        <w:rPr>
          <w:rFonts w:hint="cs"/>
          <w:rtl/>
        </w:rPr>
        <w:t xml:space="preserve">שצוין בעניין </w:t>
      </w:r>
      <w:r w:rsidRPr="00863C52">
        <w:rPr>
          <w:rFonts w:ascii="Century" w:hAnsi="Century" w:cs="Miriam" w:hint="cs"/>
          <w:b/>
          <w:spacing w:val="0"/>
          <w:sz w:val="22"/>
          <w:szCs w:val="24"/>
          <w:rtl/>
        </w:rPr>
        <w:t>אייזנברג</w:t>
      </w:r>
      <w:r w:rsidRPr="00863C52">
        <w:rPr>
          <w:rFonts w:hint="cs"/>
          <w:rtl/>
        </w:rPr>
        <w:t>:</w:t>
      </w:r>
    </w:p>
    <w:p w:rsidR="00C044AE" w:rsidRDefault="00C044AE" w:rsidP="00C044AE">
      <w:pPr>
        <w:pStyle w:val="Ruller41"/>
        <w:rPr>
          <w:rtl/>
        </w:rPr>
      </w:pPr>
    </w:p>
    <w:p w:rsidR="00C044AE" w:rsidRDefault="00C044AE" w:rsidP="00C044AE">
      <w:pPr>
        <w:pStyle w:val="Ruller5"/>
        <w:rPr>
          <w:rtl/>
        </w:rPr>
      </w:pPr>
      <w:r>
        <w:rPr>
          <w:rFonts w:hint="cs"/>
          <w:rtl/>
        </w:rPr>
        <w:t>"</w:t>
      </w:r>
      <w:r w:rsidRPr="00113F1D">
        <w:rPr>
          <w:rFonts w:hint="eastAsia"/>
          <w:rtl/>
        </w:rPr>
        <w:t>מעמדה</w:t>
      </w:r>
      <w:r w:rsidRPr="00113F1D">
        <w:rPr>
          <w:rtl/>
        </w:rPr>
        <w:t xml:space="preserve"> </w:t>
      </w:r>
      <w:r w:rsidRPr="00113F1D">
        <w:rPr>
          <w:rFonts w:hint="eastAsia"/>
          <w:rtl/>
        </w:rPr>
        <w:t>הרם</w:t>
      </w:r>
      <w:r w:rsidRPr="00113F1D">
        <w:rPr>
          <w:rtl/>
        </w:rPr>
        <w:t xml:space="preserve"> </w:t>
      </w:r>
      <w:r w:rsidRPr="00113F1D">
        <w:rPr>
          <w:rFonts w:hint="eastAsia"/>
          <w:rtl/>
        </w:rPr>
        <w:t>של</w:t>
      </w:r>
      <w:r w:rsidRPr="00113F1D">
        <w:rPr>
          <w:rtl/>
        </w:rPr>
        <w:t xml:space="preserve"> </w:t>
      </w:r>
      <w:r w:rsidRPr="00113F1D">
        <w:rPr>
          <w:rFonts w:hint="eastAsia"/>
          <w:rtl/>
        </w:rPr>
        <w:t>הממשלה</w:t>
      </w:r>
      <w:r w:rsidRPr="00113F1D">
        <w:rPr>
          <w:rtl/>
        </w:rPr>
        <w:t xml:space="preserve">, </w:t>
      </w:r>
      <w:r w:rsidRPr="00113F1D">
        <w:rPr>
          <w:rFonts w:hint="eastAsia"/>
          <w:rtl/>
        </w:rPr>
        <w:t>כרשות</w:t>
      </w:r>
      <w:r w:rsidRPr="00113F1D">
        <w:rPr>
          <w:rtl/>
        </w:rPr>
        <w:t xml:space="preserve"> </w:t>
      </w:r>
      <w:r w:rsidRPr="00113F1D">
        <w:rPr>
          <w:rFonts w:hint="eastAsia"/>
          <w:rtl/>
        </w:rPr>
        <w:t>המבצעת</w:t>
      </w:r>
      <w:r w:rsidRPr="00113F1D">
        <w:rPr>
          <w:rtl/>
        </w:rPr>
        <w:t xml:space="preserve"> </w:t>
      </w:r>
      <w:r w:rsidRPr="00113F1D">
        <w:rPr>
          <w:rFonts w:hint="eastAsia"/>
          <w:rtl/>
        </w:rPr>
        <w:t>של</w:t>
      </w:r>
      <w:r w:rsidRPr="00113F1D">
        <w:rPr>
          <w:rtl/>
        </w:rPr>
        <w:t xml:space="preserve"> </w:t>
      </w:r>
      <w:r w:rsidRPr="00113F1D">
        <w:rPr>
          <w:rFonts w:hint="eastAsia"/>
          <w:rtl/>
        </w:rPr>
        <w:t>המדינה</w:t>
      </w:r>
      <w:r>
        <w:rPr>
          <w:rFonts w:hint="cs"/>
          <w:rtl/>
        </w:rPr>
        <w:t xml:space="preserve"> (סעיף 1 לחוק-יסוד: הממשלה)</w:t>
      </w:r>
      <w:r w:rsidRPr="00113F1D">
        <w:rPr>
          <w:rtl/>
        </w:rPr>
        <w:t xml:space="preserve">, </w:t>
      </w:r>
      <w:r w:rsidRPr="00113F1D">
        <w:rPr>
          <w:rFonts w:hint="eastAsia"/>
          <w:rtl/>
        </w:rPr>
        <w:t>אין</w:t>
      </w:r>
      <w:r w:rsidRPr="00113F1D">
        <w:rPr>
          <w:rtl/>
        </w:rPr>
        <w:t xml:space="preserve"> </w:t>
      </w:r>
      <w:r w:rsidRPr="00113F1D">
        <w:rPr>
          <w:rFonts w:hint="eastAsia"/>
          <w:rtl/>
        </w:rPr>
        <w:t>בכוחו</w:t>
      </w:r>
      <w:r w:rsidRPr="00113F1D">
        <w:rPr>
          <w:rtl/>
        </w:rPr>
        <w:t xml:space="preserve"> </w:t>
      </w:r>
      <w:r w:rsidRPr="00113F1D">
        <w:rPr>
          <w:rFonts w:hint="eastAsia"/>
          <w:rtl/>
        </w:rPr>
        <w:t>להעניק</w:t>
      </w:r>
      <w:r w:rsidRPr="00113F1D">
        <w:rPr>
          <w:rtl/>
        </w:rPr>
        <w:t xml:space="preserve"> </w:t>
      </w:r>
      <w:r w:rsidRPr="00113F1D">
        <w:rPr>
          <w:rFonts w:hint="eastAsia"/>
          <w:rtl/>
        </w:rPr>
        <w:t>לה</w:t>
      </w:r>
      <w:r w:rsidRPr="00113F1D">
        <w:rPr>
          <w:rtl/>
        </w:rPr>
        <w:t xml:space="preserve"> </w:t>
      </w:r>
      <w:r w:rsidRPr="00113F1D">
        <w:rPr>
          <w:rFonts w:hint="eastAsia"/>
          <w:rtl/>
        </w:rPr>
        <w:t>כוחות</w:t>
      </w:r>
      <w:r w:rsidRPr="00113F1D">
        <w:rPr>
          <w:rtl/>
        </w:rPr>
        <w:t xml:space="preserve"> </w:t>
      </w:r>
      <w:r w:rsidRPr="00113F1D">
        <w:rPr>
          <w:rFonts w:hint="eastAsia"/>
          <w:rtl/>
        </w:rPr>
        <w:t>שהחוק</w:t>
      </w:r>
      <w:r w:rsidRPr="00113F1D">
        <w:rPr>
          <w:rtl/>
        </w:rPr>
        <w:t xml:space="preserve"> </w:t>
      </w:r>
      <w:r w:rsidRPr="00113F1D">
        <w:rPr>
          <w:rFonts w:hint="eastAsia"/>
          <w:rtl/>
        </w:rPr>
        <w:t>אינו</w:t>
      </w:r>
      <w:r w:rsidRPr="00113F1D">
        <w:rPr>
          <w:rtl/>
        </w:rPr>
        <w:t xml:space="preserve"> </w:t>
      </w:r>
      <w:r w:rsidRPr="00113F1D">
        <w:rPr>
          <w:rFonts w:hint="eastAsia"/>
          <w:rtl/>
        </w:rPr>
        <w:t>מעניק</w:t>
      </w:r>
      <w:r w:rsidRPr="00113F1D">
        <w:rPr>
          <w:rtl/>
        </w:rPr>
        <w:t xml:space="preserve"> </w:t>
      </w:r>
      <w:r w:rsidRPr="00113F1D">
        <w:rPr>
          <w:rFonts w:hint="eastAsia"/>
          <w:rtl/>
        </w:rPr>
        <w:t>לה</w:t>
      </w:r>
      <w:r>
        <w:rPr>
          <w:rFonts w:hint="cs"/>
          <w:rtl/>
        </w:rPr>
        <w:t xml:space="preserve"> [...] </w:t>
      </w:r>
      <w:r w:rsidRPr="00113F1D">
        <w:rPr>
          <w:rFonts w:hint="eastAsia"/>
          <w:rtl/>
        </w:rPr>
        <w:t>אכן</w:t>
      </w:r>
      <w:r w:rsidRPr="00113F1D">
        <w:rPr>
          <w:rtl/>
        </w:rPr>
        <w:t xml:space="preserve">, </w:t>
      </w:r>
      <w:r w:rsidRPr="00113F1D">
        <w:rPr>
          <w:rFonts w:hint="eastAsia"/>
          <w:rtl/>
        </w:rPr>
        <w:t>זה</w:t>
      </w:r>
      <w:r w:rsidRPr="00113F1D">
        <w:rPr>
          <w:rtl/>
        </w:rPr>
        <w:t xml:space="preserve"> </w:t>
      </w:r>
      <w:r w:rsidRPr="00113F1D">
        <w:rPr>
          <w:rFonts w:hint="eastAsia"/>
          <w:rtl/>
        </w:rPr>
        <w:t>כוחה</w:t>
      </w:r>
      <w:r w:rsidRPr="00113F1D">
        <w:rPr>
          <w:rtl/>
        </w:rPr>
        <w:t xml:space="preserve"> </w:t>
      </w:r>
      <w:r w:rsidRPr="00113F1D">
        <w:rPr>
          <w:rFonts w:hint="eastAsia"/>
          <w:rtl/>
        </w:rPr>
        <w:t>של</w:t>
      </w:r>
      <w:r w:rsidRPr="00113F1D">
        <w:rPr>
          <w:rtl/>
        </w:rPr>
        <w:t xml:space="preserve"> </w:t>
      </w:r>
      <w:r w:rsidRPr="00113F1D">
        <w:rPr>
          <w:rFonts w:hint="eastAsia"/>
          <w:rtl/>
        </w:rPr>
        <w:t>דמוקרטיה</w:t>
      </w:r>
      <w:r w:rsidRPr="00113F1D">
        <w:rPr>
          <w:rtl/>
        </w:rPr>
        <w:t xml:space="preserve"> </w:t>
      </w:r>
      <w:r w:rsidRPr="00113F1D">
        <w:rPr>
          <w:rFonts w:hint="eastAsia"/>
          <w:rtl/>
        </w:rPr>
        <w:t>המכבדת</w:t>
      </w:r>
      <w:r w:rsidRPr="00113F1D">
        <w:rPr>
          <w:rtl/>
        </w:rPr>
        <w:t xml:space="preserve"> </w:t>
      </w:r>
      <w:r w:rsidRPr="00113F1D">
        <w:rPr>
          <w:rFonts w:hint="eastAsia"/>
          <w:rtl/>
        </w:rPr>
        <w:t>את</w:t>
      </w:r>
      <w:r w:rsidRPr="00113F1D">
        <w:rPr>
          <w:rtl/>
        </w:rPr>
        <w:t xml:space="preserve"> </w:t>
      </w:r>
      <w:r w:rsidRPr="00113F1D">
        <w:rPr>
          <w:rFonts w:hint="eastAsia"/>
          <w:rtl/>
        </w:rPr>
        <w:t>שלטון</w:t>
      </w:r>
      <w:r w:rsidRPr="00113F1D">
        <w:rPr>
          <w:rtl/>
        </w:rPr>
        <w:t xml:space="preserve"> </w:t>
      </w:r>
      <w:r w:rsidRPr="00113F1D">
        <w:rPr>
          <w:rFonts w:hint="eastAsia"/>
          <w:rtl/>
        </w:rPr>
        <w:t>החוק</w:t>
      </w:r>
      <w:r w:rsidRPr="00113F1D">
        <w:rPr>
          <w:rtl/>
        </w:rPr>
        <w:t xml:space="preserve">. </w:t>
      </w:r>
      <w:r w:rsidRPr="00113F1D">
        <w:rPr>
          <w:rFonts w:hint="eastAsia"/>
          <w:rtl/>
        </w:rPr>
        <w:t>זהו</w:t>
      </w:r>
      <w:r w:rsidRPr="00113F1D">
        <w:rPr>
          <w:rtl/>
        </w:rPr>
        <w:t xml:space="preserve"> </w:t>
      </w:r>
      <w:r w:rsidRPr="00913359">
        <w:rPr>
          <w:rFonts w:ascii="Century" w:hAnsi="Century" w:cs="Miriam" w:hint="eastAsia"/>
          <w:b/>
          <w:spacing w:val="0"/>
          <w:szCs w:val="24"/>
          <w:rtl/>
        </w:rPr>
        <w:t>שלטון</w:t>
      </w:r>
      <w:r w:rsidRPr="00913359">
        <w:rPr>
          <w:rFonts w:ascii="Century" w:hAnsi="Century" w:cs="Miriam"/>
          <w:b/>
          <w:spacing w:val="0"/>
          <w:szCs w:val="24"/>
          <w:rtl/>
        </w:rPr>
        <w:t xml:space="preserve"> </w:t>
      </w:r>
      <w:r w:rsidRPr="00913359">
        <w:rPr>
          <w:rFonts w:ascii="Century" w:hAnsi="Century" w:cs="Miriam" w:hint="eastAsia"/>
          <w:b/>
          <w:spacing w:val="0"/>
          <w:szCs w:val="24"/>
          <w:rtl/>
        </w:rPr>
        <w:t>החוק</w:t>
      </w:r>
      <w:r w:rsidRPr="00913359">
        <w:rPr>
          <w:rFonts w:ascii="Century" w:hAnsi="Century" w:cs="Miriam"/>
          <w:b/>
          <w:spacing w:val="0"/>
          <w:szCs w:val="24"/>
          <w:rtl/>
        </w:rPr>
        <w:t xml:space="preserve"> </w:t>
      </w:r>
      <w:r w:rsidRPr="00913359">
        <w:rPr>
          <w:rFonts w:ascii="Century" w:hAnsi="Century" w:cs="Miriam" w:hint="eastAsia"/>
          <w:b/>
          <w:spacing w:val="0"/>
          <w:szCs w:val="24"/>
          <w:rtl/>
        </w:rPr>
        <w:t>הפורמאלי</w:t>
      </w:r>
      <w:r w:rsidRPr="00113F1D">
        <w:rPr>
          <w:rtl/>
        </w:rPr>
        <w:t xml:space="preserve">, </w:t>
      </w:r>
      <w:r w:rsidRPr="00113F1D">
        <w:rPr>
          <w:rFonts w:hint="eastAsia"/>
          <w:rtl/>
        </w:rPr>
        <w:t>אשר</w:t>
      </w:r>
      <w:r w:rsidRPr="00113F1D">
        <w:rPr>
          <w:rtl/>
        </w:rPr>
        <w:t xml:space="preserve"> </w:t>
      </w:r>
      <w:r w:rsidRPr="00113F1D">
        <w:rPr>
          <w:rFonts w:hint="eastAsia"/>
          <w:rtl/>
        </w:rPr>
        <w:t>לפיו</w:t>
      </w:r>
      <w:r w:rsidRPr="00113F1D">
        <w:rPr>
          <w:rtl/>
        </w:rPr>
        <w:t xml:space="preserve"> </w:t>
      </w:r>
      <w:r w:rsidRPr="00113F1D">
        <w:rPr>
          <w:rFonts w:hint="eastAsia"/>
          <w:rtl/>
        </w:rPr>
        <w:t>כל</w:t>
      </w:r>
      <w:r w:rsidRPr="00113F1D">
        <w:rPr>
          <w:rtl/>
        </w:rPr>
        <w:t xml:space="preserve"> </w:t>
      </w:r>
      <w:r w:rsidRPr="00113F1D">
        <w:rPr>
          <w:rFonts w:hint="eastAsia"/>
          <w:rtl/>
        </w:rPr>
        <w:t>הרשויות</w:t>
      </w:r>
      <w:r w:rsidRPr="00113F1D">
        <w:rPr>
          <w:rtl/>
        </w:rPr>
        <w:t xml:space="preserve"> </w:t>
      </w:r>
      <w:r w:rsidRPr="00113F1D">
        <w:rPr>
          <w:rFonts w:hint="eastAsia"/>
          <w:rtl/>
        </w:rPr>
        <w:t>השלטוניות</w:t>
      </w:r>
      <w:r w:rsidRPr="00113F1D">
        <w:rPr>
          <w:rtl/>
        </w:rPr>
        <w:t xml:space="preserve">, </w:t>
      </w:r>
      <w:r w:rsidRPr="00113F1D">
        <w:rPr>
          <w:rFonts w:hint="eastAsia"/>
          <w:rtl/>
        </w:rPr>
        <w:t>לרבות</w:t>
      </w:r>
      <w:r w:rsidRPr="00113F1D">
        <w:rPr>
          <w:rtl/>
        </w:rPr>
        <w:t xml:space="preserve"> </w:t>
      </w:r>
      <w:r w:rsidRPr="00113F1D">
        <w:rPr>
          <w:rFonts w:hint="eastAsia"/>
          <w:rtl/>
        </w:rPr>
        <w:t>הממשלה</w:t>
      </w:r>
      <w:r w:rsidRPr="00113F1D">
        <w:rPr>
          <w:rtl/>
        </w:rPr>
        <w:t xml:space="preserve"> </w:t>
      </w:r>
      <w:r w:rsidRPr="00113F1D">
        <w:rPr>
          <w:rFonts w:hint="eastAsia"/>
          <w:rtl/>
        </w:rPr>
        <w:t>עצמה</w:t>
      </w:r>
      <w:r w:rsidRPr="00113F1D">
        <w:rPr>
          <w:rtl/>
        </w:rPr>
        <w:t xml:space="preserve">, </w:t>
      </w:r>
      <w:r w:rsidRPr="00113F1D">
        <w:rPr>
          <w:rFonts w:hint="eastAsia"/>
          <w:rtl/>
        </w:rPr>
        <w:t>כפופות</w:t>
      </w:r>
      <w:r w:rsidRPr="00113F1D">
        <w:rPr>
          <w:rtl/>
        </w:rPr>
        <w:t xml:space="preserve"> </w:t>
      </w:r>
      <w:r w:rsidRPr="00113F1D">
        <w:rPr>
          <w:rFonts w:hint="eastAsia"/>
          <w:rtl/>
        </w:rPr>
        <w:t>לחוק</w:t>
      </w:r>
      <w:r w:rsidRPr="00113F1D">
        <w:rPr>
          <w:rtl/>
        </w:rPr>
        <w:t xml:space="preserve">. </w:t>
      </w:r>
      <w:r w:rsidRPr="00113F1D">
        <w:rPr>
          <w:rFonts w:hint="eastAsia"/>
          <w:rtl/>
        </w:rPr>
        <w:t>אין</w:t>
      </w:r>
      <w:r w:rsidRPr="00113F1D">
        <w:rPr>
          <w:rtl/>
        </w:rPr>
        <w:t xml:space="preserve"> </w:t>
      </w:r>
      <w:r w:rsidRPr="00113F1D">
        <w:rPr>
          <w:rFonts w:hint="eastAsia"/>
          <w:rtl/>
        </w:rPr>
        <w:t>רשות</w:t>
      </w:r>
      <w:r w:rsidRPr="00113F1D">
        <w:rPr>
          <w:rtl/>
        </w:rPr>
        <w:t xml:space="preserve"> </w:t>
      </w:r>
      <w:r w:rsidRPr="00113F1D">
        <w:rPr>
          <w:rFonts w:hint="eastAsia"/>
          <w:rtl/>
        </w:rPr>
        <w:t>שהיא</w:t>
      </w:r>
      <w:r w:rsidRPr="00113F1D">
        <w:rPr>
          <w:rtl/>
        </w:rPr>
        <w:t xml:space="preserve"> </w:t>
      </w:r>
      <w:r w:rsidRPr="00113F1D">
        <w:rPr>
          <w:rFonts w:hint="eastAsia"/>
          <w:rtl/>
        </w:rPr>
        <w:t>מעל</w:t>
      </w:r>
      <w:r w:rsidRPr="00113F1D">
        <w:rPr>
          <w:rtl/>
        </w:rPr>
        <w:t xml:space="preserve"> </w:t>
      </w:r>
      <w:r w:rsidRPr="00113F1D">
        <w:rPr>
          <w:rFonts w:hint="eastAsia"/>
          <w:rtl/>
        </w:rPr>
        <w:t>לחוק</w:t>
      </w:r>
      <w:r w:rsidRPr="00113F1D">
        <w:rPr>
          <w:rtl/>
        </w:rPr>
        <w:t xml:space="preserve">, </w:t>
      </w:r>
      <w:r w:rsidRPr="00113F1D">
        <w:rPr>
          <w:rFonts w:hint="eastAsia"/>
          <w:rtl/>
        </w:rPr>
        <w:t>אין</w:t>
      </w:r>
      <w:r w:rsidRPr="00113F1D">
        <w:rPr>
          <w:rtl/>
        </w:rPr>
        <w:t xml:space="preserve"> </w:t>
      </w:r>
      <w:r w:rsidRPr="00113F1D">
        <w:rPr>
          <w:rFonts w:hint="eastAsia"/>
          <w:rtl/>
        </w:rPr>
        <w:t>רשות</w:t>
      </w:r>
      <w:r w:rsidRPr="00113F1D">
        <w:rPr>
          <w:rtl/>
        </w:rPr>
        <w:t xml:space="preserve"> </w:t>
      </w:r>
      <w:r w:rsidRPr="00113F1D">
        <w:rPr>
          <w:rFonts w:hint="eastAsia"/>
          <w:rtl/>
        </w:rPr>
        <w:t>הרשאית</w:t>
      </w:r>
      <w:r w:rsidRPr="00113F1D">
        <w:rPr>
          <w:rtl/>
        </w:rPr>
        <w:t xml:space="preserve"> </w:t>
      </w:r>
      <w:r w:rsidRPr="00113F1D">
        <w:rPr>
          <w:rFonts w:hint="eastAsia"/>
          <w:rtl/>
        </w:rPr>
        <w:t>לפעול</w:t>
      </w:r>
      <w:r w:rsidRPr="00113F1D">
        <w:rPr>
          <w:rtl/>
        </w:rPr>
        <w:t xml:space="preserve"> </w:t>
      </w:r>
      <w:r w:rsidRPr="00113F1D">
        <w:rPr>
          <w:rFonts w:hint="eastAsia"/>
          <w:rtl/>
        </w:rPr>
        <w:t>מתוך</w:t>
      </w:r>
      <w:r w:rsidRPr="00113F1D">
        <w:rPr>
          <w:rtl/>
        </w:rPr>
        <w:t xml:space="preserve"> </w:t>
      </w:r>
      <w:r w:rsidRPr="00113F1D">
        <w:rPr>
          <w:rFonts w:hint="eastAsia"/>
          <w:rtl/>
        </w:rPr>
        <w:t>חוסר</w:t>
      </w:r>
      <w:r w:rsidRPr="00113F1D">
        <w:rPr>
          <w:rtl/>
        </w:rPr>
        <w:t xml:space="preserve"> </w:t>
      </w:r>
      <w:r w:rsidRPr="00113F1D">
        <w:rPr>
          <w:rFonts w:hint="eastAsia"/>
          <w:rtl/>
        </w:rPr>
        <w:t>סבירות</w:t>
      </w:r>
      <w:r w:rsidRPr="00113F1D">
        <w:rPr>
          <w:rtl/>
        </w:rPr>
        <w:t xml:space="preserve">. </w:t>
      </w:r>
      <w:r w:rsidRPr="00113F1D">
        <w:rPr>
          <w:rFonts w:hint="eastAsia"/>
          <w:rtl/>
        </w:rPr>
        <w:t>זהו</w:t>
      </w:r>
      <w:r w:rsidRPr="00113F1D">
        <w:rPr>
          <w:rtl/>
        </w:rPr>
        <w:t xml:space="preserve"> </w:t>
      </w:r>
      <w:r w:rsidRPr="00113F1D">
        <w:rPr>
          <w:rFonts w:hint="eastAsia"/>
          <w:rtl/>
        </w:rPr>
        <w:t>גם</w:t>
      </w:r>
      <w:r w:rsidRPr="00113F1D">
        <w:rPr>
          <w:rtl/>
        </w:rPr>
        <w:t xml:space="preserve"> </w:t>
      </w:r>
      <w:r w:rsidRPr="00913359">
        <w:rPr>
          <w:rFonts w:ascii="Century" w:hAnsi="Century" w:cs="Miriam" w:hint="eastAsia"/>
          <w:b/>
          <w:spacing w:val="0"/>
          <w:szCs w:val="24"/>
          <w:rtl/>
        </w:rPr>
        <w:t>שלטון</w:t>
      </w:r>
      <w:r w:rsidRPr="00913359">
        <w:rPr>
          <w:rFonts w:ascii="Century" w:hAnsi="Century" w:cs="Miriam"/>
          <w:b/>
          <w:spacing w:val="0"/>
          <w:szCs w:val="24"/>
          <w:rtl/>
        </w:rPr>
        <w:t xml:space="preserve"> </w:t>
      </w:r>
      <w:r w:rsidRPr="00913359">
        <w:rPr>
          <w:rFonts w:ascii="Century" w:hAnsi="Century" w:cs="Miriam" w:hint="eastAsia"/>
          <w:b/>
          <w:spacing w:val="0"/>
          <w:szCs w:val="24"/>
          <w:rtl/>
        </w:rPr>
        <w:t>החוק</w:t>
      </w:r>
      <w:r w:rsidRPr="00913359">
        <w:rPr>
          <w:rFonts w:ascii="Century" w:hAnsi="Century" w:cs="Miriam"/>
          <w:b/>
          <w:spacing w:val="0"/>
          <w:szCs w:val="24"/>
          <w:rtl/>
        </w:rPr>
        <w:t xml:space="preserve"> </w:t>
      </w:r>
      <w:r w:rsidRPr="00913359">
        <w:rPr>
          <w:rFonts w:ascii="Century" w:hAnsi="Century" w:cs="Miriam" w:hint="eastAsia"/>
          <w:b/>
          <w:spacing w:val="0"/>
          <w:szCs w:val="24"/>
          <w:rtl/>
        </w:rPr>
        <w:t>המהותי</w:t>
      </w:r>
      <w:r w:rsidRPr="00113F1D">
        <w:rPr>
          <w:rtl/>
        </w:rPr>
        <w:t xml:space="preserve">, </w:t>
      </w:r>
      <w:r w:rsidRPr="00113F1D">
        <w:rPr>
          <w:rFonts w:hint="eastAsia"/>
          <w:rtl/>
        </w:rPr>
        <w:t>אשר</w:t>
      </w:r>
      <w:r w:rsidRPr="00113F1D">
        <w:rPr>
          <w:rtl/>
        </w:rPr>
        <w:t xml:space="preserve"> </w:t>
      </w:r>
      <w:r w:rsidRPr="00113F1D">
        <w:rPr>
          <w:rFonts w:hint="eastAsia"/>
          <w:rtl/>
        </w:rPr>
        <w:t>לפיו</w:t>
      </w:r>
      <w:r w:rsidRPr="00113F1D">
        <w:rPr>
          <w:rtl/>
        </w:rPr>
        <w:t xml:space="preserve"> </w:t>
      </w:r>
      <w:r w:rsidRPr="00113F1D">
        <w:rPr>
          <w:rFonts w:hint="eastAsia"/>
          <w:rtl/>
        </w:rPr>
        <w:t>יש</w:t>
      </w:r>
      <w:r w:rsidRPr="00113F1D">
        <w:rPr>
          <w:rtl/>
        </w:rPr>
        <w:t xml:space="preserve"> </w:t>
      </w:r>
      <w:r w:rsidRPr="00113F1D">
        <w:rPr>
          <w:rFonts w:hint="eastAsia"/>
          <w:rtl/>
        </w:rPr>
        <w:t>לאזן</w:t>
      </w:r>
      <w:r w:rsidRPr="00113F1D">
        <w:rPr>
          <w:rtl/>
        </w:rPr>
        <w:t xml:space="preserve"> </w:t>
      </w:r>
      <w:r w:rsidRPr="00113F1D">
        <w:rPr>
          <w:rFonts w:hint="eastAsia"/>
          <w:rtl/>
        </w:rPr>
        <w:t>בין</w:t>
      </w:r>
      <w:r w:rsidRPr="00113F1D">
        <w:rPr>
          <w:rtl/>
        </w:rPr>
        <w:t xml:space="preserve"> </w:t>
      </w:r>
      <w:r w:rsidRPr="00113F1D">
        <w:rPr>
          <w:rFonts w:hint="eastAsia"/>
          <w:rtl/>
        </w:rPr>
        <w:t>הערכים</w:t>
      </w:r>
      <w:r w:rsidRPr="00113F1D">
        <w:rPr>
          <w:rtl/>
        </w:rPr>
        <w:t xml:space="preserve">, </w:t>
      </w:r>
      <w:r w:rsidRPr="00113F1D">
        <w:rPr>
          <w:rFonts w:hint="eastAsia"/>
          <w:rtl/>
        </w:rPr>
        <w:t>העקרונות</w:t>
      </w:r>
      <w:r w:rsidRPr="00113F1D">
        <w:rPr>
          <w:rtl/>
        </w:rPr>
        <w:t xml:space="preserve"> </w:t>
      </w:r>
      <w:r w:rsidRPr="00113F1D">
        <w:rPr>
          <w:rFonts w:hint="eastAsia"/>
          <w:rtl/>
        </w:rPr>
        <w:t>והאינטרסים</w:t>
      </w:r>
      <w:r w:rsidRPr="00113F1D">
        <w:rPr>
          <w:rtl/>
        </w:rPr>
        <w:t xml:space="preserve"> </w:t>
      </w:r>
      <w:r w:rsidRPr="00113F1D">
        <w:rPr>
          <w:rFonts w:hint="eastAsia"/>
          <w:rtl/>
        </w:rPr>
        <w:t>של</w:t>
      </w:r>
      <w:r w:rsidRPr="00113F1D">
        <w:rPr>
          <w:rtl/>
        </w:rPr>
        <w:t xml:space="preserve"> </w:t>
      </w:r>
      <w:r w:rsidRPr="00113F1D">
        <w:rPr>
          <w:rFonts w:hint="eastAsia"/>
          <w:rtl/>
        </w:rPr>
        <w:t>החברה</w:t>
      </w:r>
      <w:r w:rsidRPr="00113F1D">
        <w:rPr>
          <w:rtl/>
        </w:rPr>
        <w:t xml:space="preserve"> </w:t>
      </w:r>
      <w:r w:rsidRPr="00113F1D">
        <w:rPr>
          <w:rFonts w:hint="eastAsia"/>
          <w:rtl/>
        </w:rPr>
        <w:t>הדמוקרטית</w:t>
      </w:r>
      <w:r w:rsidRPr="00113F1D">
        <w:rPr>
          <w:rtl/>
        </w:rPr>
        <w:t xml:space="preserve">, </w:t>
      </w:r>
      <w:r w:rsidRPr="00113F1D">
        <w:rPr>
          <w:rFonts w:hint="eastAsia"/>
          <w:rtl/>
        </w:rPr>
        <w:t>תוך</w:t>
      </w:r>
      <w:r w:rsidRPr="00113F1D">
        <w:rPr>
          <w:rtl/>
        </w:rPr>
        <w:t xml:space="preserve"> </w:t>
      </w:r>
      <w:r w:rsidRPr="00863C52">
        <w:rPr>
          <w:rFonts w:hint="eastAsia"/>
          <w:rtl/>
        </w:rPr>
        <w:t>הסמכת</w:t>
      </w:r>
      <w:r w:rsidRPr="00863C52">
        <w:rPr>
          <w:rtl/>
        </w:rPr>
        <w:t xml:space="preserve"> </w:t>
      </w:r>
      <w:r w:rsidRPr="00863C52">
        <w:rPr>
          <w:rFonts w:hint="eastAsia"/>
          <w:rtl/>
        </w:rPr>
        <w:t>השלטון</w:t>
      </w:r>
      <w:r w:rsidRPr="00863C52">
        <w:rPr>
          <w:rtl/>
        </w:rPr>
        <w:t xml:space="preserve"> </w:t>
      </w:r>
      <w:r w:rsidRPr="00863C52">
        <w:rPr>
          <w:rFonts w:hint="eastAsia"/>
          <w:rtl/>
        </w:rPr>
        <w:t>להפעיל</w:t>
      </w:r>
      <w:r w:rsidRPr="00863C52">
        <w:rPr>
          <w:rtl/>
        </w:rPr>
        <w:t xml:space="preserve"> </w:t>
      </w:r>
      <w:r w:rsidRPr="00863C52">
        <w:rPr>
          <w:rFonts w:hint="eastAsia"/>
          <w:rtl/>
        </w:rPr>
        <w:t>שיקול</w:t>
      </w:r>
      <w:r>
        <w:rPr>
          <w:rFonts w:hint="cs"/>
          <w:rtl/>
        </w:rPr>
        <w:t>-</w:t>
      </w:r>
      <w:r w:rsidRPr="00863C52">
        <w:rPr>
          <w:rFonts w:hint="eastAsia"/>
          <w:rtl/>
        </w:rPr>
        <w:t>דעת</w:t>
      </w:r>
      <w:r w:rsidRPr="00863C52">
        <w:rPr>
          <w:rtl/>
        </w:rPr>
        <w:t xml:space="preserve"> </w:t>
      </w:r>
      <w:r w:rsidRPr="00863C52">
        <w:rPr>
          <w:rFonts w:hint="eastAsia"/>
          <w:rtl/>
        </w:rPr>
        <w:t>המאזן</w:t>
      </w:r>
      <w:r w:rsidRPr="00863C52">
        <w:rPr>
          <w:rtl/>
        </w:rPr>
        <w:t xml:space="preserve"> </w:t>
      </w:r>
      <w:r w:rsidRPr="00863C52">
        <w:rPr>
          <w:rFonts w:hint="eastAsia"/>
          <w:rtl/>
        </w:rPr>
        <w:t>באופן</w:t>
      </w:r>
      <w:r w:rsidRPr="00863C52">
        <w:rPr>
          <w:rtl/>
        </w:rPr>
        <w:t xml:space="preserve"> </w:t>
      </w:r>
      <w:r w:rsidRPr="00863C52">
        <w:rPr>
          <w:rFonts w:hint="eastAsia"/>
          <w:rtl/>
        </w:rPr>
        <w:t>ראוי</w:t>
      </w:r>
      <w:r w:rsidRPr="00863C52">
        <w:rPr>
          <w:rtl/>
        </w:rPr>
        <w:t xml:space="preserve"> </w:t>
      </w:r>
      <w:r w:rsidRPr="00863C52">
        <w:rPr>
          <w:rFonts w:hint="eastAsia"/>
          <w:rtl/>
        </w:rPr>
        <w:t>בין</w:t>
      </w:r>
      <w:r w:rsidRPr="00863C52">
        <w:rPr>
          <w:rtl/>
        </w:rPr>
        <w:t xml:space="preserve"> </w:t>
      </w:r>
      <w:r w:rsidRPr="00863C52">
        <w:rPr>
          <w:rFonts w:hint="eastAsia"/>
          <w:rtl/>
        </w:rPr>
        <w:t>השיקולים</w:t>
      </w:r>
      <w:r w:rsidRPr="00863C52">
        <w:rPr>
          <w:rtl/>
        </w:rPr>
        <w:t xml:space="preserve"> </w:t>
      </w:r>
      <w:r w:rsidRPr="00863C52">
        <w:rPr>
          <w:rFonts w:hint="eastAsia"/>
          <w:rtl/>
        </w:rPr>
        <w:t>הראויים</w:t>
      </w:r>
      <w:r>
        <w:rPr>
          <w:rFonts w:hint="cs"/>
          <w:rtl/>
        </w:rPr>
        <w:t>"</w:t>
      </w:r>
      <w:r w:rsidRPr="00863C52">
        <w:rPr>
          <w:rFonts w:hint="cs"/>
          <w:color w:val="000000" w:themeColor="text1"/>
          <w:sz w:val="28"/>
          <w:rtl/>
        </w:rPr>
        <w:t xml:space="preserve"> (</w:t>
      </w:r>
      <w:r w:rsidRPr="00863C52">
        <w:rPr>
          <w:rFonts w:ascii="Century" w:hAnsi="Century" w:cs="Miriam" w:hint="cs"/>
          <w:b/>
          <w:spacing w:val="0"/>
          <w:szCs w:val="24"/>
          <w:rtl/>
        </w:rPr>
        <w:t>שם</w:t>
      </w:r>
      <w:r w:rsidRPr="00863C52">
        <w:rPr>
          <w:rFonts w:hint="cs"/>
          <w:color w:val="000000" w:themeColor="text1"/>
          <w:sz w:val="28"/>
          <w:rtl/>
        </w:rPr>
        <w:t>, בעמ' 274; ההדגשות נוספו).</w:t>
      </w:r>
    </w:p>
    <w:p w:rsidR="00C044AE" w:rsidRDefault="00C044AE" w:rsidP="00C044AE">
      <w:pPr>
        <w:pStyle w:val="Ruller5"/>
        <w:rPr>
          <w:rtl/>
        </w:rPr>
      </w:pPr>
    </w:p>
    <w:p w:rsidR="00C044AE" w:rsidRDefault="00C044AE" w:rsidP="00C044AE">
      <w:pPr>
        <w:pStyle w:val="Ruller4"/>
        <w:rPr>
          <w:rtl/>
        </w:rPr>
      </w:pPr>
      <w:r w:rsidRPr="007A7F21">
        <w:rPr>
          <w:rFonts w:hint="cs"/>
          <w:rtl/>
        </w:rPr>
        <w:t>הפג</w:t>
      </w:r>
      <w:r>
        <w:rPr>
          <w:rFonts w:hint="cs"/>
          <w:rtl/>
        </w:rPr>
        <w:t xml:space="preserve">יעה בשלטון החוק היא קשה במיוחד </w:t>
      </w:r>
      <w:r w:rsidRPr="007A7F21">
        <w:rPr>
          <w:rFonts w:hint="cs"/>
          <w:rtl/>
        </w:rPr>
        <w:t>נוכח היווצרותם של "חללים ריקים" בביקורת השיפוטית (או "חורים שחורים נורמטיביים" כפי שהגדירו זאת העותרים והיועצת)</w:t>
      </w:r>
      <w:r>
        <w:rPr>
          <w:rFonts w:hint="cs"/>
          <w:rtl/>
        </w:rPr>
        <w:t>.</w:t>
      </w:r>
      <w:r w:rsidRPr="007A7F21">
        <w:rPr>
          <w:rFonts w:hint="cs"/>
          <w:rtl/>
        </w:rPr>
        <w:t xml:space="preserve"> </w:t>
      </w:r>
      <w:r>
        <w:rPr>
          <w:rFonts w:hint="cs"/>
          <w:rtl/>
        </w:rPr>
        <w:t xml:space="preserve">פגיעה זו נובעת מכך שנשללת מבית המשפט האפשרות לבחון באופן </w:t>
      </w:r>
      <w:r>
        <w:rPr>
          <w:rFonts w:hint="cs"/>
          <w:rtl/>
        </w:rPr>
        <w:lastRenderedPageBreak/>
        <w:t>אפקטיבי החלטות המתקבלות ב</w:t>
      </w:r>
      <w:r w:rsidRPr="007A7F21">
        <w:rPr>
          <w:rFonts w:hint="cs"/>
          <w:rtl/>
        </w:rPr>
        <w:t>תחומים שלמים שבהם ההגנה על אינטרסים ציבוריים חשובים ביותר</w:t>
      </w:r>
      <w:r>
        <w:rPr>
          <w:rFonts w:hint="cs"/>
          <w:rtl/>
        </w:rPr>
        <w:t>,</w:t>
      </w:r>
      <w:r w:rsidRPr="007A7F21">
        <w:rPr>
          <w:rFonts w:hint="cs"/>
          <w:rtl/>
        </w:rPr>
        <w:t xml:space="preserve"> מבוססת </w:t>
      </w:r>
      <w:r>
        <w:rPr>
          <w:rFonts w:hint="cs"/>
          <w:rtl/>
        </w:rPr>
        <w:t>באופן כמעט בלעדי</w:t>
      </w:r>
      <w:r w:rsidRPr="007A7F21">
        <w:rPr>
          <w:rFonts w:hint="cs"/>
          <w:rtl/>
        </w:rPr>
        <w:t xml:space="preserve"> על בחינת סבירות החלטות הממשלה ושריה</w:t>
      </w:r>
      <w:r>
        <w:rPr>
          <w:rFonts w:hint="cs"/>
          <w:rtl/>
        </w:rPr>
        <w:t>.</w:t>
      </w:r>
    </w:p>
    <w:p w:rsidR="00C044AE" w:rsidRDefault="00C044AE" w:rsidP="00C044AE">
      <w:pPr>
        <w:pStyle w:val="Ruller41"/>
        <w:rPr>
          <w:rtl/>
        </w:rPr>
      </w:pPr>
    </w:p>
    <w:p w:rsidR="00C044AE" w:rsidRPr="0021033D" w:rsidRDefault="00C044AE" w:rsidP="00C044AE">
      <w:pPr>
        <w:pStyle w:val="Ruller4"/>
      </w:pPr>
      <w:r>
        <w:rPr>
          <w:rFonts w:hint="cs"/>
          <w:rtl/>
        </w:rPr>
        <w:t xml:space="preserve">כך, </w:t>
      </w:r>
      <w:r w:rsidRPr="00B83958">
        <w:rPr>
          <w:rFonts w:hint="cs"/>
          <w:rtl/>
        </w:rPr>
        <w:t xml:space="preserve">עילת הסבירות </w:t>
      </w:r>
      <w:r>
        <w:rPr>
          <w:rFonts w:hint="cs"/>
          <w:rtl/>
        </w:rPr>
        <w:t>הינה</w:t>
      </w:r>
      <w:r w:rsidRPr="00B83958">
        <w:rPr>
          <w:rFonts w:hint="cs"/>
          <w:rtl/>
        </w:rPr>
        <w:t xml:space="preserve"> הכלי המרכזי </w:t>
      </w:r>
      <w:r>
        <w:rPr>
          <w:rFonts w:hint="cs"/>
          <w:rtl/>
        </w:rPr>
        <w:t>הנתון</w:t>
      </w:r>
      <w:r w:rsidRPr="00B83958">
        <w:rPr>
          <w:rFonts w:hint="cs"/>
          <w:rtl/>
        </w:rPr>
        <w:t xml:space="preserve"> </w:t>
      </w:r>
      <w:r>
        <w:rPr>
          <w:rFonts w:hint="cs"/>
          <w:rtl/>
        </w:rPr>
        <w:t>ל</w:t>
      </w:r>
      <w:r w:rsidRPr="00B83958">
        <w:rPr>
          <w:rFonts w:hint="cs"/>
          <w:rtl/>
        </w:rPr>
        <w:t xml:space="preserve">בית המשפט להבטחת טוהר המידות בשירות הציבורי. </w:t>
      </w:r>
      <w:r>
        <w:rPr>
          <w:rFonts w:hint="cs"/>
          <w:rtl/>
        </w:rPr>
        <w:t>הדבר בא לידי ביטוי בעיקר בכל הנוגע ל</w:t>
      </w:r>
      <w:r w:rsidRPr="00B83958">
        <w:rPr>
          <w:rFonts w:cs="Miriam" w:hint="cs"/>
          <w:b/>
          <w:spacing w:val="0"/>
          <w:szCs w:val="24"/>
          <w:rtl/>
        </w:rPr>
        <w:t xml:space="preserve">מינויים </w:t>
      </w:r>
      <w:r>
        <w:rPr>
          <w:rFonts w:cs="Miriam" w:hint="cs"/>
          <w:b/>
          <w:spacing w:val="0"/>
          <w:szCs w:val="24"/>
          <w:rtl/>
        </w:rPr>
        <w:t xml:space="preserve">פסולים </w:t>
      </w:r>
      <w:r w:rsidRPr="00B83958">
        <w:rPr>
          <w:rFonts w:cs="Miriam" w:hint="cs"/>
          <w:b/>
          <w:spacing w:val="0"/>
          <w:szCs w:val="24"/>
          <w:rtl/>
        </w:rPr>
        <w:t>לתפקידים ציבורי</w:t>
      </w:r>
      <w:r>
        <w:rPr>
          <w:rFonts w:cs="Miriam" w:hint="cs"/>
          <w:b/>
          <w:spacing w:val="0"/>
          <w:szCs w:val="24"/>
          <w:rtl/>
        </w:rPr>
        <w:t>י</w:t>
      </w:r>
      <w:r w:rsidRPr="00B83958">
        <w:rPr>
          <w:rFonts w:cs="Miriam" w:hint="cs"/>
          <w:b/>
          <w:spacing w:val="0"/>
          <w:szCs w:val="24"/>
          <w:rtl/>
        </w:rPr>
        <w:t>ם</w:t>
      </w:r>
      <w:r>
        <w:rPr>
          <w:rFonts w:hint="cs"/>
          <w:rtl/>
        </w:rPr>
        <w:t xml:space="preserve">. עילת הסבירות היא זו שמאפשרת קיום ביקורת שיפוטית במצבים קיצוניים שבהם אף שהמינוי נעשה בסמכות ובהתאם לדרישות הפורמליות, נפל פגם חמור בשיקול הדעת של הגורם הממנה. אכן, </w:t>
      </w:r>
      <w:r w:rsidRPr="000F7406">
        <w:rPr>
          <w:rFonts w:hint="cs"/>
          <w:rtl/>
        </w:rPr>
        <w:t>"</w:t>
      </w:r>
      <w:r w:rsidRPr="000F7406">
        <w:rPr>
          <w:rFonts w:ascii="FrankRuehl" w:hAnsi="FrankRuehl"/>
          <w:color w:val="000000"/>
          <w:sz w:val="28"/>
          <w:rtl/>
        </w:rPr>
        <w:t>תולדות המינהל הציבורי בישראל עמוסות מקרים, לא אחד ולא שניים, שבהם ניתן היה למנוע מינויים לא ראויים בעליל רק בגדרי סבירות, כיון שבצד ה</w:t>
      </w:r>
      <w:r w:rsidRPr="000F7406">
        <w:rPr>
          <w:rFonts w:ascii="FrankRuehl" w:hAnsi="FrankRuehl" w:hint="cs"/>
          <w:color w:val="000000"/>
          <w:sz w:val="28"/>
          <w:rtl/>
        </w:rPr>
        <w:t>'</w:t>
      </w:r>
      <w:r w:rsidRPr="000F7406">
        <w:rPr>
          <w:rFonts w:ascii="FrankRuehl" w:hAnsi="FrankRuehl"/>
          <w:color w:val="000000"/>
          <w:sz w:val="28"/>
          <w:rtl/>
        </w:rPr>
        <w:t>פורמלי</w:t>
      </w:r>
      <w:r w:rsidRPr="000F7406">
        <w:rPr>
          <w:rFonts w:ascii="FrankRuehl" w:hAnsi="FrankRuehl" w:hint="cs"/>
          <w:color w:val="000000"/>
          <w:sz w:val="28"/>
          <w:rtl/>
        </w:rPr>
        <w:t>'</w:t>
      </w:r>
      <w:r w:rsidRPr="000F7406">
        <w:rPr>
          <w:rFonts w:ascii="FrankRuehl" w:hAnsi="FrankRuehl"/>
          <w:color w:val="000000"/>
          <w:sz w:val="28"/>
          <w:rtl/>
        </w:rPr>
        <w:t xml:space="preserve"> היה הציון </w:t>
      </w:r>
      <w:r w:rsidRPr="000F7406">
        <w:rPr>
          <w:rFonts w:ascii="FrankRuehl" w:hAnsi="FrankRuehl" w:hint="cs"/>
          <w:color w:val="000000"/>
          <w:sz w:val="28"/>
          <w:rtl/>
        </w:rPr>
        <w:t>'</w:t>
      </w:r>
      <w:r w:rsidRPr="000F7406">
        <w:rPr>
          <w:rFonts w:ascii="FrankRuehl" w:hAnsi="FrankRuehl"/>
          <w:color w:val="000000"/>
          <w:sz w:val="28"/>
          <w:rtl/>
        </w:rPr>
        <w:t>עובר</w:t>
      </w:r>
      <w:r w:rsidRPr="000F7406">
        <w:rPr>
          <w:rFonts w:ascii="FrankRuehl" w:hAnsi="FrankRuehl" w:hint="cs"/>
          <w:color w:val="000000"/>
          <w:sz w:val="28"/>
          <w:rtl/>
        </w:rPr>
        <w:t xml:space="preserve">'" (עניין </w:t>
      </w:r>
      <w:r w:rsidRPr="000F7406">
        <w:rPr>
          <w:rFonts w:cs="Miriam" w:hint="cs"/>
          <w:b/>
          <w:spacing w:val="0"/>
          <w:szCs w:val="24"/>
          <w:rtl/>
        </w:rPr>
        <w:t>הנגבי 2014</w:t>
      </w:r>
      <w:r w:rsidRPr="000F7406">
        <w:rPr>
          <w:rFonts w:ascii="FrankRuehl" w:hAnsi="FrankRuehl" w:hint="cs"/>
          <w:color w:val="000000"/>
          <w:sz w:val="28"/>
          <w:rtl/>
        </w:rPr>
        <w:t xml:space="preserve">, בפסקה ב' לחוות דעתו של המשנה לנשיאה </w:t>
      </w:r>
      <w:r w:rsidRPr="000F7406">
        <w:rPr>
          <w:rFonts w:cs="Miriam" w:hint="cs"/>
          <w:b/>
          <w:spacing w:val="0"/>
          <w:szCs w:val="24"/>
          <w:rtl/>
        </w:rPr>
        <w:t>רובינשטיין</w:t>
      </w:r>
      <w:r w:rsidRPr="000F7406">
        <w:rPr>
          <w:rFonts w:ascii="FrankRuehl" w:hAnsi="FrankRuehl" w:hint="cs"/>
          <w:color w:val="000000"/>
          <w:sz w:val="28"/>
          <w:rtl/>
        </w:rPr>
        <w:t>;</w:t>
      </w:r>
      <w:r w:rsidRPr="0021033D">
        <w:rPr>
          <w:rFonts w:ascii="FrankRuehl" w:hAnsi="FrankRuehl" w:hint="cs"/>
          <w:color w:val="000000"/>
          <w:sz w:val="28"/>
          <w:rtl/>
        </w:rPr>
        <w:t xml:space="preserve"> ראו גם</w:t>
      </w:r>
      <w:r w:rsidRPr="008047AC">
        <w:rPr>
          <w:rFonts w:ascii="FrankRuehl" w:hAnsi="FrankRuehl" w:hint="cs"/>
          <w:color w:val="000000"/>
          <w:sz w:val="28"/>
          <w:rtl/>
        </w:rPr>
        <w:t xml:space="preserve">: </w:t>
      </w:r>
      <w:r w:rsidRPr="008047AC">
        <w:rPr>
          <w:rFonts w:cs="Miriam" w:hint="cs"/>
          <w:b/>
          <w:spacing w:val="0"/>
          <w:szCs w:val="24"/>
          <w:rtl/>
        </w:rPr>
        <w:t>שם</w:t>
      </w:r>
      <w:r w:rsidRPr="008047AC">
        <w:rPr>
          <w:rFonts w:ascii="FrankRuehl" w:hAnsi="FrankRuehl" w:hint="cs"/>
          <w:color w:val="000000"/>
          <w:sz w:val="28"/>
          <w:rtl/>
        </w:rPr>
        <w:t xml:space="preserve">, בפסקה </w:t>
      </w:r>
      <w:r w:rsidRPr="003A512E">
        <w:rPr>
          <w:rFonts w:ascii="FrankRuehl" w:hAnsi="FrankRuehl" w:hint="cs"/>
          <w:color w:val="000000"/>
          <w:sz w:val="28"/>
          <w:rtl/>
        </w:rPr>
        <w:t xml:space="preserve">2 לחוות דעתה של הנשיאה </w:t>
      </w:r>
      <w:r w:rsidRPr="003A512E">
        <w:rPr>
          <w:rFonts w:cs="Miriam" w:hint="cs"/>
          <w:b/>
          <w:spacing w:val="0"/>
          <w:szCs w:val="24"/>
          <w:rtl/>
        </w:rPr>
        <w:t>נאור</w:t>
      </w:r>
      <w:r w:rsidRPr="003A512E">
        <w:rPr>
          <w:rFonts w:ascii="FrankRuehl" w:hAnsi="FrankRuehl" w:hint="cs"/>
          <w:color w:val="000000"/>
          <w:sz w:val="28"/>
          <w:rtl/>
        </w:rPr>
        <w:t xml:space="preserve">; לסקירה עדכנית בעניין זה ראו: בל יוסף ואלעד גיל </w:t>
      </w:r>
      <w:r w:rsidRPr="003A512E">
        <w:rPr>
          <w:rFonts w:hint="cs"/>
          <w:rtl/>
        </w:rPr>
        <w:t>"השימוש</w:t>
      </w:r>
      <w:r w:rsidRPr="00440FC8">
        <w:rPr>
          <w:rFonts w:hint="cs"/>
          <w:rtl/>
        </w:rPr>
        <w:t xml:space="preserve"> בעילת הסבירות בפיקוח על מינויים ציבוריים" </w:t>
      </w:r>
      <w:r w:rsidRPr="00440FC8">
        <w:rPr>
          <w:rFonts w:cs="Miriam" w:hint="cs"/>
          <w:b/>
          <w:spacing w:val="0"/>
          <w:szCs w:val="24"/>
          <w:rtl/>
        </w:rPr>
        <w:t xml:space="preserve">תכלית </w:t>
      </w:r>
      <w:r w:rsidRPr="00440FC8">
        <w:rPr>
          <w:rFonts w:cs="Miriam"/>
          <w:b/>
          <w:spacing w:val="0"/>
          <w:szCs w:val="24"/>
          <w:rtl/>
        </w:rPr>
        <w:t>–</w:t>
      </w:r>
      <w:r w:rsidRPr="00440FC8">
        <w:rPr>
          <w:rFonts w:cs="Miriam" w:hint="cs"/>
          <w:b/>
          <w:spacing w:val="0"/>
          <w:szCs w:val="24"/>
          <w:rtl/>
        </w:rPr>
        <w:t xml:space="preserve"> המכון למדיניות ישראלית</w:t>
      </w:r>
      <w:r w:rsidRPr="00440FC8">
        <w:rPr>
          <w:rFonts w:hint="cs"/>
          <w:rtl/>
        </w:rPr>
        <w:t xml:space="preserve"> (2.7.2023)</w:t>
      </w:r>
      <w:r w:rsidRPr="00440FC8">
        <w:rPr>
          <w:rFonts w:ascii="FrankRuehl" w:hAnsi="FrankRuehl" w:hint="cs"/>
          <w:color w:val="000000"/>
          <w:sz w:val="28"/>
          <w:rtl/>
        </w:rPr>
        <w:t xml:space="preserve">). </w:t>
      </w:r>
      <w:r w:rsidRPr="00440FC8">
        <w:rPr>
          <w:rFonts w:hint="cs"/>
          <w:rtl/>
        </w:rPr>
        <w:t xml:space="preserve">תרומתה של עילת הסבירות לטוהר המידות בשירות הציבורי היא משמעותית בייחוד בהינתן העובדה שהעילה הנוספת שעשויה להיות רלוונטית בהקשר זה </w:t>
      </w:r>
      <w:r w:rsidRPr="00440FC8">
        <w:rPr>
          <w:rtl/>
        </w:rPr>
        <w:t>–</w:t>
      </w:r>
      <w:r w:rsidRPr="00440FC8">
        <w:rPr>
          <w:rFonts w:hint="cs"/>
          <w:rtl/>
        </w:rPr>
        <w:t xml:space="preserve"> עילת השיקולים הזרים שמכוחה ניתן לבחון מינויים פוליטיים פסולים </w:t>
      </w:r>
      <w:r w:rsidRPr="00440FC8">
        <w:rPr>
          <w:rtl/>
        </w:rPr>
        <w:t>–</w:t>
      </w:r>
      <w:r w:rsidRPr="00440FC8">
        <w:rPr>
          <w:rFonts w:hint="cs"/>
          <w:rtl/>
        </w:rPr>
        <w:t xml:space="preserve"> כרוכה בקשיי הוכחה משמעותיים, ובפועל נדירים המקרים שבהם מתקבלת טענה זו ביחס למינוי (ראו:</w:t>
      </w:r>
      <w:r w:rsidRPr="00440FC8">
        <w:rPr>
          <w:rFonts w:cs="Miriam" w:hint="cs"/>
          <w:b/>
          <w:spacing w:val="0"/>
          <w:szCs w:val="24"/>
          <w:rtl/>
        </w:rPr>
        <w:t xml:space="preserve"> ברק-ארז "משפט מינהלי"</w:t>
      </w:r>
      <w:r w:rsidRPr="00440FC8">
        <w:rPr>
          <w:rFonts w:hint="cs"/>
          <w:rtl/>
        </w:rPr>
        <w:t xml:space="preserve">, בעמ' 658; </w:t>
      </w:r>
      <w:r w:rsidRPr="00440FC8">
        <w:rPr>
          <w:rFonts w:ascii="FrankRuehl" w:hAnsi="FrankRuehl"/>
          <w:sz w:val="28"/>
          <w:rtl/>
        </w:rPr>
        <w:t xml:space="preserve">מרים בן-פורת "מינויים פוליטיים (בעיות נקודתיות)" </w:t>
      </w:r>
      <w:r w:rsidRPr="00440FC8">
        <w:rPr>
          <w:rFonts w:ascii="Miriam" w:hAnsi="Miriam" w:cs="Miriam"/>
          <w:spacing w:val="0"/>
          <w:szCs w:val="24"/>
          <w:rtl/>
        </w:rPr>
        <w:t>ספר שמגר</w:t>
      </w:r>
      <w:r w:rsidRPr="00440FC8">
        <w:rPr>
          <w:rFonts w:ascii="FrankRuehl" w:hAnsi="FrankRuehl"/>
          <w:sz w:val="28"/>
          <w:rtl/>
        </w:rPr>
        <w:t xml:space="preserve"> חלק א 91, 110-106 (2003)</w:t>
      </w:r>
      <w:r w:rsidRPr="00440FC8">
        <w:rPr>
          <w:rFonts w:hint="cs"/>
          <w:rtl/>
        </w:rPr>
        <w:t xml:space="preserve">; למקרה נדיר שכזה ראו: </w:t>
      </w:r>
      <w:r w:rsidRPr="00440FC8">
        <w:rPr>
          <w:rFonts w:ascii="FrankRuehl" w:hAnsi="FrankRuehl"/>
          <w:sz w:val="28"/>
          <w:rtl/>
        </w:rPr>
        <w:t xml:space="preserve">בג"ץ 6458/96 </w:t>
      </w:r>
      <w:r w:rsidRPr="00440FC8">
        <w:rPr>
          <w:rFonts w:ascii="Miriam" w:hAnsi="Miriam" w:cs="Miriam"/>
          <w:spacing w:val="0"/>
          <w:szCs w:val="24"/>
          <w:rtl/>
        </w:rPr>
        <w:t>אבו קרינאת נ' שר הפנים</w:t>
      </w:r>
      <w:r w:rsidRPr="00440FC8">
        <w:rPr>
          <w:rFonts w:ascii="FrankRuehl" w:hAnsi="FrankRuehl"/>
          <w:sz w:val="28"/>
          <w:rtl/>
        </w:rPr>
        <w:t xml:space="preserve">, פ"ד נב(2) 132, </w:t>
      </w:r>
      <w:r w:rsidRPr="00440FC8">
        <w:rPr>
          <w:rFonts w:ascii="FrankRuehl" w:hAnsi="FrankRuehl" w:hint="cs"/>
          <w:sz w:val="28"/>
          <w:rtl/>
        </w:rPr>
        <w:t>140-139</w:t>
      </w:r>
      <w:r w:rsidRPr="00440FC8">
        <w:rPr>
          <w:rFonts w:ascii="FrankRuehl" w:hAnsi="FrankRuehl"/>
          <w:sz w:val="28"/>
          <w:rtl/>
        </w:rPr>
        <w:t xml:space="preserve"> (1998)</w:t>
      </w:r>
      <w:r w:rsidRPr="00440FC8">
        <w:rPr>
          <w:rFonts w:hint="cs"/>
          <w:rtl/>
        </w:rPr>
        <w:t>).</w:t>
      </w:r>
      <w:r>
        <w:rPr>
          <w:rFonts w:hint="cs"/>
          <w:rtl/>
        </w:rPr>
        <w:t xml:space="preserve"> </w:t>
      </w:r>
    </w:p>
    <w:p w:rsidR="00C044AE" w:rsidRDefault="00C044AE" w:rsidP="00C044AE">
      <w:pPr>
        <w:pStyle w:val="Ruller41"/>
        <w:rPr>
          <w:rtl/>
        </w:rPr>
      </w:pPr>
    </w:p>
    <w:p w:rsidR="00C044AE" w:rsidRDefault="00C044AE" w:rsidP="00C044AE">
      <w:pPr>
        <w:pStyle w:val="Ruller4"/>
      </w:pPr>
      <w:r>
        <w:rPr>
          <w:rFonts w:hint="cs"/>
          <w:rtl/>
        </w:rPr>
        <w:t xml:space="preserve">חשיבותה של עילת הסבירות ככל שהדבר נוגע להחלטות הדרג הנבחר, באה לידי ביטוי באופן בולט במינויים לתפקידים ציבוריים של מי שדבק בהם פגם מוסרי משמעותי, ואשר בעניינם לא ניתן משקל הולם לעקרונות של טוהר המידות ומנהל תקין </w:t>
      </w:r>
      <w:r w:rsidRPr="00440FC8">
        <w:rPr>
          <w:rFonts w:hint="cs"/>
          <w:rtl/>
        </w:rPr>
        <w:t xml:space="preserve">ולאמון הציבור ברשויות השלטון. כך, מכוח עילת הסבירות נפסל, בין היתר, מינוי של מי שהיה מעורב בעבירות חמורות ביותר, לתפקיד מנכ"ל משרד ממשלתי (עניין </w:t>
      </w:r>
      <w:r w:rsidRPr="00440FC8">
        <w:rPr>
          <w:rFonts w:ascii="Century" w:hAnsi="Century" w:cs="Miriam" w:hint="cs"/>
          <w:b/>
          <w:spacing w:val="0"/>
          <w:sz w:val="22"/>
          <w:szCs w:val="24"/>
          <w:rtl/>
        </w:rPr>
        <w:t>אייזנברג</w:t>
      </w:r>
      <w:r w:rsidRPr="00440FC8">
        <w:rPr>
          <w:rFonts w:hint="cs"/>
          <w:rtl/>
        </w:rPr>
        <w:t xml:space="preserve">; ראו גם: עניין </w:t>
      </w:r>
      <w:r w:rsidRPr="00440FC8">
        <w:rPr>
          <w:rFonts w:ascii="Century" w:hAnsi="Century" w:cs="Miriam" w:hint="cs"/>
          <w:b/>
          <w:spacing w:val="0"/>
          <w:sz w:val="22"/>
          <w:szCs w:val="24"/>
          <w:rtl/>
        </w:rPr>
        <w:t>שריד</w:t>
      </w:r>
      <w:r w:rsidRPr="00440FC8">
        <w:rPr>
          <w:rFonts w:hint="cs"/>
          <w:rtl/>
        </w:rPr>
        <w:t xml:space="preserve">); נקבע כי ראש הממשלה מחויב להעביר מכהונתם שרים וסגני שרים שהוגשו נגדם כתבי אישום בעבירות שחיתות או שהורשעו במספר מקרים בפלילים (עניין </w:t>
      </w:r>
      <w:r w:rsidRPr="00440FC8">
        <w:rPr>
          <w:rFonts w:ascii="Century" w:hAnsi="Century" w:cs="Miriam" w:hint="cs"/>
          <w:b/>
          <w:spacing w:val="0"/>
          <w:sz w:val="22"/>
          <w:szCs w:val="24"/>
          <w:rtl/>
        </w:rPr>
        <w:t>דרעי</w:t>
      </w:r>
      <w:r w:rsidRPr="00440FC8">
        <w:rPr>
          <w:rFonts w:hint="cs"/>
          <w:rtl/>
        </w:rPr>
        <w:t xml:space="preserve">; עניין </w:t>
      </w:r>
      <w:r w:rsidRPr="00440FC8">
        <w:rPr>
          <w:rFonts w:ascii="Century" w:hAnsi="Century" w:cs="Miriam" w:hint="cs"/>
          <w:b/>
          <w:spacing w:val="0"/>
          <w:sz w:val="22"/>
          <w:szCs w:val="24"/>
          <w:rtl/>
        </w:rPr>
        <w:t>פנחסי</w:t>
      </w:r>
      <w:r w:rsidRPr="00440FC8">
        <w:rPr>
          <w:rFonts w:hint="cs"/>
          <w:rtl/>
        </w:rPr>
        <w:t xml:space="preserve">; ועניין </w:t>
      </w:r>
      <w:r w:rsidRPr="00440FC8">
        <w:rPr>
          <w:rFonts w:ascii="Century" w:hAnsi="Century" w:cs="Miriam" w:hint="cs"/>
          <w:b/>
          <w:spacing w:val="0"/>
          <w:sz w:val="22"/>
          <w:szCs w:val="24"/>
          <w:rtl/>
        </w:rPr>
        <w:t>שיינפלד</w:t>
      </w:r>
      <w:r w:rsidRPr="00440FC8">
        <w:rPr>
          <w:rFonts w:hint="cs"/>
          <w:rtl/>
        </w:rPr>
        <w:t>); בוטלה הארכת כהונתו של בכיר במשרד התחבורה שהורשע בדין משמעתי בעבירות שבוצעו במהלך מילוי תפקידו (</w:t>
      </w:r>
      <w:r w:rsidRPr="00440FC8">
        <w:rPr>
          <w:rFonts w:hint="eastAsia"/>
          <w:rtl/>
        </w:rPr>
        <w:t>בג</w:t>
      </w:r>
      <w:r w:rsidRPr="00440FC8">
        <w:rPr>
          <w:rtl/>
        </w:rPr>
        <w:t>"</w:t>
      </w:r>
      <w:r w:rsidRPr="00440FC8">
        <w:rPr>
          <w:rFonts w:hint="eastAsia"/>
          <w:rtl/>
        </w:rPr>
        <w:t>ץ</w:t>
      </w:r>
      <w:r w:rsidRPr="00440FC8">
        <w:rPr>
          <w:rtl/>
        </w:rPr>
        <w:t xml:space="preserve"> 7542</w:t>
      </w:r>
      <w:r w:rsidRPr="00440FC8">
        <w:rPr>
          <w:rFonts w:hint="cs"/>
          <w:rtl/>
        </w:rPr>
        <w:t>/</w:t>
      </w:r>
      <w:r w:rsidRPr="00440FC8">
        <w:rPr>
          <w:rtl/>
        </w:rPr>
        <w:t xml:space="preserve">05 </w:t>
      </w:r>
      <w:r w:rsidRPr="00440FC8">
        <w:rPr>
          <w:rFonts w:ascii="Century" w:hAnsi="Century" w:cs="Miriam" w:hint="eastAsia"/>
          <w:b/>
          <w:spacing w:val="0"/>
          <w:sz w:val="22"/>
          <w:szCs w:val="24"/>
          <w:rtl/>
        </w:rPr>
        <w:t>פורטמן</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נ</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שטרית</w:t>
      </w:r>
      <w:r w:rsidRPr="00440FC8">
        <w:rPr>
          <w:rFonts w:hint="cs"/>
          <w:rtl/>
        </w:rPr>
        <w:t xml:space="preserve"> (11.2.2007)); ובוטלה החלטת שר הביטחון להעלות לדרגת אלוף קצין שהודה בהתנהגות בלתי הולמת על רקע מיני והורשע בדין משמעתי (בג"ץ 1284/99 </w:t>
      </w:r>
      <w:r w:rsidRPr="00440FC8">
        <w:rPr>
          <w:rFonts w:cs="Miriam" w:hint="cs"/>
          <w:b/>
          <w:spacing w:val="0"/>
          <w:szCs w:val="24"/>
          <w:rtl/>
        </w:rPr>
        <w:t>פלונית נ' ראש המטה הכללי</w:t>
      </w:r>
      <w:r w:rsidRPr="00440FC8">
        <w:rPr>
          <w:rFonts w:hint="cs"/>
          <w:rtl/>
        </w:rPr>
        <w:t>, פ"ד נג(2) 62 (1999)).</w:t>
      </w:r>
      <w:r>
        <w:rPr>
          <w:rFonts w:hint="cs"/>
          <w:rtl/>
        </w:rPr>
        <w:t xml:space="preserve"> </w:t>
      </w:r>
    </w:p>
    <w:p w:rsidR="00C044AE" w:rsidRDefault="00C044AE" w:rsidP="00C044AE">
      <w:pPr>
        <w:pStyle w:val="Ruller4"/>
        <w:numPr>
          <w:ilvl w:val="0"/>
          <w:numId w:val="0"/>
        </w:numPr>
        <w:rPr>
          <w:rtl/>
        </w:rPr>
      </w:pPr>
    </w:p>
    <w:p w:rsidR="00C044AE" w:rsidRPr="00E25437" w:rsidRDefault="00C044AE" w:rsidP="00C044AE">
      <w:pPr>
        <w:pStyle w:val="Ruller4"/>
        <w:rPr>
          <w:rFonts w:ascii="Century" w:hAnsi="Century"/>
        </w:rPr>
      </w:pPr>
      <w:r>
        <w:rPr>
          <w:rFonts w:hint="cs"/>
          <w:rtl/>
        </w:rPr>
        <w:t xml:space="preserve">במצבים אחרים היוותה עילת הסבירות בסיס משפטי להגנה מפני פגיעה חריגה בתקינות פעילות המנהל הציבורי. כך למשל, בית משפט זה פסל מינוי שבוצע בניגוד להמלצת ועדת המינויים, </w:t>
      </w:r>
      <w:r w:rsidRPr="00305EE6">
        <w:rPr>
          <w:rFonts w:ascii="Century" w:hAnsi="Century"/>
          <w:sz w:val="22"/>
          <w:rtl/>
        </w:rPr>
        <w:t xml:space="preserve">תוך </w:t>
      </w:r>
      <w:r>
        <w:rPr>
          <w:rFonts w:ascii="Century" w:hAnsi="Century" w:hint="cs"/>
          <w:sz w:val="22"/>
          <w:rtl/>
        </w:rPr>
        <w:t>שצוין</w:t>
      </w:r>
      <w:r w:rsidRPr="00305EE6">
        <w:rPr>
          <w:rFonts w:ascii="Century" w:hAnsi="Century"/>
          <w:sz w:val="22"/>
          <w:rtl/>
        </w:rPr>
        <w:t xml:space="preserve"> </w:t>
      </w:r>
      <w:r w:rsidRPr="00305EE6">
        <w:rPr>
          <w:rFonts w:ascii="Century" w:hAnsi="Century" w:hint="cs"/>
          <w:sz w:val="22"/>
          <w:rtl/>
        </w:rPr>
        <w:t>שהרושם המתקבל הוא כי "</w:t>
      </w:r>
      <w:r>
        <w:rPr>
          <w:rFonts w:ascii="Century" w:hAnsi="Century" w:hint="cs"/>
          <w:sz w:val="22"/>
          <w:rtl/>
        </w:rPr>
        <w:t>המניע ה</w:t>
      </w:r>
      <w:r w:rsidRPr="00305EE6">
        <w:rPr>
          <w:rFonts w:ascii="Century" w:hAnsi="Century" w:hint="cs"/>
          <w:sz w:val="22"/>
          <w:rtl/>
        </w:rPr>
        <w:t>ד</w:t>
      </w:r>
      <w:r>
        <w:rPr>
          <w:rFonts w:ascii="Century" w:hAnsi="Century" w:hint="cs"/>
          <w:sz w:val="22"/>
          <w:rtl/>
        </w:rPr>
        <w:t>ו</w:t>
      </w:r>
      <w:r w:rsidRPr="00305EE6">
        <w:rPr>
          <w:rFonts w:ascii="Century" w:hAnsi="Century" w:hint="cs"/>
          <w:sz w:val="22"/>
          <w:rtl/>
        </w:rPr>
        <w:t>מיננטי" למינוי היה "הזיקה הפוליטי</w:t>
      </w:r>
      <w:r>
        <w:rPr>
          <w:rFonts w:ascii="Century" w:hAnsi="Century" w:hint="cs"/>
          <w:sz w:val="22"/>
          <w:rtl/>
        </w:rPr>
        <w:t>ת ההדוקה" בין הממונה לשר האחראי, להבדיל מ</w:t>
      </w:r>
      <w:r>
        <w:rPr>
          <w:rFonts w:hint="cs"/>
          <w:rtl/>
        </w:rPr>
        <w:t xml:space="preserve">שיקולים מקצועיים </w:t>
      </w:r>
      <w:r w:rsidRPr="00440FC8">
        <w:rPr>
          <w:rFonts w:hint="cs"/>
          <w:rtl/>
        </w:rPr>
        <w:t xml:space="preserve">של התאמה לתפקיד (עניין </w:t>
      </w:r>
      <w:r w:rsidRPr="00440FC8">
        <w:rPr>
          <w:rFonts w:ascii="Century" w:hAnsi="Century" w:cs="Miriam" w:hint="cs"/>
          <w:b/>
          <w:spacing w:val="0"/>
          <w:sz w:val="22"/>
          <w:szCs w:val="24"/>
          <w:rtl/>
        </w:rPr>
        <w:t>ג'רבי</w:t>
      </w:r>
      <w:r w:rsidRPr="003A512E">
        <w:rPr>
          <w:rFonts w:ascii="Century" w:hAnsi="Century" w:hint="cs"/>
          <w:sz w:val="22"/>
          <w:rtl/>
        </w:rPr>
        <w:t>, בפסקה 62 לחוות דעתה של השופטת</w:t>
      </w:r>
      <w:r w:rsidRPr="003A512E">
        <w:rPr>
          <w:rFonts w:ascii="Century" w:hAnsi="Century" w:cs="Miriam" w:hint="cs"/>
          <w:b/>
          <w:spacing w:val="0"/>
          <w:sz w:val="22"/>
          <w:szCs w:val="24"/>
          <w:rtl/>
        </w:rPr>
        <w:t xml:space="preserve"> </w:t>
      </w:r>
      <w:r>
        <w:rPr>
          <w:rFonts w:ascii="Century" w:hAnsi="Century" w:cs="Miriam" w:hint="cs"/>
          <w:b/>
          <w:spacing w:val="0"/>
          <w:sz w:val="22"/>
          <w:szCs w:val="24"/>
          <w:rtl/>
        </w:rPr>
        <w:t>פרוקצ'יה</w:t>
      </w:r>
      <w:r w:rsidRPr="00440FC8">
        <w:rPr>
          <w:rFonts w:hint="cs"/>
          <w:rtl/>
        </w:rPr>
        <w:t xml:space="preserve">). עוד </w:t>
      </w:r>
      <w:r w:rsidRPr="00440FC8">
        <w:rPr>
          <w:rFonts w:ascii="Century" w:hAnsi="Century" w:hint="cs"/>
          <w:shd w:val="clear" w:color="auto" w:fill="FFFFFF"/>
          <w:rtl/>
        </w:rPr>
        <w:t xml:space="preserve">קבע בית המשפט בעבר כי מצב שבו </w:t>
      </w:r>
      <w:r w:rsidRPr="00440FC8">
        <w:rPr>
          <w:rFonts w:ascii="Century" w:hAnsi="Century"/>
          <w:shd w:val="clear" w:color="auto" w:fill="FFFFFF"/>
          <w:rtl/>
        </w:rPr>
        <w:t xml:space="preserve">סגן שר </w:t>
      </w:r>
      <w:r w:rsidRPr="00440FC8">
        <w:rPr>
          <w:rFonts w:ascii="Century" w:hAnsi="Century" w:hint="cs"/>
          <w:shd w:val="clear" w:color="auto" w:fill="FFFFFF"/>
          <w:rtl/>
        </w:rPr>
        <w:t>מחזיק בפועל ב</w:t>
      </w:r>
      <w:r w:rsidRPr="00440FC8">
        <w:rPr>
          <w:rFonts w:ascii="Century" w:hAnsi="Century"/>
          <w:shd w:val="clear" w:color="auto" w:fill="FFFFFF"/>
          <w:rtl/>
        </w:rPr>
        <w:t>סמכויות המשרד</w:t>
      </w:r>
      <w:r w:rsidRPr="00440FC8">
        <w:rPr>
          <w:rFonts w:ascii="Century" w:hAnsi="Century" w:hint="cs"/>
          <w:shd w:val="clear" w:color="auto" w:fill="FFFFFF"/>
          <w:rtl/>
        </w:rPr>
        <w:t xml:space="preserve"> בעוד ראש הממשלה מוגדר כשר</w:t>
      </w:r>
      <w:r>
        <w:rPr>
          <w:rFonts w:ascii="Century" w:hAnsi="Century" w:hint="cs"/>
          <w:shd w:val="clear" w:color="auto" w:fill="FFFFFF"/>
          <w:rtl/>
        </w:rPr>
        <w:t xml:space="preserve"> ("סגן שר במעמד שר")</w:t>
      </w:r>
      <w:r w:rsidRPr="00440FC8">
        <w:rPr>
          <w:rFonts w:ascii="Century" w:hAnsi="Century" w:hint="cs"/>
          <w:shd w:val="clear" w:color="auto" w:fill="FFFFFF"/>
          <w:rtl/>
        </w:rPr>
        <w:t xml:space="preserve">, הוא </w:t>
      </w:r>
      <w:r w:rsidRPr="00440FC8">
        <w:rPr>
          <w:rFonts w:ascii="Century" w:hAnsi="Century"/>
          <w:shd w:val="clear" w:color="auto" w:fill="FFFFFF"/>
          <w:rtl/>
        </w:rPr>
        <w:t>בלתי</w:t>
      </w:r>
      <w:r w:rsidRPr="00440FC8">
        <w:rPr>
          <w:rFonts w:ascii="Century" w:hAnsi="Century" w:hint="cs"/>
          <w:shd w:val="clear" w:color="auto" w:fill="FFFFFF"/>
          <w:rtl/>
        </w:rPr>
        <w:t>-</w:t>
      </w:r>
      <w:r w:rsidRPr="00440FC8">
        <w:rPr>
          <w:rFonts w:ascii="Century" w:hAnsi="Century"/>
          <w:shd w:val="clear" w:color="auto" w:fill="FFFFFF"/>
          <w:rtl/>
        </w:rPr>
        <w:t>סביר בצורה קיצונית</w:t>
      </w:r>
      <w:r w:rsidRPr="00440FC8">
        <w:rPr>
          <w:rFonts w:ascii="Century" w:hAnsi="Century" w:hint="cs"/>
          <w:shd w:val="clear" w:color="auto" w:fill="FFFFFF"/>
          <w:rtl/>
        </w:rPr>
        <w:t xml:space="preserve"> (</w:t>
      </w:r>
      <w:r w:rsidRPr="00440FC8">
        <w:rPr>
          <w:rFonts w:ascii="Century" w:hAnsi="Century" w:hint="eastAsia"/>
          <w:rtl/>
        </w:rPr>
        <w:t>בג</w:t>
      </w:r>
      <w:r w:rsidRPr="00440FC8">
        <w:rPr>
          <w:rFonts w:ascii="Century" w:hAnsi="Century"/>
          <w:rtl/>
        </w:rPr>
        <w:t>"</w:t>
      </w:r>
      <w:r w:rsidRPr="00440FC8">
        <w:rPr>
          <w:rFonts w:ascii="Century" w:hAnsi="Century" w:hint="eastAsia"/>
          <w:rtl/>
        </w:rPr>
        <w:t>ץ</w:t>
      </w:r>
      <w:r w:rsidRPr="00440FC8">
        <w:rPr>
          <w:rFonts w:ascii="Century" w:hAnsi="Century"/>
          <w:rtl/>
        </w:rPr>
        <w:t xml:space="preserve"> 3132/15 </w:t>
      </w:r>
      <w:r w:rsidRPr="00440FC8">
        <w:rPr>
          <w:rFonts w:ascii="Century" w:hAnsi="Century" w:cs="Miriam" w:hint="eastAsia"/>
          <w:b/>
          <w:spacing w:val="0"/>
          <w:szCs w:val="24"/>
          <w:rtl/>
        </w:rPr>
        <w:t>מפלגת</w:t>
      </w:r>
      <w:r w:rsidRPr="00440FC8">
        <w:rPr>
          <w:rFonts w:ascii="Century" w:hAnsi="Century" w:cs="Miriam"/>
          <w:b/>
          <w:spacing w:val="0"/>
          <w:szCs w:val="24"/>
          <w:rtl/>
        </w:rPr>
        <w:t xml:space="preserve"> </w:t>
      </w:r>
      <w:r w:rsidRPr="00440FC8">
        <w:rPr>
          <w:rFonts w:ascii="Century" w:hAnsi="Century" w:cs="Miriam" w:hint="eastAsia"/>
          <w:b/>
          <w:spacing w:val="0"/>
          <w:szCs w:val="24"/>
          <w:rtl/>
        </w:rPr>
        <w:t>יש</w:t>
      </w:r>
      <w:r w:rsidRPr="00440FC8">
        <w:rPr>
          <w:rFonts w:ascii="Century" w:hAnsi="Century" w:cs="Miriam"/>
          <w:b/>
          <w:spacing w:val="0"/>
          <w:szCs w:val="24"/>
          <w:rtl/>
        </w:rPr>
        <w:t xml:space="preserve"> </w:t>
      </w:r>
      <w:r w:rsidRPr="00440FC8">
        <w:rPr>
          <w:rFonts w:ascii="Century" w:hAnsi="Century" w:cs="Miriam" w:hint="eastAsia"/>
          <w:b/>
          <w:spacing w:val="0"/>
          <w:szCs w:val="24"/>
          <w:rtl/>
        </w:rPr>
        <w:t>עתיד</w:t>
      </w:r>
      <w:r w:rsidRPr="00440FC8">
        <w:rPr>
          <w:rFonts w:ascii="Century" w:hAnsi="Century" w:cs="Miriam"/>
          <w:b/>
          <w:spacing w:val="0"/>
          <w:szCs w:val="24"/>
          <w:rtl/>
        </w:rPr>
        <w:t xml:space="preserve"> </w:t>
      </w:r>
      <w:r w:rsidRPr="00440FC8">
        <w:rPr>
          <w:rFonts w:ascii="Century" w:hAnsi="Century" w:cs="Miriam" w:hint="eastAsia"/>
          <w:b/>
          <w:spacing w:val="0"/>
          <w:szCs w:val="24"/>
          <w:rtl/>
        </w:rPr>
        <w:t>בראשות</w:t>
      </w:r>
      <w:r w:rsidRPr="00440FC8">
        <w:rPr>
          <w:rFonts w:ascii="Century" w:hAnsi="Century" w:cs="Miriam"/>
          <w:b/>
          <w:spacing w:val="0"/>
          <w:szCs w:val="24"/>
          <w:rtl/>
        </w:rPr>
        <w:t xml:space="preserve"> </w:t>
      </w:r>
      <w:r w:rsidRPr="00440FC8">
        <w:rPr>
          <w:rFonts w:ascii="Century" w:hAnsi="Century" w:cs="Miriam" w:hint="eastAsia"/>
          <w:b/>
          <w:spacing w:val="0"/>
          <w:szCs w:val="24"/>
          <w:rtl/>
        </w:rPr>
        <w:t>יאיר</w:t>
      </w:r>
      <w:r w:rsidRPr="00440FC8">
        <w:rPr>
          <w:rFonts w:ascii="Century" w:hAnsi="Century" w:cs="Miriam"/>
          <w:b/>
          <w:spacing w:val="0"/>
          <w:szCs w:val="24"/>
          <w:rtl/>
        </w:rPr>
        <w:t xml:space="preserve"> </w:t>
      </w:r>
      <w:r w:rsidRPr="00440FC8">
        <w:rPr>
          <w:rFonts w:ascii="Century" w:hAnsi="Century" w:cs="Miriam" w:hint="eastAsia"/>
          <w:b/>
          <w:spacing w:val="0"/>
          <w:szCs w:val="24"/>
          <w:rtl/>
        </w:rPr>
        <w:t>לפיד</w:t>
      </w:r>
      <w:r w:rsidRPr="00440FC8">
        <w:rPr>
          <w:rFonts w:ascii="Century" w:hAnsi="Century" w:cs="Miriam"/>
          <w:b/>
          <w:spacing w:val="0"/>
          <w:szCs w:val="24"/>
          <w:rtl/>
        </w:rPr>
        <w:t xml:space="preserve"> </w:t>
      </w:r>
      <w:r w:rsidRPr="00440FC8">
        <w:rPr>
          <w:rFonts w:ascii="Century" w:hAnsi="Century" w:cs="Miriam" w:hint="eastAsia"/>
          <w:b/>
          <w:spacing w:val="0"/>
          <w:szCs w:val="24"/>
          <w:rtl/>
        </w:rPr>
        <w:t>נ</w:t>
      </w:r>
      <w:r w:rsidRPr="00440FC8">
        <w:rPr>
          <w:rFonts w:ascii="Century" w:hAnsi="Century" w:cs="Miriam"/>
          <w:b/>
          <w:spacing w:val="0"/>
          <w:szCs w:val="24"/>
          <w:rtl/>
        </w:rPr>
        <w:t xml:space="preserve">' </w:t>
      </w:r>
      <w:r w:rsidRPr="00440FC8">
        <w:rPr>
          <w:rFonts w:ascii="Century" w:hAnsi="Century" w:cs="Miriam" w:hint="eastAsia"/>
          <w:b/>
          <w:spacing w:val="0"/>
          <w:szCs w:val="24"/>
          <w:rtl/>
        </w:rPr>
        <w:t>ראש</w:t>
      </w:r>
      <w:r w:rsidRPr="00440FC8">
        <w:rPr>
          <w:rFonts w:ascii="Century" w:hAnsi="Century" w:cs="Miriam"/>
          <w:b/>
          <w:spacing w:val="0"/>
          <w:szCs w:val="24"/>
          <w:rtl/>
        </w:rPr>
        <w:t xml:space="preserve"> </w:t>
      </w:r>
      <w:r w:rsidRPr="00440FC8">
        <w:rPr>
          <w:rFonts w:ascii="Century" w:hAnsi="Century" w:cs="Miriam" w:hint="eastAsia"/>
          <w:b/>
          <w:spacing w:val="0"/>
          <w:szCs w:val="24"/>
          <w:rtl/>
        </w:rPr>
        <w:t>ממשלת</w:t>
      </w:r>
      <w:r w:rsidRPr="00440FC8">
        <w:rPr>
          <w:rFonts w:ascii="Century" w:hAnsi="Century" w:cs="Miriam"/>
          <w:b/>
          <w:spacing w:val="0"/>
          <w:szCs w:val="24"/>
          <w:rtl/>
        </w:rPr>
        <w:t xml:space="preserve"> </w:t>
      </w:r>
      <w:r w:rsidRPr="00440FC8">
        <w:rPr>
          <w:rFonts w:ascii="Century" w:hAnsi="Century" w:cs="Miriam" w:hint="eastAsia"/>
          <w:b/>
          <w:spacing w:val="0"/>
          <w:szCs w:val="24"/>
          <w:rtl/>
        </w:rPr>
        <w:t>ישראל</w:t>
      </w:r>
      <w:r w:rsidRPr="00440FC8">
        <w:rPr>
          <w:rFonts w:ascii="Century" w:hAnsi="Century"/>
          <w:rtl/>
        </w:rPr>
        <w:t xml:space="preserve"> (23.8.2015)</w:t>
      </w:r>
      <w:r w:rsidRPr="00440FC8">
        <w:rPr>
          <w:rFonts w:ascii="Century" w:hAnsi="Century" w:hint="cs"/>
          <w:rtl/>
        </w:rPr>
        <w:t>). בפסיקה אף צוין כי הימנעות ממינוי לתפקידים חיוניים, תוך הותרת המשרה בלתי מאוישת לאורך זמן, גורמת לפגיעה קשה בציבור ועשויה להיחשב בלתי סבירה</w:t>
      </w:r>
      <w:r w:rsidRPr="00440FC8">
        <w:rPr>
          <w:rFonts w:ascii="FrankRuehl" w:hAnsi="FrankRuehl"/>
          <w:sz w:val="28"/>
          <w:rtl/>
        </w:rPr>
        <w:t xml:space="preserve"> (</w:t>
      </w:r>
      <w:r w:rsidRPr="00440FC8">
        <w:rPr>
          <w:rFonts w:ascii="FrankRuehl" w:hAnsi="FrankRuehl" w:hint="cs"/>
          <w:sz w:val="28"/>
          <w:rtl/>
        </w:rPr>
        <w:t xml:space="preserve">ראו: </w:t>
      </w:r>
      <w:r w:rsidRPr="00440FC8">
        <w:rPr>
          <w:rFonts w:ascii="FrankRuehl" w:hAnsi="FrankRuehl"/>
          <w:sz w:val="28"/>
          <w:rtl/>
        </w:rPr>
        <w:t xml:space="preserve">בג"ץ 258/13 </w:t>
      </w:r>
      <w:r w:rsidRPr="00440FC8">
        <w:rPr>
          <w:rFonts w:ascii="Miriam" w:hAnsi="Miriam" w:cs="Miriam"/>
          <w:spacing w:val="0"/>
          <w:szCs w:val="24"/>
          <w:rtl/>
        </w:rPr>
        <w:t>חי נ' ועדת החריגים לקציבת כהונת משרה בכירים</w:t>
      </w:r>
      <w:r>
        <w:rPr>
          <w:rFonts w:ascii="Miriam" w:hAnsi="Miriam" w:cs="Miriam" w:hint="cs"/>
          <w:spacing w:val="0"/>
          <w:szCs w:val="24"/>
          <w:rtl/>
        </w:rPr>
        <w:t xml:space="preserve"> מכהנים במשרד ראש הממשלה</w:t>
      </w:r>
      <w:r w:rsidRPr="00440FC8">
        <w:rPr>
          <w:rFonts w:ascii="FrankRuehl" w:hAnsi="FrankRuehl"/>
          <w:sz w:val="28"/>
          <w:rtl/>
        </w:rPr>
        <w:t xml:space="preserve">, פסקה 19 (20.3.2013); בג"ץ 1004/15 </w:t>
      </w:r>
      <w:r w:rsidRPr="00440FC8">
        <w:rPr>
          <w:rFonts w:ascii="Miriam" w:hAnsi="Miriam" w:cs="Miriam"/>
          <w:spacing w:val="0"/>
          <w:szCs w:val="24"/>
          <w:rtl/>
        </w:rPr>
        <w:t>התנועה למשילות ודמוקרטיה נ' השר לבטחון פנים</w:t>
      </w:r>
      <w:r w:rsidRPr="00440FC8">
        <w:rPr>
          <w:rFonts w:ascii="FrankRuehl" w:hAnsi="FrankRuehl"/>
          <w:sz w:val="28"/>
          <w:rtl/>
        </w:rPr>
        <w:t xml:space="preserve">, </w:t>
      </w:r>
      <w:r>
        <w:rPr>
          <w:rFonts w:ascii="FrankRuehl" w:hAnsi="FrankRuehl" w:hint="cs"/>
          <w:sz w:val="28"/>
          <w:rtl/>
        </w:rPr>
        <w:t>פסקאות</w:t>
      </w:r>
      <w:r w:rsidRPr="00440FC8">
        <w:rPr>
          <w:rFonts w:ascii="FrankRuehl" w:hAnsi="FrankRuehl"/>
          <w:sz w:val="28"/>
          <w:rtl/>
        </w:rPr>
        <w:t xml:space="preserve"> </w:t>
      </w:r>
      <w:r>
        <w:rPr>
          <w:rFonts w:ascii="FrankRuehl" w:hAnsi="FrankRuehl" w:hint="cs"/>
          <w:sz w:val="28"/>
          <w:rtl/>
        </w:rPr>
        <w:t>16-15</w:t>
      </w:r>
      <w:r w:rsidRPr="00440FC8">
        <w:rPr>
          <w:rFonts w:ascii="FrankRuehl" w:hAnsi="FrankRuehl"/>
          <w:sz w:val="28"/>
          <w:rtl/>
        </w:rPr>
        <w:t xml:space="preserve"> לחוות דעתה של הנשיאה </w:t>
      </w:r>
      <w:r w:rsidRPr="00440FC8">
        <w:rPr>
          <w:rFonts w:ascii="Miriam" w:hAnsi="Miriam" w:cs="Miriam"/>
          <w:spacing w:val="0"/>
          <w:szCs w:val="24"/>
          <w:rtl/>
        </w:rPr>
        <w:t>נאור</w:t>
      </w:r>
      <w:r w:rsidRPr="00440FC8">
        <w:rPr>
          <w:rFonts w:ascii="FrankRuehl" w:hAnsi="FrankRuehl"/>
          <w:sz w:val="28"/>
          <w:rtl/>
        </w:rPr>
        <w:t xml:space="preserve"> (1.4.2015))</w:t>
      </w:r>
      <w:r w:rsidRPr="00440FC8">
        <w:rPr>
          <w:rFonts w:ascii="Century" w:hAnsi="Century" w:hint="cs"/>
          <w:rtl/>
        </w:rPr>
        <w:t>.</w:t>
      </w:r>
    </w:p>
    <w:p w:rsidR="00C044AE" w:rsidRDefault="00C044AE" w:rsidP="00C044AE">
      <w:pPr>
        <w:pStyle w:val="Ruller4"/>
        <w:numPr>
          <w:ilvl w:val="0"/>
          <w:numId w:val="0"/>
        </w:numPr>
        <w:rPr>
          <w:rFonts w:ascii="Century" w:hAnsi="Century"/>
          <w:rtl/>
        </w:rPr>
      </w:pPr>
    </w:p>
    <w:p w:rsidR="00C044AE" w:rsidRPr="00440FC8" w:rsidRDefault="00C044AE" w:rsidP="00C044AE">
      <w:pPr>
        <w:pStyle w:val="Ruller4"/>
        <w:rPr>
          <w:rtl/>
        </w:rPr>
      </w:pPr>
      <w:r>
        <w:rPr>
          <w:rtl/>
        </w:rPr>
        <w:tab/>
      </w:r>
      <w:r>
        <w:rPr>
          <w:rFonts w:hint="cs"/>
          <w:rtl/>
        </w:rPr>
        <w:t xml:space="preserve"> הסכנה הטמונה בשלילת האפשרות להתערבות שיפוטית במקרים קיצוניים שבהם נפל פגם חמור במינויים המבוצעים על-ידי הממשלה ושריה, היא גדולה במיוחד. זאת בהתחשב בטיבם של המינויים שעליהם הם מופקדים. הממשלה אחראית על מינוי התפקידים הבכירים ביותר בשירות המדינה ובהם הרמטכ"ל, ראש השב"כ, מפכ"ל המשטרה, נגיד בנק ישראל ונציב שירות בתי </w:t>
      </w:r>
      <w:r w:rsidRPr="00413BD8">
        <w:rPr>
          <w:rFonts w:hint="cs"/>
          <w:rtl/>
        </w:rPr>
        <w:t>הסוהר (סעיף 3(ג) לחוק-יסוד: הצבא; סעיף 3(א) לחוק שירות הביטחון הכללי, התשס"ב-2002; סעיף 8א ל</w:t>
      </w:r>
      <w:r w:rsidRPr="00413BD8">
        <w:rPr>
          <w:rFonts w:hint="eastAsia"/>
          <w:rtl/>
        </w:rPr>
        <w:t>פקודת</w:t>
      </w:r>
      <w:r w:rsidRPr="00413BD8">
        <w:rPr>
          <w:rtl/>
        </w:rPr>
        <w:t xml:space="preserve"> </w:t>
      </w:r>
      <w:r w:rsidRPr="00413BD8">
        <w:rPr>
          <w:rFonts w:hint="eastAsia"/>
          <w:rtl/>
        </w:rPr>
        <w:t>המשטרה</w:t>
      </w:r>
      <w:r w:rsidRPr="00413BD8">
        <w:rPr>
          <w:rtl/>
        </w:rPr>
        <w:t xml:space="preserve"> [</w:t>
      </w:r>
      <w:r w:rsidRPr="00413BD8">
        <w:rPr>
          <w:rFonts w:hint="eastAsia"/>
          <w:rtl/>
        </w:rPr>
        <w:t>נוסח</w:t>
      </w:r>
      <w:r w:rsidRPr="00413BD8">
        <w:rPr>
          <w:rtl/>
        </w:rPr>
        <w:t xml:space="preserve"> </w:t>
      </w:r>
      <w:r w:rsidRPr="00413BD8">
        <w:rPr>
          <w:rFonts w:hint="eastAsia"/>
          <w:rtl/>
        </w:rPr>
        <w:t>חדש</w:t>
      </w:r>
      <w:r w:rsidRPr="00413BD8">
        <w:rPr>
          <w:rtl/>
        </w:rPr>
        <w:t xml:space="preserve">], </w:t>
      </w:r>
      <w:r w:rsidRPr="00413BD8">
        <w:rPr>
          <w:rFonts w:hint="cs"/>
          <w:rtl/>
        </w:rPr>
        <w:t>ה</w:t>
      </w:r>
      <w:r w:rsidRPr="00413BD8">
        <w:rPr>
          <w:rFonts w:hint="eastAsia"/>
          <w:rtl/>
        </w:rPr>
        <w:t>תשל</w:t>
      </w:r>
      <w:r w:rsidRPr="00413BD8">
        <w:rPr>
          <w:rtl/>
        </w:rPr>
        <w:t>"</w:t>
      </w:r>
      <w:r w:rsidRPr="00413BD8">
        <w:rPr>
          <w:rFonts w:hint="eastAsia"/>
          <w:rtl/>
        </w:rPr>
        <w:t>א</w:t>
      </w:r>
      <w:r w:rsidRPr="00413BD8">
        <w:rPr>
          <w:rtl/>
        </w:rPr>
        <w:t>-1971</w:t>
      </w:r>
      <w:r>
        <w:rPr>
          <w:rFonts w:hint="cs"/>
          <w:rtl/>
        </w:rPr>
        <w:t xml:space="preserve"> (להלן: </w:t>
      </w:r>
      <w:r w:rsidRPr="003A512E">
        <w:rPr>
          <w:rFonts w:cs="Miriam" w:hint="eastAsia"/>
          <w:b/>
          <w:spacing w:val="0"/>
          <w:szCs w:val="24"/>
          <w:rtl/>
        </w:rPr>
        <w:t>פקודת</w:t>
      </w:r>
      <w:r w:rsidRPr="003A512E">
        <w:rPr>
          <w:rFonts w:cs="Miriam"/>
          <w:b/>
          <w:spacing w:val="0"/>
          <w:szCs w:val="24"/>
          <w:rtl/>
        </w:rPr>
        <w:t xml:space="preserve"> </w:t>
      </w:r>
      <w:r w:rsidRPr="003A512E">
        <w:rPr>
          <w:rFonts w:cs="Miriam" w:hint="eastAsia"/>
          <w:b/>
          <w:spacing w:val="0"/>
          <w:szCs w:val="24"/>
          <w:rtl/>
        </w:rPr>
        <w:t>המשטרה</w:t>
      </w:r>
      <w:r>
        <w:rPr>
          <w:rFonts w:hint="cs"/>
          <w:rtl/>
        </w:rPr>
        <w:t>)</w:t>
      </w:r>
      <w:r w:rsidRPr="00413BD8">
        <w:rPr>
          <w:rFonts w:hint="cs"/>
          <w:rtl/>
        </w:rPr>
        <w:t xml:space="preserve">; </w:t>
      </w:r>
      <w:r w:rsidRPr="00413BD8">
        <w:rPr>
          <w:rFonts w:ascii="FrankRuehl" w:hAnsi="FrankRuehl"/>
          <w:sz w:val="28"/>
          <w:rtl/>
        </w:rPr>
        <w:t>סעיף 6 לחוק בנק ישראל, התש"ע-2010; סע</w:t>
      </w:r>
      <w:r w:rsidRPr="00413BD8">
        <w:rPr>
          <w:rFonts w:ascii="FrankRuehl" w:hAnsi="FrankRuehl" w:hint="cs"/>
          <w:sz w:val="28"/>
          <w:rtl/>
        </w:rPr>
        <w:t>י</w:t>
      </w:r>
      <w:r w:rsidRPr="00413BD8">
        <w:rPr>
          <w:rFonts w:ascii="FrankRuehl" w:hAnsi="FrankRuehl"/>
          <w:sz w:val="28"/>
          <w:rtl/>
        </w:rPr>
        <w:t>ף 78 לפקודת בתי הסוהר [נוסח חדש], התשל"ב-1971</w:t>
      </w:r>
      <w:r>
        <w:rPr>
          <w:rFonts w:ascii="FrankRuehl" w:hAnsi="FrankRuehl" w:hint="cs"/>
          <w:sz w:val="28"/>
          <w:rtl/>
        </w:rPr>
        <w:t xml:space="preserve"> (להלן: </w:t>
      </w:r>
      <w:r w:rsidRPr="003A512E">
        <w:rPr>
          <w:rFonts w:cs="Miriam" w:hint="eastAsia"/>
          <w:b/>
          <w:spacing w:val="0"/>
          <w:szCs w:val="24"/>
          <w:rtl/>
        </w:rPr>
        <w:t>פקודת</w:t>
      </w:r>
      <w:r w:rsidRPr="003A512E">
        <w:rPr>
          <w:rFonts w:cs="Miriam"/>
          <w:b/>
          <w:spacing w:val="0"/>
          <w:szCs w:val="24"/>
          <w:rtl/>
        </w:rPr>
        <w:t xml:space="preserve"> </w:t>
      </w:r>
      <w:r w:rsidRPr="003A512E">
        <w:rPr>
          <w:rFonts w:cs="Miriam" w:hint="eastAsia"/>
          <w:b/>
          <w:spacing w:val="0"/>
          <w:szCs w:val="24"/>
          <w:rtl/>
        </w:rPr>
        <w:t>בתי</w:t>
      </w:r>
      <w:r w:rsidRPr="003A512E">
        <w:rPr>
          <w:rFonts w:cs="Miriam"/>
          <w:b/>
          <w:spacing w:val="0"/>
          <w:szCs w:val="24"/>
          <w:rtl/>
        </w:rPr>
        <w:t xml:space="preserve"> </w:t>
      </w:r>
      <w:r w:rsidRPr="003A512E">
        <w:rPr>
          <w:rFonts w:cs="Miriam" w:hint="eastAsia"/>
          <w:b/>
          <w:spacing w:val="0"/>
          <w:szCs w:val="24"/>
          <w:rtl/>
        </w:rPr>
        <w:t>הסוהר</w:t>
      </w:r>
      <w:r>
        <w:rPr>
          <w:rFonts w:ascii="FrankRuehl" w:hAnsi="FrankRuehl" w:hint="cs"/>
          <w:sz w:val="28"/>
          <w:rtl/>
        </w:rPr>
        <w:t>)</w:t>
      </w:r>
      <w:r w:rsidRPr="00413BD8">
        <w:rPr>
          <w:rFonts w:hint="cs"/>
          <w:rtl/>
        </w:rPr>
        <w:t xml:space="preserve">). כמו כן, סעיף 23 לחוק שירות המדינה (מינויים), התשי"ט-1959 (להלן: </w:t>
      </w:r>
      <w:r w:rsidRPr="00413BD8">
        <w:rPr>
          <w:rFonts w:cs="Miriam" w:hint="cs"/>
          <w:b/>
          <w:spacing w:val="0"/>
          <w:szCs w:val="24"/>
          <w:rtl/>
        </w:rPr>
        <w:t>חוק שירות המדינה</w:t>
      </w:r>
      <w:r w:rsidRPr="00413BD8">
        <w:rPr>
          <w:rFonts w:hint="cs"/>
          <w:rtl/>
        </w:rPr>
        <w:t>)),</w:t>
      </w:r>
      <w:r>
        <w:rPr>
          <w:rFonts w:hint="cs"/>
          <w:rtl/>
        </w:rPr>
        <w:t xml:space="preserve"> מאפשר לממשלה לקבוע אילו מינויים טעונים אישור שלה, </w:t>
      </w:r>
      <w:r w:rsidRPr="00C81788">
        <w:rPr>
          <w:rFonts w:hint="cs"/>
          <w:rtl/>
        </w:rPr>
        <w:t>וכיום רשימה זו כוללת, בין היתר, את ראש המטה לביטחון לאומי, היועץ המשפטי לממשלה והמשנים שלו, פרקליט המדינה, ראש הוועדה לאנרגיה אטומית, ראש המועצה הלאומית לכלכלה, החשב הכללי, הממונה על התקציבים, הממונה על שוק ההון, מנהל רשות המיסים, ראש רשות האוכלוסין וההגירה, שגרירי ישראל בעולם ועוד (ראו</w:t>
      </w:r>
      <w:r w:rsidRPr="00440FC8">
        <w:rPr>
          <w:rFonts w:hint="cs"/>
          <w:rtl/>
        </w:rPr>
        <w:t xml:space="preserve">: התוספת השנייה לחוק שירות המדינה). לצד זאת, קיימת שורה ארוכה של מינויים בכירים המצויים בסמכותם של שרי הממשלה (ראו, למשל: </w:t>
      </w:r>
      <w:r w:rsidRPr="00440FC8">
        <w:rPr>
          <w:rFonts w:hint="eastAsia"/>
          <w:rtl/>
        </w:rPr>
        <w:t>סעיף</w:t>
      </w:r>
      <w:r w:rsidRPr="00440FC8">
        <w:rPr>
          <w:rtl/>
        </w:rPr>
        <w:t xml:space="preserve"> 18 </w:t>
      </w:r>
      <w:r w:rsidRPr="00440FC8">
        <w:rPr>
          <w:rFonts w:hint="eastAsia"/>
          <w:rtl/>
        </w:rPr>
        <w:t>לחוק</w:t>
      </w:r>
      <w:r w:rsidRPr="00440FC8">
        <w:rPr>
          <w:rtl/>
        </w:rPr>
        <w:t xml:space="preserve"> </w:t>
      </w:r>
      <w:r w:rsidRPr="00440FC8">
        <w:rPr>
          <w:rFonts w:hint="eastAsia"/>
          <w:rtl/>
        </w:rPr>
        <w:t>החברות</w:t>
      </w:r>
      <w:r w:rsidRPr="00440FC8">
        <w:rPr>
          <w:rtl/>
        </w:rPr>
        <w:t xml:space="preserve"> </w:t>
      </w:r>
      <w:r w:rsidRPr="00440FC8">
        <w:rPr>
          <w:rFonts w:hint="eastAsia"/>
          <w:rtl/>
        </w:rPr>
        <w:t>הממשלתיות</w:t>
      </w:r>
      <w:r w:rsidRPr="00440FC8">
        <w:rPr>
          <w:rtl/>
        </w:rPr>
        <w:t xml:space="preserve">, </w:t>
      </w:r>
      <w:r w:rsidRPr="00440FC8">
        <w:rPr>
          <w:rFonts w:hint="eastAsia"/>
          <w:rtl/>
        </w:rPr>
        <w:t>התשל</w:t>
      </w:r>
      <w:r w:rsidRPr="00440FC8">
        <w:rPr>
          <w:rtl/>
        </w:rPr>
        <w:t>"</w:t>
      </w:r>
      <w:r w:rsidRPr="00440FC8">
        <w:rPr>
          <w:rFonts w:hint="eastAsia"/>
          <w:rtl/>
        </w:rPr>
        <w:t>ה</w:t>
      </w:r>
      <w:r w:rsidRPr="00440FC8">
        <w:rPr>
          <w:rtl/>
        </w:rPr>
        <w:t>-1975</w:t>
      </w:r>
      <w:r>
        <w:rPr>
          <w:rFonts w:hint="cs"/>
          <w:rtl/>
        </w:rPr>
        <w:t xml:space="preserve"> (להלן: </w:t>
      </w:r>
      <w:r w:rsidRPr="003A512E">
        <w:rPr>
          <w:rFonts w:cs="Miriam" w:hint="eastAsia"/>
          <w:b/>
          <w:spacing w:val="0"/>
          <w:szCs w:val="24"/>
          <w:rtl/>
        </w:rPr>
        <w:t>חוק</w:t>
      </w:r>
      <w:r w:rsidRPr="003A512E">
        <w:rPr>
          <w:rFonts w:cs="Miriam"/>
          <w:b/>
          <w:spacing w:val="0"/>
          <w:szCs w:val="24"/>
          <w:rtl/>
        </w:rPr>
        <w:t xml:space="preserve"> </w:t>
      </w:r>
      <w:r w:rsidRPr="003A512E">
        <w:rPr>
          <w:rFonts w:cs="Miriam" w:hint="eastAsia"/>
          <w:b/>
          <w:spacing w:val="0"/>
          <w:szCs w:val="24"/>
          <w:rtl/>
        </w:rPr>
        <w:t>החברות</w:t>
      </w:r>
      <w:r w:rsidRPr="003A512E">
        <w:rPr>
          <w:rFonts w:cs="Miriam"/>
          <w:b/>
          <w:spacing w:val="0"/>
          <w:szCs w:val="24"/>
          <w:rtl/>
        </w:rPr>
        <w:t xml:space="preserve"> </w:t>
      </w:r>
      <w:r w:rsidRPr="003A512E">
        <w:rPr>
          <w:rFonts w:cs="Miriam" w:hint="eastAsia"/>
          <w:b/>
          <w:spacing w:val="0"/>
          <w:szCs w:val="24"/>
          <w:rtl/>
        </w:rPr>
        <w:t>הממשלתיות</w:t>
      </w:r>
      <w:r>
        <w:rPr>
          <w:rFonts w:hint="cs"/>
          <w:rtl/>
        </w:rPr>
        <w:t>)</w:t>
      </w:r>
      <w:r w:rsidRPr="00440FC8">
        <w:rPr>
          <w:rFonts w:hint="cs"/>
          <w:rtl/>
        </w:rPr>
        <w:t xml:space="preserve">; </w:t>
      </w:r>
      <w:r w:rsidRPr="00440FC8">
        <w:rPr>
          <w:rFonts w:hint="eastAsia"/>
          <w:rtl/>
        </w:rPr>
        <w:t>סעיף</w:t>
      </w:r>
      <w:r w:rsidRPr="00440FC8">
        <w:rPr>
          <w:rtl/>
        </w:rPr>
        <w:t xml:space="preserve"> 9 </w:t>
      </w:r>
      <w:r w:rsidRPr="00440FC8">
        <w:rPr>
          <w:rFonts w:hint="eastAsia"/>
          <w:rtl/>
        </w:rPr>
        <w:t>לחוק</w:t>
      </w:r>
      <w:r w:rsidRPr="00440FC8">
        <w:rPr>
          <w:rtl/>
        </w:rPr>
        <w:t xml:space="preserve"> </w:t>
      </w:r>
      <w:r w:rsidRPr="00440FC8">
        <w:rPr>
          <w:rFonts w:hint="eastAsia"/>
          <w:rtl/>
        </w:rPr>
        <w:t>השידור</w:t>
      </w:r>
      <w:r w:rsidRPr="00440FC8">
        <w:rPr>
          <w:rtl/>
        </w:rPr>
        <w:t xml:space="preserve"> </w:t>
      </w:r>
      <w:r w:rsidRPr="00440FC8">
        <w:rPr>
          <w:rFonts w:hint="eastAsia"/>
          <w:rtl/>
        </w:rPr>
        <w:t>הציבורי</w:t>
      </w:r>
      <w:r w:rsidRPr="00440FC8">
        <w:rPr>
          <w:rtl/>
        </w:rPr>
        <w:t xml:space="preserve"> </w:t>
      </w:r>
      <w:r w:rsidRPr="00440FC8">
        <w:rPr>
          <w:rFonts w:hint="eastAsia"/>
          <w:rtl/>
        </w:rPr>
        <w:lastRenderedPageBreak/>
        <w:t>הישראלי</w:t>
      </w:r>
      <w:r w:rsidRPr="00440FC8">
        <w:rPr>
          <w:rtl/>
        </w:rPr>
        <w:t xml:space="preserve">, </w:t>
      </w:r>
      <w:r w:rsidRPr="00440FC8">
        <w:rPr>
          <w:rFonts w:hint="eastAsia"/>
          <w:rtl/>
        </w:rPr>
        <w:t>התשע</w:t>
      </w:r>
      <w:r w:rsidRPr="00440FC8">
        <w:rPr>
          <w:rtl/>
        </w:rPr>
        <w:t>"</w:t>
      </w:r>
      <w:r w:rsidRPr="00440FC8">
        <w:rPr>
          <w:rFonts w:hint="eastAsia"/>
          <w:rtl/>
        </w:rPr>
        <w:t>ד</w:t>
      </w:r>
      <w:r w:rsidRPr="00440FC8">
        <w:rPr>
          <w:rtl/>
        </w:rPr>
        <w:t>-2014</w:t>
      </w:r>
      <w:r w:rsidRPr="00440FC8">
        <w:rPr>
          <w:rFonts w:hint="cs"/>
          <w:rtl/>
        </w:rPr>
        <w:t xml:space="preserve">; </w:t>
      </w:r>
      <w:r w:rsidRPr="00440FC8">
        <w:rPr>
          <w:rFonts w:hint="eastAsia"/>
          <w:rtl/>
        </w:rPr>
        <w:t>סעיף</w:t>
      </w:r>
      <w:r w:rsidRPr="00440FC8">
        <w:rPr>
          <w:rtl/>
        </w:rPr>
        <w:t xml:space="preserve"> 3 </w:t>
      </w:r>
      <w:r w:rsidRPr="00440FC8">
        <w:rPr>
          <w:rFonts w:hint="eastAsia"/>
          <w:rtl/>
        </w:rPr>
        <w:t>לחוק</w:t>
      </w:r>
      <w:r w:rsidRPr="00440FC8">
        <w:rPr>
          <w:rtl/>
        </w:rPr>
        <w:t xml:space="preserve"> </w:t>
      </w:r>
      <w:r w:rsidRPr="00440FC8">
        <w:rPr>
          <w:rFonts w:hint="eastAsia"/>
          <w:rtl/>
        </w:rPr>
        <w:t>ניירות</w:t>
      </w:r>
      <w:r w:rsidRPr="00440FC8">
        <w:rPr>
          <w:rtl/>
        </w:rPr>
        <w:t xml:space="preserve"> </w:t>
      </w:r>
      <w:r w:rsidRPr="00440FC8">
        <w:rPr>
          <w:rFonts w:hint="eastAsia"/>
          <w:rtl/>
        </w:rPr>
        <w:t>ערך</w:t>
      </w:r>
      <w:r w:rsidRPr="00440FC8">
        <w:rPr>
          <w:rtl/>
        </w:rPr>
        <w:t xml:space="preserve">, </w:t>
      </w:r>
      <w:r w:rsidRPr="00440FC8">
        <w:rPr>
          <w:rFonts w:hint="eastAsia"/>
          <w:rtl/>
        </w:rPr>
        <w:t>התשכ</w:t>
      </w:r>
      <w:r w:rsidRPr="00440FC8">
        <w:rPr>
          <w:rtl/>
        </w:rPr>
        <w:t>"</w:t>
      </w:r>
      <w:r w:rsidRPr="00440FC8">
        <w:rPr>
          <w:rFonts w:hint="eastAsia"/>
          <w:rtl/>
        </w:rPr>
        <w:t>ח</w:t>
      </w:r>
      <w:r w:rsidRPr="00440FC8">
        <w:rPr>
          <w:rtl/>
        </w:rPr>
        <w:t>-1968</w:t>
      </w:r>
      <w:r w:rsidRPr="00440FC8">
        <w:rPr>
          <w:rFonts w:hint="cs"/>
          <w:rtl/>
        </w:rPr>
        <w:t xml:space="preserve">; סעיף 2 </w:t>
      </w:r>
      <w:r w:rsidRPr="00440FC8">
        <w:rPr>
          <w:rFonts w:hint="eastAsia"/>
          <w:rtl/>
        </w:rPr>
        <w:t>לחוק</w:t>
      </w:r>
      <w:r w:rsidRPr="00440FC8">
        <w:rPr>
          <w:rtl/>
        </w:rPr>
        <w:t xml:space="preserve"> </w:t>
      </w:r>
      <w:r w:rsidRPr="00440FC8">
        <w:rPr>
          <w:rFonts w:hint="eastAsia"/>
          <w:rtl/>
        </w:rPr>
        <w:t>התכנון</w:t>
      </w:r>
      <w:r w:rsidRPr="00440FC8">
        <w:rPr>
          <w:rtl/>
        </w:rPr>
        <w:t xml:space="preserve"> </w:t>
      </w:r>
      <w:r w:rsidRPr="00440FC8">
        <w:rPr>
          <w:rFonts w:hint="eastAsia"/>
          <w:rtl/>
        </w:rPr>
        <w:t>והבניה</w:t>
      </w:r>
      <w:r w:rsidRPr="00440FC8">
        <w:rPr>
          <w:rFonts w:hint="cs"/>
          <w:rtl/>
        </w:rPr>
        <w:t xml:space="preserve">; </w:t>
      </w:r>
      <w:r w:rsidRPr="00440FC8">
        <w:rPr>
          <w:rFonts w:hint="eastAsia"/>
          <w:rtl/>
        </w:rPr>
        <w:t>סעיף</w:t>
      </w:r>
      <w:r w:rsidRPr="00440FC8">
        <w:rPr>
          <w:rtl/>
        </w:rPr>
        <w:t xml:space="preserve"> 7 </w:t>
      </w:r>
      <w:r w:rsidRPr="00440FC8">
        <w:rPr>
          <w:rFonts w:hint="eastAsia"/>
          <w:rtl/>
        </w:rPr>
        <w:t>לפקודת</w:t>
      </w:r>
      <w:r w:rsidRPr="00440FC8">
        <w:rPr>
          <w:rtl/>
        </w:rPr>
        <w:t xml:space="preserve"> </w:t>
      </w:r>
      <w:r w:rsidRPr="00440FC8">
        <w:rPr>
          <w:rFonts w:hint="eastAsia"/>
          <w:rtl/>
        </w:rPr>
        <w:t>המשטרה</w:t>
      </w:r>
      <w:r w:rsidRPr="00440FC8">
        <w:rPr>
          <w:rFonts w:hint="cs"/>
          <w:rtl/>
        </w:rPr>
        <w:t xml:space="preserve">; סעיף 79 לפקודת בתי הסוהר). </w:t>
      </w:r>
    </w:p>
    <w:p w:rsidR="00C044AE" w:rsidRDefault="00C044AE" w:rsidP="00C044AE">
      <w:pPr>
        <w:pStyle w:val="Ruller41"/>
        <w:rPr>
          <w:rtl/>
        </w:rPr>
      </w:pPr>
    </w:p>
    <w:p w:rsidR="00C044AE" w:rsidRPr="00735CC4" w:rsidRDefault="00C044AE" w:rsidP="00C044AE">
      <w:pPr>
        <w:pStyle w:val="Ruller41"/>
        <w:rPr>
          <w:rtl/>
        </w:rPr>
      </w:pPr>
      <w:r>
        <w:rPr>
          <w:rtl/>
        </w:rPr>
        <w:tab/>
      </w:r>
      <w:r>
        <w:rPr>
          <w:rFonts w:hint="cs"/>
          <w:rtl/>
        </w:rPr>
        <w:t xml:space="preserve">יתרה מכך, בידי הממשלה והשרים עומדת במקרים רבים גם האפשרות לפטר את </w:t>
      </w:r>
      <w:r w:rsidRPr="00440FC8">
        <w:rPr>
          <w:rFonts w:hint="cs"/>
          <w:rtl/>
        </w:rPr>
        <w:t>אותם נושאי תפקיד בכירים, וזאת, בין היתר, בהתבסס על ההוראה הכללית בסעיף 14 לחוק הפרשנות, התשמ"א-1981 לפיה "</w:t>
      </w:r>
      <w:r w:rsidRPr="00440FC8">
        <w:rPr>
          <w:rFonts w:hint="eastAsia"/>
          <w:rtl/>
        </w:rPr>
        <w:t>הסמכה</w:t>
      </w:r>
      <w:r w:rsidRPr="00440FC8">
        <w:rPr>
          <w:rtl/>
        </w:rPr>
        <w:t xml:space="preserve"> </w:t>
      </w:r>
      <w:r w:rsidRPr="00440FC8">
        <w:rPr>
          <w:rFonts w:hint="eastAsia"/>
          <w:rtl/>
        </w:rPr>
        <w:t>לעשות</w:t>
      </w:r>
      <w:r w:rsidRPr="00440FC8">
        <w:rPr>
          <w:rtl/>
        </w:rPr>
        <w:t xml:space="preserve"> </w:t>
      </w:r>
      <w:r w:rsidRPr="00440FC8">
        <w:rPr>
          <w:rFonts w:hint="eastAsia"/>
          <w:rtl/>
        </w:rPr>
        <w:t>מינוי</w:t>
      </w:r>
      <w:r w:rsidRPr="00440FC8">
        <w:rPr>
          <w:rtl/>
        </w:rPr>
        <w:t xml:space="preserve"> – </w:t>
      </w:r>
      <w:r w:rsidRPr="00440FC8">
        <w:rPr>
          <w:rFonts w:hint="eastAsia"/>
          <w:rtl/>
        </w:rPr>
        <w:t>משמעה</w:t>
      </w:r>
      <w:r w:rsidRPr="00440FC8">
        <w:rPr>
          <w:rtl/>
        </w:rPr>
        <w:t xml:space="preserve"> </w:t>
      </w:r>
      <w:r w:rsidRPr="00440FC8">
        <w:rPr>
          <w:rFonts w:hint="eastAsia"/>
          <w:rtl/>
        </w:rPr>
        <w:t>גם</w:t>
      </w:r>
      <w:r w:rsidRPr="00440FC8">
        <w:rPr>
          <w:rtl/>
        </w:rPr>
        <w:t xml:space="preserve"> </w:t>
      </w:r>
      <w:r w:rsidRPr="00440FC8">
        <w:rPr>
          <w:rFonts w:hint="eastAsia"/>
          <w:rtl/>
        </w:rPr>
        <w:t>הסמכה</w:t>
      </w:r>
      <w:r w:rsidRPr="00440FC8">
        <w:rPr>
          <w:rtl/>
        </w:rPr>
        <w:t xml:space="preserve"> </w:t>
      </w:r>
      <w:r w:rsidRPr="00440FC8">
        <w:rPr>
          <w:rFonts w:hint="eastAsia"/>
          <w:rtl/>
        </w:rPr>
        <w:t>להתלות</w:t>
      </w:r>
      <w:r w:rsidRPr="00440FC8">
        <w:rPr>
          <w:rtl/>
        </w:rPr>
        <w:t xml:space="preserve"> </w:t>
      </w:r>
      <w:r w:rsidRPr="00440FC8">
        <w:rPr>
          <w:rFonts w:hint="eastAsia"/>
          <w:rtl/>
        </w:rPr>
        <w:t>את</w:t>
      </w:r>
      <w:r w:rsidRPr="00440FC8">
        <w:rPr>
          <w:rtl/>
        </w:rPr>
        <w:t xml:space="preserve"> </w:t>
      </w:r>
      <w:r w:rsidRPr="00440FC8">
        <w:rPr>
          <w:rFonts w:hint="eastAsia"/>
          <w:rtl/>
        </w:rPr>
        <w:t>תקפו</w:t>
      </w:r>
      <w:r w:rsidRPr="00440FC8">
        <w:rPr>
          <w:rtl/>
        </w:rPr>
        <w:t xml:space="preserve">, </w:t>
      </w:r>
      <w:r w:rsidRPr="00440FC8">
        <w:rPr>
          <w:rFonts w:hint="eastAsia"/>
          <w:rtl/>
        </w:rPr>
        <w:t>לבטלו</w:t>
      </w:r>
      <w:r w:rsidRPr="00440FC8">
        <w:rPr>
          <w:rtl/>
        </w:rPr>
        <w:t xml:space="preserve">, </w:t>
      </w:r>
      <w:r w:rsidRPr="00440FC8">
        <w:rPr>
          <w:rFonts w:hint="eastAsia"/>
          <w:rtl/>
        </w:rPr>
        <w:t>לפטר</w:t>
      </w:r>
      <w:r w:rsidRPr="00440FC8">
        <w:rPr>
          <w:rtl/>
        </w:rPr>
        <w:t xml:space="preserve"> </w:t>
      </w:r>
      <w:r w:rsidRPr="00440FC8">
        <w:rPr>
          <w:rFonts w:hint="eastAsia"/>
          <w:rtl/>
        </w:rPr>
        <w:t>את</w:t>
      </w:r>
      <w:r w:rsidRPr="00440FC8">
        <w:rPr>
          <w:rtl/>
        </w:rPr>
        <w:t xml:space="preserve"> </w:t>
      </w:r>
      <w:r w:rsidRPr="00440FC8">
        <w:rPr>
          <w:rFonts w:hint="eastAsia"/>
          <w:rtl/>
        </w:rPr>
        <w:t>מי</w:t>
      </w:r>
      <w:r w:rsidRPr="00440FC8">
        <w:rPr>
          <w:rtl/>
        </w:rPr>
        <w:t xml:space="preserve"> </w:t>
      </w:r>
      <w:r w:rsidRPr="00440FC8">
        <w:rPr>
          <w:rFonts w:hint="eastAsia"/>
          <w:rtl/>
        </w:rPr>
        <w:t>שנתמנה</w:t>
      </w:r>
      <w:r w:rsidRPr="00440FC8">
        <w:rPr>
          <w:rtl/>
        </w:rPr>
        <w:t xml:space="preserve"> </w:t>
      </w:r>
      <w:r w:rsidRPr="00440FC8">
        <w:rPr>
          <w:rFonts w:hint="eastAsia"/>
          <w:rtl/>
        </w:rPr>
        <w:t>או</w:t>
      </w:r>
      <w:r w:rsidRPr="00440FC8">
        <w:rPr>
          <w:rtl/>
        </w:rPr>
        <w:t xml:space="preserve"> </w:t>
      </w:r>
      <w:r w:rsidRPr="00440FC8">
        <w:rPr>
          <w:rFonts w:hint="eastAsia"/>
          <w:rtl/>
        </w:rPr>
        <w:t>להשעותו</w:t>
      </w:r>
      <w:r w:rsidRPr="00440FC8">
        <w:rPr>
          <w:rtl/>
        </w:rPr>
        <w:t xml:space="preserve"> </w:t>
      </w:r>
      <w:r w:rsidRPr="00440FC8">
        <w:rPr>
          <w:rFonts w:hint="eastAsia"/>
          <w:rtl/>
        </w:rPr>
        <w:t>מתפקיד</w:t>
      </w:r>
      <w:r>
        <w:rPr>
          <w:rFonts w:hint="cs"/>
          <w:rtl/>
        </w:rPr>
        <w:t>ו</w:t>
      </w:r>
      <w:r w:rsidRPr="00440FC8">
        <w:rPr>
          <w:rFonts w:hint="cs"/>
          <w:rtl/>
        </w:rPr>
        <w:t xml:space="preserve">" (ראו גם: סימן 15 לדבר המלך במועצה וכן: </w:t>
      </w:r>
      <w:r w:rsidRPr="00440FC8">
        <w:rPr>
          <w:rFonts w:ascii="Century" w:hAnsi="Century" w:cs="Miriam" w:hint="cs"/>
          <w:b/>
          <w:spacing w:val="0"/>
          <w:szCs w:val="24"/>
          <w:rtl/>
        </w:rPr>
        <w:t>זמיר "הסמכות המינהלית"</w:t>
      </w:r>
      <w:r w:rsidRPr="00440FC8">
        <w:rPr>
          <w:rFonts w:hint="cs"/>
          <w:rtl/>
        </w:rPr>
        <w:t xml:space="preserve">, בעמ' 565, 657-656; </w:t>
      </w:r>
      <w:r w:rsidRPr="00440FC8">
        <w:rPr>
          <w:rFonts w:hint="eastAsia"/>
          <w:rtl/>
        </w:rPr>
        <w:t>בג</w:t>
      </w:r>
      <w:r w:rsidRPr="00440FC8">
        <w:rPr>
          <w:rtl/>
        </w:rPr>
        <w:t>"</w:t>
      </w:r>
      <w:r w:rsidRPr="00440FC8">
        <w:rPr>
          <w:rFonts w:hint="eastAsia"/>
          <w:rtl/>
        </w:rPr>
        <w:t>ץ</w:t>
      </w:r>
      <w:r w:rsidRPr="00440FC8">
        <w:rPr>
          <w:rtl/>
        </w:rPr>
        <w:t xml:space="preserve"> 3884/16 </w:t>
      </w:r>
      <w:r w:rsidRPr="00440FC8">
        <w:rPr>
          <w:rFonts w:ascii="Century" w:hAnsi="Century" w:cs="Miriam" w:hint="eastAsia"/>
          <w:b/>
          <w:spacing w:val="0"/>
          <w:szCs w:val="24"/>
          <w:rtl/>
        </w:rPr>
        <w:t>פלונית</w:t>
      </w:r>
      <w:r w:rsidRPr="00440FC8">
        <w:rPr>
          <w:rFonts w:ascii="Century" w:hAnsi="Century" w:cs="Miriam"/>
          <w:b/>
          <w:spacing w:val="0"/>
          <w:szCs w:val="24"/>
          <w:rtl/>
        </w:rPr>
        <w:t xml:space="preserve"> </w:t>
      </w:r>
      <w:r w:rsidRPr="00440FC8">
        <w:rPr>
          <w:rFonts w:ascii="Century" w:hAnsi="Century" w:cs="Miriam" w:hint="eastAsia"/>
          <w:b/>
          <w:spacing w:val="0"/>
          <w:szCs w:val="24"/>
          <w:rtl/>
        </w:rPr>
        <w:t>נ</w:t>
      </w:r>
      <w:r w:rsidRPr="00440FC8">
        <w:rPr>
          <w:rFonts w:ascii="Century" w:hAnsi="Century" w:cs="Miriam"/>
          <w:b/>
          <w:spacing w:val="0"/>
          <w:szCs w:val="24"/>
          <w:rtl/>
        </w:rPr>
        <w:t xml:space="preserve">' </w:t>
      </w:r>
      <w:r w:rsidRPr="00440FC8">
        <w:rPr>
          <w:rFonts w:ascii="Century" w:hAnsi="Century" w:cs="Miriam" w:hint="eastAsia"/>
          <w:b/>
          <w:spacing w:val="0"/>
          <w:szCs w:val="24"/>
          <w:rtl/>
        </w:rPr>
        <w:t>השר</w:t>
      </w:r>
      <w:r w:rsidRPr="00440FC8">
        <w:rPr>
          <w:rFonts w:ascii="Century" w:hAnsi="Century" w:cs="Miriam"/>
          <w:b/>
          <w:spacing w:val="0"/>
          <w:szCs w:val="24"/>
          <w:rtl/>
        </w:rPr>
        <w:t xml:space="preserve"> </w:t>
      </w:r>
      <w:r w:rsidRPr="00440FC8">
        <w:rPr>
          <w:rFonts w:ascii="Century" w:hAnsi="Century" w:cs="Miriam" w:hint="eastAsia"/>
          <w:b/>
          <w:spacing w:val="0"/>
          <w:szCs w:val="24"/>
          <w:rtl/>
        </w:rPr>
        <w:t>לביטחון</w:t>
      </w:r>
      <w:r w:rsidRPr="00440FC8">
        <w:rPr>
          <w:rFonts w:ascii="Century" w:hAnsi="Century" w:cs="Miriam"/>
          <w:b/>
          <w:spacing w:val="0"/>
          <w:szCs w:val="24"/>
          <w:rtl/>
        </w:rPr>
        <w:t xml:space="preserve"> </w:t>
      </w:r>
      <w:r w:rsidRPr="00440FC8">
        <w:rPr>
          <w:rFonts w:ascii="Century" w:hAnsi="Century" w:cs="Miriam" w:hint="eastAsia"/>
          <w:b/>
          <w:spacing w:val="0"/>
          <w:szCs w:val="24"/>
          <w:rtl/>
        </w:rPr>
        <w:t>פנים</w:t>
      </w:r>
      <w:r w:rsidRPr="00440FC8">
        <w:rPr>
          <w:rtl/>
        </w:rPr>
        <w:t xml:space="preserve">, </w:t>
      </w:r>
      <w:r w:rsidRPr="00440FC8">
        <w:rPr>
          <w:rFonts w:hint="eastAsia"/>
          <w:rtl/>
        </w:rPr>
        <w:t>פסקה</w:t>
      </w:r>
      <w:r w:rsidRPr="00440FC8">
        <w:rPr>
          <w:rtl/>
        </w:rPr>
        <w:t xml:space="preserve"> 21 (20.11.2017)</w:t>
      </w:r>
      <w:r w:rsidRPr="00440FC8">
        <w:rPr>
          <w:rFonts w:hint="cs"/>
          <w:rtl/>
        </w:rPr>
        <w:t>). קיימים א</w:t>
      </w:r>
      <w:r>
        <w:rPr>
          <w:rFonts w:hint="cs"/>
          <w:rtl/>
        </w:rPr>
        <w:t>ו</w:t>
      </w:r>
      <w:r w:rsidRPr="00440FC8">
        <w:rPr>
          <w:rFonts w:hint="cs"/>
          <w:rtl/>
        </w:rPr>
        <w:t>מנם מינויים שבהם, נכון להיום, נדרשת המלצת ועדה מייעצת או ועדת איתור ואף נקבע</w:t>
      </w:r>
      <w:r>
        <w:rPr>
          <w:rFonts w:hint="cs"/>
          <w:rtl/>
        </w:rPr>
        <w:t xml:space="preserve"> לגביהם הליך מסודר לסיום כהונה, אך דרישות אלה מעוגנות </w:t>
      </w:r>
      <w:r w:rsidRPr="00440FC8">
        <w:rPr>
          <w:rFonts w:hint="cs"/>
          <w:rtl/>
        </w:rPr>
        <w:t xml:space="preserve">בעיקרן בהחלטות ממשלה שניתנות לביטול (ראו, בין היתר: </w:t>
      </w:r>
      <w:r w:rsidRPr="00440FC8">
        <w:rPr>
          <w:rFonts w:hint="eastAsia"/>
          <w:rtl/>
        </w:rPr>
        <w:t>החלטה</w:t>
      </w:r>
      <w:r w:rsidRPr="00440FC8">
        <w:rPr>
          <w:rtl/>
        </w:rPr>
        <w:t xml:space="preserve"> 3839 </w:t>
      </w:r>
      <w:r w:rsidRPr="00440FC8">
        <w:rPr>
          <w:rFonts w:hint="eastAsia"/>
          <w:rtl/>
        </w:rPr>
        <w:t>של</w:t>
      </w:r>
      <w:r w:rsidRPr="00440FC8">
        <w:rPr>
          <w:rtl/>
        </w:rPr>
        <w:t xml:space="preserve"> </w:t>
      </w:r>
      <w:r w:rsidRPr="00440FC8">
        <w:rPr>
          <w:rFonts w:hint="eastAsia"/>
          <w:rtl/>
        </w:rPr>
        <w:t>הממשלה</w:t>
      </w:r>
      <w:r w:rsidRPr="00440FC8">
        <w:rPr>
          <w:rtl/>
        </w:rPr>
        <w:t xml:space="preserve"> </w:t>
      </w:r>
      <w:r w:rsidRPr="00440FC8">
        <w:rPr>
          <w:rFonts w:hint="eastAsia"/>
          <w:rtl/>
        </w:rPr>
        <w:t>ה</w:t>
      </w:r>
      <w:r w:rsidRPr="00440FC8">
        <w:rPr>
          <w:rtl/>
        </w:rPr>
        <w:t>-34 "</w:t>
      </w:r>
      <w:r w:rsidRPr="00440FC8">
        <w:rPr>
          <w:rFonts w:hint="eastAsia"/>
          <w:rtl/>
        </w:rPr>
        <w:t>הוועדה</w:t>
      </w:r>
      <w:r w:rsidRPr="00440FC8">
        <w:rPr>
          <w:rtl/>
        </w:rPr>
        <w:t xml:space="preserve"> </w:t>
      </w:r>
      <w:r w:rsidRPr="00440FC8">
        <w:rPr>
          <w:rFonts w:hint="eastAsia"/>
          <w:rtl/>
        </w:rPr>
        <w:t>המייעצת</w:t>
      </w:r>
      <w:r w:rsidRPr="00440FC8">
        <w:rPr>
          <w:rtl/>
        </w:rPr>
        <w:t xml:space="preserve"> </w:t>
      </w:r>
      <w:r w:rsidRPr="00440FC8">
        <w:rPr>
          <w:rFonts w:hint="eastAsia"/>
          <w:rtl/>
        </w:rPr>
        <w:t>למינויים</w:t>
      </w:r>
      <w:r w:rsidRPr="00440FC8">
        <w:rPr>
          <w:rtl/>
        </w:rPr>
        <w:t xml:space="preserve"> </w:t>
      </w:r>
      <w:r w:rsidRPr="00440FC8">
        <w:rPr>
          <w:rFonts w:hint="eastAsia"/>
          <w:rtl/>
        </w:rPr>
        <w:t>לתפקידים</w:t>
      </w:r>
      <w:r w:rsidRPr="00440FC8">
        <w:rPr>
          <w:rtl/>
        </w:rPr>
        <w:t xml:space="preserve"> </w:t>
      </w:r>
      <w:r w:rsidRPr="00440FC8">
        <w:rPr>
          <w:rFonts w:hint="eastAsia"/>
          <w:rtl/>
        </w:rPr>
        <w:t>בכירים</w:t>
      </w:r>
      <w:r w:rsidRPr="00440FC8">
        <w:rPr>
          <w:rtl/>
        </w:rPr>
        <w:t xml:space="preserve"> </w:t>
      </w:r>
      <w:r w:rsidRPr="00440FC8">
        <w:rPr>
          <w:rFonts w:hint="eastAsia"/>
          <w:rtl/>
        </w:rPr>
        <w:t>וביטול</w:t>
      </w:r>
      <w:r w:rsidRPr="00440FC8">
        <w:rPr>
          <w:rtl/>
        </w:rPr>
        <w:t xml:space="preserve"> </w:t>
      </w:r>
      <w:r w:rsidRPr="00440FC8">
        <w:rPr>
          <w:rFonts w:hint="eastAsia"/>
          <w:rtl/>
        </w:rPr>
        <w:t>החלטות</w:t>
      </w:r>
      <w:r w:rsidRPr="00440FC8">
        <w:rPr>
          <w:rtl/>
        </w:rPr>
        <w:t xml:space="preserve"> </w:t>
      </w:r>
      <w:r w:rsidRPr="00440FC8">
        <w:rPr>
          <w:rFonts w:hint="eastAsia"/>
          <w:rtl/>
        </w:rPr>
        <w:t>ממשלה</w:t>
      </w:r>
      <w:r w:rsidRPr="00440FC8">
        <w:rPr>
          <w:rtl/>
        </w:rPr>
        <w:t>" (27.5.2018)</w:t>
      </w:r>
      <w:r w:rsidRPr="00440FC8">
        <w:rPr>
          <w:rFonts w:hint="cs"/>
          <w:rtl/>
        </w:rPr>
        <w:t xml:space="preserve">; החלטה 516 של הממשלה ה-9 </w:t>
      </w:r>
      <w:r>
        <w:rPr>
          <w:rFonts w:hint="cs"/>
          <w:rtl/>
        </w:rPr>
        <w:t xml:space="preserve">"תנאים למינוי משרות מסויימות" </w:t>
      </w:r>
      <w:r w:rsidRPr="00440FC8">
        <w:rPr>
          <w:rFonts w:hint="cs"/>
          <w:rtl/>
        </w:rPr>
        <w:t>(</w:t>
      </w:r>
      <w:r>
        <w:rPr>
          <w:rFonts w:hint="cs"/>
          <w:rtl/>
        </w:rPr>
        <w:t>14.8.1960</w:t>
      </w:r>
      <w:r w:rsidRPr="00440FC8">
        <w:rPr>
          <w:rFonts w:hint="cs"/>
          <w:rtl/>
        </w:rPr>
        <w:t>)</w:t>
      </w:r>
      <w:r>
        <w:rPr>
          <w:rFonts w:hint="cs"/>
          <w:rtl/>
        </w:rPr>
        <w:t xml:space="preserve">; החלטה 4892 של הממשלה ה-27 "ועדת המינויים בראשות נציב שירות המדינה </w:t>
      </w:r>
      <w:r>
        <w:rPr>
          <w:rtl/>
        </w:rPr>
        <w:t>–</w:t>
      </w:r>
      <w:r>
        <w:rPr>
          <w:rFonts w:hint="cs"/>
          <w:rtl/>
        </w:rPr>
        <w:t xml:space="preserve"> תיקון החלטת הממשלה מס. 516 מיום 14.8.60" (7.3.1999)</w:t>
      </w:r>
      <w:r w:rsidRPr="00440FC8">
        <w:rPr>
          <w:rFonts w:hint="cs"/>
          <w:rtl/>
        </w:rPr>
        <w:t xml:space="preserve">; </w:t>
      </w:r>
      <w:r w:rsidRPr="00440FC8">
        <w:rPr>
          <w:rFonts w:hint="eastAsia"/>
          <w:rtl/>
        </w:rPr>
        <w:t>החלטה</w:t>
      </w:r>
      <w:r w:rsidRPr="00440FC8">
        <w:rPr>
          <w:rtl/>
        </w:rPr>
        <w:t xml:space="preserve"> 2274 </w:t>
      </w:r>
      <w:r w:rsidRPr="00440FC8">
        <w:rPr>
          <w:rFonts w:hint="eastAsia"/>
          <w:rtl/>
        </w:rPr>
        <w:t>של</w:t>
      </w:r>
      <w:r w:rsidRPr="00440FC8">
        <w:rPr>
          <w:rtl/>
        </w:rPr>
        <w:t xml:space="preserve"> </w:t>
      </w:r>
      <w:r w:rsidRPr="00440FC8">
        <w:rPr>
          <w:rFonts w:hint="eastAsia"/>
          <w:rtl/>
        </w:rPr>
        <w:t>הממשלה</w:t>
      </w:r>
      <w:r w:rsidRPr="00440FC8">
        <w:rPr>
          <w:rtl/>
        </w:rPr>
        <w:t xml:space="preserve"> </w:t>
      </w:r>
      <w:r w:rsidRPr="00440FC8">
        <w:rPr>
          <w:rFonts w:hint="eastAsia"/>
          <w:rtl/>
        </w:rPr>
        <w:t>ה</w:t>
      </w:r>
      <w:r w:rsidRPr="00440FC8">
        <w:rPr>
          <w:rtl/>
        </w:rPr>
        <w:t>-28 "</w:t>
      </w:r>
      <w:r w:rsidRPr="00440FC8">
        <w:rPr>
          <w:rFonts w:hint="eastAsia"/>
          <w:rtl/>
        </w:rPr>
        <w:t>דו</w:t>
      </w:r>
      <w:r w:rsidRPr="00440FC8">
        <w:rPr>
          <w:rtl/>
        </w:rPr>
        <w:t>"</w:t>
      </w:r>
      <w:r w:rsidRPr="00440FC8">
        <w:rPr>
          <w:rFonts w:hint="eastAsia"/>
          <w:rtl/>
        </w:rPr>
        <w:t>ח</w:t>
      </w:r>
      <w:r w:rsidRPr="00440FC8">
        <w:rPr>
          <w:rtl/>
        </w:rPr>
        <w:t xml:space="preserve"> </w:t>
      </w:r>
      <w:r w:rsidRPr="00440FC8">
        <w:rPr>
          <w:rFonts w:hint="eastAsia"/>
          <w:rtl/>
        </w:rPr>
        <w:t>הועדה</w:t>
      </w:r>
      <w:r w:rsidRPr="00440FC8">
        <w:rPr>
          <w:rtl/>
        </w:rPr>
        <w:t xml:space="preserve"> </w:t>
      </w:r>
      <w:r w:rsidRPr="00440FC8">
        <w:rPr>
          <w:rFonts w:hint="eastAsia"/>
          <w:rtl/>
        </w:rPr>
        <w:t>הציבורית</w:t>
      </w:r>
      <w:r w:rsidRPr="00440FC8">
        <w:rPr>
          <w:rtl/>
        </w:rPr>
        <w:t xml:space="preserve"> </w:t>
      </w:r>
      <w:r w:rsidRPr="00440FC8">
        <w:rPr>
          <w:rFonts w:hint="eastAsia"/>
          <w:rtl/>
        </w:rPr>
        <w:t>לבחינת</w:t>
      </w:r>
      <w:r w:rsidRPr="00440FC8">
        <w:rPr>
          <w:rtl/>
        </w:rPr>
        <w:t xml:space="preserve"> </w:t>
      </w:r>
      <w:r w:rsidRPr="00440FC8">
        <w:rPr>
          <w:rFonts w:hint="eastAsia"/>
          <w:rtl/>
        </w:rPr>
        <w:t>דרכי</w:t>
      </w:r>
      <w:r w:rsidRPr="00440FC8">
        <w:rPr>
          <w:rtl/>
        </w:rPr>
        <w:t xml:space="preserve"> </w:t>
      </w:r>
      <w:r w:rsidRPr="00440FC8">
        <w:rPr>
          <w:rFonts w:hint="eastAsia"/>
          <w:rtl/>
        </w:rPr>
        <w:t>המינוי</w:t>
      </w:r>
      <w:r w:rsidRPr="00440FC8">
        <w:rPr>
          <w:rtl/>
        </w:rPr>
        <w:t xml:space="preserve"> </w:t>
      </w:r>
      <w:r w:rsidRPr="00440FC8">
        <w:rPr>
          <w:rFonts w:hint="eastAsia"/>
          <w:rtl/>
        </w:rPr>
        <w:t>של</w:t>
      </w:r>
      <w:r w:rsidRPr="00440FC8">
        <w:rPr>
          <w:rtl/>
        </w:rPr>
        <w:t xml:space="preserve"> </w:t>
      </w:r>
      <w:r w:rsidRPr="00440FC8">
        <w:rPr>
          <w:rFonts w:hint="eastAsia"/>
          <w:rtl/>
        </w:rPr>
        <w:t>היוע</w:t>
      </w:r>
      <w:r w:rsidRPr="00440FC8">
        <w:rPr>
          <w:rFonts w:hint="cs"/>
          <w:rtl/>
        </w:rPr>
        <w:t xml:space="preserve">ץ </w:t>
      </w:r>
      <w:r w:rsidRPr="00440FC8">
        <w:rPr>
          <w:rFonts w:hint="eastAsia"/>
          <w:rtl/>
        </w:rPr>
        <w:t>המשפטי</w:t>
      </w:r>
      <w:r w:rsidRPr="00440FC8">
        <w:rPr>
          <w:rtl/>
        </w:rPr>
        <w:t xml:space="preserve"> </w:t>
      </w:r>
      <w:r w:rsidRPr="00440FC8">
        <w:rPr>
          <w:rFonts w:hint="eastAsia"/>
          <w:rtl/>
        </w:rPr>
        <w:t>למ</w:t>
      </w:r>
      <w:r w:rsidRPr="00440FC8">
        <w:rPr>
          <w:rFonts w:hint="cs"/>
          <w:rtl/>
        </w:rPr>
        <w:t>מ</w:t>
      </w:r>
      <w:r w:rsidRPr="00440FC8">
        <w:rPr>
          <w:rFonts w:hint="eastAsia"/>
          <w:rtl/>
        </w:rPr>
        <w:t>שלה</w:t>
      </w:r>
      <w:r w:rsidRPr="00440FC8">
        <w:rPr>
          <w:rtl/>
        </w:rPr>
        <w:t>" (20.8.2000)</w:t>
      </w:r>
      <w:r w:rsidRPr="00440FC8">
        <w:rPr>
          <w:rFonts w:hint="cs"/>
          <w:rtl/>
        </w:rPr>
        <w:t xml:space="preserve">). אף בהנחה שהחלטות אלה ייוותרו על כנן, שלילת עילת הסבירות תחסום את הביקורת השיפוטית במצבים שבהם לא ניתן משקל מתאים להמלצת הגורמים הרלוונטיים (כפי שאירע למשל בעניין </w:t>
      </w:r>
      <w:r w:rsidRPr="00440FC8">
        <w:rPr>
          <w:rFonts w:ascii="Century" w:hAnsi="Century" w:cs="Miriam" w:hint="cs"/>
          <w:b/>
          <w:spacing w:val="0"/>
          <w:szCs w:val="24"/>
          <w:rtl/>
        </w:rPr>
        <w:t>ג'רבי</w:t>
      </w:r>
      <w:r w:rsidRPr="00440FC8">
        <w:rPr>
          <w:rFonts w:hint="cs"/>
          <w:rtl/>
        </w:rPr>
        <w:t>).</w:t>
      </w:r>
    </w:p>
    <w:p w:rsidR="00C044AE" w:rsidRPr="00735CC4" w:rsidRDefault="00C044AE" w:rsidP="00C044AE">
      <w:pPr>
        <w:pStyle w:val="Ruller41"/>
      </w:pPr>
    </w:p>
    <w:p w:rsidR="00C044AE" w:rsidRDefault="00C044AE" w:rsidP="00C044AE">
      <w:pPr>
        <w:pStyle w:val="Ruller4"/>
      </w:pPr>
      <w:r>
        <w:rPr>
          <w:rFonts w:hint="cs"/>
          <w:rtl/>
        </w:rPr>
        <w:t xml:space="preserve">הנה כי כן, הסרת הפיקוח השיפוטי על סבירות החלטות הממשלה והשרים ביחס לכלל המינויים שבתחום סמכותם, תותיר את הציבור ללא הגנה ממשית במצבים שבהם בכירים בשירות הציבורי ימונו או יפוטרו משיקולים פוליטיים בלבד. כפי שהדגישו העותרים והיועצת בעמדתם, ההשלכות בהקשר זה הן חמורות במיוחד ביחס לגורמים האמונים על אכיפת החוק </w:t>
      </w:r>
      <w:r>
        <w:rPr>
          <w:rtl/>
        </w:rPr>
        <w:t>–</w:t>
      </w:r>
      <w:r>
        <w:rPr>
          <w:rFonts w:hint="cs"/>
          <w:rtl/>
        </w:rPr>
        <w:t xml:space="preserve"> כמו היועצת המשפטית לממשלה, פרקליט המדינה ומפכ"ל המשטרה </w:t>
      </w:r>
      <w:r>
        <w:rPr>
          <w:rtl/>
        </w:rPr>
        <w:t>–</w:t>
      </w:r>
      <w:r>
        <w:rPr>
          <w:rFonts w:hint="cs"/>
          <w:rtl/>
        </w:rPr>
        <w:t xml:space="preserve"> שבהיעדר ביקורת שיפוטית אפקטיבית, שאלת מינויים והמשך כהונתם הופכת תלויה כל כולה בחסדי הדרג הנבחר, באופן שעלול לערער את עצמאותם. רכיב זה של עצמאות מערכת אכיפת החוק הוא חלק הכרחי במילוי תפקידה לשמירה על שלטון החוק במדינה, והוא אף חיוני להתמודדותה של מדינת ישראל עם אתגרים משפטיים </w:t>
      </w:r>
      <w:r w:rsidRPr="00440FC8">
        <w:rPr>
          <w:rFonts w:hint="cs"/>
          <w:rtl/>
        </w:rPr>
        <w:t xml:space="preserve">במישור הבינלאומי (ראו: עמיחי כהן "המשפט הפלילי הבינלאומי" </w:t>
      </w:r>
      <w:r w:rsidRPr="00440FC8">
        <w:rPr>
          <w:rFonts w:ascii="Century" w:hAnsi="Century" w:cs="Miriam" w:hint="cs"/>
          <w:b/>
          <w:spacing w:val="0"/>
          <w:sz w:val="22"/>
          <w:szCs w:val="24"/>
          <w:rtl/>
        </w:rPr>
        <w:t>משפט בינלאומי</w:t>
      </w:r>
      <w:r w:rsidRPr="00440FC8">
        <w:rPr>
          <w:rFonts w:hint="cs"/>
          <w:rtl/>
        </w:rPr>
        <w:t xml:space="preserve"> 473, 507 (יעל רונן עורכת, מהדורה רביעית, 2023)). נקודה אחרונה זו באשר להשלכות הבינלאומיות של התיקון, עמדה במוקד עתירת נומה ונזכרת גם בפסק</w:t>
      </w:r>
      <w:r>
        <w:rPr>
          <w:rFonts w:hint="cs"/>
          <w:rtl/>
        </w:rPr>
        <w:t>ה 307 לתצהיר התשובה מטעם היועצת</w:t>
      </w:r>
      <w:r w:rsidRPr="00440FC8">
        <w:rPr>
          <w:rFonts w:hint="cs"/>
          <w:rtl/>
        </w:rPr>
        <w:t>.</w:t>
      </w:r>
      <w:r>
        <w:rPr>
          <w:rFonts w:hint="cs"/>
          <w:rtl/>
        </w:rPr>
        <w:t xml:space="preserve"> </w:t>
      </w:r>
    </w:p>
    <w:p w:rsidR="00C044AE" w:rsidRPr="00E9426C" w:rsidRDefault="00C044AE" w:rsidP="00C044AE">
      <w:pPr>
        <w:pStyle w:val="Ruller4"/>
        <w:numPr>
          <w:ilvl w:val="0"/>
          <w:numId w:val="0"/>
        </w:numPr>
        <w:rPr>
          <w:rtl/>
        </w:rPr>
      </w:pPr>
      <w:r w:rsidRPr="00E9426C">
        <w:rPr>
          <w:rtl/>
        </w:rPr>
        <w:lastRenderedPageBreak/>
        <w:t xml:space="preserve"> </w:t>
      </w:r>
    </w:p>
    <w:p w:rsidR="00C044AE" w:rsidRDefault="00C044AE" w:rsidP="00C044AE">
      <w:pPr>
        <w:pStyle w:val="Ruller41"/>
        <w:rPr>
          <w:rtl/>
        </w:rPr>
      </w:pPr>
      <w:r>
        <w:rPr>
          <w:rtl/>
        </w:rPr>
        <w:tab/>
      </w:r>
      <w:r>
        <w:rPr>
          <w:rFonts w:hint="cs"/>
          <w:rtl/>
        </w:rPr>
        <w:t xml:space="preserve">במהלך דיוני הוועדה הוצגה סוגיית המינויים והפיטורים בשירות הציבורי שוב ושוב כסוגיה </w:t>
      </w:r>
      <w:r w:rsidRPr="00D218C5">
        <w:rPr>
          <w:rFonts w:hint="cs"/>
          <w:rtl/>
        </w:rPr>
        <w:t xml:space="preserve">קריטית על ידי המשתתפים בדיונים ועל ידי הייעוץ המשפטי לוועדה בפרט, ובמסגרת זו אף הועלו אפשרויות לקביעת מנגנונים חלופיים לביקורת השיפוטית </w:t>
      </w:r>
      <w:r>
        <w:rPr>
          <w:rFonts w:hint="cs"/>
          <w:rtl/>
        </w:rPr>
        <w:t>בהקשר זה</w:t>
      </w:r>
      <w:r w:rsidRPr="00440FC8">
        <w:rPr>
          <w:rFonts w:hint="cs"/>
          <w:rtl/>
        </w:rPr>
        <w:t xml:space="preserve"> (ראו: פרוטוקול ישיבה 120, בעמ' 92-91; פרוטוקול ישיבה 121, בעמ' 12-11). עם זאת, מנגנונים אלה לא אומצו בסופו של דבר, ותחת זאת אף נוספה לנוסח הסופי של התיקון ההבהרה כי "החלטה" פירושה "</w:t>
      </w:r>
      <w:r w:rsidRPr="00440FC8">
        <w:rPr>
          <w:rtl/>
        </w:rPr>
        <w:t>כל החלטה</w:t>
      </w:r>
      <w:r>
        <w:rPr>
          <w:rFonts w:hint="cs"/>
          <w:rtl/>
        </w:rPr>
        <w:t>,</w:t>
      </w:r>
      <w:r w:rsidRPr="00440FC8">
        <w:rPr>
          <w:rtl/>
        </w:rPr>
        <w:t xml:space="preserve"> לרבות</w:t>
      </w:r>
      <w:r w:rsidRPr="00440FC8">
        <w:rPr>
          <w:rFonts w:hint="cs"/>
          <w:rtl/>
        </w:rPr>
        <w:t xml:space="preserve"> </w:t>
      </w:r>
      <w:r w:rsidRPr="00440FC8">
        <w:rPr>
          <w:rFonts w:ascii="Century" w:hAnsi="Century" w:cs="Miriam"/>
          <w:b/>
          <w:spacing w:val="0"/>
          <w:szCs w:val="24"/>
          <w:rtl/>
        </w:rPr>
        <w:t>בענייני מינויים</w:t>
      </w:r>
      <w:r w:rsidRPr="00440FC8">
        <w:rPr>
          <w:rFonts w:hint="cs"/>
          <w:rtl/>
        </w:rPr>
        <w:t xml:space="preserve"> [...]". בהיעדר כל מענה לפגיעה המובהקת בכלים לשמירה על טוהר המידות ועל תקינות המנהל, אשר נגרמת כתוצאה מביטול עילת הסבירות ביחס ל</w:t>
      </w:r>
      <w:r w:rsidRPr="00CF5C2B">
        <w:rPr>
          <w:rtl/>
        </w:rPr>
        <w:t>מינויָם</w:t>
      </w:r>
      <w:r w:rsidRPr="00440FC8">
        <w:rPr>
          <w:rFonts w:hint="cs"/>
          <w:rtl/>
        </w:rPr>
        <w:t xml:space="preserve"> ולהפסקת כהונתם של בעלי התפקיד הבכירים ביותר במדינה, נדמה כי התיקון יוצר סכנה ממשית לכך שהשירות הציבורי אשר "</w:t>
      </w:r>
      <w:r w:rsidRPr="00440FC8">
        <w:rPr>
          <w:rFonts w:ascii="FrankRuehl" w:hAnsi="FrankRuehl"/>
          <w:color w:val="000000"/>
          <w:sz w:val="28"/>
          <w:rtl/>
        </w:rPr>
        <w:t>נועד לספק לציבור את צרכיו בכל מישורי החיים</w:t>
      </w:r>
      <w:r w:rsidRPr="00440FC8">
        <w:rPr>
          <w:rFonts w:ascii="FrankRuehl" w:hAnsi="FrankRuehl" w:hint="cs"/>
          <w:color w:val="000000"/>
          <w:sz w:val="28"/>
          <w:rtl/>
        </w:rPr>
        <w:t>" (</w:t>
      </w:r>
      <w:r w:rsidRPr="00440FC8">
        <w:rPr>
          <w:rFonts w:ascii="FrankRuehl" w:hAnsi="FrankRuehl"/>
          <w:color w:val="000000"/>
          <w:sz w:val="28"/>
          <w:rtl/>
        </w:rPr>
        <w:t>בג"ץ 8815</w:t>
      </w:r>
      <w:r w:rsidRPr="00440FC8">
        <w:rPr>
          <w:rFonts w:ascii="FrankRuehl" w:hAnsi="FrankRuehl" w:hint="cs"/>
          <w:color w:val="000000"/>
          <w:sz w:val="28"/>
          <w:rtl/>
        </w:rPr>
        <w:t>/</w:t>
      </w:r>
      <w:r w:rsidRPr="00440FC8">
        <w:rPr>
          <w:rFonts w:ascii="FrankRuehl" w:hAnsi="FrankRuehl"/>
          <w:color w:val="000000"/>
          <w:sz w:val="28"/>
          <w:rtl/>
        </w:rPr>
        <w:t xml:space="preserve">05 </w:t>
      </w:r>
      <w:r w:rsidRPr="00440FC8">
        <w:rPr>
          <w:rFonts w:ascii="Century" w:hAnsi="Century" w:cs="Miriam"/>
          <w:b/>
          <w:spacing w:val="0"/>
          <w:szCs w:val="24"/>
          <w:rtl/>
        </w:rPr>
        <w:t>לנדשטיין נ' שפיגלר</w:t>
      </w:r>
      <w:r w:rsidRPr="00440FC8">
        <w:rPr>
          <w:rFonts w:ascii="FrankRuehl" w:hAnsi="FrankRuehl" w:hint="cs"/>
          <w:color w:val="000000"/>
          <w:sz w:val="28"/>
          <w:rtl/>
        </w:rPr>
        <w:t xml:space="preserve">, פסקה 8 (26.12.2005)) </w:t>
      </w:r>
      <w:r w:rsidRPr="00440FC8">
        <w:rPr>
          <w:rFonts w:ascii="FrankRuehl" w:hAnsi="FrankRuehl"/>
          <w:color w:val="000000"/>
          <w:sz w:val="28"/>
          <w:rtl/>
        </w:rPr>
        <w:t>–</w:t>
      </w:r>
      <w:r w:rsidRPr="00440FC8">
        <w:rPr>
          <w:rFonts w:ascii="FrankRuehl" w:hAnsi="FrankRuehl" w:hint="cs"/>
          <w:color w:val="000000"/>
          <w:sz w:val="28"/>
          <w:rtl/>
        </w:rPr>
        <w:t xml:space="preserve"> ישתנה מן היסוד</w:t>
      </w:r>
      <w:r>
        <w:rPr>
          <w:rFonts w:ascii="FrankRuehl" w:hAnsi="FrankRuehl" w:hint="cs"/>
          <w:color w:val="000000"/>
          <w:sz w:val="28"/>
          <w:rtl/>
        </w:rPr>
        <w:t xml:space="preserve">, ולא לטובה. </w:t>
      </w:r>
    </w:p>
    <w:p w:rsidR="00C044AE" w:rsidRDefault="00C044AE" w:rsidP="00C044AE">
      <w:pPr>
        <w:pStyle w:val="Ruller41"/>
        <w:rPr>
          <w:rtl/>
        </w:rPr>
      </w:pPr>
    </w:p>
    <w:p w:rsidR="00C044AE" w:rsidRPr="00440FC8" w:rsidRDefault="00C044AE" w:rsidP="00C044AE">
      <w:pPr>
        <w:pStyle w:val="Ruller4"/>
        <w:rPr>
          <w:rtl/>
        </w:rPr>
      </w:pPr>
      <w:r>
        <w:rPr>
          <w:rFonts w:hint="cs"/>
          <w:rtl/>
        </w:rPr>
        <w:t xml:space="preserve">"חלל נורמטיבי" נוסף שנוצר כתוצאה מהתיקון, נוגע לבחינת שיקול דעתן של </w:t>
      </w:r>
      <w:r w:rsidRPr="0098424C">
        <w:rPr>
          <w:rFonts w:ascii="Century" w:hAnsi="Century" w:cs="Miriam" w:hint="cs"/>
          <w:b/>
          <w:spacing w:val="0"/>
          <w:sz w:val="22"/>
          <w:szCs w:val="24"/>
          <w:rtl/>
        </w:rPr>
        <w:t>ממשלות מעבר</w:t>
      </w:r>
      <w:r>
        <w:rPr>
          <w:rFonts w:hint="cs"/>
          <w:rtl/>
        </w:rPr>
        <w:t xml:space="preserve">. בהתאם לעקרון רציפות הממשלה, המעוגן בסעיף 30 לחוק-יסוד: הממשלה, </w:t>
      </w:r>
      <w:r w:rsidRPr="00440FC8">
        <w:rPr>
          <w:rFonts w:hint="cs"/>
          <w:rtl/>
        </w:rPr>
        <w:t>ממשלה שאינה נהנית עוד מאמון הכנסת, מוסיפה לכהן כרשות המבצעת של המדינה כל עוד לא זכתה ממשלה אחרת לאמון הכנסת. זאת, על מנת למנוע "ריק שלטוני" ולהבטיח את המשכיות השלטון (</w:t>
      </w:r>
      <w:r w:rsidRPr="00440FC8">
        <w:rPr>
          <w:rFonts w:ascii="FrankRuehl" w:hAnsi="FrankRuehl" w:hint="eastAsia"/>
          <w:color w:val="000000"/>
          <w:sz w:val="28"/>
          <w:rtl/>
        </w:rPr>
        <w:t>בג</w:t>
      </w:r>
      <w:r w:rsidRPr="00440FC8">
        <w:rPr>
          <w:rFonts w:ascii="FrankRuehl" w:hAnsi="FrankRuehl"/>
          <w:color w:val="000000"/>
          <w:sz w:val="28"/>
          <w:rtl/>
        </w:rPr>
        <w:t>"</w:t>
      </w:r>
      <w:r w:rsidRPr="00440FC8">
        <w:rPr>
          <w:rFonts w:ascii="FrankRuehl" w:hAnsi="FrankRuehl" w:hint="eastAsia"/>
          <w:color w:val="000000"/>
          <w:sz w:val="28"/>
          <w:rtl/>
        </w:rPr>
        <w:t>ץ</w:t>
      </w:r>
      <w:r w:rsidRPr="00440FC8">
        <w:rPr>
          <w:rFonts w:ascii="FrankRuehl" w:hAnsi="FrankRuehl"/>
          <w:color w:val="000000"/>
          <w:sz w:val="28"/>
          <w:rtl/>
        </w:rPr>
        <w:t xml:space="preserve"> 5167/00 </w:t>
      </w:r>
      <w:r w:rsidRPr="00440FC8">
        <w:rPr>
          <w:rFonts w:ascii="Century" w:hAnsi="Century" w:cs="Miriam" w:hint="eastAsia"/>
          <w:b/>
          <w:spacing w:val="0"/>
          <w:szCs w:val="24"/>
          <w:rtl/>
        </w:rPr>
        <w:t>וייס</w:t>
      </w:r>
      <w:r w:rsidRPr="00440FC8">
        <w:rPr>
          <w:rFonts w:ascii="Century" w:hAnsi="Century" w:cs="Miriam"/>
          <w:b/>
          <w:spacing w:val="0"/>
          <w:szCs w:val="24"/>
          <w:rtl/>
        </w:rPr>
        <w:t xml:space="preserve"> </w:t>
      </w:r>
      <w:r w:rsidRPr="00440FC8">
        <w:rPr>
          <w:rFonts w:ascii="Century" w:hAnsi="Century" w:cs="Miriam" w:hint="eastAsia"/>
          <w:b/>
          <w:spacing w:val="0"/>
          <w:szCs w:val="24"/>
          <w:rtl/>
        </w:rPr>
        <w:t>נ</w:t>
      </w:r>
      <w:r w:rsidRPr="00440FC8">
        <w:rPr>
          <w:rFonts w:ascii="Century" w:hAnsi="Century" w:cs="Miriam"/>
          <w:b/>
          <w:spacing w:val="0"/>
          <w:szCs w:val="24"/>
          <w:rtl/>
        </w:rPr>
        <w:t xml:space="preserve">' </w:t>
      </w:r>
      <w:r w:rsidRPr="00440FC8">
        <w:rPr>
          <w:rFonts w:ascii="Century" w:hAnsi="Century" w:cs="Miriam" w:hint="eastAsia"/>
          <w:b/>
          <w:spacing w:val="0"/>
          <w:szCs w:val="24"/>
          <w:rtl/>
        </w:rPr>
        <w:t>ראש</w:t>
      </w:r>
      <w:r w:rsidRPr="00440FC8">
        <w:rPr>
          <w:rFonts w:ascii="Century" w:hAnsi="Century" w:cs="Miriam"/>
          <w:b/>
          <w:spacing w:val="0"/>
          <w:szCs w:val="24"/>
          <w:rtl/>
        </w:rPr>
        <w:t>-</w:t>
      </w:r>
      <w:r w:rsidRPr="00440FC8">
        <w:rPr>
          <w:rFonts w:ascii="Century" w:hAnsi="Century" w:cs="Miriam" w:hint="eastAsia"/>
          <w:b/>
          <w:spacing w:val="0"/>
          <w:szCs w:val="24"/>
          <w:rtl/>
        </w:rPr>
        <w:t>הממשלה</w:t>
      </w:r>
      <w:r w:rsidRPr="00440FC8">
        <w:rPr>
          <w:rFonts w:ascii="FrankRuehl" w:hAnsi="FrankRuehl"/>
          <w:color w:val="000000"/>
          <w:sz w:val="28"/>
          <w:rtl/>
        </w:rPr>
        <w:t xml:space="preserve">, </w:t>
      </w:r>
      <w:r w:rsidRPr="00440FC8">
        <w:rPr>
          <w:rFonts w:ascii="FrankRuehl" w:hAnsi="FrankRuehl" w:hint="eastAsia"/>
          <w:color w:val="000000"/>
          <w:sz w:val="28"/>
          <w:rtl/>
        </w:rPr>
        <w:t>פ</w:t>
      </w:r>
      <w:r w:rsidRPr="00440FC8">
        <w:rPr>
          <w:rFonts w:ascii="FrankRuehl" w:hAnsi="FrankRuehl"/>
          <w:color w:val="000000"/>
          <w:sz w:val="28"/>
          <w:rtl/>
        </w:rPr>
        <w:t>"</w:t>
      </w:r>
      <w:r w:rsidRPr="00440FC8">
        <w:rPr>
          <w:rFonts w:ascii="FrankRuehl" w:hAnsi="FrankRuehl" w:hint="eastAsia"/>
          <w:color w:val="000000"/>
          <w:sz w:val="28"/>
          <w:rtl/>
        </w:rPr>
        <w:t>ד</w:t>
      </w:r>
      <w:r w:rsidRPr="00440FC8">
        <w:rPr>
          <w:rFonts w:ascii="FrankRuehl" w:hAnsi="FrankRuehl"/>
          <w:color w:val="000000"/>
          <w:sz w:val="28"/>
          <w:rtl/>
        </w:rPr>
        <w:t xml:space="preserve"> </w:t>
      </w:r>
      <w:r w:rsidRPr="00440FC8">
        <w:rPr>
          <w:rFonts w:ascii="FrankRuehl" w:hAnsi="FrankRuehl" w:hint="eastAsia"/>
          <w:color w:val="000000"/>
          <w:sz w:val="28"/>
          <w:rtl/>
        </w:rPr>
        <w:t>נה</w:t>
      </w:r>
      <w:r w:rsidRPr="00440FC8">
        <w:rPr>
          <w:rFonts w:ascii="FrankRuehl" w:hAnsi="FrankRuehl"/>
          <w:color w:val="000000"/>
          <w:sz w:val="28"/>
          <w:rtl/>
        </w:rPr>
        <w:t>(2) 455, 465 (2001)</w:t>
      </w:r>
      <w:r w:rsidRPr="00440FC8">
        <w:rPr>
          <w:rFonts w:ascii="Century" w:hAnsi="Century" w:hint="cs"/>
          <w:rtl/>
        </w:rPr>
        <w:t xml:space="preserve"> (להלן: </w:t>
      </w:r>
      <w:r w:rsidRPr="00440FC8">
        <w:rPr>
          <w:rFonts w:ascii="Century" w:hAnsi="Century" w:cs="Miriam" w:hint="cs"/>
          <w:b/>
          <w:spacing w:val="0"/>
          <w:szCs w:val="24"/>
          <w:rtl/>
        </w:rPr>
        <w:t>עניין וייס</w:t>
      </w:r>
      <w:r w:rsidRPr="00440FC8">
        <w:rPr>
          <w:rFonts w:ascii="Century" w:hAnsi="Century" w:hint="cs"/>
          <w:rtl/>
        </w:rPr>
        <w:t>)</w:t>
      </w:r>
      <w:r>
        <w:rPr>
          <w:rFonts w:hint="cs"/>
          <w:rtl/>
        </w:rPr>
        <w:t xml:space="preserve">; </w:t>
      </w:r>
      <w:r w:rsidRPr="00440FC8">
        <w:rPr>
          <w:rFonts w:ascii="FrankRuehl" w:hAnsi="FrankRuehl" w:hint="eastAsia"/>
          <w:color w:val="000000"/>
          <w:sz w:val="28"/>
          <w:rtl/>
        </w:rPr>
        <w:t>בג</w:t>
      </w:r>
      <w:r w:rsidRPr="00440FC8">
        <w:rPr>
          <w:rFonts w:ascii="FrankRuehl" w:hAnsi="FrankRuehl"/>
          <w:color w:val="000000"/>
          <w:sz w:val="28"/>
          <w:rtl/>
        </w:rPr>
        <w:t>"</w:t>
      </w:r>
      <w:r w:rsidRPr="00440FC8">
        <w:rPr>
          <w:rFonts w:ascii="FrankRuehl" w:hAnsi="FrankRuehl" w:hint="eastAsia"/>
          <w:color w:val="000000"/>
          <w:sz w:val="28"/>
          <w:rtl/>
        </w:rPr>
        <w:t>ץ</w:t>
      </w:r>
      <w:r w:rsidRPr="00440FC8">
        <w:rPr>
          <w:rFonts w:ascii="FrankRuehl" w:hAnsi="FrankRuehl"/>
          <w:color w:val="000000"/>
          <w:sz w:val="28"/>
          <w:rtl/>
        </w:rPr>
        <w:t xml:space="preserve"> 7510/19 </w:t>
      </w:r>
      <w:r w:rsidRPr="00440FC8">
        <w:rPr>
          <w:rFonts w:ascii="Century" w:hAnsi="Century" w:cs="Miriam" w:hint="eastAsia"/>
          <w:b/>
          <w:spacing w:val="0"/>
          <w:sz w:val="22"/>
          <w:szCs w:val="24"/>
          <w:rtl/>
        </w:rPr>
        <w:t>אור</w:t>
      </w:r>
      <w:r w:rsidRPr="00440FC8">
        <w:rPr>
          <w:rFonts w:ascii="Century" w:hAnsi="Century" w:cs="Miriam"/>
          <w:b/>
          <w:spacing w:val="0"/>
          <w:sz w:val="22"/>
          <w:szCs w:val="24"/>
          <w:rtl/>
        </w:rPr>
        <w:t>-</w:t>
      </w:r>
      <w:r w:rsidRPr="00440FC8">
        <w:rPr>
          <w:rFonts w:ascii="Century" w:hAnsi="Century" w:cs="Miriam" w:hint="eastAsia"/>
          <w:b/>
          <w:spacing w:val="0"/>
          <w:sz w:val="22"/>
          <w:szCs w:val="24"/>
          <w:rtl/>
        </w:rPr>
        <w:t>הכהן</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נ</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ראש</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הממשלה</w:t>
      </w:r>
      <w:r w:rsidRPr="00440FC8">
        <w:rPr>
          <w:rFonts w:ascii="FrankRuehl" w:hAnsi="FrankRuehl"/>
          <w:color w:val="000000"/>
          <w:sz w:val="28"/>
          <w:rtl/>
        </w:rPr>
        <w:t xml:space="preserve">, </w:t>
      </w:r>
      <w:r>
        <w:rPr>
          <w:rFonts w:ascii="FrankRuehl" w:hAnsi="FrankRuehl" w:hint="eastAsia"/>
          <w:color w:val="000000"/>
          <w:sz w:val="28"/>
          <w:rtl/>
        </w:rPr>
        <w:t>פסק</w:t>
      </w:r>
      <w:r>
        <w:rPr>
          <w:rFonts w:ascii="FrankRuehl" w:hAnsi="FrankRuehl" w:hint="cs"/>
          <w:color w:val="000000"/>
          <w:sz w:val="28"/>
          <w:rtl/>
        </w:rPr>
        <w:t>אות</w:t>
      </w:r>
      <w:r w:rsidRPr="00440FC8">
        <w:rPr>
          <w:rFonts w:ascii="FrankRuehl" w:hAnsi="FrankRuehl"/>
          <w:color w:val="000000"/>
          <w:sz w:val="28"/>
          <w:rtl/>
        </w:rPr>
        <w:t xml:space="preserve"> </w:t>
      </w:r>
      <w:r>
        <w:rPr>
          <w:rFonts w:ascii="FrankRuehl" w:hAnsi="FrankRuehl" w:hint="cs"/>
          <w:color w:val="000000"/>
          <w:sz w:val="28"/>
          <w:rtl/>
        </w:rPr>
        <w:t>1 ו-</w:t>
      </w:r>
      <w:r w:rsidRPr="00440FC8">
        <w:rPr>
          <w:rFonts w:ascii="FrankRuehl" w:hAnsi="FrankRuehl" w:hint="cs"/>
          <w:color w:val="000000"/>
          <w:sz w:val="28"/>
          <w:rtl/>
        </w:rPr>
        <w:t>10</w:t>
      </w:r>
      <w:r w:rsidRPr="00440FC8">
        <w:rPr>
          <w:rFonts w:ascii="FrankRuehl" w:hAnsi="FrankRuehl"/>
          <w:color w:val="000000"/>
          <w:sz w:val="28"/>
          <w:rtl/>
        </w:rPr>
        <w:t xml:space="preserve"> </w:t>
      </w:r>
      <w:r w:rsidRPr="00440FC8">
        <w:rPr>
          <w:rFonts w:ascii="FrankRuehl" w:hAnsi="FrankRuehl" w:hint="cs"/>
          <w:color w:val="000000"/>
          <w:sz w:val="28"/>
          <w:rtl/>
        </w:rPr>
        <w:t xml:space="preserve">לחוות דעתי </w:t>
      </w:r>
      <w:r w:rsidRPr="00440FC8">
        <w:rPr>
          <w:rFonts w:ascii="FrankRuehl" w:hAnsi="FrankRuehl"/>
          <w:color w:val="000000"/>
          <w:sz w:val="28"/>
          <w:rtl/>
        </w:rPr>
        <w:t>(9.1.2020)</w:t>
      </w:r>
      <w:r w:rsidRPr="00440FC8">
        <w:rPr>
          <w:rFonts w:hint="cs"/>
          <w:rtl/>
        </w:rPr>
        <w:t>). החשש המרכזי הנובע ממצב משטרי זה הוא ש</w:t>
      </w:r>
      <w:r w:rsidRPr="00440FC8">
        <w:rPr>
          <w:rFonts w:ascii="FrankRuehl" w:hAnsi="FrankRuehl"/>
          <w:color w:val="000000"/>
          <w:sz w:val="28"/>
          <w:rtl/>
        </w:rPr>
        <w:t xml:space="preserve">ממשלה כזו </w:t>
      </w:r>
      <w:r w:rsidRPr="00440FC8">
        <w:rPr>
          <w:rFonts w:ascii="FrankRuehl" w:hAnsi="FrankRuehl" w:hint="cs"/>
          <w:color w:val="000000"/>
          <w:sz w:val="28"/>
          <w:rtl/>
        </w:rPr>
        <w:t>תקבל החלטות שנועדו להשיג</w:t>
      </w:r>
      <w:r w:rsidRPr="00440FC8">
        <w:rPr>
          <w:rFonts w:ascii="FrankRuehl" w:hAnsi="FrankRuehl"/>
          <w:color w:val="000000"/>
          <w:sz w:val="28"/>
          <w:rtl/>
        </w:rPr>
        <w:t xml:space="preserve"> רווח פוליטי בבחירות הקרבות או לכבול את ידי הממשלה הבאה (</w:t>
      </w:r>
      <w:r w:rsidRPr="003A512E">
        <w:rPr>
          <w:rFonts w:ascii="Century" w:hAnsi="Century" w:cs="Miriam" w:hint="cs"/>
          <w:b/>
          <w:spacing w:val="0"/>
          <w:sz w:val="22"/>
          <w:szCs w:val="24"/>
          <w:rtl/>
        </w:rPr>
        <w:t>שם</w:t>
      </w:r>
      <w:r w:rsidRPr="00440FC8">
        <w:rPr>
          <w:rFonts w:ascii="FrankRuehl" w:hAnsi="FrankRuehl"/>
          <w:color w:val="000000"/>
          <w:sz w:val="28"/>
          <w:rtl/>
        </w:rPr>
        <w:t xml:space="preserve">, </w:t>
      </w:r>
      <w:r>
        <w:rPr>
          <w:rFonts w:ascii="FrankRuehl" w:hAnsi="FrankRuehl" w:hint="cs"/>
          <w:color w:val="000000"/>
          <w:sz w:val="28"/>
          <w:rtl/>
        </w:rPr>
        <w:t>ב</w:t>
      </w:r>
      <w:r w:rsidRPr="00440FC8">
        <w:rPr>
          <w:rFonts w:ascii="FrankRuehl" w:hAnsi="FrankRuehl" w:hint="eastAsia"/>
          <w:color w:val="000000"/>
          <w:sz w:val="28"/>
          <w:rtl/>
        </w:rPr>
        <w:t>פסקה</w:t>
      </w:r>
      <w:r w:rsidRPr="00440FC8">
        <w:rPr>
          <w:rFonts w:ascii="FrankRuehl" w:hAnsi="FrankRuehl"/>
          <w:color w:val="000000"/>
          <w:sz w:val="28"/>
          <w:rtl/>
        </w:rPr>
        <w:t xml:space="preserve"> </w:t>
      </w:r>
      <w:r w:rsidRPr="00440FC8">
        <w:rPr>
          <w:rFonts w:ascii="FrankRuehl" w:hAnsi="FrankRuehl" w:hint="cs"/>
          <w:color w:val="000000"/>
          <w:sz w:val="28"/>
          <w:rtl/>
        </w:rPr>
        <w:t>10</w:t>
      </w:r>
      <w:r w:rsidRPr="00440FC8">
        <w:rPr>
          <w:rFonts w:ascii="FrankRuehl" w:hAnsi="FrankRuehl"/>
          <w:color w:val="000000"/>
          <w:sz w:val="28"/>
          <w:rtl/>
        </w:rPr>
        <w:t xml:space="preserve"> </w:t>
      </w:r>
      <w:r w:rsidRPr="00440FC8">
        <w:rPr>
          <w:rFonts w:ascii="FrankRuehl" w:hAnsi="FrankRuehl" w:hint="cs"/>
          <w:color w:val="000000"/>
          <w:sz w:val="28"/>
          <w:rtl/>
        </w:rPr>
        <w:t xml:space="preserve">לחוות דעתי; ראו גם: </w:t>
      </w:r>
      <w:r w:rsidRPr="00440FC8">
        <w:rPr>
          <w:rFonts w:ascii="Century" w:hAnsi="Century" w:cs="Miriam" w:hint="cs"/>
          <w:b/>
          <w:spacing w:val="0"/>
          <w:sz w:val="22"/>
          <w:szCs w:val="24"/>
          <w:rtl/>
        </w:rPr>
        <w:t>שטרית</w:t>
      </w:r>
      <w:r w:rsidRPr="00440FC8">
        <w:rPr>
          <w:rFonts w:ascii="FrankRuehl" w:hAnsi="FrankRuehl" w:hint="cs"/>
          <w:color w:val="000000"/>
          <w:sz w:val="28"/>
          <w:rtl/>
        </w:rPr>
        <w:t>, בעמ' 520</w:t>
      </w:r>
      <w:r w:rsidRPr="00440FC8">
        <w:rPr>
          <w:rFonts w:hint="cs"/>
          <w:rtl/>
        </w:rPr>
        <w:t>). בהקשר זה הובהר בפסיקה כי אף ש</w:t>
      </w:r>
      <w:r w:rsidRPr="00440FC8">
        <w:rPr>
          <w:rFonts w:ascii="Century" w:hAnsi="Century" w:cs="Miriam" w:hint="eastAsia"/>
          <w:b/>
          <w:spacing w:val="0"/>
          <w:szCs w:val="24"/>
          <w:rtl/>
        </w:rPr>
        <w:t>סמכויותיה</w:t>
      </w:r>
      <w:r w:rsidRPr="00440FC8">
        <w:rPr>
          <w:rFonts w:ascii="FrankRuehl" w:hAnsi="FrankRuehl"/>
          <w:color w:val="000000"/>
          <w:sz w:val="28"/>
          <w:rtl/>
        </w:rPr>
        <w:t xml:space="preserve"> של ממשלת מעבר אינן שונות מסמכויותיה של ממשלה </w:t>
      </w:r>
      <w:r w:rsidRPr="00440FC8">
        <w:rPr>
          <w:rFonts w:ascii="FrankRuehl" w:hAnsi="FrankRuehl" w:hint="cs"/>
          <w:color w:val="000000"/>
          <w:sz w:val="28"/>
          <w:rtl/>
        </w:rPr>
        <w:t>"</w:t>
      </w:r>
      <w:r w:rsidRPr="00440FC8">
        <w:rPr>
          <w:rFonts w:ascii="FrankRuehl" w:hAnsi="FrankRuehl"/>
          <w:color w:val="000000"/>
          <w:sz w:val="28"/>
          <w:rtl/>
        </w:rPr>
        <w:t>רגילה</w:t>
      </w:r>
      <w:r w:rsidRPr="00440FC8">
        <w:rPr>
          <w:rFonts w:ascii="FrankRuehl" w:hAnsi="FrankRuehl" w:hint="cs"/>
          <w:color w:val="000000"/>
          <w:sz w:val="28"/>
          <w:rtl/>
        </w:rPr>
        <w:t>"</w:t>
      </w:r>
      <w:r w:rsidRPr="00440FC8">
        <w:rPr>
          <w:rFonts w:ascii="FrankRuehl" w:hAnsi="FrankRuehl"/>
          <w:color w:val="000000"/>
          <w:sz w:val="28"/>
          <w:rtl/>
        </w:rPr>
        <w:t>, במישור </w:t>
      </w:r>
      <w:r w:rsidRPr="00440FC8">
        <w:rPr>
          <w:rFonts w:ascii="Century" w:hAnsi="Century" w:cs="Miriam" w:hint="eastAsia"/>
          <w:b/>
          <w:spacing w:val="0"/>
          <w:szCs w:val="24"/>
          <w:rtl/>
        </w:rPr>
        <w:t>שיקול</w:t>
      </w:r>
      <w:r w:rsidRPr="00440FC8">
        <w:rPr>
          <w:rFonts w:ascii="Century" w:hAnsi="Century" w:cs="Miriam"/>
          <w:b/>
          <w:spacing w:val="0"/>
          <w:szCs w:val="24"/>
          <w:rtl/>
        </w:rPr>
        <w:t xml:space="preserve"> </w:t>
      </w:r>
      <w:r w:rsidRPr="00440FC8">
        <w:rPr>
          <w:rFonts w:ascii="Century" w:hAnsi="Century" w:cs="Miriam" w:hint="eastAsia"/>
          <w:b/>
          <w:spacing w:val="0"/>
          <w:szCs w:val="24"/>
          <w:rtl/>
        </w:rPr>
        <w:t>הדעת</w:t>
      </w:r>
      <w:r w:rsidRPr="00440FC8">
        <w:rPr>
          <w:rFonts w:ascii="FrankRuehl" w:hAnsi="FrankRuehl"/>
          <w:color w:val="000000"/>
          <w:sz w:val="28"/>
          <w:rtl/>
        </w:rPr>
        <w:t> </w:t>
      </w:r>
      <w:r w:rsidRPr="00440FC8">
        <w:rPr>
          <w:rFonts w:ascii="FrankRuehl" w:hAnsi="FrankRuehl" w:hint="cs"/>
          <w:color w:val="000000"/>
          <w:sz w:val="28"/>
          <w:rtl/>
        </w:rPr>
        <w:t>"</w:t>
      </w:r>
      <w:r w:rsidRPr="00440FC8">
        <w:rPr>
          <w:rFonts w:ascii="FrankRuehl" w:hAnsi="FrankRuehl"/>
          <w:color w:val="000000"/>
          <w:sz w:val="28"/>
          <w:rtl/>
        </w:rPr>
        <w:t>מתחם הסבירות של ממשלת מעבר הוא צר מזה של ממשלה המכהנת מכוח אמון הכנסת</w:t>
      </w:r>
      <w:r w:rsidRPr="00440FC8">
        <w:rPr>
          <w:rFonts w:ascii="FrankRuehl" w:hAnsi="FrankRuehl" w:hint="cs"/>
          <w:color w:val="000000"/>
          <w:sz w:val="28"/>
          <w:rtl/>
        </w:rPr>
        <w:t xml:space="preserve">" (עניין </w:t>
      </w:r>
      <w:r w:rsidRPr="00440FC8">
        <w:rPr>
          <w:rFonts w:ascii="Century" w:hAnsi="Century" w:cs="Miriam" w:hint="cs"/>
          <w:b/>
          <w:spacing w:val="0"/>
          <w:sz w:val="22"/>
          <w:szCs w:val="24"/>
          <w:rtl/>
        </w:rPr>
        <w:t>פורום קהלת</w:t>
      </w:r>
      <w:r w:rsidRPr="00440FC8">
        <w:rPr>
          <w:rFonts w:ascii="FrankRuehl" w:hAnsi="FrankRuehl" w:hint="cs"/>
          <w:color w:val="000000"/>
          <w:sz w:val="28"/>
          <w:rtl/>
        </w:rPr>
        <w:t xml:space="preserve">, בפסקה 6 לחוות דעתי; ראו גם: עניין </w:t>
      </w:r>
      <w:r w:rsidRPr="00440FC8">
        <w:rPr>
          <w:rFonts w:ascii="Century" w:hAnsi="Century" w:cs="Miriam" w:hint="eastAsia"/>
          <w:b/>
          <w:spacing w:val="0"/>
          <w:sz w:val="22"/>
          <w:szCs w:val="24"/>
          <w:rtl/>
        </w:rPr>
        <w:t>וייס</w:t>
      </w:r>
      <w:r w:rsidRPr="00440FC8">
        <w:rPr>
          <w:rFonts w:ascii="FrankRuehl" w:hAnsi="FrankRuehl" w:hint="cs"/>
          <w:color w:val="000000"/>
          <w:sz w:val="28"/>
          <w:rtl/>
        </w:rPr>
        <w:t xml:space="preserve">, בעמ' 470; בג"ץ 9202/08 </w:t>
      </w:r>
      <w:r w:rsidRPr="00440FC8">
        <w:rPr>
          <w:rFonts w:ascii="Century" w:hAnsi="Century" w:cs="Miriam" w:hint="eastAsia"/>
          <w:b/>
          <w:spacing w:val="0"/>
          <w:sz w:val="22"/>
          <w:szCs w:val="24"/>
          <w:rtl/>
        </w:rPr>
        <w:t>לבנת</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נ</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ראש</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הממשלה</w:t>
      </w:r>
      <w:r w:rsidRPr="00440FC8">
        <w:rPr>
          <w:rFonts w:ascii="FrankRuehl" w:hAnsi="FrankRuehl" w:hint="cs"/>
          <w:color w:val="000000"/>
          <w:sz w:val="28"/>
          <w:rtl/>
        </w:rPr>
        <w:t>, פסקה 4 (4.12.2008)</w:t>
      </w:r>
      <w:r>
        <w:rPr>
          <w:rFonts w:ascii="FrankRuehl" w:hAnsi="FrankRuehl" w:hint="cs"/>
          <w:color w:val="000000"/>
          <w:sz w:val="28"/>
          <w:rtl/>
        </w:rPr>
        <w:t>)</w:t>
      </w:r>
      <w:r w:rsidRPr="00440FC8">
        <w:rPr>
          <w:rFonts w:ascii="FrankRuehl" w:hAnsi="FrankRuehl" w:hint="cs"/>
          <w:color w:val="000000"/>
          <w:sz w:val="28"/>
          <w:rtl/>
        </w:rPr>
        <w:t>.</w:t>
      </w:r>
      <w:r w:rsidRPr="00440FC8">
        <w:rPr>
          <w:rFonts w:ascii="FrankRuehl" w:hAnsi="FrankRuehl"/>
          <w:color w:val="000000"/>
          <w:sz w:val="28"/>
          <w:rtl/>
        </w:rPr>
        <w:t xml:space="preserve"> </w:t>
      </w:r>
      <w:r w:rsidRPr="00440FC8">
        <w:rPr>
          <w:rFonts w:hint="cs"/>
          <w:rtl/>
        </w:rPr>
        <w:t>בשל</w:t>
      </w:r>
      <w:r>
        <w:rPr>
          <w:rFonts w:hint="cs"/>
          <w:rtl/>
        </w:rPr>
        <w:t xml:space="preserve"> כך </w:t>
      </w:r>
      <w:r w:rsidRPr="00440FC8">
        <w:rPr>
          <w:rFonts w:hint="cs"/>
          <w:rtl/>
        </w:rPr>
        <w:t xml:space="preserve">מחויבת ממשלת המעבר </w:t>
      </w:r>
      <w:r w:rsidRPr="00440FC8">
        <w:rPr>
          <w:rFonts w:ascii="FrankRuehl" w:hAnsi="FrankRuehl" w:hint="cs"/>
          <w:color w:val="000000"/>
          <w:sz w:val="28"/>
          <w:rtl/>
        </w:rPr>
        <w:t>לקיים איזון</w:t>
      </w:r>
      <w:r w:rsidRPr="00440FC8">
        <w:rPr>
          <w:rFonts w:ascii="FrankRuehl" w:hAnsi="FrankRuehl"/>
          <w:color w:val="000000"/>
          <w:sz w:val="28"/>
          <w:rtl/>
        </w:rPr>
        <w:t xml:space="preserve"> בין הריסון והאיפוק –</w:t>
      </w:r>
      <w:r w:rsidRPr="00440FC8">
        <w:rPr>
          <w:rFonts w:ascii="FrankRuehl" w:hAnsi="FrankRuehl" w:hint="cs"/>
          <w:color w:val="000000"/>
          <w:sz w:val="28"/>
          <w:rtl/>
        </w:rPr>
        <w:t xml:space="preserve"> הנובעים</w:t>
      </w:r>
      <w:r w:rsidRPr="00440FC8">
        <w:rPr>
          <w:rFonts w:ascii="FrankRuehl" w:hAnsi="FrankRuehl"/>
          <w:color w:val="000000"/>
          <w:sz w:val="28"/>
          <w:rtl/>
        </w:rPr>
        <w:t xml:space="preserve"> מעצם </w:t>
      </w:r>
      <w:r w:rsidRPr="00440FC8">
        <w:rPr>
          <w:rFonts w:ascii="FrankRuehl" w:hAnsi="FrankRuehl" w:hint="cs"/>
          <w:color w:val="000000"/>
          <w:sz w:val="28"/>
          <w:rtl/>
        </w:rPr>
        <w:t>היותה</w:t>
      </w:r>
      <w:r w:rsidRPr="00440FC8">
        <w:rPr>
          <w:rFonts w:ascii="FrankRuehl" w:hAnsi="FrankRuehl"/>
          <w:color w:val="000000"/>
          <w:sz w:val="28"/>
          <w:rtl/>
        </w:rPr>
        <w:t xml:space="preserve"> ממשלה שאינה זוכה לאמון הכנסת</w:t>
      </w:r>
      <w:r w:rsidRPr="00440FC8">
        <w:rPr>
          <w:rFonts w:ascii="FrankRuehl" w:hAnsi="FrankRuehl" w:hint="cs"/>
          <w:color w:val="000000"/>
          <w:sz w:val="28"/>
          <w:rtl/>
        </w:rPr>
        <w:t xml:space="preserve"> </w:t>
      </w:r>
      <w:r w:rsidRPr="00440FC8">
        <w:rPr>
          <w:rFonts w:ascii="FrankRuehl" w:hAnsi="FrankRuehl"/>
          <w:color w:val="000000"/>
          <w:sz w:val="28"/>
          <w:rtl/>
        </w:rPr>
        <w:t>–</w:t>
      </w:r>
      <w:r w:rsidRPr="00440FC8">
        <w:rPr>
          <w:rFonts w:ascii="FrankRuehl" w:hAnsi="FrankRuehl" w:hint="cs"/>
          <w:color w:val="000000"/>
          <w:sz w:val="28"/>
          <w:rtl/>
        </w:rPr>
        <w:t xml:space="preserve"> </w:t>
      </w:r>
      <w:r>
        <w:rPr>
          <w:rFonts w:ascii="FrankRuehl" w:hAnsi="FrankRuehl"/>
          <w:color w:val="000000"/>
          <w:sz w:val="28"/>
          <w:rtl/>
        </w:rPr>
        <w:t>ובין הצורך</w:t>
      </w:r>
      <w:r w:rsidRPr="00440FC8">
        <w:rPr>
          <w:rFonts w:ascii="FrankRuehl" w:hAnsi="FrankRuehl" w:hint="cs"/>
          <w:color w:val="000000"/>
          <w:sz w:val="28"/>
          <w:rtl/>
        </w:rPr>
        <w:t xml:space="preserve"> להבטיח י</w:t>
      </w:r>
      <w:r w:rsidRPr="00440FC8">
        <w:rPr>
          <w:rFonts w:ascii="FrankRuehl" w:hAnsi="FrankRuehl"/>
          <w:color w:val="000000"/>
          <w:sz w:val="28"/>
          <w:rtl/>
        </w:rPr>
        <w:t>ציבות, המשכיות ופעילות תקינה של מוסדות השלטון</w:t>
      </w:r>
      <w:r w:rsidRPr="00440FC8">
        <w:rPr>
          <w:rFonts w:hint="cs"/>
          <w:rtl/>
        </w:rPr>
        <w:t xml:space="preserve"> (עניין </w:t>
      </w:r>
      <w:r w:rsidRPr="00440FC8">
        <w:rPr>
          <w:rFonts w:ascii="Century" w:hAnsi="Century" w:cs="Miriam" w:hint="cs"/>
          <w:b/>
          <w:spacing w:val="0"/>
          <w:sz w:val="22"/>
          <w:szCs w:val="24"/>
          <w:rtl/>
        </w:rPr>
        <w:t>פורום קהלת</w:t>
      </w:r>
      <w:r w:rsidRPr="00440FC8">
        <w:rPr>
          <w:rFonts w:hint="cs"/>
          <w:rtl/>
        </w:rPr>
        <w:t xml:space="preserve">, בפסקה 7 לחוות דעתי). על רקע זה, כאשר בחן בית המשפט את החלטותיהן של ממשלות מעבר ומצא כי נפל פגם באיזון שבין השיקולים השונים הצריכים לעניין, הוא הורה על ביטולן (ראו: </w:t>
      </w:r>
      <w:r w:rsidRPr="00440FC8">
        <w:rPr>
          <w:rtl/>
        </w:rPr>
        <w:t>בג"ץ 9577</w:t>
      </w:r>
      <w:r w:rsidRPr="00440FC8">
        <w:rPr>
          <w:rFonts w:hint="cs"/>
          <w:rtl/>
        </w:rPr>
        <w:t>/</w:t>
      </w:r>
      <w:r w:rsidRPr="00440FC8">
        <w:rPr>
          <w:rtl/>
        </w:rPr>
        <w:t xml:space="preserve">02 </w:t>
      </w:r>
      <w:r w:rsidRPr="00440FC8">
        <w:rPr>
          <w:rFonts w:ascii="Century" w:hAnsi="Century" w:cs="Miriam"/>
          <w:b/>
          <w:spacing w:val="0"/>
          <w:sz w:val="22"/>
          <w:szCs w:val="24"/>
          <w:rtl/>
        </w:rPr>
        <w:t>סיעת המפד"ל המפלגה הדתית לאומית המזרחי נ' יושב-ראש הכנסת</w:t>
      </w:r>
      <w:r w:rsidRPr="00440FC8">
        <w:rPr>
          <w:rtl/>
        </w:rPr>
        <w:t>, פ"ד נז(1) 710</w:t>
      </w:r>
      <w:r w:rsidRPr="00440FC8">
        <w:rPr>
          <w:rFonts w:hint="cs"/>
          <w:rtl/>
        </w:rPr>
        <w:t xml:space="preserve"> (</w:t>
      </w:r>
      <w:r>
        <w:rPr>
          <w:rFonts w:hint="cs"/>
          <w:rtl/>
        </w:rPr>
        <w:t>2002</w:t>
      </w:r>
      <w:r w:rsidRPr="00440FC8">
        <w:rPr>
          <w:rFonts w:hint="cs"/>
          <w:rtl/>
        </w:rPr>
        <w:t xml:space="preserve">); </w:t>
      </w:r>
      <w:r w:rsidRPr="00440FC8">
        <w:rPr>
          <w:rFonts w:hint="eastAsia"/>
          <w:rtl/>
        </w:rPr>
        <w:t>בג</w:t>
      </w:r>
      <w:r w:rsidRPr="00440FC8">
        <w:rPr>
          <w:rtl/>
        </w:rPr>
        <w:t>"</w:t>
      </w:r>
      <w:r w:rsidRPr="00440FC8">
        <w:rPr>
          <w:rFonts w:hint="eastAsia"/>
          <w:rtl/>
        </w:rPr>
        <w:t>ץ</w:t>
      </w:r>
      <w:r w:rsidRPr="00440FC8">
        <w:rPr>
          <w:rtl/>
        </w:rPr>
        <w:t xml:space="preserve"> 4065/09 </w:t>
      </w:r>
      <w:r w:rsidRPr="00440FC8">
        <w:rPr>
          <w:rFonts w:ascii="Century" w:hAnsi="Century" w:cs="Miriam" w:hint="eastAsia"/>
          <w:b/>
          <w:spacing w:val="0"/>
          <w:szCs w:val="24"/>
          <w:rtl/>
        </w:rPr>
        <w:t>כהן</w:t>
      </w:r>
      <w:r w:rsidRPr="00440FC8">
        <w:rPr>
          <w:rFonts w:ascii="Century" w:hAnsi="Century" w:cs="Miriam"/>
          <w:b/>
          <w:spacing w:val="0"/>
          <w:szCs w:val="24"/>
          <w:rtl/>
        </w:rPr>
        <w:t xml:space="preserve"> </w:t>
      </w:r>
      <w:r w:rsidRPr="00440FC8">
        <w:rPr>
          <w:rFonts w:ascii="Century" w:hAnsi="Century" w:cs="Miriam" w:hint="eastAsia"/>
          <w:b/>
          <w:spacing w:val="0"/>
          <w:szCs w:val="24"/>
          <w:rtl/>
        </w:rPr>
        <w:t>נ</w:t>
      </w:r>
      <w:r w:rsidRPr="00440FC8">
        <w:rPr>
          <w:rFonts w:ascii="Century" w:hAnsi="Century" w:cs="Miriam"/>
          <w:b/>
          <w:spacing w:val="0"/>
          <w:szCs w:val="24"/>
          <w:rtl/>
        </w:rPr>
        <w:t xml:space="preserve">' </w:t>
      </w:r>
      <w:r w:rsidRPr="00440FC8">
        <w:rPr>
          <w:rFonts w:ascii="Century" w:hAnsi="Century" w:cs="Miriam" w:hint="eastAsia"/>
          <w:b/>
          <w:spacing w:val="0"/>
          <w:szCs w:val="24"/>
          <w:rtl/>
        </w:rPr>
        <w:t>שר</w:t>
      </w:r>
      <w:r w:rsidRPr="00440FC8">
        <w:rPr>
          <w:rFonts w:ascii="Century" w:hAnsi="Century" w:cs="Miriam"/>
          <w:b/>
          <w:spacing w:val="0"/>
          <w:szCs w:val="24"/>
          <w:rtl/>
        </w:rPr>
        <w:t xml:space="preserve"> </w:t>
      </w:r>
      <w:r w:rsidRPr="00440FC8">
        <w:rPr>
          <w:rFonts w:ascii="Century" w:hAnsi="Century" w:cs="Miriam" w:hint="eastAsia"/>
          <w:b/>
          <w:spacing w:val="0"/>
          <w:szCs w:val="24"/>
          <w:rtl/>
        </w:rPr>
        <w:t>הפנים</w:t>
      </w:r>
      <w:r w:rsidRPr="00440FC8">
        <w:rPr>
          <w:rtl/>
        </w:rPr>
        <w:t xml:space="preserve"> (20.7.2010)</w:t>
      </w:r>
      <w:r w:rsidRPr="00440FC8">
        <w:rPr>
          <w:rFonts w:hint="cs"/>
          <w:rtl/>
        </w:rPr>
        <w:t xml:space="preserve">; עניין </w:t>
      </w:r>
      <w:r w:rsidRPr="00440FC8">
        <w:rPr>
          <w:rFonts w:ascii="Century" w:hAnsi="Century" w:cs="Miriam" w:hint="cs"/>
          <w:b/>
          <w:spacing w:val="0"/>
          <w:sz w:val="22"/>
          <w:szCs w:val="24"/>
          <w:rtl/>
        </w:rPr>
        <w:t>לביא</w:t>
      </w:r>
      <w:r w:rsidRPr="00440FC8">
        <w:rPr>
          <w:rFonts w:hint="cs"/>
          <w:rtl/>
        </w:rPr>
        <w:t xml:space="preserve">). </w:t>
      </w:r>
    </w:p>
    <w:p w:rsidR="00C044AE" w:rsidRDefault="00C044AE" w:rsidP="00C044AE">
      <w:pPr>
        <w:pStyle w:val="Ruller4"/>
        <w:numPr>
          <w:ilvl w:val="0"/>
          <w:numId w:val="0"/>
        </w:numPr>
        <w:rPr>
          <w:rtl/>
        </w:rPr>
      </w:pPr>
    </w:p>
    <w:p w:rsidR="00C044AE" w:rsidRDefault="00C044AE" w:rsidP="00C044AE">
      <w:pPr>
        <w:pStyle w:val="Ruller4"/>
        <w:rPr>
          <w:rtl/>
        </w:rPr>
      </w:pPr>
      <w:r>
        <w:rPr>
          <w:rFonts w:hint="cs"/>
          <w:rtl/>
        </w:rPr>
        <w:lastRenderedPageBreak/>
        <w:t xml:space="preserve">מניעת האפשרות לבחון את סבירות החלטותיהן של ממשלות מעבר, עלולה לגרום לפגיעה רחבת היקף באינטרס הציבורי, שכן היא תאפשר לממשלה ולשרים הפועלים כממשלת מעבר לנצל ביתר קלות את הסמכויות והמשאבים העומדים לרשותם בתקופת הבחירות, לצורך מינויים שאינם חיוניים או על מנת להשיג יתרון לא הוגן </w:t>
      </w:r>
      <w:r w:rsidRPr="00440FC8">
        <w:rPr>
          <w:rFonts w:hint="cs"/>
          <w:rtl/>
        </w:rPr>
        <w:t>לקראת הבחירות, למשל באמצעות מה שמכונה "כלכלת בחירות" (</w:t>
      </w:r>
      <w:r>
        <w:rPr>
          <w:rFonts w:hint="cs"/>
          <w:rtl/>
        </w:rPr>
        <w:t xml:space="preserve">ראו והשוו: </w:t>
      </w:r>
      <w:r w:rsidRPr="00440FC8">
        <w:rPr>
          <w:rFonts w:hint="cs"/>
          <w:rtl/>
        </w:rPr>
        <w:t xml:space="preserve">עניין </w:t>
      </w:r>
      <w:r w:rsidRPr="00440FC8">
        <w:rPr>
          <w:rFonts w:ascii="Century" w:hAnsi="Century" w:cs="Miriam" w:hint="cs"/>
          <w:b/>
          <w:spacing w:val="0"/>
          <w:sz w:val="22"/>
          <w:szCs w:val="24"/>
          <w:rtl/>
        </w:rPr>
        <w:t>לביא</w:t>
      </w:r>
      <w:r w:rsidRPr="00440FC8">
        <w:rPr>
          <w:rFonts w:hint="cs"/>
          <w:rtl/>
        </w:rPr>
        <w:t xml:space="preserve">, בפסקה 1 לחוות דעתו של השופט </w:t>
      </w:r>
      <w:r w:rsidRPr="00440FC8">
        <w:rPr>
          <w:rFonts w:ascii="Century" w:hAnsi="Century" w:cs="Miriam" w:hint="cs"/>
          <w:b/>
          <w:spacing w:val="0"/>
          <w:sz w:val="22"/>
          <w:szCs w:val="24"/>
          <w:rtl/>
        </w:rPr>
        <w:t>סולברג</w:t>
      </w:r>
      <w:r w:rsidRPr="00440FC8">
        <w:rPr>
          <w:rFonts w:hint="cs"/>
          <w:rtl/>
        </w:rPr>
        <w:t>; ראו גם: דבריו של עו"ד בליי בפרוטוקול ישיבה 121, בעמ' 11). לטענת הכנסת, ניתן להתמודד עם ה"חלל" שנוצר בדיני ממשלת המעבר באמצעות פיתוח עילת השיקולים הזרים (ראו: פסקה 316(ד) לתצהיר התשובה מטעמה). ואולם, על מנת לספק בהקשר זה הגנה אפקטיבית על האינטרס הציבורי, יהיה צורך</w:t>
      </w:r>
      <w:r>
        <w:rPr>
          <w:rFonts w:hint="cs"/>
          <w:rtl/>
        </w:rPr>
        <w:t xml:space="preserve"> לשנות לחלוטין את הדרישות הראייתיות להוכחת העילה, באופן שישנה את מהותה. כמו כן, בניגוד לאמור בעמדת הכנסת, עקרון השוויון בבחירות המעוגן בסעיף 4 לחוק-יסוד: הכנסת, אף הוא אינו מהווה תחליף ממשי לבחינת סבירות ההחלטה. הכנסת מפנה בהקשר זה כדוגמה לעניין </w:t>
      </w:r>
      <w:r w:rsidRPr="00B5325A">
        <w:rPr>
          <w:rFonts w:ascii="Century" w:hAnsi="Century" w:cs="Miriam" w:hint="cs"/>
          <w:b/>
          <w:spacing w:val="0"/>
          <w:sz w:val="22"/>
          <w:szCs w:val="24"/>
          <w:rtl/>
        </w:rPr>
        <w:t>ברגמן</w:t>
      </w:r>
      <w:r>
        <w:rPr>
          <w:rFonts w:hint="cs"/>
          <w:rtl/>
        </w:rPr>
        <w:t xml:space="preserve">, אך עניין זה ועניינים דומים נוספים לא עסקו בהחלטות שוטפות המתקבלות על ידי ממשלת מעבר, אלא במקרים שבהם נפגע באופן ברור </w:t>
      </w:r>
      <w:r w:rsidRPr="00440FC8">
        <w:rPr>
          <w:rFonts w:hint="cs"/>
          <w:rtl/>
        </w:rPr>
        <w:t xml:space="preserve">השוויון בתנאי ההתמודדות בין הרשימות השונות, למשל בהיבטי מימון בחירות (ראו: עניין </w:t>
      </w:r>
      <w:r w:rsidRPr="00440FC8">
        <w:rPr>
          <w:rFonts w:ascii="Century" w:hAnsi="Century" w:cs="Miriam" w:hint="cs"/>
          <w:b/>
          <w:spacing w:val="0"/>
          <w:sz w:val="22"/>
          <w:szCs w:val="24"/>
          <w:rtl/>
        </w:rPr>
        <w:t>דרך ארץ</w:t>
      </w:r>
      <w:r w:rsidRPr="00440FC8">
        <w:rPr>
          <w:rFonts w:hint="cs"/>
          <w:rtl/>
        </w:rPr>
        <w:t xml:space="preserve">; </w:t>
      </w:r>
      <w:r w:rsidRPr="00440FC8">
        <w:rPr>
          <w:rFonts w:ascii="Century" w:hAnsi="Century" w:cs="Miriam" w:hint="cs"/>
          <w:b/>
          <w:spacing w:val="0"/>
          <w:sz w:val="22"/>
          <w:szCs w:val="24"/>
          <w:rtl/>
        </w:rPr>
        <w:t>בג"ץ 141/82</w:t>
      </w:r>
      <w:r w:rsidRPr="00440FC8">
        <w:rPr>
          <w:rFonts w:hint="cs"/>
          <w:rtl/>
        </w:rPr>
        <w:t xml:space="preserve">; </w:t>
      </w:r>
      <w:r w:rsidRPr="00440FC8">
        <w:rPr>
          <w:rFonts w:ascii="FrankRuehl" w:hAnsi="FrankRuehl"/>
          <w:sz w:val="28"/>
          <w:rtl/>
        </w:rPr>
        <w:t xml:space="preserve">בג"ץ 172/89 </w:t>
      </w:r>
      <w:r w:rsidRPr="00440FC8">
        <w:rPr>
          <w:rFonts w:ascii="Miriam" w:hAnsi="Miriam" w:cs="Miriam"/>
          <w:szCs w:val="24"/>
          <w:rtl/>
        </w:rPr>
        <w:t>תנועת לאו"ר</w:t>
      </w:r>
      <w:r>
        <w:rPr>
          <w:rFonts w:ascii="Miriam" w:hAnsi="Miriam" w:cs="Miriam" w:hint="cs"/>
          <w:szCs w:val="24"/>
          <w:rtl/>
        </w:rPr>
        <w:t xml:space="preserve"> </w:t>
      </w:r>
      <w:r>
        <w:rPr>
          <w:rFonts w:ascii="Miriam" w:hAnsi="Miriam" w:cs="Miriam"/>
          <w:szCs w:val="24"/>
          <w:rtl/>
        </w:rPr>
        <w:t>–</w:t>
      </w:r>
      <w:r>
        <w:rPr>
          <w:rFonts w:ascii="Miriam" w:hAnsi="Miriam" w:cs="Miriam" w:hint="cs"/>
          <w:szCs w:val="24"/>
          <w:rtl/>
        </w:rPr>
        <w:t xml:space="preserve"> </w:t>
      </w:r>
      <w:r w:rsidRPr="00440FC8">
        <w:rPr>
          <w:rFonts w:ascii="Miriam" w:hAnsi="Miriam" w:cs="Miriam"/>
          <w:szCs w:val="24"/>
          <w:rtl/>
        </w:rPr>
        <w:t>לב אחד ורוח חדשה נ' יושב-ראש הכנסת</w:t>
      </w:r>
      <w:r w:rsidRPr="00440FC8">
        <w:rPr>
          <w:rFonts w:ascii="FrankRuehl" w:hAnsi="FrankRuehl"/>
          <w:sz w:val="28"/>
          <w:rtl/>
        </w:rPr>
        <w:t xml:space="preserve">, פ"ד מד(3) 529 (1990); בג"ץ 2060/91 </w:t>
      </w:r>
      <w:r w:rsidRPr="00440FC8">
        <w:rPr>
          <w:rFonts w:ascii="Miriam" w:hAnsi="Miriam" w:cs="Miriam"/>
          <w:szCs w:val="24"/>
          <w:rtl/>
        </w:rPr>
        <w:t>כהן נ' שילנסקי</w:t>
      </w:r>
      <w:r w:rsidRPr="00440FC8">
        <w:rPr>
          <w:rFonts w:ascii="FrankRuehl" w:hAnsi="FrankRuehl"/>
          <w:sz w:val="28"/>
          <w:rtl/>
        </w:rPr>
        <w:t>, פ"ד מו(4) 319 (1992)</w:t>
      </w:r>
      <w:r w:rsidRPr="00440FC8">
        <w:rPr>
          <w:rFonts w:hint="cs"/>
          <w:rtl/>
        </w:rPr>
        <w:t>). על כן, במצב המשפטי הקיים, התיקון מוביל, בין היתר, לפגיעה מובהקת בשלטון החוק בנקודה</w:t>
      </w:r>
      <w:r>
        <w:rPr>
          <w:rFonts w:hint="cs"/>
          <w:rtl/>
        </w:rPr>
        <w:t xml:space="preserve"> קריטית לקראת בחירות, באופן שעלול להשפיע על כללי המשחק הדמוקרטיים עצמם.  </w:t>
      </w:r>
    </w:p>
    <w:p w:rsidR="00C044AE" w:rsidRDefault="00C044AE" w:rsidP="00C044AE">
      <w:pPr>
        <w:pStyle w:val="Ruller41"/>
        <w:rPr>
          <w:rtl/>
        </w:rPr>
      </w:pPr>
    </w:p>
    <w:p w:rsidR="00C044AE" w:rsidRPr="00DB5467" w:rsidRDefault="00C044AE" w:rsidP="00C044AE">
      <w:pPr>
        <w:pStyle w:val="Ruller4"/>
        <w:rPr>
          <w:rtl/>
        </w:rPr>
      </w:pPr>
      <w:r>
        <w:rPr>
          <w:rFonts w:hint="cs"/>
          <w:rtl/>
        </w:rPr>
        <w:t xml:space="preserve">פרט לתחום המינויים ודיני ממשלת המעבר, קיימים אינטרסים ציבוריים נוספים שבהיעדר עילת הסבירות לא ניתן יהיה להגן עליהם מפני פגיעות חמורות על ידי הדרג הנבחר. דוגמה לכך, שהוצגה בעמדת ידיד בית המשפט שהגישה עמותת "אדם טבע </w:t>
      </w:r>
      <w:r w:rsidRPr="00440FC8">
        <w:rPr>
          <w:rFonts w:hint="cs"/>
          <w:rtl/>
        </w:rPr>
        <w:t xml:space="preserve">ודין", היא </w:t>
      </w:r>
      <w:r w:rsidRPr="00440FC8">
        <w:rPr>
          <w:rFonts w:ascii="Century" w:hAnsi="Century" w:cs="Miriam" w:hint="cs"/>
          <w:b/>
          <w:spacing w:val="0"/>
          <w:sz w:val="22"/>
          <w:szCs w:val="24"/>
          <w:rtl/>
        </w:rPr>
        <w:t xml:space="preserve">ההשפעות הסביבתיות </w:t>
      </w:r>
      <w:r w:rsidRPr="00440FC8">
        <w:rPr>
          <w:rFonts w:hint="cs"/>
          <w:rtl/>
        </w:rPr>
        <w:t>של החלטות הממשלה ושריה. אף שהשפעות אלה אינן פוגעות בהכרח באופן ישיר בפרט ספציפי, הן</w:t>
      </w:r>
      <w:r>
        <w:rPr>
          <w:rFonts w:hint="cs"/>
          <w:rtl/>
        </w:rPr>
        <w:t xml:space="preserve"> נוגעות לבריאות הציבור ולאיכות חייו (למשל, במקרים של זיהום סביבתי) ואף לדורות הבאים (ראו</w:t>
      </w:r>
      <w:r w:rsidRPr="00440FC8">
        <w:rPr>
          <w:rFonts w:hint="cs"/>
          <w:rtl/>
        </w:rPr>
        <w:t xml:space="preserve">: </w:t>
      </w:r>
      <w:r w:rsidRPr="00440FC8">
        <w:rPr>
          <w:rtl/>
        </w:rPr>
        <w:t>בג"ץ 4128</w:t>
      </w:r>
      <w:r w:rsidRPr="00440FC8">
        <w:rPr>
          <w:rFonts w:hint="cs"/>
          <w:rtl/>
        </w:rPr>
        <w:t>/</w:t>
      </w:r>
      <w:r w:rsidRPr="00440FC8">
        <w:rPr>
          <w:rtl/>
        </w:rPr>
        <w:t xml:space="preserve">02 </w:t>
      </w:r>
      <w:r w:rsidRPr="00440FC8">
        <w:rPr>
          <w:rFonts w:ascii="Century" w:hAnsi="Century" w:cs="Miriam"/>
          <w:b/>
          <w:spacing w:val="0"/>
          <w:sz w:val="22"/>
          <w:szCs w:val="24"/>
          <w:rtl/>
        </w:rPr>
        <w:t>אדם טבע ודין – אגודה ישראלית להגנת הסביבה נ' ראש-ממשלת ישראל</w:t>
      </w:r>
      <w:r w:rsidRPr="00440FC8">
        <w:rPr>
          <w:rtl/>
        </w:rPr>
        <w:t>, פ"ד נח(3) 503</w:t>
      </w:r>
      <w:r w:rsidRPr="00440FC8">
        <w:rPr>
          <w:rFonts w:hint="cs"/>
          <w:rtl/>
        </w:rPr>
        <w:t>, 513-512 (2004)). החלטות "</w:t>
      </w:r>
      <w:r w:rsidRPr="00440FC8">
        <w:rPr>
          <w:rtl/>
        </w:rPr>
        <w:t>לסלול כבישים, לבנות ערים, לפתח תעשייה ולקיים אמצעים להגנה על שלום הציבור וביטחונו</w:t>
      </w:r>
      <w:r w:rsidRPr="00440FC8">
        <w:rPr>
          <w:rFonts w:hint="cs"/>
          <w:rtl/>
        </w:rPr>
        <w:t>" (</w:t>
      </w:r>
      <w:r w:rsidRPr="00440FC8">
        <w:rPr>
          <w:rFonts w:ascii="Century" w:hAnsi="Century" w:cs="Miriam" w:hint="cs"/>
          <w:b/>
          <w:spacing w:val="0"/>
          <w:sz w:val="22"/>
          <w:szCs w:val="24"/>
          <w:rtl/>
        </w:rPr>
        <w:t>שם</w:t>
      </w:r>
      <w:r w:rsidRPr="00440FC8">
        <w:rPr>
          <w:rFonts w:hint="cs"/>
          <w:rtl/>
        </w:rPr>
        <w:t xml:space="preserve">, בעמ' 513), עשויות להוביל להתנגשות חזיתית עם השמירה על </w:t>
      </w:r>
      <w:r w:rsidRPr="00440FC8">
        <w:rPr>
          <w:rtl/>
        </w:rPr>
        <w:t>איכות הסביבה</w:t>
      </w:r>
      <w:r w:rsidRPr="00440FC8">
        <w:t>.</w:t>
      </w:r>
      <w:r w:rsidRPr="00440FC8">
        <w:rPr>
          <w:rFonts w:hint="cs"/>
          <w:rtl/>
        </w:rPr>
        <w:t xml:space="preserve"> בהקשר זה, עילת הסבירות אפשרה לא אחת לבית המשפט להתערב במקום שבו נמצא כי לא ניתן משקל הולם לשיקולים הנוגעים להגנת הסביבה בהחלטות שהתקבלו על ידי הממשלה ושריה (ראו, למשל: </w:t>
      </w:r>
      <w:r w:rsidRPr="00440FC8">
        <w:rPr>
          <w:rFonts w:hint="eastAsia"/>
          <w:rtl/>
        </w:rPr>
        <w:t>בג</w:t>
      </w:r>
      <w:r w:rsidRPr="00440FC8">
        <w:rPr>
          <w:rtl/>
        </w:rPr>
        <w:t>"</w:t>
      </w:r>
      <w:r w:rsidRPr="00440FC8">
        <w:rPr>
          <w:rFonts w:hint="eastAsia"/>
          <w:rtl/>
        </w:rPr>
        <w:t>ץ</w:t>
      </w:r>
      <w:r w:rsidRPr="00440FC8">
        <w:rPr>
          <w:rtl/>
        </w:rPr>
        <w:t xml:space="preserve"> 9409</w:t>
      </w:r>
      <w:r w:rsidRPr="00440FC8">
        <w:rPr>
          <w:rFonts w:hint="cs"/>
          <w:rtl/>
        </w:rPr>
        <w:t>/</w:t>
      </w:r>
      <w:r w:rsidRPr="00440FC8">
        <w:rPr>
          <w:rtl/>
        </w:rPr>
        <w:t xml:space="preserve">05 </w:t>
      </w:r>
      <w:r w:rsidRPr="00440FC8">
        <w:rPr>
          <w:rFonts w:ascii="Century" w:hAnsi="Century" w:cs="Miriam" w:hint="eastAsia"/>
          <w:b/>
          <w:spacing w:val="0"/>
          <w:sz w:val="22"/>
          <w:szCs w:val="24"/>
          <w:rtl/>
        </w:rPr>
        <w:t>אדם</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טבע</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ודין</w:t>
      </w:r>
      <w:r w:rsidRPr="00440FC8">
        <w:rPr>
          <w:rFonts w:ascii="Century" w:hAnsi="Century" w:cs="Miriam"/>
          <w:b/>
          <w:spacing w:val="0"/>
          <w:sz w:val="22"/>
          <w:szCs w:val="24"/>
          <w:rtl/>
        </w:rPr>
        <w:t xml:space="preserve"> – </w:t>
      </w:r>
      <w:r>
        <w:rPr>
          <w:rFonts w:ascii="Century" w:hAnsi="Century" w:cs="Miriam" w:hint="cs"/>
          <w:b/>
          <w:spacing w:val="0"/>
          <w:sz w:val="22"/>
          <w:szCs w:val="24"/>
          <w:rtl/>
        </w:rPr>
        <w:t>א</w:t>
      </w:r>
      <w:r w:rsidRPr="00440FC8">
        <w:rPr>
          <w:rFonts w:ascii="Century" w:hAnsi="Century" w:cs="Miriam" w:hint="eastAsia"/>
          <w:b/>
          <w:spacing w:val="0"/>
          <w:sz w:val="22"/>
          <w:szCs w:val="24"/>
          <w:rtl/>
        </w:rPr>
        <w:t>גודה</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ישראלית</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להגנה</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על</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הסביבה</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נ</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הוועדה</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הארצית</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לתכנון</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ובנייה</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של</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תשתיות</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lastRenderedPageBreak/>
        <w:t>לאומית</w:t>
      </w:r>
      <w:r w:rsidRPr="00440FC8">
        <w:rPr>
          <w:rtl/>
        </w:rPr>
        <w:t xml:space="preserve">, </w:t>
      </w:r>
      <w:r w:rsidRPr="00440FC8">
        <w:rPr>
          <w:rFonts w:hint="eastAsia"/>
          <w:rtl/>
        </w:rPr>
        <w:t>פ</w:t>
      </w:r>
      <w:r w:rsidRPr="00440FC8">
        <w:rPr>
          <w:rtl/>
        </w:rPr>
        <w:t>"</w:t>
      </w:r>
      <w:r w:rsidRPr="00440FC8">
        <w:rPr>
          <w:rFonts w:hint="eastAsia"/>
          <w:rtl/>
        </w:rPr>
        <w:t>ד</w:t>
      </w:r>
      <w:r w:rsidRPr="00440FC8">
        <w:rPr>
          <w:rtl/>
        </w:rPr>
        <w:t xml:space="preserve"> </w:t>
      </w:r>
      <w:r w:rsidRPr="00440FC8">
        <w:rPr>
          <w:rFonts w:hint="eastAsia"/>
          <w:rtl/>
        </w:rPr>
        <w:t>סד</w:t>
      </w:r>
      <w:r w:rsidRPr="00440FC8">
        <w:rPr>
          <w:rtl/>
        </w:rPr>
        <w:t>(2) 316</w:t>
      </w:r>
      <w:r w:rsidRPr="00440FC8">
        <w:rPr>
          <w:rFonts w:hint="cs"/>
          <w:rtl/>
        </w:rPr>
        <w:t xml:space="preserve"> (2010); בג"ץ 1756/10 </w:t>
      </w:r>
      <w:r w:rsidRPr="00440FC8">
        <w:rPr>
          <w:rFonts w:ascii="Century" w:hAnsi="Century" w:cs="Miriam" w:hint="cs"/>
          <w:b/>
          <w:spacing w:val="0"/>
          <w:sz w:val="22"/>
          <w:szCs w:val="24"/>
          <w:rtl/>
        </w:rPr>
        <w:t>עיריית חולון נ' שר הפנים</w:t>
      </w:r>
      <w:r w:rsidRPr="00440FC8">
        <w:rPr>
          <w:rFonts w:hint="cs"/>
          <w:rtl/>
        </w:rPr>
        <w:t xml:space="preserve"> (2.1.2013)). בהיעדרה</w:t>
      </w:r>
      <w:r>
        <w:rPr>
          <w:rFonts w:hint="cs"/>
          <w:rtl/>
        </w:rPr>
        <w:t xml:space="preserve"> של עילת הסבירות יתקשו בתי המשפט ליתן סעד גם במקרים שהחלטות הדרג הנבחר עשויות לגרום נזקים </w:t>
      </w:r>
      <w:r w:rsidRPr="00FF5BEA">
        <w:rPr>
          <w:rFonts w:ascii="Century" w:hAnsi="Century" w:cs="Miriam" w:hint="cs"/>
          <w:b/>
          <w:spacing w:val="0"/>
          <w:sz w:val="22"/>
          <w:szCs w:val="24"/>
          <w:rtl/>
        </w:rPr>
        <w:t>בלתי הפיכים</w:t>
      </w:r>
      <w:r w:rsidRPr="00FF5BEA">
        <w:rPr>
          <w:rFonts w:hint="cs"/>
          <w:rtl/>
        </w:rPr>
        <w:t xml:space="preserve"> </w:t>
      </w:r>
      <w:r>
        <w:rPr>
          <w:rFonts w:hint="cs"/>
          <w:rtl/>
        </w:rPr>
        <w:t xml:space="preserve">לערכים סביבתיים.  </w:t>
      </w:r>
    </w:p>
    <w:p w:rsidR="00C044AE" w:rsidRDefault="00C044AE" w:rsidP="00C044AE">
      <w:pPr>
        <w:pStyle w:val="Ruller41"/>
        <w:rPr>
          <w:rtl/>
        </w:rPr>
      </w:pPr>
    </w:p>
    <w:p w:rsidR="00C044AE" w:rsidRDefault="00C044AE" w:rsidP="00C044AE">
      <w:pPr>
        <w:pStyle w:val="Ruller4"/>
        <w:rPr>
          <w:rtl/>
        </w:rPr>
      </w:pPr>
      <w:r>
        <w:rPr>
          <w:rFonts w:hint="cs"/>
          <w:rtl/>
        </w:rPr>
        <w:t xml:space="preserve">מכל האמור עולה כי מעבר לקושי בקיומו של דין ללא דיין, שלילת הביקורת השיפוטית מכוח עילת הסבירות יוצרת נזקים מידיים וברורים במגוון תחומים שבהם </w:t>
      </w:r>
      <w:r w:rsidRPr="00440FC8">
        <w:rPr>
          <w:rFonts w:hint="cs"/>
          <w:rtl/>
        </w:rPr>
        <w:t xml:space="preserve">חוקיות הפעולות השלטוניות נבחנה בראי עילה זו. נקודת המוצא היא ש"יכולת הפנייה לבית המשפט היא אבן הפינה של שלטון החוק" (עניין </w:t>
      </w:r>
      <w:r w:rsidRPr="00440FC8">
        <w:rPr>
          <w:rFonts w:ascii="Century" w:hAnsi="Century" w:cs="Miriam" w:hint="cs"/>
          <w:b/>
          <w:spacing w:val="0"/>
          <w:sz w:val="22"/>
          <w:szCs w:val="24"/>
          <w:rtl/>
        </w:rPr>
        <w:t>רסלר</w:t>
      </w:r>
      <w:r w:rsidRPr="00440FC8">
        <w:rPr>
          <w:rFonts w:hint="cs"/>
          <w:rtl/>
        </w:rPr>
        <w:t>, בעמ' 462). על כן, נהגה הפסיקה לפרש בצמצום הוראות בחקיקה רגילה המגבילות את סמכות בתי המשפט לבחון החלטות מ</w:t>
      </w:r>
      <w:r>
        <w:rPr>
          <w:rFonts w:hint="cs"/>
          <w:rtl/>
        </w:rPr>
        <w:t>ינהליות מסוימות וכן</w:t>
      </w:r>
      <w:r w:rsidRPr="00440FC8">
        <w:rPr>
          <w:rFonts w:hint="cs"/>
          <w:rtl/>
        </w:rPr>
        <w:t xml:space="preserve"> </w:t>
      </w:r>
      <w:r>
        <w:rPr>
          <w:rFonts w:hint="cs"/>
          <w:rtl/>
        </w:rPr>
        <w:t>נקבע, בין היתר,</w:t>
      </w:r>
      <w:r w:rsidRPr="00440FC8">
        <w:rPr>
          <w:rFonts w:hint="cs"/>
          <w:rtl/>
        </w:rPr>
        <w:t xml:space="preserve"> </w:t>
      </w:r>
      <w:r>
        <w:rPr>
          <w:rFonts w:hint="cs"/>
          <w:rtl/>
        </w:rPr>
        <w:t>כי בכל הנוגע ל</w:t>
      </w:r>
      <w:r w:rsidRPr="00440FC8">
        <w:rPr>
          <w:rFonts w:hint="cs"/>
          <w:rtl/>
        </w:rPr>
        <w:t>סמכות בית המשפט הגבוה לצדק, יש לבחון</w:t>
      </w:r>
      <w:r>
        <w:rPr>
          <w:rFonts w:hint="cs"/>
          <w:rtl/>
        </w:rPr>
        <w:t xml:space="preserve"> הוראות אלה</w:t>
      </w:r>
      <w:r w:rsidRPr="00440FC8">
        <w:rPr>
          <w:rFonts w:hint="cs"/>
          <w:rtl/>
        </w:rPr>
        <w:t xml:space="preserve"> בראי הוראת סעיף 15 לחוק-יסוד: השפיטה (ראו: עניין </w:t>
      </w:r>
      <w:r w:rsidRPr="00440FC8">
        <w:rPr>
          <w:rFonts w:ascii="Century" w:hAnsi="Century" w:cs="Miriam" w:hint="cs"/>
          <w:b/>
          <w:spacing w:val="0"/>
          <w:sz w:val="22"/>
          <w:szCs w:val="24"/>
          <w:rtl/>
        </w:rPr>
        <w:t>המוסד לביטוח לאומי</w:t>
      </w:r>
      <w:r w:rsidRPr="00440FC8">
        <w:rPr>
          <w:rFonts w:hint="cs"/>
          <w:rtl/>
        </w:rPr>
        <w:t xml:space="preserve">, בעמ' </w:t>
      </w:r>
      <w:r>
        <w:rPr>
          <w:rFonts w:hint="cs"/>
          <w:rtl/>
        </w:rPr>
        <w:t>452-451</w:t>
      </w:r>
      <w:r w:rsidRPr="00440FC8">
        <w:rPr>
          <w:rFonts w:hint="cs"/>
          <w:rtl/>
        </w:rPr>
        <w:t xml:space="preserve">; עניין </w:t>
      </w:r>
      <w:r w:rsidRPr="00440FC8">
        <w:rPr>
          <w:rFonts w:ascii="Century" w:hAnsi="Century" w:cs="Miriam" w:hint="cs"/>
          <w:b/>
          <w:spacing w:val="0"/>
          <w:sz w:val="22"/>
          <w:szCs w:val="24"/>
          <w:rtl/>
        </w:rPr>
        <w:t>חרות</w:t>
      </w:r>
      <w:r w:rsidRPr="00440FC8">
        <w:rPr>
          <w:rFonts w:hint="cs"/>
          <w:rtl/>
        </w:rPr>
        <w:t>, בעמ' 756). שלילת הביקורת השיפוטית על סבירות החלטות הממשלה, ראש הממשלה והשרים עוגנה עתה בחוק היסוד</w:t>
      </w:r>
      <w:r>
        <w:rPr>
          <w:rFonts w:hint="cs"/>
          <w:rtl/>
        </w:rPr>
        <w:t xml:space="preserve"> עצמו ובלשון מפורשת. אך לא ניתן להתעלם מן המשמעויות מרחיקות הלכת של התיקון שתוארו לעיל </w:t>
      </w:r>
      <w:r>
        <w:rPr>
          <w:rtl/>
        </w:rPr>
        <w:t>–</w:t>
      </w:r>
      <w:r>
        <w:rPr>
          <w:rFonts w:hint="cs"/>
          <w:rtl/>
        </w:rPr>
        <w:t xml:space="preserve"> הנובעות מנוסחו הגורף ומתחולתו על כלל החלטות הדרג הנבחר ועל כלל בתי המשפט, לרבות בית משפט זה בשבתו כבית משפט גבוה לצדק. זהו מהלך חסר תקדים החורג באופן מובהק מכל הוראה שהגבילה את סמכות בית המשפט בעבר, והוא עומד בסתירה חזיתית לעקרון שלטון החוק, מכל הטעמים שפורטו לעיל. </w:t>
      </w:r>
    </w:p>
    <w:p w:rsidR="00C044AE" w:rsidRPr="004A05B0" w:rsidRDefault="00C044AE" w:rsidP="00C044AE">
      <w:pPr>
        <w:pStyle w:val="Ruller41"/>
        <w:rPr>
          <w:rtl/>
        </w:rPr>
      </w:pPr>
    </w:p>
    <w:p w:rsidR="00C044AE" w:rsidRDefault="00C044AE" w:rsidP="00C044AE">
      <w:pPr>
        <w:pStyle w:val="Ruller4"/>
        <w:rPr>
          <w:rtl/>
        </w:rPr>
      </w:pPr>
      <w:r>
        <w:rPr>
          <w:rFonts w:hint="cs"/>
          <w:rtl/>
        </w:rPr>
        <w:t xml:space="preserve">משיבי הממשלה הפנו בהקשר זה לשיטות משפט אחרות, בציינם כי בבריטניה ובארצות הברית הכירה הפסיקה באפשרות לשלול את סמכותם של בתי המשפט בחקיקה </w:t>
      </w:r>
      <w:r w:rsidRPr="00440FC8">
        <w:rPr>
          <w:rFonts w:hint="cs"/>
          <w:rtl/>
        </w:rPr>
        <w:t xml:space="preserve">(לסקירה בעניין זה, שעליה מתבססים משיבי הממשלה, ראו: </w:t>
      </w:r>
      <w:r w:rsidRPr="00440FC8">
        <w:rPr>
          <w:rFonts w:ascii="Century" w:hAnsi="Century" w:cs="Miriam" w:hint="cs"/>
          <w:b/>
          <w:spacing w:val="0"/>
          <w:sz w:val="22"/>
          <w:szCs w:val="24"/>
          <w:rtl/>
        </w:rPr>
        <w:t>דותן "ביקורת שיפוטית"</w:t>
      </w:r>
      <w:r w:rsidRPr="00440FC8">
        <w:rPr>
          <w:rFonts w:hint="cs"/>
          <w:rtl/>
        </w:rPr>
        <w:t>, בעמ' 236-233). בשים</w:t>
      </w:r>
      <w:r>
        <w:rPr>
          <w:rFonts w:hint="cs"/>
          <w:rtl/>
        </w:rPr>
        <w:t xml:space="preserve"> לב להבדלים המשמעותיים, שעליהם עמדתי לעיל, הקיימים בין שיטתנו לשיטות אחרות בכל הנוגע למערך האיזונים והבלמים על כוחו של השלטון, יש קושי מובנה בהשוואה זו. יתרה מכך </w:t>
      </w:r>
      <w:r>
        <w:rPr>
          <w:rtl/>
        </w:rPr>
        <w:t>–</w:t>
      </w:r>
      <w:r>
        <w:rPr>
          <w:rFonts w:hint="cs"/>
          <w:rtl/>
        </w:rPr>
        <w:t xml:space="preserve"> משיבי הממשלה לא הציגו ולו דוגמה אחת להגבלה חקוקה על פעולות הגורמים הבכירים ביותר ברשות המבצעת, שהיא בעלת </w:t>
      </w:r>
      <w:r w:rsidRPr="00440FC8">
        <w:rPr>
          <w:rFonts w:hint="cs"/>
          <w:rtl/>
        </w:rPr>
        <w:t xml:space="preserve">השלכות כה חריגות ורחבות היקף כמו אלה הנובעות מהתיקון נושא העתירות (ביחס לחריגותה של המגבלה הקבועה בתיקון בראי המשפט המשווה ראו גם: </w:t>
      </w:r>
      <w:r w:rsidRPr="00347D1C">
        <w:rPr>
          <w:rFonts w:hint="cs"/>
          <w:rtl/>
        </w:rPr>
        <w:t>מסמך ההכנה מיום 23.6.2023</w:t>
      </w:r>
      <w:r w:rsidRPr="00440FC8">
        <w:rPr>
          <w:rFonts w:ascii="FrankRuehl" w:hAnsi="FrankRuehl" w:hint="cs"/>
          <w:color w:val="000000"/>
          <w:rtl/>
        </w:rPr>
        <w:t>, בעמ' 6</w:t>
      </w:r>
      <w:r w:rsidRPr="00440FC8">
        <w:rPr>
          <w:rFonts w:hint="cs"/>
          <w:rtl/>
        </w:rPr>
        <w:t>).</w:t>
      </w:r>
      <w:r w:rsidRPr="00440FC8">
        <w:rPr>
          <w:rFonts w:ascii="FrankRuehl" w:hAnsi="FrankRuehl" w:hint="cs"/>
          <w:rtl/>
        </w:rPr>
        <w:t xml:space="preserve"> אחת הדוגמאות שאליה הפנו משיבי הממשלה בהקשר זה היא פסק דין שניתן לאחרונה בבריטניה (</w:t>
      </w:r>
      <w:r>
        <w:t>R</w:t>
      </w:r>
      <w:r w:rsidRPr="00A90D7E">
        <w:t xml:space="preserve"> v</w:t>
      </w:r>
      <w:r>
        <w:t>.</w:t>
      </w:r>
      <w:r w:rsidRPr="00A90D7E">
        <w:t xml:space="preserve"> Upper Tribunal</w:t>
      </w:r>
      <w:r>
        <w:t xml:space="preserve"> </w:t>
      </w:r>
      <w:r w:rsidRPr="00694B66">
        <w:t xml:space="preserve">(Immigration </w:t>
      </w:r>
      <w:r>
        <w:t>a</w:t>
      </w:r>
      <w:r w:rsidRPr="00694B66">
        <w:t>nd Asylum Chamber)</w:t>
      </w:r>
      <w:r>
        <w:t xml:space="preserve"> [</w:t>
      </w:r>
      <w:r w:rsidRPr="00694B66">
        <w:t>2023] EWHC 791 (Admin)</w:t>
      </w:r>
      <w:r w:rsidRPr="00440FC8">
        <w:rPr>
          <w:rFonts w:ascii="FrankRuehl" w:hAnsi="FrankRuehl" w:hint="cs"/>
          <w:rtl/>
        </w:rPr>
        <w:t xml:space="preserve">), שעסק </w:t>
      </w:r>
      <w:r>
        <w:rPr>
          <w:rFonts w:ascii="FrankRuehl" w:hAnsi="FrankRuehl" w:hint="cs"/>
          <w:rtl/>
        </w:rPr>
        <w:t>בחוק ששלל את</w:t>
      </w:r>
      <w:r w:rsidRPr="00440FC8">
        <w:rPr>
          <w:rFonts w:ascii="FrankRuehl" w:hAnsi="FrankRuehl" w:hint="cs"/>
          <w:rtl/>
        </w:rPr>
        <w:t xml:space="preserve"> סמכות בית המשפט </w:t>
      </w:r>
      <w:r>
        <w:rPr>
          <w:rFonts w:ascii="FrankRuehl" w:hAnsi="FrankRuehl" w:hint="cs"/>
          <w:rtl/>
        </w:rPr>
        <w:t>לקיים ביקורת שיפוטית</w:t>
      </w:r>
      <w:r w:rsidRPr="00440FC8">
        <w:rPr>
          <w:rFonts w:ascii="FrankRuehl" w:hAnsi="FrankRuehl" w:hint="cs"/>
          <w:rtl/>
        </w:rPr>
        <w:t xml:space="preserve"> על החלטות של טריבונל מ</w:t>
      </w:r>
      <w:r>
        <w:rPr>
          <w:rFonts w:ascii="FrankRuehl" w:hAnsi="FrankRuehl" w:hint="cs"/>
          <w:rtl/>
        </w:rPr>
        <w:t>י</w:t>
      </w:r>
      <w:r w:rsidRPr="00440FC8">
        <w:rPr>
          <w:rFonts w:ascii="FrankRuehl" w:hAnsi="FrankRuehl" w:hint="cs"/>
          <w:rtl/>
        </w:rPr>
        <w:t xml:space="preserve">נהלי, הכולל ערכאה דיונית וערכאת ערעור </w:t>
      </w:r>
      <w:r w:rsidRPr="00440FC8">
        <w:rPr>
          <w:rFonts w:ascii="Century" w:hAnsi="Century" w:hint="cs"/>
          <w:rtl/>
        </w:rPr>
        <w:t xml:space="preserve">(ראו: </w:t>
      </w:r>
      <w:r w:rsidRPr="00440FC8">
        <w:t>Tribunals, Courts and Enforcement Act 2007, c. 2, § 11A</w:t>
      </w:r>
      <w:r w:rsidRPr="00440FC8">
        <w:rPr>
          <w:rFonts w:ascii="Century" w:hAnsi="Century" w:hint="cs"/>
          <w:rtl/>
        </w:rPr>
        <w:t>)</w:t>
      </w:r>
      <w:r w:rsidRPr="00440FC8">
        <w:rPr>
          <w:rFonts w:ascii="FrankRuehl" w:hAnsi="FrankRuehl" w:hint="cs"/>
          <w:rtl/>
        </w:rPr>
        <w:t xml:space="preserve">. פסק דין </w:t>
      </w:r>
      <w:r w:rsidRPr="00440FC8">
        <w:rPr>
          <w:rFonts w:ascii="FrankRuehl" w:hAnsi="FrankRuehl" w:hint="cs"/>
          <w:color w:val="000000"/>
          <w:rtl/>
        </w:rPr>
        <w:t>זה עסק בשלילת</w:t>
      </w:r>
      <w:r w:rsidRPr="007300CA">
        <w:rPr>
          <w:rFonts w:ascii="FrankRuehl" w:hAnsi="FrankRuehl" w:hint="cs"/>
          <w:color w:val="000000"/>
          <w:rtl/>
        </w:rPr>
        <w:t xml:space="preserve"> היכולת לעתור לבחינה </w:t>
      </w:r>
      <w:r w:rsidRPr="007300CA">
        <w:rPr>
          <w:rFonts w:ascii="Century" w:hAnsi="Century" w:cs="Miriam" w:hint="cs"/>
          <w:b/>
          <w:spacing w:val="0"/>
          <w:szCs w:val="24"/>
          <w:rtl/>
        </w:rPr>
        <w:t xml:space="preserve">שלישית </w:t>
      </w:r>
      <w:r w:rsidRPr="007300CA">
        <w:rPr>
          <w:rFonts w:ascii="Century" w:hAnsi="Century" w:hint="cs"/>
          <w:rtl/>
        </w:rPr>
        <w:t>של החלטות מ</w:t>
      </w:r>
      <w:r>
        <w:rPr>
          <w:rFonts w:ascii="Century" w:hAnsi="Century" w:hint="cs"/>
          <w:rtl/>
        </w:rPr>
        <w:t>י</w:t>
      </w:r>
      <w:r w:rsidRPr="007300CA">
        <w:rPr>
          <w:rFonts w:ascii="Century" w:hAnsi="Century" w:hint="cs"/>
          <w:rtl/>
        </w:rPr>
        <w:t xml:space="preserve">נהליות </w:t>
      </w:r>
      <w:r w:rsidRPr="00F714B3">
        <w:rPr>
          <w:rFonts w:ascii="Century" w:hAnsi="Century" w:cs="Miriam" w:hint="cs"/>
          <w:b/>
          <w:spacing w:val="0"/>
          <w:sz w:val="22"/>
          <w:szCs w:val="24"/>
          <w:rtl/>
        </w:rPr>
        <w:t xml:space="preserve">בתחומים </w:t>
      </w:r>
      <w:r w:rsidRPr="00F714B3">
        <w:rPr>
          <w:rFonts w:ascii="Century" w:hAnsi="Century" w:cs="Miriam" w:hint="cs"/>
          <w:b/>
          <w:spacing w:val="0"/>
          <w:sz w:val="22"/>
          <w:szCs w:val="24"/>
          <w:rtl/>
        </w:rPr>
        <w:lastRenderedPageBreak/>
        <w:t>ספציפיים</w:t>
      </w:r>
      <w:r w:rsidRPr="007300CA">
        <w:rPr>
          <w:rFonts w:ascii="Century" w:hAnsi="Century" w:hint="cs"/>
          <w:rtl/>
        </w:rPr>
        <w:t>, לאחר ששתי ערכאות מעין-שיפוטיות בחנו אותן. בענייננו, לעומת זאת,</w:t>
      </w:r>
      <w:r>
        <w:rPr>
          <w:rFonts w:ascii="Century" w:hAnsi="Century" w:hint="cs"/>
          <w:rtl/>
        </w:rPr>
        <w:t xml:space="preserve"> </w:t>
      </w:r>
      <w:r w:rsidRPr="007300CA">
        <w:rPr>
          <w:rFonts w:ascii="Century" w:hAnsi="Century" w:hint="cs"/>
          <w:rtl/>
        </w:rPr>
        <w:t xml:space="preserve">קובע התיקון כי סבירות </w:t>
      </w:r>
      <w:r w:rsidRPr="00F714B3">
        <w:rPr>
          <w:rFonts w:ascii="Century" w:hAnsi="Century" w:cs="Miriam" w:hint="cs"/>
          <w:b/>
          <w:spacing w:val="0"/>
          <w:sz w:val="22"/>
          <w:szCs w:val="24"/>
          <w:rtl/>
        </w:rPr>
        <w:t>כלל</w:t>
      </w:r>
      <w:r w:rsidRPr="00F714B3">
        <w:rPr>
          <w:rFonts w:ascii="Century" w:hAnsi="Century" w:hint="cs"/>
          <w:rtl/>
        </w:rPr>
        <w:t xml:space="preserve"> </w:t>
      </w:r>
      <w:r w:rsidRPr="007300CA">
        <w:rPr>
          <w:rFonts w:ascii="Century" w:hAnsi="Century" w:hint="cs"/>
          <w:rtl/>
        </w:rPr>
        <w:t>החלטות הממשלה והשרים</w:t>
      </w:r>
      <w:r>
        <w:rPr>
          <w:rFonts w:ascii="Century" w:hAnsi="Century" w:hint="cs"/>
          <w:rtl/>
        </w:rPr>
        <w:t xml:space="preserve"> לא תעמוד לביקורת שיפוטית </w:t>
      </w:r>
      <w:r w:rsidRPr="00F714B3">
        <w:rPr>
          <w:rFonts w:ascii="Century" w:hAnsi="Century" w:cs="Miriam" w:hint="cs"/>
          <w:b/>
          <w:spacing w:val="0"/>
          <w:sz w:val="22"/>
          <w:szCs w:val="24"/>
          <w:rtl/>
        </w:rPr>
        <w:t>מכל סוג שהוא</w:t>
      </w:r>
      <w:r w:rsidRPr="007300CA">
        <w:rPr>
          <w:rFonts w:ascii="Century" w:hAnsi="Century" w:hint="cs"/>
          <w:rtl/>
        </w:rPr>
        <w:t xml:space="preserve">. </w:t>
      </w:r>
      <w:r>
        <w:rPr>
          <w:rFonts w:hint="cs"/>
          <w:rtl/>
        </w:rPr>
        <w:t xml:space="preserve"> </w:t>
      </w:r>
    </w:p>
    <w:p w:rsidR="00C044AE" w:rsidRDefault="00C044AE" w:rsidP="00C044AE">
      <w:pPr>
        <w:pStyle w:val="Ruller41"/>
        <w:rPr>
          <w:rtl/>
        </w:rPr>
      </w:pPr>
    </w:p>
    <w:p w:rsidR="00C044AE" w:rsidRPr="00440FC8" w:rsidRDefault="00C044AE" w:rsidP="00C044AE">
      <w:pPr>
        <w:pStyle w:val="Ruller4"/>
        <w:rPr>
          <w:rtl/>
        </w:rPr>
      </w:pPr>
      <w:r>
        <w:rPr>
          <w:rFonts w:hint="cs"/>
          <w:rtl/>
        </w:rPr>
        <w:t xml:space="preserve">מנתונים שהציגה הכנסת עולה כי בעשור האחרון ניתנו בבג"ץ 44 פסקי דין שבהם התקבלו עתירות (באופן מלא או חלקי) בהתבסס על עילת הסבירות, ומתוכם ב-16 מקרים מדובר היה בהחלטות של הממשלה או של שר משריה. נתונים אלה מצביעים על כך שהיקף ההתערבות מכוח עילת הסבירות אינו </w:t>
      </w:r>
      <w:r w:rsidRPr="00440FC8">
        <w:rPr>
          <w:rFonts w:hint="cs"/>
          <w:rtl/>
        </w:rPr>
        <w:t xml:space="preserve">גדול (ראו גם: </w:t>
      </w:r>
      <w:r w:rsidRPr="00440FC8">
        <w:rPr>
          <w:rFonts w:ascii="Century" w:hAnsi="Century" w:cs="Miriam" w:hint="cs"/>
          <w:b/>
          <w:spacing w:val="0"/>
          <w:sz w:val="22"/>
          <w:szCs w:val="24"/>
          <w:rtl/>
        </w:rPr>
        <w:t>זמיר "הסמכות המינהלית"</w:t>
      </w:r>
      <w:r w:rsidRPr="00440FC8">
        <w:rPr>
          <w:rFonts w:hint="cs"/>
          <w:rtl/>
        </w:rPr>
        <w:t>, בעמ' 3604). הדבר נובע בראש ובראשונה מהעמדה</w:t>
      </w:r>
      <w:r>
        <w:rPr>
          <w:rFonts w:hint="cs"/>
          <w:rtl/>
        </w:rPr>
        <w:t xml:space="preserve"> העקבית בפסיקה לפיה </w:t>
      </w:r>
      <w:r w:rsidRPr="00A36FA5">
        <w:rPr>
          <w:rFonts w:ascii="FrankRuehl" w:hAnsi="FrankRuehl"/>
          <w:color w:val="000000"/>
          <w:sz w:val="28"/>
          <w:rtl/>
        </w:rPr>
        <w:t xml:space="preserve">"בית המשפט אינו בוחן אם ניתן היה לקבל החלטה נכונה יותר, ראויה יותר, יעילה יותר, </w:t>
      </w:r>
      <w:r w:rsidRPr="00A36FA5">
        <w:rPr>
          <w:rFonts w:ascii="Century" w:hAnsi="Century"/>
          <w:rtl/>
        </w:rPr>
        <w:t xml:space="preserve">טובה יותר. כל עוד ההחלטה שנבחרה מצויה במתחם הסבירות, אין מקום להתערבות </w:t>
      </w:r>
      <w:r w:rsidRPr="00440FC8">
        <w:rPr>
          <w:rFonts w:ascii="Century" w:hAnsi="Century"/>
          <w:rtl/>
        </w:rPr>
        <w:t>בית המשפט" (</w:t>
      </w:r>
      <w:r w:rsidRPr="00440FC8">
        <w:rPr>
          <w:rFonts w:ascii="Century" w:hAnsi="Century" w:hint="cs"/>
          <w:rtl/>
        </w:rPr>
        <w:t xml:space="preserve">עניין </w:t>
      </w:r>
      <w:r w:rsidRPr="00440FC8">
        <w:rPr>
          <w:rFonts w:ascii="Century" w:hAnsi="Century" w:cs="Miriam" w:hint="cs"/>
          <w:b/>
          <w:spacing w:val="0"/>
          <w:sz w:val="22"/>
          <w:szCs w:val="24"/>
          <w:rtl/>
        </w:rPr>
        <w:t>אמונה</w:t>
      </w:r>
      <w:r w:rsidRPr="00440FC8">
        <w:rPr>
          <w:rFonts w:ascii="Century" w:hAnsi="Century"/>
          <w:rtl/>
        </w:rPr>
        <w:t>,</w:t>
      </w:r>
      <w:r w:rsidRPr="00440FC8">
        <w:rPr>
          <w:rFonts w:ascii="Century" w:hAnsi="Century" w:hint="cs"/>
          <w:rtl/>
        </w:rPr>
        <w:t xml:space="preserve"> בעמ'</w:t>
      </w:r>
      <w:r w:rsidRPr="00440FC8">
        <w:rPr>
          <w:rFonts w:ascii="Century" w:hAnsi="Century"/>
          <w:rtl/>
        </w:rPr>
        <w:t xml:space="preserve"> 511</w:t>
      </w:r>
      <w:r w:rsidRPr="00440FC8">
        <w:rPr>
          <w:rFonts w:ascii="Century" w:hAnsi="Century" w:hint="cs"/>
          <w:rtl/>
        </w:rPr>
        <w:t>;</w:t>
      </w:r>
      <w:r>
        <w:rPr>
          <w:rFonts w:ascii="Century" w:hAnsi="Century" w:hint="cs"/>
          <w:rtl/>
        </w:rPr>
        <w:t xml:space="preserve"> </w:t>
      </w:r>
      <w:r w:rsidRPr="003A512E">
        <w:rPr>
          <w:rFonts w:ascii="Century" w:hAnsi="Century"/>
          <w:rtl/>
        </w:rPr>
        <w:t xml:space="preserve">ראו גם: בג"ץ 3758/17 </w:t>
      </w:r>
      <w:r w:rsidRPr="003A512E">
        <w:rPr>
          <w:rFonts w:ascii="Century" w:hAnsi="Century" w:cs="Miriam"/>
          <w:b/>
          <w:spacing w:val="0"/>
          <w:sz w:val="22"/>
          <w:szCs w:val="24"/>
          <w:rtl/>
        </w:rPr>
        <w:t>הסתדרות העובדים הכללית החדשה נ' הנהלת בתי המשפט</w:t>
      </w:r>
      <w:r w:rsidRPr="003A512E">
        <w:rPr>
          <w:rFonts w:ascii="Century" w:hAnsi="Century"/>
          <w:rtl/>
        </w:rPr>
        <w:t xml:space="preserve">, פסקה 35 לחוות דעתו של השופט </w:t>
      </w:r>
      <w:r w:rsidRPr="003A512E">
        <w:rPr>
          <w:rFonts w:ascii="Century" w:hAnsi="Century" w:cs="Miriam"/>
          <w:b/>
          <w:spacing w:val="0"/>
          <w:sz w:val="22"/>
          <w:szCs w:val="24"/>
          <w:rtl/>
        </w:rPr>
        <w:t>דנציגר</w:t>
      </w:r>
      <w:r w:rsidRPr="003A512E">
        <w:rPr>
          <w:rFonts w:ascii="Century" w:hAnsi="Century"/>
          <w:rtl/>
        </w:rPr>
        <w:t xml:space="preserve"> (20.7.2017); בג"ץ 4838/17 ‏</w:t>
      </w:r>
      <w:r w:rsidRPr="003A512E">
        <w:rPr>
          <w:rFonts w:ascii="Century" w:hAnsi="Century" w:cs="Miriam"/>
          <w:b/>
          <w:spacing w:val="0"/>
          <w:sz w:val="22"/>
          <w:szCs w:val="24"/>
          <w:rtl/>
        </w:rPr>
        <w:t>אוניפארם בע"מ נ' מנהל רשות הגז הטבעי</w:t>
      </w:r>
      <w:r>
        <w:rPr>
          <w:rFonts w:ascii="Century" w:hAnsi="Century"/>
          <w:rtl/>
        </w:rPr>
        <w:t>,</w:t>
      </w:r>
      <w:r w:rsidRPr="003A512E">
        <w:rPr>
          <w:rFonts w:ascii="Century" w:hAnsi="Century"/>
          <w:rtl/>
        </w:rPr>
        <w:t xml:space="preserve"> פסקה 32 (4.1.2018)</w:t>
      </w:r>
      <w:r w:rsidRPr="00440FC8">
        <w:rPr>
          <w:rFonts w:ascii="Century" w:hAnsi="Century"/>
          <w:rtl/>
        </w:rPr>
        <w:t>). </w:t>
      </w:r>
      <w:r w:rsidRPr="00440FC8">
        <w:rPr>
          <w:rFonts w:ascii="Century" w:hAnsi="Century" w:hint="cs"/>
          <w:rtl/>
        </w:rPr>
        <w:t>כמו</w:t>
      </w:r>
      <w:r>
        <w:rPr>
          <w:rFonts w:ascii="Century" w:hAnsi="Century" w:hint="cs"/>
          <w:rtl/>
        </w:rPr>
        <w:t xml:space="preserve"> כן</w:t>
      </w:r>
      <w:r w:rsidRPr="00A36FA5">
        <w:rPr>
          <w:rFonts w:ascii="Century" w:hAnsi="Century" w:hint="cs"/>
          <w:rtl/>
        </w:rPr>
        <w:t>,</w:t>
      </w:r>
      <w:r>
        <w:rPr>
          <w:rFonts w:ascii="Century" w:hAnsi="Century" w:hint="cs"/>
          <w:rtl/>
        </w:rPr>
        <w:t xml:space="preserve"> </w:t>
      </w:r>
      <w:r w:rsidRPr="00A36FA5">
        <w:rPr>
          <w:rFonts w:ascii="Century" w:hAnsi="Century" w:hint="cs"/>
          <w:rtl/>
        </w:rPr>
        <w:t>הובהר לא</w:t>
      </w:r>
      <w:r w:rsidRPr="00A36FA5">
        <w:rPr>
          <w:rFonts w:ascii="Century" w:hAnsi="Century"/>
          <w:rtl/>
        </w:rPr>
        <w:t xml:space="preserve"> אחת כי </w:t>
      </w:r>
      <w:r>
        <w:rPr>
          <w:rFonts w:ascii="Century" w:hAnsi="Century" w:hint="cs"/>
          <w:rtl/>
        </w:rPr>
        <w:t xml:space="preserve">על מנת שבית המשפט יהא </w:t>
      </w:r>
      <w:r w:rsidRPr="00440FC8">
        <w:rPr>
          <w:rFonts w:ascii="Century" w:hAnsi="Century" w:hint="cs"/>
          <w:rtl/>
        </w:rPr>
        <w:t xml:space="preserve">נכון להתערב </w:t>
      </w:r>
      <w:r w:rsidRPr="00440FC8">
        <w:rPr>
          <w:rFonts w:ascii="Century" w:hAnsi="Century"/>
          <w:rtl/>
        </w:rPr>
        <w:t>בשיקול דעת</w:t>
      </w:r>
      <w:r w:rsidRPr="00440FC8">
        <w:rPr>
          <w:rFonts w:ascii="Century" w:hAnsi="Century" w:hint="cs"/>
          <w:rtl/>
        </w:rPr>
        <w:t xml:space="preserve">ו של </w:t>
      </w:r>
      <w:r w:rsidRPr="00440FC8">
        <w:rPr>
          <w:rFonts w:ascii="Century" w:hAnsi="Century"/>
          <w:rtl/>
        </w:rPr>
        <w:t>הגורם המוסמך</w:t>
      </w:r>
      <w:r w:rsidRPr="00440FC8">
        <w:rPr>
          <w:rFonts w:ascii="Century" w:hAnsi="Century" w:hint="cs"/>
          <w:rtl/>
        </w:rPr>
        <w:t>,</w:t>
      </w:r>
      <w:r w:rsidRPr="00440FC8">
        <w:rPr>
          <w:rFonts w:ascii="Century" w:hAnsi="Century"/>
          <w:rtl/>
        </w:rPr>
        <w:t xml:space="preserve"> יש להצביע על אי-סבירות </w:t>
      </w:r>
      <w:r w:rsidRPr="00440FC8">
        <w:rPr>
          <w:rFonts w:ascii="Century" w:hAnsi="Century" w:cs="Miriam" w:hint="eastAsia"/>
          <w:b/>
          <w:spacing w:val="0"/>
          <w:szCs w:val="24"/>
          <w:rtl/>
        </w:rPr>
        <w:t>קיצונית</w:t>
      </w:r>
      <w:r w:rsidRPr="00440FC8">
        <w:rPr>
          <w:rFonts w:ascii="Century" w:hAnsi="Century"/>
          <w:rtl/>
        </w:rPr>
        <w:t xml:space="preserve"> (ראו </w:t>
      </w:r>
      <w:r w:rsidRPr="00440FC8">
        <w:rPr>
          <w:rFonts w:ascii="Century" w:hAnsi="Century" w:hint="cs"/>
          <w:rtl/>
        </w:rPr>
        <w:t>למשל</w:t>
      </w:r>
      <w:r w:rsidRPr="00440FC8">
        <w:rPr>
          <w:rFonts w:ascii="Century" w:hAnsi="Century"/>
          <w:rtl/>
        </w:rPr>
        <w:t>: בג"ץ 4374/15 ‏</w:t>
      </w:r>
      <w:r w:rsidRPr="00440FC8">
        <w:rPr>
          <w:rFonts w:ascii="Century" w:hAnsi="Century" w:cs="Miriam"/>
          <w:b/>
          <w:spacing w:val="0"/>
          <w:szCs w:val="24"/>
          <w:rtl/>
        </w:rPr>
        <w:t>התנועה למען איכות השלטון בישראל נ' ראש ממשלת ישראל</w:t>
      </w:r>
      <w:r w:rsidRPr="00440FC8">
        <w:rPr>
          <w:rFonts w:ascii="Century" w:hAnsi="Century"/>
          <w:rtl/>
        </w:rPr>
        <w:t>, פסקה מ"ו לחוות דעתו של המשנה</w:t>
      </w:r>
      <w:r w:rsidRPr="00440FC8">
        <w:rPr>
          <w:rFonts w:ascii="Century" w:hAnsi="Century" w:hint="cs"/>
          <w:rtl/>
        </w:rPr>
        <w:t xml:space="preserve"> </w:t>
      </w:r>
      <w:r w:rsidRPr="00440FC8">
        <w:rPr>
          <w:rFonts w:ascii="Century" w:hAnsi="Century"/>
          <w:rtl/>
        </w:rPr>
        <w:t>לנשיאה </w:t>
      </w:r>
      <w:r w:rsidRPr="00440FC8">
        <w:rPr>
          <w:rFonts w:ascii="Century" w:hAnsi="Century" w:cs="Miriam"/>
          <w:b/>
          <w:spacing w:val="0"/>
          <w:szCs w:val="24"/>
          <w:rtl/>
        </w:rPr>
        <w:t>רובינשטיין</w:t>
      </w:r>
      <w:r w:rsidRPr="00440FC8">
        <w:rPr>
          <w:rFonts w:ascii="Century" w:hAnsi="Century"/>
          <w:rtl/>
        </w:rPr>
        <w:t> (27.3.2016); בג"ץ</w:t>
      </w:r>
      <w:r w:rsidRPr="00440FC8">
        <w:rPr>
          <w:rFonts w:ascii="Century" w:hAnsi="Century" w:hint="cs"/>
          <w:rtl/>
        </w:rPr>
        <w:t xml:space="preserve"> </w:t>
      </w:r>
      <w:r w:rsidRPr="00440FC8">
        <w:rPr>
          <w:rFonts w:ascii="Century" w:hAnsi="Century"/>
          <w:rtl/>
        </w:rPr>
        <w:t>6637/16‏ </w:t>
      </w:r>
      <w:r w:rsidRPr="00440FC8">
        <w:rPr>
          <w:rFonts w:ascii="Century" w:hAnsi="Century" w:cs="Miriam"/>
          <w:b/>
          <w:spacing w:val="0"/>
          <w:szCs w:val="24"/>
          <w:rtl/>
        </w:rPr>
        <w:t>לוונשטיין לוי נ' מדינת ישראל</w:t>
      </w:r>
      <w:r w:rsidRPr="00440FC8">
        <w:rPr>
          <w:rFonts w:ascii="Century" w:hAnsi="Century"/>
          <w:rtl/>
        </w:rPr>
        <w:t xml:space="preserve">, פסקה 32 </w:t>
      </w:r>
      <w:r>
        <w:rPr>
          <w:rFonts w:ascii="Century" w:hAnsi="Century" w:hint="cs"/>
          <w:rtl/>
        </w:rPr>
        <w:t>לחוות דעתו</w:t>
      </w:r>
      <w:r w:rsidRPr="00440FC8">
        <w:rPr>
          <w:rFonts w:ascii="Century" w:hAnsi="Century"/>
          <w:rtl/>
        </w:rPr>
        <w:t xml:space="preserve"> של השופט </w:t>
      </w:r>
      <w:r w:rsidRPr="00440FC8">
        <w:rPr>
          <w:rFonts w:ascii="Century" w:hAnsi="Century" w:cs="Miriam"/>
          <w:b/>
          <w:spacing w:val="0"/>
          <w:szCs w:val="24"/>
          <w:rtl/>
        </w:rPr>
        <w:t>פוגלמן</w:t>
      </w:r>
      <w:r w:rsidRPr="00440FC8">
        <w:rPr>
          <w:rFonts w:ascii="Century" w:hAnsi="Century"/>
          <w:rtl/>
        </w:rPr>
        <w:t> (18.4.2017)).</w:t>
      </w:r>
      <w:r w:rsidRPr="00440FC8">
        <w:rPr>
          <w:rFonts w:hint="cs"/>
          <w:rtl/>
        </w:rPr>
        <w:t xml:space="preserve"> על אחת כמה וכמה נקוטה גישה זו כאשר מדובר בהחלטות של הממשלה והשרים. זאת בהינתן הכלל בדבר מתחם הסבירות הרחב לגבי החלטות שנתקבלו על ידי רשויות "שמעמד[ן] רם בהיררכיה השלטונית" (</w:t>
      </w:r>
      <w:r w:rsidRPr="003A512E">
        <w:rPr>
          <w:rFonts w:ascii="Century" w:hAnsi="Century" w:cs="Miriam" w:hint="eastAsia"/>
          <w:b/>
          <w:spacing w:val="0"/>
          <w:szCs w:val="24"/>
          <w:rtl/>
        </w:rPr>
        <w:t>בג</w:t>
      </w:r>
      <w:r w:rsidRPr="003A512E">
        <w:rPr>
          <w:rFonts w:ascii="Century" w:hAnsi="Century" w:cs="Miriam"/>
          <w:b/>
          <w:spacing w:val="0"/>
          <w:szCs w:val="24"/>
          <w:rtl/>
        </w:rPr>
        <w:t>"</w:t>
      </w:r>
      <w:r w:rsidRPr="003A512E">
        <w:rPr>
          <w:rFonts w:ascii="Century" w:hAnsi="Century" w:cs="Miriam" w:hint="eastAsia"/>
          <w:b/>
          <w:spacing w:val="0"/>
          <w:szCs w:val="24"/>
          <w:rtl/>
        </w:rPr>
        <w:t>ץ</w:t>
      </w:r>
      <w:r w:rsidRPr="003A512E">
        <w:rPr>
          <w:rFonts w:ascii="Century" w:hAnsi="Century" w:cs="Miriam"/>
          <w:b/>
          <w:spacing w:val="0"/>
          <w:szCs w:val="24"/>
          <w:rtl/>
        </w:rPr>
        <w:t xml:space="preserve"> 4999</w:t>
      </w:r>
      <w:r w:rsidRPr="003A512E">
        <w:rPr>
          <w:rFonts w:ascii="Century" w:hAnsi="Century" w:cs="Miriam" w:hint="cs"/>
          <w:b/>
          <w:spacing w:val="0"/>
          <w:szCs w:val="24"/>
          <w:rtl/>
        </w:rPr>
        <w:t>/</w:t>
      </w:r>
      <w:r w:rsidRPr="003A512E">
        <w:rPr>
          <w:rFonts w:ascii="Century" w:hAnsi="Century" w:cs="Miriam"/>
          <w:b/>
          <w:spacing w:val="0"/>
          <w:szCs w:val="24"/>
          <w:rtl/>
        </w:rPr>
        <w:t>03</w:t>
      </w:r>
      <w:r w:rsidRPr="00440FC8">
        <w:rPr>
          <w:rFonts w:hint="cs"/>
          <w:rtl/>
        </w:rPr>
        <w:t>, בפסקה 18 לחוות דעתי). כלל זה מוביל בהתאמה לצמצום היקפה של הביקורת השיפוטית לגביהן.</w:t>
      </w:r>
    </w:p>
    <w:p w:rsidR="00C044AE" w:rsidRDefault="00C044AE" w:rsidP="00C044AE">
      <w:pPr>
        <w:pStyle w:val="Ruller41"/>
        <w:rPr>
          <w:rtl/>
        </w:rPr>
      </w:pPr>
    </w:p>
    <w:p w:rsidR="00C044AE" w:rsidRDefault="00C044AE" w:rsidP="00C044AE">
      <w:pPr>
        <w:pStyle w:val="Ruller4"/>
        <w:rPr>
          <w:rtl/>
        </w:rPr>
      </w:pPr>
      <w:r>
        <w:rPr>
          <w:rFonts w:hint="cs"/>
          <w:rtl/>
        </w:rPr>
        <w:t xml:space="preserve">עם זאת, ואף שהמקרים שבהם התערב בית המשפט בסופו של יום בהחלטות מינהליות מכוח עילת הסבירות אינם רבים, אין בכך כדי להמעיט מחומרת השלכותיו של התיקון. </w:t>
      </w:r>
      <w:r w:rsidRPr="00452EC0">
        <w:rPr>
          <w:rFonts w:ascii="Century" w:hAnsi="Century" w:hint="cs"/>
          <w:sz w:val="22"/>
          <w:rtl/>
        </w:rPr>
        <w:t>ראשית</w:t>
      </w:r>
      <w:r>
        <w:rPr>
          <w:rFonts w:hint="cs"/>
          <w:rtl/>
        </w:rPr>
        <w:t xml:space="preserve">, הנתונים ממחישים שלמרות הריסון שנוקט בית המשפט ביחס להחלטות הממשלה והשרים, החלטות אלה מהוות כשליש ויותר מההחלטות שנפסלו על ידי בית המשפט מכוח עילת הסבירות בתקופה שנבחנה. </w:t>
      </w:r>
      <w:r w:rsidRPr="00452EC0">
        <w:rPr>
          <w:rFonts w:ascii="Century" w:hAnsi="Century" w:hint="cs"/>
          <w:sz w:val="22"/>
          <w:rtl/>
        </w:rPr>
        <w:t>שנית</w:t>
      </w:r>
      <w:r>
        <w:rPr>
          <w:rFonts w:hint="cs"/>
          <w:rtl/>
        </w:rPr>
        <w:t xml:space="preserve">, לא ניתן לאמוד את חשיבותה והשפעתה של עילת הסבירות רק על פי בחינה של המקרים שהגיעו לפתחו של בית המשפט. וכפי שהיטיבה להדגיש הנשיאה </w:t>
      </w:r>
      <w:r w:rsidRPr="00E87881">
        <w:rPr>
          <w:rFonts w:ascii="Century" w:hAnsi="Century" w:cs="Miriam" w:hint="cs"/>
          <w:b/>
          <w:spacing w:val="0"/>
          <w:sz w:val="22"/>
          <w:szCs w:val="24"/>
          <w:rtl/>
        </w:rPr>
        <w:t>נאור</w:t>
      </w:r>
      <w:r>
        <w:rPr>
          <w:rFonts w:hint="cs"/>
          <w:rtl/>
        </w:rPr>
        <w:t>:</w:t>
      </w:r>
    </w:p>
    <w:p w:rsidR="00C044AE" w:rsidRDefault="00C044AE" w:rsidP="00C044AE">
      <w:pPr>
        <w:pStyle w:val="Ruller41"/>
        <w:rPr>
          <w:rtl/>
        </w:rPr>
      </w:pPr>
    </w:p>
    <w:p w:rsidR="00C044AE" w:rsidRDefault="00C044AE" w:rsidP="00C044AE">
      <w:pPr>
        <w:pStyle w:val="Ruller5"/>
        <w:rPr>
          <w:rFonts w:cs="Arial TUR"/>
          <w:szCs w:val="22"/>
          <w:rtl/>
        </w:rPr>
      </w:pPr>
      <w:r>
        <w:rPr>
          <w:rFonts w:hint="cs"/>
          <w:rtl/>
        </w:rPr>
        <w:t>"</w:t>
      </w:r>
      <w:r>
        <w:rPr>
          <w:rtl/>
        </w:rPr>
        <w:t xml:space="preserve">חשיבותה של הסבירות בהרתעה מראש של רשויות </w:t>
      </w:r>
      <w:r w:rsidRPr="00440FC8">
        <w:rPr>
          <w:rtl/>
        </w:rPr>
        <w:t xml:space="preserve">השלטון. רשות היודעת כי אם תפעל בחוסר סבירות </w:t>
      </w:r>
      <w:r w:rsidRPr="00440FC8">
        <w:rPr>
          <w:rtl/>
        </w:rPr>
        <w:lastRenderedPageBreak/>
        <w:t>קיצוני עשוי בית המשפט להתערב בפעולתה תבחן בעצמה, לפני מתן</w:t>
      </w:r>
      <w:r w:rsidRPr="00440FC8">
        <w:rPr>
          <w:rFonts w:cs="Arial TUR" w:hint="cs"/>
          <w:szCs w:val="22"/>
          <w:rtl/>
        </w:rPr>
        <w:t xml:space="preserve"> </w:t>
      </w:r>
      <w:r w:rsidRPr="00440FC8">
        <w:rPr>
          <w:rtl/>
        </w:rPr>
        <w:t>ההחלטה, את סבירות</w:t>
      </w:r>
      <w:r w:rsidRPr="00440FC8">
        <w:rPr>
          <w:rFonts w:hint="cs"/>
          <w:rtl/>
        </w:rPr>
        <w:t xml:space="preserve">ה" (עניין </w:t>
      </w:r>
      <w:r w:rsidRPr="00440FC8">
        <w:rPr>
          <w:rFonts w:ascii="Century" w:hAnsi="Century" w:cs="Miriam" w:hint="cs"/>
          <w:b/>
          <w:spacing w:val="0"/>
          <w:szCs w:val="24"/>
          <w:rtl/>
        </w:rPr>
        <w:t>הנגבי 2014</w:t>
      </w:r>
      <w:r w:rsidRPr="00440FC8">
        <w:rPr>
          <w:rFonts w:hint="cs"/>
          <w:rtl/>
        </w:rPr>
        <w:t xml:space="preserve">, בפסקה 2 לחוות דעתה; ראו גם: </w:t>
      </w:r>
      <w:r w:rsidRPr="00440FC8">
        <w:rPr>
          <w:rFonts w:ascii="Century" w:hAnsi="Century" w:cs="Miriam" w:hint="cs"/>
          <w:b/>
          <w:spacing w:val="0"/>
          <w:szCs w:val="24"/>
          <w:rtl/>
        </w:rPr>
        <w:t>ברק-ארז "משפט מינהלי"</w:t>
      </w:r>
      <w:r w:rsidRPr="00440FC8">
        <w:rPr>
          <w:rFonts w:hint="cs"/>
          <w:rtl/>
        </w:rPr>
        <w:t>, בעמ' 769).</w:t>
      </w:r>
      <w:r>
        <w:rPr>
          <w:rFonts w:hint="cs"/>
          <w:rtl/>
        </w:rPr>
        <w:t xml:space="preserve"> </w:t>
      </w:r>
    </w:p>
    <w:p w:rsidR="00C044AE" w:rsidRPr="00E87881" w:rsidRDefault="00C044AE" w:rsidP="00C044AE">
      <w:pPr>
        <w:pStyle w:val="Ruller41"/>
        <w:rPr>
          <w:rtl/>
        </w:rPr>
      </w:pPr>
    </w:p>
    <w:p w:rsidR="00C044AE" w:rsidRDefault="00C044AE" w:rsidP="00C044AE">
      <w:pPr>
        <w:pStyle w:val="Ruller41"/>
        <w:rPr>
          <w:rtl/>
        </w:rPr>
      </w:pPr>
      <w:r>
        <w:rPr>
          <w:rtl/>
        </w:rPr>
        <w:tab/>
      </w:r>
      <w:r>
        <w:rPr>
          <w:rFonts w:hint="cs"/>
          <w:rtl/>
        </w:rPr>
        <w:t xml:space="preserve">היועצת עמדה על כך אף היא בתצהיר התשובה מטעמה, בו ציינה כי ביחס לרוב המכריע של ההחלטות השלטוניות לא נדרשה ביקורת שיפוטית, בין היתר, משום שהייעוץ המשפטי מדגיש כבר בתהליך קבלת ההחלטה את הצורך לעמוד בחובת הסבירות </w:t>
      </w:r>
      <w:r w:rsidRPr="00440FC8">
        <w:rPr>
          <w:rFonts w:hint="cs"/>
          <w:rtl/>
        </w:rPr>
        <w:t>בנסיבות העניין. עם זאת, לשיטת היועצת, "מרגע שהחלטות כאלה לא יהיו עוד נתונות לביקורת שיפוטית אפקטיבית, ולרשות האדם הנפגע מההחלטה לא יעמוד סעד שיפוטי, מטבע הדברים שהשפעתה של חוות הדעת של הייעוץ המשפטי לממשלה בקש</w:t>
      </w:r>
      <w:r>
        <w:rPr>
          <w:rFonts w:hint="cs"/>
          <w:rtl/>
        </w:rPr>
        <w:t>ר</w:t>
      </w:r>
      <w:r w:rsidRPr="00440FC8">
        <w:rPr>
          <w:rFonts w:hint="cs"/>
          <w:rtl/>
        </w:rPr>
        <w:t xml:space="preserve"> לאותה החלטה, תהיה מוגבלת, אם בכלל" (</w:t>
      </w:r>
      <w:r w:rsidRPr="00440FC8">
        <w:rPr>
          <w:rFonts w:ascii="Century" w:hAnsi="Century" w:cs="Miriam" w:hint="cs"/>
          <w:b/>
          <w:spacing w:val="0"/>
          <w:szCs w:val="24"/>
          <w:rtl/>
        </w:rPr>
        <w:t>שם</w:t>
      </w:r>
      <w:r w:rsidRPr="00440FC8">
        <w:rPr>
          <w:rFonts w:hint="cs"/>
          <w:rtl/>
        </w:rPr>
        <w:t xml:space="preserve">, בפסקה 283). אכן, חרף העובדה שהחובה לפעול </w:t>
      </w:r>
      <w:r>
        <w:rPr>
          <w:rFonts w:hint="cs"/>
          <w:rtl/>
        </w:rPr>
        <w:t>ב</w:t>
      </w:r>
      <w:r w:rsidRPr="00440FC8">
        <w:rPr>
          <w:rFonts w:hint="cs"/>
          <w:rtl/>
        </w:rPr>
        <w:t>סבירות עודנה מוטלת על הדרג הנבחר, שלילת האפשרות לקיים ביקורת שיפוטית על סבירות החלטות הממשלה ושריה נושאת השלכות ישירות וחמורות על שלבי עיצוב וגיבוש ההחלטות, שכן "שלטון היודע מראש כי הוא לא נתון לביקורת שיפוטית, הוא שלטון העשוי שלא להשליט את החוק, והעשוי להביא להפרתו" (</w:t>
      </w:r>
      <w:r w:rsidRPr="00440FC8">
        <w:rPr>
          <w:rFonts w:hint="eastAsia"/>
          <w:rtl/>
        </w:rPr>
        <w:t>בג</w:t>
      </w:r>
      <w:r w:rsidRPr="00440FC8">
        <w:rPr>
          <w:rtl/>
        </w:rPr>
        <w:t>"</w:t>
      </w:r>
      <w:r w:rsidRPr="00440FC8">
        <w:rPr>
          <w:rFonts w:hint="eastAsia"/>
          <w:rtl/>
        </w:rPr>
        <w:t>ץ</w:t>
      </w:r>
      <w:r w:rsidRPr="00440FC8">
        <w:rPr>
          <w:rtl/>
        </w:rPr>
        <w:t xml:space="preserve"> 217</w:t>
      </w:r>
      <w:r w:rsidRPr="00440FC8">
        <w:rPr>
          <w:rFonts w:hint="cs"/>
          <w:rtl/>
        </w:rPr>
        <w:t>/</w:t>
      </w:r>
      <w:r w:rsidRPr="00440FC8">
        <w:rPr>
          <w:rtl/>
        </w:rPr>
        <w:t xml:space="preserve">80 </w:t>
      </w:r>
      <w:r w:rsidRPr="00440FC8">
        <w:rPr>
          <w:rFonts w:ascii="Century" w:hAnsi="Century" w:cs="Miriam" w:hint="eastAsia"/>
          <w:b/>
          <w:spacing w:val="0"/>
          <w:szCs w:val="24"/>
          <w:rtl/>
        </w:rPr>
        <w:t>סגל</w:t>
      </w:r>
      <w:r w:rsidRPr="00440FC8">
        <w:rPr>
          <w:rFonts w:ascii="Century" w:hAnsi="Century" w:cs="Miriam"/>
          <w:b/>
          <w:spacing w:val="0"/>
          <w:szCs w:val="24"/>
          <w:rtl/>
        </w:rPr>
        <w:t xml:space="preserve"> </w:t>
      </w:r>
      <w:r w:rsidRPr="00440FC8">
        <w:rPr>
          <w:rFonts w:ascii="Century" w:hAnsi="Century" w:cs="Miriam" w:hint="eastAsia"/>
          <w:b/>
          <w:spacing w:val="0"/>
          <w:szCs w:val="24"/>
          <w:rtl/>
        </w:rPr>
        <w:t>נ</w:t>
      </w:r>
      <w:r w:rsidRPr="00440FC8">
        <w:rPr>
          <w:rFonts w:ascii="Century" w:hAnsi="Century" w:cs="Miriam"/>
          <w:b/>
          <w:spacing w:val="0"/>
          <w:szCs w:val="24"/>
          <w:rtl/>
        </w:rPr>
        <w:t xml:space="preserve">' </w:t>
      </w:r>
      <w:r w:rsidRPr="00440FC8">
        <w:rPr>
          <w:rFonts w:ascii="Century" w:hAnsi="Century" w:cs="Miriam" w:hint="eastAsia"/>
          <w:b/>
          <w:spacing w:val="0"/>
          <w:szCs w:val="24"/>
          <w:rtl/>
        </w:rPr>
        <w:t>שר</w:t>
      </w:r>
      <w:r w:rsidRPr="00440FC8">
        <w:rPr>
          <w:rFonts w:ascii="Century" w:hAnsi="Century" w:cs="Miriam"/>
          <w:b/>
          <w:spacing w:val="0"/>
          <w:szCs w:val="24"/>
          <w:rtl/>
        </w:rPr>
        <w:t xml:space="preserve"> </w:t>
      </w:r>
      <w:r w:rsidRPr="00440FC8">
        <w:rPr>
          <w:rFonts w:ascii="Century" w:hAnsi="Century" w:cs="Miriam" w:hint="eastAsia"/>
          <w:b/>
          <w:spacing w:val="0"/>
          <w:szCs w:val="24"/>
          <w:rtl/>
        </w:rPr>
        <w:t>הפנים</w:t>
      </w:r>
      <w:r w:rsidRPr="00440FC8">
        <w:rPr>
          <w:rtl/>
        </w:rPr>
        <w:t xml:space="preserve">, </w:t>
      </w:r>
      <w:r w:rsidRPr="00440FC8">
        <w:rPr>
          <w:rFonts w:hint="eastAsia"/>
          <w:rtl/>
        </w:rPr>
        <w:t>פ</w:t>
      </w:r>
      <w:r w:rsidRPr="00440FC8">
        <w:rPr>
          <w:rtl/>
        </w:rPr>
        <w:t>"</w:t>
      </w:r>
      <w:r w:rsidRPr="00440FC8">
        <w:rPr>
          <w:rFonts w:hint="eastAsia"/>
          <w:rtl/>
        </w:rPr>
        <w:t>ד</w:t>
      </w:r>
      <w:r w:rsidRPr="00440FC8">
        <w:rPr>
          <w:rtl/>
        </w:rPr>
        <w:t xml:space="preserve"> </w:t>
      </w:r>
      <w:r w:rsidRPr="00440FC8">
        <w:rPr>
          <w:rFonts w:hint="eastAsia"/>
          <w:rtl/>
        </w:rPr>
        <w:t>לד</w:t>
      </w:r>
      <w:r w:rsidRPr="00440FC8">
        <w:rPr>
          <w:rtl/>
        </w:rPr>
        <w:t>(4) 429</w:t>
      </w:r>
      <w:r w:rsidRPr="00440FC8">
        <w:rPr>
          <w:rFonts w:hint="cs"/>
          <w:rtl/>
        </w:rPr>
        <w:t>, 441 (1980)).</w:t>
      </w:r>
      <w:r>
        <w:rPr>
          <w:rFonts w:hint="cs"/>
          <w:rtl/>
        </w:rPr>
        <w:t xml:space="preserve"> </w:t>
      </w:r>
    </w:p>
    <w:p w:rsidR="00C044AE" w:rsidRDefault="00C044AE" w:rsidP="00C044AE">
      <w:pPr>
        <w:pStyle w:val="Ruller41"/>
        <w:rPr>
          <w:rtl/>
        </w:rPr>
      </w:pPr>
    </w:p>
    <w:p w:rsidR="00C044AE" w:rsidRPr="00440FC8" w:rsidRDefault="00C044AE" w:rsidP="00C044AE">
      <w:pPr>
        <w:pStyle w:val="Ruller4"/>
        <w:rPr>
          <w:rtl/>
        </w:rPr>
      </w:pPr>
      <w:r>
        <w:rPr>
          <w:rFonts w:hint="cs"/>
          <w:rtl/>
        </w:rPr>
        <w:t xml:space="preserve">לבסוף יש להדגיש כי ההשלכות העתידיות של התיקון עשויות להיות חמורות בהרבה, היות שהוא לא כולל כל הגבלה על העברת סמכויות המצויות כיום בידי גורמים </w:t>
      </w:r>
      <w:r w:rsidRPr="00440FC8">
        <w:rPr>
          <w:rFonts w:hint="cs"/>
          <w:rtl/>
        </w:rPr>
        <w:t>אחרים ברשות המבצעת לידי הממשלה והשרים. סעיף 34 לחוק-יסוד: הממשלה קובע כי "</w:t>
      </w:r>
      <w:r w:rsidRPr="00440FC8">
        <w:rPr>
          <w:rFonts w:hint="eastAsia"/>
          <w:rtl/>
        </w:rPr>
        <w:t>שר</w:t>
      </w:r>
      <w:r w:rsidRPr="00440FC8">
        <w:rPr>
          <w:rtl/>
        </w:rPr>
        <w:t xml:space="preserve"> </w:t>
      </w:r>
      <w:r w:rsidRPr="00440FC8">
        <w:rPr>
          <w:rFonts w:hint="eastAsia"/>
          <w:rtl/>
        </w:rPr>
        <w:t>הממונה</w:t>
      </w:r>
      <w:r w:rsidRPr="00440FC8">
        <w:rPr>
          <w:rtl/>
        </w:rPr>
        <w:t xml:space="preserve"> </w:t>
      </w:r>
      <w:r w:rsidRPr="00440FC8">
        <w:rPr>
          <w:rFonts w:hint="eastAsia"/>
          <w:rtl/>
        </w:rPr>
        <w:t>על</w:t>
      </w:r>
      <w:r w:rsidRPr="00440FC8">
        <w:rPr>
          <w:rtl/>
        </w:rPr>
        <w:t xml:space="preserve"> </w:t>
      </w:r>
      <w:r w:rsidRPr="00440FC8">
        <w:rPr>
          <w:rFonts w:hint="eastAsia"/>
          <w:rtl/>
        </w:rPr>
        <w:t>ביצועו</w:t>
      </w:r>
      <w:r w:rsidRPr="00440FC8">
        <w:rPr>
          <w:rtl/>
        </w:rPr>
        <w:t xml:space="preserve"> </w:t>
      </w:r>
      <w:r w:rsidRPr="00440FC8">
        <w:rPr>
          <w:rFonts w:hint="eastAsia"/>
          <w:rtl/>
        </w:rPr>
        <w:t>של</w:t>
      </w:r>
      <w:r w:rsidRPr="00440FC8">
        <w:rPr>
          <w:rtl/>
        </w:rPr>
        <w:t xml:space="preserve"> </w:t>
      </w:r>
      <w:r w:rsidRPr="00440FC8">
        <w:rPr>
          <w:rFonts w:hint="eastAsia"/>
          <w:rtl/>
        </w:rPr>
        <w:t>חוק</w:t>
      </w:r>
      <w:r w:rsidRPr="00440FC8">
        <w:rPr>
          <w:rtl/>
        </w:rPr>
        <w:t xml:space="preserve"> </w:t>
      </w:r>
      <w:r w:rsidRPr="00440FC8">
        <w:rPr>
          <w:rFonts w:hint="eastAsia"/>
          <w:rtl/>
        </w:rPr>
        <w:t>רשאי</w:t>
      </w:r>
      <w:r w:rsidRPr="00440FC8">
        <w:rPr>
          <w:rtl/>
        </w:rPr>
        <w:t xml:space="preserve"> </w:t>
      </w:r>
      <w:r w:rsidRPr="00440FC8">
        <w:rPr>
          <w:rFonts w:hint="eastAsia"/>
          <w:rtl/>
        </w:rPr>
        <w:t>ליטול</w:t>
      </w:r>
      <w:r w:rsidRPr="00440FC8">
        <w:rPr>
          <w:rtl/>
        </w:rPr>
        <w:t xml:space="preserve"> </w:t>
      </w:r>
      <w:r w:rsidRPr="00440FC8">
        <w:rPr>
          <w:rFonts w:hint="eastAsia"/>
          <w:rtl/>
        </w:rPr>
        <w:t>לעצמו</w:t>
      </w:r>
      <w:r w:rsidRPr="00440FC8">
        <w:rPr>
          <w:rtl/>
        </w:rPr>
        <w:t xml:space="preserve"> </w:t>
      </w:r>
      <w:r w:rsidRPr="00440FC8">
        <w:rPr>
          <w:rFonts w:hint="eastAsia"/>
          <w:rtl/>
        </w:rPr>
        <w:t>כל</w:t>
      </w:r>
      <w:r w:rsidRPr="00440FC8">
        <w:rPr>
          <w:rtl/>
        </w:rPr>
        <w:t xml:space="preserve"> </w:t>
      </w:r>
      <w:r w:rsidRPr="00440FC8">
        <w:rPr>
          <w:rFonts w:hint="eastAsia"/>
          <w:rtl/>
        </w:rPr>
        <w:t>סמכות</w:t>
      </w:r>
      <w:r w:rsidRPr="00440FC8">
        <w:rPr>
          <w:rtl/>
        </w:rPr>
        <w:t xml:space="preserve">, </w:t>
      </w:r>
      <w:r w:rsidRPr="00440FC8">
        <w:rPr>
          <w:rFonts w:hint="eastAsia"/>
          <w:rtl/>
        </w:rPr>
        <w:t>למעט</w:t>
      </w:r>
      <w:r w:rsidRPr="00440FC8">
        <w:rPr>
          <w:rtl/>
        </w:rPr>
        <w:t xml:space="preserve"> </w:t>
      </w:r>
      <w:r w:rsidRPr="00440FC8">
        <w:rPr>
          <w:rFonts w:hint="eastAsia"/>
          <w:rtl/>
        </w:rPr>
        <w:t>סמכות</w:t>
      </w:r>
      <w:r w:rsidRPr="00440FC8">
        <w:rPr>
          <w:rtl/>
        </w:rPr>
        <w:t xml:space="preserve"> </w:t>
      </w:r>
      <w:r w:rsidRPr="00440FC8">
        <w:rPr>
          <w:rFonts w:hint="eastAsia"/>
          <w:rtl/>
        </w:rPr>
        <w:t>בעלת</w:t>
      </w:r>
      <w:r w:rsidRPr="00440FC8">
        <w:rPr>
          <w:rtl/>
        </w:rPr>
        <w:t xml:space="preserve"> </w:t>
      </w:r>
      <w:r w:rsidRPr="00440FC8">
        <w:rPr>
          <w:rFonts w:hint="eastAsia"/>
          <w:rtl/>
        </w:rPr>
        <w:t>אופי</w:t>
      </w:r>
      <w:r w:rsidRPr="00440FC8">
        <w:rPr>
          <w:rtl/>
        </w:rPr>
        <w:t xml:space="preserve"> </w:t>
      </w:r>
      <w:r w:rsidRPr="00440FC8">
        <w:rPr>
          <w:rFonts w:hint="eastAsia"/>
          <w:rtl/>
        </w:rPr>
        <w:t>שיפוטי</w:t>
      </w:r>
      <w:r w:rsidRPr="00440FC8">
        <w:rPr>
          <w:rtl/>
        </w:rPr>
        <w:t xml:space="preserve">, </w:t>
      </w:r>
      <w:r w:rsidRPr="00440FC8">
        <w:rPr>
          <w:rFonts w:hint="eastAsia"/>
          <w:rtl/>
        </w:rPr>
        <w:t>הנתונה</w:t>
      </w:r>
      <w:r w:rsidRPr="00440FC8">
        <w:rPr>
          <w:rtl/>
        </w:rPr>
        <w:t xml:space="preserve"> </w:t>
      </w:r>
      <w:r w:rsidRPr="00440FC8">
        <w:rPr>
          <w:rFonts w:hint="eastAsia"/>
          <w:rtl/>
        </w:rPr>
        <w:t>על</w:t>
      </w:r>
      <w:r w:rsidRPr="00440FC8">
        <w:rPr>
          <w:rtl/>
        </w:rPr>
        <w:t xml:space="preserve"> </w:t>
      </w:r>
      <w:r w:rsidRPr="00440FC8">
        <w:rPr>
          <w:rFonts w:hint="eastAsia"/>
          <w:rtl/>
        </w:rPr>
        <w:t>פי</w:t>
      </w:r>
      <w:r w:rsidRPr="00440FC8">
        <w:rPr>
          <w:rtl/>
        </w:rPr>
        <w:t xml:space="preserve"> </w:t>
      </w:r>
      <w:r w:rsidRPr="00440FC8">
        <w:rPr>
          <w:rFonts w:hint="eastAsia"/>
          <w:rtl/>
        </w:rPr>
        <w:t>אותו</w:t>
      </w:r>
      <w:r w:rsidRPr="00440FC8">
        <w:rPr>
          <w:rtl/>
        </w:rPr>
        <w:t xml:space="preserve"> </w:t>
      </w:r>
      <w:r w:rsidRPr="00440FC8">
        <w:rPr>
          <w:rFonts w:hint="eastAsia"/>
          <w:rtl/>
        </w:rPr>
        <w:t>חוק</w:t>
      </w:r>
      <w:r w:rsidRPr="00440FC8">
        <w:rPr>
          <w:rtl/>
        </w:rPr>
        <w:t xml:space="preserve"> </w:t>
      </w:r>
      <w:r w:rsidRPr="00440FC8">
        <w:rPr>
          <w:rFonts w:hint="eastAsia"/>
          <w:rtl/>
        </w:rPr>
        <w:t>לעובד</w:t>
      </w:r>
      <w:r w:rsidRPr="00440FC8">
        <w:rPr>
          <w:rtl/>
        </w:rPr>
        <w:t xml:space="preserve"> </w:t>
      </w:r>
      <w:r w:rsidRPr="00440FC8">
        <w:rPr>
          <w:rFonts w:hint="eastAsia"/>
          <w:rtl/>
        </w:rPr>
        <w:t>המדינה</w:t>
      </w:r>
      <w:r w:rsidRPr="00440FC8">
        <w:rPr>
          <w:rtl/>
        </w:rPr>
        <w:t xml:space="preserve">, </w:t>
      </w:r>
      <w:r w:rsidRPr="00440FC8">
        <w:rPr>
          <w:rFonts w:hint="eastAsia"/>
          <w:rtl/>
        </w:rPr>
        <w:t>אם</w:t>
      </w:r>
      <w:r w:rsidRPr="00440FC8">
        <w:rPr>
          <w:rtl/>
        </w:rPr>
        <w:t xml:space="preserve"> </w:t>
      </w:r>
      <w:r w:rsidRPr="00440FC8">
        <w:rPr>
          <w:rFonts w:hint="eastAsia"/>
          <w:rtl/>
        </w:rPr>
        <w:t>אין</w:t>
      </w:r>
      <w:r w:rsidRPr="00440FC8">
        <w:rPr>
          <w:rtl/>
        </w:rPr>
        <w:t xml:space="preserve"> </w:t>
      </w:r>
      <w:r w:rsidRPr="00440FC8">
        <w:rPr>
          <w:rFonts w:hint="eastAsia"/>
          <w:rtl/>
        </w:rPr>
        <w:t>כוונה</w:t>
      </w:r>
      <w:r w:rsidRPr="00440FC8">
        <w:rPr>
          <w:rtl/>
        </w:rPr>
        <w:t xml:space="preserve"> </w:t>
      </w:r>
      <w:r w:rsidRPr="00440FC8">
        <w:rPr>
          <w:rFonts w:hint="eastAsia"/>
          <w:rtl/>
        </w:rPr>
        <w:t>אחרת</w:t>
      </w:r>
      <w:r w:rsidRPr="00440FC8">
        <w:rPr>
          <w:rtl/>
        </w:rPr>
        <w:t xml:space="preserve"> </w:t>
      </w:r>
      <w:r w:rsidRPr="00440FC8">
        <w:rPr>
          <w:rFonts w:hint="eastAsia"/>
          <w:rtl/>
        </w:rPr>
        <w:t>משתמעת</w:t>
      </w:r>
      <w:r w:rsidRPr="00440FC8">
        <w:rPr>
          <w:rtl/>
        </w:rPr>
        <w:t xml:space="preserve"> </w:t>
      </w:r>
      <w:r w:rsidRPr="00440FC8">
        <w:rPr>
          <w:rFonts w:hint="eastAsia"/>
          <w:rtl/>
        </w:rPr>
        <w:t>מן</w:t>
      </w:r>
      <w:r w:rsidRPr="00440FC8">
        <w:rPr>
          <w:rtl/>
        </w:rPr>
        <w:t xml:space="preserve"> </w:t>
      </w:r>
      <w:r w:rsidRPr="00440FC8">
        <w:rPr>
          <w:rFonts w:hint="eastAsia"/>
          <w:rtl/>
        </w:rPr>
        <w:t>החוק</w:t>
      </w:r>
      <w:r w:rsidRPr="00440FC8">
        <w:rPr>
          <w:rtl/>
        </w:rPr>
        <w:t xml:space="preserve">; </w:t>
      </w:r>
      <w:r w:rsidRPr="00440FC8">
        <w:rPr>
          <w:rFonts w:hint="eastAsia"/>
          <w:rtl/>
        </w:rPr>
        <w:t>השר</w:t>
      </w:r>
      <w:r w:rsidRPr="00440FC8">
        <w:rPr>
          <w:rtl/>
        </w:rPr>
        <w:t xml:space="preserve"> </w:t>
      </w:r>
      <w:r w:rsidRPr="00440FC8">
        <w:rPr>
          <w:rFonts w:hint="eastAsia"/>
          <w:rtl/>
        </w:rPr>
        <w:t>רשאי</w:t>
      </w:r>
      <w:r w:rsidRPr="00440FC8">
        <w:rPr>
          <w:rtl/>
        </w:rPr>
        <w:t xml:space="preserve"> </w:t>
      </w:r>
      <w:r w:rsidRPr="00440FC8">
        <w:rPr>
          <w:rFonts w:hint="eastAsia"/>
          <w:rtl/>
        </w:rPr>
        <w:t>לעשות</w:t>
      </w:r>
      <w:r w:rsidRPr="00440FC8">
        <w:rPr>
          <w:rtl/>
        </w:rPr>
        <w:t xml:space="preserve"> </w:t>
      </w:r>
      <w:r w:rsidRPr="00440FC8">
        <w:rPr>
          <w:rFonts w:hint="eastAsia"/>
          <w:rtl/>
        </w:rPr>
        <w:t>כאמור</w:t>
      </w:r>
      <w:r w:rsidRPr="00440FC8">
        <w:rPr>
          <w:rtl/>
        </w:rPr>
        <w:t xml:space="preserve"> </w:t>
      </w:r>
      <w:r w:rsidRPr="00440FC8">
        <w:rPr>
          <w:rFonts w:hint="eastAsia"/>
          <w:rtl/>
        </w:rPr>
        <w:t>לענין</w:t>
      </w:r>
      <w:r w:rsidRPr="00440FC8">
        <w:rPr>
          <w:rtl/>
        </w:rPr>
        <w:t xml:space="preserve"> </w:t>
      </w:r>
      <w:r w:rsidRPr="00440FC8">
        <w:rPr>
          <w:rFonts w:hint="eastAsia"/>
          <w:rtl/>
        </w:rPr>
        <w:t>מסוים</w:t>
      </w:r>
      <w:r w:rsidRPr="00440FC8">
        <w:rPr>
          <w:rtl/>
        </w:rPr>
        <w:t xml:space="preserve"> </w:t>
      </w:r>
      <w:r w:rsidRPr="00440FC8">
        <w:rPr>
          <w:rFonts w:hint="eastAsia"/>
          <w:rtl/>
        </w:rPr>
        <w:t>או</w:t>
      </w:r>
      <w:r w:rsidRPr="00440FC8">
        <w:rPr>
          <w:rtl/>
        </w:rPr>
        <w:t xml:space="preserve"> </w:t>
      </w:r>
      <w:r w:rsidRPr="00440FC8">
        <w:rPr>
          <w:rFonts w:hint="eastAsia"/>
          <w:rtl/>
        </w:rPr>
        <w:t>לתקופה</w:t>
      </w:r>
      <w:r w:rsidRPr="00440FC8">
        <w:rPr>
          <w:rtl/>
        </w:rPr>
        <w:t xml:space="preserve"> </w:t>
      </w:r>
      <w:r w:rsidRPr="00440FC8">
        <w:rPr>
          <w:rFonts w:hint="eastAsia"/>
          <w:rtl/>
        </w:rPr>
        <w:t>מסוימת</w:t>
      </w:r>
      <w:r w:rsidRPr="00440FC8">
        <w:rPr>
          <w:rFonts w:hint="cs"/>
          <w:rtl/>
        </w:rPr>
        <w:t>". כלומר, אין דבר שיכול למנוע שר מליטול לידיו את הסמכות לקבל את ההחלטות הפוגעניות ביותר מבחינת סבירותן, על מנת לחסנן מביקורת שיפוטית. הכנסת בתצהיר התשובה מטעמה הציעה כי בית המשפט יבחן האם נעשה שימוש לרעה בסמכות הנטילה (</w:t>
      </w:r>
      <w:r w:rsidRPr="00440FC8">
        <w:rPr>
          <w:rFonts w:ascii="Century" w:hAnsi="Century" w:cs="Miriam" w:hint="cs"/>
          <w:b/>
          <w:spacing w:val="0"/>
          <w:sz w:val="22"/>
          <w:szCs w:val="24"/>
          <w:rtl/>
        </w:rPr>
        <w:t>שם</w:t>
      </w:r>
      <w:r w:rsidRPr="00440FC8">
        <w:rPr>
          <w:rFonts w:hint="cs"/>
          <w:rtl/>
        </w:rPr>
        <w:t xml:space="preserve">, בפסקה 316(ה)), אך בהתחשב בכך שהנטילה תיעשה בסמכות ולנוכח הקושי להוכיח כי הנטילה נעשתה משיקולים זרים, דומה כי העילה העיקרית שמכוחה ניתן לבחון את שיקול דעת השר היא, למעשה, עילת הסבירות. מכל מקום, כפי </w:t>
      </w:r>
      <w:r>
        <w:rPr>
          <w:rFonts w:hint="cs"/>
          <w:rtl/>
        </w:rPr>
        <w:t>שעולה</w:t>
      </w:r>
      <w:r w:rsidRPr="00440FC8">
        <w:rPr>
          <w:rFonts w:hint="cs"/>
          <w:rtl/>
        </w:rPr>
        <w:t xml:space="preserve"> מדבריו של ח"כ רוטמן במהלך דיוני הוועדה, היכולת של שרים ליטול סמכויות איננה תקלה (</w:t>
      </w:r>
      <w:r w:rsidRPr="00440FC8">
        <w:t>bug</w:t>
      </w:r>
      <w:r w:rsidRPr="00440FC8">
        <w:rPr>
          <w:rFonts w:hint="cs"/>
          <w:rtl/>
        </w:rPr>
        <w:t>) בתיקון, אלא מאפיין מובנה (</w:t>
      </w:r>
      <w:r w:rsidRPr="00440FC8">
        <w:t>feature</w:t>
      </w:r>
      <w:r w:rsidRPr="00440FC8">
        <w:rPr>
          <w:rFonts w:hint="cs"/>
          <w:rtl/>
        </w:rPr>
        <w:t xml:space="preserve">) שלו: </w:t>
      </w:r>
    </w:p>
    <w:p w:rsidR="00C044AE" w:rsidRDefault="00C044AE" w:rsidP="00C044AE">
      <w:pPr>
        <w:pStyle w:val="Ruller41"/>
        <w:rPr>
          <w:rtl/>
        </w:rPr>
      </w:pPr>
    </w:p>
    <w:p w:rsidR="00C044AE" w:rsidRPr="003F5A54" w:rsidRDefault="00C044AE" w:rsidP="00C044AE">
      <w:pPr>
        <w:pStyle w:val="Ruller5"/>
        <w:rPr>
          <w:rtl/>
        </w:rPr>
      </w:pPr>
      <w:r w:rsidRPr="003F5A54">
        <w:rPr>
          <w:rFonts w:hint="cs"/>
          <w:rtl/>
          <w:lang w:eastAsia="he-IL"/>
        </w:rPr>
        <w:t>עו"ד בליי: "יש חשש שמערך התמריצים יהיה כזה שכאשר תהיה החלטה שיש חשש לגבי הסבירות שלה, אז השר יקבל אותה כדי להעניק לה חסינות</w:t>
      </w:r>
      <w:r w:rsidRPr="003F5A54">
        <w:rPr>
          <w:rFonts w:hint="cs"/>
          <w:rtl/>
        </w:rPr>
        <w:t>".</w:t>
      </w:r>
    </w:p>
    <w:p w:rsidR="00C044AE" w:rsidRPr="003F5A54" w:rsidRDefault="00C044AE" w:rsidP="00C044AE">
      <w:pPr>
        <w:pStyle w:val="Ruller5"/>
        <w:rPr>
          <w:rtl/>
        </w:rPr>
      </w:pPr>
    </w:p>
    <w:p w:rsidR="00C044AE" w:rsidRPr="00440FC8" w:rsidRDefault="00C044AE" w:rsidP="00C044AE">
      <w:pPr>
        <w:pStyle w:val="Ruller5"/>
        <w:rPr>
          <w:rtl/>
        </w:rPr>
      </w:pPr>
      <w:r w:rsidRPr="003F5A54">
        <w:rPr>
          <w:rFonts w:hint="cs"/>
          <w:rtl/>
          <w:lang w:eastAsia="he-IL"/>
        </w:rPr>
        <w:t xml:space="preserve">ח"כ רוטמן: "מצוין. לא, לא כדי להעניק לה חסינות. סליחה, זו אמירה שאני לא מקבל. לא כדי להעניק לה חסינות. כאשר יש </w:t>
      </w:r>
      <w:bookmarkStart w:id="22" w:name="_ETM_Q1_4105868"/>
      <w:bookmarkEnd w:id="22"/>
      <w:r w:rsidRPr="003F5A54">
        <w:rPr>
          <w:rFonts w:hint="cs"/>
          <w:rtl/>
          <w:lang w:eastAsia="he-IL"/>
        </w:rPr>
        <w:t>החלטה שהשר חושב שצריך לקבל אות</w:t>
      </w:r>
      <w:bookmarkStart w:id="23" w:name="_ETM_Q1_4108467"/>
      <w:bookmarkStart w:id="24" w:name="_ETM_Q1_4108501"/>
      <w:bookmarkEnd w:id="23"/>
      <w:bookmarkEnd w:id="24"/>
      <w:r w:rsidRPr="003F5A54">
        <w:rPr>
          <w:rFonts w:hint="cs"/>
          <w:rtl/>
          <w:lang w:eastAsia="he-IL"/>
        </w:rPr>
        <w:t xml:space="preserve">ה כי היא הסבירה, כי בעיניו היא החלטה ראויה ונכונה </w:t>
      </w:r>
      <w:bookmarkStart w:id="25" w:name="_ETM_Q1_4111059"/>
      <w:bookmarkEnd w:id="25"/>
      <w:r w:rsidRPr="003F5A54">
        <w:rPr>
          <w:rFonts w:hint="cs"/>
          <w:rtl/>
          <w:lang w:eastAsia="he-IL"/>
        </w:rPr>
        <w:t xml:space="preserve">שצריכה להתקבל במקרה הספציפי הזה, הוא </w:t>
      </w:r>
      <w:r w:rsidRPr="00440FC8">
        <w:rPr>
          <w:rFonts w:hint="cs"/>
          <w:rtl/>
          <w:lang w:eastAsia="he-IL"/>
        </w:rPr>
        <w:t>יעשה את זה</w:t>
      </w:r>
      <w:r w:rsidRPr="00440FC8">
        <w:rPr>
          <w:rFonts w:hint="cs"/>
          <w:rtl/>
        </w:rPr>
        <w:t xml:space="preserve">" (פרוטוקול ישיבה </w:t>
      </w:r>
      <w:r>
        <w:rPr>
          <w:rFonts w:hint="cs"/>
          <w:rtl/>
        </w:rPr>
        <w:t>125</w:t>
      </w:r>
      <w:r w:rsidRPr="00440FC8">
        <w:rPr>
          <w:rFonts w:hint="cs"/>
          <w:rtl/>
        </w:rPr>
        <w:t>, בעמ' 27).</w:t>
      </w:r>
    </w:p>
    <w:p w:rsidR="00C044AE" w:rsidRPr="00440FC8" w:rsidRDefault="00C044AE" w:rsidP="00C044AE">
      <w:pPr>
        <w:pStyle w:val="Ruller41"/>
        <w:rPr>
          <w:rtl/>
        </w:rPr>
      </w:pPr>
    </w:p>
    <w:p w:rsidR="00C044AE" w:rsidRPr="00440FC8" w:rsidRDefault="00C044AE" w:rsidP="00C044AE">
      <w:pPr>
        <w:pStyle w:val="Ruller41"/>
        <w:rPr>
          <w:rtl/>
        </w:rPr>
      </w:pPr>
      <w:r w:rsidRPr="00440FC8">
        <w:rPr>
          <w:rtl/>
        </w:rPr>
        <w:tab/>
      </w:r>
      <w:r w:rsidRPr="00440FC8">
        <w:rPr>
          <w:rFonts w:hint="cs"/>
          <w:rtl/>
        </w:rPr>
        <w:t>משיבי הממשלה מבהירים אף הם כי לגישתם "אם נטל שר את סמכותו של גורם אחר [...] הרי שמדובר בהחלטה שקיבל שר בגדרי סמכותו ולא תהיה עליה ביקורת שיפוטית בעילת הסבירות" (פסקה 46 להשלמת הטיעון מטעמם; ראו גם עמדתה הדומה של הכנסת בפסקה 28 להשלמת הטיעון מטעמה). הם אף מוסיפים וטוענים כי "אם קבע שר מדיניות בגדרי סמכותו, החלטה פרטנית שניתנה כתוצאה ישירה ממדיניות זו איננה נתונה לביקורת שיפוטית בעילת הסבירות</w:t>
      </w:r>
      <w:r>
        <w:rPr>
          <w:rFonts w:hint="cs"/>
          <w:rtl/>
        </w:rPr>
        <w:t>"</w:t>
      </w:r>
      <w:r w:rsidRPr="00440FC8">
        <w:rPr>
          <w:rFonts w:hint="cs"/>
          <w:rtl/>
        </w:rPr>
        <w:t xml:space="preserve"> (</w:t>
      </w:r>
      <w:r w:rsidRPr="00440FC8">
        <w:rPr>
          <w:rFonts w:ascii="Century" w:hAnsi="Century" w:cs="Miriam" w:hint="cs"/>
          <w:b/>
          <w:spacing w:val="0"/>
          <w:szCs w:val="24"/>
          <w:rtl/>
        </w:rPr>
        <w:t>שם</w:t>
      </w:r>
      <w:r w:rsidRPr="00440FC8">
        <w:rPr>
          <w:rFonts w:hint="cs"/>
          <w:rtl/>
        </w:rPr>
        <w:t xml:space="preserve">). כמו כן, יש לזכור כי ניתן לשנות את החוק באופן שירחיב את הסמכויות המצויות בידי שרים (היועצת מציגה כדוגמה בהקשר זה את </w:t>
      </w:r>
      <w:r w:rsidRPr="00440FC8">
        <w:rPr>
          <w:rFonts w:hint="eastAsia"/>
          <w:rtl/>
        </w:rPr>
        <w:t>החוק</w:t>
      </w:r>
      <w:r w:rsidRPr="00440FC8">
        <w:rPr>
          <w:rtl/>
        </w:rPr>
        <w:t xml:space="preserve"> </w:t>
      </w:r>
      <w:r w:rsidRPr="00440FC8">
        <w:rPr>
          <w:rFonts w:hint="eastAsia"/>
          <w:rtl/>
        </w:rPr>
        <w:t>לתיקון</w:t>
      </w:r>
      <w:r w:rsidRPr="00440FC8">
        <w:rPr>
          <w:rtl/>
        </w:rPr>
        <w:t xml:space="preserve"> </w:t>
      </w:r>
      <w:r w:rsidRPr="00440FC8">
        <w:rPr>
          <w:rFonts w:hint="eastAsia"/>
          <w:rtl/>
        </w:rPr>
        <w:t>פקודת</w:t>
      </w:r>
      <w:r w:rsidRPr="00440FC8">
        <w:rPr>
          <w:rtl/>
        </w:rPr>
        <w:t xml:space="preserve"> </w:t>
      </w:r>
      <w:r w:rsidRPr="00440FC8">
        <w:rPr>
          <w:rFonts w:hint="eastAsia"/>
          <w:rtl/>
        </w:rPr>
        <w:t>המשטרה</w:t>
      </w:r>
      <w:r w:rsidRPr="00440FC8">
        <w:rPr>
          <w:rtl/>
        </w:rPr>
        <w:t xml:space="preserve"> (</w:t>
      </w:r>
      <w:r w:rsidRPr="00440FC8">
        <w:rPr>
          <w:rFonts w:hint="eastAsia"/>
          <w:rtl/>
        </w:rPr>
        <w:t>מס</w:t>
      </w:r>
      <w:r w:rsidRPr="00440FC8">
        <w:rPr>
          <w:rtl/>
        </w:rPr>
        <w:t xml:space="preserve">' 37), </w:t>
      </w:r>
      <w:r w:rsidRPr="00440FC8">
        <w:rPr>
          <w:rFonts w:hint="eastAsia"/>
          <w:rtl/>
        </w:rPr>
        <w:t>התשפ</w:t>
      </w:r>
      <w:r w:rsidRPr="00440FC8">
        <w:rPr>
          <w:rtl/>
        </w:rPr>
        <w:t>"</w:t>
      </w:r>
      <w:r w:rsidRPr="00440FC8">
        <w:rPr>
          <w:rFonts w:hint="eastAsia"/>
          <w:rtl/>
        </w:rPr>
        <w:t>ג</w:t>
      </w:r>
      <w:r w:rsidRPr="00440FC8">
        <w:rPr>
          <w:rtl/>
        </w:rPr>
        <w:t>-2022</w:t>
      </w:r>
      <w:r w:rsidRPr="00440FC8">
        <w:rPr>
          <w:rFonts w:hint="cs"/>
          <w:rtl/>
        </w:rPr>
        <w:t xml:space="preserve"> שהרחיב לאחרונה את סמכויות השר לביטחון לאומי ובעניינו תלוי ועומד הליך בבית משפט זה </w:t>
      </w:r>
      <w:r w:rsidRPr="00440FC8">
        <w:rPr>
          <w:rtl/>
        </w:rPr>
        <w:t>–</w:t>
      </w:r>
      <w:r w:rsidRPr="00440FC8">
        <w:rPr>
          <w:rFonts w:hint="cs"/>
          <w:rtl/>
        </w:rPr>
        <w:t xml:space="preserve"> בג"ץ 8987/22 </w:t>
      </w:r>
      <w:r w:rsidRPr="00440FC8">
        <w:rPr>
          <w:rFonts w:ascii="Century" w:hAnsi="Century" w:cs="Miriam" w:hint="cs"/>
          <w:b/>
          <w:spacing w:val="0"/>
          <w:szCs w:val="24"/>
          <w:rtl/>
        </w:rPr>
        <w:t>התנועה למען איכות השלטון בישראל נ' הכנסת</w:t>
      </w:r>
      <w:r>
        <w:rPr>
          <w:rFonts w:hint="cs"/>
          <w:rtl/>
        </w:rPr>
        <w:t>).</w:t>
      </w:r>
      <w:r w:rsidRPr="00440FC8">
        <w:rPr>
          <w:rFonts w:hint="cs"/>
          <w:rtl/>
        </w:rPr>
        <w:t xml:space="preserve"> בכל האמור יש כדי להמחיש את ההשפעה רחבת ההיקף של התיקון אף מעבר לסמכויות הספציפיות המוקנות כיום בחוק לממשלה ולשרים. </w:t>
      </w:r>
    </w:p>
    <w:p w:rsidR="00C044AE" w:rsidRPr="00440FC8" w:rsidRDefault="00C044AE" w:rsidP="00C044AE">
      <w:pPr>
        <w:pStyle w:val="Ruller41"/>
        <w:rPr>
          <w:rtl/>
        </w:rPr>
      </w:pPr>
    </w:p>
    <w:p w:rsidR="00C044AE" w:rsidRPr="00A7663F" w:rsidRDefault="00C044AE" w:rsidP="00C044AE">
      <w:pPr>
        <w:pStyle w:val="Ruller4"/>
      </w:pPr>
      <w:r w:rsidRPr="00440FC8">
        <w:rPr>
          <w:rFonts w:hint="cs"/>
          <w:rtl/>
        </w:rPr>
        <w:t xml:space="preserve">הביקורת השיפוטית על החלטות רשויות השלטון, ובכללן הממשלה ושריה, היא "אבן פינה בדמוקרטיה המכבדת את שלטון החוק" (עניין </w:t>
      </w:r>
      <w:r w:rsidRPr="00440FC8">
        <w:rPr>
          <w:rFonts w:ascii="Century" w:hAnsi="Century" w:cs="Miriam" w:hint="cs"/>
          <w:b/>
          <w:spacing w:val="0"/>
          <w:sz w:val="22"/>
          <w:szCs w:val="24"/>
          <w:rtl/>
        </w:rPr>
        <w:t>הנגבי 2003</w:t>
      </w:r>
      <w:r w:rsidRPr="00440FC8">
        <w:rPr>
          <w:rFonts w:hint="cs"/>
          <w:rtl/>
        </w:rPr>
        <w:t>, בעמ' 835-834). בחינת משמעויות התיקון לעומקן מלמדת כי שלילת הביקורת השיפוטית ביחס לסבירות החלטות הממשלה ושריה</w:t>
      </w:r>
      <w:r>
        <w:rPr>
          <w:rFonts w:hint="cs"/>
          <w:rtl/>
        </w:rPr>
        <w:t>,</w:t>
      </w:r>
      <w:r w:rsidRPr="00440FC8">
        <w:rPr>
          <w:rFonts w:hint="cs"/>
          <w:rtl/>
        </w:rPr>
        <w:t xml:space="preserve"> מובילה להשלכות הרסניות ופוגעת בלב ליבו של עקרון</w:t>
      </w:r>
      <w:r>
        <w:rPr>
          <w:rFonts w:hint="cs"/>
          <w:rtl/>
        </w:rPr>
        <w:t xml:space="preserve"> שלטון החוק. מדובר בפגיעה אנושה ורב-מימדית: התיקון מוביל בפועל לכך שהממשלה ושריה מצויים "מעל הדין"; הוא מייצר "חללים ריקים" של ביקורת שיפוטית ביחס לאינטרסים ציבוריים חשובים כמו תקינות המנהל וטוהר המידות בשירות הציבורי וכן ביחס להתנהלות ממשלת מעבר בתקופת בחירות; והוא מותיר פתח להעברת סמכויות נרחבת לידיהם של השרים במטרה לחסן החלטות מפיקוח שיפוטי. </w:t>
      </w:r>
    </w:p>
    <w:p w:rsidR="00C044AE" w:rsidRPr="00CC3483" w:rsidRDefault="00C044AE" w:rsidP="00C044AE">
      <w:pPr>
        <w:pStyle w:val="Ruller41"/>
      </w:pPr>
    </w:p>
    <w:p w:rsidR="00C044AE" w:rsidRPr="00B00F53" w:rsidRDefault="00C044AE" w:rsidP="00C044AE">
      <w:pPr>
        <w:pStyle w:val="Ruller41"/>
        <w:numPr>
          <w:ilvl w:val="0"/>
          <w:numId w:val="6"/>
        </w:numPr>
        <w:outlineLvl w:val="1"/>
        <w:rPr>
          <w:rFonts w:ascii="Garamond" w:hAnsi="Garamond" w:cs="Miriam"/>
          <w:b/>
          <w:spacing w:val="0"/>
          <w:szCs w:val="24"/>
          <w:rtl/>
        </w:rPr>
      </w:pPr>
      <w:r>
        <w:rPr>
          <w:rFonts w:ascii="Garamond" w:hAnsi="Garamond" w:cs="Miriam" w:hint="cs"/>
          <w:b/>
          <w:spacing w:val="0"/>
          <w:szCs w:val="24"/>
          <w:rtl/>
        </w:rPr>
        <w:t>תיקון מס' 3 לחוק-יסוד: השפיטה</w:t>
      </w:r>
      <w:r w:rsidRPr="00B00F53">
        <w:rPr>
          <w:rFonts w:ascii="Garamond" w:hAnsi="Garamond" w:cs="Miriam" w:hint="cs"/>
          <w:b/>
          <w:spacing w:val="0"/>
          <w:szCs w:val="24"/>
          <w:rtl/>
        </w:rPr>
        <w:t xml:space="preserve"> מהווה חריגה מהסמכות המכוננת</w:t>
      </w:r>
    </w:p>
    <w:p w:rsidR="00C044AE" w:rsidRDefault="00C044AE" w:rsidP="00C044AE">
      <w:pPr>
        <w:pStyle w:val="Ruller4"/>
        <w:numPr>
          <w:ilvl w:val="0"/>
          <w:numId w:val="0"/>
        </w:numPr>
        <w:rPr>
          <w:rtl/>
        </w:rPr>
      </w:pPr>
    </w:p>
    <w:p w:rsidR="00C044AE" w:rsidRDefault="00C044AE" w:rsidP="00C044AE">
      <w:pPr>
        <w:pStyle w:val="Ruller4"/>
        <w:rPr>
          <w:rtl/>
        </w:rPr>
      </w:pPr>
      <w:r>
        <w:rPr>
          <w:rFonts w:hint="cs"/>
          <w:rtl/>
        </w:rPr>
        <w:t xml:space="preserve">תיקון מס' 3 לחוק-יסוד: השפיטה הוא תיקון קיצוני וחריג בכל קנה מידה. אין לו אח ורע בהיסטוריה החוקתית שלנו והוא מתנגש חזיתית בליבת שניים ממאפייניה </w:t>
      </w:r>
      <w:r>
        <w:rPr>
          <w:rFonts w:hint="cs"/>
          <w:rtl/>
        </w:rPr>
        <w:lastRenderedPageBreak/>
        <w:t xml:space="preserve">הגרעיניים של מדינת ישראל כמדינה דמוקרטית. יפים לעניין זה דברים שכתב השופט </w:t>
      </w:r>
      <w:r w:rsidRPr="00C04AAF">
        <w:rPr>
          <w:rFonts w:ascii="Century" w:hAnsi="Century" w:cs="Miriam" w:hint="cs"/>
          <w:b/>
          <w:spacing w:val="0"/>
          <w:sz w:val="22"/>
          <w:szCs w:val="24"/>
          <w:rtl/>
        </w:rPr>
        <w:t>ריבלין</w:t>
      </w:r>
      <w:r w:rsidRPr="00C04AAF">
        <w:rPr>
          <w:rFonts w:hint="cs"/>
          <w:rtl/>
        </w:rPr>
        <w:t xml:space="preserve"> </w:t>
      </w:r>
      <w:r>
        <w:rPr>
          <w:rFonts w:hint="cs"/>
          <w:rtl/>
        </w:rPr>
        <w:t xml:space="preserve">לפני כשני עשורים: </w:t>
      </w:r>
    </w:p>
    <w:p w:rsidR="00C044AE" w:rsidRDefault="00C044AE" w:rsidP="00C044AE">
      <w:pPr>
        <w:pStyle w:val="Ruller41"/>
        <w:rPr>
          <w:rtl/>
        </w:rPr>
      </w:pPr>
    </w:p>
    <w:p w:rsidR="00C044AE" w:rsidRDefault="00C044AE" w:rsidP="00C044AE">
      <w:pPr>
        <w:pStyle w:val="Ruller5"/>
        <w:rPr>
          <w:rtl/>
        </w:rPr>
      </w:pPr>
      <w:r w:rsidRPr="00C04AAF">
        <w:rPr>
          <w:rFonts w:hint="cs"/>
          <w:rtl/>
        </w:rPr>
        <w:t>"</w:t>
      </w:r>
      <w:r w:rsidRPr="00C04AAF">
        <w:rPr>
          <w:rFonts w:hint="eastAsia"/>
          <w:rtl/>
        </w:rPr>
        <w:t>שלטון</w:t>
      </w:r>
      <w:r w:rsidRPr="00C04AAF">
        <w:rPr>
          <w:rtl/>
        </w:rPr>
        <w:t xml:space="preserve"> </w:t>
      </w:r>
      <w:r w:rsidRPr="00C04AAF">
        <w:rPr>
          <w:rFonts w:hint="eastAsia"/>
          <w:rtl/>
        </w:rPr>
        <w:t>החוק</w:t>
      </w:r>
      <w:r w:rsidRPr="00C04AAF">
        <w:rPr>
          <w:rtl/>
        </w:rPr>
        <w:t xml:space="preserve">, </w:t>
      </w:r>
      <w:r w:rsidRPr="00C04AAF">
        <w:rPr>
          <w:rFonts w:hint="eastAsia"/>
          <w:rtl/>
        </w:rPr>
        <w:t>הפרדת</w:t>
      </w:r>
      <w:r w:rsidRPr="00C04AAF">
        <w:rPr>
          <w:rtl/>
        </w:rPr>
        <w:t xml:space="preserve"> </w:t>
      </w:r>
      <w:r w:rsidRPr="00C04AAF">
        <w:rPr>
          <w:rFonts w:hint="eastAsia"/>
          <w:rtl/>
        </w:rPr>
        <w:t>הרשויות</w:t>
      </w:r>
      <w:r w:rsidRPr="00C04AAF">
        <w:rPr>
          <w:rtl/>
        </w:rPr>
        <w:t xml:space="preserve"> </w:t>
      </w:r>
      <w:r w:rsidRPr="00C04AAF">
        <w:rPr>
          <w:rFonts w:hint="eastAsia"/>
          <w:rtl/>
        </w:rPr>
        <w:t>תוך</w:t>
      </w:r>
      <w:r w:rsidRPr="00C04AAF">
        <w:rPr>
          <w:rtl/>
        </w:rPr>
        <w:t xml:space="preserve"> </w:t>
      </w:r>
      <w:r w:rsidRPr="00C04AAF">
        <w:rPr>
          <w:rFonts w:hint="eastAsia"/>
          <w:rtl/>
        </w:rPr>
        <w:t>איזונים</w:t>
      </w:r>
      <w:r w:rsidRPr="00C04AAF">
        <w:rPr>
          <w:rtl/>
        </w:rPr>
        <w:t xml:space="preserve"> </w:t>
      </w:r>
      <w:r w:rsidRPr="00C04AAF">
        <w:rPr>
          <w:rFonts w:hint="eastAsia"/>
          <w:rtl/>
        </w:rPr>
        <w:t>ובלמים</w:t>
      </w:r>
      <w:r w:rsidRPr="00C04AAF">
        <w:rPr>
          <w:rtl/>
        </w:rPr>
        <w:t xml:space="preserve"> </w:t>
      </w:r>
      <w:r w:rsidRPr="00C04AAF">
        <w:rPr>
          <w:rFonts w:hint="eastAsia"/>
          <w:rtl/>
        </w:rPr>
        <w:t>ביניהן</w:t>
      </w:r>
      <w:r w:rsidRPr="00C04AAF">
        <w:rPr>
          <w:rtl/>
        </w:rPr>
        <w:t xml:space="preserve">, </w:t>
      </w:r>
      <w:r w:rsidRPr="00C04AAF">
        <w:rPr>
          <w:rFonts w:hint="eastAsia"/>
          <w:rtl/>
        </w:rPr>
        <w:t>סמכות</w:t>
      </w:r>
      <w:r w:rsidRPr="00C04AAF">
        <w:rPr>
          <w:rtl/>
        </w:rPr>
        <w:t xml:space="preserve"> </w:t>
      </w:r>
      <w:r w:rsidRPr="00C04AAF">
        <w:rPr>
          <w:rFonts w:hint="eastAsia"/>
          <w:rtl/>
        </w:rPr>
        <w:t>הביקורת</w:t>
      </w:r>
      <w:r w:rsidRPr="00C04AAF">
        <w:rPr>
          <w:rtl/>
        </w:rPr>
        <w:t xml:space="preserve"> </w:t>
      </w:r>
      <w:r w:rsidRPr="00C04AAF">
        <w:rPr>
          <w:rFonts w:hint="eastAsia"/>
          <w:rtl/>
        </w:rPr>
        <w:t>השיפוטית</w:t>
      </w:r>
      <w:r w:rsidRPr="00C04AAF">
        <w:rPr>
          <w:rtl/>
        </w:rPr>
        <w:t xml:space="preserve"> </w:t>
      </w:r>
      <w:r w:rsidRPr="00C04AAF">
        <w:rPr>
          <w:rFonts w:hint="eastAsia"/>
          <w:rtl/>
        </w:rPr>
        <w:t>וכן</w:t>
      </w:r>
      <w:r w:rsidRPr="00C04AAF">
        <w:rPr>
          <w:rtl/>
        </w:rPr>
        <w:t xml:space="preserve"> </w:t>
      </w:r>
      <w:r w:rsidRPr="00C04AAF">
        <w:rPr>
          <w:rFonts w:hint="eastAsia"/>
          <w:rtl/>
        </w:rPr>
        <w:t>מנגנוני</w:t>
      </w:r>
      <w:r w:rsidRPr="00C04AAF">
        <w:rPr>
          <w:rtl/>
        </w:rPr>
        <w:t xml:space="preserve"> </w:t>
      </w:r>
      <w:r w:rsidRPr="00C04AAF">
        <w:rPr>
          <w:rFonts w:hint="eastAsia"/>
          <w:rtl/>
        </w:rPr>
        <w:t>הביקורת</w:t>
      </w:r>
      <w:r w:rsidRPr="00C04AAF">
        <w:rPr>
          <w:rtl/>
        </w:rPr>
        <w:t xml:space="preserve"> </w:t>
      </w:r>
      <w:r w:rsidRPr="00C04AAF">
        <w:rPr>
          <w:rFonts w:hint="eastAsia"/>
          <w:rtl/>
        </w:rPr>
        <w:t>הדמוקרטיים</w:t>
      </w:r>
      <w:r w:rsidRPr="00C04AAF">
        <w:rPr>
          <w:rtl/>
        </w:rPr>
        <w:t xml:space="preserve"> </w:t>
      </w:r>
      <w:r w:rsidRPr="00C04AAF">
        <w:rPr>
          <w:rFonts w:hint="eastAsia"/>
          <w:rtl/>
        </w:rPr>
        <w:t>הנוספים</w:t>
      </w:r>
      <w:r w:rsidRPr="00C04AAF">
        <w:rPr>
          <w:rtl/>
        </w:rPr>
        <w:t xml:space="preserve"> – </w:t>
      </w:r>
      <w:r w:rsidRPr="00C04AAF">
        <w:rPr>
          <w:rFonts w:hint="eastAsia"/>
          <w:rtl/>
        </w:rPr>
        <w:t>ניצבים</w:t>
      </w:r>
      <w:r w:rsidRPr="00C04AAF">
        <w:rPr>
          <w:rtl/>
        </w:rPr>
        <w:t xml:space="preserve"> </w:t>
      </w:r>
      <w:r w:rsidRPr="00C04AAF">
        <w:rPr>
          <w:rFonts w:hint="eastAsia"/>
          <w:rtl/>
        </w:rPr>
        <w:t>כעמודי</w:t>
      </w:r>
      <w:r w:rsidRPr="00C04AAF">
        <w:rPr>
          <w:rtl/>
        </w:rPr>
        <w:t xml:space="preserve"> </w:t>
      </w:r>
      <w:r w:rsidRPr="00C04AAF">
        <w:rPr>
          <w:rFonts w:hint="eastAsia"/>
          <w:rtl/>
        </w:rPr>
        <w:t>תווך</w:t>
      </w:r>
      <w:r w:rsidRPr="00C04AAF">
        <w:rPr>
          <w:rtl/>
        </w:rPr>
        <w:t xml:space="preserve"> </w:t>
      </w:r>
      <w:r w:rsidRPr="00C04AAF">
        <w:rPr>
          <w:rFonts w:hint="eastAsia"/>
          <w:rtl/>
        </w:rPr>
        <w:t>במשטר</w:t>
      </w:r>
      <w:r w:rsidRPr="00C04AAF">
        <w:rPr>
          <w:rtl/>
        </w:rPr>
        <w:t xml:space="preserve"> </w:t>
      </w:r>
      <w:r w:rsidRPr="00C04AAF">
        <w:rPr>
          <w:rFonts w:hint="eastAsia"/>
          <w:rtl/>
        </w:rPr>
        <w:t>הדמוקרטי</w:t>
      </w:r>
      <w:r w:rsidRPr="00C04AAF">
        <w:rPr>
          <w:rtl/>
        </w:rPr>
        <w:t xml:space="preserve">. </w:t>
      </w:r>
      <w:r w:rsidRPr="00C04AAF">
        <w:rPr>
          <w:rFonts w:hint="eastAsia"/>
          <w:rtl/>
        </w:rPr>
        <w:t>הם</w:t>
      </w:r>
      <w:r w:rsidRPr="00C04AAF">
        <w:rPr>
          <w:rtl/>
        </w:rPr>
        <w:t xml:space="preserve"> </w:t>
      </w:r>
      <w:r w:rsidRPr="00C04AAF">
        <w:rPr>
          <w:rFonts w:hint="eastAsia"/>
          <w:rtl/>
        </w:rPr>
        <w:t>תנאי</w:t>
      </w:r>
      <w:r w:rsidRPr="00C04AAF">
        <w:rPr>
          <w:rtl/>
        </w:rPr>
        <w:t>-</w:t>
      </w:r>
      <w:r w:rsidRPr="00C04AAF">
        <w:rPr>
          <w:rFonts w:hint="eastAsia"/>
          <w:rtl/>
        </w:rPr>
        <w:t>בלעדיו</w:t>
      </w:r>
      <w:r w:rsidRPr="00C04AAF">
        <w:rPr>
          <w:rtl/>
        </w:rPr>
        <w:t>-</w:t>
      </w:r>
      <w:r w:rsidRPr="00C04AAF">
        <w:rPr>
          <w:rFonts w:hint="eastAsia"/>
          <w:rtl/>
        </w:rPr>
        <w:t>אין</w:t>
      </w:r>
      <w:r w:rsidRPr="00C04AAF">
        <w:rPr>
          <w:rtl/>
        </w:rPr>
        <w:t xml:space="preserve"> </w:t>
      </w:r>
      <w:r w:rsidRPr="00C04AAF">
        <w:rPr>
          <w:rFonts w:hint="eastAsia"/>
          <w:rtl/>
        </w:rPr>
        <w:t>לשמירת</w:t>
      </w:r>
      <w:r w:rsidRPr="00C04AAF">
        <w:rPr>
          <w:rtl/>
        </w:rPr>
        <w:t xml:space="preserve"> </w:t>
      </w:r>
      <w:r w:rsidRPr="00C04AAF">
        <w:rPr>
          <w:rFonts w:hint="eastAsia"/>
          <w:rtl/>
        </w:rPr>
        <w:t>זכויות</w:t>
      </w:r>
      <w:r w:rsidRPr="00C04AAF">
        <w:rPr>
          <w:rtl/>
        </w:rPr>
        <w:t xml:space="preserve"> </w:t>
      </w:r>
      <w:r w:rsidRPr="00C04AAF">
        <w:rPr>
          <w:rFonts w:hint="eastAsia"/>
          <w:rtl/>
        </w:rPr>
        <w:t>האדם</w:t>
      </w:r>
      <w:r w:rsidRPr="00C04AAF">
        <w:rPr>
          <w:rtl/>
        </w:rPr>
        <w:t xml:space="preserve">, </w:t>
      </w:r>
      <w:r w:rsidRPr="00C04AAF">
        <w:rPr>
          <w:rFonts w:hint="eastAsia"/>
          <w:rtl/>
        </w:rPr>
        <w:t>ואלה</w:t>
      </w:r>
      <w:r w:rsidRPr="00C04AAF">
        <w:rPr>
          <w:rtl/>
        </w:rPr>
        <w:t xml:space="preserve"> </w:t>
      </w:r>
      <w:r w:rsidRPr="00C04AAF">
        <w:rPr>
          <w:rFonts w:hint="eastAsia"/>
          <w:rtl/>
        </w:rPr>
        <w:t>הן</w:t>
      </w:r>
      <w:r w:rsidRPr="00C04AAF">
        <w:rPr>
          <w:rtl/>
        </w:rPr>
        <w:t xml:space="preserve"> </w:t>
      </w:r>
      <w:r w:rsidRPr="00C04AAF">
        <w:rPr>
          <w:rFonts w:hint="eastAsia"/>
          <w:rtl/>
        </w:rPr>
        <w:t>גרעין</w:t>
      </w:r>
      <w:r w:rsidRPr="00C04AAF">
        <w:rPr>
          <w:rtl/>
        </w:rPr>
        <w:t xml:space="preserve"> </w:t>
      </w:r>
      <w:r w:rsidRPr="00C04AAF">
        <w:rPr>
          <w:rFonts w:hint="eastAsia"/>
          <w:rtl/>
        </w:rPr>
        <w:t>המשטר</w:t>
      </w:r>
      <w:r w:rsidRPr="00C04AAF">
        <w:rPr>
          <w:rtl/>
        </w:rPr>
        <w:t xml:space="preserve"> </w:t>
      </w:r>
      <w:r w:rsidRPr="00C04AAF">
        <w:rPr>
          <w:rFonts w:hint="eastAsia"/>
          <w:rtl/>
        </w:rPr>
        <w:t>הדמוקרטי</w:t>
      </w:r>
      <w:r w:rsidRPr="00C04AAF">
        <w:rPr>
          <w:rtl/>
        </w:rPr>
        <w:t xml:space="preserve">, </w:t>
      </w:r>
      <w:r w:rsidRPr="00C04AAF">
        <w:rPr>
          <w:rFonts w:hint="eastAsia"/>
          <w:rtl/>
        </w:rPr>
        <w:t>החותר</w:t>
      </w:r>
      <w:r w:rsidRPr="00C04AAF">
        <w:rPr>
          <w:rtl/>
        </w:rPr>
        <w:t xml:space="preserve"> </w:t>
      </w:r>
      <w:r w:rsidRPr="00C04AAF">
        <w:rPr>
          <w:rFonts w:hint="eastAsia"/>
          <w:rtl/>
        </w:rPr>
        <w:t>לקידום</w:t>
      </w:r>
      <w:r w:rsidRPr="00C04AAF">
        <w:rPr>
          <w:rtl/>
        </w:rPr>
        <w:t xml:space="preserve"> </w:t>
      </w:r>
      <w:r w:rsidRPr="00C04AAF">
        <w:rPr>
          <w:rFonts w:hint="eastAsia"/>
          <w:rtl/>
        </w:rPr>
        <w:t>טובת</w:t>
      </w:r>
      <w:r w:rsidRPr="00C04AAF">
        <w:rPr>
          <w:rtl/>
        </w:rPr>
        <w:t xml:space="preserve"> </w:t>
      </w:r>
      <w:r w:rsidRPr="00C04AAF">
        <w:rPr>
          <w:rFonts w:hint="eastAsia"/>
          <w:rtl/>
        </w:rPr>
        <w:t>האדם</w:t>
      </w:r>
      <w:r>
        <w:rPr>
          <w:rFonts w:hint="cs"/>
          <w:rtl/>
        </w:rPr>
        <w:t>.</w:t>
      </w:r>
    </w:p>
    <w:p w:rsidR="00C044AE" w:rsidRDefault="00C044AE" w:rsidP="00C044AE">
      <w:pPr>
        <w:pStyle w:val="Ruller5"/>
        <w:rPr>
          <w:rtl/>
        </w:rPr>
      </w:pPr>
    </w:p>
    <w:p w:rsidR="00C044AE" w:rsidRDefault="00C044AE" w:rsidP="00C044AE">
      <w:pPr>
        <w:pStyle w:val="Ruller5"/>
        <w:rPr>
          <w:rFonts w:ascii="Garamond" w:hAnsi="Garamond"/>
          <w:rtl/>
        </w:rPr>
      </w:pPr>
      <w:r w:rsidRPr="00A7663F">
        <w:rPr>
          <w:rStyle w:val="Ruller50"/>
          <w:rtl/>
        </w:rPr>
        <w:t>בשל כל אלה נאמר, ולא פעם, כי בית משפט זה מופקד על חוקיות</w:t>
      </w:r>
      <w:r>
        <w:rPr>
          <w:rStyle w:val="Ruller50"/>
          <w:rFonts w:hint="cs"/>
          <w:rtl/>
        </w:rPr>
        <w:t>ה</w:t>
      </w:r>
      <w:r w:rsidRPr="00A7663F">
        <w:rPr>
          <w:rStyle w:val="Ruller50"/>
          <w:rtl/>
        </w:rPr>
        <w:t xml:space="preserve"> וסבירות</w:t>
      </w:r>
      <w:r>
        <w:rPr>
          <w:rStyle w:val="Ruller50"/>
          <w:rFonts w:hint="cs"/>
          <w:rtl/>
        </w:rPr>
        <w:t>ה של</w:t>
      </w:r>
      <w:r w:rsidRPr="00A7663F">
        <w:rPr>
          <w:rStyle w:val="Ruller50"/>
          <w:rtl/>
        </w:rPr>
        <w:t xml:space="preserve"> פעולתן של רשויות השלטון במדינה [...] </w:t>
      </w:r>
      <w:r w:rsidRPr="00A7663F">
        <w:rPr>
          <w:rStyle w:val="Ruller50"/>
          <w:rFonts w:hint="eastAsia"/>
          <w:rtl/>
        </w:rPr>
        <w:t>סמכות</w:t>
      </w:r>
      <w:r w:rsidRPr="00A7663F">
        <w:rPr>
          <w:rStyle w:val="Ruller50"/>
          <w:rtl/>
        </w:rPr>
        <w:t xml:space="preserve"> </w:t>
      </w:r>
      <w:r w:rsidRPr="00A7663F">
        <w:rPr>
          <w:rStyle w:val="Ruller50"/>
          <w:rFonts w:hint="eastAsia"/>
          <w:rtl/>
        </w:rPr>
        <w:t>השיפוט</w:t>
      </w:r>
      <w:r w:rsidRPr="00A7663F">
        <w:rPr>
          <w:rStyle w:val="Ruller50"/>
          <w:rtl/>
        </w:rPr>
        <w:t xml:space="preserve"> </w:t>
      </w:r>
      <w:r w:rsidRPr="00A227E9">
        <w:rPr>
          <w:rStyle w:val="Ruller50"/>
          <w:rFonts w:hint="eastAsia"/>
          <w:rtl/>
        </w:rPr>
        <w:t>והביקורת</w:t>
      </w:r>
      <w:r w:rsidRPr="00A227E9">
        <w:rPr>
          <w:rStyle w:val="Ruller50"/>
          <w:rtl/>
        </w:rPr>
        <w:t xml:space="preserve"> </w:t>
      </w:r>
      <w:r w:rsidRPr="00A227E9">
        <w:rPr>
          <w:rStyle w:val="Ruller50"/>
          <w:rFonts w:hint="eastAsia"/>
          <w:rtl/>
        </w:rPr>
        <w:t>של</w:t>
      </w:r>
      <w:r w:rsidRPr="00A227E9">
        <w:rPr>
          <w:rStyle w:val="Ruller50"/>
          <w:rtl/>
        </w:rPr>
        <w:t xml:space="preserve"> </w:t>
      </w:r>
      <w:r w:rsidRPr="00A227E9">
        <w:rPr>
          <w:rStyle w:val="Ruller50"/>
          <w:rFonts w:hint="eastAsia"/>
          <w:rtl/>
        </w:rPr>
        <w:t>בית</w:t>
      </w:r>
      <w:r w:rsidRPr="00A227E9">
        <w:rPr>
          <w:rStyle w:val="Ruller50"/>
          <w:rtl/>
        </w:rPr>
        <w:t>-</w:t>
      </w:r>
      <w:r w:rsidRPr="00A227E9">
        <w:rPr>
          <w:rStyle w:val="Ruller50"/>
          <w:rFonts w:hint="eastAsia"/>
          <w:rtl/>
        </w:rPr>
        <w:t>המשפט</w:t>
      </w:r>
      <w:r w:rsidRPr="00A227E9">
        <w:rPr>
          <w:rStyle w:val="Ruller50"/>
          <w:rtl/>
        </w:rPr>
        <w:t xml:space="preserve"> </w:t>
      </w:r>
      <w:r w:rsidRPr="00A227E9">
        <w:rPr>
          <w:rStyle w:val="Ruller50"/>
          <w:rFonts w:hint="eastAsia"/>
          <w:rtl/>
        </w:rPr>
        <w:t>על</w:t>
      </w:r>
      <w:r w:rsidRPr="00A227E9">
        <w:rPr>
          <w:rStyle w:val="Ruller50"/>
          <w:rtl/>
        </w:rPr>
        <w:t xml:space="preserve"> </w:t>
      </w:r>
      <w:r w:rsidRPr="00A227E9">
        <w:rPr>
          <w:rStyle w:val="Ruller50"/>
          <w:rFonts w:hint="eastAsia"/>
          <w:rtl/>
        </w:rPr>
        <w:t>מעשיהם</w:t>
      </w:r>
      <w:r w:rsidRPr="00A227E9">
        <w:rPr>
          <w:rStyle w:val="Ruller50"/>
          <w:rtl/>
        </w:rPr>
        <w:t xml:space="preserve"> </w:t>
      </w:r>
      <w:r w:rsidRPr="00A227E9">
        <w:rPr>
          <w:rStyle w:val="Ruller50"/>
          <w:rFonts w:hint="eastAsia"/>
          <w:rtl/>
        </w:rPr>
        <w:t>של</w:t>
      </w:r>
      <w:r w:rsidRPr="00A227E9">
        <w:rPr>
          <w:rStyle w:val="Ruller50"/>
          <w:rtl/>
        </w:rPr>
        <w:t xml:space="preserve"> </w:t>
      </w:r>
      <w:r w:rsidRPr="00A227E9">
        <w:rPr>
          <w:rStyle w:val="Ruller50"/>
          <w:rFonts w:hint="eastAsia"/>
          <w:rtl/>
        </w:rPr>
        <w:t>גופי</w:t>
      </w:r>
      <w:r w:rsidRPr="00A227E9">
        <w:rPr>
          <w:rStyle w:val="Ruller50"/>
          <w:rtl/>
        </w:rPr>
        <w:t xml:space="preserve"> </w:t>
      </w:r>
      <w:r w:rsidRPr="00A227E9">
        <w:rPr>
          <w:rStyle w:val="Ruller50"/>
          <w:rFonts w:hint="eastAsia"/>
          <w:rtl/>
        </w:rPr>
        <w:t>השלטון</w:t>
      </w:r>
      <w:r w:rsidRPr="00A227E9">
        <w:rPr>
          <w:rStyle w:val="Ruller50"/>
          <w:rtl/>
        </w:rPr>
        <w:t xml:space="preserve"> </w:t>
      </w:r>
      <w:r w:rsidRPr="00A227E9">
        <w:rPr>
          <w:rStyle w:val="Ruller50"/>
          <w:rFonts w:hint="eastAsia"/>
          <w:rtl/>
        </w:rPr>
        <w:t>היא</w:t>
      </w:r>
      <w:r w:rsidRPr="00A227E9">
        <w:rPr>
          <w:rStyle w:val="Ruller50"/>
          <w:rtl/>
        </w:rPr>
        <w:t xml:space="preserve"> '</w:t>
      </w:r>
      <w:r w:rsidRPr="00A227E9">
        <w:rPr>
          <w:rStyle w:val="Ruller50"/>
          <w:rFonts w:hint="eastAsia"/>
          <w:rtl/>
        </w:rPr>
        <w:t>חלק</w:t>
      </w:r>
      <w:r w:rsidRPr="00A227E9">
        <w:rPr>
          <w:rStyle w:val="Ruller50"/>
          <w:rtl/>
        </w:rPr>
        <w:t xml:space="preserve"> </w:t>
      </w:r>
      <w:r w:rsidRPr="00A227E9">
        <w:rPr>
          <w:rStyle w:val="Ruller50"/>
          <w:rFonts w:hint="eastAsia"/>
          <w:rtl/>
        </w:rPr>
        <w:t>בלתי</w:t>
      </w:r>
      <w:r w:rsidRPr="00A227E9">
        <w:rPr>
          <w:rStyle w:val="Ruller50"/>
          <w:rtl/>
        </w:rPr>
        <w:t>-</w:t>
      </w:r>
      <w:r w:rsidRPr="00A227E9">
        <w:rPr>
          <w:rStyle w:val="Ruller50"/>
          <w:rFonts w:hint="eastAsia"/>
          <w:rtl/>
        </w:rPr>
        <w:t>נפרד</w:t>
      </w:r>
      <w:r w:rsidRPr="00A227E9">
        <w:rPr>
          <w:rStyle w:val="Ruller50"/>
          <w:rtl/>
        </w:rPr>
        <w:t xml:space="preserve"> </w:t>
      </w:r>
      <w:r w:rsidRPr="00A227E9">
        <w:rPr>
          <w:rStyle w:val="Ruller50"/>
          <w:rFonts w:hint="eastAsia"/>
          <w:rtl/>
        </w:rPr>
        <w:t>של</w:t>
      </w:r>
      <w:r w:rsidRPr="00A227E9">
        <w:rPr>
          <w:rStyle w:val="Ruller50"/>
          <w:rtl/>
        </w:rPr>
        <w:t xml:space="preserve"> </w:t>
      </w:r>
      <w:r w:rsidRPr="00A227E9">
        <w:rPr>
          <w:rStyle w:val="Ruller50"/>
          <w:rFonts w:hint="eastAsia"/>
          <w:rtl/>
        </w:rPr>
        <w:t>משטר</w:t>
      </w:r>
      <w:r w:rsidRPr="00A227E9">
        <w:rPr>
          <w:rStyle w:val="Ruller50"/>
          <w:rtl/>
        </w:rPr>
        <w:t xml:space="preserve"> </w:t>
      </w:r>
      <w:r w:rsidRPr="00A227E9">
        <w:rPr>
          <w:rStyle w:val="Ruller50"/>
          <w:rFonts w:hint="eastAsia"/>
          <w:rtl/>
        </w:rPr>
        <w:t>דמוקרטי</w:t>
      </w:r>
      <w:r w:rsidRPr="00A227E9">
        <w:rPr>
          <w:rStyle w:val="Ruller50"/>
          <w:rtl/>
        </w:rPr>
        <w:t xml:space="preserve"> </w:t>
      </w:r>
      <w:r w:rsidRPr="00A227E9">
        <w:rPr>
          <w:rStyle w:val="Ruller50"/>
          <w:rFonts w:hint="eastAsia"/>
          <w:rtl/>
        </w:rPr>
        <w:t>אמיתי</w:t>
      </w:r>
      <w:r w:rsidRPr="00A227E9">
        <w:rPr>
          <w:rStyle w:val="Ruller50"/>
          <w:rtl/>
        </w:rPr>
        <w:t xml:space="preserve">, </w:t>
      </w:r>
      <w:r w:rsidRPr="00A227E9">
        <w:rPr>
          <w:rStyle w:val="Ruller50"/>
          <w:rFonts w:hint="eastAsia"/>
          <w:rtl/>
        </w:rPr>
        <w:t>והחותר</w:t>
      </w:r>
      <w:r w:rsidRPr="00A227E9">
        <w:rPr>
          <w:rStyle w:val="Ruller50"/>
          <w:rtl/>
        </w:rPr>
        <w:t xml:space="preserve"> </w:t>
      </w:r>
      <w:r w:rsidRPr="00A227E9">
        <w:rPr>
          <w:rStyle w:val="Ruller50"/>
          <w:rFonts w:hint="eastAsia"/>
          <w:rtl/>
        </w:rPr>
        <w:t>תחתיה</w:t>
      </w:r>
      <w:r w:rsidRPr="00A227E9">
        <w:rPr>
          <w:rStyle w:val="Ruller50"/>
          <w:rtl/>
        </w:rPr>
        <w:t xml:space="preserve"> </w:t>
      </w:r>
      <w:r w:rsidRPr="00A227E9">
        <w:rPr>
          <w:rStyle w:val="Ruller50"/>
          <w:rFonts w:hint="eastAsia"/>
          <w:rtl/>
        </w:rPr>
        <w:t>עלול</w:t>
      </w:r>
      <w:r w:rsidRPr="00A227E9">
        <w:rPr>
          <w:rStyle w:val="Ruller50"/>
          <w:rtl/>
        </w:rPr>
        <w:t xml:space="preserve"> </w:t>
      </w:r>
      <w:r w:rsidRPr="00A227E9">
        <w:rPr>
          <w:rStyle w:val="Ruller50"/>
          <w:rFonts w:hint="eastAsia"/>
          <w:rtl/>
        </w:rPr>
        <w:t>לקעקע</w:t>
      </w:r>
      <w:r w:rsidRPr="00A227E9">
        <w:rPr>
          <w:rStyle w:val="Ruller50"/>
          <w:rtl/>
        </w:rPr>
        <w:t xml:space="preserve"> </w:t>
      </w:r>
      <w:r w:rsidRPr="00A227E9">
        <w:rPr>
          <w:rStyle w:val="Ruller50"/>
          <w:rFonts w:hint="eastAsia"/>
          <w:rtl/>
        </w:rPr>
        <w:t>אחד</w:t>
      </w:r>
      <w:r w:rsidRPr="00A227E9">
        <w:rPr>
          <w:rStyle w:val="Ruller50"/>
          <w:rtl/>
        </w:rPr>
        <w:t xml:space="preserve"> </w:t>
      </w:r>
      <w:r w:rsidRPr="00A227E9">
        <w:rPr>
          <w:rStyle w:val="Ruller50"/>
          <w:rFonts w:hint="eastAsia"/>
          <w:rtl/>
        </w:rPr>
        <w:t>מעמודי</w:t>
      </w:r>
      <w:r w:rsidRPr="00A227E9">
        <w:rPr>
          <w:rStyle w:val="Ruller50"/>
          <w:rtl/>
        </w:rPr>
        <w:t xml:space="preserve"> </w:t>
      </w:r>
      <w:r w:rsidRPr="00A227E9">
        <w:rPr>
          <w:rStyle w:val="Ruller50"/>
          <w:rFonts w:hint="eastAsia"/>
          <w:rtl/>
        </w:rPr>
        <w:t>התווך</w:t>
      </w:r>
      <w:r w:rsidRPr="00A227E9">
        <w:rPr>
          <w:rStyle w:val="Ruller50"/>
          <w:rtl/>
        </w:rPr>
        <w:t xml:space="preserve"> </w:t>
      </w:r>
      <w:r w:rsidRPr="00A227E9">
        <w:rPr>
          <w:rStyle w:val="Ruller50"/>
          <w:rFonts w:hint="eastAsia"/>
          <w:rtl/>
        </w:rPr>
        <w:t>של</w:t>
      </w:r>
      <w:r w:rsidRPr="00A227E9">
        <w:rPr>
          <w:rStyle w:val="Ruller50"/>
          <w:rtl/>
        </w:rPr>
        <w:t xml:space="preserve"> </w:t>
      </w:r>
      <w:r w:rsidRPr="00A227E9">
        <w:rPr>
          <w:rStyle w:val="Ruller50"/>
          <w:rFonts w:hint="eastAsia"/>
          <w:rtl/>
        </w:rPr>
        <w:t>בנין</w:t>
      </w:r>
      <w:r w:rsidRPr="00A227E9">
        <w:rPr>
          <w:rStyle w:val="Ruller50"/>
          <w:rtl/>
        </w:rPr>
        <w:t xml:space="preserve"> </w:t>
      </w:r>
      <w:r w:rsidRPr="00A227E9">
        <w:rPr>
          <w:rStyle w:val="Ruller50"/>
          <w:rFonts w:hint="eastAsia"/>
          <w:rtl/>
        </w:rPr>
        <w:t>המדינה</w:t>
      </w:r>
      <w:r w:rsidRPr="00A227E9">
        <w:rPr>
          <w:rStyle w:val="Ruller50"/>
          <w:rtl/>
        </w:rPr>
        <w:t>' [...]"</w:t>
      </w:r>
      <w:r w:rsidRPr="00A7663F">
        <w:rPr>
          <w:rStyle w:val="Ruller50"/>
          <w:rtl/>
        </w:rPr>
        <w:t xml:space="preserve"> (עניין </w:t>
      </w:r>
      <w:r w:rsidRPr="00A227E9">
        <w:rPr>
          <w:rFonts w:ascii="Miriam" w:hAnsi="Miriam" w:cs="Miriam" w:hint="eastAsia"/>
          <w:spacing w:val="0"/>
          <w:sz w:val="24"/>
          <w:szCs w:val="24"/>
          <w:rtl/>
        </w:rPr>
        <w:t>הנגבי</w:t>
      </w:r>
      <w:r w:rsidRPr="00A227E9">
        <w:rPr>
          <w:rFonts w:ascii="Miriam" w:hAnsi="Miriam" w:cs="Miriam"/>
          <w:spacing w:val="0"/>
          <w:sz w:val="24"/>
          <w:szCs w:val="24"/>
          <w:rtl/>
        </w:rPr>
        <w:t xml:space="preserve"> </w:t>
      </w:r>
      <w:r w:rsidRPr="009104EB">
        <w:rPr>
          <w:rFonts w:ascii="Miriam" w:hAnsi="Miriam" w:cs="Miriam"/>
          <w:spacing w:val="0"/>
          <w:sz w:val="24"/>
          <w:szCs w:val="24"/>
          <w:rtl/>
        </w:rPr>
        <w:t>2003</w:t>
      </w:r>
      <w:r w:rsidRPr="00A7663F">
        <w:rPr>
          <w:rStyle w:val="Ruller50"/>
          <w:rtl/>
        </w:rPr>
        <w:t>, בעמ'</w:t>
      </w:r>
      <w:r>
        <w:rPr>
          <w:rFonts w:hint="cs"/>
          <w:rtl/>
        </w:rPr>
        <w:t xml:space="preserve"> 835). </w:t>
      </w:r>
    </w:p>
    <w:p w:rsidR="00C044AE" w:rsidRDefault="00C044AE" w:rsidP="00C044AE">
      <w:pPr>
        <w:pStyle w:val="Ruller41"/>
        <w:rPr>
          <w:rtl/>
        </w:rPr>
      </w:pPr>
    </w:p>
    <w:p w:rsidR="00C044AE" w:rsidRDefault="00C044AE" w:rsidP="00C044AE">
      <w:pPr>
        <w:pStyle w:val="Ruller4"/>
        <w:rPr>
          <w:rtl/>
        </w:rPr>
      </w:pPr>
      <w:r>
        <w:rPr>
          <w:rFonts w:hint="cs"/>
          <w:rtl/>
        </w:rPr>
        <w:t xml:space="preserve">שלילת עילת הסבירות ביחס להחלטות הדרג הנבחר מעצימה באופן ניכר את הכוח המרוכז בידי הממשלה ושריה ויוצרת איום ממשי על הפרט, שדרכו לבית המשפט לצורך קבלת סעד נחסמת בשורה של מצבים שבהם עשויה להיגרם פגיעה קשה באינטרסים חשובים שלו כתוצאה ממעשי השלטון. לצד זאת, מוביל התיקון למצב שבו אף שחובת הסבירות מוסיפה לחול על כלל רשויות המנהל, הגורמים החזקים ביותר ברשות המבצעת פטורים בפועל מחובה זו, בהיעדר כל אפשרות לאוכפה עליהם. מצב זה, בו "יש דין ואין דיין", מותיר תחומים שלמים של החלטות חשובות בלא ביקורת שיפוטית אפקטיבית; מונע הגנה על אינטרסים ציבוריים כמו טוהר המידות ותקינות המנהל; ועלול להביא לשינוי מן היסוד של פני השירות הציבורי במדינה, לפגיעה קשה בעצמאות מערכת אכיפת החוק ולניצול לרעה של משאבים שלטוניים לצורך השגת יתרונות פוליטיים בתקופת בחירות. </w:t>
      </w:r>
    </w:p>
    <w:p w:rsidR="00C044AE" w:rsidRDefault="00C044AE" w:rsidP="00C044AE">
      <w:pPr>
        <w:pStyle w:val="Ruller41"/>
        <w:rPr>
          <w:rtl/>
        </w:rPr>
      </w:pPr>
    </w:p>
    <w:p w:rsidR="00C044AE" w:rsidRDefault="00C044AE" w:rsidP="00C044AE">
      <w:pPr>
        <w:pStyle w:val="Ruller4"/>
        <w:rPr>
          <w:rtl/>
        </w:rPr>
      </w:pPr>
      <w:r>
        <w:rPr>
          <w:rFonts w:hint="cs"/>
          <w:rtl/>
        </w:rPr>
        <w:t xml:space="preserve">עילת הסבירות התעצבה בפסיקה מאז קום המדינה והתבססה כ"מכשיר מרכזי וחיוני להפעלת ביקורת שיפוטית על המינהל" (עניין </w:t>
      </w:r>
      <w:r w:rsidRPr="00162006">
        <w:rPr>
          <w:rFonts w:ascii="Century" w:hAnsi="Century" w:cs="Miriam" w:hint="cs"/>
          <w:b/>
          <w:spacing w:val="0"/>
          <w:szCs w:val="24"/>
          <w:rtl/>
        </w:rPr>
        <w:t>התאחדות הסוחרים</w:t>
      </w:r>
      <w:r>
        <w:rPr>
          <w:rFonts w:hint="cs"/>
          <w:rtl/>
        </w:rPr>
        <w:t xml:space="preserve">, בפסקה 37 לחוות דעתה של השופטת </w:t>
      </w:r>
      <w:r w:rsidRPr="00162006">
        <w:rPr>
          <w:rFonts w:ascii="Century" w:hAnsi="Century" w:cs="Miriam" w:hint="cs"/>
          <w:b/>
          <w:spacing w:val="0"/>
          <w:szCs w:val="24"/>
          <w:rtl/>
        </w:rPr>
        <w:t>ברק-ארז</w:t>
      </w:r>
      <w:r>
        <w:rPr>
          <w:rFonts w:hint="cs"/>
          <w:rtl/>
        </w:rPr>
        <w:t xml:space="preserve">). נוכח ההשלכות הקשות הנובעות מהפטור הגורף שניתן לדרג הנבחר מביקורת שיפוטית על פי עילת הסבירות, אני סבורה כי התיקון שעל פיו נקבע פטור זה עומד בסתירה חזיתית למסד החוקתי הקיים. </w:t>
      </w:r>
    </w:p>
    <w:p w:rsidR="00C044AE" w:rsidRPr="00A7663F" w:rsidRDefault="00C044AE" w:rsidP="00C044AE">
      <w:pPr>
        <w:pStyle w:val="Ruller41"/>
        <w:rPr>
          <w:rtl/>
        </w:rPr>
      </w:pPr>
    </w:p>
    <w:p w:rsidR="00C044AE" w:rsidRDefault="00C044AE" w:rsidP="00C044AE">
      <w:pPr>
        <w:pStyle w:val="Ruller4"/>
        <w:numPr>
          <w:ilvl w:val="0"/>
          <w:numId w:val="0"/>
        </w:numPr>
        <w:rPr>
          <w:rtl/>
        </w:rPr>
      </w:pPr>
      <w:r>
        <w:rPr>
          <w:rtl/>
        </w:rPr>
        <w:tab/>
      </w:r>
      <w:r>
        <w:rPr>
          <w:rFonts w:hint="cs"/>
          <w:rtl/>
        </w:rPr>
        <w:t xml:space="preserve">התיקון הספציפי שלפנינו, אף שהוא מבטל עילה אחת בלבד מבין עילות הביקורת המינהלית ביחס לדרג הנבחר, מעניק בנוסחו הקיצוני חסינות מוחלטת מביקורת </w:t>
      </w:r>
      <w:r>
        <w:rPr>
          <w:rFonts w:hint="cs"/>
          <w:rtl/>
        </w:rPr>
        <w:lastRenderedPageBreak/>
        <w:t xml:space="preserve">על סבירות </w:t>
      </w:r>
      <w:r w:rsidRPr="00F105AA">
        <w:rPr>
          <w:rFonts w:ascii="Miriam" w:hAnsi="Miriam" w:cs="Miriam" w:hint="eastAsia"/>
          <w:szCs w:val="24"/>
          <w:rtl/>
        </w:rPr>
        <w:t>כלל</w:t>
      </w:r>
      <w:r>
        <w:rPr>
          <w:rFonts w:hint="cs"/>
          <w:rtl/>
        </w:rPr>
        <w:t xml:space="preserve"> החלטותיו של הדרג הנבחר המחזיק בכוח השלטוני הרב ביותר. התיקון אינו מאפשר לפרט לפנות לבית המשפט ולהעלות בפניו טענות בעניין סבירותן של החלטות אלה, ויש בו משום הסרה גורפת של פיקוח ושל מגבלות הכרחיות על הממשלה ושריה, מבלי שאומצו כל מנגנונים אחרים שמפצים על כך. ייתכן כי שלילה כזו של עילת ביקורת אחת ביחס לדרג הנבחר בשיטת משפט אחרת, הייתה מובילה לפגיעה מתונה יותר בהפרדת הרשויות ובשלטון החוק. אך בחינה של התיקון נושא העתירות על רקע המציאות החוקתית בישראל, מלמדת כי במציאות זו צמצום כה משמעותי של הביקורת השיפוטית ביחס לדרג הנבחר, מערער מן היסוד את מערכת האיזונים והבלמים הרעועה ממילא. </w:t>
      </w:r>
    </w:p>
    <w:p w:rsidR="00C044AE" w:rsidRDefault="00C044AE" w:rsidP="00C044AE">
      <w:pPr>
        <w:pStyle w:val="Ruller41"/>
        <w:rPr>
          <w:rtl/>
        </w:rPr>
      </w:pPr>
    </w:p>
    <w:p w:rsidR="00C044AE" w:rsidRDefault="00C044AE" w:rsidP="00C044AE">
      <w:pPr>
        <w:pStyle w:val="Ruller4"/>
      </w:pPr>
      <w:r>
        <w:rPr>
          <w:rFonts w:hint="cs"/>
          <w:rtl/>
        </w:rPr>
        <w:t xml:space="preserve">משכך הגעתי לכלל מסקנה כי תיקון מס' 3 לחוק-יסוד: השפיטה, מהווה מקרה קצה שחקיקתו מגיעה כדי </w:t>
      </w:r>
      <w:r w:rsidRPr="00AD7A59">
        <w:rPr>
          <w:rFonts w:ascii="Miriam" w:hAnsi="Miriam" w:cs="Miriam"/>
          <w:szCs w:val="24"/>
          <w:rtl/>
        </w:rPr>
        <w:t>חריגה מסמכותה המכוננת של הכנסת</w:t>
      </w:r>
      <w:r>
        <w:rPr>
          <w:rFonts w:hint="cs"/>
          <w:rtl/>
        </w:rPr>
        <w:t>. נוכח מסקנה זו, אין צורך להידרש לטענות שהעלו העותרים והיועצת בעניין התכנית הכוללת לשינוי מערכת המשפט, המורכבת מיוזמות נוספות שטרם אושרו על ידי הכנסת. התיקון שלפנינו הוא כשלעצמו, מנוגד למושכלות יסוד שעליהן מבוסס אופייה הדמוקרטי של שיטתנו, וזאת בהינתן עוצמת פגיעתו בעקרונות של שלטון החוק והפרדת הרשויות.</w:t>
      </w:r>
    </w:p>
    <w:p w:rsidR="00C044AE" w:rsidRPr="00D1062F" w:rsidRDefault="00C044AE" w:rsidP="00C044AE">
      <w:pPr>
        <w:pStyle w:val="Ruller41"/>
        <w:rPr>
          <w:rtl/>
        </w:rPr>
      </w:pPr>
    </w:p>
    <w:p w:rsidR="00C044AE" w:rsidRDefault="00C044AE" w:rsidP="00C044AE">
      <w:pPr>
        <w:pStyle w:val="Ruller41"/>
        <w:numPr>
          <w:ilvl w:val="0"/>
          <w:numId w:val="6"/>
        </w:numPr>
        <w:outlineLvl w:val="1"/>
        <w:rPr>
          <w:rFonts w:ascii="Century" w:hAnsi="Century" w:cs="Miriam"/>
          <w:b/>
          <w:spacing w:val="0"/>
          <w:szCs w:val="24"/>
        </w:rPr>
      </w:pPr>
      <w:r w:rsidRPr="007D252E">
        <w:rPr>
          <w:rFonts w:ascii="Century" w:hAnsi="Century" w:cs="Miriam" w:hint="cs"/>
          <w:b/>
          <w:spacing w:val="0"/>
          <w:szCs w:val="24"/>
          <w:rtl/>
        </w:rPr>
        <w:t>הסעד בגין חריגת הכנסת מסמכותה המכוננת</w:t>
      </w:r>
    </w:p>
    <w:p w:rsidR="00C044AE" w:rsidRPr="004272F4" w:rsidRDefault="00C044AE" w:rsidP="00C044AE">
      <w:pPr>
        <w:pStyle w:val="Ruller41"/>
        <w:rPr>
          <w:rFonts w:ascii="Century" w:hAnsi="Century" w:cs="Miriam"/>
          <w:b/>
          <w:spacing w:val="0"/>
          <w:sz w:val="24"/>
          <w:rtl/>
        </w:rPr>
      </w:pPr>
    </w:p>
    <w:p w:rsidR="00C044AE" w:rsidRDefault="00C044AE" w:rsidP="00C044AE">
      <w:pPr>
        <w:pStyle w:val="Ruller4"/>
      </w:pPr>
      <w:r>
        <w:rPr>
          <w:rFonts w:hint="cs"/>
          <w:rtl/>
        </w:rPr>
        <w:t xml:space="preserve">העותרים והיועצת המשפטית לממשלה טוענים כי לנוכח חריגת הכנסת מסמכותה המכוננת יש להורות על בטלות התיקון. </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 xml:space="preserve">האם סעד הבטלות הוא מחויב המציאות בענייננו? האם לא ניתן להסתפק בסעד חוקתי מתון ממנו (השוו: </w:t>
      </w:r>
      <w:r w:rsidRPr="00713799">
        <w:rPr>
          <w:rFonts w:hint="cs"/>
          <w:color w:val="000000" w:themeColor="text1"/>
          <w:rtl/>
        </w:rPr>
        <w:t xml:space="preserve">עניין </w:t>
      </w:r>
      <w:r w:rsidRPr="00713799">
        <w:rPr>
          <w:rFonts w:cs="Miriam" w:hint="cs"/>
          <w:b/>
          <w:color w:val="000000" w:themeColor="text1"/>
          <w:spacing w:val="0"/>
          <w:sz w:val="22"/>
          <w:szCs w:val="24"/>
          <w:rtl/>
        </w:rPr>
        <w:t>ארד-פנקס</w:t>
      </w:r>
      <w:r w:rsidRPr="00713799">
        <w:rPr>
          <w:rFonts w:hint="cs"/>
          <w:color w:val="000000" w:themeColor="text1"/>
          <w:rtl/>
        </w:rPr>
        <w:t xml:space="preserve">, בפסקאות 38-32 לחוות דעתו של השופט </w:t>
      </w:r>
      <w:r w:rsidRPr="00713799">
        <w:rPr>
          <w:rFonts w:cs="Miriam" w:hint="cs"/>
          <w:b/>
          <w:color w:val="000000" w:themeColor="text1"/>
          <w:spacing w:val="0"/>
          <w:sz w:val="22"/>
          <w:szCs w:val="24"/>
          <w:rtl/>
        </w:rPr>
        <w:t>פוגלמן</w:t>
      </w:r>
      <w:r w:rsidRPr="00713799">
        <w:rPr>
          <w:rFonts w:hint="cs"/>
          <w:color w:val="000000" w:themeColor="text1"/>
          <w:rtl/>
        </w:rPr>
        <w:t>)</w:t>
      </w:r>
      <w:r>
        <w:rPr>
          <w:rFonts w:hint="cs"/>
          <w:rtl/>
        </w:rPr>
        <w:t xml:space="preserve">? </w:t>
      </w:r>
    </w:p>
    <w:p w:rsidR="00C044AE" w:rsidRDefault="00C044AE" w:rsidP="00C044AE">
      <w:pPr>
        <w:pStyle w:val="Ruller41"/>
        <w:rPr>
          <w:rtl/>
        </w:rPr>
      </w:pPr>
    </w:p>
    <w:p w:rsidR="00C044AE" w:rsidRDefault="00C044AE" w:rsidP="00C044AE">
      <w:pPr>
        <w:pStyle w:val="Ruller4"/>
        <w:rPr>
          <w:rtl/>
        </w:rPr>
      </w:pPr>
      <w:r>
        <w:rPr>
          <w:rFonts w:hint="cs"/>
          <w:rtl/>
        </w:rPr>
        <w:t>בפסיקה ובספרות הוכרו מצבים שבהם ניתן להסתפק בסעד של בטלות חלקית תוך הפרדה פיזית או מושגית בין החלק התקף לחלק הפסול שאותו יש לבטל, ככל שהדבר אפשרי בהתחשב בתכלית החוק ובמרקמו</w:t>
      </w:r>
      <w:r w:rsidRPr="009E02BE">
        <w:rPr>
          <w:rFonts w:hint="cs"/>
          <w:rtl/>
        </w:rPr>
        <w:t xml:space="preserve"> (עניין </w:t>
      </w:r>
      <w:r w:rsidRPr="009E02BE">
        <w:rPr>
          <w:rFonts w:cs="Miriam" w:hint="cs"/>
          <w:b/>
          <w:spacing w:val="0"/>
          <w:sz w:val="22"/>
          <w:szCs w:val="24"/>
          <w:rtl/>
        </w:rPr>
        <w:t>ארד-פנקס</w:t>
      </w:r>
      <w:r w:rsidRPr="009E02BE">
        <w:rPr>
          <w:rFonts w:hint="cs"/>
          <w:rtl/>
        </w:rPr>
        <w:t xml:space="preserve">, בפסקה 36 לחוות דעתי; עניין </w:t>
      </w:r>
      <w:r w:rsidRPr="009E02BE">
        <w:rPr>
          <w:rFonts w:cs="Miriam" w:hint="cs"/>
          <w:b/>
          <w:spacing w:val="0"/>
          <w:sz w:val="22"/>
          <w:szCs w:val="24"/>
          <w:rtl/>
        </w:rPr>
        <w:t>איתן</w:t>
      </w:r>
      <w:r w:rsidRPr="009E02BE">
        <w:rPr>
          <w:rFonts w:hint="cs"/>
          <w:rtl/>
        </w:rPr>
        <w:t xml:space="preserve">, בפסקה 81 לחוות דעתו של השופט </w:t>
      </w:r>
      <w:r w:rsidRPr="009E02BE">
        <w:rPr>
          <w:rFonts w:cs="Miriam" w:hint="cs"/>
          <w:b/>
          <w:spacing w:val="0"/>
          <w:sz w:val="22"/>
          <w:szCs w:val="24"/>
          <w:rtl/>
        </w:rPr>
        <w:t>פוגלמן</w:t>
      </w:r>
      <w:r w:rsidRPr="009E02BE">
        <w:rPr>
          <w:rFonts w:hint="cs"/>
          <w:rtl/>
        </w:rPr>
        <w:t xml:space="preserve">; </w:t>
      </w:r>
      <w:r w:rsidRPr="009E02BE">
        <w:rPr>
          <w:rFonts w:hint="eastAsia"/>
          <w:rtl/>
        </w:rPr>
        <w:t>אהרן</w:t>
      </w:r>
      <w:r w:rsidRPr="009E02BE">
        <w:rPr>
          <w:rtl/>
        </w:rPr>
        <w:t xml:space="preserve"> </w:t>
      </w:r>
      <w:r w:rsidRPr="009E02BE">
        <w:rPr>
          <w:rFonts w:hint="eastAsia"/>
          <w:rtl/>
        </w:rPr>
        <w:t>ברק</w:t>
      </w:r>
      <w:r w:rsidRPr="009E02BE">
        <w:rPr>
          <w:rtl/>
        </w:rPr>
        <w:t xml:space="preserve"> </w:t>
      </w:r>
      <w:r w:rsidRPr="009E02BE">
        <w:rPr>
          <w:rFonts w:hint="cs"/>
          <w:rtl/>
        </w:rPr>
        <w:t>"</w:t>
      </w:r>
      <w:r w:rsidRPr="009E02BE">
        <w:rPr>
          <w:rFonts w:hint="eastAsia"/>
          <w:rtl/>
        </w:rPr>
        <w:t>על</w:t>
      </w:r>
      <w:r w:rsidRPr="009E02BE">
        <w:rPr>
          <w:rtl/>
        </w:rPr>
        <w:t xml:space="preserve"> </w:t>
      </w:r>
      <w:r w:rsidRPr="009E02BE">
        <w:rPr>
          <w:rFonts w:hint="eastAsia"/>
          <w:rtl/>
        </w:rPr>
        <w:t>תורת</w:t>
      </w:r>
      <w:r w:rsidRPr="009E02BE">
        <w:rPr>
          <w:rtl/>
        </w:rPr>
        <w:t xml:space="preserve"> </w:t>
      </w:r>
      <w:r w:rsidRPr="009E02BE">
        <w:rPr>
          <w:rFonts w:hint="eastAsia"/>
          <w:rtl/>
        </w:rPr>
        <w:t>הסעדים</w:t>
      </w:r>
      <w:r w:rsidRPr="009E02BE">
        <w:rPr>
          <w:rtl/>
        </w:rPr>
        <w:t xml:space="preserve"> </w:t>
      </w:r>
      <w:r w:rsidRPr="009E02BE">
        <w:rPr>
          <w:rFonts w:hint="eastAsia"/>
          <w:rtl/>
        </w:rPr>
        <w:t>החוקתיים</w:t>
      </w:r>
      <w:r w:rsidRPr="009E02BE">
        <w:rPr>
          <w:rFonts w:hint="cs"/>
          <w:rtl/>
        </w:rPr>
        <w:t>"</w:t>
      </w:r>
      <w:r w:rsidRPr="009E02BE">
        <w:rPr>
          <w:rtl/>
        </w:rPr>
        <w:t xml:space="preserve"> </w:t>
      </w:r>
      <w:r w:rsidRPr="009E02BE">
        <w:rPr>
          <w:rFonts w:cs="Miriam" w:hint="eastAsia"/>
          <w:b/>
          <w:spacing w:val="0"/>
          <w:sz w:val="22"/>
          <w:szCs w:val="24"/>
          <w:rtl/>
        </w:rPr>
        <w:t>משפט</w:t>
      </w:r>
      <w:r w:rsidRPr="009E02BE">
        <w:rPr>
          <w:rFonts w:cs="Miriam"/>
          <w:b/>
          <w:spacing w:val="0"/>
          <w:sz w:val="22"/>
          <w:szCs w:val="24"/>
          <w:rtl/>
        </w:rPr>
        <w:t xml:space="preserve"> </w:t>
      </w:r>
      <w:r w:rsidRPr="009E02BE">
        <w:rPr>
          <w:rFonts w:cs="Miriam" w:hint="eastAsia"/>
          <w:b/>
          <w:spacing w:val="0"/>
          <w:sz w:val="22"/>
          <w:szCs w:val="24"/>
          <w:rtl/>
        </w:rPr>
        <w:t>ועסקים</w:t>
      </w:r>
      <w:r w:rsidRPr="009E02BE">
        <w:rPr>
          <w:rtl/>
        </w:rPr>
        <w:t xml:space="preserve"> </w:t>
      </w:r>
      <w:r w:rsidRPr="007C25F9">
        <w:rPr>
          <w:rFonts w:hint="eastAsia"/>
          <w:rtl/>
        </w:rPr>
        <w:t>כ</w:t>
      </w:r>
      <w:r w:rsidRPr="007C25F9">
        <w:rPr>
          <w:rtl/>
        </w:rPr>
        <w:t xml:space="preserve"> 301, </w:t>
      </w:r>
      <w:r>
        <w:rPr>
          <w:rFonts w:hint="cs"/>
          <w:rtl/>
        </w:rPr>
        <w:t xml:space="preserve">353-350 </w:t>
      </w:r>
      <w:r w:rsidRPr="007C25F9">
        <w:rPr>
          <w:rtl/>
        </w:rPr>
        <w:t>(2017)</w:t>
      </w:r>
      <w:r w:rsidRPr="007C25F9">
        <w:rPr>
          <w:rFonts w:hint="cs"/>
          <w:rtl/>
        </w:rPr>
        <w:t>).</w:t>
      </w:r>
      <w:r>
        <w:rPr>
          <w:rFonts w:hint="cs"/>
          <w:rtl/>
        </w:rPr>
        <w:t xml:space="preserve"> האפשרות ליתן סעד כזה לא עלתה בטיעוני הצדדים ונראה כי לא בכדי. הפרדה פיזית טקסטואלית אינה רלוונטית לענייננו נוכח נוסחו הכוללני והגורף של התיקון. הפרדה מושגית </w:t>
      </w:r>
      <w:r>
        <w:rPr>
          <w:rtl/>
        </w:rPr>
        <w:t>–</w:t>
      </w:r>
      <w:r>
        <w:rPr>
          <w:rFonts w:hint="cs"/>
          <w:rtl/>
        </w:rPr>
        <w:t xml:space="preserve"> למשל בדרך של אי-</w:t>
      </w:r>
      <w:r>
        <w:rPr>
          <w:rFonts w:hint="cs"/>
          <w:rtl/>
        </w:rPr>
        <w:lastRenderedPageBreak/>
        <w:t xml:space="preserve">החלת התיקון על החלטות מסוימות שמתקבלות על ידי הדרג הנבחר </w:t>
      </w:r>
      <w:r>
        <w:rPr>
          <w:rtl/>
        </w:rPr>
        <w:t>–</w:t>
      </w:r>
      <w:r>
        <w:rPr>
          <w:rFonts w:hint="cs"/>
          <w:rtl/>
        </w:rPr>
        <w:t xml:space="preserve"> אף היא אינה מתאימה לענייננו, שכן נוסח התיקון אינו מאפשר הבחנה פשוטה וברורה בין המצבים שעליהם יחול התיקון ובין מצבים שיוצאו מגדרו. משכך, השימוש בכלי ההפרדה המושגית יחייב למעשה מהלך מורכב ומפורט של כתיבת הטקסט החוקתי מחדש על ידי בית המשפט. בהקשר זה כבר נפסק כי בית המשפט לא אמור "</w:t>
      </w:r>
      <w:r w:rsidRPr="002C6B3B">
        <w:rPr>
          <w:rFonts w:hint="eastAsia"/>
          <w:rtl/>
        </w:rPr>
        <w:t>לקבוע</w:t>
      </w:r>
      <w:r w:rsidRPr="002C6B3B">
        <w:rPr>
          <w:rtl/>
        </w:rPr>
        <w:t xml:space="preserve"> </w:t>
      </w:r>
      <w:r w:rsidRPr="002C6B3B">
        <w:rPr>
          <w:rFonts w:hint="eastAsia"/>
          <w:rtl/>
        </w:rPr>
        <w:t>את</w:t>
      </w:r>
      <w:r w:rsidRPr="002C6B3B">
        <w:rPr>
          <w:rtl/>
        </w:rPr>
        <w:t xml:space="preserve"> </w:t>
      </w:r>
      <w:r w:rsidRPr="002C6B3B">
        <w:rPr>
          <w:rFonts w:hint="eastAsia"/>
          <w:rtl/>
        </w:rPr>
        <w:t>פרטי</w:t>
      </w:r>
      <w:r w:rsidRPr="002C6B3B">
        <w:rPr>
          <w:rtl/>
        </w:rPr>
        <w:t xml:space="preserve"> </w:t>
      </w:r>
      <w:r w:rsidRPr="002C6B3B">
        <w:rPr>
          <w:rFonts w:hint="eastAsia"/>
          <w:rtl/>
        </w:rPr>
        <w:t>ההסדר</w:t>
      </w:r>
      <w:r w:rsidRPr="002C6B3B">
        <w:rPr>
          <w:rtl/>
        </w:rPr>
        <w:t xml:space="preserve"> </w:t>
      </w:r>
      <w:r w:rsidRPr="002C6B3B">
        <w:rPr>
          <w:rFonts w:hint="eastAsia"/>
          <w:rtl/>
        </w:rPr>
        <w:t>החקיקתי</w:t>
      </w:r>
      <w:r w:rsidRPr="002C6B3B">
        <w:rPr>
          <w:rtl/>
        </w:rPr>
        <w:t xml:space="preserve"> </w:t>
      </w:r>
      <w:r w:rsidRPr="002C6B3B">
        <w:rPr>
          <w:rFonts w:hint="eastAsia"/>
          <w:rtl/>
        </w:rPr>
        <w:t>שיבוא</w:t>
      </w:r>
      <w:r w:rsidRPr="002C6B3B">
        <w:rPr>
          <w:rtl/>
        </w:rPr>
        <w:t xml:space="preserve"> </w:t>
      </w:r>
      <w:r w:rsidRPr="002C6B3B">
        <w:rPr>
          <w:rFonts w:hint="eastAsia"/>
          <w:rtl/>
        </w:rPr>
        <w:t>תחת</w:t>
      </w:r>
      <w:r w:rsidRPr="002C6B3B">
        <w:rPr>
          <w:rtl/>
        </w:rPr>
        <w:t xml:space="preserve"> </w:t>
      </w:r>
      <w:r w:rsidRPr="002C6B3B">
        <w:rPr>
          <w:rFonts w:hint="eastAsia"/>
          <w:rtl/>
        </w:rPr>
        <w:t>דבר</w:t>
      </w:r>
      <w:r w:rsidRPr="002C6B3B">
        <w:rPr>
          <w:rtl/>
        </w:rPr>
        <w:t xml:space="preserve"> </w:t>
      </w:r>
      <w:r w:rsidRPr="002C6B3B">
        <w:rPr>
          <w:rFonts w:hint="eastAsia"/>
          <w:rtl/>
        </w:rPr>
        <w:t>החקיקה</w:t>
      </w:r>
      <w:r w:rsidRPr="002C6B3B">
        <w:rPr>
          <w:rtl/>
        </w:rPr>
        <w:t xml:space="preserve"> </w:t>
      </w:r>
      <w:r w:rsidRPr="002C6B3B">
        <w:rPr>
          <w:rFonts w:hint="eastAsia"/>
          <w:rtl/>
        </w:rPr>
        <w:t>הבלתי</w:t>
      </w:r>
      <w:r>
        <w:rPr>
          <w:rFonts w:hint="cs"/>
          <w:rtl/>
        </w:rPr>
        <w:t xml:space="preserve"> </w:t>
      </w:r>
      <w:r w:rsidRPr="002C6B3B">
        <w:rPr>
          <w:rFonts w:hint="eastAsia"/>
          <w:rtl/>
        </w:rPr>
        <w:t>חוקתי</w:t>
      </w:r>
      <w:r w:rsidRPr="002C6B3B">
        <w:rPr>
          <w:rtl/>
        </w:rPr>
        <w:t xml:space="preserve">, </w:t>
      </w:r>
      <w:r w:rsidRPr="002C6B3B">
        <w:rPr>
          <w:rFonts w:hint="eastAsia"/>
          <w:rtl/>
        </w:rPr>
        <w:t>ועניין</w:t>
      </w:r>
      <w:r w:rsidRPr="002C6B3B">
        <w:rPr>
          <w:rtl/>
        </w:rPr>
        <w:t xml:space="preserve"> </w:t>
      </w:r>
      <w:r w:rsidRPr="002C6B3B">
        <w:rPr>
          <w:rFonts w:hint="eastAsia"/>
          <w:rtl/>
        </w:rPr>
        <w:t>זה</w:t>
      </w:r>
      <w:r w:rsidRPr="002C6B3B">
        <w:rPr>
          <w:rtl/>
        </w:rPr>
        <w:t xml:space="preserve"> </w:t>
      </w:r>
      <w:r w:rsidRPr="002C6B3B">
        <w:rPr>
          <w:rFonts w:hint="eastAsia"/>
          <w:rtl/>
        </w:rPr>
        <w:t>מצוי</w:t>
      </w:r>
      <w:r w:rsidRPr="002C6B3B">
        <w:rPr>
          <w:rtl/>
        </w:rPr>
        <w:t xml:space="preserve"> </w:t>
      </w:r>
      <w:r w:rsidRPr="002C6B3B">
        <w:rPr>
          <w:rFonts w:hint="eastAsia"/>
          <w:rtl/>
        </w:rPr>
        <w:t>באחריותה</w:t>
      </w:r>
      <w:r w:rsidRPr="002C6B3B">
        <w:rPr>
          <w:rtl/>
        </w:rPr>
        <w:t xml:space="preserve"> </w:t>
      </w:r>
      <w:r w:rsidRPr="002C6B3B">
        <w:rPr>
          <w:rFonts w:hint="eastAsia"/>
          <w:rtl/>
        </w:rPr>
        <w:t>של</w:t>
      </w:r>
      <w:r w:rsidRPr="002C6B3B">
        <w:rPr>
          <w:rtl/>
        </w:rPr>
        <w:t xml:space="preserve"> </w:t>
      </w:r>
      <w:r w:rsidRPr="002C6B3B">
        <w:rPr>
          <w:rFonts w:hint="eastAsia"/>
          <w:rtl/>
        </w:rPr>
        <w:t>הכנסת</w:t>
      </w:r>
      <w:r w:rsidRPr="002C6B3B">
        <w:rPr>
          <w:rtl/>
        </w:rPr>
        <w:t>"</w:t>
      </w:r>
      <w:r>
        <w:rPr>
          <w:rFonts w:hint="cs"/>
          <w:rtl/>
        </w:rPr>
        <w:t xml:space="preserve"> </w:t>
      </w:r>
      <w:r w:rsidRPr="002C6B3B">
        <w:rPr>
          <w:rtl/>
        </w:rPr>
        <w:t>(</w:t>
      </w:r>
      <w:r w:rsidRPr="00F85590">
        <w:rPr>
          <w:rFonts w:hint="eastAsia"/>
          <w:rtl/>
        </w:rPr>
        <w:t>בג</w:t>
      </w:r>
      <w:r w:rsidRPr="00F85590">
        <w:rPr>
          <w:rtl/>
        </w:rPr>
        <w:t>"</w:t>
      </w:r>
      <w:r w:rsidRPr="00F85590">
        <w:rPr>
          <w:rFonts w:hint="eastAsia"/>
          <w:rtl/>
        </w:rPr>
        <w:t>ץ</w:t>
      </w:r>
      <w:r w:rsidRPr="00F85590">
        <w:rPr>
          <w:rtl/>
        </w:rPr>
        <w:t xml:space="preserve"> 2605/05 </w:t>
      </w:r>
      <w:r w:rsidRPr="00F85590">
        <w:rPr>
          <w:rFonts w:cs="Miriam" w:hint="eastAsia"/>
          <w:b/>
          <w:spacing w:val="0"/>
          <w:sz w:val="22"/>
          <w:szCs w:val="24"/>
          <w:rtl/>
        </w:rPr>
        <w:t>המרכז</w:t>
      </w:r>
      <w:r w:rsidRPr="00F85590">
        <w:rPr>
          <w:rFonts w:cs="Miriam"/>
          <w:b/>
          <w:spacing w:val="0"/>
          <w:sz w:val="22"/>
          <w:szCs w:val="24"/>
          <w:rtl/>
        </w:rPr>
        <w:t xml:space="preserve"> </w:t>
      </w:r>
      <w:r w:rsidRPr="00F85590">
        <w:rPr>
          <w:rFonts w:cs="Miriam" w:hint="eastAsia"/>
          <w:b/>
          <w:spacing w:val="0"/>
          <w:sz w:val="22"/>
          <w:szCs w:val="24"/>
          <w:rtl/>
        </w:rPr>
        <w:t>האקדמי</w:t>
      </w:r>
      <w:r w:rsidRPr="00F85590">
        <w:rPr>
          <w:rFonts w:cs="Miriam"/>
          <w:b/>
          <w:spacing w:val="0"/>
          <w:sz w:val="22"/>
          <w:szCs w:val="24"/>
          <w:rtl/>
        </w:rPr>
        <w:t xml:space="preserve"> </w:t>
      </w:r>
      <w:r w:rsidRPr="00F85590">
        <w:rPr>
          <w:rFonts w:cs="Miriam" w:hint="eastAsia"/>
          <w:b/>
          <w:spacing w:val="0"/>
          <w:sz w:val="22"/>
          <w:szCs w:val="24"/>
          <w:rtl/>
        </w:rPr>
        <w:t>למשפט</w:t>
      </w:r>
      <w:r w:rsidRPr="00F85590">
        <w:rPr>
          <w:rFonts w:cs="Miriam"/>
          <w:b/>
          <w:spacing w:val="0"/>
          <w:sz w:val="22"/>
          <w:szCs w:val="24"/>
          <w:rtl/>
        </w:rPr>
        <w:t xml:space="preserve"> </w:t>
      </w:r>
      <w:r w:rsidRPr="00F85590">
        <w:rPr>
          <w:rFonts w:cs="Miriam" w:hint="eastAsia"/>
          <w:b/>
          <w:spacing w:val="0"/>
          <w:sz w:val="22"/>
          <w:szCs w:val="24"/>
          <w:rtl/>
        </w:rPr>
        <w:t>ולעסקים</w:t>
      </w:r>
      <w:r w:rsidRPr="00F85590">
        <w:rPr>
          <w:rFonts w:cs="Miriam"/>
          <w:b/>
          <w:spacing w:val="0"/>
          <w:sz w:val="22"/>
          <w:szCs w:val="24"/>
          <w:rtl/>
        </w:rPr>
        <w:t xml:space="preserve">, </w:t>
      </w:r>
      <w:r w:rsidRPr="00F85590">
        <w:rPr>
          <w:rFonts w:cs="Miriam" w:hint="eastAsia"/>
          <w:b/>
          <w:spacing w:val="0"/>
          <w:sz w:val="22"/>
          <w:szCs w:val="24"/>
          <w:rtl/>
        </w:rPr>
        <w:t>חטיבת</w:t>
      </w:r>
      <w:r w:rsidRPr="00F85590">
        <w:rPr>
          <w:rFonts w:cs="Miriam"/>
          <w:b/>
          <w:spacing w:val="0"/>
          <w:sz w:val="22"/>
          <w:szCs w:val="24"/>
          <w:rtl/>
        </w:rPr>
        <w:t xml:space="preserve"> </w:t>
      </w:r>
      <w:r w:rsidRPr="00F85590">
        <w:rPr>
          <w:rFonts w:cs="Miriam" w:hint="eastAsia"/>
          <w:b/>
          <w:spacing w:val="0"/>
          <w:sz w:val="22"/>
          <w:szCs w:val="24"/>
          <w:rtl/>
        </w:rPr>
        <w:t>זכויות</w:t>
      </w:r>
      <w:r w:rsidRPr="00F85590">
        <w:rPr>
          <w:rFonts w:cs="Miriam"/>
          <w:b/>
          <w:spacing w:val="0"/>
          <w:sz w:val="22"/>
          <w:szCs w:val="24"/>
          <w:rtl/>
        </w:rPr>
        <w:t xml:space="preserve"> </w:t>
      </w:r>
      <w:r w:rsidRPr="00F85590">
        <w:rPr>
          <w:rFonts w:cs="Miriam" w:hint="eastAsia"/>
          <w:b/>
          <w:spacing w:val="0"/>
          <w:sz w:val="22"/>
          <w:szCs w:val="24"/>
          <w:rtl/>
        </w:rPr>
        <w:t>האדם</w:t>
      </w:r>
      <w:r w:rsidRPr="00F85590">
        <w:rPr>
          <w:rFonts w:cs="Miriam"/>
          <w:b/>
          <w:spacing w:val="0"/>
          <w:sz w:val="22"/>
          <w:szCs w:val="24"/>
          <w:rtl/>
        </w:rPr>
        <w:t xml:space="preserve"> </w:t>
      </w:r>
      <w:r w:rsidRPr="00F85590">
        <w:rPr>
          <w:rFonts w:cs="Miriam" w:hint="eastAsia"/>
          <w:b/>
          <w:spacing w:val="0"/>
          <w:sz w:val="22"/>
          <w:szCs w:val="24"/>
          <w:rtl/>
        </w:rPr>
        <w:t>נ</w:t>
      </w:r>
      <w:r w:rsidRPr="00F85590">
        <w:rPr>
          <w:rFonts w:cs="Miriam"/>
          <w:b/>
          <w:spacing w:val="0"/>
          <w:sz w:val="22"/>
          <w:szCs w:val="24"/>
          <w:rtl/>
        </w:rPr>
        <w:t xml:space="preserve">' </w:t>
      </w:r>
      <w:r w:rsidRPr="00F85590">
        <w:rPr>
          <w:rFonts w:cs="Miriam" w:hint="eastAsia"/>
          <w:b/>
          <w:spacing w:val="0"/>
          <w:sz w:val="22"/>
          <w:szCs w:val="24"/>
          <w:rtl/>
        </w:rPr>
        <w:t>שר</w:t>
      </w:r>
      <w:r w:rsidRPr="00F85590">
        <w:rPr>
          <w:rFonts w:cs="Miriam"/>
          <w:b/>
          <w:spacing w:val="0"/>
          <w:sz w:val="22"/>
          <w:szCs w:val="24"/>
          <w:rtl/>
        </w:rPr>
        <w:t xml:space="preserve"> </w:t>
      </w:r>
      <w:r w:rsidRPr="00F85590">
        <w:rPr>
          <w:rFonts w:cs="Miriam" w:hint="eastAsia"/>
          <w:b/>
          <w:spacing w:val="0"/>
          <w:sz w:val="22"/>
          <w:szCs w:val="24"/>
          <w:rtl/>
        </w:rPr>
        <w:t>האוצר</w:t>
      </w:r>
      <w:r w:rsidRPr="00F85590">
        <w:rPr>
          <w:rtl/>
        </w:rPr>
        <w:t xml:space="preserve">, </w:t>
      </w:r>
      <w:r>
        <w:rPr>
          <w:rFonts w:hint="cs"/>
          <w:rtl/>
        </w:rPr>
        <w:t xml:space="preserve">פ"ד </w:t>
      </w:r>
      <w:r w:rsidRPr="00F85590">
        <w:rPr>
          <w:rFonts w:hint="eastAsia"/>
          <w:rtl/>
        </w:rPr>
        <w:t>סג</w:t>
      </w:r>
      <w:r>
        <w:rPr>
          <w:rtl/>
        </w:rPr>
        <w:t>(2) 545</w:t>
      </w:r>
      <w:r>
        <w:rPr>
          <w:rFonts w:hint="cs"/>
          <w:rtl/>
        </w:rPr>
        <w:t xml:space="preserve">, 639 </w:t>
      </w:r>
      <w:r w:rsidRPr="00F85590">
        <w:rPr>
          <w:rtl/>
        </w:rPr>
        <w:t>(2009)</w:t>
      </w:r>
      <w:r>
        <w:rPr>
          <w:rFonts w:hint="cs"/>
          <w:rtl/>
        </w:rPr>
        <w:t xml:space="preserve">; ראו גם: </w:t>
      </w:r>
      <w:r w:rsidRPr="00AD0E14">
        <w:rPr>
          <w:rFonts w:hint="eastAsia"/>
          <w:rtl/>
        </w:rPr>
        <w:t>בג</w:t>
      </w:r>
      <w:r w:rsidRPr="00AD0E14">
        <w:rPr>
          <w:rtl/>
        </w:rPr>
        <w:t>"</w:t>
      </w:r>
      <w:r w:rsidRPr="00AD0E14">
        <w:rPr>
          <w:rFonts w:hint="eastAsia"/>
          <w:rtl/>
        </w:rPr>
        <w:t>ץ</w:t>
      </w:r>
      <w:r w:rsidRPr="00AD0E14">
        <w:rPr>
          <w:rtl/>
        </w:rPr>
        <w:t xml:space="preserve"> 1715/97 </w:t>
      </w:r>
      <w:r w:rsidRPr="00AD0E14">
        <w:rPr>
          <w:rFonts w:cs="Miriam" w:hint="eastAsia"/>
          <w:b/>
          <w:spacing w:val="0"/>
          <w:sz w:val="22"/>
          <w:szCs w:val="24"/>
          <w:rtl/>
        </w:rPr>
        <w:t>לשכת</w:t>
      </w:r>
      <w:r w:rsidRPr="00AD0E14">
        <w:rPr>
          <w:rFonts w:cs="Miriam"/>
          <w:b/>
          <w:spacing w:val="0"/>
          <w:sz w:val="22"/>
          <w:szCs w:val="24"/>
          <w:rtl/>
        </w:rPr>
        <w:t xml:space="preserve"> </w:t>
      </w:r>
      <w:r w:rsidRPr="00AD0E14">
        <w:rPr>
          <w:rFonts w:cs="Miriam" w:hint="eastAsia"/>
          <w:b/>
          <w:spacing w:val="0"/>
          <w:sz w:val="22"/>
          <w:szCs w:val="24"/>
          <w:rtl/>
        </w:rPr>
        <w:t>מנהלי</w:t>
      </w:r>
      <w:r w:rsidRPr="00AD0E14">
        <w:rPr>
          <w:rFonts w:cs="Miriam"/>
          <w:b/>
          <w:spacing w:val="0"/>
          <w:sz w:val="22"/>
          <w:szCs w:val="24"/>
          <w:rtl/>
        </w:rPr>
        <w:t xml:space="preserve"> </w:t>
      </w:r>
      <w:r w:rsidRPr="00AD0E14">
        <w:rPr>
          <w:rFonts w:cs="Miriam" w:hint="eastAsia"/>
          <w:b/>
          <w:spacing w:val="0"/>
          <w:sz w:val="22"/>
          <w:szCs w:val="24"/>
          <w:rtl/>
        </w:rPr>
        <w:t>ההשקעות</w:t>
      </w:r>
      <w:r w:rsidRPr="00AD0E14">
        <w:rPr>
          <w:rFonts w:cs="Miriam"/>
          <w:b/>
          <w:spacing w:val="0"/>
          <w:sz w:val="22"/>
          <w:szCs w:val="24"/>
          <w:rtl/>
        </w:rPr>
        <w:t xml:space="preserve"> </w:t>
      </w:r>
      <w:r w:rsidRPr="00AD0E14">
        <w:rPr>
          <w:rFonts w:cs="Miriam" w:hint="eastAsia"/>
          <w:b/>
          <w:spacing w:val="0"/>
          <w:sz w:val="22"/>
          <w:szCs w:val="24"/>
          <w:rtl/>
        </w:rPr>
        <w:t>בישראל</w:t>
      </w:r>
      <w:r w:rsidRPr="00AD0E14">
        <w:rPr>
          <w:rFonts w:cs="Miriam"/>
          <w:b/>
          <w:spacing w:val="0"/>
          <w:sz w:val="22"/>
          <w:szCs w:val="24"/>
          <w:rtl/>
        </w:rPr>
        <w:t xml:space="preserve"> </w:t>
      </w:r>
      <w:r w:rsidRPr="00AD0E14">
        <w:rPr>
          <w:rFonts w:cs="Miriam" w:hint="eastAsia"/>
          <w:b/>
          <w:spacing w:val="0"/>
          <w:sz w:val="22"/>
          <w:szCs w:val="24"/>
          <w:rtl/>
        </w:rPr>
        <w:t>נ</w:t>
      </w:r>
      <w:r w:rsidRPr="00AD0E14">
        <w:rPr>
          <w:rFonts w:cs="Miriam"/>
          <w:b/>
          <w:spacing w:val="0"/>
          <w:sz w:val="22"/>
          <w:szCs w:val="24"/>
          <w:rtl/>
        </w:rPr>
        <w:t xml:space="preserve">' </w:t>
      </w:r>
      <w:r w:rsidRPr="00AD0E14">
        <w:rPr>
          <w:rFonts w:cs="Miriam" w:hint="eastAsia"/>
          <w:b/>
          <w:spacing w:val="0"/>
          <w:sz w:val="22"/>
          <w:szCs w:val="24"/>
          <w:rtl/>
        </w:rPr>
        <w:t>שר</w:t>
      </w:r>
      <w:r w:rsidRPr="00AD0E14">
        <w:rPr>
          <w:rFonts w:cs="Miriam"/>
          <w:b/>
          <w:spacing w:val="0"/>
          <w:sz w:val="22"/>
          <w:szCs w:val="24"/>
          <w:rtl/>
        </w:rPr>
        <w:t xml:space="preserve"> </w:t>
      </w:r>
      <w:r w:rsidRPr="00AD0E14">
        <w:rPr>
          <w:rFonts w:cs="Miriam" w:hint="eastAsia"/>
          <w:b/>
          <w:spacing w:val="0"/>
          <w:sz w:val="22"/>
          <w:szCs w:val="24"/>
          <w:rtl/>
        </w:rPr>
        <w:t>האוצר</w:t>
      </w:r>
      <w:r w:rsidRPr="00AD0E14">
        <w:rPr>
          <w:rtl/>
        </w:rPr>
        <w:t xml:space="preserve">, </w:t>
      </w:r>
      <w:r>
        <w:rPr>
          <w:rFonts w:hint="cs"/>
          <w:rtl/>
        </w:rPr>
        <w:t xml:space="preserve">פ"ד </w:t>
      </w:r>
      <w:r w:rsidRPr="00AD0E14">
        <w:rPr>
          <w:rFonts w:hint="eastAsia"/>
          <w:rtl/>
        </w:rPr>
        <w:t>נא</w:t>
      </w:r>
      <w:r w:rsidRPr="00AD0E14">
        <w:rPr>
          <w:rtl/>
        </w:rPr>
        <w:t>(4)</w:t>
      </w:r>
      <w:r>
        <w:rPr>
          <w:rFonts w:hint="cs"/>
          <w:rtl/>
        </w:rPr>
        <w:t xml:space="preserve"> 367,</w:t>
      </w:r>
      <w:r w:rsidRPr="00AD0E14">
        <w:rPr>
          <w:rtl/>
        </w:rPr>
        <w:t xml:space="preserve"> </w:t>
      </w:r>
      <w:r>
        <w:rPr>
          <w:rFonts w:hint="cs"/>
          <w:rtl/>
        </w:rPr>
        <w:t>414-413</w:t>
      </w:r>
      <w:r w:rsidRPr="00AD0E14">
        <w:rPr>
          <w:rtl/>
        </w:rPr>
        <w:t xml:space="preserve"> (1997</w:t>
      </w:r>
      <w:r>
        <w:rPr>
          <w:rFonts w:hint="cs"/>
          <w:rtl/>
        </w:rPr>
        <w:t>)</w:t>
      </w:r>
      <w:r w:rsidRPr="002C6B3B">
        <w:rPr>
          <w:rtl/>
        </w:rPr>
        <w:t>)</w:t>
      </w:r>
      <w:r>
        <w:rPr>
          <w:rFonts w:hint="cs"/>
          <w:rtl/>
        </w:rPr>
        <w:t xml:space="preserve">. דברים אלה יפים מקל וחומר כאשר מדובר בחוק יסוד. אין זה מתפקידו של בית המשפט לחוקק תיקון אחר לחוק היסוד תחת התיקון הקיצוני והחריג שבחרה הרשות המכוננת לחוקק. </w:t>
      </w:r>
    </w:p>
    <w:p w:rsidR="00C044AE" w:rsidRDefault="00C044AE" w:rsidP="00C044AE">
      <w:pPr>
        <w:pStyle w:val="Ruller41"/>
        <w:rPr>
          <w:rtl/>
        </w:rPr>
      </w:pPr>
    </w:p>
    <w:p w:rsidR="00C044AE" w:rsidRDefault="00C044AE" w:rsidP="00C044AE">
      <w:pPr>
        <w:pStyle w:val="Ruller4"/>
        <w:rPr>
          <w:rtl/>
        </w:rPr>
      </w:pPr>
      <w:r>
        <w:rPr>
          <w:rFonts w:hint="cs"/>
          <w:rtl/>
        </w:rPr>
        <w:t>אפשרות אחרת</w:t>
      </w:r>
      <w:r w:rsidRPr="00C21F96">
        <w:rPr>
          <w:rFonts w:hint="cs"/>
          <w:rtl/>
        </w:rPr>
        <w:t xml:space="preserve"> שעל</w:t>
      </w:r>
      <w:r>
        <w:rPr>
          <w:rFonts w:hint="cs"/>
          <w:rtl/>
        </w:rPr>
        <w:t>ת</w:t>
      </w:r>
      <w:r w:rsidRPr="00C21F96">
        <w:rPr>
          <w:rFonts w:hint="cs"/>
          <w:rtl/>
        </w:rPr>
        <w:t>ה ב</w:t>
      </w:r>
      <w:r>
        <w:rPr>
          <w:rFonts w:hint="cs"/>
          <w:rtl/>
        </w:rPr>
        <w:t>חלק מן ה</w:t>
      </w:r>
      <w:r w:rsidRPr="00C21F96">
        <w:rPr>
          <w:rFonts w:hint="cs"/>
          <w:rtl/>
        </w:rPr>
        <w:t>עתירות</w:t>
      </w:r>
      <w:r>
        <w:rPr>
          <w:rFonts w:hint="cs"/>
          <w:rtl/>
        </w:rPr>
        <w:t>,</w:t>
      </w:r>
      <w:r w:rsidRPr="00C21F96">
        <w:rPr>
          <w:rFonts w:hint="cs"/>
          <w:rtl/>
        </w:rPr>
        <w:t xml:space="preserve"> </w:t>
      </w:r>
      <w:r>
        <w:rPr>
          <w:rFonts w:hint="cs"/>
          <w:rtl/>
        </w:rPr>
        <w:t>היא</w:t>
      </w:r>
      <w:r w:rsidRPr="00C21F96">
        <w:rPr>
          <w:rFonts w:hint="cs"/>
          <w:rtl/>
        </w:rPr>
        <w:t xml:space="preserve"> סעד של תחולה נדחית</w:t>
      </w:r>
      <w:r>
        <w:rPr>
          <w:rFonts w:hint="cs"/>
          <w:rtl/>
        </w:rPr>
        <w:t xml:space="preserve">, שצוין כסעד חלופי על פי הדוקטרינה של שימוש לרעה בסמכות המכוננת. בהתחשב בכך שחריגת הכנסת מסמכותה המכוננת נעוצה בתוכנו של ההסדר גופו ואינה תלויה במועד תחולתו, סעד זה אין בו כדי לרפא את פגיעתו הקשה והחמורה של התיקון במאפיינים הגרעיניים של שיטתנו. </w:t>
      </w:r>
    </w:p>
    <w:p w:rsidR="00C044AE" w:rsidRDefault="00C044AE" w:rsidP="00C044AE">
      <w:pPr>
        <w:pStyle w:val="Ruller41"/>
        <w:rPr>
          <w:rtl/>
        </w:rPr>
      </w:pPr>
    </w:p>
    <w:p w:rsidR="00C044AE" w:rsidRDefault="00C044AE" w:rsidP="00C044AE">
      <w:pPr>
        <w:pStyle w:val="Ruller4"/>
        <w:rPr>
          <w:rFonts w:ascii="Arial TUR" w:hAnsi="Arial TUR" w:cs="Arial TUR"/>
          <w:sz w:val="22"/>
          <w:szCs w:val="22"/>
          <w:rtl/>
        </w:rPr>
      </w:pPr>
      <w:r>
        <w:rPr>
          <w:rFonts w:hint="cs"/>
          <w:rtl/>
        </w:rPr>
        <w:t xml:space="preserve">בהיעדר סעד אחר הנותן מענה לפגיעה חסרת התקדים הנגרמת למאפיינים הגרעיניים של מדינת ישראל כמדינה דמוקרטית בעקבות תיקון מס' 3 לחוק-יסוד: השפיטה, אני סבורה כי אין מנוס מהכרזה על בטלותו של התיקון. </w:t>
      </w:r>
    </w:p>
    <w:p w:rsidR="00C044AE" w:rsidRDefault="00C044AE" w:rsidP="00C044AE">
      <w:pPr>
        <w:pStyle w:val="Ruller41"/>
        <w:rPr>
          <w:rtl/>
        </w:rPr>
      </w:pPr>
    </w:p>
    <w:p w:rsidR="00C044AE" w:rsidRPr="00B00F53" w:rsidRDefault="00C044AE" w:rsidP="00C044AE">
      <w:pPr>
        <w:pStyle w:val="Ruller41"/>
        <w:numPr>
          <w:ilvl w:val="0"/>
          <w:numId w:val="6"/>
        </w:numPr>
        <w:outlineLvl w:val="1"/>
        <w:rPr>
          <w:rFonts w:ascii="Garamond" w:hAnsi="Garamond" w:cs="Miriam"/>
          <w:b/>
          <w:spacing w:val="0"/>
          <w:szCs w:val="24"/>
          <w:rtl/>
        </w:rPr>
      </w:pPr>
      <w:r>
        <w:rPr>
          <w:rFonts w:ascii="Garamond" w:hAnsi="Garamond" w:cs="Miriam" w:hint="cs"/>
          <w:b/>
          <w:spacing w:val="0"/>
          <w:szCs w:val="24"/>
          <w:rtl/>
        </w:rPr>
        <w:t>פגמים נוספים</w:t>
      </w:r>
      <w:r w:rsidRPr="00B00F53">
        <w:rPr>
          <w:rFonts w:ascii="Garamond" w:hAnsi="Garamond" w:cs="Miriam" w:hint="cs"/>
          <w:b/>
          <w:spacing w:val="0"/>
          <w:szCs w:val="24"/>
          <w:rtl/>
        </w:rPr>
        <w:t xml:space="preserve"> שנטענו בעתירות</w:t>
      </w:r>
    </w:p>
    <w:p w:rsidR="00C044AE" w:rsidRPr="004272F4" w:rsidRDefault="00C044AE" w:rsidP="00C044AE">
      <w:pPr>
        <w:jc w:val="both"/>
        <w:rPr>
          <w:b/>
          <w:bCs/>
          <w:sz w:val="22"/>
          <w:szCs w:val="28"/>
          <w:rtl/>
        </w:rPr>
      </w:pPr>
    </w:p>
    <w:p w:rsidR="00C044AE" w:rsidRDefault="00C044AE" w:rsidP="00C044AE">
      <w:pPr>
        <w:pStyle w:val="Ruller4"/>
        <w:rPr>
          <w:rtl/>
        </w:rPr>
      </w:pPr>
      <w:r>
        <w:rPr>
          <w:rFonts w:hint="cs"/>
          <w:rtl/>
        </w:rPr>
        <w:t xml:space="preserve">נוכח המסקנה שאליה הגעתי ולפיה יש להכריז על בטלותו של התיקון בשל חריגת הכנסת מגבולות סמכותה המכוננת, ניתן, כאמור, להסתפק בהערות אחדות בלבד באשר לטענות שהעלו העותרים והיועצת בדבר פגמים נוספים שבהם לוקה התיקון. </w:t>
      </w:r>
    </w:p>
    <w:p w:rsidR="00C044AE" w:rsidRPr="00635ACE" w:rsidRDefault="00C044AE" w:rsidP="00C044AE">
      <w:pPr>
        <w:pStyle w:val="Ruller41"/>
        <w:rPr>
          <w:rtl/>
        </w:rPr>
      </w:pPr>
    </w:p>
    <w:p w:rsidR="00C044AE" w:rsidRPr="00F63C25" w:rsidRDefault="00C044AE" w:rsidP="00C044AE">
      <w:pPr>
        <w:pStyle w:val="Ruller41"/>
        <w:ind w:left="360"/>
        <w:outlineLvl w:val="2"/>
        <w:rPr>
          <w:rFonts w:ascii="Century" w:hAnsi="Century" w:cs="Miriam"/>
          <w:b/>
          <w:spacing w:val="0"/>
          <w:szCs w:val="24"/>
          <w:rtl/>
        </w:rPr>
      </w:pPr>
      <w:r>
        <w:rPr>
          <w:rFonts w:ascii="Century" w:hAnsi="Century" w:cs="Miriam" w:hint="cs"/>
          <w:b/>
          <w:spacing w:val="0"/>
          <w:szCs w:val="24"/>
          <w:rtl/>
        </w:rPr>
        <w:t>ז</w:t>
      </w:r>
      <w:r w:rsidRPr="00F63C25">
        <w:rPr>
          <w:rFonts w:ascii="Century" w:hAnsi="Century" w:cs="Miriam" w:hint="cs"/>
          <w:b/>
          <w:spacing w:val="0"/>
          <w:szCs w:val="24"/>
          <w:rtl/>
        </w:rPr>
        <w:t>.1</w:t>
      </w:r>
      <w:r>
        <w:rPr>
          <w:rFonts w:ascii="Century" w:hAnsi="Century" w:cs="Miriam" w:hint="cs"/>
          <w:b/>
          <w:spacing w:val="0"/>
          <w:szCs w:val="24"/>
          <w:rtl/>
        </w:rPr>
        <w:t>.</w:t>
      </w:r>
      <w:r w:rsidRPr="00F63C25">
        <w:rPr>
          <w:rFonts w:ascii="Century" w:hAnsi="Century" w:cs="Miriam" w:hint="cs"/>
          <w:b/>
          <w:spacing w:val="0"/>
          <w:szCs w:val="24"/>
          <w:rtl/>
        </w:rPr>
        <w:t xml:space="preserve"> </w:t>
      </w:r>
      <w:r>
        <w:rPr>
          <w:rFonts w:ascii="Century" w:hAnsi="Century" w:cs="Miriam" w:hint="cs"/>
          <w:b/>
          <w:spacing w:val="0"/>
          <w:szCs w:val="24"/>
          <w:rtl/>
        </w:rPr>
        <w:t>הטענה כי התיקון מהווה שימוש לרעה בסמכות המכוננת</w:t>
      </w:r>
    </w:p>
    <w:p w:rsidR="00C044AE" w:rsidRDefault="00C044AE" w:rsidP="00C044AE">
      <w:pPr>
        <w:pStyle w:val="Ruller41"/>
        <w:rPr>
          <w:rtl/>
        </w:rPr>
      </w:pPr>
    </w:p>
    <w:p w:rsidR="00C044AE" w:rsidRPr="00040C47" w:rsidRDefault="00C044AE" w:rsidP="00C044AE">
      <w:pPr>
        <w:pStyle w:val="Ruller4"/>
        <w:rPr>
          <w:color w:val="000000" w:themeColor="text1"/>
          <w:rtl/>
        </w:rPr>
      </w:pPr>
      <w:r>
        <w:rPr>
          <w:rFonts w:hint="cs"/>
          <w:color w:val="000000" w:themeColor="text1"/>
          <w:rtl/>
        </w:rPr>
        <w:t>אחת הטענות שעלו במסגרת העתירות שלפנינו היא ש</w:t>
      </w:r>
      <w:r w:rsidRPr="00040C47">
        <w:rPr>
          <w:rFonts w:hint="cs"/>
          <w:color w:val="000000" w:themeColor="text1"/>
          <w:rtl/>
        </w:rPr>
        <w:t xml:space="preserve">התיקון אינו עומד במבחני העזר שנקבעו בעניין </w:t>
      </w:r>
      <w:r w:rsidRPr="00040C47">
        <w:rPr>
          <w:rFonts w:ascii="Century" w:hAnsi="Century" w:cs="Miriam" w:hint="cs"/>
          <w:b/>
          <w:color w:val="000000" w:themeColor="text1"/>
          <w:spacing w:val="0"/>
          <w:sz w:val="22"/>
          <w:szCs w:val="24"/>
          <w:rtl/>
        </w:rPr>
        <w:t>שפיר</w:t>
      </w:r>
      <w:r w:rsidRPr="00040C47">
        <w:rPr>
          <w:rFonts w:hint="cs"/>
          <w:color w:val="000000" w:themeColor="text1"/>
          <w:rtl/>
        </w:rPr>
        <w:t xml:space="preserve"> לזיהויה של נורמה חוקתית </w:t>
      </w:r>
      <w:r w:rsidRPr="00040C47">
        <w:rPr>
          <w:color w:val="000000" w:themeColor="text1"/>
          <w:rtl/>
        </w:rPr>
        <w:t>–</w:t>
      </w:r>
      <w:r w:rsidRPr="00040C47">
        <w:rPr>
          <w:rFonts w:hint="cs"/>
          <w:color w:val="000000" w:themeColor="text1"/>
          <w:rtl/>
        </w:rPr>
        <w:t xml:space="preserve"> ובפרט במבחן הכלליות ובמבחן ההתאמה למארג החוקתי </w:t>
      </w:r>
      <w:r w:rsidRPr="00040C47">
        <w:rPr>
          <w:color w:val="000000" w:themeColor="text1"/>
          <w:rtl/>
        </w:rPr>
        <w:t>–</w:t>
      </w:r>
      <w:r w:rsidRPr="00040C47">
        <w:rPr>
          <w:rFonts w:hint="cs"/>
          <w:color w:val="000000" w:themeColor="text1"/>
          <w:rtl/>
        </w:rPr>
        <w:t xml:space="preserve"> </w:t>
      </w:r>
      <w:r>
        <w:rPr>
          <w:rFonts w:hint="cs"/>
          <w:color w:val="000000" w:themeColor="text1"/>
          <w:rtl/>
        </w:rPr>
        <w:t>ועל כן יש לקבוע כי הוא</w:t>
      </w:r>
      <w:r w:rsidRPr="00040C47">
        <w:rPr>
          <w:rFonts w:hint="cs"/>
          <w:color w:val="000000" w:themeColor="text1"/>
          <w:rtl/>
        </w:rPr>
        <w:t xml:space="preserve"> נחקק תוך </w:t>
      </w:r>
      <w:r w:rsidRPr="00F20CCF">
        <w:rPr>
          <w:rFonts w:ascii="Century" w:hAnsi="Century" w:cs="Miriam" w:hint="cs"/>
          <w:b/>
          <w:spacing w:val="0"/>
          <w:sz w:val="22"/>
          <w:szCs w:val="24"/>
          <w:rtl/>
        </w:rPr>
        <w:t xml:space="preserve">שימוש לרעה בסמכות </w:t>
      </w:r>
      <w:r w:rsidRPr="00F20CCF">
        <w:rPr>
          <w:rFonts w:ascii="Century" w:hAnsi="Century" w:cs="Miriam" w:hint="cs"/>
          <w:b/>
          <w:spacing w:val="0"/>
          <w:sz w:val="22"/>
          <w:szCs w:val="24"/>
          <w:rtl/>
        </w:rPr>
        <w:lastRenderedPageBreak/>
        <w:t>המכוננת</w:t>
      </w:r>
      <w:r w:rsidRPr="00040C47">
        <w:rPr>
          <w:rFonts w:hint="cs"/>
          <w:color w:val="000000" w:themeColor="text1"/>
          <w:rtl/>
        </w:rPr>
        <w:t>. היועצת סבורה אף היא כי התיקון מהווה שימוש לרעה בסמכות המכוננת</w:t>
      </w:r>
      <w:r>
        <w:rPr>
          <w:rFonts w:hint="cs"/>
          <w:color w:val="000000" w:themeColor="text1"/>
          <w:rtl/>
        </w:rPr>
        <w:t xml:space="preserve"> ואינו עומד במבחני העזר שנקבעו בהקשר זה בעניין </w:t>
      </w:r>
      <w:r w:rsidRPr="00D1062F">
        <w:rPr>
          <w:rFonts w:ascii="Century" w:hAnsi="Century" w:cs="Miriam" w:hint="cs"/>
          <w:b/>
          <w:spacing w:val="0"/>
          <w:sz w:val="22"/>
          <w:szCs w:val="24"/>
          <w:rtl/>
        </w:rPr>
        <w:t>שפיר</w:t>
      </w:r>
      <w:r>
        <w:rPr>
          <w:rFonts w:hint="cs"/>
          <w:color w:val="000000" w:themeColor="text1"/>
          <w:rtl/>
        </w:rPr>
        <w:t>.</w:t>
      </w:r>
    </w:p>
    <w:p w:rsidR="00C044AE" w:rsidRPr="00F1325D" w:rsidRDefault="00C044AE" w:rsidP="00C044AE">
      <w:pPr>
        <w:pStyle w:val="Ruller41"/>
        <w:rPr>
          <w:rtl/>
        </w:rPr>
      </w:pPr>
    </w:p>
    <w:p w:rsidR="00C044AE" w:rsidRPr="00912807" w:rsidRDefault="00C044AE" w:rsidP="00C044AE">
      <w:pPr>
        <w:pStyle w:val="Ruller4"/>
      </w:pPr>
      <w:r>
        <w:rPr>
          <w:rFonts w:hint="cs"/>
          <w:rtl/>
        </w:rPr>
        <w:t xml:space="preserve">התיקון שבפנינו אכן מעורר קשיים נכבדים מבחינת העמידה במבחני העזר לזיהויה של נורמה חוקתית. </w:t>
      </w:r>
      <w:r w:rsidRPr="00D1062F">
        <w:rPr>
          <w:rFonts w:hint="cs"/>
          <w:color w:val="000000" w:themeColor="text1"/>
          <w:rtl/>
        </w:rPr>
        <w:t>הקושי המרכזי נוג</w:t>
      </w:r>
      <w:r w:rsidRPr="00A11AEF">
        <w:rPr>
          <w:rFonts w:hint="cs"/>
          <w:rtl/>
        </w:rPr>
        <w:t>ע למבחן</w:t>
      </w:r>
      <w:r w:rsidRPr="00D1062F">
        <w:rPr>
          <w:rFonts w:ascii="Century" w:hAnsi="Century" w:cs="Miriam" w:hint="cs"/>
          <w:b/>
          <w:color w:val="000000" w:themeColor="text1"/>
          <w:spacing w:val="0"/>
          <w:szCs w:val="24"/>
          <w:rtl/>
        </w:rPr>
        <w:t xml:space="preserve"> ההתאמה למארג החוקתי</w:t>
      </w:r>
      <w:r w:rsidRPr="00D1062F">
        <w:rPr>
          <w:rFonts w:hint="cs"/>
          <w:color w:val="000000" w:themeColor="text1"/>
          <w:rtl/>
        </w:rPr>
        <w:t xml:space="preserve">. ביסוד מבחן זה ניצבת הנחת המוצא לפיה </w:t>
      </w:r>
      <w:r w:rsidRPr="003D16B4">
        <w:rPr>
          <w:rFonts w:hint="cs"/>
          <w:rtl/>
        </w:rPr>
        <w:t>"</w:t>
      </w:r>
      <w:r w:rsidRPr="003D16B4">
        <w:rPr>
          <w:rtl/>
        </w:rPr>
        <w:t xml:space="preserve">בניגוד לחקיקה </w:t>
      </w:r>
      <w:r w:rsidRPr="003D16B4">
        <w:rPr>
          <w:rFonts w:hint="cs"/>
          <w:rtl/>
        </w:rPr>
        <w:t>'</w:t>
      </w:r>
      <w:r w:rsidRPr="003D16B4">
        <w:rPr>
          <w:rtl/>
        </w:rPr>
        <w:t>רגילה</w:t>
      </w:r>
      <w:r w:rsidRPr="003D16B4">
        <w:rPr>
          <w:rFonts w:hint="cs"/>
          <w:rtl/>
        </w:rPr>
        <w:t xml:space="preserve">' </w:t>
      </w:r>
      <w:r w:rsidRPr="003D16B4">
        <w:rPr>
          <w:rtl/>
        </w:rPr>
        <w:t>שנועדה להסדיר עניינים של יומיום, חקיקת יסוד נועדה להסדיר עניינים</w:t>
      </w:r>
      <w:r w:rsidRPr="00D1062F">
        <w:rPr>
          <w:rFonts w:hint="cs"/>
          <w:sz w:val="27"/>
          <w:szCs w:val="27"/>
          <w:rtl/>
        </w:rPr>
        <w:t xml:space="preserve"> </w:t>
      </w:r>
      <w:r w:rsidRPr="003D16B4">
        <w:rPr>
          <w:rtl/>
        </w:rPr>
        <w:t>הנוגעים לליבת המשטר החוקתי של מדינת ישראל</w:t>
      </w:r>
      <w:r w:rsidRPr="003D16B4">
        <w:rPr>
          <w:rFonts w:hint="cs"/>
          <w:rtl/>
        </w:rPr>
        <w:t xml:space="preserve">", </w:t>
      </w:r>
      <w:r>
        <w:rPr>
          <w:rFonts w:hint="cs"/>
          <w:rtl/>
        </w:rPr>
        <w:t>ולפיכך</w:t>
      </w:r>
      <w:r w:rsidRPr="003D16B4">
        <w:rPr>
          <w:rFonts w:hint="cs"/>
          <w:rtl/>
        </w:rPr>
        <w:t xml:space="preserve"> "</w:t>
      </w:r>
      <w:r w:rsidRPr="003D16B4">
        <w:rPr>
          <w:rtl/>
        </w:rPr>
        <w:t>עיגון נורמה שאינה ברמת הפשטה המתאימה לעיגון במעמד של חוקה מעוררת, על פני הדברים, חשש שמדובר בהוראה שאינה שייכת למארג החוקתי</w:t>
      </w:r>
      <w:r>
        <w:rPr>
          <w:rFonts w:hint="cs"/>
          <w:rtl/>
        </w:rPr>
        <w:t>"</w:t>
      </w:r>
      <w:r w:rsidRPr="003D16B4">
        <w:rPr>
          <w:rtl/>
        </w:rPr>
        <w:t xml:space="preserve"> (</w:t>
      </w:r>
      <w:r w:rsidRPr="003D16B4">
        <w:rPr>
          <w:rFonts w:hint="cs"/>
          <w:rtl/>
        </w:rPr>
        <w:t xml:space="preserve">עניין </w:t>
      </w:r>
      <w:r w:rsidRPr="00D1062F">
        <w:rPr>
          <w:rFonts w:ascii="Century" w:hAnsi="Century" w:cs="Miriam" w:hint="cs"/>
          <w:b/>
          <w:spacing w:val="0"/>
          <w:sz w:val="22"/>
          <w:szCs w:val="24"/>
          <w:rtl/>
        </w:rPr>
        <w:t>שפיר</w:t>
      </w:r>
      <w:r w:rsidRPr="003D16B4">
        <w:rPr>
          <w:rFonts w:hint="cs"/>
          <w:rtl/>
        </w:rPr>
        <w:t>, בפסקה 41 לחוות דעתי).</w:t>
      </w:r>
      <w:r w:rsidRPr="00D1062F">
        <w:rPr>
          <w:rFonts w:hint="cs"/>
          <w:color w:val="000000" w:themeColor="text1"/>
          <w:rtl/>
        </w:rPr>
        <w:t xml:space="preserve"> </w:t>
      </w:r>
    </w:p>
    <w:p w:rsidR="00C044AE" w:rsidRDefault="00C044AE" w:rsidP="00C044AE">
      <w:pPr>
        <w:pStyle w:val="Ruller4"/>
        <w:numPr>
          <w:ilvl w:val="0"/>
          <w:numId w:val="0"/>
        </w:numPr>
        <w:rPr>
          <w:color w:val="000000" w:themeColor="text1"/>
          <w:rtl/>
        </w:rPr>
      </w:pPr>
    </w:p>
    <w:p w:rsidR="00C044AE" w:rsidRDefault="00C044AE" w:rsidP="00C044AE">
      <w:pPr>
        <w:pStyle w:val="Ruller4"/>
        <w:rPr>
          <w:rtl/>
        </w:rPr>
      </w:pPr>
      <w:r w:rsidRPr="00D1062F">
        <w:rPr>
          <w:rFonts w:hint="cs"/>
          <w:rtl/>
        </w:rPr>
        <w:t xml:space="preserve">חוק-יסוד: השפיטה, </w:t>
      </w:r>
      <w:r>
        <w:rPr>
          <w:rFonts w:hint="cs"/>
          <w:rtl/>
        </w:rPr>
        <w:t>שאליו נתווספה הוראת סעיף 15(ד1)</w:t>
      </w:r>
      <w:r w:rsidRPr="00D1062F">
        <w:rPr>
          <w:rFonts w:hint="cs"/>
          <w:rtl/>
        </w:rPr>
        <w:t xml:space="preserve"> </w:t>
      </w:r>
      <w:r>
        <w:rPr>
          <w:rFonts w:hint="cs"/>
          <w:rtl/>
        </w:rPr>
        <w:t>בתיקון מס' 3</w:t>
      </w:r>
      <w:r w:rsidRPr="00D1062F">
        <w:rPr>
          <w:rFonts w:hint="cs"/>
          <w:rtl/>
        </w:rPr>
        <w:t>, קובע שורה של עקרונות חוקתיים</w:t>
      </w:r>
      <w:r>
        <w:rPr>
          <w:rFonts w:hint="cs"/>
          <w:rtl/>
        </w:rPr>
        <w:t xml:space="preserve"> כלליים</w:t>
      </w:r>
      <w:r w:rsidRPr="00D1062F">
        <w:rPr>
          <w:rFonts w:hint="cs"/>
          <w:rtl/>
        </w:rPr>
        <w:t xml:space="preserve"> בנוגע לתחו</w:t>
      </w:r>
      <w:r>
        <w:rPr>
          <w:rFonts w:hint="cs"/>
          <w:rtl/>
        </w:rPr>
        <w:t>מי</w:t>
      </w:r>
      <w:r w:rsidRPr="00D1062F">
        <w:rPr>
          <w:rFonts w:hint="cs"/>
          <w:rtl/>
        </w:rPr>
        <w:t xml:space="preserve"> פעילותם של בתי המשפט. </w:t>
      </w:r>
      <w:r w:rsidRPr="00D1062F">
        <w:rPr>
          <w:rFonts w:hint="cs"/>
          <w:shd w:val="clear" w:color="auto" w:fill="FFFFFF"/>
          <w:rtl/>
        </w:rPr>
        <w:t>כבר בדברי</w:t>
      </w:r>
      <w:r w:rsidRPr="00D1062F">
        <w:rPr>
          <w:shd w:val="clear" w:color="auto" w:fill="FFFFFF"/>
          <w:rtl/>
        </w:rPr>
        <w:t xml:space="preserve"> ההסבר להצעת </w:t>
      </w:r>
      <w:r w:rsidRPr="00D1062F">
        <w:rPr>
          <w:rFonts w:hint="cs"/>
          <w:shd w:val="clear" w:color="auto" w:fill="FFFFFF"/>
          <w:rtl/>
        </w:rPr>
        <w:t>חוק היסוד</w:t>
      </w:r>
      <w:r w:rsidRPr="00D1062F">
        <w:rPr>
          <w:shd w:val="clear" w:color="auto" w:fill="FFFFFF"/>
          <w:rtl/>
        </w:rPr>
        <w:t xml:space="preserve"> </w:t>
      </w:r>
      <w:r w:rsidRPr="00D1062F">
        <w:rPr>
          <w:rFonts w:hint="cs"/>
          <w:shd w:val="clear" w:color="auto" w:fill="FFFFFF"/>
          <w:rtl/>
        </w:rPr>
        <w:t xml:space="preserve">הובהר כי </w:t>
      </w:r>
      <w:r w:rsidRPr="00D1062F">
        <w:rPr>
          <w:rFonts w:hint="cs"/>
          <w:rtl/>
        </w:rPr>
        <w:t xml:space="preserve">הוא קובע את המסגרת הכללית בלבד, וכי הוראות קונקרטיות באשר להפעלת סמכותו של בית המשפט העליון ושל יתר בתי המשפט ייקבעו בדברי חקיקה משלימים (דברי הסבר להצעת חוק-יסוד: בתי המשפט, ה"ח התשל"ח </w:t>
      </w:r>
      <w:r>
        <w:rPr>
          <w:rFonts w:hint="cs"/>
          <w:rtl/>
        </w:rPr>
        <w:t>236</w:t>
      </w:r>
      <w:r w:rsidRPr="00D1062F">
        <w:rPr>
          <w:rFonts w:hint="cs"/>
          <w:rtl/>
        </w:rPr>
        <w:t xml:space="preserve">; </w:t>
      </w:r>
      <w:r w:rsidRPr="00D1062F">
        <w:rPr>
          <w:rFonts w:hint="cs"/>
          <w:shd w:val="clear" w:color="auto" w:fill="FFFFFF"/>
          <w:rtl/>
        </w:rPr>
        <w:t xml:space="preserve">ראו גם: עניין </w:t>
      </w:r>
      <w:r w:rsidRPr="00D1062F">
        <w:rPr>
          <w:rFonts w:cs="Miriam" w:hint="cs"/>
          <w:spacing w:val="0"/>
          <w:szCs w:val="24"/>
          <w:rtl/>
        </w:rPr>
        <w:t>שפיר</w:t>
      </w:r>
      <w:r w:rsidRPr="00D1062F">
        <w:rPr>
          <w:rFonts w:hint="cs"/>
          <w:shd w:val="clear" w:color="auto" w:fill="FFFFFF"/>
          <w:rtl/>
        </w:rPr>
        <w:t xml:space="preserve">, בפסקה 10 לחוות דעתו של המשנה לנשיאה </w:t>
      </w:r>
      <w:r w:rsidRPr="00D1062F">
        <w:rPr>
          <w:rFonts w:cs="Miriam" w:hint="cs"/>
          <w:spacing w:val="0"/>
          <w:szCs w:val="24"/>
          <w:rtl/>
        </w:rPr>
        <w:t>הנדל</w:t>
      </w:r>
      <w:r w:rsidRPr="001D3CC1">
        <w:rPr>
          <w:rFonts w:ascii="Century" w:hAnsi="Century" w:hint="cs"/>
          <w:sz w:val="22"/>
          <w:rtl/>
        </w:rPr>
        <w:t>)</w:t>
      </w:r>
      <w:r w:rsidRPr="001D3CC1">
        <w:rPr>
          <w:rFonts w:ascii="Century" w:hAnsi="Century" w:hint="cs"/>
          <w:sz w:val="22"/>
          <w:shd w:val="clear" w:color="auto" w:fill="FFFFFF"/>
          <w:rtl/>
        </w:rPr>
        <w:t>.</w:t>
      </w:r>
      <w:r w:rsidRPr="00D1062F">
        <w:rPr>
          <w:rFonts w:hint="cs"/>
          <w:rtl/>
        </w:rPr>
        <w:t xml:space="preserve"> ואכן, חודשים אחדים לאחר חקיקת חוק-יסוד: השפיטה, נחקק נוסחו העדכני של חוק בתי המשפט [נוסח משולב], התשמ"ד-1984</w:t>
      </w:r>
      <w:r>
        <w:rPr>
          <w:rFonts w:hint="cs"/>
          <w:rtl/>
        </w:rPr>
        <w:t xml:space="preserve"> (להלן: </w:t>
      </w:r>
      <w:r w:rsidRPr="004825D3">
        <w:rPr>
          <w:rFonts w:cs="Miriam" w:hint="cs"/>
          <w:spacing w:val="0"/>
          <w:szCs w:val="24"/>
          <w:rtl/>
        </w:rPr>
        <w:t>חוק בתי המשפט</w:t>
      </w:r>
      <w:r>
        <w:rPr>
          <w:rFonts w:hint="cs"/>
          <w:rtl/>
        </w:rPr>
        <w:t>)</w:t>
      </w:r>
      <w:r w:rsidRPr="00D1062F">
        <w:rPr>
          <w:rFonts w:hint="cs"/>
          <w:rtl/>
        </w:rPr>
        <w:t xml:space="preserve">, הקובע שורה של הוראות יישומיות הנוגעות לסמכותם ולפעילותם של בתי המשפט. </w:t>
      </w:r>
    </w:p>
    <w:p w:rsidR="00C044AE" w:rsidRDefault="00C044AE" w:rsidP="00C044AE">
      <w:pPr>
        <w:pStyle w:val="Ruller4"/>
        <w:numPr>
          <w:ilvl w:val="0"/>
          <w:numId w:val="0"/>
        </w:numPr>
        <w:rPr>
          <w:color w:val="000000" w:themeColor="text1"/>
          <w:rtl/>
        </w:rPr>
      </w:pPr>
    </w:p>
    <w:p w:rsidR="00C044AE" w:rsidRPr="00D1062F" w:rsidRDefault="00C044AE" w:rsidP="00C044AE">
      <w:pPr>
        <w:pStyle w:val="Ruller4"/>
        <w:numPr>
          <w:ilvl w:val="0"/>
          <w:numId w:val="0"/>
        </w:numPr>
      </w:pPr>
      <w:r>
        <w:rPr>
          <w:color w:val="000000" w:themeColor="text1"/>
          <w:rtl/>
        </w:rPr>
        <w:tab/>
      </w:r>
      <w:r w:rsidRPr="00D1062F">
        <w:rPr>
          <w:rFonts w:hint="cs"/>
          <w:color w:val="000000" w:themeColor="text1"/>
          <w:rtl/>
        </w:rPr>
        <w:t>תפיסה עקרונית זו בדבר אופיו הכללי של ההסדר הקבוע בחוק-יסוד: השפיטה,</w:t>
      </w:r>
      <w:r>
        <w:rPr>
          <w:rFonts w:hint="cs"/>
          <w:color w:val="000000" w:themeColor="text1"/>
          <w:rtl/>
        </w:rPr>
        <w:t xml:space="preserve"> משתקפת היטב ב</w:t>
      </w:r>
      <w:r w:rsidRPr="00D1062F">
        <w:rPr>
          <w:rFonts w:hint="cs"/>
          <w:color w:val="000000" w:themeColor="text1"/>
          <w:rtl/>
        </w:rPr>
        <w:t xml:space="preserve">הוראותיו. כך, סעיף 15 לחוק היסוד מסדיר את סמכויותיו הכלליות של בית המשפט העליון וקובע מפורשות כי "סמכויות אחרות של בית המשפט העליון ייקבעו בחוק" (סעיף 15(ה)). מבין הסמכויות הכלליות המוסדרות בחוק היסוד, סעיף 15(ג) מעגן את סמכותו העקרונית של בית המשפט העליון בשבתו כבג"ץ ליתן "סעד למען הצדק"; וסעיף 15(ד) מפרט קטגוריות רחבות שבהן מוסמך בג"ץ ליתן צווים </w:t>
      </w:r>
      <w:r w:rsidRPr="00D1062F">
        <w:rPr>
          <w:color w:val="000000" w:themeColor="text1"/>
          <w:rtl/>
        </w:rPr>
        <w:t>–</w:t>
      </w:r>
      <w:r w:rsidRPr="00D1062F">
        <w:rPr>
          <w:rFonts w:hint="cs"/>
          <w:color w:val="000000" w:themeColor="text1"/>
          <w:rtl/>
        </w:rPr>
        <w:t xml:space="preserve"> דוגמת מתן צווים "</w:t>
      </w:r>
      <w:r w:rsidRPr="00D1062F">
        <w:rPr>
          <w:rFonts w:cs="Miriam" w:hint="eastAsia"/>
          <w:color w:val="000000" w:themeColor="text1"/>
          <w:spacing w:val="0"/>
          <w:szCs w:val="24"/>
          <w:rtl/>
        </w:rPr>
        <w:t>לרשויות</w:t>
      </w:r>
      <w:r w:rsidRPr="00D1062F">
        <w:rPr>
          <w:rFonts w:cs="Miriam"/>
          <w:color w:val="000000" w:themeColor="text1"/>
          <w:spacing w:val="0"/>
          <w:szCs w:val="24"/>
          <w:rtl/>
        </w:rPr>
        <w:t xml:space="preserve"> </w:t>
      </w:r>
      <w:r w:rsidRPr="00D1062F">
        <w:rPr>
          <w:rFonts w:cs="Miriam" w:hint="eastAsia"/>
          <w:color w:val="000000" w:themeColor="text1"/>
          <w:spacing w:val="0"/>
          <w:szCs w:val="24"/>
          <w:rtl/>
        </w:rPr>
        <w:t>המדינה</w:t>
      </w:r>
      <w:r w:rsidRPr="00D1062F">
        <w:rPr>
          <w:rFonts w:cs="Miriam"/>
          <w:color w:val="000000" w:themeColor="text1"/>
          <w:spacing w:val="0"/>
          <w:szCs w:val="24"/>
          <w:rtl/>
        </w:rPr>
        <w:t xml:space="preserve">, </w:t>
      </w:r>
      <w:r w:rsidRPr="00D1062F">
        <w:rPr>
          <w:rFonts w:cs="Miriam" w:hint="eastAsia"/>
          <w:color w:val="000000" w:themeColor="text1"/>
          <w:spacing w:val="0"/>
          <w:szCs w:val="24"/>
          <w:rtl/>
        </w:rPr>
        <w:t>לרשויות</w:t>
      </w:r>
      <w:r w:rsidRPr="00D1062F">
        <w:rPr>
          <w:rFonts w:cs="Miriam"/>
          <w:color w:val="000000" w:themeColor="text1"/>
          <w:spacing w:val="0"/>
          <w:szCs w:val="24"/>
          <w:rtl/>
        </w:rPr>
        <w:t xml:space="preserve"> </w:t>
      </w:r>
      <w:r w:rsidRPr="00D1062F">
        <w:rPr>
          <w:rFonts w:cs="Miriam" w:hint="eastAsia"/>
          <w:color w:val="000000" w:themeColor="text1"/>
          <w:spacing w:val="0"/>
          <w:szCs w:val="24"/>
          <w:rtl/>
        </w:rPr>
        <w:t>מקומיות</w:t>
      </w:r>
      <w:r w:rsidRPr="00D1062F">
        <w:rPr>
          <w:rFonts w:cs="Miriam"/>
          <w:color w:val="000000" w:themeColor="text1"/>
          <w:spacing w:val="0"/>
          <w:szCs w:val="24"/>
          <w:rtl/>
        </w:rPr>
        <w:t xml:space="preserve">, </w:t>
      </w:r>
      <w:r w:rsidRPr="00D1062F">
        <w:rPr>
          <w:rFonts w:cs="Miriam" w:hint="eastAsia"/>
          <w:color w:val="000000" w:themeColor="text1"/>
          <w:spacing w:val="0"/>
          <w:szCs w:val="24"/>
          <w:rtl/>
        </w:rPr>
        <w:t>לפקידיהן</w:t>
      </w:r>
      <w:r w:rsidRPr="00D1062F">
        <w:rPr>
          <w:rFonts w:cs="Miriam"/>
          <w:color w:val="000000" w:themeColor="text1"/>
          <w:spacing w:val="0"/>
          <w:szCs w:val="24"/>
          <w:rtl/>
        </w:rPr>
        <w:t xml:space="preserve"> </w:t>
      </w:r>
      <w:r w:rsidRPr="00D1062F">
        <w:rPr>
          <w:rFonts w:cs="Miriam" w:hint="eastAsia"/>
          <w:color w:val="000000" w:themeColor="text1"/>
          <w:spacing w:val="0"/>
          <w:szCs w:val="24"/>
          <w:rtl/>
        </w:rPr>
        <w:t>ולגופים</w:t>
      </w:r>
      <w:r w:rsidRPr="00D1062F">
        <w:rPr>
          <w:rFonts w:cs="Miriam"/>
          <w:color w:val="000000" w:themeColor="text1"/>
          <w:spacing w:val="0"/>
          <w:szCs w:val="24"/>
          <w:rtl/>
        </w:rPr>
        <w:t xml:space="preserve"> </w:t>
      </w:r>
      <w:r w:rsidRPr="00D1062F">
        <w:rPr>
          <w:rFonts w:cs="Miriam" w:hint="eastAsia"/>
          <w:color w:val="000000" w:themeColor="text1"/>
          <w:spacing w:val="0"/>
          <w:szCs w:val="24"/>
          <w:rtl/>
        </w:rPr>
        <w:t>ולאנשים</w:t>
      </w:r>
      <w:r w:rsidRPr="00D1062F">
        <w:rPr>
          <w:rFonts w:cs="Miriam"/>
          <w:color w:val="000000" w:themeColor="text1"/>
          <w:spacing w:val="0"/>
          <w:szCs w:val="24"/>
          <w:rtl/>
        </w:rPr>
        <w:t xml:space="preserve"> </w:t>
      </w:r>
      <w:r w:rsidRPr="00D1062F">
        <w:rPr>
          <w:rFonts w:cs="Miriam" w:hint="eastAsia"/>
          <w:color w:val="000000" w:themeColor="text1"/>
          <w:spacing w:val="0"/>
          <w:szCs w:val="24"/>
          <w:rtl/>
        </w:rPr>
        <w:t>אחרים</w:t>
      </w:r>
      <w:r w:rsidRPr="00D1062F">
        <w:rPr>
          <w:rFonts w:cs="Miriam"/>
          <w:color w:val="000000" w:themeColor="text1"/>
          <w:spacing w:val="0"/>
          <w:szCs w:val="24"/>
          <w:rtl/>
        </w:rPr>
        <w:t xml:space="preserve"> </w:t>
      </w:r>
      <w:r w:rsidRPr="00D1062F">
        <w:rPr>
          <w:rFonts w:cs="Miriam" w:hint="eastAsia"/>
          <w:color w:val="000000" w:themeColor="text1"/>
          <w:spacing w:val="0"/>
          <w:szCs w:val="24"/>
          <w:rtl/>
        </w:rPr>
        <w:t>הממלאים</w:t>
      </w:r>
      <w:r w:rsidRPr="00D1062F">
        <w:rPr>
          <w:rFonts w:cs="Miriam"/>
          <w:color w:val="000000" w:themeColor="text1"/>
          <w:spacing w:val="0"/>
          <w:szCs w:val="24"/>
          <w:rtl/>
        </w:rPr>
        <w:t xml:space="preserve"> </w:t>
      </w:r>
      <w:r w:rsidRPr="00D1062F">
        <w:rPr>
          <w:rFonts w:cs="Miriam" w:hint="eastAsia"/>
          <w:color w:val="000000" w:themeColor="text1"/>
          <w:spacing w:val="0"/>
          <w:szCs w:val="24"/>
          <w:rtl/>
        </w:rPr>
        <w:t>תפקידים</w:t>
      </w:r>
      <w:r w:rsidRPr="00D1062F">
        <w:rPr>
          <w:rFonts w:cs="Miriam"/>
          <w:color w:val="000000" w:themeColor="text1"/>
          <w:spacing w:val="0"/>
          <w:szCs w:val="24"/>
          <w:rtl/>
        </w:rPr>
        <w:t xml:space="preserve"> </w:t>
      </w:r>
      <w:r w:rsidRPr="00D1062F">
        <w:rPr>
          <w:rFonts w:cs="Miriam" w:hint="eastAsia"/>
          <w:color w:val="000000" w:themeColor="text1"/>
          <w:spacing w:val="0"/>
          <w:szCs w:val="24"/>
          <w:rtl/>
        </w:rPr>
        <w:t>ציבוריים</w:t>
      </w:r>
      <w:r w:rsidRPr="00D1062F">
        <w:rPr>
          <w:rFonts w:cs="Miriam"/>
          <w:color w:val="000000" w:themeColor="text1"/>
          <w:spacing w:val="0"/>
          <w:szCs w:val="24"/>
          <w:rtl/>
        </w:rPr>
        <w:t xml:space="preserve"> </w:t>
      </w:r>
      <w:r w:rsidRPr="00D1062F">
        <w:rPr>
          <w:rFonts w:cs="Miriam" w:hint="eastAsia"/>
          <w:color w:val="000000" w:themeColor="text1"/>
          <w:spacing w:val="0"/>
          <w:szCs w:val="24"/>
          <w:rtl/>
        </w:rPr>
        <w:t>על</w:t>
      </w:r>
      <w:r w:rsidRPr="00D1062F">
        <w:rPr>
          <w:rFonts w:cs="Miriam"/>
          <w:color w:val="000000" w:themeColor="text1"/>
          <w:spacing w:val="0"/>
          <w:szCs w:val="24"/>
          <w:rtl/>
        </w:rPr>
        <w:t xml:space="preserve"> </w:t>
      </w:r>
      <w:r w:rsidRPr="00D1062F">
        <w:rPr>
          <w:rFonts w:cs="Miriam" w:hint="eastAsia"/>
          <w:color w:val="000000" w:themeColor="text1"/>
          <w:spacing w:val="0"/>
          <w:szCs w:val="24"/>
          <w:rtl/>
        </w:rPr>
        <w:t>פי</w:t>
      </w:r>
      <w:r w:rsidRPr="00D1062F">
        <w:rPr>
          <w:rFonts w:cs="Miriam"/>
          <w:color w:val="000000" w:themeColor="text1"/>
          <w:spacing w:val="0"/>
          <w:szCs w:val="24"/>
          <w:rtl/>
        </w:rPr>
        <w:t xml:space="preserve"> </w:t>
      </w:r>
      <w:r w:rsidRPr="00D1062F">
        <w:rPr>
          <w:rFonts w:cs="Miriam" w:hint="eastAsia"/>
          <w:color w:val="000000" w:themeColor="text1"/>
          <w:spacing w:val="0"/>
          <w:szCs w:val="24"/>
          <w:rtl/>
        </w:rPr>
        <w:t>דין</w:t>
      </w:r>
      <w:r w:rsidRPr="00D1062F">
        <w:rPr>
          <w:rFonts w:hint="cs"/>
          <w:color w:val="000000" w:themeColor="text1"/>
          <w:rtl/>
        </w:rPr>
        <w:t xml:space="preserve">" (סעיף 15(ד)(2)). סעיף 15(ד) אינו עוסק באופן </w:t>
      </w:r>
      <w:r>
        <w:rPr>
          <w:rFonts w:hint="cs"/>
          <w:color w:val="000000" w:themeColor="text1"/>
          <w:rtl/>
        </w:rPr>
        <w:t>פרטני</w:t>
      </w:r>
      <w:r w:rsidRPr="00D1062F">
        <w:rPr>
          <w:rFonts w:hint="cs"/>
          <w:color w:val="000000" w:themeColor="text1"/>
          <w:rtl/>
        </w:rPr>
        <w:t xml:space="preserve"> ב</w:t>
      </w:r>
      <w:r>
        <w:rPr>
          <w:rFonts w:hint="cs"/>
          <w:color w:val="000000" w:themeColor="text1"/>
          <w:rtl/>
        </w:rPr>
        <w:t xml:space="preserve">עילות </w:t>
      </w:r>
      <w:r w:rsidRPr="00D1062F">
        <w:rPr>
          <w:rFonts w:hint="cs"/>
          <w:color w:val="000000" w:themeColor="text1"/>
          <w:rtl/>
        </w:rPr>
        <w:t xml:space="preserve">משפטיות המצדיקות התערבות שיפוטית, והוא אף קובע מפורשות כי </w:t>
      </w:r>
      <w:r w:rsidRPr="00D1062F">
        <w:rPr>
          <w:rFonts w:cs="Miriam" w:hint="cs"/>
          <w:color w:val="000000" w:themeColor="text1"/>
          <w:spacing w:val="0"/>
          <w:szCs w:val="24"/>
          <w:rtl/>
        </w:rPr>
        <w:t>אין</w:t>
      </w:r>
      <w:r w:rsidRPr="00D1062F">
        <w:rPr>
          <w:rFonts w:hint="cs"/>
          <w:color w:val="000000" w:themeColor="text1"/>
          <w:rtl/>
        </w:rPr>
        <w:t xml:space="preserve"> בו כדי לגרוע מסמכותו הכללית של בג"ץ כאמור בסעיף 15(ג). במילים אחרות </w:t>
      </w:r>
      <w:r w:rsidRPr="00D1062F">
        <w:rPr>
          <w:color w:val="000000" w:themeColor="text1"/>
          <w:rtl/>
        </w:rPr>
        <w:t>–</w:t>
      </w:r>
      <w:r w:rsidRPr="00D1062F">
        <w:rPr>
          <w:rFonts w:hint="cs"/>
          <w:color w:val="000000" w:themeColor="text1"/>
          <w:rtl/>
        </w:rPr>
        <w:t xml:space="preserve"> אף אם מקרה מסוים אינו נופל בגדר אחת הקטגוריות המנויות בסעיף 15(ד), לבית משפט זה בשבתו כבג"ץ</w:t>
      </w:r>
      <w:r>
        <w:rPr>
          <w:rFonts w:hint="cs"/>
          <w:color w:val="000000" w:themeColor="text1"/>
          <w:rtl/>
        </w:rPr>
        <w:t xml:space="preserve"> מסורה הסמכות הכללית ליתן סעד למען הצדק, </w:t>
      </w:r>
      <w:r w:rsidRPr="00D1062F">
        <w:rPr>
          <w:rFonts w:hint="cs"/>
          <w:color w:val="000000" w:themeColor="text1"/>
          <w:rtl/>
        </w:rPr>
        <w:t xml:space="preserve">באותם מקרים שבהם הוא רואה צורך בכך (ראו: </w:t>
      </w:r>
      <w:r w:rsidRPr="00D1062F">
        <w:rPr>
          <w:rFonts w:ascii="Century" w:hAnsi="Century" w:cs="Miriam" w:hint="cs"/>
          <w:b/>
          <w:spacing w:val="0"/>
          <w:sz w:val="22"/>
          <w:szCs w:val="24"/>
          <w:rtl/>
        </w:rPr>
        <w:t>ברק-ארז "משפט מינהלי דיוני"</w:t>
      </w:r>
      <w:r w:rsidRPr="001D3CC1">
        <w:rPr>
          <w:rFonts w:ascii="Century" w:hAnsi="Century" w:hint="cs"/>
          <w:sz w:val="22"/>
          <w:rtl/>
        </w:rPr>
        <w:t xml:space="preserve">, </w:t>
      </w:r>
      <w:r w:rsidRPr="00D1062F">
        <w:rPr>
          <w:rFonts w:hint="cs"/>
          <w:color w:val="000000" w:themeColor="text1"/>
          <w:rtl/>
        </w:rPr>
        <w:t xml:space="preserve">בעמ' 53). באשר ליתר הערכאות </w:t>
      </w:r>
      <w:r w:rsidRPr="00D1062F">
        <w:rPr>
          <w:rFonts w:hint="cs"/>
          <w:color w:val="000000" w:themeColor="text1"/>
          <w:rtl/>
        </w:rPr>
        <w:lastRenderedPageBreak/>
        <w:t>השיפוטיות, נקבע בחוק היסוד כי "</w:t>
      </w:r>
      <w:r w:rsidRPr="00D1062F">
        <w:rPr>
          <w:rFonts w:hint="eastAsia"/>
          <w:color w:val="000000" w:themeColor="text1"/>
          <w:rtl/>
        </w:rPr>
        <w:t>בתי</w:t>
      </w:r>
      <w:r w:rsidRPr="00D1062F">
        <w:rPr>
          <w:color w:val="000000" w:themeColor="text1"/>
          <w:rtl/>
        </w:rPr>
        <w:t xml:space="preserve"> </w:t>
      </w:r>
      <w:r w:rsidRPr="00D1062F">
        <w:rPr>
          <w:rFonts w:hint="eastAsia"/>
          <w:color w:val="000000" w:themeColor="text1"/>
          <w:rtl/>
        </w:rPr>
        <w:t>משפט</w:t>
      </w:r>
      <w:r w:rsidRPr="00D1062F">
        <w:rPr>
          <w:color w:val="000000" w:themeColor="text1"/>
          <w:rtl/>
        </w:rPr>
        <w:t xml:space="preserve"> </w:t>
      </w:r>
      <w:r w:rsidRPr="00D1062F">
        <w:rPr>
          <w:rFonts w:hint="eastAsia"/>
          <w:color w:val="000000" w:themeColor="text1"/>
          <w:rtl/>
        </w:rPr>
        <w:t>מחוזיים</w:t>
      </w:r>
      <w:r w:rsidRPr="00D1062F">
        <w:rPr>
          <w:color w:val="000000" w:themeColor="text1"/>
          <w:rtl/>
        </w:rPr>
        <w:t xml:space="preserve">, </w:t>
      </w:r>
      <w:r w:rsidRPr="00D1062F">
        <w:rPr>
          <w:rFonts w:hint="eastAsia"/>
          <w:color w:val="000000" w:themeColor="text1"/>
          <w:rtl/>
        </w:rPr>
        <w:t>בתי</w:t>
      </w:r>
      <w:r w:rsidRPr="00D1062F">
        <w:rPr>
          <w:color w:val="000000" w:themeColor="text1"/>
          <w:rtl/>
        </w:rPr>
        <w:t xml:space="preserve"> </w:t>
      </w:r>
      <w:r w:rsidRPr="00D1062F">
        <w:rPr>
          <w:rFonts w:hint="eastAsia"/>
          <w:color w:val="000000" w:themeColor="text1"/>
          <w:rtl/>
        </w:rPr>
        <w:t>משפט</w:t>
      </w:r>
      <w:r w:rsidRPr="00D1062F">
        <w:rPr>
          <w:color w:val="000000" w:themeColor="text1"/>
          <w:rtl/>
        </w:rPr>
        <w:t xml:space="preserve"> </w:t>
      </w:r>
      <w:r w:rsidRPr="00D1062F">
        <w:rPr>
          <w:rFonts w:hint="eastAsia"/>
          <w:color w:val="000000" w:themeColor="text1"/>
          <w:rtl/>
        </w:rPr>
        <w:t>שלום</w:t>
      </w:r>
      <w:r w:rsidRPr="00D1062F">
        <w:rPr>
          <w:color w:val="000000" w:themeColor="text1"/>
          <w:rtl/>
        </w:rPr>
        <w:t xml:space="preserve"> </w:t>
      </w:r>
      <w:r w:rsidRPr="00D1062F">
        <w:rPr>
          <w:rFonts w:hint="eastAsia"/>
          <w:color w:val="000000" w:themeColor="text1"/>
          <w:rtl/>
        </w:rPr>
        <w:t>ובתי</w:t>
      </w:r>
      <w:r w:rsidRPr="00D1062F">
        <w:rPr>
          <w:color w:val="000000" w:themeColor="text1"/>
          <w:rtl/>
        </w:rPr>
        <w:t xml:space="preserve"> </w:t>
      </w:r>
      <w:r w:rsidRPr="00D1062F">
        <w:rPr>
          <w:rFonts w:hint="eastAsia"/>
          <w:color w:val="000000" w:themeColor="text1"/>
          <w:rtl/>
        </w:rPr>
        <w:t>משפט</w:t>
      </w:r>
      <w:r w:rsidRPr="00D1062F">
        <w:rPr>
          <w:color w:val="000000" w:themeColor="text1"/>
          <w:rtl/>
        </w:rPr>
        <w:t xml:space="preserve"> </w:t>
      </w:r>
      <w:r w:rsidRPr="00D1062F">
        <w:rPr>
          <w:rFonts w:hint="eastAsia"/>
          <w:color w:val="000000" w:themeColor="text1"/>
          <w:rtl/>
        </w:rPr>
        <w:t>אחרים</w:t>
      </w:r>
      <w:r w:rsidRPr="00D1062F">
        <w:rPr>
          <w:color w:val="000000" w:themeColor="text1"/>
          <w:rtl/>
        </w:rPr>
        <w:t xml:space="preserve"> – </w:t>
      </w:r>
      <w:r w:rsidRPr="00D1062F">
        <w:rPr>
          <w:rFonts w:hint="eastAsia"/>
          <w:color w:val="000000" w:themeColor="text1"/>
          <w:rtl/>
        </w:rPr>
        <w:t>הקמתם</w:t>
      </w:r>
      <w:r w:rsidRPr="00D1062F">
        <w:rPr>
          <w:color w:val="000000" w:themeColor="text1"/>
          <w:rtl/>
        </w:rPr>
        <w:t xml:space="preserve">, </w:t>
      </w:r>
      <w:r w:rsidRPr="00D1062F">
        <w:rPr>
          <w:rFonts w:hint="eastAsia"/>
          <w:color w:val="000000" w:themeColor="text1"/>
          <w:rtl/>
        </w:rPr>
        <w:t>סמכויותיהם</w:t>
      </w:r>
      <w:r w:rsidRPr="00D1062F">
        <w:rPr>
          <w:color w:val="000000" w:themeColor="text1"/>
          <w:rtl/>
        </w:rPr>
        <w:t xml:space="preserve">, </w:t>
      </w:r>
      <w:r w:rsidRPr="00D1062F">
        <w:rPr>
          <w:rFonts w:hint="eastAsia"/>
          <w:color w:val="000000" w:themeColor="text1"/>
          <w:rtl/>
        </w:rPr>
        <w:t>מקום</w:t>
      </w:r>
      <w:r w:rsidRPr="00D1062F">
        <w:rPr>
          <w:color w:val="000000" w:themeColor="text1"/>
          <w:rtl/>
        </w:rPr>
        <w:t xml:space="preserve"> </w:t>
      </w:r>
      <w:r w:rsidRPr="00D1062F">
        <w:rPr>
          <w:rFonts w:hint="eastAsia"/>
          <w:color w:val="000000" w:themeColor="text1"/>
          <w:rtl/>
        </w:rPr>
        <w:t>מושבם</w:t>
      </w:r>
      <w:r w:rsidRPr="00D1062F">
        <w:rPr>
          <w:color w:val="000000" w:themeColor="text1"/>
          <w:rtl/>
        </w:rPr>
        <w:t xml:space="preserve"> </w:t>
      </w:r>
      <w:r w:rsidRPr="00D1062F">
        <w:rPr>
          <w:rFonts w:hint="eastAsia"/>
          <w:color w:val="000000" w:themeColor="text1"/>
          <w:rtl/>
        </w:rPr>
        <w:t>ואזורי</w:t>
      </w:r>
      <w:r w:rsidRPr="00D1062F">
        <w:rPr>
          <w:color w:val="000000" w:themeColor="text1"/>
          <w:rtl/>
        </w:rPr>
        <w:t xml:space="preserve"> </w:t>
      </w:r>
      <w:r w:rsidRPr="00D1062F">
        <w:rPr>
          <w:rFonts w:hint="eastAsia"/>
          <w:color w:val="000000" w:themeColor="text1"/>
          <w:rtl/>
        </w:rPr>
        <w:t>שיפוטם</w:t>
      </w:r>
      <w:r w:rsidRPr="00D1062F">
        <w:rPr>
          <w:color w:val="000000" w:themeColor="text1"/>
          <w:rtl/>
        </w:rPr>
        <w:t xml:space="preserve">, </w:t>
      </w:r>
      <w:r w:rsidRPr="00D1062F">
        <w:rPr>
          <w:rFonts w:hint="eastAsia"/>
          <w:color w:val="000000" w:themeColor="text1"/>
          <w:rtl/>
        </w:rPr>
        <w:t>יהיו</w:t>
      </w:r>
      <w:r w:rsidRPr="00D1062F">
        <w:rPr>
          <w:color w:val="000000" w:themeColor="text1"/>
          <w:rtl/>
        </w:rPr>
        <w:t xml:space="preserve"> </w:t>
      </w:r>
      <w:r w:rsidRPr="00D1062F">
        <w:rPr>
          <w:rFonts w:hint="eastAsia"/>
          <w:color w:val="000000" w:themeColor="text1"/>
          <w:rtl/>
        </w:rPr>
        <w:t>לפי</w:t>
      </w:r>
      <w:r w:rsidRPr="00D1062F">
        <w:rPr>
          <w:color w:val="000000" w:themeColor="text1"/>
          <w:rtl/>
        </w:rPr>
        <w:t xml:space="preserve"> </w:t>
      </w:r>
      <w:r w:rsidRPr="00D1062F">
        <w:rPr>
          <w:rFonts w:hint="eastAsia"/>
          <w:color w:val="000000" w:themeColor="text1"/>
          <w:rtl/>
        </w:rPr>
        <w:t>חוק</w:t>
      </w:r>
      <w:r w:rsidRPr="00D1062F">
        <w:rPr>
          <w:rFonts w:hint="cs"/>
          <w:color w:val="000000" w:themeColor="text1"/>
          <w:rtl/>
        </w:rPr>
        <w:t xml:space="preserve">" (סעיף 16). </w:t>
      </w:r>
    </w:p>
    <w:p w:rsidR="00C044AE" w:rsidRDefault="00C044AE" w:rsidP="00C044AE">
      <w:pPr>
        <w:pStyle w:val="Ruller4"/>
        <w:numPr>
          <w:ilvl w:val="0"/>
          <w:numId w:val="0"/>
        </w:numPr>
        <w:rPr>
          <w:color w:val="000000" w:themeColor="text1"/>
          <w:rtl/>
        </w:rPr>
      </w:pPr>
    </w:p>
    <w:p w:rsidR="00C044AE" w:rsidRPr="001B4F60" w:rsidRDefault="00C044AE" w:rsidP="00C044AE">
      <w:pPr>
        <w:pStyle w:val="Ruller4"/>
        <w:rPr>
          <w:color w:val="000000" w:themeColor="text1"/>
          <w:rtl/>
        </w:rPr>
      </w:pPr>
      <w:r>
        <w:rPr>
          <w:rFonts w:hint="cs"/>
          <w:rtl/>
        </w:rPr>
        <w:t xml:space="preserve">על רקע הוראותיו הכלליות של חוק-יסוד: השפיטה, יש קושי ליישב את התיקון </w:t>
      </w:r>
      <w:r>
        <w:rPr>
          <w:rtl/>
        </w:rPr>
        <w:t>–</w:t>
      </w:r>
      <w:r>
        <w:rPr>
          <w:rFonts w:hint="cs"/>
          <w:rtl/>
        </w:rPr>
        <w:t xml:space="preserve"> מבחינת אופיו ורמת ההפשטה שלו </w:t>
      </w:r>
      <w:r>
        <w:rPr>
          <w:rtl/>
        </w:rPr>
        <w:t>–</w:t>
      </w:r>
      <w:r>
        <w:rPr>
          <w:rFonts w:hint="cs"/>
          <w:rtl/>
        </w:rPr>
        <w:t xml:space="preserve"> עם חוק היסוד שאותו הוא מתקן. למעשה, סעיף 15(ד1), שנוסף במסגרת התיקון, </w:t>
      </w:r>
      <w:r w:rsidRPr="009E01DE">
        <w:rPr>
          <w:rFonts w:hint="cs"/>
          <w:color w:val="000000" w:themeColor="text1"/>
          <w:rtl/>
        </w:rPr>
        <w:t>מעגן הסדר</w:t>
      </w:r>
      <w:r w:rsidRPr="00E13DBC">
        <w:rPr>
          <w:rFonts w:hint="cs"/>
          <w:color w:val="000000" w:themeColor="text1"/>
          <w:rtl/>
        </w:rPr>
        <w:t xml:space="preserve"> </w:t>
      </w:r>
      <w:r w:rsidRPr="009E01DE">
        <w:rPr>
          <w:rFonts w:hint="cs"/>
          <w:color w:val="000000" w:themeColor="text1"/>
          <w:rtl/>
        </w:rPr>
        <w:t xml:space="preserve">נקודתי </w:t>
      </w:r>
      <w:r>
        <w:rPr>
          <w:rFonts w:hint="cs"/>
          <w:color w:val="000000" w:themeColor="text1"/>
          <w:rtl/>
        </w:rPr>
        <w:t xml:space="preserve">בדבר ביטול </w:t>
      </w:r>
      <w:r w:rsidRPr="009E01DE">
        <w:rPr>
          <w:rFonts w:hint="cs"/>
          <w:color w:val="000000" w:themeColor="text1"/>
          <w:rtl/>
        </w:rPr>
        <w:t>עילת ביקורת שיפוטית ספציפית מתחום המשפט המ</w:t>
      </w:r>
      <w:r>
        <w:rPr>
          <w:rFonts w:hint="cs"/>
          <w:color w:val="000000" w:themeColor="text1"/>
          <w:rtl/>
        </w:rPr>
        <w:t>י</w:t>
      </w:r>
      <w:r w:rsidRPr="009E01DE">
        <w:rPr>
          <w:rFonts w:hint="cs"/>
          <w:color w:val="000000" w:themeColor="text1"/>
          <w:rtl/>
        </w:rPr>
        <w:t xml:space="preserve">נהלי. </w:t>
      </w:r>
      <w:r>
        <w:rPr>
          <w:rFonts w:hint="cs"/>
          <w:color w:val="000000" w:themeColor="text1"/>
          <w:rtl/>
        </w:rPr>
        <w:t>הסעיף אף אינו מתיישב עם ה</w:t>
      </w:r>
      <w:r w:rsidRPr="00B32B59">
        <w:rPr>
          <w:rFonts w:hint="cs"/>
          <w:color w:val="000000" w:themeColor="text1"/>
          <w:rtl/>
        </w:rPr>
        <w:t xml:space="preserve">היגיון הפנימי </w:t>
      </w:r>
      <w:r>
        <w:rPr>
          <w:rFonts w:hint="cs"/>
          <w:color w:val="000000" w:themeColor="text1"/>
          <w:rtl/>
        </w:rPr>
        <w:t xml:space="preserve">של ההסדר הכללי הקבוע בסעיף 15 לחוק היסוד. כך, </w:t>
      </w:r>
      <w:r w:rsidRPr="009E01DE">
        <w:rPr>
          <w:rFonts w:hint="cs"/>
          <w:color w:val="000000" w:themeColor="text1"/>
          <w:rtl/>
        </w:rPr>
        <w:t xml:space="preserve">בעוד שסעיף 15 </w:t>
      </w:r>
      <w:r>
        <w:rPr>
          <w:rFonts w:hint="cs"/>
          <w:color w:val="000000" w:themeColor="text1"/>
          <w:rtl/>
        </w:rPr>
        <w:t xml:space="preserve">עוסק בהסדרת </w:t>
      </w:r>
      <w:r w:rsidRPr="009E01DE">
        <w:rPr>
          <w:rFonts w:hint="cs"/>
          <w:color w:val="000000" w:themeColor="text1"/>
          <w:rtl/>
        </w:rPr>
        <w:t xml:space="preserve">סמכויותיו הכלליות של </w:t>
      </w:r>
      <w:r w:rsidRPr="00262C46">
        <w:rPr>
          <w:rFonts w:ascii="Century" w:hAnsi="Century" w:cs="Miriam" w:hint="cs"/>
          <w:b/>
          <w:color w:val="000000" w:themeColor="text1"/>
          <w:spacing w:val="0"/>
          <w:szCs w:val="24"/>
          <w:rtl/>
        </w:rPr>
        <w:t>בית המשפט העליון</w:t>
      </w:r>
      <w:r>
        <w:rPr>
          <w:rFonts w:hint="cs"/>
          <w:color w:val="000000" w:themeColor="text1"/>
          <w:rtl/>
        </w:rPr>
        <w:t xml:space="preserve">; </w:t>
      </w:r>
      <w:r w:rsidRPr="009E01DE">
        <w:rPr>
          <w:rFonts w:hint="cs"/>
          <w:color w:val="000000" w:themeColor="text1"/>
          <w:rtl/>
        </w:rPr>
        <w:t xml:space="preserve">התיקון בענייננו עוסק בצמצום סמכות הביקורת השיפוטית של </w:t>
      </w:r>
      <w:r w:rsidRPr="009E01DE">
        <w:rPr>
          <w:rFonts w:ascii="Century" w:hAnsi="Century" w:cs="Miriam" w:hint="cs"/>
          <w:b/>
          <w:color w:val="000000" w:themeColor="text1"/>
          <w:spacing w:val="0"/>
          <w:szCs w:val="24"/>
          <w:rtl/>
        </w:rPr>
        <w:t>כלל</w:t>
      </w:r>
      <w:r w:rsidRPr="009E01DE">
        <w:rPr>
          <w:rFonts w:hint="cs"/>
          <w:color w:val="000000" w:themeColor="text1"/>
          <w:rtl/>
        </w:rPr>
        <w:t xml:space="preserve"> בתי המשפט</w:t>
      </w:r>
      <w:r>
        <w:rPr>
          <w:rFonts w:hint="cs"/>
          <w:color w:val="000000" w:themeColor="text1"/>
          <w:rtl/>
        </w:rPr>
        <w:t xml:space="preserve"> ("</w:t>
      </w:r>
      <w:r w:rsidRPr="00571796">
        <w:rPr>
          <w:rFonts w:hint="eastAsia"/>
          <w:color w:val="000000" w:themeColor="text1"/>
          <w:rtl/>
        </w:rPr>
        <w:t>מי</w:t>
      </w:r>
      <w:r w:rsidRPr="00571796">
        <w:rPr>
          <w:color w:val="000000" w:themeColor="text1"/>
          <w:rtl/>
        </w:rPr>
        <w:t xml:space="preserve"> </w:t>
      </w:r>
      <w:r w:rsidRPr="00571796">
        <w:rPr>
          <w:rFonts w:hint="eastAsia"/>
          <w:color w:val="000000" w:themeColor="text1"/>
          <w:rtl/>
        </w:rPr>
        <w:t>שבידו</w:t>
      </w:r>
      <w:r w:rsidRPr="00571796">
        <w:rPr>
          <w:color w:val="000000" w:themeColor="text1"/>
          <w:rtl/>
        </w:rPr>
        <w:t xml:space="preserve"> </w:t>
      </w:r>
      <w:r w:rsidRPr="00571796">
        <w:rPr>
          <w:rFonts w:hint="eastAsia"/>
          <w:color w:val="000000" w:themeColor="text1"/>
          <w:rtl/>
        </w:rPr>
        <w:t>סמכות</w:t>
      </w:r>
      <w:r w:rsidRPr="00571796">
        <w:rPr>
          <w:color w:val="000000" w:themeColor="text1"/>
          <w:rtl/>
        </w:rPr>
        <w:t xml:space="preserve"> </w:t>
      </w:r>
      <w:r w:rsidRPr="00571796">
        <w:rPr>
          <w:rFonts w:hint="eastAsia"/>
          <w:color w:val="000000" w:themeColor="text1"/>
          <w:rtl/>
        </w:rPr>
        <w:t>שפיטה</w:t>
      </w:r>
      <w:r w:rsidRPr="00571796">
        <w:rPr>
          <w:color w:val="000000" w:themeColor="text1"/>
          <w:rtl/>
        </w:rPr>
        <w:t xml:space="preserve"> </w:t>
      </w:r>
      <w:r w:rsidRPr="00571796">
        <w:rPr>
          <w:rFonts w:hint="eastAsia"/>
          <w:color w:val="000000" w:themeColor="text1"/>
          <w:rtl/>
        </w:rPr>
        <w:t>על</w:t>
      </w:r>
      <w:r w:rsidRPr="00571796">
        <w:rPr>
          <w:color w:val="000000" w:themeColor="text1"/>
          <w:rtl/>
        </w:rPr>
        <w:t xml:space="preserve"> </w:t>
      </w:r>
      <w:r w:rsidRPr="00571796">
        <w:rPr>
          <w:rFonts w:hint="eastAsia"/>
          <w:color w:val="000000" w:themeColor="text1"/>
          <w:rtl/>
        </w:rPr>
        <w:t>פי</w:t>
      </w:r>
      <w:r w:rsidRPr="00571796">
        <w:rPr>
          <w:color w:val="000000" w:themeColor="text1"/>
          <w:rtl/>
        </w:rPr>
        <w:t xml:space="preserve"> </w:t>
      </w:r>
      <w:r w:rsidRPr="00571796">
        <w:rPr>
          <w:rFonts w:hint="eastAsia"/>
          <w:color w:val="000000" w:themeColor="text1"/>
          <w:rtl/>
        </w:rPr>
        <w:t>דין</w:t>
      </w:r>
      <w:r>
        <w:rPr>
          <w:rFonts w:hint="cs"/>
          <w:color w:val="000000" w:themeColor="text1"/>
          <w:rtl/>
        </w:rPr>
        <w:t>")</w:t>
      </w:r>
      <w:r w:rsidRPr="009E01DE">
        <w:rPr>
          <w:rFonts w:hint="cs"/>
          <w:color w:val="000000" w:themeColor="text1"/>
          <w:rtl/>
        </w:rPr>
        <w:t xml:space="preserve">. </w:t>
      </w:r>
    </w:p>
    <w:p w:rsidR="00C044AE" w:rsidRDefault="00C044AE" w:rsidP="00C044AE">
      <w:pPr>
        <w:pStyle w:val="Ruller41"/>
        <w:rPr>
          <w:rtl/>
        </w:rPr>
      </w:pPr>
    </w:p>
    <w:p w:rsidR="00C044AE" w:rsidRPr="00BE1411" w:rsidRDefault="00C044AE" w:rsidP="00C044AE">
      <w:pPr>
        <w:pStyle w:val="Ruller4"/>
        <w:rPr>
          <w:rtl/>
        </w:rPr>
      </w:pPr>
      <w:r>
        <w:rPr>
          <w:rFonts w:hint="cs"/>
          <w:rtl/>
        </w:rPr>
        <w:t xml:space="preserve">חריגותו של התיקון </w:t>
      </w:r>
      <w:r>
        <w:rPr>
          <w:rtl/>
        </w:rPr>
        <w:t>–</w:t>
      </w:r>
      <w:r>
        <w:rPr>
          <w:rFonts w:hint="cs"/>
          <w:rtl/>
        </w:rPr>
        <w:t xml:space="preserve"> המבטל עילת ביקורת מינהלית ספציפית </w:t>
      </w:r>
      <w:r>
        <w:rPr>
          <w:rtl/>
        </w:rPr>
        <w:t>–</w:t>
      </w:r>
      <w:r>
        <w:rPr>
          <w:rFonts w:hint="cs"/>
          <w:rtl/>
        </w:rPr>
        <w:t xml:space="preserve"> במסגרת חוק-יסוד: השפיטה, בולטת במיוחד בשים לב לכך שכללי המשפט המינהלי, לרבות חובת הסבירות שאליה מתייחס התיקון, כלל אינם מוסדרים בחקיקה, לא כל שכן בחקיקת יסוד. </w:t>
      </w:r>
      <w:r w:rsidRPr="00BE1411">
        <w:rPr>
          <w:rFonts w:hint="cs"/>
          <w:rtl/>
        </w:rPr>
        <w:t xml:space="preserve">על </w:t>
      </w:r>
      <w:r>
        <w:rPr>
          <w:rFonts w:hint="cs"/>
          <w:rtl/>
        </w:rPr>
        <w:t>קושי זה ועל חריגות התיקון עמד</w:t>
      </w:r>
      <w:r w:rsidRPr="00BE1411">
        <w:rPr>
          <w:rFonts w:hint="cs"/>
          <w:rtl/>
        </w:rPr>
        <w:t xml:space="preserve"> היועץ המשפטי לוועדה, עו"ד בליי, במהלך </w:t>
      </w:r>
      <w:r>
        <w:rPr>
          <w:rFonts w:hint="cs"/>
          <w:rtl/>
        </w:rPr>
        <w:t xml:space="preserve">הדיונים בוועדה על הצעת החוק </w:t>
      </w:r>
      <w:r w:rsidRPr="004C76BD">
        <w:rPr>
          <w:rFonts w:hint="cs"/>
          <w:rtl/>
        </w:rPr>
        <w:t>(</w:t>
      </w:r>
      <w:r w:rsidRPr="00065269">
        <w:rPr>
          <w:rFonts w:ascii="FrankRuehl" w:hAnsi="FrankRuehl"/>
          <w:color w:val="000000"/>
          <w:sz w:val="28"/>
          <w:rtl/>
        </w:rPr>
        <w:t xml:space="preserve">פרוטוקול ישיבה </w:t>
      </w:r>
      <w:r w:rsidRPr="00065269">
        <w:rPr>
          <w:rFonts w:ascii="FrankRuehl" w:hAnsi="FrankRuehl" w:hint="cs"/>
          <w:color w:val="000000"/>
          <w:sz w:val="28"/>
          <w:rtl/>
        </w:rPr>
        <w:t xml:space="preserve">105, בעמ' </w:t>
      </w:r>
      <w:r w:rsidRPr="004C76BD">
        <w:rPr>
          <w:rFonts w:hint="cs"/>
          <w:rtl/>
        </w:rPr>
        <w:t xml:space="preserve">85). </w:t>
      </w:r>
      <w:r w:rsidRPr="00BE1411">
        <w:rPr>
          <w:rFonts w:hint="cs"/>
          <w:rtl/>
        </w:rPr>
        <w:t xml:space="preserve">המשנה ליועצת המשפטית לממשלה, עו"ד לימון, עמד </w:t>
      </w:r>
      <w:r>
        <w:rPr>
          <w:rFonts w:hint="cs"/>
          <w:rtl/>
        </w:rPr>
        <w:t xml:space="preserve">אף הוא </w:t>
      </w:r>
      <w:r w:rsidRPr="00BE1411">
        <w:rPr>
          <w:rFonts w:hint="cs"/>
          <w:rtl/>
        </w:rPr>
        <w:t xml:space="preserve">על </w:t>
      </w:r>
      <w:r>
        <w:rPr>
          <w:rFonts w:hint="cs"/>
          <w:rtl/>
        </w:rPr>
        <w:t xml:space="preserve">חריגותו של התיקון בחוק-יסוד: השפיטה: </w:t>
      </w:r>
    </w:p>
    <w:p w:rsidR="00C044AE" w:rsidRPr="009D10E2" w:rsidRDefault="00C044AE" w:rsidP="00C044AE">
      <w:pPr>
        <w:pStyle w:val="ruller410"/>
        <w:shd w:val="clear" w:color="auto" w:fill="FFFFFF"/>
        <w:bidi/>
        <w:spacing w:before="0" w:beforeAutospacing="0" w:after="0" w:afterAutospacing="0" w:line="360" w:lineRule="atLeast"/>
        <w:jc w:val="both"/>
        <w:rPr>
          <w:rFonts w:ascii="Garamond" w:hAnsi="Garamond"/>
          <w:color w:val="000000"/>
          <w:spacing w:val="10"/>
          <w:sz w:val="27"/>
          <w:szCs w:val="27"/>
          <w:rtl/>
        </w:rPr>
      </w:pPr>
    </w:p>
    <w:p w:rsidR="00C044AE" w:rsidRDefault="00C044AE" w:rsidP="00003582">
      <w:pPr>
        <w:pStyle w:val="Ruller5"/>
        <w:spacing w:line="276" w:lineRule="auto"/>
        <w:rPr>
          <w:rFonts w:ascii="Garamond" w:hAnsi="Garamond"/>
          <w:color w:val="000000" w:themeColor="text1"/>
          <w:sz w:val="24"/>
          <w:rtl/>
        </w:rPr>
      </w:pPr>
      <w:r w:rsidRPr="009D10E2">
        <w:rPr>
          <w:rFonts w:hint="cs"/>
          <w:color w:val="000000"/>
          <w:rtl/>
          <w14:textFill>
            <w14:solidFill>
              <w14:srgbClr w14:val="000000">
                <w14:lumMod w14:val="75000"/>
              </w14:srgbClr>
            </w14:solidFill>
          </w14:textFill>
        </w:rPr>
        <w:t>"</w:t>
      </w:r>
      <w:r w:rsidRPr="00645F3E">
        <w:rPr>
          <w:rFonts w:ascii="Garamond" w:hAnsi="Garamond" w:hint="eastAsia"/>
          <w:color w:val="000000" w:themeColor="text1"/>
          <w:sz w:val="24"/>
          <w:rtl/>
        </w:rPr>
        <w:t>אילו</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ההצעה</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הייתה</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מבקשת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לטפל</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באופן</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אמיתי</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במורכבויות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של</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עילת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הסבירות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ובהחלט</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ישנן</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מורכבויות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כאלה</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שאעמוד</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עליהן</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בהמשך</w:t>
      </w:r>
      <w:r w:rsidRPr="00645F3E">
        <w:rPr>
          <w:rFonts w:ascii="Garamond" w:hAnsi="Garamond"/>
          <w:color w:val="000000" w:themeColor="text1"/>
          <w:sz w:val="24"/>
          <w:rtl/>
        </w:rPr>
        <w:t xml:space="preserve"> – </w:t>
      </w:r>
      <w:r w:rsidRPr="00645F3E">
        <w:rPr>
          <w:rFonts w:ascii="Garamond" w:hAnsi="Garamond" w:hint="eastAsia"/>
          <w:color w:val="000000" w:themeColor="text1"/>
          <w:sz w:val="24"/>
          <w:rtl/>
        </w:rPr>
        <w:t>היא</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הייתה</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עוסקת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קודם</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כל</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בהגדרת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חובת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הסבירות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במשפט</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המנהלי</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ולא</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עושה</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זאת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באמצעות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תיקון</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לחוק</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יסוד</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השפיטה</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אולם</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ההצעה</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אינה</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מתייחסת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כלל</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לעקרון</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הבסיסי</w:t>
      </w:r>
      <w:r w:rsidRPr="00645F3E">
        <w:rPr>
          <w:rFonts w:ascii="Garamond" w:hAnsi="Garamond"/>
          <w:color w:val="000000" w:themeColor="text1"/>
          <w:sz w:val="24"/>
          <w:rtl/>
        </w:rPr>
        <w:t xml:space="preserve"> – </w:t>
      </w:r>
      <w:r w:rsidRPr="00645F3E">
        <w:rPr>
          <w:rFonts w:ascii="Garamond" w:hAnsi="Garamond" w:hint="eastAsia"/>
          <w:color w:val="000000" w:themeColor="text1"/>
          <w:sz w:val="24"/>
          <w:rtl/>
        </w:rPr>
        <w:t>עיגון</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חובת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הסבירות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במקום</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זאת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ההצעה</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כוללת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מרכיב</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אחד</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בלבד</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בעל</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השלכות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קשות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ביותר</w:t>
      </w:r>
      <w:r w:rsidRPr="00645F3E">
        <w:rPr>
          <w:rFonts w:ascii="Garamond" w:hAnsi="Garamond"/>
          <w:color w:val="000000" w:themeColor="text1"/>
          <w:sz w:val="24"/>
          <w:rtl/>
        </w:rPr>
        <w:t xml:space="preserve"> – </w:t>
      </w:r>
      <w:r w:rsidRPr="00645F3E">
        <w:rPr>
          <w:rFonts w:ascii="Garamond" w:hAnsi="Garamond" w:hint="eastAsia"/>
          <w:color w:val="000000" w:themeColor="text1"/>
          <w:sz w:val="24"/>
          <w:rtl/>
        </w:rPr>
        <w:t>חסימה</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מוחלטת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של</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ביקורת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שיפוטית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על</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החלטות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בלתי</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סבירות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בהתבסס</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אך</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ורק</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על</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זהות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מקבל</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ההחלטה</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ביחס</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להחלטות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החשובות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ביותר</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שמתקבלות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על</w:t>
      </w:r>
      <w:r w:rsidRPr="00645F3E">
        <w:rPr>
          <w:rFonts w:ascii="Garamond" w:hAnsi="Garamond"/>
          <w:color w:val="000000" w:themeColor="text1"/>
          <w:sz w:val="24"/>
          <w:rtl/>
        </w:rPr>
        <w:t>-</w:t>
      </w:r>
      <w:r w:rsidRPr="00645F3E">
        <w:rPr>
          <w:rFonts w:ascii="Garamond" w:hAnsi="Garamond" w:hint="eastAsia"/>
          <w:color w:val="000000" w:themeColor="text1"/>
          <w:sz w:val="24"/>
          <w:rtl/>
        </w:rPr>
        <w:t>ידי</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הדרג</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הממשלתי</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הגבוה</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ביותר</w:t>
      </w:r>
      <w:r>
        <w:rPr>
          <w:rFonts w:ascii="Garamond" w:hAnsi="Garamond" w:hint="cs"/>
          <w:color w:val="000000" w:themeColor="text1"/>
          <w:sz w:val="24"/>
          <w:rtl/>
        </w:rPr>
        <w:t xml:space="preserve">" (פרוטוקול ישיבה 108, בעמ' 10). </w:t>
      </w:r>
    </w:p>
    <w:p w:rsidR="00003582" w:rsidRPr="001765CE" w:rsidRDefault="00003582" w:rsidP="00003582">
      <w:pPr>
        <w:pStyle w:val="Ruller5"/>
        <w:spacing w:line="276" w:lineRule="auto"/>
        <w:rPr>
          <w:rFonts w:ascii="Garamond" w:hAnsi="Garamond"/>
          <w:color w:val="000000" w:themeColor="text1"/>
          <w:sz w:val="24"/>
          <w:rtl/>
        </w:rPr>
      </w:pPr>
    </w:p>
    <w:p w:rsidR="00C044AE" w:rsidRDefault="00C044AE" w:rsidP="00C044AE">
      <w:pPr>
        <w:pStyle w:val="Ruller4"/>
      </w:pPr>
      <w:r w:rsidRPr="0083292C">
        <w:rPr>
          <w:rFonts w:hint="cs"/>
          <w:rtl/>
        </w:rPr>
        <w:t xml:space="preserve">בחינת המארג החוקתי </w:t>
      </w:r>
      <w:r>
        <w:rPr>
          <w:rFonts w:hint="cs"/>
          <w:rtl/>
        </w:rPr>
        <w:t>הכולל,</w:t>
      </w:r>
      <w:r w:rsidRPr="0083292C">
        <w:rPr>
          <w:rFonts w:hint="cs"/>
          <w:rtl/>
        </w:rPr>
        <w:t xml:space="preserve"> מקשה ליישב</w:t>
      </w:r>
      <w:r>
        <w:rPr>
          <w:rFonts w:hint="cs"/>
          <w:rtl/>
        </w:rPr>
        <w:t xml:space="preserve"> את התיקון אף </w:t>
      </w:r>
      <w:r w:rsidRPr="0083292C">
        <w:rPr>
          <w:rFonts w:hint="cs"/>
          <w:rtl/>
        </w:rPr>
        <w:t xml:space="preserve">עם </w:t>
      </w:r>
      <w:r>
        <w:rPr>
          <w:rFonts w:hint="cs"/>
          <w:rtl/>
        </w:rPr>
        <w:t>הסדרים אחרים במשפט הישראלי</w:t>
      </w:r>
      <w:r w:rsidRPr="0083292C">
        <w:rPr>
          <w:rFonts w:hint="cs"/>
          <w:rtl/>
        </w:rPr>
        <w:t xml:space="preserve">. כך, לא </w:t>
      </w:r>
      <w:r>
        <w:rPr>
          <w:rFonts w:hint="cs"/>
          <w:rtl/>
        </w:rPr>
        <w:t>הוצגה בפנינו</w:t>
      </w:r>
      <w:r w:rsidRPr="0083292C">
        <w:rPr>
          <w:rFonts w:hint="cs"/>
          <w:rtl/>
        </w:rPr>
        <w:t xml:space="preserve"> הוראה דומה</w:t>
      </w:r>
      <w:r>
        <w:rPr>
          <w:rFonts w:hint="cs"/>
          <w:rtl/>
        </w:rPr>
        <w:t xml:space="preserve"> בספר החוקים </w:t>
      </w:r>
      <w:r w:rsidRPr="0083292C">
        <w:rPr>
          <w:rFonts w:hint="cs"/>
          <w:rtl/>
        </w:rPr>
        <w:t xml:space="preserve">העוסקת </w:t>
      </w:r>
      <w:r w:rsidRPr="007D252E">
        <w:rPr>
          <w:rFonts w:ascii="Miriam" w:hAnsi="Miriam" w:cs="Miriam" w:hint="eastAsia"/>
          <w:szCs w:val="24"/>
          <w:rtl/>
        </w:rPr>
        <w:t>בביטול</w:t>
      </w:r>
      <w:r w:rsidRPr="0083292C">
        <w:rPr>
          <w:rFonts w:hint="cs"/>
          <w:rtl/>
        </w:rPr>
        <w:t xml:space="preserve"> עילת תביעה או עילת ביקורת </w:t>
      </w:r>
      <w:r>
        <w:rPr>
          <w:rFonts w:hint="cs"/>
          <w:rtl/>
        </w:rPr>
        <w:t>מינהלית</w:t>
      </w:r>
      <w:r w:rsidRPr="0083292C">
        <w:rPr>
          <w:rFonts w:hint="cs"/>
          <w:rtl/>
        </w:rPr>
        <w:t xml:space="preserve"> </w:t>
      </w:r>
      <w:r>
        <w:rPr>
          <w:rFonts w:hint="cs"/>
          <w:rtl/>
        </w:rPr>
        <w:t>ספציפית, להבדיל</w:t>
      </w:r>
      <w:r w:rsidRPr="0083292C">
        <w:rPr>
          <w:rFonts w:hint="cs"/>
          <w:rtl/>
        </w:rPr>
        <w:t xml:space="preserve"> </w:t>
      </w:r>
      <w:r>
        <w:rPr>
          <w:rFonts w:hint="cs"/>
          <w:rtl/>
        </w:rPr>
        <w:t>מ</w:t>
      </w:r>
      <w:r w:rsidRPr="0083292C">
        <w:rPr>
          <w:rFonts w:hint="cs"/>
          <w:rtl/>
        </w:rPr>
        <w:t>הוראות המגבילות</w:t>
      </w:r>
      <w:r>
        <w:rPr>
          <w:rFonts w:hint="cs"/>
          <w:rtl/>
        </w:rPr>
        <w:t xml:space="preserve"> או תוחמות</w:t>
      </w:r>
      <w:r w:rsidRPr="0083292C">
        <w:rPr>
          <w:rFonts w:hint="cs"/>
          <w:rtl/>
        </w:rPr>
        <w:t xml:space="preserve"> את </w:t>
      </w:r>
      <w:r>
        <w:rPr>
          <w:rFonts w:hint="cs"/>
          <w:rtl/>
        </w:rPr>
        <w:t>הפיקוח השיפוטי, ה</w:t>
      </w:r>
      <w:r w:rsidRPr="0083292C">
        <w:rPr>
          <w:rFonts w:hint="cs"/>
          <w:rtl/>
        </w:rPr>
        <w:t>מעוגנ</w:t>
      </w:r>
      <w:r>
        <w:rPr>
          <w:rFonts w:hint="cs"/>
          <w:rtl/>
        </w:rPr>
        <w:t xml:space="preserve">ות ככלל </w:t>
      </w:r>
      <w:r w:rsidRPr="00BE6DF9">
        <w:rPr>
          <w:rFonts w:ascii="Century" w:hAnsi="Century" w:cs="Miriam" w:hint="cs"/>
          <w:b/>
          <w:spacing w:val="0"/>
          <w:sz w:val="22"/>
          <w:szCs w:val="24"/>
          <w:rtl/>
        </w:rPr>
        <w:t xml:space="preserve">בחקיקה ראשית </w:t>
      </w:r>
      <w:r>
        <w:rPr>
          <w:rFonts w:hint="cs"/>
          <w:rtl/>
        </w:rPr>
        <w:t xml:space="preserve">(ראו, למשל: </w:t>
      </w:r>
      <w:r w:rsidRPr="00F20CCF">
        <w:rPr>
          <w:rtl/>
        </w:rPr>
        <w:t>סעיף 16(ג) לחוק הנפט, התשי"ב-1952</w:t>
      </w:r>
      <w:r>
        <w:rPr>
          <w:rFonts w:hint="cs"/>
          <w:rtl/>
        </w:rPr>
        <w:t xml:space="preserve">; </w:t>
      </w:r>
      <w:r w:rsidRPr="00F20CCF">
        <w:rPr>
          <w:rtl/>
        </w:rPr>
        <w:t xml:space="preserve">סעיף 11(ה) לחוק התגמולים לנפגעי פעולות איבה, </w:t>
      </w:r>
      <w:r w:rsidRPr="00F20CCF">
        <w:rPr>
          <w:rtl/>
        </w:rPr>
        <w:lastRenderedPageBreak/>
        <w:t>התש"ל-1970</w:t>
      </w:r>
      <w:r w:rsidRPr="00764E08">
        <w:rPr>
          <w:rFonts w:hint="cs"/>
          <w:rtl/>
        </w:rPr>
        <w:t>;</w:t>
      </w:r>
      <w:r>
        <w:rPr>
          <w:rFonts w:hint="cs"/>
          <w:rtl/>
        </w:rPr>
        <w:t xml:space="preserve"> ס</w:t>
      </w:r>
      <w:r w:rsidRPr="00E27E0C">
        <w:rPr>
          <w:rtl/>
        </w:rPr>
        <w:t>עיף 59לא לחוק החברות הממשלתיות</w:t>
      </w:r>
      <w:r>
        <w:rPr>
          <w:rFonts w:hint="cs"/>
          <w:rtl/>
        </w:rPr>
        <w:t xml:space="preserve">; </w:t>
      </w:r>
      <w:r w:rsidRPr="00E27E0C">
        <w:rPr>
          <w:rtl/>
        </w:rPr>
        <w:t>סעיף 5ב לחוק שירות בטחון [נוסח משולב], התשמ"ו-1986</w:t>
      </w:r>
      <w:r>
        <w:rPr>
          <w:rFonts w:hint="cs"/>
          <w:rtl/>
        </w:rPr>
        <w:t>)</w:t>
      </w:r>
      <w:r w:rsidRPr="00764E08">
        <w:rPr>
          <w:rFonts w:hint="cs"/>
          <w:rtl/>
        </w:rPr>
        <w:t>.</w:t>
      </w:r>
    </w:p>
    <w:p w:rsidR="00C044AE" w:rsidRDefault="00C044AE" w:rsidP="00C044AE">
      <w:pPr>
        <w:pStyle w:val="Ruller4"/>
        <w:numPr>
          <w:ilvl w:val="0"/>
          <w:numId w:val="0"/>
        </w:numPr>
      </w:pPr>
      <w:r w:rsidRPr="00764E08">
        <w:rPr>
          <w:rFonts w:hint="cs"/>
          <w:rtl/>
        </w:rPr>
        <w:t xml:space="preserve"> </w:t>
      </w:r>
    </w:p>
    <w:p w:rsidR="00C044AE" w:rsidRPr="00764E08" w:rsidRDefault="00C044AE" w:rsidP="00C044AE">
      <w:pPr>
        <w:pStyle w:val="Ruller4"/>
        <w:rPr>
          <w:rtl/>
        </w:rPr>
      </w:pPr>
      <w:r w:rsidRPr="00764E08">
        <w:rPr>
          <w:rFonts w:hint="cs"/>
          <w:rtl/>
        </w:rPr>
        <w:t>לגישתי, מכלול</w:t>
      </w:r>
      <w:r>
        <w:rPr>
          <w:rFonts w:hint="cs"/>
          <w:rtl/>
        </w:rPr>
        <w:t xml:space="preserve"> הקשיים שצוינו לעיל </w:t>
      </w:r>
      <w:r w:rsidRPr="00764E08">
        <w:rPr>
          <w:rFonts w:hint="cs"/>
          <w:rtl/>
        </w:rPr>
        <w:t>מעורר</w:t>
      </w:r>
      <w:r>
        <w:rPr>
          <w:rFonts w:hint="cs"/>
          <w:rtl/>
        </w:rPr>
        <w:t>ים</w:t>
      </w:r>
      <w:r w:rsidRPr="00764E08">
        <w:rPr>
          <w:rFonts w:hint="cs"/>
          <w:rtl/>
        </w:rPr>
        <w:t xml:space="preserve"> חשש כבד שמא </w:t>
      </w:r>
      <w:r>
        <w:rPr>
          <w:rFonts w:hint="cs"/>
          <w:rtl/>
        </w:rPr>
        <w:t xml:space="preserve">ההחלטה לכלול את התיקון תחת הכותרת "חוק יסוד", לא נועדה אלא על מנת לחסנו מפני הביקורת השיפוטית החלה על דברי חקיקה "רגילים" (ראו והשוו: </w:t>
      </w:r>
      <w:r w:rsidRPr="00764E08">
        <w:rPr>
          <w:rFonts w:hint="cs"/>
          <w:rtl/>
        </w:rPr>
        <w:t xml:space="preserve">עניין </w:t>
      </w:r>
      <w:r w:rsidRPr="00764E08">
        <w:rPr>
          <w:rFonts w:ascii="Century" w:hAnsi="Century" w:cs="Miriam" w:hint="cs"/>
          <w:b/>
          <w:spacing w:val="0"/>
          <w:szCs w:val="24"/>
          <w:rtl/>
        </w:rPr>
        <w:t xml:space="preserve">פורת, </w:t>
      </w:r>
      <w:r w:rsidRPr="00764E08">
        <w:rPr>
          <w:rFonts w:hint="cs"/>
          <w:rtl/>
        </w:rPr>
        <w:t xml:space="preserve">בעמ' 914; עניין </w:t>
      </w:r>
      <w:r w:rsidRPr="00764E08">
        <w:rPr>
          <w:rFonts w:ascii="Century" w:hAnsi="Century" w:cs="Miriam" w:hint="cs"/>
          <w:b/>
          <w:spacing w:val="0"/>
          <w:szCs w:val="24"/>
          <w:rtl/>
        </w:rPr>
        <w:t>חרות</w:t>
      </w:r>
      <w:r w:rsidRPr="00764E08">
        <w:rPr>
          <w:rFonts w:hint="cs"/>
          <w:rtl/>
        </w:rPr>
        <w:t xml:space="preserve">, בעמ' 756; בג"ץ 2208/02 </w:t>
      </w:r>
      <w:r w:rsidRPr="00764E08">
        <w:rPr>
          <w:rFonts w:ascii="Century" w:hAnsi="Century" w:cs="Miriam" w:hint="cs"/>
          <w:b/>
          <w:spacing w:val="0"/>
          <w:szCs w:val="24"/>
          <w:rtl/>
        </w:rPr>
        <w:t>סלאמה נ' שר הפנים</w:t>
      </w:r>
      <w:r w:rsidRPr="00764E08">
        <w:rPr>
          <w:rFonts w:hint="cs"/>
          <w:rtl/>
        </w:rPr>
        <w:t xml:space="preserve">, פ"ד נו(5) 950, 953 (2002); </w:t>
      </w:r>
      <w:r w:rsidRPr="00764E08">
        <w:rPr>
          <w:rFonts w:ascii="Century" w:hAnsi="Century" w:cs="Miriam" w:hint="cs"/>
          <w:b/>
          <w:spacing w:val="0"/>
          <w:sz w:val="22"/>
          <w:szCs w:val="24"/>
          <w:rtl/>
        </w:rPr>
        <w:t>ברק-ארז "משפט מינהלי דיוני"</w:t>
      </w:r>
      <w:r w:rsidRPr="00764E08">
        <w:rPr>
          <w:rFonts w:hint="cs"/>
          <w:rtl/>
        </w:rPr>
        <w:t>,</w:t>
      </w:r>
      <w:r w:rsidRPr="00764E08">
        <w:rPr>
          <w:rFonts w:ascii="Century" w:hAnsi="Century" w:cs="Miriam" w:hint="cs"/>
          <w:b/>
          <w:spacing w:val="0"/>
          <w:sz w:val="22"/>
          <w:szCs w:val="24"/>
          <w:rtl/>
        </w:rPr>
        <w:t xml:space="preserve"> </w:t>
      </w:r>
      <w:r w:rsidRPr="00764E08">
        <w:rPr>
          <w:rFonts w:hint="cs"/>
          <w:rtl/>
        </w:rPr>
        <w:t xml:space="preserve">בעמ' </w:t>
      </w:r>
      <w:r>
        <w:rPr>
          <w:rFonts w:hint="cs"/>
          <w:rtl/>
        </w:rPr>
        <w:t>125</w:t>
      </w:r>
      <w:r w:rsidRPr="00764E08">
        <w:rPr>
          <w:rFonts w:hint="cs"/>
          <w:rtl/>
        </w:rPr>
        <w:t>).</w:t>
      </w:r>
      <w:r w:rsidRPr="00764E08">
        <w:rPr>
          <w:rFonts w:ascii="Century" w:hAnsi="Century" w:cs="Miriam" w:hint="cs"/>
          <w:b/>
          <w:spacing w:val="0"/>
          <w:sz w:val="22"/>
          <w:szCs w:val="24"/>
          <w:rtl/>
        </w:rPr>
        <w:t xml:space="preserve"> </w:t>
      </w:r>
    </w:p>
    <w:p w:rsidR="00C044AE" w:rsidRPr="0083292C" w:rsidRDefault="00C044AE" w:rsidP="00C044AE">
      <w:pPr>
        <w:pStyle w:val="Ruller41"/>
        <w:rPr>
          <w:rtl/>
        </w:rPr>
      </w:pPr>
    </w:p>
    <w:p w:rsidR="00C044AE" w:rsidRDefault="00C044AE" w:rsidP="00C044AE">
      <w:pPr>
        <w:pStyle w:val="Ruller4"/>
      </w:pPr>
      <w:r w:rsidRPr="00380755">
        <w:rPr>
          <w:rFonts w:hint="cs"/>
          <w:rtl/>
        </w:rPr>
        <w:t xml:space="preserve">קושי נוסף </w:t>
      </w:r>
      <w:r>
        <w:rPr>
          <w:rFonts w:hint="cs"/>
          <w:rtl/>
        </w:rPr>
        <w:t>ה</w:t>
      </w:r>
      <w:r w:rsidRPr="00380755">
        <w:rPr>
          <w:rFonts w:hint="cs"/>
          <w:rtl/>
        </w:rPr>
        <w:t xml:space="preserve">מתעורר בענייננו </w:t>
      </w:r>
      <w:r>
        <w:rPr>
          <w:rFonts w:hint="cs"/>
          <w:rtl/>
        </w:rPr>
        <w:t>נעוץ</w:t>
      </w:r>
      <w:r w:rsidRPr="00380755">
        <w:rPr>
          <w:rFonts w:hint="cs"/>
          <w:rtl/>
        </w:rPr>
        <w:t xml:space="preserve"> </w:t>
      </w:r>
      <w:r>
        <w:rPr>
          <w:rFonts w:hint="cs"/>
          <w:rtl/>
        </w:rPr>
        <w:t>ב</w:t>
      </w:r>
      <w:r w:rsidRPr="00A11AEF">
        <w:rPr>
          <w:rFonts w:hint="cs"/>
          <w:rtl/>
        </w:rPr>
        <w:t>מבחן</w:t>
      </w:r>
      <w:r w:rsidRPr="00356D4C">
        <w:rPr>
          <w:rFonts w:ascii="Century" w:hAnsi="Century" w:cs="Miriam" w:hint="cs"/>
          <w:b/>
          <w:spacing w:val="0"/>
          <w:szCs w:val="24"/>
          <w:rtl/>
        </w:rPr>
        <w:t xml:space="preserve"> הכלליות</w:t>
      </w:r>
      <w:r w:rsidRPr="00380755">
        <w:rPr>
          <w:rFonts w:hint="cs"/>
          <w:rtl/>
        </w:rPr>
        <w:t>.</w:t>
      </w:r>
      <w:r w:rsidRPr="00356D4C">
        <w:rPr>
          <w:rFonts w:hint="cs"/>
          <w:color w:val="000000" w:themeColor="text1" w:themeShade="BF"/>
          <w:rtl/>
        </w:rPr>
        <w:t xml:space="preserve"> </w:t>
      </w:r>
      <w:r>
        <w:rPr>
          <w:rFonts w:hint="cs"/>
          <w:rtl/>
        </w:rPr>
        <w:t xml:space="preserve">בעניין </w:t>
      </w:r>
      <w:r w:rsidRPr="00356D4C">
        <w:rPr>
          <w:rFonts w:ascii="Century" w:hAnsi="Century" w:cs="Miriam" w:hint="cs"/>
          <w:b/>
          <w:spacing w:val="0"/>
          <w:sz w:val="22"/>
          <w:szCs w:val="24"/>
          <w:rtl/>
        </w:rPr>
        <w:t>שפיר</w:t>
      </w:r>
      <w:r>
        <w:rPr>
          <w:rFonts w:hint="cs"/>
          <w:rtl/>
        </w:rPr>
        <w:t xml:space="preserve"> צוינה חשיבותה של דרישת הכלליות בכל הנוגע לחוקי היסוד, אשר אמורים </w:t>
      </w:r>
      <w:r w:rsidRPr="00E315C9">
        <w:rPr>
          <w:rFonts w:hint="eastAsia"/>
          <w:rtl/>
        </w:rPr>
        <w:t>לשקף</w:t>
      </w:r>
      <w:r>
        <w:rPr>
          <w:rFonts w:hint="cs"/>
          <w:rtl/>
        </w:rPr>
        <w:t xml:space="preserve"> באופיים</w:t>
      </w:r>
      <w:r w:rsidRPr="00E315C9">
        <w:rPr>
          <w:rtl/>
        </w:rPr>
        <w:t xml:space="preserve"> </w:t>
      </w:r>
      <w:r w:rsidRPr="00E315C9">
        <w:rPr>
          <w:rFonts w:hint="eastAsia"/>
          <w:rtl/>
        </w:rPr>
        <w:t>קונצנזוס</w:t>
      </w:r>
      <w:r w:rsidRPr="00E315C9">
        <w:rPr>
          <w:rtl/>
        </w:rPr>
        <w:t xml:space="preserve"> </w:t>
      </w:r>
      <w:r w:rsidRPr="00E315C9">
        <w:rPr>
          <w:rFonts w:hint="eastAsia"/>
          <w:rtl/>
        </w:rPr>
        <w:t>חברתי</w:t>
      </w:r>
      <w:r w:rsidRPr="00E315C9">
        <w:rPr>
          <w:rtl/>
        </w:rPr>
        <w:t xml:space="preserve"> </w:t>
      </w:r>
      <w:r w:rsidRPr="00E315C9">
        <w:rPr>
          <w:rFonts w:hint="eastAsia"/>
          <w:rtl/>
        </w:rPr>
        <w:t>רחב</w:t>
      </w:r>
      <w:r w:rsidRPr="00E315C9">
        <w:rPr>
          <w:rtl/>
        </w:rPr>
        <w:t xml:space="preserve">, </w:t>
      </w:r>
      <w:r w:rsidRPr="00E315C9">
        <w:rPr>
          <w:rFonts w:hint="eastAsia"/>
          <w:rtl/>
        </w:rPr>
        <w:t>להבדיל</w:t>
      </w:r>
      <w:r w:rsidRPr="00E315C9">
        <w:rPr>
          <w:rtl/>
        </w:rPr>
        <w:t xml:space="preserve"> </w:t>
      </w:r>
      <w:r w:rsidRPr="00E315C9">
        <w:rPr>
          <w:rFonts w:hint="eastAsia"/>
          <w:rtl/>
        </w:rPr>
        <w:t>מאינטרסים</w:t>
      </w:r>
      <w:r w:rsidRPr="00E315C9">
        <w:rPr>
          <w:rtl/>
        </w:rPr>
        <w:t xml:space="preserve"> </w:t>
      </w:r>
      <w:r>
        <w:rPr>
          <w:rFonts w:hint="cs"/>
          <w:rtl/>
        </w:rPr>
        <w:t>פרטיקולריים</w:t>
      </w:r>
      <w:r w:rsidRPr="00E315C9">
        <w:rPr>
          <w:rtl/>
        </w:rPr>
        <w:t xml:space="preserve"> </w:t>
      </w:r>
      <w:r>
        <w:rPr>
          <w:rFonts w:hint="cs"/>
          <w:rtl/>
        </w:rPr>
        <w:t>של קבוצת</w:t>
      </w:r>
      <w:r w:rsidRPr="00E315C9">
        <w:rPr>
          <w:rtl/>
        </w:rPr>
        <w:t xml:space="preserve"> </w:t>
      </w:r>
      <w:r w:rsidRPr="00E315C9">
        <w:rPr>
          <w:rFonts w:hint="eastAsia"/>
          <w:rtl/>
        </w:rPr>
        <w:t>רוב</w:t>
      </w:r>
      <w:r w:rsidRPr="00E315C9">
        <w:rPr>
          <w:rtl/>
        </w:rPr>
        <w:t xml:space="preserve"> </w:t>
      </w:r>
      <w:r w:rsidRPr="00E315C9">
        <w:rPr>
          <w:rFonts w:hint="eastAsia"/>
          <w:rtl/>
        </w:rPr>
        <w:t>כזו</w:t>
      </w:r>
      <w:r w:rsidRPr="00E315C9">
        <w:rPr>
          <w:rtl/>
        </w:rPr>
        <w:t xml:space="preserve"> </w:t>
      </w:r>
      <w:r w:rsidRPr="00E315C9">
        <w:rPr>
          <w:rFonts w:hint="eastAsia"/>
          <w:rtl/>
        </w:rPr>
        <w:t>או</w:t>
      </w:r>
      <w:r w:rsidRPr="00E315C9">
        <w:rPr>
          <w:rtl/>
        </w:rPr>
        <w:t xml:space="preserve"> </w:t>
      </w:r>
      <w:r w:rsidRPr="00E315C9">
        <w:rPr>
          <w:rFonts w:hint="eastAsia"/>
          <w:rtl/>
        </w:rPr>
        <w:t>אחרת</w:t>
      </w:r>
      <w:r w:rsidRPr="00E315C9">
        <w:rPr>
          <w:rtl/>
        </w:rPr>
        <w:t xml:space="preserve"> (</w:t>
      </w:r>
      <w:r w:rsidRPr="00E315C9">
        <w:rPr>
          <w:rFonts w:hint="eastAsia"/>
          <w:rtl/>
        </w:rPr>
        <w:t>ראו</w:t>
      </w:r>
      <w:r w:rsidRPr="00E315C9">
        <w:rPr>
          <w:rtl/>
        </w:rPr>
        <w:t xml:space="preserve">: </w:t>
      </w:r>
      <w:r w:rsidRPr="005E49A6">
        <w:rPr>
          <w:rFonts w:ascii="Century" w:hAnsi="Century" w:cs="Miriam" w:hint="cs"/>
          <w:b/>
          <w:color w:val="000000" w:themeColor="text1"/>
          <w:spacing w:val="0"/>
          <w:szCs w:val="24"/>
          <w:rtl/>
        </w:rPr>
        <w:t>שם</w:t>
      </w:r>
      <w:r w:rsidRPr="00E315C9">
        <w:rPr>
          <w:rtl/>
        </w:rPr>
        <w:t xml:space="preserve">, </w:t>
      </w:r>
      <w:r w:rsidRPr="00E315C9">
        <w:rPr>
          <w:rFonts w:hint="eastAsia"/>
          <w:rtl/>
        </w:rPr>
        <w:t>בפסקה</w:t>
      </w:r>
      <w:r w:rsidRPr="00E315C9">
        <w:rPr>
          <w:rtl/>
        </w:rPr>
        <w:t xml:space="preserve"> 40</w:t>
      </w:r>
      <w:r>
        <w:rPr>
          <w:rFonts w:hint="cs"/>
          <w:rtl/>
        </w:rPr>
        <w:t xml:space="preserve"> לחוות דעתי</w:t>
      </w:r>
      <w:r w:rsidRPr="00E315C9">
        <w:rPr>
          <w:rtl/>
        </w:rPr>
        <w:t>;</w:t>
      </w:r>
      <w:r>
        <w:rPr>
          <w:rFonts w:hint="cs"/>
          <w:rtl/>
        </w:rPr>
        <w:t xml:space="preserve"> כן ראו:</w:t>
      </w:r>
      <w:r w:rsidRPr="004B1A64">
        <w:rPr>
          <w:rtl/>
        </w:rPr>
        <w:t xml:space="preserve"> </w:t>
      </w:r>
      <w:r w:rsidRPr="00D8730D">
        <w:rPr>
          <w:rFonts w:ascii="Century" w:hAnsi="Century" w:cs="Miriam" w:hint="eastAsia"/>
          <w:b/>
          <w:spacing w:val="0"/>
          <w:sz w:val="22"/>
          <w:szCs w:val="24"/>
          <w:rtl/>
        </w:rPr>
        <w:t>בנדור</w:t>
      </w:r>
      <w:r w:rsidRPr="00D8730D">
        <w:rPr>
          <w:rFonts w:ascii="Century" w:hAnsi="Century" w:cs="Miriam"/>
          <w:b/>
          <w:spacing w:val="0"/>
          <w:sz w:val="22"/>
          <w:szCs w:val="24"/>
          <w:rtl/>
        </w:rPr>
        <w:t xml:space="preserve"> "</w:t>
      </w:r>
      <w:r w:rsidRPr="00D8730D">
        <w:rPr>
          <w:rFonts w:ascii="Century" w:hAnsi="Century" w:cs="Miriam" w:hint="eastAsia"/>
          <w:b/>
          <w:spacing w:val="0"/>
          <w:sz w:val="22"/>
          <w:szCs w:val="24"/>
          <w:rtl/>
        </w:rPr>
        <w:t>המעמד</w:t>
      </w:r>
      <w:r w:rsidRPr="00D8730D">
        <w:rPr>
          <w:rFonts w:ascii="Century" w:hAnsi="Century" w:cs="Miriam"/>
          <w:b/>
          <w:spacing w:val="0"/>
          <w:sz w:val="22"/>
          <w:szCs w:val="24"/>
          <w:rtl/>
        </w:rPr>
        <w:t xml:space="preserve"> </w:t>
      </w:r>
      <w:r w:rsidRPr="00D8730D">
        <w:rPr>
          <w:rFonts w:ascii="Century" w:hAnsi="Century" w:cs="Miriam" w:hint="eastAsia"/>
          <w:b/>
          <w:spacing w:val="0"/>
          <w:sz w:val="22"/>
          <w:szCs w:val="24"/>
          <w:rtl/>
        </w:rPr>
        <w:t>המשפטי</w:t>
      </w:r>
      <w:r w:rsidRPr="00D8730D">
        <w:rPr>
          <w:rFonts w:ascii="Century" w:hAnsi="Century" w:cs="Miriam" w:hint="cs"/>
          <w:b/>
          <w:spacing w:val="0"/>
          <w:sz w:val="22"/>
          <w:szCs w:val="24"/>
          <w:rtl/>
        </w:rPr>
        <w:t>"</w:t>
      </w:r>
      <w:r>
        <w:rPr>
          <w:rFonts w:hint="cs"/>
          <w:rtl/>
        </w:rPr>
        <w:t xml:space="preserve">, בעמ' 164). עוד הובהר באותו עניין כי נורמה פרסונאלית עשויה להיות מכוונת הן לאדם ספציפי והן </w:t>
      </w:r>
      <w:r w:rsidRPr="00F55ADD">
        <w:rPr>
          <w:rFonts w:hint="cs"/>
          <w:rtl/>
        </w:rPr>
        <w:t xml:space="preserve">ל"פרסונה" מוסדית, דוגמת </w:t>
      </w:r>
      <w:r>
        <w:rPr>
          <w:rFonts w:hint="cs"/>
          <w:rtl/>
        </w:rPr>
        <w:t>ה</w:t>
      </w:r>
      <w:r w:rsidRPr="00F55ADD">
        <w:rPr>
          <w:rFonts w:hint="cs"/>
          <w:rtl/>
        </w:rPr>
        <w:t>כנסת או ממשלה מסוימת (</w:t>
      </w:r>
      <w:r w:rsidRPr="0039763C">
        <w:rPr>
          <w:rFonts w:hint="cs"/>
          <w:rtl/>
        </w:rPr>
        <w:t>עניין</w:t>
      </w:r>
      <w:r>
        <w:rPr>
          <w:rFonts w:ascii="Century" w:hAnsi="Century" w:cs="Miriam" w:hint="cs"/>
          <w:b/>
          <w:spacing w:val="0"/>
          <w:sz w:val="22"/>
          <w:szCs w:val="24"/>
          <w:rtl/>
        </w:rPr>
        <w:t xml:space="preserve"> שפיר</w:t>
      </w:r>
      <w:r w:rsidRPr="0039763C">
        <w:rPr>
          <w:rFonts w:hint="cs"/>
          <w:rtl/>
        </w:rPr>
        <w:t>, בפסקה 40 לחוות דעתי</w:t>
      </w:r>
      <w:r w:rsidRPr="00F55ADD">
        <w:rPr>
          <w:rFonts w:hint="cs"/>
          <w:rtl/>
        </w:rPr>
        <w:t xml:space="preserve">; וכן ראו, עניין </w:t>
      </w:r>
      <w:r w:rsidRPr="00F55ADD">
        <w:rPr>
          <w:rFonts w:ascii="Century" w:hAnsi="Century" w:cs="Miriam" w:hint="cs"/>
          <w:b/>
          <w:spacing w:val="0"/>
          <w:szCs w:val="24"/>
          <w:rtl/>
        </w:rPr>
        <w:t>המרכז האקדמי</w:t>
      </w:r>
      <w:r w:rsidRPr="00F55ADD">
        <w:rPr>
          <w:rFonts w:hint="cs"/>
          <w:rtl/>
        </w:rPr>
        <w:t xml:space="preserve">, בפסקה 6 לחוות דעתו של השופט </w:t>
      </w:r>
      <w:r w:rsidRPr="00F55ADD">
        <w:rPr>
          <w:rFonts w:ascii="Century" w:hAnsi="Century" w:cs="Miriam" w:hint="cs"/>
          <w:b/>
          <w:spacing w:val="0"/>
          <w:szCs w:val="24"/>
          <w:rtl/>
        </w:rPr>
        <w:t>הנדל</w:t>
      </w:r>
      <w:r w:rsidRPr="00F55ADD">
        <w:rPr>
          <w:rFonts w:hint="cs"/>
          <w:rtl/>
        </w:rPr>
        <w:t xml:space="preserve">). </w:t>
      </w:r>
      <w:r>
        <w:rPr>
          <w:rFonts w:hint="cs"/>
          <w:color w:val="000000" w:themeColor="text1" w:themeShade="BF"/>
          <w:rtl/>
        </w:rPr>
        <w:t>כמו כן,</w:t>
      </w:r>
      <w:r w:rsidRPr="00257D39">
        <w:rPr>
          <w:rFonts w:hint="cs"/>
          <w:color w:val="000000" w:themeColor="text1" w:themeShade="BF"/>
          <w:rtl/>
        </w:rPr>
        <w:t xml:space="preserve"> נפסק כי אין בתחולתה המיידית של נורמה כדי לשלול מניה וביה את זיהויה כנורמה חוקתית, אך היא עשויה לעורר לא אחת קושי מבחינת כלליותה </w:t>
      </w:r>
      <w:r w:rsidRPr="00257D39">
        <w:rPr>
          <w:color w:val="000000"/>
          <w:sz w:val="28"/>
          <w:rtl/>
        </w:rPr>
        <w:t>(</w:t>
      </w:r>
      <w:r w:rsidRPr="00257D39">
        <w:rPr>
          <w:rFonts w:hint="cs"/>
          <w:color w:val="000000" w:themeColor="text1" w:themeShade="BF"/>
          <w:rtl/>
        </w:rPr>
        <w:t xml:space="preserve">עניין </w:t>
      </w:r>
      <w:r w:rsidRPr="00257D39">
        <w:rPr>
          <w:rFonts w:cs="Miriam" w:hint="cs"/>
          <w:b/>
          <w:spacing w:val="0"/>
          <w:sz w:val="22"/>
          <w:szCs w:val="24"/>
          <w:rtl/>
        </w:rPr>
        <w:t>ממשלת החילופים</w:t>
      </w:r>
      <w:r w:rsidRPr="00257D39">
        <w:rPr>
          <w:color w:val="000000"/>
          <w:sz w:val="28"/>
          <w:rtl/>
        </w:rPr>
        <w:t xml:space="preserve">, </w:t>
      </w:r>
      <w:r w:rsidRPr="00257D39">
        <w:rPr>
          <w:rFonts w:hint="cs"/>
          <w:color w:val="000000"/>
          <w:sz w:val="28"/>
          <w:rtl/>
        </w:rPr>
        <w:t>בפסקאות 15-14</w:t>
      </w:r>
      <w:r w:rsidRPr="00257D39">
        <w:rPr>
          <w:color w:val="000000"/>
          <w:sz w:val="28"/>
          <w:rtl/>
        </w:rPr>
        <w:t xml:space="preserve"> </w:t>
      </w:r>
      <w:r w:rsidRPr="00257D39">
        <w:rPr>
          <w:rFonts w:hint="eastAsia"/>
          <w:color w:val="000000"/>
          <w:sz w:val="28"/>
          <w:rtl/>
        </w:rPr>
        <w:t>לחוות</w:t>
      </w:r>
      <w:r w:rsidRPr="00257D39">
        <w:rPr>
          <w:color w:val="000000"/>
          <w:sz w:val="28"/>
          <w:rtl/>
        </w:rPr>
        <w:t xml:space="preserve"> </w:t>
      </w:r>
      <w:r w:rsidRPr="00257D39">
        <w:rPr>
          <w:rFonts w:hint="eastAsia"/>
          <w:color w:val="000000"/>
          <w:sz w:val="28"/>
          <w:rtl/>
        </w:rPr>
        <w:t>דעתי</w:t>
      </w:r>
      <w:r w:rsidRPr="00257D39">
        <w:rPr>
          <w:rFonts w:hint="cs"/>
          <w:color w:val="000000"/>
          <w:sz w:val="28"/>
          <w:rtl/>
        </w:rPr>
        <w:t xml:space="preserve"> ו</w:t>
      </w:r>
      <w:r>
        <w:rPr>
          <w:rFonts w:hint="cs"/>
          <w:color w:val="000000"/>
          <w:sz w:val="28"/>
          <w:rtl/>
        </w:rPr>
        <w:t>ב</w:t>
      </w:r>
      <w:r w:rsidRPr="00257D39">
        <w:rPr>
          <w:rFonts w:hint="cs"/>
          <w:color w:val="000000"/>
          <w:sz w:val="28"/>
          <w:rtl/>
        </w:rPr>
        <w:t xml:space="preserve">פסקה 5 לחוות דעתה של השופטת </w:t>
      </w:r>
      <w:r w:rsidRPr="00257D39">
        <w:rPr>
          <w:rFonts w:cs="Miriam" w:hint="cs"/>
          <w:b/>
          <w:spacing w:val="0"/>
          <w:sz w:val="22"/>
          <w:szCs w:val="24"/>
          <w:rtl/>
        </w:rPr>
        <w:t>ברון</w:t>
      </w:r>
      <w:r w:rsidRPr="00257D39">
        <w:rPr>
          <w:rFonts w:hint="cs"/>
          <w:color w:val="000000"/>
          <w:sz w:val="28"/>
          <w:rtl/>
        </w:rPr>
        <w:t xml:space="preserve">; וכן ראו, עניין </w:t>
      </w:r>
      <w:r w:rsidRPr="00257D39">
        <w:rPr>
          <w:rFonts w:cs="Miriam" w:hint="cs"/>
          <w:b/>
          <w:spacing w:val="0"/>
          <w:sz w:val="22"/>
          <w:szCs w:val="24"/>
          <w:rtl/>
        </w:rPr>
        <w:t>שיינפלד</w:t>
      </w:r>
      <w:r w:rsidRPr="00257D39">
        <w:rPr>
          <w:rFonts w:hint="cs"/>
          <w:color w:val="000000"/>
          <w:sz w:val="28"/>
          <w:rtl/>
        </w:rPr>
        <w:t xml:space="preserve">, בפסקה 42 לחוות דעתי ובפסקאות 49-48 לחוות דעתה של השופטת </w:t>
      </w:r>
      <w:r w:rsidRPr="00257D39">
        <w:rPr>
          <w:rFonts w:cs="Miriam" w:hint="cs"/>
          <w:b/>
          <w:spacing w:val="0"/>
          <w:sz w:val="22"/>
          <w:szCs w:val="24"/>
          <w:rtl/>
        </w:rPr>
        <w:t>ברק-ארז</w:t>
      </w:r>
      <w:r w:rsidRPr="00257D39">
        <w:rPr>
          <w:color w:val="000000"/>
          <w:sz w:val="28"/>
          <w:rtl/>
        </w:rPr>
        <w:t>)</w:t>
      </w:r>
      <w:r w:rsidRPr="00257D39">
        <w:rPr>
          <w:rFonts w:hint="cs"/>
          <w:color w:val="000000" w:themeColor="text1" w:themeShade="BF"/>
          <w:rtl/>
        </w:rPr>
        <w:t xml:space="preserve">. </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sidRPr="008F0743">
        <w:rPr>
          <w:rFonts w:hint="cs"/>
          <w:rtl/>
        </w:rPr>
        <w:t>בענייננו, לא ניתן להתעלם מכך שהתיקון</w:t>
      </w:r>
      <w:r>
        <w:rPr>
          <w:rFonts w:hint="cs"/>
          <w:rtl/>
        </w:rPr>
        <w:t>, החל</w:t>
      </w:r>
      <w:r w:rsidRPr="008F0743">
        <w:rPr>
          <w:rFonts w:hint="cs"/>
          <w:rtl/>
        </w:rPr>
        <w:t xml:space="preserve"> </w:t>
      </w:r>
      <w:r>
        <w:rPr>
          <w:rFonts w:hint="cs"/>
          <w:rtl/>
        </w:rPr>
        <w:t>ב</w:t>
      </w:r>
      <w:r w:rsidRPr="008F0743">
        <w:rPr>
          <w:rFonts w:hint="cs"/>
          <w:rtl/>
        </w:rPr>
        <w:t xml:space="preserve">תחולה מיידית, מבטל את הביקורת השיפוטית מכוח עילת </w:t>
      </w:r>
      <w:r w:rsidRPr="006E4193">
        <w:rPr>
          <w:rFonts w:hint="cs"/>
          <w:rtl/>
        </w:rPr>
        <w:t>הסבירות אך</w:t>
      </w:r>
      <w:r>
        <w:rPr>
          <w:rFonts w:hint="cs"/>
          <w:rtl/>
        </w:rPr>
        <w:t xml:space="preserve"> ורק</w:t>
      </w:r>
      <w:r w:rsidRPr="006E4193">
        <w:rPr>
          <w:rFonts w:hint="cs"/>
          <w:rtl/>
        </w:rPr>
        <w:t xml:space="preserve"> ביחס להחלטות הממשלה ושריה, בעוד שיתר רשויות המינהל ממשיכות להיות כפופות ל</w:t>
      </w:r>
      <w:r>
        <w:rPr>
          <w:rFonts w:hint="cs"/>
          <w:rtl/>
        </w:rPr>
        <w:t>ה</w:t>
      </w:r>
      <w:r w:rsidRPr="006E4193">
        <w:rPr>
          <w:rFonts w:hint="cs"/>
          <w:rtl/>
        </w:rPr>
        <w:t xml:space="preserve">. בכך, מיטיב התיקון באופן </w:t>
      </w:r>
      <w:r w:rsidRPr="00257D39">
        <w:rPr>
          <w:rFonts w:ascii="Century" w:hAnsi="Century" w:cs="Miriam" w:hint="cs"/>
          <w:b/>
          <w:spacing w:val="0"/>
          <w:szCs w:val="24"/>
          <w:rtl/>
        </w:rPr>
        <w:t>בלעדי</w:t>
      </w:r>
      <w:r w:rsidRPr="006E4193">
        <w:rPr>
          <w:rFonts w:hint="cs"/>
          <w:rtl/>
        </w:rPr>
        <w:t xml:space="preserve"> עם הממשלה</w:t>
      </w:r>
      <w:r>
        <w:rPr>
          <w:rFonts w:hint="cs"/>
          <w:rtl/>
        </w:rPr>
        <w:t xml:space="preserve"> ושריה.</w:t>
      </w:r>
      <w:r w:rsidRPr="006E4193">
        <w:rPr>
          <w:rFonts w:hint="cs"/>
          <w:rtl/>
        </w:rPr>
        <w:t xml:space="preserve"> הוא מעניק לה</w:t>
      </w:r>
      <w:r>
        <w:rPr>
          <w:rFonts w:hint="cs"/>
          <w:rtl/>
        </w:rPr>
        <w:t>ם</w:t>
      </w:r>
      <w:r w:rsidRPr="006E4193">
        <w:rPr>
          <w:rFonts w:hint="cs"/>
          <w:rtl/>
        </w:rPr>
        <w:t xml:space="preserve"> "פטור" מפיקוח שיפוטי </w:t>
      </w:r>
      <w:r>
        <w:rPr>
          <w:rFonts w:hint="cs"/>
          <w:rtl/>
        </w:rPr>
        <w:t xml:space="preserve">בנסיבות שבהן הוא חל, </w:t>
      </w:r>
      <w:r w:rsidRPr="006E4193">
        <w:rPr>
          <w:rFonts w:hint="cs"/>
          <w:rtl/>
        </w:rPr>
        <w:t xml:space="preserve">ומחזק </w:t>
      </w:r>
      <w:r>
        <w:rPr>
          <w:rFonts w:hint="cs"/>
          <w:rtl/>
        </w:rPr>
        <w:t xml:space="preserve">באופן מיידי </w:t>
      </w:r>
      <w:r w:rsidRPr="006E4193">
        <w:rPr>
          <w:rFonts w:hint="cs"/>
          <w:rtl/>
        </w:rPr>
        <w:t xml:space="preserve">את </w:t>
      </w:r>
      <w:r>
        <w:rPr>
          <w:rFonts w:hint="cs"/>
          <w:rtl/>
        </w:rPr>
        <w:t>כוחם השלטוני</w:t>
      </w:r>
      <w:r w:rsidRPr="006E4193">
        <w:rPr>
          <w:rFonts w:hint="cs"/>
          <w:rtl/>
        </w:rPr>
        <w:t>. הקושי שבדבר מתחדד</w:t>
      </w:r>
      <w:r>
        <w:rPr>
          <w:rFonts w:hint="cs"/>
          <w:rtl/>
        </w:rPr>
        <w:t xml:space="preserve"> בשים לב לכך </w:t>
      </w:r>
      <w:r>
        <w:rPr>
          <w:rFonts w:hint="cs"/>
          <w:color w:val="000000" w:themeColor="text1"/>
          <w:rtl/>
        </w:rPr>
        <w:t>ש</w:t>
      </w:r>
      <w:r w:rsidRPr="00257D39">
        <w:rPr>
          <w:rFonts w:hint="cs"/>
          <w:color w:val="000000" w:themeColor="text1"/>
          <w:rtl/>
        </w:rPr>
        <w:t>הממשלה</w:t>
      </w:r>
      <w:r>
        <w:rPr>
          <w:rFonts w:hint="cs"/>
          <w:color w:val="000000" w:themeColor="text1"/>
          <w:rtl/>
        </w:rPr>
        <w:t xml:space="preserve"> </w:t>
      </w:r>
      <w:r>
        <w:rPr>
          <w:color w:val="000000" w:themeColor="text1"/>
          <w:rtl/>
        </w:rPr>
        <w:t>–</w:t>
      </w:r>
      <w:r>
        <w:rPr>
          <w:rFonts w:hint="cs"/>
          <w:color w:val="000000" w:themeColor="text1"/>
          <w:rtl/>
        </w:rPr>
        <w:t xml:space="preserve"> שהיא, כאמור, הנהנית הבלעדית מהתיקון </w:t>
      </w:r>
      <w:r>
        <w:rPr>
          <w:color w:val="000000" w:themeColor="text1"/>
          <w:rtl/>
        </w:rPr>
        <w:t>–</w:t>
      </w:r>
      <w:r w:rsidRPr="00257D39">
        <w:rPr>
          <w:rFonts w:hint="cs"/>
          <w:color w:val="000000" w:themeColor="text1"/>
          <w:rtl/>
        </w:rPr>
        <w:t xml:space="preserve"> </w:t>
      </w:r>
      <w:r>
        <w:rPr>
          <w:rFonts w:hint="cs"/>
          <w:color w:val="000000" w:themeColor="text1"/>
          <w:rtl/>
        </w:rPr>
        <w:t xml:space="preserve">היא זו שפעלה למעשה לקידום התיקון ולאישורו </w:t>
      </w:r>
      <w:r w:rsidRPr="00257D39">
        <w:rPr>
          <w:rFonts w:hint="cs"/>
          <w:color w:val="000000" w:themeColor="text1"/>
          <w:rtl/>
        </w:rPr>
        <w:t xml:space="preserve">באמצעות הרוב הקואליציוני </w:t>
      </w:r>
      <w:r>
        <w:rPr>
          <w:rFonts w:hint="cs"/>
          <w:color w:val="000000" w:themeColor="text1"/>
          <w:rtl/>
        </w:rPr>
        <w:t>שהיא</w:t>
      </w:r>
      <w:r w:rsidRPr="00257D39">
        <w:rPr>
          <w:rFonts w:hint="cs"/>
          <w:color w:val="000000" w:themeColor="text1"/>
          <w:rtl/>
        </w:rPr>
        <w:t xml:space="preserve"> זוכה </w:t>
      </w:r>
      <w:r>
        <w:rPr>
          <w:rFonts w:hint="cs"/>
          <w:color w:val="000000" w:themeColor="text1"/>
          <w:rtl/>
        </w:rPr>
        <w:t xml:space="preserve">לו </w:t>
      </w:r>
      <w:r w:rsidRPr="00257D39">
        <w:rPr>
          <w:rFonts w:hint="cs"/>
          <w:color w:val="000000" w:themeColor="text1"/>
          <w:rtl/>
        </w:rPr>
        <w:t xml:space="preserve">בכנסת. </w:t>
      </w:r>
      <w:r>
        <w:rPr>
          <w:rFonts w:hint="cs"/>
          <w:rtl/>
        </w:rPr>
        <w:t xml:space="preserve">בנסיבות אלו, אני סבורה כי מאפייניו הייחודים של ההסדר, ובכללם טיבו של ההסדר שעניינו הסרת מנגנוני פיקוח החלים על הממשלה ושריה בלבד; ותחולתו המיידית על הממשלה ה-37 </w:t>
      </w:r>
      <w:r>
        <w:rPr>
          <w:rtl/>
        </w:rPr>
        <w:t>–</w:t>
      </w:r>
      <w:r>
        <w:rPr>
          <w:rFonts w:hint="cs"/>
          <w:rtl/>
        </w:rPr>
        <w:t xml:space="preserve"> שהיא "הרוח החיה" מאחורי התיקון, אכן עשויים לעורר חשש כי הוא נועד לשרת אינטרסים צרים של רוב פוליטי מסוים, באופן שיאפשר לבצר את כוחו השלטוני. זאת, להבדיל מתיקון דומה </w:t>
      </w:r>
      <w:r>
        <w:rPr>
          <w:rFonts w:hint="cs"/>
          <w:rtl/>
        </w:rPr>
        <w:lastRenderedPageBreak/>
        <w:t xml:space="preserve">שהיה מקודם מאחורי "מסך בערות", מבלי שניתן היה לדעת מראש לאיזו ממשלה הוא מעניק את ה"פטור" מביקורת שיפוטית על פי עילת הסבירות. </w:t>
      </w:r>
    </w:p>
    <w:p w:rsidR="00C044AE" w:rsidRPr="007802F0" w:rsidRDefault="00C044AE" w:rsidP="00C044AE">
      <w:pPr>
        <w:pStyle w:val="Ruller41"/>
        <w:rPr>
          <w:rtl/>
        </w:rPr>
      </w:pPr>
    </w:p>
    <w:p w:rsidR="00C044AE" w:rsidRDefault="00C044AE" w:rsidP="00C044AE">
      <w:pPr>
        <w:pStyle w:val="Ruller4"/>
        <w:numPr>
          <w:ilvl w:val="0"/>
          <w:numId w:val="0"/>
        </w:numPr>
        <w:rPr>
          <w:rtl/>
        </w:rPr>
      </w:pPr>
      <w:r>
        <w:rPr>
          <w:rtl/>
        </w:rPr>
        <w:tab/>
      </w:r>
      <w:r>
        <w:rPr>
          <w:rFonts w:hint="cs"/>
          <w:rtl/>
        </w:rPr>
        <w:t>עם</w:t>
      </w:r>
      <w:r w:rsidRPr="00E515EB">
        <w:rPr>
          <w:rFonts w:hint="cs"/>
          <w:rtl/>
        </w:rPr>
        <w:t xml:space="preserve"> </w:t>
      </w:r>
      <w:r>
        <w:rPr>
          <w:rFonts w:hint="cs"/>
          <w:color w:val="000000" w:themeColor="text1"/>
          <w:rtl/>
        </w:rPr>
        <w:t>זאת, וכפי שצוין לעיל, לא ראיתי צורך לטעת מסמרות</w:t>
      </w:r>
      <w:r w:rsidRPr="002763C9">
        <w:rPr>
          <w:rFonts w:hint="cs"/>
          <w:color w:val="000000" w:themeColor="text1"/>
          <w:rtl/>
        </w:rPr>
        <w:t xml:space="preserve"> </w:t>
      </w:r>
      <w:r>
        <w:rPr>
          <w:rFonts w:hint="cs"/>
          <w:color w:val="000000" w:themeColor="text1"/>
          <w:rtl/>
        </w:rPr>
        <w:t>בשאלה האם הקשיים שצוינו לעיל עולים כדי שימוש לרעה בסמכות המכוננת</w:t>
      </w:r>
      <w:r w:rsidRPr="002763C9">
        <w:rPr>
          <w:rFonts w:hint="cs"/>
          <w:color w:val="000000" w:themeColor="text1"/>
          <w:rtl/>
        </w:rPr>
        <w:t xml:space="preserve"> </w:t>
      </w:r>
      <w:r>
        <w:rPr>
          <w:rFonts w:hint="cs"/>
          <w:color w:val="000000" w:themeColor="text1"/>
          <w:rtl/>
        </w:rPr>
        <w:t>במקרה דנן</w:t>
      </w:r>
      <w:r w:rsidRPr="002763C9">
        <w:rPr>
          <w:rFonts w:hint="cs"/>
          <w:color w:val="000000" w:themeColor="text1"/>
          <w:rtl/>
        </w:rPr>
        <w:t xml:space="preserve">. </w:t>
      </w:r>
      <w:r>
        <w:rPr>
          <w:rFonts w:hint="cs"/>
          <w:rtl/>
        </w:rPr>
        <w:t xml:space="preserve">זאת, </w:t>
      </w:r>
      <w:r>
        <w:rPr>
          <w:rFonts w:hint="cs"/>
          <w:color w:val="000000" w:themeColor="text1"/>
          <w:rtl/>
        </w:rPr>
        <w:t>נוכ</w:t>
      </w:r>
      <w:r w:rsidRPr="002763C9">
        <w:rPr>
          <w:rFonts w:hint="cs"/>
          <w:color w:val="000000" w:themeColor="text1"/>
          <w:rtl/>
        </w:rPr>
        <w:t xml:space="preserve">ח התוצאה </w:t>
      </w:r>
      <w:r>
        <w:rPr>
          <w:rFonts w:hint="cs"/>
          <w:color w:val="000000" w:themeColor="text1"/>
          <w:rtl/>
        </w:rPr>
        <w:t>ש</w:t>
      </w:r>
      <w:r w:rsidRPr="002763C9">
        <w:rPr>
          <w:rFonts w:hint="cs"/>
          <w:color w:val="000000" w:themeColor="text1"/>
          <w:rtl/>
        </w:rPr>
        <w:t>אליה הגעתי בדבר בטלות התיקון</w:t>
      </w:r>
      <w:r>
        <w:rPr>
          <w:rFonts w:hint="cs"/>
          <w:color w:val="000000" w:themeColor="text1"/>
          <w:rtl/>
        </w:rPr>
        <w:t xml:space="preserve"> מטעמים אחרים. </w:t>
      </w:r>
    </w:p>
    <w:p w:rsidR="00C044AE" w:rsidRDefault="00C044AE" w:rsidP="00C044AE">
      <w:pPr>
        <w:pStyle w:val="Ruller41"/>
        <w:rPr>
          <w:rtl/>
        </w:rPr>
      </w:pPr>
    </w:p>
    <w:p w:rsidR="00C044AE" w:rsidRDefault="00C044AE" w:rsidP="00C044AE">
      <w:pPr>
        <w:pStyle w:val="Ruller41"/>
        <w:ind w:left="360"/>
        <w:outlineLvl w:val="2"/>
        <w:rPr>
          <w:rFonts w:ascii="Century" w:hAnsi="Century" w:cs="Miriam"/>
          <w:b/>
          <w:spacing w:val="0"/>
          <w:szCs w:val="24"/>
          <w:rtl/>
        </w:rPr>
      </w:pPr>
      <w:r>
        <w:rPr>
          <w:rFonts w:ascii="Century" w:hAnsi="Century" w:cs="Miriam" w:hint="cs"/>
          <w:b/>
          <w:spacing w:val="0"/>
          <w:szCs w:val="24"/>
          <w:rtl/>
        </w:rPr>
        <w:t>ז</w:t>
      </w:r>
      <w:r w:rsidRPr="00F63C25">
        <w:rPr>
          <w:rFonts w:ascii="Century" w:hAnsi="Century" w:cs="Miriam" w:hint="cs"/>
          <w:b/>
          <w:spacing w:val="0"/>
          <w:szCs w:val="24"/>
          <w:rtl/>
        </w:rPr>
        <w:t>.2</w:t>
      </w:r>
      <w:r>
        <w:rPr>
          <w:rFonts w:ascii="Century" w:hAnsi="Century" w:cs="Miriam" w:hint="cs"/>
          <w:b/>
          <w:spacing w:val="0"/>
          <w:szCs w:val="24"/>
          <w:rtl/>
        </w:rPr>
        <w:t>.</w:t>
      </w:r>
      <w:r w:rsidRPr="00F63C25">
        <w:rPr>
          <w:rFonts w:ascii="Century" w:hAnsi="Century" w:cs="Miriam" w:hint="cs"/>
          <w:b/>
          <w:spacing w:val="0"/>
          <w:szCs w:val="24"/>
          <w:rtl/>
        </w:rPr>
        <w:t xml:space="preserve"> </w:t>
      </w:r>
      <w:r>
        <w:rPr>
          <w:rFonts w:ascii="Century" w:hAnsi="Century" w:cs="Miriam" w:hint="cs"/>
          <w:b/>
          <w:spacing w:val="0"/>
          <w:szCs w:val="24"/>
          <w:rtl/>
        </w:rPr>
        <w:t xml:space="preserve">טענות בדבר </w:t>
      </w:r>
      <w:r w:rsidRPr="00F63C25">
        <w:rPr>
          <w:rFonts w:ascii="Century" w:hAnsi="Century" w:cs="Miriam" w:hint="cs"/>
          <w:b/>
          <w:spacing w:val="0"/>
          <w:szCs w:val="24"/>
          <w:rtl/>
        </w:rPr>
        <w:t>פגמים בהליך חקיקת התיקון</w:t>
      </w:r>
    </w:p>
    <w:p w:rsidR="00C044AE" w:rsidRPr="00F63C25" w:rsidRDefault="00C044AE" w:rsidP="00C044AE">
      <w:pPr>
        <w:pStyle w:val="Ruller41"/>
        <w:rPr>
          <w:rFonts w:ascii="Century" w:hAnsi="Century" w:cs="Miriam"/>
          <w:b/>
          <w:spacing w:val="0"/>
          <w:szCs w:val="24"/>
          <w:rtl/>
        </w:rPr>
      </w:pPr>
    </w:p>
    <w:p w:rsidR="00C044AE" w:rsidRPr="002831E5" w:rsidRDefault="00C044AE" w:rsidP="00C044AE">
      <w:pPr>
        <w:pStyle w:val="Ruller4"/>
        <w:rPr>
          <w:rtl/>
        </w:rPr>
      </w:pPr>
      <w:r>
        <w:rPr>
          <w:rFonts w:hint="cs"/>
          <w:rtl/>
        </w:rPr>
        <w:t xml:space="preserve">העותרים טוענים בהרחבה גם באשר לקיומם של </w:t>
      </w:r>
      <w:r w:rsidRPr="00F20CCF">
        <w:rPr>
          <w:rFonts w:ascii="Century" w:hAnsi="Century" w:cs="Miriam" w:hint="cs"/>
          <w:b/>
          <w:spacing w:val="0"/>
          <w:sz w:val="22"/>
          <w:szCs w:val="24"/>
          <w:rtl/>
        </w:rPr>
        <w:t>פגמים בהליך חקיקת התיקון</w:t>
      </w:r>
      <w:r>
        <w:rPr>
          <w:rFonts w:hint="cs"/>
          <w:rtl/>
        </w:rPr>
        <w:t xml:space="preserve">. בהקשר זה נטען, בין היתר, כי אופן התנהלות הדיונים בוועדת החוקה ופרק הזמן הקצר שבו קודם התיקון פגעו באפשרות של חברי הכנסת להשתתף בחקיקתו באופן מהותי. כמו כן הלינו העותרים על קידום הצעת התיקון במסלול של הצעה מטעם ועדת החוקה לפי סעיף 80 לתקנון הכנסת, אשר לשיטתם, נועד לעקוף את המגבלות החלות על הצעות חוק פרטיות וממשלתיות. </w:t>
      </w:r>
    </w:p>
    <w:p w:rsidR="00C044AE" w:rsidRDefault="00C044AE" w:rsidP="00C044AE">
      <w:pPr>
        <w:pStyle w:val="Ruller4"/>
        <w:numPr>
          <w:ilvl w:val="0"/>
          <w:numId w:val="0"/>
        </w:numPr>
        <w:rPr>
          <w:rtl/>
        </w:rPr>
      </w:pPr>
    </w:p>
    <w:p w:rsidR="00C044AE" w:rsidRPr="007A5931" w:rsidRDefault="00C044AE" w:rsidP="00C044AE">
      <w:pPr>
        <w:pStyle w:val="Ruller4"/>
        <w:rPr>
          <w:rtl/>
        </w:rPr>
      </w:pPr>
      <w:r>
        <w:rPr>
          <w:rFonts w:hint="cs"/>
          <w:rtl/>
        </w:rPr>
        <w:t xml:space="preserve">נוכח מעמדם הרם של חוקי היסוד בשיטתנו הודגש בפסיקה כי </w:t>
      </w:r>
      <w:r w:rsidRPr="002B3939">
        <w:rPr>
          <w:rtl/>
        </w:rPr>
        <w:t>"</w:t>
      </w:r>
      <w:r w:rsidRPr="002B3939">
        <w:rPr>
          <w:rFonts w:hint="eastAsia"/>
          <w:rtl/>
        </w:rPr>
        <w:t>על</w:t>
      </w:r>
      <w:r w:rsidRPr="002B3939">
        <w:rPr>
          <w:rtl/>
        </w:rPr>
        <w:t xml:space="preserve"> </w:t>
      </w:r>
      <w:r w:rsidRPr="002B3939">
        <w:rPr>
          <w:rFonts w:hint="eastAsia"/>
          <w:rtl/>
        </w:rPr>
        <w:t>הרשות</w:t>
      </w:r>
      <w:r w:rsidRPr="002B3939">
        <w:rPr>
          <w:rtl/>
        </w:rPr>
        <w:t xml:space="preserve"> </w:t>
      </w:r>
      <w:r w:rsidRPr="002B3939">
        <w:rPr>
          <w:rFonts w:hint="eastAsia"/>
          <w:rtl/>
        </w:rPr>
        <w:t>המכוננת</w:t>
      </w:r>
      <w:r w:rsidRPr="002B3939">
        <w:rPr>
          <w:rtl/>
        </w:rPr>
        <w:t xml:space="preserve"> </w:t>
      </w:r>
      <w:r w:rsidRPr="002B3939">
        <w:rPr>
          <w:rFonts w:hint="eastAsia"/>
          <w:rtl/>
        </w:rPr>
        <w:t>לכבד</w:t>
      </w:r>
      <w:r w:rsidRPr="002B3939">
        <w:rPr>
          <w:rtl/>
        </w:rPr>
        <w:t xml:space="preserve"> </w:t>
      </w:r>
      <w:r w:rsidRPr="002B3939">
        <w:rPr>
          <w:rFonts w:hint="eastAsia"/>
          <w:rtl/>
        </w:rPr>
        <w:t>את</w:t>
      </w:r>
      <w:r w:rsidRPr="002B3939">
        <w:rPr>
          <w:rtl/>
        </w:rPr>
        <w:t xml:space="preserve"> </w:t>
      </w:r>
      <w:r w:rsidRPr="002B3939">
        <w:rPr>
          <w:rFonts w:hint="eastAsia"/>
          <w:rtl/>
        </w:rPr>
        <w:t>הנורמות</w:t>
      </w:r>
      <w:r w:rsidRPr="002B3939">
        <w:rPr>
          <w:rtl/>
        </w:rPr>
        <w:t xml:space="preserve"> </w:t>
      </w:r>
      <w:r w:rsidRPr="002B3939">
        <w:rPr>
          <w:rFonts w:hint="eastAsia"/>
          <w:rtl/>
        </w:rPr>
        <w:t>שאותן</w:t>
      </w:r>
      <w:r w:rsidRPr="002B3939">
        <w:rPr>
          <w:rtl/>
        </w:rPr>
        <w:t xml:space="preserve"> </w:t>
      </w:r>
      <w:r w:rsidRPr="002B3939">
        <w:rPr>
          <w:rFonts w:hint="eastAsia"/>
          <w:rtl/>
        </w:rPr>
        <w:t>היא</w:t>
      </w:r>
      <w:r w:rsidRPr="002B3939">
        <w:rPr>
          <w:rtl/>
        </w:rPr>
        <w:t xml:space="preserve"> </w:t>
      </w:r>
      <w:r w:rsidRPr="002B3939">
        <w:rPr>
          <w:rFonts w:hint="eastAsia"/>
          <w:rtl/>
        </w:rPr>
        <w:t>יוצרת</w:t>
      </w:r>
      <w:r w:rsidRPr="002B3939">
        <w:rPr>
          <w:rtl/>
        </w:rPr>
        <w:t xml:space="preserve"> </w:t>
      </w:r>
      <w:r w:rsidRPr="002B3939">
        <w:rPr>
          <w:rFonts w:hint="eastAsia"/>
          <w:rtl/>
        </w:rPr>
        <w:t>בכובעה</w:t>
      </w:r>
      <w:r w:rsidRPr="002B3939">
        <w:rPr>
          <w:rtl/>
        </w:rPr>
        <w:t xml:space="preserve"> </w:t>
      </w:r>
      <w:r w:rsidRPr="002B3939">
        <w:rPr>
          <w:rFonts w:hint="eastAsia"/>
          <w:rtl/>
        </w:rPr>
        <w:t>זה</w:t>
      </w:r>
      <w:r w:rsidRPr="002B3939">
        <w:rPr>
          <w:rtl/>
        </w:rPr>
        <w:t xml:space="preserve">, </w:t>
      </w:r>
      <w:r w:rsidRPr="002B3939">
        <w:rPr>
          <w:rFonts w:hint="eastAsia"/>
          <w:rtl/>
        </w:rPr>
        <w:t>ולהבטיח</w:t>
      </w:r>
      <w:r w:rsidRPr="002B3939">
        <w:rPr>
          <w:rtl/>
        </w:rPr>
        <w:t xml:space="preserve"> </w:t>
      </w:r>
      <w:r w:rsidRPr="002B3939">
        <w:rPr>
          <w:rFonts w:hint="eastAsia"/>
          <w:rtl/>
        </w:rPr>
        <w:t>כי</w:t>
      </w:r>
      <w:r w:rsidRPr="002B3939">
        <w:rPr>
          <w:rtl/>
        </w:rPr>
        <w:t xml:space="preserve"> </w:t>
      </w:r>
      <w:r w:rsidRPr="002B3939">
        <w:rPr>
          <w:rFonts w:hint="eastAsia"/>
          <w:rtl/>
        </w:rPr>
        <w:t>שינויים</w:t>
      </w:r>
      <w:r w:rsidRPr="002B3939">
        <w:rPr>
          <w:rtl/>
        </w:rPr>
        <w:t xml:space="preserve"> </w:t>
      </w:r>
      <w:r w:rsidRPr="002B3939">
        <w:rPr>
          <w:rFonts w:hint="eastAsia"/>
          <w:rtl/>
        </w:rPr>
        <w:t>בכללי</w:t>
      </w:r>
      <w:r w:rsidRPr="002B3939">
        <w:rPr>
          <w:rtl/>
        </w:rPr>
        <w:t xml:space="preserve"> </w:t>
      </w:r>
      <w:r w:rsidRPr="002B3939">
        <w:rPr>
          <w:rFonts w:hint="eastAsia"/>
          <w:rtl/>
        </w:rPr>
        <w:t>המשחק</w:t>
      </w:r>
      <w:r w:rsidRPr="002B3939">
        <w:rPr>
          <w:rtl/>
        </w:rPr>
        <w:t xml:space="preserve"> </w:t>
      </w:r>
      <w:r w:rsidRPr="002B3939">
        <w:rPr>
          <w:rFonts w:hint="eastAsia"/>
          <w:rtl/>
        </w:rPr>
        <w:t>שמתווה</w:t>
      </w:r>
      <w:r w:rsidRPr="002B3939">
        <w:rPr>
          <w:rtl/>
        </w:rPr>
        <w:t xml:space="preserve"> </w:t>
      </w:r>
      <w:r w:rsidRPr="002B3939">
        <w:rPr>
          <w:rFonts w:hint="eastAsia"/>
          <w:rtl/>
        </w:rPr>
        <w:t>החוקה</w:t>
      </w:r>
      <w:r w:rsidRPr="002B3939">
        <w:rPr>
          <w:rtl/>
        </w:rPr>
        <w:t xml:space="preserve"> </w:t>
      </w:r>
      <w:r w:rsidRPr="002B3939">
        <w:rPr>
          <w:rFonts w:hint="eastAsia"/>
          <w:rtl/>
        </w:rPr>
        <w:t>יבוצעו</w:t>
      </w:r>
      <w:r w:rsidRPr="002B3939">
        <w:rPr>
          <w:rtl/>
        </w:rPr>
        <w:t xml:space="preserve"> </w:t>
      </w:r>
      <w:r w:rsidRPr="002B3939">
        <w:rPr>
          <w:rFonts w:hint="eastAsia"/>
          <w:rtl/>
        </w:rPr>
        <w:t>בהליך</w:t>
      </w:r>
      <w:r w:rsidRPr="002B3939">
        <w:rPr>
          <w:rtl/>
        </w:rPr>
        <w:t xml:space="preserve"> </w:t>
      </w:r>
      <w:r w:rsidRPr="002B3939">
        <w:rPr>
          <w:rFonts w:hint="eastAsia"/>
          <w:rtl/>
        </w:rPr>
        <w:t>ראוי</w:t>
      </w:r>
      <w:r w:rsidRPr="002B3939">
        <w:rPr>
          <w:rtl/>
        </w:rPr>
        <w:t xml:space="preserve">, </w:t>
      </w:r>
      <w:r w:rsidRPr="002B3939">
        <w:rPr>
          <w:rFonts w:hint="eastAsia"/>
          <w:rtl/>
        </w:rPr>
        <w:t>תוך</w:t>
      </w:r>
      <w:r w:rsidRPr="002B3939">
        <w:rPr>
          <w:rtl/>
        </w:rPr>
        <w:t xml:space="preserve"> </w:t>
      </w:r>
      <w:r w:rsidRPr="002B3939">
        <w:rPr>
          <w:rFonts w:hint="eastAsia"/>
          <w:rtl/>
        </w:rPr>
        <w:t>שקיפות</w:t>
      </w:r>
      <w:r w:rsidRPr="002B3939">
        <w:rPr>
          <w:rtl/>
        </w:rPr>
        <w:t xml:space="preserve"> </w:t>
      </w:r>
      <w:r w:rsidRPr="002B3939">
        <w:rPr>
          <w:rFonts w:hint="eastAsia"/>
          <w:rtl/>
        </w:rPr>
        <w:t>ואחריותיות</w:t>
      </w:r>
      <w:r w:rsidRPr="002B3939">
        <w:rPr>
          <w:rtl/>
        </w:rPr>
        <w:t xml:space="preserve"> </w:t>
      </w:r>
      <w:r w:rsidRPr="002B3939">
        <w:rPr>
          <w:rFonts w:hint="eastAsia"/>
          <w:rtl/>
        </w:rPr>
        <w:t>כלפי</w:t>
      </w:r>
      <w:r w:rsidRPr="002B3939">
        <w:rPr>
          <w:rtl/>
        </w:rPr>
        <w:t xml:space="preserve"> </w:t>
      </w:r>
      <w:r w:rsidRPr="002B3939">
        <w:rPr>
          <w:rFonts w:hint="eastAsia"/>
          <w:rtl/>
        </w:rPr>
        <w:t>הציבור</w:t>
      </w:r>
      <w:r w:rsidRPr="002B3939">
        <w:rPr>
          <w:rtl/>
        </w:rPr>
        <w:t>" (</w:t>
      </w:r>
      <w:r w:rsidRPr="002B3939">
        <w:rPr>
          <w:rFonts w:hint="eastAsia"/>
          <w:rtl/>
        </w:rPr>
        <w:t>עניין</w:t>
      </w:r>
      <w:r w:rsidRPr="002B3939">
        <w:rPr>
          <w:rtl/>
        </w:rPr>
        <w:t xml:space="preserve"> </w:t>
      </w:r>
      <w:r w:rsidRPr="00210D15">
        <w:rPr>
          <w:rFonts w:ascii="Century" w:hAnsi="Century" w:cs="Miriam" w:hint="eastAsia"/>
          <w:b/>
          <w:color w:val="000000" w:themeColor="text1"/>
          <w:spacing w:val="0"/>
          <w:sz w:val="22"/>
          <w:szCs w:val="24"/>
          <w:rtl/>
        </w:rPr>
        <w:t>המרכז</w:t>
      </w:r>
      <w:r w:rsidRPr="00210D15">
        <w:rPr>
          <w:rFonts w:ascii="Century" w:hAnsi="Century" w:cs="Miriam"/>
          <w:b/>
          <w:color w:val="000000" w:themeColor="text1"/>
          <w:spacing w:val="0"/>
          <w:sz w:val="22"/>
          <w:szCs w:val="24"/>
          <w:rtl/>
        </w:rPr>
        <w:t xml:space="preserve"> </w:t>
      </w:r>
      <w:r w:rsidRPr="00210D15">
        <w:rPr>
          <w:rFonts w:ascii="Century" w:hAnsi="Century" w:cs="Miriam" w:hint="eastAsia"/>
          <w:b/>
          <w:color w:val="000000" w:themeColor="text1"/>
          <w:spacing w:val="0"/>
          <w:sz w:val="22"/>
          <w:szCs w:val="24"/>
          <w:rtl/>
        </w:rPr>
        <w:t>האקדמי</w:t>
      </w:r>
      <w:r w:rsidRPr="002B3939">
        <w:rPr>
          <w:rtl/>
        </w:rPr>
        <w:t xml:space="preserve">, </w:t>
      </w:r>
      <w:r w:rsidRPr="002B3939">
        <w:rPr>
          <w:rFonts w:hint="eastAsia"/>
          <w:rtl/>
        </w:rPr>
        <w:t>בפסקה</w:t>
      </w:r>
      <w:r w:rsidRPr="002B3939">
        <w:rPr>
          <w:rtl/>
        </w:rPr>
        <w:t xml:space="preserve"> 5 </w:t>
      </w:r>
      <w:r w:rsidRPr="002B3939">
        <w:rPr>
          <w:rFonts w:hint="eastAsia"/>
          <w:rtl/>
        </w:rPr>
        <w:t>לחוות</w:t>
      </w:r>
      <w:r w:rsidRPr="002B3939">
        <w:rPr>
          <w:rtl/>
        </w:rPr>
        <w:t xml:space="preserve"> </w:t>
      </w:r>
      <w:r w:rsidRPr="002B3939">
        <w:rPr>
          <w:rFonts w:hint="eastAsia"/>
          <w:rtl/>
        </w:rPr>
        <w:t>דעתו</w:t>
      </w:r>
      <w:r w:rsidRPr="002B3939">
        <w:rPr>
          <w:rtl/>
        </w:rPr>
        <w:t xml:space="preserve"> </w:t>
      </w:r>
      <w:r w:rsidRPr="002B3939">
        <w:rPr>
          <w:rFonts w:hint="eastAsia"/>
          <w:rtl/>
        </w:rPr>
        <w:t>של</w:t>
      </w:r>
      <w:r w:rsidRPr="002B3939">
        <w:rPr>
          <w:rtl/>
        </w:rPr>
        <w:t xml:space="preserve"> </w:t>
      </w:r>
      <w:r w:rsidRPr="002B3939">
        <w:rPr>
          <w:rFonts w:hint="eastAsia"/>
          <w:rtl/>
        </w:rPr>
        <w:t>השופט</w:t>
      </w:r>
      <w:r w:rsidRPr="002B3939">
        <w:rPr>
          <w:rtl/>
        </w:rPr>
        <w:t xml:space="preserve"> </w:t>
      </w:r>
      <w:r w:rsidRPr="00210D15">
        <w:rPr>
          <w:rFonts w:ascii="Century" w:hAnsi="Century" w:cs="Miriam" w:hint="eastAsia"/>
          <w:b/>
          <w:color w:val="000000" w:themeColor="text1"/>
          <w:spacing w:val="0"/>
          <w:sz w:val="22"/>
          <w:szCs w:val="24"/>
          <w:rtl/>
        </w:rPr>
        <w:t>הנדל</w:t>
      </w:r>
      <w:r>
        <w:rPr>
          <w:rtl/>
        </w:rPr>
        <w:t>).</w:t>
      </w:r>
      <w:r>
        <w:rPr>
          <w:rFonts w:hint="cs"/>
          <w:rtl/>
        </w:rPr>
        <w:t xml:space="preserve"> ובעניין </w:t>
      </w:r>
      <w:r w:rsidRPr="00210D15">
        <w:rPr>
          <w:rFonts w:ascii="Century" w:hAnsi="Century" w:cs="Miriam" w:hint="cs"/>
          <w:b/>
          <w:spacing w:val="0"/>
          <w:szCs w:val="24"/>
          <w:rtl/>
        </w:rPr>
        <w:t>שיינפלד</w:t>
      </w:r>
      <w:r>
        <w:rPr>
          <w:rFonts w:hint="cs"/>
          <w:rtl/>
        </w:rPr>
        <w:t xml:space="preserve"> צוין באותה הרוח כי "</w:t>
      </w:r>
      <w:r w:rsidRPr="00D37CEF">
        <w:rPr>
          <w:rFonts w:hint="eastAsia"/>
          <w:rtl/>
        </w:rPr>
        <w:t>מוטב</w:t>
      </w:r>
      <w:r w:rsidRPr="00D37CEF">
        <w:rPr>
          <w:rtl/>
        </w:rPr>
        <w:t xml:space="preserve"> </w:t>
      </w:r>
      <w:r w:rsidRPr="00D37CEF">
        <w:rPr>
          <w:rFonts w:hint="eastAsia"/>
          <w:rtl/>
        </w:rPr>
        <w:t>היה</w:t>
      </w:r>
      <w:r w:rsidRPr="00D37CEF">
        <w:rPr>
          <w:rtl/>
        </w:rPr>
        <w:t xml:space="preserve"> </w:t>
      </w:r>
      <w:r w:rsidRPr="00D37CEF">
        <w:rPr>
          <w:rFonts w:hint="eastAsia"/>
          <w:rtl/>
        </w:rPr>
        <w:t>לו</w:t>
      </w:r>
      <w:r w:rsidRPr="00D37CEF">
        <w:rPr>
          <w:rtl/>
        </w:rPr>
        <w:t xml:space="preserve"> </w:t>
      </w:r>
      <w:r w:rsidRPr="00D37CEF">
        <w:rPr>
          <w:rFonts w:hint="eastAsia"/>
          <w:rtl/>
        </w:rPr>
        <w:t>תיקונים</w:t>
      </w:r>
      <w:r w:rsidRPr="00D37CEF">
        <w:rPr>
          <w:rtl/>
        </w:rPr>
        <w:t xml:space="preserve"> </w:t>
      </w:r>
      <w:r w:rsidRPr="00D37CEF">
        <w:rPr>
          <w:rFonts w:hint="eastAsia"/>
          <w:rtl/>
        </w:rPr>
        <w:t>לחוקי</w:t>
      </w:r>
      <w:r w:rsidRPr="00D37CEF">
        <w:rPr>
          <w:rtl/>
        </w:rPr>
        <w:t xml:space="preserve"> </w:t>
      </w:r>
      <w:r w:rsidRPr="00D37CEF">
        <w:rPr>
          <w:rFonts w:hint="eastAsia"/>
          <w:rtl/>
        </w:rPr>
        <w:t>היסוד</w:t>
      </w:r>
      <w:r w:rsidRPr="00D37CEF">
        <w:rPr>
          <w:rtl/>
        </w:rPr>
        <w:t xml:space="preserve"> </w:t>
      </w:r>
      <w:r w:rsidRPr="00D37CEF">
        <w:rPr>
          <w:rFonts w:hint="eastAsia"/>
          <w:rtl/>
        </w:rPr>
        <w:t>לא</w:t>
      </w:r>
      <w:r w:rsidRPr="00D37CEF">
        <w:rPr>
          <w:rtl/>
        </w:rPr>
        <w:t xml:space="preserve"> </w:t>
      </w:r>
      <w:r w:rsidRPr="00D37CEF">
        <w:rPr>
          <w:rFonts w:hint="eastAsia"/>
          <w:rtl/>
        </w:rPr>
        <w:t>יקודמו</w:t>
      </w:r>
      <w:r w:rsidRPr="00D37CEF">
        <w:rPr>
          <w:rtl/>
        </w:rPr>
        <w:t xml:space="preserve"> </w:t>
      </w:r>
      <w:r w:rsidRPr="00D37CEF">
        <w:rPr>
          <w:rFonts w:hint="eastAsia"/>
          <w:rtl/>
        </w:rPr>
        <w:t>בבהילות</w:t>
      </w:r>
      <w:r w:rsidRPr="00D37CEF">
        <w:rPr>
          <w:rtl/>
        </w:rPr>
        <w:t xml:space="preserve"> </w:t>
      </w:r>
      <w:r w:rsidRPr="00D37CEF">
        <w:rPr>
          <w:rFonts w:hint="eastAsia"/>
          <w:rtl/>
        </w:rPr>
        <w:t>ובלוח</w:t>
      </w:r>
      <w:r w:rsidRPr="00D37CEF">
        <w:rPr>
          <w:rtl/>
        </w:rPr>
        <w:t xml:space="preserve"> </w:t>
      </w:r>
      <w:r w:rsidRPr="00D37CEF">
        <w:rPr>
          <w:rFonts w:hint="eastAsia"/>
          <w:rtl/>
        </w:rPr>
        <w:t>זמנים</w:t>
      </w:r>
      <w:r w:rsidRPr="00D37CEF">
        <w:rPr>
          <w:rtl/>
        </w:rPr>
        <w:t xml:space="preserve"> </w:t>
      </w:r>
      <w:r w:rsidRPr="00D37CEF">
        <w:rPr>
          <w:rFonts w:hint="eastAsia"/>
          <w:rtl/>
        </w:rPr>
        <w:t>מהיר</w:t>
      </w:r>
      <w:r>
        <w:rPr>
          <w:rFonts w:hint="cs"/>
          <w:rtl/>
        </w:rPr>
        <w:t xml:space="preserve">" (עניין </w:t>
      </w:r>
      <w:r w:rsidRPr="00210D15">
        <w:rPr>
          <w:rFonts w:ascii="Century" w:hAnsi="Century" w:cs="Miriam" w:hint="cs"/>
          <w:b/>
          <w:spacing w:val="0"/>
          <w:szCs w:val="24"/>
          <w:rtl/>
        </w:rPr>
        <w:t>שיינפלד</w:t>
      </w:r>
      <w:r>
        <w:rPr>
          <w:rFonts w:hint="cs"/>
          <w:rtl/>
        </w:rPr>
        <w:t>, בפסקה 45 לחוות דעתי).</w:t>
      </w:r>
    </w:p>
    <w:p w:rsidR="00C044AE" w:rsidRDefault="00C044AE" w:rsidP="00C044AE">
      <w:pPr>
        <w:pStyle w:val="Ruller4"/>
        <w:numPr>
          <w:ilvl w:val="0"/>
          <w:numId w:val="0"/>
        </w:numPr>
        <w:rPr>
          <w:color w:val="000000" w:themeColor="text1"/>
          <w:rtl/>
        </w:rPr>
      </w:pPr>
    </w:p>
    <w:p w:rsidR="00C044AE" w:rsidRDefault="00C044AE" w:rsidP="00C044AE">
      <w:pPr>
        <w:pStyle w:val="Ruller4"/>
        <w:numPr>
          <w:ilvl w:val="0"/>
          <w:numId w:val="0"/>
        </w:numPr>
        <w:rPr>
          <w:rtl/>
        </w:rPr>
      </w:pPr>
      <w:r>
        <w:rPr>
          <w:color w:val="000000" w:themeColor="text1"/>
          <w:rtl/>
        </w:rPr>
        <w:tab/>
      </w:r>
      <w:r w:rsidRPr="00210D15">
        <w:rPr>
          <w:rFonts w:hint="cs"/>
          <w:color w:val="000000" w:themeColor="text1"/>
          <w:rtl/>
        </w:rPr>
        <w:t xml:space="preserve">אופן ניהול הליך חקיקת התיקון שבפנינו </w:t>
      </w:r>
      <w:r>
        <w:rPr>
          <w:rFonts w:hint="cs"/>
          <w:color w:val="000000" w:themeColor="text1"/>
          <w:rtl/>
        </w:rPr>
        <w:t>אינו חף מקשיים בהקשר זה, בלשון המעטה</w:t>
      </w:r>
      <w:r w:rsidRPr="00210D15">
        <w:rPr>
          <w:rFonts w:hint="cs"/>
          <w:color w:val="000000" w:themeColor="text1"/>
          <w:rtl/>
        </w:rPr>
        <w:t xml:space="preserve">. </w:t>
      </w:r>
      <w:r>
        <w:rPr>
          <w:rFonts w:hint="cs"/>
          <w:color w:val="000000" w:themeColor="text1"/>
          <w:rtl/>
        </w:rPr>
        <w:t>כ</w:t>
      </w:r>
      <w:r w:rsidRPr="00210D15">
        <w:rPr>
          <w:rFonts w:hint="cs"/>
          <w:color w:val="000000" w:themeColor="text1"/>
          <w:rtl/>
        </w:rPr>
        <w:t>עולה מסקירת ההליכים</w:t>
      </w:r>
      <w:r>
        <w:rPr>
          <w:rFonts w:hint="cs"/>
          <w:color w:val="000000" w:themeColor="text1"/>
          <w:rtl/>
        </w:rPr>
        <w:t xml:space="preserve"> שהתקיימו</w:t>
      </w:r>
      <w:r w:rsidRPr="00210D15">
        <w:rPr>
          <w:rFonts w:hint="cs"/>
          <w:color w:val="000000" w:themeColor="text1"/>
          <w:rtl/>
        </w:rPr>
        <w:t xml:space="preserve"> בכנסת, הליך חקיקתו ארך כחודש ימים בלבד</w:t>
      </w:r>
      <w:r>
        <w:rPr>
          <w:rFonts w:hint="cs"/>
          <w:color w:val="000000" w:themeColor="text1"/>
          <w:rtl/>
        </w:rPr>
        <w:t xml:space="preserve"> </w:t>
      </w:r>
      <w:r w:rsidRPr="00210D15">
        <w:rPr>
          <w:rFonts w:hint="cs"/>
          <w:color w:val="000000" w:themeColor="text1"/>
          <w:rtl/>
        </w:rPr>
        <w:t xml:space="preserve">חרף השלכותיו </w:t>
      </w:r>
      <w:r>
        <w:rPr>
          <w:rFonts w:hint="cs"/>
          <w:color w:val="000000" w:themeColor="text1"/>
          <w:rtl/>
        </w:rPr>
        <w:t>הדרמטיות וההתנגדות העזה שהתעוררה לגביו. ה</w:t>
      </w:r>
      <w:r w:rsidRPr="00210D15">
        <w:rPr>
          <w:rFonts w:hint="cs"/>
          <w:color w:val="000000" w:themeColor="text1"/>
          <w:rtl/>
        </w:rPr>
        <w:t xml:space="preserve">אופן </w:t>
      </w:r>
      <w:r>
        <w:rPr>
          <w:rFonts w:hint="cs"/>
          <w:color w:val="000000" w:themeColor="text1"/>
          <w:rtl/>
        </w:rPr>
        <w:t>ה</w:t>
      </w:r>
      <w:r w:rsidRPr="00210D15">
        <w:rPr>
          <w:rFonts w:hint="cs"/>
          <w:color w:val="000000" w:themeColor="text1"/>
          <w:rtl/>
        </w:rPr>
        <w:t>מזורז</w:t>
      </w:r>
      <w:r>
        <w:rPr>
          <w:rFonts w:hint="cs"/>
          <w:color w:val="000000" w:themeColor="text1"/>
          <w:rtl/>
        </w:rPr>
        <w:t xml:space="preserve"> מאוד שבו התקיים הליך החקיקה התבטא, בין היתר, בשימוש שנעשה</w:t>
      </w:r>
      <w:r w:rsidRPr="00210D15">
        <w:rPr>
          <w:rFonts w:hint="cs"/>
          <w:color w:val="000000" w:themeColor="text1"/>
          <w:rtl/>
        </w:rPr>
        <w:t xml:space="preserve"> </w:t>
      </w:r>
      <w:r>
        <w:rPr>
          <w:rFonts w:hint="cs"/>
          <w:color w:val="000000" w:themeColor="text1"/>
          <w:rtl/>
        </w:rPr>
        <w:t>בנוהל ההסתייגויות וכן בסעיף 98 לתקנון הכנסת, לשם קביעת</w:t>
      </w:r>
      <w:r w:rsidRPr="00210D15">
        <w:rPr>
          <w:rFonts w:hint="cs"/>
          <w:color w:val="000000" w:themeColor="text1"/>
          <w:rtl/>
        </w:rPr>
        <w:t xml:space="preserve"> סדרי דיון מיוחדים</w:t>
      </w:r>
      <w:r>
        <w:rPr>
          <w:rFonts w:hint="cs"/>
          <w:color w:val="000000" w:themeColor="text1"/>
          <w:rtl/>
        </w:rPr>
        <w:t xml:space="preserve"> וקיצור לוח הזמנים</w:t>
      </w:r>
      <w:r w:rsidRPr="00210D15">
        <w:rPr>
          <w:rFonts w:hint="cs"/>
          <w:color w:val="000000" w:themeColor="text1"/>
          <w:rtl/>
        </w:rPr>
        <w:t xml:space="preserve"> לאישור התיקון. קריאת פרוטוקול הדיונים מלמדת כי דיוני הוועדה התנהלו באווירה </w:t>
      </w:r>
      <w:r>
        <w:rPr>
          <w:rFonts w:hint="cs"/>
          <w:color w:val="000000" w:themeColor="text1"/>
          <w:rtl/>
        </w:rPr>
        <w:t xml:space="preserve">קשה ולעומתית, </w:t>
      </w:r>
      <w:r>
        <w:rPr>
          <w:rFonts w:hint="cs"/>
          <w:rtl/>
        </w:rPr>
        <w:t xml:space="preserve">ובמבחן התוצאה, </w:t>
      </w:r>
      <w:r>
        <w:rPr>
          <w:rFonts w:hint="cs"/>
          <w:color w:val="000000" w:themeColor="text1"/>
          <w:rtl/>
        </w:rPr>
        <w:t>ההצעות השונות שהועלו</w:t>
      </w:r>
      <w:r w:rsidRPr="00210D15">
        <w:rPr>
          <w:color w:val="000000" w:themeColor="text1"/>
          <w:rtl/>
        </w:rPr>
        <w:t xml:space="preserve"> </w:t>
      </w:r>
      <w:r w:rsidRPr="00210D15">
        <w:rPr>
          <w:rFonts w:hint="eastAsia"/>
          <w:color w:val="000000" w:themeColor="text1"/>
          <w:rtl/>
        </w:rPr>
        <w:t>במסגרת</w:t>
      </w:r>
      <w:r w:rsidRPr="00210D15">
        <w:rPr>
          <w:color w:val="000000" w:themeColor="text1"/>
          <w:rtl/>
        </w:rPr>
        <w:t xml:space="preserve"> </w:t>
      </w:r>
      <w:r w:rsidRPr="00210D15">
        <w:rPr>
          <w:rFonts w:hint="eastAsia"/>
          <w:color w:val="000000" w:themeColor="text1"/>
          <w:rtl/>
        </w:rPr>
        <w:t>הדיונים</w:t>
      </w:r>
      <w:r>
        <w:rPr>
          <w:rFonts w:hint="cs"/>
          <w:color w:val="000000" w:themeColor="text1"/>
          <w:rtl/>
        </w:rPr>
        <w:t>, הן על ידי חברי הוועדה והן על ידי גורמי המקצוע שהשתתפו בהליך החקיקה,</w:t>
      </w:r>
      <w:r w:rsidRPr="00210D15">
        <w:rPr>
          <w:rFonts w:hint="cs"/>
          <w:color w:val="000000" w:themeColor="text1"/>
          <w:rtl/>
        </w:rPr>
        <w:t xml:space="preserve"> </w:t>
      </w:r>
      <w:r w:rsidRPr="00210D15">
        <w:rPr>
          <w:rFonts w:hint="eastAsia"/>
          <w:color w:val="000000" w:themeColor="text1"/>
          <w:rtl/>
        </w:rPr>
        <w:t>לא</w:t>
      </w:r>
      <w:r w:rsidRPr="00210D15">
        <w:rPr>
          <w:color w:val="000000" w:themeColor="text1"/>
          <w:rtl/>
        </w:rPr>
        <w:t xml:space="preserve"> </w:t>
      </w:r>
      <w:r w:rsidRPr="00210D15">
        <w:rPr>
          <w:rFonts w:hint="eastAsia"/>
          <w:color w:val="000000" w:themeColor="text1"/>
          <w:rtl/>
        </w:rPr>
        <w:t>קיבלו</w:t>
      </w:r>
      <w:r w:rsidRPr="00210D15">
        <w:rPr>
          <w:color w:val="000000" w:themeColor="text1"/>
          <w:rtl/>
        </w:rPr>
        <w:t xml:space="preserve"> </w:t>
      </w:r>
      <w:r w:rsidRPr="00210D15">
        <w:rPr>
          <w:rFonts w:hint="eastAsia"/>
          <w:color w:val="000000" w:themeColor="text1"/>
          <w:rtl/>
        </w:rPr>
        <w:t>ביטוי</w:t>
      </w:r>
      <w:r>
        <w:rPr>
          <w:rFonts w:hint="cs"/>
          <w:color w:val="000000" w:themeColor="text1"/>
          <w:rtl/>
        </w:rPr>
        <w:t xml:space="preserve"> כלשהו</w:t>
      </w:r>
      <w:r w:rsidRPr="00210D15">
        <w:rPr>
          <w:color w:val="000000" w:themeColor="text1"/>
          <w:rtl/>
        </w:rPr>
        <w:t xml:space="preserve"> </w:t>
      </w:r>
      <w:r w:rsidRPr="00210D15">
        <w:rPr>
          <w:rFonts w:hint="eastAsia"/>
          <w:color w:val="000000" w:themeColor="text1"/>
          <w:rtl/>
        </w:rPr>
        <w:t>בנוסח</w:t>
      </w:r>
      <w:r w:rsidRPr="00210D15">
        <w:rPr>
          <w:color w:val="000000" w:themeColor="text1"/>
          <w:rtl/>
        </w:rPr>
        <w:t xml:space="preserve"> </w:t>
      </w:r>
      <w:r w:rsidRPr="004C7692">
        <w:rPr>
          <w:rFonts w:hint="eastAsia"/>
          <w:color w:val="000000" w:themeColor="text1"/>
          <w:rtl/>
        </w:rPr>
        <w:t>הצעת</w:t>
      </w:r>
      <w:r w:rsidRPr="004C7692">
        <w:rPr>
          <w:color w:val="000000" w:themeColor="text1"/>
          <w:rtl/>
        </w:rPr>
        <w:t xml:space="preserve"> </w:t>
      </w:r>
      <w:r w:rsidRPr="004C7692">
        <w:rPr>
          <w:rFonts w:hint="eastAsia"/>
          <w:color w:val="000000" w:themeColor="text1"/>
          <w:rtl/>
        </w:rPr>
        <w:t>התיקון</w:t>
      </w:r>
      <w:r w:rsidRPr="004C7692">
        <w:rPr>
          <w:color w:val="000000" w:themeColor="text1"/>
          <w:rtl/>
        </w:rPr>
        <w:t xml:space="preserve"> </w:t>
      </w:r>
      <w:r w:rsidRPr="004C7692">
        <w:rPr>
          <w:rFonts w:hint="eastAsia"/>
          <w:color w:val="000000" w:themeColor="text1"/>
          <w:rtl/>
        </w:rPr>
        <w:t>שהוגשה</w:t>
      </w:r>
      <w:r w:rsidRPr="004C7692">
        <w:rPr>
          <w:color w:val="000000" w:themeColor="text1"/>
          <w:rtl/>
        </w:rPr>
        <w:t xml:space="preserve"> </w:t>
      </w:r>
      <w:r w:rsidRPr="004C7692">
        <w:rPr>
          <w:rFonts w:hint="eastAsia"/>
          <w:color w:val="000000" w:themeColor="text1"/>
          <w:rtl/>
        </w:rPr>
        <w:t>לקריאה</w:t>
      </w:r>
      <w:r w:rsidRPr="004C7692">
        <w:rPr>
          <w:color w:val="000000" w:themeColor="text1"/>
          <w:rtl/>
        </w:rPr>
        <w:t xml:space="preserve"> </w:t>
      </w:r>
      <w:r w:rsidRPr="004C7692">
        <w:rPr>
          <w:rFonts w:hint="eastAsia"/>
          <w:color w:val="000000" w:themeColor="text1"/>
          <w:rtl/>
        </w:rPr>
        <w:t>שני</w:t>
      </w:r>
      <w:r>
        <w:rPr>
          <w:rFonts w:hint="cs"/>
          <w:color w:val="000000" w:themeColor="text1"/>
          <w:rtl/>
        </w:rPr>
        <w:t>י</w:t>
      </w:r>
      <w:r w:rsidRPr="004C7692">
        <w:rPr>
          <w:rFonts w:hint="eastAsia"/>
          <w:color w:val="000000" w:themeColor="text1"/>
          <w:rtl/>
        </w:rPr>
        <w:t>ה</w:t>
      </w:r>
      <w:r w:rsidRPr="004C7692">
        <w:rPr>
          <w:color w:val="000000" w:themeColor="text1"/>
          <w:rtl/>
        </w:rPr>
        <w:t xml:space="preserve"> </w:t>
      </w:r>
      <w:r w:rsidRPr="004C7692">
        <w:rPr>
          <w:rFonts w:hint="eastAsia"/>
          <w:color w:val="000000" w:themeColor="text1"/>
          <w:rtl/>
        </w:rPr>
        <w:t>ושלישית</w:t>
      </w:r>
      <w:r>
        <w:rPr>
          <w:rFonts w:hint="cs"/>
          <w:color w:val="000000" w:themeColor="text1"/>
          <w:rtl/>
        </w:rPr>
        <w:t xml:space="preserve">: ההצעה </w:t>
      </w:r>
      <w:r w:rsidRPr="004C7692">
        <w:rPr>
          <w:rFonts w:hint="cs"/>
          <w:color w:val="000000" w:themeColor="text1"/>
          <w:rtl/>
        </w:rPr>
        <w:t>נותרה כמעט ללא שינוי בהשוואה ל</w:t>
      </w:r>
      <w:r>
        <w:rPr>
          <w:rFonts w:hint="cs"/>
          <w:color w:val="000000" w:themeColor="text1"/>
          <w:rtl/>
        </w:rPr>
        <w:t xml:space="preserve">סעיף המקביל שהופיע בנוסח הצעת חוק היסוד </w:t>
      </w:r>
      <w:r w:rsidRPr="004C7692">
        <w:rPr>
          <w:rFonts w:hint="cs"/>
          <w:color w:val="000000" w:themeColor="text1"/>
          <w:rtl/>
        </w:rPr>
        <w:t>שהגיש ח"כ רוטמן עוד ביום 17.1.2023.</w:t>
      </w:r>
      <w:r w:rsidRPr="004C7692">
        <w:rPr>
          <w:rFonts w:hint="cs"/>
          <w:rtl/>
        </w:rPr>
        <w:t xml:space="preserve"> </w:t>
      </w:r>
      <w:r>
        <w:rPr>
          <w:rFonts w:hint="cs"/>
          <w:rtl/>
        </w:rPr>
        <w:t xml:space="preserve">בתצהיר התשובה מטעמה הצביעה גם הכנסת על קשיים </w:t>
      </w:r>
      <w:r>
        <w:rPr>
          <w:rFonts w:hint="cs"/>
          <w:rtl/>
        </w:rPr>
        <w:lastRenderedPageBreak/>
        <w:t>שהתעוררו בהליך החקיקה וציינה כי "ניתן היה לנקוט בהליך חקיקה מיטבי יותר מזה שנהג בפועל" (</w:t>
      </w:r>
      <w:r w:rsidRPr="00A7663F">
        <w:rPr>
          <w:rFonts w:ascii="Century" w:hAnsi="Century" w:cs="Miriam" w:hint="cs"/>
          <w:b/>
          <w:spacing w:val="0"/>
          <w:sz w:val="22"/>
          <w:szCs w:val="24"/>
          <w:rtl/>
        </w:rPr>
        <w:t>שם</w:t>
      </w:r>
      <w:r>
        <w:rPr>
          <w:rFonts w:hint="cs"/>
          <w:rtl/>
        </w:rPr>
        <w:t xml:space="preserve">, בסעיף 224). על עמדה זו חזר בפנינו, בהגינותו, בא-כוח הכנסת בדיון שהתקיים בעתירות (עמ' 6 לפרוטוקול הדיון). </w:t>
      </w:r>
    </w:p>
    <w:p w:rsidR="00C044AE" w:rsidRDefault="00C044AE" w:rsidP="00C044AE">
      <w:pPr>
        <w:pStyle w:val="Ruller4"/>
        <w:numPr>
          <w:ilvl w:val="0"/>
          <w:numId w:val="0"/>
        </w:numPr>
        <w:rPr>
          <w:rtl/>
        </w:rPr>
      </w:pPr>
    </w:p>
    <w:p w:rsidR="00C044AE" w:rsidRDefault="00C044AE" w:rsidP="00C044AE">
      <w:pPr>
        <w:pStyle w:val="Ruller4"/>
        <w:rPr>
          <w:rtl/>
        </w:rPr>
      </w:pPr>
      <w:r>
        <w:rPr>
          <w:rFonts w:hint="cs"/>
          <w:rtl/>
        </w:rPr>
        <w:t>חרף כל הקשיים שצוינו, אני סבורה כי ככל שהדבר נוגע לעקרון ההשתתפו</w:t>
      </w:r>
      <w:r>
        <w:rPr>
          <w:rFonts w:hint="eastAsia"/>
          <w:rtl/>
        </w:rPr>
        <w:t>ת</w:t>
      </w:r>
      <w:r>
        <w:rPr>
          <w:rFonts w:hint="cs"/>
          <w:rtl/>
        </w:rPr>
        <w:t xml:space="preserve"> </w:t>
      </w:r>
      <w:r>
        <w:rPr>
          <w:rtl/>
        </w:rPr>
        <w:t>–</w:t>
      </w:r>
      <w:r>
        <w:rPr>
          <w:rFonts w:hint="cs"/>
          <w:rtl/>
        </w:rPr>
        <w:t xml:space="preserve"> הקובע את זכותם של חברי הכנסת לקחת חלק בהליך החקיקה </w:t>
      </w:r>
      <w:r>
        <w:rPr>
          <w:rtl/>
        </w:rPr>
        <w:t>–</w:t>
      </w:r>
      <w:r>
        <w:rPr>
          <w:rFonts w:hint="cs"/>
          <w:rtl/>
        </w:rPr>
        <w:t xml:space="preserve"> לא</w:t>
      </w:r>
      <w:r w:rsidRPr="00BA58A2">
        <w:rPr>
          <w:rFonts w:hint="cs"/>
          <w:rtl/>
        </w:rPr>
        <w:t xml:space="preserve"> </w:t>
      </w:r>
      <w:r>
        <w:rPr>
          <w:rFonts w:hint="cs"/>
          <w:rtl/>
        </w:rPr>
        <w:t>נחצה</w:t>
      </w:r>
      <w:r w:rsidRPr="00BA58A2">
        <w:rPr>
          <w:rFonts w:hint="cs"/>
          <w:rtl/>
        </w:rPr>
        <w:t xml:space="preserve"> </w:t>
      </w:r>
      <w:r>
        <w:rPr>
          <w:rFonts w:hint="cs"/>
          <w:rtl/>
        </w:rPr>
        <w:t xml:space="preserve">בענייננו </w:t>
      </w:r>
      <w:r w:rsidRPr="00BA58A2">
        <w:rPr>
          <w:rFonts w:hint="cs"/>
          <w:rtl/>
        </w:rPr>
        <w:t xml:space="preserve">רף ההתערבות </w:t>
      </w:r>
      <w:r>
        <w:rPr>
          <w:rFonts w:hint="cs"/>
          <w:rtl/>
        </w:rPr>
        <w:t xml:space="preserve">הגבוה שנקבע בהקשר זה ולפיו יש להראות כי מדובר בפגם היורד לשורש הליך החקיקה וכי </w:t>
      </w:r>
      <w:r w:rsidRPr="00BA58A2">
        <w:rPr>
          <w:rFonts w:hint="cs"/>
          <w:rtl/>
        </w:rPr>
        <w:t>"</w:t>
      </w:r>
      <w:r w:rsidRPr="00BA58A2">
        <w:rPr>
          <w:rFonts w:hint="eastAsia"/>
          <w:rtl/>
        </w:rPr>
        <w:t>לא</w:t>
      </w:r>
      <w:r w:rsidRPr="00BA58A2">
        <w:rPr>
          <w:rtl/>
        </w:rPr>
        <w:t xml:space="preserve"> </w:t>
      </w:r>
      <w:r w:rsidRPr="00BA58A2">
        <w:rPr>
          <w:rFonts w:hint="eastAsia"/>
          <w:rtl/>
        </w:rPr>
        <w:t>ניתנה</w:t>
      </w:r>
      <w:r w:rsidRPr="00BA58A2">
        <w:rPr>
          <w:rtl/>
        </w:rPr>
        <w:t xml:space="preserve"> </w:t>
      </w:r>
      <w:r w:rsidRPr="00BA58A2">
        <w:rPr>
          <w:rFonts w:hint="eastAsia"/>
          <w:rtl/>
        </w:rPr>
        <w:t>לחברי</w:t>
      </w:r>
      <w:r w:rsidRPr="00BA58A2">
        <w:rPr>
          <w:rtl/>
        </w:rPr>
        <w:t xml:space="preserve"> </w:t>
      </w:r>
      <w:r w:rsidRPr="00BA58A2">
        <w:rPr>
          <w:rFonts w:hint="eastAsia"/>
          <w:rtl/>
        </w:rPr>
        <w:t>הכנסת</w:t>
      </w:r>
      <w:r w:rsidRPr="00BA58A2">
        <w:rPr>
          <w:rtl/>
        </w:rPr>
        <w:t xml:space="preserve"> </w:t>
      </w:r>
      <w:r w:rsidRPr="00BA58A2">
        <w:rPr>
          <w:rFonts w:hint="eastAsia"/>
          <w:rtl/>
        </w:rPr>
        <w:t>האפשרות</w:t>
      </w:r>
      <w:r w:rsidRPr="00BA58A2">
        <w:rPr>
          <w:rtl/>
        </w:rPr>
        <w:t xml:space="preserve"> </w:t>
      </w:r>
      <w:r w:rsidRPr="00BA58A2">
        <w:rPr>
          <w:rFonts w:hint="eastAsia"/>
          <w:rtl/>
        </w:rPr>
        <w:t>ללבּן</w:t>
      </w:r>
      <w:r w:rsidRPr="00BA58A2">
        <w:rPr>
          <w:rtl/>
        </w:rPr>
        <w:t xml:space="preserve"> </w:t>
      </w:r>
      <w:r w:rsidRPr="00BA58A2">
        <w:rPr>
          <w:rFonts w:hint="eastAsia"/>
          <w:rtl/>
        </w:rPr>
        <w:t>ולשקול</w:t>
      </w:r>
      <w:r w:rsidRPr="00BA58A2">
        <w:rPr>
          <w:rtl/>
        </w:rPr>
        <w:t xml:space="preserve">, </w:t>
      </w:r>
      <w:r w:rsidRPr="00BA58A2">
        <w:rPr>
          <w:rFonts w:hint="eastAsia"/>
          <w:rtl/>
        </w:rPr>
        <w:t>ולוּ</w:t>
      </w:r>
      <w:r w:rsidRPr="00BA58A2">
        <w:rPr>
          <w:rtl/>
        </w:rPr>
        <w:t xml:space="preserve"> </w:t>
      </w:r>
      <w:r w:rsidRPr="00BA58A2">
        <w:rPr>
          <w:rFonts w:hint="eastAsia"/>
          <w:rtl/>
        </w:rPr>
        <w:t>באופן</w:t>
      </w:r>
      <w:r w:rsidRPr="00BA58A2">
        <w:rPr>
          <w:rtl/>
        </w:rPr>
        <w:t xml:space="preserve"> </w:t>
      </w:r>
      <w:r w:rsidRPr="00BA58A2">
        <w:rPr>
          <w:rFonts w:hint="eastAsia"/>
          <w:rtl/>
        </w:rPr>
        <w:t>הבסיסי</w:t>
      </w:r>
      <w:r w:rsidRPr="00BA58A2">
        <w:rPr>
          <w:rtl/>
        </w:rPr>
        <w:t xml:space="preserve"> </w:t>
      </w:r>
      <w:r w:rsidRPr="00BA58A2">
        <w:rPr>
          <w:rFonts w:hint="eastAsia"/>
          <w:rtl/>
        </w:rPr>
        <w:t>ביותר</w:t>
      </w:r>
      <w:r w:rsidRPr="00BA58A2">
        <w:rPr>
          <w:rtl/>
        </w:rPr>
        <w:t xml:space="preserve">, </w:t>
      </w:r>
      <w:r w:rsidRPr="00BA58A2">
        <w:rPr>
          <w:rFonts w:hint="eastAsia"/>
          <w:rtl/>
        </w:rPr>
        <w:t>את</w:t>
      </w:r>
      <w:r w:rsidRPr="00BA58A2">
        <w:rPr>
          <w:rtl/>
        </w:rPr>
        <w:t xml:space="preserve"> </w:t>
      </w:r>
      <w:r w:rsidRPr="00BA58A2">
        <w:rPr>
          <w:rFonts w:hint="eastAsia"/>
          <w:rtl/>
        </w:rPr>
        <w:t>הצעת</w:t>
      </w:r>
      <w:r w:rsidRPr="00BA58A2">
        <w:rPr>
          <w:rtl/>
        </w:rPr>
        <w:t xml:space="preserve"> </w:t>
      </w:r>
      <w:r w:rsidRPr="00BA58A2">
        <w:rPr>
          <w:rFonts w:hint="eastAsia"/>
          <w:rtl/>
        </w:rPr>
        <w:t>החוק</w:t>
      </w:r>
      <w:r w:rsidRPr="00BA58A2">
        <w:rPr>
          <w:rFonts w:hint="cs"/>
          <w:rtl/>
        </w:rPr>
        <w:t xml:space="preserve">" (עניין </w:t>
      </w:r>
      <w:r w:rsidRPr="006F0B0D">
        <w:rPr>
          <w:rFonts w:ascii="Century" w:hAnsi="Century" w:cs="Miriam" w:hint="cs"/>
          <w:b/>
          <w:spacing w:val="0"/>
          <w:szCs w:val="24"/>
          <w:rtl/>
        </w:rPr>
        <w:t>קוונטינסקי</w:t>
      </w:r>
      <w:r w:rsidRPr="00BA58A2">
        <w:rPr>
          <w:rFonts w:hint="cs"/>
          <w:rtl/>
        </w:rPr>
        <w:t xml:space="preserve">, </w:t>
      </w:r>
      <w:r>
        <w:rPr>
          <w:rFonts w:hint="cs"/>
          <w:rtl/>
        </w:rPr>
        <w:t>ב</w:t>
      </w:r>
      <w:r w:rsidRPr="00BA58A2">
        <w:rPr>
          <w:rFonts w:hint="cs"/>
          <w:rtl/>
        </w:rPr>
        <w:t xml:space="preserve">פסקה 79 לחוות דעתו של השופט </w:t>
      </w:r>
      <w:r w:rsidRPr="006F0B0D">
        <w:rPr>
          <w:rFonts w:ascii="Century" w:hAnsi="Century" w:cs="Miriam" w:hint="cs"/>
          <w:b/>
          <w:spacing w:val="0"/>
          <w:szCs w:val="24"/>
          <w:rtl/>
        </w:rPr>
        <w:t>סולברג</w:t>
      </w:r>
      <w:r w:rsidRPr="00BA58A2">
        <w:rPr>
          <w:rFonts w:hint="cs"/>
          <w:rtl/>
        </w:rPr>
        <w:t xml:space="preserve">; </w:t>
      </w:r>
      <w:r>
        <w:rPr>
          <w:rFonts w:hint="cs"/>
          <w:rtl/>
        </w:rPr>
        <w:t xml:space="preserve">ראו והשוו: </w:t>
      </w:r>
      <w:r w:rsidRPr="00BA58A2">
        <w:rPr>
          <w:rFonts w:hint="eastAsia"/>
          <w:rtl/>
        </w:rPr>
        <w:t>בג</w:t>
      </w:r>
      <w:r w:rsidRPr="00BA58A2">
        <w:rPr>
          <w:rtl/>
        </w:rPr>
        <w:t>"</w:t>
      </w:r>
      <w:r w:rsidRPr="00BA58A2">
        <w:rPr>
          <w:rFonts w:hint="eastAsia"/>
          <w:rtl/>
        </w:rPr>
        <w:t>ץ</w:t>
      </w:r>
      <w:r w:rsidRPr="00BA58A2">
        <w:rPr>
          <w:rtl/>
        </w:rPr>
        <w:t xml:space="preserve"> 3234/15 </w:t>
      </w:r>
      <w:r w:rsidRPr="006F0B0D">
        <w:rPr>
          <w:rFonts w:ascii="Century" w:hAnsi="Century" w:cs="Miriam" w:hint="eastAsia"/>
          <w:b/>
          <w:spacing w:val="0"/>
          <w:szCs w:val="24"/>
          <w:rtl/>
        </w:rPr>
        <w:t>מפלגת</w:t>
      </w:r>
      <w:r w:rsidRPr="006F0B0D">
        <w:rPr>
          <w:rFonts w:ascii="Century" w:hAnsi="Century" w:cs="Miriam"/>
          <w:b/>
          <w:spacing w:val="0"/>
          <w:szCs w:val="24"/>
          <w:rtl/>
        </w:rPr>
        <w:t xml:space="preserve"> </w:t>
      </w:r>
      <w:r w:rsidRPr="006F0B0D">
        <w:rPr>
          <w:rFonts w:ascii="Century" w:hAnsi="Century" w:cs="Miriam" w:hint="eastAsia"/>
          <w:b/>
          <w:spacing w:val="0"/>
          <w:szCs w:val="24"/>
          <w:rtl/>
        </w:rPr>
        <w:t>יש</w:t>
      </w:r>
      <w:r w:rsidRPr="006F0B0D">
        <w:rPr>
          <w:rFonts w:ascii="Century" w:hAnsi="Century" w:cs="Miriam"/>
          <w:b/>
          <w:spacing w:val="0"/>
          <w:szCs w:val="24"/>
          <w:rtl/>
        </w:rPr>
        <w:t xml:space="preserve"> </w:t>
      </w:r>
      <w:r w:rsidRPr="006F0B0D">
        <w:rPr>
          <w:rFonts w:ascii="Century" w:hAnsi="Century" w:cs="Miriam" w:hint="eastAsia"/>
          <w:b/>
          <w:spacing w:val="0"/>
          <w:szCs w:val="24"/>
          <w:rtl/>
        </w:rPr>
        <w:t>עתיד</w:t>
      </w:r>
      <w:r w:rsidRPr="006F0B0D">
        <w:rPr>
          <w:rFonts w:ascii="Century" w:hAnsi="Century" w:cs="Miriam"/>
          <w:b/>
          <w:spacing w:val="0"/>
          <w:szCs w:val="24"/>
          <w:rtl/>
        </w:rPr>
        <w:t xml:space="preserve"> </w:t>
      </w:r>
      <w:r w:rsidRPr="006F0B0D">
        <w:rPr>
          <w:rFonts w:ascii="Century" w:hAnsi="Century" w:cs="Miriam" w:hint="eastAsia"/>
          <w:b/>
          <w:spacing w:val="0"/>
          <w:szCs w:val="24"/>
          <w:rtl/>
        </w:rPr>
        <w:t>בראשות</w:t>
      </w:r>
      <w:r w:rsidRPr="006F0B0D">
        <w:rPr>
          <w:rFonts w:ascii="Century" w:hAnsi="Century" w:cs="Miriam"/>
          <w:b/>
          <w:spacing w:val="0"/>
          <w:szCs w:val="24"/>
          <w:rtl/>
        </w:rPr>
        <w:t xml:space="preserve"> </w:t>
      </w:r>
      <w:r w:rsidRPr="006F0B0D">
        <w:rPr>
          <w:rFonts w:ascii="Century" w:hAnsi="Century" w:cs="Miriam" w:hint="eastAsia"/>
          <w:b/>
          <w:spacing w:val="0"/>
          <w:szCs w:val="24"/>
          <w:rtl/>
        </w:rPr>
        <w:t>יאיר</w:t>
      </w:r>
      <w:r w:rsidRPr="006F0B0D">
        <w:rPr>
          <w:rFonts w:ascii="Century" w:hAnsi="Century" w:cs="Miriam"/>
          <w:b/>
          <w:spacing w:val="0"/>
          <w:szCs w:val="24"/>
          <w:rtl/>
        </w:rPr>
        <w:t xml:space="preserve"> </w:t>
      </w:r>
      <w:r w:rsidRPr="006F0B0D">
        <w:rPr>
          <w:rFonts w:ascii="Century" w:hAnsi="Century" w:cs="Miriam" w:hint="eastAsia"/>
          <w:b/>
          <w:spacing w:val="0"/>
          <w:szCs w:val="24"/>
          <w:rtl/>
        </w:rPr>
        <w:t>לפיד</w:t>
      </w:r>
      <w:r w:rsidRPr="006F0B0D">
        <w:rPr>
          <w:rFonts w:ascii="Century" w:hAnsi="Century" w:cs="Miriam"/>
          <w:b/>
          <w:spacing w:val="0"/>
          <w:szCs w:val="24"/>
          <w:rtl/>
        </w:rPr>
        <w:t xml:space="preserve"> </w:t>
      </w:r>
      <w:r w:rsidRPr="006F0B0D">
        <w:rPr>
          <w:rFonts w:ascii="Century" w:hAnsi="Century" w:cs="Miriam" w:hint="eastAsia"/>
          <w:b/>
          <w:spacing w:val="0"/>
          <w:szCs w:val="24"/>
          <w:rtl/>
        </w:rPr>
        <w:t>נ</w:t>
      </w:r>
      <w:r w:rsidRPr="006F0B0D">
        <w:rPr>
          <w:rFonts w:ascii="Century" w:hAnsi="Century" w:cs="Miriam"/>
          <w:b/>
          <w:spacing w:val="0"/>
          <w:szCs w:val="24"/>
          <w:rtl/>
        </w:rPr>
        <w:t xml:space="preserve">' </w:t>
      </w:r>
      <w:r w:rsidRPr="006F0B0D">
        <w:rPr>
          <w:rFonts w:ascii="Century" w:hAnsi="Century" w:cs="Miriam" w:hint="eastAsia"/>
          <w:b/>
          <w:spacing w:val="0"/>
          <w:szCs w:val="24"/>
          <w:rtl/>
        </w:rPr>
        <w:t>יו</w:t>
      </w:r>
      <w:r w:rsidRPr="006F0B0D">
        <w:rPr>
          <w:rFonts w:ascii="Century" w:hAnsi="Century" w:cs="Miriam"/>
          <w:b/>
          <w:spacing w:val="0"/>
          <w:szCs w:val="24"/>
          <w:rtl/>
        </w:rPr>
        <w:t>"</w:t>
      </w:r>
      <w:r w:rsidRPr="006F0B0D">
        <w:rPr>
          <w:rFonts w:ascii="Century" w:hAnsi="Century" w:cs="Miriam" w:hint="eastAsia"/>
          <w:b/>
          <w:spacing w:val="0"/>
          <w:szCs w:val="24"/>
          <w:rtl/>
        </w:rPr>
        <w:t>ר</w:t>
      </w:r>
      <w:r w:rsidRPr="006F0B0D">
        <w:rPr>
          <w:rFonts w:ascii="Century" w:hAnsi="Century" w:cs="Miriam"/>
          <w:b/>
          <w:spacing w:val="0"/>
          <w:szCs w:val="24"/>
          <w:rtl/>
        </w:rPr>
        <w:t xml:space="preserve"> </w:t>
      </w:r>
      <w:r w:rsidRPr="006F0B0D">
        <w:rPr>
          <w:rFonts w:ascii="Century" w:hAnsi="Century" w:cs="Miriam" w:hint="eastAsia"/>
          <w:b/>
          <w:spacing w:val="0"/>
          <w:szCs w:val="24"/>
          <w:rtl/>
        </w:rPr>
        <w:t>הכנסת</w:t>
      </w:r>
      <w:r w:rsidRPr="00BA58A2">
        <w:rPr>
          <w:rtl/>
        </w:rPr>
        <w:t xml:space="preserve">, </w:t>
      </w:r>
      <w:r w:rsidRPr="00BA58A2">
        <w:rPr>
          <w:rFonts w:hint="eastAsia"/>
          <w:rtl/>
        </w:rPr>
        <w:t>פסקה</w:t>
      </w:r>
      <w:r w:rsidRPr="00BA58A2">
        <w:rPr>
          <w:rtl/>
        </w:rPr>
        <w:t xml:space="preserve"> </w:t>
      </w:r>
      <w:r w:rsidRPr="00BA58A2">
        <w:rPr>
          <w:rFonts w:hint="cs"/>
          <w:rtl/>
        </w:rPr>
        <w:t xml:space="preserve">12 </w:t>
      </w:r>
      <w:r w:rsidRPr="00BA58A2">
        <w:rPr>
          <w:rtl/>
        </w:rPr>
        <w:t>(9.7.2015)</w:t>
      </w:r>
      <w:r w:rsidRPr="00BA58A2">
        <w:rPr>
          <w:rFonts w:hint="cs"/>
          <w:rtl/>
        </w:rPr>
        <w:t>).</w:t>
      </w:r>
    </w:p>
    <w:p w:rsidR="00C044AE" w:rsidRPr="006F0B0D" w:rsidRDefault="00C044AE" w:rsidP="00C044AE">
      <w:pPr>
        <w:pStyle w:val="Ruller41"/>
        <w:rPr>
          <w:rtl/>
        </w:rPr>
      </w:pPr>
    </w:p>
    <w:p w:rsidR="00C044AE" w:rsidRDefault="00C044AE" w:rsidP="00C044AE">
      <w:pPr>
        <w:pStyle w:val="Ruller4"/>
        <w:rPr>
          <w:rtl/>
        </w:rPr>
      </w:pPr>
      <w:r w:rsidRPr="003B3CB6">
        <w:rPr>
          <w:rFonts w:hint="cs"/>
          <w:rtl/>
        </w:rPr>
        <w:t xml:space="preserve">הטענות </w:t>
      </w:r>
      <w:r>
        <w:rPr>
          <w:rFonts w:hint="cs"/>
          <w:rtl/>
        </w:rPr>
        <w:t xml:space="preserve">הנוספות </w:t>
      </w:r>
      <w:r w:rsidRPr="003B3CB6">
        <w:rPr>
          <w:rFonts w:hint="cs"/>
          <w:rtl/>
        </w:rPr>
        <w:t>שה</w:t>
      </w:r>
      <w:r>
        <w:rPr>
          <w:rFonts w:hint="cs"/>
          <w:rtl/>
        </w:rPr>
        <w:t>עלו העותרים</w:t>
      </w:r>
      <w:r w:rsidRPr="003B3CB6">
        <w:rPr>
          <w:rFonts w:hint="cs"/>
          <w:rtl/>
        </w:rPr>
        <w:t xml:space="preserve"> </w:t>
      </w:r>
      <w:r>
        <w:rPr>
          <w:rFonts w:hint="cs"/>
          <w:rtl/>
        </w:rPr>
        <w:t>הנוגעות</w:t>
      </w:r>
      <w:r w:rsidRPr="003B3CB6">
        <w:rPr>
          <w:rFonts w:hint="cs"/>
          <w:rtl/>
        </w:rPr>
        <w:t xml:space="preserve"> לשימוש שנעשה בהוראת סעיף 80 לתקנון הכנסת</w:t>
      </w:r>
      <w:r>
        <w:rPr>
          <w:rFonts w:hint="cs"/>
          <w:rtl/>
        </w:rPr>
        <w:t>,</w:t>
      </w:r>
      <w:r w:rsidRPr="003B3CB6">
        <w:rPr>
          <w:rFonts w:hint="cs"/>
          <w:rtl/>
        </w:rPr>
        <w:t xml:space="preserve"> מעוררות שאלות </w:t>
      </w:r>
      <w:r>
        <w:rPr>
          <w:rFonts w:hint="cs"/>
          <w:rtl/>
        </w:rPr>
        <w:t xml:space="preserve">מורכבות </w:t>
      </w:r>
      <w:r w:rsidRPr="003B3CB6">
        <w:rPr>
          <w:rFonts w:hint="cs"/>
          <w:rtl/>
        </w:rPr>
        <w:t>יותר.</w:t>
      </w:r>
      <w:r>
        <w:rPr>
          <w:rFonts w:hint="cs"/>
          <w:rtl/>
        </w:rPr>
        <w:t xml:space="preserve"> סעיף 74(ב) לתקנון הכנסת קובע שלושה מסלולים להגשת הצעת החוק לכנסת: הצעת חוק </w:t>
      </w:r>
      <w:r w:rsidRPr="00A878CC">
        <w:rPr>
          <w:rFonts w:ascii="Century" w:hAnsi="Century" w:cs="Miriam" w:hint="cs"/>
          <w:b/>
          <w:spacing w:val="0"/>
          <w:sz w:val="22"/>
          <w:szCs w:val="24"/>
          <w:rtl/>
        </w:rPr>
        <w:t>פרטית</w:t>
      </w:r>
      <w:r>
        <w:rPr>
          <w:rFonts w:hint="cs"/>
          <w:rtl/>
        </w:rPr>
        <w:t xml:space="preserve"> מטעם חבר כנסת שאינו שר או סגן שר, או קבוצה של חברי כנסת; הצעת חוק </w:t>
      </w:r>
      <w:r w:rsidRPr="00A878CC">
        <w:rPr>
          <w:rFonts w:ascii="Century" w:hAnsi="Century" w:cs="Miriam" w:hint="cs"/>
          <w:b/>
          <w:spacing w:val="0"/>
          <w:sz w:val="22"/>
          <w:szCs w:val="24"/>
          <w:rtl/>
        </w:rPr>
        <w:t>ממשלתית</w:t>
      </w:r>
      <w:r>
        <w:rPr>
          <w:rFonts w:hint="cs"/>
          <w:rtl/>
        </w:rPr>
        <w:t xml:space="preserve">; והצעת חוק מטעם </w:t>
      </w:r>
      <w:r w:rsidRPr="00A878CC">
        <w:rPr>
          <w:rFonts w:ascii="Century" w:hAnsi="Century" w:cs="Miriam" w:hint="cs"/>
          <w:b/>
          <w:spacing w:val="0"/>
          <w:sz w:val="22"/>
          <w:szCs w:val="24"/>
          <w:rtl/>
        </w:rPr>
        <w:t>ועדה</w:t>
      </w:r>
      <w:r>
        <w:rPr>
          <w:rFonts w:hint="cs"/>
          <w:rtl/>
        </w:rPr>
        <w:t xml:space="preserve"> של הכנסת. הליך החקיקה של הצעת חוק מטעם ועדה הוא חריג, ומקל במידה רבה, בהשוואה להליך החקיקה של הצעות חוק בשני המסלולים האחרים. זאת, שכן הצעת החוק המוגשת מטעם ועדה </w:t>
      </w:r>
      <w:r w:rsidRPr="00791E89">
        <w:rPr>
          <w:rFonts w:hint="cs"/>
          <w:rtl/>
        </w:rPr>
        <w:t>פטורה</w:t>
      </w:r>
      <w:r>
        <w:rPr>
          <w:rFonts w:hint="cs"/>
          <w:rtl/>
        </w:rPr>
        <w:t xml:space="preserve"> מהדרישות המקדמיות החלות על הצעת חוק פרטית טרם שלב הקריאה הראשונה, ובהן קיום קריאה טרומית במליאת הכנסת וחובת הנחה בת 45 ימים לפני הקריאה הטרומית </w:t>
      </w:r>
      <w:r w:rsidRPr="00651C3C">
        <w:rPr>
          <w:rFonts w:hint="cs"/>
          <w:rtl/>
        </w:rPr>
        <w:t>(</w:t>
      </w:r>
      <w:r>
        <w:rPr>
          <w:rFonts w:hint="cs"/>
          <w:rtl/>
        </w:rPr>
        <w:t xml:space="preserve">סעיפים 75(ה) ו-76 לתקנון הכנסת). כמו כן, הליך גיבושה של הצעת חוק במסלול של ועדה </w:t>
      </w:r>
      <w:r w:rsidRPr="00791E89">
        <w:rPr>
          <w:rFonts w:hint="cs"/>
          <w:rtl/>
        </w:rPr>
        <w:t>אינו כפוף</w:t>
      </w:r>
      <w:r>
        <w:rPr>
          <w:rFonts w:hint="cs"/>
          <w:rtl/>
        </w:rPr>
        <w:t xml:space="preserve"> להוראות החלות על הצעות חוק ממשלתיות, כגון הנחיות היועצת המשפטית לממשלה המחייבות ביצוע עבודת מטה מקדימה במשרד הרלוונטי, עריכת תזכיר חוק ופרסומו לציבור, ואישור הצעת החוק בוועדת השרים לענייני חקיקה </w:t>
      </w:r>
      <w:r>
        <w:rPr>
          <w:rtl/>
        </w:rPr>
        <w:t>(</w:t>
      </w:r>
      <w:r w:rsidRPr="00B37CFF">
        <w:rPr>
          <w:rtl/>
        </w:rPr>
        <w:t>הנחי</w:t>
      </w:r>
      <w:r w:rsidRPr="00B37CFF">
        <w:rPr>
          <w:rFonts w:hint="cs"/>
          <w:rtl/>
        </w:rPr>
        <w:t>ית היוע</w:t>
      </w:r>
      <w:r>
        <w:rPr>
          <w:rFonts w:hint="cs"/>
          <w:rtl/>
        </w:rPr>
        <w:t>צת</w:t>
      </w:r>
      <w:r w:rsidRPr="00B37CFF">
        <w:rPr>
          <w:rFonts w:hint="cs"/>
          <w:rtl/>
        </w:rPr>
        <w:t xml:space="preserve"> המשפטי</w:t>
      </w:r>
      <w:r>
        <w:rPr>
          <w:rFonts w:hint="cs"/>
          <w:rtl/>
        </w:rPr>
        <w:t>ת</w:t>
      </w:r>
      <w:r w:rsidRPr="00B37CFF">
        <w:rPr>
          <w:rFonts w:hint="cs"/>
          <w:rtl/>
        </w:rPr>
        <w:t xml:space="preserve"> לממשלה</w:t>
      </w:r>
      <w:r w:rsidRPr="00B37CFF">
        <w:rPr>
          <w:rtl/>
        </w:rPr>
        <w:t xml:space="preserve"> 2.3.005 </w:t>
      </w:r>
      <w:r w:rsidRPr="00B37CFF">
        <w:rPr>
          <w:rFonts w:hint="cs"/>
          <w:rtl/>
        </w:rPr>
        <w:t>"</w:t>
      </w:r>
      <w:r w:rsidRPr="00B37CFF">
        <w:rPr>
          <w:rtl/>
        </w:rPr>
        <w:t>טיפול בהצעות חוק ממשלתיות</w:t>
      </w:r>
      <w:r w:rsidRPr="00B37CFF">
        <w:rPr>
          <w:rFonts w:hint="cs"/>
          <w:rtl/>
        </w:rPr>
        <w:t>"</w:t>
      </w:r>
      <w:r w:rsidRPr="00B37CFF">
        <w:rPr>
          <w:rtl/>
        </w:rPr>
        <w:t xml:space="preserve"> (5</w:t>
      </w:r>
      <w:r w:rsidRPr="00D329CB">
        <w:rPr>
          <w:rtl/>
        </w:rPr>
        <w:t>.3.2018</w:t>
      </w:r>
      <w:r>
        <w:rPr>
          <w:rFonts w:hint="cs"/>
          <w:rtl/>
        </w:rPr>
        <w:t xml:space="preserve">)). </w:t>
      </w:r>
    </w:p>
    <w:p w:rsidR="00C044AE" w:rsidRPr="00896489" w:rsidRDefault="00C044AE" w:rsidP="00C044AE">
      <w:pPr>
        <w:pStyle w:val="Ruller41"/>
      </w:pPr>
    </w:p>
    <w:p w:rsidR="00C044AE" w:rsidRDefault="00C044AE" w:rsidP="00C044AE">
      <w:pPr>
        <w:pStyle w:val="Ruller4"/>
        <w:spacing w:after="240"/>
        <w:rPr>
          <w:rtl/>
        </w:rPr>
      </w:pPr>
      <w:r>
        <w:rPr>
          <w:rFonts w:hint="cs"/>
          <w:rtl/>
        </w:rPr>
        <w:t xml:space="preserve">על כן, דומה כי לא בכדי מגביל סעיף 80 לתקנון הכנסת את השימוש במסלול מקוצר זה אך לוועדות </w:t>
      </w:r>
      <w:r w:rsidRPr="002B52CA">
        <w:rPr>
          <w:rFonts w:ascii="Century" w:hAnsi="Century" w:cs="Miriam" w:hint="cs"/>
          <w:b/>
          <w:spacing w:val="0"/>
          <w:szCs w:val="24"/>
          <w:rtl/>
        </w:rPr>
        <w:t>מסוימות</w:t>
      </w:r>
      <w:r>
        <w:rPr>
          <w:rFonts w:hint="cs"/>
          <w:rtl/>
        </w:rPr>
        <w:t xml:space="preserve"> </w:t>
      </w:r>
      <w:r>
        <w:rPr>
          <w:rtl/>
        </w:rPr>
        <w:t>–</w:t>
      </w:r>
      <w:r>
        <w:rPr>
          <w:rFonts w:hint="cs"/>
          <w:rtl/>
        </w:rPr>
        <w:t xml:space="preserve"> ועדת הכנסת, ועדת החוקה והוועדה לענייני ביקורת המדינה; ולרשימת </w:t>
      </w:r>
      <w:r>
        <w:rPr>
          <w:rFonts w:ascii="Century" w:hAnsi="Century" w:cs="Miriam" w:hint="cs"/>
          <w:b/>
          <w:spacing w:val="0"/>
          <w:szCs w:val="24"/>
          <w:rtl/>
        </w:rPr>
        <w:t>נושאים</w:t>
      </w:r>
      <w:r w:rsidRPr="00F02E3D">
        <w:rPr>
          <w:rFonts w:ascii="Century" w:hAnsi="Century" w:cs="Miriam" w:hint="cs"/>
          <w:b/>
          <w:spacing w:val="0"/>
          <w:szCs w:val="24"/>
          <w:rtl/>
        </w:rPr>
        <w:t xml:space="preserve"> </w:t>
      </w:r>
      <w:r>
        <w:rPr>
          <w:rFonts w:hint="cs"/>
          <w:rtl/>
        </w:rPr>
        <w:t xml:space="preserve">מוגדרת, וזאת בכפוף לכך שנושא הצעת החוק </w:t>
      </w:r>
      <w:r w:rsidRPr="00AD587D">
        <w:rPr>
          <w:rFonts w:ascii="Century" w:hAnsi="Century" w:cs="Miriam" w:hint="cs"/>
          <w:b/>
          <w:spacing w:val="0"/>
          <w:szCs w:val="24"/>
          <w:rtl/>
        </w:rPr>
        <w:t xml:space="preserve">מצוי בתחום </w:t>
      </w:r>
      <w:r>
        <w:rPr>
          <w:rFonts w:ascii="Century" w:hAnsi="Century" w:cs="Miriam" w:hint="cs"/>
          <w:b/>
          <w:spacing w:val="0"/>
          <w:szCs w:val="24"/>
          <w:rtl/>
        </w:rPr>
        <w:t>ענייניה</w:t>
      </w:r>
      <w:r>
        <w:rPr>
          <w:rFonts w:hint="cs"/>
          <w:rtl/>
        </w:rPr>
        <w:t xml:space="preserve"> של הוועדה. ובלשונו: </w:t>
      </w:r>
    </w:p>
    <w:p w:rsidR="00C044AE" w:rsidRPr="00C86686" w:rsidRDefault="00C044AE" w:rsidP="00C044AE">
      <w:pPr>
        <w:pStyle w:val="Ruller5"/>
        <w:rPr>
          <w:rFonts w:ascii="Century" w:hAnsi="Century" w:cs="Miriam"/>
          <w:b/>
          <w:spacing w:val="0"/>
          <w:szCs w:val="24"/>
          <w:rtl/>
        </w:rPr>
      </w:pPr>
      <w:r w:rsidRPr="00C86686">
        <w:rPr>
          <w:rFonts w:ascii="Century" w:hAnsi="Century" w:cs="Miriam" w:hint="eastAsia"/>
          <w:b/>
          <w:spacing w:val="0"/>
          <w:szCs w:val="24"/>
          <w:rtl/>
        </w:rPr>
        <w:t>נושאי</w:t>
      </w:r>
      <w:r w:rsidRPr="00C86686">
        <w:rPr>
          <w:rFonts w:ascii="Century" w:hAnsi="Century" w:cs="Miriam"/>
          <w:b/>
          <w:spacing w:val="0"/>
          <w:szCs w:val="24"/>
          <w:rtl/>
        </w:rPr>
        <w:t xml:space="preserve"> </w:t>
      </w:r>
      <w:r w:rsidRPr="00C86686">
        <w:rPr>
          <w:rFonts w:ascii="Century" w:hAnsi="Century" w:cs="Miriam" w:hint="eastAsia"/>
          <w:b/>
          <w:spacing w:val="0"/>
          <w:szCs w:val="24"/>
          <w:rtl/>
        </w:rPr>
        <w:t>החקיקה</w:t>
      </w:r>
      <w:r w:rsidRPr="00C86686">
        <w:rPr>
          <w:rFonts w:ascii="Century" w:hAnsi="Century" w:cs="Miriam"/>
          <w:b/>
          <w:spacing w:val="0"/>
          <w:szCs w:val="24"/>
          <w:rtl/>
        </w:rPr>
        <w:t xml:space="preserve"> </w:t>
      </w:r>
      <w:r w:rsidRPr="00C86686">
        <w:rPr>
          <w:rFonts w:ascii="Century" w:hAnsi="Century" w:cs="Miriam" w:hint="eastAsia"/>
          <w:b/>
          <w:spacing w:val="0"/>
          <w:szCs w:val="24"/>
          <w:rtl/>
        </w:rPr>
        <w:t>מטעם</w:t>
      </w:r>
      <w:r w:rsidRPr="00C86686">
        <w:rPr>
          <w:rFonts w:ascii="Century" w:hAnsi="Century" w:cs="Miriam"/>
          <w:b/>
          <w:spacing w:val="0"/>
          <w:szCs w:val="24"/>
          <w:rtl/>
        </w:rPr>
        <w:t xml:space="preserve"> </w:t>
      </w:r>
      <w:r w:rsidRPr="00C86686">
        <w:rPr>
          <w:rFonts w:ascii="Century" w:hAnsi="Century" w:cs="Miriam" w:hint="eastAsia"/>
          <w:b/>
          <w:spacing w:val="0"/>
          <w:szCs w:val="24"/>
          <w:rtl/>
        </w:rPr>
        <w:t>ועדה</w:t>
      </w:r>
    </w:p>
    <w:p w:rsidR="00C044AE" w:rsidRDefault="00C044AE" w:rsidP="00C044AE">
      <w:pPr>
        <w:pStyle w:val="Ruller5"/>
        <w:rPr>
          <w:rtl/>
        </w:rPr>
      </w:pPr>
      <w:r>
        <w:rPr>
          <w:rFonts w:hint="cs"/>
          <w:rtl/>
        </w:rPr>
        <w:lastRenderedPageBreak/>
        <w:t xml:space="preserve">80. </w:t>
      </w:r>
      <w:r w:rsidRPr="005F3447">
        <w:rPr>
          <w:rFonts w:hint="cs"/>
          <w:rtl/>
        </w:rPr>
        <w:t xml:space="preserve">(א) </w:t>
      </w:r>
      <w:r w:rsidRPr="005F3447">
        <w:rPr>
          <w:shd w:val="clear" w:color="auto" w:fill="FFFFFF"/>
          <w:rtl/>
        </w:rPr>
        <w:t xml:space="preserve">ועדת הכנסת, ועדת החוקה חוק ומשפט והוועדה לענייני ביקורת המדינה רשאיות ליזום, </w:t>
      </w:r>
      <w:r w:rsidRPr="00AD587D">
        <w:rPr>
          <w:shd w:val="clear" w:color="auto" w:fill="FFFFFF"/>
          <w:rtl/>
        </w:rPr>
        <w:t>בתחומי ענייניהן</w:t>
      </w:r>
      <w:r w:rsidRPr="005F3447">
        <w:rPr>
          <w:shd w:val="clear" w:color="auto" w:fill="FFFFFF"/>
          <w:rtl/>
        </w:rPr>
        <w:t xml:space="preserve"> לפי תקנון זה, הצעות חוק בנושאים אלה ולהכינן לקריאה הראשונה: </w:t>
      </w:r>
      <w:r w:rsidRPr="005E3435">
        <w:rPr>
          <w:shd w:val="clear" w:color="auto" w:fill="FFFFFF"/>
          <w:rtl/>
        </w:rPr>
        <w:t>חוקי יסוד</w:t>
      </w:r>
      <w:r w:rsidRPr="005F3447">
        <w:rPr>
          <w:shd w:val="clear" w:color="auto" w:fill="FFFFFF"/>
          <w:rtl/>
        </w:rPr>
        <w:t>, עניינים שמתחייבים מתיקון של חוק יסוד ומוצעים לצדו, הכנסת, חברי הכנסת, הבחירות לכנסת, מפלגות, מימון מפלגות ומבקר המדינה</w:t>
      </w:r>
      <w:r w:rsidRPr="005F3447">
        <w:rPr>
          <w:rFonts w:hint="cs"/>
          <w:shd w:val="clear" w:color="auto" w:fill="FFFFFF"/>
          <w:rtl/>
        </w:rPr>
        <w:t>.</w:t>
      </w:r>
    </w:p>
    <w:p w:rsidR="00C044AE" w:rsidRPr="00C86686" w:rsidRDefault="00C044AE" w:rsidP="00C044AE">
      <w:pPr>
        <w:pStyle w:val="Ruller5"/>
        <w:rPr>
          <w:rtl/>
        </w:rPr>
      </w:pPr>
      <w:r>
        <w:rPr>
          <w:rFonts w:hint="cs"/>
          <w:rtl/>
        </w:rPr>
        <w:t xml:space="preserve">(ב) </w:t>
      </w:r>
      <w:r w:rsidRPr="00A93F14">
        <w:rPr>
          <w:rFonts w:hint="eastAsia"/>
          <w:rtl/>
        </w:rPr>
        <w:t>הכינה</w:t>
      </w:r>
      <w:r w:rsidRPr="00A93F14">
        <w:rPr>
          <w:rtl/>
        </w:rPr>
        <w:t xml:space="preserve"> </w:t>
      </w:r>
      <w:r w:rsidRPr="00A93F14">
        <w:rPr>
          <w:rFonts w:hint="eastAsia"/>
          <w:rtl/>
        </w:rPr>
        <w:t>ועדה</w:t>
      </w:r>
      <w:r w:rsidRPr="00A93F14">
        <w:rPr>
          <w:rtl/>
        </w:rPr>
        <w:t xml:space="preserve"> </w:t>
      </w:r>
      <w:r w:rsidRPr="00A93F14">
        <w:rPr>
          <w:rFonts w:hint="eastAsia"/>
          <w:rtl/>
        </w:rPr>
        <w:t>הצעת</w:t>
      </w:r>
      <w:r w:rsidRPr="00A93F14">
        <w:rPr>
          <w:rtl/>
        </w:rPr>
        <w:t xml:space="preserve"> </w:t>
      </w:r>
      <w:r w:rsidRPr="00A93F14">
        <w:rPr>
          <w:rFonts w:hint="eastAsia"/>
          <w:rtl/>
        </w:rPr>
        <w:t>חוק</w:t>
      </w:r>
      <w:r w:rsidRPr="00A93F14">
        <w:rPr>
          <w:rtl/>
        </w:rPr>
        <w:t xml:space="preserve"> </w:t>
      </w:r>
      <w:r w:rsidRPr="00A93F14">
        <w:rPr>
          <w:rFonts w:hint="eastAsia"/>
          <w:rtl/>
        </w:rPr>
        <w:t>לקריאה</w:t>
      </w:r>
      <w:r w:rsidRPr="00A93F14">
        <w:rPr>
          <w:rtl/>
        </w:rPr>
        <w:t xml:space="preserve"> </w:t>
      </w:r>
      <w:r w:rsidRPr="00A93F14">
        <w:rPr>
          <w:rFonts w:hint="eastAsia"/>
          <w:rtl/>
        </w:rPr>
        <w:t>הראשונה</w:t>
      </w:r>
      <w:r w:rsidRPr="00A93F14">
        <w:rPr>
          <w:rtl/>
        </w:rPr>
        <w:t xml:space="preserve">, </w:t>
      </w:r>
      <w:r w:rsidRPr="00A93F14">
        <w:rPr>
          <w:rFonts w:hint="eastAsia"/>
          <w:rtl/>
        </w:rPr>
        <w:t>יורה</w:t>
      </w:r>
      <w:r w:rsidRPr="00A93F14">
        <w:rPr>
          <w:rtl/>
        </w:rPr>
        <w:t xml:space="preserve"> </w:t>
      </w:r>
      <w:r w:rsidRPr="00A93F14">
        <w:rPr>
          <w:rFonts w:hint="eastAsia"/>
          <w:rtl/>
        </w:rPr>
        <w:t>מזכיר</w:t>
      </w:r>
      <w:r w:rsidRPr="00A93F14">
        <w:rPr>
          <w:rtl/>
        </w:rPr>
        <w:t xml:space="preserve"> </w:t>
      </w:r>
      <w:r w:rsidRPr="00A93F14">
        <w:rPr>
          <w:rFonts w:hint="eastAsia"/>
          <w:rtl/>
        </w:rPr>
        <w:t>הכנסת</w:t>
      </w:r>
      <w:r w:rsidRPr="00A93F14">
        <w:rPr>
          <w:rtl/>
        </w:rPr>
        <w:t xml:space="preserve"> </w:t>
      </w:r>
      <w:r w:rsidRPr="00A93F14">
        <w:rPr>
          <w:rFonts w:hint="eastAsia"/>
          <w:rtl/>
        </w:rPr>
        <w:t>על</w:t>
      </w:r>
      <w:r w:rsidRPr="00A93F14">
        <w:rPr>
          <w:rtl/>
        </w:rPr>
        <w:t xml:space="preserve"> </w:t>
      </w:r>
      <w:r w:rsidRPr="00A93F14">
        <w:rPr>
          <w:rFonts w:hint="eastAsia"/>
          <w:rtl/>
        </w:rPr>
        <w:t>פרסומה</w:t>
      </w:r>
      <w:r w:rsidRPr="00A93F14">
        <w:rPr>
          <w:rtl/>
        </w:rPr>
        <w:t xml:space="preserve"> </w:t>
      </w:r>
      <w:r w:rsidRPr="00A93F14">
        <w:rPr>
          <w:rFonts w:hint="eastAsia"/>
          <w:rtl/>
        </w:rPr>
        <w:t>ברשומות</w:t>
      </w:r>
      <w:r w:rsidRPr="00A93F14">
        <w:rPr>
          <w:rtl/>
        </w:rPr>
        <w:t xml:space="preserve"> – </w:t>
      </w:r>
      <w:r w:rsidRPr="00A93F14">
        <w:rPr>
          <w:rFonts w:hint="eastAsia"/>
          <w:rtl/>
        </w:rPr>
        <w:t>הצעות</w:t>
      </w:r>
      <w:r w:rsidRPr="00A93F14">
        <w:rPr>
          <w:rtl/>
        </w:rPr>
        <w:t xml:space="preserve"> </w:t>
      </w:r>
      <w:r w:rsidRPr="00A93F14">
        <w:rPr>
          <w:rFonts w:hint="eastAsia"/>
          <w:rtl/>
        </w:rPr>
        <w:t>חוק</w:t>
      </w:r>
      <w:r w:rsidRPr="00A93F14">
        <w:rPr>
          <w:rtl/>
        </w:rPr>
        <w:t xml:space="preserve"> </w:t>
      </w:r>
      <w:r w:rsidRPr="00A93F14">
        <w:rPr>
          <w:rFonts w:hint="eastAsia"/>
          <w:rtl/>
        </w:rPr>
        <w:t>הכנסת</w:t>
      </w:r>
      <w:r w:rsidRPr="00A93F14">
        <w:rPr>
          <w:rtl/>
        </w:rPr>
        <w:t xml:space="preserve">, </w:t>
      </w:r>
      <w:r w:rsidRPr="00A93F14">
        <w:rPr>
          <w:rFonts w:hint="eastAsia"/>
          <w:rtl/>
        </w:rPr>
        <w:t>בצירוף</w:t>
      </w:r>
      <w:r w:rsidRPr="00A93F14">
        <w:rPr>
          <w:rtl/>
        </w:rPr>
        <w:t xml:space="preserve"> </w:t>
      </w:r>
      <w:r w:rsidRPr="00A93F14">
        <w:rPr>
          <w:rFonts w:hint="eastAsia"/>
          <w:rtl/>
        </w:rPr>
        <w:t>דברי</w:t>
      </w:r>
      <w:r w:rsidRPr="00A93F14">
        <w:rPr>
          <w:rtl/>
        </w:rPr>
        <w:t xml:space="preserve"> </w:t>
      </w:r>
      <w:r w:rsidRPr="00A93F14">
        <w:rPr>
          <w:rFonts w:hint="eastAsia"/>
          <w:rtl/>
        </w:rPr>
        <w:t>הסבר</w:t>
      </w:r>
      <w:r w:rsidRPr="00A93F14">
        <w:rPr>
          <w:rtl/>
        </w:rPr>
        <w:t>.</w:t>
      </w:r>
    </w:p>
    <w:p w:rsidR="00C044AE" w:rsidRDefault="00C044AE" w:rsidP="00C044AE">
      <w:pPr>
        <w:pStyle w:val="Ruller41"/>
        <w:rPr>
          <w:rtl/>
        </w:rPr>
      </w:pPr>
    </w:p>
    <w:p w:rsidR="00C044AE" w:rsidRDefault="00C044AE" w:rsidP="00C044AE">
      <w:pPr>
        <w:pStyle w:val="Ruller4"/>
        <w:rPr>
          <w:rtl/>
        </w:rPr>
      </w:pPr>
      <w:r>
        <w:rPr>
          <w:rFonts w:hint="cs"/>
          <w:rtl/>
        </w:rPr>
        <w:t xml:space="preserve">האפשרות להגיש הצעות חוק מטעם ועדות הכנסת </w:t>
      </w:r>
      <w:r w:rsidRPr="008B1175">
        <w:rPr>
          <w:rtl/>
        </w:rPr>
        <w:t>–</w:t>
      </w:r>
      <w:r w:rsidRPr="008B1175">
        <w:rPr>
          <w:rFonts w:hint="cs"/>
          <w:rtl/>
        </w:rPr>
        <w:t xml:space="preserve"> אף שיושמה בפועל כבר בשנותיה הראשונות של הכנסת </w:t>
      </w:r>
      <w:r w:rsidRPr="008B1175">
        <w:rPr>
          <w:rtl/>
        </w:rPr>
        <w:t>–</w:t>
      </w:r>
      <w:r>
        <w:rPr>
          <w:rFonts w:hint="cs"/>
          <w:rtl/>
        </w:rPr>
        <w:t xml:space="preserve"> הוסדרה לראשונה בהחלטת ועדת הכנסת מיום 24.11.1980 </w:t>
      </w:r>
      <w:r w:rsidRPr="009C447D">
        <w:rPr>
          <w:rFonts w:hint="cs"/>
          <w:rtl/>
        </w:rPr>
        <w:t xml:space="preserve">(פרוטוקול ישיבה 281 של ועדת הכנסת, הכנסת ה-9, 2 (24.11.1980); להלן: </w:t>
      </w:r>
      <w:r w:rsidRPr="00CC1FE7">
        <w:rPr>
          <w:rFonts w:ascii="Century" w:hAnsi="Century" w:cs="Miriam" w:hint="cs"/>
          <w:b/>
          <w:spacing w:val="0"/>
          <w:sz w:val="22"/>
          <w:szCs w:val="24"/>
          <w:rtl/>
        </w:rPr>
        <w:t>החלטת ועדת הכנסת</w:t>
      </w:r>
      <w:r w:rsidRPr="009C447D">
        <w:rPr>
          <w:rFonts w:hint="cs"/>
          <w:rtl/>
        </w:rPr>
        <w:t xml:space="preserve">). </w:t>
      </w:r>
      <w:r>
        <w:rPr>
          <w:rFonts w:hint="cs"/>
          <w:rtl/>
        </w:rPr>
        <w:t xml:space="preserve">בשנת 2011 תוקן תקנון הכנסת כך שנוסף לו </w:t>
      </w:r>
      <w:r w:rsidRPr="009C447D">
        <w:rPr>
          <w:rFonts w:hint="cs"/>
          <w:rtl/>
        </w:rPr>
        <w:t>סעיף 80</w:t>
      </w:r>
      <w:r>
        <w:rPr>
          <w:rFonts w:hint="cs"/>
          <w:rtl/>
        </w:rPr>
        <w:t xml:space="preserve">, ועיגן הסדר הדומה במהותו לזה שנקבע בהחלטת ועדת הכנסת. אחד השינויים שנכללו בסעיף לעומת החלטת ועדת הכנסת הוא הגבלת האפשרות להציע הצעות חוק מטעם ועדה </w:t>
      </w:r>
      <w:r w:rsidRPr="009C447D">
        <w:rPr>
          <w:rFonts w:hint="cs"/>
          <w:rtl/>
        </w:rPr>
        <w:t xml:space="preserve">לשלוש ועדות </w:t>
      </w:r>
      <w:r>
        <w:rPr>
          <w:rFonts w:hint="cs"/>
          <w:rtl/>
        </w:rPr>
        <w:t>ספציפיות ולנושאים המצויים בתחומי ענייניהן לפי תקנון הכנסת</w:t>
      </w:r>
      <w:r w:rsidRPr="009C447D">
        <w:rPr>
          <w:rFonts w:hint="cs"/>
          <w:rtl/>
        </w:rPr>
        <w:t>.</w:t>
      </w:r>
      <w:r>
        <w:rPr>
          <w:rFonts w:hint="cs"/>
          <w:rtl/>
        </w:rPr>
        <w:t xml:space="preserve"> עיון בדיוני ועדת הכנסת בנושא זה מעלה כי הגבלת השימוש במסלול של הצעת חוק מטעם ועדה נבעה, בין היתר, מן החשש שמא ועדות ישתמשו במסלול זה על מנת לדלג על השלבים המקדמיים</w:t>
      </w:r>
      <w:r w:rsidRPr="0099046A">
        <w:rPr>
          <w:rFonts w:hint="cs"/>
          <w:rtl/>
        </w:rPr>
        <w:t xml:space="preserve"> הישר </w:t>
      </w:r>
      <w:r>
        <w:rPr>
          <w:rFonts w:hint="cs"/>
          <w:rtl/>
        </w:rPr>
        <w:t>ל</w:t>
      </w:r>
      <w:r w:rsidRPr="0099046A">
        <w:rPr>
          <w:rFonts w:hint="cs"/>
          <w:rtl/>
        </w:rPr>
        <w:t>קריאה הראשונה (</w:t>
      </w:r>
      <w:r w:rsidRPr="00C71917">
        <w:rPr>
          <w:rFonts w:ascii="Century" w:hAnsi="Century" w:hint="cs"/>
          <w:rtl/>
        </w:rPr>
        <w:t xml:space="preserve">פרוטוקול ישיבה 161 של ועדת הכנסת, הכנסת ה-18, 56-55, 60 (1.3.2011)). </w:t>
      </w:r>
    </w:p>
    <w:p w:rsidR="00C044AE" w:rsidRDefault="00C044AE" w:rsidP="00C044AE">
      <w:pPr>
        <w:pStyle w:val="Ruller41"/>
        <w:rPr>
          <w:rtl/>
        </w:rPr>
      </w:pPr>
    </w:p>
    <w:p w:rsidR="00C044AE" w:rsidRPr="00A7663F" w:rsidRDefault="00C044AE" w:rsidP="00C044AE">
      <w:pPr>
        <w:pStyle w:val="Ruller4"/>
        <w:rPr>
          <w:rFonts w:ascii="Century" w:hAnsi="Century"/>
          <w:sz w:val="22"/>
          <w:rtl/>
        </w:rPr>
      </w:pPr>
      <w:r w:rsidRPr="00F951D5">
        <w:rPr>
          <w:rFonts w:hint="eastAsia"/>
          <w:rtl/>
        </w:rPr>
        <w:t>נראה</w:t>
      </w:r>
      <w:r w:rsidRPr="00F951D5">
        <w:rPr>
          <w:rtl/>
        </w:rPr>
        <w:t xml:space="preserve"> </w:t>
      </w:r>
      <w:r w:rsidRPr="00F951D5">
        <w:rPr>
          <w:rFonts w:hint="eastAsia"/>
          <w:rtl/>
        </w:rPr>
        <w:t>כי</w:t>
      </w:r>
      <w:r w:rsidRPr="00F951D5">
        <w:rPr>
          <w:rtl/>
        </w:rPr>
        <w:t xml:space="preserve"> </w:t>
      </w:r>
      <w:r>
        <w:rPr>
          <w:rFonts w:hint="cs"/>
          <w:rtl/>
        </w:rPr>
        <w:t xml:space="preserve">לאורך השנים </w:t>
      </w:r>
      <w:r w:rsidRPr="00F951D5">
        <w:rPr>
          <w:rFonts w:hint="eastAsia"/>
          <w:rtl/>
        </w:rPr>
        <w:t>נעשה</w:t>
      </w:r>
      <w:r w:rsidRPr="00F951D5">
        <w:rPr>
          <w:rtl/>
        </w:rPr>
        <w:t xml:space="preserve"> </w:t>
      </w:r>
      <w:r w:rsidRPr="00F951D5">
        <w:rPr>
          <w:rFonts w:hint="eastAsia"/>
          <w:rtl/>
        </w:rPr>
        <w:t>שימוש</w:t>
      </w:r>
      <w:r w:rsidRPr="00F951D5">
        <w:rPr>
          <w:rtl/>
        </w:rPr>
        <w:t xml:space="preserve"> </w:t>
      </w:r>
      <w:r w:rsidRPr="00F951D5">
        <w:rPr>
          <w:rFonts w:hint="eastAsia"/>
          <w:rtl/>
        </w:rPr>
        <w:t>מועט</w:t>
      </w:r>
      <w:r w:rsidRPr="00F951D5">
        <w:rPr>
          <w:rtl/>
        </w:rPr>
        <w:t xml:space="preserve"> </w:t>
      </w:r>
      <w:r w:rsidRPr="00F951D5">
        <w:rPr>
          <w:rFonts w:hint="eastAsia"/>
          <w:rtl/>
        </w:rPr>
        <w:t>יחסית</w:t>
      </w:r>
      <w:r w:rsidRPr="00F951D5">
        <w:rPr>
          <w:rtl/>
        </w:rPr>
        <w:t xml:space="preserve"> </w:t>
      </w:r>
      <w:r>
        <w:rPr>
          <w:rFonts w:hint="cs"/>
          <w:rtl/>
        </w:rPr>
        <w:t>במסלול של הגשת</w:t>
      </w:r>
      <w:r w:rsidRPr="00F951D5">
        <w:rPr>
          <w:rtl/>
        </w:rPr>
        <w:t xml:space="preserve"> </w:t>
      </w:r>
      <w:r w:rsidRPr="00F951D5">
        <w:rPr>
          <w:rFonts w:hint="eastAsia"/>
          <w:rtl/>
        </w:rPr>
        <w:t>הצעות</w:t>
      </w:r>
      <w:r w:rsidRPr="00F951D5">
        <w:rPr>
          <w:rtl/>
        </w:rPr>
        <w:t xml:space="preserve"> </w:t>
      </w:r>
      <w:r w:rsidRPr="00F951D5">
        <w:rPr>
          <w:rFonts w:hint="eastAsia"/>
          <w:rtl/>
        </w:rPr>
        <w:t>חוק</w:t>
      </w:r>
      <w:r w:rsidRPr="00F951D5">
        <w:rPr>
          <w:rtl/>
        </w:rPr>
        <w:t xml:space="preserve"> </w:t>
      </w:r>
      <w:r w:rsidRPr="00F951D5">
        <w:rPr>
          <w:rFonts w:hint="eastAsia"/>
          <w:rtl/>
        </w:rPr>
        <w:t>מטעם</w:t>
      </w:r>
      <w:r w:rsidRPr="00F951D5">
        <w:rPr>
          <w:rtl/>
        </w:rPr>
        <w:t xml:space="preserve"> </w:t>
      </w:r>
      <w:r>
        <w:rPr>
          <w:rFonts w:hint="eastAsia"/>
          <w:rtl/>
        </w:rPr>
        <w:t>ועדו</w:t>
      </w:r>
      <w:r>
        <w:rPr>
          <w:rFonts w:hint="cs"/>
          <w:rtl/>
        </w:rPr>
        <w:t xml:space="preserve">ת. בכל הנוגע לחוקי יסוד, עולה </w:t>
      </w:r>
      <w:r w:rsidRPr="00F951D5">
        <w:rPr>
          <w:rFonts w:hint="eastAsia"/>
          <w:rtl/>
        </w:rPr>
        <w:t>מנתונים</w:t>
      </w:r>
      <w:r w:rsidRPr="00F951D5">
        <w:rPr>
          <w:rtl/>
        </w:rPr>
        <w:t xml:space="preserve"> </w:t>
      </w:r>
      <w:r w:rsidRPr="00F951D5">
        <w:rPr>
          <w:rFonts w:hint="eastAsia"/>
          <w:rtl/>
        </w:rPr>
        <w:t>המפורסמים</w:t>
      </w:r>
      <w:r w:rsidRPr="00F951D5">
        <w:rPr>
          <w:rtl/>
        </w:rPr>
        <w:t xml:space="preserve"> </w:t>
      </w:r>
      <w:r w:rsidRPr="00F951D5">
        <w:rPr>
          <w:rFonts w:hint="eastAsia"/>
          <w:rtl/>
        </w:rPr>
        <w:t>באתר</w:t>
      </w:r>
      <w:r w:rsidRPr="00F951D5">
        <w:rPr>
          <w:rtl/>
        </w:rPr>
        <w:t xml:space="preserve"> </w:t>
      </w:r>
      <w:r w:rsidRPr="00F951D5">
        <w:rPr>
          <w:rFonts w:hint="eastAsia"/>
          <w:rtl/>
        </w:rPr>
        <w:t>הכנסת</w:t>
      </w:r>
      <w:r w:rsidRPr="00F951D5">
        <w:rPr>
          <w:rtl/>
        </w:rPr>
        <w:t xml:space="preserve">, </w:t>
      </w:r>
      <w:r>
        <w:rPr>
          <w:rFonts w:hint="cs"/>
          <w:rtl/>
        </w:rPr>
        <w:t xml:space="preserve">כי מאז קום המדינה אושרו בקריאה שלישית 26 הצעות חוקי יסוד ותיקונים לחוקי יסוד שמקורן בהצעה מטעם ועדה. בחינת הנושאים שבהם עסקו אותן הצעות מלמדת כי הן נגעו, ככלל, לנושאים הקשורים באופן כזה או אחר לכנסת, כגון: סדרי עבודת הכנסת וחבריה, ענייני בחירות וחוק התקציב (ראו, למשל, </w:t>
      </w:r>
      <w:r w:rsidRPr="00F06C8E">
        <w:rPr>
          <w:rFonts w:hint="cs"/>
          <w:sz w:val="28"/>
          <w:rtl/>
        </w:rPr>
        <w:t>חוק-יסוד: הכנסת (תיקון מס' 12)</w:t>
      </w:r>
      <w:r>
        <w:rPr>
          <w:rFonts w:hint="cs"/>
          <w:sz w:val="28"/>
          <w:rtl/>
        </w:rPr>
        <w:t xml:space="preserve">, ס"ח התשנ"א 90, </w:t>
      </w:r>
      <w:r>
        <w:rPr>
          <w:rFonts w:hint="cs"/>
          <w:rtl/>
        </w:rPr>
        <w:t>שנוגע למועמדות חבר כנסת שפרש מסיעתו בבחירות לכנסת הבאה; ו</w:t>
      </w:r>
      <w:r w:rsidRPr="00F53420">
        <w:rPr>
          <w:rFonts w:hint="eastAsia"/>
          <w:sz w:val="28"/>
          <w:rtl/>
        </w:rPr>
        <w:t>חוק</w:t>
      </w:r>
      <w:r w:rsidRPr="00F53420">
        <w:rPr>
          <w:sz w:val="28"/>
          <w:rtl/>
        </w:rPr>
        <w:t>-</w:t>
      </w:r>
      <w:r w:rsidRPr="00F53420">
        <w:rPr>
          <w:rFonts w:hint="eastAsia"/>
          <w:sz w:val="28"/>
          <w:rtl/>
        </w:rPr>
        <w:t>יסוד</w:t>
      </w:r>
      <w:r w:rsidRPr="00F53420">
        <w:rPr>
          <w:sz w:val="28"/>
          <w:rtl/>
        </w:rPr>
        <w:t xml:space="preserve">: </w:t>
      </w:r>
      <w:r w:rsidRPr="00F53420">
        <w:rPr>
          <w:rFonts w:hint="eastAsia"/>
          <w:sz w:val="28"/>
          <w:rtl/>
        </w:rPr>
        <w:t>הכנסת</w:t>
      </w:r>
      <w:r w:rsidRPr="00F53420">
        <w:rPr>
          <w:sz w:val="28"/>
          <w:rtl/>
        </w:rPr>
        <w:t xml:space="preserve"> (</w:t>
      </w:r>
      <w:r w:rsidRPr="00F53420">
        <w:rPr>
          <w:rFonts w:hint="eastAsia"/>
          <w:sz w:val="28"/>
          <w:rtl/>
        </w:rPr>
        <w:t>תיקון</w:t>
      </w:r>
      <w:r w:rsidRPr="00F53420">
        <w:rPr>
          <w:sz w:val="28"/>
          <w:rtl/>
        </w:rPr>
        <w:t xml:space="preserve"> </w:t>
      </w:r>
      <w:r w:rsidRPr="00F53420">
        <w:rPr>
          <w:rFonts w:hint="eastAsia"/>
          <w:sz w:val="28"/>
          <w:rtl/>
        </w:rPr>
        <w:t>מס</w:t>
      </w:r>
      <w:r w:rsidRPr="00F53420">
        <w:rPr>
          <w:sz w:val="28"/>
          <w:rtl/>
        </w:rPr>
        <w:t>' 24)</w:t>
      </w:r>
      <w:r>
        <w:rPr>
          <w:rFonts w:hint="cs"/>
          <w:sz w:val="28"/>
          <w:rtl/>
        </w:rPr>
        <w:t>, ס"ח התשנ"ז 186,</w:t>
      </w:r>
      <w:r w:rsidRPr="00833B2A">
        <w:rPr>
          <w:rFonts w:hint="cs"/>
          <w:sz w:val="28"/>
          <w:rtl/>
        </w:rPr>
        <w:t xml:space="preserve"> שכולל הוראות שונות בעניין יו"ר הכנסת וסגנו</w:t>
      </w:r>
      <w:r>
        <w:rPr>
          <w:rFonts w:hint="cs"/>
          <w:rtl/>
        </w:rPr>
        <w:t xml:space="preserve">). זאת, למעט שלושה חריגים בולטים: </w:t>
      </w:r>
      <w:r w:rsidRPr="00833B2A">
        <w:rPr>
          <w:rFonts w:ascii="Century" w:hAnsi="Century" w:cs="Miriam" w:hint="cs"/>
          <w:b/>
          <w:spacing w:val="0"/>
          <w:sz w:val="22"/>
          <w:szCs w:val="24"/>
          <w:rtl/>
        </w:rPr>
        <w:t>הראשון</w:t>
      </w:r>
      <w:r>
        <w:rPr>
          <w:rFonts w:hint="cs"/>
          <w:rtl/>
        </w:rPr>
        <w:t xml:space="preserve"> הוא חוק-יסוד: הממשלה (תיקון מס' 6), ס"ח התשנ"ז 114 </w:t>
      </w:r>
      <w:r>
        <w:rPr>
          <w:rtl/>
        </w:rPr>
        <w:t>–</w:t>
      </w:r>
      <w:r>
        <w:rPr>
          <w:rFonts w:hint="cs"/>
          <w:rtl/>
        </w:rPr>
        <w:t xml:space="preserve"> העוסק בכשירות אדם המחזיק באזרחות נוספת לכהן כשר; </w:t>
      </w:r>
      <w:r w:rsidRPr="00833B2A">
        <w:rPr>
          <w:rFonts w:ascii="Century" w:hAnsi="Century" w:cs="Miriam" w:hint="cs"/>
          <w:b/>
          <w:spacing w:val="0"/>
          <w:sz w:val="22"/>
          <w:szCs w:val="24"/>
          <w:rtl/>
        </w:rPr>
        <w:t>השני</w:t>
      </w:r>
      <w:r>
        <w:rPr>
          <w:rFonts w:hint="cs"/>
          <w:rtl/>
        </w:rPr>
        <w:t xml:space="preserve"> הוא חוק-יסוד: השפיטה (תיקון מס' 2), ס"ח התשס"ב 598 </w:t>
      </w:r>
      <w:r>
        <w:rPr>
          <w:rtl/>
        </w:rPr>
        <w:t>–</w:t>
      </w:r>
      <w:r>
        <w:rPr>
          <w:rFonts w:hint="cs"/>
          <w:rtl/>
        </w:rPr>
        <w:t xml:space="preserve"> שקבע כי נציב תלונות הציבור על שופטים ייכלל ברשימת הגורמים שרשאים להציע לוועדה לבחירת שופטים לסיים כהונה של שופט; ו</w:t>
      </w:r>
      <w:r w:rsidRPr="00833B2A">
        <w:rPr>
          <w:rFonts w:ascii="Century" w:hAnsi="Century" w:cs="Miriam" w:hint="cs"/>
          <w:b/>
          <w:spacing w:val="0"/>
          <w:sz w:val="22"/>
          <w:szCs w:val="24"/>
          <w:rtl/>
        </w:rPr>
        <w:t xml:space="preserve">השלישי </w:t>
      </w:r>
      <w:r>
        <w:rPr>
          <w:rFonts w:hint="cs"/>
          <w:rtl/>
        </w:rPr>
        <w:t xml:space="preserve">הוא התיקון נושא העתירות דנן. ואולם בשני העניינים הראשונים, כמו גם ברוב המכריע של הצעות חוקי היסוד שהתקבלו ועסקו בענייני </w:t>
      </w:r>
      <w:r w:rsidRPr="00A7663F">
        <w:rPr>
          <w:rFonts w:ascii="Century" w:hAnsi="Century" w:hint="eastAsia"/>
          <w:sz w:val="22"/>
          <w:rtl/>
        </w:rPr>
        <w:t>הכנסת</w:t>
      </w:r>
      <w:r w:rsidRPr="00A7663F">
        <w:rPr>
          <w:rFonts w:ascii="Century" w:hAnsi="Century"/>
          <w:sz w:val="22"/>
          <w:rtl/>
        </w:rPr>
        <w:t xml:space="preserve">, </w:t>
      </w:r>
      <w:r w:rsidRPr="00A7663F">
        <w:rPr>
          <w:rFonts w:ascii="Century" w:hAnsi="Century" w:hint="eastAsia"/>
          <w:sz w:val="22"/>
          <w:rtl/>
        </w:rPr>
        <w:t>ההצעות</w:t>
      </w:r>
      <w:r w:rsidRPr="00A7663F">
        <w:rPr>
          <w:rFonts w:ascii="Century" w:hAnsi="Century"/>
          <w:sz w:val="22"/>
          <w:rtl/>
        </w:rPr>
        <w:t xml:space="preserve"> </w:t>
      </w:r>
      <w:r w:rsidRPr="00A7663F">
        <w:rPr>
          <w:rFonts w:ascii="Century" w:hAnsi="Century" w:hint="eastAsia"/>
          <w:sz w:val="22"/>
          <w:rtl/>
        </w:rPr>
        <w:t>אושרו</w:t>
      </w:r>
      <w:r w:rsidRPr="00A7663F">
        <w:rPr>
          <w:rFonts w:ascii="Century" w:hAnsi="Century"/>
          <w:sz w:val="22"/>
          <w:rtl/>
        </w:rPr>
        <w:t xml:space="preserve"> </w:t>
      </w:r>
      <w:r w:rsidRPr="00A7663F">
        <w:rPr>
          <w:rFonts w:ascii="Century" w:hAnsi="Century" w:hint="eastAsia"/>
          <w:sz w:val="22"/>
          <w:rtl/>
        </w:rPr>
        <w:t>בהסכמה</w:t>
      </w:r>
      <w:r w:rsidRPr="00A7663F">
        <w:rPr>
          <w:rFonts w:ascii="Century" w:hAnsi="Century"/>
          <w:sz w:val="22"/>
          <w:rtl/>
        </w:rPr>
        <w:t xml:space="preserve"> </w:t>
      </w:r>
      <w:r w:rsidRPr="00A7663F">
        <w:rPr>
          <w:rFonts w:ascii="Century" w:hAnsi="Century" w:hint="eastAsia"/>
          <w:sz w:val="22"/>
          <w:rtl/>
        </w:rPr>
        <w:t>רחבה</w:t>
      </w:r>
      <w:r w:rsidRPr="00A7663F">
        <w:rPr>
          <w:rFonts w:ascii="Century" w:hAnsi="Century"/>
          <w:sz w:val="22"/>
          <w:rtl/>
        </w:rPr>
        <w:t xml:space="preserve"> </w:t>
      </w:r>
      <w:r w:rsidRPr="00A7663F">
        <w:rPr>
          <w:rFonts w:ascii="Century" w:hAnsi="Century" w:hint="eastAsia"/>
          <w:sz w:val="22"/>
          <w:rtl/>
        </w:rPr>
        <w:t>וללא</w:t>
      </w:r>
      <w:r w:rsidRPr="00A7663F">
        <w:rPr>
          <w:rFonts w:ascii="Century" w:hAnsi="Century"/>
          <w:sz w:val="22"/>
          <w:rtl/>
        </w:rPr>
        <w:t xml:space="preserve"> </w:t>
      </w:r>
      <w:r w:rsidRPr="00A7663F">
        <w:rPr>
          <w:rFonts w:ascii="Century" w:hAnsi="Century" w:hint="eastAsia"/>
          <w:sz w:val="22"/>
          <w:rtl/>
        </w:rPr>
        <w:t>התנגדות</w:t>
      </w:r>
      <w:r w:rsidRPr="00A7663F">
        <w:rPr>
          <w:rFonts w:ascii="Century" w:hAnsi="Century"/>
          <w:sz w:val="22"/>
          <w:rtl/>
        </w:rPr>
        <w:t xml:space="preserve"> </w:t>
      </w:r>
      <w:r w:rsidRPr="00A7663F">
        <w:rPr>
          <w:rFonts w:ascii="Century" w:hAnsi="Century" w:hint="eastAsia"/>
          <w:sz w:val="22"/>
          <w:rtl/>
        </w:rPr>
        <w:t>משמעותית</w:t>
      </w:r>
      <w:r w:rsidRPr="00A7663F">
        <w:rPr>
          <w:rFonts w:ascii="Century" w:hAnsi="Century"/>
          <w:sz w:val="22"/>
          <w:rtl/>
        </w:rPr>
        <w:t xml:space="preserve">. </w:t>
      </w:r>
      <w:r w:rsidRPr="00A7663F">
        <w:rPr>
          <w:rFonts w:ascii="Century" w:hAnsi="Century" w:hint="eastAsia"/>
          <w:sz w:val="22"/>
          <w:rtl/>
        </w:rPr>
        <w:t>מה</w:t>
      </w:r>
      <w:r w:rsidRPr="00A7663F">
        <w:rPr>
          <w:rFonts w:ascii="Century" w:hAnsi="Century"/>
          <w:sz w:val="22"/>
          <w:rtl/>
        </w:rPr>
        <w:t xml:space="preserve"> </w:t>
      </w:r>
      <w:r w:rsidRPr="00A7663F">
        <w:rPr>
          <w:rFonts w:ascii="Century" w:hAnsi="Century" w:hint="eastAsia"/>
          <w:sz w:val="22"/>
          <w:rtl/>
        </w:rPr>
        <w:t>שאין</w:t>
      </w:r>
      <w:r w:rsidRPr="00A7663F">
        <w:rPr>
          <w:rFonts w:ascii="Century" w:hAnsi="Century"/>
          <w:sz w:val="22"/>
          <w:rtl/>
        </w:rPr>
        <w:t xml:space="preserve"> </w:t>
      </w:r>
      <w:r w:rsidRPr="00A7663F">
        <w:rPr>
          <w:rFonts w:ascii="Century" w:hAnsi="Century" w:hint="eastAsia"/>
          <w:sz w:val="22"/>
          <w:rtl/>
        </w:rPr>
        <w:t>כן</w:t>
      </w:r>
      <w:r w:rsidRPr="00A7663F">
        <w:rPr>
          <w:rFonts w:ascii="Century" w:hAnsi="Century"/>
          <w:sz w:val="22"/>
          <w:rtl/>
        </w:rPr>
        <w:t xml:space="preserve"> </w:t>
      </w:r>
      <w:r w:rsidRPr="00A7663F">
        <w:rPr>
          <w:rFonts w:ascii="Century" w:hAnsi="Century" w:hint="eastAsia"/>
          <w:sz w:val="22"/>
          <w:rtl/>
        </w:rPr>
        <w:t>בעני</w:t>
      </w:r>
      <w:r>
        <w:rPr>
          <w:rFonts w:ascii="Century" w:hAnsi="Century" w:hint="cs"/>
          <w:sz w:val="22"/>
          <w:rtl/>
        </w:rPr>
        <w:t>י</w:t>
      </w:r>
      <w:r w:rsidRPr="00A7663F">
        <w:rPr>
          <w:rFonts w:ascii="Century" w:hAnsi="Century" w:hint="eastAsia"/>
          <w:sz w:val="22"/>
          <w:rtl/>
        </w:rPr>
        <w:t>ננו</w:t>
      </w:r>
      <w:r w:rsidRPr="00A7663F">
        <w:rPr>
          <w:rFonts w:ascii="Century" w:hAnsi="Century"/>
          <w:sz w:val="22"/>
          <w:rtl/>
        </w:rPr>
        <w:t>.</w:t>
      </w:r>
    </w:p>
    <w:p w:rsidR="00C044AE" w:rsidRPr="0000071F" w:rsidRDefault="00C044AE" w:rsidP="00C044AE">
      <w:pPr>
        <w:pStyle w:val="Ruller41"/>
        <w:rPr>
          <w:rtl/>
        </w:rPr>
      </w:pPr>
    </w:p>
    <w:p w:rsidR="00C044AE" w:rsidRPr="0071264F" w:rsidRDefault="00C044AE" w:rsidP="00C044AE">
      <w:pPr>
        <w:pStyle w:val="Ruller4"/>
      </w:pPr>
      <w:r>
        <w:rPr>
          <w:rFonts w:hint="cs"/>
          <w:rtl/>
        </w:rPr>
        <w:t>ה</w:t>
      </w:r>
      <w:r w:rsidRPr="00E34D63">
        <w:rPr>
          <w:rFonts w:hint="cs"/>
          <w:rtl/>
        </w:rPr>
        <w:t xml:space="preserve">אופן </w:t>
      </w:r>
      <w:r>
        <w:rPr>
          <w:rFonts w:hint="cs"/>
          <w:rtl/>
        </w:rPr>
        <w:t>שבו יושם סעיף 80 לתקנון</w:t>
      </w:r>
      <w:r w:rsidRPr="00E34D63">
        <w:rPr>
          <w:rFonts w:hint="cs"/>
          <w:rtl/>
        </w:rPr>
        <w:t xml:space="preserve"> במרוצת השנים מלמד</w:t>
      </w:r>
      <w:r>
        <w:rPr>
          <w:rFonts w:hint="cs"/>
          <w:rtl/>
        </w:rPr>
        <w:t>, אפוא,</w:t>
      </w:r>
      <w:r w:rsidRPr="00E34D63">
        <w:rPr>
          <w:rFonts w:hint="cs"/>
          <w:rtl/>
        </w:rPr>
        <w:t xml:space="preserve"> כי הגשת הצעות חוקי יסוד מטעם ועדת החוקה </w:t>
      </w:r>
      <w:r>
        <w:rPr>
          <w:rFonts w:hint="cs"/>
          <w:rtl/>
        </w:rPr>
        <w:t>נעשתה</w:t>
      </w:r>
      <w:r w:rsidRPr="00E34D63">
        <w:rPr>
          <w:rFonts w:hint="cs"/>
          <w:rtl/>
        </w:rPr>
        <w:t xml:space="preserve">, ככלל, </w:t>
      </w:r>
      <w:r>
        <w:rPr>
          <w:rFonts w:hint="cs"/>
          <w:rtl/>
        </w:rPr>
        <w:t xml:space="preserve">בהתקיים </w:t>
      </w:r>
      <w:r w:rsidRPr="00706541">
        <w:rPr>
          <w:rFonts w:ascii="Century" w:hAnsi="Century" w:cs="Miriam" w:hint="cs"/>
          <w:b/>
          <w:spacing w:val="0"/>
          <w:sz w:val="22"/>
          <w:szCs w:val="24"/>
          <w:rtl/>
        </w:rPr>
        <w:t>לפחות אחד</w:t>
      </w:r>
      <w:r w:rsidRPr="00706541">
        <w:rPr>
          <w:rFonts w:hint="cs"/>
          <w:rtl/>
        </w:rPr>
        <w:t xml:space="preserve"> </w:t>
      </w:r>
      <w:r>
        <w:rPr>
          <w:rFonts w:hint="cs"/>
          <w:rtl/>
        </w:rPr>
        <w:t xml:space="preserve">מהתנאים הבאים: האחד </w:t>
      </w:r>
      <w:r>
        <w:rPr>
          <w:rtl/>
        </w:rPr>
        <w:t>–</w:t>
      </w:r>
      <w:r>
        <w:rPr>
          <w:rFonts w:hint="cs"/>
          <w:rtl/>
        </w:rPr>
        <w:t xml:space="preserve"> </w:t>
      </w:r>
      <w:r w:rsidRPr="00E34D63">
        <w:rPr>
          <w:rFonts w:hint="cs"/>
          <w:rtl/>
        </w:rPr>
        <w:t xml:space="preserve">ההצעה </w:t>
      </w:r>
      <w:r>
        <w:rPr>
          <w:rFonts w:hint="cs"/>
          <w:rtl/>
        </w:rPr>
        <w:t xml:space="preserve">נגעה </w:t>
      </w:r>
      <w:r w:rsidRPr="00FE3B8C">
        <w:rPr>
          <w:rFonts w:ascii="Century" w:hAnsi="Century" w:cs="Miriam" w:hint="cs"/>
          <w:b/>
          <w:spacing w:val="0"/>
          <w:sz w:val="22"/>
          <w:szCs w:val="24"/>
          <w:rtl/>
        </w:rPr>
        <w:t>לענייניה של</w:t>
      </w:r>
      <w:r w:rsidRPr="00E34D63">
        <w:rPr>
          <w:rFonts w:ascii="Century" w:hAnsi="Century" w:cs="Miriam" w:hint="cs"/>
          <w:b/>
          <w:spacing w:val="0"/>
          <w:sz w:val="22"/>
          <w:szCs w:val="24"/>
          <w:rtl/>
        </w:rPr>
        <w:t xml:space="preserve"> הכנסת </w:t>
      </w:r>
      <w:r>
        <w:rPr>
          <w:rFonts w:hint="cs"/>
          <w:rtl/>
        </w:rPr>
        <w:t xml:space="preserve">(כגון, בחירות, מימון מפלגות, תקציב וכו'); השני </w:t>
      </w:r>
      <w:r>
        <w:rPr>
          <w:rtl/>
        </w:rPr>
        <w:t>–</w:t>
      </w:r>
      <w:r>
        <w:rPr>
          <w:rFonts w:hint="cs"/>
          <w:rtl/>
        </w:rPr>
        <w:t xml:space="preserve"> </w:t>
      </w:r>
      <w:r w:rsidRPr="004B3FF9">
        <w:rPr>
          <w:rFonts w:hint="cs"/>
          <w:rtl/>
        </w:rPr>
        <w:t>ההצעה קודמה ב</w:t>
      </w:r>
      <w:r w:rsidRPr="004B3FF9">
        <w:rPr>
          <w:rFonts w:ascii="Century" w:hAnsi="Century" w:cs="Miriam" w:hint="cs"/>
          <w:b/>
          <w:spacing w:val="0"/>
          <w:sz w:val="22"/>
          <w:szCs w:val="24"/>
          <w:rtl/>
        </w:rPr>
        <w:t>הסכמה רחבה</w:t>
      </w:r>
      <w:r w:rsidRPr="004B3FF9">
        <w:rPr>
          <w:rFonts w:hint="cs"/>
          <w:rtl/>
        </w:rPr>
        <w:t xml:space="preserve">. </w:t>
      </w:r>
    </w:p>
    <w:p w:rsidR="00C044AE" w:rsidRDefault="00C044AE" w:rsidP="00C044AE">
      <w:pPr>
        <w:pStyle w:val="Ruller4"/>
        <w:numPr>
          <w:ilvl w:val="0"/>
          <w:numId w:val="0"/>
        </w:numPr>
        <w:rPr>
          <w:color w:val="000000" w:themeColor="text1"/>
          <w:rtl/>
        </w:rPr>
      </w:pPr>
    </w:p>
    <w:p w:rsidR="00C044AE" w:rsidRPr="00FE6AEC" w:rsidRDefault="00C044AE" w:rsidP="0079348B">
      <w:pPr>
        <w:pStyle w:val="Ruller4"/>
        <w:numPr>
          <w:ilvl w:val="0"/>
          <w:numId w:val="0"/>
        </w:numPr>
        <w:spacing w:after="240"/>
        <w:rPr>
          <w:rtl/>
        </w:rPr>
      </w:pPr>
      <w:r>
        <w:rPr>
          <w:color w:val="000000" w:themeColor="text1"/>
          <w:rtl/>
        </w:rPr>
        <w:tab/>
      </w:r>
      <w:r w:rsidRPr="005F0D98">
        <w:rPr>
          <w:rFonts w:hint="cs"/>
          <w:color w:val="000000" w:themeColor="text1"/>
          <w:rtl/>
        </w:rPr>
        <w:t>על פרקטיקה זו עמדו גם גורמי הייעוץ המשפטי לוועדה ולכנסת</w:t>
      </w:r>
      <w:r>
        <w:rPr>
          <w:rFonts w:hint="cs"/>
          <w:color w:val="000000" w:themeColor="text1"/>
          <w:rtl/>
        </w:rPr>
        <w:t>, בהתייחסם לקטגוריה רחבה יותר של כלל הצעות החוק מטעם ועדה (ולא רק להצעות של חוקי יסוד)</w:t>
      </w:r>
      <w:r w:rsidRPr="005F0D98">
        <w:rPr>
          <w:rFonts w:hint="cs"/>
          <w:color w:val="000000" w:themeColor="text1"/>
          <w:rtl/>
        </w:rPr>
        <w:t xml:space="preserve">. כך, כבר במסמך ההכנה שהפיץ הייעוץ המשפטי לוועדה ביום 16.1.2023, אשר נגע לקידום הצעת חוק יסוד בנושא מערך הייעוץ המשפטי לממשלה, הובהר כי הגשת הצעות חוק מטעם ועדה מהווה </w:t>
      </w:r>
      <w:r w:rsidRPr="005F0D98">
        <w:rPr>
          <w:rFonts w:hint="cs"/>
          <w:color w:val="000000" w:themeColor="text1" w:themeShade="BF"/>
          <w:rtl/>
        </w:rPr>
        <w:t>"</w:t>
      </w:r>
      <w:r w:rsidRPr="005F0D98">
        <w:rPr>
          <w:rFonts w:hint="cs"/>
          <w:color w:val="000000" w:themeColor="text1"/>
          <w:rtl/>
        </w:rPr>
        <w:t>מסלול חקיקתי" נדיר יחסית אשר "ברוב המוחלט של המקרים יוחד בוועדת החוקה לנושאים שאינם שנויים במחלוקת או לנושאים הקשורים קשר הדוק לכנסת ולפעולותיה". היוע</w:t>
      </w:r>
      <w:r>
        <w:rPr>
          <w:rFonts w:hint="cs"/>
          <w:rtl/>
        </w:rPr>
        <w:t>צת המשפטית ל</w:t>
      </w:r>
      <w:r w:rsidR="0079348B">
        <w:rPr>
          <w:rFonts w:hint="cs"/>
          <w:rtl/>
        </w:rPr>
        <w:t>כנסת</w:t>
      </w:r>
      <w:r>
        <w:rPr>
          <w:rFonts w:hint="cs"/>
          <w:rtl/>
        </w:rPr>
        <w:t>, עו"ד אפיק, ציינה אף היא כי</w:t>
      </w:r>
      <w:r w:rsidRPr="005F0D98">
        <w:rPr>
          <w:rFonts w:hint="cs"/>
          <w:color w:val="000000" w:themeColor="text1"/>
          <w:rtl/>
        </w:rPr>
        <w:t>:</w:t>
      </w:r>
    </w:p>
    <w:p w:rsidR="00C044AE" w:rsidRDefault="00C044AE" w:rsidP="00C044AE">
      <w:pPr>
        <w:pStyle w:val="Ruller5"/>
        <w:spacing w:line="276" w:lineRule="auto"/>
        <w:rPr>
          <w:color w:val="000000" w:themeColor="text1"/>
          <w:rtl/>
        </w:rPr>
      </w:pPr>
      <w:r w:rsidRPr="000F7594">
        <w:rPr>
          <w:rFonts w:hint="cs"/>
          <w:color w:val="000000" w:themeColor="text1"/>
          <w:rtl/>
        </w:rPr>
        <w:t>"</w:t>
      </w:r>
      <w:r w:rsidRPr="00B11AC8">
        <w:rPr>
          <w:rFonts w:hint="eastAsia"/>
          <w:color w:val="000000" w:themeColor="text1"/>
          <w:rtl/>
        </w:rPr>
        <w:t>המשמעות</w:t>
      </w:r>
      <w:r w:rsidRPr="00B11AC8">
        <w:rPr>
          <w:color w:val="000000" w:themeColor="text1"/>
          <w:rtl/>
        </w:rPr>
        <w:t xml:space="preserve"> </w:t>
      </w:r>
      <w:r w:rsidRPr="00B11AC8">
        <w:rPr>
          <w:rFonts w:hint="eastAsia"/>
          <w:color w:val="000000" w:themeColor="text1"/>
          <w:rtl/>
        </w:rPr>
        <w:t>של</w:t>
      </w:r>
      <w:r w:rsidRPr="00B11AC8">
        <w:rPr>
          <w:color w:val="000000" w:themeColor="text1"/>
          <w:rtl/>
        </w:rPr>
        <w:t xml:space="preserve"> </w:t>
      </w:r>
      <w:r w:rsidRPr="00B11AC8">
        <w:rPr>
          <w:rFonts w:hint="eastAsia"/>
          <w:color w:val="000000" w:themeColor="text1"/>
          <w:rtl/>
        </w:rPr>
        <w:t>הצעה</w:t>
      </w:r>
      <w:r w:rsidRPr="00B11AC8">
        <w:rPr>
          <w:color w:val="000000" w:themeColor="text1"/>
          <w:rtl/>
        </w:rPr>
        <w:t xml:space="preserve"> </w:t>
      </w:r>
      <w:r w:rsidRPr="00B11AC8">
        <w:rPr>
          <w:rFonts w:hint="eastAsia"/>
          <w:color w:val="000000" w:themeColor="text1"/>
          <w:rtl/>
        </w:rPr>
        <w:t>מטעם</w:t>
      </w:r>
      <w:r w:rsidRPr="00B11AC8">
        <w:rPr>
          <w:color w:val="000000" w:themeColor="text1"/>
          <w:rtl/>
        </w:rPr>
        <w:t xml:space="preserve"> </w:t>
      </w:r>
      <w:r w:rsidRPr="00B11AC8">
        <w:rPr>
          <w:rFonts w:hint="eastAsia"/>
          <w:color w:val="000000" w:themeColor="text1"/>
          <w:rtl/>
        </w:rPr>
        <w:t>ועדה</w:t>
      </w:r>
      <w:r w:rsidRPr="00B11AC8">
        <w:rPr>
          <w:color w:val="000000" w:themeColor="text1"/>
          <w:rtl/>
        </w:rPr>
        <w:t xml:space="preserve"> </w:t>
      </w:r>
      <w:r w:rsidRPr="00B11AC8">
        <w:rPr>
          <w:rFonts w:hint="eastAsia"/>
          <w:color w:val="000000" w:themeColor="text1"/>
          <w:rtl/>
        </w:rPr>
        <w:t>היא</w:t>
      </w:r>
      <w:r w:rsidRPr="00B11AC8">
        <w:rPr>
          <w:color w:val="000000" w:themeColor="text1"/>
          <w:rtl/>
        </w:rPr>
        <w:t xml:space="preserve"> </w:t>
      </w:r>
      <w:r w:rsidRPr="00B11AC8">
        <w:rPr>
          <w:rFonts w:hint="eastAsia"/>
          <w:color w:val="000000" w:themeColor="text1"/>
          <w:rtl/>
        </w:rPr>
        <w:t>למעשה</w:t>
      </w:r>
      <w:r w:rsidRPr="00B11AC8">
        <w:rPr>
          <w:color w:val="000000" w:themeColor="text1"/>
          <w:rtl/>
        </w:rPr>
        <w:t xml:space="preserve"> </w:t>
      </w:r>
      <w:r w:rsidRPr="00B11AC8">
        <w:rPr>
          <w:rFonts w:hint="eastAsia"/>
          <w:color w:val="000000" w:themeColor="text1"/>
          <w:rtl/>
        </w:rPr>
        <w:t>דילוג</w:t>
      </w:r>
      <w:r w:rsidRPr="00B11AC8">
        <w:rPr>
          <w:color w:val="000000" w:themeColor="text1"/>
          <w:rtl/>
        </w:rPr>
        <w:t xml:space="preserve"> </w:t>
      </w:r>
      <w:r w:rsidRPr="00B11AC8">
        <w:rPr>
          <w:rFonts w:hint="eastAsia"/>
          <w:color w:val="000000" w:themeColor="text1"/>
          <w:rtl/>
        </w:rPr>
        <w:t>על</w:t>
      </w:r>
      <w:r w:rsidRPr="00B11AC8">
        <w:rPr>
          <w:color w:val="000000" w:themeColor="text1"/>
          <w:rtl/>
        </w:rPr>
        <w:t xml:space="preserve"> </w:t>
      </w:r>
      <w:r w:rsidRPr="00B11AC8">
        <w:rPr>
          <w:rFonts w:hint="eastAsia"/>
          <w:color w:val="000000" w:themeColor="text1"/>
          <w:rtl/>
        </w:rPr>
        <w:t>הליך</w:t>
      </w:r>
      <w:r w:rsidRPr="00B11AC8">
        <w:rPr>
          <w:color w:val="000000" w:themeColor="text1"/>
          <w:rtl/>
        </w:rPr>
        <w:t xml:space="preserve"> </w:t>
      </w:r>
      <w:r w:rsidRPr="00B11AC8">
        <w:rPr>
          <w:rFonts w:hint="eastAsia"/>
          <w:color w:val="000000" w:themeColor="text1"/>
          <w:rtl/>
        </w:rPr>
        <w:t>של</w:t>
      </w:r>
      <w:r w:rsidRPr="00B11AC8">
        <w:rPr>
          <w:color w:val="000000" w:themeColor="text1"/>
          <w:rtl/>
        </w:rPr>
        <w:t xml:space="preserve"> </w:t>
      </w:r>
      <w:r w:rsidRPr="00B11AC8">
        <w:rPr>
          <w:rFonts w:hint="eastAsia"/>
          <w:color w:val="000000" w:themeColor="text1"/>
          <w:rtl/>
        </w:rPr>
        <w:t>הכנה</w:t>
      </w:r>
      <w:r w:rsidRPr="00B11AC8">
        <w:rPr>
          <w:color w:val="000000" w:themeColor="text1"/>
          <w:rtl/>
        </w:rPr>
        <w:t xml:space="preserve"> </w:t>
      </w:r>
      <w:r w:rsidRPr="00B11AC8">
        <w:rPr>
          <w:rFonts w:hint="eastAsia"/>
          <w:color w:val="000000" w:themeColor="text1"/>
          <w:rtl/>
        </w:rPr>
        <w:t>לקריאה</w:t>
      </w:r>
      <w:r w:rsidRPr="00B11AC8">
        <w:rPr>
          <w:color w:val="000000" w:themeColor="text1"/>
          <w:rtl/>
        </w:rPr>
        <w:t xml:space="preserve"> </w:t>
      </w:r>
      <w:r w:rsidRPr="00B11AC8">
        <w:rPr>
          <w:rFonts w:hint="eastAsia"/>
          <w:color w:val="000000" w:themeColor="text1"/>
          <w:rtl/>
        </w:rPr>
        <w:t>הראשונה</w:t>
      </w:r>
      <w:r w:rsidRPr="00B11AC8">
        <w:rPr>
          <w:color w:val="000000" w:themeColor="text1"/>
          <w:rtl/>
        </w:rPr>
        <w:t xml:space="preserve">, </w:t>
      </w:r>
      <w:r w:rsidRPr="00B11AC8">
        <w:rPr>
          <w:rFonts w:hint="eastAsia"/>
          <w:color w:val="000000" w:themeColor="text1"/>
          <w:rtl/>
        </w:rPr>
        <w:t>על</w:t>
      </w:r>
      <w:r w:rsidRPr="00B11AC8">
        <w:rPr>
          <w:color w:val="000000" w:themeColor="text1"/>
          <w:rtl/>
        </w:rPr>
        <w:t xml:space="preserve"> </w:t>
      </w:r>
      <w:r w:rsidRPr="00B11AC8">
        <w:rPr>
          <w:rFonts w:hint="eastAsia"/>
          <w:color w:val="000000" w:themeColor="text1"/>
          <w:rtl/>
        </w:rPr>
        <w:t>כל</w:t>
      </w:r>
      <w:r w:rsidRPr="00B11AC8">
        <w:rPr>
          <w:color w:val="000000" w:themeColor="text1"/>
          <w:rtl/>
        </w:rPr>
        <w:t xml:space="preserve"> </w:t>
      </w:r>
      <w:r w:rsidRPr="00B11AC8">
        <w:rPr>
          <w:rFonts w:hint="eastAsia"/>
          <w:color w:val="000000" w:themeColor="text1"/>
          <w:rtl/>
        </w:rPr>
        <w:t>המשמעויות</w:t>
      </w:r>
      <w:r w:rsidRPr="00B11AC8">
        <w:rPr>
          <w:color w:val="000000" w:themeColor="text1"/>
          <w:rtl/>
        </w:rPr>
        <w:t xml:space="preserve"> </w:t>
      </w:r>
      <w:r w:rsidRPr="00B11AC8">
        <w:rPr>
          <w:rFonts w:hint="eastAsia"/>
          <w:color w:val="000000" w:themeColor="text1"/>
          <w:rtl/>
        </w:rPr>
        <w:t>הכרוכות</w:t>
      </w:r>
      <w:r w:rsidRPr="00B11AC8">
        <w:rPr>
          <w:color w:val="000000" w:themeColor="text1"/>
          <w:rtl/>
        </w:rPr>
        <w:t xml:space="preserve"> </w:t>
      </w:r>
      <w:r w:rsidRPr="00B11AC8">
        <w:rPr>
          <w:rFonts w:hint="eastAsia"/>
          <w:color w:val="000000" w:themeColor="text1"/>
          <w:rtl/>
        </w:rPr>
        <w:t>בכך</w:t>
      </w:r>
      <w:r w:rsidRPr="00B11AC8">
        <w:rPr>
          <w:color w:val="000000" w:themeColor="text1"/>
          <w:rtl/>
        </w:rPr>
        <w:t xml:space="preserve">, </w:t>
      </w:r>
      <w:r w:rsidRPr="00B11AC8">
        <w:rPr>
          <w:rFonts w:hint="eastAsia"/>
          <w:color w:val="000000" w:themeColor="text1"/>
          <w:rtl/>
        </w:rPr>
        <w:t>ולמעשה</w:t>
      </w:r>
      <w:r w:rsidRPr="00B11AC8">
        <w:rPr>
          <w:color w:val="000000" w:themeColor="text1"/>
          <w:rtl/>
        </w:rPr>
        <w:t xml:space="preserve"> </w:t>
      </w:r>
      <w:r w:rsidRPr="00B11AC8">
        <w:rPr>
          <w:rFonts w:hint="eastAsia"/>
          <w:color w:val="000000" w:themeColor="text1"/>
          <w:rtl/>
        </w:rPr>
        <w:t>זה</w:t>
      </w:r>
      <w:r w:rsidRPr="00B11AC8">
        <w:rPr>
          <w:color w:val="000000" w:themeColor="text1"/>
          <w:rtl/>
        </w:rPr>
        <w:t xml:space="preserve"> </w:t>
      </w:r>
      <w:r w:rsidRPr="00B11AC8">
        <w:rPr>
          <w:rFonts w:hint="eastAsia"/>
          <w:color w:val="000000" w:themeColor="text1"/>
          <w:rtl/>
        </w:rPr>
        <w:t>מדמה</w:t>
      </w:r>
      <w:r w:rsidRPr="00B11AC8">
        <w:rPr>
          <w:color w:val="000000" w:themeColor="text1"/>
          <w:rtl/>
        </w:rPr>
        <w:t xml:space="preserve"> </w:t>
      </w:r>
      <w:r w:rsidRPr="00B11AC8">
        <w:rPr>
          <w:rFonts w:hint="eastAsia"/>
          <w:color w:val="000000" w:themeColor="text1"/>
          <w:rtl/>
        </w:rPr>
        <w:t>את</w:t>
      </w:r>
      <w:r w:rsidRPr="00B11AC8">
        <w:rPr>
          <w:color w:val="000000" w:themeColor="text1"/>
          <w:rtl/>
        </w:rPr>
        <w:t xml:space="preserve"> </w:t>
      </w:r>
      <w:r w:rsidRPr="00B11AC8">
        <w:rPr>
          <w:rFonts w:hint="eastAsia"/>
          <w:color w:val="000000" w:themeColor="text1"/>
          <w:rtl/>
        </w:rPr>
        <w:t>ההצעה</w:t>
      </w:r>
      <w:r w:rsidRPr="00B11AC8">
        <w:rPr>
          <w:color w:val="000000" w:themeColor="text1"/>
          <w:rtl/>
        </w:rPr>
        <w:t xml:space="preserve"> </w:t>
      </w:r>
      <w:r w:rsidRPr="00B11AC8">
        <w:rPr>
          <w:rFonts w:hint="eastAsia"/>
          <w:color w:val="000000" w:themeColor="text1"/>
          <w:rtl/>
        </w:rPr>
        <w:t>שמגיעה</w:t>
      </w:r>
      <w:r w:rsidRPr="00B11AC8">
        <w:rPr>
          <w:color w:val="000000" w:themeColor="text1"/>
          <w:rtl/>
        </w:rPr>
        <w:t xml:space="preserve"> </w:t>
      </w:r>
      <w:r w:rsidRPr="00B11AC8">
        <w:rPr>
          <w:rFonts w:hint="eastAsia"/>
          <w:color w:val="000000" w:themeColor="text1"/>
          <w:rtl/>
        </w:rPr>
        <w:t>מטעם</w:t>
      </w:r>
      <w:r w:rsidRPr="00B11AC8">
        <w:rPr>
          <w:color w:val="000000" w:themeColor="text1"/>
          <w:rtl/>
        </w:rPr>
        <w:t xml:space="preserve"> </w:t>
      </w:r>
      <w:r w:rsidRPr="00B11AC8">
        <w:rPr>
          <w:rFonts w:hint="eastAsia"/>
          <w:color w:val="000000" w:themeColor="text1"/>
          <w:rtl/>
        </w:rPr>
        <w:t>הוועדה</w:t>
      </w:r>
      <w:r w:rsidRPr="00B11AC8">
        <w:rPr>
          <w:color w:val="000000" w:themeColor="text1"/>
          <w:rtl/>
        </w:rPr>
        <w:t xml:space="preserve"> </w:t>
      </w:r>
      <w:r w:rsidRPr="00B11AC8">
        <w:rPr>
          <w:rFonts w:hint="eastAsia"/>
          <w:color w:val="000000" w:themeColor="text1"/>
          <w:rtl/>
        </w:rPr>
        <w:t>להצעת</w:t>
      </w:r>
      <w:r w:rsidRPr="00B11AC8">
        <w:rPr>
          <w:color w:val="000000" w:themeColor="text1"/>
          <w:rtl/>
        </w:rPr>
        <w:t xml:space="preserve"> </w:t>
      </w:r>
      <w:r w:rsidRPr="00B11AC8">
        <w:rPr>
          <w:rFonts w:hint="eastAsia"/>
          <w:color w:val="000000" w:themeColor="text1"/>
          <w:rtl/>
        </w:rPr>
        <w:t>חוק</w:t>
      </w:r>
      <w:r w:rsidRPr="00B11AC8">
        <w:rPr>
          <w:color w:val="000000" w:themeColor="text1"/>
          <w:rtl/>
        </w:rPr>
        <w:t xml:space="preserve"> </w:t>
      </w:r>
      <w:r w:rsidRPr="00B11AC8">
        <w:rPr>
          <w:rFonts w:hint="eastAsia"/>
          <w:color w:val="000000" w:themeColor="text1"/>
          <w:rtl/>
        </w:rPr>
        <w:t>ממשלתית</w:t>
      </w:r>
      <w:r w:rsidRPr="00B11AC8">
        <w:rPr>
          <w:color w:val="000000" w:themeColor="text1"/>
          <w:rtl/>
        </w:rPr>
        <w:t>.</w:t>
      </w:r>
      <w:r w:rsidRPr="00B11AC8">
        <w:rPr>
          <w:rFonts w:hint="cs"/>
          <w:color w:val="000000" w:themeColor="text1"/>
          <w:rtl/>
        </w:rPr>
        <w:t xml:space="preserve"> </w:t>
      </w:r>
    </w:p>
    <w:p w:rsidR="00C044AE" w:rsidRDefault="00C044AE" w:rsidP="00C044AE">
      <w:pPr>
        <w:pStyle w:val="Ruller5"/>
        <w:spacing w:line="276" w:lineRule="auto"/>
        <w:rPr>
          <w:color w:val="000000" w:themeColor="text1"/>
          <w:rtl/>
        </w:rPr>
      </w:pPr>
      <w:r w:rsidRPr="000F7594">
        <w:rPr>
          <w:rFonts w:hint="cs"/>
          <w:color w:val="000000" w:themeColor="text1"/>
          <w:rtl/>
        </w:rPr>
        <w:t>[...]</w:t>
      </w:r>
      <w:r w:rsidRPr="000F7594">
        <w:rPr>
          <w:rFonts w:hint="eastAsia"/>
          <w:color w:val="000000" w:themeColor="text1"/>
          <w:rtl/>
        </w:rPr>
        <w:t xml:space="preserve"> </w:t>
      </w:r>
    </w:p>
    <w:p w:rsidR="00C044AE" w:rsidRPr="000F7594" w:rsidRDefault="00C044AE" w:rsidP="00C044AE">
      <w:pPr>
        <w:pStyle w:val="Ruller5"/>
        <w:spacing w:line="276" w:lineRule="auto"/>
        <w:rPr>
          <w:color w:val="000000" w:themeColor="text1"/>
          <w:rtl/>
        </w:rPr>
      </w:pPr>
      <w:r w:rsidRPr="000F7594">
        <w:rPr>
          <w:rFonts w:hint="eastAsia"/>
          <w:color w:val="000000" w:themeColor="text1"/>
          <w:rtl/>
        </w:rPr>
        <w:t>כשאנחנו</w:t>
      </w:r>
      <w:r w:rsidRPr="000F7594">
        <w:rPr>
          <w:color w:val="000000" w:themeColor="text1"/>
          <w:rtl/>
        </w:rPr>
        <w:t xml:space="preserve"> </w:t>
      </w:r>
      <w:r w:rsidRPr="000F7594">
        <w:rPr>
          <w:rFonts w:hint="eastAsia"/>
          <w:color w:val="000000" w:themeColor="text1"/>
          <w:rtl/>
        </w:rPr>
        <w:t>מסתכלים</w:t>
      </w:r>
      <w:r w:rsidRPr="000F7594">
        <w:rPr>
          <w:color w:val="000000" w:themeColor="text1"/>
          <w:rtl/>
        </w:rPr>
        <w:t xml:space="preserve"> </w:t>
      </w:r>
      <w:r w:rsidRPr="000F7594">
        <w:rPr>
          <w:rFonts w:hint="eastAsia"/>
          <w:color w:val="000000" w:themeColor="text1"/>
          <w:rtl/>
        </w:rPr>
        <w:t>על</w:t>
      </w:r>
      <w:r w:rsidRPr="000F7594">
        <w:rPr>
          <w:color w:val="000000" w:themeColor="text1"/>
          <w:rtl/>
        </w:rPr>
        <w:t xml:space="preserve"> </w:t>
      </w:r>
      <w:r w:rsidRPr="000F7594">
        <w:rPr>
          <w:rFonts w:hint="eastAsia"/>
          <w:color w:val="000000" w:themeColor="text1"/>
          <w:rtl/>
        </w:rPr>
        <w:t>הצעות</w:t>
      </w:r>
      <w:r w:rsidRPr="000F7594">
        <w:rPr>
          <w:color w:val="000000" w:themeColor="text1"/>
          <w:rtl/>
        </w:rPr>
        <w:t xml:space="preserve"> </w:t>
      </w:r>
      <w:r w:rsidRPr="000F7594">
        <w:rPr>
          <w:rFonts w:hint="eastAsia"/>
          <w:color w:val="000000" w:themeColor="text1"/>
          <w:rtl/>
        </w:rPr>
        <w:t>מטעם</w:t>
      </w:r>
      <w:r w:rsidRPr="000F7594">
        <w:rPr>
          <w:color w:val="000000" w:themeColor="text1"/>
          <w:rtl/>
        </w:rPr>
        <w:t xml:space="preserve"> </w:t>
      </w:r>
      <w:r w:rsidRPr="000F7594">
        <w:rPr>
          <w:rFonts w:hint="eastAsia"/>
          <w:color w:val="000000" w:themeColor="text1"/>
          <w:rtl/>
        </w:rPr>
        <w:t>ועדה</w:t>
      </w:r>
      <w:r w:rsidRPr="000F7594">
        <w:rPr>
          <w:color w:val="000000" w:themeColor="text1"/>
          <w:rtl/>
        </w:rPr>
        <w:t xml:space="preserve"> </w:t>
      </w:r>
      <w:r w:rsidRPr="000F7594">
        <w:rPr>
          <w:rFonts w:hint="eastAsia"/>
          <w:color w:val="000000" w:themeColor="text1"/>
          <w:rtl/>
        </w:rPr>
        <w:t>שעלו</w:t>
      </w:r>
      <w:r w:rsidRPr="000F7594">
        <w:rPr>
          <w:color w:val="000000" w:themeColor="text1"/>
          <w:rtl/>
        </w:rPr>
        <w:t xml:space="preserve"> </w:t>
      </w:r>
      <w:r w:rsidRPr="000F7594">
        <w:rPr>
          <w:rFonts w:hint="eastAsia"/>
          <w:color w:val="000000" w:themeColor="text1"/>
          <w:rtl/>
        </w:rPr>
        <w:t>כאן</w:t>
      </w:r>
      <w:r w:rsidRPr="000F7594">
        <w:rPr>
          <w:color w:val="000000" w:themeColor="text1"/>
          <w:rtl/>
        </w:rPr>
        <w:t xml:space="preserve"> </w:t>
      </w:r>
      <w:r w:rsidRPr="000F7594">
        <w:rPr>
          <w:rFonts w:hint="eastAsia"/>
          <w:color w:val="000000" w:themeColor="text1"/>
          <w:rtl/>
        </w:rPr>
        <w:t>לאורך</w:t>
      </w:r>
      <w:r w:rsidRPr="000F7594">
        <w:rPr>
          <w:color w:val="000000" w:themeColor="text1"/>
          <w:rtl/>
        </w:rPr>
        <w:t xml:space="preserve"> </w:t>
      </w:r>
      <w:r w:rsidRPr="000F7594">
        <w:rPr>
          <w:rFonts w:hint="eastAsia"/>
          <w:color w:val="000000" w:themeColor="text1"/>
          <w:rtl/>
        </w:rPr>
        <w:t>השנים</w:t>
      </w:r>
      <w:r w:rsidRPr="000F7594">
        <w:rPr>
          <w:color w:val="000000" w:themeColor="text1"/>
          <w:rtl/>
        </w:rPr>
        <w:t xml:space="preserve">, </w:t>
      </w:r>
      <w:r w:rsidRPr="000F7594">
        <w:rPr>
          <w:rFonts w:hint="eastAsia"/>
          <w:color w:val="000000" w:themeColor="text1"/>
          <w:rtl/>
        </w:rPr>
        <w:t>אפשר</w:t>
      </w:r>
      <w:r w:rsidRPr="000F7594">
        <w:rPr>
          <w:color w:val="000000" w:themeColor="text1"/>
          <w:rtl/>
        </w:rPr>
        <w:t xml:space="preserve"> </w:t>
      </w:r>
      <w:r w:rsidRPr="000F7594">
        <w:rPr>
          <w:rFonts w:hint="eastAsia"/>
          <w:color w:val="000000" w:themeColor="text1"/>
          <w:rtl/>
        </w:rPr>
        <w:t>לומר</w:t>
      </w:r>
      <w:r w:rsidRPr="000F7594">
        <w:rPr>
          <w:color w:val="000000" w:themeColor="text1"/>
          <w:rtl/>
        </w:rPr>
        <w:t xml:space="preserve">: </w:t>
      </w:r>
      <w:r w:rsidRPr="000F7594">
        <w:rPr>
          <w:rFonts w:hint="eastAsia"/>
          <w:color w:val="000000" w:themeColor="text1"/>
          <w:rtl/>
        </w:rPr>
        <w:t>א</w:t>
      </w:r>
      <w:r w:rsidRPr="000F7594">
        <w:rPr>
          <w:color w:val="000000" w:themeColor="text1"/>
          <w:rtl/>
        </w:rPr>
        <w:t xml:space="preserve">', </w:t>
      </w:r>
      <w:r w:rsidRPr="000F7594">
        <w:rPr>
          <w:rFonts w:hint="eastAsia"/>
          <w:color w:val="000000" w:themeColor="text1"/>
          <w:rtl/>
        </w:rPr>
        <w:t>שהן</w:t>
      </w:r>
      <w:r w:rsidRPr="000F7594">
        <w:rPr>
          <w:color w:val="000000" w:themeColor="text1"/>
          <w:rtl/>
        </w:rPr>
        <w:t xml:space="preserve"> </w:t>
      </w:r>
      <w:r w:rsidRPr="000F7594">
        <w:rPr>
          <w:rFonts w:hint="eastAsia"/>
          <w:color w:val="000000" w:themeColor="text1"/>
          <w:rtl/>
        </w:rPr>
        <w:t>לא</w:t>
      </w:r>
      <w:r w:rsidRPr="000F7594">
        <w:rPr>
          <w:color w:val="000000" w:themeColor="text1"/>
          <w:rtl/>
        </w:rPr>
        <w:t xml:space="preserve"> </w:t>
      </w:r>
      <w:r w:rsidRPr="000F7594">
        <w:rPr>
          <w:rFonts w:hint="eastAsia"/>
          <w:color w:val="000000" w:themeColor="text1"/>
          <w:rtl/>
        </w:rPr>
        <w:t>היו</w:t>
      </w:r>
      <w:r w:rsidRPr="000F7594">
        <w:rPr>
          <w:color w:val="000000" w:themeColor="text1"/>
          <w:rtl/>
        </w:rPr>
        <w:t xml:space="preserve"> </w:t>
      </w:r>
      <w:r w:rsidRPr="000F7594">
        <w:rPr>
          <w:rFonts w:hint="eastAsia"/>
          <w:color w:val="000000" w:themeColor="text1"/>
          <w:rtl/>
        </w:rPr>
        <w:t>רבות</w:t>
      </w:r>
      <w:r w:rsidRPr="000F7594">
        <w:rPr>
          <w:color w:val="000000" w:themeColor="text1"/>
          <w:rtl/>
        </w:rPr>
        <w:t xml:space="preserve">, </w:t>
      </w:r>
      <w:r w:rsidRPr="000F7594">
        <w:rPr>
          <w:rFonts w:hint="eastAsia"/>
          <w:color w:val="000000" w:themeColor="text1"/>
          <w:rtl/>
        </w:rPr>
        <w:t>זה</w:t>
      </w:r>
      <w:r w:rsidRPr="000F7594">
        <w:rPr>
          <w:color w:val="000000" w:themeColor="text1"/>
          <w:rtl/>
        </w:rPr>
        <w:t xml:space="preserve"> </w:t>
      </w:r>
      <w:r w:rsidRPr="000F7594">
        <w:rPr>
          <w:rFonts w:hint="eastAsia"/>
          <w:color w:val="000000" w:themeColor="text1"/>
          <w:rtl/>
        </w:rPr>
        <w:t>לא</w:t>
      </w:r>
      <w:r w:rsidRPr="000F7594">
        <w:rPr>
          <w:color w:val="000000" w:themeColor="text1"/>
          <w:rtl/>
        </w:rPr>
        <w:t xml:space="preserve"> </w:t>
      </w:r>
      <w:r w:rsidRPr="000F7594">
        <w:rPr>
          <w:rFonts w:hint="eastAsia"/>
          <w:color w:val="000000" w:themeColor="text1"/>
          <w:rtl/>
        </w:rPr>
        <w:t>הליך</w:t>
      </w:r>
      <w:r w:rsidRPr="000F7594">
        <w:rPr>
          <w:color w:val="000000" w:themeColor="text1"/>
          <w:rtl/>
        </w:rPr>
        <w:t xml:space="preserve"> </w:t>
      </w:r>
      <w:r w:rsidRPr="000F7594">
        <w:rPr>
          <w:rFonts w:hint="eastAsia"/>
          <w:color w:val="000000" w:themeColor="text1"/>
          <w:rtl/>
        </w:rPr>
        <w:t>שהכנסת</w:t>
      </w:r>
      <w:r w:rsidRPr="000F7594">
        <w:rPr>
          <w:color w:val="000000" w:themeColor="text1"/>
          <w:rtl/>
        </w:rPr>
        <w:t xml:space="preserve"> </w:t>
      </w:r>
      <w:r w:rsidRPr="000F7594">
        <w:rPr>
          <w:rFonts w:hint="eastAsia"/>
          <w:color w:val="000000" w:themeColor="text1"/>
          <w:rtl/>
        </w:rPr>
        <w:t>נוהגת</w:t>
      </w:r>
      <w:r w:rsidRPr="000F7594">
        <w:rPr>
          <w:color w:val="000000" w:themeColor="text1"/>
          <w:rtl/>
        </w:rPr>
        <w:t xml:space="preserve"> </w:t>
      </w:r>
      <w:r w:rsidRPr="000F7594">
        <w:rPr>
          <w:rFonts w:hint="eastAsia"/>
          <w:color w:val="000000" w:themeColor="text1"/>
          <w:rtl/>
        </w:rPr>
        <w:t>לעשות</w:t>
      </w:r>
      <w:r w:rsidRPr="000F7594">
        <w:rPr>
          <w:color w:val="000000" w:themeColor="text1"/>
          <w:rtl/>
        </w:rPr>
        <w:t xml:space="preserve">, </w:t>
      </w:r>
      <w:r w:rsidRPr="000F7594">
        <w:rPr>
          <w:rFonts w:hint="eastAsia"/>
          <w:color w:val="000000" w:themeColor="text1"/>
          <w:rtl/>
        </w:rPr>
        <w:t>ודרך</w:t>
      </w:r>
      <w:r w:rsidRPr="000F7594">
        <w:rPr>
          <w:color w:val="000000" w:themeColor="text1"/>
          <w:rtl/>
        </w:rPr>
        <w:t xml:space="preserve"> </w:t>
      </w:r>
      <w:r w:rsidRPr="000F7594">
        <w:rPr>
          <w:rFonts w:hint="eastAsia"/>
          <w:color w:val="000000" w:themeColor="text1"/>
          <w:rtl/>
        </w:rPr>
        <w:t>המלך</w:t>
      </w:r>
      <w:r w:rsidRPr="000F7594">
        <w:rPr>
          <w:color w:val="000000" w:themeColor="text1"/>
          <w:rtl/>
        </w:rPr>
        <w:t xml:space="preserve"> </w:t>
      </w:r>
      <w:r w:rsidRPr="000F7594">
        <w:rPr>
          <w:rFonts w:hint="eastAsia"/>
          <w:color w:val="000000" w:themeColor="text1"/>
          <w:rtl/>
        </w:rPr>
        <w:t>בכנסת</w:t>
      </w:r>
      <w:r w:rsidRPr="000F7594">
        <w:rPr>
          <w:color w:val="000000" w:themeColor="text1"/>
          <w:rtl/>
        </w:rPr>
        <w:t xml:space="preserve"> </w:t>
      </w:r>
      <w:r w:rsidRPr="000F7594">
        <w:rPr>
          <w:rFonts w:hint="eastAsia"/>
          <w:color w:val="000000" w:themeColor="text1"/>
          <w:rtl/>
        </w:rPr>
        <w:t>היא</w:t>
      </w:r>
      <w:r w:rsidRPr="000F7594">
        <w:rPr>
          <w:color w:val="000000" w:themeColor="text1"/>
          <w:rtl/>
        </w:rPr>
        <w:t xml:space="preserve"> </w:t>
      </w:r>
      <w:r w:rsidRPr="000F7594">
        <w:rPr>
          <w:rFonts w:hint="eastAsia"/>
          <w:color w:val="000000" w:themeColor="text1"/>
          <w:rtl/>
        </w:rPr>
        <w:t>הצעת</w:t>
      </w:r>
      <w:r w:rsidRPr="000F7594">
        <w:rPr>
          <w:color w:val="000000" w:themeColor="text1"/>
          <w:rtl/>
        </w:rPr>
        <w:t xml:space="preserve"> </w:t>
      </w:r>
      <w:r w:rsidRPr="000F7594">
        <w:rPr>
          <w:rFonts w:hint="eastAsia"/>
          <w:color w:val="000000" w:themeColor="text1"/>
          <w:rtl/>
        </w:rPr>
        <w:t>חוק</w:t>
      </w:r>
      <w:r w:rsidRPr="000F7594">
        <w:rPr>
          <w:color w:val="000000" w:themeColor="text1"/>
          <w:rtl/>
        </w:rPr>
        <w:t xml:space="preserve"> </w:t>
      </w:r>
      <w:r w:rsidRPr="000F7594">
        <w:rPr>
          <w:rFonts w:hint="eastAsia"/>
          <w:color w:val="000000" w:themeColor="text1"/>
          <w:rtl/>
        </w:rPr>
        <w:t>פרטית</w:t>
      </w:r>
      <w:r w:rsidRPr="000F7594">
        <w:rPr>
          <w:color w:val="000000" w:themeColor="text1"/>
          <w:rtl/>
        </w:rPr>
        <w:t xml:space="preserve"> </w:t>
      </w:r>
      <w:r w:rsidRPr="000F7594">
        <w:rPr>
          <w:rFonts w:hint="eastAsia"/>
          <w:color w:val="000000" w:themeColor="text1"/>
          <w:rtl/>
        </w:rPr>
        <w:t>של</w:t>
      </w:r>
      <w:r w:rsidRPr="000F7594">
        <w:rPr>
          <w:color w:val="000000" w:themeColor="text1"/>
          <w:rtl/>
        </w:rPr>
        <w:t xml:space="preserve"> </w:t>
      </w:r>
      <w:r w:rsidRPr="000F7594">
        <w:rPr>
          <w:rFonts w:hint="eastAsia"/>
          <w:color w:val="000000" w:themeColor="text1"/>
          <w:rtl/>
        </w:rPr>
        <w:t>חברי</w:t>
      </w:r>
      <w:r w:rsidRPr="000F7594">
        <w:rPr>
          <w:color w:val="000000" w:themeColor="text1"/>
          <w:rtl/>
        </w:rPr>
        <w:t xml:space="preserve"> </w:t>
      </w:r>
      <w:r w:rsidRPr="000F7594">
        <w:rPr>
          <w:rFonts w:hint="eastAsia"/>
          <w:color w:val="000000" w:themeColor="text1"/>
          <w:rtl/>
        </w:rPr>
        <w:t>הכנסת</w:t>
      </w:r>
      <w:r w:rsidRPr="000F7594">
        <w:rPr>
          <w:color w:val="000000" w:themeColor="text1"/>
          <w:rtl/>
        </w:rPr>
        <w:t xml:space="preserve"> </w:t>
      </w:r>
      <w:r w:rsidRPr="000F7594">
        <w:rPr>
          <w:rFonts w:hint="eastAsia"/>
          <w:color w:val="000000" w:themeColor="text1"/>
          <w:rtl/>
        </w:rPr>
        <w:t>בדרך</w:t>
      </w:r>
      <w:r w:rsidRPr="000F7594">
        <w:rPr>
          <w:color w:val="000000" w:themeColor="text1"/>
          <w:rtl/>
        </w:rPr>
        <w:t xml:space="preserve"> </w:t>
      </w:r>
      <w:r w:rsidRPr="000F7594">
        <w:rPr>
          <w:rFonts w:hint="eastAsia"/>
          <w:color w:val="000000" w:themeColor="text1"/>
          <w:rtl/>
        </w:rPr>
        <w:t>כלל</w:t>
      </w:r>
      <w:r w:rsidRPr="000F7594">
        <w:rPr>
          <w:color w:val="000000" w:themeColor="text1"/>
          <w:rtl/>
        </w:rPr>
        <w:t xml:space="preserve">. </w:t>
      </w:r>
      <w:r w:rsidRPr="000F7594">
        <w:rPr>
          <w:rFonts w:hint="eastAsia"/>
          <w:color w:val="000000" w:themeColor="text1"/>
          <w:rtl/>
        </w:rPr>
        <w:t>הצעות</w:t>
      </w:r>
      <w:r w:rsidRPr="000F7594">
        <w:rPr>
          <w:color w:val="000000" w:themeColor="text1"/>
          <w:rtl/>
        </w:rPr>
        <w:t xml:space="preserve"> </w:t>
      </w:r>
      <w:r w:rsidRPr="000F7594">
        <w:rPr>
          <w:rFonts w:hint="eastAsia"/>
          <w:color w:val="000000" w:themeColor="text1"/>
          <w:rtl/>
        </w:rPr>
        <w:t>חוק</w:t>
      </w:r>
      <w:r w:rsidRPr="000F7594">
        <w:rPr>
          <w:color w:val="000000" w:themeColor="text1"/>
          <w:rtl/>
        </w:rPr>
        <w:t xml:space="preserve"> </w:t>
      </w:r>
      <w:r w:rsidRPr="000F7594">
        <w:rPr>
          <w:rFonts w:hint="eastAsia"/>
          <w:color w:val="000000" w:themeColor="text1"/>
          <w:rtl/>
        </w:rPr>
        <w:t>מטעם</w:t>
      </w:r>
      <w:r w:rsidRPr="000F7594">
        <w:rPr>
          <w:color w:val="000000" w:themeColor="text1"/>
          <w:rtl/>
        </w:rPr>
        <w:t xml:space="preserve"> </w:t>
      </w:r>
      <w:r w:rsidRPr="000F7594">
        <w:rPr>
          <w:rFonts w:hint="eastAsia"/>
          <w:color w:val="000000" w:themeColor="text1"/>
          <w:rtl/>
        </w:rPr>
        <w:t>ועדה</w:t>
      </w:r>
      <w:r w:rsidRPr="000F7594">
        <w:rPr>
          <w:color w:val="000000" w:themeColor="text1"/>
          <w:rtl/>
        </w:rPr>
        <w:t xml:space="preserve"> </w:t>
      </w:r>
      <w:r w:rsidRPr="000F7594">
        <w:rPr>
          <w:rFonts w:hint="eastAsia"/>
          <w:color w:val="000000" w:themeColor="text1"/>
          <w:rtl/>
        </w:rPr>
        <w:t>הן</w:t>
      </w:r>
      <w:r w:rsidRPr="000F7594">
        <w:rPr>
          <w:color w:val="000000" w:themeColor="text1"/>
          <w:rtl/>
        </w:rPr>
        <w:t xml:space="preserve"> </w:t>
      </w:r>
      <w:r w:rsidRPr="000F7594">
        <w:rPr>
          <w:rFonts w:hint="eastAsia"/>
          <w:color w:val="000000" w:themeColor="text1"/>
          <w:rtl/>
        </w:rPr>
        <w:t>באמת</w:t>
      </w:r>
      <w:r w:rsidRPr="000F7594">
        <w:rPr>
          <w:color w:val="000000" w:themeColor="text1"/>
          <w:rtl/>
        </w:rPr>
        <w:t xml:space="preserve">, </w:t>
      </w:r>
      <w:r w:rsidRPr="000F7594">
        <w:rPr>
          <w:rFonts w:hint="eastAsia"/>
          <w:color w:val="000000" w:themeColor="text1"/>
          <w:rtl/>
        </w:rPr>
        <w:t>כפי</w:t>
      </w:r>
      <w:r w:rsidRPr="000F7594">
        <w:rPr>
          <w:color w:val="000000" w:themeColor="text1"/>
          <w:rtl/>
        </w:rPr>
        <w:t xml:space="preserve"> </w:t>
      </w:r>
      <w:r w:rsidRPr="000F7594">
        <w:rPr>
          <w:rFonts w:hint="eastAsia"/>
          <w:color w:val="000000" w:themeColor="text1"/>
          <w:rtl/>
        </w:rPr>
        <w:t>שנאמר</w:t>
      </w:r>
      <w:r w:rsidRPr="000F7594">
        <w:rPr>
          <w:color w:val="000000" w:themeColor="text1"/>
          <w:rtl/>
        </w:rPr>
        <w:t xml:space="preserve"> </w:t>
      </w:r>
      <w:r w:rsidRPr="000F7594">
        <w:rPr>
          <w:rFonts w:hint="eastAsia"/>
          <w:color w:val="000000" w:themeColor="text1"/>
          <w:rtl/>
        </w:rPr>
        <w:t>כאן</w:t>
      </w:r>
      <w:r w:rsidRPr="000F7594">
        <w:rPr>
          <w:color w:val="000000" w:themeColor="text1"/>
          <w:rtl/>
        </w:rPr>
        <w:t xml:space="preserve">, </w:t>
      </w:r>
      <w:r w:rsidRPr="000F7594">
        <w:rPr>
          <w:rFonts w:hint="eastAsia"/>
          <w:color w:val="000000" w:themeColor="text1"/>
          <w:rtl/>
        </w:rPr>
        <w:t>לעתים</w:t>
      </w:r>
      <w:r w:rsidRPr="000F7594">
        <w:rPr>
          <w:color w:val="000000" w:themeColor="text1"/>
          <w:rtl/>
        </w:rPr>
        <w:t xml:space="preserve"> </w:t>
      </w:r>
      <w:r w:rsidRPr="000F7594">
        <w:rPr>
          <w:rFonts w:hint="eastAsia"/>
          <w:color w:val="000000" w:themeColor="text1"/>
          <w:rtl/>
        </w:rPr>
        <w:t>היו</w:t>
      </w:r>
      <w:r w:rsidRPr="000F7594">
        <w:rPr>
          <w:color w:val="000000" w:themeColor="text1"/>
          <w:rtl/>
        </w:rPr>
        <w:t xml:space="preserve"> </w:t>
      </w:r>
      <w:r w:rsidRPr="000F7594">
        <w:rPr>
          <w:rFonts w:hint="eastAsia"/>
          <w:color w:val="000000" w:themeColor="text1"/>
          <w:rtl/>
        </w:rPr>
        <w:t>סוג</w:t>
      </w:r>
      <w:r w:rsidRPr="000F7594">
        <w:rPr>
          <w:color w:val="000000" w:themeColor="text1"/>
          <w:rtl/>
        </w:rPr>
        <w:t xml:space="preserve"> </w:t>
      </w:r>
      <w:r w:rsidRPr="000F7594">
        <w:rPr>
          <w:rFonts w:hint="eastAsia"/>
          <w:color w:val="000000" w:themeColor="text1"/>
          <w:rtl/>
        </w:rPr>
        <w:t>של</w:t>
      </w:r>
      <w:r w:rsidRPr="000F7594">
        <w:rPr>
          <w:color w:val="000000" w:themeColor="text1"/>
          <w:rtl/>
        </w:rPr>
        <w:t xml:space="preserve"> </w:t>
      </w:r>
      <w:r w:rsidRPr="000F7594">
        <w:rPr>
          <w:rFonts w:hint="eastAsia"/>
          <w:color w:val="000000" w:themeColor="text1"/>
          <w:rtl/>
        </w:rPr>
        <w:t>קונצנזוס</w:t>
      </w:r>
      <w:r w:rsidRPr="000F7594">
        <w:rPr>
          <w:color w:val="000000" w:themeColor="text1"/>
          <w:rtl/>
        </w:rPr>
        <w:t xml:space="preserve"> </w:t>
      </w:r>
      <w:r w:rsidRPr="000F7594">
        <w:rPr>
          <w:rFonts w:hint="eastAsia"/>
          <w:color w:val="000000" w:themeColor="text1"/>
          <w:rtl/>
        </w:rPr>
        <w:t>שהיה</w:t>
      </w:r>
      <w:r w:rsidRPr="000F7594">
        <w:rPr>
          <w:color w:val="000000" w:themeColor="text1"/>
          <w:rtl/>
        </w:rPr>
        <w:t xml:space="preserve"> </w:t>
      </w:r>
      <w:r w:rsidRPr="000F7594">
        <w:rPr>
          <w:rFonts w:hint="eastAsia"/>
          <w:color w:val="000000" w:themeColor="text1"/>
          <w:rtl/>
        </w:rPr>
        <w:t>בכנסת</w:t>
      </w:r>
      <w:r w:rsidRPr="000F7594">
        <w:rPr>
          <w:color w:val="000000" w:themeColor="text1"/>
          <w:rtl/>
        </w:rPr>
        <w:t xml:space="preserve"> </w:t>
      </w:r>
      <w:r w:rsidRPr="000F7594">
        <w:rPr>
          <w:rFonts w:hint="eastAsia"/>
          <w:color w:val="000000" w:themeColor="text1"/>
          <w:rtl/>
        </w:rPr>
        <w:t>ורצו</w:t>
      </w:r>
      <w:r w:rsidRPr="000F7594">
        <w:rPr>
          <w:color w:val="000000" w:themeColor="text1"/>
          <w:rtl/>
        </w:rPr>
        <w:t xml:space="preserve"> </w:t>
      </w:r>
      <w:r w:rsidRPr="000F7594">
        <w:rPr>
          <w:rFonts w:hint="eastAsia"/>
          <w:color w:val="000000" w:themeColor="text1"/>
          <w:rtl/>
        </w:rPr>
        <w:t>לחוקק</w:t>
      </w:r>
      <w:r w:rsidRPr="000F7594">
        <w:rPr>
          <w:color w:val="000000" w:themeColor="text1"/>
          <w:rtl/>
        </w:rPr>
        <w:t xml:space="preserve"> </w:t>
      </w:r>
      <w:r w:rsidRPr="000F7594">
        <w:rPr>
          <w:rFonts w:hint="eastAsia"/>
          <w:color w:val="000000" w:themeColor="text1"/>
          <w:rtl/>
        </w:rPr>
        <w:t>את</w:t>
      </w:r>
      <w:r w:rsidRPr="000F7594">
        <w:rPr>
          <w:color w:val="000000" w:themeColor="text1"/>
          <w:rtl/>
        </w:rPr>
        <w:t xml:space="preserve"> </w:t>
      </w:r>
      <w:r w:rsidRPr="000F7594">
        <w:rPr>
          <w:rFonts w:hint="eastAsia"/>
          <w:color w:val="000000" w:themeColor="text1"/>
          <w:rtl/>
        </w:rPr>
        <w:t>זה</w:t>
      </w:r>
      <w:r w:rsidRPr="000F7594">
        <w:rPr>
          <w:color w:val="000000" w:themeColor="text1"/>
          <w:rtl/>
        </w:rPr>
        <w:t xml:space="preserve"> </w:t>
      </w:r>
      <w:r w:rsidRPr="000F7594">
        <w:rPr>
          <w:rFonts w:hint="eastAsia"/>
          <w:color w:val="000000" w:themeColor="text1"/>
          <w:rtl/>
        </w:rPr>
        <w:t>בדרך</w:t>
      </w:r>
      <w:r w:rsidRPr="000F7594">
        <w:rPr>
          <w:color w:val="000000" w:themeColor="text1"/>
          <w:rtl/>
        </w:rPr>
        <w:t xml:space="preserve"> </w:t>
      </w:r>
      <w:r w:rsidRPr="000F7594">
        <w:rPr>
          <w:rFonts w:hint="eastAsia"/>
          <w:color w:val="000000" w:themeColor="text1"/>
          <w:rtl/>
        </w:rPr>
        <w:t>של</w:t>
      </w:r>
      <w:r w:rsidRPr="000F7594">
        <w:rPr>
          <w:color w:val="000000" w:themeColor="text1"/>
          <w:rtl/>
        </w:rPr>
        <w:t xml:space="preserve"> </w:t>
      </w:r>
      <w:r w:rsidRPr="000F7594">
        <w:rPr>
          <w:rFonts w:hint="eastAsia"/>
          <w:color w:val="000000" w:themeColor="text1"/>
          <w:rtl/>
        </w:rPr>
        <w:t>הצעת</w:t>
      </w:r>
      <w:r w:rsidRPr="000F7594">
        <w:rPr>
          <w:color w:val="000000" w:themeColor="text1"/>
          <w:rtl/>
        </w:rPr>
        <w:t xml:space="preserve"> </w:t>
      </w:r>
      <w:r w:rsidRPr="000F7594">
        <w:rPr>
          <w:rFonts w:hint="eastAsia"/>
          <w:color w:val="000000" w:themeColor="text1"/>
          <w:rtl/>
        </w:rPr>
        <w:t>חוק</w:t>
      </w:r>
      <w:r w:rsidRPr="000F7594">
        <w:rPr>
          <w:color w:val="000000" w:themeColor="text1"/>
          <w:rtl/>
        </w:rPr>
        <w:t xml:space="preserve"> </w:t>
      </w:r>
      <w:r w:rsidRPr="000F7594">
        <w:rPr>
          <w:rFonts w:hint="eastAsia"/>
          <w:color w:val="000000" w:themeColor="text1"/>
          <w:rtl/>
        </w:rPr>
        <w:t>מטעם</w:t>
      </w:r>
      <w:r w:rsidRPr="000F7594">
        <w:rPr>
          <w:color w:val="000000" w:themeColor="text1"/>
          <w:rtl/>
        </w:rPr>
        <w:t xml:space="preserve"> </w:t>
      </w:r>
      <w:r w:rsidRPr="000F7594">
        <w:rPr>
          <w:rFonts w:hint="eastAsia"/>
          <w:color w:val="000000" w:themeColor="text1"/>
          <w:rtl/>
        </w:rPr>
        <w:t>ועדה</w:t>
      </w:r>
      <w:r w:rsidRPr="000F7594">
        <w:rPr>
          <w:color w:val="000000" w:themeColor="text1"/>
          <w:rtl/>
        </w:rPr>
        <w:t xml:space="preserve">, </w:t>
      </w:r>
      <w:r w:rsidRPr="000F7594">
        <w:rPr>
          <w:rFonts w:hint="eastAsia"/>
          <w:color w:val="000000" w:themeColor="text1"/>
          <w:rtl/>
        </w:rPr>
        <w:t>וזה</w:t>
      </w:r>
      <w:r w:rsidRPr="000F7594">
        <w:rPr>
          <w:color w:val="000000" w:themeColor="text1"/>
          <w:rtl/>
        </w:rPr>
        <w:t xml:space="preserve"> </w:t>
      </w:r>
      <w:r w:rsidRPr="000F7594">
        <w:rPr>
          <w:rFonts w:hint="eastAsia"/>
          <w:color w:val="000000" w:themeColor="text1"/>
          <w:rtl/>
        </w:rPr>
        <w:t>התאים</w:t>
      </w:r>
      <w:r w:rsidRPr="000F7594">
        <w:rPr>
          <w:color w:val="000000" w:themeColor="text1"/>
          <w:rtl/>
        </w:rPr>
        <w:t xml:space="preserve"> </w:t>
      </w:r>
      <w:r w:rsidRPr="000F7594">
        <w:rPr>
          <w:rFonts w:hint="eastAsia"/>
          <w:color w:val="000000" w:themeColor="text1"/>
          <w:rtl/>
        </w:rPr>
        <w:t>גם</w:t>
      </w:r>
      <w:r w:rsidRPr="000F7594">
        <w:rPr>
          <w:color w:val="000000" w:themeColor="text1"/>
          <w:rtl/>
        </w:rPr>
        <w:t xml:space="preserve"> </w:t>
      </w:r>
      <w:r w:rsidRPr="000F7594">
        <w:rPr>
          <w:rFonts w:hint="eastAsia"/>
          <w:color w:val="000000" w:themeColor="text1"/>
          <w:rtl/>
        </w:rPr>
        <w:t>לנושאים</w:t>
      </w:r>
      <w:r w:rsidRPr="000F7594">
        <w:rPr>
          <w:color w:val="000000" w:themeColor="text1"/>
          <w:rtl/>
        </w:rPr>
        <w:t xml:space="preserve"> </w:t>
      </w:r>
      <w:r w:rsidRPr="000F7594">
        <w:rPr>
          <w:rFonts w:hint="eastAsia"/>
          <w:color w:val="000000" w:themeColor="text1"/>
          <w:rtl/>
        </w:rPr>
        <w:t>שהופיעו</w:t>
      </w:r>
      <w:r w:rsidRPr="000F7594">
        <w:rPr>
          <w:color w:val="000000" w:themeColor="text1"/>
          <w:rtl/>
        </w:rPr>
        <w:t xml:space="preserve"> </w:t>
      </w:r>
      <w:r w:rsidRPr="000F7594">
        <w:rPr>
          <w:rFonts w:hint="eastAsia"/>
          <w:color w:val="000000" w:themeColor="text1"/>
          <w:rtl/>
        </w:rPr>
        <w:t>בתקנון</w:t>
      </w:r>
      <w:r w:rsidRPr="000F7594">
        <w:rPr>
          <w:color w:val="000000" w:themeColor="text1"/>
          <w:rtl/>
        </w:rPr>
        <w:t xml:space="preserve"> </w:t>
      </w:r>
      <w:r w:rsidRPr="000F7594">
        <w:rPr>
          <w:rFonts w:hint="eastAsia"/>
          <w:color w:val="000000" w:themeColor="text1"/>
          <w:rtl/>
        </w:rPr>
        <w:t>הכנסת</w:t>
      </w:r>
      <w:r w:rsidRPr="000F7594">
        <w:rPr>
          <w:color w:val="000000" w:themeColor="text1"/>
          <w:rtl/>
        </w:rPr>
        <w:t xml:space="preserve"> </w:t>
      </w:r>
      <w:r w:rsidRPr="000F7594">
        <w:rPr>
          <w:rFonts w:hint="eastAsia"/>
          <w:color w:val="000000" w:themeColor="text1"/>
          <w:rtl/>
        </w:rPr>
        <w:t>ביחס</w:t>
      </w:r>
      <w:r w:rsidRPr="000F7594">
        <w:rPr>
          <w:color w:val="000000" w:themeColor="text1"/>
          <w:rtl/>
        </w:rPr>
        <w:t xml:space="preserve"> </w:t>
      </w:r>
      <w:r w:rsidRPr="000F7594">
        <w:rPr>
          <w:rFonts w:hint="eastAsia"/>
          <w:color w:val="000000" w:themeColor="text1"/>
          <w:rtl/>
        </w:rPr>
        <w:t>לאותו</w:t>
      </w:r>
      <w:r w:rsidRPr="000F7594">
        <w:rPr>
          <w:color w:val="000000" w:themeColor="text1"/>
          <w:rtl/>
        </w:rPr>
        <w:t xml:space="preserve"> </w:t>
      </w:r>
      <w:r w:rsidRPr="000F7594">
        <w:rPr>
          <w:rFonts w:hint="eastAsia"/>
          <w:color w:val="000000" w:themeColor="text1"/>
          <w:rtl/>
        </w:rPr>
        <w:t>עניין</w:t>
      </w:r>
      <w:r w:rsidRPr="000F7594">
        <w:rPr>
          <w:color w:val="000000" w:themeColor="text1"/>
          <w:rtl/>
        </w:rPr>
        <w:t xml:space="preserve">, </w:t>
      </w:r>
      <w:r w:rsidRPr="000F7594">
        <w:rPr>
          <w:rFonts w:hint="eastAsia"/>
          <w:color w:val="000000" w:themeColor="text1"/>
          <w:rtl/>
        </w:rPr>
        <w:t>או</w:t>
      </w:r>
      <w:r w:rsidRPr="000F7594">
        <w:rPr>
          <w:color w:val="000000" w:themeColor="text1"/>
          <w:rtl/>
        </w:rPr>
        <w:t xml:space="preserve"> </w:t>
      </w:r>
      <w:r w:rsidRPr="000F7594">
        <w:rPr>
          <w:rFonts w:hint="eastAsia"/>
          <w:color w:val="000000" w:themeColor="text1"/>
          <w:rtl/>
        </w:rPr>
        <w:t>ביחס</w:t>
      </w:r>
      <w:r w:rsidRPr="000F7594">
        <w:rPr>
          <w:color w:val="000000" w:themeColor="text1"/>
          <w:rtl/>
        </w:rPr>
        <w:t xml:space="preserve"> </w:t>
      </w:r>
      <w:r w:rsidRPr="000F7594">
        <w:rPr>
          <w:rFonts w:hint="eastAsia"/>
          <w:color w:val="000000" w:themeColor="text1"/>
          <w:rtl/>
        </w:rPr>
        <w:t>לנושאים</w:t>
      </w:r>
      <w:r w:rsidRPr="000F7594">
        <w:rPr>
          <w:color w:val="000000" w:themeColor="text1"/>
          <w:rtl/>
        </w:rPr>
        <w:t xml:space="preserve"> </w:t>
      </w:r>
      <w:r w:rsidRPr="000F7594">
        <w:rPr>
          <w:rFonts w:hint="eastAsia"/>
          <w:color w:val="000000" w:themeColor="text1"/>
          <w:rtl/>
        </w:rPr>
        <w:t>שעוסקים</w:t>
      </w:r>
      <w:r w:rsidRPr="000F7594">
        <w:rPr>
          <w:color w:val="000000" w:themeColor="text1"/>
          <w:rtl/>
        </w:rPr>
        <w:t xml:space="preserve"> </w:t>
      </w:r>
      <w:r w:rsidRPr="000F7594">
        <w:rPr>
          <w:rFonts w:hint="eastAsia"/>
          <w:color w:val="000000" w:themeColor="text1"/>
          <w:rtl/>
        </w:rPr>
        <w:t>בענייני</w:t>
      </w:r>
      <w:r w:rsidRPr="000F7594">
        <w:rPr>
          <w:color w:val="000000" w:themeColor="text1"/>
          <w:rtl/>
        </w:rPr>
        <w:t xml:space="preserve"> </w:t>
      </w:r>
      <w:r w:rsidRPr="000F7594">
        <w:rPr>
          <w:rFonts w:hint="eastAsia"/>
          <w:color w:val="000000" w:themeColor="text1"/>
          <w:rtl/>
        </w:rPr>
        <w:t>הכנסת</w:t>
      </w:r>
      <w:r w:rsidRPr="000F7594">
        <w:rPr>
          <w:color w:val="000000" w:themeColor="text1"/>
          <w:rtl/>
        </w:rPr>
        <w:t xml:space="preserve">, </w:t>
      </w:r>
      <w:r w:rsidRPr="000F7594">
        <w:rPr>
          <w:rFonts w:hint="eastAsia"/>
          <w:color w:val="000000" w:themeColor="text1"/>
          <w:rtl/>
        </w:rPr>
        <w:t>שהכנסת</w:t>
      </w:r>
      <w:r w:rsidRPr="000F7594">
        <w:rPr>
          <w:color w:val="000000" w:themeColor="text1"/>
          <w:rtl/>
        </w:rPr>
        <w:t xml:space="preserve"> </w:t>
      </w:r>
      <w:r w:rsidRPr="000F7594">
        <w:rPr>
          <w:rFonts w:hint="eastAsia"/>
          <w:color w:val="000000" w:themeColor="text1"/>
          <w:rtl/>
        </w:rPr>
        <w:t>נדרשת</w:t>
      </w:r>
      <w:r w:rsidRPr="000F7594">
        <w:rPr>
          <w:color w:val="000000" w:themeColor="text1"/>
          <w:rtl/>
        </w:rPr>
        <w:t xml:space="preserve"> </w:t>
      </w:r>
      <w:r w:rsidRPr="000F7594">
        <w:rPr>
          <w:rFonts w:hint="eastAsia"/>
          <w:color w:val="000000" w:themeColor="text1"/>
          <w:rtl/>
        </w:rPr>
        <w:t>אליהם</w:t>
      </w:r>
      <w:r w:rsidRPr="000F7594">
        <w:rPr>
          <w:color w:val="000000" w:themeColor="text1"/>
          <w:rtl/>
        </w:rPr>
        <w:t xml:space="preserve"> </w:t>
      </w:r>
      <w:r w:rsidRPr="000F7594">
        <w:rPr>
          <w:rFonts w:hint="eastAsia"/>
          <w:color w:val="000000" w:themeColor="text1"/>
          <w:rtl/>
        </w:rPr>
        <w:t>ורוצה</w:t>
      </w:r>
      <w:r w:rsidRPr="000F7594">
        <w:rPr>
          <w:color w:val="000000" w:themeColor="text1"/>
          <w:rtl/>
        </w:rPr>
        <w:t xml:space="preserve"> </w:t>
      </w:r>
      <w:r w:rsidRPr="000F7594">
        <w:rPr>
          <w:rFonts w:hint="eastAsia"/>
          <w:color w:val="000000" w:themeColor="text1"/>
          <w:rtl/>
        </w:rPr>
        <w:t>למצוא</w:t>
      </w:r>
      <w:r w:rsidRPr="000F7594">
        <w:rPr>
          <w:color w:val="000000" w:themeColor="text1"/>
          <w:rtl/>
        </w:rPr>
        <w:t xml:space="preserve"> </w:t>
      </w:r>
      <w:r w:rsidRPr="000F7594">
        <w:rPr>
          <w:rFonts w:hint="eastAsia"/>
          <w:color w:val="000000" w:themeColor="text1"/>
          <w:rtl/>
        </w:rPr>
        <w:t>ביחס</w:t>
      </w:r>
      <w:r w:rsidRPr="000F7594">
        <w:rPr>
          <w:color w:val="000000" w:themeColor="text1"/>
          <w:rtl/>
        </w:rPr>
        <w:t xml:space="preserve"> </w:t>
      </w:r>
      <w:r w:rsidRPr="000F7594">
        <w:rPr>
          <w:rFonts w:hint="eastAsia"/>
          <w:color w:val="000000" w:themeColor="text1"/>
          <w:rtl/>
        </w:rPr>
        <w:t>אליהם</w:t>
      </w:r>
      <w:r w:rsidRPr="000F7594">
        <w:rPr>
          <w:color w:val="000000" w:themeColor="text1"/>
          <w:rtl/>
        </w:rPr>
        <w:t xml:space="preserve"> </w:t>
      </w:r>
      <w:r w:rsidRPr="000F7594">
        <w:rPr>
          <w:rFonts w:hint="eastAsia"/>
          <w:color w:val="000000" w:themeColor="text1"/>
          <w:rtl/>
        </w:rPr>
        <w:t>איזה</w:t>
      </w:r>
      <w:r w:rsidRPr="000F7594">
        <w:rPr>
          <w:color w:val="000000" w:themeColor="text1"/>
          <w:rtl/>
        </w:rPr>
        <w:t xml:space="preserve"> </w:t>
      </w:r>
      <w:r w:rsidRPr="000F7594">
        <w:rPr>
          <w:rFonts w:hint="eastAsia"/>
          <w:color w:val="000000" w:themeColor="text1"/>
          <w:rtl/>
        </w:rPr>
        <w:t>פתרון</w:t>
      </w:r>
      <w:r w:rsidRPr="000F7594">
        <w:rPr>
          <w:rFonts w:hint="cs"/>
          <w:color w:val="000000" w:themeColor="text1"/>
          <w:rtl/>
        </w:rPr>
        <w:t xml:space="preserve"> (</w:t>
      </w:r>
      <w:r w:rsidRPr="000F7594">
        <w:rPr>
          <w:rFonts w:ascii="FrankRuehl" w:hAnsi="FrankRuehl"/>
          <w:color w:val="000000" w:themeColor="text1"/>
          <w:sz w:val="28"/>
          <w:rtl/>
        </w:rPr>
        <w:t xml:space="preserve">פרוטוקול ישיבה </w:t>
      </w:r>
      <w:r>
        <w:rPr>
          <w:rFonts w:ascii="FrankRuehl" w:hAnsi="FrankRuehl"/>
          <w:color w:val="000000" w:themeColor="text1"/>
          <w:sz w:val="28"/>
          <w:rtl/>
        </w:rPr>
        <w:t>7</w:t>
      </w:r>
      <w:r>
        <w:rPr>
          <w:rFonts w:ascii="FrankRuehl" w:hAnsi="FrankRuehl" w:hint="cs"/>
          <w:color w:val="000000" w:themeColor="text1"/>
          <w:sz w:val="28"/>
          <w:rtl/>
        </w:rPr>
        <w:t>, בעמ' 31</w:t>
      </w:r>
      <w:r>
        <w:rPr>
          <w:rFonts w:hint="cs"/>
          <w:color w:val="000000" w:themeColor="text1"/>
          <w:rtl/>
        </w:rPr>
        <w:t>).</w:t>
      </w:r>
    </w:p>
    <w:p w:rsidR="00C044AE" w:rsidRDefault="00C044AE" w:rsidP="00C044AE">
      <w:pPr>
        <w:pStyle w:val="Ruller41"/>
        <w:rPr>
          <w:rtl/>
        </w:rPr>
      </w:pPr>
    </w:p>
    <w:p w:rsidR="00C044AE" w:rsidRPr="00E27E0C" w:rsidRDefault="00C044AE" w:rsidP="00C044AE">
      <w:pPr>
        <w:pStyle w:val="Ruller4"/>
        <w:rPr>
          <w:rtl/>
        </w:rPr>
      </w:pPr>
      <w:r>
        <w:rPr>
          <w:rFonts w:hint="cs"/>
          <w:rtl/>
        </w:rPr>
        <w:t xml:space="preserve">בחוות דעתה של עו"ד אפיק מיום 25.1.2023 היא הגיעה למסקנה כי ניתן לקדם כהצעה מטעם הוועדה את הצעת חוק-יסוד </w:t>
      </w:r>
      <w:r>
        <w:rPr>
          <w:rtl/>
        </w:rPr>
        <w:t>–</w:t>
      </w:r>
      <w:r>
        <w:rPr>
          <w:rFonts w:hint="cs"/>
          <w:rtl/>
        </w:rPr>
        <w:t xml:space="preserve"> חיזוק הפרדת הרשויות, שעסקה בשינוי הרכב הוועדה לבחירת שופטים; בהגבלת הביקורת השיפוטית על חוקי יסוד וחקיקה ראשית; ובביטול עילת הסבירות. זאת, לגישתה, משום שעניינה של הצעה זו "בהסדרים </w:t>
      </w:r>
      <w:r w:rsidRPr="00336DFA">
        <w:rPr>
          <w:rFonts w:hint="cs"/>
          <w:rtl/>
        </w:rPr>
        <w:t>חוקתיים שמסדירים את יחסי הרשויות ובפרט יחסיה של הכנסת והרשות השופטת".</w:t>
      </w:r>
      <w:r>
        <w:rPr>
          <w:rFonts w:hint="cs"/>
          <w:rtl/>
        </w:rPr>
        <w:t xml:space="preserve"> מספר חודשים לאחר מכן, על רקע תחילת הדיונים בהצעת התיקון נושא העתירה, שבה </w:t>
      </w:r>
      <w:r>
        <w:rPr>
          <w:rFonts w:hint="cs"/>
          <w:rtl/>
        </w:rPr>
        <w:lastRenderedPageBreak/>
        <w:t xml:space="preserve">והפנתה עו"ד אפיק לחוות דעתה מיום 25.1.2023 בעניין הצעת חוק-יסוד </w:t>
      </w:r>
      <w:r>
        <w:rPr>
          <w:rtl/>
        </w:rPr>
        <w:t>–</w:t>
      </w:r>
      <w:r>
        <w:rPr>
          <w:rFonts w:hint="cs"/>
          <w:rtl/>
        </w:rPr>
        <w:t xml:space="preserve"> חיזוק הפרדת הרשויות וציינה כי "</w:t>
      </w:r>
      <w:r>
        <w:rPr>
          <w:rtl/>
        </w:rPr>
        <w:t>עתה עומד על סדר יומה של</w:t>
      </w:r>
      <w:r>
        <w:rPr>
          <w:rFonts w:hint="cs"/>
          <w:rtl/>
        </w:rPr>
        <w:t xml:space="preserve"> </w:t>
      </w:r>
      <w:r>
        <w:rPr>
          <w:rtl/>
        </w:rPr>
        <w:t>ועדה החוקה הרכיב האחרון מתוך אותה הצעת חוק-יסוד – הגבלת השימוש בעילת הסבירות</w:t>
      </w:r>
      <w:r>
        <w:rPr>
          <w:rFonts w:hint="cs"/>
          <w:rtl/>
        </w:rPr>
        <w:t>" (ראו: סעיף 4 למכתב המענה של עו"ד אפיק לח"כ קריב, מיום 2.7.2023 שצורף כמש/17 לתצהיר התשובה מטעם הכנסת)</w:t>
      </w:r>
      <w:r>
        <w:rPr>
          <w:rtl/>
        </w:rPr>
        <w:t>.</w:t>
      </w:r>
    </w:p>
    <w:p w:rsidR="00C044AE" w:rsidRPr="00336DFA" w:rsidRDefault="00C044AE" w:rsidP="00C044AE">
      <w:pPr>
        <w:pStyle w:val="Ruller41"/>
        <w:rPr>
          <w:rtl/>
        </w:rPr>
      </w:pPr>
    </w:p>
    <w:p w:rsidR="00C044AE" w:rsidRDefault="00C044AE" w:rsidP="00C044AE">
      <w:pPr>
        <w:pStyle w:val="Ruller4"/>
      </w:pPr>
      <w:r>
        <w:rPr>
          <w:rFonts w:hint="cs"/>
          <w:rtl/>
        </w:rPr>
        <w:t>לגישתי</w:t>
      </w:r>
      <w:r w:rsidRPr="00336DFA">
        <w:rPr>
          <w:rFonts w:hint="cs"/>
          <w:rtl/>
        </w:rPr>
        <w:t>,</w:t>
      </w:r>
      <w:r>
        <w:rPr>
          <w:rFonts w:hint="cs"/>
          <w:rtl/>
        </w:rPr>
        <w:t xml:space="preserve"> עמדתה של עו"ד אפיק ביחס להתאמת הצעת התיקון למסלול של הצעת חוק מטעם ועדה מעוררת קושי</w:t>
      </w:r>
      <w:r w:rsidRPr="00336DFA">
        <w:rPr>
          <w:rFonts w:hint="cs"/>
          <w:rtl/>
        </w:rPr>
        <w:t xml:space="preserve">. </w:t>
      </w:r>
      <w:r>
        <w:rPr>
          <w:rFonts w:hint="cs"/>
          <w:rtl/>
        </w:rPr>
        <w:t xml:space="preserve">כפי העולה מן הסקירה שהובאה לעיל, </w:t>
      </w:r>
      <w:r w:rsidRPr="00336DFA">
        <w:rPr>
          <w:rFonts w:hint="cs"/>
          <w:rtl/>
        </w:rPr>
        <w:t xml:space="preserve">קידום הצעת התיקון </w:t>
      </w:r>
      <w:r>
        <w:rPr>
          <w:rFonts w:hint="cs"/>
          <w:rtl/>
        </w:rPr>
        <w:t xml:space="preserve">נושא העתירות </w:t>
      </w:r>
      <w:r w:rsidRPr="00336DFA">
        <w:rPr>
          <w:rFonts w:hint="cs"/>
          <w:rtl/>
        </w:rPr>
        <w:t>כהצעה מטעם הוועדה</w:t>
      </w:r>
      <w:r>
        <w:rPr>
          <w:rFonts w:hint="cs"/>
          <w:rtl/>
        </w:rPr>
        <w:t>,</w:t>
      </w:r>
      <w:r w:rsidRPr="00336DFA">
        <w:rPr>
          <w:rFonts w:hint="cs"/>
          <w:rtl/>
        </w:rPr>
        <w:t xml:space="preserve"> מהווה חריגה </w:t>
      </w:r>
      <w:r w:rsidRPr="00E27E0C">
        <w:rPr>
          <w:rFonts w:ascii="Century" w:hAnsi="Century" w:cs="Miriam" w:hint="cs"/>
          <w:b/>
          <w:spacing w:val="0"/>
          <w:sz w:val="22"/>
          <w:szCs w:val="24"/>
          <w:rtl/>
        </w:rPr>
        <w:t>משמעותית</w:t>
      </w:r>
      <w:r w:rsidRPr="00336DFA">
        <w:rPr>
          <w:rFonts w:hint="cs"/>
          <w:rtl/>
        </w:rPr>
        <w:t xml:space="preserve"> מהפרקטיקה שהשתרשה לאורך השנים בכנסת באשר לשימוש המקובל במסלול הקבוע בסעיף 80 לתקנון הכנסת.</w:t>
      </w:r>
      <w:r>
        <w:rPr>
          <w:rFonts w:hint="cs"/>
          <w:rtl/>
        </w:rPr>
        <w:t xml:space="preserve"> כך, </w:t>
      </w:r>
      <w:r w:rsidRPr="00336DFA">
        <w:rPr>
          <w:rFonts w:hint="cs"/>
          <w:rtl/>
        </w:rPr>
        <w:t xml:space="preserve">בניגוד </w:t>
      </w:r>
      <w:r>
        <w:rPr>
          <w:rFonts w:hint="cs"/>
          <w:rtl/>
        </w:rPr>
        <w:t xml:space="preserve">לאופן שבו יושם הסעיף </w:t>
      </w:r>
      <w:r w:rsidRPr="00336DFA">
        <w:rPr>
          <w:rFonts w:hint="cs"/>
          <w:rtl/>
        </w:rPr>
        <w:t xml:space="preserve">בכנסת </w:t>
      </w:r>
      <w:r>
        <w:rPr>
          <w:rFonts w:hint="cs"/>
          <w:rtl/>
        </w:rPr>
        <w:t xml:space="preserve">לאורך השנים, אין חולק כי </w:t>
      </w:r>
      <w:r w:rsidRPr="00336DFA">
        <w:rPr>
          <w:rFonts w:hint="cs"/>
          <w:rtl/>
        </w:rPr>
        <w:t xml:space="preserve">הצעת התיקון שבפנינו </w:t>
      </w:r>
      <w:r>
        <w:rPr>
          <w:rFonts w:hint="cs"/>
          <w:rtl/>
        </w:rPr>
        <w:t>לא קודמה בהסכמה רחבה</w:t>
      </w:r>
      <w:r w:rsidRPr="00336DFA">
        <w:rPr>
          <w:rFonts w:hint="cs"/>
          <w:rtl/>
        </w:rPr>
        <w:t xml:space="preserve"> </w:t>
      </w:r>
      <w:r>
        <w:rPr>
          <w:rFonts w:hint="cs"/>
          <w:rtl/>
        </w:rPr>
        <w:t xml:space="preserve">והיא אף </w:t>
      </w:r>
      <w:r w:rsidRPr="00336DFA">
        <w:rPr>
          <w:rFonts w:hint="cs"/>
          <w:rtl/>
        </w:rPr>
        <w:t xml:space="preserve">לא עסקה בענייניה של הכנסת, </w:t>
      </w:r>
      <w:r>
        <w:rPr>
          <w:rFonts w:hint="cs"/>
          <w:rtl/>
        </w:rPr>
        <w:t>כי אם</w:t>
      </w:r>
      <w:r w:rsidRPr="00336DFA">
        <w:rPr>
          <w:rFonts w:hint="cs"/>
          <w:rtl/>
        </w:rPr>
        <w:t xml:space="preserve"> בהיקף הביקורת השיפוטית על פעולות </w:t>
      </w:r>
      <w:r w:rsidRPr="00336DFA">
        <w:rPr>
          <w:rFonts w:ascii="Century" w:hAnsi="Century" w:cs="Miriam" w:hint="cs"/>
          <w:b/>
          <w:spacing w:val="0"/>
          <w:sz w:val="22"/>
          <w:szCs w:val="24"/>
          <w:rtl/>
        </w:rPr>
        <w:t>הממשלה</w:t>
      </w:r>
      <w:r>
        <w:rPr>
          <w:rFonts w:hint="cs"/>
          <w:rtl/>
        </w:rPr>
        <w:t>.</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בבואנו לבחון את גבולות השימוש בסעיף 80 לתקנון הכנסת, יש לייחס משקל ניכר לפרקטיקה לפיה הצעות חוק יסוד מטעם ועדות אשר אושרו, נגעו לענייני הכנסת או נחקקו בהסכמה רחבה (או בהתקיים שני התנאים). בהקשר אחר ציינתי</w:t>
      </w:r>
      <w:r w:rsidRPr="00336DFA">
        <w:rPr>
          <w:rFonts w:hint="cs"/>
          <w:rtl/>
        </w:rPr>
        <w:t xml:space="preserve"> בבג"ץ </w:t>
      </w:r>
      <w:r w:rsidRPr="00336DFA">
        <w:rPr>
          <w:rtl/>
        </w:rPr>
        <w:t xml:space="preserve">706/19 </w:t>
      </w:r>
      <w:r w:rsidRPr="00E27E0C">
        <w:rPr>
          <w:rFonts w:ascii="Century" w:hAnsi="Century" w:cs="Miriam" w:hint="eastAsia"/>
          <w:b/>
          <w:spacing w:val="0"/>
          <w:sz w:val="22"/>
          <w:szCs w:val="24"/>
          <w:rtl/>
        </w:rPr>
        <w:t>פריג</w:t>
      </w:r>
      <w:r w:rsidRPr="00E27E0C">
        <w:rPr>
          <w:rFonts w:ascii="Century" w:hAnsi="Century" w:cs="Miriam"/>
          <w:b/>
          <w:spacing w:val="0"/>
          <w:sz w:val="22"/>
          <w:szCs w:val="24"/>
          <w:rtl/>
        </w:rPr>
        <w:t xml:space="preserve">' </w:t>
      </w:r>
      <w:r w:rsidRPr="00E27E0C">
        <w:rPr>
          <w:rFonts w:ascii="Century" w:hAnsi="Century" w:cs="Miriam" w:hint="eastAsia"/>
          <w:b/>
          <w:spacing w:val="0"/>
          <w:sz w:val="22"/>
          <w:szCs w:val="24"/>
          <w:rtl/>
        </w:rPr>
        <w:t>נ</w:t>
      </w:r>
      <w:r w:rsidRPr="00E27E0C">
        <w:rPr>
          <w:rFonts w:ascii="Century" w:hAnsi="Century" w:cs="Miriam"/>
          <w:b/>
          <w:spacing w:val="0"/>
          <w:sz w:val="22"/>
          <w:szCs w:val="24"/>
          <w:rtl/>
        </w:rPr>
        <w:t xml:space="preserve"> </w:t>
      </w:r>
      <w:r w:rsidRPr="00E27E0C">
        <w:rPr>
          <w:rFonts w:ascii="Century" w:hAnsi="Century" w:cs="Miriam" w:hint="eastAsia"/>
          <w:b/>
          <w:spacing w:val="0"/>
          <w:sz w:val="22"/>
          <w:szCs w:val="24"/>
          <w:rtl/>
        </w:rPr>
        <w:t>יושב</w:t>
      </w:r>
      <w:r w:rsidRPr="00E27E0C">
        <w:rPr>
          <w:rFonts w:ascii="Century" w:hAnsi="Century" w:cs="Miriam"/>
          <w:b/>
          <w:spacing w:val="0"/>
          <w:sz w:val="22"/>
          <w:szCs w:val="24"/>
          <w:rtl/>
        </w:rPr>
        <w:t xml:space="preserve"> </w:t>
      </w:r>
      <w:r w:rsidRPr="00E27E0C">
        <w:rPr>
          <w:rFonts w:ascii="Century" w:hAnsi="Century" w:cs="Miriam" w:hint="eastAsia"/>
          <w:b/>
          <w:spacing w:val="0"/>
          <w:sz w:val="22"/>
          <w:szCs w:val="24"/>
          <w:rtl/>
        </w:rPr>
        <w:t>ראש</w:t>
      </w:r>
      <w:r w:rsidRPr="00E27E0C">
        <w:rPr>
          <w:rFonts w:ascii="Century" w:hAnsi="Century" w:cs="Miriam"/>
          <w:b/>
          <w:spacing w:val="0"/>
          <w:sz w:val="22"/>
          <w:szCs w:val="24"/>
          <w:rtl/>
        </w:rPr>
        <w:t xml:space="preserve"> </w:t>
      </w:r>
      <w:r w:rsidRPr="00E27E0C">
        <w:rPr>
          <w:rFonts w:ascii="Century" w:hAnsi="Century" w:cs="Miriam" w:hint="eastAsia"/>
          <w:b/>
          <w:spacing w:val="0"/>
          <w:sz w:val="22"/>
          <w:szCs w:val="24"/>
          <w:rtl/>
        </w:rPr>
        <w:t>הכנסת</w:t>
      </w:r>
      <w:r w:rsidRPr="00336DFA">
        <w:rPr>
          <w:rtl/>
        </w:rPr>
        <w:t xml:space="preserve"> (28.3.2019)</w:t>
      </w:r>
      <w:r>
        <w:rPr>
          <w:rFonts w:hint="cs"/>
          <w:rtl/>
        </w:rPr>
        <w:t xml:space="preserve"> כי</w:t>
      </w:r>
      <w:r w:rsidRPr="00336DFA">
        <w:rPr>
          <w:rFonts w:hint="cs"/>
          <w:rtl/>
        </w:rPr>
        <w:t xml:space="preserve">: </w:t>
      </w:r>
    </w:p>
    <w:p w:rsidR="00C044AE" w:rsidRPr="00BF43CC" w:rsidRDefault="00C044AE" w:rsidP="00C044AE">
      <w:pPr>
        <w:pStyle w:val="Ruller41"/>
        <w:rPr>
          <w:rtl/>
        </w:rPr>
      </w:pPr>
    </w:p>
    <w:p w:rsidR="00C044AE" w:rsidRDefault="00C044AE" w:rsidP="00C044AE">
      <w:pPr>
        <w:pStyle w:val="Ruller5"/>
        <w:spacing w:line="276" w:lineRule="auto"/>
        <w:rPr>
          <w:color w:val="000000"/>
          <w:rtl/>
          <w14:textFill>
            <w14:solidFill>
              <w14:srgbClr w14:val="000000">
                <w14:lumMod w14:val="75000"/>
              </w14:srgbClr>
            </w14:solidFill>
          </w14:textFill>
        </w:rPr>
      </w:pPr>
      <w:r w:rsidRPr="007E0350">
        <w:rPr>
          <w:rFonts w:hint="cs"/>
          <w:color w:val="000000"/>
          <w:rtl/>
          <w14:textFill>
            <w14:solidFill>
              <w14:srgbClr w14:val="000000">
                <w14:lumMod w14:val="75000"/>
              </w14:srgbClr>
            </w14:solidFill>
          </w14:textFill>
        </w:rPr>
        <w:t>"</w:t>
      </w:r>
      <w:r w:rsidRPr="00336DFA">
        <w:rPr>
          <w:rFonts w:hint="eastAsia"/>
          <w:color w:val="000000"/>
          <w:rtl/>
          <w14:textFill>
            <w14:solidFill>
              <w14:srgbClr w14:val="000000">
                <w14:lumMod w14:val="75000"/>
              </w14:srgbClr>
            </w14:solidFill>
          </w14:textFill>
        </w:rPr>
        <w:t>מסורת</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העבודה</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של</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הכנסת</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על</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פי</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הנהוג</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והמקובל</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בה</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בהחלט</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נושאת</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משקל</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על</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פי</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סעיף</w:t>
      </w:r>
      <w:r w:rsidRPr="00336DFA">
        <w:rPr>
          <w:color w:val="000000"/>
          <w:rtl/>
          <w14:textFill>
            <w14:solidFill>
              <w14:srgbClr w14:val="000000">
                <w14:lumMod w14:val="75000"/>
              </w14:srgbClr>
            </w14:solidFill>
          </w14:textFill>
        </w:rPr>
        <w:t xml:space="preserve"> 19 </w:t>
      </w:r>
      <w:r w:rsidRPr="00336DFA">
        <w:rPr>
          <w:rFonts w:hint="eastAsia"/>
          <w:color w:val="000000"/>
          <w:rtl/>
          <w14:textFill>
            <w14:solidFill>
              <w14:srgbClr w14:val="000000">
                <w14:lumMod w14:val="75000"/>
              </w14:srgbClr>
            </w14:solidFill>
          </w14:textFill>
        </w:rPr>
        <w:t>לחוק</w:t>
      </w:r>
      <w:r w:rsidRPr="00336DFA">
        <w:rPr>
          <w:color w:val="000000"/>
          <w:rtl/>
          <w14:textFill>
            <w14:solidFill>
              <w14:srgbClr w14:val="000000">
                <w14:lumMod w14:val="75000"/>
              </w14:srgbClr>
            </w14:solidFill>
          </w14:textFill>
        </w:rPr>
        <w:t>-</w:t>
      </w:r>
      <w:r w:rsidRPr="00336DFA">
        <w:rPr>
          <w:rFonts w:hint="eastAsia"/>
          <w:color w:val="000000"/>
          <w:rtl/>
          <w14:textFill>
            <w14:solidFill>
              <w14:srgbClr w14:val="000000">
                <w14:lumMod w14:val="75000"/>
              </w14:srgbClr>
            </w14:solidFill>
          </w14:textFill>
        </w:rPr>
        <w:t>יסוד</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הכנסת</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היא</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קובעת</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את</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האופן</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שבו</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על</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הכנסת</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לנהוג</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מקום</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שבו</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סדרי</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העבודה</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לא</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נקבעו</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בחוק</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או</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בתקנון</w:t>
      </w:r>
      <w:r w:rsidRPr="00336DFA">
        <w:rPr>
          <w:color w:val="000000"/>
          <w:rtl/>
          <w14:textFill>
            <w14:solidFill>
              <w14:srgbClr w14:val="000000">
                <w14:lumMod w14:val="75000"/>
              </w14:srgbClr>
            </w14:solidFill>
          </w14:textFill>
        </w:rPr>
        <w:t xml:space="preserve">. </w:t>
      </w:r>
      <w:r w:rsidRPr="00336DFA">
        <w:rPr>
          <w:rFonts w:ascii="Century" w:hAnsi="Century" w:cs="Miriam" w:hint="eastAsia"/>
          <w:b/>
          <w:spacing w:val="0"/>
          <w:szCs w:val="24"/>
          <w:rtl/>
        </w:rPr>
        <w:t>מקל</w:t>
      </w:r>
      <w:r w:rsidRPr="00336DFA">
        <w:rPr>
          <w:rFonts w:ascii="Century" w:hAnsi="Century" w:cs="Miriam"/>
          <w:b/>
          <w:spacing w:val="0"/>
          <w:szCs w:val="24"/>
          <w:rtl/>
        </w:rPr>
        <w:t xml:space="preserve"> </w:t>
      </w:r>
      <w:r w:rsidRPr="00336DFA">
        <w:rPr>
          <w:rFonts w:ascii="Century" w:hAnsi="Century" w:cs="Miriam" w:hint="eastAsia"/>
          <w:b/>
          <w:spacing w:val="0"/>
          <w:szCs w:val="24"/>
          <w:rtl/>
        </w:rPr>
        <w:t>וחומר</w:t>
      </w:r>
      <w:r w:rsidRPr="00336DFA">
        <w:rPr>
          <w:rFonts w:ascii="Century" w:hAnsi="Century" w:cs="Miriam"/>
          <w:b/>
          <w:spacing w:val="0"/>
          <w:szCs w:val="24"/>
          <w:rtl/>
        </w:rPr>
        <w:t xml:space="preserve"> </w:t>
      </w:r>
      <w:r w:rsidRPr="00336DFA">
        <w:rPr>
          <w:rFonts w:ascii="Century" w:hAnsi="Century" w:cs="Miriam" w:hint="eastAsia"/>
          <w:b/>
          <w:spacing w:val="0"/>
          <w:szCs w:val="24"/>
          <w:rtl/>
        </w:rPr>
        <w:t>שיש</w:t>
      </w:r>
      <w:r w:rsidRPr="00336DFA">
        <w:rPr>
          <w:rFonts w:ascii="Century" w:hAnsi="Century" w:cs="Miriam"/>
          <w:b/>
          <w:spacing w:val="0"/>
          <w:szCs w:val="24"/>
          <w:rtl/>
        </w:rPr>
        <w:t xml:space="preserve"> </w:t>
      </w:r>
      <w:r w:rsidRPr="00336DFA">
        <w:rPr>
          <w:rFonts w:ascii="Century" w:hAnsi="Century" w:cs="Miriam" w:hint="eastAsia"/>
          <w:b/>
          <w:spacing w:val="0"/>
          <w:szCs w:val="24"/>
          <w:rtl/>
        </w:rPr>
        <w:t>לייחס</w:t>
      </w:r>
      <w:r w:rsidRPr="00336DFA">
        <w:rPr>
          <w:rFonts w:ascii="Century" w:hAnsi="Century" w:cs="Miriam"/>
          <w:b/>
          <w:spacing w:val="0"/>
          <w:szCs w:val="24"/>
          <w:rtl/>
        </w:rPr>
        <w:t xml:space="preserve"> </w:t>
      </w:r>
      <w:r w:rsidRPr="00336DFA">
        <w:rPr>
          <w:rFonts w:ascii="Century" w:hAnsi="Century" w:cs="Miriam" w:hint="eastAsia"/>
          <w:b/>
          <w:spacing w:val="0"/>
          <w:szCs w:val="24"/>
          <w:rtl/>
        </w:rPr>
        <w:t>משקל</w:t>
      </w:r>
      <w:r w:rsidRPr="00336DFA">
        <w:rPr>
          <w:rFonts w:ascii="Century" w:hAnsi="Century" w:cs="Miriam"/>
          <w:b/>
          <w:spacing w:val="0"/>
          <w:szCs w:val="24"/>
          <w:rtl/>
        </w:rPr>
        <w:t xml:space="preserve"> </w:t>
      </w:r>
      <w:r w:rsidRPr="00336DFA">
        <w:rPr>
          <w:rFonts w:ascii="Century" w:hAnsi="Century" w:cs="Miriam" w:hint="eastAsia"/>
          <w:b/>
          <w:spacing w:val="0"/>
          <w:szCs w:val="24"/>
          <w:rtl/>
        </w:rPr>
        <w:t>לאופן</w:t>
      </w:r>
      <w:r w:rsidRPr="00336DFA">
        <w:rPr>
          <w:rFonts w:ascii="Century" w:hAnsi="Century" w:cs="Miriam"/>
          <w:b/>
          <w:spacing w:val="0"/>
          <w:szCs w:val="24"/>
          <w:rtl/>
        </w:rPr>
        <w:t xml:space="preserve"> </w:t>
      </w:r>
      <w:r w:rsidRPr="00336DFA">
        <w:rPr>
          <w:rFonts w:ascii="Century" w:hAnsi="Century" w:cs="Miriam" w:hint="eastAsia"/>
          <w:b/>
          <w:spacing w:val="0"/>
          <w:szCs w:val="24"/>
          <w:rtl/>
        </w:rPr>
        <w:t>התנהלותה</w:t>
      </w:r>
      <w:r w:rsidRPr="00336DFA">
        <w:rPr>
          <w:rFonts w:ascii="Century" w:hAnsi="Century" w:cs="Miriam"/>
          <w:b/>
          <w:spacing w:val="0"/>
          <w:szCs w:val="24"/>
          <w:rtl/>
        </w:rPr>
        <w:t xml:space="preserve"> </w:t>
      </w:r>
      <w:r w:rsidRPr="00336DFA">
        <w:rPr>
          <w:rFonts w:ascii="Century" w:hAnsi="Century" w:cs="Miriam" w:hint="eastAsia"/>
          <w:b/>
          <w:spacing w:val="0"/>
          <w:szCs w:val="24"/>
          <w:rtl/>
        </w:rPr>
        <w:t>של</w:t>
      </w:r>
      <w:r w:rsidRPr="00336DFA">
        <w:rPr>
          <w:rFonts w:ascii="Century" w:hAnsi="Century" w:cs="Miriam"/>
          <w:b/>
          <w:spacing w:val="0"/>
          <w:szCs w:val="24"/>
          <w:rtl/>
        </w:rPr>
        <w:t xml:space="preserve"> </w:t>
      </w:r>
      <w:r w:rsidRPr="00336DFA">
        <w:rPr>
          <w:rFonts w:ascii="Century" w:hAnsi="Century" w:cs="Miriam" w:hint="eastAsia"/>
          <w:b/>
          <w:spacing w:val="0"/>
          <w:szCs w:val="24"/>
          <w:rtl/>
        </w:rPr>
        <w:t>הכנסת</w:t>
      </w:r>
      <w:r w:rsidRPr="00336DFA">
        <w:rPr>
          <w:rFonts w:ascii="Century" w:hAnsi="Century" w:cs="Miriam"/>
          <w:b/>
          <w:spacing w:val="0"/>
          <w:szCs w:val="24"/>
          <w:rtl/>
        </w:rPr>
        <w:t xml:space="preserve"> </w:t>
      </w:r>
      <w:r w:rsidRPr="00336DFA">
        <w:rPr>
          <w:rFonts w:ascii="Century" w:hAnsi="Century" w:cs="Miriam" w:hint="eastAsia"/>
          <w:b/>
          <w:spacing w:val="0"/>
          <w:szCs w:val="24"/>
          <w:rtl/>
        </w:rPr>
        <w:t>מקום</w:t>
      </w:r>
      <w:r w:rsidRPr="00336DFA">
        <w:rPr>
          <w:rFonts w:ascii="Century" w:hAnsi="Century" w:cs="Miriam"/>
          <w:b/>
          <w:spacing w:val="0"/>
          <w:szCs w:val="24"/>
          <w:rtl/>
        </w:rPr>
        <w:t xml:space="preserve"> </w:t>
      </w:r>
      <w:r w:rsidRPr="00336DFA">
        <w:rPr>
          <w:rFonts w:ascii="Century" w:hAnsi="Century" w:cs="Miriam" w:hint="eastAsia"/>
          <w:b/>
          <w:spacing w:val="0"/>
          <w:szCs w:val="24"/>
          <w:rtl/>
        </w:rPr>
        <w:t>שבו</w:t>
      </w:r>
      <w:r w:rsidRPr="00336DFA">
        <w:rPr>
          <w:rFonts w:ascii="Century" w:hAnsi="Century" w:cs="Miriam"/>
          <w:b/>
          <w:spacing w:val="0"/>
          <w:szCs w:val="24"/>
          <w:rtl/>
        </w:rPr>
        <w:t xml:space="preserve"> </w:t>
      </w:r>
      <w:r w:rsidRPr="00336DFA">
        <w:rPr>
          <w:rFonts w:ascii="Century" w:hAnsi="Century" w:cs="Miriam" w:hint="eastAsia"/>
          <w:b/>
          <w:spacing w:val="0"/>
          <w:szCs w:val="24"/>
          <w:rtl/>
        </w:rPr>
        <w:t>היא</w:t>
      </w:r>
      <w:r w:rsidRPr="00336DFA">
        <w:rPr>
          <w:rFonts w:ascii="Century" w:hAnsi="Century" w:cs="Miriam"/>
          <w:b/>
          <w:spacing w:val="0"/>
          <w:szCs w:val="24"/>
          <w:rtl/>
        </w:rPr>
        <w:t xml:space="preserve"> </w:t>
      </w:r>
      <w:r w:rsidRPr="00336DFA">
        <w:rPr>
          <w:rFonts w:ascii="Century" w:hAnsi="Century" w:cs="Miriam" w:hint="eastAsia"/>
          <w:b/>
          <w:spacing w:val="0"/>
          <w:szCs w:val="24"/>
          <w:rtl/>
        </w:rPr>
        <w:t>פועלת</w:t>
      </w:r>
      <w:r w:rsidRPr="00336DFA">
        <w:rPr>
          <w:rFonts w:ascii="Century" w:hAnsi="Century" w:cs="Miriam"/>
          <w:b/>
          <w:spacing w:val="0"/>
          <w:szCs w:val="24"/>
          <w:rtl/>
        </w:rPr>
        <w:t xml:space="preserve"> </w:t>
      </w:r>
      <w:r w:rsidRPr="00336DFA">
        <w:rPr>
          <w:rFonts w:ascii="Century" w:hAnsi="Century" w:cs="Miriam" w:hint="eastAsia"/>
          <w:b/>
          <w:spacing w:val="0"/>
          <w:szCs w:val="24"/>
          <w:rtl/>
        </w:rPr>
        <w:t>לאורך</w:t>
      </w:r>
      <w:r w:rsidRPr="00336DFA">
        <w:rPr>
          <w:rFonts w:ascii="Century" w:hAnsi="Century" w:cs="Miriam"/>
          <w:b/>
          <w:spacing w:val="0"/>
          <w:szCs w:val="24"/>
          <w:rtl/>
        </w:rPr>
        <w:t xml:space="preserve"> </w:t>
      </w:r>
      <w:r w:rsidRPr="00336DFA">
        <w:rPr>
          <w:rFonts w:ascii="Century" w:hAnsi="Century" w:cs="Miriam" w:hint="eastAsia"/>
          <w:b/>
          <w:spacing w:val="0"/>
          <w:szCs w:val="24"/>
          <w:rtl/>
        </w:rPr>
        <w:t>שנים</w:t>
      </w:r>
      <w:r w:rsidRPr="00336DFA">
        <w:rPr>
          <w:rFonts w:ascii="Century" w:hAnsi="Century" w:cs="Miriam"/>
          <w:b/>
          <w:spacing w:val="0"/>
          <w:szCs w:val="24"/>
          <w:rtl/>
        </w:rPr>
        <w:t xml:space="preserve"> </w:t>
      </w:r>
      <w:r w:rsidRPr="00336DFA">
        <w:rPr>
          <w:rFonts w:ascii="Century" w:hAnsi="Century" w:cs="Miriam" w:hint="eastAsia"/>
          <w:b/>
          <w:spacing w:val="0"/>
          <w:szCs w:val="24"/>
          <w:rtl/>
        </w:rPr>
        <w:t>ליישום</w:t>
      </w:r>
      <w:r w:rsidRPr="00336DFA">
        <w:rPr>
          <w:rFonts w:ascii="Century" w:hAnsi="Century" w:cs="Miriam"/>
          <w:b/>
          <w:spacing w:val="0"/>
          <w:szCs w:val="24"/>
          <w:rtl/>
        </w:rPr>
        <w:t xml:space="preserve"> </w:t>
      </w:r>
      <w:r w:rsidRPr="00336DFA">
        <w:rPr>
          <w:rFonts w:ascii="Century" w:hAnsi="Century" w:cs="Miriam" w:hint="eastAsia"/>
          <w:b/>
          <w:spacing w:val="0"/>
          <w:szCs w:val="24"/>
          <w:rtl/>
        </w:rPr>
        <w:t>הוראה</w:t>
      </w:r>
      <w:r w:rsidRPr="00336DFA">
        <w:rPr>
          <w:rFonts w:ascii="Century" w:hAnsi="Century" w:cs="Miriam"/>
          <w:b/>
          <w:spacing w:val="0"/>
          <w:szCs w:val="24"/>
          <w:rtl/>
        </w:rPr>
        <w:t xml:space="preserve"> </w:t>
      </w:r>
      <w:r w:rsidRPr="00336DFA">
        <w:rPr>
          <w:rFonts w:ascii="Century" w:hAnsi="Century" w:cs="Miriam" w:hint="eastAsia"/>
          <w:b/>
          <w:spacing w:val="0"/>
          <w:szCs w:val="24"/>
          <w:rtl/>
        </w:rPr>
        <w:t>בתקנון</w:t>
      </w:r>
      <w:r w:rsidRPr="00336DFA">
        <w:rPr>
          <w:rFonts w:ascii="Century" w:hAnsi="Century" w:cs="Miriam"/>
          <w:b/>
          <w:spacing w:val="0"/>
          <w:szCs w:val="24"/>
          <w:rtl/>
        </w:rPr>
        <w:t xml:space="preserve"> </w:t>
      </w:r>
      <w:r w:rsidRPr="00336DFA">
        <w:rPr>
          <w:rFonts w:ascii="Century" w:hAnsi="Century" w:cs="Miriam" w:hint="eastAsia"/>
          <w:b/>
          <w:spacing w:val="0"/>
          <w:szCs w:val="24"/>
          <w:rtl/>
        </w:rPr>
        <w:t>בדרך</w:t>
      </w:r>
      <w:r w:rsidRPr="00336DFA">
        <w:rPr>
          <w:rFonts w:ascii="Century" w:hAnsi="Century" w:cs="Miriam"/>
          <w:b/>
          <w:spacing w:val="0"/>
          <w:szCs w:val="24"/>
          <w:rtl/>
        </w:rPr>
        <w:t xml:space="preserve"> </w:t>
      </w:r>
      <w:r w:rsidRPr="00336DFA">
        <w:rPr>
          <w:rFonts w:ascii="Century" w:hAnsi="Century" w:cs="Miriam" w:hint="eastAsia"/>
          <w:b/>
          <w:spacing w:val="0"/>
          <w:szCs w:val="24"/>
          <w:rtl/>
        </w:rPr>
        <w:t>המקובלת</w:t>
      </w:r>
      <w:r w:rsidRPr="00336DFA">
        <w:rPr>
          <w:rFonts w:ascii="Century" w:hAnsi="Century" w:cs="Miriam"/>
          <w:b/>
          <w:spacing w:val="0"/>
          <w:szCs w:val="24"/>
          <w:rtl/>
        </w:rPr>
        <w:t xml:space="preserve"> </w:t>
      </w:r>
      <w:r w:rsidRPr="00336DFA">
        <w:rPr>
          <w:rFonts w:ascii="Century" w:hAnsi="Century" w:cs="Miriam" w:hint="eastAsia"/>
          <w:b/>
          <w:spacing w:val="0"/>
          <w:szCs w:val="24"/>
          <w:rtl/>
        </w:rPr>
        <w:t>עליה</w:t>
      </w:r>
      <w:r w:rsidRPr="00336DFA">
        <w:rPr>
          <w:rFonts w:ascii="Century" w:hAnsi="Century" w:cs="Miriam"/>
          <w:b/>
          <w:spacing w:val="0"/>
          <w:szCs w:val="24"/>
          <w:rtl/>
        </w:rPr>
        <w:t xml:space="preserve"> </w:t>
      </w:r>
      <w:r w:rsidRPr="00336DFA">
        <w:rPr>
          <w:rFonts w:ascii="Century" w:hAnsi="Century" w:cs="Miriam" w:hint="eastAsia"/>
          <w:b/>
          <w:spacing w:val="0"/>
          <w:szCs w:val="24"/>
          <w:rtl/>
        </w:rPr>
        <w:t>לפרשה</w:t>
      </w:r>
      <w:r w:rsidRPr="00336DFA">
        <w:rPr>
          <w:rFonts w:ascii="Century" w:hAnsi="Century" w:cs="Miriam"/>
          <w:b/>
          <w:spacing w:val="0"/>
          <w:szCs w:val="24"/>
          <w:rtl/>
        </w:rPr>
        <w:t>.</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כבר</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נפסק</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כי</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כאשר</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פירוש</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אפשרי</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של</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דבר</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חקיקה</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מתיישב</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עם</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מציאות</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עובדתית</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שנוצרה</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ושעל</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פיה</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מתנהלים</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יש</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להעדיפו</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על</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פירוש</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אפשרי</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אחר</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הסוטה</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מאותה</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מציאות</w:t>
      </w:r>
      <w:r>
        <w:rPr>
          <w:rFonts w:hint="cs"/>
          <w:color w:val="000000"/>
          <w:rtl/>
          <w14:textFill>
            <w14:solidFill>
              <w14:srgbClr w14:val="000000">
                <w14:lumMod w14:val="75000"/>
              </w14:srgbClr>
            </w14:solidFill>
          </w14:textFill>
        </w:rPr>
        <w:t>" (</w:t>
      </w:r>
      <w:r w:rsidRPr="00A1611E">
        <w:rPr>
          <w:rFonts w:ascii="Century" w:hAnsi="Century" w:cs="Miriam" w:hint="cs"/>
          <w:b/>
          <w:spacing w:val="0"/>
          <w:szCs w:val="24"/>
          <w:rtl/>
        </w:rPr>
        <w:t>שם</w:t>
      </w:r>
      <w:r>
        <w:rPr>
          <w:rFonts w:hint="cs"/>
          <w:color w:val="000000"/>
          <w:rtl/>
          <w14:textFill>
            <w14:solidFill>
              <w14:srgbClr w14:val="000000">
                <w14:lumMod w14:val="75000"/>
              </w14:srgbClr>
            </w14:solidFill>
          </w14:textFill>
        </w:rPr>
        <w:t xml:space="preserve">, בפסקה 9; ההדגשות הוספו; וכן ראו: עניין </w:t>
      </w:r>
      <w:r w:rsidRPr="00BD65A4">
        <w:rPr>
          <w:rFonts w:ascii="Century" w:hAnsi="Century" w:cs="Miriam" w:hint="cs"/>
          <w:b/>
          <w:spacing w:val="0"/>
          <w:szCs w:val="24"/>
          <w:rtl/>
        </w:rPr>
        <w:t>אדלשטיין</w:t>
      </w:r>
      <w:r>
        <w:rPr>
          <w:rFonts w:hint="cs"/>
          <w:color w:val="000000"/>
          <w:rtl/>
          <w14:textFill>
            <w14:solidFill>
              <w14:srgbClr w14:val="000000">
                <w14:lumMod w14:val="75000"/>
              </w14:srgbClr>
            </w14:solidFill>
          </w14:textFill>
        </w:rPr>
        <w:t>, בפסקה 12 לחוות דעתי).</w:t>
      </w:r>
    </w:p>
    <w:p w:rsidR="00C044AE" w:rsidRDefault="00C044AE" w:rsidP="00C044AE">
      <w:pPr>
        <w:pStyle w:val="Ruller4"/>
        <w:numPr>
          <w:ilvl w:val="0"/>
          <w:numId w:val="0"/>
        </w:numPr>
      </w:pPr>
    </w:p>
    <w:p w:rsidR="00C044AE" w:rsidRDefault="00C044AE" w:rsidP="00C044AE">
      <w:pPr>
        <w:pStyle w:val="Ruller4"/>
        <w:rPr>
          <w:color w:val="000000" w:themeColor="text1"/>
          <w:rtl/>
        </w:rPr>
      </w:pPr>
      <w:r>
        <w:rPr>
          <w:rFonts w:hint="cs"/>
          <w:rtl/>
        </w:rPr>
        <w:t xml:space="preserve">החשיבות בהבטחת הליך חקיקה תקין מקבלת משנה תוקף כאשר עניין לנו בחקיקת חוקי יסוד. כפי שציינתי לעיל, בולט במפעל החוקתי שלנו היעדרו של מנגנון נוקשה </w:t>
      </w:r>
      <w:r w:rsidRPr="00DD12A0">
        <w:rPr>
          <w:rFonts w:hint="cs"/>
          <w:rtl/>
        </w:rPr>
        <w:t xml:space="preserve">לכינון ולתיקון חוקי יסוד, וכיום אין למעשה הבדל של ממש בין הליך החקיקה של חוקי היסוד ובין הליך חקיקתם של חוקים "רגילים", המוסדרים בתקנון הכנסת (ראו </w:t>
      </w:r>
      <w:r w:rsidRPr="00DD12A0">
        <w:rPr>
          <w:rFonts w:hint="cs"/>
          <w:rtl/>
        </w:rPr>
        <w:lastRenderedPageBreak/>
        <w:t>פסקה 75 לעיל;</w:t>
      </w:r>
      <w:r>
        <w:rPr>
          <w:rFonts w:hint="cs"/>
          <w:rtl/>
        </w:rPr>
        <w:t xml:space="preserve"> עניין </w:t>
      </w:r>
      <w:r w:rsidRPr="00A04FBD">
        <w:rPr>
          <w:rFonts w:ascii="Century" w:hAnsi="Century" w:cs="Miriam" w:hint="cs"/>
          <w:b/>
          <w:spacing w:val="0"/>
          <w:sz w:val="22"/>
          <w:szCs w:val="24"/>
          <w:rtl/>
        </w:rPr>
        <w:t>בר</w:t>
      </w:r>
      <w:r>
        <w:rPr>
          <w:rFonts w:ascii="Century" w:hAnsi="Century" w:cs="Miriam" w:hint="cs"/>
          <w:b/>
          <w:spacing w:val="0"/>
          <w:sz w:val="22"/>
          <w:szCs w:val="24"/>
          <w:rtl/>
        </w:rPr>
        <w:t>-</w:t>
      </w:r>
      <w:r w:rsidRPr="00A04FBD">
        <w:rPr>
          <w:rFonts w:ascii="Century" w:hAnsi="Century" w:cs="Miriam" w:hint="cs"/>
          <w:b/>
          <w:spacing w:val="0"/>
          <w:sz w:val="22"/>
          <w:szCs w:val="24"/>
          <w:rtl/>
        </w:rPr>
        <w:t>און</w:t>
      </w:r>
      <w:r w:rsidRPr="00254115">
        <w:rPr>
          <w:rFonts w:hint="cs"/>
          <w:rtl/>
        </w:rPr>
        <w:t xml:space="preserve">, בפסקה 20 לחוות דעתה של הנשיאה </w:t>
      </w:r>
      <w:r w:rsidRPr="00A04FBD">
        <w:rPr>
          <w:rFonts w:ascii="Century" w:hAnsi="Century" w:cs="Miriam" w:hint="cs"/>
          <w:b/>
          <w:spacing w:val="0"/>
          <w:sz w:val="22"/>
          <w:szCs w:val="24"/>
          <w:rtl/>
        </w:rPr>
        <w:t>ביניש</w:t>
      </w:r>
      <w:r w:rsidRPr="000E323E">
        <w:rPr>
          <w:rFonts w:hint="cs"/>
          <w:rtl/>
        </w:rPr>
        <w:t xml:space="preserve">; </w:t>
      </w:r>
      <w:r>
        <w:rPr>
          <w:rFonts w:hint="cs"/>
          <w:rtl/>
        </w:rPr>
        <w:t xml:space="preserve">עניין </w:t>
      </w:r>
      <w:r w:rsidRPr="00A04FBD">
        <w:rPr>
          <w:rFonts w:ascii="Century" w:hAnsi="Century" w:cs="Miriam" w:hint="cs"/>
          <w:b/>
          <w:spacing w:val="0"/>
          <w:sz w:val="22"/>
          <w:szCs w:val="24"/>
          <w:rtl/>
        </w:rPr>
        <w:t>המרכז האקדמי</w:t>
      </w:r>
      <w:r>
        <w:rPr>
          <w:rFonts w:hint="cs"/>
          <w:rtl/>
        </w:rPr>
        <w:t xml:space="preserve">, פסקה ל"ו לחוות דעתו של המשנה לנשיאה </w:t>
      </w:r>
      <w:r w:rsidRPr="00A04FBD">
        <w:rPr>
          <w:rFonts w:ascii="Century" w:hAnsi="Century" w:cs="Miriam" w:hint="eastAsia"/>
          <w:b/>
          <w:spacing w:val="0"/>
          <w:sz w:val="22"/>
          <w:szCs w:val="24"/>
          <w:rtl/>
        </w:rPr>
        <w:t>רובינשטיי</w:t>
      </w:r>
      <w:r w:rsidRPr="00A04FBD">
        <w:rPr>
          <w:rFonts w:ascii="Century" w:hAnsi="Century" w:cs="Miriam" w:hint="cs"/>
          <w:b/>
          <w:spacing w:val="0"/>
          <w:sz w:val="22"/>
          <w:szCs w:val="24"/>
          <w:rtl/>
        </w:rPr>
        <w:t>ן</w:t>
      </w:r>
      <w:r>
        <w:rPr>
          <w:rFonts w:hint="cs"/>
          <w:rtl/>
        </w:rPr>
        <w:t xml:space="preserve">). על כן, ונוכח היעדר </w:t>
      </w:r>
      <w:r w:rsidRPr="00405181">
        <w:rPr>
          <w:rFonts w:hint="eastAsia"/>
          <w:rtl/>
        </w:rPr>
        <w:t>חוק</w:t>
      </w:r>
      <w:r w:rsidRPr="00405181">
        <w:rPr>
          <w:rtl/>
        </w:rPr>
        <w:t>-</w:t>
      </w:r>
      <w:r w:rsidRPr="00405181">
        <w:rPr>
          <w:rFonts w:hint="eastAsia"/>
          <w:rtl/>
        </w:rPr>
        <w:t>יסוד</w:t>
      </w:r>
      <w:r w:rsidRPr="00405181">
        <w:rPr>
          <w:rtl/>
        </w:rPr>
        <w:t xml:space="preserve">: </w:t>
      </w:r>
      <w:r w:rsidRPr="00405181">
        <w:rPr>
          <w:rFonts w:hint="eastAsia"/>
          <w:rtl/>
        </w:rPr>
        <w:t>החקיקה</w:t>
      </w:r>
      <w:r>
        <w:rPr>
          <w:rFonts w:hint="cs"/>
          <w:rtl/>
        </w:rPr>
        <w:t xml:space="preserve">, אני סבורה כי יש להקפיד הקפדה יתרה בקיום הוראות תקנון הכנסת בהליך חקיקת חוקי היסוד, המהווה כיום מנגנון מרכזי, ולמעשה בלעדי, המסדיר את הליך כינונן ותיקונן של הנורמות המצויות בפסגת הפירמידה הנורמטיבית בשיטתנו. יש לעמוד, אפוא, באופן דווקני על כך שהפנייה למסלול הצעת חוק מטעם ועדה, המעוגן בסעיף 80 לתקנון הכנסת, תיעשה אך במקרים שיועדו לכך בהתאם למסורת העבודה שהשתרשה בכנסת בעניין זה. זאת, בייחוד בהינתן טיבו של ההסדר, הקובע מסלול "מקוצר" לקידום הצעת חוק בהשוואה להצעות חוק פרטיות או ממשלתיות ועל כן, הוא מעורר חשש אינהרנטי מפני ניצולו לרעה לצורך עקיפת הדרישות הפרוצדוראליות הקיימות במסלולים האחרים. </w:t>
      </w:r>
    </w:p>
    <w:p w:rsidR="00C044AE" w:rsidRDefault="00C044AE" w:rsidP="00C044AE">
      <w:pPr>
        <w:pStyle w:val="Ruller41"/>
        <w:rPr>
          <w:rtl/>
        </w:rPr>
      </w:pPr>
    </w:p>
    <w:p w:rsidR="00C044AE" w:rsidRPr="008B1175" w:rsidRDefault="00C044AE" w:rsidP="00C044AE">
      <w:pPr>
        <w:pStyle w:val="Ruller41"/>
        <w:outlineLvl w:val="0"/>
        <w:rPr>
          <w:rFonts w:ascii="Garamond" w:hAnsi="Garamond" w:cs="Miriam"/>
          <w:b/>
          <w:spacing w:val="0"/>
          <w:szCs w:val="24"/>
          <w:rtl/>
        </w:rPr>
      </w:pPr>
      <w:r w:rsidRPr="008B1175">
        <w:rPr>
          <w:rFonts w:ascii="Garamond" w:hAnsi="Garamond" w:cs="Miriam" w:hint="eastAsia"/>
          <w:b/>
          <w:spacing w:val="0"/>
          <w:szCs w:val="24"/>
          <w:rtl/>
        </w:rPr>
        <w:t>אחר</w:t>
      </w:r>
      <w:r w:rsidRPr="008B1175">
        <w:rPr>
          <w:rFonts w:ascii="Garamond" w:hAnsi="Garamond" w:cs="Miriam"/>
          <w:b/>
          <w:spacing w:val="0"/>
          <w:szCs w:val="24"/>
          <w:rtl/>
        </w:rPr>
        <w:t xml:space="preserve"> </w:t>
      </w:r>
      <w:r w:rsidRPr="008B1175">
        <w:rPr>
          <w:rFonts w:ascii="Garamond" w:hAnsi="Garamond" w:cs="Miriam" w:hint="cs"/>
          <w:b/>
          <w:spacing w:val="0"/>
          <w:szCs w:val="24"/>
          <w:rtl/>
        </w:rPr>
        <w:t>ה</w:t>
      </w:r>
      <w:r w:rsidRPr="008B1175">
        <w:rPr>
          <w:rFonts w:ascii="Garamond" w:hAnsi="Garamond" w:cs="Miriam" w:hint="eastAsia"/>
          <w:b/>
          <w:spacing w:val="0"/>
          <w:szCs w:val="24"/>
          <w:rtl/>
        </w:rPr>
        <w:t>דברים</w:t>
      </w:r>
      <w:r w:rsidRPr="008B1175">
        <w:rPr>
          <w:rFonts w:ascii="Garamond" w:hAnsi="Garamond" w:cs="Miriam"/>
          <w:b/>
          <w:spacing w:val="0"/>
          <w:szCs w:val="24"/>
          <w:rtl/>
        </w:rPr>
        <w:t xml:space="preserve"> </w:t>
      </w:r>
      <w:r w:rsidRPr="008B1175">
        <w:rPr>
          <w:rFonts w:ascii="Garamond" w:hAnsi="Garamond" w:cs="Miriam" w:hint="cs"/>
          <w:b/>
          <w:spacing w:val="0"/>
          <w:szCs w:val="24"/>
          <w:rtl/>
        </w:rPr>
        <w:t>ה</w:t>
      </w:r>
      <w:r w:rsidRPr="008B1175">
        <w:rPr>
          <w:rFonts w:ascii="Garamond" w:hAnsi="Garamond" w:cs="Miriam" w:hint="eastAsia"/>
          <w:b/>
          <w:spacing w:val="0"/>
          <w:szCs w:val="24"/>
          <w:rtl/>
        </w:rPr>
        <w:t>אלה</w:t>
      </w:r>
    </w:p>
    <w:p w:rsidR="00C044AE" w:rsidRPr="008B1175" w:rsidRDefault="00C044AE" w:rsidP="00BC480B">
      <w:pPr>
        <w:pStyle w:val="Ruller41"/>
        <w:spacing w:line="276" w:lineRule="auto"/>
        <w:rPr>
          <w:rtl/>
        </w:rPr>
      </w:pPr>
    </w:p>
    <w:p w:rsidR="00C044AE" w:rsidRPr="008B1175" w:rsidRDefault="00C044AE" w:rsidP="00C044AE">
      <w:pPr>
        <w:pStyle w:val="Ruller4"/>
        <w:rPr>
          <w:rtl/>
        </w:rPr>
      </w:pPr>
      <w:r w:rsidRPr="008B1175">
        <w:rPr>
          <w:rFonts w:hint="eastAsia"/>
          <w:rtl/>
        </w:rPr>
        <w:t>לאחר</w:t>
      </w:r>
      <w:r w:rsidRPr="008B1175">
        <w:rPr>
          <w:rtl/>
        </w:rPr>
        <w:t xml:space="preserve"> </w:t>
      </w:r>
      <w:r w:rsidRPr="008B1175">
        <w:rPr>
          <w:rFonts w:hint="eastAsia"/>
          <w:rtl/>
        </w:rPr>
        <w:t>כתיבת</w:t>
      </w:r>
      <w:r w:rsidRPr="008B1175">
        <w:rPr>
          <w:rtl/>
        </w:rPr>
        <w:t xml:space="preserve"> </w:t>
      </w:r>
      <w:r w:rsidRPr="008B1175">
        <w:rPr>
          <w:rFonts w:hint="eastAsia"/>
          <w:rtl/>
        </w:rPr>
        <w:t>חוות</w:t>
      </w:r>
      <w:r w:rsidRPr="008B1175">
        <w:rPr>
          <w:rtl/>
        </w:rPr>
        <w:t xml:space="preserve"> </w:t>
      </w:r>
      <w:r w:rsidRPr="008B1175">
        <w:rPr>
          <w:rFonts w:hint="eastAsia"/>
          <w:rtl/>
        </w:rPr>
        <w:t>דעתי</w:t>
      </w:r>
      <w:r w:rsidRPr="008B1175">
        <w:rPr>
          <w:rFonts w:hint="cs"/>
          <w:rtl/>
        </w:rPr>
        <w:t>,</w:t>
      </w:r>
      <w:r w:rsidRPr="008B1175">
        <w:rPr>
          <w:rtl/>
        </w:rPr>
        <w:t xml:space="preserve"> </w:t>
      </w:r>
      <w:r w:rsidRPr="008B1175">
        <w:rPr>
          <w:rFonts w:hint="eastAsia"/>
          <w:rtl/>
        </w:rPr>
        <w:t>עיינתי</w:t>
      </w:r>
      <w:r w:rsidRPr="008B1175">
        <w:rPr>
          <w:rtl/>
        </w:rPr>
        <w:t xml:space="preserve"> </w:t>
      </w:r>
      <w:r w:rsidRPr="008B1175">
        <w:rPr>
          <w:rFonts w:hint="eastAsia"/>
          <w:rtl/>
        </w:rPr>
        <w:t>בחוות</w:t>
      </w:r>
      <w:r w:rsidRPr="008B1175">
        <w:rPr>
          <w:rtl/>
        </w:rPr>
        <w:t xml:space="preserve"> </w:t>
      </w:r>
      <w:r w:rsidRPr="008B1175">
        <w:rPr>
          <w:rFonts w:hint="eastAsia"/>
          <w:rtl/>
        </w:rPr>
        <w:t>הדעת</w:t>
      </w:r>
      <w:r w:rsidRPr="008B1175">
        <w:rPr>
          <w:rtl/>
        </w:rPr>
        <w:t xml:space="preserve"> </w:t>
      </w:r>
      <w:r w:rsidRPr="008B1175">
        <w:rPr>
          <w:rFonts w:hint="eastAsia"/>
          <w:rtl/>
        </w:rPr>
        <w:t>המקיפות</w:t>
      </w:r>
      <w:r w:rsidRPr="008B1175">
        <w:rPr>
          <w:rtl/>
        </w:rPr>
        <w:t xml:space="preserve"> </w:t>
      </w:r>
      <w:r w:rsidRPr="008B1175">
        <w:rPr>
          <w:rFonts w:hint="eastAsia"/>
          <w:rtl/>
        </w:rPr>
        <w:t>של</w:t>
      </w:r>
      <w:r w:rsidRPr="008B1175">
        <w:rPr>
          <w:rtl/>
        </w:rPr>
        <w:t xml:space="preserve"> </w:t>
      </w:r>
      <w:r w:rsidRPr="008B1175">
        <w:rPr>
          <w:rFonts w:hint="eastAsia"/>
          <w:rtl/>
        </w:rPr>
        <w:t>יתר</w:t>
      </w:r>
      <w:r w:rsidRPr="008B1175">
        <w:rPr>
          <w:rtl/>
        </w:rPr>
        <w:t xml:space="preserve"> </w:t>
      </w:r>
      <w:r w:rsidRPr="008B1175">
        <w:rPr>
          <w:rFonts w:hint="eastAsia"/>
          <w:rtl/>
        </w:rPr>
        <w:t>חבריי</w:t>
      </w:r>
      <w:r w:rsidRPr="008B1175">
        <w:rPr>
          <w:rtl/>
        </w:rPr>
        <w:t xml:space="preserve"> </w:t>
      </w:r>
      <w:r w:rsidRPr="008B1175">
        <w:rPr>
          <w:rFonts w:hint="eastAsia"/>
          <w:rtl/>
        </w:rPr>
        <w:t>להרכב</w:t>
      </w:r>
      <w:r w:rsidRPr="008B1175">
        <w:rPr>
          <w:rtl/>
        </w:rPr>
        <w:t xml:space="preserve"> </w:t>
      </w:r>
      <w:r w:rsidRPr="008B1175">
        <w:rPr>
          <w:rFonts w:hint="eastAsia"/>
          <w:rtl/>
        </w:rPr>
        <w:t>וראיתי</w:t>
      </w:r>
      <w:r w:rsidRPr="008B1175">
        <w:rPr>
          <w:rtl/>
        </w:rPr>
        <w:t xml:space="preserve"> </w:t>
      </w:r>
      <w:r w:rsidRPr="008B1175">
        <w:rPr>
          <w:rFonts w:hint="eastAsia"/>
          <w:rtl/>
        </w:rPr>
        <w:t>להוסיף</w:t>
      </w:r>
      <w:r w:rsidRPr="008B1175">
        <w:rPr>
          <w:rtl/>
        </w:rPr>
        <w:t xml:space="preserve"> </w:t>
      </w:r>
      <w:r w:rsidRPr="008B1175">
        <w:rPr>
          <w:rFonts w:hint="eastAsia"/>
          <w:rtl/>
        </w:rPr>
        <w:t>אך</w:t>
      </w:r>
      <w:r w:rsidRPr="008B1175">
        <w:rPr>
          <w:rtl/>
        </w:rPr>
        <w:t xml:space="preserve"> </w:t>
      </w:r>
      <w:r w:rsidRPr="008B1175">
        <w:rPr>
          <w:rFonts w:hint="eastAsia"/>
          <w:rtl/>
        </w:rPr>
        <w:t>הערות</w:t>
      </w:r>
      <w:r w:rsidRPr="008B1175">
        <w:rPr>
          <w:rtl/>
        </w:rPr>
        <w:t xml:space="preserve"> </w:t>
      </w:r>
      <w:r w:rsidRPr="008B1175">
        <w:rPr>
          <w:rFonts w:hint="eastAsia"/>
          <w:rtl/>
        </w:rPr>
        <w:t>תמציתיות</w:t>
      </w:r>
      <w:r w:rsidRPr="008B1175">
        <w:rPr>
          <w:rtl/>
        </w:rPr>
        <w:t xml:space="preserve"> </w:t>
      </w:r>
      <w:r w:rsidRPr="008B1175">
        <w:rPr>
          <w:rFonts w:hint="eastAsia"/>
          <w:rtl/>
        </w:rPr>
        <w:t>אחדות</w:t>
      </w:r>
      <w:r w:rsidRPr="008B1175">
        <w:rPr>
          <w:rtl/>
        </w:rPr>
        <w:t xml:space="preserve"> </w:t>
      </w:r>
      <w:r w:rsidRPr="008B1175">
        <w:rPr>
          <w:rFonts w:hint="eastAsia"/>
          <w:rtl/>
        </w:rPr>
        <w:t>ביחס</w:t>
      </w:r>
      <w:r w:rsidRPr="008B1175">
        <w:rPr>
          <w:rtl/>
        </w:rPr>
        <w:t xml:space="preserve"> </w:t>
      </w:r>
      <w:r w:rsidRPr="008B1175">
        <w:rPr>
          <w:rFonts w:hint="eastAsia"/>
          <w:rtl/>
        </w:rPr>
        <w:t>לחוות</w:t>
      </w:r>
      <w:r w:rsidRPr="008B1175">
        <w:rPr>
          <w:rtl/>
        </w:rPr>
        <w:t xml:space="preserve"> </w:t>
      </w:r>
      <w:r w:rsidRPr="008B1175">
        <w:rPr>
          <w:rFonts w:hint="eastAsia"/>
          <w:rtl/>
        </w:rPr>
        <w:t>הדעת</w:t>
      </w:r>
      <w:r w:rsidRPr="008B1175">
        <w:rPr>
          <w:rtl/>
        </w:rPr>
        <w:t xml:space="preserve"> </w:t>
      </w:r>
      <w:r w:rsidRPr="008B1175">
        <w:rPr>
          <w:rFonts w:hint="eastAsia"/>
          <w:rtl/>
        </w:rPr>
        <w:t>של</w:t>
      </w:r>
      <w:r w:rsidRPr="008B1175">
        <w:rPr>
          <w:rtl/>
        </w:rPr>
        <w:t xml:space="preserve"> </w:t>
      </w:r>
      <w:r w:rsidRPr="008B1175">
        <w:rPr>
          <w:rFonts w:hint="eastAsia"/>
          <w:rtl/>
        </w:rPr>
        <w:t>חבריי</w:t>
      </w:r>
      <w:r w:rsidRPr="008B1175">
        <w:rPr>
          <w:rtl/>
        </w:rPr>
        <w:t xml:space="preserve"> </w:t>
      </w:r>
      <w:r w:rsidRPr="008B1175">
        <w:rPr>
          <w:rFonts w:hint="eastAsia"/>
          <w:rtl/>
        </w:rPr>
        <w:t>השופטים</w:t>
      </w:r>
      <w:r w:rsidRPr="008B1175">
        <w:rPr>
          <w:rtl/>
        </w:rPr>
        <w:t xml:space="preserve"> </w:t>
      </w:r>
      <w:r w:rsidRPr="008B1175">
        <w:rPr>
          <w:rFonts w:ascii="Century" w:hAnsi="Century" w:cs="Miriam" w:hint="eastAsia"/>
          <w:b/>
          <w:spacing w:val="0"/>
          <w:sz w:val="22"/>
          <w:szCs w:val="24"/>
          <w:rtl/>
        </w:rPr>
        <w:t>סולברג</w:t>
      </w:r>
      <w:r w:rsidRPr="008B1175">
        <w:rPr>
          <w:rtl/>
        </w:rPr>
        <w:t xml:space="preserve"> </w:t>
      </w:r>
      <w:r w:rsidRPr="008B1175">
        <w:rPr>
          <w:rFonts w:hint="eastAsia"/>
          <w:rtl/>
        </w:rPr>
        <w:t>ו</w:t>
      </w:r>
      <w:r w:rsidRPr="008B1175">
        <w:rPr>
          <w:rFonts w:ascii="Century" w:hAnsi="Century" w:cs="Miriam" w:hint="eastAsia"/>
          <w:b/>
          <w:spacing w:val="0"/>
          <w:sz w:val="22"/>
          <w:szCs w:val="24"/>
          <w:rtl/>
        </w:rPr>
        <w:t>מינץ</w:t>
      </w:r>
      <w:r w:rsidRPr="008B1175">
        <w:rPr>
          <w:rtl/>
        </w:rPr>
        <w:t xml:space="preserve">, </w:t>
      </w:r>
      <w:r w:rsidRPr="008B1175">
        <w:rPr>
          <w:rFonts w:hint="eastAsia"/>
          <w:rtl/>
        </w:rPr>
        <w:t>הסבורים</w:t>
      </w:r>
      <w:r w:rsidRPr="008B1175">
        <w:rPr>
          <w:rtl/>
        </w:rPr>
        <w:t xml:space="preserve"> </w:t>
      </w:r>
      <w:r w:rsidRPr="008B1175">
        <w:rPr>
          <w:rFonts w:hint="eastAsia"/>
          <w:rtl/>
        </w:rPr>
        <w:t>כי</w:t>
      </w:r>
      <w:r w:rsidRPr="008B1175">
        <w:rPr>
          <w:rtl/>
        </w:rPr>
        <w:t xml:space="preserve"> </w:t>
      </w:r>
      <w:r w:rsidRPr="008B1175">
        <w:rPr>
          <w:rFonts w:hint="eastAsia"/>
          <w:rtl/>
        </w:rPr>
        <w:t>אין</w:t>
      </w:r>
      <w:r w:rsidRPr="008B1175">
        <w:rPr>
          <w:rtl/>
        </w:rPr>
        <w:t xml:space="preserve"> </w:t>
      </w:r>
      <w:r w:rsidRPr="008B1175">
        <w:rPr>
          <w:rFonts w:hint="eastAsia"/>
          <w:rtl/>
        </w:rPr>
        <w:t>כל</w:t>
      </w:r>
      <w:r w:rsidRPr="008B1175">
        <w:rPr>
          <w:rtl/>
        </w:rPr>
        <w:t xml:space="preserve"> </w:t>
      </w:r>
      <w:r w:rsidRPr="008B1175">
        <w:rPr>
          <w:rFonts w:hint="eastAsia"/>
          <w:rtl/>
        </w:rPr>
        <w:t>מגבלה</w:t>
      </w:r>
      <w:r w:rsidRPr="008B1175">
        <w:rPr>
          <w:rtl/>
        </w:rPr>
        <w:t xml:space="preserve"> </w:t>
      </w:r>
      <w:r w:rsidRPr="008B1175">
        <w:rPr>
          <w:rFonts w:hint="eastAsia"/>
          <w:rtl/>
        </w:rPr>
        <w:t>על</w:t>
      </w:r>
      <w:r w:rsidRPr="008B1175">
        <w:rPr>
          <w:rtl/>
        </w:rPr>
        <w:t xml:space="preserve"> </w:t>
      </w:r>
      <w:r w:rsidRPr="008B1175">
        <w:rPr>
          <w:rFonts w:hint="eastAsia"/>
          <w:rtl/>
        </w:rPr>
        <w:t>סמכותה</w:t>
      </w:r>
      <w:r w:rsidRPr="008B1175">
        <w:rPr>
          <w:rtl/>
        </w:rPr>
        <w:t xml:space="preserve"> </w:t>
      </w:r>
      <w:r w:rsidRPr="008B1175">
        <w:rPr>
          <w:rFonts w:hint="eastAsia"/>
          <w:rtl/>
        </w:rPr>
        <w:t>המכוננת</w:t>
      </w:r>
      <w:r w:rsidRPr="008B1175">
        <w:rPr>
          <w:rtl/>
        </w:rPr>
        <w:t xml:space="preserve"> </w:t>
      </w:r>
      <w:r w:rsidRPr="008B1175">
        <w:rPr>
          <w:rFonts w:hint="eastAsia"/>
          <w:rtl/>
        </w:rPr>
        <w:t>של</w:t>
      </w:r>
      <w:r w:rsidRPr="008B1175">
        <w:rPr>
          <w:rtl/>
        </w:rPr>
        <w:t xml:space="preserve"> </w:t>
      </w:r>
      <w:r w:rsidRPr="008B1175">
        <w:rPr>
          <w:rFonts w:hint="eastAsia"/>
          <w:rtl/>
        </w:rPr>
        <w:t>הכנסת</w:t>
      </w:r>
      <w:r w:rsidRPr="008B1175">
        <w:rPr>
          <w:rtl/>
        </w:rPr>
        <w:t xml:space="preserve">, </w:t>
      </w:r>
      <w:r w:rsidRPr="008B1175">
        <w:rPr>
          <w:rFonts w:hint="eastAsia"/>
          <w:rtl/>
        </w:rPr>
        <w:t>וכי</w:t>
      </w:r>
      <w:r w:rsidRPr="008B1175">
        <w:rPr>
          <w:rtl/>
        </w:rPr>
        <w:t xml:space="preserve"> </w:t>
      </w:r>
      <w:r w:rsidRPr="008B1175">
        <w:rPr>
          <w:rFonts w:hint="eastAsia"/>
          <w:rtl/>
        </w:rPr>
        <w:t>לבית</w:t>
      </w:r>
      <w:r w:rsidRPr="008B1175">
        <w:rPr>
          <w:rtl/>
        </w:rPr>
        <w:t xml:space="preserve"> </w:t>
      </w:r>
      <w:r w:rsidRPr="008B1175">
        <w:rPr>
          <w:rFonts w:hint="eastAsia"/>
          <w:rtl/>
        </w:rPr>
        <w:t>משפט</w:t>
      </w:r>
      <w:r w:rsidRPr="008B1175">
        <w:rPr>
          <w:rtl/>
        </w:rPr>
        <w:t xml:space="preserve"> </w:t>
      </w:r>
      <w:r w:rsidRPr="008B1175">
        <w:rPr>
          <w:rFonts w:hint="eastAsia"/>
          <w:rtl/>
        </w:rPr>
        <w:t>זה</w:t>
      </w:r>
      <w:r w:rsidRPr="008B1175">
        <w:rPr>
          <w:rtl/>
        </w:rPr>
        <w:t xml:space="preserve"> </w:t>
      </w:r>
      <w:r w:rsidRPr="008B1175">
        <w:rPr>
          <w:rFonts w:hint="eastAsia"/>
          <w:rtl/>
        </w:rPr>
        <w:t>אין</w:t>
      </w:r>
      <w:r w:rsidRPr="008B1175">
        <w:rPr>
          <w:rtl/>
        </w:rPr>
        <w:t xml:space="preserve"> </w:t>
      </w:r>
      <w:r w:rsidRPr="008B1175">
        <w:rPr>
          <w:rFonts w:hint="eastAsia"/>
          <w:rtl/>
        </w:rPr>
        <w:t>סמכות</w:t>
      </w:r>
      <w:r w:rsidRPr="008B1175">
        <w:rPr>
          <w:rtl/>
        </w:rPr>
        <w:t xml:space="preserve"> </w:t>
      </w:r>
      <w:r w:rsidRPr="008B1175">
        <w:rPr>
          <w:rFonts w:hint="eastAsia"/>
          <w:rtl/>
        </w:rPr>
        <w:t>לקיים</w:t>
      </w:r>
      <w:r w:rsidRPr="008B1175">
        <w:rPr>
          <w:rtl/>
        </w:rPr>
        <w:t xml:space="preserve"> </w:t>
      </w:r>
      <w:r w:rsidRPr="008B1175">
        <w:rPr>
          <w:rFonts w:hint="eastAsia"/>
          <w:rtl/>
        </w:rPr>
        <w:t>ביקורת</w:t>
      </w:r>
      <w:r w:rsidRPr="008B1175">
        <w:rPr>
          <w:rtl/>
        </w:rPr>
        <w:t xml:space="preserve"> </w:t>
      </w:r>
      <w:r w:rsidRPr="008B1175">
        <w:rPr>
          <w:rFonts w:hint="eastAsia"/>
          <w:rtl/>
        </w:rPr>
        <w:t>שיפוטית</w:t>
      </w:r>
      <w:r w:rsidRPr="008B1175">
        <w:rPr>
          <w:rtl/>
        </w:rPr>
        <w:t xml:space="preserve"> </w:t>
      </w:r>
      <w:r w:rsidRPr="008B1175">
        <w:rPr>
          <w:rFonts w:hint="eastAsia"/>
          <w:rtl/>
        </w:rPr>
        <w:t>על</w:t>
      </w:r>
      <w:r w:rsidRPr="008B1175">
        <w:rPr>
          <w:rtl/>
        </w:rPr>
        <w:t xml:space="preserve"> </w:t>
      </w:r>
      <w:r w:rsidRPr="008B1175">
        <w:rPr>
          <w:rFonts w:hint="eastAsia"/>
          <w:rtl/>
        </w:rPr>
        <w:t>חוקי</w:t>
      </w:r>
      <w:r w:rsidRPr="008B1175">
        <w:rPr>
          <w:rtl/>
        </w:rPr>
        <w:t xml:space="preserve"> </w:t>
      </w:r>
      <w:r w:rsidRPr="008B1175">
        <w:rPr>
          <w:rFonts w:hint="eastAsia"/>
          <w:rtl/>
        </w:rPr>
        <w:t>היסוד</w:t>
      </w:r>
      <w:r w:rsidRPr="008B1175">
        <w:rPr>
          <w:rtl/>
        </w:rPr>
        <w:t>.</w:t>
      </w:r>
    </w:p>
    <w:p w:rsidR="00C044AE" w:rsidRPr="008B1175" w:rsidRDefault="00C044AE" w:rsidP="00C044AE">
      <w:pPr>
        <w:pStyle w:val="Ruller41"/>
        <w:rPr>
          <w:rtl/>
        </w:rPr>
      </w:pPr>
    </w:p>
    <w:p w:rsidR="00C044AE" w:rsidRPr="008B1175" w:rsidRDefault="00C044AE" w:rsidP="00C044AE">
      <w:pPr>
        <w:pStyle w:val="Ruller4"/>
      </w:pPr>
      <w:r w:rsidRPr="008B1175">
        <w:rPr>
          <w:rFonts w:hint="eastAsia"/>
          <w:rtl/>
        </w:rPr>
        <w:t>חברי</w:t>
      </w:r>
      <w:r w:rsidRPr="008B1175">
        <w:rPr>
          <w:rtl/>
        </w:rPr>
        <w:t xml:space="preserve"> </w:t>
      </w:r>
      <w:r w:rsidRPr="008B1175">
        <w:rPr>
          <w:rFonts w:hint="eastAsia"/>
          <w:rtl/>
        </w:rPr>
        <w:t>השופט</w:t>
      </w:r>
      <w:r w:rsidRPr="008B1175">
        <w:rPr>
          <w:rtl/>
        </w:rPr>
        <w:t xml:space="preserve"> </w:t>
      </w:r>
      <w:r w:rsidRPr="008B1175">
        <w:rPr>
          <w:rFonts w:ascii="Century" w:hAnsi="Century" w:cs="Miriam" w:hint="eastAsia"/>
          <w:b/>
          <w:spacing w:val="0"/>
          <w:sz w:val="22"/>
          <w:szCs w:val="24"/>
          <w:rtl/>
        </w:rPr>
        <w:t>סולברג</w:t>
      </w:r>
      <w:r w:rsidRPr="008B1175">
        <w:rPr>
          <w:rtl/>
        </w:rPr>
        <w:t xml:space="preserve"> </w:t>
      </w:r>
      <w:r w:rsidRPr="008B1175">
        <w:rPr>
          <w:rFonts w:hint="eastAsia"/>
          <w:rtl/>
        </w:rPr>
        <w:t>מקדיש</w:t>
      </w:r>
      <w:r w:rsidRPr="008B1175">
        <w:rPr>
          <w:rtl/>
        </w:rPr>
        <w:t xml:space="preserve"> </w:t>
      </w:r>
      <w:r w:rsidRPr="008B1175">
        <w:rPr>
          <w:rFonts w:hint="eastAsia"/>
          <w:rtl/>
        </w:rPr>
        <w:t>חלק</w:t>
      </w:r>
      <w:r w:rsidRPr="008B1175">
        <w:rPr>
          <w:rtl/>
        </w:rPr>
        <w:t xml:space="preserve"> </w:t>
      </w:r>
      <w:r w:rsidRPr="008B1175">
        <w:rPr>
          <w:rFonts w:hint="eastAsia"/>
          <w:rtl/>
        </w:rPr>
        <w:t>ניכר</w:t>
      </w:r>
      <w:r w:rsidRPr="008B1175">
        <w:rPr>
          <w:rtl/>
        </w:rPr>
        <w:t xml:space="preserve"> </w:t>
      </w:r>
      <w:r w:rsidRPr="008B1175">
        <w:rPr>
          <w:rFonts w:hint="eastAsia"/>
          <w:rtl/>
        </w:rPr>
        <w:t>מחוות</w:t>
      </w:r>
      <w:r w:rsidRPr="008B1175">
        <w:rPr>
          <w:rtl/>
        </w:rPr>
        <w:t xml:space="preserve"> </w:t>
      </w:r>
      <w:r w:rsidRPr="008B1175">
        <w:rPr>
          <w:rFonts w:hint="eastAsia"/>
          <w:rtl/>
        </w:rPr>
        <w:t>דעתו</w:t>
      </w:r>
      <w:r w:rsidRPr="008B1175">
        <w:rPr>
          <w:rtl/>
        </w:rPr>
        <w:t xml:space="preserve"> </w:t>
      </w:r>
      <w:r w:rsidRPr="008B1175">
        <w:rPr>
          <w:rFonts w:hint="eastAsia"/>
          <w:rtl/>
        </w:rPr>
        <w:t>לסקירה</w:t>
      </w:r>
      <w:r w:rsidRPr="008B1175">
        <w:rPr>
          <w:rtl/>
        </w:rPr>
        <w:t xml:space="preserve"> </w:t>
      </w:r>
      <w:r w:rsidRPr="008B1175">
        <w:rPr>
          <w:rFonts w:hint="eastAsia"/>
          <w:rtl/>
        </w:rPr>
        <w:t>היסטורית</w:t>
      </w:r>
      <w:r w:rsidRPr="008B1175">
        <w:rPr>
          <w:rtl/>
        </w:rPr>
        <w:t xml:space="preserve"> </w:t>
      </w:r>
      <w:r w:rsidRPr="008B1175">
        <w:rPr>
          <w:rFonts w:hint="eastAsia"/>
          <w:rtl/>
        </w:rPr>
        <w:t>של</w:t>
      </w:r>
      <w:r w:rsidRPr="008B1175">
        <w:rPr>
          <w:rtl/>
        </w:rPr>
        <w:t xml:space="preserve"> </w:t>
      </w:r>
      <w:r w:rsidRPr="008B1175">
        <w:rPr>
          <w:rFonts w:hint="eastAsia"/>
          <w:rtl/>
        </w:rPr>
        <w:t>פסיקת</w:t>
      </w:r>
      <w:r w:rsidRPr="008B1175">
        <w:rPr>
          <w:rtl/>
        </w:rPr>
        <w:t xml:space="preserve"> </w:t>
      </w:r>
      <w:r w:rsidRPr="008B1175">
        <w:rPr>
          <w:rFonts w:hint="eastAsia"/>
          <w:rtl/>
        </w:rPr>
        <w:t>נשיאי</w:t>
      </w:r>
      <w:r w:rsidRPr="008B1175">
        <w:rPr>
          <w:rtl/>
        </w:rPr>
        <w:t xml:space="preserve"> </w:t>
      </w:r>
      <w:r w:rsidRPr="008B1175">
        <w:rPr>
          <w:rFonts w:hint="eastAsia"/>
          <w:rtl/>
        </w:rPr>
        <w:t>ושופטי</w:t>
      </w:r>
      <w:r w:rsidRPr="008B1175">
        <w:rPr>
          <w:rtl/>
        </w:rPr>
        <w:t xml:space="preserve"> </w:t>
      </w:r>
      <w:r w:rsidRPr="008B1175">
        <w:rPr>
          <w:rFonts w:hint="eastAsia"/>
          <w:rtl/>
        </w:rPr>
        <w:t>בית</w:t>
      </w:r>
      <w:r w:rsidRPr="008B1175">
        <w:rPr>
          <w:rtl/>
        </w:rPr>
        <w:t xml:space="preserve"> </w:t>
      </w:r>
      <w:r w:rsidRPr="008B1175">
        <w:rPr>
          <w:rFonts w:hint="eastAsia"/>
          <w:rtl/>
        </w:rPr>
        <w:t>משפט</w:t>
      </w:r>
      <w:r w:rsidRPr="008B1175">
        <w:rPr>
          <w:rtl/>
        </w:rPr>
        <w:t xml:space="preserve"> </w:t>
      </w:r>
      <w:r w:rsidRPr="008B1175">
        <w:rPr>
          <w:rFonts w:hint="eastAsia"/>
          <w:rtl/>
        </w:rPr>
        <w:t>זה</w:t>
      </w:r>
      <w:r w:rsidRPr="008B1175">
        <w:rPr>
          <w:rtl/>
        </w:rPr>
        <w:t xml:space="preserve"> </w:t>
      </w:r>
      <w:r w:rsidRPr="008B1175">
        <w:rPr>
          <w:rFonts w:hint="eastAsia"/>
          <w:rtl/>
        </w:rPr>
        <w:t>לדורותיהם</w:t>
      </w:r>
      <w:r w:rsidRPr="008B1175">
        <w:rPr>
          <w:rtl/>
        </w:rPr>
        <w:t xml:space="preserve">, </w:t>
      </w:r>
      <w:r w:rsidRPr="008B1175">
        <w:rPr>
          <w:rFonts w:hint="eastAsia"/>
          <w:rtl/>
        </w:rPr>
        <w:t>וממנה</w:t>
      </w:r>
      <w:r w:rsidRPr="008B1175">
        <w:rPr>
          <w:rtl/>
        </w:rPr>
        <w:t xml:space="preserve"> </w:t>
      </w:r>
      <w:r w:rsidRPr="008B1175">
        <w:rPr>
          <w:rFonts w:hint="eastAsia"/>
          <w:rtl/>
        </w:rPr>
        <w:t>הוא</w:t>
      </w:r>
      <w:r w:rsidRPr="008B1175">
        <w:rPr>
          <w:rtl/>
        </w:rPr>
        <w:t xml:space="preserve"> </w:t>
      </w:r>
      <w:r w:rsidRPr="008B1175">
        <w:rPr>
          <w:rFonts w:hint="eastAsia"/>
          <w:rtl/>
        </w:rPr>
        <w:t>מבקש</w:t>
      </w:r>
      <w:r w:rsidRPr="008B1175">
        <w:rPr>
          <w:rtl/>
        </w:rPr>
        <w:t xml:space="preserve"> </w:t>
      </w:r>
      <w:r w:rsidRPr="008B1175">
        <w:rPr>
          <w:rFonts w:hint="eastAsia"/>
          <w:rtl/>
        </w:rPr>
        <w:t>להסיק</w:t>
      </w:r>
      <w:r w:rsidRPr="008B1175">
        <w:rPr>
          <w:rtl/>
        </w:rPr>
        <w:t xml:space="preserve"> </w:t>
      </w:r>
      <w:r w:rsidRPr="008B1175">
        <w:rPr>
          <w:rFonts w:hint="eastAsia"/>
          <w:rtl/>
        </w:rPr>
        <w:t>כי</w:t>
      </w:r>
      <w:r w:rsidRPr="008B1175">
        <w:rPr>
          <w:rtl/>
        </w:rPr>
        <w:t xml:space="preserve"> </w:t>
      </w:r>
      <w:r w:rsidRPr="008B1175">
        <w:rPr>
          <w:rFonts w:hint="eastAsia"/>
          <w:rtl/>
        </w:rPr>
        <w:t>עמדתה</w:t>
      </w:r>
      <w:r w:rsidRPr="008B1175">
        <w:rPr>
          <w:rtl/>
        </w:rPr>
        <w:t xml:space="preserve"> </w:t>
      </w:r>
      <w:r w:rsidRPr="008B1175">
        <w:rPr>
          <w:rFonts w:hint="eastAsia"/>
          <w:rtl/>
        </w:rPr>
        <w:t>העקבית</w:t>
      </w:r>
      <w:r w:rsidRPr="008B1175">
        <w:rPr>
          <w:rtl/>
        </w:rPr>
        <w:t xml:space="preserve"> </w:t>
      </w:r>
      <w:r w:rsidRPr="008B1175">
        <w:rPr>
          <w:rFonts w:hint="eastAsia"/>
          <w:rtl/>
        </w:rPr>
        <w:t>של</w:t>
      </w:r>
      <w:r w:rsidRPr="008B1175">
        <w:rPr>
          <w:rtl/>
        </w:rPr>
        <w:t xml:space="preserve"> </w:t>
      </w:r>
      <w:r w:rsidRPr="008B1175">
        <w:rPr>
          <w:rFonts w:hint="eastAsia"/>
          <w:rtl/>
        </w:rPr>
        <w:t>הפסיקה</w:t>
      </w:r>
      <w:r w:rsidRPr="008B1175">
        <w:rPr>
          <w:rtl/>
        </w:rPr>
        <w:t xml:space="preserve"> </w:t>
      </w:r>
      <w:r w:rsidRPr="008B1175">
        <w:rPr>
          <w:rFonts w:hint="eastAsia"/>
          <w:rtl/>
        </w:rPr>
        <w:t>מאז</w:t>
      </w:r>
      <w:r w:rsidRPr="008B1175">
        <w:rPr>
          <w:rtl/>
        </w:rPr>
        <w:t xml:space="preserve"> </w:t>
      </w:r>
      <w:r w:rsidRPr="008B1175">
        <w:rPr>
          <w:rFonts w:hint="eastAsia"/>
          <w:rtl/>
        </w:rPr>
        <w:t>קום</w:t>
      </w:r>
      <w:r w:rsidRPr="008B1175">
        <w:rPr>
          <w:rtl/>
        </w:rPr>
        <w:t xml:space="preserve"> </w:t>
      </w:r>
      <w:r w:rsidRPr="008B1175">
        <w:rPr>
          <w:rFonts w:hint="eastAsia"/>
          <w:rtl/>
        </w:rPr>
        <w:t>המדינה</w:t>
      </w:r>
      <w:r w:rsidRPr="008B1175">
        <w:rPr>
          <w:rtl/>
        </w:rPr>
        <w:t xml:space="preserve"> </w:t>
      </w:r>
      <w:r w:rsidRPr="008B1175">
        <w:rPr>
          <w:rFonts w:hint="eastAsia"/>
          <w:rtl/>
        </w:rPr>
        <w:t>הינה</w:t>
      </w:r>
      <w:r w:rsidRPr="008B1175">
        <w:rPr>
          <w:rtl/>
        </w:rPr>
        <w:t xml:space="preserve"> </w:t>
      </w:r>
      <w:r w:rsidRPr="008B1175">
        <w:rPr>
          <w:rFonts w:hint="eastAsia"/>
          <w:rtl/>
        </w:rPr>
        <w:t>שסמכותה</w:t>
      </w:r>
      <w:r w:rsidRPr="008B1175">
        <w:rPr>
          <w:rtl/>
        </w:rPr>
        <w:t xml:space="preserve"> </w:t>
      </w:r>
      <w:r w:rsidRPr="008B1175">
        <w:rPr>
          <w:rFonts w:hint="eastAsia"/>
          <w:rtl/>
        </w:rPr>
        <w:t>המכוננת</w:t>
      </w:r>
      <w:r w:rsidRPr="008B1175">
        <w:rPr>
          <w:rtl/>
        </w:rPr>
        <w:t xml:space="preserve"> </w:t>
      </w:r>
      <w:r w:rsidRPr="008B1175">
        <w:rPr>
          <w:rFonts w:hint="eastAsia"/>
          <w:rtl/>
        </w:rPr>
        <w:t>של</w:t>
      </w:r>
      <w:r w:rsidRPr="008B1175">
        <w:rPr>
          <w:rtl/>
        </w:rPr>
        <w:t xml:space="preserve"> </w:t>
      </w:r>
      <w:r w:rsidRPr="008B1175">
        <w:rPr>
          <w:rFonts w:hint="eastAsia"/>
          <w:rtl/>
        </w:rPr>
        <w:t>הכנסת</w:t>
      </w:r>
      <w:r w:rsidRPr="008B1175">
        <w:rPr>
          <w:rtl/>
        </w:rPr>
        <w:t xml:space="preserve"> </w:t>
      </w:r>
      <w:r w:rsidRPr="008B1175">
        <w:rPr>
          <w:rFonts w:hint="eastAsia"/>
          <w:rtl/>
        </w:rPr>
        <w:t>הינה</w:t>
      </w:r>
      <w:r w:rsidRPr="008B1175">
        <w:rPr>
          <w:rtl/>
        </w:rPr>
        <w:t xml:space="preserve"> </w:t>
      </w:r>
      <w:r w:rsidRPr="008B1175">
        <w:rPr>
          <w:rFonts w:hint="eastAsia"/>
          <w:rtl/>
        </w:rPr>
        <w:t>בלתי</w:t>
      </w:r>
      <w:r w:rsidRPr="008B1175">
        <w:rPr>
          <w:rtl/>
        </w:rPr>
        <w:t xml:space="preserve"> </w:t>
      </w:r>
      <w:r w:rsidRPr="008B1175">
        <w:rPr>
          <w:rFonts w:hint="eastAsia"/>
          <w:rtl/>
        </w:rPr>
        <w:t>מוגבלת</w:t>
      </w:r>
      <w:r w:rsidRPr="008B1175">
        <w:rPr>
          <w:rtl/>
        </w:rPr>
        <w:t xml:space="preserve">. </w:t>
      </w:r>
      <w:r w:rsidRPr="008B1175">
        <w:rPr>
          <w:rFonts w:hint="eastAsia"/>
          <w:rtl/>
        </w:rPr>
        <w:t>מסקנה</w:t>
      </w:r>
      <w:r w:rsidRPr="008B1175">
        <w:rPr>
          <w:rtl/>
        </w:rPr>
        <w:t xml:space="preserve"> </w:t>
      </w:r>
      <w:r w:rsidRPr="008B1175">
        <w:rPr>
          <w:rFonts w:hint="eastAsia"/>
          <w:rtl/>
        </w:rPr>
        <w:t>זו</w:t>
      </w:r>
      <w:r w:rsidRPr="008B1175">
        <w:rPr>
          <w:rtl/>
        </w:rPr>
        <w:t xml:space="preserve"> </w:t>
      </w:r>
      <w:r w:rsidRPr="008B1175">
        <w:rPr>
          <w:rFonts w:hint="eastAsia"/>
          <w:rtl/>
        </w:rPr>
        <w:t>מוקשית</w:t>
      </w:r>
      <w:r w:rsidRPr="008B1175">
        <w:rPr>
          <w:rtl/>
        </w:rPr>
        <w:t xml:space="preserve"> </w:t>
      </w:r>
      <w:r w:rsidRPr="008B1175">
        <w:rPr>
          <w:rFonts w:hint="eastAsia"/>
          <w:rtl/>
        </w:rPr>
        <w:t>בעיניי</w:t>
      </w:r>
      <w:r w:rsidRPr="008B1175">
        <w:rPr>
          <w:rtl/>
        </w:rPr>
        <w:t xml:space="preserve">, </w:t>
      </w:r>
      <w:r w:rsidRPr="008B1175">
        <w:rPr>
          <w:rFonts w:hint="eastAsia"/>
          <w:rtl/>
        </w:rPr>
        <w:t>בלשון</w:t>
      </w:r>
      <w:r w:rsidRPr="008B1175">
        <w:rPr>
          <w:rtl/>
        </w:rPr>
        <w:t xml:space="preserve"> </w:t>
      </w:r>
      <w:r w:rsidRPr="008B1175">
        <w:rPr>
          <w:rFonts w:hint="eastAsia"/>
          <w:rtl/>
        </w:rPr>
        <w:t>המעטה</w:t>
      </w:r>
      <w:r w:rsidRPr="008B1175">
        <w:rPr>
          <w:rtl/>
        </w:rPr>
        <w:t xml:space="preserve">. </w:t>
      </w:r>
      <w:r w:rsidRPr="008B1175">
        <w:rPr>
          <w:rFonts w:hint="eastAsia"/>
          <w:rtl/>
        </w:rPr>
        <w:t>ראשית</w:t>
      </w:r>
      <w:r w:rsidRPr="008B1175">
        <w:rPr>
          <w:rtl/>
        </w:rPr>
        <w:t xml:space="preserve">, </w:t>
      </w:r>
      <w:r w:rsidRPr="008B1175">
        <w:rPr>
          <w:rFonts w:hint="eastAsia"/>
          <w:rtl/>
        </w:rPr>
        <w:t>חלק</w:t>
      </w:r>
      <w:r w:rsidRPr="008B1175">
        <w:rPr>
          <w:rtl/>
        </w:rPr>
        <w:t xml:space="preserve"> </w:t>
      </w:r>
      <w:r w:rsidRPr="008B1175">
        <w:rPr>
          <w:rFonts w:hint="eastAsia"/>
          <w:rtl/>
        </w:rPr>
        <w:t>מפסקי</w:t>
      </w:r>
      <w:r w:rsidRPr="008B1175">
        <w:rPr>
          <w:rtl/>
        </w:rPr>
        <w:t xml:space="preserve"> </w:t>
      </w:r>
      <w:r w:rsidRPr="008B1175">
        <w:rPr>
          <w:rFonts w:hint="eastAsia"/>
          <w:rtl/>
        </w:rPr>
        <w:t>הדין</w:t>
      </w:r>
      <w:r w:rsidRPr="008B1175">
        <w:rPr>
          <w:rtl/>
        </w:rPr>
        <w:t xml:space="preserve"> </w:t>
      </w:r>
      <w:r w:rsidRPr="008B1175">
        <w:rPr>
          <w:rFonts w:hint="eastAsia"/>
          <w:rtl/>
        </w:rPr>
        <w:t>שאליהם</w:t>
      </w:r>
      <w:r w:rsidRPr="008B1175">
        <w:rPr>
          <w:rtl/>
        </w:rPr>
        <w:t xml:space="preserve"> </w:t>
      </w:r>
      <w:r w:rsidRPr="008B1175">
        <w:rPr>
          <w:rFonts w:hint="eastAsia"/>
          <w:rtl/>
        </w:rPr>
        <w:t>מפנה</w:t>
      </w:r>
      <w:r w:rsidRPr="008B1175">
        <w:rPr>
          <w:rtl/>
        </w:rPr>
        <w:t xml:space="preserve"> </w:t>
      </w:r>
      <w:r w:rsidRPr="008B1175">
        <w:rPr>
          <w:rFonts w:hint="eastAsia"/>
          <w:rtl/>
        </w:rPr>
        <w:t>חברי</w:t>
      </w:r>
      <w:r w:rsidRPr="008B1175">
        <w:rPr>
          <w:rtl/>
        </w:rPr>
        <w:t xml:space="preserve"> </w:t>
      </w:r>
      <w:r w:rsidRPr="008B1175">
        <w:rPr>
          <w:rFonts w:hint="eastAsia"/>
          <w:rtl/>
        </w:rPr>
        <w:t>נכתבו</w:t>
      </w:r>
      <w:r w:rsidRPr="008B1175">
        <w:rPr>
          <w:rtl/>
        </w:rPr>
        <w:t xml:space="preserve"> </w:t>
      </w:r>
      <w:r w:rsidRPr="008B1175">
        <w:rPr>
          <w:rFonts w:hint="eastAsia"/>
          <w:rtl/>
        </w:rPr>
        <w:t>כאשר</w:t>
      </w:r>
      <w:r w:rsidRPr="008B1175">
        <w:rPr>
          <w:rtl/>
        </w:rPr>
        <w:t xml:space="preserve"> </w:t>
      </w:r>
      <w:r w:rsidRPr="008B1175">
        <w:rPr>
          <w:rFonts w:hint="eastAsia"/>
          <w:rtl/>
        </w:rPr>
        <w:t>בספר</w:t>
      </w:r>
      <w:r w:rsidRPr="008B1175">
        <w:rPr>
          <w:rtl/>
        </w:rPr>
        <w:t xml:space="preserve"> </w:t>
      </w:r>
      <w:r w:rsidRPr="008B1175">
        <w:rPr>
          <w:rFonts w:hint="eastAsia"/>
          <w:rtl/>
        </w:rPr>
        <w:t>החוקים</w:t>
      </w:r>
      <w:r w:rsidRPr="008B1175">
        <w:rPr>
          <w:rtl/>
        </w:rPr>
        <w:t xml:space="preserve"> </w:t>
      </w:r>
      <w:r w:rsidRPr="008B1175">
        <w:rPr>
          <w:rFonts w:hint="eastAsia"/>
          <w:rtl/>
        </w:rPr>
        <w:t>לא</w:t>
      </w:r>
      <w:r w:rsidRPr="008B1175">
        <w:rPr>
          <w:rtl/>
        </w:rPr>
        <w:t xml:space="preserve"> </w:t>
      </w:r>
      <w:r w:rsidRPr="008B1175">
        <w:rPr>
          <w:rFonts w:hint="eastAsia"/>
          <w:rtl/>
        </w:rPr>
        <w:t>היה</w:t>
      </w:r>
      <w:r w:rsidRPr="008B1175">
        <w:rPr>
          <w:rtl/>
        </w:rPr>
        <w:t xml:space="preserve"> </w:t>
      </w:r>
      <w:r w:rsidRPr="008B1175">
        <w:rPr>
          <w:rFonts w:hint="eastAsia"/>
          <w:rtl/>
        </w:rPr>
        <w:t>קיים</w:t>
      </w:r>
      <w:r w:rsidRPr="008B1175">
        <w:rPr>
          <w:rtl/>
        </w:rPr>
        <w:t xml:space="preserve"> </w:t>
      </w:r>
      <w:r w:rsidRPr="008B1175">
        <w:rPr>
          <w:rFonts w:hint="eastAsia"/>
          <w:rtl/>
        </w:rPr>
        <w:t>ולו</w:t>
      </w:r>
      <w:r w:rsidRPr="008B1175">
        <w:rPr>
          <w:rtl/>
        </w:rPr>
        <w:t xml:space="preserve"> </w:t>
      </w:r>
      <w:r w:rsidRPr="008B1175">
        <w:rPr>
          <w:rFonts w:hint="eastAsia"/>
          <w:rtl/>
        </w:rPr>
        <w:t>חוק</w:t>
      </w:r>
      <w:r w:rsidRPr="008B1175">
        <w:rPr>
          <w:rtl/>
        </w:rPr>
        <w:t xml:space="preserve"> </w:t>
      </w:r>
      <w:r w:rsidRPr="008B1175">
        <w:rPr>
          <w:rFonts w:hint="eastAsia"/>
          <w:rtl/>
        </w:rPr>
        <w:t>יסוד</w:t>
      </w:r>
      <w:r w:rsidRPr="008B1175">
        <w:rPr>
          <w:rtl/>
        </w:rPr>
        <w:t xml:space="preserve"> </w:t>
      </w:r>
      <w:r w:rsidRPr="008B1175">
        <w:rPr>
          <w:rFonts w:hint="eastAsia"/>
          <w:rtl/>
        </w:rPr>
        <w:t>אחד</w:t>
      </w:r>
      <w:r w:rsidRPr="008B1175">
        <w:rPr>
          <w:rFonts w:hint="cs"/>
          <w:rtl/>
        </w:rPr>
        <w:t xml:space="preserve"> ואחדים מהם אף קודמים ל"החלטת הררי"</w:t>
      </w:r>
      <w:r w:rsidRPr="008B1175">
        <w:rPr>
          <w:rtl/>
        </w:rPr>
        <w:t xml:space="preserve">. </w:t>
      </w:r>
      <w:r w:rsidRPr="008B1175">
        <w:rPr>
          <w:rFonts w:hint="eastAsia"/>
          <w:rtl/>
        </w:rPr>
        <w:t>שנית</w:t>
      </w:r>
      <w:r w:rsidRPr="008B1175">
        <w:rPr>
          <w:rtl/>
        </w:rPr>
        <w:t xml:space="preserve">, </w:t>
      </w:r>
      <w:r w:rsidRPr="008B1175">
        <w:rPr>
          <w:rFonts w:hint="eastAsia"/>
          <w:rtl/>
        </w:rPr>
        <w:t>הרוב</w:t>
      </w:r>
      <w:r w:rsidRPr="008B1175">
        <w:rPr>
          <w:rtl/>
        </w:rPr>
        <w:t xml:space="preserve"> </w:t>
      </w:r>
      <w:r w:rsidRPr="008B1175">
        <w:rPr>
          <w:rFonts w:hint="eastAsia"/>
          <w:rtl/>
        </w:rPr>
        <w:t>המכריע</w:t>
      </w:r>
      <w:r w:rsidRPr="008B1175">
        <w:rPr>
          <w:rtl/>
        </w:rPr>
        <w:t xml:space="preserve"> </w:t>
      </w:r>
      <w:r w:rsidRPr="008B1175">
        <w:rPr>
          <w:rFonts w:hint="eastAsia"/>
          <w:rtl/>
        </w:rPr>
        <w:t>של</w:t>
      </w:r>
      <w:r w:rsidRPr="008B1175">
        <w:rPr>
          <w:rtl/>
        </w:rPr>
        <w:t xml:space="preserve"> </w:t>
      </w:r>
      <w:r w:rsidRPr="008B1175">
        <w:rPr>
          <w:rFonts w:hint="eastAsia"/>
          <w:rtl/>
        </w:rPr>
        <w:t>הציטוטים</w:t>
      </w:r>
      <w:r w:rsidRPr="008B1175">
        <w:rPr>
          <w:rtl/>
        </w:rPr>
        <w:t xml:space="preserve"> </w:t>
      </w:r>
      <w:r w:rsidRPr="008B1175">
        <w:rPr>
          <w:rFonts w:hint="eastAsia"/>
          <w:rtl/>
        </w:rPr>
        <w:t>שאליהם</w:t>
      </w:r>
      <w:r w:rsidRPr="008B1175">
        <w:rPr>
          <w:rtl/>
        </w:rPr>
        <w:t xml:space="preserve"> </w:t>
      </w:r>
      <w:r w:rsidRPr="008B1175">
        <w:rPr>
          <w:rFonts w:hint="eastAsia"/>
          <w:rtl/>
        </w:rPr>
        <w:t>מפנה</w:t>
      </w:r>
      <w:r w:rsidRPr="008B1175">
        <w:rPr>
          <w:rtl/>
        </w:rPr>
        <w:t xml:space="preserve"> </w:t>
      </w:r>
      <w:r w:rsidRPr="008B1175">
        <w:rPr>
          <w:rFonts w:hint="eastAsia"/>
          <w:rtl/>
        </w:rPr>
        <w:t>חברי</w:t>
      </w:r>
      <w:r w:rsidRPr="008B1175">
        <w:rPr>
          <w:rtl/>
        </w:rPr>
        <w:t xml:space="preserve"> </w:t>
      </w:r>
      <w:r w:rsidRPr="008B1175">
        <w:rPr>
          <w:rFonts w:hint="eastAsia"/>
          <w:rtl/>
        </w:rPr>
        <w:t>אינם</w:t>
      </w:r>
      <w:r w:rsidRPr="008B1175">
        <w:rPr>
          <w:rtl/>
        </w:rPr>
        <w:t xml:space="preserve"> </w:t>
      </w:r>
      <w:r w:rsidRPr="008B1175">
        <w:rPr>
          <w:rFonts w:hint="eastAsia"/>
          <w:rtl/>
        </w:rPr>
        <w:t>נוגעים</w:t>
      </w:r>
      <w:r w:rsidRPr="008B1175">
        <w:rPr>
          <w:rtl/>
        </w:rPr>
        <w:t xml:space="preserve"> </w:t>
      </w:r>
      <w:r w:rsidRPr="008B1175">
        <w:rPr>
          <w:rFonts w:hint="eastAsia"/>
          <w:rtl/>
        </w:rPr>
        <w:t>כלל</w:t>
      </w:r>
      <w:r w:rsidRPr="008B1175">
        <w:rPr>
          <w:rtl/>
        </w:rPr>
        <w:t xml:space="preserve"> </w:t>
      </w:r>
      <w:r w:rsidRPr="008B1175">
        <w:rPr>
          <w:rFonts w:hint="eastAsia"/>
          <w:rtl/>
        </w:rPr>
        <w:t>לסמכותה</w:t>
      </w:r>
      <w:r w:rsidRPr="008B1175">
        <w:rPr>
          <w:rtl/>
        </w:rPr>
        <w:t xml:space="preserve"> </w:t>
      </w:r>
      <w:r w:rsidRPr="008B1175">
        <w:rPr>
          <w:rFonts w:hint="eastAsia"/>
          <w:rtl/>
        </w:rPr>
        <w:t>של</w:t>
      </w:r>
      <w:r w:rsidRPr="008B1175">
        <w:rPr>
          <w:rtl/>
        </w:rPr>
        <w:t xml:space="preserve"> </w:t>
      </w:r>
      <w:r w:rsidRPr="008B1175">
        <w:rPr>
          <w:rFonts w:hint="eastAsia"/>
          <w:rtl/>
        </w:rPr>
        <w:t>הכנסת</w:t>
      </w:r>
      <w:r w:rsidRPr="008B1175">
        <w:rPr>
          <w:rtl/>
        </w:rPr>
        <w:t xml:space="preserve"> </w:t>
      </w:r>
      <w:r w:rsidRPr="008B1175">
        <w:rPr>
          <w:rFonts w:hint="eastAsia"/>
          <w:rtl/>
        </w:rPr>
        <w:t>כרשות</w:t>
      </w:r>
      <w:r w:rsidRPr="008B1175">
        <w:rPr>
          <w:rtl/>
        </w:rPr>
        <w:t xml:space="preserve"> </w:t>
      </w:r>
      <w:r w:rsidRPr="008B1175">
        <w:rPr>
          <w:rFonts w:hint="eastAsia"/>
          <w:rtl/>
        </w:rPr>
        <w:t>מכוננת</w:t>
      </w:r>
      <w:r w:rsidRPr="008B1175">
        <w:rPr>
          <w:rtl/>
        </w:rPr>
        <w:t xml:space="preserve">. </w:t>
      </w:r>
      <w:r w:rsidRPr="008B1175">
        <w:rPr>
          <w:rFonts w:hint="eastAsia"/>
          <w:rtl/>
        </w:rPr>
        <w:t>לא</w:t>
      </w:r>
      <w:r w:rsidRPr="008B1175">
        <w:rPr>
          <w:rtl/>
        </w:rPr>
        <w:t xml:space="preserve"> </w:t>
      </w:r>
      <w:r w:rsidRPr="008B1175">
        <w:rPr>
          <w:rFonts w:hint="eastAsia"/>
          <w:rtl/>
        </w:rPr>
        <w:t>ברור</w:t>
      </w:r>
      <w:r w:rsidRPr="008B1175">
        <w:rPr>
          <w:rtl/>
        </w:rPr>
        <w:t xml:space="preserve">, </w:t>
      </w:r>
      <w:r w:rsidRPr="008B1175">
        <w:rPr>
          <w:rFonts w:hint="eastAsia"/>
          <w:rtl/>
        </w:rPr>
        <w:t>אפוא</w:t>
      </w:r>
      <w:r w:rsidRPr="008B1175">
        <w:rPr>
          <w:rtl/>
        </w:rPr>
        <w:t xml:space="preserve">, </w:t>
      </w:r>
      <w:r w:rsidRPr="008B1175">
        <w:rPr>
          <w:rFonts w:hint="eastAsia"/>
          <w:rtl/>
        </w:rPr>
        <w:t>כיצד</w:t>
      </w:r>
      <w:r w:rsidRPr="008B1175">
        <w:rPr>
          <w:rtl/>
        </w:rPr>
        <w:t xml:space="preserve"> </w:t>
      </w:r>
      <w:r w:rsidRPr="008B1175">
        <w:rPr>
          <w:rFonts w:hint="eastAsia"/>
          <w:rtl/>
        </w:rPr>
        <w:t>ניתן</w:t>
      </w:r>
      <w:r w:rsidRPr="008B1175">
        <w:rPr>
          <w:rtl/>
        </w:rPr>
        <w:t xml:space="preserve"> </w:t>
      </w:r>
      <w:r w:rsidRPr="008B1175">
        <w:rPr>
          <w:rFonts w:hint="eastAsia"/>
          <w:rtl/>
        </w:rPr>
        <w:t>להיבנות</w:t>
      </w:r>
      <w:r w:rsidRPr="008B1175">
        <w:rPr>
          <w:rtl/>
        </w:rPr>
        <w:t xml:space="preserve"> </w:t>
      </w:r>
      <w:r w:rsidRPr="008B1175">
        <w:rPr>
          <w:rFonts w:hint="eastAsia"/>
          <w:rtl/>
        </w:rPr>
        <w:t>מציטוטים</w:t>
      </w:r>
      <w:r w:rsidRPr="008B1175">
        <w:rPr>
          <w:rtl/>
        </w:rPr>
        <w:t xml:space="preserve"> </w:t>
      </w:r>
      <w:r w:rsidRPr="008B1175">
        <w:rPr>
          <w:rFonts w:hint="eastAsia"/>
          <w:rtl/>
        </w:rPr>
        <w:t>אלה</w:t>
      </w:r>
      <w:r w:rsidRPr="008B1175">
        <w:rPr>
          <w:rtl/>
        </w:rPr>
        <w:t xml:space="preserve">, </w:t>
      </w:r>
      <w:r w:rsidRPr="008B1175">
        <w:rPr>
          <w:rFonts w:hint="eastAsia"/>
          <w:rtl/>
        </w:rPr>
        <w:t>שכלל</w:t>
      </w:r>
      <w:r w:rsidRPr="008B1175">
        <w:rPr>
          <w:rtl/>
        </w:rPr>
        <w:t xml:space="preserve"> </w:t>
      </w:r>
      <w:r w:rsidRPr="008B1175">
        <w:rPr>
          <w:rFonts w:hint="eastAsia"/>
          <w:rtl/>
        </w:rPr>
        <w:t>לא</w:t>
      </w:r>
      <w:r w:rsidRPr="008B1175">
        <w:rPr>
          <w:rtl/>
        </w:rPr>
        <w:t xml:space="preserve"> </w:t>
      </w:r>
      <w:r w:rsidRPr="008B1175">
        <w:rPr>
          <w:rFonts w:hint="eastAsia"/>
          <w:rtl/>
        </w:rPr>
        <w:t>עסקו</w:t>
      </w:r>
      <w:r w:rsidRPr="008B1175">
        <w:rPr>
          <w:rtl/>
        </w:rPr>
        <w:t xml:space="preserve"> </w:t>
      </w:r>
      <w:r w:rsidRPr="008B1175">
        <w:rPr>
          <w:rFonts w:hint="eastAsia"/>
          <w:rtl/>
        </w:rPr>
        <w:t>בשאלות</w:t>
      </w:r>
      <w:r w:rsidRPr="008B1175">
        <w:rPr>
          <w:rtl/>
        </w:rPr>
        <w:t xml:space="preserve"> </w:t>
      </w:r>
      <w:r w:rsidRPr="008B1175">
        <w:rPr>
          <w:rFonts w:hint="eastAsia"/>
          <w:rtl/>
        </w:rPr>
        <w:t>הניצבות</w:t>
      </w:r>
      <w:r w:rsidRPr="008B1175">
        <w:rPr>
          <w:rtl/>
        </w:rPr>
        <w:t xml:space="preserve"> </w:t>
      </w:r>
      <w:r w:rsidRPr="008B1175">
        <w:rPr>
          <w:rFonts w:hint="eastAsia"/>
          <w:rtl/>
        </w:rPr>
        <w:t>בפנינו</w:t>
      </w:r>
      <w:r w:rsidRPr="008B1175">
        <w:rPr>
          <w:rtl/>
        </w:rPr>
        <w:t xml:space="preserve"> </w:t>
      </w:r>
      <w:r w:rsidRPr="008B1175">
        <w:rPr>
          <w:rFonts w:hint="eastAsia"/>
          <w:rtl/>
        </w:rPr>
        <w:t>כעת</w:t>
      </w:r>
      <w:r w:rsidRPr="008B1175">
        <w:rPr>
          <w:rtl/>
        </w:rPr>
        <w:t xml:space="preserve"> </w:t>
      </w:r>
      <w:r w:rsidRPr="008B1175">
        <w:rPr>
          <w:rFonts w:hint="eastAsia"/>
          <w:rtl/>
        </w:rPr>
        <w:t>והתייחסו</w:t>
      </w:r>
      <w:r w:rsidRPr="008B1175">
        <w:rPr>
          <w:rtl/>
        </w:rPr>
        <w:t xml:space="preserve"> </w:t>
      </w:r>
      <w:r w:rsidRPr="008B1175">
        <w:rPr>
          <w:rFonts w:hint="eastAsia"/>
          <w:rtl/>
        </w:rPr>
        <w:t>להקשר</w:t>
      </w:r>
      <w:r w:rsidRPr="008B1175">
        <w:rPr>
          <w:rtl/>
        </w:rPr>
        <w:t xml:space="preserve"> </w:t>
      </w:r>
      <w:r w:rsidRPr="008B1175">
        <w:rPr>
          <w:rFonts w:hint="eastAsia"/>
          <w:rtl/>
        </w:rPr>
        <w:t>חוקתי</w:t>
      </w:r>
      <w:r w:rsidRPr="008B1175">
        <w:rPr>
          <w:rtl/>
        </w:rPr>
        <w:t xml:space="preserve"> </w:t>
      </w:r>
      <w:r w:rsidRPr="008B1175">
        <w:rPr>
          <w:rFonts w:hint="eastAsia"/>
          <w:rtl/>
        </w:rPr>
        <w:t>שונה</w:t>
      </w:r>
      <w:r w:rsidRPr="008B1175">
        <w:rPr>
          <w:rtl/>
        </w:rPr>
        <w:t xml:space="preserve"> </w:t>
      </w:r>
      <w:r w:rsidRPr="008B1175">
        <w:rPr>
          <w:rFonts w:hint="eastAsia"/>
          <w:rtl/>
        </w:rPr>
        <w:t>בתכלית</w:t>
      </w:r>
      <w:r w:rsidRPr="008B1175">
        <w:rPr>
          <w:rtl/>
        </w:rPr>
        <w:t xml:space="preserve">. </w:t>
      </w:r>
    </w:p>
    <w:p w:rsidR="00C044AE" w:rsidRPr="008B1175" w:rsidRDefault="00C044AE" w:rsidP="00C044AE">
      <w:pPr>
        <w:pStyle w:val="Ruller4"/>
        <w:numPr>
          <w:ilvl w:val="0"/>
          <w:numId w:val="0"/>
        </w:numPr>
        <w:rPr>
          <w:rtl/>
        </w:rPr>
      </w:pPr>
    </w:p>
    <w:p w:rsidR="00C044AE" w:rsidRPr="008B1175" w:rsidRDefault="00C044AE" w:rsidP="00C044AE">
      <w:pPr>
        <w:pStyle w:val="Ruller4"/>
        <w:numPr>
          <w:ilvl w:val="0"/>
          <w:numId w:val="0"/>
        </w:numPr>
        <w:rPr>
          <w:rtl/>
        </w:rPr>
      </w:pPr>
      <w:r w:rsidRPr="008B1175">
        <w:rPr>
          <w:rtl/>
        </w:rPr>
        <w:tab/>
      </w:r>
      <w:r w:rsidRPr="008B1175">
        <w:rPr>
          <w:rFonts w:hint="eastAsia"/>
          <w:rtl/>
        </w:rPr>
        <w:t>שלישית</w:t>
      </w:r>
      <w:r w:rsidRPr="008B1175">
        <w:rPr>
          <w:rtl/>
        </w:rPr>
        <w:t xml:space="preserve">, </w:t>
      </w:r>
      <w:r w:rsidRPr="008B1175">
        <w:rPr>
          <w:rFonts w:hint="eastAsia"/>
          <w:rtl/>
        </w:rPr>
        <w:t>גם</w:t>
      </w:r>
      <w:r w:rsidRPr="008B1175">
        <w:rPr>
          <w:rtl/>
        </w:rPr>
        <w:t xml:space="preserve"> </w:t>
      </w:r>
      <w:r w:rsidRPr="008B1175">
        <w:rPr>
          <w:rFonts w:hint="eastAsia"/>
          <w:rtl/>
        </w:rPr>
        <w:t>אם</w:t>
      </w:r>
      <w:r w:rsidRPr="008B1175">
        <w:rPr>
          <w:rtl/>
        </w:rPr>
        <w:t xml:space="preserve"> </w:t>
      </w:r>
      <w:r w:rsidRPr="008B1175">
        <w:rPr>
          <w:rFonts w:hint="eastAsia"/>
          <w:rtl/>
        </w:rPr>
        <w:t>אקבל</w:t>
      </w:r>
      <w:r w:rsidRPr="008B1175">
        <w:rPr>
          <w:rtl/>
        </w:rPr>
        <w:t xml:space="preserve"> </w:t>
      </w:r>
      <w:r w:rsidRPr="008B1175">
        <w:rPr>
          <w:rFonts w:hint="eastAsia"/>
          <w:rtl/>
        </w:rPr>
        <w:t>את</w:t>
      </w:r>
      <w:r w:rsidRPr="008B1175">
        <w:rPr>
          <w:rtl/>
        </w:rPr>
        <w:t xml:space="preserve"> </w:t>
      </w:r>
      <w:r w:rsidRPr="008B1175">
        <w:rPr>
          <w:rFonts w:hint="eastAsia"/>
          <w:rtl/>
        </w:rPr>
        <w:t>עמדת</w:t>
      </w:r>
      <w:r w:rsidRPr="008B1175">
        <w:rPr>
          <w:rtl/>
        </w:rPr>
        <w:t xml:space="preserve"> </w:t>
      </w:r>
      <w:r w:rsidRPr="008B1175">
        <w:rPr>
          <w:rFonts w:hint="eastAsia"/>
          <w:rtl/>
        </w:rPr>
        <w:t>חברי</w:t>
      </w:r>
      <w:r w:rsidRPr="008B1175">
        <w:rPr>
          <w:rtl/>
        </w:rPr>
        <w:t xml:space="preserve"> </w:t>
      </w:r>
      <w:r w:rsidRPr="008B1175">
        <w:rPr>
          <w:rFonts w:hint="eastAsia"/>
          <w:rtl/>
        </w:rPr>
        <w:t>השופט</w:t>
      </w:r>
      <w:r w:rsidRPr="008B1175">
        <w:rPr>
          <w:rtl/>
        </w:rPr>
        <w:t xml:space="preserve"> </w:t>
      </w:r>
      <w:r w:rsidRPr="008B1175">
        <w:rPr>
          <w:rFonts w:ascii="Century" w:hAnsi="Century" w:cs="Miriam" w:hint="eastAsia"/>
          <w:b/>
          <w:spacing w:val="0"/>
          <w:sz w:val="22"/>
          <w:szCs w:val="24"/>
          <w:rtl/>
        </w:rPr>
        <w:t>סולברג</w:t>
      </w:r>
      <w:r w:rsidRPr="008B1175">
        <w:rPr>
          <w:rtl/>
        </w:rPr>
        <w:t xml:space="preserve">, </w:t>
      </w:r>
      <w:r w:rsidRPr="008B1175">
        <w:rPr>
          <w:rFonts w:hint="eastAsia"/>
          <w:rtl/>
        </w:rPr>
        <w:t>לפיה</w:t>
      </w:r>
      <w:r w:rsidRPr="008B1175">
        <w:rPr>
          <w:rtl/>
        </w:rPr>
        <w:t xml:space="preserve"> </w:t>
      </w:r>
      <w:r w:rsidRPr="008B1175">
        <w:rPr>
          <w:rFonts w:hint="eastAsia"/>
          <w:rtl/>
        </w:rPr>
        <w:t>ניתן</w:t>
      </w:r>
      <w:r w:rsidRPr="008B1175">
        <w:rPr>
          <w:rtl/>
        </w:rPr>
        <w:t xml:space="preserve"> </w:t>
      </w:r>
      <w:r w:rsidRPr="008B1175">
        <w:rPr>
          <w:rFonts w:hint="eastAsia"/>
          <w:rtl/>
        </w:rPr>
        <w:t>ללמוד</w:t>
      </w:r>
      <w:r w:rsidRPr="008B1175">
        <w:rPr>
          <w:rtl/>
        </w:rPr>
        <w:t xml:space="preserve"> </w:t>
      </w:r>
      <w:r w:rsidRPr="008B1175">
        <w:rPr>
          <w:rFonts w:hint="eastAsia"/>
          <w:rtl/>
        </w:rPr>
        <w:t>מאותם</w:t>
      </w:r>
      <w:r w:rsidRPr="008B1175">
        <w:rPr>
          <w:rtl/>
        </w:rPr>
        <w:t xml:space="preserve"> </w:t>
      </w:r>
      <w:r w:rsidRPr="008B1175">
        <w:rPr>
          <w:rFonts w:hint="eastAsia"/>
          <w:rtl/>
        </w:rPr>
        <w:t>ציטוטים</w:t>
      </w:r>
      <w:r w:rsidRPr="008B1175">
        <w:rPr>
          <w:rtl/>
        </w:rPr>
        <w:t xml:space="preserve"> </w:t>
      </w:r>
      <w:r w:rsidRPr="008B1175">
        <w:rPr>
          <w:rFonts w:hint="eastAsia"/>
          <w:rtl/>
        </w:rPr>
        <w:t>לענייננו</w:t>
      </w:r>
      <w:r w:rsidRPr="008B1175">
        <w:rPr>
          <w:rtl/>
        </w:rPr>
        <w:t xml:space="preserve"> </w:t>
      </w:r>
      <w:r w:rsidRPr="008B1175">
        <w:rPr>
          <w:rFonts w:hint="eastAsia"/>
          <w:rtl/>
        </w:rPr>
        <w:t>ולו</w:t>
      </w:r>
      <w:r w:rsidRPr="008B1175">
        <w:rPr>
          <w:rtl/>
        </w:rPr>
        <w:t xml:space="preserve"> </w:t>
      </w:r>
      <w:r w:rsidRPr="008B1175">
        <w:rPr>
          <w:rFonts w:hint="eastAsia"/>
          <w:rtl/>
        </w:rPr>
        <w:t>על</w:t>
      </w:r>
      <w:r w:rsidRPr="008B1175">
        <w:rPr>
          <w:rtl/>
        </w:rPr>
        <w:t xml:space="preserve"> </w:t>
      </w:r>
      <w:r w:rsidRPr="008B1175">
        <w:rPr>
          <w:rFonts w:hint="eastAsia"/>
          <w:rtl/>
        </w:rPr>
        <w:t>דרך</w:t>
      </w:r>
      <w:r w:rsidRPr="008B1175">
        <w:rPr>
          <w:rtl/>
        </w:rPr>
        <w:t xml:space="preserve"> </w:t>
      </w:r>
      <w:r w:rsidRPr="008B1175">
        <w:rPr>
          <w:rFonts w:hint="eastAsia"/>
          <w:rtl/>
        </w:rPr>
        <w:t>ההיקש</w:t>
      </w:r>
      <w:r w:rsidRPr="008B1175">
        <w:rPr>
          <w:rtl/>
        </w:rPr>
        <w:t xml:space="preserve">, </w:t>
      </w:r>
      <w:r w:rsidRPr="008B1175">
        <w:rPr>
          <w:rFonts w:hint="eastAsia"/>
          <w:rtl/>
        </w:rPr>
        <w:t>סקירתו</w:t>
      </w:r>
      <w:r w:rsidRPr="008B1175">
        <w:rPr>
          <w:rtl/>
        </w:rPr>
        <w:t xml:space="preserve"> </w:t>
      </w:r>
      <w:r w:rsidRPr="008B1175">
        <w:rPr>
          <w:rFonts w:hint="eastAsia"/>
          <w:rtl/>
        </w:rPr>
        <w:t>ההיסטורית</w:t>
      </w:r>
      <w:r w:rsidRPr="008B1175">
        <w:rPr>
          <w:rtl/>
        </w:rPr>
        <w:t xml:space="preserve"> </w:t>
      </w:r>
      <w:r w:rsidRPr="008B1175">
        <w:rPr>
          <w:rFonts w:hint="eastAsia"/>
          <w:rtl/>
        </w:rPr>
        <w:t>של</w:t>
      </w:r>
      <w:r w:rsidRPr="008B1175">
        <w:rPr>
          <w:rtl/>
        </w:rPr>
        <w:t xml:space="preserve"> </w:t>
      </w:r>
      <w:r w:rsidRPr="008B1175">
        <w:rPr>
          <w:rFonts w:hint="eastAsia"/>
          <w:rtl/>
        </w:rPr>
        <w:t>חברי</w:t>
      </w:r>
      <w:r w:rsidRPr="008B1175">
        <w:rPr>
          <w:rtl/>
        </w:rPr>
        <w:t xml:space="preserve"> </w:t>
      </w:r>
      <w:r w:rsidRPr="008B1175">
        <w:rPr>
          <w:rFonts w:hint="eastAsia"/>
          <w:rtl/>
        </w:rPr>
        <w:t>מסתיימת</w:t>
      </w:r>
      <w:r w:rsidRPr="008B1175">
        <w:rPr>
          <w:rtl/>
        </w:rPr>
        <w:t xml:space="preserve"> – </w:t>
      </w:r>
      <w:r w:rsidRPr="008B1175">
        <w:rPr>
          <w:rFonts w:hint="eastAsia"/>
          <w:rtl/>
        </w:rPr>
        <w:t>ולא</w:t>
      </w:r>
      <w:r w:rsidRPr="008B1175">
        <w:rPr>
          <w:rtl/>
        </w:rPr>
        <w:t xml:space="preserve"> </w:t>
      </w:r>
      <w:r w:rsidRPr="008B1175">
        <w:rPr>
          <w:rFonts w:hint="eastAsia"/>
          <w:rtl/>
        </w:rPr>
        <w:t>בכדי</w:t>
      </w:r>
      <w:r w:rsidRPr="008B1175">
        <w:rPr>
          <w:rtl/>
        </w:rPr>
        <w:t xml:space="preserve"> – </w:t>
      </w:r>
      <w:r w:rsidRPr="008B1175">
        <w:rPr>
          <w:rFonts w:hint="eastAsia"/>
          <w:rtl/>
        </w:rPr>
        <w:t>בתחילת</w:t>
      </w:r>
      <w:r w:rsidRPr="008B1175">
        <w:rPr>
          <w:rtl/>
        </w:rPr>
        <w:t xml:space="preserve"> </w:t>
      </w:r>
      <w:r w:rsidRPr="008B1175">
        <w:rPr>
          <w:rFonts w:hint="eastAsia"/>
          <w:rtl/>
        </w:rPr>
        <w:t>שנות</w:t>
      </w:r>
      <w:r w:rsidRPr="008B1175">
        <w:rPr>
          <w:rtl/>
        </w:rPr>
        <w:t xml:space="preserve"> </w:t>
      </w:r>
      <w:r w:rsidRPr="008B1175">
        <w:rPr>
          <w:rFonts w:hint="eastAsia"/>
          <w:rtl/>
        </w:rPr>
        <w:t>התשעים</w:t>
      </w:r>
      <w:r w:rsidRPr="008B1175">
        <w:rPr>
          <w:rtl/>
        </w:rPr>
        <w:t xml:space="preserve"> </w:t>
      </w:r>
      <w:r w:rsidRPr="008B1175">
        <w:rPr>
          <w:rFonts w:hint="eastAsia"/>
          <w:rtl/>
        </w:rPr>
        <w:t>של</w:t>
      </w:r>
      <w:r w:rsidRPr="008B1175">
        <w:rPr>
          <w:rtl/>
        </w:rPr>
        <w:t xml:space="preserve"> </w:t>
      </w:r>
      <w:r w:rsidRPr="008B1175">
        <w:rPr>
          <w:rFonts w:hint="eastAsia"/>
          <w:rtl/>
        </w:rPr>
        <w:t>המאה</w:t>
      </w:r>
      <w:r w:rsidRPr="008B1175">
        <w:rPr>
          <w:rtl/>
        </w:rPr>
        <w:t xml:space="preserve"> </w:t>
      </w:r>
      <w:r w:rsidRPr="008B1175">
        <w:rPr>
          <w:rFonts w:hint="eastAsia"/>
          <w:rtl/>
        </w:rPr>
        <w:t>הקודמת</w:t>
      </w:r>
      <w:r w:rsidRPr="008B1175">
        <w:rPr>
          <w:rtl/>
        </w:rPr>
        <w:t xml:space="preserve">. </w:t>
      </w:r>
      <w:r w:rsidRPr="008B1175">
        <w:rPr>
          <w:rFonts w:hint="eastAsia"/>
          <w:rtl/>
        </w:rPr>
        <w:t>זאת</w:t>
      </w:r>
      <w:r w:rsidRPr="008B1175">
        <w:rPr>
          <w:rtl/>
        </w:rPr>
        <w:t xml:space="preserve">, </w:t>
      </w:r>
      <w:r w:rsidRPr="008B1175">
        <w:rPr>
          <w:rFonts w:hint="eastAsia"/>
          <w:rtl/>
        </w:rPr>
        <w:t>תוך</w:t>
      </w:r>
      <w:r w:rsidRPr="008B1175">
        <w:rPr>
          <w:rtl/>
        </w:rPr>
        <w:t xml:space="preserve"> </w:t>
      </w:r>
      <w:r w:rsidRPr="008B1175">
        <w:rPr>
          <w:rFonts w:hint="eastAsia"/>
          <w:rtl/>
        </w:rPr>
        <w:t>התעלמות</w:t>
      </w:r>
      <w:r w:rsidRPr="008B1175">
        <w:rPr>
          <w:rtl/>
        </w:rPr>
        <w:t xml:space="preserve"> </w:t>
      </w:r>
      <w:r w:rsidRPr="008B1175">
        <w:rPr>
          <w:rFonts w:hint="eastAsia"/>
          <w:rtl/>
        </w:rPr>
        <w:t>מוחלטת</w:t>
      </w:r>
      <w:r w:rsidRPr="008B1175">
        <w:rPr>
          <w:rtl/>
        </w:rPr>
        <w:t xml:space="preserve"> </w:t>
      </w:r>
      <w:r w:rsidRPr="008B1175">
        <w:rPr>
          <w:rFonts w:hint="eastAsia"/>
          <w:rtl/>
        </w:rPr>
        <w:t>מן</w:t>
      </w:r>
      <w:r w:rsidRPr="008B1175">
        <w:rPr>
          <w:rtl/>
        </w:rPr>
        <w:t xml:space="preserve"> </w:t>
      </w:r>
      <w:r w:rsidRPr="008B1175">
        <w:rPr>
          <w:rFonts w:hint="eastAsia"/>
          <w:rtl/>
        </w:rPr>
        <w:t>ההתפתחויות</w:t>
      </w:r>
      <w:r w:rsidRPr="008B1175">
        <w:rPr>
          <w:rtl/>
        </w:rPr>
        <w:t xml:space="preserve"> </w:t>
      </w:r>
      <w:r w:rsidRPr="008B1175">
        <w:rPr>
          <w:rFonts w:hint="eastAsia"/>
          <w:rtl/>
        </w:rPr>
        <w:t>החשובות</w:t>
      </w:r>
      <w:r w:rsidRPr="008B1175">
        <w:rPr>
          <w:rtl/>
        </w:rPr>
        <w:t xml:space="preserve"> </w:t>
      </w:r>
      <w:r w:rsidRPr="008B1175">
        <w:rPr>
          <w:rFonts w:hint="eastAsia"/>
          <w:rtl/>
        </w:rPr>
        <w:t>ומכברת</w:t>
      </w:r>
      <w:r w:rsidRPr="008B1175">
        <w:rPr>
          <w:rtl/>
        </w:rPr>
        <w:t xml:space="preserve"> </w:t>
      </w:r>
      <w:r w:rsidRPr="008B1175">
        <w:rPr>
          <w:rFonts w:hint="eastAsia"/>
          <w:rtl/>
        </w:rPr>
        <w:t>הדרך</w:t>
      </w:r>
      <w:r w:rsidRPr="008B1175">
        <w:rPr>
          <w:rtl/>
        </w:rPr>
        <w:t xml:space="preserve"> </w:t>
      </w:r>
      <w:r w:rsidRPr="008B1175">
        <w:rPr>
          <w:rFonts w:hint="eastAsia"/>
          <w:rtl/>
        </w:rPr>
        <w:t>המשמעותית</w:t>
      </w:r>
      <w:r w:rsidRPr="008B1175">
        <w:rPr>
          <w:rtl/>
        </w:rPr>
        <w:t xml:space="preserve"> </w:t>
      </w:r>
      <w:r w:rsidRPr="008B1175">
        <w:rPr>
          <w:rFonts w:hint="eastAsia"/>
          <w:rtl/>
        </w:rPr>
        <w:t>שעשה</w:t>
      </w:r>
      <w:r w:rsidRPr="008B1175">
        <w:rPr>
          <w:rtl/>
        </w:rPr>
        <w:t xml:space="preserve"> </w:t>
      </w:r>
      <w:r w:rsidRPr="008B1175">
        <w:rPr>
          <w:rFonts w:hint="eastAsia"/>
          <w:rtl/>
        </w:rPr>
        <w:t>המשפט</w:t>
      </w:r>
      <w:r w:rsidRPr="008B1175">
        <w:rPr>
          <w:rtl/>
        </w:rPr>
        <w:t xml:space="preserve"> </w:t>
      </w:r>
      <w:r w:rsidRPr="008B1175">
        <w:rPr>
          <w:rFonts w:hint="eastAsia"/>
          <w:rtl/>
        </w:rPr>
        <w:t>החוקתי</w:t>
      </w:r>
      <w:r w:rsidRPr="008B1175">
        <w:rPr>
          <w:rtl/>
        </w:rPr>
        <w:t xml:space="preserve"> </w:t>
      </w:r>
      <w:r w:rsidRPr="008B1175">
        <w:rPr>
          <w:rFonts w:hint="eastAsia"/>
          <w:rtl/>
        </w:rPr>
        <w:t>הישראלי</w:t>
      </w:r>
      <w:r w:rsidRPr="008B1175">
        <w:rPr>
          <w:rtl/>
        </w:rPr>
        <w:t xml:space="preserve"> </w:t>
      </w:r>
      <w:r w:rsidRPr="008B1175">
        <w:rPr>
          <w:rFonts w:hint="eastAsia"/>
          <w:rtl/>
        </w:rPr>
        <w:t>בשלושת</w:t>
      </w:r>
      <w:r w:rsidRPr="008B1175">
        <w:rPr>
          <w:rtl/>
        </w:rPr>
        <w:t xml:space="preserve"> </w:t>
      </w:r>
      <w:r w:rsidRPr="008B1175">
        <w:rPr>
          <w:rFonts w:hint="eastAsia"/>
          <w:rtl/>
        </w:rPr>
        <w:t>העשורים</w:t>
      </w:r>
      <w:r w:rsidRPr="008B1175">
        <w:rPr>
          <w:rtl/>
        </w:rPr>
        <w:t xml:space="preserve"> </w:t>
      </w:r>
      <w:r w:rsidRPr="008B1175">
        <w:rPr>
          <w:rFonts w:hint="eastAsia"/>
          <w:rtl/>
        </w:rPr>
        <w:t>האחרונים</w:t>
      </w:r>
      <w:r w:rsidRPr="008B1175">
        <w:rPr>
          <w:rtl/>
        </w:rPr>
        <w:t xml:space="preserve">. </w:t>
      </w:r>
      <w:r w:rsidRPr="008B1175">
        <w:rPr>
          <w:rFonts w:hint="eastAsia"/>
          <w:rtl/>
        </w:rPr>
        <w:t>התפיסה</w:t>
      </w:r>
      <w:r w:rsidRPr="008B1175">
        <w:rPr>
          <w:rtl/>
        </w:rPr>
        <w:t xml:space="preserve"> </w:t>
      </w:r>
      <w:r w:rsidRPr="008B1175">
        <w:rPr>
          <w:rFonts w:hint="eastAsia"/>
          <w:rtl/>
        </w:rPr>
        <w:t>שעליה</w:t>
      </w:r>
      <w:r w:rsidRPr="008B1175">
        <w:rPr>
          <w:rtl/>
        </w:rPr>
        <w:t xml:space="preserve"> </w:t>
      </w:r>
      <w:r w:rsidRPr="008B1175">
        <w:rPr>
          <w:rFonts w:hint="eastAsia"/>
          <w:rtl/>
        </w:rPr>
        <w:t>נשען</w:t>
      </w:r>
      <w:r w:rsidRPr="008B1175">
        <w:rPr>
          <w:rtl/>
        </w:rPr>
        <w:t xml:space="preserve"> </w:t>
      </w:r>
      <w:r w:rsidRPr="008B1175">
        <w:rPr>
          <w:rFonts w:hint="eastAsia"/>
          <w:rtl/>
        </w:rPr>
        <w:t>חברי</w:t>
      </w:r>
      <w:r w:rsidRPr="008B1175">
        <w:rPr>
          <w:rtl/>
        </w:rPr>
        <w:t xml:space="preserve"> </w:t>
      </w:r>
      <w:r w:rsidRPr="008B1175">
        <w:rPr>
          <w:rFonts w:hint="eastAsia"/>
          <w:rtl/>
        </w:rPr>
        <w:t>השופט</w:t>
      </w:r>
      <w:r w:rsidRPr="008B1175">
        <w:rPr>
          <w:rtl/>
        </w:rPr>
        <w:t xml:space="preserve"> </w:t>
      </w:r>
      <w:r w:rsidRPr="008B1175">
        <w:rPr>
          <w:rFonts w:ascii="Century" w:hAnsi="Century" w:cs="Miriam" w:hint="eastAsia"/>
          <w:b/>
          <w:spacing w:val="0"/>
          <w:sz w:val="22"/>
          <w:szCs w:val="24"/>
          <w:rtl/>
        </w:rPr>
        <w:t>סולברג</w:t>
      </w:r>
      <w:r w:rsidRPr="008B1175">
        <w:rPr>
          <w:rtl/>
        </w:rPr>
        <w:t xml:space="preserve">, </w:t>
      </w:r>
      <w:r w:rsidRPr="008B1175">
        <w:rPr>
          <w:rFonts w:hint="eastAsia"/>
          <w:rtl/>
        </w:rPr>
        <w:t>בדבר</w:t>
      </w:r>
      <w:r w:rsidRPr="008B1175">
        <w:rPr>
          <w:rtl/>
        </w:rPr>
        <w:t xml:space="preserve"> </w:t>
      </w:r>
      <w:r w:rsidRPr="008B1175">
        <w:rPr>
          <w:rFonts w:hint="eastAsia"/>
          <w:rtl/>
        </w:rPr>
        <w:lastRenderedPageBreak/>
        <w:t>הריבונות</w:t>
      </w:r>
      <w:r w:rsidRPr="008B1175">
        <w:rPr>
          <w:rtl/>
        </w:rPr>
        <w:t xml:space="preserve"> </w:t>
      </w:r>
      <w:r w:rsidRPr="008B1175">
        <w:rPr>
          <w:rFonts w:hint="eastAsia"/>
          <w:rtl/>
        </w:rPr>
        <w:t>הבלתי</w:t>
      </w:r>
      <w:r w:rsidRPr="008B1175">
        <w:rPr>
          <w:rtl/>
        </w:rPr>
        <w:t xml:space="preserve"> </w:t>
      </w:r>
      <w:r w:rsidRPr="008B1175">
        <w:rPr>
          <w:rFonts w:hint="eastAsia"/>
          <w:rtl/>
        </w:rPr>
        <w:t>המוגבלת</w:t>
      </w:r>
      <w:r w:rsidRPr="008B1175">
        <w:rPr>
          <w:rtl/>
        </w:rPr>
        <w:t xml:space="preserve"> </w:t>
      </w:r>
      <w:r w:rsidRPr="008B1175">
        <w:rPr>
          <w:rFonts w:hint="eastAsia"/>
          <w:rtl/>
        </w:rPr>
        <w:t>של</w:t>
      </w:r>
      <w:r w:rsidRPr="008B1175">
        <w:rPr>
          <w:rtl/>
        </w:rPr>
        <w:t xml:space="preserve"> </w:t>
      </w:r>
      <w:r w:rsidRPr="008B1175">
        <w:rPr>
          <w:rFonts w:hint="eastAsia"/>
          <w:rtl/>
        </w:rPr>
        <w:t>הכנסת</w:t>
      </w:r>
      <w:r w:rsidRPr="008B1175">
        <w:rPr>
          <w:rtl/>
        </w:rPr>
        <w:t xml:space="preserve"> – </w:t>
      </w:r>
      <w:r w:rsidRPr="008B1175">
        <w:rPr>
          <w:rFonts w:hint="eastAsia"/>
          <w:rtl/>
        </w:rPr>
        <w:t>לא</w:t>
      </w:r>
      <w:r w:rsidRPr="008B1175">
        <w:rPr>
          <w:rtl/>
        </w:rPr>
        <w:t xml:space="preserve"> </w:t>
      </w:r>
      <w:r w:rsidRPr="008B1175">
        <w:rPr>
          <w:rFonts w:hint="eastAsia"/>
          <w:rtl/>
        </w:rPr>
        <w:t>התקבלה</w:t>
      </w:r>
      <w:r w:rsidRPr="008B1175">
        <w:rPr>
          <w:rtl/>
        </w:rPr>
        <w:t xml:space="preserve"> </w:t>
      </w:r>
      <w:r w:rsidRPr="008B1175">
        <w:rPr>
          <w:rFonts w:hint="eastAsia"/>
          <w:rtl/>
        </w:rPr>
        <w:t>בעניין</w:t>
      </w:r>
      <w:r w:rsidRPr="008B1175">
        <w:rPr>
          <w:rtl/>
        </w:rPr>
        <w:t xml:space="preserve"> </w:t>
      </w:r>
      <w:r w:rsidRPr="008B1175">
        <w:rPr>
          <w:rFonts w:ascii="Century" w:hAnsi="Century" w:cs="Miriam" w:hint="eastAsia"/>
          <w:b/>
          <w:spacing w:val="0"/>
          <w:sz w:val="22"/>
          <w:szCs w:val="24"/>
          <w:rtl/>
        </w:rPr>
        <w:t>בנק</w:t>
      </w:r>
      <w:r w:rsidRPr="008B1175">
        <w:rPr>
          <w:rFonts w:ascii="Century" w:hAnsi="Century" w:cs="Miriam"/>
          <w:b/>
          <w:spacing w:val="0"/>
          <w:sz w:val="22"/>
          <w:szCs w:val="24"/>
          <w:rtl/>
        </w:rPr>
        <w:t xml:space="preserve"> </w:t>
      </w:r>
      <w:r w:rsidRPr="008B1175">
        <w:rPr>
          <w:rFonts w:ascii="Century" w:hAnsi="Century" w:cs="Miriam" w:hint="eastAsia"/>
          <w:b/>
          <w:spacing w:val="0"/>
          <w:sz w:val="22"/>
          <w:szCs w:val="24"/>
          <w:rtl/>
        </w:rPr>
        <w:t>המזרחי</w:t>
      </w:r>
      <w:r w:rsidRPr="008B1175">
        <w:rPr>
          <w:rtl/>
        </w:rPr>
        <w:t xml:space="preserve"> </w:t>
      </w:r>
      <w:r w:rsidRPr="008B1175">
        <w:rPr>
          <w:rFonts w:hint="eastAsia"/>
          <w:rtl/>
        </w:rPr>
        <w:t>ואף</w:t>
      </w:r>
      <w:r w:rsidRPr="008B1175">
        <w:rPr>
          <w:rtl/>
        </w:rPr>
        <w:t xml:space="preserve"> </w:t>
      </w:r>
      <w:r w:rsidRPr="008B1175">
        <w:rPr>
          <w:rFonts w:hint="eastAsia"/>
          <w:rtl/>
        </w:rPr>
        <w:t>לא</w:t>
      </w:r>
      <w:r w:rsidRPr="008B1175">
        <w:rPr>
          <w:rtl/>
        </w:rPr>
        <w:t xml:space="preserve"> </w:t>
      </w:r>
      <w:r w:rsidRPr="008B1175">
        <w:rPr>
          <w:rFonts w:hint="eastAsia"/>
          <w:rtl/>
        </w:rPr>
        <w:t>בעשורים</w:t>
      </w:r>
      <w:r w:rsidRPr="008B1175">
        <w:rPr>
          <w:rtl/>
        </w:rPr>
        <w:t xml:space="preserve"> </w:t>
      </w:r>
      <w:r w:rsidRPr="008B1175">
        <w:rPr>
          <w:rFonts w:hint="eastAsia"/>
          <w:rtl/>
        </w:rPr>
        <w:t>שחלפו</w:t>
      </w:r>
      <w:r w:rsidRPr="008B1175">
        <w:rPr>
          <w:rtl/>
        </w:rPr>
        <w:t xml:space="preserve"> </w:t>
      </w:r>
      <w:r w:rsidRPr="008B1175">
        <w:rPr>
          <w:rFonts w:hint="eastAsia"/>
          <w:rtl/>
        </w:rPr>
        <w:t>מאז</w:t>
      </w:r>
      <w:r w:rsidRPr="008B1175">
        <w:rPr>
          <w:rtl/>
        </w:rPr>
        <w:t xml:space="preserve">. </w:t>
      </w:r>
      <w:r w:rsidRPr="008B1175">
        <w:rPr>
          <w:rFonts w:hint="eastAsia"/>
          <w:rtl/>
        </w:rPr>
        <w:t>תחת</w:t>
      </w:r>
      <w:r w:rsidRPr="008B1175">
        <w:rPr>
          <w:rtl/>
        </w:rPr>
        <w:t xml:space="preserve"> </w:t>
      </w:r>
      <w:r w:rsidRPr="008B1175">
        <w:rPr>
          <w:rFonts w:hint="eastAsia"/>
          <w:rtl/>
        </w:rPr>
        <w:t>תפיסה</w:t>
      </w:r>
      <w:r w:rsidRPr="008B1175">
        <w:rPr>
          <w:rtl/>
        </w:rPr>
        <w:t xml:space="preserve"> </w:t>
      </w:r>
      <w:r w:rsidRPr="008B1175">
        <w:rPr>
          <w:rFonts w:hint="eastAsia"/>
          <w:rtl/>
        </w:rPr>
        <w:t>זו</w:t>
      </w:r>
      <w:r w:rsidRPr="008B1175">
        <w:rPr>
          <w:rtl/>
        </w:rPr>
        <w:t xml:space="preserve"> </w:t>
      </w:r>
      <w:r w:rsidRPr="008B1175">
        <w:rPr>
          <w:rFonts w:hint="eastAsia"/>
          <w:rtl/>
        </w:rPr>
        <w:t>אומצה</w:t>
      </w:r>
      <w:r w:rsidRPr="008B1175">
        <w:rPr>
          <w:rtl/>
        </w:rPr>
        <w:t xml:space="preserve"> </w:t>
      </w:r>
      <w:r w:rsidRPr="008B1175">
        <w:rPr>
          <w:rFonts w:hint="eastAsia"/>
          <w:rtl/>
        </w:rPr>
        <w:t>לאורך</w:t>
      </w:r>
      <w:r w:rsidRPr="008B1175">
        <w:rPr>
          <w:rtl/>
        </w:rPr>
        <w:t xml:space="preserve"> </w:t>
      </w:r>
      <w:r w:rsidRPr="008B1175">
        <w:rPr>
          <w:rFonts w:hint="eastAsia"/>
          <w:rtl/>
        </w:rPr>
        <w:t>השנים</w:t>
      </w:r>
      <w:r w:rsidRPr="008B1175">
        <w:rPr>
          <w:rtl/>
        </w:rPr>
        <w:t xml:space="preserve"> </w:t>
      </w:r>
      <w:r w:rsidRPr="008B1175">
        <w:rPr>
          <w:rFonts w:hint="eastAsia"/>
          <w:rtl/>
        </w:rPr>
        <w:t>תורת</w:t>
      </w:r>
      <w:r w:rsidRPr="008B1175">
        <w:rPr>
          <w:rtl/>
        </w:rPr>
        <w:t xml:space="preserve"> </w:t>
      </w:r>
      <w:r w:rsidRPr="008B1175">
        <w:rPr>
          <w:rFonts w:hint="eastAsia"/>
          <w:rtl/>
        </w:rPr>
        <w:t>הרשות</w:t>
      </w:r>
      <w:r w:rsidRPr="008B1175">
        <w:rPr>
          <w:rtl/>
        </w:rPr>
        <w:t xml:space="preserve"> </w:t>
      </w:r>
      <w:r w:rsidRPr="008B1175">
        <w:rPr>
          <w:rFonts w:hint="eastAsia"/>
          <w:rtl/>
        </w:rPr>
        <w:t>המכוננת</w:t>
      </w:r>
      <w:r w:rsidRPr="008B1175">
        <w:rPr>
          <w:rtl/>
        </w:rPr>
        <w:t xml:space="preserve">, </w:t>
      </w:r>
      <w:r w:rsidRPr="008B1175">
        <w:rPr>
          <w:rFonts w:hint="eastAsia"/>
          <w:rtl/>
        </w:rPr>
        <w:t>אשר</w:t>
      </w:r>
      <w:r w:rsidRPr="008B1175">
        <w:rPr>
          <w:rtl/>
        </w:rPr>
        <w:t xml:space="preserve"> </w:t>
      </w:r>
      <w:r w:rsidRPr="008B1175">
        <w:rPr>
          <w:rFonts w:hint="eastAsia"/>
          <w:rtl/>
        </w:rPr>
        <w:t>הכירה</w:t>
      </w:r>
      <w:r w:rsidRPr="008B1175">
        <w:rPr>
          <w:rtl/>
        </w:rPr>
        <w:t xml:space="preserve"> </w:t>
      </w:r>
      <w:r w:rsidRPr="008B1175">
        <w:rPr>
          <w:rFonts w:hint="eastAsia"/>
          <w:rtl/>
        </w:rPr>
        <w:t>בכך</w:t>
      </w:r>
      <w:r w:rsidRPr="008B1175">
        <w:rPr>
          <w:rtl/>
        </w:rPr>
        <w:t xml:space="preserve"> </w:t>
      </w:r>
      <w:r w:rsidRPr="008B1175">
        <w:rPr>
          <w:rFonts w:hint="eastAsia"/>
          <w:rtl/>
        </w:rPr>
        <w:t>שחוקי</w:t>
      </w:r>
      <w:r w:rsidRPr="008B1175">
        <w:rPr>
          <w:rtl/>
        </w:rPr>
        <w:t xml:space="preserve"> </w:t>
      </w:r>
      <w:r w:rsidRPr="008B1175">
        <w:rPr>
          <w:rFonts w:hint="eastAsia"/>
          <w:rtl/>
        </w:rPr>
        <w:t>היסוד</w:t>
      </w:r>
      <w:r w:rsidRPr="008B1175">
        <w:rPr>
          <w:rtl/>
        </w:rPr>
        <w:t xml:space="preserve"> </w:t>
      </w:r>
      <w:r w:rsidRPr="008B1175">
        <w:rPr>
          <w:rFonts w:hint="eastAsia"/>
          <w:rtl/>
        </w:rPr>
        <w:t>מגבילים</w:t>
      </w:r>
      <w:r w:rsidRPr="008B1175">
        <w:rPr>
          <w:rtl/>
        </w:rPr>
        <w:t xml:space="preserve"> </w:t>
      </w:r>
      <w:r w:rsidRPr="008B1175">
        <w:rPr>
          <w:rFonts w:hint="eastAsia"/>
          <w:rtl/>
        </w:rPr>
        <w:t>את</w:t>
      </w:r>
      <w:r w:rsidRPr="008B1175">
        <w:rPr>
          <w:rtl/>
        </w:rPr>
        <w:t xml:space="preserve"> </w:t>
      </w:r>
      <w:r w:rsidRPr="008B1175">
        <w:rPr>
          <w:rFonts w:hint="eastAsia"/>
          <w:rtl/>
        </w:rPr>
        <w:t>הכנסת</w:t>
      </w:r>
      <w:r w:rsidRPr="008B1175">
        <w:rPr>
          <w:rtl/>
        </w:rPr>
        <w:t xml:space="preserve"> </w:t>
      </w:r>
      <w:r w:rsidRPr="008B1175">
        <w:rPr>
          <w:rFonts w:hint="eastAsia"/>
          <w:rtl/>
        </w:rPr>
        <w:t>בחקיקת</w:t>
      </w:r>
      <w:r w:rsidRPr="008B1175">
        <w:rPr>
          <w:rtl/>
        </w:rPr>
        <w:t xml:space="preserve"> </w:t>
      </w:r>
      <w:r w:rsidRPr="008B1175">
        <w:rPr>
          <w:rFonts w:hint="eastAsia"/>
          <w:rtl/>
        </w:rPr>
        <w:t>חוקים</w:t>
      </w:r>
      <w:r w:rsidRPr="008B1175">
        <w:rPr>
          <w:rtl/>
        </w:rPr>
        <w:t xml:space="preserve">, </w:t>
      </w:r>
      <w:r w:rsidRPr="008B1175">
        <w:rPr>
          <w:rFonts w:hint="eastAsia"/>
          <w:rtl/>
        </w:rPr>
        <w:t>ולצד</w:t>
      </w:r>
      <w:r w:rsidRPr="008B1175">
        <w:rPr>
          <w:rtl/>
        </w:rPr>
        <w:t xml:space="preserve"> </w:t>
      </w:r>
      <w:r w:rsidRPr="008B1175">
        <w:rPr>
          <w:rFonts w:hint="eastAsia"/>
          <w:rtl/>
        </w:rPr>
        <w:t>זאת</w:t>
      </w:r>
      <w:r w:rsidRPr="008B1175">
        <w:rPr>
          <w:rtl/>
        </w:rPr>
        <w:t xml:space="preserve"> </w:t>
      </w:r>
      <w:r w:rsidRPr="008B1175">
        <w:rPr>
          <w:rFonts w:hint="eastAsia"/>
          <w:rtl/>
        </w:rPr>
        <w:t>לא</w:t>
      </w:r>
      <w:r w:rsidRPr="008B1175">
        <w:rPr>
          <w:rtl/>
        </w:rPr>
        <w:t xml:space="preserve"> </w:t>
      </w:r>
      <w:r w:rsidRPr="008B1175">
        <w:rPr>
          <w:rFonts w:hint="eastAsia"/>
          <w:rtl/>
        </w:rPr>
        <w:t>שללה</w:t>
      </w:r>
      <w:r w:rsidRPr="008B1175">
        <w:rPr>
          <w:rtl/>
        </w:rPr>
        <w:t xml:space="preserve"> </w:t>
      </w:r>
      <w:r w:rsidRPr="008B1175">
        <w:rPr>
          <w:rFonts w:hint="eastAsia"/>
          <w:rtl/>
        </w:rPr>
        <w:t>באופן</w:t>
      </w:r>
      <w:r w:rsidRPr="008B1175">
        <w:rPr>
          <w:rtl/>
        </w:rPr>
        <w:t xml:space="preserve"> </w:t>
      </w:r>
      <w:r w:rsidRPr="008B1175">
        <w:rPr>
          <w:rFonts w:hint="eastAsia"/>
          <w:rtl/>
        </w:rPr>
        <w:t>מושגי</w:t>
      </w:r>
      <w:r w:rsidRPr="008B1175">
        <w:rPr>
          <w:rtl/>
        </w:rPr>
        <w:t xml:space="preserve"> </w:t>
      </w:r>
      <w:r w:rsidRPr="008B1175">
        <w:rPr>
          <w:rFonts w:hint="eastAsia"/>
          <w:rtl/>
        </w:rPr>
        <w:t>את</w:t>
      </w:r>
      <w:r w:rsidRPr="008B1175">
        <w:rPr>
          <w:rtl/>
        </w:rPr>
        <w:t xml:space="preserve"> </w:t>
      </w:r>
      <w:r w:rsidRPr="008B1175">
        <w:rPr>
          <w:rFonts w:hint="eastAsia"/>
          <w:rtl/>
        </w:rPr>
        <w:t>קיומן</w:t>
      </w:r>
      <w:r w:rsidRPr="008B1175">
        <w:rPr>
          <w:rtl/>
        </w:rPr>
        <w:t xml:space="preserve"> </w:t>
      </w:r>
      <w:r w:rsidRPr="008B1175">
        <w:rPr>
          <w:rFonts w:hint="eastAsia"/>
          <w:rtl/>
        </w:rPr>
        <w:t>של</w:t>
      </w:r>
      <w:r w:rsidRPr="008B1175">
        <w:rPr>
          <w:rtl/>
        </w:rPr>
        <w:t xml:space="preserve"> </w:t>
      </w:r>
      <w:r w:rsidRPr="008B1175">
        <w:rPr>
          <w:rFonts w:hint="eastAsia"/>
          <w:rtl/>
        </w:rPr>
        <w:t>מגבלות</w:t>
      </w:r>
      <w:r w:rsidRPr="008B1175">
        <w:rPr>
          <w:rtl/>
        </w:rPr>
        <w:t xml:space="preserve"> </w:t>
      </w:r>
      <w:r w:rsidRPr="008B1175">
        <w:rPr>
          <w:rFonts w:hint="eastAsia"/>
          <w:rtl/>
        </w:rPr>
        <w:t>על</w:t>
      </w:r>
      <w:r w:rsidRPr="008B1175">
        <w:rPr>
          <w:rtl/>
        </w:rPr>
        <w:t xml:space="preserve"> </w:t>
      </w:r>
      <w:r w:rsidRPr="008B1175">
        <w:rPr>
          <w:rFonts w:hint="eastAsia"/>
          <w:rtl/>
        </w:rPr>
        <w:t>הרשות</w:t>
      </w:r>
      <w:r w:rsidRPr="008B1175">
        <w:rPr>
          <w:rtl/>
        </w:rPr>
        <w:t xml:space="preserve"> </w:t>
      </w:r>
      <w:r w:rsidRPr="008B1175">
        <w:rPr>
          <w:rFonts w:hint="eastAsia"/>
          <w:rtl/>
        </w:rPr>
        <w:t>המכוננת</w:t>
      </w:r>
      <w:r w:rsidRPr="008B1175">
        <w:rPr>
          <w:rtl/>
        </w:rPr>
        <w:t xml:space="preserve"> (</w:t>
      </w:r>
      <w:r w:rsidRPr="008B1175">
        <w:rPr>
          <w:rFonts w:hint="eastAsia"/>
          <w:rtl/>
        </w:rPr>
        <w:t>ראו</w:t>
      </w:r>
      <w:r w:rsidRPr="008B1175">
        <w:rPr>
          <w:rtl/>
        </w:rPr>
        <w:t xml:space="preserve">: </w:t>
      </w:r>
      <w:r w:rsidRPr="008B1175">
        <w:rPr>
          <w:rFonts w:hint="eastAsia"/>
          <w:rtl/>
        </w:rPr>
        <w:t>עניין</w:t>
      </w:r>
      <w:r w:rsidRPr="008B1175">
        <w:rPr>
          <w:rtl/>
        </w:rPr>
        <w:t xml:space="preserve"> </w:t>
      </w:r>
      <w:r w:rsidRPr="008B1175">
        <w:rPr>
          <w:rFonts w:ascii="Century" w:hAnsi="Century" w:cs="Miriam" w:hint="eastAsia"/>
          <w:b/>
          <w:spacing w:val="0"/>
          <w:sz w:val="22"/>
          <w:szCs w:val="24"/>
          <w:rtl/>
        </w:rPr>
        <w:t>בנק</w:t>
      </w:r>
      <w:r w:rsidRPr="008B1175">
        <w:rPr>
          <w:rFonts w:ascii="Century" w:hAnsi="Century" w:cs="Miriam"/>
          <w:b/>
          <w:spacing w:val="0"/>
          <w:sz w:val="22"/>
          <w:szCs w:val="24"/>
          <w:rtl/>
        </w:rPr>
        <w:t xml:space="preserve"> </w:t>
      </w:r>
      <w:r w:rsidRPr="008B1175">
        <w:rPr>
          <w:rFonts w:ascii="Century" w:hAnsi="Century" w:cs="Miriam" w:hint="eastAsia"/>
          <w:b/>
          <w:spacing w:val="0"/>
          <w:sz w:val="22"/>
          <w:szCs w:val="24"/>
          <w:rtl/>
        </w:rPr>
        <w:t>המזרחי</w:t>
      </w:r>
      <w:r w:rsidRPr="008B1175">
        <w:rPr>
          <w:rtl/>
        </w:rPr>
        <w:t xml:space="preserve">, </w:t>
      </w:r>
      <w:r w:rsidRPr="008B1175">
        <w:rPr>
          <w:rFonts w:hint="eastAsia"/>
          <w:rtl/>
        </w:rPr>
        <w:t>בעמ</w:t>
      </w:r>
      <w:r w:rsidRPr="008B1175">
        <w:rPr>
          <w:rtl/>
        </w:rPr>
        <w:t xml:space="preserve">' 394; </w:t>
      </w:r>
      <w:r w:rsidRPr="008B1175">
        <w:rPr>
          <w:rFonts w:hint="eastAsia"/>
          <w:rtl/>
        </w:rPr>
        <w:t>בג</w:t>
      </w:r>
      <w:r w:rsidRPr="008B1175">
        <w:rPr>
          <w:rtl/>
        </w:rPr>
        <w:t>"</w:t>
      </w:r>
      <w:r w:rsidRPr="008B1175">
        <w:rPr>
          <w:rFonts w:hint="eastAsia"/>
          <w:rtl/>
        </w:rPr>
        <w:t>ץ</w:t>
      </w:r>
      <w:r w:rsidRPr="008B1175">
        <w:rPr>
          <w:rtl/>
        </w:rPr>
        <w:t xml:space="preserve"> 4676/94 </w:t>
      </w:r>
      <w:r w:rsidRPr="008B1175">
        <w:rPr>
          <w:rFonts w:ascii="Century" w:hAnsi="Century" w:cs="Miriam" w:hint="eastAsia"/>
          <w:b/>
          <w:spacing w:val="0"/>
          <w:sz w:val="22"/>
          <w:szCs w:val="24"/>
          <w:rtl/>
        </w:rPr>
        <w:t>מיטראל</w:t>
      </w:r>
      <w:r w:rsidRPr="008B1175">
        <w:rPr>
          <w:rFonts w:ascii="Century" w:hAnsi="Century" w:cs="Miriam"/>
          <w:b/>
          <w:spacing w:val="0"/>
          <w:sz w:val="22"/>
          <w:szCs w:val="24"/>
          <w:rtl/>
        </w:rPr>
        <w:t xml:space="preserve"> </w:t>
      </w:r>
      <w:r w:rsidRPr="008B1175">
        <w:rPr>
          <w:rFonts w:ascii="Century" w:hAnsi="Century" w:cs="Miriam" w:hint="eastAsia"/>
          <w:b/>
          <w:spacing w:val="0"/>
          <w:sz w:val="22"/>
          <w:szCs w:val="24"/>
          <w:rtl/>
        </w:rPr>
        <w:t>בע</w:t>
      </w:r>
      <w:r w:rsidRPr="008B1175">
        <w:rPr>
          <w:rFonts w:ascii="Century" w:hAnsi="Century" w:cs="Miriam"/>
          <w:b/>
          <w:spacing w:val="0"/>
          <w:sz w:val="22"/>
          <w:szCs w:val="24"/>
          <w:rtl/>
        </w:rPr>
        <w:t>"</w:t>
      </w:r>
      <w:r w:rsidRPr="008B1175">
        <w:rPr>
          <w:rFonts w:ascii="Century" w:hAnsi="Century" w:cs="Miriam" w:hint="eastAsia"/>
          <w:b/>
          <w:spacing w:val="0"/>
          <w:sz w:val="22"/>
          <w:szCs w:val="24"/>
          <w:rtl/>
        </w:rPr>
        <w:t>מ</w:t>
      </w:r>
      <w:r w:rsidRPr="008B1175">
        <w:rPr>
          <w:rFonts w:ascii="Century" w:hAnsi="Century" w:cs="Miriam"/>
          <w:b/>
          <w:spacing w:val="0"/>
          <w:sz w:val="22"/>
          <w:szCs w:val="24"/>
          <w:rtl/>
        </w:rPr>
        <w:t xml:space="preserve"> </w:t>
      </w:r>
      <w:r w:rsidRPr="008B1175">
        <w:rPr>
          <w:rFonts w:ascii="Century" w:hAnsi="Century" w:cs="Miriam" w:hint="eastAsia"/>
          <w:b/>
          <w:spacing w:val="0"/>
          <w:sz w:val="22"/>
          <w:szCs w:val="24"/>
          <w:rtl/>
        </w:rPr>
        <w:t>נ</w:t>
      </w:r>
      <w:r w:rsidRPr="008B1175">
        <w:rPr>
          <w:rFonts w:ascii="Century" w:hAnsi="Century" w:cs="Miriam"/>
          <w:b/>
          <w:spacing w:val="0"/>
          <w:sz w:val="22"/>
          <w:szCs w:val="24"/>
          <w:rtl/>
        </w:rPr>
        <w:t xml:space="preserve">' </w:t>
      </w:r>
      <w:r w:rsidRPr="008B1175">
        <w:rPr>
          <w:rFonts w:ascii="Century" w:hAnsi="Century" w:cs="Miriam" w:hint="eastAsia"/>
          <w:b/>
          <w:spacing w:val="0"/>
          <w:sz w:val="22"/>
          <w:szCs w:val="24"/>
          <w:rtl/>
        </w:rPr>
        <w:t>כנסת</w:t>
      </w:r>
      <w:r w:rsidRPr="008B1175">
        <w:rPr>
          <w:rFonts w:ascii="Century" w:hAnsi="Century" w:cs="Miriam"/>
          <w:b/>
          <w:spacing w:val="0"/>
          <w:sz w:val="22"/>
          <w:szCs w:val="24"/>
          <w:rtl/>
        </w:rPr>
        <w:t xml:space="preserve"> </w:t>
      </w:r>
      <w:r w:rsidRPr="008B1175">
        <w:rPr>
          <w:rFonts w:ascii="Century" w:hAnsi="Century" w:cs="Miriam" w:hint="eastAsia"/>
          <w:b/>
          <w:spacing w:val="0"/>
          <w:sz w:val="22"/>
          <w:szCs w:val="24"/>
          <w:rtl/>
        </w:rPr>
        <w:t>ישראל</w:t>
      </w:r>
      <w:r w:rsidRPr="008B1175">
        <w:rPr>
          <w:rtl/>
        </w:rPr>
        <w:t xml:space="preserve">, </w:t>
      </w:r>
      <w:r w:rsidRPr="008B1175">
        <w:rPr>
          <w:rFonts w:hint="eastAsia"/>
          <w:rtl/>
        </w:rPr>
        <w:t>פ</w:t>
      </w:r>
      <w:r w:rsidRPr="008B1175">
        <w:rPr>
          <w:rtl/>
        </w:rPr>
        <w:t>"</w:t>
      </w:r>
      <w:r w:rsidRPr="008B1175">
        <w:rPr>
          <w:rFonts w:hint="eastAsia"/>
          <w:rtl/>
        </w:rPr>
        <w:t>ד</w:t>
      </w:r>
      <w:r w:rsidRPr="008B1175">
        <w:rPr>
          <w:rtl/>
        </w:rPr>
        <w:t xml:space="preserve"> </w:t>
      </w:r>
      <w:r w:rsidRPr="008B1175">
        <w:rPr>
          <w:rFonts w:hint="eastAsia"/>
          <w:rtl/>
        </w:rPr>
        <w:t>נ</w:t>
      </w:r>
      <w:r w:rsidRPr="008B1175">
        <w:rPr>
          <w:rtl/>
        </w:rPr>
        <w:t xml:space="preserve">(5) 15, 28 (1996); </w:t>
      </w:r>
      <w:r w:rsidRPr="008B1175">
        <w:rPr>
          <w:rFonts w:ascii="Century" w:hAnsi="Century" w:hint="eastAsia"/>
          <w:sz w:val="22"/>
          <w:rtl/>
        </w:rPr>
        <w:t>עניין</w:t>
      </w:r>
      <w:r w:rsidRPr="008B1175">
        <w:rPr>
          <w:rFonts w:ascii="Century" w:hAnsi="Century" w:cs="Miriam"/>
          <w:b/>
          <w:spacing w:val="0"/>
          <w:sz w:val="22"/>
          <w:szCs w:val="24"/>
          <w:rtl/>
        </w:rPr>
        <w:t xml:space="preserve"> </w:t>
      </w:r>
      <w:r w:rsidRPr="008B1175">
        <w:rPr>
          <w:rFonts w:ascii="Century" w:hAnsi="Century" w:cs="Miriam" w:hint="eastAsia"/>
          <w:b/>
          <w:spacing w:val="0"/>
          <w:sz w:val="22"/>
          <w:szCs w:val="24"/>
          <w:rtl/>
        </w:rPr>
        <w:t>חוק</w:t>
      </w:r>
      <w:r w:rsidRPr="008B1175">
        <w:rPr>
          <w:rFonts w:ascii="Century" w:hAnsi="Century" w:cs="Miriam"/>
          <w:b/>
          <w:spacing w:val="0"/>
          <w:sz w:val="22"/>
          <w:szCs w:val="24"/>
          <w:rtl/>
        </w:rPr>
        <w:t xml:space="preserve"> </w:t>
      </w:r>
      <w:r w:rsidRPr="008B1175">
        <w:rPr>
          <w:rFonts w:ascii="Century" w:hAnsi="Century" w:cs="Miriam" w:hint="eastAsia"/>
          <w:b/>
          <w:spacing w:val="0"/>
          <w:sz w:val="22"/>
          <w:szCs w:val="24"/>
          <w:rtl/>
        </w:rPr>
        <w:t>טל</w:t>
      </w:r>
      <w:r w:rsidRPr="008B1175">
        <w:rPr>
          <w:rtl/>
        </w:rPr>
        <w:t xml:space="preserve">, </w:t>
      </w:r>
      <w:r w:rsidRPr="008B1175">
        <w:rPr>
          <w:rFonts w:hint="eastAsia"/>
          <w:rtl/>
        </w:rPr>
        <w:t>בעמ</w:t>
      </w:r>
      <w:r w:rsidRPr="008B1175">
        <w:rPr>
          <w:rtl/>
        </w:rPr>
        <w:t xml:space="preserve">' 717; </w:t>
      </w:r>
      <w:r w:rsidRPr="008B1175">
        <w:rPr>
          <w:rFonts w:hint="eastAsia"/>
          <w:rtl/>
        </w:rPr>
        <w:t>עניין</w:t>
      </w:r>
      <w:r w:rsidRPr="008B1175">
        <w:rPr>
          <w:rtl/>
        </w:rPr>
        <w:t xml:space="preserve"> </w:t>
      </w:r>
      <w:r w:rsidRPr="008B1175">
        <w:rPr>
          <w:rFonts w:ascii="Century" w:hAnsi="Century" w:cs="Miriam" w:hint="eastAsia"/>
          <w:b/>
          <w:spacing w:val="0"/>
          <w:sz w:val="22"/>
          <w:szCs w:val="24"/>
          <w:rtl/>
        </w:rPr>
        <w:t>בר</w:t>
      </w:r>
      <w:r w:rsidRPr="008B1175">
        <w:rPr>
          <w:rFonts w:ascii="Century" w:hAnsi="Century" w:cs="Miriam"/>
          <w:b/>
          <w:spacing w:val="0"/>
          <w:sz w:val="22"/>
          <w:szCs w:val="24"/>
          <w:rtl/>
        </w:rPr>
        <w:t>-</w:t>
      </w:r>
      <w:r w:rsidRPr="008B1175">
        <w:rPr>
          <w:rFonts w:ascii="Century" w:hAnsi="Century" w:cs="Miriam" w:hint="eastAsia"/>
          <w:b/>
          <w:spacing w:val="0"/>
          <w:sz w:val="22"/>
          <w:szCs w:val="24"/>
          <w:rtl/>
        </w:rPr>
        <w:t>און</w:t>
      </w:r>
      <w:r w:rsidRPr="008B1175">
        <w:rPr>
          <w:rtl/>
        </w:rPr>
        <w:t xml:space="preserve">, </w:t>
      </w:r>
      <w:r w:rsidRPr="008B1175">
        <w:rPr>
          <w:rFonts w:hint="eastAsia"/>
          <w:rtl/>
        </w:rPr>
        <w:t>בעמ</w:t>
      </w:r>
      <w:r w:rsidRPr="008B1175">
        <w:rPr>
          <w:rtl/>
        </w:rPr>
        <w:t xml:space="preserve">' 312-311; </w:t>
      </w:r>
      <w:r w:rsidRPr="008B1175">
        <w:rPr>
          <w:rFonts w:hint="eastAsia"/>
          <w:rtl/>
        </w:rPr>
        <w:t>עניין</w:t>
      </w:r>
      <w:r w:rsidRPr="008B1175">
        <w:rPr>
          <w:rtl/>
        </w:rPr>
        <w:t xml:space="preserve"> </w:t>
      </w:r>
      <w:r w:rsidRPr="008B1175">
        <w:rPr>
          <w:rFonts w:ascii="Century" w:hAnsi="Century" w:cs="Miriam" w:hint="eastAsia"/>
          <w:b/>
          <w:spacing w:val="0"/>
          <w:szCs w:val="24"/>
          <w:rtl/>
        </w:rPr>
        <w:t>המרכז</w:t>
      </w:r>
      <w:r w:rsidRPr="008B1175">
        <w:rPr>
          <w:rFonts w:ascii="Century" w:hAnsi="Century" w:cs="Miriam"/>
          <w:b/>
          <w:spacing w:val="0"/>
          <w:szCs w:val="24"/>
          <w:rtl/>
        </w:rPr>
        <w:t xml:space="preserve"> </w:t>
      </w:r>
      <w:r w:rsidRPr="008B1175">
        <w:rPr>
          <w:rFonts w:ascii="Century" w:hAnsi="Century" w:cs="Miriam" w:hint="eastAsia"/>
          <w:b/>
          <w:spacing w:val="0"/>
          <w:szCs w:val="24"/>
          <w:rtl/>
        </w:rPr>
        <w:t>האקדמי</w:t>
      </w:r>
      <w:r w:rsidRPr="008B1175">
        <w:rPr>
          <w:rtl/>
        </w:rPr>
        <w:t xml:space="preserve">, </w:t>
      </w:r>
      <w:r w:rsidRPr="008B1175">
        <w:rPr>
          <w:rFonts w:hint="eastAsia"/>
          <w:rtl/>
        </w:rPr>
        <w:t>בפסקה</w:t>
      </w:r>
      <w:r w:rsidRPr="008B1175">
        <w:rPr>
          <w:rtl/>
        </w:rPr>
        <w:t xml:space="preserve"> </w:t>
      </w:r>
      <w:r w:rsidRPr="008B1175">
        <w:rPr>
          <w:rFonts w:hint="eastAsia"/>
          <w:rtl/>
        </w:rPr>
        <w:t>ל</w:t>
      </w:r>
      <w:r w:rsidRPr="008B1175">
        <w:rPr>
          <w:rtl/>
        </w:rPr>
        <w:t>"</w:t>
      </w:r>
      <w:r w:rsidRPr="008B1175">
        <w:rPr>
          <w:rFonts w:hint="eastAsia"/>
          <w:rtl/>
        </w:rPr>
        <w:t>ה</w:t>
      </w:r>
      <w:r w:rsidRPr="008B1175">
        <w:rPr>
          <w:rtl/>
        </w:rPr>
        <w:t xml:space="preserve"> </w:t>
      </w:r>
      <w:r w:rsidRPr="008B1175">
        <w:rPr>
          <w:rFonts w:hint="eastAsia"/>
          <w:rtl/>
        </w:rPr>
        <w:t>לחוות</w:t>
      </w:r>
      <w:r w:rsidRPr="008B1175">
        <w:rPr>
          <w:rtl/>
        </w:rPr>
        <w:t xml:space="preserve"> </w:t>
      </w:r>
      <w:r w:rsidRPr="008B1175">
        <w:rPr>
          <w:rFonts w:hint="eastAsia"/>
          <w:rtl/>
        </w:rPr>
        <w:t>דעתו</w:t>
      </w:r>
      <w:r w:rsidRPr="008B1175">
        <w:rPr>
          <w:rtl/>
        </w:rPr>
        <w:t xml:space="preserve"> </w:t>
      </w:r>
      <w:r w:rsidRPr="008B1175">
        <w:rPr>
          <w:rFonts w:hint="eastAsia"/>
          <w:rtl/>
        </w:rPr>
        <w:t>של</w:t>
      </w:r>
      <w:r w:rsidRPr="008B1175">
        <w:rPr>
          <w:rtl/>
        </w:rPr>
        <w:t xml:space="preserve"> </w:t>
      </w:r>
      <w:r w:rsidRPr="008B1175">
        <w:rPr>
          <w:rFonts w:ascii="Century" w:hAnsi="Century" w:hint="eastAsia"/>
          <w:rtl/>
        </w:rPr>
        <w:t>המשנה</w:t>
      </w:r>
      <w:r w:rsidRPr="008B1175">
        <w:rPr>
          <w:rFonts w:ascii="Century" w:hAnsi="Century"/>
          <w:rtl/>
        </w:rPr>
        <w:t xml:space="preserve"> </w:t>
      </w:r>
      <w:r w:rsidRPr="008B1175">
        <w:rPr>
          <w:rFonts w:ascii="Century" w:hAnsi="Century" w:hint="eastAsia"/>
          <w:rtl/>
        </w:rPr>
        <w:t>לנשיאה</w:t>
      </w:r>
      <w:r w:rsidRPr="008B1175">
        <w:rPr>
          <w:rFonts w:ascii="Century" w:hAnsi="Century"/>
          <w:rtl/>
        </w:rPr>
        <w:t xml:space="preserve"> (</w:t>
      </w:r>
      <w:r w:rsidRPr="008B1175">
        <w:rPr>
          <w:rFonts w:ascii="Century" w:hAnsi="Century" w:hint="eastAsia"/>
          <w:rtl/>
        </w:rPr>
        <w:t>בדימ</w:t>
      </w:r>
      <w:r w:rsidRPr="008B1175">
        <w:rPr>
          <w:rFonts w:ascii="Century" w:hAnsi="Century"/>
          <w:rtl/>
        </w:rPr>
        <w:t xml:space="preserve">') </w:t>
      </w:r>
      <w:r w:rsidRPr="008B1175">
        <w:rPr>
          <w:rFonts w:ascii="Century" w:hAnsi="Century" w:cs="Miriam" w:hint="eastAsia"/>
          <w:b/>
          <w:spacing w:val="0"/>
          <w:szCs w:val="24"/>
          <w:rtl/>
        </w:rPr>
        <w:t>רובינשטיין</w:t>
      </w:r>
      <w:r w:rsidRPr="008B1175">
        <w:rPr>
          <w:rtl/>
        </w:rPr>
        <w:t xml:space="preserve">; </w:t>
      </w:r>
      <w:r w:rsidRPr="008B1175">
        <w:rPr>
          <w:rFonts w:hint="eastAsia"/>
          <w:rtl/>
        </w:rPr>
        <w:t>בפסקה</w:t>
      </w:r>
      <w:r w:rsidRPr="008B1175">
        <w:rPr>
          <w:rtl/>
        </w:rPr>
        <w:t xml:space="preserve"> 3 </w:t>
      </w:r>
      <w:r w:rsidRPr="008B1175">
        <w:rPr>
          <w:rFonts w:hint="eastAsia"/>
          <w:rtl/>
        </w:rPr>
        <w:t>לחוות</w:t>
      </w:r>
      <w:r w:rsidRPr="008B1175">
        <w:rPr>
          <w:rtl/>
        </w:rPr>
        <w:t xml:space="preserve"> </w:t>
      </w:r>
      <w:r w:rsidRPr="008B1175">
        <w:rPr>
          <w:rFonts w:hint="eastAsia"/>
          <w:rtl/>
        </w:rPr>
        <w:t>דעתו</w:t>
      </w:r>
      <w:r w:rsidRPr="008B1175">
        <w:rPr>
          <w:rtl/>
        </w:rPr>
        <w:t xml:space="preserve"> </w:t>
      </w:r>
      <w:r w:rsidRPr="008B1175">
        <w:rPr>
          <w:rFonts w:hint="eastAsia"/>
          <w:rtl/>
        </w:rPr>
        <w:t>של</w:t>
      </w:r>
      <w:r w:rsidRPr="008B1175">
        <w:rPr>
          <w:rtl/>
        </w:rPr>
        <w:t xml:space="preserve"> </w:t>
      </w:r>
      <w:r w:rsidRPr="008B1175">
        <w:rPr>
          <w:rFonts w:hint="eastAsia"/>
          <w:rtl/>
        </w:rPr>
        <w:t>המשנה</w:t>
      </w:r>
      <w:r w:rsidRPr="008B1175">
        <w:rPr>
          <w:rtl/>
        </w:rPr>
        <w:t xml:space="preserve"> </w:t>
      </w:r>
      <w:r w:rsidRPr="008B1175">
        <w:rPr>
          <w:rFonts w:hint="eastAsia"/>
          <w:rtl/>
        </w:rPr>
        <w:t>לנשיאה</w:t>
      </w:r>
      <w:r w:rsidRPr="008B1175">
        <w:rPr>
          <w:rtl/>
        </w:rPr>
        <w:t xml:space="preserve"> (</w:t>
      </w:r>
      <w:r w:rsidRPr="008B1175">
        <w:rPr>
          <w:rFonts w:hint="eastAsia"/>
          <w:rtl/>
        </w:rPr>
        <w:t>בדימ</w:t>
      </w:r>
      <w:r w:rsidRPr="008B1175">
        <w:rPr>
          <w:rtl/>
        </w:rPr>
        <w:t xml:space="preserve">') </w:t>
      </w:r>
      <w:r w:rsidRPr="008B1175">
        <w:rPr>
          <w:rFonts w:ascii="Century" w:hAnsi="Century" w:cs="Miriam" w:hint="eastAsia"/>
          <w:b/>
          <w:spacing w:val="0"/>
          <w:szCs w:val="24"/>
          <w:rtl/>
        </w:rPr>
        <w:t>ג</w:t>
      </w:r>
      <w:r w:rsidRPr="008B1175">
        <w:rPr>
          <w:rFonts w:ascii="Century" w:hAnsi="Century" w:cs="Miriam"/>
          <w:b/>
          <w:spacing w:val="0"/>
          <w:szCs w:val="24"/>
          <w:rtl/>
        </w:rPr>
        <w:t>'</w:t>
      </w:r>
      <w:r w:rsidRPr="008B1175">
        <w:rPr>
          <w:rFonts w:ascii="Century" w:hAnsi="Century" w:cs="Miriam" w:hint="eastAsia"/>
          <w:b/>
          <w:spacing w:val="0"/>
          <w:szCs w:val="24"/>
          <w:rtl/>
        </w:rPr>
        <w:t>ובראן</w:t>
      </w:r>
      <w:r w:rsidRPr="008B1175">
        <w:rPr>
          <w:rtl/>
        </w:rPr>
        <w:t xml:space="preserve">; </w:t>
      </w:r>
      <w:r w:rsidRPr="008B1175">
        <w:rPr>
          <w:rFonts w:hint="eastAsia"/>
          <w:rtl/>
        </w:rPr>
        <w:t>ובפסקה</w:t>
      </w:r>
      <w:r w:rsidRPr="008B1175">
        <w:rPr>
          <w:rtl/>
        </w:rPr>
        <w:t xml:space="preserve"> 15 </w:t>
      </w:r>
      <w:r w:rsidRPr="008B1175">
        <w:rPr>
          <w:rFonts w:hint="eastAsia"/>
          <w:rtl/>
        </w:rPr>
        <w:t>לחוות</w:t>
      </w:r>
      <w:r w:rsidRPr="008B1175">
        <w:rPr>
          <w:rtl/>
        </w:rPr>
        <w:t xml:space="preserve"> </w:t>
      </w:r>
      <w:r w:rsidRPr="008B1175">
        <w:rPr>
          <w:rFonts w:hint="eastAsia"/>
          <w:rtl/>
        </w:rPr>
        <w:t>דעתו</w:t>
      </w:r>
      <w:r w:rsidRPr="008B1175">
        <w:rPr>
          <w:rtl/>
        </w:rPr>
        <w:t xml:space="preserve"> </w:t>
      </w:r>
      <w:r w:rsidRPr="008B1175">
        <w:rPr>
          <w:rFonts w:hint="eastAsia"/>
          <w:rtl/>
        </w:rPr>
        <w:t>של</w:t>
      </w:r>
      <w:r w:rsidRPr="008B1175">
        <w:rPr>
          <w:rtl/>
        </w:rPr>
        <w:t xml:space="preserve"> </w:t>
      </w:r>
      <w:r w:rsidRPr="008B1175">
        <w:rPr>
          <w:rFonts w:hint="eastAsia"/>
          <w:rtl/>
        </w:rPr>
        <w:t>השופט</w:t>
      </w:r>
      <w:r w:rsidRPr="008B1175">
        <w:rPr>
          <w:rtl/>
        </w:rPr>
        <w:t xml:space="preserve"> </w:t>
      </w:r>
      <w:r w:rsidRPr="008B1175">
        <w:rPr>
          <w:rFonts w:ascii="Century" w:hAnsi="Century" w:cs="Miriam" w:hint="eastAsia"/>
          <w:b/>
          <w:spacing w:val="0"/>
          <w:szCs w:val="24"/>
          <w:rtl/>
        </w:rPr>
        <w:t>פוגלמן</w:t>
      </w:r>
      <w:r w:rsidRPr="008B1175">
        <w:rPr>
          <w:rtl/>
        </w:rPr>
        <w:t xml:space="preserve">; </w:t>
      </w:r>
      <w:r w:rsidRPr="008B1175">
        <w:rPr>
          <w:rFonts w:hint="eastAsia"/>
          <w:rtl/>
        </w:rPr>
        <w:t>עניין</w:t>
      </w:r>
      <w:r w:rsidRPr="008B1175">
        <w:rPr>
          <w:rtl/>
        </w:rPr>
        <w:t xml:space="preserve"> </w:t>
      </w:r>
      <w:r w:rsidRPr="008B1175">
        <w:rPr>
          <w:rFonts w:ascii="Century" w:hAnsi="Century" w:cs="Miriam" w:hint="eastAsia"/>
          <w:b/>
          <w:spacing w:val="0"/>
          <w:szCs w:val="24"/>
          <w:rtl/>
        </w:rPr>
        <w:t>בן</w:t>
      </w:r>
      <w:r w:rsidRPr="008B1175">
        <w:rPr>
          <w:rFonts w:ascii="Century" w:hAnsi="Century" w:cs="Miriam"/>
          <w:b/>
          <w:spacing w:val="0"/>
          <w:szCs w:val="24"/>
          <w:rtl/>
        </w:rPr>
        <w:t xml:space="preserve"> </w:t>
      </w:r>
      <w:r w:rsidRPr="008B1175">
        <w:rPr>
          <w:rFonts w:ascii="Century" w:hAnsi="Century" w:cs="Miriam" w:hint="eastAsia"/>
          <w:b/>
          <w:spacing w:val="0"/>
          <w:szCs w:val="24"/>
          <w:rtl/>
        </w:rPr>
        <w:t>מאיר</w:t>
      </w:r>
      <w:r w:rsidRPr="008B1175">
        <w:rPr>
          <w:rtl/>
        </w:rPr>
        <w:t xml:space="preserve">, </w:t>
      </w:r>
      <w:r w:rsidRPr="008B1175">
        <w:rPr>
          <w:rFonts w:hint="eastAsia"/>
          <w:rtl/>
        </w:rPr>
        <w:t>בפסקה</w:t>
      </w:r>
      <w:r w:rsidRPr="008B1175">
        <w:rPr>
          <w:rtl/>
        </w:rPr>
        <w:t xml:space="preserve"> 24 </w:t>
      </w:r>
      <w:r w:rsidRPr="008B1175">
        <w:rPr>
          <w:rFonts w:hint="eastAsia"/>
          <w:rtl/>
        </w:rPr>
        <w:t>לחוות</w:t>
      </w:r>
      <w:r w:rsidRPr="008B1175">
        <w:rPr>
          <w:rtl/>
        </w:rPr>
        <w:t xml:space="preserve"> </w:t>
      </w:r>
      <w:r w:rsidRPr="008B1175">
        <w:rPr>
          <w:rFonts w:hint="eastAsia"/>
          <w:rtl/>
        </w:rPr>
        <w:t>דעתי</w:t>
      </w:r>
      <w:r w:rsidRPr="008B1175">
        <w:rPr>
          <w:rtl/>
        </w:rPr>
        <w:t xml:space="preserve"> </w:t>
      </w:r>
      <w:r w:rsidRPr="008B1175">
        <w:rPr>
          <w:rFonts w:hint="eastAsia"/>
          <w:rtl/>
        </w:rPr>
        <w:t>ובפסקה</w:t>
      </w:r>
      <w:r w:rsidRPr="008B1175">
        <w:rPr>
          <w:rtl/>
        </w:rPr>
        <w:t xml:space="preserve"> 11 </w:t>
      </w:r>
      <w:r w:rsidRPr="008B1175">
        <w:rPr>
          <w:rFonts w:hint="eastAsia"/>
          <w:rtl/>
        </w:rPr>
        <w:t>לחוות</w:t>
      </w:r>
      <w:r w:rsidRPr="008B1175">
        <w:rPr>
          <w:rtl/>
        </w:rPr>
        <w:t xml:space="preserve"> </w:t>
      </w:r>
      <w:r w:rsidRPr="008B1175">
        <w:rPr>
          <w:rFonts w:hint="eastAsia"/>
          <w:rtl/>
        </w:rPr>
        <w:t>דעתו</w:t>
      </w:r>
      <w:r w:rsidRPr="008B1175">
        <w:rPr>
          <w:rtl/>
        </w:rPr>
        <w:t xml:space="preserve"> </w:t>
      </w:r>
      <w:r w:rsidRPr="008B1175">
        <w:rPr>
          <w:rFonts w:hint="eastAsia"/>
          <w:rtl/>
        </w:rPr>
        <w:t>של</w:t>
      </w:r>
      <w:r w:rsidRPr="008B1175">
        <w:rPr>
          <w:rtl/>
        </w:rPr>
        <w:t xml:space="preserve"> </w:t>
      </w:r>
      <w:r w:rsidRPr="008B1175">
        <w:rPr>
          <w:rFonts w:hint="eastAsia"/>
          <w:rtl/>
        </w:rPr>
        <w:t>השופט</w:t>
      </w:r>
      <w:r w:rsidRPr="008B1175">
        <w:rPr>
          <w:rtl/>
        </w:rPr>
        <w:t xml:space="preserve"> </w:t>
      </w:r>
      <w:r w:rsidRPr="008B1175">
        <w:rPr>
          <w:rFonts w:ascii="Century" w:hAnsi="Century" w:cs="Miriam" w:hint="eastAsia"/>
          <w:b/>
          <w:spacing w:val="0"/>
          <w:szCs w:val="24"/>
          <w:rtl/>
        </w:rPr>
        <w:t>מזוז</w:t>
      </w:r>
      <w:r w:rsidRPr="008B1175">
        <w:rPr>
          <w:rtl/>
        </w:rPr>
        <w:t xml:space="preserve">). </w:t>
      </w:r>
      <w:r w:rsidRPr="008B1175">
        <w:rPr>
          <w:rFonts w:hint="eastAsia"/>
          <w:rtl/>
        </w:rPr>
        <w:t>בתלם</w:t>
      </w:r>
      <w:r w:rsidRPr="008B1175">
        <w:rPr>
          <w:rtl/>
        </w:rPr>
        <w:t xml:space="preserve"> </w:t>
      </w:r>
      <w:r w:rsidRPr="008B1175">
        <w:rPr>
          <w:rFonts w:hint="eastAsia"/>
          <w:rtl/>
        </w:rPr>
        <w:t>זה</w:t>
      </w:r>
      <w:r w:rsidRPr="008B1175">
        <w:rPr>
          <w:rtl/>
        </w:rPr>
        <w:t xml:space="preserve"> </w:t>
      </w:r>
      <w:r w:rsidRPr="008B1175">
        <w:rPr>
          <w:rFonts w:hint="eastAsia"/>
          <w:rtl/>
        </w:rPr>
        <w:t>צעדנו</w:t>
      </w:r>
      <w:r w:rsidRPr="008B1175">
        <w:rPr>
          <w:rtl/>
        </w:rPr>
        <w:t xml:space="preserve"> </w:t>
      </w:r>
      <w:r w:rsidRPr="008B1175">
        <w:rPr>
          <w:rFonts w:hint="eastAsia"/>
          <w:rtl/>
        </w:rPr>
        <w:t>אף</w:t>
      </w:r>
      <w:r w:rsidRPr="008B1175">
        <w:rPr>
          <w:rtl/>
        </w:rPr>
        <w:t xml:space="preserve"> </w:t>
      </w:r>
      <w:r w:rsidRPr="008B1175">
        <w:rPr>
          <w:rFonts w:hint="eastAsia"/>
          <w:rtl/>
        </w:rPr>
        <w:t>אנו</w:t>
      </w:r>
      <w:r w:rsidRPr="008B1175">
        <w:rPr>
          <w:rtl/>
        </w:rPr>
        <w:t xml:space="preserve"> </w:t>
      </w:r>
      <w:r w:rsidRPr="008B1175">
        <w:rPr>
          <w:rFonts w:hint="eastAsia"/>
          <w:rtl/>
        </w:rPr>
        <w:t>אך</w:t>
      </w:r>
      <w:r w:rsidRPr="008B1175">
        <w:rPr>
          <w:rtl/>
        </w:rPr>
        <w:t xml:space="preserve"> </w:t>
      </w:r>
      <w:r w:rsidRPr="008B1175">
        <w:rPr>
          <w:rFonts w:hint="eastAsia"/>
          <w:rtl/>
        </w:rPr>
        <w:t>לאחרונה</w:t>
      </w:r>
      <w:r w:rsidRPr="008B1175">
        <w:rPr>
          <w:rtl/>
        </w:rPr>
        <w:t xml:space="preserve"> </w:t>
      </w:r>
      <w:r w:rsidRPr="008B1175">
        <w:rPr>
          <w:rFonts w:hint="eastAsia"/>
          <w:rtl/>
        </w:rPr>
        <w:t>בהרכב</w:t>
      </w:r>
      <w:r w:rsidRPr="008B1175">
        <w:rPr>
          <w:rtl/>
        </w:rPr>
        <w:t xml:space="preserve"> </w:t>
      </w:r>
      <w:r w:rsidRPr="008B1175">
        <w:rPr>
          <w:rFonts w:hint="eastAsia"/>
          <w:rtl/>
        </w:rPr>
        <w:t>מורחב</w:t>
      </w:r>
      <w:r w:rsidRPr="008B1175">
        <w:rPr>
          <w:rtl/>
        </w:rPr>
        <w:t xml:space="preserve"> </w:t>
      </w:r>
      <w:r w:rsidRPr="008B1175">
        <w:rPr>
          <w:rFonts w:hint="eastAsia"/>
          <w:rtl/>
        </w:rPr>
        <w:t>בעניין</w:t>
      </w:r>
      <w:r w:rsidRPr="008B1175">
        <w:rPr>
          <w:rtl/>
        </w:rPr>
        <w:t xml:space="preserve"> </w:t>
      </w:r>
      <w:r w:rsidRPr="008B1175">
        <w:rPr>
          <w:rFonts w:ascii="Century" w:hAnsi="Century" w:cs="Miriam" w:hint="eastAsia"/>
          <w:b/>
          <w:spacing w:val="0"/>
          <w:sz w:val="22"/>
          <w:szCs w:val="24"/>
          <w:rtl/>
        </w:rPr>
        <w:t>חסון</w:t>
      </w:r>
      <w:r w:rsidRPr="008B1175">
        <w:rPr>
          <w:rtl/>
        </w:rPr>
        <w:t xml:space="preserve">, </w:t>
      </w:r>
      <w:r w:rsidRPr="008B1175">
        <w:rPr>
          <w:rFonts w:hint="eastAsia"/>
          <w:rtl/>
        </w:rPr>
        <w:t>שם</w:t>
      </w:r>
      <w:r w:rsidRPr="008B1175">
        <w:rPr>
          <w:rtl/>
        </w:rPr>
        <w:t xml:space="preserve"> </w:t>
      </w:r>
      <w:r w:rsidRPr="008B1175">
        <w:rPr>
          <w:rFonts w:hint="eastAsia"/>
          <w:rtl/>
        </w:rPr>
        <w:t>פסקנו</w:t>
      </w:r>
      <w:r w:rsidRPr="008B1175">
        <w:rPr>
          <w:rtl/>
        </w:rPr>
        <w:t xml:space="preserve"> </w:t>
      </w:r>
      <w:r w:rsidRPr="008B1175">
        <w:rPr>
          <w:rFonts w:hint="eastAsia"/>
          <w:rtl/>
        </w:rPr>
        <w:t>כי</w:t>
      </w:r>
      <w:r w:rsidRPr="008B1175">
        <w:rPr>
          <w:rtl/>
        </w:rPr>
        <w:t xml:space="preserve"> </w:t>
      </w:r>
      <w:r w:rsidRPr="008B1175">
        <w:rPr>
          <w:rFonts w:hint="eastAsia"/>
          <w:rtl/>
        </w:rPr>
        <w:t>הכנסת</w:t>
      </w:r>
      <w:r w:rsidRPr="008B1175">
        <w:rPr>
          <w:rtl/>
        </w:rPr>
        <w:t xml:space="preserve"> </w:t>
      </w:r>
      <w:r w:rsidRPr="008B1175">
        <w:rPr>
          <w:rFonts w:hint="eastAsia"/>
          <w:rtl/>
        </w:rPr>
        <w:t>איננה</w:t>
      </w:r>
      <w:r w:rsidRPr="008B1175">
        <w:rPr>
          <w:rtl/>
        </w:rPr>
        <w:t xml:space="preserve"> "</w:t>
      </w:r>
      <w:r w:rsidRPr="008B1175">
        <w:rPr>
          <w:rFonts w:hint="eastAsia"/>
          <w:rtl/>
        </w:rPr>
        <w:t>כל</w:t>
      </w:r>
      <w:r w:rsidRPr="008B1175">
        <w:rPr>
          <w:rtl/>
        </w:rPr>
        <w:t xml:space="preserve"> </w:t>
      </w:r>
      <w:r w:rsidRPr="008B1175">
        <w:rPr>
          <w:rFonts w:hint="eastAsia"/>
          <w:rtl/>
        </w:rPr>
        <w:t>יכולה</w:t>
      </w:r>
      <w:r w:rsidRPr="008B1175">
        <w:rPr>
          <w:rtl/>
        </w:rPr>
        <w:t xml:space="preserve">" </w:t>
      </w:r>
      <w:r w:rsidRPr="008B1175">
        <w:rPr>
          <w:rFonts w:hint="eastAsia"/>
          <w:rtl/>
        </w:rPr>
        <w:t>בבואה</w:t>
      </w:r>
      <w:r w:rsidRPr="008B1175">
        <w:rPr>
          <w:rtl/>
        </w:rPr>
        <w:t xml:space="preserve"> </w:t>
      </w:r>
      <w:r w:rsidRPr="008B1175">
        <w:rPr>
          <w:rFonts w:hint="eastAsia"/>
          <w:rtl/>
        </w:rPr>
        <w:t>לחוקק</w:t>
      </w:r>
      <w:r w:rsidRPr="008B1175">
        <w:rPr>
          <w:rtl/>
        </w:rPr>
        <w:t xml:space="preserve"> </w:t>
      </w:r>
      <w:r w:rsidRPr="008B1175">
        <w:rPr>
          <w:rFonts w:hint="eastAsia"/>
          <w:rtl/>
        </w:rPr>
        <w:t>חוקי</w:t>
      </w:r>
      <w:r w:rsidRPr="008B1175">
        <w:rPr>
          <w:rtl/>
        </w:rPr>
        <w:t xml:space="preserve"> </w:t>
      </w:r>
      <w:r w:rsidRPr="008B1175">
        <w:rPr>
          <w:rFonts w:hint="eastAsia"/>
          <w:rtl/>
        </w:rPr>
        <w:t>יסוד</w:t>
      </w:r>
      <w:r w:rsidRPr="008B1175">
        <w:rPr>
          <w:rtl/>
        </w:rPr>
        <w:t xml:space="preserve"> </w:t>
      </w:r>
      <w:r w:rsidRPr="008B1175">
        <w:rPr>
          <w:rFonts w:hint="eastAsia"/>
          <w:rtl/>
        </w:rPr>
        <w:t>וכי</w:t>
      </w:r>
      <w:r w:rsidRPr="008B1175">
        <w:rPr>
          <w:rtl/>
        </w:rPr>
        <w:t xml:space="preserve"> </w:t>
      </w:r>
      <w:r w:rsidRPr="008B1175">
        <w:rPr>
          <w:rFonts w:hint="eastAsia"/>
          <w:rtl/>
        </w:rPr>
        <w:t>אין</w:t>
      </w:r>
      <w:r w:rsidRPr="008B1175">
        <w:rPr>
          <w:rtl/>
        </w:rPr>
        <w:t xml:space="preserve"> </w:t>
      </w:r>
      <w:r w:rsidRPr="008B1175">
        <w:rPr>
          <w:rFonts w:hint="eastAsia"/>
          <w:rtl/>
        </w:rPr>
        <w:t>בסמכותה</w:t>
      </w:r>
      <w:r w:rsidRPr="008B1175">
        <w:rPr>
          <w:rtl/>
        </w:rPr>
        <w:t xml:space="preserve"> </w:t>
      </w:r>
      <w:r w:rsidRPr="008B1175">
        <w:rPr>
          <w:rFonts w:hint="eastAsia"/>
          <w:rtl/>
        </w:rPr>
        <w:t>לשלול</w:t>
      </w:r>
      <w:r w:rsidRPr="008B1175">
        <w:rPr>
          <w:rtl/>
        </w:rPr>
        <w:t xml:space="preserve"> </w:t>
      </w:r>
      <w:r w:rsidRPr="008B1175">
        <w:rPr>
          <w:rFonts w:hint="eastAsia"/>
          <w:rtl/>
        </w:rPr>
        <w:t>או</w:t>
      </w:r>
      <w:r w:rsidRPr="008B1175">
        <w:rPr>
          <w:rtl/>
        </w:rPr>
        <w:t xml:space="preserve"> </w:t>
      </w:r>
      <w:r w:rsidRPr="008B1175">
        <w:rPr>
          <w:rFonts w:hint="eastAsia"/>
          <w:rtl/>
        </w:rPr>
        <w:t>לסתור</w:t>
      </w:r>
      <w:r w:rsidRPr="008B1175">
        <w:rPr>
          <w:rtl/>
        </w:rPr>
        <w:t xml:space="preserve"> </w:t>
      </w:r>
      <w:r w:rsidRPr="008B1175">
        <w:rPr>
          <w:rFonts w:hint="eastAsia"/>
          <w:rtl/>
        </w:rPr>
        <w:t>חזיתית</w:t>
      </w:r>
      <w:r w:rsidRPr="008B1175">
        <w:rPr>
          <w:rtl/>
        </w:rPr>
        <w:t xml:space="preserve"> </w:t>
      </w:r>
      <w:r w:rsidRPr="008B1175">
        <w:rPr>
          <w:rFonts w:hint="eastAsia"/>
          <w:rtl/>
        </w:rPr>
        <w:t>את</w:t>
      </w:r>
      <w:r w:rsidRPr="008B1175">
        <w:rPr>
          <w:rtl/>
        </w:rPr>
        <w:t xml:space="preserve"> </w:t>
      </w:r>
      <w:r w:rsidRPr="008B1175">
        <w:rPr>
          <w:rFonts w:hint="eastAsia"/>
          <w:rtl/>
        </w:rPr>
        <w:t>מאפייניה</w:t>
      </w:r>
      <w:r w:rsidRPr="008B1175">
        <w:rPr>
          <w:rtl/>
        </w:rPr>
        <w:t xml:space="preserve"> </w:t>
      </w:r>
      <w:r w:rsidRPr="008B1175">
        <w:rPr>
          <w:rFonts w:hint="eastAsia"/>
          <w:rtl/>
        </w:rPr>
        <w:t>הגרעיניים</w:t>
      </w:r>
      <w:r w:rsidRPr="008B1175">
        <w:rPr>
          <w:rtl/>
        </w:rPr>
        <w:t xml:space="preserve"> </w:t>
      </w:r>
      <w:r w:rsidRPr="008B1175">
        <w:rPr>
          <w:rFonts w:hint="eastAsia"/>
          <w:rtl/>
        </w:rPr>
        <w:t>של</w:t>
      </w:r>
      <w:r w:rsidRPr="008B1175">
        <w:rPr>
          <w:rtl/>
        </w:rPr>
        <w:t xml:space="preserve"> </w:t>
      </w:r>
      <w:r w:rsidRPr="008B1175">
        <w:rPr>
          <w:rFonts w:hint="eastAsia"/>
          <w:rtl/>
        </w:rPr>
        <w:t>מדינת</w:t>
      </w:r>
      <w:r w:rsidRPr="008B1175">
        <w:rPr>
          <w:rtl/>
        </w:rPr>
        <w:t xml:space="preserve"> </w:t>
      </w:r>
      <w:r w:rsidRPr="008B1175">
        <w:rPr>
          <w:rFonts w:hint="eastAsia"/>
          <w:rtl/>
        </w:rPr>
        <w:t>ישראל</w:t>
      </w:r>
      <w:r w:rsidRPr="008B1175">
        <w:rPr>
          <w:rtl/>
        </w:rPr>
        <w:t xml:space="preserve"> </w:t>
      </w:r>
      <w:r w:rsidRPr="008B1175">
        <w:rPr>
          <w:rFonts w:hint="eastAsia"/>
          <w:rtl/>
        </w:rPr>
        <w:t>כמדינה</w:t>
      </w:r>
      <w:r w:rsidRPr="008B1175">
        <w:rPr>
          <w:rtl/>
        </w:rPr>
        <w:t xml:space="preserve"> </w:t>
      </w:r>
      <w:r w:rsidRPr="008B1175">
        <w:rPr>
          <w:rFonts w:hint="eastAsia"/>
          <w:rtl/>
        </w:rPr>
        <w:t>יהודית</w:t>
      </w:r>
      <w:r w:rsidRPr="008B1175">
        <w:rPr>
          <w:rtl/>
        </w:rPr>
        <w:t xml:space="preserve"> </w:t>
      </w:r>
      <w:r w:rsidRPr="008B1175">
        <w:rPr>
          <w:rFonts w:hint="eastAsia"/>
          <w:rtl/>
        </w:rPr>
        <w:t>ודמוקרטית</w:t>
      </w:r>
      <w:r w:rsidRPr="008B1175">
        <w:rPr>
          <w:rtl/>
        </w:rPr>
        <w:t xml:space="preserve">. </w:t>
      </w:r>
    </w:p>
    <w:p w:rsidR="00C044AE" w:rsidRPr="008B1175" w:rsidRDefault="00C044AE" w:rsidP="00C044AE">
      <w:pPr>
        <w:pStyle w:val="Ruller41"/>
        <w:rPr>
          <w:rtl/>
        </w:rPr>
      </w:pPr>
    </w:p>
    <w:p w:rsidR="00C044AE" w:rsidRPr="008B1175" w:rsidRDefault="00C044AE" w:rsidP="006F0D36">
      <w:pPr>
        <w:pStyle w:val="Ruller4"/>
      </w:pPr>
      <w:r w:rsidRPr="008B1175">
        <w:rPr>
          <w:rFonts w:hint="eastAsia"/>
          <w:rtl/>
        </w:rPr>
        <w:t>לדעת</w:t>
      </w:r>
      <w:r w:rsidRPr="008B1175">
        <w:rPr>
          <w:rtl/>
        </w:rPr>
        <w:t xml:space="preserve"> </w:t>
      </w:r>
      <w:r w:rsidRPr="008B1175">
        <w:rPr>
          <w:rFonts w:hint="eastAsia"/>
          <w:rtl/>
        </w:rPr>
        <w:t>חברי</w:t>
      </w:r>
      <w:r w:rsidRPr="008B1175">
        <w:rPr>
          <w:rtl/>
        </w:rPr>
        <w:t xml:space="preserve"> </w:t>
      </w:r>
      <w:r w:rsidRPr="008B1175">
        <w:rPr>
          <w:rFonts w:hint="eastAsia"/>
          <w:rtl/>
        </w:rPr>
        <w:t>השופט</w:t>
      </w:r>
      <w:r w:rsidRPr="008B1175">
        <w:rPr>
          <w:rtl/>
        </w:rPr>
        <w:t xml:space="preserve"> </w:t>
      </w:r>
      <w:r w:rsidRPr="008B1175">
        <w:rPr>
          <w:rFonts w:ascii="Century" w:hAnsi="Century" w:cs="Miriam" w:hint="eastAsia"/>
          <w:b/>
          <w:spacing w:val="0"/>
          <w:sz w:val="22"/>
          <w:szCs w:val="24"/>
          <w:rtl/>
        </w:rPr>
        <w:t>סולברג</w:t>
      </w:r>
      <w:r w:rsidRPr="008B1175">
        <w:rPr>
          <w:rtl/>
        </w:rPr>
        <w:t xml:space="preserve">, </w:t>
      </w:r>
      <w:r w:rsidRPr="008B1175">
        <w:rPr>
          <w:rFonts w:hint="eastAsia"/>
          <w:rtl/>
        </w:rPr>
        <w:t>בחרתי</w:t>
      </w:r>
      <w:r w:rsidRPr="008B1175">
        <w:rPr>
          <w:rtl/>
        </w:rPr>
        <w:t xml:space="preserve"> "</w:t>
      </w:r>
      <w:r w:rsidRPr="008B1175">
        <w:rPr>
          <w:rFonts w:hint="eastAsia"/>
          <w:rtl/>
        </w:rPr>
        <w:t>לילך</w:t>
      </w:r>
      <w:r w:rsidRPr="008B1175">
        <w:rPr>
          <w:rtl/>
        </w:rPr>
        <w:t xml:space="preserve"> </w:t>
      </w:r>
      <w:r w:rsidRPr="008B1175">
        <w:rPr>
          <w:rFonts w:hint="eastAsia"/>
          <w:rtl/>
        </w:rPr>
        <w:t>בדרך</w:t>
      </w:r>
      <w:r w:rsidRPr="008B1175">
        <w:rPr>
          <w:rtl/>
        </w:rPr>
        <w:t xml:space="preserve"> </w:t>
      </w:r>
      <w:r w:rsidRPr="008B1175">
        <w:rPr>
          <w:rFonts w:hint="eastAsia"/>
          <w:rtl/>
        </w:rPr>
        <w:t>קצרה</w:t>
      </w:r>
      <w:r w:rsidRPr="008B1175">
        <w:rPr>
          <w:rtl/>
        </w:rPr>
        <w:t xml:space="preserve">" </w:t>
      </w:r>
      <w:r w:rsidRPr="008B1175">
        <w:rPr>
          <w:rFonts w:hint="eastAsia"/>
          <w:rtl/>
        </w:rPr>
        <w:t>בכל</w:t>
      </w:r>
      <w:r w:rsidRPr="008B1175">
        <w:rPr>
          <w:rtl/>
        </w:rPr>
        <w:t xml:space="preserve"> </w:t>
      </w:r>
      <w:r w:rsidRPr="008B1175">
        <w:rPr>
          <w:rFonts w:hint="eastAsia"/>
          <w:rtl/>
        </w:rPr>
        <w:t>הנוגע</w:t>
      </w:r>
      <w:r w:rsidRPr="008B1175">
        <w:rPr>
          <w:rtl/>
        </w:rPr>
        <w:t xml:space="preserve"> </w:t>
      </w:r>
      <w:r w:rsidRPr="008B1175">
        <w:rPr>
          <w:rFonts w:hint="eastAsia"/>
          <w:rtl/>
        </w:rPr>
        <w:t>לשאלה</w:t>
      </w:r>
      <w:r w:rsidRPr="008B1175">
        <w:rPr>
          <w:rtl/>
        </w:rPr>
        <w:t xml:space="preserve"> </w:t>
      </w:r>
      <w:r w:rsidRPr="008B1175">
        <w:rPr>
          <w:rFonts w:hint="eastAsia"/>
          <w:rtl/>
        </w:rPr>
        <w:t>הבסיסית</w:t>
      </w:r>
      <w:r w:rsidRPr="008B1175">
        <w:rPr>
          <w:rtl/>
        </w:rPr>
        <w:t xml:space="preserve"> </w:t>
      </w:r>
      <w:r w:rsidRPr="008B1175">
        <w:rPr>
          <w:rFonts w:hint="eastAsia"/>
          <w:rtl/>
        </w:rPr>
        <w:t>בדבר</w:t>
      </w:r>
      <w:r w:rsidRPr="008B1175">
        <w:rPr>
          <w:rtl/>
        </w:rPr>
        <w:t xml:space="preserve"> </w:t>
      </w:r>
      <w:r w:rsidRPr="008B1175">
        <w:rPr>
          <w:rFonts w:hint="eastAsia"/>
          <w:rtl/>
        </w:rPr>
        <w:t>מקור</w:t>
      </w:r>
      <w:r w:rsidRPr="008B1175">
        <w:rPr>
          <w:rtl/>
        </w:rPr>
        <w:t xml:space="preserve"> </w:t>
      </w:r>
      <w:r w:rsidRPr="008B1175">
        <w:rPr>
          <w:rFonts w:hint="eastAsia"/>
          <w:rtl/>
        </w:rPr>
        <w:t>קיומן</w:t>
      </w:r>
      <w:r w:rsidRPr="008B1175">
        <w:rPr>
          <w:rtl/>
        </w:rPr>
        <w:t xml:space="preserve"> </w:t>
      </w:r>
      <w:r w:rsidRPr="008B1175">
        <w:rPr>
          <w:rFonts w:hint="eastAsia"/>
          <w:rtl/>
        </w:rPr>
        <w:t>של</w:t>
      </w:r>
      <w:r w:rsidRPr="008B1175">
        <w:rPr>
          <w:rtl/>
        </w:rPr>
        <w:t xml:space="preserve"> </w:t>
      </w:r>
      <w:r w:rsidRPr="008B1175">
        <w:rPr>
          <w:rFonts w:hint="eastAsia"/>
          <w:rtl/>
        </w:rPr>
        <w:t>מגבלות</w:t>
      </w:r>
      <w:r w:rsidRPr="008B1175">
        <w:rPr>
          <w:rtl/>
        </w:rPr>
        <w:t xml:space="preserve"> </w:t>
      </w:r>
      <w:r w:rsidRPr="008B1175">
        <w:rPr>
          <w:rFonts w:hint="eastAsia"/>
          <w:rtl/>
        </w:rPr>
        <w:t>על</w:t>
      </w:r>
      <w:r w:rsidRPr="008B1175">
        <w:rPr>
          <w:rtl/>
        </w:rPr>
        <w:t xml:space="preserve"> </w:t>
      </w:r>
      <w:r w:rsidRPr="008B1175">
        <w:rPr>
          <w:rFonts w:hint="eastAsia"/>
          <w:rtl/>
        </w:rPr>
        <w:t>הסמכות</w:t>
      </w:r>
      <w:r w:rsidRPr="008B1175">
        <w:rPr>
          <w:rtl/>
        </w:rPr>
        <w:t xml:space="preserve"> </w:t>
      </w:r>
      <w:r w:rsidRPr="008B1175">
        <w:rPr>
          <w:rFonts w:hint="eastAsia"/>
          <w:rtl/>
        </w:rPr>
        <w:t>המכוננת</w:t>
      </w:r>
      <w:r w:rsidRPr="008B1175">
        <w:rPr>
          <w:rtl/>
        </w:rPr>
        <w:t xml:space="preserve">, </w:t>
      </w:r>
      <w:r w:rsidRPr="008B1175">
        <w:rPr>
          <w:rFonts w:hint="eastAsia"/>
          <w:rtl/>
        </w:rPr>
        <w:t>והוא</w:t>
      </w:r>
      <w:r w:rsidRPr="008B1175">
        <w:rPr>
          <w:rtl/>
        </w:rPr>
        <w:t xml:space="preserve"> </w:t>
      </w:r>
      <w:r w:rsidRPr="008B1175">
        <w:rPr>
          <w:rFonts w:hint="eastAsia"/>
          <w:rtl/>
        </w:rPr>
        <w:t>מוסיף</w:t>
      </w:r>
      <w:r w:rsidRPr="008B1175">
        <w:rPr>
          <w:rtl/>
        </w:rPr>
        <w:t xml:space="preserve"> </w:t>
      </w:r>
      <w:r w:rsidRPr="008B1175">
        <w:rPr>
          <w:rFonts w:hint="eastAsia"/>
          <w:rtl/>
        </w:rPr>
        <w:t>ומציין</w:t>
      </w:r>
      <w:r w:rsidRPr="008B1175">
        <w:rPr>
          <w:rtl/>
        </w:rPr>
        <w:t xml:space="preserve"> </w:t>
      </w:r>
      <w:r w:rsidRPr="008B1175">
        <w:rPr>
          <w:rFonts w:hint="eastAsia"/>
          <w:rtl/>
        </w:rPr>
        <w:t>כי</w:t>
      </w:r>
      <w:r w:rsidRPr="008B1175">
        <w:rPr>
          <w:rtl/>
        </w:rPr>
        <w:t xml:space="preserve"> </w:t>
      </w:r>
      <w:r w:rsidRPr="008B1175">
        <w:rPr>
          <w:rFonts w:hint="eastAsia"/>
          <w:rtl/>
        </w:rPr>
        <w:t>לא</w:t>
      </w:r>
      <w:r w:rsidRPr="008B1175">
        <w:rPr>
          <w:rtl/>
        </w:rPr>
        <w:t xml:space="preserve"> </w:t>
      </w:r>
      <w:r w:rsidRPr="008B1175">
        <w:rPr>
          <w:rFonts w:hint="eastAsia"/>
          <w:rtl/>
        </w:rPr>
        <w:t>ברור</w:t>
      </w:r>
      <w:r w:rsidRPr="008B1175">
        <w:rPr>
          <w:rtl/>
        </w:rPr>
        <w:t xml:space="preserve"> </w:t>
      </w:r>
      <w:r w:rsidRPr="008B1175">
        <w:rPr>
          <w:rFonts w:hint="eastAsia"/>
          <w:rtl/>
        </w:rPr>
        <w:t>מהם</w:t>
      </w:r>
      <w:r w:rsidRPr="008B1175">
        <w:rPr>
          <w:rtl/>
        </w:rPr>
        <w:t xml:space="preserve"> </w:t>
      </w:r>
      <w:r w:rsidRPr="008B1175">
        <w:rPr>
          <w:rFonts w:hint="eastAsia"/>
          <w:rtl/>
        </w:rPr>
        <w:t>אותם</w:t>
      </w:r>
      <w:r w:rsidRPr="008B1175">
        <w:rPr>
          <w:rtl/>
        </w:rPr>
        <w:t xml:space="preserve"> "</w:t>
      </w:r>
      <w:r w:rsidRPr="008B1175">
        <w:rPr>
          <w:rFonts w:hint="eastAsia"/>
          <w:rtl/>
        </w:rPr>
        <w:t>נתונים</w:t>
      </w:r>
      <w:r w:rsidRPr="008B1175">
        <w:rPr>
          <w:rtl/>
        </w:rPr>
        <w:t xml:space="preserve"> </w:t>
      </w:r>
      <w:r w:rsidRPr="008B1175">
        <w:rPr>
          <w:rFonts w:hint="eastAsia"/>
          <w:rtl/>
        </w:rPr>
        <w:t>חוקתיים</w:t>
      </w:r>
      <w:r w:rsidRPr="008B1175">
        <w:rPr>
          <w:rtl/>
        </w:rPr>
        <w:t xml:space="preserve">" </w:t>
      </w:r>
      <w:r w:rsidRPr="008B1175">
        <w:rPr>
          <w:rFonts w:hint="eastAsia"/>
          <w:rtl/>
        </w:rPr>
        <w:t>שמהם</w:t>
      </w:r>
      <w:r w:rsidRPr="008B1175">
        <w:rPr>
          <w:rtl/>
        </w:rPr>
        <w:t xml:space="preserve"> </w:t>
      </w:r>
      <w:r w:rsidRPr="008B1175">
        <w:rPr>
          <w:rFonts w:hint="eastAsia"/>
          <w:rtl/>
        </w:rPr>
        <w:t>נלמדות</w:t>
      </w:r>
      <w:r w:rsidRPr="008B1175">
        <w:rPr>
          <w:rtl/>
        </w:rPr>
        <w:t xml:space="preserve"> </w:t>
      </w:r>
      <w:r w:rsidRPr="008B1175">
        <w:rPr>
          <w:rFonts w:hint="eastAsia"/>
          <w:rtl/>
        </w:rPr>
        <w:t>מגבלות</w:t>
      </w:r>
      <w:r w:rsidRPr="008B1175">
        <w:rPr>
          <w:rtl/>
        </w:rPr>
        <w:t xml:space="preserve"> </w:t>
      </w:r>
      <w:r w:rsidRPr="008B1175">
        <w:rPr>
          <w:rFonts w:hint="eastAsia"/>
          <w:rtl/>
        </w:rPr>
        <w:t>אלה</w:t>
      </w:r>
      <w:r w:rsidRPr="008B1175">
        <w:rPr>
          <w:rtl/>
        </w:rPr>
        <w:t xml:space="preserve"> (</w:t>
      </w:r>
      <w:r w:rsidRPr="008B1175">
        <w:rPr>
          <w:rFonts w:hint="eastAsia"/>
          <w:rtl/>
        </w:rPr>
        <w:t>פסקה</w:t>
      </w:r>
      <w:r w:rsidRPr="008B1175">
        <w:rPr>
          <w:rtl/>
        </w:rPr>
        <w:t xml:space="preserve"> </w:t>
      </w:r>
      <w:r w:rsidR="00C914FE">
        <w:rPr>
          <w:rFonts w:hint="cs"/>
          <w:rtl/>
        </w:rPr>
        <w:t>105</w:t>
      </w:r>
      <w:r w:rsidRPr="008B1175">
        <w:rPr>
          <w:rtl/>
        </w:rPr>
        <w:t xml:space="preserve"> </w:t>
      </w:r>
      <w:r w:rsidRPr="008B1175">
        <w:rPr>
          <w:rFonts w:hint="eastAsia"/>
          <w:rtl/>
        </w:rPr>
        <w:t>לחוות</w:t>
      </w:r>
      <w:r w:rsidRPr="008B1175">
        <w:rPr>
          <w:rtl/>
        </w:rPr>
        <w:t xml:space="preserve"> </w:t>
      </w:r>
      <w:r w:rsidRPr="008B1175">
        <w:rPr>
          <w:rFonts w:hint="eastAsia"/>
          <w:rtl/>
        </w:rPr>
        <w:t>דעתו</w:t>
      </w:r>
      <w:r w:rsidRPr="008B1175">
        <w:rPr>
          <w:rtl/>
        </w:rPr>
        <w:t xml:space="preserve">). </w:t>
      </w:r>
      <w:r w:rsidR="00D51819">
        <w:rPr>
          <w:rFonts w:hint="cs"/>
          <w:rtl/>
        </w:rPr>
        <w:t xml:space="preserve">לעניין זה אין לי אלא לשוב ולהפנות </w:t>
      </w:r>
      <w:r w:rsidRPr="008B1175">
        <w:rPr>
          <w:rFonts w:hint="eastAsia"/>
          <w:rtl/>
        </w:rPr>
        <w:t>לאמור</w:t>
      </w:r>
      <w:r w:rsidRPr="008B1175">
        <w:rPr>
          <w:rtl/>
        </w:rPr>
        <w:t xml:space="preserve"> </w:t>
      </w:r>
      <w:r w:rsidRPr="008B1175">
        <w:rPr>
          <w:rFonts w:hint="eastAsia"/>
          <w:rtl/>
        </w:rPr>
        <w:t>בפסקאות</w:t>
      </w:r>
      <w:r w:rsidRPr="008B1175">
        <w:rPr>
          <w:rtl/>
        </w:rPr>
        <w:t xml:space="preserve"> 67-64 </w:t>
      </w:r>
      <w:r w:rsidRPr="008B1175">
        <w:rPr>
          <w:rFonts w:hint="eastAsia"/>
          <w:rtl/>
        </w:rPr>
        <w:t>לעיל</w:t>
      </w:r>
      <w:r w:rsidRPr="008B1175">
        <w:rPr>
          <w:rtl/>
        </w:rPr>
        <w:t xml:space="preserve"> </w:t>
      </w:r>
      <w:r w:rsidRPr="008B1175">
        <w:rPr>
          <w:rFonts w:hint="eastAsia"/>
          <w:rtl/>
        </w:rPr>
        <w:t>וכן</w:t>
      </w:r>
      <w:r w:rsidRPr="008B1175">
        <w:rPr>
          <w:rtl/>
        </w:rPr>
        <w:t xml:space="preserve"> </w:t>
      </w:r>
      <w:r w:rsidRPr="008B1175">
        <w:rPr>
          <w:rFonts w:hint="eastAsia"/>
          <w:rtl/>
        </w:rPr>
        <w:t>לפסקאות</w:t>
      </w:r>
      <w:r w:rsidRPr="008B1175">
        <w:rPr>
          <w:rtl/>
        </w:rPr>
        <w:t xml:space="preserve"> 31-19 </w:t>
      </w:r>
      <w:r w:rsidRPr="008B1175">
        <w:rPr>
          <w:rFonts w:hint="eastAsia"/>
          <w:rtl/>
        </w:rPr>
        <w:t>לחוות</w:t>
      </w:r>
      <w:r w:rsidRPr="008B1175">
        <w:rPr>
          <w:rtl/>
        </w:rPr>
        <w:t xml:space="preserve"> </w:t>
      </w:r>
      <w:r w:rsidRPr="008B1175">
        <w:rPr>
          <w:rFonts w:hint="eastAsia"/>
          <w:rtl/>
        </w:rPr>
        <w:t>דעתי</w:t>
      </w:r>
      <w:r w:rsidRPr="008B1175">
        <w:rPr>
          <w:rtl/>
        </w:rPr>
        <w:t xml:space="preserve"> </w:t>
      </w:r>
      <w:r w:rsidRPr="008B1175">
        <w:rPr>
          <w:rFonts w:hint="eastAsia"/>
          <w:rtl/>
        </w:rPr>
        <w:t>בעניין</w:t>
      </w:r>
      <w:r w:rsidRPr="008B1175">
        <w:rPr>
          <w:rtl/>
        </w:rPr>
        <w:t xml:space="preserve"> </w:t>
      </w:r>
      <w:r w:rsidRPr="008B1175">
        <w:rPr>
          <w:rFonts w:ascii="Century" w:hAnsi="Century" w:cs="Miriam" w:hint="eastAsia"/>
          <w:b/>
          <w:spacing w:val="0"/>
          <w:sz w:val="22"/>
          <w:szCs w:val="24"/>
          <w:rtl/>
        </w:rPr>
        <w:t>חסון</w:t>
      </w:r>
      <w:r w:rsidRPr="008B1175">
        <w:rPr>
          <w:rFonts w:hint="cs"/>
          <w:rtl/>
        </w:rPr>
        <w:t>,</w:t>
      </w:r>
      <w:r w:rsidRPr="008B1175">
        <w:rPr>
          <w:rtl/>
        </w:rPr>
        <w:t xml:space="preserve"> </w:t>
      </w:r>
      <w:r w:rsidRPr="008B1175">
        <w:rPr>
          <w:rFonts w:hint="eastAsia"/>
          <w:rtl/>
        </w:rPr>
        <w:t>המתייחסות</w:t>
      </w:r>
      <w:r w:rsidRPr="008B1175">
        <w:rPr>
          <w:rtl/>
        </w:rPr>
        <w:t xml:space="preserve"> </w:t>
      </w:r>
      <w:r w:rsidRPr="008B1175">
        <w:rPr>
          <w:rFonts w:hint="eastAsia"/>
          <w:rtl/>
        </w:rPr>
        <w:t>אף</w:t>
      </w:r>
      <w:r w:rsidRPr="008B1175">
        <w:rPr>
          <w:rtl/>
        </w:rPr>
        <w:t xml:space="preserve"> </w:t>
      </w:r>
      <w:r w:rsidRPr="008B1175">
        <w:rPr>
          <w:rFonts w:hint="eastAsia"/>
          <w:rtl/>
        </w:rPr>
        <w:t>הן</w:t>
      </w:r>
      <w:r w:rsidRPr="008B1175">
        <w:rPr>
          <w:rtl/>
        </w:rPr>
        <w:t xml:space="preserve"> </w:t>
      </w:r>
      <w:r w:rsidRPr="008B1175">
        <w:rPr>
          <w:rFonts w:hint="eastAsia"/>
          <w:rtl/>
        </w:rPr>
        <w:t>לאותה</w:t>
      </w:r>
      <w:r w:rsidRPr="008B1175">
        <w:rPr>
          <w:rtl/>
        </w:rPr>
        <w:t xml:space="preserve"> </w:t>
      </w:r>
      <w:r w:rsidRPr="008B1175">
        <w:rPr>
          <w:rFonts w:hint="eastAsia"/>
          <w:rtl/>
        </w:rPr>
        <w:t>סוגיה</w:t>
      </w:r>
      <w:r w:rsidRPr="008B1175">
        <w:rPr>
          <w:rtl/>
        </w:rPr>
        <w:t xml:space="preserve">. </w:t>
      </w:r>
      <w:r w:rsidRPr="008B1175">
        <w:rPr>
          <w:rFonts w:hint="eastAsia"/>
          <w:rtl/>
        </w:rPr>
        <w:t>לגישתי</w:t>
      </w:r>
      <w:r w:rsidRPr="008B1175">
        <w:rPr>
          <w:rtl/>
        </w:rPr>
        <w:t xml:space="preserve">, </w:t>
      </w:r>
      <w:r w:rsidRPr="008B1175">
        <w:rPr>
          <w:rFonts w:hint="eastAsia"/>
          <w:rtl/>
        </w:rPr>
        <w:t>הכרזת</w:t>
      </w:r>
      <w:r w:rsidRPr="008B1175">
        <w:rPr>
          <w:rtl/>
        </w:rPr>
        <w:t xml:space="preserve"> </w:t>
      </w:r>
      <w:r w:rsidRPr="008B1175">
        <w:rPr>
          <w:rFonts w:hint="eastAsia"/>
          <w:rtl/>
        </w:rPr>
        <w:t>העצמאות</w:t>
      </w:r>
      <w:r w:rsidRPr="008B1175">
        <w:rPr>
          <w:rtl/>
        </w:rPr>
        <w:t xml:space="preserve">, </w:t>
      </w:r>
      <w:r w:rsidRPr="008B1175">
        <w:rPr>
          <w:rFonts w:hint="eastAsia"/>
          <w:rtl/>
        </w:rPr>
        <w:t>חוקי</w:t>
      </w:r>
      <w:r w:rsidRPr="008B1175">
        <w:rPr>
          <w:rtl/>
        </w:rPr>
        <w:t xml:space="preserve"> </w:t>
      </w:r>
      <w:r w:rsidRPr="008B1175">
        <w:rPr>
          <w:rFonts w:hint="eastAsia"/>
          <w:rtl/>
        </w:rPr>
        <w:t>היסוד</w:t>
      </w:r>
      <w:r w:rsidRPr="008B1175">
        <w:rPr>
          <w:rtl/>
        </w:rPr>
        <w:t xml:space="preserve"> </w:t>
      </w:r>
      <w:r w:rsidRPr="008B1175">
        <w:rPr>
          <w:rFonts w:hint="eastAsia"/>
          <w:rtl/>
        </w:rPr>
        <w:t>ודברי</w:t>
      </w:r>
      <w:r w:rsidRPr="008B1175">
        <w:rPr>
          <w:rtl/>
        </w:rPr>
        <w:t xml:space="preserve"> </w:t>
      </w:r>
      <w:r w:rsidRPr="008B1175">
        <w:rPr>
          <w:rFonts w:hint="eastAsia"/>
          <w:rtl/>
        </w:rPr>
        <w:t>החקיקה</w:t>
      </w:r>
      <w:r w:rsidRPr="008B1175">
        <w:rPr>
          <w:rtl/>
        </w:rPr>
        <w:t xml:space="preserve"> </w:t>
      </w:r>
      <w:r w:rsidRPr="008B1175">
        <w:rPr>
          <w:rFonts w:hint="eastAsia"/>
          <w:rtl/>
        </w:rPr>
        <w:t>שחוקקה</w:t>
      </w:r>
      <w:r w:rsidRPr="008B1175">
        <w:rPr>
          <w:rtl/>
        </w:rPr>
        <w:t xml:space="preserve"> </w:t>
      </w:r>
      <w:r w:rsidRPr="008B1175">
        <w:rPr>
          <w:rFonts w:hint="eastAsia"/>
          <w:rtl/>
        </w:rPr>
        <w:t>הכנסת</w:t>
      </w:r>
      <w:r w:rsidRPr="008B1175">
        <w:rPr>
          <w:rtl/>
        </w:rPr>
        <w:t xml:space="preserve"> </w:t>
      </w:r>
      <w:r w:rsidRPr="008B1175">
        <w:rPr>
          <w:rFonts w:hint="eastAsia"/>
          <w:rtl/>
        </w:rPr>
        <w:t>לאורך</w:t>
      </w:r>
      <w:r w:rsidRPr="008B1175">
        <w:rPr>
          <w:rtl/>
        </w:rPr>
        <w:t xml:space="preserve"> </w:t>
      </w:r>
      <w:r w:rsidRPr="008B1175">
        <w:rPr>
          <w:rFonts w:hint="eastAsia"/>
          <w:rtl/>
        </w:rPr>
        <w:t>השנים</w:t>
      </w:r>
      <w:r w:rsidRPr="008B1175">
        <w:rPr>
          <w:rtl/>
        </w:rPr>
        <w:t xml:space="preserve"> </w:t>
      </w:r>
      <w:r w:rsidRPr="008B1175">
        <w:rPr>
          <w:rFonts w:hint="eastAsia"/>
          <w:rtl/>
        </w:rPr>
        <w:t>כמו</w:t>
      </w:r>
      <w:r w:rsidRPr="008B1175">
        <w:rPr>
          <w:rtl/>
        </w:rPr>
        <w:t xml:space="preserve"> </w:t>
      </w:r>
      <w:r w:rsidRPr="008B1175">
        <w:rPr>
          <w:rFonts w:hint="eastAsia"/>
          <w:rtl/>
        </w:rPr>
        <w:t>גם</w:t>
      </w:r>
      <w:r w:rsidRPr="008B1175">
        <w:rPr>
          <w:rtl/>
        </w:rPr>
        <w:t xml:space="preserve"> </w:t>
      </w:r>
      <w:r w:rsidRPr="008B1175">
        <w:rPr>
          <w:rFonts w:hint="eastAsia"/>
          <w:rtl/>
        </w:rPr>
        <w:t>פסיקת</w:t>
      </w:r>
      <w:r w:rsidRPr="008B1175">
        <w:rPr>
          <w:rtl/>
        </w:rPr>
        <w:t xml:space="preserve"> </w:t>
      </w:r>
      <w:r w:rsidRPr="008B1175">
        <w:rPr>
          <w:rFonts w:hint="eastAsia"/>
          <w:rtl/>
        </w:rPr>
        <w:t>בית</w:t>
      </w:r>
      <w:r w:rsidRPr="008B1175">
        <w:rPr>
          <w:rtl/>
        </w:rPr>
        <w:t xml:space="preserve"> </w:t>
      </w:r>
      <w:r w:rsidRPr="008B1175">
        <w:rPr>
          <w:rFonts w:hint="eastAsia"/>
          <w:rtl/>
        </w:rPr>
        <w:t>משפט</w:t>
      </w:r>
      <w:r w:rsidRPr="008B1175">
        <w:rPr>
          <w:rtl/>
        </w:rPr>
        <w:t xml:space="preserve"> </w:t>
      </w:r>
      <w:r w:rsidRPr="008B1175">
        <w:rPr>
          <w:rFonts w:hint="eastAsia"/>
          <w:rtl/>
        </w:rPr>
        <w:t>זה</w:t>
      </w:r>
      <w:r w:rsidRPr="008B1175">
        <w:rPr>
          <w:rtl/>
        </w:rPr>
        <w:t xml:space="preserve">, </w:t>
      </w:r>
      <w:r w:rsidRPr="008B1175">
        <w:rPr>
          <w:rFonts w:hint="eastAsia"/>
          <w:rtl/>
        </w:rPr>
        <w:t>משמיעים</w:t>
      </w:r>
      <w:r w:rsidRPr="008B1175">
        <w:rPr>
          <w:rtl/>
        </w:rPr>
        <w:t xml:space="preserve"> </w:t>
      </w:r>
      <w:r w:rsidRPr="008B1175">
        <w:rPr>
          <w:rFonts w:hint="eastAsia"/>
          <w:rtl/>
        </w:rPr>
        <w:t>לנו</w:t>
      </w:r>
      <w:r w:rsidRPr="008B1175">
        <w:rPr>
          <w:rtl/>
        </w:rPr>
        <w:t xml:space="preserve"> </w:t>
      </w:r>
      <w:r w:rsidRPr="008B1175">
        <w:rPr>
          <w:rFonts w:hint="cs"/>
          <w:rtl/>
        </w:rPr>
        <w:t xml:space="preserve">כולם </w:t>
      </w:r>
      <w:r w:rsidRPr="008B1175">
        <w:rPr>
          <w:rFonts w:hint="eastAsia"/>
          <w:rtl/>
        </w:rPr>
        <w:t>בקול</w:t>
      </w:r>
      <w:r w:rsidRPr="008B1175">
        <w:rPr>
          <w:rtl/>
        </w:rPr>
        <w:t xml:space="preserve"> </w:t>
      </w:r>
      <w:r w:rsidRPr="008B1175">
        <w:rPr>
          <w:rFonts w:hint="eastAsia"/>
          <w:rtl/>
        </w:rPr>
        <w:t>צלול</w:t>
      </w:r>
      <w:r w:rsidRPr="008B1175">
        <w:rPr>
          <w:rtl/>
        </w:rPr>
        <w:t xml:space="preserve"> </w:t>
      </w:r>
      <w:r w:rsidRPr="008B1175">
        <w:rPr>
          <w:rFonts w:hint="eastAsia"/>
          <w:rtl/>
        </w:rPr>
        <w:t>וברור</w:t>
      </w:r>
      <w:r w:rsidRPr="008B1175">
        <w:rPr>
          <w:rtl/>
        </w:rPr>
        <w:t xml:space="preserve"> </w:t>
      </w:r>
      <w:r w:rsidRPr="008B1175">
        <w:rPr>
          <w:rFonts w:hint="eastAsia"/>
          <w:rtl/>
        </w:rPr>
        <w:t>כי</w:t>
      </w:r>
      <w:r w:rsidRPr="008B1175">
        <w:rPr>
          <w:rtl/>
        </w:rPr>
        <w:t xml:space="preserve"> </w:t>
      </w:r>
      <w:r w:rsidRPr="008B1175">
        <w:rPr>
          <w:rFonts w:hint="eastAsia"/>
          <w:rtl/>
        </w:rPr>
        <w:t>זהותה</w:t>
      </w:r>
      <w:r w:rsidRPr="008B1175">
        <w:rPr>
          <w:rtl/>
        </w:rPr>
        <w:t xml:space="preserve"> </w:t>
      </w:r>
      <w:r w:rsidRPr="008B1175">
        <w:rPr>
          <w:rFonts w:hint="eastAsia"/>
          <w:rtl/>
        </w:rPr>
        <w:t>של</w:t>
      </w:r>
      <w:r w:rsidRPr="008B1175">
        <w:rPr>
          <w:rtl/>
        </w:rPr>
        <w:t xml:space="preserve"> </w:t>
      </w:r>
      <w:r w:rsidRPr="008B1175">
        <w:rPr>
          <w:rFonts w:hint="eastAsia"/>
          <w:rtl/>
        </w:rPr>
        <w:t>מדינת</w:t>
      </w:r>
      <w:r w:rsidRPr="008B1175">
        <w:rPr>
          <w:rtl/>
        </w:rPr>
        <w:t xml:space="preserve"> </w:t>
      </w:r>
      <w:r w:rsidRPr="008B1175">
        <w:rPr>
          <w:rFonts w:hint="eastAsia"/>
          <w:rtl/>
        </w:rPr>
        <w:t>ישראל</w:t>
      </w:r>
      <w:r w:rsidRPr="008B1175">
        <w:rPr>
          <w:rtl/>
        </w:rPr>
        <w:t xml:space="preserve"> </w:t>
      </w:r>
      <w:r w:rsidRPr="008B1175">
        <w:rPr>
          <w:rFonts w:hint="eastAsia"/>
          <w:rtl/>
        </w:rPr>
        <w:t>כמדינה</w:t>
      </w:r>
      <w:r w:rsidRPr="008B1175">
        <w:rPr>
          <w:rtl/>
        </w:rPr>
        <w:t xml:space="preserve"> </w:t>
      </w:r>
      <w:r w:rsidRPr="008B1175">
        <w:rPr>
          <w:rFonts w:hint="eastAsia"/>
          <w:rtl/>
        </w:rPr>
        <w:t>יהודית</w:t>
      </w:r>
      <w:r w:rsidRPr="008B1175">
        <w:rPr>
          <w:rtl/>
        </w:rPr>
        <w:t xml:space="preserve"> </w:t>
      </w:r>
      <w:r w:rsidRPr="008B1175">
        <w:rPr>
          <w:rFonts w:hint="eastAsia"/>
          <w:rtl/>
        </w:rPr>
        <w:t>ודמוקרטית</w:t>
      </w:r>
      <w:r w:rsidRPr="008B1175">
        <w:rPr>
          <w:rtl/>
        </w:rPr>
        <w:t xml:space="preserve"> </w:t>
      </w:r>
      <w:r w:rsidRPr="008B1175">
        <w:rPr>
          <w:rFonts w:hint="eastAsia"/>
          <w:rtl/>
        </w:rPr>
        <w:t>אינה</w:t>
      </w:r>
      <w:r w:rsidRPr="008B1175">
        <w:rPr>
          <w:rtl/>
        </w:rPr>
        <w:t xml:space="preserve"> </w:t>
      </w:r>
      <w:r w:rsidRPr="008B1175">
        <w:rPr>
          <w:rFonts w:hint="eastAsia"/>
          <w:rtl/>
        </w:rPr>
        <w:t>ניתנת</w:t>
      </w:r>
      <w:r w:rsidRPr="008B1175">
        <w:rPr>
          <w:rtl/>
        </w:rPr>
        <w:t xml:space="preserve"> </w:t>
      </w:r>
      <w:r w:rsidRPr="008B1175">
        <w:rPr>
          <w:rFonts w:hint="eastAsia"/>
          <w:rtl/>
        </w:rPr>
        <w:t>לערעור</w:t>
      </w:r>
      <w:r w:rsidRPr="008B1175">
        <w:rPr>
          <w:rtl/>
        </w:rPr>
        <w:t xml:space="preserve"> – </w:t>
      </w:r>
      <w:r w:rsidRPr="008B1175">
        <w:rPr>
          <w:rFonts w:hint="eastAsia"/>
          <w:rtl/>
        </w:rPr>
        <w:t>אף</w:t>
      </w:r>
      <w:r w:rsidRPr="008B1175">
        <w:rPr>
          <w:rtl/>
        </w:rPr>
        <w:t xml:space="preserve"> </w:t>
      </w:r>
      <w:r w:rsidRPr="008B1175">
        <w:rPr>
          <w:rFonts w:hint="eastAsia"/>
          <w:rtl/>
        </w:rPr>
        <w:t>לא</w:t>
      </w:r>
      <w:r w:rsidRPr="008B1175">
        <w:rPr>
          <w:rtl/>
        </w:rPr>
        <w:t xml:space="preserve"> </w:t>
      </w:r>
      <w:r w:rsidRPr="008B1175">
        <w:rPr>
          <w:rFonts w:hint="eastAsia"/>
          <w:rtl/>
        </w:rPr>
        <w:t>על</w:t>
      </w:r>
      <w:r w:rsidRPr="008B1175">
        <w:rPr>
          <w:rtl/>
        </w:rPr>
        <w:t xml:space="preserve"> </w:t>
      </w:r>
      <w:r w:rsidRPr="008B1175">
        <w:rPr>
          <w:rFonts w:hint="eastAsia"/>
          <w:rtl/>
        </w:rPr>
        <w:t>ידי</w:t>
      </w:r>
      <w:r w:rsidRPr="008B1175">
        <w:rPr>
          <w:rtl/>
        </w:rPr>
        <w:t xml:space="preserve"> </w:t>
      </w:r>
      <w:r w:rsidRPr="008B1175">
        <w:rPr>
          <w:rFonts w:hint="eastAsia"/>
          <w:rtl/>
        </w:rPr>
        <w:t>הרשות</w:t>
      </w:r>
      <w:r w:rsidRPr="008B1175">
        <w:rPr>
          <w:rtl/>
        </w:rPr>
        <w:t xml:space="preserve"> </w:t>
      </w:r>
      <w:r w:rsidRPr="008B1175">
        <w:rPr>
          <w:rFonts w:hint="eastAsia"/>
          <w:rtl/>
        </w:rPr>
        <w:t>המכוננת</w:t>
      </w:r>
      <w:r w:rsidRPr="008B1175">
        <w:rPr>
          <w:rtl/>
        </w:rPr>
        <w:t xml:space="preserve">. </w:t>
      </w:r>
      <w:r w:rsidRPr="008B1175">
        <w:rPr>
          <w:rFonts w:hint="eastAsia"/>
          <w:rtl/>
        </w:rPr>
        <w:t>בסוגיה</w:t>
      </w:r>
      <w:r w:rsidRPr="008B1175">
        <w:rPr>
          <w:rtl/>
        </w:rPr>
        <w:t xml:space="preserve"> </w:t>
      </w:r>
      <w:r w:rsidRPr="008B1175">
        <w:rPr>
          <w:rFonts w:hint="eastAsia"/>
          <w:rtl/>
        </w:rPr>
        <w:t>בסיסית</w:t>
      </w:r>
      <w:r w:rsidRPr="008B1175">
        <w:rPr>
          <w:rtl/>
        </w:rPr>
        <w:t xml:space="preserve"> </w:t>
      </w:r>
      <w:r w:rsidRPr="008B1175">
        <w:rPr>
          <w:rFonts w:hint="eastAsia"/>
          <w:rtl/>
        </w:rPr>
        <w:t>זו</w:t>
      </w:r>
      <w:r w:rsidRPr="008B1175">
        <w:rPr>
          <w:rtl/>
        </w:rPr>
        <w:t xml:space="preserve">, </w:t>
      </w:r>
      <w:r w:rsidRPr="008B1175">
        <w:rPr>
          <w:rFonts w:hint="eastAsia"/>
          <w:rtl/>
        </w:rPr>
        <w:t>דומה</w:t>
      </w:r>
      <w:r w:rsidRPr="008B1175">
        <w:rPr>
          <w:rtl/>
        </w:rPr>
        <w:t xml:space="preserve"> </w:t>
      </w:r>
      <w:r w:rsidRPr="008B1175">
        <w:rPr>
          <w:rFonts w:hint="eastAsia"/>
          <w:rtl/>
        </w:rPr>
        <w:t>כי</w:t>
      </w:r>
      <w:r w:rsidRPr="008B1175">
        <w:rPr>
          <w:rtl/>
        </w:rPr>
        <w:t xml:space="preserve"> </w:t>
      </w:r>
      <w:r w:rsidRPr="008B1175">
        <w:rPr>
          <w:rFonts w:hint="eastAsia"/>
          <w:rtl/>
        </w:rPr>
        <w:t>תהום</w:t>
      </w:r>
      <w:r w:rsidRPr="008B1175">
        <w:rPr>
          <w:rtl/>
        </w:rPr>
        <w:t xml:space="preserve"> </w:t>
      </w:r>
      <w:r w:rsidRPr="008B1175">
        <w:rPr>
          <w:rFonts w:hint="eastAsia"/>
          <w:rtl/>
        </w:rPr>
        <w:t>פעורה</w:t>
      </w:r>
      <w:r w:rsidRPr="008B1175">
        <w:rPr>
          <w:rtl/>
        </w:rPr>
        <w:t xml:space="preserve"> </w:t>
      </w:r>
      <w:r w:rsidRPr="008B1175">
        <w:rPr>
          <w:rFonts w:hint="eastAsia"/>
          <w:rtl/>
        </w:rPr>
        <w:t>בין</w:t>
      </w:r>
      <w:r w:rsidRPr="008B1175">
        <w:rPr>
          <w:rtl/>
        </w:rPr>
        <w:t xml:space="preserve"> </w:t>
      </w:r>
      <w:r w:rsidRPr="008B1175">
        <w:rPr>
          <w:rFonts w:hint="eastAsia"/>
          <w:rtl/>
        </w:rPr>
        <w:t>מרבית</w:t>
      </w:r>
      <w:r w:rsidRPr="008B1175">
        <w:rPr>
          <w:rtl/>
        </w:rPr>
        <w:t xml:space="preserve"> </w:t>
      </w:r>
      <w:r w:rsidRPr="008B1175">
        <w:rPr>
          <w:rFonts w:hint="eastAsia"/>
          <w:rtl/>
        </w:rPr>
        <w:t>חברי</w:t>
      </w:r>
      <w:r w:rsidRPr="008B1175">
        <w:rPr>
          <w:rtl/>
        </w:rPr>
        <w:t xml:space="preserve"> </w:t>
      </w:r>
      <w:r w:rsidRPr="008B1175">
        <w:rPr>
          <w:rFonts w:hint="eastAsia"/>
          <w:rtl/>
        </w:rPr>
        <w:t>ההרכב</w:t>
      </w:r>
      <w:r w:rsidRPr="008B1175">
        <w:rPr>
          <w:rtl/>
        </w:rPr>
        <w:t xml:space="preserve"> </w:t>
      </w:r>
      <w:r w:rsidRPr="008B1175">
        <w:rPr>
          <w:rFonts w:hint="eastAsia"/>
          <w:rtl/>
        </w:rPr>
        <w:t>לבין</w:t>
      </w:r>
      <w:r w:rsidRPr="008B1175">
        <w:rPr>
          <w:rtl/>
        </w:rPr>
        <w:t xml:space="preserve"> </w:t>
      </w:r>
      <w:r w:rsidRPr="008B1175">
        <w:rPr>
          <w:rFonts w:hint="eastAsia"/>
          <w:rtl/>
        </w:rPr>
        <w:t>חבריי</w:t>
      </w:r>
      <w:r w:rsidRPr="008B1175">
        <w:rPr>
          <w:rtl/>
        </w:rPr>
        <w:t xml:space="preserve"> </w:t>
      </w:r>
      <w:r w:rsidRPr="008B1175">
        <w:rPr>
          <w:rFonts w:hint="eastAsia"/>
          <w:rtl/>
        </w:rPr>
        <w:t>השופטים</w:t>
      </w:r>
      <w:r w:rsidRPr="008B1175">
        <w:rPr>
          <w:rtl/>
        </w:rPr>
        <w:t xml:space="preserve"> </w:t>
      </w:r>
      <w:r w:rsidRPr="008B1175">
        <w:rPr>
          <w:rFonts w:ascii="Century" w:hAnsi="Century" w:cs="Miriam" w:hint="eastAsia"/>
          <w:b/>
          <w:spacing w:val="0"/>
          <w:sz w:val="22"/>
          <w:szCs w:val="24"/>
          <w:rtl/>
        </w:rPr>
        <w:t>סולברג</w:t>
      </w:r>
      <w:r w:rsidRPr="008B1175">
        <w:rPr>
          <w:rtl/>
        </w:rPr>
        <w:t xml:space="preserve"> </w:t>
      </w:r>
      <w:r w:rsidRPr="008B1175">
        <w:rPr>
          <w:rFonts w:hint="eastAsia"/>
          <w:rtl/>
        </w:rPr>
        <w:t>ו</w:t>
      </w:r>
      <w:r w:rsidRPr="008B1175">
        <w:rPr>
          <w:rFonts w:ascii="Century" w:hAnsi="Century" w:cs="Miriam" w:hint="eastAsia"/>
          <w:b/>
          <w:spacing w:val="0"/>
          <w:sz w:val="22"/>
          <w:szCs w:val="24"/>
          <w:rtl/>
        </w:rPr>
        <w:t>מינץ</w:t>
      </w:r>
      <w:r w:rsidRPr="008B1175">
        <w:rPr>
          <w:rtl/>
        </w:rPr>
        <w:t xml:space="preserve">. </w:t>
      </w:r>
      <w:r w:rsidRPr="008B1175">
        <w:rPr>
          <w:rFonts w:hint="eastAsia"/>
          <w:rtl/>
        </w:rPr>
        <w:t>לגישתם</w:t>
      </w:r>
      <w:r w:rsidRPr="008B1175">
        <w:rPr>
          <w:rtl/>
        </w:rPr>
        <w:t xml:space="preserve">, </w:t>
      </w:r>
      <w:r w:rsidRPr="008B1175">
        <w:rPr>
          <w:rFonts w:hint="eastAsia"/>
          <w:rtl/>
        </w:rPr>
        <w:t>כפי</w:t>
      </w:r>
      <w:r w:rsidRPr="008B1175">
        <w:rPr>
          <w:rtl/>
        </w:rPr>
        <w:t xml:space="preserve"> </w:t>
      </w:r>
      <w:r w:rsidRPr="008B1175">
        <w:rPr>
          <w:rFonts w:hint="eastAsia"/>
          <w:rtl/>
        </w:rPr>
        <w:t>שמציין</w:t>
      </w:r>
      <w:r w:rsidRPr="008B1175">
        <w:rPr>
          <w:rtl/>
        </w:rPr>
        <w:t xml:space="preserve"> </w:t>
      </w:r>
      <w:r w:rsidRPr="008B1175">
        <w:rPr>
          <w:rFonts w:hint="eastAsia"/>
          <w:rtl/>
        </w:rPr>
        <w:t>השופט</w:t>
      </w:r>
      <w:r w:rsidRPr="008B1175">
        <w:rPr>
          <w:rtl/>
        </w:rPr>
        <w:t xml:space="preserve"> </w:t>
      </w:r>
      <w:r w:rsidRPr="008B1175">
        <w:rPr>
          <w:rFonts w:ascii="Century" w:hAnsi="Century" w:cs="Miriam" w:hint="eastAsia"/>
          <w:b/>
          <w:spacing w:val="0"/>
          <w:sz w:val="22"/>
          <w:szCs w:val="24"/>
          <w:rtl/>
        </w:rPr>
        <w:t>סולברג</w:t>
      </w:r>
      <w:r w:rsidRPr="008B1175">
        <w:rPr>
          <w:rtl/>
        </w:rPr>
        <w:t>, "</w:t>
      </w:r>
      <w:r w:rsidRPr="008B1175">
        <w:rPr>
          <w:rFonts w:hint="eastAsia"/>
          <w:rtl/>
        </w:rPr>
        <w:t>הנתונים</w:t>
      </w:r>
      <w:r w:rsidRPr="008B1175">
        <w:rPr>
          <w:rtl/>
        </w:rPr>
        <w:t xml:space="preserve"> </w:t>
      </w:r>
      <w:r w:rsidRPr="008B1175">
        <w:rPr>
          <w:rFonts w:hint="eastAsia"/>
          <w:rtl/>
        </w:rPr>
        <w:t>החוקתיים</w:t>
      </w:r>
      <w:r w:rsidRPr="008B1175">
        <w:rPr>
          <w:rtl/>
        </w:rPr>
        <w:t xml:space="preserve"> </w:t>
      </w:r>
      <w:r w:rsidRPr="008B1175">
        <w:rPr>
          <w:rFonts w:hint="eastAsia"/>
          <w:rtl/>
        </w:rPr>
        <w:t>כולם</w:t>
      </w:r>
      <w:r w:rsidRPr="008B1175">
        <w:rPr>
          <w:rtl/>
        </w:rPr>
        <w:t xml:space="preserve"> </w:t>
      </w:r>
      <w:r w:rsidRPr="008B1175">
        <w:rPr>
          <w:rFonts w:hint="eastAsia"/>
          <w:rtl/>
        </w:rPr>
        <w:t>מובילים</w:t>
      </w:r>
      <w:r w:rsidRPr="008B1175">
        <w:rPr>
          <w:rtl/>
        </w:rPr>
        <w:t xml:space="preserve"> </w:t>
      </w:r>
      <w:r w:rsidRPr="008B1175">
        <w:rPr>
          <w:rFonts w:hint="eastAsia"/>
          <w:rtl/>
        </w:rPr>
        <w:t>למסקנה</w:t>
      </w:r>
      <w:r w:rsidRPr="008B1175">
        <w:rPr>
          <w:rtl/>
        </w:rPr>
        <w:t xml:space="preserve"> </w:t>
      </w:r>
      <w:r w:rsidRPr="008B1175">
        <w:rPr>
          <w:rFonts w:hint="eastAsia"/>
          <w:rtl/>
        </w:rPr>
        <w:t>הפוכה</w:t>
      </w:r>
      <w:r w:rsidRPr="008B1175">
        <w:rPr>
          <w:rtl/>
        </w:rPr>
        <w:t xml:space="preserve">, </w:t>
      </w:r>
      <w:r w:rsidRPr="008B1175">
        <w:rPr>
          <w:rFonts w:hint="eastAsia"/>
          <w:rtl/>
        </w:rPr>
        <w:t>שלפיה</w:t>
      </w:r>
      <w:r w:rsidRPr="008B1175">
        <w:rPr>
          <w:rtl/>
        </w:rPr>
        <w:t xml:space="preserve"> '</w:t>
      </w:r>
      <w:r w:rsidRPr="008B1175">
        <w:rPr>
          <w:rFonts w:hint="eastAsia"/>
          <w:rtl/>
        </w:rPr>
        <w:t>שטח</w:t>
      </w:r>
      <w:r w:rsidRPr="008B1175">
        <w:rPr>
          <w:rtl/>
        </w:rPr>
        <w:t>-</w:t>
      </w:r>
      <w:r w:rsidRPr="008B1175">
        <w:rPr>
          <w:rFonts w:hint="eastAsia"/>
          <w:rtl/>
        </w:rPr>
        <w:t>המחיה</w:t>
      </w:r>
      <w:r w:rsidRPr="008B1175">
        <w:rPr>
          <w:rtl/>
        </w:rPr>
        <w:t xml:space="preserve">' </w:t>
      </w:r>
      <w:r w:rsidRPr="008B1175">
        <w:rPr>
          <w:rFonts w:hint="eastAsia"/>
          <w:rtl/>
        </w:rPr>
        <w:t>של</w:t>
      </w:r>
      <w:r w:rsidRPr="008B1175">
        <w:rPr>
          <w:rtl/>
        </w:rPr>
        <w:t xml:space="preserve"> </w:t>
      </w:r>
      <w:r w:rsidRPr="008B1175">
        <w:rPr>
          <w:rFonts w:hint="eastAsia"/>
          <w:rtl/>
        </w:rPr>
        <w:t>הרשות</w:t>
      </w:r>
      <w:r w:rsidRPr="008B1175">
        <w:rPr>
          <w:rtl/>
        </w:rPr>
        <w:t xml:space="preserve"> </w:t>
      </w:r>
      <w:r w:rsidRPr="008B1175">
        <w:rPr>
          <w:rFonts w:hint="eastAsia"/>
          <w:rtl/>
        </w:rPr>
        <w:t>המכוננת</w:t>
      </w:r>
      <w:r w:rsidRPr="008B1175">
        <w:rPr>
          <w:rtl/>
        </w:rPr>
        <w:t xml:space="preserve"> – </w:t>
      </w:r>
      <w:r w:rsidRPr="008B1175">
        <w:rPr>
          <w:rFonts w:hint="eastAsia"/>
          <w:rtl/>
        </w:rPr>
        <w:t>בלתי</w:t>
      </w:r>
      <w:r w:rsidRPr="008B1175">
        <w:rPr>
          <w:rtl/>
        </w:rPr>
        <w:t>-</w:t>
      </w:r>
      <w:r w:rsidRPr="008B1175">
        <w:rPr>
          <w:rFonts w:hint="eastAsia"/>
          <w:rtl/>
        </w:rPr>
        <w:t>מוגבל</w:t>
      </w:r>
      <w:r w:rsidRPr="008B1175">
        <w:rPr>
          <w:rtl/>
        </w:rPr>
        <w:t>" (</w:t>
      </w:r>
      <w:r w:rsidRPr="008B1175">
        <w:rPr>
          <w:rFonts w:hint="eastAsia"/>
          <w:rtl/>
        </w:rPr>
        <w:t>פסקה</w:t>
      </w:r>
      <w:r w:rsidRPr="008B1175">
        <w:rPr>
          <w:rtl/>
        </w:rPr>
        <w:t xml:space="preserve"> </w:t>
      </w:r>
      <w:r w:rsidR="006F0D36">
        <w:rPr>
          <w:rFonts w:hint="cs"/>
          <w:rtl/>
        </w:rPr>
        <w:t>105</w:t>
      </w:r>
      <w:r w:rsidRPr="008B1175">
        <w:rPr>
          <w:rtl/>
        </w:rPr>
        <w:t xml:space="preserve"> </w:t>
      </w:r>
      <w:r w:rsidRPr="008B1175">
        <w:rPr>
          <w:rFonts w:hint="eastAsia"/>
          <w:rtl/>
        </w:rPr>
        <w:t>לחוות</w:t>
      </w:r>
      <w:r w:rsidRPr="008B1175">
        <w:rPr>
          <w:rtl/>
        </w:rPr>
        <w:t xml:space="preserve"> </w:t>
      </w:r>
      <w:r w:rsidRPr="008B1175">
        <w:rPr>
          <w:rFonts w:hint="eastAsia"/>
          <w:rtl/>
        </w:rPr>
        <w:t>דעתו</w:t>
      </w:r>
      <w:r w:rsidRPr="008B1175">
        <w:rPr>
          <w:rtl/>
        </w:rPr>
        <w:t xml:space="preserve">). </w:t>
      </w:r>
      <w:r w:rsidRPr="008B1175">
        <w:rPr>
          <w:rFonts w:hint="eastAsia"/>
          <w:rtl/>
        </w:rPr>
        <w:t>במילים</w:t>
      </w:r>
      <w:r w:rsidRPr="008B1175">
        <w:rPr>
          <w:rtl/>
        </w:rPr>
        <w:t xml:space="preserve"> </w:t>
      </w:r>
      <w:r w:rsidRPr="008B1175">
        <w:rPr>
          <w:rFonts w:hint="eastAsia"/>
          <w:rtl/>
        </w:rPr>
        <w:t>אחרות</w:t>
      </w:r>
      <w:r w:rsidRPr="008B1175">
        <w:rPr>
          <w:rtl/>
        </w:rPr>
        <w:t xml:space="preserve">, </w:t>
      </w:r>
      <w:r w:rsidRPr="008B1175">
        <w:rPr>
          <w:rFonts w:hint="eastAsia"/>
          <w:rtl/>
        </w:rPr>
        <w:t>חבריי</w:t>
      </w:r>
      <w:r w:rsidRPr="008B1175">
        <w:rPr>
          <w:rtl/>
        </w:rPr>
        <w:t xml:space="preserve"> </w:t>
      </w:r>
      <w:r w:rsidRPr="008B1175">
        <w:rPr>
          <w:rFonts w:hint="eastAsia"/>
          <w:rtl/>
        </w:rPr>
        <w:t>השופטים</w:t>
      </w:r>
      <w:r w:rsidRPr="008B1175">
        <w:rPr>
          <w:rtl/>
        </w:rPr>
        <w:t xml:space="preserve"> </w:t>
      </w:r>
      <w:r w:rsidRPr="008B1175">
        <w:rPr>
          <w:rFonts w:ascii="Century" w:hAnsi="Century" w:cs="Miriam" w:hint="eastAsia"/>
          <w:b/>
          <w:spacing w:val="0"/>
          <w:sz w:val="22"/>
          <w:szCs w:val="24"/>
          <w:rtl/>
        </w:rPr>
        <w:t>סולברג</w:t>
      </w:r>
      <w:r w:rsidRPr="008B1175">
        <w:rPr>
          <w:rtl/>
        </w:rPr>
        <w:t xml:space="preserve"> </w:t>
      </w:r>
      <w:r w:rsidRPr="008B1175">
        <w:rPr>
          <w:rFonts w:hint="eastAsia"/>
          <w:rtl/>
        </w:rPr>
        <w:t>ו</w:t>
      </w:r>
      <w:r w:rsidRPr="008B1175">
        <w:rPr>
          <w:rFonts w:ascii="Century" w:hAnsi="Century" w:cs="Miriam" w:hint="eastAsia"/>
          <w:b/>
          <w:spacing w:val="0"/>
          <w:sz w:val="22"/>
          <w:szCs w:val="24"/>
          <w:rtl/>
        </w:rPr>
        <w:t>מינץ</w:t>
      </w:r>
      <w:r w:rsidRPr="008B1175">
        <w:rPr>
          <w:rtl/>
        </w:rPr>
        <w:t xml:space="preserve"> </w:t>
      </w:r>
      <w:r w:rsidRPr="008B1175">
        <w:rPr>
          <w:rFonts w:hint="eastAsia"/>
          <w:rtl/>
        </w:rPr>
        <w:t>אוחזים</w:t>
      </w:r>
      <w:r w:rsidRPr="008B1175">
        <w:rPr>
          <w:rtl/>
        </w:rPr>
        <w:t xml:space="preserve"> </w:t>
      </w:r>
      <w:r w:rsidRPr="008B1175">
        <w:rPr>
          <w:rFonts w:hint="eastAsia"/>
          <w:rtl/>
        </w:rPr>
        <w:t>בדעה</w:t>
      </w:r>
      <w:r w:rsidRPr="008B1175">
        <w:rPr>
          <w:rtl/>
        </w:rPr>
        <w:t xml:space="preserve"> </w:t>
      </w:r>
      <w:r w:rsidRPr="008B1175">
        <w:rPr>
          <w:rFonts w:hint="eastAsia"/>
          <w:rtl/>
        </w:rPr>
        <w:t>כי</w:t>
      </w:r>
      <w:r w:rsidRPr="008B1175">
        <w:rPr>
          <w:rtl/>
        </w:rPr>
        <w:t xml:space="preserve"> </w:t>
      </w:r>
      <w:r w:rsidRPr="008B1175">
        <w:rPr>
          <w:rFonts w:hint="eastAsia"/>
          <w:rtl/>
        </w:rPr>
        <w:t>כל</w:t>
      </w:r>
      <w:r w:rsidRPr="008B1175">
        <w:rPr>
          <w:rtl/>
        </w:rPr>
        <w:t xml:space="preserve"> </w:t>
      </w:r>
      <w:r w:rsidRPr="008B1175">
        <w:rPr>
          <w:rFonts w:hint="eastAsia"/>
          <w:rtl/>
        </w:rPr>
        <w:t>דבר</w:t>
      </w:r>
      <w:r w:rsidRPr="008B1175">
        <w:rPr>
          <w:rtl/>
        </w:rPr>
        <w:t xml:space="preserve"> </w:t>
      </w:r>
      <w:r w:rsidRPr="008B1175">
        <w:rPr>
          <w:rFonts w:hint="eastAsia"/>
          <w:rtl/>
        </w:rPr>
        <w:t>חקיקה</w:t>
      </w:r>
      <w:r w:rsidRPr="008B1175">
        <w:rPr>
          <w:rtl/>
        </w:rPr>
        <w:t xml:space="preserve"> </w:t>
      </w:r>
      <w:r w:rsidRPr="008B1175">
        <w:rPr>
          <w:rFonts w:hint="eastAsia"/>
          <w:rtl/>
        </w:rPr>
        <w:t>שיוכתר</w:t>
      </w:r>
      <w:r w:rsidRPr="008B1175">
        <w:rPr>
          <w:rtl/>
        </w:rPr>
        <w:t xml:space="preserve"> </w:t>
      </w:r>
      <w:r w:rsidRPr="008B1175">
        <w:rPr>
          <w:rFonts w:hint="eastAsia"/>
          <w:rtl/>
        </w:rPr>
        <w:t>בכותרת</w:t>
      </w:r>
      <w:r w:rsidRPr="008B1175">
        <w:rPr>
          <w:rtl/>
        </w:rPr>
        <w:t xml:space="preserve"> "</w:t>
      </w:r>
      <w:r w:rsidRPr="008B1175">
        <w:rPr>
          <w:rFonts w:hint="eastAsia"/>
          <w:rtl/>
        </w:rPr>
        <w:t>חוק</w:t>
      </w:r>
      <w:r w:rsidRPr="008B1175">
        <w:rPr>
          <w:rtl/>
        </w:rPr>
        <w:t xml:space="preserve"> </w:t>
      </w:r>
      <w:r w:rsidRPr="008B1175">
        <w:rPr>
          <w:rFonts w:hint="eastAsia"/>
          <w:rtl/>
        </w:rPr>
        <w:t>יסוד</w:t>
      </w:r>
      <w:r w:rsidRPr="008B1175">
        <w:rPr>
          <w:rtl/>
        </w:rPr>
        <w:t xml:space="preserve">", </w:t>
      </w:r>
      <w:r w:rsidRPr="008B1175">
        <w:rPr>
          <w:rFonts w:hint="eastAsia"/>
          <w:rtl/>
        </w:rPr>
        <w:t>אף</w:t>
      </w:r>
      <w:r w:rsidRPr="008B1175">
        <w:rPr>
          <w:rtl/>
        </w:rPr>
        <w:t xml:space="preserve"> </w:t>
      </w:r>
      <w:r w:rsidRPr="008B1175">
        <w:rPr>
          <w:rFonts w:hint="eastAsia"/>
          <w:rtl/>
        </w:rPr>
        <w:t>אם</w:t>
      </w:r>
      <w:r w:rsidRPr="008B1175">
        <w:rPr>
          <w:rtl/>
        </w:rPr>
        <w:t xml:space="preserve"> </w:t>
      </w:r>
      <w:r w:rsidRPr="008B1175">
        <w:rPr>
          <w:rFonts w:hint="eastAsia"/>
          <w:rtl/>
        </w:rPr>
        <w:t>יש</w:t>
      </w:r>
      <w:r w:rsidRPr="008B1175">
        <w:rPr>
          <w:rtl/>
        </w:rPr>
        <w:t xml:space="preserve"> </w:t>
      </w:r>
      <w:r w:rsidRPr="008B1175">
        <w:rPr>
          <w:rFonts w:hint="eastAsia"/>
          <w:rtl/>
        </w:rPr>
        <w:t>בו</w:t>
      </w:r>
      <w:r w:rsidRPr="008B1175">
        <w:rPr>
          <w:rtl/>
        </w:rPr>
        <w:t xml:space="preserve"> </w:t>
      </w:r>
      <w:r w:rsidRPr="008B1175">
        <w:rPr>
          <w:rFonts w:hint="eastAsia"/>
          <w:rtl/>
        </w:rPr>
        <w:t>משום</w:t>
      </w:r>
      <w:r w:rsidRPr="008B1175">
        <w:rPr>
          <w:rtl/>
        </w:rPr>
        <w:t xml:space="preserve"> </w:t>
      </w:r>
      <w:r w:rsidRPr="008B1175">
        <w:rPr>
          <w:rFonts w:hint="eastAsia"/>
          <w:rtl/>
        </w:rPr>
        <w:t>פירוק</w:t>
      </w:r>
      <w:r w:rsidRPr="008B1175">
        <w:rPr>
          <w:rtl/>
        </w:rPr>
        <w:t xml:space="preserve"> </w:t>
      </w:r>
      <w:r w:rsidRPr="008B1175">
        <w:rPr>
          <w:rFonts w:hint="eastAsia"/>
          <w:rtl/>
        </w:rPr>
        <w:t>אבני</w:t>
      </w:r>
      <w:r w:rsidRPr="008B1175">
        <w:rPr>
          <w:rtl/>
        </w:rPr>
        <w:t xml:space="preserve"> </w:t>
      </w:r>
      <w:r w:rsidRPr="008B1175">
        <w:rPr>
          <w:rFonts w:hint="eastAsia"/>
          <w:rtl/>
        </w:rPr>
        <w:t>הבניין</w:t>
      </w:r>
      <w:r w:rsidRPr="008B1175">
        <w:rPr>
          <w:rtl/>
        </w:rPr>
        <w:t xml:space="preserve"> </w:t>
      </w:r>
      <w:r w:rsidRPr="008B1175">
        <w:rPr>
          <w:rFonts w:hint="eastAsia"/>
          <w:rtl/>
        </w:rPr>
        <w:t>שמהן</w:t>
      </w:r>
      <w:r w:rsidRPr="008B1175">
        <w:rPr>
          <w:rtl/>
        </w:rPr>
        <w:t xml:space="preserve"> </w:t>
      </w:r>
      <w:r w:rsidRPr="008B1175">
        <w:rPr>
          <w:rFonts w:hint="eastAsia"/>
          <w:rtl/>
        </w:rPr>
        <w:t>מורכב</w:t>
      </w:r>
      <w:r w:rsidRPr="008B1175">
        <w:rPr>
          <w:rtl/>
        </w:rPr>
        <w:t xml:space="preserve"> </w:t>
      </w:r>
      <w:r w:rsidRPr="008B1175">
        <w:rPr>
          <w:rFonts w:hint="eastAsia"/>
          <w:rtl/>
        </w:rPr>
        <w:t>המפעל</w:t>
      </w:r>
      <w:r w:rsidRPr="008B1175">
        <w:rPr>
          <w:rtl/>
        </w:rPr>
        <w:t xml:space="preserve"> </w:t>
      </w:r>
      <w:r w:rsidRPr="008B1175">
        <w:rPr>
          <w:rFonts w:hint="eastAsia"/>
          <w:rtl/>
        </w:rPr>
        <w:t>החוקתי</w:t>
      </w:r>
      <w:r w:rsidRPr="008B1175">
        <w:rPr>
          <w:rtl/>
        </w:rPr>
        <w:t xml:space="preserve"> </w:t>
      </w:r>
      <w:r w:rsidRPr="008B1175">
        <w:rPr>
          <w:rFonts w:hint="eastAsia"/>
          <w:rtl/>
        </w:rPr>
        <w:t>הישראלי</w:t>
      </w:r>
      <w:r w:rsidRPr="008B1175">
        <w:rPr>
          <w:rtl/>
        </w:rPr>
        <w:t xml:space="preserve">, </w:t>
      </w:r>
      <w:r w:rsidRPr="008B1175">
        <w:rPr>
          <w:rFonts w:hint="eastAsia"/>
          <w:rtl/>
        </w:rPr>
        <w:t>ואף</w:t>
      </w:r>
      <w:r w:rsidRPr="008B1175">
        <w:rPr>
          <w:rtl/>
        </w:rPr>
        <w:t xml:space="preserve"> </w:t>
      </w:r>
      <w:r w:rsidRPr="008B1175">
        <w:rPr>
          <w:rFonts w:hint="eastAsia"/>
          <w:rtl/>
        </w:rPr>
        <w:t>אם</w:t>
      </w:r>
      <w:r w:rsidRPr="008B1175">
        <w:rPr>
          <w:rtl/>
        </w:rPr>
        <w:t xml:space="preserve"> </w:t>
      </w:r>
      <w:r w:rsidRPr="008B1175">
        <w:rPr>
          <w:rFonts w:hint="eastAsia"/>
          <w:rtl/>
        </w:rPr>
        <w:t>הוא</w:t>
      </w:r>
      <w:r w:rsidRPr="008B1175">
        <w:rPr>
          <w:rtl/>
        </w:rPr>
        <w:t xml:space="preserve"> </w:t>
      </w:r>
      <w:r w:rsidRPr="008B1175">
        <w:rPr>
          <w:rFonts w:hint="eastAsia"/>
          <w:rtl/>
        </w:rPr>
        <w:t>מקעקע</w:t>
      </w:r>
      <w:r w:rsidRPr="008B1175">
        <w:rPr>
          <w:rtl/>
        </w:rPr>
        <w:t xml:space="preserve"> </w:t>
      </w:r>
      <w:r w:rsidRPr="008B1175">
        <w:rPr>
          <w:rFonts w:hint="eastAsia"/>
          <w:rtl/>
        </w:rPr>
        <w:t>את</w:t>
      </w:r>
      <w:r w:rsidRPr="008B1175">
        <w:rPr>
          <w:rtl/>
        </w:rPr>
        <w:t xml:space="preserve"> "</w:t>
      </w:r>
      <w:r w:rsidRPr="008B1175">
        <w:rPr>
          <w:rFonts w:hint="eastAsia"/>
          <w:rtl/>
        </w:rPr>
        <w:t>תעודת</w:t>
      </w:r>
      <w:r w:rsidRPr="008B1175">
        <w:rPr>
          <w:rtl/>
        </w:rPr>
        <w:t xml:space="preserve"> </w:t>
      </w:r>
      <w:r w:rsidRPr="008B1175">
        <w:rPr>
          <w:rFonts w:hint="eastAsia"/>
          <w:rtl/>
        </w:rPr>
        <w:t>הלידה</w:t>
      </w:r>
      <w:r w:rsidRPr="008B1175">
        <w:rPr>
          <w:rtl/>
        </w:rPr>
        <w:t xml:space="preserve">" </w:t>
      </w:r>
      <w:r w:rsidRPr="008B1175">
        <w:rPr>
          <w:rFonts w:hint="eastAsia"/>
          <w:rtl/>
        </w:rPr>
        <w:t>ו</w:t>
      </w:r>
      <w:r w:rsidRPr="008B1175">
        <w:rPr>
          <w:rtl/>
        </w:rPr>
        <w:t>"</w:t>
      </w:r>
      <w:r w:rsidRPr="008B1175">
        <w:rPr>
          <w:rFonts w:hint="eastAsia"/>
          <w:rtl/>
        </w:rPr>
        <w:t>תעודת</w:t>
      </w:r>
      <w:r w:rsidRPr="008B1175">
        <w:rPr>
          <w:rtl/>
        </w:rPr>
        <w:t xml:space="preserve"> </w:t>
      </w:r>
      <w:r w:rsidRPr="008B1175">
        <w:rPr>
          <w:rFonts w:hint="eastAsia"/>
          <w:rtl/>
        </w:rPr>
        <w:t>הזהות</w:t>
      </w:r>
      <w:r w:rsidRPr="008B1175">
        <w:rPr>
          <w:rtl/>
        </w:rPr>
        <w:t xml:space="preserve">" </w:t>
      </w:r>
      <w:r w:rsidRPr="008B1175">
        <w:rPr>
          <w:rFonts w:hint="eastAsia"/>
          <w:rtl/>
        </w:rPr>
        <w:t>של</w:t>
      </w:r>
      <w:r w:rsidRPr="008B1175">
        <w:rPr>
          <w:rtl/>
        </w:rPr>
        <w:t xml:space="preserve"> </w:t>
      </w:r>
      <w:r w:rsidRPr="008B1175">
        <w:rPr>
          <w:rFonts w:hint="eastAsia"/>
          <w:rtl/>
        </w:rPr>
        <w:t>מדינת</w:t>
      </w:r>
      <w:r w:rsidRPr="008B1175">
        <w:rPr>
          <w:rtl/>
        </w:rPr>
        <w:t xml:space="preserve"> </w:t>
      </w:r>
      <w:r w:rsidRPr="008B1175">
        <w:rPr>
          <w:rFonts w:hint="eastAsia"/>
          <w:rtl/>
        </w:rPr>
        <w:t>ישראל</w:t>
      </w:r>
      <w:r w:rsidRPr="008B1175">
        <w:rPr>
          <w:rtl/>
        </w:rPr>
        <w:t xml:space="preserve"> </w:t>
      </w:r>
      <w:r w:rsidRPr="008B1175">
        <w:rPr>
          <w:rFonts w:hint="eastAsia"/>
          <w:rtl/>
        </w:rPr>
        <w:t>כמדינה</w:t>
      </w:r>
      <w:r w:rsidRPr="008B1175">
        <w:rPr>
          <w:rtl/>
        </w:rPr>
        <w:t xml:space="preserve"> </w:t>
      </w:r>
      <w:r w:rsidRPr="008B1175">
        <w:rPr>
          <w:rFonts w:hint="eastAsia"/>
          <w:rtl/>
        </w:rPr>
        <w:t>יהודית</w:t>
      </w:r>
      <w:r w:rsidRPr="008B1175">
        <w:rPr>
          <w:rtl/>
        </w:rPr>
        <w:t xml:space="preserve"> </w:t>
      </w:r>
      <w:r w:rsidRPr="008B1175">
        <w:rPr>
          <w:rFonts w:hint="eastAsia"/>
          <w:rtl/>
        </w:rPr>
        <w:t>ודמוקרטית</w:t>
      </w:r>
      <w:r w:rsidRPr="008B1175">
        <w:rPr>
          <w:rtl/>
        </w:rPr>
        <w:t xml:space="preserve"> – </w:t>
      </w:r>
      <w:r w:rsidRPr="008B1175">
        <w:rPr>
          <w:rFonts w:hint="eastAsia"/>
          <w:rtl/>
        </w:rPr>
        <w:t>אין</w:t>
      </w:r>
      <w:r w:rsidRPr="008B1175">
        <w:rPr>
          <w:rtl/>
        </w:rPr>
        <w:t xml:space="preserve"> </w:t>
      </w:r>
      <w:r w:rsidRPr="008B1175">
        <w:rPr>
          <w:rFonts w:hint="eastAsia"/>
          <w:rtl/>
        </w:rPr>
        <w:t>להרהר</w:t>
      </w:r>
      <w:r w:rsidRPr="008B1175">
        <w:rPr>
          <w:rtl/>
        </w:rPr>
        <w:t xml:space="preserve"> </w:t>
      </w:r>
      <w:r w:rsidRPr="008B1175">
        <w:rPr>
          <w:rFonts w:hint="eastAsia"/>
          <w:rtl/>
        </w:rPr>
        <w:t>אחריו</w:t>
      </w:r>
      <w:r w:rsidRPr="008B1175">
        <w:rPr>
          <w:rtl/>
        </w:rPr>
        <w:t xml:space="preserve">. </w:t>
      </w:r>
      <w:r w:rsidRPr="008B1175">
        <w:rPr>
          <w:rFonts w:hint="eastAsia"/>
          <w:rtl/>
        </w:rPr>
        <w:t>לכך</w:t>
      </w:r>
      <w:r w:rsidRPr="008B1175">
        <w:rPr>
          <w:rtl/>
        </w:rPr>
        <w:t xml:space="preserve">, </w:t>
      </w:r>
      <w:r w:rsidRPr="008B1175">
        <w:rPr>
          <w:rFonts w:hint="eastAsia"/>
          <w:rtl/>
        </w:rPr>
        <w:t>לצערי</w:t>
      </w:r>
      <w:r w:rsidRPr="008B1175">
        <w:rPr>
          <w:rtl/>
        </w:rPr>
        <w:t xml:space="preserve">, </w:t>
      </w:r>
      <w:r w:rsidRPr="008B1175">
        <w:rPr>
          <w:rFonts w:hint="eastAsia"/>
          <w:rtl/>
        </w:rPr>
        <w:t>אין</w:t>
      </w:r>
      <w:r w:rsidRPr="008B1175">
        <w:rPr>
          <w:rtl/>
        </w:rPr>
        <w:t xml:space="preserve"> </w:t>
      </w:r>
      <w:r w:rsidRPr="008B1175">
        <w:rPr>
          <w:rFonts w:hint="eastAsia"/>
          <w:rtl/>
        </w:rPr>
        <w:t>בידי</w:t>
      </w:r>
      <w:r w:rsidRPr="008B1175">
        <w:rPr>
          <w:rtl/>
        </w:rPr>
        <w:t xml:space="preserve"> </w:t>
      </w:r>
      <w:r w:rsidRPr="008B1175">
        <w:rPr>
          <w:rFonts w:hint="eastAsia"/>
          <w:rtl/>
        </w:rPr>
        <w:t>להסכים</w:t>
      </w:r>
      <w:r w:rsidRPr="008B1175">
        <w:rPr>
          <w:rtl/>
        </w:rPr>
        <w:t xml:space="preserve">. </w:t>
      </w:r>
    </w:p>
    <w:p w:rsidR="00C044AE" w:rsidRPr="008B1175" w:rsidRDefault="00C044AE" w:rsidP="00C044AE">
      <w:pPr>
        <w:pStyle w:val="Ruller4"/>
        <w:numPr>
          <w:ilvl w:val="0"/>
          <w:numId w:val="0"/>
        </w:numPr>
        <w:rPr>
          <w:rtl/>
        </w:rPr>
      </w:pPr>
    </w:p>
    <w:p w:rsidR="00C044AE" w:rsidRPr="008B1175" w:rsidRDefault="00C044AE" w:rsidP="00C044AE">
      <w:pPr>
        <w:pStyle w:val="Ruller4"/>
        <w:rPr>
          <w:rtl/>
        </w:rPr>
      </w:pPr>
      <w:r w:rsidRPr="008B1175">
        <w:rPr>
          <w:rFonts w:hint="eastAsia"/>
          <w:rtl/>
        </w:rPr>
        <w:t>כחוט</w:t>
      </w:r>
      <w:r w:rsidRPr="008B1175">
        <w:rPr>
          <w:rtl/>
        </w:rPr>
        <w:t xml:space="preserve"> </w:t>
      </w:r>
      <w:r w:rsidRPr="008B1175">
        <w:rPr>
          <w:rFonts w:hint="eastAsia"/>
          <w:rtl/>
        </w:rPr>
        <w:t>השני</w:t>
      </w:r>
      <w:r w:rsidRPr="008B1175">
        <w:rPr>
          <w:rtl/>
        </w:rPr>
        <w:t xml:space="preserve"> </w:t>
      </w:r>
      <w:r w:rsidRPr="008B1175">
        <w:rPr>
          <w:rFonts w:hint="eastAsia"/>
          <w:rtl/>
        </w:rPr>
        <w:t>עוברת</w:t>
      </w:r>
      <w:r w:rsidRPr="008B1175">
        <w:rPr>
          <w:rtl/>
        </w:rPr>
        <w:t xml:space="preserve"> </w:t>
      </w:r>
      <w:r w:rsidRPr="008B1175">
        <w:rPr>
          <w:rFonts w:hint="eastAsia"/>
          <w:rtl/>
        </w:rPr>
        <w:t>בחוות</w:t>
      </w:r>
      <w:r w:rsidRPr="008B1175">
        <w:rPr>
          <w:rtl/>
        </w:rPr>
        <w:t xml:space="preserve"> </w:t>
      </w:r>
      <w:r w:rsidRPr="008B1175">
        <w:rPr>
          <w:rFonts w:hint="eastAsia"/>
          <w:rtl/>
        </w:rPr>
        <w:t>דעתם</w:t>
      </w:r>
      <w:r w:rsidRPr="008B1175">
        <w:rPr>
          <w:rtl/>
        </w:rPr>
        <w:t xml:space="preserve"> </w:t>
      </w:r>
      <w:r w:rsidRPr="008B1175">
        <w:rPr>
          <w:rFonts w:hint="eastAsia"/>
          <w:rtl/>
        </w:rPr>
        <w:t>של</w:t>
      </w:r>
      <w:r w:rsidRPr="008B1175">
        <w:rPr>
          <w:rtl/>
        </w:rPr>
        <w:t xml:space="preserve"> </w:t>
      </w:r>
      <w:r w:rsidRPr="008B1175">
        <w:rPr>
          <w:rFonts w:hint="eastAsia"/>
          <w:rtl/>
        </w:rPr>
        <w:t>חבריי</w:t>
      </w:r>
      <w:r w:rsidRPr="008B1175">
        <w:rPr>
          <w:rtl/>
        </w:rPr>
        <w:t xml:space="preserve"> </w:t>
      </w:r>
      <w:r w:rsidRPr="008B1175">
        <w:rPr>
          <w:rFonts w:hint="eastAsia"/>
          <w:rtl/>
        </w:rPr>
        <w:t>השופטים</w:t>
      </w:r>
      <w:r w:rsidRPr="008B1175">
        <w:rPr>
          <w:rtl/>
        </w:rPr>
        <w:t xml:space="preserve"> </w:t>
      </w:r>
      <w:r w:rsidRPr="008B1175">
        <w:rPr>
          <w:rFonts w:ascii="Century" w:hAnsi="Century" w:cs="Miriam" w:hint="eastAsia"/>
          <w:b/>
          <w:spacing w:val="0"/>
          <w:sz w:val="22"/>
          <w:szCs w:val="24"/>
          <w:rtl/>
        </w:rPr>
        <w:t>סולברג</w:t>
      </w:r>
      <w:r w:rsidRPr="008B1175">
        <w:rPr>
          <w:rtl/>
        </w:rPr>
        <w:t xml:space="preserve"> </w:t>
      </w:r>
      <w:r w:rsidRPr="008B1175">
        <w:rPr>
          <w:rFonts w:hint="eastAsia"/>
          <w:rtl/>
        </w:rPr>
        <w:t>ו</w:t>
      </w:r>
      <w:r w:rsidRPr="008B1175">
        <w:rPr>
          <w:rFonts w:ascii="Century" w:hAnsi="Century" w:cs="Miriam" w:hint="eastAsia"/>
          <w:b/>
          <w:spacing w:val="0"/>
          <w:sz w:val="22"/>
          <w:szCs w:val="24"/>
          <w:rtl/>
        </w:rPr>
        <w:t>מינץ</w:t>
      </w:r>
      <w:r w:rsidRPr="008B1175">
        <w:rPr>
          <w:rtl/>
        </w:rPr>
        <w:t xml:space="preserve"> </w:t>
      </w:r>
      <w:r w:rsidRPr="008B1175">
        <w:rPr>
          <w:rFonts w:hint="eastAsia"/>
          <w:rtl/>
        </w:rPr>
        <w:t>הקביעה</w:t>
      </w:r>
      <w:r w:rsidRPr="008B1175">
        <w:rPr>
          <w:rtl/>
        </w:rPr>
        <w:t xml:space="preserve"> </w:t>
      </w:r>
      <w:r w:rsidRPr="008B1175">
        <w:rPr>
          <w:rFonts w:hint="eastAsia"/>
          <w:rtl/>
        </w:rPr>
        <w:t>כי</w:t>
      </w:r>
      <w:r w:rsidRPr="008B1175">
        <w:rPr>
          <w:rtl/>
        </w:rPr>
        <w:t xml:space="preserve"> </w:t>
      </w:r>
      <w:r w:rsidRPr="008B1175">
        <w:rPr>
          <w:rFonts w:hint="eastAsia"/>
          <w:rtl/>
        </w:rPr>
        <w:t>אין</w:t>
      </w:r>
      <w:r w:rsidRPr="008B1175">
        <w:rPr>
          <w:rtl/>
        </w:rPr>
        <w:t xml:space="preserve"> </w:t>
      </w:r>
      <w:r w:rsidRPr="008B1175">
        <w:rPr>
          <w:rFonts w:hint="eastAsia"/>
          <w:rtl/>
        </w:rPr>
        <w:t>כל</w:t>
      </w:r>
      <w:r w:rsidRPr="008B1175">
        <w:rPr>
          <w:rtl/>
        </w:rPr>
        <w:t xml:space="preserve"> </w:t>
      </w:r>
      <w:r w:rsidRPr="008B1175">
        <w:rPr>
          <w:rFonts w:hint="eastAsia"/>
          <w:rtl/>
        </w:rPr>
        <w:t>מקור</w:t>
      </w:r>
      <w:r w:rsidRPr="008B1175">
        <w:rPr>
          <w:rtl/>
        </w:rPr>
        <w:t xml:space="preserve"> </w:t>
      </w:r>
      <w:r w:rsidRPr="008B1175">
        <w:rPr>
          <w:rFonts w:hint="eastAsia"/>
          <w:rtl/>
        </w:rPr>
        <w:t>סמכות</w:t>
      </w:r>
      <w:r w:rsidRPr="008B1175">
        <w:rPr>
          <w:rtl/>
        </w:rPr>
        <w:t xml:space="preserve"> </w:t>
      </w:r>
      <w:r w:rsidRPr="008B1175">
        <w:rPr>
          <w:rFonts w:ascii="Miriam" w:hAnsi="Miriam" w:cs="Miriam" w:hint="eastAsia"/>
          <w:szCs w:val="24"/>
          <w:rtl/>
        </w:rPr>
        <w:t>מפורש</w:t>
      </w:r>
      <w:r w:rsidRPr="008B1175">
        <w:rPr>
          <w:rtl/>
        </w:rPr>
        <w:t xml:space="preserve"> </w:t>
      </w:r>
      <w:r w:rsidRPr="008B1175">
        <w:rPr>
          <w:rFonts w:hint="eastAsia"/>
          <w:rtl/>
        </w:rPr>
        <w:t>המסמיך</w:t>
      </w:r>
      <w:r w:rsidRPr="008B1175">
        <w:rPr>
          <w:rtl/>
        </w:rPr>
        <w:t xml:space="preserve"> </w:t>
      </w:r>
      <w:r w:rsidRPr="008B1175">
        <w:rPr>
          <w:rFonts w:hint="eastAsia"/>
          <w:rtl/>
        </w:rPr>
        <w:t>את</w:t>
      </w:r>
      <w:r w:rsidRPr="008B1175">
        <w:rPr>
          <w:rtl/>
        </w:rPr>
        <w:t xml:space="preserve"> </w:t>
      </w:r>
      <w:r w:rsidRPr="008B1175">
        <w:rPr>
          <w:rFonts w:hint="eastAsia"/>
          <w:rtl/>
        </w:rPr>
        <w:t>בית</w:t>
      </w:r>
      <w:r w:rsidRPr="008B1175">
        <w:rPr>
          <w:rtl/>
        </w:rPr>
        <w:t xml:space="preserve"> </w:t>
      </w:r>
      <w:r w:rsidRPr="008B1175">
        <w:rPr>
          <w:rFonts w:hint="eastAsia"/>
          <w:rtl/>
        </w:rPr>
        <w:t>המשפט</w:t>
      </w:r>
      <w:r w:rsidRPr="008B1175">
        <w:rPr>
          <w:rtl/>
        </w:rPr>
        <w:t xml:space="preserve"> </w:t>
      </w:r>
      <w:r w:rsidRPr="008B1175">
        <w:rPr>
          <w:rFonts w:hint="eastAsia"/>
          <w:rtl/>
        </w:rPr>
        <w:t>לבחון</w:t>
      </w:r>
      <w:r w:rsidRPr="008B1175">
        <w:rPr>
          <w:rtl/>
        </w:rPr>
        <w:t xml:space="preserve"> </w:t>
      </w:r>
      <w:r w:rsidRPr="008B1175">
        <w:rPr>
          <w:rFonts w:hint="eastAsia"/>
          <w:rtl/>
        </w:rPr>
        <w:t>האם</w:t>
      </w:r>
      <w:r w:rsidRPr="008B1175">
        <w:rPr>
          <w:rtl/>
        </w:rPr>
        <w:t xml:space="preserve"> </w:t>
      </w:r>
      <w:r w:rsidRPr="008B1175">
        <w:rPr>
          <w:rFonts w:hint="eastAsia"/>
          <w:rtl/>
        </w:rPr>
        <w:t>הכנסת</w:t>
      </w:r>
      <w:r w:rsidRPr="008B1175">
        <w:rPr>
          <w:rtl/>
        </w:rPr>
        <w:t xml:space="preserve"> </w:t>
      </w:r>
      <w:r w:rsidRPr="008B1175">
        <w:rPr>
          <w:rFonts w:hint="eastAsia"/>
          <w:rtl/>
        </w:rPr>
        <w:t>חרגה</w:t>
      </w:r>
      <w:r w:rsidRPr="008B1175">
        <w:rPr>
          <w:rtl/>
        </w:rPr>
        <w:t xml:space="preserve"> </w:t>
      </w:r>
      <w:r w:rsidRPr="008B1175">
        <w:rPr>
          <w:rFonts w:hint="eastAsia"/>
          <w:rtl/>
        </w:rPr>
        <w:t>מסמכותה</w:t>
      </w:r>
      <w:r w:rsidRPr="008B1175">
        <w:rPr>
          <w:rtl/>
        </w:rPr>
        <w:t xml:space="preserve"> </w:t>
      </w:r>
      <w:r w:rsidRPr="008B1175">
        <w:rPr>
          <w:rFonts w:hint="eastAsia"/>
          <w:rtl/>
        </w:rPr>
        <w:t>המכוננת</w:t>
      </w:r>
      <w:r w:rsidRPr="008B1175">
        <w:rPr>
          <w:rtl/>
        </w:rPr>
        <w:t xml:space="preserve">. </w:t>
      </w:r>
      <w:r w:rsidRPr="008B1175">
        <w:rPr>
          <w:rFonts w:hint="eastAsia"/>
          <w:rtl/>
        </w:rPr>
        <w:t>על</w:t>
      </w:r>
      <w:r w:rsidRPr="008B1175">
        <w:rPr>
          <w:rtl/>
        </w:rPr>
        <w:t xml:space="preserve"> </w:t>
      </w:r>
      <w:r w:rsidRPr="008B1175">
        <w:rPr>
          <w:rFonts w:hint="eastAsia"/>
          <w:rtl/>
        </w:rPr>
        <w:t>כך</w:t>
      </w:r>
      <w:r w:rsidRPr="008B1175">
        <w:rPr>
          <w:rtl/>
        </w:rPr>
        <w:t xml:space="preserve"> </w:t>
      </w:r>
      <w:r w:rsidRPr="008B1175">
        <w:rPr>
          <w:rFonts w:hint="eastAsia"/>
          <w:rtl/>
        </w:rPr>
        <w:t>איני</w:t>
      </w:r>
      <w:r w:rsidRPr="008B1175">
        <w:rPr>
          <w:rtl/>
        </w:rPr>
        <w:t xml:space="preserve"> </w:t>
      </w:r>
      <w:r w:rsidRPr="008B1175">
        <w:rPr>
          <w:rFonts w:hint="eastAsia"/>
          <w:rtl/>
        </w:rPr>
        <w:t>חולקת</w:t>
      </w:r>
      <w:r w:rsidRPr="008B1175">
        <w:rPr>
          <w:rtl/>
        </w:rPr>
        <w:t xml:space="preserve"> (</w:t>
      </w:r>
      <w:r w:rsidRPr="008B1175">
        <w:rPr>
          <w:rFonts w:hint="eastAsia"/>
          <w:rtl/>
        </w:rPr>
        <w:t>ראו</w:t>
      </w:r>
      <w:r w:rsidRPr="008B1175">
        <w:rPr>
          <w:rtl/>
        </w:rPr>
        <w:t xml:space="preserve"> </w:t>
      </w:r>
      <w:r w:rsidRPr="008B1175">
        <w:rPr>
          <w:rFonts w:hint="eastAsia"/>
          <w:rtl/>
        </w:rPr>
        <w:t>האמור</w:t>
      </w:r>
      <w:r w:rsidRPr="008B1175">
        <w:rPr>
          <w:rtl/>
        </w:rPr>
        <w:t xml:space="preserve"> </w:t>
      </w:r>
      <w:r w:rsidRPr="008B1175">
        <w:rPr>
          <w:rFonts w:hint="eastAsia"/>
          <w:rtl/>
        </w:rPr>
        <w:t>בפסקה</w:t>
      </w:r>
      <w:r w:rsidRPr="008B1175">
        <w:rPr>
          <w:rtl/>
        </w:rPr>
        <w:t xml:space="preserve"> 70 </w:t>
      </w:r>
      <w:r w:rsidRPr="008B1175">
        <w:rPr>
          <w:rFonts w:hint="eastAsia"/>
          <w:rtl/>
        </w:rPr>
        <w:t>לעיל</w:t>
      </w:r>
      <w:r w:rsidRPr="008B1175">
        <w:rPr>
          <w:rtl/>
        </w:rPr>
        <w:t xml:space="preserve">). </w:t>
      </w:r>
      <w:r w:rsidRPr="008B1175">
        <w:rPr>
          <w:rFonts w:hint="cs"/>
          <w:rtl/>
        </w:rPr>
        <w:t xml:space="preserve">אך </w:t>
      </w:r>
      <w:r w:rsidRPr="008B1175">
        <w:rPr>
          <w:rFonts w:hint="eastAsia"/>
          <w:rtl/>
        </w:rPr>
        <w:t>לדעת</w:t>
      </w:r>
      <w:r w:rsidRPr="008B1175">
        <w:rPr>
          <w:rtl/>
        </w:rPr>
        <w:t xml:space="preserve"> </w:t>
      </w:r>
      <w:r w:rsidRPr="008B1175">
        <w:rPr>
          <w:rFonts w:hint="eastAsia"/>
          <w:rtl/>
        </w:rPr>
        <w:t>חבריי</w:t>
      </w:r>
      <w:r w:rsidRPr="008B1175">
        <w:rPr>
          <w:rtl/>
        </w:rPr>
        <w:t xml:space="preserve">, </w:t>
      </w:r>
      <w:r w:rsidRPr="008B1175">
        <w:rPr>
          <w:rFonts w:hint="eastAsia"/>
          <w:rtl/>
        </w:rPr>
        <w:t>נקודת</w:t>
      </w:r>
      <w:r w:rsidRPr="008B1175">
        <w:rPr>
          <w:rtl/>
        </w:rPr>
        <w:t xml:space="preserve"> </w:t>
      </w:r>
      <w:r w:rsidRPr="008B1175">
        <w:rPr>
          <w:rFonts w:hint="eastAsia"/>
          <w:rtl/>
        </w:rPr>
        <w:t>מוצא</w:t>
      </w:r>
      <w:r w:rsidRPr="008B1175">
        <w:rPr>
          <w:rtl/>
        </w:rPr>
        <w:t xml:space="preserve"> </w:t>
      </w:r>
      <w:r w:rsidRPr="008B1175">
        <w:rPr>
          <w:rFonts w:hint="eastAsia"/>
          <w:rtl/>
        </w:rPr>
        <w:t>זו</w:t>
      </w:r>
      <w:r w:rsidRPr="008B1175">
        <w:rPr>
          <w:rtl/>
        </w:rPr>
        <w:t xml:space="preserve"> </w:t>
      </w:r>
      <w:r w:rsidRPr="008B1175">
        <w:rPr>
          <w:rFonts w:hint="eastAsia"/>
          <w:rtl/>
        </w:rPr>
        <w:t>מהווה</w:t>
      </w:r>
      <w:r w:rsidRPr="008B1175">
        <w:rPr>
          <w:rtl/>
        </w:rPr>
        <w:t xml:space="preserve"> </w:t>
      </w:r>
      <w:r w:rsidRPr="008B1175">
        <w:rPr>
          <w:rFonts w:hint="eastAsia"/>
          <w:rtl/>
        </w:rPr>
        <w:t>גם</w:t>
      </w:r>
      <w:r w:rsidRPr="008B1175">
        <w:rPr>
          <w:rtl/>
        </w:rPr>
        <w:t xml:space="preserve"> </w:t>
      </w:r>
      <w:r w:rsidRPr="008B1175">
        <w:rPr>
          <w:rFonts w:hint="eastAsia"/>
          <w:rtl/>
        </w:rPr>
        <w:t>נקודת</w:t>
      </w:r>
      <w:r w:rsidRPr="008B1175">
        <w:rPr>
          <w:rtl/>
        </w:rPr>
        <w:t xml:space="preserve"> </w:t>
      </w:r>
      <w:r w:rsidRPr="008B1175">
        <w:rPr>
          <w:rFonts w:hint="eastAsia"/>
          <w:rtl/>
        </w:rPr>
        <w:t>הסיום</w:t>
      </w:r>
      <w:r w:rsidRPr="008B1175">
        <w:rPr>
          <w:rtl/>
        </w:rPr>
        <w:t xml:space="preserve">. </w:t>
      </w:r>
      <w:r w:rsidRPr="008B1175">
        <w:rPr>
          <w:rFonts w:hint="eastAsia"/>
          <w:rtl/>
        </w:rPr>
        <w:t>עמדתי</w:t>
      </w:r>
      <w:r w:rsidRPr="008B1175">
        <w:rPr>
          <w:rtl/>
        </w:rPr>
        <w:t xml:space="preserve"> </w:t>
      </w:r>
      <w:r w:rsidRPr="008B1175">
        <w:rPr>
          <w:rFonts w:hint="eastAsia"/>
          <w:rtl/>
        </w:rPr>
        <w:t>שונה</w:t>
      </w:r>
      <w:r w:rsidRPr="008B1175">
        <w:rPr>
          <w:rtl/>
        </w:rPr>
        <w:t xml:space="preserve">, </w:t>
      </w:r>
      <w:r w:rsidRPr="008B1175">
        <w:rPr>
          <w:rFonts w:hint="eastAsia"/>
          <w:rtl/>
        </w:rPr>
        <w:t>וכפי</w:t>
      </w:r>
      <w:r w:rsidRPr="008B1175">
        <w:rPr>
          <w:rtl/>
        </w:rPr>
        <w:t xml:space="preserve"> </w:t>
      </w:r>
      <w:r w:rsidRPr="008B1175">
        <w:rPr>
          <w:rFonts w:hint="eastAsia"/>
          <w:rtl/>
        </w:rPr>
        <w:t>שציינתי</w:t>
      </w:r>
      <w:r w:rsidRPr="008B1175">
        <w:rPr>
          <w:rtl/>
        </w:rPr>
        <w:t xml:space="preserve"> </w:t>
      </w:r>
      <w:r w:rsidRPr="008B1175">
        <w:rPr>
          <w:rFonts w:hint="eastAsia"/>
          <w:rtl/>
        </w:rPr>
        <w:t>בחוות</w:t>
      </w:r>
      <w:r w:rsidRPr="008B1175">
        <w:rPr>
          <w:rtl/>
        </w:rPr>
        <w:t xml:space="preserve"> </w:t>
      </w:r>
      <w:r w:rsidRPr="008B1175">
        <w:rPr>
          <w:rFonts w:hint="eastAsia"/>
          <w:rtl/>
        </w:rPr>
        <w:t>דעתי</w:t>
      </w:r>
      <w:r w:rsidRPr="008B1175">
        <w:rPr>
          <w:rtl/>
        </w:rPr>
        <w:t xml:space="preserve">, </w:t>
      </w:r>
      <w:r w:rsidRPr="008B1175">
        <w:rPr>
          <w:rFonts w:hint="eastAsia"/>
          <w:rtl/>
        </w:rPr>
        <w:t>גישת</w:t>
      </w:r>
      <w:r w:rsidRPr="008B1175">
        <w:rPr>
          <w:rtl/>
        </w:rPr>
        <w:t xml:space="preserve"> </w:t>
      </w:r>
      <w:r w:rsidRPr="008B1175">
        <w:rPr>
          <w:rFonts w:hint="eastAsia"/>
          <w:rtl/>
        </w:rPr>
        <w:t>חבריי</w:t>
      </w:r>
      <w:r w:rsidRPr="008B1175">
        <w:rPr>
          <w:rtl/>
        </w:rPr>
        <w:t xml:space="preserve"> </w:t>
      </w:r>
      <w:r w:rsidRPr="008B1175">
        <w:rPr>
          <w:rFonts w:hint="eastAsia"/>
          <w:rtl/>
        </w:rPr>
        <w:lastRenderedPageBreak/>
        <w:t>בהקשר</w:t>
      </w:r>
      <w:r w:rsidRPr="008B1175">
        <w:rPr>
          <w:rtl/>
        </w:rPr>
        <w:t xml:space="preserve"> </w:t>
      </w:r>
      <w:r w:rsidRPr="008B1175">
        <w:rPr>
          <w:rFonts w:hint="eastAsia"/>
          <w:rtl/>
        </w:rPr>
        <w:t>זה</w:t>
      </w:r>
      <w:r w:rsidRPr="008B1175">
        <w:rPr>
          <w:rtl/>
        </w:rPr>
        <w:t xml:space="preserve"> </w:t>
      </w:r>
      <w:r w:rsidRPr="008B1175">
        <w:rPr>
          <w:rFonts w:hint="eastAsia"/>
          <w:rtl/>
        </w:rPr>
        <w:t>אף</w:t>
      </w:r>
      <w:r w:rsidRPr="008B1175">
        <w:rPr>
          <w:rtl/>
        </w:rPr>
        <w:t xml:space="preserve"> </w:t>
      </w:r>
      <w:r w:rsidRPr="008B1175">
        <w:rPr>
          <w:rFonts w:hint="eastAsia"/>
          <w:rtl/>
        </w:rPr>
        <w:t>לא</w:t>
      </w:r>
      <w:r w:rsidRPr="008B1175">
        <w:rPr>
          <w:rtl/>
        </w:rPr>
        <w:t xml:space="preserve"> </w:t>
      </w:r>
      <w:r w:rsidRPr="008B1175">
        <w:rPr>
          <w:rFonts w:hint="eastAsia"/>
          <w:rtl/>
        </w:rPr>
        <w:t>קנתה</w:t>
      </w:r>
      <w:r w:rsidRPr="008B1175">
        <w:rPr>
          <w:rtl/>
        </w:rPr>
        <w:t xml:space="preserve"> </w:t>
      </w:r>
      <w:r w:rsidRPr="008B1175">
        <w:rPr>
          <w:rFonts w:hint="eastAsia"/>
          <w:rtl/>
        </w:rPr>
        <w:t>לה</w:t>
      </w:r>
      <w:r w:rsidRPr="008B1175">
        <w:rPr>
          <w:rtl/>
        </w:rPr>
        <w:t xml:space="preserve"> </w:t>
      </w:r>
      <w:r w:rsidRPr="008B1175">
        <w:rPr>
          <w:rFonts w:hint="eastAsia"/>
          <w:rtl/>
        </w:rPr>
        <w:t>אחיזה</w:t>
      </w:r>
      <w:r w:rsidRPr="008B1175">
        <w:rPr>
          <w:rtl/>
        </w:rPr>
        <w:t xml:space="preserve"> </w:t>
      </w:r>
      <w:r w:rsidRPr="008B1175">
        <w:rPr>
          <w:rFonts w:hint="eastAsia"/>
          <w:rtl/>
        </w:rPr>
        <w:t>בשיטות</w:t>
      </w:r>
      <w:r w:rsidRPr="008B1175">
        <w:rPr>
          <w:rtl/>
        </w:rPr>
        <w:t xml:space="preserve"> </w:t>
      </w:r>
      <w:r w:rsidRPr="008B1175">
        <w:rPr>
          <w:rFonts w:hint="eastAsia"/>
          <w:rtl/>
        </w:rPr>
        <w:t>משפט</w:t>
      </w:r>
      <w:r w:rsidRPr="008B1175">
        <w:rPr>
          <w:rtl/>
        </w:rPr>
        <w:t xml:space="preserve"> </w:t>
      </w:r>
      <w:r w:rsidRPr="008B1175">
        <w:rPr>
          <w:rFonts w:hint="eastAsia"/>
          <w:rtl/>
        </w:rPr>
        <w:t>רבות</w:t>
      </w:r>
      <w:r w:rsidRPr="008B1175">
        <w:rPr>
          <w:rtl/>
        </w:rPr>
        <w:t xml:space="preserve"> </w:t>
      </w:r>
      <w:r w:rsidRPr="008B1175">
        <w:rPr>
          <w:rFonts w:hint="eastAsia"/>
          <w:rtl/>
        </w:rPr>
        <w:t>בעולם</w:t>
      </w:r>
      <w:r w:rsidRPr="008B1175">
        <w:rPr>
          <w:rtl/>
        </w:rPr>
        <w:t xml:space="preserve">, </w:t>
      </w:r>
      <w:r w:rsidRPr="008B1175">
        <w:rPr>
          <w:rFonts w:hint="eastAsia"/>
          <w:rtl/>
        </w:rPr>
        <w:t>שבהן</w:t>
      </w:r>
      <w:r w:rsidRPr="008B1175">
        <w:rPr>
          <w:rtl/>
        </w:rPr>
        <w:t xml:space="preserve"> </w:t>
      </w:r>
      <w:r w:rsidRPr="008B1175">
        <w:rPr>
          <w:rFonts w:hint="eastAsia"/>
          <w:rtl/>
        </w:rPr>
        <w:t>קבעו</w:t>
      </w:r>
      <w:r w:rsidRPr="008B1175">
        <w:rPr>
          <w:rtl/>
        </w:rPr>
        <w:t xml:space="preserve"> </w:t>
      </w:r>
      <w:r w:rsidRPr="008B1175">
        <w:rPr>
          <w:rFonts w:hint="eastAsia"/>
          <w:rtl/>
        </w:rPr>
        <w:t>בתי</w:t>
      </w:r>
      <w:r w:rsidRPr="008B1175">
        <w:rPr>
          <w:rtl/>
        </w:rPr>
        <w:t xml:space="preserve"> </w:t>
      </w:r>
      <w:r w:rsidRPr="008B1175">
        <w:rPr>
          <w:rFonts w:hint="eastAsia"/>
          <w:rtl/>
        </w:rPr>
        <w:t>המשפט</w:t>
      </w:r>
      <w:r w:rsidRPr="008B1175">
        <w:rPr>
          <w:rtl/>
        </w:rPr>
        <w:t xml:space="preserve"> </w:t>
      </w:r>
      <w:r w:rsidRPr="008B1175">
        <w:rPr>
          <w:rFonts w:hint="eastAsia"/>
          <w:rtl/>
        </w:rPr>
        <w:t>זה</w:t>
      </w:r>
      <w:r w:rsidRPr="008B1175">
        <w:rPr>
          <w:rtl/>
        </w:rPr>
        <w:t xml:space="preserve"> </w:t>
      </w:r>
      <w:r w:rsidRPr="008B1175">
        <w:rPr>
          <w:rFonts w:hint="eastAsia"/>
          <w:rtl/>
        </w:rPr>
        <w:t>מכבר</w:t>
      </w:r>
      <w:r w:rsidRPr="008B1175">
        <w:rPr>
          <w:rtl/>
        </w:rPr>
        <w:t xml:space="preserve"> </w:t>
      </w:r>
      <w:r w:rsidRPr="008B1175">
        <w:rPr>
          <w:rFonts w:hint="eastAsia"/>
          <w:rtl/>
        </w:rPr>
        <w:t>כי</w:t>
      </w:r>
      <w:r w:rsidRPr="008B1175">
        <w:rPr>
          <w:rtl/>
        </w:rPr>
        <w:t xml:space="preserve"> </w:t>
      </w:r>
      <w:r w:rsidRPr="008B1175">
        <w:rPr>
          <w:rFonts w:hint="eastAsia"/>
          <w:rtl/>
        </w:rPr>
        <w:t>גם</w:t>
      </w:r>
      <w:r w:rsidRPr="008B1175">
        <w:rPr>
          <w:rtl/>
        </w:rPr>
        <w:t xml:space="preserve"> </w:t>
      </w:r>
      <w:r w:rsidRPr="008B1175">
        <w:rPr>
          <w:rFonts w:hint="eastAsia"/>
          <w:rtl/>
        </w:rPr>
        <w:t>בהיעדר</w:t>
      </w:r>
      <w:r w:rsidRPr="008B1175">
        <w:rPr>
          <w:rtl/>
        </w:rPr>
        <w:t xml:space="preserve"> </w:t>
      </w:r>
      <w:r w:rsidRPr="008B1175">
        <w:rPr>
          <w:rFonts w:hint="eastAsia"/>
          <w:rtl/>
        </w:rPr>
        <w:t>עיגון</w:t>
      </w:r>
      <w:r w:rsidRPr="008B1175">
        <w:rPr>
          <w:rtl/>
        </w:rPr>
        <w:t xml:space="preserve"> </w:t>
      </w:r>
      <w:r w:rsidRPr="008B1175">
        <w:rPr>
          <w:rFonts w:hint="eastAsia"/>
          <w:rtl/>
        </w:rPr>
        <w:t>מפורש</w:t>
      </w:r>
      <w:r w:rsidRPr="008B1175">
        <w:rPr>
          <w:rtl/>
        </w:rPr>
        <w:t xml:space="preserve"> </w:t>
      </w:r>
      <w:r w:rsidRPr="008B1175">
        <w:rPr>
          <w:rFonts w:hint="eastAsia"/>
          <w:rtl/>
        </w:rPr>
        <w:t>לכך</w:t>
      </w:r>
      <w:r w:rsidRPr="008B1175">
        <w:rPr>
          <w:rtl/>
        </w:rPr>
        <w:t xml:space="preserve">, </w:t>
      </w:r>
      <w:r w:rsidRPr="008B1175">
        <w:rPr>
          <w:rFonts w:hint="eastAsia"/>
          <w:rtl/>
        </w:rPr>
        <w:t>יש</w:t>
      </w:r>
      <w:r w:rsidRPr="008B1175">
        <w:rPr>
          <w:rtl/>
        </w:rPr>
        <w:t xml:space="preserve"> </w:t>
      </w:r>
      <w:r w:rsidRPr="008B1175">
        <w:rPr>
          <w:rFonts w:hint="eastAsia"/>
          <w:rtl/>
        </w:rPr>
        <w:t>בסמכותם</w:t>
      </w:r>
      <w:r w:rsidRPr="008B1175">
        <w:rPr>
          <w:rtl/>
        </w:rPr>
        <w:t xml:space="preserve"> </w:t>
      </w:r>
      <w:r w:rsidRPr="008B1175">
        <w:rPr>
          <w:rFonts w:hint="eastAsia"/>
          <w:rtl/>
        </w:rPr>
        <w:t>לבחון</w:t>
      </w:r>
      <w:r w:rsidRPr="008B1175">
        <w:rPr>
          <w:rtl/>
        </w:rPr>
        <w:t xml:space="preserve"> </w:t>
      </w:r>
      <w:r w:rsidRPr="008B1175">
        <w:rPr>
          <w:rFonts w:hint="eastAsia"/>
          <w:rtl/>
        </w:rPr>
        <w:t>את</w:t>
      </w:r>
      <w:r w:rsidRPr="008B1175">
        <w:rPr>
          <w:rtl/>
        </w:rPr>
        <w:t xml:space="preserve"> "</w:t>
      </w:r>
      <w:r w:rsidRPr="008B1175">
        <w:rPr>
          <w:rFonts w:hint="eastAsia"/>
          <w:rtl/>
        </w:rPr>
        <w:t>חוקתיותם</w:t>
      </w:r>
      <w:r w:rsidRPr="008B1175">
        <w:rPr>
          <w:rtl/>
        </w:rPr>
        <w:t xml:space="preserve">" </w:t>
      </w:r>
      <w:r w:rsidRPr="008B1175">
        <w:rPr>
          <w:rFonts w:hint="eastAsia"/>
          <w:rtl/>
        </w:rPr>
        <w:t>של</w:t>
      </w:r>
      <w:r w:rsidRPr="008B1175">
        <w:rPr>
          <w:rtl/>
        </w:rPr>
        <w:t xml:space="preserve"> </w:t>
      </w:r>
      <w:r w:rsidRPr="008B1175">
        <w:rPr>
          <w:rFonts w:hint="eastAsia"/>
          <w:rtl/>
        </w:rPr>
        <w:t>תיקונים</w:t>
      </w:r>
      <w:r w:rsidRPr="008B1175">
        <w:rPr>
          <w:rtl/>
        </w:rPr>
        <w:t xml:space="preserve"> </w:t>
      </w:r>
      <w:r w:rsidRPr="008B1175">
        <w:rPr>
          <w:rFonts w:hint="eastAsia"/>
          <w:rtl/>
        </w:rPr>
        <w:t>לחוקה</w:t>
      </w:r>
      <w:r w:rsidRPr="008B1175">
        <w:rPr>
          <w:rtl/>
        </w:rPr>
        <w:t xml:space="preserve">, </w:t>
      </w:r>
      <w:r w:rsidRPr="008B1175">
        <w:rPr>
          <w:rFonts w:hint="eastAsia"/>
          <w:rtl/>
        </w:rPr>
        <w:t>כחלק</w:t>
      </w:r>
      <w:r w:rsidRPr="008B1175">
        <w:rPr>
          <w:rtl/>
        </w:rPr>
        <w:t xml:space="preserve"> </w:t>
      </w:r>
      <w:r w:rsidRPr="008B1175">
        <w:rPr>
          <w:rFonts w:hint="eastAsia"/>
          <w:rtl/>
        </w:rPr>
        <w:t>מתפקידם</w:t>
      </w:r>
      <w:r w:rsidRPr="008B1175">
        <w:rPr>
          <w:rtl/>
        </w:rPr>
        <w:t xml:space="preserve"> </w:t>
      </w:r>
      <w:r w:rsidRPr="008B1175">
        <w:rPr>
          <w:rFonts w:hint="eastAsia"/>
          <w:rtl/>
        </w:rPr>
        <w:t>בהגנה</w:t>
      </w:r>
      <w:r w:rsidRPr="008B1175">
        <w:rPr>
          <w:rtl/>
        </w:rPr>
        <w:t xml:space="preserve"> </w:t>
      </w:r>
      <w:r w:rsidRPr="008B1175">
        <w:rPr>
          <w:rFonts w:hint="eastAsia"/>
          <w:rtl/>
        </w:rPr>
        <w:t>עליה</w:t>
      </w:r>
      <w:r w:rsidRPr="008B1175">
        <w:rPr>
          <w:rtl/>
        </w:rPr>
        <w:t xml:space="preserve"> (</w:t>
      </w:r>
      <w:r w:rsidRPr="008B1175">
        <w:rPr>
          <w:rFonts w:hint="eastAsia"/>
          <w:rtl/>
        </w:rPr>
        <w:t>ראו</w:t>
      </w:r>
      <w:r w:rsidRPr="008B1175">
        <w:rPr>
          <w:rtl/>
        </w:rPr>
        <w:t xml:space="preserve">: </w:t>
      </w:r>
      <w:r w:rsidRPr="008B1175">
        <w:rPr>
          <w:rFonts w:hint="eastAsia"/>
          <w:rtl/>
        </w:rPr>
        <w:t>פסקאות</w:t>
      </w:r>
      <w:r w:rsidRPr="008B1175">
        <w:rPr>
          <w:rtl/>
        </w:rPr>
        <w:t xml:space="preserve"> 61 </w:t>
      </w:r>
      <w:r w:rsidRPr="008B1175">
        <w:rPr>
          <w:rFonts w:hint="eastAsia"/>
          <w:rtl/>
        </w:rPr>
        <w:t>ו</w:t>
      </w:r>
      <w:r w:rsidRPr="008B1175">
        <w:rPr>
          <w:rtl/>
        </w:rPr>
        <w:t xml:space="preserve">-69 </w:t>
      </w:r>
      <w:r w:rsidRPr="008B1175">
        <w:rPr>
          <w:rFonts w:hint="eastAsia"/>
          <w:rtl/>
        </w:rPr>
        <w:t>לעיל</w:t>
      </w:r>
      <w:r w:rsidRPr="008B1175">
        <w:rPr>
          <w:rtl/>
        </w:rPr>
        <w:t xml:space="preserve">). </w:t>
      </w:r>
      <w:r w:rsidRPr="008B1175">
        <w:rPr>
          <w:rFonts w:hint="eastAsia"/>
          <w:rtl/>
        </w:rPr>
        <w:t>בישראל</w:t>
      </w:r>
      <w:r w:rsidRPr="008B1175">
        <w:rPr>
          <w:rtl/>
        </w:rPr>
        <w:t xml:space="preserve">, </w:t>
      </w:r>
      <w:r w:rsidRPr="008B1175">
        <w:rPr>
          <w:rFonts w:hint="eastAsia"/>
          <w:rtl/>
        </w:rPr>
        <w:t>כידוע</w:t>
      </w:r>
      <w:r w:rsidRPr="008B1175">
        <w:rPr>
          <w:rtl/>
        </w:rPr>
        <w:t xml:space="preserve">, </w:t>
      </w:r>
      <w:r w:rsidRPr="008B1175">
        <w:rPr>
          <w:rFonts w:hint="eastAsia"/>
          <w:rtl/>
        </w:rPr>
        <w:t>טרם</w:t>
      </w:r>
      <w:r w:rsidRPr="008B1175">
        <w:rPr>
          <w:rtl/>
        </w:rPr>
        <w:t xml:space="preserve"> </w:t>
      </w:r>
      <w:r w:rsidRPr="008B1175">
        <w:rPr>
          <w:rFonts w:hint="eastAsia"/>
          <w:rtl/>
        </w:rPr>
        <w:t>הושלמה</w:t>
      </w:r>
      <w:r w:rsidRPr="008B1175">
        <w:rPr>
          <w:rtl/>
        </w:rPr>
        <w:t xml:space="preserve"> </w:t>
      </w:r>
      <w:r w:rsidRPr="008B1175">
        <w:rPr>
          <w:rFonts w:hint="eastAsia"/>
          <w:rtl/>
        </w:rPr>
        <w:t>מלאכת</w:t>
      </w:r>
      <w:r w:rsidRPr="008B1175">
        <w:rPr>
          <w:rtl/>
        </w:rPr>
        <w:t xml:space="preserve"> </w:t>
      </w:r>
      <w:r w:rsidRPr="008B1175">
        <w:rPr>
          <w:rFonts w:hint="eastAsia"/>
          <w:rtl/>
        </w:rPr>
        <w:t>כינון</w:t>
      </w:r>
      <w:r w:rsidRPr="008B1175">
        <w:rPr>
          <w:rtl/>
        </w:rPr>
        <w:t xml:space="preserve"> </w:t>
      </w:r>
      <w:r w:rsidRPr="008B1175">
        <w:rPr>
          <w:rFonts w:hint="eastAsia"/>
          <w:rtl/>
        </w:rPr>
        <w:t>החוקה</w:t>
      </w:r>
      <w:r w:rsidRPr="008B1175">
        <w:rPr>
          <w:rtl/>
        </w:rPr>
        <w:t xml:space="preserve">. </w:t>
      </w:r>
      <w:r w:rsidRPr="008B1175">
        <w:rPr>
          <w:rFonts w:hint="eastAsia"/>
          <w:rtl/>
        </w:rPr>
        <w:t>על</w:t>
      </w:r>
      <w:r w:rsidRPr="008B1175">
        <w:rPr>
          <w:rtl/>
        </w:rPr>
        <w:t xml:space="preserve"> </w:t>
      </w:r>
      <w:r w:rsidRPr="008B1175">
        <w:rPr>
          <w:rFonts w:hint="eastAsia"/>
          <w:rtl/>
        </w:rPr>
        <w:t>כן</w:t>
      </w:r>
      <w:r w:rsidRPr="008B1175">
        <w:rPr>
          <w:rtl/>
        </w:rPr>
        <w:t xml:space="preserve">, </w:t>
      </w:r>
      <w:r w:rsidRPr="008B1175">
        <w:rPr>
          <w:rFonts w:hint="eastAsia"/>
          <w:rtl/>
        </w:rPr>
        <w:t>נמנענו</w:t>
      </w:r>
      <w:r w:rsidRPr="008B1175">
        <w:rPr>
          <w:rtl/>
        </w:rPr>
        <w:t xml:space="preserve"> </w:t>
      </w:r>
      <w:r w:rsidRPr="008B1175">
        <w:rPr>
          <w:rFonts w:hint="eastAsia"/>
          <w:rtl/>
        </w:rPr>
        <w:t>במשך</w:t>
      </w:r>
      <w:r w:rsidRPr="008B1175">
        <w:rPr>
          <w:rtl/>
        </w:rPr>
        <w:t xml:space="preserve"> </w:t>
      </w:r>
      <w:r w:rsidRPr="008B1175">
        <w:rPr>
          <w:rFonts w:hint="eastAsia"/>
          <w:rtl/>
        </w:rPr>
        <w:t>שנים</w:t>
      </w:r>
      <w:r w:rsidRPr="008B1175">
        <w:rPr>
          <w:rtl/>
        </w:rPr>
        <w:t xml:space="preserve"> </w:t>
      </w:r>
      <w:r w:rsidRPr="008B1175">
        <w:rPr>
          <w:rFonts w:hint="eastAsia"/>
          <w:rtl/>
        </w:rPr>
        <w:t>ארוכות</w:t>
      </w:r>
      <w:r w:rsidRPr="008B1175">
        <w:rPr>
          <w:rtl/>
        </w:rPr>
        <w:t xml:space="preserve"> </w:t>
      </w:r>
      <w:r w:rsidRPr="008B1175">
        <w:rPr>
          <w:rFonts w:hint="eastAsia"/>
          <w:rtl/>
        </w:rPr>
        <w:t>מלקבוע</w:t>
      </w:r>
      <w:r w:rsidRPr="008B1175">
        <w:rPr>
          <w:rtl/>
        </w:rPr>
        <w:t xml:space="preserve"> </w:t>
      </w:r>
      <w:r w:rsidRPr="008B1175">
        <w:rPr>
          <w:rFonts w:hint="eastAsia"/>
          <w:rtl/>
        </w:rPr>
        <w:t>מסמרות</w:t>
      </w:r>
      <w:r w:rsidRPr="008B1175">
        <w:rPr>
          <w:rtl/>
        </w:rPr>
        <w:t xml:space="preserve"> </w:t>
      </w:r>
      <w:r w:rsidRPr="008B1175">
        <w:rPr>
          <w:rFonts w:hint="eastAsia"/>
          <w:rtl/>
        </w:rPr>
        <w:t>בשאלה</w:t>
      </w:r>
      <w:r w:rsidRPr="008B1175">
        <w:rPr>
          <w:rtl/>
        </w:rPr>
        <w:t xml:space="preserve"> </w:t>
      </w:r>
      <w:r w:rsidRPr="008B1175">
        <w:rPr>
          <w:rFonts w:hint="eastAsia"/>
          <w:rtl/>
        </w:rPr>
        <w:t>זו</w:t>
      </w:r>
      <w:r w:rsidRPr="008B1175">
        <w:rPr>
          <w:rtl/>
        </w:rPr>
        <w:t xml:space="preserve">. </w:t>
      </w:r>
      <w:r w:rsidRPr="008B1175">
        <w:rPr>
          <w:rFonts w:hint="eastAsia"/>
          <w:rtl/>
        </w:rPr>
        <w:t>אך</w:t>
      </w:r>
      <w:r w:rsidRPr="008B1175">
        <w:rPr>
          <w:rtl/>
        </w:rPr>
        <w:t xml:space="preserve"> </w:t>
      </w:r>
      <w:r w:rsidRPr="008B1175">
        <w:rPr>
          <w:rFonts w:hint="eastAsia"/>
          <w:rtl/>
        </w:rPr>
        <w:t>חרף</w:t>
      </w:r>
      <w:r w:rsidRPr="008B1175">
        <w:rPr>
          <w:rtl/>
        </w:rPr>
        <w:t xml:space="preserve"> </w:t>
      </w:r>
      <w:r w:rsidRPr="008B1175">
        <w:rPr>
          <w:rFonts w:hint="eastAsia"/>
          <w:rtl/>
        </w:rPr>
        <w:t>מורכבות</w:t>
      </w:r>
      <w:r w:rsidRPr="008B1175">
        <w:rPr>
          <w:rtl/>
        </w:rPr>
        <w:t xml:space="preserve"> </w:t>
      </w:r>
      <w:r w:rsidRPr="008B1175">
        <w:rPr>
          <w:rFonts w:hint="eastAsia"/>
          <w:rtl/>
        </w:rPr>
        <w:t>הסוגיה</w:t>
      </w:r>
      <w:r w:rsidRPr="008B1175">
        <w:rPr>
          <w:rtl/>
        </w:rPr>
        <w:t xml:space="preserve">, </w:t>
      </w:r>
      <w:r w:rsidRPr="008B1175">
        <w:rPr>
          <w:rFonts w:hint="eastAsia"/>
          <w:rtl/>
        </w:rPr>
        <w:t>לא</w:t>
      </w:r>
      <w:r w:rsidRPr="008B1175">
        <w:rPr>
          <w:rtl/>
        </w:rPr>
        <w:t xml:space="preserve"> </w:t>
      </w:r>
      <w:r w:rsidRPr="008B1175">
        <w:rPr>
          <w:rFonts w:hint="eastAsia"/>
          <w:rtl/>
        </w:rPr>
        <w:t>ניתן</w:t>
      </w:r>
      <w:r w:rsidRPr="008B1175">
        <w:rPr>
          <w:rtl/>
        </w:rPr>
        <w:t xml:space="preserve"> </w:t>
      </w:r>
      <w:r w:rsidRPr="008B1175">
        <w:rPr>
          <w:rFonts w:hint="eastAsia"/>
          <w:rtl/>
        </w:rPr>
        <w:t>עוד</w:t>
      </w:r>
      <w:r w:rsidRPr="008B1175">
        <w:rPr>
          <w:rtl/>
        </w:rPr>
        <w:t xml:space="preserve"> </w:t>
      </w:r>
      <w:r w:rsidRPr="008B1175">
        <w:rPr>
          <w:rFonts w:hint="eastAsia"/>
          <w:rtl/>
        </w:rPr>
        <w:t>שלא</w:t>
      </w:r>
      <w:r w:rsidRPr="008B1175">
        <w:rPr>
          <w:rtl/>
        </w:rPr>
        <w:t xml:space="preserve"> </w:t>
      </w:r>
      <w:r w:rsidRPr="008B1175">
        <w:rPr>
          <w:rFonts w:hint="eastAsia"/>
          <w:rtl/>
        </w:rPr>
        <w:t>להידרש</w:t>
      </w:r>
      <w:r w:rsidRPr="008B1175">
        <w:rPr>
          <w:rtl/>
        </w:rPr>
        <w:t xml:space="preserve"> </w:t>
      </w:r>
      <w:r w:rsidRPr="008B1175">
        <w:rPr>
          <w:rFonts w:hint="eastAsia"/>
          <w:rtl/>
        </w:rPr>
        <w:t>אליה</w:t>
      </w:r>
      <w:r w:rsidRPr="008B1175">
        <w:rPr>
          <w:rtl/>
        </w:rPr>
        <w:t xml:space="preserve">, </w:t>
      </w:r>
      <w:r w:rsidRPr="008B1175">
        <w:rPr>
          <w:rFonts w:hint="eastAsia"/>
          <w:rtl/>
        </w:rPr>
        <w:t>ואף</w:t>
      </w:r>
      <w:r w:rsidRPr="008B1175">
        <w:rPr>
          <w:rtl/>
        </w:rPr>
        <w:t xml:space="preserve"> </w:t>
      </w:r>
      <w:r w:rsidRPr="008B1175">
        <w:rPr>
          <w:rFonts w:hint="eastAsia"/>
          <w:rtl/>
        </w:rPr>
        <w:t>משיבי</w:t>
      </w:r>
      <w:r w:rsidRPr="008B1175">
        <w:rPr>
          <w:rtl/>
        </w:rPr>
        <w:t xml:space="preserve"> </w:t>
      </w:r>
      <w:r w:rsidRPr="008B1175">
        <w:rPr>
          <w:rFonts w:hint="eastAsia"/>
          <w:rtl/>
        </w:rPr>
        <w:t>הממשלה</w:t>
      </w:r>
      <w:r w:rsidRPr="008B1175">
        <w:rPr>
          <w:rtl/>
        </w:rPr>
        <w:t xml:space="preserve"> </w:t>
      </w:r>
      <w:r w:rsidRPr="008B1175">
        <w:rPr>
          <w:rFonts w:hint="eastAsia"/>
          <w:rtl/>
        </w:rPr>
        <w:t>בעתירות</w:t>
      </w:r>
      <w:r w:rsidRPr="008B1175">
        <w:rPr>
          <w:rtl/>
        </w:rPr>
        <w:t xml:space="preserve"> </w:t>
      </w:r>
      <w:r w:rsidRPr="008B1175">
        <w:rPr>
          <w:rFonts w:hint="eastAsia"/>
          <w:rtl/>
        </w:rPr>
        <w:t>דנן</w:t>
      </w:r>
      <w:r w:rsidRPr="008B1175">
        <w:rPr>
          <w:rtl/>
        </w:rPr>
        <w:t xml:space="preserve"> </w:t>
      </w:r>
      <w:r w:rsidRPr="008B1175">
        <w:rPr>
          <w:rFonts w:hint="eastAsia"/>
          <w:rtl/>
        </w:rPr>
        <w:t>ביקשו</w:t>
      </w:r>
      <w:r w:rsidRPr="008B1175">
        <w:rPr>
          <w:rtl/>
        </w:rPr>
        <w:t xml:space="preserve"> </w:t>
      </w:r>
      <w:r w:rsidRPr="008B1175">
        <w:rPr>
          <w:rFonts w:hint="eastAsia"/>
          <w:rtl/>
        </w:rPr>
        <w:t>כי</w:t>
      </w:r>
      <w:r w:rsidRPr="008B1175">
        <w:rPr>
          <w:rtl/>
        </w:rPr>
        <w:t xml:space="preserve"> </w:t>
      </w:r>
      <w:r w:rsidRPr="008B1175">
        <w:rPr>
          <w:rFonts w:hint="eastAsia"/>
          <w:rtl/>
        </w:rPr>
        <w:t>נכריע</w:t>
      </w:r>
      <w:r w:rsidRPr="008B1175">
        <w:rPr>
          <w:rtl/>
        </w:rPr>
        <w:t xml:space="preserve"> </w:t>
      </w:r>
      <w:r w:rsidRPr="008B1175">
        <w:rPr>
          <w:rFonts w:hint="eastAsia"/>
          <w:rtl/>
        </w:rPr>
        <w:t>בנושא</w:t>
      </w:r>
      <w:r w:rsidRPr="008B1175">
        <w:rPr>
          <w:rtl/>
        </w:rPr>
        <w:t xml:space="preserve"> </w:t>
      </w:r>
      <w:r w:rsidRPr="008B1175">
        <w:rPr>
          <w:rFonts w:hint="eastAsia"/>
          <w:rtl/>
        </w:rPr>
        <w:t>זה</w:t>
      </w:r>
      <w:r w:rsidRPr="008B1175">
        <w:rPr>
          <w:rtl/>
        </w:rPr>
        <w:t xml:space="preserve"> </w:t>
      </w:r>
      <w:r w:rsidRPr="008B1175">
        <w:rPr>
          <w:rFonts w:hint="eastAsia"/>
          <w:rtl/>
        </w:rPr>
        <w:t>לגופם</w:t>
      </w:r>
      <w:r w:rsidRPr="008B1175">
        <w:rPr>
          <w:rtl/>
        </w:rPr>
        <w:t xml:space="preserve"> </w:t>
      </w:r>
      <w:r w:rsidRPr="008B1175">
        <w:rPr>
          <w:rFonts w:hint="eastAsia"/>
          <w:rtl/>
        </w:rPr>
        <w:t>של</w:t>
      </w:r>
      <w:r w:rsidRPr="008B1175">
        <w:rPr>
          <w:rtl/>
        </w:rPr>
        <w:t xml:space="preserve"> </w:t>
      </w:r>
      <w:r w:rsidRPr="008B1175">
        <w:rPr>
          <w:rFonts w:hint="eastAsia"/>
          <w:rtl/>
        </w:rPr>
        <w:t>דברים</w:t>
      </w:r>
      <w:r w:rsidRPr="008B1175">
        <w:rPr>
          <w:rtl/>
        </w:rPr>
        <w:t xml:space="preserve">. </w:t>
      </w:r>
      <w:r w:rsidRPr="008B1175">
        <w:rPr>
          <w:rFonts w:hint="eastAsia"/>
          <w:rtl/>
        </w:rPr>
        <w:t>בהינתן</w:t>
      </w:r>
      <w:r w:rsidRPr="008B1175">
        <w:rPr>
          <w:rtl/>
        </w:rPr>
        <w:t xml:space="preserve"> </w:t>
      </w:r>
      <w:r w:rsidRPr="008B1175">
        <w:rPr>
          <w:rFonts w:hint="eastAsia"/>
          <w:rtl/>
        </w:rPr>
        <w:t>קיומן</w:t>
      </w:r>
      <w:r w:rsidRPr="008B1175">
        <w:rPr>
          <w:rtl/>
        </w:rPr>
        <w:t xml:space="preserve"> </w:t>
      </w:r>
      <w:r w:rsidRPr="008B1175">
        <w:rPr>
          <w:rFonts w:hint="eastAsia"/>
          <w:rtl/>
        </w:rPr>
        <w:t>של</w:t>
      </w:r>
      <w:r w:rsidRPr="008B1175">
        <w:rPr>
          <w:rtl/>
        </w:rPr>
        <w:t xml:space="preserve"> </w:t>
      </w:r>
      <w:r w:rsidRPr="008B1175">
        <w:rPr>
          <w:rFonts w:hint="eastAsia"/>
          <w:rtl/>
        </w:rPr>
        <w:t>מגבלות</w:t>
      </w:r>
      <w:r w:rsidRPr="008B1175">
        <w:rPr>
          <w:rtl/>
        </w:rPr>
        <w:t xml:space="preserve"> </w:t>
      </w:r>
      <w:r w:rsidRPr="008B1175">
        <w:rPr>
          <w:rFonts w:hint="eastAsia"/>
          <w:rtl/>
        </w:rPr>
        <w:t>על</w:t>
      </w:r>
      <w:r w:rsidRPr="008B1175">
        <w:rPr>
          <w:rtl/>
        </w:rPr>
        <w:t xml:space="preserve"> </w:t>
      </w:r>
      <w:r w:rsidRPr="008B1175">
        <w:rPr>
          <w:rFonts w:hint="eastAsia"/>
          <w:rtl/>
        </w:rPr>
        <w:t>סמכותה</w:t>
      </w:r>
      <w:r w:rsidRPr="008B1175">
        <w:rPr>
          <w:rtl/>
        </w:rPr>
        <w:t xml:space="preserve"> </w:t>
      </w:r>
      <w:r w:rsidRPr="008B1175">
        <w:rPr>
          <w:rFonts w:hint="eastAsia"/>
          <w:rtl/>
        </w:rPr>
        <w:t>המכוננת</w:t>
      </w:r>
      <w:r w:rsidRPr="008B1175">
        <w:rPr>
          <w:rtl/>
        </w:rPr>
        <w:t xml:space="preserve"> </w:t>
      </w:r>
      <w:r w:rsidRPr="008B1175">
        <w:rPr>
          <w:rFonts w:hint="eastAsia"/>
          <w:rtl/>
        </w:rPr>
        <w:t>של</w:t>
      </w:r>
      <w:r w:rsidRPr="008B1175">
        <w:rPr>
          <w:rtl/>
        </w:rPr>
        <w:t xml:space="preserve"> </w:t>
      </w:r>
      <w:r w:rsidRPr="008B1175">
        <w:rPr>
          <w:rFonts w:hint="eastAsia"/>
          <w:rtl/>
        </w:rPr>
        <w:t>הכנסת</w:t>
      </w:r>
      <w:r w:rsidRPr="008B1175">
        <w:rPr>
          <w:rtl/>
        </w:rPr>
        <w:t xml:space="preserve">; </w:t>
      </w:r>
      <w:r w:rsidRPr="008B1175">
        <w:rPr>
          <w:rFonts w:hint="eastAsia"/>
          <w:rtl/>
        </w:rPr>
        <w:t>בהינתן</w:t>
      </w:r>
      <w:r w:rsidRPr="008B1175">
        <w:rPr>
          <w:rtl/>
        </w:rPr>
        <w:t xml:space="preserve"> </w:t>
      </w:r>
      <w:r w:rsidRPr="008B1175">
        <w:rPr>
          <w:rFonts w:hint="eastAsia"/>
          <w:rtl/>
        </w:rPr>
        <w:t>המציאות</w:t>
      </w:r>
      <w:r w:rsidRPr="008B1175">
        <w:rPr>
          <w:rtl/>
        </w:rPr>
        <w:t xml:space="preserve"> </w:t>
      </w:r>
      <w:r w:rsidRPr="008B1175">
        <w:rPr>
          <w:rFonts w:hint="eastAsia"/>
          <w:rtl/>
        </w:rPr>
        <w:t>החוקתית</w:t>
      </w:r>
      <w:r w:rsidRPr="008B1175">
        <w:rPr>
          <w:rtl/>
        </w:rPr>
        <w:t xml:space="preserve"> </w:t>
      </w:r>
      <w:r w:rsidRPr="008B1175">
        <w:rPr>
          <w:rFonts w:hint="eastAsia"/>
          <w:rtl/>
        </w:rPr>
        <w:t>הקיימת</w:t>
      </w:r>
      <w:r w:rsidRPr="008B1175">
        <w:rPr>
          <w:rtl/>
        </w:rPr>
        <w:t xml:space="preserve"> </w:t>
      </w:r>
      <w:r w:rsidRPr="008B1175">
        <w:rPr>
          <w:rFonts w:hint="eastAsia"/>
          <w:rtl/>
        </w:rPr>
        <w:t>בישראל</w:t>
      </w:r>
      <w:r w:rsidRPr="008B1175">
        <w:rPr>
          <w:rtl/>
        </w:rPr>
        <w:t xml:space="preserve"> </w:t>
      </w:r>
      <w:r w:rsidRPr="008B1175">
        <w:rPr>
          <w:rFonts w:hint="eastAsia"/>
          <w:rtl/>
        </w:rPr>
        <w:t>המאפשרת</w:t>
      </w:r>
      <w:r w:rsidRPr="008B1175">
        <w:rPr>
          <w:rtl/>
        </w:rPr>
        <w:t xml:space="preserve"> </w:t>
      </w:r>
      <w:r w:rsidRPr="008B1175">
        <w:rPr>
          <w:rFonts w:hint="eastAsia"/>
          <w:rtl/>
        </w:rPr>
        <w:t>שינוי</w:t>
      </w:r>
      <w:r w:rsidRPr="008B1175">
        <w:rPr>
          <w:rtl/>
        </w:rPr>
        <w:t xml:space="preserve"> </w:t>
      </w:r>
      <w:r w:rsidRPr="008B1175">
        <w:rPr>
          <w:rFonts w:hint="eastAsia"/>
          <w:rtl/>
        </w:rPr>
        <w:t>מן</w:t>
      </w:r>
      <w:r w:rsidRPr="008B1175">
        <w:rPr>
          <w:rtl/>
        </w:rPr>
        <w:t xml:space="preserve"> </w:t>
      </w:r>
      <w:r w:rsidRPr="008B1175">
        <w:rPr>
          <w:rFonts w:hint="eastAsia"/>
          <w:rtl/>
        </w:rPr>
        <w:t>היסוד</w:t>
      </w:r>
      <w:r w:rsidRPr="008B1175">
        <w:rPr>
          <w:rtl/>
        </w:rPr>
        <w:t xml:space="preserve"> </w:t>
      </w:r>
      <w:r w:rsidRPr="008B1175">
        <w:rPr>
          <w:rFonts w:hint="eastAsia"/>
          <w:rtl/>
        </w:rPr>
        <w:t>של</w:t>
      </w:r>
      <w:r w:rsidRPr="008B1175">
        <w:rPr>
          <w:rtl/>
        </w:rPr>
        <w:t xml:space="preserve"> </w:t>
      </w:r>
      <w:r w:rsidRPr="008B1175">
        <w:rPr>
          <w:rFonts w:hint="eastAsia"/>
          <w:rtl/>
        </w:rPr>
        <w:t>זהותנו</w:t>
      </w:r>
      <w:r w:rsidRPr="008B1175">
        <w:rPr>
          <w:rtl/>
        </w:rPr>
        <w:t xml:space="preserve"> </w:t>
      </w:r>
      <w:r w:rsidRPr="008B1175">
        <w:rPr>
          <w:rFonts w:hint="eastAsia"/>
          <w:rtl/>
        </w:rPr>
        <w:t>היהודית</w:t>
      </w:r>
      <w:r w:rsidRPr="008B1175">
        <w:rPr>
          <w:rtl/>
        </w:rPr>
        <w:t xml:space="preserve"> </w:t>
      </w:r>
      <w:r w:rsidRPr="008B1175">
        <w:rPr>
          <w:rFonts w:hint="eastAsia"/>
          <w:rtl/>
        </w:rPr>
        <w:t>והדמוקרטית</w:t>
      </w:r>
      <w:r w:rsidRPr="008B1175">
        <w:rPr>
          <w:rtl/>
        </w:rPr>
        <w:t xml:space="preserve"> </w:t>
      </w:r>
      <w:r w:rsidRPr="008B1175">
        <w:rPr>
          <w:rFonts w:hint="eastAsia"/>
          <w:rtl/>
        </w:rPr>
        <w:t>בקלות</w:t>
      </w:r>
      <w:r w:rsidRPr="008B1175">
        <w:rPr>
          <w:rtl/>
        </w:rPr>
        <w:t xml:space="preserve"> </w:t>
      </w:r>
      <w:r w:rsidRPr="008B1175">
        <w:rPr>
          <w:rFonts w:hint="eastAsia"/>
          <w:rtl/>
        </w:rPr>
        <w:t>יתרה</w:t>
      </w:r>
      <w:r w:rsidRPr="008B1175">
        <w:rPr>
          <w:rtl/>
        </w:rPr>
        <w:t xml:space="preserve">; </w:t>
      </w:r>
      <w:r w:rsidRPr="008B1175">
        <w:rPr>
          <w:rFonts w:hint="eastAsia"/>
          <w:rtl/>
        </w:rPr>
        <w:t>ובהינתן</w:t>
      </w:r>
      <w:r w:rsidRPr="008B1175">
        <w:rPr>
          <w:rtl/>
        </w:rPr>
        <w:t xml:space="preserve"> </w:t>
      </w:r>
      <w:r w:rsidRPr="008B1175">
        <w:rPr>
          <w:rFonts w:hint="eastAsia"/>
          <w:rtl/>
        </w:rPr>
        <w:t>תפקידו</w:t>
      </w:r>
      <w:r w:rsidRPr="008B1175">
        <w:rPr>
          <w:rtl/>
        </w:rPr>
        <w:t xml:space="preserve"> </w:t>
      </w:r>
      <w:r w:rsidRPr="008B1175">
        <w:rPr>
          <w:rFonts w:hint="eastAsia"/>
          <w:rtl/>
        </w:rPr>
        <w:t>של</w:t>
      </w:r>
      <w:r w:rsidRPr="008B1175">
        <w:rPr>
          <w:rtl/>
        </w:rPr>
        <w:t xml:space="preserve"> </w:t>
      </w:r>
      <w:r w:rsidRPr="008B1175">
        <w:rPr>
          <w:rFonts w:hint="eastAsia"/>
          <w:rtl/>
        </w:rPr>
        <w:t>בית</w:t>
      </w:r>
      <w:r w:rsidRPr="008B1175">
        <w:rPr>
          <w:rtl/>
        </w:rPr>
        <w:t xml:space="preserve"> </w:t>
      </w:r>
      <w:r w:rsidRPr="008B1175">
        <w:rPr>
          <w:rFonts w:hint="eastAsia"/>
          <w:rtl/>
        </w:rPr>
        <w:t>משפט</w:t>
      </w:r>
      <w:r w:rsidRPr="008B1175">
        <w:rPr>
          <w:rtl/>
        </w:rPr>
        <w:t xml:space="preserve"> </w:t>
      </w:r>
      <w:r w:rsidRPr="008B1175">
        <w:rPr>
          <w:rFonts w:hint="eastAsia"/>
          <w:rtl/>
        </w:rPr>
        <w:t>זה</w:t>
      </w:r>
      <w:r w:rsidRPr="008B1175">
        <w:rPr>
          <w:rtl/>
        </w:rPr>
        <w:t xml:space="preserve"> </w:t>
      </w:r>
      <w:r w:rsidRPr="008B1175">
        <w:rPr>
          <w:rFonts w:hint="eastAsia"/>
          <w:rtl/>
        </w:rPr>
        <w:t>בשיטתנו</w:t>
      </w:r>
      <w:r w:rsidRPr="008B1175">
        <w:rPr>
          <w:rtl/>
        </w:rPr>
        <w:t xml:space="preserve"> </w:t>
      </w:r>
      <w:r w:rsidRPr="008B1175">
        <w:rPr>
          <w:rFonts w:hint="eastAsia"/>
          <w:rtl/>
        </w:rPr>
        <w:t>המשפטית</w:t>
      </w:r>
      <w:r w:rsidRPr="008B1175">
        <w:rPr>
          <w:rtl/>
        </w:rPr>
        <w:t xml:space="preserve"> – </w:t>
      </w:r>
      <w:r w:rsidRPr="008B1175">
        <w:rPr>
          <w:rFonts w:hint="eastAsia"/>
          <w:rtl/>
        </w:rPr>
        <w:t>אני</w:t>
      </w:r>
      <w:r w:rsidRPr="008B1175">
        <w:rPr>
          <w:rtl/>
        </w:rPr>
        <w:t xml:space="preserve"> </w:t>
      </w:r>
      <w:r w:rsidRPr="008B1175">
        <w:rPr>
          <w:rFonts w:hint="eastAsia"/>
          <w:rtl/>
        </w:rPr>
        <w:t>סבורה</w:t>
      </w:r>
      <w:r w:rsidRPr="008B1175">
        <w:rPr>
          <w:rtl/>
        </w:rPr>
        <w:t xml:space="preserve"> </w:t>
      </w:r>
      <w:r w:rsidRPr="008B1175">
        <w:rPr>
          <w:rFonts w:hint="eastAsia"/>
          <w:rtl/>
        </w:rPr>
        <w:t>כי</w:t>
      </w:r>
      <w:r w:rsidRPr="008B1175">
        <w:rPr>
          <w:rtl/>
        </w:rPr>
        <w:t xml:space="preserve"> </w:t>
      </w:r>
      <w:r w:rsidRPr="008B1175">
        <w:rPr>
          <w:rFonts w:hint="eastAsia"/>
          <w:rtl/>
        </w:rPr>
        <w:t>באותם</w:t>
      </w:r>
      <w:r w:rsidRPr="008B1175">
        <w:rPr>
          <w:rtl/>
        </w:rPr>
        <w:t xml:space="preserve"> </w:t>
      </w:r>
      <w:r w:rsidRPr="008B1175">
        <w:rPr>
          <w:rFonts w:hint="eastAsia"/>
          <w:rtl/>
        </w:rPr>
        <w:t>מצבים</w:t>
      </w:r>
      <w:r w:rsidRPr="008B1175">
        <w:rPr>
          <w:rtl/>
        </w:rPr>
        <w:t xml:space="preserve"> </w:t>
      </w:r>
      <w:r w:rsidRPr="008B1175">
        <w:rPr>
          <w:rFonts w:hint="eastAsia"/>
          <w:rtl/>
        </w:rPr>
        <w:t>קיצוניים</w:t>
      </w:r>
      <w:r w:rsidRPr="008B1175">
        <w:rPr>
          <w:rtl/>
        </w:rPr>
        <w:t xml:space="preserve"> </w:t>
      </w:r>
      <w:r w:rsidRPr="008B1175">
        <w:rPr>
          <w:rFonts w:hint="eastAsia"/>
          <w:rtl/>
        </w:rPr>
        <w:t>שבהם</w:t>
      </w:r>
      <w:r w:rsidRPr="008B1175">
        <w:rPr>
          <w:rtl/>
        </w:rPr>
        <w:t xml:space="preserve"> </w:t>
      </w:r>
      <w:r w:rsidRPr="008B1175">
        <w:rPr>
          <w:rFonts w:hint="eastAsia"/>
          <w:rtl/>
        </w:rPr>
        <w:t>הכנסת</w:t>
      </w:r>
      <w:r w:rsidRPr="008B1175">
        <w:rPr>
          <w:rtl/>
        </w:rPr>
        <w:t xml:space="preserve"> </w:t>
      </w:r>
      <w:r w:rsidRPr="008B1175">
        <w:rPr>
          <w:rFonts w:hint="eastAsia"/>
          <w:rtl/>
        </w:rPr>
        <w:t>חרגה</w:t>
      </w:r>
      <w:r w:rsidRPr="008B1175">
        <w:rPr>
          <w:rtl/>
        </w:rPr>
        <w:t xml:space="preserve"> </w:t>
      </w:r>
      <w:r w:rsidRPr="008B1175">
        <w:rPr>
          <w:rFonts w:hint="eastAsia"/>
          <w:rtl/>
        </w:rPr>
        <w:t>מגבולות</w:t>
      </w:r>
      <w:r w:rsidRPr="008B1175">
        <w:rPr>
          <w:rtl/>
        </w:rPr>
        <w:t xml:space="preserve"> </w:t>
      </w:r>
      <w:r w:rsidRPr="008B1175">
        <w:rPr>
          <w:rFonts w:hint="eastAsia"/>
          <w:rtl/>
        </w:rPr>
        <w:t>סמכותה</w:t>
      </w:r>
      <w:r w:rsidRPr="008B1175">
        <w:rPr>
          <w:rtl/>
        </w:rPr>
        <w:t xml:space="preserve"> </w:t>
      </w:r>
      <w:r w:rsidRPr="008B1175">
        <w:rPr>
          <w:rFonts w:hint="eastAsia"/>
          <w:rtl/>
        </w:rPr>
        <w:t>המכוננת</w:t>
      </w:r>
      <w:r w:rsidRPr="008B1175">
        <w:rPr>
          <w:rtl/>
        </w:rPr>
        <w:t xml:space="preserve">, </w:t>
      </w:r>
      <w:r w:rsidRPr="008B1175">
        <w:rPr>
          <w:rFonts w:hint="eastAsia"/>
          <w:rtl/>
        </w:rPr>
        <w:t>נתונה</w:t>
      </w:r>
      <w:r w:rsidRPr="008B1175">
        <w:rPr>
          <w:rtl/>
        </w:rPr>
        <w:t xml:space="preserve"> </w:t>
      </w:r>
      <w:r w:rsidRPr="008B1175">
        <w:rPr>
          <w:rFonts w:hint="eastAsia"/>
          <w:rtl/>
        </w:rPr>
        <w:t>לבית</w:t>
      </w:r>
      <w:r w:rsidRPr="008B1175">
        <w:rPr>
          <w:rtl/>
        </w:rPr>
        <w:t xml:space="preserve"> </w:t>
      </w:r>
      <w:r w:rsidRPr="008B1175">
        <w:rPr>
          <w:rFonts w:hint="eastAsia"/>
          <w:rtl/>
        </w:rPr>
        <w:t>המשפט</w:t>
      </w:r>
      <w:r w:rsidRPr="008B1175">
        <w:rPr>
          <w:rtl/>
        </w:rPr>
        <w:t xml:space="preserve"> </w:t>
      </w:r>
      <w:r w:rsidRPr="008B1175">
        <w:rPr>
          <w:rFonts w:hint="eastAsia"/>
          <w:rtl/>
        </w:rPr>
        <w:t>הסמכות</w:t>
      </w:r>
      <w:r w:rsidRPr="008B1175">
        <w:rPr>
          <w:rtl/>
        </w:rPr>
        <w:t xml:space="preserve"> </w:t>
      </w:r>
      <w:r w:rsidRPr="008B1175">
        <w:rPr>
          <w:rFonts w:hint="eastAsia"/>
          <w:rtl/>
        </w:rPr>
        <w:t>לקבוע</w:t>
      </w:r>
      <w:r w:rsidRPr="008B1175">
        <w:rPr>
          <w:rtl/>
        </w:rPr>
        <w:t xml:space="preserve"> </w:t>
      </w:r>
      <w:r w:rsidRPr="008B1175">
        <w:rPr>
          <w:rFonts w:hint="eastAsia"/>
          <w:rtl/>
        </w:rPr>
        <w:t>כי</w:t>
      </w:r>
      <w:r w:rsidRPr="008B1175">
        <w:rPr>
          <w:rtl/>
        </w:rPr>
        <w:t xml:space="preserve"> </w:t>
      </w:r>
      <w:r w:rsidRPr="008B1175">
        <w:rPr>
          <w:rFonts w:hint="eastAsia"/>
          <w:rtl/>
        </w:rPr>
        <w:t>אין</w:t>
      </w:r>
      <w:r w:rsidRPr="008B1175">
        <w:rPr>
          <w:rtl/>
        </w:rPr>
        <w:t xml:space="preserve"> </w:t>
      </w:r>
      <w:r w:rsidRPr="008B1175">
        <w:rPr>
          <w:rFonts w:hint="eastAsia"/>
          <w:rtl/>
        </w:rPr>
        <w:t>מדובר</w:t>
      </w:r>
      <w:r w:rsidRPr="008B1175">
        <w:rPr>
          <w:rtl/>
        </w:rPr>
        <w:t xml:space="preserve"> </w:t>
      </w:r>
      <w:r w:rsidRPr="008B1175">
        <w:rPr>
          <w:rFonts w:hint="eastAsia"/>
          <w:rtl/>
        </w:rPr>
        <w:t>בנורמה</w:t>
      </w:r>
      <w:r w:rsidRPr="008B1175">
        <w:rPr>
          <w:rtl/>
        </w:rPr>
        <w:t xml:space="preserve"> </w:t>
      </w:r>
      <w:r w:rsidRPr="008B1175">
        <w:rPr>
          <w:rFonts w:hint="eastAsia"/>
          <w:rtl/>
        </w:rPr>
        <w:t>חוקתית</w:t>
      </w:r>
      <w:r w:rsidRPr="008B1175">
        <w:rPr>
          <w:rtl/>
        </w:rPr>
        <w:t xml:space="preserve"> </w:t>
      </w:r>
      <w:r w:rsidRPr="008B1175">
        <w:rPr>
          <w:rFonts w:hint="eastAsia"/>
          <w:rtl/>
        </w:rPr>
        <w:t>תקפה</w:t>
      </w:r>
      <w:r w:rsidRPr="008B1175">
        <w:rPr>
          <w:rtl/>
        </w:rPr>
        <w:t xml:space="preserve">. </w:t>
      </w:r>
    </w:p>
    <w:p w:rsidR="00C044AE" w:rsidRPr="008B1175" w:rsidRDefault="00C044AE" w:rsidP="00C044AE">
      <w:pPr>
        <w:pStyle w:val="Ruller41"/>
        <w:rPr>
          <w:rtl/>
        </w:rPr>
      </w:pPr>
    </w:p>
    <w:p w:rsidR="00C044AE" w:rsidRPr="008B1175" w:rsidRDefault="00C044AE" w:rsidP="001A2420">
      <w:pPr>
        <w:pStyle w:val="Ruller4"/>
      </w:pPr>
      <w:r w:rsidRPr="008B1175">
        <w:rPr>
          <w:rFonts w:hint="eastAsia"/>
          <w:rtl/>
        </w:rPr>
        <w:t>חברי</w:t>
      </w:r>
      <w:r w:rsidRPr="008B1175">
        <w:rPr>
          <w:rtl/>
        </w:rPr>
        <w:t xml:space="preserve"> </w:t>
      </w:r>
      <w:r w:rsidRPr="008B1175">
        <w:rPr>
          <w:rFonts w:hint="eastAsia"/>
          <w:rtl/>
        </w:rPr>
        <w:t>השופט</w:t>
      </w:r>
      <w:r w:rsidRPr="008B1175">
        <w:rPr>
          <w:rtl/>
        </w:rPr>
        <w:t xml:space="preserve"> </w:t>
      </w:r>
      <w:r w:rsidRPr="008B1175">
        <w:rPr>
          <w:rFonts w:ascii="Century" w:hAnsi="Century" w:cs="Miriam" w:hint="eastAsia"/>
          <w:b/>
          <w:spacing w:val="0"/>
          <w:sz w:val="22"/>
          <w:szCs w:val="24"/>
          <w:rtl/>
        </w:rPr>
        <w:t>סולברג</w:t>
      </w:r>
      <w:r w:rsidRPr="008B1175">
        <w:rPr>
          <w:rtl/>
        </w:rPr>
        <w:t xml:space="preserve"> </w:t>
      </w:r>
      <w:r w:rsidRPr="008B1175">
        <w:rPr>
          <w:rFonts w:hint="eastAsia"/>
          <w:rtl/>
        </w:rPr>
        <w:t>מציין</w:t>
      </w:r>
      <w:r w:rsidRPr="008B1175">
        <w:rPr>
          <w:rtl/>
        </w:rPr>
        <w:t xml:space="preserve"> </w:t>
      </w:r>
      <w:r w:rsidRPr="008B1175">
        <w:rPr>
          <w:rFonts w:hint="eastAsia"/>
          <w:rtl/>
        </w:rPr>
        <w:t>כי</w:t>
      </w:r>
      <w:r w:rsidRPr="008B1175">
        <w:rPr>
          <w:rtl/>
        </w:rPr>
        <w:t xml:space="preserve"> </w:t>
      </w:r>
      <w:r w:rsidRPr="008B1175">
        <w:rPr>
          <w:rFonts w:hint="eastAsia"/>
          <w:rtl/>
        </w:rPr>
        <w:t>אף</w:t>
      </w:r>
      <w:r w:rsidRPr="008B1175">
        <w:rPr>
          <w:rtl/>
        </w:rPr>
        <w:t xml:space="preserve"> </w:t>
      </w:r>
      <w:r w:rsidRPr="008B1175">
        <w:rPr>
          <w:rFonts w:hint="eastAsia"/>
          <w:rtl/>
        </w:rPr>
        <w:t>אם</w:t>
      </w:r>
      <w:r w:rsidRPr="008B1175">
        <w:rPr>
          <w:rtl/>
        </w:rPr>
        <w:t xml:space="preserve"> </w:t>
      </w:r>
      <w:r w:rsidRPr="008B1175">
        <w:rPr>
          <w:rFonts w:hint="eastAsia"/>
          <w:rtl/>
        </w:rPr>
        <w:t>היה</w:t>
      </w:r>
      <w:r w:rsidRPr="008B1175">
        <w:rPr>
          <w:rtl/>
        </w:rPr>
        <w:t xml:space="preserve"> </w:t>
      </w:r>
      <w:r w:rsidRPr="008B1175">
        <w:rPr>
          <w:rFonts w:hint="eastAsia"/>
          <w:rtl/>
        </w:rPr>
        <w:t>מקבל</w:t>
      </w:r>
      <w:r w:rsidRPr="008B1175">
        <w:rPr>
          <w:rtl/>
        </w:rPr>
        <w:t xml:space="preserve"> </w:t>
      </w:r>
      <w:r w:rsidRPr="008B1175">
        <w:rPr>
          <w:rFonts w:hint="eastAsia"/>
          <w:rtl/>
        </w:rPr>
        <w:t>את</w:t>
      </w:r>
      <w:r w:rsidRPr="008B1175">
        <w:rPr>
          <w:rtl/>
        </w:rPr>
        <w:t xml:space="preserve"> </w:t>
      </w:r>
      <w:r w:rsidRPr="008B1175">
        <w:rPr>
          <w:rFonts w:hint="eastAsia"/>
          <w:rtl/>
        </w:rPr>
        <w:t>העמדה</w:t>
      </w:r>
      <w:r w:rsidRPr="008B1175">
        <w:rPr>
          <w:rtl/>
        </w:rPr>
        <w:t xml:space="preserve"> </w:t>
      </w:r>
      <w:r w:rsidRPr="008B1175">
        <w:rPr>
          <w:rFonts w:hint="eastAsia"/>
          <w:rtl/>
        </w:rPr>
        <w:t>לפיה</w:t>
      </w:r>
      <w:r w:rsidRPr="008B1175">
        <w:rPr>
          <w:rtl/>
        </w:rPr>
        <w:t xml:space="preserve"> </w:t>
      </w:r>
      <w:r w:rsidRPr="008B1175">
        <w:rPr>
          <w:rFonts w:hint="eastAsia"/>
          <w:rtl/>
        </w:rPr>
        <w:t>יש</w:t>
      </w:r>
      <w:r w:rsidRPr="008B1175">
        <w:rPr>
          <w:rtl/>
        </w:rPr>
        <w:t xml:space="preserve"> </w:t>
      </w:r>
      <w:r w:rsidRPr="008B1175">
        <w:rPr>
          <w:rFonts w:hint="eastAsia"/>
          <w:rtl/>
        </w:rPr>
        <w:t>לבית</w:t>
      </w:r>
      <w:r w:rsidRPr="008B1175">
        <w:rPr>
          <w:rtl/>
        </w:rPr>
        <w:t xml:space="preserve"> </w:t>
      </w:r>
      <w:r w:rsidRPr="008B1175">
        <w:rPr>
          <w:rFonts w:hint="eastAsia"/>
          <w:rtl/>
        </w:rPr>
        <w:t>משפט</w:t>
      </w:r>
      <w:r w:rsidRPr="008B1175">
        <w:rPr>
          <w:rtl/>
        </w:rPr>
        <w:t xml:space="preserve"> </w:t>
      </w:r>
      <w:r w:rsidRPr="008B1175">
        <w:rPr>
          <w:rFonts w:hint="eastAsia"/>
          <w:rtl/>
        </w:rPr>
        <w:t>זה</w:t>
      </w:r>
      <w:r w:rsidRPr="008B1175">
        <w:rPr>
          <w:rtl/>
        </w:rPr>
        <w:t xml:space="preserve"> </w:t>
      </w:r>
      <w:r w:rsidRPr="008B1175">
        <w:rPr>
          <w:rFonts w:hint="eastAsia"/>
          <w:rtl/>
        </w:rPr>
        <w:t>סמכות</w:t>
      </w:r>
      <w:r w:rsidRPr="008B1175">
        <w:rPr>
          <w:rtl/>
        </w:rPr>
        <w:t xml:space="preserve"> </w:t>
      </w:r>
      <w:r w:rsidRPr="008B1175">
        <w:rPr>
          <w:rFonts w:hint="eastAsia"/>
          <w:rtl/>
        </w:rPr>
        <w:t>לבקר</w:t>
      </w:r>
      <w:r w:rsidRPr="008B1175">
        <w:rPr>
          <w:rtl/>
        </w:rPr>
        <w:t xml:space="preserve"> </w:t>
      </w:r>
      <w:r w:rsidRPr="008B1175">
        <w:rPr>
          <w:rFonts w:hint="eastAsia"/>
          <w:rtl/>
        </w:rPr>
        <w:t>את</w:t>
      </w:r>
      <w:r w:rsidRPr="008B1175">
        <w:rPr>
          <w:rtl/>
        </w:rPr>
        <w:t xml:space="preserve"> </w:t>
      </w:r>
      <w:r w:rsidRPr="008B1175">
        <w:rPr>
          <w:rFonts w:hint="eastAsia"/>
          <w:rtl/>
        </w:rPr>
        <w:t>חוקי</w:t>
      </w:r>
      <w:r w:rsidRPr="008B1175">
        <w:rPr>
          <w:rtl/>
        </w:rPr>
        <w:t xml:space="preserve"> </w:t>
      </w:r>
      <w:r w:rsidRPr="008B1175">
        <w:rPr>
          <w:rFonts w:hint="eastAsia"/>
          <w:rtl/>
        </w:rPr>
        <w:t>היסוד</w:t>
      </w:r>
      <w:r w:rsidRPr="008B1175">
        <w:rPr>
          <w:rtl/>
        </w:rPr>
        <w:t xml:space="preserve">, </w:t>
      </w:r>
      <w:r w:rsidRPr="008B1175">
        <w:rPr>
          <w:rFonts w:hint="eastAsia"/>
          <w:rtl/>
        </w:rPr>
        <w:t>הרי</w:t>
      </w:r>
      <w:r w:rsidRPr="008B1175">
        <w:rPr>
          <w:rtl/>
        </w:rPr>
        <w:t xml:space="preserve"> </w:t>
      </w:r>
      <w:r w:rsidRPr="008B1175">
        <w:rPr>
          <w:rFonts w:hint="eastAsia"/>
          <w:rtl/>
        </w:rPr>
        <w:t>שלצורך</w:t>
      </w:r>
      <w:r w:rsidRPr="008B1175">
        <w:rPr>
          <w:rtl/>
        </w:rPr>
        <w:t xml:space="preserve"> </w:t>
      </w:r>
      <w:r w:rsidRPr="008B1175">
        <w:rPr>
          <w:rFonts w:hint="eastAsia"/>
          <w:rtl/>
        </w:rPr>
        <w:t>התערבות</w:t>
      </w:r>
      <w:r w:rsidRPr="008B1175">
        <w:rPr>
          <w:rtl/>
        </w:rPr>
        <w:t xml:space="preserve"> </w:t>
      </w:r>
      <w:r w:rsidRPr="008B1175">
        <w:rPr>
          <w:rFonts w:hint="eastAsia"/>
          <w:rtl/>
        </w:rPr>
        <w:t>בהם</w:t>
      </w:r>
      <w:r w:rsidRPr="008B1175">
        <w:rPr>
          <w:rtl/>
        </w:rPr>
        <w:t xml:space="preserve"> </w:t>
      </w:r>
      <w:r w:rsidRPr="008B1175">
        <w:rPr>
          <w:rFonts w:hint="eastAsia"/>
          <w:rtl/>
        </w:rPr>
        <w:t>נדרש</w:t>
      </w:r>
      <w:r w:rsidRPr="008B1175">
        <w:rPr>
          <w:rtl/>
        </w:rPr>
        <w:t xml:space="preserve"> "</w:t>
      </w:r>
      <w:r w:rsidRPr="008B1175">
        <w:rPr>
          <w:rFonts w:hint="eastAsia"/>
          <w:rtl/>
        </w:rPr>
        <w:t>קונצנזוס</w:t>
      </w:r>
      <w:r w:rsidRPr="008B1175">
        <w:rPr>
          <w:rtl/>
        </w:rPr>
        <w:t xml:space="preserve">" </w:t>
      </w:r>
      <w:r w:rsidRPr="008B1175">
        <w:rPr>
          <w:rFonts w:hint="eastAsia"/>
          <w:rtl/>
        </w:rPr>
        <w:t>בקרב</w:t>
      </w:r>
      <w:r w:rsidRPr="008B1175">
        <w:rPr>
          <w:rtl/>
        </w:rPr>
        <w:t xml:space="preserve"> </w:t>
      </w:r>
      <w:r w:rsidRPr="008B1175">
        <w:rPr>
          <w:rFonts w:hint="eastAsia"/>
          <w:rtl/>
        </w:rPr>
        <w:t>השופטים</w:t>
      </w:r>
      <w:r w:rsidRPr="008B1175">
        <w:rPr>
          <w:rtl/>
        </w:rPr>
        <w:t xml:space="preserve"> (</w:t>
      </w:r>
      <w:r w:rsidRPr="008B1175">
        <w:rPr>
          <w:rFonts w:hint="eastAsia"/>
          <w:rtl/>
        </w:rPr>
        <w:t>פסקאות</w:t>
      </w:r>
      <w:r w:rsidRPr="008B1175">
        <w:rPr>
          <w:rtl/>
        </w:rPr>
        <w:t xml:space="preserve"> </w:t>
      </w:r>
      <w:r w:rsidR="001A2420">
        <w:rPr>
          <w:rFonts w:hint="cs"/>
          <w:rtl/>
        </w:rPr>
        <w:t xml:space="preserve">129-127 </w:t>
      </w:r>
      <w:r w:rsidRPr="008B1175">
        <w:rPr>
          <w:rFonts w:hint="eastAsia"/>
          <w:rtl/>
        </w:rPr>
        <w:t>לחוות</w:t>
      </w:r>
      <w:r w:rsidRPr="008B1175">
        <w:rPr>
          <w:rtl/>
        </w:rPr>
        <w:t xml:space="preserve"> </w:t>
      </w:r>
      <w:r w:rsidRPr="008B1175">
        <w:rPr>
          <w:rFonts w:hint="eastAsia"/>
          <w:rtl/>
        </w:rPr>
        <w:t>דעתו</w:t>
      </w:r>
      <w:r w:rsidRPr="008B1175">
        <w:rPr>
          <w:rtl/>
        </w:rPr>
        <w:t xml:space="preserve">). </w:t>
      </w:r>
      <w:r w:rsidRPr="008B1175">
        <w:rPr>
          <w:rFonts w:hint="eastAsia"/>
          <w:rtl/>
        </w:rPr>
        <w:t>אני</w:t>
      </w:r>
      <w:r w:rsidRPr="008B1175">
        <w:rPr>
          <w:rtl/>
        </w:rPr>
        <w:t xml:space="preserve"> </w:t>
      </w:r>
      <w:r w:rsidRPr="008B1175">
        <w:rPr>
          <w:rFonts w:hint="eastAsia"/>
          <w:rtl/>
        </w:rPr>
        <w:t>מניחה</w:t>
      </w:r>
      <w:r w:rsidRPr="008B1175">
        <w:rPr>
          <w:rtl/>
        </w:rPr>
        <w:t xml:space="preserve"> </w:t>
      </w:r>
      <w:r w:rsidRPr="008B1175">
        <w:rPr>
          <w:rFonts w:hint="eastAsia"/>
          <w:rtl/>
        </w:rPr>
        <w:t>כי</w:t>
      </w:r>
      <w:r w:rsidRPr="008B1175">
        <w:rPr>
          <w:rtl/>
        </w:rPr>
        <w:t xml:space="preserve"> </w:t>
      </w:r>
      <w:r w:rsidRPr="008B1175">
        <w:rPr>
          <w:rFonts w:hint="eastAsia"/>
          <w:rtl/>
        </w:rPr>
        <w:t>בדבריו</w:t>
      </w:r>
      <w:r w:rsidRPr="008B1175">
        <w:rPr>
          <w:rtl/>
        </w:rPr>
        <w:t xml:space="preserve"> </w:t>
      </w:r>
      <w:r w:rsidRPr="008B1175">
        <w:rPr>
          <w:rFonts w:hint="eastAsia"/>
          <w:rtl/>
        </w:rPr>
        <w:t>אלה</w:t>
      </w:r>
      <w:r w:rsidRPr="008B1175">
        <w:rPr>
          <w:rtl/>
        </w:rPr>
        <w:t xml:space="preserve"> </w:t>
      </w:r>
      <w:r w:rsidRPr="008B1175">
        <w:rPr>
          <w:rFonts w:hint="eastAsia"/>
          <w:rtl/>
        </w:rPr>
        <w:t>מבקש</w:t>
      </w:r>
      <w:r w:rsidRPr="008B1175">
        <w:rPr>
          <w:rtl/>
        </w:rPr>
        <w:t xml:space="preserve"> </w:t>
      </w:r>
      <w:r w:rsidRPr="008B1175">
        <w:rPr>
          <w:rFonts w:hint="eastAsia"/>
          <w:rtl/>
        </w:rPr>
        <w:t>חברי</w:t>
      </w:r>
      <w:r w:rsidRPr="008B1175">
        <w:rPr>
          <w:rtl/>
        </w:rPr>
        <w:t xml:space="preserve"> </w:t>
      </w:r>
      <w:r w:rsidRPr="008B1175">
        <w:rPr>
          <w:rFonts w:hint="eastAsia"/>
          <w:rtl/>
        </w:rPr>
        <w:t>להתוות</w:t>
      </w:r>
      <w:r w:rsidRPr="008B1175">
        <w:rPr>
          <w:rtl/>
        </w:rPr>
        <w:t xml:space="preserve"> </w:t>
      </w:r>
      <w:r w:rsidRPr="008B1175">
        <w:rPr>
          <w:rFonts w:hint="eastAsia"/>
          <w:rtl/>
        </w:rPr>
        <w:t>לרשות</w:t>
      </w:r>
      <w:r w:rsidRPr="008B1175">
        <w:rPr>
          <w:rtl/>
        </w:rPr>
        <w:t xml:space="preserve"> </w:t>
      </w:r>
      <w:r w:rsidRPr="008B1175">
        <w:rPr>
          <w:rFonts w:hint="eastAsia"/>
          <w:rtl/>
        </w:rPr>
        <w:t>המכוננת</w:t>
      </w:r>
      <w:r w:rsidRPr="008B1175">
        <w:rPr>
          <w:rtl/>
        </w:rPr>
        <w:t xml:space="preserve"> </w:t>
      </w:r>
      <w:r w:rsidRPr="008B1175">
        <w:rPr>
          <w:rFonts w:hint="eastAsia"/>
          <w:rtl/>
        </w:rPr>
        <w:t>את</w:t>
      </w:r>
      <w:r w:rsidRPr="008B1175">
        <w:rPr>
          <w:rtl/>
        </w:rPr>
        <w:t xml:space="preserve"> </w:t>
      </w:r>
      <w:r w:rsidRPr="008B1175">
        <w:rPr>
          <w:rFonts w:hint="eastAsia"/>
          <w:rtl/>
        </w:rPr>
        <w:t>הדרך</w:t>
      </w:r>
      <w:r w:rsidRPr="008B1175">
        <w:rPr>
          <w:rtl/>
        </w:rPr>
        <w:t xml:space="preserve"> </w:t>
      </w:r>
      <w:r w:rsidRPr="008B1175">
        <w:rPr>
          <w:rFonts w:hint="eastAsia"/>
          <w:rtl/>
        </w:rPr>
        <w:t>לקביעת</w:t>
      </w:r>
      <w:r w:rsidRPr="008B1175">
        <w:rPr>
          <w:rtl/>
        </w:rPr>
        <w:t xml:space="preserve"> </w:t>
      </w:r>
      <w:r w:rsidRPr="008B1175">
        <w:rPr>
          <w:rFonts w:hint="eastAsia"/>
          <w:rtl/>
        </w:rPr>
        <w:t>הדין</w:t>
      </w:r>
      <w:r w:rsidRPr="008B1175">
        <w:rPr>
          <w:rtl/>
        </w:rPr>
        <w:t xml:space="preserve"> </w:t>
      </w:r>
      <w:r w:rsidRPr="008B1175">
        <w:rPr>
          <w:rFonts w:hint="eastAsia"/>
          <w:rtl/>
        </w:rPr>
        <w:t>הרצוי</w:t>
      </w:r>
      <w:r w:rsidRPr="008B1175">
        <w:rPr>
          <w:rtl/>
        </w:rPr>
        <w:t xml:space="preserve">, </w:t>
      </w:r>
      <w:r w:rsidRPr="008B1175">
        <w:rPr>
          <w:rFonts w:hint="eastAsia"/>
          <w:rtl/>
        </w:rPr>
        <w:t>על</w:t>
      </w:r>
      <w:r w:rsidRPr="008B1175">
        <w:rPr>
          <w:rtl/>
        </w:rPr>
        <w:t xml:space="preserve"> </w:t>
      </w:r>
      <w:r w:rsidRPr="008B1175">
        <w:rPr>
          <w:rFonts w:hint="eastAsia"/>
          <w:rtl/>
        </w:rPr>
        <w:t>פי</w:t>
      </w:r>
      <w:r w:rsidRPr="008B1175">
        <w:rPr>
          <w:rtl/>
        </w:rPr>
        <w:t xml:space="preserve"> </w:t>
      </w:r>
      <w:r w:rsidRPr="008B1175">
        <w:rPr>
          <w:rFonts w:hint="eastAsia"/>
          <w:rtl/>
        </w:rPr>
        <w:t>גישתו</w:t>
      </w:r>
      <w:r w:rsidRPr="008B1175">
        <w:rPr>
          <w:rtl/>
        </w:rPr>
        <w:t xml:space="preserve">. </w:t>
      </w:r>
      <w:r w:rsidRPr="008B1175">
        <w:rPr>
          <w:rFonts w:hint="eastAsia"/>
          <w:rtl/>
        </w:rPr>
        <w:t>אך</w:t>
      </w:r>
      <w:r w:rsidRPr="008B1175">
        <w:rPr>
          <w:rtl/>
        </w:rPr>
        <w:t xml:space="preserve"> </w:t>
      </w:r>
      <w:r w:rsidRPr="008B1175">
        <w:rPr>
          <w:rFonts w:hint="eastAsia"/>
          <w:rtl/>
        </w:rPr>
        <w:t>כל</w:t>
      </w:r>
      <w:r w:rsidRPr="008B1175">
        <w:rPr>
          <w:rtl/>
        </w:rPr>
        <w:t xml:space="preserve"> </w:t>
      </w:r>
      <w:r w:rsidRPr="008B1175">
        <w:rPr>
          <w:rFonts w:hint="eastAsia"/>
          <w:rtl/>
        </w:rPr>
        <w:t>עוד</w:t>
      </w:r>
      <w:r w:rsidRPr="008B1175">
        <w:rPr>
          <w:rtl/>
        </w:rPr>
        <w:t xml:space="preserve"> </w:t>
      </w:r>
      <w:r w:rsidRPr="008B1175">
        <w:rPr>
          <w:rFonts w:hint="eastAsia"/>
          <w:rtl/>
        </w:rPr>
        <w:t>לא</w:t>
      </w:r>
      <w:r w:rsidRPr="008B1175">
        <w:rPr>
          <w:rtl/>
        </w:rPr>
        <w:t xml:space="preserve"> </w:t>
      </w:r>
      <w:r w:rsidRPr="008B1175">
        <w:rPr>
          <w:rFonts w:hint="eastAsia"/>
          <w:rtl/>
        </w:rPr>
        <w:t>נקבע</w:t>
      </w:r>
      <w:r w:rsidRPr="008B1175">
        <w:rPr>
          <w:rtl/>
        </w:rPr>
        <w:t xml:space="preserve"> </w:t>
      </w:r>
      <w:r w:rsidRPr="008B1175">
        <w:rPr>
          <w:rFonts w:hint="eastAsia"/>
          <w:rtl/>
        </w:rPr>
        <w:t>כלל</w:t>
      </w:r>
      <w:r w:rsidRPr="008B1175">
        <w:rPr>
          <w:rtl/>
        </w:rPr>
        <w:t xml:space="preserve"> </w:t>
      </w:r>
      <w:r w:rsidRPr="008B1175">
        <w:rPr>
          <w:rFonts w:hint="eastAsia"/>
          <w:rtl/>
        </w:rPr>
        <w:t>הכרעה</w:t>
      </w:r>
      <w:r w:rsidRPr="008B1175">
        <w:rPr>
          <w:rtl/>
        </w:rPr>
        <w:t xml:space="preserve"> </w:t>
      </w:r>
      <w:r w:rsidRPr="008B1175">
        <w:rPr>
          <w:rFonts w:hint="eastAsia"/>
          <w:rtl/>
        </w:rPr>
        <w:t>אחר</w:t>
      </w:r>
      <w:r w:rsidRPr="008B1175">
        <w:rPr>
          <w:rtl/>
        </w:rPr>
        <w:t xml:space="preserve"> </w:t>
      </w:r>
      <w:r w:rsidRPr="008B1175">
        <w:rPr>
          <w:rFonts w:hint="eastAsia"/>
          <w:rtl/>
        </w:rPr>
        <w:t>בחוק</w:t>
      </w:r>
      <w:r w:rsidRPr="008B1175">
        <w:rPr>
          <w:rtl/>
        </w:rPr>
        <w:t xml:space="preserve"> </w:t>
      </w:r>
      <w:r w:rsidRPr="008B1175">
        <w:rPr>
          <w:rFonts w:hint="eastAsia"/>
          <w:rtl/>
        </w:rPr>
        <w:t>או</w:t>
      </w:r>
      <w:r w:rsidRPr="008B1175">
        <w:rPr>
          <w:rtl/>
        </w:rPr>
        <w:t xml:space="preserve"> </w:t>
      </w:r>
      <w:r w:rsidRPr="008B1175">
        <w:rPr>
          <w:rFonts w:hint="eastAsia"/>
          <w:rtl/>
        </w:rPr>
        <w:t>בחוק</w:t>
      </w:r>
      <w:r w:rsidRPr="008B1175">
        <w:rPr>
          <w:rtl/>
        </w:rPr>
        <w:t xml:space="preserve"> </w:t>
      </w:r>
      <w:r w:rsidRPr="008B1175">
        <w:rPr>
          <w:rFonts w:hint="eastAsia"/>
          <w:rtl/>
        </w:rPr>
        <w:t>יסוד</w:t>
      </w:r>
      <w:r w:rsidRPr="008B1175">
        <w:rPr>
          <w:rtl/>
        </w:rPr>
        <w:t xml:space="preserve">, </w:t>
      </w:r>
      <w:r w:rsidRPr="008B1175">
        <w:rPr>
          <w:rFonts w:hint="eastAsia"/>
          <w:rtl/>
        </w:rPr>
        <w:t>אין</w:t>
      </w:r>
      <w:r w:rsidRPr="008B1175">
        <w:rPr>
          <w:rtl/>
        </w:rPr>
        <w:t xml:space="preserve"> </w:t>
      </w:r>
      <w:r w:rsidRPr="008B1175">
        <w:rPr>
          <w:rFonts w:hint="eastAsia"/>
          <w:rtl/>
        </w:rPr>
        <w:t>לנו</w:t>
      </w:r>
      <w:r w:rsidRPr="008B1175">
        <w:rPr>
          <w:rtl/>
        </w:rPr>
        <w:t xml:space="preserve"> </w:t>
      </w:r>
      <w:r w:rsidRPr="008B1175">
        <w:rPr>
          <w:rFonts w:hint="eastAsia"/>
          <w:rtl/>
        </w:rPr>
        <w:t>אלא</w:t>
      </w:r>
      <w:r w:rsidRPr="008B1175">
        <w:rPr>
          <w:rtl/>
        </w:rPr>
        <w:t xml:space="preserve"> </w:t>
      </w:r>
      <w:r w:rsidRPr="008B1175">
        <w:rPr>
          <w:rFonts w:hint="eastAsia"/>
          <w:rtl/>
        </w:rPr>
        <w:t>הכלל</w:t>
      </w:r>
      <w:r w:rsidRPr="008B1175">
        <w:rPr>
          <w:rtl/>
        </w:rPr>
        <w:t xml:space="preserve"> </w:t>
      </w:r>
      <w:r w:rsidRPr="008B1175">
        <w:rPr>
          <w:rFonts w:hint="eastAsia"/>
          <w:rtl/>
        </w:rPr>
        <w:t>הקובע</w:t>
      </w:r>
      <w:r w:rsidRPr="008B1175">
        <w:rPr>
          <w:rtl/>
        </w:rPr>
        <w:t xml:space="preserve"> </w:t>
      </w:r>
      <w:r w:rsidRPr="008B1175">
        <w:rPr>
          <w:rFonts w:hint="eastAsia"/>
          <w:rtl/>
        </w:rPr>
        <w:t>כי</w:t>
      </w:r>
      <w:r w:rsidRPr="008B1175">
        <w:rPr>
          <w:rtl/>
        </w:rPr>
        <w:t xml:space="preserve"> </w:t>
      </w:r>
      <w:r w:rsidRPr="008B1175">
        <w:rPr>
          <w:rFonts w:hint="eastAsia"/>
          <w:rtl/>
        </w:rPr>
        <w:t>מקום</w:t>
      </w:r>
      <w:r w:rsidRPr="008B1175">
        <w:rPr>
          <w:rtl/>
        </w:rPr>
        <w:t xml:space="preserve"> </w:t>
      </w:r>
      <w:r w:rsidRPr="008B1175">
        <w:rPr>
          <w:rFonts w:hint="eastAsia"/>
          <w:rtl/>
        </w:rPr>
        <w:t>שבו</w:t>
      </w:r>
      <w:r w:rsidRPr="008B1175">
        <w:rPr>
          <w:rtl/>
        </w:rPr>
        <w:t xml:space="preserve"> </w:t>
      </w:r>
      <w:r w:rsidRPr="008B1175">
        <w:rPr>
          <w:rFonts w:hint="eastAsia"/>
          <w:rtl/>
        </w:rPr>
        <w:t>נחלקו</w:t>
      </w:r>
      <w:r w:rsidRPr="008B1175">
        <w:rPr>
          <w:rtl/>
        </w:rPr>
        <w:t xml:space="preserve"> </w:t>
      </w:r>
      <w:r w:rsidRPr="008B1175">
        <w:rPr>
          <w:rFonts w:hint="eastAsia"/>
          <w:rtl/>
        </w:rPr>
        <w:t>דעות</w:t>
      </w:r>
      <w:r w:rsidRPr="008B1175">
        <w:rPr>
          <w:rtl/>
        </w:rPr>
        <w:t xml:space="preserve"> </w:t>
      </w:r>
      <w:r w:rsidRPr="008B1175">
        <w:rPr>
          <w:rFonts w:hint="eastAsia"/>
          <w:rtl/>
        </w:rPr>
        <w:t>השופטים</w:t>
      </w:r>
      <w:r w:rsidRPr="008B1175">
        <w:rPr>
          <w:rtl/>
        </w:rPr>
        <w:t xml:space="preserve">, </w:t>
      </w:r>
      <w:r w:rsidRPr="008B1175">
        <w:rPr>
          <w:rFonts w:hint="eastAsia"/>
          <w:rtl/>
        </w:rPr>
        <w:t>הכרעה</w:t>
      </w:r>
      <w:r w:rsidRPr="008B1175">
        <w:rPr>
          <w:rtl/>
        </w:rPr>
        <w:t xml:space="preserve"> </w:t>
      </w:r>
      <w:r w:rsidRPr="008B1175">
        <w:rPr>
          <w:rFonts w:hint="eastAsia"/>
          <w:rtl/>
        </w:rPr>
        <w:t>תהא</w:t>
      </w:r>
      <w:r w:rsidRPr="008B1175">
        <w:rPr>
          <w:rtl/>
        </w:rPr>
        <w:t xml:space="preserve"> </w:t>
      </w:r>
      <w:r w:rsidRPr="008B1175">
        <w:rPr>
          <w:rFonts w:hint="eastAsia"/>
          <w:rtl/>
        </w:rPr>
        <w:t>בהתאם</w:t>
      </w:r>
      <w:r w:rsidRPr="008B1175">
        <w:rPr>
          <w:rtl/>
        </w:rPr>
        <w:t xml:space="preserve"> </w:t>
      </w:r>
      <w:r w:rsidRPr="008B1175">
        <w:rPr>
          <w:rFonts w:hint="eastAsia"/>
          <w:rtl/>
        </w:rPr>
        <w:t>לדעת</w:t>
      </w:r>
      <w:r w:rsidRPr="008B1175">
        <w:rPr>
          <w:rtl/>
        </w:rPr>
        <w:t xml:space="preserve"> </w:t>
      </w:r>
      <w:r w:rsidRPr="008B1175">
        <w:rPr>
          <w:rFonts w:hint="eastAsia"/>
          <w:rtl/>
        </w:rPr>
        <w:t>רוב</w:t>
      </w:r>
      <w:r w:rsidRPr="008B1175">
        <w:rPr>
          <w:rtl/>
        </w:rPr>
        <w:t xml:space="preserve"> </w:t>
      </w:r>
      <w:r w:rsidRPr="008B1175">
        <w:rPr>
          <w:rFonts w:hint="eastAsia"/>
          <w:rtl/>
        </w:rPr>
        <w:t>חברי</w:t>
      </w:r>
      <w:r w:rsidRPr="008B1175">
        <w:rPr>
          <w:rtl/>
        </w:rPr>
        <w:t xml:space="preserve"> </w:t>
      </w:r>
      <w:r w:rsidRPr="008B1175">
        <w:rPr>
          <w:rFonts w:hint="eastAsia"/>
          <w:rtl/>
        </w:rPr>
        <w:t>ההרכב</w:t>
      </w:r>
      <w:r w:rsidRPr="008B1175">
        <w:rPr>
          <w:rtl/>
        </w:rPr>
        <w:t xml:space="preserve"> (</w:t>
      </w:r>
      <w:r w:rsidRPr="008B1175">
        <w:rPr>
          <w:rFonts w:hint="eastAsia"/>
          <w:rtl/>
        </w:rPr>
        <w:t>סעיף</w:t>
      </w:r>
      <w:r w:rsidRPr="008B1175">
        <w:rPr>
          <w:rtl/>
        </w:rPr>
        <w:t xml:space="preserve"> 80(</w:t>
      </w:r>
      <w:r w:rsidRPr="008B1175">
        <w:rPr>
          <w:rFonts w:hint="eastAsia"/>
          <w:rtl/>
        </w:rPr>
        <w:t>א</w:t>
      </w:r>
      <w:r w:rsidRPr="008B1175">
        <w:rPr>
          <w:rtl/>
        </w:rPr>
        <w:t xml:space="preserve">) </w:t>
      </w:r>
      <w:r w:rsidRPr="008B1175">
        <w:rPr>
          <w:rFonts w:hint="eastAsia"/>
          <w:rtl/>
        </w:rPr>
        <w:t>לחוק</w:t>
      </w:r>
      <w:r w:rsidRPr="008B1175">
        <w:rPr>
          <w:rtl/>
        </w:rPr>
        <w:t xml:space="preserve"> </w:t>
      </w:r>
      <w:r w:rsidRPr="008B1175">
        <w:rPr>
          <w:rFonts w:hint="eastAsia"/>
          <w:rtl/>
        </w:rPr>
        <w:t>בתי</w:t>
      </w:r>
      <w:r w:rsidRPr="008B1175">
        <w:rPr>
          <w:rtl/>
        </w:rPr>
        <w:t xml:space="preserve"> </w:t>
      </w:r>
      <w:r w:rsidRPr="008B1175">
        <w:rPr>
          <w:rFonts w:hint="eastAsia"/>
          <w:rtl/>
        </w:rPr>
        <w:t>המשפט</w:t>
      </w:r>
      <w:r w:rsidRPr="008B1175">
        <w:rPr>
          <w:rtl/>
        </w:rPr>
        <w:t xml:space="preserve">). </w:t>
      </w:r>
      <w:r w:rsidRPr="008B1175">
        <w:rPr>
          <w:rFonts w:hint="eastAsia"/>
          <w:rtl/>
        </w:rPr>
        <w:t>ודוקו</w:t>
      </w:r>
      <w:r w:rsidRPr="008B1175">
        <w:rPr>
          <w:rtl/>
        </w:rPr>
        <w:t xml:space="preserve"> – </w:t>
      </w:r>
      <w:r w:rsidRPr="008B1175">
        <w:rPr>
          <w:rFonts w:hint="eastAsia"/>
          <w:rtl/>
        </w:rPr>
        <w:t>כשם</w:t>
      </w:r>
      <w:r w:rsidRPr="008B1175">
        <w:rPr>
          <w:rtl/>
        </w:rPr>
        <w:t xml:space="preserve"> </w:t>
      </w:r>
      <w:r w:rsidRPr="008B1175">
        <w:rPr>
          <w:rFonts w:hint="eastAsia"/>
          <w:rtl/>
        </w:rPr>
        <w:t>שבית</w:t>
      </w:r>
      <w:r w:rsidRPr="008B1175">
        <w:rPr>
          <w:rtl/>
        </w:rPr>
        <w:t xml:space="preserve"> </w:t>
      </w:r>
      <w:r w:rsidRPr="008B1175">
        <w:rPr>
          <w:rFonts w:hint="eastAsia"/>
          <w:rtl/>
        </w:rPr>
        <w:t>משפט</w:t>
      </w:r>
      <w:r w:rsidRPr="008B1175">
        <w:rPr>
          <w:rtl/>
        </w:rPr>
        <w:t xml:space="preserve"> </w:t>
      </w:r>
      <w:r w:rsidRPr="008B1175">
        <w:rPr>
          <w:rFonts w:hint="eastAsia"/>
          <w:rtl/>
        </w:rPr>
        <w:t>זה</w:t>
      </w:r>
      <w:r w:rsidRPr="008B1175">
        <w:rPr>
          <w:rtl/>
        </w:rPr>
        <w:t xml:space="preserve"> </w:t>
      </w:r>
      <w:r w:rsidRPr="008B1175">
        <w:rPr>
          <w:rFonts w:hint="eastAsia"/>
          <w:rtl/>
        </w:rPr>
        <w:t>לא</w:t>
      </w:r>
      <w:r w:rsidRPr="008B1175">
        <w:rPr>
          <w:rtl/>
        </w:rPr>
        <w:t xml:space="preserve"> </w:t>
      </w:r>
      <w:r w:rsidRPr="008B1175">
        <w:rPr>
          <w:rFonts w:hint="eastAsia"/>
          <w:rtl/>
        </w:rPr>
        <w:t>אמור</w:t>
      </w:r>
      <w:r w:rsidRPr="008B1175">
        <w:rPr>
          <w:rtl/>
        </w:rPr>
        <w:t xml:space="preserve"> </w:t>
      </w:r>
      <w:r w:rsidRPr="008B1175">
        <w:rPr>
          <w:rFonts w:hint="eastAsia"/>
          <w:rtl/>
        </w:rPr>
        <w:t>להיכנס</w:t>
      </w:r>
      <w:r w:rsidRPr="008B1175">
        <w:rPr>
          <w:rtl/>
        </w:rPr>
        <w:t xml:space="preserve"> </w:t>
      </w:r>
      <w:r w:rsidRPr="008B1175">
        <w:rPr>
          <w:rFonts w:hint="eastAsia"/>
          <w:rtl/>
        </w:rPr>
        <w:t>לנעלי</w:t>
      </w:r>
      <w:r w:rsidRPr="008B1175">
        <w:rPr>
          <w:rtl/>
        </w:rPr>
        <w:t xml:space="preserve"> </w:t>
      </w:r>
      <w:r w:rsidRPr="008B1175">
        <w:rPr>
          <w:rFonts w:hint="eastAsia"/>
          <w:rtl/>
        </w:rPr>
        <w:t>המכונן</w:t>
      </w:r>
      <w:r w:rsidRPr="008B1175">
        <w:rPr>
          <w:rtl/>
        </w:rPr>
        <w:t xml:space="preserve"> </w:t>
      </w:r>
      <w:r w:rsidRPr="008B1175">
        <w:rPr>
          <w:rFonts w:hint="eastAsia"/>
          <w:rtl/>
        </w:rPr>
        <w:t>ולקבוע</w:t>
      </w:r>
      <w:r w:rsidRPr="008B1175">
        <w:rPr>
          <w:rtl/>
        </w:rPr>
        <w:t xml:space="preserve"> </w:t>
      </w:r>
      <w:r w:rsidRPr="008B1175">
        <w:rPr>
          <w:rFonts w:hint="eastAsia"/>
          <w:rtl/>
        </w:rPr>
        <w:t>מהו</w:t>
      </w:r>
      <w:r w:rsidRPr="008B1175">
        <w:rPr>
          <w:rtl/>
        </w:rPr>
        <w:t xml:space="preserve"> </w:t>
      </w:r>
      <w:r w:rsidRPr="008B1175">
        <w:rPr>
          <w:rFonts w:hint="eastAsia"/>
          <w:rtl/>
        </w:rPr>
        <w:t>הרוב</w:t>
      </w:r>
      <w:r w:rsidRPr="008B1175">
        <w:rPr>
          <w:rtl/>
        </w:rPr>
        <w:t xml:space="preserve"> </w:t>
      </w:r>
      <w:r w:rsidRPr="008B1175">
        <w:rPr>
          <w:rFonts w:hint="eastAsia"/>
          <w:rtl/>
        </w:rPr>
        <w:t>המיוחד</w:t>
      </w:r>
      <w:r w:rsidRPr="008B1175">
        <w:rPr>
          <w:rtl/>
        </w:rPr>
        <w:t xml:space="preserve"> </w:t>
      </w:r>
      <w:r w:rsidRPr="008B1175">
        <w:rPr>
          <w:rFonts w:hint="eastAsia"/>
          <w:rtl/>
        </w:rPr>
        <w:t>הנדרש</w:t>
      </w:r>
      <w:r w:rsidRPr="008B1175">
        <w:rPr>
          <w:rtl/>
        </w:rPr>
        <w:t xml:space="preserve"> </w:t>
      </w:r>
      <w:r w:rsidRPr="008B1175">
        <w:rPr>
          <w:rFonts w:hint="eastAsia"/>
          <w:rtl/>
        </w:rPr>
        <w:t>לכינון</w:t>
      </w:r>
      <w:r w:rsidRPr="008B1175">
        <w:rPr>
          <w:rtl/>
        </w:rPr>
        <w:t xml:space="preserve"> </w:t>
      </w:r>
      <w:r w:rsidRPr="008B1175">
        <w:rPr>
          <w:rFonts w:hint="eastAsia"/>
          <w:rtl/>
        </w:rPr>
        <w:t>חוקי</w:t>
      </w:r>
      <w:r w:rsidRPr="008B1175">
        <w:rPr>
          <w:rtl/>
        </w:rPr>
        <w:t xml:space="preserve"> </w:t>
      </w:r>
      <w:r w:rsidRPr="008B1175">
        <w:rPr>
          <w:rFonts w:hint="eastAsia"/>
          <w:rtl/>
        </w:rPr>
        <w:t>יסוד</w:t>
      </w:r>
      <w:r w:rsidRPr="008B1175">
        <w:rPr>
          <w:rtl/>
        </w:rPr>
        <w:t xml:space="preserve">, </w:t>
      </w:r>
      <w:r w:rsidRPr="008B1175">
        <w:rPr>
          <w:rFonts w:hint="eastAsia"/>
          <w:rtl/>
        </w:rPr>
        <w:t>אין</w:t>
      </w:r>
      <w:r w:rsidRPr="008B1175">
        <w:rPr>
          <w:rtl/>
        </w:rPr>
        <w:t xml:space="preserve"> </w:t>
      </w:r>
      <w:r w:rsidRPr="008B1175">
        <w:rPr>
          <w:rFonts w:hint="eastAsia"/>
          <w:rtl/>
        </w:rPr>
        <w:t>הוא</w:t>
      </w:r>
      <w:r w:rsidRPr="008B1175">
        <w:rPr>
          <w:rtl/>
        </w:rPr>
        <w:t xml:space="preserve"> </w:t>
      </w:r>
      <w:r w:rsidRPr="008B1175">
        <w:rPr>
          <w:rFonts w:hint="eastAsia"/>
          <w:rtl/>
        </w:rPr>
        <w:t>אמור</w:t>
      </w:r>
      <w:r w:rsidRPr="008B1175">
        <w:rPr>
          <w:rtl/>
        </w:rPr>
        <w:t xml:space="preserve"> "</w:t>
      </w:r>
      <w:r w:rsidRPr="008B1175">
        <w:rPr>
          <w:rFonts w:hint="eastAsia"/>
          <w:rtl/>
        </w:rPr>
        <w:t>לחוקק</w:t>
      </w:r>
      <w:r w:rsidRPr="008B1175">
        <w:rPr>
          <w:rtl/>
        </w:rPr>
        <w:t xml:space="preserve">" </w:t>
      </w:r>
      <w:r w:rsidRPr="008B1175">
        <w:rPr>
          <w:rFonts w:hint="eastAsia"/>
          <w:rtl/>
        </w:rPr>
        <w:t>לעצמו</w:t>
      </w:r>
      <w:r w:rsidRPr="008B1175">
        <w:rPr>
          <w:rtl/>
        </w:rPr>
        <w:t xml:space="preserve"> </w:t>
      </w:r>
      <w:r w:rsidRPr="008B1175">
        <w:rPr>
          <w:rFonts w:hint="eastAsia"/>
          <w:rtl/>
        </w:rPr>
        <w:t>כללי</w:t>
      </w:r>
      <w:r w:rsidRPr="008B1175">
        <w:rPr>
          <w:rtl/>
        </w:rPr>
        <w:t xml:space="preserve"> </w:t>
      </w:r>
      <w:r w:rsidRPr="008B1175">
        <w:rPr>
          <w:rFonts w:hint="eastAsia"/>
          <w:rtl/>
        </w:rPr>
        <w:t>הכרעה</w:t>
      </w:r>
      <w:r w:rsidRPr="008B1175">
        <w:rPr>
          <w:rtl/>
        </w:rPr>
        <w:t xml:space="preserve"> </w:t>
      </w:r>
      <w:r w:rsidRPr="008B1175">
        <w:rPr>
          <w:rFonts w:hint="eastAsia"/>
          <w:rtl/>
        </w:rPr>
        <w:t>ייחודיים</w:t>
      </w:r>
      <w:r w:rsidRPr="008B1175">
        <w:rPr>
          <w:rtl/>
        </w:rPr>
        <w:t xml:space="preserve">. </w:t>
      </w:r>
      <w:r w:rsidRPr="008B1175">
        <w:rPr>
          <w:rFonts w:hint="eastAsia"/>
          <w:rtl/>
        </w:rPr>
        <w:t>כפי</w:t>
      </w:r>
      <w:r w:rsidRPr="008B1175">
        <w:rPr>
          <w:rtl/>
        </w:rPr>
        <w:t xml:space="preserve"> </w:t>
      </w:r>
      <w:r w:rsidRPr="008B1175">
        <w:rPr>
          <w:rFonts w:hint="eastAsia"/>
          <w:rtl/>
        </w:rPr>
        <w:t>שציינו</w:t>
      </w:r>
      <w:r w:rsidRPr="008B1175">
        <w:rPr>
          <w:rtl/>
        </w:rPr>
        <w:t xml:space="preserve"> </w:t>
      </w:r>
      <w:r w:rsidRPr="008B1175">
        <w:rPr>
          <w:rFonts w:hint="eastAsia"/>
          <w:rtl/>
        </w:rPr>
        <w:t>לא</w:t>
      </w:r>
      <w:r w:rsidRPr="008B1175">
        <w:rPr>
          <w:rtl/>
        </w:rPr>
        <w:t xml:space="preserve"> </w:t>
      </w:r>
      <w:r w:rsidRPr="008B1175">
        <w:rPr>
          <w:rFonts w:hint="eastAsia"/>
          <w:rtl/>
        </w:rPr>
        <w:t>אחת</w:t>
      </w:r>
      <w:r w:rsidRPr="008B1175">
        <w:rPr>
          <w:rtl/>
        </w:rPr>
        <w:t xml:space="preserve">, </w:t>
      </w:r>
      <w:r w:rsidRPr="008B1175">
        <w:rPr>
          <w:rFonts w:hint="eastAsia"/>
          <w:rtl/>
        </w:rPr>
        <w:t>לשם</w:t>
      </w:r>
      <w:r w:rsidRPr="008B1175">
        <w:rPr>
          <w:rtl/>
        </w:rPr>
        <w:t xml:space="preserve"> </w:t>
      </w:r>
      <w:r w:rsidRPr="008B1175">
        <w:rPr>
          <w:rFonts w:hint="eastAsia"/>
          <w:rtl/>
        </w:rPr>
        <w:t>הסדרת</w:t>
      </w:r>
      <w:r w:rsidRPr="008B1175">
        <w:rPr>
          <w:rtl/>
        </w:rPr>
        <w:t xml:space="preserve"> </w:t>
      </w:r>
      <w:r w:rsidRPr="008B1175">
        <w:rPr>
          <w:rFonts w:hint="eastAsia"/>
          <w:rtl/>
        </w:rPr>
        <w:t>סוגיות</w:t>
      </w:r>
      <w:r w:rsidRPr="008B1175">
        <w:rPr>
          <w:rtl/>
        </w:rPr>
        <w:t xml:space="preserve"> </w:t>
      </w:r>
      <w:r w:rsidRPr="008B1175">
        <w:rPr>
          <w:rFonts w:hint="eastAsia"/>
          <w:rtl/>
        </w:rPr>
        <w:t>אלה</w:t>
      </w:r>
      <w:r w:rsidRPr="008B1175">
        <w:rPr>
          <w:rtl/>
        </w:rPr>
        <w:t xml:space="preserve"> </w:t>
      </w:r>
      <w:r w:rsidRPr="008B1175">
        <w:rPr>
          <w:rFonts w:hint="eastAsia"/>
          <w:rtl/>
        </w:rPr>
        <w:t>נדרש</w:t>
      </w:r>
      <w:r w:rsidRPr="008B1175">
        <w:rPr>
          <w:rtl/>
        </w:rPr>
        <w:t xml:space="preserve"> </w:t>
      </w:r>
      <w:r w:rsidRPr="008B1175">
        <w:rPr>
          <w:rFonts w:hint="eastAsia"/>
          <w:rtl/>
        </w:rPr>
        <w:t>לכונן</w:t>
      </w:r>
      <w:r w:rsidRPr="008B1175">
        <w:rPr>
          <w:rtl/>
        </w:rPr>
        <w:t xml:space="preserve"> </w:t>
      </w:r>
      <w:r w:rsidRPr="008B1175">
        <w:rPr>
          <w:rFonts w:hint="eastAsia"/>
          <w:rtl/>
        </w:rPr>
        <w:t>את</w:t>
      </w:r>
      <w:r w:rsidRPr="008B1175">
        <w:rPr>
          <w:rtl/>
        </w:rPr>
        <w:t xml:space="preserve"> </w:t>
      </w:r>
      <w:r w:rsidRPr="008B1175">
        <w:rPr>
          <w:rFonts w:hint="eastAsia"/>
          <w:rtl/>
        </w:rPr>
        <w:t>חוק</w:t>
      </w:r>
      <w:r w:rsidRPr="008B1175">
        <w:rPr>
          <w:rtl/>
        </w:rPr>
        <w:t>-</w:t>
      </w:r>
      <w:r w:rsidRPr="008B1175">
        <w:rPr>
          <w:rFonts w:hint="eastAsia"/>
          <w:rtl/>
        </w:rPr>
        <w:t>יסוד</w:t>
      </w:r>
      <w:r w:rsidRPr="008B1175">
        <w:rPr>
          <w:rtl/>
        </w:rPr>
        <w:t xml:space="preserve">: </w:t>
      </w:r>
      <w:r w:rsidRPr="008B1175">
        <w:rPr>
          <w:rFonts w:hint="eastAsia"/>
          <w:rtl/>
        </w:rPr>
        <w:t>החקיקה</w:t>
      </w:r>
      <w:r w:rsidRPr="008B1175">
        <w:rPr>
          <w:rtl/>
        </w:rPr>
        <w:t xml:space="preserve">, </w:t>
      </w:r>
      <w:r w:rsidRPr="008B1175">
        <w:rPr>
          <w:rFonts w:hint="eastAsia"/>
          <w:rtl/>
        </w:rPr>
        <w:t>שמקומו</w:t>
      </w:r>
      <w:r w:rsidRPr="008B1175">
        <w:rPr>
          <w:rtl/>
        </w:rPr>
        <w:t xml:space="preserve">, </w:t>
      </w:r>
      <w:r w:rsidRPr="008B1175">
        <w:rPr>
          <w:rFonts w:hint="eastAsia"/>
          <w:rtl/>
        </w:rPr>
        <w:t>למרבה</w:t>
      </w:r>
      <w:r w:rsidRPr="008B1175">
        <w:rPr>
          <w:rtl/>
        </w:rPr>
        <w:t xml:space="preserve"> </w:t>
      </w:r>
      <w:r w:rsidRPr="008B1175">
        <w:rPr>
          <w:rFonts w:hint="eastAsia"/>
          <w:rtl/>
        </w:rPr>
        <w:t>הצער</w:t>
      </w:r>
      <w:r w:rsidRPr="008B1175">
        <w:rPr>
          <w:rtl/>
        </w:rPr>
        <w:t xml:space="preserve">, </w:t>
      </w:r>
      <w:r w:rsidRPr="008B1175">
        <w:rPr>
          <w:rFonts w:hint="eastAsia"/>
          <w:rtl/>
        </w:rPr>
        <w:t>נפקד</w:t>
      </w:r>
      <w:r w:rsidRPr="008B1175">
        <w:rPr>
          <w:rtl/>
        </w:rPr>
        <w:t xml:space="preserve"> </w:t>
      </w:r>
      <w:r w:rsidRPr="008B1175">
        <w:rPr>
          <w:rFonts w:hint="eastAsia"/>
          <w:rtl/>
        </w:rPr>
        <w:t>עד</w:t>
      </w:r>
      <w:r w:rsidRPr="008B1175">
        <w:rPr>
          <w:rtl/>
        </w:rPr>
        <w:t xml:space="preserve"> </w:t>
      </w:r>
      <w:r w:rsidRPr="008B1175">
        <w:rPr>
          <w:rFonts w:hint="eastAsia"/>
          <w:rtl/>
        </w:rPr>
        <w:t>כה</w:t>
      </w:r>
      <w:r w:rsidRPr="008B1175">
        <w:rPr>
          <w:rtl/>
        </w:rPr>
        <w:t xml:space="preserve"> </w:t>
      </w:r>
      <w:r w:rsidRPr="008B1175">
        <w:rPr>
          <w:rFonts w:hint="eastAsia"/>
          <w:rtl/>
        </w:rPr>
        <w:t>מחוקתנו</w:t>
      </w:r>
      <w:r w:rsidRPr="008B1175">
        <w:rPr>
          <w:rtl/>
        </w:rPr>
        <w:t xml:space="preserve"> </w:t>
      </w:r>
      <w:r w:rsidRPr="008B1175">
        <w:rPr>
          <w:rFonts w:hint="eastAsia"/>
          <w:rtl/>
        </w:rPr>
        <w:t>המתהווה</w:t>
      </w:r>
      <w:r w:rsidRPr="008B1175">
        <w:rPr>
          <w:rtl/>
        </w:rPr>
        <w:t xml:space="preserve">. </w:t>
      </w:r>
      <w:r w:rsidRPr="008B1175">
        <w:rPr>
          <w:rFonts w:hint="eastAsia"/>
          <w:rtl/>
        </w:rPr>
        <w:t>חוק</w:t>
      </w:r>
      <w:r w:rsidRPr="008B1175">
        <w:rPr>
          <w:rtl/>
        </w:rPr>
        <w:t xml:space="preserve"> </w:t>
      </w:r>
      <w:r w:rsidRPr="008B1175">
        <w:rPr>
          <w:rFonts w:hint="eastAsia"/>
          <w:rtl/>
        </w:rPr>
        <w:t>יסוד</w:t>
      </w:r>
      <w:r w:rsidRPr="008B1175">
        <w:rPr>
          <w:rtl/>
        </w:rPr>
        <w:t xml:space="preserve"> </w:t>
      </w:r>
      <w:r w:rsidRPr="008B1175">
        <w:rPr>
          <w:rFonts w:hint="eastAsia"/>
          <w:rtl/>
        </w:rPr>
        <w:t>זה</w:t>
      </w:r>
      <w:r w:rsidRPr="008B1175">
        <w:rPr>
          <w:rtl/>
        </w:rPr>
        <w:t xml:space="preserve"> </w:t>
      </w:r>
      <w:r w:rsidRPr="008B1175">
        <w:rPr>
          <w:rFonts w:hint="eastAsia"/>
          <w:rtl/>
        </w:rPr>
        <w:t>אמור</w:t>
      </w:r>
      <w:r w:rsidRPr="008B1175">
        <w:rPr>
          <w:rtl/>
        </w:rPr>
        <w:t xml:space="preserve"> </w:t>
      </w:r>
      <w:r w:rsidRPr="008B1175">
        <w:rPr>
          <w:rFonts w:hint="eastAsia"/>
          <w:rtl/>
        </w:rPr>
        <w:t>להתייחס</w:t>
      </w:r>
      <w:r w:rsidRPr="008B1175">
        <w:rPr>
          <w:rtl/>
        </w:rPr>
        <w:t xml:space="preserve"> </w:t>
      </w:r>
      <w:r w:rsidRPr="008B1175">
        <w:rPr>
          <w:rFonts w:hint="eastAsia"/>
          <w:rtl/>
        </w:rPr>
        <w:t>לסוגיות</w:t>
      </w:r>
      <w:r w:rsidRPr="008B1175">
        <w:rPr>
          <w:rtl/>
        </w:rPr>
        <w:t xml:space="preserve"> </w:t>
      </w:r>
      <w:r w:rsidRPr="008B1175">
        <w:rPr>
          <w:rFonts w:hint="eastAsia"/>
          <w:rtl/>
        </w:rPr>
        <w:t>הללו</w:t>
      </w:r>
      <w:r w:rsidRPr="008B1175">
        <w:rPr>
          <w:rtl/>
        </w:rPr>
        <w:t xml:space="preserve"> </w:t>
      </w:r>
      <w:r w:rsidRPr="008B1175">
        <w:rPr>
          <w:rFonts w:hint="eastAsia"/>
          <w:rtl/>
        </w:rPr>
        <w:t>ולסוגיות</w:t>
      </w:r>
      <w:r w:rsidRPr="008B1175">
        <w:rPr>
          <w:rtl/>
        </w:rPr>
        <w:t xml:space="preserve"> </w:t>
      </w:r>
      <w:r w:rsidRPr="008B1175">
        <w:rPr>
          <w:rFonts w:hint="eastAsia"/>
          <w:rtl/>
        </w:rPr>
        <w:t>חשובות</w:t>
      </w:r>
      <w:r w:rsidRPr="008B1175">
        <w:rPr>
          <w:rtl/>
        </w:rPr>
        <w:t xml:space="preserve"> </w:t>
      </w:r>
      <w:r w:rsidRPr="008B1175">
        <w:rPr>
          <w:rFonts w:hint="eastAsia"/>
          <w:rtl/>
        </w:rPr>
        <w:t>נוספות</w:t>
      </w:r>
      <w:r w:rsidRPr="008B1175">
        <w:rPr>
          <w:rtl/>
        </w:rPr>
        <w:t xml:space="preserve">, </w:t>
      </w:r>
      <w:r w:rsidRPr="008B1175">
        <w:rPr>
          <w:rFonts w:hint="eastAsia"/>
          <w:rtl/>
        </w:rPr>
        <w:t>תוך</w:t>
      </w:r>
      <w:r w:rsidRPr="008B1175">
        <w:rPr>
          <w:rtl/>
        </w:rPr>
        <w:t xml:space="preserve"> </w:t>
      </w:r>
      <w:r w:rsidRPr="008B1175">
        <w:rPr>
          <w:rFonts w:hint="eastAsia"/>
          <w:rtl/>
        </w:rPr>
        <w:t>איזון</w:t>
      </w:r>
      <w:r w:rsidRPr="008B1175">
        <w:rPr>
          <w:rtl/>
        </w:rPr>
        <w:t xml:space="preserve"> </w:t>
      </w:r>
      <w:r w:rsidRPr="008B1175">
        <w:rPr>
          <w:rFonts w:hint="eastAsia"/>
          <w:rtl/>
        </w:rPr>
        <w:t>בין</w:t>
      </w:r>
      <w:r w:rsidRPr="008B1175">
        <w:rPr>
          <w:rtl/>
        </w:rPr>
        <w:t xml:space="preserve"> </w:t>
      </w:r>
      <w:r w:rsidRPr="008B1175">
        <w:rPr>
          <w:rFonts w:hint="eastAsia"/>
          <w:rtl/>
        </w:rPr>
        <w:t>כל</w:t>
      </w:r>
      <w:r w:rsidRPr="008B1175">
        <w:rPr>
          <w:rtl/>
        </w:rPr>
        <w:t xml:space="preserve"> </w:t>
      </w:r>
      <w:r w:rsidRPr="008B1175">
        <w:rPr>
          <w:rFonts w:hint="eastAsia"/>
          <w:rtl/>
        </w:rPr>
        <w:t>ההיבטים</w:t>
      </w:r>
      <w:r w:rsidRPr="008B1175">
        <w:rPr>
          <w:rtl/>
        </w:rPr>
        <w:t xml:space="preserve"> </w:t>
      </w:r>
      <w:r w:rsidRPr="008B1175">
        <w:rPr>
          <w:rFonts w:hint="eastAsia"/>
          <w:rtl/>
        </w:rPr>
        <w:t>הנוגעים</w:t>
      </w:r>
      <w:r w:rsidRPr="008B1175">
        <w:rPr>
          <w:rtl/>
        </w:rPr>
        <w:t xml:space="preserve"> </w:t>
      </w:r>
      <w:r w:rsidRPr="008B1175">
        <w:rPr>
          <w:rFonts w:hint="eastAsia"/>
          <w:rtl/>
        </w:rPr>
        <w:t>לעניין</w:t>
      </w:r>
      <w:r w:rsidRPr="008B1175">
        <w:rPr>
          <w:rtl/>
        </w:rPr>
        <w:t xml:space="preserve"> </w:t>
      </w:r>
      <w:r w:rsidRPr="008B1175">
        <w:rPr>
          <w:rFonts w:hint="eastAsia"/>
          <w:rtl/>
        </w:rPr>
        <w:t>והקשורים</w:t>
      </w:r>
      <w:r w:rsidRPr="008B1175">
        <w:rPr>
          <w:rtl/>
        </w:rPr>
        <w:t xml:space="preserve"> </w:t>
      </w:r>
      <w:r w:rsidRPr="008B1175">
        <w:rPr>
          <w:rFonts w:hint="eastAsia"/>
          <w:rtl/>
        </w:rPr>
        <w:t>זה</w:t>
      </w:r>
      <w:r w:rsidRPr="008B1175">
        <w:rPr>
          <w:rtl/>
        </w:rPr>
        <w:t xml:space="preserve"> </w:t>
      </w:r>
      <w:r w:rsidRPr="008B1175">
        <w:rPr>
          <w:rFonts w:hint="eastAsia"/>
          <w:rtl/>
        </w:rPr>
        <w:t>בזה</w:t>
      </w:r>
      <w:r w:rsidRPr="008B1175">
        <w:rPr>
          <w:rtl/>
        </w:rPr>
        <w:t xml:space="preserve"> </w:t>
      </w:r>
      <w:r w:rsidRPr="008B1175">
        <w:rPr>
          <w:rFonts w:hint="eastAsia"/>
          <w:rtl/>
        </w:rPr>
        <w:t>לבלי</w:t>
      </w:r>
      <w:r w:rsidRPr="008B1175">
        <w:rPr>
          <w:rtl/>
        </w:rPr>
        <w:t xml:space="preserve"> </w:t>
      </w:r>
      <w:r w:rsidRPr="008B1175">
        <w:rPr>
          <w:rFonts w:hint="eastAsia"/>
          <w:rtl/>
        </w:rPr>
        <w:t>הפרד</w:t>
      </w:r>
      <w:r w:rsidRPr="008B1175">
        <w:rPr>
          <w:rtl/>
        </w:rPr>
        <w:t xml:space="preserve">. </w:t>
      </w:r>
    </w:p>
    <w:p w:rsidR="00C044AE" w:rsidRPr="008B1175" w:rsidRDefault="00C044AE" w:rsidP="00C044AE">
      <w:pPr>
        <w:pStyle w:val="Ruller41"/>
        <w:rPr>
          <w:rtl/>
        </w:rPr>
      </w:pPr>
    </w:p>
    <w:p w:rsidR="00C044AE" w:rsidRPr="008B1175" w:rsidRDefault="00C044AE" w:rsidP="00C044AE">
      <w:pPr>
        <w:pStyle w:val="Ruller4"/>
        <w:rPr>
          <w:rtl/>
        </w:rPr>
      </w:pPr>
      <w:r w:rsidRPr="008B1175">
        <w:rPr>
          <w:rFonts w:hint="eastAsia"/>
          <w:rtl/>
        </w:rPr>
        <w:t>עוד</w:t>
      </w:r>
      <w:r w:rsidRPr="008B1175">
        <w:rPr>
          <w:rtl/>
        </w:rPr>
        <w:t xml:space="preserve"> </w:t>
      </w:r>
      <w:r w:rsidRPr="008B1175">
        <w:rPr>
          <w:rFonts w:hint="eastAsia"/>
          <w:rtl/>
        </w:rPr>
        <w:t>אבקש</w:t>
      </w:r>
      <w:r w:rsidRPr="008B1175">
        <w:rPr>
          <w:rtl/>
        </w:rPr>
        <w:t xml:space="preserve"> </w:t>
      </w:r>
      <w:r w:rsidRPr="008B1175">
        <w:rPr>
          <w:rFonts w:hint="eastAsia"/>
          <w:rtl/>
        </w:rPr>
        <w:t>להתייחס</w:t>
      </w:r>
      <w:r w:rsidRPr="008B1175">
        <w:rPr>
          <w:rtl/>
        </w:rPr>
        <w:t xml:space="preserve"> </w:t>
      </w:r>
      <w:r w:rsidRPr="008B1175">
        <w:rPr>
          <w:rFonts w:hint="eastAsia"/>
          <w:rtl/>
        </w:rPr>
        <w:t>בקצרה</w:t>
      </w:r>
      <w:r w:rsidRPr="008B1175">
        <w:rPr>
          <w:rtl/>
        </w:rPr>
        <w:t xml:space="preserve"> </w:t>
      </w:r>
      <w:r w:rsidRPr="008B1175">
        <w:rPr>
          <w:rFonts w:hint="eastAsia"/>
          <w:rtl/>
        </w:rPr>
        <w:t>לקביעותיו</w:t>
      </w:r>
      <w:r w:rsidRPr="008B1175">
        <w:rPr>
          <w:rtl/>
        </w:rPr>
        <w:t xml:space="preserve"> </w:t>
      </w:r>
      <w:r w:rsidRPr="008B1175">
        <w:rPr>
          <w:rFonts w:hint="eastAsia"/>
          <w:rtl/>
        </w:rPr>
        <w:t>של</w:t>
      </w:r>
      <w:r w:rsidRPr="008B1175">
        <w:rPr>
          <w:rtl/>
        </w:rPr>
        <w:t xml:space="preserve"> </w:t>
      </w:r>
      <w:r w:rsidRPr="008B1175">
        <w:rPr>
          <w:rFonts w:hint="eastAsia"/>
          <w:rtl/>
        </w:rPr>
        <w:t>חברי</w:t>
      </w:r>
      <w:r w:rsidRPr="008B1175">
        <w:rPr>
          <w:rtl/>
        </w:rPr>
        <w:t xml:space="preserve"> </w:t>
      </w:r>
      <w:r w:rsidRPr="008B1175">
        <w:rPr>
          <w:rFonts w:hint="eastAsia"/>
          <w:rtl/>
        </w:rPr>
        <w:t>השופט</w:t>
      </w:r>
      <w:r w:rsidRPr="008B1175">
        <w:rPr>
          <w:rtl/>
        </w:rPr>
        <w:t xml:space="preserve"> </w:t>
      </w:r>
      <w:r w:rsidRPr="008B1175">
        <w:rPr>
          <w:rFonts w:ascii="Century" w:hAnsi="Century" w:cs="Miriam" w:hint="eastAsia"/>
          <w:b/>
          <w:spacing w:val="0"/>
          <w:sz w:val="22"/>
          <w:szCs w:val="24"/>
          <w:rtl/>
        </w:rPr>
        <w:t>סולברג</w:t>
      </w:r>
      <w:r w:rsidRPr="008B1175">
        <w:rPr>
          <w:rtl/>
        </w:rPr>
        <w:t xml:space="preserve"> </w:t>
      </w:r>
      <w:r w:rsidRPr="008B1175">
        <w:rPr>
          <w:rFonts w:hint="eastAsia"/>
          <w:rtl/>
        </w:rPr>
        <w:t>ביחס</w:t>
      </w:r>
      <w:r w:rsidRPr="008B1175">
        <w:rPr>
          <w:rtl/>
        </w:rPr>
        <w:t xml:space="preserve"> </w:t>
      </w:r>
      <w:r w:rsidRPr="008B1175">
        <w:rPr>
          <w:rFonts w:hint="eastAsia"/>
          <w:rtl/>
        </w:rPr>
        <w:t>למסלול</w:t>
      </w:r>
      <w:r w:rsidRPr="008B1175">
        <w:rPr>
          <w:rtl/>
        </w:rPr>
        <w:t xml:space="preserve"> </w:t>
      </w:r>
      <w:r w:rsidRPr="008B1175">
        <w:rPr>
          <w:rFonts w:hint="eastAsia"/>
          <w:rtl/>
        </w:rPr>
        <w:t>של</w:t>
      </w:r>
      <w:r w:rsidRPr="008B1175">
        <w:rPr>
          <w:rtl/>
        </w:rPr>
        <w:t xml:space="preserve"> </w:t>
      </w:r>
      <w:r w:rsidRPr="008B1175">
        <w:rPr>
          <w:rFonts w:hint="eastAsia"/>
          <w:rtl/>
        </w:rPr>
        <w:t>הצעת</w:t>
      </w:r>
      <w:r w:rsidRPr="008B1175">
        <w:rPr>
          <w:rtl/>
        </w:rPr>
        <w:t xml:space="preserve"> </w:t>
      </w:r>
      <w:r w:rsidRPr="008B1175">
        <w:rPr>
          <w:rFonts w:hint="eastAsia"/>
          <w:rtl/>
        </w:rPr>
        <w:t>חוק</w:t>
      </w:r>
      <w:r w:rsidRPr="008B1175">
        <w:rPr>
          <w:rtl/>
        </w:rPr>
        <w:t xml:space="preserve"> </w:t>
      </w:r>
      <w:r w:rsidRPr="008B1175">
        <w:rPr>
          <w:rFonts w:hint="eastAsia"/>
          <w:rtl/>
        </w:rPr>
        <w:t>יסוד</w:t>
      </w:r>
      <w:r w:rsidRPr="008B1175">
        <w:rPr>
          <w:rtl/>
        </w:rPr>
        <w:t xml:space="preserve"> </w:t>
      </w:r>
      <w:r w:rsidRPr="008B1175">
        <w:rPr>
          <w:rFonts w:hint="eastAsia"/>
          <w:rtl/>
        </w:rPr>
        <w:t>מטעם</w:t>
      </w:r>
      <w:r w:rsidRPr="008B1175">
        <w:rPr>
          <w:rtl/>
        </w:rPr>
        <w:t xml:space="preserve"> </w:t>
      </w:r>
      <w:r w:rsidRPr="008B1175">
        <w:rPr>
          <w:rFonts w:hint="eastAsia"/>
          <w:rtl/>
        </w:rPr>
        <w:t>ועדה</w:t>
      </w:r>
      <w:r w:rsidRPr="008B1175">
        <w:rPr>
          <w:rtl/>
        </w:rPr>
        <w:t xml:space="preserve"> </w:t>
      </w:r>
      <w:r w:rsidRPr="008B1175">
        <w:rPr>
          <w:rFonts w:hint="eastAsia"/>
          <w:rtl/>
        </w:rPr>
        <w:t>על</w:t>
      </w:r>
      <w:r w:rsidRPr="008B1175">
        <w:rPr>
          <w:rtl/>
        </w:rPr>
        <w:t xml:space="preserve"> </w:t>
      </w:r>
      <w:r w:rsidRPr="008B1175">
        <w:rPr>
          <w:rFonts w:hint="eastAsia"/>
          <w:rtl/>
        </w:rPr>
        <w:t>פי</w:t>
      </w:r>
      <w:r w:rsidRPr="008B1175">
        <w:rPr>
          <w:rtl/>
        </w:rPr>
        <w:t xml:space="preserve"> </w:t>
      </w:r>
      <w:r w:rsidRPr="008B1175">
        <w:rPr>
          <w:rFonts w:hint="eastAsia"/>
          <w:rtl/>
        </w:rPr>
        <w:t>סעיף</w:t>
      </w:r>
      <w:r w:rsidRPr="008B1175">
        <w:rPr>
          <w:rtl/>
        </w:rPr>
        <w:t xml:space="preserve"> 80(</w:t>
      </w:r>
      <w:r w:rsidRPr="008B1175">
        <w:rPr>
          <w:rFonts w:hint="eastAsia"/>
          <w:rtl/>
        </w:rPr>
        <w:t>א</w:t>
      </w:r>
      <w:r w:rsidRPr="008B1175">
        <w:rPr>
          <w:rtl/>
        </w:rPr>
        <w:t xml:space="preserve">) </w:t>
      </w:r>
      <w:r w:rsidRPr="008B1175">
        <w:rPr>
          <w:rFonts w:hint="eastAsia"/>
          <w:rtl/>
        </w:rPr>
        <w:t>לתקנון</w:t>
      </w:r>
      <w:r w:rsidRPr="008B1175">
        <w:rPr>
          <w:rtl/>
        </w:rPr>
        <w:t xml:space="preserve"> </w:t>
      </w:r>
      <w:r w:rsidRPr="008B1175">
        <w:rPr>
          <w:rFonts w:hint="eastAsia"/>
          <w:rtl/>
        </w:rPr>
        <w:t>הכנסת</w:t>
      </w:r>
      <w:r w:rsidRPr="008B1175">
        <w:rPr>
          <w:rtl/>
        </w:rPr>
        <w:t xml:space="preserve">. </w:t>
      </w:r>
      <w:r w:rsidRPr="008B1175">
        <w:rPr>
          <w:rFonts w:hint="eastAsia"/>
          <w:rtl/>
        </w:rPr>
        <w:t>חברי</w:t>
      </w:r>
      <w:r w:rsidRPr="008B1175">
        <w:rPr>
          <w:rtl/>
        </w:rPr>
        <w:t xml:space="preserve"> </w:t>
      </w:r>
      <w:r w:rsidRPr="008B1175">
        <w:rPr>
          <w:rFonts w:hint="eastAsia"/>
          <w:rtl/>
        </w:rPr>
        <w:t>סבור</w:t>
      </w:r>
      <w:r w:rsidRPr="008B1175">
        <w:rPr>
          <w:rtl/>
        </w:rPr>
        <w:t xml:space="preserve"> </w:t>
      </w:r>
      <w:r w:rsidRPr="008B1175">
        <w:rPr>
          <w:rFonts w:hint="eastAsia"/>
          <w:rtl/>
        </w:rPr>
        <w:t>כי</w:t>
      </w:r>
      <w:r w:rsidRPr="008B1175">
        <w:rPr>
          <w:rtl/>
        </w:rPr>
        <w:t xml:space="preserve"> </w:t>
      </w:r>
      <w:r w:rsidRPr="008B1175">
        <w:rPr>
          <w:rFonts w:hint="eastAsia"/>
          <w:rtl/>
        </w:rPr>
        <w:t>בבחינה</w:t>
      </w:r>
      <w:r w:rsidRPr="008B1175">
        <w:rPr>
          <w:rtl/>
        </w:rPr>
        <w:t xml:space="preserve"> </w:t>
      </w:r>
      <w:r w:rsidRPr="008B1175">
        <w:rPr>
          <w:rFonts w:hint="eastAsia"/>
          <w:rtl/>
        </w:rPr>
        <w:t>אמפירית</w:t>
      </w:r>
      <w:r w:rsidRPr="008B1175">
        <w:rPr>
          <w:rtl/>
        </w:rPr>
        <w:t xml:space="preserve"> </w:t>
      </w:r>
      <w:r w:rsidRPr="008B1175">
        <w:rPr>
          <w:rFonts w:hint="eastAsia"/>
          <w:rtl/>
        </w:rPr>
        <w:t>של</w:t>
      </w:r>
      <w:r w:rsidRPr="008B1175">
        <w:rPr>
          <w:rtl/>
        </w:rPr>
        <w:t xml:space="preserve"> </w:t>
      </w:r>
      <w:r w:rsidRPr="008B1175">
        <w:rPr>
          <w:rFonts w:hint="eastAsia"/>
          <w:rtl/>
        </w:rPr>
        <w:t>הצעות</w:t>
      </w:r>
      <w:r w:rsidRPr="008B1175">
        <w:rPr>
          <w:rtl/>
        </w:rPr>
        <w:t xml:space="preserve"> </w:t>
      </w:r>
      <w:r w:rsidRPr="008B1175">
        <w:rPr>
          <w:rFonts w:hint="eastAsia"/>
          <w:rtl/>
        </w:rPr>
        <w:t>חוקי</w:t>
      </w:r>
      <w:r w:rsidRPr="008B1175">
        <w:rPr>
          <w:rtl/>
        </w:rPr>
        <w:t xml:space="preserve"> </w:t>
      </w:r>
      <w:r w:rsidRPr="008B1175">
        <w:rPr>
          <w:rFonts w:hint="eastAsia"/>
          <w:rtl/>
        </w:rPr>
        <w:t>יסוד</w:t>
      </w:r>
      <w:r w:rsidRPr="008B1175">
        <w:rPr>
          <w:rtl/>
        </w:rPr>
        <w:t xml:space="preserve"> </w:t>
      </w:r>
      <w:r w:rsidRPr="008B1175">
        <w:rPr>
          <w:rFonts w:hint="eastAsia"/>
          <w:rtl/>
        </w:rPr>
        <w:t>מטעם</w:t>
      </w:r>
      <w:r w:rsidRPr="008B1175">
        <w:rPr>
          <w:rtl/>
        </w:rPr>
        <w:t xml:space="preserve"> </w:t>
      </w:r>
      <w:r w:rsidRPr="008B1175">
        <w:rPr>
          <w:rFonts w:hint="eastAsia"/>
          <w:rtl/>
        </w:rPr>
        <w:t>ועדה</w:t>
      </w:r>
      <w:r w:rsidRPr="008B1175">
        <w:rPr>
          <w:rtl/>
        </w:rPr>
        <w:t xml:space="preserve">, </w:t>
      </w:r>
      <w:r w:rsidRPr="008B1175">
        <w:rPr>
          <w:rFonts w:hint="eastAsia"/>
          <w:rtl/>
        </w:rPr>
        <w:t>עלינו</w:t>
      </w:r>
      <w:r w:rsidRPr="008B1175">
        <w:rPr>
          <w:rtl/>
        </w:rPr>
        <w:t xml:space="preserve"> </w:t>
      </w:r>
      <w:r w:rsidRPr="008B1175">
        <w:rPr>
          <w:rFonts w:hint="eastAsia"/>
          <w:rtl/>
        </w:rPr>
        <w:t>לקחת</w:t>
      </w:r>
      <w:r w:rsidRPr="008B1175">
        <w:rPr>
          <w:rtl/>
        </w:rPr>
        <w:t xml:space="preserve"> </w:t>
      </w:r>
      <w:r w:rsidRPr="008B1175">
        <w:rPr>
          <w:rFonts w:hint="eastAsia"/>
          <w:rtl/>
        </w:rPr>
        <w:t>בחשבון</w:t>
      </w:r>
      <w:r w:rsidRPr="008B1175">
        <w:rPr>
          <w:rtl/>
        </w:rPr>
        <w:t xml:space="preserve"> </w:t>
      </w:r>
      <w:r w:rsidRPr="008B1175">
        <w:rPr>
          <w:rFonts w:hint="eastAsia"/>
          <w:rtl/>
        </w:rPr>
        <w:t>גם</w:t>
      </w:r>
      <w:r w:rsidRPr="008B1175">
        <w:rPr>
          <w:rtl/>
        </w:rPr>
        <w:t xml:space="preserve"> </w:t>
      </w:r>
      <w:r w:rsidRPr="008B1175">
        <w:rPr>
          <w:rFonts w:hint="eastAsia"/>
          <w:rtl/>
        </w:rPr>
        <w:t>הצעות</w:t>
      </w:r>
      <w:r w:rsidRPr="008B1175">
        <w:rPr>
          <w:rtl/>
        </w:rPr>
        <w:t xml:space="preserve"> </w:t>
      </w:r>
      <w:r w:rsidRPr="008B1175">
        <w:rPr>
          <w:rFonts w:hint="eastAsia"/>
          <w:rtl/>
        </w:rPr>
        <w:t>שלא</w:t>
      </w:r>
      <w:r w:rsidRPr="008B1175">
        <w:rPr>
          <w:rtl/>
        </w:rPr>
        <w:t xml:space="preserve"> </w:t>
      </w:r>
      <w:r w:rsidRPr="008B1175">
        <w:rPr>
          <w:rFonts w:hint="eastAsia"/>
          <w:rtl/>
        </w:rPr>
        <w:t>אושרו</w:t>
      </w:r>
      <w:r w:rsidRPr="008B1175">
        <w:rPr>
          <w:rtl/>
        </w:rPr>
        <w:t xml:space="preserve"> </w:t>
      </w:r>
      <w:r w:rsidRPr="008B1175">
        <w:rPr>
          <w:rFonts w:hint="eastAsia"/>
          <w:rtl/>
        </w:rPr>
        <w:t>בסופו</w:t>
      </w:r>
      <w:r w:rsidRPr="008B1175">
        <w:rPr>
          <w:rtl/>
        </w:rPr>
        <w:t xml:space="preserve"> </w:t>
      </w:r>
      <w:r w:rsidRPr="008B1175">
        <w:rPr>
          <w:rFonts w:hint="eastAsia"/>
          <w:rtl/>
        </w:rPr>
        <w:t>של</w:t>
      </w:r>
      <w:r w:rsidRPr="008B1175">
        <w:rPr>
          <w:rtl/>
        </w:rPr>
        <w:t xml:space="preserve"> </w:t>
      </w:r>
      <w:r w:rsidRPr="008B1175">
        <w:rPr>
          <w:rFonts w:hint="eastAsia"/>
          <w:rtl/>
        </w:rPr>
        <w:t>יום</w:t>
      </w:r>
      <w:r w:rsidRPr="008B1175">
        <w:rPr>
          <w:rtl/>
        </w:rPr>
        <w:t xml:space="preserve"> </w:t>
      </w:r>
      <w:r w:rsidRPr="008B1175">
        <w:rPr>
          <w:rFonts w:hint="eastAsia"/>
          <w:rtl/>
        </w:rPr>
        <w:t>כחוק</w:t>
      </w:r>
      <w:r w:rsidRPr="008B1175">
        <w:rPr>
          <w:rtl/>
        </w:rPr>
        <w:t xml:space="preserve"> </w:t>
      </w:r>
      <w:r w:rsidRPr="008B1175">
        <w:rPr>
          <w:rFonts w:hint="eastAsia"/>
          <w:rtl/>
        </w:rPr>
        <w:t>יסוד</w:t>
      </w:r>
      <w:r w:rsidRPr="008B1175">
        <w:rPr>
          <w:rtl/>
        </w:rPr>
        <w:t xml:space="preserve">. </w:t>
      </w:r>
      <w:r w:rsidRPr="008B1175">
        <w:rPr>
          <w:rFonts w:hint="eastAsia"/>
          <w:rtl/>
        </w:rPr>
        <w:t>איני</w:t>
      </w:r>
      <w:r w:rsidRPr="008B1175">
        <w:rPr>
          <w:rtl/>
        </w:rPr>
        <w:t xml:space="preserve"> </w:t>
      </w:r>
      <w:r w:rsidRPr="008B1175">
        <w:rPr>
          <w:rFonts w:hint="eastAsia"/>
          <w:rtl/>
        </w:rPr>
        <w:t>סבורה</w:t>
      </w:r>
      <w:r w:rsidRPr="008B1175">
        <w:rPr>
          <w:rtl/>
        </w:rPr>
        <w:t xml:space="preserve"> </w:t>
      </w:r>
      <w:r w:rsidRPr="008B1175">
        <w:rPr>
          <w:rFonts w:hint="eastAsia"/>
          <w:rtl/>
        </w:rPr>
        <w:t>כך</w:t>
      </w:r>
      <w:r w:rsidRPr="008B1175">
        <w:rPr>
          <w:rtl/>
        </w:rPr>
        <w:t xml:space="preserve">. </w:t>
      </w:r>
      <w:r w:rsidRPr="008B1175">
        <w:rPr>
          <w:rFonts w:hint="eastAsia"/>
          <w:rtl/>
        </w:rPr>
        <w:t>חברי</w:t>
      </w:r>
      <w:r w:rsidRPr="008B1175">
        <w:rPr>
          <w:rtl/>
        </w:rPr>
        <w:t xml:space="preserve"> </w:t>
      </w:r>
      <w:r w:rsidRPr="008B1175">
        <w:rPr>
          <w:rFonts w:hint="eastAsia"/>
          <w:rtl/>
        </w:rPr>
        <w:t>לא</w:t>
      </w:r>
      <w:r w:rsidRPr="008B1175">
        <w:rPr>
          <w:rtl/>
        </w:rPr>
        <w:t xml:space="preserve"> </w:t>
      </w:r>
      <w:r w:rsidRPr="008B1175">
        <w:rPr>
          <w:rFonts w:hint="eastAsia"/>
          <w:rtl/>
        </w:rPr>
        <w:t>הציג</w:t>
      </w:r>
      <w:r w:rsidRPr="008B1175">
        <w:rPr>
          <w:rtl/>
        </w:rPr>
        <w:t xml:space="preserve"> </w:t>
      </w:r>
      <w:r w:rsidRPr="008B1175">
        <w:rPr>
          <w:rFonts w:hint="eastAsia"/>
          <w:rtl/>
        </w:rPr>
        <w:t>ולו</w:t>
      </w:r>
      <w:r w:rsidRPr="008B1175">
        <w:rPr>
          <w:rtl/>
        </w:rPr>
        <w:t xml:space="preserve"> </w:t>
      </w:r>
      <w:r w:rsidRPr="008B1175">
        <w:rPr>
          <w:rFonts w:hint="eastAsia"/>
          <w:rtl/>
        </w:rPr>
        <w:t>דוגמה</w:t>
      </w:r>
      <w:r w:rsidRPr="008B1175">
        <w:rPr>
          <w:rtl/>
        </w:rPr>
        <w:t xml:space="preserve"> </w:t>
      </w:r>
      <w:r w:rsidRPr="008B1175">
        <w:rPr>
          <w:rFonts w:hint="eastAsia"/>
          <w:rtl/>
        </w:rPr>
        <w:t>אחת</w:t>
      </w:r>
      <w:r w:rsidRPr="008B1175">
        <w:rPr>
          <w:rtl/>
        </w:rPr>
        <w:t xml:space="preserve"> </w:t>
      </w:r>
      <w:r w:rsidRPr="008B1175">
        <w:rPr>
          <w:rFonts w:hint="eastAsia"/>
          <w:rtl/>
        </w:rPr>
        <w:t>של</w:t>
      </w:r>
      <w:r w:rsidRPr="008B1175">
        <w:rPr>
          <w:rtl/>
        </w:rPr>
        <w:t xml:space="preserve"> </w:t>
      </w:r>
      <w:r w:rsidRPr="008B1175">
        <w:rPr>
          <w:rFonts w:hint="eastAsia"/>
          <w:rtl/>
        </w:rPr>
        <w:t>הצעת</w:t>
      </w:r>
      <w:r w:rsidRPr="008B1175">
        <w:rPr>
          <w:rtl/>
        </w:rPr>
        <w:t xml:space="preserve"> </w:t>
      </w:r>
      <w:r w:rsidRPr="008B1175">
        <w:rPr>
          <w:rFonts w:hint="eastAsia"/>
          <w:rtl/>
        </w:rPr>
        <w:t>חוק</w:t>
      </w:r>
      <w:r w:rsidRPr="008B1175">
        <w:rPr>
          <w:rtl/>
        </w:rPr>
        <w:t xml:space="preserve"> </w:t>
      </w:r>
      <w:r w:rsidRPr="008B1175">
        <w:rPr>
          <w:rFonts w:hint="eastAsia"/>
          <w:rtl/>
        </w:rPr>
        <w:t>יסוד</w:t>
      </w:r>
      <w:r w:rsidRPr="008B1175">
        <w:rPr>
          <w:rtl/>
        </w:rPr>
        <w:t xml:space="preserve"> </w:t>
      </w:r>
      <w:r w:rsidRPr="008B1175">
        <w:rPr>
          <w:rFonts w:hint="eastAsia"/>
          <w:rtl/>
        </w:rPr>
        <w:t>מטעם</w:t>
      </w:r>
      <w:r w:rsidRPr="008B1175">
        <w:rPr>
          <w:rtl/>
        </w:rPr>
        <w:t xml:space="preserve"> </w:t>
      </w:r>
      <w:r w:rsidRPr="008B1175">
        <w:rPr>
          <w:rFonts w:hint="eastAsia"/>
          <w:rtl/>
        </w:rPr>
        <w:t>ועדה</w:t>
      </w:r>
      <w:r w:rsidRPr="008B1175">
        <w:rPr>
          <w:rtl/>
        </w:rPr>
        <w:t xml:space="preserve"> </w:t>
      </w:r>
      <w:r w:rsidRPr="008B1175">
        <w:rPr>
          <w:rFonts w:hint="eastAsia"/>
          <w:rtl/>
        </w:rPr>
        <w:t>אשר</w:t>
      </w:r>
      <w:r w:rsidRPr="008B1175">
        <w:rPr>
          <w:rtl/>
        </w:rPr>
        <w:t xml:space="preserve"> </w:t>
      </w:r>
      <w:r w:rsidRPr="008B1175">
        <w:rPr>
          <w:rFonts w:hint="eastAsia"/>
          <w:rtl/>
        </w:rPr>
        <w:t>אינה</w:t>
      </w:r>
      <w:r w:rsidRPr="008B1175">
        <w:rPr>
          <w:rtl/>
        </w:rPr>
        <w:t xml:space="preserve"> </w:t>
      </w:r>
      <w:r w:rsidRPr="008B1175">
        <w:rPr>
          <w:rFonts w:hint="eastAsia"/>
          <w:rtl/>
        </w:rPr>
        <w:t>קשורה</w:t>
      </w:r>
      <w:r w:rsidRPr="008B1175">
        <w:rPr>
          <w:rtl/>
        </w:rPr>
        <w:t xml:space="preserve"> </w:t>
      </w:r>
      <w:r w:rsidRPr="008B1175">
        <w:rPr>
          <w:rFonts w:hint="eastAsia"/>
          <w:rtl/>
        </w:rPr>
        <w:t>לענייניה</w:t>
      </w:r>
      <w:r w:rsidRPr="008B1175">
        <w:rPr>
          <w:rtl/>
        </w:rPr>
        <w:t xml:space="preserve"> </w:t>
      </w:r>
      <w:r w:rsidRPr="008B1175">
        <w:rPr>
          <w:rFonts w:hint="eastAsia"/>
          <w:rtl/>
        </w:rPr>
        <w:t>של</w:t>
      </w:r>
      <w:r w:rsidRPr="008B1175">
        <w:rPr>
          <w:rtl/>
        </w:rPr>
        <w:t xml:space="preserve"> </w:t>
      </w:r>
      <w:r w:rsidRPr="008B1175">
        <w:rPr>
          <w:rFonts w:hint="eastAsia"/>
          <w:rtl/>
        </w:rPr>
        <w:t>הכנסת</w:t>
      </w:r>
      <w:r w:rsidRPr="008B1175">
        <w:rPr>
          <w:rtl/>
        </w:rPr>
        <w:t xml:space="preserve"> </w:t>
      </w:r>
      <w:r w:rsidRPr="008B1175">
        <w:rPr>
          <w:rFonts w:hint="eastAsia"/>
          <w:rtl/>
        </w:rPr>
        <w:t>ואשר</w:t>
      </w:r>
      <w:r w:rsidRPr="008B1175">
        <w:rPr>
          <w:rtl/>
        </w:rPr>
        <w:t xml:space="preserve"> </w:t>
      </w:r>
      <w:r w:rsidRPr="008B1175">
        <w:rPr>
          <w:rFonts w:hint="eastAsia"/>
          <w:rtl/>
        </w:rPr>
        <w:t>לא</w:t>
      </w:r>
      <w:r w:rsidRPr="008B1175">
        <w:rPr>
          <w:rtl/>
        </w:rPr>
        <w:t xml:space="preserve"> </w:t>
      </w:r>
      <w:r w:rsidRPr="008B1175">
        <w:rPr>
          <w:rFonts w:hint="eastAsia"/>
          <w:rtl/>
        </w:rPr>
        <w:t>קודמה</w:t>
      </w:r>
      <w:r w:rsidRPr="008B1175">
        <w:rPr>
          <w:rtl/>
        </w:rPr>
        <w:t xml:space="preserve"> </w:t>
      </w:r>
      <w:r w:rsidRPr="008B1175">
        <w:rPr>
          <w:rFonts w:hint="eastAsia"/>
          <w:rtl/>
        </w:rPr>
        <w:t>בהסכמה</w:t>
      </w:r>
      <w:r w:rsidRPr="008B1175">
        <w:rPr>
          <w:rtl/>
        </w:rPr>
        <w:t xml:space="preserve"> </w:t>
      </w:r>
      <w:r w:rsidRPr="008B1175">
        <w:rPr>
          <w:rFonts w:hint="eastAsia"/>
          <w:rtl/>
        </w:rPr>
        <w:t>רחבה</w:t>
      </w:r>
      <w:r w:rsidRPr="008B1175">
        <w:rPr>
          <w:rtl/>
        </w:rPr>
        <w:t xml:space="preserve"> </w:t>
      </w:r>
      <w:r w:rsidRPr="008B1175">
        <w:rPr>
          <w:rFonts w:hint="eastAsia"/>
          <w:rtl/>
        </w:rPr>
        <w:t>ולמרות</w:t>
      </w:r>
      <w:r w:rsidRPr="008B1175">
        <w:rPr>
          <w:rtl/>
        </w:rPr>
        <w:t xml:space="preserve"> </w:t>
      </w:r>
      <w:r w:rsidRPr="008B1175">
        <w:rPr>
          <w:rFonts w:hint="eastAsia"/>
          <w:rtl/>
        </w:rPr>
        <w:t>זאת</w:t>
      </w:r>
      <w:r w:rsidRPr="008B1175">
        <w:rPr>
          <w:rtl/>
        </w:rPr>
        <w:t xml:space="preserve"> </w:t>
      </w:r>
      <w:r w:rsidRPr="008B1175">
        <w:rPr>
          <w:rFonts w:hint="eastAsia"/>
          <w:rtl/>
        </w:rPr>
        <w:t>הגיעה</w:t>
      </w:r>
      <w:r w:rsidRPr="008B1175">
        <w:rPr>
          <w:rtl/>
        </w:rPr>
        <w:t xml:space="preserve"> </w:t>
      </w:r>
      <w:r w:rsidRPr="008B1175">
        <w:rPr>
          <w:rFonts w:hint="eastAsia"/>
          <w:rtl/>
        </w:rPr>
        <w:t>ל</w:t>
      </w:r>
      <w:r w:rsidRPr="008B1175">
        <w:rPr>
          <w:rtl/>
        </w:rPr>
        <w:t>"</w:t>
      </w:r>
      <w:r w:rsidRPr="008B1175">
        <w:rPr>
          <w:rFonts w:hint="eastAsia"/>
          <w:rtl/>
        </w:rPr>
        <w:t>קו</w:t>
      </w:r>
      <w:r w:rsidRPr="008B1175">
        <w:rPr>
          <w:rtl/>
        </w:rPr>
        <w:t xml:space="preserve"> </w:t>
      </w:r>
      <w:r w:rsidRPr="008B1175">
        <w:rPr>
          <w:rFonts w:hint="eastAsia"/>
          <w:rtl/>
        </w:rPr>
        <w:t>הסיום</w:t>
      </w:r>
      <w:r w:rsidRPr="008B1175">
        <w:rPr>
          <w:rtl/>
        </w:rPr>
        <w:t xml:space="preserve">". </w:t>
      </w:r>
      <w:r w:rsidRPr="008B1175">
        <w:rPr>
          <w:rFonts w:hint="eastAsia"/>
          <w:rtl/>
        </w:rPr>
        <w:t>במבחן</w:t>
      </w:r>
      <w:r w:rsidRPr="008B1175">
        <w:rPr>
          <w:rtl/>
        </w:rPr>
        <w:t xml:space="preserve"> </w:t>
      </w:r>
      <w:r w:rsidRPr="008B1175">
        <w:rPr>
          <w:rFonts w:hint="eastAsia"/>
          <w:rtl/>
        </w:rPr>
        <w:t>התוצאה</w:t>
      </w:r>
      <w:r w:rsidRPr="008B1175">
        <w:rPr>
          <w:rtl/>
        </w:rPr>
        <w:t xml:space="preserve">, </w:t>
      </w:r>
      <w:r w:rsidRPr="008B1175">
        <w:rPr>
          <w:rFonts w:hint="eastAsia"/>
          <w:rtl/>
        </w:rPr>
        <w:t>מלמדת</w:t>
      </w:r>
      <w:r w:rsidRPr="008B1175">
        <w:rPr>
          <w:rtl/>
        </w:rPr>
        <w:t xml:space="preserve"> </w:t>
      </w:r>
      <w:r w:rsidRPr="008B1175">
        <w:rPr>
          <w:rFonts w:hint="eastAsia"/>
          <w:rtl/>
        </w:rPr>
        <w:t>עובדה</w:t>
      </w:r>
      <w:r w:rsidRPr="008B1175">
        <w:rPr>
          <w:rtl/>
        </w:rPr>
        <w:t xml:space="preserve"> </w:t>
      </w:r>
      <w:r w:rsidRPr="008B1175">
        <w:rPr>
          <w:rFonts w:hint="eastAsia"/>
          <w:rtl/>
        </w:rPr>
        <w:t>זו</w:t>
      </w:r>
      <w:r w:rsidRPr="008B1175">
        <w:rPr>
          <w:rtl/>
        </w:rPr>
        <w:t xml:space="preserve"> </w:t>
      </w:r>
      <w:r w:rsidRPr="008B1175">
        <w:rPr>
          <w:rFonts w:hint="eastAsia"/>
          <w:rtl/>
        </w:rPr>
        <w:t>כי</w:t>
      </w:r>
      <w:r w:rsidRPr="008B1175">
        <w:rPr>
          <w:rtl/>
        </w:rPr>
        <w:t xml:space="preserve"> </w:t>
      </w:r>
      <w:r w:rsidRPr="008B1175">
        <w:rPr>
          <w:rFonts w:hint="eastAsia"/>
          <w:rtl/>
        </w:rPr>
        <w:t>משלא</w:t>
      </w:r>
      <w:r w:rsidRPr="008B1175">
        <w:rPr>
          <w:rtl/>
        </w:rPr>
        <w:t xml:space="preserve"> </w:t>
      </w:r>
      <w:r w:rsidRPr="008B1175">
        <w:rPr>
          <w:rFonts w:hint="eastAsia"/>
          <w:rtl/>
        </w:rPr>
        <w:t>התקיים</w:t>
      </w:r>
      <w:r w:rsidRPr="008B1175">
        <w:rPr>
          <w:rtl/>
        </w:rPr>
        <w:t xml:space="preserve"> </w:t>
      </w:r>
      <w:r w:rsidRPr="008B1175">
        <w:rPr>
          <w:rFonts w:hint="eastAsia"/>
          <w:rtl/>
        </w:rPr>
        <w:t>אחד</w:t>
      </w:r>
      <w:r w:rsidRPr="008B1175">
        <w:rPr>
          <w:rtl/>
        </w:rPr>
        <w:t xml:space="preserve"> </w:t>
      </w:r>
      <w:r w:rsidRPr="008B1175">
        <w:rPr>
          <w:rFonts w:hint="eastAsia"/>
          <w:rtl/>
        </w:rPr>
        <w:t>מתנאים</w:t>
      </w:r>
      <w:r w:rsidRPr="008B1175">
        <w:rPr>
          <w:rtl/>
        </w:rPr>
        <w:t xml:space="preserve"> </w:t>
      </w:r>
      <w:r w:rsidRPr="008B1175">
        <w:rPr>
          <w:rFonts w:hint="eastAsia"/>
          <w:rtl/>
        </w:rPr>
        <w:t>אלה</w:t>
      </w:r>
      <w:r w:rsidRPr="008B1175">
        <w:rPr>
          <w:rtl/>
        </w:rPr>
        <w:t xml:space="preserve">, </w:t>
      </w:r>
      <w:r w:rsidRPr="008B1175">
        <w:rPr>
          <w:rFonts w:hint="eastAsia"/>
          <w:rtl/>
        </w:rPr>
        <w:t>הדיון</w:t>
      </w:r>
      <w:r w:rsidRPr="008B1175">
        <w:rPr>
          <w:rtl/>
        </w:rPr>
        <w:t xml:space="preserve"> </w:t>
      </w:r>
      <w:r w:rsidRPr="008B1175">
        <w:rPr>
          <w:rFonts w:hint="eastAsia"/>
          <w:rtl/>
        </w:rPr>
        <w:t>באותן</w:t>
      </w:r>
      <w:r w:rsidRPr="008B1175">
        <w:rPr>
          <w:rtl/>
        </w:rPr>
        <w:t xml:space="preserve"> </w:t>
      </w:r>
      <w:r w:rsidRPr="008B1175">
        <w:rPr>
          <w:rFonts w:hint="eastAsia"/>
          <w:rtl/>
        </w:rPr>
        <w:t>הצעות</w:t>
      </w:r>
      <w:r w:rsidRPr="008B1175">
        <w:rPr>
          <w:rtl/>
        </w:rPr>
        <w:t xml:space="preserve"> </w:t>
      </w:r>
      <w:r w:rsidRPr="008B1175">
        <w:rPr>
          <w:rFonts w:hint="eastAsia"/>
          <w:rtl/>
        </w:rPr>
        <w:t>הסתיים</w:t>
      </w:r>
      <w:r w:rsidRPr="008B1175">
        <w:rPr>
          <w:rtl/>
        </w:rPr>
        <w:t xml:space="preserve"> </w:t>
      </w:r>
      <w:r w:rsidRPr="008B1175">
        <w:rPr>
          <w:rFonts w:hint="eastAsia"/>
          <w:rtl/>
        </w:rPr>
        <w:t>מבלי</w:t>
      </w:r>
      <w:r w:rsidRPr="008B1175">
        <w:rPr>
          <w:rtl/>
        </w:rPr>
        <w:t xml:space="preserve"> </w:t>
      </w:r>
      <w:r w:rsidRPr="008B1175">
        <w:rPr>
          <w:rFonts w:hint="eastAsia"/>
          <w:rtl/>
        </w:rPr>
        <w:t>שהן</w:t>
      </w:r>
      <w:r w:rsidRPr="008B1175">
        <w:rPr>
          <w:rtl/>
        </w:rPr>
        <w:t xml:space="preserve"> </w:t>
      </w:r>
      <w:r w:rsidRPr="008B1175">
        <w:rPr>
          <w:rFonts w:hint="eastAsia"/>
          <w:rtl/>
        </w:rPr>
        <w:t>מצאו</w:t>
      </w:r>
      <w:r w:rsidRPr="008B1175">
        <w:rPr>
          <w:rtl/>
        </w:rPr>
        <w:t xml:space="preserve"> </w:t>
      </w:r>
      <w:r w:rsidRPr="008B1175">
        <w:rPr>
          <w:rFonts w:hint="eastAsia"/>
          <w:rtl/>
        </w:rPr>
        <w:t>את</w:t>
      </w:r>
      <w:r w:rsidRPr="008B1175">
        <w:rPr>
          <w:rtl/>
        </w:rPr>
        <w:t xml:space="preserve"> </w:t>
      </w:r>
      <w:r w:rsidRPr="008B1175">
        <w:rPr>
          <w:rFonts w:hint="eastAsia"/>
          <w:rtl/>
        </w:rPr>
        <w:t>דרכן</w:t>
      </w:r>
      <w:r w:rsidRPr="008B1175">
        <w:rPr>
          <w:rtl/>
        </w:rPr>
        <w:t xml:space="preserve"> </w:t>
      </w:r>
      <w:r w:rsidRPr="008B1175">
        <w:rPr>
          <w:rFonts w:hint="eastAsia"/>
          <w:rtl/>
        </w:rPr>
        <w:t>אל</w:t>
      </w:r>
      <w:r w:rsidRPr="008B1175">
        <w:rPr>
          <w:rtl/>
        </w:rPr>
        <w:t xml:space="preserve"> </w:t>
      </w:r>
      <w:r w:rsidRPr="008B1175">
        <w:rPr>
          <w:rFonts w:hint="eastAsia"/>
          <w:rtl/>
        </w:rPr>
        <w:t>ספר</w:t>
      </w:r>
      <w:r w:rsidRPr="008B1175">
        <w:rPr>
          <w:rtl/>
        </w:rPr>
        <w:t xml:space="preserve"> </w:t>
      </w:r>
      <w:r w:rsidRPr="008B1175">
        <w:rPr>
          <w:rFonts w:hint="eastAsia"/>
          <w:rtl/>
        </w:rPr>
        <w:t>החוקים</w:t>
      </w:r>
      <w:r w:rsidRPr="008B1175">
        <w:rPr>
          <w:rtl/>
        </w:rPr>
        <w:t xml:space="preserve">. </w:t>
      </w:r>
      <w:r w:rsidRPr="008B1175">
        <w:rPr>
          <w:rFonts w:hint="eastAsia"/>
          <w:rtl/>
        </w:rPr>
        <w:t>בניגוד</w:t>
      </w:r>
      <w:r w:rsidRPr="008B1175">
        <w:rPr>
          <w:rtl/>
        </w:rPr>
        <w:t xml:space="preserve"> </w:t>
      </w:r>
      <w:r w:rsidRPr="008B1175">
        <w:rPr>
          <w:rFonts w:hint="eastAsia"/>
          <w:rtl/>
        </w:rPr>
        <w:t>לעמדת</w:t>
      </w:r>
      <w:r w:rsidRPr="008B1175">
        <w:rPr>
          <w:rtl/>
        </w:rPr>
        <w:t xml:space="preserve"> </w:t>
      </w:r>
      <w:r w:rsidRPr="008B1175">
        <w:rPr>
          <w:rFonts w:hint="eastAsia"/>
          <w:rtl/>
        </w:rPr>
        <w:t>חברי</w:t>
      </w:r>
      <w:r w:rsidRPr="008B1175">
        <w:rPr>
          <w:rtl/>
        </w:rPr>
        <w:t xml:space="preserve">, </w:t>
      </w:r>
      <w:r w:rsidRPr="008B1175">
        <w:rPr>
          <w:rFonts w:hint="eastAsia"/>
          <w:rtl/>
        </w:rPr>
        <w:t>אינני</w:t>
      </w:r>
      <w:r w:rsidRPr="008B1175">
        <w:rPr>
          <w:rtl/>
        </w:rPr>
        <w:t xml:space="preserve"> </w:t>
      </w:r>
      <w:r w:rsidRPr="008B1175">
        <w:rPr>
          <w:rFonts w:hint="eastAsia"/>
          <w:rtl/>
        </w:rPr>
        <w:t>סבורה</w:t>
      </w:r>
      <w:r w:rsidRPr="008B1175">
        <w:rPr>
          <w:rtl/>
        </w:rPr>
        <w:t xml:space="preserve"> </w:t>
      </w:r>
      <w:r w:rsidRPr="008B1175">
        <w:rPr>
          <w:rFonts w:hint="eastAsia"/>
          <w:rtl/>
        </w:rPr>
        <w:t>כי</w:t>
      </w:r>
      <w:r w:rsidRPr="008B1175">
        <w:rPr>
          <w:rtl/>
        </w:rPr>
        <w:t xml:space="preserve"> </w:t>
      </w:r>
      <w:r w:rsidRPr="008B1175">
        <w:rPr>
          <w:rFonts w:hint="eastAsia"/>
          <w:rtl/>
        </w:rPr>
        <w:t>מדובר</w:t>
      </w:r>
      <w:r w:rsidRPr="008B1175">
        <w:rPr>
          <w:rtl/>
        </w:rPr>
        <w:t xml:space="preserve"> </w:t>
      </w:r>
      <w:r w:rsidRPr="008B1175">
        <w:rPr>
          <w:rFonts w:hint="eastAsia"/>
          <w:rtl/>
        </w:rPr>
        <w:t>ב</w:t>
      </w:r>
      <w:r w:rsidRPr="008B1175">
        <w:rPr>
          <w:rtl/>
        </w:rPr>
        <w:t>"</w:t>
      </w:r>
      <w:r w:rsidRPr="008B1175">
        <w:rPr>
          <w:rFonts w:hint="eastAsia"/>
          <w:rtl/>
        </w:rPr>
        <w:t>צירוף</w:t>
      </w:r>
      <w:r w:rsidRPr="008B1175">
        <w:rPr>
          <w:rtl/>
        </w:rPr>
        <w:t xml:space="preserve"> </w:t>
      </w:r>
      <w:r w:rsidRPr="008B1175">
        <w:rPr>
          <w:rFonts w:hint="eastAsia"/>
          <w:rtl/>
        </w:rPr>
        <w:t>מקרים</w:t>
      </w:r>
      <w:r w:rsidRPr="008B1175">
        <w:rPr>
          <w:rtl/>
        </w:rPr>
        <w:t xml:space="preserve"> </w:t>
      </w:r>
      <w:r w:rsidRPr="008B1175">
        <w:rPr>
          <w:rFonts w:hint="eastAsia"/>
          <w:rtl/>
        </w:rPr>
        <w:t>אקראי</w:t>
      </w:r>
      <w:r w:rsidRPr="008B1175">
        <w:rPr>
          <w:rtl/>
        </w:rPr>
        <w:t xml:space="preserve">", </w:t>
      </w:r>
      <w:r w:rsidRPr="008B1175">
        <w:rPr>
          <w:rFonts w:hint="eastAsia"/>
          <w:rtl/>
        </w:rPr>
        <w:t>אלא</w:t>
      </w:r>
      <w:r w:rsidRPr="008B1175">
        <w:rPr>
          <w:rtl/>
        </w:rPr>
        <w:t xml:space="preserve"> </w:t>
      </w:r>
      <w:r w:rsidRPr="008B1175">
        <w:rPr>
          <w:rFonts w:hint="eastAsia"/>
          <w:rtl/>
        </w:rPr>
        <w:t>בפרקטיקה</w:t>
      </w:r>
      <w:r w:rsidRPr="008B1175">
        <w:rPr>
          <w:rtl/>
        </w:rPr>
        <w:t xml:space="preserve"> </w:t>
      </w:r>
      <w:r w:rsidRPr="008B1175">
        <w:rPr>
          <w:rFonts w:hint="eastAsia"/>
          <w:rtl/>
        </w:rPr>
        <w:t>שהשתרשה</w:t>
      </w:r>
      <w:r w:rsidRPr="008B1175">
        <w:rPr>
          <w:rtl/>
        </w:rPr>
        <w:t xml:space="preserve"> </w:t>
      </w:r>
      <w:r w:rsidRPr="008B1175">
        <w:rPr>
          <w:rFonts w:hint="eastAsia"/>
          <w:rtl/>
        </w:rPr>
        <w:t>בעבודת</w:t>
      </w:r>
      <w:r w:rsidRPr="008B1175">
        <w:rPr>
          <w:rtl/>
        </w:rPr>
        <w:t xml:space="preserve"> </w:t>
      </w:r>
      <w:r w:rsidRPr="008B1175">
        <w:rPr>
          <w:rFonts w:hint="eastAsia"/>
          <w:rtl/>
        </w:rPr>
        <w:t>הכנסת</w:t>
      </w:r>
      <w:r w:rsidRPr="008B1175">
        <w:rPr>
          <w:rtl/>
        </w:rPr>
        <w:t xml:space="preserve">, </w:t>
      </w:r>
      <w:r w:rsidRPr="008B1175">
        <w:rPr>
          <w:rFonts w:hint="eastAsia"/>
          <w:rtl/>
        </w:rPr>
        <w:t>אשר</w:t>
      </w:r>
      <w:r w:rsidRPr="008B1175">
        <w:rPr>
          <w:rtl/>
        </w:rPr>
        <w:t xml:space="preserve"> </w:t>
      </w:r>
      <w:r w:rsidRPr="008B1175">
        <w:rPr>
          <w:rFonts w:hint="eastAsia"/>
          <w:rtl/>
        </w:rPr>
        <w:t>נובעת</w:t>
      </w:r>
      <w:r w:rsidRPr="008B1175">
        <w:rPr>
          <w:rtl/>
        </w:rPr>
        <w:t xml:space="preserve"> </w:t>
      </w:r>
      <w:r w:rsidRPr="008B1175">
        <w:rPr>
          <w:rFonts w:hint="eastAsia"/>
          <w:rtl/>
        </w:rPr>
        <w:t>מחריגותה</w:t>
      </w:r>
      <w:r w:rsidRPr="008B1175">
        <w:rPr>
          <w:rtl/>
        </w:rPr>
        <w:t xml:space="preserve"> </w:t>
      </w:r>
      <w:r w:rsidRPr="008B1175">
        <w:rPr>
          <w:rFonts w:hint="eastAsia"/>
          <w:rtl/>
        </w:rPr>
        <w:t>של</w:t>
      </w:r>
      <w:r w:rsidRPr="008B1175">
        <w:rPr>
          <w:rtl/>
        </w:rPr>
        <w:t xml:space="preserve"> </w:t>
      </w:r>
      <w:r w:rsidRPr="008B1175">
        <w:rPr>
          <w:rFonts w:hint="eastAsia"/>
          <w:rtl/>
        </w:rPr>
        <w:t>הצעת</w:t>
      </w:r>
      <w:r w:rsidRPr="008B1175">
        <w:rPr>
          <w:rtl/>
        </w:rPr>
        <w:t xml:space="preserve"> </w:t>
      </w:r>
      <w:r w:rsidRPr="008B1175">
        <w:rPr>
          <w:rFonts w:hint="eastAsia"/>
          <w:rtl/>
        </w:rPr>
        <w:t>חוק</w:t>
      </w:r>
      <w:r w:rsidRPr="008B1175">
        <w:rPr>
          <w:rtl/>
        </w:rPr>
        <w:t xml:space="preserve"> </w:t>
      </w:r>
      <w:r w:rsidRPr="008B1175">
        <w:rPr>
          <w:rFonts w:hint="eastAsia"/>
          <w:rtl/>
        </w:rPr>
        <w:t>יסוד</w:t>
      </w:r>
      <w:r w:rsidRPr="008B1175">
        <w:rPr>
          <w:rtl/>
        </w:rPr>
        <w:t xml:space="preserve"> </w:t>
      </w:r>
      <w:r w:rsidRPr="008B1175">
        <w:rPr>
          <w:rFonts w:hint="eastAsia"/>
          <w:rtl/>
        </w:rPr>
        <w:lastRenderedPageBreak/>
        <w:t>מטעם</w:t>
      </w:r>
      <w:r w:rsidRPr="008B1175">
        <w:rPr>
          <w:rtl/>
        </w:rPr>
        <w:t xml:space="preserve"> </w:t>
      </w:r>
      <w:r w:rsidRPr="008B1175">
        <w:rPr>
          <w:rFonts w:hint="eastAsia"/>
          <w:rtl/>
        </w:rPr>
        <w:t>ועדה</w:t>
      </w:r>
      <w:r w:rsidRPr="008B1175">
        <w:rPr>
          <w:rtl/>
        </w:rPr>
        <w:t xml:space="preserve"> </w:t>
      </w:r>
      <w:r w:rsidRPr="008B1175">
        <w:rPr>
          <w:rFonts w:hint="eastAsia"/>
          <w:rtl/>
        </w:rPr>
        <w:t>ומן</w:t>
      </w:r>
      <w:r w:rsidRPr="008B1175">
        <w:rPr>
          <w:rtl/>
        </w:rPr>
        <w:t xml:space="preserve"> </w:t>
      </w:r>
      <w:r w:rsidRPr="008B1175">
        <w:rPr>
          <w:rFonts w:hint="eastAsia"/>
          <w:rtl/>
        </w:rPr>
        <w:t>הזהירות</w:t>
      </w:r>
      <w:r w:rsidRPr="008B1175">
        <w:rPr>
          <w:rtl/>
        </w:rPr>
        <w:t xml:space="preserve"> </w:t>
      </w:r>
      <w:r w:rsidRPr="008B1175">
        <w:rPr>
          <w:rFonts w:hint="eastAsia"/>
          <w:rtl/>
        </w:rPr>
        <w:t>שנקטה</w:t>
      </w:r>
      <w:r w:rsidRPr="008B1175">
        <w:rPr>
          <w:rtl/>
        </w:rPr>
        <w:t xml:space="preserve"> </w:t>
      </w:r>
      <w:r w:rsidRPr="008B1175">
        <w:rPr>
          <w:rFonts w:hint="eastAsia"/>
          <w:rtl/>
        </w:rPr>
        <w:t>הכנסת</w:t>
      </w:r>
      <w:r w:rsidRPr="008B1175">
        <w:rPr>
          <w:rtl/>
        </w:rPr>
        <w:t xml:space="preserve"> </w:t>
      </w:r>
      <w:r w:rsidRPr="008B1175">
        <w:rPr>
          <w:rFonts w:hint="eastAsia"/>
          <w:rtl/>
        </w:rPr>
        <w:t>בעבר</w:t>
      </w:r>
      <w:r w:rsidRPr="008B1175">
        <w:rPr>
          <w:rtl/>
        </w:rPr>
        <w:t xml:space="preserve"> </w:t>
      </w:r>
      <w:r w:rsidRPr="008B1175">
        <w:rPr>
          <w:rFonts w:hint="eastAsia"/>
          <w:rtl/>
        </w:rPr>
        <w:t>בעשותה</w:t>
      </w:r>
      <w:r w:rsidRPr="008B1175">
        <w:rPr>
          <w:rtl/>
        </w:rPr>
        <w:t xml:space="preserve"> </w:t>
      </w:r>
      <w:r w:rsidRPr="008B1175">
        <w:rPr>
          <w:rFonts w:hint="eastAsia"/>
          <w:rtl/>
        </w:rPr>
        <w:t>שימוש</w:t>
      </w:r>
      <w:r w:rsidRPr="008B1175">
        <w:rPr>
          <w:rtl/>
        </w:rPr>
        <w:t xml:space="preserve"> </w:t>
      </w:r>
      <w:r w:rsidRPr="008B1175">
        <w:rPr>
          <w:rFonts w:hint="eastAsia"/>
          <w:rtl/>
        </w:rPr>
        <w:t>במסלול</w:t>
      </w:r>
      <w:r w:rsidRPr="008B1175">
        <w:rPr>
          <w:rtl/>
        </w:rPr>
        <w:t xml:space="preserve"> </w:t>
      </w:r>
      <w:r w:rsidRPr="008B1175">
        <w:rPr>
          <w:rFonts w:hint="eastAsia"/>
          <w:rtl/>
        </w:rPr>
        <w:t>זה</w:t>
      </w:r>
      <w:r w:rsidRPr="008B1175">
        <w:rPr>
          <w:rtl/>
        </w:rPr>
        <w:t xml:space="preserve">. </w:t>
      </w:r>
      <w:r w:rsidRPr="008B1175">
        <w:rPr>
          <w:rFonts w:hint="eastAsia"/>
          <w:rtl/>
        </w:rPr>
        <w:t>מסקנתי</w:t>
      </w:r>
      <w:r w:rsidRPr="008B1175">
        <w:rPr>
          <w:rtl/>
        </w:rPr>
        <w:t xml:space="preserve"> </w:t>
      </w:r>
      <w:r w:rsidRPr="008B1175">
        <w:rPr>
          <w:rFonts w:hint="eastAsia"/>
          <w:rtl/>
        </w:rPr>
        <w:t>זו</w:t>
      </w:r>
      <w:r w:rsidRPr="008B1175">
        <w:rPr>
          <w:rtl/>
        </w:rPr>
        <w:t xml:space="preserve"> </w:t>
      </w:r>
      <w:r w:rsidRPr="008B1175">
        <w:rPr>
          <w:rFonts w:hint="eastAsia"/>
          <w:rtl/>
        </w:rPr>
        <w:t>נתמכת</w:t>
      </w:r>
      <w:r w:rsidRPr="008B1175">
        <w:rPr>
          <w:rtl/>
        </w:rPr>
        <w:t xml:space="preserve"> </w:t>
      </w:r>
      <w:r w:rsidRPr="008B1175">
        <w:rPr>
          <w:rFonts w:hint="eastAsia"/>
          <w:rtl/>
        </w:rPr>
        <w:t>בדברים</w:t>
      </w:r>
      <w:r w:rsidRPr="008B1175">
        <w:rPr>
          <w:rtl/>
        </w:rPr>
        <w:t xml:space="preserve"> </w:t>
      </w:r>
      <w:r w:rsidRPr="008B1175">
        <w:rPr>
          <w:rFonts w:hint="eastAsia"/>
          <w:rtl/>
        </w:rPr>
        <w:t>מפורשים</w:t>
      </w:r>
      <w:r w:rsidRPr="008B1175">
        <w:rPr>
          <w:rtl/>
        </w:rPr>
        <w:t xml:space="preserve"> </w:t>
      </w:r>
      <w:r w:rsidRPr="008B1175">
        <w:rPr>
          <w:rFonts w:hint="eastAsia"/>
          <w:rtl/>
        </w:rPr>
        <w:t>של</w:t>
      </w:r>
      <w:r w:rsidRPr="008B1175">
        <w:rPr>
          <w:rtl/>
        </w:rPr>
        <w:t xml:space="preserve"> </w:t>
      </w:r>
      <w:r w:rsidRPr="008B1175">
        <w:rPr>
          <w:rFonts w:hint="eastAsia"/>
          <w:rtl/>
        </w:rPr>
        <w:t>היועצת</w:t>
      </w:r>
      <w:r w:rsidRPr="008B1175">
        <w:rPr>
          <w:rtl/>
        </w:rPr>
        <w:t xml:space="preserve"> </w:t>
      </w:r>
      <w:r w:rsidRPr="008B1175">
        <w:rPr>
          <w:rFonts w:hint="eastAsia"/>
          <w:rtl/>
        </w:rPr>
        <w:t>המשפטית</w:t>
      </w:r>
      <w:r w:rsidRPr="008B1175">
        <w:rPr>
          <w:rtl/>
        </w:rPr>
        <w:t xml:space="preserve"> </w:t>
      </w:r>
      <w:r w:rsidRPr="008B1175">
        <w:rPr>
          <w:rFonts w:hint="eastAsia"/>
          <w:rtl/>
        </w:rPr>
        <w:t>לכנסת</w:t>
      </w:r>
      <w:r w:rsidRPr="008B1175">
        <w:rPr>
          <w:rtl/>
        </w:rPr>
        <w:t xml:space="preserve"> </w:t>
      </w:r>
      <w:r w:rsidRPr="008B1175">
        <w:rPr>
          <w:rFonts w:hint="eastAsia"/>
          <w:rtl/>
        </w:rPr>
        <w:t>ו</w:t>
      </w:r>
      <w:r w:rsidRPr="008B1175">
        <w:rPr>
          <w:rFonts w:hint="cs"/>
          <w:rtl/>
        </w:rPr>
        <w:t xml:space="preserve">של </w:t>
      </w:r>
      <w:r w:rsidRPr="008B1175">
        <w:rPr>
          <w:rFonts w:hint="eastAsia"/>
          <w:rtl/>
        </w:rPr>
        <w:t>הייעוץ</w:t>
      </w:r>
      <w:r w:rsidRPr="008B1175">
        <w:rPr>
          <w:rtl/>
        </w:rPr>
        <w:t xml:space="preserve"> </w:t>
      </w:r>
      <w:r w:rsidRPr="008B1175">
        <w:rPr>
          <w:rFonts w:hint="eastAsia"/>
          <w:rtl/>
        </w:rPr>
        <w:t>המשפטי</w:t>
      </w:r>
      <w:r w:rsidRPr="008B1175">
        <w:rPr>
          <w:rtl/>
        </w:rPr>
        <w:t xml:space="preserve"> </w:t>
      </w:r>
      <w:r w:rsidRPr="008B1175">
        <w:rPr>
          <w:rFonts w:hint="eastAsia"/>
          <w:rtl/>
        </w:rPr>
        <w:t>לוועדת</w:t>
      </w:r>
      <w:r w:rsidRPr="008B1175">
        <w:rPr>
          <w:rtl/>
        </w:rPr>
        <w:t xml:space="preserve"> </w:t>
      </w:r>
      <w:r w:rsidRPr="008B1175">
        <w:rPr>
          <w:rFonts w:hint="eastAsia"/>
          <w:rtl/>
        </w:rPr>
        <w:t>החוקה</w:t>
      </w:r>
      <w:r w:rsidRPr="008B1175">
        <w:rPr>
          <w:rtl/>
        </w:rPr>
        <w:t xml:space="preserve">, </w:t>
      </w:r>
      <w:r w:rsidRPr="008B1175">
        <w:rPr>
          <w:rFonts w:hint="eastAsia"/>
          <w:rtl/>
        </w:rPr>
        <w:t>שהצביעו</w:t>
      </w:r>
      <w:r w:rsidRPr="008B1175">
        <w:rPr>
          <w:rtl/>
        </w:rPr>
        <w:t xml:space="preserve"> </w:t>
      </w:r>
      <w:r w:rsidRPr="008B1175">
        <w:rPr>
          <w:rFonts w:hint="eastAsia"/>
          <w:rtl/>
        </w:rPr>
        <w:t>אף</w:t>
      </w:r>
      <w:r w:rsidRPr="008B1175">
        <w:rPr>
          <w:rtl/>
        </w:rPr>
        <w:t xml:space="preserve"> </w:t>
      </w:r>
      <w:r w:rsidRPr="008B1175">
        <w:rPr>
          <w:rFonts w:hint="eastAsia"/>
          <w:rtl/>
        </w:rPr>
        <w:t>הם</w:t>
      </w:r>
      <w:r w:rsidRPr="008B1175">
        <w:rPr>
          <w:rtl/>
        </w:rPr>
        <w:t xml:space="preserve"> </w:t>
      </w:r>
      <w:r w:rsidRPr="008B1175">
        <w:rPr>
          <w:rFonts w:hint="eastAsia"/>
          <w:rtl/>
        </w:rPr>
        <w:t>על</w:t>
      </w:r>
      <w:r w:rsidRPr="008B1175">
        <w:rPr>
          <w:rtl/>
        </w:rPr>
        <w:t xml:space="preserve"> </w:t>
      </w:r>
      <w:r w:rsidRPr="008B1175">
        <w:rPr>
          <w:rFonts w:hint="eastAsia"/>
          <w:rtl/>
        </w:rPr>
        <w:t>קיומה</w:t>
      </w:r>
      <w:r w:rsidRPr="008B1175">
        <w:rPr>
          <w:rtl/>
        </w:rPr>
        <w:t xml:space="preserve"> </w:t>
      </w:r>
      <w:r w:rsidRPr="008B1175">
        <w:rPr>
          <w:rFonts w:hint="eastAsia"/>
          <w:rtl/>
        </w:rPr>
        <w:t>של</w:t>
      </w:r>
      <w:r w:rsidRPr="008B1175">
        <w:rPr>
          <w:rtl/>
        </w:rPr>
        <w:t xml:space="preserve"> </w:t>
      </w:r>
      <w:r w:rsidRPr="008B1175">
        <w:rPr>
          <w:rFonts w:hint="eastAsia"/>
          <w:rtl/>
        </w:rPr>
        <w:t>פרקטיקה</w:t>
      </w:r>
      <w:r w:rsidRPr="008B1175">
        <w:rPr>
          <w:rtl/>
        </w:rPr>
        <w:t xml:space="preserve"> </w:t>
      </w:r>
      <w:r w:rsidRPr="008B1175">
        <w:rPr>
          <w:rFonts w:hint="eastAsia"/>
          <w:rtl/>
        </w:rPr>
        <w:t>כזו</w:t>
      </w:r>
      <w:r w:rsidRPr="008B1175">
        <w:rPr>
          <w:rtl/>
        </w:rPr>
        <w:t xml:space="preserve"> (</w:t>
      </w:r>
      <w:r w:rsidRPr="008B1175">
        <w:rPr>
          <w:rFonts w:hint="eastAsia"/>
          <w:rtl/>
        </w:rPr>
        <w:t>ראו</w:t>
      </w:r>
      <w:r w:rsidRPr="008B1175">
        <w:rPr>
          <w:rtl/>
        </w:rPr>
        <w:t xml:space="preserve"> </w:t>
      </w:r>
      <w:r w:rsidRPr="008B1175">
        <w:rPr>
          <w:rFonts w:hint="eastAsia"/>
          <w:rtl/>
        </w:rPr>
        <w:t>פסקה</w:t>
      </w:r>
      <w:r w:rsidRPr="008B1175">
        <w:rPr>
          <w:rtl/>
        </w:rPr>
        <w:t xml:space="preserve"> 200 </w:t>
      </w:r>
      <w:r w:rsidRPr="008B1175">
        <w:rPr>
          <w:rFonts w:hint="eastAsia"/>
          <w:rtl/>
        </w:rPr>
        <w:t>לעיל</w:t>
      </w:r>
      <w:r w:rsidRPr="008B1175">
        <w:rPr>
          <w:rtl/>
        </w:rPr>
        <w:t xml:space="preserve">). </w:t>
      </w:r>
      <w:r w:rsidRPr="008B1175">
        <w:rPr>
          <w:rFonts w:hint="eastAsia"/>
          <w:rtl/>
        </w:rPr>
        <w:t>על</w:t>
      </w:r>
      <w:r w:rsidRPr="008B1175">
        <w:rPr>
          <w:rtl/>
        </w:rPr>
        <w:t xml:space="preserve"> </w:t>
      </w:r>
      <w:r w:rsidRPr="008B1175">
        <w:rPr>
          <w:rFonts w:hint="eastAsia"/>
          <w:rtl/>
        </w:rPr>
        <w:t>כן</w:t>
      </w:r>
      <w:r w:rsidRPr="008B1175">
        <w:rPr>
          <w:rtl/>
        </w:rPr>
        <w:t xml:space="preserve">, </w:t>
      </w:r>
      <w:r w:rsidRPr="008B1175">
        <w:rPr>
          <w:rFonts w:hint="eastAsia"/>
          <w:rtl/>
        </w:rPr>
        <w:t>גם</w:t>
      </w:r>
      <w:r w:rsidRPr="008B1175">
        <w:rPr>
          <w:rtl/>
        </w:rPr>
        <w:t xml:space="preserve"> </w:t>
      </w:r>
      <w:r w:rsidRPr="008B1175">
        <w:rPr>
          <w:rFonts w:hint="eastAsia"/>
          <w:rtl/>
        </w:rPr>
        <w:t>למקרא</w:t>
      </w:r>
      <w:r w:rsidRPr="008B1175">
        <w:rPr>
          <w:rtl/>
        </w:rPr>
        <w:t xml:space="preserve"> </w:t>
      </w:r>
      <w:r w:rsidRPr="008B1175">
        <w:rPr>
          <w:rFonts w:hint="eastAsia"/>
          <w:rtl/>
        </w:rPr>
        <w:t>הערות</w:t>
      </w:r>
      <w:r w:rsidRPr="008B1175">
        <w:rPr>
          <w:rtl/>
        </w:rPr>
        <w:t xml:space="preserve"> </w:t>
      </w:r>
      <w:r w:rsidRPr="008B1175">
        <w:rPr>
          <w:rFonts w:hint="eastAsia"/>
          <w:rtl/>
        </w:rPr>
        <w:t>חברי</w:t>
      </w:r>
      <w:r w:rsidRPr="008B1175">
        <w:rPr>
          <w:rtl/>
        </w:rPr>
        <w:t xml:space="preserve">, </w:t>
      </w:r>
      <w:r w:rsidRPr="008B1175">
        <w:rPr>
          <w:rFonts w:hint="eastAsia"/>
          <w:rtl/>
        </w:rPr>
        <w:t>נותרתי</w:t>
      </w:r>
      <w:r w:rsidRPr="008B1175">
        <w:rPr>
          <w:rtl/>
        </w:rPr>
        <w:t xml:space="preserve"> </w:t>
      </w:r>
      <w:r w:rsidRPr="008B1175">
        <w:rPr>
          <w:rFonts w:hint="eastAsia"/>
          <w:rtl/>
        </w:rPr>
        <w:t>בדעתי</w:t>
      </w:r>
      <w:r w:rsidRPr="008B1175">
        <w:rPr>
          <w:rtl/>
        </w:rPr>
        <w:t xml:space="preserve"> </w:t>
      </w:r>
      <w:r w:rsidRPr="008B1175">
        <w:rPr>
          <w:rFonts w:hint="eastAsia"/>
          <w:rtl/>
        </w:rPr>
        <w:t>כי</w:t>
      </w:r>
      <w:r w:rsidRPr="008B1175">
        <w:rPr>
          <w:rtl/>
        </w:rPr>
        <w:t xml:space="preserve"> </w:t>
      </w:r>
      <w:r w:rsidRPr="008B1175">
        <w:rPr>
          <w:rFonts w:hint="eastAsia"/>
          <w:rtl/>
        </w:rPr>
        <w:t>בבואנו</w:t>
      </w:r>
      <w:r w:rsidRPr="008B1175">
        <w:rPr>
          <w:rtl/>
        </w:rPr>
        <w:t xml:space="preserve"> </w:t>
      </w:r>
      <w:r w:rsidRPr="008B1175">
        <w:rPr>
          <w:rFonts w:hint="eastAsia"/>
          <w:rtl/>
        </w:rPr>
        <w:t>לבחון</w:t>
      </w:r>
      <w:r w:rsidRPr="008B1175">
        <w:rPr>
          <w:rtl/>
        </w:rPr>
        <w:t xml:space="preserve"> </w:t>
      </w:r>
      <w:r w:rsidRPr="008B1175">
        <w:rPr>
          <w:rFonts w:hint="eastAsia"/>
          <w:rtl/>
        </w:rPr>
        <w:t>את</w:t>
      </w:r>
      <w:r w:rsidRPr="008B1175">
        <w:rPr>
          <w:rtl/>
        </w:rPr>
        <w:t xml:space="preserve"> </w:t>
      </w:r>
      <w:r w:rsidRPr="008B1175">
        <w:rPr>
          <w:rFonts w:hint="eastAsia"/>
          <w:rtl/>
        </w:rPr>
        <w:t>דרך</w:t>
      </w:r>
      <w:r w:rsidRPr="008B1175">
        <w:rPr>
          <w:rtl/>
        </w:rPr>
        <w:t xml:space="preserve"> </w:t>
      </w:r>
      <w:r w:rsidRPr="008B1175">
        <w:rPr>
          <w:rFonts w:hint="eastAsia"/>
          <w:rtl/>
        </w:rPr>
        <w:t>יישומו</w:t>
      </w:r>
      <w:r w:rsidRPr="008B1175">
        <w:rPr>
          <w:rtl/>
        </w:rPr>
        <w:t xml:space="preserve"> </w:t>
      </w:r>
      <w:r w:rsidRPr="008B1175">
        <w:rPr>
          <w:rFonts w:hint="eastAsia"/>
          <w:rtl/>
        </w:rPr>
        <w:t>של</w:t>
      </w:r>
      <w:r w:rsidRPr="008B1175">
        <w:rPr>
          <w:rtl/>
        </w:rPr>
        <w:t xml:space="preserve"> </w:t>
      </w:r>
      <w:r w:rsidRPr="008B1175">
        <w:rPr>
          <w:rFonts w:hint="eastAsia"/>
          <w:rtl/>
        </w:rPr>
        <w:t>סעיף</w:t>
      </w:r>
      <w:r w:rsidRPr="008B1175">
        <w:rPr>
          <w:rtl/>
        </w:rPr>
        <w:t xml:space="preserve"> 80(</w:t>
      </w:r>
      <w:r w:rsidRPr="008B1175">
        <w:rPr>
          <w:rFonts w:hint="eastAsia"/>
          <w:rtl/>
        </w:rPr>
        <w:t>א</w:t>
      </w:r>
      <w:r w:rsidRPr="008B1175">
        <w:rPr>
          <w:rtl/>
        </w:rPr>
        <w:t xml:space="preserve">) </w:t>
      </w:r>
      <w:r w:rsidRPr="008B1175">
        <w:rPr>
          <w:rFonts w:hint="eastAsia"/>
          <w:rtl/>
        </w:rPr>
        <w:t>לתקנון</w:t>
      </w:r>
      <w:r w:rsidRPr="008B1175">
        <w:rPr>
          <w:rtl/>
        </w:rPr>
        <w:t xml:space="preserve"> </w:t>
      </w:r>
      <w:r w:rsidRPr="008B1175">
        <w:rPr>
          <w:rFonts w:hint="eastAsia"/>
          <w:rtl/>
        </w:rPr>
        <w:t>הכנסת</w:t>
      </w:r>
      <w:r w:rsidRPr="008B1175">
        <w:rPr>
          <w:rtl/>
        </w:rPr>
        <w:t xml:space="preserve">, </w:t>
      </w:r>
      <w:r w:rsidRPr="008B1175">
        <w:rPr>
          <w:rFonts w:hint="eastAsia"/>
          <w:rtl/>
        </w:rPr>
        <w:t>לא</w:t>
      </w:r>
      <w:r w:rsidRPr="008B1175">
        <w:rPr>
          <w:rtl/>
        </w:rPr>
        <w:t xml:space="preserve"> </w:t>
      </w:r>
      <w:r w:rsidRPr="008B1175">
        <w:rPr>
          <w:rFonts w:hint="eastAsia"/>
          <w:rtl/>
        </w:rPr>
        <w:t>ניתן</w:t>
      </w:r>
      <w:r w:rsidRPr="008B1175">
        <w:rPr>
          <w:rtl/>
        </w:rPr>
        <w:t xml:space="preserve"> </w:t>
      </w:r>
      <w:r w:rsidRPr="008B1175">
        <w:rPr>
          <w:rFonts w:hint="eastAsia"/>
          <w:rtl/>
        </w:rPr>
        <w:t>להתעלם</w:t>
      </w:r>
      <w:r w:rsidRPr="008B1175">
        <w:rPr>
          <w:rtl/>
        </w:rPr>
        <w:t xml:space="preserve"> </w:t>
      </w:r>
      <w:r w:rsidRPr="008B1175">
        <w:rPr>
          <w:rFonts w:hint="eastAsia"/>
          <w:rtl/>
        </w:rPr>
        <w:t>מהאופן</w:t>
      </w:r>
      <w:r w:rsidRPr="008B1175">
        <w:rPr>
          <w:rtl/>
        </w:rPr>
        <w:t xml:space="preserve"> </w:t>
      </w:r>
      <w:r w:rsidRPr="008B1175">
        <w:rPr>
          <w:rFonts w:hint="eastAsia"/>
          <w:rtl/>
        </w:rPr>
        <w:t>שבו</w:t>
      </w:r>
      <w:r w:rsidRPr="008B1175">
        <w:rPr>
          <w:rtl/>
        </w:rPr>
        <w:t xml:space="preserve"> </w:t>
      </w:r>
      <w:r w:rsidRPr="008B1175">
        <w:rPr>
          <w:rFonts w:hint="eastAsia"/>
          <w:rtl/>
        </w:rPr>
        <w:t>התנהלה</w:t>
      </w:r>
      <w:r w:rsidRPr="008B1175">
        <w:rPr>
          <w:rtl/>
        </w:rPr>
        <w:t xml:space="preserve"> </w:t>
      </w:r>
      <w:r w:rsidRPr="008B1175">
        <w:rPr>
          <w:rFonts w:hint="eastAsia"/>
          <w:rtl/>
        </w:rPr>
        <w:t>הכנסת</w:t>
      </w:r>
      <w:r w:rsidRPr="008B1175">
        <w:rPr>
          <w:rtl/>
        </w:rPr>
        <w:t xml:space="preserve"> </w:t>
      </w:r>
      <w:r w:rsidRPr="008B1175">
        <w:rPr>
          <w:rFonts w:hint="eastAsia"/>
          <w:rtl/>
        </w:rPr>
        <w:t>עצמה</w:t>
      </w:r>
      <w:r w:rsidRPr="008B1175">
        <w:rPr>
          <w:rtl/>
        </w:rPr>
        <w:t xml:space="preserve"> </w:t>
      </w:r>
      <w:r w:rsidRPr="008B1175">
        <w:rPr>
          <w:rFonts w:hint="eastAsia"/>
          <w:rtl/>
        </w:rPr>
        <w:t>לאורך</w:t>
      </w:r>
      <w:r w:rsidRPr="008B1175">
        <w:rPr>
          <w:rtl/>
        </w:rPr>
        <w:t xml:space="preserve"> </w:t>
      </w:r>
      <w:r w:rsidRPr="008B1175">
        <w:rPr>
          <w:rFonts w:hint="eastAsia"/>
          <w:rtl/>
        </w:rPr>
        <w:t>שנים</w:t>
      </w:r>
      <w:r w:rsidRPr="008B1175">
        <w:rPr>
          <w:rtl/>
        </w:rPr>
        <w:t xml:space="preserve"> </w:t>
      </w:r>
      <w:r w:rsidRPr="008B1175">
        <w:rPr>
          <w:rFonts w:hint="eastAsia"/>
          <w:rtl/>
        </w:rPr>
        <w:t>ומן</w:t>
      </w:r>
      <w:r w:rsidRPr="008B1175">
        <w:rPr>
          <w:rtl/>
        </w:rPr>
        <w:t xml:space="preserve"> </w:t>
      </w:r>
      <w:r w:rsidRPr="008B1175">
        <w:rPr>
          <w:rFonts w:hint="eastAsia"/>
          <w:rtl/>
        </w:rPr>
        <w:t>הפרקטיקה</w:t>
      </w:r>
      <w:r w:rsidRPr="008B1175">
        <w:rPr>
          <w:rtl/>
        </w:rPr>
        <w:t xml:space="preserve"> </w:t>
      </w:r>
      <w:r w:rsidRPr="008B1175">
        <w:rPr>
          <w:rFonts w:hint="eastAsia"/>
          <w:rtl/>
        </w:rPr>
        <w:t>שהשתרשה</w:t>
      </w:r>
      <w:r w:rsidRPr="008B1175">
        <w:rPr>
          <w:rtl/>
        </w:rPr>
        <w:t xml:space="preserve"> </w:t>
      </w:r>
      <w:r w:rsidRPr="008B1175">
        <w:rPr>
          <w:rFonts w:hint="eastAsia"/>
          <w:rtl/>
        </w:rPr>
        <w:t>בעבודתה</w:t>
      </w:r>
      <w:r w:rsidRPr="008B1175">
        <w:rPr>
          <w:rtl/>
        </w:rPr>
        <w:t xml:space="preserve"> </w:t>
      </w:r>
      <w:r w:rsidRPr="008B1175">
        <w:rPr>
          <w:rFonts w:hint="eastAsia"/>
          <w:rtl/>
        </w:rPr>
        <w:t>בהקשר</w:t>
      </w:r>
      <w:r w:rsidRPr="008B1175">
        <w:rPr>
          <w:rtl/>
        </w:rPr>
        <w:t xml:space="preserve"> </w:t>
      </w:r>
      <w:r w:rsidRPr="008B1175">
        <w:rPr>
          <w:rFonts w:hint="eastAsia"/>
          <w:rtl/>
        </w:rPr>
        <w:t>זה</w:t>
      </w:r>
      <w:r w:rsidRPr="008B1175">
        <w:rPr>
          <w:rtl/>
        </w:rPr>
        <w:t xml:space="preserve">. </w:t>
      </w:r>
    </w:p>
    <w:p w:rsidR="00C044AE" w:rsidRPr="008B1175" w:rsidRDefault="00C044AE" w:rsidP="00C044AE">
      <w:pPr>
        <w:pStyle w:val="Ruller41"/>
        <w:rPr>
          <w:rtl/>
        </w:rPr>
      </w:pPr>
    </w:p>
    <w:p w:rsidR="00C044AE" w:rsidRPr="008B1175" w:rsidRDefault="00C044AE" w:rsidP="00C044AE">
      <w:pPr>
        <w:pStyle w:val="Ruller4"/>
      </w:pPr>
      <w:r w:rsidRPr="008B1175">
        <w:rPr>
          <w:rFonts w:hint="eastAsia"/>
          <w:rtl/>
        </w:rPr>
        <w:t>חברי</w:t>
      </w:r>
      <w:r w:rsidRPr="008B1175">
        <w:rPr>
          <w:rtl/>
        </w:rPr>
        <w:t xml:space="preserve"> </w:t>
      </w:r>
      <w:r w:rsidRPr="008B1175">
        <w:rPr>
          <w:rFonts w:hint="eastAsia"/>
          <w:rtl/>
        </w:rPr>
        <w:t>השופט</w:t>
      </w:r>
      <w:r w:rsidRPr="008B1175">
        <w:rPr>
          <w:rtl/>
        </w:rPr>
        <w:t xml:space="preserve"> </w:t>
      </w:r>
      <w:r w:rsidRPr="008B1175">
        <w:rPr>
          <w:rFonts w:ascii="Century" w:hAnsi="Century" w:cs="Miriam" w:hint="eastAsia"/>
          <w:b/>
          <w:spacing w:val="0"/>
          <w:sz w:val="22"/>
          <w:szCs w:val="24"/>
          <w:rtl/>
        </w:rPr>
        <w:t>מינץ</w:t>
      </w:r>
      <w:r w:rsidRPr="008B1175">
        <w:rPr>
          <w:rtl/>
        </w:rPr>
        <w:t xml:space="preserve"> </w:t>
      </w:r>
      <w:r w:rsidRPr="008B1175">
        <w:rPr>
          <w:rFonts w:hint="eastAsia"/>
          <w:rtl/>
        </w:rPr>
        <w:t>מציין</w:t>
      </w:r>
      <w:r w:rsidRPr="008B1175">
        <w:rPr>
          <w:rtl/>
        </w:rPr>
        <w:t xml:space="preserve"> </w:t>
      </w:r>
      <w:r w:rsidRPr="008B1175">
        <w:rPr>
          <w:rFonts w:hint="eastAsia"/>
          <w:rtl/>
        </w:rPr>
        <w:t>כי</w:t>
      </w:r>
      <w:r w:rsidRPr="008B1175">
        <w:rPr>
          <w:rtl/>
        </w:rPr>
        <w:t xml:space="preserve"> "</w:t>
      </w:r>
      <w:r w:rsidRPr="008B1175">
        <w:rPr>
          <w:rFonts w:hint="eastAsia"/>
          <w:rtl/>
        </w:rPr>
        <w:t>עצם</w:t>
      </w:r>
      <w:r w:rsidRPr="008B1175">
        <w:rPr>
          <w:rtl/>
        </w:rPr>
        <w:t xml:space="preserve"> </w:t>
      </w:r>
      <w:r w:rsidRPr="008B1175">
        <w:rPr>
          <w:rFonts w:hint="eastAsia"/>
          <w:rtl/>
        </w:rPr>
        <w:t>הגבלת</w:t>
      </w:r>
      <w:r w:rsidRPr="008B1175">
        <w:rPr>
          <w:rtl/>
        </w:rPr>
        <w:t xml:space="preserve"> </w:t>
      </w:r>
      <w:r w:rsidRPr="008B1175">
        <w:rPr>
          <w:rFonts w:hint="eastAsia"/>
          <w:rtl/>
        </w:rPr>
        <w:t>היקף</w:t>
      </w:r>
      <w:r w:rsidRPr="008B1175">
        <w:rPr>
          <w:rtl/>
        </w:rPr>
        <w:t xml:space="preserve"> </w:t>
      </w:r>
      <w:r w:rsidRPr="008B1175">
        <w:rPr>
          <w:rFonts w:hint="eastAsia"/>
          <w:rtl/>
        </w:rPr>
        <w:t>הביקורת</w:t>
      </w:r>
      <w:r w:rsidRPr="008B1175">
        <w:rPr>
          <w:rtl/>
        </w:rPr>
        <w:t xml:space="preserve"> </w:t>
      </w:r>
      <w:r w:rsidRPr="008B1175">
        <w:rPr>
          <w:rFonts w:hint="eastAsia"/>
          <w:rtl/>
        </w:rPr>
        <w:t>השיפוטית</w:t>
      </w:r>
      <w:r w:rsidRPr="008B1175">
        <w:rPr>
          <w:rtl/>
        </w:rPr>
        <w:t xml:space="preserve"> </w:t>
      </w:r>
      <w:r w:rsidRPr="008B1175">
        <w:rPr>
          <w:rFonts w:hint="eastAsia"/>
          <w:rtl/>
        </w:rPr>
        <w:t>על</w:t>
      </w:r>
      <w:r w:rsidRPr="008B1175">
        <w:rPr>
          <w:rtl/>
        </w:rPr>
        <w:t xml:space="preserve"> </w:t>
      </w:r>
      <w:r w:rsidRPr="008B1175">
        <w:rPr>
          <w:rFonts w:hint="eastAsia"/>
          <w:rtl/>
        </w:rPr>
        <w:t>ידי</w:t>
      </w:r>
      <w:r w:rsidRPr="008B1175">
        <w:rPr>
          <w:rtl/>
        </w:rPr>
        <w:t xml:space="preserve"> </w:t>
      </w:r>
      <w:r w:rsidRPr="008B1175">
        <w:rPr>
          <w:rFonts w:hint="eastAsia"/>
          <w:rtl/>
        </w:rPr>
        <w:t>בית</w:t>
      </w:r>
      <w:r w:rsidRPr="008B1175">
        <w:rPr>
          <w:rtl/>
        </w:rPr>
        <w:t xml:space="preserve"> </w:t>
      </w:r>
      <w:r w:rsidRPr="008B1175">
        <w:rPr>
          <w:rFonts w:hint="eastAsia"/>
          <w:rtl/>
        </w:rPr>
        <w:t>משפט</w:t>
      </w:r>
      <w:r w:rsidRPr="008B1175">
        <w:rPr>
          <w:rtl/>
        </w:rPr>
        <w:t xml:space="preserve"> </w:t>
      </w:r>
      <w:r w:rsidRPr="008B1175">
        <w:rPr>
          <w:rFonts w:hint="eastAsia"/>
          <w:rtl/>
        </w:rPr>
        <w:t>זה</w:t>
      </w:r>
      <w:r w:rsidRPr="008B1175">
        <w:rPr>
          <w:rtl/>
        </w:rPr>
        <w:t xml:space="preserve"> </w:t>
      </w:r>
      <w:r w:rsidRPr="008B1175">
        <w:rPr>
          <w:rFonts w:hint="eastAsia"/>
          <w:rtl/>
        </w:rPr>
        <w:t>בהתייחס</w:t>
      </w:r>
      <w:r w:rsidRPr="008B1175">
        <w:rPr>
          <w:rtl/>
        </w:rPr>
        <w:t xml:space="preserve"> </w:t>
      </w:r>
      <w:r w:rsidRPr="008B1175">
        <w:rPr>
          <w:rFonts w:hint="eastAsia"/>
          <w:rtl/>
        </w:rPr>
        <w:t>לעילת</w:t>
      </w:r>
      <w:r w:rsidRPr="008B1175">
        <w:rPr>
          <w:rtl/>
        </w:rPr>
        <w:t xml:space="preserve"> </w:t>
      </w:r>
      <w:r w:rsidRPr="008B1175">
        <w:rPr>
          <w:rFonts w:hint="eastAsia"/>
          <w:rtl/>
        </w:rPr>
        <w:t>התערבות</w:t>
      </w:r>
      <w:r w:rsidRPr="008B1175">
        <w:rPr>
          <w:rtl/>
        </w:rPr>
        <w:t xml:space="preserve"> </w:t>
      </w:r>
      <w:r w:rsidRPr="008B1175">
        <w:rPr>
          <w:rFonts w:hint="eastAsia"/>
          <w:rtl/>
        </w:rPr>
        <w:t>מינהלית</w:t>
      </w:r>
      <w:r w:rsidRPr="008B1175">
        <w:rPr>
          <w:rtl/>
        </w:rPr>
        <w:t xml:space="preserve"> [...] </w:t>
      </w:r>
      <w:r w:rsidRPr="008B1175">
        <w:rPr>
          <w:rFonts w:hint="eastAsia"/>
          <w:rtl/>
        </w:rPr>
        <w:t>איננה</w:t>
      </w:r>
      <w:r w:rsidRPr="008B1175">
        <w:rPr>
          <w:rtl/>
        </w:rPr>
        <w:t xml:space="preserve"> </w:t>
      </w:r>
      <w:r w:rsidRPr="008B1175">
        <w:rPr>
          <w:rFonts w:hint="eastAsia"/>
          <w:rtl/>
        </w:rPr>
        <w:t>מהווה</w:t>
      </w:r>
      <w:r w:rsidRPr="008B1175">
        <w:rPr>
          <w:rtl/>
        </w:rPr>
        <w:t xml:space="preserve"> </w:t>
      </w:r>
      <w:r w:rsidRPr="008B1175">
        <w:rPr>
          <w:rFonts w:hint="eastAsia"/>
          <w:rtl/>
        </w:rPr>
        <w:t>משום</w:t>
      </w:r>
      <w:r w:rsidRPr="008B1175">
        <w:rPr>
          <w:rtl/>
        </w:rPr>
        <w:t xml:space="preserve"> '</w:t>
      </w:r>
      <w:r w:rsidRPr="008B1175">
        <w:rPr>
          <w:rFonts w:hint="eastAsia"/>
          <w:rtl/>
        </w:rPr>
        <w:t>חציית</w:t>
      </w:r>
      <w:r w:rsidRPr="008B1175">
        <w:rPr>
          <w:rtl/>
        </w:rPr>
        <w:t xml:space="preserve"> </w:t>
      </w:r>
      <w:r w:rsidRPr="008B1175">
        <w:rPr>
          <w:rFonts w:hint="eastAsia"/>
          <w:rtl/>
        </w:rPr>
        <w:t>גבול</w:t>
      </w:r>
      <w:r w:rsidRPr="008B1175">
        <w:rPr>
          <w:rtl/>
        </w:rPr>
        <w:t xml:space="preserve">' </w:t>
      </w:r>
      <w:r w:rsidRPr="008B1175">
        <w:rPr>
          <w:rFonts w:hint="eastAsia"/>
          <w:rtl/>
        </w:rPr>
        <w:t>מצד</w:t>
      </w:r>
      <w:r w:rsidRPr="008B1175">
        <w:rPr>
          <w:rtl/>
        </w:rPr>
        <w:t xml:space="preserve"> </w:t>
      </w:r>
      <w:r w:rsidRPr="008B1175">
        <w:rPr>
          <w:rFonts w:hint="eastAsia"/>
          <w:rtl/>
        </w:rPr>
        <w:t>המחוקק</w:t>
      </w:r>
      <w:r w:rsidRPr="008B1175">
        <w:rPr>
          <w:rtl/>
        </w:rPr>
        <w:t xml:space="preserve"> </w:t>
      </w:r>
      <w:r w:rsidRPr="008B1175">
        <w:rPr>
          <w:rFonts w:hint="eastAsia"/>
          <w:rtl/>
        </w:rPr>
        <w:t>או</w:t>
      </w:r>
      <w:r w:rsidRPr="008B1175">
        <w:rPr>
          <w:rtl/>
        </w:rPr>
        <w:t xml:space="preserve"> </w:t>
      </w:r>
      <w:r w:rsidRPr="008B1175">
        <w:rPr>
          <w:rFonts w:hint="eastAsia"/>
          <w:rtl/>
        </w:rPr>
        <w:t>המכונן</w:t>
      </w:r>
      <w:r w:rsidRPr="008B1175">
        <w:rPr>
          <w:rtl/>
        </w:rPr>
        <w:t>" (</w:t>
      </w:r>
      <w:r w:rsidRPr="008B1175">
        <w:rPr>
          <w:rFonts w:hint="eastAsia"/>
          <w:rtl/>
        </w:rPr>
        <w:t>פסקה</w:t>
      </w:r>
      <w:r w:rsidRPr="008B1175">
        <w:rPr>
          <w:rtl/>
        </w:rPr>
        <w:t xml:space="preserve"> 83 </w:t>
      </w:r>
      <w:r w:rsidRPr="008B1175">
        <w:rPr>
          <w:rFonts w:hint="eastAsia"/>
          <w:rtl/>
        </w:rPr>
        <w:t>לחוות</w:t>
      </w:r>
      <w:r w:rsidRPr="008B1175">
        <w:rPr>
          <w:rtl/>
        </w:rPr>
        <w:t xml:space="preserve"> </w:t>
      </w:r>
      <w:r w:rsidRPr="008B1175">
        <w:rPr>
          <w:rFonts w:hint="eastAsia"/>
          <w:rtl/>
        </w:rPr>
        <w:t>דעתו</w:t>
      </w:r>
      <w:r w:rsidRPr="008B1175">
        <w:rPr>
          <w:rtl/>
        </w:rPr>
        <w:t xml:space="preserve">). </w:t>
      </w:r>
      <w:r w:rsidRPr="008B1175">
        <w:rPr>
          <w:rFonts w:hint="eastAsia"/>
          <w:rtl/>
        </w:rPr>
        <w:t>לכך</w:t>
      </w:r>
      <w:r w:rsidRPr="008B1175">
        <w:rPr>
          <w:rtl/>
        </w:rPr>
        <w:t xml:space="preserve"> </w:t>
      </w:r>
      <w:r w:rsidRPr="008B1175">
        <w:rPr>
          <w:rFonts w:hint="eastAsia"/>
          <w:rtl/>
        </w:rPr>
        <w:t>אין</w:t>
      </w:r>
      <w:r w:rsidRPr="008B1175">
        <w:rPr>
          <w:rtl/>
        </w:rPr>
        <w:t xml:space="preserve"> </w:t>
      </w:r>
      <w:r w:rsidRPr="008B1175">
        <w:rPr>
          <w:rFonts w:hint="eastAsia"/>
          <w:rtl/>
        </w:rPr>
        <w:t>לי</w:t>
      </w:r>
      <w:r w:rsidRPr="008B1175">
        <w:rPr>
          <w:rtl/>
        </w:rPr>
        <w:t xml:space="preserve"> </w:t>
      </w:r>
      <w:r w:rsidRPr="008B1175">
        <w:rPr>
          <w:rFonts w:hint="eastAsia"/>
          <w:rtl/>
        </w:rPr>
        <w:t>אלא</w:t>
      </w:r>
      <w:r w:rsidRPr="008B1175">
        <w:rPr>
          <w:rtl/>
        </w:rPr>
        <w:t xml:space="preserve"> </w:t>
      </w:r>
      <w:r w:rsidRPr="008B1175">
        <w:rPr>
          <w:rFonts w:hint="eastAsia"/>
          <w:rtl/>
        </w:rPr>
        <w:t>להסכים</w:t>
      </w:r>
      <w:r w:rsidRPr="008B1175">
        <w:rPr>
          <w:rtl/>
        </w:rPr>
        <w:t xml:space="preserve">. </w:t>
      </w:r>
      <w:r w:rsidRPr="008B1175">
        <w:rPr>
          <w:rFonts w:hint="eastAsia"/>
          <w:rtl/>
        </w:rPr>
        <w:t>עם</w:t>
      </w:r>
      <w:r w:rsidRPr="008B1175">
        <w:rPr>
          <w:rtl/>
        </w:rPr>
        <w:t xml:space="preserve"> </w:t>
      </w:r>
      <w:r w:rsidRPr="008B1175">
        <w:rPr>
          <w:rFonts w:hint="eastAsia"/>
          <w:rtl/>
        </w:rPr>
        <w:t>זאת</w:t>
      </w:r>
      <w:r w:rsidRPr="008B1175">
        <w:rPr>
          <w:rtl/>
        </w:rPr>
        <w:t xml:space="preserve">, </w:t>
      </w:r>
      <w:r w:rsidRPr="008B1175">
        <w:rPr>
          <w:rFonts w:hint="eastAsia"/>
          <w:rtl/>
        </w:rPr>
        <w:t>כפי</w:t>
      </w:r>
      <w:r w:rsidRPr="008B1175">
        <w:rPr>
          <w:rtl/>
        </w:rPr>
        <w:t xml:space="preserve"> </w:t>
      </w:r>
      <w:r w:rsidRPr="008B1175">
        <w:rPr>
          <w:rFonts w:hint="eastAsia"/>
          <w:rtl/>
        </w:rPr>
        <w:t>שציינתי</w:t>
      </w:r>
      <w:r w:rsidRPr="008B1175">
        <w:rPr>
          <w:rtl/>
        </w:rPr>
        <w:t xml:space="preserve"> </w:t>
      </w:r>
      <w:r w:rsidRPr="008B1175">
        <w:rPr>
          <w:rFonts w:hint="eastAsia"/>
          <w:rtl/>
        </w:rPr>
        <w:t>לעיל</w:t>
      </w:r>
      <w:r w:rsidRPr="008B1175">
        <w:rPr>
          <w:rtl/>
        </w:rPr>
        <w:t xml:space="preserve">, </w:t>
      </w:r>
      <w:r w:rsidRPr="008B1175">
        <w:rPr>
          <w:rFonts w:hint="eastAsia"/>
          <w:rtl/>
        </w:rPr>
        <w:t>התיקון</w:t>
      </w:r>
      <w:r w:rsidRPr="008B1175">
        <w:rPr>
          <w:rtl/>
        </w:rPr>
        <w:t xml:space="preserve"> </w:t>
      </w:r>
      <w:r w:rsidRPr="008B1175">
        <w:rPr>
          <w:rFonts w:hint="eastAsia"/>
          <w:rtl/>
        </w:rPr>
        <w:t>שבפנינו</w:t>
      </w:r>
      <w:r w:rsidRPr="008B1175">
        <w:rPr>
          <w:rtl/>
        </w:rPr>
        <w:t xml:space="preserve"> </w:t>
      </w:r>
      <w:r w:rsidRPr="008B1175">
        <w:rPr>
          <w:rFonts w:hint="eastAsia"/>
          <w:rtl/>
        </w:rPr>
        <w:t>אינו</w:t>
      </w:r>
      <w:r w:rsidRPr="008B1175">
        <w:rPr>
          <w:rtl/>
        </w:rPr>
        <w:t xml:space="preserve"> </w:t>
      </w:r>
      <w:r w:rsidRPr="008B1175">
        <w:rPr>
          <w:rFonts w:hint="eastAsia"/>
          <w:rtl/>
        </w:rPr>
        <w:t>כולל</w:t>
      </w:r>
      <w:r w:rsidRPr="008B1175">
        <w:rPr>
          <w:rtl/>
        </w:rPr>
        <w:t xml:space="preserve"> </w:t>
      </w:r>
      <w:r w:rsidRPr="008B1175">
        <w:rPr>
          <w:rFonts w:hint="eastAsia"/>
          <w:rtl/>
        </w:rPr>
        <w:t>רק</w:t>
      </w:r>
      <w:r w:rsidRPr="008B1175">
        <w:rPr>
          <w:rtl/>
        </w:rPr>
        <w:t xml:space="preserve"> </w:t>
      </w:r>
      <w:r w:rsidRPr="008B1175">
        <w:rPr>
          <w:rFonts w:hint="eastAsia"/>
          <w:rtl/>
        </w:rPr>
        <w:t>הגבלה</w:t>
      </w:r>
      <w:r w:rsidRPr="008B1175">
        <w:rPr>
          <w:rtl/>
        </w:rPr>
        <w:t xml:space="preserve"> </w:t>
      </w:r>
      <w:r w:rsidRPr="008B1175">
        <w:rPr>
          <w:rFonts w:hint="eastAsia"/>
          <w:rtl/>
        </w:rPr>
        <w:t>כזו</w:t>
      </w:r>
      <w:r w:rsidRPr="008B1175">
        <w:rPr>
          <w:rtl/>
        </w:rPr>
        <w:t xml:space="preserve"> </w:t>
      </w:r>
      <w:r w:rsidRPr="008B1175">
        <w:rPr>
          <w:rFonts w:hint="eastAsia"/>
          <w:rtl/>
        </w:rPr>
        <w:t>או</w:t>
      </w:r>
      <w:r w:rsidRPr="008B1175">
        <w:rPr>
          <w:rtl/>
        </w:rPr>
        <w:t xml:space="preserve"> </w:t>
      </w:r>
      <w:r w:rsidRPr="008B1175">
        <w:rPr>
          <w:rFonts w:hint="eastAsia"/>
          <w:rtl/>
        </w:rPr>
        <w:t>אחרת</w:t>
      </w:r>
      <w:r w:rsidRPr="008B1175">
        <w:rPr>
          <w:rtl/>
        </w:rPr>
        <w:t xml:space="preserve"> </w:t>
      </w:r>
      <w:r w:rsidRPr="008B1175">
        <w:rPr>
          <w:rFonts w:hint="eastAsia"/>
          <w:rtl/>
        </w:rPr>
        <w:t>על</w:t>
      </w:r>
      <w:r w:rsidRPr="008B1175">
        <w:rPr>
          <w:rtl/>
        </w:rPr>
        <w:t xml:space="preserve"> </w:t>
      </w:r>
      <w:r w:rsidRPr="008B1175">
        <w:rPr>
          <w:rFonts w:hint="eastAsia"/>
          <w:rtl/>
        </w:rPr>
        <w:t>היקף</w:t>
      </w:r>
      <w:r w:rsidRPr="008B1175">
        <w:rPr>
          <w:rtl/>
        </w:rPr>
        <w:t xml:space="preserve"> </w:t>
      </w:r>
      <w:r w:rsidRPr="008B1175">
        <w:rPr>
          <w:rFonts w:hint="eastAsia"/>
          <w:rtl/>
        </w:rPr>
        <w:t>ההתערבות</w:t>
      </w:r>
      <w:r w:rsidRPr="008B1175">
        <w:rPr>
          <w:rtl/>
        </w:rPr>
        <w:t xml:space="preserve"> </w:t>
      </w:r>
      <w:r w:rsidRPr="008B1175">
        <w:rPr>
          <w:rFonts w:hint="eastAsia"/>
          <w:rtl/>
        </w:rPr>
        <w:t>השיפוטית</w:t>
      </w:r>
      <w:r w:rsidRPr="008B1175">
        <w:rPr>
          <w:rtl/>
        </w:rPr>
        <w:t xml:space="preserve"> </w:t>
      </w:r>
      <w:r w:rsidRPr="008B1175">
        <w:rPr>
          <w:rFonts w:hint="eastAsia"/>
          <w:rtl/>
        </w:rPr>
        <w:t>במצבים</w:t>
      </w:r>
      <w:r w:rsidRPr="008B1175">
        <w:rPr>
          <w:rtl/>
        </w:rPr>
        <w:t xml:space="preserve"> </w:t>
      </w:r>
      <w:r w:rsidRPr="008B1175">
        <w:rPr>
          <w:rFonts w:hint="eastAsia"/>
          <w:rtl/>
        </w:rPr>
        <w:t>מסוימים</w:t>
      </w:r>
      <w:r w:rsidRPr="008B1175">
        <w:rPr>
          <w:rtl/>
        </w:rPr>
        <w:t xml:space="preserve">. </w:t>
      </w:r>
      <w:r w:rsidRPr="008B1175">
        <w:rPr>
          <w:rFonts w:hint="eastAsia"/>
          <w:rtl/>
        </w:rPr>
        <w:t>הלכה</w:t>
      </w:r>
      <w:r w:rsidRPr="008B1175">
        <w:rPr>
          <w:rtl/>
        </w:rPr>
        <w:t xml:space="preserve"> </w:t>
      </w:r>
      <w:r w:rsidRPr="008B1175">
        <w:rPr>
          <w:rFonts w:hint="eastAsia"/>
          <w:rtl/>
        </w:rPr>
        <w:t>למעשה</w:t>
      </w:r>
      <w:r w:rsidRPr="008B1175">
        <w:rPr>
          <w:rtl/>
        </w:rPr>
        <w:t xml:space="preserve">, </w:t>
      </w:r>
      <w:r w:rsidRPr="008B1175">
        <w:rPr>
          <w:rFonts w:hint="eastAsia"/>
          <w:rtl/>
        </w:rPr>
        <w:t>יש</w:t>
      </w:r>
      <w:r w:rsidRPr="008B1175">
        <w:rPr>
          <w:rtl/>
        </w:rPr>
        <w:t xml:space="preserve"> </w:t>
      </w:r>
      <w:r w:rsidRPr="008B1175">
        <w:rPr>
          <w:rFonts w:hint="eastAsia"/>
          <w:rtl/>
        </w:rPr>
        <w:t>בו</w:t>
      </w:r>
      <w:r w:rsidRPr="008B1175">
        <w:rPr>
          <w:rtl/>
        </w:rPr>
        <w:t xml:space="preserve">, </w:t>
      </w:r>
      <w:r w:rsidRPr="008B1175">
        <w:rPr>
          <w:rFonts w:hint="eastAsia"/>
          <w:rtl/>
        </w:rPr>
        <w:t>בשל</w:t>
      </w:r>
      <w:r w:rsidRPr="008B1175">
        <w:rPr>
          <w:rtl/>
        </w:rPr>
        <w:t xml:space="preserve"> </w:t>
      </w:r>
      <w:r w:rsidRPr="008B1175">
        <w:rPr>
          <w:rFonts w:hint="eastAsia"/>
          <w:rtl/>
        </w:rPr>
        <w:t>נוסחו</w:t>
      </w:r>
      <w:r w:rsidRPr="008B1175">
        <w:rPr>
          <w:rtl/>
        </w:rPr>
        <w:t xml:space="preserve"> </w:t>
      </w:r>
      <w:r w:rsidRPr="008B1175">
        <w:rPr>
          <w:rFonts w:hint="eastAsia"/>
          <w:rtl/>
        </w:rPr>
        <w:t>הקיצוני</w:t>
      </w:r>
      <w:r w:rsidRPr="008B1175">
        <w:rPr>
          <w:rtl/>
        </w:rPr>
        <w:t xml:space="preserve"> </w:t>
      </w:r>
      <w:r w:rsidRPr="008B1175">
        <w:rPr>
          <w:rFonts w:hint="eastAsia"/>
          <w:rtl/>
        </w:rPr>
        <w:t>והגורף</w:t>
      </w:r>
      <w:r w:rsidRPr="008B1175">
        <w:rPr>
          <w:rtl/>
        </w:rPr>
        <w:t xml:space="preserve">, </w:t>
      </w:r>
      <w:r w:rsidRPr="008B1175">
        <w:rPr>
          <w:rFonts w:hint="eastAsia"/>
          <w:rtl/>
        </w:rPr>
        <w:t>משום</w:t>
      </w:r>
      <w:r w:rsidRPr="008B1175">
        <w:rPr>
          <w:rtl/>
        </w:rPr>
        <w:t xml:space="preserve"> </w:t>
      </w:r>
      <w:r w:rsidRPr="008B1175">
        <w:rPr>
          <w:rFonts w:hint="eastAsia"/>
          <w:rtl/>
        </w:rPr>
        <w:t>ביטול</w:t>
      </w:r>
      <w:r w:rsidRPr="008B1175">
        <w:rPr>
          <w:rtl/>
        </w:rPr>
        <w:t xml:space="preserve"> </w:t>
      </w:r>
      <w:r w:rsidRPr="008B1175">
        <w:rPr>
          <w:rFonts w:hint="eastAsia"/>
          <w:rtl/>
        </w:rPr>
        <w:t>בפועל</w:t>
      </w:r>
      <w:r w:rsidRPr="008B1175">
        <w:rPr>
          <w:rtl/>
        </w:rPr>
        <w:t xml:space="preserve"> </w:t>
      </w:r>
      <w:r w:rsidRPr="008B1175">
        <w:rPr>
          <w:rFonts w:hint="eastAsia"/>
          <w:rtl/>
        </w:rPr>
        <w:t>של</w:t>
      </w:r>
      <w:r w:rsidRPr="008B1175">
        <w:rPr>
          <w:rtl/>
        </w:rPr>
        <w:t xml:space="preserve"> </w:t>
      </w:r>
      <w:r w:rsidRPr="008B1175">
        <w:rPr>
          <w:rFonts w:hint="eastAsia"/>
          <w:rtl/>
        </w:rPr>
        <w:t>חובת</w:t>
      </w:r>
      <w:r w:rsidRPr="008B1175">
        <w:rPr>
          <w:rtl/>
        </w:rPr>
        <w:t xml:space="preserve"> </w:t>
      </w:r>
      <w:r w:rsidRPr="008B1175">
        <w:rPr>
          <w:rFonts w:hint="eastAsia"/>
          <w:rtl/>
        </w:rPr>
        <w:t>הסבירות</w:t>
      </w:r>
      <w:r w:rsidRPr="008B1175">
        <w:rPr>
          <w:rtl/>
        </w:rPr>
        <w:t xml:space="preserve"> </w:t>
      </w:r>
      <w:r w:rsidRPr="008B1175">
        <w:rPr>
          <w:rFonts w:hint="eastAsia"/>
          <w:rtl/>
        </w:rPr>
        <w:t>החלה</w:t>
      </w:r>
      <w:r w:rsidRPr="008B1175">
        <w:rPr>
          <w:rtl/>
        </w:rPr>
        <w:t xml:space="preserve"> </w:t>
      </w:r>
      <w:r w:rsidRPr="008B1175">
        <w:rPr>
          <w:rFonts w:hint="eastAsia"/>
          <w:rtl/>
        </w:rPr>
        <w:t>על</w:t>
      </w:r>
      <w:r w:rsidRPr="008B1175">
        <w:rPr>
          <w:rtl/>
        </w:rPr>
        <w:t xml:space="preserve"> </w:t>
      </w:r>
      <w:r w:rsidRPr="008B1175">
        <w:rPr>
          <w:rFonts w:hint="eastAsia"/>
          <w:rtl/>
        </w:rPr>
        <w:t>הממשלה</w:t>
      </w:r>
      <w:r w:rsidRPr="008B1175">
        <w:rPr>
          <w:rtl/>
        </w:rPr>
        <w:t xml:space="preserve"> </w:t>
      </w:r>
      <w:r w:rsidRPr="008B1175">
        <w:rPr>
          <w:rFonts w:hint="eastAsia"/>
          <w:rtl/>
        </w:rPr>
        <w:t>ושריה</w:t>
      </w:r>
      <w:r w:rsidRPr="008B1175">
        <w:rPr>
          <w:rtl/>
        </w:rPr>
        <w:t xml:space="preserve">, </w:t>
      </w:r>
      <w:r w:rsidRPr="008B1175">
        <w:rPr>
          <w:rFonts w:hint="eastAsia"/>
          <w:rtl/>
        </w:rPr>
        <w:t>ולכך</w:t>
      </w:r>
      <w:r w:rsidRPr="008B1175">
        <w:rPr>
          <w:rtl/>
        </w:rPr>
        <w:t xml:space="preserve"> </w:t>
      </w:r>
      <w:r w:rsidRPr="008B1175">
        <w:rPr>
          <w:rFonts w:hint="eastAsia"/>
          <w:rtl/>
        </w:rPr>
        <w:t>השלכות</w:t>
      </w:r>
      <w:r w:rsidRPr="008B1175">
        <w:rPr>
          <w:rtl/>
        </w:rPr>
        <w:t xml:space="preserve"> </w:t>
      </w:r>
      <w:r w:rsidRPr="008B1175">
        <w:rPr>
          <w:rFonts w:hint="eastAsia"/>
          <w:rtl/>
        </w:rPr>
        <w:t>חסרות</w:t>
      </w:r>
      <w:r w:rsidRPr="008B1175">
        <w:rPr>
          <w:rtl/>
        </w:rPr>
        <w:t xml:space="preserve"> </w:t>
      </w:r>
      <w:r w:rsidRPr="008B1175">
        <w:rPr>
          <w:rFonts w:hint="eastAsia"/>
          <w:rtl/>
        </w:rPr>
        <w:t>תקדים</w:t>
      </w:r>
      <w:r w:rsidRPr="008B1175">
        <w:rPr>
          <w:rtl/>
        </w:rPr>
        <w:t xml:space="preserve"> </w:t>
      </w:r>
      <w:r w:rsidRPr="008B1175">
        <w:rPr>
          <w:rFonts w:hint="eastAsia"/>
          <w:rtl/>
        </w:rPr>
        <w:t>והרות</w:t>
      </w:r>
      <w:r w:rsidRPr="008B1175">
        <w:rPr>
          <w:rtl/>
        </w:rPr>
        <w:t xml:space="preserve"> </w:t>
      </w:r>
      <w:r w:rsidRPr="008B1175">
        <w:rPr>
          <w:rFonts w:hint="eastAsia"/>
          <w:rtl/>
        </w:rPr>
        <w:t>אסון</w:t>
      </w:r>
      <w:r w:rsidRPr="008B1175">
        <w:rPr>
          <w:rtl/>
        </w:rPr>
        <w:t xml:space="preserve"> </w:t>
      </w:r>
      <w:r w:rsidRPr="008B1175">
        <w:rPr>
          <w:rFonts w:hint="eastAsia"/>
          <w:rtl/>
        </w:rPr>
        <w:t>על</w:t>
      </w:r>
      <w:r w:rsidRPr="008B1175">
        <w:rPr>
          <w:rtl/>
        </w:rPr>
        <w:t xml:space="preserve"> </w:t>
      </w:r>
      <w:r w:rsidRPr="008B1175">
        <w:rPr>
          <w:rFonts w:hint="eastAsia"/>
          <w:rtl/>
        </w:rPr>
        <w:t>הפרט</w:t>
      </w:r>
      <w:r w:rsidRPr="008B1175">
        <w:rPr>
          <w:rtl/>
        </w:rPr>
        <w:t xml:space="preserve"> </w:t>
      </w:r>
      <w:r w:rsidRPr="008B1175">
        <w:rPr>
          <w:rFonts w:hint="eastAsia"/>
          <w:rtl/>
        </w:rPr>
        <w:t>ועל</w:t>
      </w:r>
      <w:r w:rsidRPr="008B1175">
        <w:rPr>
          <w:rtl/>
        </w:rPr>
        <w:t xml:space="preserve"> </w:t>
      </w:r>
      <w:r w:rsidRPr="008B1175">
        <w:rPr>
          <w:rFonts w:hint="eastAsia"/>
          <w:rtl/>
        </w:rPr>
        <w:t>הציבור</w:t>
      </w:r>
      <w:r w:rsidRPr="008B1175">
        <w:rPr>
          <w:rtl/>
        </w:rPr>
        <w:t xml:space="preserve"> </w:t>
      </w:r>
      <w:r w:rsidRPr="008B1175">
        <w:rPr>
          <w:rFonts w:hint="eastAsia"/>
          <w:rtl/>
        </w:rPr>
        <w:t>הישראלי</w:t>
      </w:r>
      <w:r w:rsidRPr="008B1175">
        <w:rPr>
          <w:rtl/>
        </w:rPr>
        <w:t xml:space="preserve"> </w:t>
      </w:r>
      <w:r w:rsidRPr="008B1175">
        <w:rPr>
          <w:rFonts w:hint="eastAsia"/>
          <w:rtl/>
        </w:rPr>
        <w:t>בכללותו</w:t>
      </w:r>
      <w:r w:rsidRPr="008B1175">
        <w:rPr>
          <w:rtl/>
        </w:rPr>
        <w:t xml:space="preserve">. </w:t>
      </w:r>
    </w:p>
    <w:p w:rsidR="00C044AE" w:rsidRPr="008B1175" w:rsidRDefault="00C044AE" w:rsidP="00C044AE">
      <w:pPr>
        <w:pStyle w:val="Ruller4"/>
        <w:numPr>
          <w:ilvl w:val="0"/>
          <w:numId w:val="0"/>
        </w:numPr>
        <w:rPr>
          <w:rtl/>
        </w:rPr>
      </w:pPr>
    </w:p>
    <w:p w:rsidR="00C044AE" w:rsidRPr="008B1175" w:rsidRDefault="00C044AE" w:rsidP="00625009">
      <w:pPr>
        <w:pStyle w:val="Ruller4"/>
        <w:numPr>
          <w:ilvl w:val="0"/>
          <w:numId w:val="0"/>
        </w:numPr>
        <w:rPr>
          <w:rtl/>
        </w:rPr>
      </w:pPr>
      <w:r w:rsidRPr="008B1175">
        <w:rPr>
          <w:rtl/>
        </w:rPr>
        <w:tab/>
      </w:r>
      <w:r w:rsidRPr="008B1175">
        <w:rPr>
          <w:rFonts w:hint="eastAsia"/>
          <w:rtl/>
        </w:rPr>
        <w:t>לבסוף</w:t>
      </w:r>
      <w:r w:rsidRPr="008B1175">
        <w:rPr>
          <w:rtl/>
        </w:rPr>
        <w:t xml:space="preserve">, </w:t>
      </w:r>
      <w:r w:rsidRPr="008B1175">
        <w:rPr>
          <w:rFonts w:hint="eastAsia"/>
          <w:rtl/>
        </w:rPr>
        <w:t>אודה</w:t>
      </w:r>
      <w:r w:rsidRPr="008B1175">
        <w:rPr>
          <w:rtl/>
        </w:rPr>
        <w:t xml:space="preserve"> </w:t>
      </w:r>
      <w:r w:rsidRPr="008B1175">
        <w:rPr>
          <w:rFonts w:hint="eastAsia"/>
          <w:rtl/>
        </w:rPr>
        <w:t>ולא</w:t>
      </w:r>
      <w:r w:rsidRPr="008B1175">
        <w:rPr>
          <w:rtl/>
        </w:rPr>
        <w:t xml:space="preserve"> </w:t>
      </w:r>
      <w:r w:rsidRPr="008B1175">
        <w:rPr>
          <w:rFonts w:hint="eastAsia"/>
          <w:rtl/>
        </w:rPr>
        <w:t>אבוש</w:t>
      </w:r>
      <w:r w:rsidRPr="008B1175">
        <w:rPr>
          <w:rtl/>
        </w:rPr>
        <w:t xml:space="preserve"> </w:t>
      </w:r>
      <w:r w:rsidRPr="008B1175">
        <w:rPr>
          <w:rFonts w:hint="eastAsia"/>
          <w:rtl/>
        </w:rPr>
        <w:t>כי</w:t>
      </w:r>
      <w:r w:rsidRPr="008B1175">
        <w:rPr>
          <w:rtl/>
        </w:rPr>
        <w:t xml:space="preserve"> </w:t>
      </w:r>
      <w:r w:rsidRPr="008B1175">
        <w:rPr>
          <w:rFonts w:hint="eastAsia"/>
          <w:rtl/>
        </w:rPr>
        <w:t>לא</w:t>
      </w:r>
      <w:r w:rsidRPr="008B1175">
        <w:rPr>
          <w:rtl/>
        </w:rPr>
        <w:t xml:space="preserve"> </w:t>
      </w:r>
      <w:r w:rsidRPr="008B1175">
        <w:rPr>
          <w:rFonts w:hint="eastAsia"/>
          <w:rtl/>
        </w:rPr>
        <w:t>ירדתי</w:t>
      </w:r>
      <w:r w:rsidRPr="008B1175">
        <w:rPr>
          <w:rtl/>
        </w:rPr>
        <w:t xml:space="preserve"> </w:t>
      </w:r>
      <w:r w:rsidRPr="008B1175">
        <w:rPr>
          <w:rFonts w:hint="eastAsia"/>
          <w:rtl/>
        </w:rPr>
        <w:t>לסוף</w:t>
      </w:r>
      <w:r w:rsidRPr="008B1175">
        <w:rPr>
          <w:rtl/>
        </w:rPr>
        <w:t xml:space="preserve"> </w:t>
      </w:r>
      <w:r w:rsidRPr="008B1175">
        <w:rPr>
          <w:rFonts w:hint="eastAsia"/>
          <w:rtl/>
        </w:rPr>
        <w:t>דעתו</w:t>
      </w:r>
      <w:r w:rsidRPr="008B1175">
        <w:rPr>
          <w:rtl/>
        </w:rPr>
        <w:t xml:space="preserve"> </w:t>
      </w:r>
      <w:r w:rsidRPr="008B1175">
        <w:rPr>
          <w:rFonts w:hint="eastAsia"/>
          <w:rtl/>
        </w:rPr>
        <w:t>של</w:t>
      </w:r>
      <w:r w:rsidRPr="008B1175">
        <w:rPr>
          <w:rtl/>
        </w:rPr>
        <w:t xml:space="preserve"> </w:t>
      </w:r>
      <w:r w:rsidRPr="008B1175">
        <w:rPr>
          <w:rFonts w:hint="eastAsia"/>
          <w:rtl/>
        </w:rPr>
        <w:t>חברי</w:t>
      </w:r>
      <w:r w:rsidRPr="008B1175">
        <w:rPr>
          <w:rtl/>
        </w:rPr>
        <w:t xml:space="preserve"> </w:t>
      </w:r>
      <w:r w:rsidRPr="008B1175">
        <w:rPr>
          <w:rFonts w:hint="eastAsia"/>
          <w:rtl/>
        </w:rPr>
        <w:t>השופט</w:t>
      </w:r>
      <w:r w:rsidRPr="008B1175">
        <w:rPr>
          <w:rtl/>
        </w:rPr>
        <w:t xml:space="preserve"> </w:t>
      </w:r>
      <w:r w:rsidRPr="008B1175">
        <w:rPr>
          <w:rFonts w:ascii="Century" w:hAnsi="Century" w:cs="Miriam" w:hint="eastAsia"/>
          <w:b/>
          <w:spacing w:val="0"/>
          <w:sz w:val="22"/>
          <w:szCs w:val="24"/>
          <w:rtl/>
        </w:rPr>
        <w:t>סולברג</w:t>
      </w:r>
      <w:r w:rsidRPr="008B1175">
        <w:rPr>
          <w:rtl/>
        </w:rPr>
        <w:t xml:space="preserve"> </w:t>
      </w:r>
      <w:r w:rsidRPr="008B1175">
        <w:rPr>
          <w:rFonts w:hint="eastAsia"/>
          <w:rtl/>
        </w:rPr>
        <w:t>באשר</w:t>
      </w:r>
      <w:r w:rsidRPr="008B1175">
        <w:rPr>
          <w:rtl/>
        </w:rPr>
        <w:t xml:space="preserve"> </w:t>
      </w:r>
      <w:r w:rsidRPr="008B1175">
        <w:rPr>
          <w:rFonts w:hint="eastAsia"/>
          <w:rtl/>
        </w:rPr>
        <w:t>להצעה</w:t>
      </w:r>
      <w:r w:rsidRPr="008B1175">
        <w:rPr>
          <w:rtl/>
        </w:rPr>
        <w:t xml:space="preserve"> </w:t>
      </w:r>
      <w:r w:rsidRPr="008B1175">
        <w:rPr>
          <w:rFonts w:hint="eastAsia"/>
          <w:rtl/>
        </w:rPr>
        <w:t>ש</w:t>
      </w:r>
      <w:r w:rsidRPr="008B1175">
        <w:rPr>
          <w:rFonts w:hint="cs"/>
          <w:rtl/>
        </w:rPr>
        <w:t xml:space="preserve">אותה </w:t>
      </w:r>
      <w:r w:rsidRPr="008B1175">
        <w:rPr>
          <w:rFonts w:hint="eastAsia"/>
          <w:rtl/>
        </w:rPr>
        <w:t>העלה</w:t>
      </w:r>
      <w:r w:rsidRPr="008B1175">
        <w:rPr>
          <w:rtl/>
        </w:rPr>
        <w:t xml:space="preserve"> </w:t>
      </w:r>
      <w:r w:rsidRPr="008B1175">
        <w:rPr>
          <w:rFonts w:hint="eastAsia"/>
          <w:rtl/>
        </w:rPr>
        <w:t>בפסקה</w:t>
      </w:r>
      <w:r w:rsidRPr="008B1175">
        <w:rPr>
          <w:rtl/>
        </w:rPr>
        <w:t xml:space="preserve"> 250</w:t>
      </w:r>
      <w:r w:rsidRPr="008B1175">
        <w:rPr>
          <w:rFonts w:hint="cs"/>
          <w:rtl/>
        </w:rPr>
        <w:t>,</w:t>
      </w:r>
      <w:r w:rsidRPr="008B1175">
        <w:rPr>
          <w:rtl/>
        </w:rPr>
        <w:t xml:space="preserve"> </w:t>
      </w:r>
      <w:r w:rsidRPr="008B1175">
        <w:rPr>
          <w:rFonts w:hint="eastAsia"/>
          <w:rtl/>
        </w:rPr>
        <w:t>המסיימת</w:t>
      </w:r>
      <w:r w:rsidRPr="008B1175">
        <w:rPr>
          <w:rtl/>
        </w:rPr>
        <w:t xml:space="preserve"> </w:t>
      </w:r>
      <w:r w:rsidRPr="008B1175">
        <w:rPr>
          <w:rFonts w:hint="eastAsia"/>
          <w:rtl/>
        </w:rPr>
        <w:t>את</w:t>
      </w:r>
      <w:r w:rsidRPr="008B1175">
        <w:rPr>
          <w:rtl/>
        </w:rPr>
        <w:t xml:space="preserve"> </w:t>
      </w:r>
      <w:r w:rsidRPr="008B1175">
        <w:rPr>
          <w:rFonts w:hint="eastAsia"/>
          <w:rtl/>
        </w:rPr>
        <w:t>חוות</w:t>
      </w:r>
      <w:r w:rsidRPr="008B1175">
        <w:rPr>
          <w:rtl/>
        </w:rPr>
        <w:t xml:space="preserve"> </w:t>
      </w:r>
      <w:r w:rsidRPr="008B1175">
        <w:rPr>
          <w:rFonts w:hint="eastAsia"/>
          <w:rtl/>
        </w:rPr>
        <w:t>דעת</w:t>
      </w:r>
      <w:r w:rsidRPr="008B1175">
        <w:rPr>
          <w:rFonts w:hint="cs"/>
          <w:rtl/>
        </w:rPr>
        <w:t xml:space="preserve">ו. </w:t>
      </w:r>
      <w:r w:rsidRPr="008B1175">
        <w:rPr>
          <w:rFonts w:hint="eastAsia"/>
          <w:rtl/>
        </w:rPr>
        <w:t>לפי</w:t>
      </w:r>
      <w:r w:rsidRPr="008B1175">
        <w:rPr>
          <w:rFonts w:hint="cs"/>
          <w:rtl/>
        </w:rPr>
        <w:t xml:space="preserve"> הצעה זו,</w:t>
      </w:r>
      <w:r w:rsidRPr="008B1175">
        <w:rPr>
          <w:rtl/>
        </w:rPr>
        <w:t xml:space="preserve"> </w:t>
      </w:r>
      <w:r w:rsidRPr="008B1175">
        <w:rPr>
          <w:rFonts w:hint="eastAsia"/>
          <w:rtl/>
        </w:rPr>
        <w:t>לצד</w:t>
      </w:r>
      <w:r w:rsidRPr="008B1175">
        <w:rPr>
          <w:rtl/>
        </w:rPr>
        <w:t xml:space="preserve"> </w:t>
      </w:r>
      <w:r w:rsidRPr="008B1175">
        <w:rPr>
          <w:rFonts w:hint="eastAsia"/>
          <w:rtl/>
        </w:rPr>
        <w:t>הכרזה</w:t>
      </w:r>
      <w:r w:rsidRPr="008B1175">
        <w:rPr>
          <w:rtl/>
        </w:rPr>
        <w:t xml:space="preserve"> </w:t>
      </w:r>
      <w:r w:rsidRPr="008B1175">
        <w:rPr>
          <w:rFonts w:hint="eastAsia"/>
          <w:rtl/>
        </w:rPr>
        <w:t>על</w:t>
      </w:r>
      <w:r w:rsidRPr="008B1175">
        <w:rPr>
          <w:rtl/>
        </w:rPr>
        <w:t xml:space="preserve"> </w:t>
      </w:r>
      <w:r w:rsidRPr="008B1175">
        <w:rPr>
          <w:rFonts w:hint="eastAsia"/>
          <w:rtl/>
        </w:rPr>
        <w:t>בטלותו</w:t>
      </w:r>
      <w:r w:rsidRPr="008B1175">
        <w:rPr>
          <w:rtl/>
        </w:rPr>
        <w:t xml:space="preserve"> </w:t>
      </w:r>
      <w:r w:rsidRPr="008B1175">
        <w:rPr>
          <w:rFonts w:hint="eastAsia"/>
          <w:rtl/>
        </w:rPr>
        <w:t>של</w:t>
      </w:r>
      <w:r w:rsidRPr="008B1175">
        <w:rPr>
          <w:rtl/>
        </w:rPr>
        <w:t xml:space="preserve"> </w:t>
      </w:r>
      <w:r w:rsidRPr="008B1175">
        <w:rPr>
          <w:rFonts w:hint="eastAsia"/>
          <w:rtl/>
        </w:rPr>
        <w:t>תיקון</w:t>
      </w:r>
      <w:r w:rsidRPr="008B1175">
        <w:rPr>
          <w:rtl/>
        </w:rPr>
        <w:t xml:space="preserve"> </w:t>
      </w:r>
      <w:r w:rsidRPr="008B1175">
        <w:rPr>
          <w:rFonts w:hint="eastAsia"/>
          <w:rtl/>
        </w:rPr>
        <w:t>מס</w:t>
      </w:r>
      <w:r w:rsidRPr="008B1175">
        <w:rPr>
          <w:rtl/>
        </w:rPr>
        <w:t xml:space="preserve">' 3 </w:t>
      </w:r>
      <w:r w:rsidRPr="008B1175">
        <w:rPr>
          <w:rFonts w:hint="eastAsia"/>
          <w:rtl/>
        </w:rPr>
        <w:t>ברוב</w:t>
      </w:r>
      <w:r w:rsidRPr="008B1175">
        <w:rPr>
          <w:rtl/>
        </w:rPr>
        <w:t xml:space="preserve"> </w:t>
      </w:r>
      <w:r w:rsidRPr="008B1175">
        <w:rPr>
          <w:rFonts w:hint="eastAsia"/>
          <w:rtl/>
        </w:rPr>
        <w:t>דעות</w:t>
      </w:r>
      <w:r w:rsidRPr="008B1175">
        <w:rPr>
          <w:rtl/>
        </w:rPr>
        <w:t xml:space="preserve">, </w:t>
      </w:r>
      <w:r w:rsidRPr="008B1175">
        <w:rPr>
          <w:rFonts w:hint="eastAsia"/>
          <w:rtl/>
        </w:rPr>
        <w:t>נוסיף</w:t>
      </w:r>
      <w:r w:rsidRPr="008B1175">
        <w:rPr>
          <w:rtl/>
        </w:rPr>
        <w:t xml:space="preserve"> </w:t>
      </w:r>
      <w:r w:rsidRPr="008B1175">
        <w:rPr>
          <w:rFonts w:hint="eastAsia"/>
          <w:rtl/>
        </w:rPr>
        <w:t>כולנו</w:t>
      </w:r>
      <w:r w:rsidRPr="008B1175">
        <w:rPr>
          <w:rtl/>
        </w:rPr>
        <w:t xml:space="preserve"> </w:t>
      </w:r>
      <w:r w:rsidRPr="008B1175">
        <w:rPr>
          <w:rFonts w:hint="eastAsia"/>
          <w:rtl/>
        </w:rPr>
        <w:t>ונכריז</w:t>
      </w:r>
      <w:r w:rsidRPr="008B1175">
        <w:rPr>
          <w:rtl/>
        </w:rPr>
        <w:t xml:space="preserve"> </w:t>
      </w:r>
      <w:r w:rsidRPr="008B1175">
        <w:rPr>
          <w:rFonts w:hint="eastAsia"/>
          <w:rtl/>
        </w:rPr>
        <w:t>כי</w:t>
      </w:r>
      <w:r w:rsidRPr="008B1175">
        <w:rPr>
          <w:rtl/>
        </w:rPr>
        <w:t xml:space="preserve"> "</w:t>
      </w:r>
      <w:r w:rsidRPr="008B1175">
        <w:rPr>
          <w:rFonts w:hint="eastAsia"/>
          <w:rtl/>
        </w:rPr>
        <w:t>לא</w:t>
      </w:r>
      <w:r w:rsidRPr="008B1175">
        <w:rPr>
          <w:rtl/>
        </w:rPr>
        <w:t xml:space="preserve"> </w:t>
      </w:r>
      <w:r w:rsidRPr="008B1175">
        <w:rPr>
          <w:rFonts w:hint="eastAsia"/>
          <w:rtl/>
        </w:rPr>
        <w:t>נשתמש</w:t>
      </w:r>
      <w:r w:rsidRPr="008B1175">
        <w:rPr>
          <w:rtl/>
        </w:rPr>
        <w:t xml:space="preserve"> </w:t>
      </w:r>
      <w:r w:rsidRPr="008B1175">
        <w:rPr>
          <w:rFonts w:hint="eastAsia"/>
          <w:rtl/>
        </w:rPr>
        <w:t>עוד</w:t>
      </w:r>
      <w:r w:rsidRPr="008B1175">
        <w:rPr>
          <w:rtl/>
        </w:rPr>
        <w:t xml:space="preserve"> </w:t>
      </w:r>
      <w:r w:rsidRPr="008B1175">
        <w:rPr>
          <w:rFonts w:hint="eastAsia"/>
          <w:rtl/>
        </w:rPr>
        <w:t>בעילת</w:t>
      </w:r>
      <w:r w:rsidRPr="008B1175">
        <w:rPr>
          <w:rtl/>
        </w:rPr>
        <w:t xml:space="preserve"> </w:t>
      </w:r>
      <w:r w:rsidRPr="008B1175">
        <w:rPr>
          <w:rFonts w:hint="eastAsia"/>
          <w:rtl/>
        </w:rPr>
        <w:t>הסבירות</w:t>
      </w:r>
      <w:r w:rsidRPr="008B1175">
        <w:rPr>
          <w:rtl/>
        </w:rPr>
        <w:t xml:space="preserve"> </w:t>
      </w:r>
      <w:r w:rsidRPr="008B1175">
        <w:rPr>
          <w:rFonts w:hint="eastAsia"/>
          <w:rtl/>
        </w:rPr>
        <w:t>בעניינן</w:t>
      </w:r>
      <w:r w:rsidRPr="008B1175">
        <w:rPr>
          <w:rtl/>
        </w:rPr>
        <w:t xml:space="preserve"> </w:t>
      </w:r>
      <w:r w:rsidRPr="008B1175">
        <w:rPr>
          <w:rFonts w:hint="eastAsia"/>
          <w:rtl/>
        </w:rPr>
        <w:t>של</w:t>
      </w:r>
      <w:r w:rsidRPr="008B1175">
        <w:rPr>
          <w:rtl/>
        </w:rPr>
        <w:t xml:space="preserve"> </w:t>
      </w:r>
      <w:r w:rsidRPr="008B1175">
        <w:rPr>
          <w:rFonts w:hint="eastAsia"/>
          <w:rtl/>
        </w:rPr>
        <w:t>החלטות</w:t>
      </w:r>
      <w:r w:rsidRPr="008B1175">
        <w:rPr>
          <w:rtl/>
        </w:rPr>
        <w:t xml:space="preserve"> </w:t>
      </w:r>
      <w:r w:rsidRPr="008B1175">
        <w:rPr>
          <w:rFonts w:hint="eastAsia"/>
          <w:rtl/>
        </w:rPr>
        <w:t>הממשלה</w:t>
      </w:r>
      <w:r w:rsidRPr="008B1175">
        <w:rPr>
          <w:rtl/>
        </w:rPr>
        <w:t xml:space="preserve"> </w:t>
      </w:r>
      <w:r w:rsidRPr="008B1175">
        <w:rPr>
          <w:rFonts w:hint="eastAsia"/>
          <w:rtl/>
        </w:rPr>
        <w:t>ושריה</w:t>
      </w:r>
      <w:r w:rsidRPr="008B1175">
        <w:rPr>
          <w:rtl/>
        </w:rPr>
        <w:t xml:space="preserve">", </w:t>
      </w:r>
      <w:r w:rsidRPr="008B1175">
        <w:rPr>
          <w:rFonts w:hint="eastAsia"/>
          <w:rtl/>
        </w:rPr>
        <w:t>אלא</w:t>
      </w:r>
      <w:r w:rsidRPr="008B1175">
        <w:rPr>
          <w:rtl/>
        </w:rPr>
        <w:t xml:space="preserve"> </w:t>
      </w:r>
      <w:r w:rsidRPr="008B1175">
        <w:rPr>
          <w:rFonts w:hint="eastAsia"/>
          <w:rtl/>
        </w:rPr>
        <w:t>בהתאם</w:t>
      </w:r>
      <w:r w:rsidRPr="008B1175">
        <w:rPr>
          <w:rtl/>
        </w:rPr>
        <w:t xml:space="preserve"> </w:t>
      </w:r>
      <w:r w:rsidRPr="008B1175">
        <w:rPr>
          <w:rFonts w:hint="eastAsia"/>
          <w:rtl/>
        </w:rPr>
        <w:t>ל</w:t>
      </w:r>
      <w:r w:rsidRPr="008B1175">
        <w:rPr>
          <w:rtl/>
        </w:rPr>
        <w:t>"</w:t>
      </w:r>
      <w:r w:rsidRPr="008B1175">
        <w:rPr>
          <w:rFonts w:hint="eastAsia"/>
          <w:rtl/>
        </w:rPr>
        <w:t>אותו</w:t>
      </w:r>
      <w:r w:rsidRPr="008B1175">
        <w:rPr>
          <w:rtl/>
        </w:rPr>
        <w:t xml:space="preserve"> </w:t>
      </w:r>
      <w:r w:rsidRPr="008B1175">
        <w:rPr>
          <w:rFonts w:hint="eastAsia"/>
          <w:rtl/>
        </w:rPr>
        <w:t>מבחן</w:t>
      </w:r>
      <w:r w:rsidRPr="008B1175">
        <w:rPr>
          <w:rtl/>
        </w:rPr>
        <w:t xml:space="preserve"> </w:t>
      </w:r>
      <w:r w:rsidRPr="008B1175">
        <w:rPr>
          <w:rFonts w:hint="eastAsia"/>
          <w:rtl/>
        </w:rPr>
        <w:t>ותיק</w:t>
      </w:r>
      <w:r w:rsidRPr="008B1175">
        <w:rPr>
          <w:rtl/>
        </w:rPr>
        <w:t xml:space="preserve"> </w:t>
      </w:r>
      <w:r w:rsidRPr="008B1175">
        <w:rPr>
          <w:rFonts w:hint="eastAsia"/>
          <w:rtl/>
        </w:rPr>
        <w:t>וטוב</w:t>
      </w:r>
      <w:r w:rsidRPr="008B1175">
        <w:rPr>
          <w:rtl/>
        </w:rPr>
        <w:t xml:space="preserve">, </w:t>
      </w:r>
      <w:r w:rsidRPr="008B1175">
        <w:rPr>
          <w:rFonts w:hint="eastAsia"/>
          <w:rtl/>
        </w:rPr>
        <w:t>שהיה</w:t>
      </w:r>
      <w:r w:rsidRPr="008B1175">
        <w:rPr>
          <w:rtl/>
        </w:rPr>
        <w:t xml:space="preserve"> </w:t>
      </w:r>
      <w:r w:rsidRPr="008B1175">
        <w:rPr>
          <w:rFonts w:hint="eastAsia"/>
          <w:rtl/>
        </w:rPr>
        <w:t>באמנה</w:t>
      </w:r>
      <w:r w:rsidRPr="008B1175">
        <w:rPr>
          <w:rtl/>
        </w:rPr>
        <w:t xml:space="preserve"> </w:t>
      </w:r>
      <w:r w:rsidRPr="008B1175">
        <w:rPr>
          <w:rFonts w:hint="eastAsia"/>
          <w:rtl/>
        </w:rPr>
        <w:t>איתנו</w:t>
      </w:r>
      <w:r w:rsidRPr="008B1175">
        <w:rPr>
          <w:rtl/>
        </w:rPr>
        <w:t xml:space="preserve"> </w:t>
      </w:r>
      <w:r w:rsidRPr="008B1175">
        <w:rPr>
          <w:rFonts w:hint="eastAsia"/>
          <w:rtl/>
        </w:rPr>
        <w:t>מראשית</w:t>
      </w:r>
      <w:r w:rsidRPr="008B1175">
        <w:rPr>
          <w:rtl/>
        </w:rPr>
        <w:t xml:space="preserve"> </w:t>
      </w:r>
      <w:r w:rsidRPr="008B1175">
        <w:rPr>
          <w:rFonts w:hint="eastAsia"/>
          <w:rtl/>
        </w:rPr>
        <w:t>הדרך</w:t>
      </w:r>
      <w:r w:rsidRPr="008B1175">
        <w:rPr>
          <w:rtl/>
        </w:rPr>
        <w:t xml:space="preserve"> </w:t>
      </w:r>
      <w:r w:rsidRPr="008B1175">
        <w:rPr>
          <w:rFonts w:hint="eastAsia"/>
          <w:rtl/>
        </w:rPr>
        <w:t>ועד</w:t>
      </w:r>
      <w:r w:rsidRPr="008B1175">
        <w:rPr>
          <w:rtl/>
        </w:rPr>
        <w:t xml:space="preserve"> </w:t>
      </w:r>
      <w:r w:rsidRPr="008B1175">
        <w:rPr>
          <w:rFonts w:hint="eastAsia"/>
          <w:rtl/>
        </w:rPr>
        <w:t>לפסק</w:t>
      </w:r>
      <w:r w:rsidRPr="008B1175">
        <w:rPr>
          <w:rtl/>
        </w:rPr>
        <w:t xml:space="preserve"> </w:t>
      </w:r>
      <w:r w:rsidRPr="008B1175">
        <w:rPr>
          <w:rFonts w:hint="eastAsia"/>
          <w:rtl/>
        </w:rPr>
        <w:t>הדין</w:t>
      </w:r>
      <w:r w:rsidRPr="008B1175">
        <w:rPr>
          <w:rtl/>
        </w:rPr>
        <w:t xml:space="preserve"> </w:t>
      </w:r>
      <w:r w:rsidRPr="008B1175">
        <w:rPr>
          <w:rFonts w:hint="eastAsia"/>
          <w:rtl/>
        </w:rPr>
        <w:t>בעניין</w:t>
      </w:r>
      <w:r w:rsidRPr="008B1175">
        <w:rPr>
          <w:rtl/>
        </w:rPr>
        <w:t xml:space="preserve"> </w:t>
      </w:r>
      <w:r w:rsidRPr="008B1175">
        <w:rPr>
          <w:rFonts w:hint="eastAsia"/>
          <w:rtl/>
        </w:rPr>
        <w:t>דפי</w:t>
      </w:r>
      <w:r w:rsidRPr="008B1175">
        <w:rPr>
          <w:rtl/>
        </w:rPr>
        <w:t>-</w:t>
      </w:r>
      <w:r w:rsidRPr="008B1175">
        <w:rPr>
          <w:rFonts w:hint="eastAsia"/>
          <w:rtl/>
        </w:rPr>
        <w:t>זהב</w:t>
      </w:r>
      <w:r w:rsidRPr="008B1175">
        <w:rPr>
          <w:rtl/>
        </w:rPr>
        <w:t xml:space="preserve"> [...]". </w:t>
      </w:r>
      <w:r w:rsidRPr="008B1175">
        <w:rPr>
          <w:rFonts w:hint="eastAsia"/>
          <w:rtl/>
        </w:rPr>
        <w:t>כשלעצמי</w:t>
      </w:r>
      <w:r w:rsidRPr="008B1175">
        <w:rPr>
          <w:rtl/>
        </w:rPr>
        <w:t xml:space="preserve"> </w:t>
      </w:r>
      <w:r w:rsidRPr="008B1175">
        <w:rPr>
          <w:rFonts w:hint="eastAsia"/>
          <w:rtl/>
        </w:rPr>
        <w:t>אני</w:t>
      </w:r>
      <w:r w:rsidRPr="008B1175">
        <w:rPr>
          <w:rtl/>
        </w:rPr>
        <w:t xml:space="preserve"> </w:t>
      </w:r>
      <w:r w:rsidRPr="008B1175">
        <w:rPr>
          <w:rFonts w:hint="cs"/>
          <w:rtl/>
        </w:rPr>
        <w:t>סבורה</w:t>
      </w:r>
      <w:r w:rsidRPr="008B1175">
        <w:rPr>
          <w:rtl/>
        </w:rPr>
        <w:t xml:space="preserve"> </w:t>
      </w:r>
      <w:r w:rsidRPr="008B1175">
        <w:rPr>
          <w:rFonts w:hint="eastAsia"/>
          <w:rtl/>
        </w:rPr>
        <w:t>כי</w:t>
      </w:r>
      <w:r w:rsidRPr="008B1175">
        <w:rPr>
          <w:rtl/>
        </w:rPr>
        <w:t xml:space="preserve"> </w:t>
      </w:r>
      <w:r w:rsidRPr="008B1175">
        <w:rPr>
          <w:rFonts w:hint="eastAsia"/>
          <w:rtl/>
        </w:rPr>
        <w:t>עתה</w:t>
      </w:r>
      <w:r w:rsidRPr="008B1175">
        <w:rPr>
          <w:rtl/>
        </w:rPr>
        <w:t xml:space="preserve">, </w:t>
      </w:r>
      <w:r w:rsidRPr="008B1175">
        <w:rPr>
          <w:rFonts w:hint="eastAsia"/>
          <w:rtl/>
        </w:rPr>
        <w:t>משבוטל</w:t>
      </w:r>
      <w:r w:rsidRPr="008B1175">
        <w:rPr>
          <w:rtl/>
        </w:rPr>
        <w:t xml:space="preserve"> </w:t>
      </w:r>
      <w:r w:rsidRPr="008B1175">
        <w:rPr>
          <w:rFonts w:hint="eastAsia"/>
          <w:rtl/>
        </w:rPr>
        <w:t>תיקון</w:t>
      </w:r>
      <w:r w:rsidRPr="008B1175">
        <w:rPr>
          <w:rtl/>
        </w:rPr>
        <w:t xml:space="preserve"> </w:t>
      </w:r>
      <w:r w:rsidRPr="008B1175">
        <w:rPr>
          <w:rFonts w:hint="eastAsia"/>
          <w:rtl/>
        </w:rPr>
        <w:t>מס</w:t>
      </w:r>
      <w:r w:rsidRPr="008B1175">
        <w:rPr>
          <w:rtl/>
        </w:rPr>
        <w:t xml:space="preserve">' 3 </w:t>
      </w:r>
      <w:r w:rsidRPr="008B1175">
        <w:rPr>
          <w:rFonts w:hint="eastAsia"/>
          <w:rtl/>
        </w:rPr>
        <w:t>בדעת</w:t>
      </w:r>
      <w:r w:rsidRPr="008B1175">
        <w:rPr>
          <w:rtl/>
        </w:rPr>
        <w:t xml:space="preserve"> </w:t>
      </w:r>
      <w:r w:rsidRPr="008B1175">
        <w:rPr>
          <w:rFonts w:hint="eastAsia"/>
          <w:rtl/>
        </w:rPr>
        <w:t>רוב</w:t>
      </w:r>
      <w:r w:rsidRPr="008B1175">
        <w:rPr>
          <w:rtl/>
        </w:rPr>
        <w:t>,</w:t>
      </w:r>
      <w:r w:rsidRPr="008B1175">
        <w:rPr>
          <w:rFonts w:hint="cs"/>
          <w:rtl/>
        </w:rPr>
        <w:t xml:space="preserve"> על בית המשפט להוסיף ולצעוד בנתיב המוכר לנו, ולהמשיך</w:t>
      </w:r>
      <w:r w:rsidRPr="008B1175">
        <w:rPr>
          <w:rtl/>
        </w:rPr>
        <w:t xml:space="preserve"> </w:t>
      </w:r>
      <w:r w:rsidRPr="008B1175">
        <w:rPr>
          <w:rFonts w:hint="cs"/>
          <w:rtl/>
        </w:rPr>
        <w:t>לעצב את</w:t>
      </w:r>
      <w:r w:rsidRPr="008B1175">
        <w:rPr>
          <w:rtl/>
        </w:rPr>
        <w:t xml:space="preserve"> </w:t>
      </w:r>
      <w:r w:rsidRPr="008B1175">
        <w:rPr>
          <w:rFonts w:hint="eastAsia"/>
          <w:rtl/>
        </w:rPr>
        <w:t>עילת</w:t>
      </w:r>
      <w:r w:rsidRPr="008B1175">
        <w:rPr>
          <w:rtl/>
        </w:rPr>
        <w:t xml:space="preserve"> </w:t>
      </w:r>
      <w:r w:rsidRPr="008B1175">
        <w:rPr>
          <w:rFonts w:hint="eastAsia"/>
          <w:rtl/>
        </w:rPr>
        <w:t>הסבירות</w:t>
      </w:r>
      <w:r w:rsidRPr="008B1175">
        <w:rPr>
          <w:rtl/>
        </w:rPr>
        <w:t xml:space="preserve"> </w:t>
      </w:r>
      <w:r w:rsidRPr="008B1175">
        <w:rPr>
          <w:rFonts w:hint="eastAsia"/>
          <w:rtl/>
        </w:rPr>
        <w:t>הפסיקתית</w:t>
      </w:r>
      <w:r w:rsidRPr="008B1175">
        <w:rPr>
          <w:rtl/>
        </w:rPr>
        <w:t xml:space="preserve"> </w:t>
      </w:r>
      <w:r w:rsidRPr="008B1175">
        <w:rPr>
          <w:rFonts w:hint="eastAsia"/>
          <w:rtl/>
        </w:rPr>
        <w:t>ממקרה</w:t>
      </w:r>
      <w:r w:rsidRPr="008B1175">
        <w:rPr>
          <w:rFonts w:hint="cs"/>
          <w:rtl/>
        </w:rPr>
        <w:t xml:space="preserve"> למקרה ומעניין לעניין</w:t>
      </w:r>
      <w:r w:rsidRPr="008B1175">
        <w:rPr>
          <w:rtl/>
        </w:rPr>
        <w:t xml:space="preserve"> </w:t>
      </w:r>
      <w:r w:rsidRPr="008B1175">
        <w:rPr>
          <w:rFonts w:hint="cs"/>
          <w:rtl/>
        </w:rPr>
        <w:t>"כדרכו</w:t>
      </w:r>
      <w:r w:rsidRPr="008B1175">
        <w:rPr>
          <w:rtl/>
        </w:rPr>
        <w:t xml:space="preserve"> </w:t>
      </w:r>
      <w:r w:rsidRPr="008B1175">
        <w:rPr>
          <w:rFonts w:hint="eastAsia"/>
          <w:rtl/>
        </w:rPr>
        <w:t>הטובה</w:t>
      </w:r>
      <w:r w:rsidRPr="008B1175">
        <w:rPr>
          <w:rtl/>
        </w:rPr>
        <w:t xml:space="preserve"> </w:t>
      </w:r>
      <w:r w:rsidRPr="008B1175">
        <w:rPr>
          <w:rFonts w:hint="eastAsia"/>
          <w:rtl/>
        </w:rPr>
        <w:t>של</w:t>
      </w:r>
      <w:r w:rsidRPr="008B1175">
        <w:rPr>
          <w:rtl/>
        </w:rPr>
        <w:t xml:space="preserve"> </w:t>
      </w:r>
      <w:r w:rsidRPr="008B1175">
        <w:rPr>
          <w:rFonts w:hint="eastAsia"/>
          <w:rtl/>
        </w:rPr>
        <w:t>המשפט</w:t>
      </w:r>
      <w:r w:rsidRPr="008B1175">
        <w:rPr>
          <w:rtl/>
        </w:rPr>
        <w:t xml:space="preserve"> </w:t>
      </w:r>
      <w:r w:rsidRPr="008B1175">
        <w:rPr>
          <w:rFonts w:hint="eastAsia"/>
          <w:rtl/>
        </w:rPr>
        <w:t>המקובל</w:t>
      </w:r>
      <w:r w:rsidRPr="008B1175">
        <w:rPr>
          <w:rtl/>
        </w:rPr>
        <w:t>" (</w:t>
      </w:r>
      <w:r w:rsidRPr="008B1175">
        <w:rPr>
          <w:rFonts w:hint="eastAsia"/>
          <w:rtl/>
        </w:rPr>
        <w:t>פסקה</w:t>
      </w:r>
      <w:r w:rsidRPr="008B1175">
        <w:rPr>
          <w:rtl/>
        </w:rPr>
        <w:t xml:space="preserve"> </w:t>
      </w:r>
      <w:r w:rsidR="00955392">
        <w:rPr>
          <w:rFonts w:hint="cs"/>
          <w:rtl/>
        </w:rPr>
        <w:t>180</w:t>
      </w:r>
      <w:r w:rsidRPr="008B1175">
        <w:rPr>
          <w:rtl/>
        </w:rPr>
        <w:t xml:space="preserve"> </w:t>
      </w:r>
      <w:r w:rsidRPr="008B1175">
        <w:rPr>
          <w:rFonts w:hint="eastAsia"/>
          <w:rtl/>
        </w:rPr>
        <w:t>לחוות</w:t>
      </w:r>
      <w:r w:rsidRPr="008B1175">
        <w:rPr>
          <w:rtl/>
        </w:rPr>
        <w:t xml:space="preserve"> </w:t>
      </w:r>
      <w:r w:rsidRPr="008B1175">
        <w:rPr>
          <w:rFonts w:hint="eastAsia"/>
          <w:rtl/>
        </w:rPr>
        <w:t>דעתו</w:t>
      </w:r>
      <w:r w:rsidRPr="008B1175">
        <w:rPr>
          <w:rFonts w:hint="cs"/>
          <w:rtl/>
        </w:rPr>
        <w:t xml:space="preserve"> של השופט </w:t>
      </w:r>
      <w:r w:rsidRPr="008B1175">
        <w:rPr>
          <w:rFonts w:ascii="Century" w:hAnsi="Century" w:cs="Miriam" w:hint="cs"/>
          <w:b/>
          <w:spacing w:val="0"/>
          <w:sz w:val="22"/>
          <w:szCs w:val="24"/>
          <w:rtl/>
        </w:rPr>
        <w:t>סולברג</w:t>
      </w:r>
      <w:r w:rsidRPr="008B1175">
        <w:rPr>
          <w:rtl/>
        </w:rPr>
        <w:t xml:space="preserve">; </w:t>
      </w:r>
      <w:r w:rsidRPr="008B1175">
        <w:rPr>
          <w:rFonts w:hint="eastAsia"/>
          <w:rtl/>
        </w:rPr>
        <w:t>כן</w:t>
      </w:r>
      <w:r w:rsidRPr="008B1175">
        <w:rPr>
          <w:rtl/>
        </w:rPr>
        <w:t xml:space="preserve"> </w:t>
      </w:r>
      <w:r w:rsidRPr="008B1175">
        <w:rPr>
          <w:rFonts w:hint="eastAsia"/>
          <w:rtl/>
        </w:rPr>
        <w:t>ראו</w:t>
      </w:r>
      <w:r w:rsidRPr="008B1175">
        <w:rPr>
          <w:rtl/>
        </w:rPr>
        <w:t xml:space="preserve"> </w:t>
      </w:r>
      <w:r w:rsidRPr="008B1175">
        <w:rPr>
          <w:rFonts w:hint="cs"/>
          <w:rtl/>
        </w:rPr>
        <w:t>באותו עניין</w:t>
      </w:r>
      <w:r w:rsidRPr="008B1175">
        <w:rPr>
          <w:rtl/>
        </w:rPr>
        <w:t xml:space="preserve">: </w:t>
      </w:r>
      <w:r w:rsidRPr="008B1175">
        <w:rPr>
          <w:rFonts w:hint="eastAsia"/>
          <w:rtl/>
        </w:rPr>
        <w:t>תשובתו</w:t>
      </w:r>
      <w:r w:rsidRPr="008B1175">
        <w:rPr>
          <w:rtl/>
        </w:rPr>
        <w:t xml:space="preserve"> </w:t>
      </w:r>
      <w:r w:rsidRPr="008B1175">
        <w:rPr>
          <w:rFonts w:hint="eastAsia"/>
          <w:rtl/>
        </w:rPr>
        <w:t>לשאילתא</w:t>
      </w:r>
      <w:r w:rsidRPr="008B1175">
        <w:rPr>
          <w:rtl/>
        </w:rPr>
        <w:t xml:space="preserve"> </w:t>
      </w:r>
      <w:r w:rsidRPr="008B1175">
        <w:rPr>
          <w:rFonts w:hint="eastAsia"/>
          <w:rtl/>
        </w:rPr>
        <w:t>המצוטטת</w:t>
      </w:r>
      <w:r w:rsidRPr="008B1175">
        <w:rPr>
          <w:rtl/>
        </w:rPr>
        <w:t xml:space="preserve"> </w:t>
      </w:r>
      <w:r w:rsidRPr="008B1175">
        <w:rPr>
          <w:rFonts w:hint="eastAsia"/>
          <w:rtl/>
        </w:rPr>
        <w:t>בפסקה</w:t>
      </w:r>
      <w:r w:rsidRPr="008B1175">
        <w:rPr>
          <w:rtl/>
        </w:rPr>
        <w:t xml:space="preserve"> </w:t>
      </w:r>
      <w:r w:rsidR="00155DFC">
        <w:rPr>
          <w:rFonts w:hint="cs"/>
          <w:rtl/>
        </w:rPr>
        <w:t>178</w:t>
      </w:r>
      <w:r w:rsidRPr="008B1175">
        <w:rPr>
          <w:rtl/>
        </w:rPr>
        <w:t xml:space="preserve"> </w:t>
      </w:r>
      <w:r w:rsidRPr="008B1175">
        <w:rPr>
          <w:rFonts w:hint="eastAsia"/>
          <w:rtl/>
        </w:rPr>
        <w:t>לחוות</w:t>
      </w:r>
      <w:r w:rsidRPr="008B1175">
        <w:rPr>
          <w:rtl/>
        </w:rPr>
        <w:t xml:space="preserve"> </w:t>
      </w:r>
      <w:r w:rsidRPr="008B1175">
        <w:rPr>
          <w:rFonts w:hint="eastAsia"/>
          <w:rtl/>
        </w:rPr>
        <w:t>דעתו</w:t>
      </w:r>
      <w:r w:rsidRPr="008B1175">
        <w:rPr>
          <w:rtl/>
        </w:rPr>
        <w:t xml:space="preserve">). </w:t>
      </w:r>
    </w:p>
    <w:p w:rsidR="00C044AE" w:rsidRPr="008B1175" w:rsidRDefault="00C044AE" w:rsidP="00C044AE">
      <w:pPr>
        <w:pStyle w:val="Ruller41"/>
        <w:rPr>
          <w:rtl/>
        </w:rPr>
      </w:pPr>
    </w:p>
    <w:p w:rsidR="00C044AE" w:rsidRPr="008B1175" w:rsidRDefault="00C044AE" w:rsidP="00C044AE">
      <w:pPr>
        <w:pStyle w:val="Ruller41"/>
        <w:outlineLvl w:val="0"/>
        <w:rPr>
          <w:rFonts w:ascii="Garamond" w:hAnsi="Garamond" w:cs="Miriam"/>
          <w:b/>
          <w:spacing w:val="0"/>
          <w:szCs w:val="24"/>
          <w:rtl/>
        </w:rPr>
      </w:pPr>
      <w:r w:rsidRPr="008B1175">
        <w:rPr>
          <w:rFonts w:ascii="Garamond" w:hAnsi="Garamond" w:cs="Miriam" w:hint="eastAsia"/>
          <w:b/>
          <w:spacing w:val="0"/>
          <w:szCs w:val="24"/>
          <w:rtl/>
        </w:rPr>
        <w:t>לפני</w:t>
      </w:r>
      <w:r w:rsidRPr="008B1175">
        <w:rPr>
          <w:rFonts w:ascii="Garamond" w:hAnsi="Garamond" w:cs="Miriam"/>
          <w:b/>
          <w:spacing w:val="0"/>
          <w:szCs w:val="24"/>
          <w:rtl/>
        </w:rPr>
        <w:t xml:space="preserve"> </w:t>
      </w:r>
      <w:r w:rsidRPr="008B1175">
        <w:rPr>
          <w:rFonts w:ascii="Garamond" w:hAnsi="Garamond" w:cs="Miriam" w:hint="eastAsia"/>
          <w:b/>
          <w:spacing w:val="0"/>
          <w:szCs w:val="24"/>
          <w:rtl/>
        </w:rPr>
        <w:t>סיום</w:t>
      </w:r>
    </w:p>
    <w:p w:rsidR="00C044AE" w:rsidRPr="008B1175" w:rsidRDefault="00C044AE" w:rsidP="00BC480B">
      <w:pPr>
        <w:pStyle w:val="Ruller41"/>
        <w:spacing w:line="276" w:lineRule="auto"/>
        <w:rPr>
          <w:rFonts w:ascii="Garamond" w:hAnsi="Garamond"/>
          <w:rtl/>
        </w:rPr>
      </w:pPr>
    </w:p>
    <w:p w:rsidR="00C044AE" w:rsidRPr="008B1175" w:rsidRDefault="00C044AE" w:rsidP="00C044AE">
      <w:pPr>
        <w:pStyle w:val="Ruller4"/>
        <w:rPr>
          <w:rtl/>
        </w:rPr>
      </w:pPr>
      <w:r w:rsidRPr="008B1175">
        <w:rPr>
          <w:rFonts w:hint="eastAsia"/>
          <w:rtl/>
        </w:rPr>
        <w:t>כחודש</w:t>
      </w:r>
      <w:r w:rsidRPr="008B1175">
        <w:rPr>
          <w:rtl/>
        </w:rPr>
        <w:t xml:space="preserve"> </w:t>
      </w:r>
      <w:r w:rsidRPr="008B1175">
        <w:rPr>
          <w:rFonts w:hint="eastAsia"/>
          <w:rtl/>
        </w:rPr>
        <w:t>לאחר</w:t>
      </w:r>
      <w:r w:rsidRPr="008B1175">
        <w:rPr>
          <w:rtl/>
        </w:rPr>
        <w:t xml:space="preserve"> </w:t>
      </w:r>
      <w:r w:rsidRPr="008B1175">
        <w:rPr>
          <w:rFonts w:hint="eastAsia"/>
          <w:rtl/>
        </w:rPr>
        <w:t>שהתקיים</w:t>
      </w:r>
      <w:r w:rsidRPr="008B1175">
        <w:rPr>
          <w:rtl/>
        </w:rPr>
        <w:t xml:space="preserve"> </w:t>
      </w:r>
      <w:r w:rsidRPr="008B1175">
        <w:rPr>
          <w:rFonts w:hint="eastAsia"/>
          <w:rtl/>
        </w:rPr>
        <w:t>הדיון</w:t>
      </w:r>
      <w:r w:rsidRPr="008B1175">
        <w:rPr>
          <w:rtl/>
        </w:rPr>
        <w:t xml:space="preserve"> </w:t>
      </w:r>
      <w:r w:rsidRPr="008B1175">
        <w:rPr>
          <w:rFonts w:hint="eastAsia"/>
          <w:rtl/>
        </w:rPr>
        <w:t>בעתירות</w:t>
      </w:r>
      <w:r w:rsidRPr="008B1175">
        <w:rPr>
          <w:rtl/>
        </w:rPr>
        <w:t xml:space="preserve"> </w:t>
      </w:r>
      <w:r w:rsidRPr="008B1175">
        <w:rPr>
          <w:rFonts w:hint="eastAsia"/>
          <w:rtl/>
        </w:rPr>
        <w:t>דנן</w:t>
      </w:r>
      <w:r w:rsidRPr="008B1175">
        <w:rPr>
          <w:rtl/>
        </w:rPr>
        <w:t xml:space="preserve">, </w:t>
      </w:r>
      <w:r w:rsidRPr="008B1175">
        <w:rPr>
          <w:rFonts w:hint="eastAsia"/>
          <w:rtl/>
        </w:rPr>
        <w:t>התרגשה</w:t>
      </w:r>
      <w:r w:rsidRPr="008B1175">
        <w:rPr>
          <w:rtl/>
        </w:rPr>
        <w:t xml:space="preserve"> </w:t>
      </w:r>
      <w:r w:rsidRPr="008B1175">
        <w:rPr>
          <w:rFonts w:hint="eastAsia"/>
          <w:rtl/>
        </w:rPr>
        <w:t>עלינו</w:t>
      </w:r>
      <w:r w:rsidRPr="008B1175">
        <w:rPr>
          <w:rtl/>
        </w:rPr>
        <w:t xml:space="preserve"> </w:t>
      </w:r>
      <w:r w:rsidRPr="008B1175">
        <w:rPr>
          <w:rFonts w:hint="eastAsia"/>
          <w:rtl/>
        </w:rPr>
        <w:t>מתקפת</w:t>
      </w:r>
      <w:r w:rsidRPr="008B1175">
        <w:rPr>
          <w:rtl/>
        </w:rPr>
        <w:t xml:space="preserve"> </w:t>
      </w:r>
      <w:r w:rsidRPr="008B1175">
        <w:rPr>
          <w:rFonts w:hint="eastAsia"/>
          <w:rtl/>
        </w:rPr>
        <w:t>טרור</w:t>
      </w:r>
      <w:r w:rsidRPr="008B1175">
        <w:rPr>
          <w:rtl/>
        </w:rPr>
        <w:t xml:space="preserve"> </w:t>
      </w:r>
      <w:r w:rsidRPr="008B1175">
        <w:rPr>
          <w:rFonts w:hint="eastAsia"/>
          <w:rtl/>
        </w:rPr>
        <w:t>אכזרית</w:t>
      </w:r>
      <w:r w:rsidRPr="008B1175">
        <w:rPr>
          <w:rtl/>
        </w:rPr>
        <w:t xml:space="preserve"> </w:t>
      </w:r>
      <w:r w:rsidRPr="008B1175">
        <w:rPr>
          <w:rFonts w:hint="eastAsia"/>
          <w:rtl/>
        </w:rPr>
        <w:t>ומאז</w:t>
      </w:r>
      <w:r w:rsidRPr="008B1175">
        <w:rPr>
          <w:rtl/>
        </w:rPr>
        <w:t xml:space="preserve"> </w:t>
      </w:r>
      <w:r w:rsidRPr="008B1175">
        <w:rPr>
          <w:rFonts w:hint="eastAsia"/>
          <w:rtl/>
        </w:rPr>
        <w:t>נתונה</w:t>
      </w:r>
      <w:r w:rsidRPr="008B1175">
        <w:rPr>
          <w:rtl/>
        </w:rPr>
        <w:t xml:space="preserve"> </w:t>
      </w:r>
      <w:r w:rsidRPr="008B1175">
        <w:rPr>
          <w:rFonts w:hint="eastAsia"/>
          <w:rtl/>
        </w:rPr>
        <w:t>מדינת</w:t>
      </w:r>
      <w:r w:rsidRPr="008B1175">
        <w:rPr>
          <w:rtl/>
        </w:rPr>
        <w:t xml:space="preserve"> </w:t>
      </w:r>
      <w:r w:rsidRPr="008B1175">
        <w:rPr>
          <w:rFonts w:hint="eastAsia"/>
          <w:rtl/>
        </w:rPr>
        <w:t>ישראל</w:t>
      </w:r>
      <w:r w:rsidRPr="008B1175">
        <w:rPr>
          <w:rtl/>
        </w:rPr>
        <w:t xml:space="preserve"> </w:t>
      </w:r>
      <w:r w:rsidRPr="008B1175">
        <w:rPr>
          <w:rFonts w:hint="eastAsia"/>
          <w:rtl/>
        </w:rPr>
        <w:t>במלחמה</w:t>
      </w:r>
      <w:r w:rsidRPr="008B1175">
        <w:rPr>
          <w:rtl/>
        </w:rPr>
        <w:t xml:space="preserve"> </w:t>
      </w:r>
      <w:r w:rsidRPr="008B1175">
        <w:rPr>
          <w:rFonts w:hint="eastAsia"/>
          <w:rtl/>
        </w:rPr>
        <w:t>קשה</w:t>
      </w:r>
      <w:r w:rsidRPr="008B1175">
        <w:rPr>
          <w:rtl/>
        </w:rPr>
        <w:t xml:space="preserve"> </w:t>
      </w:r>
      <w:r w:rsidRPr="008B1175">
        <w:rPr>
          <w:rFonts w:hint="eastAsia"/>
          <w:rtl/>
        </w:rPr>
        <w:t>ונחושה</w:t>
      </w:r>
      <w:r w:rsidRPr="008B1175">
        <w:rPr>
          <w:rtl/>
        </w:rPr>
        <w:t xml:space="preserve"> </w:t>
      </w:r>
      <w:r w:rsidRPr="008B1175">
        <w:rPr>
          <w:rFonts w:hint="eastAsia"/>
          <w:rtl/>
        </w:rPr>
        <w:t>נגד</w:t>
      </w:r>
      <w:r w:rsidRPr="008B1175">
        <w:rPr>
          <w:rtl/>
        </w:rPr>
        <w:t xml:space="preserve"> </w:t>
      </w:r>
      <w:r w:rsidRPr="008B1175">
        <w:rPr>
          <w:rFonts w:hint="eastAsia"/>
          <w:rtl/>
        </w:rPr>
        <w:t>ארגוני</w:t>
      </w:r>
      <w:r w:rsidRPr="008B1175">
        <w:rPr>
          <w:rtl/>
        </w:rPr>
        <w:t xml:space="preserve"> </w:t>
      </w:r>
      <w:r w:rsidRPr="008B1175">
        <w:rPr>
          <w:rFonts w:hint="eastAsia"/>
          <w:rtl/>
        </w:rPr>
        <w:t>הטרור</w:t>
      </w:r>
      <w:r w:rsidRPr="008B1175">
        <w:rPr>
          <w:rtl/>
        </w:rPr>
        <w:t xml:space="preserve"> </w:t>
      </w:r>
      <w:r w:rsidRPr="008B1175">
        <w:rPr>
          <w:rFonts w:hint="eastAsia"/>
          <w:rtl/>
        </w:rPr>
        <w:t>המבקשים</w:t>
      </w:r>
      <w:r w:rsidRPr="008B1175">
        <w:rPr>
          <w:rtl/>
        </w:rPr>
        <w:t xml:space="preserve"> </w:t>
      </w:r>
      <w:r w:rsidRPr="008B1175">
        <w:rPr>
          <w:rFonts w:hint="eastAsia"/>
          <w:rtl/>
        </w:rPr>
        <w:t>לכלותינו</w:t>
      </w:r>
      <w:r w:rsidRPr="008B1175">
        <w:rPr>
          <w:rtl/>
        </w:rPr>
        <w:t xml:space="preserve">. </w:t>
      </w:r>
      <w:r w:rsidRPr="008B1175">
        <w:rPr>
          <w:rFonts w:hint="eastAsia"/>
          <w:rtl/>
        </w:rPr>
        <w:t>אנו</w:t>
      </w:r>
      <w:r w:rsidRPr="008B1175">
        <w:rPr>
          <w:rtl/>
        </w:rPr>
        <w:t xml:space="preserve"> </w:t>
      </w:r>
      <w:r w:rsidRPr="008B1175">
        <w:rPr>
          <w:rFonts w:hint="eastAsia"/>
          <w:rtl/>
        </w:rPr>
        <w:t>נושאים</w:t>
      </w:r>
      <w:r w:rsidRPr="008B1175">
        <w:rPr>
          <w:rtl/>
        </w:rPr>
        <w:t xml:space="preserve"> </w:t>
      </w:r>
      <w:r w:rsidRPr="008B1175">
        <w:rPr>
          <w:rFonts w:hint="eastAsia"/>
          <w:rtl/>
        </w:rPr>
        <w:t>תפילה</w:t>
      </w:r>
      <w:r w:rsidRPr="008B1175">
        <w:rPr>
          <w:rtl/>
        </w:rPr>
        <w:t xml:space="preserve"> </w:t>
      </w:r>
      <w:r w:rsidRPr="008B1175">
        <w:rPr>
          <w:rFonts w:hint="eastAsia"/>
          <w:rtl/>
        </w:rPr>
        <w:t>לשלום</w:t>
      </w:r>
      <w:r w:rsidRPr="008B1175">
        <w:rPr>
          <w:rtl/>
        </w:rPr>
        <w:t xml:space="preserve"> </w:t>
      </w:r>
      <w:r w:rsidRPr="008B1175">
        <w:rPr>
          <w:rFonts w:hint="eastAsia"/>
          <w:rtl/>
        </w:rPr>
        <w:t>החיילות</w:t>
      </w:r>
      <w:r w:rsidRPr="008B1175">
        <w:rPr>
          <w:rtl/>
        </w:rPr>
        <w:t xml:space="preserve">, </w:t>
      </w:r>
      <w:r w:rsidRPr="008B1175">
        <w:rPr>
          <w:rFonts w:hint="eastAsia"/>
          <w:rtl/>
        </w:rPr>
        <w:t>החיילים</w:t>
      </w:r>
      <w:r w:rsidRPr="008B1175">
        <w:rPr>
          <w:rtl/>
        </w:rPr>
        <w:t xml:space="preserve"> </w:t>
      </w:r>
      <w:r w:rsidRPr="008B1175">
        <w:rPr>
          <w:rFonts w:hint="eastAsia"/>
          <w:rtl/>
        </w:rPr>
        <w:t>ואנשי</w:t>
      </w:r>
      <w:r w:rsidRPr="008B1175">
        <w:rPr>
          <w:rtl/>
        </w:rPr>
        <w:t xml:space="preserve"> </w:t>
      </w:r>
      <w:r w:rsidRPr="008B1175">
        <w:rPr>
          <w:rFonts w:hint="eastAsia"/>
          <w:rtl/>
        </w:rPr>
        <w:t>כוחות</w:t>
      </w:r>
      <w:r w:rsidRPr="008B1175">
        <w:rPr>
          <w:rtl/>
        </w:rPr>
        <w:t xml:space="preserve"> </w:t>
      </w:r>
      <w:r w:rsidRPr="008B1175">
        <w:rPr>
          <w:rFonts w:hint="eastAsia"/>
          <w:rtl/>
        </w:rPr>
        <w:t>הביטחון</w:t>
      </w:r>
      <w:r w:rsidRPr="008B1175">
        <w:rPr>
          <w:rtl/>
        </w:rPr>
        <w:t xml:space="preserve"> </w:t>
      </w:r>
      <w:r w:rsidRPr="008B1175">
        <w:rPr>
          <w:rFonts w:hint="eastAsia"/>
          <w:rtl/>
        </w:rPr>
        <w:t>המחרפים</w:t>
      </w:r>
      <w:r w:rsidRPr="008B1175">
        <w:rPr>
          <w:rtl/>
        </w:rPr>
        <w:t xml:space="preserve"> </w:t>
      </w:r>
      <w:r w:rsidRPr="008B1175">
        <w:rPr>
          <w:rFonts w:hint="eastAsia"/>
          <w:rtl/>
        </w:rPr>
        <w:t>נפשם</w:t>
      </w:r>
      <w:r w:rsidRPr="008B1175">
        <w:rPr>
          <w:rtl/>
        </w:rPr>
        <w:t xml:space="preserve"> </w:t>
      </w:r>
      <w:r w:rsidRPr="008B1175">
        <w:rPr>
          <w:rFonts w:hint="eastAsia"/>
          <w:rtl/>
        </w:rPr>
        <w:t>למען</w:t>
      </w:r>
      <w:r w:rsidRPr="008B1175">
        <w:rPr>
          <w:rtl/>
        </w:rPr>
        <w:t xml:space="preserve"> </w:t>
      </w:r>
      <w:r w:rsidRPr="008B1175">
        <w:rPr>
          <w:rFonts w:hint="eastAsia"/>
          <w:rtl/>
        </w:rPr>
        <w:t>ביטחון</w:t>
      </w:r>
      <w:r w:rsidRPr="008B1175">
        <w:rPr>
          <w:rtl/>
        </w:rPr>
        <w:t xml:space="preserve"> </w:t>
      </w:r>
      <w:r w:rsidRPr="008B1175">
        <w:rPr>
          <w:rFonts w:hint="eastAsia"/>
          <w:rtl/>
        </w:rPr>
        <w:t>המדינה</w:t>
      </w:r>
      <w:r w:rsidRPr="008B1175">
        <w:rPr>
          <w:rtl/>
        </w:rPr>
        <w:t xml:space="preserve"> </w:t>
      </w:r>
      <w:r w:rsidRPr="008B1175">
        <w:rPr>
          <w:rFonts w:hint="eastAsia"/>
          <w:rtl/>
        </w:rPr>
        <w:t>וכן</w:t>
      </w:r>
      <w:r w:rsidRPr="008B1175">
        <w:rPr>
          <w:rtl/>
        </w:rPr>
        <w:t xml:space="preserve"> </w:t>
      </w:r>
      <w:r w:rsidRPr="008B1175">
        <w:rPr>
          <w:rFonts w:hint="eastAsia"/>
          <w:rtl/>
        </w:rPr>
        <w:t>לשובם</w:t>
      </w:r>
      <w:r w:rsidRPr="008B1175">
        <w:rPr>
          <w:rtl/>
        </w:rPr>
        <w:t xml:space="preserve"> </w:t>
      </w:r>
      <w:r w:rsidRPr="008B1175">
        <w:rPr>
          <w:rFonts w:hint="eastAsia"/>
          <w:rtl/>
        </w:rPr>
        <w:t>של</w:t>
      </w:r>
      <w:r w:rsidRPr="008B1175">
        <w:rPr>
          <w:rtl/>
        </w:rPr>
        <w:t xml:space="preserve"> </w:t>
      </w:r>
      <w:r w:rsidRPr="008B1175">
        <w:rPr>
          <w:rFonts w:hint="eastAsia"/>
          <w:rtl/>
        </w:rPr>
        <w:t>החטופות</w:t>
      </w:r>
      <w:r w:rsidRPr="008B1175">
        <w:rPr>
          <w:rtl/>
        </w:rPr>
        <w:t xml:space="preserve"> </w:t>
      </w:r>
      <w:r w:rsidRPr="008B1175">
        <w:rPr>
          <w:rFonts w:hint="eastAsia"/>
          <w:rtl/>
        </w:rPr>
        <w:t>והחטופים</w:t>
      </w:r>
      <w:r w:rsidRPr="008B1175">
        <w:rPr>
          <w:rtl/>
        </w:rPr>
        <w:t xml:space="preserve"> </w:t>
      </w:r>
      <w:r w:rsidRPr="008B1175">
        <w:rPr>
          <w:rFonts w:hint="eastAsia"/>
          <w:rtl/>
        </w:rPr>
        <w:t>לביתם</w:t>
      </w:r>
      <w:r w:rsidRPr="008B1175">
        <w:rPr>
          <w:rtl/>
        </w:rPr>
        <w:t xml:space="preserve"> </w:t>
      </w:r>
      <w:r w:rsidRPr="008B1175">
        <w:rPr>
          <w:rFonts w:hint="eastAsia"/>
          <w:rtl/>
        </w:rPr>
        <w:t>במהרה</w:t>
      </w:r>
      <w:r w:rsidRPr="008B1175">
        <w:rPr>
          <w:rtl/>
        </w:rPr>
        <w:t xml:space="preserve">. </w:t>
      </w:r>
    </w:p>
    <w:p w:rsidR="00C044AE" w:rsidRPr="008B1175" w:rsidRDefault="00C044AE" w:rsidP="00C044AE">
      <w:pPr>
        <w:pStyle w:val="Ruller41"/>
        <w:rPr>
          <w:rtl/>
        </w:rPr>
      </w:pPr>
    </w:p>
    <w:p w:rsidR="00C044AE" w:rsidRPr="000D1194" w:rsidRDefault="00C044AE" w:rsidP="00C044AE">
      <w:pPr>
        <w:pStyle w:val="Ruller4"/>
        <w:numPr>
          <w:ilvl w:val="0"/>
          <w:numId w:val="0"/>
        </w:numPr>
        <w:rPr>
          <w:rtl/>
        </w:rPr>
      </w:pPr>
      <w:r w:rsidRPr="008B1175">
        <w:rPr>
          <w:rtl/>
        </w:rPr>
        <w:lastRenderedPageBreak/>
        <w:tab/>
      </w:r>
      <w:r w:rsidRPr="008B1175">
        <w:rPr>
          <w:rFonts w:hint="eastAsia"/>
          <w:rtl/>
        </w:rPr>
        <w:t>אך</w:t>
      </w:r>
      <w:r w:rsidRPr="008B1175">
        <w:rPr>
          <w:rtl/>
        </w:rPr>
        <w:t xml:space="preserve"> </w:t>
      </w:r>
      <w:r w:rsidRPr="008B1175">
        <w:rPr>
          <w:rFonts w:hint="eastAsia"/>
          <w:rtl/>
        </w:rPr>
        <w:t>גם</w:t>
      </w:r>
      <w:r w:rsidRPr="008B1175">
        <w:rPr>
          <w:rtl/>
        </w:rPr>
        <w:t xml:space="preserve"> </w:t>
      </w:r>
      <w:r w:rsidRPr="008B1175">
        <w:rPr>
          <w:rFonts w:hint="eastAsia"/>
          <w:rtl/>
        </w:rPr>
        <w:t>בשעה</w:t>
      </w:r>
      <w:r w:rsidRPr="008B1175">
        <w:rPr>
          <w:rtl/>
        </w:rPr>
        <w:t xml:space="preserve"> </w:t>
      </w:r>
      <w:r w:rsidRPr="008B1175">
        <w:rPr>
          <w:rFonts w:hint="eastAsia"/>
          <w:rtl/>
        </w:rPr>
        <w:t>הקשה</w:t>
      </w:r>
      <w:r w:rsidRPr="008B1175">
        <w:rPr>
          <w:rtl/>
        </w:rPr>
        <w:t xml:space="preserve"> </w:t>
      </w:r>
      <w:r w:rsidRPr="008B1175">
        <w:rPr>
          <w:rFonts w:hint="eastAsia"/>
          <w:rtl/>
        </w:rPr>
        <w:t>הזו</w:t>
      </w:r>
      <w:r w:rsidRPr="008B1175">
        <w:rPr>
          <w:rtl/>
        </w:rPr>
        <w:t xml:space="preserve">, </w:t>
      </w:r>
      <w:r w:rsidRPr="008B1175">
        <w:rPr>
          <w:rFonts w:hint="eastAsia"/>
          <w:rtl/>
        </w:rPr>
        <w:t>על</w:t>
      </w:r>
      <w:r w:rsidRPr="008B1175">
        <w:rPr>
          <w:rtl/>
        </w:rPr>
        <w:t xml:space="preserve"> </w:t>
      </w:r>
      <w:r w:rsidRPr="008B1175">
        <w:rPr>
          <w:rFonts w:hint="eastAsia"/>
          <w:rtl/>
        </w:rPr>
        <w:t>בית</w:t>
      </w:r>
      <w:r w:rsidRPr="008B1175">
        <w:rPr>
          <w:rtl/>
        </w:rPr>
        <w:t xml:space="preserve"> </w:t>
      </w:r>
      <w:r w:rsidRPr="008B1175">
        <w:rPr>
          <w:rFonts w:hint="eastAsia"/>
          <w:rtl/>
        </w:rPr>
        <w:t>המשפט</w:t>
      </w:r>
      <w:r w:rsidRPr="008B1175">
        <w:rPr>
          <w:rtl/>
        </w:rPr>
        <w:t xml:space="preserve"> </w:t>
      </w:r>
      <w:r w:rsidRPr="008B1175">
        <w:rPr>
          <w:rFonts w:hint="eastAsia"/>
          <w:rtl/>
        </w:rPr>
        <w:t>למלא</w:t>
      </w:r>
      <w:r w:rsidRPr="008B1175">
        <w:rPr>
          <w:rtl/>
        </w:rPr>
        <w:t xml:space="preserve"> </w:t>
      </w:r>
      <w:r w:rsidRPr="008B1175">
        <w:rPr>
          <w:rFonts w:hint="eastAsia"/>
          <w:rtl/>
        </w:rPr>
        <w:t>את</w:t>
      </w:r>
      <w:r w:rsidRPr="008B1175">
        <w:rPr>
          <w:rtl/>
        </w:rPr>
        <w:t xml:space="preserve"> </w:t>
      </w:r>
      <w:r w:rsidRPr="008B1175">
        <w:rPr>
          <w:rFonts w:hint="eastAsia"/>
          <w:rtl/>
        </w:rPr>
        <w:t>תפקידו</w:t>
      </w:r>
      <w:r w:rsidRPr="008B1175">
        <w:rPr>
          <w:rtl/>
        </w:rPr>
        <w:t xml:space="preserve"> </w:t>
      </w:r>
      <w:r w:rsidRPr="008B1175">
        <w:rPr>
          <w:rFonts w:hint="eastAsia"/>
          <w:rtl/>
        </w:rPr>
        <w:t>ולהכריע</w:t>
      </w:r>
      <w:r w:rsidRPr="008B1175">
        <w:rPr>
          <w:rtl/>
        </w:rPr>
        <w:t xml:space="preserve"> </w:t>
      </w:r>
      <w:r w:rsidRPr="008B1175">
        <w:rPr>
          <w:rFonts w:hint="eastAsia"/>
          <w:rtl/>
        </w:rPr>
        <w:t>בסוגיות</w:t>
      </w:r>
      <w:r w:rsidRPr="008B1175">
        <w:rPr>
          <w:rtl/>
        </w:rPr>
        <w:t xml:space="preserve"> </w:t>
      </w:r>
      <w:r w:rsidRPr="008B1175">
        <w:rPr>
          <w:rFonts w:hint="eastAsia"/>
          <w:rtl/>
        </w:rPr>
        <w:t>המובאות</w:t>
      </w:r>
      <w:r w:rsidRPr="008B1175">
        <w:rPr>
          <w:rtl/>
        </w:rPr>
        <w:t xml:space="preserve"> </w:t>
      </w:r>
      <w:r w:rsidRPr="008B1175">
        <w:rPr>
          <w:rFonts w:hint="eastAsia"/>
          <w:rtl/>
        </w:rPr>
        <w:t>לפתחו</w:t>
      </w:r>
      <w:r w:rsidRPr="008B1175">
        <w:rPr>
          <w:rtl/>
        </w:rPr>
        <w:t xml:space="preserve">. </w:t>
      </w:r>
      <w:r w:rsidRPr="008B1175">
        <w:rPr>
          <w:rFonts w:hint="eastAsia"/>
          <w:rtl/>
        </w:rPr>
        <w:t>על</w:t>
      </w:r>
      <w:r w:rsidRPr="008B1175">
        <w:rPr>
          <w:rtl/>
        </w:rPr>
        <w:t xml:space="preserve"> </w:t>
      </w:r>
      <w:r w:rsidRPr="008B1175">
        <w:rPr>
          <w:rFonts w:hint="eastAsia"/>
          <w:rtl/>
        </w:rPr>
        <w:t>אחת</w:t>
      </w:r>
      <w:r w:rsidRPr="008B1175">
        <w:rPr>
          <w:rtl/>
        </w:rPr>
        <w:t xml:space="preserve"> </w:t>
      </w:r>
      <w:r w:rsidRPr="008B1175">
        <w:rPr>
          <w:rFonts w:hint="eastAsia"/>
          <w:rtl/>
        </w:rPr>
        <w:t>כמה</w:t>
      </w:r>
      <w:r w:rsidRPr="008B1175">
        <w:rPr>
          <w:rtl/>
        </w:rPr>
        <w:t xml:space="preserve"> </w:t>
      </w:r>
      <w:r w:rsidRPr="008B1175">
        <w:rPr>
          <w:rFonts w:hint="eastAsia"/>
          <w:rtl/>
        </w:rPr>
        <w:t>וכמה</w:t>
      </w:r>
      <w:r w:rsidRPr="008B1175">
        <w:rPr>
          <w:rtl/>
        </w:rPr>
        <w:t xml:space="preserve"> </w:t>
      </w:r>
      <w:r w:rsidRPr="008B1175">
        <w:rPr>
          <w:rFonts w:hint="eastAsia"/>
          <w:rtl/>
        </w:rPr>
        <w:t>כאשר</w:t>
      </w:r>
      <w:r w:rsidRPr="008B1175">
        <w:rPr>
          <w:rtl/>
        </w:rPr>
        <w:t xml:space="preserve"> </w:t>
      </w:r>
      <w:r w:rsidRPr="008B1175">
        <w:rPr>
          <w:rFonts w:hint="eastAsia"/>
          <w:rtl/>
        </w:rPr>
        <w:t>מדובר</w:t>
      </w:r>
      <w:r w:rsidRPr="008B1175">
        <w:rPr>
          <w:rtl/>
        </w:rPr>
        <w:t xml:space="preserve"> </w:t>
      </w:r>
      <w:r w:rsidRPr="008B1175">
        <w:rPr>
          <w:rFonts w:hint="eastAsia"/>
          <w:rtl/>
        </w:rPr>
        <w:t>בסוגיות</w:t>
      </w:r>
      <w:r w:rsidRPr="008B1175">
        <w:rPr>
          <w:rtl/>
        </w:rPr>
        <w:t xml:space="preserve"> </w:t>
      </w:r>
      <w:r w:rsidRPr="008B1175">
        <w:rPr>
          <w:rFonts w:hint="eastAsia"/>
          <w:rtl/>
        </w:rPr>
        <w:t>הנוגעות</w:t>
      </w:r>
      <w:r w:rsidRPr="008B1175">
        <w:rPr>
          <w:rtl/>
        </w:rPr>
        <w:t xml:space="preserve"> </w:t>
      </w:r>
      <w:r w:rsidRPr="008B1175">
        <w:rPr>
          <w:rFonts w:hint="eastAsia"/>
          <w:rtl/>
        </w:rPr>
        <w:t>למאפייני</w:t>
      </w:r>
      <w:r w:rsidRPr="008B1175">
        <w:rPr>
          <w:rtl/>
        </w:rPr>
        <w:t xml:space="preserve"> </w:t>
      </w:r>
      <w:r w:rsidRPr="008B1175">
        <w:rPr>
          <w:rFonts w:hint="eastAsia"/>
          <w:rtl/>
        </w:rPr>
        <w:t>הזהות</w:t>
      </w:r>
      <w:r w:rsidRPr="008B1175">
        <w:rPr>
          <w:rtl/>
        </w:rPr>
        <w:t xml:space="preserve"> </w:t>
      </w:r>
      <w:r w:rsidRPr="008B1175">
        <w:rPr>
          <w:rFonts w:hint="eastAsia"/>
          <w:rtl/>
        </w:rPr>
        <w:t>הגרעיניים</w:t>
      </w:r>
      <w:r w:rsidRPr="008B1175">
        <w:rPr>
          <w:rtl/>
        </w:rPr>
        <w:t xml:space="preserve"> </w:t>
      </w:r>
      <w:r w:rsidRPr="008B1175">
        <w:rPr>
          <w:rFonts w:hint="eastAsia"/>
          <w:rtl/>
        </w:rPr>
        <w:t>של</w:t>
      </w:r>
      <w:r w:rsidRPr="008B1175">
        <w:rPr>
          <w:rtl/>
        </w:rPr>
        <w:t xml:space="preserve"> </w:t>
      </w:r>
      <w:r w:rsidRPr="008B1175">
        <w:rPr>
          <w:rFonts w:hint="eastAsia"/>
          <w:rtl/>
        </w:rPr>
        <w:t>ישראל</w:t>
      </w:r>
      <w:r w:rsidRPr="008B1175">
        <w:rPr>
          <w:rtl/>
        </w:rPr>
        <w:t xml:space="preserve"> </w:t>
      </w:r>
      <w:r w:rsidRPr="008B1175">
        <w:rPr>
          <w:rFonts w:hint="eastAsia"/>
          <w:rtl/>
        </w:rPr>
        <w:t>כמדינה</w:t>
      </w:r>
      <w:r w:rsidRPr="008B1175">
        <w:rPr>
          <w:rtl/>
        </w:rPr>
        <w:t xml:space="preserve"> </w:t>
      </w:r>
      <w:r w:rsidRPr="008B1175">
        <w:rPr>
          <w:rFonts w:hint="eastAsia"/>
          <w:rtl/>
        </w:rPr>
        <w:t>יהודית</w:t>
      </w:r>
      <w:r w:rsidRPr="008B1175">
        <w:rPr>
          <w:rtl/>
        </w:rPr>
        <w:t xml:space="preserve"> </w:t>
      </w:r>
      <w:r w:rsidRPr="008B1175">
        <w:rPr>
          <w:rFonts w:hint="eastAsia"/>
          <w:rtl/>
        </w:rPr>
        <w:t>ודמוקרטית</w:t>
      </w:r>
      <w:r w:rsidRPr="008B1175">
        <w:rPr>
          <w:rtl/>
        </w:rPr>
        <w:t xml:space="preserve">. </w:t>
      </w:r>
      <w:r w:rsidRPr="008B1175">
        <w:rPr>
          <w:rFonts w:hint="eastAsia"/>
          <w:rtl/>
        </w:rPr>
        <w:t>לכך</w:t>
      </w:r>
      <w:r w:rsidRPr="008B1175">
        <w:rPr>
          <w:rtl/>
        </w:rPr>
        <w:t xml:space="preserve"> </w:t>
      </w:r>
      <w:r w:rsidRPr="008B1175">
        <w:rPr>
          <w:rFonts w:hint="eastAsia"/>
          <w:rtl/>
        </w:rPr>
        <w:t>מתווספת</w:t>
      </w:r>
      <w:r w:rsidRPr="008B1175">
        <w:rPr>
          <w:rtl/>
        </w:rPr>
        <w:t xml:space="preserve"> </w:t>
      </w:r>
      <w:r w:rsidRPr="008B1175">
        <w:rPr>
          <w:rFonts w:hint="eastAsia"/>
          <w:rtl/>
        </w:rPr>
        <w:t>העובדה</w:t>
      </w:r>
      <w:r w:rsidRPr="008B1175">
        <w:rPr>
          <w:rtl/>
        </w:rPr>
        <w:t xml:space="preserve"> </w:t>
      </w:r>
      <w:r w:rsidRPr="008B1175">
        <w:rPr>
          <w:rFonts w:hint="eastAsia"/>
          <w:rtl/>
        </w:rPr>
        <w:t>כי</w:t>
      </w:r>
      <w:r w:rsidRPr="008B1175">
        <w:rPr>
          <w:rtl/>
        </w:rPr>
        <w:t xml:space="preserve"> </w:t>
      </w:r>
      <w:r w:rsidRPr="008B1175">
        <w:rPr>
          <w:rFonts w:hint="eastAsia"/>
          <w:rtl/>
        </w:rPr>
        <w:t>פרסום</w:t>
      </w:r>
      <w:r w:rsidRPr="008B1175">
        <w:rPr>
          <w:rtl/>
        </w:rPr>
        <w:t xml:space="preserve"> </w:t>
      </w:r>
      <w:r w:rsidRPr="008B1175">
        <w:rPr>
          <w:rFonts w:hint="eastAsia"/>
          <w:rtl/>
        </w:rPr>
        <w:t>הכרעתנו</w:t>
      </w:r>
      <w:r w:rsidRPr="008B1175">
        <w:rPr>
          <w:rtl/>
        </w:rPr>
        <w:t xml:space="preserve"> </w:t>
      </w:r>
      <w:r w:rsidRPr="008B1175">
        <w:rPr>
          <w:rFonts w:hint="eastAsia"/>
          <w:rtl/>
        </w:rPr>
        <w:t>במועד</w:t>
      </w:r>
      <w:r w:rsidRPr="008B1175">
        <w:rPr>
          <w:rtl/>
        </w:rPr>
        <w:t xml:space="preserve"> </w:t>
      </w:r>
      <w:r w:rsidRPr="008B1175">
        <w:rPr>
          <w:rFonts w:hint="eastAsia"/>
          <w:rtl/>
        </w:rPr>
        <w:t>הנוכחי</w:t>
      </w:r>
      <w:r w:rsidRPr="008B1175">
        <w:rPr>
          <w:rtl/>
        </w:rPr>
        <w:t xml:space="preserve"> </w:t>
      </w:r>
      <w:r w:rsidRPr="008B1175">
        <w:rPr>
          <w:rFonts w:hint="eastAsia"/>
          <w:rtl/>
        </w:rPr>
        <w:t>מתחייב</w:t>
      </w:r>
      <w:r w:rsidRPr="008B1175">
        <w:rPr>
          <w:rtl/>
        </w:rPr>
        <w:t xml:space="preserve"> </w:t>
      </w:r>
      <w:r w:rsidRPr="008B1175">
        <w:rPr>
          <w:rFonts w:hint="eastAsia"/>
          <w:rtl/>
        </w:rPr>
        <w:t>על</w:t>
      </w:r>
      <w:r w:rsidRPr="008B1175">
        <w:rPr>
          <w:rtl/>
        </w:rPr>
        <w:t xml:space="preserve"> </w:t>
      </w:r>
      <w:r w:rsidRPr="008B1175">
        <w:rPr>
          <w:rFonts w:hint="eastAsia"/>
          <w:rtl/>
        </w:rPr>
        <w:t>פי</w:t>
      </w:r>
      <w:r w:rsidRPr="008B1175">
        <w:rPr>
          <w:rtl/>
        </w:rPr>
        <w:t xml:space="preserve"> </w:t>
      </w:r>
      <w:r w:rsidRPr="008B1175">
        <w:rPr>
          <w:rFonts w:hint="eastAsia"/>
          <w:rtl/>
        </w:rPr>
        <w:t>סעיף</w:t>
      </w:r>
      <w:r w:rsidRPr="008B1175">
        <w:rPr>
          <w:rtl/>
        </w:rPr>
        <w:t xml:space="preserve"> 15(</w:t>
      </w:r>
      <w:r w:rsidRPr="008B1175">
        <w:rPr>
          <w:rFonts w:hint="eastAsia"/>
          <w:rtl/>
        </w:rPr>
        <w:t>א</w:t>
      </w:r>
      <w:r w:rsidRPr="008B1175">
        <w:rPr>
          <w:rtl/>
        </w:rPr>
        <w:t xml:space="preserve">) </w:t>
      </w:r>
      <w:r w:rsidRPr="008B1175">
        <w:rPr>
          <w:rFonts w:hint="eastAsia"/>
          <w:rtl/>
        </w:rPr>
        <w:t>לחוק</w:t>
      </w:r>
      <w:r w:rsidRPr="008B1175">
        <w:rPr>
          <w:rtl/>
        </w:rPr>
        <w:t xml:space="preserve"> </w:t>
      </w:r>
      <w:r w:rsidRPr="008B1175">
        <w:rPr>
          <w:rFonts w:hint="eastAsia"/>
          <w:rtl/>
        </w:rPr>
        <w:t>בתי</w:t>
      </w:r>
      <w:r w:rsidRPr="008B1175">
        <w:rPr>
          <w:rtl/>
        </w:rPr>
        <w:t xml:space="preserve"> </w:t>
      </w:r>
      <w:r w:rsidRPr="008B1175">
        <w:rPr>
          <w:rFonts w:hint="eastAsia"/>
          <w:rtl/>
        </w:rPr>
        <w:t>המשפט</w:t>
      </w:r>
      <w:r w:rsidRPr="008B1175">
        <w:rPr>
          <w:rtl/>
        </w:rPr>
        <w:t xml:space="preserve">, </w:t>
      </w:r>
      <w:r w:rsidRPr="008B1175">
        <w:rPr>
          <w:rFonts w:hint="eastAsia"/>
          <w:rtl/>
        </w:rPr>
        <w:t>בהינתן</w:t>
      </w:r>
      <w:r w:rsidRPr="008B1175">
        <w:rPr>
          <w:rtl/>
        </w:rPr>
        <w:t xml:space="preserve"> </w:t>
      </w:r>
      <w:r w:rsidRPr="008B1175">
        <w:rPr>
          <w:rFonts w:hint="eastAsia"/>
          <w:rtl/>
        </w:rPr>
        <w:t>מועד</w:t>
      </w:r>
      <w:r w:rsidRPr="008B1175">
        <w:rPr>
          <w:rtl/>
        </w:rPr>
        <w:t xml:space="preserve"> </w:t>
      </w:r>
      <w:r w:rsidRPr="008B1175">
        <w:rPr>
          <w:rFonts w:hint="eastAsia"/>
          <w:rtl/>
        </w:rPr>
        <w:t>פרישתה</w:t>
      </w:r>
      <w:r w:rsidRPr="008B1175">
        <w:rPr>
          <w:rtl/>
        </w:rPr>
        <w:t xml:space="preserve"> </w:t>
      </w:r>
      <w:r w:rsidRPr="008B1175">
        <w:rPr>
          <w:rFonts w:hint="eastAsia"/>
          <w:rtl/>
        </w:rPr>
        <w:t>של</w:t>
      </w:r>
      <w:r w:rsidRPr="008B1175">
        <w:rPr>
          <w:rtl/>
        </w:rPr>
        <w:t xml:space="preserve"> </w:t>
      </w:r>
      <w:r w:rsidRPr="008B1175">
        <w:rPr>
          <w:rFonts w:hint="eastAsia"/>
          <w:rtl/>
        </w:rPr>
        <w:t>השופטת</w:t>
      </w:r>
      <w:r w:rsidRPr="008B1175">
        <w:rPr>
          <w:rtl/>
        </w:rPr>
        <w:t xml:space="preserve"> (</w:t>
      </w:r>
      <w:r w:rsidRPr="008B1175">
        <w:rPr>
          <w:rFonts w:hint="eastAsia"/>
          <w:rtl/>
        </w:rPr>
        <w:t>בדימ</w:t>
      </w:r>
      <w:r w:rsidRPr="008B1175">
        <w:rPr>
          <w:rtl/>
        </w:rPr>
        <w:t xml:space="preserve">') </w:t>
      </w:r>
      <w:r w:rsidRPr="008B1175">
        <w:rPr>
          <w:rFonts w:cs="Miriam" w:hint="eastAsia"/>
          <w:b/>
          <w:spacing w:val="0"/>
          <w:sz w:val="22"/>
          <w:szCs w:val="24"/>
          <w:rtl/>
        </w:rPr>
        <w:t>ברון</w:t>
      </w:r>
      <w:r w:rsidRPr="008B1175">
        <w:rPr>
          <w:rtl/>
        </w:rPr>
        <w:t xml:space="preserve"> </w:t>
      </w:r>
      <w:r w:rsidRPr="008B1175">
        <w:rPr>
          <w:rFonts w:hint="eastAsia"/>
          <w:rtl/>
        </w:rPr>
        <w:t>ומועד</w:t>
      </w:r>
      <w:r w:rsidRPr="008B1175">
        <w:rPr>
          <w:rtl/>
        </w:rPr>
        <w:t xml:space="preserve"> </w:t>
      </w:r>
      <w:r w:rsidRPr="008B1175">
        <w:rPr>
          <w:rFonts w:hint="eastAsia"/>
          <w:rtl/>
        </w:rPr>
        <w:t>פרישתי</w:t>
      </w:r>
      <w:r w:rsidRPr="008B1175">
        <w:rPr>
          <w:rtl/>
        </w:rPr>
        <w:t xml:space="preserve"> </w:t>
      </w:r>
      <w:r w:rsidRPr="008B1175">
        <w:rPr>
          <w:rFonts w:hint="eastAsia"/>
          <w:rtl/>
        </w:rPr>
        <w:t>שלי</w:t>
      </w:r>
      <w:r w:rsidRPr="008B1175">
        <w:rPr>
          <w:rtl/>
        </w:rPr>
        <w:t xml:space="preserve"> </w:t>
      </w:r>
      <w:r w:rsidRPr="008B1175">
        <w:rPr>
          <w:rFonts w:hint="eastAsia"/>
          <w:rtl/>
        </w:rPr>
        <w:t>מכס</w:t>
      </w:r>
      <w:r w:rsidRPr="008B1175">
        <w:rPr>
          <w:rtl/>
        </w:rPr>
        <w:t xml:space="preserve"> </w:t>
      </w:r>
      <w:r w:rsidRPr="008B1175">
        <w:rPr>
          <w:rFonts w:hint="eastAsia"/>
          <w:rtl/>
        </w:rPr>
        <w:t>השיפוט</w:t>
      </w:r>
      <w:r w:rsidRPr="008B1175">
        <w:rPr>
          <w:rtl/>
        </w:rPr>
        <w:t>.</w:t>
      </w:r>
      <w:r w:rsidRPr="000D1194">
        <w:rPr>
          <w:rtl/>
        </w:rPr>
        <w:t xml:space="preserve"> </w:t>
      </w:r>
    </w:p>
    <w:p w:rsidR="00C044AE" w:rsidRPr="00B00F53" w:rsidRDefault="00C044AE" w:rsidP="00C044AE">
      <w:pPr>
        <w:pStyle w:val="Ruller41"/>
        <w:rPr>
          <w:rFonts w:ascii="Garamond" w:hAnsi="Garamond"/>
          <w:rtl/>
        </w:rPr>
      </w:pPr>
    </w:p>
    <w:p w:rsidR="00C044AE" w:rsidRPr="00715758" w:rsidRDefault="00C044AE" w:rsidP="00E27FC5">
      <w:pPr>
        <w:pStyle w:val="Ruller41"/>
        <w:outlineLvl w:val="0"/>
        <w:rPr>
          <w:rFonts w:ascii="Garamond" w:hAnsi="Garamond" w:cs="Miriam"/>
          <w:b/>
          <w:spacing w:val="0"/>
          <w:szCs w:val="24"/>
        </w:rPr>
      </w:pPr>
      <w:r w:rsidRPr="00715758">
        <w:rPr>
          <w:rFonts w:ascii="Garamond" w:hAnsi="Garamond" w:cs="Miriam" w:hint="cs"/>
          <w:b/>
          <w:spacing w:val="0"/>
          <w:szCs w:val="24"/>
          <w:rtl/>
        </w:rPr>
        <w:t>סוף דבר</w:t>
      </w:r>
    </w:p>
    <w:p w:rsidR="00C044AE" w:rsidRDefault="00C044AE" w:rsidP="00BC480B">
      <w:pPr>
        <w:pStyle w:val="Ruller4"/>
        <w:numPr>
          <w:ilvl w:val="0"/>
          <w:numId w:val="0"/>
        </w:numPr>
        <w:spacing w:line="276" w:lineRule="auto"/>
      </w:pPr>
    </w:p>
    <w:p w:rsidR="00C044AE" w:rsidRDefault="00C044AE" w:rsidP="00C044AE">
      <w:pPr>
        <w:pStyle w:val="Ruller4"/>
      </w:pPr>
      <w:r>
        <w:rPr>
          <w:rFonts w:hint="cs"/>
          <w:rtl/>
        </w:rPr>
        <w:t xml:space="preserve">ההכרעה בעתירות דנן חייבה אותנו, בהרכב מלא של בית משפט זה, לשוב ולהידרש למקורות ולאבני הבניין של המפעל החוקתי הישראלי: </w:t>
      </w:r>
    </w:p>
    <w:p w:rsidR="00C044AE" w:rsidRDefault="00C044AE" w:rsidP="00C044AE">
      <w:pPr>
        <w:pStyle w:val="Ruller4"/>
        <w:numPr>
          <w:ilvl w:val="0"/>
          <w:numId w:val="0"/>
        </w:numPr>
        <w:rPr>
          <w:rtl/>
        </w:rPr>
      </w:pPr>
    </w:p>
    <w:p w:rsidR="00C044AE" w:rsidRDefault="00C044AE" w:rsidP="00C044AE">
      <w:pPr>
        <w:pStyle w:val="Ruller5"/>
      </w:pPr>
      <w:r>
        <w:rPr>
          <w:rtl/>
        </w:rPr>
        <w:t xml:space="preserve">"בחרנו לעצמנו – מהכרזת העצמאות ועד היום – לילך בנתיב החוקתי. ביקשנו לתת לעצמנו חוקה, אשר תגביל את כוח הרוב כדי לקיים ערכי יסוד של מדינת ישראל כמדינה יהודית ודמוקרטית </w:t>
      </w:r>
      <w:r w:rsidRPr="00AD4A5A">
        <w:rPr>
          <w:rtl/>
        </w:rPr>
        <w:t>[...]</w:t>
      </w:r>
      <w:r>
        <w:rPr>
          <w:rtl/>
        </w:rPr>
        <w:t xml:space="preserve"> משנעשתה הבחירה, נדרשים השופטים – </w:t>
      </w:r>
      <w:r w:rsidRPr="00AD4A5A">
        <w:rPr>
          <w:rtl/>
        </w:rPr>
        <w:t>[...]</w:t>
      </w:r>
      <w:r>
        <w:rPr>
          <w:rFonts w:hint="cs"/>
          <w:rtl/>
        </w:rPr>
        <w:t xml:space="preserve"> </w:t>
      </w:r>
      <w:r>
        <w:rPr>
          <w:rtl/>
        </w:rPr>
        <w:t>לתת לה תוקף" (</w:t>
      </w:r>
      <w:r w:rsidRPr="00715758">
        <w:rPr>
          <w:rFonts w:ascii="Century" w:hAnsi="Century" w:hint="cs"/>
          <w:rtl/>
        </w:rPr>
        <w:t>עניין</w:t>
      </w:r>
      <w:r w:rsidRPr="00715758">
        <w:rPr>
          <w:rFonts w:ascii="Century" w:hAnsi="Century" w:cs="Miriam" w:hint="cs"/>
          <w:b/>
          <w:spacing w:val="0"/>
          <w:szCs w:val="24"/>
          <w:rtl/>
        </w:rPr>
        <w:t xml:space="preserve"> </w:t>
      </w:r>
      <w:r>
        <w:rPr>
          <w:rFonts w:ascii="Century" w:hAnsi="Century" w:cs="Miriam" w:hint="cs"/>
          <w:b/>
          <w:spacing w:val="0"/>
          <w:szCs w:val="24"/>
          <w:rtl/>
        </w:rPr>
        <w:t>בנק המזרחי</w:t>
      </w:r>
      <w:r>
        <w:rPr>
          <w:rtl/>
        </w:rPr>
        <w:t xml:space="preserve">, בעמ' </w:t>
      </w:r>
      <w:r>
        <w:rPr>
          <w:rFonts w:hint="cs"/>
          <w:rtl/>
        </w:rPr>
        <w:t>398</w:t>
      </w:r>
      <w:r>
        <w:rPr>
          <w:rtl/>
        </w:rPr>
        <w:t xml:space="preserve">). </w:t>
      </w:r>
    </w:p>
    <w:p w:rsidR="00C044AE" w:rsidRDefault="00C044AE" w:rsidP="00C044AE">
      <w:pPr>
        <w:pStyle w:val="Ruller41"/>
        <w:rPr>
          <w:rtl/>
        </w:rPr>
      </w:pPr>
    </w:p>
    <w:p w:rsidR="00C044AE" w:rsidRDefault="00C044AE" w:rsidP="00C044AE">
      <w:pPr>
        <w:pStyle w:val="Ruller41"/>
        <w:rPr>
          <w:rtl/>
        </w:rPr>
      </w:pPr>
      <w:r>
        <w:rPr>
          <w:rtl/>
        </w:rPr>
        <w:tab/>
      </w:r>
      <w:r>
        <w:rPr>
          <w:rFonts w:hint="cs"/>
          <w:rtl/>
        </w:rPr>
        <w:t xml:space="preserve">מתן תוקף לבחירה לילך בנתיב החוקתי משמעו, לגישתי, הגנה בלתי מתפשרת מפני פגיעה קשה ביותר באיזה משני עמודי התווך שעליהם נוסדה המדינה כמדינה יהודית ודמוקרטית. </w:t>
      </w:r>
    </w:p>
    <w:p w:rsidR="00C044AE" w:rsidRDefault="00C044AE" w:rsidP="00C044AE">
      <w:pPr>
        <w:pStyle w:val="Ruller41"/>
        <w:rPr>
          <w:rtl/>
        </w:rPr>
      </w:pPr>
    </w:p>
    <w:p w:rsidR="00C044AE" w:rsidRDefault="00C044AE" w:rsidP="00C044AE">
      <w:pPr>
        <w:pStyle w:val="Ruller4"/>
        <w:rPr>
          <w:rtl/>
        </w:rPr>
      </w:pPr>
      <w:r>
        <w:rPr>
          <w:rFonts w:hint="cs"/>
          <w:rtl/>
        </w:rPr>
        <w:t xml:space="preserve">עקרון שלטון הרוב הוא מ"נשמתה של הדמוקרטיה" (עניין </w:t>
      </w:r>
      <w:r w:rsidRPr="00A7663F">
        <w:rPr>
          <w:rFonts w:ascii="Century" w:hAnsi="Century" w:cs="Miriam" w:hint="cs"/>
          <w:b/>
          <w:spacing w:val="0"/>
          <w:sz w:val="22"/>
          <w:szCs w:val="24"/>
          <w:rtl/>
        </w:rPr>
        <w:t>בנק המזרחי</w:t>
      </w:r>
      <w:r>
        <w:rPr>
          <w:rFonts w:hint="cs"/>
          <w:rtl/>
        </w:rPr>
        <w:t xml:space="preserve">, בעמ' 546). עם זאת, הוא אינו מהווה הצדקה לחקיקת נורמה חוקתית שתמנע באופן כה גורף פיקוח וביקורת על החלטות הדרג הנבחר. </w:t>
      </w:r>
      <w:r w:rsidRPr="000C0531">
        <w:rPr>
          <w:rFonts w:ascii="Century" w:hAnsi="Century" w:hint="cs"/>
          <w:sz w:val="22"/>
          <w:rtl/>
        </w:rPr>
        <w:t>"</w:t>
      </w:r>
      <w:r w:rsidRPr="000C0531">
        <w:rPr>
          <w:rFonts w:ascii="Century" w:hAnsi="Century"/>
          <w:sz w:val="22"/>
          <w:rtl/>
        </w:rPr>
        <w:t xml:space="preserve">דמוקרטיה אינה רק שלטון הרוב ואינה אך הליך ראוי של גיבוש רצון החברה באמצעות נציגים בגוף המחוקק. דמוקרטיה היא הרבה יותר מזה. דמוקרטיה היא גם זכויותיו של כל אדם ואדם, בין אם </w:t>
      </w:r>
      <w:r w:rsidRPr="00162006">
        <w:rPr>
          <w:rFonts w:ascii="Century" w:hAnsi="Century"/>
          <w:sz w:val="22"/>
          <w:rtl/>
        </w:rPr>
        <w:t>הוא חלק מהרוב ובין אם הוא חלק</w:t>
      </w:r>
      <w:r w:rsidRPr="00162006">
        <w:rPr>
          <w:rFonts w:ascii="Century" w:hAnsi="Century" w:hint="cs"/>
          <w:sz w:val="22"/>
          <w:rtl/>
        </w:rPr>
        <w:t xml:space="preserve"> </w:t>
      </w:r>
      <w:r w:rsidRPr="00162006">
        <w:rPr>
          <w:rFonts w:ascii="Century" w:hAnsi="Century"/>
          <w:sz w:val="22"/>
          <w:rtl/>
        </w:rPr>
        <w:t xml:space="preserve">מהמיעוט; דמוקרטיה היא גם הפרדת רשויות, שלטון החוק </w:t>
      </w:r>
      <w:r w:rsidRPr="00162006">
        <w:rPr>
          <w:rFonts w:ascii="Century" w:hAnsi="Century" w:hint="cs"/>
          <w:sz w:val="22"/>
          <w:rtl/>
        </w:rPr>
        <w:t>(</w:t>
      </w:r>
      <w:r w:rsidRPr="00162006">
        <w:rPr>
          <w:rFonts w:ascii="Century" w:hAnsi="Century"/>
          <w:sz w:val="22"/>
          <w:rtl/>
        </w:rPr>
        <w:t>הפורמאלי והמהותי</w:t>
      </w:r>
      <w:r w:rsidRPr="00162006">
        <w:rPr>
          <w:rFonts w:ascii="Century" w:hAnsi="Century" w:hint="cs"/>
          <w:sz w:val="22"/>
          <w:rtl/>
        </w:rPr>
        <w:t>)</w:t>
      </w:r>
      <w:r w:rsidRPr="00162006">
        <w:rPr>
          <w:rFonts w:ascii="Century" w:hAnsi="Century"/>
          <w:sz w:val="22"/>
          <w:rtl/>
        </w:rPr>
        <w:t xml:space="preserve"> ועצמאות הרשות השופטת</w:t>
      </w:r>
      <w:r w:rsidRPr="00162006">
        <w:rPr>
          <w:rFonts w:ascii="Century" w:hAnsi="Century" w:hint="cs"/>
          <w:sz w:val="22"/>
          <w:rtl/>
        </w:rPr>
        <w:t>"</w:t>
      </w:r>
      <w:r w:rsidRPr="00162006">
        <w:rPr>
          <w:rFonts w:hint="cs"/>
          <w:rtl/>
        </w:rPr>
        <w:t xml:space="preserve"> </w:t>
      </w:r>
      <w:r w:rsidRPr="00162006">
        <w:rPr>
          <w:rtl/>
        </w:rPr>
        <w:t>(</w:t>
      </w:r>
      <w:r w:rsidRPr="00162006">
        <w:rPr>
          <w:rFonts w:hint="cs"/>
          <w:rtl/>
        </w:rPr>
        <w:t xml:space="preserve">עניין </w:t>
      </w:r>
      <w:r w:rsidRPr="00162006">
        <w:rPr>
          <w:rFonts w:ascii="Century" w:hAnsi="Century" w:cs="Miriam" w:hint="cs"/>
          <w:b/>
          <w:spacing w:val="0"/>
          <w:sz w:val="22"/>
          <w:szCs w:val="24"/>
          <w:rtl/>
        </w:rPr>
        <w:t>חוק טל</w:t>
      </w:r>
      <w:r w:rsidRPr="00162006">
        <w:rPr>
          <w:rFonts w:hint="cs"/>
          <w:rtl/>
        </w:rPr>
        <w:t>, בעמ' 719</w:t>
      </w:r>
      <w:r w:rsidRPr="00162006">
        <w:rPr>
          <w:rtl/>
        </w:rPr>
        <w:t>).</w:t>
      </w:r>
      <w:r w:rsidRPr="00162006">
        <w:rPr>
          <w:rFonts w:hint="cs"/>
          <w:rtl/>
        </w:rPr>
        <w:t xml:space="preserve"> </w:t>
      </w:r>
      <w:r>
        <w:rPr>
          <w:rFonts w:hint="cs"/>
          <w:rtl/>
        </w:rPr>
        <w:t xml:space="preserve">בהינתן מערכת האיזונים והבלמים השברירית והחסרה הקיימת בישראל, </w:t>
      </w:r>
      <w:r w:rsidRPr="00162006">
        <w:rPr>
          <w:rFonts w:hint="cs"/>
          <w:rtl/>
        </w:rPr>
        <w:t>שלילה</w:t>
      </w:r>
      <w:r>
        <w:rPr>
          <w:rFonts w:hint="cs"/>
          <w:rtl/>
        </w:rPr>
        <w:t xml:space="preserve"> מוחלטת של הביקורת השיפוטית על סבירות החלטות הממשלה ושריה, מעקרת מתוכן חלק מהותי מתפקידו של בית המשפט בהגנה על הפרט ועל האינטרס הציבורי: </w:t>
      </w:r>
    </w:p>
    <w:p w:rsidR="00C044AE" w:rsidRPr="003D2405" w:rsidRDefault="00C044AE" w:rsidP="00C044AE">
      <w:pPr>
        <w:pStyle w:val="Ruller41"/>
        <w:rPr>
          <w:rtl/>
        </w:rPr>
      </w:pPr>
    </w:p>
    <w:p w:rsidR="00C044AE" w:rsidRPr="00E00984" w:rsidRDefault="00C044AE" w:rsidP="00C044AE">
      <w:pPr>
        <w:pStyle w:val="Ruller5"/>
        <w:rPr>
          <w:rFonts w:cs="Arial TUR"/>
          <w:szCs w:val="22"/>
          <w:rtl/>
        </w:rPr>
      </w:pPr>
      <w:r>
        <w:rPr>
          <w:rtl/>
        </w:rPr>
        <w:t xml:space="preserve">"הביקורת השיפוטית במדינה דמוקרטית, לפי התורה של הפרדת הרשויות, והדוקטרינה של בלמים ואיזונים שצמחה מתורה זאת, לא נועדה להגביר את המשילות אלא להיפך: לרסן את כוח השלטון. ככל שהחוק מחייב, כדי </w:t>
      </w:r>
      <w:r>
        <w:rPr>
          <w:rtl/>
        </w:rPr>
        <w:lastRenderedPageBreak/>
        <w:t>להגן על זכויות אדם ועל ערכי היסוד מפני שימוש לרעה בכוח, וכדי להבטיח ממשל תקין, נקי והוגן. תפקיד זה מוטל על בית המשפט ובית המשפט לא יוכל למלא תפקיד זה כראוי ללא עילת הסבירות" (</w:t>
      </w:r>
      <w:r>
        <w:rPr>
          <w:rFonts w:ascii="Miriam" w:hAnsi="Miriam" w:cs="Miriam" w:hint="cs"/>
          <w:spacing w:val="0"/>
          <w:sz w:val="24"/>
          <w:szCs w:val="24"/>
          <w:rtl/>
        </w:rPr>
        <w:t>זמיר "הסמכות המינהלית"</w:t>
      </w:r>
      <w:r>
        <w:rPr>
          <w:rtl/>
        </w:rPr>
        <w:t>, בעמ' 3614</w:t>
      </w:r>
      <w:r>
        <w:rPr>
          <w:rFonts w:hint="cs"/>
          <w:rtl/>
        </w:rPr>
        <w:t xml:space="preserve">; ראו גם: עניין </w:t>
      </w:r>
      <w:r w:rsidRPr="00816BFD">
        <w:rPr>
          <w:rFonts w:ascii="Century" w:hAnsi="Century" w:cs="Miriam" w:hint="eastAsia"/>
          <w:b/>
          <w:spacing w:val="0"/>
          <w:szCs w:val="24"/>
          <w:rtl/>
        </w:rPr>
        <w:t>שיינפלד</w:t>
      </w:r>
      <w:r>
        <w:rPr>
          <w:rFonts w:hint="cs"/>
          <w:rtl/>
        </w:rPr>
        <w:t xml:space="preserve">, בפסקה 4 לחוות דעתה של השופטת </w:t>
      </w:r>
      <w:r w:rsidRPr="009F2974">
        <w:rPr>
          <w:rFonts w:ascii="Century" w:hAnsi="Century" w:cs="Miriam" w:hint="cs"/>
          <w:b/>
          <w:spacing w:val="0"/>
          <w:szCs w:val="24"/>
          <w:rtl/>
        </w:rPr>
        <w:t>ברון</w:t>
      </w:r>
      <w:r>
        <w:rPr>
          <w:rtl/>
        </w:rPr>
        <w:t>).</w:t>
      </w:r>
    </w:p>
    <w:p w:rsidR="00C044AE" w:rsidRDefault="00C044AE" w:rsidP="00C044AE">
      <w:pPr>
        <w:pStyle w:val="Ruller41"/>
        <w:rPr>
          <w:rtl/>
        </w:rPr>
      </w:pPr>
    </w:p>
    <w:p w:rsidR="00C044AE" w:rsidRPr="00715758" w:rsidRDefault="00C044AE" w:rsidP="00C044AE">
      <w:pPr>
        <w:pStyle w:val="Ruller4"/>
        <w:rPr>
          <w:rtl/>
        </w:rPr>
      </w:pPr>
      <w:r>
        <w:rPr>
          <w:rFonts w:hint="cs"/>
          <w:rtl/>
        </w:rPr>
        <w:t xml:space="preserve">מן הטעמים שפורטו בהרחבה לעיל, לא ניתן להשקפתי ליישב בין תיקון מס' 3 לחוק-יסוד: השפיטה ובין עקרון הפרדת הרשויות ועקרון שלטון החוק, שהינם שניים מהמאפיינים החשובים ביותר של שיטתנו הדמוקרטית. פגיעה כזו בלב ליבו של הנראטיב המכונן שלנו אינה יכולה לעמוד. </w:t>
      </w:r>
    </w:p>
    <w:p w:rsidR="00C044AE" w:rsidRDefault="00C044AE" w:rsidP="00C044AE">
      <w:pPr>
        <w:pStyle w:val="Ruller41"/>
        <w:rPr>
          <w:rtl/>
        </w:rPr>
      </w:pPr>
    </w:p>
    <w:p w:rsidR="00C044AE" w:rsidRPr="0068545D" w:rsidRDefault="00C044AE" w:rsidP="00C044AE">
      <w:pPr>
        <w:pStyle w:val="Ruller4"/>
        <w:numPr>
          <w:ilvl w:val="0"/>
          <w:numId w:val="0"/>
        </w:numPr>
        <w:rPr>
          <w:rtl/>
        </w:rPr>
      </w:pPr>
      <w:r>
        <w:rPr>
          <w:rtl/>
        </w:rPr>
        <w:tab/>
      </w:r>
      <w:r>
        <w:rPr>
          <w:rFonts w:hint="cs"/>
          <w:rtl/>
        </w:rPr>
        <w:t xml:space="preserve">אשר על כן, אציע כי נקבע שבחקיקת תיקון מס' 3 לחוק-יסוד: השפיטה, חרגה הכנסת מסמכותה המכוננת ולפיכך נכריז על בטלותו של התיקון. עוד אציע כי בנסיבות העניין ובשים לב לסוגיות העקרוניות שעמדו על הפרק, לא ייעשה צו להוצאות. </w:t>
      </w:r>
    </w:p>
    <w:p w:rsidR="004E4926" w:rsidRDefault="004E4926" w:rsidP="004E4926">
      <w:pPr>
        <w:pStyle w:val="Ruller41"/>
        <w:rPr>
          <w:rtl/>
        </w:rPr>
      </w:pPr>
    </w:p>
    <w:p w:rsidR="0075641B" w:rsidRDefault="0075641B" w:rsidP="004E4926">
      <w:pPr>
        <w:pStyle w:val="Ruller41"/>
        <w:rPr>
          <w:rtl/>
        </w:rPr>
      </w:pPr>
    </w:p>
    <w:tbl>
      <w:tblPr>
        <w:bidiVisual/>
        <w:tblW w:w="8363" w:type="dxa"/>
        <w:tblLook w:val="01E0" w:firstRow="1" w:lastRow="1" w:firstColumn="1" w:lastColumn="1" w:noHBand="0" w:noVBand="0"/>
      </w:tblPr>
      <w:tblGrid>
        <w:gridCol w:w="2781"/>
        <w:gridCol w:w="2782"/>
        <w:gridCol w:w="2800"/>
      </w:tblGrid>
      <w:tr w:rsidR="004E4926" w:rsidTr="00E27FC5">
        <w:tc>
          <w:tcPr>
            <w:tcW w:w="2781" w:type="dxa"/>
            <w:shd w:val="clear" w:color="auto" w:fill="auto"/>
          </w:tcPr>
          <w:p w:rsidR="004E4926" w:rsidRDefault="004E4926" w:rsidP="007F1E1F">
            <w:pPr>
              <w:pStyle w:val="Ruller41"/>
              <w:rPr>
                <w:rtl/>
              </w:rPr>
            </w:pPr>
          </w:p>
        </w:tc>
        <w:tc>
          <w:tcPr>
            <w:tcW w:w="2782" w:type="dxa"/>
            <w:shd w:val="clear" w:color="auto" w:fill="auto"/>
          </w:tcPr>
          <w:p w:rsidR="004E4926" w:rsidRDefault="004E4926" w:rsidP="007F1E1F">
            <w:pPr>
              <w:pStyle w:val="Ruller41"/>
              <w:jc w:val="center"/>
              <w:rPr>
                <w:rtl/>
              </w:rPr>
            </w:pPr>
          </w:p>
        </w:tc>
        <w:tc>
          <w:tcPr>
            <w:tcW w:w="2800" w:type="dxa"/>
            <w:shd w:val="clear" w:color="auto" w:fill="auto"/>
          </w:tcPr>
          <w:p w:rsidR="004E4926" w:rsidRDefault="004E4926" w:rsidP="007F1E1F">
            <w:pPr>
              <w:pStyle w:val="Ruller41"/>
              <w:jc w:val="center"/>
              <w:rPr>
                <w:rtl/>
              </w:rPr>
            </w:pPr>
            <w:r>
              <w:rPr>
                <w:rtl/>
              </w:rPr>
              <w:t>הנשיאה (בדימ')</w:t>
            </w:r>
          </w:p>
        </w:tc>
      </w:tr>
    </w:tbl>
    <w:p w:rsidR="00E27FC5" w:rsidRDefault="00E27FC5" w:rsidP="00E27FC5">
      <w:pPr>
        <w:pStyle w:val="BODYVERDICT"/>
      </w:pPr>
    </w:p>
    <w:p w:rsidR="00E27FC5" w:rsidRDefault="00FF17DB" w:rsidP="00E27FC5">
      <w:pPr>
        <w:pStyle w:val="BODYVERDICT"/>
        <w:outlineLvl w:val="0"/>
        <w:rPr>
          <w:rFonts w:cs="Miriam"/>
          <w:sz w:val="24"/>
          <w:szCs w:val="24"/>
          <w:u w:val="single"/>
          <w:rtl/>
        </w:rPr>
      </w:pPr>
      <w:r w:rsidRPr="00E00BCB">
        <w:rPr>
          <w:rFonts w:cs="Miriam" w:hint="cs"/>
          <w:sz w:val="24"/>
          <w:szCs w:val="24"/>
          <w:u w:val="single"/>
          <w:rtl/>
        </w:rPr>
        <w:t>השופטת י' וילנר</w:t>
      </w:r>
      <w:r w:rsidR="00E27FC5" w:rsidRPr="008E1F1C">
        <w:rPr>
          <w:rFonts w:cs="Miriam"/>
          <w:sz w:val="24"/>
          <w:szCs w:val="24"/>
          <w:rtl/>
        </w:rPr>
        <w:t>:</w:t>
      </w:r>
    </w:p>
    <w:p w:rsidR="00E32081" w:rsidRPr="00E703F1" w:rsidRDefault="00E32081" w:rsidP="00E32081">
      <w:pPr>
        <w:tabs>
          <w:tab w:val="left" w:pos="800"/>
        </w:tabs>
        <w:spacing w:line="360" w:lineRule="auto"/>
        <w:jc w:val="both"/>
        <w:rPr>
          <w:rFonts w:ascii="Century" w:hAnsi="Century" w:cs="Miriam"/>
          <w:b/>
          <w:sz w:val="24"/>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hint="cs"/>
          <w:spacing w:val="10"/>
          <w:sz w:val="22"/>
          <w:szCs w:val="28"/>
          <w:rtl/>
        </w:rPr>
        <w:t>1.</w:t>
      </w:r>
      <w:r w:rsidRPr="00E206AF">
        <w:rPr>
          <w:rFonts w:ascii="Arial TUR" w:hAnsi="Arial TUR" w:cs="FrankRuehl"/>
          <w:spacing w:val="10"/>
          <w:sz w:val="22"/>
          <w:szCs w:val="28"/>
          <w:rtl/>
        </w:rPr>
        <w:tab/>
      </w:r>
      <w:r w:rsidRPr="00E206AF">
        <w:rPr>
          <w:rFonts w:ascii="Arial TUR" w:hAnsi="Arial TUR" w:cs="FrankRuehl" w:hint="eastAsia"/>
          <w:spacing w:val="10"/>
          <w:sz w:val="22"/>
          <w:szCs w:val="28"/>
          <w:rtl/>
        </w:rPr>
        <w:t>בעתירות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שלפנינו</w:t>
      </w:r>
      <w:r w:rsidRPr="00E206AF">
        <w:rPr>
          <w:rFonts w:ascii="Arial TUR" w:hAnsi="Arial TUR" w:cs="FrankRuehl"/>
          <w:spacing w:val="10"/>
          <w:sz w:val="22"/>
          <w:szCs w:val="28"/>
          <w:rtl/>
        </w:rPr>
        <w:t>, התבקש בית משפט זה ל</w:t>
      </w:r>
      <w:r w:rsidRPr="00E206AF">
        <w:rPr>
          <w:rFonts w:ascii="Arial TUR" w:hAnsi="Arial TUR" w:cs="FrankRuehl" w:hint="cs"/>
          <w:spacing w:val="10"/>
          <w:sz w:val="22"/>
          <w:szCs w:val="28"/>
          <w:rtl/>
        </w:rPr>
        <w:t xml:space="preserve">הורות על ביטולו </w:t>
      </w:r>
      <w:r w:rsidRPr="00E206AF">
        <w:rPr>
          <w:rFonts w:ascii="Arial TUR" w:hAnsi="Arial TUR" w:cs="FrankRuehl"/>
          <w:spacing w:val="10"/>
          <w:sz w:val="22"/>
          <w:szCs w:val="28"/>
          <w:rtl/>
        </w:rPr>
        <w:t xml:space="preserve">של תיקון </w:t>
      </w:r>
      <w:r w:rsidRPr="00E206AF">
        <w:rPr>
          <w:rFonts w:ascii="Arial TUR" w:hAnsi="Arial TUR" w:cs="FrankRuehl" w:hint="eastAsia"/>
          <w:spacing w:val="10"/>
          <w:sz w:val="22"/>
          <w:szCs w:val="28"/>
          <w:rtl/>
        </w:rPr>
        <w:t>מס</w:t>
      </w:r>
      <w:r w:rsidRPr="00E206AF">
        <w:rPr>
          <w:rFonts w:ascii="Arial TUR" w:hAnsi="Arial TUR" w:cs="FrankRuehl"/>
          <w:spacing w:val="10"/>
          <w:sz w:val="22"/>
          <w:szCs w:val="28"/>
          <w:rtl/>
        </w:rPr>
        <w:t xml:space="preserve">' 3 לחוק יסוד: השפיטה, </w:t>
      </w:r>
      <w:r w:rsidRPr="00E206AF">
        <w:rPr>
          <w:rFonts w:ascii="Arial TUR" w:hAnsi="Arial TUR" w:cs="FrankRuehl" w:hint="cs"/>
          <w:spacing w:val="10"/>
          <w:sz w:val="22"/>
          <w:szCs w:val="28"/>
          <w:rtl/>
        </w:rPr>
        <w:t xml:space="preserve">מאחר שלגישת העותרים </w:t>
      </w:r>
      <w:r w:rsidRPr="00E206AF">
        <w:rPr>
          <w:rFonts w:ascii="Arial TUR" w:hAnsi="Arial TUR" w:cs="FrankRuehl" w:hint="eastAsia"/>
          <w:spacing w:val="10"/>
          <w:sz w:val="22"/>
          <w:szCs w:val="28"/>
          <w:rtl/>
        </w:rPr>
        <w:t>תוכנו</w:t>
      </w:r>
      <w:r w:rsidRPr="00E206AF">
        <w:rPr>
          <w:rFonts w:ascii="Arial TUR" w:hAnsi="Arial TUR" w:cs="FrankRuehl" w:hint="cs"/>
          <w:spacing w:val="10"/>
          <w:sz w:val="22"/>
          <w:szCs w:val="28"/>
          <w:rtl/>
        </w:rPr>
        <w:t xml:space="preserve"> של התיקון פוגע בליבת הזהות הדמוקרטית של מדינת ישראל</w:t>
      </w:r>
      <w:r w:rsidRPr="00E206AF">
        <w:rPr>
          <w:rFonts w:ascii="Arial TUR" w:hAnsi="Arial TUR" w:cs="FrankRuehl"/>
          <w:spacing w:val="10"/>
          <w:sz w:val="22"/>
          <w:szCs w:val="28"/>
          <w:rtl/>
        </w:rPr>
        <w:t>.</w:t>
      </w:r>
      <w:r w:rsidRPr="00E206AF">
        <w:rPr>
          <w:rFonts w:ascii="Century" w:hAnsi="Century" w:cs="Miriam" w:hint="cs"/>
          <w:b/>
          <w:sz w:val="22"/>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46564A">
        <w:rPr>
          <w:rFonts w:ascii="Century" w:hAnsi="Century" w:cs="FrankRuehl" w:hint="cs"/>
          <w:spacing w:val="10"/>
          <w:sz w:val="22"/>
          <w:szCs w:val="28"/>
          <w:rtl/>
        </w:rPr>
        <w:t xml:space="preserve">מכאן, </w:t>
      </w:r>
      <w:r w:rsidRPr="0046564A">
        <w:rPr>
          <w:rFonts w:ascii="Century" w:hAnsi="Century" w:cs="FrankRuehl" w:hint="eastAsia"/>
          <w:spacing w:val="10"/>
          <w:sz w:val="22"/>
          <w:szCs w:val="28"/>
          <w:rtl/>
        </w:rPr>
        <w:t>הננו</w:t>
      </w:r>
      <w:r w:rsidRPr="0046564A">
        <w:rPr>
          <w:rFonts w:ascii="Century" w:hAnsi="Century" w:cs="FrankRuehl"/>
          <w:spacing w:val="10"/>
          <w:sz w:val="22"/>
          <w:szCs w:val="28"/>
          <w:rtl/>
        </w:rPr>
        <w:t xml:space="preserve"> </w:t>
      </w:r>
      <w:r w:rsidRPr="0046564A">
        <w:rPr>
          <w:rFonts w:ascii="Century" w:hAnsi="Century" w:cs="FrankRuehl" w:hint="cs"/>
          <w:spacing w:val="10"/>
          <w:sz w:val="22"/>
          <w:szCs w:val="28"/>
          <w:rtl/>
        </w:rPr>
        <w:t>מתבקשים להכריע בשאלת עצם סמכותו של בית משפט זה לבטל חוק יסוד, ובתוך כך, לקבוע</w:t>
      </w:r>
      <w:r w:rsidRPr="00E206AF">
        <w:rPr>
          <w:rFonts w:ascii="Century" w:hAnsi="Century" w:cs="FrankRuehl" w:hint="cs"/>
          <w:spacing w:val="10"/>
          <w:sz w:val="22"/>
          <w:szCs w:val="28"/>
          <w:rtl/>
        </w:rPr>
        <w:t xml:space="preserve"> מה דינו של התיקון שלפנינו.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hint="cs"/>
          <w:spacing w:val="10"/>
          <w:sz w:val="22"/>
          <w:szCs w:val="28"/>
          <w:rtl/>
        </w:rPr>
        <w:t>2.</w:t>
      </w:r>
      <w:r w:rsidRPr="00E206AF">
        <w:rPr>
          <w:rFonts w:ascii="Arial TUR" w:hAnsi="Arial TUR" w:cs="FrankRuehl"/>
          <w:spacing w:val="10"/>
          <w:sz w:val="22"/>
          <w:szCs w:val="28"/>
          <w:rtl/>
        </w:rPr>
        <w:tab/>
      </w:r>
      <w:r w:rsidRPr="00E206AF">
        <w:rPr>
          <w:rFonts w:ascii="Arial TUR" w:hAnsi="Arial TUR" w:cs="FrankRuehl" w:hint="eastAsia"/>
          <w:spacing w:val="10"/>
          <w:sz w:val="22"/>
          <w:szCs w:val="28"/>
          <w:rtl/>
        </w:rPr>
        <w:t>אני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מצטרפת</w:t>
      </w:r>
      <w:r w:rsidRPr="00E206AF">
        <w:rPr>
          <w:rFonts w:ascii="Arial TUR" w:hAnsi="Arial TUR" w:cs="FrankRuehl"/>
          <w:spacing w:val="10"/>
          <w:sz w:val="22"/>
          <w:szCs w:val="28"/>
          <w:rtl/>
        </w:rPr>
        <w:t xml:space="preserve"> </w:t>
      </w:r>
      <w:r w:rsidRPr="007B3AB2">
        <w:rPr>
          <w:rFonts w:ascii="Arial TUR" w:hAnsi="Arial TUR" w:cs="FrankRuehl" w:hint="eastAsia"/>
          <w:spacing w:val="10"/>
          <w:sz w:val="22"/>
          <w:szCs w:val="28"/>
          <w:rtl/>
        </w:rPr>
        <w:t>למסקנה</w:t>
      </w:r>
      <w:r w:rsidRPr="007B3AB2">
        <w:rPr>
          <w:rFonts w:ascii="Arial TUR" w:hAnsi="Arial TUR" w:cs="FrankRuehl" w:hint="cs"/>
          <w:spacing w:val="10"/>
          <w:sz w:val="22"/>
          <w:szCs w:val="28"/>
          <w:rtl/>
        </w:rPr>
        <w:t xml:space="preserve"> ש</w:t>
      </w:r>
      <w:r w:rsidRPr="00E206AF">
        <w:rPr>
          <w:rFonts w:ascii="Arial TUR" w:hAnsi="Arial TUR" w:cs="FrankRuehl" w:hint="cs"/>
          <w:spacing w:val="10"/>
          <w:sz w:val="22"/>
          <w:szCs w:val="28"/>
          <w:rtl/>
        </w:rPr>
        <w:t xml:space="preserve">אליה הגיעה </w:t>
      </w:r>
      <w:r w:rsidRPr="00E206AF">
        <w:rPr>
          <w:rFonts w:ascii="Arial TUR" w:hAnsi="Arial TUR" w:cs="FrankRuehl" w:hint="eastAsia"/>
          <w:spacing w:val="10"/>
          <w:sz w:val="22"/>
          <w:szCs w:val="28"/>
          <w:rtl/>
        </w:rPr>
        <w:t>חברתי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הנשיאה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בדימ</w:t>
      </w:r>
      <w:r w:rsidRPr="00E206AF">
        <w:rPr>
          <w:rFonts w:ascii="Arial TUR" w:hAnsi="Arial TUR" w:cs="FrankRuehl"/>
          <w:spacing w:val="10"/>
          <w:sz w:val="22"/>
          <w:szCs w:val="28"/>
          <w:rtl/>
        </w:rPr>
        <w:t xml:space="preserve">') </w:t>
      </w:r>
      <w:r w:rsidRPr="00E206AF">
        <w:rPr>
          <w:rFonts w:ascii="Arial TUR" w:hAnsi="Arial TUR" w:cs="Miriam" w:hint="eastAsia"/>
          <w:b/>
          <w:sz w:val="22"/>
          <w:rtl/>
        </w:rPr>
        <w:t>א</w:t>
      </w:r>
      <w:r w:rsidRPr="00E206AF">
        <w:rPr>
          <w:rFonts w:ascii="Arial TUR" w:hAnsi="Arial TUR" w:cs="Miriam"/>
          <w:b/>
          <w:sz w:val="22"/>
          <w:rtl/>
        </w:rPr>
        <w:t xml:space="preserve">' </w:t>
      </w:r>
      <w:r w:rsidRPr="00E206AF">
        <w:rPr>
          <w:rFonts w:ascii="Arial TUR" w:hAnsi="Arial TUR" w:cs="Miriam" w:hint="eastAsia"/>
          <w:b/>
          <w:sz w:val="22"/>
          <w:rtl/>
        </w:rPr>
        <w:t>חיות</w:t>
      </w:r>
      <w:r w:rsidRPr="00E206AF">
        <w:rPr>
          <w:rFonts w:ascii="Arial TUR" w:hAnsi="Arial TUR" w:cs="FrankRuehl" w:hint="cs"/>
          <w:spacing w:val="10"/>
          <w:sz w:val="22"/>
          <w:szCs w:val="28"/>
          <w:rtl/>
        </w:rPr>
        <w:t xml:space="preserve">, </w:t>
      </w:r>
      <w:r w:rsidRPr="00E206AF">
        <w:rPr>
          <w:rFonts w:ascii="Arial TUR" w:hAnsi="Arial TUR" w:cs="FrankRuehl" w:hint="eastAsia"/>
          <w:spacing w:val="10"/>
          <w:sz w:val="22"/>
          <w:szCs w:val="28"/>
          <w:rtl/>
        </w:rPr>
        <w:t>בכל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הנוגע</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לסמכותו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משפט</w:t>
      </w:r>
      <w:r w:rsidRPr="00E206AF">
        <w:rPr>
          <w:rFonts w:ascii="Arial TUR" w:hAnsi="Arial TUR" w:cs="FrankRuehl"/>
          <w:spacing w:val="10"/>
          <w:sz w:val="22"/>
          <w:szCs w:val="28"/>
          <w:rtl/>
        </w:rPr>
        <w:t xml:space="preserve"> זה ל</w:t>
      </w:r>
      <w:r w:rsidRPr="00E206AF">
        <w:rPr>
          <w:rFonts w:ascii="Arial TUR" w:hAnsi="Arial TUR" w:cs="FrankRuehl" w:hint="eastAsia"/>
          <w:spacing w:val="10"/>
          <w:sz w:val="22"/>
          <w:szCs w:val="28"/>
          <w:rtl/>
        </w:rPr>
        <w:t>ערוך</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ביקורת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שיפוטית</w:t>
      </w:r>
      <w:r w:rsidRPr="00E206AF">
        <w:rPr>
          <w:rFonts w:ascii="Arial TUR" w:hAnsi="Arial TUR" w:cs="FrankRuehl" w:hint="cs"/>
          <w:spacing w:val="10"/>
          <w:sz w:val="22"/>
          <w:szCs w:val="28"/>
          <w:rtl/>
        </w:rPr>
        <w:t xml:space="preserve"> במקרים חריגים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ת</w:t>
      </w:r>
      <w:r w:rsidRPr="00E206AF">
        <w:rPr>
          <w:rFonts w:ascii="Arial TUR" w:hAnsi="Arial TUR" w:cs="FrankRuehl" w:hint="cs"/>
          <w:spacing w:val="10"/>
          <w:sz w:val="22"/>
          <w:szCs w:val="28"/>
          <w:rtl/>
        </w:rPr>
        <w:t>ו</w:t>
      </w:r>
      <w:r w:rsidRPr="00E206AF">
        <w:rPr>
          <w:rFonts w:ascii="Arial TUR" w:hAnsi="Arial TUR" w:cs="FrankRuehl" w:hint="eastAsia"/>
          <w:spacing w:val="10"/>
          <w:sz w:val="22"/>
          <w:szCs w:val="28"/>
          <w:rtl/>
        </w:rPr>
        <w:t>כנם</w:t>
      </w:r>
      <w:r w:rsidRPr="00E206AF">
        <w:rPr>
          <w:rFonts w:ascii="Arial TUR" w:hAnsi="Arial TUR" w:cs="FrankRuehl"/>
          <w:spacing w:val="10"/>
          <w:sz w:val="22"/>
          <w:szCs w:val="28"/>
          <w:rtl/>
        </w:rPr>
        <w:t xml:space="preserve"> של </w:t>
      </w:r>
      <w:r w:rsidRPr="00E206AF">
        <w:rPr>
          <w:rFonts w:ascii="Arial TUR" w:hAnsi="Arial TUR" w:cs="FrankRuehl" w:hint="eastAsia"/>
          <w:spacing w:val="10"/>
          <w:sz w:val="22"/>
          <w:szCs w:val="28"/>
          <w:rtl/>
        </w:rPr>
        <w:t>חוקי</w:t>
      </w:r>
      <w:r w:rsidRPr="00E206AF">
        <w:rPr>
          <w:rFonts w:ascii="Arial TUR" w:hAnsi="Arial TUR" w:cs="FrankRuehl"/>
          <w:spacing w:val="10"/>
          <w:sz w:val="22"/>
          <w:szCs w:val="28"/>
          <w:rtl/>
        </w:rPr>
        <w:t xml:space="preserve"> יסוד</w:t>
      </w:r>
      <w:r w:rsidRPr="00E206AF">
        <w:rPr>
          <w:rFonts w:ascii="Arial TUR" w:hAnsi="Arial TUR" w:cs="FrankRuehl" w:hint="cs"/>
          <w:spacing w:val="10"/>
          <w:sz w:val="22"/>
          <w:szCs w:val="28"/>
          <w:rtl/>
        </w:rPr>
        <w:t xml:space="preserve">. עם זאת, כפי שאבהיר </w:t>
      </w:r>
      <w:r w:rsidRPr="0046564A">
        <w:rPr>
          <w:rFonts w:ascii="Arial TUR" w:hAnsi="Arial TUR" w:cs="FrankRuehl" w:hint="cs"/>
          <w:spacing w:val="10"/>
          <w:sz w:val="22"/>
          <w:szCs w:val="28"/>
          <w:rtl/>
        </w:rPr>
        <w:t xml:space="preserve">בהמשך דבריי, איני נדרשת להכריע במקרה שלפנינו בסוגיה זו </w:t>
      </w:r>
      <w:r w:rsidRPr="0046564A">
        <w:rPr>
          <w:rFonts w:ascii="Arial TUR" w:hAnsi="Arial TUR" w:cs="FrankRuehl" w:hint="eastAsia"/>
          <w:spacing w:val="10"/>
          <w:sz w:val="22"/>
          <w:szCs w:val="28"/>
          <w:rtl/>
        </w:rPr>
        <w:t>ולפיכך</w:t>
      </w:r>
      <w:r w:rsidRPr="0046564A">
        <w:rPr>
          <w:rFonts w:ascii="Arial TUR" w:hAnsi="Arial TUR" w:cs="FrankRuehl"/>
          <w:spacing w:val="10"/>
          <w:sz w:val="22"/>
          <w:szCs w:val="28"/>
          <w:rtl/>
        </w:rPr>
        <w:t xml:space="preserve"> </w:t>
      </w:r>
      <w:r w:rsidRPr="0046564A">
        <w:rPr>
          <w:rFonts w:ascii="Arial TUR" w:hAnsi="Arial TUR" w:cs="FrankRuehl" w:hint="eastAsia"/>
          <w:spacing w:val="10"/>
          <w:sz w:val="22"/>
          <w:szCs w:val="28"/>
          <w:rtl/>
        </w:rPr>
        <w:t>גם</w:t>
      </w:r>
      <w:r w:rsidRPr="0046564A">
        <w:rPr>
          <w:rFonts w:ascii="Arial TUR" w:hAnsi="Arial TUR" w:cs="FrankRuehl"/>
          <w:spacing w:val="10"/>
          <w:sz w:val="22"/>
          <w:szCs w:val="28"/>
          <w:rtl/>
        </w:rPr>
        <w:t xml:space="preserve"> </w:t>
      </w:r>
      <w:r w:rsidRPr="0046564A">
        <w:rPr>
          <w:rFonts w:ascii="Arial TUR" w:hAnsi="Arial TUR" w:cs="FrankRuehl" w:hint="eastAsia"/>
          <w:spacing w:val="10"/>
          <w:sz w:val="22"/>
          <w:szCs w:val="28"/>
          <w:rtl/>
        </w:rPr>
        <w:t>לא</w:t>
      </w:r>
      <w:r w:rsidRPr="0046564A">
        <w:rPr>
          <w:rFonts w:ascii="Arial TUR" w:hAnsi="Arial TUR" w:cs="FrankRuehl"/>
          <w:spacing w:val="10"/>
          <w:sz w:val="22"/>
          <w:szCs w:val="28"/>
          <w:rtl/>
        </w:rPr>
        <w:t xml:space="preserve"> </w:t>
      </w:r>
      <w:r w:rsidRPr="0046564A">
        <w:rPr>
          <w:rFonts w:ascii="Arial TUR" w:hAnsi="Arial TUR" w:cs="FrankRuehl" w:hint="eastAsia"/>
          <w:spacing w:val="10"/>
          <w:sz w:val="22"/>
          <w:szCs w:val="28"/>
          <w:rtl/>
        </w:rPr>
        <w:t>אפרוש</w:t>
      </w:r>
      <w:r>
        <w:rPr>
          <w:rFonts w:ascii="Arial TUR" w:hAnsi="Arial TUR" w:cs="FrankRuehl" w:hint="cs"/>
          <w:spacing w:val="10"/>
          <w:sz w:val="22"/>
          <w:szCs w:val="28"/>
          <w:rtl/>
        </w:rPr>
        <w:t xml:space="preserve"> בהרחבה </w:t>
      </w:r>
      <w:r w:rsidRPr="0046564A">
        <w:rPr>
          <w:rFonts w:ascii="Arial TUR" w:hAnsi="Arial TUR" w:cs="FrankRuehl"/>
          <w:spacing w:val="10"/>
          <w:sz w:val="22"/>
          <w:szCs w:val="28"/>
          <w:rtl/>
        </w:rPr>
        <w:t xml:space="preserve">את משנתי </w:t>
      </w:r>
      <w:r>
        <w:rPr>
          <w:rFonts w:ascii="Arial TUR" w:hAnsi="Arial TUR" w:cs="FrankRuehl" w:hint="cs"/>
          <w:spacing w:val="10"/>
          <w:sz w:val="22"/>
          <w:szCs w:val="28"/>
          <w:rtl/>
        </w:rPr>
        <w:t xml:space="preserve">הסדורה </w:t>
      </w:r>
      <w:r w:rsidRPr="0046564A">
        <w:rPr>
          <w:rFonts w:ascii="Arial TUR" w:hAnsi="Arial TUR" w:cs="FrankRuehl"/>
          <w:spacing w:val="10"/>
          <w:sz w:val="22"/>
          <w:szCs w:val="28"/>
          <w:rtl/>
        </w:rPr>
        <w:t>בנדון.</w:t>
      </w:r>
      <w:r w:rsidRPr="0046564A">
        <w:rPr>
          <w:rFonts w:ascii="Arial TUR" w:hAnsi="Arial TUR" w:cs="FrankRuehl" w:hint="cs"/>
          <w:spacing w:val="10"/>
          <w:sz w:val="22"/>
          <w:szCs w:val="28"/>
          <w:rtl/>
        </w:rPr>
        <w:t xml:space="preserve"> וזאת, משום שבהינתן הפרשנות שאציע להלן </w:t>
      </w:r>
      <w:r w:rsidRPr="0046564A">
        <w:rPr>
          <w:rFonts w:ascii="Arial TUR" w:hAnsi="Arial TUR" w:cs="FrankRuehl"/>
          <w:spacing w:val="10"/>
          <w:sz w:val="22"/>
          <w:szCs w:val="28"/>
          <w:rtl/>
        </w:rPr>
        <w:t>–</w:t>
      </w:r>
      <w:r w:rsidRPr="0046564A">
        <w:rPr>
          <w:rFonts w:ascii="Arial TUR" w:hAnsi="Arial TUR" w:cs="FrankRuehl" w:hint="cs"/>
          <w:spacing w:val="10"/>
          <w:sz w:val="22"/>
          <w:szCs w:val="28"/>
          <w:rtl/>
        </w:rPr>
        <w:t xml:space="preserve"> התיקון אינו פוגע פגיעה אנושה בליבת הזהות הדמוקרטית של מדינת ישראל, ולפיכך מדובר בפרשנות מקיימת. ואולם, פטור בלא כלום אי אפשר, ולפיכך, אבהיר להלן בתמצית את עמדתי בסוגיה זו</w:t>
      </w:r>
      <w:r w:rsidRPr="0046564A">
        <w:rPr>
          <w:rFonts w:ascii="Century" w:hAnsi="Century" w:cs="FrankRuehl" w:hint="cs"/>
          <w:spacing w:val="10"/>
          <w:sz w:val="22"/>
          <w:szCs w:val="28"/>
          <w:rtl/>
        </w:rPr>
        <w:t>.</w:t>
      </w:r>
    </w:p>
    <w:p w:rsidR="00E32081" w:rsidRPr="00E703F1" w:rsidRDefault="00E32081" w:rsidP="00E32081">
      <w:pPr>
        <w:tabs>
          <w:tab w:val="left" w:pos="800"/>
        </w:tabs>
        <w:spacing w:line="360" w:lineRule="auto"/>
        <w:jc w:val="both"/>
        <w:rPr>
          <w:rFonts w:ascii="Century" w:hAnsi="Century" w:cs="Miriam"/>
          <w:b/>
          <w:sz w:val="24"/>
          <w:szCs w:val="28"/>
          <w:rtl/>
        </w:rPr>
      </w:pPr>
    </w:p>
    <w:p w:rsidR="00E32081" w:rsidRPr="00E206AF" w:rsidRDefault="00E32081" w:rsidP="00E32081">
      <w:pPr>
        <w:spacing w:line="360" w:lineRule="auto"/>
        <w:jc w:val="both"/>
        <w:rPr>
          <w:rFonts w:ascii="Century" w:hAnsi="Century" w:cs="Miriam"/>
          <w:b/>
          <w:sz w:val="22"/>
          <w:rtl/>
        </w:rPr>
      </w:pPr>
      <w:r w:rsidRPr="00E206AF">
        <w:rPr>
          <w:rFonts w:ascii="Century" w:hAnsi="Century" w:cs="Miriam" w:hint="eastAsia"/>
          <w:b/>
          <w:sz w:val="22"/>
          <w:rtl/>
        </w:rPr>
        <w:lastRenderedPageBreak/>
        <w:t>סמכותה</w:t>
      </w:r>
      <w:r w:rsidRPr="00E206AF">
        <w:rPr>
          <w:rFonts w:ascii="Century" w:hAnsi="Century" w:cs="Miriam"/>
          <w:b/>
          <w:sz w:val="22"/>
          <w:rtl/>
        </w:rPr>
        <w:t xml:space="preserve"> </w:t>
      </w:r>
      <w:r w:rsidRPr="00E206AF">
        <w:rPr>
          <w:rFonts w:ascii="Century" w:hAnsi="Century" w:cs="Miriam" w:hint="eastAsia"/>
          <w:b/>
          <w:sz w:val="22"/>
          <w:rtl/>
        </w:rPr>
        <w:t>של</w:t>
      </w:r>
      <w:r w:rsidRPr="00E206AF">
        <w:rPr>
          <w:rFonts w:ascii="Century" w:hAnsi="Century" w:cs="Miriam"/>
          <w:b/>
          <w:sz w:val="22"/>
          <w:rtl/>
        </w:rPr>
        <w:t xml:space="preserve"> </w:t>
      </w:r>
      <w:r w:rsidRPr="00E206AF">
        <w:rPr>
          <w:rFonts w:ascii="Century" w:hAnsi="Century" w:cs="Miriam" w:hint="eastAsia"/>
          <w:b/>
          <w:sz w:val="22"/>
          <w:rtl/>
        </w:rPr>
        <w:t>הרשות</w:t>
      </w:r>
      <w:r w:rsidRPr="00E206AF">
        <w:rPr>
          <w:rFonts w:ascii="Century" w:hAnsi="Century" w:cs="Miriam"/>
          <w:b/>
          <w:sz w:val="22"/>
          <w:rtl/>
        </w:rPr>
        <w:t xml:space="preserve"> </w:t>
      </w:r>
      <w:r w:rsidRPr="00E206AF">
        <w:rPr>
          <w:rFonts w:ascii="Century" w:hAnsi="Century" w:cs="Miriam" w:hint="eastAsia"/>
          <w:b/>
          <w:sz w:val="22"/>
          <w:rtl/>
        </w:rPr>
        <w:t>המכוננת</w:t>
      </w:r>
      <w:r w:rsidRPr="00E206AF">
        <w:rPr>
          <w:rFonts w:ascii="Century" w:hAnsi="Century" w:cs="Miriam"/>
          <w:b/>
          <w:sz w:val="22"/>
          <w:rtl/>
        </w:rPr>
        <w:t xml:space="preserve"> </w:t>
      </w:r>
      <w:r w:rsidRPr="00E206AF">
        <w:rPr>
          <w:rFonts w:ascii="Century" w:hAnsi="Century" w:cs="Miriam" w:hint="eastAsia"/>
          <w:b/>
          <w:sz w:val="22"/>
          <w:rtl/>
        </w:rPr>
        <w:t>וסמכותו</w:t>
      </w:r>
      <w:r w:rsidRPr="00E206AF">
        <w:rPr>
          <w:rFonts w:ascii="Century" w:hAnsi="Century" w:cs="Miriam"/>
          <w:b/>
          <w:sz w:val="22"/>
          <w:rtl/>
        </w:rPr>
        <w:t xml:space="preserve"> </w:t>
      </w:r>
      <w:r w:rsidRPr="00E206AF">
        <w:rPr>
          <w:rFonts w:ascii="Century" w:hAnsi="Century" w:cs="Miriam" w:hint="cs"/>
          <w:b/>
          <w:sz w:val="22"/>
          <w:rtl/>
        </w:rPr>
        <w:t xml:space="preserve">של בית המשפט הגבוה לצדק </w:t>
      </w:r>
    </w:p>
    <w:p w:rsidR="00E32081" w:rsidRPr="00E703F1" w:rsidRDefault="00E32081" w:rsidP="00900B09">
      <w:pPr>
        <w:spacing w:line="276" w:lineRule="auto"/>
        <w:jc w:val="both"/>
        <w:rPr>
          <w:rFonts w:ascii="Century" w:hAnsi="Century" w:cs="FrankRuehl"/>
          <w:spacing w:val="10"/>
          <w:szCs w:val="28"/>
        </w:rPr>
      </w:pPr>
      <w:r w:rsidRPr="00E206AF">
        <w:rPr>
          <w:rFonts w:ascii="Century" w:hAnsi="Century" w:cs="FrankRuehl"/>
          <w:spacing w:val="10"/>
          <w:szCs w:val="28"/>
        </w:rPr>
        <w:t xml:space="preserve"> </w:t>
      </w:r>
    </w:p>
    <w:p w:rsidR="00E32081" w:rsidRPr="00E206AF" w:rsidRDefault="00E32081" w:rsidP="00E32081">
      <w:pPr>
        <w:spacing w:line="360" w:lineRule="auto"/>
        <w:jc w:val="both"/>
        <w:rPr>
          <w:rFonts w:ascii="Century" w:hAnsi="Century" w:cs="FrankRuehl"/>
          <w:spacing w:val="10"/>
          <w:szCs w:val="28"/>
          <w:rtl/>
        </w:rPr>
      </w:pPr>
      <w:r w:rsidRPr="00E206AF">
        <w:rPr>
          <w:rFonts w:ascii="Century" w:hAnsi="Century" w:cs="FrankRuehl" w:hint="cs"/>
          <w:spacing w:val="10"/>
          <w:szCs w:val="28"/>
          <w:rtl/>
        </w:rPr>
        <w:t>3.</w:t>
      </w:r>
      <w:r w:rsidRPr="00E206AF">
        <w:rPr>
          <w:rFonts w:ascii="Century" w:hAnsi="Century" w:cs="FrankRuehl"/>
          <w:spacing w:val="10"/>
          <w:szCs w:val="28"/>
          <w:rtl/>
        </w:rPr>
        <w:tab/>
      </w:r>
      <w:r w:rsidRPr="008D5557">
        <w:rPr>
          <w:rFonts w:ascii="Century" w:hAnsi="Century" w:cs="FrankRuehl" w:hint="cs"/>
          <w:spacing w:val="10"/>
          <w:szCs w:val="28"/>
          <w:rtl/>
        </w:rPr>
        <w:t xml:space="preserve">בית משפט זה כבר </w:t>
      </w:r>
      <w:r>
        <w:rPr>
          <w:rFonts w:ascii="Century" w:hAnsi="Century" w:cs="FrankRuehl" w:hint="cs"/>
          <w:spacing w:val="10"/>
          <w:szCs w:val="28"/>
          <w:rtl/>
        </w:rPr>
        <w:t>קבע</w:t>
      </w:r>
      <w:r w:rsidRPr="008D5557">
        <w:rPr>
          <w:rFonts w:ascii="Century" w:hAnsi="Century" w:cs="FrankRuehl" w:hint="cs"/>
          <w:spacing w:val="10"/>
          <w:szCs w:val="28"/>
          <w:rtl/>
        </w:rPr>
        <w:t xml:space="preserve"> כי:</w:t>
      </w:r>
      <w:r w:rsidRPr="00E206AF">
        <w:rPr>
          <w:rFonts w:ascii="Century" w:hAnsi="Century" w:cs="FrankRuehl" w:hint="cs"/>
          <w:spacing w:val="10"/>
          <w:szCs w:val="28"/>
          <w:rtl/>
        </w:rPr>
        <w:t xml:space="preserve"> </w:t>
      </w:r>
      <w:r w:rsidRPr="00E206AF">
        <w:rPr>
          <w:rFonts w:ascii="Century" w:hAnsi="Century" w:cs="FrankRuehl"/>
          <w:spacing w:val="10"/>
          <w:szCs w:val="28"/>
          <w:rtl/>
        </w:rPr>
        <w:t>"</w:t>
      </w:r>
      <w:r w:rsidRPr="00E206AF">
        <w:rPr>
          <w:rFonts w:ascii="Century" w:hAnsi="Century" w:cs="FrankRuehl" w:hint="eastAsia"/>
          <w:spacing w:val="10"/>
          <w:szCs w:val="28"/>
          <w:rtl/>
        </w:rPr>
        <w:t>בשלב</w:t>
      </w:r>
      <w:r w:rsidRPr="00E206AF">
        <w:rPr>
          <w:rFonts w:ascii="Century" w:hAnsi="Century" w:cs="FrankRuehl"/>
          <w:spacing w:val="10"/>
          <w:szCs w:val="28"/>
          <w:rtl/>
        </w:rPr>
        <w:t xml:space="preserve"> </w:t>
      </w:r>
      <w:r w:rsidRPr="00E206AF">
        <w:rPr>
          <w:rFonts w:ascii="Century" w:hAnsi="Century" w:cs="FrankRuehl" w:hint="eastAsia"/>
          <w:spacing w:val="10"/>
          <w:szCs w:val="28"/>
          <w:rtl/>
        </w:rPr>
        <w:t>זה</w:t>
      </w:r>
      <w:r w:rsidRPr="00E206AF">
        <w:rPr>
          <w:rFonts w:ascii="Century" w:hAnsi="Century" w:cs="FrankRuehl"/>
          <w:spacing w:val="10"/>
          <w:szCs w:val="28"/>
          <w:rtl/>
        </w:rPr>
        <w:t xml:space="preserve"> </w:t>
      </w:r>
      <w:r w:rsidRPr="00E206AF">
        <w:rPr>
          <w:rFonts w:ascii="Century" w:hAnsi="Century" w:cs="FrankRuehl" w:hint="eastAsia"/>
          <w:spacing w:val="10"/>
          <w:szCs w:val="28"/>
          <w:rtl/>
        </w:rPr>
        <w:t>של</w:t>
      </w:r>
      <w:r w:rsidRPr="00E206AF">
        <w:rPr>
          <w:rFonts w:ascii="Century" w:hAnsi="Century" w:cs="FrankRuehl"/>
          <w:spacing w:val="10"/>
          <w:szCs w:val="28"/>
          <w:rtl/>
        </w:rPr>
        <w:t xml:space="preserve"> </w:t>
      </w:r>
      <w:r w:rsidRPr="00E206AF">
        <w:rPr>
          <w:rFonts w:ascii="Century" w:hAnsi="Century" w:cs="FrankRuehl" w:hint="eastAsia"/>
          <w:spacing w:val="10"/>
          <w:szCs w:val="28"/>
          <w:rtl/>
        </w:rPr>
        <w:t>המפעל</w:t>
      </w:r>
      <w:r w:rsidRPr="00E206AF">
        <w:rPr>
          <w:rFonts w:ascii="Century" w:hAnsi="Century" w:cs="FrankRuehl"/>
          <w:spacing w:val="10"/>
          <w:szCs w:val="28"/>
          <w:rtl/>
        </w:rPr>
        <w:t xml:space="preserve"> </w:t>
      </w:r>
      <w:r w:rsidRPr="00E206AF">
        <w:rPr>
          <w:rFonts w:ascii="Century" w:hAnsi="Century" w:cs="FrankRuehl" w:hint="eastAsia"/>
          <w:spacing w:val="10"/>
          <w:szCs w:val="28"/>
          <w:rtl/>
        </w:rPr>
        <w:t>החוקתי</w:t>
      </w:r>
      <w:r w:rsidRPr="00E206AF">
        <w:rPr>
          <w:rFonts w:ascii="Century" w:hAnsi="Century" w:cs="FrankRuehl"/>
          <w:spacing w:val="10"/>
          <w:szCs w:val="28"/>
          <w:rtl/>
        </w:rPr>
        <w:t xml:space="preserve"> </w:t>
      </w:r>
      <w:r w:rsidRPr="00E206AF">
        <w:rPr>
          <w:rFonts w:ascii="Century" w:hAnsi="Century" w:cs="FrankRuehl" w:hint="eastAsia"/>
          <w:spacing w:val="10"/>
          <w:szCs w:val="28"/>
          <w:rtl/>
        </w:rPr>
        <w:t>הישראלי</w:t>
      </w:r>
      <w:r w:rsidRPr="00E206AF">
        <w:rPr>
          <w:rFonts w:ascii="Century" w:hAnsi="Century" w:cs="FrankRuehl"/>
          <w:spacing w:val="10"/>
          <w:szCs w:val="28"/>
          <w:rtl/>
        </w:rPr>
        <w:t xml:space="preserve"> </w:t>
      </w:r>
      <w:r w:rsidRPr="00E206AF">
        <w:rPr>
          <w:rFonts w:ascii="Century" w:hAnsi="Century" w:cs="FrankRuehl" w:hint="eastAsia"/>
          <w:spacing w:val="10"/>
          <w:szCs w:val="28"/>
          <w:rtl/>
        </w:rPr>
        <w:t>קיימות</w:t>
      </w:r>
      <w:r w:rsidRPr="00E206AF">
        <w:rPr>
          <w:rFonts w:ascii="Century" w:hAnsi="Century" w:cs="FrankRuehl"/>
          <w:spacing w:val="10"/>
          <w:szCs w:val="28"/>
          <w:rtl/>
        </w:rPr>
        <w:t xml:space="preserve"> </w:t>
      </w:r>
      <w:r w:rsidRPr="00E206AF">
        <w:rPr>
          <w:rFonts w:ascii="Century" w:hAnsi="Century" w:cs="FrankRuehl" w:hint="eastAsia"/>
          <w:spacing w:val="10"/>
          <w:szCs w:val="28"/>
          <w:rtl/>
        </w:rPr>
        <w:t>מגבלות</w:t>
      </w:r>
      <w:r w:rsidRPr="00E206AF">
        <w:rPr>
          <w:rFonts w:ascii="Century" w:hAnsi="Century" w:cs="FrankRuehl"/>
          <w:spacing w:val="10"/>
          <w:szCs w:val="28"/>
          <w:rtl/>
        </w:rPr>
        <w:t xml:space="preserve"> </w:t>
      </w:r>
      <w:r w:rsidRPr="00E206AF">
        <w:rPr>
          <w:rFonts w:ascii="Century" w:hAnsi="Century" w:cs="FrankRuehl" w:hint="cs"/>
          <w:spacing w:val="10"/>
          <w:szCs w:val="28"/>
          <w:rtl/>
        </w:rPr>
        <w:t>[...]</w:t>
      </w:r>
      <w:r w:rsidRPr="00E206AF">
        <w:rPr>
          <w:rFonts w:ascii="Century" w:hAnsi="Century" w:cs="FrankRuehl"/>
          <w:spacing w:val="10"/>
          <w:szCs w:val="28"/>
          <w:rtl/>
        </w:rPr>
        <w:t xml:space="preserve"> </w:t>
      </w:r>
      <w:r w:rsidRPr="00E206AF">
        <w:rPr>
          <w:rFonts w:ascii="Century" w:hAnsi="Century" w:cs="FrankRuehl" w:hint="eastAsia"/>
          <w:spacing w:val="10"/>
          <w:szCs w:val="28"/>
          <w:rtl/>
        </w:rPr>
        <w:t>על</w:t>
      </w:r>
      <w:r w:rsidRPr="00E206AF">
        <w:rPr>
          <w:rFonts w:ascii="Century" w:hAnsi="Century" w:cs="FrankRuehl"/>
          <w:spacing w:val="10"/>
          <w:szCs w:val="28"/>
          <w:rtl/>
        </w:rPr>
        <w:t xml:space="preserve"> </w:t>
      </w:r>
      <w:r w:rsidRPr="00E206AF">
        <w:rPr>
          <w:rFonts w:ascii="Century" w:hAnsi="Century" w:cs="FrankRuehl" w:hint="eastAsia"/>
          <w:spacing w:val="10"/>
          <w:szCs w:val="28"/>
          <w:rtl/>
        </w:rPr>
        <w:t>סמכותה</w:t>
      </w:r>
      <w:r w:rsidRPr="00E206AF">
        <w:rPr>
          <w:rFonts w:ascii="Century" w:hAnsi="Century" w:cs="FrankRuehl"/>
          <w:spacing w:val="10"/>
          <w:szCs w:val="28"/>
          <w:rtl/>
        </w:rPr>
        <w:t xml:space="preserve"> </w:t>
      </w:r>
      <w:r w:rsidRPr="00E206AF">
        <w:rPr>
          <w:rFonts w:ascii="Century" w:hAnsi="Century" w:cs="FrankRuehl" w:hint="eastAsia"/>
          <w:spacing w:val="10"/>
          <w:szCs w:val="28"/>
          <w:rtl/>
        </w:rPr>
        <w:t>של</w:t>
      </w:r>
      <w:r w:rsidRPr="00E206AF">
        <w:rPr>
          <w:rFonts w:ascii="Century" w:hAnsi="Century" w:cs="FrankRuehl"/>
          <w:spacing w:val="10"/>
          <w:szCs w:val="28"/>
          <w:rtl/>
        </w:rPr>
        <w:t xml:space="preserve"> </w:t>
      </w:r>
      <w:r w:rsidRPr="00E206AF">
        <w:rPr>
          <w:rFonts w:ascii="Century" w:hAnsi="Century" w:cs="FrankRuehl" w:hint="eastAsia"/>
          <w:spacing w:val="10"/>
          <w:szCs w:val="28"/>
          <w:rtl/>
        </w:rPr>
        <w:t>הרשות</w:t>
      </w:r>
      <w:r w:rsidRPr="00E206AF">
        <w:rPr>
          <w:rFonts w:ascii="Century" w:hAnsi="Century" w:cs="FrankRuehl"/>
          <w:spacing w:val="10"/>
          <w:szCs w:val="28"/>
          <w:rtl/>
        </w:rPr>
        <w:t xml:space="preserve"> </w:t>
      </w:r>
      <w:r w:rsidRPr="00E206AF">
        <w:rPr>
          <w:rFonts w:ascii="Century" w:hAnsi="Century" w:cs="FrankRuehl" w:hint="eastAsia"/>
          <w:spacing w:val="10"/>
          <w:szCs w:val="28"/>
          <w:rtl/>
        </w:rPr>
        <w:t>המכוננת</w:t>
      </w:r>
      <w:r w:rsidRPr="00E206AF">
        <w:rPr>
          <w:rFonts w:ascii="Century" w:hAnsi="Century" w:cs="FrankRuehl"/>
          <w:spacing w:val="10"/>
          <w:szCs w:val="28"/>
          <w:rtl/>
        </w:rPr>
        <w:t xml:space="preserve">, </w:t>
      </w:r>
      <w:r w:rsidRPr="00E206AF">
        <w:rPr>
          <w:rFonts w:ascii="Century" w:hAnsi="Century" w:cs="FrankRuehl" w:hint="eastAsia"/>
          <w:spacing w:val="10"/>
          <w:szCs w:val="28"/>
          <w:rtl/>
        </w:rPr>
        <w:t>המתמצות</w:t>
      </w:r>
      <w:r w:rsidRPr="00E206AF">
        <w:rPr>
          <w:rFonts w:ascii="Century" w:hAnsi="Century" w:cs="FrankRuehl"/>
          <w:spacing w:val="10"/>
          <w:szCs w:val="28"/>
          <w:rtl/>
        </w:rPr>
        <w:t xml:space="preserve"> </w:t>
      </w:r>
      <w:r w:rsidRPr="00E206AF">
        <w:rPr>
          <w:rFonts w:ascii="Century" w:hAnsi="Century" w:cs="FrankRuehl" w:hint="eastAsia"/>
          <w:spacing w:val="10"/>
          <w:szCs w:val="28"/>
          <w:rtl/>
        </w:rPr>
        <w:t>בשלילת</w:t>
      </w:r>
      <w:r w:rsidRPr="00E206AF">
        <w:rPr>
          <w:rFonts w:ascii="Century" w:hAnsi="Century" w:cs="FrankRuehl"/>
          <w:spacing w:val="10"/>
          <w:szCs w:val="28"/>
          <w:rtl/>
        </w:rPr>
        <w:t xml:space="preserve"> </w:t>
      </w:r>
      <w:r w:rsidRPr="00E206AF">
        <w:rPr>
          <w:rFonts w:ascii="Century" w:hAnsi="Century" w:cs="FrankRuehl" w:hint="eastAsia"/>
          <w:spacing w:val="10"/>
          <w:szCs w:val="28"/>
          <w:rtl/>
        </w:rPr>
        <w:t>זהותה</w:t>
      </w:r>
      <w:r w:rsidRPr="00E206AF">
        <w:rPr>
          <w:rFonts w:ascii="Century" w:hAnsi="Century" w:cs="FrankRuehl"/>
          <w:spacing w:val="10"/>
          <w:szCs w:val="28"/>
          <w:rtl/>
        </w:rPr>
        <w:t xml:space="preserve"> </w:t>
      </w:r>
      <w:r w:rsidRPr="00E206AF">
        <w:rPr>
          <w:rFonts w:ascii="Century" w:hAnsi="Century" w:cs="FrankRuehl" w:hint="eastAsia"/>
          <w:spacing w:val="10"/>
          <w:szCs w:val="28"/>
          <w:rtl/>
        </w:rPr>
        <w:t>של</w:t>
      </w:r>
      <w:r w:rsidRPr="00E206AF">
        <w:rPr>
          <w:rFonts w:ascii="Century" w:hAnsi="Century" w:cs="FrankRuehl"/>
          <w:spacing w:val="10"/>
          <w:szCs w:val="28"/>
          <w:rtl/>
        </w:rPr>
        <w:t xml:space="preserve"> </w:t>
      </w:r>
      <w:r w:rsidRPr="00E206AF">
        <w:rPr>
          <w:rFonts w:ascii="Century" w:hAnsi="Century" w:cs="FrankRuehl" w:hint="eastAsia"/>
          <w:spacing w:val="10"/>
          <w:szCs w:val="28"/>
          <w:rtl/>
        </w:rPr>
        <w:t>מדינת</w:t>
      </w:r>
      <w:r w:rsidRPr="00E206AF">
        <w:rPr>
          <w:rFonts w:ascii="Century" w:hAnsi="Century" w:cs="FrankRuehl"/>
          <w:spacing w:val="10"/>
          <w:szCs w:val="28"/>
          <w:rtl/>
        </w:rPr>
        <w:t xml:space="preserve"> </w:t>
      </w:r>
      <w:r w:rsidRPr="00E206AF">
        <w:rPr>
          <w:rFonts w:ascii="Century" w:hAnsi="Century" w:cs="FrankRuehl" w:hint="eastAsia"/>
          <w:spacing w:val="10"/>
          <w:szCs w:val="28"/>
          <w:rtl/>
        </w:rPr>
        <w:t>ישראל</w:t>
      </w:r>
      <w:r w:rsidRPr="00E206AF">
        <w:rPr>
          <w:rFonts w:ascii="Century" w:hAnsi="Century" w:cs="FrankRuehl"/>
          <w:spacing w:val="10"/>
          <w:szCs w:val="28"/>
          <w:rtl/>
        </w:rPr>
        <w:t xml:space="preserve"> </w:t>
      </w:r>
      <w:r w:rsidRPr="00E206AF">
        <w:rPr>
          <w:rFonts w:ascii="Century" w:hAnsi="Century" w:cs="FrankRuehl" w:hint="eastAsia"/>
          <w:spacing w:val="10"/>
          <w:szCs w:val="28"/>
          <w:rtl/>
        </w:rPr>
        <w:t>כמדינה</w:t>
      </w:r>
      <w:r w:rsidRPr="00E206AF">
        <w:rPr>
          <w:rFonts w:ascii="Century" w:hAnsi="Century" w:cs="FrankRuehl"/>
          <w:spacing w:val="10"/>
          <w:szCs w:val="28"/>
          <w:rtl/>
        </w:rPr>
        <w:t xml:space="preserve"> </w:t>
      </w:r>
      <w:r w:rsidRPr="00E206AF">
        <w:rPr>
          <w:rFonts w:ascii="Century" w:hAnsi="Century" w:cs="FrankRuehl" w:hint="eastAsia"/>
          <w:spacing w:val="10"/>
          <w:szCs w:val="28"/>
          <w:rtl/>
        </w:rPr>
        <w:t>יהודית</w:t>
      </w:r>
      <w:r w:rsidRPr="00E206AF">
        <w:rPr>
          <w:rFonts w:ascii="Century" w:hAnsi="Century" w:cs="FrankRuehl"/>
          <w:spacing w:val="10"/>
          <w:szCs w:val="28"/>
          <w:rtl/>
        </w:rPr>
        <w:t xml:space="preserve"> </w:t>
      </w:r>
      <w:r w:rsidRPr="00E206AF">
        <w:rPr>
          <w:rFonts w:ascii="Century" w:hAnsi="Century" w:cs="FrankRuehl" w:hint="eastAsia"/>
          <w:spacing w:val="10"/>
          <w:szCs w:val="28"/>
          <w:rtl/>
        </w:rPr>
        <w:t>או</w:t>
      </w:r>
      <w:r w:rsidRPr="00E206AF">
        <w:rPr>
          <w:rFonts w:ascii="Century" w:hAnsi="Century" w:cs="FrankRuehl"/>
          <w:spacing w:val="10"/>
          <w:szCs w:val="28"/>
          <w:rtl/>
        </w:rPr>
        <w:t xml:space="preserve"> </w:t>
      </w:r>
      <w:r w:rsidRPr="00E206AF">
        <w:rPr>
          <w:rFonts w:ascii="Century" w:hAnsi="Century" w:cs="FrankRuehl" w:hint="eastAsia"/>
          <w:spacing w:val="10"/>
          <w:szCs w:val="28"/>
          <w:rtl/>
        </w:rPr>
        <w:t>דמוקרטית</w:t>
      </w:r>
      <w:r w:rsidRPr="00E206AF">
        <w:rPr>
          <w:rFonts w:ascii="Century" w:hAnsi="Century" w:cs="FrankRuehl"/>
          <w:spacing w:val="10"/>
          <w:szCs w:val="28"/>
          <w:rtl/>
        </w:rPr>
        <w:t>" (</w:t>
      </w:r>
      <w:r w:rsidRPr="00E206AF">
        <w:rPr>
          <w:rFonts w:ascii="Century" w:hAnsi="Century" w:cs="FrankRuehl" w:hint="eastAsia"/>
          <w:spacing w:val="10"/>
          <w:szCs w:val="28"/>
          <w:rtl/>
        </w:rPr>
        <w:t>בג</w:t>
      </w:r>
      <w:r w:rsidRPr="00E206AF">
        <w:rPr>
          <w:rFonts w:ascii="Century" w:hAnsi="Century" w:cs="FrankRuehl"/>
          <w:spacing w:val="10"/>
          <w:szCs w:val="28"/>
          <w:rtl/>
        </w:rPr>
        <w:t>"</w:t>
      </w:r>
      <w:r w:rsidRPr="00E206AF">
        <w:rPr>
          <w:rFonts w:ascii="Century" w:hAnsi="Century" w:cs="FrankRuehl" w:hint="eastAsia"/>
          <w:spacing w:val="10"/>
          <w:szCs w:val="28"/>
          <w:rtl/>
        </w:rPr>
        <w:t>ץ</w:t>
      </w:r>
      <w:r w:rsidRPr="00E206AF">
        <w:rPr>
          <w:rFonts w:ascii="Century" w:hAnsi="Century" w:cs="FrankRuehl"/>
          <w:spacing w:val="10"/>
          <w:szCs w:val="28"/>
          <w:rtl/>
        </w:rPr>
        <w:t xml:space="preserve"> 5555/18 </w:t>
      </w:r>
      <w:r w:rsidRPr="00E206AF">
        <w:rPr>
          <w:rFonts w:ascii="Century" w:hAnsi="Century" w:cs="Miriam" w:hint="eastAsia"/>
          <w:b/>
          <w:sz w:val="22"/>
          <w:rtl/>
        </w:rPr>
        <w:t>חסון</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כנסת</w:t>
      </w:r>
      <w:r w:rsidRPr="00E206AF">
        <w:rPr>
          <w:rFonts w:ascii="Century" w:hAnsi="Century" w:cs="Miriam"/>
          <w:b/>
          <w:sz w:val="22"/>
          <w:rtl/>
        </w:rPr>
        <w:t xml:space="preserve"> </w:t>
      </w:r>
      <w:r w:rsidRPr="00E206AF">
        <w:rPr>
          <w:rFonts w:ascii="Century" w:hAnsi="Century" w:cs="Miriam" w:hint="eastAsia"/>
          <w:b/>
          <w:sz w:val="22"/>
          <w:rtl/>
        </w:rPr>
        <w:t>ישראל</w:t>
      </w:r>
      <w:r w:rsidRPr="00E206AF">
        <w:rPr>
          <w:rFonts w:ascii="Century" w:hAnsi="Century" w:cs="FrankRuehl"/>
          <w:spacing w:val="10"/>
          <w:szCs w:val="28"/>
          <w:rtl/>
        </w:rPr>
        <w:t xml:space="preserve">, </w:t>
      </w:r>
      <w:r w:rsidRPr="00E206AF">
        <w:rPr>
          <w:rFonts w:ascii="Century" w:hAnsi="Century" w:cs="FrankRuehl" w:hint="eastAsia"/>
          <w:spacing w:val="10"/>
          <w:szCs w:val="28"/>
          <w:rtl/>
        </w:rPr>
        <w:t>פס</w:t>
      </w:r>
      <w:r w:rsidRPr="00E206AF">
        <w:rPr>
          <w:rFonts w:ascii="Century" w:hAnsi="Century" w:cs="FrankRuehl"/>
          <w:spacing w:val="10"/>
          <w:szCs w:val="28"/>
          <w:rtl/>
        </w:rPr>
        <w:t xml:space="preserve">' 27 </w:t>
      </w:r>
      <w:r w:rsidRPr="00E206AF">
        <w:rPr>
          <w:rFonts w:ascii="Century" w:hAnsi="Century" w:cs="FrankRuehl" w:hint="eastAsia"/>
          <w:spacing w:val="10"/>
          <w:szCs w:val="28"/>
          <w:rtl/>
        </w:rPr>
        <w:t>לפסק</w:t>
      </w:r>
      <w:r w:rsidRPr="00E206AF">
        <w:rPr>
          <w:rFonts w:ascii="Century" w:hAnsi="Century" w:cs="FrankRuehl"/>
          <w:spacing w:val="10"/>
          <w:szCs w:val="28"/>
          <w:rtl/>
        </w:rPr>
        <w:t xml:space="preserve"> </w:t>
      </w:r>
      <w:r w:rsidRPr="00E206AF">
        <w:rPr>
          <w:rFonts w:ascii="Century" w:hAnsi="Century" w:cs="FrankRuehl" w:hint="eastAsia"/>
          <w:spacing w:val="10"/>
          <w:szCs w:val="28"/>
          <w:rtl/>
        </w:rPr>
        <w:t>דינה</w:t>
      </w:r>
      <w:r w:rsidRPr="00E206AF">
        <w:rPr>
          <w:rFonts w:ascii="Century" w:hAnsi="Century" w:cs="FrankRuehl"/>
          <w:spacing w:val="10"/>
          <w:szCs w:val="28"/>
          <w:rtl/>
        </w:rPr>
        <w:t xml:space="preserve"> </w:t>
      </w:r>
      <w:r w:rsidRPr="00E206AF">
        <w:rPr>
          <w:rFonts w:ascii="Century" w:hAnsi="Century" w:cs="FrankRuehl" w:hint="eastAsia"/>
          <w:spacing w:val="10"/>
          <w:szCs w:val="28"/>
          <w:rtl/>
        </w:rPr>
        <w:t>של</w:t>
      </w:r>
      <w:r w:rsidRPr="00E206AF">
        <w:rPr>
          <w:rFonts w:ascii="Century" w:hAnsi="Century" w:cs="FrankRuehl"/>
          <w:spacing w:val="10"/>
          <w:szCs w:val="28"/>
          <w:rtl/>
        </w:rPr>
        <w:t xml:space="preserve"> </w:t>
      </w:r>
      <w:r w:rsidRPr="00E206AF">
        <w:rPr>
          <w:rFonts w:ascii="Century" w:hAnsi="Century" w:cs="FrankRuehl" w:hint="eastAsia"/>
          <w:spacing w:val="10"/>
          <w:szCs w:val="28"/>
          <w:rtl/>
        </w:rPr>
        <w:t>הנשיאה</w:t>
      </w:r>
      <w:r w:rsidRPr="00E206AF">
        <w:rPr>
          <w:rFonts w:ascii="Century" w:hAnsi="Century" w:cs="Miriam"/>
          <w:b/>
          <w:sz w:val="22"/>
          <w:rtl/>
        </w:rPr>
        <w:t xml:space="preserve"> </w:t>
      </w:r>
      <w:r w:rsidRPr="00E206AF">
        <w:rPr>
          <w:rFonts w:ascii="Century" w:hAnsi="Century" w:cs="Miriam" w:hint="eastAsia"/>
          <w:b/>
          <w:sz w:val="22"/>
          <w:rtl/>
        </w:rPr>
        <w:t>חיות</w:t>
      </w:r>
      <w:r w:rsidRPr="00E206AF">
        <w:rPr>
          <w:rFonts w:ascii="Century" w:hAnsi="Century" w:cs="FrankRuehl"/>
          <w:spacing w:val="10"/>
          <w:szCs w:val="28"/>
          <w:rtl/>
        </w:rPr>
        <w:t xml:space="preserve"> (8.7.2021)</w:t>
      </w:r>
      <w:r>
        <w:rPr>
          <w:rFonts w:ascii="Century" w:hAnsi="Century" w:cs="FrankRuehl" w:hint="cs"/>
          <w:spacing w:val="10"/>
          <w:szCs w:val="28"/>
          <w:rtl/>
        </w:rPr>
        <w:t xml:space="preserve"> (להלן: עניין </w:t>
      </w:r>
      <w:r>
        <w:rPr>
          <w:rFonts w:ascii="Century" w:hAnsi="Century" w:cs="Miriam" w:hint="cs"/>
          <w:b/>
          <w:sz w:val="22"/>
          <w:rtl/>
        </w:rPr>
        <w:t>חוק הלאום</w:t>
      </w:r>
      <w:r>
        <w:rPr>
          <w:rFonts w:ascii="Century" w:hAnsi="Century" w:cs="FrankRuehl" w:hint="cs"/>
          <w:spacing w:val="10"/>
          <w:sz w:val="22"/>
          <w:szCs w:val="28"/>
          <w:rtl/>
        </w:rPr>
        <w:t>)).</w:t>
      </w:r>
      <w:r>
        <w:rPr>
          <w:rFonts w:ascii="Century" w:hAnsi="Century" w:cs="Miriam" w:hint="cs"/>
          <w:b/>
          <w:sz w:val="22"/>
          <w:rtl/>
        </w:rPr>
        <w:t xml:space="preserve"> </w:t>
      </w:r>
      <w:r>
        <w:rPr>
          <w:rFonts w:ascii="Century" w:hAnsi="Century" w:cs="FrankRuehl" w:hint="cs"/>
          <w:spacing w:val="10"/>
          <w:szCs w:val="28"/>
          <w:rtl/>
        </w:rPr>
        <w:t xml:space="preserve">אין לי אלא להצטרף לעמדה זו, על הנמקותיה. </w:t>
      </w:r>
      <w:r w:rsidRPr="00E206AF">
        <w:rPr>
          <w:rFonts w:ascii="Century" w:hAnsi="Century" w:cs="FrankRuehl" w:hint="cs"/>
          <w:spacing w:val="10"/>
          <w:szCs w:val="28"/>
          <w:rtl/>
        </w:rPr>
        <w:t xml:space="preserve">לצד זאת, הפסיקה טרם הכריעה בשאלה האם בית משפט זה מוסמך לערוך ביקורת שיפוטית </w:t>
      </w:r>
      <w:r w:rsidRPr="00E206AF">
        <w:rPr>
          <w:rFonts w:ascii="Century" w:hAnsi="Century" w:cs="Miriam" w:hint="cs"/>
          <w:b/>
          <w:sz w:val="22"/>
          <w:rtl/>
        </w:rPr>
        <w:t>מהותית</w:t>
      </w:r>
      <w:r w:rsidRPr="00E206AF">
        <w:rPr>
          <w:rFonts w:ascii="Century" w:hAnsi="Century" w:cs="FrankRuehl" w:hint="cs"/>
          <w:spacing w:val="10"/>
          <w:szCs w:val="28"/>
          <w:rtl/>
        </w:rPr>
        <w:t xml:space="preserve"> על פעולות המכונן החורגות מן המגבלות הנ"ל. שאלה זו </w:t>
      </w:r>
      <w:r w:rsidRPr="00E206AF">
        <w:rPr>
          <w:rFonts w:ascii="Century" w:hAnsi="Century" w:cs="FrankRuehl"/>
          <w:spacing w:val="10"/>
          <w:szCs w:val="28"/>
          <w:rtl/>
        </w:rPr>
        <w:t xml:space="preserve">סבוכה </w:t>
      </w:r>
      <w:r w:rsidRPr="00E206AF">
        <w:rPr>
          <w:rFonts w:ascii="Century" w:hAnsi="Century" w:cs="FrankRuehl" w:hint="cs"/>
          <w:spacing w:val="10"/>
          <w:szCs w:val="28"/>
          <w:rtl/>
        </w:rPr>
        <w:t xml:space="preserve">ומורכבת </w:t>
      </w:r>
      <w:r w:rsidRPr="00E206AF">
        <w:rPr>
          <w:rFonts w:ascii="Century" w:hAnsi="Century" w:cs="FrankRuehl"/>
          <w:spacing w:val="10"/>
          <w:szCs w:val="28"/>
          <w:rtl/>
        </w:rPr>
        <w:t>היא,</w:t>
      </w:r>
      <w:r w:rsidRPr="00E206AF">
        <w:rPr>
          <w:rFonts w:ascii="Century" w:hAnsi="Century" w:cs="FrankRuehl" w:hint="cs"/>
          <w:spacing w:val="10"/>
          <w:szCs w:val="28"/>
          <w:rtl/>
        </w:rPr>
        <w:t xml:space="preserve"> ועמדות רבות ומגוונות נשמעו בעניינה (להרחבה ראו את סקירתה המקיפה של הנשיאה (בדימ') </w:t>
      </w:r>
      <w:r w:rsidRPr="00E206AF">
        <w:rPr>
          <w:rFonts w:ascii="Century" w:hAnsi="Century" w:cs="Miriam" w:hint="cs"/>
          <w:b/>
          <w:sz w:val="22"/>
          <w:rtl/>
        </w:rPr>
        <w:t>חיות</w:t>
      </w:r>
      <w:r w:rsidRPr="00E206AF">
        <w:rPr>
          <w:rFonts w:ascii="Century" w:hAnsi="Century" w:cs="FrankRuehl" w:hint="cs"/>
          <w:spacing w:val="10"/>
          <w:szCs w:val="28"/>
          <w:rtl/>
        </w:rPr>
        <w:t xml:space="preserve"> </w:t>
      </w:r>
      <w:r>
        <w:rPr>
          <w:rFonts w:ascii="Century" w:hAnsi="Century" w:cs="FrankRuehl" w:hint="cs"/>
          <w:spacing w:val="10"/>
          <w:szCs w:val="28"/>
          <w:rtl/>
        </w:rPr>
        <w:t>בחוות דעתה</w:t>
      </w:r>
      <w:r w:rsidRPr="00E206AF">
        <w:rPr>
          <w:rFonts w:ascii="Century" w:hAnsi="Century" w:cs="FrankRuehl" w:hint="cs"/>
          <w:spacing w:val="10"/>
          <w:szCs w:val="28"/>
          <w:rtl/>
        </w:rPr>
        <w:t>).</w:t>
      </w:r>
    </w:p>
    <w:p w:rsidR="00E32081" w:rsidRPr="00E206AF" w:rsidRDefault="00E32081" w:rsidP="00E32081">
      <w:pPr>
        <w:spacing w:line="360" w:lineRule="auto"/>
        <w:jc w:val="both"/>
        <w:rPr>
          <w:rFonts w:ascii="Century" w:hAnsi="Century" w:cs="FrankRuehl"/>
          <w:spacing w:val="10"/>
          <w:szCs w:val="28"/>
          <w:rtl/>
        </w:rPr>
      </w:pPr>
    </w:p>
    <w:p w:rsidR="00E32081" w:rsidRPr="00E206AF" w:rsidRDefault="00E32081" w:rsidP="00E32081">
      <w:pPr>
        <w:spacing w:line="360" w:lineRule="auto"/>
        <w:jc w:val="both"/>
        <w:rPr>
          <w:rFonts w:ascii="Century" w:hAnsi="Century" w:cs="FrankRuehl"/>
          <w:spacing w:val="10"/>
          <w:szCs w:val="28"/>
          <w:rtl/>
        </w:rPr>
      </w:pPr>
      <w:r w:rsidRPr="00E206AF">
        <w:rPr>
          <w:rFonts w:ascii="Century" w:hAnsi="Century" w:cs="FrankRuehl" w:hint="cs"/>
          <w:spacing w:val="10"/>
          <w:szCs w:val="28"/>
          <w:rtl/>
        </w:rPr>
        <w:t>4.</w:t>
      </w:r>
      <w:r w:rsidRPr="00E206AF">
        <w:rPr>
          <w:rFonts w:ascii="Century" w:hAnsi="Century" w:cs="FrankRuehl" w:hint="cs"/>
          <w:spacing w:val="10"/>
          <w:szCs w:val="28"/>
          <w:rtl/>
        </w:rPr>
        <w:tab/>
        <w:t xml:space="preserve">כאמור, דעתי היא, כפי שכבר נזדמן לי להעיר בעבר, כי לבית משפט זה נתונה הסמכות, במקרים </w:t>
      </w:r>
      <w:r w:rsidRPr="00AB0F5D">
        <w:rPr>
          <w:rFonts w:ascii="Century" w:hAnsi="Century" w:cs="FrankRuehl" w:hint="cs"/>
          <w:spacing w:val="10"/>
          <w:szCs w:val="28"/>
          <w:rtl/>
        </w:rPr>
        <w:t>חריגים</w:t>
      </w:r>
      <w:r w:rsidRPr="00E206AF">
        <w:rPr>
          <w:rFonts w:ascii="Century" w:hAnsi="Century" w:cs="FrankRuehl" w:hint="cs"/>
          <w:spacing w:val="10"/>
          <w:szCs w:val="28"/>
          <w:rtl/>
        </w:rPr>
        <w:t>, לערוך ביקורת שיפוטית על חוקי יסוד (</w:t>
      </w:r>
      <w:r w:rsidRPr="00E206AF">
        <w:rPr>
          <w:rFonts w:ascii="Century" w:hAnsi="Century" w:cs="FrankRuehl"/>
          <w:spacing w:val="10"/>
          <w:szCs w:val="28"/>
          <w:rtl/>
        </w:rPr>
        <w:t xml:space="preserve">בג"ץ 8948/22 </w:t>
      </w:r>
      <w:r w:rsidRPr="00E206AF">
        <w:rPr>
          <w:rFonts w:ascii="Century" w:hAnsi="Century" w:cs="Miriam"/>
          <w:b/>
          <w:sz w:val="22"/>
          <w:rtl/>
        </w:rPr>
        <w:t>שיינפלד נ' הכנסת</w:t>
      </w:r>
      <w:r w:rsidRPr="00E206AF">
        <w:rPr>
          <w:rFonts w:ascii="Century" w:hAnsi="Century" w:cs="FrankRuehl" w:hint="cs"/>
          <w:spacing w:val="10"/>
          <w:szCs w:val="28"/>
          <w:rtl/>
        </w:rPr>
        <w:t xml:space="preserve">, פס' 17 לפסק דיני </w:t>
      </w:r>
      <w:r w:rsidRPr="00E206AF">
        <w:rPr>
          <w:rFonts w:ascii="Century" w:hAnsi="Century" w:cs="FrankRuehl"/>
          <w:spacing w:val="10"/>
          <w:szCs w:val="28"/>
          <w:rtl/>
        </w:rPr>
        <w:t>(18.1.2023)</w:t>
      </w:r>
      <w:r w:rsidRPr="00E206AF">
        <w:rPr>
          <w:rFonts w:ascii="Century" w:hAnsi="Century" w:cs="FrankRuehl" w:hint="cs"/>
          <w:spacing w:val="10"/>
          <w:szCs w:val="28"/>
          <w:rtl/>
        </w:rPr>
        <w:t>). אמנם נכון</w:t>
      </w:r>
      <w:r>
        <w:rPr>
          <w:rFonts w:ascii="Century" w:hAnsi="Century" w:cs="FrankRuehl" w:hint="cs"/>
          <w:spacing w:val="10"/>
          <w:szCs w:val="28"/>
          <w:rtl/>
        </w:rPr>
        <w:t xml:space="preserve"> הדבר, כי</w:t>
      </w:r>
      <w:r w:rsidRPr="00E206AF">
        <w:rPr>
          <w:rFonts w:ascii="Century" w:hAnsi="Century" w:cs="FrankRuehl" w:hint="cs"/>
          <w:spacing w:val="10"/>
          <w:szCs w:val="28"/>
          <w:rtl/>
        </w:rPr>
        <w:t xml:space="preserve"> המכונן טרם הסדיר באופן מפורש את הסוגיה דנן. ואולם, אני סבורה כי איננו ניצבים בעניין זה בפני "ריק נורמטיבי" </w:t>
      </w:r>
      <w:r w:rsidRPr="00E206AF">
        <w:rPr>
          <w:rFonts w:ascii="Century" w:hAnsi="Century" w:cs="FrankRuehl"/>
          <w:spacing w:val="10"/>
          <w:szCs w:val="28"/>
          <w:rtl/>
        </w:rPr>
        <w:t>–</w:t>
      </w:r>
      <w:r w:rsidRPr="00E206AF">
        <w:rPr>
          <w:rFonts w:ascii="Century" w:hAnsi="Century" w:cs="FrankRuehl" w:hint="cs"/>
          <w:spacing w:val="10"/>
          <w:szCs w:val="28"/>
          <w:rtl/>
        </w:rPr>
        <w:t xml:space="preserve"> שכן</w:t>
      </w:r>
      <w:r>
        <w:rPr>
          <w:rFonts w:ascii="Century" w:hAnsi="Century" w:cs="FrankRuehl" w:hint="cs"/>
          <w:spacing w:val="10"/>
          <w:szCs w:val="28"/>
          <w:rtl/>
        </w:rPr>
        <w:t xml:space="preserve">, </w:t>
      </w:r>
      <w:r w:rsidRPr="00E206AF">
        <w:rPr>
          <w:rFonts w:ascii="Century" w:hAnsi="Century" w:cs="FrankRuehl" w:hint="cs"/>
          <w:spacing w:val="10"/>
          <w:szCs w:val="28"/>
          <w:rtl/>
        </w:rPr>
        <w:t xml:space="preserve">מצויה בידינו </w:t>
      </w:r>
      <w:r>
        <w:rPr>
          <w:rFonts w:ascii="Century" w:hAnsi="Century" w:cs="FrankRuehl" w:hint="cs"/>
          <w:spacing w:val="10"/>
          <w:szCs w:val="28"/>
          <w:rtl/>
        </w:rPr>
        <w:t>אף</w:t>
      </w:r>
      <w:r w:rsidRPr="00E206AF">
        <w:rPr>
          <w:rFonts w:ascii="Century" w:hAnsi="Century" w:cs="FrankRuehl" w:hint="cs"/>
          <w:spacing w:val="10"/>
          <w:szCs w:val="28"/>
          <w:rtl/>
        </w:rPr>
        <w:t xml:space="preserve"> ההוראה המעוגנת בסעיף 15(ג) לחוק יסוד: השפיטה (להלן גם: </w:t>
      </w:r>
      <w:r w:rsidRPr="00E206AF">
        <w:rPr>
          <w:rFonts w:ascii="Century" w:hAnsi="Century" w:cs="Miriam" w:hint="cs"/>
          <w:b/>
          <w:sz w:val="22"/>
          <w:rtl/>
        </w:rPr>
        <w:t>סעיף 15(ג)</w:t>
      </w:r>
      <w:r w:rsidRPr="00E206AF">
        <w:rPr>
          <w:rFonts w:ascii="Century" w:hAnsi="Century" w:cs="FrankRuehl" w:hint="cs"/>
          <w:spacing w:val="10"/>
          <w:szCs w:val="28"/>
          <w:rtl/>
        </w:rPr>
        <w:t>) שזו לשונה:</w:t>
      </w:r>
    </w:p>
    <w:p w:rsidR="00E32081" w:rsidRPr="00E206AF" w:rsidRDefault="00E32081" w:rsidP="00E32081">
      <w:pPr>
        <w:spacing w:line="360" w:lineRule="auto"/>
        <w:jc w:val="both"/>
        <w:rPr>
          <w:rFonts w:ascii="Century" w:hAnsi="Century" w:cs="FrankRuehl"/>
          <w:spacing w:val="10"/>
          <w:szCs w:val="28"/>
          <w:rtl/>
        </w:rPr>
      </w:pPr>
    </w:p>
    <w:p w:rsidR="00E32081" w:rsidRPr="00E206AF" w:rsidRDefault="00E32081" w:rsidP="00E32081">
      <w:pPr>
        <w:tabs>
          <w:tab w:val="left" w:pos="800"/>
        </w:tabs>
        <w:ind w:left="1644" w:right="1247"/>
        <w:jc w:val="both"/>
        <w:rPr>
          <w:rFonts w:ascii="Garamond" w:hAnsi="Garamond" w:cs="FrankRuehl"/>
          <w:spacing w:val="10"/>
          <w:sz w:val="24"/>
          <w:szCs w:val="28"/>
          <w:rtl/>
        </w:rPr>
      </w:pPr>
      <w:r w:rsidRPr="00E206AF">
        <w:rPr>
          <w:rFonts w:ascii="Garamond" w:hAnsi="Garamond" w:cs="FrankRuehl" w:hint="cs"/>
          <w:spacing w:val="10"/>
          <w:sz w:val="24"/>
          <w:szCs w:val="28"/>
          <w:rtl/>
        </w:rPr>
        <w:t>(ג)</w:t>
      </w:r>
      <w:r w:rsidRPr="00E206AF">
        <w:rPr>
          <w:rFonts w:ascii="Garamond" w:hAnsi="Garamond" w:cs="FrankRuehl" w:hint="cs"/>
          <w:spacing w:val="10"/>
          <w:sz w:val="24"/>
          <w:szCs w:val="28"/>
          <w:rtl/>
        </w:rPr>
        <w:tab/>
      </w:r>
      <w:r w:rsidRPr="00E206AF">
        <w:rPr>
          <w:rFonts w:ascii="Garamond" w:hAnsi="Garamond" w:cs="FrankRuehl"/>
          <w:spacing w:val="10"/>
          <w:sz w:val="24"/>
          <w:szCs w:val="28"/>
          <w:rtl/>
        </w:rPr>
        <w:t>בית המשפט העליון ישב גם כבית משפט גבוה לצדק; בשבתו</w:t>
      </w:r>
      <w:r w:rsidRPr="00E206AF">
        <w:rPr>
          <w:rFonts w:ascii="Garamond" w:hAnsi="Garamond" w:cs="FrankRuehl" w:hint="cs"/>
          <w:spacing w:val="10"/>
          <w:sz w:val="24"/>
          <w:szCs w:val="28"/>
          <w:rtl/>
        </w:rPr>
        <w:t xml:space="preserve"> </w:t>
      </w:r>
      <w:r w:rsidRPr="00E206AF">
        <w:rPr>
          <w:rFonts w:ascii="Garamond" w:hAnsi="Garamond" w:cs="FrankRuehl"/>
          <w:spacing w:val="10"/>
          <w:sz w:val="24"/>
          <w:szCs w:val="28"/>
          <w:rtl/>
        </w:rPr>
        <w:t>כאמור</w:t>
      </w:r>
      <w:r w:rsidRPr="00E206AF">
        <w:rPr>
          <w:rFonts w:ascii="Century" w:hAnsi="Century" w:cs="Miriam"/>
          <w:b/>
          <w:sz w:val="22"/>
          <w:rtl/>
        </w:rPr>
        <w:t xml:space="preserve"> </w:t>
      </w:r>
      <w:r w:rsidRPr="00E206AF">
        <w:rPr>
          <w:rFonts w:ascii="Century" w:hAnsi="Century" w:cs="FrankRuehl" w:hint="eastAsia"/>
          <w:spacing w:val="10"/>
          <w:sz w:val="22"/>
          <w:szCs w:val="28"/>
          <w:rtl/>
        </w:rPr>
        <w:t>ידון</w:t>
      </w:r>
      <w:r w:rsidRPr="00E206AF">
        <w:rPr>
          <w:rFonts w:ascii="Garamond" w:hAnsi="Garamond" w:cs="FrankRuehl"/>
          <w:spacing w:val="10"/>
          <w:sz w:val="24"/>
          <w:szCs w:val="28"/>
          <w:rtl/>
        </w:rPr>
        <w:t xml:space="preserve"> בענינים אשר הוא רואה צורך לתת בהם סעד למען הצדק ואשר אינם בסמכותו של בית משפט או של בית דין אחר.</w:t>
      </w:r>
      <w:r w:rsidRPr="00E206AF">
        <w:rPr>
          <w:rFonts w:ascii="Garamond" w:hAnsi="Garamond" w:cs="FrankRuehl"/>
          <w:color w:val="FFFFFF"/>
          <w:spacing w:val="10"/>
          <w:sz w:val="4"/>
          <w:szCs w:val="4"/>
          <w:rtl/>
        </w:rPr>
        <w:t>ב</w:t>
      </w:r>
    </w:p>
    <w:p w:rsidR="00E32081" w:rsidRPr="00E206AF" w:rsidRDefault="00E32081" w:rsidP="00E32081">
      <w:pPr>
        <w:spacing w:line="360" w:lineRule="auto"/>
        <w:jc w:val="both"/>
        <w:rPr>
          <w:rFonts w:ascii="Century" w:hAnsi="Century" w:cs="FrankRuehl"/>
          <w:spacing w:val="10"/>
          <w:szCs w:val="28"/>
          <w:rtl/>
        </w:rPr>
      </w:pPr>
    </w:p>
    <w:p w:rsidR="00E32081" w:rsidRPr="00E206AF" w:rsidRDefault="00E32081" w:rsidP="00E32081">
      <w:pPr>
        <w:spacing w:line="360" w:lineRule="auto"/>
        <w:jc w:val="both"/>
        <w:rPr>
          <w:rFonts w:ascii="Century" w:hAnsi="Century" w:cs="FrankRuehl"/>
          <w:spacing w:val="10"/>
          <w:szCs w:val="28"/>
          <w:rtl/>
        </w:rPr>
      </w:pPr>
      <w:r w:rsidRPr="00E206AF">
        <w:rPr>
          <w:rFonts w:ascii="Century" w:hAnsi="Century" w:cs="FrankRuehl"/>
          <w:spacing w:val="10"/>
          <w:szCs w:val="28"/>
          <w:rtl/>
        </w:rPr>
        <w:tab/>
      </w:r>
      <w:r w:rsidRPr="00E206AF">
        <w:rPr>
          <w:rFonts w:ascii="Century" w:hAnsi="Century" w:cs="FrankRuehl" w:hint="cs"/>
          <w:spacing w:val="10"/>
          <w:szCs w:val="28"/>
          <w:rtl/>
        </w:rPr>
        <w:t>סבורני, כי המכונן רשאי, ככלל, להסמיך בגדרו של חוק יסוד: השפיטה</w:t>
      </w:r>
      <w:r>
        <w:rPr>
          <w:rFonts w:ascii="Century" w:hAnsi="Century" w:cs="FrankRuehl" w:hint="cs"/>
          <w:spacing w:val="10"/>
          <w:szCs w:val="28"/>
          <w:rtl/>
        </w:rPr>
        <w:t>,</w:t>
      </w:r>
      <w:r w:rsidRPr="00E206AF">
        <w:rPr>
          <w:rFonts w:ascii="Century" w:hAnsi="Century" w:cs="FrankRuehl" w:hint="cs"/>
          <w:spacing w:val="10"/>
          <w:szCs w:val="28"/>
          <w:rtl/>
        </w:rPr>
        <w:t xml:space="preserve"> את בית משפט זה לערוך ביקורת שיפוטית על חוקי יסוד. מכאן, שהשאלה אם קיימת הסמכה כזו, היא בעיקרה שאלה פרשנית של הוראות חוק יסוד השפיטה. דעתי בשאלה זאת היא כי אכן </w:t>
      </w:r>
      <w:r>
        <w:rPr>
          <w:rFonts w:ascii="Century" w:hAnsi="Century" w:cs="FrankRuehl" w:hint="cs"/>
          <w:spacing w:val="10"/>
          <w:szCs w:val="28"/>
          <w:rtl/>
        </w:rPr>
        <w:t>אפשרי</w:t>
      </w:r>
      <w:r w:rsidRPr="00E206AF">
        <w:rPr>
          <w:rFonts w:ascii="Century" w:hAnsi="Century" w:cs="FrankRuehl"/>
          <w:spacing w:val="10"/>
          <w:szCs w:val="28"/>
          <w:rtl/>
        </w:rPr>
        <w:t xml:space="preserve"> </w:t>
      </w:r>
      <w:r w:rsidRPr="00E206AF">
        <w:rPr>
          <w:rFonts w:ascii="Century" w:hAnsi="Century" w:cs="FrankRuehl" w:hint="eastAsia"/>
          <w:spacing w:val="10"/>
          <w:szCs w:val="28"/>
          <w:rtl/>
        </w:rPr>
        <w:t>לראות</w:t>
      </w:r>
      <w:r w:rsidRPr="00E206AF">
        <w:rPr>
          <w:rFonts w:ascii="Century" w:hAnsi="Century" w:cs="FrankRuehl"/>
          <w:spacing w:val="10"/>
          <w:szCs w:val="28"/>
          <w:rtl/>
        </w:rPr>
        <w:t xml:space="preserve"> </w:t>
      </w:r>
      <w:r>
        <w:rPr>
          <w:rFonts w:ascii="Century" w:hAnsi="Century" w:cs="FrankRuehl" w:hint="cs"/>
          <w:spacing w:val="10"/>
          <w:szCs w:val="28"/>
          <w:rtl/>
        </w:rPr>
        <w:t xml:space="preserve">אף </w:t>
      </w:r>
      <w:r w:rsidRPr="00E206AF">
        <w:rPr>
          <w:rFonts w:ascii="Century" w:hAnsi="Century" w:cs="FrankRuehl" w:hint="eastAsia"/>
          <w:spacing w:val="10"/>
          <w:szCs w:val="28"/>
          <w:rtl/>
        </w:rPr>
        <w:t>בהורא</w:t>
      </w:r>
      <w:r w:rsidRPr="00E206AF">
        <w:rPr>
          <w:rFonts w:ascii="Century" w:hAnsi="Century" w:cs="FrankRuehl" w:hint="cs"/>
          <w:spacing w:val="10"/>
          <w:szCs w:val="28"/>
          <w:rtl/>
        </w:rPr>
        <w:t xml:space="preserve">ת סעיף 15(ג) </w:t>
      </w:r>
      <w:r w:rsidRPr="00E206AF">
        <w:rPr>
          <w:rFonts w:ascii="Century" w:hAnsi="Century" w:cs="FrankRuehl"/>
          <w:spacing w:val="10"/>
          <w:szCs w:val="28"/>
          <w:rtl/>
        </w:rPr>
        <w:t>מקור</w:t>
      </w:r>
      <w:r w:rsidRPr="00E206AF">
        <w:rPr>
          <w:rFonts w:ascii="Century" w:hAnsi="Century" w:cs="FrankRuehl" w:hint="cs"/>
          <w:spacing w:val="10"/>
          <w:szCs w:val="28"/>
          <w:rtl/>
        </w:rPr>
        <w:t xml:space="preserve"> סמכות לעריכת ביקורת שיפוטית על תוכנם של חוקי יסוד.</w:t>
      </w:r>
    </w:p>
    <w:p w:rsidR="00E32081" w:rsidRPr="00E206AF" w:rsidRDefault="00E32081" w:rsidP="00E32081">
      <w:pPr>
        <w:spacing w:line="360" w:lineRule="auto"/>
        <w:jc w:val="both"/>
        <w:rPr>
          <w:rFonts w:ascii="Century" w:hAnsi="Century" w:cs="FrankRuehl"/>
          <w:spacing w:val="10"/>
          <w:szCs w:val="28"/>
          <w:rtl/>
        </w:rPr>
      </w:pPr>
    </w:p>
    <w:p w:rsidR="00E32081" w:rsidRPr="00EF5F0B" w:rsidRDefault="00E32081" w:rsidP="00E32081">
      <w:pPr>
        <w:spacing w:line="360" w:lineRule="auto"/>
        <w:jc w:val="both"/>
        <w:rPr>
          <w:rFonts w:ascii="Century" w:hAnsi="Century"/>
          <w:smallCaps/>
          <w:sz w:val="22"/>
          <w:szCs w:val="22"/>
          <w:rtl/>
        </w:rPr>
      </w:pPr>
      <w:r>
        <w:rPr>
          <w:rFonts w:ascii="Century" w:hAnsi="Century" w:cs="FrankRuehl" w:hint="cs"/>
          <w:spacing w:val="10"/>
          <w:szCs w:val="28"/>
          <w:rtl/>
        </w:rPr>
        <w:t>5</w:t>
      </w:r>
      <w:r w:rsidRPr="00E206AF">
        <w:rPr>
          <w:rFonts w:ascii="Century" w:hAnsi="Century" w:cs="FrankRuehl" w:hint="cs"/>
          <w:spacing w:val="10"/>
          <w:szCs w:val="28"/>
          <w:rtl/>
        </w:rPr>
        <w:t>.</w:t>
      </w:r>
      <w:r w:rsidRPr="00E206AF">
        <w:rPr>
          <w:rFonts w:ascii="Century" w:hAnsi="Century" w:cs="FrankRuehl" w:hint="cs"/>
          <w:spacing w:val="10"/>
          <w:szCs w:val="28"/>
          <w:rtl/>
        </w:rPr>
        <w:tab/>
        <w:t xml:space="preserve">נראה כי לאור הלשון הכללית של סעיף 15(ג), פרשנות כאמור אפשרית מבחינה לשונית. כמו כן, בהינתן שביקורת שיפוטית על חוקי יסוד שמורה רק למקרים שבהם המכונן שולל את </w:t>
      </w:r>
      <w:r w:rsidRPr="00E206AF">
        <w:rPr>
          <w:rFonts w:ascii="Century" w:hAnsi="Century" w:cs="Miriam" w:hint="eastAsia"/>
          <w:b/>
          <w:sz w:val="22"/>
          <w:rtl/>
        </w:rPr>
        <w:t>ליבת</w:t>
      </w:r>
      <w:r w:rsidRPr="00E206AF">
        <w:rPr>
          <w:rFonts w:ascii="Century" w:hAnsi="Century" w:cs="Miriam"/>
          <w:b/>
          <w:sz w:val="22"/>
          <w:rtl/>
        </w:rPr>
        <w:t xml:space="preserve"> </w:t>
      </w:r>
      <w:r w:rsidRPr="00E206AF">
        <w:rPr>
          <w:rFonts w:ascii="Century" w:hAnsi="Century" w:cs="Miriam" w:hint="eastAsia"/>
          <w:b/>
          <w:sz w:val="22"/>
          <w:rtl/>
        </w:rPr>
        <w:t>הזהות</w:t>
      </w:r>
      <w:r w:rsidRPr="00E206AF">
        <w:rPr>
          <w:rFonts w:ascii="Century" w:hAnsi="Century" w:cs="Miriam"/>
          <w:b/>
          <w:sz w:val="22"/>
          <w:rtl/>
        </w:rPr>
        <w:t xml:space="preserve"> </w:t>
      </w:r>
      <w:r w:rsidRPr="00E206AF">
        <w:rPr>
          <w:rFonts w:ascii="Century" w:hAnsi="Century" w:cs="Miriam" w:hint="eastAsia"/>
          <w:b/>
          <w:sz w:val="22"/>
          <w:rtl/>
        </w:rPr>
        <w:t>הדמוקרטית</w:t>
      </w:r>
      <w:r w:rsidRPr="00E206AF">
        <w:rPr>
          <w:rFonts w:ascii="Century" w:hAnsi="Century" w:cs="Miriam"/>
          <w:b/>
          <w:sz w:val="22"/>
          <w:rtl/>
        </w:rPr>
        <w:t xml:space="preserve"> </w:t>
      </w:r>
      <w:r w:rsidRPr="00E206AF">
        <w:rPr>
          <w:rFonts w:ascii="Century" w:hAnsi="Century" w:cs="Miriam" w:hint="eastAsia"/>
          <w:b/>
          <w:sz w:val="22"/>
          <w:rtl/>
        </w:rPr>
        <w:t>או</w:t>
      </w:r>
      <w:r w:rsidRPr="00E206AF">
        <w:rPr>
          <w:rFonts w:ascii="Century" w:hAnsi="Century" w:cs="Miriam"/>
          <w:b/>
          <w:sz w:val="22"/>
          <w:rtl/>
        </w:rPr>
        <w:t xml:space="preserve"> </w:t>
      </w:r>
      <w:r w:rsidRPr="00E206AF">
        <w:rPr>
          <w:rFonts w:ascii="Century" w:hAnsi="Century" w:cs="Miriam" w:hint="eastAsia"/>
          <w:b/>
          <w:sz w:val="22"/>
          <w:rtl/>
        </w:rPr>
        <w:t>היהודית</w:t>
      </w:r>
      <w:r w:rsidRPr="00E206AF">
        <w:rPr>
          <w:rFonts w:ascii="Century" w:hAnsi="Century" w:cs="Miriam"/>
          <w:b/>
          <w:sz w:val="22"/>
          <w:rtl/>
        </w:rPr>
        <w:t xml:space="preserve"> </w:t>
      </w:r>
      <w:r w:rsidRPr="00E206AF">
        <w:rPr>
          <w:rFonts w:ascii="Century" w:hAnsi="Century" w:cs="Miriam" w:hint="eastAsia"/>
          <w:b/>
          <w:sz w:val="22"/>
          <w:rtl/>
        </w:rPr>
        <w:t>של</w:t>
      </w:r>
      <w:r w:rsidRPr="00E206AF">
        <w:rPr>
          <w:rFonts w:ascii="Century" w:hAnsi="Century" w:cs="Miriam"/>
          <w:b/>
          <w:sz w:val="22"/>
          <w:rtl/>
        </w:rPr>
        <w:t xml:space="preserve"> </w:t>
      </w:r>
      <w:r w:rsidRPr="00E206AF">
        <w:rPr>
          <w:rFonts w:ascii="Century" w:hAnsi="Century" w:cs="Miriam" w:hint="eastAsia"/>
          <w:b/>
          <w:sz w:val="22"/>
          <w:rtl/>
        </w:rPr>
        <w:t>המדינה</w:t>
      </w:r>
      <w:r w:rsidRPr="00E206AF">
        <w:rPr>
          <w:rFonts w:ascii="Century" w:hAnsi="Century" w:cs="FrankRuehl" w:hint="cs"/>
          <w:spacing w:val="10"/>
          <w:szCs w:val="28"/>
          <w:rtl/>
        </w:rPr>
        <w:t xml:space="preserve"> </w:t>
      </w:r>
      <w:r w:rsidRPr="00E206AF">
        <w:rPr>
          <w:rFonts w:ascii="Century" w:hAnsi="Century" w:cs="FrankRuehl"/>
          <w:spacing w:val="10"/>
          <w:szCs w:val="28"/>
          <w:rtl/>
        </w:rPr>
        <w:t>–</w:t>
      </w:r>
      <w:r w:rsidRPr="00E206AF">
        <w:rPr>
          <w:rFonts w:ascii="Century" w:hAnsi="Century" w:cs="FrankRuehl" w:hint="cs"/>
          <w:spacing w:val="10"/>
          <w:szCs w:val="28"/>
          <w:rtl/>
        </w:rPr>
        <w:t xml:space="preserve"> הרי שהפרשנות האמורה גם מגשימה באופן מיטבי את תכליותיו של המערך החוקתי בישראל. זאת, בעיקרו של דבר, משום שהמערך החוקתי הקיים כיום בישראל אינו כולל הגבלה מעשית-מפורשת על כוחו של רוב מזדמן בכנסת לשנות את תוכנם של חוקי היסוד (להרחבה ראו: </w:t>
      </w:r>
      <w:r w:rsidRPr="00EB2774">
        <w:rPr>
          <w:rFonts w:ascii="Century" w:hAnsi="Century" w:cs="FrankRuehl"/>
          <w:spacing w:val="10"/>
          <w:szCs w:val="28"/>
          <w:rtl/>
        </w:rPr>
        <w:lastRenderedPageBreak/>
        <w:t xml:space="preserve">בג"ץ 5969/20 </w:t>
      </w:r>
      <w:r w:rsidRPr="008F478C">
        <w:rPr>
          <w:rFonts w:ascii="Century" w:hAnsi="Century" w:cs="Miriam" w:hint="eastAsia"/>
          <w:b/>
          <w:sz w:val="22"/>
          <w:rtl/>
        </w:rPr>
        <w:t>שפיר</w:t>
      </w:r>
      <w:r w:rsidRPr="008F478C">
        <w:rPr>
          <w:rFonts w:ascii="Century" w:hAnsi="Century" w:cs="Miriam"/>
          <w:b/>
          <w:sz w:val="22"/>
          <w:rtl/>
        </w:rPr>
        <w:t xml:space="preserve"> </w:t>
      </w:r>
      <w:r w:rsidRPr="008F478C">
        <w:rPr>
          <w:rFonts w:ascii="Century" w:hAnsi="Century" w:cs="Miriam" w:hint="eastAsia"/>
          <w:b/>
          <w:sz w:val="22"/>
          <w:rtl/>
        </w:rPr>
        <w:t>נ</w:t>
      </w:r>
      <w:r w:rsidRPr="008F478C">
        <w:rPr>
          <w:rFonts w:ascii="Century" w:hAnsi="Century" w:cs="Miriam"/>
          <w:b/>
          <w:sz w:val="22"/>
          <w:rtl/>
        </w:rPr>
        <w:t xml:space="preserve">' </w:t>
      </w:r>
      <w:r w:rsidRPr="008F478C">
        <w:rPr>
          <w:rFonts w:ascii="Century" w:hAnsi="Century" w:cs="Miriam" w:hint="eastAsia"/>
          <w:b/>
          <w:sz w:val="22"/>
          <w:rtl/>
        </w:rPr>
        <w:t>הכנסת</w:t>
      </w:r>
      <w:r>
        <w:rPr>
          <w:rFonts w:ascii="Century" w:hAnsi="Century" w:cs="FrankRuehl"/>
          <w:spacing w:val="10"/>
          <w:szCs w:val="28"/>
          <w:rtl/>
        </w:rPr>
        <w:t xml:space="preserve"> </w:t>
      </w:r>
      <w:r w:rsidRPr="00E206AF">
        <w:rPr>
          <w:rFonts w:ascii="Century" w:hAnsi="Century" w:cs="FrankRuehl" w:hint="cs"/>
          <w:spacing w:val="10"/>
          <w:szCs w:val="28"/>
          <w:rtl/>
        </w:rPr>
        <w:t xml:space="preserve">, פס' 21, 32 לפסק דינה של הנשיאה </w:t>
      </w:r>
      <w:r w:rsidRPr="00E206AF">
        <w:rPr>
          <w:rFonts w:ascii="Century" w:hAnsi="Century" w:cs="Miriam" w:hint="eastAsia"/>
          <w:b/>
          <w:sz w:val="22"/>
          <w:rtl/>
        </w:rPr>
        <w:t>חיות</w:t>
      </w:r>
      <w:r w:rsidRPr="00E206AF">
        <w:rPr>
          <w:rFonts w:ascii="Century" w:hAnsi="Century" w:cs="FrankRuehl" w:hint="cs"/>
          <w:spacing w:val="10"/>
          <w:szCs w:val="28"/>
          <w:rtl/>
        </w:rPr>
        <w:t>, וההפניות שם</w:t>
      </w:r>
      <w:r>
        <w:rPr>
          <w:rFonts w:ascii="Century" w:hAnsi="Century" w:cs="FrankRuehl" w:hint="cs"/>
          <w:spacing w:val="10"/>
          <w:szCs w:val="28"/>
          <w:rtl/>
        </w:rPr>
        <w:t xml:space="preserve"> </w:t>
      </w:r>
      <w:r>
        <w:rPr>
          <w:rFonts w:ascii="Century" w:hAnsi="Century" w:cs="FrankRuehl"/>
          <w:spacing w:val="10"/>
          <w:szCs w:val="28"/>
          <w:rtl/>
        </w:rPr>
        <w:t>(23.</w:t>
      </w:r>
      <w:r w:rsidRPr="00EB2774">
        <w:rPr>
          <w:rFonts w:ascii="Century" w:hAnsi="Century" w:cs="FrankRuehl"/>
          <w:spacing w:val="10"/>
          <w:szCs w:val="28"/>
          <w:rtl/>
        </w:rPr>
        <w:t>5.2021)</w:t>
      </w:r>
      <w:r w:rsidRPr="00E206AF">
        <w:rPr>
          <w:rFonts w:ascii="Century" w:hAnsi="Century" w:cs="FrankRuehl" w:hint="cs"/>
          <w:spacing w:val="10"/>
          <w:szCs w:val="28"/>
          <w:rtl/>
        </w:rPr>
        <w:t xml:space="preserve">). לפיכך, בהיעדר כוח אפקטיבי למנוע מקרים שבהם הוראה בחוק יסוד שוללת את הזהות הדמוקרטית או היהודית של המדינה, לא ניתן יהיה לאכוף על המכונן את חובתו להימנע מכינון הוראה כזו. משכך, פרשנות אחרת, שלפיה אין בידי בית המשפט סמכות להעביר ביקורת </w:t>
      </w:r>
      <w:r w:rsidRPr="008B65E0">
        <w:rPr>
          <w:rFonts w:ascii="Century" w:hAnsi="Century" w:cs="FrankRuehl" w:hint="cs"/>
          <w:spacing w:val="10"/>
          <w:szCs w:val="28"/>
          <w:rtl/>
        </w:rPr>
        <w:t xml:space="preserve">שיפוטית על המכונן </w:t>
      </w:r>
      <w:r w:rsidRPr="008B65E0">
        <w:rPr>
          <w:rFonts w:ascii="Century" w:hAnsi="Century" w:cs="FrankRuehl"/>
          <w:spacing w:val="10"/>
          <w:szCs w:val="28"/>
          <w:rtl/>
        </w:rPr>
        <w:t>–</w:t>
      </w:r>
      <w:r w:rsidRPr="008B65E0">
        <w:rPr>
          <w:rFonts w:ascii="Century" w:hAnsi="Century" w:cs="FrankRuehl" w:hint="cs"/>
          <w:spacing w:val="10"/>
          <w:szCs w:val="28"/>
          <w:rtl/>
        </w:rPr>
        <w:t xml:space="preserve"> במקרים שבהם הוא חורג מסמכותו </w:t>
      </w:r>
      <w:r w:rsidRPr="008B65E0">
        <w:rPr>
          <w:rFonts w:ascii="Century" w:hAnsi="Century" w:cs="FrankRuehl"/>
          <w:spacing w:val="10"/>
          <w:szCs w:val="28"/>
          <w:rtl/>
        </w:rPr>
        <w:t>–</w:t>
      </w:r>
      <w:r w:rsidRPr="008B65E0">
        <w:rPr>
          <w:rFonts w:ascii="Century" w:hAnsi="Century" w:cs="FrankRuehl" w:hint="cs"/>
          <w:spacing w:val="10"/>
          <w:szCs w:val="28"/>
          <w:rtl/>
        </w:rPr>
        <w:t xml:space="preserve"> משמעותה היא כי המגבלות הקיימות על סמכות זאת תעשנה לאות מתה (</w:t>
      </w:r>
      <w:r>
        <w:rPr>
          <w:rFonts w:ascii="Century" w:hAnsi="Century" w:cs="FrankRuehl" w:hint="cs"/>
          <w:spacing w:val="10"/>
          <w:sz w:val="22"/>
          <w:szCs w:val="28"/>
          <w:rtl/>
        </w:rPr>
        <w:t xml:space="preserve">ראו: </w:t>
      </w:r>
      <w:r w:rsidRPr="008B65E0">
        <w:rPr>
          <w:rFonts w:ascii="Century" w:hAnsi="Century" w:cs="FrankRuehl" w:hint="cs"/>
          <w:spacing w:val="10"/>
          <w:sz w:val="22"/>
          <w:szCs w:val="28"/>
          <w:rtl/>
        </w:rPr>
        <w:t>עניין</w:t>
      </w:r>
      <w:r w:rsidRPr="008B65E0">
        <w:rPr>
          <w:rFonts w:ascii="Century" w:hAnsi="Century" w:cs="Miriam" w:hint="cs"/>
          <w:b/>
          <w:rtl/>
        </w:rPr>
        <w:t xml:space="preserve"> חוק הלאום</w:t>
      </w:r>
      <w:r w:rsidRPr="008B65E0">
        <w:rPr>
          <w:rFonts w:ascii="Century" w:hAnsi="Century" w:cs="FrankRuehl" w:hint="cs"/>
          <w:spacing w:val="10"/>
          <w:szCs w:val="28"/>
          <w:rtl/>
        </w:rPr>
        <w:t xml:space="preserve">, </w:t>
      </w:r>
      <w:r>
        <w:rPr>
          <w:rFonts w:ascii="Century" w:hAnsi="Century" w:cs="FrankRuehl" w:hint="cs"/>
          <w:spacing w:val="10"/>
          <w:szCs w:val="28"/>
          <w:rtl/>
        </w:rPr>
        <w:t>ב</w:t>
      </w:r>
      <w:r w:rsidRPr="008B65E0">
        <w:rPr>
          <w:rFonts w:ascii="Century" w:hAnsi="Century" w:cs="FrankRuehl" w:hint="cs"/>
          <w:spacing w:val="10"/>
          <w:szCs w:val="28"/>
          <w:rtl/>
        </w:rPr>
        <w:t xml:space="preserve">פס' 4 לפסק דינו של השופט </w:t>
      </w:r>
      <w:r w:rsidRPr="008B65E0">
        <w:rPr>
          <w:rFonts w:ascii="Century" w:hAnsi="Century" w:cs="Miriam" w:hint="eastAsia"/>
          <w:b/>
          <w:rtl/>
        </w:rPr>
        <w:t>ע</w:t>
      </w:r>
      <w:r w:rsidRPr="008B65E0">
        <w:rPr>
          <w:rFonts w:ascii="Century" w:hAnsi="Century" w:cs="Miriam"/>
          <w:b/>
          <w:rtl/>
        </w:rPr>
        <w:t>'</w:t>
      </w:r>
      <w:r w:rsidRPr="008B65E0">
        <w:rPr>
          <w:rFonts w:ascii="Century" w:hAnsi="Century" w:cs="FrankRuehl" w:hint="cs"/>
          <w:spacing w:val="10"/>
          <w:szCs w:val="28"/>
          <w:rtl/>
        </w:rPr>
        <w:t xml:space="preserve"> </w:t>
      </w:r>
      <w:r w:rsidRPr="008B65E0">
        <w:rPr>
          <w:rFonts w:ascii="Century" w:hAnsi="Century" w:cs="Miriam" w:hint="eastAsia"/>
          <w:b/>
          <w:rtl/>
        </w:rPr>
        <w:t>פוגלמן</w:t>
      </w:r>
      <w:r w:rsidRPr="008B65E0">
        <w:rPr>
          <w:rFonts w:ascii="Century" w:hAnsi="Century" w:cs="FrankRuehl" w:hint="cs"/>
          <w:spacing w:val="10"/>
          <w:szCs w:val="28"/>
          <w:rtl/>
        </w:rPr>
        <w:t>). דומה, אם כן, כי פרשנות כזאת מוקשית, בשים לב לעיקרון שלטון החוק ולעיקרון הפרדת הרשויות (להרחבה ראו, למשל:</w:t>
      </w:r>
      <w:r w:rsidRPr="008B65E0">
        <w:rPr>
          <w:rFonts w:ascii="Century" w:hAnsi="Century" w:hint="cs"/>
          <w:rtl/>
        </w:rPr>
        <w:t xml:space="preserve"> </w:t>
      </w:r>
      <w:r w:rsidRPr="008B65E0">
        <w:rPr>
          <w:rFonts w:ascii="Century" w:hAnsi="Century"/>
          <w:sz w:val="22"/>
          <w:szCs w:val="22"/>
        </w:rPr>
        <w:t xml:space="preserve">David Dyzenhaus, </w:t>
      </w:r>
      <w:r w:rsidRPr="008B65E0">
        <w:rPr>
          <w:rFonts w:ascii="Century" w:hAnsi="Century"/>
          <w:i/>
          <w:iCs/>
          <w:sz w:val="22"/>
          <w:szCs w:val="22"/>
        </w:rPr>
        <w:t>Form and Substance in the Rule of Law: A Democratic Justification for Judicial Review</w:t>
      </w:r>
      <w:r w:rsidRPr="008B65E0">
        <w:rPr>
          <w:rFonts w:ascii="Century" w:hAnsi="Century"/>
          <w:sz w:val="22"/>
          <w:szCs w:val="22"/>
        </w:rPr>
        <w:t xml:space="preserve">, </w:t>
      </w:r>
      <w:r w:rsidRPr="008B65E0">
        <w:rPr>
          <w:rFonts w:ascii="Century" w:hAnsi="Century"/>
          <w:i/>
          <w:iCs/>
          <w:sz w:val="22"/>
          <w:szCs w:val="22"/>
        </w:rPr>
        <w:t>in</w:t>
      </w:r>
      <w:r w:rsidRPr="008B65E0">
        <w:rPr>
          <w:rFonts w:ascii="Century" w:hAnsi="Century"/>
          <w:smallCaps/>
          <w:sz w:val="22"/>
          <w:szCs w:val="22"/>
        </w:rPr>
        <w:t xml:space="preserve"> Judicial Review and the Constitution</w:t>
      </w:r>
      <w:r w:rsidRPr="008B65E0">
        <w:rPr>
          <w:rFonts w:ascii="Century" w:hAnsi="Century"/>
          <w:sz w:val="22"/>
          <w:szCs w:val="22"/>
        </w:rPr>
        <w:t xml:space="preserve"> 141 (Christopher Forsyth ed., 2000)</w:t>
      </w:r>
      <w:r w:rsidRPr="008B65E0">
        <w:rPr>
          <w:rFonts w:ascii="Century" w:hAnsi="Century" w:hint="cs"/>
          <w:sz w:val="22"/>
          <w:szCs w:val="22"/>
          <w:rtl/>
        </w:rPr>
        <w:t xml:space="preserve">; </w:t>
      </w:r>
      <w:r w:rsidRPr="008B65E0">
        <w:rPr>
          <w:rFonts w:ascii="Century" w:hAnsi="Century"/>
          <w:sz w:val="22"/>
          <w:szCs w:val="22"/>
        </w:rPr>
        <w:t xml:space="preserve">A. V. Dicey, </w:t>
      </w:r>
      <w:r w:rsidRPr="008B65E0">
        <w:rPr>
          <w:rFonts w:ascii="Century" w:hAnsi="Century"/>
          <w:smallCaps/>
          <w:sz w:val="22"/>
          <w:szCs w:val="22"/>
        </w:rPr>
        <w:t>Lectures Introductory to the Study of the Law of the Constitution</w:t>
      </w:r>
      <w:r w:rsidRPr="008B65E0">
        <w:rPr>
          <w:rFonts w:ascii="Century" w:hAnsi="Century"/>
          <w:sz w:val="22"/>
          <w:szCs w:val="22"/>
        </w:rPr>
        <w:t xml:space="preserve"> pp. 271-273 (8th ed. London: Macmillan, </w:t>
      </w:r>
      <w:r w:rsidRPr="008B65E0">
        <w:rPr>
          <w:rFonts w:ascii="Century" w:hAnsi="Century"/>
          <w:smallCaps/>
          <w:sz w:val="22"/>
          <w:szCs w:val="22"/>
        </w:rPr>
        <w:t>1915</w:t>
      </w:r>
      <w:r w:rsidRPr="008B65E0">
        <w:rPr>
          <w:rFonts w:ascii="Century" w:hAnsi="Century" w:hint="cs"/>
          <w:smallCaps/>
          <w:sz w:val="22"/>
          <w:szCs w:val="22"/>
          <w:rtl/>
        </w:rPr>
        <w:t xml:space="preserve">; </w:t>
      </w:r>
      <w:r w:rsidRPr="008B65E0">
        <w:rPr>
          <w:rFonts w:ascii="Century" w:hAnsi="Century"/>
          <w:i/>
          <w:iCs/>
          <w:sz w:val="22"/>
          <w:szCs w:val="22"/>
        </w:rPr>
        <w:t>reprinted by</w:t>
      </w:r>
      <w:r w:rsidRPr="008B65E0">
        <w:rPr>
          <w:rFonts w:ascii="Century" w:hAnsi="Century"/>
          <w:sz w:val="22"/>
          <w:szCs w:val="22"/>
        </w:rPr>
        <w:t xml:space="preserve"> LibertyClassics, 1982</w:t>
      </w:r>
      <w:r w:rsidRPr="008B65E0">
        <w:rPr>
          <w:rFonts w:ascii="Century" w:hAnsi="Century"/>
          <w:smallCaps/>
          <w:sz w:val="22"/>
          <w:szCs w:val="22"/>
          <w:rtl/>
        </w:rPr>
        <w:t>)</w:t>
      </w:r>
      <w:r w:rsidRPr="008B65E0">
        <w:rPr>
          <w:rFonts w:ascii="Century" w:hAnsi="Century" w:cs="FrankRuehl"/>
          <w:spacing w:val="10"/>
          <w:sz w:val="22"/>
          <w:szCs w:val="28"/>
          <w:rtl/>
        </w:rPr>
        <w:t>).</w:t>
      </w:r>
      <w:r w:rsidRPr="00EF5F0B">
        <w:rPr>
          <w:rFonts w:ascii="Century" w:hAnsi="Century" w:cs="FrankRuehl"/>
          <w:spacing w:val="10"/>
          <w:sz w:val="22"/>
          <w:szCs w:val="28"/>
          <w:rtl/>
        </w:rPr>
        <w:t xml:space="preserve"> </w:t>
      </w:r>
    </w:p>
    <w:p w:rsidR="00E32081" w:rsidRPr="00E206AF" w:rsidRDefault="00E32081" w:rsidP="00E32081">
      <w:pPr>
        <w:spacing w:line="360" w:lineRule="auto"/>
        <w:jc w:val="both"/>
        <w:rPr>
          <w:rFonts w:ascii="Century" w:hAnsi="Century" w:cs="FrankRuehl"/>
          <w:spacing w:val="10"/>
          <w:szCs w:val="28"/>
        </w:rPr>
      </w:pPr>
    </w:p>
    <w:p w:rsidR="00E32081" w:rsidRDefault="00E32081" w:rsidP="00E32081">
      <w:pPr>
        <w:spacing w:line="360" w:lineRule="auto"/>
        <w:ind w:firstLine="720"/>
        <w:jc w:val="both"/>
        <w:rPr>
          <w:rFonts w:ascii="Century" w:hAnsi="Century" w:cs="FrankRuehl"/>
          <w:spacing w:val="10"/>
          <w:szCs w:val="28"/>
          <w:rtl/>
        </w:rPr>
      </w:pPr>
      <w:r w:rsidRPr="00E206AF">
        <w:rPr>
          <w:rFonts w:ascii="Century" w:hAnsi="Century" w:cs="FrankRuehl" w:hint="cs"/>
          <w:spacing w:val="10"/>
          <w:szCs w:val="28"/>
          <w:rtl/>
        </w:rPr>
        <w:t>לא זו אף זו, ביחס להורא</w:t>
      </w:r>
      <w:r>
        <w:rPr>
          <w:rFonts w:ascii="Century" w:hAnsi="Century" w:cs="FrankRuehl" w:hint="cs"/>
          <w:spacing w:val="10"/>
          <w:szCs w:val="28"/>
          <w:rtl/>
        </w:rPr>
        <w:t>ת</w:t>
      </w:r>
      <w:r w:rsidRPr="00E206AF">
        <w:rPr>
          <w:rFonts w:ascii="Century" w:hAnsi="Century" w:cs="FrankRuehl" w:hint="cs"/>
          <w:spacing w:val="10"/>
          <w:szCs w:val="28"/>
          <w:rtl/>
        </w:rPr>
        <w:t xml:space="preserve"> </w:t>
      </w:r>
      <w:r>
        <w:rPr>
          <w:rFonts w:ascii="Century" w:hAnsi="Century" w:cs="FrankRuehl" w:hint="cs"/>
          <w:spacing w:val="10"/>
          <w:szCs w:val="28"/>
          <w:rtl/>
        </w:rPr>
        <w:t>סעיף 15(ג)</w:t>
      </w:r>
      <w:r w:rsidRPr="00E206AF">
        <w:rPr>
          <w:rFonts w:ascii="Century" w:hAnsi="Century" w:cs="FrankRuehl" w:hint="cs"/>
          <w:spacing w:val="10"/>
          <w:szCs w:val="28"/>
          <w:rtl/>
        </w:rPr>
        <w:t xml:space="preserve"> הנ"ל, נקבע זה מכבר, כי היא בעלת מעמד נורמטיבי "חוקתי על-חוקי" וכי "עניינה איננו רק בדיני הסמכות הדיונית [...] אלא גם בדיני הסעד המהותי [...] בנסיבות חריגות ויוצאות</w:t>
      </w:r>
      <w:r w:rsidRPr="00E206AF">
        <w:rPr>
          <w:rFonts w:ascii="Century" w:hAnsi="Century" w:cs="FrankRuehl"/>
          <w:spacing w:val="10"/>
          <w:szCs w:val="28"/>
          <w:rtl/>
        </w:rPr>
        <w:t>-</w:t>
      </w:r>
      <w:r w:rsidRPr="00E206AF">
        <w:rPr>
          <w:rFonts w:ascii="Century" w:hAnsi="Century" w:cs="FrankRuehl" w:hint="cs"/>
          <w:spacing w:val="10"/>
          <w:szCs w:val="28"/>
          <w:rtl/>
        </w:rPr>
        <w:t>דופן, כאשר המקרה 'זועק לשמים', ואין דרך חוקית אחרת להושיט בו 'סעד למען הצדק', לא מן הנמנע כי בית</w:t>
      </w:r>
      <w:r w:rsidRPr="00E206AF">
        <w:rPr>
          <w:rFonts w:ascii="Century" w:hAnsi="Century" w:cs="FrankRuehl"/>
          <w:spacing w:val="10"/>
          <w:szCs w:val="28"/>
          <w:rtl/>
        </w:rPr>
        <w:t>-</w:t>
      </w:r>
      <w:r w:rsidRPr="00E206AF">
        <w:rPr>
          <w:rFonts w:ascii="Century" w:hAnsi="Century" w:cs="FrankRuehl" w:hint="cs"/>
          <w:spacing w:val="10"/>
          <w:szCs w:val="28"/>
          <w:rtl/>
        </w:rPr>
        <w:t>המשפט ייזקק לסמכות 'בלתי קונבנציונלית' זו" (</w:t>
      </w:r>
      <w:r w:rsidRPr="00E206AF">
        <w:rPr>
          <w:rFonts w:ascii="Century" w:hAnsi="Century" w:cs="FrankRuehl"/>
          <w:spacing w:val="10"/>
          <w:szCs w:val="28"/>
          <w:rtl/>
        </w:rPr>
        <w:t xml:space="preserve">בג"ץ 3511/02 </w:t>
      </w:r>
      <w:r w:rsidRPr="00E206AF">
        <w:rPr>
          <w:rFonts w:ascii="Century" w:hAnsi="Century" w:cs="Miriam"/>
          <w:b/>
          <w:sz w:val="22"/>
          <w:rtl/>
        </w:rPr>
        <w:t>עמותת "הפורום לדו קיום בנגב" נ' משרד התשתיות</w:t>
      </w:r>
      <w:r w:rsidRPr="00E206AF">
        <w:rPr>
          <w:rFonts w:ascii="Century" w:hAnsi="Century" w:cs="FrankRuehl"/>
          <w:spacing w:val="10"/>
          <w:szCs w:val="28"/>
          <w:rtl/>
        </w:rPr>
        <w:t xml:space="preserve">, </w:t>
      </w:r>
      <w:r w:rsidRPr="00E206AF">
        <w:rPr>
          <w:rFonts w:ascii="Century" w:hAnsi="Century" w:cs="FrankRuehl" w:hint="cs"/>
          <w:spacing w:val="10"/>
          <w:szCs w:val="28"/>
          <w:rtl/>
        </w:rPr>
        <w:t xml:space="preserve">פ"ד </w:t>
      </w:r>
      <w:r w:rsidRPr="00E206AF">
        <w:rPr>
          <w:rFonts w:ascii="Century" w:hAnsi="Century" w:cs="FrankRuehl"/>
          <w:spacing w:val="10"/>
          <w:szCs w:val="28"/>
          <w:rtl/>
        </w:rPr>
        <w:t xml:space="preserve">נז(2) </w:t>
      </w:r>
      <w:r w:rsidRPr="00E206AF">
        <w:rPr>
          <w:rFonts w:ascii="Century" w:hAnsi="Century" w:cs="FrankRuehl" w:hint="cs"/>
          <w:spacing w:val="10"/>
          <w:szCs w:val="28"/>
          <w:rtl/>
        </w:rPr>
        <w:t xml:space="preserve">102, 106 (2003)). </w:t>
      </w:r>
    </w:p>
    <w:p w:rsidR="00E32081" w:rsidRDefault="00E32081" w:rsidP="00E32081">
      <w:pPr>
        <w:pStyle w:val="Ruller41"/>
        <w:rPr>
          <w:rFonts w:ascii="Century" w:hAnsi="Century"/>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hint="cs"/>
          <w:spacing w:val="10"/>
          <w:sz w:val="22"/>
          <w:szCs w:val="28"/>
          <w:rtl/>
        </w:rPr>
        <w:t>6.</w:t>
      </w:r>
      <w:r w:rsidRPr="00E206AF">
        <w:rPr>
          <w:rFonts w:ascii="Arial TUR" w:hAnsi="Arial TUR" w:cs="FrankRuehl" w:hint="cs"/>
          <w:spacing w:val="10"/>
          <w:sz w:val="22"/>
          <w:szCs w:val="28"/>
          <w:rtl/>
        </w:rPr>
        <w:tab/>
        <w:t xml:space="preserve">הנה כי כן, כפי שהטעימה חברתי הנשיאה (בדימ') </w:t>
      </w:r>
      <w:r w:rsidRPr="00E206AF">
        <w:rPr>
          <w:rFonts w:ascii="Arial TUR" w:hAnsi="Arial TUR" w:cs="Miriam" w:hint="cs"/>
          <w:b/>
          <w:sz w:val="22"/>
          <w:rtl/>
        </w:rPr>
        <w:t>חיות</w:t>
      </w:r>
      <w:r w:rsidRPr="00E206AF">
        <w:rPr>
          <w:rFonts w:ascii="Arial TUR" w:hAnsi="Arial TUR" w:cs="FrankRuehl" w:hint="cs"/>
          <w:spacing w:val="10"/>
          <w:sz w:val="22"/>
          <w:szCs w:val="28"/>
          <w:rtl/>
        </w:rPr>
        <w:t xml:space="preserve">, באותם מצבים חריגים שבהם המכונן חורג מגבולות סמכותו בכינון חוק-יסוד הפוגע </w:t>
      </w:r>
      <w:r>
        <w:rPr>
          <w:rFonts w:ascii="Arial TUR" w:hAnsi="Arial TUR" w:cs="FrankRuehl" w:hint="cs"/>
          <w:spacing w:val="10"/>
          <w:sz w:val="22"/>
          <w:szCs w:val="28"/>
          <w:rtl/>
        </w:rPr>
        <w:t xml:space="preserve">פגיעה אנושה </w:t>
      </w:r>
      <w:r w:rsidRPr="00E206AF">
        <w:rPr>
          <w:rFonts w:ascii="Arial TUR" w:hAnsi="Arial TUR" w:cs="FrankRuehl" w:hint="cs"/>
          <w:spacing w:val="10"/>
          <w:sz w:val="22"/>
          <w:szCs w:val="28"/>
          <w:rtl/>
        </w:rPr>
        <w:t xml:space="preserve">בזהות היהודית </w:t>
      </w:r>
      <w:r>
        <w:rPr>
          <w:rFonts w:ascii="Arial TUR" w:hAnsi="Arial TUR" w:cs="FrankRuehl" w:hint="cs"/>
          <w:spacing w:val="10"/>
          <w:sz w:val="22"/>
          <w:szCs w:val="28"/>
          <w:rtl/>
        </w:rPr>
        <w:t xml:space="preserve">או </w:t>
      </w:r>
      <w:r w:rsidRPr="00E206AF">
        <w:rPr>
          <w:rFonts w:ascii="Arial TUR" w:hAnsi="Arial TUR" w:cs="FrankRuehl" w:hint="cs"/>
          <w:spacing w:val="10"/>
          <w:sz w:val="22"/>
          <w:szCs w:val="28"/>
          <w:rtl/>
        </w:rPr>
        <w:t xml:space="preserve">הדמוקרטית של מדינת ישראל, קמה לבית משפט זה הסמכות לבטל את החוק. כאמור, לדידי, בית משפט זה רשאי לעשות כן </w:t>
      </w:r>
      <w:r>
        <w:rPr>
          <w:rFonts w:ascii="Arial TUR" w:hAnsi="Arial TUR" w:cs="FrankRuehl" w:hint="cs"/>
          <w:spacing w:val="10"/>
          <w:sz w:val="22"/>
          <w:szCs w:val="28"/>
          <w:rtl/>
        </w:rPr>
        <w:t xml:space="preserve">גם </w:t>
      </w:r>
      <w:r w:rsidRPr="00E206AF">
        <w:rPr>
          <w:rFonts w:ascii="Arial TUR" w:hAnsi="Arial TUR" w:cs="FrankRuehl" w:hint="cs"/>
          <w:spacing w:val="10"/>
          <w:sz w:val="22"/>
          <w:szCs w:val="28"/>
          <w:rtl/>
        </w:rPr>
        <w:t xml:space="preserve">מכוח סמכותו לתת </w:t>
      </w:r>
      <w:r w:rsidRPr="00E206AF">
        <w:rPr>
          <w:rFonts w:ascii="Arial TUR" w:hAnsi="Arial TUR" w:cs="Miriam" w:hint="cs"/>
          <w:b/>
          <w:sz w:val="22"/>
          <w:rtl/>
        </w:rPr>
        <w:t>סעד מן הצדק</w:t>
      </w:r>
      <w:r w:rsidRPr="00E206AF">
        <w:rPr>
          <w:rFonts w:ascii="Arial TUR" w:hAnsi="Arial TUR" w:cs="FrankRuehl" w:hint="cs"/>
          <w:spacing w:val="10"/>
          <w:sz w:val="22"/>
          <w:szCs w:val="28"/>
          <w:rtl/>
        </w:rPr>
        <w:t xml:space="preserve">, כאמור בסעיף 15(ג) לחוק יסוד: השפיטה, על מנת להשיב על כנו את הצדק שהופר באמצעות אותה פגיעה אנושה בזהות היהודית או הדמוקרטית של מדינת ישראל (בהקשר זה ראו גם את האמור בפס' 87 לפסק דינה של הנשיאה (בדימ') </w:t>
      </w:r>
      <w:r w:rsidRPr="00E206AF">
        <w:rPr>
          <w:rFonts w:ascii="Arial TUR" w:hAnsi="Arial TUR" w:cs="Miriam" w:hint="cs"/>
          <w:b/>
          <w:sz w:val="22"/>
          <w:rtl/>
        </w:rPr>
        <w:t>חיות</w:t>
      </w:r>
      <w:r w:rsidRPr="00E206AF">
        <w:rPr>
          <w:rFonts w:ascii="Arial TUR" w:hAnsi="Arial TUR" w:cs="FrankRuehl" w:hint="cs"/>
          <w:spacing w:val="10"/>
          <w:sz w:val="22"/>
          <w:szCs w:val="28"/>
          <w:rtl/>
        </w:rPr>
        <w:t xml:space="preserve">). </w:t>
      </w:r>
    </w:p>
    <w:p w:rsidR="00E32081" w:rsidRPr="00E206AF" w:rsidDel="00DA710C"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Miriam"/>
          <w:b/>
          <w:sz w:val="22"/>
          <w:rtl/>
        </w:rPr>
      </w:pPr>
      <w:r w:rsidRPr="00E206AF">
        <w:rPr>
          <w:rFonts w:ascii="Century" w:hAnsi="Century" w:cs="Miriam"/>
          <w:b/>
          <w:sz w:val="22"/>
          <w:rtl/>
        </w:rPr>
        <w:t xml:space="preserve">תיקון </w:t>
      </w:r>
      <w:r w:rsidRPr="00E206AF">
        <w:rPr>
          <w:rFonts w:ascii="Century" w:hAnsi="Century" w:cs="Miriam" w:hint="eastAsia"/>
          <w:b/>
          <w:sz w:val="22"/>
          <w:rtl/>
        </w:rPr>
        <w:t>מס</w:t>
      </w:r>
      <w:r w:rsidRPr="00E206AF">
        <w:rPr>
          <w:rFonts w:ascii="Century" w:hAnsi="Century" w:cs="Miriam"/>
          <w:b/>
          <w:sz w:val="22"/>
          <w:rtl/>
        </w:rPr>
        <w:t>' 3 לחוק יסוד: השפיטה</w:t>
      </w:r>
      <w:r w:rsidRPr="00E206AF">
        <w:rPr>
          <w:rFonts w:ascii="Century" w:hAnsi="Century" w:cs="Miriam" w:hint="cs"/>
          <w:b/>
          <w:sz w:val="22"/>
          <w:rtl/>
        </w:rPr>
        <w:t xml:space="preserve">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hint="cs"/>
          <w:spacing w:val="10"/>
          <w:sz w:val="22"/>
          <w:szCs w:val="28"/>
          <w:rtl/>
        </w:rPr>
        <w:t>7.</w:t>
      </w:r>
      <w:r w:rsidRPr="00E206AF">
        <w:rPr>
          <w:rFonts w:ascii="Arial TUR" w:hAnsi="Arial TUR" w:cs="FrankRuehl" w:hint="cs"/>
          <w:spacing w:val="10"/>
          <w:sz w:val="22"/>
          <w:szCs w:val="28"/>
          <w:rtl/>
        </w:rPr>
        <w:tab/>
        <w:t xml:space="preserve">משנמצאנו למדים כי בית משפט זה מוסמך לערוך ביקורת שיפוטית על חוקי יסוד, עלינו לעבור ולבחון מה דינו של </w:t>
      </w:r>
      <w:r w:rsidRPr="00E206AF">
        <w:rPr>
          <w:rFonts w:ascii="Arial TUR" w:hAnsi="Arial TUR" w:cs="FrankRuehl"/>
          <w:spacing w:val="10"/>
          <w:sz w:val="22"/>
          <w:szCs w:val="28"/>
          <w:rtl/>
        </w:rPr>
        <w:t xml:space="preserve">תיקון </w:t>
      </w:r>
      <w:r w:rsidRPr="00E206AF">
        <w:rPr>
          <w:rFonts w:ascii="Arial TUR" w:hAnsi="Arial TUR" w:cs="FrankRuehl" w:hint="eastAsia"/>
          <w:spacing w:val="10"/>
          <w:sz w:val="22"/>
          <w:szCs w:val="28"/>
          <w:rtl/>
        </w:rPr>
        <w:t>מס</w:t>
      </w:r>
      <w:r w:rsidRPr="00E206AF">
        <w:rPr>
          <w:rFonts w:ascii="Arial TUR" w:hAnsi="Arial TUR" w:cs="FrankRuehl"/>
          <w:spacing w:val="10"/>
          <w:sz w:val="22"/>
          <w:szCs w:val="28"/>
          <w:rtl/>
        </w:rPr>
        <w:t>' 3 לחוק יסוד: השפיטה</w:t>
      </w:r>
      <w:r w:rsidRPr="00E206AF">
        <w:rPr>
          <w:rFonts w:ascii="Arial TUR" w:hAnsi="Arial TUR" w:cs="FrankRuehl" w:hint="cs"/>
          <w:spacing w:val="10"/>
          <w:sz w:val="22"/>
          <w:szCs w:val="28"/>
          <w:rtl/>
        </w:rPr>
        <w:t xml:space="preserve"> (להלן: </w:t>
      </w:r>
      <w:r w:rsidRPr="00E206AF">
        <w:rPr>
          <w:rFonts w:ascii="Century" w:hAnsi="Century" w:cs="Miriam" w:hint="cs"/>
          <w:b/>
          <w:sz w:val="22"/>
          <w:rtl/>
        </w:rPr>
        <w:t>התיקון</w:t>
      </w:r>
      <w:r w:rsidRPr="00E206AF">
        <w:rPr>
          <w:rFonts w:ascii="Arial TUR" w:hAnsi="Arial TUR" w:cs="FrankRuehl" w:hint="cs"/>
          <w:spacing w:val="10"/>
          <w:sz w:val="22"/>
          <w:szCs w:val="28"/>
          <w:rtl/>
        </w:rPr>
        <w:t xml:space="preserve">) אשר ניצב </w:t>
      </w:r>
      <w:r>
        <w:rPr>
          <w:rFonts w:ascii="Arial TUR" w:hAnsi="Arial TUR" w:cs="FrankRuehl" w:hint="cs"/>
          <w:spacing w:val="10"/>
          <w:sz w:val="22"/>
          <w:szCs w:val="28"/>
          <w:rtl/>
        </w:rPr>
        <w:t>כאמור</w:t>
      </w:r>
      <w:r w:rsidRPr="00E206AF">
        <w:rPr>
          <w:rFonts w:ascii="Arial TUR" w:hAnsi="Arial TUR" w:cs="FrankRuehl" w:hint="cs"/>
          <w:spacing w:val="10"/>
          <w:sz w:val="22"/>
          <w:szCs w:val="28"/>
          <w:rtl/>
        </w:rPr>
        <w:t xml:space="preserve"> במוקד דיוננו. במילים אחרות, האם ניתן לומר כי התיקון פוגע "פגיעה </w:t>
      </w:r>
      <w:r w:rsidRPr="00E206AF">
        <w:rPr>
          <w:rFonts w:ascii="Arial TUR" w:hAnsi="Arial TUR" w:cs="FrankRuehl" w:hint="cs"/>
          <w:spacing w:val="10"/>
          <w:sz w:val="22"/>
          <w:szCs w:val="28"/>
          <w:rtl/>
        </w:rPr>
        <w:lastRenderedPageBreak/>
        <w:t>אנושה" בזהות הדמוקרטית של מדינת ישראל, באופן המצדיק את ביט</w:t>
      </w:r>
      <w:r>
        <w:rPr>
          <w:rFonts w:ascii="Arial TUR" w:hAnsi="Arial TUR" w:cs="FrankRuehl" w:hint="cs"/>
          <w:spacing w:val="10"/>
          <w:sz w:val="22"/>
          <w:szCs w:val="28"/>
          <w:rtl/>
        </w:rPr>
        <w:t>ו</w:t>
      </w:r>
      <w:r w:rsidRPr="00E206AF">
        <w:rPr>
          <w:rFonts w:ascii="Arial TUR" w:hAnsi="Arial TUR" w:cs="FrankRuehl" w:hint="cs"/>
          <w:spacing w:val="10"/>
          <w:sz w:val="22"/>
          <w:szCs w:val="28"/>
          <w:rtl/>
        </w:rPr>
        <w:t xml:space="preserve">לו, כפי שטוענים העותרים והיועצת המשפטית לממשלה.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hint="cs"/>
          <w:spacing w:val="10"/>
          <w:sz w:val="22"/>
          <w:szCs w:val="28"/>
          <w:rtl/>
        </w:rPr>
        <w:tab/>
        <w:t xml:space="preserve">אקדים ואומר כי איני תמימת דעים עם חברתי הנשיאה (בדימ') </w:t>
      </w:r>
      <w:r w:rsidRPr="00E206AF">
        <w:rPr>
          <w:rFonts w:ascii="Century" w:hAnsi="Century" w:cs="Miriam" w:hint="eastAsia"/>
          <w:b/>
          <w:sz w:val="22"/>
          <w:rtl/>
        </w:rPr>
        <w:t>חיות</w:t>
      </w:r>
      <w:r w:rsidRPr="00E206AF">
        <w:rPr>
          <w:rFonts w:ascii="Arial TUR" w:hAnsi="Arial TUR" w:cs="FrankRuehl" w:hint="cs"/>
          <w:spacing w:val="10"/>
          <w:sz w:val="22"/>
          <w:szCs w:val="28"/>
          <w:rtl/>
        </w:rPr>
        <w:t xml:space="preserve"> בסוגיה זו. לגישתי, כפי שיבואר להלן, נ</w:t>
      </w:r>
      <w:r>
        <w:rPr>
          <w:rFonts w:ascii="Arial TUR" w:hAnsi="Arial TUR" w:cs="FrankRuehl" w:hint="cs"/>
          <w:spacing w:val="10"/>
          <w:sz w:val="22"/>
          <w:szCs w:val="28"/>
          <w:rtl/>
        </w:rPr>
        <w:t>י</w:t>
      </w:r>
      <w:r w:rsidRPr="00E206AF">
        <w:rPr>
          <w:rFonts w:ascii="Arial TUR" w:hAnsi="Arial TUR" w:cs="FrankRuehl" w:hint="cs"/>
          <w:spacing w:val="10"/>
          <w:sz w:val="22"/>
          <w:szCs w:val="28"/>
          <w:rtl/>
        </w:rPr>
        <w:t>תן</w:t>
      </w:r>
      <w:r>
        <w:rPr>
          <w:rFonts w:ascii="Arial TUR" w:hAnsi="Arial TUR" w:cs="FrankRuehl" w:hint="cs"/>
          <w:spacing w:val="10"/>
          <w:sz w:val="22"/>
          <w:szCs w:val="28"/>
          <w:rtl/>
        </w:rPr>
        <w:t xml:space="preserve"> לפרש את התיקון</w:t>
      </w:r>
      <w:r w:rsidRPr="00E206AF">
        <w:rPr>
          <w:rFonts w:ascii="Arial TUR" w:hAnsi="Arial TUR" w:cs="FrankRuehl" w:hint="cs"/>
          <w:spacing w:val="10"/>
          <w:sz w:val="22"/>
          <w:szCs w:val="28"/>
          <w:rtl/>
        </w:rPr>
        <w:t xml:space="preserve"> </w:t>
      </w:r>
      <w:r w:rsidRPr="00E206AF" w:rsidDel="00DA710C">
        <w:rPr>
          <w:rFonts w:ascii="Century" w:hAnsi="Century" w:cs="Miriam" w:hint="cs"/>
          <w:b/>
          <w:sz w:val="22"/>
          <w:rtl/>
        </w:rPr>
        <w:t xml:space="preserve">פרשנות </w:t>
      </w:r>
      <w:r w:rsidRPr="00E206AF">
        <w:rPr>
          <w:rFonts w:ascii="Century" w:hAnsi="Century" w:cs="Miriam" w:hint="cs"/>
          <w:b/>
          <w:sz w:val="22"/>
          <w:rtl/>
        </w:rPr>
        <w:t>מקיימת</w:t>
      </w:r>
      <w:r w:rsidRPr="00E206AF">
        <w:rPr>
          <w:rFonts w:ascii="Arial TUR" w:hAnsi="Arial TUR" w:cs="FrankRuehl" w:hint="cs"/>
          <w:spacing w:val="10"/>
          <w:sz w:val="22"/>
          <w:szCs w:val="28"/>
          <w:rtl/>
        </w:rPr>
        <w:t>,</w:t>
      </w:r>
      <w:r>
        <w:rPr>
          <w:rFonts w:ascii="Arial TUR" w:hAnsi="Arial TUR" w:cs="FrankRuehl" w:hint="cs"/>
          <w:spacing w:val="10"/>
          <w:sz w:val="22"/>
          <w:szCs w:val="28"/>
          <w:rtl/>
        </w:rPr>
        <w:t xml:space="preserve"> וממילא</w:t>
      </w:r>
      <w:r w:rsidRPr="00E206AF">
        <w:rPr>
          <w:rFonts w:ascii="Arial TUR" w:hAnsi="Arial TUR" w:cs="FrankRuehl" w:hint="cs"/>
          <w:spacing w:val="10"/>
          <w:sz w:val="22"/>
          <w:szCs w:val="28"/>
          <w:rtl/>
        </w:rPr>
        <w:t xml:space="preserve"> אין מקום להורות על ביטולו</w:t>
      </w:r>
      <w:r w:rsidRPr="00E206AF" w:rsidDel="00DA710C">
        <w:rPr>
          <w:rFonts w:ascii="Arial TUR" w:hAnsi="Arial TUR" w:cs="FrankRuehl" w:hint="cs"/>
          <w:spacing w:val="10"/>
          <w:sz w:val="22"/>
          <w:szCs w:val="28"/>
          <w:rtl/>
        </w:rPr>
        <w:t xml:space="preserve">. </w:t>
      </w:r>
      <w:r w:rsidRPr="00E206AF">
        <w:rPr>
          <w:rFonts w:ascii="Arial TUR" w:hAnsi="Arial TUR" w:cs="FrankRuehl" w:hint="cs"/>
          <w:spacing w:val="10"/>
          <w:sz w:val="22"/>
          <w:szCs w:val="28"/>
          <w:rtl/>
        </w:rPr>
        <w:t xml:space="preserve">זאת, </w:t>
      </w:r>
      <w:r>
        <w:rPr>
          <w:rFonts w:ascii="Arial TUR" w:hAnsi="Arial TUR" w:cs="FrankRuehl" w:hint="cs"/>
          <w:spacing w:val="10"/>
          <w:sz w:val="22"/>
          <w:szCs w:val="28"/>
          <w:rtl/>
        </w:rPr>
        <w:t>שהרי מושכל יסוד הוא, כי, יש</w:t>
      </w:r>
      <w:r w:rsidRPr="00E206AF" w:rsidDel="00DA710C">
        <w:rPr>
          <w:rFonts w:ascii="Arial TUR" w:hAnsi="Arial TUR" w:cs="FrankRuehl" w:hint="cs"/>
          <w:spacing w:val="10"/>
          <w:sz w:val="22"/>
          <w:szCs w:val="28"/>
          <w:rtl/>
        </w:rPr>
        <w:t xml:space="preserve"> להעדיף, </w:t>
      </w:r>
      <w:r w:rsidRPr="0090592B" w:rsidDel="00DA710C">
        <w:rPr>
          <w:rFonts w:ascii="Century" w:hAnsi="Century" w:cs="Miriam" w:hint="eastAsia"/>
          <w:b/>
          <w:sz w:val="22"/>
          <w:rtl/>
        </w:rPr>
        <w:t>בהכרח</w:t>
      </w:r>
      <w:r w:rsidRPr="00E206AF" w:rsidDel="00DA710C">
        <w:rPr>
          <w:rFonts w:ascii="Arial TUR" w:hAnsi="Arial TUR" w:cs="FrankRuehl" w:hint="cs"/>
          <w:spacing w:val="10"/>
          <w:sz w:val="22"/>
          <w:szCs w:val="28"/>
          <w:rtl/>
        </w:rPr>
        <w:t xml:space="preserve">, פרשנות מקיימת של חוק יסוד </w:t>
      </w:r>
      <w:r w:rsidRPr="00E206AF" w:rsidDel="00DA710C">
        <w:rPr>
          <w:rFonts w:ascii="Arial TUR" w:hAnsi="Arial TUR" w:cs="FrankRuehl"/>
          <w:spacing w:val="10"/>
          <w:sz w:val="22"/>
          <w:szCs w:val="28"/>
          <w:rtl/>
        </w:rPr>
        <w:t>–</w:t>
      </w:r>
      <w:r w:rsidRPr="00E206AF" w:rsidDel="00DA710C">
        <w:rPr>
          <w:rFonts w:ascii="Arial TUR" w:hAnsi="Arial TUR" w:cs="FrankRuehl" w:hint="cs"/>
          <w:spacing w:val="10"/>
          <w:sz w:val="22"/>
          <w:szCs w:val="28"/>
          <w:rtl/>
        </w:rPr>
        <w:t xml:space="preserve"> אם היא אפשרית מבחינה לשונית </w:t>
      </w:r>
      <w:r>
        <w:rPr>
          <w:rFonts w:ascii="Arial TUR" w:hAnsi="Arial TUR" w:cs="FrankRuehl" w:hint="cs"/>
          <w:spacing w:val="10"/>
          <w:sz w:val="22"/>
          <w:szCs w:val="28"/>
          <w:rtl/>
        </w:rPr>
        <w:t>ו</w:t>
      </w:r>
      <w:r w:rsidRPr="00E206AF" w:rsidDel="00DA710C">
        <w:rPr>
          <w:rFonts w:ascii="Arial TUR" w:hAnsi="Arial TUR" w:cs="FrankRuehl" w:hint="cs"/>
          <w:spacing w:val="10"/>
          <w:sz w:val="22"/>
          <w:szCs w:val="28"/>
          <w:rtl/>
        </w:rPr>
        <w:t>מתיישבת עם תכליותיו</w:t>
      </w:r>
      <w:r>
        <w:rPr>
          <w:rFonts w:ascii="Arial TUR" w:hAnsi="Arial TUR" w:cs="FrankRuehl" w:hint="cs"/>
          <w:spacing w:val="10"/>
          <w:sz w:val="22"/>
          <w:szCs w:val="28"/>
          <w:rtl/>
        </w:rPr>
        <w:t xml:space="preserve"> </w:t>
      </w:r>
      <w:r>
        <w:rPr>
          <w:rFonts w:ascii="Arial TUR" w:hAnsi="Arial TUR" w:cs="FrankRuehl"/>
          <w:spacing w:val="10"/>
          <w:sz w:val="22"/>
          <w:szCs w:val="28"/>
          <w:rtl/>
        </w:rPr>
        <w:t>–</w:t>
      </w:r>
      <w:r>
        <w:rPr>
          <w:rFonts w:ascii="Arial TUR" w:hAnsi="Arial TUR" w:cs="FrankRuehl" w:hint="cs"/>
          <w:spacing w:val="10"/>
          <w:sz w:val="22"/>
          <w:szCs w:val="28"/>
          <w:rtl/>
        </w:rPr>
        <w:t xml:space="preserve"> שלפיה הוא אינו</w:t>
      </w:r>
      <w:r w:rsidRPr="00E206AF">
        <w:rPr>
          <w:rFonts w:ascii="Arial TUR" w:hAnsi="Arial TUR" w:cs="FrankRuehl" w:hint="cs"/>
          <w:spacing w:val="10"/>
          <w:sz w:val="22"/>
          <w:szCs w:val="28"/>
          <w:rtl/>
        </w:rPr>
        <w:t xml:space="preserve"> </w:t>
      </w:r>
      <w:r w:rsidRPr="00E206AF" w:rsidDel="00DA710C">
        <w:rPr>
          <w:rFonts w:ascii="Arial TUR" w:hAnsi="Arial TUR" w:cs="FrankRuehl" w:hint="cs"/>
          <w:spacing w:val="10"/>
          <w:sz w:val="22"/>
          <w:szCs w:val="28"/>
          <w:rtl/>
        </w:rPr>
        <w:t>שולל את ליבת הזהות היהודית או הדמוקרטית של מדינת ישראל</w:t>
      </w:r>
      <w:r>
        <w:rPr>
          <w:rFonts w:ascii="Arial TUR" w:hAnsi="Arial TUR" w:cs="FrankRuehl" w:hint="cs"/>
          <w:spacing w:val="10"/>
          <w:sz w:val="22"/>
          <w:szCs w:val="28"/>
          <w:rtl/>
        </w:rPr>
        <w:t>,</w:t>
      </w:r>
      <w:r w:rsidRPr="00E206AF" w:rsidDel="00DA710C">
        <w:rPr>
          <w:rFonts w:ascii="Arial TUR" w:hAnsi="Arial TUR" w:cs="FrankRuehl" w:hint="cs"/>
          <w:spacing w:val="10"/>
          <w:sz w:val="22"/>
          <w:szCs w:val="28"/>
          <w:rtl/>
        </w:rPr>
        <w:t xml:space="preserve"> על פני פרשנות אשר ע</w:t>
      </w:r>
      <w:r>
        <w:rPr>
          <w:rFonts w:ascii="Arial TUR" w:hAnsi="Arial TUR" w:cs="FrankRuehl" w:hint="cs"/>
          <w:spacing w:val="10"/>
          <w:sz w:val="22"/>
          <w:szCs w:val="28"/>
          <w:rtl/>
        </w:rPr>
        <w:t>ל</w:t>
      </w:r>
      <w:r w:rsidRPr="00E206AF" w:rsidDel="00DA710C">
        <w:rPr>
          <w:rFonts w:ascii="Arial TUR" w:hAnsi="Arial TUR" w:cs="FrankRuehl" w:hint="cs"/>
          <w:spacing w:val="10"/>
          <w:sz w:val="22"/>
          <w:szCs w:val="28"/>
          <w:rtl/>
        </w:rPr>
        <w:t>ו</w:t>
      </w:r>
      <w:r>
        <w:rPr>
          <w:rFonts w:ascii="Arial TUR" w:hAnsi="Arial TUR" w:cs="FrankRuehl" w:hint="cs"/>
          <w:spacing w:val="10"/>
          <w:sz w:val="22"/>
          <w:szCs w:val="28"/>
          <w:rtl/>
        </w:rPr>
        <w:t>ל</w:t>
      </w:r>
      <w:r w:rsidRPr="00E206AF" w:rsidDel="00DA710C">
        <w:rPr>
          <w:rFonts w:ascii="Arial TUR" w:hAnsi="Arial TUR" w:cs="FrankRuehl" w:hint="cs"/>
          <w:spacing w:val="10"/>
          <w:sz w:val="22"/>
          <w:szCs w:val="28"/>
          <w:rtl/>
        </w:rPr>
        <w:t>ה להוביל למסקנה הפוכה ו</w:t>
      </w:r>
      <w:r>
        <w:rPr>
          <w:rFonts w:ascii="Arial TUR" w:hAnsi="Arial TUR" w:cs="FrankRuehl" w:hint="cs"/>
          <w:spacing w:val="10"/>
          <w:sz w:val="22"/>
          <w:szCs w:val="28"/>
          <w:rtl/>
        </w:rPr>
        <w:t xml:space="preserve">לפיכך </w:t>
      </w:r>
      <w:r w:rsidRPr="00E206AF" w:rsidDel="00DA710C">
        <w:rPr>
          <w:rFonts w:ascii="Arial TUR" w:hAnsi="Arial TUR" w:cs="FrankRuehl" w:hint="cs"/>
          <w:spacing w:val="10"/>
          <w:sz w:val="22"/>
          <w:szCs w:val="28"/>
          <w:rtl/>
        </w:rPr>
        <w:t>לביטולו (ראו:</w:t>
      </w:r>
      <w:r w:rsidRPr="00E206AF">
        <w:rPr>
          <w:rFonts w:ascii="Arial TUR" w:hAnsi="Arial TUR" w:cs="FrankRuehl" w:hint="cs"/>
          <w:spacing w:val="10"/>
          <w:sz w:val="22"/>
          <w:szCs w:val="28"/>
          <w:rtl/>
        </w:rPr>
        <w:t xml:space="preserve"> </w:t>
      </w:r>
      <w:r w:rsidRPr="00E206AF" w:rsidDel="00DA710C">
        <w:rPr>
          <w:rFonts w:ascii="Arial TUR" w:hAnsi="Arial TUR" w:cs="FrankRuehl" w:hint="cs"/>
          <w:spacing w:val="10"/>
          <w:sz w:val="22"/>
          <w:szCs w:val="28"/>
          <w:rtl/>
        </w:rPr>
        <w:t xml:space="preserve">עניין </w:t>
      </w:r>
      <w:r w:rsidRPr="00E206AF" w:rsidDel="00DA710C">
        <w:rPr>
          <w:rFonts w:ascii="Century" w:hAnsi="Century" w:cs="Miriam" w:hint="eastAsia"/>
          <w:b/>
          <w:sz w:val="22"/>
          <w:rtl/>
        </w:rPr>
        <w:t>חוק</w:t>
      </w:r>
      <w:r w:rsidRPr="00E206AF" w:rsidDel="00DA710C">
        <w:rPr>
          <w:rFonts w:ascii="Century" w:hAnsi="Century" w:cs="Miriam"/>
          <w:b/>
          <w:sz w:val="22"/>
          <w:rtl/>
        </w:rPr>
        <w:t xml:space="preserve"> </w:t>
      </w:r>
      <w:r w:rsidRPr="00E206AF" w:rsidDel="00DA710C">
        <w:rPr>
          <w:rFonts w:ascii="Century" w:hAnsi="Century" w:cs="Miriam" w:hint="eastAsia"/>
          <w:b/>
          <w:sz w:val="22"/>
          <w:rtl/>
        </w:rPr>
        <w:t>הלאום</w:t>
      </w:r>
      <w:r w:rsidRPr="00E206AF">
        <w:rPr>
          <w:rFonts w:ascii="Century" w:hAnsi="Century" w:cs="FrankRuehl"/>
          <w:spacing w:val="10"/>
          <w:sz w:val="22"/>
          <w:szCs w:val="28"/>
          <w:rtl/>
        </w:rPr>
        <w:t>,</w:t>
      </w:r>
      <w:r w:rsidRPr="00E206AF">
        <w:rPr>
          <w:rFonts w:ascii="Arial TUR" w:hAnsi="Arial TUR" w:cs="FrankRuehl" w:hint="cs"/>
          <w:spacing w:val="10"/>
          <w:sz w:val="22"/>
          <w:szCs w:val="28"/>
          <w:rtl/>
        </w:rPr>
        <w:t xml:space="preserve"> ב</w:t>
      </w:r>
      <w:r w:rsidRPr="00E206AF" w:rsidDel="00DA710C">
        <w:rPr>
          <w:rFonts w:ascii="Arial TUR" w:hAnsi="Arial TUR" w:cs="FrankRuehl" w:hint="cs"/>
          <w:spacing w:val="10"/>
          <w:sz w:val="22"/>
          <w:szCs w:val="28"/>
          <w:rtl/>
        </w:rPr>
        <w:t>פס' 59 לפסק דינה של הנשיאה</w:t>
      </w:r>
      <w:r w:rsidRPr="00E206AF" w:rsidDel="00DA710C">
        <w:rPr>
          <w:rFonts w:ascii="Century" w:hAnsi="Century" w:cs="Miriam" w:hint="cs"/>
          <w:b/>
          <w:sz w:val="22"/>
          <w:rtl/>
        </w:rPr>
        <w:t xml:space="preserve"> חיות</w:t>
      </w:r>
      <w:r w:rsidRPr="00E206AF">
        <w:rPr>
          <w:rFonts w:ascii="Arial TUR" w:hAnsi="Arial TUR" w:cs="FrankRuehl" w:hint="cs"/>
          <w:spacing w:val="10"/>
          <w:sz w:val="22"/>
          <w:szCs w:val="28"/>
          <w:rtl/>
        </w:rPr>
        <w:t>, וההפניות שם</w:t>
      </w:r>
      <w:r w:rsidRPr="00E206AF" w:rsidDel="00DA710C">
        <w:rPr>
          <w:rFonts w:ascii="Arial TUR" w:hAnsi="Arial TUR" w:cs="FrankRuehl" w:hint="cs"/>
          <w:spacing w:val="10"/>
          <w:sz w:val="22"/>
          <w:szCs w:val="28"/>
          <w:rtl/>
        </w:rPr>
        <w:t>)</w:t>
      </w:r>
      <w:r w:rsidRPr="00E206AF">
        <w:rPr>
          <w:rFonts w:ascii="Arial TUR" w:hAnsi="Arial TUR" w:cs="FrankRuehl" w:hint="cs"/>
          <w:spacing w:val="10"/>
          <w:sz w:val="22"/>
          <w:szCs w:val="28"/>
          <w:rtl/>
        </w:rPr>
        <w:t>.</w:t>
      </w:r>
    </w:p>
    <w:p w:rsidR="00E32081" w:rsidRPr="00E206AF" w:rsidRDefault="00E32081" w:rsidP="00E32081">
      <w:pPr>
        <w:tabs>
          <w:tab w:val="left" w:pos="800"/>
        </w:tabs>
        <w:spacing w:line="360" w:lineRule="auto"/>
        <w:jc w:val="both"/>
        <w:rPr>
          <w:rFonts w:ascii="Arial TUR" w:hAnsi="Arial TUR" w:cs="FrankRuehl"/>
          <w:spacing w:val="10"/>
          <w:sz w:val="22"/>
          <w:szCs w:val="28"/>
        </w:rPr>
      </w:pPr>
      <w:r w:rsidRPr="00E206AF">
        <w:rPr>
          <w:rFonts w:ascii="Arial TUR" w:hAnsi="Arial TUR" w:cs="FrankRuehl" w:hint="cs"/>
          <w:spacing w:val="10"/>
          <w:sz w:val="22"/>
          <w:szCs w:val="28"/>
          <w:rtl/>
        </w:rPr>
        <w:tab/>
      </w: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hint="cs"/>
          <w:spacing w:val="10"/>
          <w:sz w:val="22"/>
          <w:szCs w:val="28"/>
          <w:rtl/>
        </w:rPr>
        <w:t>8.</w:t>
      </w:r>
      <w:r w:rsidRPr="00E206AF">
        <w:rPr>
          <w:rFonts w:ascii="Arial TUR" w:hAnsi="Arial TUR" w:cs="FrankRuehl" w:hint="cs"/>
          <w:spacing w:val="10"/>
          <w:sz w:val="22"/>
          <w:szCs w:val="28"/>
          <w:rtl/>
        </w:rPr>
        <w:tab/>
        <w:t xml:space="preserve">בפתח הדברים אציין כי אני סבורה שפרשנות התיקון, </w:t>
      </w:r>
      <w:r w:rsidRPr="00E206AF">
        <w:rPr>
          <w:rFonts w:ascii="Arial TUR" w:hAnsi="Arial TUR" w:cs="FrankRuehl" w:hint="eastAsia"/>
          <w:spacing w:val="10"/>
          <w:sz w:val="22"/>
          <w:szCs w:val="28"/>
          <w:rtl/>
        </w:rPr>
        <w:t>בהתאם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לכללי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הפרשנות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החוקתית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הנוהגים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עמנו</w:t>
      </w:r>
      <w:r w:rsidRPr="00E206AF">
        <w:rPr>
          <w:rFonts w:ascii="Arial TUR" w:hAnsi="Arial TUR" w:cs="FrankRuehl" w:hint="cs"/>
          <w:spacing w:val="10"/>
          <w:sz w:val="22"/>
          <w:szCs w:val="28"/>
          <w:rtl/>
        </w:rPr>
        <w:t xml:space="preserve">, מובילה למסקנה כי המונח </w:t>
      </w:r>
      <w:r w:rsidRPr="00E705C1">
        <w:rPr>
          <w:rFonts w:ascii="Century" w:hAnsi="Century" w:cs="FrankRuehl" w:hint="cs"/>
          <w:spacing w:val="10"/>
          <w:sz w:val="22"/>
          <w:szCs w:val="28"/>
          <w:rtl/>
        </w:rPr>
        <w:t>"</w:t>
      </w:r>
      <w:r w:rsidRPr="00E206AF">
        <w:rPr>
          <w:rFonts w:ascii="Arial TUR" w:hAnsi="Arial TUR" w:cs="Miriam" w:hint="eastAsia"/>
          <w:b/>
          <w:sz w:val="22"/>
          <w:rtl/>
        </w:rPr>
        <w:t>סבירות</w:t>
      </w:r>
      <w:r w:rsidRPr="00E705C1">
        <w:rPr>
          <w:rFonts w:ascii="Century" w:hAnsi="Century" w:cs="FrankRuehl" w:hint="cs"/>
          <w:spacing w:val="10"/>
          <w:sz w:val="22"/>
          <w:szCs w:val="28"/>
          <w:rtl/>
        </w:rPr>
        <w:t>"</w:t>
      </w:r>
      <w:r w:rsidRPr="00E206AF">
        <w:rPr>
          <w:rFonts w:ascii="Arial TUR" w:hAnsi="Arial TUR" w:cs="FrankRuehl" w:hint="cs"/>
          <w:spacing w:val="10"/>
          <w:sz w:val="22"/>
          <w:szCs w:val="28"/>
          <w:rtl/>
        </w:rPr>
        <w:t xml:space="preserve"> במסגרת התיקון, מתייחס אך ורק לעילת הסבירות במובן שנוצק לה בעקבות פסק הדין ב</w:t>
      </w:r>
      <w:r w:rsidRPr="00E206AF">
        <w:rPr>
          <w:rFonts w:ascii="Arial TUR" w:hAnsi="Arial TUR" w:cs="FrankRuehl" w:hint="eastAsia"/>
          <w:spacing w:val="10"/>
          <w:sz w:val="22"/>
          <w:szCs w:val="28"/>
          <w:rtl/>
        </w:rPr>
        <w:t>בג</w:t>
      </w:r>
      <w:r w:rsidRPr="00E206AF">
        <w:rPr>
          <w:rFonts w:ascii="Arial TUR" w:hAnsi="Arial TUR" w:cs="FrankRuehl"/>
          <w:spacing w:val="10"/>
          <w:sz w:val="22"/>
          <w:szCs w:val="28"/>
          <w:rtl/>
        </w:rPr>
        <w:t>"</w:t>
      </w:r>
      <w:r w:rsidRPr="00E206AF">
        <w:rPr>
          <w:rFonts w:ascii="Arial TUR" w:hAnsi="Arial TUR" w:cs="FrankRuehl" w:hint="eastAsia"/>
          <w:spacing w:val="10"/>
          <w:sz w:val="22"/>
          <w:szCs w:val="28"/>
          <w:rtl/>
        </w:rPr>
        <w:t>ץ</w:t>
      </w:r>
      <w:r w:rsidRPr="00E206AF">
        <w:rPr>
          <w:rFonts w:ascii="Arial TUR" w:hAnsi="Arial TUR" w:cs="FrankRuehl"/>
          <w:spacing w:val="10"/>
          <w:sz w:val="22"/>
          <w:szCs w:val="28"/>
          <w:rtl/>
        </w:rPr>
        <w:t xml:space="preserve"> 389/80 </w:t>
      </w:r>
      <w:r w:rsidRPr="00E206AF">
        <w:rPr>
          <w:rFonts w:ascii="Arial TUR" w:hAnsi="Arial TUR" w:cs="Miriam" w:hint="eastAsia"/>
          <w:b/>
          <w:sz w:val="22"/>
          <w:rtl/>
        </w:rPr>
        <w:t>דפי</w:t>
      </w:r>
      <w:r w:rsidRPr="00E206AF">
        <w:rPr>
          <w:rFonts w:ascii="Arial TUR" w:hAnsi="Arial TUR" w:cs="Miriam"/>
          <w:b/>
          <w:sz w:val="22"/>
          <w:rtl/>
        </w:rPr>
        <w:t xml:space="preserve"> </w:t>
      </w:r>
      <w:r w:rsidRPr="00E206AF">
        <w:rPr>
          <w:rFonts w:ascii="Arial TUR" w:hAnsi="Arial TUR" w:cs="Miriam" w:hint="eastAsia"/>
          <w:b/>
          <w:sz w:val="22"/>
          <w:rtl/>
        </w:rPr>
        <w:t>זהב</w:t>
      </w:r>
      <w:r w:rsidRPr="00E206AF">
        <w:rPr>
          <w:rFonts w:ascii="Arial TUR" w:hAnsi="Arial TUR" w:cs="Miriam"/>
          <w:b/>
          <w:sz w:val="22"/>
          <w:rtl/>
        </w:rPr>
        <w:t xml:space="preserve"> </w:t>
      </w:r>
      <w:r w:rsidRPr="00E206AF">
        <w:rPr>
          <w:rFonts w:ascii="Arial TUR" w:hAnsi="Arial TUR" w:cs="Miriam" w:hint="eastAsia"/>
          <w:b/>
          <w:sz w:val="22"/>
          <w:rtl/>
        </w:rPr>
        <w:t>בע</w:t>
      </w:r>
      <w:r w:rsidRPr="00E206AF">
        <w:rPr>
          <w:rFonts w:ascii="Arial TUR" w:hAnsi="Arial TUR" w:cs="Miriam"/>
          <w:b/>
          <w:sz w:val="22"/>
          <w:rtl/>
        </w:rPr>
        <w:t>"</w:t>
      </w:r>
      <w:r w:rsidRPr="00E206AF">
        <w:rPr>
          <w:rFonts w:ascii="Arial TUR" w:hAnsi="Arial TUR" w:cs="Miriam" w:hint="eastAsia"/>
          <w:b/>
          <w:sz w:val="22"/>
          <w:rtl/>
        </w:rPr>
        <w:t>מ</w:t>
      </w:r>
      <w:r w:rsidRPr="00E206AF">
        <w:rPr>
          <w:rFonts w:ascii="Arial TUR" w:hAnsi="Arial TUR" w:cs="Miriam"/>
          <w:b/>
          <w:sz w:val="22"/>
          <w:rtl/>
        </w:rPr>
        <w:t xml:space="preserve"> </w:t>
      </w:r>
      <w:r w:rsidRPr="00E206AF">
        <w:rPr>
          <w:rFonts w:ascii="Arial TUR" w:hAnsi="Arial TUR" w:cs="Miriam" w:hint="eastAsia"/>
          <w:b/>
          <w:sz w:val="22"/>
          <w:rtl/>
        </w:rPr>
        <w:t>נ</w:t>
      </w:r>
      <w:r w:rsidRPr="00E206AF">
        <w:rPr>
          <w:rFonts w:ascii="Arial TUR" w:hAnsi="Arial TUR" w:cs="Miriam"/>
          <w:b/>
          <w:sz w:val="22"/>
          <w:rtl/>
        </w:rPr>
        <w:t xml:space="preserve">' </w:t>
      </w:r>
      <w:r w:rsidRPr="00E206AF">
        <w:rPr>
          <w:rFonts w:ascii="Arial TUR" w:hAnsi="Arial TUR" w:cs="Miriam" w:hint="eastAsia"/>
          <w:b/>
          <w:sz w:val="22"/>
          <w:rtl/>
        </w:rPr>
        <w:t>רשות</w:t>
      </w:r>
      <w:r w:rsidRPr="00E206AF">
        <w:rPr>
          <w:rFonts w:ascii="Arial TUR" w:hAnsi="Arial TUR" w:cs="Miriam"/>
          <w:b/>
          <w:sz w:val="22"/>
          <w:rtl/>
        </w:rPr>
        <w:t xml:space="preserve"> </w:t>
      </w:r>
      <w:r w:rsidRPr="00E206AF">
        <w:rPr>
          <w:rFonts w:ascii="Arial TUR" w:hAnsi="Arial TUR" w:cs="Miriam" w:hint="eastAsia"/>
          <w:b/>
          <w:sz w:val="22"/>
          <w:rtl/>
        </w:rPr>
        <w:t>השידור</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 xml:space="preserve">פ"ד </w:t>
      </w:r>
      <w:r w:rsidRPr="00E206AF">
        <w:rPr>
          <w:rFonts w:ascii="Arial TUR" w:hAnsi="Arial TUR" w:cs="FrankRuehl" w:hint="eastAsia"/>
          <w:spacing w:val="10"/>
          <w:sz w:val="22"/>
          <w:szCs w:val="28"/>
          <w:rtl/>
        </w:rPr>
        <w:t>לה</w:t>
      </w:r>
      <w:r w:rsidRPr="00E206AF">
        <w:rPr>
          <w:rFonts w:ascii="Arial TUR" w:hAnsi="Arial TUR" w:cs="FrankRuehl"/>
          <w:spacing w:val="10"/>
          <w:sz w:val="22"/>
          <w:szCs w:val="28"/>
          <w:rtl/>
        </w:rPr>
        <w:t>(1) 421 (1980)</w:t>
      </w:r>
      <w:r w:rsidRPr="00E206AF">
        <w:rPr>
          <w:rFonts w:ascii="Arial TUR" w:hAnsi="Arial TUR" w:cs="FrankRuehl" w:hint="cs"/>
          <w:spacing w:val="10"/>
          <w:sz w:val="22"/>
          <w:szCs w:val="28"/>
          <w:rtl/>
        </w:rPr>
        <w:t xml:space="preserve"> (להלן</w:t>
      </w:r>
      <w:r>
        <w:rPr>
          <w:rFonts w:ascii="Arial TUR" w:hAnsi="Arial TUR" w:cs="FrankRuehl" w:hint="cs"/>
          <w:spacing w:val="10"/>
          <w:sz w:val="22"/>
          <w:szCs w:val="28"/>
          <w:rtl/>
        </w:rPr>
        <w:t xml:space="preserve"> בהתאמה</w:t>
      </w:r>
      <w:r w:rsidRPr="00E206AF">
        <w:rPr>
          <w:rFonts w:ascii="Arial TUR" w:hAnsi="Arial TUR" w:cs="FrankRuehl" w:hint="cs"/>
          <w:spacing w:val="10"/>
          <w:sz w:val="22"/>
          <w:szCs w:val="28"/>
          <w:rtl/>
        </w:rPr>
        <w:t xml:space="preserve">: </w:t>
      </w:r>
      <w:r w:rsidRPr="00E206AF">
        <w:rPr>
          <w:rFonts w:ascii="Arial TUR" w:hAnsi="Arial TUR" w:cs="Miriam" w:hint="eastAsia"/>
          <w:b/>
          <w:sz w:val="22"/>
          <w:rtl/>
        </w:rPr>
        <w:t>סבירות</w:t>
      </w:r>
      <w:r w:rsidRPr="00E206AF">
        <w:rPr>
          <w:rFonts w:ascii="Arial TUR" w:hAnsi="Arial TUR" w:cs="Miriam"/>
          <w:b/>
          <w:sz w:val="22"/>
          <w:rtl/>
        </w:rPr>
        <w:t xml:space="preserve"> </w:t>
      </w:r>
      <w:r w:rsidRPr="00E206AF">
        <w:rPr>
          <w:rFonts w:ascii="Arial TUR" w:hAnsi="Arial TUR" w:cs="Miriam" w:hint="eastAsia"/>
          <w:b/>
          <w:sz w:val="22"/>
          <w:rtl/>
        </w:rPr>
        <w:t>איזונית</w:t>
      </w:r>
      <w:r w:rsidRPr="00651AD6">
        <w:rPr>
          <w:rFonts w:ascii="Arial TUR" w:hAnsi="Arial TUR" w:cs="FrankRuehl" w:hint="cs"/>
          <w:spacing w:val="10"/>
          <w:sz w:val="22"/>
          <w:szCs w:val="28"/>
          <w:rtl/>
        </w:rPr>
        <w:t xml:space="preserve"> </w:t>
      </w:r>
      <w:r>
        <w:rPr>
          <w:rFonts w:ascii="Arial TUR" w:hAnsi="Arial TUR" w:cs="FrankRuehl" w:hint="cs"/>
          <w:spacing w:val="10"/>
          <w:sz w:val="22"/>
          <w:szCs w:val="28"/>
          <w:rtl/>
        </w:rPr>
        <w:t>ו</w:t>
      </w:r>
      <w:r w:rsidRPr="00E206AF">
        <w:rPr>
          <w:rFonts w:ascii="Arial TUR" w:hAnsi="Arial TUR" w:cs="FrankRuehl" w:hint="cs"/>
          <w:spacing w:val="10"/>
          <w:sz w:val="22"/>
          <w:szCs w:val="28"/>
          <w:rtl/>
        </w:rPr>
        <w:t xml:space="preserve">עניין </w:t>
      </w:r>
      <w:r w:rsidRPr="00E206AF">
        <w:rPr>
          <w:rFonts w:ascii="Arial TUR" w:hAnsi="Arial TUR" w:cs="Miriam" w:hint="cs"/>
          <w:b/>
          <w:sz w:val="22"/>
          <w:rtl/>
        </w:rPr>
        <w:t>דפי זהב</w:t>
      </w:r>
      <w:r w:rsidRPr="00E206AF">
        <w:rPr>
          <w:rFonts w:ascii="Arial TUR" w:hAnsi="Arial TUR" w:cs="FrankRuehl" w:hint="cs"/>
          <w:spacing w:val="10"/>
          <w:sz w:val="22"/>
          <w:szCs w:val="28"/>
          <w:rtl/>
        </w:rPr>
        <w:t xml:space="preserve">). לגישתי, </w:t>
      </w:r>
      <w:r w:rsidRPr="00E206AF">
        <w:rPr>
          <w:rFonts w:ascii="Arial TUR" w:hAnsi="Arial TUR" w:cs="Miriam" w:hint="eastAsia"/>
          <w:b/>
          <w:sz w:val="22"/>
          <w:rtl/>
        </w:rPr>
        <w:t>בהינתן</w:t>
      </w:r>
      <w:r w:rsidRPr="00E206AF">
        <w:rPr>
          <w:rFonts w:ascii="Arial TUR" w:hAnsi="Arial TUR" w:cs="Miriam"/>
          <w:b/>
          <w:sz w:val="22"/>
          <w:rtl/>
        </w:rPr>
        <w:t xml:space="preserve"> </w:t>
      </w:r>
      <w:r w:rsidRPr="00E206AF">
        <w:rPr>
          <w:rFonts w:ascii="Arial TUR" w:hAnsi="Arial TUR" w:cs="Miriam" w:hint="eastAsia"/>
          <w:b/>
          <w:sz w:val="22"/>
          <w:rtl/>
        </w:rPr>
        <w:t>פרשנות</w:t>
      </w:r>
      <w:r w:rsidRPr="00E206AF">
        <w:rPr>
          <w:rFonts w:ascii="Arial TUR" w:hAnsi="Arial TUR" w:cs="Miriam"/>
          <w:b/>
          <w:sz w:val="22"/>
          <w:rtl/>
        </w:rPr>
        <w:t xml:space="preserve"> </w:t>
      </w:r>
      <w:r w:rsidRPr="00E206AF">
        <w:rPr>
          <w:rFonts w:ascii="Arial TUR" w:hAnsi="Arial TUR" w:cs="Miriam" w:hint="eastAsia"/>
          <w:b/>
          <w:sz w:val="22"/>
          <w:rtl/>
        </w:rPr>
        <w:t>זו</w:t>
      </w:r>
      <w:r w:rsidRPr="00E206AF">
        <w:rPr>
          <w:rFonts w:ascii="Arial TUR" w:hAnsi="Arial TUR" w:cs="FrankRuehl" w:hint="cs"/>
          <w:spacing w:val="10"/>
          <w:sz w:val="22"/>
          <w:szCs w:val="28"/>
          <w:rtl/>
        </w:rPr>
        <w:t xml:space="preserve">, התיקון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שאמנם יש להצר על בואו לעולם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אינו שולל את </w:t>
      </w:r>
      <w:r w:rsidRPr="00E206AF">
        <w:rPr>
          <w:rFonts w:ascii="Arial TUR" w:hAnsi="Arial TUR" w:cs="FrankRuehl" w:hint="eastAsia"/>
          <w:spacing w:val="10"/>
          <w:sz w:val="22"/>
          <w:szCs w:val="28"/>
          <w:rtl/>
        </w:rPr>
        <w:t>ליבת</w:t>
      </w:r>
      <w:r w:rsidRPr="00E206AF">
        <w:rPr>
          <w:rFonts w:ascii="Arial TUR" w:hAnsi="Arial TUR" w:cs="FrankRuehl" w:hint="cs"/>
          <w:spacing w:val="10"/>
          <w:sz w:val="22"/>
          <w:szCs w:val="28"/>
          <w:rtl/>
        </w:rPr>
        <w:t xml:space="preserve"> הזהות הדמוקרטית של מדינת ישראל.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spacing w:val="10"/>
          <w:sz w:val="22"/>
          <w:szCs w:val="28"/>
          <w:rtl/>
        </w:rPr>
        <w:tab/>
      </w:r>
      <w:r w:rsidRPr="00E206AF">
        <w:rPr>
          <w:rFonts w:ascii="Arial TUR" w:hAnsi="Arial TUR" w:cs="FrankRuehl" w:hint="cs"/>
          <w:spacing w:val="10"/>
          <w:sz w:val="22"/>
          <w:szCs w:val="28"/>
          <w:rtl/>
        </w:rPr>
        <w:t>ודוק</w:t>
      </w:r>
      <w:r>
        <w:rPr>
          <w:rFonts w:ascii="Arial TUR" w:hAnsi="Arial TUR" w:cs="FrankRuehl" w:hint="cs"/>
          <w:spacing w:val="10"/>
          <w:sz w:val="22"/>
          <w:szCs w:val="28"/>
          <w:rtl/>
        </w:rPr>
        <w:t>:</w:t>
      </w:r>
      <w:r w:rsidRPr="00E206AF">
        <w:rPr>
          <w:rFonts w:ascii="Arial TUR" w:hAnsi="Arial TUR" w:cs="FrankRuehl" w:hint="cs"/>
          <w:spacing w:val="10"/>
          <w:sz w:val="22"/>
          <w:szCs w:val="28"/>
          <w:rtl/>
        </w:rPr>
        <w:t xml:space="preserve"> כפי שארחיב בהמשך דבריי,</w:t>
      </w:r>
      <w:r>
        <w:rPr>
          <w:rFonts w:ascii="Arial TUR" w:hAnsi="Arial TUR" w:cs="FrankRuehl" w:hint="cs"/>
          <w:spacing w:val="10"/>
          <w:sz w:val="22"/>
          <w:szCs w:val="28"/>
          <w:rtl/>
        </w:rPr>
        <w:t xml:space="preserve"> אמנם </w:t>
      </w:r>
      <w:r w:rsidRPr="00E206AF">
        <w:rPr>
          <w:rFonts w:ascii="Arial TUR" w:hAnsi="Arial TUR" w:cs="FrankRuehl" w:hint="cs"/>
          <w:spacing w:val="10"/>
          <w:sz w:val="22"/>
          <w:szCs w:val="28"/>
          <w:rtl/>
        </w:rPr>
        <w:t>בהינתן הפרשנות המוצעת, עשויים להתעורר מקרים שבהם בית המשפט לא יוכל להושיט סעד</w:t>
      </w:r>
      <w:r>
        <w:rPr>
          <w:rFonts w:ascii="Arial TUR" w:hAnsi="Arial TUR" w:cs="FrankRuehl" w:hint="cs"/>
          <w:spacing w:val="10"/>
          <w:sz w:val="22"/>
          <w:szCs w:val="28"/>
          <w:rtl/>
        </w:rPr>
        <w:t xml:space="preserve"> שיפוטי ביחס להחלטות שרים או ממשלה</w:t>
      </w:r>
      <w:r w:rsidRPr="00E206AF">
        <w:rPr>
          <w:rFonts w:ascii="Arial TUR" w:hAnsi="Arial TUR" w:cs="FrankRuehl" w:hint="cs"/>
          <w:spacing w:val="10"/>
          <w:sz w:val="22"/>
          <w:szCs w:val="28"/>
          <w:rtl/>
        </w:rPr>
        <w:t xml:space="preserve"> באמצעות עילת הסבירות האיזונית</w:t>
      </w:r>
      <w:r>
        <w:rPr>
          <w:rFonts w:ascii="Arial TUR" w:hAnsi="Arial TUR" w:cs="FrankRuehl" w:hint="cs"/>
          <w:spacing w:val="10"/>
          <w:sz w:val="22"/>
          <w:szCs w:val="28"/>
          <w:rtl/>
        </w:rPr>
        <w:t>,</w:t>
      </w:r>
      <w:r w:rsidRPr="00E206AF">
        <w:rPr>
          <w:rFonts w:ascii="Arial TUR" w:hAnsi="Arial TUR" w:cs="FrankRuehl" w:hint="cs"/>
          <w:spacing w:val="10"/>
          <w:sz w:val="22"/>
          <w:szCs w:val="28"/>
          <w:rtl/>
        </w:rPr>
        <w:t xml:space="preserve"> כבעבר.</w:t>
      </w:r>
      <w:r>
        <w:rPr>
          <w:rFonts w:ascii="Arial TUR" w:hAnsi="Arial TUR" w:cs="FrankRuehl" w:hint="cs"/>
          <w:spacing w:val="10"/>
          <w:sz w:val="22"/>
          <w:szCs w:val="28"/>
          <w:rtl/>
        </w:rPr>
        <w:t xml:space="preserve"> ברם,</w:t>
      </w:r>
      <w:r w:rsidRPr="00E206AF">
        <w:rPr>
          <w:rFonts w:ascii="Arial TUR" w:hAnsi="Arial TUR" w:cs="FrankRuehl" w:hint="cs"/>
          <w:spacing w:val="10"/>
          <w:sz w:val="22"/>
          <w:szCs w:val="28"/>
          <w:rtl/>
        </w:rPr>
        <w:t xml:space="preserve"> </w:t>
      </w:r>
      <w:r>
        <w:rPr>
          <w:rFonts w:ascii="Arial TUR" w:hAnsi="Arial TUR" w:cs="FrankRuehl" w:hint="cs"/>
          <w:spacing w:val="10"/>
          <w:sz w:val="22"/>
          <w:szCs w:val="28"/>
          <w:rtl/>
        </w:rPr>
        <w:t>אף אם מדובר במצב דברים שיש להצר עליו, הרי</w:t>
      </w:r>
      <w:r w:rsidRPr="00E206AF">
        <w:rPr>
          <w:rFonts w:ascii="Arial TUR" w:hAnsi="Arial TUR" w:cs="FrankRuehl" w:hint="cs"/>
          <w:spacing w:val="10"/>
          <w:sz w:val="22"/>
          <w:szCs w:val="28"/>
          <w:rtl/>
        </w:rPr>
        <w:t xml:space="preserve"> </w:t>
      </w:r>
      <w:r>
        <w:rPr>
          <w:rFonts w:ascii="Arial TUR" w:hAnsi="Arial TUR" w:cs="FrankRuehl" w:hint="cs"/>
          <w:spacing w:val="10"/>
          <w:sz w:val="22"/>
          <w:szCs w:val="28"/>
          <w:rtl/>
        </w:rPr>
        <w:t>ש</w:t>
      </w:r>
      <w:r w:rsidRPr="00E206AF">
        <w:rPr>
          <w:rFonts w:ascii="Arial TUR" w:hAnsi="Arial TUR" w:cs="FrankRuehl" w:hint="cs"/>
          <w:spacing w:val="10"/>
          <w:sz w:val="22"/>
          <w:szCs w:val="28"/>
          <w:rtl/>
        </w:rPr>
        <w:t xml:space="preserve">מדובר יהיה בהחלטות שנתקבלו בסמכות; לאחר הליך מינהלי </w:t>
      </w:r>
      <w:r>
        <w:rPr>
          <w:rFonts w:ascii="Arial TUR" w:hAnsi="Arial TUR" w:cs="FrankRuehl" w:hint="cs"/>
          <w:spacing w:val="10"/>
          <w:sz w:val="22"/>
          <w:szCs w:val="28"/>
          <w:rtl/>
        </w:rPr>
        <w:t>תקין</w:t>
      </w:r>
      <w:r w:rsidRPr="00E206AF">
        <w:rPr>
          <w:rFonts w:ascii="Arial TUR" w:hAnsi="Arial TUR" w:cs="FrankRuehl" w:hint="cs"/>
          <w:spacing w:val="10"/>
          <w:sz w:val="22"/>
          <w:szCs w:val="28"/>
          <w:rtl/>
        </w:rPr>
        <w:t xml:space="preserve">; בתום לב; </w:t>
      </w:r>
      <w:r>
        <w:rPr>
          <w:rFonts w:ascii="Arial TUR" w:hAnsi="Arial TUR" w:cs="FrankRuehl" w:hint="cs"/>
          <w:spacing w:val="10"/>
          <w:sz w:val="22"/>
          <w:szCs w:val="28"/>
          <w:rtl/>
        </w:rPr>
        <w:t>ללא שיקולים זרים</w:t>
      </w:r>
      <w:r w:rsidRPr="00E206AF">
        <w:rPr>
          <w:rFonts w:ascii="Arial TUR" w:hAnsi="Arial TUR" w:cs="FrankRuehl" w:hint="cs"/>
          <w:spacing w:val="10"/>
          <w:sz w:val="22"/>
          <w:szCs w:val="28"/>
          <w:rtl/>
        </w:rPr>
        <w:t>; החלטות מידתיות</w:t>
      </w:r>
      <w:r>
        <w:rPr>
          <w:rFonts w:ascii="Arial TUR" w:hAnsi="Arial TUR" w:cs="FrankRuehl" w:hint="cs"/>
          <w:spacing w:val="10"/>
          <w:sz w:val="22"/>
          <w:szCs w:val="28"/>
          <w:rtl/>
        </w:rPr>
        <w:t xml:space="preserve">; </w:t>
      </w:r>
      <w:r w:rsidRPr="00E206AF">
        <w:rPr>
          <w:rFonts w:ascii="Arial TUR" w:hAnsi="Arial TUR" w:cs="FrankRuehl" w:hint="cs"/>
          <w:spacing w:val="10"/>
          <w:sz w:val="22"/>
          <w:szCs w:val="28"/>
          <w:rtl/>
        </w:rPr>
        <w:t>אינן שרירותיות; אינן מפלות; ואינן מופרכות מעיקרן.</w:t>
      </w:r>
      <w:r>
        <w:rPr>
          <w:rFonts w:ascii="Arial TUR" w:hAnsi="Arial TUR" w:cs="FrankRuehl" w:hint="cs"/>
          <w:spacing w:val="10"/>
          <w:sz w:val="22"/>
          <w:szCs w:val="28"/>
          <w:rtl/>
        </w:rPr>
        <w:t xml:space="preserve"> אם כן,</w:t>
      </w:r>
      <w:r w:rsidRPr="00E206AF">
        <w:rPr>
          <w:rFonts w:ascii="Arial TUR" w:hAnsi="Arial TUR" w:cs="FrankRuehl" w:hint="cs"/>
          <w:spacing w:val="10"/>
          <w:sz w:val="22"/>
          <w:szCs w:val="28"/>
          <w:rtl/>
        </w:rPr>
        <w:t xml:space="preserve"> איני סבורה כי במצב דברים זה נגרמת </w:t>
      </w:r>
      <w:r w:rsidRPr="00E206AF">
        <w:rPr>
          <w:rFonts w:ascii="Century" w:hAnsi="Century" w:cs="Miriam" w:hint="cs"/>
          <w:b/>
          <w:sz w:val="22"/>
          <w:rtl/>
        </w:rPr>
        <w:t>פגיעה אנושה בליבת הזהות הדמוקרטית של מדינת ישראל</w:t>
      </w:r>
      <w:r w:rsidRPr="00E206AF">
        <w:rPr>
          <w:rFonts w:ascii="Arial TUR" w:hAnsi="Arial TUR" w:cs="FrankRuehl" w:hint="cs"/>
          <w:spacing w:val="10"/>
          <w:sz w:val="22"/>
          <w:szCs w:val="28"/>
          <w:rtl/>
        </w:rPr>
        <w:t>. לפיכך, מסקנתי היא, כאמור, כי אין מקום להורות על ביטולו של התיקון, ויש לבחור במסלול הפרשני האפשרי המקיים אותו.</w:t>
      </w:r>
    </w:p>
    <w:p w:rsidR="00E32081" w:rsidRPr="00E206AF" w:rsidRDefault="00E32081" w:rsidP="00E32081">
      <w:pPr>
        <w:spacing w:line="360" w:lineRule="auto"/>
        <w:jc w:val="both"/>
        <w:rPr>
          <w:rFonts w:ascii="Century" w:hAnsi="Century" w:cs="FrankRuehl"/>
          <w:spacing w:val="10"/>
          <w:szCs w:val="28"/>
          <w:rtl/>
        </w:rPr>
      </w:pPr>
    </w:p>
    <w:p w:rsidR="00E32081" w:rsidRPr="00E206AF" w:rsidRDefault="00E32081" w:rsidP="00E32081">
      <w:pPr>
        <w:spacing w:line="360" w:lineRule="auto"/>
        <w:jc w:val="both"/>
        <w:rPr>
          <w:rFonts w:ascii="Century" w:hAnsi="Century" w:cs="FrankRuehl"/>
          <w:spacing w:val="10"/>
          <w:szCs w:val="28"/>
          <w:rtl/>
        </w:rPr>
      </w:pPr>
      <w:r w:rsidRPr="00E206AF">
        <w:rPr>
          <w:rFonts w:ascii="Century" w:hAnsi="Century" w:cs="FrankRuehl" w:hint="cs"/>
          <w:spacing w:val="10"/>
          <w:szCs w:val="28"/>
          <w:rtl/>
        </w:rPr>
        <w:t>9.</w:t>
      </w:r>
      <w:r w:rsidRPr="00E206AF">
        <w:rPr>
          <w:rFonts w:ascii="Century" w:hAnsi="Century" w:cs="FrankRuehl" w:hint="cs"/>
          <w:spacing w:val="10"/>
          <w:szCs w:val="28"/>
          <w:rtl/>
        </w:rPr>
        <w:tab/>
        <w:t xml:space="preserve">על מנת להניח את התשתית הנדרשת למסקנתי האמורה, אפתח בסקירת תולדותיה של עילת הסבירות במשפט הישראלי. </w:t>
      </w:r>
    </w:p>
    <w:p w:rsidR="00E32081" w:rsidRPr="00E206AF" w:rsidRDefault="00E32081" w:rsidP="00E32081">
      <w:pPr>
        <w:tabs>
          <w:tab w:val="left" w:pos="800"/>
        </w:tabs>
        <w:spacing w:line="360" w:lineRule="auto"/>
        <w:jc w:val="both"/>
        <w:rPr>
          <w:rFonts w:ascii="Arial TUR" w:hAnsi="Arial TUR" w:cs="FrankRuehl"/>
          <w:b/>
          <w:bCs/>
          <w:spacing w:val="10"/>
          <w:sz w:val="22"/>
          <w:szCs w:val="28"/>
          <w:u w:val="single"/>
          <w:rtl/>
        </w:rPr>
      </w:pPr>
      <w:r w:rsidRPr="00E206AF">
        <w:rPr>
          <w:rFonts w:ascii="Arial TUR" w:hAnsi="Arial TUR" w:cs="FrankRuehl"/>
          <w:spacing w:val="10"/>
          <w:sz w:val="22"/>
          <w:szCs w:val="28"/>
          <w:rtl/>
        </w:rPr>
        <w:tab/>
      </w:r>
    </w:p>
    <w:p w:rsidR="00E32081" w:rsidRPr="00E206AF" w:rsidRDefault="00E32081" w:rsidP="00E32081">
      <w:pPr>
        <w:tabs>
          <w:tab w:val="left" w:pos="800"/>
        </w:tabs>
        <w:spacing w:line="360" w:lineRule="auto"/>
        <w:jc w:val="both"/>
        <w:rPr>
          <w:rFonts w:ascii="Century" w:hAnsi="Century" w:cs="Miriam"/>
          <w:b/>
          <w:sz w:val="22"/>
          <w:rtl/>
        </w:rPr>
      </w:pPr>
      <w:r w:rsidRPr="00E206AF">
        <w:rPr>
          <w:rFonts w:ascii="Century" w:hAnsi="Century" w:cs="Miriam" w:hint="eastAsia"/>
          <w:b/>
          <w:sz w:val="22"/>
          <w:rtl/>
        </w:rPr>
        <w:t>עילת</w:t>
      </w:r>
      <w:r w:rsidRPr="00E206AF">
        <w:rPr>
          <w:rFonts w:ascii="Century" w:hAnsi="Century" w:cs="Miriam"/>
          <w:b/>
          <w:sz w:val="22"/>
          <w:rtl/>
        </w:rPr>
        <w:t xml:space="preserve"> </w:t>
      </w:r>
      <w:r w:rsidRPr="00E206AF">
        <w:rPr>
          <w:rFonts w:ascii="Century" w:hAnsi="Century" w:cs="Miriam" w:hint="eastAsia"/>
          <w:b/>
          <w:sz w:val="22"/>
          <w:rtl/>
        </w:rPr>
        <w:t>הסבירות</w:t>
      </w:r>
      <w:r w:rsidRPr="00E206AF">
        <w:rPr>
          <w:rFonts w:ascii="Century" w:hAnsi="Century" w:cs="Miriam"/>
          <w:b/>
          <w:sz w:val="22"/>
          <w:rtl/>
        </w:rPr>
        <w:t xml:space="preserve"> </w:t>
      </w:r>
      <w:r w:rsidRPr="00E206AF">
        <w:rPr>
          <w:rFonts w:ascii="Century" w:hAnsi="Century" w:cs="Miriam" w:hint="eastAsia"/>
          <w:b/>
          <w:sz w:val="22"/>
          <w:rtl/>
        </w:rPr>
        <w:t>המקורית</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hint="cs"/>
          <w:spacing w:val="10"/>
          <w:sz w:val="22"/>
          <w:szCs w:val="28"/>
          <w:rtl/>
        </w:rPr>
        <w:t>10.</w:t>
      </w:r>
      <w:r w:rsidRPr="00E206AF">
        <w:rPr>
          <w:rFonts w:ascii="Arial TUR" w:hAnsi="Arial TUR" w:cs="FrankRuehl" w:hint="cs"/>
          <w:spacing w:val="10"/>
          <w:sz w:val="22"/>
          <w:szCs w:val="28"/>
          <w:rtl/>
        </w:rPr>
        <w:tab/>
        <w:t>עילת הסבירות נקלטה אל תוך שיטת משפטנו מן המשפט האנגלי, ועסקה בראשית דרכה בעיקר בשאלת סבירותם של חוקי עזר של רשות מקומית (ראו, למשל:</w:t>
      </w:r>
      <w:r w:rsidRPr="00E206AF">
        <w:rPr>
          <w:rFonts w:ascii="Century" w:hAnsi="Century" w:cs="FrankRuehl" w:hint="cs"/>
          <w:spacing w:val="10"/>
          <w:sz w:val="22"/>
          <w:szCs w:val="28"/>
          <w:rtl/>
        </w:rPr>
        <w:t xml:space="preserve"> </w:t>
      </w:r>
      <w:r w:rsidRPr="00E206AF">
        <w:rPr>
          <w:rFonts w:ascii="Century" w:hAnsi="Century" w:cs="FrankRuehl" w:hint="cs"/>
          <w:spacing w:val="10"/>
          <w:sz w:val="22"/>
          <w:szCs w:val="28"/>
          <w:rtl/>
        </w:rPr>
        <w:lastRenderedPageBreak/>
        <w:t xml:space="preserve">יצחק זמיר </w:t>
      </w:r>
      <w:r w:rsidRPr="00E206AF">
        <w:rPr>
          <w:rFonts w:ascii="Century" w:hAnsi="Century" w:cs="Miriam" w:hint="cs"/>
          <w:b/>
          <w:sz w:val="22"/>
          <w:rtl/>
        </w:rPr>
        <w:t xml:space="preserve">הסמכות המינהלית </w:t>
      </w:r>
      <w:r w:rsidRPr="00E206AF">
        <w:rPr>
          <w:rFonts w:ascii="Century" w:hAnsi="Century" w:cs="FrankRuehl" w:hint="cs"/>
          <w:spacing w:val="10"/>
          <w:sz w:val="22"/>
          <w:szCs w:val="28"/>
          <w:rtl/>
        </w:rPr>
        <w:t xml:space="preserve">כרך ה 3551-3549 (2020) (להלן: </w:t>
      </w:r>
      <w:r w:rsidRPr="00E206AF">
        <w:rPr>
          <w:rFonts w:ascii="Century" w:hAnsi="Century" w:cs="Miriam" w:hint="cs"/>
          <w:b/>
          <w:sz w:val="22"/>
          <w:rtl/>
        </w:rPr>
        <w:t>זמיר, הסמכות המינהלית</w:t>
      </w:r>
      <w:r w:rsidRPr="00E206AF">
        <w:rPr>
          <w:rFonts w:ascii="Century" w:hAnsi="Century" w:cs="FrankRuehl" w:hint="cs"/>
          <w:spacing w:val="10"/>
          <w:sz w:val="22"/>
          <w:szCs w:val="28"/>
          <w:rtl/>
        </w:rPr>
        <w:t>)</w:t>
      </w:r>
      <w:r w:rsidRPr="00E206AF">
        <w:rPr>
          <w:rFonts w:ascii="Arial TUR" w:hAnsi="Arial TUR" w:cs="FrankRuehl" w:hint="cs"/>
          <w:spacing w:val="10"/>
          <w:sz w:val="22"/>
          <w:szCs w:val="28"/>
          <w:rtl/>
        </w:rPr>
        <w:t xml:space="preserve">; בג"ץ 129/57 </w:t>
      </w:r>
      <w:r w:rsidRPr="00E206AF">
        <w:rPr>
          <w:rFonts w:ascii="Century" w:hAnsi="Century" w:cs="Miriam" w:hint="eastAsia"/>
          <w:b/>
          <w:sz w:val="22"/>
          <w:rtl/>
        </w:rPr>
        <w:t>מנשי</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שר</w:t>
      </w:r>
      <w:r w:rsidRPr="00E206AF">
        <w:rPr>
          <w:rFonts w:ascii="Century" w:hAnsi="Century" w:cs="Miriam"/>
          <w:b/>
          <w:sz w:val="22"/>
          <w:rtl/>
        </w:rPr>
        <w:t>-</w:t>
      </w:r>
      <w:r w:rsidRPr="00E206AF">
        <w:rPr>
          <w:rFonts w:ascii="Century" w:hAnsi="Century" w:cs="Miriam" w:hint="eastAsia"/>
          <w:b/>
          <w:sz w:val="22"/>
          <w:rtl/>
        </w:rPr>
        <w:t>הפנים</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 xml:space="preserve">פ"ד </w:t>
      </w:r>
      <w:r w:rsidRPr="00E206AF">
        <w:rPr>
          <w:rFonts w:ascii="Arial TUR" w:hAnsi="Arial TUR" w:cs="FrankRuehl" w:hint="eastAsia"/>
          <w:spacing w:val="10"/>
          <w:sz w:val="22"/>
          <w:szCs w:val="28"/>
          <w:rtl/>
        </w:rPr>
        <w:t>יב</w:t>
      </w:r>
      <w:r w:rsidRPr="00E206AF">
        <w:rPr>
          <w:rFonts w:ascii="Arial TUR" w:hAnsi="Arial TUR" w:cs="FrankRuehl"/>
          <w:spacing w:val="10"/>
          <w:sz w:val="22"/>
          <w:szCs w:val="28"/>
          <w:rtl/>
        </w:rPr>
        <w:t xml:space="preserve"> 209, </w:t>
      </w:r>
      <w:r w:rsidRPr="00E206AF">
        <w:rPr>
          <w:rFonts w:ascii="Arial TUR" w:hAnsi="Arial TUR" w:cs="FrankRuehl" w:hint="cs"/>
          <w:spacing w:val="10"/>
          <w:sz w:val="22"/>
          <w:szCs w:val="28"/>
          <w:rtl/>
        </w:rPr>
        <w:t xml:space="preserve">215-214 </w:t>
      </w:r>
      <w:r w:rsidRPr="00E206AF">
        <w:rPr>
          <w:rFonts w:ascii="Arial TUR" w:hAnsi="Arial TUR" w:cs="FrankRuehl"/>
          <w:spacing w:val="10"/>
          <w:sz w:val="22"/>
          <w:szCs w:val="28"/>
          <w:rtl/>
        </w:rPr>
        <w:t>(1958)</w:t>
      </w:r>
      <w:r w:rsidRPr="00E206AF">
        <w:rPr>
          <w:rFonts w:ascii="Arial TUR" w:hAnsi="Arial TUR" w:cs="FrankRuehl" w:hint="cs"/>
          <w:spacing w:val="10"/>
          <w:sz w:val="22"/>
          <w:szCs w:val="28"/>
          <w:rtl/>
        </w:rPr>
        <w:t xml:space="preserve">; ע"א 311/57 </w:t>
      </w:r>
      <w:r w:rsidRPr="00E206AF">
        <w:rPr>
          <w:rFonts w:ascii="Century" w:hAnsi="Century" w:cs="Miriam" w:hint="cs"/>
          <w:b/>
          <w:sz w:val="22"/>
          <w:rtl/>
        </w:rPr>
        <w:t>היועץ המשפטי לממשלה נ' מ. דיזנגוף ושות' (שיט) בע"מ</w:t>
      </w:r>
      <w:r w:rsidRPr="00E206AF">
        <w:rPr>
          <w:rFonts w:ascii="Century" w:hAnsi="Century" w:cs="FrankRuehl" w:hint="cs"/>
          <w:spacing w:val="10"/>
          <w:sz w:val="22"/>
          <w:szCs w:val="28"/>
          <w:rtl/>
        </w:rPr>
        <w:t xml:space="preserve">, פ"ד יג 1026, 1036 (1959) (להלן: עניין </w:t>
      </w:r>
      <w:r w:rsidRPr="00E206AF">
        <w:rPr>
          <w:rFonts w:ascii="Century" w:hAnsi="Century" w:cs="Miriam" w:hint="cs"/>
          <w:b/>
          <w:sz w:val="22"/>
          <w:rtl/>
        </w:rPr>
        <w:t>דיזנגוף</w:t>
      </w:r>
      <w:r w:rsidRPr="00E206AF">
        <w:rPr>
          <w:rFonts w:ascii="Century" w:hAnsi="Century" w:cs="FrankRuehl" w:hint="cs"/>
          <w:spacing w:val="10"/>
          <w:sz w:val="22"/>
          <w:szCs w:val="28"/>
          <w:rtl/>
        </w:rPr>
        <w:t xml:space="preserve">); בג"ץ 156/75 </w:t>
      </w:r>
      <w:r w:rsidRPr="00E206AF">
        <w:rPr>
          <w:rFonts w:ascii="Century" w:hAnsi="Century" w:cs="Miriam" w:hint="cs"/>
          <w:b/>
          <w:sz w:val="22"/>
          <w:rtl/>
        </w:rPr>
        <w:t>דקה נ' שר התחבורה</w:t>
      </w:r>
      <w:r w:rsidRPr="00E206AF">
        <w:rPr>
          <w:rFonts w:ascii="Century" w:hAnsi="Century" w:cs="FrankRuehl" w:hint="cs"/>
          <w:spacing w:val="10"/>
          <w:sz w:val="22"/>
          <w:szCs w:val="28"/>
          <w:rtl/>
        </w:rPr>
        <w:t xml:space="preserve">, פ"ד ל(2) 94, 102 (1976)). בשלהי שנות ה-50, בפסק דינו של בית משפט זה בעניין </w:t>
      </w:r>
      <w:r w:rsidRPr="00E206AF">
        <w:rPr>
          <w:rFonts w:ascii="Century" w:hAnsi="Century" w:cs="Miriam" w:hint="cs"/>
          <w:b/>
          <w:sz w:val="22"/>
          <w:rtl/>
        </w:rPr>
        <w:t>דיזנגוף</w:t>
      </w:r>
      <w:r w:rsidRPr="00E206AF">
        <w:rPr>
          <w:rFonts w:ascii="Century" w:hAnsi="Century" w:cs="FrankRuehl" w:hint="cs"/>
          <w:spacing w:val="10"/>
          <w:sz w:val="22"/>
          <w:szCs w:val="28"/>
          <w:rtl/>
        </w:rPr>
        <w:t xml:space="preserve">, בוטלה ההבחנה בהקשר זה בין חוקי עזר לבין אקטים שלטוניים אחרים וביניהם החלטות שהתקבלו על-ידי שרים וממשלה (שם, עמ' 1031, 1037; להרחבה ראו: מרגית כהן "עילת אי-הסבירות במשפט המנהלי: "היבטים השוואתיים והערות נורמטיביות אחדות" </w:t>
      </w:r>
      <w:r w:rsidRPr="00E206AF">
        <w:rPr>
          <w:rFonts w:ascii="Century" w:hAnsi="Century" w:cs="Miriam" w:hint="cs"/>
          <w:b/>
          <w:sz w:val="22"/>
          <w:rtl/>
        </w:rPr>
        <w:t xml:space="preserve">ספר אור </w:t>
      </w:r>
      <w:r w:rsidRPr="00E206AF">
        <w:rPr>
          <w:rFonts w:ascii="Century" w:hAnsi="Century" w:cs="FrankRuehl" w:hint="cs"/>
          <w:spacing w:val="10"/>
          <w:sz w:val="22"/>
          <w:szCs w:val="28"/>
          <w:rtl/>
        </w:rPr>
        <w:t>773, 794-793 (2013)</w:t>
      </w:r>
      <w:r>
        <w:rPr>
          <w:rFonts w:ascii="Century" w:hAnsi="Century" w:cs="FrankRuehl" w:hint="cs"/>
          <w:spacing w:val="10"/>
          <w:sz w:val="22"/>
          <w:szCs w:val="28"/>
          <w:rtl/>
        </w:rPr>
        <w:t xml:space="preserve"> (להלן: </w:t>
      </w:r>
      <w:r>
        <w:rPr>
          <w:rFonts w:ascii="Century" w:hAnsi="Century" w:cs="Miriam" w:hint="cs"/>
          <w:b/>
          <w:sz w:val="22"/>
          <w:rtl/>
        </w:rPr>
        <w:t>כהן</w:t>
      </w:r>
      <w:r w:rsidRPr="00E206AF">
        <w:rPr>
          <w:rFonts w:ascii="Century" w:hAnsi="Century" w:cs="FrankRuehl" w:hint="cs"/>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עד לתחילת שנות ה-80, לעילת הסבירות היו מספר מאפיינים: ראשית, בדרך כלל יוחס חוסר סבירות לאקטים מינהליים שהיו פגומים גם בשל עילות נוספות, דוגמת שיקולים זרים או הפלייה, כך שהקביעה בדבר חוסר סבירות נועדה ליתן משנה תוקף לפגמים האחרים (</w:t>
      </w:r>
      <w:r w:rsidRPr="00E206AF">
        <w:rPr>
          <w:rFonts w:ascii="Century" w:hAnsi="Century" w:cs="Miriam" w:hint="cs"/>
          <w:b/>
          <w:sz w:val="22"/>
          <w:rtl/>
        </w:rPr>
        <w:t>כהן</w:t>
      </w:r>
      <w:r w:rsidRPr="00E206AF">
        <w:rPr>
          <w:rFonts w:ascii="Century" w:hAnsi="Century" w:cs="FrankRuehl" w:hint="cs"/>
          <w:spacing w:val="10"/>
          <w:sz w:val="22"/>
          <w:szCs w:val="28"/>
          <w:rtl/>
        </w:rPr>
        <w:t xml:space="preserve">, בעמ' 796-794). שנית, חוסר סבירות נתפס כפגם במישור הסמכות של הרשות המינהלית שקיבלה את ההחלטה הנדונה. כלומר, טענה לחוסר סבירותה של החלטה הייתה, למעשה, טענה לחוסר סמכות של הגורם הנדון לקבל את אותה החלטה, וכפי שצוין בעניין </w:t>
      </w:r>
      <w:r w:rsidRPr="00E206AF">
        <w:rPr>
          <w:rFonts w:ascii="Century" w:hAnsi="Century" w:cs="Miriam" w:hint="cs"/>
          <w:b/>
          <w:sz w:val="22"/>
          <w:shd w:val="clear" w:color="auto" w:fill="FFFFFF"/>
          <w:rtl/>
        </w:rPr>
        <w:t xml:space="preserve">דיזינגוף </w:t>
      </w:r>
      <w:r w:rsidRPr="00E206AF">
        <w:rPr>
          <w:rFonts w:ascii="Century" w:hAnsi="Century" w:cs="FrankRuehl"/>
          <w:spacing w:val="10"/>
          <w:sz w:val="22"/>
          <w:szCs w:val="28"/>
          <w:shd w:val="clear" w:color="auto" w:fill="FFFFFF"/>
          <w:rtl/>
        </w:rPr>
        <w:t>"</w:t>
      </w:r>
      <w:r w:rsidRPr="00E206AF">
        <w:rPr>
          <w:rFonts w:ascii="Century" w:hAnsi="Century" w:cs="FrankRuehl" w:hint="eastAsia"/>
          <w:spacing w:val="10"/>
          <w:sz w:val="22"/>
          <w:szCs w:val="28"/>
          <w:shd w:val="clear" w:color="auto" w:fill="FFFFFF"/>
          <w:rtl/>
        </w:rPr>
        <w:t>אני</w:t>
      </w:r>
      <w:r w:rsidRPr="00E206AF">
        <w:rPr>
          <w:rFonts w:ascii="Century" w:hAnsi="Century" w:cs="FrankRuehl"/>
          <w:spacing w:val="10"/>
          <w:sz w:val="22"/>
          <w:szCs w:val="28"/>
          <w:shd w:val="clear" w:color="auto" w:fill="FFFFFF"/>
          <w:rtl/>
        </w:rPr>
        <w:t xml:space="preserve"> </w:t>
      </w:r>
      <w:r w:rsidRPr="00E206AF">
        <w:rPr>
          <w:rFonts w:ascii="Century" w:hAnsi="Century" w:cs="FrankRuehl" w:hint="eastAsia"/>
          <w:spacing w:val="10"/>
          <w:sz w:val="22"/>
          <w:szCs w:val="28"/>
          <w:shd w:val="clear" w:color="auto" w:fill="FFFFFF"/>
          <w:rtl/>
        </w:rPr>
        <w:t>רואה</w:t>
      </w:r>
      <w:r w:rsidRPr="00E206AF">
        <w:rPr>
          <w:rFonts w:ascii="Century" w:hAnsi="Century" w:cs="FrankRuehl"/>
          <w:spacing w:val="10"/>
          <w:sz w:val="22"/>
          <w:szCs w:val="28"/>
          <w:shd w:val="clear" w:color="auto" w:fill="FFFFFF"/>
          <w:rtl/>
        </w:rPr>
        <w:t xml:space="preserve"> </w:t>
      </w:r>
      <w:r w:rsidRPr="00E206AF">
        <w:rPr>
          <w:rFonts w:ascii="Century" w:hAnsi="Century" w:cs="FrankRuehl" w:hint="eastAsia"/>
          <w:spacing w:val="10"/>
          <w:sz w:val="22"/>
          <w:szCs w:val="28"/>
          <w:shd w:val="clear" w:color="auto" w:fill="FFFFFF"/>
          <w:rtl/>
        </w:rPr>
        <w:t>את</w:t>
      </w:r>
      <w:r w:rsidRPr="00E206AF">
        <w:rPr>
          <w:rFonts w:ascii="Century" w:hAnsi="Century" w:cs="FrankRuehl"/>
          <w:spacing w:val="10"/>
          <w:sz w:val="22"/>
          <w:szCs w:val="28"/>
          <w:shd w:val="clear" w:color="auto" w:fill="FFFFFF"/>
          <w:rtl/>
        </w:rPr>
        <w:t xml:space="preserve"> </w:t>
      </w:r>
      <w:r w:rsidRPr="00E206AF">
        <w:rPr>
          <w:rFonts w:ascii="Century" w:hAnsi="Century" w:cs="FrankRuehl" w:hint="eastAsia"/>
          <w:spacing w:val="10"/>
          <w:sz w:val="22"/>
          <w:szCs w:val="28"/>
          <w:shd w:val="clear" w:color="auto" w:fill="FFFFFF"/>
          <w:rtl/>
        </w:rPr>
        <w:t>העיקר</w:t>
      </w:r>
      <w:r w:rsidRPr="00E206AF">
        <w:rPr>
          <w:rFonts w:ascii="Century" w:hAnsi="Century" w:cs="FrankRuehl"/>
          <w:spacing w:val="10"/>
          <w:sz w:val="22"/>
          <w:szCs w:val="28"/>
          <w:shd w:val="clear" w:color="auto" w:fill="FFFFFF"/>
          <w:rtl/>
        </w:rPr>
        <w:t xml:space="preserve"> </w:t>
      </w:r>
      <w:r w:rsidRPr="00E206AF">
        <w:rPr>
          <w:rFonts w:ascii="Century" w:hAnsi="Century" w:cs="FrankRuehl" w:hint="eastAsia"/>
          <w:spacing w:val="10"/>
          <w:sz w:val="22"/>
          <w:szCs w:val="28"/>
          <w:shd w:val="clear" w:color="auto" w:fill="FFFFFF"/>
          <w:rtl/>
        </w:rPr>
        <w:t>בזה</w:t>
      </w:r>
      <w:r w:rsidRPr="00E206AF">
        <w:rPr>
          <w:rFonts w:ascii="Century" w:hAnsi="Century" w:cs="FrankRuehl"/>
          <w:spacing w:val="10"/>
          <w:sz w:val="22"/>
          <w:szCs w:val="28"/>
          <w:shd w:val="clear" w:color="auto" w:fill="FFFFFF"/>
          <w:rtl/>
        </w:rPr>
        <w:t xml:space="preserve">, </w:t>
      </w:r>
      <w:r w:rsidRPr="00E206AF">
        <w:rPr>
          <w:rFonts w:ascii="Century" w:hAnsi="Century" w:cs="FrankRuehl" w:hint="eastAsia"/>
          <w:spacing w:val="10"/>
          <w:sz w:val="22"/>
          <w:szCs w:val="28"/>
          <w:shd w:val="clear" w:color="auto" w:fill="FFFFFF"/>
          <w:rtl/>
        </w:rPr>
        <w:t>שענ</w:t>
      </w:r>
      <w:r w:rsidRPr="00E206AF">
        <w:rPr>
          <w:rFonts w:ascii="Century" w:hAnsi="Century" w:cs="FrankRuehl" w:hint="cs"/>
          <w:spacing w:val="10"/>
          <w:sz w:val="22"/>
          <w:szCs w:val="28"/>
          <w:shd w:val="clear" w:color="auto" w:fill="FFFFFF"/>
          <w:rtl/>
        </w:rPr>
        <w:t>י</w:t>
      </w:r>
      <w:r w:rsidRPr="00E206AF">
        <w:rPr>
          <w:rFonts w:ascii="Century" w:hAnsi="Century" w:cs="FrankRuehl" w:hint="eastAsia"/>
          <w:spacing w:val="10"/>
          <w:sz w:val="22"/>
          <w:szCs w:val="28"/>
          <w:shd w:val="clear" w:color="auto" w:fill="FFFFFF"/>
          <w:rtl/>
        </w:rPr>
        <w:t>ין</w:t>
      </w:r>
      <w:r w:rsidRPr="00E206AF">
        <w:rPr>
          <w:rFonts w:ascii="Century" w:hAnsi="Century" w:cs="FrankRuehl"/>
          <w:spacing w:val="10"/>
          <w:sz w:val="22"/>
          <w:szCs w:val="28"/>
          <w:shd w:val="clear" w:color="auto" w:fill="FFFFFF"/>
          <w:rtl/>
        </w:rPr>
        <w:t xml:space="preserve"> </w:t>
      </w:r>
      <w:r w:rsidRPr="00E206AF">
        <w:rPr>
          <w:rFonts w:ascii="Century" w:hAnsi="Century" w:cs="FrankRuehl" w:hint="eastAsia"/>
          <w:spacing w:val="10"/>
          <w:sz w:val="22"/>
          <w:szCs w:val="28"/>
          <w:shd w:val="clear" w:color="auto" w:fill="FFFFFF"/>
          <w:rtl/>
        </w:rPr>
        <w:t>הסבירות</w:t>
      </w:r>
      <w:r w:rsidRPr="00E206AF">
        <w:rPr>
          <w:rFonts w:ascii="Century" w:hAnsi="Century" w:cs="FrankRuehl"/>
          <w:spacing w:val="10"/>
          <w:sz w:val="22"/>
          <w:szCs w:val="28"/>
          <w:shd w:val="clear" w:color="auto" w:fill="FFFFFF"/>
          <w:rtl/>
        </w:rPr>
        <w:t xml:space="preserve"> </w:t>
      </w:r>
      <w:r w:rsidRPr="00E206AF">
        <w:rPr>
          <w:rFonts w:ascii="Century" w:hAnsi="Century" w:cs="FrankRuehl" w:hint="eastAsia"/>
          <w:spacing w:val="10"/>
          <w:sz w:val="22"/>
          <w:szCs w:val="28"/>
          <w:shd w:val="clear" w:color="auto" w:fill="FFFFFF"/>
          <w:rtl/>
        </w:rPr>
        <w:t>אינו</w:t>
      </w:r>
      <w:r w:rsidRPr="00E206AF">
        <w:rPr>
          <w:rFonts w:ascii="Century" w:hAnsi="Century" w:cs="FrankRuehl"/>
          <w:spacing w:val="10"/>
          <w:sz w:val="22"/>
          <w:szCs w:val="28"/>
          <w:shd w:val="clear" w:color="auto" w:fill="FFFFFF"/>
          <w:rtl/>
        </w:rPr>
        <w:t xml:space="preserve"> </w:t>
      </w:r>
      <w:r w:rsidRPr="00E206AF">
        <w:rPr>
          <w:rFonts w:ascii="Century" w:hAnsi="Century" w:cs="FrankRuehl" w:hint="eastAsia"/>
          <w:spacing w:val="10"/>
          <w:sz w:val="22"/>
          <w:szCs w:val="28"/>
          <w:shd w:val="clear" w:color="auto" w:fill="FFFFFF"/>
          <w:rtl/>
        </w:rPr>
        <w:t>בעצם</w:t>
      </w:r>
      <w:r w:rsidRPr="00E206AF">
        <w:rPr>
          <w:rFonts w:ascii="Century" w:hAnsi="Century" w:cs="FrankRuehl"/>
          <w:spacing w:val="10"/>
          <w:sz w:val="22"/>
          <w:szCs w:val="28"/>
          <w:shd w:val="clear" w:color="auto" w:fill="FFFFFF"/>
          <w:rtl/>
        </w:rPr>
        <w:t xml:space="preserve"> </w:t>
      </w:r>
      <w:r w:rsidRPr="00E206AF">
        <w:rPr>
          <w:rFonts w:ascii="Century" w:hAnsi="Century" w:cs="FrankRuehl" w:hint="eastAsia"/>
          <w:spacing w:val="10"/>
          <w:sz w:val="22"/>
          <w:szCs w:val="28"/>
          <w:shd w:val="clear" w:color="auto" w:fill="FFFFFF"/>
          <w:rtl/>
        </w:rPr>
        <w:t>אלא</w:t>
      </w:r>
      <w:r w:rsidRPr="00E206AF">
        <w:rPr>
          <w:rFonts w:ascii="Century" w:hAnsi="Century" w:cs="FrankRuehl"/>
          <w:spacing w:val="10"/>
          <w:sz w:val="22"/>
          <w:szCs w:val="28"/>
          <w:shd w:val="clear" w:color="auto" w:fill="FFFFFF"/>
          <w:rtl/>
        </w:rPr>
        <w:t xml:space="preserve"> </w:t>
      </w:r>
      <w:r w:rsidRPr="00E206AF">
        <w:rPr>
          <w:rFonts w:ascii="Century" w:hAnsi="Century" w:cs="FrankRuehl" w:hint="eastAsia"/>
          <w:spacing w:val="10"/>
          <w:sz w:val="22"/>
          <w:szCs w:val="28"/>
          <w:shd w:val="clear" w:color="auto" w:fill="FFFFFF"/>
          <w:rtl/>
        </w:rPr>
        <w:t>אחת</w:t>
      </w:r>
      <w:r w:rsidRPr="00E206AF">
        <w:rPr>
          <w:rFonts w:ascii="Century" w:hAnsi="Century" w:cs="FrankRuehl"/>
          <w:spacing w:val="10"/>
          <w:sz w:val="22"/>
          <w:szCs w:val="28"/>
          <w:shd w:val="clear" w:color="auto" w:fill="FFFFFF"/>
          <w:rtl/>
        </w:rPr>
        <w:t xml:space="preserve"> </w:t>
      </w:r>
      <w:r w:rsidRPr="00E206AF">
        <w:rPr>
          <w:rFonts w:ascii="Century" w:hAnsi="Century" w:cs="FrankRuehl" w:hint="eastAsia"/>
          <w:spacing w:val="10"/>
          <w:sz w:val="22"/>
          <w:szCs w:val="28"/>
          <w:shd w:val="clear" w:color="auto" w:fill="FFFFFF"/>
          <w:rtl/>
        </w:rPr>
        <w:t>הצורות</w:t>
      </w:r>
      <w:r w:rsidRPr="00E206AF">
        <w:rPr>
          <w:rFonts w:ascii="Century" w:hAnsi="Century" w:cs="FrankRuehl"/>
          <w:spacing w:val="10"/>
          <w:sz w:val="22"/>
          <w:szCs w:val="28"/>
          <w:shd w:val="clear" w:color="auto" w:fill="FFFFFF"/>
          <w:rtl/>
        </w:rPr>
        <w:t xml:space="preserve"> </w:t>
      </w:r>
      <w:r w:rsidRPr="00E206AF">
        <w:rPr>
          <w:rFonts w:ascii="Century" w:hAnsi="Century" w:cs="FrankRuehl" w:hint="eastAsia"/>
          <w:spacing w:val="10"/>
          <w:sz w:val="22"/>
          <w:szCs w:val="28"/>
          <w:shd w:val="clear" w:color="auto" w:fill="FFFFFF"/>
          <w:rtl/>
        </w:rPr>
        <w:t>של</w:t>
      </w:r>
      <w:r w:rsidRPr="00E206AF">
        <w:rPr>
          <w:rFonts w:ascii="Century" w:hAnsi="Century" w:cs="FrankRuehl"/>
          <w:spacing w:val="10"/>
          <w:sz w:val="22"/>
          <w:szCs w:val="28"/>
          <w:shd w:val="clear" w:color="auto" w:fill="FFFFFF"/>
          <w:rtl/>
        </w:rPr>
        <w:t xml:space="preserve"> </w:t>
      </w:r>
      <w:r w:rsidRPr="00E206AF">
        <w:rPr>
          <w:rFonts w:ascii="Century" w:hAnsi="Century" w:cs="FrankRuehl" w:hint="eastAsia"/>
          <w:spacing w:val="10"/>
          <w:sz w:val="22"/>
          <w:szCs w:val="28"/>
          <w:shd w:val="clear" w:color="auto" w:fill="FFFFFF"/>
          <w:rtl/>
        </w:rPr>
        <w:t>חריגה</w:t>
      </w:r>
      <w:r w:rsidRPr="00E206AF">
        <w:rPr>
          <w:rFonts w:ascii="Century" w:hAnsi="Century" w:cs="FrankRuehl"/>
          <w:spacing w:val="10"/>
          <w:sz w:val="22"/>
          <w:szCs w:val="28"/>
          <w:shd w:val="clear" w:color="auto" w:fill="FFFFFF"/>
          <w:rtl/>
        </w:rPr>
        <w:t xml:space="preserve"> </w:t>
      </w:r>
      <w:r w:rsidRPr="00E206AF">
        <w:rPr>
          <w:rFonts w:ascii="Century" w:hAnsi="Century" w:cs="FrankRuehl" w:hint="eastAsia"/>
          <w:spacing w:val="10"/>
          <w:sz w:val="22"/>
          <w:szCs w:val="28"/>
          <w:shd w:val="clear" w:color="auto" w:fill="FFFFFF"/>
          <w:rtl/>
        </w:rPr>
        <w:t>מסמכות</w:t>
      </w:r>
      <w:r w:rsidRPr="00E206AF">
        <w:rPr>
          <w:rFonts w:ascii="Century" w:hAnsi="Century" w:cs="FrankRuehl"/>
          <w:spacing w:val="10"/>
          <w:sz w:val="22"/>
          <w:szCs w:val="28"/>
          <w:shd w:val="clear" w:color="auto" w:fill="FFFFFF"/>
          <w:rtl/>
        </w:rPr>
        <w:t>"</w:t>
      </w:r>
      <w:r w:rsidRPr="00E206AF">
        <w:rPr>
          <w:rFonts w:ascii="FrankRuehl" w:hAnsi="FrankRuehl" w:cs="FrankRuehl" w:hint="cs"/>
          <w:color w:val="000000"/>
          <w:spacing w:val="10"/>
          <w:sz w:val="22"/>
          <w:szCs w:val="28"/>
          <w:shd w:val="clear" w:color="auto" w:fill="FFFFFF"/>
          <w:rtl/>
        </w:rPr>
        <w:t xml:space="preserve"> </w:t>
      </w:r>
      <w:r w:rsidRPr="00E206AF">
        <w:rPr>
          <w:rFonts w:ascii="Century" w:hAnsi="Century" w:cs="FrankRuehl" w:hint="cs"/>
          <w:spacing w:val="10"/>
          <w:sz w:val="22"/>
          <w:szCs w:val="28"/>
          <w:rtl/>
        </w:rPr>
        <w:t>(שם, בעמ' 103</w:t>
      </w:r>
      <w:r>
        <w:rPr>
          <w:rFonts w:ascii="Century" w:hAnsi="Century" w:cs="FrankRuehl" w:hint="cs"/>
          <w:spacing w:val="10"/>
          <w:sz w:val="22"/>
          <w:szCs w:val="28"/>
          <w:rtl/>
        </w:rPr>
        <w:t>7</w:t>
      </w:r>
      <w:r w:rsidRPr="00E206AF">
        <w:rPr>
          <w:rFonts w:ascii="Century" w:hAnsi="Century" w:cs="FrankRuehl" w:hint="cs"/>
          <w:spacing w:val="10"/>
          <w:sz w:val="22"/>
          <w:szCs w:val="28"/>
          <w:rtl/>
        </w:rPr>
        <w:t xml:space="preserve">. עוד ראו </w:t>
      </w:r>
      <w:r w:rsidRPr="00E206AF">
        <w:rPr>
          <w:rFonts w:ascii="Century" w:hAnsi="Century" w:cs="Miriam" w:hint="cs"/>
          <w:b/>
          <w:sz w:val="22"/>
          <w:rtl/>
        </w:rPr>
        <w:t>זמיר</w:t>
      </w:r>
      <w:r w:rsidRPr="00E206AF">
        <w:rPr>
          <w:rFonts w:ascii="Century" w:hAnsi="Century" w:cs="Miriam"/>
          <w:b/>
          <w:sz w:val="22"/>
          <w:rtl/>
        </w:rPr>
        <w:t xml:space="preserve">, </w:t>
      </w:r>
      <w:r w:rsidRPr="00E206AF">
        <w:rPr>
          <w:rFonts w:ascii="Century" w:hAnsi="Century" w:cs="Miriam" w:hint="eastAsia"/>
          <w:b/>
          <w:sz w:val="22"/>
          <w:rtl/>
        </w:rPr>
        <w:t>הסמכות</w:t>
      </w:r>
      <w:r w:rsidRPr="00E206AF">
        <w:rPr>
          <w:rFonts w:ascii="Century" w:hAnsi="Century" w:cs="Miriam"/>
          <w:b/>
          <w:sz w:val="22"/>
          <w:rtl/>
        </w:rPr>
        <w:t xml:space="preserve"> </w:t>
      </w:r>
      <w:r w:rsidRPr="00E206AF">
        <w:rPr>
          <w:rFonts w:ascii="Century" w:hAnsi="Century" w:cs="Miriam" w:hint="eastAsia"/>
          <w:b/>
          <w:sz w:val="22"/>
          <w:rtl/>
        </w:rPr>
        <w:t>המ</w:t>
      </w:r>
      <w:r w:rsidRPr="00E206AF">
        <w:rPr>
          <w:rFonts w:ascii="Century" w:hAnsi="Century" w:cs="Miriam" w:hint="cs"/>
          <w:b/>
          <w:sz w:val="22"/>
          <w:rtl/>
        </w:rPr>
        <w:t>י</w:t>
      </w:r>
      <w:r w:rsidRPr="00E206AF">
        <w:rPr>
          <w:rFonts w:ascii="Century" w:hAnsi="Century" w:cs="Miriam" w:hint="eastAsia"/>
          <w:b/>
          <w:sz w:val="22"/>
          <w:rtl/>
        </w:rPr>
        <w:t>נהלית</w:t>
      </w:r>
      <w:r w:rsidRPr="00E206AF">
        <w:rPr>
          <w:rFonts w:ascii="Century" w:hAnsi="Century" w:cs="FrankRuehl" w:hint="cs"/>
          <w:spacing w:val="10"/>
          <w:sz w:val="22"/>
          <w:szCs w:val="28"/>
          <w:rtl/>
        </w:rPr>
        <w:t xml:space="preserve">, בעמ' 3849; עניין </w:t>
      </w:r>
      <w:r w:rsidRPr="00E206AF">
        <w:rPr>
          <w:rFonts w:ascii="Century" w:hAnsi="Century" w:cs="Miriam" w:hint="cs"/>
          <w:b/>
          <w:sz w:val="22"/>
          <w:rtl/>
        </w:rPr>
        <w:t>דקה</w:t>
      </w:r>
      <w:r w:rsidRPr="00E206AF">
        <w:rPr>
          <w:rFonts w:ascii="Century" w:hAnsi="Century" w:cs="FrankRuehl" w:hint="cs"/>
          <w:spacing w:val="10"/>
          <w:sz w:val="22"/>
          <w:szCs w:val="28"/>
          <w:rtl/>
        </w:rPr>
        <w:t xml:space="preserve">, בעמ' 101, 106).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11.</w:t>
      </w:r>
      <w:r w:rsidRPr="00E206AF">
        <w:rPr>
          <w:rFonts w:ascii="Century" w:hAnsi="Century" w:cs="FrankRuehl" w:hint="cs"/>
          <w:spacing w:val="10"/>
          <w:sz w:val="22"/>
          <w:szCs w:val="28"/>
          <w:rtl/>
        </w:rPr>
        <w:tab/>
        <w:t>בהמשך לאמור, המבחן לפסילתו של אקט שלטוני מחמת חוסר סבירות דרש שההחלטה תהיה מופרכת בעליל, עד שלא יעלה על הדעת כי המחוקק התכוון להסמיך את הרשות לקבל החלטה כזו (</w:t>
      </w:r>
      <w:r w:rsidRPr="00E206AF">
        <w:rPr>
          <w:rFonts w:ascii="Arial TUR" w:hAnsi="Arial TUR" w:cs="FrankRuehl" w:hint="eastAsia"/>
          <w:spacing w:val="10"/>
          <w:sz w:val="22"/>
          <w:szCs w:val="28"/>
          <w:rtl/>
        </w:rPr>
        <w:t>ראו</w:t>
      </w:r>
      <w:r w:rsidRPr="00E206AF">
        <w:rPr>
          <w:rFonts w:ascii="Arial TUR" w:hAnsi="Arial TUR" w:cs="FrankRuehl"/>
          <w:spacing w:val="10"/>
          <w:sz w:val="22"/>
          <w:szCs w:val="28"/>
          <w:rtl/>
        </w:rPr>
        <w:t xml:space="preserve">, למשל: </w:t>
      </w:r>
      <w:r w:rsidRPr="00E206AF">
        <w:rPr>
          <w:rFonts w:ascii="Century" w:hAnsi="Century" w:cs="FrankRuehl" w:hint="cs"/>
          <w:spacing w:val="10"/>
          <w:sz w:val="22"/>
          <w:szCs w:val="28"/>
          <w:rtl/>
        </w:rPr>
        <w:t xml:space="preserve">עניין </w:t>
      </w:r>
      <w:r w:rsidRPr="00E206AF">
        <w:rPr>
          <w:rFonts w:ascii="Arial TUR" w:hAnsi="Arial TUR" w:cs="Miriam" w:hint="eastAsia"/>
          <w:b/>
          <w:sz w:val="22"/>
          <w:rtl/>
        </w:rPr>
        <w:t>מנשי</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בעמ' </w:t>
      </w:r>
      <w:r w:rsidRPr="00E206AF">
        <w:rPr>
          <w:rFonts w:ascii="Century" w:hAnsi="Century" w:cs="FrankRuehl"/>
          <w:spacing w:val="10"/>
          <w:sz w:val="22"/>
          <w:szCs w:val="28"/>
          <w:rtl/>
        </w:rPr>
        <w:t>214</w:t>
      </w:r>
      <w:r w:rsidRPr="00E206AF">
        <w:rPr>
          <w:rFonts w:ascii="Century" w:hAnsi="Century" w:cs="FrankRuehl" w:hint="cs"/>
          <w:spacing w:val="10"/>
          <w:sz w:val="22"/>
          <w:szCs w:val="28"/>
          <w:rtl/>
        </w:rPr>
        <w:t xml:space="preserve">; ראו גם את שנקבע בעניין </w:t>
      </w:r>
      <w:r w:rsidRPr="00E206AF">
        <w:rPr>
          <w:rFonts w:ascii="Century" w:hAnsi="Century" w:cs="Miriam" w:hint="cs"/>
          <w:b/>
          <w:sz w:val="22"/>
          <w:rtl/>
        </w:rPr>
        <w:t>דיזנגוף</w:t>
      </w:r>
      <w:r w:rsidRPr="00E206AF">
        <w:rPr>
          <w:rFonts w:ascii="Century" w:hAnsi="Century" w:cs="FrankRuehl" w:hint="cs"/>
          <w:spacing w:val="10"/>
          <w:sz w:val="22"/>
          <w:szCs w:val="28"/>
          <w:rtl/>
        </w:rPr>
        <w:t>: "</w:t>
      </w:r>
      <w:r w:rsidRPr="00E206AF">
        <w:rPr>
          <w:rFonts w:ascii="Century" w:hAnsi="Century" w:cs="FrankRuehl"/>
          <w:spacing w:val="10"/>
          <w:sz w:val="22"/>
          <w:szCs w:val="28"/>
          <w:rtl/>
        </w:rPr>
        <w:t>אם ימצא בית המשפט כי חקיקת המשנה היא כה בלתי הגיונית ובלתי נסבלת עד שאדם בר-דעת לא יעלה על דעתו ששר סביר היה מסוגל לעשותה, כי אז יצטרך לאמור שעולם לא נתכוון המחוקק לתת כוח זה בידי השר</w:t>
      </w:r>
      <w:r w:rsidRPr="00E206AF">
        <w:rPr>
          <w:rFonts w:ascii="Century" w:hAnsi="Century" w:cs="FrankRuehl" w:hint="cs"/>
          <w:spacing w:val="10"/>
          <w:sz w:val="22"/>
          <w:szCs w:val="28"/>
          <w:rtl/>
        </w:rPr>
        <w:t xml:space="preserve"> [...] והיא מחוץ לתחום הסמכות" (שם, בעמ' 1039); וכן ראו את הסטנדרט לעילת הסבירות שצוין בעניין </w:t>
      </w:r>
      <w:r w:rsidRPr="00E206AF">
        <w:rPr>
          <w:rFonts w:ascii="Century" w:hAnsi="Century" w:cs="Miriam" w:hint="cs"/>
          <w:b/>
          <w:sz w:val="22"/>
          <w:rtl/>
        </w:rPr>
        <w:t>דקה</w:t>
      </w:r>
      <w:r w:rsidRPr="003F2E16">
        <w:rPr>
          <w:rFonts w:ascii="Century" w:hAnsi="Century" w:cs="FrankRuehl" w:hint="cs"/>
          <w:spacing w:val="10"/>
          <w:sz w:val="22"/>
          <w:szCs w:val="28"/>
          <w:rtl/>
        </w:rPr>
        <w:t>,</w:t>
      </w:r>
      <w:r w:rsidRPr="00E206AF">
        <w:rPr>
          <w:rFonts w:ascii="Century" w:hAnsi="Century" w:cs="Miriam" w:hint="cs"/>
          <w:b/>
          <w:sz w:val="22"/>
          <w:rtl/>
        </w:rPr>
        <w:t xml:space="preserve"> </w:t>
      </w:r>
      <w:r w:rsidRPr="00E206AF">
        <w:rPr>
          <w:rFonts w:ascii="Century" w:hAnsi="Century" w:cs="FrankRuehl" w:hint="cs"/>
          <w:spacing w:val="10"/>
          <w:sz w:val="22"/>
          <w:szCs w:val="28"/>
          <w:rtl/>
        </w:rPr>
        <w:t xml:space="preserve">שניתן כאמור בשנת 1976: "חקיקת משנה לגביה ברור לחלוטין שהיא בלתי-צודקת בצורה משוועת ואין לה כל בסיס עובדתי, ציבורי או חברתי" (שם, בעמ' 103). </w:t>
      </w:r>
      <w:r w:rsidRPr="00E206AF">
        <w:rPr>
          <w:rFonts w:ascii="Century" w:hAnsi="Century" w:cs="FrankRuehl" w:hint="eastAsia"/>
          <w:spacing w:val="10"/>
          <w:sz w:val="22"/>
          <w:szCs w:val="28"/>
          <w:rtl/>
        </w:rPr>
        <w:t>עוד</w:t>
      </w:r>
      <w:r w:rsidRPr="00E206AF">
        <w:rPr>
          <w:rFonts w:ascii="Century" w:hAnsi="Century" w:cs="FrankRuehl" w:hint="cs"/>
          <w:spacing w:val="10"/>
          <w:sz w:val="22"/>
          <w:szCs w:val="28"/>
          <w:rtl/>
        </w:rPr>
        <w:t xml:space="preserve"> צוין שם כי "למרות העובדה שאי-הסבירות מוצאת ביטויה, בעיקרה, בתופעות אשר להן גם קיום עצמאי כמדדים על-פיהם נבחנים שיקולים של רשות סטטוטורית"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דוגמת שיקולים זרים או הפלייה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"יכולה אי-הסבירות להתגלות כאשר היא בגפה", למשל כאשר "</w:t>
      </w:r>
      <w:r w:rsidRPr="00E206AF">
        <w:rPr>
          <w:rFonts w:ascii="Century" w:eastAsia="MS Mincho" w:hAnsi="Century" w:cs="FrankRuehl"/>
          <w:spacing w:val="10"/>
          <w:sz w:val="22"/>
          <w:szCs w:val="28"/>
          <w:rtl/>
        </w:rPr>
        <w:t xml:space="preserve">לשיקולים הרלבנטיים השונים יוחס משקל בפרופורציה כה מעוותת ביניהם לבין עצמם, עד שהמסקנה הסופית הפכה </w:t>
      </w:r>
      <w:r w:rsidRPr="00E206AF">
        <w:rPr>
          <w:rFonts w:ascii="Arial TUR" w:eastAsia="MS Mincho" w:hAnsi="Arial TUR" w:cs="Miriam"/>
          <w:b/>
          <w:sz w:val="22"/>
          <w:rtl/>
        </w:rPr>
        <w:t>מופרכת מעיקרה</w:t>
      </w:r>
      <w:r w:rsidRPr="00E206AF">
        <w:rPr>
          <w:rFonts w:ascii="Century" w:eastAsia="MS Mincho" w:hAnsi="Century" w:cs="FrankRuehl"/>
          <w:spacing w:val="10"/>
          <w:sz w:val="22"/>
          <w:szCs w:val="28"/>
          <w:rtl/>
        </w:rPr>
        <w:t xml:space="preserve"> ובשל כך לבלתי-סבירה לחלוטין</w:t>
      </w:r>
      <w:r w:rsidRPr="00E206AF">
        <w:rPr>
          <w:rFonts w:ascii="Century" w:hAnsi="Century" w:cs="FrankRuehl" w:hint="cs"/>
          <w:spacing w:val="10"/>
          <w:sz w:val="22"/>
          <w:szCs w:val="28"/>
          <w:rtl/>
        </w:rPr>
        <w:t xml:space="preserve">" </w:t>
      </w:r>
      <w:r w:rsidRPr="00E206AF">
        <w:rPr>
          <w:rFonts w:ascii="Century" w:hAnsi="Century" w:cs="FrankRuehl" w:hint="cs"/>
          <w:spacing w:val="10"/>
          <w:sz w:val="22"/>
          <w:szCs w:val="28"/>
          <w:rtl/>
        </w:rPr>
        <w:lastRenderedPageBreak/>
        <w:t xml:space="preserve">(שם, בעמ' 105; ההדגשה הוספה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י"ו). בעניין זה, הודגש, כי בכל אופן פגם של חוסר סבירות שורשו בפגם בסמכות, המצדיק את ביטול האקט השלטוני, שכן "</w:t>
      </w:r>
      <w:r w:rsidRPr="00E206AF">
        <w:rPr>
          <w:rFonts w:ascii="FrankRuehl" w:hAnsi="FrankRuehl" w:cs="FrankRuehl" w:hint="cs"/>
          <w:color w:val="000000"/>
          <w:spacing w:val="10"/>
          <w:sz w:val="22"/>
          <w:szCs w:val="28"/>
          <w:shd w:val="clear" w:color="auto" w:fill="FFFFFF"/>
          <w:rtl/>
        </w:rPr>
        <w:t>ת</w:t>
      </w:r>
      <w:r w:rsidRPr="00E206AF">
        <w:rPr>
          <w:rFonts w:ascii="FrankRuehl" w:hAnsi="FrankRuehl" w:cs="FrankRuehl"/>
          <w:color w:val="000000"/>
          <w:spacing w:val="10"/>
          <w:sz w:val="22"/>
          <w:szCs w:val="28"/>
          <w:shd w:val="clear" w:color="auto" w:fill="FFFFFF"/>
          <w:rtl/>
        </w:rPr>
        <w:t>קנה אשר דבקה בה אי-סבירות היורדת לשרשו של ענין, רואים אותה כחורגת מסמכותו של מי שהתקינה ובשל כך תיחשב כבטלה ומבוטלת</w:t>
      </w:r>
      <w:r w:rsidRPr="00E206AF">
        <w:rPr>
          <w:rFonts w:ascii="FrankRuehl" w:hAnsi="FrankRuehl" w:cs="FrankRuehl" w:hint="cs"/>
          <w:color w:val="000000"/>
          <w:spacing w:val="10"/>
          <w:sz w:val="22"/>
          <w:szCs w:val="28"/>
          <w:shd w:val="clear" w:color="auto" w:fill="FFFFFF"/>
          <w:rtl/>
        </w:rPr>
        <w:t>"</w:t>
      </w:r>
      <w:r w:rsidRPr="00E206AF">
        <w:rPr>
          <w:rFonts w:ascii="Century" w:hAnsi="Century" w:cs="FrankRuehl" w:hint="cs"/>
          <w:spacing w:val="10"/>
          <w:sz w:val="22"/>
          <w:szCs w:val="28"/>
          <w:rtl/>
        </w:rPr>
        <w:t xml:space="preserve"> (שם, בעמ' 101</w:t>
      </w:r>
      <w:r w:rsidRPr="00E206AF">
        <w:rPr>
          <w:rFonts w:ascii="FrankRuehl" w:hAnsi="FrankRuehl" w:cs="FrankRuehl" w:hint="cs"/>
          <w:color w:val="000000"/>
          <w:spacing w:val="10"/>
          <w:sz w:val="22"/>
          <w:szCs w:val="28"/>
          <w:shd w:val="clear" w:color="auto" w:fill="FFFFFF"/>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Miriam"/>
          <w:b/>
          <w:sz w:val="22"/>
          <w:rtl/>
        </w:rPr>
      </w:pPr>
      <w:r w:rsidRPr="00E206AF">
        <w:rPr>
          <w:rFonts w:ascii="Century" w:hAnsi="Century" w:cs="Miriam" w:hint="eastAsia"/>
          <w:b/>
          <w:sz w:val="22"/>
          <w:rtl/>
        </w:rPr>
        <w:t>עילת</w:t>
      </w:r>
      <w:r w:rsidRPr="00E206AF">
        <w:rPr>
          <w:rFonts w:ascii="Century" w:hAnsi="Century" w:cs="Miriam"/>
          <w:b/>
          <w:sz w:val="22"/>
          <w:rtl/>
        </w:rPr>
        <w:t xml:space="preserve"> </w:t>
      </w:r>
      <w:r w:rsidRPr="00E206AF">
        <w:rPr>
          <w:rFonts w:ascii="Century" w:hAnsi="Century" w:cs="Miriam" w:hint="eastAsia"/>
          <w:b/>
          <w:sz w:val="22"/>
          <w:rtl/>
        </w:rPr>
        <w:t>הסבירות</w:t>
      </w:r>
      <w:r w:rsidRPr="00E206AF">
        <w:rPr>
          <w:rFonts w:ascii="Century" w:hAnsi="Century" w:cs="Miriam"/>
          <w:b/>
          <w:sz w:val="22"/>
          <w:rtl/>
        </w:rPr>
        <w:t xml:space="preserve"> </w:t>
      </w:r>
      <w:r w:rsidRPr="00E206AF">
        <w:rPr>
          <w:rFonts w:ascii="Century" w:hAnsi="Century" w:cs="Miriam" w:hint="eastAsia"/>
          <w:b/>
          <w:sz w:val="22"/>
          <w:rtl/>
        </w:rPr>
        <w:t>האיזונית</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hint="cs"/>
          <w:spacing w:val="10"/>
          <w:sz w:val="22"/>
          <w:szCs w:val="28"/>
          <w:rtl/>
        </w:rPr>
        <w:t>12.</w:t>
      </w:r>
      <w:r w:rsidRPr="00E206AF">
        <w:rPr>
          <w:rFonts w:ascii="Arial TUR" w:hAnsi="Arial TUR" w:cs="FrankRuehl" w:hint="cs"/>
          <w:spacing w:val="10"/>
          <w:sz w:val="22"/>
          <w:szCs w:val="28"/>
          <w:rtl/>
        </w:rPr>
        <w:tab/>
        <w:t xml:space="preserve">בשנת 1980 </w:t>
      </w:r>
      <w:r>
        <w:rPr>
          <w:rFonts w:ascii="Arial TUR" w:hAnsi="Arial TUR" w:cs="FrankRuehl" w:hint="cs"/>
          <w:spacing w:val="10"/>
          <w:sz w:val="22"/>
          <w:szCs w:val="28"/>
          <w:rtl/>
        </w:rPr>
        <w:t xml:space="preserve">נפל דבר ביחס לעילת הסבירות </w:t>
      </w:r>
      <w:r>
        <w:rPr>
          <w:rFonts w:ascii="Arial TUR" w:hAnsi="Arial TUR" w:cs="FrankRuehl"/>
          <w:spacing w:val="10"/>
          <w:sz w:val="22"/>
          <w:szCs w:val="28"/>
          <w:rtl/>
        </w:rPr>
        <w:t>–</w:t>
      </w:r>
      <w:r>
        <w:rPr>
          <w:rFonts w:ascii="Arial TUR" w:hAnsi="Arial TUR" w:cs="FrankRuehl" w:hint="cs"/>
          <w:spacing w:val="10"/>
          <w:sz w:val="22"/>
          <w:szCs w:val="28"/>
          <w:rtl/>
        </w:rPr>
        <w:t xml:space="preserve"> </w:t>
      </w:r>
      <w:r w:rsidRPr="00E206AF">
        <w:rPr>
          <w:rFonts w:ascii="Arial TUR" w:hAnsi="Arial TUR" w:cs="FrankRuehl" w:hint="cs"/>
          <w:spacing w:val="10"/>
          <w:sz w:val="22"/>
          <w:szCs w:val="28"/>
          <w:rtl/>
        </w:rPr>
        <w:t>ניתן</w:t>
      </w:r>
      <w:r>
        <w:rPr>
          <w:rFonts w:ascii="Arial TUR" w:hAnsi="Arial TUR" w:cs="FrankRuehl" w:hint="cs"/>
          <w:spacing w:val="10"/>
          <w:sz w:val="22"/>
          <w:szCs w:val="28"/>
          <w:rtl/>
        </w:rPr>
        <w:t xml:space="preserve"> </w:t>
      </w:r>
      <w:r w:rsidRPr="00E206AF">
        <w:rPr>
          <w:rFonts w:ascii="Arial TUR" w:hAnsi="Arial TUR" w:cs="FrankRuehl" w:hint="cs"/>
          <w:spacing w:val="10"/>
          <w:sz w:val="22"/>
          <w:szCs w:val="28"/>
          <w:rtl/>
        </w:rPr>
        <w:t xml:space="preserve">פסק דינו של בית משפט זה בעניין </w:t>
      </w:r>
      <w:r w:rsidRPr="00E206AF">
        <w:rPr>
          <w:rFonts w:ascii="Century" w:hAnsi="Century" w:cs="Miriam" w:hint="cs"/>
          <w:b/>
          <w:sz w:val="22"/>
          <w:rtl/>
        </w:rPr>
        <w:t>דפי זהב</w:t>
      </w:r>
      <w:r w:rsidRPr="00E206AF">
        <w:rPr>
          <w:rFonts w:ascii="Century" w:hAnsi="Century" w:cs="FrankRuehl" w:hint="cs"/>
          <w:spacing w:val="10"/>
          <w:sz w:val="22"/>
          <w:szCs w:val="28"/>
          <w:rtl/>
        </w:rPr>
        <w:t xml:space="preserve">. בפסק הדין, קבע השופט </w:t>
      </w:r>
      <w:r w:rsidRPr="00E206AF">
        <w:rPr>
          <w:rFonts w:ascii="Century" w:hAnsi="Century" w:cs="Miriam" w:hint="cs"/>
          <w:b/>
          <w:sz w:val="22"/>
          <w:rtl/>
        </w:rPr>
        <w:t>א' ברק</w:t>
      </w:r>
      <w:r w:rsidRPr="00E206AF">
        <w:rPr>
          <w:rFonts w:ascii="Century" w:hAnsi="Century" w:cs="FrankRuehl" w:hint="cs"/>
          <w:spacing w:val="10"/>
          <w:sz w:val="22"/>
          <w:szCs w:val="28"/>
          <w:rtl/>
        </w:rPr>
        <w:t xml:space="preserve"> כי לעילת הסבירות מספר תכונות, כדלקמן: </w:t>
      </w:r>
      <w:r w:rsidRPr="00E206AF">
        <w:rPr>
          <w:rFonts w:ascii="Century" w:hAnsi="Century" w:cs="FrankRuehl"/>
          <w:spacing w:val="10"/>
          <w:sz w:val="22"/>
          <w:szCs w:val="28"/>
          <w:rtl/>
        </w:rPr>
        <w:br/>
      </w: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hint="cs"/>
          <w:spacing w:val="10"/>
          <w:sz w:val="22"/>
          <w:szCs w:val="28"/>
          <w:rtl/>
        </w:rPr>
        <w:t>"</w:t>
      </w:r>
      <w:r w:rsidRPr="00E206AF">
        <w:rPr>
          <w:rFonts w:ascii="Arial TUR" w:hAnsi="Arial TUR" w:cs="FrankRuehl"/>
          <w:spacing w:val="10"/>
          <w:sz w:val="22"/>
          <w:szCs w:val="28"/>
          <w:rtl/>
        </w:rPr>
        <w:t>ראשית, חוסר סבירות כשלעצמו הוא עילה לפסילתו של שיקול-דעת מינהלי</w:t>
      </w:r>
      <w:r w:rsidRPr="00E206AF">
        <w:rPr>
          <w:rFonts w:ascii="Arial TUR" w:hAnsi="Arial TUR" w:cs="FrankRuehl" w:hint="cs"/>
          <w:spacing w:val="10"/>
          <w:sz w:val="22"/>
          <w:szCs w:val="28"/>
          <w:rtl/>
        </w:rPr>
        <w:t>;</w:t>
      </w:r>
      <w:r w:rsidRPr="00E206AF">
        <w:rPr>
          <w:rFonts w:ascii="Century" w:hAnsi="Century" w:cs="FrankRuehl"/>
          <w:spacing w:val="10"/>
          <w:sz w:val="22"/>
          <w:szCs w:val="28"/>
          <w:rtl/>
        </w:rPr>
        <w:t xml:space="preserve"> </w:t>
      </w:r>
      <w:r w:rsidRPr="00E206AF">
        <w:rPr>
          <w:rFonts w:ascii="Arial TUR" w:hAnsi="Arial TUR" w:cs="FrankRuehl"/>
          <w:spacing w:val="10"/>
          <w:sz w:val="22"/>
          <w:szCs w:val="28"/>
          <w:rtl/>
        </w:rPr>
        <w:t>שנית, חוסר הסבירות נמדד באמות מידה אובייקטיביות</w:t>
      </w:r>
      <w:r w:rsidRPr="00E206AF">
        <w:rPr>
          <w:rFonts w:ascii="Arial TUR" w:hAnsi="Arial TUR" w:cs="FrankRuehl" w:hint="cs"/>
          <w:spacing w:val="10"/>
          <w:sz w:val="22"/>
          <w:szCs w:val="28"/>
          <w:rtl/>
        </w:rPr>
        <w:t>;</w:t>
      </w:r>
      <w:r w:rsidRPr="00E206AF">
        <w:rPr>
          <w:rFonts w:ascii="Arial TUR" w:hAnsi="Arial TUR" w:cs="FrankRuehl"/>
          <w:spacing w:val="10"/>
          <w:sz w:val="22"/>
          <w:szCs w:val="28"/>
        </w:rPr>
        <w:t xml:space="preserve"> </w:t>
      </w:r>
      <w:r w:rsidRPr="00E206AF">
        <w:rPr>
          <w:rFonts w:ascii="Arial TUR" w:hAnsi="Arial TUR" w:cs="FrankRuehl"/>
          <w:spacing w:val="10"/>
          <w:sz w:val="22"/>
          <w:szCs w:val="28"/>
          <w:rtl/>
        </w:rPr>
        <w:t>שלישית, חוסר סבירות, הפוסל שיקול-דעת מינהלי, הוא חוסר סבירות מהותי או קיצוני</w:t>
      </w:r>
      <w:r w:rsidRPr="00E206AF">
        <w:rPr>
          <w:rFonts w:ascii="Arial TUR" w:hAnsi="Arial TUR" w:cs="FrankRuehl" w:hint="cs"/>
          <w:spacing w:val="10"/>
          <w:sz w:val="22"/>
          <w:szCs w:val="28"/>
          <w:rtl/>
        </w:rPr>
        <w:t>;</w:t>
      </w:r>
      <w:r w:rsidRPr="00E206AF">
        <w:rPr>
          <w:rFonts w:ascii="Arial TUR" w:hAnsi="Arial TUR" w:cs="FrankRuehl"/>
          <w:spacing w:val="10"/>
          <w:sz w:val="22"/>
          <w:szCs w:val="28"/>
        </w:rPr>
        <w:t xml:space="preserve"> </w:t>
      </w:r>
      <w:r w:rsidRPr="00E206AF">
        <w:rPr>
          <w:rFonts w:ascii="Arial TUR" w:hAnsi="Arial TUR" w:cs="FrankRuehl"/>
          <w:spacing w:val="10"/>
          <w:sz w:val="22"/>
          <w:szCs w:val="28"/>
          <w:rtl/>
        </w:rPr>
        <w:t>רביעית, עקרון הסבירות מביא לפסילתו של שיקול-דעת מינהלי, אשר אינו נותן משקל ראוי לאינטרסים השונים שעל הרשות המינהלית להתחשב בהם בהחלטת</w:t>
      </w:r>
      <w:r w:rsidRPr="00E206AF">
        <w:rPr>
          <w:rFonts w:ascii="Arial TUR" w:hAnsi="Arial TUR" w:cs="FrankRuehl" w:hint="cs"/>
          <w:spacing w:val="10"/>
          <w:sz w:val="22"/>
          <w:szCs w:val="28"/>
          <w:rtl/>
        </w:rPr>
        <w:t>ה" (שם, בעמ' 437).</w:t>
      </w:r>
    </w:p>
    <w:p w:rsidR="00E32081" w:rsidRPr="00E206AF" w:rsidRDefault="00E32081" w:rsidP="00E32081">
      <w:pPr>
        <w:ind w:left="1644" w:right="1276"/>
        <w:jc w:val="both"/>
        <w:rPr>
          <w:rFonts w:ascii="Arial TUR" w:hAnsi="Arial TUR"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בפסק דינו הדגיש השופט </w:t>
      </w:r>
      <w:r w:rsidRPr="00E206AF">
        <w:rPr>
          <w:rFonts w:ascii="Century" w:hAnsi="Century" w:cs="Miriam" w:hint="cs"/>
          <w:b/>
          <w:sz w:val="22"/>
          <w:rtl/>
        </w:rPr>
        <w:t xml:space="preserve">ברק </w:t>
      </w:r>
      <w:r w:rsidRPr="00E206AF">
        <w:rPr>
          <w:rFonts w:ascii="Century" w:hAnsi="Century" w:cs="FrankRuehl" w:hint="cs"/>
          <w:spacing w:val="10"/>
          <w:sz w:val="22"/>
          <w:szCs w:val="28"/>
          <w:rtl/>
        </w:rPr>
        <w:t>כי "פרופוזיציות אלה, לא רק שהן משקפות, לדעתי, את המשפט המצוי, אלא הן מהוות אף הסדר רצוי בתחום המשפט המינהלי" (שם). עוד הודגש שם כי לרשות המינהלית קיים "מתחם סבירות" שהיא מוסמכת לפעול במסגרתו: "</w:t>
      </w:r>
      <w:r w:rsidRPr="00E206AF">
        <w:rPr>
          <w:rFonts w:ascii="Arial TUR" w:hAnsi="Arial TUR" w:cs="FrankRuehl"/>
          <w:spacing w:val="10"/>
          <w:sz w:val="22"/>
          <w:szCs w:val="28"/>
          <w:rtl/>
        </w:rPr>
        <w:t>שיקול הדעת המינהלי קובע חופש בחירה בין אופציות שונות. ע</w:t>
      </w:r>
      <w:r w:rsidRPr="00E206AF">
        <w:rPr>
          <w:rFonts w:ascii="Arial TUR" w:hAnsi="Arial TUR" w:cs="FrankRuehl" w:hint="cs"/>
          <w:spacing w:val="10"/>
          <w:sz w:val="22"/>
          <w:szCs w:val="28"/>
          <w:rtl/>
        </w:rPr>
        <w:t>י</w:t>
      </w:r>
      <w:r w:rsidRPr="00E206AF">
        <w:rPr>
          <w:rFonts w:ascii="Arial TUR" w:hAnsi="Arial TUR" w:cs="FrankRuehl"/>
          <w:spacing w:val="10"/>
          <w:sz w:val="22"/>
          <w:szCs w:val="28"/>
          <w:rtl/>
        </w:rPr>
        <w:t>קרון הסבירות קובע תחום של אופציות שהינן סבירות בנסיבות העניין. ע</w:t>
      </w:r>
      <w:r w:rsidRPr="00E206AF">
        <w:rPr>
          <w:rFonts w:ascii="Arial TUR" w:hAnsi="Arial TUR" w:cs="FrankRuehl" w:hint="cs"/>
          <w:spacing w:val="10"/>
          <w:sz w:val="22"/>
          <w:szCs w:val="28"/>
          <w:rtl/>
        </w:rPr>
        <w:t>י</w:t>
      </w:r>
      <w:r w:rsidRPr="00E206AF">
        <w:rPr>
          <w:rFonts w:ascii="Arial TUR" w:hAnsi="Arial TUR" w:cs="FrankRuehl"/>
          <w:spacing w:val="10"/>
          <w:sz w:val="22"/>
          <w:szCs w:val="28"/>
          <w:rtl/>
        </w:rPr>
        <w:t>קרון אי-ההתערבות בשיקול הדעת המינהלי משמעותו כי במסגרת תחום האופציות הסבירות לא יתערב בית המשפט, אך הוא יתערב ויפסול הפעלת שיקול-דעת הבוחר באופציות החורגות מהתחום הסביר</w:t>
      </w:r>
      <w:r w:rsidRPr="00E206AF">
        <w:rPr>
          <w:rFonts w:ascii="Arial TUR" w:hAnsi="Arial TUR" w:cs="FrankRuehl" w:hint="cs"/>
          <w:spacing w:val="10"/>
          <w:sz w:val="22"/>
          <w:szCs w:val="28"/>
          <w:rtl/>
        </w:rPr>
        <w:t>" (שם, בעמ' 441).</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spacing w:val="10"/>
          <w:sz w:val="22"/>
          <w:szCs w:val="28"/>
          <w:rtl/>
        </w:rPr>
        <w:tab/>
      </w:r>
      <w:r w:rsidRPr="00E206AF">
        <w:rPr>
          <w:rFonts w:ascii="Arial TUR" w:hAnsi="Arial TUR" w:cs="FrankRuehl" w:hint="cs"/>
          <w:spacing w:val="10"/>
          <w:sz w:val="22"/>
          <w:szCs w:val="28"/>
          <w:rtl/>
        </w:rPr>
        <w:t xml:space="preserve">הנשיא </w:t>
      </w:r>
      <w:r w:rsidRPr="00E206AF">
        <w:rPr>
          <w:rFonts w:ascii="Century" w:hAnsi="Century" w:cs="Miriam" w:hint="cs"/>
          <w:b/>
          <w:sz w:val="22"/>
          <w:rtl/>
        </w:rPr>
        <w:t xml:space="preserve">מ' לנדוי </w:t>
      </w:r>
      <w:r w:rsidRPr="00E206AF">
        <w:rPr>
          <w:rFonts w:ascii="Century" w:hAnsi="Century" w:cs="FrankRuehl" w:hint="cs"/>
          <w:spacing w:val="10"/>
          <w:sz w:val="22"/>
          <w:szCs w:val="28"/>
          <w:rtl/>
        </w:rPr>
        <w:t xml:space="preserve">הסתייג בפסק דינו מהקביעות האמורות של השופט </w:t>
      </w:r>
      <w:r w:rsidRPr="00E206AF">
        <w:rPr>
          <w:rFonts w:ascii="Century" w:hAnsi="Century" w:cs="Miriam" w:hint="cs"/>
          <w:b/>
          <w:sz w:val="22"/>
          <w:rtl/>
        </w:rPr>
        <w:t>ברק</w:t>
      </w:r>
      <w:r w:rsidRPr="00E206AF">
        <w:rPr>
          <w:rFonts w:ascii="Century" w:hAnsi="Century" w:cs="FrankRuehl" w:hint="cs"/>
          <w:spacing w:val="10"/>
          <w:sz w:val="22"/>
          <w:szCs w:val="28"/>
          <w:rtl/>
        </w:rPr>
        <w:t>, והדגיש כי "</w:t>
      </w:r>
      <w:r w:rsidRPr="00E206AF">
        <w:rPr>
          <w:rFonts w:ascii="Century" w:hAnsi="Century" w:cs="FrankRuehl" w:hint="eastAsia"/>
          <w:spacing w:val="10"/>
          <w:sz w:val="22"/>
          <w:szCs w:val="28"/>
          <w:rtl/>
        </w:rPr>
        <w:t>הכל</w:t>
      </w:r>
      <w:r w:rsidRPr="00E206AF">
        <w:rPr>
          <w:rFonts w:ascii="Century" w:hAnsi="Century" w:cs="FrankRuehl" w:hint="cs"/>
          <w:spacing w:val="10"/>
          <w:sz w:val="22"/>
          <w:szCs w:val="28"/>
          <w:rtl/>
        </w:rPr>
        <w:t xml:space="preserve"> </w:t>
      </w:r>
      <w:r w:rsidRPr="00E206AF">
        <w:rPr>
          <w:rFonts w:ascii="Century" w:hAnsi="Century" w:cs="FrankRuehl" w:hint="eastAsia"/>
          <w:spacing w:val="10"/>
          <w:sz w:val="22"/>
          <w:szCs w:val="28"/>
          <w:rtl/>
        </w:rPr>
        <w:t>ת</w:t>
      </w:r>
      <w:r w:rsidRPr="00E206AF">
        <w:rPr>
          <w:rFonts w:ascii="Century" w:hAnsi="Century" w:cs="FrankRuehl" w:hint="cs"/>
          <w:spacing w:val="10"/>
          <w:sz w:val="22"/>
          <w:szCs w:val="28"/>
          <w:rtl/>
        </w:rPr>
        <w:t>ל</w:t>
      </w:r>
      <w:r w:rsidRPr="00E206AF">
        <w:rPr>
          <w:rFonts w:ascii="Century" w:hAnsi="Century" w:cs="FrankRuehl" w:hint="eastAsia"/>
          <w:spacing w:val="10"/>
          <w:sz w:val="22"/>
          <w:szCs w:val="28"/>
          <w:rtl/>
        </w:rPr>
        <w:t>וי</w:t>
      </w:r>
      <w:r w:rsidRPr="00E206AF">
        <w:rPr>
          <w:rFonts w:ascii="Century" w:hAnsi="Century" w:cs="FrankRuehl" w:hint="cs"/>
          <w:spacing w:val="10"/>
          <w:sz w:val="22"/>
          <w:szCs w:val="28"/>
          <w:rtl/>
        </w:rPr>
        <w:t xml:space="preserve"> במה שמתכוונים לבטא במלה סבירות [...] </w:t>
      </w:r>
      <w:r w:rsidRPr="00E206AF">
        <w:rPr>
          <w:rFonts w:ascii="Arial TUR" w:hAnsi="Arial TUR" w:cs="FrankRuehl"/>
          <w:spacing w:val="10"/>
          <w:sz w:val="22"/>
          <w:szCs w:val="28"/>
          <w:rtl/>
        </w:rPr>
        <w:t xml:space="preserve">בדרישה הכללית, כי </w:t>
      </w:r>
      <w:r w:rsidRPr="00E206AF">
        <w:rPr>
          <w:rFonts w:ascii="Arial TUR" w:hAnsi="Arial TUR" w:cs="FrankRuehl" w:hint="cs"/>
          <w:spacing w:val="10"/>
          <w:sz w:val="22"/>
          <w:szCs w:val="28"/>
          <w:rtl/>
        </w:rPr>
        <w:t>'</w:t>
      </w:r>
      <w:r w:rsidRPr="00E206AF">
        <w:rPr>
          <w:rFonts w:ascii="Arial TUR" w:hAnsi="Arial TUR" w:cs="FrankRuehl"/>
          <w:spacing w:val="10"/>
          <w:sz w:val="22"/>
          <w:szCs w:val="28"/>
          <w:rtl/>
        </w:rPr>
        <w:t>החלטתו (של עובד המדינה) חייבת להיות סבירה</w:t>
      </w:r>
      <w:r w:rsidRPr="00E206AF">
        <w:rPr>
          <w:rFonts w:ascii="Arial TUR" w:hAnsi="Arial TUR" w:cs="FrankRuehl" w:hint="cs"/>
          <w:spacing w:val="10"/>
          <w:sz w:val="22"/>
          <w:szCs w:val="28"/>
          <w:rtl/>
        </w:rPr>
        <w:t>'</w:t>
      </w:r>
      <w:r w:rsidRPr="00E206AF">
        <w:rPr>
          <w:rFonts w:ascii="Arial TUR" w:hAnsi="Arial TUR" w:cs="FrankRuehl"/>
          <w:spacing w:val="10"/>
          <w:sz w:val="22"/>
          <w:szCs w:val="28"/>
          <w:rtl/>
        </w:rPr>
        <w:t>, אני ירא מאי-ההבנות שהשימוש במושג הסבירות בהקשר זה עלול להוליד</w:t>
      </w:r>
      <w:r w:rsidRPr="00E206AF">
        <w:rPr>
          <w:rFonts w:ascii="Century" w:hAnsi="Century" w:cs="FrankRuehl" w:hint="cs"/>
          <w:spacing w:val="10"/>
          <w:sz w:val="22"/>
          <w:szCs w:val="28"/>
          <w:rtl/>
        </w:rPr>
        <w:t xml:space="preserve"> [...] </w:t>
      </w:r>
      <w:r w:rsidRPr="00E206AF">
        <w:rPr>
          <w:rFonts w:ascii="Arial TUR" w:hAnsi="Arial TUR" w:cs="FrankRuehl"/>
          <w:spacing w:val="10"/>
          <w:sz w:val="22"/>
          <w:szCs w:val="28"/>
          <w:rtl/>
        </w:rPr>
        <w:t>אם החלטתו של עובד הציבור</w:t>
      </w:r>
      <w:r w:rsidRPr="00E206AF">
        <w:rPr>
          <w:rFonts w:ascii="Arial TUR" w:hAnsi="Arial TUR" w:cs="FrankRuehl" w:hint="cs"/>
          <w:spacing w:val="10"/>
          <w:sz w:val="22"/>
          <w:szCs w:val="28"/>
          <w:rtl/>
        </w:rPr>
        <w:t xml:space="preserve"> </w:t>
      </w:r>
      <w:r w:rsidRPr="00E206AF">
        <w:rPr>
          <w:rFonts w:ascii="Arial TUR" w:hAnsi="Arial TUR" w:cs="FrankRuehl"/>
          <w:spacing w:val="10"/>
          <w:sz w:val="22"/>
          <w:szCs w:val="28"/>
          <w:rtl/>
        </w:rPr>
        <w:t>תעמוד לבחינה על-ידי בית המשפט על-פי מבחן אובייקטיבי של מה שנראה לו, לבית המשפט, כעומד במבחן הסבירות בכל הנסיבות, שבהן נתקבלה ההחלטה המינהלית</w:t>
      </w:r>
      <w:r w:rsidRPr="00E206AF">
        <w:rPr>
          <w:rFonts w:ascii="Arial TUR" w:hAnsi="Arial TUR" w:cs="FrankRuehl" w:hint="cs"/>
          <w:spacing w:val="10"/>
          <w:sz w:val="22"/>
          <w:szCs w:val="28"/>
          <w:rtl/>
        </w:rPr>
        <w:t xml:space="preserve"> [...]</w:t>
      </w:r>
      <w:r w:rsidRPr="00E206AF">
        <w:rPr>
          <w:rFonts w:ascii="Arial TUR" w:hAnsi="Arial TUR" w:cs="FrankRuehl"/>
          <w:spacing w:val="10"/>
          <w:sz w:val="22"/>
          <w:szCs w:val="28"/>
          <w:rtl/>
        </w:rPr>
        <w:t xml:space="preserve"> נגיע עד מהרה לבחינה עניינית של ההחלטה מחדש (</w:t>
      </w:r>
      <w:r w:rsidRPr="00E206AF">
        <w:rPr>
          <w:rFonts w:cs="Times New Roman"/>
          <w:spacing w:val="10"/>
          <w:sz w:val="22"/>
          <w:szCs w:val="28"/>
        </w:rPr>
        <w:t>de novo</w:t>
      </w:r>
      <w:r w:rsidRPr="00E206AF">
        <w:rPr>
          <w:rFonts w:ascii="Arial TUR" w:hAnsi="Arial TUR" w:cs="FrankRuehl"/>
          <w:spacing w:val="10"/>
          <w:sz w:val="22"/>
          <w:szCs w:val="28"/>
          <w:rtl/>
        </w:rPr>
        <w:t xml:space="preserve">), כאילו מקיים בית המשפט דיון חוזר </w:t>
      </w:r>
      <w:r w:rsidRPr="00E206AF">
        <w:rPr>
          <w:rFonts w:ascii="Arial TUR" w:hAnsi="Arial TUR" w:cs="FrankRuehl"/>
          <w:spacing w:val="10"/>
          <w:sz w:val="22"/>
          <w:szCs w:val="28"/>
          <w:rtl/>
        </w:rPr>
        <w:lastRenderedPageBreak/>
        <w:t>בנכונות ההחלטה</w:t>
      </w:r>
      <w:r w:rsidRPr="00E206AF">
        <w:rPr>
          <w:rFonts w:ascii="Century" w:hAnsi="Century" w:cs="FrankRuehl" w:hint="cs"/>
          <w:spacing w:val="10"/>
          <w:sz w:val="22"/>
          <w:szCs w:val="28"/>
          <w:rtl/>
        </w:rPr>
        <w:t xml:space="preserve">" (שם, בעמ' 432-431). הנשיא </w:t>
      </w:r>
      <w:r w:rsidRPr="00E206AF">
        <w:rPr>
          <w:rFonts w:ascii="Century" w:hAnsi="Century" w:cs="Miriam" w:hint="cs"/>
          <w:b/>
          <w:sz w:val="22"/>
          <w:rtl/>
        </w:rPr>
        <w:t xml:space="preserve">לנדוי </w:t>
      </w:r>
      <w:r w:rsidRPr="00E206AF">
        <w:rPr>
          <w:rFonts w:ascii="Century" w:hAnsi="Century" w:cs="FrankRuehl" w:hint="cs"/>
          <w:spacing w:val="10"/>
          <w:sz w:val="22"/>
          <w:szCs w:val="28"/>
          <w:rtl/>
        </w:rPr>
        <w:t xml:space="preserve">הוסיף, כי ביחס לניסוח "עובד הצבור נתן משקל יחסי בלתי סביר לאינטרסים השונים הראויים להשקל", הרי ש"גם ניסוח זה רחב מדי, כי גם הוא מחייב את המשפט לעשות את מלאכתו של עובד הציבור מחדש, </w:t>
      </w:r>
      <w:r w:rsidRPr="00E206AF">
        <w:rPr>
          <w:rFonts w:ascii="Century" w:hAnsi="Century" w:cs="FrankRuehl" w:hint="eastAsia"/>
          <w:spacing w:val="10"/>
          <w:sz w:val="22"/>
          <w:szCs w:val="28"/>
          <w:rtl/>
        </w:rPr>
        <w:t>כ</w:t>
      </w:r>
      <w:r w:rsidRPr="00E206AF">
        <w:rPr>
          <w:rFonts w:ascii="Century" w:hAnsi="Century" w:cs="FrankRuehl" w:hint="cs"/>
          <w:spacing w:val="10"/>
          <w:sz w:val="22"/>
          <w:szCs w:val="28"/>
          <w:rtl/>
        </w:rPr>
        <w:t>די לבדוק אם הלה נתן משקל יחסי בלתי סביר לאינטרסים השונים הראויים להישקל. תפקיד זה לא קיבל בית-משפט זה על עצמו מעולם עד כה"</w:t>
      </w:r>
      <w:r>
        <w:rPr>
          <w:rFonts w:ascii="Century" w:hAnsi="Century" w:cs="FrankRuehl" w:hint="cs"/>
          <w:spacing w:val="10"/>
          <w:sz w:val="22"/>
          <w:szCs w:val="28"/>
          <w:rtl/>
        </w:rPr>
        <w:t xml:space="preserve"> (שם, בעמ' 432)</w:t>
      </w: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עוד ציין הנשיא </w:t>
      </w:r>
      <w:r w:rsidRPr="00E206AF">
        <w:rPr>
          <w:rFonts w:ascii="Century" w:hAnsi="Century" w:cs="Miriam" w:hint="cs"/>
          <w:b/>
          <w:sz w:val="22"/>
          <w:rtl/>
        </w:rPr>
        <w:t xml:space="preserve">לנדוי </w:t>
      </w:r>
      <w:r w:rsidRPr="00E206AF">
        <w:rPr>
          <w:rFonts w:ascii="Century" w:hAnsi="Century" w:cs="FrankRuehl" w:hint="cs"/>
          <w:spacing w:val="10"/>
          <w:sz w:val="22"/>
          <w:szCs w:val="28"/>
          <w:rtl/>
        </w:rPr>
        <w:t xml:space="preserve">כי השופט </w:t>
      </w:r>
      <w:r w:rsidRPr="00E206AF">
        <w:rPr>
          <w:rFonts w:ascii="Century" w:hAnsi="Century" w:cs="Miriam" w:hint="cs"/>
          <w:b/>
          <w:sz w:val="22"/>
          <w:rtl/>
        </w:rPr>
        <w:t xml:space="preserve">ברק </w:t>
      </w:r>
      <w:r w:rsidRPr="00E206AF">
        <w:rPr>
          <w:rFonts w:ascii="Century" w:hAnsi="Century" w:cs="FrankRuehl" w:hint="cs"/>
          <w:spacing w:val="10"/>
          <w:sz w:val="22"/>
          <w:szCs w:val="28"/>
          <w:rtl/>
        </w:rPr>
        <w:t xml:space="preserve">מסתמך בניסוח האמור על פסק הדין בעניין </w:t>
      </w:r>
      <w:r w:rsidRPr="00E206AF">
        <w:rPr>
          <w:rFonts w:ascii="Century" w:hAnsi="Century" w:cs="Miriam" w:hint="cs"/>
          <w:b/>
          <w:sz w:val="22"/>
          <w:rtl/>
        </w:rPr>
        <w:t>דקה</w:t>
      </w:r>
      <w:r w:rsidRPr="00E206AF">
        <w:rPr>
          <w:rFonts w:ascii="Century" w:hAnsi="Century" w:cs="FrankRuehl" w:hint="cs"/>
          <w:spacing w:val="10"/>
          <w:sz w:val="22"/>
          <w:szCs w:val="28"/>
          <w:rtl/>
        </w:rPr>
        <w:t>, אך הדגיש כי שם דובר על:</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Century" w:hAnsi="Century" w:cs="FrankRuehl" w:hint="cs"/>
          <w:spacing w:val="10"/>
          <w:sz w:val="22"/>
          <w:szCs w:val="28"/>
          <w:rtl/>
        </w:rPr>
        <w:t xml:space="preserve">"מסקנה </w:t>
      </w:r>
      <w:r w:rsidRPr="003F2E16">
        <w:rPr>
          <w:rFonts w:ascii="Century" w:hAnsi="Century" w:cs="Miriam"/>
          <w:b/>
          <w:sz w:val="22"/>
          <w:rtl/>
        </w:rPr>
        <w:t>'</w:t>
      </w:r>
      <w:r w:rsidRPr="003F2E16">
        <w:rPr>
          <w:rFonts w:ascii="Century" w:hAnsi="Century" w:cs="Miriam" w:hint="eastAsia"/>
          <w:b/>
          <w:sz w:val="22"/>
          <w:rtl/>
        </w:rPr>
        <w:t>מופרכת</w:t>
      </w:r>
      <w:r w:rsidRPr="003F2E16">
        <w:rPr>
          <w:rFonts w:ascii="Century" w:hAnsi="Century" w:cs="Miriam"/>
          <w:b/>
          <w:sz w:val="22"/>
          <w:rtl/>
        </w:rPr>
        <w:t xml:space="preserve"> </w:t>
      </w:r>
      <w:r w:rsidRPr="003F2E16">
        <w:rPr>
          <w:rFonts w:ascii="Century" w:hAnsi="Century" w:cs="Miriam" w:hint="eastAsia"/>
          <w:b/>
          <w:sz w:val="22"/>
          <w:rtl/>
        </w:rPr>
        <w:t>מעיקרה</w:t>
      </w:r>
      <w:r w:rsidRPr="003F2E16">
        <w:rPr>
          <w:rFonts w:ascii="Century" w:hAnsi="Century" w:cs="Miriam"/>
          <w:b/>
          <w:sz w:val="22"/>
          <w:rtl/>
        </w:rPr>
        <w:t xml:space="preserve"> </w:t>
      </w:r>
      <w:r w:rsidRPr="003F2E16">
        <w:rPr>
          <w:rFonts w:ascii="Century" w:hAnsi="Century" w:cs="Miriam" w:hint="eastAsia"/>
          <w:b/>
          <w:sz w:val="22"/>
          <w:rtl/>
        </w:rPr>
        <w:t>ובשל</w:t>
      </w:r>
      <w:r w:rsidRPr="003F2E16">
        <w:rPr>
          <w:rFonts w:ascii="Century" w:hAnsi="Century" w:cs="Miriam"/>
          <w:b/>
          <w:sz w:val="22"/>
          <w:rtl/>
        </w:rPr>
        <w:t xml:space="preserve"> </w:t>
      </w:r>
      <w:r w:rsidRPr="003F2E16">
        <w:rPr>
          <w:rFonts w:ascii="Century" w:hAnsi="Century" w:cs="Miriam" w:hint="eastAsia"/>
          <w:b/>
          <w:sz w:val="22"/>
          <w:rtl/>
        </w:rPr>
        <w:t>כך</w:t>
      </w:r>
      <w:r w:rsidRPr="003F2E16">
        <w:rPr>
          <w:rFonts w:ascii="Century" w:hAnsi="Century" w:cs="Miriam"/>
          <w:b/>
          <w:sz w:val="22"/>
          <w:rtl/>
        </w:rPr>
        <w:t xml:space="preserve"> </w:t>
      </w:r>
      <w:r w:rsidRPr="003F2E16">
        <w:rPr>
          <w:rFonts w:ascii="Century" w:hAnsi="Century" w:cs="Miriam" w:hint="eastAsia"/>
          <w:b/>
          <w:sz w:val="22"/>
          <w:rtl/>
        </w:rPr>
        <w:t>בלתי</w:t>
      </w:r>
      <w:r w:rsidRPr="003F2E16">
        <w:rPr>
          <w:rFonts w:ascii="Century" w:hAnsi="Century" w:cs="Miriam"/>
          <w:b/>
          <w:sz w:val="22"/>
          <w:rtl/>
        </w:rPr>
        <w:t xml:space="preserve"> </w:t>
      </w:r>
      <w:r w:rsidRPr="003F2E16">
        <w:rPr>
          <w:rFonts w:ascii="Century" w:hAnsi="Century" w:cs="Miriam" w:hint="eastAsia"/>
          <w:b/>
          <w:sz w:val="22"/>
          <w:rtl/>
        </w:rPr>
        <w:t>סבירה</w:t>
      </w:r>
      <w:r w:rsidRPr="003F2E16">
        <w:rPr>
          <w:rFonts w:ascii="Century" w:hAnsi="Century" w:cs="Miriam"/>
          <w:b/>
          <w:sz w:val="22"/>
          <w:rtl/>
        </w:rPr>
        <w:t xml:space="preserve"> </w:t>
      </w:r>
      <w:r w:rsidRPr="003F2E16">
        <w:rPr>
          <w:rFonts w:ascii="Century" w:hAnsi="Century" w:cs="Miriam" w:hint="eastAsia"/>
          <w:b/>
          <w:sz w:val="22"/>
          <w:rtl/>
        </w:rPr>
        <w:t>לחלוטין</w:t>
      </w:r>
      <w:r w:rsidRPr="003F2E16">
        <w:rPr>
          <w:rFonts w:ascii="Century" w:hAnsi="Century" w:cs="Miriam" w:hint="cs"/>
          <w:b/>
          <w:sz w:val="22"/>
          <w:rtl/>
        </w:rPr>
        <w:t>'</w:t>
      </w:r>
      <w:r w:rsidRPr="00E206AF">
        <w:rPr>
          <w:rFonts w:ascii="Century" w:hAnsi="Century" w:cs="FrankRuehl" w:hint="cs"/>
          <w:spacing w:val="10"/>
          <w:sz w:val="22"/>
          <w:szCs w:val="28"/>
          <w:rtl/>
        </w:rPr>
        <w:t>.</w:t>
      </w:r>
      <w:r w:rsidRPr="00E206AF">
        <w:rPr>
          <w:rFonts w:ascii="Arial TUR" w:hAnsi="Arial TUR" w:cs="FrankRuehl"/>
          <w:spacing w:val="10"/>
          <w:sz w:val="22"/>
          <w:szCs w:val="28"/>
          <w:rtl/>
        </w:rPr>
        <w:t xml:space="preserve"> אכן, על החלטה כזאת ניתן לומר, ששום פקיד סביר לא היה יכול לקבלה, ועל-כן היא פסולה, משום שרירות שבה, והחלטה שרירותית לא תוכל לעמוד, על-פי אחת מעילות הפסלות שבית-משפט זה הכיר בהן מאז ומתמיד</w:t>
      </w:r>
      <w:r w:rsidRPr="00E206AF">
        <w:rPr>
          <w:rFonts w:ascii="Arial TUR" w:hAnsi="Arial TUR" w:cs="FrankRuehl" w:hint="cs"/>
          <w:spacing w:val="10"/>
          <w:sz w:val="22"/>
          <w:szCs w:val="28"/>
          <w:rtl/>
        </w:rPr>
        <w:t xml:space="preserve"> [...] </w:t>
      </w:r>
      <w:r w:rsidRPr="00E206AF">
        <w:rPr>
          <w:rFonts w:ascii="Arial TUR" w:hAnsi="Arial TUR" w:cs="FrankRuehl"/>
          <w:spacing w:val="10"/>
          <w:sz w:val="22"/>
          <w:szCs w:val="28"/>
          <w:rtl/>
        </w:rPr>
        <w:t>לדעתי, די לנו בנוסחאות מקובלות אלה, ואין להוסיף עליהן נוסחה חדשה בדבר מתן משקל יחסי בלתי סביר לאינטרסים השונים הראויים להישקל - נוסחה העלולה לערב את בית המשפט בבדיקת תבונתה ויעילותה של ההחלטה המינהלית</w:t>
      </w:r>
      <w:r w:rsidRPr="00E206AF">
        <w:rPr>
          <w:rFonts w:ascii="Arial TUR" w:hAnsi="Arial TUR" w:cs="FrankRuehl" w:hint="cs"/>
          <w:spacing w:val="10"/>
          <w:sz w:val="22"/>
          <w:szCs w:val="28"/>
          <w:rtl/>
        </w:rPr>
        <w:t xml:space="preserve">" (עניין </w:t>
      </w:r>
      <w:r w:rsidRPr="00E206AF">
        <w:rPr>
          <w:rFonts w:ascii="Century" w:hAnsi="Century" w:cs="Miriam" w:hint="cs"/>
          <w:b/>
          <w:sz w:val="22"/>
          <w:rtl/>
        </w:rPr>
        <w:t>דפי זהב</w:t>
      </w:r>
      <w:r w:rsidRPr="00E206AF">
        <w:rPr>
          <w:rFonts w:ascii="Century" w:hAnsi="Century" w:cs="FrankRuehl" w:hint="cs"/>
          <w:spacing w:val="10"/>
          <w:sz w:val="22"/>
          <w:szCs w:val="28"/>
          <w:rtl/>
        </w:rPr>
        <w:t>,</w:t>
      </w:r>
      <w:r w:rsidRPr="00E206AF">
        <w:rPr>
          <w:rFonts w:ascii="Century" w:hAnsi="Century" w:cs="Miriam" w:hint="cs"/>
          <w:b/>
          <w:sz w:val="22"/>
          <w:rtl/>
        </w:rPr>
        <w:t xml:space="preserve"> </w:t>
      </w:r>
      <w:r w:rsidRPr="00E206AF">
        <w:rPr>
          <w:rFonts w:ascii="Century" w:hAnsi="Century" w:cs="FrankRuehl" w:hint="cs"/>
          <w:spacing w:val="10"/>
          <w:sz w:val="22"/>
          <w:szCs w:val="28"/>
          <w:rtl/>
        </w:rPr>
        <w:t>עמ' 432</w:t>
      </w:r>
      <w:r w:rsidRPr="00E206AF">
        <w:rPr>
          <w:rFonts w:ascii="Arial TUR" w:hAnsi="Arial TUR" w:cs="FrankRuehl" w:hint="cs"/>
          <w:spacing w:val="10"/>
          <w:sz w:val="22"/>
          <w:szCs w:val="28"/>
          <w:rtl/>
        </w:rPr>
        <w:t xml:space="preserve">; ההדגשה הוספה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י"ו)</w:t>
      </w:r>
      <w:r w:rsidRPr="00E206AF">
        <w:rPr>
          <w:rFonts w:ascii="Arial TUR" w:hAnsi="Arial TUR" w:cs="FrankRuehl"/>
          <w:spacing w:val="10"/>
          <w:sz w:val="22"/>
          <w:szCs w:val="28"/>
          <w:rtl/>
        </w:rPr>
        <w:t>.</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hint="cs"/>
          <w:spacing w:val="10"/>
          <w:sz w:val="22"/>
          <w:szCs w:val="28"/>
          <w:rtl/>
        </w:rPr>
        <w:t>13.</w:t>
      </w:r>
      <w:r w:rsidRPr="00E206AF">
        <w:rPr>
          <w:rFonts w:ascii="Arial TUR" w:hAnsi="Arial TUR" w:cs="FrankRuehl"/>
          <w:spacing w:val="10"/>
          <w:sz w:val="22"/>
          <w:szCs w:val="28"/>
          <w:rtl/>
        </w:rPr>
        <w:tab/>
      </w:r>
      <w:r w:rsidRPr="00E206AF">
        <w:rPr>
          <w:rFonts w:ascii="Arial TUR" w:hAnsi="Arial TUR" w:cs="FrankRuehl" w:hint="cs"/>
          <w:spacing w:val="10"/>
          <w:sz w:val="22"/>
          <w:szCs w:val="28"/>
          <w:rtl/>
        </w:rPr>
        <w:t xml:space="preserve">למרות קביעתו האמורה של השופט </w:t>
      </w:r>
      <w:r w:rsidRPr="00E206AF">
        <w:rPr>
          <w:rFonts w:ascii="Century" w:hAnsi="Century" w:cs="Miriam" w:hint="cs"/>
          <w:b/>
          <w:sz w:val="22"/>
          <w:rtl/>
        </w:rPr>
        <w:t>ברק</w:t>
      </w:r>
      <w:r w:rsidRPr="00E206AF">
        <w:rPr>
          <w:rFonts w:ascii="Century" w:hAnsi="Century" w:cs="FrankRuehl" w:hint="cs"/>
          <w:spacing w:val="10"/>
          <w:sz w:val="22"/>
          <w:szCs w:val="28"/>
          <w:rtl/>
        </w:rPr>
        <w:t xml:space="preserve">, שלפיה תכונותיה של עילת הסבירות שהוצגו בפסק דינו משקפות את הדין המצוי ששרר אז, נראה כי הדעה הרווחת בקרב מלומדים רבים היא שמדובר בפסק דין תקדימי ביחס למאפייניה של עילת הסבירות ותכניה (ראו, למשל: דפנה ברק-ארז </w:t>
      </w:r>
      <w:r w:rsidRPr="00E206AF">
        <w:rPr>
          <w:rFonts w:ascii="Century" w:hAnsi="Century" w:cs="Miriam" w:hint="cs"/>
          <w:b/>
          <w:sz w:val="22"/>
          <w:rtl/>
        </w:rPr>
        <w:t xml:space="preserve">משפט מינהלי </w:t>
      </w:r>
      <w:r w:rsidRPr="00E206AF">
        <w:rPr>
          <w:rFonts w:ascii="Century" w:hAnsi="Century" w:cs="FrankRuehl" w:hint="cs"/>
          <w:spacing w:val="10"/>
          <w:sz w:val="22"/>
          <w:szCs w:val="28"/>
          <w:rtl/>
        </w:rPr>
        <w:t xml:space="preserve">כרך ב 725 (2010) (להלן: </w:t>
      </w:r>
      <w:r w:rsidRPr="00E206AF">
        <w:rPr>
          <w:rFonts w:ascii="Century" w:hAnsi="Century" w:cs="Miriam" w:hint="cs"/>
          <w:b/>
          <w:sz w:val="22"/>
          <w:rtl/>
        </w:rPr>
        <w:t>ברק-ארז</w:t>
      </w:r>
      <w:r w:rsidRPr="003F2E16">
        <w:rPr>
          <w:rFonts w:ascii="Century" w:hAnsi="Century" w:cs="FrankRuehl" w:hint="cs"/>
          <w:spacing w:val="10"/>
          <w:sz w:val="22"/>
          <w:szCs w:val="28"/>
          <w:rtl/>
        </w:rPr>
        <w:t>,</w:t>
      </w:r>
      <w:r w:rsidRPr="00E206AF">
        <w:rPr>
          <w:rFonts w:ascii="Century" w:hAnsi="Century" w:cs="Miriam" w:hint="cs"/>
          <w:b/>
          <w:sz w:val="22"/>
          <w:rtl/>
        </w:rPr>
        <w:t xml:space="preserve"> משפט מינהלי</w:t>
      </w:r>
      <w:r w:rsidRPr="00E206AF">
        <w:rPr>
          <w:rFonts w:ascii="Century" w:hAnsi="Century" w:cs="FrankRuehl" w:hint="cs"/>
          <w:spacing w:val="10"/>
          <w:sz w:val="22"/>
          <w:szCs w:val="28"/>
          <w:rtl/>
        </w:rPr>
        <w:t xml:space="preserve">); כן ראו </w:t>
      </w:r>
      <w:r w:rsidRPr="00E206AF">
        <w:rPr>
          <w:rFonts w:ascii="Century" w:hAnsi="Century" w:cs="Miriam" w:hint="cs"/>
          <w:b/>
          <w:sz w:val="22"/>
          <w:rtl/>
        </w:rPr>
        <w:t>כהן</w:t>
      </w:r>
      <w:r w:rsidRPr="00E206AF">
        <w:rPr>
          <w:rFonts w:ascii="Century" w:hAnsi="Century" w:cs="FrankRuehl" w:hint="cs"/>
          <w:spacing w:val="10"/>
          <w:sz w:val="22"/>
          <w:szCs w:val="28"/>
          <w:rtl/>
        </w:rPr>
        <w:t xml:space="preserve">, אשר מתארת את "מהפכת הסבירות בשנות השמונים של המאה העשרים" (שם, בעמ' 783-782), וטוענת כי בעניין </w:t>
      </w:r>
      <w:r w:rsidRPr="00E206AF">
        <w:rPr>
          <w:rFonts w:ascii="Century" w:hAnsi="Century" w:cs="Miriam" w:hint="cs"/>
          <w:b/>
          <w:sz w:val="22"/>
          <w:rtl/>
        </w:rPr>
        <w:t xml:space="preserve">דפי זהב </w:t>
      </w:r>
      <w:r w:rsidRPr="00E206AF">
        <w:rPr>
          <w:rFonts w:ascii="Century" w:hAnsi="Century" w:cs="FrankRuehl" w:hint="cs"/>
          <w:spacing w:val="10"/>
          <w:sz w:val="22"/>
          <w:szCs w:val="28"/>
          <w:rtl/>
        </w:rPr>
        <w:t>"גובשה [...] הגישה הגמישה יותר כלפי העילה, אשר הובילה, במיוחד לטענת המבקרים, לעשייה אקטיביסטית ברמה שלא היה לה תקדים קודם לכן" (שם, בעמ' 796);</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וכי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מבחני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הסבירות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שנוסחו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בעניין</w:t>
      </w:r>
      <w:r w:rsidRPr="00E206AF">
        <w:rPr>
          <w:rFonts w:ascii="Century" w:hAnsi="Century" w:cs="FrankRuehl"/>
          <w:spacing w:val="10"/>
          <w:sz w:val="22"/>
          <w:szCs w:val="28"/>
          <w:rtl/>
        </w:rPr>
        <w:t xml:space="preserve"> </w:t>
      </w:r>
      <w:r w:rsidRPr="00E206AF">
        <w:rPr>
          <w:rFonts w:ascii="Century" w:hAnsi="Century" w:cs="Miriam" w:hint="eastAsia"/>
          <w:b/>
          <w:sz w:val="22"/>
          <w:rtl/>
        </w:rPr>
        <w:t>דפי</w:t>
      </w:r>
      <w:r w:rsidRPr="00E206AF">
        <w:rPr>
          <w:rFonts w:ascii="Century" w:hAnsi="Century" w:cs="Miriam"/>
          <w:b/>
          <w:sz w:val="22"/>
          <w:rtl/>
        </w:rPr>
        <w:t xml:space="preserve"> </w:t>
      </w:r>
      <w:r w:rsidRPr="00E206AF">
        <w:rPr>
          <w:rFonts w:ascii="Century" w:hAnsi="Century" w:cs="Miriam" w:hint="eastAsia"/>
          <w:b/>
          <w:sz w:val="22"/>
          <w:rtl/>
        </w:rPr>
        <w:t>זהב</w:t>
      </w:r>
      <w:r w:rsidRPr="00E206AF">
        <w:rPr>
          <w:rFonts w:ascii="Century" w:hAnsi="Century" w:cs="FrankRuehl"/>
          <w:spacing w:val="10"/>
          <w:sz w:val="22"/>
          <w:szCs w:val="28"/>
          <w:rtl/>
        </w:rPr>
        <w:t xml:space="preserve"> – </w:t>
      </w:r>
      <w:r w:rsidRPr="00E206AF">
        <w:rPr>
          <w:rFonts w:ascii="Century" w:hAnsi="Century" w:cs="FrankRuehl" w:hint="eastAsia"/>
          <w:spacing w:val="10"/>
          <w:sz w:val="22"/>
          <w:szCs w:val="28"/>
          <w:rtl/>
        </w:rPr>
        <w:t>י</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מרחיקי</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לכת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יחסית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לעבר</w:t>
      </w:r>
      <w:r w:rsidRPr="00E206AF">
        <w:rPr>
          <w:rFonts w:ascii="Century" w:hAnsi="Century" w:cs="FrankRuehl"/>
          <w:spacing w:val="10"/>
          <w:sz w:val="22"/>
          <w:szCs w:val="28"/>
          <w:rtl/>
        </w:rPr>
        <w:t>" (</w:t>
      </w:r>
      <w:r w:rsidRPr="00E206AF">
        <w:rPr>
          <w:rFonts w:ascii="Century" w:hAnsi="Century" w:cs="FrankRuehl" w:hint="eastAsia"/>
          <w:spacing w:val="10"/>
          <w:sz w:val="22"/>
          <w:szCs w:val="28"/>
          <w:rtl/>
        </w:rPr>
        <w:t>שם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בעמ</w:t>
      </w:r>
      <w:r w:rsidRPr="00E206AF">
        <w:rPr>
          <w:rFonts w:ascii="Century" w:hAnsi="Century" w:cs="FrankRuehl"/>
          <w:spacing w:val="10"/>
          <w:sz w:val="22"/>
          <w:szCs w:val="28"/>
          <w:rtl/>
        </w:rPr>
        <w:t xml:space="preserve">' 799); </w:t>
      </w:r>
      <w:r w:rsidRPr="00E206AF">
        <w:rPr>
          <w:rFonts w:ascii="Century" w:hAnsi="Century" w:cs="FrankRuehl" w:hint="eastAsia"/>
          <w:spacing w:val="10"/>
          <w:sz w:val="22"/>
          <w:szCs w:val="28"/>
          <w:rtl/>
        </w:rPr>
        <w:t>כך</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הביע</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גם</w:t>
      </w:r>
      <w:r w:rsidRPr="00E206AF">
        <w:rPr>
          <w:rFonts w:ascii="Century" w:hAnsi="Century" w:cs="FrankRuehl"/>
          <w:spacing w:val="10"/>
          <w:sz w:val="22"/>
          <w:szCs w:val="28"/>
          <w:rtl/>
        </w:rPr>
        <w:t xml:space="preserve"> </w:t>
      </w:r>
      <w:r w:rsidRPr="00E206AF">
        <w:rPr>
          <w:rFonts w:ascii="Century" w:hAnsi="Century" w:cs="Miriam" w:hint="eastAsia"/>
          <w:b/>
          <w:sz w:val="22"/>
          <w:rtl/>
        </w:rPr>
        <w:t>מ</w:t>
      </w:r>
      <w:r w:rsidRPr="00E206AF">
        <w:rPr>
          <w:rFonts w:ascii="Century" w:hAnsi="Century" w:cs="Miriam"/>
          <w:b/>
          <w:sz w:val="22"/>
          <w:rtl/>
        </w:rPr>
        <w:t xml:space="preserve">' </w:t>
      </w:r>
      <w:r w:rsidRPr="00E206AF">
        <w:rPr>
          <w:rFonts w:ascii="Century" w:hAnsi="Century" w:cs="Miriam" w:hint="eastAsia"/>
          <w:b/>
          <w:sz w:val="22"/>
          <w:rtl/>
        </w:rPr>
        <w:t>מא</w:t>
      </w:r>
      <w:r>
        <w:rPr>
          <w:rFonts w:ascii="Century" w:hAnsi="Century" w:cs="Miriam" w:hint="cs"/>
          <w:b/>
          <w:sz w:val="22"/>
          <w:rtl/>
        </w:rPr>
        <w:t>ו</w:t>
      </w:r>
      <w:r w:rsidRPr="00E206AF">
        <w:rPr>
          <w:rFonts w:ascii="Century" w:hAnsi="Century" w:cs="Miriam" w:hint="eastAsia"/>
          <w:b/>
          <w:sz w:val="22"/>
          <w:rtl/>
        </w:rPr>
        <w:t>טנר</w:t>
      </w:r>
      <w:r w:rsidRPr="00E206AF">
        <w:rPr>
          <w:rFonts w:ascii="Century" w:hAnsi="Century" w:cs="Miriam"/>
          <w:b/>
          <w:sz w:val="22"/>
          <w:rtl/>
        </w:rPr>
        <w:t xml:space="preserve"> </w:t>
      </w:r>
      <w:r w:rsidRPr="00E206AF">
        <w:rPr>
          <w:rFonts w:ascii="Century" w:hAnsi="Century" w:cs="FrankRuehl" w:hint="eastAsia"/>
          <w:spacing w:val="10"/>
          <w:sz w:val="22"/>
          <w:szCs w:val="28"/>
          <w:rtl/>
        </w:rPr>
        <w:t>את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עמדתו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כי</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"תחת הכותרת 'סבירות' חולל בית-המשפט העליון בשנות ה-80 שינוי </w:t>
      </w:r>
      <w:r w:rsidRPr="00E206AF">
        <w:rPr>
          <w:rFonts w:ascii="Century" w:hAnsi="Century" w:cs="FrankRuehl" w:hint="eastAsia"/>
          <w:spacing w:val="10"/>
          <w:sz w:val="22"/>
          <w:szCs w:val="28"/>
          <w:rtl/>
        </w:rPr>
        <w:t>רדיקלי</w:t>
      </w:r>
      <w:r w:rsidRPr="00E206AF">
        <w:rPr>
          <w:rFonts w:ascii="Century" w:hAnsi="Century" w:cs="FrankRuehl" w:hint="cs"/>
          <w:spacing w:val="10"/>
          <w:sz w:val="22"/>
          <w:szCs w:val="28"/>
          <w:rtl/>
        </w:rPr>
        <w:t>"</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בעזרת הקניית "תכנים חדשים" ל"מושגים משפטיים מוכרים"; וכי ממועד מתן פסק הדין בעניין </w:t>
      </w:r>
      <w:r w:rsidRPr="00E206AF">
        <w:rPr>
          <w:rFonts w:ascii="Century" w:hAnsi="Century" w:cs="Miriam" w:hint="cs"/>
          <w:b/>
          <w:sz w:val="22"/>
          <w:rtl/>
        </w:rPr>
        <w:t>דפי זהב</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ראה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עצמו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מוסמך</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לפקח</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שיקולי</w:t>
      </w:r>
      <w:r w:rsidRPr="00E206AF">
        <w:rPr>
          <w:rFonts w:ascii="Century" w:hAnsi="Century" w:cs="FrankRuehl" w:hint="cs"/>
          <w:spacing w:val="10"/>
          <w:sz w:val="22"/>
          <w:szCs w:val="28"/>
          <w:rtl/>
        </w:rPr>
        <w:t xml:space="preserve">ה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הרשות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גם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נקבע</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על</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ידו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שכולם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נמצאו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בגדר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השיקולים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שהרשות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הייתה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מוסמכת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לשוקלם</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מנחם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מאוטנר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הסבירות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הפוליטיקה</w:t>
      </w:r>
      <w:r w:rsidRPr="00E206AF">
        <w:rPr>
          <w:rFonts w:ascii="Century" w:hAnsi="Century" w:cs="FrankRuehl"/>
          <w:spacing w:val="10"/>
          <w:sz w:val="22"/>
          <w:szCs w:val="28"/>
          <w:rtl/>
        </w:rPr>
        <w:t xml:space="preserve">" 5 </w:t>
      </w:r>
      <w:r w:rsidRPr="00E206AF">
        <w:rPr>
          <w:rFonts w:ascii="Century" w:hAnsi="Century" w:cs="Miriam" w:hint="eastAsia"/>
          <w:b/>
          <w:sz w:val="22"/>
          <w:rtl/>
        </w:rPr>
        <w:t>תיאוריה</w:t>
      </w:r>
      <w:r w:rsidRPr="00E206AF">
        <w:rPr>
          <w:rFonts w:ascii="Century" w:hAnsi="Century" w:cs="Miriam"/>
          <w:b/>
          <w:sz w:val="22"/>
          <w:rtl/>
        </w:rPr>
        <w:t xml:space="preserve"> </w:t>
      </w:r>
      <w:r w:rsidRPr="00E206AF">
        <w:rPr>
          <w:rFonts w:ascii="Century" w:hAnsi="Century" w:cs="Miriam" w:hint="eastAsia"/>
          <w:b/>
          <w:sz w:val="22"/>
          <w:rtl/>
        </w:rPr>
        <w:t>וביקורת</w:t>
      </w:r>
      <w:r w:rsidRPr="00E206AF">
        <w:rPr>
          <w:rFonts w:ascii="Century" w:hAnsi="Century" w:cs="FrankRuehl"/>
          <w:spacing w:val="10"/>
          <w:sz w:val="22"/>
          <w:szCs w:val="28"/>
          <w:rtl/>
        </w:rPr>
        <w:t xml:space="preserve"> 25, 25</w:t>
      </w:r>
      <w:r w:rsidRPr="00E206AF">
        <w:rPr>
          <w:rFonts w:ascii="Century" w:hAnsi="Century" w:cs="FrankRuehl" w:hint="cs"/>
          <w:spacing w:val="10"/>
          <w:sz w:val="22"/>
          <w:szCs w:val="28"/>
          <w:rtl/>
        </w:rPr>
        <w:t>, 27</w:t>
      </w:r>
      <w:r w:rsidRPr="00E206AF">
        <w:rPr>
          <w:rFonts w:ascii="Century" w:hAnsi="Century" w:cs="FrankRuehl"/>
          <w:spacing w:val="10"/>
          <w:sz w:val="22"/>
          <w:szCs w:val="28"/>
          <w:rtl/>
        </w:rPr>
        <w:t xml:space="preserve"> (1994</w:t>
      </w:r>
      <w:r w:rsidRPr="00E206AF">
        <w:rPr>
          <w:rFonts w:ascii="Century" w:hAnsi="Century" w:cs="FrankRuehl" w:hint="cs"/>
          <w:spacing w:val="10"/>
          <w:sz w:val="22"/>
          <w:szCs w:val="28"/>
          <w:rtl/>
        </w:rPr>
        <w:t xml:space="preserve">); כן ראו והשוו: </w:t>
      </w:r>
      <w:r w:rsidRPr="00E206AF">
        <w:rPr>
          <w:rFonts w:ascii="Century" w:hAnsi="Century" w:cs="Miriam" w:hint="cs"/>
          <w:b/>
          <w:sz w:val="22"/>
          <w:rtl/>
        </w:rPr>
        <w:t>זמיר</w:t>
      </w:r>
      <w:r w:rsidRPr="00E206AF">
        <w:rPr>
          <w:rFonts w:ascii="Century" w:hAnsi="Century" w:cs="FrankRuehl" w:hint="cs"/>
          <w:spacing w:val="10"/>
          <w:sz w:val="22"/>
          <w:szCs w:val="28"/>
          <w:rtl/>
        </w:rPr>
        <w:t xml:space="preserve">, אשר מדגיש כי הוא אינו מחזיק בדעה הרווחת שלפיה בעניין </w:t>
      </w:r>
      <w:r w:rsidRPr="00E206AF">
        <w:rPr>
          <w:rFonts w:ascii="Century" w:hAnsi="Century" w:cs="Miriam" w:hint="cs"/>
          <w:b/>
          <w:sz w:val="22"/>
          <w:rtl/>
        </w:rPr>
        <w:t>דפי זהב</w:t>
      </w:r>
      <w:r w:rsidRPr="00E206AF">
        <w:rPr>
          <w:rFonts w:ascii="Century" w:hAnsi="Century" w:cs="FrankRuehl" w:hint="cs"/>
          <w:spacing w:val="10"/>
          <w:sz w:val="22"/>
          <w:szCs w:val="28"/>
          <w:rtl/>
        </w:rPr>
        <w:t xml:space="preserve"> נוצרה עילה חדשה (</w:t>
      </w:r>
      <w:r w:rsidRPr="00E206AF">
        <w:rPr>
          <w:rFonts w:ascii="Century" w:hAnsi="Century" w:cs="Miriam" w:hint="cs"/>
          <w:b/>
          <w:sz w:val="22"/>
          <w:rtl/>
        </w:rPr>
        <w:t>זמיר</w:t>
      </w:r>
      <w:r w:rsidRPr="00E206AF">
        <w:rPr>
          <w:rFonts w:ascii="Century" w:hAnsi="Century" w:cs="Miriam"/>
          <w:b/>
          <w:sz w:val="22"/>
          <w:rtl/>
        </w:rPr>
        <w:t xml:space="preserve">, </w:t>
      </w:r>
      <w:r w:rsidRPr="00E206AF">
        <w:rPr>
          <w:rFonts w:ascii="Century" w:hAnsi="Century" w:cs="Miriam" w:hint="eastAsia"/>
          <w:b/>
          <w:sz w:val="22"/>
          <w:rtl/>
        </w:rPr>
        <w:t>הסמכות</w:t>
      </w:r>
      <w:r w:rsidRPr="00E206AF">
        <w:rPr>
          <w:rFonts w:ascii="Century" w:hAnsi="Century" w:cs="Miriam"/>
          <w:b/>
          <w:sz w:val="22"/>
          <w:rtl/>
        </w:rPr>
        <w:t xml:space="preserve"> </w:t>
      </w:r>
      <w:r w:rsidRPr="00E206AF">
        <w:rPr>
          <w:rFonts w:ascii="Century" w:hAnsi="Century" w:cs="Miriam" w:hint="eastAsia"/>
          <w:b/>
          <w:sz w:val="22"/>
          <w:rtl/>
        </w:rPr>
        <w:t>המ</w:t>
      </w:r>
      <w:r w:rsidRPr="00E206AF">
        <w:rPr>
          <w:rFonts w:ascii="Century" w:hAnsi="Century" w:cs="Miriam" w:hint="cs"/>
          <w:b/>
          <w:sz w:val="22"/>
          <w:rtl/>
        </w:rPr>
        <w:t>י</w:t>
      </w:r>
      <w:r w:rsidRPr="00E206AF">
        <w:rPr>
          <w:rFonts w:ascii="Century" w:hAnsi="Century" w:cs="Miriam" w:hint="eastAsia"/>
          <w:b/>
          <w:sz w:val="22"/>
          <w:rtl/>
        </w:rPr>
        <w:t>נהלית</w:t>
      </w:r>
      <w:r w:rsidRPr="00E206AF">
        <w:rPr>
          <w:rFonts w:ascii="Century" w:hAnsi="Century" w:cs="FrankRuehl" w:hint="cs"/>
          <w:spacing w:val="10"/>
          <w:sz w:val="22"/>
          <w:szCs w:val="28"/>
          <w:rtl/>
        </w:rPr>
        <w:t xml:space="preserve">, בעמ' 3560-3559); </w:t>
      </w:r>
      <w:r w:rsidRPr="00E206AF">
        <w:rPr>
          <w:rFonts w:ascii="Century" w:hAnsi="Century" w:cs="FrankRuehl" w:hint="cs"/>
          <w:spacing w:val="10"/>
          <w:sz w:val="22"/>
          <w:szCs w:val="28"/>
          <w:rtl/>
        </w:rPr>
        <w:lastRenderedPageBreak/>
        <w:t xml:space="preserve">ואולם, הוא ממשיך ומציין כי "לעילת הסבירות שני מובנים [...] שהם שונים מאד זה מזה, מבחינה עקרונית ומבחינה מעשית" (שם, בעמ' 3868); כי "המובן השני [...] המתייחס לסבירות של שיקול הדעת" </w:t>
      </w:r>
      <w:r w:rsidRPr="003F2E16">
        <w:rPr>
          <w:rFonts w:ascii="Century" w:hAnsi="Century" w:cs="Miriam" w:hint="eastAsia"/>
          <w:b/>
          <w:sz w:val="22"/>
          <w:rtl/>
        </w:rPr>
        <w:t>נוצק</w:t>
      </w:r>
      <w:r w:rsidRPr="003F2E16">
        <w:rPr>
          <w:rFonts w:ascii="Century" w:hAnsi="Century" w:cs="Miriam"/>
          <w:b/>
          <w:sz w:val="22"/>
          <w:rtl/>
        </w:rPr>
        <w:t xml:space="preserve"> </w:t>
      </w:r>
      <w:r w:rsidRPr="003F2E16">
        <w:rPr>
          <w:rFonts w:ascii="Century" w:hAnsi="Century" w:cs="Miriam" w:hint="eastAsia"/>
          <w:b/>
          <w:sz w:val="22"/>
          <w:rtl/>
        </w:rPr>
        <w:t>לעילה</w:t>
      </w:r>
      <w:r w:rsidRPr="003F2E16">
        <w:rPr>
          <w:rFonts w:ascii="Century" w:hAnsi="Century" w:cs="Miriam"/>
          <w:b/>
          <w:sz w:val="22"/>
          <w:rtl/>
        </w:rPr>
        <w:t xml:space="preserve"> </w:t>
      </w:r>
      <w:r w:rsidRPr="003F2E16">
        <w:rPr>
          <w:rFonts w:ascii="Century" w:hAnsi="Century" w:cs="Miriam" w:hint="eastAsia"/>
          <w:b/>
          <w:sz w:val="22"/>
          <w:rtl/>
        </w:rPr>
        <w:t>זו</w:t>
      </w:r>
      <w:r w:rsidRPr="003F2E16">
        <w:rPr>
          <w:rFonts w:ascii="Century" w:hAnsi="Century" w:cs="Miriam"/>
          <w:b/>
          <w:sz w:val="22"/>
          <w:rtl/>
        </w:rPr>
        <w:t xml:space="preserve"> </w:t>
      </w:r>
      <w:r w:rsidRPr="003F2E16">
        <w:rPr>
          <w:rFonts w:ascii="Century" w:hAnsi="Century" w:cs="Miriam" w:hint="eastAsia"/>
          <w:b/>
          <w:sz w:val="22"/>
          <w:rtl/>
        </w:rPr>
        <w:t>בפסק</w:t>
      </w:r>
      <w:r w:rsidRPr="003F2E16">
        <w:rPr>
          <w:rFonts w:ascii="Century" w:hAnsi="Century" w:cs="Miriam"/>
          <w:b/>
          <w:sz w:val="22"/>
          <w:rtl/>
        </w:rPr>
        <w:t xml:space="preserve"> </w:t>
      </w:r>
      <w:r w:rsidRPr="003F2E16">
        <w:rPr>
          <w:rFonts w:ascii="Century" w:hAnsi="Century" w:cs="Miriam" w:hint="eastAsia"/>
          <w:b/>
          <w:sz w:val="22"/>
          <w:rtl/>
        </w:rPr>
        <w:t>הדין</w:t>
      </w:r>
      <w:r w:rsidRPr="003F2E16">
        <w:rPr>
          <w:rFonts w:ascii="Century" w:hAnsi="Century" w:cs="Miriam"/>
          <w:b/>
          <w:sz w:val="22"/>
          <w:rtl/>
        </w:rPr>
        <w:t xml:space="preserve"> </w:t>
      </w:r>
      <w:r w:rsidRPr="003F2E16">
        <w:rPr>
          <w:rFonts w:ascii="Century" w:hAnsi="Century" w:cs="Miriam" w:hint="eastAsia"/>
          <w:b/>
          <w:sz w:val="22"/>
          <w:rtl/>
        </w:rPr>
        <w:t>בעניין</w:t>
      </w:r>
      <w:r w:rsidRPr="003F2E16">
        <w:rPr>
          <w:rFonts w:ascii="Century" w:hAnsi="Century" w:cs="Miriam"/>
          <w:b/>
          <w:sz w:val="22"/>
          <w:rtl/>
        </w:rPr>
        <w:t xml:space="preserve"> </w:t>
      </w:r>
      <w:r w:rsidRPr="003F2E16">
        <w:rPr>
          <w:rFonts w:ascii="Century" w:hAnsi="Century" w:cs="Miriam" w:hint="eastAsia"/>
          <w:b/>
          <w:sz w:val="22"/>
          <w:rtl/>
        </w:rPr>
        <w:t>דפי</w:t>
      </w:r>
      <w:r w:rsidRPr="003F2E16">
        <w:rPr>
          <w:rFonts w:ascii="Century" w:hAnsi="Century" w:cs="Miriam"/>
          <w:b/>
          <w:sz w:val="22"/>
          <w:rtl/>
        </w:rPr>
        <w:t xml:space="preserve"> </w:t>
      </w:r>
      <w:r w:rsidRPr="003F2E16">
        <w:rPr>
          <w:rFonts w:ascii="Century" w:hAnsi="Century" w:cs="Miriam" w:hint="eastAsia"/>
          <w:b/>
          <w:sz w:val="22"/>
          <w:rtl/>
        </w:rPr>
        <w:t>זהב</w:t>
      </w:r>
      <w:r w:rsidRPr="00E206AF">
        <w:rPr>
          <w:rFonts w:ascii="Century" w:hAnsi="Century" w:cs="FrankRuehl" w:hint="cs"/>
          <w:spacing w:val="10"/>
          <w:sz w:val="22"/>
          <w:szCs w:val="28"/>
          <w:rtl/>
        </w:rPr>
        <w:t xml:space="preserve"> (שם, בעמ' 3850-3849); וכי "רק בשנות השבעים והשמונים [עילת הסבירות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י"ו] סיפחה אליה את הפגם בשיקול הדעת המינהלי, כלומר מתן משקל בלתי ראוי לשיקול מסוים או איזון בלתי ראוי בין השיקולים" (שם, בעמ' 3865; ראו גם בעמ' 3869). כמו כן, ראו גישתו של </w:t>
      </w:r>
      <w:r w:rsidRPr="00E206AF">
        <w:rPr>
          <w:rFonts w:ascii="Century" w:hAnsi="Century" w:cs="Miriam" w:hint="cs"/>
          <w:b/>
          <w:sz w:val="22"/>
          <w:rtl/>
        </w:rPr>
        <w:t>י'</w:t>
      </w:r>
      <w:r w:rsidRPr="00E206AF">
        <w:rPr>
          <w:rFonts w:ascii="Century" w:hAnsi="Century" w:cs="FrankRuehl" w:hint="cs"/>
          <w:spacing w:val="10"/>
          <w:sz w:val="22"/>
          <w:szCs w:val="28"/>
          <w:rtl/>
        </w:rPr>
        <w:t xml:space="preserve"> </w:t>
      </w:r>
      <w:r w:rsidRPr="00E206AF">
        <w:rPr>
          <w:rFonts w:ascii="Century" w:hAnsi="Century" w:cs="Miriam" w:hint="eastAsia"/>
          <w:b/>
          <w:sz w:val="22"/>
          <w:rtl/>
        </w:rPr>
        <w:t>דותן</w:t>
      </w:r>
      <w:r w:rsidRPr="00E206AF">
        <w:rPr>
          <w:rFonts w:ascii="Century" w:hAnsi="Century" w:cs="FrankRuehl" w:hint="cs"/>
          <w:spacing w:val="10"/>
          <w:sz w:val="22"/>
          <w:szCs w:val="28"/>
          <w:rtl/>
        </w:rPr>
        <w:t xml:space="preserve">, אשר תיאר את פסק הדין כ"מפץ </w:t>
      </w:r>
      <w:r>
        <w:rPr>
          <w:rFonts w:ascii="Century" w:hAnsi="Century" w:cs="FrankRuehl" w:hint="cs"/>
          <w:spacing w:val="10"/>
          <w:sz w:val="22"/>
          <w:szCs w:val="28"/>
          <w:rtl/>
        </w:rPr>
        <w:t xml:space="preserve">של דפי זהב" המציג "סבירות חדשה", </w:t>
      </w:r>
      <w:r w:rsidRPr="00E206AF">
        <w:rPr>
          <w:rFonts w:ascii="Century" w:hAnsi="Century" w:cs="FrankRuehl" w:hint="cs"/>
          <w:spacing w:val="10"/>
          <w:sz w:val="22"/>
          <w:szCs w:val="28"/>
          <w:rtl/>
        </w:rPr>
        <w:t>שחדשנותו העיקרית נעוצה בקביעה שלפיה סבירות היא מתן משקל ראוי לאינטרסים השונים שעל הרשות המינהלית להתחשב בהם</w:t>
      </w:r>
      <w:r>
        <w:rPr>
          <w:rFonts w:ascii="Century" w:hAnsi="Century" w:cs="FrankRuehl" w:hint="cs"/>
          <w:spacing w:val="10"/>
          <w:sz w:val="22"/>
          <w:szCs w:val="28"/>
          <w:rtl/>
        </w:rPr>
        <w:t xml:space="preserve"> </w:t>
      </w:r>
      <w:r w:rsidRPr="00E206AF">
        <w:rPr>
          <w:rFonts w:ascii="Century" w:hAnsi="Century" w:cs="FrankRuehl" w:hint="cs"/>
          <w:spacing w:val="10"/>
          <w:sz w:val="22"/>
          <w:szCs w:val="28"/>
          <w:rtl/>
        </w:rPr>
        <w:t xml:space="preserve">(ראו: יואב דותן "שני מושגים של ריסון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וסבירות" </w:t>
      </w:r>
      <w:r w:rsidRPr="00E206AF">
        <w:rPr>
          <w:rFonts w:ascii="Century" w:hAnsi="Century" w:cs="Miriam" w:hint="cs"/>
          <w:b/>
          <w:sz w:val="22"/>
          <w:rtl/>
        </w:rPr>
        <w:t xml:space="preserve">משפטים </w:t>
      </w:r>
      <w:r w:rsidRPr="00E206AF">
        <w:rPr>
          <w:rFonts w:ascii="Century" w:hAnsi="Century" w:cs="FrankRuehl" w:hint="cs"/>
          <w:spacing w:val="10"/>
          <w:sz w:val="22"/>
          <w:szCs w:val="28"/>
          <w:rtl/>
        </w:rPr>
        <w:t>נא</w:t>
      </w:r>
      <w:r w:rsidRPr="00E206AF">
        <w:rPr>
          <w:rFonts w:ascii="Century" w:hAnsi="Century" w:cs="Miriam" w:hint="cs"/>
          <w:b/>
          <w:sz w:val="22"/>
          <w:rtl/>
        </w:rPr>
        <w:t xml:space="preserve"> </w:t>
      </w:r>
      <w:r w:rsidRPr="00E206AF">
        <w:rPr>
          <w:rFonts w:ascii="Century" w:hAnsi="Century" w:cs="FrankRuehl" w:hint="cs"/>
          <w:spacing w:val="10"/>
          <w:sz w:val="22"/>
          <w:szCs w:val="28"/>
          <w:rtl/>
        </w:rPr>
        <w:t xml:space="preserve">673, 685-681 (התשפ"ב) (להלן: </w:t>
      </w:r>
      <w:r w:rsidRPr="00E206AF">
        <w:rPr>
          <w:rFonts w:ascii="Century" w:hAnsi="Century" w:cs="Miriam" w:hint="cs"/>
          <w:b/>
          <w:sz w:val="22"/>
          <w:rtl/>
        </w:rPr>
        <w:t>דותן, ריסון וסבירות</w:t>
      </w:r>
      <w:r>
        <w:rPr>
          <w:rFonts w:ascii="Century" w:hAnsi="Century" w:cs="FrankRuehl" w:hint="cs"/>
          <w:spacing w:val="10"/>
          <w:sz w:val="22"/>
          <w:szCs w:val="28"/>
          <w:rtl/>
        </w:rPr>
        <w:t>))</w:t>
      </w:r>
      <w:r w:rsidRPr="00E206AF">
        <w:rPr>
          <w:rFonts w:ascii="Century" w:hAnsi="Century" w:cs="FrankRuehl" w:hint="cs"/>
          <w:spacing w:val="10"/>
          <w:sz w:val="22"/>
          <w:szCs w:val="28"/>
          <w:rtl/>
        </w:rPr>
        <w:t>. לדידו, חידוש משמעותי נוסף בפסק הדין האמור, נובע מניתוק עילת הסבירות מדוקטרינת חוסר הסמכות (שם, בעמ' 685-682).</w:t>
      </w:r>
      <w:r w:rsidRPr="00E206AF">
        <w:rPr>
          <w:rFonts w:ascii="Century" w:hAnsi="Century" w:cs="Miriam" w:hint="cs"/>
          <w:b/>
          <w:sz w:val="22"/>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14.</w:t>
      </w:r>
      <w:r w:rsidRPr="00E206AF">
        <w:rPr>
          <w:rFonts w:ascii="Century" w:hAnsi="Century" w:cs="FrankRuehl" w:hint="cs"/>
          <w:spacing w:val="10"/>
          <w:sz w:val="22"/>
          <w:szCs w:val="28"/>
          <w:rtl/>
        </w:rPr>
        <w:tab/>
        <w:t xml:space="preserve">כך או כך, בעוד בעשורים שקדמו לפסק הדין בעניין </w:t>
      </w:r>
      <w:r w:rsidRPr="00E206AF">
        <w:rPr>
          <w:rFonts w:ascii="Century" w:hAnsi="Century" w:cs="Miriam" w:hint="cs"/>
          <w:b/>
          <w:sz w:val="22"/>
          <w:rtl/>
        </w:rPr>
        <w:t>דפי זהב</w:t>
      </w:r>
      <w:r w:rsidRPr="00E206AF">
        <w:rPr>
          <w:rFonts w:ascii="Century" w:hAnsi="Century" w:cs="FrankRuehl" w:hint="cs"/>
          <w:spacing w:val="10"/>
          <w:sz w:val="22"/>
          <w:szCs w:val="28"/>
          <w:rtl/>
        </w:rPr>
        <w:t xml:space="preserve">, השימוש בעילת הסבירות לא היה תדיר, במיוחד ביחס לעילות אחרות כמו חוסר סמכות, שיקולים זרים או </w:t>
      </w:r>
      <w:r w:rsidRPr="00E206AF">
        <w:rPr>
          <w:rFonts w:ascii="Century" w:hAnsi="Century" w:cs="FrankRuehl" w:hint="eastAsia"/>
          <w:spacing w:val="10"/>
          <w:sz w:val="22"/>
          <w:szCs w:val="28"/>
          <w:rtl/>
        </w:rPr>
        <w:t>הפלייה</w:t>
      </w:r>
      <w:r w:rsidRPr="00E206AF">
        <w:rPr>
          <w:rFonts w:ascii="Century" w:hAnsi="Century" w:cs="FrankRuehl" w:hint="cs"/>
          <w:spacing w:val="10"/>
          <w:sz w:val="22"/>
          <w:szCs w:val="28"/>
          <w:rtl/>
        </w:rPr>
        <w:t xml:space="preserve">, הרי שלאחר פסק הדין בעניין </w:t>
      </w:r>
      <w:r w:rsidRPr="00E206AF">
        <w:rPr>
          <w:rFonts w:ascii="Century" w:hAnsi="Century" w:cs="Miriam" w:hint="cs"/>
          <w:b/>
          <w:sz w:val="22"/>
          <w:rtl/>
        </w:rPr>
        <w:t xml:space="preserve">דפי זהב </w:t>
      </w:r>
      <w:r w:rsidRPr="00E206AF">
        <w:rPr>
          <w:rFonts w:ascii="Century" w:hAnsi="Century" w:cs="FrankRuehl" w:hint="cs"/>
          <w:spacing w:val="10"/>
          <w:sz w:val="22"/>
          <w:szCs w:val="28"/>
          <w:rtl/>
        </w:rPr>
        <w:t xml:space="preserve">השתנה מצב זה באופן דרמטי והשימוש בפסיקה בעילת הסבירות הפך נפוץ ומרכזי ביותר, עד שנראה כי עתירות שבהן בית המשפט לא נדרש לדון בסבירות האקט המינהלי </w:t>
      </w:r>
      <w:r w:rsidRPr="00FB431C">
        <w:rPr>
          <w:rFonts w:ascii="Century" w:hAnsi="Century" w:cs="FrankRuehl" w:hint="cs"/>
          <w:spacing w:val="10"/>
          <w:sz w:val="22"/>
          <w:szCs w:val="28"/>
          <w:rtl/>
        </w:rPr>
        <w:t>הפכו מהכלל לחריג</w:t>
      </w:r>
      <w:r w:rsidRPr="00E206AF">
        <w:rPr>
          <w:rFonts w:ascii="Century" w:hAnsi="Century" w:cs="FrankRuehl" w:hint="cs"/>
          <w:spacing w:val="10"/>
          <w:sz w:val="22"/>
          <w:szCs w:val="28"/>
          <w:rtl/>
        </w:rPr>
        <w:t xml:space="preserve"> (להרחבה ולנתונים בנושא ראו: </w:t>
      </w:r>
      <w:r w:rsidRPr="00E206AF">
        <w:rPr>
          <w:rFonts w:ascii="Century" w:hAnsi="Century" w:cs="Miriam" w:hint="eastAsia"/>
          <w:b/>
          <w:sz w:val="22"/>
          <w:rtl/>
        </w:rPr>
        <w:t>דותן</w:t>
      </w:r>
      <w:r w:rsidRPr="00E206AF">
        <w:rPr>
          <w:rFonts w:ascii="Century" w:hAnsi="Century" w:cs="Miriam"/>
          <w:b/>
          <w:sz w:val="22"/>
          <w:rtl/>
        </w:rPr>
        <w:t xml:space="preserve">, </w:t>
      </w:r>
      <w:r w:rsidRPr="00E206AF">
        <w:rPr>
          <w:rFonts w:ascii="Century" w:hAnsi="Century" w:cs="Miriam" w:hint="eastAsia"/>
          <w:b/>
          <w:sz w:val="22"/>
          <w:rtl/>
        </w:rPr>
        <w:t>ריסון</w:t>
      </w:r>
      <w:r w:rsidRPr="00E206AF">
        <w:rPr>
          <w:rFonts w:ascii="Century" w:hAnsi="Century" w:cs="Miriam"/>
          <w:b/>
          <w:sz w:val="22"/>
          <w:rtl/>
        </w:rPr>
        <w:t xml:space="preserve"> </w:t>
      </w:r>
      <w:r w:rsidRPr="00E206AF">
        <w:rPr>
          <w:rFonts w:ascii="Century" w:hAnsi="Century" w:cs="Miriam" w:hint="eastAsia"/>
          <w:b/>
          <w:sz w:val="22"/>
          <w:rtl/>
        </w:rPr>
        <w:t>וסבירות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בעמ</w:t>
      </w:r>
      <w:r w:rsidRPr="00E206AF">
        <w:rPr>
          <w:rFonts w:ascii="Century" w:hAnsi="Century" w:cs="FrankRuehl"/>
          <w:spacing w:val="10"/>
          <w:sz w:val="22"/>
          <w:szCs w:val="28"/>
          <w:rtl/>
        </w:rPr>
        <w:t xml:space="preserve">' 677-676, </w:t>
      </w:r>
      <w:r w:rsidRPr="00E206AF">
        <w:rPr>
          <w:rFonts w:ascii="Century" w:hAnsi="Century" w:cs="FrankRuehl" w:hint="eastAsia"/>
          <w:spacing w:val="10"/>
          <w:sz w:val="22"/>
          <w:szCs w:val="28"/>
          <w:rtl/>
        </w:rPr>
        <w:t>בפרט</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ש</w:t>
      </w:r>
      <w:r w:rsidRPr="00E206AF">
        <w:rPr>
          <w:rFonts w:ascii="Century" w:hAnsi="Century" w:cs="FrankRuehl"/>
          <w:spacing w:val="10"/>
          <w:sz w:val="22"/>
          <w:szCs w:val="28"/>
          <w:rtl/>
        </w:rPr>
        <w:t xml:space="preserve"> 8</w:t>
      </w:r>
      <w:r w:rsidRPr="00E206AF">
        <w:rPr>
          <w:rFonts w:ascii="Century" w:hAnsi="Century" w:cs="FrankRuehl" w:hint="cs"/>
          <w:spacing w:val="10"/>
          <w:sz w:val="22"/>
          <w:szCs w:val="28"/>
          <w:rtl/>
        </w:rPr>
        <w:t xml:space="preserve">; </w:t>
      </w:r>
      <w:r w:rsidRPr="00E206AF">
        <w:rPr>
          <w:rFonts w:ascii="Century" w:hAnsi="Century" w:cs="FrankRuehl"/>
          <w:spacing w:val="10"/>
          <w:sz w:val="22"/>
          <w:szCs w:val="28"/>
        </w:rPr>
        <w:t xml:space="preserve">Rivka Weill </w:t>
      </w:r>
      <w:r w:rsidRPr="00E206AF">
        <w:rPr>
          <w:rFonts w:ascii="Century" w:hAnsi="Century" w:cs="FrankRuehl"/>
          <w:i/>
          <w:iCs/>
          <w:spacing w:val="10"/>
          <w:sz w:val="22"/>
          <w:szCs w:val="28"/>
        </w:rPr>
        <w:t>The Strategic Common Law Court of Aharon Barak and its Aftermath: On Judicially-Led Constitutional Revolutions and Democratic Backsliding</w:t>
      </w:r>
      <w:r w:rsidRPr="00E206AF">
        <w:rPr>
          <w:rFonts w:ascii="Century" w:hAnsi="Century" w:cs="FrankRuehl"/>
          <w:spacing w:val="10"/>
          <w:sz w:val="22"/>
          <w:szCs w:val="28"/>
        </w:rPr>
        <w:t xml:space="preserve"> 14(2), 227, pp. 236-239 </w:t>
      </w:r>
      <w:r w:rsidRPr="00E206AF">
        <w:rPr>
          <w:rFonts w:ascii="Century" w:hAnsi="Century" w:cs="FrankRuehl"/>
          <w:smallCaps/>
          <w:spacing w:val="10"/>
          <w:sz w:val="22"/>
          <w:szCs w:val="28"/>
        </w:rPr>
        <w:t>lehr</w:t>
      </w:r>
      <w:r w:rsidRPr="00E206AF">
        <w:rPr>
          <w:rFonts w:ascii="Century" w:hAnsi="Century" w:cs="FrankRuehl"/>
          <w:spacing w:val="10"/>
          <w:sz w:val="22"/>
          <w:szCs w:val="28"/>
        </w:rPr>
        <w:t xml:space="preserve"> (2020)</w:t>
      </w:r>
      <w:r w:rsidRPr="00E206AF">
        <w:rPr>
          <w:rFonts w:ascii="Century" w:hAnsi="Century" w:cs="FrankRuehl" w:hint="cs"/>
          <w:spacing w:val="10"/>
          <w:sz w:val="22"/>
          <w:szCs w:val="28"/>
          <w:rtl/>
        </w:rPr>
        <w:t xml:space="preserve">. כן ראו: </w:t>
      </w:r>
      <w:r w:rsidRPr="00E206AF">
        <w:rPr>
          <w:rFonts w:ascii="Century" w:hAnsi="Century" w:cs="Miriam" w:hint="cs"/>
          <w:b/>
          <w:sz w:val="22"/>
          <w:rtl/>
        </w:rPr>
        <w:t>כהן</w:t>
      </w:r>
      <w:r w:rsidRPr="00E206AF">
        <w:rPr>
          <w:rFonts w:ascii="Century" w:hAnsi="Century" w:cs="FrankRuehl" w:hint="cs"/>
          <w:spacing w:val="10"/>
          <w:sz w:val="22"/>
          <w:szCs w:val="28"/>
          <w:rtl/>
        </w:rPr>
        <w:t>, בעמ' 795, 797, 799;</w:t>
      </w:r>
      <w:r w:rsidRPr="00E206AF">
        <w:rPr>
          <w:rFonts w:ascii="Century" w:hAnsi="Century" w:cs="Miriam" w:hint="cs"/>
          <w:b/>
          <w:sz w:val="22"/>
          <w:rtl/>
        </w:rPr>
        <w:t xml:space="preserve"> זמיר, הסמכות המינהלית</w:t>
      </w:r>
      <w:r w:rsidRPr="00E206AF">
        <w:rPr>
          <w:rFonts w:ascii="Century" w:hAnsi="Century" w:cs="FrankRuehl" w:hint="cs"/>
          <w:spacing w:val="10"/>
          <w:sz w:val="22"/>
          <w:szCs w:val="28"/>
          <w:rtl/>
        </w:rPr>
        <w:t xml:space="preserve">, בעמ' 3857, 3865-3864. לסקירת פסיקה באשר לשימוש בעילת הסבירות בתחומים שונים בעשורים האחרונים, ראו: </w:t>
      </w:r>
      <w:r w:rsidRPr="00E206AF">
        <w:rPr>
          <w:rFonts w:ascii="Century" w:hAnsi="Century" w:cs="Miriam" w:hint="cs"/>
          <w:b/>
          <w:sz w:val="22"/>
          <w:rtl/>
        </w:rPr>
        <w:t>ברק-ארז, משפט מינהלי</w:t>
      </w:r>
      <w:r w:rsidRPr="00E206AF">
        <w:rPr>
          <w:rFonts w:ascii="Century" w:hAnsi="Century" w:cs="FrankRuehl" w:hint="cs"/>
          <w:spacing w:val="10"/>
          <w:sz w:val="22"/>
          <w:szCs w:val="28"/>
          <w:rtl/>
        </w:rPr>
        <w:t xml:space="preserve">, בעמ' 762-737).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כך, למשל, תיאר השופט </w:t>
      </w:r>
      <w:r w:rsidRPr="00E206AF">
        <w:rPr>
          <w:rFonts w:ascii="Century" w:hAnsi="Century" w:cs="Miriam" w:hint="cs"/>
          <w:b/>
          <w:sz w:val="22"/>
          <w:rtl/>
        </w:rPr>
        <w:t xml:space="preserve">חשין </w:t>
      </w:r>
      <w:r w:rsidRPr="00E206AF">
        <w:rPr>
          <w:rFonts w:ascii="Century" w:hAnsi="Century" w:cs="FrankRuehl" w:hint="cs"/>
          <w:spacing w:val="10"/>
          <w:sz w:val="22"/>
          <w:szCs w:val="28"/>
          <w:rtl/>
        </w:rPr>
        <w:t>את התמורות שחלו במקומה ואופייה של עילת הסבירות בפסיקה:</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hint="cs"/>
          <w:spacing w:val="10"/>
          <w:sz w:val="22"/>
          <w:szCs w:val="28"/>
          <w:rtl/>
        </w:rPr>
        <w:t xml:space="preserve"> "</w:t>
      </w:r>
      <w:r w:rsidRPr="00E206AF">
        <w:rPr>
          <w:rFonts w:ascii="Arial TUR" w:hAnsi="Arial TUR" w:cs="FrankRuehl"/>
          <w:spacing w:val="10"/>
          <w:sz w:val="22"/>
          <w:szCs w:val="28"/>
          <w:rtl/>
        </w:rPr>
        <w:t>לימים, משבאה לאוויר העולם כעילה כוללת</w:t>
      </w:r>
      <w:r w:rsidRPr="00E206AF">
        <w:rPr>
          <w:rFonts w:ascii="Arial TUR" w:hAnsi="Arial TUR" w:cs="FrankRuehl"/>
          <w:spacing w:val="10"/>
          <w:position w:val="4"/>
          <w:sz w:val="18"/>
          <w:szCs w:val="28"/>
          <w:rtl/>
        </w:rPr>
        <w:t>-</w:t>
      </w:r>
      <w:r w:rsidRPr="00E206AF">
        <w:rPr>
          <w:rFonts w:ascii="Arial TUR" w:hAnsi="Arial TUR" w:cs="FrankRuehl"/>
          <w:spacing w:val="10"/>
          <w:sz w:val="22"/>
          <w:szCs w:val="28"/>
          <w:rtl/>
        </w:rPr>
        <w:t>כול, השתלטה עילת הסבירות – כמוה כעוולת הרשלנות בזמנה ובמקומה – על כל סביבותיה, ואבותיה הקדמונים באו לחסות בצלה. עילת הסבירות הפכה בתחום המשפט המינהלי – כמוה כעוולת הרשלנות בתחום דיני הנזיקין – ל</w:t>
      </w:r>
      <w:r w:rsidRPr="00E206AF">
        <w:rPr>
          <w:rFonts w:ascii="Arial TUR" w:hAnsi="Arial TUR" w:cs="FrankRuehl" w:hint="cs"/>
          <w:spacing w:val="10"/>
          <w:sz w:val="22"/>
          <w:szCs w:val="28"/>
          <w:rtl/>
        </w:rPr>
        <w:t>'</w:t>
      </w:r>
      <w:r w:rsidRPr="00E206AF">
        <w:rPr>
          <w:rFonts w:ascii="Arial TUR" w:hAnsi="Arial TUR" w:cs="FrankRuehl"/>
          <w:spacing w:val="10"/>
          <w:sz w:val="22"/>
          <w:szCs w:val="28"/>
          <w:rtl/>
        </w:rPr>
        <w:t>עילת מסגרת</w:t>
      </w:r>
      <w:r w:rsidRPr="00E206AF">
        <w:rPr>
          <w:rFonts w:ascii="Arial TUR" w:hAnsi="Arial TUR" w:cs="FrankRuehl" w:hint="cs"/>
          <w:spacing w:val="10"/>
          <w:sz w:val="22"/>
          <w:szCs w:val="28"/>
          <w:rtl/>
        </w:rPr>
        <w:t>'</w:t>
      </w:r>
      <w:r w:rsidRPr="00E206AF">
        <w:rPr>
          <w:rFonts w:ascii="Arial TUR" w:hAnsi="Arial TUR" w:cs="FrankRuehl"/>
          <w:spacing w:val="10"/>
          <w:sz w:val="22"/>
          <w:szCs w:val="28"/>
          <w:rtl/>
        </w:rPr>
        <w:t xml:space="preserve"> שתכניה יכולים שישתנו מעניין לעניין ומתקופה לתקופה, על</w:t>
      </w:r>
      <w:r w:rsidRPr="00E206AF">
        <w:rPr>
          <w:rFonts w:ascii="Arial TUR" w:hAnsi="Arial TUR" w:cs="FrankRuehl"/>
          <w:spacing w:val="10"/>
          <w:position w:val="4"/>
          <w:sz w:val="18"/>
          <w:szCs w:val="28"/>
          <w:rtl/>
        </w:rPr>
        <w:t>-</w:t>
      </w:r>
      <w:r w:rsidRPr="00E206AF">
        <w:rPr>
          <w:rFonts w:ascii="Arial TUR" w:hAnsi="Arial TUR" w:cs="FrankRuehl"/>
          <w:spacing w:val="10"/>
          <w:sz w:val="22"/>
          <w:szCs w:val="28"/>
          <w:rtl/>
        </w:rPr>
        <w:t>פי תנאי המקום והזמן</w:t>
      </w:r>
      <w:r w:rsidRPr="00E206AF">
        <w:rPr>
          <w:rFonts w:ascii="Arial TUR" w:hAnsi="Arial TUR" w:cs="FrankRuehl" w:hint="cs"/>
          <w:spacing w:val="10"/>
          <w:sz w:val="22"/>
          <w:szCs w:val="28"/>
          <w:rtl/>
        </w:rPr>
        <w:t>" (</w:t>
      </w:r>
      <w:r w:rsidRPr="00E206AF">
        <w:rPr>
          <w:rFonts w:ascii="Arial TUR" w:hAnsi="Arial TUR" w:cs="FrankRuehl"/>
          <w:spacing w:val="10"/>
          <w:sz w:val="22"/>
          <w:szCs w:val="28"/>
          <w:rtl/>
        </w:rPr>
        <w:t xml:space="preserve">בג"ץ </w:t>
      </w:r>
      <w:r w:rsidRPr="00E206AF">
        <w:rPr>
          <w:rFonts w:ascii="Arial TUR" w:hAnsi="Arial TUR" w:cs="FrankRuehl"/>
          <w:spacing w:val="10"/>
          <w:sz w:val="22"/>
          <w:szCs w:val="28"/>
          <w:rtl/>
        </w:rPr>
        <w:lastRenderedPageBreak/>
        <w:t>2355/98</w:t>
      </w:r>
      <w:r w:rsidRPr="00E206AF">
        <w:rPr>
          <w:rFonts w:ascii="Arial TUR" w:hAnsi="Arial TUR" w:cs="FrankRuehl"/>
          <w:color w:val="000000"/>
          <w:spacing w:val="10"/>
          <w:sz w:val="27"/>
          <w:szCs w:val="27"/>
          <w:rtl/>
        </w:rPr>
        <w:t xml:space="preserve"> </w:t>
      </w:r>
      <w:r w:rsidRPr="00E206AF">
        <w:rPr>
          <w:rFonts w:ascii="Century" w:hAnsi="Century" w:cs="Miriam"/>
          <w:b/>
          <w:sz w:val="22"/>
          <w:rtl/>
        </w:rPr>
        <w:t>סטמקה נ' שר הפנים</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 xml:space="preserve">פ"ד </w:t>
      </w:r>
      <w:r w:rsidRPr="00E206AF">
        <w:rPr>
          <w:rFonts w:ascii="Arial TUR" w:hAnsi="Arial TUR" w:cs="FrankRuehl"/>
          <w:spacing w:val="10"/>
          <w:sz w:val="22"/>
          <w:szCs w:val="28"/>
          <w:rtl/>
        </w:rPr>
        <w:t>נג(2) 728</w:t>
      </w:r>
      <w:r w:rsidRPr="00E206AF">
        <w:rPr>
          <w:rFonts w:ascii="Arial TUR" w:hAnsi="Arial TUR" w:cs="FrankRuehl" w:hint="cs"/>
          <w:spacing w:val="10"/>
          <w:sz w:val="22"/>
          <w:szCs w:val="28"/>
          <w:rtl/>
        </w:rPr>
        <w:t xml:space="preserve">, </w:t>
      </w:r>
      <w:r>
        <w:rPr>
          <w:rFonts w:ascii="Arial TUR" w:hAnsi="Arial TUR" w:cs="FrankRuehl" w:hint="cs"/>
          <w:spacing w:val="10"/>
          <w:sz w:val="22"/>
          <w:szCs w:val="28"/>
          <w:rtl/>
        </w:rPr>
        <w:t>777</w:t>
      </w:r>
      <w:r w:rsidRPr="00E206AF">
        <w:rPr>
          <w:rFonts w:ascii="Arial TUR" w:hAnsi="Arial TUR" w:cs="FrankRuehl" w:hint="cs"/>
          <w:spacing w:val="10"/>
          <w:sz w:val="22"/>
          <w:szCs w:val="28"/>
          <w:rtl/>
        </w:rPr>
        <w:t xml:space="preserve"> (1999))</w:t>
      </w:r>
      <w:r w:rsidRPr="00E206AF">
        <w:rPr>
          <w:rFonts w:ascii="Arial TUR" w:hAnsi="Arial TUR" w:cs="FrankRuehl"/>
          <w:spacing w:val="10"/>
          <w:sz w:val="22"/>
          <w:szCs w:val="28"/>
          <w:rtl/>
        </w:rPr>
        <w:t>.</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Miriam"/>
          <w:b/>
          <w:sz w:val="22"/>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hint="cs"/>
          <w:spacing w:val="10"/>
          <w:sz w:val="22"/>
          <w:szCs w:val="28"/>
          <w:rtl/>
        </w:rPr>
        <w:t>15.</w:t>
      </w:r>
      <w:r w:rsidRPr="00E206AF">
        <w:rPr>
          <w:rFonts w:ascii="Arial TUR" w:hAnsi="Arial TUR" w:cs="FrankRuehl" w:hint="cs"/>
          <w:spacing w:val="10"/>
          <w:sz w:val="22"/>
          <w:szCs w:val="28"/>
          <w:rtl/>
        </w:rPr>
        <w:tab/>
        <w:t>אף במבט השוואתי, ניכרת ייחודיותה של עילת הסבירות</w:t>
      </w:r>
      <w:r w:rsidRPr="00E206AF">
        <w:rPr>
          <w:rFonts w:ascii="Century" w:hAnsi="Century" w:cs="Miriam" w:hint="cs"/>
          <w:b/>
          <w:sz w:val="22"/>
          <w:rtl/>
        </w:rPr>
        <w:t xml:space="preserve"> האיזונית</w:t>
      </w:r>
      <w:r w:rsidRPr="00E206AF">
        <w:rPr>
          <w:rFonts w:ascii="Arial TUR" w:hAnsi="Arial TUR" w:cs="FrankRuehl" w:hint="cs"/>
          <w:spacing w:val="10"/>
          <w:sz w:val="22"/>
          <w:szCs w:val="28"/>
          <w:rtl/>
        </w:rPr>
        <w:t xml:space="preserve"> הישראלית ונראה כי עילה מקבילה, זהה במהותה, אינה נפוצה בשיטות משפט אחרות, ובפרט במשפט הקונטיננטלי (ראו: </w:t>
      </w:r>
      <w:r w:rsidRPr="00E206AF">
        <w:rPr>
          <w:rFonts w:ascii="Arial TUR" w:hAnsi="Arial TUR" w:cs="FrankRuehl"/>
          <w:spacing w:val="10"/>
          <w:sz w:val="22"/>
          <w:szCs w:val="28"/>
        </w:rPr>
        <w:t>(</w:t>
      </w:r>
      <w:r w:rsidRPr="00E206AF">
        <w:rPr>
          <w:rFonts w:ascii="Century" w:hAnsi="Century" w:cs="FrankRuehl"/>
          <w:spacing w:val="10"/>
          <w:sz w:val="22"/>
          <w:szCs w:val="28"/>
        </w:rPr>
        <w:t xml:space="preserve">Michal Bobek, </w:t>
      </w:r>
      <w:r w:rsidRPr="00E206AF">
        <w:rPr>
          <w:rFonts w:ascii="Century" w:hAnsi="Century" w:cs="FrankRuehl"/>
          <w:i/>
          <w:iCs/>
          <w:spacing w:val="10"/>
          <w:sz w:val="22"/>
          <w:szCs w:val="28"/>
        </w:rPr>
        <w:t>Reasonableness In Administrative Law: A Comparative Reflection On Functional Equivalence</w:t>
      </w:r>
      <w:r w:rsidRPr="00E206AF">
        <w:rPr>
          <w:rFonts w:ascii="Century" w:hAnsi="Century" w:cs="FrankRuehl"/>
          <w:spacing w:val="10"/>
          <w:sz w:val="22"/>
          <w:szCs w:val="28"/>
        </w:rPr>
        <w:t>, In </w:t>
      </w:r>
      <w:r w:rsidRPr="00E206AF">
        <w:rPr>
          <w:rFonts w:ascii="Century" w:hAnsi="Century" w:cs="FrankRuehl"/>
          <w:smallCaps/>
          <w:spacing w:val="10"/>
          <w:sz w:val="22"/>
          <w:szCs w:val="28"/>
        </w:rPr>
        <w:t>Reasonableness and Law</w:t>
      </w:r>
      <w:r w:rsidRPr="00E206AF">
        <w:rPr>
          <w:rFonts w:ascii="Century" w:hAnsi="Century" w:cs="FrankRuehl"/>
          <w:spacing w:val="10"/>
          <w:sz w:val="22"/>
          <w:szCs w:val="28"/>
        </w:rPr>
        <w:t xml:space="preserve">, 311, pp. 316-324 (Giorgio Bongiovanni </w:t>
      </w:r>
      <w:r w:rsidRPr="00E206AF">
        <w:rPr>
          <w:rFonts w:ascii="Century" w:hAnsi="Century" w:cs="Miriam"/>
          <w:bCs/>
          <w:sz w:val="22"/>
        </w:rPr>
        <w:t>et al. eds.,</w:t>
      </w:r>
      <w:r w:rsidRPr="00E206AF">
        <w:rPr>
          <w:rFonts w:ascii="Century" w:hAnsi="Century" w:cs="FrankRuehl"/>
          <w:spacing w:val="10"/>
          <w:sz w:val="22"/>
          <w:szCs w:val="28"/>
        </w:rPr>
        <w:t xml:space="preserve"> 2009)</w:t>
      </w:r>
      <w:r w:rsidRPr="00E206AF">
        <w:rPr>
          <w:rFonts w:ascii="Century" w:hAnsi="Century" w:cs="FrankRuehl" w:hint="cs"/>
          <w:spacing w:val="10"/>
          <w:sz w:val="22"/>
          <w:szCs w:val="28"/>
          <w:rtl/>
        </w:rPr>
        <w:t xml:space="preserve">; יואב דותן "הצעת חוק סדרי המנהל: קודיפיקציה, פוליטיקה ומנהל" </w:t>
      </w:r>
      <w:r w:rsidRPr="00E206AF">
        <w:rPr>
          <w:rFonts w:ascii="Century" w:hAnsi="Century" w:cs="FrankRuehl"/>
          <w:smallCaps/>
          <w:spacing w:val="10"/>
          <w:sz w:val="22"/>
          <w:szCs w:val="28"/>
        </w:rPr>
        <w:t>ICON-S-IL-Blog</w:t>
      </w:r>
      <w:r w:rsidRPr="00E206AF">
        <w:rPr>
          <w:rFonts w:ascii="Century" w:hAnsi="Century" w:cs="FrankRuehl"/>
          <w:smallCaps/>
          <w:spacing w:val="10"/>
          <w:sz w:val="22"/>
          <w:szCs w:val="28"/>
          <w:rtl/>
        </w:rPr>
        <w:t xml:space="preserve"> </w:t>
      </w:r>
      <w:r w:rsidRPr="00E206AF">
        <w:rPr>
          <w:rFonts w:ascii="Century" w:hAnsi="Century" w:cs="FrankRuehl" w:hint="cs"/>
          <w:spacing w:val="10"/>
          <w:sz w:val="22"/>
          <w:szCs w:val="28"/>
          <w:rtl/>
        </w:rPr>
        <w:t>(22.6.2023)</w:t>
      </w:r>
      <w:r w:rsidRPr="00E206AF">
        <w:rPr>
          <w:rFonts w:ascii="Arial TUR" w:hAnsi="Arial TUR" w:cs="FrankRuehl" w:hint="cs"/>
          <w:spacing w:val="10"/>
          <w:sz w:val="22"/>
          <w:szCs w:val="28"/>
          <w:rtl/>
        </w:rPr>
        <w:t>).</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spacing w:val="10"/>
          <w:sz w:val="22"/>
          <w:szCs w:val="28"/>
          <w:rtl/>
        </w:rPr>
        <w:t>1</w:t>
      </w:r>
      <w:r w:rsidRPr="00E206AF">
        <w:rPr>
          <w:rFonts w:ascii="Arial TUR" w:hAnsi="Arial TUR" w:cs="FrankRuehl" w:hint="cs"/>
          <w:spacing w:val="10"/>
          <w:sz w:val="22"/>
          <w:szCs w:val="28"/>
          <w:rtl/>
        </w:rPr>
        <w:t>6</w:t>
      </w:r>
      <w:r w:rsidRPr="00E206AF">
        <w:rPr>
          <w:rFonts w:ascii="Arial TUR" w:hAnsi="Arial TUR" w:cs="FrankRuehl"/>
          <w:spacing w:val="10"/>
          <w:sz w:val="22"/>
          <w:szCs w:val="28"/>
          <w:rtl/>
        </w:rPr>
        <w:t>.</w:t>
      </w:r>
      <w:r w:rsidRPr="00E206AF">
        <w:rPr>
          <w:rFonts w:ascii="Arial TUR" w:hAnsi="Arial TUR" w:cs="FrankRuehl"/>
          <w:spacing w:val="10"/>
          <w:sz w:val="22"/>
          <w:szCs w:val="28"/>
          <w:rtl/>
        </w:rPr>
        <w:tab/>
      </w:r>
      <w:r w:rsidRPr="00E206AF">
        <w:rPr>
          <w:rFonts w:ascii="Arial TUR" w:hAnsi="Arial TUR" w:cs="FrankRuehl" w:hint="cs"/>
          <w:spacing w:val="10"/>
          <w:sz w:val="22"/>
          <w:szCs w:val="28"/>
          <w:rtl/>
        </w:rPr>
        <w:t xml:space="preserve">בהקשר זה מעניין לעמוד על התמורות שחלו ביחס לעילת הסבירות </w:t>
      </w:r>
      <w:r w:rsidRPr="00E206AF">
        <w:rPr>
          <w:rFonts w:ascii="Century" w:hAnsi="Century" w:cs="FrankRuehl" w:hint="eastAsia"/>
          <w:spacing w:val="10"/>
          <w:sz w:val="22"/>
          <w:szCs w:val="28"/>
          <w:rtl/>
        </w:rPr>
        <w:t>במשפט</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w:t>
      </w:r>
      <w:r w:rsidRPr="00E206AF">
        <w:rPr>
          <w:rFonts w:ascii="Century" w:hAnsi="Century" w:cs="FrankRuehl" w:hint="cs"/>
          <w:spacing w:val="10"/>
          <w:sz w:val="22"/>
          <w:szCs w:val="28"/>
          <w:rtl/>
        </w:rPr>
        <w:t>אנגל</w:t>
      </w:r>
      <w:r w:rsidRPr="00E206AF">
        <w:rPr>
          <w:rFonts w:ascii="Century" w:hAnsi="Century" w:cs="FrankRuehl" w:hint="eastAsia"/>
          <w:spacing w:val="10"/>
          <w:sz w:val="22"/>
          <w:szCs w:val="28"/>
          <w:rtl/>
        </w:rPr>
        <w:t>י</w:t>
      </w:r>
      <w:r w:rsidRPr="00E206AF">
        <w:rPr>
          <w:rFonts w:ascii="Arial TUR" w:hAnsi="Arial TUR" w:cs="FrankRuehl" w:hint="cs"/>
          <w:spacing w:val="10"/>
          <w:sz w:val="22"/>
          <w:szCs w:val="28"/>
          <w:rtl/>
        </w:rPr>
        <w:t xml:space="preserve">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אשר עילת הסבירות הישראלית כאמור שאובה ממנו</w:t>
      </w:r>
      <w:r w:rsidRPr="00E206AF">
        <w:rPr>
          <w:rFonts w:ascii="Century" w:hAnsi="Century" w:cs="FrankRuehl" w:hint="cs"/>
          <w:spacing w:val="10"/>
          <w:sz w:val="22"/>
          <w:szCs w:val="28"/>
          <w:rtl/>
        </w:rPr>
        <w:t>.</w:t>
      </w:r>
      <w:r w:rsidRPr="00E206AF">
        <w:rPr>
          <w:rFonts w:ascii="Arial TUR" w:hAnsi="Arial TUR" w:cs="FrankRuehl" w:hint="cs"/>
          <w:spacing w:val="10"/>
          <w:sz w:val="22"/>
          <w:szCs w:val="28"/>
          <w:rtl/>
        </w:rPr>
        <w:t xml:space="preserve"> עד לסוף שנות ה-80, המבחן הנהוג באנגליה להחלת עילת הסבירות היה "מבחן </w:t>
      </w:r>
      <w:r w:rsidRPr="00E206AF">
        <w:rPr>
          <w:rFonts w:ascii="Century" w:hAnsi="Century" w:cs="FrankRuehl"/>
          <w:spacing w:val="10"/>
          <w:sz w:val="22"/>
          <w:szCs w:val="28"/>
        </w:rPr>
        <w:t>"Wednesbury</w:t>
      </w:r>
      <w:r w:rsidRPr="00E206AF">
        <w:rPr>
          <w:rFonts w:ascii="Century" w:hAnsi="Century" w:cs="FrankRuehl" w:hint="cs"/>
          <w:spacing w:val="10"/>
          <w:sz w:val="22"/>
          <w:szCs w:val="28"/>
          <w:rtl/>
        </w:rPr>
        <w:t xml:space="preserve">, סטנדרט צר-היקף </w:t>
      </w:r>
      <w:r w:rsidRPr="00E206AF">
        <w:rPr>
          <w:rFonts w:ascii="Century" w:hAnsi="Century" w:cs="FrankRuehl" w:hint="eastAsia"/>
          <w:spacing w:val="10"/>
          <w:sz w:val="22"/>
          <w:szCs w:val="28"/>
          <w:rtl/>
        </w:rPr>
        <w:t>שלפיו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בית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המשפט</w:t>
      </w:r>
      <w:r w:rsidRPr="00E206AF">
        <w:rPr>
          <w:rFonts w:ascii="Century" w:hAnsi="Century" w:cs="FrankRuehl" w:hint="cs"/>
          <w:spacing w:val="10"/>
          <w:sz w:val="22"/>
          <w:szCs w:val="28"/>
          <w:rtl/>
        </w:rPr>
        <w:t xml:space="preserve"> יפסול מכוח עילת הסבירות החלטה אשר </w:t>
      </w:r>
      <w:r w:rsidRPr="00E206AF">
        <w:rPr>
          <w:rFonts w:ascii="Century" w:hAnsi="Century" w:cs="FrankRuehl"/>
          <w:spacing w:val="10"/>
          <w:sz w:val="22"/>
          <w:szCs w:val="28"/>
          <w:rtl/>
        </w:rPr>
        <w:t>"</w:t>
      </w:r>
      <w:r w:rsidRPr="00E206AF">
        <w:rPr>
          <w:rFonts w:ascii="Century" w:hAnsi="Century" w:cs="FrankRuehl"/>
          <w:spacing w:val="10"/>
          <w:sz w:val="22"/>
          <w:szCs w:val="28"/>
        </w:rPr>
        <w:t xml:space="preserve">no </w:t>
      </w:r>
      <w:r w:rsidRPr="00E206AF">
        <w:rPr>
          <w:rFonts w:ascii="Century" w:hAnsi="Century" w:cs="FrankRuehl"/>
          <w:b/>
          <w:bCs/>
          <w:spacing w:val="10"/>
          <w:sz w:val="22"/>
          <w:szCs w:val="28"/>
          <w:u w:val="single"/>
        </w:rPr>
        <w:t>reasonable</w:t>
      </w:r>
      <w:r w:rsidRPr="00E206AF">
        <w:rPr>
          <w:rFonts w:ascii="Century" w:hAnsi="Century" w:cs="FrankRuehl"/>
          <w:spacing w:val="10"/>
          <w:sz w:val="22"/>
          <w:szCs w:val="28"/>
        </w:rPr>
        <w:t xml:space="preserve"> authority could ever have come to </w:t>
      </w:r>
      <w:r w:rsidRPr="00E206AF">
        <w:rPr>
          <w:rFonts w:ascii="Century" w:hAnsi="Century" w:cs="FrankRuehl"/>
          <w:spacing w:val="10"/>
          <w:sz w:val="22"/>
          <w:szCs w:val="28"/>
          <w:rtl/>
        </w:rPr>
        <w:t>" (</w:t>
      </w:r>
      <w:r w:rsidRPr="00E206AF">
        <w:rPr>
          <w:rFonts w:ascii="Century" w:hAnsi="Century" w:cs="FrankRuehl"/>
          <w:spacing w:val="10"/>
          <w:sz w:val="22"/>
          <w:szCs w:val="28"/>
        </w:rPr>
        <w:t>Associated Provincial Picture House v. Wednesbury, [1948] 1 KB 223, 229 (C.A.)</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החל משנות ה-90 באנגליה, הוגמש מבחן הסבירות הקלאסי ביחס לפגיעה בזכויות אדם ועקרונות חוקתיים; וכן החלה לשמש עילת הסבירות גם ככלי לביקורת מהותית על</w:t>
      </w:r>
      <w:r w:rsidRPr="00E206AF">
        <w:rPr>
          <w:rFonts w:ascii="Century" w:hAnsi="Century" w:cs="Miriam" w:hint="cs"/>
          <w:b/>
          <w:sz w:val="22"/>
          <w:rtl/>
        </w:rPr>
        <w:t xml:space="preserve"> ההליך </w:t>
      </w:r>
      <w:r w:rsidRPr="00E206AF">
        <w:rPr>
          <w:rFonts w:ascii="Century" w:hAnsi="Century" w:cs="FrankRuehl" w:hint="cs"/>
          <w:spacing w:val="10"/>
          <w:sz w:val="22"/>
          <w:szCs w:val="28"/>
          <w:rtl/>
        </w:rPr>
        <w:t xml:space="preserve">המינהלי (ראו: </w:t>
      </w:r>
      <w:r w:rsidRPr="00E206AF">
        <w:rPr>
          <w:rFonts w:ascii="Century" w:hAnsi="Century" w:cs="FrankRuehl"/>
          <w:smallCaps/>
          <w:spacing w:val="10"/>
          <w:sz w:val="22"/>
          <w:szCs w:val="28"/>
        </w:rPr>
        <w:t>De Smith's Judicial Review</w:t>
      </w:r>
      <w:r w:rsidRPr="00E206AF">
        <w:rPr>
          <w:rFonts w:ascii="Century" w:hAnsi="Century" w:cs="FrankRuehl"/>
          <w:spacing w:val="10"/>
          <w:sz w:val="22"/>
          <w:szCs w:val="28"/>
        </w:rPr>
        <w:t>, pp.</w:t>
      </w:r>
      <w:r w:rsidRPr="00E206AF">
        <w:rPr>
          <w:rFonts w:ascii="Century" w:hAnsi="Century" w:cs="FrankRuehl"/>
          <w:smallCaps/>
          <w:spacing w:val="10"/>
          <w:sz w:val="22"/>
          <w:szCs w:val="28"/>
        </w:rPr>
        <w:t xml:space="preserve"> </w:t>
      </w:r>
      <w:r w:rsidRPr="00E206AF">
        <w:rPr>
          <w:rFonts w:ascii="Century" w:hAnsi="Century" w:cs="Miriam"/>
          <w:bCs/>
          <w:sz w:val="22"/>
        </w:rPr>
        <w:t>599-603 (Harry Woolf et al. eds., 7</w:t>
      </w:r>
      <w:r w:rsidRPr="00E206AF">
        <w:rPr>
          <w:rFonts w:ascii="Century" w:hAnsi="Century" w:cs="Miriam"/>
          <w:bCs/>
          <w:sz w:val="22"/>
          <w:vertAlign w:val="superscript"/>
        </w:rPr>
        <w:t>th</w:t>
      </w:r>
      <w:r w:rsidRPr="00E206AF">
        <w:rPr>
          <w:rFonts w:ascii="Century" w:hAnsi="Century" w:cs="Miriam"/>
          <w:bCs/>
          <w:sz w:val="22"/>
        </w:rPr>
        <w:t xml:space="preserve"> ed. 2013)</w:t>
      </w:r>
      <w:r w:rsidRPr="00E206AF">
        <w:rPr>
          <w:rFonts w:ascii="Century" w:hAnsi="Century" w:cs="FrankRuehl" w:hint="cs"/>
          <w:spacing w:val="10"/>
          <w:sz w:val="22"/>
          <w:szCs w:val="28"/>
          <w:rtl/>
        </w:rPr>
        <w:t>; להרחבה בעניין ה</w:t>
      </w:r>
      <w:r>
        <w:rPr>
          <w:rFonts w:ascii="Century" w:hAnsi="Century" w:cs="FrankRuehl" w:hint="cs"/>
          <w:spacing w:val="10"/>
          <w:sz w:val="22"/>
          <w:szCs w:val="28"/>
          <w:rtl/>
        </w:rPr>
        <w:t>ה</w:t>
      </w:r>
      <w:r w:rsidRPr="00E206AF">
        <w:rPr>
          <w:rFonts w:ascii="Century" w:hAnsi="Century" w:cs="FrankRuehl" w:hint="cs"/>
          <w:spacing w:val="10"/>
          <w:sz w:val="22"/>
          <w:szCs w:val="28"/>
          <w:rtl/>
        </w:rPr>
        <w:t xml:space="preserve">בחנה בין סבירות מהותית לבין סבירות הליכית ראו: </w:t>
      </w:r>
      <w:r w:rsidRPr="00E206AF">
        <w:rPr>
          <w:rFonts w:ascii="Century" w:hAnsi="Century" w:cs="FrankRuehl"/>
          <w:spacing w:val="10"/>
          <w:sz w:val="22"/>
          <w:szCs w:val="28"/>
        </w:rPr>
        <w:t>R (on the application of Medway Council and others) v. Secretary of State for Transport, [2002] EWHC 2516 (Admin)</w:t>
      </w:r>
      <w:r w:rsidRPr="00E206AF">
        <w:rPr>
          <w:rFonts w:ascii="Century" w:hAnsi="Century" w:cs="FrankRuehl" w:hint="cs"/>
          <w:spacing w:val="10"/>
          <w:sz w:val="22"/>
          <w:szCs w:val="28"/>
          <w:rtl/>
        </w:rPr>
        <w:t xml:space="preserve">. עוד ראו: </w:t>
      </w:r>
      <w:r w:rsidRPr="00E206AF">
        <w:rPr>
          <w:rFonts w:ascii="Century" w:hAnsi="Century" w:cs="Miriam" w:hint="cs"/>
          <w:b/>
          <w:sz w:val="22"/>
          <w:rtl/>
        </w:rPr>
        <w:t>כהן</w:t>
      </w:r>
      <w:r w:rsidRPr="00E206AF">
        <w:rPr>
          <w:rFonts w:ascii="Century" w:hAnsi="Century" w:cs="FrankRuehl" w:hint="cs"/>
          <w:spacing w:val="10"/>
          <w:sz w:val="22"/>
          <w:szCs w:val="28"/>
          <w:rtl/>
        </w:rPr>
        <w:t>, בעמ' 784-783, 786); מגמות דומות קיימות אף בדין האוסטרלי, ראו:</w:t>
      </w:r>
      <w:hyperlink r:id="rId9" w:history="1">
        <w:r w:rsidRPr="00E206AF">
          <w:rPr>
            <w:rFonts w:ascii="Century" w:hAnsi="Century" w:cs="FrankRuehl"/>
            <w:spacing w:val="10"/>
            <w:sz w:val="22"/>
            <w:szCs w:val="28"/>
          </w:rPr>
          <w:t>Minister for Immigration and Citizenship v Li and Another (2013) 139 ALD 181</w:t>
        </w:r>
      </w:hyperlink>
      <w:r w:rsidRPr="00E206AF">
        <w:rPr>
          <w:rFonts w:ascii="Century" w:hAnsi="Century" w:cs="FrankRuehl" w:hint="cs"/>
          <w:spacing w:val="10"/>
          <w:sz w:val="22"/>
          <w:szCs w:val="28"/>
          <w:rtl/>
        </w:rPr>
        <w:t xml:space="preserve">; </w:t>
      </w:r>
      <w:r w:rsidRPr="00E206AF">
        <w:rPr>
          <w:rFonts w:ascii="Century" w:hAnsi="Century" w:cs="FrankRuehl"/>
          <w:spacing w:val="10"/>
          <w:sz w:val="22"/>
          <w:szCs w:val="28"/>
        </w:rPr>
        <w:t xml:space="preserve">Swati Jhaveri, </w:t>
      </w:r>
      <w:r w:rsidRPr="00E206AF">
        <w:rPr>
          <w:rFonts w:ascii="Century" w:hAnsi="Century" w:cs="FrankRuehl"/>
          <w:i/>
          <w:iCs/>
          <w:spacing w:val="10"/>
          <w:sz w:val="22"/>
          <w:szCs w:val="28"/>
        </w:rPr>
        <w:t>The survival of reasonableness review: Confirming the boundaries</w:t>
      </w:r>
      <w:r w:rsidRPr="00E206AF">
        <w:rPr>
          <w:rFonts w:ascii="Century" w:hAnsi="Century" w:cs="FrankRuehl"/>
          <w:spacing w:val="10"/>
          <w:sz w:val="22"/>
          <w:szCs w:val="28"/>
        </w:rPr>
        <w:t xml:space="preserve">, 46 </w:t>
      </w:r>
      <w:r w:rsidRPr="00E206AF">
        <w:rPr>
          <w:rFonts w:ascii="Century" w:hAnsi="Century" w:cs="FrankRuehl"/>
          <w:smallCaps/>
          <w:spacing w:val="10"/>
          <w:sz w:val="22"/>
          <w:szCs w:val="28"/>
        </w:rPr>
        <w:t>Fed. L. Rev.</w:t>
      </w:r>
      <w:r w:rsidRPr="00E206AF">
        <w:rPr>
          <w:rFonts w:ascii="Century" w:hAnsi="Century" w:cs="FrankRuehl"/>
          <w:spacing w:val="10"/>
          <w:sz w:val="22"/>
          <w:szCs w:val="28"/>
        </w:rPr>
        <w:t xml:space="preserve"> 137, pp. 150-155 (2018)</w:t>
      </w: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Arial TUR" w:hAnsi="Arial TUR" w:cs="FrankRuehl" w:hint="eastAsia"/>
          <w:spacing w:val="10"/>
          <w:sz w:val="22"/>
          <w:szCs w:val="28"/>
          <w:rtl/>
        </w:rPr>
        <w:t>גם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בקנדה</w:t>
      </w:r>
      <w:r w:rsidRPr="00E206AF">
        <w:rPr>
          <w:rFonts w:ascii="Arial TUR" w:hAnsi="Arial TUR" w:cs="FrankRuehl"/>
          <w:spacing w:val="10"/>
          <w:sz w:val="22"/>
          <w:szCs w:val="28"/>
          <w:rtl/>
        </w:rPr>
        <w:t xml:space="preserve"> </w:t>
      </w:r>
      <w:r w:rsidRPr="00E206AF">
        <w:rPr>
          <w:rFonts w:ascii="Century" w:hAnsi="Century" w:cs="FrankRuehl" w:hint="eastAsia"/>
          <w:spacing w:val="10"/>
          <w:sz w:val="22"/>
          <w:szCs w:val="28"/>
          <w:rtl/>
        </w:rPr>
        <w:t>עוגנה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בשנות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w:t>
      </w:r>
      <w:r w:rsidRPr="00E206AF">
        <w:rPr>
          <w:rFonts w:ascii="Century" w:hAnsi="Century" w:cs="FrankRuehl"/>
          <w:spacing w:val="10"/>
          <w:sz w:val="22"/>
          <w:szCs w:val="28"/>
          <w:rtl/>
        </w:rPr>
        <w:t xml:space="preserve">-50 </w:t>
      </w:r>
      <w:r w:rsidRPr="00E206AF">
        <w:rPr>
          <w:rFonts w:ascii="Century" w:hAnsi="Century" w:cs="FrankRuehl" w:hint="eastAsia"/>
          <w:spacing w:val="10"/>
          <w:sz w:val="22"/>
          <w:szCs w:val="28"/>
          <w:rtl/>
        </w:rPr>
        <w:t>עילת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הסבירות</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המחילה מבחן דומה ל"מבחן </w:t>
      </w:r>
      <w:r w:rsidRPr="00E206AF">
        <w:rPr>
          <w:rFonts w:ascii="Century" w:hAnsi="Century" w:cs="FrankRuehl"/>
          <w:spacing w:val="10"/>
          <w:sz w:val="22"/>
          <w:szCs w:val="28"/>
        </w:rPr>
        <w:t>Wednesbury</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מאז</w:t>
      </w:r>
      <w:r w:rsidRPr="00E206AF">
        <w:rPr>
          <w:rFonts w:ascii="Century" w:hAnsi="Century" w:cs="FrankRuehl" w:hint="cs"/>
          <w:spacing w:val="10"/>
          <w:sz w:val="22"/>
          <w:szCs w:val="28"/>
          <w:rtl/>
        </w:rPr>
        <w:t xml:space="preserve"> התפתחה העילה, במובן זה שפסילת החלטות שלטוניות יכולה להיעשות גם מן הטעם שאלו אינן הגיוניות (</w:t>
      </w:r>
      <w:r w:rsidRPr="00E206AF">
        <w:rPr>
          <w:rFonts w:ascii="Century" w:hAnsi="Century" w:cs="FrankRuehl"/>
          <w:b/>
          <w:bCs/>
          <w:spacing w:val="10"/>
          <w:sz w:val="22"/>
          <w:szCs w:val="28"/>
          <w:u w:val="single"/>
        </w:rPr>
        <w:t>illogical</w:t>
      </w:r>
      <w:r w:rsidRPr="00E206AF">
        <w:rPr>
          <w:rFonts w:ascii="Century" w:hAnsi="Century" w:cs="FrankRuehl" w:hint="cs"/>
          <w:spacing w:val="10"/>
          <w:sz w:val="22"/>
          <w:szCs w:val="28"/>
          <w:rtl/>
        </w:rPr>
        <w:t>) או שההנמקה מאחוריהן אינה רציונלית (</w:t>
      </w:r>
      <w:r w:rsidRPr="00E206AF">
        <w:rPr>
          <w:rFonts w:ascii="Century" w:hAnsi="Century" w:cs="FrankRuehl"/>
          <w:b/>
          <w:bCs/>
          <w:spacing w:val="10"/>
          <w:sz w:val="22"/>
          <w:szCs w:val="28"/>
          <w:u w:val="single"/>
        </w:rPr>
        <w:t>irrational</w:t>
      </w:r>
      <w:r w:rsidRPr="00E206AF">
        <w:rPr>
          <w:rFonts w:ascii="Century" w:hAnsi="Century" w:cs="FrankRuehl" w:hint="cs"/>
          <w:spacing w:val="10"/>
          <w:sz w:val="22"/>
          <w:szCs w:val="28"/>
          <w:rtl/>
        </w:rPr>
        <w:t xml:space="preserve">) </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ראו</w:t>
      </w:r>
      <w:r w:rsidRPr="00E206AF">
        <w:rPr>
          <w:rFonts w:ascii="Century" w:hAnsi="Century" w:cs="FrankRuehl"/>
          <w:spacing w:val="10"/>
          <w:sz w:val="22"/>
          <w:szCs w:val="28"/>
          <w:rtl/>
        </w:rPr>
        <w:t>:</w:t>
      </w:r>
      <w:r w:rsidRPr="00E206AF">
        <w:rPr>
          <w:rFonts w:ascii="Century" w:hAnsi="Century" w:cs="FrankRuehl"/>
          <w:spacing w:val="10"/>
          <w:sz w:val="22"/>
          <w:szCs w:val="28"/>
        </w:rPr>
        <w:t>Canada Minister of Citizenship and Immigration v. Vavilov, 2019 SCC 65</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וההפניות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דומה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אף</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לאחר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ההתרחבות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האמורה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לא</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חל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למעשה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שינוי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בהיקף</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השימוש</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בעילה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בפסיקה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ראו</w:t>
      </w:r>
      <w:r w:rsidRPr="00E206AF">
        <w:rPr>
          <w:rFonts w:ascii="Century" w:hAnsi="Century" w:cs="FrankRuehl"/>
          <w:spacing w:val="10"/>
          <w:sz w:val="22"/>
          <w:szCs w:val="28"/>
          <w:rtl/>
        </w:rPr>
        <w:t xml:space="preserve">: </w:t>
      </w:r>
      <w:r w:rsidRPr="00E206AF">
        <w:rPr>
          <w:rFonts w:ascii="Century" w:hAnsi="Century" w:cs="Miriam"/>
          <w:bCs/>
          <w:sz w:val="22"/>
        </w:rPr>
        <w:t xml:space="preserve">Andrew Green, </w:t>
      </w:r>
      <w:r w:rsidRPr="00E206AF">
        <w:rPr>
          <w:rFonts w:ascii="Century" w:hAnsi="Century" w:cs="Miriam"/>
          <w:bCs/>
          <w:i/>
          <w:iCs/>
          <w:sz w:val="22"/>
        </w:rPr>
        <w:t xml:space="preserve">How </w:t>
      </w:r>
      <w:r w:rsidRPr="00E206AF">
        <w:rPr>
          <w:rFonts w:ascii="Century" w:hAnsi="Century" w:cs="Miriam"/>
          <w:bCs/>
          <w:i/>
          <w:iCs/>
          <w:sz w:val="22"/>
        </w:rPr>
        <w:lastRenderedPageBreak/>
        <w:t>Important are the groundbreaking Cases in Administrative Law?</w:t>
      </w:r>
      <w:r w:rsidRPr="00E206AF">
        <w:rPr>
          <w:rFonts w:ascii="Century" w:hAnsi="Century" w:cs="Miriam"/>
          <w:bCs/>
          <w:sz w:val="22"/>
        </w:rPr>
        <w:t>, Uni. Tor. L. J. (2022, forthcoming)</w:t>
      </w:r>
      <w:r w:rsidRPr="00E206AF">
        <w:rPr>
          <w:rFonts w:ascii="Century" w:hAnsi="Century" w:cs="FrankRuehl"/>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Century" w:hAnsi="Century" w:cs="Miriam" w:hint="cs"/>
          <w:b/>
          <w:sz w:val="22"/>
          <w:rtl/>
        </w:rPr>
        <w:t xml:space="preserve">עילת הסבירות האיזונית </w:t>
      </w:r>
      <w:r w:rsidRPr="00E206AF">
        <w:rPr>
          <w:rFonts w:ascii="Century" w:hAnsi="Century" w:cs="Miriam"/>
          <w:b/>
          <w:sz w:val="22"/>
          <w:rtl/>
        </w:rPr>
        <w:t>–</w:t>
      </w:r>
      <w:r w:rsidRPr="00E206AF">
        <w:rPr>
          <w:rFonts w:ascii="Century" w:hAnsi="Century" w:cs="Miriam" w:hint="cs"/>
          <w:b/>
          <w:sz w:val="22"/>
          <w:rtl/>
        </w:rPr>
        <w:t xml:space="preserve"> שיג ושיח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hint="cs"/>
          <w:spacing w:val="10"/>
          <w:sz w:val="22"/>
          <w:szCs w:val="28"/>
          <w:rtl/>
        </w:rPr>
        <w:t>17.</w:t>
      </w:r>
      <w:r w:rsidRPr="00E206AF">
        <w:rPr>
          <w:rFonts w:ascii="Arial TUR" w:hAnsi="Arial TUR" w:cs="FrankRuehl"/>
          <w:spacing w:val="10"/>
          <w:sz w:val="22"/>
          <w:szCs w:val="28"/>
          <w:rtl/>
        </w:rPr>
        <w:tab/>
      </w:r>
      <w:r w:rsidRPr="00E206AF">
        <w:rPr>
          <w:rFonts w:ascii="Arial TUR" w:hAnsi="Arial TUR" w:cs="FrankRuehl" w:hint="cs"/>
          <w:spacing w:val="10"/>
          <w:sz w:val="22"/>
          <w:szCs w:val="28"/>
          <w:rtl/>
        </w:rPr>
        <w:t xml:space="preserve">מאפייניה של עילת הסבירות האיזונית כפי שנקבעו בעניין </w:t>
      </w:r>
      <w:r w:rsidRPr="00E206AF">
        <w:rPr>
          <w:rFonts w:ascii="Century" w:hAnsi="Century" w:cs="Miriam" w:hint="cs"/>
          <w:b/>
          <w:sz w:val="22"/>
          <w:rtl/>
        </w:rPr>
        <w:t>דפי זהב</w:t>
      </w:r>
      <w:r w:rsidRPr="00E206AF">
        <w:rPr>
          <w:rFonts w:ascii="Century" w:hAnsi="Century" w:cs="FrankRuehl" w:hint="cs"/>
          <w:spacing w:val="10"/>
          <w:sz w:val="22"/>
          <w:szCs w:val="28"/>
          <w:rtl/>
        </w:rPr>
        <w:t xml:space="preserve">, כמו גם היקף השימוש בעילה שהלך והתרחב לאחר מתן פסק הדין הנ"ל, שנויים במחלוקת בשיח המשפטי בישראל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הן בקרב מלומדי משפט, הן בקרב שופטי בית משפט זה. ואכן, לא בכדי נשתברו קולמוסים רבים בעניינה, כפי שמציינת </w:t>
      </w:r>
      <w:r w:rsidRPr="00E206AF">
        <w:rPr>
          <w:rFonts w:ascii="Century" w:hAnsi="Century" w:cs="Miriam" w:hint="cs"/>
          <w:b/>
          <w:sz w:val="22"/>
          <w:rtl/>
        </w:rPr>
        <w:t>ד' ברק-ארז</w:t>
      </w:r>
      <w:r w:rsidRPr="00E206AF">
        <w:rPr>
          <w:rFonts w:ascii="Century" w:hAnsi="Century" w:cs="FrankRuehl" w:hint="cs"/>
          <w:spacing w:val="10"/>
          <w:sz w:val="22"/>
          <w:szCs w:val="28"/>
          <w:rtl/>
        </w:rPr>
        <w:t xml:space="preserve"> בספרה: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hint="cs"/>
          <w:spacing w:val="10"/>
          <w:sz w:val="22"/>
          <w:szCs w:val="28"/>
          <w:rtl/>
        </w:rPr>
        <w:t xml:space="preserve">"מאחר שעילת הסבירות תרמה להרחבת תחומיה של הביקורת השיפוטית, היא עמדה פעמים רבות במרכזה של הכתיבה על תופעת 'האקטיביזם השיפוטי' [...] המחלוקת שנסבה על עילת הסבירות משקפת מתח בין שתי השקפות עולם שיפוטיות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השקפה הדוגלת בביקורת שיפוטית רחבה יחסית מול השקפה המצדדת בצמצומה של הביקורת השיפוטית למקרים חמורים במיוחד של אי-תקינות מינהלית או פגיעה בזכויות. זהו אינו ויכוח נקודתי שנסב על הכרה בעילת ביקורת מסוימת, אלא ביטוי למחלוקת [...] עמוקה ועקרונית" (</w:t>
      </w:r>
      <w:r w:rsidRPr="00E206AF">
        <w:rPr>
          <w:rFonts w:ascii="Century" w:hAnsi="Century" w:cs="Miriam" w:hint="cs"/>
          <w:b/>
          <w:sz w:val="22"/>
          <w:rtl/>
        </w:rPr>
        <w:t>ברק-ארז, משפט מינהלי</w:t>
      </w:r>
      <w:r w:rsidRPr="00E206AF">
        <w:rPr>
          <w:rFonts w:ascii="Arial TUR" w:hAnsi="Arial TUR" w:cs="FrankRuehl" w:hint="cs"/>
          <w:spacing w:val="10"/>
          <w:sz w:val="22"/>
          <w:szCs w:val="28"/>
          <w:rtl/>
        </w:rPr>
        <w:t xml:space="preserve">, בעמ' 732-731, </w:t>
      </w:r>
      <w:r>
        <w:rPr>
          <w:rFonts w:ascii="Arial TUR" w:hAnsi="Arial TUR" w:cs="FrankRuehl" w:hint="cs"/>
          <w:spacing w:val="10"/>
          <w:sz w:val="22"/>
          <w:szCs w:val="28"/>
          <w:rtl/>
        </w:rPr>
        <w:t>769-767</w:t>
      </w:r>
      <w:r w:rsidRPr="00E206AF">
        <w:rPr>
          <w:rFonts w:ascii="Arial TUR" w:hAnsi="Arial TUR" w:cs="FrankRuehl" w:hint="cs"/>
          <w:spacing w:val="10"/>
          <w:sz w:val="22"/>
          <w:szCs w:val="28"/>
          <w:rtl/>
        </w:rPr>
        <w:t xml:space="preserve">; כן ראו </w:t>
      </w:r>
      <w:r w:rsidRPr="00E206AF">
        <w:rPr>
          <w:rFonts w:ascii="Century" w:hAnsi="Century" w:cs="Miriam" w:hint="cs"/>
          <w:b/>
          <w:sz w:val="22"/>
          <w:rtl/>
        </w:rPr>
        <w:t>זמיר, הסמכות המינהלית</w:t>
      </w:r>
      <w:r w:rsidRPr="00E206AF">
        <w:rPr>
          <w:rFonts w:ascii="Arial TUR" w:hAnsi="Arial TUR" w:cs="FrankRuehl" w:hint="cs"/>
          <w:spacing w:val="10"/>
          <w:sz w:val="22"/>
          <w:szCs w:val="28"/>
          <w:rtl/>
        </w:rPr>
        <w:t>, בעמ' 3549, 3869).</w:t>
      </w:r>
    </w:p>
    <w:p w:rsidR="00E32081" w:rsidRPr="00E206AF" w:rsidRDefault="00E32081" w:rsidP="00E32081">
      <w:pPr>
        <w:ind w:left="1644" w:right="1276"/>
        <w:jc w:val="both"/>
        <w:rPr>
          <w:rFonts w:ascii="Century" w:hAnsi="Century" w:cs="FrankRuehl"/>
          <w:spacing w:val="10"/>
          <w:sz w:val="22"/>
          <w:szCs w:val="28"/>
          <w:rtl/>
        </w:rPr>
      </w:pPr>
    </w:p>
    <w:p w:rsidR="00E32081" w:rsidRPr="00E206AF" w:rsidRDefault="00E32081" w:rsidP="00E32081">
      <w:pPr>
        <w:ind w:left="1644" w:right="1276"/>
        <w:jc w:val="both"/>
        <w:rPr>
          <w:rFonts w:ascii="Century" w:hAnsi="Century" w:cs="FrankRuehl"/>
          <w:spacing w:val="10"/>
          <w:sz w:val="22"/>
          <w:szCs w:val="28"/>
          <w:rtl/>
        </w:rPr>
      </w:pPr>
    </w:p>
    <w:p w:rsidR="00E32081" w:rsidRPr="00E206AF" w:rsidRDefault="00E32081" w:rsidP="00E32081">
      <w:pPr>
        <w:numPr>
          <w:ilvl w:val="0"/>
          <w:numId w:val="21"/>
        </w:numPr>
        <w:tabs>
          <w:tab w:val="left" w:pos="800"/>
        </w:tabs>
        <w:spacing w:line="360" w:lineRule="auto"/>
        <w:jc w:val="both"/>
        <w:rPr>
          <w:rFonts w:ascii="Century" w:hAnsi="Century" w:cs="Miriam"/>
          <w:b/>
          <w:sz w:val="22"/>
          <w:rtl/>
        </w:rPr>
      </w:pPr>
      <w:r w:rsidRPr="00E206AF">
        <w:rPr>
          <w:rFonts w:ascii="Century" w:hAnsi="Century" w:cs="Miriam" w:hint="cs"/>
          <w:b/>
          <w:sz w:val="22"/>
          <w:rtl/>
        </w:rPr>
        <w:t xml:space="preserve">חשיבות עילת הסבירות האיזונית </w:t>
      </w:r>
    </w:p>
    <w:p w:rsidR="00E32081" w:rsidRPr="00E206AF" w:rsidRDefault="00E32081" w:rsidP="00E32081">
      <w:pPr>
        <w:tabs>
          <w:tab w:val="left" w:pos="800"/>
        </w:tabs>
        <w:spacing w:line="360" w:lineRule="auto"/>
        <w:jc w:val="both"/>
        <w:rPr>
          <w:rFonts w:ascii="Century" w:hAnsi="Century" w:cs="Miriam"/>
          <w:b/>
          <w:sz w:val="22"/>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18.</w:t>
      </w:r>
      <w:r w:rsidRPr="00E206AF">
        <w:rPr>
          <w:rFonts w:ascii="Century" w:hAnsi="Century" w:cs="FrankRuehl" w:hint="cs"/>
          <w:spacing w:val="10"/>
          <w:sz w:val="22"/>
          <w:szCs w:val="28"/>
          <w:rtl/>
        </w:rPr>
        <w:tab/>
        <w:t xml:space="preserve">מצד אחד, היו שופטים בבית משפט זה, כמו גם מלומדי משפט, שהדגישו את חשיבותה של עילת הסבירות </w:t>
      </w:r>
      <w:r w:rsidRPr="003F2E16">
        <w:rPr>
          <w:rFonts w:ascii="Century" w:hAnsi="Century" w:cs="Miriam" w:hint="cs"/>
          <w:b/>
          <w:sz w:val="22"/>
          <w:rtl/>
        </w:rPr>
        <w:t>האיזונית</w:t>
      </w:r>
      <w:r w:rsidRPr="00E206AF">
        <w:rPr>
          <w:rFonts w:ascii="Century" w:hAnsi="Century" w:cs="FrankRuehl" w:hint="cs"/>
          <w:spacing w:val="10"/>
          <w:sz w:val="22"/>
          <w:szCs w:val="28"/>
          <w:rtl/>
        </w:rPr>
        <w:t xml:space="preserve"> בהגנה על זכויות הפרט ועל הציבור בכללותו. כך, למשל, הדגישה השופטת </w:t>
      </w:r>
      <w:r w:rsidRPr="00E206AF">
        <w:rPr>
          <w:rFonts w:ascii="Century" w:hAnsi="Century" w:cs="Miriam" w:hint="cs"/>
          <w:b/>
          <w:sz w:val="22"/>
          <w:rtl/>
        </w:rPr>
        <w:t>א' פרוקצ'יה</w:t>
      </w: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Century" w:hAnsi="Century" w:cs="FrankRuehl"/>
          <w:spacing w:val="10"/>
          <w:sz w:val="22"/>
          <w:szCs w:val="28"/>
          <w:rtl/>
        </w:rPr>
      </w:pPr>
      <w:r w:rsidRPr="00E206AF">
        <w:rPr>
          <w:rFonts w:ascii="Arial TUR" w:hAnsi="Arial TUR" w:cs="FrankRuehl" w:hint="cs"/>
          <w:spacing w:val="10"/>
          <w:sz w:val="22"/>
          <w:szCs w:val="28"/>
          <w:rtl/>
        </w:rPr>
        <w:t xml:space="preserve">"עילת הסבירות [משמשת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י"ו] מכשיר מרכזי וחיוני של הביקורת השיפוטית על המינהל, והיא ניצבת במוקד ההגנה על הפרט והציבור מפני שרירות השלטון [...] צמצומה של עילת הסבירות עלול ליצור חלל ריק במיתחם הביקורת השיפוטית שעילות ביקורת אחרות לא תמלאנה, ולהצר עד למאד את נכונותו של בית המשפט להתערב במצבים בהם הרשות המינהלית בהחלטתה לא שקלה את מלוא השיקולים הרלבנטיים ואותם בלבד, או שקלה אותם, אך לא ייחסה להם את המשקלות היחסיים המתאימים. קל לשער את הנזק הצפוי מתהליך כזה לרעיון חוקיות המינהל ולתכלית ההגנה על האזרח ביחסו אל הממשל, העומד ביסוד הגדרתן של עילות הביקורת השיפוטית על המינהל"</w:t>
      </w:r>
      <w:r w:rsidRPr="00E206AF">
        <w:rPr>
          <w:rFonts w:ascii="Century" w:hAnsi="Century" w:cs="FrankRuehl" w:hint="cs"/>
          <w:spacing w:val="10"/>
          <w:sz w:val="22"/>
          <w:szCs w:val="28"/>
          <w:rtl/>
        </w:rPr>
        <w:t xml:space="preserve"> (בג"ץ 5853/07 </w:t>
      </w:r>
      <w:r w:rsidRPr="00E206AF">
        <w:rPr>
          <w:rFonts w:ascii="Century" w:hAnsi="Century" w:cs="Miriam" w:hint="cs"/>
          <w:b/>
          <w:sz w:val="22"/>
          <w:rtl/>
        </w:rPr>
        <w:t xml:space="preserve">אמונה תנועת </w:t>
      </w:r>
      <w:r w:rsidRPr="00E206AF">
        <w:rPr>
          <w:rFonts w:ascii="Century" w:hAnsi="Century" w:cs="Miriam" w:hint="cs"/>
          <w:b/>
          <w:sz w:val="22"/>
          <w:rtl/>
        </w:rPr>
        <w:lastRenderedPageBreak/>
        <w:t>האישה הדתית לאומית נ' ראש הממשלה</w:t>
      </w:r>
      <w:r w:rsidRPr="00E206AF">
        <w:rPr>
          <w:rFonts w:ascii="Century" w:hAnsi="Century" w:cs="FrankRuehl" w:hint="cs"/>
          <w:spacing w:val="10"/>
          <w:sz w:val="22"/>
          <w:szCs w:val="28"/>
          <w:rtl/>
        </w:rPr>
        <w:t xml:space="preserve">, פ"ד סב(3) 445, פס' 33 לפסק דינה (2007) (להלן: עניין </w:t>
      </w:r>
      <w:r w:rsidRPr="00E206AF">
        <w:rPr>
          <w:rFonts w:ascii="Century" w:hAnsi="Century" w:cs="Miriam" w:hint="cs"/>
          <w:b/>
          <w:sz w:val="22"/>
          <w:rtl/>
        </w:rPr>
        <w:t>אמונה</w:t>
      </w:r>
      <w:r w:rsidRPr="00E206AF">
        <w:rPr>
          <w:rFonts w:ascii="Century" w:hAnsi="Century" w:cs="FrankRuehl" w:hint="cs"/>
          <w:spacing w:val="10"/>
          <w:sz w:val="22"/>
          <w:szCs w:val="28"/>
          <w:rtl/>
        </w:rPr>
        <w:t>))</w:t>
      </w:r>
      <w:r>
        <w:rPr>
          <w:rFonts w:ascii="Century" w:hAnsi="Century" w:cs="FrankRuehl" w:hint="cs"/>
          <w:spacing w:val="10"/>
          <w:sz w:val="22"/>
          <w:szCs w:val="28"/>
          <w:rtl/>
        </w:rPr>
        <w:t xml:space="preserve">. </w:t>
      </w:r>
    </w:p>
    <w:p w:rsidR="00E32081" w:rsidRPr="00E206AF" w:rsidRDefault="00E32081" w:rsidP="00E32081">
      <w:pPr>
        <w:ind w:left="1644" w:right="1276"/>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eastAsia"/>
          <w:spacing w:val="10"/>
          <w:sz w:val="22"/>
          <w:szCs w:val="28"/>
          <w:rtl/>
        </w:rPr>
        <w:t>באותו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עניין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עמדה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השופטת</w:t>
      </w:r>
      <w:r w:rsidRPr="00E206AF">
        <w:rPr>
          <w:rFonts w:ascii="Century" w:hAnsi="Century" w:cs="FrankRuehl"/>
          <w:spacing w:val="10"/>
          <w:sz w:val="22"/>
          <w:szCs w:val="28"/>
          <w:rtl/>
        </w:rPr>
        <w:t xml:space="preserve"> </w:t>
      </w:r>
      <w:r w:rsidRPr="00E206AF">
        <w:rPr>
          <w:rFonts w:ascii="Century" w:hAnsi="Century" w:cs="Miriam" w:hint="eastAsia"/>
          <w:b/>
          <w:sz w:val="22"/>
          <w:rtl/>
        </w:rPr>
        <w:t>ע</w:t>
      </w:r>
      <w:r w:rsidRPr="00E206AF">
        <w:rPr>
          <w:rFonts w:ascii="Century" w:hAnsi="Century" w:cs="Miriam"/>
          <w:b/>
          <w:sz w:val="22"/>
          <w:rtl/>
        </w:rPr>
        <w:t xml:space="preserve">' </w:t>
      </w:r>
      <w:r w:rsidRPr="00E206AF">
        <w:rPr>
          <w:rFonts w:ascii="Century" w:hAnsi="Century" w:cs="Miriam" w:hint="eastAsia"/>
          <w:b/>
          <w:sz w:val="22"/>
          <w:rtl/>
        </w:rPr>
        <w:t>ארבל</w:t>
      </w:r>
      <w:r w:rsidRPr="00E206AF">
        <w:rPr>
          <w:rFonts w:ascii="Century" w:hAnsi="Century" w:cs="Miriam"/>
          <w:b/>
          <w:sz w:val="22"/>
          <w:rtl/>
        </w:rPr>
        <w:t xml:space="preserve"> </w:t>
      </w:r>
      <w:r w:rsidRPr="00E206AF">
        <w:rPr>
          <w:rFonts w:ascii="Century" w:hAnsi="Century" w:cs="FrankRuehl" w:hint="eastAsia"/>
          <w:spacing w:val="10"/>
          <w:sz w:val="22"/>
          <w:szCs w:val="28"/>
          <w:rtl/>
        </w:rPr>
        <w:t>גם על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חשיבותה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עילת</w:t>
      </w:r>
      <w:r w:rsidRPr="00E206AF">
        <w:rPr>
          <w:rFonts w:ascii="Century" w:hAnsi="Century" w:cs="FrankRuehl"/>
          <w:spacing w:val="10"/>
          <w:sz w:val="22"/>
          <w:szCs w:val="28"/>
          <w:rtl/>
        </w:rPr>
        <w:t xml:space="preserve"> </w:t>
      </w:r>
      <w:r w:rsidRPr="00E206AF">
        <w:rPr>
          <w:rFonts w:ascii="Century" w:hAnsi="Century" w:cs="Miriam" w:hint="eastAsia"/>
          <w:b/>
          <w:sz w:val="22"/>
          <w:rtl/>
        </w:rPr>
        <w:t>הסבירות</w:t>
      </w:r>
      <w:r w:rsidRPr="00E206AF">
        <w:rPr>
          <w:rFonts w:ascii="Century" w:hAnsi="Century" w:cs="Miriam"/>
          <w:b/>
          <w:sz w:val="22"/>
          <w:rtl/>
        </w:rPr>
        <w:t xml:space="preserve"> </w:t>
      </w:r>
      <w:r>
        <w:rPr>
          <w:rFonts w:ascii="Century" w:hAnsi="Century" w:cs="Miriam" w:hint="cs"/>
          <w:b/>
          <w:sz w:val="22"/>
          <w:rtl/>
        </w:rPr>
        <w:t>האיזונית</w:t>
      </w:r>
      <w:r w:rsidRPr="00E206AF">
        <w:rPr>
          <w:rFonts w:ascii="Century" w:hAnsi="Century" w:cs="FrankRuehl" w:hint="cs"/>
          <w:spacing w:val="10"/>
          <w:sz w:val="22"/>
          <w:szCs w:val="28"/>
          <w:rtl/>
        </w:rPr>
        <w:t xml:space="preserve"> בקידום ערכי החברה ושימור תקינותם של מוסדות השלטון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ו</w:t>
      </w:r>
      <w:r w:rsidRPr="00E206AF">
        <w:rPr>
          <w:rFonts w:ascii="Century" w:hAnsi="Century" w:cs="FrankRuehl" w:hint="cs"/>
          <w:spacing w:val="10"/>
          <w:sz w:val="22"/>
          <w:szCs w:val="28"/>
          <w:rtl/>
        </w:rPr>
        <w:t>ה</w:t>
      </w:r>
      <w:r>
        <w:rPr>
          <w:rFonts w:ascii="Century" w:hAnsi="Century" w:cs="FrankRuehl" w:hint="cs"/>
          <w:spacing w:val="10"/>
          <w:sz w:val="22"/>
          <w:szCs w:val="28"/>
          <w:rtl/>
        </w:rPr>
        <w:t>טעימה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כי</w:t>
      </w:r>
      <w:r w:rsidRPr="00E206AF">
        <w:rPr>
          <w:rFonts w:ascii="Century" w:hAnsi="Century" w:cs="FrankRuehl" w:hint="cs"/>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 xml:space="preserve"> </w:t>
      </w: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spacing w:val="10"/>
          <w:sz w:val="22"/>
          <w:szCs w:val="28"/>
          <w:rtl/>
        </w:rPr>
        <w:t>"</w:t>
      </w:r>
      <w:r w:rsidRPr="00E206AF">
        <w:rPr>
          <w:rFonts w:ascii="Arial TUR" w:hAnsi="Arial TUR" w:cs="FrankRuehl" w:hint="eastAsia"/>
          <w:spacing w:val="10"/>
          <w:sz w:val="22"/>
          <w:szCs w:val="28"/>
          <w:rtl/>
        </w:rPr>
        <w:t>צמצום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הביקורת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השיפוטית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לכשלים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דיוניים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כאלה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ואחרים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ולשאלות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סמכות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טומן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בחובו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סכנה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ממש</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לעתידה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החברה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בישראל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ולתפקודן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התקין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מערכות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השלטון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באשר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הוא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מותיר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לבית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המשפט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תפקיד</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שחלק</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עיקרי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הינו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כמעט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טכני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גרידא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ושולל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ביקורת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שיפוטית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מהותית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באמצעותה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מגן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המשפט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ערכי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החברה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ומקדמם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צמצום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הביקורת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השיפוטית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ידי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שלילה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כמעט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מוחלטת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עילת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הסבירות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מותיר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לטעמי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הציבור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חשוף</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בצריח</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שכן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הוא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שישא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במחיר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אותן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החלטות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המצויות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מחוץ</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לגדרי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מתחם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הסבירות</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(שם, בפס' 19 לפסק דינה).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19.</w:t>
      </w:r>
      <w:r w:rsidRPr="00E206AF">
        <w:rPr>
          <w:rFonts w:ascii="Century" w:hAnsi="Century" w:cs="FrankRuehl" w:hint="cs"/>
          <w:spacing w:val="10"/>
          <w:sz w:val="22"/>
          <w:szCs w:val="28"/>
          <w:rtl/>
        </w:rPr>
        <w:tab/>
        <w:t xml:space="preserve">אף הנשיאה </w:t>
      </w:r>
      <w:r w:rsidRPr="00E206AF">
        <w:rPr>
          <w:rFonts w:ascii="Century" w:hAnsi="Century" w:cs="Miriam" w:hint="cs"/>
          <w:b/>
          <w:sz w:val="22"/>
          <w:rtl/>
        </w:rPr>
        <w:t xml:space="preserve">מ' נאור </w:t>
      </w:r>
      <w:r w:rsidRPr="00E206AF">
        <w:rPr>
          <w:rFonts w:ascii="Century" w:hAnsi="Century" w:cs="FrankRuehl" w:hint="cs"/>
          <w:spacing w:val="10"/>
          <w:sz w:val="22"/>
          <w:szCs w:val="28"/>
          <w:rtl/>
        </w:rPr>
        <w:t xml:space="preserve">עמדה על היתרון הטמון בעילת הסבירות האמורה </w:t>
      </w:r>
      <w:r w:rsidRPr="00E206AF">
        <w:rPr>
          <w:rFonts w:ascii="Century" w:hAnsi="Century" w:cs="FrankRuehl" w:hint="eastAsia"/>
          <w:spacing w:val="10"/>
          <w:sz w:val="22"/>
          <w:szCs w:val="28"/>
          <w:rtl/>
        </w:rPr>
        <w:t>וציינה</w:t>
      </w:r>
      <w:r w:rsidRPr="00E206AF">
        <w:rPr>
          <w:rFonts w:ascii="Century" w:hAnsi="Century" w:cs="FrankRuehl" w:hint="cs"/>
          <w:spacing w:val="10"/>
          <w:sz w:val="22"/>
          <w:szCs w:val="28"/>
          <w:rtl/>
        </w:rPr>
        <w:t xml:space="preserve"> כי:</w:t>
      </w:r>
    </w:p>
    <w:p w:rsidR="00E32081" w:rsidRPr="00E206AF" w:rsidRDefault="00E32081" w:rsidP="00E32081">
      <w:pPr>
        <w:ind w:left="1644" w:right="1276"/>
        <w:jc w:val="both"/>
        <w:rPr>
          <w:rFonts w:ascii="Century" w:hAnsi="Century" w:cs="FrankRuehl"/>
          <w:spacing w:val="10"/>
          <w:sz w:val="22"/>
          <w:szCs w:val="28"/>
          <w:rtl/>
        </w:rPr>
      </w:pPr>
      <w:r w:rsidRPr="00E206AF">
        <w:rPr>
          <w:rFonts w:ascii="Century" w:hAnsi="Century" w:cs="FrankRuehl" w:hint="cs"/>
          <w:spacing w:val="10"/>
          <w:sz w:val="22"/>
          <w:szCs w:val="28"/>
          <w:rtl/>
        </w:rPr>
        <w:t>"</w:t>
      </w:r>
      <w:r w:rsidRPr="00E206AF">
        <w:rPr>
          <w:rFonts w:ascii="Arial TUR" w:hAnsi="Arial TUR" w:cs="FrankRuehl" w:hint="cs"/>
          <w:spacing w:val="10"/>
          <w:sz w:val="22"/>
          <w:szCs w:val="28"/>
          <w:rtl/>
        </w:rPr>
        <w:t>עילת הסבירות נהוגה בפסיקתו של בית משפט זה ככלי חיוני להפעלת ביקורת על החלטתה של רשות מינהלית מזה קרוב לארבעה עשורים</w:t>
      </w:r>
      <w:r w:rsidRPr="003F2E16">
        <w:rPr>
          <w:rFonts w:ascii="Arial TUR" w:hAnsi="Arial TUR" w:cs="FrankRuehl" w:hint="cs"/>
          <w:spacing w:val="10"/>
          <w:sz w:val="22"/>
          <w:szCs w:val="28"/>
          <w:rtl/>
        </w:rPr>
        <w:t xml:space="preserve"> (ראו: בג"ץ 389/80</w:t>
      </w:r>
      <w:r w:rsidRPr="00E206AF">
        <w:rPr>
          <w:rFonts w:ascii="Century" w:hAnsi="Century" w:cs="FrankRuehl" w:hint="cs"/>
          <w:spacing w:val="10"/>
          <w:sz w:val="22"/>
          <w:szCs w:val="28"/>
          <w:rtl/>
        </w:rPr>
        <w:t xml:space="preserve"> </w:t>
      </w:r>
      <w:r w:rsidRPr="00E206AF">
        <w:rPr>
          <w:rFonts w:ascii="Century" w:hAnsi="Century" w:cs="Miriam" w:hint="cs"/>
          <w:b/>
          <w:sz w:val="22"/>
          <w:rtl/>
        </w:rPr>
        <w:t>דפי זהב נ' רשות השידור</w:t>
      </w:r>
      <w:r w:rsidRPr="00E206AF">
        <w:rPr>
          <w:rFonts w:ascii="Century" w:hAnsi="Century" w:cs="FrankRuehl" w:hint="cs"/>
          <w:spacing w:val="10"/>
          <w:sz w:val="22"/>
          <w:szCs w:val="28"/>
          <w:rtl/>
        </w:rPr>
        <w:t>)</w:t>
      </w:r>
      <w:r w:rsidRPr="00E206AF">
        <w:rPr>
          <w:rFonts w:ascii="Century" w:hAnsi="Century" w:cs="Miriam" w:hint="cs"/>
          <w:b/>
          <w:sz w:val="22"/>
          <w:rtl/>
        </w:rPr>
        <w:t xml:space="preserve"> </w:t>
      </w:r>
      <w:r w:rsidRPr="00E206AF">
        <w:rPr>
          <w:rFonts w:ascii="Century" w:hAnsi="Century" w:cs="FrankRuehl" w:hint="cs"/>
          <w:spacing w:val="10"/>
          <w:sz w:val="22"/>
          <w:szCs w:val="28"/>
          <w:rtl/>
        </w:rPr>
        <w:t xml:space="preserve">[...] </w:t>
      </w:r>
      <w:r w:rsidRPr="00E206AF">
        <w:rPr>
          <w:rFonts w:ascii="Arial TUR" w:hAnsi="Arial TUR" w:cs="FrankRuehl" w:hint="cs"/>
          <w:spacing w:val="10"/>
          <w:sz w:val="22"/>
          <w:szCs w:val="28"/>
          <w:rtl/>
        </w:rPr>
        <w:t>לדידי, עילת הסבירות אינה נפגמת מעצם היותה נורמה מופשטת או מושג שסתום. אדרבא, 'עובדה זו מאפשרת לסבירות להיות 'הגשר שבאמצעותו המשפט עשוי לתת פתרונות מודרניים לבעיות החברתיות החדשות' [...] עוקץ עמימותה ממילא קהה לאחר שנים ארוכות שבהן עוצבה מקרה אחר מקרה במשפט המקובל נוסח ישראל, שהעמיד בידינו גוף מקיף של כללים ליישומה" (</w:t>
      </w:r>
      <w:r w:rsidRPr="00E206AF">
        <w:rPr>
          <w:rFonts w:ascii="Century" w:hAnsi="Century" w:cs="FrankRuehl" w:hint="cs"/>
          <w:spacing w:val="10"/>
          <w:sz w:val="22"/>
          <w:szCs w:val="28"/>
          <w:rtl/>
        </w:rPr>
        <w:t xml:space="preserve">דנג"ץ 3660/17 </w:t>
      </w:r>
      <w:r w:rsidRPr="00E206AF">
        <w:rPr>
          <w:rFonts w:ascii="Century" w:hAnsi="Century" w:cs="Miriam" w:hint="cs"/>
          <w:b/>
          <w:sz w:val="22"/>
          <w:rtl/>
        </w:rPr>
        <w:t>התאחדות הסוחרים והעצמאים הכללית נ' שר הפנים</w:t>
      </w:r>
      <w:r w:rsidRPr="00E206AF">
        <w:rPr>
          <w:rFonts w:ascii="Century" w:hAnsi="Century" w:cs="FrankRuehl" w:hint="cs"/>
          <w:spacing w:val="10"/>
          <w:sz w:val="22"/>
          <w:szCs w:val="28"/>
          <w:rtl/>
        </w:rPr>
        <w:t xml:space="preserve">, פס' 57 לפסק דינה (26.10.2017) (להלן: עניין </w:t>
      </w:r>
      <w:r w:rsidRPr="00E206AF">
        <w:rPr>
          <w:rFonts w:ascii="Century" w:hAnsi="Century" w:cs="Miriam" w:hint="cs"/>
          <w:b/>
          <w:sz w:val="22"/>
          <w:rtl/>
        </w:rPr>
        <w:t>התאחדות הסוחרים</w:t>
      </w:r>
      <w:r w:rsidRPr="00E206AF">
        <w:rPr>
          <w:rFonts w:ascii="Century" w:hAnsi="Century" w:cs="FrankRuehl" w:hint="cs"/>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20.</w:t>
      </w:r>
      <w:r w:rsidRPr="00E206AF">
        <w:rPr>
          <w:rFonts w:ascii="Century" w:hAnsi="Century" w:cs="FrankRuehl" w:hint="cs"/>
          <w:spacing w:val="10"/>
          <w:sz w:val="22"/>
          <w:szCs w:val="28"/>
          <w:rtl/>
        </w:rPr>
        <w:tab/>
        <w:t xml:space="preserve">השופטת </w:t>
      </w:r>
      <w:r w:rsidRPr="00E206AF">
        <w:rPr>
          <w:rFonts w:ascii="Century" w:hAnsi="Century" w:cs="Miriam" w:hint="cs"/>
          <w:b/>
          <w:sz w:val="22"/>
          <w:rtl/>
        </w:rPr>
        <w:t xml:space="preserve">חיות </w:t>
      </w:r>
      <w:r w:rsidRPr="00E206AF">
        <w:rPr>
          <w:rFonts w:ascii="Century" w:hAnsi="Century" w:cs="FrankRuehl" w:hint="cs"/>
          <w:spacing w:val="10"/>
          <w:sz w:val="22"/>
          <w:szCs w:val="28"/>
          <w:rtl/>
        </w:rPr>
        <w:t>הדגישה אף היא כי "</w:t>
      </w:r>
      <w:r w:rsidRPr="00E206AF">
        <w:rPr>
          <w:rFonts w:ascii="Arial TUR" w:hAnsi="Arial TUR" w:cs="FrankRuehl" w:hint="cs"/>
          <w:spacing w:val="10"/>
          <w:sz w:val="22"/>
          <w:szCs w:val="28"/>
          <w:rtl/>
        </w:rPr>
        <w:t>לעילת הסבירות שמור מקום של כבוד בשמירה על ההגינות ועל טוהר המידות בשלטון הציבורי וכן היא תורמת להקפדה על זכויות אדם ולהגנה עליהן לבל תפגענה ממעשי השלטון במידה העולה על הראוי והנדרש</w:t>
      </w:r>
      <w:r w:rsidRPr="00E206AF">
        <w:rPr>
          <w:rFonts w:ascii="Century" w:hAnsi="Century" w:cs="FrankRuehl" w:hint="cs"/>
          <w:spacing w:val="10"/>
          <w:sz w:val="22"/>
          <w:szCs w:val="28"/>
          <w:rtl/>
        </w:rPr>
        <w:t>", וכי עילה זו היא "</w:t>
      </w:r>
      <w:r w:rsidRPr="00E206AF">
        <w:rPr>
          <w:rFonts w:ascii="Arial TUR" w:hAnsi="Arial TUR" w:cs="FrankRuehl" w:hint="cs"/>
          <w:spacing w:val="10"/>
          <w:sz w:val="22"/>
          <w:szCs w:val="28"/>
          <w:rtl/>
        </w:rPr>
        <w:t xml:space="preserve">כלי מרכזי וחשוב להפעלת ביקורת על מעשי המינהל" (ראו: בג"ץ 3997/14 </w:t>
      </w:r>
      <w:r w:rsidRPr="00E206AF">
        <w:rPr>
          <w:rFonts w:ascii="Century" w:hAnsi="Century" w:cs="Miriam" w:hint="cs"/>
          <w:b/>
          <w:sz w:val="22"/>
          <w:rtl/>
        </w:rPr>
        <w:t>התנועה למען איכות השלטון בישראל נ' שר החוץ</w:t>
      </w:r>
      <w:r w:rsidRPr="00E206AF">
        <w:rPr>
          <w:rFonts w:ascii="Century" w:hAnsi="Century" w:cs="FrankRuehl" w:hint="cs"/>
          <w:spacing w:val="10"/>
          <w:sz w:val="22"/>
          <w:szCs w:val="28"/>
          <w:rtl/>
        </w:rPr>
        <w:t>, פס' 3 לפסק דינה</w:t>
      </w:r>
      <w:r w:rsidRPr="00E206AF">
        <w:rPr>
          <w:rFonts w:ascii="Century" w:hAnsi="Century" w:cs="Miriam"/>
          <w:b/>
          <w:sz w:val="22"/>
          <w:rtl/>
        </w:rPr>
        <w:t xml:space="preserve"> </w:t>
      </w:r>
      <w:r w:rsidRPr="00E206AF">
        <w:rPr>
          <w:rFonts w:ascii="Century" w:hAnsi="Century" w:cs="FrankRuehl" w:hint="cs"/>
          <w:spacing w:val="10"/>
          <w:sz w:val="22"/>
          <w:szCs w:val="28"/>
          <w:rtl/>
        </w:rPr>
        <w:t xml:space="preserve">(12.2.2015) (להלן: עניין </w:t>
      </w:r>
      <w:r w:rsidRPr="00E206AF">
        <w:rPr>
          <w:rFonts w:ascii="Century" w:hAnsi="Century" w:cs="Miriam" w:hint="cs"/>
          <w:b/>
          <w:sz w:val="22"/>
          <w:rtl/>
        </w:rPr>
        <w:t>שר החוץ</w:t>
      </w:r>
      <w:r w:rsidRPr="00E206AF">
        <w:rPr>
          <w:rFonts w:ascii="Century" w:hAnsi="Century" w:cs="FrankRuehl" w:hint="cs"/>
          <w:spacing w:val="10"/>
          <w:sz w:val="22"/>
          <w:szCs w:val="28"/>
          <w:rtl/>
        </w:rPr>
        <w:t>)</w:t>
      </w:r>
      <w:r w:rsidRPr="00E206AF">
        <w:rPr>
          <w:rFonts w:ascii="Arial TUR" w:hAnsi="Arial TUR" w:cs="FrankRuehl" w:hint="cs"/>
          <w:spacing w:val="10"/>
          <w:sz w:val="22"/>
          <w:szCs w:val="28"/>
          <w:rtl/>
        </w:rPr>
        <w:t xml:space="preserve">). כן, עמדה השופטת </w:t>
      </w:r>
      <w:r w:rsidRPr="00E206AF">
        <w:rPr>
          <w:rFonts w:ascii="Century" w:hAnsi="Century" w:cs="Miriam" w:hint="cs"/>
          <w:b/>
          <w:sz w:val="22"/>
          <w:rtl/>
        </w:rPr>
        <w:t xml:space="preserve">חיות </w:t>
      </w:r>
      <w:r w:rsidRPr="00E206AF">
        <w:rPr>
          <w:rFonts w:ascii="Century" w:hAnsi="Century" w:cs="FrankRuehl" w:hint="cs"/>
          <w:spacing w:val="10"/>
          <w:sz w:val="22"/>
          <w:szCs w:val="28"/>
          <w:rtl/>
        </w:rPr>
        <w:t xml:space="preserve">על אופייה המופשט של העילה, וציינה כי: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Century" w:hAnsi="Century" w:cs="FrankRuehl"/>
          <w:spacing w:val="10"/>
          <w:sz w:val="22"/>
          <w:szCs w:val="28"/>
          <w:rtl/>
        </w:rPr>
      </w:pPr>
      <w:r w:rsidRPr="00E206AF">
        <w:rPr>
          <w:rFonts w:ascii="Arial TUR" w:hAnsi="Arial TUR" w:cs="FrankRuehl"/>
          <w:spacing w:val="10"/>
          <w:sz w:val="22"/>
          <w:szCs w:val="28"/>
          <w:rtl/>
        </w:rPr>
        <w:lastRenderedPageBreak/>
        <w:t>"</w:t>
      </w:r>
      <w:r w:rsidRPr="00E206AF">
        <w:rPr>
          <w:rFonts w:ascii="Arial TUR" w:hAnsi="Arial TUR" w:cs="FrankRuehl" w:hint="eastAsia"/>
          <w:spacing w:val="10"/>
          <w:sz w:val="22"/>
          <w:szCs w:val="28"/>
          <w:rtl/>
        </w:rPr>
        <w:t>העובדה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נורמה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משפטית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מנוסחת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במונחים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מופשטים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ואינה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נוקטת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קונקרטיזציה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חדה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ומדויקת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המחילה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אותה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מצב</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דברים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מוגדר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וידוע</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מראש</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היא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לבדה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כדי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לפגום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באותה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הנורמה</w:t>
      </w:r>
      <w:r w:rsidRPr="00E206AF">
        <w:rPr>
          <w:rFonts w:ascii="Arial TUR" w:hAnsi="Arial TUR" w:cs="FrankRuehl"/>
          <w:spacing w:val="10"/>
          <w:sz w:val="22"/>
          <w:szCs w:val="28"/>
          <w:rtl/>
        </w:rPr>
        <w:t xml:space="preserve"> [...] </w:t>
      </w:r>
      <w:r w:rsidRPr="00E206AF">
        <w:rPr>
          <w:rFonts w:ascii="Arial TUR" w:hAnsi="Arial TUR" w:cs="FrankRuehl" w:hint="eastAsia"/>
          <w:spacing w:val="10"/>
          <w:sz w:val="22"/>
          <w:szCs w:val="28"/>
          <w:rtl/>
        </w:rPr>
        <w:t>אילו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ביקשנו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לראות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בכך</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מאפיין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הפוגם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בעילת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הסבירות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כנורמה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משפטית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היה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עלינו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לצרף</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אליה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כנורמות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פגומות</w:t>
      </w:r>
      <w:r w:rsidRPr="00E206AF">
        <w:rPr>
          <w:rFonts w:ascii="Arial TUR" w:hAnsi="Arial TUR" w:cs="FrankRuehl" w:hint="cs"/>
          <w:spacing w:val="10"/>
          <w:sz w:val="22"/>
          <w:szCs w:val="28"/>
          <w:rtl/>
        </w:rPr>
        <w:t>, על פי אותה גישה, גם שורה ארוכה ונכבדה של נורמות משפטיות בעלות מאפיינים דומים כמו עקרון תום הלב ותקנת הציבור למשל" (</w:t>
      </w:r>
      <w:r w:rsidRPr="00E206AF">
        <w:rPr>
          <w:rFonts w:ascii="Century" w:hAnsi="Century" w:cs="FrankRuehl" w:hint="cs"/>
          <w:spacing w:val="10"/>
          <w:sz w:val="22"/>
          <w:szCs w:val="28"/>
          <w:rtl/>
        </w:rPr>
        <w:t>שם)</w:t>
      </w:r>
      <w:r w:rsidRPr="00E206AF">
        <w:rPr>
          <w:rFonts w:ascii="Arial TUR" w:hAnsi="Arial TUR" w:cs="FrankRuehl" w:hint="cs"/>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21.</w:t>
      </w:r>
      <w:r w:rsidRPr="00E206AF">
        <w:rPr>
          <w:rFonts w:ascii="Century" w:hAnsi="Century" w:cs="FrankRuehl" w:hint="cs"/>
          <w:spacing w:val="10"/>
          <w:sz w:val="22"/>
          <w:szCs w:val="28"/>
          <w:rtl/>
        </w:rPr>
        <w:tab/>
        <w:t xml:space="preserve">בהתאם לכך, לגישת השופט </w:t>
      </w:r>
      <w:r w:rsidRPr="00E206AF">
        <w:rPr>
          <w:rFonts w:ascii="Century" w:hAnsi="Century" w:cs="Miriam" w:hint="cs"/>
          <w:b/>
          <w:sz w:val="22"/>
          <w:rtl/>
        </w:rPr>
        <w:t>א' רובינשטיין</w:t>
      </w:r>
      <w:r w:rsidRPr="00E206AF">
        <w:rPr>
          <w:rFonts w:ascii="Century" w:hAnsi="Century" w:cs="FrankRuehl" w:hint="cs"/>
          <w:spacing w:val="10"/>
          <w:sz w:val="22"/>
          <w:szCs w:val="28"/>
          <w:rtl/>
        </w:rPr>
        <w:t>,</w:t>
      </w:r>
      <w:r w:rsidRPr="00E206AF">
        <w:rPr>
          <w:rFonts w:ascii="Century" w:hAnsi="Century" w:cs="Miriam" w:hint="cs"/>
          <w:b/>
          <w:sz w:val="22"/>
          <w:rtl/>
        </w:rPr>
        <w:t xml:space="preserve"> </w:t>
      </w:r>
      <w:r w:rsidRPr="00E206AF">
        <w:rPr>
          <w:rFonts w:ascii="Century" w:hAnsi="Century" w:cs="FrankRuehl" w:hint="cs"/>
          <w:spacing w:val="10"/>
          <w:sz w:val="22"/>
          <w:szCs w:val="28"/>
          <w:rtl/>
        </w:rPr>
        <w:t>"</w:t>
      </w:r>
      <w:r w:rsidRPr="00E206AF">
        <w:rPr>
          <w:rFonts w:ascii="Arial TUR" w:hAnsi="Arial TUR" w:cs="FrankRuehl" w:hint="cs"/>
          <w:spacing w:val="10"/>
          <w:sz w:val="22"/>
          <w:szCs w:val="28"/>
          <w:rtl/>
        </w:rPr>
        <w:t>אין דופי בשימוש בעילת הסבירות כעילה לביקורת שיפוטית, שכמובן צריכה להיות מופעלת באורח מושכל וזהיר במקום הראוי. אם במינויים עסקינן, תולדות המינהל הציבורי בישראל עמוסות מקרים, לא אחד ולא שניים, שבהם ניתן היה למנוע מינויים לא ראויים בעליל רק בגדרי סבירות, כיון שבצד ה'פורמלי' היה הציון 'עובר'". עוד</w:t>
      </w:r>
      <w:r w:rsidRPr="00E206AF">
        <w:rPr>
          <w:rFonts w:ascii="Century" w:hAnsi="Century" w:cs="Miriam" w:hint="cs"/>
          <w:b/>
          <w:sz w:val="22"/>
          <w:rtl/>
        </w:rPr>
        <w:t xml:space="preserve"> </w:t>
      </w:r>
      <w:r w:rsidRPr="00E206AF">
        <w:rPr>
          <w:rFonts w:ascii="Century" w:hAnsi="Century" w:cs="FrankRuehl" w:hint="cs"/>
          <w:spacing w:val="10"/>
          <w:sz w:val="22"/>
          <w:szCs w:val="28"/>
          <w:rtl/>
        </w:rPr>
        <w:t>ציין,</w:t>
      </w:r>
      <w:r w:rsidRPr="00E206AF">
        <w:rPr>
          <w:rFonts w:ascii="Arial TUR" w:hAnsi="Arial TUR" w:cs="FrankRuehl" w:hint="cs"/>
          <w:spacing w:val="10"/>
          <w:sz w:val="22"/>
          <w:szCs w:val="28"/>
          <w:rtl/>
        </w:rPr>
        <w:t xml:space="preserve"> כי "עילת הסבירות, ושוב – בכל הזהירות – מאפשרת לבית המשפט לשמש כמה שקרוי בלשון עידננו 'המבוגר האחראי', ולא אחטא לאמת אם אניח כי לא מעטים בין ראשי הממנים עצמם מייחלים בסתר ליבם להתערבות הבג"צית, כדי למנוע מינוי שנולד מלחצים כאלה ואחרים</w:t>
      </w:r>
      <w:r w:rsidRPr="00E206AF">
        <w:rPr>
          <w:rFonts w:ascii="Century" w:hAnsi="Century" w:cs="FrankRuehl" w:hint="cs"/>
          <w:spacing w:val="10"/>
          <w:sz w:val="22"/>
          <w:szCs w:val="28"/>
          <w:rtl/>
        </w:rPr>
        <w:t xml:space="preserve">"; וכי </w:t>
      </w:r>
      <w:r w:rsidRPr="00E206AF">
        <w:rPr>
          <w:rFonts w:ascii="Arial TUR" w:hAnsi="Arial TUR" w:cs="FrankRuehl" w:hint="cs"/>
          <w:spacing w:val="10"/>
          <w:sz w:val="22"/>
          <w:szCs w:val="28"/>
          <w:rtl/>
        </w:rPr>
        <w:t>"עתירות רבות, מהן שהתבססו על עילת הסבירות, תרמו לשיפור המינהל הציבורי בישראל, לעתים בפסקי דין מלומדים ולעתים ב'שמרטפות' עיקשת ונחושה על-ידי בית המשפט" (שם</w:t>
      </w:r>
      <w:r w:rsidRPr="00E206AF">
        <w:rPr>
          <w:rFonts w:ascii="Century" w:hAnsi="Century" w:cs="FrankRuehl" w:hint="cs"/>
          <w:spacing w:val="10"/>
          <w:sz w:val="22"/>
          <w:szCs w:val="28"/>
          <w:rtl/>
        </w:rPr>
        <w:t>, בפס' ב' לפסק דינו; בהקשר זה יצוין כי באותה הפרשה ציין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השופט</w:t>
      </w:r>
      <w:r w:rsidRPr="00E206AF">
        <w:rPr>
          <w:rFonts w:ascii="Century" w:hAnsi="Century" w:cs="FrankRuehl"/>
          <w:spacing w:val="10"/>
          <w:sz w:val="22"/>
          <w:szCs w:val="28"/>
          <w:rtl/>
        </w:rPr>
        <w:t xml:space="preserve"> </w:t>
      </w:r>
      <w:r w:rsidRPr="00E206AF">
        <w:rPr>
          <w:rFonts w:ascii="Century" w:hAnsi="Century" w:cs="Miriam" w:hint="cs"/>
          <w:b/>
          <w:sz w:val="22"/>
          <w:rtl/>
        </w:rPr>
        <w:t xml:space="preserve">י' </w:t>
      </w:r>
      <w:r w:rsidRPr="00E206AF">
        <w:rPr>
          <w:rFonts w:ascii="Century" w:hAnsi="Century" w:cs="Miriam" w:hint="eastAsia"/>
          <w:b/>
          <w:sz w:val="22"/>
          <w:rtl/>
        </w:rPr>
        <w:t>עמית</w:t>
      </w:r>
      <w:r w:rsidRPr="00E206AF">
        <w:rPr>
          <w:rFonts w:ascii="Century" w:hAnsi="Century" w:cs="Miriam"/>
          <w:b/>
          <w:sz w:val="22"/>
          <w:rtl/>
        </w:rPr>
        <w:t xml:space="preserve"> </w:t>
      </w:r>
      <w:r w:rsidRPr="00E206AF">
        <w:rPr>
          <w:rFonts w:ascii="Century" w:hAnsi="Century" w:cs="FrankRuehl" w:hint="eastAsia"/>
          <w:spacing w:val="10"/>
          <w:sz w:val="22"/>
          <w:szCs w:val="28"/>
          <w:rtl/>
        </w:rPr>
        <w:t>כי</w:t>
      </w:r>
      <w:r w:rsidRPr="00E206AF">
        <w:rPr>
          <w:rFonts w:ascii="Century" w:hAnsi="Century" w:cs="FrankRuehl"/>
          <w:spacing w:val="10"/>
          <w:sz w:val="22"/>
          <w:szCs w:val="28"/>
          <w:rtl/>
        </w:rPr>
        <w:t xml:space="preserve"> </w:t>
      </w:r>
      <w:r w:rsidRPr="00E206AF">
        <w:rPr>
          <w:rFonts w:ascii="Arial TUR" w:hAnsi="Arial TUR" w:cs="FrankRuehl" w:hint="eastAsia"/>
          <w:spacing w:val="10"/>
          <w:sz w:val="22"/>
          <w:szCs w:val="28"/>
          <w:rtl/>
        </w:rPr>
        <w:t>אינו</w:t>
      </w:r>
      <w:r w:rsidRPr="00E206AF">
        <w:rPr>
          <w:rFonts w:ascii="Arial TUR" w:hAnsi="Arial TUR" w:cs="FrankRuehl"/>
          <w:spacing w:val="10"/>
          <w:sz w:val="22"/>
          <w:szCs w:val="28"/>
          <w:rtl/>
        </w:rPr>
        <w:t xml:space="preserve"> "רואה </w:t>
      </w:r>
      <w:r w:rsidRPr="00E206AF">
        <w:rPr>
          <w:rFonts w:ascii="Arial TUR" w:hAnsi="Arial TUR" w:cs="FrankRuehl" w:hint="eastAsia"/>
          <w:spacing w:val="10"/>
          <w:sz w:val="22"/>
          <w:szCs w:val="28"/>
          <w:rtl/>
        </w:rPr>
        <w:t>להידרש</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לשאלה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העקרונית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השימוש</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בעילת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הסבירות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כעילה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לביקורת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שיפוטית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בכלל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נושא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שיש</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קשר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הדוק</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לשאלות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שפיטות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ואקטיביזם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שיפוטי</w:t>
      </w:r>
      <w:r w:rsidRPr="00E206AF">
        <w:rPr>
          <w:rFonts w:ascii="Century" w:hAnsi="Century" w:cs="FrankRuehl"/>
          <w:spacing w:val="10"/>
          <w:sz w:val="22"/>
          <w:szCs w:val="28"/>
          <w:rtl/>
        </w:rPr>
        <w:t>" (</w:t>
      </w:r>
      <w:r w:rsidRPr="00E206AF">
        <w:rPr>
          <w:rFonts w:ascii="Century" w:hAnsi="Century" w:cs="FrankRuehl" w:hint="cs"/>
          <w:spacing w:val="10"/>
          <w:sz w:val="22"/>
          <w:szCs w:val="28"/>
          <w:rtl/>
        </w:rPr>
        <w:t>שם, ב</w:t>
      </w:r>
      <w:r w:rsidRPr="00E206AF">
        <w:rPr>
          <w:rFonts w:ascii="Century" w:hAnsi="Century" w:cs="FrankRuehl" w:hint="eastAsia"/>
          <w:spacing w:val="10"/>
          <w:sz w:val="22"/>
          <w:szCs w:val="28"/>
          <w:rtl/>
        </w:rPr>
        <w:t>פס</w:t>
      </w:r>
      <w:r w:rsidRPr="00E206AF">
        <w:rPr>
          <w:rFonts w:ascii="Century" w:hAnsi="Century" w:cs="FrankRuehl"/>
          <w:spacing w:val="10"/>
          <w:sz w:val="22"/>
          <w:szCs w:val="28"/>
          <w:rtl/>
        </w:rPr>
        <w:t xml:space="preserve">' 1 </w:t>
      </w:r>
      <w:r w:rsidRPr="00E206AF">
        <w:rPr>
          <w:rFonts w:ascii="Century" w:hAnsi="Century" w:cs="FrankRuehl" w:hint="cs"/>
          <w:spacing w:val="10"/>
          <w:sz w:val="22"/>
          <w:szCs w:val="28"/>
          <w:rtl/>
        </w:rPr>
        <w:t>לפסק דינו</w:t>
      </w:r>
      <w:r w:rsidRPr="00E206AF">
        <w:rPr>
          <w:rFonts w:ascii="Century" w:hAnsi="Century" w:cs="FrankRuehl"/>
          <w:spacing w:val="10"/>
          <w:sz w:val="22"/>
          <w:szCs w:val="28"/>
          <w:rtl/>
        </w:rPr>
        <w:t>)</w:t>
      </w:r>
      <w:r w:rsidRPr="00E206AF">
        <w:rPr>
          <w:rFonts w:ascii="Century" w:hAnsi="Century" w:cs="FrankRuehl" w:hint="cs"/>
          <w:spacing w:val="10"/>
          <w:sz w:val="22"/>
          <w:szCs w:val="28"/>
          <w:rtl/>
        </w:rPr>
        <w:t>)</w:t>
      </w:r>
      <w:r w:rsidRPr="00E206AF">
        <w:rPr>
          <w:rFonts w:ascii="Century" w:hAnsi="Century" w:cs="FrankRuehl"/>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Miriam"/>
          <w:b/>
          <w:sz w:val="22"/>
          <w:rtl/>
        </w:rPr>
      </w:pPr>
      <w:r w:rsidRPr="00E206AF">
        <w:rPr>
          <w:rFonts w:ascii="Century" w:hAnsi="Century" w:cs="FrankRuehl" w:hint="cs"/>
          <w:spacing w:val="10"/>
          <w:sz w:val="22"/>
          <w:szCs w:val="28"/>
          <w:rtl/>
        </w:rPr>
        <w:t>22.</w:t>
      </w:r>
      <w:r w:rsidRPr="00E206AF">
        <w:rPr>
          <w:rFonts w:ascii="Century" w:hAnsi="Century" w:cs="FrankRuehl" w:hint="cs"/>
          <w:spacing w:val="10"/>
          <w:sz w:val="22"/>
          <w:szCs w:val="28"/>
          <w:rtl/>
        </w:rPr>
        <w:tab/>
        <w:t xml:space="preserve">השופטת </w:t>
      </w:r>
      <w:r w:rsidRPr="00E206AF">
        <w:rPr>
          <w:rFonts w:ascii="Century" w:hAnsi="Century" w:cs="Miriam" w:hint="cs"/>
          <w:b/>
          <w:sz w:val="22"/>
          <w:rtl/>
        </w:rPr>
        <w:t xml:space="preserve">ברק-ארז </w:t>
      </w:r>
      <w:r w:rsidRPr="00E206AF">
        <w:rPr>
          <w:rFonts w:ascii="Century" w:hAnsi="Century" w:cs="FrankRuehl" w:hint="cs"/>
          <w:spacing w:val="10"/>
          <w:sz w:val="22"/>
          <w:szCs w:val="28"/>
          <w:rtl/>
        </w:rPr>
        <w:t xml:space="preserve">הוסיפה והטעימה, כי חשיבותה של עילת הסבירות נעוצה גם בהיותה כלי לביקורת על החלטות שהתקבלו בשל שיקולים זרים, אך קיים קושי להוכיח זאת. באותו הקשר, עמדה השופטת </w:t>
      </w:r>
      <w:r w:rsidRPr="00E206AF">
        <w:rPr>
          <w:rFonts w:ascii="Century" w:hAnsi="Century" w:cs="Miriam" w:hint="cs"/>
          <w:b/>
          <w:sz w:val="22"/>
          <w:rtl/>
        </w:rPr>
        <w:t xml:space="preserve">ברק-ארז </w:t>
      </w:r>
      <w:r w:rsidRPr="00E206AF">
        <w:rPr>
          <w:rFonts w:ascii="Century" w:hAnsi="Century" w:cs="FrankRuehl" w:hint="cs"/>
          <w:spacing w:val="10"/>
          <w:sz w:val="22"/>
          <w:szCs w:val="28"/>
          <w:rtl/>
        </w:rPr>
        <w:t>על כך שהחובה ליתן משקל ראוי לכל שיקול רלוונטי אינה חשובה פחות מהחובה שלא להביא בחשבון שיקולים זרים, וכן כי עילת הסבירות "</w:t>
      </w:r>
      <w:r w:rsidRPr="00E206AF">
        <w:rPr>
          <w:rFonts w:ascii="Arial TUR" w:hAnsi="Arial TUR" w:cs="FrankRuehl" w:hint="cs"/>
          <w:spacing w:val="10"/>
          <w:sz w:val="22"/>
          <w:szCs w:val="28"/>
          <w:rtl/>
        </w:rPr>
        <w:t xml:space="preserve">אין משמעותה </w:t>
      </w:r>
      <w:r w:rsidRPr="00E206AF">
        <w:rPr>
          <w:rFonts w:cs="Times New Roman"/>
          <w:spacing w:val="10"/>
          <w:sz w:val="24"/>
        </w:rPr>
        <w:t>second-guessing</w:t>
      </w:r>
      <w:r w:rsidRPr="00E206AF">
        <w:rPr>
          <w:rFonts w:ascii="Arial TUR" w:hAnsi="Arial TUR" w:cs="FrankRuehl" w:hint="cs"/>
          <w:spacing w:val="10"/>
          <w:sz w:val="22"/>
          <w:szCs w:val="28"/>
          <w:rtl/>
        </w:rPr>
        <w:t xml:space="preserve"> של החלטותיה, בבחינת 'עיון חוזר' בהן על-פי שיקול דעתו הסובייקטיבי של בית המשפט", בהיותה עילה "בעלת משמעות משפטית מתוחמת ומוג</w:t>
      </w:r>
      <w:r w:rsidRPr="00E206AF">
        <w:rPr>
          <w:rFonts w:ascii="Century" w:hAnsi="Century" w:cs="FrankRuehl" w:hint="cs"/>
          <w:spacing w:val="10"/>
          <w:sz w:val="22"/>
          <w:szCs w:val="28"/>
          <w:rtl/>
        </w:rPr>
        <w:t xml:space="preserve">דרת" (בג"ץ 3823/22 </w:t>
      </w:r>
      <w:r w:rsidRPr="00E206AF">
        <w:rPr>
          <w:rFonts w:ascii="Century" w:hAnsi="Century" w:cs="Miriam" w:hint="cs"/>
          <w:b/>
          <w:sz w:val="22"/>
          <w:rtl/>
        </w:rPr>
        <w:t>נתניהו נ' היועצת המשפטית לממשלה</w:t>
      </w:r>
      <w:r w:rsidRPr="00E206AF">
        <w:rPr>
          <w:rFonts w:ascii="Century" w:hAnsi="Century" w:cs="FrankRuehl" w:hint="cs"/>
          <w:spacing w:val="10"/>
          <w:sz w:val="22"/>
          <w:szCs w:val="28"/>
          <w:rtl/>
        </w:rPr>
        <w:t>, פס' 5-2 לפסק דינה (17.7.2023)).</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23.</w:t>
      </w:r>
      <w:r w:rsidRPr="00E206AF">
        <w:rPr>
          <w:rFonts w:ascii="Century" w:hAnsi="Century" w:cs="FrankRuehl" w:hint="cs"/>
          <w:spacing w:val="10"/>
          <w:sz w:val="22"/>
          <w:szCs w:val="28"/>
          <w:rtl/>
        </w:rPr>
        <w:tab/>
        <w:t xml:space="preserve">כאמור, אף מלומדי משפט עמדו על חשיבותה של עילת הסבירות האיזונית.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lastRenderedPageBreak/>
        <w:tab/>
      </w:r>
      <w:r w:rsidRPr="00E206AF">
        <w:rPr>
          <w:rFonts w:ascii="Century" w:hAnsi="Century" w:cs="FrankRuehl" w:hint="cs"/>
          <w:spacing w:val="10"/>
          <w:sz w:val="22"/>
          <w:szCs w:val="28"/>
          <w:rtl/>
        </w:rPr>
        <w:t xml:space="preserve">כך, למשל, </w:t>
      </w:r>
      <w:r w:rsidRPr="00E206AF">
        <w:rPr>
          <w:rFonts w:ascii="Century" w:hAnsi="Century" w:cs="Miriam" w:hint="eastAsia"/>
          <w:b/>
          <w:sz w:val="22"/>
          <w:rtl/>
        </w:rPr>
        <w:t>זמיר</w:t>
      </w:r>
      <w:r w:rsidRPr="00E206AF">
        <w:rPr>
          <w:rFonts w:ascii="Century" w:hAnsi="Century" w:cs="Miriam" w:hint="cs"/>
          <w:b/>
          <w:sz w:val="22"/>
          <w:rtl/>
        </w:rPr>
        <w:t xml:space="preserve"> </w:t>
      </w:r>
      <w:r w:rsidRPr="00E206AF">
        <w:rPr>
          <w:rFonts w:ascii="Century" w:hAnsi="Century" w:cs="FrankRuehl" w:hint="cs"/>
          <w:spacing w:val="10"/>
          <w:sz w:val="22"/>
          <w:szCs w:val="28"/>
          <w:rtl/>
        </w:rPr>
        <w:t>מדגיש כי "אין ספק שעילה זאת העלתה תרומה מן המעלה הראשונה להגנה על העקרונות של חוקיות המינהל, המינהל התקין וזכויות האדם" (</w:t>
      </w:r>
      <w:r w:rsidRPr="00E206AF">
        <w:rPr>
          <w:rFonts w:ascii="Century" w:hAnsi="Century" w:cs="Miriam" w:hint="cs"/>
          <w:b/>
          <w:sz w:val="22"/>
          <w:rtl/>
        </w:rPr>
        <w:t>זמיר, הסמכות המינהלית</w:t>
      </w:r>
      <w:r w:rsidRPr="00E206AF">
        <w:rPr>
          <w:rFonts w:ascii="Century" w:hAnsi="Century" w:cs="FrankRuehl" w:hint="cs"/>
          <w:spacing w:val="10"/>
          <w:sz w:val="22"/>
          <w:szCs w:val="28"/>
          <w:rtl/>
        </w:rPr>
        <w:t>, בעמ' 3602); וכי עילת הסבירות נחוצה בעיקר כדי לשמש "שסתום ביטחון, שנפתח כאשר הדרך לעילות אחרות חסומה, כדי להגן על העקרונות של חוקיות המינהל, המינהל התקין ועשיית הצדק" (</w:t>
      </w:r>
      <w:r w:rsidRPr="00E206AF">
        <w:rPr>
          <w:rFonts w:ascii="Century" w:hAnsi="Century" w:cs="FrankRuehl" w:hint="eastAsia"/>
          <w:spacing w:val="10"/>
          <w:sz w:val="22"/>
          <w:szCs w:val="28"/>
          <w:rtl/>
        </w:rPr>
        <w:t>שם</w:t>
      </w:r>
      <w:r w:rsidRPr="00E206AF">
        <w:rPr>
          <w:rFonts w:ascii="Century" w:hAnsi="Century" w:cs="FrankRuehl" w:hint="cs"/>
          <w:spacing w:val="10"/>
          <w:sz w:val="22"/>
          <w:szCs w:val="28"/>
          <w:rtl/>
        </w:rPr>
        <w:t>, בעמ' 3607). לגישתו:</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Miriam"/>
          <w:b/>
          <w:sz w:val="22"/>
          <w:rtl/>
        </w:rPr>
      </w:pPr>
      <w:r w:rsidRPr="00E206AF">
        <w:rPr>
          <w:rFonts w:ascii="Arial TUR" w:hAnsi="Arial TUR" w:cs="FrankRuehl" w:hint="cs"/>
          <w:spacing w:val="10"/>
          <w:sz w:val="22"/>
          <w:szCs w:val="28"/>
          <w:rtl/>
        </w:rPr>
        <w:t>"הביקורת השיפוטית במדינה דמוקרטית, לפי התורה של הפרדת הרשויות, והדוקטרינה של בלמים ואיזונים שצמחה מתורה זאת, לא נועדה להגביר את המשילות אלא להיפך: לרסן את כוח השלטון, ככל שהחוק מחייב, כדי להגן על זכויות אדם ועל ערכי היסוד מפני שימוש לרעה בכוח, וכדי להבטיח ממשל תקין, נקי והוגן. תפקיד זה מוטל על בית המשפט ובית המשפט לא יוכל למלא תפקיד זה כראוי ללא עילת הסבירות" (שם, בעמ' 3614).</w:t>
      </w:r>
      <w:r w:rsidRPr="00E206AF">
        <w:rPr>
          <w:rFonts w:ascii="Arial TUR" w:hAnsi="Arial TUR" w:cs="Miriam" w:hint="cs"/>
          <w:b/>
          <w:sz w:val="22"/>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Miriam" w:hint="eastAsia"/>
          <w:b/>
          <w:sz w:val="22"/>
          <w:rtl/>
        </w:rPr>
        <w:t>זמיר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מבהיר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נוסחת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הסבירות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האיזונית</w:t>
      </w:r>
      <w:r w:rsidRPr="00E206AF">
        <w:rPr>
          <w:rFonts w:ascii="Century" w:hAnsi="Century" w:cs="FrankRuehl"/>
          <w:spacing w:val="10"/>
          <w:sz w:val="22"/>
          <w:szCs w:val="28"/>
          <w:rtl/>
        </w:rPr>
        <w:t>, "</w:t>
      </w:r>
      <w:r w:rsidRPr="00E206AF">
        <w:rPr>
          <w:rFonts w:ascii="Century" w:hAnsi="Century" w:cs="FrankRuehl" w:hint="eastAsia"/>
          <w:spacing w:val="10"/>
          <w:sz w:val="22"/>
          <w:szCs w:val="28"/>
          <w:rtl/>
        </w:rPr>
        <w:t>המחייבת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מדידה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הערכה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משקל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שיקול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ועריכת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איזון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בין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השיקולים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יסוד</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המשקלות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שניתנו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להם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היא</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בעיקר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תאוריה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שאינה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משקפת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באופן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מדויק</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הפרקטיקה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נועדה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להבהיר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שיקול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הדעת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המינהלי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אינו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הפקר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פתוח</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לכל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נטייה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גחמה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הרשות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המינהלית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אלא</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הרשות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חייבת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להתנהל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פי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היגיון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ותכלית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הנובעים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החוק</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המסמיך</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הרשות</w:t>
      </w:r>
      <w:r w:rsidRPr="00E206AF">
        <w:rPr>
          <w:rFonts w:ascii="Century" w:hAnsi="Century" w:cs="FrankRuehl"/>
          <w:spacing w:val="10"/>
          <w:sz w:val="22"/>
          <w:szCs w:val="28"/>
          <w:rtl/>
        </w:rPr>
        <w:t>" (</w:t>
      </w:r>
      <w:r w:rsidRPr="00E206AF">
        <w:rPr>
          <w:rFonts w:ascii="Century" w:hAnsi="Century" w:cs="Miriam" w:hint="cs"/>
          <w:b/>
          <w:sz w:val="22"/>
          <w:rtl/>
        </w:rPr>
        <w:t>זמיר, הסמכות המינהלית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בעמ</w:t>
      </w:r>
      <w:r w:rsidRPr="00E206AF">
        <w:rPr>
          <w:rFonts w:ascii="Century" w:hAnsi="Century" w:cs="FrankRuehl"/>
          <w:spacing w:val="10"/>
          <w:sz w:val="22"/>
          <w:szCs w:val="28"/>
          <w:rtl/>
        </w:rPr>
        <w:t xml:space="preserve">' 3592). </w:t>
      </w:r>
      <w:r w:rsidRPr="00E206AF">
        <w:rPr>
          <w:rFonts w:ascii="Century" w:hAnsi="Century" w:cs="FrankRuehl" w:hint="eastAsia"/>
          <w:spacing w:val="10"/>
          <w:sz w:val="22"/>
          <w:szCs w:val="28"/>
          <w:rtl/>
        </w:rPr>
        <w:t>עוד</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מדגיש</w:t>
      </w:r>
      <w:r w:rsidRPr="00E206AF">
        <w:rPr>
          <w:rFonts w:ascii="Century" w:hAnsi="Century" w:cs="FrankRuehl"/>
          <w:spacing w:val="10"/>
          <w:sz w:val="22"/>
          <w:szCs w:val="28"/>
          <w:rtl/>
        </w:rPr>
        <w:t xml:space="preserve"> </w:t>
      </w:r>
      <w:r w:rsidRPr="00E206AF">
        <w:rPr>
          <w:rFonts w:ascii="Century" w:hAnsi="Century" w:cs="Miriam" w:hint="eastAsia"/>
          <w:b/>
          <w:sz w:val="22"/>
          <w:rtl/>
        </w:rPr>
        <w:t>זמיר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אף</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פי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שפסילת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החלטה</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מכוח </w:t>
      </w:r>
      <w:r w:rsidRPr="00E206AF">
        <w:rPr>
          <w:rFonts w:ascii="Century" w:hAnsi="Century" w:cs="FrankRuehl" w:hint="eastAsia"/>
          <w:spacing w:val="10"/>
          <w:sz w:val="22"/>
          <w:szCs w:val="28"/>
          <w:rtl/>
        </w:rPr>
        <w:t>עילת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הסבירות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האיזונית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היא</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דרך</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קלה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לבית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המשפט</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הוא</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אינו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פוסע</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תדיר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בעמ</w:t>
      </w:r>
      <w:r w:rsidRPr="00E206AF">
        <w:rPr>
          <w:rFonts w:ascii="Century" w:hAnsi="Century" w:cs="FrankRuehl"/>
          <w:spacing w:val="10"/>
          <w:sz w:val="22"/>
          <w:szCs w:val="28"/>
          <w:rtl/>
        </w:rPr>
        <w:t>' 3596).</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Century" w:hAnsi="Century" w:cs="FrankRuehl" w:hint="cs"/>
          <w:spacing w:val="10"/>
          <w:sz w:val="22"/>
          <w:szCs w:val="28"/>
          <w:rtl/>
        </w:rPr>
        <w:t>24.</w:t>
      </w:r>
      <w:r w:rsidRPr="00E206AF">
        <w:rPr>
          <w:rFonts w:ascii="Century" w:hAnsi="Century" w:cs="FrankRuehl" w:hint="cs"/>
          <w:spacing w:val="10"/>
          <w:sz w:val="22"/>
          <w:szCs w:val="28"/>
          <w:rtl/>
        </w:rPr>
        <w:tab/>
      </w:r>
      <w:r w:rsidRPr="00E206AF">
        <w:rPr>
          <w:rFonts w:ascii="Century" w:hAnsi="Century" w:cs="FrankRuehl" w:hint="eastAsia"/>
          <w:spacing w:val="10"/>
          <w:sz w:val="22"/>
          <w:szCs w:val="28"/>
          <w:rtl/>
        </w:rPr>
        <w:t>אף</w:t>
      </w:r>
      <w:r w:rsidRPr="00E206AF">
        <w:rPr>
          <w:rFonts w:ascii="Century" w:hAnsi="Century" w:cs="FrankRuehl"/>
          <w:spacing w:val="10"/>
          <w:sz w:val="22"/>
          <w:szCs w:val="28"/>
          <w:rtl/>
        </w:rPr>
        <w:t xml:space="preserve"> </w:t>
      </w:r>
      <w:r w:rsidRPr="00E206AF">
        <w:rPr>
          <w:rFonts w:ascii="Century" w:hAnsi="Century" w:cs="Miriam" w:hint="cs"/>
          <w:b/>
          <w:sz w:val="22"/>
          <w:rtl/>
        </w:rPr>
        <w:t xml:space="preserve">ג' </w:t>
      </w:r>
      <w:r w:rsidRPr="00E206AF">
        <w:rPr>
          <w:rFonts w:ascii="Century" w:hAnsi="Century" w:cs="Miriam" w:hint="eastAsia"/>
          <w:b/>
          <w:sz w:val="22"/>
          <w:rtl/>
        </w:rPr>
        <w:t>גונטובניק</w:t>
      </w:r>
      <w:r w:rsidRPr="00E206AF">
        <w:rPr>
          <w:rFonts w:ascii="Century" w:hAnsi="Century" w:cs="Miriam" w:hint="cs"/>
          <w:b/>
          <w:sz w:val="22"/>
          <w:rtl/>
        </w:rPr>
        <w:t xml:space="preserve"> </w:t>
      </w:r>
      <w:r w:rsidRPr="00E206AF">
        <w:rPr>
          <w:rFonts w:ascii="Century" w:hAnsi="Century" w:cs="FrankRuehl" w:hint="cs"/>
          <w:spacing w:val="10"/>
          <w:sz w:val="22"/>
          <w:szCs w:val="28"/>
          <w:rtl/>
        </w:rPr>
        <w:t>מצטרף לעמדה זו, ומעיר כי ביחס לשאלה שעניינה "אם צריך לצמצם את</w:t>
      </w:r>
      <w:r w:rsidRPr="00E206AF">
        <w:rPr>
          <w:rFonts w:ascii="Arial TUR" w:hAnsi="Arial TUR" w:cs="FrankRuehl"/>
          <w:spacing w:val="10"/>
          <w:sz w:val="22"/>
          <w:szCs w:val="28"/>
          <w:rtl/>
        </w:rPr>
        <w:t xml:space="preserve"> השימוש בעילת הסבירות</w:t>
      </w:r>
      <w:r w:rsidRPr="00E206AF">
        <w:rPr>
          <w:rFonts w:ascii="Arial TUR" w:hAnsi="Arial TUR" w:cs="FrankRuehl" w:hint="cs"/>
          <w:spacing w:val="10"/>
          <w:sz w:val="22"/>
          <w:szCs w:val="28"/>
          <w:rtl/>
        </w:rPr>
        <w:t xml:space="preserve"> [...]</w:t>
      </w:r>
      <w:r w:rsidRPr="00E206AF">
        <w:rPr>
          <w:rFonts w:ascii="Arial TUR" w:hAnsi="Arial TUR" w:cs="FrankRuehl"/>
          <w:spacing w:val="10"/>
          <w:sz w:val="22"/>
          <w:szCs w:val="28"/>
          <w:rtl/>
        </w:rPr>
        <w:t xml:space="preserve"> האם צריך להגיע למצב דברים שבו נמנעת בפועל העברת ביקורת שיפוטית שעה שעל הפרק עומדת שאלה מקצועית או פוליטית?</w:t>
      </w:r>
      <w:r w:rsidRPr="00E206AF">
        <w:rPr>
          <w:rFonts w:ascii="Arial TUR" w:hAnsi="Arial TUR" w:cs="FrankRuehl" w:hint="cs"/>
          <w:spacing w:val="10"/>
          <w:sz w:val="22"/>
          <w:szCs w:val="28"/>
          <w:rtl/>
        </w:rPr>
        <w:t>" הרי שלדידו, "</w:t>
      </w:r>
      <w:r w:rsidRPr="00E206AF">
        <w:rPr>
          <w:rFonts w:ascii="Arial TUR" w:hAnsi="Arial TUR" w:cs="FrankRuehl"/>
          <w:spacing w:val="10"/>
          <w:sz w:val="22"/>
          <w:szCs w:val="28"/>
          <w:rtl/>
        </w:rPr>
        <w:t>מהלך שכזה יהיה מרחיק לכת ובלתי ראו</w:t>
      </w:r>
      <w:r w:rsidRPr="00E206AF">
        <w:rPr>
          <w:rFonts w:ascii="Arial TUR" w:hAnsi="Arial TUR" w:cs="FrankRuehl" w:hint="cs"/>
          <w:spacing w:val="10"/>
          <w:sz w:val="22"/>
          <w:szCs w:val="28"/>
          <w:rtl/>
        </w:rPr>
        <w:t>י", וזאת בהתבסס על הטענה שלפיה:</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hint="cs"/>
          <w:spacing w:val="10"/>
          <w:sz w:val="22"/>
          <w:szCs w:val="28"/>
          <w:rtl/>
        </w:rPr>
        <w:t>"</w:t>
      </w:r>
      <w:r w:rsidRPr="00E206AF">
        <w:rPr>
          <w:rFonts w:ascii="Arial TUR" w:hAnsi="Arial TUR" w:cs="FrankRuehl" w:hint="eastAsia"/>
          <w:spacing w:val="10"/>
          <w:sz w:val="22"/>
          <w:szCs w:val="28"/>
          <w:rtl/>
        </w:rPr>
        <w:t>במשטרנו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החוקתי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מנגנוני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הפיקוח</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המנהליים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והפרלמנטריים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על</w:t>
      </w:r>
      <w:r w:rsidRPr="00E206AF">
        <w:rPr>
          <w:rFonts w:ascii="Arial TUR" w:hAnsi="Arial TUR" w:cs="FrankRuehl" w:hint="cs"/>
          <w:spacing w:val="10"/>
          <w:sz w:val="22"/>
          <w:szCs w:val="28"/>
          <w:rtl/>
        </w:rPr>
        <w:t xml:space="preserve"> </w:t>
      </w:r>
      <w:r w:rsidRPr="00E206AF">
        <w:rPr>
          <w:rFonts w:ascii="Arial TUR" w:hAnsi="Arial TUR" w:cs="FrankRuehl" w:hint="eastAsia"/>
          <w:spacing w:val="10"/>
          <w:sz w:val="22"/>
          <w:szCs w:val="28"/>
          <w:rtl/>
        </w:rPr>
        <w:t>הממשלה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אינם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רבים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ואינם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אפקטיביים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במידה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מספקת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במקומותינו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הרשות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המבצעת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בדרך</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כלל</w:t>
      </w:r>
      <w:r w:rsidRPr="00E206AF">
        <w:rPr>
          <w:rFonts w:ascii="Arial TUR" w:hAnsi="Arial TUR" w:cs="FrankRuehl" w:hint="cs"/>
          <w:spacing w:val="10"/>
          <w:sz w:val="22"/>
          <w:szCs w:val="28"/>
          <w:rtl/>
        </w:rPr>
        <w:t xml:space="preserve"> </w:t>
      </w:r>
      <w:r w:rsidRPr="00E206AF">
        <w:rPr>
          <w:rFonts w:ascii="Arial TUR" w:hAnsi="Arial TUR" w:cs="FrankRuehl" w:hint="eastAsia"/>
          <w:spacing w:val="10"/>
          <w:sz w:val="22"/>
          <w:szCs w:val="28"/>
          <w:rtl/>
        </w:rPr>
        <w:t>שולטת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גם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ברשות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המחוקקת</w:t>
      </w:r>
      <w:r w:rsidRPr="00E206AF">
        <w:rPr>
          <w:rFonts w:ascii="Arial TUR" w:hAnsi="Arial TUR" w:cs="FrankRuehl"/>
          <w:spacing w:val="10"/>
          <w:sz w:val="22"/>
          <w:szCs w:val="28"/>
          <w:rtl/>
        </w:rPr>
        <w:t xml:space="preserve">. </w:t>
      </w:r>
      <w:r w:rsidRPr="00E206AF">
        <w:rPr>
          <w:rFonts w:ascii="Century" w:hAnsi="Century" w:cs="Miriam" w:hint="eastAsia"/>
          <w:b/>
          <w:sz w:val="22"/>
          <w:rtl/>
        </w:rPr>
        <w:t>על</w:t>
      </w:r>
      <w:r w:rsidRPr="00E206AF">
        <w:rPr>
          <w:rFonts w:ascii="Century" w:hAnsi="Century" w:cs="Miriam"/>
          <w:b/>
          <w:sz w:val="22"/>
          <w:rtl/>
        </w:rPr>
        <w:t xml:space="preserve"> </w:t>
      </w:r>
      <w:r w:rsidRPr="00E206AF">
        <w:rPr>
          <w:rFonts w:ascii="Century" w:hAnsi="Century" w:cs="Miriam" w:hint="eastAsia"/>
          <w:b/>
          <w:sz w:val="22"/>
          <w:rtl/>
        </w:rPr>
        <w:t>כן</w:t>
      </w:r>
      <w:r w:rsidRPr="00E206AF">
        <w:rPr>
          <w:rFonts w:ascii="Century" w:hAnsi="Century" w:cs="Miriam"/>
          <w:b/>
          <w:sz w:val="22"/>
          <w:rtl/>
        </w:rPr>
        <w:t xml:space="preserve"> </w:t>
      </w:r>
      <w:r w:rsidRPr="00E206AF">
        <w:rPr>
          <w:rFonts w:ascii="Century" w:hAnsi="Century" w:cs="Miriam" w:hint="eastAsia"/>
          <w:b/>
          <w:sz w:val="22"/>
          <w:rtl/>
        </w:rPr>
        <w:t>נדרשת</w:t>
      </w:r>
      <w:r w:rsidRPr="00E206AF">
        <w:rPr>
          <w:rFonts w:ascii="Century" w:hAnsi="Century" w:cs="Miriam"/>
          <w:b/>
          <w:sz w:val="22"/>
          <w:rtl/>
        </w:rPr>
        <w:t xml:space="preserve"> </w:t>
      </w:r>
      <w:r w:rsidRPr="00E206AF">
        <w:rPr>
          <w:rFonts w:ascii="Century" w:hAnsi="Century" w:cs="Miriam" w:hint="eastAsia"/>
          <w:b/>
          <w:sz w:val="22"/>
          <w:rtl/>
        </w:rPr>
        <w:t>ביקורת</w:t>
      </w:r>
      <w:r w:rsidRPr="00E206AF">
        <w:rPr>
          <w:rFonts w:ascii="Century" w:hAnsi="Century" w:cs="Miriam"/>
          <w:b/>
          <w:sz w:val="22"/>
          <w:rtl/>
        </w:rPr>
        <w:t xml:space="preserve"> </w:t>
      </w:r>
      <w:r w:rsidRPr="00E206AF">
        <w:rPr>
          <w:rFonts w:ascii="Century" w:hAnsi="Century" w:cs="Miriam" w:hint="eastAsia"/>
          <w:b/>
          <w:sz w:val="22"/>
          <w:rtl/>
        </w:rPr>
        <w:t>שיפוטית</w:t>
      </w:r>
      <w:r w:rsidRPr="00E206AF">
        <w:rPr>
          <w:rFonts w:ascii="Century" w:hAnsi="Century" w:cs="Miriam"/>
          <w:b/>
          <w:sz w:val="22"/>
          <w:rtl/>
        </w:rPr>
        <w:t xml:space="preserve"> </w:t>
      </w:r>
      <w:r w:rsidRPr="00E206AF">
        <w:rPr>
          <w:rFonts w:ascii="Century" w:hAnsi="Century" w:cs="Miriam" w:hint="eastAsia"/>
          <w:b/>
          <w:sz w:val="22"/>
          <w:rtl/>
        </w:rPr>
        <w:t>מהותית</w:t>
      </w:r>
      <w:r w:rsidRPr="00E206AF">
        <w:rPr>
          <w:rFonts w:ascii="Century" w:hAnsi="Century" w:cs="Miriam"/>
          <w:b/>
          <w:sz w:val="22"/>
          <w:rtl/>
        </w:rPr>
        <w:t xml:space="preserve"> </w:t>
      </w:r>
      <w:r w:rsidRPr="00E206AF">
        <w:rPr>
          <w:rFonts w:ascii="Century" w:hAnsi="Century" w:cs="Miriam" w:hint="eastAsia"/>
          <w:b/>
          <w:sz w:val="22"/>
          <w:rtl/>
        </w:rPr>
        <w:t>כדי</w:t>
      </w:r>
      <w:r w:rsidRPr="00E206AF">
        <w:rPr>
          <w:rFonts w:ascii="Century" w:hAnsi="Century" w:cs="Miriam"/>
          <w:b/>
          <w:sz w:val="22"/>
          <w:rtl/>
        </w:rPr>
        <w:t xml:space="preserve"> </w:t>
      </w:r>
      <w:r w:rsidRPr="00E206AF">
        <w:rPr>
          <w:rFonts w:ascii="Century" w:hAnsi="Century" w:cs="Miriam" w:hint="eastAsia"/>
          <w:b/>
          <w:sz w:val="22"/>
          <w:rtl/>
        </w:rPr>
        <w:t>ליצור</w:t>
      </w:r>
      <w:r w:rsidRPr="00E206AF">
        <w:rPr>
          <w:rFonts w:ascii="Century" w:hAnsi="Century" w:cs="Miriam"/>
          <w:b/>
          <w:sz w:val="22"/>
          <w:rtl/>
        </w:rPr>
        <w:t xml:space="preserve"> </w:t>
      </w:r>
      <w:r w:rsidRPr="00E206AF">
        <w:rPr>
          <w:rFonts w:ascii="Century" w:hAnsi="Century" w:cs="Miriam" w:hint="eastAsia"/>
          <w:b/>
          <w:sz w:val="22"/>
          <w:rtl/>
        </w:rPr>
        <w:t>משקל</w:t>
      </w:r>
      <w:r w:rsidRPr="00E206AF">
        <w:rPr>
          <w:rFonts w:ascii="Century" w:hAnsi="Century" w:cs="Miriam"/>
          <w:b/>
          <w:sz w:val="22"/>
          <w:rtl/>
        </w:rPr>
        <w:t xml:space="preserve"> </w:t>
      </w:r>
      <w:r w:rsidRPr="00E206AF">
        <w:rPr>
          <w:rFonts w:ascii="Century" w:hAnsi="Century" w:cs="Miriam" w:hint="eastAsia"/>
          <w:b/>
          <w:sz w:val="22"/>
          <w:rtl/>
        </w:rPr>
        <w:t>נגד</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w:t>
      </w:r>
      <w:r w:rsidRPr="00E206AF">
        <w:rPr>
          <w:rFonts w:ascii="Arial TUR" w:hAnsi="Arial TUR" w:cs="FrankRuehl" w:hint="eastAsia"/>
          <w:spacing w:val="10"/>
          <w:sz w:val="22"/>
          <w:szCs w:val="28"/>
          <w:rtl/>
        </w:rPr>
        <w:t>אומנם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זו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צריכה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להיות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מופעלת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לעיתים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תוך</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הנסגה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שיפוטית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אך</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עדיין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במקרים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המתאימים</w:t>
      </w:r>
      <w:r w:rsidRPr="00E206AF">
        <w:rPr>
          <w:rFonts w:ascii="Arial TUR" w:hAnsi="Arial TUR" w:cs="FrankRuehl" w:hint="cs"/>
          <w:spacing w:val="10"/>
          <w:sz w:val="22"/>
          <w:szCs w:val="28"/>
          <w:rtl/>
        </w:rPr>
        <w:t xml:space="preserve"> </w:t>
      </w:r>
      <w:r w:rsidRPr="00E206AF">
        <w:rPr>
          <w:rFonts w:ascii="Arial TUR" w:hAnsi="Arial TUR" w:cs="FrankRuehl" w:hint="eastAsia"/>
          <w:spacing w:val="10"/>
          <w:sz w:val="22"/>
          <w:szCs w:val="28"/>
          <w:rtl/>
        </w:rPr>
        <w:t>תצדיק</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פסילת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שיקול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הדעת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המינהלי</w:t>
      </w:r>
      <w:r w:rsidRPr="00E206AF">
        <w:rPr>
          <w:rFonts w:ascii="Arial TUR" w:hAnsi="Arial TUR" w:cs="FrankRuehl" w:hint="cs"/>
          <w:spacing w:val="10"/>
          <w:sz w:val="22"/>
          <w:szCs w:val="28"/>
          <w:rtl/>
        </w:rPr>
        <w:t xml:space="preserve"> [...] </w:t>
      </w:r>
      <w:r w:rsidRPr="00E206AF">
        <w:rPr>
          <w:rFonts w:ascii="Arial TUR" w:hAnsi="Arial TUR" w:cs="FrankRuehl" w:hint="eastAsia"/>
          <w:spacing w:val="10"/>
          <w:sz w:val="22"/>
          <w:szCs w:val="28"/>
          <w:rtl/>
        </w:rPr>
        <w:t>במשטר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שבו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קיימת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עילת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סבירות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הרשות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תדע</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יתכן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שיהיה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עליה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ליתן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דין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וחשבון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בפני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lastRenderedPageBreak/>
        <w:t>המשפט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ולמעשה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גם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בפני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הציבור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הרחב</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גם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ביחס</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לסוגיות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מקצועיות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ציבוריות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ופוליטיות</w:t>
      </w:r>
      <w:r w:rsidRPr="00E206AF">
        <w:rPr>
          <w:rFonts w:ascii="Arial TUR" w:hAnsi="Arial TUR" w:cs="FrankRuehl" w:hint="cs"/>
          <w:spacing w:val="10"/>
          <w:sz w:val="22"/>
          <w:szCs w:val="28"/>
          <w:rtl/>
        </w:rPr>
        <w:t xml:space="preserve">" (גרשון </w:t>
      </w:r>
      <w:r w:rsidRPr="00E206AF">
        <w:rPr>
          <w:rFonts w:ascii="Arial TUR" w:hAnsi="Arial TUR" w:cs="FrankRuehl" w:hint="eastAsia"/>
          <w:spacing w:val="10"/>
          <w:sz w:val="22"/>
          <w:szCs w:val="28"/>
          <w:rtl/>
        </w:rPr>
        <w:t>גונטובניק</w:t>
      </w:r>
      <w:r w:rsidRPr="00E206AF">
        <w:rPr>
          <w:rFonts w:ascii="Arial TUR" w:hAnsi="Arial TUR" w:cs="FrankRuehl" w:hint="cs"/>
          <w:spacing w:val="10"/>
          <w:sz w:val="22"/>
          <w:szCs w:val="28"/>
          <w:rtl/>
        </w:rPr>
        <w:t xml:space="preserve"> "</w:t>
      </w:r>
      <w:r w:rsidRPr="00E206AF">
        <w:rPr>
          <w:rFonts w:ascii="Arial TUR" w:hAnsi="Arial TUR" w:cs="FrankRuehl"/>
          <w:spacing w:val="10"/>
          <w:sz w:val="22"/>
          <w:szCs w:val="28"/>
          <w:rtl/>
        </w:rPr>
        <w:t>ביקורת שיפוטית על שיקול הדעת של רשויות ציבוריות</w:t>
      </w:r>
      <w:r w:rsidRPr="00E206AF">
        <w:rPr>
          <w:rFonts w:ascii="Arial TUR" w:hAnsi="Arial TUR" w:cs="FrankRuehl" w:hint="cs"/>
          <w:spacing w:val="10"/>
          <w:sz w:val="22"/>
          <w:szCs w:val="28"/>
          <w:rtl/>
        </w:rPr>
        <w:t>: אמות מידה שונות של 'הנסגה שיפוטית' (</w:t>
      </w:r>
      <w:r w:rsidRPr="00E206AF">
        <w:rPr>
          <w:rFonts w:cs="Times New Roman"/>
          <w:spacing w:val="10"/>
          <w:sz w:val="22"/>
          <w:szCs w:val="28"/>
        </w:rPr>
        <w:t>deference</w:t>
      </w:r>
      <w:r w:rsidRPr="00E206AF">
        <w:rPr>
          <w:rFonts w:ascii="Arial TUR" w:hAnsi="Arial TUR" w:cs="FrankRuehl" w:hint="cs"/>
          <w:spacing w:val="10"/>
          <w:sz w:val="22"/>
          <w:szCs w:val="28"/>
          <w:rtl/>
        </w:rPr>
        <w:t xml:space="preserve">)" </w:t>
      </w:r>
      <w:r w:rsidRPr="00E206AF">
        <w:rPr>
          <w:rFonts w:ascii="Century" w:hAnsi="Century" w:cs="Miriam" w:hint="eastAsia"/>
          <w:b/>
          <w:sz w:val="22"/>
          <w:rtl/>
        </w:rPr>
        <w:t>ספר</w:t>
      </w:r>
      <w:r w:rsidRPr="00E206AF">
        <w:rPr>
          <w:rFonts w:ascii="Century" w:hAnsi="Century" w:cs="Miriam"/>
          <w:b/>
          <w:sz w:val="22"/>
          <w:rtl/>
        </w:rPr>
        <w:t xml:space="preserve"> </w:t>
      </w:r>
      <w:r w:rsidRPr="00E206AF">
        <w:rPr>
          <w:rFonts w:ascii="Century" w:hAnsi="Century" w:cs="Miriam" w:hint="eastAsia"/>
          <w:b/>
          <w:sz w:val="22"/>
          <w:rtl/>
        </w:rPr>
        <w:t>עדנה</w:t>
      </w:r>
      <w:r w:rsidRPr="00E206AF">
        <w:rPr>
          <w:rFonts w:ascii="Century" w:hAnsi="Century" w:cs="Miriam"/>
          <w:b/>
          <w:sz w:val="22"/>
          <w:rtl/>
        </w:rPr>
        <w:t xml:space="preserve"> </w:t>
      </w:r>
      <w:r w:rsidRPr="00E206AF">
        <w:rPr>
          <w:rFonts w:ascii="Century" w:hAnsi="Century" w:cs="Miriam" w:hint="eastAsia"/>
          <w:b/>
          <w:sz w:val="22"/>
          <w:rtl/>
        </w:rPr>
        <w:t>ארבל</w:t>
      </w:r>
      <w:r w:rsidRPr="00E206AF">
        <w:rPr>
          <w:rFonts w:ascii="Arial TUR" w:hAnsi="Arial TUR" w:cs="FrankRuehl" w:hint="cs"/>
          <w:spacing w:val="10"/>
          <w:sz w:val="22"/>
          <w:szCs w:val="28"/>
          <w:rtl/>
        </w:rPr>
        <w:t xml:space="preserve"> 489, 534-533 </w:t>
      </w:r>
      <w:r w:rsidRPr="00E206AF">
        <w:rPr>
          <w:rFonts w:ascii="Arial TUR" w:hAnsi="Arial TUR" w:cs="FrankRuehl"/>
          <w:spacing w:val="10"/>
          <w:sz w:val="22"/>
          <w:szCs w:val="28"/>
          <w:rtl/>
        </w:rPr>
        <w:t>(</w:t>
      </w:r>
      <w:r w:rsidRPr="00E206AF">
        <w:rPr>
          <w:rFonts w:ascii="Arial TUR" w:hAnsi="Arial TUR" w:cs="FrankRuehl" w:hint="eastAsia"/>
          <w:spacing w:val="10"/>
          <w:sz w:val="22"/>
          <w:szCs w:val="28"/>
          <w:rtl/>
        </w:rPr>
        <w:t>שלי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אביב</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ייני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דורית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ביניש</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אריאל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בנדור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הדר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דנציג</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רוזנברג</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קרן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מילר</w:t>
      </w:r>
      <w:r w:rsidRPr="00E206AF">
        <w:rPr>
          <w:rFonts w:ascii="Arial TUR" w:hAnsi="Arial TUR" w:cs="FrankRuehl"/>
          <w:spacing w:val="10"/>
          <w:sz w:val="22"/>
          <w:szCs w:val="28"/>
          <w:rtl/>
        </w:rPr>
        <w:t xml:space="preserve"> – </w:t>
      </w:r>
      <w:r w:rsidRPr="00E206AF">
        <w:rPr>
          <w:rFonts w:ascii="Arial TUR" w:hAnsi="Arial TUR" w:cs="FrankRuehl" w:hint="eastAsia"/>
          <w:spacing w:val="10"/>
          <w:sz w:val="22"/>
          <w:szCs w:val="28"/>
          <w:rtl/>
        </w:rPr>
        <w:t>עורכים</w:t>
      </w:r>
      <w:r w:rsidRPr="00E206AF">
        <w:rPr>
          <w:rFonts w:ascii="Arial TUR" w:hAnsi="Arial TUR" w:cs="FrankRuehl"/>
          <w:spacing w:val="10"/>
          <w:sz w:val="22"/>
          <w:szCs w:val="28"/>
          <w:rtl/>
        </w:rPr>
        <w:t>, 2022)</w:t>
      </w:r>
      <w:r w:rsidRPr="00E206AF">
        <w:rPr>
          <w:rFonts w:ascii="Arial TUR" w:hAnsi="Arial TUR" w:cs="FrankRuehl" w:hint="cs"/>
          <w:spacing w:val="10"/>
          <w:sz w:val="22"/>
          <w:szCs w:val="28"/>
          <w:rtl/>
        </w:rPr>
        <w:t xml:space="preserve">; ההדגשה הוספה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י"ו). </w:t>
      </w:r>
    </w:p>
    <w:p w:rsidR="00E32081" w:rsidRPr="00E206AF" w:rsidRDefault="00E32081" w:rsidP="00E32081">
      <w:pPr>
        <w:ind w:left="1644" w:right="1276"/>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25.</w:t>
      </w:r>
      <w:r w:rsidRPr="00E206AF">
        <w:rPr>
          <w:rFonts w:ascii="Century" w:hAnsi="Century" w:cs="FrankRuehl" w:hint="cs"/>
          <w:spacing w:val="10"/>
          <w:sz w:val="22"/>
          <w:szCs w:val="28"/>
          <w:rtl/>
        </w:rPr>
        <w:tab/>
        <w:t xml:space="preserve">השופטת </w:t>
      </w:r>
      <w:r w:rsidRPr="00E206AF">
        <w:rPr>
          <w:rFonts w:ascii="Century" w:hAnsi="Century" w:cs="Miriam" w:hint="cs"/>
          <w:b/>
          <w:sz w:val="22"/>
          <w:rtl/>
        </w:rPr>
        <w:t xml:space="preserve">ברק-ארז </w:t>
      </w:r>
      <w:r w:rsidRPr="00E206AF">
        <w:rPr>
          <w:rFonts w:ascii="Century" w:hAnsi="Century" w:cs="FrankRuehl" w:hint="cs"/>
          <w:spacing w:val="10"/>
          <w:sz w:val="22"/>
          <w:szCs w:val="28"/>
          <w:rtl/>
        </w:rPr>
        <w:t>עמדה על מעלותיה של עילת הסבירות אף בכתיבתה האקדמית:</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hint="cs"/>
          <w:spacing w:val="10"/>
          <w:sz w:val="22"/>
          <w:szCs w:val="28"/>
          <w:rtl/>
        </w:rPr>
        <w:t xml:space="preserve">"חשוב לומר לזכותה [של עילת הסבירות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י"ו] את הדברים הבאים: ראשית, השימוש בעילת הסבירות תרם תרומה חשובה לקידום נורמות של הגינות שלטונית בישראל. שנית, לעילת הסבירות יש תפקיד חשוב בהגנה על זכויות אדם במצבים שבהם הפגיעה בזכויות אינה נעשית בשם שיקול פסול, אך אינה נותנת להן משקל הולם, או כאשר הפגיעה בזכויות מונעת על-ידי שיקול פסול אשר מוצנע באופן אפקטיבי. שלישית, עילת הסבירות קשורה באופן הדוק לעילות ביקורת אחרות, כמו עילת ההפלייה [...] ועילת המידתיות [...]. רביעית, יש להעריך את תרומתה של עילת הסבירות לא רק בהתייחס למקרים שנדונו בבתי המשפט, אלא גם מהיבט השפעתה של עיצוב החלטותיהן של רשויות המינהל כהחלטות שחותרות לאיזון בין מירב השיקולים, לרבות שיקולים נורמטיביים. באופן כללי יותר, ניתן לומר שעילת הסבירות היא עיקרון משפטי מתאים במיוחד לביקורת על החלטות מינהליות, בהתחשב בכך שתכליתן של החלטות אלה היא איזון בין אינטרסים חברתיים" (</w:t>
      </w:r>
      <w:r w:rsidRPr="00E206AF">
        <w:rPr>
          <w:rFonts w:ascii="Century" w:hAnsi="Century" w:cs="Miriam" w:hint="cs"/>
          <w:b/>
          <w:sz w:val="22"/>
          <w:rtl/>
        </w:rPr>
        <w:t>ברק-ארז, משפט מינהלי</w:t>
      </w:r>
      <w:r w:rsidRPr="00E206AF">
        <w:rPr>
          <w:rFonts w:ascii="Arial TUR" w:hAnsi="Arial TUR" w:cs="FrankRuehl" w:hint="cs"/>
          <w:spacing w:val="10"/>
          <w:sz w:val="22"/>
          <w:szCs w:val="28"/>
          <w:rtl/>
        </w:rPr>
        <w:t>, בעמ' 769).</w:t>
      </w:r>
    </w:p>
    <w:p w:rsidR="00E32081" w:rsidRPr="00E206AF" w:rsidRDefault="00E32081" w:rsidP="00E32081">
      <w:pPr>
        <w:tabs>
          <w:tab w:val="left" w:pos="800"/>
        </w:tabs>
        <w:spacing w:line="360" w:lineRule="auto"/>
        <w:jc w:val="both"/>
        <w:rPr>
          <w:rFonts w:ascii="Century" w:hAnsi="Century" w:cs="Miriam"/>
          <w:b/>
          <w:sz w:val="22"/>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Miriam"/>
          <w:b/>
          <w:sz w:val="22"/>
          <w:rtl/>
        </w:rPr>
        <w:tab/>
      </w:r>
      <w:r w:rsidRPr="00E206AF">
        <w:rPr>
          <w:rFonts w:ascii="Century" w:hAnsi="Century" w:cs="FrankRuehl" w:hint="cs"/>
          <w:spacing w:val="10"/>
          <w:sz w:val="22"/>
          <w:szCs w:val="28"/>
          <w:rtl/>
        </w:rPr>
        <w:t xml:space="preserve">עם זאת, </w:t>
      </w:r>
      <w:r w:rsidRPr="00E206AF">
        <w:rPr>
          <w:rFonts w:ascii="Century" w:hAnsi="Century" w:cs="FrankRuehl" w:hint="eastAsia"/>
          <w:spacing w:val="10"/>
          <w:sz w:val="22"/>
          <w:szCs w:val="28"/>
          <w:rtl/>
        </w:rPr>
        <w:t>חשוב</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לציין</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כי השופטת</w:t>
      </w:r>
      <w:r w:rsidRPr="00E206AF">
        <w:rPr>
          <w:rFonts w:ascii="Century" w:hAnsi="Century" w:cs="Miriam" w:hint="cs"/>
          <w:b/>
          <w:sz w:val="22"/>
          <w:rtl/>
        </w:rPr>
        <w:t xml:space="preserve"> ברק-ארז </w:t>
      </w:r>
      <w:r w:rsidRPr="00E206AF">
        <w:rPr>
          <w:rFonts w:ascii="Century" w:hAnsi="Century" w:cs="FrankRuehl" w:hint="cs"/>
          <w:spacing w:val="10"/>
          <w:sz w:val="22"/>
          <w:szCs w:val="28"/>
          <w:rtl/>
        </w:rPr>
        <w:t>עומדת בספרה גם על הקשיים הטמונים בעילת הסבירות האיזונית:</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hint="cs"/>
          <w:spacing w:val="10"/>
          <w:sz w:val="22"/>
          <w:szCs w:val="28"/>
          <w:rtl/>
        </w:rPr>
        <w:t xml:space="preserve">"עילת הסבירות טומנת בחובה פוטנציאל לטשטוש תחומים בין הפעלתה של ביקורת שיפוטית לבין החלפת שיקול דעתה של הרשות בהחלטה הנראית לבית המשפט כרצויה יותר [...] לאמיתו של דבר, מרבית העקרונות שהוגדרו בפסיקה לקביעת גבולותיה של עילת הסבירות אינם ניתנים לתרגום להגבלות קונקרטיות על ההתערבות, והם פועלים בעיקר כרטוריקה מרסנת, שבאמצעותה מגדיר בית המשפט את תפקידו בהפעלת הביקורת השיפוטית. מתחם הסבירות אינו אלא פרי יצירתו של בית המשפט עצמו, אשר ברצותו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מרחיב, וברצותו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מקצר. נוסף לכך, בדוקטרינה של מתחם הסבירות אין מענה למצבים שבהם ההחלטה העומדת בפני הרשות היא באופן עקרוני בעלת אופי בינארי, לדוגמה בהתייחס למינויים. </w:t>
      </w:r>
      <w:r w:rsidRPr="00E206AF">
        <w:rPr>
          <w:rFonts w:ascii="Arial TUR" w:hAnsi="Arial TUR" w:cs="FrankRuehl" w:hint="cs"/>
          <w:spacing w:val="10"/>
          <w:sz w:val="22"/>
          <w:szCs w:val="28"/>
          <w:rtl/>
        </w:rPr>
        <w:lastRenderedPageBreak/>
        <w:t>ניתן להוסיף כי גם הגדרתה של אי-סבירות כ'קיצונית' או כ'מהותית' היא, בסופו של דבר, תולדה של הערכה נורמטיבית הנעשית על-ידי בית המשפט עצמו" (שם, בעמ' 764-763).</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numPr>
          <w:ilvl w:val="0"/>
          <w:numId w:val="21"/>
        </w:numPr>
        <w:tabs>
          <w:tab w:val="left" w:pos="800"/>
        </w:tabs>
        <w:spacing w:line="360" w:lineRule="auto"/>
        <w:jc w:val="both"/>
        <w:rPr>
          <w:rFonts w:ascii="Century" w:hAnsi="Century" w:cs="Miriam"/>
          <w:b/>
          <w:sz w:val="22"/>
          <w:rtl/>
        </w:rPr>
      </w:pPr>
      <w:r w:rsidRPr="00E206AF">
        <w:rPr>
          <w:rFonts w:ascii="Century" w:hAnsi="Century" w:cs="Miriam" w:hint="cs"/>
          <w:b/>
          <w:sz w:val="22"/>
          <w:rtl/>
        </w:rPr>
        <w:t xml:space="preserve">ביקורת על עילת הסבירות האיזונית </w:t>
      </w:r>
    </w:p>
    <w:p w:rsidR="00E32081" w:rsidRPr="00E206AF" w:rsidRDefault="00E32081" w:rsidP="00E32081">
      <w:pPr>
        <w:tabs>
          <w:tab w:val="left" w:pos="800"/>
        </w:tabs>
        <w:spacing w:line="360" w:lineRule="auto"/>
        <w:jc w:val="both"/>
        <w:rPr>
          <w:rFonts w:ascii="Century" w:hAnsi="Century" w:cs="Miriam"/>
          <w:b/>
          <w:sz w:val="22"/>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26.</w:t>
      </w:r>
      <w:r w:rsidRPr="00E206AF">
        <w:rPr>
          <w:rFonts w:ascii="Century" w:hAnsi="Century" w:cs="FrankRuehl" w:hint="cs"/>
          <w:spacing w:val="10"/>
          <w:sz w:val="22"/>
          <w:szCs w:val="28"/>
          <w:rtl/>
        </w:rPr>
        <w:tab/>
        <w:t>מצדו השני של המתרס, היו שופטים, וכן מלומדי משפט, אשר עמדו על הקשיים הטמונים בעילת הסבירות האיזונית.</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spacing w:val="10"/>
          <w:sz w:val="22"/>
          <w:szCs w:val="28"/>
          <w:rtl/>
        </w:rPr>
        <w:tab/>
      </w:r>
    </w:p>
    <w:p w:rsidR="00E32081" w:rsidRPr="00E206AF" w:rsidRDefault="00E32081" w:rsidP="00E32081">
      <w:pPr>
        <w:tabs>
          <w:tab w:val="left" w:pos="800"/>
        </w:tabs>
        <w:spacing w:line="360" w:lineRule="auto"/>
        <w:jc w:val="both"/>
        <w:rPr>
          <w:rFonts w:ascii="Arial TUR" w:hAnsi="Arial TUR" w:cs="FrankRuehl"/>
          <w:spacing w:val="10"/>
          <w:sz w:val="22"/>
          <w:szCs w:val="28"/>
        </w:rPr>
      </w:pPr>
      <w:r w:rsidRPr="00E206AF">
        <w:rPr>
          <w:rFonts w:ascii="Arial TUR" w:hAnsi="Arial TUR" w:cs="FrankRuehl"/>
          <w:spacing w:val="10"/>
          <w:sz w:val="22"/>
          <w:szCs w:val="28"/>
          <w:rtl/>
        </w:rPr>
        <w:tab/>
      </w:r>
      <w:r w:rsidRPr="00E206AF">
        <w:rPr>
          <w:rFonts w:ascii="Arial TUR" w:hAnsi="Arial TUR" w:cs="FrankRuehl" w:hint="cs"/>
          <w:spacing w:val="10"/>
          <w:sz w:val="22"/>
          <w:szCs w:val="28"/>
          <w:rtl/>
        </w:rPr>
        <w:t xml:space="preserve">כך, כמפורט לעיל, הנשיא </w:t>
      </w:r>
      <w:r w:rsidRPr="00E206AF">
        <w:rPr>
          <w:rFonts w:ascii="Century" w:hAnsi="Century" w:cs="Miriam" w:hint="cs"/>
          <w:b/>
          <w:sz w:val="22"/>
          <w:rtl/>
        </w:rPr>
        <w:t>לנדוי</w:t>
      </w:r>
      <w:r w:rsidRPr="00E206AF">
        <w:rPr>
          <w:rFonts w:ascii="Century" w:hAnsi="Century" w:cs="FrankRuehl" w:hint="cs"/>
          <w:spacing w:val="10"/>
          <w:sz w:val="22"/>
          <w:szCs w:val="28"/>
          <w:rtl/>
        </w:rPr>
        <w:t>, הביע חשש כי עילת הסבירות האיזונית עשויה להוביל למצב דברים שבו בית המשפט, למעשה, שוקל את החלטת הרשות המינהלית</w:t>
      </w:r>
      <w:r w:rsidRPr="00E206AF">
        <w:rPr>
          <w:rFonts w:cs="Times New Roman"/>
          <w:spacing w:val="10"/>
          <w:sz w:val="22"/>
          <w:szCs w:val="28"/>
        </w:rPr>
        <w:t xml:space="preserve">de novo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ובכך, ממלא הוא תפקיד אשר "</w:t>
      </w:r>
      <w:r w:rsidRPr="00E206AF">
        <w:rPr>
          <w:rFonts w:ascii="Century" w:hAnsi="Century" w:cs="FrankRuehl" w:hint="cs"/>
          <w:spacing w:val="10"/>
          <w:sz w:val="22"/>
          <w:szCs w:val="28"/>
          <w:rtl/>
        </w:rPr>
        <w:t xml:space="preserve">לא קיבל בית-משפט זה על עצמו מעולם עד כה" (עניין </w:t>
      </w:r>
      <w:r w:rsidRPr="00E206AF">
        <w:rPr>
          <w:rFonts w:ascii="Century" w:hAnsi="Century" w:cs="Miriam" w:hint="cs"/>
          <w:b/>
          <w:sz w:val="22"/>
          <w:rtl/>
        </w:rPr>
        <w:t>דפי זהב</w:t>
      </w:r>
      <w:r w:rsidRPr="00E206AF">
        <w:rPr>
          <w:rFonts w:ascii="Century" w:hAnsi="Century" w:cs="FrankRuehl" w:hint="cs"/>
          <w:spacing w:val="10"/>
          <w:sz w:val="22"/>
          <w:szCs w:val="28"/>
          <w:rtl/>
        </w:rPr>
        <w:t xml:space="preserve">, בעמ' 432). לנוכח האמור, דעתו של הנשיא </w:t>
      </w:r>
      <w:r w:rsidRPr="00E206AF">
        <w:rPr>
          <w:rFonts w:ascii="Century" w:hAnsi="Century" w:cs="Miriam" w:hint="cs"/>
          <w:b/>
          <w:sz w:val="22"/>
          <w:rtl/>
        </w:rPr>
        <w:t xml:space="preserve">לנדוי </w:t>
      </w:r>
      <w:r w:rsidRPr="00E206AF">
        <w:rPr>
          <w:rFonts w:ascii="Century" w:hAnsi="Century" w:cs="FrankRuehl" w:hint="cs"/>
          <w:spacing w:val="10"/>
          <w:sz w:val="22"/>
          <w:szCs w:val="28"/>
          <w:rtl/>
        </w:rPr>
        <w:t>הייתה כי "</w:t>
      </w:r>
      <w:r w:rsidRPr="00E206AF">
        <w:rPr>
          <w:rFonts w:ascii="Arial TUR" w:hAnsi="Arial TUR" w:cs="FrankRuehl"/>
          <w:spacing w:val="10"/>
          <w:sz w:val="22"/>
          <w:szCs w:val="28"/>
          <w:rtl/>
        </w:rPr>
        <w:t>די לנו בנוסחאות מקובלות אלה, ואין להוסיף עליהן נוסחה חדשה בדבר מתן משקל יחסי בלתי סביר לאינטרסים השונים הראויים להישקל – נוסחה העלולה לערב את בית המשפט בבדיקת תבונתה ויעילותה של ההחלטה המינהלית</w:t>
      </w:r>
      <w:r w:rsidRPr="00E206AF">
        <w:rPr>
          <w:rFonts w:ascii="Arial TUR" w:hAnsi="Arial TUR" w:cs="FrankRuehl" w:hint="cs"/>
          <w:spacing w:val="10"/>
          <w:sz w:val="22"/>
          <w:szCs w:val="28"/>
          <w:rtl/>
        </w:rPr>
        <w:t>" (שם)</w:t>
      </w:r>
      <w:r w:rsidRPr="00E206AF">
        <w:rPr>
          <w:rFonts w:ascii="Arial TUR" w:hAnsi="Arial TUR" w:cs="FrankRuehl"/>
          <w:spacing w:val="10"/>
          <w:sz w:val="22"/>
          <w:szCs w:val="28"/>
          <w:rtl/>
        </w:rPr>
        <w:t>.</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spacing w:val="10"/>
          <w:sz w:val="22"/>
          <w:szCs w:val="28"/>
          <w:rtl/>
        </w:rPr>
        <w:tab/>
      </w:r>
      <w:r w:rsidRPr="00E206AF">
        <w:rPr>
          <w:rFonts w:ascii="Arial TUR" w:hAnsi="Arial TUR" w:cs="FrankRuehl" w:hint="cs"/>
          <w:spacing w:val="10"/>
          <w:sz w:val="22"/>
          <w:szCs w:val="28"/>
          <w:rtl/>
        </w:rPr>
        <w:t xml:space="preserve">אף במאמר שפרסם ציין </w:t>
      </w:r>
      <w:r w:rsidRPr="00E206AF">
        <w:rPr>
          <w:rFonts w:ascii="Century" w:hAnsi="Century" w:cs="Miriam" w:hint="cs"/>
          <w:b/>
          <w:sz w:val="22"/>
          <w:rtl/>
        </w:rPr>
        <w:t xml:space="preserve">לנדוי </w:t>
      </w:r>
      <w:r w:rsidRPr="00E206AF">
        <w:rPr>
          <w:rFonts w:ascii="Century" w:hAnsi="Century" w:cs="FrankRuehl" w:hint="cs"/>
          <w:spacing w:val="10"/>
          <w:sz w:val="22"/>
          <w:szCs w:val="28"/>
          <w:rtl/>
        </w:rPr>
        <w:t xml:space="preserve">כי "קיימת סתירה פנימית בין עצם גמישותו של מושג הסבירות, שהפוסק יכול לצקת בו תוכן על-פי הבנתו, לבין העלאת אותו מושג לדרגת קנה-מידה קשיח. כך נהפכת נוסחת הסבירות לעין מלת-צופן, חסרת תוכן מוגדר משלה, המשמשת מכשיר אובייקטיבי, כביכול, בידי השופט, אך לאמיתו של דבר מופעל באמצעותו שיקול-דעתו הסובייקטיבי של השופט, המתבטא במלאכת האיזון בין אינטרסים נוגדים, כפי שאלה נראים בעיני השופט" (משה לנדוי, "על שפיטות וסבירות בדין המנהלי" </w:t>
      </w:r>
      <w:r w:rsidRPr="00E206AF">
        <w:rPr>
          <w:rFonts w:ascii="Century" w:hAnsi="Century" w:cs="Miriam" w:hint="cs"/>
          <w:b/>
          <w:sz w:val="22"/>
          <w:rtl/>
        </w:rPr>
        <w:t xml:space="preserve">עיוני משפט </w:t>
      </w:r>
      <w:r w:rsidRPr="00E206AF">
        <w:rPr>
          <w:rFonts w:ascii="Century" w:hAnsi="Century" w:cs="FrankRuehl" w:hint="cs"/>
          <w:spacing w:val="10"/>
          <w:sz w:val="22"/>
          <w:szCs w:val="28"/>
          <w:rtl/>
        </w:rPr>
        <w:t>יד 5, 12 (התשמ"ט)). לגישתו, הדבר עלול "להביא לידי אותו ריכוז-יתר של כוח בידי הרשות השופטת, שמפניו התריע הנשיא שמגר [ב</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910/86 </w:t>
      </w:r>
      <w:r w:rsidRPr="00E206AF">
        <w:rPr>
          <w:rFonts w:ascii="Century" w:hAnsi="Century" w:cs="Miriam" w:hint="eastAsia"/>
          <w:b/>
          <w:sz w:val="22"/>
          <w:rtl/>
        </w:rPr>
        <w:t>רסלר</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שר</w:t>
      </w:r>
      <w:r w:rsidRPr="00E206AF">
        <w:rPr>
          <w:rFonts w:ascii="Century" w:hAnsi="Century" w:cs="Miriam"/>
          <w:b/>
          <w:sz w:val="22"/>
          <w:rtl/>
        </w:rPr>
        <w:t xml:space="preserve"> </w:t>
      </w:r>
      <w:r w:rsidRPr="00E206AF">
        <w:rPr>
          <w:rFonts w:ascii="Century" w:hAnsi="Century" w:cs="Miriam" w:hint="eastAsia"/>
          <w:b/>
          <w:sz w:val="22"/>
          <w:rtl/>
        </w:rPr>
        <w:t>הביטחון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מב</w:t>
      </w:r>
      <w:r w:rsidRPr="00E206AF">
        <w:rPr>
          <w:rFonts w:ascii="Century" w:hAnsi="Century" w:cs="FrankRuehl"/>
          <w:spacing w:val="10"/>
          <w:sz w:val="22"/>
          <w:szCs w:val="28"/>
          <w:rtl/>
        </w:rPr>
        <w:t>(2) 441 (1988) –</w:t>
      </w:r>
      <w:r w:rsidRPr="00E206AF">
        <w:rPr>
          <w:rFonts w:ascii="Century" w:hAnsi="Century" w:cs="FrankRuehl" w:hint="cs"/>
          <w:spacing w:val="10"/>
          <w:sz w:val="22"/>
          <w:szCs w:val="28"/>
          <w:rtl/>
        </w:rPr>
        <w:t xml:space="preserve"> י"ו], תוך חדירה עמוקה אל התחום החייב להיות שמור לרשויות המבצעיות-המנהליות במדינה" (שם, בעמ' 13-12). על כן, כך הציע </w:t>
      </w:r>
      <w:r w:rsidRPr="00E206AF">
        <w:rPr>
          <w:rFonts w:ascii="Century" w:hAnsi="Century" w:cs="Miriam" w:hint="cs"/>
          <w:b/>
          <w:sz w:val="22"/>
          <w:rtl/>
        </w:rPr>
        <w:t>לנדוי</w:t>
      </w:r>
      <w:r w:rsidRPr="00E206AF">
        <w:rPr>
          <w:rFonts w:ascii="Century" w:hAnsi="Century" w:cs="FrankRuehl" w:hint="cs"/>
          <w:spacing w:val="10"/>
          <w:sz w:val="22"/>
          <w:szCs w:val="28"/>
          <w:rtl/>
        </w:rPr>
        <w:t xml:space="preserve"> במאמרו:</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hint="cs"/>
          <w:spacing w:val="10"/>
          <w:sz w:val="22"/>
          <w:szCs w:val="28"/>
          <w:rtl/>
        </w:rPr>
        <w:t xml:space="preserve">"תחת קנה-המידה של סבירות, שכוללניותה מדומה, אני חוזר ומציע ללכת בהליכה אינדוקטיבית בהכרעות קונקרטיות, המביאה בסופו של תהליך, ולא בתחילתו, לגיבוש עילות בעלות תוכן קונקרטי, כגון חריגה מסמכות, פרשנות מוטעית של דין חרות, שרירות, אפליה, אי-הגינות דיונית, התחשבות בגורם שאינו נוגע בעניין ואי-התחשבות בגורם הנוגע בעניין, וגם החלטה מנהלית כה מופרכת על פניה (אבסורדית) עד שיש לראות בה </w:t>
      </w:r>
      <w:r w:rsidRPr="00E206AF">
        <w:rPr>
          <w:rFonts w:ascii="Arial TUR" w:hAnsi="Arial TUR" w:cs="FrankRuehl" w:hint="cs"/>
          <w:spacing w:val="10"/>
          <w:sz w:val="22"/>
          <w:szCs w:val="28"/>
          <w:rtl/>
        </w:rPr>
        <w:lastRenderedPageBreak/>
        <w:t>חריגה מסמכותה של הרשות המחליטה. שיטה זאת מיטיבה להבטיח את צמיחתה האורגנית של חקיקה שיפוטית יוצרת, כי רשימת העילות אינה סגורה, אלא היא עשויה להתפתח על סמך הניסיון השיפוטי המצטבר ממקרה למקרה" (שם, בעמ' 13).</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27.</w:t>
      </w:r>
      <w:r w:rsidRPr="00E206AF">
        <w:rPr>
          <w:rFonts w:ascii="Century" w:hAnsi="Century" w:cs="FrankRuehl" w:hint="cs"/>
          <w:spacing w:val="10"/>
          <w:sz w:val="22"/>
          <w:szCs w:val="28"/>
          <w:rtl/>
        </w:rPr>
        <w:tab/>
        <w:t xml:space="preserve">אף השופט </w:t>
      </w:r>
      <w:r w:rsidRPr="00E206AF">
        <w:rPr>
          <w:rFonts w:ascii="Century" w:hAnsi="Century" w:cs="Miriam" w:hint="cs"/>
          <w:b/>
          <w:sz w:val="22"/>
          <w:rtl/>
        </w:rPr>
        <w:t>מ' אלון</w:t>
      </w:r>
      <w:r w:rsidRPr="00E206AF">
        <w:rPr>
          <w:rFonts w:ascii="Century" w:hAnsi="Century" w:cs="FrankRuehl" w:hint="cs"/>
          <w:spacing w:val="10"/>
          <w:sz w:val="22"/>
          <w:szCs w:val="28"/>
          <w:rtl/>
        </w:rPr>
        <w:t>, חלק על ההיבט האיזוני שבעילת הסבירות:</w:t>
      </w:r>
      <w:r w:rsidRPr="00E206AF">
        <w:rPr>
          <w:rFonts w:ascii="Century" w:hAnsi="Century" w:cs="FrankRuehl"/>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FrankRuehl" w:hAnsi="FrankRuehl" w:cs="FrankRuehl"/>
          <w:color w:val="000000"/>
          <w:spacing w:val="10"/>
          <w:sz w:val="22"/>
          <w:szCs w:val="28"/>
          <w:shd w:val="clear" w:color="auto" w:fill="FFFFFF"/>
          <w:rtl/>
        </w:rPr>
      </w:pPr>
      <w:r w:rsidRPr="00E206AF">
        <w:rPr>
          <w:rFonts w:ascii="Century" w:hAnsi="Century" w:cs="FrankRuehl" w:hint="cs"/>
          <w:spacing w:val="10"/>
          <w:sz w:val="22"/>
          <w:szCs w:val="28"/>
          <w:rtl/>
        </w:rPr>
        <w:t>"</w:t>
      </w:r>
      <w:r w:rsidRPr="00E206AF">
        <w:rPr>
          <w:rFonts w:ascii="Arial TUR" w:hAnsi="Arial TUR" w:cs="FrankRuehl"/>
          <w:spacing w:val="10"/>
          <w:sz w:val="22"/>
          <w:szCs w:val="28"/>
          <w:rtl/>
        </w:rPr>
        <w:t>תיזה זו, עם כל הכבוד, אינה מקובלת עלי, וכמה השגות לי עליה. ראש לכול, כפי שכבר רמזתי לכך, קשה עלי השימוש מרחיק הלכת, מרובה האנפין והבלתי מוגבל בעקרון הסבירות. עצם עקרון הסבירות, וצאצאו "מיתחם הסבירות", כמבחן כללי ועצמאי לבדיקת פעולות השלטון, טומן בחובו קשיים ניכרים מבחינת יישומו</w:t>
      </w:r>
      <w:r w:rsidRPr="00E206AF">
        <w:rPr>
          <w:rFonts w:ascii="Arial TUR" w:hAnsi="Arial TUR" w:cs="FrankRuehl" w:hint="cs"/>
          <w:spacing w:val="10"/>
          <w:sz w:val="22"/>
          <w:szCs w:val="28"/>
          <w:rtl/>
        </w:rPr>
        <w:t xml:space="preserve"> [</w:t>
      </w:r>
      <w:r w:rsidRPr="00E206AF">
        <w:rPr>
          <w:rFonts w:ascii="Arial TUR" w:hAnsi="Arial TUR" w:cs="FrankRuehl"/>
          <w:spacing w:val="10"/>
          <w:sz w:val="22"/>
          <w:szCs w:val="28"/>
          <w:rtl/>
        </w:rPr>
        <w:t xml:space="preserve">...] בנדון דנן, מביא חברי את יישומם של עקרון הסבירות ומיתחם הסבירות על-ידי בית המשפט לשיאם. לדעת חברי, הסבירות מלוא כל המשפט כבודה, אין במשפט </w:t>
      </w:r>
      <w:r>
        <w:rPr>
          <w:rFonts w:ascii="Arial TUR" w:hAnsi="Arial TUR" w:cs="FrankRuehl" w:hint="cs"/>
          <w:spacing w:val="10"/>
          <w:sz w:val="22"/>
          <w:szCs w:val="28"/>
          <w:rtl/>
        </w:rPr>
        <w:t>'</w:t>
      </w:r>
      <w:r w:rsidRPr="00E206AF">
        <w:rPr>
          <w:rFonts w:ascii="Arial TUR" w:hAnsi="Arial TUR" w:cs="FrankRuehl"/>
          <w:spacing w:val="10"/>
          <w:sz w:val="22"/>
          <w:szCs w:val="28"/>
          <w:rtl/>
        </w:rPr>
        <w:t>חלל של סבירות</w:t>
      </w:r>
      <w:r>
        <w:rPr>
          <w:rFonts w:ascii="Arial TUR" w:hAnsi="Arial TUR" w:cs="FrankRuehl" w:hint="cs"/>
          <w:spacing w:val="10"/>
          <w:sz w:val="22"/>
          <w:szCs w:val="28"/>
          <w:rtl/>
        </w:rPr>
        <w:t>'</w:t>
      </w:r>
      <w:r w:rsidRPr="00E206AF">
        <w:rPr>
          <w:rFonts w:ascii="Arial TUR" w:hAnsi="Arial TUR" w:cs="FrankRuehl"/>
          <w:spacing w:val="10"/>
          <w:sz w:val="22"/>
          <w:szCs w:val="28"/>
          <w:rtl/>
        </w:rPr>
        <w:t>, ואין נושא שבחינת סבירותו נבצרת מן השופט</w:t>
      </w:r>
      <w:r w:rsidRPr="00E206AF">
        <w:rPr>
          <w:rFonts w:ascii="Arial TUR" w:hAnsi="Arial TUR" w:cs="FrankRuehl" w:hint="cs"/>
          <w:spacing w:val="10"/>
          <w:sz w:val="22"/>
          <w:szCs w:val="28"/>
          <w:rtl/>
        </w:rPr>
        <w:t>"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hint="cs"/>
          <w:spacing w:val="10"/>
          <w:sz w:val="22"/>
          <w:szCs w:val="28"/>
          <w:rtl/>
        </w:rPr>
        <w:t xml:space="preserve"> </w:t>
      </w:r>
      <w:r w:rsidRPr="00E206AF">
        <w:rPr>
          <w:rFonts w:ascii="Century" w:hAnsi="Century" w:cs="FrankRuehl"/>
          <w:spacing w:val="10"/>
          <w:sz w:val="22"/>
          <w:szCs w:val="28"/>
          <w:rtl/>
        </w:rPr>
        <w:t>1635</w:t>
      </w:r>
      <w:r w:rsidRPr="00E206AF">
        <w:rPr>
          <w:rFonts w:ascii="Century" w:hAnsi="Century" w:cs="FrankRuehl" w:hint="cs"/>
          <w:spacing w:val="10"/>
          <w:sz w:val="22"/>
          <w:szCs w:val="28"/>
          <w:rtl/>
        </w:rPr>
        <w:t>/</w:t>
      </w:r>
      <w:r w:rsidRPr="00E206AF">
        <w:rPr>
          <w:rFonts w:ascii="Century" w:hAnsi="Century" w:cs="FrankRuehl"/>
          <w:spacing w:val="10"/>
          <w:sz w:val="22"/>
          <w:szCs w:val="28"/>
          <w:rtl/>
        </w:rPr>
        <w:t xml:space="preserve">90 </w:t>
      </w:r>
      <w:r w:rsidRPr="00E206AF">
        <w:rPr>
          <w:rFonts w:ascii="Century" w:hAnsi="Century" w:cs="Miriam" w:hint="eastAsia"/>
          <w:b/>
          <w:sz w:val="22"/>
          <w:rtl/>
        </w:rPr>
        <w:t>ז</w:t>
      </w:r>
      <w:r w:rsidRPr="00E206AF">
        <w:rPr>
          <w:rFonts w:ascii="Century" w:hAnsi="Century" w:cs="Miriam"/>
          <w:b/>
          <w:sz w:val="22"/>
          <w:rtl/>
        </w:rPr>
        <w:t>'</w:t>
      </w:r>
      <w:r w:rsidRPr="00E206AF">
        <w:rPr>
          <w:rFonts w:ascii="Century" w:hAnsi="Century" w:cs="Miriam" w:hint="eastAsia"/>
          <w:b/>
          <w:sz w:val="22"/>
          <w:rtl/>
        </w:rPr>
        <w:t>רז</w:t>
      </w:r>
      <w:r w:rsidRPr="00E206AF">
        <w:rPr>
          <w:rFonts w:ascii="Century" w:hAnsi="Century" w:cs="Miriam"/>
          <w:b/>
          <w:sz w:val="22"/>
          <w:rtl/>
        </w:rPr>
        <w:t>'</w:t>
      </w:r>
      <w:r w:rsidRPr="00E206AF">
        <w:rPr>
          <w:rFonts w:ascii="Century" w:hAnsi="Century" w:cs="Miriam" w:hint="eastAsia"/>
          <w:b/>
          <w:sz w:val="22"/>
          <w:rtl/>
        </w:rPr>
        <w:t>בסקי</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ראש</w:t>
      </w:r>
      <w:r w:rsidRPr="00E206AF">
        <w:rPr>
          <w:rFonts w:ascii="Century" w:hAnsi="Century" w:cs="Miriam"/>
          <w:b/>
          <w:sz w:val="22"/>
          <w:rtl/>
        </w:rPr>
        <w:t xml:space="preserve"> </w:t>
      </w:r>
      <w:r w:rsidRPr="00E206AF">
        <w:rPr>
          <w:rFonts w:ascii="Century" w:hAnsi="Century" w:cs="Miriam" w:hint="eastAsia"/>
          <w:b/>
          <w:sz w:val="22"/>
          <w:rtl/>
        </w:rPr>
        <w:t>הממשלה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מה</w:t>
      </w:r>
      <w:r w:rsidRPr="00E206AF">
        <w:rPr>
          <w:rFonts w:ascii="Century" w:hAnsi="Century" w:cs="FrankRuehl"/>
          <w:spacing w:val="10"/>
          <w:sz w:val="22"/>
          <w:szCs w:val="28"/>
          <w:rtl/>
        </w:rPr>
        <w:t>(1) 749</w:t>
      </w:r>
      <w:r w:rsidRPr="00E206AF">
        <w:rPr>
          <w:rFonts w:ascii="Century" w:hAnsi="Century" w:cs="FrankRuehl" w:hint="cs"/>
          <w:spacing w:val="10"/>
          <w:sz w:val="22"/>
          <w:szCs w:val="28"/>
          <w:rtl/>
        </w:rPr>
        <w:t xml:space="preserve">, 771 </w:t>
      </w:r>
      <w:r w:rsidRPr="00E206AF">
        <w:rPr>
          <w:rFonts w:ascii="Century" w:hAnsi="Century" w:cs="FrankRuehl"/>
          <w:spacing w:val="10"/>
          <w:sz w:val="22"/>
          <w:szCs w:val="28"/>
          <w:rtl/>
        </w:rPr>
        <w:t>(1991)‏‏</w:t>
      </w:r>
      <w:r w:rsidRPr="00E206AF">
        <w:rPr>
          <w:rFonts w:ascii="Arial TUR" w:hAnsi="Arial TUR" w:cs="FrankRuehl" w:hint="cs"/>
          <w:spacing w:val="10"/>
          <w:sz w:val="22"/>
          <w:szCs w:val="28"/>
          <w:rtl/>
        </w:rPr>
        <w:t>).</w:t>
      </w:r>
    </w:p>
    <w:p w:rsidR="00E32081" w:rsidRPr="00E206AF" w:rsidRDefault="00E32081" w:rsidP="00E32081">
      <w:pPr>
        <w:tabs>
          <w:tab w:val="left" w:pos="800"/>
        </w:tabs>
        <w:spacing w:line="360" w:lineRule="auto"/>
        <w:jc w:val="both"/>
        <w:rPr>
          <w:rFonts w:ascii="FrankRuehl" w:hAnsi="FrankRuehl" w:cs="FrankRuehl"/>
          <w:color w:val="000000"/>
          <w:spacing w:val="10"/>
          <w:sz w:val="22"/>
          <w:szCs w:val="28"/>
          <w:shd w:val="clear" w:color="auto" w:fill="FFFFFF"/>
          <w:rtl/>
        </w:rPr>
      </w:pPr>
    </w:p>
    <w:p w:rsidR="00E32081" w:rsidRPr="00E206AF" w:rsidRDefault="00E32081" w:rsidP="00E32081">
      <w:pPr>
        <w:tabs>
          <w:tab w:val="left" w:pos="800"/>
        </w:tabs>
        <w:spacing w:line="360" w:lineRule="auto"/>
        <w:jc w:val="both"/>
        <w:rPr>
          <w:rFonts w:ascii="FrankRuehl" w:hAnsi="FrankRuehl" w:cs="FrankRuehl"/>
          <w:color w:val="000000"/>
          <w:spacing w:val="10"/>
          <w:sz w:val="22"/>
          <w:szCs w:val="28"/>
          <w:shd w:val="clear" w:color="auto" w:fill="FFFFFF"/>
          <w:rtl/>
        </w:rPr>
      </w:pPr>
      <w:r w:rsidRPr="00E206AF">
        <w:rPr>
          <w:rFonts w:ascii="FrankRuehl" w:hAnsi="FrankRuehl" w:cs="FrankRuehl"/>
          <w:color w:val="000000"/>
          <w:spacing w:val="10"/>
          <w:sz w:val="22"/>
          <w:szCs w:val="28"/>
          <w:shd w:val="clear" w:color="auto" w:fill="FFFFFF"/>
          <w:rtl/>
        </w:rPr>
        <w:tab/>
      </w:r>
      <w:r w:rsidRPr="00E206AF">
        <w:rPr>
          <w:rFonts w:ascii="FrankRuehl" w:hAnsi="FrankRuehl" w:cs="FrankRuehl" w:hint="cs"/>
          <w:color w:val="000000"/>
          <w:spacing w:val="10"/>
          <w:sz w:val="22"/>
          <w:szCs w:val="28"/>
          <w:shd w:val="clear" w:color="auto" w:fill="FFFFFF"/>
          <w:rtl/>
        </w:rPr>
        <w:t xml:space="preserve">לבסוף, מציין השופט </w:t>
      </w:r>
      <w:r w:rsidRPr="00E206AF">
        <w:rPr>
          <w:rFonts w:ascii="Century" w:hAnsi="Century" w:cs="Miriam" w:hint="cs"/>
          <w:b/>
          <w:sz w:val="22"/>
          <w:shd w:val="clear" w:color="auto" w:fill="FFFFFF"/>
          <w:rtl/>
        </w:rPr>
        <w:t xml:space="preserve">אלון </w:t>
      </w:r>
      <w:r w:rsidRPr="00E206AF">
        <w:rPr>
          <w:rFonts w:ascii="Century" w:hAnsi="Century" w:cs="FrankRuehl" w:hint="eastAsia"/>
          <w:spacing w:val="10"/>
          <w:sz w:val="22"/>
          <w:szCs w:val="28"/>
          <w:shd w:val="clear" w:color="auto" w:fill="FFFFFF"/>
          <w:rtl/>
        </w:rPr>
        <w:t>בדבריו</w:t>
      </w:r>
      <w:r w:rsidRPr="00E206AF">
        <w:rPr>
          <w:rFonts w:ascii="Century" w:hAnsi="Century" w:cs="FrankRuehl"/>
          <w:spacing w:val="10"/>
          <w:sz w:val="22"/>
          <w:szCs w:val="28"/>
          <w:shd w:val="clear" w:color="auto" w:fill="FFFFFF"/>
          <w:rtl/>
        </w:rPr>
        <w:t xml:space="preserve"> </w:t>
      </w:r>
      <w:r w:rsidRPr="00E206AF">
        <w:rPr>
          <w:rFonts w:ascii="Century" w:hAnsi="Century" w:cs="FrankRuehl" w:hint="eastAsia"/>
          <w:spacing w:val="10"/>
          <w:sz w:val="22"/>
          <w:szCs w:val="28"/>
          <w:shd w:val="clear" w:color="auto" w:fill="FFFFFF"/>
          <w:rtl/>
        </w:rPr>
        <w:t>הנכוחים</w:t>
      </w:r>
      <w:r w:rsidRPr="00E206AF">
        <w:rPr>
          <w:rFonts w:ascii="Century" w:hAnsi="Century" w:cs="Miriam" w:hint="cs"/>
          <w:b/>
          <w:sz w:val="22"/>
          <w:shd w:val="clear" w:color="auto" w:fill="FFFFFF"/>
          <w:rtl/>
        </w:rPr>
        <w:t xml:space="preserve"> </w:t>
      </w:r>
      <w:r w:rsidRPr="00E206AF">
        <w:rPr>
          <w:rFonts w:ascii="Century" w:hAnsi="Century" w:cs="FrankRuehl" w:hint="cs"/>
          <w:spacing w:val="10"/>
          <w:sz w:val="22"/>
          <w:szCs w:val="28"/>
          <w:shd w:val="clear" w:color="auto" w:fill="FFFFFF"/>
          <w:rtl/>
        </w:rPr>
        <w:t>כי "</w:t>
      </w:r>
      <w:r w:rsidRPr="00E206AF">
        <w:rPr>
          <w:rFonts w:ascii="FrankRuehl" w:hAnsi="FrankRuehl" w:cs="FrankRuehl"/>
          <w:color w:val="000000"/>
          <w:spacing w:val="10"/>
          <w:sz w:val="22"/>
          <w:szCs w:val="28"/>
          <w:shd w:val="clear" w:color="auto" w:fill="FFFFFF"/>
          <w:rtl/>
        </w:rPr>
        <w:t xml:space="preserve">בלתי סביר לחלוטין </w:t>
      </w:r>
      <w:r w:rsidRPr="00E206AF">
        <w:rPr>
          <w:rFonts w:cs="FrankRuehl"/>
          <w:spacing w:val="10"/>
          <w:sz w:val="22"/>
          <w:szCs w:val="28"/>
          <w:rtl/>
        </w:rPr>
        <w:t>הוא לצפות באופן סביר, כי בית-משפט יבדוק סבירותם של נושאים</w:t>
      </w:r>
      <w:r w:rsidRPr="00E206AF">
        <w:rPr>
          <w:rFonts w:cs="FrankRuehl" w:hint="cs"/>
          <w:spacing w:val="10"/>
          <w:sz w:val="22"/>
          <w:szCs w:val="28"/>
          <w:rtl/>
        </w:rPr>
        <w:t xml:space="preserve"> [ביטחוניים </w:t>
      </w:r>
      <w:r w:rsidRPr="00E206AF">
        <w:rPr>
          <w:rFonts w:cs="FrankRuehl"/>
          <w:spacing w:val="10"/>
          <w:sz w:val="22"/>
          <w:szCs w:val="28"/>
          <w:rtl/>
        </w:rPr>
        <w:t>–</w:t>
      </w:r>
      <w:r w:rsidRPr="00E206AF">
        <w:rPr>
          <w:rFonts w:cs="FrankRuehl" w:hint="cs"/>
          <w:spacing w:val="10"/>
          <w:sz w:val="22"/>
          <w:szCs w:val="28"/>
          <w:rtl/>
        </w:rPr>
        <w:t xml:space="preserve"> י"ו]</w:t>
      </w:r>
      <w:r w:rsidRPr="00E206AF">
        <w:rPr>
          <w:rFonts w:cs="FrankRuehl"/>
          <w:spacing w:val="10"/>
          <w:sz w:val="22"/>
          <w:szCs w:val="28"/>
          <w:rtl/>
        </w:rPr>
        <w:t xml:space="preserve"> מעין אלה", </w:t>
      </w:r>
      <w:r w:rsidRPr="00E206AF">
        <w:rPr>
          <w:rFonts w:cs="FrankRuehl" w:hint="eastAsia"/>
          <w:spacing w:val="10"/>
          <w:sz w:val="22"/>
          <w:szCs w:val="28"/>
          <w:rtl/>
        </w:rPr>
        <w:t>וזאת</w:t>
      </w:r>
      <w:r w:rsidRPr="00E206AF">
        <w:rPr>
          <w:rFonts w:cs="FrankRuehl"/>
          <w:spacing w:val="10"/>
          <w:sz w:val="22"/>
          <w:szCs w:val="28"/>
          <w:rtl/>
        </w:rPr>
        <w:t xml:space="preserve"> </w:t>
      </w:r>
      <w:r w:rsidRPr="00E206AF">
        <w:rPr>
          <w:rFonts w:cs="FrankRuehl" w:hint="eastAsia"/>
          <w:spacing w:val="10"/>
          <w:sz w:val="22"/>
          <w:szCs w:val="28"/>
          <w:rtl/>
        </w:rPr>
        <w:t>משעה</w:t>
      </w:r>
      <w:r w:rsidRPr="00E206AF">
        <w:rPr>
          <w:rFonts w:cs="FrankRuehl"/>
          <w:spacing w:val="10"/>
          <w:sz w:val="22"/>
          <w:szCs w:val="28"/>
          <w:rtl/>
        </w:rPr>
        <w:t xml:space="preserve"> </w:t>
      </w:r>
      <w:r w:rsidRPr="00E206AF">
        <w:rPr>
          <w:rFonts w:cs="FrankRuehl" w:hint="eastAsia"/>
          <w:spacing w:val="10"/>
          <w:sz w:val="22"/>
          <w:szCs w:val="28"/>
          <w:rtl/>
        </w:rPr>
        <w:t>שבמסגרת</w:t>
      </w:r>
      <w:r w:rsidRPr="00E206AF">
        <w:rPr>
          <w:rFonts w:cs="FrankRuehl"/>
          <w:spacing w:val="10"/>
          <w:sz w:val="22"/>
          <w:szCs w:val="28"/>
          <w:rtl/>
        </w:rPr>
        <w:t xml:space="preserve"> </w:t>
      </w:r>
      <w:r w:rsidRPr="00E206AF">
        <w:rPr>
          <w:rFonts w:cs="FrankRuehl" w:hint="eastAsia"/>
          <w:spacing w:val="10"/>
          <w:sz w:val="22"/>
          <w:szCs w:val="28"/>
          <w:rtl/>
        </w:rPr>
        <w:t>השימוש</w:t>
      </w:r>
      <w:r w:rsidRPr="00E206AF">
        <w:rPr>
          <w:rFonts w:cs="FrankRuehl"/>
          <w:spacing w:val="10"/>
          <w:sz w:val="22"/>
          <w:szCs w:val="28"/>
          <w:rtl/>
        </w:rPr>
        <w:t xml:space="preserve"> "בעקרון הסבירות ובמיתחם הסבירות, כי הפעולה השלטונית סבירה היא, ניתן היה להגיע גם למסקנה הפוכה, היינו שהפעולה השלטונית אינה סבירה" (שם</w:t>
      </w:r>
      <w:r w:rsidRPr="00E206AF">
        <w:rPr>
          <w:rFonts w:cs="FrankRuehl" w:hint="cs"/>
          <w:spacing w:val="10"/>
          <w:sz w:val="22"/>
          <w:szCs w:val="28"/>
          <w:rtl/>
        </w:rPr>
        <w:t>. עוד ראו: עמדתו ב</w:t>
      </w:r>
      <w:r w:rsidRPr="00E206AF">
        <w:rPr>
          <w:rFonts w:cs="FrankRuehl" w:hint="eastAsia"/>
          <w:spacing w:val="10"/>
          <w:sz w:val="22"/>
          <w:szCs w:val="28"/>
          <w:rtl/>
        </w:rPr>
        <w:t>בג</w:t>
      </w:r>
      <w:r w:rsidRPr="00E206AF">
        <w:rPr>
          <w:rFonts w:cs="FrankRuehl"/>
          <w:spacing w:val="10"/>
          <w:sz w:val="22"/>
          <w:szCs w:val="28"/>
          <w:rtl/>
        </w:rPr>
        <w:t>"</w:t>
      </w:r>
      <w:r w:rsidRPr="00E206AF">
        <w:rPr>
          <w:rFonts w:cs="FrankRuehl" w:hint="eastAsia"/>
          <w:spacing w:val="10"/>
          <w:sz w:val="22"/>
          <w:szCs w:val="28"/>
          <w:rtl/>
        </w:rPr>
        <w:t>ץ</w:t>
      </w:r>
      <w:r w:rsidRPr="00E206AF">
        <w:rPr>
          <w:rFonts w:cs="FrankRuehl"/>
          <w:spacing w:val="10"/>
          <w:sz w:val="22"/>
          <w:szCs w:val="28"/>
          <w:rtl/>
        </w:rPr>
        <w:t xml:space="preserve"> 840/79 </w:t>
      </w:r>
      <w:r w:rsidRPr="00E206AF">
        <w:rPr>
          <w:rFonts w:ascii="Century" w:hAnsi="Century" w:cs="Miriam" w:hint="eastAsia"/>
          <w:b/>
          <w:sz w:val="22"/>
          <w:rtl/>
        </w:rPr>
        <w:t>מרכז</w:t>
      </w:r>
      <w:r w:rsidRPr="00E206AF">
        <w:rPr>
          <w:rFonts w:ascii="Century" w:hAnsi="Century" w:cs="Miriam"/>
          <w:b/>
          <w:sz w:val="22"/>
          <w:rtl/>
        </w:rPr>
        <w:t xml:space="preserve"> </w:t>
      </w:r>
      <w:r w:rsidRPr="00E206AF">
        <w:rPr>
          <w:rFonts w:ascii="Century" w:hAnsi="Century" w:cs="Miriam" w:hint="eastAsia"/>
          <w:b/>
          <w:sz w:val="22"/>
          <w:rtl/>
        </w:rPr>
        <w:t>הקבלנים</w:t>
      </w:r>
      <w:r w:rsidRPr="00E206AF">
        <w:rPr>
          <w:rFonts w:ascii="Century" w:hAnsi="Century" w:cs="Miriam"/>
          <w:b/>
          <w:sz w:val="22"/>
          <w:rtl/>
        </w:rPr>
        <w:t xml:space="preserve"> </w:t>
      </w:r>
      <w:r w:rsidRPr="00E206AF">
        <w:rPr>
          <w:rFonts w:ascii="Century" w:hAnsi="Century" w:cs="Miriam" w:hint="eastAsia"/>
          <w:b/>
          <w:sz w:val="22"/>
          <w:rtl/>
        </w:rPr>
        <w:t>והבונים</w:t>
      </w:r>
      <w:r w:rsidRPr="00E206AF">
        <w:rPr>
          <w:rFonts w:ascii="Century" w:hAnsi="Century" w:cs="Miriam"/>
          <w:b/>
          <w:sz w:val="22"/>
          <w:rtl/>
        </w:rPr>
        <w:t xml:space="preserve"> </w:t>
      </w:r>
      <w:r w:rsidRPr="00E206AF">
        <w:rPr>
          <w:rFonts w:ascii="Century" w:hAnsi="Century" w:cs="Miriam" w:hint="eastAsia"/>
          <w:b/>
          <w:sz w:val="22"/>
          <w:rtl/>
        </w:rPr>
        <w:t>בישראל</w:t>
      </w:r>
      <w:r w:rsidRPr="00E206AF">
        <w:rPr>
          <w:rFonts w:ascii="Century" w:hAnsi="Century" w:cs="Miriam" w:hint="cs"/>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ממשלת</w:t>
      </w:r>
      <w:r w:rsidRPr="00E206AF">
        <w:rPr>
          <w:rFonts w:ascii="Century" w:hAnsi="Century" w:cs="Miriam"/>
          <w:b/>
          <w:sz w:val="22"/>
          <w:rtl/>
        </w:rPr>
        <w:t xml:space="preserve"> </w:t>
      </w:r>
      <w:r w:rsidRPr="00E206AF">
        <w:rPr>
          <w:rFonts w:ascii="Century" w:hAnsi="Century" w:cs="Miriam" w:hint="eastAsia"/>
          <w:b/>
          <w:sz w:val="22"/>
          <w:rtl/>
        </w:rPr>
        <w:t>ישראל</w:t>
      </w:r>
      <w:r w:rsidRPr="00E206AF">
        <w:rPr>
          <w:rFonts w:cs="FrankRuehl"/>
          <w:spacing w:val="10"/>
          <w:sz w:val="22"/>
          <w:szCs w:val="28"/>
          <w:rtl/>
        </w:rPr>
        <w:t xml:space="preserve">, </w:t>
      </w:r>
      <w:r w:rsidRPr="00E206AF">
        <w:rPr>
          <w:rFonts w:cs="FrankRuehl" w:hint="eastAsia"/>
          <w:spacing w:val="10"/>
          <w:sz w:val="22"/>
          <w:szCs w:val="28"/>
          <w:rtl/>
        </w:rPr>
        <w:t>לד</w:t>
      </w:r>
      <w:r w:rsidRPr="00E206AF">
        <w:rPr>
          <w:rFonts w:cs="FrankRuehl"/>
          <w:spacing w:val="10"/>
          <w:sz w:val="22"/>
          <w:szCs w:val="28"/>
          <w:rtl/>
        </w:rPr>
        <w:t>(3) 729</w:t>
      </w:r>
      <w:r w:rsidRPr="00E206AF">
        <w:rPr>
          <w:rFonts w:cs="FrankRuehl" w:hint="cs"/>
          <w:spacing w:val="10"/>
          <w:sz w:val="22"/>
          <w:szCs w:val="28"/>
          <w:rtl/>
        </w:rPr>
        <w:t xml:space="preserve">, 754 </w:t>
      </w:r>
      <w:r w:rsidRPr="00E206AF">
        <w:rPr>
          <w:rFonts w:cs="FrankRuehl"/>
          <w:spacing w:val="10"/>
          <w:sz w:val="22"/>
          <w:szCs w:val="28"/>
          <w:rtl/>
        </w:rPr>
        <w:t>(1980)).</w:t>
      </w:r>
      <w:r w:rsidRPr="00E206AF">
        <w:rPr>
          <w:rFonts w:ascii="FrankRuehl" w:hAnsi="FrankRuehl" w:cs="FrankRuehl" w:hint="cs"/>
          <w:color w:val="000000"/>
          <w:spacing w:val="10"/>
          <w:sz w:val="22"/>
          <w:szCs w:val="28"/>
          <w:shd w:val="clear" w:color="auto" w:fill="FFFFFF"/>
          <w:rtl/>
        </w:rPr>
        <w:t xml:space="preserve">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cs="FrankRuehl"/>
          <w:spacing w:val="10"/>
          <w:sz w:val="22"/>
          <w:szCs w:val="28"/>
          <w:rtl/>
        </w:rPr>
      </w:pPr>
      <w:r w:rsidRPr="00E206AF">
        <w:rPr>
          <w:rFonts w:ascii="Arial TUR" w:hAnsi="Arial TUR" w:cs="FrankRuehl" w:hint="cs"/>
          <w:spacing w:val="10"/>
          <w:sz w:val="22"/>
          <w:szCs w:val="28"/>
          <w:rtl/>
        </w:rPr>
        <w:t>28.</w:t>
      </w:r>
      <w:r w:rsidRPr="00E206AF">
        <w:rPr>
          <w:rFonts w:ascii="Arial TUR" w:hAnsi="Arial TUR" w:cs="FrankRuehl" w:hint="cs"/>
          <w:spacing w:val="10"/>
          <w:sz w:val="22"/>
          <w:szCs w:val="28"/>
          <w:rtl/>
        </w:rPr>
        <w:tab/>
        <w:t xml:space="preserve">לצד קודמיו, גם </w:t>
      </w:r>
      <w:r w:rsidRPr="00E206AF">
        <w:rPr>
          <w:rFonts w:ascii="Arial TUR" w:hAnsi="Arial TUR" w:cs="FrankRuehl" w:hint="eastAsia"/>
          <w:spacing w:val="10"/>
          <w:sz w:val="22"/>
          <w:szCs w:val="28"/>
          <w:rtl/>
        </w:rPr>
        <w:t>השופט</w:t>
      </w:r>
      <w:r w:rsidRPr="00E206AF">
        <w:rPr>
          <w:rFonts w:ascii="Arial TUR" w:hAnsi="Arial TUR" w:cs="FrankRuehl" w:hint="cs"/>
          <w:spacing w:val="10"/>
          <w:sz w:val="22"/>
          <w:szCs w:val="28"/>
          <w:rtl/>
        </w:rPr>
        <w:t xml:space="preserve"> </w:t>
      </w:r>
      <w:r w:rsidRPr="00E206AF">
        <w:rPr>
          <w:rFonts w:ascii="Century" w:hAnsi="Century" w:cs="Miriam" w:hint="cs"/>
          <w:b/>
          <w:sz w:val="22"/>
          <w:rtl/>
        </w:rPr>
        <w:t xml:space="preserve">א' גרוניס </w:t>
      </w:r>
      <w:r w:rsidRPr="00E206AF">
        <w:rPr>
          <w:rFonts w:ascii="Century" w:hAnsi="Century" w:cs="FrankRuehl" w:hint="cs"/>
          <w:spacing w:val="10"/>
          <w:sz w:val="22"/>
          <w:szCs w:val="28"/>
          <w:rtl/>
        </w:rPr>
        <w:t>סבר כי "קיימת בעייתיות קשה בכל הנוגע לשימוש בעילה</w:t>
      </w:r>
      <w:r w:rsidRPr="00E206AF">
        <w:rPr>
          <w:rFonts w:ascii="Arial TUR" w:hAnsi="Arial TUR" w:cs="FrankRuehl" w:hint="cs"/>
          <w:spacing w:val="10"/>
          <w:sz w:val="22"/>
          <w:szCs w:val="28"/>
          <w:rtl/>
        </w:rPr>
        <w:t xml:space="preserve"> של חוסר סבירות" (עניין </w:t>
      </w:r>
      <w:r w:rsidRPr="00E206AF">
        <w:rPr>
          <w:rFonts w:ascii="Century" w:hAnsi="Century" w:cs="Miriam" w:hint="cs"/>
          <w:b/>
          <w:sz w:val="22"/>
          <w:rtl/>
        </w:rPr>
        <w:t>אמונה</w:t>
      </w:r>
      <w:r w:rsidRPr="00E206AF">
        <w:rPr>
          <w:rFonts w:ascii="Century" w:hAnsi="Century" w:cs="FrankRuehl" w:hint="cs"/>
          <w:spacing w:val="10"/>
          <w:sz w:val="22"/>
          <w:szCs w:val="28"/>
          <w:rtl/>
        </w:rPr>
        <w:t>, בפס' 10 לפסק דינו). לגישתו, "</w:t>
      </w:r>
      <w:r w:rsidRPr="00E206AF">
        <w:rPr>
          <w:rFonts w:cs="FrankRuehl" w:hint="cs"/>
          <w:spacing w:val="10"/>
          <w:sz w:val="22"/>
          <w:szCs w:val="28"/>
          <w:rtl/>
        </w:rPr>
        <w:t>העילה של חוסר סבירות שונה באופן מהותי מן הפגמים של חוסר סמכות וכֶּשֶל דיוני. שעה שמדובר בבחינה של שני פגמים אלה בולט לעין יתרונו וייחודו של בית המשפט [...] לעומת זאת, אין לבית המשפט יתרון מיוחד או מומחיות עודפת בנושא של חוסר סבירות" (שם, בפס' 9).</w:t>
      </w:r>
      <w:r w:rsidRPr="00E206AF">
        <w:rPr>
          <w:rFonts w:ascii="Century" w:hAnsi="Century" w:cs="FrankRuehl" w:hint="cs"/>
          <w:spacing w:val="10"/>
          <w:sz w:val="22"/>
          <w:szCs w:val="28"/>
          <w:rtl/>
        </w:rPr>
        <w:t xml:space="preserve"> השופט </w:t>
      </w:r>
      <w:r w:rsidRPr="00E206AF">
        <w:rPr>
          <w:rFonts w:ascii="Century" w:hAnsi="Century" w:cs="Miriam" w:hint="cs"/>
          <w:b/>
          <w:sz w:val="22"/>
          <w:rtl/>
        </w:rPr>
        <w:t xml:space="preserve">גרוניס </w:t>
      </w:r>
      <w:r w:rsidRPr="00E206AF">
        <w:rPr>
          <w:rFonts w:ascii="Century" w:hAnsi="Century" w:cs="FrankRuehl" w:hint="cs"/>
          <w:spacing w:val="10"/>
          <w:sz w:val="22"/>
          <w:szCs w:val="28"/>
          <w:rtl/>
        </w:rPr>
        <w:t xml:space="preserve">ציין כי במיוחד מאז פסק הדין בעניין </w:t>
      </w:r>
      <w:r w:rsidRPr="00E206AF">
        <w:rPr>
          <w:rFonts w:ascii="Century" w:hAnsi="Century" w:cs="Miriam" w:hint="cs"/>
          <w:b/>
          <w:sz w:val="22"/>
          <w:rtl/>
        </w:rPr>
        <w:t>דפי זהב</w:t>
      </w:r>
      <w:r w:rsidRPr="00E206AF">
        <w:rPr>
          <w:rFonts w:ascii="Century" w:hAnsi="Century" w:cs="FrankRuehl" w:hint="cs"/>
          <w:spacing w:val="10"/>
          <w:sz w:val="22"/>
          <w:szCs w:val="28"/>
          <w:rtl/>
        </w:rPr>
        <w:t>, עילת הסבירות "עברה שינוי והתפתחה למימדים קרובים לאלה של 'נורמת על' [...] תוך כדי התפתחות זו</w:t>
      </w:r>
      <w:r w:rsidRPr="00E206AF">
        <w:rPr>
          <w:rFonts w:cs="FrankRuehl" w:hint="cs"/>
          <w:spacing w:val="10"/>
          <w:sz w:val="22"/>
          <w:szCs w:val="28"/>
          <w:rtl/>
        </w:rPr>
        <w:t xml:space="preserve"> היא בלעה לתוכה, כאדם שאינו יודע שובע, עילות פרטיקולריות שהוכרו בעבר (למשל, העילות של מטרה זרה ושל שיקולים זרים)" (שם). השופט </w:t>
      </w:r>
      <w:r w:rsidRPr="00E206AF">
        <w:rPr>
          <w:rFonts w:ascii="Century" w:hAnsi="Century" w:cs="Miriam" w:hint="eastAsia"/>
          <w:b/>
          <w:sz w:val="22"/>
          <w:rtl/>
        </w:rPr>
        <w:t>גרוניס</w:t>
      </w:r>
      <w:r w:rsidRPr="00E206AF">
        <w:rPr>
          <w:rFonts w:cs="FrankRuehl" w:hint="cs"/>
          <w:spacing w:val="10"/>
          <w:sz w:val="22"/>
          <w:szCs w:val="28"/>
          <w:rtl/>
        </w:rPr>
        <w:t xml:space="preserve"> הדגיש כי, </w:t>
      </w:r>
      <w:r w:rsidRPr="00E206AF">
        <w:rPr>
          <w:rFonts w:ascii="Arial TUR" w:hAnsi="Arial TUR" w:cs="FrankRuehl"/>
          <w:spacing w:val="10"/>
          <w:sz w:val="22"/>
          <w:szCs w:val="28"/>
          <w:rtl/>
        </w:rPr>
        <w:t xml:space="preserve">"חסרונה הגדול של עילה זו בהיקפה דהיום נמצא ברמת ההפשטה הגבוהה </w:t>
      </w:r>
      <w:r w:rsidRPr="00E206AF">
        <w:rPr>
          <w:rFonts w:ascii="Arial TUR" w:hAnsi="Arial TUR" w:cs="FrankRuehl"/>
          <w:spacing w:val="10"/>
          <w:sz w:val="22"/>
          <w:szCs w:val="28"/>
          <w:rtl/>
        </w:rPr>
        <w:lastRenderedPageBreak/>
        <w:t xml:space="preserve">שלה. רמת ההפשטה הגבוהה מעצימה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שיקול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הדעת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השיפוטי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וממילא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מגדילה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הוודאות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המשפטית</w:t>
      </w:r>
      <w:r w:rsidRPr="00E206AF">
        <w:rPr>
          <w:rFonts w:ascii="Arial TUR" w:hAnsi="Arial TUR" w:cs="FrankRuehl"/>
          <w:spacing w:val="10"/>
          <w:sz w:val="22"/>
          <w:szCs w:val="28"/>
          <w:rtl/>
        </w:rPr>
        <w:t>"</w:t>
      </w:r>
      <w:r w:rsidRPr="00E206AF">
        <w:rPr>
          <w:rFonts w:cs="FrankRuehl" w:hint="cs"/>
          <w:spacing w:val="10"/>
          <w:sz w:val="22"/>
          <w:szCs w:val="28"/>
          <w:rtl/>
        </w:rPr>
        <w:t>; וכי:</w:t>
      </w:r>
    </w:p>
    <w:p w:rsidR="00E32081" w:rsidRPr="00E206AF" w:rsidRDefault="00E32081" w:rsidP="00E32081">
      <w:pPr>
        <w:tabs>
          <w:tab w:val="left" w:pos="800"/>
        </w:tabs>
        <w:spacing w:line="360" w:lineRule="auto"/>
        <w:jc w:val="both"/>
        <w:rPr>
          <w:rFonts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spacing w:val="10"/>
          <w:sz w:val="22"/>
          <w:szCs w:val="28"/>
          <w:rtl/>
        </w:rPr>
        <w:t>"</w:t>
      </w:r>
      <w:r w:rsidRPr="00E206AF">
        <w:rPr>
          <w:rFonts w:ascii="Arial TUR" w:hAnsi="Arial TUR" w:cs="FrankRuehl" w:hint="eastAsia"/>
          <w:spacing w:val="10"/>
          <w:sz w:val="22"/>
          <w:szCs w:val="28"/>
          <w:rtl/>
        </w:rPr>
        <w:t>השימוש</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במטפורה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משקל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באשר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לשיקולים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אותם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שקלה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הרשות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המוסמכת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שקיבלה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ההחלטה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משמש</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לעיתים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כך</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נראה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ככסות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לאי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הסכמה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התוצאה</w:t>
      </w:r>
      <w:r w:rsidRPr="00E206AF">
        <w:rPr>
          <w:rFonts w:ascii="Arial TUR" w:hAnsi="Arial TUR" w:cs="FrankRuehl"/>
          <w:spacing w:val="10"/>
          <w:sz w:val="22"/>
          <w:szCs w:val="28"/>
          <w:rtl/>
        </w:rPr>
        <w:t xml:space="preserve"> [...] </w:t>
      </w:r>
      <w:r w:rsidRPr="00E206AF">
        <w:rPr>
          <w:rFonts w:ascii="Arial TUR" w:hAnsi="Arial TUR" w:cs="FrankRuehl" w:hint="eastAsia"/>
          <w:spacing w:val="10"/>
          <w:sz w:val="22"/>
          <w:szCs w:val="28"/>
          <w:rtl/>
        </w:rPr>
        <w:t>לכן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צריך</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גם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לקבל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קב</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חומטין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האמירה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החוזרת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לעיתים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בהקשר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זה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המשפט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אינו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שיקול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דעתו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תחת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שיקול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דעתה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הרשות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שהוסמכה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בדין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לקבל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ההחלטה</w:t>
      </w:r>
      <w:r w:rsidRPr="00E206AF">
        <w:rPr>
          <w:rFonts w:ascii="Arial TUR" w:hAnsi="Arial TUR" w:cs="FrankRuehl"/>
          <w:spacing w:val="10"/>
          <w:sz w:val="22"/>
          <w:szCs w:val="28"/>
          <w:rtl/>
        </w:rPr>
        <w:t xml:space="preserve"> [...] </w:t>
      </w:r>
      <w:r w:rsidRPr="00E206AF">
        <w:rPr>
          <w:rFonts w:ascii="Arial TUR" w:hAnsi="Arial TUR" w:cs="FrankRuehl" w:hint="eastAsia"/>
          <w:spacing w:val="10"/>
          <w:sz w:val="22"/>
          <w:szCs w:val="28"/>
          <w:rtl/>
        </w:rPr>
        <w:t>נראה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לעיתים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כאשר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המשפט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מתערב</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בהחלטה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חוסר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סבירות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הוא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בהחלט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מעמיד</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שיקול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דעתו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תחת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שיקול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דעתה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הרשות</w:t>
      </w:r>
      <w:r w:rsidRPr="00E206AF">
        <w:rPr>
          <w:rFonts w:ascii="Arial TUR" w:hAnsi="Arial TUR" w:cs="FrankRuehl"/>
          <w:spacing w:val="10"/>
          <w:sz w:val="22"/>
          <w:szCs w:val="28"/>
          <w:rtl/>
        </w:rPr>
        <w:t>" (</w:t>
      </w:r>
      <w:r w:rsidRPr="00E206AF">
        <w:rPr>
          <w:rFonts w:ascii="Arial TUR" w:hAnsi="Arial TUR" w:cs="FrankRuehl" w:hint="cs"/>
          <w:spacing w:val="10"/>
          <w:sz w:val="22"/>
          <w:szCs w:val="28"/>
          <w:rtl/>
        </w:rPr>
        <w:t>שם, ב</w:t>
      </w:r>
      <w:r w:rsidRPr="00E206AF">
        <w:rPr>
          <w:rFonts w:ascii="Arial TUR" w:hAnsi="Arial TUR" w:cs="FrankRuehl" w:hint="eastAsia"/>
          <w:spacing w:val="10"/>
          <w:sz w:val="22"/>
          <w:szCs w:val="28"/>
          <w:rtl/>
        </w:rPr>
        <w:t>פס</w:t>
      </w:r>
      <w:r w:rsidRPr="00E206AF">
        <w:rPr>
          <w:rFonts w:ascii="Arial TUR" w:hAnsi="Arial TUR" w:cs="FrankRuehl"/>
          <w:spacing w:val="10"/>
          <w:sz w:val="22"/>
          <w:szCs w:val="28"/>
          <w:rtl/>
        </w:rPr>
        <w:t>' 10-9).</w:t>
      </w:r>
    </w:p>
    <w:p w:rsidR="00E32081" w:rsidRPr="00E206AF" w:rsidRDefault="00E32081" w:rsidP="00E32081">
      <w:pPr>
        <w:ind w:left="1644" w:right="1276"/>
        <w:jc w:val="both"/>
        <w:rPr>
          <w:rFonts w:ascii="Century" w:hAnsi="Century" w:cs="FrankRuehl"/>
          <w:spacing w:val="10"/>
          <w:sz w:val="28"/>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עם זאת, השופט </w:t>
      </w:r>
      <w:r w:rsidRPr="00E206AF">
        <w:rPr>
          <w:rFonts w:ascii="Century" w:hAnsi="Century" w:cs="Miriam" w:hint="cs"/>
          <w:b/>
          <w:sz w:val="22"/>
          <w:rtl/>
        </w:rPr>
        <w:t>גרוניס</w:t>
      </w:r>
      <w:r w:rsidRPr="00E206AF">
        <w:rPr>
          <w:rFonts w:ascii="Century" w:hAnsi="Century" w:cs="FrankRuehl" w:hint="cs"/>
          <w:spacing w:val="10"/>
          <w:sz w:val="22"/>
          <w:szCs w:val="28"/>
          <w:rtl/>
        </w:rPr>
        <w:t xml:space="preserve"> הבהיר כי כוונתו אינה שיש "</w:t>
      </w:r>
      <w:r w:rsidRPr="00E206AF">
        <w:rPr>
          <w:rFonts w:cs="FrankRuehl" w:hint="cs"/>
          <w:spacing w:val="10"/>
          <w:sz w:val="22"/>
          <w:szCs w:val="28"/>
          <w:rtl/>
        </w:rPr>
        <w:t>להתעלם מעילת חוסר הסבירות או לבטלה. מה שראוי לעשות על פי השקפתי הוא להעדיף שימוש בעילות בעלות פריסה מצומצמת יחסית ושהינן יותר קונקרטיות, כמו שיקולים זרים, מטרה זרה או אפליה"</w:t>
      </w:r>
      <w:r w:rsidRPr="00E206AF">
        <w:rPr>
          <w:rFonts w:ascii="Century" w:hAnsi="Century" w:cs="FrankRuehl" w:hint="cs"/>
          <w:spacing w:val="10"/>
          <w:sz w:val="22"/>
          <w:szCs w:val="28"/>
          <w:rtl/>
        </w:rPr>
        <w:t xml:space="preserve"> (שם, בפס' 11; ביקורת דומה הציג השופט </w:t>
      </w:r>
      <w:r w:rsidRPr="00E206AF">
        <w:rPr>
          <w:rFonts w:ascii="Century" w:hAnsi="Century" w:cs="Miriam" w:hint="cs"/>
          <w:b/>
          <w:sz w:val="22"/>
          <w:rtl/>
        </w:rPr>
        <w:t xml:space="preserve">גרוניס </w:t>
      </w:r>
      <w:r w:rsidRPr="00E206AF">
        <w:rPr>
          <w:rFonts w:ascii="Century" w:hAnsi="Century" w:cs="FrankRuehl" w:hint="cs"/>
          <w:spacing w:val="10"/>
          <w:sz w:val="22"/>
          <w:szCs w:val="28"/>
          <w:rtl/>
        </w:rPr>
        <w:t xml:space="preserve">בבג"ץ 6728/06 </w:t>
      </w:r>
      <w:r w:rsidRPr="00E206AF">
        <w:rPr>
          <w:rFonts w:ascii="Century" w:hAnsi="Century" w:cs="Miriam" w:hint="cs"/>
          <w:b/>
          <w:sz w:val="22"/>
          <w:rtl/>
        </w:rPr>
        <w:t xml:space="preserve">עמותת אומץ נ' ראש ממשלת ישראל </w:t>
      </w:r>
      <w:r w:rsidRPr="00E206AF">
        <w:rPr>
          <w:rFonts w:ascii="Century" w:hAnsi="Century" w:cs="FrankRuehl" w:hint="cs"/>
          <w:spacing w:val="10"/>
          <w:sz w:val="22"/>
          <w:szCs w:val="28"/>
          <w:rtl/>
        </w:rPr>
        <w:t>(30.11.2006)).</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29.</w:t>
      </w:r>
      <w:r w:rsidRPr="00E206AF">
        <w:rPr>
          <w:rFonts w:ascii="Century" w:hAnsi="Century" w:cs="FrankRuehl" w:hint="cs"/>
          <w:spacing w:val="10"/>
          <w:sz w:val="22"/>
          <w:szCs w:val="28"/>
          <w:rtl/>
        </w:rPr>
        <w:tab/>
        <w:t xml:space="preserve">השופט </w:t>
      </w:r>
      <w:r w:rsidRPr="00E206AF">
        <w:rPr>
          <w:rFonts w:ascii="Century" w:hAnsi="Century" w:cs="Miriam" w:hint="cs"/>
          <w:b/>
          <w:sz w:val="22"/>
          <w:rtl/>
        </w:rPr>
        <w:t>נ' סולברג</w:t>
      </w:r>
      <w:r w:rsidRPr="00E206AF">
        <w:rPr>
          <w:rFonts w:ascii="Century" w:hAnsi="Century" w:cs="FrankRuehl" w:hint="cs"/>
          <w:spacing w:val="10"/>
          <w:sz w:val="22"/>
          <w:szCs w:val="28"/>
          <w:rtl/>
        </w:rPr>
        <w:t xml:space="preserve"> ציין באחת הפרשות, כי "</w:t>
      </w:r>
      <w:r w:rsidRPr="00E206AF">
        <w:rPr>
          <w:rFonts w:ascii="Arial TUR" w:hAnsi="Arial TUR" w:cs="FrankRuehl" w:hint="cs"/>
          <w:spacing w:val="10"/>
          <w:sz w:val="22"/>
          <w:szCs w:val="28"/>
          <w:rtl/>
        </w:rPr>
        <w:t>ה</w:t>
      </w:r>
      <w:r w:rsidRPr="00E206AF">
        <w:rPr>
          <w:rFonts w:cs="Miriam" w:hint="cs"/>
          <w:sz w:val="28"/>
          <w:rtl/>
        </w:rPr>
        <w:t>סבירות</w:t>
      </w:r>
      <w:r w:rsidRPr="00E206AF">
        <w:rPr>
          <w:rFonts w:ascii="Arial TUR" w:hAnsi="Arial TUR" w:cs="FrankRuehl" w:hint="cs"/>
          <w:spacing w:val="10"/>
          <w:sz w:val="22"/>
          <w:szCs w:val="28"/>
          <w:rtl/>
        </w:rPr>
        <w:t xml:space="preserve"> פנים רבות לה, וגם ה</w:t>
      </w:r>
      <w:r w:rsidRPr="00E206AF">
        <w:rPr>
          <w:rFonts w:cs="Miriam" w:hint="cs"/>
          <w:sz w:val="28"/>
          <w:rtl/>
        </w:rPr>
        <w:t>ראוי</w:t>
      </w:r>
      <w:r w:rsidRPr="00E206AF">
        <w:rPr>
          <w:rFonts w:ascii="Arial TUR" w:hAnsi="Arial TUR" w:cs="FrankRuehl" w:hint="cs"/>
          <w:spacing w:val="10"/>
          <w:sz w:val="22"/>
          <w:szCs w:val="28"/>
          <w:rtl/>
        </w:rPr>
        <w:t xml:space="preserve"> הריהו תלוי בעיני המתבונן</w:t>
      </w:r>
      <w:r w:rsidRPr="00E206AF">
        <w:rPr>
          <w:rFonts w:ascii="Century" w:hAnsi="Century" w:cs="FrankRuehl" w:hint="cs"/>
          <w:spacing w:val="10"/>
          <w:sz w:val="22"/>
          <w:szCs w:val="28"/>
          <w:rtl/>
        </w:rPr>
        <w:t xml:space="preserve"> [...] </w:t>
      </w:r>
      <w:r w:rsidRPr="00E206AF">
        <w:rPr>
          <w:rFonts w:ascii="Arial TUR" w:hAnsi="Arial TUR" w:cs="FrankRuehl" w:hint="cs"/>
          <w:spacing w:val="10"/>
          <w:sz w:val="22"/>
          <w:szCs w:val="28"/>
          <w:rtl/>
        </w:rPr>
        <w:t>מה שנתפס בעיני האחד כבלתי-סביר באופן קיצוני, נחזה בעיני חברו כסביר וראוי"</w:t>
      </w:r>
      <w:r w:rsidRPr="00E206AF">
        <w:rPr>
          <w:rFonts w:ascii="Century" w:hAnsi="Century" w:cs="FrankRuehl" w:hint="cs"/>
          <w:spacing w:val="10"/>
          <w:sz w:val="22"/>
          <w:szCs w:val="28"/>
          <w:rtl/>
        </w:rPr>
        <w:t xml:space="preserve"> (עניין </w:t>
      </w:r>
      <w:r w:rsidRPr="00E206AF">
        <w:rPr>
          <w:rFonts w:ascii="Century" w:hAnsi="Century" w:cs="Miriam" w:hint="cs"/>
          <w:b/>
          <w:sz w:val="22"/>
          <w:rtl/>
        </w:rPr>
        <w:t>התאחדות הסוחרים</w:t>
      </w:r>
      <w:r w:rsidRPr="00E206AF">
        <w:rPr>
          <w:rFonts w:ascii="Century" w:hAnsi="Century" w:cs="FrankRuehl" w:hint="cs"/>
          <w:spacing w:val="10"/>
          <w:sz w:val="22"/>
          <w:szCs w:val="28"/>
          <w:rtl/>
        </w:rPr>
        <w:t xml:space="preserve">, פס' 36 לפסק דינו (26.10.2017); ההדגשה במקור). לנוכח האמור ציין השופט </w:t>
      </w:r>
      <w:r w:rsidRPr="00E206AF">
        <w:rPr>
          <w:rFonts w:ascii="Century" w:hAnsi="Century" w:cs="Miriam" w:hint="cs"/>
          <w:b/>
          <w:sz w:val="22"/>
          <w:rtl/>
        </w:rPr>
        <w:t xml:space="preserve">סולברג </w:t>
      </w:r>
      <w:r w:rsidRPr="00E206AF">
        <w:rPr>
          <w:rFonts w:ascii="Century" w:hAnsi="Century" w:cs="FrankRuehl" w:hint="cs"/>
          <w:spacing w:val="10"/>
          <w:sz w:val="22"/>
          <w:szCs w:val="28"/>
          <w:rtl/>
        </w:rPr>
        <w:t>כי</w:t>
      </w:r>
      <w:r w:rsidRPr="00E206AF">
        <w:rPr>
          <w:rFonts w:ascii="Arial TUR" w:hAnsi="Arial TUR" w:cs="FrankRuehl" w:hint="cs"/>
          <w:spacing w:val="10"/>
          <w:sz w:val="22"/>
          <w:szCs w:val="28"/>
          <w:rtl/>
        </w:rPr>
        <w:t xml:space="preserve"> "יש להמשיך ולחתור אפוא למיקודה של עילת ה</w:t>
      </w:r>
      <w:r w:rsidRPr="00E206AF">
        <w:rPr>
          <w:rFonts w:cs="Miriam" w:hint="cs"/>
          <w:sz w:val="28"/>
          <w:rtl/>
        </w:rPr>
        <w:t>סבירות</w:t>
      </w:r>
      <w:r w:rsidRPr="00E206AF">
        <w:rPr>
          <w:rFonts w:ascii="Arial TUR" w:hAnsi="Arial TUR" w:cs="FrankRuehl" w:hint="cs"/>
          <w:spacing w:val="10"/>
          <w:sz w:val="22"/>
          <w:szCs w:val="28"/>
          <w:rtl/>
        </w:rPr>
        <w:t xml:space="preserve">, לפורטה לפרוטות, לאמות מידה, אף לקצץ מוטת כנפיה, במגמה </w:t>
      </w:r>
      <w:r w:rsidRPr="00E206AF">
        <w:rPr>
          <w:rFonts w:cs="Miriam" w:hint="cs"/>
          <w:sz w:val="28"/>
          <w:rtl/>
        </w:rPr>
        <w:t>'לפזר את עננת העמימות, לתרום לבהירות, ולצמצם את מרחב אי-הוודאות שבו שוכנת ה</w:t>
      </w:r>
      <w:r w:rsidRPr="00E206AF">
        <w:rPr>
          <w:rFonts w:cs="Miriam" w:hint="cs"/>
          <w:sz w:val="28"/>
          <w:u w:val="single"/>
          <w:rtl/>
        </w:rPr>
        <w:t>סבירות</w:t>
      </w:r>
      <w:r w:rsidRPr="00E206AF">
        <w:rPr>
          <w:rFonts w:cs="Miriam" w:hint="cs"/>
          <w:sz w:val="28"/>
          <w:rtl/>
        </w:rPr>
        <w:t>, גם במבט צופה פני עתיד'</w:t>
      </w:r>
      <w:r w:rsidRPr="00E206AF">
        <w:rPr>
          <w:rFonts w:ascii="Century" w:hAnsi="Century" w:cs="FrankRuehl" w:hint="cs"/>
          <w:spacing w:val="10"/>
          <w:sz w:val="22"/>
          <w:szCs w:val="28"/>
          <w:rtl/>
        </w:rPr>
        <w:t xml:space="preserve">" (שם; ההדגשה במקור). בפרשה אחרת ציין השופט </w:t>
      </w:r>
      <w:r w:rsidRPr="00E206AF">
        <w:rPr>
          <w:rFonts w:ascii="Century" w:hAnsi="Century" w:cs="Miriam" w:hint="cs"/>
          <w:b/>
          <w:sz w:val="22"/>
          <w:rtl/>
        </w:rPr>
        <w:t xml:space="preserve">סולברג </w:t>
      </w:r>
      <w:r w:rsidRPr="00E206AF">
        <w:rPr>
          <w:rFonts w:ascii="Century" w:hAnsi="Century" w:cs="FrankRuehl" w:hint="cs"/>
          <w:spacing w:val="10"/>
          <w:sz w:val="22"/>
          <w:szCs w:val="28"/>
          <w:rtl/>
        </w:rPr>
        <w:t>כי "</w:t>
      </w:r>
      <w:r w:rsidRPr="00E206AF">
        <w:rPr>
          <w:rFonts w:ascii="Arial TUR" w:hAnsi="Arial TUR" w:cs="FrankRuehl" w:hint="cs"/>
          <w:spacing w:val="10"/>
          <w:sz w:val="28"/>
          <w:szCs w:val="28"/>
          <w:rtl/>
        </w:rPr>
        <w:t xml:space="preserve">כלי העבודה העומדים לרשותנו בענייני </w:t>
      </w:r>
      <w:r w:rsidRPr="003F2E16">
        <w:rPr>
          <w:rFonts w:ascii="Century" w:hAnsi="Century" w:cs="Miriam" w:hint="cs"/>
          <w:b/>
          <w:sz w:val="22"/>
          <w:rtl/>
        </w:rPr>
        <w:t>סמכות</w:t>
      </w:r>
      <w:r w:rsidRPr="00E206AF">
        <w:rPr>
          <w:rFonts w:ascii="Arial TUR" w:hAnsi="Arial TUR" w:cs="FrankRuehl" w:hint="cs"/>
          <w:spacing w:val="10"/>
          <w:sz w:val="28"/>
          <w:szCs w:val="28"/>
          <w:rtl/>
        </w:rPr>
        <w:t xml:space="preserve"> ו</w:t>
      </w:r>
      <w:r w:rsidRPr="003F2E16">
        <w:rPr>
          <w:rFonts w:ascii="Century" w:hAnsi="Century" w:cs="Miriam" w:hint="cs"/>
          <w:b/>
          <w:sz w:val="22"/>
          <w:rtl/>
        </w:rPr>
        <w:t>פרוצדורה</w:t>
      </w:r>
      <w:r w:rsidRPr="00E206AF">
        <w:rPr>
          <w:rFonts w:ascii="Arial TUR" w:hAnsi="Arial TUR" w:cs="FrankRuehl" w:hint="cs"/>
          <w:spacing w:val="10"/>
          <w:sz w:val="28"/>
          <w:szCs w:val="28"/>
          <w:rtl/>
        </w:rPr>
        <w:t>, עניינים שבהם כוחנו ומומחיותנו עִמנו, כשופטים, אינם זמינים ופחות ישׂימים במה שנוגע ל'סביר' ול'ראוי'; שלגביהם השקפתו של בית המשפט לא תמיד נחזית כעדיפה על דעת הבריות. מוטב אפוא לַשימוש בעילת ה</w:t>
      </w:r>
      <w:r w:rsidRPr="003F2E16">
        <w:rPr>
          <w:rFonts w:ascii="Century" w:hAnsi="Century" w:cs="Miriam" w:hint="cs"/>
          <w:b/>
          <w:sz w:val="22"/>
          <w:rtl/>
        </w:rPr>
        <w:t xml:space="preserve">סבירות </w:t>
      </w:r>
      <w:r w:rsidRPr="00E206AF">
        <w:rPr>
          <w:rFonts w:ascii="Arial TUR" w:hAnsi="Arial TUR" w:cs="FrankRuehl" w:hint="cs"/>
          <w:spacing w:val="10"/>
          <w:sz w:val="28"/>
          <w:szCs w:val="28"/>
          <w:rtl/>
        </w:rPr>
        <w:t xml:space="preserve">שיֵעשה עם קַב חֳמָטין" (בג"ץ 43/16 </w:t>
      </w:r>
      <w:r w:rsidRPr="00E206AF">
        <w:rPr>
          <w:rFonts w:ascii="Century" w:hAnsi="Century" w:cs="Miriam" w:hint="cs"/>
          <w:b/>
          <w:sz w:val="22"/>
          <w:rtl/>
        </w:rPr>
        <w:t>תנועת אומ"ץ אזרחים למען מינהל תקין וצדק חברתי ומשפטי נ' ממשלת ישראל</w:t>
      </w:r>
      <w:r w:rsidRPr="00E206AF">
        <w:rPr>
          <w:rFonts w:ascii="Century" w:hAnsi="Century" w:cs="FrankRuehl" w:hint="cs"/>
          <w:spacing w:val="10"/>
          <w:sz w:val="22"/>
          <w:szCs w:val="28"/>
          <w:rtl/>
        </w:rPr>
        <w:t>, פס' 15 לפסק דינו (1.3.2016)</w:t>
      </w:r>
      <w:r>
        <w:rPr>
          <w:rFonts w:ascii="Century" w:hAnsi="Century" w:cs="FrankRuehl" w:hint="cs"/>
          <w:spacing w:val="10"/>
          <w:sz w:val="22"/>
          <w:szCs w:val="28"/>
          <w:rtl/>
        </w:rPr>
        <w:t>; ההדגשות במקור</w:t>
      </w:r>
      <w:r w:rsidRPr="00E206AF">
        <w:rPr>
          <w:rFonts w:ascii="Century" w:hAnsi="Century" w:cs="FrankRuehl" w:hint="cs"/>
          <w:spacing w:val="10"/>
          <w:sz w:val="22"/>
          <w:szCs w:val="28"/>
          <w:rtl/>
        </w:rPr>
        <w:t xml:space="preserve">). אף במאמר שפרסם, ביקר השופט </w:t>
      </w:r>
      <w:r w:rsidRPr="00E206AF">
        <w:rPr>
          <w:rFonts w:ascii="Century" w:hAnsi="Century" w:cs="Miriam" w:hint="cs"/>
          <w:b/>
          <w:sz w:val="22"/>
          <w:rtl/>
        </w:rPr>
        <w:t xml:space="preserve">סולברג </w:t>
      </w:r>
      <w:r w:rsidRPr="00E206AF">
        <w:rPr>
          <w:rFonts w:ascii="Century" w:hAnsi="Century" w:cs="FrankRuehl" w:hint="cs"/>
          <w:spacing w:val="10"/>
          <w:sz w:val="22"/>
          <w:szCs w:val="28"/>
          <w:rtl/>
        </w:rPr>
        <w:t xml:space="preserve">את השימוש בעילת הסבירות האיזונית. כך, תהה "האם השופט יכול, באמת ובתמים, להידרש לשאלת 'המשקל הראוי' מבלי שישים עצמו הלכה למעשה בנעליה של הרשות המנהלית?". עוד ציין כי לגישתו, "הפתרון לקשיים שמציבה לפתחנו עילת הסבירות המהותית איננו בביטולה", כי אם, בעיקרו של דבר, ב"צמצומה של עילת הסבירות </w:t>
      </w:r>
      <w:r w:rsidRPr="00E206AF">
        <w:rPr>
          <w:rFonts w:ascii="Century" w:hAnsi="Century" w:cs="FrankRuehl" w:hint="cs"/>
          <w:spacing w:val="10"/>
          <w:sz w:val="22"/>
          <w:szCs w:val="28"/>
          <w:rtl/>
        </w:rPr>
        <w:lastRenderedPageBreak/>
        <w:t xml:space="preserve">המהותית והחלתה רק ביחס להחלטות של דרג מקצועי, להבדיל מדרג נבחר" (ראו: נעם סולברג "על ערכים סובייקטיביים ושופטים אובייקטיביים" </w:t>
      </w:r>
      <w:r w:rsidRPr="00E206AF">
        <w:rPr>
          <w:rFonts w:ascii="Century" w:hAnsi="Century" w:cs="Miriam" w:hint="cs"/>
          <w:b/>
          <w:sz w:val="22"/>
          <w:rtl/>
        </w:rPr>
        <w:t xml:space="preserve">השילוח </w:t>
      </w:r>
      <w:r w:rsidRPr="00E206AF">
        <w:rPr>
          <w:rFonts w:ascii="Century" w:hAnsi="Century" w:cs="FrankRuehl" w:hint="cs"/>
          <w:spacing w:val="10"/>
          <w:sz w:val="22"/>
          <w:szCs w:val="28"/>
          <w:rtl/>
        </w:rPr>
        <w:t>18 (2020)).</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30.</w:t>
      </w:r>
      <w:r w:rsidRPr="00E206AF">
        <w:rPr>
          <w:rFonts w:ascii="Century" w:hAnsi="Century" w:cs="FrankRuehl" w:hint="cs"/>
          <w:spacing w:val="10"/>
          <w:sz w:val="22"/>
          <w:szCs w:val="28"/>
          <w:rtl/>
        </w:rPr>
        <w:tab/>
        <w:t xml:space="preserve">כן, ראו עמדתו של השופט </w:t>
      </w:r>
      <w:r w:rsidRPr="00E206AF">
        <w:rPr>
          <w:rFonts w:ascii="Century" w:hAnsi="Century" w:cs="Miriam" w:hint="cs"/>
          <w:b/>
          <w:sz w:val="22"/>
          <w:rtl/>
        </w:rPr>
        <w:t>א'</w:t>
      </w:r>
      <w:r w:rsidRPr="00E206AF">
        <w:rPr>
          <w:rFonts w:ascii="Century" w:hAnsi="Century" w:cs="FrankRuehl" w:hint="cs"/>
          <w:spacing w:val="10"/>
          <w:sz w:val="22"/>
          <w:szCs w:val="28"/>
          <w:rtl/>
        </w:rPr>
        <w:t xml:space="preserve"> </w:t>
      </w:r>
      <w:r w:rsidRPr="00E206AF">
        <w:rPr>
          <w:rFonts w:ascii="Century" w:hAnsi="Century" w:cs="Miriam" w:hint="cs"/>
          <w:b/>
          <w:sz w:val="22"/>
          <w:rtl/>
        </w:rPr>
        <w:t xml:space="preserve">שטיין </w:t>
      </w:r>
      <w:r w:rsidRPr="00E206AF">
        <w:rPr>
          <w:rFonts w:ascii="Century" w:hAnsi="Century" w:cs="FrankRuehl" w:hint="cs"/>
          <w:spacing w:val="10"/>
          <w:sz w:val="22"/>
          <w:szCs w:val="28"/>
          <w:rtl/>
        </w:rPr>
        <w:t xml:space="preserve">אשר הטעים כי </w:t>
      </w:r>
      <w:r w:rsidRPr="00E206AF">
        <w:rPr>
          <w:rFonts w:ascii="FrankRuehl" w:hAnsi="FrankRuehl" w:cs="FrankRuehl" w:hint="cs"/>
          <w:color w:val="000000"/>
          <w:spacing w:val="10"/>
          <w:sz w:val="28"/>
          <w:szCs w:val="28"/>
          <w:shd w:val="clear" w:color="auto" w:fill="FFFFFF"/>
          <w:rtl/>
        </w:rPr>
        <w:t>מראשיתה, וכפי שהתאפיינה אף באנגליה, עילת הסבירות נועדה "</w:t>
      </w:r>
      <w:r w:rsidRPr="00E206AF">
        <w:rPr>
          <w:rFonts w:ascii="FrankRuehl" w:hAnsi="FrankRuehl" w:cs="FrankRuehl"/>
          <w:color w:val="000000"/>
          <w:spacing w:val="10"/>
          <w:sz w:val="28"/>
          <w:szCs w:val="28"/>
          <w:shd w:val="clear" w:color="auto" w:fill="FFFFFF"/>
          <w:rtl/>
        </w:rPr>
        <w:t xml:space="preserve">לפעול במתכונת שיורית וצנועה, כמעין </w:t>
      </w:r>
      <w:r w:rsidRPr="00E206AF">
        <w:rPr>
          <w:rFonts w:ascii="Century" w:hAnsi="Century" w:cs="FrankRuehl"/>
          <w:spacing w:val="10"/>
          <w:sz w:val="22"/>
          <w:szCs w:val="28"/>
          <w:shd w:val="clear" w:color="auto" w:fill="FFFFFF"/>
          <w:rtl/>
        </w:rPr>
        <w:t>חזקה משפטית</w:t>
      </w:r>
      <w:r w:rsidRPr="00E206AF">
        <w:rPr>
          <w:rFonts w:ascii="FrankRuehl" w:hAnsi="FrankRuehl" w:cs="FrankRuehl"/>
          <w:color w:val="000000"/>
          <w:spacing w:val="10"/>
          <w:sz w:val="28"/>
          <w:szCs w:val="28"/>
          <w:shd w:val="clear" w:color="auto" w:fill="FFFFFF"/>
          <w:rtl/>
        </w:rPr>
        <w:t xml:space="preserve"> בדבר קיומם של שיקולים זרים, שרירות-לב או פגם חמור אחר בהחלטה מינהלית</w:t>
      </w:r>
      <w:r w:rsidRPr="00E206AF">
        <w:rPr>
          <w:rFonts w:ascii="FrankRuehl" w:hAnsi="FrankRuehl" w:cs="FrankRuehl" w:hint="cs"/>
          <w:color w:val="000000"/>
          <w:spacing w:val="10"/>
          <w:sz w:val="28"/>
          <w:szCs w:val="28"/>
          <w:shd w:val="clear" w:color="auto" w:fill="FFFFFF"/>
          <w:rtl/>
        </w:rPr>
        <w:t xml:space="preserve">". וזאת, במקרים שבהם "ניכר היה </w:t>
      </w:r>
      <w:r w:rsidRPr="00E206AF">
        <w:rPr>
          <w:rFonts w:ascii="FrankRuehl" w:hAnsi="FrankRuehl" w:cs="FrankRuehl"/>
          <w:color w:val="000000"/>
          <w:spacing w:val="10"/>
          <w:sz w:val="28"/>
          <w:szCs w:val="28"/>
          <w:shd w:val="clear" w:color="auto" w:fill="FFFFFF"/>
          <w:rtl/>
        </w:rPr>
        <w:t>שההחלטה נפגמה בפגם חמור כלשהו</w:t>
      </w:r>
      <w:r w:rsidRPr="00E206AF">
        <w:rPr>
          <w:rFonts w:ascii="FrankRuehl" w:hAnsi="FrankRuehl" w:cs="FrankRuehl" w:hint="cs"/>
          <w:color w:val="000000"/>
          <w:spacing w:val="10"/>
          <w:sz w:val="28"/>
          <w:szCs w:val="28"/>
          <w:shd w:val="clear" w:color="auto" w:fill="FFFFFF"/>
          <w:rtl/>
        </w:rPr>
        <w:t xml:space="preserve"> </w:t>
      </w:r>
      <w:r w:rsidRPr="00E206AF">
        <w:rPr>
          <w:rFonts w:ascii="FrankRuehl" w:hAnsi="FrankRuehl" w:cs="FrankRuehl" w:hint="eastAsia"/>
          <w:color w:val="000000"/>
          <w:spacing w:val="10"/>
          <w:sz w:val="28"/>
          <w:szCs w:val="28"/>
          <w:shd w:val="clear" w:color="auto" w:fill="FFFFFF"/>
          <w:rtl/>
        </w:rPr>
        <w:t>אותו</w:t>
      </w:r>
      <w:r w:rsidRPr="00E206AF">
        <w:rPr>
          <w:rFonts w:ascii="FrankRuehl" w:hAnsi="FrankRuehl" w:cs="FrankRuehl"/>
          <w:color w:val="000000"/>
          <w:spacing w:val="10"/>
          <w:sz w:val="28"/>
          <w:szCs w:val="28"/>
          <w:shd w:val="clear" w:color="auto" w:fill="FFFFFF"/>
          <w:rtl/>
        </w:rPr>
        <w:t xml:space="preserve"> </w:t>
      </w:r>
      <w:r w:rsidRPr="00E206AF">
        <w:rPr>
          <w:rFonts w:ascii="FrankRuehl" w:hAnsi="FrankRuehl" w:cs="FrankRuehl" w:hint="eastAsia"/>
          <w:color w:val="000000"/>
          <w:spacing w:val="10"/>
          <w:sz w:val="28"/>
          <w:szCs w:val="28"/>
          <w:shd w:val="clear" w:color="auto" w:fill="FFFFFF"/>
          <w:rtl/>
        </w:rPr>
        <w:t>אין</w:t>
      </w:r>
      <w:r w:rsidRPr="00E206AF">
        <w:rPr>
          <w:rFonts w:ascii="FrankRuehl" w:hAnsi="FrankRuehl" w:cs="FrankRuehl"/>
          <w:color w:val="000000"/>
          <w:spacing w:val="10"/>
          <w:sz w:val="28"/>
          <w:szCs w:val="28"/>
          <w:shd w:val="clear" w:color="auto" w:fill="FFFFFF"/>
          <w:rtl/>
        </w:rPr>
        <w:t xml:space="preserve"> </w:t>
      </w:r>
      <w:r w:rsidRPr="00E206AF">
        <w:rPr>
          <w:rFonts w:ascii="FrankRuehl" w:hAnsi="FrankRuehl" w:cs="FrankRuehl" w:hint="eastAsia"/>
          <w:color w:val="000000"/>
          <w:spacing w:val="10"/>
          <w:sz w:val="28"/>
          <w:szCs w:val="28"/>
          <w:shd w:val="clear" w:color="auto" w:fill="FFFFFF"/>
          <w:rtl/>
        </w:rPr>
        <w:t>אפשרות</w:t>
      </w:r>
      <w:r w:rsidRPr="00E206AF">
        <w:rPr>
          <w:rFonts w:ascii="FrankRuehl" w:hAnsi="FrankRuehl" w:cs="FrankRuehl"/>
          <w:color w:val="000000"/>
          <w:spacing w:val="10"/>
          <w:sz w:val="28"/>
          <w:szCs w:val="28"/>
          <w:shd w:val="clear" w:color="auto" w:fill="FFFFFF"/>
          <w:rtl/>
        </w:rPr>
        <w:t xml:space="preserve"> </w:t>
      </w:r>
      <w:r w:rsidRPr="00E206AF">
        <w:rPr>
          <w:rFonts w:ascii="FrankRuehl" w:hAnsi="FrankRuehl" w:cs="FrankRuehl" w:hint="eastAsia"/>
          <w:color w:val="000000"/>
          <w:spacing w:val="10"/>
          <w:sz w:val="28"/>
          <w:szCs w:val="28"/>
          <w:shd w:val="clear" w:color="auto" w:fill="FFFFFF"/>
          <w:rtl/>
        </w:rPr>
        <w:t>להוכיח</w:t>
      </w:r>
      <w:r w:rsidRPr="00E206AF">
        <w:rPr>
          <w:rFonts w:ascii="FrankRuehl" w:hAnsi="FrankRuehl" w:cs="FrankRuehl"/>
          <w:color w:val="000000"/>
          <w:spacing w:val="10"/>
          <w:sz w:val="28"/>
          <w:szCs w:val="28"/>
          <w:shd w:val="clear" w:color="auto" w:fill="FFFFFF"/>
          <w:rtl/>
        </w:rPr>
        <w:t xml:space="preserve"> </w:t>
      </w:r>
      <w:r w:rsidRPr="00E206AF">
        <w:rPr>
          <w:rFonts w:ascii="FrankRuehl" w:hAnsi="FrankRuehl" w:cs="FrankRuehl" w:hint="eastAsia"/>
          <w:color w:val="000000"/>
          <w:spacing w:val="10"/>
          <w:sz w:val="28"/>
          <w:szCs w:val="28"/>
          <w:shd w:val="clear" w:color="auto" w:fill="FFFFFF"/>
          <w:rtl/>
        </w:rPr>
        <w:t>בשל</w:t>
      </w:r>
      <w:r w:rsidRPr="00E206AF">
        <w:rPr>
          <w:rFonts w:ascii="FrankRuehl" w:hAnsi="FrankRuehl" w:cs="FrankRuehl"/>
          <w:color w:val="000000"/>
          <w:spacing w:val="10"/>
          <w:sz w:val="28"/>
          <w:szCs w:val="28"/>
          <w:shd w:val="clear" w:color="auto" w:fill="FFFFFF"/>
          <w:rtl/>
        </w:rPr>
        <w:t xml:space="preserve"> </w:t>
      </w:r>
      <w:r w:rsidRPr="00E206AF">
        <w:rPr>
          <w:rFonts w:ascii="FrankRuehl" w:hAnsi="FrankRuehl" w:cs="FrankRuehl" w:hint="eastAsia"/>
          <w:color w:val="000000"/>
          <w:spacing w:val="10"/>
          <w:sz w:val="28"/>
          <w:szCs w:val="28"/>
          <w:shd w:val="clear" w:color="auto" w:fill="FFFFFF"/>
          <w:rtl/>
        </w:rPr>
        <w:t>מחסור</w:t>
      </w:r>
      <w:r w:rsidRPr="00E206AF">
        <w:rPr>
          <w:rFonts w:ascii="FrankRuehl" w:hAnsi="FrankRuehl" w:cs="FrankRuehl"/>
          <w:color w:val="000000"/>
          <w:spacing w:val="10"/>
          <w:sz w:val="28"/>
          <w:szCs w:val="28"/>
          <w:shd w:val="clear" w:color="auto" w:fill="FFFFFF"/>
          <w:rtl/>
        </w:rPr>
        <w:t xml:space="preserve"> </w:t>
      </w:r>
      <w:r w:rsidRPr="00E206AF">
        <w:rPr>
          <w:rFonts w:ascii="FrankRuehl" w:hAnsi="FrankRuehl" w:cs="FrankRuehl" w:hint="eastAsia"/>
          <w:color w:val="000000"/>
          <w:spacing w:val="10"/>
          <w:sz w:val="28"/>
          <w:szCs w:val="28"/>
          <w:shd w:val="clear" w:color="auto" w:fill="FFFFFF"/>
          <w:rtl/>
        </w:rPr>
        <w:t>בראיות</w:t>
      </w:r>
      <w:r w:rsidRPr="00E206AF">
        <w:rPr>
          <w:rFonts w:ascii="FrankRuehl" w:hAnsi="FrankRuehl" w:cs="FrankRuehl"/>
          <w:color w:val="000000"/>
          <w:spacing w:val="10"/>
          <w:sz w:val="28"/>
          <w:szCs w:val="28"/>
          <w:shd w:val="clear" w:color="auto" w:fill="FFFFFF"/>
          <w:rtl/>
        </w:rPr>
        <w:t xml:space="preserve"> </w:t>
      </w:r>
      <w:r w:rsidRPr="00E206AF">
        <w:rPr>
          <w:rFonts w:ascii="FrankRuehl" w:hAnsi="FrankRuehl" w:cs="FrankRuehl" w:hint="eastAsia"/>
          <w:color w:val="000000"/>
          <w:spacing w:val="10"/>
          <w:sz w:val="28"/>
          <w:szCs w:val="28"/>
          <w:shd w:val="clear" w:color="auto" w:fill="FFFFFF"/>
          <w:rtl/>
        </w:rPr>
        <w:t>או</w:t>
      </w:r>
      <w:r w:rsidRPr="00E206AF">
        <w:rPr>
          <w:rFonts w:ascii="FrankRuehl" w:hAnsi="FrankRuehl" w:cs="FrankRuehl"/>
          <w:color w:val="000000"/>
          <w:spacing w:val="10"/>
          <w:sz w:val="28"/>
          <w:szCs w:val="28"/>
          <w:shd w:val="clear" w:color="auto" w:fill="FFFFFF"/>
          <w:rtl/>
        </w:rPr>
        <w:t xml:space="preserve"> </w:t>
      </w:r>
      <w:r w:rsidRPr="00E206AF">
        <w:rPr>
          <w:rFonts w:ascii="FrankRuehl" w:hAnsi="FrankRuehl" w:cs="FrankRuehl" w:hint="eastAsia"/>
          <w:color w:val="000000"/>
          <w:spacing w:val="10"/>
          <w:sz w:val="28"/>
          <w:szCs w:val="28"/>
          <w:shd w:val="clear" w:color="auto" w:fill="FFFFFF"/>
          <w:rtl/>
        </w:rPr>
        <w:t>מסיבה</w:t>
      </w:r>
      <w:r w:rsidRPr="00E206AF">
        <w:rPr>
          <w:rFonts w:ascii="FrankRuehl" w:hAnsi="FrankRuehl" w:cs="FrankRuehl"/>
          <w:color w:val="000000"/>
          <w:spacing w:val="10"/>
          <w:sz w:val="28"/>
          <w:szCs w:val="28"/>
          <w:shd w:val="clear" w:color="auto" w:fill="FFFFFF"/>
          <w:rtl/>
        </w:rPr>
        <w:t xml:space="preserve"> </w:t>
      </w:r>
      <w:r w:rsidRPr="00E206AF">
        <w:rPr>
          <w:rFonts w:ascii="FrankRuehl" w:hAnsi="FrankRuehl" w:cs="FrankRuehl" w:hint="eastAsia"/>
          <w:color w:val="000000"/>
          <w:spacing w:val="10"/>
          <w:sz w:val="28"/>
          <w:szCs w:val="28"/>
          <w:shd w:val="clear" w:color="auto" w:fill="FFFFFF"/>
          <w:rtl/>
        </w:rPr>
        <w:t>אחרת</w:t>
      </w:r>
      <w:r w:rsidRPr="00E206AF">
        <w:rPr>
          <w:rFonts w:ascii="FrankRuehl" w:hAnsi="FrankRuehl" w:cs="FrankRuehl" w:hint="cs"/>
          <w:color w:val="000000"/>
          <w:spacing w:val="10"/>
          <w:sz w:val="28"/>
          <w:szCs w:val="28"/>
          <w:shd w:val="clear" w:color="auto" w:fill="FFFFFF"/>
          <w:rtl/>
        </w:rPr>
        <w:t>". בכך, "</w:t>
      </w:r>
      <w:r w:rsidRPr="00E206AF">
        <w:rPr>
          <w:rFonts w:ascii="FrankRuehl" w:hAnsi="FrankRuehl" w:cs="FrankRuehl"/>
          <w:color w:val="000000"/>
          <w:spacing w:val="10"/>
          <w:sz w:val="28"/>
          <w:szCs w:val="28"/>
          <w:shd w:val="clear" w:color="auto" w:fill="FFFFFF"/>
          <w:rtl/>
        </w:rPr>
        <w:t>אפשרה הדוקטרינה לפסול את ההחלטה המינהלית בשל היותה – על פניה – בלתי סבירה בעליל, או בלתי סבירה באופן קיצוני</w:t>
      </w:r>
      <w:r w:rsidRPr="00E206AF">
        <w:rPr>
          <w:rFonts w:ascii="FrankRuehl" w:hAnsi="FrankRuehl" w:cs="FrankRuehl" w:hint="cs"/>
          <w:color w:val="000000"/>
          <w:spacing w:val="10"/>
          <w:sz w:val="28"/>
          <w:szCs w:val="28"/>
          <w:shd w:val="clear" w:color="auto" w:fill="FFFFFF"/>
          <w:rtl/>
        </w:rPr>
        <w:t>" (</w:t>
      </w:r>
      <w:r w:rsidRPr="00E206AF">
        <w:rPr>
          <w:rFonts w:ascii="Century" w:hAnsi="Century" w:cs="FrankRuehl" w:hint="eastAsia"/>
          <w:spacing w:val="10"/>
          <w:sz w:val="22"/>
          <w:szCs w:val="28"/>
          <w:rtl/>
        </w:rPr>
        <w:t>דנ</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פ</w:t>
      </w:r>
      <w:r w:rsidRPr="00E206AF">
        <w:rPr>
          <w:rFonts w:ascii="Century" w:hAnsi="Century" w:cs="FrankRuehl"/>
          <w:spacing w:val="10"/>
          <w:sz w:val="22"/>
          <w:szCs w:val="28"/>
          <w:rtl/>
        </w:rPr>
        <w:t xml:space="preserve"> 5387/20 </w:t>
      </w:r>
      <w:r w:rsidRPr="00E206AF">
        <w:rPr>
          <w:rFonts w:ascii="Century" w:hAnsi="Century" w:cs="Miriam" w:hint="eastAsia"/>
          <w:b/>
          <w:sz w:val="22"/>
          <w:rtl/>
        </w:rPr>
        <w:t>רותם</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מדינת</w:t>
      </w:r>
      <w:r w:rsidRPr="00E206AF">
        <w:rPr>
          <w:rFonts w:ascii="Century" w:hAnsi="Century" w:cs="Miriam"/>
          <w:b/>
          <w:sz w:val="22"/>
          <w:rtl/>
        </w:rPr>
        <w:t xml:space="preserve"> </w:t>
      </w:r>
      <w:r w:rsidRPr="00E206AF">
        <w:rPr>
          <w:rFonts w:ascii="Century" w:hAnsi="Century" w:cs="Miriam" w:hint="eastAsia"/>
          <w:b/>
          <w:sz w:val="22"/>
          <w:rtl/>
        </w:rPr>
        <w:t>ישראל</w:t>
      </w:r>
      <w:r w:rsidRPr="00E206AF">
        <w:rPr>
          <w:rFonts w:ascii="Century" w:hAnsi="Century" w:cs="FrankRuehl" w:hint="cs"/>
          <w:spacing w:val="10"/>
          <w:sz w:val="22"/>
          <w:szCs w:val="28"/>
          <w:rtl/>
        </w:rPr>
        <w:t>, פס' 3 לפסק דינו</w:t>
      </w:r>
      <w:r w:rsidRPr="00E206AF">
        <w:rPr>
          <w:rFonts w:ascii="Century" w:hAnsi="Century" w:cs="Miriam" w:hint="cs"/>
          <w:b/>
          <w:sz w:val="22"/>
          <w:rtl/>
        </w:rPr>
        <w:t xml:space="preserve"> </w:t>
      </w:r>
      <w:r w:rsidRPr="00E206AF">
        <w:rPr>
          <w:rFonts w:ascii="Century" w:hAnsi="Century" w:cs="FrankRuehl"/>
          <w:spacing w:val="10"/>
          <w:sz w:val="22"/>
          <w:szCs w:val="28"/>
          <w:rtl/>
        </w:rPr>
        <w:t>(15.12.2021)</w:t>
      </w:r>
      <w:r w:rsidRPr="00E206AF">
        <w:rPr>
          <w:rFonts w:ascii="Century" w:hAnsi="Century" w:cs="FrankRuehl" w:hint="cs"/>
          <w:spacing w:val="10"/>
          <w:sz w:val="22"/>
          <w:szCs w:val="28"/>
          <w:rtl/>
        </w:rPr>
        <w:t>)</w:t>
      </w:r>
      <w:r w:rsidRPr="00E206AF">
        <w:rPr>
          <w:rFonts w:ascii="FrankRuehl" w:hAnsi="FrankRuehl" w:cs="FrankRuehl" w:hint="cs"/>
          <w:color w:val="000000"/>
          <w:spacing w:val="10"/>
          <w:sz w:val="28"/>
          <w:szCs w:val="28"/>
          <w:shd w:val="clear" w:color="auto" w:fill="FFFFFF"/>
          <w:rtl/>
        </w:rPr>
        <w:t xml:space="preserve">. </w:t>
      </w:r>
      <w:r w:rsidRPr="00E206AF">
        <w:rPr>
          <w:rFonts w:ascii="Century" w:hAnsi="Century" w:cs="FrankRuehl" w:hint="cs"/>
          <w:spacing w:val="10"/>
          <w:sz w:val="22"/>
          <w:szCs w:val="28"/>
          <w:rtl/>
        </w:rPr>
        <w:t xml:space="preserve">עוד ראו, בעניין זה, את דבריו של השופט </w:t>
      </w:r>
      <w:r w:rsidRPr="00E206AF">
        <w:rPr>
          <w:rFonts w:ascii="Century" w:hAnsi="Century" w:cs="Miriam" w:hint="eastAsia"/>
          <w:b/>
          <w:sz w:val="22"/>
          <w:rtl/>
        </w:rPr>
        <w:t>שטיין</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אשר צידד שם בעמדתו של השופט </w:t>
      </w:r>
      <w:r w:rsidRPr="00E206AF">
        <w:rPr>
          <w:rFonts w:ascii="Century" w:hAnsi="Century" w:cs="Miriam" w:hint="cs"/>
          <w:b/>
          <w:sz w:val="22"/>
          <w:rtl/>
        </w:rPr>
        <w:t xml:space="preserve">סולברג </w:t>
      </w:r>
      <w:r w:rsidRPr="00E206AF">
        <w:rPr>
          <w:rFonts w:ascii="Century" w:hAnsi="Century" w:cs="FrankRuehl" w:hint="cs"/>
          <w:spacing w:val="10"/>
          <w:sz w:val="22"/>
          <w:szCs w:val="28"/>
          <w:rtl/>
        </w:rPr>
        <w:t xml:space="preserve">בסוגיה: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hint="cs"/>
          <w:spacing w:val="10"/>
          <w:sz w:val="22"/>
          <w:szCs w:val="28"/>
          <w:rtl/>
        </w:rPr>
        <w:t>"</w:t>
      </w:r>
      <w:r w:rsidRPr="00E206AF">
        <w:rPr>
          <w:rFonts w:ascii="Arial TUR" w:hAnsi="Arial TUR" w:cs="FrankRuehl" w:hint="eastAsia"/>
          <w:spacing w:val="10"/>
          <w:sz w:val="22"/>
          <w:szCs w:val="28"/>
          <w:rtl/>
        </w:rPr>
        <w:t>דומני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אטעה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אומר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חששו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הנשיא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לנדוי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התממש</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הלכה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למעשה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בשני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העשורים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האחרונים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עדים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היינו</w:t>
      </w:r>
      <w:r w:rsidRPr="00E206AF">
        <w:rPr>
          <w:rFonts w:ascii="Arial TUR" w:hAnsi="Arial TUR" w:cs="FrankRuehl"/>
          <w:spacing w:val="10"/>
          <w:sz w:val="22"/>
          <w:szCs w:val="28"/>
          <w:rtl/>
        </w:rPr>
        <w:t xml:space="preserve"> – </w:t>
      </w:r>
      <w:r w:rsidRPr="00E206AF">
        <w:rPr>
          <w:rFonts w:ascii="Arial TUR" w:hAnsi="Arial TUR" w:cs="FrankRuehl" w:hint="eastAsia"/>
          <w:spacing w:val="10"/>
          <w:sz w:val="22"/>
          <w:szCs w:val="28"/>
          <w:rtl/>
        </w:rPr>
        <w:t>לא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אחת</w:t>
      </w:r>
      <w:r w:rsidRPr="00E206AF">
        <w:rPr>
          <w:rFonts w:ascii="Arial TUR" w:hAnsi="Arial TUR" w:cs="FrankRuehl"/>
          <w:spacing w:val="10"/>
          <w:sz w:val="22"/>
          <w:szCs w:val="28"/>
          <w:rtl/>
        </w:rPr>
        <w:t xml:space="preserve"> – </w:t>
      </w:r>
      <w:r w:rsidRPr="00E206AF">
        <w:rPr>
          <w:rFonts w:ascii="Arial TUR" w:hAnsi="Arial TUR" w:cs="FrankRuehl" w:hint="eastAsia"/>
          <w:spacing w:val="10"/>
          <w:sz w:val="22"/>
          <w:szCs w:val="28"/>
          <w:rtl/>
        </w:rPr>
        <w:t>להפעלתה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דוקטרינת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הסבירות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במתכונת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רחבה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אשר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כללה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התערבות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שיפוטית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בתוכן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ההחלטה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המינהלית</w:t>
      </w:r>
      <w:r w:rsidRPr="00E206AF">
        <w:rPr>
          <w:rFonts w:ascii="Arial TUR" w:hAnsi="Arial TUR" w:cs="FrankRuehl"/>
          <w:spacing w:val="10"/>
          <w:sz w:val="22"/>
          <w:szCs w:val="28"/>
          <w:rtl/>
        </w:rPr>
        <w:t xml:space="preserve"> </w:t>
      </w:r>
      <w:r w:rsidRPr="00E206AF">
        <w:rPr>
          <w:rFonts w:cs="Times New Roman"/>
          <w:spacing w:val="10"/>
          <w:sz w:val="22"/>
          <w:szCs w:val="28"/>
        </w:rPr>
        <w:t>de novo</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מתכונת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זו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Pr>
          <w:rFonts w:ascii="Arial TUR" w:hAnsi="Arial TUR" w:cs="FrankRuehl" w:hint="cs"/>
          <w:spacing w:val="10"/>
          <w:sz w:val="22"/>
          <w:szCs w:val="28"/>
          <w:rtl/>
        </w:rPr>
        <w:t>'</w:t>
      </w:r>
      <w:r w:rsidRPr="00E206AF">
        <w:rPr>
          <w:rFonts w:ascii="Arial TUR" w:hAnsi="Arial TUR" w:cs="FrankRuehl" w:hint="eastAsia"/>
          <w:spacing w:val="10"/>
          <w:sz w:val="22"/>
          <w:szCs w:val="28"/>
          <w:rtl/>
        </w:rPr>
        <w:t>משפט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זה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אני</w:t>
      </w:r>
      <w:r>
        <w:rPr>
          <w:rFonts w:ascii="Arial TUR" w:hAnsi="Arial TUR" w:cs="FrankRuehl" w:hint="cs"/>
          <w:spacing w:val="10"/>
          <w:sz w:val="22"/>
          <w:szCs w:val="28"/>
          <w:rtl/>
        </w:rPr>
        <w:t>'</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מאפשרת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לשופט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להיכנס</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לנעלי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הרשות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המבצעת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ולעשות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בהחלטתה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כטוב</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בעיניו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למתכונת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זו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דוקטרינת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הסבירות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אחיזה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בדין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הפוזיטיבי</w:t>
      </w:r>
      <w:r w:rsidRPr="00E206AF">
        <w:rPr>
          <w:rFonts w:ascii="Arial TUR" w:hAnsi="Arial TUR" w:cs="FrankRuehl" w:hint="cs"/>
          <w:spacing w:val="10"/>
          <w:sz w:val="22"/>
          <w:szCs w:val="28"/>
          <w:rtl/>
        </w:rPr>
        <w:t xml:space="preserve">. </w:t>
      </w:r>
      <w:r w:rsidRPr="00E206AF">
        <w:rPr>
          <w:rFonts w:ascii="Arial TUR" w:hAnsi="Arial TUR" w:cs="FrankRuehl" w:hint="eastAsia"/>
          <w:spacing w:val="10"/>
          <w:sz w:val="22"/>
          <w:szCs w:val="28"/>
          <w:rtl/>
        </w:rPr>
        <w:t>מתכונת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זו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נדונה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בהרחבה</w:t>
      </w:r>
      <w:r w:rsidRPr="00E206AF">
        <w:rPr>
          <w:rFonts w:ascii="Arial TUR" w:hAnsi="Arial TUR" w:cs="FrankRuehl"/>
          <w:spacing w:val="10"/>
          <w:sz w:val="22"/>
          <w:szCs w:val="28"/>
          <w:rtl/>
        </w:rPr>
        <w:t xml:space="preserve"> – </w:t>
      </w:r>
      <w:r w:rsidRPr="00E206AF">
        <w:rPr>
          <w:rFonts w:ascii="Arial TUR" w:hAnsi="Arial TUR" w:cs="FrankRuehl" w:hint="eastAsia"/>
          <w:spacing w:val="10"/>
          <w:sz w:val="22"/>
          <w:szCs w:val="28"/>
          <w:rtl/>
        </w:rPr>
        <w:t>ובוקרה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ביקורת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עקבית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נוקבת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ובמלוא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הכבוד</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נכונה</w:t>
      </w:r>
      <w:r w:rsidRPr="00E206AF">
        <w:rPr>
          <w:rFonts w:ascii="Arial TUR" w:hAnsi="Arial TUR" w:cs="FrankRuehl"/>
          <w:spacing w:val="10"/>
          <w:sz w:val="22"/>
          <w:szCs w:val="28"/>
          <w:rtl/>
        </w:rPr>
        <w:t xml:space="preserve"> – </w:t>
      </w:r>
      <w:r w:rsidRPr="00E206AF">
        <w:rPr>
          <w:rFonts w:ascii="Arial TUR" w:hAnsi="Arial TUR" w:cs="FrankRuehl" w:hint="eastAsia"/>
          <w:spacing w:val="10"/>
          <w:sz w:val="22"/>
          <w:szCs w:val="28"/>
          <w:rtl/>
        </w:rPr>
        <w:t>על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ידי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חברנו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השופט</w:t>
      </w:r>
      <w:r w:rsidRPr="00E206AF">
        <w:rPr>
          <w:rFonts w:ascii="Arial TUR" w:hAnsi="Arial TUR" w:cs="FrankRuehl"/>
          <w:spacing w:val="10"/>
          <w:sz w:val="22"/>
          <w:szCs w:val="28"/>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סולברג</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בפסיקתו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ובמאמרו</w:t>
      </w:r>
      <w:r w:rsidRPr="00E206AF">
        <w:rPr>
          <w:rFonts w:ascii="Arial TUR" w:hAnsi="Arial TUR" w:cs="FrankRuehl" w:hint="cs"/>
          <w:spacing w:val="10"/>
          <w:sz w:val="22"/>
          <w:szCs w:val="28"/>
          <w:rtl/>
        </w:rPr>
        <w:t xml:space="preserve">" (שם, בפס' 7 לפסק דינו).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31.</w:t>
      </w: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בהקשר זה, אזכיר דברים שנזדמן לי לכתוב בעבר, שלפיהם בשל הקושי הנובע מעילת הסבירות "בגרסתה הרחבה", אשר "עלולה להתבסס על הכרעות ערכיות שטומנות בחובן, מטבע הדברים, מאפיינים סובייקטיביים", יש לעשות שימוש בעילה זו "בזהירות רבה" (ראו: </w:t>
      </w:r>
      <w:hyperlink r:id="rId10" w:history="1">
        <w:r w:rsidRPr="00E206AF">
          <w:rPr>
            <w:rFonts w:ascii="Century" w:hAnsi="Century" w:cs="FrankRuehl"/>
            <w:spacing w:val="10"/>
            <w:sz w:val="22"/>
            <w:szCs w:val="28"/>
            <w:rtl/>
          </w:rPr>
          <w:t>בג"ץ 8076/21 </w:t>
        </w:r>
        <w:r w:rsidRPr="00E206AF">
          <w:rPr>
            <w:rFonts w:ascii="Century" w:hAnsi="Century" w:cs="Miriam"/>
            <w:sz w:val="22"/>
            <w:rtl/>
          </w:rPr>
          <w:t>ועדת השופטים להענקת פרס ישראל לשנת תשפ"א בתחום חקר מדעי המחשב נ' שרת החינוך</w:t>
        </w:r>
        <w:r w:rsidRPr="00E206AF">
          <w:rPr>
            <w:rFonts w:ascii="Century" w:hAnsi="Century" w:cs="FrankRuehl" w:hint="cs"/>
            <w:spacing w:val="10"/>
            <w:sz w:val="22"/>
            <w:szCs w:val="28"/>
            <w:rtl/>
          </w:rPr>
          <w:t xml:space="preserve">, פס' 51 לפסק דיני </w:t>
        </w:r>
        <w:r w:rsidRPr="00E206AF">
          <w:rPr>
            <w:rFonts w:ascii="Century" w:hAnsi="Century" w:cs="FrankRuehl"/>
            <w:spacing w:val="10"/>
            <w:sz w:val="22"/>
            <w:szCs w:val="28"/>
            <w:rtl/>
          </w:rPr>
          <w:t>(29.3.2022)‏</w:t>
        </w:r>
      </w:hyperlink>
      <w:r w:rsidRPr="00E206AF">
        <w:rPr>
          <w:rFonts w:ascii="Arial TUR" w:hAnsi="Arial TUR" w:cs="FrankRuehl"/>
          <w:color w:val="000000"/>
          <w:spacing w:val="10"/>
          <w:sz w:val="27"/>
          <w:szCs w:val="27"/>
          <w:rtl/>
        </w:rPr>
        <w:t>‏</w:t>
      </w:r>
      <w:r w:rsidRPr="00E206AF">
        <w:rPr>
          <w:rFonts w:ascii="Century" w:hAnsi="Century" w:cs="FrankRuehl" w:hint="cs"/>
          <w:spacing w:val="10"/>
          <w:sz w:val="22"/>
          <w:szCs w:val="28"/>
          <w:rtl/>
        </w:rPr>
        <w:t xml:space="preserve"> (להלן: עניין </w:t>
      </w:r>
      <w:r w:rsidRPr="00E206AF">
        <w:rPr>
          <w:rFonts w:ascii="Century" w:hAnsi="Century" w:cs="Miriam" w:hint="cs"/>
          <w:b/>
          <w:sz w:val="22"/>
          <w:rtl/>
        </w:rPr>
        <w:t>פרס ישראל</w:t>
      </w:r>
      <w:r w:rsidRPr="00E206AF">
        <w:rPr>
          <w:rFonts w:ascii="Century" w:hAnsi="Century" w:cs="FrankRuehl" w:hint="cs"/>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32.</w:t>
      </w:r>
      <w:r w:rsidRPr="00E206AF">
        <w:rPr>
          <w:rFonts w:ascii="Century" w:hAnsi="Century" w:cs="FrankRuehl" w:hint="cs"/>
          <w:spacing w:val="10"/>
          <w:sz w:val="22"/>
          <w:szCs w:val="28"/>
          <w:rtl/>
        </w:rPr>
        <w:tab/>
      </w:r>
      <w:r w:rsidRPr="00E206AF">
        <w:rPr>
          <w:rFonts w:ascii="Arial TUR" w:hAnsi="Arial TUR" w:cs="FrankRuehl" w:hint="cs"/>
          <w:spacing w:val="10"/>
          <w:sz w:val="22"/>
          <w:szCs w:val="28"/>
          <w:rtl/>
        </w:rPr>
        <w:t xml:space="preserve">הדי הסתייגות מעילת הסבירות במובנה הרחב, נשמעות לא מעט גם בספירה האקדמית. כך, למשל, </w:t>
      </w:r>
      <w:r w:rsidRPr="00E206AF">
        <w:rPr>
          <w:rFonts w:ascii="Century" w:hAnsi="Century" w:cs="Miriam" w:hint="cs"/>
          <w:b/>
          <w:sz w:val="22"/>
          <w:rtl/>
        </w:rPr>
        <w:t xml:space="preserve">מ' מאוטנר </w:t>
      </w:r>
      <w:r w:rsidRPr="00E206AF">
        <w:rPr>
          <w:rFonts w:ascii="Century" w:hAnsi="Century" w:cs="FrankRuehl" w:hint="cs"/>
          <w:spacing w:val="10"/>
          <w:sz w:val="22"/>
          <w:szCs w:val="28"/>
          <w:rtl/>
        </w:rPr>
        <w:t>מציין את ה"שינוי הרדיקלי" אשר התחולל ביחסים שבין בית המשפט לרשות המינהלית בשנות השמונים, ועומד על נקודות התורפה המצויות בהרחבה שנעשתה בעילה האמורה.</w:t>
      </w:r>
      <w:r w:rsidRPr="00E206AF">
        <w:rPr>
          <w:rFonts w:ascii="Century" w:hAnsi="Century" w:cs="Miriam" w:hint="cs"/>
          <w:b/>
          <w:sz w:val="22"/>
          <w:rtl/>
        </w:rPr>
        <w:t xml:space="preserve"> </w:t>
      </w:r>
      <w:r w:rsidRPr="00E206AF">
        <w:rPr>
          <w:rFonts w:ascii="FrankRuehl" w:hAnsi="FrankRuehl" w:cs="FrankRuehl"/>
          <w:sz w:val="28"/>
          <w:szCs w:val="28"/>
          <w:rtl/>
        </w:rPr>
        <w:t>ביקורתו של</w:t>
      </w:r>
      <w:r w:rsidRPr="00E206AF">
        <w:rPr>
          <w:rFonts w:ascii="Miriam" w:hAnsi="Miriam" w:cs="Miriam"/>
          <w:sz w:val="28"/>
          <w:szCs w:val="28"/>
          <w:rtl/>
        </w:rPr>
        <w:t xml:space="preserve"> </w:t>
      </w:r>
      <w:r w:rsidRPr="00E206AF">
        <w:rPr>
          <w:rFonts w:ascii="Miriam" w:hAnsi="Miriam" w:cs="Miriam"/>
          <w:sz w:val="24"/>
          <w:rtl/>
        </w:rPr>
        <w:t>מאוטנר</w:t>
      </w:r>
      <w:r w:rsidRPr="00E206AF">
        <w:rPr>
          <w:rFonts w:ascii="FrankRuehl" w:hAnsi="FrankRuehl" w:cs="FrankRuehl"/>
          <w:spacing w:val="10"/>
          <w:sz w:val="28"/>
          <w:szCs w:val="28"/>
          <w:rtl/>
        </w:rPr>
        <w:t xml:space="preserve"> נסובה, בין היתר, </w:t>
      </w:r>
      <w:r w:rsidRPr="00E206AF">
        <w:rPr>
          <w:rFonts w:ascii="FrankRuehl" w:hAnsi="FrankRuehl" w:cs="FrankRuehl" w:hint="cs"/>
          <w:spacing w:val="10"/>
          <w:sz w:val="28"/>
          <w:szCs w:val="28"/>
          <w:rtl/>
        </w:rPr>
        <w:t xml:space="preserve">סביב </w:t>
      </w:r>
      <w:r w:rsidRPr="00E206AF">
        <w:rPr>
          <w:rFonts w:ascii="FrankRuehl" w:hAnsi="FrankRuehl" w:cs="FrankRuehl"/>
          <w:spacing w:val="10"/>
          <w:sz w:val="28"/>
          <w:szCs w:val="28"/>
          <w:rtl/>
        </w:rPr>
        <w:t>עלייתה של עילת הסבירות כ</w:t>
      </w:r>
      <w:r w:rsidRPr="00E206AF">
        <w:rPr>
          <w:rFonts w:ascii="FrankRuehl" w:hAnsi="FrankRuehl" w:cs="FrankRuehl" w:hint="cs"/>
          <w:spacing w:val="10"/>
          <w:sz w:val="28"/>
          <w:szCs w:val="28"/>
          <w:rtl/>
        </w:rPr>
        <w:t>"</w:t>
      </w:r>
      <w:r w:rsidRPr="00E206AF">
        <w:rPr>
          <w:rFonts w:ascii="FrankRuehl" w:hAnsi="FrankRuehl" w:cs="FrankRuehl"/>
          <w:spacing w:val="10"/>
          <w:sz w:val="28"/>
          <w:szCs w:val="28"/>
          <w:rtl/>
        </w:rPr>
        <w:t>נורמת על משפטית</w:t>
      </w:r>
      <w:r w:rsidRPr="00E206AF">
        <w:rPr>
          <w:rFonts w:ascii="FrankRuehl" w:hAnsi="FrankRuehl" w:cs="FrankRuehl" w:hint="cs"/>
          <w:spacing w:val="10"/>
          <w:sz w:val="28"/>
          <w:szCs w:val="28"/>
          <w:rtl/>
        </w:rPr>
        <w:t>"</w:t>
      </w:r>
      <w:r w:rsidRPr="00E206AF">
        <w:rPr>
          <w:rFonts w:ascii="FrankRuehl" w:hAnsi="FrankRuehl" w:cs="FrankRuehl"/>
          <w:spacing w:val="10"/>
          <w:sz w:val="28"/>
          <w:szCs w:val="28"/>
          <w:rtl/>
        </w:rPr>
        <w:t xml:space="preserve">, </w:t>
      </w:r>
      <w:r w:rsidRPr="00E206AF">
        <w:rPr>
          <w:rFonts w:ascii="FrankRuehl" w:hAnsi="FrankRuehl" w:cs="FrankRuehl" w:hint="cs"/>
          <w:spacing w:val="10"/>
          <w:sz w:val="28"/>
          <w:szCs w:val="28"/>
          <w:rtl/>
        </w:rPr>
        <w:t xml:space="preserve">אשר למעשה "מכפיפה" את הרשות הפוליטית לבית המשפט. כן, מדגיש </w:t>
      </w:r>
      <w:r w:rsidRPr="00E206AF">
        <w:rPr>
          <w:rFonts w:ascii="Century" w:hAnsi="Century" w:cs="Miriam" w:hint="cs"/>
          <w:b/>
          <w:sz w:val="22"/>
          <w:rtl/>
        </w:rPr>
        <w:t>מאוטנר</w:t>
      </w:r>
      <w:r w:rsidRPr="00E206AF">
        <w:rPr>
          <w:rFonts w:ascii="Century" w:hAnsi="Century" w:cs="FrankRuehl" w:hint="cs"/>
          <w:spacing w:val="10"/>
          <w:sz w:val="22"/>
          <w:szCs w:val="28"/>
          <w:rtl/>
        </w:rPr>
        <w:t xml:space="preserve"> את</w:t>
      </w:r>
      <w:r w:rsidRPr="00E206AF">
        <w:rPr>
          <w:rFonts w:ascii="FrankRuehl" w:hAnsi="FrankRuehl" w:cs="FrankRuehl" w:hint="cs"/>
          <w:spacing w:val="10"/>
          <w:sz w:val="28"/>
          <w:szCs w:val="28"/>
          <w:rtl/>
        </w:rPr>
        <w:t xml:space="preserve"> </w:t>
      </w:r>
      <w:r w:rsidRPr="00E206AF">
        <w:rPr>
          <w:rFonts w:ascii="FrankRuehl" w:hAnsi="FrankRuehl" w:cs="FrankRuehl"/>
          <w:spacing w:val="10"/>
          <w:sz w:val="28"/>
          <w:szCs w:val="28"/>
          <w:rtl/>
        </w:rPr>
        <w:t xml:space="preserve">הרחבת </w:t>
      </w:r>
      <w:r w:rsidRPr="00E206AF">
        <w:rPr>
          <w:rFonts w:ascii="FrankRuehl" w:hAnsi="FrankRuehl" w:cs="FrankRuehl" w:hint="cs"/>
          <w:spacing w:val="10"/>
          <w:sz w:val="28"/>
          <w:szCs w:val="28"/>
          <w:rtl/>
        </w:rPr>
        <w:t xml:space="preserve">עילת הסבירות אל עבר "סבירות </w:t>
      </w:r>
      <w:r w:rsidRPr="00E206AF">
        <w:rPr>
          <w:rFonts w:ascii="FrankRuehl" w:hAnsi="FrankRuehl" w:cs="FrankRuehl" w:hint="cs"/>
          <w:spacing w:val="10"/>
          <w:sz w:val="28"/>
          <w:szCs w:val="28"/>
          <w:rtl/>
        </w:rPr>
        <w:lastRenderedPageBreak/>
        <w:t xml:space="preserve">מקצועית", קרי, </w:t>
      </w:r>
      <w:r w:rsidRPr="00E206AF">
        <w:rPr>
          <w:rFonts w:ascii="FrankRuehl" w:hAnsi="FrankRuehl" w:cs="FrankRuehl"/>
          <w:spacing w:val="10"/>
          <w:sz w:val="28"/>
          <w:szCs w:val="28"/>
          <w:rtl/>
        </w:rPr>
        <w:t>שימוש בעילת הסבירות לביקורת החלטות מ</w:t>
      </w:r>
      <w:r w:rsidRPr="00E206AF">
        <w:rPr>
          <w:rFonts w:ascii="FrankRuehl" w:hAnsi="FrankRuehl" w:cs="FrankRuehl" w:hint="cs"/>
          <w:spacing w:val="10"/>
          <w:sz w:val="28"/>
          <w:szCs w:val="28"/>
          <w:rtl/>
        </w:rPr>
        <w:t>י</w:t>
      </w:r>
      <w:r w:rsidRPr="00E206AF">
        <w:rPr>
          <w:rFonts w:ascii="FrankRuehl" w:hAnsi="FrankRuehl" w:cs="FrankRuehl"/>
          <w:spacing w:val="10"/>
          <w:sz w:val="28"/>
          <w:szCs w:val="28"/>
          <w:rtl/>
        </w:rPr>
        <w:t xml:space="preserve">נהליות המבוססות על שיקולים </w:t>
      </w:r>
      <w:r w:rsidRPr="00E206AF">
        <w:rPr>
          <w:rFonts w:ascii="Century" w:hAnsi="Century" w:cs="Miriam"/>
          <w:b/>
          <w:sz w:val="22"/>
          <w:rtl/>
        </w:rPr>
        <w:t>בלתי-משפטיים</w:t>
      </w:r>
      <w:r w:rsidRPr="00E206AF">
        <w:rPr>
          <w:rFonts w:ascii="FrankRuehl" w:hAnsi="FrankRuehl" w:cs="FrankRuehl"/>
          <w:spacing w:val="10"/>
          <w:sz w:val="28"/>
          <w:szCs w:val="28"/>
          <w:rtl/>
        </w:rPr>
        <w:t xml:space="preserve"> ואשר הרשויות הפוליטיות והמ</w:t>
      </w:r>
      <w:r w:rsidRPr="00E206AF">
        <w:rPr>
          <w:rFonts w:ascii="FrankRuehl" w:hAnsi="FrankRuehl" w:cs="FrankRuehl" w:hint="cs"/>
          <w:spacing w:val="10"/>
          <w:sz w:val="28"/>
          <w:szCs w:val="28"/>
          <w:rtl/>
        </w:rPr>
        <w:t>י</w:t>
      </w:r>
      <w:r w:rsidRPr="00E206AF">
        <w:rPr>
          <w:rFonts w:ascii="FrankRuehl" w:hAnsi="FrankRuehl" w:cs="FrankRuehl"/>
          <w:spacing w:val="10"/>
          <w:sz w:val="28"/>
          <w:szCs w:val="28"/>
          <w:rtl/>
        </w:rPr>
        <w:t xml:space="preserve">נהליות הן המוסמכות לדון בהן. </w:t>
      </w:r>
      <w:r w:rsidRPr="00E206AF">
        <w:rPr>
          <w:rFonts w:ascii="FrankRuehl" w:hAnsi="FrankRuehl" w:cs="FrankRuehl" w:hint="cs"/>
          <w:spacing w:val="10"/>
          <w:sz w:val="28"/>
          <w:szCs w:val="28"/>
          <w:rtl/>
        </w:rPr>
        <w:t xml:space="preserve">בהתאם לכך, מעיר </w:t>
      </w:r>
      <w:r w:rsidRPr="00E206AF">
        <w:rPr>
          <w:rFonts w:ascii="Miriam" w:hAnsi="Miriam" w:cs="Miriam"/>
          <w:sz w:val="24"/>
          <w:rtl/>
        </w:rPr>
        <w:t>מאוטנר</w:t>
      </w:r>
      <w:r w:rsidRPr="00E206AF">
        <w:rPr>
          <w:rFonts w:ascii="FrankRuehl" w:hAnsi="FrankRuehl" w:cs="FrankRuehl"/>
          <w:spacing w:val="10"/>
          <w:sz w:val="28"/>
          <w:szCs w:val="28"/>
          <w:rtl/>
        </w:rPr>
        <w:t xml:space="preserve"> </w:t>
      </w:r>
      <w:r w:rsidRPr="00E206AF">
        <w:rPr>
          <w:rFonts w:ascii="FrankRuehl" w:hAnsi="FrankRuehl" w:cs="FrankRuehl" w:hint="cs"/>
          <w:spacing w:val="10"/>
          <w:sz w:val="28"/>
          <w:szCs w:val="28"/>
          <w:rtl/>
        </w:rPr>
        <w:t>כי "</w:t>
      </w:r>
      <w:r w:rsidRPr="00E206AF">
        <w:rPr>
          <w:rFonts w:ascii="FrankRuehl" w:hAnsi="FrankRuehl" w:cs="FrankRuehl"/>
          <w:spacing w:val="10"/>
          <w:sz w:val="28"/>
          <w:szCs w:val="28"/>
          <w:rtl/>
        </w:rPr>
        <w:t>באמצעות מבחן הסבירות המקצועית, תחת הכותרת של מבחן משפטי – סבירות – חו</w:t>
      </w:r>
      <w:r w:rsidRPr="00E206AF">
        <w:rPr>
          <w:rFonts w:ascii="FrankRuehl" w:hAnsi="FrankRuehl" w:cs="FrankRuehl" w:hint="cs"/>
          <w:spacing w:val="10"/>
          <w:sz w:val="28"/>
          <w:szCs w:val="28"/>
          <w:rtl/>
        </w:rPr>
        <w:t>ד</w:t>
      </w:r>
      <w:r w:rsidRPr="00E206AF">
        <w:rPr>
          <w:rFonts w:ascii="FrankRuehl" w:hAnsi="FrankRuehl" w:cs="FrankRuehl"/>
          <w:spacing w:val="10"/>
          <w:sz w:val="28"/>
          <w:szCs w:val="28"/>
          <w:rtl/>
        </w:rPr>
        <w:t>ר בג"צ לתחום התפקידים של המ</w:t>
      </w:r>
      <w:r w:rsidRPr="00E206AF">
        <w:rPr>
          <w:rFonts w:ascii="FrankRuehl" w:hAnsi="FrankRuehl" w:cs="FrankRuehl" w:hint="cs"/>
          <w:spacing w:val="10"/>
          <w:sz w:val="28"/>
          <w:szCs w:val="28"/>
          <w:rtl/>
        </w:rPr>
        <w:t>י</w:t>
      </w:r>
      <w:r w:rsidRPr="00E206AF">
        <w:rPr>
          <w:rFonts w:ascii="FrankRuehl" w:hAnsi="FrankRuehl" w:cs="FrankRuehl"/>
          <w:spacing w:val="10"/>
          <w:sz w:val="28"/>
          <w:szCs w:val="28"/>
          <w:rtl/>
        </w:rPr>
        <w:t>נהל ולתחום הכישורים המקצועיים שבהם מצוידות רשויות המ</w:t>
      </w:r>
      <w:r w:rsidRPr="00E206AF">
        <w:rPr>
          <w:rFonts w:ascii="FrankRuehl" w:hAnsi="FrankRuehl" w:cs="FrankRuehl" w:hint="cs"/>
          <w:spacing w:val="10"/>
          <w:sz w:val="28"/>
          <w:szCs w:val="28"/>
          <w:rtl/>
        </w:rPr>
        <w:t>י</w:t>
      </w:r>
      <w:r w:rsidRPr="00E206AF">
        <w:rPr>
          <w:rFonts w:ascii="FrankRuehl" w:hAnsi="FrankRuehl" w:cs="FrankRuehl"/>
          <w:spacing w:val="10"/>
          <w:sz w:val="28"/>
          <w:szCs w:val="28"/>
          <w:rtl/>
        </w:rPr>
        <w:t>נהל, וב</w:t>
      </w:r>
      <w:r w:rsidRPr="00E206AF">
        <w:rPr>
          <w:rFonts w:ascii="FrankRuehl" w:hAnsi="FrankRuehl" w:cs="FrankRuehl" w:hint="cs"/>
          <w:spacing w:val="10"/>
          <w:sz w:val="28"/>
          <w:szCs w:val="28"/>
          <w:rtl/>
        </w:rPr>
        <w:t>וחן</w:t>
      </w:r>
      <w:r w:rsidRPr="00E206AF">
        <w:rPr>
          <w:rFonts w:ascii="FrankRuehl" w:hAnsi="FrankRuehl" w:cs="FrankRuehl"/>
          <w:spacing w:val="10"/>
          <w:sz w:val="28"/>
          <w:szCs w:val="28"/>
          <w:rtl/>
        </w:rPr>
        <w:t xml:space="preserve"> היבטים של החלטות מ</w:t>
      </w:r>
      <w:r w:rsidRPr="00E206AF">
        <w:rPr>
          <w:rFonts w:ascii="FrankRuehl" w:hAnsi="FrankRuehl" w:cs="FrankRuehl" w:hint="cs"/>
          <w:spacing w:val="10"/>
          <w:sz w:val="28"/>
          <w:szCs w:val="28"/>
          <w:rtl/>
        </w:rPr>
        <w:t>י</w:t>
      </w:r>
      <w:r w:rsidRPr="00E206AF">
        <w:rPr>
          <w:rFonts w:ascii="FrankRuehl" w:hAnsi="FrankRuehl" w:cs="FrankRuehl"/>
          <w:spacing w:val="10"/>
          <w:sz w:val="28"/>
          <w:szCs w:val="28"/>
          <w:rtl/>
        </w:rPr>
        <w:t>נהליות שאין הוא אמור לבודקם ושאין הוא מצויד בכישורים לבודקם"</w:t>
      </w:r>
      <w:r w:rsidRPr="00E206AF">
        <w:rPr>
          <w:rFonts w:ascii="FrankRuehl" w:hAnsi="FrankRuehl" w:cs="FrankRuehl" w:hint="cs"/>
          <w:spacing w:val="10"/>
          <w:sz w:val="28"/>
          <w:szCs w:val="28"/>
          <w:rtl/>
        </w:rPr>
        <w:t xml:space="preserve"> </w:t>
      </w:r>
      <w:r w:rsidRPr="00E206AF">
        <w:rPr>
          <w:rFonts w:ascii="FrankRuehl" w:hAnsi="FrankRuehl" w:cs="FrankRuehl"/>
          <w:spacing w:val="10"/>
          <w:sz w:val="28"/>
          <w:szCs w:val="28"/>
          <w:rtl/>
        </w:rPr>
        <w:t xml:space="preserve">(ראו: </w:t>
      </w:r>
      <w:r w:rsidRPr="00E206AF">
        <w:rPr>
          <w:rFonts w:ascii="Century" w:hAnsi="Century" w:cs="Miriam" w:hint="eastAsia"/>
          <w:b/>
          <w:sz w:val="22"/>
          <w:rtl/>
        </w:rPr>
        <w:t>מאוטנר</w:t>
      </w:r>
      <w:r w:rsidRPr="00E206AF">
        <w:rPr>
          <w:rFonts w:ascii="Century" w:hAnsi="Century" w:cs="FrankRuehl" w:hint="cs"/>
          <w:spacing w:val="10"/>
          <w:sz w:val="22"/>
          <w:szCs w:val="28"/>
          <w:rtl/>
        </w:rPr>
        <w:t xml:space="preserve">, </w:t>
      </w:r>
      <w:r w:rsidRPr="00E206AF">
        <w:rPr>
          <w:rFonts w:ascii="FrankRuehl" w:hAnsi="FrankRuehl" w:cs="FrankRuehl" w:hint="cs"/>
          <w:spacing w:val="10"/>
          <w:sz w:val="28"/>
          <w:szCs w:val="28"/>
          <w:rtl/>
        </w:rPr>
        <w:t>ב</w:t>
      </w:r>
      <w:r w:rsidRPr="00E206AF">
        <w:rPr>
          <w:rFonts w:ascii="FrankRuehl" w:hAnsi="FrankRuehl" w:cs="FrankRuehl"/>
          <w:spacing w:val="10"/>
          <w:sz w:val="28"/>
          <w:szCs w:val="28"/>
          <w:rtl/>
        </w:rPr>
        <w:t>עמ' 27, 38, 45).</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spacing w:line="360" w:lineRule="auto"/>
        <w:jc w:val="both"/>
        <w:rPr>
          <w:rFonts w:ascii="FrankRuehl" w:hAnsi="FrankRuehl" w:cs="FrankRuehl"/>
          <w:spacing w:val="10"/>
          <w:szCs w:val="28"/>
        </w:rPr>
      </w:pPr>
      <w:r w:rsidRPr="00E206AF">
        <w:rPr>
          <w:rFonts w:ascii="Century" w:hAnsi="Century" w:cs="FrankRuehl" w:hint="cs"/>
          <w:spacing w:val="10"/>
          <w:szCs w:val="28"/>
          <w:rtl/>
        </w:rPr>
        <w:t>33.</w:t>
      </w:r>
      <w:r w:rsidRPr="00E206AF">
        <w:rPr>
          <w:rFonts w:ascii="Century" w:hAnsi="Century" w:cs="FrankRuehl" w:hint="cs"/>
          <w:spacing w:val="10"/>
          <w:szCs w:val="28"/>
          <w:rtl/>
        </w:rPr>
        <w:tab/>
      </w:r>
      <w:r w:rsidRPr="00E206AF">
        <w:rPr>
          <w:rFonts w:ascii="Century" w:hAnsi="Century" w:cs="Miriam" w:hint="cs"/>
          <w:b/>
          <w:sz w:val="22"/>
          <w:rtl/>
        </w:rPr>
        <w:t xml:space="preserve">ר' גביזון </w:t>
      </w:r>
      <w:r w:rsidRPr="00E206AF">
        <w:rPr>
          <w:rFonts w:ascii="Century" w:hAnsi="Century" w:cs="FrankRuehl" w:hint="cs"/>
          <w:spacing w:val="10"/>
          <w:sz w:val="22"/>
          <w:szCs w:val="28"/>
          <w:rtl/>
        </w:rPr>
        <w:t xml:space="preserve">מבקרת אף היא, ממספר היבטים, את הרחבת עילת הסבירות והביקורת השיפוטית על פעילות המינהל באמצעותה. </w:t>
      </w:r>
      <w:r w:rsidRPr="00E206AF">
        <w:rPr>
          <w:rFonts w:ascii="Century" w:hAnsi="Century" w:cs="FrankRuehl" w:hint="cs"/>
          <w:spacing w:val="10"/>
          <w:szCs w:val="28"/>
          <w:rtl/>
        </w:rPr>
        <w:t xml:space="preserve">כך, היא מציינת כי ההרחבה המתוארת הובילה להתערבות מוגברת בהחלטות מינהליות אשר מטשטשת את האבחנה בין ה"חוקי" לבין ה"מוסרי", עד כדי הפיכת בית המשפט ל"מורה דרך מוסרי". על כן, במקום שבית המשפט ימלא את תפקידו באיתור התשובה הנכונה מבחינה </w:t>
      </w:r>
      <w:r w:rsidRPr="00E206AF">
        <w:rPr>
          <w:rFonts w:ascii="Century" w:hAnsi="Century" w:cs="Miriam" w:hint="cs"/>
          <w:b/>
          <w:sz w:val="22"/>
          <w:rtl/>
        </w:rPr>
        <w:t>משפטית</w:t>
      </w:r>
      <w:r w:rsidRPr="00E206AF">
        <w:rPr>
          <w:rFonts w:ascii="Century" w:hAnsi="Century" w:cs="FrankRuehl" w:hint="cs"/>
          <w:spacing w:val="10"/>
          <w:sz w:val="22"/>
          <w:szCs w:val="28"/>
          <w:rtl/>
        </w:rPr>
        <w:t xml:space="preserve">, בוחן הוא את איזון הערכים שביצע המינהל בסוגיות רוויות מחלוקות. באופן זה, מקבל התפקיד המשפטי אופי פוליטי, ואף מוביל למצב שבו, באופן פרדוקסלי, </w:t>
      </w:r>
      <w:r w:rsidRPr="00E206AF">
        <w:rPr>
          <w:rFonts w:ascii="Century" w:hAnsi="Century" w:cs="Miriam" w:hint="eastAsia"/>
          <w:b/>
          <w:sz w:val="22"/>
          <w:rtl/>
        </w:rPr>
        <w:t>אי</w:t>
      </w:r>
      <w:r w:rsidRPr="00E206AF">
        <w:rPr>
          <w:rFonts w:ascii="Century" w:hAnsi="Century" w:cs="Miriam"/>
          <w:b/>
          <w:sz w:val="22"/>
          <w:rtl/>
        </w:rPr>
        <w:t>-</w:t>
      </w:r>
      <w:r w:rsidRPr="00E206AF">
        <w:rPr>
          <w:rFonts w:ascii="Century" w:hAnsi="Century" w:cs="Miriam" w:hint="eastAsia"/>
          <w:b/>
          <w:sz w:val="22"/>
          <w:rtl/>
        </w:rPr>
        <w:t>ההתערבות</w:t>
      </w:r>
      <w:r w:rsidRPr="00E206AF">
        <w:rPr>
          <w:rFonts w:ascii="Century" w:hAnsi="Century" w:cs="FrankRuehl" w:hint="cs"/>
          <w:spacing w:val="10"/>
          <w:sz w:val="22"/>
          <w:szCs w:val="28"/>
          <w:rtl/>
        </w:rPr>
        <w:t xml:space="preserve"> של בג"ץ היא זו שמהווה מעין "חותם כשרות" בנוגע לפעילות המינהלית (ראו: </w:t>
      </w:r>
      <w:r w:rsidRPr="00E206AF">
        <w:rPr>
          <w:rFonts w:ascii="Century" w:hAnsi="Century" w:cs="FrankRuehl" w:hint="cs"/>
          <w:spacing w:val="10"/>
          <w:szCs w:val="28"/>
          <w:rtl/>
        </w:rPr>
        <w:t xml:space="preserve">רות גביזון "מעורבות ציבורית של בג"ץ: מבט ביקורתי" </w:t>
      </w:r>
      <w:r w:rsidRPr="00E206AF">
        <w:rPr>
          <w:rFonts w:ascii="Miriam" w:hAnsi="Miriam" w:cs="Miriam"/>
          <w:sz w:val="24"/>
          <w:rtl/>
        </w:rPr>
        <w:t xml:space="preserve">אקטיביזם שיפוטי: בעד ונגד – מקומו של בג"ץ בחברה הישראלית </w:t>
      </w:r>
      <w:r w:rsidRPr="00E206AF">
        <w:rPr>
          <w:rFonts w:ascii="Century" w:hAnsi="Century" w:cs="FrankRuehl" w:hint="cs"/>
          <w:spacing w:val="10"/>
          <w:szCs w:val="28"/>
          <w:rtl/>
        </w:rPr>
        <w:t xml:space="preserve">69, </w:t>
      </w:r>
      <w:r w:rsidRPr="00E206AF">
        <w:rPr>
          <w:rFonts w:ascii="FrankRuehl" w:hAnsi="FrankRuehl" w:cs="FrankRuehl"/>
          <w:spacing w:val="10"/>
          <w:sz w:val="28"/>
          <w:szCs w:val="28"/>
          <w:rtl/>
        </w:rPr>
        <w:t>91-8</w:t>
      </w:r>
      <w:r w:rsidRPr="00E206AF">
        <w:rPr>
          <w:rFonts w:ascii="FrankRuehl" w:hAnsi="FrankRuehl" w:cs="FrankRuehl" w:hint="cs"/>
          <w:spacing w:val="10"/>
          <w:sz w:val="28"/>
          <w:szCs w:val="28"/>
          <w:rtl/>
        </w:rPr>
        <w:t>8</w:t>
      </w:r>
      <w:r w:rsidRPr="00E206AF">
        <w:rPr>
          <w:rFonts w:ascii="FrankRuehl" w:hAnsi="FrankRuehl" w:cs="FrankRuehl"/>
          <w:spacing w:val="10"/>
          <w:sz w:val="28"/>
          <w:szCs w:val="28"/>
          <w:rtl/>
        </w:rPr>
        <w:t xml:space="preserve">, 116-115 </w:t>
      </w:r>
      <w:r w:rsidRPr="00E206AF">
        <w:rPr>
          <w:rFonts w:ascii="Century" w:hAnsi="Century" w:cs="FrankRuehl" w:hint="cs"/>
          <w:spacing w:val="10"/>
          <w:szCs w:val="28"/>
          <w:rtl/>
        </w:rPr>
        <w:t>(גביזון, קרמניצר ודותן עורכים, התש"ס)).</w:t>
      </w:r>
    </w:p>
    <w:p w:rsidR="00E32081" w:rsidRPr="00E206AF" w:rsidRDefault="00E32081" w:rsidP="00E32081">
      <w:pPr>
        <w:spacing w:line="360" w:lineRule="auto"/>
        <w:ind w:firstLine="720"/>
        <w:jc w:val="both"/>
        <w:rPr>
          <w:rFonts w:ascii="Calibri" w:hAnsi="Calibri" w:cs="FrankRuehl"/>
          <w:spacing w:val="10"/>
          <w:sz w:val="22"/>
          <w:szCs w:val="22"/>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Century" w:hAnsi="Century" w:cs="FrankRuehl" w:hint="cs"/>
          <w:spacing w:val="10"/>
          <w:sz w:val="22"/>
          <w:szCs w:val="28"/>
          <w:rtl/>
        </w:rPr>
        <w:t>34.</w:t>
      </w:r>
      <w:r w:rsidRPr="00E206AF">
        <w:rPr>
          <w:rFonts w:ascii="Century" w:hAnsi="Century" w:cs="FrankRuehl" w:hint="cs"/>
          <w:spacing w:val="10"/>
          <w:sz w:val="22"/>
          <w:szCs w:val="28"/>
          <w:rtl/>
        </w:rPr>
        <w:tab/>
      </w:r>
      <w:r w:rsidRPr="00E206AF">
        <w:rPr>
          <w:rFonts w:ascii="Century" w:hAnsi="Century" w:cs="Miriam" w:hint="cs"/>
          <w:b/>
          <w:sz w:val="22"/>
          <w:rtl/>
        </w:rPr>
        <w:t>כהן</w:t>
      </w:r>
      <w:r w:rsidRPr="00E206AF">
        <w:rPr>
          <w:rFonts w:ascii="Century" w:hAnsi="Century" w:cs="FrankRuehl" w:hint="cs"/>
          <w:spacing w:val="10"/>
          <w:sz w:val="22"/>
          <w:szCs w:val="28"/>
          <w:rtl/>
        </w:rPr>
        <w:t xml:space="preserve"> עמדה אף</w:t>
      </w:r>
      <w:r w:rsidRPr="00E206AF">
        <w:rPr>
          <w:rFonts w:ascii="Century" w:hAnsi="Century" w:cs="Miriam" w:hint="cs"/>
          <w:b/>
          <w:sz w:val="22"/>
          <w:rtl/>
        </w:rPr>
        <w:t xml:space="preserve"> </w:t>
      </w:r>
      <w:r w:rsidRPr="00E206AF">
        <w:rPr>
          <w:rFonts w:ascii="Century" w:hAnsi="Century" w:cs="FrankRuehl" w:hint="cs"/>
          <w:spacing w:val="10"/>
          <w:sz w:val="22"/>
          <w:szCs w:val="28"/>
          <w:rtl/>
        </w:rPr>
        <w:t xml:space="preserve">היא על הקשיים הגלומים בעילת הסבירות האיזונית. כך, תיארה כי </w:t>
      </w:r>
      <w:r w:rsidRPr="00E206AF">
        <w:rPr>
          <w:rFonts w:ascii="Arial TUR" w:hAnsi="Arial TUR" w:cs="FrankRuehl" w:hint="eastAsia"/>
          <w:spacing w:val="10"/>
          <w:sz w:val="22"/>
          <w:szCs w:val="28"/>
          <w:rtl/>
        </w:rPr>
        <w:t>המאפיין</w:t>
      </w:r>
      <w:r w:rsidRPr="00E206AF">
        <w:rPr>
          <w:rFonts w:ascii="Arial TUR" w:hAnsi="Arial TUR" w:cs="FrankRuehl"/>
          <w:spacing w:val="10"/>
          <w:sz w:val="22"/>
          <w:szCs w:val="28"/>
          <w:rtl/>
        </w:rPr>
        <w:t xml:space="preserve"> המרכזי של עילת הסבירות הוא</w:t>
      </w:r>
      <w:r w:rsidRPr="00E206AF">
        <w:rPr>
          <w:rFonts w:ascii="Arial TUR" w:hAnsi="Arial TUR" w:cs="FrankRuehl" w:hint="cs"/>
          <w:spacing w:val="10"/>
          <w:sz w:val="22"/>
          <w:szCs w:val="28"/>
          <w:rtl/>
        </w:rPr>
        <w:t>:</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ind w:left="1644" w:right="1276"/>
        <w:jc w:val="both"/>
        <w:rPr>
          <w:rFonts w:ascii="Century" w:hAnsi="Century" w:cs="FrankRuehl"/>
          <w:spacing w:val="10"/>
          <w:sz w:val="22"/>
          <w:szCs w:val="28"/>
          <w:rtl/>
        </w:rPr>
      </w:pPr>
      <w:r w:rsidRPr="00E206AF">
        <w:rPr>
          <w:rFonts w:ascii="Arial TUR" w:hAnsi="Arial TUR" w:cs="FrankRuehl"/>
          <w:spacing w:val="10"/>
          <w:sz w:val="22"/>
          <w:szCs w:val="28"/>
          <w:rtl/>
        </w:rPr>
        <w:t>"קרבתה – ויש אומרים חדירתה – לתחום האסור של המרת שיקול-דעתה של הרשות בשיקול-דעתו של בית-המשפט. הדברים ידועים: לרשות המנהלית ניתן שיקול-דעת לפעול מתוך הכרה במקצועיותה ובשל ערכים של יעילות ומהירות תגובה, וזאת תוך שמירה על לגיטימיות דמוקרטית הן בשל עיגון שיקול-הדעת בחקיקה מעשה ידי הכנסת והן בשל האחריות הישירה והעקיפה של נושאי-תפקידים במנהל הציבורי כלפי הציבור. כאשר בית-משפט פוסק [שהחלטה אינה סבירה</w:t>
      </w:r>
      <w:r w:rsidRPr="00E206AF">
        <w:rPr>
          <w:rFonts w:ascii="Arial TUR" w:hAnsi="Arial TUR" w:cs="FrankRuehl" w:hint="cs"/>
          <w:spacing w:val="10"/>
          <w:sz w:val="22"/>
          <w:szCs w:val="28"/>
          <w:rtl/>
        </w:rPr>
        <w:t xml:space="preserve">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י"ו</w:t>
      </w:r>
      <w:r w:rsidRPr="00E206AF">
        <w:rPr>
          <w:rFonts w:ascii="Arial TUR" w:hAnsi="Arial TUR" w:cs="FrankRuehl"/>
          <w:spacing w:val="10"/>
          <w:sz w:val="22"/>
          <w:szCs w:val="28"/>
          <w:rtl/>
        </w:rPr>
        <w:t>] דומה שיש כאן משום הערכות נאותותן של ההחלטות, ולאו דווקא חוקיותן. השימוש ברטוריקה משפטית, הכוללת זיהוי והפעלה של מבחנים ונוסחות 'אובייקטיביים', ספק אם יש בה כדי להפיג ביקורת זו" (</w:t>
      </w:r>
      <w:r w:rsidRPr="00E206AF">
        <w:rPr>
          <w:rFonts w:ascii="Century" w:hAnsi="Century" w:cs="Miriam" w:hint="cs"/>
          <w:b/>
          <w:sz w:val="22"/>
          <w:rtl/>
        </w:rPr>
        <w:t>כהן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w:t>
      </w:r>
      <w:r w:rsidRPr="00E206AF">
        <w:rPr>
          <w:rFonts w:ascii="Century" w:hAnsi="Century" w:cs="FrankRuehl" w:hint="cs"/>
          <w:spacing w:val="10"/>
          <w:sz w:val="22"/>
          <w:szCs w:val="28"/>
          <w:rtl/>
        </w:rPr>
        <w:t xml:space="preserve">עמ' </w:t>
      </w:r>
      <w:r w:rsidRPr="00E206AF">
        <w:rPr>
          <w:rFonts w:ascii="Arial TUR" w:hAnsi="Arial TUR" w:cs="FrankRuehl"/>
          <w:spacing w:val="10"/>
          <w:sz w:val="22"/>
          <w:szCs w:val="28"/>
          <w:rtl/>
        </w:rPr>
        <w:t>777).</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hint="cs"/>
          <w:spacing w:val="10"/>
          <w:sz w:val="22"/>
          <w:szCs w:val="28"/>
          <w:rtl/>
        </w:rPr>
        <w:lastRenderedPageBreak/>
        <w:t>35.</w:t>
      </w:r>
      <w:r w:rsidRPr="00E206AF">
        <w:rPr>
          <w:rFonts w:ascii="Arial TUR" w:hAnsi="Arial TUR" w:cs="FrankRuehl" w:hint="cs"/>
          <w:spacing w:val="10"/>
          <w:sz w:val="22"/>
          <w:szCs w:val="28"/>
          <w:rtl/>
        </w:rPr>
        <w:tab/>
      </w:r>
      <w:r w:rsidRPr="00E206AF">
        <w:rPr>
          <w:rFonts w:ascii="Century" w:hAnsi="Century" w:cs="FrankRuehl" w:hint="cs"/>
          <w:spacing w:val="10"/>
          <w:sz w:val="22"/>
          <w:szCs w:val="28"/>
          <w:rtl/>
        </w:rPr>
        <w:t xml:space="preserve">גם </w:t>
      </w:r>
      <w:r w:rsidRPr="00E206AF">
        <w:rPr>
          <w:rFonts w:ascii="Century" w:hAnsi="Century" w:cs="Miriam" w:hint="cs"/>
          <w:b/>
          <w:sz w:val="22"/>
          <w:rtl/>
        </w:rPr>
        <w:t xml:space="preserve">דותן </w:t>
      </w:r>
      <w:r w:rsidRPr="00E206AF">
        <w:rPr>
          <w:rFonts w:ascii="Century" w:hAnsi="Century" w:cs="FrankRuehl" w:hint="cs"/>
          <w:spacing w:val="10"/>
          <w:sz w:val="22"/>
          <w:szCs w:val="28"/>
          <w:rtl/>
        </w:rPr>
        <w:t xml:space="preserve">במאמרו על </w:t>
      </w:r>
      <w:r w:rsidRPr="00E206AF">
        <w:rPr>
          <w:rFonts w:ascii="Century" w:hAnsi="Century" w:cs="Miriam" w:hint="cs"/>
          <w:b/>
          <w:sz w:val="22"/>
          <w:rtl/>
        </w:rPr>
        <w:t>ריסון וסבירות</w:t>
      </w:r>
      <w:r w:rsidRPr="00E206AF">
        <w:rPr>
          <w:rFonts w:ascii="Century" w:hAnsi="Century" w:cs="FrankRuehl" w:hint="cs"/>
          <w:spacing w:val="10"/>
          <w:sz w:val="22"/>
          <w:szCs w:val="28"/>
          <w:rtl/>
        </w:rPr>
        <w:t xml:space="preserve">, מדגיש כי "הדרישה הבסיסית של עיקרון הריסון, כפי שנוסחה בפסיקה, היא שבית המשפט 'לא ישים את שיקול דעתו תחת שיקול דעתה של הרשות המוסמכת'", ואולם, "מבחן הסבירות האיזונית מחייב את בית המשפט לא רק להיכנס לבחינה מעמיקה של השיקולים התוכניים, מסדר ראשון, הנוגעים להחלטה הרלוונטית, אלא שלמעשה, במסגרת המבחן בית המשפט נדרש לבצע </w:t>
      </w:r>
      <w:r w:rsidRPr="00E206AF">
        <w:rPr>
          <w:rFonts w:ascii="Century" w:hAnsi="Century" w:cs="Miriam" w:hint="cs"/>
          <w:b/>
          <w:sz w:val="22"/>
          <w:rtl/>
        </w:rPr>
        <w:t>שחזור מלא של הליך המחשב המנהלי</w:t>
      </w:r>
      <w:r w:rsidRPr="00E206AF">
        <w:rPr>
          <w:rFonts w:ascii="Century" w:hAnsi="Century" w:cs="FrankRuehl" w:hint="cs"/>
          <w:spacing w:val="10"/>
          <w:sz w:val="22"/>
          <w:szCs w:val="28"/>
          <w:rtl/>
        </w:rPr>
        <w:t>" (</w:t>
      </w:r>
      <w:r w:rsidRPr="00E206AF">
        <w:rPr>
          <w:rFonts w:ascii="Century" w:hAnsi="Century" w:cs="Miriam" w:hint="cs"/>
          <w:b/>
          <w:sz w:val="22"/>
          <w:rtl/>
        </w:rPr>
        <w:t>דותן, ריסון וסבירות</w:t>
      </w:r>
      <w:r w:rsidRPr="00E206AF">
        <w:rPr>
          <w:rFonts w:ascii="Century" w:hAnsi="Century" w:cs="FrankRuehl" w:hint="cs"/>
          <w:spacing w:val="10"/>
          <w:sz w:val="22"/>
          <w:szCs w:val="28"/>
          <w:rtl/>
        </w:rPr>
        <w:t xml:space="preserve">, בעמ' 702-701). על כן, מטעים </w:t>
      </w:r>
      <w:r w:rsidRPr="00E206AF">
        <w:rPr>
          <w:rFonts w:ascii="Century" w:hAnsi="Century" w:cs="Miriam" w:hint="cs"/>
          <w:b/>
          <w:sz w:val="22"/>
          <w:rtl/>
        </w:rPr>
        <w:t xml:space="preserve">דותן </w:t>
      </w:r>
      <w:r w:rsidRPr="00E206AF">
        <w:rPr>
          <w:rFonts w:ascii="Century" w:hAnsi="Century" w:cs="FrankRuehl" w:hint="cs"/>
          <w:spacing w:val="10"/>
          <w:sz w:val="22"/>
          <w:szCs w:val="28"/>
          <w:rtl/>
        </w:rPr>
        <w:t>כי:</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hint="cs"/>
          <w:spacing w:val="10"/>
          <w:sz w:val="22"/>
          <w:szCs w:val="28"/>
          <w:rtl/>
        </w:rPr>
        <w:t xml:space="preserve">"הסבירות האיזונית מעקרת את עקרון הריסון לפחות במובן זה שהיא </w:t>
      </w:r>
      <w:r w:rsidRPr="00E206AF">
        <w:rPr>
          <w:rFonts w:ascii="Arial TUR" w:hAnsi="Arial TUR" w:cs="Miriam" w:hint="cs"/>
          <w:b/>
          <w:sz w:val="22"/>
          <w:rtl/>
        </w:rPr>
        <w:t>כן</w:t>
      </w:r>
      <w:r w:rsidRPr="00E206AF">
        <w:rPr>
          <w:rFonts w:ascii="Arial TUR" w:hAnsi="Arial TUR" w:cs="FrankRuehl" w:hint="cs"/>
          <w:spacing w:val="10"/>
          <w:sz w:val="22"/>
          <w:szCs w:val="28"/>
          <w:rtl/>
        </w:rPr>
        <w:t xml:space="preserve"> דורשת מבית המשפט 'לשים את שיקול דעתו'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כלומר </w:t>
      </w:r>
      <w:r w:rsidRPr="00E206AF">
        <w:rPr>
          <w:rFonts w:ascii="Arial TUR" w:hAnsi="Arial TUR" w:cs="Miriam" w:hint="cs"/>
          <w:b/>
          <w:sz w:val="22"/>
          <w:rtl/>
        </w:rPr>
        <w:t>לבצע בדיוק את אותו הליך מחשב שמבצעת הרשות המנהלית</w:t>
      </w:r>
      <w:r w:rsidRPr="00E206AF">
        <w:rPr>
          <w:rFonts w:ascii="Arial TUR" w:hAnsi="Arial TUR" w:cs="FrankRuehl" w:hint="cs"/>
          <w:spacing w:val="10"/>
          <w:sz w:val="22"/>
          <w:szCs w:val="28"/>
          <w:rtl/>
        </w:rPr>
        <w:t xml:space="preserve">, קרי שקילת כל השיקולים התוכניים וייחוס משקל כזה או אחר לכל אחד מהם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ובכך נסתרת דרישת היסוד של עקרון הריסון כפי שהיא מנוסחת בפסיקת בית המשפט" (שם; ההדגשות במקור).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עם זאת, </w:t>
      </w:r>
      <w:r w:rsidRPr="00E206AF">
        <w:rPr>
          <w:rFonts w:ascii="Century" w:hAnsi="Century" w:cs="Miriam" w:hint="cs"/>
          <w:b/>
          <w:sz w:val="22"/>
          <w:rtl/>
        </w:rPr>
        <w:t xml:space="preserve">דותן </w:t>
      </w:r>
      <w:r w:rsidRPr="00E206AF">
        <w:rPr>
          <w:rFonts w:ascii="Century" w:hAnsi="Century" w:cs="FrankRuehl" w:hint="cs"/>
          <w:spacing w:val="10"/>
          <w:sz w:val="22"/>
          <w:szCs w:val="28"/>
          <w:rtl/>
        </w:rPr>
        <w:t>מעיר כי "אין להבין מהדברים האמורים כי פיתוח גישת הסבירות האיזונית הוא בהכרח התפתחות שלילית לדעתי במשפט המנהלי שלנו" (שם, בעמ' 703).</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Miriam"/>
          <w:b/>
          <w:sz w:val="22"/>
          <w:rtl/>
        </w:rPr>
      </w:pPr>
      <w:r w:rsidRPr="00E206AF">
        <w:rPr>
          <w:rFonts w:ascii="Century" w:hAnsi="Century" w:cs="Miriam" w:hint="eastAsia"/>
          <w:b/>
          <w:sz w:val="22"/>
          <w:rtl/>
        </w:rPr>
        <w:t>סיכום</w:t>
      </w:r>
      <w:r w:rsidRPr="00E206AF">
        <w:rPr>
          <w:rFonts w:ascii="Century" w:hAnsi="Century" w:cs="Miriam"/>
          <w:b/>
          <w:sz w:val="22"/>
          <w:rtl/>
        </w:rPr>
        <w:t xml:space="preserve"> </w:t>
      </w:r>
      <w:r w:rsidRPr="00E206AF">
        <w:rPr>
          <w:rFonts w:ascii="Century" w:hAnsi="Century" w:cs="Miriam" w:hint="eastAsia"/>
          <w:b/>
          <w:sz w:val="22"/>
          <w:rtl/>
        </w:rPr>
        <w:t>ביניים</w:t>
      </w:r>
    </w:p>
    <w:p w:rsidR="00E32081" w:rsidRPr="00E206AF" w:rsidRDefault="00E32081" w:rsidP="00E32081">
      <w:pPr>
        <w:tabs>
          <w:tab w:val="left" w:pos="800"/>
        </w:tabs>
        <w:spacing w:line="360" w:lineRule="auto"/>
        <w:jc w:val="both"/>
        <w:rPr>
          <w:rFonts w:ascii="Miriam" w:hAnsi="Miriam" w:cs="Miriam"/>
          <w:spacing w:val="10"/>
          <w:sz w:val="24"/>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36.</w:t>
      </w:r>
      <w:r w:rsidRPr="00E206AF">
        <w:rPr>
          <w:rFonts w:ascii="Century" w:hAnsi="Century" w:cs="FrankRuehl" w:hint="cs"/>
          <w:spacing w:val="10"/>
          <w:sz w:val="22"/>
          <w:szCs w:val="28"/>
          <w:rtl/>
        </w:rPr>
        <w:tab/>
        <w:t xml:space="preserve">בחתימת סקירה זו, עולה כי עילת הסבירות המקורית עניינה, בעיקרו של דבר, בבחינת מופרכות המעשה השלטוני והיות ההחלטה </w:t>
      </w:r>
      <w:r w:rsidRPr="00E206AF">
        <w:rPr>
          <w:rFonts w:ascii="Century" w:hAnsi="Century" w:cs="FrankRuehl"/>
          <w:spacing w:val="10"/>
          <w:sz w:val="22"/>
          <w:szCs w:val="28"/>
          <w:rtl/>
        </w:rPr>
        <w:t>בלתי הגיונית</w:t>
      </w:r>
      <w:r w:rsidRPr="00E206AF">
        <w:rPr>
          <w:rFonts w:ascii="Century" w:hAnsi="Century" w:cs="FrankRuehl" w:hint="cs"/>
          <w:spacing w:val="10"/>
          <w:sz w:val="22"/>
          <w:szCs w:val="28"/>
          <w:rtl/>
        </w:rPr>
        <w:t xml:space="preserve">. הדעה הרווחת, כפי שתואר, היא שעילה זו </w:t>
      </w:r>
      <w:r>
        <w:rPr>
          <w:rFonts w:ascii="Century" w:hAnsi="Century" w:cs="FrankRuehl" w:hint="cs"/>
          <w:spacing w:val="10"/>
          <w:sz w:val="22"/>
          <w:szCs w:val="28"/>
          <w:rtl/>
        </w:rPr>
        <w:t>עברה תמורות</w:t>
      </w:r>
      <w:r w:rsidRPr="00E206AF">
        <w:rPr>
          <w:rFonts w:ascii="Century" w:hAnsi="Century" w:cs="FrankRuehl" w:hint="cs"/>
          <w:spacing w:val="10"/>
          <w:sz w:val="22"/>
          <w:szCs w:val="28"/>
          <w:rtl/>
        </w:rPr>
        <w:t xml:space="preserve"> מהותי</w:t>
      </w:r>
      <w:r>
        <w:rPr>
          <w:rFonts w:ascii="Century" w:hAnsi="Century" w:cs="FrankRuehl" w:hint="cs"/>
          <w:spacing w:val="10"/>
          <w:sz w:val="22"/>
          <w:szCs w:val="28"/>
          <w:rtl/>
        </w:rPr>
        <w:t>ות</w:t>
      </w:r>
      <w:r w:rsidRPr="00E206AF">
        <w:rPr>
          <w:rFonts w:ascii="Century" w:hAnsi="Century" w:cs="FrankRuehl" w:hint="cs"/>
          <w:spacing w:val="10"/>
          <w:sz w:val="22"/>
          <w:szCs w:val="28"/>
          <w:rtl/>
        </w:rPr>
        <w:t xml:space="preserve"> בעניין </w:t>
      </w:r>
      <w:r w:rsidRPr="00E206AF">
        <w:rPr>
          <w:rFonts w:ascii="Century" w:hAnsi="Century" w:cs="Miriam" w:hint="cs"/>
          <w:b/>
          <w:sz w:val="22"/>
          <w:rtl/>
        </w:rPr>
        <w:t>דפי זהב</w:t>
      </w:r>
      <w:r w:rsidRPr="00E206AF">
        <w:rPr>
          <w:rFonts w:ascii="Century" w:hAnsi="Century" w:cs="FrankRuehl" w:hint="cs"/>
          <w:spacing w:val="10"/>
          <w:sz w:val="22"/>
          <w:szCs w:val="28"/>
          <w:rtl/>
        </w:rPr>
        <w:t>. מאז, יש שצידדו ב</w:t>
      </w:r>
      <w:r>
        <w:rPr>
          <w:rFonts w:ascii="Century" w:hAnsi="Century" w:cs="FrankRuehl" w:hint="cs"/>
          <w:spacing w:val="10"/>
          <w:sz w:val="22"/>
          <w:szCs w:val="28"/>
          <w:rtl/>
        </w:rPr>
        <w:t>תצורתה החדשה של עילה</w:t>
      </w:r>
      <w:r w:rsidRPr="00E206AF">
        <w:rPr>
          <w:rFonts w:ascii="Century" w:hAnsi="Century" w:cs="FrankRuehl" w:hint="cs"/>
          <w:spacing w:val="10"/>
          <w:sz w:val="22"/>
          <w:szCs w:val="28"/>
          <w:rtl/>
        </w:rPr>
        <w:t xml:space="preserve"> זו, תוך עמידה על יתרונותיה; ומן העבר השני, יש שביקרו אותה, והדגישו את הקשיים הגלומים בה. מכל מקום, עדים אנו למחלוקת רבת-שנים בסוגיה דנן בקרב שופטי בית משפט זה, לצד מומחים רבים בעלי שם במשפט הישראלי, ודומה כי עוד היד נטויה.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על רקע סקירה זו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ללב העניין שלפנינו.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Miriam"/>
          <w:b/>
          <w:sz w:val="22"/>
          <w:rtl/>
        </w:rPr>
      </w:pPr>
      <w:r w:rsidRPr="00E206AF">
        <w:rPr>
          <w:rFonts w:ascii="Century" w:hAnsi="Century" w:cs="Miriam" w:hint="cs"/>
          <w:b/>
          <w:sz w:val="22"/>
          <w:rtl/>
        </w:rPr>
        <w:t xml:space="preserve">כללי הפרשנות </w:t>
      </w:r>
      <w:r w:rsidRPr="00E206AF">
        <w:rPr>
          <w:rFonts w:ascii="Century" w:hAnsi="Century" w:cs="Miriam"/>
          <w:b/>
          <w:sz w:val="22"/>
          <w:rtl/>
        </w:rPr>
        <w:t>–</w:t>
      </w:r>
      <w:r w:rsidRPr="00E206AF">
        <w:rPr>
          <w:rFonts w:ascii="Century" w:hAnsi="Century" w:cs="Miriam" w:hint="cs"/>
          <w:b/>
          <w:sz w:val="22"/>
          <w:rtl/>
        </w:rPr>
        <w:t xml:space="preserve"> על הפרשנות המקיימת</w:t>
      </w:r>
    </w:p>
    <w:p w:rsidR="00E32081" w:rsidRPr="00E206AF" w:rsidRDefault="00E32081" w:rsidP="00E32081">
      <w:pPr>
        <w:tabs>
          <w:tab w:val="left" w:pos="800"/>
        </w:tabs>
        <w:spacing w:line="360" w:lineRule="auto"/>
        <w:jc w:val="both"/>
        <w:rPr>
          <w:rFonts w:ascii="Century" w:hAnsi="Century" w:cs="Miriam"/>
          <w:b/>
          <w:sz w:val="22"/>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37.</w:t>
      </w:r>
      <w:r w:rsidRPr="00E206AF">
        <w:rPr>
          <w:rFonts w:ascii="Century" w:hAnsi="Century" w:cs="Miriam" w:hint="cs"/>
          <w:b/>
          <w:sz w:val="22"/>
          <w:rtl/>
        </w:rPr>
        <w:tab/>
      </w:r>
      <w:r w:rsidRPr="00E206AF">
        <w:rPr>
          <w:rFonts w:ascii="Arial TUR" w:hAnsi="Arial TUR" w:cs="FrankRuehl" w:hint="cs"/>
          <w:spacing w:val="10"/>
          <w:sz w:val="22"/>
          <w:szCs w:val="28"/>
          <w:rtl/>
        </w:rPr>
        <w:t xml:space="preserve">סעיף 15(ד1) לחוק-יסוד: השפיטה, </w:t>
      </w:r>
      <w:r w:rsidRPr="00E206AF">
        <w:rPr>
          <w:rFonts w:ascii="Century" w:hAnsi="Century" w:cs="FrankRuehl" w:hint="cs"/>
          <w:spacing w:val="10"/>
          <w:sz w:val="22"/>
          <w:szCs w:val="28"/>
          <w:rtl/>
        </w:rPr>
        <w:t>אשר עליו נסובות העתירות שלפנינו, מורה כ</w:t>
      </w:r>
      <w:r>
        <w:rPr>
          <w:rFonts w:ascii="Century" w:hAnsi="Century" w:cs="FrankRuehl" w:hint="cs"/>
          <w:spacing w:val="10"/>
          <w:sz w:val="22"/>
          <w:szCs w:val="28"/>
          <w:rtl/>
        </w:rPr>
        <w:t>ך</w:t>
      </w:r>
      <w:r w:rsidRPr="00E206AF">
        <w:rPr>
          <w:rFonts w:ascii="Century" w:hAnsi="Century" w:cs="FrankRuehl" w:hint="cs"/>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Century" w:hAnsi="Century" w:cs="FrankRuehl"/>
          <w:spacing w:val="10"/>
          <w:sz w:val="22"/>
          <w:szCs w:val="28"/>
          <w:rtl/>
        </w:rPr>
      </w:pPr>
      <w:r w:rsidRPr="00E206AF">
        <w:rPr>
          <w:rFonts w:ascii="Century" w:hAnsi="Century" w:cs="FrankRuehl" w:hint="eastAsia"/>
          <w:spacing w:val="10"/>
          <w:sz w:val="22"/>
          <w:szCs w:val="28"/>
          <w:rtl/>
        </w:rPr>
        <w:lastRenderedPageBreak/>
        <w:t>על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אף</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האמור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בחוק</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יסוד</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זה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שבידו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סמכות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שפיטה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פי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דין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לרבות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בית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המשפט</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העליון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בשבתו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כבית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משפט</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גבוה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לצדק</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לא</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ידון</w:t>
      </w:r>
      <w:r w:rsidRPr="00E206AF">
        <w:rPr>
          <w:rFonts w:ascii="Century" w:hAnsi="Century" w:cs="FrankRuehl"/>
          <w:spacing w:val="10"/>
          <w:sz w:val="22"/>
          <w:szCs w:val="28"/>
          <w:rtl/>
        </w:rPr>
        <w:t xml:space="preserve"> </w:t>
      </w:r>
      <w:r w:rsidRPr="00E206AF">
        <w:rPr>
          <w:rFonts w:ascii="Century" w:hAnsi="Century" w:cs="Miriam" w:hint="eastAsia"/>
          <w:b/>
          <w:sz w:val="22"/>
          <w:u w:val="single"/>
          <w:rtl/>
        </w:rPr>
        <w:t>בעניין</w:t>
      </w:r>
      <w:r w:rsidRPr="00E206AF">
        <w:rPr>
          <w:rFonts w:ascii="Century" w:hAnsi="Century" w:cs="Miriam"/>
          <w:b/>
          <w:sz w:val="22"/>
          <w:u w:val="single"/>
          <w:rtl/>
        </w:rPr>
        <w:t xml:space="preserve"> </w:t>
      </w:r>
      <w:r w:rsidRPr="00E206AF">
        <w:rPr>
          <w:rFonts w:ascii="Century" w:hAnsi="Century" w:cs="Miriam" w:hint="eastAsia"/>
          <w:b/>
          <w:sz w:val="22"/>
          <w:u w:val="single"/>
          <w:rtl/>
        </w:rPr>
        <w:t>סבירות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ההחלטה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הממשלה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ראש</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הממשלה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אחר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ולא</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ייתן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צו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בעניין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כאמור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בסעיף</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זה</w:t>
      </w:r>
      <w:r w:rsidRPr="00E206AF">
        <w:rPr>
          <w:rFonts w:ascii="Century" w:hAnsi="Century" w:cs="FrankRuehl"/>
          <w:spacing w:val="10"/>
          <w:sz w:val="22"/>
          <w:szCs w:val="28"/>
          <w:rtl/>
        </w:rPr>
        <w:t>, "</w:t>
      </w:r>
      <w:r w:rsidRPr="00E206AF">
        <w:rPr>
          <w:rFonts w:ascii="Century" w:hAnsi="Century" w:cs="FrankRuehl" w:hint="eastAsia"/>
          <w:spacing w:val="10"/>
          <w:sz w:val="22"/>
          <w:szCs w:val="28"/>
          <w:rtl/>
        </w:rPr>
        <w:t>החלטה</w:t>
      </w:r>
      <w:r w:rsidRPr="00E206AF">
        <w:rPr>
          <w:rFonts w:ascii="Century" w:hAnsi="Century" w:cs="FrankRuehl"/>
          <w:spacing w:val="10"/>
          <w:sz w:val="22"/>
          <w:szCs w:val="28"/>
          <w:rtl/>
        </w:rPr>
        <w:t xml:space="preserve">" – </w:t>
      </w:r>
      <w:r w:rsidRPr="00E206AF">
        <w:rPr>
          <w:rFonts w:ascii="Century" w:hAnsi="Century" w:cs="FrankRuehl" w:hint="eastAsia"/>
          <w:spacing w:val="10"/>
          <w:sz w:val="22"/>
          <w:szCs w:val="28"/>
          <w:rtl/>
        </w:rPr>
        <w:t>כל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החלטה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לרבות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בענייני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מינויים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החלטה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להימנע</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מהפעלת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סמכות</w:t>
      </w:r>
      <w:r w:rsidRPr="00E206AF">
        <w:rPr>
          <w:rFonts w:ascii="Century" w:hAnsi="Century" w:cs="FrankRuehl" w:hint="cs"/>
          <w:spacing w:val="10"/>
          <w:sz w:val="22"/>
          <w:szCs w:val="28"/>
          <w:rtl/>
        </w:rPr>
        <w:t xml:space="preserve"> (ההדגשה הוספה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י"ו)</w:t>
      </w:r>
      <w:r w:rsidRPr="00E206AF">
        <w:rPr>
          <w:rFonts w:ascii="Century" w:hAnsi="Century" w:cs="FrankRuehl"/>
          <w:spacing w:val="10"/>
          <w:sz w:val="22"/>
          <w:szCs w:val="28"/>
          <w:rtl/>
        </w:rPr>
        <w:t>.</w:t>
      </w:r>
    </w:p>
    <w:p w:rsidR="00E32081" w:rsidRPr="00E206AF" w:rsidRDefault="00E32081" w:rsidP="00E32081">
      <w:pPr>
        <w:tabs>
          <w:tab w:val="left" w:pos="800"/>
        </w:tabs>
        <w:spacing w:line="360" w:lineRule="auto"/>
        <w:jc w:val="both"/>
        <w:rPr>
          <w:rFonts w:ascii="Century" w:hAnsi="Century" w:cs="Miriam"/>
          <w:b/>
          <w:sz w:val="22"/>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hint="cs"/>
          <w:spacing w:val="10"/>
          <w:sz w:val="22"/>
          <w:szCs w:val="28"/>
          <w:rtl/>
        </w:rPr>
        <w:t>38</w:t>
      </w:r>
      <w:r w:rsidRPr="00E206AF">
        <w:rPr>
          <w:rFonts w:ascii="Arial TUR" w:hAnsi="Arial TUR" w:cs="FrankRuehl"/>
          <w:spacing w:val="10"/>
          <w:sz w:val="22"/>
          <w:szCs w:val="28"/>
          <w:rtl/>
        </w:rPr>
        <w:t>.</w:t>
      </w:r>
      <w:r w:rsidRPr="00E206AF">
        <w:rPr>
          <w:rFonts w:ascii="Arial TUR" w:hAnsi="Arial TUR" w:cs="FrankRuehl"/>
          <w:spacing w:val="10"/>
          <w:sz w:val="22"/>
          <w:szCs w:val="28"/>
          <w:rtl/>
        </w:rPr>
        <w:tab/>
      </w:r>
      <w:r w:rsidRPr="00E206AF">
        <w:rPr>
          <w:rFonts w:ascii="Arial TUR" w:hAnsi="Arial TUR" w:cs="FrankRuehl" w:hint="cs"/>
          <w:spacing w:val="10"/>
          <w:sz w:val="22"/>
          <w:szCs w:val="28"/>
          <w:rtl/>
        </w:rPr>
        <w:t>במוקד התיקון הציב המכונן את המונח "</w:t>
      </w:r>
      <w:r w:rsidRPr="003F2E16">
        <w:rPr>
          <w:rFonts w:ascii="Century" w:hAnsi="Century" w:cs="Miriam" w:hint="eastAsia"/>
          <w:b/>
          <w:sz w:val="22"/>
          <w:rtl/>
        </w:rPr>
        <w:t>סבירות</w:t>
      </w:r>
      <w:r w:rsidRPr="00E206AF">
        <w:rPr>
          <w:rFonts w:ascii="Arial TUR" w:hAnsi="Arial TUR" w:cs="FrankRuehl" w:hint="cs"/>
          <w:spacing w:val="10"/>
          <w:sz w:val="22"/>
          <w:szCs w:val="28"/>
          <w:rtl/>
        </w:rPr>
        <w:t xml:space="preserve">"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ואולם, </w:t>
      </w:r>
      <w:r w:rsidRPr="00E206AF">
        <w:rPr>
          <w:rFonts w:ascii="Arial TUR" w:hAnsi="Arial TUR" w:cs="FrankRuehl" w:hint="eastAsia"/>
          <w:spacing w:val="10"/>
          <w:sz w:val="22"/>
          <w:szCs w:val="28"/>
          <w:rtl/>
        </w:rPr>
        <w:t>כפי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שנפרש</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לעיל</w:t>
      </w:r>
      <w:r w:rsidRPr="00E206AF">
        <w:rPr>
          <w:rFonts w:ascii="Arial TUR" w:hAnsi="Arial TUR" w:cs="FrankRuehl" w:hint="cs"/>
          <w:spacing w:val="10"/>
          <w:sz w:val="22"/>
          <w:szCs w:val="28"/>
          <w:rtl/>
        </w:rPr>
        <w:t xml:space="preserve">, </w:t>
      </w:r>
      <w:r w:rsidRPr="00E206AF">
        <w:rPr>
          <w:rFonts w:ascii="Arial TUR" w:hAnsi="Arial TUR" w:cs="FrankRuehl" w:hint="eastAsia"/>
          <w:spacing w:val="10"/>
          <w:sz w:val="22"/>
          <w:szCs w:val="28"/>
          <w:rtl/>
        </w:rPr>
        <w:t>המונח</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סבירות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הוא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מושג</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מורכב</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ועמום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אשר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משמעותו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המשפטית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עשויה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להשתנות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בהתאם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להקשר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ראו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לדוגמא</w:t>
      </w:r>
      <w:r w:rsidRPr="00E206AF">
        <w:rPr>
          <w:rFonts w:ascii="Arial TUR" w:hAnsi="Arial TUR" w:cs="FrankRuehl"/>
          <w:spacing w:val="10"/>
          <w:sz w:val="22"/>
          <w:szCs w:val="28"/>
          <w:rtl/>
        </w:rPr>
        <w:t xml:space="preserve">: אהרן ברק </w:t>
      </w:r>
      <w:r w:rsidRPr="00E206AF">
        <w:rPr>
          <w:rFonts w:ascii="Arial TUR" w:hAnsi="Arial TUR" w:cs="Miriam" w:hint="eastAsia"/>
          <w:b/>
          <w:sz w:val="22"/>
          <w:rtl/>
        </w:rPr>
        <w:t>שיקול</w:t>
      </w:r>
      <w:r w:rsidRPr="00E206AF">
        <w:rPr>
          <w:rFonts w:ascii="Arial TUR" w:hAnsi="Arial TUR" w:cs="Miriam"/>
          <w:b/>
          <w:sz w:val="22"/>
          <w:rtl/>
        </w:rPr>
        <w:t xml:space="preserve"> דעת שיפוטי </w:t>
      </w:r>
      <w:r w:rsidRPr="00E206AF">
        <w:rPr>
          <w:rFonts w:ascii="Arial TUR" w:hAnsi="Arial TUR" w:cs="FrankRuehl"/>
          <w:spacing w:val="10"/>
          <w:sz w:val="22"/>
          <w:szCs w:val="28"/>
          <w:rtl/>
        </w:rPr>
        <w:t xml:space="preserve">76-75 (התשמ"ז)). </w:t>
      </w:r>
      <w:r w:rsidRPr="00E206AF">
        <w:rPr>
          <w:rFonts w:ascii="Arial TUR" w:hAnsi="Arial TUR" w:cs="FrankRuehl" w:hint="cs"/>
          <w:spacing w:val="10"/>
          <w:sz w:val="22"/>
          <w:szCs w:val="28"/>
          <w:rtl/>
        </w:rPr>
        <w:t xml:space="preserve">כמו כן, </w:t>
      </w:r>
      <w:r w:rsidRPr="00E206AF">
        <w:rPr>
          <w:rFonts w:ascii="Arial TUR" w:hAnsi="Arial TUR" w:cs="FrankRuehl" w:hint="eastAsia"/>
          <w:spacing w:val="10"/>
          <w:sz w:val="22"/>
          <w:szCs w:val="28"/>
          <w:rtl/>
        </w:rPr>
        <w:t>כפי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שראינו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במהלך</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השנים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חלו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בפסיקה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תמורות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משמעותיות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ביחס</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w:t>
      </w:r>
      <w:r>
        <w:rPr>
          <w:rFonts w:ascii="Arial TUR" w:hAnsi="Arial TUR" w:cs="FrankRuehl" w:hint="cs"/>
          <w:spacing w:val="10"/>
          <w:sz w:val="22"/>
          <w:szCs w:val="28"/>
          <w:rtl/>
        </w:rPr>
        <w:t>משמעות ה</w:t>
      </w:r>
      <w:r w:rsidRPr="00E206AF">
        <w:rPr>
          <w:rFonts w:ascii="Arial TUR" w:hAnsi="Arial TUR" w:cs="FrankRuehl" w:hint="eastAsia"/>
          <w:spacing w:val="10"/>
          <w:sz w:val="22"/>
          <w:szCs w:val="28"/>
          <w:rtl/>
        </w:rPr>
        <w:t>מונח</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סבירות</w:t>
      </w:r>
      <w:r w:rsidRPr="00E206AF">
        <w:rPr>
          <w:rFonts w:ascii="Arial TUR" w:hAnsi="Arial TUR" w:cs="FrankRuehl"/>
          <w:spacing w:val="10"/>
          <w:sz w:val="22"/>
          <w:szCs w:val="28"/>
          <w:rtl/>
        </w:rPr>
        <w:t>"</w:t>
      </w:r>
      <w:r>
        <w:rPr>
          <w:rFonts w:ascii="Arial TUR" w:hAnsi="Arial TUR" w:cs="FrankRuehl" w:hint="cs"/>
          <w:spacing w:val="10"/>
          <w:sz w:val="22"/>
          <w:szCs w:val="28"/>
          <w:rtl/>
        </w:rPr>
        <w:t xml:space="preserve"> במשפט המינהלי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ואין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למונח</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זה</w:t>
      </w:r>
      <w:r w:rsidRPr="00E206AF">
        <w:rPr>
          <w:rFonts w:ascii="Arial TUR" w:hAnsi="Arial TUR" w:cs="FrankRuehl"/>
          <w:spacing w:val="10"/>
          <w:sz w:val="22"/>
          <w:szCs w:val="28"/>
          <w:rtl/>
        </w:rPr>
        <w:t xml:space="preserve"> </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בפסיקה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בספרות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תוכן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אחיד</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יחיד</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מספר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פרשנויות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ורבדים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שונים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איל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זמיר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עילת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אי</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הסבירות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במשפט</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המינהלי</w:t>
      </w:r>
      <w:r w:rsidRPr="00E206AF">
        <w:rPr>
          <w:rFonts w:ascii="Century" w:hAnsi="Century" w:cs="FrankRuehl"/>
          <w:spacing w:val="10"/>
          <w:sz w:val="22"/>
          <w:szCs w:val="28"/>
          <w:rtl/>
        </w:rPr>
        <w:t xml:space="preserve">" </w:t>
      </w:r>
      <w:r w:rsidRPr="00E206AF">
        <w:rPr>
          <w:rFonts w:ascii="Century" w:hAnsi="Century" w:cs="Miriam" w:hint="eastAsia"/>
          <w:b/>
          <w:sz w:val="22"/>
          <w:rtl/>
        </w:rPr>
        <w:t>משפטים</w:t>
      </w:r>
      <w:r w:rsidRPr="00E206AF">
        <w:rPr>
          <w:rFonts w:ascii="Century" w:hAnsi="Century" w:cs="Miriam"/>
          <w:b/>
          <w:sz w:val="22"/>
          <w:rtl/>
        </w:rPr>
        <w:t xml:space="preserve"> </w:t>
      </w:r>
      <w:r w:rsidRPr="00E206AF">
        <w:rPr>
          <w:rFonts w:ascii="Century" w:hAnsi="Century" w:cs="FrankRuehl" w:hint="eastAsia"/>
          <w:spacing w:val="10"/>
          <w:sz w:val="22"/>
          <w:szCs w:val="28"/>
          <w:rtl/>
        </w:rPr>
        <w:t>יב</w:t>
      </w:r>
      <w:r w:rsidRPr="00E206AF">
        <w:rPr>
          <w:rFonts w:ascii="Century" w:hAnsi="Century" w:cs="FrankRuehl"/>
          <w:spacing w:val="10"/>
          <w:sz w:val="22"/>
          <w:szCs w:val="28"/>
          <w:rtl/>
        </w:rPr>
        <w:t xml:space="preserve"> 291, 296 (</w:t>
      </w:r>
      <w:r w:rsidRPr="00E206AF">
        <w:rPr>
          <w:rFonts w:ascii="Century" w:hAnsi="Century" w:cs="FrankRuehl" w:hint="eastAsia"/>
          <w:spacing w:val="10"/>
          <w:sz w:val="22"/>
          <w:szCs w:val="28"/>
          <w:rtl/>
        </w:rPr>
        <w:t>התשמ</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ב</w:t>
      </w:r>
      <w:r w:rsidRPr="00E206AF">
        <w:rPr>
          <w:rFonts w:ascii="Century" w:hAnsi="Century" w:cs="FrankRuehl"/>
          <w:spacing w:val="10"/>
          <w:sz w:val="22"/>
          <w:szCs w:val="28"/>
          <w:rtl/>
        </w:rPr>
        <w:t>) (</w:t>
      </w:r>
      <w:r w:rsidRPr="00E206AF">
        <w:rPr>
          <w:rFonts w:ascii="Century" w:hAnsi="Century" w:cs="FrankRuehl" w:hint="eastAsia"/>
          <w:spacing w:val="10"/>
          <w:sz w:val="22"/>
          <w:szCs w:val="28"/>
          <w:rtl/>
        </w:rPr>
        <w:t>להלן</w:t>
      </w:r>
      <w:r w:rsidRPr="00E206AF">
        <w:rPr>
          <w:rFonts w:ascii="Century" w:hAnsi="Century" w:cs="FrankRuehl"/>
          <w:spacing w:val="10"/>
          <w:sz w:val="22"/>
          <w:szCs w:val="28"/>
          <w:rtl/>
        </w:rPr>
        <w:t xml:space="preserve">: </w:t>
      </w:r>
      <w:r w:rsidRPr="00E206AF">
        <w:rPr>
          <w:rFonts w:ascii="Century" w:hAnsi="Century" w:cs="Miriam" w:hint="eastAsia"/>
          <w:b/>
          <w:sz w:val="22"/>
          <w:rtl/>
        </w:rPr>
        <w:t>א</w:t>
      </w:r>
      <w:r w:rsidRPr="00E206AF">
        <w:rPr>
          <w:rFonts w:ascii="Century" w:hAnsi="Century" w:cs="Miriam"/>
          <w:b/>
          <w:sz w:val="22"/>
          <w:rtl/>
        </w:rPr>
        <w:t xml:space="preserve">' </w:t>
      </w:r>
      <w:r w:rsidRPr="00E206AF">
        <w:rPr>
          <w:rFonts w:ascii="Century" w:hAnsi="Century" w:cs="Miriam" w:hint="eastAsia"/>
          <w:b/>
          <w:sz w:val="22"/>
          <w:rtl/>
        </w:rPr>
        <w:t>זמיר</w:t>
      </w:r>
      <w:r w:rsidRPr="00E206AF">
        <w:rPr>
          <w:rFonts w:ascii="Century" w:hAnsi="Century" w:cs="Miriam"/>
          <w:b/>
          <w:sz w:val="22"/>
          <w:rtl/>
        </w:rPr>
        <w:t xml:space="preserve">, </w:t>
      </w:r>
      <w:r w:rsidRPr="00E206AF">
        <w:rPr>
          <w:rFonts w:ascii="Century" w:hAnsi="Century" w:cs="Miriam" w:hint="eastAsia"/>
          <w:b/>
          <w:sz w:val="22"/>
          <w:rtl/>
        </w:rPr>
        <w:t>עילת</w:t>
      </w:r>
      <w:r w:rsidRPr="00E206AF">
        <w:rPr>
          <w:rFonts w:ascii="Century" w:hAnsi="Century" w:cs="Miriam"/>
          <w:b/>
          <w:sz w:val="22"/>
          <w:rtl/>
        </w:rPr>
        <w:t xml:space="preserve"> </w:t>
      </w:r>
      <w:r w:rsidRPr="00E206AF">
        <w:rPr>
          <w:rFonts w:ascii="Century" w:hAnsi="Century" w:cs="Miriam" w:hint="eastAsia"/>
          <w:b/>
          <w:sz w:val="22"/>
          <w:rtl/>
        </w:rPr>
        <w:t>אי</w:t>
      </w:r>
      <w:r w:rsidRPr="00E206AF">
        <w:rPr>
          <w:rFonts w:ascii="Century" w:hAnsi="Century" w:cs="Miriam"/>
          <w:b/>
          <w:sz w:val="22"/>
          <w:rtl/>
        </w:rPr>
        <w:t>-</w:t>
      </w:r>
      <w:r w:rsidRPr="00E206AF">
        <w:rPr>
          <w:rFonts w:ascii="Century" w:hAnsi="Century" w:cs="Miriam" w:hint="eastAsia"/>
          <w:b/>
          <w:sz w:val="22"/>
          <w:rtl/>
        </w:rPr>
        <w:t>הסבירות</w:t>
      </w:r>
      <w:r w:rsidRPr="00E206AF">
        <w:rPr>
          <w:rFonts w:ascii="Century" w:hAnsi="Century" w:cs="FrankRuehl"/>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ab/>
        <w:t xml:space="preserve">במצב דברים זה, משעה שהמחוקק עיגן בתיקון את המונח "סבירות", </w:t>
      </w:r>
      <w:r w:rsidRPr="00E206AF">
        <w:rPr>
          <w:rFonts w:ascii="Century" w:hAnsi="Century" w:cs="Miriam" w:hint="eastAsia"/>
          <w:b/>
          <w:sz w:val="22"/>
          <w:rtl/>
        </w:rPr>
        <w:t>בלשון</w:t>
      </w:r>
      <w:r w:rsidRPr="00E206AF">
        <w:rPr>
          <w:rFonts w:ascii="Century" w:hAnsi="Century" w:cs="Miriam"/>
          <w:b/>
          <w:sz w:val="22"/>
          <w:rtl/>
        </w:rPr>
        <w:t xml:space="preserve"> </w:t>
      </w:r>
      <w:r w:rsidRPr="00E206AF">
        <w:rPr>
          <w:rFonts w:ascii="Century" w:hAnsi="Century" w:cs="Miriam" w:hint="eastAsia"/>
          <w:b/>
          <w:sz w:val="22"/>
          <w:rtl/>
        </w:rPr>
        <w:t>כללית</w:t>
      </w:r>
      <w:r w:rsidRPr="00E206AF">
        <w:rPr>
          <w:rFonts w:ascii="Century" w:hAnsi="Century" w:cs="FrankRuehl" w:hint="cs"/>
          <w:spacing w:val="10"/>
          <w:sz w:val="22"/>
          <w:szCs w:val="28"/>
          <w:rtl/>
        </w:rPr>
        <w:t xml:space="preserve">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מבלי שהבהיר את משמעותו, היקפו ומהותו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מתעוררת שאלה פרשנית ביחס למשמעות המונח.</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FrankRuehl" w:hAnsi="FrankRuehl" w:cs="FrankRuehl"/>
          <w:color w:val="000000"/>
          <w:spacing w:val="10"/>
          <w:sz w:val="22"/>
          <w:szCs w:val="28"/>
          <w:shd w:val="clear" w:color="auto" w:fill="FFFFFF"/>
          <w:rtl/>
        </w:rPr>
      </w:pPr>
      <w:r w:rsidRPr="00E206AF">
        <w:rPr>
          <w:rFonts w:ascii="Century" w:hAnsi="Century" w:cs="FrankRuehl" w:hint="cs"/>
          <w:spacing w:val="10"/>
          <w:sz w:val="22"/>
          <w:szCs w:val="28"/>
          <w:rtl/>
        </w:rPr>
        <w:t>39.</w:t>
      </w:r>
      <w:r w:rsidRPr="00E206AF">
        <w:rPr>
          <w:rFonts w:ascii="Century" w:hAnsi="Century" w:cs="FrankRuehl" w:hint="cs"/>
          <w:spacing w:val="10"/>
          <w:sz w:val="22"/>
          <w:szCs w:val="28"/>
          <w:rtl/>
        </w:rPr>
        <w:tab/>
      </w:r>
      <w:r w:rsidRPr="00E206AF">
        <w:rPr>
          <w:rFonts w:ascii="Century" w:hAnsi="Century" w:cs="FrankRuehl" w:hint="eastAsia"/>
          <w:spacing w:val="10"/>
          <w:sz w:val="22"/>
          <w:szCs w:val="28"/>
          <w:rtl/>
        </w:rPr>
        <w:t>כלי</w:t>
      </w:r>
      <w:r w:rsidRPr="00E206AF">
        <w:rPr>
          <w:rFonts w:ascii="Century" w:hAnsi="Century" w:cs="FrankRuehl" w:hint="cs"/>
          <w:spacing w:val="10"/>
          <w:sz w:val="22"/>
          <w:szCs w:val="28"/>
          <w:rtl/>
        </w:rPr>
        <w:t xml:space="preserve"> פרשני מהותי המצוי בארגז </w:t>
      </w:r>
      <w:r>
        <w:rPr>
          <w:rFonts w:ascii="Century" w:hAnsi="Century" w:cs="FrankRuehl" w:hint="cs"/>
          <w:spacing w:val="10"/>
          <w:sz w:val="22"/>
          <w:szCs w:val="28"/>
          <w:rtl/>
        </w:rPr>
        <w:t>ה</w:t>
      </w:r>
      <w:r w:rsidRPr="00E206AF">
        <w:rPr>
          <w:rFonts w:ascii="Century" w:hAnsi="Century" w:cs="FrankRuehl" w:hint="cs"/>
          <w:spacing w:val="10"/>
          <w:sz w:val="22"/>
          <w:szCs w:val="28"/>
          <w:rtl/>
        </w:rPr>
        <w:t>כלי</w:t>
      </w:r>
      <w:r>
        <w:rPr>
          <w:rFonts w:ascii="Century" w:hAnsi="Century" w:cs="FrankRuehl" w:hint="cs"/>
          <w:spacing w:val="10"/>
          <w:sz w:val="22"/>
          <w:szCs w:val="28"/>
          <w:rtl/>
        </w:rPr>
        <w:t>ם</w:t>
      </w:r>
      <w:r w:rsidRPr="00E206AF">
        <w:rPr>
          <w:rFonts w:ascii="Century" w:hAnsi="Century" w:cs="FrankRuehl" w:hint="cs"/>
          <w:spacing w:val="10"/>
          <w:sz w:val="22"/>
          <w:szCs w:val="28"/>
          <w:rtl/>
        </w:rPr>
        <w:t xml:space="preserve"> של בית המשפט, ואשר ראוי ש</w:t>
      </w:r>
      <w:r>
        <w:rPr>
          <w:rFonts w:ascii="Century" w:hAnsi="Century" w:cs="FrankRuehl" w:hint="cs"/>
          <w:spacing w:val="10"/>
          <w:sz w:val="22"/>
          <w:szCs w:val="28"/>
          <w:rtl/>
        </w:rPr>
        <w:t>י</w:t>
      </w:r>
      <w:r w:rsidRPr="00E206AF">
        <w:rPr>
          <w:rFonts w:ascii="Century" w:hAnsi="Century" w:cs="FrankRuehl" w:hint="cs"/>
          <w:spacing w:val="10"/>
          <w:sz w:val="22"/>
          <w:szCs w:val="28"/>
          <w:rtl/>
        </w:rPr>
        <w:t xml:space="preserve">יעשה בו שימוש במקרים </w:t>
      </w:r>
      <w:r>
        <w:rPr>
          <w:rFonts w:ascii="Century" w:hAnsi="Century" w:cs="FrankRuehl" w:hint="cs"/>
          <w:spacing w:val="10"/>
          <w:sz w:val="22"/>
          <w:szCs w:val="28"/>
          <w:rtl/>
        </w:rPr>
        <w:t>כגון</w:t>
      </w:r>
      <w:r w:rsidRPr="00E206AF">
        <w:rPr>
          <w:rFonts w:ascii="Century" w:hAnsi="Century" w:cs="FrankRuehl" w:hint="cs"/>
          <w:spacing w:val="10"/>
          <w:sz w:val="22"/>
          <w:szCs w:val="28"/>
          <w:rtl/>
        </w:rPr>
        <w:t xml:space="preserve"> זה שלפנינו, הוא </w:t>
      </w:r>
      <w:r w:rsidRPr="00E206AF">
        <w:rPr>
          <w:rFonts w:ascii="Century" w:hAnsi="Century" w:cs="Miriam" w:hint="eastAsia"/>
          <w:b/>
          <w:sz w:val="22"/>
          <w:rtl/>
        </w:rPr>
        <w:t>כלל</w:t>
      </w:r>
      <w:r w:rsidRPr="00E206AF">
        <w:rPr>
          <w:rFonts w:ascii="Century" w:hAnsi="Century" w:cs="Miriam"/>
          <w:b/>
          <w:sz w:val="22"/>
          <w:rtl/>
        </w:rPr>
        <w:t xml:space="preserve"> </w:t>
      </w:r>
      <w:r w:rsidRPr="00E206AF">
        <w:rPr>
          <w:rFonts w:ascii="Century" w:hAnsi="Century" w:cs="Miriam" w:hint="eastAsia"/>
          <w:b/>
          <w:sz w:val="22"/>
          <w:rtl/>
        </w:rPr>
        <w:t>הפרשנות</w:t>
      </w:r>
      <w:r w:rsidRPr="00E206AF">
        <w:rPr>
          <w:rFonts w:ascii="Century" w:hAnsi="Century" w:cs="Miriam"/>
          <w:b/>
          <w:sz w:val="22"/>
          <w:rtl/>
        </w:rPr>
        <w:t xml:space="preserve"> </w:t>
      </w:r>
      <w:r w:rsidRPr="00E206AF">
        <w:rPr>
          <w:rFonts w:ascii="Century" w:hAnsi="Century" w:cs="Miriam" w:hint="eastAsia"/>
          <w:b/>
          <w:sz w:val="22"/>
          <w:rtl/>
        </w:rPr>
        <w:t>המקיימת</w:t>
      </w:r>
      <w:r w:rsidRPr="00E206AF">
        <w:rPr>
          <w:rFonts w:ascii="Century" w:hAnsi="Century" w:cs="FrankRuehl" w:hint="cs"/>
          <w:spacing w:val="10"/>
          <w:sz w:val="22"/>
          <w:szCs w:val="28"/>
          <w:rtl/>
        </w:rPr>
        <w:t>. לפי כלל זה</w:t>
      </w:r>
      <w:r>
        <w:rPr>
          <w:rFonts w:ascii="Century" w:hAnsi="Century" w:cs="FrankRuehl" w:hint="cs"/>
          <w:spacing w:val="10"/>
          <w:sz w:val="22"/>
          <w:szCs w:val="28"/>
          <w:rtl/>
        </w:rPr>
        <w:t>,</w:t>
      </w:r>
      <w:r w:rsidRPr="00E206AF">
        <w:rPr>
          <w:rFonts w:ascii="Century" w:hAnsi="Century" w:cs="FrankRuehl" w:hint="cs"/>
          <w:spacing w:val="10"/>
          <w:sz w:val="22"/>
          <w:szCs w:val="28"/>
          <w:rtl/>
        </w:rPr>
        <w:t xml:space="preserve"> </w:t>
      </w:r>
      <w:r w:rsidRPr="00E206AF">
        <w:rPr>
          <w:rFonts w:ascii="FrankRuehl" w:hAnsi="FrankRuehl" w:cs="FrankRuehl" w:hint="cs"/>
          <w:color w:val="000000"/>
          <w:spacing w:val="10"/>
          <w:sz w:val="22"/>
          <w:szCs w:val="28"/>
          <w:shd w:val="clear" w:color="auto" w:fill="FFFFFF"/>
          <w:rtl/>
        </w:rPr>
        <w:t>"</w:t>
      </w:r>
      <w:r w:rsidRPr="00E206AF">
        <w:rPr>
          <w:rFonts w:ascii="Century" w:hAnsi="Century" w:cs="Miriam"/>
          <w:b/>
          <w:sz w:val="22"/>
          <w:shd w:val="clear" w:color="auto" w:fill="FFFFFF"/>
          <w:rtl/>
        </w:rPr>
        <w:t>עדיפה פרשנות סבירה של חוק על פני הכרעה בשאלת חוקתיותו</w:t>
      </w:r>
      <w:r w:rsidRPr="00E206AF">
        <w:rPr>
          <w:rFonts w:ascii="FrankRuehl" w:hAnsi="FrankRuehl" w:cs="FrankRuehl" w:hint="cs"/>
          <w:color w:val="000000"/>
          <w:spacing w:val="10"/>
          <w:sz w:val="22"/>
          <w:szCs w:val="28"/>
          <w:shd w:val="clear" w:color="auto" w:fill="FFFFFF"/>
          <w:rtl/>
        </w:rPr>
        <w:t>"</w:t>
      </w:r>
      <w:r w:rsidRPr="00E206AF">
        <w:rPr>
          <w:rFonts w:ascii="FrankRuehl" w:hAnsi="FrankRuehl" w:cs="FrankRuehl"/>
          <w:color w:val="000000"/>
          <w:spacing w:val="10"/>
          <w:sz w:val="22"/>
          <w:szCs w:val="28"/>
          <w:shd w:val="clear" w:color="auto" w:fill="FFFFFF"/>
          <w:rtl/>
        </w:rPr>
        <w:t xml:space="preserve">. </w:t>
      </w:r>
      <w:r w:rsidRPr="00E206AF">
        <w:rPr>
          <w:rFonts w:ascii="FrankRuehl" w:hAnsi="FrankRuehl" w:cs="FrankRuehl" w:hint="cs"/>
          <w:color w:val="000000"/>
          <w:spacing w:val="10"/>
          <w:sz w:val="22"/>
          <w:szCs w:val="28"/>
          <w:shd w:val="clear" w:color="auto" w:fill="FFFFFF"/>
          <w:rtl/>
        </w:rPr>
        <w:t>כלל זה מצווה עלינו</w:t>
      </w:r>
      <w:r>
        <w:rPr>
          <w:rFonts w:ascii="FrankRuehl" w:hAnsi="FrankRuehl" w:cs="FrankRuehl" w:hint="cs"/>
          <w:color w:val="000000"/>
          <w:spacing w:val="10"/>
          <w:sz w:val="22"/>
          <w:szCs w:val="28"/>
          <w:shd w:val="clear" w:color="auto" w:fill="FFFFFF"/>
          <w:rtl/>
        </w:rPr>
        <w:t>,</w:t>
      </w:r>
      <w:r w:rsidRPr="00E206AF">
        <w:rPr>
          <w:rFonts w:ascii="FrankRuehl" w:hAnsi="FrankRuehl" w:cs="FrankRuehl" w:hint="cs"/>
          <w:color w:val="000000"/>
          <w:spacing w:val="10"/>
          <w:sz w:val="22"/>
          <w:szCs w:val="28"/>
          <w:shd w:val="clear" w:color="auto" w:fill="FFFFFF"/>
          <w:rtl/>
        </w:rPr>
        <w:t xml:space="preserve"> כי מקום בו </w:t>
      </w:r>
      <w:r w:rsidRPr="00E206AF">
        <w:rPr>
          <w:rFonts w:ascii="FrankRuehl" w:hAnsi="FrankRuehl" w:cs="FrankRuehl"/>
          <w:color w:val="000000"/>
          <w:spacing w:val="10"/>
          <w:sz w:val="22"/>
          <w:szCs w:val="28"/>
          <w:shd w:val="clear" w:color="auto" w:fill="FFFFFF"/>
          <w:rtl/>
        </w:rPr>
        <w:t>דבר חקיקה ניתן למספר פירושים אפשריים,</w:t>
      </w:r>
      <w:r w:rsidRPr="00E206AF">
        <w:rPr>
          <w:rFonts w:ascii="FrankRuehl" w:hAnsi="FrankRuehl" w:cs="FrankRuehl" w:hint="cs"/>
          <w:color w:val="000000"/>
          <w:spacing w:val="10"/>
          <w:sz w:val="22"/>
          <w:szCs w:val="28"/>
          <w:shd w:val="clear" w:color="auto" w:fill="FFFFFF"/>
          <w:rtl/>
        </w:rPr>
        <w:t xml:space="preserve"> יש</w:t>
      </w:r>
      <w:r w:rsidRPr="00E206AF">
        <w:rPr>
          <w:rFonts w:ascii="FrankRuehl" w:hAnsi="FrankRuehl" w:cs="FrankRuehl"/>
          <w:color w:val="000000"/>
          <w:spacing w:val="10"/>
          <w:sz w:val="22"/>
          <w:szCs w:val="28"/>
          <w:shd w:val="clear" w:color="auto" w:fill="FFFFFF"/>
          <w:rtl/>
        </w:rPr>
        <w:t xml:space="preserve"> </w:t>
      </w:r>
      <w:r w:rsidRPr="00E206AF">
        <w:rPr>
          <w:rFonts w:ascii="FrankRuehl" w:hAnsi="FrankRuehl" w:cs="FrankRuehl" w:hint="cs"/>
          <w:color w:val="000000"/>
          <w:spacing w:val="10"/>
          <w:sz w:val="22"/>
          <w:szCs w:val="28"/>
          <w:shd w:val="clear" w:color="auto" w:fill="FFFFFF"/>
          <w:rtl/>
        </w:rPr>
        <w:t>"</w:t>
      </w:r>
      <w:r w:rsidRPr="00E206AF">
        <w:rPr>
          <w:rFonts w:ascii="FrankRuehl" w:hAnsi="FrankRuehl" w:cs="FrankRuehl"/>
          <w:color w:val="000000"/>
          <w:spacing w:val="10"/>
          <w:sz w:val="22"/>
          <w:szCs w:val="28"/>
          <w:shd w:val="clear" w:color="auto" w:fill="FFFFFF"/>
          <w:rtl/>
        </w:rPr>
        <w:t>לבחור בפירוש המכיר בחוקתיותו של החוק (ובתוקפו) על פני פירוש המביא לאי-חוקתיותו (ולביטולו</w:t>
      </w:r>
      <w:r w:rsidRPr="00E206AF">
        <w:rPr>
          <w:rFonts w:ascii="FrankRuehl" w:hAnsi="FrankRuehl" w:cs="FrankRuehl" w:hint="cs"/>
          <w:color w:val="000000"/>
          <w:spacing w:val="10"/>
          <w:sz w:val="22"/>
          <w:szCs w:val="28"/>
          <w:shd w:val="clear" w:color="auto" w:fill="FFFFFF"/>
          <w:rtl/>
        </w:rPr>
        <w:t xml:space="preserve">)" </w:t>
      </w:r>
      <w:r w:rsidRPr="00E206AF">
        <w:rPr>
          <w:rFonts w:ascii="Century" w:hAnsi="Century" w:cs="FrankRuehl" w:hint="cs"/>
          <w:spacing w:val="10"/>
          <w:sz w:val="22"/>
          <w:szCs w:val="28"/>
          <w:rtl/>
        </w:rPr>
        <w:t>(</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4562/92 </w:t>
      </w:r>
      <w:r w:rsidRPr="00E206AF">
        <w:rPr>
          <w:rFonts w:ascii="Century" w:hAnsi="Century" w:cs="Miriam" w:hint="eastAsia"/>
          <w:b/>
          <w:sz w:val="22"/>
          <w:rtl/>
        </w:rPr>
        <w:t>זנדברג</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רשות</w:t>
      </w:r>
      <w:r w:rsidRPr="00E206AF">
        <w:rPr>
          <w:rFonts w:ascii="Century" w:hAnsi="Century" w:cs="Miriam"/>
          <w:b/>
          <w:sz w:val="22"/>
          <w:rtl/>
        </w:rPr>
        <w:t xml:space="preserve"> </w:t>
      </w:r>
      <w:r w:rsidRPr="00E206AF">
        <w:rPr>
          <w:rFonts w:ascii="Century" w:hAnsi="Century" w:cs="Miriam" w:hint="eastAsia"/>
          <w:b/>
          <w:sz w:val="22"/>
          <w:rtl/>
        </w:rPr>
        <w:t>השידור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פ</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ד</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נ</w:t>
      </w:r>
      <w:r w:rsidRPr="00E206AF">
        <w:rPr>
          <w:rFonts w:ascii="Century" w:hAnsi="Century" w:cs="FrankRuehl"/>
          <w:spacing w:val="10"/>
          <w:sz w:val="22"/>
          <w:szCs w:val="28"/>
          <w:rtl/>
        </w:rPr>
        <w:t xml:space="preserve">(2) 793, </w:t>
      </w:r>
      <w:r w:rsidRPr="00E206AF">
        <w:rPr>
          <w:rFonts w:ascii="Century" w:hAnsi="Century" w:cs="FrankRuehl" w:hint="cs"/>
          <w:spacing w:val="10"/>
          <w:sz w:val="22"/>
          <w:szCs w:val="28"/>
          <w:rtl/>
        </w:rPr>
        <w:t>811</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לפסק דינו של הנשיא </w:t>
      </w:r>
      <w:r w:rsidRPr="00E206AF">
        <w:rPr>
          <w:rFonts w:ascii="Century" w:hAnsi="Century" w:cs="Miriam" w:hint="cs"/>
          <w:b/>
          <w:sz w:val="22"/>
          <w:rtl/>
        </w:rPr>
        <w:t xml:space="preserve">ברק </w:t>
      </w:r>
      <w:r w:rsidRPr="00E206AF">
        <w:rPr>
          <w:rFonts w:ascii="Century" w:hAnsi="Century" w:cs="FrankRuehl"/>
          <w:spacing w:val="10"/>
          <w:sz w:val="22"/>
          <w:szCs w:val="28"/>
          <w:rtl/>
        </w:rPr>
        <w:t>(1996)</w:t>
      </w:r>
      <w:r w:rsidRPr="00E206AF">
        <w:rPr>
          <w:rFonts w:ascii="Century" w:hAnsi="Century" w:cs="FrankRuehl" w:hint="cs"/>
          <w:spacing w:val="10"/>
          <w:sz w:val="22"/>
          <w:szCs w:val="28"/>
          <w:rtl/>
        </w:rPr>
        <w:t xml:space="preserve"> (להלן: עניין </w:t>
      </w:r>
      <w:r w:rsidRPr="00E206AF">
        <w:rPr>
          <w:rFonts w:ascii="Century" w:hAnsi="Century" w:cs="Miriam" w:hint="eastAsia"/>
          <w:b/>
          <w:sz w:val="22"/>
          <w:rtl/>
        </w:rPr>
        <w:t>זנדברג</w:t>
      </w: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40.</w:t>
      </w:r>
      <w:r w:rsidRPr="00E206AF">
        <w:rPr>
          <w:rFonts w:ascii="Century" w:hAnsi="Century" w:cs="FrankRuehl" w:hint="cs"/>
          <w:spacing w:val="10"/>
          <w:sz w:val="22"/>
          <w:szCs w:val="28"/>
          <w:rtl/>
        </w:rPr>
        <w:tab/>
        <w:t xml:space="preserve">ויודגש: בהתאם </w:t>
      </w:r>
      <w:r>
        <w:rPr>
          <w:rFonts w:ascii="Century" w:hAnsi="Century" w:cs="FrankRuehl" w:hint="cs"/>
          <w:spacing w:val="10"/>
          <w:sz w:val="22"/>
          <w:szCs w:val="28"/>
          <w:rtl/>
        </w:rPr>
        <w:t>לדיני</w:t>
      </w:r>
      <w:r w:rsidRPr="00E206AF">
        <w:rPr>
          <w:rFonts w:ascii="Century" w:hAnsi="Century" w:cs="FrankRuehl" w:hint="cs"/>
          <w:spacing w:val="10"/>
          <w:sz w:val="22"/>
          <w:szCs w:val="28"/>
          <w:rtl/>
        </w:rPr>
        <w:t xml:space="preserve"> הפרשנות, מקום בו נמצאנו למדים כי ניתן להעניק לדבר חקיקה פרשנות מקיימת, אין אנו נדרשים להכריע מה דינו של אותו </w:t>
      </w:r>
      <w:r>
        <w:rPr>
          <w:rFonts w:ascii="Century" w:hAnsi="Century" w:cs="FrankRuehl" w:hint="cs"/>
          <w:spacing w:val="10"/>
          <w:sz w:val="22"/>
          <w:szCs w:val="28"/>
          <w:rtl/>
        </w:rPr>
        <w:t>חיקוק</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אלמלא</w:t>
      </w:r>
      <w:r w:rsidRPr="00E206AF">
        <w:rPr>
          <w:rFonts w:ascii="Century" w:hAnsi="Century" w:cs="FrankRuehl" w:hint="cs"/>
          <w:spacing w:val="10"/>
          <w:sz w:val="22"/>
          <w:szCs w:val="28"/>
          <w:rtl/>
        </w:rPr>
        <w:t xml:space="preserve"> אותה פרשנות.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השופט </w:t>
      </w:r>
      <w:r w:rsidRPr="00E206AF">
        <w:rPr>
          <w:rFonts w:ascii="Century" w:hAnsi="Century" w:cs="Miriam" w:hint="cs"/>
          <w:b/>
          <w:sz w:val="22"/>
          <w:rtl/>
        </w:rPr>
        <w:t>חשין</w:t>
      </w:r>
      <w:r w:rsidRPr="00E206AF">
        <w:rPr>
          <w:rFonts w:ascii="Century" w:hAnsi="Century" w:cs="FrankRuehl" w:hint="cs"/>
          <w:spacing w:val="10"/>
          <w:sz w:val="22"/>
          <w:szCs w:val="28"/>
          <w:rtl/>
        </w:rPr>
        <w:t xml:space="preserve"> היטיב לתאר תפיסה בסיסית זאת בלשונו הציורית: "</w:t>
      </w:r>
      <w:r w:rsidRPr="00E206AF">
        <w:rPr>
          <w:rFonts w:ascii="Century" w:hAnsi="Century" w:cs="FrankRuehl" w:hint="eastAsia"/>
          <w:spacing w:val="10"/>
          <w:sz w:val="22"/>
          <w:szCs w:val="28"/>
          <w:rtl/>
        </w:rPr>
        <w:t>עד</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שנעלה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עצמנו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פיסגת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הפירמידה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הנורמטיבית</w:t>
      </w:r>
      <w:r w:rsidRPr="00E206AF">
        <w:rPr>
          <w:rFonts w:ascii="Century" w:hAnsi="Century" w:cs="FrankRuehl"/>
          <w:spacing w:val="10"/>
          <w:sz w:val="22"/>
          <w:szCs w:val="28"/>
          <w:rtl/>
        </w:rPr>
        <w:t xml:space="preserve">, </w:t>
      </w:r>
      <w:r w:rsidRPr="00E206AF">
        <w:rPr>
          <w:rFonts w:ascii="Arial TUR" w:hAnsi="Arial TUR" w:cs="FrankRuehl" w:hint="eastAsia"/>
          <w:spacing w:val="10"/>
          <w:sz w:val="22"/>
          <w:szCs w:val="28"/>
          <w:rtl/>
        </w:rPr>
        <w:t>הבו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נבחן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השאלה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המועלית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לפנינו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בכלים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יום</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יום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כפי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שעשינו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קודם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היות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חוקי</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היסוד</w:t>
      </w:r>
      <w:r w:rsidRPr="00E206AF">
        <w:rPr>
          <w:rFonts w:ascii="Century" w:hAnsi="Century" w:cs="FrankRuehl"/>
          <w:spacing w:val="10"/>
          <w:sz w:val="22"/>
          <w:szCs w:val="28"/>
          <w:rtl/>
        </w:rPr>
        <w:t xml:space="preserve">. </w:t>
      </w:r>
      <w:r w:rsidRPr="00E206AF">
        <w:rPr>
          <w:rFonts w:ascii="Century" w:hAnsi="Century" w:cs="Miriam" w:hint="eastAsia"/>
          <w:b/>
          <w:sz w:val="22"/>
          <w:rtl/>
        </w:rPr>
        <w:t>רק</w:t>
      </w:r>
      <w:r w:rsidRPr="00E206AF">
        <w:rPr>
          <w:rFonts w:ascii="Century" w:hAnsi="Century" w:cs="Miriam"/>
          <w:b/>
          <w:sz w:val="22"/>
          <w:rtl/>
        </w:rPr>
        <w:t xml:space="preserve"> </w:t>
      </w:r>
      <w:r w:rsidRPr="00E206AF">
        <w:rPr>
          <w:rFonts w:ascii="Century" w:hAnsi="Century" w:cs="Miriam" w:hint="eastAsia"/>
          <w:b/>
          <w:sz w:val="22"/>
          <w:rtl/>
        </w:rPr>
        <w:t>אם</w:t>
      </w:r>
      <w:r w:rsidRPr="00E206AF">
        <w:rPr>
          <w:rFonts w:ascii="Century" w:hAnsi="Century" w:cs="Miriam"/>
          <w:b/>
          <w:sz w:val="22"/>
          <w:rtl/>
        </w:rPr>
        <w:t xml:space="preserve"> </w:t>
      </w:r>
      <w:r w:rsidRPr="00E206AF">
        <w:rPr>
          <w:rFonts w:ascii="Century" w:hAnsi="Century" w:cs="Miriam" w:hint="eastAsia"/>
          <w:b/>
          <w:sz w:val="22"/>
          <w:rtl/>
        </w:rPr>
        <w:t>ניכשל</w:t>
      </w:r>
      <w:r w:rsidRPr="00E206AF">
        <w:rPr>
          <w:rFonts w:ascii="Century" w:hAnsi="Century" w:cs="Miriam"/>
          <w:b/>
          <w:sz w:val="22"/>
          <w:rtl/>
        </w:rPr>
        <w:t xml:space="preserve"> </w:t>
      </w:r>
      <w:r w:rsidRPr="00E206AF">
        <w:rPr>
          <w:rFonts w:ascii="Century" w:hAnsi="Century" w:cs="Miriam" w:hint="eastAsia"/>
          <w:b/>
          <w:sz w:val="22"/>
          <w:rtl/>
        </w:rPr>
        <w:t>וניפול</w:t>
      </w:r>
      <w:r w:rsidRPr="00E206AF">
        <w:rPr>
          <w:rFonts w:ascii="Century" w:hAnsi="Century" w:cs="Miriam"/>
          <w:b/>
          <w:sz w:val="22"/>
          <w:rtl/>
        </w:rPr>
        <w:t xml:space="preserve"> </w:t>
      </w:r>
      <w:r w:rsidRPr="00E206AF">
        <w:rPr>
          <w:rFonts w:ascii="Century" w:hAnsi="Century" w:cs="Miriam" w:hint="eastAsia"/>
          <w:b/>
          <w:sz w:val="22"/>
          <w:rtl/>
        </w:rPr>
        <w:t>במשימתנו</w:t>
      </w:r>
      <w:r w:rsidRPr="00E206AF">
        <w:rPr>
          <w:rFonts w:ascii="Century" w:hAnsi="Century" w:cs="Miriam"/>
          <w:b/>
          <w:sz w:val="22"/>
          <w:rtl/>
        </w:rPr>
        <w:t xml:space="preserve"> </w:t>
      </w:r>
      <w:r w:rsidRPr="00E206AF">
        <w:rPr>
          <w:rFonts w:ascii="Century" w:hAnsi="Century" w:cs="Miriam" w:hint="eastAsia"/>
          <w:b/>
          <w:sz w:val="22"/>
          <w:rtl/>
        </w:rPr>
        <w:t>זו</w:t>
      </w:r>
      <w:r w:rsidRPr="00E206AF">
        <w:rPr>
          <w:rFonts w:ascii="Century" w:hAnsi="Century" w:cs="Miriam"/>
          <w:b/>
          <w:sz w:val="22"/>
          <w:rtl/>
        </w:rPr>
        <w:t xml:space="preserve">, </w:t>
      </w:r>
      <w:r w:rsidRPr="00E206AF">
        <w:rPr>
          <w:rFonts w:ascii="Century" w:hAnsi="Century" w:cs="Miriam" w:hint="eastAsia"/>
          <w:b/>
          <w:sz w:val="22"/>
          <w:rtl/>
        </w:rPr>
        <w:t>נצייד</w:t>
      </w:r>
      <w:r w:rsidRPr="00E206AF">
        <w:rPr>
          <w:rFonts w:ascii="Century" w:hAnsi="Century" w:cs="Miriam"/>
          <w:b/>
          <w:sz w:val="22"/>
          <w:rtl/>
        </w:rPr>
        <w:t xml:space="preserve"> </w:t>
      </w:r>
      <w:r w:rsidRPr="00E206AF">
        <w:rPr>
          <w:rFonts w:ascii="Century" w:hAnsi="Century" w:cs="Miriam" w:hint="eastAsia"/>
          <w:b/>
          <w:sz w:val="22"/>
          <w:rtl/>
        </w:rPr>
        <w:t>עצמנו</w:t>
      </w:r>
      <w:r w:rsidRPr="00E206AF">
        <w:rPr>
          <w:rFonts w:ascii="Century" w:hAnsi="Century" w:cs="Miriam"/>
          <w:b/>
          <w:sz w:val="22"/>
          <w:rtl/>
        </w:rPr>
        <w:t xml:space="preserve"> </w:t>
      </w:r>
      <w:r w:rsidRPr="00E206AF">
        <w:rPr>
          <w:rFonts w:ascii="Century" w:hAnsi="Century" w:cs="Miriam" w:hint="eastAsia"/>
          <w:b/>
          <w:sz w:val="22"/>
          <w:rtl/>
        </w:rPr>
        <w:t>בכלים</w:t>
      </w:r>
      <w:r w:rsidRPr="00E206AF">
        <w:rPr>
          <w:rFonts w:ascii="Century" w:hAnsi="Century" w:cs="Miriam"/>
          <w:b/>
          <w:sz w:val="22"/>
          <w:rtl/>
        </w:rPr>
        <w:t xml:space="preserve"> </w:t>
      </w:r>
      <w:r w:rsidRPr="00E206AF">
        <w:rPr>
          <w:rFonts w:ascii="Century" w:hAnsi="Century" w:cs="Miriam" w:hint="eastAsia"/>
          <w:b/>
          <w:sz w:val="22"/>
          <w:rtl/>
        </w:rPr>
        <w:t>למלחמה</w:t>
      </w:r>
      <w:r w:rsidRPr="00E206AF">
        <w:rPr>
          <w:rFonts w:ascii="Century" w:hAnsi="Century" w:cs="Miriam"/>
          <w:b/>
          <w:sz w:val="22"/>
          <w:rtl/>
        </w:rPr>
        <w:t xml:space="preserve"> </w:t>
      </w:r>
      <w:r w:rsidRPr="00E206AF">
        <w:rPr>
          <w:rFonts w:ascii="Century" w:hAnsi="Century" w:cs="Miriam" w:hint="eastAsia"/>
          <w:b/>
          <w:sz w:val="22"/>
          <w:rtl/>
        </w:rPr>
        <w:t>בנפילים</w:t>
      </w:r>
      <w:r w:rsidRPr="00E206AF">
        <w:rPr>
          <w:rFonts w:ascii="Century" w:hAnsi="Century" w:cs="FrankRuehl" w:hint="cs"/>
          <w:spacing w:val="10"/>
          <w:sz w:val="22"/>
          <w:szCs w:val="28"/>
          <w:rtl/>
        </w:rPr>
        <w:t>"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5503/94 </w:t>
      </w:r>
      <w:r w:rsidRPr="00E206AF">
        <w:rPr>
          <w:rFonts w:ascii="Century" w:hAnsi="Century" w:cs="Miriam" w:hint="eastAsia"/>
          <w:b/>
          <w:sz w:val="22"/>
          <w:rtl/>
        </w:rPr>
        <w:t>סגל</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יושב</w:t>
      </w:r>
      <w:r w:rsidRPr="00E206AF">
        <w:rPr>
          <w:rFonts w:ascii="Century" w:hAnsi="Century" w:cs="Miriam"/>
          <w:b/>
          <w:sz w:val="22"/>
          <w:rtl/>
        </w:rPr>
        <w:t>-</w:t>
      </w:r>
      <w:r w:rsidRPr="00E206AF">
        <w:rPr>
          <w:rFonts w:ascii="Century" w:hAnsi="Century" w:cs="Miriam" w:hint="eastAsia"/>
          <w:b/>
          <w:sz w:val="22"/>
          <w:rtl/>
        </w:rPr>
        <w:t>ראש</w:t>
      </w:r>
      <w:r w:rsidRPr="00E206AF">
        <w:rPr>
          <w:rFonts w:ascii="Century" w:hAnsi="Century" w:cs="Miriam"/>
          <w:b/>
          <w:sz w:val="22"/>
          <w:rtl/>
        </w:rPr>
        <w:t xml:space="preserve"> </w:t>
      </w:r>
      <w:r w:rsidRPr="00E206AF">
        <w:rPr>
          <w:rFonts w:ascii="Century" w:hAnsi="Century" w:cs="Miriam" w:hint="eastAsia"/>
          <w:b/>
          <w:sz w:val="22"/>
          <w:rtl/>
        </w:rPr>
        <w:t>הכנסת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נא</w:t>
      </w:r>
      <w:r w:rsidRPr="00E206AF">
        <w:rPr>
          <w:rFonts w:ascii="Century" w:hAnsi="Century" w:cs="FrankRuehl"/>
          <w:spacing w:val="10"/>
          <w:sz w:val="22"/>
          <w:szCs w:val="28"/>
          <w:rtl/>
        </w:rPr>
        <w:t>(4) 529</w:t>
      </w:r>
      <w:r w:rsidRPr="00E206AF">
        <w:rPr>
          <w:rFonts w:ascii="Century" w:hAnsi="Century" w:cs="FrankRuehl" w:hint="cs"/>
          <w:spacing w:val="10"/>
          <w:sz w:val="22"/>
          <w:szCs w:val="28"/>
          <w:rtl/>
        </w:rPr>
        <w:t xml:space="preserve">, </w:t>
      </w:r>
      <w:r w:rsidRPr="00E206AF">
        <w:rPr>
          <w:rFonts w:ascii="Century" w:hAnsi="Century" w:cs="FrankRuehl" w:hint="cs"/>
          <w:spacing w:val="10"/>
          <w:sz w:val="22"/>
          <w:szCs w:val="28"/>
          <w:rtl/>
        </w:rPr>
        <w:lastRenderedPageBreak/>
        <w:t xml:space="preserve">פס' 4 לפסק דינו </w:t>
      </w:r>
      <w:r w:rsidRPr="00E206AF">
        <w:rPr>
          <w:rFonts w:ascii="Century" w:hAnsi="Century" w:cs="FrankRuehl"/>
          <w:spacing w:val="10"/>
          <w:sz w:val="22"/>
          <w:szCs w:val="28"/>
          <w:rtl/>
        </w:rPr>
        <w:t>(1997)</w:t>
      </w:r>
      <w:r w:rsidRPr="00E206AF">
        <w:rPr>
          <w:rFonts w:ascii="Century" w:hAnsi="Century" w:cs="FrankRuehl" w:hint="cs"/>
          <w:spacing w:val="10"/>
          <w:sz w:val="22"/>
          <w:szCs w:val="28"/>
          <w:rtl/>
        </w:rPr>
        <w:t xml:space="preserve">. עוד ראו: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5113/12 </w:t>
      </w:r>
      <w:r w:rsidRPr="00E206AF">
        <w:rPr>
          <w:rFonts w:ascii="Century" w:hAnsi="Century" w:cs="Miriam" w:hint="eastAsia"/>
          <w:b/>
          <w:sz w:val="22"/>
          <w:rtl/>
        </w:rPr>
        <w:t>פרידמן</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כנסת</w:t>
      </w:r>
      <w:r w:rsidRPr="00E206AF">
        <w:rPr>
          <w:rFonts w:ascii="Century" w:hAnsi="Century" w:cs="Miriam"/>
          <w:b/>
          <w:sz w:val="22"/>
          <w:rtl/>
        </w:rPr>
        <w:t xml:space="preserve"> </w:t>
      </w:r>
      <w:r w:rsidRPr="00E206AF">
        <w:rPr>
          <w:rFonts w:ascii="Century" w:hAnsi="Century" w:cs="Miriam" w:hint="eastAsia"/>
          <w:b/>
          <w:sz w:val="22"/>
          <w:rtl/>
        </w:rPr>
        <w:t>ישראל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פס</w:t>
      </w:r>
      <w:r w:rsidRPr="00E206AF">
        <w:rPr>
          <w:rFonts w:ascii="Century" w:hAnsi="Century" w:cs="FrankRuehl"/>
          <w:spacing w:val="10"/>
          <w:sz w:val="22"/>
          <w:szCs w:val="28"/>
          <w:rtl/>
        </w:rPr>
        <w:t xml:space="preserve">' 5 </w:t>
      </w:r>
      <w:r w:rsidRPr="00E206AF">
        <w:rPr>
          <w:rFonts w:ascii="Century" w:hAnsi="Century" w:cs="FrankRuehl" w:hint="eastAsia"/>
          <w:spacing w:val="10"/>
          <w:sz w:val="22"/>
          <w:szCs w:val="28"/>
          <w:rtl/>
        </w:rPr>
        <w:t>לפסק</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דינה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השופטת</w:t>
      </w:r>
      <w:r w:rsidRPr="00E206AF">
        <w:rPr>
          <w:rFonts w:ascii="Century" w:hAnsi="Century" w:cs="FrankRuehl"/>
          <w:spacing w:val="10"/>
          <w:sz w:val="22"/>
          <w:szCs w:val="28"/>
          <w:rtl/>
        </w:rPr>
        <w:t xml:space="preserve"> </w:t>
      </w:r>
      <w:r w:rsidRPr="00E206AF">
        <w:rPr>
          <w:rFonts w:ascii="Century" w:hAnsi="Century" w:cs="Miriam" w:hint="eastAsia"/>
          <w:b/>
          <w:sz w:val="22"/>
          <w:rtl/>
        </w:rPr>
        <w:t>ארבל</w:t>
      </w:r>
      <w:r w:rsidRPr="00E206AF">
        <w:rPr>
          <w:rFonts w:ascii="Century" w:hAnsi="Century" w:cs="FrankRuehl"/>
          <w:spacing w:val="10"/>
          <w:sz w:val="22"/>
          <w:szCs w:val="28"/>
          <w:rtl/>
        </w:rPr>
        <w:t xml:space="preserve"> (7.8.2012</w:t>
      </w:r>
      <w:r w:rsidRPr="00E206AF">
        <w:rPr>
          <w:rFonts w:ascii="Century" w:hAnsi="Century" w:cs="FrankRuehl" w:hint="cs"/>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עוד בהקשר זה</w:t>
      </w:r>
      <w:r>
        <w:rPr>
          <w:rFonts w:ascii="Century" w:hAnsi="Century" w:cs="FrankRuehl" w:hint="cs"/>
          <w:spacing w:val="10"/>
          <w:sz w:val="22"/>
          <w:szCs w:val="28"/>
          <w:rtl/>
        </w:rPr>
        <w:t xml:space="preserve">, </w:t>
      </w:r>
      <w:r w:rsidRPr="00E206AF">
        <w:rPr>
          <w:rFonts w:ascii="Century" w:hAnsi="Century" w:cs="FrankRuehl" w:hint="cs"/>
          <w:spacing w:val="10"/>
          <w:sz w:val="22"/>
          <w:szCs w:val="28"/>
          <w:rtl/>
        </w:rPr>
        <w:t>קבע</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השופט</w:t>
      </w:r>
      <w:r w:rsidRPr="00E206AF">
        <w:rPr>
          <w:rFonts w:ascii="Century" w:hAnsi="Century" w:cs="FrankRuehl" w:hint="cs"/>
          <w:spacing w:val="10"/>
          <w:sz w:val="22"/>
          <w:szCs w:val="28"/>
          <w:rtl/>
        </w:rPr>
        <w:t xml:space="preserve"> </w:t>
      </w:r>
      <w:r w:rsidRPr="00E206AF">
        <w:rPr>
          <w:rFonts w:ascii="Century" w:hAnsi="Century" w:cs="Miriam" w:hint="cs"/>
          <w:b/>
          <w:sz w:val="22"/>
          <w:rtl/>
        </w:rPr>
        <w:t>חשין</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Pr>
      </w:pPr>
      <w:r w:rsidRPr="00E206AF">
        <w:rPr>
          <w:rFonts w:ascii="Arial TUR" w:hAnsi="Arial TUR" w:cs="FrankRuehl"/>
          <w:spacing w:val="10"/>
          <w:sz w:val="22"/>
          <w:szCs w:val="28"/>
          <w:rtl/>
        </w:rPr>
        <w:t>"</w:t>
      </w:r>
      <w:r w:rsidRPr="00E206AF">
        <w:rPr>
          <w:rFonts w:ascii="Century" w:hAnsi="Century" w:cs="FrankRuehl" w:hint="eastAsia"/>
          <w:spacing w:val="10"/>
          <w:sz w:val="22"/>
          <w:szCs w:val="28"/>
          <w:rtl/>
        </w:rPr>
        <w:t>כפי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שלמדנו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ושנינו</w:t>
      </w:r>
      <w:r w:rsidRPr="00E206AF">
        <w:rPr>
          <w:rFonts w:ascii="Century" w:hAnsi="Century" w:cs="FrankRuehl"/>
          <w:spacing w:val="10"/>
          <w:sz w:val="22"/>
          <w:szCs w:val="28"/>
          <w:rtl/>
        </w:rPr>
        <w:t xml:space="preserve">, </w:t>
      </w:r>
      <w:r w:rsidRPr="00E206AF">
        <w:rPr>
          <w:rFonts w:ascii="Century" w:hAnsi="Century" w:cs="Miriam" w:hint="eastAsia"/>
          <w:b/>
          <w:sz w:val="22"/>
          <w:rtl/>
        </w:rPr>
        <w:t>עד</w:t>
      </w:r>
      <w:r w:rsidRPr="00E206AF">
        <w:rPr>
          <w:rFonts w:ascii="Century" w:hAnsi="Century" w:cs="Miriam"/>
          <w:b/>
          <w:sz w:val="22"/>
          <w:rtl/>
        </w:rPr>
        <w:t xml:space="preserve"> </w:t>
      </w:r>
      <w:r w:rsidRPr="00E206AF">
        <w:rPr>
          <w:rFonts w:ascii="Century" w:hAnsi="Century" w:cs="Miriam" w:hint="eastAsia"/>
          <w:b/>
          <w:sz w:val="22"/>
          <w:rtl/>
        </w:rPr>
        <w:t>שנידרש</w:t>
      </w:r>
      <w:r w:rsidRPr="00E206AF">
        <w:rPr>
          <w:rFonts w:ascii="Century" w:hAnsi="Century" w:cs="Miriam"/>
          <w:b/>
          <w:sz w:val="22"/>
          <w:rtl/>
        </w:rPr>
        <w:t xml:space="preserve"> </w:t>
      </w:r>
      <w:r w:rsidRPr="00E206AF">
        <w:rPr>
          <w:rFonts w:ascii="Century" w:hAnsi="Century" w:cs="Miriam" w:hint="eastAsia"/>
          <w:b/>
          <w:sz w:val="22"/>
          <w:rtl/>
        </w:rPr>
        <w:t>לטענת</w:t>
      </w:r>
      <w:r w:rsidRPr="00E206AF">
        <w:rPr>
          <w:rFonts w:ascii="Century" w:hAnsi="Century" w:cs="Miriam"/>
          <w:b/>
          <w:sz w:val="22"/>
          <w:rtl/>
        </w:rPr>
        <w:t xml:space="preserve"> </w:t>
      </w:r>
      <w:r w:rsidRPr="00E206AF">
        <w:rPr>
          <w:rFonts w:ascii="Century" w:hAnsi="Century" w:cs="Miriam" w:hint="eastAsia"/>
          <w:b/>
          <w:sz w:val="22"/>
          <w:rtl/>
        </w:rPr>
        <w:t>בטלותו</w:t>
      </w:r>
      <w:r w:rsidRPr="00E206AF">
        <w:rPr>
          <w:rFonts w:ascii="Century" w:hAnsi="Century" w:cs="Miriam"/>
          <w:b/>
          <w:sz w:val="22"/>
          <w:rtl/>
        </w:rPr>
        <w:t xml:space="preserve"> </w:t>
      </w:r>
      <w:r w:rsidRPr="00E206AF">
        <w:rPr>
          <w:rFonts w:ascii="Century" w:hAnsi="Century" w:cs="Miriam" w:hint="eastAsia"/>
          <w:b/>
          <w:sz w:val="22"/>
          <w:rtl/>
        </w:rPr>
        <w:t>של</w:t>
      </w:r>
      <w:r w:rsidRPr="00E206AF">
        <w:rPr>
          <w:rFonts w:ascii="Century" w:hAnsi="Century" w:cs="Miriam"/>
          <w:b/>
          <w:sz w:val="22"/>
          <w:rtl/>
        </w:rPr>
        <w:t xml:space="preserve"> </w:t>
      </w:r>
      <w:r w:rsidRPr="00E206AF">
        <w:rPr>
          <w:rFonts w:ascii="Century" w:hAnsi="Century" w:cs="Miriam" w:hint="eastAsia"/>
          <w:b/>
          <w:sz w:val="22"/>
          <w:rtl/>
        </w:rPr>
        <w:t>חוק</w:t>
      </w:r>
      <w:r w:rsidRPr="00E206AF">
        <w:rPr>
          <w:rFonts w:ascii="Century" w:hAnsi="Century" w:cs="Miriam"/>
          <w:b/>
          <w:sz w:val="22"/>
          <w:rtl/>
        </w:rPr>
        <w:t xml:space="preserve">, </w:t>
      </w:r>
      <w:r w:rsidRPr="00E206AF">
        <w:rPr>
          <w:rFonts w:ascii="Century" w:hAnsi="Century" w:cs="Miriam" w:hint="eastAsia"/>
          <w:b/>
          <w:sz w:val="22"/>
          <w:rtl/>
        </w:rPr>
        <w:t>שומה</w:t>
      </w:r>
      <w:r w:rsidRPr="00E206AF">
        <w:rPr>
          <w:rFonts w:ascii="Century" w:hAnsi="Century" w:cs="Miriam"/>
          <w:b/>
          <w:sz w:val="22"/>
          <w:rtl/>
        </w:rPr>
        <w:t xml:space="preserve"> </w:t>
      </w:r>
      <w:r w:rsidRPr="00E206AF">
        <w:rPr>
          <w:rFonts w:ascii="Century" w:hAnsi="Century" w:cs="Miriam" w:hint="eastAsia"/>
          <w:b/>
          <w:sz w:val="22"/>
          <w:rtl/>
        </w:rPr>
        <w:t>עלינו</w:t>
      </w:r>
      <w:r w:rsidRPr="00E206AF">
        <w:rPr>
          <w:rFonts w:ascii="Century" w:hAnsi="Century" w:cs="Miriam"/>
          <w:b/>
          <w:sz w:val="22"/>
          <w:rtl/>
        </w:rPr>
        <w:t xml:space="preserve">, </w:t>
      </w:r>
      <w:r w:rsidRPr="00E206AF">
        <w:rPr>
          <w:rFonts w:ascii="Century" w:hAnsi="Century" w:cs="Miriam" w:hint="eastAsia"/>
          <w:b/>
          <w:sz w:val="22"/>
          <w:rtl/>
        </w:rPr>
        <w:t>בראש</w:t>
      </w:r>
      <w:r w:rsidRPr="00E206AF">
        <w:rPr>
          <w:rFonts w:ascii="Century" w:hAnsi="Century" w:cs="Miriam"/>
          <w:b/>
          <w:sz w:val="22"/>
          <w:rtl/>
        </w:rPr>
        <w:t xml:space="preserve"> </w:t>
      </w:r>
      <w:r w:rsidRPr="00E206AF">
        <w:rPr>
          <w:rFonts w:ascii="Century" w:hAnsi="Century" w:cs="Miriam" w:hint="eastAsia"/>
          <w:b/>
          <w:sz w:val="22"/>
          <w:rtl/>
        </w:rPr>
        <w:t>וראשונה</w:t>
      </w:r>
      <w:r w:rsidRPr="00E206AF">
        <w:rPr>
          <w:rFonts w:ascii="Century" w:hAnsi="Century" w:cs="Miriam"/>
          <w:b/>
          <w:sz w:val="22"/>
          <w:rtl/>
        </w:rPr>
        <w:t xml:space="preserve">, </w:t>
      </w:r>
      <w:r w:rsidRPr="00E206AF">
        <w:rPr>
          <w:rFonts w:ascii="Century" w:hAnsi="Century" w:cs="Miriam" w:hint="eastAsia"/>
          <w:b/>
          <w:sz w:val="22"/>
          <w:rtl/>
        </w:rPr>
        <w:t>לפרש</w:t>
      </w:r>
      <w:r w:rsidRPr="00E206AF">
        <w:rPr>
          <w:rFonts w:ascii="Century" w:hAnsi="Century" w:cs="Miriam"/>
          <w:b/>
          <w:sz w:val="22"/>
          <w:rtl/>
        </w:rPr>
        <w:t xml:space="preserve"> </w:t>
      </w:r>
      <w:r w:rsidRPr="00E206AF">
        <w:rPr>
          <w:rFonts w:ascii="Century" w:hAnsi="Century" w:cs="Miriam" w:hint="eastAsia"/>
          <w:b/>
          <w:sz w:val="22"/>
          <w:rtl/>
        </w:rPr>
        <w:t>את</w:t>
      </w:r>
      <w:r w:rsidRPr="00E206AF">
        <w:rPr>
          <w:rFonts w:ascii="Century" w:hAnsi="Century" w:cs="Miriam"/>
          <w:b/>
          <w:sz w:val="22"/>
          <w:rtl/>
        </w:rPr>
        <w:t xml:space="preserve"> </w:t>
      </w:r>
      <w:r w:rsidRPr="00E206AF">
        <w:rPr>
          <w:rFonts w:ascii="Century" w:hAnsi="Century" w:cs="Miriam" w:hint="eastAsia"/>
          <w:b/>
          <w:sz w:val="22"/>
          <w:rtl/>
        </w:rPr>
        <w:t>החוק</w:t>
      </w:r>
      <w:r w:rsidRPr="00E206AF">
        <w:rPr>
          <w:rFonts w:ascii="Century" w:hAnsi="Century" w:cs="Miriam"/>
          <w:b/>
          <w:sz w:val="22"/>
          <w:rtl/>
        </w:rPr>
        <w:t xml:space="preserve"> </w:t>
      </w:r>
      <w:r w:rsidRPr="00E206AF">
        <w:rPr>
          <w:rFonts w:ascii="Century" w:hAnsi="Century" w:cs="Miriam" w:hint="eastAsia"/>
          <w:b/>
          <w:sz w:val="22"/>
          <w:rtl/>
        </w:rPr>
        <w:t>כלשונו</w:t>
      </w:r>
      <w:r w:rsidRPr="00E206AF">
        <w:rPr>
          <w:rFonts w:ascii="Century" w:hAnsi="Century" w:cs="Miriam"/>
          <w:b/>
          <w:sz w:val="22"/>
          <w:rtl/>
        </w:rPr>
        <w:t xml:space="preserve"> </w:t>
      </w:r>
      <w:r w:rsidRPr="00E206AF">
        <w:rPr>
          <w:rFonts w:ascii="Century" w:hAnsi="Century" w:cs="Miriam" w:hint="eastAsia"/>
          <w:b/>
          <w:sz w:val="22"/>
          <w:rtl/>
        </w:rPr>
        <w:t>וכתכליתו</w:t>
      </w:r>
      <w:r w:rsidRPr="00E206AF">
        <w:rPr>
          <w:rFonts w:ascii="Century" w:hAnsi="Century" w:cs="Miriam"/>
          <w:b/>
          <w:sz w:val="22"/>
          <w:rtl/>
        </w:rPr>
        <w:t xml:space="preserve">; </w:t>
      </w:r>
      <w:r w:rsidRPr="00E206AF">
        <w:rPr>
          <w:rFonts w:ascii="Century" w:hAnsi="Century" w:cs="Miriam" w:hint="eastAsia"/>
          <w:b/>
          <w:sz w:val="22"/>
          <w:rtl/>
        </w:rPr>
        <w:t>להוסיף</w:t>
      </w:r>
      <w:r w:rsidRPr="00E206AF">
        <w:rPr>
          <w:rFonts w:ascii="Century" w:hAnsi="Century" w:cs="Miriam"/>
          <w:b/>
          <w:sz w:val="22"/>
          <w:rtl/>
        </w:rPr>
        <w:t xml:space="preserve"> </w:t>
      </w:r>
      <w:r w:rsidRPr="00E206AF">
        <w:rPr>
          <w:rFonts w:ascii="Century" w:hAnsi="Century" w:cs="Miriam" w:hint="eastAsia"/>
          <w:b/>
          <w:sz w:val="22"/>
          <w:rtl/>
        </w:rPr>
        <w:t>ולקבוע</w:t>
      </w:r>
      <w:r w:rsidRPr="00E206AF">
        <w:rPr>
          <w:rFonts w:ascii="Century" w:hAnsi="Century" w:cs="Miriam"/>
          <w:b/>
          <w:sz w:val="22"/>
          <w:rtl/>
        </w:rPr>
        <w:t xml:space="preserve"> </w:t>
      </w:r>
      <w:r w:rsidRPr="00E206AF">
        <w:rPr>
          <w:rFonts w:ascii="Century" w:hAnsi="Century" w:cs="Miriam" w:hint="eastAsia"/>
          <w:b/>
          <w:sz w:val="22"/>
          <w:rtl/>
        </w:rPr>
        <w:t>את</w:t>
      </w:r>
      <w:r w:rsidRPr="00E206AF">
        <w:rPr>
          <w:rFonts w:ascii="Century" w:hAnsi="Century" w:cs="Miriam"/>
          <w:b/>
          <w:sz w:val="22"/>
          <w:rtl/>
        </w:rPr>
        <w:t xml:space="preserve"> </w:t>
      </w:r>
      <w:r w:rsidRPr="00E206AF">
        <w:rPr>
          <w:rFonts w:ascii="Century" w:hAnsi="Century" w:cs="Miriam" w:hint="eastAsia"/>
          <w:b/>
          <w:sz w:val="22"/>
          <w:rtl/>
        </w:rPr>
        <w:t>תחומי</w:t>
      </w:r>
      <w:r w:rsidRPr="00E206AF">
        <w:rPr>
          <w:rFonts w:ascii="Century" w:hAnsi="Century" w:cs="Miriam"/>
          <w:b/>
          <w:sz w:val="22"/>
          <w:rtl/>
        </w:rPr>
        <w:t xml:space="preserve"> </w:t>
      </w:r>
      <w:r w:rsidRPr="00E206AF">
        <w:rPr>
          <w:rFonts w:ascii="Century" w:hAnsi="Century" w:cs="Miriam" w:hint="eastAsia"/>
          <w:b/>
          <w:sz w:val="22"/>
          <w:rtl/>
        </w:rPr>
        <w:t>פרישתו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ואגב</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פרשנות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זו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הוטל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עלינו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הנטל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לעשות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כמיטבנו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ולנסות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להשלים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בין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הוראות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החוק</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לבין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הוראות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חוק</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היסוד</w:t>
      </w:r>
      <w:r w:rsidRPr="00E206AF">
        <w:rPr>
          <w:rFonts w:ascii="Century" w:hAnsi="Century" w:cs="FrankRuehl"/>
          <w:spacing w:val="10"/>
          <w:sz w:val="22"/>
          <w:szCs w:val="28"/>
          <w:rtl/>
        </w:rPr>
        <w:t xml:space="preserve">" </w:t>
      </w:r>
      <w:r w:rsidRPr="00E206AF">
        <w:rPr>
          <w:rFonts w:ascii="Arial TUR" w:hAnsi="Arial TUR" w:cs="FrankRuehl" w:hint="cs"/>
          <w:spacing w:val="10"/>
          <w:sz w:val="22"/>
          <w:szCs w:val="28"/>
          <w:rtl/>
        </w:rPr>
        <w:t>(</w:t>
      </w:r>
      <w:r w:rsidRPr="00E206AF">
        <w:rPr>
          <w:rFonts w:ascii="Arial TUR" w:hAnsi="Arial TUR" w:cs="FrankRuehl" w:hint="eastAsia"/>
          <w:spacing w:val="10"/>
          <w:sz w:val="22"/>
          <w:szCs w:val="28"/>
          <w:rtl/>
        </w:rPr>
        <w:t>בג</w:t>
      </w:r>
      <w:r w:rsidRPr="00E206AF">
        <w:rPr>
          <w:rFonts w:ascii="Arial TUR" w:hAnsi="Arial TUR" w:cs="FrankRuehl"/>
          <w:spacing w:val="10"/>
          <w:sz w:val="22"/>
          <w:szCs w:val="28"/>
          <w:rtl/>
        </w:rPr>
        <w:t>"</w:t>
      </w:r>
      <w:r w:rsidRPr="00E206AF">
        <w:rPr>
          <w:rFonts w:ascii="Arial TUR" w:hAnsi="Arial TUR" w:cs="FrankRuehl" w:hint="eastAsia"/>
          <w:spacing w:val="10"/>
          <w:sz w:val="22"/>
          <w:szCs w:val="28"/>
          <w:rtl/>
        </w:rPr>
        <w:t>ץ</w:t>
      </w:r>
      <w:r w:rsidRPr="00E206AF">
        <w:rPr>
          <w:rFonts w:ascii="Arial TUR" w:hAnsi="Arial TUR" w:cs="FrankRuehl"/>
          <w:spacing w:val="10"/>
          <w:sz w:val="22"/>
          <w:szCs w:val="28"/>
          <w:rtl/>
        </w:rPr>
        <w:t xml:space="preserve"> 9098/01 </w:t>
      </w:r>
      <w:r w:rsidRPr="00E206AF">
        <w:rPr>
          <w:rFonts w:ascii="Century" w:hAnsi="Century" w:cs="Miriam" w:hint="eastAsia"/>
          <w:b/>
          <w:sz w:val="22"/>
          <w:rtl/>
        </w:rPr>
        <w:t>גניס</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משרד</w:t>
      </w:r>
      <w:r w:rsidRPr="00E206AF">
        <w:rPr>
          <w:rFonts w:ascii="Century" w:hAnsi="Century" w:cs="Miriam"/>
          <w:b/>
          <w:sz w:val="22"/>
          <w:rtl/>
        </w:rPr>
        <w:t xml:space="preserve"> </w:t>
      </w:r>
      <w:r w:rsidRPr="00E206AF">
        <w:rPr>
          <w:rFonts w:ascii="Century" w:hAnsi="Century" w:cs="Miriam" w:hint="eastAsia"/>
          <w:b/>
          <w:sz w:val="22"/>
          <w:rtl/>
        </w:rPr>
        <w:t>הבינוי</w:t>
      </w:r>
      <w:r w:rsidRPr="00E206AF">
        <w:rPr>
          <w:rFonts w:ascii="Century" w:hAnsi="Century" w:cs="Miriam"/>
          <w:b/>
          <w:sz w:val="22"/>
          <w:rtl/>
        </w:rPr>
        <w:t xml:space="preserve"> </w:t>
      </w:r>
      <w:r w:rsidRPr="00E206AF">
        <w:rPr>
          <w:rFonts w:ascii="Century" w:hAnsi="Century" w:cs="Miriam" w:hint="eastAsia"/>
          <w:b/>
          <w:sz w:val="22"/>
          <w:rtl/>
        </w:rPr>
        <w:t>והשיכון</w:t>
      </w:r>
      <w:r w:rsidRPr="00E206AF">
        <w:rPr>
          <w:rFonts w:ascii="Arial TUR" w:hAnsi="Arial TUR" w:cs="FrankRuehl" w:hint="cs"/>
          <w:spacing w:val="10"/>
          <w:sz w:val="22"/>
          <w:szCs w:val="28"/>
          <w:rtl/>
        </w:rPr>
        <w:t>, פס' 15 לפסק דינו</w:t>
      </w:r>
      <w:r w:rsidRPr="00E206AF">
        <w:rPr>
          <w:rFonts w:ascii="Arial TUR" w:hAnsi="Arial TUR" w:cs="FrankRuehl"/>
          <w:spacing w:val="10"/>
          <w:sz w:val="22"/>
          <w:szCs w:val="28"/>
          <w:rtl/>
        </w:rPr>
        <w:t xml:space="preserve"> (22.11.2004)</w:t>
      </w:r>
      <w:r w:rsidRPr="00E206AF">
        <w:rPr>
          <w:rFonts w:ascii="Arial TUR" w:hAnsi="Arial TUR" w:cs="FrankRuehl" w:hint="cs"/>
          <w:spacing w:val="10"/>
          <w:sz w:val="22"/>
          <w:szCs w:val="28"/>
          <w:rtl/>
        </w:rPr>
        <w:t>).</w:t>
      </w:r>
    </w:p>
    <w:p w:rsidR="00E32081" w:rsidRPr="00E206AF" w:rsidRDefault="00E32081" w:rsidP="00E32081">
      <w:pPr>
        <w:ind w:left="1644" w:right="1276"/>
        <w:jc w:val="both"/>
        <w:rPr>
          <w:rFonts w:ascii="Arial TUR" w:hAnsi="Arial TUR" w:cs="FrankRuehl"/>
          <w:b/>
          <w:spacing w:val="10"/>
          <w:sz w:val="22"/>
          <w:szCs w:val="28"/>
          <w:rtl/>
        </w:rPr>
      </w:pPr>
    </w:p>
    <w:p w:rsidR="00E32081"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מסלול זה של פרשנות מקיימת, אשר הינו "הפתרון המועדף ליישוב קשיים חוקתיים", יסודו בחזקת החוקיות, אשר בגדרה "בית המשפט מפעיל ביקורת שיפוטית, צרה בהיקפה על חקיקת הכנסת, ובוחן במסגרתה לא </w:t>
      </w:r>
      <w:r w:rsidRPr="00E206AF">
        <w:rPr>
          <w:rFonts w:ascii="Century" w:hAnsi="Century" w:cs="FrankRuehl" w:hint="eastAsia"/>
          <w:spacing w:val="10"/>
          <w:sz w:val="22"/>
          <w:szCs w:val="28"/>
          <w:rtl/>
        </w:rPr>
        <w:t>את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תבונתה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החקיקה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אלא</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חוקתיותה</w:t>
      </w:r>
      <w:r w:rsidRPr="00E206AF">
        <w:rPr>
          <w:rFonts w:ascii="Century" w:hAnsi="Century" w:cs="FrankRuehl" w:hint="cs"/>
          <w:spacing w:val="10"/>
          <w:sz w:val="22"/>
          <w:szCs w:val="28"/>
          <w:rtl/>
        </w:rPr>
        <w:t>"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6304/09 </w:t>
      </w:r>
      <w:r w:rsidRPr="00E206AF">
        <w:rPr>
          <w:rFonts w:ascii="Century" w:hAnsi="Century" w:cs="Miriam" w:hint="eastAsia"/>
          <w:b/>
          <w:sz w:val="22"/>
          <w:rtl/>
        </w:rPr>
        <w:t>לה</w:t>
      </w:r>
      <w:r w:rsidRPr="00E206AF">
        <w:rPr>
          <w:rFonts w:ascii="Century" w:hAnsi="Century" w:cs="Miriam"/>
          <w:b/>
          <w:sz w:val="22"/>
          <w:rtl/>
        </w:rPr>
        <w:t>"</w:t>
      </w:r>
      <w:r w:rsidRPr="00E206AF">
        <w:rPr>
          <w:rFonts w:ascii="Century" w:hAnsi="Century" w:cs="Miriam" w:hint="eastAsia"/>
          <w:b/>
          <w:sz w:val="22"/>
          <w:rtl/>
        </w:rPr>
        <w:t>ב</w:t>
      </w:r>
      <w:r w:rsidRPr="00E206AF">
        <w:rPr>
          <w:rFonts w:ascii="Century" w:hAnsi="Century" w:cs="Miriam"/>
          <w:b/>
          <w:sz w:val="22"/>
          <w:rtl/>
        </w:rPr>
        <w:t xml:space="preserve"> – </w:t>
      </w:r>
      <w:r w:rsidRPr="00E206AF">
        <w:rPr>
          <w:rFonts w:ascii="Century" w:hAnsi="Century" w:cs="Miriam" w:hint="eastAsia"/>
          <w:b/>
          <w:sz w:val="22"/>
          <w:rtl/>
        </w:rPr>
        <w:t>לשכת</w:t>
      </w:r>
      <w:r w:rsidRPr="00E206AF">
        <w:rPr>
          <w:rFonts w:ascii="Century" w:hAnsi="Century" w:cs="Miriam"/>
          <w:b/>
          <w:sz w:val="22"/>
          <w:rtl/>
        </w:rPr>
        <w:t xml:space="preserve"> </w:t>
      </w:r>
      <w:r w:rsidRPr="00E206AF">
        <w:rPr>
          <w:rFonts w:ascii="Century" w:hAnsi="Century" w:cs="Miriam" w:hint="eastAsia"/>
          <w:b/>
          <w:sz w:val="22"/>
          <w:rtl/>
        </w:rPr>
        <w:t>ארגוני</w:t>
      </w:r>
      <w:r w:rsidRPr="00E206AF">
        <w:rPr>
          <w:rFonts w:ascii="Century" w:hAnsi="Century" w:cs="Miriam"/>
          <w:b/>
          <w:sz w:val="22"/>
          <w:rtl/>
        </w:rPr>
        <w:t xml:space="preserve"> </w:t>
      </w:r>
      <w:r w:rsidRPr="00E206AF">
        <w:rPr>
          <w:rFonts w:ascii="Century" w:hAnsi="Century" w:cs="Miriam" w:hint="eastAsia"/>
          <w:b/>
          <w:sz w:val="22"/>
          <w:rtl/>
        </w:rPr>
        <w:t>העצמאים</w:t>
      </w:r>
      <w:r w:rsidRPr="00E206AF">
        <w:rPr>
          <w:rFonts w:ascii="Century" w:hAnsi="Century" w:cs="Miriam"/>
          <w:b/>
          <w:sz w:val="22"/>
          <w:rtl/>
        </w:rPr>
        <w:t xml:space="preserve"> </w:t>
      </w:r>
      <w:r w:rsidRPr="00E206AF">
        <w:rPr>
          <w:rFonts w:ascii="Century" w:hAnsi="Century" w:cs="Miriam" w:hint="eastAsia"/>
          <w:b/>
          <w:sz w:val="22"/>
          <w:rtl/>
        </w:rPr>
        <w:t>והעסקים</w:t>
      </w:r>
      <w:r w:rsidRPr="00E206AF">
        <w:rPr>
          <w:rFonts w:ascii="Century" w:hAnsi="Century" w:cs="Miriam"/>
          <w:b/>
          <w:sz w:val="22"/>
          <w:rtl/>
        </w:rPr>
        <w:t xml:space="preserve"> </w:t>
      </w:r>
      <w:r w:rsidRPr="00E206AF">
        <w:rPr>
          <w:rFonts w:ascii="Century" w:hAnsi="Century" w:cs="Miriam" w:hint="eastAsia"/>
          <w:b/>
          <w:sz w:val="22"/>
          <w:rtl/>
        </w:rPr>
        <w:t>בישראל</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היועץ</w:t>
      </w:r>
      <w:r w:rsidRPr="00E206AF">
        <w:rPr>
          <w:rFonts w:ascii="Century" w:hAnsi="Century" w:cs="Miriam"/>
          <w:b/>
          <w:sz w:val="22"/>
          <w:rtl/>
        </w:rPr>
        <w:t xml:space="preserve"> </w:t>
      </w:r>
      <w:r w:rsidRPr="00E206AF">
        <w:rPr>
          <w:rFonts w:ascii="Century" w:hAnsi="Century" w:cs="Miriam" w:hint="eastAsia"/>
          <w:b/>
          <w:sz w:val="22"/>
          <w:rtl/>
        </w:rPr>
        <w:t>המשפטי</w:t>
      </w:r>
      <w:r w:rsidRPr="00E206AF">
        <w:rPr>
          <w:rFonts w:ascii="Century" w:hAnsi="Century" w:cs="Miriam"/>
          <w:b/>
          <w:sz w:val="22"/>
          <w:rtl/>
        </w:rPr>
        <w:t xml:space="preserve"> </w:t>
      </w:r>
      <w:r w:rsidRPr="00E206AF">
        <w:rPr>
          <w:rFonts w:ascii="Century" w:hAnsi="Century" w:cs="Miriam" w:hint="eastAsia"/>
          <w:b/>
          <w:sz w:val="22"/>
          <w:rtl/>
        </w:rPr>
        <w:t>לממשלה</w:t>
      </w:r>
      <w:r w:rsidRPr="00E206AF">
        <w:rPr>
          <w:rFonts w:ascii="Century" w:hAnsi="Century" w:cs="FrankRuehl" w:hint="cs"/>
          <w:spacing w:val="10"/>
          <w:sz w:val="22"/>
          <w:szCs w:val="28"/>
          <w:rtl/>
        </w:rPr>
        <w:t xml:space="preserve">, פס' 62 לפסק דינה של השופטת </w:t>
      </w:r>
      <w:r w:rsidRPr="00E206AF">
        <w:rPr>
          <w:rFonts w:ascii="Century" w:hAnsi="Century" w:cs="Miriam" w:hint="cs"/>
          <w:b/>
          <w:sz w:val="22"/>
          <w:rtl/>
        </w:rPr>
        <w:t>פרוקצ'יה</w:t>
      </w:r>
      <w:r w:rsidRPr="00E206AF">
        <w:rPr>
          <w:rFonts w:ascii="Century" w:hAnsi="Century" w:cs="FrankRuehl"/>
          <w:spacing w:val="10"/>
          <w:sz w:val="22"/>
          <w:szCs w:val="28"/>
          <w:rtl/>
        </w:rPr>
        <w:t xml:space="preserve"> (2.9.2010)</w:t>
      </w:r>
      <w:r w:rsidRPr="00E206AF">
        <w:rPr>
          <w:rFonts w:ascii="Century" w:hAnsi="Century" w:cs="FrankRuehl" w:hint="cs"/>
          <w:spacing w:val="10"/>
          <w:sz w:val="22"/>
          <w:szCs w:val="28"/>
          <w:rtl/>
        </w:rPr>
        <w:t xml:space="preserve">). </w:t>
      </w:r>
    </w:p>
    <w:p w:rsidR="00E32081"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Pr>
          <w:rFonts w:ascii="Century" w:hAnsi="Century" w:cs="FrankRuehl"/>
          <w:spacing w:val="10"/>
          <w:sz w:val="22"/>
          <w:szCs w:val="28"/>
          <w:rtl/>
        </w:rPr>
        <w:tab/>
      </w:r>
      <w:r w:rsidRPr="00E206AF">
        <w:rPr>
          <w:rFonts w:ascii="Century" w:hAnsi="Century" w:cs="FrankRuehl" w:hint="cs"/>
          <w:spacing w:val="10"/>
          <w:sz w:val="22"/>
          <w:szCs w:val="28"/>
          <w:rtl/>
        </w:rPr>
        <w:t xml:space="preserve">אם כן, כל עוד ניתן </w:t>
      </w:r>
      <w:r>
        <w:rPr>
          <w:rFonts w:ascii="Century" w:hAnsi="Century" w:cs="FrankRuehl" w:hint="cs"/>
          <w:spacing w:val="10"/>
          <w:sz w:val="22"/>
          <w:szCs w:val="28"/>
          <w:rtl/>
        </w:rPr>
        <w:t>להעניק</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לדבר חקיקה</w:t>
      </w:r>
      <w:r w:rsidRPr="00E206AF">
        <w:rPr>
          <w:rFonts w:ascii="Century" w:hAnsi="Century" w:cs="FrankRuehl" w:hint="cs"/>
          <w:spacing w:val="10"/>
          <w:sz w:val="22"/>
          <w:szCs w:val="28"/>
          <w:rtl/>
        </w:rPr>
        <w:t xml:space="preserve"> פרשנות אפשרית מבחינה לשונית</w:t>
      </w:r>
      <w:r>
        <w:rPr>
          <w:rFonts w:ascii="Century" w:hAnsi="Century" w:cs="FrankRuehl" w:hint="cs"/>
          <w:spacing w:val="10"/>
          <w:sz w:val="22"/>
          <w:szCs w:val="28"/>
          <w:rtl/>
        </w:rPr>
        <w:t>,</w:t>
      </w:r>
      <w:r w:rsidRPr="00E206AF">
        <w:rPr>
          <w:rFonts w:ascii="Century" w:hAnsi="Century" w:cs="FrankRuehl" w:hint="cs"/>
          <w:spacing w:val="10"/>
          <w:sz w:val="22"/>
          <w:szCs w:val="28"/>
          <w:rtl/>
        </w:rPr>
        <w:t xml:space="preserve"> אשר מתיישבת עם תכליותיו</w:t>
      </w:r>
      <w:r>
        <w:rPr>
          <w:rFonts w:ascii="Century" w:hAnsi="Century" w:cs="FrankRuehl" w:hint="cs"/>
          <w:spacing w:val="10"/>
          <w:sz w:val="22"/>
          <w:szCs w:val="28"/>
          <w:rtl/>
        </w:rPr>
        <w:t>,</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ואינה שוללת את</w:t>
      </w:r>
      <w:r w:rsidRPr="00E206AF">
        <w:rPr>
          <w:rFonts w:ascii="Century" w:hAnsi="Century" w:cs="FrankRuehl" w:hint="cs"/>
          <w:spacing w:val="10"/>
          <w:sz w:val="22"/>
          <w:szCs w:val="28"/>
          <w:rtl/>
        </w:rPr>
        <w:t xml:space="preserve"> הזהות הדמוקרטית של מדינת ישראל</w:t>
      </w:r>
      <w:r>
        <w:rPr>
          <w:rFonts w:ascii="Century" w:hAnsi="Century" w:cs="FrankRuehl" w:hint="cs"/>
          <w:spacing w:val="10"/>
          <w:sz w:val="22"/>
          <w:szCs w:val="28"/>
          <w:rtl/>
        </w:rPr>
        <w:t>, הרי</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שהדין מצווה אותנו</w:t>
      </w:r>
      <w:r w:rsidRPr="00E206AF">
        <w:rPr>
          <w:rFonts w:ascii="Century" w:hAnsi="Century" w:cs="FrankRuehl" w:hint="cs"/>
          <w:spacing w:val="10"/>
          <w:sz w:val="22"/>
          <w:szCs w:val="28"/>
          <w:rtl/>
        </w:rPr>
        <w:t xml:space="preserve"> לאמצה</w:t>
      </w:r>
      <w:r>
        <w:rPr>
          <w:rFonts w:ascii="Century" w:hAnsi="Century" w:cs="FrankRuehl" w:hint="cs"/>
          <w:spacing w:val="10"/>
          <w:sz w:val="22"/>
          <w:szCs w:val="28"/>
          <w:rtl/>
        </w:rPr>
        <w:t>, כדי</w:t>
      </w:r>
      <w:r w:rsidRPr="00E206AF">
        <w:rPr>
          <w:rFonts w:ascii="Century" w:hAnsi="Century" w:cs="FrankRuehl" w:hint="cs"/>
          <w:spacing w:val="10"/>
          <w:sz w:val="22"/>
          <w:szCs w:val="28"/>
          <w:rtl/>
        </w:rPr>
        <w:t xml:space="preserve"> להימנע מהפעלת "נשק יום הדין" </w:t>
      </w:r>
      <w:r>
        <w:rPr>
          <w:rFonts w:ascii="Century" w:hAnsi="Century" w:cs="FrankRuehl" w:hint="cs"/>
          <w:spacing w:val="10"/>
          <w:sz w:val="22"/>
          <w:szCs w:val="28"/>
          <w:rtl/>
        </w:rPr>
        <w:t>בדמות</w:t>
      </w:r>
      <w:r w:rsidRPr="00E206AF">
        <w:rPr>
          <w:rFonts w:ascii="Century" w:hAnsi="Century" w:cs="FrankRuehl" w:hint="cs"/>
          <w:spacing w:val="10"/>
          <w:sz w:val="22"/>
          <w:szCs w:val="28"/>
          <w:rtl/>
        </w:rPr>
        <w:t xml:space="preserve"> הכרזת בטלות</w:t>
      </w:r>
      <w:r>
        <w:rPr>
          <w:rFonts w:ascii="Century" w:hAnsi="Century" w:cs="FrankRuehl" w:hint="cs"/>
          <w:spacing w:val="10"/>
          <w:sz w:val="22"/>
          <w:szCs w:val="28"/>
          <w:rtl/>
        </w:rPr>
        <w:t>ו של החיקוק. עיקרון זה, אשר התבסס בפסיקתנו ביחס לחקיקה ראשית, יפה מכוח קל וחומר ביחס לחוקי יסוד, כבענייננו.</w:t>
      </w: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41.</w:t>
      </w:r>
      <w:r w:rsidRPr="00E206AF">
        <w:rPr>
          <w:rFonts w:ascii="Century" w:hAnsi="Century" w:cs="FrankRuehl" w:hint="cs"/>
          <w:spacing w:val="10"/>
          <w:sz w:val="22"/>
          <w:szCs w:val="28"/>
          <w:rtl/>
        </w:rPr>
        <w:tab/>
        <w:t>אכן, לא ניתן להפריז בחשיבות</w:t>
      </w:r>
      <w:r>
        <w:rPr>
          <w:rFonts w:ascii="Century" w:hAnsi="Century" w:cs="FrankRuehl" w:hint="cs"/>
          <w:spacing w:val="10"/>
          <w:sz w:val="22"/>
          <w:szCs w:val="28"/>
          <w:rtl/>
        </w:rPr>
        <w:t>ו של עיקרון</w:t>
      </w:r>
      <w:r w:rsidRPr="00E206AF">
        <w:rPr>
          <w:rFonts w:ascii="Century" w:hAnsi="Century" w:cs="FrankRuehl" w:hint="cs"/>
          <w:spacing w:val="10"/>
          <w:sz w:val="22"/>
          <w:szCs w:val="28"/>
          <w:rtl/>
        </w:rPr>
        <w:t xml:space="preserve"> הפרשנות המקיימת</w:t>
      </w:r>
      <w:r>
        <w:rPr>
          <w:rFonts w:ascii="Century" w:hAnsi="Century" w:cs="FrankRuehl" w:hint="cs"/>
          <w:spacing w:val="10"/>
          <w:sz w:val="22"/>
          <w:szCs w:val="28"/>
          <w:rtl/>
        </w:rPr>
        <w:t>.</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לנוכח חשיבותו כאמור,</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הרי שיש</w:t>
      </w:r>
      <w:r w:rsidRPr="00E206AF">
        <w:rPr>
          <w:rFonts w:ascii="Century" w:hAnsi="Century" w:cs="FrankRuehl" w:hint="cs"/>
          <w:spacing w:val="10"/>
          <w:sz w:val="22"/>
          <w:szCs w:val="28"/>
          <w:rtl/>
        </w:rPr>
        <w:t xml:space="preserve"> להעדי</w:t>
      </w:r>
      <w:r>
        <w:rPr>
          <w:rFonts w:ascii="Century" w:hAnsi="Century" w:cs="FrankRuehl" w:hint="cs"/>
          <w:spacing w:val="10"/>
          <w:sz w:val="22"/>
          <w:szCs w:val="28"/>
          <w:rtl/>
        </w:rPr>
        <w:t>ף פרשנות מקיימת</w:t>
      </w:r>
      <w:r w:rsidRPr="00E206AF">
        <w:rPr>
          <w:rFonts w:ascii="Century" w:hAnsi="Century" w:cs="FrankRuehl" w:hint="cs"/>
          <w:spacing w:val="10"/>
          <w:sz w:val="22"/>
          <w:szCs w:val="28"/>
          <w:rtl/>
        </w:rPr>
        <w:t xml:space="preserve"> על פני פרשנויות </w:t>
      </w:r>
      <w:r>
        <w:rPr>
          <w:rFonts w:ascii="Century" w:hAnsi="Century" w:cs="FrankRuehl" w:hint="cs"/>
          <w:spacing w:val="10"/>
          <w:sz w:val="22"/>
          <w:szCs w:val="28"/>
          <w:rtl/>
        </w:rPr>
        <w:t>ש</w:t>
      </w:r>
      <w:r w:rsidRPr="00E206AF">
        <w:rPr>
          <w:rFonts w:ascii="Century" w:hAnsi="Century" w:cs="FrankRuehl" w:hint="cs"/>
          <w:spacing w:val="10"/>
          <w:sz w:val="22"/>
          <w:szCs w:val="28"/>
          <w:rtl/>
        </w:rPr>
        <w:t xml:space="preserve">עשויות להוביל לביטול החוק, </w:t>
      </w:r>
      <w:r>
        <w:rPr>
          <w:rFonts w:ascii="Century" w:hAnsi="Century" w:cs="FrankRuehl" w:hint="cs"/>
          <w:spacing w:val="10"/>
          <w:sz w:val="22"/>
          <w:szCs w:val="28"/>
          <w:rtl/>
        </w:rPr>
        <w:t>גם במצבים שבהם</w:t>
      </w:r>
      <w:r w:rsidRPr="00E206AF">
        <w:rPr>
          <w:rFonts w:ascii="Century" w:hAnsi="Century" w:cs="FrankRuehl" w:hint="cs"/>
          <w:spacing w:val="10"/>
          <w:sz w:val="22"/>
          <w:szCs w:val="28"/>
          <w:rtl/>
        </w:rPr>
        <w:t xml:space="preserve"> איתור</w:t>
      </w:r>
      <w:r>
        <w:rPr>
          <w:rFonts w:ascii="Century" w:hAnsi="Century" w:cs="FrankRuehl" w:hint="cs"/>
          <w:spacing w:val="10"/>
          <w:sz w:val="22"/>
          <w:szCs w:val="28"/>
          <w:rtl/>
        </w:rPr>
        <w:t xml:space="preserve"> הפרשנות המקיימת כרוך</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ב</w:t>
      </w:r>
      <w:r w:rsidRPr="00E206AF">
        <w:rPr>
          <w:rFonts w:ascii="Century" w:hAnsi="Century" w:cs="FrankRuehl" w:hint="cs"/>
          <w:spacing w:val="10"/>
          <w:sz w:val="22"/>
          <w:szCs w:val="28"/>
          <w:rtl/>
        </w:rPr>
        <w:t>"מאמץ פרשני ניכר"</w:t>
      </w:r>
      <w:r>
        <w:rPr>
          <w:rFonts w:ascii="Century" w:hAnsi="Century" w:cs="FrankRuehl" w:hint="cs"/>
          <w:spacing w:val="10"/>
          <w:sz w:val="22"/>
          <w:szCs w:val="28"/>
          <w:rtl/>
        </w:rPr>
        <w:t>. הדבר נעוץ</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ב</w:t>
      </w:r>
      <w:r w:rsidRPr="00E206AF">
        <w:rPr>
          <w:rFonts w:ascii="Century" w:hAnsi="Century" w:cs="FrankRuehl" w:hint="cs"/>
          <w:spacing w:val="10"/>
          <w:sz w:val="22"/>
          <w:szCs w:val="28"/>
          <w:rtl/>
        </w:rPr>
        <w:t>תפיסה שלפיה "מאמץ זה ראוי הוא", לנוכח "נאמנותו של השופט-הפרשן לדבר החקיקה"</w:t>
      </w:r>
      <w:r>
        <w:rPr>
          <w:rFonts w:ascii="Century" w:hAnsi="Century" w:cs="FrankRuehl" w:hint="cs"/>
          <w:spacing w:val="10"/>
          <w:sz w:val="22"/>
          <w:szCs w:val="28"/>
          <w:rtl/>
        </w:rPr>
        <w:t>,</w:t>
      </w:r>
      <w:r w:rsidRPr="00E206AF">
        <w:rPr>
          <w:rFonts w:ascii="Century" w:hAnsi="Century" w:cs="FrankRuehl" w:hint="cs"/>
          <w:spacing w:val="10"/>
          <w:sz w:val="22"/>
          <w:szCs w:val="28"/>
          <w:rtl/>
        </w:rPr>
        <w:t xml:space="preserve"> אשר "</w:t>
      </w:r>
      <w:r w:rsidRPr="00E206AF">
        <w:rPr>
          <w:rFonts w:ascii="Arial TUR" w:hAnsi="Arial TUR" w:cs="Miriam" w:hint="eastAsia"/>
          <w:b/>
          <w:sz w:val="22"/>
          <w:rtl/>
        </w:rPr>
        <w:t>מחייבת</w:t>
      </w:r>
      <w:r w:rsidRPr="00E206AF">
        <w:rPr>
          <w:rFonts w:ascii="Arial TUR" w:hAnsi="Arial TUR" w:cs="Miriam"/>
          <w:b/>
          <w:sz w:val="22"/>
          <w:rtl/>
        </w:rPr>
        <w:t xml:space="preserve"> </w:t>
      </w:r>
      <w:r w:rsidRPr="00E206AF">
        <w:rPr>
          <w:rFonts w:ascii="Century" w:hAnsi="Century" w:cs="FrankRuehl" w:hint="cs"/>
          <w:spacing w:val="10"/>
          <w:sz w:val="22"/>
          <w:szCs w:val="28"/>
          <w:rtl/>
        </w:rPr>
        <w:t>אותו לתת לחוק פירוש שלשונו יכולה לשאת ואשר מגשים את תכליתו" (הנשיא</w:t>
      </w:r>
      <w:r w:rsidRPr="00E206AF">
        <w:rPr>
          <w:rFonts w:ascii="Century" w:hAnsi="Century" w:cs="Miriam" w:hint="cs"/>
          <w:b/>
          <w:sz w:val="22"/>
          <w:rtl/>
        </w:rPr>
        <w:t xml:space="preserve"> ברק </w:t>
      </w:r>
      <w:r w:rsidRPr="00E206AF">
        <w:rPr>
          <w:rFonts w:ascii="Century" w:hAnsi="Century" w:cs="FrankRuehl" w:hint="cs"/>
          <w:spacing w:val="10"/>
          <w:sz w:val="22"/>
          <w:szCs w:val="28"/>
          <w:rtl/>
        </w:rPr>
        <w:t xml:space="preserve">בעניין </w:t>
      </w:r>
      <w:r w:rsidRPr="00E206AF">
        <w:rPr>
          <w:rFonts w:ascii="Century" w:hAnsi="Century" w:cs="Miriam" w:hint="eastAsia"/>
          <w:b/>
          <w:sz w:val="22"/>
          <w:rtl/>
        </w:rPr>
        <w:t>זנדברג</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בעמ' 814; ההדגשה הוספה. עוד ראו, מני רבים: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781/15 </w:t>
      </w:r>
      <w:r w:rsidRPr="00E206AF">
        <w:rPr>
          <w:rFonts w:ascii="Century" w:hAnsi="Century" w:cs="Miriam" w:hint="eastAsia"/>
          <w:b/>
          <w:sz w:val="22"/>
          <w:rtl/>
        </w:rPr>
        <w:t>ארד</w:t>
      </w:r>
      <w:r w:rsidRPr="00E206AF">
        <w:rPr>
          <w:rFonts w:ascii="Century" w:hAnsi="Century" w:cs="Miriam"/>
          <w:b/>
          <w:sz w:val="22"/>
          <w:rtl/>
        </w:rPr>
        <w:t>-</w:t>
      </w:r>
      <w:r w:rsidRPr="00E206AF">
        <w:rPr>
          <w:rFonts w:ascii="Century" w:hAnsi="Century" w:cs="Miriam" w:hint="eastAsia"/>
          <w:b/>
          <w:sz w:val="22"/>
          <w:rtl/>
        </w:rPr>
        <w:t>פנקס</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הוועדה</w:t>
      </w:r>
      <w:r w:rsidRPr="00E206AF">
        <w:rPr>
          <w:rFonts w:ascii="Century" w:hAnsi="Century" w:cs="Miriam"/>
          <w:b/>
          <w:sz w:val="22"/>
          <w:rtl/>
        </w:rPr>
        <w:t xml:space="preserve"> </w:t>
      </w:r>
      <w:r w:rsidRPr="00E206AF">
        <w:rPr>
          <w:rFonts w:ascii="Century" w:hAnsi="Century" w:cs="Miriam" w:hint="eastAsia"/>
          <w:b/>
          <w:sz w:val="22"/>
          <w:rtl/>
        </w:rPr>
        <w:t>לאישור</w:t>
      </w:r>
      <w:r w:rsidRPr="00E206AF">
        <w:rPr>
          <w:rFonts w:ascii="Century" w:hAnsi="Century" w:cs="Miriam"/>
          <w:b/>
          <w:sz w:val="22"/>
          <w:rtl/>
        </w:rPr>
        <w:t xml:space="preserve"> </w:t>
      </w:r>
      <w:r w:rsidRPr="00E206AF">
        <w:rPr>
          <w:rFonts w:ascii="Century" w:hAnsi="Century" w:cs="Miriam" w:hint="eastAsia"/>
          <w:b/>
          <w:sz w:val="22"/>
          <w:rtl/>
        </w:rPr>
        <w:t>הסכמים</w:t>
      </w:r>
      <w:r w:rsidRPr="00E206AF">
        <w:rPr>
          <w:rFonts w:ascii="Century" w:hAnsi="Century" w:cs="FrankRuehl"/>
          <w:spacing w:val="10"/>
          <w:sz w:val="22"/>
          <w:szCs w:val="28"/>
          <w:rtl/>
        </w:rPr>
        <w:t xml:space="preserve"> </w:t>
      </w:r>
      <w:r w:rsidRPr="00E206AF">
        <w:rPr>
          <w:rFonts w:ascii="Century" w:hAnsi="Century" w:cs="Miriam" w:hint="cs"/>
          <w:b/>
          <w:sz w:val="22"/>
          <w:rtl/>
        </w:rPr>
        <w:t>לנשיאת עוברים</w:t>
      </w:r>
      <w:r w:rsidRPr="00E206AF">
        <w:rPr>
          <w:rFonts w:ascii="Century" w:hAnsi="Century" w:cs="FrankRuehl" w:hint="cs"/>
          <w:spacing w:val="10"/>
          <w:sz w:val="22"/>
          <w:szCs w:val="28"/>
          <w:rtl/>
        </w:rPr>
        <w:t>, פס' 21</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לפסק דינה של הנשיאה </w:t>
      </w:r>
      <w:r w:rsidRPr="00E206AF">
        <w:rPr>
          <w:rFonts w:ascii="Century" w:hAnsi="Century" w:cs="Miriam" w:hint="cs"/>
          <w:b/>
          <w:sz w:val="22"/>
          <w:rtl/>
        </w:rPr>
        <w:t xml:space="preserve">חיות </w:t>
      </w:r>
      <w:r w:rsidRPr="00E206AF">
        <w:rPr>
          <w:rFonts w:ascii="Century" w:hAnsi="Century" w:cs="FrankRuehl"/>
          <w:spacing w:val="10"/>
          <w:sz w:val="22"/>
          <w:szCs w:val="28"/>
          <w:rtl/>
        </w:rPr>
        <w:t>(27.2.2020)</w:t>
      </w:r>
      <w:r w:rsidRPr="00E206AF">
        <w:rPr>
          <w:rFonts w:ascii="Century" w:hAnsi="Century" w:cs="FrankRuehl" w:hint="cs"/>
          <w:spacing w:val="10"/>
          <w:sz w:val="22"/>
          <w:szCs w:val="28"/>
          <w:rtl/>
        </w:rPr>
        <w:t>;</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ראו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7146/12 </w:t>
      </w:r>
      <w:r w:rsidRPr="00E206AF">
        <w:rPr>
          <w:rFonts w:ascii="Century" w:hAnsi="Century" w:cs="Miriam" w:hint="eastAsia"/>
          <w:b/>
          <w:sz w:val="22"/>
          <w:rtl/>
        </w:rPr>
        <w:t>אדם</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כנסת</w:t>
      </w:r>
      <w:r w:rsidRPr="00E206AF">
        <w:rPr>
          <w:rFonts w:ascii="Century" w:hAnsi="Century" w:cs="Miriam"/>
          <w:b/>
          <w:sz w:val="22"/>
          <w:rtl/>
        </w:rPr>
        <w:t xml:space="preserve"> </w:t>
      </w:r>
      <w:r w:rsidRPr="00E206AF">
        <w:rPr>
          <w:rFonts w:ascii="Century" w:hAnsi="Century" w:cs="Miriam" w:hint="eastAsia"/>
          <w:b/>
          <w:sz w:val="22"/>
          <w:rtl/>
        </w:rPr>
        <w:t>ישראל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פ</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ד</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סו</w:t>
      </w:r>
      <w:r w:rsidRPr="00E206AF">
        <w:rPr>
          <w:rFonts w:ascii="Century" w:hAnsi="Century" w:cs="FrankRuehl"/>
          <w:spacing w:val="10"/>
          <w:sz w:val="22"/>
          <w:szCs w:val="28"/>
          <w:rtl/>
        </w:rPr>
        <w:t>(1) 717, 848 (2013)</w:t>
      </w:r>
      <w:r w:rsidRPr="00E206AF">
        <w:rPr>
          <w:rFonts w:ascii="Century" w:hAnsi="Century" w:cs="FrankRuehl" w:hint="cs"/>
          <w:spacing w:val="10"/>
          <w:sz w:val="22"/>
          <w:szCs w:val="28"/>
          <w:rtl/>
        </w:rPr>
        <w:t xml:space="preserve">;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5469/20 ‏</w:t>
      </w:r>
      <w:r w:rsidRPr="00E206AF">
        <w:rPr>
          <w:rFonts w:ascii="Arial TUR" w:hAnsi="Arial TUR" w:cs="Miriam" w:hint="eastAsia"/>
          <w:b/>
          <w:sz w:val="22"/>
          <w:rtl/>
        </w:rPr>
        <w:t>אחריות</w:t>
      </w:r>
      <w:r w:rsidRPr="00E206AF">
        <w:rPr>
          <w:rFonts w:ascii="Arial TUR" w:hAnsi="Arial TUR" w:cs="Miriam"/>
          <w:b/>
          <w:sz w:val="22"/>
          <w:rtl/>
        </w:rPr>
        <w:t xml:space="preserve"> </w:t>
      </w:r>
      <w:r w:rsidRPr="00E206AF">
        <w:rPr>
          <w:rFonts w:ascii="Arial TUR" w:hAnsi="Arial TUR" w:cs="Miriam" w:hint="eastAsia"/>
          <w:b/>
          <w:sz w:val="22"/>
          <w:rtl/>
        </w:rPr>
        <w:t>לאומית</w:t>
      </w:r>
      <w:r w:rsidRPr="00E206AF">
        <w:rPr>
          <w:rFonts w:ascii="Arial TUR" w:hAnsi="Arial TUR" w:cs="Miriam"/>
          <w:b/>
          <w:sz w:val="22"/>
          <w:rtl/>
        </w:rPr>
        <w:t xml:space="preserve"> – </w:t>
      </w:r>
      <w:r w:rsidRPr="00E206AF">
        <w:rPr>
          <w:rFonts w:ascii="Arial TUR" w:hAnsi="Arial TUR" w:cs="Miriam" w:hint="eastAsia"/>
          <w:b/>
          <w:sz w:val="22"/>
          <w:rtl/>
        </w:rPr>
        <w:t>ישראל</w:t>
      </w:r>
      <w:r w:rsidRPr="00E206AF">
        <w:rPr>
          <w:rFonts w:ascii="Arial TUR" w:hAnsi="Arial TUR" w:cs="Miriam"/>
          <w:b/>
          <w:sz w:val="22"/>
          <w:rtl/>
        </w:rPr>
        <w:t xml:space="preserve"> </w:t>
      </w:r>
      <w:r w:rsidRPr="00E206AF">
        <w:rPr>
          <w:rFonts w:ascii="Arial TUR" w:hAnsi="Arial TUR" w:cs="Miriam" w:hint="eastAsia"/>
          <w:b/>
          <w:sz w:val="22"/>
          <w:rtl/>
        </w:rPr>
        <w:t>הבית</w:t>
      </w:r>
      <w:r w:rsidRPr="00E206AF">
        <w:rPr>
          <w:rFonts w:ascii="Arial TUR" w:hAnsi="Arial TUR" w:cs="Miriam"/>
          <w:b/>
          <w:sz w:val="22"/>
          <w:rtl/>
        </w:rPr>
        <w:t xml:space="preserve"> </w:t>
      </w:r>
      <w:r w:rsidRPr="00E206AF">
        <w:rPr>
          <w:rFonts w:ascii="Arial TUR" w:hAnsi="Arial TUR" w:cs="Miriam" w:hint="eastAsia"/>
          <w:b/>
          <w:sz w:val="22"/>
          <w:rtl/>
        </w:rPr>
        <w:t>שלי</w:t>
      </w:r>
      <w:r w:rsidRPr="00E206AF">
        <w:rPr>
          <w:rFonts w:ascii="Arial TUR" w:hAnsi="Arial TUR" w:cs="Miriam"/>
          <w:b/>
          <w:sz w:val="22"/>
          <w:rtl/>
        </w:rPr>
        <w:t xml:space="preserve"> </w:t>
      </w:r>
      <w:r w:rsidRPr="00E206AF">
        <w:rPr>
          <w:rFonts w:ascii="Arial TUR" w:hAnsi="Arial TUR" w:cs="Miriam" w:hint="eastAsia"/>
          <w:b/>
          <w:sz w:val="22"/>
          <w:rtl/>
        </w:rPr>
        <w:t>נ</w:t>
      </w:r>
      <w:r w:rsidRPr="00E206AF">
        <w:rPr>
          <w:rFonts w:ascii="Arial TUR" w:hAnsi="Arial TUR" w:cs="Miriam"/>
          <w:b/>
          <w:sz w:val="22"/>
          <w:rtl/>
        </w:rPr>
        <w:t xml:space="preserve">' </w:t>
      </w:r>
      <w:r w:rsidRPr="00E206AF">
        <w:rPr>
          <w:rFonts w:ascii="Arial TUR" w:hAnsi="Arial TUR" w:cs="Miriam" w:hint="eastAsia"/>
          <w:b/>
          <w:sz w:val="22"/>
          <w:rtl/>
        </w:rPr>
        <w:t>ממשלת</w:t>
      </w:r>
      <w:r w:rsidRPr="00E206AF">
        <w:rPr>
          <w:rFonts w:ascii="Arial TUR" w:hAnsi="Arial TUR" w:cs="Miriam"/>
          <w:b/>
          <w:sz w:val="22"/>
          <w:rtl/>
        </w:rPr>
        <w:t xml:space="preserve"> </w:t>
      </w:r>
      <w:r w:rsidRPr="00E206AF">
        <w:rPr>
          <w:rFonts w:ascii="Arial TUR" w:hAnsi="Arial TUR" w:cs="Miriam" w:hint="eastAsia"/>
          <w:b/>
          <w:sz w:val="22"/>
          <w:rtl/>
        </w:rPr>
        <w:t>ישראל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פס</w:t>
      </w:r>
      <w:r w:rsidRPr="00E206AF">
        <w:rPr>
          <w:rFonts w:ascii="Century" w:hAnsi="Century" w:cs="FrankRuehl" w:hint="cs"/>
          <w:spacing w:val="10"/>
          <w:sz w:val="22"/>
          <w:szCs w:val="28"/>
          <w:rtl/>
        </w:rPr>
        <w:t>'</w:t>
      </w:r>
      <w:r w:rsidRPr="00E206AF">
        <w:rPr>
          <w:rFonts w:ascii="Century" w:hAnsi="Century" w:cs="FrankRuehl"/>
          <w:spacing w:val="10"/>
          <w:sz w:val="22"/>
          <w:szCs w:val="28"/>
          <w:rtl/>
        </w:rPr>
        <w:t xml:space="preserve"> 39 </w:t>
      </w:r>
      <w:r w:rsidRPr="00E206AF">
        <w:rPr>
          <w:rFonts w:ascii="Century" w:hAnsi="Century" w:cs="FrankRuehl" w:hint="cs"/>
          <w:spacing w:val="10"/>
          <w:sz w:val="22"/>
          <w:szCs w:val="28"/>
          <w:rtl/>
        </w:rPr>
        <w:t xml:space="preserve">לפסק דינה של הנשיאה </w:t>
      </w:r>
      <w:r w:rsidRPr="00E206AF">
        <w:rPr>
          <w:rFonts w:ascii="Century" w:hAnsi="Century" w:cs="Miriam" w:hint="cs"/>
          <w:b/>
          <w:sz w:val="22"/>
          <w:rtl/>
        </w:rPr>
        <w:t>חיות</w:t>
      </w:r>
      <w:r w:rsidRPr="00E206AF">
        <w:rPr>
          <w:rFonts w:ascii="Century" w:hAnsi="Century" w:cs="FrankRuehl"/>
          <w:spacing w:val="10"/>
          <w:sz w:val="22"/>
          <w:szCs w:val="28"/>
          <w:rtl/>
        </w:rPr>
        <w:t xml:space="preserve"> (4.4.2021)</w:t>
      </w:r>
      <w:r w:rsidRPr="00E206AF">
        <w:rPr>
          <w:rFonts w:ascii="Century" w:hAnsi="Century" w:cs="FrankRuehl" w:hint="cs"/>
          <w:spacing w:val="10"/>
          <w:sz w:val="22"/>
          <w:szCs w:val="28"/>
          <w:rtl/>
        </w:rPr>
        <w:t xml:space="preserve">; </w:t>
      </w:r>
      <w:r w:rsidRPr="00E206AF">
        <w:rPr>
          <w:rFonts w:ascii="Century" w:hAnsi="Century" w:cs="FrankRuehl" w:hint="eastAsia"/>
          <w:spacing w:val="10"/>
          <w:sz w:val="22"/>
          <w:szCs w:val="28"/>
          <w:rtl/>
        </w:rPr>
        <w:t>אהרן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ברק</w:t>
      </w:r>
      <w:r w:rsidRPr="00E206AF">
        <w:rPr>
          <w:rFonts w:ascii="Century" w:hAnsi="Century" w:cs="FrankRuehl"/>
          <w:spacing w:val="10"/>
          <w:sz w:val="22"/>
          <w:szCs w:val="28"/>
          <w:rtl/>
        </w:rPr>
        <w:t xml:space="preserve"> </w:t>
      </w:r>
      <w:r w:rsidRPr="00E206AF">
        <w:rPr>
          <w:rFonts w:ascii="Arial TUR" w:hAnsi="Arial TUR" w:cs="Miriam" w:hint="eastAsia"/>
          <w:b/>
          <w:sz w:val="22"/>
          <w:rtl/>
        </w:rPr>
        <w:t>פרשנות</w:t>
      </w:r>
      <w:r w:rsidRPr="00E206AF">
        <w:rPr>
          <w:rFonts w:ascii="Arial TUR" w:hAnsi="Arial TUR" w:cs="Miriam"/>
          <w:b/>
          <w:sz w:val="22"/>
          <w:rtl/>
        </w:rPr>
        <w:t xml:space="preserve"> </w:t>
      </w:r>
      <w:r w:rsidRPr="00E206AF">
        <w:rPr>
          <w:rFonts w:ascii="Arial TUR" w:hAnsi="Arial TUR" w:cs="Miriam" w:hint="eastAsia"/>
          <w:b/>
          <w:sz w:val="22"/>
          <w:rtl/>
        </w:rPr>
        <w:t>במשפט</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כרך</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שני</w:t>
      </w:r>
      <w:r w:rsidRPr="00E206AF">
        <w:rPr>
          <w:rFonts w:ascii="Century" w:hAnsi="Century" w:cs="FrankRuehl"/>
          <w:spacing w:val="10"/>
          <w:sz w:val="22"/>
          <w:szCs w:val="28"/>
          <w:rtl/>
        </w:rPr>
        <w:t xml:space="preserve"> – </w:t>
      </w:r>
      <w:r w:rsidRPr="00E206AF">
        <w:rPr>
          <w:rFonts w:ascii="Century" w:hAnsi="Century" w:cs="FrankRuehl" w:hint="eastAsia"/>
          <w:spacing w:val="10"/>
          <w:sz w:val="22"/>
          <w:szCs w:val="28"/>
          <w:rtl/>
        </w:rPr>
        <w:t>פרשנות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החקיקה</w:t>
      </w:r>
      <w:r w:rsidRPr="00E206AF">
        <w:rPr>
          <w:rFonts w:ascii="Century" w:hAnsi="Century" w:cs="FrankRuehl"/>
          <w:spacing w:val="10"/>
          <w:sz w:val="22"/>
          <w:szCs w:val="28"/>
          <w:rtl/>
        </w:rPr>
        <w:t xml:space="preserve"> 553 (1993)</w:t>
      </w:r>
      <w:r w:rsidRPr="00E206AF">
        <w:rPr>
          <w:rFonts w:ascii="Century" w:hAnsi="Century" w:cs="FrankRuehl" w:hint="cs"/>
          <w:spacing w:val="10"/>
          <w:sz w:val="22"/>
          <w:szCs w:val="28"/>
          <w:rtl/>
        </w:rPr>
        <w:t xml:space="preserve"> (להלן: </w:t>
      </w:r>
      <w:r w:rsidRPr="00E206AF">
        <w:rPr>
          <w:rFonts w:ascii="Century" w:hAnsi="Century" w:cs="Miriam" w:hint="eastAsia"/>
          <w:b/>
          <w:sz w:val="22"/>
          <w:rtl/>
        </w:rPr>
        <w:t>ברק</w:t>
      </w:r>
      <w:r w:rsidRPr="00E206AF">
        <w:rPr>
          <w:rFonts w:ascii="Century" w:hAnsi="Century" w:cs="Miriam"/>
          <w:b/>
          <w:sz w:val="22"/>
          <w:rtl/>
        </w:rPr>
        <w:t xml:space="preserve">, </w:t>
      </w:r>
      <w:r w:rsidRPr="00E206AF">
        <w:rPr>
          <w:rFonts w:ascii="Century" w:hAnsi="Century" w:cs="Miriam" w:hint="eastAsia"/>
          <w:b/>
          <w:sz w:val="22"/>
          <w:rtl/>
        </w:rPr>
        <w:t>פרשנות</w:t>
      </w:r>
      <w:r w:rsidRPr="00E206AF">
        <w:rPr>
          <w:rFonts w:ascii="Century" w:hAnsi="Century" w:cs="Miriam"/>
          <w:b/>
          <w:sz w:val="22"/>
          <w:rtl/>
        </w:rPr>
        <w:t xml:space="preserve"> </w:t>
      </w:r>
      <w:r w:rsidRPr="00E206AF">
        <w:rPr>
          <w:rFonts w:ascii="Century" w:hAnsi="Century" w:cs="Miriam" w:hint="eastAsia"/>
          <w:b/>
          <w:sz w:val="22"/>
          <w:rtl/>
        </w:rPr>
        <w:t>החקיקה</w:t>
      </w:r>
      <w:r w:rsidRPr="00E206AF">
        <w:rPr>
          <w:rFonts w:ascii="Century" w:hAnsi="Century" w:cs="FrankRuehl" w:hint="cs"/>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 xml:space="preserve"> </w:t>
      </w:r>
      <w:r w:rsidRPr="00E206AF">
        <w:rPr>
          <w:rFonts w:ascii="Century" w:hAnsi="Century" w:cs="FrankRuehl"/>
          <w:spacing w:val="10"/>
          <w:sz w:val="22"/>
          <w:szCs w:val="28"/>
          <w:rtl/>
        </w:rPr>
        <w:tab/>
      </w:r>
    </w:p>
    <w:p w:rsidR="00E32081"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lastRenderedPageBreak/>
        <w:tab/>
      </w:r>
      <w:r w:rsidRPr="00E206AF">
        <w:rPr>
          <w:rFonts w:ascii="Century" w:hAnsi="Century" w:cs="FrankRuehl" w:hint="cs"/>
          <w:spacing w:val="10"/>
          <w:sz w:val="22"/>
          <w:szCs w:val="28"/>
          <w:rtl/>
        </w:rPr>
        <w:t xml:space="preserve">על יסוד דברים חשובים אלה, נעבור </w:t>
      </w:r>
      <w:r>
        <w:rPr>
          <w:rFonts w:ascii="Century" w:hAnsi="Century" w:cs="FrankRuehl" w:hint="cs"/>
          <w:spacing w:val="10"/>
          <w:sz w:val="22"/>
          <w:szCs w:val="28"/>
          <w:rtl/>
        </w:rPr>
        <w:t>לבחינת</w:t>
      </w:r>
      <w:r w:rsidRPr="00E206AF">
        <w:rPr>
          <w:rFonts w:ascii="Century" w:hAnsi="Century" w:cs="FrankRuehl" w:hint="cs"/>
          <w:spacing w:val="10"/>
          <w:sz w:val="22"/>
          <w:szCs w:val="28"/>
          <w:rtl/>
        </w:rPr>
        <w:t xml:space="preserve"> פרשנות התיקון שלפנינו.</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Miriam" w:hint="eastAsia"/>
          <w:b/>
          <w:sz w:val="22"/>
          <w:rtl/>
        </w:rPr>
        <w:t>פרשנות</w:t>
      </w:r>
      <w:r w:rsidRPr="00E206AF">
        <w:rPr>
          <w:rFonts w:ascii="Century" w:hAnsi="Century" w:cs="Miriam"/>
          <w:b/>
          <w:sz w:val="22"/>
          <w:rtl/>
        </w:rPr>
        <w:t xml:space="preserve"> </w:t>
      </w:r>
      <w:r w:rsidRPr="00E206AF">
        <w:rPr>
          <w:rFonts w:ascii="Century" w:hAnsi="Century" w:cs="Miriam" w:hint="eastAsia"/>
          <w:b/>
          <w:sz w:val="22"/>
          <w:rtl/>
        </w:rPr>
        <w:t>התיקון</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hint="cs"/>
          <w:spacing w:val="10"/>
          <w:sz w:val="22"/>
          <w:szCs w:val="28"/>
          <w:rtl/>
        </w:rPr>
        <w:t>42.</w:t>
      </w:r>
      <w:r w:rsidRPr="00E206AF">
        <w:rPr>
          <w:rFonts w:ascii="Arial TUR" w:hAnsi="Arial TUR" w:cs="FrankRuehl"/>
          <w:spacing w:val="10"/>
          <w:sz w:val="22"/>
          <w:szCs w:val="28"/>
          <w:rtl/>
        </w:rPr>
        <w:tab/>
      </w:r>
      <w:r w:rsidRPr="00E206AF">
        <w:rPr>
          <w:rFonts w:ascii="Arial TUR" w:hAnsi="Arial TUR" w:cs="FrankRuehl" w:hint="eastAsia"/>
          <w:spacing w:val="10"/>
          <w:sz w:val="22"/>
          <w:szCs w:val="28"/>
          <w:rtl/>
        </w:rPr>
        <w:t>הלכה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עמנו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שיש</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לפרש</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חוק</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לרבות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חוק</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יסוד</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באופן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שמעניק</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משמעות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אפשרית</w:t>
      </w:r>
      <w:r w:rsidRPr="00E206AF">
        <w:rPr>
          <w:rFonts w:ascii="Arial TUR" w:hAnsi="Arial TUR" w:cs="FrankRuehl"/>
          <w:spacing w:val="10"/>
          <w:sz w:val="22"/>
          <w:szCs w:val="28"/>
          <w:rtl/>
        </w:rPr>
        <w:t xml:space="preserve"> </w:t>
      </w:r>
      <w:r w:rsidRPr="00E206AF">
        <w:rPr>
          <w:rFonts w:ascii="Century" w:hAnsi="Century" w:cs="Miriam" w:hint="eastAsia"/>
          <w:b/>
          <w:sz w:val="22"/>
          <w:rtl/>
        </w:rPr>
        <w:t>מבחינה</w:t>
      </w:r>
      <w:r w:rsidRPr="00E206AF">
        <w:rPr>
          <w:rFonts w:ascii="Century" w:hAnsi="Century" w:cs="Miriam"/>
          <w:b/>
          <w:sz w:val="22"/>
          <w:rtl/>
        </w:rPr>
        <w:t xml:space="preserve"> </w:t>
      </w:r>
      <w:r w:rsidRPr="00E206AF">
        <w:rPr>
          <w:rFonts w:ascii="Century" w:hAnsi="Century" w:cs="Miriam" w:hint="eastAsia"/>
          <w:b/>
          <w:sz w:val="22"/>
          <w:rtl/>
        </w:rPr>
        <w:t>לשונית</w:t>
      </w:r>
      <w:r w:rsidRPr="00E206AF">
        <w:rPr>
          <w:rFonts w:ascii="Arial TUR" w:hAnsi="Arial TUR" w:cs="FrankRuehl" w:hint="cs"/>
          <w:spacing w:val="10"/>
          <w:sz w:val="22"/>
          <w:szCs w:val="28"/>
          <w:rtl/>
        </w:rPr>
        <w:t xml:space="preserve">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ו</w:t>
      </w:r>
      <w:r w:rsidRPr="00E206AF">
        <w:rPr>
          <w:rFonts w:ascii="Arial TUR" w:hAnsi="Arial TUR" w:cs="FrankRuehl" w:hint="eastAsia"/>
          <w:spacing w:val="10"/>
          <w:sz w:val="22"/>
          <w:szCs w:val="28"/>
          <w:rtl/>
        </w:rPr>
        <w:t>אשר</w:t>
      </w:r>
      <w:r w:rsidRPr="00E206AF">
        <w:rPr>
          <w:rFonts w:ascii="Arial TUR" w:hAnsi="Arial TUR" w:cs="FrankRuehl" w:hint="cs"/>
          <w:spacing w:val="10"/>
          <w:sz w:val="22"/>
          <w:szCs w:val="28"/>
          <w:rtl/>
        </w:rPr>
        <w:t xml:space="preserve"> </w:t>
      </w:r>
      <w:r w:rsidRPr="00E206AF">
        <w:rPr>
          <w:rFonts w:ascii="Arial TUR" w:hAnsi="Arial TUR" w:cs="FrankRuehl" w:hint="eastAsia"/>
          <w:spacing w:val="10"/>
          <w:sz w:val="22"/>
          <w:szCs w:val="28"/>
          <w:rtl/>
        </w:rPr>
        <w:t>מגשי</w:t>
      </w:r>
      <w:r w:rsidRPr="00E206AF">
        <w:rPr>
          <w:rFonts w:ascii="Arial TUR" w:hAnsi="Arial TUR" w:cs="FrankRuehl" w:hint="cs"/>
          <w:spacing w:val="10"/>
          <w:sz w:val="22"/>
          <w:szCs w:val="28"/>
          <w:rtl/>
        </w:rPr>
        <w:t>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באופן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מיטבי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Century" w:hAnsi="Century" w:cs="Miriam" w:hint="eastAsia"/>
          <w:b/>
          <w:sz w:val="22"/>
          <w:rtl/>
        </w:rPr>
        <w:t>תכליתו</w:t>
      </w:r>
      <w:r w:rsidRPr="00E206AF">
        <w:rPr>
          <w:rFonts w:ascii="Arial TUR" w:hAnsi="Arial TUR" w:cs="FrankRuehl" w:hint="cs"/>
          <w:spacing w:val="10"/>
          <w:sz w:val="22"/>
          <w:szCs w:val="28"/>
          <w:rtl/>
        </w:rPr>
        <w:t xml:space="preserve"> (ראו, מני רבים: </w:t>
      </w:r>
      <w:r w:rsidRPr="00E206AF">
        <w:rPr>
          <w:rFonts w:ascii="Arial TUR" w:hAnsi="Arial TUR" w:cs="FrankRuehl" w:hint="eastAsia"/>
          <w:spacing w:val="10"/>
          <w:sz w:val="22"/>
          <w:szCs w:val="28"/>
          <w:rtl/>
        </w:rPr>
        <w:t>בג</w:t>
      </w:r>
      <w:r w:rsidRPr="00E206AF">
        <w:rPr>
          <w:rFonts w:ascii="Arial TUR" w:hAnsi="Arial TUR" w:cs="FrankRuehl"/>
          <w:spacing w:val="10"/>
          <w:sz w:val="22"/>
          <w:szCs w:val="28"/>
          <w:rtl/>
        </w:rPr>
        <w:t>"</w:t>
      </w:r>
      <w:r w:rsidRPr="00E206AF">
        <w:rPr>
          <w:rFonts w:ascii="Arial TUR" w:hAnsi="Arial TUR" w:cs="FrankRuehl" w:hint="eastAsia"/>
          <w:spacing w:val="10"/>
          <w:sz w:val="22"/>
          <w:szCs w:val="28"/>
          <w:rtl/>
        </w:rPr>
        <w:t>ץ</w:t>
      </w:r>
      <w:r w:rsidRPr="00E206AF">
        <w:rPr>
          <w:rFonts w:ascii="Arial TUR" w:hAnsi="Arial TUR" w:cs="FrankRuehl"/>
          <w:spacing w:val="10"/>
          <w:sz w:val="22"/>
          <w:szCs w:val="28"/>
          <w:rtl/>
        </w:rPr>
        <w:t xml:space="preserve"> 7803/06</w:t>
      </w:r>
      <w:r w:rsidRPr="00E206AF">
        <w:rPr>
          <w:rFonts w:ascii="Arial TUR" w:hAnsi="Arial TUR" w:cs="FrankRuehl" w:hint="cs"/>
          <w:spacing w:val="10"/>
          <w:sz w:val="22"/>
          <w:szCs w:val="28"/>
          <w:rtl/>
        </w:rPr>
        <w:t xml:space="preserve"> </w:t>
      </w:r>
      <w:r w:rsidRPr="00E206AF">
        <w:rPr>
          <w:rFonts w:ascii="Arial TUR" w:hAnsi="Arial TUR" w:cs="Miriam" w:hint="cs"/>
          <w:b/>
          <w:sz w:val="22"/>
          <w:rtl/>
        </w:rPr>
        <w:t>אבו ערפה נ' שר הפנים</w:t>
      </w:r>
      <w:r w:rsidRPr="00E206AF">
        <w:rPr>
          <w:rFonts w:ascii="Arial TUR" w:hAnsi="Arial TUR" w:cs="FrankRuehl" w:hint="cs"/>
          <w:spacing w:val="10"/>
          <w:sz w:val="22"/>
          <w:szCs w:val="28"/>
          <w:rtl/>
        </w:rPr>
        <w:t xml:space="preserve">, פס' 29 לפסק דינו של השופט </w:t>
      </w:r>
      <w:r w:rsidRPr="00E206AF">
        <w:rPr>
          <w:rFonts w:ascii="Century" w:hAnsi="Century" w:cs="Miriam" w:hint="cs"/>
          <w:b/>
          <w:sz w:val="22"/>
          <w:rtl/>
        </w:rPr>
        <w:t xml:space="preserve">פוגלמן </w:t>
      </w:r>
      <w:r w:rsidRPr="00E206AF">
        <w:rPr>
          <w:rFonts w:ascii="Arial TUR" w:hAnsi="Arial TUR" w:cs="FrankRuehl" w:hint="cs"/>
          <w:spacing w:val="10"/>
          <w:sz w:val="22"/>
          <w:szCs w:val="28"/>
          <w:rtl/>
        </w:rPr>
        <w:t xml:space="preserve">(13.9.2017); עניין </w:t>
      </w:r>
      <w:r w:rsidRPr="00E206AF">
        <w:rPr>
          <w:rFonts w:ascii="Arial TUR" w:hAnsi="Arial TUR" w:cs="Miriam" w:hint="cs"/>
          <w:b/>
          <w:sz w:val="22"/>
          <w:rtl/>
        </w:rPr>
        <w:t>חוק הלאום</w:t>
      </w:r>
      <w:r w:rsidRPr="00E206AF">
        <w:rPr>
          <w:rFonts w:ascii="Arial TUR" w:hAnsi="Arial TUR" w:cs="FrankRuehl" w:hint="cs"/>
          <w:spacing w:val="10"/>
          <w:sz w:val="22"/>
          <w:szCs w:val="28"/>
          <w:rtl/>
        </w:rPr>
        <w:t xml:space="preserve">, בפס' 59 לפסק דינה של הנשיאה </w:t>
      </w:r>
      <w:r w:rsidRPr="00E206AF">
        <w:rPr>
          <w:rFonts w:ascii="Century" w:hAnsi="Century" w:cs="Miriam" w:hint="cs"/>
          <w:b/>
          <w:sz w:val="22"/>
          <w:rtl/>
        </w:rPr>
        <w:t>חיות</w:t>
      </w:r>
      <w:r w:rsidRPr="00E206AF">
        <w:rPr>
          <w:rFonts w:ascii="Arial TUR" w:hAnsi="Arial TUR" w:cs="FrankRuehl" w:hint="cs"/>
          <w:spacing w:val="10"/>
          <w:sz w:val="22"/>
          <w:szCs w:val="28"/>
          <w:rtl/>
        </w:rPr>
        <w:t>)</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 xml:space="preserve">בפרט, כאשר בחוק יסוד עסקינן, יש לבחור בפירוש המתיישב עם המסגרת החוקתית הקיימת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שם</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 xml:space="preserve">בפס' 9 לפסק דינו של המשנה לנשיאה </w:t>
      </w:r>
      <w:r w:rsidRPr="00E206AF">
        <w:rPr>
          <w:rFonts w:ascii="Arial TUR" w:hAnsi="Arial TUR" w:cs="Miriam" w:hint="cs"/>
          <w:b/>
          <w:sz w:val="22"/>
          <w:rtl/>
        </w:rPr>
        <w:t>פוגלמן</w:t>
      </w:r>
      <w:r w:rsidRPr="00E206AF">
        <w:rPr>
          <w:rFonts w:ascii="Arial TUR" w:hAnsi="Arial TUR" w:cs="FrankRuehl" w:hint="cs"/>
          <w:spacing w:val="10"/>
          <w:sz w:val="22"/>
          <w:szCs w:val="28"/>
          <w:rtl/>
        </w:rPr>
        <w:t>)</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spacing w:val="10"/>
          <w:sz w:val="22"/>
          <w:szCs w:val="28"/>
          <w:rtl/>
        </w:rPr>
        <w:tab/>
      </w:r>
      <w:r w:rsidRPr="00E206AF">
        <w:rPr>
          <w:rFonts w:ascii="Arial TUR" w:hAnsi="Arial TUR" w:cs="FrankRuehl" w:hint="cs"/>
          <w:spacing w:val="10"/>
          <w:sz w:val="22"/>
          <w:szCs w:val="28"/>
          <w:rtl/>
        </w:rPr>
        <w:t xml:space="preserve">בהקשר זה ציין השופט </w:t>
      </w:r>
      <w:r w:rsidRPr="00E206AF">
        <w:rPr>
          <w:rFonts w:ascii="Arial TUR" w:hAnsi="Arial TUR" w:cs="Miriam" w:hint="cs"/>
          <w:b/>
          <w:sz w:val="22"/>
          <w:rtl/>
        </w:rPr>
        <w:t xml:space="preserve">ברק </w:t>
      </w:r>
      <w:r w:rsidRPr="00E206AF">
        <w:rPr>
          <w:rFonts w:ascii="Century" w:hAnsi="Century" w:cs="FrankRuehl" w:hint="eastAsia"/>
          <w:spacing w:val="10"/>
          <w:sz w:val="22"/>
          <w:szCs w:val="28"/>
          <w:rtl/>
        </w:rPr>
        <w:t>כי</w:t>
      </w:r>
      <w:r w:rsidRPr="00E206AF">
        <w:rPr>
          <w:rFonts w:ascii="Century" w:hAnsi="Century" w:cs="FrankRuehl"/>
          <w:spacing w:val="10"/>
          <w:sz w:val="22"/>
          <w:szCs w:val="28"/>
          <w:rtl/>
        </w:rPr>
        <w:t>:</w:t>
      </w:r>
    </w:p>
    <w:p w:rsidR="00E32081" w:rsidRPr="00E206AF" w:rsidRDefault="00E32081" w:rsidP="00E32081">
      <w:pPr>
        <w:spacing w:line="360" w:lineRule="auto"/>
        <w:ind w:firstLine="720"/>
        <w:jc w:val="both"/>
        <w:rPr>
          <w:rFonts w:ascii="Century" w:hAnsi="Century" w:cs="FrankRuehl"/>
          <w:spacing w:val="10"/>
          <w:szCs w:val="28"/>
          <w:rtl/>
        </w:rPr>
      </w:pPr>
      <w:r w:rsidRPr="00E206AF">
        <w:rPr>
          <w:rFonts w:ascii="Century" w:hAnsi="Century" w:cs="FrankRuehl"/>
          <w:spacing w:val="10"/>
          <w:szCs w:val="28"/>
          <w:rtl/>
        </w:rPr>
        <w:t xml:space="preserve"> </w:t>
      </w:r>
    </w:p>
    <w:p w:rsidR="00E32081" w:rsidRPr="00E206AF" w:rsidRDefault="00E32081" w:rsidP="00E32081">
      <w:pPr>
        <w:ind w:left="1644" w:right="1276"/>
        <w:jc w:val="both"/>
        <w:rPr>
          <w:rFonts w:ascii="Century" w:hAnsi="Century" w:cs="FrankRuehl"/>
          <w:spacing w:val="10"/>
          <w:sz w:val="22"/>
          <w:szCs w:val="28"/>
          <w:rtl/>
        </w:rPr>
      </w:pPr>
      <w:r w:rsidRPr="00E206AF">
        <w:rPr>
          <w:rFonts w:ascii="Arial TUR" w:hAnsi="Arial TUR" w:cs="FrankRuehl"/>
          <w:spacing w:val="10"/>
          <w:sz w:val="22"/>
          <w:szCs w:val="28"/>
          <w:rtl/>
        </w:rPr>
        <w:t xml:space="preserve">"יש </w:t>
      </w:r>
      <w:r w:rsidRPr="00E206AF">
        <w:rPr>
          <w:rFonts w:ascii="Arial TUR" w:hAnsi="Arial TUR" w:cs="FrankRuehl" w:hint="eastAsia"/>
          <w:spacing w:val="10"/>
          <w:sz w:val="22"/>
          <w:szCs w:val="28"/>
          <w:rtl/>
        </w:rPr>
        <w:t>לגבש</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תכלית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חוקתית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שתקדם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בצורה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הראויה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ביותר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האחדות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החוקתית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ותשמור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בצורה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האופטימלית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הרמוניה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חוקתית</w:t>
      </w:r>
      <w:r w:rsidRPr="00E206AF">
        <w:rPr>
          <w:rFonts w:ascii="Arial TUR" w:hAnsi="Arial TUR" w:cs="FrankRuehl"/>
          <w:spacing w:val="10"/>
          <w:sz w:val="22"/>
          <w:szCs w:val="28"/>
          <w:rtl/>
        </w:rPr>
        <w:t xml:space="preserve"> [...] </w:t>
      </w:r>
      <w:r w:rsidRPr="00E206AF">
        <w:rPr>
          <w:rFonts w:ascii="Arial TUR" w:hAnsi="Arial TUR" w:cs="FrankRuehl" w:hint="eastAsia"/>
          <w:spacing w:val="10"/>
          <w:sz w:val="22"/>
          <w:szCs w:val="28"/>
          <w:rtl/>
        </w:rPr>
        <w:t>אין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לגרום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לכך</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שההוראות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החוקתיות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יתפסו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כהוראות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עצמאיות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ובלתי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קשורות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זו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לזו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אולם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להגזים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בכוחה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דרישה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זו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טקסט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חוקתי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אינו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טקסט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מושלם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כשם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שחיי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החברה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אינם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מושלמים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לעיתים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קרובות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המשפט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והחיים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מבוססים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דיסהרמוניה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ועל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היעדר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אינטגרציה</w:t>
      </w:r>
      <w:r w:rsidRPr="00E206AF">
        <w:rPr>
          <w:rFonts w:ascii="Arial TUR" w:hAnsi="Arial TUR" w:cs="FrankRuehl"/>
          <w:spacing w:val="10"/>
          <w:sz w:val="22"/>
          <w:szCs w:val="28"/>
          <w:rtl/>
        </w:rPr>
        <w:t xml:space="preserve"> [....] </w:t>
      </w:r>
      <w:r w:rsidRPr="00E206AF">
        <w:rPr>
          <w:rFonts w:ascii="Arial TUR" w:hAnsi="Arial TUR" w:cs="FrankRuehl" w:hint="eastAsia"/>
          <w:spacing w:val="10"/>
          <w:sz w:val="22"/>
          <w:szCs w:val="28"/>
          <w:rtl/>
        </w:rPr>
        <w:t>אכן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חוקה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מבוססת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תפיסות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פוליטיות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פילוסופיות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חברתיות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ומשפטיות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ואלו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אינן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משקפות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תמיד</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גישה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קוהרנטית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נהפוך</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הוא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חוקה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היא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פרי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פשרה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הסכנות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הלאומיות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המולידות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לרוב</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טקסט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חוקתי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אינן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מבלטות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חילוקי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דעות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לאומיים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אלא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רק</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מאפשרות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להתאחד</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סביב</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גרעין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משותף</w:t>
      </w:r>
      <w:r w:rsidRPr="00E206AF">
        <w:rPr>
          <w:rFonts w:ascii="Arial TUR" w:hAnsi="Arial TUR" w:cs="FrankRuehl"/>
          <w:spacing w:val="10"/>
          <w:sz w:val="22"/>
          <w:szCs w:val="28"/>
          <w:rtl/>
        </w:rPr>
        <w:t xml:space="preserve"> [...] </w:t>
      </w:r>
      <w:r w:rsidRPr="00E206AF">
        <w:rPr>
          <w:rFonts w:ascii="Arial TUR" w:hAnsi="Arial TUR" w:cs="FrankRuehl" w:hint="eastAsia"/>
          <w:spacing w:val="10"/>
          <w:sz w:val="22"/>
          <w:szCs w:val="28"/>
          <w:rtl/>
        </w:rPr>
        <w:t>על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אפשרות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להשיג</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שלמות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חוקתית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יש</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לשאוף</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לאחדות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ולהרמוניה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במידה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האפשרית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במסגרת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הנתונים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הקיימים</w:t>
      </w:r>
      <w:r w:rsidRPr="00E206AF">
        <w:rPr>
          <w:rFonts w:ascii="Arial TUR" w:hAnsi="Arial TUR" w:cs="FrankRuehl"/>
          <w:spacing w:val="10"/>
          <w:sz w:val="22"/>
          <w:szCs w:val="28"/>
          <w:rtl/>
        </w:rPr>
        <w:t>" (</w:t>
      </w:r>
      <w:r w:rsidRPr="00E206AF">
        <w:rPr>
          <w:rFonts w:ascii="Century" w:hAnsi="Century" w:cs="FrankRuehl" w:hint="cs"/>
          <w:spacing w:val="10"/>
          <w:sz w:val="22"/>
          <w:szCs w:val="28"/>
          <w:rtl/>
        </w:rPr>
        <w:t xml:space="preserve">אהרן ברק "פרשנותם של חוקי-יסוד" </w:t>
      </w:r>
      <w:r w:rsidRPr="00E206AF">
        <w:rPr>
          <w:rFonts w:ascii="Century" w:hAnsi="Century" w:cs="Miriam" w:hint="cs"/>
          <w:b/>
          <w:sz w:val="22"/>
          <w:rtl/>
        </w:rPr>
        <w:t xml:space="preserve">משפטים </w:t>
      </w:r>
      <w:r w:rsidRPr="00E206AF">
        <w:rPr>
          <w:rFonts w:ascii="Century" w:hAnsi="Century" w:cs="FrankRuehl" w:hint="cs"/>
          <w:spacing w:val="10"/>
          <w:sz w:val="22"/>
          <w:szCs w:val="28"/>
          <w:rtl/>
        </w:rPr>
        <w:t xml:space="preserve">נב 31, עמ' 42 (תשנ"ג-תשנ"ד)).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43.</w:t>
      </w:r>
      <w:r w:rsidRPr="00E206AF">
        <w:rPr>
          <w:rFonts w:ascii="Century" w:hAnsi="Century" w:cs="FrankRuehl" w:hint="cs"/>
          <w:spacing w:val="10"/>
          <w:sz w:val="22"/>
          <w:szCs w:val="28"/>
          <w:rtl/>
        </w:rPr>
        <w:tab/>
      </w:r>
      <w:r>
        <w:rPr>
          <w:rFonts w:ascii="Century" w:hAnsi="Century" w:cs="FrankRuehl" w:hint="cs"/>
          <w:spacing w:val="10"/>
          <w:sz w:val="22"/>
          <w:szCs w:val="28"/>
          <w:rtl/>
        </w:rPr>
        <w:t xml:space="preserve">אקדים ואומר, כי </w:t>
      </w:r>
      <w:r w:rsidRPr="00E206AF">
        <w:rPr>
          <w:rFonts w:ascii="Century" w:hAnsi="Century" w:cs="FrankRuehl" w:hint="cs"/>
          <w:spacing w:val="10"/>
          <w:sz w:val="22"/>
          <w:szCs w:val="28"/>
          <w:rtl/>
        </w:rPr>
        <w:t>יישום כללי הפרשנות האמורים מוביל למסקנה</w:t>
      </w:r>
      <w:r>
        <w:rPr>
          <w:rFonts w:ascii="Century" w:hAnsi="Century" w:cs="FrankRuehl" w:hint="cs"/>
          <w:spacing w:val="10"/>
          <w:sz w:val="22"/>
          <w:szCs w:val="28"/>
          <w:rtl/>
        </w:rPr>
        <w:t xml:space="preserve"> </w:t>
      </w:r>
      <w:r>
        <w:rPr>
          <w:rFonts w:ascii="Century" w:hAnsi="Century" w:cs="FrankRuehl"/>
          <w:spacing w:val="10"/>
          <w:sz w:val="22"/>
          <w:szCs w:val="28"/>
          <w:rtl/>
        </w:rPr>
        <w:t>–</w:t>
      </w:r>
      <w:r>
        <w:rPr>
          <w:rFonts w:ascii="Century" w:hAnsi="Century" w:cs="FrankRuehl" w:hint="cs"/>
          <w:spacing w:val="10"/>
          <w:sz w:val="22"/>
          <w:szCs w:val="28"/>
          <w:rtl/>
        </w:rPr>
        <w:t xml:space="preserve"> שאינה כרוכה, כלל ועיקר, ב"מאמץ פרשני ניכר" </w:t>
      </w:r>
      <w:r>
        <w:rPr>
          <w:rFonts w:ascii="Century" w:hAnsi="Century" w:cs="FrankRuehl"/>
          <w:spacing w:val="10"/>
          <w:sz w:val="22"/>
          <w:szCs w:val="28"/>
          <w:rtl/>
        </w:rPr>
        <w:t>–</w:t>
      </w:r>
      <w:r w:rsidRPr="00E206AF">
        <w:rPr>
          <w:rFonts w:ascii="Century" w:hAnsi="Century" w:cs="FrankRuehl" w:hint="cs"/>
          <w:spacing w:val="10"/>
          <w:sz w:val="22"/>
          <w:szCs w:val="28"/>
          <w:rtl/>
        </w:rPr>
        <w:t xml:space="preserve"> כי </w:t>
      </w:r>
      <w:r>
        <w:rPr>
          <w:rFonts w:ascii="Century" w:hAnsi="Century" w:cs="FrankRuehl" w:hint="cs"/>
          <w:spacing w:val="10"/>
          <w:sz w:val="22"/>
          <w:szCs w:val="28"/>
          <w:rtl/>
        </w:rPr>
        <w:t>יש</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להעניק ל</w:t>
      </w:r>
      <w:r w:rsidRPr="00E206AF">
        <w:rPr>
          <w:rFonts w:ascii="Century" w:hAnsi="Century" w:cs="FrankRuehl" w:hint="cs"/>
          <w:spacing w:val="10"/>
          <w:sz w:val="22"/>
          <w:szCs w:val="28"/>
          <w:rtl/>
        </w:rPr>
        <w:t>תיקון</w:t>
      </w:r>
      <w:r>
        <w:rPr>
          <w:rFonts w:ascii="Century" w:hAnsi="Century" w:cs="FrankRuehl" w:hint="cs"/>
          <w:spacing w:val="10"/>
          <w:sz w:val="22"/>
          <w:szCs w:val="28"/>
          <w:rtl/>
        </w:rPr>
        <w:t xml:space="preserve"> פרשנות </w:t>
      </w:r>
      <w:r w:rsidRPr="00E206AF">
        <w:rPr>
          <w:rFonts w:ascii="Century" w:hAnsi="Century" w:cs="FrankRuehl" w:hint="cs"/>
          <w:spacing w:val="10"/>
          <w:sz w:val="22"/>
          <w:szCs w:val="28"/>
          <w:rtl/>
        </w:rPr>
        <w:t>שלפיה ה</w:t>
      </w:r>
      <w:r>
        <w:rPr>
          <w:rFonts w:ascii="Century" w:hAnsi="Century" w:cs="FrankRuehl" w:hint="cs"/>
          <w:spacing w:val="10"/>
          <w:sz w:val="22"/>
          <w:szCs w:val="28"/>
          <w:rtl/>
        </w:rPr>
        <w:t>וא</w:t>
      </w:r>
      <w:r w:rsidRPr="00E206AF">
        <w:rPr>
          <w:rFonts w:ascii="Century" w:hAnsi="Century" w:cs="FrankRuehl" w:hint="cs"/>
          <w:spacing w:val="10"/>
          <w:sz w:val="22"/>
          <w:szCs w:val="28"/>
          <w:rtl/>
        </w:rPr>
        <w:t xml:space="preserve"> מ</w:t>
      </w:r>
      <w:r>
        <w:rPr>
          <w:rFonts w:ascii="Century" w:hAnsi="Century" w:cs="FrankRuehl" w:hint="cs"/>
          <w:spacing w:val="10"/>
          <w:sz w:val="22"/>
          <w:szCs w:val="28"/>
          <w:rtl/>
        </w:rPr>
        <w:t>תייחס</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ל</w:t>
      </w:r>
      <w:r w:rsidRPr="00E206AF">
        <w:rPr>
          <w:rFonts w:ascii="Century" w:hAnsi="Century" w:cs="FrankRuehl" w:hint="cs"/>
          <w:spacing w:val="10"/>
          <w:sz w:val="22"/>
          <w:szCs w:val="28"/>
          <w:rtl/>
        </w:rPr>
        <w:t>עילת הסבירות האיזונית בלבד</w:t>
      </w:r>
      <w:r>
        <w:rPr>
          <w:rFonts w:ascii="Arial TUR" w:hAnsi="Arial TUR" w:cs="FrankRuehl" w:hint="cs"/>
          <w:spacing w:val="10"/>
          <w:sz w:val="22"/>
          <w:szCs w:val="28"/>
          <w:rtl/>
        </w:rPr>
        <w:t>.</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פרשנות זו</w:t>
      </w:r>
      <w:r w:rsidRPr="00E206AF">
        <w:rPr>
          <w:rFonts w:ascii="Century" w:hAnsi="Century" w:cs="FrankRuehl" w:hint="cs"/>
          <w:spacing w:val="10"/>
          <w:sz w:val="22"/>
          <w:szCs w:val="28"/>
          <w:rtl/>
        </w:rPr>
        <w:t xml:space="preserve"> אפשרי</w:t>
      </w:r>
      <w:r>
        <w:rPr>
          <w:rFonts w:ascii="Century" w:hAnsi="Century" w:cs="FrankRuehl" w:hint="cs"/>
          <w:spacing w:val="10"/>
          <w:sz w:val="22"/>
          <w:szCs w:val="28"/>
          <w:rtl/>
        </w:rPr>
        <w:t>ת</w:t>
      </w:r>
      <w:r w:rsidRPr="00E206AF">
        <w:rPr>
          <w:rFonts w:ascii="Century" w:hAnsi="Century" w:cs="FrankRuehl" w:hint="cs"/>
          <w:spacing w:val="10"/>
          <w:sz w:val="22"/>
          <w:szCs w:val="28"/>
          <w:rtl/>
        </w:rPr>
        <w:t xml:space="preserve"> מבחינה לשונית ומתיישב</w:t>
      </w:r>
      <w:r>
        <w:rPr>
          <w:rFonts w:ascii="Century" w:hAnsi="Century" w:cs="FrankRuehl" w:hint="cs"/>
          <w:spacing w:val="10"/>
          <w:sz w:val="22"/>
          <w:szCs w:val="28"/>
          <w:rtl/>
        </w:rPr>
        <w:t>ת</w:t>
      </w:r>
      <w:r w:rsidRPr="00E206AF">
        <w:rPr>
          <w:rFonts w:ascii="Century" w:hAnsi="Century" w:cs="FrankRuehl" w:hint="cs"/>
          <w:spacing w:val="10"/>
          <w:sz w:val="22"/>
          <w:szCs w:val="28"/>
          <w:rtl/>
        </w:rPr>
        <w:t xml:space="preserve"> היטב עם תכליותיו של התיקון.</w:t>
      </w:r>
      <w:r>
        <w:rPr>
          <w:rFonts w:ascii="Century" w:hAnsi="Century" w:cs="FrankRuehl" w:hint="cs"/>
          <w:spacing w:val="10"/>
          <w:sz w:val="22"/>
          <w:szCs w:val="28"/>
          <w:rtl/>
        </w:rPr>
        <w:t xml:space="preserve"> כפי שיבואר בהמשך,</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פרשנות</w:t>
      </w:r>
      <w:r w:rsidRPr="00E206AF">
        <w:rPr>
          <w:rFonts w:ascii="Century" w:hAnsi="Century" w:cs="FrankRuehl" w:hint="cs"/>
          <w:spacing w:val="10"/>
          <w:sz w:val="22"/>
          <w:szCs w:val="28"/>
          <w:rtl/>
        </w:rPr>
        <w:t xml:space="preserve"> כאמור אינ</w:t>
      </w:r>
      <w:r>
        <w:rPr>
          <w:rFonts w:ascii="Century" w:hAnsi="Century" w:cs="FrankRuehl" w:hint="cs"/>
          <w:spacing w:val="10"/>
          <w:sz w:val="22"/>
          <w:szCs w:val="28"/>
          <w:rtl/>
        </w:rPr>
        <w:t>ה מובילה</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לפגיעה</w:t>
      </w:r>
      <w:r w:rsidRPr="00E206AF">
        <w:rPr>
          <w:rFonts w:ascii="Century" w:hAnsi="Century" w:cs="FrankRuehl" w:hint="cs"/>
          <w:spacing w:val="10"/>
          <w:sz w:val="22"/>
          <w:szCs w:val="28"/>
          <w:rtl/>
        </w:rPr>
        <w:t xml:space="preserve"> בליבת הזהות הדמוקרטית של מדינת ישראל</w:t>
      </w:r>
      <w:r>
        <w:rPr>
          <w:rFonts w:ascii="Century" w:hAnsi="Century" w:cs="FrankRuehl" w:hint="cs"/>
          <w:spacing w:val="10"/>
          <w:sz w:val="22"/>
          <w:szCs w:val="28"/>
          <w:rtl/>
        </w:rPr>
        <w:t>; ולפיכך מדובר ב</w:t>
      </w:r>
      <w:r>
        <w:rPr>
          <w:rFonts w:ascii="Century" w:hAnsi="Century" w:cs="Miriam" w:hint="cs"/>
          <w:b/>
          <w:sz w:val="22"/>
          <w:rtl/>
        </w:rPr>
        <w:t>פרשנות מקיימת</w:t>
      </w:r>
      <w:r w:rsidRPr="006E7B87">
        <w:rPr>
          <w:rFonts w:ascii="Century" w:hAnsi="Century" w:cs="FrankRuehl"/>
          <w:spacing w:val="10"/>
          <w:sz w:val="22"/>
          <w:szCs w:val="28"/>
          <w:rtl/>
        </w:rPr>
        <w:t>.</w:t>
      </w:r>
      <w:r>
        <w:rPr>
          <w:rFonts w:ascii="Century" w:hAnsi="Century" w:cs="FrankRuehl" w:hint="cs"/>
          <w:spacing w:val="10"/>
          <w:sz w:val="22"/>
          <w:szCs w:val="28"/>
          <w:rtl/>
        </w:rPr>
        <w:t xml:space="preserve"> ממילא, מצווים אנו לאמץ פרשנות זו, ולהעדיפה על פני פרשנויות אחרות, אשר עשויות להוביל למסקנה הפוכה ולביטולו של התיקון.</w:t>
      </w:r>
    </w:p>
    <w:p w:rsidR="00E32081"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Pr>
          <w:rFonts w:ascii="Century" w:hAnsi="Century" w:cs="FrankRuehl"/>
          <w:spacing w:val="10"/>
          <w:sz w:val="22"/>
          <w:szCs w:val="28"/>
          <w:rtl/>
        </w:rPr>
        <w:tab/>
      </w:r>
      <w:r>
        <w:rPr>
          <w:rFonts w:ascii="Century" w:hAnsi="Century" w:cs="FrankRuehl" w:hint="cs"/>
          <w:spacing w:val="10"/>
          <w:sz w:val="22"/>
          <w:szCs w:val="28"/>
          <w:rtl/>
        </w:rPr>
        <w:t>נפתח, אפוא, בבחינת לשונו של התיקון שלפנינו.</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Miriam"/>
          <w:b/>
          <w:sz w:val="22"/>
          <w:rtl/>
        </w:rPr>
      </w:pPr>
      <w:r w:rsidRPr="00E206AF">
        <w:rPr>
          <w:rFonts w:ascii="Century" w:hAnsi="Century" w:cs="Miriam" w:hint="cs"/>
          <w:b/>
          <w:sz w:val="22"/>
          <w:rtl/>
        </w:rPr>
        <w:t xml:space="preserve">א. לשון התיקון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44.</w:t>
      </w:r>
      <w:r w:rsidRPr="00E206AF">
        <w:rPr>
          <w:rFonts w:ascii="Century" w:hAnsi="Century" w:cs="FrankRuehl" w:hint="cs"/>
          <w:spacing w:val="10"/>
          <w:sz w:val="22"/>
          <w:szCs w:val="28"/>
          <w:rtl/>
        </w:rPr>
        <w:tab/>
        <w:t xml:space="preserve">ישאל השואל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מהי "סבירות"?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לשאלה </w:t>
      </w:r>
      <w:r>
        <w:rPr>
          <w:rFonts w:ascii="Century" w:hAnsi="Century" w:cs="FrankRuehl" w:hint="cs"/>
          <w:spacing w:val="10"/>
          <w:sz w:val="22"/>
          <w:szCs w:val="28"/>
          <w:rtl/>
        </w:rPr>
        <w:t>זו</w:t>
      </w:r>
      <w:r w:rsidRPr="00E206AF">
        <w:rPr>
          <w:rFonts w:ascii="Century" w:hAnsi="Century" w:cs="FrankRuehl" w:hint="cs"/>
          <w:spacing w:val="10"/>
          <w:sz w:val="22"/>
          <w:szCs w:val="28"/>
          <w:rtl/>
        </w:rPr>
        <w:t xml:space="preserve"> תשובות שונות ומגוונות, שכן מדובר במונח שמשמעותו עמומה וגבולותיו </w:t>
      </w:r>
      <w:r>
        <w:rPr>
          <w:rFonts w:ascii="Century" w:hAnsi="Century" w:cs="FrankRuehl" w:hint="cs"/>
          <w:spacing w:val="10"/>
          <w:sz w:val="22"/>
          <w:szCs w:val="28"/>
          <w:rtl/>
        </w:rPr>
        <w:t>אינם ברורים</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 xml:space="preserve">ואכן, דומה כי </w:t>
      </w:r>
      <w:r w:rsidRPr="00E206AF">
        <w:rPr>
          <w:rFonts w:ascii="Century" w:hAnsi="Century" w:cs="FrankRuehl" w:hint="cs"/>
          <w:spacing w:val="10"/>
          <w:sz w:val="22"/>
          <w:szCs w:val="28"/>
          <w:rtl/>
        </w:rPr>
        <w:t xml:space="preserve">אין מחלוקת כי המונח "סבירות" נתון לפרשנויות שונות (ראו, למשל: </w:t>
      </w:r>
      <w:r w:rsidRPr="00E206AF">
        <w:rPr>
          <w:rFonts w:ascii="Century" w:hAnsi="Century" w:cs="Miriam" w:hint="cs"/>
          <w:b/>
          <w:sz w:val="22"/>
          <w:rtl/>
        </w:rPr>
        <w:t>זמיר, הסמכות המינהלית</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בעמ' 3548), ומשמעותו המשפטית עשויה להשתנות בהתאם להקשר (ראו</w:t>
      </w:r>
      <w:r>
        <w:rPr>
          <w:rFonts w:ascii="Century" w:hAnsi="Century" w:cs="FrankRuehl" w:hint="cs"/>
          <w:spacing w:val="10"/>
          <w:sz w:val="22"/>
          <w:szCs w:val="28"/>
          <w:rtl/>
        </w:rPr>
        <w:t xml:space="preserve"> ההפניה בפס' 38 לעיל).</w:t>
      </w:r>
      <w:r w:rsidRPr="00E206AF">
        <w:rPr>
          <w:rFonts w:ascii="Century" w:hAnsi="Century" w:cs="FrankRuehl" w:hint="cs"/>
          <w:spacing w:val="10"/>
          <w:sz w:val="22"/>
          <w:szCs w:val="28"/>
          <w:rtl/>
        </w:rPr>
        <w:t xml:space="preserve"> כך, למשל, אופיו של המונח "סבירות" בדיני הנזיקין אינ</w:t>
      </w:r>
      <w:r>
        <w:rPr>
          <w:rFonts w:ascii="Century" w:hAnsi="Century" w:cs="FrankRuehl" w:hint="cs"/>
          <w:spacing w:val="10"/>
          <w:sz w:val="22"/>
          <w:szCs w:val="28"/>
          <w:rtl/>
        </w:rPr>
        <w:t>ו</w:t>
      </w:r>
      <w:r w:rsidRPr="00E206AF">
        <w:rPr>
          <w:rFonts w:ascii="Century" w:hAnsi="Century" w:cs="FrankRuehl" w:hint="cs"/>
          <w:spacing w:val="10"/>
          <w:sz w:val="22"/>
          <w:szCs w:val="28"/>
          <w:rtl/>
        </w:rPr>
        <w:t xml:space="preserve"> זהה למשמעותו בדין המינהלי (ראו, מני רבים: ע"א 2906/01 </w:t>
      </w:r>
      <w:r w:rsidRPr="00E206AF">
        <w:rPr>
          <w:rFonts w:ascii="Century" w:hAnsi="Century" w:cs="Miriam" w:hint="cs"/>
          <w:b/>
          <w:sz w:val="22"/>
          <w:rtl/>
        </w:rPr>
        <w:t>עיריית חיפה נ' מנורה חברה לביטוח בע"מ</w:t>
      </w:r>
      <w:r w:rsidRPr="00E206AF">
        <w:rPr>
          <w:rFonts w:ascii="Century" w:hAnsi="Century" w:cs="FrankRuehl" w:hint="cs"/>
          <w:spacing w:val="10"/>
          <w:sz w:val="22"/>
          <w:szCs w:val="28"/>
          <w:rtl/>
        </w:rPr>
        <w:t xml:space="preserve">, פס' 42 לפסק דינה של השופטת </w:t>
      </w:r>
      <w:r w:rsidRPr="00E206AF">
        <w:rPr>
          <w:rFonts w:ascii="Century" w:hAnsi="Century" w:cs="Miriam" w:hint="cs"/>
          <w:b/>
          <w:sz w:val="22"/>
          <w:rtl/>
        </w:rPr>
        <w:t>חיות</w:t>
      </w:r>
      <w:r w:rsidRPr="00E206AF">
        <w:rPr>
          <w:rFonts w:ascii="Century" w:hAnsi="Century" w:cs="FrankRuehl" w:hint="cs"/>
          <w:spacing w:val="10"/>
          <w:sz w:val="22"/>
          <w:szCs w:val="28"/>
          <w:rtl/>
        </w:rPr>
        <w:t xml:space="preserve"> (25.5.2006); רע"א 2063/16 </w:t>
      </w:r>
      <w:r w:rsidRPr="00E206AF">
        <w:rPr>
          <w:rFonts w:ascii="Century" w:hAnsi="Century" w:cs="Miriam" w:hint="cs"/>
          <w:b/>
          <w:sz w:val="22"/>
          <w:rtl/>
        </w:rPr>
        <w:t>גליק נ' משטרת ישראל</w:t>
      </w:r>
      <w:r w:rsidRPr="00E206AF">
        <w:rPr>
          <w:rFonts w:ascii="Century" w:hAnsi="Century" w:cs="FrankRuehl" w:hint="cs"/>
          <w:spacing w:val="10"/>
          <w:sz w:val="22"/>
          <w:szCs w:val="28"/>
          <w:rtl/>
        </w:rPr>
        <w:t xml:space="preserve">, פס' 32-31 לפסק דינו של השופט </w:t>
      </w:r>
      <w:r w:rsidRPr="00E206AF">
        <w:rPr>
          <w:rFonts w:ascii="Century" w:hAnsi="Century" w:cs="Miriam" w:hint="cs"/>
          <w:b/>
          <w:sz w:val="22"/>
          <w:rtl/>
        </w:rPr>
        <w:t xml:space="preserve">עמית </w:t>
      </w:r>
      <w:r w:rsidRPr="00E206AF">
        <w:rPr>
          <w:rFonts w:ascii="Century" w:hAnsi="Century" w:cs="FrankRuehl" w:hint="cs"/>
          <w:spacing w:val="10"/>
          <w:sz w:val="22"/>
          <w:szCs w:val="28"/>
          <w:rtl/>
        </w:rPr>
        <w:t>(19.1.2017)).</w:t>
      </w:r>
      <w:r>
        <w:rPr>
          <w:rFonts w:ascii="Century" w:hAnsi="Century" w:cs="FrankRuehl" w:hint="cs"/>
          <w:spacing w:val="10"/>
          <w:sz w:val="22"/>
          <w:szCs w:val="28"/>
          <w:rtl/>
        </w:rPr>
        <w:t xml:space="preserve"> </w:t>
      </w:r>
      <w:r w:rsidRPr="00E206AF">
        <w:rPr>
          <w:rFonts w:ascii="Century" w:hAnsi="Century" w:cs="FrankRuehl" w:hint="cs"/>
          <w:spacing w:val="10"/>
          <w:sz w:val="22"/>
          <w:szCs w:val="28"/>
          <w:rtl/>
        </w:rPr>
        <w:t xml:space="preserve">באופן דומה, אף בגדר המשפט המינהלי, למונח "סבירות" מספר משמעויות אפשריות (ראו: </w:t>
      </w:r>
      <w:r w:rsidRPr="00E206AF">
        <w:rPr>
          <w:rFonts w:ascii="Arial TUR" w:hAnsi="Arial TUR" w:cs="Miriam" w:hint="eastAsia"/>
          <w:b/>
          <w:sz w:val="22"/>
          <w:rtl/>
        </w:rPr>
        <w:t>א</w:t>
      </w:r>
      <w:r w:rsidRPr="00E206AF">
        <w:rPr>
          <w:rFonts w:ascii="Arial TUR" w:hAnsi="Arial TUR" w:cs="Miriam"/>
          <w:b/>
          <w:sz w:val="22"/>
          <w:rtl/>
        </w:rPr>
        <w:t xml:space="preserve">' </w:t>
      </w:r>
      <w:r w:rsidRPr="00E206AF">
        <w:rPr>
          <w:rFonts w:ascii="Arial TUR" w:hAnsi="Arial TUR" w:cs="Miriam" w:hint="eastAsia"/>
          <w:b/>
          <w:sz w:val="22"/>
          <w:rtl/>
        </w:rPr>
        <w:t>זמי</w:t>
      </w:r>
      <w:r w:rsidRPr="00E206AF">
        <w:rPr>
          <w:rFonts w:ascii="Century" w:hAnsi="Century" w:cs="Miriam" w:hint="cs"/>
          <w:b/>
          <w:sz w:val="22"/>
          <w:rtl/>
        </w:rPr>
        <w:t>ר, עילת אי-הסבירות</w:t>
      </w:r>
      <w:r w:rsidRPr="00E206AF">
        <w:rPr>
          <w:rFonts w:ascii="Century" w:hAnsi="Century" w:cs="FrankRuehl" w:hint="cs"/>
          <w:spacing w:val="10"/>
          <w:sz w:val="22"/>
          <w:szCs w:val="28"/>
          <w:rtl/>
        </w:rPr>
        <w:t>, עמ' 297-296)</w:t>
      </w:r>
      <w:r>
        <w:rPr>
          <w:rFonts w:ascii="Century" w:hAnsi="Century" w:cs="FrankRuehl" w:hint="cs"/>
          <w:spacing w:val="10"/>
          <w:sz w:val="22"/>
          <w:szCs w:val="28"/>
          <w:rtl/>
        </w:rPr>
        <w:t>,</w:t>
      </w:r>
      <w:r w:rsidRPr="00E206AF">
        <w:rPr>
          <w:rFonts w:ascii="Century" w:hAnsi="Century" w:cs="FrankRuehl" w:hint="cs"/>
          <w:spacing w:val="10"/>
          <w:sz w:val="22"/>
          <w:szCs w:val="28"/>
          <w:rtl/>
        </w:rPr>
        <w:t xml:space="preserve"> ולא למותר לשוב ולהזכיר את שפורט בהרחבה לעיל</w:t>
      </w:r>
      <w:r>
        <w:rPr>
          <w:rFonts w:ascii="Century" w:hAnsi="Century" w:cs="FrankRuehl" w:hint="cs"/>
          <w:spacing w:val="10"/>
          <w:sz w:val="22"/>
          <w:szCs w:val="28"/>
          <w:rtl/>
        </w:rPr>
        <w:t xml:space="preserve"> </w:t>
      </w:r>
      <w:r>
        <w:rPr>
          <w:rFonts w:ascii="Century" w:hAnsi="Century" w:cs="FrankRuehl"/>
          <w:spacing w:val="10"/>
          <w:sz w:val="22"/>
          <w:szCs w:val="28"/>
          <w:rtl/>
        </w:rPr>
        <w:t>–</w:t>
      </w:r>
      <w:r>
        <w:rPr>
          <w:rFonts w:ascii="Century" w:hAnsi="Century" w:cs="FrankRuehl" w:hint="cs"/>
          <w:spacing w:val="10"/>
          <w:sz w:val="22"/>
          <w:szCs w:val="28"/>
          <w:rtl/>
        </w:rPr>
        <w:t xml:space="preserve"> </w:t>
      </w:r>
      <w:r w:rsidRPr="00E206AF">
        <w:rPr>
          <w:rFonts w:ascii="Arial TUR" w:hAnsi="Arial TUR" w:cs="FrankRuehl" w:hint="cs"/>
          <w:spacing w:val="10"/>
          <w:sz w:val="22"/>
          <w:szCs w:val="28"/>
          <w:rtl/>
        </w:rPr>
        <w:t xml:space="preserve">תוכנו של המונח "סבירות" בדין המינהלי השתנה לאורך השנים, </w:t>
      </w:r>
      <w:r>
        <w:rPr>
          <w:rFonts w:ascii="Arial TUR" w:hAnsi="Arial TUR" w:cs="FrankRuehl" w:hint="cs"/>
          <w:spacing w:val="10"/>
          <w:sz w:val="22"/>
          <w:szCs w:val="28"/>
          <w:rtl/>
        </w:rPr>
        <w:t>ו</w:t>
      </w:r>
      <w:r w:rsidRPr="00E206AF">
        <w:rPr>
          <w:rFonts w:ascii="Arial TUR" w:hAnsi="Arial TUR" w:cs="FrankRuehl" w:hint="cs"/>
          <w:spacing w:val="10"/>
          <w:sz w:val="22"/>
          <w:szCs w:val="28"/>
          <w:rtl/>
        </w:rPr>
        <w:t xml:space="preserve">מובנו לפני עניין </w:t>
      </w:r>
      <w:r w:rsidRPr="00E206AF">
        <w:rPr>
          <w:rFonts w:ascii="Century" w:hAnsi="Century" w:cs="Miriam" w:hint="cs"/>
          <w:b/>
          <w:sz w:val="22"/>
          <w:rtl/>
        </w:rPr>
        <w:t>דפי זהב</w:t>
      </w:r>
      <w:r>
        <w:rPr>
          <w:rFonts w:ascii="Arial TUR" w:hAnsi="Arial TUR" w:cs="FrankRuehl" w:hint="cs"/>
          <w:spacing w:val="10"/>
          <w:sz w:val="22"/>
          <w:szCs w:val="28"/>
          <w:rtl/>
        </w:rPr>
        <w:t xml:space="preserve"> אינו דומה</w:t>
      </w:r>
      <w:r w:rsidRPr="00E206AF">
        <w:rPr>
          <w:rFonts w:ascii="Arial TUR" w:hAnsi="Arial TUR" w:cs="FrankRuehl" w:hint="cs"/>
          <w:spacing w:val="10"/>
          <w:sz w:val="22"/>
          <w:szCs w:val="28"/>
          <w:rtl/>
        </w:rPr>
        <w:t xml:space="preserve"> למובנו </w:t>
      </w:r>
      <w:r>
        <w:rPr>
          <w:rFonts w:ascii="Arial TUR" w:hAnsi="Arial TUR" w:cs="FrankRuehl" w:hint="cs"/>
          <w:spacing w:val="10"/>
          <w:sz w:val="22"/>
          <w:szCs w:val="28"/>
          <w:rtl/>
        </w:rPr>
        <w:t>ל</w:t>
      </w:r>
      <w:r w:rsidRPr="00E206AF">
        <w:rPr>
          <w:rFonts w:ascii="Arial TUR" w:hAnsi="Arial TUR" w:cs="FrankRuehl" w:hint="cs"/>
          <w:spacing w:val="10"/>
          <w:sz w:val="22"/>
          <w:szCs w:val="28"/>
          <w:rtl/>
        </w:rPr>
        <w:t>אחר פסק דין זה.</w:t>
      </w: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45.</w:t>
      </w:r>
      <w:r w:rsidRPr="00E206AF">
        <w:rPr>
          <w:rFonts w:ascii="Century" w:hAnsi="Century" w:cs="FrankRuehl" w:hint="cs"/>
          <w:spacing w:val="10"/>
          <w:sz w:val="22"/>
          <w:szCs w:val="28"/>
          <w:rtl/>
        </w:rPr>
        <w:tab/>
        <w:t>יחד עם זאת, נראה כי בשנים האחרונות</w:t>
      </w:r>
      <w:r>
        <w:rPr>
          <w:rFonts w:ascii="Century" w:hAnsi="Century" w:cs="FrankRuehl" w:hint="cs"/>
          <w:spacing w:val="10"/>
          <w:sz w:val="22"/>
          <w:szCs w:val="28"/>
          <w:rtl/>
        </w:rPr>
        <w:t>, השיח על אודות</w:t>
      </w:r>
      <w:r w:rsidRPr="00E206AF">
        <w:rPr>
          <w:rFonts w:ascii="Century" w:hAnsi="Century" w:cs="FrankRuehl" w:hint="cs"/>
          <w:spacing w:val="10"/>
          <w:sz w:val="22"/>
          <w:szCs w:val="28"/>
          <w:rtl/>
        </w:rPr>
        <w:t xml:space="preserve"> "עילת הסבירות" </w:t>
      </w:r>
      <w:r>
        <w:rPr>
          <w:rFonts w:ascii="Century" w:hAnsi="Century" w:cs="FrankRuehl" w:hint="cs"/>
          <w:spacing w:val="10"/>
          <w:sz w:val="22"/>
          <w:szCs w:val="28"/>
          <w:rtl/>
        </w:rPr>
        <w:t>במשפט</w:t>
      </w:r>
      <w:r w:rsidRPr="00E206AF">
        <w:rPr>
          <w:rFonts w:ascii="Century" w:hAnsi="Century" w:cs="FrankRuehl" w:hint="cs"/>
          <w:spacing w:val="10"/>
          <w:sz w:val="22"/>
          <w:szCs w:val="28"/>
          <w:rtl/>
        </w:rPr>
        <w:t xml:space="preserve"> המינהלי</w:t>
      </w:r>
      <w:r>
        <w:rPr>
          <w:rFonts w:ascii="Century" w:hAnsi="Century" w:cs="FrankRuehl" w:hint="cs"/>
          <w:spacing w:val="10"/>
          <w:sz w:val="22"/>
          <w:szCs w:val="28"/>
          <w:rtl/>
        </w:rPr>
        <w:t xml:space="preserve"> </w:t>
      </w:r>
      <w:r>
        <w:rPr>
          <w:rFonts w:ascii="Century" w:hAnsi="Century" w:cs="FrankRuehl"/>
          <w:spacing w:val="10"/>
          <w:sz w:val="22"/>
          <w:szCs w:val="28"/>
          <w:rtl/>
        </w:rPr>
        <w:t>–</w:t>
      </w:r>
      <w:r w:rsidRPr="00E206AF">
        <w:rPr>
          <w:rFonts w:ascii="Century" w:hAnsi="Century" w:cs="FrankRuehl" w:hint="cs"/>
          <w:spacing w:val="10"/>
          <w:sz w:val="22"/>
          <w:szCs w:val="28"/>
          <w:rtl/>
        </w:rPr>
        <w:t xml:space="preserve"> הן בפסיקה הן בספרות</w:t>
      </w:r>
      <w:r>
        <w:rPr>
          <w:rFonts w:ascii="Century" w:hAnsi="Century" w:cs="FrankRuehl" w:hint="cs"/>
          <w:spacing w:val="10"/>
          <w:sz w:val="22"/>
          <w:szCs w:val="28"/>
          <w:rtl/>
        </w:rPr>
        <w:t xml:space="preserve"> </w:t>
      </w:r>
      <w:r>
        <w:rPr>
          <w:rFonts w:ascii="Century" w:hAnsi="Century" w:cs="FrankRuehl"/>
          <w:spacing w:val="10"/>
          <w:sz w:val="22"/>
          <w:szCs w:val="28"/>
          <w:rtl/>
        </w:rPr>
        <w:t>–</w:t>
      </w:r>
      <w:r>
        <w:rPr>
          <w:rFonts w:ascii="Century" w:hAnsi="Century" w:cs="FrankRuehl" w:hint="cs"/>
          <w:spacing w:val="10"/>
          <w:sz w:val="22"/>
          <w:szCs w:val="28"/>
          <w:rtl/>
        </w:rPr>
        <w:t xml:space="preserve"> מתייחס</w:t>
      </w:r>
      <w:r w:rsidRPr="00E206AF">
        <w:rPr>
          <w:rFonts w:ascii="Century" w:hAnsi="Century" w:cs="FrankRuehl" w:hint="cs"/>
          <w:spacing w:val="10"/>
          <w:sz w:val="22"/>
          <w:szCs w:val="28"/>
          <w:rtl/>
        </w:rPr>
        <w:t>,</w:t>
      </w:r>
      <w:r>
        <w:rPr>
          <w:rFonts w:ascii="Century" w:hAnsi="Century" w:cs="FrankRuehl" w:hint="cs"/>
          <w:spacing w:val="10"/>
          <w:sz w:val="22"/>
          <w:szCs w:val="28"/>
          <w:rtl/>
        </w:rPr>
        <w:t xml:space="preserve"> רובו ככולו,</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ל</w:t>
      </w:r>
      <w:r w:rsidRPr="00E206AF">
        <w:rPr>
          <w:rFonts w:ascii="Century" w:hAnsi="Century" w:cs="FrankRuehl" w:hint="cs"/>
          <w:spacing w:val="10"/>
          <w:sz w:val="22"/>
          <w:szCs w:val="28"/>
          <w:rtl/>
        </w:rPr>
        <w:t xml:space="preserve">סבירות האיזונית, </w:t>
      </w:r>
      <w:r>
        <w:rPr>
          <w:rFonts w:ascii="Century" w:hAnsi="Century" w:cs="FrankRuehl" w:hint="cs"/>
          <w:spacing w:val="10"/>
          <w:sz w:val="22"/>
          <w:szCs w:val="28"/>
          <w:rtl/>
        </w:rPr>
        <w:t>כמובנה ב</w:t>
      </w:r>
      <w:r w:rsidRPr="00E206AF">
        <w:rPr>
          <w:rFonts w:ascii="Century" w:hAnsi="Century" w:cs="FrankRuehl" w:hint="cs"/>
          <w:spacing w:val="10"/>
          <w:sz w:val="22"/>
          <w:szCs w:val="28"/>
          <w:rtl/>
        </w:rPr>
        <w:t xml:space="preserve">פסק הדין בעניין </w:t>
      </w:r>
      <w:r w:rsidRPr="00E206AF">
        <w:rPr>
          <w:rFonts w:ascii="Century" w:hAnsi="Century" w:cs="Miriam" w:hint="cs"/>
          <w:b/>
          <w:sz w:val="22"/>
          <w:rtl/>
        </w:rPr>
        <w:t>דפי זהב</w:t>
      </w:r>
      <w:r w:rsidRPr="00E206AF">
        <w:rPr>
          <w:rFonts w:ascii="Century" w:hAnsi="Century" w:cs="FrankRuehl" w:hint="cs"/>
          <w:spacing w:val="10"/>
          <w:sz w:val="22"/>
          <w:szCs w:val="28"/>
          <w:rtl/>
        </w:rPr>
        <w:t xml:space="preserve"> </w:t>
      </w:r>
      <w:r w:rsidRPr="00E206AF">
        <w:rPr>
          <w:rFonts w:ascii="FrankRuehl" w:hAnsi="FrankRuehl" w:cs="FrankRuehl"/>
          <w:spacing w:val="10"/>
          <w:sz w:val="28"/>
          <w:szCs w:val="28"/>
          <w:rtl/>
        </w:rPr>
        <w:t xml:space="preserve">(ראו, למשל: </w:t>
      </w:r>
      <w:r w:rsidRPr="00E206AF">
        <w:rPr>
          <w:rFonts w:ascii="Miriam" w:hAnsi="Miriam" w:cs="Miriam"/>
          <w:sz w:val="24"/>
          <w:rtl/>
        </w:rPr>
        <w:t>ברק-ארז</w:t>
      </w:r>
      <w:r w:rsidRPr="00E206AF">
        <w:rPr>
          <w:rFonts w:ascii="FrankRuehl" w:hAnsi="FrankRuehl" w:cs="FrankRuehl"/>
          <w:spacing w:val="10"/>
          <w:sz w:val="28"/>
          <w:szCs w:val="28"/>
          <w:rtl/>
        </w:rPr>
        <w:t xml:space="preserve">, בעמ' 732-731; </w:t>
      </w:r>
      <w:r w:rsidRPr="00E206AF">
        <w:rPr>
          <w:rFonts w:ascii="Miriam" w:hAnsi="Miriam" w:cs="Miriam"/>
          <w:sz w:val="24"/>
          <w:rtl/>
        </w:rPr>
        <w:t>כהן</w:t>
      </w:r>
      <w:r w:rsidRPr="00E206AF">
        <w:rPr>
          <w:rFonts w:ascii="FrankRuehl" w:hAnsi="FrankRuehl" w:cs="FrankRuehl"/>
          <w:spacing w:val="10"/>
          <w:sz w:val="28"/>
          <w:szCs w:val="28"/>
          <w:rtl/>
        </w:rPr>
        <w:t xml:space="preserve">, בעמ' 816; עניין </w:t>
      </w:r>
      <w:r w:rsidRPr="00E206AF">
        <w:rPr>
          <w:rFonts w:ascii="Miriam" w:hAnsi="Miriam" w:cs="Miriam"/>
          <w:sz w:val="24"/>
          <w:rtl/>
        </w:rPr>
        <w:t>אמונה</w:t>
      </w:r>
      <w:r w:rsidRPr="00E206AF">
        <w:rPr>
          <w:rFonts w:ascii="FrankRuehl" w:hAnsi="FrankRuehl" w:cs="FrankRuehl"/>
          <w:spacing w:val="10"/>
          <w:sz w:val="28"/>
          <w:szCs w:val="28"/>
          <w:rtl/>
        </w:rPr>
        <w:t xml:space="preserve">, </w:t>
      </w:r>
      <w:r w:rsidRPr="00E206AF">
        <w:rPr>
          <w:rFonts w:ascii="FrankRuehl" w:hAnsi="FrankRuehl" w:cs="FrankRuehl" w:hint="cs"/>
          <w:spacing w:val="10"/>
          <w:sz w:val="28"/>
          <w:szCs w:val="28"/>
          <w:rtl/>
        </w:rPr>
        <w:t>ב</w:t>
      </w:r>
      <w:r w:rsidRPr="00E206AF">
        <w:rPr>
          <w:rFonts w:ascii="FrankRuehl" w:hAnsi="FrankRuehl" w:cs="FrankRuehl"/>
          <w:spacing w:val="10"/>
          <w:sz w:val="28"/>
          <w:szCs w:val="28"/>
          <w:rtl/>
        </w:rPr>
        <w:t xml:space="preserve">פס' 33 </w:t>
      </w:r>
      <w:r w:rsidRPr="00E206AF">
        <w:rPr>
          <w:rFonts w:ascii="FrankRuehl" w:hAnsi="FrankRuehl" w:cs="FrankRuehl" w:hint="cs"/>
          <w:spacing w:val="10"/>
          <w:sz w:val="28"/>
          <w:szCs w:val="28"/>
          <w:rtl/>
        </w:rPr>
        <w:t>לפסק דינה</w:t>
      </w:r>
      <w:r w:rsidRPr="00E206AF">
        <w:rPr>
          <w:rFonts w:ascii="FrankRuehl" w:hAnsi="FrankRuehl" w:cs="FrankRuehl"/>
          <w:spacing w:val="10"/>
          <w:sz w:val="28"/>
          <w:szCs w:val="28"/>
          <w:rtl/>
        </w:rPr>
        <w:t xml:space="preserve"> של השופטת </w:t>
      </w:r>
      <w:r w:rsidRPr="00E206AF">
        <w:rPr>
          <w:rFonts w:ascii="Century" w:hAnsi="Century" w:cs="Miriam"/>
          <w:b/>
          <w:sz w:val="22"/>
          <w:rtl/>
        </w:rPr>
        <w:t>פרוקצ'יה</w:t>
      </w:r>
      <w:r w:rsidRPr="00E206AF">
        <w:rPr>
          <w:rFonts w:ascii="FrankRuehl" w:hAnsi="FrankRuehl" w:cs="FrankRuehl"/>
          <w:spacing w:val="10"/>
          <w:sz w:val="28"/>
          <w:szCs w:val="28"/>
          <w:rtl/>
        </w:rPr>
        <w:t xml:space="preserve">; עניין </w:t>
      </w:r>
      <w:r w:rsidRPr="00E206AF">
        <w:rPr>
          <w:rFonts w:ascii="Miriam" w:hAnsi="Miriam" w:cs="Miriam"/>
          <w:sz w:val="24"/>
          <w:rtl/>
        </w:rPr>
        <w:t>התאחדות הסוחרים</w:t>
      </w:r>
      <w:r w:rsidRPr="00E206AF">
        <w:rPr>
          <w:rFonts w:ascii="FrankRuehl" w:hAnsi="FrankRuehl" w:cs="FrankRuehl"/>
          <w:spacing w:val="10"/>
          <w:sz w:val="28"/>
          <w:szCs w:val="28"/>
          <w:rtl/>
        </w:rPr>
        <w:t xml:space="preserve">, </w:t>
      </w:r>
      <w:r w:rsidRPr="00E206AF">
        <w:rPr>
          <w:rFonts w:ascii="FrankRuehl" w:hAnsi="FrankRuehl" w:cs="FrankRuehl" w:hint="cs"/>
          <w:spacing w:val="10"/>
          <w:sz w:val="28"/>
          <w:szCs w:val="28"/>
          <w:rtl/>
        </w:rPr>
        <w:t>ב</w:t>
      </w:r>
      <w:r w:rsidRPr="00E206AF">
        <w:rPr>
          <w:rFonts w:ascii="FrankRuehl" w:hAnsi="FrankRuehl" w:cs="FrankRuehl"/>
          <w:spacing w:val="10"/>
          <w:sz w:val="28"/>
          <w:szCs w:val="28"/>
          <w:rtl/>
        </w:rPr>
        <w:t xml:space="preserve">פס' 57 </w:t>
      </w:r>
      <w:r w:rsidRPr="00E206AF">
        <w:rPr>
          <w:rFonts w:ascii="FrankRuehl" w:hAnsi="FrankRuehl" w:cs="FrankRuehl" w:hint="cs"/>
          <w:spacing w:val="10"/>
          <w:sz w:val="28"/>
          <w:szCs w:val="28"/>
          <w:rtl/>
        </w:rPr>
        <w:t>לפסק דינה</w:t>
      </w:r>
      <w:r w:rsidRPr="00E206AF">
        <w:rPr>
          <w:rFonts w:ascii="FrankRuehl" w:hAnsi="FrankRuehl" w:cs="FrankRuehl"/>
          <w:spacing w:val="10"/>
          <w:sz w:val="28"/>
          <w:szCs w:val="28"/>
          <w:rtl/>
        </w:rPr>
        <w:t xml:space="preserve"> של ה</w:t>
      </w:r>
      <w:r w:rsidRPr="00E206AF">
        <w:rPr>
          <w:rFonts w:ascii="FrankRuehl" w:hAnsi="FrankRuehl" w:cs="FrankRuehl" w:hint="cs"/>
          <w:spacing w:val="10"/>
          <w:sz w:val="28"/>
          <w:szCs w:val="28"/>
          <w:rtl/>
        </w:rPr>
        <w:t>נשיאה</w:t>
      </w:r>
      <w:r w:rsidRPr="00E206AF">
        <w:rPr>
          <w:rFonts w:ascii="FrankRuehl" w:hAnsi="FrankRuehl" w:cs="FrankRuehl"/>
          <w:spacing w:val="10"/>
          <w:sz w:val="28"/>
          <w:szCs w:val="28"/>
          <w:rtl/>
        </w:rPr>
        <w:t xml:space="preserve"> </w:t>
      </w:r>
      <w:r w:rsidRPr="00E206AF">
        <w:rPr>
          <w:rFonts w:ascii="Century" w:hAnsi="Century" w:cs="Miriam"/>
          <w:b/>
          <w:sz w:val="22"/>
          <w:rtl/>
        </w:rPr>
        <w:t>נאור</w:t>
      </w:r>
      <w:r w:rsidRPr="00E206AF">
        <w:rPr>
          <w:rFonts w:ascii="FrankRuehl" w:hAnsi="FrankRuehl" w:cs="FrankRuehl"/>
          <w:spacing w:val="10"/>
          <w:sz w:val="28"/>
          <w:szCs w:val="28"/>
          <w:rtl/>
        </w:rPr>
        <w:t xml:space="preserve">; עניין </w:t>
      </w:r>
      <w:r w:rsidRPr="00E206AF">
        <w:rPr>
          <w:rFonts w:ascii="Miriam" w:hAnsi="Miriam" w:cs="Miriam"/>
          <w:sz w:val="24"/>
          <w:rtl/>
        </w:rPr>
        <w:t>שר החוץ</w:t>
      </w:r>
      <w:r w:rsidRPr="00E206AF">
        <w:rPr>
          <w:rFonts w:ascii="FrankRuehl" w:hAnsi="FrankRuehl" w:cs="FrankRuehl"/>
          <w:spacing w:val="10"/>
          <w:sz w:val="28"/>
          <w:szCs w:val="28"/>
          <w:rtl/>
        </w:rPr>
        <w:t xml:space="preserve">, </w:t>
      </w:r>
      <w:r w:rsidRPr="00E206AF">
        <w:rPr>
          <w:rFonts w:ascii="FrankRuehl" w:hAnsi="FrankRuehl" w:cs="FrankRuehl" w:hint="cs"/>
          <w:spacing w:val="10"/>
          <w:sz w:val="28"/>
          <w:szCs w:val="28"/>
          <w:rtl/>
        </w:rPr>
        <w:t>ב</w:t>
      </w:r>
      <w:r w:rsidRPr="00E206AF">
        <w:rPr>
          <w:rFonts w:ascii="FrankRuehl" w:hAnsi="FrankRuehl" w:cs="FrankRuehl"/>
          <w:spacing w:val="10"/>
          <w:sz w:val="28"/>
          <w:szCs w:val="28"/>
          <w:rtl/>
        </w:rPr>
        <w:t xml:space="preserve">פס' 3 </w:t>
      </w:r>
      <w:r w:rsidRPr="00E206AF">
        <w:rPr>
          <w:rFonts w:ascii="FrankRuehl" w:hAnsi="FrankRuehl" w:cs="FrankRuehl" w:hint="cs"/>
          <w:spacing w:val="10"/>
          <w:sz w:val="28"/>
          <w:szCs w:val="28"/>
          <w:rtl/>
        </w:rPr>
        <w:t>לפסק דינה</w:t>
      </w:r>
      <w:r w:rsidRPr="00E206AF">
        <w:rPr>
          <w:rFonts w:ascii="FrankRuehl" w:hAnsi="FrankRuehl" w:cs="FrankRuehl"/>
          <w:spacing w:val="10"/>
          <w:sz w:val="28"/>
          <w:szCs w:val="28"/>
          <w:rtl/>
        </w:rPr>
        <w:t xml:space="preserve"> של השופטת </w:t>
      </w:r>
      <w:r w:rsidRPr="00E206AF">
        <w:rPr>
          <w:rFonts w:ascii="Century" w:hAnsi="Century" w:cs="Miriam"/>
          <w:b/>
          <w:sz w:val="22"/>
          <w:rtl/>
        </w:rPr>
        <w:t>חיות</w:t>
      </w:r>
      <w:r w:rsidRPr="00E206AF">
        <w:rPr>
          <w:rFonts w:ascii="FrankRuehl" w:hAnsi="FrankRuehl" w:cs="FrankRuehl"/>
          <w:spacing w:val="10"/>
          <w:sz w:val="28"/>
          <w:szCs w:val="28"/>
          <w:rtl/>
        </w:rPr>
        <w:t xml:space="preserve">; עניין </w:t>
      </w:r>
      <w:r w:rsidRPr="00E206AF">
        <w:rPr>
          <w:rFonts w:ascii="Miriam" w:hAnsi="Miriam" w:cs="Miriam"/>
          <w:sz w:val="24"/>
          <w:rtl/>
        </w:rPr>
        <w:t>שיינפלד</w:t>
      </w:r>
      <w:r w:rsidRPr="00E206AF">
        <w:rPr>
          <w:rFonts w:ascii="FrankRuehl" w:hAnsi="FrankRuehl" w:cs="FrankRuehl"/>
          <w:spacing w:val="10"/>
          <w:sz w:val="28"/>
          <w:szCs w:val="28"/>
          <w:rtl/>
        </w:rPr>
        <w:t xml:space="preserve">, </w:t>
      </w:r>
      <w:r w:rsidRPr="00E206AF">
        <w:rPr>
          <w:rFonts w:ascii="FrankRuehl" w:hAnsi="FrankRuehl" w:cs="FrankRuehl" w:hint="cs"/>
          <w:spacing w:val="10"/>
          <w:sz w:val="28"/>
          <w:szCs w:val="28"/>
          <w:rtl/>
        </w:rPr>
        <w:t>ב</w:t>
      </w:r>
      <w:r w:rsidRPr="00E206AF">
        <w:rPr>
          <w:rFonts w:ascii="FrankRuehl" w:hAnsi="FrankRuehl" w:cs="FrankRuehl"/>
          <w:spacing w:val="10"/>
          <w:sz w:val="28"/>
          <w:szCs w:val="28"/>
          <w:rtl/>
        </w:rPr>
        <w:t xml:space="preserve">פס' 4 </w:t>
      </w:r>
      <w:r w:rsidRPr="00E206AF">
        <w:rPr>
          <w:rFonts w:ascii="FrankRuehl" w:hAnsi="FrankRuehl" w:cs="FrankRuehl" w:hint="cs"/>
          <w:spacing w:val="10"/>
          <w:sz w:val="28"/>
          <w:szCs w:val="28"/>
          <w:rtl/>
        </w:rPr>
        <w:t>לפסק דינו</w:t>
      </w:r>
      <w:r w:rsidRPr="00E206AF">
        <w:rPr>
          <w:rFonts w:ascii="FrankRuehl" w:hAnsi="FrankRuehl" w:cs="FrankRuehl"/>
          <w:spacing w:val="10"/>
          <w:sz w:val="28"/>
          <w:szCs w:val="28"/>
          <w:rtl/>
        </w:rPr>
        <w:t xml:space="preserve"> של השופט</w:t>
      </w:r>
      <w:r w:rsidRPr="00E206AF">
        <w:rPr>
          <w:rFonts w:ascii="Century" w:hAnsi="Century" w:cs="Miriam"/>
          <w:b/>
          <w:sz w:val="22"/>
          <w:rtl/>
        </w:rPr>
        <w:t xml:space="preserve"> שטיין</w:t>
      </w:r>
      <w:r w:rsidRPr="00E206AF">
        <w:rPr>
          <w:rFonts w:ascii="FrankRuehl" w:hAnsi="FrankRuehl" w:cs="FrankRuehl"/>
          <w:spacing w:val="10"/>
          <w:sz w:val="28"/>
          <w:szCs w:val="28"/>
          <w:rtl/>
        </w:rPr>
        <w:t xml:space="preserve">; עניין </w:t>
      </w:r>
      <w:r w:rsidRPr="00E206AF">
        <w:rPr>
          <w:rFonts w:ascii="Miriam" w:hAnsi="Miriam" w:cs="Miriam"/>
          <w:sz w:val="24"/>
          <w:rtl/>
        </w:rPr>
        <w:t>סטמקה</w:t>
      </w:r>
      <w:r w:rsidRPr="00E206AF">
        <w:rPr>
          <w:rFonts w:ascii="FrankRuehl" w:hAnsi="FrankRuehl" w:cs="FrankRuehl"/>
          <w:spacing w:val="10"/>
          <w:sz w:val="28"/>
          <w:szCs w:val="28"/>
          <w:rtl/>
        </w:rPr>
        <w:t xml:space="preserve">, </w:t>
      </w:r>
      <w:r w:rsidRPr="00E206AF">
        <w:rPr>
          <w:rFonts w:ascii="FrankRuehl" w:hAnsi="FrankRuehl" w:cs="FrankRuehl" w:hint="cs"/>
          <w:spacing w:val="10"/>
          <w:sz w:val="28"/>
          <w:szCs w:val="28"/>
          <w:rtl/>
        </w:rPr>
        <w:t>ב</w:t>
      </w:r>
      <w:r w:rsidRPr="00E206AF">
        <w:rPr>
          <w:rFonts w:ascii="FrankRuehl" w:hAnsi="FrankRuehl" w:cs="FrankRuehl"/>
          <w:spacing w:val="10"/>
          <w:sz w:val="28"/>
          <w:szCs w:val="28"/>
          <w:rtl/>
        </w:rPr>
        <w:t xml:space="preserve">פס' 51; עניין </w:t>
      </w:r>
      <w:r w:rsidRPr="00E206AF">
        <w:rPr>
          <w:rFonts w:ascii="Miriam" w:hAnsi="Miriam" w:cs="Miriam"/>
          <w:sz w:val="24"/>
          <w:rtl/>
        </w:rPr>
        <w:t>נתניהו</w:t>
      </w:r>
      <w:r w:rsidRPr="00E206AF">
        <w:rPr>
          <w:rFonts w:ascii="FrankRuehl" w:hAnsi="FrankRuehl" w:cs="FrankRuehl"/>
          <w:spacing w:val="10"/>
          <w:sz w:val="28"/>
          <w:szCs w:val="28"/>
          <w:rtl/>
        </w:rPr>
        <w:t xml:space="preserve">, </w:t>
      </w:r>
      <w:r w:rsidRPr="00E206AF">
        <w:rPr>
          <w:rFonts w:ascii="FrankRuehl" w:hAnsi="FrankRuehl" w:cs="FrankRuehl" w:hint="cs"/>
          <w:spacing w:val="10"/>
          <w:sz w:val="28"/>
          <w:szCs w:val="28"/>
          <w:rtl/>
        </w:rPr>
        <w:t>ב</w:t>
      </w:r>
      <w:r w:rsidRPr="00E206AF">
        <w:rPr>
          <w:rFonts w:ascii="FrankRuehl" w:hAnsi="FrankRuehl" w:cs="FrankRuehl"/>
          <w:spacing w:val="10"/>
          <w:sz w:val="28"/>
          <w:szCs w:val="28"/>
          <w:rtl/>
        </w:rPr>
        <w:t xml:space="preserve">פס' 5 </w:t>
      </w:r>
      <w:r w:rsidRPr="00E206AF">
        <w:rPr>
          <w:rFonts w:ascii="FrankRuehl" w:hAnsi="FrankRuehl" w:cs="FrankRuehl" w:hint="cs"/>
          <w:spacing w:val="10"/>
          <w:sz w:val="28"/>
          <w:szCs w:val="28"/>
          <w:rtl/>
        </w:rPr>
        <w:t>לפסק דינה</w:t>
      </w:r>
      <w:r w:rsidRPr="00E206AF">
        <w:rPr>
          <w:rFonts w:ascii="FrankRuehl" w:hAnsi="FrankRuehl" w:cs="FrankRuehl"/>
          <w:spacing w:val="10"/>
          <w:sz w:val="28"/>
          <w:szCs w:val="28"/>
          <w:rtl/>
        </w:rPr>
        <w:t xml:space="preserve"> של השופטת </w:t>
      </w:r>
      <w:r w:rsidRPr="00E206AF">
        <w:rPr>
          <w:rFonts w:ascii="Century" w:hAnsi="Century" w:cs="Miriam"/>
          <w:b/>
          <w:sz w:val="22"/>
          <w:rtl/>
        </w:rPr>
        <w:t>ברק ארז</w:t>
      </w:r>
      <w:r w:rsidRPr="00E206AF">
        <w:rPr>
          <w:rFonts w:ascii="FrankRuehl" w:hAnsi="FrankRuehl" w:cs="FrankRuehl"/>
          <w:spacing w:val="10"/>
          <w:sz w:val="28"/>
          <w:szCs w:val="28"/>
          <w:rtl/>
        </w:rPr>
        <w:t xml:space="preserve">). </w:t>
      </w:r>
      <w:r w:rsidRPr="00E206AF">
        <w:rPr>
          <w:rFonts w:ascii="Century" w:hAnsi="Century" w:cs="FrankRuehl" w:hint="cs"/>
          <w:spacing w:val="10"/>
          <w:sz w:val="22"/>
          <w:szCs w:val="28"/>
          <w:rtl/>
        </w:rPr>
        <w:t xml:space="preserve">בפרט, כפי שראינו לעיל, הביקורות המופנות כלפי "עילת הסבירות" מתמקדות, כולן, בעילת הסבירות האיזונית (ראו, למשל: </w:t>
      </w:r>
      <w:r w:rsidRPr="00E206AF">
        <w:rPr>
          <w:rFonts w:ascii="Century" w:hAnsi="Century" w:cs="Miriam" w:hint="cs"/>
          <w:b/>
          <w:sz w:val="22"/>
          <w:rtl/>
        </w:rPr>
        <w:t>זמיר, הסמכות המינהלית</w:t>
      </w:r>
      <w:r w:rsidRPr="00E206AF">
        <w:rPr>
          <w:rFonts w:ascii="Century" w:hAnsi="Century" w:cs="FrankRuehl" w:hint="cs"/>
          <w:spacing w:val="10"/>
          <w:sz w:val="22"/>
          <w:szCs w:val="28"/>
          <w:rtl/>
        </w:rPr>
        <w:t xml:space="preserve">, בעמ' 3604; </w:t>
      </w:r>
      <w:r w:rsidRPr="00E206AF">
        <w:rPr>
          <w:rFonts w:ascii="Century" w:hAnsi="Century" w:cs="Miriam" w:hint="cs"/>
          <w:b/>
          <w:sz w:val="22"/>
          <w:rtl/>
        </w:rPr>
        <w:t>ברק-ארז, המשפט המינהלי</w:t>
      </w:r>
      <w:r w:rsidRPr="003F2E16">
        <w:rPr>
          <w:rFonts w:ascii="Century" w:hAnsi="Century" w:cs="FrankRuehl"/>
          <w:spacing w:val="10"/>
          <w:sz w:val="22"/>
          <w:szCs w:val="28"/>
          <w:rtl/>
        </w:rPr>
        <w:t>,</w:t>
      </w:r>
      <w:r w:rsidRPr="00891892">
        <w:rPr>
          <w:rFonts w:ascii="Century" w:hAnsi="Century" w:cs="FrankRuehl" w:hint="cs"/>
          <w:spacing w:val="10"/>
          <w:sz w:val="22"/>
          <w:szCs w:val="28"/>
          <w:rtl/>
        </w:rPr>
        <w:t xml:space="preserve"> </w:t>
      </w:r>
      <w:r w:rsidRPr="00E206AF">
        <w:rPr>
          <w:rFonts w:ascii="Century" w:hAnsi="Century" w:cs="FrankRuehl" w:hint="cs"/>
          <w:spacing w:val="10"/>
          <w:sz w:val="22"/>
          <w:szCs w:val="28"/>
          <w:rtl/>
        </w:rPr>
        <w:t>בעמ' 732-731).</w:t>
      </w:r>
      <w:r>
        <w:rPr>
          <w:rFonts w:ascii="Century" w:hAnsi="Century" w:cs="FrankRuehl" w:hint="cs"/>
          <w:spacing w:val="10"/>
          <w:sz w:val="22"/>
          <w:szCs w:val="28"/>
          <w:rtl/>
        </w:rPr>
        <w:t xml:space="preserve"> </w:t>
      </w:r>
    </w:p>
    <w:p w:rsidR="00E32081"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Pr>
          <w:rFonts w:ascii="Century" w:hAnsi="Century" w:cs="FrankRuehl"/>
          <w:spacing w:val="10"/>
          <w:sz w:val="22"/>
          <w:szCs w:val="28"/>
          <w:rtl/>
        </w:rPr>
        <w:tab/>
      </w:r>
      <w:r>
        <w:rPr>
          <w:rFonts w:ascii="Century" w:hAnsi="Century" w:cs="FrankRuehl" w:hint="cs"/>
          <w:spacing w:val="10"/>
          <w:sz w:val="22"/>
          <w:szCs w:val="28"/>
          <w:rtl/>
        </w:rPr>
        <w:t xml:space="preserve">ובמילים אחרות: כאשר בשנים האחרונות ישנה התייחסות ל"עילת הסבירות" במשפט המינהלי, הכוונה היא, על פי רוב, לעילת הסבירות האיזונית.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46.</w:t>
      </w:r>
      <w:r w:rsidRPr="00E206AF">
        <w:rPr>
          <w:rFonts w:ascii="Century" w:hAnsi="Century" w:cs="FrankRuehl"/>
          <w:spacing w:val="10"/>
          <w:sz w:val="22"/>
          <w:szCs w:val="28"/>
          <w:rtl/>
        </w:rPr>
        <w:tab/>
      </w:r>
      <w:r>
        <w:rPr>
          <w:rFonts w:ascii="Century" w:hAnsi="Century" w:cs="FrankRuehl" w:hint="cs"/>
          <w:spacing w:val="10"/>
          <w:sz w:val="22"/>
          <w:szCs w:val="28"/>
          <w:rtl/>
        </w:rPr>
        <w:t>לפיכך</w:t>
      </w:r>
      <w:r w:rsidRPr="00E206AF">
        <w:rPr>
          <w:rFonts w:ascii="Century" w:hAnsi="Century" w:cs="FrankRuehl" w:hint="cs"/>
          <w:spacing w:val="10"/>
          <w:sz w:val="22"/>
          <w:szCs w:val="28"/>
          <w:rtl/>
        </w:rPr>
        <w:t>, ו</w:t>
      </w:r>
      <w:r>
        <w:rPr>
          <w:rFonts w:ascii="Century" w:hAnsi="Century" w:cs="FrankRuehl" w:hint="cs"/>
          <w:spacing w:val="10"/>
          <w:sz w:val="22"/>
          <w:szCs w:val="28"/>
          <w:rtl/>
        </w:rPr>
        <w:t>לנוכח ה</w:t>
      </w:r>
      <w:r w:rsidRPr="00E206AF">
        <w:rPr>
          <w:rFonts w:ascii="Century" w:hAnsi="Century" w:cs="FrankRuehl" w:hint="cs"/>
          <w:spacing w:val="10"/>
          <w:sz w:val="22"/>
          <w:szCs w:val="28"/>
          <w:rtl/>
        </w:rPr>
        <w:t>לשון הכללית והעמומה</w:t>
      </w:r>
      <w:r>
        <w:rPr>
          <w:rFonts w:ascii="Century" w:hAnsi="Century" w:cs="FrankRuehl" w:hint="cs"/>
          <w:spacing w:val="10"/>
          <w:sz w:val="22"/>
          <w:szCs w:val="28"/>
          <w:rtl/>
        </w:rPr>
        <w:t xml:space="preserve"> שבה נקט המכונן במסגרת התיקון </w:t>
      </w:r>
      <w:r>
        <w:rPr>
          <w:rFonts w:ascii="Century" w:hAnsi="Century" w:cs="FrankRuehl"/>
          <w:spacing w:val="10"/>
          <w:sz w:val="22"/>
          <w:szCs w:val="28"/>
          <w:rtl/>
        </w:rPr>
        <w:t>–</w:t>
      </w:r>
      <w:r>
        <w:rPr>
          <w:rFonts w:ascii="Century" w:hAnsi="Century" w:cs="FrankRuehl" w:hint="cs"/>
          <w:spacing w:val="10"/>
          <w:sz w:val="22"/>
          <w:szCs w:val="28"/>
          <w:rtl/>
        </w:rPr>
        <w:t xml:space="preserve"> "עניין </w:t>
      </w:r>
      <w:r w:rsidRPr="00E206AF">
        <w:rPr>
          <w:rFonts w:ascii="Century" w:hAnsi="Century" w:cs="FrankRuehl" w:hint="cs"/>
          <w:spacing w:val="10"/>
          <w:sz w:val="22"/>
          <w:szCs w:val="28"/>
          <w:rtl/>
        </w:rPr>
        <w:t>סבירות"</w:t>
      </w:r>
      <w:r>
        <w:rPr>
          <w:rFonts w:ascii="Century" w:hAnsi="Century" w:cs="FrankRuehl" w:hint="cs"/>
          <w:spacing w:val="10"/>
          <w:sz w:val="22"/>
          <w:szCs w:val="28"/>
          <w:rtl/>
        </w:rPr>
        <w:t xml:space="preserve"> </w:t>
      </w:r>
      <w:r>
        <w:rPr>
          <w:rFonts w:ascii="Century" w:hAnsi="Century" w:cs="FrankRuehl"/>
          <w:spacing w:val="10"/>
          <w:sz w:val="22"/>
          <w:szCs w:val="28"/>
          <w:rtl/>
        </w:rPr>
        <w:t>–</w:t>
      </w:r>
      <w:r>
        <w:rPr>
          <w:rFonts w:ascii="Century" w:hAnsi="Century" w:cs="FrankRuehl" w:hint="cs"/>
          <w:spacing w:val="10"/>
          <w:sz w:val="22"/>
          <w:szCs w:val="28"/>
          <w:rtl/>
        </w:rPr>
        <w:t xml:space="preserve"> הרי שפרשנות שלפיה</w:t>
      </w:r>
      <w:r w:rsidRPr="00E206AF">
        <w:rPr>
          <w:rFonts w:ascii="Century" w:hAnsi="Century" w:cs="FrankRuehl" w:hint="cs"/>
          <w:spacing w:val="10"/>
          <w:sz w:val="22"/>
          <w:szCs w:val="28"/>
          <w:rtl/>
        </w:rPr>
        <w:t xml:space="preserve"> המונח "סבירות" </w:t>
      </w:r>
      <w:r>
        <w:rPr>
          <w:rFonts w:ascii="Century" w:hAnsi="Century" w:cs="FrankRuehl" w:hint="cs"/>
          <w:spacing w:val="10"/>
          <w:sz w:val="22"/>
          <w:szCs w:val="28"/>
          <w:rtl/>
        </w:rPr>
        <w:t>ש</w:t>
      </w:r>
      <w:r w:rsidRPr="00E206AF">
        <w:rPr>
          <w:rFonts w:ascii="Century" w:hAnsi="Century" w:cs="FrankRuehl" w:hint="cs"/>
          <w:spacing w:val="10"/>
          <w:sz w:val="22"/>
          <w:szCs w:val="28"/>
          <w:rtl/>
        </w:rPr>
        <w:t>בתיקון מתייחס לעילת הסבירות האיזונית בלבד, ה</w:t>
      </w:r>
      <w:r>
        <w:rPr>
          <w:rFonts w:ascii="Century" w:hAnsi="Century" w:cs="FrankRuehl" w:hint="cs"/>
          <w:spacing w:val="10"/>
          <w:sz w:val="22"/>
          <w:szCs w:val="28"/>
          <w:rtl/>
        </w:rPr>
        <w:t>י</w:t>
      </w:r>
      <w:r w:rsidRPr="00E206AF">
        <w:rPr>
          <w:rFonts w:ascii="Century" w:hAnsi="Century" w:cs="FrankRuehl" w:hint="cs"/>
          <w:spacing w:val="10"/>
          <w:sz w:val="22"/>
          <w:szCs w:val="28"/>
          <w:rtl/>
        </w:rPr>
        <w:t xml:space="preserve">א </w:t>
      </w:r>
      <w:r>
        <w:rPr>
          <w:rFonts w:ascii="Century" w:hAnsi="Century" w:cs="FrankRuehl" w:hint="cs"/>
          <w:spacing w:val="10"/>
          <w:sz w:val="22"/>
          <w:szCs w:val="28"/>
          <w:rtl/>
        </w:rPr>
        <w:t xml:space="preserve">בוודאי </w:t>
      </w:r>
      <w:r w:rsidRPr="00E206AF">
        <w:rPr>
          <w:rFonts w:ascii="Century" w:hAnsi="Century" w:cs="FrankRuehl" w:hint="cs"/>
          <w:spacing w:val="10"/>
          <w:sz w:val="22"/>
          <w:szCs w:val="28"/>
          <w:rtl/>
        </w:rPr>
        <w:t>אפשרי</w:t>
      </w:r>
      <w:r>
        <w:rPr>
          <w:rFonts w:ascii="Century" w:hAnsi="Century" w:cs="FrankRuehl" w:hint="cs"/>
          <w:spacing w:val="10"/>
          <w:sz w:val="22"/>
          <w:szCs w:val="28"/>
          <w:rtl/>
        </w:rPr>
        <w:t>ת</w:t>
      </w:r>
      <w:r w:rsidRPr="00E206AF">
        <w:rPr>
          <w:rFonts w:ascii="Century" w:hAnsi="Century" w:cs="FrankRuehl" w:hint="cs"/>
          <w:spacing w:val="10"/>
          <w:sz w:val="22"/>
          <w:szCs w:val="28"/>
          <w:rtl/>
        </w:rPr>
        <w:t xml:space="preserve"> מבחינה לשונית.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8F478C">
        <w:rPr>
          <w:rFonts w:ascii="Century" w:hAnsi="Century" w:cs="FrankRuehl"/>
          <w:spacing w:val="10"/>
          <w:sz w:val="22"/>
          <w:szCs w:val="28"/>
          <w:rtl/>
        </w:rPr>
        <w:t>47</w:t>
      </w:r>
      <w:r w:rsidRPr="008F478C">
        <w:rPr>
          <w:rFonts w:ascii="Century" w:hAnsi="Century" w:cs="FrankRuehl" w:hint="cs"/>
          <w:spacing w:val="10"/>
          <w:sz w:val="22"/>
          <w:szCs w:val="28"/>
          <w:rtl/>
        </w:rPr>
        <w:t>.</w:t>
      </w:r>
      <w:r w:rsidRPr="008F478C">
        <w:rPr>
          <w:rFonts w:ascii="Century" w:hAnsi="Century" w:cs="FrankRuehl" w:hint="cs"/>
          <w:spacing w:val="10"/>
          <w:sz w:val="22"/>
          <w:szCs w:val="28"/>
          <w:rtl/>
        </w:rPr>
        <w:tab/>
        <w:t xml:space="preserve">זאת ועוד: יש לזכור כי דיני הפרשנות מכירים באפשרות ליתן משמעות </w:t>
      </w:r>
      <w:r w:rsidRPr="008F478C">
        <w:rPr>
          <w:rFonts w:ascii="Century" w:hAnsi="Century" w:cs="FrankRuehl" w:hint="eastAsia"/>
          <w:spacing w:val="10"/>
          <w:sz w:val="22"/>
          <w:szCs w:val="28"/>
          <w:rtl/>
        </w:rPr>
        <w:t>מצמצמת</w:t>
      </w:r>
      <w:r w:rsidRPr="008F478C">
        <w:rPr>
          <w:rFonts w:ascii="Century" w:hAnsi="Century" w:cs="Miriam" w:hint="cs"/>
          <w:b/>
          <w:sz w:val="22"/>
          <w:rtl/>
        </w:rPr>
        <w:t xml:space="preserve"> </w:t>
      </w:r>
      <w:r w:rsidRPr="008F478C">
        <w:rPr>
          <w:rFonts w:ascii="Century" w:hAnsi="Century" w:cs="FrankRuehl" w:hint="cs"/>
          <w:spacing w:val="10"/>
          <w:sz w:val="22"/>
          <w:szCs w:val="28"/>
          <w:rtl/>
        </w:rPr>
        <w:t>ללשון כל</w:t>
      </w:r>
      <w:r w:rsidRPr="00E206AF">
        <w:rPr>
          <w:rFonts w:ascii="Century" w:hAnsi="Century" w:cs="FrankRuehl" w:hint="cs"/>
          <w:spacing w:val="10"/>
          <w:sz w:val="22"/>
          <w:szCs w:val="28"/>
          <w:rtl/>
        </w:rPr>
        <w:t>לית, כ</w:t>
      </w:r>
      <w:r>
        <w:rPr>
          <w:rFonts w:ascii="Century" w:hAnsi="Century" w:cs="FrankRuehl" w:hint="cs"/>
          <w:spacing w:val="10"/>
          <w:sz w:val="22"/>
          <w:szCs w:val="28"/>
          <w:rtl/>
        </w:rPr>
        <w:t>א</w:t>
      </w:r>
      <w:r w:rsidRPr="00E206AF">
        <w:rPr>
          <w:rFonts w:ascii="Century" w:hAnsi="Century" w:cs="FrankRuehl" w:hint="cs"/>
          <w:spacing w:val="10"/>
          <w:sz w:val="22"/>
          <w:szCs w:val="28"/>
          <w:rtl/>
        </w:rPr>
        <w:t>ש</w:t>
      </w:r>
      <w:r>
        <w:rPr>
          <w:rFonts w:ascii="Century" w:hAnsi="Century" w:cs="FrankRuehl" w:hint="cs"/>
          <w:spacing w:val="10"/>
          <w:sz w:val="22"/>
          <w:szCs w:val="28"/>
          <w:rtl/>
        </w:rPr>
        <w:t xml:space="preserve">ר </w:t>
      </w:r>
      <w:r w:rsidRPr="00E206AF">
        <w:rPr>
          <w:rFonts w:ascii="Century" w:hAnsi="Century" w:cs="FrankRuehl" w:hint="cs"/>
          <w:spacing w:val="10"/>
          <w:sz w:val="22"/>
          <w:szCs w:val="28"/>
          <w:rtl/>
        </w:rPr>
        <w:t xml:space="preserve">זו מתיישבת עם תכליות החוק (ראו, למשל: ע"א 7034/99 </w:t>
      </w:r>
      <w:r w:rsidRPr="00E206AF">
        <w:rPr>
          <w:rFonts w:ascii="Century" w:hAnsi="Century" w:cs="Miriam" w:hint="cs"/>
          <w:b/>
          <w:sz w:val="22"/>
          <w:rtl/>
        </w:rPr>
        <w:t>פקיד שומה כפר סבא נ' דר</w:t>
      </w:r>
      <w:r w:rsidRPr="00E206AF">
        <w:rPr>
          <w:rFonts w:ascii="Century" w:hAnsi="Century" w:cs="FrankRuehl" w:hint="cs"/>
          <w:spacing w:val="10"/>
          <w:sz w:val="22"/>
          <w:szCs w:val="28"/>
          <w:rtl/>
        </w:rPr>
        <w:t xml:space="preserve">, פס' 13 לפסק דינה של השופטת </w:t>
      </w:r>
      <w:r w:rsidRPr="00E206AF">
        <w:rPr>
          <w:rFonts w:ascii="Century" w:hAnsi="Century" w:cs="Miriam" w:hint="cs"/>
          <w:b/>
          <w:sz w:val="22"/>
          <w:rtl/>
        </w:rPr>
        <w:t xml:space="preserve">חיות </w:t>
      </w:r>
      <w:r w:rsidRPr="00E206AF">
        <w:rPr>
          <w:rFonts w:ascii="Century" w:hAnsi="Century" w:cs="FrankRuehl" w:hint="cs"/>
          <w:spacing w:val="10"/>
          <w:sz w:val="22"/>
          <w:szCs w:val="28"/>
          <w:rtl/>
        </w:rPr>
        <w:t xml:space="preserve">(12.5.2004); עניין </w:t>
      </w:r>
      <w:r w:rsidRPr="00E206AF">
        <w:rPr>
          <w:rFonts w:ascii="Century" w:hAnsi="Century" w:cs="Miriam" w:hint="eastAsia"/>
          <w:b/>
          <w:sz w:val="22"/>
          <w:rtl/>
        </w:rPr>
        <w:t>זנדברג</w:t>
      </w:r>
      <w:r w:rsidRPr="00E206AF">
        <w:rPr>
          <w:rFonts w:ascii="Century" w:hAnsi="Century" w:cs="FrankRuehl" w:hint="cs"/>
          <w:spacing w:val="10"/>
          <w:sz w:val="22"/>
          <w:szCs w:val="28"/>
          <w:rtl/>
        </w:rPr>
        <w:t xml:space="preserve">, בפס' 21 לפסק דינו של הנשיא </w:t>
      </w:r>
      <w:r w:rsidRPr="00E206AF">
        <w:rPr>
          <w:rFonts w:ascii="Century" w:hAnsi="Century" w:cs="Miriam" w:hint="cs"/>
          <w:b/>
          <w:sz w:val="22"/>
          <w:rtl/>
        </w:rPr>
        <w:t>ברק</w:t>
      </w:r>
      <w:r w:rsidRPr="00E206AF">
        <w:rPr>
          <w:rFonts w:ascii="Century" w:hAnsi="Century" w:cs="FrankRuehl" w:hint="cs"/>
          <w:spacing w:val="10"/>
          <w:sz w:val="22"/>
          <w:szCs w:val="28"/>
          <w:rtl/>
        </w:rPr>
        <w:t xml:space="preserve">; בג"ץ 2026/21 </w:t>
      </w:r>
      <w:r w:rsidRPr="00E206AF">
        <w:rPr>
          <w:rFonts w:ascii="Century" w:hAnsi="Century" w:cs="Miriam" w:hint="cs"/>
          <w:b/>
          <w:sz w:val="22"/>
          <w:rtl/>
        </w:rPr>
        <w:t>לשכת עורכי הדין נ' בית המשפט המחוזי בתל אביב יפו</w:t>
      </w:r>
      <w:r w:rsidRPr="00E206AF">
        <w:rPr>
          <w:rFonts w:ascii="Century" w:hAnsi="Century" w:cs="FrankRuehl" w:hint="cs"/>
          <w:spacing w:val="10"/>
          <w:sz w:val="22"/>
          <w:szCs w:val="28"/>
          <w:rtl/>
        </w:rPr>
        <w:t xml:space="preserve">, פס' 1, 16 לפסק דינה של הנשיאה </w:t>
      </w:r>
      <w:r w:rsidRPr="00E206AF">
        <w:rPr>
          <w:rFonts w:ascii="Century" w:hAnsi="Century" w:cs="Miriam" w:hint="cs"/>
          <w:b/>
          <w:sz w:val="22"/>
          <w:rtl/>
        </w:rPr>
        <w:t xml:space="preserve">חיות </w:t>
      </w:r>
      <w:r w:rsidRPr="00E206AF">
        <w:rPr>
          <w:rFonts w:ascii="Century" w:hAnsi="Century" w:cs="FrankRuehl" w:hint="cs"/>
          <w:spacing w:val="10"/>
          <w:sz w:val="22"/>
          <w:szCs w:val="28"/>
          <w:rtl/>
        </w:rPr>
        <w:t xml:space="preserve">(27.1.2022); בג"ץ 6654/98 </w:t>
      </w:r>
      <w:r w:rsidRPr="00E206AF">
        <w:rPr>
          <w:rFonts w:ascii="Century" w:hAnsi="Century" w:cs="Miriam" w:hint="cs"/>
          <w:b/>
          <w:sz w:val="22"/>
          <w:rtl/>
        </w:rPr>
        <w:t>הלפרין נ' פקידת הבחירות לעיריית הרצליה</w:t>
      </w:r>
      <w:r w:rsidRPr="00E206AF">
        <w:rPr>
          <w:rFonts w:ascii="Century" w:hAnsi="Century" w:cs="FrankRuehl" w:hint="cs"/>
          <w:spacing w:val="10"/>
          <w:sz w:val="22"/>
          <w:szCs w:val="28"/>
          <w:rtl/>
        </w:rPr>
        <w:t xml:space="preserve">, פס' 9 לפסק דינו של השופט </w:t>
      </w:r>
      <w:r w:rsidRPr="00E206AF">
        <w:rPr>
          <w:rFonts w:ascii="Century" w:hAnsi="Century" w:cs="Miriam" w:hint="cs"/>
          <w:b/>
          <w:sz w:val="22"/>
          <w:rtl/>
        </w:rPr>
        <w:t>ת' אור</w:t>
      </w:r>
      <w:r w:rsidRPr="00E206AF">
        <w:rPr>
          <w:rFonts w:ascii="Century" w:hAnsi="Century" w:cs="FrankRuehl" w:hint="cs"/>
          <w:spacing w:val="10"/>
          <w:sz w:val="22"/>
          <w:szCs w:val="28"/>
          <w:rtl/>
        </w:rPr>
        <w:t xml:space="preserve"> (19.11.1998)). לא זו אף זו</w:t>
      </w:r>
      <w:r>
        <w:rPr>
          <w:rFonts w:ascii="Century" w:hAnsi="Century" w:cs="FrankRuehl" w:hint="cs"/>
          <w:spacing w:val="10"/>
          <w:sz w:val="22"/>
          <w:szCs w:val="28"/>
          <w:rtl/>
        </w:rPr>
        <w:t>:</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הלכה היא</w:t>
      </w:r>
      <w:r w:rsidRPr="00E206AF">
        <w:rPr>
          <w:rFonts w:ascii="Century" w:hAnsi="Century" w:cs="FrankRuehl" w:hint="cs"/>
          <w:spacing w:val="10"/>
          <w:sz w:val="22"/>
          <w:szCs w:val="28"/>
          <w:rtl/>
        </w:rPr>
        <w:t xml:space="preserve"> כי כאשר עסקינן בדבר חקיקה שעניינו הגבלת הביקורת השיפוטית, די בקיומו של ספק </w:t>
      </w:r>
      <w:r>
        <w:rPr>
          <w:rFonts w:ascii="Century" w:hAnsi="Century" w:cs="FrankRuehl" w:hint="cs"/>
          <w:spacing w:val="10"/>
          <w:sz w:val="22"/>
          <w:szCs w:val="28"/>
          <w:rtl/>
        </w:rPr>
        <w:t>לשוני</w:t>
      </w:r>
      <w:r w:rsidRPr="00E206AF">
        <w:rPr>
          <w:rFonts w:ascii="Century" w:hAnsi="Century" w:cs="FrankRuehl" w:hint="cs"/>
          <w:spacing w:val="10"/>
          <w:sz w:val="22"/>
          <w:szCs w:val="28"/>
          <w:rtl/>
        </w:rPr>
        <w:t xml:space="preserve">, כבענייננו, כדי להקים חזקה שלפיה יש לפרש את דבר החקיקה בצמצום (ראו: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403/71 </w:t>
      </w:r>
      <w:r w:rsidRPr="00E206AF">
        <w:rPr>
          <w:rFonts w:ascii="Century" w:hAnsi="Century" w:cs="Miriam" w:hint="eastAsia"/>
          <w:b/>
          <w:sz w:val="22"/>
          <w:rtl/>
        </w:rPr>
        <w:t>אלכורדי</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בית</w:t>
      </w:r>
      <w:r w:rsidRPr="00E206AF">
        <w:rPr>
          <w:rFonts w:ascii="Century" w:hAnsi="Century" w:cs="Miriam"/>
          <w:b/>
          <w:sz w:val="22"/>
          <w:rtl/>
        </w:rPr>
        <w:t>-</w:t>
      </w:r>
      <w:r w:rsidRPr="00E206AF">
        <w:rPr>
          <w:rFonts w:ascii="Century" w:hAnsi="Century" w:cs="Miriam" w:hint="eastAsia"/>
          <w:b/>
          <w:sz w:val="22"/>
          <w:rtl/>
        </w:rPr>
        <w:t>הדין</w:t>
      </w:r>
      <w:r w:rsidRPr="00E206AF">
        <w:rPr>
          <w:rFonts w:ascii="Century" w:hAnsi="Century" w:cs="Miriam"/>
          <w:b/>
          <w:sz w:val="22"/>
          <w:rtl/>
        </w:rPr>
        <w:t xml:space="preserve"> </w:t>
      </w:r>
      <w:r w:rsidRPr="00E206AF">
        <w:rPr>
          <w:rFonts w:ascii="Century" w:hAnsi="Century" w:cs="Miriam" w:hint="eastAsia"/>
          <w:b/>
          <w:sz w:val="22"/>
          <w:rtl/>
        </w:rPr>
        <w:t>הארצי</w:t>
      </w:r>
      <w:r w:rsidRPr="00E206AF">
        <w:rPr>
          <w:rFonts w:ascii="Century" w:hAnsi="Century" w:cs="Miriam"/>
          <w:b/>
          <w:sz w:val="22"/>
          <w:rtl/>
        </w:rPr>
        <w:t xml:space="preserve"> </w:t>
      </w:r>
      <w:r w:rsidRPr="00E206AF">
        <w:rPr>
          <w:rFonts w:ascii="Century" w:hAnsi="Century" w:cs="Miriam" w:hint="eastAsia"/>
          <w:b/>
          <w:sz w:val="22"/>
          <w:rtl/>
        </w:rPr>
        <w:t>לעבודה</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פ"ד </w:t>
      </w:r>
      <w:r w:rsidRPr="00E206AF">
        <w:rPr>
          <w:rFonts w:ascii="Century" w:hAnsi="Century" w:cs="FrankRuehl" w:hint="eastAsia"/>
          <w:spacing w:val="10"/>
          <w:sz w:val="22"/>
          <w:szCs w:val="28"/>
          <w:rtl/>
        </w:rPr>
        <w:t>כו</w:t>
      </w:r>
      <w:r w:rsidRPr="00E206AF">
        <w:rPr>
          <w:rFonts w:ascii="Century" w:hAnsi="Century" w:cs="FrankRuehl"/>
          <w:spacing w:val="10"/>
          <w:sz w:val="22"/>
          <w:szCs w:val="28"/>
          <w:rtl/>
        </w:rPr>
        <w:t>(2) 66</w:t>
      </w:r>
      <w:r w:rsidRPr="00E206AF">
        <w:rPr>
          <w:rFonts w:ascii="Century" w:hAnsi="Century" w:cs="FrankRuehl" w:hint="cs"/>
          <w:spacing w:val="10"/>
          <w:sz w:val="22"/>
          <w:szCs w:val="28"/>
          <w:rtl/>
        </w:rPr>
        <w:t xml:space="preserve">, 72 </w:t>
      </w:r>
      <w:r w:rsidRPr="00E206AF">
        <w:rPr>
          <w:rFonts w:ascii="Century" w:hAnsi="Century" w:cs="FrankRuehl"/>
          <w:spacing w:val="10"/>
          <w:sz w:val="22"/>
          <w:szCs w:val="28"/>
          <w:rtl/>
        </w:rPr>
        <w:t>(1972)</w:t>
      </w:r>
      <w:r w:rsidRPr="00E206AF">
        <w:rPr>
          <w:rFonts w:ascii="Century" w:hAnsi="Century" w:cs="FrankRuehl" w:hint="cs"/>
          <w:spacing w:val="10"/>
          <w:sz w:val="22"/>
          <w:szCs w:val="28"/>
          <w:rtl/>
        </w:rPr>
        <w:t xml:space="preserve">;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212/03 </w:t>
      </w:r>
      <w:r w:rsidRPr="00E206AF">
        <w:rPr>
          <w:rFonts w:ascii="Century" w:hAnsi="Century" w:cs="Miriam" w:hint="eastAsia"/>
          <w:b/>
          <w:sz w:val="22"/>
          <w:rtl/>
        </w:rPr>
        <w:t>חרות</w:t>
      </w:r>
      <w:r w:rsidRPr="00E206AF">
        <w:rPr>
          <w:rFonts w:ascii="Century" w:hAnsi="Century" w:cs="Miriam"/>
          <w:b/>
          <w:sz w:val="22"/>
          <w:rtl/>
        </w:rPr>
        <w:t xml:space="preserve"> </w:t>
      </w:r>
      <w:r w:rsidRPr="00E206AF">
        <w:rPr>
          <w:rFonts w:ascii="Century" w:hAnsi="Century" w:cs="Miriam" w:hint="eastAsia"/>
          <w:b/>
          <w:sz w:val="22"/>
          <w:rtl/>
        </w:rPr>
        <w:t>התנועה</w:t>
      </w:r>
      <w:r w:rsidRPr="00E206AF">
        <w:rPr>
          <w:rFonts w:ascii="Century" w:hAnsi="Century" w:cs="Miriam"/>
          <w:b/>
          <w:sz w:val="22"/>
          <w:rtl/>
        </w:rPr>
        <w:t xml:space="preserve"> </w:t>
      </w:r>
      <w:r w:rsidRPr="00E206AF">
        <w:rPr>
          <w:rFonts w:ascii="Century" w:hAnsi="Century" w:cs="Miriam" w:hint="eastAsia"/>
          <w:b/>
          <w:sz w:val="22"/>
          <w:rtl/>
        </w:rPr>
        <w:t>הלאומית</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יושב</w:t>
      </w:r>
      <w:r w:rsidRPr="00E206AF">
        <w:rPr>
          <w:rFonts w:ascii="Century" w:hAnsi="Century" w:cs="Miriam"/>
          <w:b/>
          <w:sz w:val="22"/>
          <w:rtl/>
        </w:rPr>
        <w:t>-</w:t>
      </w:r>
      <w:r w:rsidRPr="00E206AF">
        <w:rPr>
          <w:rFonts w:ascii="Century" w:hAnsi="Century" w:cs="Miriam" w:hint="eastAsia"/>
          <w:b/>
          <w:sz w:val="22"/>
          <w:rtl/>
        </w:rPr>
        <w:t>ראש</w:t>
      </w:r>
      <w:r w:rsidRPr="00E206AF">
        <w:rPr>
          <w:rFonts w:ascii="Century" w:hAnsi="Century" w:cs="Miriam"/>
          <w:b/>
          <w:sz w:val="22"/>
          <w:rtl/>
        </w:rPr>
        <w:t xml:space="preserve"> </w:t>
      </w:r>
      <w:r w:rsidRPr="00E206AF">
        <w:rPr>
          <w:rFonts w:ascii="Century" w:hAnsi="Century" w:cs="Miriam" w:hint="eastAsia"/>
          <w:b/>
          <w:sz w:val="22"/>
          <w:rtl/>
        </w:rPr>
        <w:t>ועדת</w:t>
      </w:r>
      <w:r w:rsidRPr="00E206AF">
        <w:rPr>
          <w:rFonts w:ascii="Century" w:hAnsi="Century" w:cs="Miriam"/>
          <w:b/>
          <w:sz w:val="22"/>
          <w:rtl/>
        </w:rPr>
        <w:t xml:space="preserve"> </w:t>
      </w:r>
      <w:r w:rsidRPr="00E206AF">
        <w:rPr>
          <w:rFonts w:ascii="Century" w:hAnsi="Century" w:cs="Miriam" w:hint="eastAsia"/>
          <w:b/>
          <w:sz w:val="22"/>
          <w:rtl/>
        </w:rPr>
        <w:t>הבחירות</w:t>
      </w:r>
      <w:r w:rsidRPr="00E206AF">
        <w:rPr>
          <w:rFonts w:ascii="Century" w:hAnsi="Century" w:cs="Miriam"/>
          <w:b/>
          <w:sz w:val="22"/>
          <w:rtl/>
        </w:rPr>
        <w:t xml:space="preserve"> </w:t>
      </w:r>
      <w:r w:rsidRPr="00E206AF">
        <w:rPr>
          <w:rFonts w:ascii="Century" w:hAnsi="Century" w:cs="Miriam" w:hint="eastAsia"/>
          <w:b/>
          <w:sz w:val="22"/>
          <w:rtl/>
        </w:rPr>
        <w:t>המרכזית</w:t>
      </w:r>
      <w:r w:rsidRPr="00E206AF">
        <w:rPr>
          <w:rFonts w:ascii="Century" w:hAnsi="Century" w:cs="Miriam"/>
          <w:b/>
          <w:sz w:val="22"/>
          <w:rtl/>
        </w:rPr>
        <w:t xml:space="preserve"> </w:t>
      </w:r>
      <w:r w:rsidRPr="00E206AF">
        <w:rPr>
          <w:rFonts w:ascii="Century" w:hAnsi="Century" w:cs="Miriam" w:hint="eastAsia"/>
          <w:b/>
          <w:sz w:val="22"/>
          <w:rtl/>
        </w:rPr>
        <w:t>לכנסת</w:t>
      </w:r>
      <w:r w:rsidRPr="00E206AF">
        <w:rPr>
          <w:rFonts w:ascii="Century" w:hAnsi="Century" w:cs="Miriam"/>
          <w:b/>
          <w:sz w:val="22"/>
          <w:rtl/>
        </w:rPr>
        <w:t xml:space="preserve"> </w:t>
      </w:r>
      <w:r w:rsidRPr="00E206AF">
        <w:rPr>
          <w:rFonts w:ascii="Century" w:hAnsi="Century" w:cs="Miriam" w:hint="eastAsia"/>
          <w:b/>
          <w:sz w:val="22"/>
          <w:rtl/>
        </w:rPr>
        <w:t>השש</w:t>
      </w:r>
      <w:r w:rsidRPr="00E206AF">
        <w:rPr>
          <w:rFonts w:ascii="Century" w:hAnsi="Century" w:cs="Miriam"/>
          <w:b/>
          <w:sz w:val="22"/>
          <w:rtl/>
        </w:rPr>
        <w:t>-</w:t>
      </w:r>
      <w:r w:rsidRPr="00E206AF">
        <w:rPr>
          <w:rFonts w:ascii="Century" w:hAnsi="Century" w:cs="Miriam" w:hint="eastAsia"/>
          <w:b/>
          <w:sz w:val="22"/>
          <w:rtl/>
        </w:rPr>
        <w:t>עשרה</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פ"ד </w:t>
      </w:r>
      <w:r w:rsidRPr="00E206AF">
        <w:rPr>
          <w:rFonts w:ascii="Century" w:hAnsi="Century" w:cs="FrankRuehl" w:hint="eastAsia"/>
          <w:spacing w:val="10"/>
          <w:sz w:val="22"/>
          <w:szCs w:val="28"/>
          <w:rtl/>
        </w:rPr>
        <w:t>נז</w:t>
      </w:r>
      <w:r w:rsidRPr="00E206AF">
        <w:rPr>
          <w:rFonts w:ascii="Century" w:hAnsi="Century" w:cs="FrankRuehl"/>
          <w:spacing w:val="10"/>
          <w:sz w:val="22"/>
          <w:szCs w:val="28"/>
          <w:rtl/>
        </w:rPr>
        <w:t>(1) 750</w:t>
      </w:r>
      <w:r w:rsidRPr="00E206AF">
        <w:rPr>
          <w:rFonts w:ascii="Century" w:hAnsi="Century" w:cs="FrankRuehl" w:hint="cs"/>
          <w:spacing w:val="10"/>
          <w:sz w:val="22"/>
          <w:szCs w:val="28"/>
          <w:rtl/>
        </w:rPr>
        <w:t>, 756</w:t>
      </w:r>
      <w:r w:rsidRPr="00E206AF">
        <w:rPr>
          <w:rFonts w:ascii="Century" w:hAnsi="Century" w:cs="FrankRuehl"/>
          <w:spacing w:val="10"/>
          <w:sz w:val="22"/>
          <w:szCs w:val="28"/>
          <w:rtl/>
        </w:rPr>
        <w:t xml:space="preserve"> (2003)</w:t>
      </w: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8F478C">
        <w:rPr>
          <w:rFonts w:ascii="Century" w:hAnsi="Century" w:cs="FrankRuehl"/>
          <w:spacing w:val="10"/>
          <w:sz w:val="22"/>
          <w:szCs w:val="28"/>
          <w:rtl/>
        </w:rPr>
        <w:t>48</w:t>
      </w:r>
      <w:r>
        <w:rPr>
          <w:rFonts w:ascii="Century" w:hAnsi="Century" w:cs="FrankRuehl" w:hint="cs"/>
          <w:spacing w:val="10"/>
          <w:sz w:val="22"/>
          <w:szCs w:val="28"/>
          <w:rtl/>
        </w:rPr>
        <w:t>.</w:t>
      </w:r>
      <w:r w:rsidRPr="00E206AF">
        <w:rPr>
          <w:rFonts w:ascii="Century" w:hAnsi="Century" w:cs="FrankRuehl"/>
          <w:spacing w:val="10"/>
          <w:sz w:val="22"/>
          <w:szCs w:val="28"/>
          <w:rtl/>
        </w:rPr>
        <w:tab/>
      </w:r>
      <w:r>
        <w:rPr>
          <w:rFonts w:ascii="Century" w:hAnsi="Century" w:cs="FrankRuehl" w:hint="cs"/>
          <w:spacing w:val="10"/>
          <w:sz w:val="22"/>
          <w:szCs w:val="28"/>
          <w:rtl/>
        </w:rPr>
        <w:t>לסיכום נקודה זו</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כפי שפרשנות שלפיה</w:t>
      </w:r>
      <w:r w:rsidRPr="00E206AF">
        <w:rPr>
          <w:rFonts w:ascii="Century" w:hAnsi="Century" w:cs="FrankRuehl" w:hint="cs"/>
          <w:spacing w:val="10"/>
          <w:sz w:val="22"/>
          <w:szCs w:val="28"/>
          <w:rtl/>
        </w:rPr>
        <w:t xml:space="preserve"> המושג "סבירות" בתיקון מתייחס רק לענייני סבירות במשפט המינהלי, ולא לענייני סבירות הקשורים בדין הנזיקי</w:t>
      </w:r>
      <w:r>
        <w:rPr>
          <w:rFonts w:ascii="Century" w:hAnsi="Century" w:cs="FrankRuehl" w:hint="cs"/>
          <w:spacing w:val="10"/>
          <w:sz w:val="22"/>
          <w:szCs w:val="28"/>
          <w:rtl/>
        </w:rPr>
        <w:t>, היא פרשנות אפשרית מבחינה לשונית; כך גם פרשנות שלפיה</w:t>
      </w:r>
      <w:r w:rsidRPr="00E206AF">
        <w:rPr>
          <w:rFonts w:ascii="Century" w:hAnsi="Century" w:cs="FrankRuehl" w:hint="cs"/>
          <w:spacing w:val="10"/>
          <w:sz w:val="22"/>
          <w:szCs w:val="28"/>
          <w:rtl/>
        </w:rPr>
        <w:t xml:space="preserve"> המונח "סבירות" בתיקון מתייחס אך ורק ל"סבירות איזונית"</w:t>
      </w:r>
      <w:r>
        <w:rPr>
          <w:rFonts w:ascii="Century" w:hAnsi="Century" w:cs="FrankRuehl" w:hint="cs"/>
          <w:spacing w:val="10"/>
          <w:sz w:val="22"/>
          <w:szCs w:val="28"/>
          <w:rtl/>
        </w:rPr>
        <w:t xml:space="preserve"> היא פרשנות אפשרית מבחינה לשונית, בהינתן שזו משמעותו של מונח הסבירות בשיח המשפטי הרווח כיום</w:t>
      </w: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ab/>
      </w:r>
    </w:p>
    <w:p w:rsidR="00E32081" w:rsidRPr="00E206AF" w:rsidRDefault="00E32081" w:rsidP="00E32081">
      <w:pPr>
        <w:numPr>
          <w:ilvl w:val="0"/>
          <w:numId w:val="20"/>
        </w:numPr>
        <w:tabs>
          <w:tab w:val="left" w:pos="800"/>
        </w:tabs>
        <w:spacing w:line="360" w:lineRule="auto"/>
        <w:jc w:val="both"/>
        <w:rPr>
          <w:rFonts w:ascii="Century" w:hAnsi="Century" w:cs="Miriam"/>
          <w:b/>
          <w:sz w:val="22"/>
        </w:rPr>
      </w:pPr>
      <w:r w:rsidRPr="00E206AF">
        <w:rPr>
          <w:rFonts w:ascii="Century" w:hAnsi="Century" w:cs="Miriam" w:hint="cs"/>
          <w:b/>
          <w:sz w:val="22"/>
          <w:rtl/>
        </w:rPr>
        <w:t>ה</w:t>
      </w:r>
      <w:r w:rsidRPr="00E206AF">
        <w:rPr>
          <w:rFonts w:ascii="Century" w:hAnsi="Century" w:cs="Miriam" w:hint="eastAsia"/>
          <w:b/>
          <w:sz w:val="22"/>
          <w:rtl/>
        </w:rPr>
        <w:t>תכלית</w:t>
      </w:r>
      <w:r w:rsidRPr="00E206AF">
        <w:rPr>
          <w:rFonts w:ascii="Century" w:hAnsi="Century" w:cs="Miriam"/>
          <w:b/>
          <w:sz w:val="22"/>
          <w:rtl/>
        </w:rPr>
        <w:t xml:space="preserve"> </w:t>
      </w:r>
      <w:r w:rsidRPr="00E206AF">
        <w:rPr>
          <w:rFonts w:ascii="Century" w:hAnsi="Century" w:cs="Miriam" w:hint="cs"/>
          <w:b/>
          <w:sz w:val="22"/>
          <w:rtl/>
        </w:rPr>
        <w:t>ה</w:t>
      </w:r>
      <w:r w:rsidRPr="00E206AF">
        <w:rPr>
          <w:rFonts w:ascii="Century" w:hAnsi="Century" w:cs="Miriam" w:hint="eastAsia"/>
          <w:b/>
          <w:sz w:val="22"/>
          <w:rtl/>
        </w:rPr>
        <w:t>סובייקטיבית</w:t>
      </w:r>
      <w:r w:rsidRPr="00E206AF">
        <w:rPr>
          <w:rFonts w:ascii="Century" w:hAnsi="Century" w:cs="Miriam" w:hint="cs"/>
          <w:b/>
          <w:sz w:val="22"/>
          <w:rtl/>
        </w:rPr>
        <w:t xml:space="preserve"> של התיקון</w:t>
      </w:r>
    </w:p>
    <w:p w:rsidR="00E32081" w:rsidRPr="00E206AF" w:rsidRDefault="00E32081" w:rsidP="00E32081">
      <w:pPr>
        <w:tabs>
          <w:tab w:val="left" w:pos="800"/>
        </w:tabs>
        <w:spacing w:line="360" w:lineRule="auto"/>
        <w:jc w:val="both"/>
        <w:rPr>
          <w:rFonts w:ascii="Century" w:hAnsi="Century" w:cs="Miriam"/>
          <w:b/>
          <w:sz w:val="22"/>
          <w:rtl/>
        </w:rPr>
      </w:pPr>
    </w:p>
    <w:p w:rsidR="00E32081"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4</w:t>
      </w:r>
      <w:r>
        <w:rPr>
          <w:rFonts w:ascii="Century" w:hAnsi="Century" w:cs="FrankRuehl" w:hint="cs"/>
          <w:spacing w:val="10"/>
          <w:sz w:val="22"/>
          <w:szCs w:val="28"/>
          <w:rtl/>
        </w:rPr>
        <w:t>9</w:t>
      </w:r>
      <w:r w:rsidRPr="00E206AF">
        <w:rPr>
          <w:rFonts w:ascii="Century" w:hAnsi="Century" w:cs="FrankRuehl" w:hint="cs"/>
          <w:spacing w:val="10"/>
          <w:sz w:val="22"/>
          <w:szCs w:val="28"/>
          <w:rtl/>
        </w:rPr>
        <w:t>.</w:t>
      </w:r>
      <w:r w:rsidRPr="00E206AF">
        <w:rPr>
          <w:rFonts w:ascii="Century" w:hAnsi="Century" w:cs="FrankRuehl"/>
          <w:spacing w:val="10"/>
          <w:sz w:val="22"/>
          <w:szCs w:val="28"/>
          <w:rtl/>
        </w:rPr>
        <w:tab/>
      </w:r>
      <w:r>
        <w:rPr>
          <w:rFonts w:ascii="Century" w:hAnsi="Century" w:cs="FrankRuehl" w:hint="cs"/>
          <w:spacing w:val="10"/>
          <w:sz w:val="22"/>
          <w:szCs w:val="28"/>
          <w:rtl/>
        </w:rPr>
        <w:t>כאמור</w:t>
      </w:r>
      <w:r w:rsidRPr="00E206AF">
        <w:rPr>
          <w:rFonts w:ascii="Century" w:hAnsi="Century" w:cs="FrankRuehl" w:hint="cs"/>
          <w:spacing w:val="10"/>
          <w:sz w:val="22"/>
          <w:szCs w:val="28"/>
          <w:rtl/>
        </w:rPr>
        <w:t>,</w:t>
      </w:r>
      <w:r>
        <w:rPr>
          <w:rFonts w:ascii="Century" w:hAnsi="Century" w:cs="FrankRuehl" w:hint="cs"/>
          <w:spacing w:val="10"/>
          <w:sz w:val="22"/>
          <w:szCs w:val="28"/>
          <w:rtl/>
        </w:rPr>
        <w:t xml:space="preserve"> מעבר לכך שפרשנות דבר החקיקה צריכה להיות אפשרית מבחינה לשונית, הרי שעליה להגשים באופן מיטבי את </w:t>
      </w:r>
      <w:r w:rsidRPr="00E206AF">
        <w:rPr>
          <w:rFonts w:ascii="Century" w:hAnsi="Century" w:cs="FrankRuehl" w:hint="cs"/>
          <w:spacing w:val="10"/>
          <w:sz w:val="22"/>
          <w:szCs w:val="28"/>
          <w:rtl/>
        </w:rPr>
        <w:t xml:space="preserve">תכלית החוק, המורכבת מתכלית סובייקטיבית ומתכלית אובייקטיבית. </w:t>
      </w:r>
    </w:p>
    <w:p w:rsidR="00E32081"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Pr>
          <w:rFonts w:ascii="Century" w:hAnsi="Century" w:cs="FrankRuehl"/>
          <w:spacing w:val="10"/>
          <w:sz w:val="22"/>
          <w:szCs w:val="28"/>
          <w:rtl/>
        </w:rPr>
        <w:tab/>
      </w:r>
      <w:r w:rsidRPr="00E206AF">
        <w:rPr>
          <w:rFonts w:ascii="Century" w:hAnsi="Century" w:cs="FrankRuehl" w:hint="cs"/>
          <w:spacing w:val="10"/>
          <w:sz w:val="22"/>
          <w:szCs w:val="28"/>
          <w:rtl/>
        </w:rPr>
        <w:t xml:space="preserve">התכלית הסובייקטיבית היא למעשה "כוונת המחוקק"; עניינה המטרות והערכים שביקש המחוקק להגשים בהוראת החוק הנדונה (ראו, למשל: בג"ץ 273/10 </w:t>
      </w:r>
      <w:r w:rsidRPr="00E206AF">
        <w:rPr>
          <w:rFonts w:ascii="Century" w:hAnsi="Century" w:cs="Miriam" w:hint="cs"/>
          <w:b/>
          <w:sz w:val="22"/>
          <w:rtl/>
        </w:rPr>
        <w:t>אלמיזרק נ' בית הדין הארצי לעבודה ירושלים</w:t>
      </w:r>
      <w:r w:rsidRPr="00E206AF">
        <w:rPr>
          <w:rFonts w:ascii="Century" w:hAnsi="Century" w:cs="FrankRuehl" w:hint="cs"/>
          <w:spacing w:val="10"/>
          <w:sz w:val="22"/>
          <w:szCs w:val="28"/>
          <w:rtl/>
        </w:rPr>
        <w:t xml:space="preserve">, פס' 14 (2.9.2011)), והיא נלמדת, בעיקרו של דבר, מההיסטוריה החקיקתית של אותה הוראה, כמו גם מהרקע ההיסטורי, החברתי והמשפטי לחקיקתה (ראו, למשל: ע"א 8622/07 </w:t>
      </w:r>
      <w:r w:rsidRPr="00E206AF">
        <w:rPr>
          <w:rFonts w:ascii="Century" w:hAnsi="Century" w:cs="Miriam" w:hint="cs"/>
          <w:b/>
          <w:sz w:val="22"/>
          <w:rtl/>
        </w:rPr>
        <w:t>רוטמן נ' מע"צ החברה הלאומית לדרכים בישראל בע"מ</w:t>
      </w:r>
      <w:r w:rsidRPr="00E206AF">
        <w:rPr>
          <w:rFonts w:ascii="Century" w:hAnsi="Century" w:cs="FrankRuehl" w:hint="cs"/>
          <w:spacing w:val="10"/>
          <w:sz w:val="22"/>
          <w:szCs w:val="28"/>
          <w:rtl/>
        </w:rPr>
        <w:t>, פס' 49 (14.5.2012)).</w:t>
      </w:r>
    </w:p>
    <w:p w:rsidR="00E32081" w:rsidRPr="00E206AF" w:rsidRDefault="00E32081" w:rsidP="00E32081">
      <w:pPr>
        <w:tabs>
          <w:tab w:val="left" w:pos="800"/>
        </w:tabs>
        <w:spacing w:line="360" w:lineRule="auto"/>
        <w:jc w:val="both"/>
        <w:rPr>
          <w:rFonts w:ascii="Century" w:hAnsi="Century" w:cs="FrankRuehl"/>
          <w:spacing w:val="10"/>
          <w:sz w:val="22"/>
          <w:szCs w:val="28"/>
        </w:rPr>
      </w:pPr>
    </w:p>
    <w:p w:rsidR="00E32081" w:rsidRPr="00E206AF" w:rsidRDefault="00E32081" w:rsidP="00E32081">
      <w:pPr>
        <w:tabs>
          <w:tab w:val="left" w:pos="800"/>
        </w:tabs>
        <w:spacing w:line="360" w:lineRule="auto"/>
        <w:jc w:val="both"/>
        <w:rPr>
          <w:rFonts w:ascii="Century" w:hAnsi="Century" w:cs="FrankRuehl"/>
          <w:spacing w:val="10"/>
          <w:sz w:val="22"/>
          <w:szCs w:val="28"/>
        </w:rPr>
      </w:pPr>
      <w:r w:rsidRPr="00E206AF">
        <w:rPr>
          <w:rFonts w:ascii="Century" w:hAnsi="Century" w:cs="FrankRuehl"/>
          <w:spacing w:val="10"/>
          <w:sz w:val="22"/>
          <w:szCs w:val="28"/>
          <w:rtl/>
        </w:rPr>
        <w:tab/>
      </w:r>
      <w:r w:rsidRPr="00E206AF">
        <w:rPr>
          <w:rFonts w:ascii="Century" w:hAnsi="Century" w:cs="FrankRuehl" w:hint="cs"/>
          <w:spacing w:val="10"/>
          <w:sz w:val="22"/>
          <w:szCs w:val="28"/>
          <w:rtl/>
        </w:rPr>
        <w:t>בענייננו, כפי שיבואר להלן, יש בהיסטוריה החקיקתית של התיקון, כמו גם ברקע הרלוונטי לחקיקתו, יסוד</w:t>
      </w:r>
      <w:r>
        <w:rPr>
          <w:rFonts w:ascii="Century" w:hAnsi="Century" w:cs="FrankRuehl" w:hint="cs"/>
          <w:spacing w:val="10"/>
          <w:sz w:val="22"/>
          <w:szCs w:val="28"/>
          <w:rtl/>
        </w:rPr>
        <w:t xml:space="preserve"> </w:t>
      </w:r>
      <w:r w:rsidRPr="00E206AF">
        <w:rPr>
          <w:rFonts w:ascii="Century" w:hAnsi="Century" w:cs="FrankRuehl" w:hint="cs"/>
          <w:spacing w:val="10"/>
          <w:sz w:val="22"/>
          <w:szCs w:val="28"/>
          <w:rtl/>
        </w:rPr>
        <w:t xml:space="preserve">למסקנה שלפיה כוונת המחוקק בהוראת התיקון הייתה </w:t>
      </w:r>
      <w:r w:rsidRPr="00E206AF">
        <w:rPr>
          <w:rFonts w:ascii="Century" w:hAnsi="Century" w:cs="FrankRuehl" w:hint="cs"/>
          <w:spacing w:val="10"/>
          <w:sz w:val="22"/>
          <w:szCs w:val="28"/>
          <w:rtl/>
        </w:rPr>
        <w:lastRenderedPageBreak/>
        <w:t xml:space="preserve">למנוע התערבות של בית המשפט בהחלטות שרים וממשלה בעילת </w:t>
      </w:r>
      <w:r w:rsidRPr="00E206AF">
        <w:rPr>
          <w:rFonts w:ascii="Century" w:hAnsi="Century" w:cs="Miriam" w:hint="eastAsia"/>
          <w:b/>
          <w:sz w:val="22"/>
          <w:rtl/>
        </w:rPr>
        <w:t>הסבירות</w:t>
      </w:r>
      <w:r w:rsidRPr="00E206AF">
        <w:rPr>
          <w:rFonts w:ascii="Century" w:hAnsi="Century" w:cs="Miriam"/>
          <w:b/>
          <w:sz w:val="22"/>
          <w:rtl/>
        </w:rPr>
        <w:t xml:space="preserve"> </w:t>
      </w:r>
      <w:r w:rsidRPr="00E206AF">
        <w:rPr>
          <w:rFonts w:ascii="Century" w:hAnsi="Century" w:cs="Miriam" w:hint="eastAsia"/>
          <w:b/>
          <w:sz w:val="22"/>
          <w:rtl/>
        </w:rPr>
        <w:t>האיזונית</w:t>
      </w:r>
      <w:r w:rsidRPr="00E206AF">
        <w:rPr>
          <w:rFonts w:ascii="Century" w:hAnsi="Century" w:cs="FrankRuehl" w:hint="cs"/>
          <w:spacing w:val="10"/>
          <w:sz w:val="22"/>
          <w:szCs w:val="28"/>
          <w:rtl/>
        </w:rPr>
        <w:t xml:space="preserve"> בלבד.</w:t>
      </w:r>
      <w:r w:rsidRPr="00E206AF">
        <w:rPr>
          <w:rFonts w:ascii="Century" w:hAnsi="Century" w:cs="Miriam"/>
          <w:b/>
          <w:sz w:val="22"/>
          <w:rtl/>
        </w:rPr>
        <w:t xml:space="preserve"> </w:t>
      </w:r>
      <w:r w:rsidRPr="00E206AF">
        <w:rPr>
          <w:rFonts w:ascii="Century" w:hAnsi="Century" w:cs="Miriam"/>
          <w:b/>
          <w:sz w:val="22"/>
          <w:rtl/>
        </w:rPr>
        <w:br/>
      </w:r>
    </w:p>
    <w:p w:rsidR="00E32081" w:rsidRPr="00E206AF" w:rsidRDefault="00E32081" w:rsidP="00E32081">
      <w:pPr>
        <w:tabs>
          <w:tab w:val="left" w:pos="800"/>
        </w:tabs>
        <w:spacing w:line="360" w:lineRule="auto"/>
        <w:jc w:val="both"/>
        <w:rPr>
          <w:rFonts w:ascii="Century" w:hAnsi="Century" w:cs="Miriam"/>
          <w:b/>
          <w:sz w:val="22"/>
          <w:rtl/>
        </w:rPr>
      </w:pPr>
      <w:r w:rsidRPr="00E206AF">
        <w:rPr>
          <w:rFonts w:ascii="Century" w:hAnsi="Century" w:cs="Miriam"/>
          <w:b/>
          <w:sz w:val="22"/>
          <w:rtl/>
        </w:rPr>
        <w:tab/>
      </w:r>
      <w:r w:rsidRPr="00E206AF">
        <w:rPr>
          <w:rFonts w:ascii="Century" w:hAnsi="Century" w:cs="Miriam" w:hint="cs"/>
          <w:b/>
          <w:sz w:val="22"/>
          <w:rtl/>
        </w:rPr>
        <w:t>ב.1. דברי ההסבר</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Default="00E32081" w:rsidP="00E32081">
      <w:pPr>
        <w:tabs>
          <w:tab w:val="left" w:pos="800"/>
        </w:tabs>
        <w:spacing w:line="360" w:lineRule="auto"/>
        <w:jc w:val="both"/>
        <w:rPr>
          <w:rFonts w:ascii="Century" w:hAnsi="Century" w:cs="FrankRuehl"/>
          <w:spacing w:val="10"/>
          <w:sz w:val="22"/>
          <w:szCs w:val="28"/>
          <w:rtl/>
        </w:rPr>
      </w:pPr>
      <w:r>
        <w:rPr>
          <w:rFonts w:ascii="Century" w:hAnsi="Century" w:cs="FrankRuehl" w:hint="cs"/>
          <w:spacing w:val="10"/>
          <w:sz w:val="22"/>
          <w:szCs w:val="28"/>
          <w:rtl/>
        </w:rPr>
        <w:t>50</w:t>
      </w:r>
      <w:r w:rsidRPr="00E206AF">
        <w:rPr>
          <w:rFonts w:ascii="Century" w:hAnsi="Century" w:cs="FrankRuehl" w:hint="cs"/>
          <w:spacing w:val="10"/>
          <w:sz w:val="22"/>
          <w:szCs w:val="28"/>
          <w:rtl/>
        </w:rPr>
        <w:t>.</w:t>
      </w: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המסקנה האמורה נלמדת, בראש ובראשונה, מדברי ההסבר לתיקון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אשר, כידוע, יש לתת להם משקל</w:t>
      </w:r>
      <w:r>
        <w:rPr>
          <w:rFonts w:ascii="Century" w:hAnsi="Century" w:cs="FrankRuehl" w:hint="cs"/>
          <w:spacing w:val="10"/>
          <w:sz w:val="22"/>
          <w:szCs w:val="28"/>
          <w:rtl/>
        </w:rPr>
        <w:t xml:space="preserve"> ניכר</w:t>
      </w:r>
      <w:r w:rsidRPr="00E206AF">
        <w:rPr>
          <w:rFonts w:ascii="Century" w:hAnsi="Century" w:cs="FrankRuehl" w:hint="cs"/>
          <w:spacing w:val="10"/>
          <w:sz w:val="22"/>
          <w:szCs w:val="28"/>
          <w:rtl/>
        </w:rPr>
        <w:t xml:space="preserve"> באיתור התכלית הסובייקטיבית (ראו:</w:t>
      </w:r>
      <w:r w:rsidRPr="00E206AF">
        <w:rPr>
          <w:rFonts w:ascii="Century" w:hAnsi="Century" w:cs="Miriam" w:hint="cs"/>
          <w:b/>
          <w:sz w:val="22"/>
          <w:rtl/>
        </w:rPr>
        <w:t xml:space="preserve"> ברק, פרשנות החקיקה</w:t>
      </w:r>
      <w:r>
        <w:rPr>
          <w:rFonts w:ascii="Century" w:hAnsi="Century" w:cs="FrankRuehl" w:hint="cs"/>
          <w:spacing w:val="10"/>
          <w:sz w:val="22"/>
          <w:szCs w:val="28"/>
          <w:rtl/>
        </w:rPr>
        <w:t>,</w:t>
      </w:r>
      <w:r w:rsidRPr="00E206AF" w:rsidDel="008271A0">
        <w:rPr>
          <w:rFonts w:ascii="Century" w:hAnsi="Century" w:cs="FrankRuehl" w:hint="cs"/>
          <w:spacing w:val="10"/>
          <w:sz w:val="22"/>
          <w:szCs w:val="28"/>
          <w:rtl/>
        </w:rPr>
        <w:t xml:space="preserve"> </w:t>
      </w:r>
      <w:r w:rsidRPr="00E206AF">
        <w:rPr>
          <w:rFonts w:ascii="Century" w:hAnsi="Century" w:cs="FrankRuehl" w:hint="cs"/>
          <w:spacing w:val="10"/>
          <w:sz w:val="22"/>
          <w:szCs w:val="28"/>
          <w:rtl/>
        </w:rPr>
        <w:t>בעמ' 387-386). יש לזכור כי דברי ההסבר הם אלו שמונחים בפני חברי הכנסת בבואם להצביע על נוסח החוק</w:t>
      </w:r>
      <w:r>
        <w:rPr>
          <w:rFonts w:ascii="Century" w:hAnsi="Century" w:cs="FrankRuehl" w:hint="cs"/>
          <w:spacing w:val="10"/>
          <w:sz w:val="22"/>
          <w:szCs w:val="28"/>
          <w:rtl/>
        </w:rPr>
        <w:t>.</w:t>
      </w:r>
      <w:r w:rsidRPr="00E206AF">
        <w:rPr>
          <w:rFonts w:ascii="Century" w:hAnsi="Century" w:cs="FrankRuehl" w:hint="cs"/>
          <w:spacing w:val="10"/>
          <w:sz w:val="22"/>
          <w:szCs w:val="28"/>
          <w:rtl/>
        </w:rPr>
        <w:t xml:space="preserve"> </w:t>
      </w:r>
    </w:p>
    <w:p w:rsidR="00E32081"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Pr>
          <w:rFonts w:ascii="Century" w:hAnsi="Century" w:cs="FrankRuehl"/>
          <w:spacing w:val="10"/>
          <w:sz w:val="22"/>
          <w:szCs w:val="28"/>
          <w:rtl/>
        </w:rPr>
        <w:tab/>
      </w:r>
      <w:r w:rsidRPr="00E206AF">
        <w:rPr>
          <w:rFonts w:ascii="Century" w:hAnsi="Century" w:cs="FrankRuehl" w:hint="cs"/>
          <w:spacing w:val="10"/>
          <w:sz w:val="22"/>
          <w:szCs w:val="28"/>
          <w:rtl/>
        </w:rPr>
        <w:t>וכך הוסבר</w:t>
      </w:r>
      <w:r>
        <w:rPr>
          <w:rFonts w:ascii="Century" w:hAnsi="Century" w:cs="FrankRuehl" w:hint="cs"/>
          <w:spacing w:val="10"/>
          <w:sz w:val="22"/>
          <w:szCs w:val="28"/>
          <w:rtl/>
        </w:rPr>
        <w:t xml:space="preserve"> בענייננו</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בדברי ההסבר לתיקון</w:t>
      </w: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hint="cs"/>
          <w:spacing w:val="10"/>
          <w:sz w:val="22"/>
          <w:szCs w:val="28"/>
          <w:rtl/>
        </w:rPr>
        <w:t xml:space="preserve">"מכוח סמכות זו [שבסעיף 15 לחוק-יסוד: השפיטה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י"ו] עורך בית המשפט ביקורת מינהלית על פעולות הרשות המבצעת. התפתחות עילות של הביקורת המינהלית נעשתה בעיקרה בפסיקה, ובכלל זה התפתחה עילת הסבירות. כיום עילה זו מאפשרת לבית המשפט לפסול החלטה מינהלית הלוקה בחוסר </w:t>
      </w:r>
      <w:r w:rsidRPr="007C6035">
        <w:rPr>
          <w:rFonts w:ascii="Arial TUR" w:hAnsi="Arial TUR" w:cs="FrankRuehl" w:hint="cs"/>
          <w:spacing w:val="10"/>
          <w:sz w:val="22"/>
          <w:szCs w:val="28"/>
          <w:rtl/>
        </w:rPr>
        <w:t xml:space="preserve">סבירות במובן זה שהיא אינה נותנת 'משקל ראוי לאינטרסים השונים שעל הרשות המינהלית להתחשב בהם בהחלטתה" (בג"ץ 389/80 </w:t>
      </w:r>
      <w:r w:rsidRPr="007C6035">
        <w:rPr>
          <w:rFonts w:ascii="Century" w:hAnsi="Century" w:cs="Miriam" w:hint="cs"/>
          <w:b/>
          <w:sz w:val="22"/>
          <w:rtl/>
        </w:rPr>
        <w:t>דפי זהב בע"מ נ' רשות השידור</w:t>
      </w:r>
      <w:r w:rsidRPr="007C6035">
        <w:rPr>
          <w:rFonts w:ascii="Arial TUR" w:hAnsi="Arial TUR" w:cs="FrankRuehl" w:hint="cs"/>
          <w:spacing w:val="10"/>
          <w:sz w:val="22"/>
          <w:szCs w:val="28"/>
          <w:rtl/>
        </w:rPr>
        <w:t xml:space="preserve"> [...] וזאת כשמדובר ב'חוסר סבירות מהותי או קיצוני' (שם, שם).</w:t>
      </w:r>
      <w:r w:rsidRPr="007C6035">
        <w:rPr>
          <w:rFonts w:ascii="FrankRuehl" w:hAnsi="FrankRuehl" w:cs="FrankRuehl" w:hint="eastAsia"/>
          <w:b/>
          <w:sz w:val="28"/>
          <w:szCs w:val="28"/>
          <w:rtl/>
        </w:rPr>
        <w:t xml:space="preserve"> </w:t>
      </w:r>
      <w:r w:rsidRPr="007C6035">
        <w:rPr>
          <w:rFonts w:ascii="Century" w:hAnsi="Century" w:cs="Miriam" w:hint="eastAsia"/>
          <w:b/>
          <w:sz w:val="22"/>
          <w:rtl/>
        </w:rPr>
        <w:t>על</w:t>
      </w:r>
      <w:r w:rsidRPr="007C6035">
        <w:rPr>
          <w:rFonts w:ascii="Century" w:hAnsi="Century" w:cs="Miriam"/>
          <w:b/>
          <w:sz w:val="22"/>
          <w:rtl/>
        </w:rPr>
        <w:t xml:space="preserve"> </w:t>
      </w:r>
      <w:r w:rsidRPr="007C6035">
        <w:rPr>
          <w:rFonts w:ascii="Century" w:hAnsi="Century" w:cs="Miriam" w:hint="eastAsia"/>
          <w:b/>
          <w:sz w:val="22"/>
          <w:rtl/>
        </w:rPr>
        <w:t>השימוש</w:t>
      </w:r>
      <w:r w:rsidRPr="007C6035">
        <w:rPr>
          <w:rFonts w:ascii="Century" w:hAnsi="Century" w:cs="Miriam"/>
          <w:b/>
          <w:sz w:val="22"/>
          <w:rtl/>
        </w:rPr>
        <w:t xml:space="preserve"> </w:t>
      </w:r>
      <w:r w:rsidRPr="007C6035">
        <w:rPr>
          <w:rFonts w:ascii="Century" w:hAnsi="Century" w:cs="Miriam" w:hint="eastAsia"/>
          <w:b/>
          <w:sz w:val="22"/>
          <w:rtl/>
        </w:rPr>
        <w:t>בעילת</w:t>
      </w:r>
      <w:r w:rsidRPr="007C6035">
        <w:rPr>
          <w:rFonts w:ascii="Century" w:hAnsi="Century" w:cs="Miriam"/>
          <w:b/>
          <w:sz w:val="22"/>
          <w:rtl/>
        </w:rPr>
        <w:t xml:space="preserve"> </w:t>
      </w:r>
      <w:r w:rsidRPr="007C6035">
        <w:rPr>
          <w:rFonts w:ascii="Century" w:hAnsi="Century" w:cs="Miriam" w:hint="eastAsia"/>
          <w:b/>
          <w:sz w:val="22"/>
          <w:rtl/>
        </w:rPr>
        <w:t>הסבירות</w:t>
      </w:r>
      <w:r w:rsidRPr="007C6035">
        <w:rPr>
          <w:rFonts w:ascii="Century" w:hAnsi="Century" w:cs="Miriam" w:hint="cs"/>
          <w:b/>
          <w:sz w:val="22"/>
          <w:rtl/>
        </w:rPr>
        <w:t xml:space="preserve"> במובנה זה</w:t>
      </w:r>
      <w:r w:rsidRPr="007C6035">
        <w:rPr>
          <w:rFonts w:ascii="Arial TUR" w:hAnsi="Arial TUR" w:cs="FrankRuehl" w:hint="cs"/>
          <w:spacing w:val="10"/>
          <w:sz w:val="22"/>
          <w:szCs w:val="28"/>
          <w:rtl/>
        </w:rPr>
        <w:t xml:space="preserve">, </w:t>
      </w:r>
      <w:r w:rsidRPr="007C6035">
        <w:rPr>
          <w:rFonts w:ascii="Arial TUR" w:hAnsi="Arial TUR" w:cs="FrankRuehl" w:hint="eastAsia"/>
          <w:spacing w:val="10"/>
          <w:sz w:val="22"/>
          <w:szCs w:val="28"/>
          <w:rtl/>
        </w:rPr>
        <w:t>ובפרט</w:t>
      </w:r>
      <w:r w:rsidRPr="007C6035">
        <w:rPr>
          <w:rFonts w:ascii="Arial TUR" w:hAnsi="Arial TUR" w:cs="FrankRuehl"/>
          <w:spacing w:val="10"/>
          <w:sz w:val="22"/>
          <w:szCs w:val="28"/>
          <w:rtl/>
        </w:rPr>
        <w:t xml:space="preserve"> </w:t>
      </w:r>
      <w:r w:rsidRPr="007C6035">
        <w:rPr>
          <w:rFonts w:ascii="Arial TUR" w:hAnsi="Arial TUR" w:cs="FrankRuehl" w:hint="eastAsia"/>
          <w:spacing w:val="10"/>
          <w:sz w:val="22"/>
          <w:szCs w:val="28"/>
          <w:rtl/>
        </w:rPr>
        <w:t>החלת</w:t>
      </w:r>
      <w:r w:rsidRPr="007C6035">
        <w:rPr>
          <w:rFonts w:ascii="Arial TUR" w:hAnsi="Arial TUR" w:cs="FrankRuehl"/>
          <w:spacing w:val="10"/>
          <w:sz w:val="22"/>
          <w:szCs w:val="28"/>
          <w:rtl/>
        </w:rPr>
        <w:t xml:space="preserve"> </w:t>
      </w:r>
      <w:r w:rsidRPr="007C6035">
        <w:rPr>
          <w:rFonts w:ascii="Arial TUR" w:hAnsi="Arial TUR" w:cs="FrankRuehl" w:hint="eastAsia"/>
          <w:spacing w:val="10"/>
          <w:sz w:val="22"/>
          <w:szCs w:val="28"/>
          <w:rtl/>
        </w:rPr>
        <w:t>עילת</w:t>
      </w:r>
      <w:r w:rsidRPr="007C6035">
        <w:rPr>
          <w:rFonts w:ascii="Arial TUR" w:hAnsi="Arial TUR" w:cs="FrankRuehl"/>
          <w:spacing w:val="10"/>
          <w:sz w:val="22"/>
          <w:szCs w:val="28"/>
          <w:rtl/>
        </w:rPr>
        <w:t xml:space="preserve"> </w:t>
      </w:r>
      <w:r w:rsidRPr="007C6035">
        <w:rPr>
          <w:rFonts w:ascii="Arial TUR" w:hAnsi="Arial TUR" w:cs="FrankRuehl" w:hint="eastAsia"/>
          <w:spacing w:val="10"/>
          <w:sz w:val="22"/>
          <w:szCs w:val="28"/>
          <w:rtl/>
        </w:rPr>
        <w:t>הסבירות</w:t>
      </w:r>
      <w:r w:rsidRPr="007C6035">
        <w:rPr>
          <w:rFonts w:ascii="Arial TUR" w:hAnsi="Arial TUR" w:cs="FrankRuehl"/>
          <w:spacing w:val="10"/>
          <w:sz w:val="22"/>
          <w:szCs w:val="28"/>
          <w:rtl/>
        </w:rPr>
        <w:t xml:space="preserve"> </w:t>
      </w:r>
      <w:r w:rsidRPr="007C6035">
        <w:rPr>
          <w:rFonts w:ascii="Arial TUR" w:hAnsi="Arial TUR" w:cs="FrankRuehl" w:hint="eastAsia"/>
          <w:spacing w:val="10"/>
          <w:sz w:val="22"/>
          <w:szCs w:val="28"/>
          <w:rtl/>
        </w:rPr>
        <w:t>בנוגע</w:t>
      </w:r>
      <w:r w:rsidRPr="007C6035">
        <w:rPr>
          <w:rFonts w:ascii="Arial TUR" w:hAnsi="Arial TUR" w:cs="FrankRuehl"/>
          <w:spacing w:val="10"/>
          <w:sz w:val="22"/>
          <w:szCs w:val="28"/>
          <w:rtl/>
        </w:rPr>
        <w:t xml:space="preserve"> </w:t>
      </w:r>
      <w:r w:rsidRPr="007C6035">
        <w:rPr>
          <w:rFonts w:ascii="Arial TUR" w:hAnsi="Arial TUR" w:cs="FrankRuehl" w:hint="eastAsia"/>
          <w:spacing w:val="10"/>
          <w:sz w:val="22"/>
          <w:szCs w:val="28"/>
          <w:rtl/>
        </w:rPr>
        <w:t>להחלטות</w:t>
      </w:r>
      <w:r w:rsidRPr="007C6035">
        <w:rPr>
          <w:rFonts w:ascii="Arial TUR" w:hAnsi="Arial TUR" w:cs="FrankRuehl"/>
          <w:spacing w:val="10"/>
          <w:sz w:val="22"/>
          <w:szCs w:val="28"/>
          <w:rtl/>
        </w:rPr>
        <w:t xml:space="preserve"> </w:t>
      </w:r>
      <w:r w:rsidRPr="007C6035">
        <w:rPr>
          <w:rFonts w:ascii="Arial TUR" w:hAnsi="Arial TUR" w:cs="FrankRuehl" w:hint="eastAsia"/>
          <w:spacing w:val="10"/>
          <w:sz w:val="22"/>
          <w:szCs w:val="28"/>
          <w:rtl/>
        </w:rPr>
        <w:t>של</w:t>
      </w:r>
      <w:r w:rsidRPr="007C6035">
        <w:rPr>
          <w:rFonts w:ascii="Arial TUR" w:hAnsi="Arial TUR" w:cs="FrankRuehl"/>
          <w:spacing w:val="10"/>
          <w:sz w:val="22"/>
          <w:szCs w:val="28"/>
          <w:rtl/>
        </w:rPr>
        <w:t xml:space="preserve"> </w:t>
      </w:r>
      <w:r w:rsidRPr="007C6035">
        <w:rPr>
          <w:rFonts w:ascii="Arial TUR" w:hAnsi="Arial TUR" w:cs="FrankRuehl" w:hint="eastAsia"/>
          <w:spacing w:val="10"/>
          <w:sz w:val="22"/>
          <w:szCs w:val="28"/>
          <w:rtl/>
        </w:rPr>
        <w:t>הדרג</w:t>
      </w:r>
      <w:r w:rsidRPr="007C6035">
        <w:rPr>
          <w:rFonts w:ascii="Arial TUR" w:hAnsi="Arial TUR" w:cs="FrankRuehl"/>
          <w:spacing w:val="10"/>
          <w:sz w:val="22"/>
          <w:szCs w:val="28"/>
          <w:rtl/>
        </w:rPr>
        <w:t xml:space="preserve"> </w:t>
      </w:r>
      <w:r w:rsidRPr="007C6035">
        <w:rPr>
          <w:rFonts w:ascii="Arial TUR" w:hAnsi="Arial TUR" w:cs="FrankRuehl" w:hint="eastAsia"/>
          <w:spacing w:val="10"/>
          <w:sz w:val="22"/>
          <w:szCs w:val="28"/>
          <w:rtl/>
        </w:rPr>
        <w:t>הנב</w:t>
      </w:r>
      <w:r w:rsidRPr="003F2E16">
        <w:rPr>
          <w:rFonts w:ascii="Arial TUR" w:hAnsi="Arial TUR" w:cs="FrankRuehl" w:hint="eastAsia"/>
          <w:spacing w:val="10"/>
          <w:sz w:val="22"/>
          <w:szCs w:val="28"/>
          <w:rtl/>
        </w:rPr>
        <w:t>חר</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נטען</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בין</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היתר</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כי</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קביעת</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האיזון</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הערכי</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בין</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השיקולים</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השונים</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הנוגעים</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להחלטה</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מינהלית</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צריכה</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להיות</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נתונה</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לנבחרי</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הציבור</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ולא</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לבית</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המשפט</w:t>
      </w:r>
      <w:r w:rsidRPr="003F2E16">
        <w:rPr>
          <w:rFonts w:ascii="Arial TUR" w:hAnsi="Arial TUR" w:cs="FrankRuehl"/>
          <w:spacing w:val="10"/>
          <w:sz w:val="22"/>
          <w:szCs w:val="28"/>
          <w:rtl/>
        </w:rPr>
        <w:t xml:space="preserve">. </w:t>
      </w:r>
      <w:r w:rsidRPr="003F2E16">
        <w:rPr>
          <w:rFonts w:ascii="Century" w:hAnsi="Century" w:cs="Miriam" w:hint="eastAsia"/>
          <w:b/>
          <w:sz w:val="22"/>
          <w:rtl/>
        </w:rPr>
        <w:t>לפיכך</w:t>
      </w:r>
      <w:r w:rsidRPr="003F2E16">
        <w:rPr>
          <w:rFonts w:ascii="Century" w:hAnsi="Century" w:cs="Miriam"/>
          <w:b/>
          <w:sz w:val="22"/>
          <w:rtl/>
        </w:rPr>
        <w:t xml:space="preserve"> </w:t>
      </w:r>
      <w:r w:rsidRPr="003F2E16">
        <w:rPr>
          <w:rFonts w:ascii="Century" w:hAnsi="Century" w:cs="Miriam" w:hint="eastAsia"/>
          <w:b/>
          <w:sz w:val="22"/>
          <w:rtl/>
        </w:rPr>
        <w:t>מוצע</w:t>
      </w:r>
      <w:r w:rsidRPr="003F2E16">
        <w:rPr>
          <w:rFonts w:ascii="Century" w:hAnsi="Century" w:cs="Miriam"/>
          <w:b/>
          <w:sz w:val="22"/>
          <w:rtl/>
        </w:rPr>
        <w:t xml:space="preserve"> </w:t>
      </w:r>
      <w:r w:rsidRPr="003F2E16">
        <w:rPr>
          <w:rFonts w:ascii="Century" w:hAnsi="Century" w:cs="Miriam" w:hint="eastAsia"/>
          <w:b/>
          <w:sz w:val="22"/>
          <w:rtl/>
        </w:rPr>
        <w:t>לקבוע</w:t>
      </w:r>
      <w:r w:rsidRPr="00891892">
        <w:rPr>
          <w:rFonts w:ascii="FrankRuehl" w:hAnsi="FrankRuehl" w:cs="FrankRuehl"/>
          <w:b/>
          <w:sz w:val="28"/>
          <w:szCs w:val="28"/>
          <w:rtl/>
        </w:rPr>
        <w:t xml:space="preserve"> </w:t>
      </w:r>
      <w:r w:rsidRPr="003F2E16">
        <w:rPr>
          <w:rFonts w:ascii="Arial TUR" w:hAnsi="Arial TUR" w:cs="FrankRuehl" w:hint="eastAsia"/>
          <w:spacing w:val="10"/>
          <w:sz w:val="22"/>
          <w:szCs w:val="28"/>
          <w:rtl/>
        </w:rPr>
        <w:t>בחוק</w:t>
      </w:r>
      <w:r w:rsidRPr="003F2E16">
        <w:rPr>
          <w:rFonts w:ascii="Arial TUR" w:hAnsi="Arial TUR" w:cs="FrankRuehl"/>
          <w:spacing w:val="10"/>
          <w:sz w:val="22"/>
          <w:szCs w:val="28"/>
          <w:rtl/>
        </w:rPr>
        <w:t>-</w:t>
      </w:r>
      <w:r w:rsidRPr="003F2E16">
        <w:rPr>
          <w:rFonts w:ascii="Arial TUR" w:hAnsi="Arial TUR" w:cs="FrankRuehl" w:hint="eastAsia"/>
          <w:spacing w:val="10"/>
          <w:sz w:val="22"/>
          <w:szCs w:val="28"/>
          <w:rtl/>
        </w:rPr>
        <w:t>יסוד</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השפיטה</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כי</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רשות</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שיפוטית</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לא</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תוכל</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לדון</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בעניין</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סבירות</w:t>
      </w:r>
      <w:r w:rsidRPr="00E206AF">
        <w:rPr>
          <w:rFonts w:ascii="Arial TUR" w:hAnsi="Arial TUR" w:cs="FrankRuehl" w:hint="cs"/>
          <w:spacing w:val="10"/>
          <w:sz w:val="22"/>
          <w:szCs w:val="28"/>
          <w:rtl/>
        </w:rPr>
        <w:t xml:space="preserve"> ההחלטה של הממשלה במליאתה, של ראש הממשלה או של שר אחר" (הצעת</w:t>
      </w:r>
      <w:r w:rsidRPr="003F2E16">
        <w:rPr>
          <w:rFonts w:ascii="Arial TUR" w:hAnsi="Arial TUR" w:cs="FrankRuehl" w:hint="cs"/>
          <w:spacing w:val="10"/>
          <w:sz w:val="22"/>
          <w:szCs w:val="28"/>
          <w:rtl/>
        </w:rPr>
        <w:t xml:space="preserve"> חוק-יסוד: השפיטה (תיקון מס' 3) (עילת הסבירות) (ה"ח 968, 5.7.2023); </w:t>
      </w:r>
      <w:r w:rsidRPr="00E206AF">
        <w:rPr>
          <w:rFonts w:ascii="Arial TUR" w:hAnsi="Arial TUR" w:cs="FrankRuehl" w:hint="cs"/>
          <w:spacing w:val="10"/>
          <w:sz w:val="22"/>
          <w:szCs w:val="28"/>
          <w:rtl/>
        </w:rPr>
        <w:t>ההדגש</w:t>
      </w:r>
      <w:r>
        <w:rPr>
          <w:rFonts w:ascii="Arial TUR" w:hAnsi="Arial TUR" w:cs="FrankRuehl" w:hint="cs"/>
          <w:spacing w:val="10"/>
          <w:sz w:val="22"/>
          <w:szCs w:val="28"/>
          <w:rtl/>
        </w:rPr>
        <w:t xml:space="preserve">ה, שאינן נוגעות לשמות הצדדים </w:t>
      </w:r>
      <w:r w:rsidRPr="003F2E16">
        <w:rPr>
          <w:rFonts w:ascii="Arial TUR" w:hAnsi="Arial TUR" w:cs="FrankRuehl" w:hint="eastAsia"/>
          <w:spacing w:val="10"/>
          <w:sz w:val="22"/>
          <w:szCs w:val="28"/>
          <w:rtl/>
        </w:rPr>
        <w:t>בעניין</w:t>
      </w:r>
      <w:r w:rsidRPr="00891892">
        <w:rPr>
          <w:rFonts w:ascii="Arial TUR" w:hAnsi="Arial TUR" w:cs="FrankRuehl" w:hint="cs"/>
          <w:spacing w:val="10"/>
          <w:sz w:val="22"/>
          <w:szCs w:val="28"/>
          <w:rtl/>
        </w:rPr>
        <w:t xml:space="preserve"> </w:t>
      </w:r>
      <w:r>
        <w:rPr>
          <w:rFonts w:ascii="Century" w:hAnsi="Century" w:cs="Miriam" w:hint="cs"/>
          <w:b/>
          <w:sz w:val="22"/>
          <w:rtl/>
        </w:rPr>
        <w:t xml:space="preserve">דפי </w:t>
      </w:r>
      <w:r w:rsidRPr="00891892">
        <w:rPr>
          <w:rFonts w:ascii="Century" w:hAnsi="Century" w:cs="Miriam" w:hint="cs"/>
          <w:b/>
          <w:sz w:val="22"/>
          <w:rtl/>
        </w:rPr>
        <w:t>זהב</w:t>
      </w:r>
      <w:r>
        <w:rPr>
          <w:rFonts w:ascii="Century" w:hAnsi="Century" w:cs="FrankRuehl" w:hint="cs"/>
          <w:spacing w:val="10"/>
          <w:sz w:val="22"/>
          <w:szCs w:val="28"/>
          <w:rtl/>
        </w:rPr>
        <w:t>,</w:t>
      </w:r>
      <w:r w:rsidRPr="00891892">
        <w:rPr>
          <w:rFonts w:ascii="Arial TUR" w:hAnsi="Arial TUR" w:cs="FrankRuehl" w:hint="cs"/>
          <w:spacing w:val="10"/>
          <w:sz w:val="22"/>
          <w:szCs w:val="28"/>
          <w:rtl/>
        </w:rPr>
        <w:t xml:space="preserve"> </w:t>
      </w:r>
      <w:r w:rsidRPr="00E206AF">
        <w:rPr>
          <w:rFonts w:ascii="Arial TUR" w:hAnsi="Arial TUR" w:cs="FrankRuehl" w:hint="cs"/>
          <w:spacing w:val="10"/>
          <w:sz w:val="22"/>
          <w:szCs w:val="28"/>
          <w:rtl/>
        </w:rPr>
        <w:t>הוספה</w:t>
      </w:r>
      <w:r>
        <w:rPr>
          <w:rFonts w:ascii="Arial TUR" w:hAnsi="Arial TUR" w:cs="FrankRuehl" w:hint="cs"/>
          <w:spacing w:val="10"/>
          <w:sz w:val="22"/>
          <w:szCs w:val="28"/>
          <w:rtl/>
        </w:rPr>
        <w:t xml:space="preserve"> </w:t>
      </w:r>
      <w:r>
        <w:rPr>
          <w:rFonts w:ascii="Arial TUR" w:hAnsi="Arial TUR" w:cs="FrankRuehl"/>
          <w:spacing w:val="10"/>
          <w:sz w:val="22"/>
          <w:szCs w:val="28"/>
          <w:rtl/>
        </w:rPr>
        <w:t>–</w:t>
      </w:r>
      <w:r>
        <w:rPr>
          <w:rFonts w:ascii="Arial TUR" w:hAnsi="Arial TUR" w:cs="FrankRuehl" w:hint="cs"/>
          <w:spacing w:val="10"/>
          <w:sz w:val="22"/>
          <w:szCs w:val="28"/>
          <w:rtl/>
        </w:rPr>
        <w:t xml:space="preserve"> י"ו</w:t>
      </w:r>
      <w:r w:rsidRPr="00E206AF">
        <w:rPr>
          <w:rFonts w:ascii="Arial TUR" w:hAnsi="Arial TUR" w:cs="FrankRuehl" w:hint="cs"/>
          <w:spacing w:val="10"/>
          <w:sz w:val="22"/>
          <w:szCs w:val="28"/>
          <w:rtl/>
        </w:rPr>
        <w:t>).</w:t>
      </w:r>
    </w:p>
    <w:p w:rsidR="00E32081" w:rsidRPr="003F2E16"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אם כן, מדברי ההסבר עולה, </w:t>
      </w:r>
      <w:r w:rsidRPr="00E206AF">
        <w:rPr>
          <w:rFonts w:ascii="Century" w:hAnsi="Century" w:cs="Miriam" w:hint="eastAsia"/>
          <w:b/>
          <w:sz w:val="22"/>
          <w:rtl/>
        </w:rPr>
        <w:t>באופן</w:t>
      </w:r>
      <w:r w:rsidRPr="00E206AF">
        <w:rPr>
          <w:rFonts w:ascii="Century" w:hAnsi="Century" w:cs="Miriam"/>
          <w:b/>
          <w:sz w:val="22"/>
          <w:rtl/>
        </w:rPr>
        <w:t xml:space="preserve"> </w:t>
      </w:r>
      <w:r w:rsidRPr="00E206AF">
        <w:rPr>
          <w:rFonts w:ascii="Century" w:hAnsi="Century" w:cs="Miriam" w:hint="cs"/>
          <w:b/>
          <w:sz w:val="22"/>
          <w:rtl/>
        </w:rPr>
        <w:t>ברור</w:t>
      </w:r>
      <w:r w:rsidRPr="00E206AF">
        <w:rPr>
          <w:rFonts w:ascii="Century" w:hAnsi="Century" w:cs="FrankRuehl" w:hint="cs"/>
          <w:spacing w:val="10"/>
          <w:sz w:val="22"/>
          <w:szCs w:val="28"/>
          <w:rtl/>
        </w:rPr>
        <w:t xml:space="preserve">, כי תכלית התיקון מבחינת המכונן היא למנוע התערבות שיפוטית בהחלטות ממשלה ושרים אך מכוח עילת הסבירות האיזונית, </w:t>
      </w:r>
      <w:r>
        <w:rPr>
          <w:rFonts w:ascii="Century" w:hAnsi="Century" w:cs="FrankRuehl" w:hint="cs"/>
          <w:spacing w:val="10"/>
          <w:sz w:val="22"/>
          <w:szCs w:val="28"/>
          <w:rtl/>
        </w:rPr>
        <w:t>כ</w:t>
      </w:r>
      <w:r w:rsidRPr="00E206AF">
        <w:rPr>
          <w:rFonts w:ascii="Century" w:hAnsi="Century" w:cs="FrankRuehl" w:hint="cs"/>
          <w:spacing w:val="10"/>
          <w:sz w:val="22"/>
          <w:szCs w:val="28"/>
          <w:rtl/>
        </w:rPr>
        <w:t xml:space="preserve">מובנה בפסק הדין בעניין </w:t>
      </w:r>
      <w:r w:rsidRPr="00E206AF">
        <w:rPr>
          <w:rFonts w:ascii="Century" w:hAnsi="Century" w:cs="Miriam" w:hint="cs"/>
          <w:b/>
          <w:sz w:val="22"/>
          <w:rtl/>
        </w:rPr>
        <w:t>דפי זהב</w:t>
      </w:r>
      <w:r w:rsidRPr="00E206AF">
        <w:rPr>
          <w:rFonts w:ascii="Century" w:hAnsi="Century" w:cs="FrankRuehl" w:hint="cs"/>
          <w:spacing w:val="10"/>
          <w:sz w:val="22"/>
          <w:szCs w:val="28"/>
          <w:rtl/>
        </w:rPr>
        <w:t>.</w:t>
      </w:r>
    </w:p>
    <w:p w:rsidR="00E703F1" w:rsidRPr="00E206AF" w:rsidRDefault="00E703F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Miriam"/>
          <w:b/>
          <w:sz w:val="22"/>
          <w:rtl/>
        </w:rPr>
        <w:tab/>
      </w:r>
      <w:r>
        <w:rPr>
          <w:rFonts w:ascii="Century" w:hAnsi="Century" w:cs="Miriam" w:hint="cs"/>
          <w:b/>
          <w:sz w:val="22"/>
          <w:rtl/>
        </w:rPr>
        <w:t xml:space="preserve">תמיכה בתכלית סובייקטיבית זו </w:t>
      </w:r>
      <w:r>
        <w:rPr>
          <w:rFonts w:ascii="Century" w:hAnsi="Century" w:cs="Miriam"/>
          <w:b/>
          <w:sz w:val="22"/>
          <w:rtl/>
        </w:rPr>
        <w:t>–</w:t>
      </w:r>
      <w:r>
        <w:rPr>
          <w:rFonts w:ascii="Century" w:hAnsi="Century" w:cs="Miriam" w:hint="cs"/>
          <w:b/>
          <w:sz w:val="22"/>
          <w:rtl/>
        </w:rPr>
        <w:t xml:space="preserve"> עמדת </w:t>
      </w:r>
      <w:r w:rsidRPr="00E206AF">
        <w:rPr>
          <w:rFonts w:ascii="Century" w:hAnsi="Century" w:cs="Miriam" w:hint="cs"/>
          <w:b/>
          <w:sz w:val="22"/>
          <w:rtl/>
        </w:rPr>
        <w:t>הממשלה</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lastRenderedPageBreak/>
        <w:t>5</w:t>
      </w:r>
      <w:r>
        <w:rPr>
          <w:rFonts w:ascii="Century" w:hAnsi="Century" w:cs="FrankRuehl" w:hint="cs"/>
          <w:spacing w:val="10"/>
          <w:sz w:val="22"/>
          <w:szCs w:val="28"/>
          <w:rtl/>
        </w:rPr>
        <w:t>1</w:t>
      </w:r>
      <w:r w:rsidRPr="00E206AF">
        <w:rPr>
          <w:rFonts w:ascii="Century" w:hAnsi="Century" w:cs="FrankRuehl" w:hint="cs"/>
          <w:spacing w:val="10"/>
          <w:sz w:val="22"/>
          <w:szCs w:val="28"/>
          <w:rtl/>
        </w:rPr>
        <w:t>.</w:t>
      </w:r>
      <w:r w:rsidRPr="00E206AF">
        <w:rPr>
          <w:rFonts w:ascii="Century" w:hAnsi="Century" w:cs="FrankRuehl"/>
          <w:spacing w:val="10"/>
          <w:sz w:val="22"/>
          <w:szCs w:val="28"/>
          <w:rtl/>
        </w:rPr>
        <w:tab/>
      </w:r>
      <w:r>
        <w:rPr>
          <w:rFonts w:ascii="Century" w:hAnsi="Century" w:cs="FrankRuehl" w:hint="cs"/>
          <w:spacing w:val="10"/>
          <w:sz w:val="22"/>
          <w:szCs w:val="28"/>
          <w:rtl/>
        </w:rPr>
        <w:t xml:space="preserve">כתמיכה לעמדתי שלפיה יש יסוד בפרשנות המוצעת בתכלית הסובייקטיבית, ניתן למצוא בעמדת משיבי הממשלה, אשר אף הם הבינו באופן האמור את כוונת המכונן. זאת, כפי שנלמד </w:t>
      </w:r>
      <w:r w:rsidRPr="00E206AF">
        <w:rPr>
          <w:rFonts w:ascii="Century" w:hAnsi="Century" w:cs="FrankRuehl" w:hint="cs"/>
          <w:spacing w:val="10"/>
          <w:sz w:val="22"/>
          <w:szCs w:val="28"/>
          <w:rtl/>
        </w:rPr>
        <w:t xml:space="preserve">מתצהיר התשובה שהגישו המשיבים 7-5 (להלן בהתאמה: </w:t>
      </w:r>
      <w:r w:rsidRPr="00E206AF">
        <w:rPr>
          <w:rFonts w:ascii="Century" w:hAnsi="Century" w:cs="Miriam" w:hint="cs"/>
          <w:b/>
          <w:sz w:val="22"/>
          <w:rtl/>
        </w:rPr>
        <w:t xml:space="preserve">תשובת הממשלה </w:t>
      </w:r>
      <w:r w:rsidRPr="00E206AF">
        <w:rPr>
          <w:rFonts w:ascii="Century" w:hAnsi="Century" w:cs="FrankRuehl" w:hint="cs"/>
          <w:spacing w:val="10"/>
          <w:sz w:val="22"/>
          <w:szCs w:val="28"/>
          <w:rtl/>
        </w:rPr>
        <w:t>ו-</w:t>
      </w:r>
      <w:r w:rsidRPr="00E206AF">
        <w:rPr>
          <w:rFonts w:ascii="Century" w:hAnsi="Century" w:cs="Miriam" w:hint="cs"/>
          <w:b/>
          <w:sz w:val="22"/>
          <w:rtl/>
        </w:rPr>
        <w:t>הממשלה</w:t>
      </w:r>
      <w:r w:rsidRPr="00E206AF">
        <w:rPr>
          <w:rFonts w:ascii="Century" w:hAnsi="Century" w:cs="FrankRuehl" w:hint="cs"/>
          <w:spacing w:val="10"/>
          <w:sz w:val="22"/>
          <w:szCs w:val="28"/>
          <w:rtl/>
        </w:rPr>
        <w:t>) במסגרת ההליך הנדון. וכך צוין שם ביחס לתיקון:</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hint="cs"/>
          <w:spacing w:val="10"/>
          <w:sz w:val="22"/>
          <w:szCs w:val="28"/>
          <w:rtl/>
        </w:rPr>
        <w:t>"נזכיר כי בעניין שלנו אין מדובר בקביעת נורמה חדשה ומרחיקת לכת, כי אם ב</w:t>
      </w:r>
      <w:r w:rsidRPr="00E206AF">
        <w:rPr>
          <w:rFonts w:ascii="Century" w:hAnsi="Century" w:cs="Miriam" w:hint="cs"/>
          <w:b/>
          <w:sz w:val="22"/>
          <w:rtl/>
        </w:rPr>
        <w:t>השבה חלקית של המצב המשפטי לקדמותו, קודם השינוי שעשה בו בית המשפט בהלכת דפי זהב</w:t>
      </w:r>
      <w:r w:rsidRPr="00E206AF">
        <w:rPr>
          <w:rFonts w:ascii="Arial TUR" w:hAnsi="Arial TUR" w:cs="FrankRuehl" w:hint="cs"/>
          <w:spacing w:val="10"/>
          <w:sz w:val="22"/>
          <w:szCs w:val="28"/>
          <w:rtl/>
        </w:rPr>
        <w:t xml:space="preserve">, כפי שעוד יורחב להלן. כשם שהלכת דפי זהב, שהייתה מהפכה עצומה במשפט המנהלי הישראלי (והביאה לכך שעילת הסבירות בישראל היא הרחבה ביותר בעולם) הוחלה באופן מיידי, ברי שגם </w:t>
      </w:r>
      <w:r w:rsidRPr="00E206AF">
        <w:rPr>
          <w:rFonts w:ascii="Century" w:hAnsi="Century" w:cs="Miriam" w:hint="cs"/>
          <w:b/>
          <w:sz w:val="22"/>
          <w:rtl/>
        </w:rPr>
        <w:t>ביטולה של הלכה זו</w:t>
      </w:r>
      <w:r w:rsidRPr="00E206AF">
        <w:rPr>
          <w:rFonts w:ascii="Arial TUR" w:hAnsi="Arial TUR" w:cs="FrankRuehl" w:hint="cs"/>
          <w:spacing w:val="10"/>
          <w:sz w:val="22"/>
          <w:szCs w:val="28"/>
          <w:rtl/>
        </w:rPr>
        <w:t>, אמור לחול באופן מיידי" (שם, בפס' 165; ההדגשות במקור).</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מהצהרה זו של משיבי הממשלה ברור אפוא כי </w:t>
      </w:r>
      <w:r>
        <w:rPr>
          <w:rFonts w:ascii="Century" w:hAnsi="Century" w:cs="FrankRuehl" w:hint="cs"/>
          <w:spacing w:val="10"/>
          <w:sz w:val="22"/>
          <w:szCs w:val="28"/>
          <w:rtl/>
        </w:rPr>
        <w:t xml:space="preserve">לדידם, </w:t>
      </w:r>
      <w:r w:rsidRPr="00E206AF">
        <w:rPr>
          <w:rFonts w:ascii="Century" w:hAnsi="Century" w:cs="FrankRuehl" w:hint="cs"/>
          <w:spacing w:val="10"/>
          <w:sz w:val="22"/>
          <w:szCs w:val="28"/>
          <w:rtl/>
        </w:rPr>
        <w:t xml:space="preserve">התיקון </w:t>
      </w:r>
      <w:r>
        <w:rPr>
          <w:rFonts w:ascii="Century" w:hAnsi="Century" w:cs="FrankRuehl" w:hint="cs"/>
          <w:spacing w:val="10"/>
          <w:sz w:val="22"/>
          <w:szCs w:val="28"/>
          <w:rtl/>
        </w:rPr>
        <w:t>מתייחס</w:t>
      </w:r>
      <w:r w:rsidRPr="00E206AF">
        <w:rPr>
          <w:rFonts w:ascii="Century" w:hAnsi="Century" w:cs="FrankRuehl" w:hint="cs"/>
          <w:spacing w:val="10"/>
          <w:sz w:val="22"/>
          <w:szCs w:val="28"/>
          <w:rtl/>
        </w:rPr>
        <w:t xml:space="preserve">, מבחינת המכונן, </w:t>
      </w:r>
      <w:r>
        <w:rPr>
          <w:rFonts w:ascii="Century" w:hAnsi="Century" w:cs="FrankRuehl" w:hint="cs"/>
          <w:spacing w:val="10"/>
          <w:sz w:val="22"/>
          <w:szCs w:val="28"/>
          <w:rtl/>
        </w:rPr>
        <w:t>ל</w:t>
      </w:r>
      <w:r w:rsidRPr="00E206AF">
        <w:rPr>
          <w:rFonts w:ascii="Century" w:hAnsi="Century" w:cs="FrankRuehl" w:hint="cs"/>
          <w:spacing w:val="10"/>
          <w:sz w:val="22"/>
          <w:szCs w:val="28"/>
          <w:rtl/>
        </w:rPr>
        <w:t xml:space="preserve">עילת הסבירות האיזונית בלבד.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5</w:t>
      </w:r>
      <w:r>
        <w:rPr>
          <w:rFonts w:ascii="Century" w:hAnsi="Century" w:cs="FrankRuehl" w:hint="cs"/>
          <w:spacing w:val="10"/>
          <w:sz w:val="22"/>
          <w:szCs w:val="28"/>
          <w:rtl/>
        </w:rPr>
        <w:t>2</w:t>
      </w:r>
      <w:r w:rsidRPr="00E206AF">
        <w:rPr>
          <w:rFonts w:ascii="Century" w:hAnsi="Century" w:cs="FrankRuehl" w:hint="cs"/>
          <w:spacing w:val="10"/>
          <w:sz w:val="22"/>
          <w:szCs w:val="28"/>
          <w:rtl/>
        </w:rPr>
        <w:t>.</w:t>
      </w:r>
      <w:r w:rsidRPr="00E206AF">
        <w:rPr>
          <w:rFonts w:ascii="Century" w:hAnsi="Century" w:cs="FrankRuehl" w:hint="cs"/>
          <w:spacing w:val="10"/>
          <w:sz w:val="22"/>
          <w:szCs w:val="28"/>
          <w:rtl/>
        </w:rPr>
        <w:tab/>
      </w:r>
      <w:r>
        <w:rPr>
          <w:rFonts w:ascii="Century" w:hAnsi="Century" w:cs="FrankRuehl" w:hint="cs"/>
          <w:spacing w:val="10"/>
          <w:sz w:val="22"/>
          <w:szCs w:val="28"/>
          <w:rtl/>
        </w:rPr>
        <w:t>ואכן</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תפיסה זו של ה</w:t>
      </w:r>
      <w:r w:rsidRPr="00E206AF">
        <w:rPr>
          <w:rFonts w:ascii="Century" w:hAnsi="Century" w:cs="FrankRuehl" w:hint="cs"/>
          <w:spacing w:val="10"/>
          <w:sz w:val="22"/>
          <w:szCs w:val="28"/>
          <w:rtl/>
        </w:rPr>
        <w:t xml:space="preserve">תכלית </w:t>
      </w:r>
      <w:r>
        <w:rPr>
          <w:rFonts w:ascii="Century" w:hAnsi="Century" w:cs="FrankRuehl" w:hint="cs"/>
          <w:spacing w:val="10"/>
          <w:sz w:val="22"/>
          <w:szCs w:val="28"/>
          <w:rtl/>
        </w:rPr>
        <w:t>ה</w:t>
      </w:r>
      <w:r w:rsidRPr="00E206AF">
        <w:rPr>
          <w:rFonts w:ascii="Century" w:hAnsi="Century" w:cs="FrankRuehl" w:hint="cs"/>
          <w:spacing w:val="10"/>
          <w:sz w:val="22"/>
          <w:szCs w:val="28"/>
          <w:rtl/>
        </w:rPr>
        <w:t>סובייקטיבית של התיקון פרושה לאורכ</w:t>
      </w:r>
      <w:r>
        <w:rPr>
          <w:rFonts w:ascii="Century" w:hAnsi="Century" w:cs="FrankRuehl" w:hint="cs"/>
          <w:spacing w:val="10"/>
          <w:sz w:val="22"/>
          <w:szCs w:val="28"/>
          <w:rtl/>
        </w:rPr>
        <w:t>ן</w:t>
      </w:r>
      <w:r w:rsidRPr="00E206AF">
        <w:rPr>
          <w:rFonts w:ascii="Century" w:hAnsi="Century" w:cs="FrankRuehl" w:hint="cs"/>
          <w:spacing w:val="10"/>
          <w:sz w:val="22"/>
          <w:szCs w:val="28"/>
          <w:rtl/>
        </w:rPr>
        <w:t xml:space="preserve"> ולרוחב</w:t>
      </w:r>
      <w:r>
        <w:rPr>
          <w:rFonts w:ascii="Century" w:hAnsi="Century" w:cs="FrankRuehl" w:hint="cs"/>
          <w:spacing w:val="10"/>
          <w:sz w:val="22"/>
          <w:szCs w:val="28"/>
          <w:rtl/>
        </w:rPr>
        <w:t>ן</w:t>
      </w:r>
      <w:r w:rsidRPr="00E206AF">
        <w:rPr>
          <w:rFonts w:ascii="Century" w:hAnsi="Century" w:cs="FrankRuehl" w:hint="cs"/>
          <w:spacing w:val="10"/>
          <w:sz w:val="22"/>
          <w:szCs w:val="28"/>
          <w:rtl/>
        </w:rPr>
        <w:t xml:space="preserve"> של יתר טענות הממשלה בתצהיר התשובה מטעמ</w:t>
      </w:r>
      <w:r>
        <w:rPr>
          <w:rFonts w:ascii="Century" w:hAnsi="Century" w:cs="FrankRuehl" w:hint="cs"/>
          <w:spacing w:val="10"/>
          <w:sz w:val="22"/>
          <w:szCs w:val="28"/>
          <w:rtl/>
        </w:rPr>
        <w:t>ה</w:t>
      </w:r>
      <w:r w:rsidRPr="00E206AF">
        <w:rPr>
          <w:rFonts w:ascii="Century" w:hAnsi="Century" w:cs="FrankRuehl" w:hint="cs"/>
          <w:spacing w:val="10"/>
          <w:sz w:val="22"/>
          <w:szCs w:val="28"/>
          <w:rtl/>
        </w:rPr>
        <w:t xml:space="preserve">, באופן שאינו משתמע לשני פנים.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כך, הממשלה מציינת כי</w:t>
      </w:r>
      <w:r>
        <w:rPr>
          <w:rFonts w:ascii="Century" w:hAnsi="Century" w:cs="FrankRuehl" w:hint="cs"/>
          <w:spacing w:val="10"/>
          <w:sz w:val="22"/>
          <w:szCs w:val="28"/>
          <w:rtl/>
        </w:rPr>
        <w:t xml:space="preserve"> התיקון בא על רקע מצב שבו </w:t>
      </w:r>
      <w:r w:rsidRPr="00E206AF">
        <w:rPr>
          <w:rFonts w:ascii="Century" w:hAnsi="Century" w:cs="FrankRuehl" w:hint="cs"/>
          <w:spacing w:val="10"/>
          <w:sz w:val="22"/>
          <w:szCs w:val="28"/>
          <w:rtl/>
        </w:rPr>
        <w:t xml:space="preserve">"באופן מובהק מאז פסק הדין בעניין </w:t>
      </w:r>
      <w:r w:rsidRPr="00E206AF">
        <w:rPr>
          <w:rFonts w:ascii="Century" w:hAnsi="Century" w:cs="Miriam" w:hint="cs"/>
          <w:b/>
          <w:sz w:val="22"/>
          <w:rtl/>
        </w:rPr>
        <w:t>דפי זהב</w:t>
      </w:r>
      <w:r w:rsidRPr="00E206AF">
        <w:rPr>
          <w:rFonts w:ascii="Century" w:hAnsi="Century" w:cs="FrankRuehl" w:hint="cs"/>
          <w:spacing w:val="10"/>
          <w:sz w:val="22"/>
          <w:szCs w:val="28"/>
          <w:rtl/>
        </w:rPr>
        <w:t xml:space="preserve">", החל בית המשפט "לבחון את סבירות ההחלטות השלטוניות לגופן [...] עד כדי הכנסת רגליו לנעליו של בעל הסמכות. בית המשפט החל לבחון ולהכריע האם ניתן לכל מרכיב מרכיבי ההחלטה שנלקחו בחשבון </w:t>
      </w:r>
      <w:r w:rsidRPr="00E206AF">
        <w:rPr>
          <w:rFonts w:ascii="Century" w:hAnsi="Century" w:cs="FrankRuehl" w:hint="eastAsia"/>
          <w:spacing w:val="10"/>
          <w:sz w:val="22"/>
          <w:szCs w:val="28"/>
          <w:rtl/>
        </w:rPr>
        <w:t>המשקל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הראוי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לדעת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בית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המשפט</w:t>
      </w:r>
      <w:r w:rsidRPr="00E206AF">
        <w:rPr>
          <w:rFonts w:ascii="Century" w:hAnsi="Century" w:cs="FrankRuehl" w:hint="cs"/>
          <w:spacing w:val="10"/>
          <w:sz w:val="22"/>
          <w:szCs w:val="28"/>
          <w:rtl/>
        </w:rPr>
        <w:t>. הסבירות החדשה כונתה '</w:t>
      </w:r>
      <w:r w:rsidRPr="00E206AF">
        <w:rPr>
          <w:rFonts w:ascii="Century" w:hAnsi="Century" w:cs="Miriam" w:hint="cs"/>
          <w:b/>
          <w:sz w:val="22"/>
          <w:rtl/>
        </w:rPr>
        <w:t>סבירות מהותית</w:t>
      </w:r>
      <w:r w:rsidRPr="00E206AF">
        <w:rPr>
          <w:rFonts w:ascii="Century" w:hAnsi="Century" w:cs="FrankRuehl" w:hint="cs"/>
          <w:spacing w:val="10"/>
          <w:sz w:val="22"/>
          <w:szCs w:val="28"/>
          <w:rtl/>
        </w:rPr>
        <w:t>' או '</w:t>
      </w:r>
      <w:r w:rsidRPr="00E206AF">
        <w:rPr>
          <w:rFonts w:ascii="Century" w:hAnsi="Century" w:cs="Miriam" w:hint="cs"/>
          <w:b/>
          <w:sz w:val="22"/>
          <w:rtl/>
        </w:rPr>
        <w:t>סבירות איזונית</w:t>
      </w:r>
      <w:r w:rsidRPr="00E206AF">
        <w:rPr>
          <w:rFonts w:ascii="Century" w:hAnsi="Century" w:cs="FrankRuehl" w:hint="cs"/>
          <w:spacing w:val="10"/>
          <w:sz w:val="22"/>
          <w:szCs w:val="28"/>
          <w:rtl/>
        </w:rPr>
        <w:t>'". הממשלה מדגישה בתצהירה כי "</w:t>
      </w:r>
      <w:r w:rsidRPr="003F2E16">
        <w:rPr>
          <w:rFonts w:ascii="Century" w:hAnsi="Century" w:cs="Miriam" w:hint="eastAsia"/>
          <w:b/>
          <w:sz w:val="22"/>
          <w:rtl/>
        </w:rPr>
        <w:t>הגרסה</w:t>
      </w:r>
      <w:r w:rsidRPr="003F2E16">
        <w:rPr>
          <w:rFonts w:ascii="Century" w:hAnsi="Century" w:cs="Miriam"/>
          <w:b/>
          <w:sz w:val="22"/>
          <w:rtl/>
        </w:rPr>
        <w:t xml:space="preserve"> </w:t>
      </w:r>
      <w:r w:rsidRPr="003F2E16">
        <w:rPr>
          <w:rFonts w:ascii="Century" w:hAnsi="Century" w:cs="Miriam" w:hint="eastAsia"/>
          <w:b/>
          <w:sz w:val="22"/>
          <w:rtl/>
        </w:rPr>
        <w:t>המחודשת</w:t>
      </w:r>
      <w:r w:rsidRPr="003F2E16">
        <w:rPr>
          <w:rFonts w:ascii="Century" w:hAnsi="Century" w:cs="Miriam"/>
          <w:b/>
          <w:sz w:val="22"/>
          <w:rtl/>
        </w:rPr>
        <w:t xml:space="preserve"> </w:t>
      </w:r>
      <w:r w:rsidRPr="003F2E16">
        <w:rPr>
          <w:rFonts w:ascii="Century" w:hAnsi="Century" w:cs="Miriam" w:hint="eastAsia"/>
          <w:b/>
          <w:sz w:val="22"/>
          <w:rtl/>
        </w:rPr>
        <w:t>של</w:t>
      </w:r>
      <w:r w:rsidRPr="003F2E16">
        <w:rPr>
          <w:rFonts w:ascii="Century" w:hAnsi="Century" w:cs="Miriam"/>
          <w:b/>
          <w:sz w:val="22"/>
          <w:rtl/>
        </w:rPr>
        <w:t xml:space="preserve"> </w:t>
      </w:r>
      <w:r w:rsidRPr="003F2E16">
        <w:rPr>
          <w:rFonts w:ascii="Century" w:hAnsi="Century" w:cs="Miriam" w:hint="eastAsia"/>
          <w:b/>
          <w:sz w:val="22"/>
          <w:rtl/>
        </w:rPr>
        <w:t>הסבירות</w:t>
      </w:r>
      <w:r w:rsidRPr="003F2E16">
        <w:rPr>
          <w:rFonts w:ascii="Century" w:hAnsi="Century" w:cs="Miriam"/>
          <w:b/>
          <w:sz w:val="22"/>
          <w:rtl/>
        </w:rPr>
        <w:t xml:space="preserve"> </w:t>
      </w:r>
      <w:r w:rsidRPr="003F2E16">
        <w:rPr>
          <w:rFonts w:ascii="Century" w:hAnsi="Century" w:cs="Miriam" w:hint="eastAsia"/>
          <w:b/>
          <w:sz w:val="22"/>
          <w:rtl/>
        </w:rPr>
        <w:t>חולקת</w:t>
      </w:r>
      <w:r w:rsidRPr="003F2E16">
        <w:rPr>
          <w:rFonts w:ascii="Century" w:hAnsi="Century" w:cs="Miriam"/>
          <w:b/>
          <w:sz w:val="22"/>
          <w:rtl/>
        </w:rPr>
        <w:t xml:space="preserve"> </w:t>
      </w:r>
      <w:r w:rsidRPr="003F2E16">
        <w:rPr>
          <w:rFonts w:ascii="Century" w:hAnsi="Century" w:cs="Miriam" w:hint="eastAsia"/>
          <w:b/>
          <w:sz w:val="22"/>
          <w:rtl/>
        </w:rPr>
        <w:t>אפוא</w:t>
      </w:r>
      <w:r w:rsidRPr="003F2E16">
        <w:rPr>
          <w:rFonts w:ascii="Century" w:hAnsi="Century" w:cs="Miriam"/>
          <w:b/>
          <w:sz w:val="22"/>
          <w:rtl/>
        </w:rPr>
        <w:t xml:space="preserve"> </w:t>
      </w:r>
      <w:r w:rsidRPr="003F2E16">
        <w:rPr>
          <w:rFonts w:ascii="Century" w:hAnsi="Century" w:cs="Miriam" w:hint="eastAsia"/>
          <w:b/>
          <w:sz w:val="22"/>
          <w:rtl/>
        </w:rPr>
        <w:t>שם</w:t>
      </w:r>
      <w:r w:rsidRPr="003F2E16">
        <w:rPr>
          <w:rFonts w:ascii="Century" w:hAnsi="Century" w:cs="Miriam"/>
          <w:b/>
          <w:sz w:val="22"/>
          <w:rtl/>
        </w:rPr>
        <w:t xml:space="preserve"> </w:t>
      </w:r>
      <w:r w:rsidRPr="003F2E16">
        <w:rPr>
          <w:rFonts w:ascii="Century" w:hAnsi="Century" w:cs="Miriam" w:hint="eastAsia"/>
          <w:b/>
          <w:sz w:val="22"/>
          <w:rtl/>
        </w:rPr>
        <w:t>משותף</w:t>
      </w:r>
      <w:r w:rsidRPr="003F2E16">
        <w:rPr>
          <w:rFonts w:ascii="Century" w:hAnsi="Century" w:cs="Miriam"/>
          <w:b/>
          <w:sz w:val="22"/>
          <w:rtl/>
        </w:rPr>
        <w:t xml:space="preserve"> </w:t>
      </w:r>
      <w:r w:rsidRPr="003F2E16">
        <w:rPr>
          <w:rFonts w:ascii="Century" w:hAnsi="Century" w:cs="Miriam" w:hint="eastAsia"/>
          <w:b/>
          <w:sz w:val="22"/>
          <w:rtl/>
        </w:rPr>
        <w:t>עם</w:t>
      </w:r>
      <w:r w:rsidRPr="003F2E16">
        <w:rPr>
          <w:rFonts w:ascii="Century" w:hAnsi="Century" w:cs="Miriam"/>
          <w:b/>
          <w:sz w:val="22"/>
          <w:rtl/>
        </w:rPr>
        <w:t xml:space="preserve"> </w:t>
      </w:r>
      <w:r w:rsidRPr="003F2E16">
        <w:rPr>
          <w:rFonts w:ascii="Century" w:hAnsi="Century" w:cs="Miriam" w:hint="eastAsia"/>
          <w:b/>
          <w:sz w:val="22"/>
          <w:rtl/>
        </w:rPr>
        <w:t>עילת</w:t>
      </w:r>
      <w:r w:rsidRPr="003F2E16">
        <w:rPr>
          <w:rFonts w:ascii="Century" w:hAnsi="Century" w:cs="Miriam"/>
          <w:b/>
          <w:sz w:val="22"/>
          <w:rtl/>
        </w:rPr>
        <w:t xml:space="preserve"> </w:t>
      </w:r>
      <w:r w:rsidRPr="003F2E16">
        <w:rPr>
          <w:rFonts w:ascii="Century" w:hAnsi="Century" w:cs="Miriam" w:hint="eastAsia"/>
          <w:b/>
          <w:sz w:val="22"/>
          <w:rtl/>
        </w:rPr>
        <w:t>חוסר</w:t>
      </w:r>
      <w:r w:rsidRPr="003F2E16">
        <w:rPr>
          <w:rFonts w:ascii="Century" w:hAnsi="Century" w:cs="Miriam"/>
          <w:b/>
          <w:sz w:val="22"/>
          <w:rtl/>
        </w:rPr>
        <w:t xml:space="preserve"> </w:t>
      </w:r>
      <w:r w:rsidRPr="003F2E16">
        <w:rPr>
          <w:rFonts w:ascii="Century" w:hAnsi="Century" w:cs="Miriam" w:hint="eastAsia"/>
          <w:b/>
          <w:sz w:val="22"/>
          <w:rtl/>
        </w:rPr>
        <w:t>הסבירות</w:t>
      </w:r>
      <w:r w:rsidRPr="003F2E16">
        <w:rPr>
          <w:rFonts w:ascii="Century" w:hAnsi="Century" w:cs="Miriam"/>
          <w:b/>
          <w:sz w:val="22"/>
          <w:rtl/>
        </w:rPr>
        <w:t xml:space="preserve"> </w:t>
      </w:r>
      <w:r w:rsidRPr="003F2E16">
        <w:rPr>
          <w:rFonts w:ascii="Century" w:hAnsi="Century" w:cs="Miriam" w:hint="eastAsia"/>
          <w:b/>
          <w:sz w:val="22"/>
          <w:rtl/>
        </w:rPr>
        <w:t>הקיצונית</w:t>
      </w:r>
      <w:r w:rsidRPr="003F2E16">
        <w:rPr>
          <w:rFonts w:ascii="Century" w:hAnsi="Century" w:cs="Miriam"/>
          <w:b/>
          <w:sz w:val="22"/>
          <w:rtl/>
        </w:rPr>
        <w:t xml:space="preserve"> </w:t>
      </w:r>
      <w:r w:rsidRPr="003F2E16">
        <w:rPr>
          <w:rFonts w:ascii="Century" w:hAnsi="Century" w:cs="Miriam" w:hint="eastAsia"/>
          <w:b/>
          <w:sz w:val="22"/>
          <w:rtl/>
        </w:rPr>
        <w:t>המקורית</w:t>
      </w:r>
      <w:r w:rsidRPr="003F2E16">
        <w:rPr>
          <w:rFonts w:ascii="Century" w:hAnsi="Century" w:cs="Miriam"/>
          <w:b/>
          <w:sz w:val="22"/>
          <w:rtl/>
        </w:rPr>
        <w:t xml:space="preserve"> – </w:t>
      </w:r>
      <w:r w:rsidRPr="003F2E16">
        <w:rPr>
          <w:rFonts w:ascii="Century" w:hAnsi="Century" w:cs="Miriam" w:hint="eastAsia"/>
          <w:b/>
          <w:sz w:val="22"/>
          <w:rtl/>
        </w:rPr>
        <w:t>מופרכות</w:t>
      </w:r>
      <w:r w:rsidRPr="003F2E16">
        <w:rPr>
          <w:rFonts w:ascii="Century" w:hAnsi="Century" w:cs="Miriam"/>
          <w:b/>
          <w:sz w:val="22"/>
          <w:rtl/>
        </w:rPr>
        <w:t xml:space="preserve"> </w:t>
      </w:r>
      <w:r w:rsidRPr="003F2E16">
        <w:rPr>
          <w:rFonts w:ascii="Century" w:hAnsi="Century" w:cs="Miriam" w:hint="eastAsia"/>
          <w:b/>
          <w:sz w:val="22"/>
          <w:rtl/>
        </w:rPr>
        <w:t>שלא</w:t>
      </w:r>
      <w:r w:rsidRPr="003F2E16">
        <w:rPr>
          <w:rFonts w:ascii="Century" w:hAnsi="Century" w:cs="Miriam"/>
          <w:b/>
          <w:sz w:val="22"/>
          <w:rtl/>
        </w:rPr>
        <w:t xml:space="preserve"> </w:t>
      </w:r>
      <w:r w:rsidRPr="003F2E16">
        <w:rPr>
          <w:rFonts w:ascii="Century" w:hAnsi="Century" w:cs="Miriam" w:hint="eastAsia"/>
          <w:b/>
          <w:sz w:val="22"/>
          <w:rtl/>
        </w:rPr>
        <w:t>תעלה</w:t>
      </w:r>
      <w:r w:rsidRPr="003F2E16">
        <w:rPr>
          <w:rFonts w:ascii="Century" w:hAnsi="Century" w:cs="Miriam"/>
          <w:b/>
          <w:sz w:val="22"/>
          <w:rtl/>
        </w:rPr>
        <w:t xml:space="preserve"> </w:t>
      </w:r>
      <w:r w:rsidRPr="003F2E16">
        <w:rPr>
          <w:rFonts w:ascii="Century" w:hAnsi="Century" w:cs="Miriam" w:hint="eastAsia"/>
          <w:b/>
          <w:sz w:val="22"/>
          <w:rtl/>
        </w:rPr>
        <w:t>על</w:t>
      </w:r>
      <w:r w:rsidRPr="003F2E16">
        <w:rPr>
          <w:rFonts w:ascii="Century" w:hAnsi="Century" w:cs="Miriam"/>
          <w:b/>
          <w:sz w:val="22"/>
          <w:rtl/>
        </w:rPr>
        <w:t xml:space="preserve"> </w:t>
      </w:r>
      <w:r w:rsidRPr="003F2E16">
        <w:rPr>
          <w:rFonts w:ascii="Century" w:hAnsi="Century" w:cs="Miriam" w:hint="eastAsia"/>
          <w:b/>
          <w:sz w:val="22"/>
          <w:rtl/>
        </w:rPr>
        <w:t>הדעת</w:t>
      </w:r>
      <w:r w:rsidRPr="003F2E16">
        <w:rPr>
          <w:rFonts w:ascii="Century" w:hAnsi="Century" w:cs="Miriam"/>
          <w:b/>
          <w:sz w:val="22"/>
          <w:rtl/>
        </w:rPr>
        <w:t xml:space="preserve"> – </w:t>
      </w:r>
      <w:r w:rsidRPr="003F2E16">
        <w:rPr>
          <w:rFonts w:ascii="Century" w:hAnsi="Century" w:cs="Miriam" w:hint="eastAsia"/>
          <w:b/>
          <w:sz w:val="22"/>
          <w:rtl/>
        </w:rPr>
        <w:t>אולם</w:t>
      </w:r>
      <w:r w:rsidRPr="003F2E16">
        <w:rPr>
          <w:rFonts w:ascii="Century" w:hAnsi="Century" w:cs="Miriam"/>
          <w:b/>
          <w:sz w:val="22"/>
          <w:rtl/>
        </w:rPr>
        <w:t xml:space="preserve"> </w:t>
      </w:r>
      <w:r w:rsidRPr="003F2E16">
        <w:rPr>
          <w:rFonts w:ascii="Century" w:hAnsi="Century" w:cs="Miriam" w:hint="eastAsia"/>
          <w:b/>
          <w:sz w:val="22"/>
          <w:rtl/>
        </w:rPr>
        <w:t>מדובר</w:t>
      </w:r>
      <w:r w:rsidRPr="003F2E16">
        <w:rPr>
          <w:rFonts w:ascii="Century" w:hAnsi="Century" w:cs="Miriam"/>
          <w:b/>
          <w:sz w:val="22"/>
          <w:rtl/>
        </w:rPr>
        <w:t xml:space="preserve"> </w:t>
      </w:r>
      <w:r w:rsidRPr="003F2E16">
        <w:rPr>
          <w:rFonts w:ascii="Century" w:hAnsi="Century" w:cs="Miriam" w:hint="eastAsia"/>
          <w:b/>
          <w:sz w:val="22"/>
          <w:rtl/>
        </w:rPr>
        <w:t>בשני</w:t>
      </w:r>
      <w:r w:rsidRPr="003F2E16">
        <w:rPr>
          <w:rFonts w:ascii="Century" w:hAnsi="Century" w:cs="Miriam"/>
          <w:b/>
          <w:sz w:val="22"/>
          <w:rtl/>
        </w:rPr>
        <w:t xml:space="preserve"> </w:t>
      </w:r>
      <w:r w:rsidRPr="003F2E16">
        <w:rPr>
          <w:rFonts w:ascii="Century" w:hAnsi="Century" w:cs="Miriam" w:hint="eastAsia"/>
          <w:b/>
          <w:sz w:val="22"/>
          <w:rtl/>
        </w:rPr>
        <w:t>מונחים</w:t>
      </w:r>
      <w:r w:rsidRPr="003F2E16">
        <w:rPr>
          <w:rFonts w:ascii="Century" w:hAnsi="Century" w:cs="Miriam"/>
          <w:b/>
          <w:sz w:val="22"/>
          <w:rtl/>
        </w:rPr>
        <w:t xml:space="preserve"> </w:t>
      </w:r>
      <w:r w:rsidRPr="003F2E16">
        <w:rPr>
          <w:rFonts w:ascii="Century" w:hAnsi="Century" w:cs="Miriam" w:hint="eastAsia"/>
          <w:b/>
          <w:sz w:val="22"/>
          <w:rtl/>
        </w:rPr>
        <w:t>שונים</w:t>
      </w:r>
      <w:r w:rsidRPr="003F2E16">
        <w:rPr>
          <w:rFonts w:ascii="Century" w:hAnsi="Century" w:cs="Miriam"/>
          <w:b/>
          <w:sz w:val="22"/>
          <w:rtl/>
        </w:rPr>
        <w:t xml:space="preserve"> </w:t>
      </w:r>
      <w:r w:rsidRPr="003F2E16">
        <w:rPr>
          <w:rFonts w:ascii="Century" w:hAnsi="Century" w:cs="Miriam" w:hint="eastAsia"/>
          <w:b/>
          <w:sz w:val="22"/>
          <w:rtl/>
        </w:rPr>
        <w:t>לחלוטין</w:t>
      </w:r>
      <w:r w:rsidRPr="003F2E16">
        <w:rPr>
          <w:rFonts w:ascii="Century" w:hAnsi="Century" w:cs="Miriam"/>
          <w:b/>
          <w:sz w:val="22"/>
          <w:rtl/>
        </w:rPr>
        <w:t xml:space="preserve"> </w:t>
      </w:r>
      <w:r w:rsidRPr="003F2E16">
        <w:rPr>
          <w:rFonts w:ascii="Century" w:hAnsi="Century" w:cs="Miriam" w:hint="eastAsia"/>
          <w:b/>
          <w:sz w:val="22"/>
          <w:rtl/>
        </w:rPr>
        <w:t>של</w:t>
      </w:r>
      <w:r w:rsidRPr="003F2E16">
        <w:rPr>
          <w:rFonts w:ascii="Century" w:hAnsi="Century" w:cs="Miriam"/>
          <w:b/>
          <w:sz w:val="22"/>
          <w:rtl/>
        </w:rPr>
        <w:t xml:space="preserve"> </w:t>
      </w:r>
      <w:r w:rsidRPr="003F2E16">
        <w:rPr>
          <w:rFonts w:ascii="Century" w:hAnsi="Century" w:cs="Miriam" w:hint="eastAsia"/>
          <w:b/>
          <w:sz w:val="22"/>
          <w:rtl/>
        </w:rPr>
        <w:t>סבירות</w:t>
      </w:r>
      <w:r w:rsidRPr="003F2E16">
        <w:rPr>
          <w:rFonts w:ascii="Century" w:hAnsi="Century" w:cs="Miriam"/>
          <w:b/>
          <w:sz w:val="22"/>
          <w:rtl/>
        </w:rPr>
        <w:t xml:space="preserve">, </w:t>
      </w:r>
      <w:r w:rsidRPr="003F2E16">
        <w:rPr>
          <w:rFonts w:ascii="Century" w:hAnsi="Century" w:cs="Miriam" w:hint="eastAsia"/>
          <w:b/>
          <w:sz w:val="22"/>
          <w:rtl/>
        </w:rPr>
        <w:t>שהזיקה</w:t>
      </w:r>
      <w:r w:rsidRPr="003F2E16">
        <w:rPr>
          <w:rFonts w:ascii="Century" w:hAnsi="Century" w:cs="Miriam"/>
          <w:b/>
          <w:sz w:val="22"/>
          <w:rtl/>
        </w:rPr>
        <w:t xml:space="preserve"> </w:t>
      </w:r>
      <w:r w:rsidRPr="003F2E16">
        <w:rPr>
          <w:rFonts w:ascii="Century" w:hAnsi="Century" w:cs="Miriam" w:hint="eastAsia"/>
          <w:b/>
          <w:sz w:val="22"/>
          <w:rtl/>
        </w:rPr>
        <w:t>העיקרית</w:t>
      </w:r>
      <w:r w:rsidRPr="003F2E16">
        <w:rPr>
          <w:rFonts w:ascii="Century" w:hAnsi="Century" w:cs="Miriam"/>
          <w:b/>
          <w:sz w:val="22"/>
          <w:rtl/>
        </w:rPr>
        <w:t xml:space="preserve"> </w:t>
      </w:r>
      <w:r w:rsidRPr="003F2E16">
        <w:rPr>
          <w:rFonts w:ascii="Century" w:hAnsi="Century" w:cs="Miriam" w:hint="eastAsia"/>
          <w:b/>
          <w:sz w:val="22"/>
          <w:rtl/>
        </w:rPr>
        <w:t>ביניהם</w:t>
      </w:r>
      <w:r w:rsidRPr="003F2E16">
        <w:rPr>
          <w:rFonts w:ascii="Century" w:hAnsi="Century" w:cs="Miriam"/>
          <w:b/>
          <w:sz w:val="22"/>
          <w:rtl/>
        </w:rPr>
        <w:t xml:space="preserve"> </w:t>
      </w:r>
      <w:r w:rsidRPr="003F2E16">
        <w:rPr>
          <w:rFonts w:ascii="Century" w:hAnsi="Century" w:cs="Miriam" w:hint="eastAsia"/>
          <w:b/>
          <w:sz w:val="22"/>
          <w:rtl/>
        </w:rPr>
        <w:t>היא</w:t>
      </w:r>
      <w:r w:rsidRPr="003F2E16">
        <w:rPr>
          <w:rFonts w:ascii="Century" w:hAnsi="Century" w:cs="Miriam"/>
          <w:b/>
          <w:sz w:val="22"/>
          <w:rtl/>
        </w:rPr>
        <w:t xml:space="preserve"> </w:t>
      </w:r>
      <w:r w:rsidRPr="003F2E16">
        <w:rPr>
          <w:rFonts w:ascii="Century" w:hAnsi="Century" w:cs="Miriam" w:hint="eastAsia"/>
          <w:b/>
          <w:sz w:val="22"/>
          <w:rtl/>
        </w:rPr>
        <w:t>של</w:t>
      </w:r>
      <w:r w:rsidRPr="003F2E16">
        <w:rPr>
          <w:rFonts w:ascii="Century" w:hAnsi="Century" w:cs="Miriam"/>
          <w:b/>
          <w:sz w:val="22"/>
          <w:rtl/>
        </w:rPr>
        <w:t xml:space="preserve"> </w:t>
      </w:r>
      <w:r w:rsidRPr="003F2E16">
        <w:rPr>
          <w:rFonts w:ascii="Century" w:hAnsi="Century" w:cs="Miriam" w:hint="eastAsia"/>
          <w:b/>
          <w:sz w:val="22"/>
          <w:rtl/>
        </w:rPr>
        <w:t>שיתוף</w:t>
      </w:r>
      <w:r w:rsidRPr="003F2E16">
        <w:rPr>
          <w:rFonts w:ascii="Century" w:hAnsi="Century" w:cs="Miriam"/>
          <w:b/>
          <w:sz w:val="22"/>
          <w:rtl/>
        </w:rPr>
        <w:t xml:space="preserve"> </w:t>
      </w:r>
      <w:r w:rsidRPr="003F2E16">
        <w:rPr>
          <w:rFonts w:ascii="Century" w:hAnsi="Century" w:cs="Miriam" w:hint="eastAsia"/>
          <w:b/>
          <w:sz w:val="22"/>
          <w:rtl/>
        </w:rPr>
        <w:t>השם</w:t>
      </w:r>
      <w:r w:rsidRPr="003F2E16">
        <w:rPr>
          <w:rFonts w:ascii="Century" w:hAnsi="Century" w:cs="Miriam"/>
          <w:b/>
          <w:sz w:val="22"/>
          <w:rtl/>
        </w:rPr>
        <w:t xml:space="preserve"> </w:t>
      </w:r>
      <w:r w:rsidRPr="003F2E16">
        <w:rPr>
          <w:rFonts w:ascii="Century" w:hAnsi="Century" w:cs="Miriam" w:hint="eastAsia"/>
          <w:b/>
          <w:sz w:val="22"/>
          <w:rtl/>
        </w:rPr>
        <w:t>בלבד</w:t>
      </w:r>
      <w:r w:rsidRPr="00E206AF">
        <w:rPr>
          <w:rFonts w:ascii="Century" w:hAnsi="Century" w:cs="FrankRuehl" w:hint="cs"/>
          <w:spacing w:val="10"/>
          <w:sz w:val="22"/>
          <w:szCs w:val="28"/>
          <w:rtl/>
        </w:rPr>
        <w:t>" (פס' 175 לתשובת הממשלה</w:t>
      </w:r>
      <w:r>
        <w:rPr>
          <w:rFonts w:ascii="Century" w:hAnsi="Century" w:cs="FrankRuehl" w:hint="cs"/>
          <w:spacing w:val="10"/>
          <w:sz w:val="22"/>
          <w:szCs w:val="28"/>
          <w:rtl/>
        </w:rPr>
        <w:t xml:space="preserve">; ההדגשה הוספה </w:t>
      </w:r>
      <w:r>
        <w:rPr>
          <w:rFonts w:ascii="Century" w:hAnsi="Century" w:cs="FrankRuehl"/>
          <w:spacing w:val="10"/>
          <w:sz w:val="22"/>
          <w:szCs w:val="28"/>
          <w:rtl/>
        </w:rPr>
        <w:t>–</w:t>
      </w:r>
      <w:r>
        <w:rPr>
          <w:rFonts w:ascii="Century" w:hAnsi="Century" w:cs="FrankRuehl" w:hint="cs"/>
          <w:spacing w:val="10"/>
          <w:sz w:val="22"/>
          <w:szCs w:val="28"/>
          <w:rtl/>
        </w:rPr>
        <w:t xml:space="preserve"> י"ו</w:t>
      </w:r>
      <w:r w:rsidRPr="00E206AF">
        <w:rPr>
          <w:rFonts w:ascii="Century" w:hAnsi="Century" w:cs="FrankRuehl" w:hint="cs"/>
          <w:spacing w:val="10"/>
          <w:sz w:val="22"/>
          <w:szCs w:val="28"/>
          <w:rtl/>
        </w:rPr>
        <w:t xml:space="preserve">). הממשלה </w:t>
      </w:r>
      <w:r>
        <w:rPr>
          <w:rFonts w:ascii="Century" w:hAnsi="Century" w:cs="FrankRuehl" w:hint="cs"/>
          <w:spacing w:val="10"/>
          <w:sz w:val="22"/>
          <w:szCs w:val="28"/>
          <w:rtl/>
        </w:rPr>
        <w:t>מדגישה</w:t>
      </w:r>
      <w:r w:rsidRPr="00E206AF">
        <w:rPr>
          <w:rFonts w:ascii="Century" w:hAnsi="Century" w:cs="FrankRuehl" w:hint="cs"/>
          <w:spacing w:val="10"/>
          <w:sz w:val="22"/>
          <w:szCs w:val="28"/>
          <w:rtl/>
        </w:rPr>
        <w:t xml:space="preserve"> עוד כי "</w:t>
      </w:r>
      <w:r w:rsidRPr="00E206AF">
        <w:rPr>
          <w:rFonts w:ascii="Century" w:hAnsi="Century" w:cs="Miriam" w:hint="cs"/>
          <w:b/>
          <w:sz w:val="22"/>
          <w:rtl/>
        </w:rPr>
        <w:t>השימוש בעילת הסבירות היה שנוי במחלוקת משפטית ושיפוטית מיום היוולדו</w:t>
      </w:r>
      <w:r w:rsidRPr="00E206AF">
        <w:rPr>
          <w:rFonts w:ascii="Century" w:hAnsi="Century" w:cs="FrankRuehl" w:hint="cs"/>
          <w:spacing w:val="10"/>
          <w:sz w:val="22"/>
          <w:szCs w:val="28"/>
          <w:rtl/>
        </w:rPr>
        <w:t xml:space="preserve">. הביקורת על עילת הביקורת החדשה שנולדה בפסק הדין </w:t>
      </w:r>
      <w:r w:rsidRPr="00E206AF">
        <w:rPr>
          <w:rFonts w:ascii="Century" w:hAnsi="Century" w:cs="Miriam" w:hint="cs"/>
          <w:b/>
          <w:sz w:val="22"/>
          <w:rtl/>
        </w:rPr>
        <w:t xml:space="preserve">דפי זהב </w:t>
      </w:r>
      <w:r w:rsidRPr="00E206AF">
        <w:rPr>
          <w:rFonts w:ascii="Century" w:hAnsi="Century" w:cs="FrankRuehl" w:hint="cs"/>
          <w:spacing w:val="10"/>
          <w:sz w:val="22"/>
          <w:szCs w:val="28"/>
          <w:rtl/>
        </w:rPr>
        <w:t xml:space="preserve">ניתכה בעוז עם לידתה, בפסק הדין עצמו" (פס' 176 לתשובת הממשלה; ההדגשה במקור).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Pr>
          <w:rFonts w:ascii="Century" w:hAnsi="Century" w:cs="FrankRuehl" w:hint="cs"/>
          <w:spacing w:val="10"/>
          <w:sz w:val="22"/>
          <w:szCs w:val="28"/>
          <w:rtl/>
        </w:rPr>
        <w:t>מהאמור נובע</w:t>
      </w:r>
      <w:r w:rsidRPr="00E206AF">
        <w:rPr>
          <w:rFonts w:ascii="Century" w:hAnsi="Century" w:cs="FrankRuehl" w:hint="cs"/>
          <w:spacing w:val="10"/>
          <w:sz w:val="22"/>
          <w:szCs w:val="28"/>
          <w:rtl/>
        </w:rPr>
        <w:t xml:space="preserve"> כי לגישת הממשלה, כוונת המכונן ביחס ל"עילת הסבירות" המצוינת בהוראת התיקון היא "עילת הביקורת החדשה שנולדה בפסק הדין </w:t>
      </w:r>
      <w:r w:rsidRPr="00E206AF">
        <w:rPr>
          <w:rFonts w:ascii="Century" w:hAnsi="Century" w:cs="Miriam" w:hint="cs"/>
          <w:b/>
          <w:sz w:val="22"/>
          <w:rtl/>
        </w:rPr>
        <w:t>דפי זהב</w:t>
      </w:r>
      <w:r w:rsidRPr="00E206AF">
        <w:rPr>
          <w:rFonts w:ascii="Century" w:hAnsi="Century" w:cs="FrankRuehl" w:hint="cs"/>
          <w:spacing w:val="10"/>
          <w:sz w:val="22"/>
          <w:szCs w:val="28"/>
          <w:rtl/>
        </w:rPr>
        <w:t xml:space="preserve">", היא הסבירות האיזונית. </w:t>
      </w:r>
    </w:p>
    <w:p w:rsidR="00E32081"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Pr>
          <w:rFonts w:ascii="Century" w:hAnsi="Century" w:cs="FrankRuehl"/>
          <w:spacing w:val="10"/>
          <w:sz w:val="22"/>
          <w:szCs w:val="28"/>
          <w:rtl/>
        </w:rPr>
        <w:tab/>
      </w:r>
      <w:r w:rsidRPr="00E206AF">
        <w:rPr>
          <w:rFonts w:ascii="Century" w:hAnsi="Century" w:cs="FrankRuehl" w:hint="cs"/>
          <w:spacing w:val="10"/>
          <w:sz w:val="22"/>
          <w:szCs w:val="28"/>
          <w:rtl/>
        </w:rPr>
        <w:t xml:space="preserve">מסקנה זו נובעת אף מטענת הממשלה, שלפיה "במדינות המשפט הקונטיננטאלי, שהן מרבית המדינות הדמוקרטיות בעולם, אין מקבילה מעשית לעילת הסבירות [...] ישנם תקדימים רבים למדינות דמוקרטיות שבהן אין מקבילה לעילת </w:t>
      </w:r>
      <w:r w:rsidRPr="00F32821">
        <w:rPr>
          <w:rFonts w:ascii="Miriam" w:hAnsi="Miriam" w:cs="Miriam" w:hint="eastAsia"/>
          <w:spacing w:val="10"/>
          <w:sz w:val="24"/>
          <w:rtl/>
        </w:rPr>
        <w:t>הסבירות</w:t>
      </w:r>
      <w:r w:rsidRPr="00F32821">
        <w:rPr>
          <w:rFonts w:ascii="Miriam" w:hAnsi="Miriam" w:cs="Miriam"/>
          <w:spacing w:val="10"/>
          <w:sz w:val="24"/>
          <w:rtl/>
        </w:rPr>
        <w:t xml:space="preserve"> </w:t>
      </w:r>
      <w:r w:rsidRPr="00F32821">
        <w:rPr>
          <w:rFonts w:ascii="Miriam" w:hAnsi="Miriam" w:cs="Miriam" w:hint="eastAsia"/>
          <w:spacing w:val="10"/>
          <w:sz w:val="24"/>
          <w:rtl/>
        </w:rPr>
        <w:t>האיזונית</w:t>
      </w:r>
      <w:r w:rsidRPr="00F32821">
        <w:rPr>
          <w:rFonts w:ascii="Miriam" w:hAnsi="Miriam" w:cs="Miriam"/>
          <w:spacing w:val="10"/>
          <w:sz w:val="24"/>
          <w:rtl/>
        </w:rPr>
        <w:t>-</w:t>
      </w:r>
      <w:r w:rsidRPr="00F32821">
        <w:rPr>
          <w:rFonts w:ascii="Miriam" w:hAnsi="Miriam" w:cs="Miriam" w:hint="eastAsia"/>
          <w:spacing w:val="10"/>
          <w:sz w:val="24"/>
          <w:rtl/>
        </w:rPr>
        <w:t>המהותית</w:t>
      </w:r>
      <w:r w:rsidRPr="00E206AF">
        <w:rPr>
          <w:rFonts w:ascii="Century" w:hAnsi="Century" w:cs="FrankRuehl" w:hint="cs"/>
          <w:spacing w:val="10"/>
          <w:sz w:val="22"/>
          <w:szCs w:val="28"/>
          <w:rtl/>
        </w:rPr>
        <w:t xml:space="preserve">" (פס' 181 לתשובת הממשלה; ההדגשה הוספה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י"ו).</w:t>
      </w:r>
      <w:r>
        <w:rPr>
          <w:rFonts w:ascii="Century" w:hAnsi="Century" w:cs="FrankRuehl" w:hint="cs"/>
          <w:spacing w:val="10"/>
          <w:sz w:val="22"/>
          <w:szCs w:val="28"/>
          <w:rtl/>
        </w:rPr>
        <w:t xml:space="preserve"> הממשלה מדגישה בעניין </w:t>
      </w:r>
      <w:r w:rsidRPr="00655A73">
        <w:rPr>
          <w:rFonts w:ascii="Century" w:hAnsi="Century" w:cs="FrankRuehl" w:hint="cs"/>
          <w:spacing w:val="10"/>
          <w:sz w:val="22"/>
          <w:szCs w:val="28"/>
          <w:rtl/>
        </w:rPr>
        <w:t>זה</w:t>
      </w:r>
      <w:r w:rsidRPr="00655A73">
        <w:rPr>
          <w:rFonts w:ascii="Century" w:hAnsi="Century" w:cs="FrankRuehl"/>
          <w:spacing w:val="10"/>
          <w:sz w:val="22"/>
          <w:szCs w:val="28"/>
          <w:rtl/>
        </w:rPr>
        <w:t xml:space="preserve"> </w:t>
      </w:r>
      <w:r w:rsidRPr="007B3AB2">
        <w:rPr>
          <w:rFonts w:ascii="Century" w:hAnsi="Century" w:cs="FrankRuehl" w:hint="eastAsia"/>
          <w:spacing w:val="10"/>
          <w:sz w:val="22"/>
          <w:szCs w:val="28"/>
          <w:rtl/>
        </w:rPr>
        <w:t>כי</w:t>
      </w:r>
      <w:r w:rsidRPr="007B3AB2">
        <w:rPr>
          <w:rFonts w:ascii="Century" w:hAnsi="Century" w:cs="FrankRuehl"/>
          <w:spacing w:val="10"/>
          <w:sz w:val="22"/>
          <w:szCs w:val="28"/>
          <w:rtl/>
        </w:rPr>
        <w:t xml:space="preserve"> </w:t>
      </w:r>
      <w:r w:rsidRPr="007B3AB2">
        <w:rPr>
          <w:rFonts w:ascii="Century" w:hAnsi="Century" w:cs="FrankRuehl" w:hint="eastAsia"/>
          <w:spacing w:val="10"/>
          <w:sz w:val="22"/>
          <w:szCs w:val="28"/>
          <w:rtl/>
        </w:rPr>
        <w:t>הצורך</w:t>
      </w:r>
      <w:r w:rsidRPr="007B3AB2">
        <w:rPr>
          <w:rFonts w:ascii="Century" w:hAnsi="Century" w:cs="FrankRuehl"/>
          <w:spacing w:val="10"/>
          <w:sz w:val="22"/>
          <w:szCs w:val="28"/>
          <w:rtl/>
        </w:rPr>
        <w:t xml:space="preserve"> </w:t>
      </w:r>
      <w:r w:rsidRPr="007B3AB2">
        <w:rPr>
          <w:rFonts w:ascii="Century" w:hAnsi="Century" w:cs="FrankRuehl" w:hint="eastAsia"/>
          <w:spacing w:val="10"/>
          <w:sz w:val="22"/>
          <w:szCs w:val="28"/>
          <w:rtl/>
        </w:rPr>
        <w:t>בתיקון</w:t>
      </w:r>
      <w:r w:rsidRPr="007B3AB2">
        <w:rPr>
          <w:rFonts w:ascii="Century" w:hAnsi="Century" w:cs="FrankRuehl" w:hint="cs"/>
          <w:spacing w:val="10"/>
          <w:sz w:val="22"/>
          <w:szCs w:val="28"/>
          <w:rtl/>
        </w:rPr>
        <w:t xml:space="preserve"> נעוץ</w:t>
      </w:r>
      <w:r w:rsidRPr="00E206AF">
        <w:rPr>
          <w:rFonts w:ascii="Century" w:hAnsi="Century" w:cs="FrankRuehl" w:hint="cs"/>
          <w:spacing w:val="10"/>
          <w:sz w:val="22"/>
          <w:szCs w:val="28"/>
          <w:rtl/>
        </w:rPr>
        <w:t xml:space="preserve"> ב"שינוי ההיסטורי בשימוש בעילת הסבירות בישראל" ובכך ש"התפתחות עילת הסבירות המהותית בישראל היא חריגה" ביחס למשפט המשווה (פס' 180 לתשובת הממשלה). הממשלה מוסיפה, כי "מי שמבקש להוכיח שימוש משווה ב</w:t>
      </w:r>
      <w:r w:rsidRPr="00E206AF">
        <w:rPr>
          <w:rFonts w:ascii="Century" w:hAnsi="Century" w:cs="FrankRuehl" w:hint="cs"/>
          <w:spacing w:val="10"/>
          <w:sz w:val="22"/>
          <w:szCs w:val="28"/>
          <w:u w:val="single"/>
          <w:rtl/>
        </w:rPr>
        <w:t>עילת הסבירות בתצורתה החדשה, בדומה למקובל בישראל עובר לתיקון</w:t>
      </w:r>
      <w:r w:rsidRPr="00E206AF">
        <w:rPr>
          <w:rFonts w:ascii="Century" w:hAnsi="Century" w:cs="FrankRuehl" w:hint="cs"/>
          <w:spacing w:val="10"/>
          <w:sz w:val="22"/>
          <w:szCs w:val="28"/>
          <w:rtl/>
        </w:rPr>
        <w:t xml:space="preserve">, עליו להראות שהשימוש המשווה הוא </w:t>
      </w:r>
      <w:r w:rsidRPr="00E206AF">
        <w:rPr>
          <w:rFonts w:ascii="Century" w:hAnsi="Century" w:cs="Miriam" w:hint="cs"/>
          <w:b/>
          <w:sz w:val="22"/>
          <w:rtl/>
        </w:rPr>
        <w:t>בעילת הסבירות האיזונית</w:t>
      </w:r>
      <w:r w:rsidRPr="00E206AF">
        <w:rPr>
          <w:rFonts w:ascii="Century" w:hAnsi="Century" w:cs="FrankRuehl" w:hint="cs"/>
          <w:spacing w:val="10"/>
          <w:sz w:val="22"/>
          <w:szCs w:val="28"/>
          <w:rtl/>
        </w:rPr>
        <w:t xml:space="preserve"> [...] </w:t>
      </w:r>
      <w:r w:rsidRPr="00E206AF">
        <w:rPr>
          <w:rFonts w:ascii="Century" w:hAnsi="Century" w:cs="Miriam" w:hint="cs"/>
          <w:b/>
          <w:sz w:val="22"/>
          <w:rtl/>
        </w:rPr>
        <w:t>לא ניתן להסתפק בשיתוף השם. חוסר ההבחנה בין המובנים השונים של הסבירות והמקרים שבהם הם מופעלים בכל שיטת משפט, יוצר בלבול בדוקטרינה וטשטוש במושגים</w:t>
      </w:r>
      <w:r w:rsidRPr="00E206AF">
        <w:rPr>
          <w:rFonts w:ascii="Century" w:hAnsi="Century" w:cs="FrankRuehl" w:hint="cs"/>
          <w:spacing w:val="10"/>
          <w:sz w:val="22"/>
          <w:szCs w:val="28"/>
          <w:rtl/>
        </w:rPr>
        <w:t xml:space="preserve">. ככלל ניתן לומר שמדינות המשפט המקובל שעיגנו סטנדרט סבירות בחקיקה אימצו סטנדרט של </w:t>
      </w:r>
      <w:r w:rsidRPr="00E206AF">
        <w:rPr>
          <w:rFonts w:ascii="Century" w:hAnsi="Century" w:cs="Miriam" w:hint="cs"/>
          <w:b/>
          <w:sz w:val="22"/>
          <w:rtl/>
        </w:rPr>
        <w:t>מופרכות</w:t>
      </w:r>
      <w:r w:rsidRPr="00E206AF">
        <w:rPr>
          <w:rFonts w:ascii="Century" w:hAnsi="Century" w:cs="FrankRuehl" w:hint="cs"/>
          <w:spacing w:val="10"/>
          <w:sz w:val="22"/>
          <w:szCs w:val="28"/>
          <w:rtl/>
        </w:rPr>
        <w:t xml:space="preserve">" (פס' 184-183 לתשובת הממשלה; ההדגשה בקו תחתון הוספה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י"ו). הממשלה מסכמת את החלק ההשוואתי ומדגישה כי אין "מקבילה ל</w:t>
      </w:r>
      <w:r w:rsidRPr="00E206AF">
        <w:rPr>
          <w:rFonts w:ascii="Century" w:hAnsi="Century" w:cs="FrankRuehl" w:hint="eastAsia"/>
          <w:spacing w:val="10"/>
          <w:sz w:val="22"/>
          <w:szCs w:val="28"/>
          <w:rtl/>
        </w:rPr>
        <w:t>אופן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התפתחה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עילת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הסבירות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הישראלית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שמחוקק</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היסוד</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בחר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לתקן</w:t>
      </w:r>
      <w:r w:rsidRPr="00E206AF">
        <w:rPr>
          <w:rFonts w:ascii="Century" w:hAnsi="Century" w:cs="FrankRuehl" w:hint="cs"/>
          <w:spacing w:val="10"/>
          <w:sz w:val="22"/>
          <w:szCs w:val="28"/>
          <w:rtl/>
        </w:rPr>
        <w:t xml:space="preserve"> [...] בכלל המדינות האמורות אין מדובר בפיתוח של סבירות איזונית כפי שהתפתחה בישראל" (פס' 189-188 לתשובת הממשלה).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5</w:t>
      </w:r>
      <w:r>
        <w:rPr>
          <w:rFonts w:ascii="Century" w:hAnsi="Century" w:cs="FrankRuehl" w:hint="cs"/>
          <w:spacing w:val="10"/>
          <w:sz w:val="22"/>
          <w:szCs w:val="28"/>
          <w:rtl/>
        </w:rPr>
        <w:t>3</w:t>
      </w:r>
      <w:r w:rsidRPr="00E206AF">
        <w:rPr>
          <w:rFonts w:ascii="Century" w:hAnsi="Century" w:cs="FrankRuehl" w:hint="cs"/>
          <w:spacing w:val="10"/>
          <w:sz w:val="22"/>
          <w:szCs w:val="28"/>
          <w:rtl/>
        </w:rPr>
        <w:t>.</w:t>
      </w:r>
      <w:r w:rsidRPr="00E206AF">
        <w:rPr>
          <w:rFonts w:ascii="Century" w:hAnsi="Century" w:cs="FrankRuehl" w:hint="cs"/>
          <w:spacing w:val="10"/>
          <w:sz w:val="22"/>
          <w:szCs w:val="28"/>
          <w:rtl/>
        </w:rPr>
        <w:tab/>
        <w:t xml:space="preserve">הממשלה מוסיפה ומפרטת על הביקורת שהציגו שופטים בבית משפט זה על "השימוש בעילת הסבירות המהותית ותחולתה הרחבה" [...] עילת הסבירות האיזונית", ותוהה אם ניתן להגדיר כ"זעזוע אמות הסיפים" הוראת חוק שבה "מחוקק היסוד ביקש להכריע במחלוקת שהתגלעה בין שופטי בג"ץ בעשורים האחרונים" </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פס</w:t>
      </w:r>
      <w:r w:rsidRPr="00E206AF">
        <w:rPr>
          <w:rFonts w:ascii="Century" w:hAnsi="Century" w:cs="FrankRuehl"/>
          <w:spacing w:val="10"/>
          <w:sz w:val="22"/>
          <w:szCs w:val="28"/>
          <w:rtl/>
        </w:rPr>
        <w:t xml:space="preserve">' 190 </w:t>
      </w:r>
      <w:r w:rsidRPr="00E206AF">
        <w:rPr>
          <w:rFonts w:ascii="Century" w:hAnsi="Century" w:cs="FrankRuehl" w:hint="cs"/>
          <w:spacing w:val="10"/>
          <w:sz w:val="22"/>
          <w:szCs w:val="28"/>
          <w:rtl/>
        </w:rPr>
        <w:t xml:space="preserve">לתשובת הממשלה). אף מכאן, ברורה גישת הממשלה באשר לכוונת המכונן בתיקון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לשנות את המצב המשפטי בכל הנוגע לאפשרות להשתמש ב"עילת הסבירות האיזונית" בביקורת שיפוטית על החלטות ממשלה ושרים.</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5</w:t>
      </w:r>
      <w:r>
        <w:rPr>
          <w:rFonts w:ascii="Century" w:hAnsi="Century" w:cs="FrankRuehl" w:hint="cs"/>
          <w:spacing w:val="10"/>
          <w:sz w:val="22"/>
          <w:szCs w:val="28"/>
          <w:rtl/>
        </w:rPr>
        <w:t>4</w:t>
      </w:r>
      <w:r w:rsidRPr="00E206AF">
        <w:rPr>
          <w:rFonts w:ascii="Century" w:hAnsi="Century" w:cs="FrankRuehl" w:hint="cs"/>
          <w:spacing w:val="10"/>
          <w:sz w:val="22"/>
          <w:szCs w:val="28"/>
          <w:rtl/>
        </w:rPr>
        <w:t>.</w:t>
      </w:r>
      <w:r w:rsidRPr="00E206AF">
        <w:rPr>
          <w:rFonts w:ascii="Century" w:hAnsi="Century" w:cs="FrankRuehl" w:hint="cs"/>
          <w:spacing w:val="10"/>
          <w:sz w:val="22"/>
          <w:szCs w:val="28"/>
          <w:rtl/>
        </w:rPr>
        <w:tab/>
        <w:t xml:space="preserve">אם כן, מהאמור לעיל עולה במפורש כי לגישת משיבי הממשלה עצמם, </w:t>
      </w:r>
      <w:r>
        <w:rPr>
          <w:rFonts w:ascii="Century" w:hAnsi="Century" w:cs="FrankRuehl" w:hint="cs"/>
          <w:spacing w:val="10"/>
          <w:sz w:val="22"/>
          <w:szCs w:val="28"/>
          <w:rtl/>
        </w:rPr>
        <w:t>התכלית הסובייקטיבית של התיקון,</w:t>
      </w:r>
      <w:r w:rsidRPr="00E206AF">
        <w:rPr>
          <w:rFonts w:ascii="Century" w:hAnsi="Century" w:cs="FrankRuehl" w:hint="cs"/>
          <w:spacing w:val="10"/>
          <w:sz w:val="22"/>
          <w:szCs w:val="28"/>
          <w:rtl/>
        </w:rPr>
        <w:t xml:space="preserve"> היא לשנות את המצב המשפטי ביחס לתחולתה של עילת הסבירות </w:t>
      </w:r>
      <w:r w:rsidRPr="00E206AF">
        <w:rPr>
          <w:rFonts w:ascii="Century" w:hAnsi="Century" w:cs="Miriam" w:hint="eastAsia"/>
          <w:b/>
          <w:sz w:val="22"/>
          <w:rtl/>
        </w:rPr>
        <w:t>האיזונית</w:t>
      </w:r>
      <w:r w:rsidRPr="00E206AF">
        <w:rPr>
          <w:rFonts w:ascii="Century" w:hAnsi="Century" w:cs="FrankRuehl" w:hint="cs"/>
          <w:spacing w:val="10"/>
          <w:sz w:val="22"/>
          <w:szCs w:val="28"/>
          <w:rtl/>
        </w:rPr>
        <w:t xml:space="preserve"> על החלטות ממשלה ושרים. בפרט, הממשלה מדגישה, כאמור, כי השימוש "בעילת הסבירות בתצורתה החדשה [...] </w:t>
      </w:r>
      <w:r w:rsidRPr="00E206AF">
        <w:rPr>
          <w:rFonts w:ascii="Century" w:hAnsi="Century" w:cs="Miriam" w:hint="cs"/>
          <w:b/>
          <w:sz w:val="22"/>
          <w:rtl/>
        </w:rPr>
        <w:t>מקובל בישראל עובר לתיקון</w:t>
      </w:r>
      <w:r w:rsidRPr="00E206AF">
        <w:rPr>
          <w:rFonts w:ascii="Century" w:hAnsi="Century" w:cs="FrankRuehl" w:hint="cs"/>
          <w:spacing w:val="10"/>
          <w:sz w:val="22"/>
          <w:szCs w:val="28"/>
          <w:rtl/>
        </w:rPr>
        <w:t xml:space="preserve">" (ההדגשה הוספה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י"ו); וכי "מחוקק היסוד בחר לתקן" את ה"אופן בו התפתחה עילת הסבירות הישראלית", שהוא "פיתוח של סבירות איזונית", להבדיל מ"סטנדרט של מופרכות"</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מילים כדורבנות, והדברים ברורים.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lastRenderedPageBreak/>
        <w:t>5</w:t>
      </w:r>
      <w:r>
        <w:rPr>
          <w:rFonts w:ascii="Century" w:hAnsi="Century" w:cs="FrankRuehl" w:hint="cs"/>
          <w:spacing w:val="10"/>
          <w:sz w:val="22"/>
          <w:szCs w:val="28"/>
          <w:rtl/>
        </w:rPr>
        <w:t>5</w:t>
      </w:r>
      <w:r w:rsidRPr="00E206AF">
        <w:rPr>
          <w:rFonts w:ascii="Century" w:hAnsi="Century" w:cs="FrankRuehl" w:hint="cs"/>
          <w:spacing w:val="10"/>
          <w:sz w:val="22"/>
          <w:szCs w:val="28"/>
          <w:rtl/>
        </w:rPr>
        <w:t>.</w:t>
      </w:r>
      <w:r w:rsidRPr="00E206AF">
        <w:rPr>
          <w:rFonts w:ascii="Century" w:hAnsi="Century" w:cs="FrankRuehl" w:hint="cs"/>
          <w:spacing w:val="10"/>
          <w:sz w:val="22"/>
          <w:szCs w:val="28"/>
          <w:rtl/>
        </w:rPr>
        <w:tab/>
        <w:t xml:space="preserve">יצוין כבר כעת, כי לנוכח דברים בהירים אלו, קשה עד מאוד לקבל את דברי בא-כוח הממשלה בדיון שהתקיים לפנינו, כמו גם בהשלמת הטיעון שהגיש לאחר הדיון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שלפיהם "פרשנות נכונה" של התיקון היא "כי אין עוד אפשרות לביקורת שיפוטית בעילה של חוסר סבירות </w:t>
      </w:r>
      <w:r w:rsidRPr="003F2E16">
        <w:rPr>
          <w:rFonts w:ascii="Century" w:hAnsi="Century" w:cs="Miriam" w:hint="eastAsia"/>
          <w:b/>
          <w:sz w:val="22"/>
          <w:rtl/>
        </w:rPr>
        <w:t>מכל</w:t>
      </w:r>
      <w:r w:rsidRPr="003F2E16">
        <w:rPr>
          <w:rFonts w:ascii="Century" w:hAnsi="Century" w:cs="Miriam"/>
          <w:b/>
          <w:sz w:val="22"/>
          <w:rtl/>
        </w:rPr>
        <w:t xml:space="preserve"> </w:t>
      </w:r>
      <w:r w:rsidRPr="003F2E16">
        <w:rPr>
          <w:rFonts w:ascii="Century" w:hAnsi="Century" w:cs="Miriam" w:hint="eastAsia"/>
          <w:b/>
          <w:sz w:val="22"/>
          <w:rtl/>
        </w:rPr>
        <w:t>סוג</w:t>
      </w:r>
      <w:r w:rsidRPr="003F2E16">
        <w:rPr>
          <w:rFonts w:ascii="Century" w:hAnsi="Century" w:cs="Miriam"/>
          <w:b/>
          <w:sz w:val="22"/>
          <w:rtl/>
        </w:rPr>
        <w:t xml:space="preserve"> </w:t>
      </w:r>
      <w:r w:rsidRPr="003F2E16">
        <w:rPr>
          <w:rFonts w:ascii="Century" w:hAnsi="Century" w:cs="Miriam" w:hint="eastAsia"/>
          <w:b/>
          <w:sz w:val="22"/>
          <w:rtl/>
        </w:rPr>
        <w:t>שהוא</w:t>
      </w:r>
      <w:r w:rsidRPr="00E206AF">
        <w:rPr>
          <w:rFonts w:ascii="Century" w:hAnsi="Century" w:cs="FrankRuehl" w:hint="cs"/>
          <w:spacing w:val="10"/>
          <w:sz w:val="22"/>
          <w:szCs w:val="28"/>
          <w:rtl/>
        </w:rPr>
        <w:t xml:space="preserve">" (עמ' 21 להשלמת הטיעון מטעם הממשלה מיום 16.10.2023; ההדגשה הוספה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י"ו)</w:t>
      </w:r>
      <w:r>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Miriam"/>
          <w:b/>
          <w:sz w:val="22"/>
          <w:rtl/>
        </w:rPr>
      </w:pPr>
      <w:r w:rsidRPr="00E206AF">
        <w:rPr>
          <w:rFonts w:ascii="Century" w:hAnsi="Century" w:cs="Miriam"/>
          <w:b/>
          <w:sz w:val="22"/>
          <w:rtl/>
        </w:rPr>
        <w:tab/>
      </w:r>
      <w:r w:rsidRPr="00E206AF">
        <w:rPr>
          <w:rFonts w:ascii="Century" w:hAnsi="Century" w:cs="Miriam" w:hint="cs"/>
          <w:b/>
          <w:sz w:val="22"/>
          <w:rtl/>
        </w:rPr>
        <w:t>ב.</w:t>
      </w:r>
      <w:r>
        <w:rPr>
          <w:rFonts w:ascii="Century" w:hAnsi="Century" w:cs="Miriam" w:hint="cs"/>
          <w:b/>
          <w:sz w:val="22"/>
          <w:rtl/>
        </w:rPr>
        <w:t>2</w:t>
      </w:r>
      <w:r w:rsidRPr="00E206AF">
        <w:rPr>
          <w:rFonts w:ascii="Century" w:hAnsi="Century" w:cs="Miriam" w:hint="cs"/>
          <w:b/>
          <w:sz w:val="22"/>
          <w:rtl/>
        </w:rPr>
        <w:t xml:space="preserve">. </w:t>
      </w:r>
      <w:r w:rsidRPr="00E206AF">
        <w:rPr>
          <w:rFonts w:ascii="Century" w:hAnsi="Century" w:cs="Miriam" w:hint="eastAsia"/>
          <w:b/>
          <w:sz w:val="22"/>
          <w:rtl/>
        </w:rPr>
        <w:t>פרוטוקולים</w:t>
      </w:r>
    </w:p>
    <w:p w:rsidR="00E32081" w:rsidRPr="00E206AF" w:rsidRDefault="00E32081" w:rsidP="00E32081">
      <w:pPr>
        <w:tabs>
          <w:tab w:val="left" w:pos="800"/>
        </w:tabs>
        <w:spacing w:line="360" w:lineRule="auto"/>
        <w:jc w:val="both"/>
        <w:rPr>
          <w:rFonts w:ascii="Century" w:hAnsi="Century" w:cs="Miriam"/>
          <w:b/>
          <w:sz w:val="22"/>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8F478C">
        <w:rPr>
          <w:rFonts w:ascii="Century" w:hAnsi="Century" w:cs="FrankRuehl"/>
          <w:spacing w:val="10"/>
          <w:sz w:val="22"/>
          <w:szCs w:val="28"/>
          <w:rtl/>
        </w:rPr>
        <w:t>5</w:t>
      </w:r>
      <w:r w:rsidRPr="008F478C">
        <w:rPr>
          <w:rFonts w:ascii="Century" w:hAnsi="Century" w:cs="FrankRuehl" w:hint="cs"/>
          <w:spacing w:val="10"/>
          <w:sz w:val="22"/>
          <w:szCs w:val="28"/>
          <w:rtl/>
        </w:rPr>
        <w:t>6</w:t>
      </w:r>
      <w:r w:rsidRPr="008F478C">
        <w:rPr>
          <w:rFonts w:ascii="Century" w:hAnsi="Century" w:cs="FrankRuehl"/>
          <w:spacing w:val="10"/>
          <w:sz w:val="22"/>
          <w:szCs w:val="28"/>
          <w:rtl/>
        </w:rPr>
        <w:t>.</w:t>
      </w:r>
      <w:r w:rsidRPr="008F478C">
        <w:rPr>
          <w:rFonts w:ascii="Century" w:hAnsi="Century" w:cs="FrankRuehl"/>
          <w:spacing w:val="10"/>
          <w:sz w:val="22"/>
          <w:szCs w:val="28"/>
          <w:rtl/>
        </w:rPr>
        <w:tab/>
      </w:r>
      <w:r w:rsidRPr="008F478C">
        <w:rPr>
          <w:rFonts w:ascii="Century" w:hAnsi="Century" w:cs="FrankRuehl" w:hint="cs"/>
          <w:spacing w:val="10"/>
          <w:sz w:val="22"/>
          <w:szCs w:val="28"/>
          <w:rtl/>
        </w:rPr>
        <w:t>אף מחלק</w:t>
      </w:r>
      <w:r w:rsidRPr="00E206AF">
        <w:rPr>
          <w:rFonts w:ascii="Century" w:hAnsi="Century" w:cs="FrankRuehl" w:hint="cs"/>
          <w:spacing w:val="10"/>
          <w:sz w:val="22"/>
          <w:szCs w:val="28"/>
          <w:rtl/>
        </w:rPr>
        <w:t xml:space="preserve"> מהתבטאויות חברי הכנסת</w:t>
      </w:r>
      <w:r>
        <w:rPr>
          <w:rFonts w:ascii="Century" w:hAnsi="Century" w:cs="FrankRuehl" w:hint="cs"/>
          <w:spacing w:val="10"/>
          <w:sz w:val="22"/>
          <w:szCs w:val="28"/>
          <w:rtl/>
        </w:rPr>
        <w:t>,</w:t>
      </w:r>
      <w:r w:rsidRPr="00E206AF">
        <w:rPr>
          <w:rFonts w:ascii="Century" w:hAnsi="Century" w:cs="FrankRuehl" w:hint="cs"/>
          <w:spacing w:val="10"/>
          <w:sz w:val="22"/>
          <w:szCs w:val="28"/>
          <w:rtl/>
        </w:rPr>
        <w:t xml:space="preserve"> במסגרת הליך חקיקת התיקון</w:t>
      </w:r>
      <w:r>
        <w:rPr>
          <w:rFonts w:ascii="Century" w:hAnsi="Century" w:cs="FrankRuehl" w:hint="cs"/>
          <w:spacing w:val="10"/>
          <w:sz w:val="22"/>
          <w:szCs w:val="28"/>
          <w:rtl/>
        </w:rPr>
        <w:t>,</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ניתן ללמוד</w:t>
      </w:r>
      <w:r w:rsidRPr="00E206AF">
        <w:rPr>
          <w:rFonts w:ascii="Century" w:hAnsi="Century" w:cs="FrankRuehl" w:hint="cs"/>
          <w:spacing w:val="10"/>
          <w:sz w:val="22"/>
          <w:szCs w:val="28"/>
          <w:rtl/>
        </w:rPr>
        <w:t xml:space="preserve"> כי תכלית</w:t>
      </w:r>
      <w:r>
        <w:rPr>
          <w:rFonts w:ascii="Century" w:hAnsi="Century" w:cs="FrankRuehl" w:hint="cs"/>
          <w:spacing w:val="10"/>
          <w:sz w:val="22"/>
          <w:szCs w:val="28"/>
          <w:rtl/>
        </w:rPr>
        <w:t xml:space="preserve"> התיקון</w:t>
      </w:r>
      <w:r w:rsidRPr="00E206AF">
        <w:rPr>
          <w:rFonts w:ascii="Century" w:hAnsi="Century" w:cs="FrankRuehl" w:hint="cs"/>
          <w:spacing w:val="10"/>
          <w:sz w:val="22"/>
          <w:szCs w:val="28"/>
          <w:rtl/>
        </w:rPr>
        <w:t xml:space="preserve"> היא למנוע התערבות שיפוטית בהחלטות ממשלה ושרים מכוח עילת הסבירות האיזונית, ולא מכוח עילת הסבירות המקורית. </w:t>
      </w:r>
      <w:r>
        <w:rPr>
          <w:rFonts w:ascii="Century" w:hAnsi="Century" w:cs="FrankRuehl" w:hint="cs"/>
          <w:spacing w:val="10"/>
          <w:sz w:val="22"/>
          <w:szCs w:val="28"/>
          <w:rtl/>
        </w:rPr>
        <w:t>בתוך כך</w:t>
      </w:r>
      <w:r w:rsidRPr="00E206AF">
        <w:rPr>
          <w:rFonts w:ascii="Century" w:hAnsi="Century" w:cs="FrankRuehl" w:hint="cs"/>
          <w:spacing w:val="10"/>
          <w:sz w:val="22"/>
          <w:szCs w:val="28"/>
          <w:rtl/>
        </w:rPr>
        <w:t>, חשוב להדגיש, כי יש לנקוט</w:t>
      </w:r>
      <w:r>
        <w:rPr>
          <w:rFonts w:ascii="Century" w:hAnsi="Century" w:cs="FrankRuehl" w:hint="cs"/>
          <w:spacing w:val="10"/>
          <w:sz w:val="22"/>
          <w:szCs w:val="28"/>
          <w:rtl/>
        </w:rPr>
        <w:t xml:space="preserve"> זהירות</w:t>
      </w:r>
      <w:r w:rsidRPr="00E206AF">
        <w:rPr>
          <w:rFonts w:ascii="Century" w:hAnsi="Century" w:cs="FrankRuehl" w:hint="cs"/>
          <w:spacing w:val="10"/>
          <w:sz w:val="22"/>
          <w:szCs w:val="28"/>
          <w:rtl/>
        </w:rPr>
        <w:t xml:space="preserve"> בהסתמכות על פרוטוקולים של דיוני ועדה רבת-משתתפים לשם איתור "כוונת המחוקק" (ראו, למשל: עניין </w:t>
      </w:r>
      <w:r w:rsidRPr="00E206AF">
        <w:rPr>
          <w:rFonts w:ascii="Century" w:hAnsi="Century" w:cs="Miriam" w:hint="cs"/>
          <w:b/>
          <w:sz w:val="22"/>
          <w:rtl/>
        </w:rPr>
        <w:t>חוק הלאום</w:t>
      </w:r>
      <w:r w:rsidRPr="00E206AF">
        <w:rPr>
          <w:rFonts w:ascii="Century" w:hAnsi="Century" w:cs="FrankRuehl" w:hint="cs"/>
          <w:spacing w:val="10"/>
          <w:sz w:val="22"/>
          <w:szCs w:val="28"/>
          <w:rtl/>
        </w:rPr>
        <w:t xml:space="preserve">, בפס' 76 לפסק דינה של הנשיאה </w:t>
      </w:r>
      <w:r w:rsidRPr="00E206AF">
        <w:rPr>
          <w:rFonts w:ascii="Century" w:hAnsi="Century" w:cs="Miriam" w:hint="cs"/>
          <w:b/>
          <w:sz w:val="22"/>
          <w:rtl/>
        </w:rPr>
        <w:t>חיות</w:t>
      </w:r>
      <w:r w:rsidRPr="00E206AF">
        <w:rPr>
          <w:rFonts w:ascii="Century" w:hAnsi="Century" w:cs="FrankRuehl" w:hint="cs"/>
          <w:spacing w:val="10"/>
          <w:sz w:val="22"/>
          <w:szCs w:val="28"/>
          <w:rtl/>
        </w:rPr>
        <w:t xml:space="preserve">; </w:t>
      </w:r>
      <w:r w:rsidRPr="00E206AF">
        <w:rPr>
          <w:rFonts w:ascii="Century" w:hAnsi="Century" w:cs="FrankRuehl" w:hint="eastAsia"/>
          <w:spacing w:val="10"/>
          <w:sz w:val="22"/>
          <w:szCs w:val="28"/>
          <w:rtl/>
        </w:rPr>
        <w:t>רע</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א</w:t>
      </w:r>
      <w:r w:rsidRPr="00E206AF">
        <w:rPr>
          <w:rFonts w:ascii="Century" w:hAnsi="Century" w:cs="FrankRuehl"/>
          <w:spacing w:val="10"/>
          <w:sz w:val="22"/>
          <w:szCs w:val="28"/>
          <w:rtl/>
        </w:rPr>
        <w:t xml:space="preserve"> 10011/17 </w:t>
      </w:r>
      <w:r w:rsidRPr="00E206AF">
        <w:rPr>
          <w:rFonts w:ascii="Century" w:hAnsi="Century" w:cs="Miriam" w:hint="eastAsia"/>
          <w:b/>
          <w:sz w:val="22"/>
          <w:rtl/>
        </w:rPr>
        <w:t>מי</w:t>
      </w:r>
      <w:r w:rsidRPr="00E206AF">
        <w:rPr>
          <w:rFonts w:ascii="Century" w:hAnsi="Century" w:cs="Miriam"/>
          <w:b/>
          <w:sz w:val="22"/>
          <w:rtl/>
        </w:rPr>
        <w:t>-</w:t>
      </w:r>
      <w:r w:rsidRPr="00E206AF">
        <w:rPr>
          <w:rFonts w:ascii="Century" w:hAnsi="Century" w:cs="Miriam" w:hint="eastAsia"/>
          <w:b/>
          <w:sz w:val="22"/>
          <w:rtl/>
        </w:rPr>
        <w:t>טל</w:t>
      </w:r>
      <w:r w:rsidRPr="00E206AF">
        <w:rPr>
          <w:rFonts w:ascii="Century" w:hAnsi="Century" w:cs="Miriam"/>
          <w:b/>
          <w:sz w:val="22"/>
          <w:rtl/>
        </w:rPr>
        <w:t xml:space="preserve"> </w:t>
      </w:r>
      <w:r w:rsidRPr="00E206AF">
        <w:rPr>
          <w:rFonts w:ascii="Century" w:hAnsi="Century" w:cs="Miriam" w:hint="eastAsia"/>
          <w:b/>
          <w:sz w:val="22"/>
          <w:rtl/>
        </w:rPr>
        <w:t>הנדסה</w:t>
      </w:r>
      <w:r w:rsidRPr="00E206AF">
        <w:rPr>
          <w:rFonts w:ascii="Century" w:hAnsi="Century" w:cs="Miriam"/>
          <w:b/>
          <w:sz w:val="22"/>
          <w:rtl/>
        </w:rPr>
        <w:t xml:space="preserve"> </w:t>
      </w:r>
      <w:r w:rsidRPr="00E206AF">
        <w:rPr>
          <w:rFonts w:ascii="Century" w:hAnsi="Century" w:cs="Miriam" w:hint="eastAsia"/>
          <w:b/>
          <w:sz w:val="22"/>
          <w:rtl/>
        </w:rPr>
        <w:t>ושירותים</w:t>
      </w:r>
      <w:r w:rsidRPr="00E206AF">
        <w:rPr>
          <w:rFonts w:ascii="Century" w:hAnsi="Century" w:cs="Miriam"/>
          <w:b/>
          <w:sz w:val="22"/>
          <w:rtl/>
        </w:rPr>
        <w:t xml:space="preserve"> </w:t>
      </w:r>
      <w:r w:rsidRPr="00E206AF">
        <w:rPr>
          <w:rFonts w:ascii="Century" w:hAnsi="Century" w:cs="Miriam" w:hint="eastAsia"/>
          <w:b/>
          <w:sz w:val="22"/>
          <w:rtl/>
        </w:rPr>
        <w:t>בע</w:t>
      </w:r>
      <w:r w:rsidRPr="00E206AF">
        <w:rPr>
          <w:rFonts w:ascii="Century" w:hAnsi="Century" w:cs="Miriam"/>
          <w:b/>
          <w:sz w:val="22"/>
          <w:rtl/>
        </w:rPr>
        <w:t>"</w:t>
      </w:r>
      <w:r w:rsidRPr="00E206AF">
        <w:rPr>
          <w:rFonts w:ascii="Century" w:hAnsi="Century" w:cs="Miriam" w:hint="eastAsia"/>
          <w:b/>
          <w:sz w:val="22"/>
          <w:rtl/>
        </w:rPr>
        <w:t>מ</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סלמאן</w:t>
      </w:r>
      <w:r w:rsidRPr="00E206AF">
        <w:rPr>
          <w:rFonts w:ascii="Century" w:hAnsi="Century" w:cs="FrankRuehl" w:hint="cs"/>
          <w:spacing w:val="10"/>
          <w:sz w:val="22"/>
          <w:szCs w:val="28"/>
          <w:rtl/>
        </w:rPr>
        <w:t xml:space="preserve">, פס' 40 לפסק דינו של השופט </w:t>
      </w:r>
      <w:r w:rsidRPr="00E206AF">
        <w:rPr>
          <w:rFonts w:ascii="Century" w:hAnsi="Century" w:cs="Miriam" w:hint="cs"/>
          <w:b/>
          <w:sz w:val="22"/>
          <w:rtl/>
        </w:rPr>
        <w:t>מ' מזוז</w:t>
      </w:r>
      <w:r w:rsidRPr="00E206AF">
        <w:rPr>
          <w:rFonts w:ascii="Century" w:hAnsi="Century" w:cs="FrankRuehl"/>
          <w:spacing w:val="10"/>
          <w:sz w:val="22"/>
          <w:szCs w:val="28"/>
          <w:rtl/>
        </w:rPr>
        <w:t xml:space="preserve"> (19.8.2019)</w:t>
      </w:r>
      <w:r w:rsidRPr="00E206AF">
        <w:rPr>
          <w:rFonts w:ascii="Century" w:hAnsi="Century" w:cs="FrankRuehl" w:hint="cs"/>
          <w:spacing w:val="10"/>
          <w:sz w:val="22"/>
          <w:szCs w:val="28"/>
          <w:rtl/>
        </w:rPr>
        <w:t xml:space="preserve"> (להלן: עניין </w:t>
      </w:r>
      <w:r w:rsidRPr="00E206AF">
        <w:rPr>
          <w:rFonts w:ascii="Century" w:hAnsi="Century" w:cs="Miriam" w:hint="cs"/>
          <w:b/>
          <w:sz w:val="22"/>
          <w:rtl/>
        </w:rPr>
        <w:t>מי-טל</w:t>
      </w:r>
      <w:r w:rsidRPr="00E206AF">
        <w:rPr>
          <w:rFonts w:ascii="Century" w:hAnsi="Century" w:cs="FrankRuehl" w:hint="cs"/>
          <w:spacing w:val="10"/>
          <w:sz w:val="22"/>
          <w:szCs w:val="28"/>
          <w:rtl/>
        </w:rPr>
        <w:t xml:space="preserve">);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428/86 </w:t>
      </w:r>
      <w:r w:rsidRPr="00E206AF">
        <w:rPr>
          <w:rFonts w:ascii="Century" w:hAnsi="Century" w:cs="Miriam" w:hint="eastAsia"/>
          <w:b/>
          <w:sz w:val="22"/>
          <w:rtl/>
        </w:rPr>
        <w:t>ברזילי</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ממשלת</w:t>
      </w:r>
      <w:r w:rsidRPr="00E206AF">
        <w:rPr>
          <w:rFonts w:ascii="Century" w:hAnsi="Century" w:cs="Miriam"/>
          <w:b/>
          <w:sz w:val="22"/>
          <w:rtl/>
        </w:rPr>
        <w:t xml:space="preserve"> </w:t>
      </w:r>
      <w:r w:rsidRPr="00E206AF">
        <w:rPr>
          <w:rFonts w:ascii="Century" w:hAnsi="Century" w:cs="Miriam" w:hint="eastAsia"/>
          <w:b/>
          <w:sz w:val="22"/>
          <w:rtl/>
        </w:rPr>
        <w:t>ישראל</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פ"ד </w:t>
      </w:r>
      <w:r w:rsidRPr="00E206AF">
        <w:rPr>
          <w:rFonts w:ascii="Century" w:hAnsi="Century" w:cs="FrankRuehl" w:hint="eastAsia"/>
          <w:spacing w:val="10"/>
          <w:sz w:val="22"/>
          <w:szCs w:val="28"/>
          <w:rtl/>
        </w:rPr>
        <w:t>מ</w:t>
      </w:r>
      <w:r w:rsidRPr="00E206AF">
        <w:rPr>
          <w:rFonts w:ascii="Century" w:hAnsi="Century" w:cs="FrankRuehl"/>
          <w:spacing w:val="10"/>
          <w:sz w:val="22"/>
          <w:szCs w:val="28"/>
          <w:rtl/>
        </w:rPr>
        <w:t>(3) 505</w:t>
      </w:r>
      <w:r w:rsidRPr="00E206AF">
        <w:rPr>
          <w:rFonts w:ascii="Century" w:hAnsi="Century" w:cs="FrankRuehl" w:hint="cs"/>
          <w:spacing w:val="10"/>
          <w:sz w:val="22"/>
          <w:szCs w:val="28"/>
          <w:rtl/>
        </w:rPr>
        <w:t xml:space="preserve">, עמ' 593 לפסק דינו של השופט </w:t>
      </w:r>
      <w:r w:rsidRPr="00E206AF">
        <w:rPr>
          <w:rFonts w:ascii="Century" w:hAnsi="Century" w:cs="Miriam" w:hint="cs"/>
          <w:b/>
          <w:sz w:val="22"/>
          <w:rtl/>
        </w:rPr>
        <w:t xml:space="preserve">ברק </w:t>
      </w:r>
      <w:r w:rsidRPr="00E206AF">
        <w:rPr>
          <w:rFonts w:ascii="Century" w:hAnsi="Century" w:cs="FrankRuehl"/>
          <w:spacing w:val="10"/>
          <w:sz w:val="22"/>
          <w:szCs w:val="28"/>
          <w:rtl/>
        </w:rPr>
        <w:t>(1986)</w:t>
      </w:r>
      <w:r w:rsidRPr="00E206AF">
        <w:rPr>
          <w:rFonts w:ascii="Century" w:hAnsi="Century" w:cs="FrankRuehl" w:hint="cs"/>
          <w:spacing w:val="10"/>
          <w:sz w:val="22"/>
          <w:szCs w:val="28"/>
          <w:rtl/>
        </w:rPr>
        <w:t xml:space="preserve">;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5239/11 </w:t>
      </w:r>
      <w:r w:rsidRPr="00E206AF">
        <w:rPr>
          <w:rFonts w:ascii="Century" w:hAnsi="Century" w:cs="Miriam" w:hint="eastAsia"/>
          <w:b/>
          <w:sz w:val="22"/>
          <w:rtl/>
        </w:rPr>
        <w:t>אבנרי</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הכנסת</w:t>
      </w:r>
      <w:r w:rsidRPr="00E206AF">
        <w:rPr>
          <w:rFonts w:ascii="Century" w:hAnsi="Century" w:cs="FrankRuehl" w:hint="cs"/>
          <w:spacing w:val="10"/>
          <w:sz w:val="22"/>
          <w:szCs w:val="28"/>
          <w:rtl/>
        </w:rPr>
        <w:t xml:space="preserve">, פס' 47 לפסק דינו של השופט </w:t>
      </w:r>
      <w:r w:rsidRPr="00E206AF">
        <w:rPr>
          <w:rFonts w:ascii="Century" w:hAnsi="Century" w:cs="Miriam" w:hint="cs"/>
          <w:b/>
          <w:sz w:val="22"/>
          <w:rtl/>
        </w:rPr>
        <w:t>י' דנציגר</w:t>
      </w:r>
      <w:r w:rsidRPr="00E206AF">
        <w:rPr>
          <w:rFonts w:ascii="Century" w:hAnsi="Century" w:cs="FrankRuehl"/>
          <w:spacing w:val="10"/>
          <w:sz w:val="22"/>
          <w:szCs w:val="28"/>
          <w:rtl/>
        </w:rPr>
        <w:t xml:space="preserve"> (15.4.2015</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וכי</w:t>
      </w:r>
      <w:r w:rsidRPr="00E206AF">
        <w:rPr>
          <w:rFonts w:ascii="Century" w:hAnsi="Century" w:cs="FrankRuehl" w:hint="cs"/>
          <w:spacing w:val="10"/>
          <w:sz w:val="22"/>
          <w:szCs w:val="28"/>
          <w:rtl/>
        </w:rPr>
        <w:t xml:space="preserve"> זהו "אך מקור אחד ממנו על הפרשן ללמוד על תכלית החקיקה" (עניין </w:t>
      </w:r>
      <w:r w:rsidRPr="00E206AF">
        <w:rPr>
          <w:rFonts w:ascii="Century" w:hAnsi="Century" w:cs="Miriam" w:hint="cs"/>
          <w:b/>
          <w:sz w:val="22"/>
          <w:rtl/>
        </w:rPr>
        <w:t>אבנרי</w:t>
      </w:r>
      <w:r w:rsidRPr="00E206AF">
        <w:rPr>
          <w:rFonts w:ascii="Century" w:hAnsi="Century" w:cs="FrankRuehl" w:hint="cs"/>
          <w:spacing w:val="10"/>
          <w:sz w:val="22"/>
          <w:szCs w:val="28"/>
          <w:rtl/>
        </w:rPr>
        <w:t>,</w:t>
      </w:r>
      <w:r w:rsidRPr="00E206AF">
        <w:rPr>
          <w:rFonts w:ascii="Century" w:hAnsi="Century" w:cs="Miriam" w:hint="cs"/>
          <w:b/>
          <w:sz w:val="22"/>
          <w:rtl/>
        </w:rPr>
        <w:t xml:space="preserve"> </w:t>
      </w:r>
      <w:r w:rsidRPr="00E206AF">
        <w:rPr>
          <w:rFonts w:ascii="Century" w:hAnsi="Century" w:cs="FrankRuehl" w:hint="cs"/>
          <w:spacing w:val="10"/>
          <w:sz w:val="22"/>
          <w:szCs w:val="28"/>
          <w:rtl/>
        </w:rPr>
        <w:t xml:space="preserve">פס' 47). </w:t>
      </w:r>
      <w:r w:rsidRPr="00E206AF">
        <w:rPr>
          <w:rFonts w:ascii="Century" w:hAnsi="Century" w:cs="FrankRuehl" w:hint="eastAsia"/>
          <w:spacing w:val="10"/>
          <w:sz w:val="22"/>
          <w:szCs w:val="28"/>
          <w:rtl/>
        </w:rPr>
        <w:t>הדברים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נכונים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במיוחד</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כאשר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הכוונה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העולה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מדברי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ההסבר</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ברורה וחד-משמעית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כבענייננו</w:t>
      </w:r>
      <w:r w:rsidRPr="00E206AF">
        <w:rPr>
          <w:rFonts w:ascii="Century" w:hAnsi="Century" w:cs="FrankRuehl"/>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5</w:t>
      </w:r>
      <w:r>
        <w:rPr>
          <w:rFonts w:ascii="Century" w:hAnsi="Century" w:cs="FrankRuehl" w:hint="cs"/>
          <w:spacing w:val="10"/>
          <w:sz w:val="22"/>
          <w:szCs w:val="28"/>
          <w:rtl/>
        </w:rPr>
        <w:t>7</w:t>
      </w:r>
      <w:r w:rsidRPr="00E206AF">
        <w:rPr>
          <w:rFonts w:ascii="Century" w:hAnsi="Century" w:cs="FrankRuehl" w:hint="cs"/>
          <w:spacing w:val="10"/>
          <w:sz w:val="22"/>
          <w:szCs w:val="28"/>
          <w:rtl/>
        </w:rPr>
        <w:t>.</w:t>
      </w:r>
      <w:r w:rsidRPr="00E206AF">
        <w:rPr>
          <w:rFonts w:ascii="Century" w:hAnsi="Century" w:cs="FrankRuehl" w:hint="cs"/>
          <w:spacing w:val="10"/>
          <w:sz w:val="22"/>
          <w:szCs w:val="28"/>
          <w:rtl/>
        </w:rPr>
        <w:tab/>
        <w:t xml:space="preserve">ובכן, מדברי חברי הכנסת בדיונים </w:t>
      </w:r>
      <w:r>
        <w:rPr>
          <w:rFonts w:ascii="Century" w:hAnsi="Century" w:cs="FrankRuehl" w:hint="cs"/>
          <w:spacing w:val="10"/>
          <w:sz w:val="22"/>
          <w:szCs w:val="28"/>
          <w:rtl/>
        </w:rPr>
        <w:t>שנערכו במסגרת</w:t>
      </w:r>
      <w:r w:rsidRPr="00E206AF">
        <w:rPr>
          <w:rFonts w:ascii="Century" w:hAnsi="Century" w:cs="FrankRuehl" w:hint="cs"/>
          <w:spacing w:val="10"/>
          <w:sz w:val="22"/>
          <w:szCs w:val="28"/>
          <w:rtl/>
        </w:rPr>
        <w:t xml:space="preserve"> הליך החקיקה, עולה באופן מובהק כי התיקון בא על רקע הביקורות על עילת הסבירות, שנשמעו גם מקרב מלומדי משפט ושופטים בבית משפט זה. כמפורט לעיל, ביקורות אלו הופנו כנגד הסבירות האיזונית, ולא כנגד עילת הסבירות המקורית.</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כך, לדוגמא, בדיון מיום 3.7.2023 בוועדת חוקה, חוק ומשפט (להלן: </w:t>
      </w:r>
      <w:r w:rsidRPr="00E206AF">
        <w:rPr>
          <w:rFonts w:ascii="Century" w:hAnsi="Century" w:cs="Miriam" w:hint="cs"/>
          <w:b/>
          <w:sz w:val="22"/>
          <w:rtl/>
        </w:rPr>
        <w:t>הוועדה</w:t>
      </w:r>
      <w:r>
        <w:rPr>
          <w:rFonts w:ascii="Century" w:hAnsi="Century" w:cs="Miriam" w:hint="cs"/>
          <w:b/>
          <w:sz w:val="22"/>
          <w:rtl/>
        </w:rPr>
        <w:t xml:space="preserve"> </w:t>
      </w:r>
      <w:r>
        <w:rPr>
          <w:rFonts w:ascii="Century" w:hAnsi="Century" w:cs="FrankRuehl" w:hint="cs"/>
          <w:spacing w:val="10"/>
          <w:sz w:val="22"/>
          <w:szCs w:val="28"/>
          <w:rtl/>
        </w:rPr>
        <w:t xml:space="preserve">או </w:t>
      </w:r>
      <w:r w:rsidRPr="00DD598E">
        <w:rPr>
          <w:rFonts w:ascii="Century" w:hAnsi="Century" w:cs="Miriam" w:hint="cs"/>
          <w:b/>
          <w:sz w:val="22"/>
          <w:rtl/>
        </w:rPr>
        <w:t>ו</w:t>
      </w:r>
      <w:r w:rsidRPr="008F478C">
        <w:rPr>
          <w:rFonts w:ascii="Century" w:hAnsi="Century" w:cs="Miriam" w:hint="eastAsia"/>
          <w:b/>
          <w:sz w:val="22"/>
          <w:rtl/>
        </w:rPr>
        <w:t>עדת</w:t>
      </w:r>
      <w:r w:rsidRPr="008F478C">
        <w:rPr>
          <w:rFonts w:ascii="Century" w:hAnsi="Century" w:cs="Miriam"/>
          <w:b/>
          <w:sz w:val="22"/>
          <w:rtl/>
        </w:rPr>
        <w:t xml:space="preserve"> </w:t>
      </w:r>
      <w:r w:rsidRPr="008F478C">
        <w:rPr>
          <w:rFonts w:ascii="Century" w:hAnsi="Century" w:cs="Miriam" w:hint="eastAsia"/>
          <w:b/>
          <w:sz w:val="22"/>
          <w:rtl/>
        </w:rPr>
        <w:t>חוקה</w:t>
      </w:r>
      <w:r w:rsidRPr="00E206AF">
        <w:rPr>
          <w:rFonts w:ascii="Century" w:hAnsi="Century" w:cs="FrankRuehl" w:hint="cs"/>
          <w:spacing w:val="10"/>
          <w:sz w:val="22"/>
          <w:szCs w:val="28"/>
          <w:rtl/>
        </w:rPr>
        <w:t xml:space="preserve">), ציטט יו"ר הוועדה את דברי השופט </w:t>
      </w:r>
      <w:r w:rsidRPr="00E206AF">
        <w:rPr>
          <w:rFonts w:ascii="Century" w:hAnsi="Century" w:cs="Miriam" w:hint="cs"/>
          <w:b/>
          <w:sz w:val="22"/>
          <w:rtl/>
        </w:rPr>
        <w:t xml:space="preserve">גרוניס </w:t>
      </w:r>
      <w:r w:rsidRPr="00E206AF">
        <w:rPr>
          <w:rFonts w:ascii="Century" w:hAnsi="Century" w:cs="FrankRuehl" w:hint="cs"/>
          <w:spacing w:val="10"/>
          <w:sz w:val="22"/>
          <w:szCs w:val="28"/>
          <w:rtl/>
        </w:rPr>
        <w:t xml:space="preserve">בעניין </w:t>
      </w:r>
      <w:r w:rsidRPr="00E206AF">
        <w:rPr>
          <w:rFonts w:ascii="Century" w:hAnsi="Century" w:cs="Miriam" w:hint="cs"/>
          <w:b/>
          <w:sz w:val="22"/>
          <w:rtl/>
        </w:rPr>
        <w:t>אמונה</w:t>
      </w:r>
      <w:r w:rsidRPr="00E206AF">
        <w:rPr>
          <w:rFonts w:ascii="Century" w:hAnsi="Century" w:cs="FrankRuehl" w:hint="cs"/>
          <w:spacing w:val="10"/>
          <w:sz w:val="22"/>
          <w:szCs w:val="28"/>
          <w:rtl/>
        </w:rPr>
        <w:t xml:space="preserve">, שפורטו לעיל, ובתוך כך התייחס גם לעמדותיהן של השופטות </w:t>
      </w:r>
      <w:r w:rsidRPr="00E206AF">
        <w:rPr>
          <w:rFonts w:ascii="Century" w:hAnsi="Century" w:cs="Miriam" w:hint="cs"/>
          <w:b/>
          <w:sz w:val="22"/>
          <w:rtl/>
        </w:rPr>
        <w:t xml:space="preserve">פרוקצ'יה </w:t>
      </w:r>
      <w:r w:rsidRPr="00E206AF">
        <w:rPr>
          <w:rFonts w:ascii="Century" w:hAnsi="Century" w:cs="FrankRuehl" w:hint="cs"/>
          <w:spacing w:val="10"/>
          <w:sz w:val="22"/>
          <w:szCs w:val="28"/>
          <w:rtl/>
        </w:rPr>
        <w:t>ו</w:t>
      </w:r>
      <w:r w:rsidRPr="00E206AF">
        <w:rPr>
          <w:rFonts w:ascii="Century" w:hAnsi="Century" w:cs="Miriam" w:hint="cs"/>
          <w:b/>
          <w:sz w:val="22"/>
          <w:rtl/>
        </w:rPr>
        <w:t xml:space="preserve">ארבל </w:t>
      </w:r>
      <w:r w:rsidRPr="00E206AF">
        <w:rPr>
          <w:rFonts w:ascii="Century" w:hAnsi="Century" w:cs="FrankRuehl" w:hint="cs"/>
          <w:spacing w:val="10"/>
          <w:sz w:val="22"/>
          <w:szCs w:val="28"/>
          <w:rtl/>
        </w:rPr>
        <w:t xml:space="preserve">באותו </w:t>
      </w:r>
      <w:r w:rsidRPr="00E206AF">
        <w:rPr>
          <w:rFonts w:ascii="Century" w:hAnsi="Century" w:cs="FrankRuehl" w:hint="eastAsia"/>
          <w:spacing w:val="10"/>
          <w:sz w:val="22"/>
          <w:szCs w:val="28"/>
          <w:rtl/>
        </w:rPr>
        <w:t>עניין</w:t>
      </w:r>
      <w:r w:rsidRPr="00E206AF">
        <w:rPr>
          <w:rFonts w:ascii="Century" w:hAnsi="Century" w:cs="FrankRuehl" w:hint="cs"/>
          <w:spacing w:val="10"/>
          <w:sz w:val="22"/>
          <w:szCs w:val="28"/>
          <w:rtl/>
        </w:rPr>
        <w:t>; ו</w:t>
      </w:r>
      <w:r>
        <w:rPr>
          <w:rFonts w:ascii="Century" w:hAnsi="Century" w:cs="FrankRuehl" w:hint="cs"/>
          <w:spacing w:val="10"/>
          <w:sz w:val="22"/>
          <w:szCs w:val="28"/>
          <w:rtl/>
        </w:rPr>
        <w:t>כך הדגיש</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יו"ר הוועדה</w:t>
      </w:r>
      <w:r w:rsidRPr="00E206AF">
        <w:rPr>
          <w:rFonts w:ascii="Century" w:hAnsi="Century" w:cs="FrankRuehl" w:hint="cs"/>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hint="cs"/>
          <w:spacing w:val="10"/>
          <w:sz w:val="22"/>
          <w:szCs w:val="28"/>
          <w:rtl/>
        </w:rPr>
        <w:t xml:space="preserve">"השופטות פרוקצ'יה וארבל </w:t>
      </w:r>
      <w:r w:rsidRPr="00E206AF">
        <w:rPr>
          <w:rFonts w:ascii="Arial TUR" w:hAnsi="Arial TUR" w:cs="FrankRuehl" w:hint="eastAsia"/>
          <w:spacing w:val="10"/>
          <w:sz w:val="22"/>
          <w:szCs w:val="28"/>
          <w:rtl/>
        </w:rPr>
        <w:t>אינן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מכחישות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האופי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העמום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והריקני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סטנדרט</w:t>
      </w:r>
      <w:r w:rsidRPr="00E206AF">
        <w:rPr>
          <w:rFonts w:ascii="Century" w:hAnsi="Century" w:cs="Miriam" w:hint="cs"/>
          <w:b/>
          <w:sz w:val="22"/>
          <w:rtl/>
        </w:rPr>
        <w:t xml:space="preserve"> הסבירות האיזונית</w:t>
      </w:r>
      <w:r w:rsidRPr="003F2E16">
        <w:rPr>
          <w:rFonts w:ascii="Century" w:hAnsi="Century" w:cs="FrankRuehl" w:hint="cs"/>
          <w:spacing w:val="10"/>
          <w:sz w:val="22"/>
          <w:szCs w:val="28"/>
          <w:rtl/>
        </w:rPr>
        <w:t>,</w:t>
      </w:r>
      <w:r w:rsidRPr="00E206AF">
        <w:rPr>
          <w:rFonts w:ascii="Century" w:hAnsi="Century" w:cs="Miriam" w:hint="cs"/>
          <w:b/>
          <w:sz w:val="22"/>
          <w:rtl/>
        </w:rPr>
        <w:t xml:space="preserve"> </w:t>
      </w:r>
      <w:r w:rsidRPr="00E206AF">
        <w:rPr>
          <w:rFonts w:ascii="Arial TUR" w:hAnsi="Arial TUR" w:cs="FrankRuehl" w:hint="eastAsia"/>
          <w:spacing w:val="10"/>
          <w:sz w:val="22"/>
          <w:szCs w:val="28"/>
          <w:rtl/>
        </w:rPr>
        <w:t>וגם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אינם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חולקים</w:t>
      </w:r>
      <w:r w:rsidRPr="00E206AF">
        <w:rPr>
          <w:rFonts w:ascii="Arial TUR" w:hAnsi="Arial TUR" w:cs="FrankRuehl"/>
          <w:spacing w:val="10"/>
          <w:sz w:val="22"/>
          <w:szCs w:val="28"/>
          <w:rtl/>
        </w:rPr>
        <w:t xml:space="preserve"> </w:t>
      </w:r>
      <w:r>
        <w:rPr>
          <w:rFonts w:ascii="Arial TUR" w:hAnsi="Arial TUR" w:cs="FrankRuehl" w:hint="cs"/>
          <w:spacing w:val="10"/>
          <w:sz w:val="22"/>
          <w:szCs w:val="28"/>
          <w:rtl/>
        </w:rPr>
        <w:t xml:space="preserve">[כך במקור </w:t>
      </w:r>
      <w:r>
        <w:rPr>
          <w:rFonts w:ascii="Arial TUR" w:hAnsi="Arial TUR" w:cs="FrankRuehl"/>
          <w:spacing w:val="10"/>
          <w:sz w:val="22"/>
          <w:szCs w:val="28"/>
          <w:rtl/>
        </w:rPr>
        <w:t>–</w:t>
      </w:r>
      <w:r>
        <w:rPr>
          <w:rFonts w:ascii="Arial TUR" w:hAnsi="Arial TUR" w:cs="FrankRuehl" w:hint="cs"/>
          <w:spacing w:val="10"/>
          <w:sz w:val="22"/>
          <w:szCs w:val="28"/>
          <w:rtl/>
        </w:rPr>
        <w:t xml:space="preserve"> י"ו] </w:t>
      </w:r>
      <w:r w:rsidRPr="00E206AF">
        <w:rPr>
          <w:rFonts w:ascii="Arial TUR" w:hAnsi="Arial TUR" w:cs="FrankRuehl" w:hint="eastAsia"/>
          <w:spacing w:val="10"/>
          <w:sz w:val="22"/>
          <w:szCs w:val="28"/>
          <w:rtl/>
        </w:rPr>
        <w:t>על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השופט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גרוניס</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לגבי</w:t>
      </w:r>
      <w:r w:rsidRPr="00E206AF">
        <w:rPr>
          <w:rFonts w:ascii="Arial TUR" w:hAnsi="Arial TUR" w:cs="FrankRuehl"/>
          <w:spacing w:val="10"/>
          <w:sz w:val="22"/>
          <w:szCs w:val="28"/>
          <w:rtl/>
        </w:rPr>
        <w:t xml:space="preserve"> </w:t>
      </w:r>
      <w:r w:rsidRPr="00E206AF">
        <w:rPr>
          <w:rFonts w:ascii="Century" w:hAnsi="Century" w:cs="FrankRuehl" w:hint="eastAsia"/>
          <w:spacing w:val="10"/>
          <w:sz w:val="22"/>
          <w:szCs w:val="28"/>
          <w:rtl/>
        </w:rPr>
        <w:t>הסכנות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שנובעות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מכך</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לעקרונות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היסוד</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המשפט</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החוקתי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שלנו</w:t>
      </w:r>
      <w:r w:rsidRPr="00E206AF">
        <w:rPr>
          <w:rFonts w:ascii="Century" w:hAnsi="Century" w:cs="FrankRuehl"/>
          <w:spacing w:val="10"/>
          <w:sz w:val="22"/>
          <w:szCs w:val="28"/>
          <w:rtl/>
        </w:rPr>
        <w:t>.</w:t>
      </w:r>
      <w:r w:rsidRPr="00E206AF">
        <w:rPr>
          <w:rFonts w:ascii="Arial TUR" w:hAnsi="Arial TUR" w:cs="FrankRuehl" w:hint="cs"/>
          <w:spacing w:val="10"/>
          <w:sz w:val="22"/>
          <w:szCs w:val="28"/>
          <w:rtl/>
        </w:rPr>
        <w:t xml:space="preserve"> אלא שהן מציעות תשובה לחששות הללו</w:t>
      </w:r>
      <w:r w:rsidRPr="00E206AF">
        <w:rPr>
          <w:rFonts w:ascii="Arial TUR" w:hAnsi="Arial TUR" w:cs="FrankRuehl"/>
          <w:spacing w:val="10"/>
          <w:sz w:val="22"/>
          <w:szCs w:val="28"/>
          <w:rtl/>
          <w:lang w:eastAsia="he-IL"/>
        </w:rPr>
        <w:t>.</w:t>
      </w:r>
      <w:r w:rsidRPr="00E206AF">
        <w:rPr>
          <w:rFonts w:ascii="Arial TUR" w:hAnsi="Arial TUR" w:cs="FrankRuehl" w:hint="cs"/>
          <w:spacing w:val="10"/>
          <w:sz w:val="22"/>
          <w:szCs w:val="28"/>
          <w:rtl/>
          <w:lang w:eastAsia="he-IL"/>
        </w:rPr>
        <w:t xml:space="preserve"> </w:t>
      </w:r>
      <w:r w:rsidRPr="00E206AF">
        <w:rPr>
          <w:rFonts w:ascii="Century" w:hAnsi="Century" w:cs="FrankRuehl" w:hint="cs"/>
          <w:spacing w:val="10"/>
          <w:sz w:val="22"/>
          <w:szCs w:val="28"/>
          <w:rtl/>
          <w:lang w:eastAsia="he-IL"/>
        </w:rPr>
        <w:t xml:space="preserve">המטרה והסיבה שלשמה אנחנו מקדמים את התיקון בעילת </w:t>
      </w:r>
      <w:r w:rsidRPr="00E206AF">
        <w:rPr>
          <w:rFonts w:ascii="Century" w:hAnsi="Century" w:cs="FrankRuehl" w:hint="cs"/>
          <w:spacing w:val="10"/>
          <w:sz w:val="22"/>
          <w:szCs w:val="28"/>
          <w:rtl/>
          <w:lang w:eastAsia="he-IL"/>
        </w:rPr>
        <w:lastRenderedPageBreak/>
        <w:t>הסבירות</w:t>
      </w:r>
      <w:r w:rsidRPr="00E206AF">
        <w:rPr>
          <w:rFonts w:ascii="Century" w:hAnsi="Century" w:cs="Miriam" w:hint="cs"/>
          <w:b/>
          <w:sz w:val="22"/>
          <w:rtl/>
          <w:lang w:eastAsia="he-IL"/>
        </w:rPr>
        <w:t xml:space="preserve"> שמופיע פה</w:t>
      </w:r>
      <w:r w:rsidRPr="00D7704D">
        <w:rPr>
          <w:rFonts w:ascii="Century" w:hAnsi="Century" w:cs="Miriam"/>
          <w:b/>
          <w:sz w:val="22"/>
          <w:rtl/>
          <w:lang w:eastAsia="he-IL"/>
        </w:rPr>
        <w:t xml:space="preserve"> </w:t>
      </w:r>
      <w:r>
        <w:rPr>
          <w:rFonts w:ascii="Century" w:hAnsi="Century" w:cs="FrankRuehl" w:hint="cs"/>
          <w:spacing w:val="10"/>
          <w:sz w:val="22"/>
          <w:szCs w:val="28"/>
          <w:rtl/>
          <w:lang w:eastAsia="he-IL"/>
        </w:rPr>
        <w:t xml:space="preserve">[כך במקור </w:t>
      </w:r>
      <w:r>
        <w:rPr>
          <w:rFonts w:ascii="Century" w:hAnsi="Century" w:cs="FrankRuehl"/>
          <w:spacing w:val="10"/>
          <w:sz w:val="22"/>
          <w:szCs w:val="28"/>
          <w:rtl/>
          <w:lang w:eastAsia="he-IL"/>
        </w:rPr>
        <w:t>–</w:t>
      </w:r>
      <w:r>
        <w:rPr>
          <w:rFonts w:ascii="Century" w:hAnsi="Century" w:cs="FrankRuehl" w:hint="cs"/>
          <w:spacing w:val="10"/>
          <w:sz w:val="22"/>
          <w:szCs w:val="28"/>
          <w:rtl/>
          <w:lang w:eastAsia="he-IL"/>
        </w:rPr>
        <w:t xml:space="preserve"> י"ו]</w:t>
      </w:r>
      <w:r w:rsidRPr="00E206AF">
        <w:rPr>
          <w:rFonts w:ascii="Arial TUR" w:hAnsi="Arial TUR" w:cs="FrankRuehl" w:hint="cs"/>
          <w:spacing w:val="10"/>
          <w:sz w:val="22"/>
          <w:szCs w:val="28"/>
          <w:rtl/>
          <w:lang w:eastAsia="he-IL"/>
        </w:rPr>
        <w:t xml:space="preserve">, היא כדי לוודא שלשופטים אין פטור מעקרונות היסוד של השיטה, ולוודא שהעיקרון הדמוקרטי הבסיסי ביותר וגם עיקרון הסמכות והאחריות </w:t>
      </w:r>
      <w:r w:rsidRPr="00E206AF">
        <w:rPr>
          <w:rFonts w:ascii="Arial TUR" w:hAnsi="Arial TUR" w:cs="FrankRuehl"/>
          <w:spacing w:val="10"/>
          <w:sz w:val="22"/>
          <w:szCs w:val="28"/>
          <w:rtl/>
          <w:lang w:eastAsia="he-IL"/>
        </w:rPr>
        <w:t>–</w:t>
      </w:r>
      <w:r w:rsidRPr="00E206AF">
        <w:rPr>
          <w:rFonts w:ascii="Arial TUR" w:hAnsi="Arial TUR" w:cs="FrankRuehl" w:hint="cs"/>
          <w:spacing w:val="10"/>
          <w:sz w:val="22"/>
          <w:szCs w:val="28"/>
          <w:rtl/>
          <w:lang w:eastAsia="he-IL"/>
        </w:rPr>
        <w:t xml:space="preserve"> נשמר" (עמ'</w:t>
      </w:r>
      <w:r w:rsidRPr="00E206AF">
        <w:rPr>
          <w:rFonts w:ascii="Century" w:hAnsi="Century" w:cs="FrankRuehl" w:hint="cs"/>
          <w:spacing w:val="10"/>
          <w:sz w:val="22"/>
          <w:szCs w:val="28"/>
          <w:rtl/>
        </w:rPr>
        <w:t xml:space="preserve"> 23 לפרוטוקול הדיון; ההדגשה הוספה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י"ו).</w:t>
      </w: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אם כן, מדברים אלו של יו"ר הוועדה נובע בבירור כי תכלית התיקון </w:t>
      </w:r>
      <w:r>
        <w:rPr>
          <w:rFonts w:ascii="Century" w:hAnsi="Century" w:cs="FrankRuehl" w:hint="cs"/>
          <w:spacing w:val="10"/>
          <w:sz w:val="22"/>
          <w:szCs w:val="28"/>
          <w:rtl/>
        </w:rPr>
        <w:t>נוגעת</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ל</w:t>
      </w:r>
      <w:r w:rsidRPr="00E206AF">
        <w:rPr>
          <w:rFonts w:ascii="Century" w:hAnsi="Century" w:cs="FrankRuehl" w:hint="cs"/>
          <w:spacing w:val="10"/>
          <w:sz w:val="22"/>
          <w:szCs w:val="28"/>
          <w:rtl/>
        </w:rPr>
        <w:t xml:space="preserve">חששות </w:t>
      </w:r>
      <w:r>
        <w:rPr>
          <w:rFonts w:ascii="Century" w:hAnsi="Century" w:cs="FrankRuehl" w:hint="cs"/>
          <w:spacing w:val="10"/>
          <w:sz w:val="22"/>
          <w:szCs w:val="28"/>
          <w:rtl/>
        </w:rPr>
        <w:t>ביחס</w:t>
      </w:r>
      <w:r w:rsidRPr="00E206AF">
        <w:rPr>
          <w:rFonts w:ascii="Century" w:hAnsi="Century" w:cs="FrankRuehl" w:hint="cs"/>
          <w:spacing w:val="10"/>
          <w:sz w:val="22"/>
          <w:szCs w:val="28"/>
          <w:rtl/>
        </w:rPr>
        <w:t xml:space="preserve"> לעילת הסבירות האיזונית.</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5</w:t>
      </w:r>
      <w:r>
        <w:rPr>
          <w:rFonts w:ascii="Century" w:hAnsi="Century" w:cs="FrankRuehl" w:hint="cs"/>
          <w:spacing w:val="10"/>
          <w:sz w:val="22"/>
          <w:szCs w:val="28"/>
          <w:rtl/>
        </w:rPr>
        <w:t>8</w:t>
      </w:r>
      <w:r w:rsidRPr="00E206AF">
        <w:rPr>
          <w:rFonts w:ascii="Century" w:hAnsi="Century" w:cs="FrankRuehl" w:hint="cs"/>
          <w:spacing w:val="10"/>
          <w:sz w:val="22"/>
          <w:szCs w:val="28"/>
          <w:rtl/>
        </w:rPr>
        <w:t>.</w:t>
      </w:r>
      <w:r w:rsidRPr="00E206AF">
        <w:rPr>
          <w:rFonts w:ascii="Century" w:hAnsi="Century" w:cs="FrankRuehl"/>
          <w:spacing w:val="10"/>
          <w:sz w:val="22"/>
          <w:szCs w:val="28"/>
          <w:rtl/>
        </w:rPr>
        <w:tab/>
      </w:r>
      <w:r>
        <w:rPr>
          <w:rFonts w:ascii="Century" w:hAnsi="Century" w:cs="FrankRuehl" w:hint="cs"/>
          <w:spacing w:val="10"/>
          <w:sz w:val="22"/>
          <w:szCs w:val="28"/>
          <w:rtl/>
        </w:rPr>
        <w:t xml:space="preserve">זאת </w:t>
      </w:r>
      <w:r w:rsidRPr="00E206AF">
        <w:rPr>
          <w:rFonts w:ascii="Century" w:hAnsi="Century" w:cs="FrankRuehl" w:hint="cs"/>
          <w:spacing w:val="10"/>
          <w:sz w:val="22"/>
          <w:szCs w:val="28"/>
          <w:rtl/>
        </w:rPr>
        <w:t>ועוד</w:t>
      </w:r>
      <w:r>
        <w:rPr>
          <w:rFonts w:ascii="Century" w:hAnsi="Century" w:cs="FrankRuehl" w:hint="cs"/>
          <w:spacing w:val="10"/>
          <w:sz w:val="22"/>
          <w:szCs w:val="28"/>
          <w:rtl/>
        </w:rPr>
        <w:t>,</w:t>
      </w:r>
      <w:r w:rsidRPr="00E206AF">
        <w:rPr>
          <w:rFonts w:ascii="Century" w:hAnsi="Century" w:cs="FrankRuehl" w:hint="cs"/>
          <w:spacing w:val="10"/>
          <w:sz w:val="22"/>
          <w:szCs w:val="28"/>
          <w:rtl/>
        </w:rPr>
        <w:t xml:space="preserve"> חברי הכנסת הדגישו במהלך הדיונים כי התיקון נועד להתמודד עם ביקורת שיפוטית מכוח עילת הסבירות המצויה במישור שיקול הדעת בלבד</w:t>
      </w:r>
      <w:r>
        <w:rPr>
          <w:rFonts w:ascii="Century" w:hAnsi="Century" w:cs="FrankRuehl" w:hint="cs"/>
          <w:spacing w:val="10"/>
          <w:sz w:val="22"/>
          <w:szCs w:val="28"/>
          <w:rtl/>
        </w:rPr>
        <w:t>. גם התייחסויות אלו מלמדות כי התיקון עניינו בסבירות האיזונית בלבד, בהינתן שכמבואר לעיל, הסבירות המקורית כרוכה גם בפגם במישור הסמכות.</w:t>
      </w:r>
      <w:r w:rsidRPr="00E206AF">
        <w:rPr>
          <w:rFonts w:ascii="Century" w:hAnsi="Century" w:cs="FrankRuehl" w:hint="cs"/>
          <w:spacing w:val="10"/>
          <w:sz w:val="22"/>
          <w:szCs w:val="28"/>
          <w:rtl/>
        </w:rPr>
        <w:t xml:space="preserve"> </w:t>
      </w:r>
    </w:p>
    <w:p w:rsidR="00E32081"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Pr>
          <w:rFonts w:ascii="Century" w:hAnsi="Century" w:cs="FrankRuehl"/>
          <w:spacing w:val="10"/>
          <w:sz w:val="22"/>
          <w:szCs w:val="28"/>
          <w:rtl/>
        </w:rPr>
        <w:tab/>
      </w:r>
      <w:r w:rsidRPr="00E206AF">
        <w:rPr>
          <w:rFonts w:ascii="Century" w:hAnsi="Century" w:cs="FrankRuehl" w:hint="cs"/>
          <w:spacing w:val="10"/>
          <w:sz w:val="22"/>
          <w:szCs w:val="28"/>
          <w:rtl/>
        </w:rPr>
        <w:t>כ</w:t>
      </w:r>
      <w:r>
        <w:rPr>
          <w:rFonts w:ascii="Century" w:hAnsi="Century" w:cs="FrankRuehl" w:hint="cs"/>
          <w:spacing w:val="10"/>
          <w:sz w:val="22"/>
          <w:szCs w:val="28"/>
          <w:rtl/>
        </w:rPr>
        <w:t>ך, למשל,</w:t>
      </w:r>
      <w:r w:rsidRPr="00E206AF">
        <w:rPr>
          <w:rFonts w:ascii="Century" w:hAnsi="Century" w:cs="FrankRuehl" w:hint="cs"/>
          <w:spacing w:val="10"/>
          <w:sz w:val="22"/>
          <w:szCs w:val="28"/>
          <w:rtl/>
        </w:rPr>
        <w:t xml:space="preserve"> ציין לדוגמא ח</w:t>
      </w:r>
      <w:r>
        <w:rPr>
          <w:rFonts w:ascii="Century" w:hAnsi="Century" w:cs="FrankRuehl" w:hint="cs"/>
          <w:spacing w:val="10"/>
          <w:sz w:val="22"/>
          <w:szCs w:val="28"/>
          <w:rtl/>
        </w:rPr>
        <w:t>ה</w:t>
      </w:r>
      <w:r w:rsidRPr="00E206AF">
        <w:rPr>
          <w:rFonts w:ascii="Century" w:hAnsi="Century" w:cs="FrankRuehl" w:hint="cs"/>
          <w:spacing w:val="10"/>
          <w:sz w:val="22"/>
          <w:szCs w:val="28"/>
          <w:rtl/>
        </w:rPr>
        <w:t>"כ עמית הלוי:</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Pr>
      </w:pPr>
      <w:r w:rsidRPr="00E206AF">
        <w:rPr>
          <w:rFonts w:ascii="Arial TUR" w:hAnsi="Arial TUR" w:cs="FrankRuehl" w:hint="cs"/>
          <w:spacing w:val="10"/>
          <w:sz w:val="22"/>
          <w:szCs w:val="28"/>
          <w:rtl/>
        </w:rPr>
        <w:t>"</w:t>
      </w:r>
      <w:r w:rsidRPr="00E206AF">
        <w:rPr>
          <w:rFonts w:ascii="Arial TUR" w:hAnsi="Arial TUR" w:cs="FrankRuehl"/>
          <w:spacing w:val="10"/>
          <w:sz w:val="22"/>
          <w:szCs w:val="28"/>
          <w:rtl/>
        </w:rPr>
        <w:t>אנחנו בדיון על מדיניות. על העובדה שבית המשפט העליון פעם אחר פעם הכניס, כמו שהגדיר את זה יפה השופט לנדוי בוויכוח שלו עם ברק – הכניס את עצמו בנעלי הרשויות האחרות</w:t>
      </w:r>
      <w:r w:rsidRPr="00E206AF">
        <w:rPr>
          <w:rFonts w:ascii="Arial TUR" w:hAnsi="Arial TUR" w:cs="FrankRuehl" w:hint="cs"/>
          <w:spacing w:val="10"/>
          <w:sz w:val="22"/>
          <w:szCs w:val="28"/>
          <w:rtl/>
        </w:rPr>
        <w:t xml:space="preserve"> [...]</w:t>
      </w:r>
      <w:r w:rsidRPr="00E206AF">
        <w:rPr>
          <w:rFonts w:ascii="Arial TUR" w:hAnsi="Arial TUR" w:cs="FrankRuehl"/>
          <w:spacing w:val="10"/>
          <w:sz w:val="22"/>
          <w:szCs w:val="28"/>
          <w:rtl/>
        </w:rPr>
        <w:t xml:space="preserve"> </w:t>
      </w:r>
      <w:r w:rsidRPr="00E206AF">
        <w:rPr>
          <w:rFonts w:ascii="Century" w:hAnsi="Century" w:cs="Miriam" w:hint="eastAsia"/>
          <w:b/>
          <w:sz w:val="22"/>
          <w:rtl/>
        </w:rPr>
        <w:t>החליף</w:t>
      </w:r>
      <w:r w:rsidRPr="00E206AF">
        <w:rPr>
          <w:rFonts w:ascii="Century" w:hAnsi="Century" w:cs="Miriam"/>
          <w:b/>
          <w:sz w:val="22"/>
          <w:rtl/>
        </w:rPr>
        <w:t xml:space="preserve"> </w:t>
      </w:r>
      <w:r w:rsidRPr="00E206AF">
        <w:rPr>
          <w:rFonts w:ascii="Century" w:hAnsi="Century" w:cs="Miriam" w:hint="eastAsia"/>
          <w:b/>
          <w:sz w:val="22"/>
          <w:rtl/>
        </w:rPr>
        <w:t>את</w:t>
      </w:r>
      <w:r w:rsidRPr="00E206AF">
        <w:rPr>
          <w:rFonts w:ascii="Century" w:hAnsi="Century" w:cs="Miriam"/>
          <w:b/>
          <w:sz w:val="22"/>
          <w:rtl/>
        </w:rPr>
        <w:t xml:space="preserve"> </w:t>
      </w:r>
      <w:r w:rsidRPr="00E206AF">
        <w:rPr>
          <w:rFonts w:ascii="Century" w:hAnsi="Century" w:cs="Miriam" w:hint="eastAsia"/>
          <w:b/>
          <w:sz w:val="22"/>
          <w:rtl/>
        </w:rPr>
        <w:t>שיקול</w:t>
      </w:r>
      <w:r w:rsidRPr="00E206AF">
        <w:rPr>
          <w:rFonts w:ascii="Century" w:hAnsi="Century" w:cs="Miriam"/>
          <w:b/>
          <w:sz w:val="22"/>
          <w:rtl/>
        </w:rPr>
        <w:t xml:space="preserve"> </w:t>
      </w:r>
      <w:r w:rsidRPr="00E206AF">
        <w:rPr>
          <w:rFonts w:ascii="Century" w:hAnsi="Century" w:cs="Miriam" w:hint="eastAsia"/>
          <w:b/>
          <w:sz w:val="22"/>
          <w:rtl/>
        </w:rPr>
        <w:t>הדעת</w:t>
      </w:r>
      <w:r w:rsidRPr="00E206AF">
        <w:rPr>
          <w:rFonts w:ascii="Century" w:hAnsi="Century" w:cs="Miriam"/>
          <w:b/>
          <w:sz w:val="22"/>
          <w:rtl/>
        </w:rPr>
        <w:t xml:space="preserve"> </w:t>
      </w:r>
      <w:r w:rsidRPr="00E206AF">
        <w:rPr>
          <w:rFonts w:ascii="Century" w:hAnsi="Century" w:cs="Miriam" w:hint="eastAsia"/>
          <w:b/>
          <w:sz w:val="22"/>
          <w:rtl/>
        </w:rPr>
        <w:t>של</w:t>
      </w:r>
      <w:r w:rsidRPr="00E206AF">
        <w:rPr>
          <w:rFonts w:ascii="Century" w:hAnsi="Century" w:cs="Miriam"/>
          <w:b/>
          <w:sz w:val="22"/>
          <w:rtl/>
        </w:rPr>
        <w:t xml:space="preserve"> </w:t>
      </w:r>
      <w:r w:rsidRPr="00E206AF">
        <w:rPr>
          <w:rFonts w:ascii="Century" w:hAnsi="Century" w:cs="Miriam" w:hint="eastAsia"/>
          <w:b/>
          <w:sz w:val="22"/>
          <w:rtl/>
        </w:rPr>
        <w:t>הרשות</w:t>
      </w:r>
      <w:r w:rsidRPr="00E206AF">
        <w:rPr>
          <w:rFonts w:ascii="Century" w:hAnsi="Century" w:cs="Miriam"/>
          <w:b/>
          <w:sz w:val="22"/>
          <w:rtl/>
        </w:rPr>
        <w:t xml:space="preserve"> </w:t>
      </w:r>
      <w:r w:rsidRPr="00E206AF">
        <w:rPr>
          <w:rFonts w:ascii="Century" w:hAnsi="Century" w:cs="Miriam" w:hint="eastAsia"/>
          <w:b/>
          <w:sz w:val="22"/>
          <w:rtl/>
        </w:rPr>
        <w:t>המבצעת</w:t>
      </w:r>
      <w:r w:rsidRPr="00E206AF">
        <w:rPr>
          <w:rFonts w:ascii="Century" w:hAnsi="Century" w:cs="Miriam"/>
          <w:b/>
          <w:sz w:val="22"/>
          <w:rtl/>
        </w:rPr>
        <w:t xml:space="preserve"> </w:t>
      </w:r>
      <w:r w:rsidRPr="00E206AF">
        <w:rPr>
          <w:rFonts w:ascii="Century" w:hAnsi="Century" w:cs="Miriam" w:hint="eastAsia"/>
          <w:b/>
          <w:sz w:val="22"/>
          <w:rtl/>
        </w:rPr>
        <w:t>בשיקול</w:t>
      </w:r>
      <w:r w:rsidRPr="00E206AF">
        <w:rPr>
          <w:rFonts w:ascii="Century" w:hAnsi="Century" w:cs="Miriam"/>
          <w:b/>
          <w:sz w:val="22"/>
          <w:rtl/>
        </w:rPr>
        <w:t xml:space="preserve"> </w:t>
      </w:r>
      <w:r w:rsidRPr="00E206AF">
        <w:rPr>
          <w:rFonts w:ascii="Century" w:hAnsi="Century" w:cs="Miriam" w:hint="eastAsia"/>
          <w:b/>
          <w:sz w:val="22"/>
          <w:rtl/>
        </w:rPr>
        <w:t>שלו</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w:t>
      </w:r>
      <w:r w:rsidRPr="00E206AF">
        <w:rPr>
          <w:rFonts w:ascii="Arial TUR" w:hAnsi="Arial TUR" w:cs="FrankRuehl"/>
          <w:spacing w:val="10"/>
          <w:sz w:val="22"/>
          <w:szCs w:val="28"/>
          <w:rtl/>
        </w:rPr>
        <w:t xml:space="preserve"> </w:t>
      </w:r>
      <w:r w:rsidRPr="00E206AF">
        <w:rPr>
          <w:rFonts w:ascii="Century" w:hAnsi="Century" w:cs="Miriam" w:hint="eastAsia"/>
          <w:b/>
          <w:sz w:val="22"/>
          <w:rtl/>
        </w:rPr>
        <w:t>יצירת</w:t>
      </w:r>
      <w:r w:rsidRPr="00E206AF">
        <w:rPr>
          <w:rFonts w:ascii="Century" w:hAnsi="Century" w:cs="Miriam"/>
          <w:b/>
          <w:sz w:val="22"/>
          <w:rtl/>
        </w:rPr>
        <w:t xml:space="preserve"> </w:t>
      </w:r>
      <w:r w:rsidRPr="00E206AF">
        <w:rPr>
          <w:rFonts w:ascii="Century" w:hAnsi="Century" w:cs="Miriam" w:hint="eastAsia"/>
          <w:b/>
          <w:sz w:val="22"/>
          <w:rtl/>
        </w:rPr>
        <w:t>מתחם</w:t>
      </w:r>
      <w:r w:rsidRPr="00E206AF">
        <w:rPr>
          <w:rFonts w:ascii="Century" w:hAnsi="Century" w:cs="Miriam"/>
          <w:b/>
          <w:sz w:val="22"/>
          <w:rtl/>
        </w:rPr>
        <w:t xml:space="preserve"> </w:t>
      </w:r>
      <w:r w:rsidRPr="00E206AF">
        <w:rPr>
          <w:rFonts w:ascii="Century" w:hAnsi="Century" w:cs="Miriam" w:hint="eastAsia"/>
          <w:b/>
          <w:sz w:val="22"/>
          <w:rtl/>
        </w:rPr>
        <w:t>סבירות</w:t>
      </w:r>
      <w:r w:rsidRPr="00E206AF">
        <w:rPr>
          <w:rFonts w:ascii="Arial TUR" w:hAnsi="Arial TUR" w:cs="FrankRuehl"/>
          <w:spacing w:val="10"/>
          <w:sz w:val="22"/>
          <w:szCs w:val="28"/>
          <w:rtl/>
        </w:rPr>
        <w:t xml:space="preserve"> על ידי בג"ץ</w:t>
      </w:r>
      <w:r w:rsidRPr="00E206AF">
        <w:rPr>
          <w:rFonts w:ascii="Arial TUR" w:hAnsi="Arial TUR" w:cs="FrankRuehl" w:hint="cs"/>
          <w:spacing w:val="10"/>
          <w:sz w:val="22"/>
          <w:szCs w:val="28"/>
          <w:rtl/>
        </w:rPr>
        <w:t>" (</w:t>
      </w:r>
      <w:r w:rsidRPr="00E206AF">
        <w:rPr>
          <w:rFonts w:ascii="Century" w:hAnsi="Century" w:cs="FrankRuehl" w:hint="cs"/>
          <w:spacing w:val="10"/>
          <w:sz w:val="22"/>
          <w:szCs w:val="28"/>
          <w:rtl/>
        </w:rPr>
        <w:t>פרוטוקול הדיון מיום 25.6.2023, בעמ' 9, 12-11</w:t>
      </w:r>
      <w:r w:rsidRPr="00E206AF">
        <w:rPr>
          <w:rFonts w:ascii="Arial TUR" w:hAnsi="Arial TUR" w:cs="FrankRuehl" w:hint="cs"/>
          <w:spacing w:val="10"/>
          <w:sz w:val="22"/>
          <w:szCs w:val="28"/>
          <w:rtl/>
        </w:rPr>
        <w:t xml:space="preserve">; ההדגשה הוספה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י"ו)</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כמו כן, ראו את דבריו של ח</w:t>
      </w:r>
      <w:r>
        <w:rPr>
          <w:rFonts w:ascii="Century" w:hAnsi="Century" w:cs="FrankRuehl" w:hint="cs"/>
          <w:spacing w:val="10"/>
          <w:sz w:val="22"/>
          <w:szCs w:val="28"/>
          <w:rtl/>
        </w:rPr>
        <w:t>ה</w:t>
      </w:r>
      <w:r w:rsidRPr="00E206AF">
        <w:rPr>
          <w:rFonts w:ascii="Century" w:hAnsi="Century" w:cs="FrankRuehl" w:hint="cs"/>
          <w:spacing w:val="10"/>
          <w:sz w:val="22"/>
          <w:szCs w:val="28"/>
          <w:rtl/>
        </w:rPr>
        <w:t xml:space="preserve">"כ אריאל קלנר, אשר מצטט אף הוא את השופט </w:t>
      </w:r>
      <w:r w:rsidRPr="00E206AF">
        <w:rPr>
          <w:rFonts w:ascii="Century" w:hAnsi="Century" w:cs="Miriam" w:hint="cs"/>
          <w:b/>
          <w:sz w:val="22"/>
          <w:rtl/>
        </w:rPr>
        <w:t xml:space="preserve">גרוניס </w:t>
      </w:r>
      <w:r w:rsidRPr="00E206AF">
        <w:rPr>
          <w:rFonts w:ascii="Century" w:hAnsi="Century" w:cs="FrankRuehl" w:hint="cs"/>
          <w:spacing w:val="10"/>
          <w:sz w:val="22"/>
          <w:szCs w:val="28"/>
          <w:rtl/>
        </w:rPr>
        <w:t xml:space="preserve">בעניין </w:t>
      </w:r>
      <w:r w:rsidRPr="00E206AF">
        <w:rPr>
          <w:rFonts w:ascii="Century" w:hAnsi="Century" w:cs="Miriam" w:hint="cs"/>
          <w:b/>
          <w:sz w:val="22"/>
          <w:rtl/>
        </w:rPr>
        <w:t>אמונה</w:t>
      </w:r>
      <w:r w:rsidRPr="00E206AF">
        <w:rPr>
          <w:rFonts w:ascii="Century" w:hAnsi="Century" w:cs="FrankRuehl" w:hint="cs"/>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Century" w:hAnsi="Century" w:cs="FrankRuehl"/>
          <w:spacing w:val="10"/>
          <w:sz w:val="22"/>
          <w:szCs w:val="28"/>
          <w:rtl/>
        </w:rPr>
      </w:pPr>
      <w:r w:rsidRPr="00E206AF">
        <w:rPr>
          <w:rFonts w:ascii="Arial TUR" w:hAnsi="Arial TUR" w:cs="FrankRuehl" w:hint="cs"/>
          <w:spacing w:val="10"/>
          <w:sz w:val="22"/>
          <w:szCs w:val="28"/>
          <w:rtl/>
        </w:rPr>
        <w:t xml:space="preserve">"אין לבית </w:t>
      </w:r>
      <w:bookmarkStart w:id="26" w:name="_ETM_Q1_1840174"/>
      <w:bookmarkEnd w:id="26"/>
      <w:r w:rsidRPr="00E206AF">
        <w:rPr>
          <w:rFonts w:ascii="Arial TUR" w:hAnsi="Arial TUR" w:cs="FrankRuehl" w:hint="cs"/>
          <w:spacing w:val="10"/>
          <w:sz w:val="22"/>
          <w:szCs w:val="28"/>
          <w:rtl/>
        </w:rPr>
        <w:t xml:space="preserve">המשפט יתרון מיוחד או מומחיות עודפת בנושא של חוסר סבירות. </w:t>
      </w:r>
      <w:bookmarkStart w:id="27" w:name="_ETM_Q1_2205513"/>
      <w:bookmarkEnd w:id="27"/>
      <w:r w:rsidRPr="00E206AF">
        <w:rPr>
          <w:rFonts w:ascii="Century" w:hAnsi="Century" w:cs="Miriam" w:hint="eastAsia"/>
          <w:b/>
          <w:sz w:val="22"/>
          <w:rtl/>
        </w:rPr>
        <w:t>העילה</w:t>
      </w:r>
      <w:r w:rsidRPr="00E206AF">
        <w:rPr>
          <w:rFonts w:ascii="Century" w:hAnsi="Century" w:cs="Miriam"/>
          <w:b/>
          <w:sz w:val="22"/>
          <w:rtl/>
        </w:rPr>
        <w:t xml:space="preserve"> של חוסר סבירות עברה שינוי והתפתחה לממדים קרובים לאלה </w:t>
      </w:r>
      <w:bookmarkStart w:id="28" w:name="_ETM_Q1_1848301"/>
      <w:bookmarkEnd w:id="28"/>
      <w:r w:rsidRPr="00E206AF">
        <w:rPr>
          <w:rFonts w:ascii="Century" w:hAnsi="Century" w:cs="Miriam" w:hint="eastAsia"/>
          <w:b/>
          <w:sz w:val="22"/>
          <w:rtl/>
        </w:rPr>
        <w:t>של</w:t>
      </w:r>
      <w:r w:rsidRPr="00E206AF">
        <w:rPr>
          <w:rFonts w:ascii="Century" w:hAnsi="Century" w:cs="Miriam"/>
          <w:b/>
          <w:sz w:val="22"/>
          <w:rtl/>
        </w:rPr>
        <w:t xml:space="preserve"> </w:t>
      </w:r>
      <w:r w:rsidRPr="00E206AF">
        <w:rPr>
          <w:rFonts w:ascii="Century" w:hAnsi="Century" w:cs="Miriam" w:hint="eastAsia"/>
          <w:b/>
          <w:sz w:val="22"/>
          <w:rtl/>
        </w:rPr>
        <w:t>נורמת</w:t>
      </w:r>
      <w:r w:rsidRPr="00E206AF">
        <w:rPr>
          <w:rFonts w:ascii="Century" w:hAnsi="Century" w:cs="Miriam"/>
          <w:b/>
          <w:sz w:val="22"/>
          <w:rtl/>
        </w:rPr>
        <w:t>-על</w:t>
      </w:r>
      <w:r w:rsidRPr="00E206AF">
        <w:rPr>
          <w:rFonts w:ascii="Arial TUR" w:hAnsi="Arial TUR" w:cs="FrankRuehl" w:hint="cs"/>
          <w:spacing w:val="10"/>
          <w:sz w:val="22"/>
          <w:szCs w:val="28"/>
          <w:rtl/>
        </w:rPr>
        <w:t xml:space="preserve">. תוך כדי התפתחות זו היא בלעה לתוכה, כאדם שאינו יודע שובע, עילות פרטיקולריות שהוכרו בעבר. </w:t>
      </w:r>
      <w:r w:rsidRPr="00E206AF">
        <w:rPr>
          <w:rFonts w:ascii="Century" w:hAnsi="Century" w:cs="Miriam" w:hint="eastAsia"/>
          <w:b/>
          <w:sz w:val="22"/>
          <w:rtl/>
        </w:rPr>
        <w:t>חסרונה</w:t>
      </w:r>
      <w:r w:rsidRPr="00E206AF">
        <w:rPr>
          <w:rFonts w:ascii="Century" w:hAnsi="Century" w:cs="Miriam"/>
          <w:b/>
          <w:sz w:val="22"/>
          <w:rtl/>
        </w:rPr>
        <w:t xml:space="preserve"> הגדול של עילה זו בהיקפה </w:t>
      </w:r>
      <w:bookmarkStart w:id="29" w:name="_ETM_Q1_2218104"/>
      <w:bookmarkEnd w:id="29"/>
      <w:r w:rsidRPr="00E206AF">
        <w:rPr>
          <w:rFonts w:ascii="Century" w:hAnsi="Century" w:cs="Miriam" w:hint="eastAsia"/>
          <w:b/>
          <w:sz w:val="22"/>
          <w:rtl/>
        </w:rPr>
        <w:t>דהיום</w:t>
      </w:r>
      <w:r w:rsidRPr="00E206AF">
        <w:rPr>
          <w:rFonts w:ascii="Century" w:hAnsi="Century" w:cs="Miriam"/>
          <w:b/>
          <w:sz w:val="22"/>
          <w:rtl/>
        </w:rPr>
        <w:t xml:space="preserve"> נמצא ברמת </w:t>
      </w:r>
      <w:bookmarkStart w:id="30" w:name="_ETM_Q1_1858341"/>
      <w:bookmarkEnd w:id="30"/>
      <w:r w:rsidRPr="00E206AF">
        <w:rPr>
          <w:rFonts w:ascii="Century" w:hAnsi="Century" w:cs="Miriam" w:hint="eastAsia"/>
          <w:b/>
          <w:sz w:val="22"/>
          <w:rtl/>
        </w:rPr>
        <w:t>ההפשטה</w:t>
      </w:r>
      <w:r w:rsidRPr="00E206AF">
        <w:rPr>
          <w:rFonts w:ascii="Century" w:hAnsi="Century" w:cs="Miriam"/>
          <w:b/>
          <w:sz w:val="22"/>
          <w:rtl/>
        </w:rPr>
        <w:t xml:space="preserve"> הגבוהה שלה. רמת ההפשטה הגבוהה מעצימה את שיקול הדעת השיפוטי, וממילא מגדילה את אי-הוודאות </w:t>
      </w:r>
      <w:bookmarkStart w:id="31" w:name="_ETM_Q1_2223510"/>
      <w:bookmarkEnd w:id="31"/>
      <w:r w:rsidRPr="00E206AF">
        <w:rPr>
          <w:rFonts w:ascii="Century" w:hAnsi="Century" w:cs="Miriam" w:hint="eastAsia"/>
          <w:b/>
          <w:sz w:val="22"/>
          <w:rtl/>
        </w:rPr>
        <w:t>המשפטית</w:t>
      </w:r>
      <w:r w:rsidRPr="00E206AF">
        <w:rPr>
          <w:rFonts w:ascii="Century" w:hAnsi="Century" w:cs="FrankRuehl" w:hint="cs"/>
          <w:spacing w:val="10"/>
          <w:sz w:val="22"/>
          <w:szCs w:val="28"/>
          <w:rtl/>
        </w:rPr>
        <w:t>"</w:t>
      </w:r>
      <w:r w:rsidRPr="00E206AF">
        <w:rPr>
          <w:rFonts w:ascii="Arial TUR" w:hAnsi="Arial TUR" w:cs="FrankRuehl" w:hint="cs"/>
          <w:spacing w:val="10"/>
          <w:sz w:val="22"/>
          <w:szCs w:val="28"/>
          <w:rtl/>
        </w:rPr>
        <w:t xml:space="preserve"> (פרוטוקול </w:t>
      </w:r>
      <w:r w:rsidRPr="00E206AF">
        <w:rPr>
          <w:rFonts w:ascii="Century" w:hAnsi="Century" w:cs="FrankRuehl" w:hint="cs"/>
          <w:spacing w:val="10"/>
          <w:sz w:val="22"/>
          <w:szCs w:val="28"/>
          <w:rtl/>
        </w:rPr>
        <w:t xml:space="preserve">הדיון מיום 3.7.2023, בעמ' 13; ההדגשה הוספה </w:t>
      </w:r>
      <w:r>
        <w:rPr>
          <w:rFonts w:ascii="Century" w:hAnsi="Century" w:cs="FrankRuehl"/>
          <w:spacing w:val="10"/>
          <w:sz w:val="22"/>
          <w:szCs w:val="28"/>
          <w:rtl/>
        </w:rPr>
        <w:t>–</w:t>
      </w:r>
      <w:r>
        <w:rPr>
          <w:rFonts w:ascii="Century" w:hAnsi="Century" w:cs="FrankRuehl" w:hint="cs"/>
          <w:spacing w:val="10"/>
          <w:sz w:val="22"/>
          <w:szCs w:val="28"/>
          <w:rtl/>
        </w:rPr>
        <w:t xml:space="preserve"> י"ו</w:t>
      </w:r>
      <w:r w:rsidRPr="00E206AF">
        <w:rPr>
          <w:rFonts w:ascii="Century" w:hAnsi="Century" w:cs="FrankRuehl" w:hint="cs"/>
          <w:spacing w:val="10"/>
          <w:sz w:val="22"/>
          <w:szCs w:val="28"/>
          <w:rtl/>
        </w:rPr>
        <w:t>).</w:t>
      </w:r>
    </w:p>
    <w:p w:rsidR="00E32081" w:rsidRPr="00E206AF" w:rsidRDefault="00E32081" w:rsidP="00E32081">
      <w:pPr>
        <w:ind w:left="1644" w:right="1276"/>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 xml:space="preserve"> </w:t>
      </w:r>
      <w:r w:rsidRPr="00E206AF">
        <w:rPr>
          <w:rFonts w:ascii="Century" w:hAnsi="Century" w:cs="FrankRuehl"/>
          <w:spacing w:val="10"/>
          <w:sz w:val="22"/>
          <w:szCs w:val="28"/>
          <w:rtl/>
        </w:rPr>
        <w:tab/>
      </w:r>
      <w:r>
        <w:rPr>
          <w:rFonts w:ascii="Century" w:hAnsi="Century" w:cs="FrankRuehl" w:hint="cs"/>
          <w:spacing w:val="10"/>
          <w:sz w:val="22"/>
          <w:szCs w:val="28"/>
          <w:rtl/>
        </w:rPr>
        <w:t>הדברים נלמדים גם</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מ</w:t>
      </w:r>
      <w:r w:rsidRPr="00E206AF">
        <w:rPr>
          <w:rFonts w:ascii="Century" w:hAnsi="Century" w:cs="FrankRuehl" w:hint="cs"/>
          <w:spacing w:val="10"/>
          <w:sz w:val="22"/>
          <w:szCs w:val="28"/>
          <w:rtl/>
        </w:rPr>
        <w:t>דברי ח</w:t>
      </w:r>
      <w:r>
        <w:rPr>
          <w:rFonts w:ascii="Century" w:hAnsi="Century" w:cs="FrankRuehl" w:hint="cs"/>
          <w:spacing w:val="10"/>
          <w:sz w:val="22"/>
          <w:szCs w:val="28"/>
          <w:rtl/>
        </w:rPr>
        <w:t>ה</w:t>
      </w:r>
      <w:r w:rsidRPr="00E206AF">
        <w:rPr>
          <w:rFonts w:ascii="Century" w:hAnsi="Century" w:cs="FrankRuehl" w:hint="cs"/>
          <w:spacing w:val="10"/>
          <w:sz w:val="22"/>
          <w:szCs w:val="28"/>
          <w:rtl/>
        </w:rPr>
        <w:t>"כ משה סעדה</w:t>
      </w:r>
      <w:r>
        <w:rPr>
          <w:rFonts w:ascii="Century" w:hAnsi="Century" w:cs="FrankRuehl" w:hint="cs"/>
          <w:spacing w:val="10"/>
          <w:sz w:val="22"/>
          <w:szCs w:val="28"/>
          <w:rtl/>
        </w:rPr>
        <w:t xml:space="preserve"> ב</w:t>
      </w:r>
      <w:r w:rsidRPr="00E206AF">
        <w:rPr>
          <w:rFonts w:ascii="Century" w:hAnsi="Century" w:cs="FrankRuehl" w:hint="cs"/>
          <w:spacing w:val="10"/>
          <w:sz w:val="22"/>
          <w:szCs w:val="28"/>
          <w:rtl/>
        </w:rPr>
        <w:t>פרוטוקול הדיון של הוועדה מיום 4.7.2023, אשר מציין את עמד</w:t>
      </w:r>
      <w:r>
        <w:rPr>
          <w:rFonts w:ascii="Century" w:hAnsi="Century" w:cs="FrankRuehl" w:hint="cs"/>
          <w:spacing w:val="10"/>
          <w:sz w:val="22"/>
          <w:szCs w:val="28"/>
          <w:rtl/>
        </w:rPr>
        <w:t>ו</w:t>
      </w:r>
      <w:r w:rsidRPr="00E206AF">
        <w:rPr>
          <w:rFonts w:ascii="Century" w:hAnsi="Century" w:cs="FrankRuehl" w:hint="cs"/>
          <w:spacing w:val="10"/>
          <w:sz w:val="22"/>
          <w:szCs w:val="28"/>
          <w:rtl/>
        </w:rPr>
        <w:t>ת</w:t>
      </w:r>
      <w:r>
        <w:rPr>
          <w:rFonts w:ascii="Century" w:hAnsi="Century" w:cs="FrankRuehl" w:hint="cs"/>
          <w:spacing w:val="10"/>
          <w:sz w:val="22"/>
          <w:szCs w:val="28"/>
          <w:rtl/>
        </w:rPr>
        <w:t>יהם של</w:t>
      </w:r>
      <w:r w:rsidRPr="00E206AF">
        <w:rPr>
          <w:rFonts w:ascii="Century" w:hAnsi="Century" w:cs="FrankRuehl" w:hint="cs"/>
          <w:spacing w:val="10"/>
          <w:sz w:val="22"/>
          <w:szCs w:val="28"/>
          <w:rtl/>
        </w:rPr>
        <w:t xml:space="preserve"> הנשיא </w:t>
      </w:r>
      <w:r w:rsidRPr="00E206AF">
        <w:rPr>
          <w:rFonts w:ascii="Century" w:hAnsi="Century" w:cs="Miriam" w:hint="cs"/>
          <w:b/>
          <w:sz w:val="22"/>
          <w:rtl/>
        </w:rPr>
        <w:t>לנדוי</w:t>
      </w:r>
      <w:r w:rsidRPr="00E206AF">
        <w:rPr>
          <w:rFonts w:ascii="Century" w:hAnsi="Century" w:cs="FrankRuehl" w:hint="cs"/>
          <w:spacing w:val="10"/>
          <w:sz w:val="22"/>
          <w:szCs w:val="28"/>
          <w:rtl/>
        </w:rPr>
        <w:t xml:space="preserve"> והשופט </w:t>
      </w:r>
      <w:r w:rsidRPr="00E206AF">
        <w:rPr>
          <w:rFonts w:ascii="Century" w:hAnsi="Century" w:cs="Miriam" w:hint="cs"/>
          <w:b/>
          <w:sz w:val="22"/>
          <w:rtl/>
        </w:rPr>
        <w:t>סולברג</w:t>
      </w:r>
      <w:r w:rsidRPr="00E206AF">
        <w:rPr>
          <w:rFonts w:ascii="Century" w:hAnsi="Century" w:cs="FrankRuehl" w:hint="cs"/>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lastRenderedPageBreak/>
        <w:t>5</w:t>
      </w:r>
      <w:r>
        <w:rPr>
          <w:rFonts w:ascii="Century" w:hAnsi="Century" w:cs="FrankRuehl" w:hint="cs"/>
          <w:spacing w:val="10"/>
          <w:sz w:val="22"/>
          <w:szCs w:val="28"/>
          <w:rtl/>
        </w:rPr>
        <w:t>9</w:t>
      </w:r>
      <w:r w:rsidRPr="00E206AF">
        <w:rPr>
          <w:rFonts w:ascii="Century" w:hAnsi="Century" w:cs="FrankRuehl" w:hint="cs"/>
          <w:spacing w:val="10"/>
          <w:sz w:val="22"/>
          <w:szCs w:val="28"/>
          <w:rtl/>
        </w:rPr>
        <w:t>.</w:t>
      </w:r>
      <w:r w:rsidRPr="00E206AF">
        <w:rPr>
          <w:rFonts w:ascii="Century" w:hAnsi="Century" w:cs="FrankRuehl" w:hint="cs"/>
          <w:spacing w:val="10"/>
          <w:sz w:val="22"/>
          <w:szCs w:val="28"/>
          <w:rtl/>
        </w:rPr>
        <w:tab/>
        <w:t xml:space="preserve">מנגד, אין כמובן להתעלם מאמירות אחרות של חברי כנסת שונים, כמפורט בפסק דינה של חברתי הנשיאה (בדימ') </w:t>
      </w:r>
      <w:r w:rsidRPr="00E206AF">
        <w:rPr>
          <w:rFonts w:ascii="Century" w:hAnsi="Century" w:cs="Miriam" w:hint="cs"/>
          <w:b/>
          <w:sz w:val="22"/>
          <w:rtl/>
        </w:rPr>
        <w:t>חיות</w:t>
      </w:r>
      <w:r w:rsidRPr="00E206AF">
        <w:rPr>
          <w:rFonts w:ascii="Century" w:hAnsi="Century" w:cs="FrankRuehl" w:hint="cs"/>
          <w:spacing w:val="10"/>
          <w:sz w:val="22"/>
          <w:szCs w:val="28"/>
          <w:rtl/>
        </w:rPr>
        <w:t>, ומכך שבמסגרת הדיונים בוועדה הדגיש היועץ המשפטי לוועדה בפני חברי הכנסת כי "</w:t>
      </w:r>
      <w:r w:rsidRPr="00E206AF">
        <w:rPr>
          <w:rFonts w:ascii="Century" w:hAnsi="Century" w:cs="FrankRuehl" w:hint="eastAsia"/>
          <w:spacing w:val="10"/>
          <w:sz w:val="22"/>
          <w:szCs w:val="28"/>
          <w:rtl/>
        </w:rPr>
        <w:t>המתווה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שבהצעת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החוק</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שלפנינו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הוא</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גורף</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הרבה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יותר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מכל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המתווים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אלה</w:t>
      </w:r>
      <w:r w:rsidRPr="00E206AF">
        <w:rPr>
          <w:rFonts w:ascii="Century" w:hAnsi="Century" w:cs="FrankRuehl"/>
          <w:spacing w:val="10"/>
          <w:sz w:val="22"/>
          <w:szCs w:val="28"/>
          <w:rtl/>
        </w:rPr>
        <w:t xml:space="preserve"> [...] </w:t>
      </w:r>
      <w:r w:rsidRPr="00E206AF">
        <w:rPr>
          <w:rFonts w:ascii="Arial TUR" w:hAnsi="Arial TUR" w:cs="FrankRuehl" w:hint="cs"/>
          <w:spacing w:val="10"/>
          <w:sz w:val="22"/>
          <w:szCs w:val="28"/>
          <w:rtl/>
          <w:lang w:eastAsia="he-IL"/>
        </w:rPr>
        <w:t xml:space="preserve">הוא לא מותיר ביחס לנבחרי ציבור עילה של חוסר סבירות קיצונית במובן </w:t>
      </w:r>
      <w:bookmarkStart w:id="32" w:name="_ETM_Q1_1273419"/>
      <w:bookmarkEnd w:id="32"/>
      <w:r w:rsidRPr="00E206AF">
        <w:rPr>
          <w:rFonts w:ascii="Arial TUR" w:hAnsi="Arial TUR" w:cs="FrankRuehl" w:hint="cs"/>
          <w:spacing w:val="10"/>
          <w:sz w:val="22"/>
          <w:szCs w:val="28"/>
          <w:rtl/>
          <w:lang w:eastAsia="he-IL"/>
        </w:rPr>
        <w:t xml:space="preserve">של מופרכוּת" </w:t>
      </w:r>
      <w:r w:rsidRPr="00E206AF">
        <w:rPr>
          <w:rFonts w:ascii="Century" w:hAnsi="Century" w:cs="FrankRuehl" w:hint="cs"/>
          <w:spacing w:val="10"/>
          <w:sz w:val="22"/>
          <w:szCs w:val="28"/>
          <w:rtl/>
        </w:rPr>
        <w:t>(פרוטוקול הוועדה מ</w:t>
      </w:r>
      <w:r w:rsidRPr="00E206AF">
        <w:rPr>
          <w:rFonts w:ascii="Century" w:hAnsi="Century" w:cs="FrankRuehl" w:hint="eastAsia"/>
          <w:spacing w:val="10"/>
          <w:sz w:val="22"/>
          <w:szCs w:val="28"/>
          <w:rtl/>
        </w:rPr>
        <w:t>יום</w:t>
      </w:r>
      <w:r w:rsidRPr="00E206AF">
        <w:rPr>
          <w:rFonts w:ascii="Century" w:hAnsi="Century" w:cs="FrankRuehl"/>
          <w:spacing w:val="10"/>
          <w:sz w:val="22"/>
          <w:szCs w:val="28"/>
          <w:rtl/>
        </w:rPr>
        <w:t xml:space="preserve"> 12.7.2023, </w:t>
      </w:r>
      <w:r w:rsidRPr="00E206AF">
        <w:rPr>
          <w:rFonts w:ascii="Century" w:hAnsi="Century" w:cs="FrankRuehl" w:hint="eastAsia"/>
          <w:spacing w:val="10"/>
          <w:sz w:val="22"/>
          <w:szCs w:val="28"/>
          <w:rtl/>
        </w:rPr>
        <w:t>עמ</w:t>
      </w:r>
      <w:r w:rsidRPr="00E206AF">
        <w:rPr>
          <w:rFonts w:ascii="Century" w:hAnsi="Century" w:cs="FrankRuehl"/>
          <w:spacing w:val="10"/>
          <w:sz w:val="22"/>
          <w:szCs w:val="28"/>
          <w:rtl/>
        </w:rPr>
        <w:t>' 11</w:t>
      </w:r>
      <w:r w:rsidRPr="00E206AF">
        <w:rPr>
          <w:rFonts w:ascii="Century" w:hAnsi="Century" w:cs="FrankRuehl" w:hint="cs"/>
          <w:spacing w:val="10"/>
          <w:sz w:val="22"/>
          <w:szCs w:val="28"/>
          <w:rtl/>
        </w:rPr>
        <w:t>).</w:t>
      </w:r>
      <w:r w:rsidRPr="00E206AF">
        <w:rPr>
          <w:rFonts w:ascii="Arial TUR" w:hAnsi="Arial TUR" w:cs="FrankRuehl"/>
          <w:spacing w:val="10"/>
          <w:sz w:val="22"/>
          <w:szCs w:val="28"/>
          <w:rtl/>
          <w:lang w:eastAsia="he-IL"/>
        </w:rPr>
        <w:t xml:space="preserve"> </w:t>
      </w:r>
      <w:r w:rsidRPr="00E206AF">
        <w:rPr>
          <w:rFonts w:ascii="Century" w:hAnsi="Century" w:cs="FrankRuehl" w:hint="eastAsia"/>
          <w:spacing w:val="10"/>
          <w:sz w:val="22"/>
          <w:szCs w:val="28"/>
          <w:rtl/>
        </w:rPr>
        <w:t>ובתוך</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כך</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אף</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נדחתה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הצעה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שלפיה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התיקון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לא</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ימנע</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התערבות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בהחלטות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שהן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בלתי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סבירות</w:t>
      </w:r>
      <w:r w:rsidRPr="00E206AF">
        <w:rPr>
          <w:rFonts w:ascii="Century" w:hAnsi="Century" w:cs="FrankRuehl"/>
          <w:spacing w:val="10"/>
          <w:sz w:val="22"/>
          <w:szCs w:val="28"/>
          <w:rtl/>
        </w:rPr>
        <w:t xml:space="preserve"> </w:t>
      </w:r>
      <w:r w:rsidRPr="00E206AF">
        <w:rPr>
          <w:rFonts w:ascii="Century" w:hAnsi="Century" w:cs="Miriam" w:hint="eastAsia"/>
          <w:b/>
          <w:sz w:val="22"/>
          <w:rtl/>
        </w:rPr>
        <w:t>באופן</w:t>
      </w:r>
      <w:r w:rsidRPr="00E206AF">
        <w:rPr>
          <w:rFonts w:ascii="Century" w:hAnsi="Century" w:cs="Miriam"/>
          <w:b/>
          <w:sz w:val="22"/>
          <w:rtl/>
        </w:rPr>
        <w:t xml:space="preserve"> </w:t>
      </w:r>
      <w:r w:rsidRPr="00E206AF">
        <w:rPr>
          <w:rFonts w:ascii="Century" w:hAnsi="Century" w:cs="Miriam" w:hint="eastAsia"/>
          <w:b/>
          <w:sz w:val="22"/>
          <w:rtl/>
        </w:rPr>
        <w:t>קיצוני</w:t>
      </w:r>
      <w:r w:rsidRPr="00E206AF">
        <w:rPr>
          <w:rFonts w:ascii="Century" w:hAnsi="Century" w:cs="FrankRuehl" w:hint="cs"/>
          <w:spacing w:val="10"/>
          <w:sz w:val="22"/>
          <w:szCs w:val="28"/>
          <w:rtl/>
        </w:rPr>
        <w:t>" (יצוין, כי</w:t>
      </w:r>
      <w:r>
        <w:rPr>
          <w:rFonts w:ascii="Century" w:hAnsi="Century" w:cs="FrankRuehl" w:hint="cs"/>
          <w:spacing w:val="10"/>
          <w:sz w:val="22"/>
          <w:szCs w:val="28"/>
          <w:rtl/>
        </w:rPr>
        <w:t xml:space="preserve"> </w:t>
      </w:r>
      <w:r w:rsidRPr="00E206AF">
        <w:rPr>
          <w:rFonts w:ascii="Century" w:hAnsi="Century" w:cs="FrankRuehl" w:hint="cs"/>
          <w:spacing w:val="10"/>
          <w:sz w:val="22"/>
          <w:szCs w:val="28"/>
          <w:rtl/>
        </w:rPr>
        <w:t xml:space="preserve">ניתן לפרש דברים </w:t>
      </w:r>
      <w:r>
        <w:rPr>
          <w:rFonts w:ascii="Century" w:hAnsi="Century" w:cs="FrankRuehl" w:hint="cs"/>
          <w:spacing w:val="10"/>
          <w:sz w:val="22"/>
          <w:szCs w:val="28"/>
          <w:rtl/>
        </w:rPr>
        <w:t>אלו</w:t>
      </w:r>
      <w:r w:rsidRPr="00E206AF">
        <w:rPr>
          <w:rFonts w:ascii="Century" w:hAnsi="Century" w:cs="FrankRuehl" w:hint="cs"/>
          <w:spacing w:val="10"/>
          <w:sz w:val="22"/>
          <w:szCs w:val="28"/>
          <w:rtl/>
        </w:rPr>
        <w:t xml:space="preserve"> כמתייחסים לעילת הסבירות טרם הרחבתה בעניין </w:t>
      </w:r>
      <w:r w:rsidRPr="00E206AF">
        <w:rPr>
          <w:rFonts w:ascii="Century" w:hAnsi="Century" w:cs="Miriam" w:hint="cs"/>
          <w:b/>
          <w:sz w:val="22"/>
          <w:rtl/>
        </w:rPr>
        <w:t>דפי זהב</w:t>
      </w: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Pr>
          <w:rFonts w:ascii="Century" w:hAnsi="Century" w:cs="FrankRuehl" w:hint="cs"/>
          <w:spacing w:val="10"/>
          <w:sz w:val="22"/>
          <w:szCs w:val="28"/>
          <w:rtl/>
        </w:rPr>
        <w:t>60</w:t>
      </w:r>
      <w:r w:rsidRPr="00E206AF">
        <w:rPr>
          <w:rFonts w:ascii="Century" w:hAnsi="Century" w:cs="FrankRuehl" w:hint="cs"/>
          <w:spacing w:val="10"/>
          <w:sz w:val="22"/>
          <w:szCs w:val="28"/>
          <w:rtl/>
        </w:rPr>
        <w:t>.</w:t>
      </w:r>
      <w:r w:rsidRPr="00E206AF">
        <w:rPr>
          <w:rFonts w:ascii="Century" w:hAnsi="Century" w:cs="FrankRuehl" w:hint="cs"/>
          <w:spacing w:val="10"/>
          <w:sz w:val="22"/>
          <w:szCs w:val="28"/>
          <w:rtl/>
        </w:rPr>
        <w:tab/>
        <w:t xml:space="preserve">בין כך ובין כך, כבר עמדנו לעיל על המשקל היחסי שיש </w:t>
      </w:r>
      <w:r>
        <w:rPr>
          <w:rFonts w:ascii="Century" w:hAnsi="Century" w:cs="FrankRuehl" w:hint="cs"/>
          <w:spacing w:val="10"/>
          <w:sz w:val="22"/>
          <w:szCs w:val="28"/>
          <w:rtl/>
        </w:rPr>
        <w:t>ליתן</w:t>
      </w:r>
      <w:r w:rsidRPr="00E206AF">
        <w:rPr>
          <w:rFonts w:ascii="Century" w:hAnsi="Century" w:cs="FrankRuehl" w:hint="cs"/>
          <w:spacing w:val="10"/>
          <w:sz w:val="22"/>
          <w:szCs w:val="28"/>
          <w:rtl/>
        </w:rPr>
        <w:t xml:space="preserve"> לעמדותיהם </w:t>
      </w:r>
      <w:r>
        <w:rPr>
          <w:rFonts w:ascii="Century" w:hAnsi="Century" w:cs="FrankRuehl" w:hint="cs"/>
          <w:spacing w:val="10"/>
          <w:sz w:val="22"/>
          <w:szCs w:val="28"/>
          <w:rtl/>
        </w:rPr>
        <w:t>הפרטניות</w:t>
      </w:r>
      <w:r w:rsidRPr="00E206AF">
        <w:rPr>
          <w:rFonts w:ascii="Century" w:hAnsi="Century" w:cs="FrankRuehl" w:hint="cs"/>
          <w:spacing w:val="10"/>
          <w:sz w:val="22"/>
          <w:szCs w:val="28"/>
          <w:rtl/>
        </w:rPr>
        <w:t xml:space="preserve"> של חברי הכנסת</w:t>
      </w:r>
      <w:r>
        <w:rPr>
          <w:rFonts w:ascii="Century" w:hAnsi="Century" w:cs="FrankRuehl" w:hint="cs"/>
          <w:spacing w:val="10"/>
          <w:sz w:val="22"/>
          <w:szCs w:val="28"/>
          <w:rtl/>
        </w:rPr>
        <w:t xml:space="preserve"> השונים</w:t>
      </w:r>
      <w:r w:rsidRPr="00E206AF">
        <w:rPr>
          <w:rFonts w:ascii="Century" w:hAnsi="Century" w:cs="FrankRuehl" w:hint="cs"/>
          <w:spacing w:val="10"/>
          <w:sz w:val="22"/>
          <w:szCs w:val="28"/>
          <w:rtl/>
        </w:rPr>
        <w:t xml:space="preserve"> במהלך הדיונים לקראת החקיקה, תהיינה אשר תהיינה, וכפי שכבר נפסק, אין עמדה כאמור "מחייבת את בית המשפט",</w:t>
      </w:r>
      <w:r>
        <w:rPr>
          <w:rFonts w:ascii="Century" w:hAnsi="Century" w:cs="FrankRuehl" w:hint="cs"/>
          <w:spacing w:val="10"/>
          <w:sz w:val="22"/>
          <w:szCs w:val="28"/>
          <w:rtl/>
        </w:rPr>
        <w:t xml:space="preserve"> </w:t>
      </w:r>
      <w:r w:rsidRPr="00E206AF">
        <w:rPr>
          <w:rFonts w:ascii="Century" w:hAnsi="Century" w:cs="FrankRuehl" w:hint="cs"/>
          <w:spacing w:val="10"/>
          <w:sz w:val="22"/>
          <w:szCs w:val="28"/>
          <w:rtl/>
        </w:rPr>
        <w:t xml:space="preserve">בייחוד במצב דברים שבו העמדות מושכות לכיוונים שונים (עניין </w:t>
      </w:r>
      <w:r w:rsidRPr="00E206AF">
        <w:rPr>
          <w:rFonts w:ascii="Century" w:hAnsi="Century" w:cs="Miriam" w:hint="cs"/>
          <w:b/>
          <w:sz w:val="22"/>
          <w:rtl/>
        </w:rPr>
        <w:t>אבנרי</w:t>
      </w:r>
      <w:r w:rsidRPr="003F2E16">
        <w:rPr>
          <w:rFonts w:ascii="Century" w:hAnsi="Century" w:cs="FrankRuehl" w:hint="cs"/>
          <w:spacing w:val="10"/>
          <w:sz w:val="22"/>
          <w:szCs w:val="28"/>
          <w:rtl/>
        </w:rPr>
        <w:t xml:space="preserve">, </w:t>
      </w:r>
      <w:r w:rsidRPr="00E206AF">
        <w:rPr>
          <w:rFonts w:ascii="Century" w:hAnsi="Century" w:cs="FrankRuehl" w:hint="cs"/>
          <w:spacing w:val="10"/>
          <w:sz w:val="22"/>
          <w:szCs w:val="28"/>
          <w:rtl/>
        </w:rPr>
        <w:t>ב</w:t>
      </w:r>
      <w:r w:rsidRPr="00E206AF">
        <w:rPr>
          <w:rFonts w:ascii="Century" w:hAnsi="Century" w:cs="FrankRuehl" w:hint="eastAsia"/>
          <w:spacing w:val="10"/>
          <w:sz w:val="22"/>
          <w:szCs w:val="28"/>
          <w:rtl/>
        </w:rPr>
        <w:t>פס</w:t>
      </w:r>
      <w:r w:rsidRPr="00E206AF">
        <w:rPr>
          <w:rFonts w:ascii="Century" w:hAnsi="Century" w:cs="FrankRuehl"/>
          <w:spacing w:val="10"/>
          <w:sz w:val="22"/>
          <w:szCs w:val="28"/>
          <w:rtl/>
        </w:rPr>
        <w:t xml:space="preserve">' 47 </w:t>
      </w:r>
      <w:r w:rsidRPr="00E206AF">
        <w:rPr>
          <w:rFonts w:ascii="Century" w:hAnsi="Century" w:cs="FrankRuehl" w:hint="cs"/>
          <w:spacing w:val="10"/>
          <w:sz w:val="22"/>
          <w:szCs w:val="28"/>
          <w:rtl/>
        </w:rPr>
        <w:t>לפסק דינו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השופט</w:t>
      </w:r>
      <w:r w:rsidRPr="00E206AF">
        <w:rPr>
          <w:rFonts w:ascii="Century" w:hAnsi="Century" w:cs="Miriam"/>
          <w:b/>
          <w:sz w:val="22"/>
          <w:rtl/>
        </w:rPr>
        <w:t xml:space="preserve"> </w:t>
      </w:r>
      <w:r w:rsidRPr="00E206AF">
        <w:rPr>
          <w:rFonts w:ascii="Century" w:hAnsi="Century" w:cs="Miriam" w:hint="cs"/>
          <w:b/>
          <w:sz w:val="22"/>
          <w:rtl/>
        </w:rPr>
        <w:t>דנציגר</w:t>
      </w:r>
      <w:r w:rsidRPr="00E206AF">
        <w:rPr>
          <w:rFonts w:ascii="Century" w:hAnsi="Century" w:cs="FrankRuehl" w:hint="cs"/>
          <w:spacing w:val="10"/>
          <w:sz w:val="22"/>
          <w:szCs w:val="28"/>
          <w:rtl/>
        </w:rPr>
        <w:t xml:space="preserve">). הדברים האמורים נכונים ביתר שאת ביחס לקולות שנשמעו בפני ועדות הכנסת מפי גורמים חיצוניים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כמו אנשי אקדמיה, יועצים משפטיים ועוד, כבענייננו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אשר "אינם משקפים בהכרח את עמדת המחוקק" (עניין </w:t>
      </w:r>
      <w:r w:rsidRPr="00E206AF">
        <w:rPr>
          <w:rFonts w:ascii="Century" w:hAnsi="Century" w:cs="Miriam" w:hint="cs"/>
          <w:b/>
          <w:sz w:val="22"/>
          <w:rtl/>
        </w:rPr>
        <w:t>מי-טל</w:t>
      </w:r>
      <w:r w:rsidRPr="00E206AF">
        <w:rPr>
          <w:rFonts w:ascii="Century" w:hAnsi="Century" w:cs="FrankRuehl" w:hint="cs"/>
          <w:spacing w:val="10"/>
          <w:sz w:val="22"/>
          <w:szCs w:val="28"/>
          <w:rtl/>
        </w:rPr>
        <w:t xml:space="preserve">, פס' 40 לפסק דינו של השופט </w:t>
      </w:r>
      <w:r w:rsidRPr="00E206AF">
        <w:rPr>
          <w:rFonts w:ascii="Century" w:hAnsi="Century" w:cs="Miriam" w:hint="cs"/>
          <w:b/>
          <w:sz w:val="22"/>
          <w:rtl/>
        </w:rPr>
        <w:t>מזוז</w:t>
      </w:r>
      <w:r w:rsidRPr="00E206AF">
        <w:rPr>
          <w:rFonts w:ascii="Century" w:hAnsi="Century" w:cs="FrankRuehl" w:hint="cs"/>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6</w:t>
      </w:r>
      <w:r>
        <w:rPr>
          <w:rFonts w:ascii="Century" w:hAnsi="Century" w:cs="FrankRuehl" w:hint="cs"/>
          <w:spacing w:val="10"/>
          <w:sz w:val="22"/>
          <w:szCs w:val="28"/>
          <w:rtl/>
        </w:rPr>
        <w:t>1</w:t>
      </w:r>
      <w:r w:rsidRPr="00E206AF">
        <w:rPr>
          <w:rFonts w:ascii="Century" w:hAnsi="Century" w:cs="FrankRuehl" w:hint="cs"/>
          <w:spacing w:val="10"/>
          <w:sz w:val="22"/>
          <w:szCs w:val="28"/>
          <w:rtl/>
        </w:rPr>
        <w:t>.</w:t>
      </w:r>
      <w:r w:rsidRPr="00E206AF">
        <w:rPr>
          <w:rFonts w:ascii="Century" w:hAnsi="Century" w:cs="FrankRuehl" w:hint="cs"/>
          <w:spacing w:val="10"/>
          <w:sz w:val="22"/>
          <w:szCs w:val="28"/>
          <w:rtl/>
        </w:rPr>
        <w:tab/>
        <w:t xml:space="preserve">חשוב לשוב ולציין כי אל מול </w:t>
      </w:r>
      <w:r>
        <w:rPr>
          <w:rFonts w:ascii="Century" w:hAnsi="Century" w:cs="FrankRuehl" w:hint="cs"/>
          <w:spacing w:val="10"/>
          <w:sz w:val="22"/>
          <w:szCs w:val="28"/>
          <w:rtl/>
        </w:rPr>
        <w:t>אי-הבהירות</w:t>
      </w:r>
      <w:r w:rsidRPr="00E206AF">
        <w:rPr>
          <w:rFonts w:ascii="Century" w:hAnsi="Century" w:cs="FrankRuehl" w:hint="cs"/>
          <w:spacing w:val="10"/>
          <w:sz w:val="22"/>
          <w:szCs w:val="28"/>
          <w:rtl/>
        </w:rPr>
        <w:t xml:space="preserve"> שעולה מהאמור בפרוטוקולים;</w:t>
      </w:r>
      <w:r>
        <w:rPr>
          <w:rFonts w:ascii="Century" w:hAnsi="Century" w:cs="FrankRuehl" w:hint="cs"/>
          <w:spacing w:val="10"/>
          <w:sz w:val="22"/>
          <w:szCs w:val="28"/>
          <w:rtl/>
        </w:rPr>
        <w:t xml:space="preserve"> </w:t>
      </w:r>
      <w:r w:rsidRPr="00E206AF">
        <w:rPr>
          <w:rFonts w:ascii="Century" w:hAnsi="Century" w:cs="FrankRuehl" w:hint="cs"/>
          <w:spacing w:val="10"/>
          <w:sz w:val="22"/>
          <w:szCs w:val="28"/>
          <w:rtl/>
        </w:rPr>
        <w:t xml:space="preserve">ניצבים איתנים דברי ההסבר הברורים, המשקפים, כאמור, באופן המהימן ביותר את הכוונה הסובייקטיבית של </w:t>
      </w:r>
      <w:r w:rsidRPr="008F478C">
        <w:rPr>
          <w:rFonts w:ascii="Century" w:hAnsi="Century" w:cs="FrankRuehl" w:hint="cs"/>
          <w:spacing w:val="10"/>
          <w:sz w:val="22"/>
          <w:szCs w:val="28"/>
          <w:rtl/>
        </w:rPr>
        <w:t xml:space="preserve">הגוף המכונן, עת הוא נדרש להצביע על התיקון (ראו בעניין זה: עניין </w:t>
      </w:r>
      <w:r w:rsidRPr="008F478C">
        <w:rPr>
          <w:rFonts w:ascii="Century" w:hAnsi="Century" w:cs="Miriam" w:hint="cs"/>
          <w:b/>
          <w:sz w:val="22"/>
          <w:rtl/>
        </w:rPr>
        <w:t>אבנרי</w:t>
      </w:r>
      <w:r w:rsidRPr="008F478C">
        <w:rPr>
          <w:rFonts w:ascii="Century" w:hAnsi="Century" w:cs="FrankRuehl" w:hint="cs"/>
          <w:spacing w:val="10"/>
          <w:sz w:val="22"/>
          <w:szCs w:val="28"/>
          <w:rtl/>
        </w:rPr>
        <w:t>,</w:t>
      </w:r>
      <w:r w:rsidRPr="008F478C">
        <w:rPr>
          <w:rFonts w:ascii="Century" w:hAnsi="Century" w:cs="Miriam" w:hint="cs"/>
          <w:b/>
          <w:sz w:val="22"/>
          <w:rtl/>
        </w:rPr>
        <w:t xml:space="preserve"> </w:t>
      </w:r>
      <w:r w:rsidRPr="008F478C">
        <w:rPr>
          <w:rFonts w:ascii="Century" w:hAnsi="Century" w:cs="FrankRuehl" w:hint="cs"/>
          <w:spacing w:val="10"/>
          <w:sz w:val="22"/>
          <w:szCs w:val="28"/>
          <w:rtl/>
        </w:rPr>
        <w:t>פס' 47 לפסק דינו של השופט</w:t>
      </w:r>
      <w:r w:rsidRPr="008F478C">
        <w:rPr>
          <w:rFonts w:ascii="Century" w:hAnsi="Century" w:cs="Miriam" w:hint="cs"/>
          <w:b/>
          <w:sz w:val="22"/>
          <w:rtl/>
        </w:rPr>
        <w:t xml:space="preserve"> דנציגר</w:t>
      </w:r>
      <w:r w:rsidRPr="008F478C">
        <w:rPr>
          <w:rFonts w:ascii="Century" w:hAnsi="Century" w:cs="FrankRuehl" w:hint="cs"/>
          <w:spacing w:val="10"/>
          <w:sz w:val="22"/>
          <w:szCs w:val="28"/>
          <w:rtl/>
        </w:rPr>
        <w:t xml:space="preserve">; </w:t>
      </w:r>
      <w:r w:rsidRPr="008F478C">
        <w:rPr>
          <w:rFonts w:ascii="Century" w:hAnsi="Century" w:cs="Miriam" w:hint="cs"/>
          <w:b/>
          <w:sz w:val="22"/>
          <w:rtl/>
        </w:rPr>
        <w:t>ברק, פרשנות החקיקה</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בעמ</w:t>
      </w:r>
      <w:r w:rsidRPr="008F478C">
        <w:rPr>
          <w:rFonts w:ascii="Century" w:hAnsi="Century" w:cs="FrankRuehl"/>
          <w:spacing w:val="10"/>
          <w:sz w:val="22"/>
          <w:szCs w:val="28"/>
          <w:rtl/>
        </w:rPr>
        <w:t>' 372</w:t>
      </w:r>
      <w:r w:rsidRPr="008F478C">
        <w:rPr>
          <w:rFonts w:ascii="Century" w:hAnsi="Century" w:cs="FrankRuehl" w:hint="cs"/>
          <w:spacing w:val="10"/>
          <w:sz w:val="22"/>
          <w:szCs w:val="28"/>
          <w:rtl/>
        </w:rPr>
        <w:t xml:space="preserve">, 380, 384-383). </w:t>
      </w:r>
      <w:r w:rsidRPr="008F478C">
        <w:rPr>
          <w:rFonts w:ascii="Century" w:hAnsi="Century" w:cs="FrankRuehl" w:hint="eastAsia"/>
          <w:spacing w:val="10"/>
          <w:sz w:val="22"/>
          <w:szCs w:val="28"/>
          <w:rtl/>
        </w:rPr>
        <w:t>כאמור</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מדברי</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ההסבר</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נובע</w:t>
      </w:r>
      <w:r w:rsidRPr="008F478C">
        <w:rPr>
          <w:rFonts w:ascii="Century" w:hAnsi="Century" w:cs="FrankRuehl"/>
          <w:spacing w:val="10"/>
          <w:sz w:val="22"/>
          <w:szCs w:val="28"/>
          <w:rtl/>
        </w:rPr>
        <w:t xml:space="preserve"> </w:t>
      </w:r>
      <w:r w:rsidRPr="008F478C">
        <w:rPr>
          <w:rFonts w:ascii="Century" w:hAnsi="Century" w:cs="Miriam" w:hint="eastAsia"/>
          <w:b/>
          <w:sz w:val="22"/>
          <w:rtl/>
        </w:rPr>
        <w:t>במובהק</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כי</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כוונת</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המכונן</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במונח</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סבירות</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בתיקון</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היא</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ל</w:t>
      </w:r>
      <w:r w:rsidRPr="008F478C">
        <w:rPr>
          <w:rFonts w:ascii="Century" w:hAnsi="Century" w:cs="FrankRuehl"/>
          <w:spacing w:val="10"/>
          <w:sz w:val="22"/>
          <w:szCs w:val="28"/>
          <w:rtl/>
        </w:rPr>
        <w:t>"</w:t>
      </w:r>
      <w:r w:rsidRPr="008F478C">
        <w:rPr>
          <w:rFonts w:ascii="Century" w:hAnsi="Century" w:cs="FrankRuehl" w:hint="eastAsia"/>
          <w:spacing w:val="10"/>
          <w:sz w:val="22"/>
          <w:szCs w:val="28"/>
          <w:rtl/>
        </w:rPr>
        <w:t>סבירות</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איזונית</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וכמפורט</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לעיל</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כוונה</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זו</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של</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המכונן</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נלמדת</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בבירור</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אף</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מעמדת</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הממשלה</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שבתצהיר</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התשובה</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מטעמה</w:t>
      </w:r>
      <w:r w:rsidRPr="008F478C">
        <w:rPr>
          <w:rFonts w:ascii="Century" w:hAnsi="Century" w:cs="FrankRuehl"/>
          <w:spacing w:val="10"/>
          <w:sz w:val="22"/>
          <w:szCs w:val="28"/>
          <w:rtl/>
        </w:rPr>
        <w:t>.</w:t>
      </w: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Miriam"/>
          <w:b/>
          <w:sz w:val="22"/>
          <w:rtl/>
        </w:rPr>
      </w:pPr>
      <w:r w:rsidRPr="00E206AF">
        <w:rPr>
          <w:rFonts w:ascii="Century" w:hAnsi="Century" w:cs="Miriam" w:hint="cs"/>
          <w:b/>
          <w:sz w:val="22"/>
          <w:rtl/>
        </w:rPr>
        <w:t>ג. ה</w:t>
      </w:r>
      <w:r w:rsidRPr="00E206AF">
        <w:rPr>
          <w:rFonts w:ascii="Century" w:hAnsi="Century" w:cs="Miriam" w:hint="eastAsia"/>
          <w:b/>
          <w:sz w:val="22"/>
          <w:rtl/>
        </w:rPr>
        <w:t>תכלית</w:t>
      </w:r>
      <w:r w:rsidRPr="00E206AF">
        <w:rPr>
          <w:rFonts w:ascii="Century" w:hAnsi="Century" w:cs="Miriam"/>
          <w:b/>
          <w:sz w:val="22"/>
          <w:rtl/>
        </w:rPr>
        <w:t xml:space="preserve"> </w:t>
      </w:r>
      <w:r w:rsidRPr="00E206AF">
        <w:rPr>
          <w:rFonts w:ascii="Century" w:hAnsi="Century" w:cs="Miriam" w:hint="cs"/>
          <w:b/>
          <w:sz w:val="22"/>
          <w:rtl/>
        </w:rPr>
        <w:t>ה</w:t>
      </w:r>
      <w:r w:rsidRPr="00E206AF">
        <w:rPr>
          <w:rFonts w:ascii="Century" w:hAnsi="Century" w:cs="Miriam" w:hint="eastAsia"/>
          <w:b/>
          <w:sz w:val="22"/>
          <w:rtl/>
        </w:rPr>
        <w:t>אובייקטיבית</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6</w:t>
      </w:r>
      <w:r>
        <w:rPr>
          <w:rFonts w:ascii="Century" w:hAnsi="Century" w:cs="FrankRuehl" w:hint="cs"/>
          <w:spacing w:val="10"/>
          <w:sz w:val="22"/>
          <w:szCs w:val="28"/>
          <w:rtl/>
        </w:rPr>
        <w:t>2</w:t>
      </w:r>
      <w:r w:rsidRPr="00E206AF">
        <w:rPr>
          <w:rFonts w:ascii="Century" w:hAnsi="Century" w:cs="FrankRuehl" w:hint="cs"/>
          <w:spacing w:val="10"/>
          <w:sz w:val="22"/>
          <w:szCs w:val="28"/>
          <w:rtl/>
        </w:rPr>
        <w:t>.</w:t>
      </w: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התכלית האובייקטיבית של דבר חקיקה מתייחסת למטרות, הערכים והעקרונות שכל חוק נועד להגשים במדינה דמוקרטית (ראו, למשל, עניין </w:t>
      </w:r>
      <w:r w:rsidRPr="00E206AF">
        <w:rPr>
          <w:rFonts w:ascii="Century" w:hAnsi="Century" w:cs="Miriam" w:hint="cs"/>
          <w:b/>
          <w:sz w:val="22"/>
          <w:rtl/>
        </w:rPr>
        <w:t>אבו ערפה</w:t>
      </w:r>
      <w:r w:rsidRPr="00E206AF">
        <w:rPr>
          <w:rFonts w:ascii="Century" w:hAnsi="Century" w:cs="FrankRuehl" w:hint="cs"/>
          <w:spacing w:val="10"/>
          <w:sz w:val="22"/>
          <w:szCs w:val="28"/>
          <w:rtl/>
        </w:rPr>
        <w:t xml:space="preserve">, בפס' 30 לפסק דינו של השופט </w:t>
      </w:r>
      <w:r w:rsidRPr="00E206AF">
        <w:rPr>
          <w:rFonts w:ascii="Century" w:hAnsi="Century" w:cs="Miriam" w:hint="cs"/>
          <w:b/>
          <w:sz w:val="22"/>
          <w:rtl/>
        </w:rPr>
        <w:t>פוגלמן</w:t>
      </w:r>
      <w:r w:rsidRPr="00E206AF">
        <w:rPr>
          <w:rFonts w:ascii="Century" w:hAnsi="Century" w:cs="FrankRuehl" w:hint="cs"/>
          <w:spacing w:val="10"/>
          <w:sz w:val="22"/>
          <w:szCs w:val="28"/>
          <w:rtl/>
        </w:rPr>
        <w:t>). כבר נפסק, כי עיקרם של ערכים אלו נוגע ל"</w:t>
      </w:r>
      <w:r w:rsidRPr="00E206AF">
        <w:rPr>
          <w:rFonts w:ascii="FrankRuehl" w:hAnsi="FrankRuehl" w:cs="FrankRuehl"/>
          <w:color w:val="000000"/>
          <w:spacing w:val="10"/>
          <w:sz w:val="22"/>
          <w:szCs w:val="28"/>
          <w:rtl/>
        </w:rPr>
        <w:t>הכרה בריבונות העם המתבטאת בבחירות חופשיות ושוות; הכרה בגרעין של זכויות אדם, ובהן כבוד ושוויון, קיום הפרדת רשויות, שלטון החוק ורשות שופטת עצמאית</w:t>
      </w:r>
      <w:r w:rsidRPr="00E206AF">
        <w:rPr>
          <w:rFonts w:ascii="Century" w:hAnsi="Century" w:cs="FrankRuehl" w:hint="cs"/>
          <w:spacing w:val="10"/>
          <w:sz w:val="22"/>
          <w:szCs w:val="28"/>
          <w:rtl/>
        </w:rPr>
        <w:t xml:space="preserve">" (א"ב 11280/02 </w:t>
      </w:r>
      <w:r w:rsidRPr="00E206AF">
        <w:rPr>
          <w:rFonts w:ascii="Century" w:hAnsi="Century" w:cs="Miriam" w:hint="cs"/>
          <w:b/>
          <w:sz w:val="22"/>
          <w:rtl/>
        </w:rPr>
        <w:lastRenderedPageBreak/>
        <w:t>ועדת הבחירות המרכזית לכנסת השש-עשרה נ' טיבי</w:t>
      </w:r>
      <w:r w:rsidRPr="00E206AF">
        <w:rPr>
          <w:rFonts w:ascii="Century" w:hAnsi="Century" w:cs="FrankRuehl" w:hint="cs"/>
          <w:spacing w:val="10"/>
          <w:sz w:val="22"/>
          <w:szCs w:val="28"/>
          <w:rtl/>
        </w:rPr>
        <w:t xml:space="preserve">, פס' 14 (15.5.2003) (להלן: </w:t>
      </w:r>
      <w:r w:rsidRPr="00E206AF">
        <w:rPr>
          <w:rFonts w:ascii="Century" w:hAnsi="Century" w:cs="FrankRuehl" w:hint="eastAsia"/>
          <w:spacing w:val="10"/>
          <w:sz w:val="22"/>
          <w:szCs w:val="28"/>
          <w:rtl/>
        </w:rPr>
        <w:t>עניין</w:t>
      </w:r>
      <w:r w:rsidRPr="00E206AF">
        <w:rPr>
          <w:rFonts w:ascii="Century" w:hAnsi="Century" w:cs="FrankRuehl"/>
          <w:spacing w:val="10"/>
          <w:sz w:val="22"/>
          <w:szCs w:val="28"/>
          <w:rtl/>
        </w:rPr>
        <w:t xml:space="preserve"> </w:t>
      </w:r>
      <w:r w:rsidRPr="00E206AF">
        <w:rPr>
          <w:rFonts w:ascii="Century" w:hAnsi="Century" w:cs="Miriam" w:hint="eastAsia"/>
          <w:b/>
          <w:sz w:val="22"/>
          <w:rtl/>
        </w:rPr>
        <w:t>טיבי</w:t>
      </w:r>
      <w:r w:rsidRPr="00E206AF">
        <w:rPr>
          <w:rFonts w:ascii="Century" w:hAnsi="Century" w:cs="FrankRuehl" w:hint="cs"/>
          <w:spacing w:val="10"/>
          <w:sz w:val="22"/>
          <w:szCs w:val="28"/>
          <w:rtl/>
        </w:rPr>
        <w:t xml:space="preserve">); כן ראו: עניין </w:t>
      </w:r>
      <w:r w:rsidRPr="00E206AF">
        <w:rPr>
          <w:rFonts w:ascii="Century" w:hAnsi="Century" w:cs="Miriam" w:hint="cs"/>
          <w:b/>
          <w:sz w:val="22"/>
          <w:rtl/>
        </w:rPr>
        <w:t>חוק הלאום</w:t>
      </w:r>
      <w:r w:rsidRPr="00E206AF">
        <w:rPr>
          <w:rFonts w:ascii="Century" w:hAnsi="Century" w:cs="FrankRuehl" w:hint="cs"/>
          <w:spacing w:val="10"/>
          <w:sz w:val="22"/>
          <w:szCs w:val="28"/>
          <w:rtl/>
        </w:rPr>
        <w:t xml:space="preserve">, בפס' 29 לפסק דינה של הנשיאה </w:t>
      </w:r>
      <w:r w:rsidRPr="00E206AF">
        <w:rPr>
          <w:rFonts w:ascii="Century" w:hAnsi="Century" w:cs="Miriam" w:hint="cs"/>
          <w:b/>
          <w:sz w:val="22"/>
          <w:rtl/>
        </w:rPr>
        <w:t>חיות</w:t>
      </w: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Pr>
          <w:rFonts w:ascii="Century" w:hAnsi="Century" w:cs="FrankRuehl" w:hint="cs"/>
          <w:spacing w:val="10"/>
          <w:sz w:val="22"/>
          <w:szCs w:val="28"/>
          <w:rtl/>
        </w:rPr>
        <w:t>63</w:t>
      </w:r>
      <w:r w:rsidRPr="00E206AF">
        <w:rPr>
          <w:rFonts w:ascii="Century" w:hAnsi="Century" w:cs="FrankRuehl" w:hint="cs"/>
          <w:spacing w:val="10"/>
          <w:sz w:val="22"/>
          <w:szCs w:val="28"/>
          <w:rtl/>
        </w:rPr>
        <w:t>.</w:t>
      </w:r>
      <w:r w:rsidRPr="00E206AF">
        <w:rPr>
          <w:rFonts w:ascii="Century" w:hAnsi="Century" w:cs="FrankRuehl" w:hint="cs"/>
          <w:spacing w:val="10"/>
          <w:sz w:val="22"/>
          <w:szCs w:val="28"/>
          <w:rtl/>
        </w:rPr>
        <w:tab/>
        <w:t>התכליות האובייקטיביות העומדות ביסוד התיקון, עניינן קידום עקרונות הפרדת הרשויות ושלטון החוק, אשר בית משפט זה כבר עמד</w:t>
      </w:r>
      <w:r>
        <w:rPr>
          <w:rFonts w:ascii="Century" w:hAnsi="Century" w:cs="FrankRuehl" w:hint="cs"/>
          <w:spacing w:val="10"/>
          <w:sz w:val="22"/>
          <w:szCs w:val="28"/>
          <w:rtl/>
        </w:rPr>
        <w:t xml:space="preserve"> פעמים רבות</w:t>
      </w:r>
      <w:r w:rsidRPr="00E206AF">
        <w:rPr>
          <w:rFonts w:ascii="Century" w:hAnsi="Century" w:cs="FrankRuehl" w:hint="cs"/>
          <w:spacing w:val="10"/>
          <w:sz w:val="22"/>
          <w:szCs w:val="28"/>
          <w:rtl/>
        </w:rPr>
        <w:t xml:space="preserve"> על חשיבותן. כך, כבר נפסק כי "</w:t>
      </w:r>
      <w:r w:rsidRPr="00E206AF">
        <w:rPr>
          <w:rFonts w:ascii="Century" w:hAnsi="Century" w:cs="FrankRuehl" w:hint="eastAsia"/>
          <w:spacing w:val="10"/>
          <w:sz w:val="22"/>
          <w:szCs w:val="28"/>
          <w:rtl/>
        </w:rPr>
        <w:t>משטר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דמוקרטי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נאור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הוא</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משטר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הפרדת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רשויות</w:t>
      </w:r>
      <w:r w:rsidRPr="00E206AF">
        <w:rPr>
          <w:rFonts w:ascii="Century" w:hAnsi="Century" w:cs="FrankRuehl" w:hint="cs"/>
          <w:spacing w:val="10"/>
          <w:sz w:val="22"/>
          <w:szCs w:val="28"/>
          <w:rtl/>
        </w:rPr>
        <w:t>" המקיימות מערכת של איזונים ובלמים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73/85 </w:t>
      </w:r>
      <w:r w:rsidRPr="00E206AF">
        <w:rPr>
          <w:rFonts w:ascii="Century" w:hAnsi="Century" w:cs="Miriam" w:hint="eastAsia"/>
          <w:b/>
          <w:sz w:val="22"/>
          <w:rtl/>
        </w:rPr>
        <w:t>סיעת</w:t>
      </w:r>
      <w:r w:rsidRPr="00E206AF">
        <w:rPr>
          <w:rFonts w:ascii="Century" w:hAnsi="Century" w:cs="Miriam"/>
          <w:b/>
          <w:sz w:val="22"/>
          <w:rtl/>
        </w:rPr>
        <w:t xml:space="preserve"> "</w:t>
      </w:r>
      <w:r w:rsidRPr="00E206AF">
        <w:rPr>
          <w:rFonts w:ascii="Century" w:hAnsi="Century" w:cs="Miriam" w:hint="eastAsia"/>
          <w:b/>
          <w:sz w:val="22"/>
          <w:rtl/>
        </w:rPr>
        <w:t>כך</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יושב</w:t>
      </w:r>
      <w:r w:rsidRPr="00E206AF">
        <w:rPr>
          <w:rFonts w:ascii="Century" w:hAnsi="Century" w:cs="Miriam"/>
          <w:b/>
          <w:sz w:val="22"/>
          <w:rtl/>
        </w:rPr>
        <w:t>-</w:t>
      </w:r>
      <w:r w:rsidRPr="00E206AF">
        <w:rPr>
          <w:rFonts w:ascii="Century" w:hAnsi="Century" w:cs="Miriam" w:hint="eastAsia"/>
          <w:b/>
          <w:sz w:val="22"/>
          <w:rtl/>
        </w:rPr>
        <w:t>ראש</w:t>
      </w:r>
      <w:r w:rsidRPr="00E206AF">
        <w:rPr>
          <w:rFonts w:ascii="Century" w:hAnsi="Century" w:cs="Miriam"/>
          <w:b/>
          <w:sz w:val="22"/>
          <w:rtl/>
        </w:rPr>
        <w:t xml:space="preserve"> </w:t>
      </w:r>
      <w:r w:rsidRPr="00E206AF">
        <w:rPr>
          <w:rFonts w:ascii="Century" w:hAnsi="Century" w:cs="Miriam" w:hint="eastAsia"/>
          <w:b/>
          <w:sz w:val="22"/>
          <w:rtl/>
        </w:rPr>
        <w:t>הכנסת</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פ"ד </w:t>
      </w:r>
      <w:r w:rsidRPr="00E206AF">
        <w:rPr>
          <w:rFonts w:ascii="Century" w:hAnsi="Century" w:cs="FrankRuehl" w:hint="eastAsia"/>
          <w:spacing w:val="10"/>
          <w:sz w:val="22"/>
          <w:szCs w:val="28"/>
          <w:rtl/>
        </w:rPr>
        <w:t>לט</w:t>
      </w:r>
      <w:r w:rsidRPr="00E206AF">
        <w:rPr>
          <w:rFonts w:ascii="Century" w:hAnsi="Century" w:cs="FrankRuehl"/>
          <w:spacing w:val="10"/>
          <w:sz w:val="22"/>
          <w:szCs w:val="28"/>
          <w:rtl/>
        </w:rPr>
        <w:t>(3) 141</w:t>
      </w:r>
      <w:r w:rsidRPr="00E206AF">
        <w:rPr>
          <w:rFonts w:ascii="Century" w:hAnsi="Century" w:cs="FrankRuehl" w:hint="cs"/>
          <w:spacing w:val="10"/>
          <w:sz w:val="22"/>
          <w:szCs w:val="28"/>
          <w:rtl/>
        </w:rPr>
        <w:t xml:space="preserve">, פס' 19 </w:t>
      </w:r>
      <w:r w:rsidRPr="00E206AF">
        <w:rPr>
          <w:rFonts w:ascii="Century" w:hAnsi="Century" w:cs="FrankRuehl"/>
          <w:spacing w:val="10"/>
          <w:sz w:val="22"/>
          <w:szCs w:val="28"/>
          <w:rtl/>
        </w:rPr>
        <w:t>(1985)</w:t>
      </w:r>
      <w:r w:rsidRPr="00E206AF">
        <w:rPr>
          <w:rFonts w:ascii="Century" w:hAnsi="Century" w:cs="FrankRuehl" w:hint="cs"/>
          <w:spacing w:val="10"/>
          <w:sz w:val="22"/>
          <w:szCs w:val="28"/>
          <w:rtl/>
        </w:rPr>
        <w:t xml:space="preserve"> (להלן: עניין </w:t>
      </w:r>
      <w:r w:rsidRPr="00E206AF">
        <w:rPr>
          <w:rFonts w:ascii="Century" w:hAnsi="Century" w:cs="Miriam" w:hint="cs"/>
          <w:b/>
          <w:sz w:val="22"/>
          <w:rtl/>
        </w:rPr>
        <w:t>סיעת כך</w:t>
      </w:r>
      <w:r w:rsidRPr="00E206AF">
        <w:rPr>
          <w:rFonts w:ascii="Century" w:hAnsi="Century" w:cs="FrankRuehl" w:hint="cs"/>
          <w:spacing w:val="10"/>
          <w:sz w:val="22"/>
          <w:szCs w:val="28"/>
          <w:rtl/>
        </w:rPr>
        <w:t>)); וכך, עמד בית משפט זה על הצורך להעניק "משקל ראוי למעמדה הרם של הכנסת כבית המחוקקים של המדינה, 'שנבחר בבחירות דמוקרטיות ומשקף את רצונו החפשי של העם'"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4885/03 </w:t>
      </w:r>
      <w:r w:rsidRPr="00E206AF">
        <w:rPr>
          <w:rFonts w:ascii="Century" w:hAnsi="Century" w:cs="Miriam" w:hint="eastAsia"/>
          <w:b/>
          <w:sz w:val="22"/>
          <w:rtl/>
        </w:rPr>
        <w:t>ארגון</w:t>
      </w:r>
      <w:r w:rsidRPr="00E206AF">
        <w:rPr>
          <w:rFonts w:ascii="Century" w:hAnsi="Century" w:cs="Miriam"/>
          <w:b/>
          <w:sz w:val="22"/>
          <w:rtl/>
        </w:rPr>
        <w:t xml:space="preserve"> </w:t>
      </w:r>
      <w:r w:rsidRPr="00E206AF">
        <w:rPr>
          <w:rFonts w:ascii="Century" w:hAnsi="Century" w:cs="Miriam" w:hint="eastAsia"/>
          <w:b/>
          <w:sz w:val="22"/>
          <w:rtl/>
        </w:rPr>
        <w:t>מגדלי</w:t>
      </w:r>
      <w:r w:rsidRPr="00E206AF">
        <w:rPr>
          <w:rFonts w:ascii="Century" w:hAnsi="Century" w:cs="Miriam"/>
          <w:b/>
          <w:sz w:val="22"/>
          <w:rtl/>
        </w:rPr>
        <w:t xml:space="preserve"> </w:t>
      </w:r>
      <w:r w:rsidRPr="00E206AF">
        <w:rPr>
          <w:rFonts w:ascii="Century" w:hAnsi="Century" w:cs="Miriam" w:hint="eastAsia"/>
          <w:b/>
          <w:sz w:val="22"/>
          <w:rtl/>
        </w:rPr>
        <w:t>העופות</w:t>
      </w:r>
      <w:r w:rsidRPr="00E206AF">
        <w:rPr>
          <w:rFonts w:ascii="Century" w:hAnsi="Century" w:cs="Miriam"/>
          <w:b/>
          <w:sz w:val="22"/>
          <w:rtl/>
        </w:rPr>
        <w:t xml:space="preserve"> </w:t>
      </w:r>
      <w:r w:rsidRPr="00E206AF">
        <w:rPr>
          <w:rFonts w:ascii="Century" w:hAnsi="Century" w:cs="Miriam" w:hint="eastAsia"/>
          <w:b/>
          <w:sz w:val="22"/>
          <w:rtl/>
        </w:rPr>
        <w:t>בישראל</w:t>
      </w:r>
      <w:r w:rsidRPr="00E206AF">
        <w:rPr>
          <w:rFonts w:ascii="Century" w:hAnsi="Century" w:cs="Miriam"/>
          <w:b/>
          <w:sz w:val="22"/>
          <w:rtl/>
        </w:rPr>
        <w:t xml:space="preserve"> </w:t>
      </w:r>
      <w:r w:rsidRPr="00E206AF">
        <w:rPr>
          <w:rFonts w:ascii="Century" w:hAnsi="Century" w:cs="Miriam" w:hint="eastAsia"/>
          <w:b/>
          <w:sz w:val="22"/>
          <w:rtl/>
        </w:rPr>
        <w:t>אגודה</w:t>
      </w:r>
      <w:r w:rsidRPr="00E206AF">
        <w:rPr>
          <w:rFonts w:ascii="Century" w:hAnsi="Century" w:cs="Miriam"/>
          <w:b/>
          <w:sz w:val="22"/>
          <w:rtl/>
        </w:rPr>
        <w:t xml:space="preserve"> </w:t>
      </w:r>
      <w:r w:rsidRPr="00E206AF">
        <w:rPr>
          <w:rFonts w:ascii="Century" w:hAnsi="Century" w:cs="Miriam" w:hint="eastAsia"/>
          <w:b/>
          <w:sz w:val="22"/>
          <w:rtl/>
        </w:rPr>
        <w:t>חקלאית</w:t>
      </w:r>
      <w:r w:rsidRPr="00E206AF">
        <w:rPr>
          <w:rFonts w:ascii="Century" w:hAnsi="Century" w:cs="Miriam"/>
          <w:b/>
          <w:sz w:val="22"/>
          <w:rtl/>
        </w:rPr>
        <w:t xml:space="preserve"> </w:t>
      </w:r>
      <w:r w:rsidRPr="00E206AF">
        <w:rPr>
          <w:rFonts w:ascii="Century" w:hAnsi="Century" w:cs="Miriam" w:hint="eastAsia"/>
          <w:b/>
          <w:sz w:val="22"/>
          <w:rtl/>
        </w:rPr>
        <w:t>שיתופית</w:t>
      </w:r>
      <w:r w:rsidRPr="00E206AF">
        <w:rPr>
          <w:rFonts w:ascii="Century" w:hAnsi="Century" w:cs="Miriam"/>
          <w:b/>
          <w:sz w:val="22"/>
          <w:rtl/>
        </w:rPr>
        <w:t xml:space="preserve"> </w:t>
      </w:r>
      <w:r w:rsidRPr="00E206AF">
        <w:rPr>
          <w:rFonts w:ascii="Century" w:hAnsi="Century" w:cs="Miriam" w:hint="eastAsia"/>
          <w:b/>
          <w:sz w:val="22"/>
          <w:rtl/>
        </w:rPr>
        <w:t>בע</w:t>
      </w:r>
      <w:r w:rsidRPr="00E206AF">
        <w:rPr>
          <w:rFonts w:ascii="Century" w:hAnsi="Century" w:cs="Miriam"/>
          <w:b/>
          <w:sz w:val="22"/>
          <w:rtl/>
        </w:rPr>
        <w:t>"</w:t>
      </w:r>
      <w:r w:rsidRPr="00E206AF">
        <w:rPr>
          <w:rFonts w:ascii="Century" w:hAnsi="Century" w:cs="Miriam" w:hint="eastAsia"/>
          <w:b/>
          <w:sz w:val="22"/>
          <w:rtl/>
        </w:rPr>
        <w:t>מ</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ממשלת</w:t>
      </w:r>
      <w:r w:rsidRPr="00E206AF">
        <w:rPr>
          <w:rFonts w:ascii="Century" w:hAnsi="Century" w:cs="Miriam"/>
          <w:b/>
          <w:sz w:val="22"/>
          <w:rtl/>
        </w:rPr>
        <w:t xml:space="preserve"> </w:t>
      </w:r>
      <w:r w:rsidRPr="00E206AF">
        <w:rPr>
          <w:rFonts w:ascii="Century" w:hAnsi="Century" w:cs="Miriam" w:hint="eastAsia"/>
          <w:b/>
          <w:sz w:val="22"/>
          <w:rtl/>
        </w:rPr>
        <w:t>ישראל</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פ"ד </w:t>
      </w:r>
      <w:r w:rsidRPr="00E206AF">
        <w:rPr>
          <w:rFonts w:ascii="Century" w:hAnsi="Century" w:cs="FrankRuehl" w:hint="eastAsia"/>
          <w:spacing w:val="10"/>
          <w:sz w:val="22"/>
          <w:szCs w:val="28"/>
          <w:rtl/>
        </w:rPr>
        <w:t>נט</w:t>
      </w:r>
      <w:r w:rsidRPr="00E206AF">
        <w:rPr>
          <w:rFonts w:ascii="Century" w:hAnsi="Century" w:cs="FrankRuehl"/>
          <w:spacing w:val="10"/>
          <w:sz w:val="22"/>
          <w:szCs w:val="28"/>
          <w:rtl/>
        </w:rPr>
        <w:t>(2) 14</w:t>
      </w:r>
      <w:r w:rsidRPr="00E206AF">
        <w:rPr>
          <w:rFonts w:ascii="Century" w:hAnsi="Century" w:cs="FrankRuehl" w:hint="cs"/>
          <w:spacing w:val="10"/>
          <w:sz w:val="22"/>
          <w:szCs w:val="28"/>
          <w:rtl/>
        </w:rPr>
        <w:t xml:space="preserve">, עמ' 41 </w:t>
      </w:r>
      <w:r w:rsidRPr="00E206AF">
        <w:rPr>
          <w:rFonts w:ascii="Century" w:hAnsi="Century" w:cs="FrankRuehl"/>
          <w:spacing w:val="10"/>
          <w:sz w:val="22"/>
          <w:szCs w:val="28"/>
          <w:rtl/>
        </w:rPr>
        <w:t>(2004)</w:t>
      </w:r>
      <w:r w:rsidRPr="00E206AF">
        <w:rPr>
          <w:rFonts w:ascii="Century" w:hAnsi="Century" w:cs="FrankRuehl" w:hint="cs"/>
          <w:spacing w:val="10"/>
          <w:sz w:val="22"/>
          <w:szCs w:val="28"/>
          <w:rtl/>
        </w:rPr>
        <w:t xml:space="preserve">. וראו עוד,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108/70 </w:t>
      </w:r>
      <w:r w:rsidRPr="00E206AF">
        <w:rPr>
          <w:rFonts w:ascii="Century" w:hAnsi="Century" w:cs="Miriam" w:hint="eastAsia"/>
          <w:b/>
          <w:sz w:val="22"/>
          <w:rtl/>
        </w:rPr>
        <w:t>מנור</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שר</w:t>
      </w:r>
      <w:r w:rsidRPr="00E206AF">
        <w:rPr>
          <w:rFonts w:ascii="Century" w:hAnsi="Century" w:cs="Miriam"/>
          <w:b/>
          <w:sz w:val="22"/>
          <w:rtl/>
        </w:rPr>
        <w:t xml:space="preserve"> </w:t>
      </w:r>
      <w:r w:rsidRPr="00E206AF">
        <w:rPr>
          <w:rFonts w:ascii="Century" w:hAnsi="Century" w:cs="Miriam" w:hint="eastAsia"/>
          <w:b/>
          <w:sz w:val="22"/>
          <w:rtl/>
        </w:rPr>
        <w:t>האוצר</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פ"ד </w:t>
      </w:r>
      <w:r w:rsidRPr="00E206AF">
        <w:rPr>
          <w:rFonts w:ascii="Century" w:hAnsi="Century" w:cs="FrankRuehl" w:hint="eastAsia"/>
          <w:spacing w:val="10"/>
          <w:sz w:val="22"/>
          <w:szCs w:val="28"/>
          <w:rtl/>
        </w:rPr>
        <w:t>כד</w:t>
      </w:r>
      <w:r w:rsidRPr="00E206AF">
        <w:rPr>
          <w:rFonts w:ascii="Century" w:hAnsi="Century" w:cs="FrankRuehl"/>
          <w:spacing w:val="10"/>
          <w:sz w:val="22"/>
          <w:szCs w:val="28"/>
          <w:rtl/>
        </w:rPr>
        <w:t>(2) 442</w:t>
      </w:r>
      <w:r w:rsidRPr="00E206AF">
        <w:rPr>
          <w:rFonts w:ascii="Century" w:hAnsi="Century" w:cs="FrankRuehl" w:hint="cs"/>
          <w:spacing w:val="10"/>
          <w:sz w:val="22"/>
          <w:szCs w:val="28"/>
          <w:rtl/>
        </w:rPr>
        <w:t xml:space="preserve">, עמ' 445 </w:t>
      </w:r>
      <w:r w:rsidRPr="00E206AF">
        <w:rPr>
          <w:rFonts w:ascii="Century" w:hAnsi="Century" w:cs="FrankRuehl"/>
          <w:spacing w:val="10"/>
          <w:sz w:val="22"/>
          <w:szCs w:val="28"/>
          <w:rtl/>
        </w:rPr>
        <w:t>(1970)‏‏</w:t>
      </w:r>
      <w:r w:rsidRPr="00E206AF">
        <w:rPr>
          <w:rFonts w:ascii="Century" w:hAnsi="Century" w:cs="FrankRuehl" w:hint="cs"/>
          <w:spacing w:val="10"/>
          <w:sz w:val="22"/>
          <w:szCs w:val="28"/>
          <w:rtl/>
        </w:rPr>
        <w:t>)</w:t>
      </w:r>
      <w:r>
        <w:rPr>
          <w:rFonts w:ascii="Century" w:hAnsi="Century" w:cs="FrankRuehl" w:hint="cs"/>
          <w:spacing w:val="10"/>
          <w:sz w:val="22"/>
          <w:szCs w:val="28"/>
          <w:rtl/>
        </w:rPr>
        <w:t>. כמו</w:t>
      </w:r>
      <w:r w:rsidRPr="00E206AF">
        <w:rPr>
          <w:rFonts w:ascii="Century" w:hAnsi="Century" w:cs="FrankRuehl" w:hint="cs"/>
          <w:spacing w:val="10"/>
          <w:sz w:val="22"/>
          <w:szCs w:val="28"/>
          <w:rtl/>
        </w:rPr>
        <w:t xml:space="preserve"> כן, הודגשה בפסיקתנו חשיבותו של "</w:t>
      </w:r>
      <w:r w:rsidRPr="00E206AF">
        <w:rPr>
          <w:rFonts w:ascii="Arial TUR" w:hAnsi="Arial TUR" w:cs="FrankRuehl" w:hint="cs"/>
          <w:spacing w:val="10"/>
          <w:sz w:val="22"/>
          <w:szCs w:val="28"/>
          <w:rtl/>
        </w:rPr>
        <w:t xml:space="preserve">שלטון החוק בשלטון" המבטא את עיקרון הפרדת הרשויות, באופן שיוצר "איזון ובקרה </w:t>
      </w:r>
      <w:r w:rsidRPr="001A248E">
        <w:rPr>
          <w:rFonts w:ascii="Arial TUR" w:hAnsi="Arial TUR" w:cs="FrankRuehl" w:hint="eastAsia"/>
          <w:spacing w:val="10"/>
          <w:sz w:val="22"/>
          <w:szCs w:val="28"/>
          <w:rtl/>
        </w:rPr>
        <w:t>הדדיים</w:t>
      </w:r>
      <w:r w:rsidRPr="00E206AF">
        <w:rPr>
          <w:rFonts w:ascii="Arial TUR" w:hAnsi="Arial TUR" w:cs="FrankRuehl" w:hint="cs"/>
          <w:spacing w:val="10"/>
          <w:sz w:val="22"/>
          <w:szCs w:val="28"/>
          <w:rtl/>
        </w:rPr>
        <w:t xml:space="preserve"> בין הרשויות השונות" </w:t>
      </w:r>
      <w:r w:rsidRPr="00E206AF">
        <w:rPr>
          <w:rFonts w:ascii="Century" w:hAnsi="Century" w:cs="FrankRuehl" w:hint="cs"/>
          <w:spacing w:val="10"/>
          <w:sz w:val="22"/>
          <w:szCs w:val="28"/>
          <w:rtl/>
        </w:rPr>
        <w:t>(</w:t>
      </w:r>
      <w:r>
        <w:rPr>
          <w:rFonts w:ascii="Century" w:hAnsi="Century" w:cs="FrankRuehl" w:hint="cs"/>
          <w:spacing w:val="10"/>
          <w:sz w:val="22"/>
          <w:szCs w:val="28"/>
          <w:rtl/>
        </w:rPr>
        <w:t xml:space="preserve">עניין </w:t>
      </w:r>
      <w:r w:rsidRPr="008F478C">
        <w:rPr>
          <w:rFonts w:ascii="Century" w:hAnsi="Century" w:cs="Miriam" w:hint="eastAsia"/>
          <w:b/>
          <w:sz w:val="22"/>
          <w:rtl/>
        </w:rPr>
        <w:t>סיעת</w:t>
      </w:r>
      <w:r w:rsidRPr="008F478C">
        <w:rPr>
          <w:rFonts w:ascii="Century" w:hAnsi="Century" w:cs="Miriam"/>
          <w:b/>
          <w:sz w:val="22"/>
          <w:rtl/>
        </w:rPr>
        <w:t xml:space="preserve"> </w:t>
      </w:r>
      <w:r w:rsidRPr="008F478C">
        <w:rPr>
          <w:rFonts w:ascii="Century" w:hAnsi="Century" w:cs="Miriam" w:hint="eastAsia"/>
          <w:b/>
          <w:sz w:val="22"/>
          <w:rtl/>
        </w:rPr>
        <w:t>כך</w:t>
      </w:r>
      <w:r>
        <w:rPr>
          <w:rFonts w:ascii="Century" w:hAnsi="Century" w:cs="FrankRuehl" w:hint="cs"/>
          <w:spacing w:val="10"/>
          <w:sz w:val="22"/>
          <w:szCs w:val="28"/>
          <w:rtl/>
        </w:rPr>
        <w:t xml:space="preserve">, בעמ' 158. ראו עוד: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1661/05 </w:t>
      </w:r>
      <w:r w:rsidRPr="00E206AF">
        <w:rPr>
          <w:rFonts w:ascii="Century" w:hAnsi="Century" w:cs="Miriam" w:hint="eastAsia"/>
          <w:b/>
          <w:sz w:val="22"/>
          <w:rtl/>
        </w:rPr>
        <w:t>המועצה</w:t>
      </w:r>
      <w:r w:rsidRPr="00E206AF">
        <w:rPr>
          <w:rFonts w:ascii="Century" w:hAnsi="Century" w:cs="Miriam"/>
          <w:b/>
          <w:sz w:val="22"/>
          <w:rtl/>
        </w:rPr>
        <w:t xml:space="preserve"> </w:t>
      </w:r>
      <w:r w:rsidRPr="00E206AF">
        <w:rPr>
          <w:rFonts w:ascii="Century" w:hAnsi="Century" w:cs="Miriam" w:hint="eastAsia"/>
          <w:b/>
          <w:sz w:val="22"/>
          <w:rtl/>
        </w:rPr>
        <w:t>האזורית</w:t>
      </w:r>
      <w:r w:rsidRPr="00E206AF">
        <w:rPr>
          <w:rFonts w:ascii="Century" w:hAnsi="Century" w:cs="Miriam"/>
          <w:b/>
          <w:sz w:val="22"/>
          <w:rtl/>
        </w:rPr>
        <w:t xml:space="preserve"> </w:t>
      </w:r>
      <w:r w:rsidRPr="00E206AF">
        <w:rPr>
          <w:rFonts w:ascii="Century" w:hAnsi="Century" w:cs="Miriam" w:hint="eastAsia"/>
          <w:b/>
          <w:sz w:val="22"/>
          <w:rtl/>
        </w:rPr>
        <w:t>חוף</w:t>
      </w:r>
      <w:r w:rsidRPr="00E206AF">
        <w:rPr>
          <w:rFonts w:ascii="Century" w:hAnsi="Century" w:cs="Miriam"/>
          <w:b/>
          <w:sz w:val="22"/>
          <w:rtl/>
        </w:rPr>
        <w:t xml:space="preserve"> </w:t>
      </w:r>
      <w:r w:rsidRPr="00E206AF">
        <w:rPr>
          <w:rFonts w:ascii="Century" w:hAnsi="Century" w:cs="Miriam" w:hint="eastAsia"/>
          <w:b/>
          <w:sz w:val="22"/>
          <w:rtl/>
        </w:rPr>
        <w:t>עזה</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כנסת</w:t>
      </w:r>
      <w:r w:rsidRPr="00E206AF">
        <w:rPr>
          <w:rFonts w:ascii="Century" w:hAnsi="Century" w:cs="Miriam"/>
          <w:b/>
          <w:sz w:val="22"/>
          <w:rtl/>
        </w:rPr>
        <w:t xml:space="preserve"> </w:t>
      </w:r>
      <w:r w:rsidRPr="00E206AF">
        <w:rPr>
          <w:rFonts w:ascii="Century" w:hAnsi="Century" w:cs="Miriam" w:hint="eastAsia"/>
          <w:b/>
          <w:sz w:val="22"/>
          <w:rtl/>
        </w:rPr>
        <w:t>ישראל</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פ"ד </w:t>
      </w:r>
      <w:r w:rsidRPr="00E206AF">
        <w:rPr>
          <w:rFonts w:ascii="Century" w:hAnsi="Century" w:cs="FrankRuehl" w:hint="eastAsia"/>
          <w:spacing w:val="10"/>
          <w:sz w:val="22"/>
          <w:szCs w:val="28"/>
          <w:rtl/>
        </w:rPr>
        <w:t>נט</w:t>
      </w:r>
      <w:r w:rsidRPr="00E206AF">
        <w:rPr>
          <w:rFonts w:ascii="Century" w:hAnsi="Century" w:cs="FrankRuehl"/>
          <w:spacing w:val="10"/>
          <w:sz w:val="22"/>
          <w:szCs w:val="28"/>
          <w:rtl/>
        </w:rPr>
        <w:t>(2) 481</w:t>
      </w:r>
      <w:r w:rsidRPr="00E206AF">
        <w:rPr>
          <w:rFonts w:ascii="Century" w:hAnsi="Century" w:cs="FrankRuehl" w:hint="cs"/>
          <w:spacing w:val="10"/>
          <w:sz w:val="22"/>
          <w:szCs w:val="28"/>
          <w:rtl/>
        </w:rPr>
        <w:t xml:space="preserve">, עמ' 756 לפסק דינו של השופט </w:t>
      </w:r>
      <w:r w:rsidRPr="00E206AF">
        <w:rPr>
          <w:rFonts w:ascii="Century" w:hAnsi="Century" w:cs="Miriam" w:hint="cs"/>
          <w:b/>
          <w:sz w:val="22"/>
          <w:rtl/>
        </w:rPr>
        <w:t>א' א' לוי</w:t>
      </w:r>
      <w:r w:rsidRPr="00E206AF">
        <w:rPr>
          <w:rFonts w:ascii="Century" w:hAnsi="Century" w:cs="FrankRuehl"/>
          <w:spacing w:val="10"/>
          <w:sz w:val="22"/>
          <w:szCs w:val="28"/>
          <w:rtl/>
        </w:rPr>
        <w:t xml:space="preserve"> (2005)</w:t>
      </w:r>
      <w:r w:rsidRPr="00E206AF">
        <w:rPr>
          <w:rFonts w:ascii="Century" w:hAnsi="Century" w:cs="FrankRuehl" w:hint="cs"/>
          <w:spacing w:val="10"/>
          <w:sz w:val="22"/>
          <w:szCs w:val="28"/>
          <w:rtl/>
        </w:rPr>
        <w:t xml:space="preserve"> (להלן: עניין </w:t>
      </w:r>
      <w:r w:rsidRPr="00E206AF">
        <w:rPr>
          <w:rFonts w:ascii="Century" w:hAnsi="Century" w:cs="Miriam" w:hint="cs"/>
          <w:b/>
          <w:sz w:val="22"/>
          <w:rtl/>
        </w:rPr>
        <w:t>חוף עזה</w:t>
      </w:r>
      <w:r w:rsidRPr="00E206AF">
        <w:rPr>
          <w:rFonts w:ascii="Century" w:hAnsi="Century" w:cs="FrankRuehl" w:hint="cs"/>
          <w:spacing w:val="10"/>
          <w:sz w:val="22"/>
          <w:szCs w:val="28"/>
          <w:rtl/>
        </w:rPr>
        <w:t>)</w:t>
      </w:r>
      <w:r>
        <w:rPr>
          <w:rFonts w:ascii="Century" w:hAnsi="Century" w:cs="FrankRuehl" w:hint="cs"/>
          <w:spacing w:val="10"/>
          <w:sz w:val="22"/>
          <w:szCs w:val="28"/>
          <w:rtl/>
        </w:rPr>
        <w:t>;</w:t>
      </w:r>
      <w:r w:rsidRPr="00E206AF">
        <w:rPr>
          <w:rFonts w:ascii="Century" w:hAnsi="Century" w:cs="FrankRuehl" w:hint="cs"/>
          <w:spacing w:val="10"/>
          <w:sz w:val="22"/>
          <w:szCs w:val="28"/>
          <w:rtl/>
        </w:rPr>
        <w:t xml:space="preserve">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1843/93 </w:t>
      </w:r>
      <w:r w:rsidRPr="00E206AF">
        <w:rPr>
          <w:rFonts w:ascii="Century" w:hAnsi="Century" w:cs="Miriam" w:hint="eastAsia"/>
          <w:b/>
          <w:sz w:val="22"/>
          <w:rtl/>
        </w:rPr>
        <w:t>פנחסי</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כנסת</w:t>
      </w:r>
      <w:r w:rsidRPr="00E206AF">
        <w:rPr>
          <w:rFonts w:ascii="Century" w:hAnsi="Century" w:cs="Miriam"/>
          <w:b/>
          <w:sz w:val="22"/>
          <w:rtl/>
        </w:rPr>
        <w:t xml:space="preserve"> </w:t>
      </w:r>
      <w:r w:rsidRPr="00E206AF">
        <w:rPr>
          <w:rFonts w:ascii="Century" w:hAnsi="Century" w:cs="Miriam" w:hint="eastAsia"/>
          <w:b/>
          <w:sz w:val="22"/>
          <w:rtl/>
        </w:rPr>
        <w:t>ישראל</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פ"ד </w:t>
      </w:r>
      <w:r w:rsidRPr="00E206AF">
        <w:rPr>
          <w:rFonts w:ascii="Century" w:hAnsi="Century" w:cs="FrankRuehl" w:hint="eastAsia"/>
          <w:spacing w:val="10"/>
          <w:sz w:val="22"/>
          <w:szCs w:val="28"/>
          <w:rtl/>
        </w:rPr>
        <w:t>מט</w:t>
      </w:r>
      <w:r w:rsidRPr="00E206AF">
        <w:rPr>
          <w:rFonts w:ascii="Century" w:hAnsi="Century" w:cs="FrankRuehl"/>
          <w:spacing w:val="10"/>
          <w:sz w:val="22"/>
          <w:szCs w:val="28"/>
          <w:rtl/>
        </w:rPr>
        <w:t>(1) 661</w:t>
      </w:r>
      <w:r w:rsidRPr="00E206AF">
        <w:rPr>
          <w:rFonts w:ascii="Century" w:hAnsi="Century" w:cs="FrankRuehl" w:hint="cs"/>
          <w:spacing w:val="10"/>
          <w:sz w:val="22"/>
          <w:szCs w:val="28"/>
          <w:rtl/>
        </w:rPr>
        <w:t>, עמ' 668</w:t>
      </w:r>
      <w:r w:rsidRPr="00E206AF">
        <w:rPr>
          <w:rFonts w:ascii="Century" w:hAnsi="Century" w:cs="FrankRuehl"/>
          <w:spacing w:val="10"/>
          <w:sz w:val="22"/>
          <w:szCs w:val="28"/>
          <w:rtl/>
        </w:rPr>
        <w:t xml:space="preserve"> (1995)</w:t>
      </w:r>
      <w:r w:rsidRPr="00E206AF">
        <w:rPr>
          <w:rFonts w:ascii="Century" w:hAnsi="Century" w:cs="FrankRuehl" w:hint="cs"/>
          <w:spacing w:val="10"/>
          <w:sz w:val="22"/>
          <w:szCs w:val="28"/>
          <w:rtl/>
        </w:rPr>
        <w:t xml:space="preserve">; </w:t>
      </w:r>
      <w:r w:rsidRPr="00E206AF">
        <w:rPr>
          <w:rFonts w:ascii="Arial TUR" w:hAnsi="Arial TUR" w:cs="FrankRuehl" w:hint="cs"/>
          <w:spacing w:val="10"/>
          <w:sz w:val="22"/>
          <w:szCs w:val="28"/>
          <w:rtl/>
        </w:rPr>
        <w:t xml:space="preserve">עניין </w:t>
      </w:r>
      <w:hyperlink r:id="rId11" w:history="1">
        <w:r w:rsidRPr="00E206AF">
          <w:rPr>
            <w:rFonts w:ascii="Century" w:hAnsi="Century" w:cs="Miriam"/>
            <w:b/>
            <w:sz w:val="22"/>
            <w:rtl/>
          </w:rPr>
          <w:t>המרכז האקדמי</w:t>
        </w:r>
        <w:r w:rsidRPr="00E206AF">
          <w:rPr>
            <w:rFonts w:ascii="Century" w:hAnsi="Century" w:cs="FrankRuehl" w:hint="cs"/>
            <w:spacing w:val="10"/>
            <w:sz w:val="22"/>
            <w:szCs w:val="28"/>
            <w:rtl/>
          </w:rPr>
          <w:t xml:space="preserve">, בפס' 15 לפסק דינו של הנשיא </w:t>
        </w:r>
        <w:r w:rsidRPr="00E206AF">
          <w:rPr>
            <w:rFonts w:ascii="Century" w:hAnsi="Century" w:cs="Miriam" w:hint="eastAsia"/>
            <w:b/>
            <w:sz w:val="22"/>
            <w:rtl/>
          </w:rPr>
          <w:t>גרוניס</w:t>
        </w:r>
        <w:r w:rsidRPr="00E206AF">
          <w:rPr>
            <w:rFonts w:ascii="Century" w:hAnsi="Century" w:cs="FrankRuehl"/>
            <w:spacing w:val="10"/>
            <w:sz w:val="22"/>
            <w:szCs w:val="28"/>
            <w:rtl/>
          </w:rPr>
          <w:t>‏</w:t>
        </w:r>
      </w:hyperlink>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בתוך כך, כלל הוא כי יש לפרש את חוקי היסוד על רקע העקרונות החוקתיים האמורים לעיל, כך שמבין הפירושים האפשריים</w:t>
      </w:r>
      <w:r>
        <w:rPr>
          <w:rFonts w:ascii="Century" w:hAnsi="Century" w:cs="FrankRuehl" w:hint="cs"/>
          <w:spacing w:val="10"/>
          <w:sz w:val="22"/>
          <w:szCs w:val="28"/>
          <w:rtl/>
        </w:rPr>
        <w:t xml:space="preserve"> מבחינה לשונית</w:t>
      </w:r>
      <w:r w:rsidRPr="00E206AF">
        <w:rPr>
          <w:rFonts w:ascii="Century" w:hAnsi="Century" w:cs="FrankRuehl" w:hint="cs"/>
          <w:spacing w:val="10"/>
          <w:sz w:val="22"/>
          <w:szCs w:val="28"/>
          <w:rtl/>
        </w:rPr>
        <w:t>, יש לבחור בפירוש אשר מיישב את חוק היסוד באופן המיטבי עם המסגרת החוקתית הקיימת; כלל זה עולה בקנה אחד עם ההלכה שפור</w:t>
      </w:r>
      <w:r>
        <w:rPr>
          <w:rFonts w:ascii="Century" w:hAnsi="Century" w:cs="FrankRuehl" w:hint="cs"/>
          <w:spacing w:val="10"/>
          <w:sz w:val="22"/>
          <w:szCs w:val="28"/>
          <w:rtl/>
        </w:rPr>
        <w:t>ט</w:t>
      </w:r>
      <w:r w:rsidRPr="00E206AF">
        <w:rPr>
          <w:rFonts w:ascii="Century" w:hAnsi="Century" w:cs="FrankRuehl" w:hint="cs"/>
          <w:spacing w:val="10"/>
          <w:sz w:val="22"/>
          <w:szCs w:val="28"/>
          <w:rtl/>
        </w:rPr>
        <w:t xml:space="preserve">ה לעיל, שלפיה מבין </w:t>
      </w:r>
      <w:r>
        <w:rPr>
          <w:rFonts w:ascii="Century" w:hAnsi="Century" w:cs="FrankRuehl" w:hint="cs"/>
          <w:spacing w:val="10"/>
          <w:sz w:val="22"/>
          <w:szCs w:val="28"/>
          <w:rtl/>
        </w:rPr>
        <w:t>ה</w:t>
      </w:r>
      <w:r w:rsidRPr="00E206AF">
        <w:rPr>
          <w:rFonts w:ascii="Century" w:hAnsi="Century" w:cs="FrankRuehl" w:hint="cs"/>
          <w:spacing w:val="10"/>
          <w:sz w:val="22"/>
          <w:szCs w:val="28"/>
          <w:rtl/>
        </w:rPr>
        <w:t xml:space="preserve">פירושים </w:t>
      </w:r>
      <w:r>
        <w:rPr>
          <w:rFonts w:ascii="Century" w:hAnsi="Century" w:cs="FrankRuehl" w:hint="cs"/>
          <w:spacing w:val="10"/>
          <w:sz w:val="22"/>
          <w:szCs w:val="28"/>
          <w:rtl/>
        </w:rPr>
        <w:t>ה</w:t>
      </w:r>
      <w:r w:rsidRPr="00E206AF">
        <w:rPr>
          <w:rFonts w:ascii="Century" w:hAnsi="Century" w:cs="FrankRuehl" w:hint="cs"/>
          <w:spacing w:val="10"/>
          <w:sz w:val="22"/>
          <w:szCs w:val="28"/>
          <w:rtl/>
        </w:rPr>
        <w:t>אפשריים, לעולם יש להעדיף פרשנות מקיימת של דבר חקיקה (</w:t>
      </w:r>
      <w:r w:rsidRPr="00E206AF">
        <w:rPr>
          <w:rFonts w:ascii="Century" w:hAnsi="Century" w:cs="Miriam" w:hint="cs"/>
          <w:b/>
          <w:sz w:val="22"/>
          <w:rtl/>
        </w:rPr>
        <w:t>עניין חוק הלאום</w:t>
      </w:r>
      <w:r w:rsidRPr="00E206AF">
        <w:rPr>
          <w:rFonts w:ascii="Century" w:hAnsi="Century" w:cs="FrankRuehl" w:hint="cs"/>
          <w:spacing w:val="10"/>
          <w:sz w:val="22"/>
          <w:szCs w:val="28"/>
          <w:rtl/>
        </w:rPr>
        <w:t xml:space="preserve">, בפס' 59 לפסק דינה של הנשיאה </w:t>
      </w:r>
      <w:r w:rsidRPr="00E206AF">
        <w:rPr>
          <w:rFonts w:ascii="Century" w:hAnsi="Century" w:cs="Miriam" w:hint="cs"/>
          <w:b/>
          <w:sz w:val="22"/>
          <w:rtl/>
        </w:rPr>
        <w:t xml:space="preserve">חיות, </w:t>
      </w:r>
      <w:r w:rsidRPr="00E206AF">
        <w:rPr>
          <w:rFonts w:ascii="Century" w:hAnsi="Century" w:cs="FrankRuehl" w:hint="cs"/>
          <w:spacing w:val="10"/>
          <w:sz w:val="22"/>
          <w:szCs w:val="28"/>
          <w:rtl/>
        </w:rPr>
        <w:t xml:space="preserve">וההפניות שם), קל וחומר כאשר עסקינן בחקיקת יסוד (שם, בפס' 9 לפסק דינו של השופט </w:t>
      </w:r>
      <w:r w:rsidRPr="00E206AF">
        <w:rPr>
          <w:rFonts w:ascii="Century" w:hAnsi="Century" w:cs="Miriam" w:hint="cs"/>
          <w:b/>
          <w:sz w:val="22"/>
          <w:rtl/>
        </w:rPr>
        <w:t>פוגלמן</w:t>
      </w: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225568" w:rsidRDefault="00E32081" w:rsidP="00E32081">
      <w:pPr>
        <w:tabs>
          <w:tab w:val="left" w:pos="800"/>
        </w:tabs>
        <w:spacing w:line="360" w:lineRule="auto"/>
        <w:jc w:val="both"/>
        <w:rPr>
          <w:rFonts w:ascii="Arial TUR" w:hAnsi="Arial TUR" w:cs="FrankRuehl"/>
          <w:spacing w:val="10"/>
          <w:sz w:val="22"/>
          <w:szCs w:val="28"/>
        </w:rPr>
      </w:pPr>
      <w:r w:rsidRPr="00E206AF">
        <w:rPr>
          <w:rFonts w:ascii="Century" w:hAnsi="Century" w:cs="FrankRuehl" w:hint="cs"/>
          <w:spacing w:val="10"/>
          <w:szCs w:val="28"/>
          <w:rtl/>
        </w:rPr>
        <w:t>6</w:t>
      </w:r>
      <w:r>
        <w:rPr>
          <w:rFonts w:ascii="Century" w:hAnsi="Century" w:cs="FrankRuehl" w:hint="cs"/>
          <w:spacing w:val="10"/>
          <w:szCs w:val="28"/>
          <w:rtl/>
        </w:rPr>
        <w:t>4</w:t>
      </w:r>
      <w:r w:rsidRPr="00E206AF">
        <w:rPr>
          <w:rFonts w:ascii="Century" w:hAnsi="Century" w:cs="FrankRuehl" w:hint="cs"/>
          <w:spacing w:val="10"/>
          <w:szCs w:val="28"/>
          <w:rtl/>
        </w:rPr>
        <w:t>.</w:t>
      </w:r>
      <w:r w:rsidRPr="00E206AF">
        <w:rPr>
          <w:rFonts w:ascii="Century" w:hAnsi="Century" w:cs="FrankRuehl" w:hint="cs"/>
          <w:spacing w:val="10"/>
          <w:szCs w:val="28"/>
          <w:rtl/>
        </w:rPr>
        <w:tab/>
        <w:t>בענייננו, פרשנות</w:t>
      </w:r>
      <w:r w:rsidRPr="00E206AF">
        <w:rPr>
          <w:rFonts w:ascii="Arial TUR" w:hAnsi="Arial TUR" w:cs="FrankRuehl" w:hint="cs"/>
          <w:spacing w:val="10"/>
          <w:sz w:val="22"/>
          <w:szCs w:val="28"/>
          <w:rtl/>
        </w:rPr>
        <w:t xml:space="preserve"> שלפיה המונח "סבירות" שבתיקון מתייחס רק לסבירות איזונית, ולא לעילת הסבירות המקורית, מגשימה במידה רבה יותר את העקרונות החוקתיים של </w:t>
      </w:r>
      <w:r w:rsidRPr="00E206AF">
        <w:rPr>
          <w:rFonts w:ascii="FrankRuehl" w:hAnsi="FrankRuehl" w:cs="FrankRuehl"/>
          <w:color w:val="000000"/>
          <w:spacing w:val="10"/>
          <w:sz w:val="22"/>
          <w:szCs w:val="28"/>
          <w:rtl/>
        </w:rPr>
        <w:t>קיום הפרדת רשויות, שלטון החוק ורשות שופטת עצמאית</w:t>
      </w:r>
      <w:r w:rsidRPr="00E206AF">
        <w:rPr>
          <w:rFonts w:ascii="FrankRuehl" w:hAnsi="FrankRuehl" w:cs="FrankRuehl" w:hint="cs"/>
          <w:color w:val="000000"/>
          <w:spacing w:val="10"/>
          <w:sz w:val="22"/>
          <w:szCs w:val="28"/>
          <w:rtl/>
        </w:rPr>
        <w:t xml:space="preserve">, </w:t>
      </w:r>
      <w:r w:rsidRPr="00E206AF">
        <w:rPr>
          <w:rFonts w:ascii="Arial TUR" w:hAnsi="Arial TUR" w:cs="FrankRuehl" w:hint="cs"/>
          <w:spacing w:val="10"/>
          <w:sz w:val="22"/>
          <w:szCs w:val="28"/>
          <w:rtl/>
        </w:rPr>
        <w:t xml:space="preserve">העומדים, כאמור, ביסוד המבנה החוקתי של המשטר בישראל. כמבואר לעיל, "הסבירות המקורית" יסודה בדוקטרינת הסמכות, במובן זה שפעולה שלטונית אשר מפרה את חובת הסבירות במובנה המקורי, דהיינו פעולה שלוקה בחוסר היגיון עד כדי מופרכות, נתפסת כחריגה מסמכות. לפיכך, היעדר אפשרות לדון בבתי המשפט או ליתן סעד בעניין סבירותה של </w:t>
      </w:r>
      <w:r w:rsidRPr="00E206AF">
        <w:rPr>
          <w:rFonts w:ascii="Arial TUR" w:hAnsi="Arial TUR" w:cs="FrankRuehl" w:hint="cs"/>
          <w:spacing w:val="10"/>
          <w:sz w:val="22"/>
          <w:szCs w:val="28"/>
          <w:rtl/>
        </w:rPr>
        <w:lastRenderedPageBreak/>
        <w:t xml:space="preserve">החלטת שר או ממשלה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כאשר מדובר בסבירות המקורית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עשוי להכשיר, בין היתר, פעולות שלטוניות שבוצעו תוך חריגה מסמכות (</w:t>
      </w:r>
      <w:r>
        <w:rPr>
          <w:rFonts w:ascii="Arial TUR" w:hAnsi="Arial TUR" w:cs="FrankRuehl" w:hint="cs"/>
          <w:spacing w:val="10"/>
          <w:sz w:val="22"/>
          <w:szCs w:val="28"/>
          <w:rtl/>
        </w:rPr>
        <w:t xml:space="preserve">ראו בעניין זה: </w:t>
      </w:r>
      <w:r w:rsidRPr="00E206AF">
        <w:rPr>
          <w:rFonts w:ascii="Arial TUR" w:hAnsi="Arial TUR" w:cs="FrankRuehl"/>
          <w:color w:val="000000"/>
          <w:spacing w:val="10"/>
          <w:sz w:val="27"/>
          <w:szCs w:val="27"/>
          <w:rtl/>
        </w:rPr>
        <w:t xml:space="preserve">בג"ץ 3132/15 </w:t>
      </w:r>
      <w:r w:rsidRPr="00E206AF">
        <w:rPr>
          <w:rFonts w:ascii="Century" w:hAnsi="Century" w:cs="Miriam"/>
          <w:b/>
          <w:sz w:val="22"/>
          <w:rtl/>
        </w:rPr>
        <w:t>מפלגת יש עתיד בראשות יאיר לפיד נ' ראש ממשלת ישראל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פס</w:t>
      </w:r>
      <w:r w:rsidRPr="00E206AF">
        <w:rPr>
          <w:rFonts w:ascii="Century" w:hAnsi="Century" w:cs="FrankRuehl"/>
          <w:spacing w:val="10"/>
          <w:sz w:val="22"/>
          <w:szCs w:val="28"/>
          <w:rtl/>
        </w:rPr>
        <w:t xml:space="preserve">' 9 </w:t>
      </w:r>
      <w:r w:rsidRPr="00E206AF">
        <w:rPr>
          <w:rFonts w:ascii="Century" w:hAnsi="Century" w:cs="FrankRuehl" w:hint="eastAsia"/>
          <w:spacing w:val="10"/>
          <w:sz w:val="22"/>
          <w:szCs w:val="28"/>
          <w:rtl/>
        </w:rPr>
        <w:t>לפסק</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דינו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השופט</w:t>
      </w:r>
      <w:r w:rsidRPr="00E206AF">
        <w:rPr>
          <w:rFonts w:ascii="Century" w:hAnsi="Century" w:cs="FrankRuehl"/>
          <w:spacing w:val="10"/>
          <w:sz w:val="22"/>
          <w:szCs w:val="28"/>
          <w:rtl/>
        </w:rPr>
        <w:t xml:space="preserve"> </w:t>
      </w:r>
      <w:r w:rsidRPr="00E206AF">
        <w:rPr>
          <w:rFonts w:ascii="Century" w:hAnsi="Century" w:cs="Miriam" w:hint="cs"/>
          <w:b/>
          <w:sz w:val="22"/>
          <w:rtl/>
        </w:rPr>
        <w:t xml:space="preserve">הנדל </w:t>
      </w:r>
      <w:r w:rsidRPr="00E206AF">
        <w:rPr>
          <w:rFonts w:ascii="Arial TUR" w:hAnsi="Arial TUR" w:cs="FrankRuehl"/>
          <w:color w:val="000000"/>
          <w:spacing w:val="10"/>
          <w:sz w:val="27"/>
          <w:szCs w:val="27"/>
          <w:rtl/>
        </w:rPr>
        <w:t>(13.04.2016)</w:t>
      </w:r>
      <w:r w:rsidRPr="00E206AF">
        <w:rPr>
          <w:rFonts w:ascii="Arial TUR" w:hAnsi="Arial TUR" w:cs="FrankRuehl" w:hint="cs"/>
          <w:spacing w:val="10"/>
          <w:sz w:val="22"/>
          <w:szCs w:val="28"/>
          <w:rtl/>
        </w:rPr>
        <w:t>). מתן הכשר כאמור אינו עולה בקנה אחד עם עיקרון שלטון החוק במובנו הבסיסי (</w:t>
      </w:r>
      <w:r>
        <w:rPr>
          <w:rFonts w:ascii="Arial TUR" w:hAnsi="Arial TUR" w:cs="FrankRuehl" w:hint="cs"/>
          <w:spacing w:val="10"/>
          <w:sz w:val="22"/>
          <w:szCs w:val="28"/>
          <w:rtl/>
        </w:rPr>
        <w:t xml:space="preserve">ראו: </w:t>
      </w:r>
      <w:r w:rsidRPr="00E206AF">
        <w:rPr>
          <w:rFonts w:ascii="Arial TUR" w:hAnsi="Arial TUR" w:cs="FrankRuehl"/>
          <w:color w:val="000000"/>
          <w:spacing w:val="10"/>
          <w:sz w:val="27"/>
          <w:szCs w:val="27"/>
          <w:rtl/>
        </w:rPr>
        <w:t xml:space="preserve">בג"ץ 6163/92 </w:t>
      </w:r>
      <w:r w:rsidRPr="00E206AF">
        <w:rPr>
          <w:rFonts w:ascii="Century" w:hAnsi="Century" w:cs="Miriam"/>
          <w:b/>
          <w:sz w:val="22"/>
          <w:rtl/>
        </w:rPr>
        <w:t>אייזנברג נ' שר הבינוי והשיכון</w:t>
      </w:r>
      <w:r w:rsidRPr="00E206AF">
        <w:rPr>
          <w:rFonts w:ascii="Arial TUR" w:hAnsi="Arial TUR" w:cs="FrankRuehl"/>
          <w:color w:val="000000"/>
          <w:spacing w:val="10"/>
          <w:sz w:val="27"/>
          <w:szCs w:val="27"/>
          <w:rtl/>
        </w:rPr>
        <w:t xml:space="preserve">, </w:t>
      </w:r>
      <w:r w:rsidRPr="00E206AF">
        <w:rPr>
          <w:rFonts w:ascii="Arial TUR" w:hAnsi="Arial TUR" w:cs="FrankRuehl" w:hint="cs"/>
          <w:color w:val="000000"/>
          <w:spacing w:val="10"/>
          <w:sz w:val="27"/>
          <w:szCs w:val="27"/>
          <w:rtl/>
        </w:rPr>
        <w:t xml:space="preserve">פ"ד </w:t>
      </w:r>
      <w:r w:rsidRPr="00E206AF">
        <w:rPr>
          <w:rFonts w:ascii="Arial TUR" w:hAnsi="Arial TUR" w:cs="FrankRuehl"/>
          <w:color w:val="000000"/>
          <w:spacing w:val="10"/>
          <w:sz w:val="27"/>
          <w:szCs w:val="27"/>
          <w:rtl/>
        </w:rPr>
        <w:t>מז(2) 229</w:t>
      </w:r>
      <w:r w:rsidRPr="00E206AF">
        <w:rPr>
          <w:rFonts w:ascii="Arial TUR" w:hAnsi="Arial TUR" w:cs="FrankRuehl" w:hint="cs"/>
          <w:color w:val="000000"/>
          <w:spacing w:val="10"/>
          <w:sz w:val="27"/>
          <w:szCs w:val="27"/>
          <w:rtl/>
        </w:rPr>
        <w:t>, פס' 65</w:t>
      </w:r>
      <w:r w:rsidRPr="00E206AF">
        <w:rPr>
          <w:rFonts w:ascii="Arial TUR" w:hAnsi="Arial TUR" w:cs="FrankRuehl"/>
          <w:color w:val="000000"/>
          <w:spacing w:val="10"/>
          <w:sz w:val="27"/>
          <w:szCs w:val="27"/>
        </w:rPr>
        <w:t xml:space="preserve"> </w:t>
      </w:r>
      <w:r w:rsidRPr="00E206AF">
        <w:rPr>
          <w:rFonts w:ascii="Arial TUR" w:hAnsi="Arial TUR" w:cs="FrankRuehl" w:hint="cs"/>
          <w:color w:val="000000"/>
          <w:spacing w:val="10"/>
          <w:sz w:val="27"/>
          <w:szCs w:val="27"/>
          <w:rtl/>
        </w:rPr>
        <w:t>(1993)</w:t>
      </w:r>
      <w:r w:rsidRPr="00E206AF">
        <w:rPr>
          <w:rFonts w:ascii="Arial TUR" w:hAnsi="Arial TUR" w:cs="FrankRuehl" w:hint="cs"/>
          <w:spacing w:val="10"/>
          <w:sz w:val="22"/>
          <w:szCs w:val="28"/>
          <w:rtl/>
        </w:rPr>
        <w:t xml:space="preserve">). ממילא, פרשנות שלפיה התיקון מאפשר לדון בעניין סבירות החלטות שרים וממשלה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כאשר עסקינן בסבירות המקורית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מגשימה במידה רבה יותר את עיקרון שלטון החוק, ביחס לפרשנות שאינה מאפשרת זאת. כמו כן, בהינתן שתפקידה הבסיסי של הרשות השופטת במסגרת עיקרון הפרדת הרשויות הוא לוודא שרשויות המינהל פועלות אך ורק במסגרת הסמכויות שהוענקו להן בחקיקה</w:t>
      </w:r>
      <w:r>
        <w:rPr>
          <w:rFonts w:ascii="Century" w:hAnsi="Century" w:cs="FrankRuehl" w:hint="cs"/>
          <w:spacing w:val="10"/>
          <w:sz w:val="22"/>
          <w:szCs w:val="28"/>
          <w:rtl/>
        </w:rPr>
        <w:t>, הרי</w:t>
      </w:r>
      <w:r w:rsidRPr="00E206AF">
        <w:rPr>
          <w:rFonts w:ascii="Century" w:hAnsi="Century" w:cs="Miriam" w:hint="cs"/>
          <w:b/>
          <w:sz w:val="22"/>
          <w:rtl/>
        </w:rPr>
        <w:t xml:space="preserve"> </w:t>
      </w:r>
      <w:r w:rsidRPr="003F2E16">
        <w:rPr>
          <w:rFonts w:ascii="Century" w:hAnsi="Century" w:cs="FrankRuehl" w:hint="eastAsia"/>
          <w:spacing w:val="10"/>
          <w:sz w:val="22"/>
          <w:szCs w:val="28"/>
          <w:rtl/>
        </w:rPr>
        <w:t>ש</w:t>
      </w:r>
      <w:r w:rsidRPr="00E206AF">
        <w:rPr>
          <w:rFonts w:ascii="Arial TUR" w:hAnsi="Arial TUR" w:cs="FrankRuehl" w:hint="cs"/>
          <w:spacing w:val="10"/>
          <w:sz w:val="22"/>
          <w:szCs w:val="28"/>
          <w:rtl/>
        </w:rPr>
        <w:t xml:space="preserve">פגיעה באפשרותה של הרשות השופטת למלא את תפקידה </w:t>
      </w:r>
      <w:r w:rsidRPr="00E206AF">
        <w:rPr>
          <w:rFonts w:ascii="Arial TUR" w:hAnsi="Arial TUR" w:cs="FrankRuehl" w:hint="eastAsia"/>
          <w:spacing w:val="10"/>
          <w:sz w:val="22"/>
          <w:szCs w:val="28"/>
          <w:rtl/>
        </w:rPr>
        <w:t>האמור</w:t>
      </w:r>
      <w:r w:rsidRPr="00E206AF">
        <w:rPr>
          <w:rFonts w:ascii="Arial TUR" w:hAnsi="Arial TUR" w:cs="FrankRuehl" w:hint="cs"/>
          <w:spacing w:val="10"/>
          <w:sz w:val="22"/>
          <w:szCs w:val="28"/>
          <w:rtl/>
        </w:rPr>
        <w:t xml:space="preserve"> פוגעת אף בעיקרון הפרדת הרשויות (</w:t>
      </w:r>
      <w:r w:rsidRPr="00E206AF">
        <w:rPr>
          <w:rFonts w:ascii="Arial TUR" w:hAnsi="Arial TUR" w:cs="FrankRuehl"/>
          <w:color w:val="000000"/>
          <w:spacing w:val="10"/>
          <w:sz w:val="27"/>
          <w:szCs w:val="27"/>
          <w:rtl/>
        </w:rPr>
        <w:t xml:space="preserve">בג"ץ 1993/03 </w:t>
      </w:r>
      <w:r w:rsidRPr="00E206AF">
        <w:rPr>
          <w:rFonts w:ascii="Century" w:hAnsi="Century" w:cs="Miriam"/>
          <w:b/>
          <w:sz w:val="22"/>
          <w:rtl/>
        </w:rPr>
        <w:t>התנועה למען איכות השלטון בישראל נ' ראש הממשלה</w:t>
      </w:r>
      <w:r w:rsidRPr="00E206AF">
        <w:rPr>
          <w:rFonts w:ascii="Arial TUR" w:hAnsi="Arial TUR" w:cs="FrankRuehl" w:hint="cs"/>
          <w:color w:val="000000"/>
          <w:spacing w:val="10"/>
          <w:sz w:val="27"/>
          <w:szCs w:val="27"/>
          <w:rtl/>
        </w:rPr>
        <w:t xml:space="preserve">, פס' 9 לפסק דינו של השופט </w:t>
      </w:r>
      <w:r w:rsidRPr="00E206AF">
        <w:rPr>
          <w:rFonts w:ascii="Century" w:hAnsi="Century" w:cs="Miriam" w:hint="cs"/>
          <w:b/>
          <w:sz w:val="22"/>
          <w:rtl/>
        </w:rPr>
        <w:t>א' ריבלין</w:t>
      </w:r>
      <w:r w:rsidRPr="00E206AF">
        <w:rPr>
          <w:rFonts w:ascii="Arial TUR" w:hAnsi="Arial TUR" w:cs="FrankRuehl"/>
          <w:color w:val="000000"/>
          <w:spacing w:val="10"/>
          <w:sz w:val="27"/>
          <w:szCs w:val="27"/>
          <w:rtl/>
        </w:rPr>
        <w:t xml:space="preserve"> (9.10.</w:t>
      </w:r>
      <w:r w:rsidRPr="00225568">
        <w:rPr>
          <w:rFonts w:ascii="Arial TUR" w:hAnsi="Arial TUR" w:cs="FrankRuehl"/>
          <w:color w:val="000000"/>
          <w:spacing w:val="10"/>
          <w:sz w:val="27"/>
          <w:szCs w:val="27"/>
          <w:rtl/>
        </w:rPr>
        <w:t>2003)</w:t>
      </w:r>
      <w:r w:rsidRPr="00225568">
        <w:rPr>
          <w:rFonts w:ascii="Arial TUR" w:hAnsi="Arial TUR" w:cs="FrankRuehl" w:hint="cs"/>
          <w:spacing w:val="10"/>
          <w:sz w:val="22"/>
          <w:szCs w:val="28"/>
          <w:rtl/>
        </w:rPr>
        <w:t xml:space="preserve">; </w:t>
      </w:r>
      <w:r w:rsidRPr="00225568">
        <w:rPr>
          <w:rFonts w:ascii="Century" w:hAnsi="Century" w:cs="FrankRuehl" w:hint="cs"/>
          <w:spacing w:val="10"/>
          <w:sz w:val="22"/>
          <w:szCs w:val="28"/>
          <w:rtl/>
        </w:rPr>
        <w:t xml:space="preserve">עניין </w:t>
      </w:r>
      <w:r w:rsidRPr="00225568">
        <w:rPr>
          <w:rFonts w:ascii="Century" w:hAnsi="Century" w:cs="Miriam" w:hint="cs"/>
          <w:b/>
          <w:sz w:val="22"/>
          <w:rtl/>
        </w:rPr>
        <w:t>חוף עזה</w:t>
      </w:r>
      <w:r w:rsidRPr="00225568">
        <w:rPr>
          <w:rFonts w:ascii="Arial TUR" w:hAnsi="Arial TUR" w:cs="FrankRuehl" w:hint="cs"/>
          <w:spacing w:val="10"/>
          <w:sz w:val="22"/>
          <w:szCs w:val="28"/>
          <w:rtl/>
        </w:rPr>
        <w:t xml:space="preserve">, בעמ' 755-754; עניין </w:t>
      </w:r>
      <w:r w:rsidRPr="00225568">
        <w:rPr>
          <w:rFonts w:ascii="Century" w:hAnsi="Century" w:cs="Miriam" w:hint="eastAsia"/>
          <w:b/>
          <w:sz w:val="22"/>
          <w:rtl/>
        </w:rPr>
        <w:t>אלכורדי</w:t>
      </w:r>
      <w:r w:rsidRPr="00225568">
        <w:rPr>
          <w:rFonts w:ascii="Century" w:hAnsi="Century" w:cs="FrankRuehl" w:hint="cs"/>
          <w:spacing w:val="10"/>
          <w:sz w:val="22"/>
          <w:szCs w:val="28"/>
          <w:rtl/>
        </w:rPr>
        <w:t>, בעמ'</w:t>
      </w:r>
      <w:r w:rsidRPr="00225568">
        <w:rPr>
          <w:rFonts w:ascii="Century" w:hAnsi="Century" w:cs="Miriam" w:hint="cs"/>
          <w:b/>
          <w:sz w:val="22"/>
          <w:rtl/>
        </w:rPr>
        <w:t xml:space="preserve"> </w:t>
      </w:r>
      <w:r w:rsidRPr="00225568">
        <w:rPr>
          <w:rFonts w:ascii="Arial TUR" w:hAnsi="Arial TUR" w:cs="FrankRuehl" w:hint="cs"/>
          <w:spacing w:val="10"/>
          <w:sz w:val="22"/>
          <w:szCs w:val="28"/>
          <w:rtl/>
        </w:rPr>
        <w:t>74-73).</w:t>
      </w:r>
    </w:p>
    <w:p w:rsidR="00E32081" w:rsidRPr="00225568"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225568">
        <w:rPr>
          <w:rFonts w:ascii="Arial TUR" w:hAnsi="Arial TUR" w:cs="FrankRuehl" w:hint="cs"/>
          <w:spacing w:val="10"/>
          <w:sz w:val="22"/>
          <w:szCs w:val="28"/>
          <w:rtl/>
        </w:rPr>
        <w:t>65.</w:t>
      </w:r>
      <w:r w:rsidRPr="00225568">
        <w:rPr>
          <w:rFonts w:ascii="Arial TUR" w:hAnsi="Arial TUR" w:cs="FrankRuehl" w:hint="cs"/>
          <w:spacing w:val="10"/>
          <w:sz w:val="22"/>
          <w:szCs w:val="28"/>
          <w:rtl/>
        </w:rPr>
        <w:tab/>
        <w:t>אם כן, התכלית</w:t>
      </w:r>
      <w:r w:rsidRPr="00E206AF">
        <w:rPr>
          <w:rFonts w:ascii="Arial TUR" w:hAnsi="Arial TUR" w:cs="FrankRuehl" w:hint="cs"/>
          <w:spacing w:val="10"/>
          <w:sz w:val="22"/>
          <w:szCs w:val="28"/>
          <w:rtl/>
        </w:rPr>
        <w:t xml:space="preserve"> האובייקטיבית של התיקון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המיוסדת על עקרונות שלטון החוק והפרדת הרשויות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תומכת</w:t>
      </w:r>
      <w:r>
        <w:rPr>
          <w:rFonts w:ascii="Arial TUR" w:hAnsi="Arial TUR" w:cs="FrankRuehl" w:hint="cs"/>
          <w:spacing w:val="10"/>
          <w:sz w:val="22"/>
          <w:szCs w:val="28"/>
          <w:rtl/>
        </w:rPr>
        <w:t xml:space="preserve"> אף היא</w:t>
      </w:r>
      <w:r w:rsidRPr="00E206AF">
        <w:rPr>
          <w:rFonts w:ascii="Arial TUR" w:hAnsi="Arial TUR" w:cs="FrankRuehl" w:hint="cs"/>
          <w:spacing w:val="10"/>
          <w:sz w:val="22"/>
          <w:szCs w:val="28"/>
          <w:rtl/>
        </w:rPr>
        <w:t xml:space="preserve"> בפרשנות שלפיה המונח "סבירות" </w:t>
      </w:r>
      <w:r>
        <w:rPr>
          <w:rFonts w:ascii="Arial TUR" w:hAnsi="Arial TUR" w:cs="FrankRuehl" w:hint="cs"/>
          <w:spacing w:val="10"/>
          <w:sz w:val="22"/>
          <w:szCs w:val="28"/>
          <w:rtl/>
        </w:rPr>
        <w:t>בתיקון</w:t>
      </w:r>
      <w:r w:rsidRPr="00E206AF">
        <w:rPr>
          <w:rFonts w:ascii="Arial TUR" w:hAnsi="Arial TUR" w:cs="FrankRuehl" w:hint="cs"/>
          <w:spacing w:val="10"/>
          <w:sz w:val="22"/>
          <w:szCs w:val="28"/>
          <w:rtl/>
        </w:rPr>
        <w:t xml:space="preserve"> מתייחס רק לסבירות איזונית, ולא לסבירות המקורית.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hint="cs"/>
          <w:spacing w:val="10"/>
          <w:sz w:val="22"/>
          <w:szCs w:val="28"/>
          <w:rtl/>
        </w:rPr>
        <w:t>6</w:t>
      </w:r>
      <w:r>
        <w:rPr>
          <w:rFonts w:ascii="Arial TUR" w:hAnsi="Arial TUR" w:cs="FrankRuehl" w:hint="cs"/>
          <w:spacing w:val="10"/>
          <w:sz w:val="22"/>
          <w:szCs w:val="28"/>
          <w:rtl/>
        </w:rPr>
        <w:t>6</w:t>
      </w:r>
      <w:r w:rsidRPr="00E206AF">
        <w:rPr>
          <w:rFonts w:ascii="Arial TUR" w:hAnsi="Arial TUR" w:cs="FrankRuehl" w:hint="cs"/>
          <w:spacing w:val="10"/>
          <w:sz w:val="22"/>
          <w:szCs w:val="28"/>
          <w:rtl/>
        </w:rPr>
        <w:t>.</w:t>
      </w:r>
      <w:r w:rsidRPr="00E206AF">
        <w:rPr>
          <w:rFonts w:ascii="Arial TUR" w:hAnsi="Arial TUR" w:cs="FrankRuehl" w:hint="cs"/>
          <w:spacing w:val="10"/>
          <w:sz w:val="22"/>
          <w:szCs w:val="28"/>
          <w:rtl/>
        </w:rPr>
        <w:tab/>
        <w:t>לסיכום</w:t>
      </w:r>
      <w:r>
        <w:rPr>
          <w:rFonts w:ascii="Arial TUR" w:hAnsi="Arial TUR" w:cs="FrankRuehl" w:hint="cs"/>
          <w:spacing w:val="10"/>
          <w:sz w:val="22"/>
          <w:szCs w:val="28"/>
          <w:rtl/>
        </w:rPr>
        <w:t xml:space="preserve"> האמור</w:t>
      </w:r>
      <w:r w:rsidRPr="00E206AF">
        <w:rPr>
          <w:rFonts w:ascii="Arial TUR" w:hAnsi="Arial TUR" w:cs="FrankRuehl" w:hint="cs"/>
          <w:spacing w:val="10"/>
          <w:sz w:val="22"/>
          <w:szCs w:val="28"/>
          <w:rtl/>
        </w:rPr>
        <w:t xml:space="preserve"> עד כה</w:t>
      </w:r>
      <w:r>
        <w:rPr>
          <w:rFonts w:ascii="Arial TUR" w:hAnsi="Arial TUR" w:cs="FrankRuehl" w:hint="cs"/>
          <w:spacing w:val="10"/>
          <w:sz w:val="22"/>
          <w:szCs w:val="28"/>
          <w:rtl/>
        </w:rPr>
        <w:t xml:space="preserve"> ביחס לפרשנות התיקון:</w:t>
      </w:r>
      <w:r w:rsidRPr="00E206AF">
        <w:rPr>
          <w:rFonts w:ascii="Arial TUR" w:hAnsi="Arial TUR" w:cs="FrankRuehl" w:hint="cs"/>
          <w:spacing w:val="10"/>
          <w:sz w:val="22"/>
          <w:szCs w:val="28"/>
          <w:rtl/>
        </w:rPr>
        <w:t xml:space="preserve"> פרשנות שלפיה המונח "סבירות" בתיקון מתייחס לעילת הסבירות האיזונית בלבד</w:t>
      </w:r>
      <w:r>
        <w:rPr>
          <w:rFonts w:ascii="Arial TUR" w:hAnsi="Arial TUR" w:cs="FrankRuehl" w:hint="cs"/>
          <w:spacing w:val="10"/>
          <w:sz w:val="22"/>
          <w:szCs w:val="28"/>
          <w:rtl/>
        </w:rPr>
        <w:t>,</w:t>
      </w:r>
      <w:r w:rsidRPr="00E206AF">
        <w:rPr>
          <w:rFonts w:ascii="Arial TUR" w:hAnsi="Arial TUR" w:cs="FrankRuehl" w:hint="cs"/>
          <w:spacing w:val="10"/>
          <w:sz w:val="22"/>
          <w:szCs w:val="28"/>
          <w:rtl/>
        </w:rPr>
        <w:t xml:space="preserve"> היא פרשנות אפשרית מבחינ</w:t>
      </w:r>
      <w:r>
        <w:rPr>
          <w:rFonts w:ascii="Arial TUR" w:hAnsi="Arial TUR" w:cs="FrankRuehl" w:hint="cs"/>
          <w:spacing w:val="10"/>
          <w:sz w:val="22"/>
          <w:szCs w:val="28"/>
          <w:rtl/>
        </w:rPr>
        <w:t>ה לשונית</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יש לה יסוד</w:t>
      </w:r>
      <w:r w:rsidRPr="00E206AF">
        <w:rPr>
          <w:rFonts w:ascii="Century" w:hAnsi="Century" w:cs="FrankRuehl" w:hint="cs"/>
          <w:spacing w:val="10"/>
          <w:sz w:val="22"/>
          <w:szCs w:val="28"/>
          <w:rtl/>
        </w:rPr>
        <w:t xml:space="preserve"> בתכלית הסובייקטיבית; והיא מגשימה באופן מיטבי את התכלית האובייקטיבית. </w:t>
      </w:r>
      <w:r>
        <w:rPr>
          <w:rFonts w:ascii="Century" w:hAnsi="Century" w:cs="FrankRuehl" w:hint="cs"/>
          <w:spacing w:val="10"/>
          <w:sz w:val="22"/>
          <w:szCs w:val="28"/>
          <w:rtl/>
        </w:rPr>
        <w:t>לפיכך, בהתאם לדיני הפרשנות הנוהגים עמנו, זוהי המשמעות שיש לצקת לתיקון וכך יש לפרשו.</w:t>
      </w:r>
    </w:p>
    <w:p w:rsidR="00E32081"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Pr>
          <w:rFonts w:ascii="Arial TUR" w:hAnsi="Arial TUR" w:cs="FrankRuehl"/>
          <w:spacing w:val="10"/>
          <w:sz w:val="22"/>
          <w:szCs w:val="28"/>
          <w:rtl/>
        </w:rPr>
        <w:tab/>
      </w:r>
      <w:r>
        <w:rPr>
          <w:rFonts w:ascii="Arial TUR" w:hAnsi="Arial TUR" w:cs="FrankRuehl" w:hint="cs"/>
          <w:spacing w:val="10"/>
          <w:sz w:val="22"/>
          <w:szCs w:val="28"/>
          <w:rtl/>
        </w:rPr>
        <w:t xml:space="preserve">אמנם, אף </w:t>
      </w:r>
      <w:r w:rsidRPr="00E206AF">
        <w:rPr>
          <w:rFonts w:ascii="Arial TUR" w:hAnsi="Arial TUR" w:cs="FrankRuehl" w:hint="cs"/>
          <w:spacing w:val="10"/>
          <w:sz w:val="22"/>
          <w:szCs w:val="28"/>
          <w:rtl/>
        </w:rPr>
        <w:t>פרשנות שלפיה המונח "סבירות" בתיקון מתייחס גם לסבירות המקורית,</w:t>
      </w:r>
      <w:r>
        <w:rPr>
          <w:rFonts w:ascii="Arial TUR" w:hAnsi="Arial TUR" w:cs="FrankRuehl" w:hint="cs"/>
          <w:spacing w:val="10"/>
          <w:sz w:val="22"/>
          <w:szCs w:val="28"/>
          <w:rtl/>
        </w:rPr>
        <w:t xml:space="preserve"> היא</w:t>
      </w:r>
      <w:r w:rsidRPr="00E206AF">
        <w:rPr>
          <w:rFonts w:ascii="Arial TUR" w:hAnsi="Arial TUR" w:cs="FrankRuehl" w:hint="cs"/>
          <w:spacing w:val="10"/>
          <w:sz w:val="22"/>
          <w:szCs w:val="28"/>
          <w:rtl/>
        </w:rPr>
        <w:t xml:space="preserve"> אפשרית מבחינה לשונית</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w:t>
      </w:r>
      <w:r>
        <w:rPr>
          <w:rFonts w:ascii="Arial TUR" w:hAnsi="Arial TUR" w:cs="FrankRuehl" w:hint="cs"/>
          <w:spacing w:val="10"/>
          <w:sz w:val="22"/>
          <w:szCs w:val="28"/>
          <w:rtl/>
        </w:rPr>
        <w:t>ואולם</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w:t>
      </w:r>
      <w:r w:rsidRPr="00E206AF">
        <w:rPr>
          <w:rFonts w:ascii="Arial TUR" w:hAnsi="Arial TUR" w:cs="FrankRuehl" w:hint="eastAsia"/>
          <w:spacing w:val="10"/>
          <w:sz w:val="22"/>
          <w:szCs w:val="28"/>
          <w:rtl/>
        </w:rPr>
        <w:t>פרשנות</w:t>
      </w:r>
      <w:r w:rsidRPr="00E206AF">
        <w:rPr>
          <w:rFonts w:ascii="Arial TUR" w:hAnsi="Arial TUR" w:cs="FrankRuehl"/>
          <w:spacing w:val="10"/>
          <w:sz w:val="22"/>
          <w:szCs w:val="28"/>
          <w:rtl/>
        </w:rPr>
        <w:t xml:space="preserve"> זו עשויה לעורר קשיים מהותיים </w:t>
      </w:r>
      <w:r w:rsidRPr="00E206AF">
        <w:rPr>
          <w:rFonts w:ascii="Arial TUR" w:hAnsi="Arial TUR" w:cs="FrankRuehl" w:hint="eastAsia"/>
          <w:spacing w:val="10"/>
          <w:sz w:val="22"/>
          <w:szCs w:val="28"/>
          <w:rtl/>
        </w:rPr>
        <w:t>במישור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שלטון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החוק</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והפרדת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הרשויות</w:t>
      </w:r>
      <w:r w:rsidRPr="00E206AF">
        <w:rPr>
          <w:rFonts w:ascii="Arial TUR" w:hAnsi="Arial TUR" w:cs="FrankRuehl" w:hint="cs"/>
          <w:spacing w:val="10"/>
          <w:sz w:val="22"/>
          <w:szCs w:val="28"/>
          <w:rtl/>
        </w:rPr>
        <w:t>,</w:t>
      </w:r>
      <w:r>
        <w:rPr>
          <w:rFonts w:ascii="Arial TUR" w:hAnsi="Arial TUR" w:cs="FrankRuehl" w:hint="cs"/>
          <w:spacing w:val="10"/>
          <w:sz w:val="22"/>
          <w:szCs w:val="28"/>
          <w:rtl/>
        </w:rPr>
        <w:t xml:space="preserve"> וממילא מגשימה במידה פחותה את תכליתו האובייקטיבית של התיקון, ולפיכך אין לאמצה.</w:t>
      </w:r>
      <w:r w:rsidRPr="00E206AF">
        <w:rPr>
          <w:rFonts w:ascii="Arial TUR" w:hAnsi="Arial TUR"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Century" w:hAnsi="Century" w:cs="FrankRuehl" w:hint="cs"/>
          <w:spacing w:val="10"/>
          <w:sz w:val="22"/>
          <w:szCs w:val="28"/>
          <w:rtl/>
        </w:rPr>
        <w:t>6</w:t>
      </w:r>
      <w:r>
        <w:rPr>
          <w:rFonts w:ascii="Century" w:hAnsi="Century" w:cs="FrankRuehl" w:hint="cs"/>
          <w:spacing w:val="10"/>
          <w:sz w:val="22"/>
          <w:szCs w:val="28"/>
          <w:rtl/>
        </w:rPr>
        <w:t>7</w:t>
      </w:r>
      <w:r w:rsidRPr="00E206AF">
        <w:rPr>
          <w:rFonts w:ascii="Century" w:hAnsi="Century" w:cs="FrankRuehl" w:hint="cs"/>
          <w:spacing w:val="10"/>
          <w:sz w:val="22"/>
          <w:szCs w:val="28"/>
          <w:rtl/>
        </w:rPr>
        <w:t>.</w:t>
      </w:r>
      <w:r w:rsidRPr="00E206AF">
        <w:rPr>
          <w:rFonts w:ascii="Century" w:hAnsi="Century" w:cs="FrankRuehl" w:hint="cs"/>
          <w:spacing w:val="10"/>
          <w:sz w:val="22"/>
          <w:szCs w:val="28"/>
          <w:rtl/>
        </w:rPr>
        <w:tab/>
        <w:t xml:space="preserve">עתה, עלינו לבחון האם התיקון, </w:t>
      </w:r>
      <w:r w:rsidRPr="008F478C">
        <w:rPr>
          <w:rFonts w:ascii="Miriam" w:hAnsi="Miriam" w:cs="Miriam" w:hint="eastAsia"/>
          <w:spacing w:val="10"/>
          <w:sz w:val="24"/>
          <w:rtl/>
        </w:rPr>
        <w:t>בהינתן</w:t>
      </w:r>
      <w:r w:rsidRPr="008F478C">
        <w:rPr>
          <w:rFonts w:ascii="Miriam" w:hAnsi="Miriam" w:cs="Miriam"/>
          <w:spacing w:val="10"/>
          <w:sz w:val="24"/>
          <w:rtl/>
        </w:rPr>
        <w:t xml:space="preserve"> </w:t>
      </w:r>
      <w:r w:rsidRPr="00BA5B68">
        <w:rPr>
          <w:rFonts w:ascii="Century" w:hAnsi="Century" w:cs="Miriam" w:hint="eastAsia"/>
          <w:b/>
          <w:sz w:val="22"/>
          <w:rtl/>
        </w:rPr>
        <w:t>הפרשנות</w:t>
      </w:r>
      <w:r w:rsidRPr="00BA5B68">
        <w:rPr>
          <w:rFonts w:ascii="Century" w:hAnsi="Century" w:cs="Miriam"/>
          <w:b/>
          <w:sz w:val="22"/>
          <w:rtl/>
        </w:rPr>
        <w:t xml:space="preserve"> </w:t>
      </w:r>
      <w:r w:rsidRPr="00BA5B68">
        <w:rPr>
          <w:rFonts w:ascii="Century" w:hAnsi="Century" w:cs="Miriam" w:hint="eastAsia"/>
          <w:b/>
          <w:sz w:val="22"/>
          <w:rtl/>
        </w:rPr>
        <w:t>האמורה</w:t>
      </w:r>
      <w:r>
        <w:rPr>
          <w:rFonts w:ascii="Century" w:hAnsi="Century" w:cs="FrankRuehl" w:hint="cs"/>
          <w:spacing w:val="10"/>
          <w:sz w:val="22"/>
          <w:szCs w:val="28"/>
          <w:rtl/>
        </w:rPr>
        <w:t xml:space="preserve"> </w:t>
      </w:r>
      <w:r w:rsidRPr="00E206AF">
        <w:rPr>
          <w:rFonts w:ascii="Arial TUR" w:hAnsi="Arial TUR" w:cs="FrankRuehl"/>
          <w:spacing w:val="10"/>
          <w:sz w:val="22"/>
          <w:szCs w:val="28"/>
          <w:rtl/>
        </w:rPr>
        <w:t>לחוק</w:t>
      </w:r>
      <w:r w:rsidRPr="00A77267">
        <w:rPr>
          <w:rFonts w:ascii="Arial TUR" w:hAnsi="Arial TUR" w:cs="FrankRuehl"/>
          <w:spacing w:val="10"/>
          <w:sz w:val="22"/>
          <w:szCs w:val="28"/>
          <w:rtl/>
        </w:rPr>
        <w:t>,</w:t>
      </w:r>
      <w:r w:rsidRPr="00733538">
        <w:rPr>
          <w:rFonts w:ascii="Arial TUR" w:hAnsi="Arial TUR" w:cs="FrankRuehl"/>
          <w:spacing w:val="10"/>
          <w:sz w:val="22"/>
          <w:szCs w:val="28"/>
          <w:rtl/>
        </w:rPr>
        <w:t xml:space="preserve"> </w:t>
      </w:r>
      <w:r w:rsidRPr="00E206AF">
        <w:rPr>
          <w:rFonts w:ascii="Arial TUR" w:hAnsi="Arial TUR" w:cs="FrankRuehl"/>
          <w:spacing w:val="10"/>
          <w:sz w:val="22"/>
          <w:szCs w:val="28"/>
          <w:rtl/>
        </w:rPr>
        <w:t xml:space="preserve">עומד באמות המידה שהותוו לביטול חוק יסוד, כפי שנקבעו </w:t>
      </w:r>
      <w:r w:rsidRPr="00E206AF">
        <w:rPr>
          <w:rFonts w:ascii="Arial TUR" w:hAnsi="Arial TUR" w:cs="FrankRuehl" w:hint="eastAsia"/>
          <w:spacing w:val="10"/>
          <w:sz w:val="22"/>
          <w:szCs w:val="28"/>
          <w:rtl/>
        </w:rPr>
        <w:t>בפסיקה</w:t>
      </w:r>
      <w:r w:rsidRPr="00A77267">
        <w:rPr>
          <w:rFonts w:ascii="Century" w:hAnsi="Century" w:cs="FrankRuehl"/>
          <w:spacing w:val="10"/>
          <w:sz w:val="22"/>
          <w:szCs w:val="28"/>
          <w:rtl/>
        </w:rPr>
        <w:t xml:space="preserve">. </w:t>
      </w:r>
      <w:r>
        <w:rPr>
          <w:rFonts w:ascii="Century" w:hAnsi="Century" w:cs="FrankRuehl" w:hint="cs"/>
          <w:spacing w:val="10"/>
          <w:sz w:val="22"/>
          <w:szCs w:val="28"/>
          <w:rtl/>
        </w:rPr>
        <w:t>ובמילים אחרות: האם התיקון</w:t>
      </w:r>
      <w:r w:rsidRPr="00E206AF">
        <w:rPr>
          <w:rFonts w:ascii="Century" w:hAnsi="Century" w:cs="FrankRuehl" w:hint="cs"/>
          <w:spacing w:val="10"/>
          <w:sz w:val="22"/>
          <w:szCs w:val="28"/>
          <w:rtl/>
        </w:rPr>
        <w:t xml:space="preserve"> פוגע בליבת הזהות הדמוקרטית של מדינת ישראל.</w:t>
      </w:r>
      <w:r>
        <w:rPr>
          <w:rFonts w:ascii="Century" w:hAnsi="Century" w:cs="FrankRuehl" w:hint="cs"/>
          <w:spacing w:val="10"/>
          <w:sz w:val="22"/>
          <w:szCs w:val="28"/>
          <w:rtl/>
        </w:rPr>
        <w:t xml:space="preserve"> </w:t>
      </w:r>
      <w:r w:rsidRPr="00A77267">
        <w:rPr>
          <w:rFonts w:ascii="Century" w:hAnsi="Century" w:cs="FrankRuehl" w:hint="eastAsia"/>
          <w:spacing w:val="10"/>
          <w:sz w:val="22"/>
          <w:szCs w:val="28"/>
          <w:rtl/>
        </w:rPr>
        <w:t>אקדים</w:t>
      </w:r>
      <w:r w:rsidRPr="00A77267">
        <w:rPr>
          <w:rFonts w:ascii="Century" w:hAnsi="Century" w:cs="FrankRuehl"/>
          <w:spacing w:val="10"/>
          <w:sz w:val="22"/>
          <w:szCs w:val="28"/>
          <w:rtl/>
        </w:rPr>
        <w:t xml:space="preserve"> וא</w:t>
      </w:r>
      <w:r w:rsidRPr="008F478C">
        <w:rPr>
          <w:rFonts w:ascii="Century" w:hAnsi="Century" w:cs="FrankRuehl"/>
          <w:spacing w:val="10"/>
          <w:sz w:val="22"/>
          <w:szCs w:val="28"/>
          <w:rtl/>
        </w:rPr>
        <w:t xml:space="preserve">ציין כי </w:t>
      </w:r>
      <w:r>
        <w:rPr>
          <w:rFonts w:ascii="Century" w:hAnsi="Century" w:cs="FrankRuehl" w:hint="cs"/>
          <w:spacing w:val="10"/>
          <w:sz w:val="22"/>
          <w:szCs w:val="28"/>
          <w:rtl/>
        </w:rPr>
        <w:t xml:space="preserve">דעתי היא </w:t>
      </w:r>
      <w:r w:rsidRPr="00E206AF">
        <w:rPr>
          <w:rFonts w:ascii="Century" w:hAnsi="Century" w:cs="FrankRuehl" w:hint="cs"/>
          <w:spacing w:val="10"/>
          <w:sz w:val="22"/>
          <w:szCs w:val="28"/>
          <w:rtl/>
        </w:rPr>
        <w:t>שיש</w:t>
      </w:r>
      <w:r>
        <w:rPr>
          <w:rFonts w:ascii="Century" w:hAnsi="Century" w:cs="FrankRuehl" w:hint="cs"/>
          <w:spacing w:val="10"/>
          <w:sz w:val="22"/>
          <w:szCs w:val="28"/>
          <w:rtl/>
        </w:rPr>
        <w:t xml:space="preserve"> להשיב בשלילה לשאלה זו,</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ו</w:t>
      </w:r>
      <w:r w:rsidRPr="00E206AF">
        <w:rPr>
          <w:rFonts w:ascii="Century" w:hAnsi="Century" w:cs="FrankRuehl" w:hint="cs"/>
          <w:spacing w:val="10"/>
          <w:sz w:val="22"/>
          <w:szCs w:val="28"/>
          <w:rtl/>
        </w:rPr>
        <w:t xml:space="preserve">להלן אבאר מסקנתי זו. לצד זאת, חשוב לזכור ולהדגיש, כי </w:t>
      </w:r>
      <w:r w:rsidRPr="00E206AF">
        <w:rPr>
          <w:rFonts w:ascii="Century" w:hAnsi="Century" w:cs="FrankRuehl" w:hint="cs"/>
          <w:spacing w:val="10"/>
          <w:sz w:val="22"/>
          <w:szCs w:val="28"/>
          <w:rtl/>
        </w:rPr>
        <w:lastRenderedPageBreak/>
        <w:t>העותרים עצמם אינם טוענים אחרת בעתירותיהם</w:t>
      </w:r>
      <w:r>
        <w:rPr>
          <w:rFonts w:ascii="Arial TUR" w:hAnsi="Arial TUR" w:cs="FrankRuehl" w:hint="cs"/>
          <w:spacing w:val="10"/>
          <w:sz w:val="22"/>
          <w:szCs w:val="28"/>
          <w:rtl/>
        </w:rPr>
        <w:t>, וכך גם היועצת המשפטית לממשלה בעמדתה.</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Miriam"/>
          <w:b/>
          <w:sz w:val="22"/>
          <w:rtl/>
        </w:rPr>
      </w:pPr>
      <w:r w:rsidRPr="00E206AF">
        <w:rPr>
          <w:rFonts w:ascii="Century" w:hAnsi="Century" w:cs="Miriam" w:hint="cs"/>
          <w:b/>
          <w:sz w:val="22"/>
          <w:rtl/>
        </w:rPr>
        <w:t>אמות המידה לביטול חוק יסוד</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Century" w:hAnsi="Century" w:cs="Miriam" w:hint="cs"/>
          <w:b/>
          <w:sz w:val="22"/>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hint="cs"/>
          <w:spacing w:val="10"/>
          <w:sz w:val="22"/>
          <w:szCs w:val="28"/>
          <w:rtl/>
        </w:rPr>
        <w:t>6</w:t>
      </w:r>
      <w:r>
        <w:rPr>
          <w:rFonts w:ascii="Arial TUR" w:hAnsi="Arial TUR" w:cs="FrankRuehl" w:hint="cs"/>
          <w:spacing w:val="10"/>
          <w:sz w:val="22"/>
          <w:szCs w:val="28"/>
          <w:rtl/>
        </w:rPr>
        <w:t>8</w:t>
      </w:r>
      <w:r w:rsidRPr="00E206AF">
        <w:rPr>
          <w:rFonts w:ascii="Arial TUR" w:hAnsi="Arial TUR" w:cs="FrankRuehl" w:hint="cs"/>
          <w:spacing w:val="10"/>
          <w:sz w:val="22"/>
          <w:szCs w:val="28"/>
          <w:rtl/>
        </w:rPr>
        <w:t>.</w:t>
      </w:r>
      <w:r w:rsidRPr="00E206AF">
        <w:rPr>
          <w:rFonts w:ascii="Arial TUR" w:hAnsi="Arial TUR" w:cs="FrankRuehl" w:hint="cs"/>
          <w:spacing w:val="10"/>
          <w:sz w:val="22"/>
          <w:szCs w:val="28"/>
          <w:rtl/>
        </w:rPr>
        <w:tab/>
        <w:t xml:space="preserve">כאמור, בעניין </w:t>
      </w:r>
      <w:r w:rsidRPr="00E206AF">
        <w:rPr>
          <w:rFonts w:ascii="Century" w:hAnsi="Century" w:cs="Miriam" w:hint="cs"/>
          <w:b/>
          <w:sz w:val="22"/>
          <w:rtl/>
        </w:rPr>
        <w:t>חוק הלאום</w:t>
      </w:r>
      <w:r w:rsidRPr="00E206AF">
        <w:rPr>
          <w:rFonts w:ascii="Century" w:hAnsi="Century" w:cs="FrankRuehl" w:hint="cs"/>
          <w:spacing w:val="10"/>
          <w:sz w:val="22"/>
          <w:szCs w:val="28"/>
          <w:rtl/>
        </w:rPr>
        <w:t>,</w:t>
      </w:r>
      <w:r w:rsidRPr="00E206AF">
        <w:rPr>
          <w:rFonts w:ascii="Century" w:hAnsi="Century" w:cs="Miriam" w:hint="cs"/>
          <w:b/>
          <w:sz w:val="22"/>
          <w:rtl/>
        </w:rPr>
        <w:t xml:space="preserve"> </w:t>
      </w:r>
      <w:r w:rsidRPr="00E206AF">
        <w:rPr>
          <w:rFonts w:ascii="Century" w:hAnsi="Century" w:cs="FrankRuehl" w:hint="cs"/>
          <w:spacing w:val="10"/>
          <w:sz w:val="22"/>
          <w:szCs w:val="28"/>
          <w:rtl/>
        </w:rPr>
        <w:t xml:space="preserve">נקבע כי "בשלב זה של המפעל החוקתי הישראלי קיימות מגבלות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צרות ביותר בהיקפן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על סמכותה של הרשות המכוננת, המתמצות בשלילת זהותה של מדינת ישראל כמדינה יהודית ודמוקרטית" (שם, בפס' 27 לפסק דינה של הנשיאה </w:t>
      </w:r>
      <w:r w:rsidRPr="00E206AF">
        <w:rPr>
          <w:rFonts w:ascii="Century" w:hAnsi="Century" w:cs="Miriam" w:hint="cs"/>
          <w:b/>
          <w:sz w:val="22"/>
          <w:rtl/>
        </w:rPr>
        <w:t>חיות</w:t>
      </w:r>
      <w:r w:rsidRPr="00E206AF">
        <w:rPr>
          <w:rFonts w:ascii="Century" w:hAnsi="Century" w:cs="FrankRuehl" w:hint="cs"/>
          <w:spacing w:val="10"/>
          <w:sz w:val="22"/>
          <w:szCs w:val="28"/>
          <w:rtl/>
        </w:rPr>
        <w:t xml:space="preserve">). הודגש, כי חוק יסוד ייחשב ככזה אשר חורג ממגבלות אלו רק ב"מצבים חריגים של </w:t>
      </w:r>
      <w:r w:rsidRPr="00E206AF">
        <w:rPr>
          <w:rFonts w:ascii="Century" w:hAnsi="Century" w:cs="Miriam" w:hint="cs"/>
          <w:b/>
          <w:sz w:val="22"/>
          <w:rtl/>
        </w:rPr>
        <w:t>שינוי חוקתי השולל את ליבת הזהות היהודית או הדמוקרטית של המדינה</w:t>
      </w:r>
      <w:r w:rsidRPr="00E206AF">
        <w:rPr>
          <w:rFonts w:ascii="Century" w:hAnsi="Century" w:cs="FrankRuehl" w:hint="cs"/>
          <w:spacing w:val="10"/>
          <w:sz w:val="22"/>
          <w:szCs w:val="28"/>
          <w:rtl/>
        </w:rPr>
        <w:t xml:space="preserve">", שבהם "הוראה חוקתית פוגעת </w:t>
      </w:r>
      <w:r w:rsidRPr="00E206AF">
        <w:rPr>
          <w:rFonts w:ascii="Century" w:hAnsi="Century" w:cs="Miriam" w:hint="cs"/>
          <w:b/>
          <w:sz w:val="22"/>
          <w:rtl/>
        </w:rPr>
        <w:t xml:space="preserve">פגיעה אנושה </w:t>
      </w:r>
      <w:r w:rsidRPr="00E206AF">
        <w:rPr>
          <w:rFonts w:ascii="Century" w:hAnsi="Century" w:cs="FrankRuehl" w:hint="cs"/>
          <w:spacing w:val="10"/>
          <w:sz w:val="22"/>
          <w:szCs w:val="28"/>
          <w:rtl/>
        </w:rPr>
        <w:t xml:space="preserve">באופייה היהודי או הדמוקרטי של המדינה, עד כי אין כל דרך ליישב מבחינה מושגית ופרקטית בין הוראה זו ובין מרכיביה אלה של זהות המדינה" (שם, בפס' 29-28; ההדגשות במקור), כחלק מאותם עקרונות ליבה, הוזכרו למשל </w:t>
      </w:r>
      <w:r w:rsidRPr="00E206AF">
        <w:rPr>
          <w:rFonts w:ascii="Arial TUR" w:hAnsi="Arial TUR" w:cs="FrankRuehl" w:hint="cs"/>
          <w:spacing w:val="10"/>
          <w:sz w:val="22"/>
          <w:szCs w:val="28"/>
          <w:rtl/>
        </w:rPr>
        <w:t>'</w:t>
      </w:r>
      <w:r w:rsidRPr="00E206AF">
        <w:rPr>
          <w:rFonts w:ascii="Arial TUR" w:hAnsi="Arial TUR" w:cs="FrankRuehl" w:hint="eastAsia"/>
          <w:spacing w:val="10"/>
          <w:sz w:val="22"/>
          <w:szCs w:val="28"/>
          <w:rtl/>
        </w:rPr>
        <w:t>בחירות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חופשיות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ושוות</w:t>
      </w:r>
      <w:r w:rsidRPr="00E206AF">
        <w:rPr>
          <w:rFonts w:ascii="Arial TUR" w:hAnsi="Arial TUR" w:cs="FrankRuehl"/>
          <w:spacing w:val="10"/>
          <w:sz w:val="22"/>
          <w:szCs w:val="28"/>
          <w:rtl/>
        </w:rPr>
        <w:t xml:space="preserve">; </w:t>
      </w:r>
      <w:r w:rsidRPr="00E206AF">
        <w:rPr>
          <w:rFonts w:ascii="Century" w:hAnsi="Century" w:cs="Miriam" w:hint="eastAsia"/>
          <w:b/>
          <w:sz w:val="22"/>
          <w:rtl/>
        </w:rPr>
        <w:t>הכרה</w:t>
      </w:r>
      <w:r w:rsidRPr="00E206AF">
        <w:rPr>
          <w:rFonts w:ascii="Century" w:hAnsi="Century" w:cs="Miriam"/>
          <w:b/>
          <w:sz w:val="22"/>
          <w:rtl/>
        </w:rPr>
        <w:t xml:space="preserve"> </w:t>
      </w:r>
      <w:r w:rsidRPr="00E206AF">
        <w:rPr>
          <w:rFonts w:ascii="Century" w:hAnsi="Century" w:cs="Miriam" w:hint="eastAsia"/>
          <w:b/>
          <w:sz w:val="22"/>
          <w:rtl/>
        </w:rPr>
        <w:t>בגרעין</w:t>
      </w:r>
      <w:r w:rsidRPr="00E206AF">
        <w:rPr>
          <w:rFonts w:ascii="Century" w:hAnsi="Century" w:cs="Miriam"/>
          <w:b/>
          <w:sz w:val="22"/>
          <w:rtl/>
        </w:rPr>
        <w:t xml:space="preserve"> </w:t>
      </w:r>
      <w:r w:rsidRPr="00E206AF">
        <w:rPr>
          <w:rFonts w:ascii="Century" w:hAnsi="Century" w:cs="Miriam" w:hint="eastAsia"/>
          <w:b/>
          <w:sz w:val="22"/>
          <w:rtl/>
        </w:rPr>
        <w:t>של</w:t>
      </w:r>
      <w:r w:rsidRPr="00E206AF">
        <w:rPr>
          <w:rFonts w:ascii="Century" w:hAnsi="Century" w:cs="Miriam"/>
          <w:b/>
          <w:sz w:val="22"/>
          <w:rtl/>
        </w:rPr>
        <w:t xml:space="preserve"> </w:t>
      </w:r>
      <w:r w:rsidRPr="00E206AF">
        <w:rPr>
          <w:rFonts w:ascii="Century" w:hAnsi="Century" w:cs="Miriam" w:hint="eastAsia"/>
          <w:b/>
          <w:sz w:val="22"/>
          <w:rtl/>
        </w:rPr>
        <w:t>זכויות</w:t>
      </w:r>
      <w:r w:rsidRPr="00E206AF">
        <w:rPr>
          <w:rFonts w:ascii="Century" w:hAnsi="Century" w:cs="Miriam"/>
          <w:b/>
          <w:sz w:val="22"/>
          <w:rtl/>
        </w:rPr>
        <w:t xml:space="preserve"> </w:t>
      </w:r>
      <w:r w:rsidRPr="00E206AF">
        <w:rPr>
          <w:rFonts w:ascii="Century" w:hAnsi="Century" w:cs="Miriam" w:hint="eastAsia"/>
          <w:b/>
          <w:sz w:val="22"/>
          <w:rtl/>
        </w:rPr>
        <w:t>אדם</w:t>
      </w:r>
      <w:r w:rsidRPr="00E206AF">
        <w:rPr>
          <w:rFonts w:ascii="Arial TUR" w:hAnsi="Arial TUR" w:cs="FrankRuehl"/>
          <w:spacing w:val="10"/>
          <w:sz w:val="22"/>
          <w:szCs w:val="28"/>
          <w:rtl/>
        </w:rPr>
        <w:t xml:space="preserve"> [...]; </w:t>
      </w:r>
      <w:r w:rsidRPr="00E206AF">
        <w:rPr>
          <w:rFonts w:ascii="Century" w:hAnsi="Century" w:cs="Miriam" w:hint="eastAsia"/>
          <w:b/>
          <w:sz w:val="22"/>
          <w:rtl/>
        </w:rPr>
        <w:t>קיום</w:t>
      </w:r>
      <w:r w:rsidRPr="00E206AF">
        <w:rPr>
          <w:rFonts w:ascii="Century" w:hAnsi="Century" w:cs="Miriam"/>
          <w:b/>
          <w:sz w:val="22"/>
          <w:rtl/>
        </w:rPr>
        <w:t xml:space="preserve"> </w:t>
      </w:r>
      <w:r w:rsidRPr="00E206AF">
        <w:rPr>
          <w:rFonts w:ascii="Century" w:hAnsi="Century" w:cs="Miriam" w:hint="eastAsia"/>
          <w:b/>
          <w:sz w:val="22"/>
          <w:rtl/>
        </w:rPr>
        <w:t>הפרדת</w:t>
      </w:r>
      <w:r w:rsidRPr="00E206AF">
        <w:rPr>
          <w:rFonts w:ascii="Century" w:hAnsi="Century" w:cs="Miriam"/>
          <w:b/>
          <w:sz w:val="22"/>
          <w:rtl/>
        </w:rPr>
        <w:t xml:space="preserve"> </w:t>
      </w:r>
      <w:r w:rsidRPr="00E206AF">
        <w:rPr>
          <w:rFonts w:ascii="Century" w:hAnsi="Century" w:cs="Miriam" w:hint="eastAsia"/>
          <w:b/>
          <w:sz w:val="22"/>
          <w:rtl/>
        </w:rPr>
        <w:t>רשויות</w:t>
      </w:r>
      <w:r w:rsidRPr="00E206AF">
        <w:rPr>
          <w:rFonts w:ascii="Century" w:hAnsi="Century" w:cs="Miriam"/>
          <w:b/>
          <w:sz w:val="22"/>
          <w:rtl/>
        </w:rPr>
        <w:t xml:space="preserve">; </w:t>
      </w:r>
      <w:r w:rsidRPr="00E206AF">
        <w:rPr>
          <w:rFonts w:ascii="Century" w:hAnsi="Century" w:cs="Miriam" w:hint="eastAsia"/>
          <w:b/>
          <w:sz w:val="22"/>
          <w:rtl/>
        </w:rPr>
        <w:t>שלטון</w:t>
      </w:r>
      <w:r w:rsidRPr="00E206AF">
        <w:rPr>
          <w:rFonts w:ascii="Century" w:hAnsi="Century" w:cs="Miriam"/>
          <w:b/>
          <w:sz w:val="22"/>
          <w:rtl/>
        </w:rPr>
        <w:t xml:space="preserve"> </w:t>
      </w:r>
      <w:r w:rsidRPr="00E206AF">
        <w:rPr>
          <w:rFonts w:ascii="Century" w:hAnsi="Century" w:cs="Miriam" w:hint="eastAsia"/>
          <w:b/>
          <w:sz w:val="22"/>
          <w:rtl/>
        </w:rPr>
        <w:t>החוק</w:t>
      </w:r>
      <w:r w:rsidRPr="00E206AF">
        <w:rPr>
          <w:rFonts w:ascii="Century" w:hAnsi="Century" w:cs="Miriam"/>
          <w:b/>
          <w:sz w:val="22"/>
          <w:rtl/>
        </w:rPr>
        <w:t xml:space="preserve">; </w:t>
      </w:r>
      <w:r w:rsidRPr="00E206AF">
        <w:rPr>
          <w:rFonts w:ascii="Century" w:hAnsi="Century" w:cs="Miriam" w:hint="eastAsia"/>
          <w:b/>
          <w:sz w:val="22"/>
          <w:rtl/>
        </w:rPr>
        <w:t>ורשות</w:t>
      </w:r>
      <w:r w:rsidRPr="00E206AF">
        <w:rPr>
          <w:rFonts w:ascii="Century" w:hAnsi="Century" w:cs="Miriam"/>
          <w:b/>
          <w:sz w:val="22"/>
          <w:rtl/>
        </w:rPr>
        <w:t xml:space="preserve"> </w:t>
      </w:r>
      <w:r w:rsidRPr="00E206AF">
        <w:rPr>
          <w:rFonts w:ascii="Century" w:hAnsi="Century" w:cs="Miriam" w:hint="eastAsia"/>
          <w:b/>
          <w:sz w:val="22"/>
          <w:rtl/>
        </w:rPr>
        <w:t>שופטת</w:t>
      </w:r>
      <w:r w:rsidRPr="00E206AF">
        <w:rPr>
          <w:rFonts w:ascii="Century" w:hAnsi="Century" w:cs="Miriam"/>
          <w:b/>
          <w:sz w:val="22"/>
          <w:rtl/>
        </w:rPr>
        <w:t xml:space="preserve"> </w:t>
      </w:r>
      <w:r w:rsidRPr="00E206AF">
        <w:rPr>
          <w:rFonts w:ascii="Century" w:hAnsi="Century" w:cs="Miriam" w:hint="eastAsia"/>
          <w:b/>
          <w:sz w:val="22"/>
          <w:rtl/>
        </w:rPr>
        <w:t>עצמאית</w:t>
      </w:r>
      <w:r w:rsidRPr="00E206AF">
        <w:rPr>
          <w:rFonts w:ascii="Arial TUR" w:hAnsi="Arial TUR" w:cs="FrankRuehl" w:hint="cs"/>
          <w:spacing w:val="10"/>
          <w:sz w:val="22"/>
          <w:szCs w:val="28"/>
          <w:rtl/>
        </w:rPr>
        <w:t>' [...]</w:t>
      </w:r>
      <w:r w:rsidRPr="00E206AF">
        <w:rPr>
          <w:rFonts w:ascii="Arial TUR" w:hAnsi="Arial TUR" w:cs="FrankRuehl"/>
          <w:spacing w:val="10"/>
          <w:sz w:val="22"/>
          <w:szCs w:val="28"/>
          <w:rtl/>
        </w:rPr>
        <w:t xml:space="preserve"> – </w:t>
      </w:r>
      <w:r w:rsidRPr="00E206AF">
        <w:rPr>
          <w:rFonts w:ascii="Arial TUR" w:hAnsi="Arial TUR" w:cs="FrankRuehl" w:hint="eastAsia"/>
          <w:spacing w:val="10"/>
          <w:sz w:val="22"/>
          <w:szCs w:val="28"/>
          <w:rtl/>
        </w:rPr>
        <w:t>עם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היותה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ישראל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מדינה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דמוקרטית</w:t>
      </w:r>
      <w:r w:rsidRPr="00E206AF">
        <w:rPr>
          <w:rFonts w:ascii="Arial TUR" w:hAnsi="Arial TUR" w:cs="FrankRuehl" w:hint="cs"/>
          <w:spacing w:val="10"/>
          <w:sz w:val="22"/>
          <w:szCs w:val="28"/>
          <w:rtl/>
        </w:rPr>
        <w:t xml:space="preserve">" (שם, בפס' 29; ההדגשה הוספה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י"ו).</w:t>
      </w:r>
      <w:r w:rsidRPr="00E206AF">
        <w:rPr>
          <w:rFonts w:ascii="Century" w:hAnsi="Century" w:cs="FrankRuehl" w:hint="cs"/>
          <w:spacing w:val="10"/>
          <w:sz w:val="22"/>
          <w:szCs w:val="28"/>
          <w:rtl/>
        </w:rPr>
        <w:t xml:space="preserve"> הובהר, כי אמנם "המכונן אינו רשאי לשלול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להלכה או למעשה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את קיומה של המדינה כ'יהודית ודמוקרטית', אך רשאי הוא לשרטט, על פי שיקול דעתו, את האופן שבו יבוא לידי ביטוי צירוף מילים זה במסגרת חוקי היסוד, אף אם הדבר כרוך באיזונים ובפשרות אשר מגדירים מחדש את אופן התפרשותו של אחד ממרכיבי זהותה של המדינה" (שם, בפס' 30).</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באותו עניין, הציעה השופטת </w:t>
      </w:r>
      <w:r w:rsidRPr="00E206AF">
        <w:rPr>
          <w:rFonts w:ascii="Century" w:hAnsi="Century" w:cs="Miriam" w:hint="cs"/>
          <w:b/>
          <w:sz w:val="22"/>
          <w:rtl/>
        </w:rPr>
        <w:t xml:space="preserve">ברק-ארז </w:t>
      </w:r>
      <w:r w:rsidRPr="00E206AF">
        <w:rPr>
          <w:rFonts w:ascii="Century" w:hAnsi="Century" w:cs="FrankRuehl" w:hint="cs"/>
          <w:spacing w:val="10"/>
          <w:sz w:val="22"/>
          <w:szCs w:val="28"/>
          <w:rtl/>
        </w:rPr>
        <w:t>נוסחה מצמצמת יותר, בכל הנוגע להתערבות שיפוטית בתוכנם של חוקי-יסוד:</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hint="cs"/>
          <w:spacing w:val="10"/>
          <w:sz w:val="22"/>
          <w:szCs w:val="28"/>
          <w:rtl/>
        </w:rPr>
        <w:t>"</w:t>
      </w:r>
      <w:r w:rsidRPr="00E206AF">
        <w:rPr>
          <w:rFonts w:ascii="Arial TUR" w:hAnsi="Arial TUR" w:cs="FrankRuehl" w:hint="eastAsia"/>
          <w:spacing w:val="10"/>
          <w:sz w:val="22"/>
          <w:szCs w:val="28"/>
          <w:rtl/>
        </w:rPr>
        <w:t>גבולות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ההכרה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האפשריים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בדוקטרינה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תיקון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חוקתי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חוקתי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אמורים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להיות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מצומצמים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יותר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הנוסחה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w:t>
      </w:r>
      <w:r w:rsidRPr="00E206AF">
        <w:rPr>
          <w:rFonts w:ascii="Arial TUR" w:hAnsi="Arial TUR" w:cs="FrankRuehl" w:hint="eastAsia"/>
          <w:spacing w:val="10"/>
          <w:sz w:val="22"/>
          <w:szCs w:val="28"/>
          <w:rtl/>
        </w:rPr>
        <w:t>פגיעה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בעקרונות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היסוד</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השיטה</w:t>
      </w:r>
      <w:r w:rsidRPr="00E206AF">
        <w:rPr>
          <w:rFonts w:ascii="Arial TUR" w:hAnsi="Arial TUR" w:cs="FrankRuehl" w:hint="cs"/>
          <w:spacing w:val="10"/>
          <w:sz w:val="22"/>
          <w:szCs w:val="28"/>
          <w:rtl/>
        </w:rPr>
        <w:t>'</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שהוזכרה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בהערות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אגב</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שונות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בפסקי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דין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קודמים</w:t>
      </w:r>
      <w:r w:rsidRPr="00E206AF">
        <w:rPr>
          <w:rFonts w:ascii="Arial TUR" w:hAnsi="Arial TUR" w:cs="FrankRuehl" w:hint="cs"/>
          <w:spacing w:val="10"/>
          <w:sz w:val="22"/>
          <w:szCs w:val="28"/>
          <w:rtl/>
        </w:rPr>
        <w:t xml:space="preserve"> [...] </w:t>
      </w:r>
      <w:r w:rsidRPr="00E206AF">
        <w:rPr>
          <w:rFonts w:ascii="Arial TUR" w:hAnsi="Arial TUR" w:cs="FrankRuehl" w:hint="eastAsia"/>
          <w:spacing w:val="10"/>
          <w:sz w:val="22"/>
          <w:szCs w:val="28"/>
          <w:rtl/>
        </w:rPr>
        <w:t>לשיטתי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זוהי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נוסחה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רחבה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מדי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שעלולה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ליצור</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w:t>
      </w:r>
      <w:r w:rsidRPr="00E206AF">
        <w:rPr>
          <w:rFonts w:ascii="Arial TUR" w:hAnsi="Arial TUR" w:cs="FrankRuehl" w:hint="eastAsia"/>
          <w:spacing w:val="10"/>
          <w:sz w:val="22"/>
          <w:szCs w:val="28"/>
          <w:rtl/>
        </w:rPr>
        <w:t>גלישה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במדרון</w:t>
      </w:r>
      <w:r w:rsidRPr="00E206AF">
        <w:rPr>
          <w:rFonts w:ascii="Arial TUR" w:hAnsi="Arial TUR" w:cs="FrankRuehl" w:hint="cs"/>
          <w:spacing w:val="10"/>
          <w:sz w:val="22"/>
          <w:szCs w:val="28"/>
          <w:rtl/>
        </w:rPr>
        <w:t>'</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לעבר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ביקורת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שיפוטית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חוקי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יסוד</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במתכונת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תבדל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אותם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במידה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הנדרשת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מחוקים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רגילים</w:t>
      </w:r>
      <w:r w:rsidRPr="00E206AF">
        <w:rPr>
          <w:rFonts w:ascii="Arial TUR" w:hAnsi="Arial TUR" w:cs="FrankRuehl"/>
          <w:spacing w:val="10"/>
          <w:sz w:val="22"/>
          <w:szCs w:val="28"/>
          <w:rtl/>
        </w:rPr>
        <w:t>.</w:t>
      </w:r>
      <w:r w:rsidRPr="00E206AF">
        <w:rPr>
          <w:rFonts w:ascii="Arial TUR" w:hAnsi="Arial TUR" w:cs="FrankRuehl" w:hint="eastAsia"/>
          <w:spacing w:val="10"/>
          <w:sz w:val="22"/>
          <w:szCs w:val="28"/>
          <w:rtl/>
        </w:rPr>
        <w:t xml:space="preserve"> </w:t>
      </w:r>
      <w:r w:rsidRPr="00E206AF">
        <w:rPr>
          <w:rFonts w:ascii="Arial TUR" w:hAnsi="Arial TUR" w:cs="FrankRuehl" w:hint="cs"/>
          <w:spacing w:val="10"/>
          <w:sz w:val="22"/>
          <w:szCs w:val="28"/>
          <w:rtl/>
        </w:rPr>
        <w:t>[...]</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מתוך</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התחשבות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בשלב</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שבו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אנו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מצויים</w:t>
      </w:r>
      <w:r w:rsidRPr="00E206AF">
        <w:rPr>
          <w:rFonts w:ascii="Arial TUR" w:hAnsi="Arial TUR" w:cs="FrankRuehl"/>
          <w:spacing w:val="10"/>
          <w:sz w:val="22"/>
          <w:szCs w:val="28"/>
          <w:rtl/>
        </w:rPr>
        <w:t xml:space="preserve">, </w:t>
      </w:r>
      <w:r w:rsidRPr="00E206AF">
        <w:rPr>
          <w:rFonts w:ascii="Century" w:hAnsi="Century" w:cs="Miriam" w:hint="eastAsia"/>
          <w:b/>
          <w:sz w:val="22"/>
          <w:rtl/>
        </w:rPr>
        <w:t>אני</w:t>
      </w:r>
      <w:r w:rsidRPr="00E206AF">
        <w:rPr>
          <w:rFonts w:ascii="Century" w:hAnsi="Century" w:cs="Miriam"/>
          <w:b/>
          <w:sz w:val="22"/>
          <w:rtl/>
        </w:rPr>
        <w:t xml:space="preserve"> </w:t>
      </w:r>
      <w:r w:rsidRPr="00E206AF">
        <w:rPr>
          <w:rFonts w:ascii="Century" w:hAnsi="Century" w:cs="Miriam" w:hint="eastAsia"/>
          <w:b/>
          <w:sz w:val="22"/>
          <w:rtl/>
        </w:rPr>
        <w:t>עצמי</w:t>
      </w:r>
      <w:r w:rsidRPr="00E206AF">
        <w:rPr>
          <w:rFonts w:ascii="Century" w:hAnsi="Century" w:cs="Miriam"/>
          <w:b/>
          <w:sz w:val="22"/>
          <w:rtl/>
        </w:rPr>
        <w:t xml:space="preserve"> </w:t>
      </w:r>
      <w:r w:rsidRPr="00E206AF">
        <w:rPr>
          <w:rFonts w:ascii="Century" w:hAnsi="Century" w:cs="Miriam" w:hint="eastAsia"/>
          <w:b/>
          <w:sz w:val="22"/>
          <w:rtl/>
        </w:rPr>
        <w:t>נוטה</w:t>
      </w:r>
      <w:r w:rsidRPr="00E206AF">
        <w:rPr>
          <w:rFonts w:ascii="Century" w:hAnsi="Century" w:cs="Miriam"/>
          <w:b/>
          <w:sz w:val="22"/>
          <w:rtl/>
        </w:rPr>
        <w:t xml:space="preserve"> </w:t>
      </w:r>
      <w:r w:rsidRPr="00E206AF">
        <w:rPr>
          <w:rFonts w:ascii="Century" w:hAnsi="Century" w:cs="Miriam" w:hint="eastAsia"/>
          <w:b/>
          <w:sz w:val="22"/>
          <w:rtl/>
        </w:rPr>
        <w:t>לשימוש</w:t>
      </w:r>
      <w:r w:rsidRPr="00E206AF">
        <w:rPr>
          <w:rFonts w:ascii="Century" w:hAnsi="Century" w:cs="Miriam"/>
          <w:b/>
          <w:sz w:val="22"/>
          <w:rtl/>
        </w:rPr>
        <w:t xml:space="preserve"> </w:t>
      </w:r>
      <w:r w:rsidRPr="00E206AF">
        <w:rPr>
          <w:rFonts w:ascii="Century" w:hAnsi="Century" w:cs="Miriam" w:hint="eastAsia"/>
          <w:b/>
          <w:sz w:val="22"/>
          <w:rtl/>
        </w:rPr>
        <w:t>בטרמינולוגיה</w:t>
      </w:r>
      <w:r w:rsidRPr="00E206AF">
        <w:rPr>
          <w:rFonts w:ascii="Century" w:hAnsi="Century" w:cs="Miriam"/>
          <w:b/>
          <w:sz w:val="22"/>
          <w:rtl/>
        </w:rPr>
        <w:t xml:space="preserve"> </w:t>
      </w:r>
      <w:r w:rsidRPr="00E206AF">
        <w:rPr>
          <w:rFonts w:ascii="Century" w:hAnsi="Century" w:cs="Miriam" w:hint="eastAsia"/>
          <w:b/>
          <w:sz w:val="22"/>
          <w:rtl/>
        </w:rPr>
        <w:t>שהיא</w:t>
      </w:r>
      <w:r w:rsidRPr="00E206AF">
        <w:rPr>
          <w:rFonts w:ascii="Century" w:hAnsi="Century" w:cs="Miriam"/>
          <w:b/>
          <w:sz w:val="22"/>
          <w:rtl/>
        </w:rPr>
        <w:t xml:space="preserve"> </w:t>
      </w:r>
      <w:r w:rsidRPr="00E206AF">
        <w:rPr>
          <w:rFonts w:ascii="Century" w:hAnsi="Century" w:cs="Miriam" w:hint="eastAsia"/>
          <w:b/>
          <w:sz w:val="22"/>
          <w:rtl/>
        </w:rPr>
        <w:t>אף</w:t>
      </w:r>
      <w:r w:rsidRPr="00E206AF">
        <w:rPr>
          <w:rFonts w:ascii="Century" w:hAnsi="Century" w:cs="Miriam"/>
          <w:b/>
          <w:sz w:val="22"/>
          <w:rtl/>
        </w:rPr>
        <w:t xml:space="preserve"> </w:t>
      </w:r>
      <w:r w:rsidRPr="00E206AF">
        <w:rPr>
          <w:rFonts w:ascii="Century" w:hAnsi="Century" w:cs="Miriam" w:hint="eastAsia"/>
          <w:b/>
          <w:sz w:val="22"/>
          <w:rtl/>
        </w:rPr>
        <w:t>מצמצמת</w:t>
      </w:r>
      <w:r w:rsidRPr="00E206AF">
        <w:rPr>
          <w:rFonts w:ascii="Century" w:hAnsi="Century" w:cs="Miriam"/>
          <w:b/>
          <w:sz w:val="22"/>
          <w:rtl/>
        </w:rPr>
        <w:t xml:space="preserve"> </w:t>
      </w:r>
      <w:r w:rsidRPr="00E206AF">
        <w:rPr>
          <w:rFonts w:ascii="Century" w:hAnsi="Century" w:cs="Miriam" w:hint="eastAsia"/>
          <w:b/>
          <w:sz w:val="22"/>
          <w:rtl/>
        </w:rPr>
        <w:t>יותר</w:t>
      </w:r>
      <w:r w:rsidRPr="00E206AF">
        <w:rPr>
          <w:rFonts w:ascii="Century" w:hAnsi="Century" w:cs="Miriam"/>
          <w:b/>
          <w:sz w:val="22"/>
          <w:rtl/>
        </w:rPr>
        <w:t xml:space="preserve"> – </w:t>
      </w:r>
      <w:r w:rsidRPr="00E206AF">
        <w:rPr>
          <w:rFonts w:ascii="Century" w:hAnsi="Century" w:cs="Miriam" w:hint="eastAsia"/>
          <w:b/>
          <w:sz w:val="22"/>
          <w:rtl/>
        </w:rPr>
        <w:t>ומציעה</w:t>
      </w:r>
      <w:r w:rsidRPr="00E206AF">
        <w:rPr>
          <w:rFonts w:ascii="Century" w:hAnsi="Century" w:cs="Miriam"/>
          <w:b/>
          <w:sz w:val="22"/>
          <w:rtl/>
        </w:rPr>
        <w:t xml:space="preserve"> </w:t>
      </w:r>
      <w:r w:rsidRPr="00E206AF">
        <w:rPr>
          <w:rFonts w:ascii="Century" w:hAnsi="Century" w:cs="Miriam" w:hint="eastAsia"/>
          <w:b/>
          <w:sz w:val="22"/>
          <w:rtl/>
        </w:rPr>
        <w:t>להתייחס</w:t>
      </w:r>
      <w:r w:rsidRPr="00E206AF">
        <w:rPr>
          <w:rFonts w:ascii="Century" w:hAnsi="Century" w:cs="Miriam"/>
          <w:b/>
          <w:sz w:val="22"/>
          <w:rtl/>
        </w:rPr>
        <w:t xml:space="preserve"> </w:t>
      </w:r>
      <w:r w:rsidRPr="00E206AF">
        <w:rPr>
          <w:rFonts w:ascii="Century" w:hAnsi="Century" w:cs="Miriam" w:hint="eastAsia"/>
          <w:b/>
          <w:sz w:val="22"/>
          <w:rtl/>
        </w:rPr>
        <w:t>לחוק</w:t>
      </w:r>
      <w:r w:rsidRPr="00E206AF">
        <w:rPr>
          <w:rFonts w:ascii="Century" w:hAnsi="Century" w:cs="Miriam"/>
          <w:b/>
          <w:sz w:val="22"/>
          <w:rtl/>
        </w:rPr>
        <w:t xml:space="preserve"> </w:t>
      </w:r>
      <w:r w:rsidRPr="00E206AF">
        <w:rPr>
          <w:rFonts w:ascii="Century" w:hAnsi="Century" w:cs="Miriam" w:hint="eastAsia"/>
          <w:b/>
          <w:sz w:val="22"/>
          <w:rtl/>
        </w:rPr>
        <w:t>יסוד</w:t>
      </w:r>
      <w:r w:rsidRPr="00E206AF">
        <w:rPr>
          <w:rFonts w:ascii="Century" w:hAnsi="Century" w:cs="Miriam"/>
          <w:b/>
          <w:sz w:val="22"/>
          <w:rtl/>
        </w:rPr>
        <w:t xml:space="preserve"> </w:t>
      </w:r>
      <w:r w:rsidRPr="00E206AF">
        <w:rPr>
          <w:rFonts w:ascii="Century" w:hAnsi="Century" w:cs="Miriam" w:hint="eastAsia"/>
          <w:b/>
          <w:sz w:val="22"/>
          <w:rtl/>
        </w:rPr>
        <w:t>שמהווה</w:t>
      </w:r>
      <w:r w:rsidRPr="00E206AF">
        <w:rPr>
          <w:rFonts w:ascii="Century" w:hAnsi="Century" w:cs="Miriam"/>
          <w:b/>
          <w:sz w:val="22"/>
          <w:rtl/>
        </w:rPr>
        <w:t xml:space="preserve"> </w:t>
      </w:r>
      <w:r w:rsidRPr="00E206AF">
        <w:rPr>
          <w:rFonts w:ascii="Century" w:hAnsi="Century" w:cs="Miriam" w:hint="cs"/>
          <w:b/>
          <w:sz w:val="22"/>
          <w:rtl/>
        </w:rPr>
        <w:t>'</w:t>
      </w:r>
      <w:r w:rsidRPr="00E206AF">
        <w:rPr>
          <w:rFonts w:ascii="Century" w:hAnsi="Century" w:cs="Miriam" w:hint="eastAsia"/>
          <w:b/>
          <w:sz w:val="22"/>
          <w:rtl/>
        </w:rPr>
        <w:t>שבירת</w:t>
      </w:r>
      <w:r w:rsidRPr="00E206AF">
        <w:rPr>
          <w:rFonts w:ascii="Century" w:hAnsi="Century" w:cs="Miriam"/>
          <w:b/>
          <w:sz w:val="22"/>
          <w:rtl/>
        </w:rPr>
        <w:t xml:space="preserve"> </w:t>
      </w:r>
      <w:r w:rsidRPr="00E206AF">
        <w:rPr>
          <w:rFonts w:ascii="Century" w:hAnsi="Century" w:cs="Miriam" w:hint="eastAsia"/>
          <w:b/>
          <w:sz w:val="22"/>
          <w:rtl/>
        </w:rPr>
        <w:t>כלים</w:t>
      </w:r>
      <w:r w:rsidRPr="00E206AF">
        <w:rPr>
          <w:rFonts w:ascii="Century" w:hAnsi="Century" w:cs="Miriam" w:hint="cs"/>
          <w:b/>
          <w:sz w:val="22"/>
          <w:rtl/>
        </w:rPr>
        <w:t>'</w:t>
      </w:r>
      <w:r w:rsidRPr="00E206AF">
        <w:rPr>
          <w:rFonts w:ascii="Century" w:hAnsi="Century" w:cs="Miriam"/>
          <w:b/>
          <w:sz w:val="22"/>
          <w:rtl/>
        </w:rPr>
        <w:t xml:space="preserve">, </w:t>
      </w:r>
      <w:r w:rsidRPr="00E206AF">
        <w:rPr>
          <w:rFonts w:ascii="Century" w:hAnsi="Century" w:cs="Miriam" w:hint="eastAsia"/>
          <w:b/>
          <w:sz w:val="22"/>
          <w:rtl/>
        </w:rPr>
        <w:t>במובן</w:t>
      </w:r>
      <w:r w:rsidRPr="00E206AF">
        <w:rPr>
          <w:rFonts w:ascii="Century" w:hAnsi="Century" w:cs="Miriam"/>
          <w:b/>
          <w:sz w:val="22"/>
          <w:rtl/>
        </w:rPr>
        <w:t xml:space="preserve"> </w:t>
      </w:r>
      <w:r w:rsidRPr="00E206AF">
        <w:rPr>
          <w:rFonts w:ascii="Century" w:hAnsi="Century" w:cs="Miriam" w:hint="eastAsia"/>
          <w:b/>
          <w:sz w:val="22"/>
          <w:rtl/>
        </w:rPr>
        <w:t>של</w:t>
      </w:r>
      <w:r w:rsidRPr="00E206AF">
        <w:rPr>
          <w:rFonts w:ascii="Century" w:hAnsi="Century" w:cs="Miriam"/>
          <w:b/>
          <w:sz w:val="22"/>
          <w:rtl/>
        </w:rPr>
        <w:t xml:space="preserve"> </w:t>
      </w:r>
      <w:r w:rsidRPr="00E206AF">
        <w:rPr>
          <w:rFonts w:ascii="Century" w:hAnsi="Century" w:cs="Miriam" w:hint="eastAsia"/>
          <w:b/>
          <w:sz w:val="22"/>
          <w:rtl/>
        </w:rPr>
        <w:t>הרס</w:t>
      </w:r>
      <w:r w:rsidRPr="00E206AF">
        <w:rPr>
          <w:rFonts w:ascii="Century" w:hAnsi="Century" w:cs="Miriam"/>
          <w:b/>
          <w:sz w:val="22"/>
          <w:rtl/>
        </w:rPr>
        <w:t xml:space="preserve"> </w:t>
      </w:r>
      <w:r w:rsidRPr="00E206AF">
        <w:rPr>
          <w:rFonts w:ascii="Century" w:hAnsi="Century" w:cs="Miriam" w:hint="eastAsia"/>
          <w:b/>
          <w:sz w:val="22"/>
          <w:rtl/>
        </w:rPr>
        <w:t>בלתי</w:t>
      </w:r>
      <w:r w:rsidRPr="00E206AF">
        <w:rPr>
          <w:rFonts w:ascii="Century" w:hAnsi="Century" w:cs="Miriam"/>
          <w:b/>
          <w:sz w:val="22"/>
          <w:rtl/>
        </w:rPr>
        <w:t xml:space="preserve"> </w:t>
      </w:r>
      <w:r w:rsidRPr="00E206AF">
        <w:rPr>
          <w:rFonts w:ascii="Century" w:hAnsi="Century" w:cs="Miriam" w:hint="eastAsia"/>
          <w:b/>
          <w:sz w:val="22"/>
          <w:rtl/>
        </w:rPr>
        <w:t>הפיך</w:t>
      </w:r>
      <w:r w:rsidRPr="00E206AF">
        <w:rPr>
          <w:rFonts w:ascii="Century" w:hAnsi="Century" w:cs="Miriam"/>
          <w:b/>
          <w:sz w:val="22"/>
          <w:rtl/>
        </w:rPr>
        <w:t xml:space="preserve"> </w:t>
      </w:r>
      <w:r w:rsidRPr="00E206AF">
        <w:rPr>
          <w:rFonts w:ascii="Century" w:hAnsi="Century" w:cs="Miriam" w:hint="eastAsia"/>
          <w:b/>
          <w:sz w:val="22"/>
          <w:rtl/>
        </w:rPr>
        <w:t>של</w:t>
      </w:r>
      <w:r w:rsidRPr="00E206AF">
        <w:rPr>
          <w:rFonts w:ascii="Century" w:hAnsi="Century" w:cs="Miriam"/>
          <w:b/>
          <w:sz w:val="22"/>
          <w:rtl/>
        </w:rPr>
        <w:t xml:space="preserve"> </w:t>
      </w:r>
      <w:r w:rsidRPr="00E206AF">
        <w:rPr>
          <w:rFonts w:ascii="Century" w:hAnsi="Century" w:cs="Miriam" w:hint="eastAsia"/>
          <w:b/>
          <w:sz w:val="22"/>
          <w:rtl/>
        </w:rPr>
        <w:t>השיטה</w:t>
      </w:r>
      <w:r w:rsidRPr="00E206AF">
        <w:rPr>
          <w:rFonts w:ascii="Century" w:hAnsi="Century" w:cs="Miriam"/>
          <w:b/>
          <w:sz w:val="22"/>
          <w:rtl/>
        </w:rPr>
        <w:t xml:space="preserve"> </w:t>
      </w:r>
      <w:r w:rsidRPr="00E206AF">
        <w:rPr>
          <w:rFonts w:ascii="Century" w:hAnsi="Century" w:cs="Miriam" w:hint="eastAsia"/>
          <w:b/>
          <w:sz w:val="22"/>
          <w:rtl/>
        </w:rPr>
        <w:t>החוקתית</w:t>
      </w:r>
      <w:r w:rsidRPr="00E206AF">
        <w:rPr>
          <w:rFonts w:ascii="Century" w:hAnsi="Century" w:cs="FrankRuehl" w:hint="cs"/>
          <w:spacing w:val="10"/>
          <w:sz w:val="22"/>
          <w:szCs w:val="28"/>
          <w:rtl/>
        </w:rPr>
        <w:t xml:space="preserve">" </w:t>
      </w:r>
      <w:r w:rsidRPr="00E206AF">
        <w:rPr>
          <w:rFonts w:ascii="Century" w:hAnsi="Century" w:cs="FrankRuehl"/>
          <w:spacing w:val="10"/>
          <w:sz w:val="22"/>
          <w:szCs w:val="28"/>
          <w:rtl/>
        </w:rPr>
        <w:t>(</w:t>
      </w:r>
      <w:r w:rsidRPr="00E206AF">
        <w:rPr>
          <w:rFonts w:ascii="Century" w:hAnsi="Century" w:cs="FrankRuehl" w:hint="cs"/>
          <w:spacing w:val="10"/>
          <w:sz w:val="22"/>
          <w:szCs w:val="28"/>
          <w:rtl/>
        </w:rPr>
        <w:t>שם, ב</w:t>
      </w:r>
      <w:r w:rsidRPr="00E206AF">
        <w:rPr>
          <w:rFonts w:ascii="Century" w:hAnsi="Century" w:cs="FrankRuehl" w:hint="eastAsia"/>
          <w:spacing w:val="10"/>
          <w:sz w:val="22"/>
          <w:szCs w:val="28"/>
          <w:rtl/>
        </w:rPr>
        <w:t>פס</w:t>
      </w:r>
      <w:r w:rsidRPr="00E206AF">
        <w:rPr>
          <w:rFonts w:ascii="Century" w:hAnsi="Century" w:cs="FrankRuehl"/>
          <w:spacing w:val="10"/>
          <w:sz w:val="22"/>
          <w:szCs w:val="28"/>
          <w:rtl/>
        </w:rPr>
        <w:t xml:space="preserve">' 16 </w:t>
      </w:r>
      <w:r w:rsidRPr="00E206AF">
        <w:rPr>
          <w:rFonts w:ascii="Century" w:hAnsi="Century" w:cs="FrankRuehl" w:hint="eastAsia"/>
          <w:spacing w:val="10"/>
          <w:sz w:val="22"/>
          <w:szCs w:val="28"/>
          <w:rtl/>
        </w:rPr>
        <w:t>ל</w:t>
      </w:r>
      <w:r w:rsidRPr="00E206AF">
        <w:rPr>
          <w:rFonts w:ascii="Century" w:hAnsi="Century" w:cs="FrankRuehl" w:hint="cs"/>
          <w:spacing w:val="10"/>
          <w:sz w:val="22"/>
          <w:szCs w:val="28"/>
          <w:rtl/>
        </w:rPr>
        <w:t>פסק דינה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ההדגשה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הוספה</w:t>
      </w:r>
      <w:r w:rsidRPr="00E206AF">
        <w:rPr>
          <w:rFonts w:ascii="Century" w:hAnsi="Century" w:cs="FrankRuehl"/>
          <w:spacing w:val="10"/>
          <w:sz w:val="22"/>
          <w:szCs w:val="28"/>
          <w:rtl/>
        </w:rPr>
        <w:t xml:space="preserve"> – </w:t>
      </w:r>
      <w:r w:rsidRPr="00E206AF">
        <w:rPr>
          <w:rFonts w:ascii="Century" w:hAnsi="Century" w:cs="FrankRuehl" w:hint="eastAsia"/>
          <w:spacing w:val="10"/>
          <w:sz w:val="22"/>
          <w:szCs w:val="28"/>
          <w:rtl/>
        </w:rPr>
        <w:t>י</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ו</w:t>
      </w:r>
      <w:r w:rsidRPr="00E206AF">
        <w:rPr>
          <w:rFonts w:ascii="Century" w:hAnsi="Century" w:cs="FrankRuehl"/>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וכך הדגיש השופט (בדימ') </w:t>
      </w:r>
      <w:r w:rsidRPr="00E206AF">
        <w:rPr>
          <w:rFonts w:ascii="Century" w:hAnsi="Century" w:cs="Miriam" w:hint="cs"/>
          <w:b/>
          <w:sz w:val="22"/>
          <w:rtl/>
        </w:rPr>
        <w:t>מ' מזוז</w:t>
      </w:r>
      <w:r w:rsidRPr="00E206AF">
        <w:rPr>
          <w:rFonts w:ascii="Century" w:hAnsi="Century" w:cs="FrankRuehl" w:hint="cs"/>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hint="cs"/>
          <w:spacing w:val="10"/>
          <w:sz w:val="22"/>
          <w:szCs w:val="28"/>
          <w:rtl/>
        </w:rPr>
        <w:t>"</w:t>
      </w:r>
      <w:r w:rsidRPr="00E206AF">
        <w:rPr>
          <w:rFonts w:ascii="Arial TUR" w:hAnsi="Arial TUR" w:cs="FrankRuehl"/>
          <w:spacing w:val="10"/>
          <w:sz w:val="22"/>
          <w:szCs w:val="28"/>
          <w:rtl/>
        </w:rPr>
        <w:t xml:space="preserve">לא כל </w:t>
      </w:r>
      <w:r w:rsidRPr="00E206AF">
        <w:rPr>
          <w:rFonts w:ascii="Arial TUR" w:hAnsi="Arial TUR" w:cs="FrankRuehl" w:hint="cs"/>
          <w:spacing w:val="10"/>
          <w:sz w:val="22"/>
          <w:szCs w:val="28"/>
          <w:rtl/>
        </w:rPr>
        <w:t>'</w:t>
      </w:r>
      <w:r w:rsidRPr="00E206AF">
        <w:rPr>
          <w:rFonts w:ascii="Arial TUR" w:hAnsi="Arial TUR" w:cs="FrankRuehl"/>
          <w:spacing w:val="10"/>
          <w:sz w:val="22"/>
          <w:szCs w:val="28"/>
          <w:rtl/>
        </w:rPr>
        <w:t>פגיעה</w:t>
      </w:r>
      <w:r w:rsidRPr="00E206AF">
        <w:rPr>
          <w:rFonts w:ascii="Arial TUR" w:hAnsi="Arial TUR" w:cs="FrankRuehl" w:hint="cs"/>
          <w:spacing w:val="10"/>
          <w:sz w:val="22"/>
          <w:szCs w:val="28"/>
          <w:rtl/>
        </w:rPr>
        <w:t>'</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באופי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היהודי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הדמוקרטי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המדינה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תיחשב</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כחריגה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מהסמכות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המכוננת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הכנסת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אלא</w:t>
      </w:r>
      <w:r w:rsidRPr="00E206AF">
        <w:rPr>
          <w:rFonts w:ascii="Arial TUR" w:hAnsi="Arial TUR" w:cs="FrankRuehl"/>
          <w:spacing w:val="10"/>
          <w:sz w:val="22"/>
          <w:szCs w:val="28"/>
          <w:rtl/>
        </w:rPr>
        <w:t xml:space="preserve"> </w:t>
      </w:r>
      <w:r w:rsidRPr="00E206AF">
        <w:rPr>
          <w:rFonts w:ascii="Century" w:hAnsi="Century" w:cs="Miriam" w:hint="eastAsia"/>
          <w:b/>
          <w:sz w:val="22"/>
          <w:rtl/>
        </w:rPr>
        <w:t>רק</w:t>
      </w:r>
      <w:r w:rsidRPr="00E206AF">
        <w:rPr>
          <w:rFonts w:ascii="Century" w:hAnsi="Century" w:cs="Miriam"/>
          <w:b/>
          <w:sz w:val="22"/>
          <w:rtl/>
        </w:rPr>
        <w:t xml:space="preserve"> '</w:t>
      </w:r>
      <w:r w:rsidRPr="00E206AF">
        <w:rPr>
          <w:rFonts w:ascii="Century" w:hAnsi="Century" w:cs="Miriam" w:hint="eastAsia"/>
          <w:b/>
          <w:sz w:val="22"/>
          <w:rtl/>
        </w:rPr>
        <w:t>מקרי</w:t>
      </w:r>
      <w:r w:rsidRPr="00E206AF">
        <w:rPr>
          <w:rFonts w:ascii="Century" w:hAnsi="Century" w:cs="Miriam"/>
          <w:b/>
          <w:sz w:val="22"/>
          <w:rtl/>
        </w:rPr>
        <w:t xml:space="preserve"> </w:t>
      </w:r>
      <w:r w:rsidRPr="00E206AF">
        <w:rPr>
          <w:rFonts w:ascii="Century" w:hAnsi="Century" w:cs="Miriam" w:hint="eastAsia"/>
          <w:b/>
          <w:sz w:val="22"/>
          <w:rtl/>
        </w:rPr>
        <w:t>קצה</w:t>
      </w:r>
      <w:r w:rsidRPr="00E206AF">
        <w:rPr>
          <w:rFonts w:ascii="Century" w:hAnsi="Century" w:cs="Miriam"/>
          <w:b/>
          <w:sz w:val="22"/>
          <w:rtl/>
        </w:rPr>
        <w:t xml:space="preserve">' </w:t>
      </w:r>
      <w:r w:rsidRPr="00E206AF">
        <w:rPr>
          <w:rFonts w:ascii="Century" w:hAnsi="Century" w:cs="Miriam" w:hint="eastAsia"/>
          <w:b/>
          <w:sz w:val="22"/>
          <w:rtl/>
        </w:rPr>
        <w:t>של</w:t>
      </w:r>
      <w:r w:rsidRPr="00E206AF">
        <w:rPr>
          <w:rFonts w:ascii="Century" w:hAnsi="Century" w:cs="Miriam"/>
          <w:b/>
          <w:sz w:val="22"/>
          <w:rtl/>
        </w:rPr>
        <w:t xml:space="preserve"> </w:t>
      </w:r>
      <w:r w:rsidRPr="00E206AF">
        <w:rPr>
          <w:rFonts w:ascii="Century" w:hAnsi="Century" w:cs="Miriam" w:hint="eastAsia"/>
          <w:b/>
          <w:sz w:val="22"/>
          <w:rtl/>
        </w:rPr>
        <w:t>פגיעה</w:t>
      </w:r>
      <w:r w:rsidRPr="00E206AF">
        <w:rPr>
          <w:rFonts w:ascii="Century" w:hAnsi="Century" w:cs="Miriam"/>
          <w:b/>
          <w:sz w:val="22"/>
          <w:rtl/>
        </w:rPr>
        <w:t xml:space="preserve"> </w:t>
      </w:r>
      <w:r w:rsidRPr="00E206AF">
        <w:rPr>
          <w:rFonts w:ascii="Century" w:hAnsi="Century" w:cs="Miriam" w:hint="eastAsia"/>
          <w:b/>
          <w:sz w:val="22"/>
          <w:rtl/>
        </w:rPr>
        <w:t>קשה</w:t>
      </w:r>
      <w:r w:rsidRPr="00E206AF">
        <w:rPr>
          <w:rFonts w:ascii="Century" w:hAnsi="Century" w:cs="Miriam"/>
          <w:b/>
          <w:sz w:val="22"/>
          <w:rtl/>
        </w:rPr>
        <w:t xml:space="preserve"> </w:t>
      </w:r>
      <w:r w:rsidRPr="00E206AF">
        <w:rPr>
          <w:rFonts w:ascii="Century" w:hAnsi="Century" w:cs="Miriam" w:hint="eastAsia"/>
          <w:b/>
          <w:sz w:val="22"/>
          <w:rtl/>
        </w:rPr>
        <w:t>ומהותית</w:t>
      </w:r>
      <w:r w:rsidRPr="00E206AF">
        <w:rPr>
          <w:rFonts w:ascii="Century" w:hAnsi="Century" w:cs="Miriam"/>
          <w:b/>
          <w:sz w:val="22"/>
          <w:rtl/>
        </w:rPr>
        <w:t xml:space="preserve">, </w:t>
      </w:r>
      <w:r w:rsidRPr="00E206AF">
        <w:rPr>
          <w:rFonts w:ascii="Century" w:hAnsi="Century" w:cs="Miriam" w:hint="eastAsia"/>
          <w:b/>
          <w:sz w:val="22"/>
          <w:rtl/>
        </w:rPr>
        <w:t>המערערת</w:t>
      </w:r>
      <w:r w:rsidRPr="00E206AF">
        <w:rPr>
          <w:rFonts w:ascii="Century" w:hAnsi="Century" w:cs="Miriam"/>
          <w:b/>
          <w:sz w:val="22"/>
          <w:rtl/>
        </w:rPr>
        <w:t xml:space="preserve"> </w:t>
      </w:r>
      <w:r w:rsidRPr="00E206AF">
        <w:rPr>
          <w:rFonts w:ascii="Century" w:hAnsi="Century" w:cs="Miriam" w:hint="eastAsia"/>
          <w:b/>
          <w:sz w:val="22"/>
          <w:rtl/>
        </w:rPr>
        <w:t>את</w:t>
      </w:r>
      <w:r w:rsidRPr="00E206AF">
        <w:rPr>
          <w:rFonts w:ascii="Century" w:hAnsi="Century" w:cs="Miriam"/>
          <w:b/>
          <w:sz w:val="22"/>
          <w:rtl/>
        </w:rPr>
        <w:t xml:space="preserve"> </w:t>
      </w:r>
      <w:r w:rsidRPr="00E206AF">
        <w:rPr>
          <w:rFonts w:ascii="Century" w:hAnsi="Century" w:cs="Miriam" w:hint="eastAsia"/>
          <w:b/>
          <w:sz w:val="22"/>
          <w:rtl/>
        </w:rPr>
        <w:t>הזהות</w:t>
      </w:r>
      <w:r w:rsidRPr="00E206AF">
        <w:rPr>
          <w:rFonts w:ascii="Century" w:hAnsi="Century" w:cs="Miriam"/>
          <w:b/>
          <w:sz w:val="22"/>
          <w:rtl/>
        </w:rPr>
        <w:t xml:space="preserve"> </w:t>
      </w:r>
      <w:r w:rsidRPr="00E206AF">
        <w:rPr>
          <w:rFonts w:ascii="Century" w:hAnsi="Century" w:cs="Miriam" w:hint="eastAsia"/>
          <w:b/>
          <w:sz w:val="22"/>
          <w:rtl/>
        </w:rPr>
        <w:t>היהודית</w:t>
      </w:r>
      <w:r w:rsidRPr="00E206AF">
        <w:rPr>
          <w:rFonts w:ascii="Century" w:hAnsi="Century" w:cs="Miriam"/>
          <w:b/>
          <w:sz w:val="22"/>
          <w:rtl/>
        </w:rPr>
        <w:t xml:space="preserve"> </w:t>
      </w:r>
      <w:r w:rsidRPr="00E206AF">
        <w:rPr>
          <w:rFonts w:ascii="Century" w:hAnsi="Century" w:cs="Miriam" w:hint="eastAsia"/>
          <w:b/>
          <w:sz w:val="22"/>
          <w:rtl/>
        </w:rPr>
        <w:t>או</w:t>
      </w:r>
      <w:r w:rsidRPr="00E206AF">
        <w:rPr>
          <w:rFonts w:ascii="Century" w:hAnsi="Century" w:cs="Miriam"/>
          <w:b/>
          <w:sz w:val="22"/>
          <w:rtl/>
        </w:rPr>
        <w:t xml:space="preserve"> </w:t>
      </w:r>
      <w:r w:rsidRPr="00E206AF">
        <w:rPr>
          <w:rFonts w:ascii="Century" w:hAnsi="Century" w:cs="Miriam" w:hint="eastAsia"/>
          <w:b/>
          <w:sz w:val="22"/>
          <w:rtl/>
        </w:rPr>
        <w:t>הדמוקרטית</w:t>
      </w:r>
      <w:r w:rsidRPr="00E206AF">
        <w:rPr>
          <w:rFonts w:ascii="Century" w:hAnsi="Century" w:cs="Miriam"/>
          <w:b/>
          <w:sz w:val="22"/>
          <w:rtl/>
        </w:rPr>
        <w:t xml:space="preserve"> </w:t>
      </w:r>
      <w:r w:rsidRPr="00E206AF">
        <w:rPr>
          <w:rFonts w:ascii="Century" w:hAnsi="Century" w:cs="Miriam" w:hint="eastAsia"/>
          <w:b/>
          <w:sz w:val="22"/>
          <w:rtl/>
        </w:rPr>
        <w:t>של</w:t>
      </w:r>
      <w:r w:rsidRPr="00E206AF">
        <w:rPr>
          <w:rFonts w:ascii="Century" w:hAnsi="Century" w:cs="Miriam"/>
          <w:b/>
          <w:sz w:val="22"/>
          <w:rtl/>
        </w:rPr>
        <w:t xml:space="preserve"> </w:t>
      </w:r>
      <w:r w:rsidRPr="00E206AF">
        <w:rPr>
          <w:rFonts w:ascii="Century" w:hAnsi="Century" w:cs="Miriam" w:hint="eastAsia"/>
          <w:b/>
          <w:sz w:val="22"/>
          <w:rtl/>
        </w:rPr>
        <w:t>המדינה</w:t>
      </w:r>
      <w:r w:rsidRPr="00E206AF">
        <w:rPr>
          <w:rFonts w:ascii="Arial TUR" w:hAnsi="Arial TUR" w:cs="FrankRuehl"/>
          <w:spacing w:val="10"/>
          <w:sz w:val="22"/>
          <w:szCs w:val="28"/>
          <w:rtl/>
        </w:rPr>
        <w:t xml:space="preserve">. המדובר במצבים חריגים וקיצוניים השוללים את ליבת הזהות היהודית או הדמוקרטית של המדינה ואת </w:t>
      </w:r>
      <w:r w:rsidRPr="00E206AF">
        <w:rPr>
          <w:rFonts w:ascii="Century" w:hAnsi="Century" w:cs="Miriam"/>
          <w:b/>
          <w:sz w:val="22"/>
          <w:rtl/>
        </w:rPr>
        <w:t>תכונות המינימום לשימור זהותה היהודית או הדמוקרטית</w:t>
      </w:r>
      <w:r w:rsidRPr="00E206AF">
        <w:rPr>
          <w:rFonts w:ascii="Arial TUR" w:hAnsi="Arial TUR" w:cs="FrankRuehl" w:hint="cs"/>
          <w:spacing w:val="10"/>
          <w:sz w:val="22"/>
          <w:szCs w:val="28"/>
          <w:rtl/>
        </w:rPr>
        <w:t xml:space="preserve">" (שם, בפס' 13 לפסק דינו; ההדגשה הוספה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י"ו).</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וראו גם את דברי השופט </w:t>
      </w:r>
      <w:r w:rsidRPr="00E206AF">
        <w:rPr>
          <w:rFonts w:ascii="Century" w:hAnsi="Century" w:cs="Miriam" w:hint="cs"/>
          <w:b/>
          <w:sz w:val="22"/>
          <w:rtl/>
        </w:rPr>
        <w:t>הנדל</w:t>
      </w:r>
      <w:r w:rsidRPr="00E206AF">
        <w:rPr>
          <w:rFonts w:ascii="Century" w:hAnsi="Century" w:cs="FrankRuehl" w:hint="cs"/>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spacing w:val="10"/>
          <w:sz w:val="22"/>
          <w:szCs w:val="28"/>
          <w:rtl/>
        </w:rPr>
        <w:t>"אשר למצב הקצה, שבו ישנה רמיסה עד היסוד של זכויות יסוד</w:t>
      </w:r>
      <w:r w:rsidRPr="00E206AF">
        <w:rPr>
          <w:rFonts w:ascii="Arial TUR" w:hAnsi="Arial TUR" w:cs="FrankRuehl" w:hint="cs"/>
          <w:spacing w:val="10"/>
          <w:sz w:val="22"/>
          <w:szCs w:val="28"/>
          <w:rtl/>
        </w:rPr>
        <w:t xml:space="preserve"> [...]</w:t>
      </w:r>
      <w:r w:rsidRPr="00E206AF">
        <w:rPr>
          <w:rFonts w:ascii="Arial TUR" w:hAnsi="Arial TUR" w:cs="FrankRuehl"/>
          <w:spacing w:val="10"/>
          <w:sz w:val="22"/>
          <w:szCs w:val="28"/>
          <w:rtl/>
        </w:rPr>
        <w:t xml:space="preserve"> בנסיבות כאלה נפתח הפתח לביקורת שיפוטית כנדרש מן הצדק ומן התפקיד שהוא ממלא. ואם ישיבוני כי ככל שמדובר במדינת ישראל כעת ובעתיד הנראה לעין בן אנוש, אפשרות קצה כזו תיאורטית היא – לא אחלוק על </w:t>
      </w:r>
      <w:r w:rsidRPr="00E206AF">
        <w:rPr>
          <w:rFonts w:ascii="Arial TUR" w:hAnsi="Arial TUR" w:cs="FrankRuehl" w:hint="cs"/>
          <w:spacing w:val="10"/>
          <w:sz w:val="22"/>
          <w:szCs w:val="28"/>
          <w:rtl/>
        </w:rPr>
        <w:t xml:space="preserve">כך [...] </w:t>
      </w:r>
      <w:r w:rsidRPr="00E206AF">
        <w:rPr>
          <w:rFonts w:ascii="FrankRuehl" w:hAnsi="FrankRuehl" w:cs="FrankRuehl"/>
          <w:color w:val="000000"/>
          <w:spacing w:val="10"/>
          <w:sz w:val="28"/>
          <w:szCs w:val="28"/>
          <w:shd w:val="clear" w:color="auto" w:fill="FFFFFF"/>
          <w:rtl/>
        </w:rPr>
        <w:t xml:space="preserve">עסקינן </w:t>
      </w:r>
      <w:r w:rsidRPr="00E206AF">
        <w:rPr>
          <w:rFonts w:ascii="Century" w:hAnsi="Century" w:cs="Miriam"/>
          <w:b/>
          <w:sz w:val="22"/>
          <w:shd w:val="clear" w:color="auto" w:fill="FFFFFF"/>
          <w:rtl/>
        </w:rPr>
        <w:t>בליבת הליבה של מאפייני המדינה היהודית והדמוקרטית</w:t>
      </w:r>
      <w:r w:rsidRPr="00E206AF">
        <w:rPr>
          <w:rFonts w:ascii="FrankRuehl" w:hAnsi="FrankRuehl" w:cs="FrankRuehl"/>
          <w:color w:val="000000"/>
          <w:spacing w:val="10"/>
          <w:sz w:val="28"/>
          <w:szCs w:val="28"/>
          <w:shd w:val="clear" w:color="auto" w:fill="FFFFFF"/>
          <w:rtl/>
        </w:rPr>
        <w:t>. יש לכך משמעות ותוכן מעשי. אך מעבר לדוגמאות קיצוניות – לא הייתי מרחיב או מצמצם</w:t>
      </w:r>
      <w:r w:rsidRPr="00E206AF">
        <w:rPr>
          <w:rFonts w:ascii="Arial TUR" w:hAnsi="Arial TUR" w:cs="FrankRuehl" w:hint="cs"/>
          <w:spacing w:val="10"/>
          <w:sz w:val="22"/>
          <w:szCs w:val="28"/>
          <w:rtl/>
        </w:rPr>
        <w:t xml:space="preserve">" (שם, בפס' 4-3 לפסק דינו; ההדגשה הוספה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י"ו).</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Pr>
          <w:rFonts w:ascii="Century" w:hAnsi="Century" w:cs="FrankRuehl" w:hint="cs"/>
          <w:spacing w:val="10"/>
          <w:sz w:val="22"/>
          <w:szCs w:val="28"/>
          <w:rtl/>
        </w:rPr>
        <w:t>69.</w:t>
      </w: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על רקע דברים אלה, אבחן </w:t>
      </w:r>
      <w:r>
        <w:rPr>
          <w:rFonts w:ascii="Century" w:hAnsi="Century" w:cs="FrankRuehl" w:hint="cs"/>
          <w:spacing w:val="10"/>
          <w:sz w:val="22"/>
          <w:szCs w:val="28"/>
          <w:rtl/>
        </w:rPr>
        <w:t xml:space="preserve">להלן </w:t>
      </w:r>
      <w:r w:rsidRPr="00E206AF">
        <w:rPr>
          <w:rFonts w:ascii="Century" w:hAnsi="Century" w:cs="FrankRuehl" w:hint="cs"/>
          <w:spacing w:val="10"/>
          <w:sz w:val="22"/>
          <w:szCs w:val="28"/>
          <w:rtl/>
        </w:rPr>
        <w:t xml:space="preserve">האם התיקון, בהינתן הפרשנות </w:t>
      </w:r>
      <w:r>
        <w:rPr>
          <w:rFonts w:ascii="Century" w:hAnsi="Century" w:cs="FrankRuehl" w:hint="cs"/>
          <w:spacing w:val="10"/>
          <w:sz w:val="22"/>
          <w:szCs w:val="28"/>
          <w:rtl/>
        </w:rPr>
        <w:t xml:space="preserve">המוצעת </w:t>
      </w:r>
      <w:r>
        <w:rPr>
          <w:rFonts w:ascii="Century" w:hAnsi="Century" w:cs="FrankRuehl"/>
          <w:spacing w:val="10"/>
          <w:sz w:val="22"/>
          <w:szCs w:val="28"/>
          <w:rtl/>
        </w:rPr>
        <w:t>–</w:t>
      </w:r>
      <w:r>
        <w:rPr>
          <w:rFonts w:ascii="Century" w:hAnsi="Century" w:cs="FrankRuehl" w:hint="cs"/>
          <w:spacing w:val="10"/>
          <w:sz w:val="22"/>
          <w:szCs w:val="28"/>
          <w:rtl/>
        </w:rPr>
        <w:t xml:space="preserve"> אשר כאמור מתיישבת עם לשונו ומגשימה נאמה את תכליתו </w:t>
      </w:r>
      <w:r>
        <w:rPr>
          <w:rFonts w:ascii="Century" w:hAnsi="Century" w:cs="FrankRuehl"/>
          <w:spacing w:val="10"/>
          <w:sz w:val="22"/>
          <w:szCs w:val="28"/>
          <w:rtl/>
        </w:rPr>
        <w:t>–</w:t>
      </w:r>
      <w:r>
        <w:rPr>
          <w:rFonts w:ascii="Century" w:hAnsi="Century" w:cs="FrankRuehl" w:hint="cs"/>
          <w:spacing w:val="10"/>
          <w:sz w:val="22"/>
          <w:szCs w:val="28"/>
          <w:rtl/>
        </w:rPr>
        <w:t xml:space="preserve"> פוגע פגיעה אנושה בעקרונות דמוקרטיים בסיסיים, ובכך</w:t>
      </w:r>
      <w:r w:rsidRPr="00E206AF">
        <w:rPr>
          <w:rFonts w:ascii="Century" w:hAnsi="Century" w:cs="FrankRuehl" w:hint="cs"/>
          <w:spacing w:val="10"/>
          <w:sz w:val="22"/>
          <w:szCs w:val="28"/>
          <w:rtl/>
        </w:rPr>
        <w:t xml:space="preserve"> שולל את ליבת הזהות הדמוקרטית של מדינת ישראל.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Miriam" w:hint="cs"/>
          <w:b/>
          <w:sz w:val="22"/>
          <w:rtl/>
        </w:rPr>
        <w:t xml:space="preserve">התיקון </w:t>
      </w:r>
      <w:r w:rsidRPr="00E206AF">
        <w:rPr>
          <w:rFonts w:ascii="Century" w:hAnsi="Century" w:cs="Miriam"/>
          <w:b/>
          <w:sz w:val="22"/>
          <w:rtl/>
        </w:rPr>
        <w:t>–</w:t>
      </w:r>
      <w:r w:rsidRPr="00E206AF">
        <w:rPr>
          <w:rFonts w:ascii="Century" w:hAnsi="Century" w:cs="Miriam" w:hint="cs"/>
          <w:b/>
          <w:sz w:val="22"/>
          <w:rtl/>
        </w:rPr>
        <w:t xml:space="preserve"> בפרשנותו האמורה </w:t>
      </w:r>
      <w:r w:rsidRPr="00E206AF">
        <w:rPr>
          <w:rFonts w:ascii="Century" w:hAnsi="Century" w:cs="Miriam"/>
          <w:b/>
          <w:sz w:val="22"/>
          <w:rtl/>
        </w:rPr>
        <w:t>–</w:t>
      </w:r>
      <w:r w:rsidRPr="00E206AF">
        <w:rPr>
          <w:rFonts w:ascii="Century" w:hAnsi="Century" w:cs="Miriam" w:hint="cs"/>
          <w:b/>
          <w:sz w:val="22"/>
          <w:rtl/>
        </w:rPr>
        <w:t xml:space="preserve"> אינו פוגע בליבת הזהות הדמוקרטית של מדינת ישראל</w:t>
      </w:r>
    </w:p>
    <w:p w:rsidR="00E32081"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Pr>
          <w:rFonts w:ascii="Century" w:hAnsi="Century" w:cs="FrankRuehl" w:hint="cs"/>
          <w:spacing w:val="10"/>
          <w:sz w:val="22"/>
          <w:szCs w:val="28"/>
          <w:rtl/>
        </w:rPr>
        <w:t>70</w:t>
      </w:r>
      <w:r w:rsidRPr="00E206AF">
        <w:rPr>
          <w:rFonts w:ascii="Century" w:hAnsi="Century" w:cs="FrankRuehl" w:hint="cs"/>
          <w:spacing w:val="10"/>
          <w:sz w:val="22"/>
          <w:szCs w:val="28"/>
          <w:rtl/>
        </w:rPr>
        <w:t>.</w:t>
      </w:r>
      <w:r w:rsidRPr="00E206AF">
        <w:rPr>
          <w:rFonts w:ascii="Century" w:hAnsi="Century" w:cs="FrankRuehl" w:hint="cs"/>
          <w:spacing w:val="10"/>
          <w:sz w:val="22"/>
          <w:szCs w:val="28"/>
          <w:rtl/>
        </w:rPr>
        <w:tab/>
        <w:t>אקדים ואומר, כי אף שהתיקון אינו חף מקשיים, הרי ש</w:t>
      </w:r>
      <w:r>
        <w:rPr>
          <w:rFonts w:ascii="Century" w:hAnsi="Century" w:cs="FrankRuehl" w:hint="cs"/>
          <w:spacing w:val="10"/>
          <w:sz w:val="22"/>
          <w:szCs w:val="28"/>
          <w:rtl/>
        </w:rPr>
        <w:t>בהינתן</w:t>
      </w:r>
      <w:r w:rsidRPr="00E206AF">
        <w:rPr>
          <w:rFonts w:ascii="Century" w:hAnsi="Century" w:cs="FrankRuehl" w:hint="cs"/>
          <w:spacing w:val="10"/>
          <w:sz w:val="22"/>
          <w:szCs w:val="28"/>
          <w:rtl/>
        </w:rPr>
        <w:t xml:space="preserve"> שהוא מתייחס לעילת הסבירות האיזונית בלבד, </w:t>
      </w:r>
      <w:r w:rsidRPr="00E206AF">
        <w:rPr>
          <w:rFonts w:ascii="Century" w:hAnsi="Century" w:cs="FrankRuehl" w:hint="eastAsia"/>
          <w:spacing w:val="10"/>
          <w:sz w:val="22"/>
          <w:szCs w:val="28"/>
          <w:rtl/>
        </w:rPr>
        <w:t>כמבואר</w:t>
      </w:r>
      <w:r w:rsidRPr="00E206AF">
        <w:rPr>
          <w:rFonts w:ascii="Century" w:hAnsi="Century" w:cs="FrankRuehl" w:hint="cs"/>
          <w:spacing w:val="10"/>
          <w:sz w:val="22"/>
          <w:szCs w:val="28"/>
          <w:rtl/>
        </w:rPr>
        <w:t xml:space="preserve"> לעיל, התיקון אינו פוגע בליבת הזהות הדמוקרטית של מדינת ישראל; ואף איננו קרוב לכך. </w:t>
      </w:r>
      <w:r w:rsidRPr="00E206AF">
        <w:rPr>
          <w:rFonts w:ascii="Century" w:hAnsi="Century" w:cs="FrankRuehl" w:hint="eastAsia"/>
          <w:spacing w:val="10"/>
          <w:sz w:val="22"/>
          <w:szCs w:val="28"/>
          <w:rtl/>
        </w:rPr>
        <w:t>ממילא</w:t>
      </w:r>
      <w:r w:rsidRPr="00E206AF">
        <w:rPr>
          <w:rFonts w:ascii="Century" w:hAnsi="Century" w:cs="FrankRuehl" w:hint="cs"/>
          <w:spacing w:val="10"/>
          <w:sz w:val="22"/>
          <w:szCs w:val="28"/>
          <w:rtl/>
        </w:rPr>
        <w:t>, התיקון בהתאם לפרשנות המוצעת אינו עומד באמות המידה שנקבעו בפסיקה</w:t>
      </w:r>
      <w:r w:rsidRPr="00E206AF">
        <w:rPr>
          <w:rFonts w:ascii="Century" w:hAnsi="Century" w:cs="Miriam" w:hint="cs"/>
          <w:b/>
          <w:sz w:val="22"/>
          <w:rtl/>
        </w:rPr>
        <w:t xml:space="preserve"> </w:t>
      </w:r>
      <w:r w:rsidRPr="00E206AF">
        <w:rPr>
          <w:rFonts w:ascii="Century" w:hAnsi="Century" w:cs="FrankRuehl" w:hint="cs"/>
          <w:spacing w:val="10"/>
          <w:sz w:val="22"/>
          <w:szCs w:val="28"/>
          <w:rtl/>
        </w:rPr>
        <w:t xml:space="preserve">להתערבות שיפוטית בתוכנם של חוקי היסוד. כאמור, טענה </w:t>
      </w:r>
      <w:r>
        <w:rPr>
          <w:rFonts w:ascii="Century" w:hAnsi="Century" w:cs="FrankRuehl" w:hint="cs"/>
          <w:spacing w:val="10"/>
          <w:sz w:val="22"/>
          <w:szCs w:val="28"/>
          <w:rtl/>
        </w:rPr>
        <w:t>הפוכה אף לא הועלתה על-</w:t>
      </w:r>
      <w:r w:rsidRPr="00E206AF">
        <w:rPr>
          <w:rFonts w:ascii="Century" w:hAnsi="Century" w:cs="FrankRuehl" w:hint="cs"/>
          <w:spacing w:val="10"/>
          <w:sz w:val="22"/>
          <w:szCs w:val="28"/>
          <w:rtl/>
        </w:rPr>
        <w:t xml:space="preserve">ידי העותרים והיועצת המשפטית לממשלה, ואף לא בפסק דינה של חברתי הנשיאה (בדימ') </w:t>
      </w:r>
      <w:r w:rsidRPr="00E206AF">
        <w:rPr>
          <w:rFonts w:ascii="Century" w:hAnsi="Century" w:cs="Miriam" w:hint="cs"/>
          <w:b/>
          <w:sz w:val="22"/>
          <w:rtl/>
        </w:rPr>
        <w:t>חיות</w:t>
      </w:r>
      <w:r w:rsidRPr="00E206AF">
        <w:rPr>
          <w:rFonts w:ascii="Century" w:hAnsi="Century" w:cs="FrankRuehl" w:hint="cs"/>
          <w:spacing w:val="10"/>
          <w:sz w:val="22"/>
          <w:szCs w:val="28"/>
          <w:rtl/>
        </w:rPr>
        <w:t>.</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spacing w:val="10"/>
          <w:sz w:val="22"/>
          <w:szCs w:val="28"/>
          <w:rtl/>
        </w:rPr>
        <w:tab/>
      </w:r>
      <w:r w:rsidRPr="00E206AF">
        <w:rPr>
          <w:rFonts w:ascii="Arial TUR" w:hAnsi="Arial TUR" w:cs="FrankRuehl" w:hint="cs"/>
          <w:spacing w:val="10"/>
          <w:sz w:val="22"/>
          <w:szCs w:val="28"/>
          <w:rtl/>
        </w:rPr>
        <w:t>זה העיקר, וכעת אפרט.</w:t>
      </w:r>
    </w:p>
    <w:p w:rsidR="00E32081" w:rsidRPr="00E206AF" w:rsidRDefault="00E32081" w:rsidP="00E32081">
      <w:pPr>
        <w:tabs>
          <w:tab w:val="left" w:pos="800"/>
        </w:tabs>
        <w:spacing w:line="360" w:lineRule="auto"/>
        <w:jc w:val="both"/>
        <w:rPr>
          <w:rFonts w:ascii="Century" w:hAnsi="Century" w:cs="Miriam"/>
          <w:b/>
          <w:sz w:val="22"/>
          <w:rtl/>
        </w:rPr>
      </w:pPr>
    </w:p>
    <w:p w:rsidR="00E32081" w:rsidRPr="00E206AF" w:rsidRDefault="00E32081" w:rsidP="00E32081">
      <w:pPr>
        <w:tabs>
          <w:tab w:val="left" w:pos="800"/>
        </w:tabs>
        <w:spacing w:line="360" w:lineRule="auto"/>
        <w:jc w:val="both"/>
        <w:rPr>
          <w:rFonts w:ascii="Century" w:hAnsi="Century" w:cs="FrankRuehl"/>
          <w:b/>
          <w:bCs/>
          <w:spacing w:val="10"/>
          <w:sz w:val="22"/>
          <w:szCs w:val="28"/>
          <w:rtl/>
        </w:rPr>
      </w:pPr>
      <w:r w:rsidRPr="00E206AF">
        <w:rPr>
          <w:rFonts w:ascii="Century" w:hAnsi="Century" w:cs="Miriam" w:hint="cs"/>
          <w:b/>
          <w:sz w:val="22"/>
          <w:rtl/>
        </w:rPr>
        <w:t>התיקון בפרשנותו האמורה אינו פוגע בעיקרון הפרדת הרשויות</w:t>
      </w:r>
    </w:p>
    <w:p w:rsidR="00E32081" w:rsidRPr="00E206AF" w:rsidRDefault="00E32081" w:rsidP="00E32081">
      <w:pPr>
        <w:tabs>
          <w:tab w:val="left" w:pos="800"/>
        </w:tabs>
        <w:spacing w:line="360" w:lineRule="auto"/>
        <w:jc w:val="both"/>
        <w:rPr>
          <w:rFonts w:ascii="Century" w:hAnsi="Century" w:cs="FrankRuehl"/>
          <w:b/>
          <w:bCs/>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lastRenderedPageBreak/>
        <w:t>7</w:t>
      </w:r>
      <w:r>
        <w:rPr>
          <w:rFonts w:ascii="Century" w:hAnsi="Century" w:cs="FrankRuehl" w:hint="cs"/>
          <w:spacing w:val="10"/>
          <w:sz w:val="22"/>
          <w:szCs w:val="28"/>
          <w:rtl/>
        </w:rPr>
        <w:t>1</w:t>
      </w:r>
      <w:r w:rsidRPr="00E206AF">
        <w:rPr>
          <w:rFonts w:ascii="Century" w:hAnsi="Century" w:cs="FrankRuehl" w:hint="cs"/>
          <w:spacing w:val="10"/>
          <w:sz w:val="22"/>
          <w:szCs w:val="28"/>
          <w:rtl/>
        </w:rPr>
        <w:t>.</w:t>
      </w: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עיקרון הפרדת הרשויות הוא בנשמת אפה של הדמוקרטיה. כפי שהודגש לא אחת, סמכות הביקורת השיפוטית על רשויות השלטון מהווה נדבך הכרחי לקיומו של עיקרון הפרדת הרשויות; </w:t>
      </w:r>
      <w:r>
        <w:rPr>
          <w:rFonts w:ascii="Century" w:hAnsi="Century" w:cs="FrankRuehl" w:hint="cs"/>
          <w:spacing w:val="10"/>
          <w:sz w:val="22"/>
          <w:szCs w:val="28"/>
          <w:rtl/>
        </w:rPr>
        <w:t>ו</w:t>
      </w:r>
      <w:r w:rsidRPr="00E206AF">
        <w:rPr>
          <w:rFonts w:ascii="Century" w:hAnsi="Century" w:cs="FrankRuehl" w:hint="cs"/>
          <w:spacing w:val="10"/>
          <w:sz w:val="22"/>
          <w:szCs w:val="28"/>
          <w:rtl/>
        </w:rPr>
        <w:t xml:space="preserve">עמד על כך השופט </w:t>
      </w:r>
      <w:r w:rsidRPr="00E206AF">
        <w:rPr>
          <w:rFonts w:ascii="Century" w:hAnsi="Century" w:cs="Miriam" w:hint="cs"/>
          <w:b/>
          <w:sz w:val="22"/>
          <w:rtl/>
        </w:rPr>
        <w:t xml:space="preserve">ברק </w:t>
      </w:r>
      <w:r w:rsidRPr="00E206AF">
        <w:rPr>
          <w:rFonts w:ascii="Century" w:hAnsi="Century" w:cs="FrankRuehl" w:hint="eastAsia"/>
          <w:spacing w:val="10"/>
          <w:sz w:val="22"/>
          <w:szCs w:val="28"/>
          <w:rtl/>
        </w:rPr>
        <w:t>באחת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הפרשות</w:t>
      </w:r>
      <w:r w:rsidRPr="00E206AF">
        <w:rPr>
          <w:rFonts w:ascii="Century" w:hAnsi="Century" w:cs="FrankRuehl" w:hint="cs"/>
          <w:spacing w:val="10"/>
          <w:sz w:val="22"/>
          <w:szCs w:val="28"/>
          <w:rtl/>
        </w:rPr>
        <w:t xml:space="preserve">: </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משטר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דמוקרטי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נאור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הוא</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משטר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הפרדת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רשויות</w:t>
      </w:r>
      <w:r w:rsidRPr="00E206AF">
        <w:rPr>
          <w:rFonts w:ascii="Century" w:hAnsi="Century" w:cs="FrankRuehl"/>
          <w:spacing w:val="10"/>
          <w:sz w:val="22"/>
          <w:szCs w:val="28"/>
          <w:rtl/>
        </w:rPr>
        <w:t xml:space="preserve"> [...] </w:t>
      </w:r>
      <w:r w:rsidRPr="00E206AF">
        <w:rPr>
          <w:rFonts w:ascii="Century" w:hAnsi="Century" w:cs="FrankRuehl" w:hint="eastAsia"/>
          <w:spacing w:val="10"/>
          <w:sz w:val="22"/>
          <w:szCs w:val="28"/>
          <w:rtl/>
        </w:rPr>
        <w:t>משמעותה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איזון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ובקרה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הדדיים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בין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הרשויות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השונות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לא</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חומות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בין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הרשויות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אלא</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גשרים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מאזנים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ומפקחים</w:t>
      </w:r>
      <w:r w:rsidRPr="00E206AF">
        <w:rPr>
          <w:rFonts w:ascii="Century" w:hAnsi="Century" w:cs="FrankRuehl"/>
          <w:spacing w:val="10"/>
          <w:sz w:val="22"/>
          <w:szCs w:val="28"/>
          <w:rtl/>
        </w:rPr>
        <w:t>" (</w:t>
      </w:r>
      <w:r w:rsidRPr="00E206AF">
        <w:rPr>
          <w:rFonts w:ascii="Century" w:hAnsi="Century" w:cs="FrankRuehl" w:hint="cs"/>
          <w:spacing w:val="10"/>
          <w:sz w:val="22"/>
          <w:szCs w:val="28"/>
          <w:rtl/>
        </w:rPr>
        <w:t xml:space="preserve">עניין </w:t>
      </w:r>
      <w:r w:rsidRPr="00E206AF">
        <w:rPr>
          <w:rFonts w:ascii="Century" w:hAnsi="Century" w:cs="Miriam" w:hint="cs"/>
          <w:b/>
          <w:sz w:val="22"/>
          <w:rtl/>
        </w:rPr>
        <w:t>סיעת כך</w:t>
      </w:r>
      <w:r w:rsidRPr="00E206AF">
        <w:rPr>
          <w:rFonts w:ascii="Century" w:hAnsi="Century" w:cs="FrankRuehl" w:hint="cs"/>
          <w:spacing w:val="10"/>
          <w:sz w:val="22"/>
          <w:szCs w:val="28"/>
          <w:rtl/>
        </w:rPr>
        <w:t>, פס' 19</w:t>
      </w:r>
      <w:r w:rsidRPr="00E206AF">
        <w:rPr>
          <w:rFonts w:ascii="Century" w:hAnsi="Century" w:cs="FrankRuehl"/>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וכ</w:t>
      </w:r>
      <w:r>
        <w:rPr>
          <w:rFonts w:ascii="Century" w:hAnsi="Century" w:cs="FrankRuehl" w:hint="cs"/>
          <w:spacing w:val="10"/>
          <w:sz w:val="22"/>
          <w:szCs w:val="28"/>
          <w:rtl/>
        </w:rPr>
        <w:t>ך</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 xml:space="preserve">ציין השופט </w:t>
      </w:r>
      <w:r>
        <w:rPr>
          <w:rFonts w:ascii="Century" w:hAnsi="Century" w:cs="Miriam" w:hint="cs"/>
          <w:b/>
          <w:sz w:val="22"/>
          <w:rtl/>
        </w:rPr>
        <w:t>ברק</w:t>
      </w:r>
      <w:r w:rsidRPr="00E206AF">
        <w:rPr>
          <w:rFonts w:ascii="Century" w:hAnsi="Century" w:cs="FrankRuehl" w:hint="cs"/>
          <w:spacing w:val="10"/>
          <w:sz w:val="22"/>
          <w:szCs w:val="28"/>
          <w:rtl/>
        </w:rPr>
        <w:t xml:space="preserve"> בפרשה אחרת:</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spacing w:val="10"/>
          <w:sz w:val="22"/>
          <w:szCs w:val="28"/>
          <w:rtl/>
        </w:rPr>
        <w:t>"</w:t>
      </w:r>
      <w:r w:rsidRPr="00E206AF">
        <w:rPr>
          <w:rFonts w:ascii="Arial TUR" w:hAnsi="Arial TUR" w:cs="FrankRuehl" w:hint="eastAsia"/>
          <w:spacing w:val="10"/>
          <w:sz w:val="22"/>
          <w:szCs w:val="28"/>
          <w:rtl/>
        </w:rPr>
        <w:t>ללא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ביקורת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שיפוטית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הרשות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המבצעת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מתערערת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הפרדת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הרשויות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עמה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נפגמת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חירות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האדם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ונפגמים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היסודות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משטר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חופשי</w:t>
      </w:r>
      <w:r w:rsidRPr="00E206AF">
        <w:rPr>
          <w:rFonts w:ascii="Arial TUR" w:hAnsi="Arial TUR" w:cs="FrankRuehl"/>
          <w:spacing w:val="10"/>
          <w:sz w:val="22"/>
          <w:szCs w:val="28"/>
          <w:rtl/>
        </w:rPr>
        <w:t>" (</w:t>
      </w:r>
      <w:r w:rsidRPr="00E206AF">
        <w:rPr>
          <w:rFonts w:ascii="Arial TUR" w:hAnsi="Arial TUR" w:cs="FrankRuehl" w:hint="eastAsia"/>
          <w:spacing w:val="10"/>
          <w:sz w:val="22"/>
          <w:szCs w:val="28"/>
          <w:rtl/>
        </w:rPr>
        <w:t>בג</w:t>
      </w:r>
      <w:r w:rsidRPr="00E206AF">
        <w:rPr>
          <w:rFonts w:ascii="Arial TUR" w:hAnsi="Arial TUR" w:cs="FrankRuehl"/>
          <w:spacing w:val="10"/>
          <w:sz w:val="22"/>
          <w:szCs w:val="28"/>
          <w:rtl/>
        </w:rPr>
        <w:t>"</w:t>
      </w:r>
      <w:r w:rsidRPr="00E206AF">
        <w:rPr>
          <w:rFonts w:ascii="Arial TUR" w:hAnsi="Arial TUR" w:cs="FrankRuehl" w:hint="eastAsia"/>
          <w:spacing w:val="10"/>
          <w:sz w:val="22"/>
          <w:szCs w:val="28"/>
          <w:rtl/>
        </w:rPr>
        <w:t>ץ</w:t>
      </w:r>
      <w:r w:rsidRPr="00E206AF">
        <w:rPr>
          <w:rFonts w:ascii="Arial TUR" w:hAnsi="Arial TUR" w:cs="FrankRuehl"/>
          <w:spacing w:val="10"/>
          <w:sz w:val="22"/>
          <w:szCs w:val="28"/>
          <w:rtl/>
        </w:rPr>
        <w:t xml:space="preserve"> 294/89 </w:t>
      </w:r>
      <w:r w:rsidRPr="00E206AF">
        <w:rPr>
          <w:rFonts w:ascii="Century" w:hAnsi="Century" w:cs="Miriam" w:hint="eastAsia"/>
          <w:b/>
          <w:sz w:val="22"/>
          <w:rtl/>
        </w:rPr>
        <w:t>המוסד</w:t>
      </w:r>
      <w:r w:rsidRPr="00E206AF">
        <w:rPr>
          <w:rFonts w:ascii="Century" w:hAnsi="Century" w:cs="Miriam"/>
          <w:b/>
          <w:sz w:val="22"/>
          <w:rtl/>
        </w:rPr>
        <w:t xml:space="preserve"> </w:t>
      </w:r>
      <w:r w:rsidRPr="00E206AF">
        <w:rPr>
          <w:rFonts w:ascii="Century" w:hAnsi="Century" w:cs="Miriam" w:hint="eastAsia"/>
          <w:b/>
          <w:sz w:val="22"/>
          <w:rtl/>
        </w:rPr>
        <w:t>לביטוח</w:t>
      </w:r>
      <w:r w:rsidRPr="00E206AF">
        <w:rPr>
          <w:rFonts w:ascii="Century" w:hAnsi="Century" w:cs="Miriam"/>
          <w:b/>
          <w:sz w:val="22"/>
          <w:rtl/>
        </w:rPr>
        <w:t xml:space="preserve"> </w:t>
      </w:r>
      <w:r w:rsidRPr="00E206AF">
        <w:rPr>
          <w:rFonts w:ascii="Century" w:hAnsi="Century" w:cs="Miriam" w:hint="eastAsia"/>
          <w:b/>
          <w:sz w:val="22"/>
          <w:rtl/>
        </w:rPr>
        <w:t>לאומי</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ועדת</w:t>
      </w:r>
      <w:r w:rsidRPr="00E206AF">
        <w:rPr>
          <w:rFonts w:ascii="Century" w:hAnsi="Century" w:cs="Miriam"/>
          <w:b/>
          <w:sz w:val="22"/>
          <w:rtl/>
        </w:rPr>
        <w:t xml:space="preserve"> </w:t>
      </w:r>
      <w:r w:rsidRPr="00E206AF">
        <w:rPr>
          <w:rFonts w:ascii="Century" w:hAnsi="Century" w:cs="Miriam" w:hint="eastAsia"/>
          <w:b/>
          <w:sz w:val="22"/>
          <w:rtl/>
        </w:rPr>
        <w:t>העררים</w:t>
      </w:r>
      <w:r w:rsidRPr="00E206AF">
        <w:rPr>
          <w:rFonts w:ascii="Century" w:hAnsi="Century" w:cs="Miriam"/>
          <w:b/>
          <w:sz w:val="22"/>
          <w:rtl/>
        </w:rPr>
        <w:t xml:space="preserve"> </w:t>
      </w:r>
      <w:r w:rsidRPr="00E206AF">
        <w:rPr>
          <w:rFonts w:ascii="Century" w:hAnsi="Century" w:cs="Miriam" w:hint="eastAsia"/>
          <w:b/>
          <w:sz w:val="22"/>
          <w:rtl/>
        </w:rPr>
        <w:t>על</w:t>
      </w:r>
      <w:r w:rsidRPr="00E206AF">
        <w:rPr>
          <w:rFonts w:ascii="Century" w:hAnsi="Century" w:cs="Miriam"/>
          <w:b/>
          <w:sz w:val="22"/>
          <w:rtl/>
        </w:rPr>
        <w:t>-</w:t>
      </w:r>
      <w:r w:rsidRPr="00E206AF">
        <w:rPr>
          <w:rFonts w:ascii="Century" w:hAnsi="Century" w:cs="Miriam" w:hint="eastAsia"/>
          <w:b/>
          <w:sz w:val="22"/>
          <w:rtl/>
        </w:rPr>
        <w:t>פי</w:t>
      </w:r>
      <w:r w:rsidRPr="00E206AF">
        <w:rPr>
          <w:rFonts w:ascii="Century" w:hAnsi="Century" w:cs="Miriam"/>
          <w:b/>
          <w:sz w:val="22"/>
          <w:rtl/>
        </w:rPr>
        <w:t xml:space="preserve"> </w:t>
      </w:r>
      <w:r w:rsidRPr="00E206AF">
        <w:rPr>
          <w:rFonts w:ascii="Century" w:hAnsi="Century" w:cs="Miriam" w:hint="eastAsia"/>
          <w:b/>
          <w:sz w:val="22"/>
          <w:rtl/>
        </w:rPr>
        <w:t>סעיף</w:t>
      </w:r>
      <w:r w:rsidRPr="00E206AF">
        <w:rPr>
          <w:rFonts w:ascii="Century" w:hAnsi="Century" w:cs="Miriam"/>
          <w:b/>
          <w:sz w:val="22"/>
          <w:rtl/>
        </w:rPr>
        <w:t xml:space="preserve"> 11 </w:t>
      </w:r>
      <w:r w:rsidRPr="00E206AF">
        <w:rPr>
          <w:rFonts w:ascii="Century" w:hAnsi="Century" w:cs="Miriam" w:hint="eastAsia"/>
          <w:b/>
          <w:sz w:val="22"/>
          <w:rtl/>
        </w:rPr>
        <w:t>לחוק</w:t>
      </w:r>
      <w:r w:rsidRPr="00E206AF">
        <w:rPr>
          <w:rFonts w:ascii="Century" w:hAnsi="Century" w:cs="Miriam"/>
          <w:b/>
          <w:sz w:val="22"/>
          <w:rtl/>
        </w:rPr>
        <w:t xml:space="preserve"> </w:t>
      </w:r>
      <w:r w:rsidRPr="00E206AF">
        <w:rPr>
          <w:rFonts w:ascii="Century" w:hAnsi="Century" w:cs="Miriam" w:hint="eastAsia"/>
          <w:b/>
          <w:sz w:val="22"/>
          <w:rtl/>
        </w:rPr>
        <w:t>התגמולים</w:t>
      </w:r>
      <w:r w:rsidRPr="00E206AF">
        <w:rPr>
          <w:rFonts w:ascii="Century" w:hAnsi="Century" w:cs="Miriam"/>
          <w:b/>
          <w:sz w:val="22"/>
          <w:rtl/>
        </w:rPr>
        <w:t xml:space="preserve"> </w:t>
      </w:r>
      <w:r w:rsidRPr="00E206AF">
        <w:rPr>
          <w:rFonts w:ascii="Century" w:hAnsi="Century" w:cs="Miriam" w:hint="eastAsia"/>
          <w:b/>
          <w:sz w:val="22"/>
          <w:rtl/>
        </w:rPr>
        <w:t>לנפגעי</w:t>
      </w:r>
      <w:r w:rsidRPr="00E206AF">
        <w:rPr>
          <w:rFonts w:ascii="Century" w:hAnsi="Century" w:cs="Miriam"/>
          <w:b/>
          <w:sz w:val="22"/>
          <w:rtl/>
        </w:rPr>
        <w:t xml:space="preserve"> </w:t>
      </w:r>
      <w:r w:rsidRPr="00E206AF">
        <w:rPr>
          <w:rFonts w:ascii="Century" w:hAnsi="Century" w:cs="Miriam" w:hint="eastAsia"/>
          <w:b/>
          <w:sz w:val="22"/>
          <w:rtl/>
        </w:rPr>
        <w:t>פעולות</w:t>
      </w:r>
      <w:r w:rsidRPr="00E206AF">
        <w:rPr>
          <w:rFonts w:ascii="Century" w:hAnsi="Century" w:cs="Miriam"/>
          <w:b/>
          <w:sz w:val="22"/>
          <w:rtl/>
        </w:rPr>
        <w:t xml:space="preserve"> </w:t>
      </w:r>
      <w:r w:rsidRPr="00E206AF">
        <w:rPr>
          <w:rFonts w:ascii="Century" w:hAnsi="Century" w:cs="Miriam" w:hint="eastAsia"/>
          <w:b/>
          <w:sz w:val="22"/>
          <w:rtl/>
        </w:rPr>
        <w:t>איבה</w:t>
      </w:r>
      <w:r w:rsidRPr="00E206AF">
        <w:rPr>
          <w:rFonts w:ascii="Century" w:hAnsi="Century" w:cs="Miriam"/>
          <w:b/>
          <w:sz w:val="22"/>
          <w:rtl/>
        </w:rPr>
        <w:t xml:space="preserve">, </w:t>
      </w:r>
      <w:r w:rsidRPr="00E206AF">
        <w:rPr>
          <w:rFonts w:ascii="Century" w:hAnsi="Century" w:cs="Miriam" w:hint="eastAsia"/>
          <w:b/>
          <w:sz w:val="22"/>
          <w:rtl/>
        </w:rPr>
        <w:t>תש</w:t>
      </w:r>
      <w:r w:rsidRPr="00E206AF">
        <w:rPr>
          <w:rFonts w:ascii="Century" w:hAnsi="Century" w:cs="Miriam"/>
          <w:b/>
          <w:sz w:val="22"/>
          <w:rtl/>
        </w:rPr>
        <w:t>"</w:t>
      </w:r>
      <w:r w:rsidRPr="00E206AF">
        <w:rPr>
          <w:rFonts w:ascii="Century" w:hAnsi="Century" w:cs="Miriam" w:hint="eastAsia"/>
          <w:b/>
          <w:sz w:val="22"/>
          <w:rtl/>
        </w:rPr>
        <w:t>ל</w:t>
      </w:r>
      <w:r w:rsidRPr="00E206AF">
        <w:rPr>
          <w:rFonts w:ascii="Century" w:hAnsi="Century" w:cs="Miriam"/>
          <w:b/>
          <w:sz w:val="22"/>
          <w:rtl/>
        </w:rPr>
        <w:t xml:space="preserve"> – 1970</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 xml:space="preserve">פ"ד </w:t>
      </w:r>
      <w:r w:rsidRPr="00E206AF">
        <w:rPr>
          <w:rFonts w:ascii="Arial TUR" w:hAnsi="Arial TUR" w:cs="FrankRuehl" w:hint="eastAsia"/>
          <w:spacing w:val="10"/>
          <w:sz w:val="22"/>
          <w:szCs w:val="28"/>
          <w:rtl/>
        </w:rPr>
        <w:t>מה</w:t>
      </w:r>
      <w:r w:rsidRPr="00E206AF">
        <w:rPr>
          <w:rFonts w:ascii="Arial TUR" w:hAnsi="Arial TUR" w:cs="FrankRuehl"/>
          <w:spacing w:val="10"/>
          <w:sz w:val="22"/>
          <w:szCs w:val="28"/>
          <w:rtl/>
        </w:rPr>
        <w:t xml:space="preserve">(5) 445, </w:t>
      </w:r>
      <w:r w:rsidRPr="00E206AF">
        <w:rPr>
          <w:rFonts w:ascii="Arial TUR" w:hAnsi="Arial TUR" w:cs="FrankRuehl" w:hint="cs"/>
          <w:spacing w:val="10"/>
          <w:sz w:val="22"/>
          <w:szCs w:val="28"/>
          <w:rtl/>
        </w:rPr>
        <w:t xml:space="preserve">450 </w:t>
      </w:r>
      <w:r w:rsidRPr="00E206AF">
        <w:rPr>
          <w:rFonts w:ascii="Arial TUR" w:hAnsi="Arial TUR" w:cs="FrankRuehl"/>
          <w:spacing w:val="10"/>
          <w:sz w:val="22"/>
          <w:szCs w:val="28"/>
          <w:rtl/>
        </w:rPr>
        <w:t>(1991)</w:t>
      </w:r>
      <w:r w:rsidRPr="00E206AF">
        <w:rPr>
          <w:rFonts w:ascii="Arial TUR" w:hAnsi="Arial TUR" w:cs="FrankRuehl" w:hint="cs"/>
          <w:spacing w:val="10"/>
          <w:sz w:val="22"/>
          <w:szCs w:val="28"/>
          <w:rtl/>
        </w:rPr>
        <w:t xml:space="preserve"> (להלן: עניין </w:t>
      </w:r>
      <w:r w:rsidRPr="00E206AF">
        <w:rPr>
          <w:rFonts w:ascii="Century" w:hAnsi="Century" w:cs="Miriam" w:hint="cs"/>
          <w:b/>
          <w:sz w:val="22"/>
          <w:rtl/>
        </w:rPr>
        <w:t>ועדת העררים</w:t>
      </w:r>
      <w:r w:rsidRPr="00E206AF">
        <w:rPr>
          <w:rFonts w:ascii="Century" w:hAnsi="Century" w:cs="FrankRuehl" w:hint="cs"/>
          <w:spacing w:val="10"/>
          <w:sz w:val="22"/>
          <w:szCs w:val="28"/>
          <w:rtl/>
        </w:rPr>
        <w:t>)</w:t>
      </w:r>
      <w:r w:rsidRPr="00E206AF">
        <w:rPr>
          <w:rFonts w:ascii="Arial TUR" w:hAnsi="Arial TUR"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גם השופט </w:t>
      </w:r>
      <w:r w:rsidRPr="00E206AF">
        <w:rPr>
          <w:rFonts w:ascii="Century" w:hAnsi="Century" w:cs="Miriam" w:hint="cs"/>
          <w:b/>
          <w:sz w:val="22"/>
          <w:rtl/>
        </w:rPr>
        <w:t>חשין</w:t>
      </w:r>
      <w:r w:rsidRPr="00E206AF">
        <w:rPr>
          <w:rFonts w:ascii="Century" w:hAnsi="Century" w:cs="FrankRuehl" w:hint="cs"/>
          <w:spacing w:val="10"/>
          <w:sz w:val="22"/>
          <w:szCs w:val="28"/>
          <w:rtl/>
        </w:rPr>
        <w:t xml:space="preserve"> פרש דברי</w:t>
      </w:r>
      <w:r>
        <w:rPr>
          <w:rFonts w:ascii="Century" w:hAnsi="Century" w:cs="FrankRuehl" w:hint="cs"/>
          <w:spacing w:val="10"/>
          <w:sz w:val="22"/>
          <w:szCs w:val="28"/>
          <w:rtl/>
        </w:rPr>
        <w:t>ם</w:t>
      </w:r>
      <w:r w:rsidRPr="00E206AF">
        <w:rPr>
          <w:rFonts w:ascii="Century" w:hAnsi="Century" w:cs="FrankRuehl" w:hint="cs"/>
          <w:spacing w:val="10"/>
          <w:sz w:val="22"/>
          <w:szCs w:val="28"/>
          <w:rtl/>
        </w:rPr>
        <w:t xml:space="preserve"> ביחס לחיוניות </w:t>
      </w:r>
      <w:r>
        <w:rPr>
          <w:rFonts w:ascii="Century" w:hAnsi="Century" w:cs="FrankRuehl" w:hint="cs"/>
          <w:spacing w:val="10"/>
          <w:sz w:val="22"/>
          <w:szCs w:val="28"/>
          <w:rtl/>
        </w:rPr>
        <w:t>קיומה של ביקורת שיפוטית</w:t>
      </w:r>
      <w:r w:rsidRPr="00E206AF">
        <w:rPr>
          <w:rFonts w:ascii="Century" w:hAnsi="Century" w:cs="FrankRuehl" w:hint="cs"/>
          <w:spacing w:val="10"/>
          <w:sz w:val="22"/>
          <w:szCs w:val="28"/>
          <w:rtl/>
        </w:rPr>
        <w:t xml:space="preserve"> במדינה דמוקרטית:</w:t>
      </w: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 xml:space="preserve"> </w:t>
      </w: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hint="cs"/>
          <w:spacing w:val="10"/>
          <w:sz w:val="22"/>
          <w:szCs w:val="28"/>
          <w:rtl/>
        </w:rPr>
        <w:t>"</w:t>
      </w:r>
      <w:r w:rsidRPr="00E206AF">
        <w:rPr>
          <w:rFonts w:ascii="Century" w:hAnsi="Century" w:cs="Miriam"/>
          <w:b/>
          <w:sz w:val="22"/>
          <w:rtl/>
        </w:rPr>
        <w:t>ב</w:t>
      </w:r>
      <w:r w:rsidRPr="00E206AF">
        <w:rPr>
          <w:rFonts w:ascii="Arial TUR" w:hAnsi="Arial TUR" w:cs="Miriam"/>
          <w:b/>
          <w:sz w:val="22"/>
          <w:rtl/>
        </w:rPr>
        <w:t>אין רשות שופטת,</w:t>
      </w:r>
      <w:r w:rsidRPr="00E206AF">
        <w:rPr>
          <w:rFonts w:ascii="Arial TUR" w:hAnsi="Arial TUR" w:cs="FrankRuehl"/>
          <w:spacing w:val="10"/>
          <w:sz w:val="22"/>
          <w:szCs w:val="28"/>
          <w:rtl/>
        </w:rPr>
        <w:t xml:space="preserve"> </w:t>
      </w:r>
      <w:r w:rsidRPr="00E206AF">
        <w:rPr>
          <w:rFonts w:ascii="Arial TUR" w:hAnsi="Arial TUR" w:cs="Miriam"/>
          <w:b/>
          <w:sz w:val="22"/>
          <w:rtl/>
        </w:rPr>
        <w:t>באין ביקורת</w:t>
      </w:r>
      <w:r w:rsidRPr="00E206AF">
        <w:rPr>
          <w:rFonts w:ascii="Arial TUR" w:hAnsi="Arial TUR" w:cs="FrankRuehl"/>
          <w:spacing w:val="10"/>
          <w:sz w:val="22"/>
          <w:szCs w:val="28"/>
          <w:rtl/>
        </w:rPr>
        <w:t xml:space="preserve"> על מעשי הפרט והשלטון, ייפרע עם ותאבד ממלכה</w:t>
      </w:r>
      <w:r w:rsidRPr="00E206AF">
        <w:rPr>
          <w:rFonts w:ascii="Arial TUR" w:hAnsi="Arial TUR" w:cs="FrankRuehl" w:hint="cs"/>
          <w:spacing w:val="10"/>
          <w:sz w:val="22"/>
          <w:szCs w:val="28"/>
          <w:rtl/>
        </w:rPr>
        <w:t xml:space="preserve"> [...] </w:t>
      </w:r>
      <w:r w:rsidRPr="00E206AF">
        <w:rPr>
          <w:rFonts w:ascii="Arial TUR" w:hAnsi="Arial TUR" w:cs="FrankRuehl"/>
          <w:spacing w:val="10"/>
          <w:sz w:val="22"/>
          <w:szCs w:val="28"/>
          <w:rtl/>
        </w:rPr>
        <w:t xml:space="preserve">מושג הדמוקרטיה משמיע – אף זועק – </w:t>
      </w:r>
      <w:r w:rsidRPr="00E206AF">
        <w:rPr>
          <w:rFonts w:ascii="Arial TUR" w:hAnsi="Arial TUR" w:cs="Miriam"/>
          <w:b/>
          <w:sz w:val="22"/>
          <w:rtl/>
        </w:rPr>
        <w:t>קיומה של רשות שופטת</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w:t>
      </w:r>
      <w:r w:rsidRPr="00E206AF">
        <w:rPr>
          <w:rFonts w:ascii="Arial TUR" w:hAnsi="Arial TUR" w:cs="FrankRuehl"/>
          <w:spacing w:val="10"/>
          <w:sz w:val="22"/>
          <w:szCs w:val="28"/>
          <w:rtl/>
        </w:rPr>
        <w:t xml:space="preserve"> מסקנה נדרשת מאליה היא, כי </w:t>
      </w:r>
      <w:r w:rsidRPr="00E206AF">
        <w:rPr>
          <w:rFonts w:ascii="Arial TUR" w:hAnsi="Arial TUR" w:cs="Miriam"/>
          <w:b/>
          <w:sz w:val="22"/>
          <w:rtl/>
        </w:rPr>
        <w:t>קיומה של רשות שופטת</w:t>
      </w:r>
      <w:r w:rsidRPr="00E206AF">
        <w:rPr>
          <w:rFonts w:ascii="Arial TUR" w:hAnsi="Arial TUR" w:cs="FrankRuehl"/>
          <w:spacing w:val="10"/>
          <w:sz w:val="22"/>
          <w:szCs w:val="28"/>
          <w:rtl/>
        </w:rPr>
        <w:t xml:space="preserve"> – כאונה חיונית בגופה של המדינה הדמוקרטית – משמיע מעצמו איסור חסימת צינורות הדם המוליכים אליה, איסור חסימת דרכו של אדם לבית</w:t>
      </w:r>
      <w:r w:rsidRPr="00E206AF">
        <w:rPr>
          <w:rFonts w:ascii="Arial TUR" w:hAnsi="Arial TUR" w:cs="FrankRuehl"/>
          <w:spacing w:val="10"/>
          <w:position w:val="4"/>
          <w:sz w:val="18"/>
          <w:szCs w:val="28"/>
          <w:rtl/>
        </w:rPr>
        <w:t>-</w:t>
      </w:r>
      <w:r w:rsidRPr="00E206AF">
        <w:rPr>
          <w:rFonts w:ascii="Arial TUR" w:hAnsi="Arial TUR" w:cs="FrankRuehl"/>
          <w:spacing w:val="10"/>
          <w:sz w:val="22"/>
          <w:szCs w:val="28"/>
          <w:rtl/>
        </w:rPr>
        <w:t>המשפט</w:t>
      </w:r>
      <w:r w:rsidRPr="00E206AF">
        <w:rPr>
          <w:rFonts w:ascii="Arial TUR" w:hAnsi="Arial TUR" w:cs="FrankRuehl" w:hint="cs"/>
          <w:spacing w:val="10"/>
          <w:sz w:val="22"/>
          <w:szCs w:val="28"/>
          <w:rtl/>
        </w:rPr>
        <w:t xml:space="preserve">" (עניין </w:t>
      </w:r>
      <w:r w:rsidRPr="00E206AF">
        <w:rPr>
          <w:rFonts w:ascii="Century" w:hAnsi="Century" w:cs="Miriam" w:hint="eastAsia"/>
          <w:b/>
          <w:sz w:val="22"/>
          <w:rtl/>
        </w:rPr>
        <w:t>ארפל</w:t>
      </w:r>
      <w:r w:rsidRPr="00E206AF">
        <w:rPr>
          <w:rFonts w:ascii="Century" w:hAnsi="Century" w:cs="Miriam"/>
          <w:b/>
          <w:sz w:val="22"/>
          <w:rtl/>
        </w:rPr>
        <w:t xml:space="preserve"> </w:t>
      </w:r>
      <w:r w:rsidRPr="00E206AF">
        <w:rPr>
          <w:rFonts w:ascii="Century" w:hAnsi="Century" w:cs="Miriam" w:hint="eastAsia"/>
          <w:b/>
          <w:sz w:val="22"/>
          <w:rtl/>
        </w:rPr>
        <w:t>אלומיניום</w:t>
      </w:r>
      <w:r w:rsidRPr="00E206AF">
        <w:rPr>
          <w:rFonts w:ascii="Arial TUR" w:hAnsi="Arial TUR" w:cs="FrankRuehl" w:hint="cs"/>
          <w:spacing w:val="10"/>
          <w:sz w:val="22"/>
          <w:szCs w:val="28"/>
          <w:rtl/>
        </w:rPr>
        <w:t xml:space="preserve">, בפס' 32-31 לפסק דינו; ההדגשה הוספה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י"ו).</w:t>
      </w:r>
      <w:r w:rsidRPr="00E206AF">
        <w:rPr>
          <w:rFonts w:ascii="Arial TUR" w:hAnsi="Arial TUR" w:cs="FrankRuehl"/>
          <w:spacing w:val="10"/>
          <w:sz w:val="22"/>
          <w:szCs w:val="28"/>
          <w:rtl/>
        </w:rPr>
        <w:t xml:space="preserve">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hint="cs"/>
          <w:spacing w:val="10"/>
          <w:sz w:val="22"/>
          <w:szCs w:val="28"/>
          <w:rtl/>
        </w:rPr>
        <w:t>7</w:t>
      </w:r>
      <w:r>
        <w:rPr>
          <w:rFonts w:ascii="Arial TUR" w:hAnsi="Arial TUR" w:cs="FrankRuehl" w:hint="cs"/>
          <w:spacing w:val="10"/>
          <w:sz w:val="22"/>
          <w:szCs w:val="28"/>
          <w:rtl/>
        </w:rPr>
        <w:t>2</w:t>
      </w:r>
      <w:r w:rsidRPr="00E206AF">
        <w:rPr>
          <w:rFonts w:ascii="Arial TUR" w:hAnsi="Arial TUR" w:cs="FrankRuehl" w:hint="cs"/>
          <w:spacing w:val="10"/>
          <w:sz w:val="22"/>
          <w:szCs w:val="28"/>
          <w:rtl/>
        </w:rPr>
        <w:t>.</w:t>
      </w:r>
      <w:r w:rsidRPr="00E206AF">
        <w:rPr>
          <w:rFonts w:ascii="Arial TUR" w:hAnsi="Arial TUR" w:cs="FrankRuehl" w:hint="cs"/>
          <w:spacing w:val="10"/>
          <w:sz w:val="22"/>
          <w:szCs w:val="28"/>
          <w:rtl/>
        </w:rPr>
        <w:tab/>
      </w:r>
      <w:r>
        <w:rPr>
          <w:rFonts w:ascii="Arial TUR" w:hAnsi="Arial TUR" w:cs="FrankRuehl" w:hint="cs"/>
          <w:spacing w:val="10"/>
          <w:sz w:val="22"/>
          <w:szCs w:val="28"/>
          <w:rtl/>
        </w:rPr>
        <w:t xml:space="preserve">אמנם, </w:t>
      </w:r>
      <w:r w:rsidRPr="00E206AF">
        <w:rPr>
          <w:rFonts w:ascii="Arial TUR" w:hAnsi="Arial TUR" w:cs="FrankRuehl" w:hint="cs"/>
          <w:spacing w:val="10"/>
          <w:sz w:val="22"/>
          <w:szCs w:val="28"/>
          <w:rtl/>
        </w:rPr>
        <w:t>ה</w:t>
      </w:r>
      <w:r w:rsidRPr="00E206AF">
        <w:rPr>
          <w:rFonts w:ascii="Arial TUR" w:hAnsi="Arial TUR" w:cs="FrankRuehl" w:hint="eastAsia"/>
          <w:spacing w:val="10"/>
          <w:sz w:val="22"/>
          <w:szCs w:val="28"/>
          <w:rtl/>
        </w:rPr>
        <w:t>סמכות</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 xml:space="preserve">לערוך </w:t>
      </w:r>
      <w:r w:rsidRPr="00E206AF">
        <w:rPr>
          <w:rFonts w:ascii="Arial TUR" w:hAnsi="Arial TUR" w:cs="FrankRuehl" w:hint="eastAsia"/>
          <w:spacing w:val="10"/>
          <w:sz w:val="22"/>
          <w:szCs w:val="28"/>
          <w:rtl/>
        </w:rPr>
        <w:t>ביקורת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שיפוטית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מסורה</w:t>
      </w:r>
      <w:r w:rsidRPr="00E206AF">
        <w:rPr>
          <w:rFonts w:ascii="Arial TUR" w:hAnsi="Arial TUR" w:cs="FrankRuehl" w:hint="cs"/>
          <w:spacing w:val="10"/>
          <w:sz w:val="22"/>
          <w:szCs w:val="28"/>
          <w:rtl/>
        </w:rPr>
        <w:t xml:space="preserve"> </w:t>
      </w:r>
      <w:r w:rsidRPr="00E206AF">
        <w:rPr>
          <w:rFonts w:ascii="Arial TUR" w:hAnsi="Arial TUR" w:cs="FrankRuehl" w:hint="eastAsia"/>
          <w:spacing w:val="10"/>
          <w:sz w:val="22"/>
          <w:szCs w:val="28"/>
          <w:rtl/>
        </w:rPr>
        <w:t>בידי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הרשות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השופטת</w:t>
      </w:r>
      <w:r>
        <w:rPr>
          <w:rFonts w:ascii="Arial TUR" w:hAnsi="Arial TUR" w:cs="FrankRuehl" w:hint="cs"/>
          <w:spacing w:val="10"/>
          <w:sz w:val="22"/>
          <w:szCs w:val="28"/>
          <w:rtl/>
        </w:rPr>
        <w:t>, וביחס לבית המשפט העליון</w:t>
      </w:r>
      <w:r w:rsidRPr="00E206AF">
        <w:rPr>
          <w:rFonts w:ascii="Arial TUR" w:hAnsi="Arial TUR" w:cs="FrankRuehl" w:hint="cs"/>
          <w:spacing w:val="10"/>
          <w:sz w:val="22"/>
          <w:szCs w:val="28"/>
          <w:rtl/>
        </w:rPr>
        <w:t xml:space="preserve"> </w:t>
      </w:r>
      <w:r>
        <w:rPr>
          <w:rFonts w:ascii="Arial TUR" w:hAnsi="Arial TUR" w:cs="FrankRuehl" w:hint="cs"/>
          <w:spacing w:val="10"/>
          <w:sz w:val="22"/>
          <w:szCs w:val="28"/>
          <w:rtl/>
        </w:rPr>
        <w:t xml:space="preserve">בשבתו כבית משפט גבוה לצדק, </w:t>
      </w:r>
      <w:r w:rsidRPr="00E206AF">
        <w:rPr>
          <w:rFonts w:ascii="Arial TUR" w:hAnsi="Arial TUR" w:cs="FrankRuehl" w:hint="cs"/>
          <w:spacing w:val="10"/>
          <w:sz w:val="22"/>
          <w:szCs w:val="28"/>
          <w:rtl/>
        </w:rPr>
        <w:t>מעוגנת</w:t>
      </w:r>
      <w:r>
        <w:rPr>
          <w:rFonts w:ascii="Arial TUR" w:hAnsi="Arial TUR" w:cs="FrankRuehl" w:hint="cs"/>
          <w:spacing w:val="10"/>
          <w:sz w:val="22"/>
          <w:szCs w:val="28"/>
          <w:rtl/>
        </w:rPr>
        <w:t xml:space="preserve"> סמכות זו</w:t>
      </w:r>
      <w:r w:rsidRPr="00E206AF">
        <w:rPr>
          <w:rFonts w:ascii="Arial TUR" w:hAnsi="Arial TUR" w:cs="FrankRuehl" w:hint="cs"/>
          <w:spacing w:val="10"/>
          <w:sz w:val="22"/>
          <w:szCs w:val="28"/>
          <w:rtl/>
        </w:rPr>
        <w:t xml:space="preserve"> בסעיף 15(ג) לחוק יסוד: השפיטה</w:t>
      </w:r>
      <w:r>
        <w:rPr>
          <w:rFonts w:ascii="Arial TUR" w:hAnsi="Arial TUR" w:cs="FrankRuehl" w:hint="cs"/>
          <w:spacing w:val="10"/>
          <w:sz w:val="22"/>
          <w:szCs w:val="28"/>
          <w:rtl/>
        </w:rPr>
        <w:t>. ברם,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הרשות</w:t>
      </w:r>
      <w:r w:rsidRPr="00E206AF">
        <w:rPr>
          <w:rFonts w:ascii="Arial TUR" w:hAnsi="Arial TUR" w:cs="FrankRuehl" w:hint="cs"/>
          <w:spacing w:val="10"/>
          <w:sz w:val="22"/>
          <w:szCs w:val="28"/>
          <w:rtl/>
        </w:rPr>
        <w:t xml:space="preserve"> </w:t>
      </w:r>
      <w:r w:rsidRPr="00E206AF">
        <w:rPr>
          <w:rFonts w:ascii="Arial TUR" w:hAnsi="Arial TUR" w:cs="FrankRuehl" w:hint="eastAsia"/>
          <w:spacing w:val="10"/>
          <w:sz w:val="22"/>
          <w:szCs w:val="28"/>
          <w:rtl/>
        </w:rPr>
        <w:t>המחוקקת</w:t>
      </w:r>
      <w:r w:rsidRPr="00E206AF">
        <w:rPr>
          <w:rFonts w:ascii="Arial TUR" w:hAnsi="Arial TUR" w:cs="FrankRuehl" w:hint="cs"/>
          <w:spacing w:val="10"/>
          <w:sz w:val="22"/>
          <w:szCs w:val="28"/>
          <w:rtl/>
        </w:rPr>
        <w:t xml:space="preserve">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לא כל שכן </w:t>
      </w:r>
      <w:r w:rsidRPr="00E206AF">
        <w:rPr>
          <w:rFonts w:ascii="Arial TUR" w:hAnsi="Arial TUR" w:cs="FrankRuehl" w:hint="eastAsia"/>
          <w:spacing w:val="10"/>
          <w:sz w:val="22"/>
          <w:szCs w:val="28"/>
          <w:rtl/>
        </w:rPr>
        <w:t>המכוננת</w:t>
      </w:r>
      <w:r w:rsidRPr="00E206AF">
        <w:rPr>
          <w:rFonts w:ascii="Arial TUR" w:hAnsi="Arial TUR" w:cs="FrankRuehl" w:hint="cs"/>
          <w:spacing w:val="10"/>
          <w:sz w:val="22"/>
          <w:szCs w:val="28"/>
          <w:rtl/>
        </w:rPr>
        <w:t xml:space="preserve"> </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רשאיות</w:t>
      </w:r>
      <w:r w:rsidRPr="00E206AF">
        <w:rPr>
          <w:rFonts w:ascii="Arial TUR" w:hAnsi="Arial TUR" w:cs="FrankRuehl" w:hint="cs"/>
          <w:spacing w:val="10"/>
          <w:sz w:val="22"/>
          <w:szCs w:val="28"/>
          <w:rtl/>
        </w:rPr>
        <w:t>, ככלל, ליצוק תוכן לעילות הביקורת השיפוטית ו</w:t>
      </w:r>
      <w:r w:rsidRPr="00E206AF">
        <w:rPr>
          <w:rFonts w:ascii="Arial TUR" w:hAnsi="Arial TUR" w:cs="FrankRuehl" w:hint="eastAsia"/>
          <w:spacing w:val="10"/>
          <w:sz w:val="22"/>
          <w:szCs w:val="28"/>
          <w:rtl/>
        </w:rPr>
        <w:t>להתוות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גבולות</w:t>
      </w:r>
      <w:r w:rsidRPr="00E206AF">
        <w:rPr>
          <w:rFonts w:ascii="Arial TUR" w:hAnsi="Arial TUR" w:cs="FrankRuehl" w:hint="cs"/>
          <w:spacing w:val="10"/>
          <w:sz w:val="22"/>
          <w:szCs w:val="28"/>
          <w:rtl/>
        </w:rPr>
        <w:t xml:space="preserve">יהן. כפי שציינו המלומדים </w:t>
      </w:r>
      <w:r w:rsidRPr="00E206AF">
        <w:rPr>
          <w:rFonts w:ascii="Century" w:hAnsi="Century" w:cs="Miriam" w:hint="cs"/>
          <w:b/>
          <w:sz w:val="22"/>
          <w:rtl/>
        </w:rPr>
        <w:t xml:space="preserve">א' רובינשטיין </w:t>
      </w:r>
      <w:r w:rsidRPr="00E206AF">
        <w:rPr>
          <w:rFonts w:ascii="Century" w:hAnsi="Century" w:cs="FrankRuehl" w:hint="cs"/>
          <w:spacing w:val="10"/>
          <w:sz w:val="22"/>
          <w:szCs w:val="28"/>
          <w:rtl/>
        </w:rPr>
        <w:t>ו</w:t>
      </w:r>
      <w:r w:rsidRPr="00E206AF">
        <w:rPr>
          <w:rFonts w:ascii="Century" w:hAnsi="Century" w:cs="Miriam" w:hint="cs"/>
          <w:b/>
          <w:sz w:val="22"/>
          <w:rtl/>
        </w:rPr>
        <w:t>ב' מדינה</w:t>
      </w:r>
      <w:r w:rsidRPr="00E206AF">
        <w:rPr>
          <w:rFonts w:ascii="Arial TUR" w:hAnsi="Arial TUR" w:cs="FrankRuehl" w:hint="cs"/>
          <w:spacing w:val="10"/>
          <w:sz w:val="22"/>
          <w:szCs w:val="28"/>
          <w:rtl/>
        </w:rPr>
        <w:t>, "</w:t>
      </w:r>
      <w:r w:rsidRPr="00E206AF">
        <w:rPr>
          <w:rFonts w:ascii="Arial TUR" w:hAnsi="Arial TUR" w:cs="FrankRuehl" w:hint="eastAsia"/>
          <w:spacing w:val="10"/>
          <w:sz w:val="22"/>
          <w:szCs w:val="28"/>
          <w:rtl/>
        </w:rPr>
        <w:t>המחוקק</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אינו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רשאי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אמנם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לשלול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לחלוטין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סמכותו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המשפט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הגבוה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לצדק</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להחיל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ביקורת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שיפוטית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החלטה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שלטונית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שהיא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אך</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הוא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רשאי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להגביל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עילות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הביקורת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השיפוטית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ולכן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גם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היקפה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הביקורת</w:t>
      </w:r>
      <w:r w:rsidRPr="00E206AF">
        <w:rPr>
          <w:rFonts w:ascii="Arial TUR" w:hAnsi="Arial TUR" w:cs="FrankRuehl"/>
          <w:spacing w:val="10"/>
          <w:sz w:val="22"/>
          <w:szCs w:val="28"/>
          <w:rtl/>
        </w:rPr>
        <w:t xml:space="preserve">" (אמנון רובינשטיין וברק מדינה </w:t>
      </w:r>
      <w:r w:rsidRPr="00E206AF">
        <w:rPr>
          <w:rFonts w:ascii="Arial TUR" w:hAnsi="Arial TUR" w:cs="Miriam" w:hint="eastAsia"/>
          <w:b/>
          <w:sz w:val="22"/>
          <w:rtl/>
        </w:rPr>
        <w:t>המשפט</w:t>
      </w:r>
      <w:r w:rsidRPr="00E206AF">
        <w:rPr>
          <w:rFonts w:ascii="Arial TUR" w:hAnsi="Arial TUR" w:cs="Miriam"/>
          <w:b/>
          <w:sz w:val="22"/>
          <w:rtl/>
        </w:rPr>
        <w:t xml:space="preserve"> החוקתי של מדינת ישראל – עקרונות יסוד</w:t>
      </w:r>
      <w:r w:rsidRPr="00E206AF">
        <w:rPr>
          <w:rFonts w:ascii="Arial TUR" w:hAnsi="Arial TUR" w:cs="FrankRuehl"/>
          <w:spacing w:val="10"/>
          <w:sz w:val="22"/>
          <w:szCs w:val="28"/>
          <w:rtl/>
        </w:rPr>
        <w:t xml:space="preserve"> 107-106 (2005)</w:t>
      </w:r>
      <w:r w:rsidRPr="00E206AF">
        <w:rPr>
          <w:rFonts w:ascii="Arial TUR" w:hAnsi="Arial TUR" w:cs="FrankRuehl" w:hint="cs"/>
          <w:spacing w:val="10"/>
          <w:sz w:val="22"/>
          <w:szCs w:val="28"/>
          <w:rtl/>
        </w:rPr>
        <w:t xml:space="preserve">), </w:t>
      </w:r>
      <w:r>
        <w:rPr>
          <w:rFonts w:ascii="Arial TUR" w:hAnsi="Arial TUR" w:cs="FrankRuehl" w:hint="cs"/>
          <w:spacing w:val="10"/>
          <w:sz w:val="22"/>
          <w:szCs w:val="28"/>
          <w:rtl/>
        </w:rPr>
        <w:t>ו</w:t>
      </w:r>
      <w:r w:rsidRPr="00E206AF">
        <w:rPr>
          <w:rFonts w:ascii="Arial TUR" w:hAnsi="Arial TUR" w:cs="FrankRuehl" w:hint="cs"/>
          <w:spacing w:val="10"/>
          <w:sz w:val="22"/>
          <w:szCs w:val="28"/>
          <w:rtl/>
        </w:rPr>
        <w:t xml:space="preserve">היקף הביקורת השיפוטית קשור גם למהות אמות המידה שלפיהן היא מוחלת (שם, בעמ' 184; וכן ראו והשוו: </w:t>
      </w:r>
      <w:r w:rsidRPr="00E206AF">
        <w:rPr>
          <w:rFonts w:ascii="Arial TUR" w:hAnsi="Arial TUR" w:cs="FrankRuehl" w:hint="eastAsia"/>
          <w:spacing w:val="10"/>
          <w:sz w:val="22"/>
          <w:szCs w:val="28"/>
          <w:rtl/>
        </w:rPr>
        <w:t>בג</w:t>
      </w:r>
      <w:r w:rsidRPr="00E206AF">
        <w:rPr>
          <w:rFonts w:ascii="Arial TUR" w:hAnsi="Arial TUR" w:cs="FrankRuehl"/>
          <w:spacing w:val="10"/>
          <w:sz w:val="22"/>
          <w:szCs w:val="28"/>
          <w:rtl/>
        </w:rPr>
        <w:t>"</w:t>
      </w:r>
      <w:r w:rsidRPr="00E206AF">
        <w:rPr>
          <w:rFonts w:ascii="Arial TUR" w:hAnsi="Arial TUR" w:cs="FrankRuehl" w:hint="eastAsia"/>
          <w:spacing w:val="10"/>
          <w:sz w:val="22"/>
          <w:szCs w:val="28"/>
          <w:rtl/>
        </w:rPr>
        <w:t>ץ</w:t>
      </w:r>
      <w:r w:rsidRPr="00E206AF">
        <w:rPr>
          <w:rFonts w:ascii="Arial TUR" w:hAnsi="Arial TUR" w:cs="FrankRuehl"/>
          <w:spacing w:val="10"/>
          <w:sz w:val="22"/>
          <w:szCs w:val="28"/>
          <w:rtl/>
        </w:rPr>
        <w:t xml:space="preserve"> 6654/98 </w:t>
      </w:r>
      <w:r w:rsidRPr="00E206AF">
        <w:rPr>
          <w:rFonts w:ascii="Century" w:hAnsi="Century" w:cs="Miriam" w:hint="eastAsia"/>
          <w:b/>
          <w:sz w:val="22"/>
          <w:rtl/>
        </w:rPr>
        <w:t>הלפרין</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פקידת</w:t>
      </w:r>
      <w:r w:rsidRPr="00E206AF">
        <w:rPr>
          <w:rFonts w:ascii="Century" w:hAnsi="Century" w:cs="Miriam"/>
          <w:b/>
          <w:sz w:val="22"/>
          <w:rtl/>
        </w:rPr>
        <w:t xml:space="preserve"> </w:t>
      </w:r>
      <w:r w:rsidRPr="00E206AF">
        <w:rPr>
          <w:rFonts w:ascii="Century" w:hAnsi="Century" w:cs="Miriam" w:hint="eastAsia"/>
          <w:b/>
          <w:sz w:val="22"/>
          <w:rtl/>
        </w:rPr>
        <w:t>הבחירות</w:t>
      </w:r>
      <w:r w:rsidRPr="00E206AF">
        <w:rPr>
          <w:rFonts w:ascii="Century" w:hAnsi="Century" w:cs="Miriam"/>
          <w:b/>
          <w:sz w:val="22"/>
          <w:rtl/>
        </w:rPr>
        <w:t xml:space="preserve"> </w:t>
      </w:r>
      <w:r w:rsidRPr="00E206AF">
        <w:rPr>
          <w:rFonts w:ascii="Century" w:hAnsi="Century" w:cs="Miriam" w:hint="eastAsia"/>
          <w:b/>
          <w:sz w:val="22"/>
          <w:rtl/>
        </w:rPr>
        <w:t>לעיריית</w:t>
      </w:r>
      <w:r w:rsidRPr="00E206AF">
        <w:rPr>
          <w:rFonts w:ascii="Century" w:hAnsi="Century" w:cs="Miriam"/>
          <w:b/>
          <w:sz w:val="22"/>
          <w:rtl/>
        </w:rPr>
        <w:t xml:space="preserve"> </w:t>
      </w:r>
      <w:r w:rsidRPr="00E206AF">
        <w:rPr>
          <w:rFonts w:ascii="Century" w:hAnsi="Century" w:cs="Miriam" w:hint="eastAsia"/>
          <w:b/>
          <w:sz w:val="22"/>
          <w:rtl/>
        </w:rPr>
        <w:lastRenderedPageBreak/>
        <w:t>הרצליה</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 xml:space="preserve">פ"ד </w:t>
      </w:r>
      <w:r w:rsidRPr="00E206AF">
        <w:rPr>
          <w:rFonts w:ascii="Arial TUR" w:hAnsi="Arial TUR" w:cs="FrankRuehl" w:hint="eastAsia"/>
          <w:spacing w:val="10"/>
          <w:sz w:val="22"/>
          <w:szCs w:val="28"/>
          <w:rtl/>
        </w:rPr>
        <w:t>נב</w:t>
      </w:r>
      <w:r w:rsidRPr="00E206AF">
        <w:rPr>
          <w:rFonts w:ascii="Arial TUR" w:hAnsi="Arial TUR" w:cs="FrankRuehl"/>
          <w:spacing w:val="10"/>
          <w:sz w:val="22"/>
          <w:szCs w:val="28"/>
          <w:rtl/>
        </w:rPr>
        <w:t>(5) 348 (1998)</w:t>
      </w:r>
      <w:r w:rsidRPr="00E206AF">
        <w:rPr>
          <w:rFonts w:ascii="Arial TUR" w:hAnsi="Arial TUR" w:cs="FrankRuehl" w:hint="cs"/>
          <w:spacing w:val="10"/>
          <w:sz w:val="22"/>
          <w:szCs w:val="28"/>
          <w:rtl/>
        </w:rPr>
        <w:t xml:space="preserve">; </w:t>
      </w:r>
      <w:r w:rsidRPr="00E206AF">
        <w:rPr>
          <w:rFonts w:ascii="Arial TUR" w:hAnsi="Arial TUR" w:cs="FrankRuehl" w:hint="eastAsia"/>
          <w:spacing w:val="10"/>
          <w:sz w:val="22"/>
          <w:szCs w:val="28"/>
          <w:rtl/>
        </w:rPr>
        <w:t>בג</w:t>
      </w:r>
      <w:r w:rsidRPr="00E206AF">
        <w:rPr>
          <w:rFonts w:ascii="Arial TUR" w:hAnsi="Arial TUR" w:cs="FrankRuehl"/>
          <w:spacing w:val="10"/>
          <w:sz w:val="22"/>
          <w:szCs w:val="28"/>
          <w:rtl/>
        </w:rPr>
        <w:t>"</w:t>
      </w:r>
      <w:r w:rsidRPr="00E206AF">
        <w:rPr>
          <w:rFonts w:ascii="Arial TUR" w:hAnsi="Arial TUR" w:cs="FrankRuehl" w:hint="eastAsia"/>
          <w:spacing w:val="10"/>
          <w:sz w:val="22"/>
          <w:szCs w:val="28"/>
          <w:rtl/>
        </w:rPr>
        <w:t>ץ</w:t>
      </w:r>
      <w:r w:rsidRPr="00E206AF">
        <w:rPr>
          <w:rFonts w:ascii="Arial TUR" w:hAnsi="Arial TUR" w:cs="FrankRuehl"/>
          <w:spacing w:val="10"/>
          <w:sz w:val="22"/>
          <w:szCs w:val="28"/>
          <w:rtl/>
        </w:rPr>
        <w:t xml:space="preserve"> 8290/03 </w:t>
      </w:r>
      <w:r w:rsidRPr="00E206AF">
        <w:rPr>
          <w:rFonts w:ascii="Century" w:hAnsi="Century" w:cs="Miriam" w:hint="eastAsia"/>
          <w:b/>
          <w:sz w:val="22"/>
          <w:rtl/>
        </w:rPr>
        <w:t>אלחלים</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יו</w:t>
      </w:r>
      <w:r w:rsidRPr="00E206AF">
        <w:rPr>
          <w:rFonts w:ascii="Century" w:hAnsi="Century" w:cs="Miriam"/>
          <w:b/>
          <w:sz w:val="22"/>
          <w:rtl/>
        </w:rPr>
        <w:t>"</w:t>
      </w:r>
      <w:r w:rsidRPr="00E206AF">
        <w:rPr>
          <w:rFonts w:ascii="Century" w:hAnsi="Century" w:cs="Miriam" w:hint="eastAsia"/>
          <w:b/>
          <w:sz w:val="22"/>
          <w:rtl/>
        </w:rPr>
        <w:t>ר</w:t>
      </w:r>
      <w:r w:rsidRPr="00E206AF">
        <w:rPr>
          <w:rFonts w:ascii="Century" w:hAnsi="Century" w:cs="Miriam"/>
          <w:b/>
          <w:sz w:val="22"/>
          <w:rtl/>
        </w:rPr>
        <w:t xml:space="preserve"> </w:t>
      </w:r>
      <w:r w:rsidRPr="00E206AF">
        <w:rPr>
          <w:rFonts w:ascii="Century" w:hAnsi="Century" w:cs="Miriam" w:hint="eastAsia"/>
          <w:b/>
          <w:sz w:val="22"/>
          <w:rtl/>
        </w:rPr>
        <w:t>ועדת</w:t>
      </w:r>
      <w:r w:rsidRPr="00E206AF">
        <w:rPr>
          <w:rFonts w:ascii="Century" w:hAnsi="Century" w:cs="Miriam"/>
          <w:b/>
          <w:sz w:val="22"/>
          <w:rtl/>
        </w:rPr>
        <w:t xml:space="preserve"> </w:t>
      </w:r>
      <w:r w:rsidRPr="00E206AF">
        <w:rPr>
          <w:rFonts w:ascii="Century" w:hAnsi="Century" w:cs="Miriam" w:hint="eastAsia"/>
          <w:b/>
          <w:sz w:val="22"/>
          <w:rtl/>
        </w:rPr>
        <w:t>הבחירות</w:t>
      </w:r>
      <w:r w:rsidRPr="00E206AF">
        <w:rPr>
          <w:rFonts w:ascii="Century" w:hAnsi="Century" w:cs="Miriam"/>
          <w:b/>
          <w:sz w:val="22"/>
          <w:rtl/>
        </w:rPr>
        <w:t xml:space="preserve"> </w:t>
      </w:r>
      <w:r w:rsidRPr="00E206AF">
        <w:rPr>
          <w:rFonts w:ascii="Century" w:hAnsi="Century" w:cs="Miriam" w:hint="eastAsia"/>
          <w:b/>
          <w:sz w:val="22"/>
          <w:rtl/>
        </w:rPr>
        <w:t>המרכזית</w:t>
      </w:r>
      <w:r w:rsidRPr="00E206AF">
        <w:rPr>
          <w:rFonts w:ascii="Century" w:hAnsi="Century" w:cs="Miriam"/>
          <w:b/>
          <w:sz w:val="22"/>
          <w:rtl/>
        </w:rPr>
        <w:t xml:space="preserve"> </w:t>
      </w:r>
      <w:r w:rsidRPr="00E206AF">
        <w:rPr>
          <w:rFonts w:ascii="Century" w:hAnsi="Century" w:cs="Miriam" w:hint="eastAsia"/>
          <w:b/>
          <w:sz w:val="22"/>
          <w:rtl/>
        </w:rPr>
        <w:t>לכנסת</w:t>
      </w:r>
      <w:r w:rsidRPr="00E206AF">
        <w:rPr>
          <w:rFonts w:ascii="Arial TUR" w:hAnsi="Arial TUR" w:cs="FrankRuehl"/>
          <w:spacing w:val="10"/>
          <w:sz w:val="22"/>
          <w:szCs w:val="28"/>
          <w:rtl/>
        </w:rPr>
        <w:t xml:space="preserve"> (24.9.2003)‏</w:t>
      </w:r>
      <w:r w:rsidRPr="00E206AF">
        <w:rPr>
          <w:rFonts w:ascii="Arial TUR" w:hAnsi="Arial TUR" w:cs="FrankRuehl" w:hint="cs"/>
          <w:spacing w:val="10"/>
          <w:sz w:val="22"/>
          <w:szCs w:val="28"/>
          <w:rtl/>
        </w:rPr>
        <w:t xml:space="preserve">; </w:t>
      </w:r>
      <w:r w:rsidRPr="00E206AF">
        <w:rPr>
          <w:rFonts w:ascii="Arial TUR" w:hAnsi="Arial TUR" w:cs="FrankRuehl" w:hint="eastAsia"/>
          <w:spacing w:val="10"/>
          <w:sz w:val="22"/>
          <w:szCs w:val="28"/>
          <w:rtl/>
        </w:rPr>
        <w:t>בג</w:t>
      </w:r>
      <w:r w:rsidRPr="00E206AF">
        <w:rPr>
          <w:rFonts w:ascii="Arial TUR" w:hAnsi="Arial TUR" w:cs="FrankRuehl"/>
          <w:spacing w:val="10"/>
          <w:sz w:val="22"/>
          <w:szCs w:val="28"/>
          <w:rtl/>
        </w:rPr>
        <w:t>"</w:t>
      </w:r>
      <w:r w:rsidRPr="00E206AF">
        <w:rPr>
          <w:rFonts w:ascii="Arial TUR" w:hAnsi="Arial TUR" w:cs="FrankRuehl" w:hint="eastAsia"/>
          <w:spacing w:val="10"/>
          <w:sz w:val="22"/>
          <w:szCs w:val="28"/>
          <w:rtl/>
        </w:rPr>
        <w:t>ץ</w:t>
      </w:r>
      <w:r w:rsidRPr="00E206AF">
        <w:rPr>
          <w:rFonts w:ascii="Arial TUR" w:hAnsi="Arial TUR" w:cs="FrankRuehl"/>
          <w:spacing w:val="10"/>
          <w:sz w:val="22"/>
          <w:szCs w:val="28"/>
          <w:rtl/>
        </w:rPr>
        <w:t xml:space="preserve"> 2208/02 </w:t>
      </w:r>
      <w:r w:rsidRPr="00E206AF">
        <w:rPr>
          <w:rFonts w:ascii="Century" w:hAnsi="Century" w:cs="Miriam" w:hint="eastAsia"/>
          <w:b/>
          <w:sz w:val="22"/>
          <w:rtl/>
        </w:rPr>
        <w:t>סלאמה</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שר</w:t>
      </w:r>
      <w:r w:rsidRPr="00E206AF">
        <w:rPr>
          <w:rFonts w:ascii="Century" w:hAnsi="Century" w:cs="Miriam"/>
          <w:b/>
          <w:sz w:val="22"/>
          <w:rtl/>
        </w:rPr>
        <w:t xml:space="preserve"> </w:t>
      </w:r>
      <w:r w:rsidRPr="00E206AF">
        <w:rPr>
          <w:rFonts w:ascii="Century" w:hAnsi="Century" w:cs="Miriam" w:hint="eastAsia"/>
          <w:b/>
          <w:sz w:val="22"/>
          <w:rtl/>
        </w:rPr>
        <w:t>הפנים</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 xml:space="preserve">פ"ד </w:t>
      </w:r>
      <w:r w:rsidRPr="00E206AF">
        <w:rPr>
          <w:rFonts w:ascii="Arial TUR" w:hAnsi="Arial TUR" w:cs="FrankRuehl" w:hint="eastAsia"/>
          <w:spacing w:val="10"/>
          <w:sz w:val="22"/>
          <w:szCs w:val="28"/>
          <w:rtl/>
        </w:rPr>
        <w:t>נו</w:t>
      </w:r>
      <w:r w:rsidRPr="00E206AF">
        <w:rPr>
          <w:rFonts w:ascii="Arial TUR" w:hAnsi="Arial TUR" w:cs="FrankRuehl"/>
          <w:spacing w:val="10"/>
          <w:sz w:val="22"/>
          <w:szCs w:val="28"/>
          <w:rtl/>
        </w:rPr>
        <w:t>(5) 950 (2002)‏</w:t>
      </w:r>
      <w:r w:rsidRPr="00E206AF">
        <w:rPr>
          <w:rFonts w:ascii="Arial TUR" w:hAnsi="Arial TUR" w:cs="FrankRuehl" w:hint="cs"/>
          <w:spacing w:val="10"/>
          <w:sz w:val="22"/>
          <w:szCs w:val="28"/>
          <w:rtl/>
        </w:rPr>
        <w:t xml:space="preserve">).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spacing w:val="10"/>
          <w:sz w:val="22"/>
          <w:szCs w:val="28"/>
          <w:rtl/>
        </w:rPr>
        <w:tab/>
      </w:r>
      <w:r w:rsidRPr="00E206AF">
        <w:rPr>
          <w:rFonts w:ascii="Century" w:hAnsi="Century" w:cs="FrankRuehl" w:hint="cs"/>
          <w:spacing w:val="10"/>
          <w:sz w:val="22"/>
          <w:szCs w:val="28"/>
          <w:rtl/>
        </w:rPr>
        <w:t>בענייננו, התיקון</w:t>
      </w:r>
      <w:r w:rsidRPr="00E206AF" w:rsidDel="009D2485">
        <w:rPr>
          <w:rFonts w:ascii="Century" w:hAnsi="Century" w:cs="FrankRuehl" w:hint="cs"/>
          <w:spacing w:val="10"/>
          <w:sz w:val="22"/>
          <w:szCs w:val="28"/>
          <w:rtl/>
        </w:rPr>
        <w:t xml:space="preserve"> אינו שולל</w:t>
      </w:r>
      <w:r>
        <w:rPr>
          <w:rFonts w:ascii="Century" w:hAnsi="Century" w:cs="FrankRuehl" w:hint="cs"/>
          <w:spacing w:val="10"/>
          <w:sz w:val="22"/>
          <w:szCs w:val="28"/>
          <w:rtl/>
        </w:rPr>
        <w:t>, ביחס לשום החלטה או סוגיה,</w:t>
      </w:r>
      <w:r w:rsidRPr="00E206AF" w:rsidDel="009D2485">
        <w:rPr>
          <w:rFonts w:ascii="Century" w:hAnsi="Century" w:cs="FrankRuehl" w:hint="cs"/>
          <w:spacing w:val="10"/>
          <w:sz w:val="22"/>
          <w:szCs w:val="28"/>
          <w:rtl/>
        </w:rPr>
        <w:t xml:space="preserve"> את </w:t>
      </w:r>
      <w:r w:rsidRPr="00E206AF">
        <w:rPr>
          <w:rFonts w:ascii="Century" w:hAnsi="Century" w:cs="FrankRuehl" w:hint="cs"/>
          <w:spacing w:val="10"/>
          <w:sz w:val="22"/>
          <w:szCs w:val="28"/>
          <w:rtl/>
        </w:rPr>
        <w:t xml:space="preserve">עצם </w:t>
      </w:r>
      <w:r w:rsidRPr="00E206AF" w:rsidDel="009D2485">
        <w:rPr>
          <w:rFonts w:ascii="FrankRuehl" w:hAnsi="FrankRuehl" w:cs="FrankRuehl" w:hint="eastAsia"/>
          <w:b/>
          <w:sz w:val="28"/>
          <w:szCs w:val="28"/>
          <w:rtl/>
        </w:rPr>
        <w:t>סמכות</w:t>
      </w:r>
      <w:r w:rsidRPr="00E206AF" w:rsidDel="009D2485">
        <w:rPr>
          <w:rFonts w:ascii="FrankRuehl" w:hAnsi="FrankRuehl" w:cs="FrankRuehl"/>
          <w:b/>
          <w:sz w:val="28"/>
          <w:szCs w:val="28"/>
          <w:rtl/>
        </w:rPr>
        <w:t xml:space="preserve"> </w:t>
      </w:r>
      <w:r w:rsidRPr="00E206AF" w:rsidDel="009D2485">
        <w:rPr>
          <w:rFonts w:ascii="Century" w:hAnsi="Century" w:cs="FrankRuehl" w:hint="cs"/>
          <w:spacing w:val="10"/>
          <w:sz w:val="22"/>
          <w:szCs w:val="28"/>
          <w:rtl/>
        </w:rPr>
        <w:t>הביקורת השיפוטית</w:t>
      </w:r>
      <w:r w:rsidRPr="00E206AF">
        <w:rPr>
          <w:rFonts w:ascii="Century" w:hAnsi="Century" w:cs="FrankRuehl" w:hint="cs"/>
          <w:spacing w:val="10"/>
          <w:sz w:val="22"/>
          <w:szCs w:val="28"/>
          <w:rtl/>
        </w:rPr>
        <w:t xml:space="preserve">. התיקון לא משפיע על כוחו של אף אדם או גוף, אשר נפגע כתוצאה מהחלטת שרים או ממשלה, להביא את עניינו לפני בית המשפט. התיקון, בפרשנותו האמורה, אף מותיר על מכונה את </w:t>
      </w:r>
      <w:r w:rsidRPr="00E206AF" w:rsidDel="009D2485">
        <w:rPr>
          <w:rFonts w:ascii="Century" w:hAnsi="Century" w:cs="FrankRuehl" w:hint="eastAsia"/>
          <w:spacing w:val="10"/>
          <w:sz w:val="22"/>
          <w:szCs w:val="28"/>
          <w:rtl/>
        </w:rPr>
        <w:t>סמכות</w:t>
      </w:r>
      <w:r w:rsidRPr="00E206AF" w:rsidDel="009D2485">
        <w:rPr>
          <w:rFonts w:ascii="Century" w:hAnsi="Century" w:cs="FrankRuehl"/>
          <w:spacing w:val="10"/>
          <w:sz w:val="22"/>
          <w:szCs w:val="28"/>
          <w:rtl/>
        </w:rPr>
        <w:t xml:space="preserve"> </w:t>
      </w:r>
      <w:r w:rsidRPr="00E206AF" w:rsidDel="009D2485">
        <w:rPr>
          <w:rFonts w:ascii="Century" w:hAnsi="Century" w:cs="FrankRuehl" w:hint="eastAsia"/>
          <w:spacing w:val="10"/>
          <w:sz w:val="22"/>
          <w:szCs w:val="28"/>
          <w:rtl/>
        </w:rPr>
        <w:t>בית</w:t>
      </w:r>
      <w:r w:rsidRPr="00E206AF" w:rsidDel="009D2485">
        <w:rPr>
          <w:rFonts w:ascii="Century" w:hAnsi="Century" w:cs="FrankRuehl"/>
          <w:spacing w:val="10"/>
          <w:sz w:val="22"/>
          <w:szCs w:val="28"/>
          <w:rtl/>
        </w:rPr>
        <w:t xml:space="preserve"> </w:t>
      </w:r>
      <w:r w:rsidRPr="00E206AF" w:rsidDel="009D2485">
        <w:rPr>
          <w:rFonts w:ascii="Century" w:hAnsi="Century" w:cs="FrankRuehl" w:hint="eastAsia"/>
          <w:spacing w:val="10"/>
          <w:sz w:val="22"/>
          <w:szCs w:val="28"/>
          <w:rtl/>
        </w:rPr>
        <w:t>המשפט</w:t>
      </w:r>
      <w:r w:rsidRPr="00E206AF" w:rsidDel="009D2485">
        <w:rPr>
          <w:rFonts w:ascii="Century" w:hAnsi="Century" w:cs="FrankRuehl"/>
          <w:spacing w:val="10"/>
          <w:sz w:val="22"/>
          <w:szCs w:val="28"/>
          <w:rtl/>
        </w:rPr>
        <w:t xml:space="preserve"> </w:t>
      </w:r>
      <w:r w:rsidRPr="00E206AF" w:rsidDel="009D2485">
        <w:rPr>
          <w:rFonts w:ascii="Century" w:hAnsi="Century" w:cs="FrankRuehl" w:hint="eastAsia"/>
          <w:spacing w:val="10"/>
          <w:sz w:val="22"/>
          <w:szCs w:val="28"/>
          <w:rtl/>
        </w:rPr>
        <w:t>לבקר</w:t>
      </w:r>
      <w:r w:rsidRPr="00E206AF" w:rsidDel="009D2485">
        <w:rPr>
          <w:rFonts w:ascii="Century" w:hAnsi="Century" w:cs="FrankRuehl"/>
          <w:spacing w:val="10"/>
          <w:sz w:val="22"/>
          <w:szCs w:val="28"/>
          <w:rtl/>
        </w:rPr>
        <w:t xml:space="preserve"> </w:t>
      </w:r>
      <w:r w:rsidRPr="00E206AF" w:rsidDel="009D2485">
        <w:rPr>
          <w:rFonts w:ascii="Century" w:hAnsi="Century" w:cs="FrankRuehl" w:hint="eastAsia"/>
          <w:spacing w:val="10"/>
          <w:sz w:val="22"/>
          <w:szCs w:val="28"/>
          <w:rtl/>
        </w:rPr>
        <w:t>החלטות</w:t>
      </w:r>
      <w:r w:rsidRPr="00E206AF" w:rsidDel="009D2485">
        <w:rPr>
          <w:rFonts w:ascii="Century" w:hAnsi="Century" w:cs="FrankRuehl"/>
          <w:spacing w:val="10"/>
          <w:sz w:val="22"/>
          <w:szCs w:val="28"/>
          <w:rtl/>
        </w:rPr>
        <w:t xml:space="preserve"> </w:t>
      </w:r>
      <w:r w:rsidRPr="00E206AF" w:rsidDel="009D2485">
        <w:rPr>
          <w:rFonts w:ascii="Century" w:hAnsi="Century" w:cs="FrankRuehl" w:hint="eastAsia"/>
          <w:spacing w:val="10"/>
          <w:sz w:val="22"/>
          <w:szCs w:val="28"/>
          <w:rtl/>
        </w:rPr>
        <w:t>שלטוניות</w:t>
      </w:r>
      <w:r w:rsidRPr="00E206AF">
        <w:rPr>
          <w:rFonts w:ascii="Century" w:hAnsi="Century" w:cs="FrankRuehl" w:hint="cs"/>
          <w:spacing w:val="10"/>
          <w:sz w:val="22"/>
          <w:szCs w:val="28"/>
          <w:rtl/>
        </w:rPr>
        <w:t xml:space="preserve"> מכוח עילת הסבירות. משמעות התיקון </w:t>
      </w:r>
      <w:r>
        <w:rPr>
          <w:rFonts w:ascii="Century" w:hAnsi="Century" w:cs="FrankRuehl" w:hint="cs"/>
          <w:spacing w:val="10"/>
          <w:sz w:val="22"/>
          <w:szCs w:val="28"/>
          <w:rtl/>
        </w:rPr>
        <w:t>מתמצה</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ב</w:t>
      </w:r>
      <w:r w:rsidRPr="00E206AF">
        <w:rPr>
          <w:rFonts w:ascii="Century" w:hAnsi="Century" w:cs="FrankRuehl" w:hint="cs"/>
          <w:spacing w:val="10"/>
          <w:sz w:val="22"/>
          <w:szCs w:val="28"/>
          <w:rtl/>
        </w:rPr>
        <w:t>שינוי הסטנדרט להפעלת עילת הסבירות, בכל הנוגע להחלטות ממשלה ושרים. כמבואר לעיל, המכונן מוסמך לערוך שינוי כאמור.</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hint="cs"/>
          <w:spacing w:val="10"/>
          <w:sz w:val="22"/>
          <w:szCs w:val="28"/>
          <w:rtl/>
        </w:rPr>
        <w:t>7</w:t>
      </w:r>
      <w:r>
        <w:rPr>
          <w:rFonts w:ascii="Arial TUR" w:hAnsi="Arial TUR" w:cs="FrankRuehl" w:hint="cs"/>
          <w:spacing w:val="10"/>
          <w:sz w:val="22"/>
          <w:szCs w:val="28"/>
          <w:rtl/>
        </w:rPr>
        <w:t>3</w:t>
      </w:r>
      <w:r w:rsidRPr="00E206AF">
        <w:rPr>
          <w:rFonts w:ascii="Arial TUR" w:hAnsi="Arial TUR" w:cs="FrankRuehl"/>
          <w:spacing w:val="10"/>
          <w:sz w:val="22"/>
          <w:szCs w:val="28"/>
          <w:rtl/>
        </w:rPr>
        <w:t>.</w:t>
      </w:r>
      <w:r w:rsidRPr="00E206AF">
        <w:rPr>
          <w:rFonts w:ascii="Arial TUR" w:hAnsi="Arial TUR" w:cs="FrankRuehl"/>
          <w:spacing w:val="10"/>
          <w:sz w:val="22"/>
          <w:szCs w:val="28"/>
          <w:rtl/>
        </w:rPr>
        <w:tab/>
      </w:r>
      <w:r w:rsidRPr="00E206AF">
        <w:rPr>
          <w:rFonts w:ascii="Arial TUR" w:hAnsi="Arial TUR" w:cs="FrankRuehl" w:hint="cs"/>
          <w:spacing w:val="10"/>
          <w:sz w:val="22"/>
          <w:szCs w:val="28"/>
          <w:rtl/>
        </w:rPr>
        <w:t xml:space="preserve">יתר על כן, </w:t>
      </w:r>
      <w:r w:rsidRPr="00E206AF" w:rsidDel="009D2485">
        <w:rPr>
          <w:rFonts w:ascii="Arial TUR" w:hAnsi="Arial TUR" w:cs="FrankRuehl" w:hint="eastAsia"/>
          <w:spacing w:val="10"/>
          <w:sz w:val="22"/>
          <w:szCs w:val="28"/>
          <w:rtl/>
        </w:rPr>
        <w:t>קביעה</w:t>
      </w:r>
      <w:r w:rsidRPr="00E206AF" w:rsidDel="009D2485">
        <w:rPr>
          <w:rFonts w:ascii="Arial TUR" w:hAnsi="Arial TUR" w:cs="FrankRuehl"/>
          <w:spacing w:val="10"/>
          <w:sz w:val="22"/>
          <w:szCs w:val="28"/>
          <w:rtl/>
        </w:rPr>
        <w:t xml:space="preserve"> שלפיה </w:t>
      </w:r>
      <w:r w:rsidRPr="00E206AF">
        <w:rPr>
          <w:rFonts w:ascii="Arial TUR" w:hAnsi="Arial TUR" w:cs="FrankRuehl" w:hint="cs"/>
          <w:spacing w:val="10"/>
          <w:sz w:val="22"/>
          <w:szCs w:val="28"/>
          <w:rtl/>
        </w:rPr>
        <w:t>המכונן</w:t>
      </w:r>
      <w:r w:rsidRPr="00E206AF" w:rsidDel="009D2485">
        <w:rPr>
          <w:rFonts w:ascii="Arial TUR" w:hAnsi="Arial TUR" w:cs="FrankRuehl"/>
          <w:spacing w:val="10"/>
          <w:sz w:val="22"/>
          <w:szCs w:val="28"/>
          <w:rtl/>
        </w:rPr>
        <w:t xml:space="preserve"> </w:t>
      </w:r>
      <w:r w:rsidRPr="00E206AF" w:rsidDel="009D2485">
        <w:rPr>
          <w:rFonts w:ascii="Century" w:hAnsi="Century" w:cs="Miriam" w:hint="eastAsia"/>
          <w:b/>
          <w:sz w:val="22"/>
          <w:rtl/>
        </w:rPr>
        <w:t>אינו</w:t>
      </w:r>
      <w:r w:rsidRPr="003F2E16" w:rsidDel="009D2485">
        <w:rPr>
          <w:rFonts w:ascii="Century" w:hAnsi="Century" w:cs="FrankRuehl"/>
          <w:spacing w:val="10"/>
          <w:sz w:val="22"/>
          <w:szCs w:val="28"/>
          <w:rtl/>
        </w:rPr>
        <w:t xml:space="preserve"> </w:t>
      </w:r>
      <w:r w:rsidRPr="00E206AF" w:rsidDel="009D2485">
        <w:rPr>
          <w:rFonts w:ascii="Century" w:hAnsi="Century" w:cs="FrankRuehl" w:hint="eastAsia"/>
          <w:spacing w:val="10"/>
          <w:sz w:val="22"/>
          <w:szCs w:val="28"/>
          <w:rtl/>
        </w:rPr>
        <w:t>רשאי</w:t>
      </w:r>
      <w:r w:rsidRPr="00E206AF" w:rsidDel="009D2485">
        <w:rPr>
          <w:rFonts w:ascii="Century" w:hAnsi="Century" w:cs="FrankRuehl"/>
          <w:spacing w:val="10"/>
          <w:sz w:val="22"/>
          <w:szCs w:val="28"/>
          <w:rtl/>
        </w:rPr>
        <w:t xml:space="preserve"> </w:t>
      </w:r>
      <w:r w:rsidRPr="00E206AF" w:rsidDel="009D2485">
        <w:rPr>
          <w:rFonts w:ascii="Century" w:hAnsi="Century" w:cs="FrankRuehl" w:hint="eastAsia"/>
          <w:spacing w:val="10"/>
          <w:sz w:val="22"/>
          <w:szCs w:val="28"/>
          <w:rtl/>
        </w:rPr>
        <w:t>לשנות</w:t>
      </w:r>
      <w:r w:rsidRPr="00E206AF" w:rsidDel="009D2485">
        <w:rPr>
          <w:rFonts w:ascii="Century" w:hAnsi="Century" w:cs="FrankRuehl"/>
          <w:spacing w:val="10"/>
          <w:sz w:val="22"/>
          <w:szCs w:val="28"/>
          <w:rtl/>
        </w:rPr>
        <w:t xml:space="preserve"> </w:t>
      </w:r>
      <w:r w:rsidRPr="00E206AF" w:rsidDel="009D2485">
        <w:rPr>
          <w:rFonts w:ascii="Century" w:hAnsi="Century" w:cs="FrankRuehl" w:hint="eastAsia"/>
          <w:spacing w:val="10"/>
          <w:sz w:val="22"/>
          <w:szCs w:val="28"/>
          <w:rtl/>
        </w:rPr>
        <w:t>את</w:t>
      </w:r>
      <w:r w:rsidRPr="00E206AF" w:rsidDel="009D2485">
        <w:rPr>
          <w:rFonts w:ascii="Century" w:hAnsi="Century" w:cs="FrankRuehl"/>
          <w:spacing w:val="10"/>
          <w:sz w:val="22"/>
          <w:szCs w:val="28"/>
          <w:rtl/>
        </w:rPr>
        <w:t xml:space="preserve"> </w:t>
      </w:r>
      <w:r w:rsidRPr="00E206AF" w:rsidDel="009D2485">
        <w:rPr>
          <w:rFonts w:ascii="Century" w:hAnsi="Century" w:cs="FrankRuehl" w:hint="eastAsia"/>
          <w:spacing w:val="10"/>
          <w:sz w:val="22"/>
          <w:szCs w:val="28"/>
          <w:rtl/>
        </w:rPr>
        <w:t>הסטנדרט</w:t>
      </w:r>
      <w:r w:rsidRPr="00E206AF">
        <w:rPr>
          <w:rFonts w:ascii="Century" w:hAnsi="Century" w:cs="FrankRuehl" w:hint="eastAsia"/>
          <w:spacing w:val="10"/>
          <w:sz w:val="22"/>
          <w:szCs w:val="28"/>
          <w:rtl/>
        </w:rPr>
        <w:t>ים</w:t>
      </w:r>
      <w:r w:rsidRPr="00E206AF" w:rsidDel="009D2485">
        <w:rPr>
          <w:rFonts w:ascii="Century" w:hAnsi="Century" w:cs="FrankRuehl"/>
          <w:spacing w:val="10"/>
          <w:sz w:val="22"/>
          <w:szCs w:val="28"/>
          <w:rtl/>
        </w:rPr>
        <w:t xml:space="preserve"> </w:t>
      </w:r>
      <w:r w:rsidRPr="00E206AF">
        <w:rPr>
          <w:rFonts w:ascii="Century" w:hAnsi="Century" w:cs="FrankRuehl" w:hint="eastAsia"/>
          <w:spacing w:val="10"/>
          <w:sz w:val="22"/>
          <w:szCs w:val="28"/>
          <w:rtl/>
        </w:rPr>
        <w:t>שלפיהם</w:t>
      </w:r>
      <w:r w:rsidRPr="00E206AF">
        <w:rPr>
          <w:rFonts w:ascii="Century" w:hAnsi="Century" w:cs="FrankRuehl"/>
          <w:spacing w:val="10"/>
          <w:sz w:val="22"/>
          <w:szCs w:val="28"/>
          <w:rtl/>
        </w:rPr>
        <w:t xml:space="preserve"> </w:t>
      </w:r>
      <w:r w:rsidRPr="003F2E16">
        <w:rPr>
          <w:rFonts w:ascii="Century" w:hAnsi="Century" w:cs="Miriam" w:hint="eastAsia"/>
          <w:b/>
          <w:sz w:val="22"/>
          <w:rtl/>
        </w:rPr>
        <w:t>תיושם</w:t>
      </w:r>
      <w:r w:rsidRPr="00E206AF">
        <w:rPr>
          <w:rFonts w:ascii="Century" w:hAnsi="Century" w:cs="FrankRuehl"/>
          <w:spacing w:val="10"/>
          <w:sz w:val="22"/>
          <w:szCs w:val="28"/>
          <w:rtl/>
        </w:rPr>
        <w:t xml:space="preserve"> </w:t>
      </w:r>
      <w:r w:rsidRPr="00E206AF" w:rsidDel="009D2485">
        <w:rPr>
          <w:rFonts w:ascii="Century" w:hAnsi="Century" w:cs="FrankRuehl" w:hint="eastAsia"/>
          <w:spacing w:val="10"/>
          <w:sz w:val="22"/>
          <w:szCs w:val="28"/>
          <w:rtl/>
        </w:rPr>
        <w:t>עילת</w:t>
      </w:r>
      <w:r w:rsidRPr="00E206AF" w:rsidDel="009D2485">
        <w:rPr>
          <w:rFonts w:ascii="Century" w:hAnsi="Century" w:cs="FrankRuehl"/>
          <w:spacing w:val="10"/>
          <w:sz w:val="22"/>
          <w:szCs w:val="28"/>
          <w:rtl/>
        </w:rPr>
        <w:t xml:space="preserve"> </w:t>
      </w:r>
      <w:r w:rsidRPr="00E206AF" w:rsidDel="009D2485">
        <w:rPr>
          <w:rFonts w:ascii="Century" w:hAnsi="Century" w:cs="FrankRuehl" w:hint="eastAsia"/>
          <w:spacing w:val="10"/>
          <w:sz w:val="22"/>
          <w:szCs w:val="28"/>
          <w:rtl/>
        </w:rPr>
        <w:t>הסבירות</w:t>
      </w:r>
      <w:r w:rsidRPr="00E206AF">
        <w:rPr>
          <w:rFonts w:ascii="Century" w:hAnsi="Century" w:cs="FrankRuehl"/>
          <w:spacing w:val="10"/>
          <w:sz w:val="22"/>
          <w:szCs w:val="28"/>
          <w:rtl/>
        </w:rPr>
        <w:t xml:space="preserve">, </w:t>
      </w:r>
      <w:r w:rsidRPr="00E206AF" w:rsidDel="009D2485">
        <w:rPr>
          <w:rFonts w:ascii="Century" w:hAnsi="Century" w:cs="FrankRuehl" w:hint="eastAsia"/>
          <w:spacing w:val="10"/>
          <w:sz w:val="22"/>
          <w:szCs w:val="28"/>
          <w:rtl/>
        </w:rPr>
        <w:t>משמעה</w:t>
      </w:r>
      <w:r w:rsidRPr="00E206AF" w:rsidDel="009D2485">
        <w:rPr>
          <w:rFonts w:ascii="Century" w:hAnsi="Century" w:cs="FrankRuehl"/>
          <w:spacing w:val="10"/>
          <w:sz w:val="22"/>
          <w:szCs w:val="28"/>
          <w:rtl/>
        </w:rPr>
        <w:t xml:space="preserve">, </w:t>
      </w:r>
      <w:r w:rsidRPr="00E206AF" w:rsidDel="009D2485">
        <w:rPr>
          <w:rFonts w:ascii="Century" w:hAnsi="Century" w:cs="FrankRuehl" w:hint="eastAsia"/>
          <w:spacing w:val="10"/>
          <w:sz w:val="22"/>
          <w:szCs w:val="28"/>
          <w:rtl/>
        </w:rPr>
        <w:t>הלכה</w:t>
      </w:r>
      <w:r w:rsidRPr="00E206AF" w:rsidDel="009D2485">
        <w:rPr>
          <w:rFonts w:ascii="Century" w:hAnsi="Century" w:cs="FrankRuehl"/>
          <w:spacing w:val="10"/>
          <w:sz w:val="22"/>
          <w:szCs w:val="28"/>
          <w:rtl/>
        </w:rPr>
        <w:t xml:space="preserve"> </w:t>
      </w:r>
      <w:r w:rsidRPr="00E206AF" w:rsidDel="009D2485">
        <w:rPr>
          <w:rFonts w:ascii="Century" w:hAnsi="Century" w:cs="FrankRuehl" w:hint="eastAsia"/>
          <w:spacing w:val="10"/>
          <w:sz w:val="22"/>
          <w:szCs w:val="28"/>
          <w:rtl/>
        </w:rPr>
        <w:t>למעשה</w:t>
      </w:r>
      <w:r w:rsidRPr="00E206AF" w:rsidDel="009D2485">
        <w:rPr>
          <w:rFonts w:ascii="Century" w:hAnsi="Century" w:cs="FrankRuehl"/>
          <w:spacing w:val="10"/>
          <w:sz w:val="22"/>
          <w:szCs w:val="28"/>
          <w:rtl/>
        </w:rPr>
        <w:t xml:space="preserve">, </w:t>
      </w:r>
      <w:r w:rsidRPr="00E206AF" w:rsidDel="009D2485">
        <w:rPr>
          <w:rFonts w:ascii="Century" w:hAnsi="Century" w:cs="FrankRuehl" w:hint="eastAsia"/>
          <w:spacing w:val="10"/>
          <w:sz w:val="22"/>
          <w:szCs w:val="28"/>
          <w:rtl/>
        </w:rPr>
        <w:t>הענקת</w:t>
      </w:r>
      <w:r w:rsidRPr="00E206AF" w:rsidDel="009D2485">
        <w:rPr>
          <w:rFonts w:ascii="Century" w:hAnsi="Century" w:cs="FrankRuehl"/>
          <w:spacing w:val="10"/>
          <w:sz w:val="22"/>
          <w:szCs w:val="28"/>
          <w:rtl/>
        </w:rPr>
        <w:t xml:space="preserve"> </w:t>
      </w:r>
      <w:r w:rsidRPr="00E206AF">
        <w:rPr>
          <w:rFonts w:ascii="Century" w:hAnsi="Century" w:cs="Miriam" w:hint="eastAsia"/>
          <w:b/>
          <w:sz w:val="22"/>
          <w:rtl/>
        </w:rPr>
        <w:t>מעמד</w:t>
      </w:r>
      <w:r w:rsidRPr="00E206AF" w:rsidDel="009D2485">
        <w:rPr>
          <w:rFonts w:ascii="Century" w:hAnsi="Century" w:cs="FrankRuehl"/>
          <w:spacing w:val="10"/>
          <w:sz w:val="22"/>
          <w:szCs w:val="28"/>
          <w:rtl/>
        </w:rPr>
        <w:t xml:space="preserve"> </w:t>
      </w:r>
      <w:r w:rsidRPr="00E206AF">
        <w:rPr>
          <w:rFonts w:ascii="Century" w:hAnsi="Century" w:cs="Miriam" w:hint="cs"/>
          <w:b/>
          <w:sz w:val="22"/>
          <w:rtl/>
        </w:rPr>
        <w:t>על-</w:t>
      </w:r>
      <w:r w:rsidRPr="00E206AF" w:rsidDel="009D2485">
        <w:rPr>
          <w:rFonts w:ascii="Century" w:hAnsi="Century" w:cs="Miriam" w:hint="eastAsia"/>
          <w:b/>
          <w:sz w:val="22"/>
          <w:rtl/>
        </w:rPr>
        <w:t>חוקתי</w:t>
      </w:r>
      <w:r w:rsidRPr="00E206AF" w:rsidDel="009D2485">
        <w:rPr>
          <w:rFonts w:ascii="Century" w:hAnsi="Century" w:cs="Miriam"/>
          <w:b/>
          <w:sz w:val="22"/>
          <w:rtl/>
        </w:rPr>
        <w:t xml:space="preserve"> </w:t>
      </w:r>
      <w:r w:rsidRPr="00E206AF">
        <w:rPr>
          <w:rFonts w:ascii="Century" w:hAnsi="Century" w:cs="FrankRuehl" w:hint="cs"/>
          <w:spacing w:val="10"/>
          <w:sz w:val="22"/>
          <w:szCs w:val="28"/>
          <w:rtl/>
        </w:rPr>
        <w:t>ל</w:t>
      </w:r>
      <w:r w:rsidRPr="00E206AF">
        <w:rPr>
          <w:rFonts w:ascii="Century" w:hAnsi="Century" w:cs="FrankRuehl" w:hint="eastAsia"/>
          <w:spacing w:val="10"/>
          <w:sz w:val="22"/>
          <w:szCs w:val="28"/>
          <w:rtl/>
        </w:rPr>
        <w:t>עילת</w:t>
      </w:r>
      <w:r w:rsidRPr="00E206AF">
        <w:rPr>
          <w:rFonts w:ascii="Century" w:hAnsi="Century" w:cs="FrankRuehl" w:hint="cs"/>
          <w:spacing w:val="10"/>
          <w:sz w:val="22"/>
          <w:szCs w:val="28"/>
          <w:rtl/>
        </w:rPr>
        <w:t xml:space="preserve"> </w:t>
      </w:r>
      <w:r w:rsidRPr="00E206AF" w:rsidDel="009D2485">
        <w:rPr>
          <w:rFonts w:ascii="Century" w:hAnsi="Century" w:cs="FrankRuehl" w:hint="eastAsia"/>
          <w:spacing w:val="10"/>
          <w:sz w:val="22"/>
          <w:szCs w:val="28"/>
          <w:rtl/>
        </w:rPr>
        <w:t>הסבירות</w:t>
      </w:r>
      <w:r w:rsidRPr="00E206AF">
        <w:rPr>
          <w:rFonts w:ascii="Century" w:hAnsi="Century" w:cs="FrankRuehl" w:hint="cs"/>
          <w:spacing w:val="10"/>
          <w:sz w:val="22"/>
          <w:szCs w:val="28"/>
          <w:rtl/>
        </w:rPr>
        <w:t xml:space="preserve"> </w:t>
      </w:r>
      <w:r w:rsidRPr="00E206AF">
        <w:rPr>
          <w:rFonts w:ascii="Century" w:hAnsi="Century" w:cs="Miriam" w:hint="cs"/>
          <w:b/>
          <w:sz w:val="22"/>
          <w:rtl/>
        </w:rPr>
        <w:t>האיזונית</w:t>
      </w:r>
      <w:r w:rsidRPr="00E206AF" w:rsidDel="009D2485">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ואולם, למסקנה כזו אין ראשית עיגון במערך החוקתי הנוהג (אמנם קיימת תפיסה המעניקה מעמד </w:t>
      </w:r>
      <w:r w:rsidRPr="00E206AF">
        <w:rPr>
          <w:rFonts w:ascii="Century" w:hAnsi="Century" w:cs="Miriam" w:hint="cs"/>
          <w:b/>
          <w:sz w:val="22"/>
          <w:rtl/>
        </w:rPr>
        <w:t xml:space="preserve">מעין חוקתי </w:t>
      </w:r>
      <w:r w:rsidRPr="00E206AF">
        <w:rPr>
          <w:rFonts w:ascii="Century" w:hAnsi="Century" w:cs="FrankRuehl" w:hint="cs"/>
          <w:spacing w:val="10"/>
          <w:sz w:val="22"/>
          <w:szCs w:val="28"/>
          <w:rtl/>
        </w:rPr>
        <w:t>ל</w:t>
      </w:r>
      <w:r w:rsidRPr="00E206AF">
        <w:rPr>
          <w:rFonts w:ascii="Century" w:hAnsi="Century" w:cs="Miriam" w:hint="cs"/>
          <w:b/>
          <w:sz w:val="22"/>
          <w:rtl/>
        </w:rPr>
        <w:t>אגד</w:t>
      </w:r>
      <w:r w:rsidRPr="00E206AF">
        <w:rPr>
          <w:rFonts w:ascii="Century" w:hAnsi="Century" w:cs="FrankRuehl" w:hint="cs"/>
          <w:spacing w:val="10"/>
          <w:sz w:val="22"/>
          <w:szCs w:val="28"/>
          <w:rtl/>
        </w:rPr>
        <w:t xml:space="preserve"> עילות הביקורת המינהלית (ראו: בג"ץ 680/88 </w:t>
      </w:r>
      <w:r w:rsidRPr="00E206AF">
        <w:rPr>
          <w:rFonts w:ascii="Century" w:hAnsi="Century" w:cs="Miriam" w:hint="cs"/>
          <w:b/>
          <w:sz w:val="22"/>
          <w:rtl/>
        </w:rPr>
        <w:t>שניצר נ' הצנזור הצבאי הראשי</w:t>
      </w:r>
      <w:r w:rsidRPr="00E206AF">
        <w:rPr>
          <w:rFonts w:ascii="Century" w:hAnsi="Century" w:cs="FrankRuehl" w:hint="cs"/>
          <w:spacing w:val="10"/>
          <w:sz w:val="22"/>
          <w:szCs w:val="28"/>
          <w:rtl/>
        </w:rPr>
        <w:t xml:space="preserve">, פ"ד מב(4) 617, 639-638 (1999); אך ברי כי בענייננו אין פגיעה באגד זה כשלעצמו, ומכל מקום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גם לפי תפיסה זו, לא מוקנה לו מעמד </w:t>
      </w:r>
      <w:r w:rsidRPr="003F2E16">
        <w:rPr>
          <w:rFonts w:ascii="Century" w:hAnsi="Century" w:cs="Miriam" w:hint="eastAsia"/>
          <w:b/>
          <w:sz w:val="22"/>
          <w:rtl/>
        </w:rPr>
        <w:t>על</w:t>
      </w:r>
      <w:r w:rsidRPr="003F2E16">
        <w:rPr>
          <w:rFonts w:ascii="Century" w:hAnsi="Century" w:cs="Miriam"/>
          <w:b/>
          <w:sz w:val="22"/>
          <w:rtl/>
        </w:rPr>
        <w:t>-</w:t>
      </w:r>
      <w:r w:rsidRPr="003F2E16">
        <w:rPr>
          <w:rFonts w:ascii="Century" w:hAnsi="Century" w:cs="Miriam" w:hint="eastAsia"/>
          <w:b/>
          <w:sz w:val="22"/>
          <w:rtl/>
        </w:rPr>
        <w:t>חוקתי</w:t>
      </w: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hint="cs"/>
          <w:spacing w:val="10"/>
          <w:sz w:val="22"/>
          <w:szCs w:val="28"/>
          <w:rtl/>
        </w:rPr>
        <w:t>7</w:t>
      </w:r>
      <w:r>
        <w:rPr>
          <w:rFonts w:ascii="Arial TUR" w:hAnsi="Arial TUR" w:cs="FrankRuehl" w:hint="cs"/>
          <w:spacing w:val="10"/>
          <w:sz w:val="22"/>
          <w:szCs w:val="28"/>
          <w:rtl/>
        </w:rPr>
        <w:t>4</w:t>
      </w:r>
      <w:r w:rsidRPr="00E206AF">
        <w:rPr>
          <w:rFonts w:ascii="Arial TUR" w:hAnsi="Arial TUR" w:cs="FrankRuehl" w:hint="cs"/>
          <w:spacing w:val="10"/>
          <w:sz w:val="22"/>
          <w:szCs w:val="28"/>
          <w:rtl/>
        </w:rPr>
        <w:t>.</w:t>
      </w:r>
      <w:r w:rsidRPr="00E206AF">
        <w:rPr>
          <w:rFonts w:ascii="Arial TUR" w:hAnsi="Arial TUR" w:cs="FrankRuehl"/>
          <w:spacing w:val="10"/>
          <w:sz w:val="22"/>
          <w:szCs w:val="28"/>
          <w:rtl/>
        </w:rPr>
        <w:tab/>
      </w:r>
      <w:r w:rsidRPr="00E206AF">
        <w:rPr>
          <w:rFonts w:ascii="Arial TUR" w:hAnsi="Arial TUR" w:cs="FrankRuehl" w:hint="cs"/>
          <w:spacing w:val="10"/>
          <w:sz w:val="22"/>
          <w:szCs w:val="28"/>
          <w:rtl/>
        </w:rPr>
        <w:t xml:space="preserve">לא זו אף זו: דומני כי דווקא גישה שלפיה המחוקק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לא כל שכן המכונן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אינו רשאי כלל ועיקר לצקת תוכן לעילות הביקורת השיפוטית ולהתוות את גבולותיהן, היא זו שעלולה לערער את מערכת האיזונים והבלמים בין הרשות המחוקקת לרשות השופטת; וראו בעניין זה, בין היתר, את דבריו של </w:t>
      </w:r>
      <w:r w:rsidRPr="00E206AF">
        <w:rPr>
          <w:rFonts w:ascii="Century" w:hAnsi="Century" w:cs="Miriam" w:hint="cs"/>
          <w:b/>
          <w:sz w:val="22"/>
          <w:rtl/>
        </w:rPr>
        <w:t>דותן</w:t>
      </w:r>
      <w:r w:rsidRPr="00E206AF">
        <w:rPr>
          <w:rFonts w:ascii="Century" w:hAnsi="Century" w:cs="FrankRuehl" w:hint="cs"/>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hint="cs"/>
          <w:spacing w:val="10"/>
          <w:sz w:val="22"/>
          <w:szCs w:val="28"/>
          <w:rtl/>
        </w:rPr>
        <w:t xml:space="preserve">"הגישה שלפיה כל קביעה של המחוקק בנוגע להיקף הביקורת </w:t>
      </w:r>
      <w:r w:rsidRPr="00E206AF">
        <w:rPr>
          <w:rFonts w:ascii="Arial TUR" w:hAnsi="Arial TUR" w:cs="FrankRuehl" w:hint="eastAsia"/>
          <w:spacing w:val="10"/>
          <w:sz w:val="22"/>
          <w:szCs w:val="28"/>
          <w:rtl/>
        </w:rPr>
        <w:t>השיפוטית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החלטות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מינהליות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בהקשר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נושאי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מסוים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סותרת</w:t>
      </w:r>
      <w:r w:rsidRPr="00E206AF">
        <w:rPr>
          <w:rFonts w:ascii="Arial TUR" w:hAnsi="Arial TUR" w:cs="FrankRuehl"/>
          <w:spacing w:val="10"/>
          <w:sz w:val="22"/>
          <w:szCs w:val="28"/>
          <w:rtl/>
        </w:rPr>
        <w:t xml:space="preserve"> </w:t>
      </w:r>
      <w:r w:rsidRPr="00E206AF">
        <w:rPr>
          <w:rFonts w:ascii="Century" w:hAnsi="Century" w:cs="Miriam" w:hint="eastAsia"/>
          <w:b/>
          <w:sz w:val="22"/>
          <w:rtl/>
        </w:rPr>
        <w:t>בהכרח</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סעיף</w:t>
      </w:r>
      <w:r w:rsidRPr="00E206AF">
        <w:rPr>
          <w:rFonts w:ascii="Arial TUR" w:hAnsi="Arial TUR" w:cs="FrankRuehl"/>
          <w:spacing w:val="10"/>
          <w:sz w:val="22"/>
          <w:szCs w:val="28"/>
          <w:rtl/>
        </w:rPr>
        <w:t xml:space="preserve"> 15(</w:t>
      </w:r>
      <w:r w:rsidRPr="00E206AF">
        <w:rPr>
          <w:rFonts w:ascii="Arial TUR" w:hAnsi="Arial TUR" w:cs="FrankRuehl" w:hint="eastAsia"/>
          <w:spacing w:val="10"/>
          <w:sz w:val="22"/>
          <w:szCs w:val="28"/>
          <w:rtl/>
        </w:rPr>
        <w:t>ג</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משום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שהיא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מסיגה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גבולו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בג</w:t>
      </w:r>
      <w:r w:rsidRPr="00E206AF">
        <w:rPr>
          <w:rFonts w:ascii="Arial TUR" w:hAnsi="Arial TUR" w:cs="FrankRuehl"/>
          <w:spacing w:val="10"/>
          <w:sz w:val="22"/>
          <w:szCs w:val="28"/>
          <w:rtl/>
        </w:rPr>
        <w:t>"</w:t>
      </w:r>
      <w:r w:rsidRPr="00E206AF">
        <w:rPr>
          <w:rFonts w:ascii="Arial TUR" w:hAnsi="Arial TUR" w:cs="FrankRuehl" w:hint="eastAsia"/>
          <w:spacing w:val="10"/>
          <w:sz w:val="22"/>
          <w:szCs w:val="28"/>
          <w:rtl/>
        </w:rPr>
        <w:t>ץ</w:t>
      </w:r>
      <w:r w:rsidRPr="00E206AF">
        <w:rPr>
          <w:rFonts w:ascii="Arial TUR" w:hAnsi="Arial TUR" w:cs="FrankRuehl"/>
          <w:spacing w:val="10"/>
          <w:sz w:val="22"/>
          <w:szCs w:val="28"/>
          <w:rtl/>
        </w:rPr>
        <w:t xml:space="preserve"> – </w:t>
      </w:r>
      <w:r w:rsidRPr="00E206AF">
        <w:rPr>
          <w:rFonts w:ascii="Century" w:hAnsi="Century" w:cs="Miriam" w:hint="eastAsia"/>
          <w:b/>
          <w:sz w:val="22"/>
          <w:rtl/>
        </w:rPr>
        <w:t>מבטאת</w:t>
      </w:r>
      <w:r w:rsidRPr="00E206AF">
        <w:rPr>
          <w:rFonts w:ascii="Century" w:hAnsi="Century" w:cs="Miriam"/>
          <w:b/>
          <w:sz w:val="22"/>
          <w:rtl/>
        </w:rPr>
        <w:t xml:space="preserve"> </w:t>
      </w:r>
      <w:r w:rsidRPr="00E206AF">
        <w:rPr>
          <w:rFonts w:ascii="Century" w:hAnsi="Century" w:cs="Miriam" w:hint="eastAsia"/>
          <w:b/>
          <w:sz w:val="22"/>
          <w:rtl/>
        </w:rPr>
        <w:t>עמדה</w:t>
      </w:r>
      <w:r w:rsidRPr="00E206AF">
        <w:rPr>
          <w:rFonts w:ascii="Century" w:hAnsi="Century" w:cs="Miriam"/>
          <w:b/>
          <w:sz w:val="22"/>
          <w:rtl/>
        </w:rPr>
        <w:t xml:space="preserve"> </w:t>
      </w:r>
      <w:r w:rsidRPr="00E206AF">
        <w:rPr>
          <w:rFonts w:ascii="Century" w:hAnsi="Century" w:cs="Miriam" w:hint="eastAsia"/>
          <w:b/>
          <w:sz w:val="22"/>
          <w:rtl/>
        </w:rPr>
        <w:t>פרשנית</w:t>
      </w:r>
      <w:r w:rsidRPr="00E206AF">
        <w:rPr>
          <w:rFonts w:ascii="Century" w:hAnsi="Century" w:cs="Miriam"/>
          <w:b/>
          <w:sz w:val="22"/>
          <w:rtl/>
        </w:rPr>
        <w:t xml:space="preserve"> </w:t>
      </w:r>
      <w:r w:rsidRPr="00E206AF">
        <w:rPr>
          <w:rFonts w:ascii="Century" w:hAnsi="Century" w:cs="Miriam" w:hint="eastAsia"/>
          <w:b/>
          <w:sz w:val="22"/>
          <w:rtl/>
        </w:rPr>
        <w:t>חוקתית</w:t>
      </w:r>
      <w:r w:rsidRPr="00E206AF">
        <w:rPr>
          <w:rFonts w:ascii="Century" w:hAnsi="Century" w:cs="Miriam"/>
          <w:b/>
          <w:sz w:val="22"/>
          <w:rtl/>
        </w:rPr>
        <w:t xml:space="preserve"> </w:t>
      </w:r>
      <w:r w:rsidRPr="00E206AF">
        <w:rPr>
          <w:rFonts w:ascii="Century" w:hAnsi="Century" w:cs="Miriam" w:hint="eastAsia"/>
          <w:b/>
          <w:sz w:val="22"/>
          <w:rtl/>
        </w:rPr>
        <w:t>שלפיה</w:t>
      </w:r>
      <w:r w:rsidRPr="00E206AF">
        <w:rPr>
          <w:rFonts w:ascii="Century" w:hAnsi="Century" w:cs="Miriam"/>
          <w:b/>
          <w:sz w:val="22"/>
          <w:rtl/>
        </w:rPr>
        <w:t xml:space="preserve"> </w:t>
      </w:r>
      <w:r w:rsidRPr="00E206AF">
        <w:rPr>
          <w:rFonts w:ascii="Century" w:hAnsi="Century" w:cs="Miriam" w:hint="eastAsia"/>
          <w:b/>
          <w:sz w:val="22"/>
          <w:rtl/>
        </w:rPr>
        <w:t>הסעיף</w:t>
      </w:r>
      <w:r w:rsidRPr="00E206AF">
        <w:rPr>
          <w:rFonts w:ascii="Century" w:hAnsi="Century" w:cs="Miriam"/>
          <w:b/>
          <w:sz w:val="22"/>
          <w:rtl/>
        </w:rPr>
        <w:t xml:space="preserve"> </w:t>
      </w:r>
      <w:r w:rsidRPr="00E206AF">
        <w:rPr>
          <w:rFonts w:ascii="Century" w:hAnsi="Century" w:cs="Miriam" w:hint="eastAsia"/>
          <w:b/>
          <w:sz w:val="22"/>
          <w:rtl/>
        </w:rPr>
        <w:t>נועד</w:t>
      </w:r>
      <w:r w:rsidRPr="00E206AF">
        <w:rPr>
          <w:rFonts w:ascii="Century" w:hAnsi="Century" w:cs="Miriam"/>
          <w:b/>
          <w:sz w:val="22"/>
          <w:rtl/>
        </w:rPr>
        <w:t xml:space="preserve"> </w:t>
      </w:r>
      <w:r w:rsidRPr="00E206AF">
        <w:rPr>
          <w:rFonts w:ascii="Century" w:hAnsi="Century" w:cs="Miriam" w:hint="eastAsia"/>
          <w:b/>
          <w:sz w:val="22"/>
          <w:rtl/>
        </w:rPr>
        <w:t>להעניק</w:t>
      </w:r>
      <w:r w:rsidRPr="00E206AF">
        <w:rPr>
          <w:rFonts w:ascii="Century" w:hAnsi="Century" w:cs="Miriam"/>
          <w:b/>
          <w:sz w:val="22"/>
          <w:rtl/>
        </w:rPr>
        <w:t xml:space="preserve"> </w:t>
      </w:r>
      <w:r w:rsidRPr="00E206AF">
        <w:rPr>
          <w:rFonts w:ascii="Century" w:hAnsi="Century" w:cs="Miriam" w:hint="eastAsia"/>
          <w:b/>
          <w:sz w:val="22"/>
          <w:rtl/>
        </w:rPr>
        <w:t>לבג</w:t>
      </w:r>
      <w:r w:rsidRPr="00E206AF">
        <w:rPr>
          <w:rFonts w:ascii="Century" w:hAnsi="Century" w:cs="Miriam"/>
          <w:b/>
          <w:sz w:val="22"/>
          <w:rtl/>
        </w:rPr>
        <w:t>"</w:t>
      </w:r>
      <w:r w:rsidRPr="00E206AF">
        <w:rPr>
          <w:rFonts w:ascii="Century" w:hAnsi="Century" w:cs="Miriam" w:hint="eastAsia"/>
          <w:b/>
          <w:sz w:val="22"/>
          <w:rtl/>
        </w:rPr>
        <w:t>ץ</w:t>
      </w:r>
      <w:r w:rsidRPr="00E206AF">
        <w:rPr>
          <w:rFonts w:ascii="Century" w:hAnsi="Century" w:cs="Miriam"/>
          <w:b/>
          <w:sz w:val="22"/>
          <w:rtl/>
        </w:rPr>
        <w:t xml:space="preserve"> </w:t>
      </w:r>
      <w:r w:rsidRPr="00E206AF">
        <w:rPr>
          <w:rFonts w:ascii="Century" w:hAnsi="Century" w:cs="Miriam" w:hint="eastAsia"/>
          <w:b/>
          <w:sz w:val="22"/>
          <w:rtl/>
        </w:rPr>
        <w:t>מונופול</w:t>
      </w:r>
      <w:r w:rsidRPr="00E206AF">
        <w:rPr>
          <w:rFonts w:ascii="Century" w:hAnsi="Century" w:cs="Miriam"/>
          <w:b/>
          <w:sz w:val="22"/>
          <w:rtl/>
        </w:rPr>
        <w:t xml:space="preserve"> </w:t>
      </w:r>
      <w:r w:rsidRPr="00E206AF">
        <w:rPr>
          <w:rFonts w:ascii="Century" w:hAnsi="Century" w:cs="Miriam" w:hint="eastAsia"/>
          <w:b/>
          <w:sz w:val="22"/>
          <w:rtl/>
        </w:rPr>
        <w:t>מוחלט</w:t>
      </w:r>
      <w:r w:rsidRPr="00E206AF">
        <w:rPr>
          <w:rFonts w:ascii="Century" w:hAnsi="Century" w:cs="Miriam"/>
          <w:b/>
          <w:sz w:val="22"/>
          <w:rtl/>
        </w:rPr>
        <w:t xml:space="preserve"> </w:t>
      </w:r>
      <w:r w:rsidRPr="00E206AF">
        <w:rPr>
          <w:rFonts w:ascii="Century" w:hAnsi="Century" w:cs="Miriam" w:hint="eastAsia"/>
          <w:b/>
          <w:sz w:val="22"/>
          <w:rtl/>
        </w:rPr>
        <w:t>על</w:t>
      </w:r>
      <w:r w:rsidRPr="00E206AF">
        <w:rPr>
          <w:rFonts w:ascii="Century" w:hAnsi="Century" w:cs="Miriam"/>
          <w:b/>
          <w:sz w:val="22"/>
          <w:rtl/>
        </w:rPr>
        <w:t xml:space="preserve"> </w:t>
      </w:r>
      <w:r w:rsidRPr="00E206AF">
        <w:rPr>
          <w:rFonts w:ascii="Century" w:hAnsi="Century" w:cs="Miriam" w:hint="eastAsia"/>
          <w:b/>
          <w:sz w:val="22"/>
          <w:rtl/>
        </w:rPr>
        <w:t>קביעת</w:t>
      </w:r>
      <w:r w:rsidRPr="00E206AF">
        <w:rPr>
          <w:rFonts w:ascii="Century" w:hAnsi="Century" w:cs="Miriam"/>
          <w:b/>
          <w:sz w:val="22"/>
          <w:rtl/>
        </w:rPr>
        <w:t xml:space="preserve"> </w:t>
      </w:r>
      <w:r w:rsidRPr="00E206AF">
        <w:rPr>
          <w:rFonts w:ascii="Century" w:hAnsi="Century" w:cs="Miriam" w:hint="eastAsia"/>
          <w:b/>
          <w:sz w:val="22"/>
          <w:rtl/>
        </w:rPr>
        <w:t>היקף</w:t>
      </w:r>
      <w:r w:rsidRPr="00E206AF">
        <w:rPr>
          <w:rFonts w:ascii="Century" w:hAnsi="Century" w:cs="Miriam"/>
          <w:b/>
          <w:sz w:val="22"/>
          <w:rtl/>
        </w:rPr>
        <w:t xml:space="preserve"> </w:t>
      </w:r>
      <w:r w:rsidRPr="00E206AF">
        <w:rPr>
          <w:rFonts w:ascii="Century" w:hAnsi="Century" w:cs="Miriam" w:hint="eastAsia"/>
          <w:b/>
          <w:sz w:val="22"/>
          <w:rtl/>
        </w:rPr>
        <w:t>הביקורת</w:t>
      </w:r>
      <w:r w:rsidRPr="00E206AF">
        <w:rPr>
          <w:rFonts w:ascii="Century" w:hAnsi="Century" w:cs="Miriam"/>
          <w:b/>
          <w:sz w:val="22"/>
          <w:rtl/>
        </w:rPr>
        <w:t xml:space="preserve"> </w:t>
      </w:r>
      <w:r w:rsidRPr="00E206AF">
        <w:rPr>
          <w:rFonts w:ascii="Century" w:hAnsi="Century" w:cs="Miriam" w:hint="eastAsia"/>
          <w:b/>
          <w:sz w:val="22"/>
          <w:rtl/>
        </w:rPr>
        <w:t>השיפוטית</w:t>
      </w:r>
      <w:r w:rsidRPr="00E206AF">
        <w:rPr>
          <w:rFonts w:ascii="Century" w:hAnsi="Century" w:cs="Miriam"/>
          <w:b/>
          <w:sz w:val="22"/>
          <w:rtl/>
        </w:rPr>
        <w:t xml:space="preserve"> </w:t>
      </w:r>
      <w:r w:rsidRPr="00E206AF">
        <w:rPr>
          <w:rFonts w:ascii="Century" w:hAnsi="Century" w:cs="Miriam" w:hint="eastAsia"/>
          <w:b/>
          <w:sz w:val="22"/>
          <w:rtl/>
        </w:rPr>
        <w:t>המינהלית</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 xml:space="preserve">[...] </w:t>
      </w:r>
      <w:r w:rsidRPr="00E206AF">
        <w:rPr>
          <w:rFonts w:ascii="Arial TUR" w:hAnsi="Arial TUR" w:cs="FrankRuehl" w:hint="eastAsia"/>
          <w:spacing w:val="10"/>
          <w:sz w:val="22"/>
          <w:szCs w:val="28"/>
          <w:rtl/>
        </w:rPr>
        <w:t>המסקנה</w:t>
      </w:r>
      <w:r w:rsidRPr="00E206AF">
        <w:rPr>
          <w:rFonts w:ascii="Arial TUR" w:hAnsi="Arial TUR" w:cs="FrankRuehl"/>
          <w:spacing w:val="10"/>
          <w:sz w:val="22"/>
          <w:szCs w:val="28"/>
          <w:rtl/>
        </w:rPr>
        <w:t xml:space="preserve"> </w:t>
      </w:r>
      <w:r w:rsidRPr="00E206AF">
        <w:rPr>
          <w:rFonts w:ascii="Century" w:hAnsi="Century" w:cs="Miriam" w:hint="eastAsia"/>
          <w:b/>
          <w:sz w:val="22"/>
          <w:rtl/>
        </w:rPr>
        <w:t>השוללת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תפיסה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מונופוליסטית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כזאת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בתי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המשפט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בדבר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עיצוב</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ההיקף</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הראוי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הביקורת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השיפוטית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המינהלית</w:t>
      </w:r>
      <w:r w:rsidRPr="00E206AF">
        <w:rPr>
          <w:rFonts w:ascii="Century" w:hAnsi="Century" w:cs="Miriam"/>
          <w:b/>
          <w:sz w:val="22"/>
          <w:rtl/>
        </w:rPr>
        <w:t xml:space="preserve"> </w:t>
      </w:r>
      <w:r w:rsidRPr="00E206AF">
        <w:rPr>
          <w:rFonts w:ascii="Century" w:hAnsi="Century" w:cs="Miriam" w:hint="eastAsia"/>
          <w:b/>
          <w:sz w:val="22"/>
          <w:rtl/>
        </w:rPr>
        <w:t>לא</w:t>
      </w:r>
      <w:r w:rsidRPr="00E206AF">
        <w:rPr>
          <w:rFonts w:ascii="Century" w:hAnsi="Century" w:cs="Miriam"/>
          <w:b/>
          <w:sz w:val="22"/>
          <w:rtl/>
        </w:rPr>
        <w:t xml:space="preserve"> </w:t>
      </w:r>
      <w:r w:rsidRPr="00E206AF">
        <w:rPr>
          <w:rFonts w:ascii="Century" w:hAnsi="Century" w:cs="Miriam" w:hint="eastAsia"/>
          <w:b/>
          <w:sz w:val="22"/>
          <w:rtl/>
        </w:rPr>
        <w:t>רק</w:t>
      </w:r>
      <w:r w:rsidRPr="00E206AF">
        <w:rPr>
          <w:rFonts w:ascii="Century" w:hAnsi="Century" w:cs="Miriam"/>
          <w:b/>
          <w:sz w:val="22"/>
          <w:rtl/>
        </w:rPr>
        <w:t xml:space="preserve"> </w:t>
      </w:r>
      <w:r w:rsidRPr="00E206AF">
        <w:rPr>
          <w:rFonts w:ascii="Century" w:hAnsi="Century" w:cs="Miriam" w:hint="eastAsia"/>
          <w:b/>
          <w:sz w:val="22"/>
          <w:rtl/>
        </w:rPr>
        <w:t>שאינה</w:t>
      </w:r>
      <w:r w:rsidRPr="00E206AF">
        <w:rPr>
          <w:rFonts w:ascii="Century" w:hAnsi="Century" w:cs="Miriam"/>
          <w:b/>
          <w:sz w:val="22"/>
          <w:rtl/>
        </w:rPr>
        <w:t xml:space="preserve"> </w:t>
      </w:r>
      <w:r w:rsidRPr="00E206AF">
        <w:rPr>
          <w:rFonts w:ascii="Century" w:hAnsi="Century" w:cs="Miriam" w:hint="eastAsia"/>
          <w:b/>
          <w:sz w:val="22"/>
          <w:rtl/>
        </w:rPr>
        <w:t>סותרת</w:t>
      </w:r>
      <w:r w:rsidRPr="00E206AF">
        <w:rPr>
          <w:rFonts w:ascii="Century" w:hAnsi="Century" w:cs="Miriam"/>
          <w:b/>
          <w:sz w:val="22"/>
          <w:rtl/>
        </w:rPr>
        <w:t xml:space="preserve"> </w:t>
      </w:r>
      <w:r w:rsidRPr="00E206AF">
        <w:rPr>
          <w:rFonts w:ascii="Century" w:hAnsi="Century" w:cs="Miriam" w:hint="eastAsia"/>
          <w:b/>
          <w:sz w:val="22"/>
          <w:rtl/>
        </w:rPr>
        <w:t>את</w:t>
      </w:r>
      <w:r w:rsidRPr="00E206AF">
        <w:rPr>
          <w:rFonts w:ascii="Century" w:hAnsi="Century" w:cs="Miriam"/>
          <w:b/>
          <w:sz w:val="22"/>
          <w:rtl/>
        </w:rPr>
        <w:t xml:space="preserve"> </w:t>
      </w:r>
      <w:r w:rsidRPr="00E206AF">
        <w:rPr>
          <w:rFonts w:ascii="Century" w:hAnsi="Century" w:cs="Miriam" w:hint="eastAsia"/>
          <w:b/>
          <w:sz w:val="22"/>
          <w:rtl/>
        </w:rPr>
        <w:t>עקרון</w:t>
      </w:r>
      <w:r w:rsidRPr="00E206AF">
        <w:rPr>
          <w:rFonts w:ascii="Century" w:hAnsi="Century" w:cs="Miriam"/>
          <w:b/>
          <w:sz w:val="22"/>
          <w:rtl/>
        </w:rPr>
        <w:t xml:space="preserve"> </w:t>
      </w:r>
      <w:r w:rsidRPr="00E206AF">
        <w:rPr>
          <w:rFonts w:ascii="Century" w:hAnsi="Century" w:cs="Miriam" w:hint="eastAsia"/>
          <w:b/>
          <w:sz w:val="22"/>
          <w:rtl/>
        </w:rPr>
        <w:t>הפרדת</w:t>
      </w:r>
      <w:r w:rsidRPr="00E206AF">
        <w:rPr>
          <w:rFonts w:ascii="Century" w:hAnsi="Century" w:cs="Miriam"/>
          <w:b/>
          <w:sz w:val="22"/>
          <w:rtl/>
        </w:rPr>
        <w:t xml:space="preserve"> </w:t>
      </w:r>
      <w:r w:rsidRPr="00E206AF">
        <w:rPr>
          <w:rFonts w:ascii="Century" w:hAnsi="Century" w:cs="Miriam" w:hint="eastAsia"/>
          <w:b/>
          <w:sz w:val="22"/>
          <w:rtl/>
        </w:rPr>
        <w:t>הרשויות</w:t>
      </w:r>
      <w:r w:rsidRPr="00E206AF">
        <w:rPr>
          <w:rFonts w:ascii="Century" w:hAnsi="Century" w:cs="Miriam"/>
          <w:b/>
          <w:sz w:val="22"/>
          <w:rtl/>
        </w:rPr>
        <w:t xml:space="preserve">, </w:t>
      </w:r>
      <w:r w:rsidRPr="00E206AF">
        <w:rPr>
          <w:rFonts w:ascii="Century" w:hAnsi="Century" w:cs="Miriam" w:hint="eastAsia"/>
          <w:b/>
          <w:sz w:val="22"/>
          <w:rtl/>
        </w:rPr>
        <w:t>אלא</w:t>
      </w:r>
      <w:r w:rsidRPr="00E206AF">
        <w:rPr>
          <w:rFonts w:ascii="Century" w:hAnsi="Century" w:cs="Miriam"/>
          <w:b/>
          <w:sz w:val="22"/>
          <w:rtl/>
        </w:rPr>
        <w:t xml:space="preserve"> </w:t>
      </w:r>
      <w:r w:rsidRPr="00E206AF">
        <w:rPr>
          <w:rFonts w:ascii="Century" w:hAnsi="Century" w:cs="Miriam" w:hint="eastAsia"/>
          <w:b/>
          <w:sz w:val="22"/>
          <w:rtl/>
        </w:rPr>
        <w:t>שלדעתי</w:t>
      </w:r>
      <w:r w:rsidRPr="00E206AF">
        <w:rPr>
          <w:rFonts w:ascii="Century" w:hAnsi="Century" w:cs="Miriam"/>
          <w:b/>
          <w:sz w:val="22"/>
          <w:rtl/>
        </w:rPr>
        <w:t xml:space="preserve"> </w:t>
      </w:r>
      <w:r w:rsidRPr="00E206AF">
        <w:rPr>
          <w:rFonts w:ascii="Century" w:hAnsi="Century" w:cs="Miriam" w:hint="eastAsia"/>
          <w:b/>
          <w:sz w:val="22"/>
          <w:rtl/>
        </w:rPr>
        <w:t>היא</w:t>
      </w:r>
      <w:r w:rsidRPr="00E206AF">
        <w:rPr>
          <w:rFonts w:ascii="Century" w:hAnsi="Century" w:cs="Miriam"/>
          <w:b/>
          <w:sz w:val="22"/>
          <w:rtl/>
        </w:rPr>
        <w:t xml:space="preserve"> </w:t>
      </w:r>
      <w:r w:rsidRPr="00E206AF">
        <w:rPr>
          <w:rFonts w:ascii="Century" w:hAnsi="Century" w:cs="Miriam" w:hint="eastAsia"/>
          <w:b/>
          <w:sz w:val="22"/>
          <w:rtl/>
        </w:rPr>
        <w:t>אף</w:t>
      </w:r>
      <w:r w:rsidRPr="00E206AF">
        <w:rPr>
          <w:rFonts w:ascii="Century" w:hAnsi="Century" w:cs="Miriam"/>
          <w:b/>
          <w:sz w:val="22"/>
          <w:rtl/>
        </w:rPr>
        <w:t xml:space="preserve"> </w:t>
      </w:r>
      <w:r w:rsidRPr="00E206AF">
        <w:rPr>
          <w:rFonts w:ascii="Century" w:hAnsi="Century" w:cs="Miriam" w:hint="eastAsia"/>
          <w:b/>
          <w:sz w:val="22"/>
          <w:rtl/>
        </w:rPr>
        <w:t>מתחייבת</w:t>
      </w:r>
      <w:r w:rsidRPr="00E206AF">
        <w:rPr>
          <w:rFonts w:ascii="Century" w:hAnsi="Century" w:cs="Miriam"/>
          <w:b/>
          <w:sz w:val="22"/>
          <w:rtl/>
        </w:rPr>
        <w:t xml:space="preserve"> </w:t>
      </w:r>
      <w:r w:rsidRPr="00E206AF">
        <w:rPr>
          <w:rFonts w:ascii="Century" w:hAnsi="Century" w:cs="Miriam" w:hint="eastAsia"/>
          <w:b/>
          <w:sz w:val="22"/>
          <w:rtl/>
        </w:rPr>
        <w:t>ממנו</w:t>
      </w:r>
      <w:r w:rsidRPr="00E206AF">
        <w:rPr>
          <w:rFonts w:ascii="Century" w:hAnsi="Century" w:cs="Miriam"/>
          <w:b/>
          <w:sz w:val="22"/>
          <w:rtl/>
        </w:rPr>
        <w:t xml:space="preserve">. </w:t>
      </w:r>
      <w:r w:rsidRPr="00E206AF">
        <w:rPr>
          <w:rFonts w:ascii="Arial TUR" w:hAnsi="Arial TUR" w:cs="FrankRuehl" w:hint="eastAsia"/>
          <w:spacing w:val="10"/>
          <w:sz w:val="22"/>
          <w:szCs w:val="28"/>
          <w:rtl/>
        </w:rPr>
        <w:t>שהרי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הסוגיה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היקף</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הביקורת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השיפוטית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המינהלית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נוגעת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לקביעת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קו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התיחום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ומערכת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היחסים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שתי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רשויות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הרשות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השופטת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והרשות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המבצעת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תפיסה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ראויה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הפרדת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רשויות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מחייבת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כאשר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עסקינן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במערכת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היחסים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שתיים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הרשויות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מוענק</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מעמד</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נכבד</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בתהליך</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לרשות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השלישית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מכל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מקום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מבחינת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lastRenderedPageBreak/>
        <w:t>הפרדת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רשויות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מקום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להשאיר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לרשות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אחת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מלוא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הכוח</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לעצב</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הסדרים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מסוג</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זה</w:t>
      </w:r>
      <w:r w:rsidRPr="00E206AF">
        <w:rPr>
          <w:rFonts w:ascii="Arial TUR" w:hAnsi="Arial TUR" w:cs="FrankRuehl" w:hint="cs"/>
          <w:spacing w:val="10"/>
          <w:sz w:val="22"/>
          <w:szCs w:val="28"/>
          <w:rtl/>
        </w:rPr>
        <w:t>" (</w:t>
      </w:r>
      <w:r w:rsidRPr="00E206AF">
        <w:rPr>
          <w:rFonts w:ascii="Arial TUR" w:hAnsi="Arial TUR" w:cs="FrankRuehl" w:hint="eastAsia"/>
          <w:spacing w:val="10"/>
          <w:sz w:val="22"/>
          <w:szCs w:val="28"/>
          <w:rtl/>
        </w:rPr>
        <w:t>יואב</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דותן</w:t>
      </w:r>
      <w:r w:rsidRPr="00E206AF">
        <w:rPr>
          <w:rFonts w:ascii="Century" w:hAnsi="Century" w:cs="Miriam"/>
          <w:b/>
          <w:sz w:val="22"/>
          <w:rtl/>
        </w:rPr>
        <w:t xml:space="preserve"> </w:t>
      </w:r>
      <w:r w:rsidRPr="00E206AF">
        <w:rPr>
          <w:rFonts w:ascii="Century" w:hAnsi="Century" w:cs="Miriam" w:hint="eastAsia"/>
          <w:b/>
          <w:sz w:val="22"/>
          <w:rtl/>
        </w:rPr>
        <w:t>ביקורת</w:t>
      </w:r>
      <w:r w:rsidRPr="00E206AF">
        <w:rPr>
          <w:rFonts w:ascii="Century" w:hAnsi="Century" w:cs="Miriam"/>
          <w:b/>
          <w:sz w:val="22"/>
          <w:rtl/>
        </w:rPr>
        <w:t xml:space="preserve"> </w:t>
      </w:r>
      <w:r w:rsidRPr="00E206AF">
        <w:rPr>
          <w:rFonts w:ascii="Century" w:hAnsi="Century" w:cs="Miriam" w:hint="eastAsia"/>
          <w:b/>
          <w:sz w:val="22"/>
          <w:rtl/>
        </w:rPr>
        <w:t>שיפוטית</w:t>
      </w:r>
      <w:r w:rsidRPr="00E206AF">
        <w:rPr>
          <w:rFonts w:ascii="Century" w:hAnsi="Century" w:cs="Miriam"/>
          <w:b/>
          <w:sz w:val="22"/>
          <w:rtl/>
        </w:rPr>
        <w:t xml:space="preserve"> </w:t>
      </w:r>
      <w:r w:rsidRPr="00E206AF">
        <w:rPr>
          <w:rFonts w:ascii="Century" w:hAnsi="Century" w:cs="Miriam" w:hint="eastAsia"/>
          <w:b/>
          <w:sz w:val="22"/>
          <w:rtl/>
        </w:rPr>
        <w:t>על</w:t>
      </w:r>
      <w:r w:rsidRPr="00E206AF">
        <w:rPr>
          <w:rFonts w:ascii="Century" w:hAnsi="Century" w:cs="Miriam"/>
          <w:b/>
          <w:sz w:val="22"/>
          <w:rtl/>
        </w:rPr>
        <w:t xml:space="preserve"> </w:t>
      </w:r>
      <w:r w:rsidRPr="00E206AF">
        <w:rPr>
          <w:rFonts w:ascii="Century" w:hAnsi="Century" w:cs="Miriam" w:hint="eastAsia"/>
          <w:b/>
          <w:sz w:val="22"/>
          <w:rtl/>
        </w:rPr>
        <w:t>שיקול</w:t>
      </w:r>
      <w:r w:rsidRPr="00E206AF">
        <w:rPr>
          <w:rFonts w:ascii="Century" w:hAnsi="Century" w:cs="Miriam"/>
          <w:b/>
          <w:sz w:val="22"/>
          <w:rtl/>
        </w:rPr>
        <w:t xml:space="preserve"> </w:t>
      </w:r>
      <w:r w:rsidRPr="00E206AF">
        <w:rPr>
          <w:rFonts w:ascii="Century" w:hAnsi="Century" w:cs="Miriam" w:hint="eastAsia"/>
          <w:b/>
          <w:sz w:val="22"/>
          <w:rtl/>
        </w:rPr>
        <w:t>דעת</w:t>
      </w:r>
      <w:r w:rsidRPr="00E206AF">
        <w:rPr>
          <w:rFonts w:ascii="Century" w:hAnsi="Century" w:cs="Miriam"/>
          <w:b/>
          <w:sz w:val="22"/>
          <w:rtl/>
        </w:rPr>
        <w:t xml:space="preserve"> </w:t>
      </w:r>
      <w:r w:rsidRPr="00E206AF">
        <w:rPr>
          <w:rFonts w:ascii="Century" w:hAnsi="Century" w:cs="Miriam" w:hint="eastAsia"/>
          <w:b/>
          <w:sz w:val="22"/>
          <w:rtl/>
        </w:rPr>
        <w:t>מינהלי</w:t>
      </w:r>
      <w:r w:rsidRPr="00E206AF">
        <w:rPr>
          <w:rFonts w:ascii="Century" w:hAnsi="Century" w:cs="Miriam"/>
          <w:b/>
          <w:sz w:val="22"/>
          <w:rtl/>
        </w:rPr>
        <w:t xml:space="preserve"> </w:t>
      </w:r>
      <w:r w:rsidRPr="00E206AF">
        <w:rPr>
          <w:rFonts w:ascii="Arial TUR" w:hAnsi="Arial TUR" w:cs="FrankRuehl" w:hint="eastAsia"/>
          <w:spacing w:val="10"/>
          <w:sz w:val="22"/>
          <w:szCs w:val="28"/>
          <w:rtl/>
        </w:rPr>
        <w:t>כרך</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 xml:space="preserve">238-236 </w:t>
      </w:r>
      <w:r w:rsidRPr="00E206AF">
        <w:rPr>
          <w:rFonts w:ascii="Arial TUR" w:hAnsi="Arial TUR" w:cs="FrankRuehl"/>
          <w:spacing w:val="10"/>
          <w:sz w:val="22"/>
          <w:szCs w:val="28"/>
          <w:rtl/>
        </w:rPr>
        <w:t>(2022)</w:t>
      </w:r>
      <w:r w:rsidRPr="00E206AF">
        <w:rPr>
          <w:rFonts w:ascii="Arial TUR" w:hAnsi="Arial TUR" w:cs="FrankRuehl" w:hint="cs"/>
          <w:spacing w:val="10"/>
          <w:sz w:val="22"/>
          <w:szCs w:val="28"/>
          <w:rtl/>
        </w:rPr>
        <w:t xml:space="preserve">; ההדגשה הוספה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י"ו).</w:t>
      </w:r>
    </w:p>
    <w:p w:rsidR="00E32081" w:rsidRPr="00E206AF" w:rsidRDefault="00E32081" w:rsidP="00E32081">
      <w:pPr>
        <w:ind w:left="1644" w:right="1276"/>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7</w:t>
      </w:r>
      <w:r>
        <w:rPr>
          <w:rFonts w:ascii="Century" w:hAnsi="Century" w:cs="FrankRuehl" w:hint="cs"/>
          <w:spacing w:val="10"/>
          <w:sz w:val="22"/>
          <w:szCs w:val="28"/>
          <w:rtl/>
        </w:rPr>
        <w:t>5</w:t>
      </w:r>
      <w:r w:rsidRPr="00E206AF">
        <w:rPr>
          <w:rFonts w:ascii="Century" w:hAnsi="Century" w:cs="FrankRuehl" w:hint="cs"/>
          <w:spacing w:val="10"/>
          <w:sz w:val="22"/>
          <w:szCs w:val="28"/>
          <w:rtl/>
        </w:rPr>
        <w:t>.</w:t>
      </w: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לסיכום נקודה זו, התיקון בפרשנותו האמורה אינו פוגע בסמכותו של בית המשפט, כי אם נוגע לסטנדרט הביקורת שבית המשפט מפעיל מכוח עילת הסבירות ביחס להחלטות שרים וממשלה. המחוקק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קל וחומר המכונן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רשאי, ככלל, לעסוק בתוכנן של עילות הביקורת השיפוטית. </w:t>
      </w:r>
      <w:r w:rsidRPr="00E206AF">
        <w:rPr>
          <w:rFonts w:ascii="Arial TUR" w:hAnsi="Arial TUR" w:cs="FrankRuehl" w:hint="cs"/>
          <w:spacing w:val="10"/>
          <w:sz w:val="22"/>
          <w:szCs w:val="28"/>
          <w:rtl/>
        </w:rPr>
        <w:t xml:space="preserve">בתוך כך, התיקון אינו חוסם את הדרך לבית המשפט בפני אף אדם או גוף; ואינו משפיע על עצמאותה של הרשות השופטת, או פוגע בסמכותה לפי סעיף 15(ג) לחוק יסוד: השפיטה. כפי שיבואר להלן, התיקון גם אינו </w:t>
      </w:r>
      <w:r w:rsidRPr="00E206AF" w:rsidDel="00B91917">
        <w:rPr>
          <w:rFonts w:ascii="Arial TUR" w:hAnsi="Arial TUR" w:cs="FrankRuehl" w:hint="cs"/>
          <w:spacing w:val="10"/>
          <w:sz w:val="22"/>
          <w:szCs w:val="28"/>
          <w:rtl/>
        </w:rPr>
        <w:t xml:space="preserve">מונע ביקורת שיפוטית </w:t>
      </w:r>
      <w:r w:rsidRPr="00E206AF" w:rsidDel="00B91917">
        <w:rPr>
          <w:rFonts w:ascii="Century" w:hAnsi="Century" w:cs="FrankRuehl" w:hint="eastAsia"/>
          <w:spacing w:val="10"/>
          <w:sz w:val="22"/>
          <w:szCs w:val="28"/>
          <w:rtl/>
        </w:rPr>
        <w:t>אפקטיבית</w:t>
      </w:r>
      <w:r w:rsidRPr="00E206AF">
        <w:rPr>
          <w:rFonts w:ascii="Arial TUR" w:hAnsi="Arial TUR" w:cs="FrankRuehl" w:hint="cs"/>
          <w:spacing w:val="10"/>
          <w:sz w:val="22"/>
          <w:szCs w:val="28"/>
          <w:rtl/>
        </w:rPr>
        <w:t xml:space="preserve">, בהינתן המגוון הרחב של עילות ביקורת שיפוטית </w:t>
      </w:r>
      <w:r>
        <w:rPr>
          <w:rFonts w:ascii="Arial TUR" w:hAnsi="Arial TUR" w:cs="FrankRuehl" w:hint="cs"/>
          <w:spacing w:val="10"/>
          <w:sz w:val="22"/>
          <w:szCs w:val="28"/>
          <w:rtl/>
        </w:rPr>
        <w:t>נוספות</w:t>
      </w:r>
      <w:r w:rsidRPr="00E206AF">
        <w:rPr>
          <w:rFonts w:ascii="Arial TUR" w:hAnsi="Arial TUR" w:cs="FrankRuehl" w:hint="cs"/>
          <w:spacing w:val="10"/>
          <w:sz w:val="22"/>
          <w:szCs w:val="28"/>
          <w:rtl/>
        </w:rPr>
        <w:t>.</w:t>
      </w:r>
      <w:r w:rsidRPr="00E206AF" w:rsidDel="00B91917">
        <w:rPr>
          <w:rFonts w:ascii="Arial TUR" w:hAnsi="Arial TUR"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לנוכח כל זאת,</w:t>
      </w:r>
      <w:r w:rsidRPr="00E206AF">
        <w:rPr>
          <w:rFonts w:ascii="Arial TUR" w:hAnsi="Arial TUR" w:cs="FrankRuehl" w:hint="cs"/>
          <w:spacing w:val="10"/>
          <w:sz w:val="22"/>
          <w:szCs w:val="28"/>
          <w:rtl/>
        </w:rPr>
        <w:t xml:space="preserve"> </w:t>
      </w:r>
      <w:r w:rsidRPr="00E206AF">
        <w:rPr>
          <w:rFonts w:ascii="Century" w:hAnsi="Century" w:cs="FrankRuehl" w:hint="cs"/>
          <w:spacing w:val="10"/>
          <w:sz w:val="22"/>
          <w:szCs w:val="28"/>
          <w:rtl/>
        </w:rPr>
        <w:t>לא ניתן לומר כי עצם שינוי הסטנדרט שלפיו מופעלת עילת הסבירות ביחס להחלטות שרים וממשלה, עולה כדי פגיעה</w:t>
      </w:r>
      <w:r w:rsidRPr="00E206AF">
        <w:rPr>
          <w:rFonts w:ascii="Arial TUR" w:hAnsi="Arial TUR" w:cs="FrankRuehl" w:hint="cs"/>
          <w:spacing w:val="10"/>
          <w:sz w:val="22"/>
          <w:szCs w:val="28"/>
          <w:rtl/>
        </w:rPr>
        <w:t xml:space="preserve"> בעיקרון הפרדת הרשויות; לא כל שכן, כדי "פגיעה אנושה" בו, או שלילתו. </w:t>
      </w: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Miriam"/>
          <w:b/>
          <w:sz w:val="22"/>
          <w:rtl/>
        </w:rPr>
      </w:pPr>
      <w:r w:rsidRPr="00E206AF">
        <w:rPr>
          <w:rFonts w:ascii="Century" w:hAnsi="Century" w:cs="Miriam" w:hint="cs"/>
          <w:b/>
          <w:sz w:val="22"/>
          <w:rtl/>
        </w:rPr>
        <w:t>התיקון בפרשנותו האמורה אינו פוגע בעיקרון שלטון החוק</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hint="cs"/>
          <w:spacing w:val="10"/>
          <w:sz w:val="22"/>
          <w:szCs w:val="28"/>
          <w:rtl/>
        </w:rPr>
        <w:t>7</w:t>
      </w:r>
      <w:r>
        <w:rPr>
          <w:rFonts w:ascii="Arial TUR" w:hAnsi="Arial TUR" w:cs="FrankRuehl" w:hint="cs"/>
          <w:spacing w:val="10"/>
          <w:sz w:val="22"/>
          <w:szCs w:val="28"/>
          <w:rtl/>
        </w:rPr>
        <w:t>6</w:t>
      </w:r>
      <w:r w:rsidRPr="00E206AF">
        <w:rPr>
          <w:rFonts w:ascii="Arial TUR" w:hAnsi="Arial TUR" w:cs="FrankRuehl" w:hint="cs"/>
          <w:spacing w:val="10"/>
          <w:sz w:val="22"/>
          <w:szCs w:val="28"/>
          <w:rtl/>
        </w:rPr>
        <w:t>.</w:t>
      </w:r>
      <w:r w:rsidRPr="00E206AF">
        <w:rPr>
          <w:rFonts w:ascii="Arial TUR" w:hAnsi="Arial TUR" w:cs="FrankRuehl"/>
          <w:spacing w:val="10"/>
          <w:sz w:val="22"/>
          <w:szCs w:val="28"/>
          <w:rtl/>
        </w:rPr>
        <w:tab/>
      </w:r>
      <w:r w:rsidRPr="00E206AF">
        <w:rPr>
          <w:rFonts w:ascii="Arial TUR" w:hAnsi="Arial TUR" w:cs="FrankRuehl" w:hint="cs"/>
          <w:spacing w:val="10"/>
          <w:sz w:val="22"/>
          <w:szCs w:val="28"/>
          <w:rtl/>
        </w:rPr>
        <w:t xml:space="preserve">העותרים והיועצת המשפטית לממשלה טוענים עוד כי כתוצאה מהתיקון יתאפשר לממשלה לפעול בחוסר סבירות </w:t>
      </w:r>
      <w:r w:rsidRPr="00432B8F">
        <w:rPr>
          <w:rFonts w:ascii="Arial TUR" w:hAnsi="Arial TUR" w:cs="FrankRuehl" w:hint="cs"/>
          <w:spacing w:val="10"/>
          <w:sz w:val="22"/>
          <w:szCs w:val="28"/>
          <w:rtl/>
        </w:rPr>
        <w:t>קיצוני</w:t>
      </w:r>
      <w:r w:rsidRPr="00E206AF">
        <w:rPr>
          <w:rFonts w:ascii="Arial TUR" w:hAnsi="Arial TUR" w:cs="FrankRuehl" w:hint="cs"/>
          <w:spacing w:val="10"/>
          <w:sz w:val="22"/>
          <w:szCs w:val="28"/>
          <w:rtl/>
        </w:rPr>
        <w:t xml:space="preserve"> ולהפעיל שיקול דעת מוחלט, באופן שיפגע קשות בעיקרון שלטון החוק.</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spacing w:val="10"/>
          <w:sz w:val="22"/>
          <w:szCs w:val="28"/>
          <w:rtl/>
        </w:rPr>
        <w:tab/>
      </w:r>
      <w:r w:rsidRPr="00E206AF">
        <w:rPr>
          <w:rFonts w:ascii="Arial TUR" w:hAnsi="Arial TUR" w:cs="FrankRuehl" w:hint="cs"/>
          <w:spacing w:val="10"/>
          <w:sz w:val="22"/>
          <w:szCs w:val="28"/>
          <w:rtl/>
        </w:rPr>
        <w:t xml:space="preserve">אין בידי לקבל טענות אלו.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spacing w:val="10"/>
          <w:sz w:val="22"/>
          <w:szCs w:val="28"/>
          <w:rtl/>
        </w:rPr>
        <w:tab/>
      </w:r>
      <w:r w:rsidRPr="00E206AF">
        <w:rPr>
          <w:rFonts w:ascii="Arial TUR" w:hAnsi="Arial TUR" w:cs="FrankRuehl" w:hint="cs"/>
          <w:spacing w:val="10"/>
          <w:sz w:val="22"/>
          <w:szCs w:val="28"/>
          <w:rtl/>
        </w:rPr>
        <w:t>ברי כי התיקון לא משפיע כהוא זה על חובת הממשלה והשרים לפעול בהתאם לחוק. בעיקרו של דבר, עיקרון שלטון החוק משמעותו היא "חובה לנהוג על-פי החוק, כפי שנתפרש על-ידי בית המשפט, בהתאם למטרות החוק. חובה זאת מוטלת על הכל, מקטון ועד גדול, מן האדם ברחוב ועד ראש הממשלה" (</w:t>
      </w:r>
      <w:r w:rsidRPr="00E206AF">
        <w:rPr>
          <w:rFonts w:ascii="Arial TUR" w:hAnsi="Arial TUR" w:cs="FrankRuehl" w:hint="eastAsia"/>
          <w:spacing w:val="10"/>
          <w:sz w:val="22"/>
          <w:szCs w:val="28"/>
          <w:rtl/>
        </w:rPr>
        <w:t>יצחק</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זמיר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שלטון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החוק</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במדינת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ישראל</w:t>
      </w:r>
      <w:r w:rsidRPr="00E206AF">
        <w:rPr>
          <w:rFonts w:ascii="Arial TUR" w:hAnsi="Arial TUR" w:cs="FrankRuehl"/>
          <w:spacing w:val="10"/>
          <w:sz w:val="22"/>
          <w:szCs w:val="28"/>
          <w:rtl/>
        </w:rPr>
        <w:t xml:space="preserve">" </w:t>
      </w:r>
      <w:r w:rsidRPr="00E206AF">
        <w:rPr>
          <w:rFonts w:ascii="Century" w:hAnsi="Century" w:cs="Miriam" w:hint="eastAsia"/>
          <w:b/>
          <w:sz w:val="22"/>
          <w:rtl/>
        </w:rPr>
        <w:t>הפרקליט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גליון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מיוחד</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לכבוד</w:t>
      </w:r>
      <w:r w:rsidRPr="00E206AF">
        <w:rPr>
          <w:rFonts w:ascii="Arial TUR" w:hAnsi="Arial TUR" w:cs="FrankRuehl"/>
          <w:spacing w:val="10"/>
          <w:sz w:val="22"/>
          <w:szCs w:val="28"/>
          <w:rtl/>
        </w:rPr>
        <w:t xml:space="preserve"> 25 </w:t>
      </w:r>
      <w:r w:rsidRPr="00E206AF">
        <w:rPr>
          <w:rFonts w:ascii="Arial TUR" w:hAnsi="Arial TUR" w:cs="FrankRuehl" w:hint="eastAsia"/>
          <w:spacing w:val="10"/>
          <w:sz w:val="22"/>
          <w:szCs w:val="28"/>
          <w:rtl/>
        </w:rPr>
        <w:t>שנים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ללשכת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עורכי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הדין</w:t>
      </w:r>
      <w:r w:rsidRPr="00E206AF">
        <w:rPr>
          <w:rFonts w:ascii="Arial TUR" w:hAnsi="Arial TUR" w:cs="FrankRuehl"/>
          <w:spacing w:val="10"/>
          <w:sz w:val="22"/>
          <w:szCs w:val="28"/>
          <w:rtl/>
        </w:rPr>
        <w:t xml:space="preserve"> 61</w:t>
      </w:r>
      <w:r w:rsidRPr="00E206AF">
        <w:rPr>
          <w:rFonts w:ascii="Arial TUR" w:hAnsi="Arial TUR" w:cs="FrankRuehl" w:hint="cs"/>
          <w:spacing w:val="10"/>
          <w:sz w:val="22"/>
          <w:szCs w:val="28"/>
          <w:rtl/>
        </w:rPr>
        <w:t>, 61 (</w:t>
      </w:r>
      <w:r w:rsidRPr="00E206AF">
        <w:rPr>
          <w:rFonts w:ascii="Arial TUR" w:hAnsi="Arial TUR" w:cs="FrankRuehl"/>
          <w:spacing w:val="10"/>
          <w:sz w:val="22"/>
          <w:szCs w:val="28"/>
          <w:rtl/>
        </w:rPr>
        <w:t>1987</w:t>
      </w:r>
      <w:r w:rsidRPr="00E206AF">
        <w:rPr>
          <w:rFonts w:ascii="Arial TUR" w:hAnsi="Arial TUR" w:cs="FrankRuehl" w:hint="cs"/>
          <w:spacing w:val="10"/>
          <w:sz w:val="22"/>
          <w:szCs w:val="28"/>
          <w:rtl/>
        </w:rPr>
        <w:t xml:space="preserve">). התיקון, כאמור, אינו גורע מחובה זו.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spacing w:val="10"/>
          <w:sz w:val="22"/>
          <w:szCs w:val="28"/>
          <w:rtl/>
        </w:rPr>
        <w:tab/>
      </w:r>
      <w:r w:rsidRPr="00E206AF">
        <w:rPr>
          <w:rFonts w:ascii="Arial TUR" w:hAnsi="Arial TUR" w:cs="FrankRuehl" w:hint="cs"/>
          <w:spacing w:val="10"/>
          <w:sz w:val="22"/>
          <w:szCs w:val="28"/>
          <w:rtl/>
        </w:rPr>
        <w:t xml:space="preserve">בפרט, התיקון אינו </w:t>
      </w:r>
      <w:r>
        <w:rPr>
          <w:rFonts w:ascii="Arial TUR" w:hAnsi="Arial TUR" w:cs="FrankRuehl" w:hint="cs"/>
          <w:spacing w:val="10"/>
          <w:sz w:val="22"/>
          <w:szCs w:val="28"/>
          <w:rtl/>
        </w:rPr>
        <w:t>קובע כי מותר</w:t>
      </w:r>
      <w:r w:rsidRPr="00E206AF">
        <w:rPr>
          <w:rFonts w:ascii="Arial TUR" w:hAnsi="Arial TUR" w:cs="FrankRuehl" w:hint="cs"/>
          <w:spacing w:val="10"/>
          <w:sz w:val="22"/>
          <w:szCs w:val="28"/>
          <w:rtl/>
        </w:rPr>
        <w:t xml:space="preserve"> לממשלה ולשרים לאזן באופן </w:t>
      </w:r>
      <w:r>
        <w:rPr>
          <w:rFonts w:ascii="Arial TUR" w:hAnsi="Arial TUR" w:cs="FrankRuehl" w:hint="cs"/>
          <w:spacing w:val="10"/>
          <w:sz w:val="22"/>
          <w:szCs w:val="28"/>
          <w:rtl/>
        </w:rPr>
        <w:t>בלתי</w:t>
      </w:r>
      <w:r w:rsidRPr="00E206AF">
        <w:rPr>
          <w:rFonts w:ascii="Arial TUR" w:hAnsi="Arial TUR" w:cs="FrankRuehl" w:hint="cs"/>
          <w:spacing w:val="10"/>
          <w:sz w:val="22"/>
          <w:szCs w:val="28"/>
          <w:rtl/>
        </w:rPr>
        <w:t xml:space="preserve"> ראוי בין השיקולים הרלוונטיים. </w:t>
      </w:r>
      <w:r>
        <w:rPr>
          <w:rFonts w:ascii="Arial TUR" w:hAnsi="Arial TUR" w:cs="FrankRuehl" w:hint="cs"/>
          <w:spacing w:val="10"/>
          <w:sz w:val="22"/>
          <w:szCs w:val="28"/>
          <w:rtl/>
        </w:rPr>
        <w:t xml:space="preserve">אמנם, </w:t>
      </w:r>
      <w:r w:rsidRPr="00E206AF">
        <w:rPr>
          <w:rFonts w:ascii="Arial TUR" w:hAnsi="Arial TUR" w:cs="FrankRuehl" w:hint="cs"/>
          <w:spacing w:val="10"/>
          <w:sz w:val="22"/>
          <w:szCs w:val="28"/>
          <w:rtl/>
        </w:rPr>
        <w:t>משמעות התיקון היא, שלא ניתן יהיה לפסול החלטות שרים וממשלה בטענה כי ניתן משקל לא ראוי כאמור. ואולם, מכאן לא נובע שחרור מהחובה ליתן משקל ראוי לכל שיקול</w:t>
      </w:r>
      <w:r w:rsidRPr="00E206AF">
        <w:rPr>
          <w:rFonts w:ascii="Century" w:hAnsi="Century" w:cs="FrankRuehl" w:hint="cs"/>
          <w:spacing w:val="10"/>
          <w:sz w:val="22"/>
          <w:szCs w:val="28"/>
          <w:rtl/>
        </w:rPr>
        <w:t xml:space="preserve"> רלוונטי, אשר מוטלת על כל רשות שלטונית בבואה </w:t>
      </w:r>
      <w:r w:rsidRPr="00E206AF">
        <w:rPr>
          <w:rFonts w:ascii="Century" w:hAnsi="Century" w:cs="FrankRuehl" w:hint="cs"/>
          <w:spacing w:val="10"/>
          <w:sz w:val="22"/>
          <w:szCs w:val="28"/>
          <w:rtl/>
        </w:rPr>
        <w:lastRenderedPageBreak/>
        <w:t xml:space="preserve">לקבל החלטה. חובה זו עומדת על כנה אף לאחר התיקון; וחזקה על הממשלה והשרים כי יקיימו חובה זו (לעניין זה ראו, מיני רבים: </w:t>
      </w:r>
      <w:r w:rsidRPr="00E206AF">
        <w:rPr>
          <w:rFonts w:ascii="Century" w:hAnsi="Century" w:cs="FrankRuehl" w:hint="eastAsia"/>
          <w:spacing w:val="10"/>
          <w:sz w:val="22"/>
          <w:szCs w:val="28"/>
          <w:rtl/>
        </w:rPr>
        <w:t>רע</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א</w:t>
      </w:r>
      <w:r w:rsidRPr="00E206AF">
        <w:rPr>
          <w:rFonts w:ascii="Century" w:hAnsi="Century" w:cs="FrankRuehl"/>
          <w:spacing w:val="10"/>
          <w:sz w:val="22"/>
          <w:szCs w:val="28"/>
          <w:rtl/>
        </w:rPr>
        <w:t xml:space="preserve"> 729/04 </w:t>
      </w:r>
      <w:r w:rsidRPr="00E206AF">
        <w:rPr>
          <w:rFonts w:ascii="Century" w:hAnsi="Century" w:cs="Miriam" w:hint="eastAsia"/>
          <w:b/>
          <w:sz w:val="22"/>
          <w:rtl/>
        </w:rPr>
        <w:t>מדינת</w:t>
      </w:r>
      <w:r w:rsidRPr="00E206AF">
        <w:rPr>
          <w:rFonts w:ascii="Century" w:hAnsi="Century" w:cs="Miriam"/>
          <w:b/>
          <w:sz w:val="22"/>
          <w:rtl/>
        </w:rPr>
        <w:t xml:space="preserve"> </w:t>
      </w:r>
      <w:r w:rsidRPr="00E206AF">
        <w:rPr>
          <w:rFonts w:ascii="Century" w:hAnsi="Century" w:cs="Miriam" w:hint="eastAsia"/>
          <w:b/>
          <w:sz w:val="22"/>
          <w:rtl/>
        </w:rPr>
        <w:t>ישראל</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קו</w:t>
      </w:r>
      <w:r w:rsidRPr="00E206AF">
        <w:rPr>
          <w:rFonts w:ascii="Century" w:hAnsi="Century" w:cs="Miriam"/>
          <w:b/>
          <w:sz w:val="22"/>
          <w:rtl/>
        </w:rPr>
        <w:t xml:space="preserve"> </w:t>
      </w:r>
      <w:r w:rsidRPr="00E206AF">
        <w:rPr>
          <w:rFonts w:ascii="Century" w:hAnsi="Century" w:cs="Miriam" w:hint="eastAsia"/>
          <w:b/>
          <w:sz w:val="22"/>
          <w:rtl/>
        </w:rPr>
        <w:t>מחשבה</w:t>
      </w:r>
      <w:r w:rsidRPr="00E206AF">
        <w:rPr>
          <w:rFonts w:ascii="Century" w:hAnsi="Century" w:cs="Miriam"/>
          <w:b/>
          <w:sz w:val="22"/>
          <w:rtl/>
        </w:rPr>
        <w:t xml:space="preserve"> </w:t>
      </w:r>
      <w:r w:rsidRPr="00E206AF">
        <w:rPr>
          <w:rFonts w:ascii="Century" w:hAnsi="Century" w:cs="Miriam" w:hint="eastAsia"/>
          <w:b/>
          <w:sz w:val="22"/>
          <w:rtl/>
        </w:rPr>
        <w:t>בע</w:t>
      </w:r>
      <w:r w:rsidRPr="00E206AF">
        <w:rPr>
          <w:rFonts w:ascii="Century" w:hAnsi="Century" w:cs="Miriam"/>
          <w:b/>
          <w:sz w:val="22"/>
          <w:rtl/>
        </w:rPr>
        <w:t>"</w:t>
      </w:r>
      <w:r w:rsidRPr="00E206AF">
        <w:rPr>
          <w:rFonts w:ascii="Century" w:hAnsi="Century" w:cs="Miriam" w:hint="eastAsia"/>
          <w:b/>
          <w:sz w:val="22"/>
          <w:rtl/>
        </w:rPr>
        <w:t>מ</w:t>
      </w:r>
      <w:r w:rsidRPr="00E206AF">
        <w:rPr>
          <w:rFonts w:ascii="Century" w:hAnsi="Century" w:cs="FrankRuehl" w:hint="cs"/>
          <w:spacing w:val="10"/>
          <w:sz w:val="22"/>
          <w:szCs w:val="28"/>
          <w:rtl/>
        </w:rPr>
        <w:t xml:space="preserve">, פס' 20 לפסק דינו של השופט </w:t>
      </w:r>
      <w:r w:rsidRPr="00E206AF">
        <w:rPr>
          <w:rFonts w:ascii="Century" w:hAnsi="Century" w:cs="Miriam" w:hint="cs"/>
          <w:b/>
          <w:sz w:val="22"/>
          <w:rtl/>
        </w:rPr>
        <w:t xml:space="preserve">גרוניס </w:t>
      </w:r>
      <w:r w:rsidRPr="00E206AF">
        <w:rPr>
          <w:rFonts w:ascii="Century" w:hAnsi="Century" w:cs="FrankRuehl"/>
          <w:spacing w:val="10"/>
          <w:sz w:val="22"/>
          <w:szCs w:val="28"/>
          <w:rtl/>
        </w:rPr>
        <w:t>(26.4.2010)</w:t>
      </w: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7</w:t>
      </w:r>
      <w:r>
        <w:rPr>
          <w:rFonts w:ascii="Century" w:hAnsi="Century" w:cs="FrankRuehl" w:hint="cs"/>
          <w:spacing w:val="10"/>
          <w:sz w:val="22"/>
          <w:szCs w:val="28"/>
          <w:rtl/>
        </w:rPr>
        <w:t>7</w:t>
      </w:r>
      <w:r w:rsidRPr="00E206AF">
        <w:rPr>
          <w:rFonts w:ascii="Century" w:hAnsi="Century" w:cs="FrankRuehl" w:hint="cs"/>
          <w:spacing w:val="10"/>
          <w:sz w:val="22"/>
          <w:szCs w:val="28"/>
          <w:rtl/>
        </w:rPr>
        <w:t>.</w:t>
      </w:r>
      <w:r w:rsidRPr="00E206AF">
        <w:rPr>
          <w:rFonts w:ascii="Century" w:hAnsi="Century" w:cs="FrankRuehl" w:hint="cs"/>
          <w:spacing w:val="10"/>
          <w:sz w:val="22"/>
          <w:szCs w:val="28"/>
          <w:rtl/>
        </w:rPr>
        <w:tab/>
        <w:t xml:space="preserve">לצד האמור, עיקרון שלטון החוק מחייב אף את </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קיומה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הביקורת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השיפוטית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חוקיות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פעולתה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רשות</w:t>
      </w:r>
      <w:r w:rsidRPr="00E206AF">
        <w:rPr>
          <w:rFonts w:ascii="Century" w:hAnsi="Century" w:cs="FrankRuehl"/>
          <w:spacing w:val="10"/>
          <w:sz w:val="22"/>
          <w:szCs w:val="28"/>
          <w:rtl/>
        </w:rPr>
        <w:t>" (</w:t>
      </w:r>
      <w:r w:rsidRPr="00E206AF">
        <w:rPr>
          <w:rFonts w:ascii="Century" w:hAnsi="Century" w:cs="FrankRuehl" w:hint="cs"/>
          <w:spacing w:val="10"/>
          <w:sz w:val="22"/>
          <w:szCs w:val="28"/>
          <w:rtl/>
        </w:rPr>
        <w:t xml:space="preserve">עניין </w:t>
      </w:r>
      <w:r w:rsidRPr="00E206AF">
        <w:rPr>
          <w:rFonts w:ascii="Century" w:hAnsi="Century" w:cs="Miriam" w:hint="cs"/>
          <w:b/>
          <w:sz w:val="22"/>
          <w:rtl/>
        </w:rPr>
        <w:t>סיעת כך</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בפס</w:t>
      </w:r>
      <w:r w:rsidRPr="00E206AF">
        <w:rPr>
          <w:rFonts w:ascii="Century" w:hAnsi="Century" w:cs="FrankRuehl"/>
          <w:spacing w:val="10"/>
          <w:sz w:val="22"/>
          <w:szCs w:val="28"/>
          <w:rtl/>
        </w:rPr>
        <w:t xml:space="preserve">' 19 </w:t>
      </w:r>
      <w:r w:rsidRPr="00E206AF">
        <w:rPr>
          <w:rFonts w:ascii="Century" w:hAnsi="Century" w:cs="FrankRuehl" w:hint="eastAsia"/>
          <w:spacing w:val="10"/>
          <w:sz w:val="22"/>
          <w:szCs w:val="28"/>
          <w:rtl/>
        </w:rPr>
        <w:t>לפסק</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דינו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השופט</w:t>
      </w:r>
      <w:r w:rsidRPr="00E206AF">
        <w:rPr>
          <w:rFonts w:ascii="Century" w:hAnsi="Century" w:cs="FrankRuehl"/>
          <w:spacing w:val="10"/>
          <w:sz w:val="22"/>
          <w:szCs w:val="28"/>
          <w:rtl/>
        </w:rPr>
        <w:t xml:space="preserve"> </w:t>
      </w:r>
      <w:r w:rsidRPr="00E206AF">
        <w:rPr>
          <w:rFonts w:ascii="Arial TUR" w:hAnsi="Arial TUR" w:cs="Miriam" w:hint="eastAsia"/>
          <w:b/>
          <w:sz w:val="22"/>
          <w:rtl/>
        </w:rPr>
        <w:t>ברק</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ובתוך</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כך</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מתחייבת ביקורת שיפוטית </w:t>
      </w:r>
      <w:r w:rsidRPr="00E206AF">
        <w:rPr>
          <w:rFonts w:ascii="Century" w:hAnsi="Century" w:cs="Miriam" w:hint="cs"/>
          <w:b/>
          <w:sz w:val="22"/>
          <w:rtl/>
        </w:rPr>
        <w:t>אפקטיבית</w:t>
      </w:r>
      <w:r w:rsidRPr="00E206AF">
        <w:rPr>
          <w:rFonts w:ascii="Century" w:hAnsi="Century" w:cs="FrankRuehl"/>
          <w:spacing w:val="10"/>
          <w:sz w:val="22"/>
          <w:szCs w:val="28"/>
          <w:rtl/>
        </w:rPr>
        <w:t xml:space="preserve"> (</w:t>
      </w:r>
      <w:r w:rsidRPr="00E206AF">
        <w:rPr>
          <w:rFonts w:ascii="Arial TUR" w:hAnsi="Arial TUR" w:cs="FrankRuehl" w:hint="cs"/>
          <w:spacing w:val="10"/>
          <w:sz w:val="22"/>
          <w:szCs w:val="28"/>
          <w:rtl/>
        </w:rPr>
        <w:t xml:space="preserve">עניין </w:t>
      </w:r>
      <w:r w:rsidRPr="00E206AF">
        <w:rPr>
          <w:rFonts w:ascii="Century" w:hAnsi="Century" w:cs="Miriam" w:hint="cs"/>
          <w:b/>
          <w:sz w:val="22"/>
          <w:rtl/>
        </w:rPr>
        <w:t>ועדת העררים</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ב</w:t>
      </w:r>
      <w:r w:rsidRPr="00E206AF">
        <w:rPr>
          <w:rFonts w:ascii="Century" w:hAnsi="Century" w:cs="FrankRuehl" w:hint="eastAsia"/>
          <w:spacing w:val="10"/>
          <w:sz w:val="22"/>
          <w:szCs w:val="28"/>
          <w:rtl/>
        </w:rPr>
        <w:t>פס</w:t>
      </w:r>
      <w:r w:rsidRPr="00E206AF">
        <w:rPr>
          <w:rFonts w:ascii="Century" w:hAnsi="Century" w:cs="FrankRuehl"/>
          <w:spacing w:val="10"/>
          <w:sz w:val="22"/>
          <w:szCs w:val="28"/>
          <w:rtl/>
        </w:rPr>
        <w:t xml:space="preserve">' 4 </w:t>
      </w:r>
      <w:r w:rsidRPr="00E206AF">
        <w:rPr>
          <w:rFonts w:ascii="Century" w:hAnsi="Century" w:cs="FrankRuehl" w:hint="eastAsia"/>
          <w:spacing w:val="10"/>
          <w:sz w:val="22"/>
          <w:szCs w:val="28"/>
          <w:rtl/>
        </w:rPr>
        <w:t>לפסק</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דינו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השופט</w:t>
      </w:r>
      <w:r w:rsidRPr="00E206AF">
        <w:rPr>
          <w:rFonts w:ascii="Century" w:hAnsi="Century" w:cs="FrankRuehl"/>
          <w:spacing w:val="10"/>
          <w:sz w:val="22"/>
          <w:szCs w:val="28"/>
          <w:rtl/>
        </w:rPr>
        <w:t xml:space="preserve"> </w:t>
      </w:r>
      <w:r w:rsidRPr="00E206AF">
        <w:rPr>
          <w:rFonts w:ascii="Century" w:hAnsi="Century" w:cs="Miriam" w:hint="eastAsia"/>
          <w:b/>
          <w:sz w:val="22"/>
          <w:rtl/>
        </w:rPr>
        <w:t>ברק</w:t>
      </w:r>
      <w:r w:rsidRPr="00E206AF">
        <w:rPr>
          <w:rFonts w:ascii="Century" w:hAnsi="Century" w:cs="FrankRuehl"/>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hint="cs"/>
          <w:spacing w:val="10"/>
          <w:sz w:val="22"/>
          <w:szCs w:val="28"/>
          <w:rtl/>
        </w:rPr>
        <w:t>7</w:t>
      </w:r>
      <w:r>
        <w:rPr>
          <w:rFonts w:ascii="Arial TUR" w:hAnsi="Arial TUR" w:cs="FrankRuehl" w:hint="cs"/>
          <w:spacing w:val="10"/>
          <w:sz w:val="22"/>
          <w:szCs w:val="28"/>
          <w:rtl/>
        </w:rPr>
        <w:t>8</w:t>
      </w:r>
      <w:r w:rsidRPr="00E206AF">
        <w:rPr>
          <w:rFonts w:ascii="Arial TUR" w:hAnsi="Arial TUR" w:cs="FrankRuehl" w:hint="cs"/>
          <w:spacing w:val="10"/>
          <w:sz w:val="22"/>
          <w:szCs w:val="28"/>
          <w:rtl/>
        </w:rPr>
        <w:t>.</w:t>
      </w:r>
      <w:r w:rsidRPr="00E206AF">
        <w:rPr>
          <w:rFonts w:ascii="Arial TUR" w:hAnsi="Arial TUR" w:cs="FrankRuehl"/>
          <w:spacing w:val="10"/>
          <w:sz w:val="22"/>
          <w:szCs w:val="28"/>
          <w:rtl/>
        </w:rPr>
        <w:tab/>
      </w:r>
      <w:r w:rsidRPr="00E206AF">
        <w:rPr>
          <w:rFonts w:ascii="Arial TUR" w:hAnsi="Arial TUR" w:cs="FrankRuehl" w:hint="cs"/>
          <w:spacing w:val="10"/>
          <w:sz w:val="22"/>
          <w:szCs w:val="28"/>
          <w:rtl/>
        </w:rPr>
        <w:t>התיקון אינו עומד בסתירה לעקרונות אלו, ו</w:t>
      </w:r>
      <w:r>
        <w:rPr>
          <w:rFonts w:ascii="Arial TUR" w:hAnsi="Arial TUR" w:cs="FrankRuehl" w:hint="cs"/>
          <w:spacing w:val="10"/>
          <w:sz w:val="22"/>
          <w:szCs w:val="28"/>
          <w:rtl/>
        </w:rPr>
        <w:t xml:space="preserve">אף </w:t>
      </w:r>
      <w:r w:rsidRPr="00E206AF">
        <w:rPr>
          <w:rFonts w:ascii="Arial TUR" w:hAnsi="Arial TUR" w:cs="FrankRuehl" w:hint="cs"/>
          <w:spacing w:val="10"/>
          <w:sz w:val="22"/>
          <w:szCs w:val="28"/>
          <w:rtl/>
        </w:rPr>
        <w:t>אינו מוביל למצב שבו לממשלה ולשרים קיים שיקול דעת מוחלט וחסין מפני ביקורת שיפוטית. רחוק מכך. ראשית, כאמור, התיקון בפרשנותו האמורה מותיר על כנה את עילת הסבירות המקורית (</w:t>
      </w:r>
      <w:r>
        <w:rPr>
          <w:rFonts w:ascii="Arial TUR" w:hAnsi="Arial TUR" w:cs="FrankRuehl" w:hint="cs"/>
          <w:spacing w:val="10"/>
          <w:sz w:val="22"/>
          <w:szCs w:val="28"/>
          <w:rtl/>
        </w:rPr>
        <w:t>ל</w:t>
      </w:r>
      <w:r w:rsidRPr="00E206AF">
        <w:rPr>
          <w:rFonts w:ascii="Arial TUR" w:hAnsi="Arial TUR" w:cs="FrankRuehl" w:hint="cs"/>
          <w:spacing w:val="10"/>
          <w:sz w:val="22"/>
          <w:szCs w:val="28"/>
          <w:rtl/>
        </w:rPr>
        <w:t>שימוש בעילה זו חלף עילת הסבירות האיזונית</w:t>
      </w:r>
      <w:r>
        <w:rPr>
          <w:rFonts w:ascii="Arial TUR" w:hAnsi="Arial TUR" w:cs="FrankRuehl" w:hint="cs"/>
          <w:spacing w:val="10"/>
          <w:sz w:val="22"/>
          <w:szCs w:val="28"/>
          <w:rtl/>
        </w:rPr>
        <w:t>, ראו, למשל</w:t>
      </w:r>
      <w:r w:rsidRPr="00E206AF">
        <w:rPr>
          <w:rFonts w:ascii="Arial TUR" w:hAnsi="Arial TUR" w:cs="FrankRuehl" w:hint="cs"/>
          <w:spacing w:val="10"/>
          <w:sz w:val="22"/>
          <w:szCs w:val="28"/>
          <w:rtl/>
        </w:rPr>
        <w:t xml:space="preserve">: </w:t>
      </w:r>
      <w:r w:rsidRPr="00E206AF" w:rsidDel="00176D47">
        <w:rPr>
          <w:rFonts w:ascii="Arial TUR" w:hAnsi="Arial TUR" w:cs="FrankRuehl" w:hint="cs"/>
          <w:spacing w:val="10"/>
          <w:sz w:val="22"/>
          <w:szCs w:val="28"/>
          <w:rtl/>
        </w:rPr>
        <w:t xml:space="preserve">עניין </w:t>
      </w:r>
      <w:r w:rsidRPr="00E206AF" w:rsidDel="00176D47">
        <w:rPr>
          <w:rFonts w:ascii="Arial TUR" w:hAnsi="Arial TUR" w:cs="Miriam" w:hint="cs"/>
          <w:b/>
          <w:sz w:val="22"/>
          <w:rtl/>
        </w:rPr>
        <w:t>פרס ישראל</w:t>
      </w:r>
      <w:r w:rsidRPr="00E206AF">
        <w:rPr>
          <w:rFonts w:ascii="Arial TUR" w:hAnsi="Arial TUR" w:cs="FrankRuehl" w:hint="cs"/>
          <w:spacing w:val="10"/>
          <w:sz w:val="22"/>
          <w:szCs w:val="28"/>
          <w:rtl/>
        </w:rPr>
        <w:t>, ב</w:t>
      </w:r>
      <w:r w:rsidRPr="00E206AF" w:rsidDel="00176D47">
        <w:rPr>
          <w:rFonts w:ascii="Arial TUR" w:hAnsi="Arial TUR" w:cs="FrankRuehl" w:hint="cs"/>
          <w:spacing w:val="10"/>
          <w:sz w:val="22"/>
          <w:szCs w:val="28"/>
          <w:rtl/>
        </w:rPr>
        <w:t>פס' 52 ל</w:t>
      </w:r>
      <w:r w:rsidRPr="00E206AF">
        <w:rPr>
          <w:rFonts w:ascii="Arial TUR" w:hAnsi="Arial TUR" w:cs="FrankRuehl" w:hint="cs"/>
          <w:spacing w:val="10"/>
          <w:sz w:val="22"/>
          <w:szCs w:val="28"/>
          <w:rtl/>
        </w:rPr>
        <w:t xml:space="preserve">פסק דיני). שנית, קיימות עילות ביקורת שיפוטית נוספות אשר נוגעות למישור שיקול דעתן של רשויות המינהל, כפי שמציינת </w:t>
      </w:r>
      <w:r>
        <w:rPr>
          <w:rFonts w:ascii="Arial TUR" w:hAnsi="Arial TUR" w:cs="FrankRuehl" w:hint="cs"/>
          <w:spacing w:val="10"/>
          <w:sz w:val="22"/>
          <w:szCs w:val="28"/>
          <w:rtl/>
        </w:rPr>
        <w:t>בעמדה</w:t>
      </w:r>
      <w:r w:rsidRPr="00E206AF">
        <w:rPr>
          <w:rFonts w:ascii="Arial TUR" w:hAnsi="Arial TUR" w:cs="FrankRuehl" w:hint="cs"/>
          <w:spacing w:val="10"/>
          <w:sz w:val="22"/>
          <w:szCs w:val="28"/>
          <w:rtl/>
        </w:rPr>
        <w:t xml:space="preserve"> היועצת </w:t>
      </w:r>
      <w:r>
        <w:rPr>
          <w:rFonts w:ascii="Arial TUR" w:hAnsi="Arial TUR" w:cs="FrankRuehl" w:hint="cs"/>
          <w:spacing w:val="10"/>
          <w:sz w:val="22"/>
          <w:szCs w:val="28"/>
          <w:rtl/>
        </w:rPr>
        <w:t xml:space="preserve">המשפטית לממשלה </w:t>
      </w:r>
      <w:r w:rsidRPr="00E206AF">
        <w:rPr>
          <w:rFonts w:ascii="Arial TUR" w:hAnsi="Arial TUR" w:cs="FrankRuehl" w:hint="cs"/>
          <w:spacing w:val="10"/>
          <w:sz w:val="22"/>
          <w:szCs w:val="28"/>
          <w:rtl/>
        </w:rPr>
        <w:t>עצמה: "במישור שיקול הדעת, מחויבות רשויות המינהל לקבל החלטותיהן בתום לב, בשוויון ובמידתיות, על יסוד מכלול השיקולים הרלוונטיים לעניין, ותוך הימנעות משקילת שיקולים זרים" (שם, בפס' 36).</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spacing w:val="10"/>
          <w:sz w:val="22"/>
          <w:szCs w:val="28"/>
          <w:rtl/>
        </w:rPr>
        <w:tab/>
      </w:r>
      <w:r w:rsidRPr="00E206AF">
        <w:rPr>
          <w:rFonts w:ascii="Arial TUR" w:hAnsi="Arial TUR" w:cs="FrankRuehl" w:hint="cs"/>
          <w:spacing w:val="10"/>
          <w:sz w:val="22"/>
          <w:szCs w:val="28"/>
          <w:rtl/>
        </w:rPr>
        <w:t xml:space="preserve">בעניין זה ראוי לציין, כי בכל הנוגע להפעלת ביקורת שיפוטית על החלטות שלטוניות אשר מובילות לפגיעה בזכויות הפרט, עילת המידתיות מיועדת </w:t>
      </w:r>
      <w:r>
        <w:rPr>
          <w:rFonts w:ascii="Arial TUR" w:hAnsi="Arial TUR" w:cs="FrankRuehl" w:hint="cs"/>
          <w:spacing w:val="10"/>
          <w:sz w:val="22"/>
          <w:szCs w:val="28"/>
          <w:rtl/>
        </w:rPr>
        <w:t xml:space="preserve">במיוחד </w:t>
      </w:r>
      <w:r w:rsidRPr="00E206AF">
        <w:rPr>
          <w:rFonts w:ascii="Arial TUR" w:hAnsi="Arial TUR" w:cs="FrankRuehl" w:hint="cs"/>
          <w:spacing w:val="10"/>
          <w:sz w:val="22"/>
          <w:szCs w:val="28"/>
          <w:rtl/>
        </w:rPr>
        <w:t>למצבים כאלה</w:t>
      </w:r>
      <w:r>
        <w:rPr>
          <w:rFonts w:ascii="Arial TUR" w:hAnsi="Arial TUR" w:cs="FrankRuehl" w:hint="cs"/>
          <w:spacing w:val="10"/>
          <w:sz w:val="22"/>
          <w:szCs w:val="28"/>
          <w:rtl/>
        </w:rPr>
        <w:t>,</w:t>
      </w:r>
      <w:r w:rsidRPr="00E206AF">
        <w:rPr>
          <w:rFonts w:ascii="Arial TUR" w:hAnsi="Arial TUR" w:cs="FrankRuehl" w:hint="cs"/>
          <w:spacing w:val="10"/>
          <w:sz w:val="22"/>
          <w:szCs w:val="28"/>
          <w:rtl/>
        </w:rPr>
        <w:t xml:space="preserve"> ומתאימה להם יותר מאשר עילת הסבירות האיזונית. ראו בעניין זה, למשל, את דברי השופט </w:t>
      </w:r>
      <w:r w:rsidRPr="00E206AF">
        <w:rPr>
          <w:rFonts w:ascii="Century" w:hAnsi="Century" w:cs="Miriam" w:hint="cs"/>
          <w:b/>
          <w:sz w:val="22"/>
          <w:rtl/>
        </w:rPr>
        <w:t>חשין</w:t>
      </w:r>
      <w:r w:rsidRPr="00E206AF">
        <w:rPr>
          <w:rFonts w:ascii="Century" w:hAnsi="Century" w:cs="FrankRuehl" w:hint="cs"/>
          <w:spacing w:val="10"/>
          <w:sz w:val="22"/>
          <w:szCs w:val="28"/>
          <w:rtl/>
        </w:rPr>
        <w:t>, שלפיהם</w:t>
      </w:r>
      <w:r w:rsidRPr="00E206AF">
        <w:rPr>
          <w:rFonts w:ascii="Arial TUR" w:hAnsi="Arial TUR" w:cs="FrankRuehl"/>
          <w:spacing w:val="10"/>
          <w:sz w:val="22"/>
          <w:szCs w:val="28"/>
          <w:rtl/>
        </w:rPr>
        <w:t xml:space="preserve"> </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מציגה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עילת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המידתיות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לפנינו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כלי</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ניתוח</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חד</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וחריף</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מעילת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הסבירות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הכללית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כך</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ניתן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בידנו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מכשיר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משוכלל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יותר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לבחינה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רציונלית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מעשי</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המינהל</w:t>
      </w:r>
      <w:r w:rsidRPr="00E206AF">
        <w:rPr>
          <w:rFonts w:ascii="Century" w:hAnsi="Century" w:cs="FrankRuehl"/>
          <w:spacing w:val="10"/>
          <w:sz w:val="22"/>
          <w:szCs w:val="28"/>
          <w:rtl/>
        </w:rPr>
        <w:t>" (</w:t>
      </w:r>
      <w:r w:rsidRPr="00E206AF">
        <w:rPr>
          <w:rFonts w:ascii="Century" w:hAnsi="Century" w:cs="FrankRuehl" w:hint="eastAsia"/>
          <w:spacing w:val="10"/>
          <w:sz w:val="22"/>
          <w:szCs w:val="28"/>
          <w:rtl/>
        </w:rPr>
        <w:t>ראו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עניין</w:t>
      </w:r>
      <w:r w:rsidRPr="00E206AF">
        <w:rPr>
          <w:rFonts w:ascii="Century" w:hAnsi="Century" w:cs="FrankRuehl"/>
          <w:spacing w:val="10"/>
          <w:sz w:val="22"/>
          <w:szCs w:val="28"/>
          <w:rtl/>
        </w:rPr>
        <w:t xml:space="preserve"> </w:t>
      </w:r>
      <w:r w:rsidRPr="00E206AF">
        <w:rPr>
          <w:rFonts w:ascii="Century" w:hAnsi="Century" w:cs="Miriam" w:hint="eastAsia"/>
          <w:b/>
          <w:sz w:val="22"/>
          <w:rtl/>
        </w:rPr>
        <w:t>סטמקה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בפס</w:t>
      </w:r>
      <w:r w:rsidRPr="00E206AF">
        <w:rPr>
          <w:rFonts w:ascii="Century" w:hAnsi="Century" w:cs="FrankRuehl"/>
          <w:spacing w:val="10"/>
          <w:sz w:val="22"/>
          <w:szCs w:val="28"/>
          <w:rtl/>
        </w:rPr>
        <w:t>' 51‏‏</w:t>
      </w:r>
      <w:r w:rsidRPr="00E206AF">
        <w:rPr>
          <w:rFonts w:ascii="Century" w:hAnsi="Century" w:cs="FrankRuehl" w:hint="cs"/>
          <w:spacing w:val="10"/>
          <w:sz w:val="22"/>
          <w:szCs w:val="28"/>
          <w:rtl/>
        </w:rPr>
        <w:t>;</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עוד</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יתרונותיהן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עילות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הביקורת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האחרות</w:t>
      </w:r>
      <w:r>
        <w:rPr>
          <w:rFonts w:ascii="Century" w:hAnsi="Century" w:cs="FrankRuehl" w:hint="cs"/>
          <w:spacing w:val="10"/>
          <w:sz w:val="22"/>
          <w:szCs w:val="28"/>
          <w:rtl/>
        </w:rPr>
        <w:t xml:space="preserve"> ביחס לעילת הסבירות האיזונית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ראו</w:t>
      </w:r>
      <w:r>
        <w:rPr>
          <w:rFonts w:ascii="Century" w:hAnsi="Century" w:cs="FrankRuehl" w:hint="cs"/>
          <w:spacing w:val="10"/>
          <w:sz w:val="22"/>
          <w:szCs w:val="28"/>
          <w:rtl/>
        </w:rPr>
        <w:t>, למשל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עניין</w:t>
      </w:r>
      <w:r w:rsidRPr="00E206AF">
        <w:rPr>
          <w:rFonts w:ascii="Century" w:hAnsi="Century" w:cs="FrankRuehl"/>
          <w:spacing w:val="10"/>
          <w:sz w:val="22"/>
          <w:szCs w:val="28"/>
          <w:rtl/>
        </w:rPr>
        <w:t xml:space="preserve"> </w:t>
      </w:r>
      <w:r w:rsidRPr="00E206AF">
        <w:rPr>
          <w:rFonts w:ascii="Century" w:hAnsi="Century" w:cs="Miriam" w:hint="eastAsia"/>
          <w:b/>
          <w:sz w:val="22"/>
          <w:rtl/>
        </w:rPr>
        <w:t>אמונה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בפס</w:t>
      </w:r>
      <w:r w:rsidRPr="00E206AF">
        <w:rPr>
          <w:rFonts w:ascii="Century" w:hAnsi="Century" w:cs="FrankRuehl"/>
          <w:spacing w:val="10"/>
          <w:sz w:val="22"/>
          <w:szCs w:val="28"/>
          <w:rtl/>
        </w:rPr>
        <w:t xml:space="preserve">' 11 </w:t>
      </w:r>
      <w:r w:rsidRPr="00E206AF">
        <w:rPr>
          <w:rFonts w:ascii="Century" w:hAnsi="Century" w:cs="FrankRuehl" w:hint="eastAsia"/>
          <w:spacing w:val="10"/>
          <w:sz w:val="22"/>
          <w:szCs w:val="28"/>
          <w:rtl/>
        </w:rPr>
        <w:t>לפסק</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דינו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השופט</w:t>
      </w:r>
      <w:r w:rsidRPr="00E206AF">
        <w:rPr>
          <w:rFonts w:ascii="Century" w:hAnsi="Century" w:cs="FrankRuehl"/>
          <w:spacing w:val="10"/>
          <w:sz w:val="22"/>
          <w:szCs w:val="28"/>
          <w:rtl/>
        </w:rPr>
        <w:t xml:space="preserve"> </w:t>
      </w:r>
      <w:r w:rsidRPr="00E206AF">
        <w:rPr>
          <w:rFonts w:ascii="Century" w:hAnsi="Century" w:cs="Miriam" w:hint="eastAsia"/>
          <w:b/>
          <w:sz w:val="22"/>
          <w:rtl/>
        </w:rPr>
        <w:t>גרוניס</w:t>
      </w:r>
      <w:r w:rsidRPr="00E206AF">
        <w:rPr>
          <w:rFonts w:ascii="Century" w:hAnsi="Century" w:cs="FrankRuehl"/>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אמנם, נטען </w:t>
      </w:r>
      <w:r>
        <w:rPr>
          <w:rFonts w:ascii="Century" w:hAnsi="Century" w:cs="FrankRuehl" w:hint="cs"/>
          <w:spacing w:val="10"/>
          <w:sz w:val="22"/>
          <w:szCs w:val="28"/>
          <w:rtl/>
        </w:rPr>
        <w:t xml:space="preserve">לפנינו </w:t>
      </w:r>
      <w:r w:rsidRPr="00E206AF">
        <w:rPr>
          <w:rFonts w:ascii="Century" w:hAnsi="Century" w:cs="FrankRuehl" w:hint="cs"/>
          <w:spacing w:val="10"/>
          <w:sz w:val="22"/>
          <w:szCs w:val="28"/>
          <w:rtl/>
        </w:rPr>
        <w:t xml:space="preserve">כי עלולים להתעורר קשיים ראייתיים ביישומן של עילות </w:t>
      </w:r>
      <w:r>
        <w:rPr>
          <w:rFonts w:ascii="Century" w:hAnsi="Century" w:cs="FrankRuehl" w:hint="cs"/>
          <w:spacing w:val="10"/>
          <w:sz w:val="22"/>
          <w:szCs w:val="28"/>
          <w:rtl/>
        </w:rPr>
        <w:t xml:space="preserve">ביקורת </w:t>
      </w:r>
      <w:r w:rsidRPr="00E206AF">
        <w:rPr>
          <w:rFonts w:ascii="Century" w:hAnsi="Century" w:cs="FrankRuehl" w:hint="cs"/>
          <w:spacing w:val="10"/>
          <w:sz w:val="22"/>
          <w:szCs w:val="28"/>
          <w:rtl/>
        </w:rPr>
        <w:t>אחרות</w:t>
      </w:r>
      <w:r>
        <w:rPr>
          <w:rFonts w:ascii="Century" w:hAnsi="Century" w:cs="FrankRuehl" w:hint="cs"/>
          <w:spacing w:val="10"/>
          <w:sz w:val="22"/>
          <w:szCs w:val="28"/>
          <w:rtl/>
        </w:rPr>
        <w:t xml:space="preserve"> </w:t>
      </w:r>
      <w:r>
        <w:rPr>
          <w:rFonts w:ascii="Century" w:hAnsi="Century" w:cs="FrankRuehl"/>
          <w:spacing w:val="10"/>
          <w:sz w:val="22"/>
          <w:szCs w:val="28"/>
          <w:rtl/>
        </w:rPr>
        <w:t>–</w:t>
      </w:r>
      <w:r w:rsidRPr="00E206AF">
        <w:rPr>
          <w:rFonts w:ascii="Century" w:hAnsi="Century" w:cs="FrankRuehl" w:hint="cs"/>
          <w:spacing w:val="10"/>
          <w:sz w:val="22"/>
          <w:szCs w:val="28"/>
          <w:rtl/>
        </w:rPr>
        <w:t xml:space="preserve"> ובראשן עילת השיקולים הזרים</w:t>
      </w:r>
      <w:r>
        <w:rPr>
          <w:rFonts w:ascii="Century" w:hAnsi="Century" w:cs="FrankRuehl" w:hint="cs"/>
          <w:spacing w:val="10"/>
          <w:sz w:val="22"/>
          <w:szCs w:val="28"/>
          <w:rtl/>
        </w:rPr>
        <w:t xml:space="preserve"> </w:t>
      </w:r>
      <w:r>
        <w:rPr>
          <w:rFonts w:ascii="Century" w:hAnsi="Century" w:cs="FrankRuehl"/>
          <w:spacing w:val="10"/>
          <w:sz w:val="22"/>
          <w:szCs w:val="28"/>
          <w:rtl/>
        </w:rPr>
        <w:t>–</w:t>
      </w:r>
      <w:r w:rsidRPr="00E206AF">
        <w:rPr>
          <w:rFonts w:ascii="Century" w:hAnsi="Century" w:cs="FrankRuehl" w:hint="cs"/>
          <w:spacing w:val="10"/>
          <w:sz w:val="22"/>
          <w:szCs w:val="28"/>
          <w:rtl/>
        </w:rPr>
        <w:t xml:space="preserve"> קשיים שאינם מנת חלקה של עילת הסבירות האיזונית. </w:t>
      </w:r>
      <w:r>
        <w:rPr>
          <w:rFonts w:ascii="Century" w:hAnsi="Century" w:cs="FrankRuehl" w:hint="cs"/>
          <w:spacing w:val="10"/>
          <w:sz w:val="22"/>
          <w:szCs w:val="28"/>
          <w:rtl/>
        </w:rPr>
        <w:t>ו</w:t>
      </w:r>
      <w:r w:rsidRPr="00E206AF">
        <w:rPr>
          <w:rFonts w:ascii="Century" w:hAnsi="Century" w:cs="FrankRuehl" w:hint="cs"/>
          <w:spacing w:val="10"/>
          <w:sz w:val="22"/>
          <w:szCs w:val="28"/>
          <w:rtl/>
        </w:rPr>
        <w:t xml:space="preserve">אכן, כפי שמציין </w:t>
      </w:r>
      <w:r w:rsidRPr="00E206AF">
        <w:rPr>
          <w:rFonts w:ascii="Century" w:hAnsi="Century" w:cs="Miriam" w:hint="cs"/>
          <w:b/>
          <w:sz w:val="22"/>
          <w:rtl/>
        </w:rPr>
        <w:t xml:space="preserve">זמיר </w:t>
      </w:r>
      <w:r w:rsidRPr="00E206AF">
        <w:rPr>
          <w:rFonts w:ascii="Century" w:hAnsi="Century" w:cs="FrankRuehl" w:hint="cs"/>
          <w:spacing w:val="10"/>
          <w:sz w:val="22"/>
          <w:szCs w:val="28"/>
          <w:rtl/>
        </w:rPr>
        <w:t xml:space="preserve">בספרו, פסילת החלטה שלטונית מכוח עילת הסבירות האיזונית היא </w:t>
      </w:r>
      <w:r w:rsidRPr="00E206AF">
        <w:rPr>
          <w:rFonts w:ascii="Arial TUR" w:hAnsi="Arial TUR" w:cs="FrankRuehl" w:hint="cs"/>
          <w:spacing w:val="10"/>
          <w:sz w:val="22"/>
          <w:szCs w:val="28"/>
          <w:rtl/>
        </w:rPr>
        <w:t>"דרך קלה לבית המשפט" (</w:t>
      </w:r>
      <w:r w:rsidRPr="00E206AF">
        <w:rPr>
          <w:rFonts w:ascii="Arial TUR" w:hAnsi="Arial TUR" w:cs="Miriam" w:hint="cs"/>
          <w:b/>
          <w:sz w:val="22"/>
          <w:rtl/>
        </w:rPr>
        <w:t>זמיר, הסמכות המינהלית</w:t>
      </w:r>
      <w:r w:rsidRPr="00E206AF">
        <w:rPr>
          <w:rFonts w:ascii="Arial TUR" w:hAnsi="Arial TUR" w:cs="FrankRuehl" w:hint="cs"/>
          <w:spacing w:val="10"/>
          <w:sz w:val="22"/>
          <w:szCs w:val="28"/>
          <w:rtl/>
        </w:rPr>
        <w:t>, עמ' 3596)</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ואולם</w:t>
      </w:r>
      <w:r w:rsidRPr="00E206AF">
        <w:rPr>
          <w:rFonts w:ascii="Century" w:hAnsi="Century" w:cs="FrankRuehl" w:hint="cs"/>
          <w:spacing w:val="10"/>
          <w:sz w:val="22"/>
          <w:szCs w:val="28"/>
          <w:rtl/>
        </w:rPr>
        <w:t xml:space="preserve">, בכוחו של בית המשפט </w:t>
      </w:r>
      <w:r w:rsidRPr="00E206AF">
        <w:rPr>
          <w:rFonts w:ascii="Century" w:hAnsi="Century" w:cs="FrankRuehl" w:hint="eastAsia"/>
          <w:spacing w:val="10"/>
          <w:sz w:val="22"/>
          <w:szCs w:val="28"/>
          <w:rtl/>
        </w:rPr>
        <w:t>לפתח</w:t>
      </w:r>
      <w:r w:rsidRPr="00E206AF">
        <w:rPr>
          <w:rFonts w:ascii="Century" w:hAnsi="Century" w:cs="FrankRuehl" w:hint="cs"/>
          <w:spacing w:val="10"/>
          <w:sz w:val="22"/>
          <w:szCs w:val="28"/>
          <w:rtl/>
        </w:rPr>
        <w:t xml:space="preserve"> את עילות הביקורת האחרות, ובתוך כך</w:t>
      </w:r>
      <w:r w:rsidRPr="00E206AF">
        <w:rPr>
          <w:rFonts w:ascii="Arial TUR" w:hAnsi="Arial TUR" w:cs="FrankRuehl" w:hint="cs"/>
          <w:spacing w:val="10"/>
          <w:sz w:val="22"/>
          <w:szCs w:val="28"/>
          <w:rtl/>
        </w:rPr>
        <w:t xml:space="preserve"> לייצר כלים להתמודדות עם עמימות ראייתית, דוגמת העברת הנטל הראייתי (וראו לעניין זה: </w:t>
      </w:r>
      <w:r w:rsidRPr="00E206AF">
        <w:rPr>
          <w:rFonts w:ascii="Arial TUR" w:hAnsi="Arial TUR" w:cs="FrankRuehl" w:hint="eastAsia"/>
          <w:spacing w:val="10"/>
          <w:sz w:val="22"/>
          <w:szCs w:val="28"/>
          <w:rtl/>
        </w:rPr>
        <w:t>בג</w:t>
      </w:r>
      <w:r w:rsidRPr="00E206AF">
        <w:rPr>
          <w:rFonts w:ascii="Arial TUR" w:hAnsi="Arial TUR" w:cs="FrankRuehl"/>
          <w:spacing w:val="10"/>
          <w:sz w:val="22"/>
          <w:szCs w:val="28"/>
          <w:rtl/>
        </w:rPr>
        <w:t>"</w:t>
      </w:r>
      <w:r w:rsidRPr="00E206AF">
        <w:rPr>
          <w:rFonts w:ascii="Arial TUR" w:hAnsi="Arial TUR" w:cs="FrankRuehl" w:hint="eastAsia"/>
          <w:spacing w:val="10"/>
          <w:sz w:val="22"/>
          <w:szCs w:val="28"/>
          <w:rtl/>
        </w:rPr>
        <w:t>ץ</w:t>
      </w:r>
      <w:r w:rsidRPr="00E206AF">
        <w:rPr>
          <w:rFonts w:ascii="Arial TUR" w:hAnsi="Arial TUR" w:cs="FrankRuehl"/>
          <w:spacing w:val="10"/>
          <w:sz w:val="22"/>
          <w:szCs w:val="28"/>
          <w:rtl/>
        </w:rPr>
        <w:t xml:space="preserve"> </w:t>
      </w:r>
      <w:r w:rsidRPr="00E206AF">
        <w:rPr>
          <w:rFonts w:ascii="Arial TUR" w:hAnsi="Arial TUR" w:cs="FrankRuehl"/>
          <w:spacing w:val="10"/>
          <w:sz w:val="22"/>
          <w:szCs w:val="28"/>
          <w:rtl/>
        </w:rPr>
        <w:lastRenderedPageBreak/>
        <w:t xml:space="preserve">6840/01 </w:t>
      </w:r>
      <w:r w:rsidRPr="00E206AF">
        <w:rPr>
          <w:rFonts w:ascii="Century" w:hAnsi="Century" w:cs="Miriam" w:hint="eastAsia"/>
          <w:b/>
          <w:sz w:val="22"/>
          <w:rtl/>
        </w:rPr>
        <w:t>פלצמן</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ראש</w:t>
      </w:r>
      <w:r w:rsidRPr="00E206AF">
        <w:rPr>
          <w:rFonts w:ascii="Century" w:hAnsi="Century" w:cs="Miriam"/>
          <w:b/>
          <w:sz w:val="22"/>
          <w:rtl/>
        </w:rPr>
        <w:t xml:space="preserve"> </w:t>
      </w:r>
      <w:r w:rsidRPr="00E206AF">
        <w:rPr>
          <w:rFonts w:ascii="Century" w:hAnsi="Century" w:cs="Miriam" w:hint="eastAsia"/>
          <w:b/>
          <w:sz w:val="22"/>
          <w:rtl/>
        </w:rPr>
        <w:t>המטה</w:t>
      </w:r>
      <w:r w:rsidRPr="00E206AF">
        <w:rPr>
          <w:rFonts w:ascii="Century" w:hAnsi="Century" w:cs="Miriam"/>
          <w:b/>
          <w:sz w:val="22"/>
          <w:rtl/>
        </w:rPr>
        <w:t xml:space="preserve"> </w:t>
      </w:r>
      <w:r w:rsidRPr="00E206AF">
        <w:rPr>
          <w:rFonts w:ascii="Century" w:hAnsi="Century" w:cs="Miriam" w:hint="eastAsia"/>
          <w:b/>
          <w:sz w:val="22"/>
          <w:rtl/>
        </w:rPr>
        <w:t>הכללי</w:t>
      </w:r>
      <w:r w:rsidRPr="00E206AF">
        <w:rPr>
          <w:rFonts w:ascii="Century" w:hAnsi="Century" w:cs="Miriam"/>
          <w:b/>
          <w:sz w:val="22"/>
          <w:rtl/>
        </w:rPr>
        <w:t xml:space="preserve"> </w:t>
      </w:r>
      <w:r w:rsidRPr="00E206AF">
        <w:rPr>
          <w:rFonts w:ascii="Arial TUR" w:hAnsi="Arial TUR" w:cs="FrankRuehl" w:hint="cs"/>
          <w:spacing w:val="10"/>
          <w:sz w:val="22"/>
          <w:szCs w:val="28"/>
          <w:rtl/>
        </w:rPr>
        <w:t xml:space="preserve">פ"ד </w:t>
      </w:r>
      <w:r w:rsidRPr="00E206AF">
        <w:rPr>
          <w:rFonts w:ascii="Arial TUR" w:hAnsi="Arial TUR" w:cs="FrankRuehl" w:hint="eastAsia"/>
          <w:spacing w:val="10"/>
          <w:sz w:val="22"/>
          <w:szCs w:val="28"/>
          <w:rtl/>
        </w:rPr>
        <w:t>ס</w:t>
      </w:r>
      <w:r w:rsidRPr="00E206AF">
        <w:rPr>
          <w:rFonts w:ascii="Arial TUR" w:hAnsi="Arial TUR" w:cs="FrankRuehl"/>
          <w:spacing w:val="10"/>
          <w:sz w:val="22"/>
          <w:szCs w:val="28"/>
          <w:rtl/>
        </w:rPr>
        <w:t>(3) 121</w:t>
      </w:r>
      <w:r w:rsidRPr="00E206AF">
        <w:rPr>
          <w:rFonts w:ascii="Arial TUR" w:hAnsi="Arial TUR" w:cs="FrankRuehl" w:hint="cs"/>
          <w:spacing w:val="10"/>
          <w:sz w:val="22"/>
          <w:szCs w:val="28"/>
          <w:rtl/>
        </w:rPr>
        <w:t>, 139-137</w:t>
      </w:r>
      <w:r w:rsidRPr="00E206AF">
        <w:rPr>
          <w:rFonts w:ascii="Arial TUR" w:hAnsi="Arial TUR" w:cs="FrankRuehl"/>
          <w:spacing w:val="10"/>
          <w:sz w:val="22"/>
          <w:szCs w:val="28"/>
          <w:rtl/>
        </w:rPr>
        <w:t xml:space="preserve"> (2005)</w:t>
      </w:r>
      <w:r w:rsidRPr="00E206AF">
        <w:rPr>
          <w:rFonts w:ascii="Arial TUR" w:hAnsi="Arial TUR" w:cs="FrankRuehl" w:hint="cs"/>
          <w:spacing w:val="10"/>
          <w:sz w:val="22"/>
          <w:szCs w:val="28"/>
          <w:rtl/>
        </w:rPr>
        <w:t xml:space="preserve">). ודוקו: מדיוני הוועדה עולה, בבירור ובמפורש, כי התיקון אינו </w:t>
      </w:r>
      <w:r>
        <w:rPr>
          <w:rFonts w:ascii="Arial TUR" w:hAnsi="Arial TUR" w:cs="FrankRuehl" w:hint="cs"/>
          <w:spacing w:val="10"/>
          <w:sz w:val="22"/>
          <w:szCs w:val="28"/>
          <w:rtl/>
        </w:rPr>
        <w:t xml:space="preserve">נוגע, ואינו </w:t>
      </w:r>
      <w:r w:rsidRPr="00E206AF">
        <w:rPr>
          <w:rFonts w:ascii="Arial TUR" w:hAnsi="Arial TUR" w:cs="FrankRuehl" w:hint="cs"/>
          <w:spacing w:val="10"/>
          <w:sz w:val="22"/>
          <w:szCs w:val="28"/>
          <w:rtl/>
        </w:rPr>
        <w:t>מבקש ל</w:t>
      </w:r>
      <w:r>
        <w:rPr>
          <w:rFonts w:ascii="Arial TUR" w:hAnsi="Arial TUR" w:cs="FrankRuehl" w:hint="cs"/>
          <w:spacing w:val="10"/>
          <w:sz w:val="22"/>
          <w:szCs w:val="28"/>
          <w:rtl/>
        </w:rPr>
        <w:t>געת</w:t>
      </w:r>
      <w:r w:rsidRPr="00E206AF">
        <w:rPr>
          <w:rFonts w:ascii="Arial TUR" w:hAnsi="Arial TUR" w:cs="FrankRuehl" w:hint="cs"/>
          <w:spacing w:val="10"/>
          <w:sz w:val="22"/>
          <w:szCs w:val="28"/>
          <w:rtl/>
        </w:rPr>
        <w:t xml:space="preserve"> </w:t>
      </w:r>
      <w:r>
        <w:rPr>
          <w:rFonts w:ascii="Arial TUR" w:hAnsi="Arial TUR" w:cs="FrankRuehl" w:hint="cs"/>
          <w:spacing w:val="10"/>
          <w:sz w:val="22"/>
          <w:szCs w:val="28"/>
          <w:rtl/>
        </w:rPr>
        <w:t>ב</w:t>
      </w:r>
      <w:r w:rsidRPr="00E206AF">
        <w:rPr>
          <w:rFonts w:ascii="Arial TUR" w:hAnsi="Arial TUR" w:cs="FrankRuehl" w:hint="cs"/>
          <w:spacing w:val="10"/>
          <w:sz w:val="22"/>
          <w:szCs w:val="28"/>
          <w:rtl/>
        </w:rPr>
        <w:t xml:space="preserve">שימוש בעילות ביקורת שיפוטית אחרות </w:t>
      </w:r>
      <w:r>
        <w:rPr>
          <w:rFonts w:ascii="Arial TUR" w:hAnsi="Arial TUR" w:cs="FrankRuehl" w:hint="cs"/>
          <w:spacing w:val="10"/>
          <w:sz w:val="22"/>
          <w:szCs w:val="28"/>
          <w:rtl/>
        </w:rPr>
        <w:t>שעניינן מישור</w:t>
      </w:r>
      <w:r w:rsidRPr="00E206AF">
        <w:rPr>
          <w:rFonts w:ascii="Arial TUR" w:hAnsi="Arial TUR" w:cs="FrankRuehl" w:hint="cs"/>
          <w:spacing w:val="10"/>
          <w:sz w:val="22"/>
          <w:szCs w:val="28"/>
          <w:rtl/>
        </w:rPr>
        <w:t xml:space="preserve"> שיקול </w:t>
      </w:r>
      <w:r>
        <w:rPr>
          <w:rFonts w:ascii="Arial TUR" w:hAnsi="Arial TUR" w:cs="FrankRuehl" w:hint="cs"/>
          <w:spacing w:val="10"/>
          <w:sz w:val="22"/>
          <w:szCs w:val="28"/>
          <w:rtl/>
        </w:rPr>
        <w:t>הדעת</w:t>
      </w:r>
      <w:r w:rsidRPr="00E206AF">
        <w:rPr>
          <w:rFonts w:ascii="Arial TUR" w:hAnsi="Arial TUR" w:cs="FrankRuehl" w:hint="cs"/>
          <w:spacing w:val="10"/>
          <w:sz w:val="22"/>
          <w:szCs w:val="28"/>
          <w:rtl/>
        </w:rPr>
        <w:t xml:space="preserve"> של הממשלה והשרים (להרחבה ראו: פס' 18 להשלמת הטיעון מטעם הכנסת מיום 9.11.2023).</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7</w:t>
      </w:r>
      <w:r>
        <w:rPr>
          <w:rFonts w:ascii="Century" w:hAnsi="Century" w:cs="FrankRuehl" w:hint="cs"/>
          <w:spacing w:val="10"/>
          <w:sz w:val="22"/>
          <w:szCs w:val="28"/>
          <w:rtl/>
        </w:rPr>
        <w:t>9</w:t>
      </w:r>
      <w:r w:rsidRPr="00E206AF">
        <w:rPr>
          <w:rFonts w:ascii="Century" w:hAnsi="Century" w:cs="FrankRuehl" w:hint="cs"/>
          <w:spacing w:val="10"/>
          <w:sz w:val="22"/>
          <w:szCs w:val="28"/>
          <w:rtl/>
        </w:rPr>
        <w:t>.</w:t>
      </w:r>
      <w:r w:rsidRPr="00E206AF">
        <w:rPr>
          <w:rFonts w:ascii="Century" w:hAnsi="Century" w:cs="FrankRuehl" w:hint="cs"/>
          <w:spacing w:val="10"/>
          <w:sz w:val="22"/>
          <w:szCs w:val="28"/>
          <w:rtl/>
        </w:rPr>
        <w:tab/>
        <w:t xml:space="preserve">העותרים והיועצת המשפטית לממשלה מוסיפים, כי התיקון עלול ליצור "חורים שחורים נורמטיביים" בנושאים שונים, </w:t>
      </w:r>
      <w:r>
        <w:rPr>
          <w:rFonts w:ascii="Century" w:hAnsi="Century" w:cs="FrankRuehl" w:hint="cs"/>
          <w:spacing w:val="10"/>
          <w:sz w:val="22"/>
          <w:szCs w:val="28"/>
          <w:rtl/>
        </w:rPr>
        <w:t>שכבר</w:t>
      </w:r>
      <w:r w:rsidRPr="00E206AF">
        <w:rPr>
          <w:rFonts w:ascii="Century" w:hAnsi="Century" w:cs="FrankRuehl" w:hint="cs"/>
          <w:spacing w:val="10"/>
          <w:sz w:val="22"/>
          <w:szCs w:val="28"/>
          <w:rtl/>
        </w:rPr>
        <w:t xml:space="preserve"> לא ניתן יהיה להעבירם תחת שבט ביקורתו של בית המשפט.</w:t>
      </w:r>
      <w:r w:rsidRPr="00E206AF">
        <w:rPr>
          <w:rFonts w:ascii="Arial TUR" w:hAnsi="Arial TUR"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ואולם, כמבואר לעיל, אין אף החלטה, באף </w:t>
      </w:r>
      <w:r w:rsidRPr="00E206AF">
        <w:rPr>
          <w:rFonts w:ascii="Century" w:hAnsi="Century" w:cs="Miriam" w:hint="cs"/>
          <w:b/>
          <w:sz w:val="22"/>
          <w:rtl/>
        </w:rPr>
        <w:t>סוגיה</w:t>
      </w:r>
      <w:r w:rsidRPr="00E206AF">
        <w:rPr>
          <w:rFonts w:ascii="Century" w:hAnsi="Century" w:cs="FrankRuehl" w:hint="cs"/>
          <w:spacing w:val="10"/>
          <w:sz w:val="22"/>
          <w:szCs w:val="28"/>
          <w:rtl/>
        </w:rPr>
        <w:t>, שהתיקון מונע דיון שיפוטי בעניינ</w:t>
      </w:r>
      <w:r>
        <w:rPr>
          <w:rFonts w:ascii="Century" w:hAnsi="Century" w:cs="FrankRuehl" w:hint="cs"/>
          <w:spacing w:val="10"/>
          <w:sz w:val="22"/>
          <w:szCs w:val="28"/>
          <w:rtl/>
        </w:rPr>
        <w:t>ה</w:t>
      </w:r>
      <w:r w:rsidRPr="00E206AF">
        <w:rPr>
          <w:rFonts w:ascii="Century" w:hAnsi="Century" w:cs="FrankRuehl" w:hint="cs"/>
          <w:spacing w:val="10"/>
          <w:sz w:val="22"/>
          <w:szCs w:val="28"/>
          <w:rtl/>
        </w:rPr>
        <w:t>; התיקון מונע אך דיון שיפוטי ביחס ל</w:t>
      </w:r>
      <w:r w:rsidRPr="00E206AF">
        <w:rPr>
          <w:rFonts w:ascii="Century" w:hAnsi="Century" w:cs="Miriam" w:hint="cs"/>
          <w:b/>
          <w:sz w:val="22"/>
          <w:rtl/>
        </w:rPr>
        <w:t>עילת</w:t>
      </w:r>
      <w:r w:rsidRPr="00E206AF">
        <w:rPr>
          <w:rFonts w:ascii="Century" w:hAnsi="Century" w:cs="FrankRuehl" w:hint="cs"/>
          <w:spacing w:val="10"/>
          <w:sz w:val="22"/>
          <w:szCs w:val="28"/>
          <w:rtl/>
        </w:rPr>
        <w:t xml:space="preserve"> הסבירות האיזונית בנוגע להחלטות שרים וממשלה. ודוק, כל החלטה או סוגיה כאמור יכולות להיתקף באמצעות שלל עילות הביקורת השיפוטית אשר מצויות בארגז הכלים של המשפט המינהלי, ואשר יילכו ויתפתחו בראי המצב המשפטי הקיים בעקבות התיקון.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spacing w:val="10"/>
          <w:sz w:val="22"/>
          <w:szCs w:val="28"/>
          <w:rtl/>
        </w:rPr>
        <w:tab/>
      </w:r>
      <w:r w:rsidRPr="00E206AF">
        <w:rPr>
          <w:rFonts w:ascii="Arial TUR" w:hAnsi="Arial TUR" w:cs="FrankRuehl" w:hint="cs"/>
          <w:spacing w:val="10"/>
          <w:sz w:val="22"/>
          <w:szCs w:val="28"/>
          <w:rtl/>
        </w:rPr>
        <w:t xml:space="preserve">כך, למשל, באשר לחשש הנוגע ליכולתו של בית המשפט לערוך ביקורת שיפוטית </w:t>
      </w:r>
      <w:r w:rsidRPr="00E206AF">
        <w:rPr>
          <w:rFonts w:ascii="Arial TUR" w:hAnsi="Arial TUR" w:cs="FrankRuehl" w:hint="eastAsia"/>
          <w:spacing w:val="10"/>
          <w:sz w:val="22"/>
          <w:szCs w:val="28"/>
          <w:rtl/>
        </w:rPr>
        <w:t>אפקטיבית</w:t>
      </w:r>
      <w:r w:rsidRPr="00E206AF">
        <w:rPr>
          <w:rFonts w:ascii="Arial TUR" w:hAnsi="Arial TUR" w:cs="FrankRuehl" w:hint="cs"/>
          <w:spacing w:val="10"/>
          <w:sz w:val="22"/>
          <w:szCs w:val="28"/>
          <w:rtl/>
        </w:rPr>
        <w:t xml:space="preserve"> על תחום המינויים והפיטורים המבוצעים על-ידי השרים והממשלה, הרי ש</w:t>
      </w:r>
      <w:r w:rsidRPr="00E206AF">
        <w:rPr>
          <w:rFonts w:ascii="Century" w:hAnsi="Century" w:cs="FrankRuehl" w:hint="cs"/>
          <w:spacing w:val="10"/>
          <w:sz w:val="22"/>
          <w:szCs w:val="28"/>
          <w:rtl/>
        </w:rPr>
        <w:t xml:space="preserve">עילת הסבירות המקורית, כמו גם יתר עילות הביקורת המינהלית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לרבות אלו שנוגעות למישור שיקול הדעת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הן בבחינת כלים חשובים </w:t>
      </w:r>
      <w:r w:rsidRPr="00E206AF">
        <w:rPr>
          <w:rFonts w:ascii="Century" w:hAnsi="Century" w:cs="FrankRuehl" w:hint="eastAsia"/>
          <w:spacing w:val="10"/>
          <w:sz w:val="22"/>
          <w:szCs w:val="28"/>
          <w:rtl/>
        </w:rPr>
        <w:t>ואפקטיביים</w:t>
      </w:r>
      <w:r w:rsidRPr="00E206AF">
        <w:rPr>
          <w:rFonts w:ascii="Century" w:hAnsi="Century" w:cs="FrankRuehl" w:hint="cs"/>
          <w:spacing w:val="10"/>
          <w:sz w:val="22"/>
          <w:szCs w:val="28"/>
          <w:rtl/>
        </w:rPr>
        <w:t>, אשר בכוחם לוודא את תקינותן של החלטות בתחום זה (</w:t>
      </w:r>
      <w:r w:rsidRPr="00E206AF">
        <w:rPr>
          <w:rFonts w:ascii="Arial TUR" w:hAnsi="Arial TUR" w:cs="FrankRuehl" w:hint="cs"/>
          <w:spacing w:val="10"/>
          <w:sz w:val="22"/>
          <w:szCs w:val="28"/>
          <w:rtl/>
        </w:rPr>
        <w:t xml:space="preserve">ראו והשוו: </w:t>
      </w:r>
      <w:r w:rsidRPr="00E206AF">
        <w:rPr>
          <w:rFonts w:ascii="Arial TUR" w:hAnsi="Arial TUR" w:cs="FrankRuehl" w:hint="eastAsia"/>
          <w:spacing w:val="10"/>
          <w:sz w:val="22"/>
          <w:szCs w:val="28"/>
          <w:rtl/>
        </w:rPr>
        <w:t>בג</w:t>
      </w:r>
      <w:r w:rsidRPr="00E206AF">
        <w:rPr>
          <w:rFonts w:ascii="Arial TUR" w:hAnsi="Arial TUR" w:cs="FrankRuehl"/>
          <w:spacing w:val="10"/>
          <w:sz w:val="22"/>
          <w:szCs w:val="28"/>
          <w:rtl/>
        </w:rPr>
        <w:t>"</w:t>
      </w:r>
      <w:r w:rsidRPr="00E206AF">
        <w:rPr>
          <w:rFonts w:ascii="Arial TUR" w:hAnsi="Arial TUR" w:cs="FrankRuehl" w:hint="eastAsia"/>
          <w:spacing w:val="10"/>
          <w:sz w:val="22"/>
          <w:szCs w:val="28"/>
          <w:rtl/>
        </w:rPr>
        <w:t>ץ</w:t>
      </w:r>
      <w:r w:rsidRPr="00E206AF">
        <w:rPr>
          <w:rFonts w:ascii="Arial TUR" w:hAnsi="Arial TUR" w:cs="FrankRuehl"/>
          <w:spacing w:val="10"/>
          <w:sz w:val="22"/>
          <w:szCs w:val="28"/>
          <w:rtl/>
        </w:rPr>
        <w:t xml:space="preserve"> 5403/22 </w:t>
      </w:r>
      <w:r w:rsidRPr="00E206AF">
        <w:rPr>
          <w:rFonts w:ascii="Century" w:hAnsi="Century" w:cs="Miriam" w:hint="eastAsia"/>
          <w:b/>
          <w:sz w:val="22"/>
          <w:rtl/>
        </w:rPr>
        <w:t>לביא</w:t>
      </w:r>
      <w:r w:rsidRPr="00E206AF">
        <w:rPr>
          <w:rFonts w:ascii="Century" w:hAnsi="Century" w:cs="Miriam"/>
          <w:b/>
          <w:sz w:val="22"/>
          <w:rtl/>
        </w:rPr>
        <w:t xml:space="preserve">, </w:t>
      </w:r>
      <w:r w:rsidRPr="00E206AF">
        <w:rPr>
          <w:rFonts w:ascii="Century" w:hAnsi="Century" w:cs="Miriam" w:hint="eastAsia"/>
          <w:b/>
          <w:sz w:val="22"/>
          <w:rtl/>
        </w:rPr>
        <w:t>זכויות</w:t>
      </w:r>
      <w:r w:rsidRPr="00E206AF">
        <w:rPr>
          <w:rFonts w:ascii="Century" w:hAnsi="Century" w:cs="Miriam"/>
          <w:b/>
          <w:sz w:val="22"/>
          <w:rtl/>
        </w:rPr>
        <w:t xml:space="preserve"> </w:t>
      </w:r>
      <w:r w:rsidRPr="00E206AF">
        <w:rPr>
          <w:rFonts w:ascii="Century" w:hAnsi="Century" w:cs="Miriam" w:hint="eastAsia"/>
          <w:b/>
          <w:sz w:val="22"/>
          <w:rtl/>
        </w:rPr>
        <w:t>אזרח</w:t>
      </w:r>
      <w:r w:rsidRPr="00E206AF">
        <w:rPr>
          <w:rFonts w:ascii="Century" w:hAnsi="Century" w:cs="Miriam"/>
          <w:b/>
          <w:sz w:val="22"/>
          <w:rtl/>
        </w:rPr>
        <w:t xml:space="preserve">, </w:t>
      </w:r>
      <w:r w:rsidRPr="00E206AF">
        <w:rPr>
          <w:rFonts w:ascii="Century" w:hAnsi="Century" w:cs="Miriam" w:hint="eastAsia"/>
          <w:b/>
          <w:sz w:val="22"/>
          <w:rtl/>
        </w:rPr>
        <w:t>מינהל</w:t>
      </w:r>
      <w:r w:rsidRPr="00E206AF">
        <w:rPr>
          <w:rFonts w:ascii="Century" w:hAnsi="Century" w:cs="Miriam"/>
          <w:b/>
          <w:sz w:val="22"/>
          <w:rtl/>
        </w:rPr>
        <w:t xml:space="preserve"> </w:t>
      </w:r>
      <w:r w:rsidRPr="00E206AF">
        <w:rPr>
          <w:rFonts w:ascii="Century" w:hAnsi="Century" w:cs="Miriam" w:hint="eastAsia"/>
          <w:b/>
          <w:sz w:val="22"/>
          <w:rtl/>
        </w:rPr>
        <w:t>תקין</w:t>
      </w:r>
      <w:r w:rsidRPr="00E206AF">
        <w:rPr>
          <w:rFonts w:ascii="Century" w:hAnsi="Century" w:cs="Miriam"/>
          <w:b/>
          <w:sz w:val="22"/>
          <w:rtl/>
        </w:rPr>
        <w:t xml:space="preserve"> </w:t>
      </w:r>
      <w:r w:rsidRPr="00E206AF">
        <w:rPr>
          <w:rFonts w:ascii="Century" w:hAnsi="Century" w:cs="Miriam" w:hint="eastAsia"/>
          <w:b/>
          <w:sz w:val="22"/>
          <w:rtl/>
        </w:rPr>
        <w:t>ועידוד</w:t>
      </w:r>
      <w:r w:rsidRPr="00E206AF">
        <w:rPr>
          <w:rFonts w:ascii="Century" w:hAnsi="Century" w:cs="Miriam"/>
          <w:b/>
          <w:sz w:val="22"/>
          <w:rtl/>
        </w:rPr>
        <w:t xml:space="preserve"> </w:t>
      </w:r>
      <w:r w:rsidRPr="00E206AF">
        <w:rPr>
          <w:rFonts w:ascii="Century" w:hAnsi="Century" w:cs="Miriam" w:hint="eastAsia"/>
          <w:b/>
          <w:sz w:val="22"/>
          <w:rtl/>
        </w:rPr>
        <w:t>ההתיישבות</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ראש</w:t>
      </w:r>
      <w:r w:rsidRPr="00E206AF">
        <w:rPr>
          <w:rFonts w:ascii="Century" w:hAnsi="Century" w:cs="Miriam"/>
          <w:b/>
          <w:sz w:val="22"/>
          <w:rtl/>
        </w:rPr>
        <w:t xml:space="preserve"> </w:t>
      </w:r>
      <w:r w:rsidRPr="00E206AF">
        <w:rPr>
          <w:rFonts w:ascii="Century" w:hAnsi="Century" w:cs="Miriam" w:hint="eastAsia"/>
          <w:b/>
          <w:sz w:val="22"/>
          <w:rtl/>
        </w:rPr>
        <w:t>הממשלה</w:t>
      </w:r>
      <w:r w:rsidRPr="00E206AF">
        <w:rPr>
          <w:rFonts w:ascii="Arial TUR" w:hAnsi="Arial TUR" w:cs="FrankRuehl" w:hint="cs"/>
          <w:spacing w:val="10"/>
          <w:sz w:val="22"/>
          <w:szCs w:val="28"/>
          <w:rtl/>
        </w:rPr>
        <w:t xml:space="preserve">, פסק דינו של השופט </w:t>
      </w:r>
      <w:r w:rsidRPr="00E206AF">
        <w:rPr>
          <w:rFonts w:ascii="Century" w:hAnsi="Century" w:cs="Miriam" w:hint="cs"/>
          <w:b/>
          <w:sz w:val="22"/>
          <w:rtl/>
        </w:rPr>
        <w:t xml:space="preserve">סולברג </w:t>
      </w:r>
      <w:r w:rsidRPr="00E206AF">
        <w:rPr>
          <w:rFonts w:ascii="Century" w:hAnsi="Century" w:cs="FrankRuehl" w:hint="cs"/>
          <w:spacing w:val="10"/>
          <w:sz w:val="22"/>
          <w:szCs w:val="28"/>
          <w:rtl/>
        </w:rPr>
        <w:t xml:space="preserve">וכן פסק דיני </w:t>
      </w:r>
      <w:r w:rsidRPr="00E206AF">
        <w:rPr>
          <w:rFonts w:ascii="Arial TUR" w:hAnsi="Arial TUR" w:cs="FrankRuehl"/>
          <w:spacing w:val="10"/>
          <w:sz w:val="22"/>
          <w:szCs w:val="28"/>
          <w:rtl/>
        </w:rPr>
        <w:t>(22.9.2022)</w:t>
      </w:r>
      <w:r w:rsidRPr="00E206AF">
        <w:rPr>
          <w:rFonts w:ascii="Arial TUR" w:hAnsi="Arial TUR" w:cs="FrankRuehl" w:hint="cs"/>
          <w:spacing w:val="10"/>
          <w:sz w:val="22"/>
          <w:szCs w:val="28"/>
          <w:rtl/>
        </w:rPr>
        <w:t xml:space="preserve"> (להלן: עניין </w:t>
      </w:r>
      <w:r w:rsidRPr="00E206AF">
        <w:rPr>
          <w:rFonts w:ascii="Century" w:hAnsi="Century" w:cs="Miriam" w:hint="cs"/>
          <w:b/>
          <w:sz w:val="22"/>
          <w:rtl/>
        </w:rPr>
        <w:t>לביא</w:t>
      </w:r>
      <w:r w:rsidRPr="00E206AF">
        <w:rPr>
          <w:rFonts w:ascii="Century" w:hAnsi="Century" w:cs="FrankRuehl" w:hint="cs"/>
          <w:spacing w:val="10"/>
          <w:sz w:val="22"/>
          <w:szCs w:val="28"/>
          <w:rtl/>
        </w:rPr>
        <w:t>)). בתוך כך, רשאי בית המשפט ל</w:t>
      </w:r>
      <w:r>
        <w:rPr>
          <w:rFonts w:ascii="Century" w:hAnsi="Century" w:cs="FrankRuehl" w:hint="cs"/>
          <w:spacing w:val="10"/>
          <w:sz w:val="22"/>
          <w:szCs w:val="28"/>
          <w:rtl/>
        </w:rPr>
        <w:t>המשיך ול</w:t>
      </w:r>
      <w:r w:rsidRPr="00E206AF">
        <w:rPr>
          <w:rFonts w:ascii="Century" w:hAnsi="Century" w:cs="FrankRuehl" w:hint="cs"/>
          <w:spacing w:val="10"/>
          <w:sz w:val="22"/>
          <w:szCs w:val="28"/>
          <w:rtl/>
        </w:rPr>
        <w:t>פתח עילות אלו בראי המצב המשפטי הקיים.</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דוגמה אפשרית לפיתוח הדין בהקשר זה עשויה לגעת, למשל, להיקש מהוראת סעיף 18ג ל</w:t>
      </w:r>
      <w:r w:rsidRPr="00E206AF">
        <w:rPr>
          <w:rFonts w:ascii="Century" w:hAnsi="Century" w:cs="FrankRuehl" w:hint="eastAsia"/>
          <w:spacing w:val="10"/>
          <w:sz w:val="22"/>
          <w:szCs w:val="28"/>
          <w:rtl/>
        </w:rPr>
        <w:t>חוק</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החברות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הממשלתיות</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ה</w:t>
      </w:r>
      <w:r w:rsidRPr="00E206AF">
        <w:rPr>
          <w:rFonts w:ascii="Century" w:hAnsi="Century" w:cs="FrankRuehl" w:hint="eastAsia"/>
          <w:spacing w:val="10"/>
          <w:sz w:val="22"/>
          <w:szCs w:val="28"/>
          <w:rtl/>
        </w:rPr>
        <w:t>תשל</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ה</w:t>
      </w:r>
      <w:r w:rsidRPr="00E206AF">
        <w:rPr>
          <w:rFonts w:ascii="Century" w:hAnsi="Century" w:cs="FrankRuehl"/>
          <w:spacing w:val="10"/>
          <w:sz w:val="22"/>
          <w:szCs w:val="28"/>
          <w:rtl/>
        </w:rPr>
        <w:t>-1975</w:t>
      </w:r>
      <w:r w:rsidRPr="00E206AF">
        <w:rPr>
          <w:rFonts w:ascii="Century" w:hAnsi="Century" w:cs="FrankRuehl" w:hint="cs"/>
          <w:spacing w:val="10"/>
          <w:sz w:val="22"/>
          <w:szCs w:val="28"/>
          <w:rtl/>
        </w:rPr>
        <w:t xml:space="preserve">, שעניינה במינוי מועמדים בעלי זיקה פוליטית (להרחבה ראו: סעיף 316(ג) לתצהיר התשובה מטעם הכנסת (להלן: </w:t>
      </w:r>
      <w:r w:rsidRPr="00E206AF">
        <w:rPr>
          <w:rFonts w:ascii="Century" w:hAnsi="Century" w:cs="Miriam" w:hint="cs"/>
          <w:b/>
          <w:sz w:val="22"/>
          <w:rtl/>
        </w:rPr>
        <w:t>תשובת הכנסת</w:t>
      </w:r>
      <w:r w:rsidRPr="00E206AF">
        <w:rPr>
          <w:rFonts w:ascii="Century" w:hAnsi="Century" w:cs="FrankRuehl" w:hint="cs"/>
          <w:spacing w:val="10"/>
          <w:sz w:val="22"/>
          <w:szCs w:val="28"/>
          <w:rtl/>
        </w:rPr>
        <w:t xml:space="preserve">)). </w:t>
      </w:r>
      <w:r>
        <w:rPr>
          <w:rFonts w:ascii="Arial TUR" w:hAnsi="Arial TUR" w:cs="FrankRuehl" w:hint="cs"/>
          <w:spacing w:val="10"/>
          <w:sz w:val="22"/>
          <w:szCs w:val="28"/>
          <w:rtl/>
        </w:rPr>
        <w:t>כמו כן</w:t>
      </w:r>
      <w:r w:rsidRPr="00E206AF">
        <w:rPr>
          <w:rFonts w:ascii="Arial TUR" w:hAnsi="Arial TUR" w:cs="FrankRuehl" w:hint="cs"/>
          <w:spacing w:val="10"/>
          <w:sz w:val="22"/>
          <w:szCs w:val="28"/>
          <w:rtl/>
        </w:rPr>
        <w:t xml:space="preserve">, ניתן יהיה לפתח כלים נוספים שיתנו מענה, למשל, לחשש מפני פגיעה בעצמאותם של שומרי סף או ביחס </w:t>
      </w:r>
      <w:r w:rsidRPr="00E206AF">
        <w:rPr>
          <w:rFonts w:ascii="Arial TUR" w:hAnsi="Arial TUR" w:cs="FrankRuehl"/>
          <w:spacing w:val="10"/>
          <w:sz w:val="22"/>
          <w:szCs w:val="28"/>
          <w:rtl/>
        </w:rPr>
        <w:t xml:space="preserve">להפעלת ביקורת שיפוטית </w:t>
      </w:r>
      <w:r w:rsidRPr="00E206AF">
        <w:rPr>
          <w:rFonts w:ascii="Arial TUR" w:hAnsi="Arial TUR" w:cs="FrankRuehl" w:hint="cs"/>
          <w:spacing w:val="10"/>
          <w:sz w:val="22"/>
          <w:szCs w:val="28"/>
          <w:rtl/>
        </w:rPr>
        <w:t>בזמן</w:t>
      </w:r>
      <w:r w:rsidRPr="00E206AF">
        <w:rPr>
          <w:rFonts w:ascii="Arial TUR" w:hAnsi="Arial TUR" w:cs="FrankRuehl"/>
          <w:spacing w:val="10"/>
          <w:sz w:val="22"/>
          <w:szCs w:val="28"/>
          <w:rtl/>
        </w:rPr>
        <w:t xml:space="preserve"> ממשלת מעבר</w:t>
      </w:r>
      <w:r w:rsidRPr="00E206AF">
        <w:rPr>
          <w:rFonts w:ascii="Arial TUR" w:hAnsi="Arial TUR" w:cs="FrankRuehl" w:hint="cs"/>
          <w:spacing w:val="10"/>
          <w:sz w:val="22"/>
          <w:szCs w:val="28"/>
          <w:rtl/>
        </w:rPr>
        <w:t xml:space="preserve"> (ראו והשוו: עניין </w:t>
      </w:r>
      <w:r w:rsidRPr="00E206AF">
        <w:rPr>
          <w:rFonts w:ascii="Century" w:hAnsi="Century" w:cs="Miriam" w:hint="cs"/>
          <w:b/>
          <w:sz w:val="22"/>
          <w:rtl/>
        </w:rPr>
        <w:t>לביא</w:t>
      </w:r>
      <w:r w:rsidRPr="00E206AF">
        <w:rPr>
          <w:rFonts w:ascii="Arial TUR" w:hAnsi="Arial TUR" w:cs="FrankRuehl" w:hint="cs"/>
          <w:spacing w:val="10"/>
          <w:sz w:val="22"/>
          <w:szCs w:val="28"/>
          <w:rtl/>
        </w:rPr>
        <w:t xml:space="preserve">). יצוין, כי ביחס לתקופת ממשלת מעבר, בידי בית המשפט אף נתונה הסמכות לפרש את סעיף 3 לחוק יסוד: הממשלה, לשם הגדרת סמכויות ממשלת המעבר אשר אינה "מכהנת מכוח אמון הכנסת" (ראו סעיף 316(ד) לתשובת הכנסת). אף לא למותר לציין, בנוגע להשפעת התיקון על היכולת לקיים ביקורת שיפוטית על החלטות הממשלה בתקופת בחירות, כי </w:t>
      </w:r>
      <w:r w:rsidRPr="00E206AF">
        <w:rPr>
          <w:rFonts w:ascii="Arial TUR" w:hAnsi="Arial TUR" w:cs="FrankRuehl"/>
          <w:spacing w:val="10"/>
          <w:sz w:val="22"/>
          <w:szCs w:val="28"/>
          <w:rtl/>
        </w:rPr>
        <w:t xml:space="preserve">מאחר </w:t>
      </w:r>
      <w:r w:rsidRPr="00E206AF">
        <w:rPr>
          <w:rFonts w:ascii="Arial TUR" w:hAnsi="Arial TUR" w:cs="FrankRuehl" w:hint="eastAsia"/>
          <w:spacing w:val="10"/>
          <w:sz w:val="22"/>
          <w:szCs w:val="28"/>
          <w:rtl/>
        </w:rPr>
        <w:t>שהמגבלות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המהותיות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הממשלה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בתקופת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lastRenderedPageBreak/>
        <w:t>בחירות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נועדו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למנוע</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פגיעה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w:t>
      </w:r>
      <w:r>
        <w:rPr>
          <w:rFonts w:ascii="Arial TUR" w:hAnsi="Arial TUR" w:cs="FrankRuehl" w:hint="cs"/>
          <w:spacing w:val="10"/>
          <w:sz w:val="22"/>
          <w:szCs w:val="28"/>
          <w:rtl/>
        </w:rPr>
        <w:t>עיקרון ה</w:t>
      </w:r>
      <w:r w:rsidRPr="00E206AF">
        <w:rPr>
          <w:rFonts w:ascii="Arial TUR" w:hAnsi="Arial TUR" w:cs="FrankRuehl" w:hint="eastAsia"/>
          <w:spacing w:val="10"/>
          <w:sz w:val="22"/>
          <w:szCs w:val="28"/>
          <w:rtl/>
        </w:rPr>
        <w:t>שוויון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בבחירות</w:t>
      </w:r>
      <w:r w:rsidRPr="00E206AF">
        <w:rPr>
          <w:rFonts w:ascii="Arial TUR" w:hAnsi="Arial TUR" w:cs="FrankRuehl"/>
          <w:spacing w:val="10"/>
          <w:sz w:val="22"/>
          <w:szCs w:val="28"/>
          <w:rtl/>
        </w:rPr>
        <w:t xml:space="preserve">, </w:t>
      </w:r>
      <w:r>
        <w:rPr>
          <w:rFonts w:ascii="Arial TUR" w:hAnsi="Arial TUR" w:cs="FrankRuehl" w:hint="cs"/>
          <w:spacing w:val="10"/>
          <w:sz w:val="22"/>
          <w:szCs w:val="28"/>
          <w:rtl/>
        </w:rPr>
        <w:t>הרי ש</w:t>
      </w:r>
      <w:r w:rsidRPr="00E206AF">
        <w:rPr>
          <w:rFonts w:ascii="Arial TUR" w:hAnsi="Arial TUR" w:cs="FrankRuehl" w:hint="eastAsia"/>
          <w:spacing w:val="10"/>
          <w:sz w:val="22"/>
          <w:szCs w:val="28"/>
          <w:rtl/>
        </w:rPr>
        <w:t>עילת</w:t>
      </w:r>
      <w:r w:rsidRPr="00E206AF">
        <w:rPr>
          <w:rFonts w:ascii="Arial TUR" w:hAnsi="Arial TUR" w:cs="FrankRuehl" w:hint="cs"/>
          <w:spacing w:val="10"/>
          <w:sz w:val="22"/>
          <w:szCs w:val="28"/>
          <w:rtl/>
        </w:rPr>
        <w:t xml:space="preserve"> הסבירות האיזונית אינה נחוצה לביסוסן של </w:t>
      </w:r>
      <w:r w:rsidRPr="00E206AF">
        <w:rPr>
          <w:rFonts w:ascii="Arial TUR" w:hAnsi="Arial TUR" w:cs="FrankRuehl" w:hint="eastAsia"/>
          <w:spacing w:val="10"/>
          <w:sz w:val="22"/>
          <w:szCs w:val="28"/>
          <w:rtl/>
        </w:rPr>
        <w:t>מגבלות</w:t>
      </w:r>
      <w:r w:rsidRPr="00E206AF">
        <w:rPr>
          <w:rFonts w:ascii="Arial TUR" w:hAnsi="Arial TUR" w:cs="FrankRuehl"/>
          <w:spacing w:val="10"/>
          <w:sz w:val="22"/>
          <w:szCs w:val="28"/>
          <w:rtl/>
        </w:rPr>
        <w:t xml:space="preserve"> אלו, שכן </w:t>
      </w:r>
      <w:r w:rsidRPr="00E206AF">
        <w:rPr>
          <w:rFonts w:ascii="Arial TUR" w:hAnsi="Arial TUR" w:cs="FrankRuehl" w:hint="eastAsia"/>
          <w:spacing w:val="10"/>
          <w:sz w:val="22"/>
          <w:szCs w:val="28"/>
          <w:rtl/>
        </w:rPr>
        <w:t>ע</w:t>
      </w:r>
      <w:r w:rsidRPr="00E206AF">
        <w:rPr>
          <w:rFonts w:ascii="Arial TUR" w:hAnsi="Arial TUR" w:cs="FrankRuehl" w:hint="cs"/>
          <w:spacing w:val="10"/>
          <w:sz w:val="22"/>
          <w:szCs w:val="28"/>
          <w:rtl/>
        </w:rPr>
        <w:t>י</w:t>
      </w:r>
      <w:r w:rsidRPr="00E206AF">
        <w:rPr>
          <w:rFonts w:ascii="Arial TUR" w:hAnsi="Arial TUR" w:cs="FrankRuehl" w:hint="eastAsia"/>
          <w:spacing w:val="10"/>
          <w:sz w:val="22"/>
          <w:szCs w:val="28"/>
          <w:rtl/>
        </w:rPr>
        <w:t>קרון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השוויון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בבחירות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הוא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עיקרון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חוקתי</w:t>
      </w:r>
      <w:r w:rsidRPr="00E206AF">
        <w:rPr>
          <w:rFonts w:ascii="Arial TUR" w:hAnsi="Arial TUR" w:cs="FrankRuehl" w:hint="cs"/>
          <w:spacing w:val="10"/>
          <w:sz w:val="22"/>
          <w:szCs w:val="28"/>
          <w:rtl/>
        </w:rPr>
        <w:t xml:space="preserve"> כשלעצמו,</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 xml:space="preserve">אשר </w:t>
      </w:r>
      <w:r w:rsidRPr="00E206AF">
        <w:rPr>
          <w:rFonts w:ascii="Arial TUR" w:hAnsi="Arial TUR" w:cs="FrankRuehl" w:hint="eastAsia"/>
          <w:spacing w:val="10"/>
          <w:sz w:val="22"/>
          <w:szCs w:val="28"/>
          <w:rtl/>
        </w:rPr>
        <w:t>מעוגן</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 xml:space="preserve">בסעיף 4 לחוק יסוד: הכנסת (כן ראו למשל: </w:t>
      </w:r>
      <w:r w:rsidRPr="00E206AF">
        <w:rPr>
          <w:rFonts w:ascii="Arial TUR" w:hAnsi="Arial TUR" w:cs="FrankRuehl" w:hint="eastAsia"/>
          <w:spacing w:val="10"/>
          <w:sz w:val="22"/>
          <w:szCs w:val="28"/>
          <w:rtl/>
        </w:rPr>
        <w:t>בג</w:t>
      </w:r>
      <w:r w:rsidRPr="00E206AF">
        <w:rPr>
          <w:rFonts w:ascii="Arial TUR" w:hAnsi="Arial TUR" w:cs="FrankRuehl"/>
          <w:spacing w:val="10"/>
          <w:sz w:val="22"/>
          <w:szCs w:val="28"/>
          <w:rtl/>
        </w:rPr>
        <w:t>"</w:t>
      </w:r>
      <w:r w:rsidRPr="00E206AF">
        <w:rPr>
          <w:rFonts w:ascii="Arial TUR" w:hAnsi="Arial TUR" w:cs="FrankRuehl" w:hint="eastAsia"/>
          <w:spacing w:val="10"/>
          <w:sz w:val="22"/>
          <w:szCs w:val="28"/>
          <w:rtl/>
        </w:rPr>
        <w:t>ץ</w:t>
      </w:r>
      <w:r w:rsidRPr="00E206AF">
        <w:rPr>
          <w:rFonts w:ascii="Arial TUR" w:hAnsi="Arial TUR" w:cs="FrankRuehl"/>
          <w:spacing w:val="10"/>
          <w:sz w:val="22"/>
          <w:szCs w:val="28"/>
          <w:rtl/>
        </w:rPr>
        <w:t xml:space="preserve"> 98/69 </w:t>
      </w:r>
      <w:r w:rsidRPr="00E206AF">
        <w:rPr>
          <w:rFonts w:ascii="Century" w:hAnsi="Century" w:cs="Miriam" w:hint="eastAsia"/>
          <w:b/>
          <w:sz w:val="22"/>
          <w:rtl/>
        </w:rPr>
        <w:t>ברגמן</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שר</w:t>
      </w:r>
      <w:r w:rsidRPr="00E206AF">
        <w:rPr>
          <w:rFonts w:ascii="Century" w:hAnsi="Century" w:cs="Miriam"/>
          <w:b/>
          <w:sz w:val="22"/>
          <w:rtl/>
        </w:rPr>
        <w:t xml:space="preserve"> </w:t>
      </w:r>
      <w:r w:rsidRPr="00E206AF">
        <w:rPr>
          <w:rFonts w:ascii="Century" w:hAnsi="Century" w:cs="Miriam" w:hint="eastAsia"/>
          <w:b/>
          <w:sz w:val="22"/>
          <w:rtl/>
        </w:rPr>
        <w:t>האוצר</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 xml:space="preserve">פ"ד </w:t>
      </w:r>
      <w:r w:rsidRPr="00E206AF">
        <w:rPr>
          <w:rFonts w:ascii="Arial TUR" w:hAnsi="Arial TUR" w:cs="FrankRuehl" w:hint="eastAsia"/>
          <w:spacing w:val="10"/>
          <w:sz w:val="22"/>
          <w:szCs w:val="28"/>
          <w:rtl/>
        </w:rPr>
        <w:t>כג</w:t>
      </w:r>
      <w:r w:rsidRPr="00E206AF">
        <w:rPr>
          <w:rFonts w:ascii="Arial TUR" w:hAnsi="Arial TUR" w:cs="FrankRuehl"/>
          <w:spacing w:val="10"/>
          <w:sz w:val="22"/>
          <w:szCs w:val="28"/>
          <w:rtl/>
        </w:rPr>
        <w:t>(1) 693 (1969)</w:t>
      </w:r>
      <w:r w:rsidRPr="00E206AF">
        <w:rPr>
          <w:rFonts w:ascii="Arial TUR" w:hAnsi="Arial TUR" w:cs="FrankRuehl" w:hint="cs"/>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Pr>
          <w:rFonts w:ascii="Arial TUR" w:hAnsi="Arial TUR" w:cs="FrankRuehl" w:hint="cs"/>
          <w:spacing w:val="10"/>
          <w:sz w:val="22"/>
          <w:szCs w:val="28"/>
          <w:rtl/>
        </w:rPr>
        <w:t>80</w:t>
      </w:r>
      <w:r w:rsidRPr="00E206AF">
        <w:rPr>
          <w:rFonts w:ascii="Arial TUR" w:hAnsi="Arial TUR" w:cs="FrankRuehl" w:hint="cs"/>
          <w:spacing w:val="10"/>
          <w:sz w:val="22"/>
          <w:szCs w:val="28"/>
          <w:rtl/>
        </w:rPr>
        <w:t>.</w:t>
      </w:r>
      <w:r w:rsidRPr="00E206AF">
        <w:rPr>
          <w:rFonts w:ascii="Arial TUR" w:hAnsi="Arial TUR" w:cs="FrankRuehl" w:hint="cs"/>
          <w:spacing w:val="10"/>
          <w:sz w:val="22"/>
          <w:szCs w:val="28"/>
          <w:rtl/>
        </w:rPr>
        <w:tab/>
        <w:t xml:space="preserve">אודה ולא אכחד: עילת הסבירות האיזונית תרמה לאורך השנים לעיצוב נורמות </w:t>
      </w:r>
      <w:r>
        <w:rPr>
          <w:rFonts w:ascii="Arial TUR" w:hAnsi="Arial TUR" w:cs="FrankRuehl" w:hint="cs"/>
          <w:spacing w:val="10"/>
          <w:sz w:val="22"/>
          <w:szCs w:val="28"/>
          <w:rtl/>
        </w:rPr>
        <w:t xml:space="preserve">רצויות של </w:t>
      </w:r>
      <w:r w:rsidRPr="00E206AF">
        <w:rPr>
          <w:rFonts w:ascii="Arial TUR" w:hAnsi="Arial TUR" w:cs="FrankRuehl" w:hint="cs"/>
          <w:spacing w:val="10"/>
          <w:sz w:val="22"/>
          <w:szCs w:val="28"/>
          <w:rtl/>
        </w:rPr>
        <w:t>התנה</w:t>
      </w:r>
      <w:r>
        <w:rPr>
          <w:rFonts w:ascii="Arial TUR" w:hAnsi="Arial TUR" w:cs="FrankRuehl" w:hint="cs"/>
          <w:spacing w:val="10"/>
          <w:sz w:val="22"/>
          <w:szCs w:val="28"/>
          <w:rtl/>
        </w:rPr>
        <w:t>ל</w:t>
      </w:r>
      <w:r w:rsidRPr="00E206AF">
        <w:rPr>
          <w:rFonts w:ascii="Arial TUR" w:hAnsi="Arial TUR" w:cs="FrankRuehl" w:hint="cs"/>
          <w:spacing w:val="10"/>
          <w:sz w:val="22"/>
          <w:szCs w:val="28"/>
          <w:rtl/>
        </w:rPr>
        <w:t>ות שלטונית ולקידום טוהר המידות</w:t>
      </w:r>
      <w:r>
        <w:rPr>
          <w:rFonts w:ascii="Arial TUR" w:hAnsi="Arial TUR" w:cs="FrankRuehl" w:hint="cs"/>
          <w:spacing w:val="10"/>
          <w:sz w:val="22"/>
          <w:szCs w:val="28"/>
          <w:rtl/>
        </w:rPr>
        <w:t xml:space="preserve"> בשלטון</w:t>
      </w:r>
      <w:r w:rsidRPr="00E206AF">
        <w:rPr>
          <w:rFonts w:ascii="Arial TUR" w:hAnsi="Arial TUR" w:cs="FrankRuehl" w:hint="cs"/>
          <w:spacing w:val="10"/>
          <w:sz w:val="22"/>
          <w:szCs w:val="28"/>
          <w:rtl/>
        </w:rPr>
        <w:t xml:space="preserve">, ושימשה כלי נכבד כחלק ממערך הביקורת השיפוטית על החלטות שלטוניות. אין אפוא להתעלם מכך, שבעקבות התיקון עשויים להתעורר מקרים שבהם לא ניתן יהיה לפסול החלטות שרים או ממשלה, שניתן היה לפסול בעבר באמצעות עילת הסבירות האיזונית. ברם, כפי שכבר ציינתי בפתח דבריי, </w:t>
      </w:r>
      <w:r w:rsidRPr="00E206AF">
        <w:rPr>
          <w:rFonts w:ascii="Century" w:hAnsi="Century" w:cs="Miriam" w:hint="cs"/>
          <w:b/>
          <w:sz w:val="22"/>
          <w:rtl/>
        </w:rPr>
        <w:t>אין ב</w:t>
      </w:r>
      <w:r>
        <w:rPr>
          <w:rFonts w:ascii="Century" w:hAnsi="Century" w:cs="Miriam" w:hint="cs"/>
          <w:b/>
          <w:sz w:val="22"/>
          <w:rtl/>
        </w:rPr>
        <w:t xml:space="preserve">עצם </w:t>
      </w:r>
      <w:r w:rsidRPr="00E206AF">
        <w:rPr>
          <w:rFonts w:ascii="Century" w:hAnsi="Century" w:cs="Miriam" w:hint="cs"/>
          <w:b/>
          <w:sz w:val="22"/>
          <w:rtl/>
        </w:rPr>
        <w:t>קיומן של החלטות כאלו</w:t>
      </w:r>
      <w:r w:rsidRPr="00E206AF">
        <w:rPr>
          <w:rFonts w:ascii="Arial TUR" w:hAnsi="Arial TUR" w:cs="FrankRuehl" w:hint="cs"/>
          <w:spacing w:val="10"/>
          <w:sz w:val="22"/>
          <w:szCs w:val="28"/>
          <w:rtl/>
        </w:rPr>
        <w:t xml:space="preserve">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שנתקבלו בסמכות; לאחר הליך מינהלי </w:t>
      </w:r>
      <w:r>
        <w:rPr>
          <w:rFonts w:ascii="Arial TUR" w:hAnsi="Arial TUR" w:cs="FrankRuehl" w:hint="cs"/>
          <w:spacing w:val="10"/>
          <w:sz w:val="22"/>
          <w:szCs w:val="28"/>
          <w:rtl/>
        </w:rPr>
        <w:t>תקין</w:t>
      </w:r>
      <w:r w:rsidRPr="00E206AF">
        <w:rPr>
          <w:rFonts w:ascii="Arial TUR" w:hAnsi="Arial TUR" w:cs="FrankRuehl" w:hint="cs"/>
          <w:spacing w:val="10"/>
          <w:sz w:val="22"/>
          <w:szCs w:val="28"/>
          <w:rtl/>
        </w:rPr>
        <w:t xml:space="preserve">; בתום לב; </w:t>
      </w:r>
      <w:r>
        <w:rPr>
          <w:rFonts w:ascii="Arial TUR" w:hAnsi="Arial TUR" w:cs="FrankRuehl" w:hint="cs"/>
          <w:spacing w:val="10"/>
          <w:sz w:val="22"/>
          <w:szCs w:val="28"/>
          <w:rtl/>
        </w:rPr>
        <w:t>ללא שיקולים זרים</w:t>
      </w:r>
      <w:r w:rsidRPr="00E206AF">
        <w:rPr>
          <w:rFonts w:ascii="Arial TUR" w:hAnsi="Arial TUR" w:cs="FrankRuehl" w:hint="cs"/>
          <w:spacing w:val="10"/>
          <w:sz w:val="22"/>
          <w:szCs w:val="28"/>
          <w:rtl/>
        </w:rPr>
        <w:t>; החלטות מידתיות</w:t>
      </w:r>
      <w:r>
        <w:rPr>
          <w:rFonts w:ascii="Arial TUR" w:hAnsi="Arial TUR" w:cs="FrankRuehl" w:hint="cs"/>
          <w:spacing w:val="10"/>
          <w:sz w:val="22"/>
          <w:szCs w:val="28"/>
          <w:rtl/>
        </w:rPr>
        <w:t xml:space="preserve">; </w:t>
      </w:r>
      <w:r w:rsidRPr="00E206AF">
        <w:rPr>
          <w:rFonts w:ascii="Arial TUR" w:hAnsi="Arial TUR" w:cs="FrankRuehl" w:hint="cs"/>
          <w:spacing w:val="10"/>
          <w:sz w:val="22"/>
          <w:szCs w:val="28"/>
          <w:rtl/>
        </w:rPr>
        <w:t xml:space="preserve">אינן שרירותיות; אינן מפלות; ואינן מופרכות מעיקרן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w:t>
      </w:r>
      <w:r w:rsidRPr="00E206AF">
        <w:rPr>
          <w:rFonts w:ascii="Century" w:hAnsi="Century" w:cs="Miriam" w:hint="cs"/>
          <w:b/>
          <w:sz w:val="22"/>
          <w:rtl/>
        </w:rPr>
        <w:t>כדי</w:t>
      </w:r>
      <w:r w:rsidRPr="00E206AF">
        <w:rPr>
          <w:rFonts w:ascii="Arial TUR" w:hAnsi="Arial TUR" w:cs="FrankRuehl" w:hint="cs"/>
          <w:spacing w:val="10"/>
          <w:sz w:val="22"/>
          <w:szCs w:val="28"/>
          <w:rtl/>
        </w:rPr>
        <w:t xml:space="preserve"> </w:t>
      </w:r>
      <w:r w:rsidRPr="00E206AF">
        <w:rPr>
          <w:rFonts w:ascii="Century" w:hAnsi="Century" w:cs="Miriam" w:hint="cs"/>
          <w:b/>
          <w:sz w:val="22"/>
          <w:rtl/>
        </w:rPr>
        <w:t>לפגוע פגיעה אנושה בליבת הזהות הדמוקרטית של מדינת ישראל</w:t>
      </w:r>
      <w:r w:rsidRPr="00E206AF">
        <w:rPr>
          <w:rFonts w:ascii="Arial TUR" w:hAnsi="Arial TUR" w:cs="FrankRuehl" w:hint="cs"/>
          <w:spacing w:val="10"/>
          <w:sz w:val="22"/>
          <w:szCs w:val="28"/>
          <w:rtl/>
        </w:rPr>
        <w:t xml:space="preserve">.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hint="cs"/>
          <w:spacing w:val="10"/>
          <w:sz w:val="22"/>
          <w:szCs w:val="28"/>
          <w:rtl/>
        </w:rPr>
        <w:t>8</w:t>
      </w:r>
      <w:r>
        <w:rPr>
          <w:rFonts w:ascii="Arial TUR" w:hAnsi="Arial TUR" w:cs="FrankRuehl" w:hint="cs"/>
          <w:spacing w:val="10"/>
          <w:sz w:val="22"/>
          <w:szCs w:val="28"/>
          <w:rtl/>
        </w:rPr>
        <w:t>1</w:t>
      </w:r>
      <w:r w:rsidRPr="00E206AF">
        <w:rPr>
          <w:rFonts w:ascii="Arial TUR" w:hAnsi="Arial TUR" w:cs="FrankRuehl" w:hint="cs"/>
          <w:spacing w:val="10"/>
          <w:sz w:val="22"/>
          <w:szCs w:val="28"/>
          <w:rtl/>
        </w:rPr>
        <w:t>.</w:t>
      </w:r>
      <w:r w:rsidRPr="00E206AF">
        <w:rPr>
          <w:rFonts w:ascii="Arial TUR" w:hAnsi="Arial TUR" w:cs="FrankRuehl" w:hint="cs"/>
          <w:spacing w:val="10"/>
          <w:sz w:val="22"/>
          <w:szCs w:val="28"/>
          <w:rtl/>
        </w:rPr>
        <w:tab/>
        <w:t xml:space="preserve">אם כן, התיקון אינו גורע, אפוא, כהוא זה, מחובת הממשלה והשרים לפעול בהתאם לחוק, ולאזן כראוי בין כלל השיקולים הרלוונטיים במסגרת פעולותיהם השלטונית. כמו כן, קיימת שורה של עילות ביקורת שיפוטית, ובכללן עילת הסבירות המקורית, אשר נוגעות למישור שיקול הדעת של הרשות השלטונית, וממילא אין מקום לטענה כי התיקון מחסן מביקורת </w:t>
      </w:r>
      <w:r>
        <w:rPr>
          <w:rFonts w:ascii="Arial TUR" w:hAnsi="Arial TUR" w:cs="FrankRuehl" w:hint="cs"/>
          <w:spacing w:val="10"/>
          <w:sz w:val="22"/>
          <w:szCs w:val="28"/>
          <w:rtl/>
        </w:rPr>
        <w:t xml:space="preserve">שיפוטית </w:t>
      </w:r>
      <w:r w:rsidRPr="00E206AF">
        <w:rPr>
          <w:rFonts w:ascii="Arial TUR" w:hAnsi="Arial TUR" w:cs="FrankRuehl" w:hint="cs"/>
          <w:spacing w:val="10"/>
          <w:sz w:val="22"/>
          <w:szCs w:val="28"/>
          <w:rtl/>
        </w:rPr>
        <w:t>את אופן הפעלת שיקול הדעת של הממשלה והשרים או מקנה להם שיקול דעת מוחלט. אינני סבורה אפוא כי התיקון פוגע בעיקרון שלטון החוק, לא כל שכן פוגע בו אנושות.</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Miriam"/>
          <w:b/>
          <w:sz w:val="22"/>
          <w:rtl/>
        </w:rPr>
      </w:pPr>
      <w:r w:rsidRPr="00E206AF">
        <w:rPr>
          <w:rFonts w:ascii="Century" w:hAnsi="Century" w:cs="Miriam" w:hint="cs"/>
          <w:b/>
          <w:sz w:val="22"/>
          <w:rtl/>
        </w:rPr>
        <w:t xml:space="preserve">סיכום עד כאן </w:t>
      </w:r>
    </w:p>
    <w:p w:rsidR="00E32081" w:rsidRPr="00E206AF" w:rsidRDefault="00E32081" w:rsidP="00E32081">
      <w:pPr>
        <w:tabs>
          <w:tab w:val="left" w:pos="800"/>
        </w:tabs>
        <w:spacing w:line="360" w:lineRule="auto"/>
        <w:jc w:val="both"/>
        <w:rPr>
          <w:rFonts w:ascii="Century" w:hAnsi="Century" w:cs="Miriam"/>
          <w:b/>
          <w:sz w:val="22"/>
          <w:rtl/>
        </w:rPr>
      </w:pPr>
    </w:p>
    <w:p w:rsidR="00E32081"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hint="cs"/>
          <w:spacing w:val="10"/>
          <w:sz w:val="22"/>
          <w:szCs w:val="28"/>
          <w:rtl/>
        </w:rPr>
        <w:t>8</w:t>
      </w:r>
      <w:r>
        <w:rPr>
          <w:rFonts w:ascii="Arial TUR" w:hAnsi="Arial TUR" w:cs="FrankRuehl" w:hint="cs"/>
          <w:spacing w:val="10"/>
          <w:sz w:val="22"/>
          <w:szCs w:val="28"/>
          <w:rtl/>
        </w:rPr>
        <w:t>2</w:t>
      </w:r>
      <w:r w:rsidRPr="00E206AF">
        <w:rPr>
          <w:rFonts w:ascii="Arial TUR" w:hAnsi="Arial TUR" w:cs="FrankRuehl" w:hint="cs"/>
          <w:spacing w:val="10"/>
          <w:sz w:val="22"/>
          <w:szCs w:val="28"/>
          <w:rtl/>
        </w:rPr>
        <w:t>.</w:t>
      </w:r>
      <w:r w:rsidRPr="00E206AF">
        <w:rPr>
          <w:rFonts w:ascii="Arial TUR" w:hAnsi="Arial TUR" w:cs="FrankRuehl" w:hint="cs"/>
          <w:spacing w:val="10"/>
          <w:sz w:val="22"/>
          <w:szCs w:val="28"/>
          <w:rtl/>
        </w:rPr>
        <w:tab/>
        <w:t xml:space="preserve">לנוכח כל האמור לעיל, </w:t>
      </w:r>
      <w:r w:rsidRPr="00E206AF">
        <w:rPr>
          <w:rFonts w:ascii="Century" w:hAnsi="Century" w:cs="Miriam" w:hint="cs"/>
          <w:b/>
          <w:sz w:val="22"/>
          <w:rtl/>
        </w:rPr>
        <w:t>בהינתן הפרשנות המוצעת</w:t>
      </w:r>
      <w:r>
        <w:rPr>
          <w:rFonts w:ascii="Arial TUR" w:hAnsi="Arial TUR" w:cs="FrankRuehl" w:hint="cs"/>
          <w:spacing w:val="10"/>
          <w:sz w:val="22"/>
          <w:szCs w:val="28"/>
          <w:rtl/>
        </w:rPr>
        <w:t xml:space="preserve">, </w:t>
      </w:r>
      <w:r w:rsidRPr="00E206AF">
        <w:rPr>
          <w:rFonts w:ascii="Arial TUR" w:hAnsi="Arial TUR" w:cs="FrankRuehl" w:hint="cs"/>
          <w:spacing w:val="10"/>
          <w:sz w:val="22"/>
          <w:szCs w:val="28"/>
          <w:rtl/>
        </w:rPr>
        <w:t>אין בסיס לטענה שלפיה התיקון, שולל את הזהות הדמוקרטית של מדינת ישראל. כמבואר לעיל, התיקון</w:t>
      </w:r>
      <w:r>
        <w:rPr>
          <w:rFonts w:ascii="Arial TUR" w:hAnsi="Arial TUR" w:cs="FrankRuehl" w:hint="cs"/>
          <w:spacing w:val="10"/>
          <w:sz w:val="22"/>
          <w:szCs w:val="28"/>
          <w:rtl/>
        </w:rPr>
        <w:t xml:space="preserve"> אינו מוביל לפגיעה</w:t>
      </w:r>
      <w:r w:rsidRPr="00E206AF">
        <w:rPr>
          <w:rFonts w:ascii="Arial TUR" w:hAnsi="Arial TUR" w:cs="FrankRuehl" w:hint="cs"/>
          <w:spacing w:val="10"/>
          <w:sz w:val="22"/>
          <w:szCs w:val="28"/>
          <w:rtl/>
        </w:rPr>
        <w:t xml:space="preserve"> </w:t>
      </w:r>
      <w:r>
        <w:rPr>
          <w:rFonts w:ascii="Arial TUR" w:hAnsi="Arial TUR" w:cs="FrankRuehl" w:hint="cs"/>
          <w:spacing w:val="10"/>
          <w:sz w:val="22"/>
          <w:szCs w:val="28"/>
          <w:rtl/>
        </w:rPr>
        <w:t>ב</w:t>
      </w:r>
      <w:r w:rsidRPr="00E206AF">
        <w:rPr>
          <w:rFonts w:ascii="Arial TUR" w:hAnsi="Arial TUR" w:cs="FrankRuehl" w:hint="cs"/>
          <w:spacing w:val="10"/>
          <w:sz w:val="22"/>
          <w:szCs w:val="28"/>
          <w:rtl/>
        </w:rPr>
        <w:t>עצמאותה של הרשות השופטת, ו</w:t>
      </w:r>
      <w:r>
        <w:rPr>
          <w:rFonts w:ascii="Arial TUR" w:hAnsi="Arial TUR" w:cs="FrankRuehl" w:hint="cs"/>
          <w:spacing w:val="10"/>
          <w:sz w:val="22"/>
          <w:szCs w:val="28"/>
          <w:rtl/>
        </w:rPr>
        <w:t xml:space="preserve">גם לאחר התיקון </w:t>
      </w:r>
      <w:r w:rsidRPr="00E206AF">
        <w:rPr>
          <w:rFonts w:ascii="Arial TUR" w:hAnsi="Arial TUR" w:cs="FrankRuehl" w:hint="cs"/>
          <w:spacing w:val="10"/>
          <w:sz w:val="22"/>
          <w:szCs w:val="28"/>
          <w:rtl/>
        </w:rPr>
        <w:t xml:space="preserve">בכוחם של בתי המשפט לקיים ביקורת שיפוטית </w:t>
      </w:r>
      <w:r w:rsidRPr="00E206AF">
        <w:rPr>
          <w:rFonts w:ascii="Century" w:hAnsi="Century" w:cs="FrankRuehl" w:hint="cs"/>
          <w:spacing w:val="10"/>
          <w:sz w:val="22"/>
          <w:szCs w:val="28"/>
          <w:rtl/>
        </w:rPr>
        <w:t>אפקטיבית</w:t>
      </w:r>
      <w:r w:rsidRPr="00E206AF">
        <w:rPr>
          <w:rFonts w:ascii="Arial TUR" w:hAnsi="Arial TUR" w:cs="FrankRuehl" w:hint="cs"/>
          <w:spacing w:val="10"/>
          <w:sz w:val="22"/>
          <w:szCs w:val="28"/>
          <w:rtl/>
        </w:rPr>
        <w:t xml:space="preserve"> בכל סוגיה ובכל תחום. התיקון אף אינו פוגע בעיקרון הפרדת הרשויות או בעיקרון שלטון החוק; ואינו נוגע לגרעין זכויות האדם המוכר בדין הישראלי או לקיומן של בחירות שוות והוגנות. </w:t>
      </w:r>
    </w:p>
    <w:p w:rsidR="00E32081"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Pr>
          <w:rFonts w:ascii="Arial TUR" w:hAnsi="Arial TUR" w:cs="FrankRuehl"/>
          <w:spacing w:val="10"/>
          <w:sz w:val="22"/>
          <w:szCs w:val="28"/>
          <w:rtl/>
        </w:rPr>
        <w:tab/>
      </w:r>
      <w:r w:rsidRPr="00E206AF">
        <w:rPr>
          <w:rFonts w:ascii="Arial TUR" w:hAnsi="Arial TUR" w:cs="FrankRuehl" w:hint="cs"/>
          <w:spacing w:val="10"/>
          <w:sz w:val="22"/>
          <w:szCs w:val="28"/>
          <w:rtl/>
        </w:rPr>
        <w:t xml:space="preserve">לפיכך, בענייננו אין מקום להתערב בתוכן הוראות התיקון, בהתאם לאמות המידה שהוצעו בפסיקה להתערבות בתוכנם של חוקי יסוד.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spacing w:val="10"/>
          <w:sz w:val="22"/>
          <w:szCs w:val="28"/>
          <w:rtl/>
        </w:rPr>
        <w:tab/>
      </w:r>
      <w:r w:rsidRPr="00E206AF">
        <w:rPr>
          <w:rFonts w:ascii="Arial TUR" w:hAnsi="Arial TUR" w:cs="FrankRuehl" w:hint="cs"/>
          <w:spacing w:val="10"/>
          <w:sz w:val="22"/>
          <w:szCs w:val="28"/>
          <w:rtl/>
        </w:rPr>
        <w:t xml:space="preserve">ענייננו אינו בא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ואף אינו מתקרב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לגדרי אותם מצבים</w:t>
      </w:r>
      <w:r>
        <w:rPr>
          <w:rFonts w:ascii="Arial TUR" w:hAnsi="Arial TUR" w:cs="FrankRuehl" w:hint="cs"/>
          <w:spacing w:val="10"/>
          <w:sz w:val="22"/>
          <w:szCs w:val="28"/>
          <w:rtl/>
        </w:rPr>
        <w:t xml:space="preserve"> חריגים</w:t>
      </w:r>
      <w:r w:rsidRPr="00E206AF">
        <w:rPr>
          <w:rFonts w:ascii="Arial TUR" w:hAnsi="Arial TUR" w:cs="FrankRuehl" w:hint="cs"/>
          <w:spacing w:val="10"/>
          <w:sz w:val="22"/>
          <w:szCs w:val="28"/>
          <w:rtl/>
        </w:rPr>
        <w:t xml:space="preserve"> של </w:t>
      </w:r>
      <w:r w:rsidRPr="00E206AF">
        <w:rPr>
          <w:rFonts w:ascii="Century" w:hAnsi="Century" w:cs="FrankRuehl" w:hint="cs"/>
          <w:spacing w:val="10"/>
          <w:sz w:val="22"/>
          <w:szCs w:val="28"/>
          <w:rtl/>
        </w:rPr>
        <w:t>תיקון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חוקתי</w:t>
      </w:r>
      <w:r w:rsidRPr="00E206AF">
        <w:rPr>
          <w:rFonts w:ascii="Century" w:hAnsi="Century" w:cs="Miriam"/>
          <w:b/>
          <w:sz w:val="22"/>
          <w:rtl/>
        </w:rPr>
        <w:t xml:space="preserve"> </w:t>
      </w:r>
      <w:r w:rsidRPr="00E206AF">
        <w:rPr>
          <w:rFonts w:ascii="Century" w:hAnsi="Century" w:cs="Miriam" w:hint="eastAsia"/>
          <w:b/>
          <w:sz w:val="22"/>
          <w:rtl/>
        </w:rPr>
        <w:t>השולל</w:t>
      </w:r>
      <w:r w:rsidRPr="00E206AF">
        <w:rPr>
          <w:rFonts w:ascii="Century" w:hAnsi="Century" w:cs="Miriam"/>
          <w:b/>
          <w:sz w:val="22"/>
          <w:rtl/>
        </w:rPr>
        <w:t xml:space="preserve"> </w:t>
      </w:r>
      <w:r w:rsidRPr="00E206AF">
        <w:rPr>
          <w:rFonts w:ascii="Century" w:hAnsi="Century" w:cs="Miriam" w:hint="eastAsia"/>
          <w:b/>
          <w:sz w:val="22"/>
          <w:rtl/>
        </w:rPr>
        <w:t>את</w:t>
      </w:r>
      <w:r w:rsidRPr="00E206AF">
        <w:rPr>
          <w:rFonts w:ascii="Century" w:hAnsi="Century" w:cs="Miriam"/>
          <w:b/>
          <w:sz w:val="22"/>
          <w:rtl/>
        </w:rPr>
        <w:t xml:space="preserve"> </w:t>
      </w:r>
      <w:r w:rsidRPr="00E206AF">
        <w:rPr>
          <w:rFonts w:ascii="Century" w:hAnsi="Century" w:cs="Miriam" w:hint="eastAsia"/>
          <w:b/>
          <w:sz w:val="22"/>
          <w:rtl/>
        </w:rPr>
        <w:t>ליבת</w:t>
      </w:r>
      <w:r w:rsidRPr="00E206AF">
        <w:rPr>
          <w:rFonts w:ascii="Century" w:hAnsi="Century" w:cs="Miriam"/>
          <w:b/>
          <w:sz w:val="22"/>
          <w:rtl/>
        </w:rPr>
        <w:t xml:space="preserve"> </w:t>
      </w:r>
      <w:r w:rsidRPr="00E206AF">
        <w:rPr>
          <w:rFonts w:ascii="Century" w:hAnsi="Century" w:cs="Miriam" w:hint="eastAsia"/>
          <w:b/>
          <w:sz w:val="22"/>
          <w:rtl/>
        </w:rPr>
        <w:t>הזהות</w:t>
      </w:r>
      <w:r w:rsidRPr="00E206AF">
        <w:rPr>
          <w:rFonts w:ascii="Century" w:hAnsi="Century" w:cs="Miriam"/>
          <w:b/>
          <w:sz w:val="22"/>
          <w:rtl/>
        </w:rPr>
        <w:t xml:space="preserve"> </w:t>
      </w:r>
      <w:r w:rsidRPr="00E206AF">
        <w:rPr>
          <w:rFonts w:ascii="Century" w:hAnsi="Century" w:cs="Miriam" w:hint="eastAsia"/>
          <w:b/>
          <w:sz w:val="22"/>
          <w:rtl/>
        </w:rPr>
        <w:t>היהודית</w:t>
      </w:r>
      <w:r w:rsidRPr="00E206AF">
        <w:rPr>
          <w:rFonts w:ascii="Century" w:hAnsi="Century" w:cs="Miriam"/>
          <w:b/>
          <w:sz w:val="22"/>
          <w:rtl/>
        </w:rPr>
        <w:t xml:space="preserve"> </w:t>
      </w:r>
      <w:r w:rsidRPr="00E206AF">
        <w:rPr>
          <w:rFonts w:ascii="Century" w:hAnsi="Century" w:cs="Miriam" w:hint="eastAsia"/>
          <w:b/>
          <w:sz w:val="22"/>
          <w:rtl/>
        </w:rPr>
        <w:t>או</w:t>
      </w:r>
      <w:r w:rsidRPr="00E206AF">
        <w:rPr>
          <w:rFonts w:ascii="Century" w:hAnsi="Century" w:cs="Miriam"/>
          <w:b/>
          <w:sz w:val="22"/>
          <w:rtl/>
        </w:rPr>
        <w:t xml:space="preserve"> </w:t>
      </w:r>
      <w:r w:rsidRPr="00E206AF">
        <w:rPr>
          <w:rFonts w:ascii="Century" w:hAnsi="Century" w:cs="Miriam" w:hint="eastAsia"/>
          <w:b/>
          <w:sz w:val="22"/>
          <w:rtl/>
        </w:rPr>
        <w:t>הדמוקרטית</w:t>
      </w:r>
      <w:r w:rsidRPr="00E206AF">
        <w:rPr>
          <w:rFonts w:ascii="Century" w:hAnsi="Century" w:cs="Miriam"/>
          <w:b/>
          <w:sz w:val="22"/>
          <w:rtl/>
        </w:rPr>
        <w:t xml:space="preserve"> </w:t>
      </w:r>
      <w:r w:rsidRPr="00E206AF">
        <w:rPr>
          <w:rFonts w:ascii="Century" w:hAnsi="Century" w:cs="Miriam" w:hint="eastAsia"/>
          <w:b/>
          <w:sz w:val="22"/>
          <w:rtl/>
        </w:rPr>
        <w:t>של</w:t>
      </w:r>
      <w:r w:rsidRPr="00E206AF">
        <w:rPr>
          <w:rFonts w:ascii="Century" w:hAnsi="Century" w:cs="Miriam"/>
          <w:b/>
          <w:sz w:val="22"/>
          <w:rtl/>
        </w:rPr>
        <w:t xml:space="preserve"> </w:t>
      </w:r>
      <w:r w:rsidRPr="00E206AF">
        <w:rPr>
          <w:rFonts w:ascii="Century" w:hAnsi="Century" w:cs="Miriam" w:hint="eastAsia"/>
          <w:b/>
          <w:sz w:val="22"/>
          <w:rtl/>
        </w:rPr>
        <w:t>המדינה</w:t>
      </w:r>
      <w:r w:rsidRPr="00E206AF">
        <w:rPr>
          <w:rFonts w:ascii="Century" w:hAnsi="Century" w:cs="FrankRuehl" w:hint="cs"/>
          <w:spacing w:val="10"/>
          <w:sz w:val="22"/>
          <w:szCs w:val="28"/>
          <w:rtl/>
        </w:rPr>
        <w:t>.</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Miriam"/>
          <w:b/>
          <w:sz w:val="22"/>
          <w:rtl/>
        </w:rPr>
      </w:pPr>
      <w:r w:rsidRPr="00E206AF">
        <w:rPr>
          <w:rFonts w:ascii="Century" w:hAnsi="Century" w:cs="Miriam" w:hint="cs"/>
          <w:b/>
          <w:sz w:val="22"/>
          <w:rtl/>
        </w:rPr>
        <w:t>עוד על המרחק הרב שבין ענייננו לבין שלילת הדמוקרטיה</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hint="cs"/>
          <w:spacing w:val="10"/>
          <w:sz w:val="22"/>
          <w:szCs w:val="28"/>
          <w:rtl/>
        </w:rPr>
        <w:t>8</w:t>
      </w:r>
      <w:r>
        <w:rPr>
          <w:rFonts w:ascii="Arial TUR" w:hAnsi="Arial TUR" w:cs="FrankRuehl" w:hint="cs"/>
          <w:spacing w:val="10"/>
          <w:sz w:val="22"/>
          <w:szCs w:val="28"/>
          <w:rtl/>
        </w:rPr>
        <w:t>3</w:t>
      </w:r>
      <w:r w:rsidRPr="00E206AF">
        <w:rPr>
          <w:rFonts w:ascii="Arial TUR" w:hAnsi="Arial TUR" w:cs="FrankRuehl" w:hint="cs"/>
          <w:spacing w:val="10"/>
          <w:sz w:val="22"/>
          <w:szCs w:val="28"/>
          <w:rtl/>
        </w:rPr>
        <w:t>.</w:t>
      </w:r>
      <w:r w:rsidRPr="00E206AF">
        <w:rPr>
          <w:rFonts w:ascii="Arial TUR" w:hAnsi="Arial TUR" w:cs="FrankRuehl" w:hint="cs"/>
          <w:spacing w:val="10"/>
          <w:sz w:val="22"/>
          <w:szCs w:val="28"/>
          <w:rtl/>
        </w:rPr>
        <w:tab/>
        <w:t xml:space="preserve">מעבר לכל האמור לעיל, המרחק הרב שבין ענייננו לבין אמות המידה שהותוו כאמור בעניין </w:t>
      </w:r>
      <w:r w:rsidRPr="00E206AF">
        <w:rPr>
          <w:rFonts w:ascii="Century" w:hAnsi="Century" w:cs="Miriam" w:hint="cs"/>
          <w:b/>
          <w:sz w:val="22"/>
          <w:rtl/>
        </w:rPr>
        <w:t>חוק הלאום</w:t>
      </w:r>
      <w:r w:rsidRPr="00E206AF">
        <w:rPr>
          <w:rFonts w:ascii="Century" w:hAnsi="Century" w:cs="FrankRuehl" w:hint="cs"/>
          <w:spacing w:val="10"/>
          <w:sz w:val="22"/>
          <w:szCs w:val="28"/>
          <w:rtl/>
        </w:rPr>
        <w:t xml:space="preserve"> להתערבות בתוכנם של חוקי יסוד, ניכר מהתבוננות על הסוגיה מכמה נקודות מבט נוספות.</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Century" w:hAnsi="Century" w:cs="FrankRuehl" w:hint="cs"/>
          <w:spacing w:val="10"/>
          <w:sz w:val="22"/>
          <w:szCs w:val="28"/>
          <w:rtl/>
        </w:rPr>
        <w:t>8</w:t>
      </w:r>
      <w:r>
        <w:rPr>
          <w:rFonts w:ascii="Century" w:hAnsi="Century" w:cs="FrankRuehl" w:hint="cs"/>
          <w:spacing w:val="10"/>
          <w:sz w:val="22"/>
          <w:szCs w:val="28"/>
          <w:rtl/>
        </w:rPr>
        <w:t>4</w:t>
      </w:r>
      <w:r w:rsidRPr="00E206AF">
        <w:rPr>
          <w:rFonts w:ascii="Century" w:hAnsi="Century" w:cs="FrankRuehl" w:hint="cs"/>
          <w:spacing w:val="10"/>
          <w:sz w:val="22"/>
          <w:szCs w:val="28"/>
          <w:rtl/>
        </w:rPr>
        <w:t>.</w:t>
      </w:r>
      <w:r w:rsidRPr="00E206AF">
        <w:rPr>
          <w:rFonts w:ascii="Century" w:hAnsi="Century" w:cs="FrankRuehl" w:hint="cs"/>
          <w:spacing w:val="10"/>
          <w:sz w:val="22"/>
          <w:szCs w:val="28"/>
          <w:rtl/>
        </w:rPr>
        <w:tab/>
        <w:t xml:space="preserve">אחת מנקודות מבט אלו נוגעת להוראת </w:t>
      </w:r>
      <w:r w:rsidRPr="00E206AF">
        <w:rPr>
          <w:rFonts w:ascii="Arial TUR" w:hAnsi="Arial TUR" w:cs="FrankRuehl" w:hint="cs"/>
          <w:spacing w:val="10"/>
          <w:sz w:val="22"/>
          <w:szCs w:val="28"/>
          <w:rtl/>
        </w:rPr>
        <w:t xml:space="preserve">סעיף 7א לחוק-יסוד: הכנסת, אשר קובעת כי מפלגה או מועמד לא יוכלו להשתתף בבחירות לכנסת </w:t>
      </w:r>
      <w:r w:rsidRPr="00E206AF">
        <w:rPr>
          <w:rFonts w:ascii="Arial TUR" w:hAnsi="Arial TUR" w:cs="FrankRuehl" w:hint="eastAsia"/>
          <w:spacing w:val="10"/>
          <w:sz w:val="22"/>
          <w:szCs w:val="28"/>
          <w:rtl/>
        </w:rPr>
        <w:t>אם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יש</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במטרותיהם או במעשיהם משום "</w:t>
      </w:r>
      <w:r w:rsidRPr="00E206AF">
        <w:rPr>
          <w:rFonts w:ascii="Arial TUR" w:hAnsi="Arial TUR" w:cs="FrankRuehl" w:hint="eastAsia"/>
          <w:spacing w:val="10"/>
          <w:sz w:val="22"/>
          <w:szCs w:val="28"/>
          <w:rtl/>
        </w:rPr>
        <w:t>שלילת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קיומה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מדינת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ישראל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כמדינה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יהודית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ודמוקרטית</w:t>
      </w:r>
      <w:r w:rsidRPr="00E206AF">
        <w:rPr>
          <w:rFonts w:ascii="Arial TUR" w:hAnsi="Arial TUR" w:cs="FrankRuehl" w:hint="cs"/>
          <w:spacing w:val="10"/>
          <w:sz w:val="22"/>
          <w:szCs w:val="28"/>
          <w:rtl/>
        </w:rPr>
        <w:t>" (יוזכר ויודגש, כי המבחנים להתערבות בתוכנ</w:t>
      </w:r>
      <w:r>
        <w:rPr>
          <w:rFonts w:ascii="Arial TUR" w:hAnsi="Arial TUR" w:cs="FrankRuehl" w:hint="cs"/>
          <w:spacing w:val="10"/>
          <w:sz w:val="22"/>
          <w:szCs w:val="28"/>
          <w:rtl/>
        </w:rPr>
        <w:t>ם</w:t>
      </w:r>
      <w:r w:rsidRPr="00E206AF">
        <w:rPr>
          <w:rFonts w:ascii="Arial TUR" w:hAnsi="Arial TUR" w:cs="FrankRuehl" w:hint="cs"/>
          <w:spacing w:val="10"/>
          <w:sz w:val="22"/>
          <w:szCs w:val="28"/>
          <w:rtl/>
        </w:rPr>
        <w:t xml:space="preserve"> של חוק</w:t>
      </w:r>
      <w:r>
        <w:rPr>
          <w:rFonts w:ascii="Arial TUR" w:hAnsi="Arial TUR" w:cs="FrankRuehl" w:hint="cs"/>
          <w:spacing w:val="10"/>
          <w:sz w:val="22"/>
          <w:szCs w:val="28"/>
          <w:rtl/>
        </w:rPr>
        <w:t>י</w:t>
      </w:r>
      <w:r w:rsidRPr="00E206AF">
        <w:rPr>
          <w:rFonts w:ascii="Arial TUR" w:hAnsi="Arial TUR" w:cs="FrankRuehl" w:hint="cs"/>
          <w:spacing w:val="10"/>
          <w:sz w:val="22"/>
          <w:szCs w:val="28"/>
          <w:rtl/>
        </w:rPr>
        <w:t xml:space="preserve"> יסוד, אשר הוצעו בעניין </w:t>
      </w:r>
      <w:r w:rsidRPr="00E206AF">
        <w:rPr>
          <w:rFonts w:ascii="Century" w:hAnsi="Century" w:cs="Miriam" w:hint="eastAsia"/>
          <w:b/>
          <w:sz w:val="22"/>
          <w:rtl/>
        </w:rPr>
        <w:t>חוק</w:t>
      </w:r>
      <w:r w:rsidRPr="00E206AF">
        <w:rPr>
          <w:rFonts w:ascii="Century" w:hAnsi="Century" w:cs="Miriam"/>
          <w:b/>
          <w:sz w:val="22"/>
          <w:rtl/>
        </w:rPr>
        <w:t xml:space="preserve"> </w:t>
      </w:r>
      <w:r w:rsidRPr="00E206AF">
        <w:rPr>
          <w:rFonts w:ascii="Century" w:hAnsi="Century" w:cs="Miriam" w:hint="eastAsia"/>
          <w:b/>
          <w:sz w:val="22"/>
          <w:rtl/>
        </w:rPr>
        <w:t>הלאום</w:t>
      </w:r>
      <w:r w:rsidRPr="00E206AF">
        <w:rPr>
          <w:rFonts w:ascii="Century" w:hAnsi="Century" w:cs="FrankRuehl" w:hint="cs"/>
          <w:spacing w:val="10"/>
          <w:sz w:val="22"/>
          <w:szCs w:val="28"/>
          <w:rtl/>
        </w:rPr>
        <w:t>,</w:t>
      </w:r>
      <w:r w:rsidRPr="00E206AF">
        <w:rPr>
          <w:rFonts w:ascii="Arial TUR" w:hAnsi="Arial TUR" w:cs="FrankRuehl" w:hint="cs"/>
          <w:spacing w:val="10"/>
          <w:sz w:val="22"/>
          <w:szCs w:val="28"/>
          <w:rtl/>
        </w:rPr>
        <w:t xml:space="preserve"> שאבו השראה, בין היתר, מסעיף 7א הנ"ל, וראו שם, בפס' 29 לפסק דינה של הנשיאה </w:t>
      </w:r>
      <w:r w:rsidRPr="00E206AF">
        <w:rPr>
          <w:rFonts w:ascii="Century" w:hAnsi="Century" w:cs="Miriam" w:hint="eastAsia"/>
          <w:b/>
          <w:sz w:val="22"/>
          <w:rtl/>
        </w:rPr>
        <w:t>חיות</w:t>
      </w:r>
      <w:r w:rsidRPr="00E206AF">
        <w:rPr>
          <w:rFonts w:ascii="Arial TUR" w:hAnsi="Arial TUR" w:cs="FrankRuehl" w:hint="cs"/>
          <w:spacing w:val="10"/>
          <w:sz w:val="22"/>
          <w:szCs w:val="28"/>
          <w:rtl/>
        </w:rPr>
        <w:t>). האם ניתן להעלות על הדעת, שמפלגה אשר תציע במצעה לשנות את סטנדרט ההפעלה של עילת הסבירות, באופן דומה לשינוי שנובע מהתיקון הנדון בפרשנותו האמורה, לא תוכל להתמודד לכנסת, בשל שלילתה את מדינת ישראל כמדינה דמוקרטית? לדעתי, לא ניתן לענות על שאלה זו, אלא בשלילה גורפת.</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hint="cs"/>
          <w:spacing w:val="10"/>
          <w:sz w:val="22"/>
          <w:szCs w:val="28"/>
          <w:rtl/>
        </w:rPr>
        <w:t>8</w:t>
      </w:r>
      <w:r>
        <w:rPr>
          <w:rFonts w:ascii="Arial TUR" w:hAnsi="Arial TUR" w:cs="FrankRuehl" w:hint="cs"/>
          <w:spacing w:val="10"/>
          <w:sz w:val="22"/>
          <w:szCs w:val="28"/>
          <w:rtl/>
        </w:rPr>
        <w:t>5</w:t>
      </w:r>
      <w:r w:rsidRPr="00E206AF">
        <w:rPr>
          <w:rFonts w:ascii="Arial TUR" w:hAnsi="Arial TUR" w:cs="FrankRuehl" w:hint="cs"/>
          <w:spacing w:val="10"/>
          <w:sz w:val="22"/>
          <w:szCs w:val="28"/>
          <w:rtl/>
        </w:rPr>
        <w:t>.</w:t>
      </w:r>
      <w:r w:rsidRPr="00E206AF">
        <w:rPr>
          <w:rFonts w:ascii="Arial TUR" w:hAnsi="Arial TUR" w:cs="FrankRuehl" w:hint="cs"/>
          <w:spacing w:val="10"/>
          <w:sz w:val="22"/>
          <w:szCs w:val="28"/>
          <w:rtl/>
        </w:rPr>
        <w:tab/>
        <w:t>זאת ועוד</w:t>
      </w:r>
      <w:r>
        <w:rPr>
          <w:rFonts w:ascii="Arial TUR" w:hAnsi="Arial TUR" w:cs="FrankRuehl" w:hint="cs"/>
          <w:spacing w:val="10"/>
          <w:sz w:val="22"/>
          <w:szCs w:val="28"/>
          <w:rtl/>
        </w:rPr>
        <w:t>,</w:t>
      </w:r>
      <w:r w:rsidRPr="00E206AF">
        <w:rPr>
          <w:rFonts w:ascii="Arial TUR" w:hAnsi="Arial TUR" w:cs="FrankRuehl" w:hint="cs"/>
          <w:spacing w:val="10"/>
          <w:sz w:val="22"/>
          <w:szCs w:val="28"/>
          <w:rtl/>
        </w:rPr>
        <w:t xml:space="preserve"> כמפורט בהרחבה לעיל, עילת הסבירות האיזונית הייתה שנויה במחלוקת מיום היוולדה. שופטים בבית משפט זה, כמו גם מלומדי משפט רבים, תמכו באפשרות להחזיר את עילת הסבירות לממדיה ולטבעה המקוריים</w:t>
      </w:r>
      <w:r>
        <w:rPr>
          <w:rFonts w:ascii="Arial TUR" w:hAnsi="Arial TUR" w:cs="FrankRuehl" w:hint="cs"/>
          <w:spacing w:val="10"/>
          <w:sz w:val="22"/>
          <w:szCs w:val="28"/>
          <w:rtl/>
        </w:rPr>
        <w:t>;</w:t>
      </w:r>
      <w:r w:rsidRPr="00E206AF">
        <w:rPr>
          <w:rFonts w:ascii="Arial TUR" w:hAnsi="Arial TUR" w:cs="FrankRuehl" w:hint="cs"/>
          <w:spacing w:val="10"/>
          <w:sz w:val="22"/>
          <w:szCs w:val="28"/>
          <w:rtl/>
        </w:rPr>
        <w:t xml:space="preserve"> אפשרות זו נתפסה כהתפתחות אפשרית ולגיטימית של המשפט הישראלי, ודומני כי אף בקרב מי שתמכו בהותרת עילת הסבירות האיזונית על כנה. </w:t>
      </w:r>
      <w:r>
        <w:rPr>
          <w:rFonts w:ascii="Century" w:hAnsi="Century" w:cs="FrankRuehl" w:hint="cs"/>
          <w:spacing w:val="10"/>
          <w:sz w:val="22"/>
          <w:szCs w:val="28"/>
          <w:rtl/>
        </w:rPr>
        <w:t>ואכן,</w:t>
      </w:r>
      <w:r w:rsidRPr="00E206AF">
        <w:rPr>
          <w:rFonts w:ascii="Century" w:hAnsi="Century" w:cs="FrankRuehl" w:hint="cs"/>
          <w:spacing w:val="10"/>
          <w:sz w:val="22"/>
          <w:szCs w:val="28"/>
          <w:rtl/>
        </w:rPr>
        <w:t xml:space="preserve"> העמדה שלפיה יש להשיב את עילת הסבירות לממדיה ולטבעה המקורי</w:t>
      </w:r>
      <w:r>
        <w:rPr>
          <w:rFonts w:ascii="Century" w:hAnsi="Century" w:cs="FrankRuehl" w:hint="cs"/>
          <w:spacing w:val="10"/>
          <w:sz w:val="22"/>
          <w:szCs w:val="28"/>
          <w:rtl/>
        </w:rPr>
        <w:t>ים</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מעולם</w:t>
      </w:r>
      <w:r w:rsidRPr="00E206AF">
        <w:rPr>
          <w:rFonts w:ascii="Century" w:hAnsi="Century" w:cs="FrankRuehl" w:hint="cs"/>
          <w:spacing w:val="10"/>
          <w:sz w:val="22"/>
          <w:szCs w:val="28"/>
          <w:rtl/>
        </w:rPr>
        <w:t xml:space="preserve"> לא נתפס</w:t>
      </w:r>
      <w:r>
        <w:rPr>
          <w:rFonts w:ascii="Century" w:hAnsi="Century" w:cs="FrankRuehl" w:hint="cs"/>
          <w:spacing w:val="10"/>
          <w:sz w:val="22"/>
          <w:szCs w:val="28"/>
          <w:rtl/>
        </w:rPr>
        <w:t>ה</w:t>
      </w:r>
      <w:r w:rsidRPr="00E206AF">
        <w:rPr>
          <w:rFonts w:ascii="Century" w:hAnsi="Century" w:cs="FrankRuehl" w:hint="cs"/>
          <w:spacing w:val="10"/>
          <w:sz w:val="22"/>
          <w:szCs w:val="28"/>
          <w:rtl/>
        </w:rPr>
        <w:t xml:space="preserve"> כאנטי-דמוקרטית, או ככזו שתוביל לשלילת הדמוקרטיה הישראלית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ולא בכדי.</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spacing w:val="10"/>
          <w:sz w:val="22"/>
          <w:szCs w:val="28"/>
          <w:rtl/>
        </w:rPr>
        <w:tab/>
      </w:r>
    </w:p>
    <w:p w:rsidR="00E32081" w:rsidRPr="004836EA"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hint="cs"/>
          <w:spacing w:val="10"/>
          <w:sz w:val="22"/>
          <w:szCs w:val="28"/>
          <w:rtl/>
        </w:rPr>
        <w:t>8</w:t>
      </w:r>
      <w:r>
        <w:rPr>
          <w:rFonts w:ascii="Arial TUR" w:hAnsi="Arial TUR" w:cs="FrankRuehl" w:hint="cs"/>
          <w:spacing w:val="10"/>
          <w:sz w:val="22"/>
          <w:szCs w:val="28"/>
          <w:rtl/>
        </w:rPr>
        <w:t>6</w:t>
      </w:r>
      <w:r w:rsidRPr="00E206AF">
        <w:rPr>
          <w:rFonts w:ascii="Arial TUR" w:hAnsi="Arial TUR" w:cs="FrankRuehl"/>
          <w:spacing w:val="10"/>
          <w:sz w:val="22"/>
          <w:szCs w:val="28"/>
          <w:rtl/>
        </w:rPr>
        <w:t>.</w:t>
      </w:r>
      <w:r w:rsidRPr="00E206AF">
        <w:rPr>
          <w:rFonts w:ascii="Century" w:hAnsi="Century" w:cs="Miriam" w:hint="cs"/>
          <w:b/>
          <w:sz w:val="22"/>
          <w:rtl/>
        </w:rPr>
        <w:tab/>
      </w:r>
      <w:r w:rsidRPr="00E206AF">
        <w:rPr>
          <w:rFonts w:ascii="Arial TUR" w:hAnsi="Arial TUR" w:cs="FrankRuehl" w:hint="cs"/>
          <w:spacing w:val="10"/>
          <w:sz w:val="22"/>
          <w:szCs w:val="28"/>
          <w:rtl/>
        </w:rPr>
        <w:t>בשולי הדברים אך לא בשולי חשיבותם, יש לדחות מכל וכל את</w:t>
      </w:r>
      <w:r w:rsidRPr="00E206AF">
        <w:rPr>
          <w:rFonts w:ascii="Century" w:hAnsi="Century" w:cs="FrankRuehl" w:hint="cs"/>
          <w:spacing w:val="10"/>
          <w:sz w:val="22"/>
          <w:szCs w:val="28"/>
          <w:rtl/>
        </w:rPr>
        <w:t xml:space="preserve"> טענת העותרים והיועצת המשפטית לממשלה, שלפיה אף אם התיקון כשלעצמו אינו שולל את הדמוקרטיה ביסודו, הרי שיש לבחון את חוקתיותו על רקע הרפורמה המשפטית המוצעת בכללותה (ראו, למשל: פס' 9 לתצהיר התשובה מטעם היועצת המשפטית לממשלה). הלכה מושרשת היא כי בית משפט זה אינו דן בעניינים תיאורטיים (ראו מיני רבים: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1853/02 </w:t>
      </w:r>
      <w:r w:rsidRPr="00E206AF">
        <w:rPr>
          <w:rFonts w:ascii="Century" w:hAnsi="Century" w:cs="Miriam" w:hint="eastAsia"/>
          <w:b/>
          <w:sz w:val="22"/>
          <w:rtl/>
        </w:rPr>
        <w:t>דוד</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שר</w:t>
      </w:r>
      <w:r w:rsidRPr="00E206AF">
        <w:rPr>
          <w:rFonts w:ascii="Century" w:hAnsi="Century" w:cs="Miriam"/>
          <w:b/>
          <w:sz w:val="22"/>
          <w:rtl/>
        </w:rPr>
        <w:t xml:space="preserve"> </w:t>
      </w:r>
      <w:r w:rsidRPr="00E206AF">
        <w:rPr>
          <w:rFonts w:ascii="Century" w:hAnsi="Century" w:cs="Miriam" w:hint="eastAsia"/>
          <w:b/>
          <w:sz w:val="22"/>
          <w:rtl/>
        </w:rPr>
        <w:t>האנרגיה</w:t>
      </w:r>
      <w:r w:rsidRPr="00E206AF">
        <w:rPr>
          <w:rFonts w:ascii="Century" w:hAnsi="Century" w:cs="Miriam"/>
          <w:b/>
          <w:sz w:val="22"/>
          <w:rtl/>
        </w:rPr>
        <w:t xml:space="preserve"> </w:t>
      </w:r>
      <w:r w:rsidRPr="00E206AF">
        <w:rPr>
          <w:rFonts w:ascii="Century" w:hAnsi="Century" w:cs="Miriam" w:hint="eastAsia"/>
          <w:b/>
          <w:sz w:val="22"/>
          <w:rtl/>
        </w:rPr>
        <w:t>והתשתיות</w:t>
      </w:r>
      <w:r w:rsidRPr="00E206AF">
        <w:rPr>
          <w:rFonts w:ascii="Century" w:hAnsi="Century" w:cs="Miriam"/>
          <w:b/>
          <w:sz w:val="22"/>
          <w:rtl/>
        </w:rPr>
        <w:t xml:space="preserve"> </w:t>
      </w:r>
      <w:r w:rsidRPr="00E206AF">
        <w:rPr>
          <w:rFonts w:ascii="Century" w:hAnsi="Century" w:cs="Miriam" w:hint="eastAsia"/>
          <w:b/>
          <w:sz w:val="22"/>
          <w:rtl/>
        </w:rPr>
        <w:t>הלאומיות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פס</w:t>
      </w:r>
      <w:r w:rsidRPr="00E206AF">
        <w:rPr>
          <w:rFonts w:ascii="Century" w:hAnsi="Century" w:cs="FrankRuehl"/>
          <w:spacing w:val="10"/>
          <w:sz w:val="22"/>
          <w:szCs w:val="28"/>
          <w:rtl/>
        </w:rPr>
        <w:t xml:space="preserve">' 3 </w:t>
      </w:r>
      <w:r w:rsidRPr="00E206AF">
        <w:rPr>
          <w:rFonts w:ascii="Century" w:hAnsi="Century" w:cs="FrankRuehl" w:hint="eastAsia"/>
          <w:spacing w:val="10"/>
          <w:sz w:val="22"/>
          <w:szCs w:val="28"/>
          <w:rtl/>
        </w:rPr>
        <w:t>לפסק</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דינו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הנשיא</w:t>
      </w:r>
      <w:r w:rsidRPr="00E206AF">
        <w:rPr>
          <w:rFonts w:ascii="Century" w:hAnsi="Century" w:cs="FrankRuehl"/>
          <w:spacing w:val="10"/>
          <w:sz w:val="22"/>
          <w:szCs w:val="28"/>
          <w:rtl/>
        </w:rPr>
        <w:t xml:space="preserve"> </w:t>
      </w:r>
      <w:r w:rsidRPr="00E206AF">
        <w:rPr>
          <w:rFonts w:ascii="Century" w:hAnsi="Century" w:cs="Miriam" w:hint="eastAsia"/>
          <w:b/>
          <w:sz w:val="22"/>
          <w:rtl/>
        </w:rPr>
        <w:t>ברק</w:t>
      </w:r>
      <w:r w:rsidRPr="00E206AF">
        <w:rPr>
          <w:rFonts w:ascii="Century" w:hAnsi="Century" w:cs="FrankRuehl"/>
          <w:spacing w:val="10"/>
          <w:sz w:val="22"/>
          <w:szCs w:val="28"/>
          <w:rtl/>
        </w:rPr>
        <w:t xml:space="preserve"> </w:t>
      </w:r>
      <w:r w:rsidRPr="00E206AF">
        <w:rPr>
          <w:rFonts w:ascii="Century" w:hAnsi="Century" w:cs="FrankRuehl"/>
          <w:spacing w:val="10"/>
          <w:sz w:val="22"/>
          <w:szCs w:val="28"/>
          <w:rtl/>
        </w:rPr>
        <w:lastRenderedPageBreak/>
        <w:t>(8.10.2003)</w:t>
      </w:r>
      <w:r w:rsidRPr="00E206AF">
        <w:rPr>
          <w:rFonts w:ascii="Century" w:hAnsi="Century" w:cs="FrankRuehl" w:hint="cs"/>
          <w:spacing w:val="10"/>
          <w:sz w:val="22"/>
          <w:szCs w:val="28"/>
          <w:rtl/>
        </w:rPr>
        <w:t xml:space="preserve">;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1181/03 </w:t>
      </w:r>
      <w:r w:rsidRPr="00E206AF">
        <w:rPr>
          <w:rFonts w:ascii="Century" w:hAnsi="Century" w:cs="Miriam" w:hint="eastAsia"/>
          <w:b/>
          <w:sz w:val="22"/>
          <w:rtl/>
        </w:rPr>
        <w:t>אוניברסיטת</w:t>
      </w:r>
      <w:r w:rsidRPr="00E206AF">
        <w:rPr>
          <w:rFonts w:ascii="Century" w:hAnsi="Century" w:cs="Miriam"/>
          <w:b/>
          <w:sz w:val="22"/>
          <w:rtl/>
        </w:rPr>
        <w:t xml:space="preserve"> </w:t>
      </w:r>
      <w:r w:rsidRPr="00E206AF">
        <w:rPr>
          <w:rFonts w:ascii="Century" w:hAnsi="Century" w:cs="Miriam" w:hint="eastAsia"/>
          <w:b/>
          <w:sz w:val="22"/>
          <w:rtl/>
        </w:rPr>
        <w:t>בר</w:t>
      </w:r>
      <w:r w:rsidRPr="00E206AF">
        <w:rPr>
          <w:rFonts w:ascii="Century" w:hAnsi="Century" w:cs="Miriam"/>
          <w:b/>
          <w:sz w:val="22"/>
          <w:rtl/>
        </w:rPr>
        <w:t>-</w:t>
      </w:r>
      <w:r w:rsidRPr="00E206AF">
        <w:rPr>
          <w:rFonts w:ascii="Century" w:hAnsi="Century" w:cs="Miriam" w:hint="eastAsia"/>
          <w:b/>
          <w:sz w:val="22"/>
          <w:rtl/>
        </w:rPr>
        <w:t>אילן</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בית</w:t>
      </w:r>
      <w:r w:rsidRPr="00E206AF">
        <w:rPr>
          <w:rFonts w:ascii="Century" w:hAnsi="Century" w:cs="Miriam"/>
          <w:b/>
          <w:sz w:val="22"/>
          <w:rtl/>
        </w:rPr>
        <w:t xml:space="preserve"> </w:t>
      </w:r>
      <w:r w:rsidRPr="00E206AF">
        <w:rPr>
          <w:rFonts w:ascii="Century" w:hAnsi="Century" w:cs="Miriam" w:hint="eastAsia"/>
          <w:b/>
          <w:sz w:val="22"/>
          <w:rtl/>
        </w:rPr>
        <w:t>הדין</w:t>
      </w:r>
      <w:r w:rsidRPr="00E206AF">
        <w:rPr>
          <w:rFonts w:ascii="Century" w:hAnsi="Century" w:cs="Miriam"/>
          <w:b/>
          <w:sz w:val="22"/>
          <w:rtl/>
        </w:rPr>
        <w:t xml:space="preserve"> </w:t>
      </w:r>
      <w:r w:rsidRPr="00E206AF">
        <w:rPr>
          <w:rFonts w:ascii="Century" w:hAnsi="Century" w:cs="Miriam" w:hint="eastAsia"/>
          <w:b/>
          <w:sz w:val="22"/>
          <w:rtl/>
        </w:rPr>
        <w:t>הארצי</w:t>
      </w:r>
      <w:r w:rsidRPr="00E206AF">
        <w:rPr>
          <w:rFonts w:ascii="Century" w:hAnsi="Century" w:cs="Miriam"/>
          <w:b/>
          <w:sz w:val="22"/>
          <w:rtl/>
        </w:rPr>
        <w:t xml:space="preserve"> </w:t>
      </w:r>
      <w:r w:rsidRPr="00E206AF">
        <w:rPr>
          <w:rFonts w:ascii="Century" w:hAnsi="Century" w:cs="Miriam" w:hint="eastAsia"/>
          <w:b/>
          <w:sz w:val="22"/>
          <w:rtl/>
        </w:rPr>
        <w:t>לעבודה</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פ"ד </w:t>
      </w:r>
      <w:r w:rsidRPr="00E206AF">
        <w:rPr>
          <w:rFonts w:ascii="Century" w:hAnsi="Century" w:cs="FrankRuehl" w:hint="eastAsia"/>
          <w:spacing w:val="10"/>
          <w:sz w:val="22"/>
          <w:szCs w:val="28"/>
          <w:rtl/>
        </w:rPr>
        <w:t>סד</w:t>
      </w:r>
      <w:r w:rsidRPr="00E206AF">
        <w:rPr>
          <w:rFonts w:ascii="Century" w:hAnsi="Century" w:cs="FrankRuehl"/>
          <w:spacing w:val="10"/>
          <w:sz w:val="22"/>
          <w:szCs w:val="28"/>
          <w:rtl/>
        </w:rPr>
        <w:t>(3) 204, 232 (2011)</w:t>
      </w:r>
      <w:r w:rsidRPr="00E206AF">
        <w:rPr>
          <w:rFonts w:ascii="Century" w:hAnsi="Century" w:cs="FrankRuehl" w:hint="cs"/>
          <w:spacing w:val="10"/>
          <w:sz w:val="22"/>
          <w:szCs w:val="28"/>
          <w:rtl/>
        </w:rPr>
        <w:t>).</w:t>
      </w:r>
      <w:r w:rsidRPr="00E206AF">
        <w:rPr>
          <w:rFonts w:ascii="Century" w:hAnsi="Century" w:cs="FrankRuehl"/>
          <w:spacing w:val="10"/>
          <w:sz w:val="22"/>
          <w:szCs w:val="28"/>
        </w:rPr>
        <w:t xml:space="preserve"> </w:t>
      </w:r>
      <w:r w:rsidRPr="00E206AF">
        <w:rPr>
          <w:rFonts w:ascii="Century" w:hAnsi="Century" w:cs="FrankRuehl" w:hint="cs"/>
          <w:spacing w:val="10"/>
          <w:sz w:val="22"/>
          <w:szCs w:val="28"/>
          <w:rtl/>
        </w:rPr>
        <w:t xml:space="preserve">על כן, בבחינת הסוגיה המשפטית העומדת לפתחנו, אין מקום להתחשב ברעיונות, </w:t>
      </w:r>
      <w:r>
        <w:rPr>
          <w:rFonts w:ascii="Century" w:hAnsi="Century" w:cs="FrankRuehl" w:hint="cs"/>
          <w:spacing w:val="10"/>
          <w:sz w:val="22"/>
          <w:szCs w:val="28"/>
          <w:rtl/>
        </w:rPr>
        <w:t>ב</w:t>
      </w:r>
      <w:r w:rsidRPr="00E206AF">
        <w:rPr>
          <w:rFonts w:ascii="Century" w:hAnsi="Century" w:cs="FrankRuehl" w:hint="cs"/>
          <w:spacing w:val="10"/>
          <w:sz w:val="22"/>
          <w:szCs w:val="28"/>
          <w:rtl/>
        </w:rPr>
        <w:t xml:space="preserve">הצעות </w:t>
      </w:r>
      <w:r>
        <w:rPr>
          <w:rFonts w:ascii="Century" w:hAnsi="Century" w:cs="FrankRuehl" w:hint="cs"/>
          <w:spacing w:val="10"/>
          <w:sz w:val="22"/>
          <w:szCs w:val="28"/>
          <w:rtl/>
        </w:rPr>
        <w:t>לחקיקה,</w:t>
      </w:r>
      <w:r w:rsidRPr="00E206AF">
        <w:rPr>
          <w:rFonts w:ascii="Century" w:hAnsi="Century" w:cs="FrankRuehl" w:hint="cs"/>
          <w:spacing w:val="10"/>
          <w:sz w:val="22"/>
          <w:szCs w:val="28"/>
          <w:rtl/>
        </w:rPr>
        <w:t xml:space="preserve"> ובמעשי שלטון שטרם </w:t>
      </w:r>
      <w:r>
        <w:rPr>
          <w:rFonts w:ascii="Century" w:hAnsi="Century" w:cs="FrankRuehl" w:hint="cs"/>
          <w:spacing w:val="10"/>
          <w:sz w:val="22"/>
          <w:szCs w:val="28"/>
          <w:rtl/>
        </w:rPr>
        <w:t>הבשילו, באופן המאפשר להעביר את שבט הביקורת השיפוטית עליהן</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מושכל יסוד הוא, כי יש לבחון</w:t>
      </w:r>
      <w:r w:rsidRPr="00E206AF">
        <w:rPr>
          <w:rFonts w:ascii="Century" w:hAnsi="Century" w:cs="FrankRuehl" w:hint="cs"/>
          <w:spacing w:val="10"/>
          <w:sz w:val="22"/>
          <w:szCs w:val="28"/>
          <w:rtl/>
        </w:rPr>
        <w:t xml:space="preserve"> כל סוגיה משפטית בראי המצב המשפטי הקיים בעת </w:t>
      </w:r>
      <w:r w:rsidRPr="004836EA">
        <w:rPr>
          <w:rFonts w:ascii="Century" w:hAnsi="Century" w:cs="FrankRuehl" w:hint="cs"/>
          <w:spacing w:val="10"/>
          <w:sz w:val="22"/>
          <w:szCs w:val="28"/>
          <w:rtl/>
        </w:rPr>
        <w:t xml:space="preserve">הבחינה, שכן; כידוע, יש להביא לפתחו של בית משפט זה אך ורק "מוצר מוגמר". </w:t>
      </w:r>
    </w:p>
    <w:p w:rsidR="00E32081" w:rsidRPr="004836EA" w:rsidRDefault="00E32081" w:rsidP="00E32081">
      <w:pPr>
        <w:tabs>
          <w:tab w:val="left" w:pos="800"/>
        </w:tabs>
        <w:spacing w:line="360" w:lineRule="auto"/>
        <w:jc w:val="both"/>
        <w:rPr>
          <w:rFonts w:ascii="Arial TUR" w:hAnsi="Arial TUR" w:cs="FrankRuehl"/>
          <w:spacing w:val="10"/>
          <w:sz w:val="22"/>
          <w:szCs w:val="28"/>
          <w:rtl/>
        </w:rPr>
      </w:pPr>
    </w:p>
    <w:p w:rsidR="00E32081" w:rsidRPr="004836EA" w:rsidRDefault="00E32081" w:rsidP="00E32081">
      <w:pPr>
        <w:tabs>
          <w:tab w:val="left" w:pos="800"/>
        </w:tabs>
        <w:spacing w:line="360" w:lineRule="auto"/>
        <w:jc w:val="both"/>
        <w:rPr>
          <w:rFonts w:ascii="Century" w:hAnsi="Century" w:cs="Miriam"/>
          <w:b/>
          <w:sz w:val="22"/>
          <w:rtl/>
        </w:rPr>
      </w:pPr>
      <w:r w:rsidRPr="004836EA">
        <w:rPr>
          <w:rFonts w:ascii="Century" w:hAnsi="Century" w:cs="Miriam" w:hint="cs"/>
          <w:b/>
          <w:sz w:val="22"/>
          <w:rtl/>
        </w:rPr>
        <w:t>לעת חתימה: ניתן לפרש את התיקון פרשנות מקיימת</w:t>
      </w:r>
    </w:p>
    <w:p w:rsidR="00E32081" w:rsidRPr="004836EA" w:rsidRDefault="00E32081" w:rsidP="00E32081">
      <w:pPr>
        <w:tabs>
          <w:tab w:val="left" w:pos="800"/>
        </w:tabs>
        <w:spacing w:line="360" w:lineRule="auto"/>
        <w:jc w:val="both"/>
        <w:rPr>
          <w:rFonts w:ascii="Century" w:hAnsi="Century" w:cs="Miriam"/>
          <w:b/>
          <w:sz w:val="22"/>
          <w:rtl/>
        </w:rPr>
      </w:pPr>
    </w:p>
    <w:p w:rsidR="00E32081" w:rsidRPr="004836EA" w:rsidRDefault="00E32081" w:rsidP="00E32081">
      <w:pPr>
        <w:tabs>
          <w:tab w:val="left" w:pos="800"/>
        </w:tabs>
        <w:spacing w:line="360" w:lineRule="auto"/>
        <w:jc w:val="both"/>
        <w:rPr>
          <w:rFonts w:ascii="Century" w:hAnsi="Century" w:cs="FrankRuehl"/>
          <w:spacing w:val="10"/>
          <w:sz w:val="22"/>
          <w:szCs w:val="28"/>
          <w:rtl/>
        </w:rPr>
      </w:pPr>
      <w:r w:rsidRPr="004836EA">
        <w:rPr>
          <w:rFonts w:ascii="Century" w:hAnsi="Century" w:cs="FrankRuehl" w:hint="cs"/>
          <w:spacing w:val="10"/>
          <w:sz w:val="22"/>
          <w:szCs w:val="28"/>
          <w:rtl/>
        </w:rPr>
        <w:t>87.</w:t>
      </w:r>
      <w:r w:rsidRPr="004836EA">
        <w:rPr>
          <w:rFonts w:ascii="Arial TUR" w:hAnsi="Arial TUR" w:cs="FrankRuehl"/>
          <w:spacing w:val="10"/>
          <w:sz w:val="22"/>
          <w:szCs w:val="28"/>
          <w:rtl/>
        </w:rPr>
        <w:tab/>
      </w:r>
      <w:r w:rsidRPr="004836EA">
        <w:rPr>
          <w:rFonts w:ascii="Arial TUR" w:hAnsi="Arial TUR" w:cs="FrankRuehl" w:hint="cs"/>
          <w:spacing w:val="10"/>
          <w:sz w:val="22"/>
          <w:szCs w:val="28"/>
          <w:rtl/>
        </w:rPr>
        <w:t xml:space="preserve">בתום מסענו, ראינו כי </w:t>
      </w:r>
      <w:r w:rsidRPr="004836EA">
        <w:rPr>
          <w:rFonts w:ascii="Arial TUR" w:hAnsi="Arial TUR" w:cs="FrankRuehl" w:hint="eastAsia"/>
          <w:spacing w:val="10"/>
          <w:sz w:val="22"/>
          <w:szCs w:val="28"/>
          <w:rtl/>
        </w:rPr>
        <w:t>פרשנות</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שלפיה</w:t>
      </w:r>
      <w:r w:rsidRPr="004836EA">
        <w:rPr>
          <w:rFonts w:ascii="Arial TUR" w:hAnsi="Arial TUR" w:cs="FrankRuehl"/>
          <w:spacing w:val="10"/>
          <w:sz w:val="22"/>
          <w:szCs w:val="28"/>
          <w:rtl/>
        </w:rPr>
        <w:t xml:space="preserve"> </w:t>
      </w:r>
      <w:r w:rsidRPr="004836EA">
        <w:rPr>
          <w:rFonts w:ascii="Arial TUR" w:hAnsi="Arial TUR" w:cs="FrankRuehl" w:hint="cs"/>
          <w:spacing w:val="10"/>
          <w:sz w:val="22"/>
          <w:szCs w:val="28"/>
          <w:rtl/>
        </w:rPr>
        <w:t xml:space="preserve">התיקון </w:t>
      </w:r>
      <w:r w:rsidRPr="004836EA">
        <w:rPr>
          <w:rFonts w:ascii="Arial TUR" w:hAnsi="Arial TUR" w:cs="FrankRuehl" w:hint="eastAsia"/>
          <w:spacing w:val="10"/>
          <w:sz w:val="22"/>
          <w:szCs w:val="28"/>
          <w:rtl/>
        </w:rPr>
        <w:t>מתייחס</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לעילת</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הסבירות</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האיזונית</w:t>
      </w:r>
      <w:r w:rsidRPr="004836EA">
        <w:rPr>
          <w:rFonts w:ascii="Arial TUR" w:hAnsi="Arial TUR" w:cs="FrankRuehl"/>
          <w:spacing w:val="10"/>
          <w:sz w:val="22"/>
          <w:szCs w:val="28"/>
          <w:rtl/>
        </w:rPr>
        <w:t xml:space="preserve"> </w:t>
      </w:r>
      <w:r w:rsidRPr="004836EA">
        <w:rPr>
          <w:rFonts w:ascii="Arial TUR" w:hAnsi="Arial TUR" w:cs="FrankRuehl" w:hint="cs"/>
          <w:spacing w:val="10"/>
          <w:sz w:val="22"/>
          <w:szCs w:val="28"/>
          <w:rtl/>
        </w:rPr>
        <w:t xml:space="preserve">בלבד, </w:t>
      </w:r>
      <w:r w:rsidRPr="004836EA">
        <w:rPr>
          <w:rFonts w:ascii="Arial TUR" w:hAnsi="Arial TUR" w:cs="FrankRuehl" w:hint="eastAsia"/>
          <w:spacing w:val="10"/>
          <w:sz w:val="22"/>
          <w:szCs w:val="28"/>
          <w:rtl/>
        </w:rPr>
        <w:t>היא</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אפשרית</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מבחינ</w:t>
      </w:r>
      <w:r w:rsidRPr="004836EA">
        <w:rPr>
          <w:rFonts w:ascii="Arial TUR" w:hAnsi="Arial TUR" w:cs="FrankRuehl" w:hint="cs"/>
          <w:spacing w:val="10"/>
          <w:sz w:val="22"/>
          <w:szCs w:val="28"/>
          <w:rtl/>
        </w:rPr>
        <w:t>ה</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לשו</w:t>
      </w:r>
      <w:r w:rsidRPr="004836EA">
        <w:rPr>
          <w:rFonts w:ascii="Arial TUR" w:hAnsi="Arial TUR" w:cs="FrankRuehl" w:hint="cs"/>
          <w:spacing w:val="10"/>
          <w:sz w:val="22"/>
          <w:szCs w:val="28"/>
          <w:rtl/>
        </w:rPr>
        <w:t>נית;</w:t>
      </w:r>
      <w:r w:rsidRPr="004836EA">
        <w:rPr>
          <w:rFonts w:ascii="Arial TUR" w:hAnsi="Arial TUR" w:cs="FrankRuehl"/>
          <w:spacing w:val="10"/>
          <w:sz w:val="22"/>
          <w:szCs w:val="28"/>
          <w:rtl/>
        </w:rPr>
        <w:t xml:space="preserve"> </w:t>
      </w:r>
      <w:r w:rsidRPr="004836EA">
        <w:rPr>
          <w:rFonts w:ascii="Arial TUR" w:hAnsi="Arial TUR" w:cs="FrankRuehl" w:hint="cs"/>
          <w:spacing w:val="10"/>
          <w:sz w:val="22"/>
          <w:szCs w:val="28"/>
          <w:rtl/>
        </w:rPr>
        <w:t>יש לה יסוד</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בתכלית</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הסובייקטיבית</w:t>
      </w:r>
      <w:r w:rsidRPr="004836EA">
        <w:rPr>
          <w:rFonts w:ascii="Arial TUR" w:hAnsi="Arial TUR" w:cs="FrankRuehl" w:hint="cs"/>
          <w:spacing w:val="10"/>
          <w:sz w:val="22"/>
          <w:szCs w:val="28"/>
          <w:rtl/>
        </w:rPr>
        <w:t xml:space="preserve"> של התיקון; </w:t>
      </w:r>
      <w:r w:rsidRPr="004836EA">
        <w:rPr>
          <w:rFonts w:ascii="Arial TUR" w:hAnsi="Arial TUR" w:cs="FrankRuehl" w:hint="eastAsia"/>
          <w:spacing w:val="10"/>
          <w:sz w:val="22"/>
          <w:szCs w:val="28"/>
          <w:rtl/>
        </w:rPr>
        <w:t>ו</w:t>
      </w:r>
      <w:r w:rsidRPr="004836EA">
        <w:rPr>
          <w:rFonts w:ascii="Arial TUR" w:hAnsi="Arial TUR" w:cs="FrankRuehl" w:hint="cs"/>
          <w:spacing w:val="10"/>
          <w:sz w:val="22"/>
          <w:szCs w:val="28"/>
          <w:rtl/>
        </w:rPr>
        <w:t xml:space="preserve">היא </w:t>
      </w:r>
      <w:r w:rsidRPr="004836EA">
        <w:rPr>
          <w:rFonts w:ascii="Arial TUR" w:hAnsi="Arial TUR" w:cs="FrankRuehl" w:hint="eastAsia"/>
          <w:spacing w:val="10"/>
          <w:sz w:val="22"/>
          <w:szCs w:val="28"/>
          <w:rtl/>
        </w:rPr>
        <w:t>מגשימה</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באופן</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מיטבי</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את</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תכלית</w:t>
      </w:r>
      <w:r w:rsidRPr="004836EA">
        <w:rPr>
          <w:rFonts w:ascii="Arial TUR" w:hAnsi="Arial TUR" w:cs="FrankRuehl" w:hint="cs"/>
          <w:spacing w:val="10"/>
          <w:sz w:val="22"/>
          <w:szCs w:val="28"/>
          <w:rtl/>
        </w:rPr>
        <w:t>ו</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האובייקטיבית</w:t>
      </w:r>
      <w:r w:rsidRPr="004836EA">
        <w:rPr>
          <w:rFonts w:ascii="Arial TUR" w:hAnsi="Arial TUR" w:cs="FrankRuehl"/>
          <w:spacing w:val="10"/>
          <w:sz w:val="22"/>
          <w:szCs w:val="28"/>
          <w:rtl/>
        </w:rPr>
        <w:t xml:space="preserve">. </w:t>
      </w:r>
      <w:r w:rsidRPr="004836EA">
        <w:rPr>
          <w:rFonts w:ascii="Arial TUR" w:hAnsi="Arial TUR" w:cs="FrankRuehl" w:hint="cs"/>
          <w:spacing w:val="10"/>
          <w:sz w:val="22"/>
          <w:szCs w:val="28"/>
          <w:rtl/>
        </w:rPr>
        <w:t xml:space="preserve">בהינתן פרשנות כאמור, התיקון אינו </w:t>
      </w:r>
      <w:r w:rsidRPr="004836EA">
        <w:rPr>
          <w:rFonts w:ascii="Arial TUR" w:hAnsi="Arial TUR" w:cs="FrankRuehl" w:hint="eastAsia"/>
          <w:spacing w:val="10"/>
          <w:sz w:val="22"/>
          <w:szCs w:val="28"/>
          <w:rtl/>
        </w:rPr>
        <w:t>פוגע</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בליבת</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הזהות</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הדמוקרטית</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של</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מדינת</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ישראל</w:t>
      </w:r>
      <w:r w:rsidRPr="004836EA">
        <w:rPr>
          <w:rFonts w:ascii="Arial TUR" w:hAnsi="Arial TUR" w:cs="FrankRuehl" w:hint="cs"/>
          <w:spacing w:val="10"/>
          <w:sz w:val="22"/>
          <w:szCs w:val="28"/>
          <w:rtl/>
        </w:rPr>
        <w:t xml:space="preserve">, וממילא אינו בא </w:t>
      </w:r>
      <w:r w:rsidRPr="004836EA">
        <w:rPr>
          <w:rFonts w:ascii="Arial TUR" w:hAnsi="Arial TUR" w:cs="FrankRuehl"/>
          <w:spacing w:val="10"/>
          <w:sz w:val="22"/>
          <w:szCs w:val="28"/>
          <w:rtl/>
        </w:rPr>
        <w:t>–</w:t>
      </w:r>
      <w:r w:rsidRPr="004836EA">
        <w:rPr>
          <w:rFonts w:ascii="Arial TUR" w:hAnsi="Arial TUR" w:cs="FrankRuehl" w:hint="cs"/>
          <w:spacing w:val="10"/>
          <w:sz w:val="22"/>
          <w:szCs w:val="28"/>
          <w:rtl/>
        </w:rPr>
        <w:t xml:space="preserve"> </w:t>
      </w:r>
      <w:r w:rsidRPr="004836EA">
        <w:rPr>
          <w:rFonts w:ascii="Century" w:hAnsi="Century" w:cs="Miriam" w:hint="cs"/>
          <w:b/>
          <w:sz w:val="22"/>
          <w:rtl/>
        </w:rPr>
        <w:t>אף לא בקירוב</w:t>
      </w:r>
      <w:r w:rsidRPr="004836EA">
        <w:rPr>
          <w:rFonts w:ascii="Arial TUR" w:hAnsi="Arial TUR" w:cs="FrankRuehl" w:hint="cs"/>
          <w:spacing w:val="10"/>
          <w:sz w:val="22"/>
          <w:szCs w:val="28"/>
          <w:rtl/>
        </w:rPr>
        <w:t xml:space="preserve"> </w:t>
      </w:r>
      <w:r w:rsidRPr="004836EA">
        <w:rPr>
          <w:rFonts w:ascii="Arial TUR" w:hAnsi="Arial TUR" w:cs="FrankRuehl"/>
          <w:spacing w:val="10"/>
          <w:sz w:val="22"/>
          <w:szCs w:val="28"/>
          <w:rtl/>
        </w:rPr>
        <w:t>–</w:t>
      </w:r>
      <w:r w:rsidRPr="004836EA">
        <w:rPr>
          <w:rFonts w:ascii="Arial TUR" w:hAnsi="Arial TUR" w:cs="FrankRuehl" w:hint="cs"/>
          <w:spacing w:val="10"/>
          <w:sz w:val="22"/>
          <w:szCs w:val="28"/>
          <w:rtl/>
        </w:rPr>
        <w:t xml:space="preserve"> בגדר המקרים החריגים שבהם בית המשפט יתערב בתוכנה של חקיקת יסוד. לנוכח הכלל המושרש בפסיקתנו, שלפיו לעולם יש להעדיף פרשנות אשר</w:t>
      </w:r>
      <w:r w:rsidRPr="004836EA">
        <w:rPr>
          <w:rFonts w:ascii="Century" w:hAnsi="Century" w:cs="FrankRuehl"/>
          <w:spacing w:val="10"/>
          <w:sz w:val="22"/>
          <w:szCs w:val="28"/>
          <w:rtl/>
        </w:rPr>
        <w:t xml:space="preserve"> </w:t>
      </w:r>
      <w:r w:rsidRPr="004836EA">
        <w:rPr>
          <w:rFonts w:ascii="Century" w:hAnsi="Century" w:cs="FrankRuehl" w:hint="eastAsia"/>
          <w:spacing w:val="10"/>
          <w:sz w:val="22"/>
          <w:szCs w:val="28"/>
          <w:rtl/>
        </w:rPr>
        <w:t>מקיימת</w:t>
      </w:r>
      <w:r w:rsidRPr="004836EA">
        <w:rPr>
          <w:rFonts w:ascii="Century" w:hAnsi="Century" w:cs="FrankRuehl"/>
          <w:spacing w:val="10"/>
          <w:sz w:val="22"/>
          <w:szCs w:val="28"/>
          <w:rtl/>
        </w:rPr>
        <w:t xml:space="preserve"> </w:t>
      </w:r>
      <w:r w:rsidRPr="004836EA">
        <w:rPr>
          <w:rFonts w:ascii="Century" w:hAnsi="Century" w:cs="FrankRuehl" w:hint="eastAsia"/>
          <w:spacing w:val="10"/>
          <w:sz w:val="22"/>
          <w:szCs w:val="28"/>
          <w:rtl/>
        </w:rPr>
        <w:t>את</w:t>
      </w:r>
      <w:r w:rsidRPr="004836EA">
        <w:rPr>
          <w:rFonts w:ascii="Century" w:hAnsi="Century" w:cs="FrankRuehl"/>
          <w:spacing w:val="10"/>
          <w:sz w:val="22"/>
          <w:szCs w:val="28"/>
          <w:rtl/>
        </w:rPr>
        <w:t xml:space="preserve"> </w:t>
      </w:r>
      <w:r w:rsidRPr="004836EA">
        <w:rPr>
          <w:rFonts w:ascii="Century" w:hAnsi="Century" w:cs="FrankRuehl" w:hint="eastAsia"/>
          <w:spacing w:val="10"/>
          <w:sz w:val="22"/>
          <w:szCs w:val="28"/>
          <w:rtl/>
        </w:rPr>
        <w:t>דבר</w:t>
      </w:r>
      <w:r w:rsidRPr="004836EA">
        <w:rPr>
          <w:rFonts w:ascii="Century" w:hAnsi="Century" w:cs="FrankRuehl"/>
          <w:spacing w:val="10"/>
          <w:sz w:val="22"/>
          <w:szCs w:val="28"/>
          <w:rtl/>
        </w:rPr>
        <w:t xml:space="preserve"> </w:t>
      </w:r>
      <w:r w:rsidRPr="004836EA">
        <w:rPr>
          <w:rFonts w:ascii="Century" w:hAnsi="Century" w:cs="FrankRuehl" w:hint="eastAsia"/>
          <w:spacing w:val="10"/>
          <w:sz w:val="22"/>
          <w:szCs w:val="28"/>
          <w:rtl/>
        </w:rPr>
        <w:t>החקיקה</w:t>
      </w:r>
      <w:r w:rsidRPr="004836EA">
        <w:rPr>
          <w:rFonts w:ascii="Century" w:hAnsi="Century" w:cs="FrankRuehl" w:hint="cs"/>
          <w:spacing w:val="10"/>
          <w:sz w:val="22"/>
          <w:szCs w:val="28"/>
          <w:rtl/>
        </w:rPr>
        <w:t>, על פני פרשנות שעלולה להוביל לבטלותו, אין לנו אלא לאמץ את הפרשנות המקיימת המפורטת לעיל.</w:t>
      </w:r>
    </w:p>
    <w:p w:rsidR="00E32081" w:rsidRPr="004836EA" w:rsidRDefault="00E32081" w:rsidP="00E32081">
      <w:pPr>
        <w:tabs>
          <w:tab w:val="left" w:pos="800"/>
        </w:tabs>
        <w:spacing w:line="360" w:lineRule="auto"/>
        <w:jc w:val="both"/>
        <w:rPr>
          <w:rFonts w:ascii="Century" w:hAnsi="Century" w:cs="FrankRuehl"/>
          <w:spacing w:val="10"/>
          <w:sz w:val="22"/>
          <w:szCs w:val="28"/>
          <w:rtl/>
        </w:rPr>
      </w:pPr>
    </w:p>
    <w:p w:rsidR="00E32081" w:rsidRPr="004836EA" w:rsidRDefault="00E32081" w:rsidP="00E32081">
      <w:pPr>
        <w:tabs>
          <w:tab w:val="left" w:pos="800"/>
        </w:tabs>
        <w:spacing w:line="360" w:lineRule="auto"/>
        <w:jc w:val="both"/>
        <w:rPr>
          <w:rFonts w:ascii="Century" w:hAnsi="Century" w:cs="Miriam"/>
          <w:b/>
          <w:sz w:val="22"/>
          <w:rtl/>
        </w:rPr>
      </w:pPr>
      <w:r w:rsidRPr="004836EA">
        <w:rPr>
          <w:rFonts w:ascii="Century" w:hAnsi="Century" w:cs="Miriam" w:hint="cs"/>
          <w:b/>
          <w:sz w:val="22"/>
          <w:rtl/>
        </w:rPr>
        <w:t>התייחסות לטענות נוספות של העותרים</w:t>
      </w:r>
    </w:p>
    <w:p w:rsidR="00E32081" w:rsidRPr="004836EA" w:rsidRDefault="00E32081" w:rsidP="00E32081">
      <w:pPr>
        <w:tabs>
          <w:tab w:val="left" w:pos="800"/>
        </w:tabs>
        <w:spacing w:line="360" w:lineRule="auto"/>
        <w:jc w:val="both"/>
        <w:rPr>
          <w:rFonts w:ascii="Century" w:hAnsi="Century" w:cs="Miriam"/>
          <w:b/>
          <w:sz w:val="22"/>
          <w:rtl/>
        </w:rPr>
      </w:pPr>
    </w:p>
    <w:p w:rsidR="00E32081" w:rsidRPr="004836EA" w:rsidRDefault="00E32081" w:rsidP="00E32081">
      <w:pPr>
        <w:tabs>
          <w:tab w:val="left" w:pos="800"/>
        </w:tabs>
        <w:spacing w:line="360" w:lineRule="auto"/>
        <w:jc w:val="both"/>
        <w:rPr>
          <w:rFonts w:ascii="Century" w:hAnsi="Century" w:cs="FrankRuehl"/>
          <w:spacing w:val="10"/>
          <w:sz w:val="22"/>
          <w:szCs w:val="28"/>
          <w:rtl/>
        </w:rPr>
      </w:pPr>
      <w:r w:rsidRPr="004836EA">
        <w:rPr>
          <w:rFonts w:ascii="Century" w:hAnsi="Century" w:cs="FrankRuehl"/>
          <w:spacing w:val="10"/>
          <w:sz w:val="22"/>
          <w:szCs w:val="28"/>
          <w:rtl/>
        </w:rPr>
        <w:t>88.</w:t>
      </w:r>
      <w:r w:rsidRPr="004836EA">
        <w:rPr>
          <w:rFonts w:ascii="Century" w:hAnsi="Century" w:cs="FrankRuehl" w:hint="cs"/>
          <w:spacing w:val="10"/>
          <w:sz w:val="22"/>
          <w:szCs w:val="28"/>
          <w:rtl/>
        </w:rPr>
        <w:tab/>
        <w:t xml:space="preserve">אוסיף בקצרה, כי יש לדחות את טענת העותרים שלפיה התיקון נחקק תוך שימוש לרעה בסמכות המכוננת. התיקון עומד ללא קושי במבחן </w:t>
      </w:r>
      <w:r w:rsidRPr="004836EA">
        <w:rPr>
          <w:rFonts w:ascii="Century" w:hAnsi="Century" w:cs="Miriam" w:hint="eastAsia"/>
          <w:b/>
          <w:sz w:val="22"/>
          <w:rtl/>
        </w:rPr>
        <w:t>הכלליות</w:t>
      </w:r>
      <w:r w:rsidRPr="004836EA">
        <w:rPr>
          <w:rFonts w:ascii="Century" w:hAnsi="Century" w:cs="FrankRuehl" w:hint="cs"/>
          <w:spacing w:val="10"/>
          <w:sz w:val="22"/>
          <w:szCs w:val="28"/>
          <w:rtl/>
        </w:rPr>
        <w:t xml:space="preserve">, משעה שהוא בעל תחולה רחבה ובלתי-מסויגת במישור המהותי ובמישור הזמן. התיקון אף מקיים את מבחן </w:t>
      </w:r>
      <w:r w:rsidRPr="004836EA">
        <w:rPr>
          <w:rFonts w:ascii="Century" w:hAnsi="Century" w:cs="Miriam" w:hint="eastAsia"/>
          <w:b/>
          <w:sz w:val="22"/>
          <w:rtl/>
        </w:rPr>
        <w:t>ההתאמה</w:t>
      </w:r>
      <w:r w:rsidRPr="004836EA">
        <w:rPr>
          <w:rFonts w:ascii="Century" w:hAnsi="Century" w:cs="Miriam"/>
          <w:b/>
          <w:sz w:val="22"/>
          <w:rtl/>
        </w:rPr>
        <w:t xml:space="preserve"> </w:t>
      </w:r>
      <w:r w:rsidRPr="004836EA">
        <w:rPr>
          <w:rFonts w:ascii="Century" w:hAnsi="Century" w:cs="Miriam" w:hint="eastAsia"/>
          <w:b/>
          <w:sz w:val="22"/>
          <w:rtl/>
        </w:rPr>
        <w:t>למארג</w:t>
      </w:r>
      <w:r w:rsidRPr="004836EA">
        <w:rPr>
          <w:rFonts w:ascii="Century" w:hAnsi="Century" w:cs="Miriam"/>
          <w:b/>
          <w:sz w:val="22"/>
          <w:rtl/>
        </w:rPr>
        <w:t xml:space="preserve"> </w:t>
      </w:r>
      <w:r w:rsidRPr="004836EA">
        <w:rPr>
          <w:rFonts w:ascii="Century" w:hAnsi="Century" w:cs="Miriam" w:hint="eastAsia"/>
          <w:b/>
          <w:sz w:val="22"/>
          <w:rtl/>
        </w:rPr>
        <w:t>החוקתי</w:t>
      </w:r>
      <w:r w:rsidRPr="004836EA">
        <w:rPr>
          <w:rFonts w:ascii="Century" w:hAnsi="Century" w:cs="FrankRuehl" w:hint="cs"/>
          <w:spacing w:val="10"/>
          <w:sz w:val="22"/>
          <w:szCs w:val="28"/>
          <w:rtl/>
        </w:rPr>
        <w:t xml:space="preserve">. </w:t>
      </w:r>
      <w:r w:rsidRPr="004836EA">
        <w:rPr>
          <w:rFonts w:ascii="Century" w:hAnsi="Century" w:cs="FrankRuehl"/>
          <w:spacing w:val="10"/>
          <w:sz w:val="22"/>
          <w:szCs w:val="28"/>
          <w:rtl/>
        </w:rPr>
        <w:t>סמכות הביקורת השיפוטית</w:t>
      </w:r>
      <w:r w:rsidRPr="004836EA">
        <w:rPr>
          <w:rFonts w:ascii="Century" w:hAnsi="Century" w:cs="FrankRuehl" w:hint="cs"/>
          <w:spacing w:val="10"/>
          <w:sz w:val="22"/>
          <w:szCs w:val="28"/>
          <w:rtl/>
        </w:rPr>
        <w:t xml:space="preserve"> </w:t>
      </w:r>
      <w:r w:rsidRPr="004836EA">
        <w:rPr>
          <w:rFonts w:ascii="Century" w:hAnsi="Century" w:cs="FrankRuehl"/>
          <w:spacing w:val="10"/>
          <w:sz w:val="22"/>
          <w:szCs w:val="28"/>
          <w:rtl/>
        </w:rPr>
        <w:t>מעוגנת בחוק יסוד: השפיטה; ועל כן</w:t>
      </w:r>
      <w:r w:rsidRPr="004836EA">
        <w:rPr>
          <w:rFonts w:ascii="Century" w:hAnsi="Century" w:cs="FrankRuehl" w:hint="cs"/>
          <w:spacing w:val="10"/>
          <w:sz w:val="22"/>
          <w:szCs w:val="28"/>
          <w:rtl/>
        </w:rPr>
        <w:t>,</w:t>
      </w:r>
      <w:r w:rsidRPr="004836EA">
        <w:rPr>
          <w:rFonts w:ascii="Century" w:hAnsi="Century" w:cs="FrankRuehl"/>
          <w:spacing w:val="10"/>
          <w:sz w:val="22"/>
          <w:szCs w:val="28"/>
          <w:rtl/>
        </w:rPr>
        <w:t xml:space="preserve"> </w:t>
      </w:r>
      <w:r w:rsidRPr="004836EA">
        <w:rPr>
          <w:rFonts w:ascii="Century" w:hAnsi="Century" w:cs="FrankRuehl" w:hint="cs"/>
          <w:spacing w:val="10"/>
          <w:sz w:val="22"/>
          <w:szCs w:val="28"/>
          <w:rtl/>
        </w:rPr>
        <w:t>מטבע הדברים,</w:t>
      </w:r>
      <w:r w:rsidRPr="004836EA">
        <w:rPr>
          <w:rFonts w:ascii="Century" w:hAnsi="Century" w:cs="FrankRuehl"/>
          <w:spacing w:val="10"/>
          <w:sz w:val="22"/>
          <w:szCs w:val="28"/>
          <w:rtl/>
        </w:rPr>
        <w:t xml:space="preserve"> צמצום</w:t>
      </w:r>
      <w:r w:rsidRPr="004836EA">
        <w:rPr>
          <w:rFonts w:ascii="Century" w:hAnsi="Century" w:cs="FrankRuehl" w:hint="cs"/>
          <w:spacing w:val="10"/>
          <w:sz w:val="22"/>
          <w:szCs w:val="28"/>
          <w:rtl/>
        </w:rPr>
        <w:t xml:space="preserve"> היקף</w:t>
      </w:r>
      <w:r w:rsidRPr="004836EA">
        <w:rPr>
          <w:rFonts w:ascii="Century" w:hAnsi="Century" w:cs="FrankRuehl"/>
          <w:spacing w:val="10"/>
          <w:sz w:val="22"/>
          <w:szCs w:val="28"/>
          <w:rtl/>
        </w:rPr>
        <w:t xml:space="preserve"> הסמכות האמורה ייעשה באמצעות תיקון </w:t>
      </w:r>
      <w:r w:rsidRPr="004836EA">
        <w:rPr>
          <w:rFonts w:ascii="Century" w:hAnsi="Century" w:cs="FrankRuehl" w:hint="cs"/>
          <w:spacing w:val="10"/>
          <w:sz w:val="22"/>
          <w:szCs w:val="28"/>
          <w:rtl/>
        </w:rPr>
        <w:t xml:space="preserve">של אותו חוק יסוד. יתרה מכך, כפי שתואר לעיל, הביקורת השיפוטית על הרשות המבצעת הינה חלק בלתי-נפרד מליבת העקרונות החוקתיים של שלטון החוק והפרדת רשויות. </w:t>
      </w:r>
    </w:p>
    <w:p w:rsidR="00E32081" w:rsidRPr="004836EA" w:rsidRDefault="00E32081" w:rsidP="00E32081">
      <w:pPr>
        <w:tabs>
          <w:tab w:val="left" w:pos="800"/>
        </w:tabs>
        <w:spacing w:line="360" w:lineRule="auto"/>
        <w:jc w:val="both"/>
        <w:rPr>
          <w:rFonts w:ascii="Century" w:hAnsi="Century" w:cs="Miriam"/>
          <w:b/>
          <w:sz w:val="22"/>
          <w:rtl/>
        </w:rPr>
      </w:pPr>
    </w:p>
    <w:p w:rsidR="00E32081" w:rsidRPr="004836EA" w:rsidRDefault="00E32081" w:rsidP="00E32081">
      <w:pPr>
        <w:pStyle w:val="Ruller41"/>
        <w:rPr>
          <w:rtl/>
        </w:rPr>
      </w:pPr>
      <w:r w:rsidRPr="004836EA">
        <w:rPr>
          <w:rFonts w:ascii="Century" w:hAnsi="Century"/>
          <w:rtl/>
        </w:rPr>
        <w:t>89.</w:t>
      </w:r>
      <w:r w:rsidRPr="004836EA">
        <w:rPr>
          <w:rFonts w:ascii="Century" w:hAnsi="Century" w:cs="Miriam"/>
          <w:b/>
          <w:rtl/>
        </w:rPr>
        <w:tab/>
      </w:r>
      <w:r w:rsidRPr="004836EA">
        <w:rPr>
          <w:rFonts w:ascii="Century" w:hAnsi="Century"/>
          <w:rtl/>
        </w:rPr>
        <w:t xml:space="preserve">טענת העותרים </w:t>
      </w:r>
      <w:r w:rsidRPr="004836EA">
        <w:rPr>
          <w:rFonts w:ascii="Century" w:hAnsi="Century" w:hint="cs"/>
          <w:rtl/>
        </w:rPr>
        <w:t>שלפיה קיים</w:t>
      </w:r>
      <w:r w:rsidRPr="004836EA">
        <w:rPr>
          <w:rFonts w:ascii="Century" w:hAnsi="Century"/>
          <w:rtl/>
        </w:rPr>
        <w:t xml:space="preserve"> </w:t>
      </w:r>
      <w:r w:rsidRPr="004836EA">
        <w:rPr>
          <w:rFonts w:ascii="Century" w:hAnsi="Century" w:hint="cs"/>
          <w:rtl/>
        </w:rPr>
        <w:t>פגם יסודי</w:t>
      </w:r>
      <w:r w:rsidRPr="004836EA">
        <w:rPr>
          <w:rFonts w:ascii="Century" w:hAnsi="Century"/>
          <w:rtl/>
        </w:rPr>
        <w:t xml:space="preserve"> בחקיקת התיקון במתווה של גיבוש הצעת החוק מטעם ועדת חוקה</w:t>
      </w:r>
      <w:r w:rsidRPr="004836EA">
        <w:rPr>
          <w:rFonts w:ascii="Century" w:hAnsi="Century" w:hint="cs"/>
          <w:rtl/>
        </w:rPr>
        <w:t xml:space="preserve"> </w:t>
      </w:r>
      <w:r w:rsidRPr="004836EA">
        <w:rPr>
          <w:rFonts w:ascii="Century" w:hAnsi="Century"/>
          <w:rtl/>
        </w:rPr>
        <w:t>–</w:t>
      </w:r>
      <w:r w:rsidRPr="004836EA">
        <w:rPr>
          <w:rFonts w:ascii="Century" w:hAnsi="Century" w:hint="cs"/>
          <w:rtl/>
        </w:rPr>
        <w:t xml:space="preserve"> </w:t>
      </w:r>
      <w:r w:rsidRPr="004836EA">
        <w:rPr>
          <w:rFonts w:ascii="Century" w:hAnsi="Century"/>
          <w:rtl/>
        </w:rPr>
        <w:t>אף</w:t>
      </w:r>
      <w:r w:rsidRPr="004836EA">
        <w:rPr>
          <w:rFonts w:ascii="Century" w:hAnsi="Century" w:hint="cs"/>
          <w:rtl/>
        </w:rPr>
        <w:t xml:space="preserve"> </w:t>
      </w:r>
      <w:r w:rsidRPr="004836EA">
        <w:rPr>
          <w:rFonts w:ascii="Century" w:hAnsi="Century"/>
          <w:rtl/>
        </w:rPr>
        <w:t xml:space="preserve">היא </w:t>
      </w:r>
      <w:r w:rsidRPr="004836EA">
        <w:rPr>
          <w:rFonts w:ascii="Century" w:hAnsi="Century" w:hint="cs"/>
          <w:rtl/>
        </w:rPr>
        <w:t xml:space="preserve">דינה להידחות. הוראת סעיף 80 לתקנון הכנסת, אשר מסדירה סוגיה זו, מאפשרת לוועדה לקדם, בתחומי עניינה, הצעות לחקיקת חוקי-יסוד ואינה מטילה על הצעות אלו מגבלות נוספות; בנוסף, ההוראה אינה מצמצמת את ההצעות האמורות לעניינים המצויים בהסכמה רחבה בלבד. מכאן, שהוועדה הייתה </w:t>
      </w:r>
      <w:r w:rsidRPr="004836EA">
        <w:rPr>
          <w:rFonts w:ascii="Century" w:hAnsi="Century" w:hint="cs"/>
          <w:rtl/>
        </w:rPr>
        <w:lastRenderedPageBreak/>
        <w:t>רשאית לקדם את הצעת התיקון לחוק היסוד, כהצעה מטעמה. כך, גם סברה היועצת המשפטית לכנסת במסגרת הייעוץ המשפטי שהעניקה בזמנו לחברי הוועדה.</w:t>
      </w:r>
    </w:p>
    <w:p w:rsidR="00E32081" w:rsidRPr="004836EA" w:rsidRDefault="00E32081" w:rsidP="00E32081">
      <w:pPr>
        <w:pStyle w:val="Ruller41"/>
        <w:rPr>
          <w:rtl/>
        </w:rPr>
      </w:pPr>
    </w:p>
    <w:p w:rsidR="00E32081" w:rsidRPr="00E206AF" w:rsidRDefault="00E32081" w:rsidP="00E32081">
      <w:pPr>
        <w:tabs>
          <w:tab w:val="left" w:pos="800"/>
        </w:tabs>
        <w:spacing w:line="360" w:lineRule="auto"/>
        <w:jc w:val="both"/>
        <w:rPr>
          <w:rFonts w:ascii="Century" w:hAnsi="Century" w:cs="Miriam"/>
          <w:b/>
          <w:sz w:val="22"/>
          <w:rtl/>
        </w:rPr>
      </w:pPr>
      <w:r w:rsidRPr="004836EA">
        <w:rPr>
          <w:rFonts w:ascii="Century" w:hAnsi="Century" w:cs="Miriam" w:hint="cs"/>
          <w:b/>
          <w:sz w:val="22"/>
          <w:rtl/>
        </w:rPr>
        <w:t>סוף דבר</w:t>
      </w:r>
      <w:r w:rsidRPr="00E206AF">
        <w:rPr>
          <w:rFonts w:ascii="Century" w:hAnsi="Century" w:cs="Miriam" w:hint="cs"/>
          <w:b/>
          <w:sz w:val="22"/>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Pr>
          <w:rFonts w:ascii="Century" w:hAnsi="Century" w:cs="FrankRuehl" w:hint="cs"/>
          <w:spacing w:val="10"/>
          <w:sz w:val="22"/>
          <w:szCs w:val="28"/>
          <w:rtl/>
        </w:rPr>
        <w:t>90</w:t>
      </w:r>
      <w:r w:rsidRPr="00E206AF">
        <w:rPr>
          <w:rFonts w:ascii="Century" w:hAnsi="Century" w:cs="FrankRuehl" w:hint="cs"/>
          <w:spacing w:val="10"/>
          <w:sz w:val="22"/>
          <w:szCs w:val="28"/>
          <w:rtl/>
        </w:rPr>
        <w:t>.</w:t>
      </w:r>
      <w:r w:rsidRPr="00E206AF">
        <w:rPr>
          <w:rFonts w:ascii="Century" w:hAnsi="Century" w:cs="FrankRuehl" w:hint="cs"/>
          <w:spacing w:val="10"/>
          <w:sz w:val="22"/>
          <w:szCs w:val="28"/>
          <w:rtl/>
        </w:rPr>
        <w:tab/>
        <w:t>אסיים</w:t>
      </w:r>
      <w:r w:rsidRPr="00E206AF">
        <w:rPr>
          <w:rFonts w:ascii="Arial TUR" w:hAnsi="Arial TUR" w:cs="FrankRuehl" w:hint="cs"/>
          <w:spacing w:val="10"/>
          <w:sz w:val="22"/>
          <w:szCs w:val="28"/>
          <w:rtl/>
        </w:rPr>
        <w:t xml:space="preserve"> בדברים הבאים אשר עמדו לנגד עיניי בעת כתיבת פסק דיני זה: כידוע, ביטול חוק יסוד </w:t>
      </w:r>
      <w:r w:rsidRPr="007B3AB2">
        <w:rPr>
          <w:rFonts w:ascii="Arial TUR" w:hAnsi="Arial TUR" w:cs="FrankRuehl" w:hint="cs"/>
          <w:spacing w:val="10"/>
          <w:sz w:val="22"/>
          <w:szCs w:val="28"/>
          <w:rtl/>
        </w:rPr>
        <w:t xml:space="preserve">אינו </w:t>
      </w:r>
      <w:r w:rsidRPr="007B3AB2">
        <w:rPr>
          <w:rFonts w:ascii="Arial TUR" w:hAnsi="Arial TUR" w:cs="FrankRuehl" w:hint="eastAsia"/>
          <w:spacing w:val="10"/>
          <w:sz w:val="22"/>
          <w:szCs w:val="28"/>
          <w:rtl/>
        </w:rPr>
        <w:t>דבר</w:t>
      </w:r>
      <w:r w:rsidRPr="007B3AB2">
        <w:rPr>
          <w:rFonts w:ascii="Arial TUR" w:hAnsi="Arial TUR" w:cs="FrankRuehl"/>
          <w:spacing w:val="10"/>
          <w:sz w:val="22"/>
          <w:szCs w:val="28"/>
          <w:rtl/>
        </w:rPr>
        <w:t xml:space="preserve"> </w:t>
      </w:r>
      <w:r w:rsidRPr="007B3AB2">
        <w:rPr>
          <w:rFonts w:ascii="Arial TUR" w:hAnsi="Arial TUR" w:cs="FrankRuehl" w:hint="eastAsia"/>
          <w:spacing w:val="10"/>
          <w:sz w:val="22"/>
          <w:szCs w:val="28"/>
          <w:rtl/>
        </w:rPr>
        <w:t>של</w:t>
      </w:r>
      <w:r w:rsidRPr="007B3AB2">
        <w:rPr>
          <w:rFonts w:ascii="Arial TUR" w:hAnsi="Arial TUR" w:cs="FrankRuehl"/>
          <w:spacing w:val="10"/>
          <w:sz w:val="22"/>
          <w:szCs w:val="28"/>
          <w:rtl/>
        </w:rPr>
        <w:t xml:space="preserve"> </w:t>
      </w:r>
      <w:r w:rsidRPr="007B3AB2">
        <w:rPr>
          <w:rFonts w:ascii="Arial TUR" w:hAnsi="Arial TUR" w:cs="FrankRuehl" w:hint="eastAsia"/>
          <w:spacing w:val="10"/>
          <w:sz w:val="22"/>
          <w:szCs w:val="28"/>
          <w:rtl/>
        </w:rPr>
        <w:t>מה</w:t>
      </w:r>
      <w:r w:rsidRPr="007B3AB2">
        <w:rPr>
          <w:rFonts w:ascii="Arial TUR" w:hAnsi="Arial TUR" w:cs="FrankRuehl"/>
          <w:spacing w:val="10"/>
          <w:sz w:val="22"/>
          <w:szCs w:val="28"/>
          <w:rtl/>
        </w:rPr>
        <w:t xml:space="preserve"> </w:t>
      </w:r>
      <w:r w:rsidRPr="007B3AB2">
        <w:rPr>
          <w:rFonts w:ascii="Arial TUR" w:hAnsi="Arial TUR" w:cs="FrankRuehl" w:hint="eastAsia"/>
          <w:spacing w:val="10"/>
          <w:sz w:val="22"/>
          <w:szCs w:val="28"/>
          <w:rtl/>
        </w:rPr>
        <w:t>בכך</w:t>
      </w:r>
      <w:r w:rsidRPr="007B3AB2">
        <w:rPr>
          <w:rFonts w:ascii="Arial TUR" w:hAnsi="Arial TUR" w:cs="FrankRuehl" w:hint="cs"/>
          <w:spacing w:val="10"/>
          <w:sz w:val="22"/>
          <w:szCs w:val="28"/>
          <w:rtl/>
        </w:rPr>
        <w:t xml:space="preserve"> ואין</w:t>
      </w:r>
      <w:r>
        <w:rPr>
          <w:rFonts w:ascii="Arial TUR" w:hAnsi="Arial TUR" w:cs="FrankRuehl" w:hint="cs"/>
          <w:spacing w:val="10"/>
          <w:sz w:val="22"/>
          <w:szCs w:val="28"/>
          <w:rtl/>
        </w:rPr>
        <w:t xml:space="preserve"> להקל בו ראש</w:t>
      </w:r>
      <w:r w:rsidRPr="00E206AF">
        <w:rPr>
          <w:rFonts w:ascii="Arial TUR" w:hAnsi="Arial TUR" w:cs="FrankRuehl" w:hint="cs"/>
          <w:spacing w:val="10"/>
          <w:sz w:val="22"/>
          <w:szCs w:val="28"/>
          <w:rtl/>
        </w:rPr>
        <w:t xml:space="preserve">. במדינה דמוקרטית, המכונן הוא האמון על כינון ההסדרים החוקתיים. מטבע הדברים, אפוא, ועל מנת שלא לפלוש לשדה לא-לנו, </w:t>
      </w:r>
      <w:r>
        <w:rPr>
          <w:rFonts w:ascii="Arial TUR" w:hAnsi="Arial TUR" w:cs="FrankRuehl" w:hint="cs"/>
          <w:spacing w:val="10"/>
          <w:sz w:val="22"/>
          <w:szCs w:val="28"/>
          <w:rtl/>
        </w:rPr>
        <w:t xml:space="preserve">יש לגשת לבחינת חוקי יסוד </w:t>
      </w:r>
      <w:r w:rsidRPr="00BB4F3C">
        <w:rPr>
          <w:rFonts w:ascii="Arial TUR" w:hAnsi="Arial TUR" w:cs="FrankRuehl"/>
          <w:spacing w:val="10"/>
          <w:sz w:val="22"/>
          <w:szCs w:val="28"/>
          <w:rtl/>
        </w:rPr>
        <w:t>בִּדְחִילוּ וּרְחִימוּ</w:t>
      </w:r>
      <w:r>
        <w:rPr>
          <w:rFonts w:ascii="Arial TUR" w:hAnsi="Arial TUR" w:cs="FrankRuehl" w:hint="cs"/>
          <w:spacing w:val="10"/>
          <w:sz w:val="22"/>
          <w:szCs w:val="28"/>
          <w:rtl/>
        </w:rPr>
        <w:t xml:space="preserve">, ועלינו </w:t>
      </w:r>
      <w:r w:rsidRPr="00E206AF">
        <w:rPr>
          <w:rFonts w:ascii="Arial TUR" w:hAnsi="Arial TUR" w:cs="FrankRuehl" w:hint="cs"/>
          <w:spacing w:val="10"/>
          <w:sz w:val="22"/>
          <w:szCs w:val="28"/>
          <w:rtl/>
        </w:rPr>
        <w:t>לנהוג באיפוק, בריסון ובזהירות מרבית, בבואנו לבטל</w:t>
      </w:r>
      <w:r>
        <w:rPr>
          <w:rFonts w:ascii="Arial TUR" w:hAnsi="Arial TUR" w:cs="FrankRuehl" w:hint="cs"/>
          <w:spacing w:val="10"/>
          <w:sz w:val="22"/>
          <w:szCs w:val="28"/>
          <w:rtl/>
        </w:rPr>
        <w:t xml:space="preserve">ם.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Default="00E32081" w:rsidP="00E32081">
      <w:pPr>
        <w:tabs>
          <w:tab w:val="left" w:pos="800"/>
        </w:tabs>
        <w:spacing w:line="360" w:lineRule="auto"/>
        <w:jc w:val="both"/>
        <w:rPr>
          <w:rFonts w:ascii="FrankRuehl" w:hAnsi="FrankRuehl" w:cs="FrankRuehl"/>
          <w:color w:val="000000"/>
          <w:spacing w:val="10"/>
          <w:sz w:val="28"/>
          <w:szCs w:val="28"/>
          <w:shd w:val="clear" w:color="auto" w:fill="FFFFFF"/>
          <w:rtl/>
        </w:rPr>
      </w:pPr>
      <w:r>
        <w:rPr>
          <w:rFonts w:ascii="FrankRuehl" w:hAnsi="FrankRuehl" w:cs="FrankRuehl" w:hint="cs"/>
          <w:color w:val="000000"/>
          <w:spacing w:val="10"/>
          <w:sz w:val="28"/>
          <w:szCs w:val="28"/>
          <w:shd w:val="clear" w:color="auto" w:fill="FFFFFF"/>
          <w:rtl/>
        </w:rPr>
        <w:t>91</w:t>
      </w:r>
      <w:r w:rsidRPr="00E206AF">
        <w:rPr>
          <w:rFonts w:ascii="FrankRuehl" w:hAnsi="FrankRuehl" w:cs="FrankRuehl" w:hint="cs"/>
          <w:color w:val="000000"/>
          <w:spacing w:val="10"/>
          <w:sz w:val="28"/>
          <w:szCs w:val="28"/>
          <w:shd w:val="clear" w:color="auto" w:fill="FFFFFF"/>
          <w:rtl/>
        </w:rPr>
        <w:t>.</w:t>
      </w:r>
      <w:r w:rsidRPr="00E206AF">
        <w:rPr>
          <w:rFonts w:ascii="FrankRuehl" w:hAnsi="FrankRuehl" w:cs="FrankRuehl" w:hint="cs"/>
          <w:color w:val="000000"/>
          <w:spacing w:val="10"/>
          <w:sz w:val="28"/>
          <w:szCs w:val="28"/>
          <w:shd w:val="clear" w:color="auto" w:fill="FFFFFF"/>
          <w:rtl/>
        </w:rPr>
        <w:tab/>
        <w:t xml:space="preserve">בשים לב לכל האמור לעיל, אציע לחבריי לדחות את העתירות, כך שתיקון מס' 3 לחוק יסוד: השפיטה יעמוד בתוקפו, תוך שיפורש ככזה אשר </w:t>
      </w:r>
      <w:r>
        <w:rPr>
          <w:rFonts w:ascii="FrankRuehl" w:hAnsi="FrankRuehl" w:cs="FrankRuehl" w:hint="cs"/>
          <w:color w:val="000000"/>
          <w:spacing w:val="10"/>
          <w:sz w:val="28"/>
          <w:szCs w:val="28"/>
          <w:shd w:val="clear" w:color="auto" w:fill="FFFFFF"/>
          <w:rtl/>
        </w:rPr>
        <w:t>מתייחס לעילת</w:t>
      </w:r>
      <w:r w:rsidRPr="00E206AF">
        <w:rPr>
          <w:rFonts w:ascii="FrankRuehl" w:hAnsi="FrankRuehl" w:cs="FrankRuehl" w:hint="cs"/>
          <w:color w:val="000000"/>
          <w:spacing w:val="10"/>
          <w:sz w:val="28"/>
          <w:szCs w:val="28"/>
          <w:shd w:val="clear" w:color="auto" w:fill="FFFFFF"/>
          <w:rtl/>
        </w:rPr>
        <w:t xml:space="preserve"> הסבירות האיזונית בלבד. </w:t>
      </w:r>
    </w:p>
    <w:p w:rsidR="00E32081" w:rsidRDefault="00E32081" w:rsidP="00E32081">
      <w:pPr>
        <w:tabs>
          <w:tab w:val="left" w:pos="800"/>
        </w:tabs>
        <w:spacing w:line="360" w:lineRule="auto"/>
        <w:jc w:val="both"/>
        <w:rPr>
          <w:rFonts w:ascii="FrankRuehl" w:hAnsi="FrankRuehl" w:cs="FrankRuehl"/>
          <w:color w:val="000000"/>
          <w:spacing w:val="10"/>
          <w:sz w:val="28"/>
          <w:szCs w:val="28"/>
          <w:shd w:val="clear" w:color="auto" w:fill="FFFFFF"/>
          <w:rtl/>
        </w:rPr>
      </w:pPr>
    </w:p>
    <w:p w:rsidR="00E32081" w:rsidRPr="009A3788" w:rsidRDefault="00E32081" w:rsidP="00E32081">
      <w:pPr>
        <w:tabs>
          <w:tab w:val="left" w:pos="800"/>
        </w:tabs>
        <w:spacing w:line="360" w:lineRule="auto"/>
        <w:jc w:val="both"/>
        <w:rPr>
          <w:rFonts w:ascii="Century" w:hAnsi="Century" w:cs="Miriam"/>
          <w:b/>
          <w:sz w:val="22"/>
          <w:rtl/>
        </w:rPr>
      </w:pPr>
      <w:r w:rsidRPr="009A3788">
        <w:rPr>
          <w:rFonts w:ascii="Century" w:hAnsi="Century" w:cs="Miriam" w:hint="cs"/>
          <w:b/>
          <w:sz w:val="22"/>
          <w:rtl/>
        </w:rPr>
        <w:t>אחר הדברים האלה</w:t>
      </w:r>
      <w:r w:rsidRPr="009A3788">
        <w:rPr>
          <w:rFonts w:ascii="Century" w:hAnsi="Century" w:cs="Miriam"/>
          <w:b/>
          <w:sz w:val="22"/>
          <w:rtl/>
        </w:rPr>
        <w:tab/>
      </w:r>
    </w:p>
    <w:p w:rsidR="00E32081" w:rsidRPr="009A3788" w:rsidRDefault="00E32081" w:rsidP="00E32081">
      <w:pPr>
        <w:tabs>
          <w:tab w:val="left" w:pos="800"/>
        </w:tabs>
        <w:spacing w:line="360" w:lineRule="auto"/>
        <w:jc w:val="both"/>
        <w:rPr>
          <w:rFonts w:ascii="Arial TUR" w:hAnsi="Arial TUR" w:cs="FrankRuehl"/>
          <w:spacing w:val="10"/>
          <w:sz w:val="22"/>
          <w:szCs w:val="28"/>
          <w:rtl/>
        </w:rPr>
      </w:pPr>
    </w:p>
    <w:p w:rsidR="00E32081" w:rsidRPr="009A3788" w:rsidRDefault="00E32081" w:rsidP="00E32081">
      <w:pPr>
        <w:tabs>
          <w:tab w:val="left" w:pos="800"/>
        </w:tabs>
        <w:spacing w:line="360" w:lineRule="auto"/>
        <w:jc w:val="both"/>
        <w:rPr>
          <w:rFonts w:ascii="Arial TUR" w:hAnsi="Arial TUR" w:cs="FrankRuehl"/>
          <w:spacing w:val="10"/>
          <w:sz w:val="22"/>
          <w:szCs w:val="28"/>
          <w:rtl/>
        </w:rPr>
      </w:pPr>
      <w:r w:rsidRPr="009A3788">
        <w:rPr>
          <w:rFonts w:ascii="Arial TUR" w:hAnsi="Arial TUR" w:cs="FrankRuehl" w:hint="cs"/>
          <w:spacing w:val="10"/>
          <w:sz w:val="22"/>
          <w:szCs w:val="28"/>
          <w:rtl/>
        </w:rPr>
        <w:t>92.</w:t>
      </w:r>
      <w:r w:rsidRPr="009A3788">
        <w:rPr>
          <w:rFonts w:ascii="Arial TUR" w:hAnsi="Arial TUR" w:cs="FrankRuehl" w:hint="cs"/>
          <w:spacing w:val="10"/>
          <w:sz w:val="22"/>
          <w:szCs w:val="28"/>
          <w:rtl/>
        </w:rPr>
        <w:tab/>
        <w:t xml:space="preserve">לאחר כתיבת הדברים, הגיעו לעיוני חוות הדעת של חבריי, ואבקש להתייחס לדבריהם. </w:t>
      </w:r>
    </w:p>
    <w:p w:rsidR="00E32081" w:rsidRPr="009A3788" w:rsidRDefault="00E32081" w:rsidP="00E32081">
      <w:pPr>
        <w:tabs>
          <w:tab w:val="left" w:pos="800"/>
        </w:tabs>
        <w:spacing w:line="360" w:lineRule="auto"/>
        <w:jc w:val="both"/>
        <w:rPr>
          <w:rFonts w:ascii="Arial TUR" w:hAnsi="Arial TUR" w:cs="FrankRuehl"/>
          <w:spacing w:val="10"/>
          <w:sz w:val="22"/>
          <w:szCs w:val="28"/>
          <w:rtl/>
        </w:rPr>
      </w:pPr>
    </w:p>
    <w:p w:rsidR="00E32081" w:rsidRPr="009A3788" w:rsidRDefault="00E32081" w:rsidP="00E32081">
      <w:pPr>
        <w:tabs>
          <w:tab w:val="left" w:pos="800"/>
        </w:tabs>
        <w:spacing w:line="360" w:lineRule="auto"/>
        <w:jc w:val="both"/>
        <w:rPr>
          <w:rFonts w:ascii="Century" w:hAnsi="Century" w:cs="FrankRuehl"/>
          <w:spacing w:val="10"/>
          <w:sz w:val="22"/>
          <w:szCs w:val="28"/>
          <w:rtl/>
        </w:rPr>
      </w:pPr>
      <w:r w:rsidRPr="009A3788">
        <w:rPr>
          <w:rFonts w:ascii="Century" w:hAnsi="Century" w:cs="FrankRuehl" w:hint="cs"/>
          <w:spacing w:val="10"/>
          <w:sz w:val="22"/>
          <w:szCs w:val="28"/>
          <w:rtl/>
        </w:rPr>
        <w:t>93.</w:t>
      </w:r>
      <w:r w:rsidRPr="009A3788">
        <w:rPr>
          <w:rFonts w:ascii="Century" w:hAnsi="Century" w:cs="FrankRuehl"/>
          <w:spacing w:val="10"/>
          <w:sz w:val="22"/>
          <w:szCs w:val="28"/>
          <w:rtl/>
        </w:rPr>
        <w:tab/>
      </w:r>
      <w:r w:rsidRPr="009A3788">
        <w:rPr>
          <w:rFonts w:ascii="Century" w:hAnsi="Century" w:cs="FrankRuehl" w:hint="cs"/>
          <w:spacing w:val="10"/>
          <w:sz w:val="22"/>
          <w:szCs w:val="28"/>
          <w:rtl/>
        </w:rPr>
        <w:t>חלק מחבריי סבורים כי לא ניתן להעניק לתיקון את הפרשנות המוצעת על-ידי, מן הטעם שפרשנות זו חסרת אחיזה בלשון התיקון ונוגדת באופן מפורש את התכלית הסובייקטיבית של התיקון, ובכך חורגת מגבולותיה האפשריים של מלאכת הפרשנות.</w:t>
      </w:r>
    </w:p>
    <w:p w:rsidR="00E32081" w:rsidRPr="009A3788" w:rsidRDefault="00E32081" w:rsidP="00E32081">
      <w:pPr>
        <w:tabs>
          <w:tab w:val="left" w:pos="800"/>
        </w:tabs>
        <w:spacing w:line="360" w:lineRule="auto"/>
        <w:jc w:val="both"/>
        <w:rPr>
          <w:rFonts w:ascii="Century" w:hAnsi="Century" w:cs="FrankRuehl"/>
          <w:spacing w:val="10"/>
          <w:sz w:val="22"/>
          <w:szCs w:val="28"/>
          <w:rtl/>
        </w:rPr>
      </w:pPr>
    </w:p>
    <w:p w:rsidR="00E32081" w:rsidRPr="009A3788" w:rsidRDefault="00E32081" w:rsidP="00E32081">
      <w:pPr>
        <w:tabs>
          <w:tab w:val="left" w:pos="800"/>
        </w:tabs>
        <w:spacing w:line="360" w:lineRule="auto"/>
        <w:jc w:val="both"/>
        <w:rPr>
          <w:rFonts w:ascii="Century" w:hAnsi="Century" w:cs="FrankRuehl"/>
          <w:spacing w:val="10"/>
          <w:sz w:val="22"/>
          <w:szCs w:val="28"/>
          <w:rtl/>
        </w:rPr>
      </w:pPr>
      <w:r w:rsidRPr="009A3788">
        <w:rPr>
          <w:rFonts w:ascii="Arial TUR" w:hAnsi="Arial TUR" w:cs="FrankRuehl" w:hint="cs"/>
          <w:spacing w:val="10"/>
          <w:sz w:val="22"/>
          <w:szCs w:val="28"/>
          <w:rtl/>
        </w:rPr>
        <w:t>94.</w:t>
      </w:r>
      <w:r w:rsidRPr="009A3788">
        <w:rPr>
          <w:rFonts w:ascii="Arial TUR" w:hAnsi="Arial TUR" w:cs="FrankRuehl"/>
          <w:spacing w:val="10"/>
          <w:sz w:val="22"/>
          <w:szCs w:val="28"/>
          <w:rtl/>
        </w:rPr>
        <w:tab/>
      </w:r>
      <w:r w:rsidRPr="009A3788">
        <w:rPr>
          <w:rFonts w:ascii="Arial TUR" w:hAnsi="Arial TUR" w:cs="FrankRuehl" w:hint="cs"/>
          <w:spacing w:val="10"/>
          <w:sz w:val="22"/>
          <w:szCs w:val="28"/>
          <w:rtl/>
        </w:rPr>
        <w:t>בכתיבת חוות דעתי, צעדתי לאורן של</w:t>
      </w:r>
      <w:r w:rsidRPr="009A3788">
        <w:rPr>
          <w:rFonts w:ascii="Century" w:hAnsi="Century" w:cs="FrankRuehl" w:hint="cs"/>
          <w:spacing w:val="10"/>
          <w:sz w:val="22"/>
          <w:szCs w:val="28"/>
          <w:rtl/>
        </w:rPr>
        <w:t xml:space="preserve"> הלכות מושרשות, מקדמת דנא, של בית משפט זה, שעניינן כללי הפרשנות הנהוגים ומרחב הפרשנות הנתון לבית המשפט; המשקל הראוי שיש להעניק לרכיבים השונים של התכלית הסובייקטיבית, ולמשקלה </w:t>
      </w:r>
      <w:r w:rsidRPr="009A3788">
        <w:rPr>
          <w:rFonts w:ascii="Century" w:hAnsi="Century" w:cs="FrankRuehl" w:hint="eastAsia"/>
          <w:spacing w:val="10"/>
          <w:sz w:val="22"/>
          <w:szCs w:val="28"/>
          <w:rtl/>
        </w:rPr>
        <w:t>הַפָּחוּת</w:t>
      </w:r>
      <w:r w:rsidRPr="009A3788">
        <w:rPr>
          <w:rFonts w:ascii="Century" w:hAnsi="Century" w:cs="FrankRuehl" w:hint="cs"/>
          <w:spacing w:val="10"/>
          <w:sz w:val="22"/>
          <w:szCs w:val="28"/>
          <w:rtl/>
        </w:rPr>
        <w:t xml:space="preserve"> בפרשנות חוקי יסוד; והתפיסה הפרשנית העקרונית שלפיה יש להעדיף פרשנות מקיימת על-פני ביטול דבר חקיקה </w:t>
      </w:r>
      <w:r w:rsidRPr="009A3788">
        <w:rPr>
          <w:rFonts w:ascii="Century" w:hAnsi="Century" w:cs="FrankRuehl"/>
          <w:spacing w:val="10"/>
          <w:sz w:val="22"/>
          <w:szCs w:val="28"/>
          <w:rtl/>
        </w:rPr>
        <w:t>–</w:t>
      </w:r>
      <w:r>
        <w:rPr>
          <w:rFonts w:ascii="Century" w:hAnsi="Century" w:cs="FrankRuehl" w:hint="cs"/>
          <w:spacing w:val="10"/>
          <w:sz w:val="22"/>
          <w:szCs w:val="28"/>
          <w:rtl/>
        </w:rPr>
        <w:t xml:space="preserve"> אף במחיר של מאמץ פרשני ניכר</w:t>
      </w:r>
      <w:r w:rsidRPr="009A3788">
        <w:rPr>
          <w:rFonts w:ascii="Century" w:hAnsi="Century" w:cs="FrankRuehl" w:hint="cs"/>
          <w:spacing w:val="10"/>
          <w:sz w:val="22"/>
          <w:szCs w:val="28"/>
          <w:rtl/>
        </w:rPr>
        <w:t>. הלכות אלה, היו נר לרגליי בכל שלב ושלב בכתיבת חוות דעתי ובטוויי</w:t>
      </w:r>
      <w:r w:rsidRPr="009A3788">
        <w:rPr>
          <w:rFonts w:ascii="Century" w:hAnsi="Century" w:cs="FrankRuehl" w:hint="eastAsia"/>
          <w:spacing w:val="10"/>
          <w:sz w:val="22"/>
          <w:szCs w:val="28"/>
          <w:rtl/>
        </w:rPr>
        <w:t>ת</w:t>
      </w:r>
      <w:r w:rsidRPr="009A3788">
        <w:rPr>
          <w:rFonts w:ascii="Century" w:hAnsi="Century" w:cs="FrankRuehl" w:hint="cs"/>
          <w:spacing w:val="10"/>
          <w:sz w:val="22"/>
          <w:szCs w:val="28"/>
          <w:rtl/>
        </w:rPr>
        <w:t xml:space="preserve"> המהלך הפרשני. </w:t>
      </w:r>
    </w:p>
    <w:p w:rsidR="00E32081" w:rsidRPr="009A3788" w:rsidRDefault="00E32081" w:rsidP="00E32081">
      <w:pPr>
        <w:tabs>
          <w:tab w:val="left" w:pos="800"/>
        </w:tabs>
        <w:spacing w:line="360" w:lineRule="auto"/>
        <w:jc w:val="both"/>
        <w:rPr>
          <w:rFonts w:ascii="Century" w:hAnsi="Century" w:cs="Miriam"/>
          <w:b/>
          <w:sz w:val="22"/>
          <w:rtl/>
        </w:rPr>
      </w:pPr>
    </w:p>
    <w:p w:rsidR="00E32081" w:rsidRPr="009A3788" w:rsidRDefault="00E32081" w:rsidP="00E32081">
      <w:pPr>
        <w:tabs>
          <w:tab w:val="left" w:pos="800"/>
        </w:tabs>
        <w:spacing w:line="360" w:lineRule="auto"/>
        <w:jc w:val="both"/>
        <w:rPr>
          <w:rFonts w:ascii="Century" w:hAnsi="Century" w:cs="FrankRuehl"/>
          <w:spacing w:val="10"/>
          <w:sz w:val="22"/>
          <w:szCs w:val="28"/>
          <w:rtl/>
        </w:rPr>
      </w:pPr>
      <w:r w:rsidRPr="009A3788">
        <w:rPr>
          <w:rFonts w:ascii="Century" w:hAnsi="Century" w:cs="FrankRuehl" w:hint="cs"/>
          <w:spacing w:val="10"/>
          <w:sz w:val="22"/>
          <w:szCs w:val="28"/>
          <w:rtl/>
        </w:rPr>
        <w:t>95.</w:t>
      </w:r>
      <w:r w:rsidRPr="009A3788">
        <w:rPr>
          <w:rFonts w:ascii="Century" w:hAnsi="Century" w:cs="FrankRuehl" w:hint="cs"/>
          <w:spacing w:val="10"/>
          <w:sz w:val="22"/>
          <w:szCs w:val="28"/>
          <w:rtl/>
        </w:rPr>
        <w:tab/>
      </w:r>
      <w:r w:rsidRPr="009A3788">
        <w:rPr>
          <w:rFonts w:ascii="Century" w:hAnsi="Century" w:cs="Miriam" w:hint="cs"/>
          <w:b/>
          <w:sz w:val="22"/>
          <w:rtl/>
        </w:rPr>
        <w:t xml:space="preserve">לשון התיקון: </w:t>
      </w:r>
      <w:r w:rsidRPr="009A3788">
        <w:rPr>
          <w:rFonts w:ascii="Century" w:hAnsi="Century" w:cs="FrankRuehl"/>
          <w:spacing w:val="10"/>
          <w:sz w:val="22"/>
          <w:szCs w:val="28"/>
          <w:rtl/>
        </w:rPr>
        <w:tab/>
      </w:r>
      <w:r w:rsidRPr="009A3788">
        <w:rPr>
          <w:rFonts w:ascii="Century" w:hAnsi="Century" w:cs="FrankRuehl" w:hint="cs"/>
          <w:spacing w:val="10"/>
          <w:sz w:val="22"/>
          <w:szCs w:val="28"/>
          <w:rtl/>
        </w:rPr>
        <w:t xml:space="preserve">חלק מחבריי סבורים כי לשון התיקון ברורה וחד משמעית; וכי התיקון חל באופן גורף על כל היבטיה של עילת </w:t>
      </w:r>
      <w:r w:rsidRPr="002E6AA7">
        <w:rPr>
          <w:rFonts w:ascii="Century" w:hAnsi="Century" w:cs="FrankRuehl" w:hint="cs"/>
          <w:spacing w:val="10"/>
          <w:sz w:val="22"/>
          <w:szCs w:val="28"/>
          <w:rtl/>
        </w:rPr>
        <w:t>הסבירות; ולפיכך</w:t>
      </w:r>
      <w:r w:rsidRPr="009A3788">
        <w:rPr>
          <w:rFonts w:ascii="Century" w:hAnsi="Century" w:cs="FrankRuehl" w:hint="cs"/>
          <w:spacing w:val="10"/>
          <w:sz w:val="22"/>
          <w:szCs w:val="28"/>
          <w:rtl/>
        </w:rPr>
        <w:t xml:space="preserve"> אין כלל מקום לפרשנות המבחינה בין מובניה השונים של העילה. </w:t>
      </w:r>
    </w:p>
    <w:p w:rsidR="00E32081" w:rsidRPr="009A3788" w:rsidRDefault="00E32081" w:rsidP="00E32081">
      <w:pPr>
        <w:tabs>
          <w:tab w:val="left" w:pos="800"/>
        </w:tabs>
        <w:spacing w:line="360" w:lineRule="auto"/>
        <w:jc w:val="both"/>
        <w:rPr>
          <w:rFonts w:ascii="Century" w:hAnsi="Century" w:cs="FrankRuehl"/>
          <w:spacing w:val="10"/>
          <w:sz w:val="22"/>
          <w:szCs w:val="28"/>
          <w:rtl/>
        </w:rPr>
      </w:pPr>
    </w:p>
    <w:p w:rsidR="00E32081" w:rsidRPr="009A3788" w:rsidRDefault="00E32081" w:rsidP="00E32081">
      <w:pPr>
        <w:tabs>
          <w:tab w:val="left" w:pos="800"/>
        </w:tabs>
        <w:spacing w:line="360" w:lineRule="auto"/>
        <w:jc w:val="both"/>
        <w:rPr>
          <w:rFonts w:ascii="Century" w:hAnsi="Century" w:cs="FrankRuehl"/>
          <w:spacing w:val="10"/>
          <w:sz w:val="22"/>
          <w:szCs w:val="28"/>
          <w:rtl/>
        </w:rPr>
      </w:pPr>
      <w:r w:rsidRPr="009A3788">
        <w:rPr>
          <w:rFonts w:ascii="Century" w:hAnsi="Century" w:cs="FrankRuehl"/>
          <w:spacing w:val="10"/>
          <w:sz w:val="22"/>
          <w:szCs w:val="28"/>
          <w:rtl/>
        </w:rPr>
        <w:tab/>
      </w:r>
      <w:r w:rsidRPr="009A3788">
        <w:rPr>
          <w:rFonts w:ascii="Century" w:hAnsi="Century" w:cs="FrankRuehl" w:hint="cs"/>
          <w:spacing w:val="10"/>
          <w:sz w:val="22"/>
          <w:szCs w:val="28"/>
          <w:rtl/>
        </w:rPr>
        <w:t xml:space="preserve">שבתי והפכתי בעמדתם זו של חבריי, ומוכרחה אני להודות כי אף לאחר עיון נוסף </w:t>
      </w:r>
      <w:r w:rsidRPr="009A3788">
        <w:rPr>
          <w:rFonts w:ascii="Century" w:hAnsi="Century" w:cs="FrankRuehl"/>
          <w:spacing w:val="10"/>
          <w:sz w:val="22"/>
          <w:szCs w:val="28"/>
          <w:rtl/>
        </w:rPr>
        <w:t>–</w:t>
      </w:r>
      <w:r w:rsidRPr="009A3788">
        <w:rPr>
          <w:rFonts w:ascii="Century" w:hAnsi="Century" w:cs="FrankRuehl" w:hint="cs"/>
          <w:spacing w:val="10"/>
          <w:sz w:val="22"/>
          <w:szCs w:val="28"/>
          <w:rtl/>
        </w:rPr>
        <w:t xml:space="preserve"> עמדות אלו נותרו מוקשות מאוד בעיניי. </w:t>
      </w:r>
    </w:p>
    <w:p w:rsidR="00E32081" w:rsidRPr="009A3788" w:rsidRDefault="00E32081" w:rsidP="00E32081">
      <w:pPr>
        <w:tabs>
          <w:tab w:val="left" w:pos="800"/>
        </w:tabs>
        <w:spacing w:line="360" w:lineRule="auto"/>
        <w:jc w:val="both"/>
        <w:rPr>
          <w:rFonts w:ascii="Century" w:hAnsi="Century" w:cs="FrankRuehl"/>
          <w:spacing w:val="10"/>
          <w:sz w:val="22"/>
          <w:szCs w:val="28"/>
          <w:rtl/>
        </w:rPr>
      </w:pPr>
    </w:p>
    <w:p w:rsidR="00E32081" w:rsidRPr="009A3788" w:rsidRDefault="00E32081" w:rsidP="00E32081">
      <w:pPr>
        <w:tabs>
          <w:tab w:val="left" w:pos="800"/>
        </w:tabs>
        <w:spacing w:line="360" w:lineRule="auto"/>
        <w:jc w:val="both"/>
        <w:rPr>
          <w:rFonts w:ascii="Century" w:hAnsi="Century" w:cs="FrankRuehl"/>
          <w:spacing w:val="10"/>
          <w:sz w:val="22"/>
          <w:szCs w:val="28"/>
          <w:rtl/>
        </w:rPr>
      </w:pPr>
      <w:r w:rsidRPr="009A3788">
        <w:rPr>
          <w:rFonts w:ascii="Century" w:hAnsi="Century" w:cs="FrankRuehl"/>
          <w:spacing w:val="10"/>
          <w:sz w:val="22"/>
          <w:szCs w:val="28"/>
          <w:rtl/>
        </w:rPr>
        <w:tab/>
      </w:r>
      <w:r w:rsidRPr="009A3788">
        <w:rPr>
          <w:rFonts w:ascii="Century" w:hAnsi="Century" w:cs="FrankRuehl" w:hint="cs"/>
          <w:spacing w:val="10"/>
          <w:sz w:val="22"/>
          <w:szCs w:val="28"/>
          <w:rtl/>
        </w:rPr>
        <w:t>במסגרת התיקון, נמנע המחוקק מלהגדיר את המונח "סבירות", וממילא הותיר לבית המשפט לבצע את מלאכתו ביחס לפרשנות מונח זה. כידוע, לסבירות אין מובן אחד ויחיד (ראו</w:t>
      </w:r>
      <w:r>
        <w:rPr>
          <w:rFonts w:ascii="Century" w:hAnsi="Century" w:cs="FrankRuehl" w:hint="cs"/>
          <w:spacing w:val="10"/>
          <w:sz w:val="22"/>
          <w:szCs w:val="28"/>
          <w:rtl/>
        </w:rPr>
        <w:t>:</w:t>
      </w:r>
      <w:r w:rsidRPr="009A3788">
        <w:rPr>
          <w:rFonts w:ascii="Century" w:hAnsi="Century" w:cs="FrankRuehl" w:hint="cs"/>
          <w:spacing w:val="10"/>
          <w:sz w:val="22"/>
          <w:szCs w:val="28"/>
          <w:rtl/>
        </w:rPr>
        <w:t xml:space="preserve"> </w:t>
      </w:r>
      <w:r w:rsidRPr="009A3788">
        <w:rPr>
          <w:rFonts w:ascii="Century" w:hAnsi="Century" w:cs="Miriam" w:hint="cs"/>
          <w:b/>
          <w:sz w:val="22"/>
          <w:rtl/>
        </w:rPr>
        <w:t>א' זמיר, עילת אי הסבירות</w:t>
      </w:r>
      <w:r w:rsidRPr="009A3788">
        <w:rPr>
          <w:rFonts w:ascii="Century" w:hAnsi="Century" w:cs="FrankRuehl" w:hint="cs"/>
          <w:spacing w:val="10"/>
          <w:sz w:val="22"/>
          <w:szCs w:val="28"/>
          <w:rtl/>
        </w:rPr>
        <w:t>, בעמ' 299-296</w:t>
      </w:r>
      <w:r>
        <w:rPr>
          <w:rFonts w:ascii="Century" w:hAnsi="Century" w:cs="FrankRuehl" w:hint="cs"/>
          <w:spacing w:val="10"/>
          <w:sz w:val="22"/>
          <w:szCs w:val="28"/>
          <w:rtl/>
        </w:rPr>
        <w:t xml:space="preserve">, </w:t>
      </w:r>
      <w:r w:rsidRPr="009A3788">
        <w:rPr>
          <w:rFonts w:ascii="Century" w:hAnsi="Century" w:cs="FrankRuehl" w:hint="cs"/>
          <w:spacing w:val="10"/>
          <w:sz w:val="22"/>
          <w:szCs w:val="28"/>
          <w:rtl/>
        </w:rPr>
        <w:t>אשר התייחס לשלושה מובנים של המונח "אי-סבירות": תוצאה של פגם במעשה המינהלי; כותרת לעילות הפסלות השונות; ועילה לפסילת שיקול הדעת המינהלי). מדובר במונח אשר מעצם טיבו, הוא עמום ו</w:t>
      </w:r>
      <w:r w:rsidRPr="009A3788">
        <w:rPr>
          <w:rFonts w:ascii="Century" w:hAnsi="Century" w:cs="FrankRuehl" w:hint="eastAsia"/>
          <w:spacing w:val="10"/>
          <w:sz w:val="22"/>
          <w:szCs w:val="28"/>
          <w:rtl/>
        </w:rPr>
        <w:t>כוללני</w:t>
      </w:r>
      <w:r w:rsidRPr="009A3788">
        <w:rPr>
          <w:rFonts w:ascii="Century" w:hAnsi="Century" w:cs="FrankRuehl"/>
          <w:spacing w:val="10"/>
          <w:sz w:val="22"/>
          <w:szCs w:val="28"/>
          <w:rtl/>
        </w:rPr>
        <w:t>,</w:t>
      </w:r>
      <w:r w:rsidRPr="009A3788">
        <w:rPr>
          <w:rFonts w:ascii="Century" w:hAnsi="Century" w:cs="FrankRuehl" w:hint="cs"/>
          <w:spacing w:val="10"/>
          <w:sz w:val="22"/>
          <w:szCs w:val="28"/>
          <w:rtl/>
        </w:rPr>
        <w:t xml:space="preserve"> ולפיכך היקף פרישתו אינו ברור כלל ועיקר (עוד ראו בפס' 44 לחוות דעתי). תמוה בעיניי, אפוא, כיצד ניתן לחלוק על כך. על עמימותו ורבגוניותו של המונח "סבירות", עמד אף חברי, השופט </w:t>
      </w:r>
      <w:r w:rsidRPr="009A3788">
        <w:rPr>
          <w:rFonts w:ascii="Century" w:hAnsi="Century" w:cs="Miriam" w:hint="cs"/>
          <w:b/>
          <w:sz w:val="22"/>
          <w:rtl/>
        </w:rPr>
        <w:t>עמית</w:t>
      </w:r>
      <w:r w:rsidRPr="009A3788">
        <w:rPr>
          <w:rFonts w:ascii="Century" w:hAnsi="Century" w:cs="FrankRuehl" w:hint="cs"/>
          <w:spacing w:val="10"/>
          <w:sz w:val="22"/>
          <w:szCs w:val="28"/>
          <w:rtl/>
        </w:rPr>
        <w:t>, בציינו כי "סתם המכונן ולא פירט אלו מופעים של עילת הסבירות נכללים בתיקון" (בפס' 47 לחוות דעתו) וכי "התיקון לחוק היסוד אינו מגדיר מהי סבירות ואינו מבחין בין מופעים שונים של סבירות. אם ביקש המכונן להתמודד עם חוסר ודאות, התוצר שיצא תחת ידו מביא לתוצאה הפוכה לחלוטין" (שם, בפס' 58).</w:t>
      </w:r>
    </w:p>
    <w:p w:rsidR="00E32081" w:rsidRPr="009A3788" w:rsidRDefault="00E32081" w:rsidP="00E32081">
      <w:pPr>
        <w:tabs>
          <w:tab w:val="left" w:pos="800"/>
        </w:tabs>
        <w:spacing w:line="360" w:lineRule="auto"/>
        <w:jc w:val="both"/>
        <w:rPr>
          <w:rFonts w:ascii="Century" w:hAnsi="Century" w:cs="FrankRuehl"/>
          <w:spacing w:val="10"/>
          <w:sz w:val="22"/>
          <w:szCs w:val="28"/>
          <w:rtl/>
        </w:rPr>
      </w:pPr>
    </w:p>
    <w:p w:rsidR="00E32081" w:rsidRPr="009A3788" w:rsidRDefault="00E32081" w:rsidP="00E32081">
      <w:pPr>
        <w:tabs>
          <w:tab w:val="left" w:pos="800"/>
        </w:tabs>
        <w:spacing w:line="360" w:lineRule="auto"/>
        <w:jc w:val="both"/>
        <w:rPr>
          <w:rFonts w:ascii="Century" w:hAnsi="Century" w:cs="FrankRuehl"/>
          <w:spacing w:val="10"/>
          <w:sz w:val="22"/>
          <w:szCs w:val="28"/>
          <w:rtl/>
        </w:rPr>
      </w:pPr>
      <w:r w:rsidRPr="009A3788">
        <w:rPr>
          <w:rFonts w:ascii="Century" w:hAnsi="Century" w:cs="FrankRuehl"/>
          <w:spacing w:val="10"/>
          <w:sz w:val="22"/>
          <w:szCs w:val="28"/>
          <w:rtl/>
        </w:rPr>
        <w:tab/>
      </w:r>
      <w:r w:rsidRPr="009A3788">
        <w:rPr>
          <w:rFonts w:ascii="Century" w:hAnsi="Century" w:cs="FrankRuehl" w:hint="cs"/>
          <w:spacing w:val="10"/>
          <w:sz w:val="22"/>
          <w:szCs w:val="28"/>
          <w:rtl/>
        </w:rPr>
        <w:t xml:space="preserve">חבריי סבורים עוד כי </w:t>
      </w:r>
      <w:r w:rsidRPr="009A3788">
        <w:rPr>
          <w:rFonts w:ascii="Century" w:hAnsi="Century" w:cs="Miriam" w:hint="cs"/>
          <w:b/>
          <w:sz w:val="22"/>
          <w:rtl/>
        </w:rPr>
        <w:t>כוללניותו</w:t>
      </w:r>
      <w:r w:rsidRPr="009A3788">
        <w:rPr>
          <w:rFonts w:ascii="Century" w:hAnsi="Century" w:cs="FrankRuehl" w:hint="cs"/>
          <w:spacing w:val="10"/>
          <w:sz w:val="22"/>
          <w:szCs w:val="28"/>
          <w:rtl/>
        </w:rPr>
        <w:t xml:space="preserve"> של המונח "סבירות" </w:t>
      </w:r>
      <w:r w:rsidRPr="009A3788">
        <w:rPr>
          <w:rFonts w:ascii="Century" w:hAnsi="Century" w:cs="FrankRuehl" w:hint="eastAsia"/>
          <w:spacing w:val="10"/>
          <w:sz w:val="22"/>
          <w:szCs w:val="28"/>
          <w:rtl/>
        </w:rPr>
        <w:t>מחייבת</w:t>
      </w:r>
      <w:r w:rsidRPr="009A3788">
        <w:rPr>
          <w:rFonts w:ascii="Century" w:hAnsi="Century" w:cs="FrankRuehl" w:hint="cs"/>
          <w:spacing w:val="10"/>
          <w:sz w:val="22"/>
          <w:szCs w:val="28"/>
          <w:rtl/>
        </w:rPr>
        <w:t xml:space="preserve"> כי התיקון יחול באופן גורף על כלל היבטיה של העילה, ועל כן לשון החוק אינה סובלת פירוש מצמצם, ויש אף שהרחיקו לכת בציינם כי פרשנות כזו חורגת מגבולותיה הלגיטימיים של המלאכה הפרשנית (ראו בפס' 121 לחוות דעתה של הנשיאה (בדימ') </w:t>
      </w:r>
      <w:r w:rsidRPr="009A3788">
        <w:rPr>
          <w:rFonts w:ascii="Century" w:hAnsi="Century" w:cs="Miriam" w:hint="cs"/>
          <w:b/>
          <w:sz w:val="22"/>
          <w:rtl/>
        </w:rPr>
        <w:t>חיות</w:t>
      </w:r>
      <w:r>
        <w:rPr>
          <w:rFonts w:ascii="Century" w:hAnsi="Century" w:cs="FrankRuehl" w:hint="cs"/>
          <w:spacing w:val="10"/>
          <w:sz w:val="22"/>
          <w:szCs w:val="28"/>
          <w:rtl/>
        </w:rPr>
        <w:t>;</w:t>
      </w:r>
      <w:r w:rsidRPr="009A3788">
        <w:rPr>
          <w:rFonts w:ascii="Century" w:hAnsi="Century" w:cs="FrankRuehl" w:hint="cs"/>
          <w:spacing w:val="10"/>
          <w:sz w:val="22"/>
          <w:szCs w:val="28"/>
          <w:rtl/>
        </w:rPr>
        <w:t xml:space="preserve"> ובפס' 13 לחוות דעתה של השופטת </w:t>
      </w:r>
      <w:r w:rsidRPr="009A3788">
        <w:rPr>
          <w:rFonts w:ascii="Century" w:hAnsi="Century" w:cs="Miriam" w:hint="cs"/>
          <w:b/>
          <w:sz w:val="22"/>
          <w:rtl/>
        </w:rPr>
        <w:t>רונן</w:t>
      </w:r>
      <w:r w:rsidRPr="009A3788">
        <w:rPr>
          <w:rFonts w:ascii="Century" w:hAnsi="Century" w:cs="FrankRuehl" w:hint="cs"/>
          <w:spacing w:val="10"/>
          <w:sz w:val="22"/>
          <w:szCs w:val="28"/>
          <w:rtl/>
        </w:rPr>
        <w:t xml:space="preserve">). דא עקא, בהתאם לגישה זו </w:t>
      </w:r>
      <w:r w:rsidRPr="009A3788">
        <w:rPr>
          <w:rFonts w:ascii="Century" w:hAnsi="Century" w:cs="FrankRuehl"/>
          <w:spacing w:val="10"/>
          <w:sz w:val="22"/>
          <w:szCs w:val="28"/>
          <w:rtl/>
        </w:rPr>
        <w:t>–</w:t>
      </w:r>
      <w:r w:rsidRPr="009A3788">
        <w:rPr>
          <w:rFonts w:ascii="Century" w:hAnsi="Century" w:cs="FrankRuehl" w:hint="cs"/>
          <w:spacing w:val="10"/>
          <w:sz w:val="22"/>
          <w:szCs w:val="28"/>
          <w:rtl/>
        </w:rPr>
        <w:t xml:space="preserve"> אמורה להיכלל בגדרי התיקון, למשל, אף הסבירות הנזיקית, שהיא כידוע תנאי להטלת אחריות בעוולת הרשלנות, ובכלל זה על הממשלה והשרים. דומה, כי המחוקק לא התכוון לכלול את הסבירות הנזיקית במסגרת התיקון, ולמצער, מתעוררת שאלה פרשנית בנדון </w:t>
      </w:r>
      <w:r w:rsidRPr="009A3788">
        <w:rPr>
          <w:rFonts w:ascii="Century" w:hAnsi="Century" w:cs="FrankRuehl"/>
          <w:spacing w:val="10"/>
          <w:sz w:val="22"/>
          <w:szCs w:val="28"/>
          <w:rtl/>
        </w:rPr>
        <w:t>–</w:t>
      </w:r>
      <w:r w:rsidRPr="009A3788">
        <w:rPr>
          <w:rFonts w:ascii="Century" w:hAnsi="Century" w:cs="FrankRuehl" w:hint="cs"/>
          <w:spacing w:val="10"/>
          <w:sz w:val="22"/>
          <w:szCs w:val="28"/>
          <w:rtl/>
        </w:rPr>
        <w:t xml:space="preserve"> </w:t>
      </w:r>
      <w:r w:rsidRPr="009A3788">
        <w:rPr>
          <w:rFonts w:ascii="Century" w:hAnsi="Century" w:cs="Miriam" w:hint="cs"/>
          <w:b/>
          <w:sz w:val="22"/>
          <w:rtl/>
        </w:rPr>
        <w:t>המחייבת</w:t>
      </w:r>
      <w:r w:rsidRPr="009A3788">
        <w:rPr>
          <w:rFonts w:ascii="Century" w:hAnsi="Century" w:cs="FrankRuehl" w:hint="cs"/>
          <w:spacing w:val="10"/>
          <w:sz w:val="22"/>
          <w:szCs w:val="28"/>
          <w:rtl/>
        </w:rPr>
        <w:t xml:space="preserve">, אפוא, מהלך פרשני. אף דוגמא זו, ממחישה את הקושי הרב הנעוץ בעמדתם של חבריי שלפיה השימוש של המחוקק במונח "סבירות" בלי לפרטו, מחייבת, במישור הלשוני-טקסטואלי, החלה גורפת של מונח זה. </w:t>
      </w:r>
    </w:p>
    <w:p w:rsidR="00E32081" w:rsidRPr="009A3788" w:rsidRDefault="00E32081" w:rsidP="00E32081">
      <w:pPr>
        <w:tabs>
          <w:tab w:val="left" w:pos="800"/>
        </w:tabs>
        <w:spacing w:line="360" w:lineRule="auto"/>
        <w:jc w:val="both"/>
        <w:rPr>
          <w:rFonts w:ascii="Century" w:hAnsi="Century" w:cs="FrankRuehl"/>
          <w:spacing w:val="10"/>
          <w:sz w:val="22"/>
          <w:szCs w:val="28"/>
          <w:rtl/>
        </w:rPr>
      </w:pPr>
    </w:p>
    <w:p w:rsidR="00E32081" w:rsidRPr="009A3788" w:rsidRDefault="00E32081" w:rsidP="00E32081">
      <w:pPr>
        <w:tabs>
          <w:tab w:val="left" w:pos="800"/>
        </w:tabs>
        <w:spacing w:line="360" w:lineRule="auto"/>
        <w:jc w:val="both"/>
        <w:rPr>
          <w:rFonts w:ascii="Century" w:hAnsi="Century" w:cs="FrankRuehl"/>
          <w:spacing w:val="10"/>
          <w:sz w:val="22"/>
          <w:szCs w:val="28"/>
          <w:rtl/>
        </w:rPr>
      </w:pPr>
      <w:r w:rsidRPr="009A3788">
        <w:rPr>
          <w:rFonts w:ascii="Century" w:hAnsi="Century" w:cs="FrankRuehl"/>
          <w:spacing w:val="10"/>
          <w:sz w:val="22"/>
          <w:szCs w:val="28"/>
          <w:rtl/>
        </w:rPr>
        <w:tab/>
      </w:r>
      <w:r w:rsidRPr="009A3788">
        <w:rPr>
          <w:rFonts w:ascii="Century" w:hAnsi="Century" w:cs="FrankRuehl" w:hint="cs"/>
          <w:spacing w:val="10"/>
          <w:sz w:val="22"/>
          <w:szCs w:val="28"/>
          <w:rtl/>
        </w:rPr>
        <w:t xml:space="preserve">עוד חשוב להדגיש, כי בחירתו זו של המכונן לנקוט בלשון כללית של המונח "סבירות", איננה בכדי, והיא מתיישבת עם דרכו הטבועה לנסח חוקי יסוד באופן כללי, בלי להיכנס לפרטי פרטים (ראו: בפס' 76-74 לחוות דעתו של השופט </w:t>
      </w:r>
      <w:r w:rsidRPr="009A3788">
        <w:rPr>
          <w:rFonts w:ascii="Century" w:hAnsi="Century" w:cs="Miriam" w:hint="cs"/>
          <w:b/>
          <w:sz w:val="22"/>
          <w:rtl/>
        </w:rPr>
        <w:t>ד' מינץ</w:t>
      </w:r>
      <w:r>
        <w:rPr>
          <w:rFonts w:ascii="Century" w:hAnsi="Century" w:cs="FrankRuehl" w:hint="cs"/>
          <w:spacing w:val="10"/>
          <w:sz w:val="22"/>
          <w:szCs w:val="28"/>
          <w:rtl/>
        </w:rPr>
        <w:t xml:space="preserve"> וההפניות שם</w:t>
      </w:r>
      <w:r w:rsidRPr="009A3788">
        <w:rPr>
          <w:rFonts w:ascii="Century" w:hAnsi="Century" w:cs="FrankRuehl" w:hint="cs"/>
          <w:spacing w:val="10"/>
          <w:sz w:val="22"/>
          <w:szCs w:val="28"/>
          <w:rtl/>
        </w:rPr>
        <w:t xml:space="preserve">), לשון כללית זו, מותירה בידי השופט-הפרשן מרחב פרשני שבו יצוק תוכן למונח הכללי המופיע בחוק, שכן </w:t>
      </w:r>
      <w:r w:rsidRPr="009A3788">
        <w:rPr>
          <w:rFonts w:ascii="Century" w:hAnsi="Century" w:cs="FrankRuehl"/>
          <w:spacing w:val="10"/>
          <w:sz w:val="22"/>
          <w:szCs w:val="28"/>
          <w:rtl/>
        </w:rPr>
        <w:t>"</w:t>
      </w:r>
      <w:r w:rsidRPr="009A3788">
        <w:rPr>
          <w:rFonts w:ascii="Century" w:hAnsi="Century" w:cs="FrankRuehl" w:hint="cs"/>
          <w:spacing w:val="10"/>
          <w:sz w:val="22"/>
          <w:szCs w:val="28"/>
          <w:rtl/>
        </w:rPr>
        <w:t>א</w:t>
      </w:r>
      <w:r w:rsidRPr="009A3788">
        <w:rPr>
          <w:rFonts w:ascii="Century" w:hAnsi="Century" w:cs="FrankRuehl" w:hint="eastAsia"/>
          <w:spacing w:val="10"/>
          <w:sz w:val="22"/>
          <w:szCs w:val="28"/>
          <w:rtl/>
        </w:rPr>
        <w:t>חרי</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ככלות</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הכל</w:t>
      </w:r>
      <w:r w:rsidRPr="009A3788">
        <w:rPr>
          <w:rFonts w:ascii="Century" w:hAnsi="Century" w:cs="FrankRuehl"/>
          <w:spacing w:val="10"/>
          <w:sz w:val="22"/>
          <w:szCs w:val="28"/>
          <w:rtl/>
        </w:rPr>
        <w:t xml:space="preserve"> – </w:t>
      </w:r>
      <w:r w:rsidRPr="009A3788">
        <w:rPr>
          <w:rFonts w:ascii="Century" w:hAnsi="Century" w:cs="FrankRuehl" w:hint="eastAsia"/>
          <w:spacing w:val="10"/>
          <w:sz w:val="22"/>
          <w:szCs w:val="28"/>
          <w:rtl/>
        </w:rPr>
        <w:t>פרשנות</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משפטית</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היא</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מקצועו</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של</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lastRenderedPageBreak/>
        <w:t>השופט</w:t>
      </w:r>
      <w:r w:rsidRPr="009A3788">
        <w:rPr>
          <w:rFonts w:ascii="Century" w:hAnsi="Century" w:cs="FrankRuehl"/>
          <w:spacing w:val="10"/>
          <w:sz w:val="22"/>
          <w:szCs w:val="28"/>
          <w:rtl/>
        </w:rPr>
        <w:t>"</w:t>
      </w:r>
      <w:r w:rsidRPr="009A3788">
        <w:rPr>
          <w:rFonts w:ascii="Century" w:hAnsi="Century" w:cs="FrankRuehl" w:hint="cs"/>
          <w:spacing w:val="10"/>
          <w:sz w:val="22"/>
          <w:szCs w:val="28"/>
          <w:rtl/>
        </w:rPr>
        <w:t xml:space="preserve"> (</w:t>
      </w:r>
      <w:r w:rsidRPr="009A3788">
        <w:rPr>
          <w:rFonts w:ascii="Century" w:hAnsi="Century" w:cs="FrankRuehl" w:hint="eastAsia"/>
          <w:spacing w:val="10"/>
          <w:sz w:val="22"/>
          <w:szCs w:val="28"/>
          <w:rtl/>
        </w:rPr>
        <w:t>עע</w:t>
      </w:r>
      <w:r w:rsidRPr="009A3788">
        <w:rPr>
          <w:rFonts w:ascii="Century" w:hAnsi="Century" w:cs="FrankRuehl"/>
          <w:spacing w:val="10"/>
          <w:sz w:val="22"/>
          <w:szCs w:val="28"/>
          <w:rtl/>
        </w:rPr>
        <w:t>"</w:t>
      </w:r>
      <w:r w:rsidRPr="009A3788">
        <w:rPr>
          <w:rFonts w:ascii="Century" w:hAnsi="Century" w:cs="FrankRuehl" w:hint="eastAsia"/>
          <w:spacing w:val="10"/>
          <w:sz w:val="22"/>
          <w:szCs w:val="28"/>
          <w:rtl/>
        </w:rPr>
        <w:t>מ</w:t>
      </w:r>
      <w:r w:rsidRPr="009A3788">
        <w:rPr>
          <w:rFonts w:ascii="Century" w:hAnsi="Century" w:cs="FrankRuehl"/>
          <w:spacing w:val="10"/>
          <w:sz w:val="22"/>
          <w:szCs w:val="28"/>
          <w:rtl/>
        </w:rPr>
        <w:t xml:space="preserve"> 4105/09 </w:t>
      </w:r>
      <w:r w:rsidRPr="009A3788">
        <w:rPr>
          <w:rFonts w:ascii="Century" w:hAnsi="Century" w:cs="Miriam" w:hint="eastAsia"/>
          <w:b/>
          <w:sz w:val="22"/>
          <w:rtl/>
        </w:rPr>
        <w:t>עיריית</w:t>
      </w:r>
      <w:r w:rsidRPr="009A3788">
        <w:rPr>
          <w:rFonts w:ascii="Century" w:hAnsi="Century" w:cs="Miriam"/>
          <w:b/>
          <w:sz w:val="22"/>
          <w:rtl/>
        </w:rPr>
        <w:t xml:space="preserve"> </w:t>
      </w:r>
      <w:r w:rsidRPr="009A3788">
        <w:rPr>
          <w:rFonts w:ascii="Century" w:hAnsi="Century" w:cs="Miriam" w:hint="eastAsia"/>
          <w:b/>
          <w:sz w:val="22"/>
          <w:rtl/>
        </w:rPr>
        <w:t>חיפה</w:t>
      </w:r>
      <w:r w:rsidRPr="009A3788">
        <w:rPr>
          <w:rFonts w:ascii="Century" w:hAnsi="Century" w:cs="Miriam"/>
          <w:b/>
          <w:sz w:val="22"/>
          <w:rtl/>
        </w:rPr>
        <w:t xml:space="preserve"> </w:t>
      </w:r>
      <w:r w:rsidRPr="009A3788">
        <w:rPr>
          <w:rFonts w:ascii="Century" w:hAnsi="Century" w:cs="Miriam" w:hint="eastAsia"/>
          <w:b/>
          <w:sz w:val="22"/>
          <w:rtl/>
        </w:rPr>
        <w:t>נ</w:t>
      </w:r>
      <w:r w:rsidRPr="009A3788">
        <w:rPr>
          <w:rFonts w:ascii="Century" w:hAnsi="Century" w:cs="Miriam"/>
          <w:b/>
          <w:sz w:val="22"/>
          <w:rtl/>
        </w:rPr>
        <w:t xml:space="preserve">' </w:t>
      </w:r>
      <w:r w:rsidRPr="009A3788">
        <w:rPr>
          <w:rFonts w:ascii="Century" w:hAnsi="Century" w:cs="Miriam" w:hint="eastAsia"/>
          <w:b/>
          <w:sz w:val="22"/>
          <w:rtl/>
        </w:rPr>
        <w:t>עמותת</w:t>
      </w:r>
      <w:r w:rsidRPr="009A3788">
        <w:rPr>
          <w:rFonts w:ascii="Century" w:hAnsi="Century" w:cs="Miriam"/>
          <w:b/>
          <w:sz w:val="22"/>
          <w:rtl/>
        </w:rPr>
        <w:t xml:space="preserve"> </w:t>
      </w:r>
      <w:r w:rsidRPr="009A3788">
        <w:rPr>
          <w:rFonts w:ascii="Century" w:hAnsi="Century" w:cs="Miriam" w:hint="eastAsia"/>
          <w:b/>
          <w:sz w:val="22"/>
          <w:rtl/>
        </w:rPr>
        <w:t>העדה</w:t>
      </w:r>
      <w:r w:rsidRPr="009A3788">
        <w:rPr>
          <w:rFonts w:ascii="Century" w:hAnsi="Century" w:cs="Miriam"/>
          <w:b/>
          <w:sz w:val="22"/>
          <w:rtl/>
        </w:rPr>
        <w:t xml:space="preserve"> </w:t>
      </w:r>
      <w:r w:rsidRPr="009A3788">
        <w:rPr>
          <w:rFonts w:ascii="Century" w:hAnsi="Century" w:cs="Miriam" w:hint="eastAsia"/>
          <w:b/>
          <w:sz w:val="22"/>
          <w:rtl/>
        </w:rPr>
        <w:t>היהודית</w:t>
      </w:r>
      <w:r w:rsidRPr="009A3788">
        <w:rPr>
          <w:rFonts w:ascii="Century" w:hAnsi="Century" w:cs="Miriam"/>
          <w:b/>
          <w:sz w:val="22"/>
          <w:rtl/>
        </w:rPr>
        <w:t xml:space="preserve"> </w:t>
      </w:r>
      <w:r w:rsidRPr="009A3788">
        <w:rPr>
          <w:rFonts w:ascii="Century" w:hAnsi="Century" w:cs="Miriam" w:hint="eastAsia"/>
          <w:b/>
          <w:sz w:val="22"/>
          <w:rtl/>
        </w:rPr>
        <w:t>הספרדית</w:t>
      </w:r>
      <w:r w:rsidRPr="009A3788">
        <w:rPr>
          <w:rFonts w:ascii="Century" w:hAnsi="Century" w:cs="Miriam"/>
          <w:b/>
          <w:sz w:val="22"/>
          <w:rtl/>
        </w:rPr>
        <w:t xml:space="preserve"> </w:t>
      </w:r>
      <w:r w:rsidRPr="009A3788">
        <w:rPr>
          <w:rFonts w:ascii="Century" w:hAnsi="Century" w:cs="Miriam" w:hint="eastAsia"/>
          <w:b/>
          <w:sz w:val="22"/>
          <w:rtl/>
        </w:rPr>
        <w:t>בחיפה</w:t>
      </w:r>
      <w:r w:rsidRPr="009A3788">
        <w:rPr>
          <w:rFonts w:ascii="Century" w:hAnsi="Century" w:cs="FrankRuehl" w:hint="cs"/>
          <w:spacing w:val="10"/>
          <w:sz w:val="22"/>
          <w:szCs w:val="28"/>
          <w:rtl/>
        </w:rPr>
        <w:t xml:space="preserve">, פס' 22 לפסק דינה של השופטת </w:t>
      </w:r>
      <w:r w:rsidRPr="009A3788">
        <w:rPr>
          <w:rFonts w:ascii="Century" w:hAnsi="Century" w:cs="Miriam" w:hint="cs"/>
          <w:b/>
          <w:sz w:val="22"/>
          <w:rtl/>
        </w:rPr>
        <w:t xml:space="preserve">נאור </w:t>
      </w:r>
      <w:r w:rsidRPr="009A3788">
        <w:rPr>
          <w:rFonts w:ascii="Century" w:hAnsi="Century" w:cs="FrankRuehl"/>
          <w:spacing w:val="10"/>
          <w:sz w:val="22"/>
          <w:szCs w:val="28"/>
          <w:rtl/>
        </w:rPr>
        <w:t>(2.2.2012)‏</w:t>
      </w:r>
      <w:r w:rsidRPr="009A3788">
        <w:rPr>
          <w:rFonts w:ascii="Century" w:hAnsi="Century" w:cs="FrankRuehl" w:hint="cs"/>
          <w:spacing w:val="10"/>
          <w:sz w:val="22"/>
          <w:szCs w:val="28"/>
          <w:rtl/>
        </w:rPr>
        <w:t xml:space="preserve">). בתוך כך, באמתחת השופט מונח הכלי של הענקת </w:t>
      </w:r>
      <w:r w:rsidRPr="009A3788">
        <w:rPr>
          <w:rFonts w:ascii="Century" w:hAnsi="Century" w:cs="Miriam" w:hint="cs"/>
          <w:b/>
          <w:sz w:val="22"/>
          <w:rtl/>
        </w:rPr>
        <w:t>פרשנות מצמצמת</w:t>
      </w:r>
      <w:r w:rsidRPr="009A3788">
        <w:rPr>
          <w:rFonts w:ascii="Century" w:hAnsi="Century" w:cs="FrankRuehl" w:hint="cs"/>
          <w:spacing w:val="10"/>
          <w:sz w:val="22"/>
          <w:szCs w:val="28"/>
          <w:rtl/>
        </w:rPr>
        <w:t xml:space="preserve"> ללשון כללית ורחבה, שבו ישתמש השופט גם על מנת לקיים את דבר החקיקה (להרחבה ראו בפס' 41-39, 47 לחוות דעתי). </w:t>
      </w:r>
    </w:p>
    <w:p w:rsidR="00E32081" w:rsidRPr="009A3788" w:rsidRDefault="00E32081" w:rsidP="00E32081">
      <w:pPr>
        <w:tabs>
          <w:tab w:val="left" w:pos="800"/>
        </w:tabs>
        <w:spacing w:line="360" w:lineRule="auto"/>
        <w:jc w:val="both"/>
        <w:rPr>
          <w:rFonts w:ascii="Century" w:hAnsi="Century" w:cs="FrankRuehl"/>
          <w:spacing w:val="10"/>
          <w:sz w:val="22"/>
          <w:szCs w:val="28"/>
          <w:rtl/>
        </w:rPr>
      </w:pPr>
    </w:p>
    <w:p w:rsidR="00E32081" w:rsidRPr="009A3788" w:rsidRDefault="00E32081" w:rsidP="00E32081">
      <w:pPr>
        <w:tabs>
          <w:tab w:val="left" w:pos="800"/>
        </w:tabs>
        <w:spacing w:line="360" w:lineRule="auto"/>
        <w:jc w:val="both"/>
        <w:rPr>
          <w:rFonts w:ascii="Century" w:hAnsi="Century" w:cs="FrankRuehl"/>
          <w:spacing w:val="10"/>
          <w:sz w:val="22"/>
          <w:szCs w:val="28"/>
          <w:rtl/>
        </w:rPr>
      </w:pPr>
      <w:r w:rsidRPr="009A3788">
        <w:rPr>
          <w:rFonts w:ascii="Century" w:hAnsi="Century" w:cs="FrankRuehl"/>
          <w:spacing w:val="10"/>
          <w:sz w:val="22"/>
          <w:szCs w:val="28"/>
          <w:rtl/>
        </w:rPr>
        <w:tab/>
      </w:r>
      <w:r w:rsidRPr="009A3788">
        <w:rPr>
          <w:rFonts w:ascii="Century" w:hAnsi="Century" w:cs="FrankRuehl" w:hint="cs"/>
          <w:spacing w:val="10"/>
          <w:sz w:val="22"/>
          <w:szCs w:val="28"/>
          <w:rtl/>
        </w:rPr>
        <w:t xml:space="preserve">בהקשר זה, יפים דבריו הנכוחים של הנשיא </w:t>
      </w:r>
      <w:r w:rsidRPr="009A3788">
        <w:rPr>
          <w:rFonts w:ascii="Century" w:hAnsi="Century" w:cs="Miriam" w:hint="cs"/>
          <w:b/>
          <w:sz w:val="22"/>
          <w:rtl/>
        </w:rPr>
        <w:t>ברק</w:t>
      </w:r>
      <w:r w:rsidRPr="009A3788">
        <w:rPr>
          <w:rFonts w:ascii="Century" w:hAnsi="Century" w:cs="FrankRuehl" w:hint="cs"/>
          <w:spacing w:val="10"/>
          <w:sz w:val="22"/>
          <w:szCs w:val="28"/>
          <w:rtl/>
        </w:rPr>
        <w:t xml:space="preserve">: </w:t>
      </w:r>
    </w:p>
    <w:p w:rsidR="00E32081" w:rsidRPr="009A3788" w:rsidRDefault="00E32081" w:rsidP="00E32081">
      <w:pPr>
        <w:tabs>
          <w:tab w:val="left" w:pos="800"/>
        </w:tabs>
        <w:spacing w:line="360" w:lineRule="auto"/>
        <w:jc w:val="both"/>
        <w:rPr>
          <w:rFonts w:ascii="Century" w:hAnsi="Century" w:cs="FrankRuehl"/>
          <w:spacing w:val="10"/>
          <w:sz w:val="22"/>
          <w:szCs w:val="28"/>
          <w:rtl/>
        </w:rPr>
      </w:pPr>
    </w:p>
    <w:p w:rsidR="00E32081" w:rsidRPr="009A3788" w:rsidRDefault="00E32081" w:rsidP="00E32081">
      <w:pPr>
        <w:ind w:left="1644" w:right="1276"/>
        <w:jc w:val="both"/>
        <w:rPr>
          <w:rFonts w:ascii="Arial TUR" w:hAnsi="Arial TUR" w:cs="FrankRuehl"/>
          <w:spacing w:val="10"/>
          <w:sz w:val="22"/>
          <w:szCs w:val="28"/>
          <w:rtl/>
        </w:rPr>
      </w:pPr>
      <w:r w:rsidRPr="009A3788">
        <w:rPr>
          <w:rFonts w:ascii="Arial TUR" w:hAnsi="Arial TUR" w:cs="FrankRuehl"/>
          <w:spacing w:val="10"/>
          <w:sz w:val="22"/>
          <w:szCs w:val="28"/>
          <w:rtl/>
        </w:rPr>
        <w:t>"</w:t>
      </w:r>
      <w:r w:rsidRPr="009A3788">
        <w:rPr>
          <w:rFonts w:ascii="Arial TUR" w:hAnsi="Arial TUR" w:cs="FrankRuehl" w:hint="eastAsia"/>
          <w:spacing w:val="10"/>
          <w:sz w:val="22"/>
          <w:szCs w:val="28"/>
          <w:rtl/>
        </w:rPr>
        <w:t>לא</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ראוי</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הוא</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לו</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לשופט</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הפרשן</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לשבת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בחיבוק</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ידיים</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ולהפנות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את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חץ</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הביקורת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למחוקק</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על</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שלא</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הצליח</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לצמצם</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הוא</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עצמו</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את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לשונו</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הרחבה</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מדיי</w:t>
      </w:r>
      <w:r w:rsidRPr="009A3788">
        <w:rPr>
          <w:rFonts w:ascii="Arial TUR" w:hAnsi="Arial TUR" w:cs="FrankRuehl" w:hint="cs"/>
          <w:spacing w:val="10"/>
          <w:sz w:val="22"/>
          <w:szCs w:val="28"/>
          <w:rtl/>
        </w:rPr>
        <w:t xml:space="preserve"> [...]</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השופט</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אינו</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רשאי</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לגלות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שוויון</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נפש</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למצב</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דברים</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שבו</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תכלית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החקיקה</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אינה</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מתגשמת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עליו</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לעשות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מאמץ</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פרשני</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להגשים</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את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תכליתה</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של</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החקיקה</w:t>
      </w:r>
      <w:r w:rsidRPr="009A3788">
        <w:rPr>
          <w:rFonts w:ascii="Arial TUR" w:hAnsi="Arial TUR" w:cs="FrankRuehl" w:hint="cs"/>
          <w:spacing w:val="10"/>
          <w:sz w:val="22"/>
          <w:szCs w:val="28"/>
          <w:rtl/>
        </w:rPr>
        <w:t>" (</w:t>
      </w:r>
      <w:r>
        <w:rPr>
          <w:rFonts w:ascii="Arial TUR" w:hAnsi="Arial TUR" w:cs="FrankRuehl" w:hint="cs"/>
          <w:spacing w:val="10"/>
          <w:sz w:val="22"/>
          <w:szCs w:val="28"/>
          <w:rtl/>
        </w:rPr>
        <w:t xml:space="preserve">עניין </w:t>
      </w:r>
      <w:r w:rsidRPr="009A3788">
        <w:rPr>
          <w:rFonts w:ascii="Century" w:hAnsi="Century" w:cs="Miriam" w:hint="eastAsia"/>
          <w:b/>
          <w:sz w:val="22"/>
          <w:rtl/>
        </w:rPr>
        <w:t>זנדברג</w:t>
      </w:r>
      <w:r w:rsidRPr="009A3788">
        <w:rPr>
          <w:rFonts w:ascii="Century" w:hAnsi="Century" w:cs="FrankRuehl"/>
          <w:spacing w:val="10"/>
          <w:sz w:val="22"/>
          <w:szCs w:val="28"/>
          <w:rtl/>
        </w:rPr>
        <w:t>,</w:t>
      </w:r>
      <w:r>
        <w:rPr>
          <w:rFonts w:ascii="Century" w:hAnsi="Century" w:cs="FrankRuehl" w:hint="cs"/>
          <w:spacing w:val="10"/>
          <w:sz w:val="22"/>
          <w:szCs w:val="28"/>
          <w:rtl/>
        </w:rPr>
        <w:t xml:space="preserve"> בעמ'</w:t>
      </w:r>
      <w:r w:rsidRPr="009A3788">
        <w:rPr>
          <w:rFonts w:ascii="Century" w:hAnsi="Century" w:cs="FrankRuehl"/>
          <w:spacing w:val="10"/>
          <w:sz w:val="22"/>
          <w:szCs w:val="28"/>
          <w:rtl/>
        </w:rPr>
        <w:t xml:space="preserve"> </w:t>
      </w:r>
      <w:r w:rsidRPr="009A3788">
        <w:rPr>
          <w:rFonts w:ascii="Century" w:hAnsi="Century" w:cs="FrankRuehl" w:hint="cs"/>
          <w:spacing w:val="10"/>
          <w:sz w:val="22"/>
          <w:szCs w:val="28"/>
          <w:rtl/>
        </w:rPr>
        <w:t>809).</w:t>
      </w:r>
    </w:p>
    <w:p w:rsidR="00E32081" w:rsidRPr="009A3788" w:rsidRDefault="00E32081" w:rsidP="00E32081">
      <w:pPr>
        <w:tabs>
          <w:tab w:val="left" w:pos="800"/>
        </w:tabs>
        <w:spacing w:line="360" w:lineRule="auto"/>
        <w:jc w:val="both"/>
        <w:rPr>
          <w:rFonts w:ascii="Century" w:hAnsi="Century" w:cs="FrankRuehl"/>
          <w:spacing w:val="10"/>
          <w:sz w:val="22"/>
          <w:szCs w:val="28"/>
          <w:rtl/>
        </w:rPr>
      </w:pPr>
    </w:p>
    <w:p w:rsidR="00E32081" w:rsidRPr="009A3788" w:rsidRDefault="00E32081" w:rsidP="00E32081">
      <w:pPr>
        <w:tabs>
          <w:tab w:val="left" w:pos="800"/>
        </w:tabs>
        <w:spacing w:line="360" w:lineRule="auto"/>
        <w:jc w:val="both"/>
        <w:rPr>
          <w:rFonts w:ascii="Century" w:hAnsi="Century" w:cs="FrankRuehl"/>
          <w:spacing w:val="10"/>
          <w:sz w:val="22"/>
          <w:szCs w:val="28"/>
          <w:rtl/>
        </w:rPr>
      </w:pPr>
      <w:r w:rsidRPr="009A3788">
        <w:rPr>
          <w:rFonts w:ascii="Century" w:hAnsi="Century" w:cs="FrankRuehl"/>
          <w:spacing w:val="10"/>
          <w:sz w:val="22"/>
          <w:szCs w:val="28"/>
          <w:rtl/>
        </w:rPr>
        <w:tab/>
      </w:r>
      <w:r w:rsidRPr="009A3788">
        <w:rPr>
          <w:rFonts w:ascii="Century" w:hAnsi="Century" w:cs="FrankRuehl" w:hint="cs"/>
          <w:spacing w:val="10"/>
          <w:sz w:val="22"/>
          <w:szCs w:val="28"/>
          <w:rtl/>
        </w:rPr>
        <w:t xml:space="preserve">יש להצר אפוא, על כך שחבריי בחרו להפנות את חיציהם כלפי המכונן בנימוק שלפיו ניסח את התיקון באופן כוללני, חלף פסיעה בנתיב הפרשני אשר ימנע שימוש תקדימי ב"נשק יום הדין" של ביטול חוק יסוד. </w:t>
      </w:r>
    </w:p>
    <w:p w:rsidR="00E32081" w:rsidRPr="009A3788" w:rsidRDefault="00E32081" w:rsidP="00E32081">
      <w:pPr>
        <w:tabs>
          <w:tab w:val="left" w:pos="800"/>
        </w:tabs>
        <w:spacing w:line="360" w:lineRule="auto"/>
        <w:jc w:val="both"/>
        <w:rPr>
          <w:rFonts w:ascii="Century" w:hAnsi="Century" w:cs="FrankRuehl"/>
          <w:spacing w:val="10"/>
          <w:sz w:val="22"/>
          <w:szCs w:val="28"/>
          <w:rtl/>
        </w:rPr>
      </w:pPr>
    </w:p>
    <w:p w:rsidR="00E32081" w:rsidRPr="009A3788" w:rsidRDefault="00E32081" w:rsidP="00E47E7C">
      <w:pPr>
        <w:tabs>
          <w:tab w:val="left" w:pos="800"/>
        </w:tabs>
        <w:spacing w:line="360" w:lineRule="auto"/>
        <w:jc w:val="both"/>
        <w:rPr>
          <w:rFonts w:ascii="Century" w:hAnsi="Century" w:cs="FrankRuehl"/>
          <w:spacing w:val="10"/>
          <w:sz w:val="22"/>
          <w:szCs w:val="28"/>
          <w:rtl/>
        </w:rPr>
      </w:pPr>
      <w:r w:rsidRPr="009A3788">
        <w:rPr>
          <w:rFonts w:ascii="Century" w:hAnsi="Century" w:cs="FrankRuehl" w:hint="cs"/>
          <w:spacing w:val="10"/>
          <w:sz w:val="22"/>
          <w:szCs w:val="28"/>
          <w:rtl/>
        </w:rPr>
        <w:t>96.</w:t>
      </w:r>
      <w:r w:rsidRPr="009A3788">
        <w:rPr>
          <w:rFonts w:ascii="Century" w:hAnsi="Century" w:cs="Miriam"/>
          <w:b/>
          <w:sz w:val="22"/>
          <w:rtl/>
        </w:rPr>
        <w:tab/>
      </w:r>
      <w:r w:rsidRPr="009A3788">
        <w:rPr>
          <w:rFonts w:ascii="Century" w:hAnsi="Century" w:cs="Miriam" w:hint="cs"/>
          <w:b/>
          <w:sz w:val="22"/>
          <w:rtl/>
        </w:rPr>
        <w:t>התכלית הסובייקטיבית</w:t>
      </w:r>
      <w:r w:rsidRPr="009A3788">
        <w:rPr>
          <w:rFonts w:ascii="Century" w:hAnsi="Century" w:cs="FrankRuehl" w:hint="cs"/>
          <w:spacing w:val="10"/>
          <w:sz w:val="22"/>
          <w:szCs w:val="28"/>
          <w:rtl/>
        </w:rPr>
        <w:t xml:space="preserve">: חלק ניכר מחבריי סבורים כי התכלית הסובייקטיבית היא </w:t>
      </w:r>
      <w:r>
        <w:rPr>
          <w:rFonts w:ascii="Century" w:hAnsi="Century" w:cs="FrankRuehl" w:hint="cs"/>
          <w:spacing w:val="10"/>
          <w:sz w:val="22"/>
          <w:szCs w:val="28"/>
          <w:rtl/>
        </w:rPr>
        <w:t xml:space="preserve">ברורה וחד-משמעית, ושלפיה המכונן התכוון לבטל באופן גורף את </w:t>
      </w:r>
      <w:r w:rsidRPr="009A3788">
        <w:rPr>
          <w:rFonts w:ascii="Century" w:hAnsi="Century" w:cs="FrankRuehl" w:hint="cs"/>
          <w:spacing w:val="10"/>
          <w:sz w:val="22"/>
          <w:szCs w:val="28"/>
          <w:rtl/>
        </w:rPr>
        <w:t xml:space="preserve">עילת הסבירות. כך, חבריי מבססים, בין היתר, את עמדתם על דבריו של חה"כ שמחה רוטמן שנאמרו לפנינו באולם בית המשפט, משל היה זה מקור פרשני. אלא שכידוע, אין בדברים הנאמרים על-ידי חברי הכנסת </w:t>
      </w:r>
      <w:r w:rsidRPr="009A3788">
        <w:rPr>
          <w:rFonts w:ascii="Century" w:hAnsi="Century" w:cs="Miriam" w:hint="cs"/>
          <w:b/>
          <w:sz w:val="22"/>
          <w:rtl/>
        </w:rPr>
        <w:t>לאחר</w:t>
      </w:r>
      <w:r w:rsidRPr="009A3788">
        <w:rPr>
          <w:rFonts w:ascii="Century" w:hAnsi="Century" w:cs="FrankRuehl" w:hint="cs"/>
          <w:spacing w:val="10"/>
          <w:sz w:val="22"/>
          <w:szCs w:val="28"/>
          <w:rtl/>
        </w:rPr>
        <w:t xml:space="preserve"> חתימת הליך החקיקה כדי להוות אף לא משענת קנה רצוץ להתחקות אחר תכליתה, שהרי "</w:t>
      </w:r>
      <w:r w:rsidRPr="009A3788">
        <w:rPr>
          <w:rFonts w:ascii="Century" w:hAnsi="Century" w:cs="FrankRuehl" w:hint="eastAsia"/>
          <w:spacing w:val="10"/>
          <w:sz w:val="22"/>
          <w:szCs w:val="28"/>
          <w:rtl/>
        </w:rPr>
        <w:t>בבואו</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לפרש</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דבר</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חקיקה</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בית</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המשפט</w:t>
      </w:r>
      <w:r w:rsidRPr="009A3788">
        <w:rPr>
          <w:rFonts w:ascii="Century" w:hAnsi="Century" w:cs="FrankRuehl"/>
          <w:spacing w:val="10"/>
          <w:sz w:val="22"/>
          <w:szCs w:val="28"/>
          <w:rtl/>
        </w:rPr>
        <w:t xml:space="preserve"> </w:t>
      </w:r>
      <w:r w:rsidRPr="009A3788">
        <w:rPr>
          <w:rFonts w:ascii="Century" w:hAnsi="Century" w:cs="FrankRuehl" w:hint="cs"/>
          <w:spacing w:val="10"/>
          <w:sz w:val="22"/>
          <w:szCs w:val="28"/>
          <w:rtl/>
        </w:rPr>
        <w:t>'</w:t>
      </w:r>
      <w:r w:rsidRPr="009A3788">
        <w:rPr>
          <w:rFonts w:ascii="Century" w:hAnsi="Century" w:cs="FrankRuehl" w:hint="eastAsia"/>
          <w:spacing w:val="10"/>
          <w:sz w:val="22"/>
          <w:szCs w:val="28"/>
          <w:rtl/>
        </w:rPr>
        <w:t>אינו</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רשאי</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לפנות</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אל</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המחוקק</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ולשאול</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אותו</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לתכלית</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חקיקתו</w:t>
      </w:r>
      <w:r w:rsidRPr="009A3788">
        <w:rPr>
          <w:rFonts w:ascii="Century" w:hAnsi="Century" w:cs="FrankRuehl" w:hint="cs"/>
          <w:spacing w:val="10"/>
          <w:sz w:val="22"/>
          <w:szCs w:val="28"/>
          <w:rtl/>
        </w:rPr>
        <w:t>'</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שכן</w:t>
      </w:r>
      <w:r w:rsidRPr="009A3788">
        <w:rPr>
          <w:rFonts w:ascii="Century" w:hAnsi="Century" w:cs="FrankRuehl"/>
          <w:spacing w:val="10"/>
          <w:sz w:val="22"/>
          <w:szCs w:val="28"/>
          <w:rtl/>
        </w:rPr>
        <w:t xml:space="preserve"> </w:t>
      </w:r>
      <w:r w:rsidRPr="009A3788">
        <w:rPr>
          <w:rFonts w:ascii="Century" w:hAnsi="Century" w:cs="FrankRuehl" w:hint="cs"/>
          <w:spacing w:val="10"/>
          <w:sz w:val="22"/>
          <w:szCs w:val="28"/>
          <w:rtl/>
        </w:rPr>
        <w:t>'</w:t>
      </w:r>
      <w:r w:rsidRPr="009A3788">
        <w:rPr>
          <w:rFonts w:ascii="Century" w:hAnsi="Century" w:cs="FrankRuehl" w:hint="eastAsia"/>
          <w:spacing w:val="10"/>
          <w:sz w:val="22"/>
          <w:szCs w:val="28"/>
          <w:rtl/>
        </w:rPr>
        <w:t>פנייה</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כאמור</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נתפשת</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כפגיעה</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בעקרון</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הפרדת</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הרשויות</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ובעקרון</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שלטון</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החוק</w:t>
      </w:r>
      <w:r w:rsidRPr="009A3788">
        <w:rPr>
          <w:rFonts w:ascii="Century" w:hAnsi="Century" w:cs="FrankRuehl" w:hint="cs"/>
          <w:spacing w:val="10"/>
          <w:sz w:val="22"/>
          <w:szCs w:val="28"/>
          <w:rtl/>
        </w:rPr>
        <w:t>'"</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בג</w:t>
      </w:r>
      <w:r w:rsidRPr="009A3788">
        <w:rPr>
          <w:rFonts w:ascii="Century" w:hAnsi="Century" w:cs="FrankRuehl"/>
          <w:spacing w:val="10"/>
          <w:sz w:val="22"/>
          <w:szCs w:val="28"/>
          <w:rtl/>
        </w:rPr>
        <w:t>"</w:t>
      </w:r>
      <w:r w:rsidRPr="009A3788">
        <w:rPr>
          <w:rFonts w:ascii="Century" w:hAnsi="Century" w:cs="FrankRuehl" w:hint="eastAsia"/>
          <w:spacing w:val="10"/>
          <w:sz w:val="22"/>
          <w:szCs w:val="28"/>
          <w:rtl/>
        </w:rPr>
        <w:t>ץ</w:t>
      </w:r>
      <w:r w:rsidRPr="009A3788">
        <w:rPr>
          <w:rFonts w:ascii="Century" w:hAnsi="Century" w:cs="FrankRuehl"/>
          <w:spacing w:val="10"/>
          <w:sz w:val="22"/>
          <w:szCs w:val="28"/>
          <w:rtl/>
        </w:rPr>
        <w:t xml:space="preserve"> </w:t>
      </w:r>
      <w:r w:rsidRPr="009A3788">
        <w:rPr>
          <w:rFonts w:ascii="Century" w:hAnsi="Century" w:cs="FrankRuehl" w:hint="cs"/>
          <w:spacing w:val="10"/>
          <w:sz w:val="22"/>
          <w:szCs w:val="28"/>
          <w:rtl/>
        </w:rPr>
        <w:t>3262/95</w:t>
      </w:r>
      <w:r w:rsidRPr="009A3788">
        <w:rPr>
          <w:rFonts w:ascii="Century" w:hAnsi="Century" w:cs="FrankRuehl"/>
          <w:spacing w:val="10"/>
          <w:sz w:val="22"/>
          <w:szCs w:val="28"/>
          <w:rtl/>
        </w:rPr>
        <w:t xml:space="preserve"> </w:t>
      </w:r>
      <w:r w:rsidRPr="009A3788">
        <w:rPr>
          <w:rFonts w:ascii="Century" w:hAnsi="Century" w:cs="Miriam" w:hint="eastAsia"/>
          <w:b/>
          <w:sz w:val="22"/>
          <w:rtl/>
        </w:rPr>
        <w:t>פורז</w:t>
      </w:r>
      <w:r w:rsidRPr="009A3788">
        <w:rPr>
          <w:rFonts w:ascii="Century" w:hAnsi="Century" w:cs="Miriam"/>
          <w:b/>
          <w:sz w:val="22"/>
          <w:rtl/>
        </w:rPr>
        <w:t xml:space="preserve"> </w:t>
      </w:r>
      <w:r w:rsidRPr="009A3788">
        <w:rPr>
          <w:rFonts w:ascii="Century" w:hAnsi="Century" w:cs="Miriam" w:hint="eastAsia"/>
          <w:b/>
          <w:sz w:val="22"/>
          <w:rtl/>
        </w:rPr>
        <w:t>נ</w:t>
      </w:r>
      <w:r w:rsidRPr="009A3788">
        <w:rPr>
          <w:rFonts w:ascii="Century" w:hAnsi="Century" w:cs="Miriam"/>
          <w:b/>
          <w:sz w:val="22"/>
          <w:rtl/>
        </w:rPr>
        <w:t xml:space="preserve">' </w:t>
      </w:r>
      <w:r w:rsidRPr="009A3788">
        <w:rPr>
          <w:rFonts w:ascii="Century" w:hAnsi="Century" w:cs="Miriam" w:hint="eastAsia"/>
          <w:b/>
          <w:sz w:val="22"/>
          <w:rtl/>
        </w:rPr>
        <w:t>ממשלת</w:t>
      </w:r>
      <w:r w:rsidRPr="009A3788">
        <w:rPr>
          <w:rFonts w:ascii="Century" w:hAnsi="Century" w:cs="Miriam"/>
          <w:b/>
          <w:sz w:val="22"/>
          <w:rtl/>
        </w:rPr>
        <w:t xml:space="preserve"> </w:t>
      </w:r>
      <w:r w:rsidRPr="009A3788">
        <w:rPr>
          <w:rFonts w:ascii="Century" w:hAnsi="Century" w:cs="Miriam" w:hint="eastAsia"/>
          <w:b/>
          <w:sz w:val="22"/>
          <w:rtl/>
        </w:rPr>
        <w:t>ישראל</w:t>
      </w:r>
      <w:r w:rsidRPr="009A3788">
        <w:rPr>
          <w:rFonts w:ascii="Century" w:hAnsi="Century" w:cs="FrankRuehl"/>
          <w:spacing w:val="10"/>
          <w:sz w:val="22"/>
          <w:szCs w:val="28"/>
          <w:rtl/>
        </w:rPr>
        <w:t xml:space="preserve">, </w:t>
      </w:r>
      <w:r w:rsidRPr="009A3788">
        <w:rPr>
          <w:rFonts w:ascii="Century" w:hAnsi="Century" w:cs="FrankRuehl" w:hint="cs"/>
          <w:spacing w:val="10"/>
          <w:sz w:val="22"/>
          <w:szCs w:val="28"/>
          <w:rtl/>
        </w:rPr>
        <w:t xml:space="preserve">פ"ד </w:t>
      </w:r>
      <w:r w:rsidRPr="009A3788">
        <w:rPr>
          <w:rFonts w:ascii="Century" w:hAnsi="Century" w:cs="FrankRuehl" w:hint="eastAsia"/>
          <w:spacing w:val="10"/>
          <w:sz w:val="22"/>
          <w:szCs w:val="28"/>
          <w:rtl/>
        </w:rPr>
        <w:t>מט</w:t>
      </w:r>
      <w:r w:rsidRPr="009A3788">
        <w:rPr>
          <w:rFonts w:ascii="Century" w:hAnsi="Century" w:cs="FrankRuehl"/>
          <w:spacing w:val="10"/>
          <w:sz w:val="22"/>
          <w:szCs w:val="28"/>
          <w:rtl/>
        </w:rPr>
        <w:t>(3) 153</w:t>
      </w:r>
      <w:r w:rsidRPr="009A3788">
        <w:rPr>
          <w:rFonts w:ascii="Century" w:hAnsi="Century" w:cs="FrankRuehl" w:hint="cs"/>
          <w:spacing w:val="10"/>
          <w:sz w:val="22"/>
          <w:szCs w:val="28"/>
          <w:rtl/>
        </w:rPr>
        <w:t xml:space="preserve">, 163 </w:t>
      </w:r>
      <w:r w:rsidRPr="009A3788">
        <w:rPr>
          <w:rFonts w:ascii="Century" w:hAnsi="Century" w:cs="FrankRuehl"/>
          <w:spacing w:val="10"/>
          <w:sz w:val="22"/>
          <w:szCs w:val="28"/>
          <w:rtl/>
        </w:rPr>
        <w:t>(1995))</w:t>
      </w:r>
      <w:r w:rsidRPr="009A3788">
        <w:rPr>
          <w:rFonts w:ascii="Century" w:hAnsi="Century" w:cs="FrankRuehl" w:hint="cs"/>
          <w:spacing w:val="10"/>
          <w:sz w:val="22"/>
          <w:szCs w:val="28"/>
          <w:rtl/>
        </w:rPr>
        <w:t>. ו</w:t>
      </w:r>
      <w:r w:rsidRPr="009A3788">
        <w:rPr>
          <w:rFonts w:ascii="Century" w:hAnsi="Century" w:cs="FrankRuehl" w:hint="eastAsia"/>
          <w:spacing w:val="10"/>
          <w:sz w:val="22"/>
          <w:szCs w:val="28"/>
          <w:rtl/>
        </w:rPr>
        <w:t>אכן</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לא</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בכדי</w:t>
      </w:r>
      <w:r w:rsidRPr="009A3788">
        <w:rPr>
          <w:rFonts w:ascii="Century" w:hAnsi="Century" w:cs="FrankRuehl"/>
          <w:spacing w:val="10"/>
          <w:sz w:val="22"/>
          <w:szCs w:val="28"/>
          <w:rtl/>
        </w:rPr>
        <w:t xml:space="preserve"> </w:t>
      </w:r>
      <w:r w:rsidRPr="009A3788">
        <w:rPr>
          <w:rFonts w:ascii="Century" w:hAnsi="Century" w:cs="FrankRuehl" w:hint="cs"/>
          <w:spacing w:val="10"/>
          <w:sz w:val="22"/>
          <w:szCs w:val="28"/>
          <w:rtl/>
        </w:rPr>
        <w:t>נכתב</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כי</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אין</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זו</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מידה</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ראויה</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למחוקק</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להתייצב</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בבית</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המשפט</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כדי</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להעיד</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לפניו</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על</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כוונת</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חקיקתו</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כמעשה</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נחתום</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המעיד</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על</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עיסתו</w:t>
      </w:r>
      <w:r w:rsidRPr="009A3788">
        <w:rPr>
          <w:rFonts w:ascii="Century" w:hAnsi="Century" w:cs="FrankRuehl"/>
          <w:spacing w:val="10"/>
          <w:sz w:val="22"/>
          <w:szCs w:val="28"/>
          <w:rtl/>
        </w:rPr>
        <w:t>" (</w:t>
      </w:r>
      <w:r w:rsidRPr="009A3788">
        <w:rPr>
          <w:rFonts w:ascii="Century" w:hAnsi="Century" w:cs="FrankRuehl" w:hint="cs"/>
          <w:spacing w:val="10"/>
          <w:sz w:val="22"/>
          <w:szCs w:val="28"/>
          <w:rtl/>
        </w:rPr>
        <w:t>שם</w:t>
      </w:r>
      <w:r w:rsidRPr="009A3788">
        <w:rPr>
          <w:rFonts w:ascii="Century" w:hAnsi="Century" w:cs="FrankRuehl"/>
          <w:spacing w:val="10"/>
          <w:sz w:val="22"/>
          <w:szCs w:val="28"/>
          <w:rtl/>
        </w:rPr>
        <w:t>)</w:t>
      </w:r>
      <w:r w:rsidRPr="009A3788">
        <w:rPr>
          <w:rFonts w:ascii="Century" w:hAnsi="Century" w:cs="FrankRuehl" w:hint="cs"/>
          <w:spacing w:val="10"/>
          <w:sz w:val="22"/>
          <w:szCs w:val="28"/>
          <w:rtl/>
        </w:rPr>
        <w:t xml:space="preserve">; ואף חה"כ רוטמן עצמו ציין, בין היתר, בתשובתו לשאלת בית המשפט בדיון בנוגע לפרשנות התיקון, כי הוא "כמובן לא מציע [לבית משפט זה </w:t>
      </w:r>
      <w:r w:rsidRPr="009A3788">
        <w:rPr>
          <w:rFonts w:ascii="Century" w:hAnsi="Century" w:cs="FrankRuehl"/>
          <w:spacing w:val="10"/>
          <w:sz w:val="22"/>
          <w:szCs w:val="28"/>
          <w:rtl/>
        </w:rPr>
        <w:t>–</w:t>
      </w:r>
      <w:r w:rsidRPr="009A3788">
        <w:rPr>
          <w:rFonts w:ascii="Century" w:hAnsi="Century" w:cs="FrankRuehl" w:hint="cs"/>
          <w:spacing w:val="10"/>
          <w:sz w:val="22"/>
          <w:szCs w:val="28"/>
          <w:rtl/>
        </w:rPr>
        <w:t xml:space="preserve"> י"ו] כיצד לפרש חוקים"</w:t>
      </w:r>
      <w:r w:rsidRPr="009A3788">
        <w:rPr>
          <w:rFonts w:ascii="Century" w:hAnsi="Century" w:cs="FrankRuehl"/>
          <w:spacing w:val="10"/>
          <w:sz w:val="22"/>
          <w:szCs w:val="28"/>
          <w:rtl/>
        </w:rPr>
        <w:t xml:space="preserve">. </w:t>
      </w:r>
      <w:r w:rsidRPr="009A3788">
        <w:rPr>
          <w:rFonts w:ascii="Century" w:hAnsi="Century" w:cs="FrankRuehl" w:hint="cs"/>
          <w:spacing w:val="10"/>
          <w:sz w:val="22"/>
          <w:szCs w:val="28"/>
          <w:rtl/>
        </w:rPr>
        <w:t xml:space="preserve">דברים אלה נכונים אף ביחס לעמדות שהובעו בהשלמת הטיעון מטעם </w:t>
      </w:r>
      <w:r>
        <w:rPr>
          <w:rFonts w:ascii="Century" w:hAnsi="Century" w:cs="FrankRuehl" w:hint="cs"/>
          <w:spacing w:val="10"/>
          <w:sz w:val="22"/>
          <w:szCs w:val="28"/>
          <w:rtl/>
        </w:rPr>
        <w:t xml:space="preserve">באי-כוח </w:t>
      </w:r>
      <w:r w:rsidRPr="009A3788">
        <w:rPr>
          <w:rFonts w:ascii="Century" w:hAnsi="Century" w:cs="FrankRuehl" w:hint="cs"/>
          <w:spacing w:val="10"/>
          <w:sz w:val="22"/>
          <w:szCs w:val="28"/>
          <w:rtl/>
        </w:rPr>
        <w:t xml:space="preserve">משיבי הממשלה בהליך שלפנינו; ובהזדמנות זו אבהיר, במענה להערותיהם של חלק מחבריי, כי בחוות דעתי איני מסתמכת על עמדת המשיבים </w:t>
      </w:r>
      <w:r w:rsidRPr="009A3788">
        <w:rPr>
          <w:rFonts w:ascii="Century" w:hAnsi="Century" w:cs="Miriam" w:hint="cs"/>
          <w:b/>
          <w:sz w:val="22"/>
          <w:rtl/>
        </w:rPr>
        <w:t xml:space="preserve">כמקור פרשני </w:t>
      </w:r>
      <w:r w:rsidRPr="009A3788">
        <w:rPr>
          <w:rFonts w:ascii="Century" w:hAnsi="Century" w:cs="FrankRuehl" w:hint="cs"/>
          <w:spacing w:val="10"/>
          <w:sz w:val="22"/>
          <w:szCs w:val="28"/>
          <w:rtl/>
        </w:rPr>
        <w:t>הנועד להתחקות אחר כוונתו הסובייקטיבית של המחוקק, אלא אך כדי להציג כיצד אף עמדתם-</w:t>
      </w:r>
      <w:r w:rsidRPr="009A3788">
        <w:rPr>
          <w:rFonts w:ascii="Century" w:hAnsi="Century" w:cs="FrankRuehl" w:hint="cs"/>
          <w:spacing w:val="10"/>
          <w:sz w:val="22"/>
          <w:szCs w:val="28"/>
          <w:rtl/>
        </w:rPr>
        <w:lastRenderedPageBreak/>
        <w:t xml:space="preserve">שלהם עשויה לצדד בפרשנות המוצעת, בבחינת תנא דמסייעא (ראו בפס' 17 לחוות דעתו של מ"מ הנשיא </w:t>
      </w:r>
      <w:r w:rsidRPr="009A3788">
        <w:rPr>
          <w:rFonts w:ascii="Century" w:hAnsi="Century" w:cs="Miriam" w:hint="cs"/>
          <w:b/>
          <w:sz w:val="22"/>
          <w:rtl/>
        </w:rPr>
        <w:t>פוגלמן</w:t>
      </w:r>
      <w:r w:rsidRPr="009A3788">
        <w:rPr>
          <w:rFonts w:ascii="Century" w:hAnsi="Century" w:cs="FrankRuehl" w:hint="cs"/>
          <w:spacing w:val="10"/>
          <w:sz w:val="22"/>
          <w:szCs w:val="28"/>
          <w:rtl/>
        </w:rPr>
        <w:t xml:space="preserve">; ובפס' </w:t>
      </w:r>
      <w:r w:rsidR="00E47E7C">
        <w:rPr>
          <w:rFonts w:ascii="Century" w:hAnsi="Century" w:cs="FrankRuehl" w:hint="cs"/>
          <w:spacing w:val="10"/>
          <w:sz w:val="22"/>
          <w:szCs w:val="28"/>
          <w:rtl/>
        </w:rPr>
        <w:t>155-154</w:t>
      </w:r>
      <w:r w:rsidRPr="009A3788">
        <w:rPr>
          <w:rFonts w:ascii="Century" w:hAnsi="Century" w:cs="FrankRuehl" w:hint="cs"/>
          <w:spacing w:val="10"/>
          <w:sz w:val="22"/>
          <w:szCs w:val="28"/>
          <w:rtl/>
        </w:rPr>
        <w:t xml:space="preserve"> לחוות דעתו של השופט </w:t>
      </w:r>
      <w:r w:rsidRPr="009A3788">
        <w:rPr>
          <w:rFonts w:ascii="Century" w:hAnsi="Century" w:cs="Miriam" w:hint="cs"/>
          <w:b/>
          <w:sz w:val="22"/>
          <w:rtl/>
        </w:rPr>
        <w:t>סולברג</w:t>
      </w:r>
      <w:r w:rsidRPr="009A3788">
        <w:rPr>
          <w:rFonts w:ascii="Century" w:hAnsi="Century" w:cs="FrankRuehl" w:hint="cs"/>
          <w:spacing w:val="10"/>
          <w:sz w:val="22"/>
          <w:szCs w:val="28"/>
          <w:rtl/>
        </w:rPr>
        <w:t xml:space="preserve">). </w:t>
      </w:r>
    </w:p>
    <w:p w:rsidR="00E32081" w:rsidRPr="009A3788" w:rsidRDefault="00E32081" w:rsidP="00E32081">
      <w:pPr>
        <w:tabs>
          <w:tab w:val="left" w:pos="800"/>
        </w:tabs>
        <w:spacing w:line="360" w:lineRule="auto"/>
        <w:jc w:val="both"/>
        <w:rPr>
          <w:rFonts w:ascii="Century" w:hAnsi="Century" w:cs="FrankRuehl"/>
          <w:spacing w:val="10"/>
          <w:sz w:val="22"/>
          <w:szCs w:val="28"/>
          <w:rtl/>
        </w:rPr>
      </w:pPr>
    </w:p>
    <w:p w:rsidR="00E32081" w:rsidRPr="009A3788" w:rsidRDefault="00E32081" w:rsidP="00E32081">
      <w:pPr>
        <w:tabs>
          <w:tab w:val="left" w:pos="800"/>
        </w:tabs>
        <w:spacing w:line="360" w:lineRule="auto"/>
        <w:jc w:val="both"/>
        <w:rPr>
          <w:rFonts w:ascii="Century" w:hAnsi="Century" w:cs="FrankRuehl"/>
          <w:spacing w:val="10"/>
          <w:sz w:val="22"/>
          <w:szCs w:val="28"/>
          <w:rtl/>
        </w:rPr>
      </w:pPr>
      <w:r w:rsidRPr="009A3788">
        <w:rPr>
          <w:rFonts w:ascii="Century" w:hAnsi="Century" w:cs="FrankRuehl"/>
          <w:spacing w:val="10"/>
          <w:sz w:val="22"/>
          <w:szCs w:val="28"/>
          <w:rtl/>
        </w:rPr>
        <w:tab/>
      </w:r>
      <w:r w:rsidRPr="009A3788">
        <w:rPr>
          <w:rFonts w:ascii="Century" w:hAnsi="Century" w:cs="FrankRuehl" w:hint="cs"/>
          <w:spacing w:val="10"/>
          <w:sz w:val="22"/>
          <w:szCs w:val="28"/>
          <w:rtl/>
        </w:rPr>
        <w:t>גם מהדברים שנאמרו במסגרת הליך החקיקה של התיקון, לא ניתן ללמוד כי התכלית הסובייקטיבי</w:t>
      </w:r>
      <w:r w:rsidRPr="009A3788">
        <w:rPr>
          <w:rFonts w:ascii="Century" w:hAnsi="Century" w:cs="FrankRuehl" w:hint="eastAsia"/>
          <w:spacing w:val="10"/>
          <w:sz w:val="22"/>
          <w:szCs w:val="28"/>
          <w:rtl/>
        </w:rPr>
        <w:t>ת</w:t>
      </w:r>
      <w:r w:rsidRPr="009A3788">
        <w:rPr>
          <w:rFonts w:ascii="Century" w:hAnsi="Century" w:cs="FrankRuehl" w:hint="cs"/>
          <w:spacing w:val="10"/>
          <w:sz w:val="22"/>
          <w:szCs w:val="28"/>
          <w:rtl/>
        </w:rPr>
        <w:t xml:space="preserve"> היא חד-משמעית, כפי שטוענים חלק מחבריי. כפי שציינתי לעיל, ניתן למצוא בפרוטוקולי הדיונים אמירות שונות ומגוונות </w:t>
      </w:r>
      <w:r w:rsidRPr="009A3788">
        <w:rPr>
          <w:rFonts w:ascii="Century" w:hAnsi="Century" w:cs="FrankRuehl"/>
          <w:spacing w:val="10"/>
          <w:sz w:val="22"/>
          <w:szCs w:val="28"/>
          <w:rtl/>
        </w:rPr>
        <w:t>–</w:t>
      </w:r>
      <w:r w:rsidRPr="009A3788">
        <w:rPr>
          <w:rFonts w:ascii="Century" w:hAnsi="Century" w:cs="FrankRuehl" w:hint="cs"/>
          <w:spacing w:val="10"/>
          <w:sz w:val="22"/>
          <w:szCs w:val="28"/>
          <w:rtl/>
        </w:rPr>
        <w:t xml:space="preserve"> מזה ומזה (ראו בפס' 58-57 לחוות דעתי). </w:t>
      </w:r>
      <w:r>
        <w:rPr>
          <w:rFonts w:ascii="Century" w:hAnsi="Century" w:cs="FrankRuehl" w:hint="cs"/>
          <w:spacing w:val="10"/>
          <w:sz w:val="22"/>
          <w:szCs w:val="28"/>
          <w:rtl/>
        </w:rPr>
        <w:t>כידוע</w:t>
      </w:r>
      <w:r w:rsidRPr="009A3788">
        <w:rPr>
          <w:rFonts w:ascii="Century" w:hAnsi="Century" w:cs="FrankRuehl" w:hint="cs"/>
          <w:spacing w:val="10"/>
          <w:sz w:val="22"/>
          <w:szCs w:val="28"/>
          <w:rtl/>
        </w:rPr>
        <w:t xml:space="preserve">, בהתאם לפסיקתו המושרשת של בית משפט זה, בהתחשב בכך שהכנסת היא "גוף חקיקתי קולקטיבי" </w:t>
      </w:r>
      <w:r w:rsidRPr="009A3788">
        <w:rPr>
          <w:rFonts w:ascii="Century" w:hAnsi="Century" w:cs="FrankRuehl"/>
          <w:spacing w:val="10"/>
          <w:sz w:val="22"/>
          <w:szCs w:val="28"/>
          <w:rtl/>
        </w:rPr>
        <w:t>–</w:t>
      </w:r>
      <w:r w:rsidRPr="009A3788">
        <w:rPr>
          <w:rFonts w:ascii="Century" w:hAnsi="Century" w:cs="FrankRuehl" w:hint="cs"/>
          <w:spacing w:val="10"/>
          <w:sz w:val="22"/>
          <w:szCs w:val="28"/>
          <w:rtl/>
        </w:rPr>
        <w:t xml:space="preserve"> "</w:t>
      </w:r>
      <w:r w:rsidRPr="009A3788">
        <w:rPr>
          <w:rFonts w:ascii="Arial TUR" w:hAnsi="Arial TUR" w:cs="FrankRuehl" w:hint="eastAsia"/>
          <w:spacing w:val="10"/>
          <w:sz w:val="22"/>
          <w:szCs w:val="28"/>
          <w:rtl/>
        </w:rPr>
        <w:t>אין</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ליחס</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בהכרח</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לדבר</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חקיקה</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היוצא</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הימנה</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כל</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אמירה</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של</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מי</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מחברי</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הכנסת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שצידד</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בחוק</w:t>
      </w:r>
      <w:r w:rsidRPr="009A3788">
        <w:rPr>
          <w:rFonts w:ascii="Arial TUR" w:hAnsi="Arial TUR" w:cs="FrankRuehl" w:hint="cs"/>
          <w:spacing w:val="10"/>
          <w:sz w:val="22"/>
          <w:szCs w:val="28"/>
          <w:rtl/>
        </w:rPr>
        <w:t>" (</w:t>
      </w:r>
      <w:r w:rsidRPr="009A3788">
        <w:rPr>
          <w:rFonts w:ascii="Century" w:hAnsi="Century" w:cs="FrankRuehl" w:hint="eastAsia"/>
          <w:spacing w:val="10"/>
          <w:sz w:val="22"/>
          <w:szCs w:val="28"/>
          <w:rtl/>
        </w:rPr>
        <w:t>בג</w:t>
      </w:r>
      <w:r w:rsidRPr="009A3788">
        <w:rPr>
          <w:rFonts w:ascii="Century" w:hAnsi="Century" w:cs="FrankRuehl"/>
          <w:spacing w:val="10"/>
          <w:sz w:val="22"/>
          <w:szCs w:val="28"/>
          <w:rtl/>
        </w:rPr>
        <w:t>"</w:t>
      </w:r>
      <w:r w:rsidRPr="009A3788">
        <w:rPr>
          <w:rFonts w:ascii="Century" w:hAnsi="Century" w:cs="FrankRuehl" w:hint="eastAsia"/>
          <w:spacing w:val="10"/>
          <w:sz w:val="22"/>
          <w:szCs w:val="28"/>
          <w:rtl/>
        </w:rPr>
        <w:t>ץ</w:t>
      </w:r>
      <w:r w:rsidRPr="009A3788">
        <w:rPr>
          <w:rFonts w:ascii="Century" w:hAnsi="Century" w:cs="FrankRuehl"/>
          <w:spacing w:val="10"/>
          <w:sz w:val="22"/>
          <w:szCs w:val="28"/>
          <w:rtl/>
        </w:rPr>
        <w:t xml:space="preserve"> 2311/11 </w:t>
      </w:r>
      <w:r w:rsidRPr="009A3788">
        <w:rPr>
          <w:rFonts w:ascii="Century" w:hAnsi="Century" w:cs="Miriam" w:hint="eastAsia"/>
          <w:b/>
          <w:sz w:val="22"/>
          <w:rtl/>
        </w:rPr>
        <w:t>סבח</w:t>
      </w:r>
      <w:r w:rsidRPr="009A3788">
        <w:rPr>
          <w:rFonts w:ascii="Century" w:hAnsi="Century" w:cs="Miriam"/>
          <w:b/>
          <w:sz w:val="22"/>
          <w:rtl/>
        </w:rPr>
        <w:t xml:space="preserve"> </w:t>
      </w:r>
      <w:r w:rsidRPr="009A3788">
        <w:rPr>
          <w:rFonts w:ascii="Century" w:hAnsi="Century" w:cs="Miriam" w:hint="eastAsia"/>
          <w:b/>
          <w:sz w:val="22"/>
          <w:rtl/>
        </w:rPr>
        <w:t>נ</w:t>
      </w:r>
      <w:r w:rsidRPr="009A3788">
        <w:rPr>
          <w:rFonts w:ascii="Century" w:hAnsi="Century" w:cs="Miriam"/>
          <w:b/>
          <w:sz w:val="22"/>
          <w:rtl/>
        </w:rPr>
        <w:t xml:space="preserve">' </w:t>
      </w:r>
      <w:r w:rsidRPr="009A3788">
        <w:rPr>
          <w:rFonts w:ascii="Century" w:hAnsi="Century" w:cs="Miriam" w:hint="eastAsia"/>
          <w:b/>
          <w:sz w:val="22"/>
          <w:rtl/>
        </w:rPr>
        <w:t>הכנסת</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פס</w:t>
      </w:r>
      <w:r w:rsidRPr="009A3788">
        <w:rPr>
          <w:rFonts w:ascii="Century" w:hAnsi="Century" w:cs="FrankRuehl"/>
          <w:spacing w:val="10"/>
          <w:sz w:val="22"/>
          <w:szCs w:val="28"/>
          <w:rtl/>
        </w:rPr>
        <w:t xml:space="preserve">' 5 </w:t>
      </w:r>
      <w:r w:rsidRPr="009A3788">
        <w:rPr>
          <w:rFonts w:ascii="Century" w:hAnsi="Century" w:cs="FrankRuehl" w:hint="eastAsia"/>
          <w:spacing w:val="10"/>
          <w:sz w:val="22"/>
          <w:szCs w:val="28"/>
          <w:rtl/>
        </w:rPr>
        <w:t>לפסק</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דינו</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של</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השופט</w:t>
      </w:r>
      <w:r w:rsidRPr="009A3788">
        <w:rPr>
          <w:rFonts w:ascii="Century" w:hAnsi="Century" w:cs="FrankRuehl"/>
          <w:spacing w:val="10"/>
          <w:sz w:val="22"/>
          <w:szCs w:val="28"/>
          <w:rtl/>
        </w:rPr>
        <w:t xml:space="preserve"> </w:t>
      </w:r>
      <w:r w:rsidRPr="009A3788">
        <w:rPr>
          <w:rFonts w:ascii="Century" w:hAnsi="Century" w:cs="Miriam" w:hint="eastAsia"/>
          <w:b/>
          <w:sz w:val="22"/>
          <w:rtl/>
        </w:rPr>
        <w:t>מלצר</w:t>
      </w:r>
      <w:r w:rsidRPr="009A3788">
        <w:rPr>
          <w:rFonts w:ascii="Century" w:hAnsi="Century" w:cs="FrankRuehl"/>
          <w:spacing w:val="10"/>
          <w:sz w:val="22"/>
          <w:szCs w:val="28"/>
          <w:rtl/>
        </w:rPr>
        <w:t xml:space="preserve"> (17.9.2014)</w:t>
      </w:r>
      <w:r w:rsidRPr="009A3788">
        <w:rPr>
          <w:rFonts w:ascii="Century" w:hAnsi="Century" w:cs="FrankRuehl" w:hint="cs"/>
          <w:spacing w:val="10"/>
          <w:sz w:val="22"/>
          <w:szCs w:val="28"/>
          <w:rtl/>
        </w:rPr>
        <w:t xml:space="preserve">). עוד נפסק, כי </w:t>
      </w:r>
      <w:r w:rsidRPr="009A3788">
        <w:rPr>
          <w:rFonts w:ascii="Arial TUR" w:hAnsi="Arial TUR" w:cs="FrankRuehl" w:hint="cs"/>
          <w:spacing w:val="10"/>
          <w:sz w:val="22"/>
          <w:szCs w:val="28"/>
          <w:rtl/>
        </w:rPr>
        <w:t>ישנו "קושי</w:t>
      </w:r>
      <w:r w:rsidRPr="009A3788">
        <w:rPr>
          <w:rFonts w:ascii="Arial TUR" w:hAnsi="Arial TUR" w:cs="FrankRuehl"/>
          <w:spacing w:val="10"/>
          <w:sz w:val="22"/>
          <w:szCs w:val="28"/>
          <w:rtl/>
        </w:rPr>
        <w:t xml:space="preserve"> אמפירי-עובדתי בגילוי העמדה הסובייקטיבית של המחוקק על ידי אמרות מלאות או ספורדיות של חלק מקבוצת המחוקקים ונציגים מנציגים שונים</w:t>
      </w:r>
      <w:r w:rsidRPr="009A3788">
        <w:rPr>
          <w:rFonts w:ascii="Arial TUR" w:hAnsi="Arial TUR" w:cs="FrankRuehl" w:hint="cs"/>
          <w:spacing w:val="10"/>
          <w:sz w:val="22"/>
          <w:szCs w:val="28"/>
          <w:rtl/>
        </w:rPr>
        <w:t>"; וכי "</w:t>
      </w:r>
      <w:r w:rsidRPr="009A3788">
        <w:rPr>
          <w:rFonts w:ascii="Arial TUR" w:hAnsi="Arial TUR" w:cs="FrankRuehl" w:hint="eastAsia"/>
          <w:spacing w:val="10"/>
          <w:sz w:val="22"/>
          <w:szCs w:val="28"/>
          <w:rtl/>
        </w:rPr>
        <w:t>אמרות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שונות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במהלך</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תהליך</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פשרה</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מורכבת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עשויות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לשקף</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דווקא</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שלבים</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שונים</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של</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משא</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ומתן</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מאשר</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את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התוצאה</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המוגמרת</w:t>
      </w:r>
      <w:r w:rsidRPr="009A3788">
        <w:rPr>
          <w:rFonts w:ascii="Arial TUR" w:hAnsi="Arial TUR" w:cs="FrankRuehl" w:hint="cs"/>
          <w:spacing w:val="10"/>
          <w:sz w:val="22"/>
          <w:szCs w:val="28"/>
          <w:rtl/>
        </w:rPr>
        <w:t xml:space="preserve">" </w:t>
      </w:r>
      <w:r w:rsidRPr="009A3788">
        <w:rPr>
          <w:rFonts w:ascii="Century" w:hAnsi="Century" w:cs="FrankRuehl" w:hint="cs"/>
          <w:spacing w:val="10"/>
          <w:sz w:val="22"/>
          <w:szCs w:val="28"/>
          <w:rtl/>
        </w:rPr>
        <w:t>(</w:t>
      </w:r>
      <w:r w:rsidRPr="009A3788">
        <w:rPr>
          <w:rFonts w:ascii="Century" w:hAnsi="Century" w:cs="FrankRuehl" w:hint="eastAsia"/>
          <w:spacing w:val="10"/>
          <w:sz w:val="22"/>
          <w:szCs w:val="28"/>
          <w:rtl/>
        </w:rPr>
        <w:t>רע</w:t>
      </w:r>
      <w:r w:rsidRPr="009A3788">
        <w:rPr>
          <w:rFonts w:ascii="Century" w:hAnsi="Century" w:cs="FrankRuehl"/>
          <w:spacing w:val="10"/>
          <w:sz w:val="22"/>
          <w:szCs w:val="28"/>
          <w:rtl/>
        </w:rPr>
        <w:t>"</w:t>
      </w:r>
      <w:r w:rsidRPr="009A3788">
        <w:rPr>
          <w:rFonts w:ascii="Century" w:hAnsi="Century" w:cs="FrankRuehl" w:hint="eastAsia"/>
          <w:spacing w:val="10"/>
          <w:sz w:val="22"/>
          <w:szCs w:val="28"/>
          <w:rtl/>
        </w:rPr>
        <w:t>א</w:t>
      </w:r>
      <w:r w:rsidRPr="009A3788">
        <w:rPr>
          <w:rFonts w:ascii="Century" w:hAnsi="Century" w:cs="FrankRuehl"/>
          <w:spacing w:val="10"/>
          <w:sz w:val="22"/>
          <w:szCs w:val="28"/>
          <w:rtl/>
        </w:rPr>
        <w:t xml:space="preserve"> 3961/10 </w:t>
      </w:r>
      <w:r w:rsidRPr="009A3788">
        <w:rPr>
          <w:rFonts w:ascii="Century" w:hAnsi="Century" w:cs="Miriam" w:hint="eastAsia"/>
          <w:b/>
          <w:sz w:val="22"/>
          <w:rtl/>
        </w:rPr>
        <w:t>המוסד</w:t>
      </w:r>
      <w:r w:rsidRPr="009A3788">
        <w:rPr>
          <w:rFonts w:ascii="Century" w:hAnsi="Century" w:cs="Miriam"/>
          <w:b/>
          <w:sz w:val="22"/>
          <w:rtl/>
        </w:rPr>
        <w:t xml:space="preserve"> </w:t>
      </w:r>
      <w:r w:rsidRPr="009A3788">
        <w:rPr>
          <w:rFonts w:ascii="Century" w:hAnsi="Century" w:cs="Miriam" w:hint="eastAsia"/>
          <w:b/>
          <w:sz w:val="22"/>
          <w:rtl/>
        </w:rPr>
        <w:t>לביטוח</w:t>
      </w:r>
      <w:r w:rsidRPr="009A3788">
        <w:rPr>
          <w:rFonts w:ascii="Century" w:hAnsi="Century" w:cs="Miriam"/>
          <w:b/>
          <w:sz w:val="22"/>
          <w:rtl/>
        </w:rPr>
        <w:t xml:space="preserve"> </w:t>
      </w:r>
      <w:r w:rsidRPr="009A3788">
        <w:rPr>
          <w:rFonts w:ascii="Century" w:hAnsi="Century" w:cs="Miriam" w:hint="eastAsia"/>
          <w:b/>
          <w:sz w:val="22"/>
          <w:rtl/>
        </w:rPr>
        <w:t>לאומי</w:t>
      </w:r>
      <w:r w:rsidRPr="009A3788">
        <w:rPr>
          <w:rFonts w:ascii="Century" w:hAnsi="Century" w:cs="Miriam"/>
          <w:b/>
          <w:sz w:val="22"/>
          <w:rtl/>
        </w:rPr>
        <w:t xml:space="preserve"> </w:t>
      </w:r>
      <w:r w:rsidRPr="009A3788">
        <w:rPr>
          <w:rFonts w:ascii="Century" w:hAnsi="Century" w:cs="Miriam" w:hint="eastAsia"/>
          <w:b/>
          <w:sz w:val="22"/>
          <w:rtl/>
        </w:rPr>
        <w:t>נ</w:t>
      </w:r>
      <w:r w:rsidRPr="009A3788">
        <w:rPr>
          <w:rFonts w:ascii="Century" w:hAnsi="Century" w:cs="Miriam"/>
          <w:b/>
          <w:sz w:val="22"/>
          <w:rtl/>
        </w:rPr>
        <w:t xml:space="preserve">' </w:t>
      </w:r>
      <w:r w:rsidRPr="009A3788">
        <w:rPr>
          <w:rFonts w:ascii="Century" w:hAnsi="Century" w:cs="Miriam" w:hint="eastAsia"/>
          <w:b/>
          <w:sz w:val="22"/>
          <w:rtl/>
        </w:rPr>
        <w:t>סהר</w:t>
      </w:r>
      <w:r w:rsidRPr="009A3788">
        <w:rPr>
          <w:rFonts w:ascii="Century" w:hAnsi="Century" w:cs="Miriam"/>
          <w:b/>
          <w:sz w:val="22"/>
          <w:rtl/>
        </w:rPr>
        <w:t xml:space="preserve"> </w:t>
      </w:r>
      <w:r w:rsidRPr="009A3788">
        <w:rPr>
          <w:rFonts w:ascii="Century" w:hAnsi="Century" w:cs="Miriam" w:hint="eastAsia"/>
          <w:b/>
          <w:sz w:val="22"/>
          <w:rtl/>
        </w:rPr>
        <w:t>חברה</w:t>
      </w:r>
      <w:r w:rsidRPr="009A3788">
        <w:rPr>
          <w:rFonts w:ascii="Century" w:hAnsi="Century" w:cs="Miriam"/>
          <w:b/>
          <w:sz w:val="22"/>
          <w:rtl/>
        </w:rPr>
        <w:t xml:space="preserve"> </w:t>
      </w:r>
      <w:r w:rsidRPr="009A3788">
        <w:rPr>
          <w:rFonts w:ascii="Century" w:hAnsi="Century" w:cs="Miriam" w:hint="eastAsia"/>
          <w:b/>
          <w:sz w:val="22"/>
          <w:rtl/>
        </w:rPr>
        <w:t>לתביעות</w:t>
      </w:r>
      <w:r w:rsidRPr="009A3788">
        <w:rPr>
          <w:rFonts w:ascii="Century" w:hAnsi="Century" w:cs="Miriam"/>
          <w:b/>
          <w:sz w:val="22"/>
          <w:rtl/>
        </w:rPr>
        <w:t xml:space="preserve"> </w:t>
      </w:r>
      <w:r w:rsidRPr="009A3788">
        <w:rPr>
          <w:rFonts w:ascii="Century" w:hAnsi="Century" w:cs="Miriam" w:hint="eastAsia"/>
          <w:b/>
          <w:sz w:val="22"/>
          <w:rtl/>
        </w:rPr>
        <w:t>בע</w:t>
      </w:r>
      <w:r w:rsidRPr="009A3788">
        <w:rPr>
          <w:rFonts w:ascii="Century" w:hAnsi="Century" w:cs="Miriam"/>
          <w:b/>
          <w:sz w:val="22"/>
          <w:rtl/>
        </w:rPr>
        <w:t>"</w:t>
      </w:r>
      <w:r w:rsidRPr="009A3788">
        <w:rPr>
          <w:rFonts w:ascii="Century" w:hAnsi="Century" w:cs="Miriam" w:hint="eastAsia"/>
          <w:b/>
          <w:sz w:val="22"/>
          <w:rtl/>
        </w:rPr>
        <w:t>מ</w:t>
      </w:r>
      <w:r w:rsidRPr="009A3788">
        <w:rPr>
          <w:rFonts w:ascii="Century" w:hAnsi="Century" w:cs="Miriam"/>
          <w:b/>
          <w:sz w:val="22"/>
          <w:rtl/>
        </w:rPr>
        <w:t xml:space="preserve"> </w:t>
      </w:r>
      <w:r w:rsidRPr="009A3788">
        <w:rPr>
          <w:rFonts w:ascii="Century" w:hAnsi="Century" w:cs="Miriam" w:hint="eastAsia"/>
          <w:b/>
          <w:sz w:val="22"/>
          <w:rtl/>
        </w:rPr>
        <w:t>מגדל</w:t>
      </w:r>
      <w:r w:rsidRPr="009A3788">
        <w:rPr>
          <w:rFonts w:ascii="Century" w:hAnsi="Century" w:cs="Miriam"/>
          <w:b/>
          <w:sz w:val="22"/>
          <w:rtl/>
        </w:rPr>
        <w:t xml:space="preserve"> </w:t>
      </w:r>
      <w:r w:rsidRPr="009A3788">
        <w:rPr>
          <w:rFonts w:ascii="Century" w:hAnsi="Century" w:cs="Miriam" w:hint="eastAsia"/>
          <w:b/>
          <w:sz w:val="22"/>
          <w:rtl/>
        </w:rPr>
        <w:t>חברה</w:t>
      </w:r>
      <w:r w:rsidRPr="009A3788">
        <w:rPr>
          <w:rFonts w:ascii="Century" w:hAnsi="Century" w:cs="Miriam"/>
          <w:b/>
          <w:sz w:val="22"/>
          <w:rtl/>
        </w:rPr>
        <w:t xml:space="preserve"> </w:t>
      </w:r>
      <w:r w:rsidRPr="009A3788">
        <w:rPr>
          <w:rFonts w:ascii="Century" w:hAnsi="Century" w:cs="Miriam" w:hint="eastAsia"/>
          <w:b/>
          <w:sz w:val="22"/>
          <w:rtl/>
        </w:rPr>
        <w:t>לביטוח</w:t>
      </w:r>
      <w:r w:rsidRPr="009A3788">
        <w:rPr>
          <w:rFonts w:ascii="Century" w:hAnsi="Century" w:cs="Miriam"/>
          <w:b/>
          <w:sz w:val="22"/>
          <w:rtl/>
        </w:rPr>
        <w:t xml:space="preserve"> </w:t>
      </w:r>
      <w:r w:rsidRPr="009A3788">
        <w:rPr>
          <w:rFonts w:ascii="Century" w:hAnsi="Century" w:cs="Miriam" w:hint="eastAsia"/>
          <w:b/>
          <w:sz w:val="22"/>
          <w:rtl/>
        </w:rPr>
        <w:t>בע</w:t>
      </w:r>
      <w:r w:rsidRPr="009A3788">
        <w:rPr>
          <w:rFonts w:ascii="Century" w:hAnsi="Century" w:cs="Miriam"/>
          <w:b/>
          <w:sz w:val="22"/>
          <w:rtl/>
        </w:rPr>
        <w:t>"</w:t>
      </w:r>
      <w:r w:rsidRPr="009A3788">
        <w:rPr>
          <w:rFonts w:ascii="Century" w:hAnsi="Century" w:cs="Miriam" w:hint="eastAsia"/>
          <w:b/>
          <w:sz w:val="22"/>
          <w:rtl/>
        </w:rPr>
        <w:t>מ</w:t>
      </w:r>
      <w:r w:rsidRPr="009A3788">
        <w:rPr>
          <w:rFonts w:ascii="Century" w:hAnsi="Century" w:cs="FrankRuehl"/>
          <w:spacing w:val="10"/>
          <w:sz w:val="22"/>
          <w:szCs w:val="28"/>
          <w:rtl/>
        </w:rPr>
        <w:t xml:space="preserve">, </w:t>
      </w:r>
      <w:r w:rsidRPr="009A3788">
        <w:rPr>
          <w:rFonts w:ascii="Century" w:hAnsi="Century" w:cs="FrankRuehl" w:hint="cs"/>
          <w:spacing w:val="10"/>
          <w:sz w:val="22"/>
          <w:szCs w:val="28"/>
          <w:rtl/>
        </w:rPr>
        <w:t xml:space="preserve">פ"ד </w:t>
      </w:r>
      <w:r w:rsidRPr="009A3788">
        <w:rPr>
          <w:rFonts w:ascii="Century" w:hAnsi="Century" w:cs="FrankRuehl" w:hint="eastAsia"/>
          <w:spacing w:val="10"/>
          <w:sz w:val="22"/>
          <w:szCs w:val="28"/>
          <w:rtl/>
        </w:rPr>
        <w:t>סה</w:t>
      </w:r>
      <w:r w:rsidRPr="009A3788">
        <w:rPr>
          <w:rFonts w:ascii="Century" w:hAnsi="Century" w:cs="FrankRuehl"/>
          <w:spacing w:val="10"/>
          <w:sz w:val="22"/>
          <w:szCs w:val="28"/>
          <w:rtl/>
        </w:rPr>
        <w:t>(2) 563</w:t>
      </w:r>
      <w:r w:rsidRPr="009A3788">
        <w:rPr>
          <w:rFonts w:ascii="Century" w:hAnsi="Century" w:cs="FrankRuehl" w:hint="cs"/>
          <w:spacing w:val="10"/>
          <w:sz w:val="22"/>
          <w:szCs w:val="28"/>
          <w:rtl/>
        </w:rPr>
        <w:t>, פס' 2 לפסק דינו של השופט</w:t>
      </w:r>
      <w:r w:rsidRPr="009A3788">
        <w:rPr>
          <w:rFonts w:ascii="Century" w:hAnsi="Century" w:cs="Miriam" w:hint="cs"/>
          <w:b/>
          <w:sz w:val="22"/>
          <w:rtl/>
        </w:rPr>
        <w:t xml:space="preserve"> הנדל </w:t>
      </w:r>
      <w:r w:rsidRPr="009A3788">
        <w:rPr>
          <w:rFonts w:ascii="Century" w:hAnsi="Century" w:cs="FrankRuehl"/>
          <w:spacing w:val="10"/>
          <w:sz w:val="22"/>
          <w:szCs w:val="28"/>
          <w:rtl/>
        </w:rPr>
        <w:t>(2012)</w:t>
      </w:r>
      <w:r w:rsidRPr="009A3788">
        <w:rPr>
          <w:rFonts w:ascii="Century" w:hAnsi="Century" w:cs="FrankRuehl" w:hint="cs"/>
          <w:spacing w:val="10"/>
          <w:sz w:val="22"/>
          <w:szCs w:val="28"/>
          <w:rtl/>
        </w:rPr>
        <w:t xml:space="preserve">). לא בכדי </w:t>
      </w:r>
      <w:r>
        <w:rPr>
          <w:rFonts w:ascii="Century" w:hAnsi="Century" w:cs="FrankRuehl" w:hint="cs"/>
          <w:spacing w:val="10"/>
          <w:sz w:val="22"/>
          <w:szCs w:val="28"/>
          <w:rtl/>
        </w:rPr>
        <w:t xml:space="preserve">נקבע, אפוא, </w:t>
      </w:r>
      <w:r w:rsidRPr="009A3788">
        <w:rPr>
          <w:rFonts w:ascii="Century" w:hAnsi="Century" w:cs="FrankRuehl" w:hint="cs"/>
          <w:spacing w:val="10"/>
          <w:sz w:val="22"/>
          <w:szCs w:val="28"/>
          <w:rtl/>
        </w:rPr>
        <w:t xml:space="preserve">כי </w:t>
      </w:r>
      <w:r w:rsidRPr="009A3788">
        <w:rPr>
          <w:rFonts w:ascii="Arial TUR" w:hAnsi="Arial TUR" w:cs="FrankRuehl" w:hint="cs"/>
          <w:spacing w:val="10"/>
          <w:sz w:val="22"/>
          <w:szCs w:val="28"/>
          <w:rtl/>
        </w:rPr>
        <w:t>"אין לנו לחפש בהיסטוריה החקיקתית את עמדתו של חבר כנסת כזה או אחר באשר לבעיה הספציפית המטרידה אותנו</w:t>
      </w:r>
      <w:r w:rsidRPr="009A3788">
        <w:rPr>
          <w:rFonts w:ascii="Century" w:hAnsi="Century" w:cs="FrankRuehl" w:hint="cs"/>
          <w:spacing w:val="10"/>
          <w:sz w:val="22"/>
          <w:szCs w:val="28"/>
          <w:rtl/>
        </w:rPr>
        <w:t>.</w:t>
      </w:r>
      <w:r w:rsidRPr="009A3788">
        <w:rPr>
          <w:rFonts w:ascii="Century" w:hAnsi="Century" w:cs="Miriam" w:hint="cs"/>
          <w:b/>
          <w:sz w:val="22"/>
          <w:rtl/>
        </w:rPr>
        <w:t xml:space="preserve"> </w:t>
      </w:r>
      <w:r w:rsidRPr="009A3788">
        <w:rPr>
          <w:rFonts w:ascii="Century" w:hAnsi="Century" w:cs="FrankRuehl" w:hint="cs"/>
          <w:spacing w:val="10"/>
          <w:sz w:val="22"/>
          <w:szCs w:val="28"/>
          <w:rtl/>
        </w:rPr>
        <w:t>פתרונה של בעיה זו מוטל עלינו, ועלינו בלבד</w:t>
      </w:r>
      <w:r w:rsidRPr="009A3788">
        <w:rPr>
          <w:rFonts w:ascii="Arial TUR" w:hAnsi="Arial TUR" w:cs="FrankRuehl" w:hint="cs"/>
          <w:spacing w:val="10"/>
          <w:sz w:val="22"/>
          <w:szCs w:val="28"/>
          <w:rtl/>
        </w:rPr>
        <w:t>" (</w:t>
      </w:r>
      <w:r>
        <w:rPr>
          <w:rFonts w:ascii="Arial TUR" w:hAnsi="Arial TUR" w:cs="FrankRuehl" w:hint="cs"/>
          <w:spacing w:val="10"/>
          <w:sz w:val="22"/>
          <w:szCs w:val="28"/>
          <w:rtl/>
        </w:rPr>
        <w:t xml:space="preserve">עניין </w:t>
      </w:r>
      <w:r>
        <w:rPr>
          <w:rFonts w:ascii="Century" w:hAnsi="Century" w:cs="Miriam" w:hint="cs"/>
          <w:b/>
          <w:sz w:val="22"/>
          <w:rtl/>
        </w:rPr>
        <w:t>ברזילי</w:t>
      </w:r>
      <w:r>
        <w:rPr>
          <w:rFonts w:ascii="Arial TUR" w:hAnsi="Arial TUR" w:cs="FrankRuehl" w:hint="cs"/>
          <w:spacing w:val="10"/>
          <w:sz w:val="22"/>
          <w:szCs w:val="28"/>
          <w:rtl/>
        </w:rPr>
        <w:t>, בעמ' 593</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ז</w:t>
      </w:r>
      <w:r w:rsidRPr="009A3788">
        <w:rPr>
          <w:rFonts w:ascii="Arial TUR" w:hAnsi="Arial TUR" w:cs="FrankRuehl" w:hint="cs"/>
          <w:spacing w:val="10"/>
          <w:sz w:val="22"/>
          <w:szCs w:val="28"/>
          <w:rtl/>
        </w:rPr>
        <w:t xml:space="preserve">את ועוד, </w:t>
      </w:r>
      <w:r w:rsidRPr="009A3788">
        <w:rPr>
          <w:rFonts w:ascii="Century" w:hAnsi="Century" w:cs="FrankRuehl" w:hint="cs"/>
          <w:spacing w:val="10"/>
          <w:sz w:val="22"/>
          <w:szCs w:val="28"/>
          <w:rtl/>
        </w:rPr>
        <w:t xml:space="preserve">חבריי </w:t>
      </w:r>
      <w:r w:rsidRPr="009A3788">
        <w:rPr>
          <w:rFonts w:ascii="Century" w:hAnsi="Century" w:cs="FrankRuehl" w:hint="eastAsia"/>
          <w:spacing w:val="10"/>
          <w:sz w:val="22"/>
          <w:szCs w:val="28"/>
          <w:rtl/>
        </w:rPr>
        <w:t>העניקו</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משקל</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נכבד</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לעמדותיהם</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של</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היועצים</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המשפטיים</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במסגרת</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הליך</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החקיקה</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אולם</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כידוע</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גורמים</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אלו</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אינם</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חלק</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מהגוף</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המחוקק</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ולפיכך</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אין</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ליתן</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לדבריהם</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משקל</w:t>
      </w:r>
      <w:r w:rsidRPr="009A3788">
        <w:rPr>
          <w:rFonts w:ascii="Century" w:hAnsi="Century" w:cs="FrankRuehl" w:hint="cs"/>
          <w:spacing w:val="10"/>
          <w:sz w:val="22"/>
          <w:szCs w:val="28"/>
          <w:rtl/>
        </w:rPr>
        <w:t xml:space="preserve"> ממשי </w:t>
      </w:r>
      <w:r w:rsidRPr="009A3788">
        <w:rPr>
          <w:rFonts w:ascii="Century" w:hAnsi="Century" w:cs="FrankRuehl" w:hint="eastAsia"/>
          <w:spacing w:val="10"/>
          <w:sz w:val="22"/>
          <w:szCs w:val="28"/>
          <w:rtl/>
        </w:rPr>
        <w:t>במסגרת</w:t>
      </w:r>
      <w:r w:rsidRPr="009A3788">
        <w:rPr>
          <w:rFonts w:ascii="Century" w:hAnsi="Century" w:cs="FrankRuehl"/>
          <w:spacing w:val="10"/>
          <w:sz w:val="22"/>
          <w:szCs w:val="28"/>
          <w:rtl/>
        </w:rPr>
        <w:t xml:space="preserve"> </w:t>
      </w:r>
      <w:r w:rsidRPr="009A3788">
        <w:rPr>
          <w:rFonts w:ascii="Century" w:hAnsi="Century" w:cs="FrankRuehl" w:hint="cs"/>
          <w:spacing w:val="10"/>
          <w:sz w:val="22"/>
          <w:szCs w:val="28"/>
          <w:rtl/>
        </w:rPr>
        <w:t>ההתחקות אחר כוונת המחוקק</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רא</w:t>
      </w:r>
      <w:r w:rsidRPr="009A3788">
        <w:rPr>
          <w:rFonts w:ascii="Century" w:hAnsi="Century" w:cs="FrankRuehl" w:hint="cs"/>
          <w:spacing w:val="10"/>
          <w:sz w:val="22"/>
          <w:szCs w:val="28"/>
          <w:rtl/>
        </w:rPr>
        <w:t xml:space="preserve">ו בפס' 60 לחוות דעתי </w:t>
      </w:r>
      <w:r>
        <w:rPr>
          <w:rFonts w:ascii="Century" w:hAnsi="Century" w:cs="FrankRuehl" w:hint="cs"/>
          <w:spacing w:val="10"/>
          <w:sz w:val="22"/>
          <w:szCs w:val="28"/>
          <w:rtl/>
        </w:rPr>
        <w:t>וההפניות שם</w:t>
      </w:r>
      <w:r w:rsidRPr="009A3788">
        <w:rPr>
          <w:rFonts w:ascii="Century" w:hAnsi="Century" w:cs="FrankRuehl"/>
          <w:spacing w:val="10"/>
          <w:sz w:val="22"/>
          <w:szCs w:val="28"/>
          <w:rtl/>
        </w:rPr>
        <w:t>).</w:t>
      </w:r>
      <w:r w:rsidRPr="009A3788">
        <w:rPr>
          <w:rFonts w:ascii="Century" w:hAnsi="Century" w:cs="FrankRuehl" w:hint="cs"/>
          <w:spacing w:val="10"/>
          <w:sz w:val="22"/>
          <w:szCs w:val="28"/>
          <w:rtl/>
        </w:rPr>
        <w:t xml:space="preserve"> </w:t>
      </w:r>
    </w:p>
    <w:p w:rsidR="00E32081" w:rsidRPr="009A3788" w:rsidRDefault="00E32081" w:rsidP="00E32081">
      <w:pPr>
        <w:tabs>
          <w:tab w:val="left" w:pos="800"/>
        </w:tabs>
        <w:spacing w:line="360" w:lineRule="auto"/>
        <w:jc w:val="both"/>
        <w:rPr>
          <w:rFonts w:ascii="Century" w:hAnsi="Century" w:cs="FrankRuehl"/>
          <w:spacing w:val="10"/>
          <w:sz w:val="22"/>
          <w:szCs w:val="28"/>
          <w:rtl/>
        </w:rPr>
      </w:pPr>
    </w:p>
    <w:p w:rsidR="00E32081" w:rsidRPr="009A3788" w:rsidRDefault="00E32081" w:rsidP="00895F39">
      <w:pPr>
        <w:tabs>
          <w:tab w:val="left" w:pos="800"/>
        </w:tabs>
        <w:spacing w:line="360" w:lineRule="auto"/>
        <w:jc w:val="both"/>
        <w:rPr>
          <w:rFonts w:ascii="Arial TUR" w:hAnsi="Arial TUR" w:cs="FrankRuehl"/>
          <w:spacing w:val="10"/>
          <w:sz w:val="22"/>
          <w:szCs w:val="28"/>
          <w:rtl/>
        </w:rPr>
      </w:pPr>
      <w:r w:rsidRPr="009A3788">
        <w:rPr>
          <w:rFonts w:ascii="Century" w:hAnsi="Century" w:cs="FrankRuehl"/>
          <w:spacing w:val="10"/>
          <w:sz w:val="22"/>
          <w:szCs w:val="28"/>
          <w:rtl/>
        </w:rPr>
        <w:tab/>
      </w:r>
      <w:r w:rsidRPr="009A3788">
        <w:rPr>
          <w:rFonts w:ascii="Century" w:hAnsi="Century" w:cs="FrankRuehl" w:hint="cs"/>
          <w:spacing w:val="10"/>
          <w:sz w:val="22"/>
          <w:szCs w:val="28"/>
          <w:rtl/>
        </w:rPr>
        <w:t xml:space="preserve">אל מול לקט מקורות זה, דומה כי נעלמה החשיבות הרבה שיש להעניק לדברי ההסבר אשר תומכים בפרשנות המוצעת על-ידי, וממילא, אינם מתיישבים עם מסקנת חבריי שלפיה התכלית הסובייקטיבית שוללת באופן חזיתי אפשרות פרשנית זו. בהקשר זה, אף אין בידי לקבל את עמדתו החדשנית, ולטעמי אף מרחיקת הלכת, של חברי השופט </w:t>
      </w:r>
      <w:r w:rsidRPr="009A3788">
        <w:rPr>
          <w:rFonts w:ascii="Century" w:hAnsi="Century" w:cs="Miriam" w:hint="cs"/>
          <w:b/>
          <w:sz w:val="22"/>
          <w:rtl/>
        </w:rPr>
        <w:t>סולברג</w:t>
      </w:r>
      <w:r w:rsidRPr="009A3788">
        <w:rPr>
          <w:rFonts w:ascii="Century" w:hAnsi="Century" w:cs="FrankRuehl" w:hint="cs"/>
          <w:spacing w:val="10"/>
          <w:sz w:val="22"/>
          <w:szCs w:val="28"/>
          <w:rtl/>
        </w:rPr>
        <w:t xml:space="preserve">, שלפיה מאחר שהיועץ המשפטי לוועדה הוא שניסח את דברי ההסבר, "אין מקום לייחס משקל רב, אם בכלל, לאותם דברי-הסבר" (ראו בפס' </w:t>
      </w:r>
      <w:r w:rsidR="00895F39">
        <w:rPr>
          <w:rFonts w:ascii="Century" w:hAnsi="Century" w:cs="FrankRuehl" w:hint="cs"/>
          <w:spacing w:val="10"/>
          <w:sz w:val="22"/>
          <w:szCs w:val="28"/>
          <w:rtl/>
        </w:rPr>
        <w:t>163</w:t>
      </w:r>
      <w:r w:rsidRPr="009A3788">
        <w:rPr>
          <w:rFonts w:ascii="Century" w:hAnsi="Century" w:cs="FrankRuehl" w:hint="cs"/>
          <w:spacing w:val="10"/>
          <w:sz w:val="22"/>
          <w:szCs w:val="28"/>
          <w:rtl/>
        </w:rPr>
        <w:t xml:space="preserve"> לחוות דעתו). סבורני, כי </w:t>
      </w:r>
      <w:r w:rsidRPr="009A3788">
        <w:rPr>
          <w:rFonts w:ascii="Century" w:hAnsi="Century" w:cs="Miriam" w:hint="cs"/>
          <w:b/>
          <w:sz w:val="22"/>
          <w:rtl/>
        </w:rPr>
        <w:t>זהות</w:t>
      </w:r>
      <w:r w:rsidRPr="009A3788">
        <w:rPr>
          <w:rFonts w:ascii="Century" w:hAnsi="Century" w:cs="FrankRuehl" w:hint="cs"/>
          <w:spacing w:val="10"/>
          <w:sz w:val="22"/>
          <w:szCs w:val="28"/>
          <w:rtl/>
        </w:rPr>
        <w:t xml:space="preserve"> מנסח דברי ההסבר </w:t>
      </w:r>
      <w:r w:rsidRPr="009A3788">
        <w:rPr>
          <w:rFonts w:ascii="Century" w:hAnsi="Century" w:cs="FrankRuehl"/>
          <w:spacing w:val="10"/>
          <w:sz w:val="22"/>
          <w:szCs w:val="28"/>
          <w:rtl/>
        </w:rPr>
        <w:t>–</w:t>
      </w:r>
      <w:r w:rsidRPr="009A3788">
        <w:rPr>
          <w:rFonts w:ascii="Century" w:hAnsi="Century" w:cs="FrankRuehl" w:hint="cs"/>
          <w:spacing w:val="10"/>
          <w:sz w:val="22"/>
          <w:szCs w:val="28"/>
          <w:rtl/>
        </w:rPr>
        <w:t xml:space="preserve"> יהא אשר יהא </w:t>
      </w:r>
      <w:r w:rsidRPr="009A3788">
        <w:rPr>
          <w:rFonts w:ascii="Century" w:hAnsi="Century" w:cs="FrankRuehl"/>
          <w:spacing w:val="10"/>
          <w:sz w:val="22"/>
          <w:szCs w:val="28"/>
          <w:rtl/>
        </w:rPr>
        <w:t>–</w:t>
      </w:r>
      <w:r w:rsidRPr="009A3788">
        <w:rPr>
          <w:rFonts w:ascii="Century" w:hAnsi="Century" w:cs="FrankRuehl" w:hint="cs"/>
          <w:spacing w:val="10"/>
          <w:sz w:val="22"/>
          <w:szCs w:val="28"/>
          <w:rtl/>
        </w:rPr>
        <w:t xml:space="preserve"> כלל אינה רלוונטית לצורך איתור כוונתם של חברי הכנסת אשר תמכו בחוק היסוד. משקלם הפרשני של דברי ההסבר שמור להם בשל העובדה כי אלה ניצבו לנגד עיני חברי הכנסת בעת ההצבעה, וסייעו להם, לצד לשון החוק, להבין את פשרו ולגבש את עמדתם ביחס אליו.</w:t>
      </w:r>
    </w:p>
    <w:p w:rsidR="00E32081" w:rsidRPr="009A3788" w:rsidRDefault="00E32081" w:rsidP="00E32081">
      <w:pPr>
        <w:tabs>
          <w:tab w:val="left" w:pos="800"/>
        </w:tabs>
        <w:spacing w:line="360" w:lineRule="auto"/>
        <w:jc w:val="both"/>
        <w:rPr>
          <w:rFonts w:ascii="Century" w:hAnsi="Century" w:cs="Miriam"/>
          <w:b/>
          <w:sz w:val="22"/>
          <w:rtl/>
        </w:rPr>
      </w:pPr>
    </w:p>
    <w:p w:rsidR="00E32081" w:rsidRPr="009A3788" w:rsidRDefault="00E32081" w:rsidP="00E32081">
      <w:pPr>
        <w:tabs>
          <w:tab w:val="left" w:pos="800"/>
        </w:tabs>
        <w:spacing w:line="360" w:lineRule="auto"/>
        <w:jc w:val="both"/>
        <w:rPr>
          <w:rFonts w:ascii="Century" w:hAnsi="Century" w:cs="FrankRuehl"/>
          <w:spacing w:val="10"/>
          <w:sz w:val="22"/>
          <w:szCs w:val="28"/>
          <w:rtl/>
        </w:rPr>
      </w:pPr>
      <w:r w:rsidRPr="009A3788">
        <w:rPr>
          <w:rFonts w:ascii="Century" w:hAnsi="Century" w:cs="FrankRuehl" w:hint="cs"/>
          <w:spacing w:val="10"/>
          <w:sz w:val="22"/>
          <w:szCs w:val="28"/>
          <w:rtl/>
        </w:rPr>
        <w:lastRenderedPageBreak/>
        <w:t>97.</w:t>
      </w:r>
      <w:r w:rsidRPr="009A3788">
        <w:rPr>
          <w:rFonts w:ascii="Century" w:hAnsi="Century" w:cs="FrankRuehl"/>
          <w:spacing w:val="10"/>
          <w:sz w:val="22"/>
          <w:szCs w:val="28"/>
          <w:rtl/>
        </w:rPr>
        <w:tab/>
      </w:r>
      <w:r w:rsidRPr="009A3788">
        <w:rPr>
          <w:rFonts w:ascii="Century" w:hAnsi="Century" w:cs="FrankRuehl" w:hint="cs"/>
          <w:spacing w:val="10"/>
          <w:sz w:val="22"/>
          <w:szCs w:val="28"/>
          <w:rtl/>
        </w:rPr>
        <w:t xml:space="preserve">הנה כי כן, הפרשנות שלפיה עניינו של התיקון הוא ביטול של </w:t>
      </w:r>
      <w:r w:rsidRPr="009A3788">
        <w:rPr>
          <w:rFonts w:ascii="Arial TUR" w:hAnsi="Arial TUR" w:cs="FrankRuehl" w:hint="eastAsia"/>
          <w:spacing w:val="10"/>
          <w:sz w:val="22"/>
          <w:szCs w:val="28"/>
          <w:rtl/>
        </w:rPr>
        <w:t>עילת</w:t>
      </w:r>
      <w:r w:rsidRPr="009A3788">
        <w:rPr>
          <w:rFonts w:ascii="Arial TUR" w:hAnsi="Arial TUR" w:cs="FrankRuehl"/>
          <w:spacing w:val="10"/>
          <w:sz w:val="22"/>
          <w:szCs w:val="28"/>
          <w:rtl/>
        </w:rPr>
        <w:t xml:space="preserve"> </w:t>
      </w:r>
      <w:r w:rsidRPr="009A3788">
        <w:rPr>
          <w:rFonts w:ascii="Arial TUR" w:hAnsi="Arial TUR" w:cs="Miriam" w:hint="eastAsia"/>
          <w:b/>
          <w:sz w:val="22"/>
          <w:rtl/>
        </w:rPr>
        <w:t>הסבירות</w:t>
      </w:r>
      <w:r w:rsidRPr="009A3788">
        <w:rPr>
          <w:rFonts w:ascii="Arial TUR" w:hAnsi="Arial TUR" w:cs="Miriam"/>
          <w:b/>
          <w:sz w:val="22"/>
          <w:rtl/>
        </w:rPr>
        <w:t xml:space="preserve"> </w:t>
      </w:r>
      <w:r w:rsidRPr="009A3788">
        <w:rPr>
          <w:rFonts w:ascii="Arial TUR" w:hAnsi="Arial TUR" w:cs="Miriam" w:hint="eastAsia"/>
          <w:b/>
          <w:sz w:val="22"/>
          <w:rtl/>
        </w:rPr>
        <w:t>האיזונית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בלבד</w:t>
      </w:r>
      <w:r w:rsidRPr="009A3788">
        <w:rPr>
          <w:rFonts w:ascii="Arial TUR" w:hAnsi="Arial TUR" w:cs="FrankRuehl"/>
          <w:spacing w:val="10"/>
          <w:sz w:val="22"/>
          <w:szCs w:val="28"/>
          <w:rtl/>
        </w:rPr>
        <w:t xml:space="preserve"> </w:t>
      </w:r>
      <w:r w:rsidRPr="009A3788">
        <w:rPr>
          <w:rFonts w:ascii="Century" w:hAnsi="Century" w:cs="FrankRuehl"/>
          <w:spacing w:val="10"/>
          <w:sz w:val="22"/>
          <w:szCs w:val="28"/>
          <w:rtl/>
        </w:rPr>
        <w:t>–</w:t>
      </w:r>
      <w:r w:rsidRPr="009A3788">
        <w:rPr>
          <w:rFonts w:ascii="Century" w:hAnsi="Century" w:cs="FrankRuehl" w:hint="cs"/>
          <w:spacing w:val="10"/>
          <w:sz w:val="22"/>
          <w:szCs w:val="28"/>
          <w:rtl/>
        </w:rPr>
        <w:t xml:space="preserve"> אינה נשללת מניתוח התכלית הסובייקטיבית על בסיס מכלול המקורות הרלוונטיים </w:t>
      </w:r>
      <w:r w:rsidRPr="009A3788">
        <w:rPr>
          <w:rFonts w:ascii="Century" w:hAnsi="Century" w:cs="FrankRuehl" w:hint="eastAsia"/>
          <w:spacing w:val="10"/>
          <w:sz w:val="22"/>
          <w:szCs w:val="28"/>
          <w:rtl/>
        </w:rPr>
        <w:t>לְהִתְחַקּוּת</w:t>
      </w:r>
      <w:r w:rsidRPr="009A3788">
        <w:rPr>
          <w:rFonts w:ascii="Century" w:hAnsi="Century" w:cs="FrankRuehl" w:hint="cs"/>
          <w:spacing w:val="10"/>
          <w:sz w:val="22"/>
          <w:szCs w:val="28"/>
          <w:rtl/>
        </w:rPr>
        <w:t xml:space="preserve"> אחריה. לא זו בלבד, אלא שאף לו הייתה התכלית הסובייקטיבית חד-משמעית (ולא כך הדבר), ניתן למצוא בסיס לסטייה ממנה בדבריו של פרופ' </w:t>
      </w:r>
      <w:r w:rsidRPr="009A3788">
        <w:rPr>
          <w:rFonts w:ascii="Century" w:hAnsi="Century" w:cs="Miriam" w:hint="cs"/>
          <w:b/>
          <w:sz w:val="22"/>
          <w:rtl/>
        </w:rPr>
        <w:t>ברק</w:t>
      </w:r>
      <w:r w:rsidRPr="004F7316">
        <w:rPr>
          <w:rFonts w:ascii="Century" w:hAnsi="Century" w:cs="FrankRuehl" w:hint="cs"/>
          <w:spacing w:val="10"/>
          <w:sz w:val="22"/>
          <w:szCs w:val="28"/>
          <w:rtl/>
        </w:rPr>
        <w:t xml:space="preserve">, </w:t>
      </w:r>
      <w:r w:rsidRPr="009A3788">
        <w:rPr>
          <w:rFonts w:ascii="Century" w:hAnsi="Century" w:cs="FrankRuehl" w:hint="cs"/>
          <w:spacing w:val="10"/>
          <w:sz w:val="22"/>
          <w:szCs w:val="28"/>
          <w:rtl/>
        </w:rPr>
        <w:t xml:space="preserve">אשר הטעים ביחס לפרשנות </w:t>
      </w:r>
      <w:r w:rsidRPr="009A3788">
        <w:rPr>
          <w:rFonts w:ascii="Century" w:hAnsi="Century" w:cs="Miriam" w:hint="cs"/>
          <w:b/>
          <w:sz w:val="22"/>
          <w:rtl/>
        </w:rPr>
        <w:t xml:space="preserve">חוקי יסוד </w:t>
      </w:r>
      <w:r w:rsidRPr="009A3788">
        <w:rPr>
          <w:rFonts w:ascii="Century" w:hAnsi="Century" w:cs="FrankRuehl" w:hint="cs"/>
          <w:spacing w:val="10"/>
          <w:sz w:val="22"/>
          <w:szCs w:val="28"/>
          <w:rtl/>
        </w:rPr>
        <w:t xml:space="preserve">כי: </w:t>
      </w:r>
    </w:p>
    <w:p w:rsidR="00E32081" w:rsidRPr="009A3788" w:rsidRDefault="00E32081" w:rsidP="00E32081">
      <w:pPr>
        <w:tabs>
          <w:tab w:val="left" w:pos="800"/>
        </w:tabs>
        <w:spacing w:line="360" w:lineRule="auto"/>
        <w:jc w:val="both"/>
        <w:rPr>
          <w:rFonts w:ascii="Century" w:hAnsi="Century" w:cs="FrankRuehl"/>
          <w:spacing w:val="10"/>
          <w:sz w:val="22"/>
          <w:szCs w:val="28"/>
          <w:rtl/>
        </w:rPr>
      </w:pPr>
    </w:p>
    <w:p w:rsidR="00E32081" w:rsidRPr="009A3788" w:rsidRDefault="00E32081" w:rsidP="00E32081">
      <w:pPr>
        <w:ind w:left="1644" w:right="1276"/>
        <w:jc w:val="both"/>
        <w:rPr>
          <w:rFonts w:ascii="Arial TUR" w:hAnsi="Arial TUR" w:cs="FrankRuehl"/>
          <w:spacing w:val="10"/>
          <w:sz w:val="22"/>
          <w:szCs w:val="28"/>
          <w:rtl/>
        </w:rPr>
      </w:pPr>
      <w:r w:rsidRPr="009A3788">
        <w:rPr>
          <w:rFonts w:ascii="Arial TUR" w:hAnsi="Arial TUR" w:cs="FrankRuehl" w:hint="cs"/>
          <w:spacing w:val="10"/>
          <w:sz w:val="22"/>
          <w:szCs w:val="28"/>
          <w:rtl/>
        </w:rPr>
        <w:t>"</w:t>
      </w:r>
      <w:r w:rsidRPr="009A3788">
        <w:rPr>
          <w:rFonts w:ascii="Arial TUR" w:hAnsi="Arial TUR" w:cs="FrankRuehl" w:hint="eastAsia"/>
          <w:spacing w:val="10"/>
          <w:sz w:val="22"/>
          <w:szCs w:val="28"/>
          <w:rtl/>
        </w:rPr>
        <w:t>במקרים</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הקשים</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בהם</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יש</w:t>
      </w:r>
      <w:r w:rsidRPr="009A3788">
        <w:rPr>
          <w:rFonts w:ascii="Arial TUR" w:hAnsi="Arial TUR" w:cs="FrankRuehl" w:hint="cs"/>
          <w:spacing w:val="10"/>
          <w:sz w:val="22"/>
          <w:szCs w:val="28"/>
          <w:rtl/>
        </w:rPr>
        <w:t>נ</w:t>
      </w:r>
      <w:r w:rsidRPr="009A3788">
        <w:rPr>
          <w:rFonts w:ascii="Arial TUR" w:hAnsi="Arial TUR" w:cs="FrankRuehl" w:hint="eastAsia"/>
          <w:spacing w:val="10"/>
          <w:sz w:val="22"/>
          <w:szCs w:val="28"/>
          <w:rtl/>
        </w:rPr>
        <w:t>ה</w:t>
      </w:r>
      <w:r w:rsidRPr="009A3788">
        <w:rPr>
          <w:rFonts w:ascii="Arial TUR" w:hAnsi="Arial TUR" w:cs="FrankRuehl"/>
          <w:spacing w:val="10"/>
          <w:sz w:val="22"/>
          <w:szCs w:val="28"/>
          <w:rtl/>
        </w:rPr>
        <w:t xml:space="preserve"> </w:t>
      </w:r>
      <w:r w:rsidRPr="009A3788">
        <w:rPr>
          <w:rFonts w:ascii="Arial TUR" w:hAnsi="Arial TUR" w:cs="FrankRuehl" w:hint="cs"/>
          <w:spacing w:val="10"/>
          <w:sz w:val="22"/>
          <w:szCs w:val="28"/>
          <w:rtl/>
        </w:rPr>
        <w:t>התנ</w:t>
      </w:r>
      <w:r w:rsidRPr="009A3788">
        <w:rPr>
          <w:rFonts w:ascii="Arial TUR" w:hAnsi="Arial TUR" w:cs="FrankRuehl" w:hint="eastAsia"/>
          <w:spacing w:val="10"/>
          <w:sz w:val="22"/>
          <w:szCs w:val="28"/>
          <w:rtl/>
        </w:rPr>
        <w:t>גשות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חזיתית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בין</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התכלית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החוקתית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הסובייקטיבית</w:t>
      </w:r>
      <w:r w:rsidRPr="009A3788">
        <w:rPr>
          <w:rFonts w:ascii="Arial TUR" w:hAnsi="Arial TUR" w:cs="FrankRuehl" w:hint="cs"/>
          <w:spacing w:val="10"/>
          <w:sz w:val="22"/>
          <w:szCs w:val="28"/>
          <w:rtl/>
        </w:rPr>
        <w:t xml:space="preserve"> </w:t>
      </w:r>
      <w:r w:rsidRPr="009A3788">
        <w:rPr>
          <w:rFonts w:ascii="Arial TUR" w:hAnsi="Arial TUR" w:cs="FrankRuehl" w:hint="eastAsia"/>
          <w:spacing w:val="10"/>
          <w:sz w:val="22"/>
          <w:szCs w:val="28"/>
          <w:rtl/>
        </w:rPr>
        <w:t>לתכלית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החוקתית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האובייקטיבית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יד</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התכלית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האובייקטיבית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על</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העליונה</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זו</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הגישה</w:t>
      </w:r>
      <w:r w:rsidRPr="009A3788">
        <w:rPr>
          <w:rFonts w:ascii="Arial TUR" w:hAnsi="Arial TUR" w:cs="FrankRuehl" w:hint="cs"/>
          <w:spacing w:val="10"/>
          <w:sz w:val="22"/>
          <w:szCs w:val="28"/>
          <w:rtl/>
        </w:rPr>
        <w:t xml:space="preserve"> הנראית לי ראויה" (</w:t>
      </w:r>
      <w:r w:rsidRPr="009A3788">
        <w:rPr>
          <w:rFonts w:ascii="Arial TUR" w:hAnsi="Arial TUR" w:cs="FrankRuehl" w:hint="eastAsia"/>
          <w:spacing w:val="10"/>
          <w:sz w:val="22"/>
          <w:szCs w:val="28"/>
          <w:rtl/>
        </w:rPr>
        <w:t>אהרן</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ברק</w:t>
      </w:r>
      <w:r w:rsidRPr="009A3788">
        <w:rPr>
          <w:rFonts w:ascii="Arial TUR" w:hAnsi="Arial TUR" w:cs="FrankRuehl"/>
          <w:spacing w:val="10"/>
          <w:sz w:val="22"/>
          <w:szCs w:val="28"/>
          <w:rtl/>
        </w:rPr>
        <w:t xml:space="preserve"> </w:t>
      </w:r>
      <w:r w:rsidRPr="009A3788">
        <w:rPr>
          <w:rFonts w:ascii="Century" w:hAnsi="Century" w:cs="Miriam" w:hint="eastAsia"/>
          <w:b/>
          <w:sz w:val="22"/>
          <w:rtl/>
        </w:rPr>
        <w:t>פרשנות</w:t>
      </w:r>
      <w:r w:rsidRPr="009A3788">
        <w:rPr>
          <w:rFonts w:ascii="Century" w:hAnsi="Century" w:cs="Miriam"/>
          <w:b/>
          <w:sz w:val="22"/>
          <w:rtl/>
        </w:rPr>
        <w:t xml:space="preserve"> </w:t>
      </w:r>
      <w:r w:rsidRPr="009A3788">
        <w:rPr>
          <w:rFonts w:ascii="Century" w:hAnsi="Century" w:cs="Miriam" w:hint="eastAsia"/>
          <w:b/>
          <w:sz w:val="22"/>
          <w:rtl/>
        </w:rPr>
        <w:t>במשפט</w:t>
      </w:r>
      <w:r w:rsidRPr="009A3788">
        <w:rPr>
          <w:rFonts w:ascii="Century" w:hAnsi="Century" w:cs="Miriam"/>
          <w:b/>
          <w:sz w:val="22"/>
          <w:rtl/>
        </w:rPr>
        <w:t xml:space="preserve">: </w:t>
      </w:r>
      <w:r w:rsidRPr="009A3788">
        <w:rPr>
          <w:rFonts w:ascii="Century" w:hAnsi="Century" w:cs="Miriam" w:hint="eastAsia"/>
          <w:b/>
          <w:sz w:val="22"/>
          <w:rtl/>
        </w:rPr>
        <w:t>כרך</w:t>
      </w:r>
      <w:r w:rsidRPr="009A3788">
        <w:rPr>
          <w:rFonts w:ascii="Century" w:hAnsi="Century" w:cs="Miriam"/>
          <w:b/>
          <w:sz w:val="22"/>
          <w:rtl/>
        </w:rPr>
        <w:t xml:space="preserve"> </w:t>
      </w:r>
      <w:r w:rsidRPr="009A3788">
        <w:rPr>
          <w:rFonts w:ascii="Century" w:hAnsi="Century" w:cs="Miriam" w:hint="eastAsia"/>
          <w:b/>
          <w:sz w:val="22"/>
          <w:rtl/>
        </w:rPr>
        <w:t>ג</w:t>
      </w:r>
      <w:r w:rsidRPr="009A3788">
        <w:rPr>
          <w:rFonts w:ascii="Century" w:hAnsi="Century" w:cs="Miriam"/>
          <w:b/>
          <w:sz w:val="22"/>
          <w:rtl/>
        </w:rPr>
        <w:t xml:space="preserve"> – </w:t>
      </w:r>
      <w:r w:rsidRPr="009A3788">
        <w:rPr>
          <w:rFonts w:ascii="Century" w:hAnsi="Century" w:cs="Miriam" w:hint="eastAsia"/>
          <w:b/>
          <w:sz w:val="22"/>
          <w:rtl/>
        </w:rPr>
        <w:t>פרשנות</w:t>
      </w:r>
      <w:r w:rsidRPr="009A3788">
        <w:rPr>
          <w:rFonts w:ascii="Century" w:hAnsi="Century" w:cs="Miriam"/>
          <w:b/>
          <w:sz w:val="22"/>
          <w:rtl/>
        </w:rPr>
        <w:t xml:space="preserve"> </w:t>
      </w:r>
      <w:r w:rsidRPr="009A3788">
        <w:rPr>
          <w:rFonts w:ascii="Century" w:hAnsi="Century" w:cs="Miriam" w:hint="eastAsia"/>
          <w:b/>
          <w:sz w:val="22"/>
          <w:rtl/>
        </w:rPr>
        <w:t>חוקתית</w:t>
      </w:r>
      <w:r w:rsidRPr="009A3788">
        <w:rPr>
          <w:rFonts w:ascii="Arial TUR" w:hAnsi="Arial TUR" w:cs="FrankRuehl" w:hint="cs"/>
          <w:spacing w:val="10"/>
          <w:sz w:val="22"/>
          <w:szCs w:val="28"/>
          <w:rtl/>
        </w:rPr>
        <w:t>, עמ' 160</w:t>
      </w:r>
      <w:r w:rsidRPr="009A3788">
        <w:rPr>
          <w:rFonts w:ascii="Arial TUR" w:hAnsi="Arial TUR" w:cs="FrankRuehl"/>
          <w:spacing w:val="10"/>
          <w:sz w:val="22"/>
          <w:szCs w:val="28"/>
          <w:rtl/>
        </w:rPr>
        <w:t xml:space="preserve"> (1994)</w:t>
      </w:r>
      <w:r w:rsidRPr="009A3788">
        <w:rPr>
          <w:rFonts w:ascii="Arial TUR" w:hAnsi="Arial TUR" w:cs="FrankRuehl" w:hint="cs"/>
          <w:spacing w:val="10"/>
          <w:sz w:val="22"/>
          <w:szCs w:val="28"/>
          <w:rtl/>
        </w:rPr>
        <w:t xml:space="preserve">. עוד ראו עמדתו של השופט </w:t>
      </w:r>
      <w:r w:rsidRPr="009A3788">
        <w:rPr>
          <w:rFonts w:ascii="Century" w:hAnsi="Century" w:cs="Miriam" w:hint="cs"/>
          <w:b/>
          <w:sz w:val="22"/>
          <w:rtl/>
        </w:rPr>
        <w:t>סולברג</w:t>
      </w:r>
      <w:r w:rsidRPr="009A3788">
        <w:rPr>
          <w:rFonts w:ascii="Century" w:hAnsi="Century" w:cs="FrankRuehl" w:hint="cs"/>
          <w:spacing w:val="10"/>
          <w:sz w:val="22"/>
          <w:szCs w:val="28"/>
          <w:rtl/>
        </w:rPr>
        <w:t>, אשר אימץ גישה זו ב</w:t>
      </w:r>
      <w:r w:rsidRPr="009A3788">
        <w:rPr>
          <w:rFonts w:ascii="Arial TUR" w:hAnsi="Arial TUR" w:cs="FrankRuehl" w:hint="eastAsia"/>
          <w:spacing w:val="10"/>
          <w:sz w:val="22"/>
          <w:szCs w:val="28"/>
          <w:rtl/>
        </w:rPr>
        <w:t>בג</w:t>
      </w:r>
      <w:r w:rsidRPr="009A3788">
        <w:rPr>
          <w:rFonts w:ascii="Arial TUR" w:hAnsi="Arial TUR" w:cs="FrankRuehl"/>
          <w:spacing w:val="10"/>
          <w:sz w:val="22"/>
          <w:szCs w:val="28"/>
          <w:rtl/>
        </w:rPr>
        <w:t>"</w:t>
      </w:r>
      <w:r w:rsidRPr="009A3788">
        <w:rPr>
          <w:rFonts w:ascii="Arial TUR" w:hAnsi="Arial TUR" w:cs="FrankRuehl" w:hint="eastAsia"/>
          <w:spacing w:val="10"/>
          <w:sz w:val="22"/>
          <w:szCs w:val="28"/>
          <w:rtl/>
        </w:rPr>
        <w:t>ץ</w:t>
      </w:r>
      <w:r w:rsidRPr="009A3788">
        <w:rPr>
          <w:rFonts w:ascii="Arial TUR" w:hAnsi="Arial TUR" w:cs="FrankRuehl"/>
          <w:spacing w:val="10"/>
          <w:sz w:val="22"/>
          <w:szCs w:val="28"/>
          <w:rtl/>
        </w:rPr>
        <w:t xml:space="preserve"> 3390/16 </w:t>
      </w:r>
      <w:r w:rsidRPr="009A3788">
        <w:rPr>
          <w:rFonts w:ascii="Century" w:hAnsi="Century" w:cs="Miriam" w:hint="eastAsia"/>
          <w:b/>
          <w:sz w:val="22"/>
          <w:rtl/>
        </w:rPr>
        <w:t>עדאלה</w:t>
      </w:r>
      <w:r w:rsidRPr="009A3788">
        <w:rPr>
          <w:rFonts w:ascii="Century" w:hAnsi="Century" w:cs="Miriam"/>
          <w:b/>
          <w:sz w:val="22"/>
          <w:rtl/>
        </w:rPr>
        <w:t xml:space="preserve"> – </w:t>
      </w:r>
      <w:r w:rsidRPr="009A3788">
        <w:rPr>
          <w:rFonts w:ascii="Century" w:hAnsi="Century" w:cs="Miriam" w:hint="eastAsia"/>
          <w:b/>
          <w:sz w:val="22"/>
          <w:rtl/>
        </w:rPr>
        <w:t>המרכז</w:t>
      </w:r>
      <w:r w:rsidRPr="009A3788">
        <w:rPr>
          <w:rFonts w:ascii="Century" w:hAnsi="Century" w:cs="Miriam" w:hint="cs"/>
          <w:b/>
          <w:sz w:val="22"/>
          <w:rtl/>
        </w:rPr>
        <w:t xml:space="preserve"> </w:t>
      </w:r>
      <w:r w:rsidRPr="009A3788">
        <w:rPr>
          <w:rFonts w:ascii="Century" w:hAnsi="Century" w:cs="Miriam" w:hint="eastAsia"/>
          <w:b/>
          <w:sz w:val="22"/>
          <w:rtl/>
        </w:rPr>
        <w:t>המשפטי</w:t>
      </w:r>
      <w:r w:rsidRPr="009A3788">
        <w:rPr>
          <w:rFonts w:ascii="Century" w:hAnsi="Century" w:cs="Miriam"/>
          <w:b/>
          <w:sz w:val="22"/>
          <w:rtl/>
        </w:rPr>
        <w:t xml:space="preserve"> </w:t>
      </w:r>
      <w:r w:rsidRPr="009A3788">
        <w:rPr>
          <w:rFonts w:ascii="Century" w:hAnsi="Century" w:cs="Miriam" w:hint="eastAsia"/>
          <w:b/>
          <w:sz w:val="22"/>
          <w:rtl/>
        </w:rPr>
        <w:t>לזכויות</w:t>
      </w:r>
      <w:r w:rsidRPr="009A3788">
        <w:rPr>
          <w:rFonts w:ascii="Century" w:hAnsi="Century" w:cs="Miriam"/>
          <w:b/>
          <w:sz w:val="22"/>
          <w:rtl/>
        </w:rPr>
        <w:t xml:space="preserve"> </w:t>
      </w:r>
      <w:r w:rsidRPr="009A3788">
        <w:rPr>
          <w:rFonts w:ascii="Century" w:hAnsi="Century" w:cs="Miriam" w:hint="eastAsia"/>
          <w:b/>
          <w:sz w:val="22"/>
          <w:rtl/>
        </w:rPr>
        <w:t>המיעוט</w:t>
      </w:r>
      <w:r w:rsidRPr="009A3788">
        <w:rPr>
          <w:rFonts w:ascii="Century" w:hAnsi="Century" w:cs="Miriam"/>
          <w:b/>
          <w:sz w:val="22"/>
          <w:rtl/>
        </w:rPr>
        <w:t xml:space="preserve"> </w:t>
      </w:r>
      <w:r w:rsidRPr="009A3788">
        <w:rPr>
          <w:rFonts w:ascii="Century" w:hAnsi="Century" w:cs="Miriam" w:hint="eastAsia"/>
          <w:b/>
          <w:sz w:val="22"/>
          <w:rtl/>
        </w:rPr>
        <w:t>הערבי</w:t>
      </w:r>
      <w:r w:rsidRPr="009A3788">
        <w:rPr>
          <w:rFonts w:ascii="Century" w:hAnsi="Century" w:cs="Miriam"/>
          <w:b/>
          <w:sz w:val="22"/>
          <w:rtl/>
        </w:rPr>
        <w:t xml:space="preserve"> </w:t>
      </w:r>
      <w:r w:rsidRPr="009A3788">
        <w:rPr>
          <w:rFonts w:ascii="Century" w:hAnsi="Century" w:cs="Miriam" w:hint="eastAsia"/>
          <w:b/>
          <w:sz w:val="22"/>
          <w:rtl/>
        </w:rPr>
        <w:t>בישראל</w:t>
      </w:r>
      <w:r w:rsidRPr="009A3788">
        <w:rPr>
          <w:rFonts w:ascii="Century" w:hAnsi="Century" w:cs="Miriam"/>
          <w:b/>
          <w:sz w:val="22"/>
          <w:rtl/>
        </w:rPr>
        <w:t xml:space="preserve"> </w:t>
      </w:r>
      <w:r w:rsidRPr="009A3788">
        <w:rPr>
          <w:rFonts w:ascii="Century" w:hAnsi="Century" w:cs="Miriam" w:hint="eastAsia"/>
          <w:b/>
          <w:sz w:val="22"/>
          <w:rtl/>
        </w:rPr>
        <w:t>נ</w:t>
      </w:r>
      <w:r w:rsidRPr="009A3788">
        <w:rPr>
          <w:rFonts w:ascii="Century" w:hAnsi="Century" w:cs="Miriam"/>
          <w:b/>
          <w:sz w:val="22"/>
          <w:rtl/>
        </w:rPr>
        <w:t xml:space="preserve">' </w:t>
      </w:r>
      <w:r w:rsidRPr="009A3788">
        <w:rPr>
          <w:rFonts w:ascii="Century" w:hAnsi="Century" w:cs="Miriam" w:hint="eastAsia"/>
          <w:b/>
          <w:sz w:val="22"/>
          <w:rtl/>
        </w:rPr>
        <w:t>הכנסת</w:t>
      </w:r>
      <w:r w:rsidRPr="009A3788">
        <w:rPr>
          <w:rFonts w:ascii="Arial TUR" w:hAnsi="Arial TUR" w:cs="FrankRuehl" w:hint="cs"/>
          <w:spacing w:val="10"/>
          <w:sz w:val="22"/>
          <w:szCs w:val="28"/>
          <w:rtl/>
        </w:rPr>
        <w:t xml:space="preserve">, פס' 61 </w:t>
      </w:r>
      <w:r w:rsidRPr="009A3788">
        <w:rPr>
          <w:rFonts w:ascii="Arial TUR" w:hAnsi="Arial TUR" w:cs="FrankRuehl"/>
          <w:spacing w:val="10"/>
          <w:sz w:val="22"/>
          <w:szCs w:val="28"/>
          <w:rtl/>
        </w:rPr>
        <w:t>(8.7.2021</w:t>
      </w:r>
      <w:r w:rsidRPr="009A3788">
        <w:rPr>
          <w:rFonts w:ascii="Arial TUR" w:hAnsi="Arial TUR" w:cs="FrankRuehl" w:hint="cs"/>
          <w:spacing w:val="10"/>
          <w:sz w:val="22"/>
          <w:szCs w:val="28"/>
          <w:rtl/>
        </w:rPr>
        <w:t>))</w:t>
      </w:r>
      <w:r w:rsidRPr="009A3788">
        <w:rPr>
          <w:rFonts w:ascii="Arial TUR" w:hAnsi="Arial TUR" w:cs="FrankRuehl"/>
          <w:spacing w:val="10"/>
          <w:sz w:val="22"/>
          <w:szCs w:val="28"/>
          <w:rtl/>
        </w:rPr>
        <w:t>.</w:t>
      </w:r>
    </w:p>
    <w:p w:rsidR="00E32081" w:rsidRPr="009A3788" w:rsidRDefault="00E32081" w:rsidP="00E32081">
      <w:pPr>
        <w:tabs>
          <w:tab w:val="left" w:pos="800"/>
        </w:tabs>
        <w:spacing w:line="360" w:lineRule="auto"/>
        <w:jc w:val="both"/>
        <w:rPr>
          <w:rFonts w:ascii="Century" w:hAnsi="Century" w:cs="FrankRuehl"/>
          <w:spacing w:val="10"/>
          <w:sz w:val="22"/>
          <w:szCs w:val="28"/>
          <w:rtl/>
        </w:rPr>
      </w:pPr>
    </w:p>
    <w:p w:rsidR="00E32081" w:rsidRPr="009A3788" w:rsidRDefault="00E32081" w:rsidP="00E32081">
      <w:pPr>
        <w:tabs>
          <w:tab w:val="left" w:pos="800"/>
        </w:tabs>
        <w:spacing w:line="360" w:lineRule="auto"/>
        <w:jc w:val="both"/>
        <w:rPr>
          <w:rFonts w:ascii="Century" w:hAnsi="Century" w:cs="FrankRuehl"/>
          <w:spacing w:val="10"/>
          <w:sz w:val="22"/>
          <w:szCs w:val="28"/>
          <w:rtl/>
        </w:rPr>
      </w:pPr>
      <w:r>
        <w:rPr>
          <w:rFonts w:ascii="Century" w:hAnsi="Century" w:cs="FrankRuehl"/>
          <w:spacing w:val="10"/>
          <w:sz w:val="22"/>
          <w:szCs w:val="28"/>
          <w:rtl/>
        </w:rPr>
        <w:tab/>
      </w:r>
      <w:r w:rsidRPr="009A3788">
        <w:rPr>
          <w:rFonts w:ascii="Century" w:hAnsi="Century" w:cs="FrankRuehl" w:hint="cs"/>
          <w:spacing w:val="10"/>
          <w:sz w:val="22"/>
          <w:szCs w:val="28"/>
          <w:rtl/>
        </w:rPr>
        <w:t xml:space="preserve">לדידי, דברים אלו יפים ביתר-שאת עת עסקינן בפרשנות </w:t>
      </w:r>
      <w:r w:rsidRPr="009A3788">
        <w:rPr>
          <w:rFonts w:ascii="Century" w:hAnsi="Century" w:cs="Miriam" w:hint="cs"/>
          <w:b/>
          <w:sz w:val="22"/>
          <w:rtl/>
        </w:rPr>
        <w:t>מקיימת</w:t>
      </w:r>
      <w:r w:rsidRPr="009A3788">
        <w:rPr>
          <w:rFonts w:ascii="Century" w:hAnsi="Century" w:cs="FrankRuehl" w:hint="cs"/>
          <w:spacing w:val="10"/>
          <w:sz w:val="22"/>
          <w:szCs w:val="28"/>
          <w:rtl/>
        </w:rPr>
        <w:t xml:space="preserve"> של חוק יסוד, על מנת להימנע מ</w:t>
      </w:r>
      <w:r>
        <w:rPr>
          <w:rFonts w:ascii="Century" w:hAnsi="Century" w:cs="FrankRuehl" w:hint="cs"/>
          <w:spacing w:val="10"/>
          <w:sz w:val="22"/>
          <w:szCs w:val="28"/>
          <w:rtl/>
        </w:rPr>
        <w:t>פרשנות</w:t>
      </w:r>
      <w:r w:rsidRPr="009A3788">
        <w:rPr>
          <w:rFonts w:ascii="Century" w:hAnsi="Century" w:cs="FrankRuehl" w:hint="cs"/>
          <w:spacing w:val="10"/>
          <w:sz w:val="22"/>
          <w:szCs w:val="28"/>
          <w:rtl/>
        </w:rPr>
        <w:t xml:space="preserve"> </w:t>
      </w:r>
      <w:r>
        <w:rPr>
          <w:rFonts w:ascii="Century" w:hAnsi="Century" w:cs="FrankRuehl" w:hint="cs"/>
          <w:spacing w:val="10"/>
          <w:sz w:val="22"/>
          <w:szCs w:val="28"/>
          <w:rtl/>
        </w:rPr>
        <w:t>העלולה להביא ל</w:t>
      </w:r>
      <w:r w:rsidRPr="009A3788">
        <w:rPr>
          <w:rFonts w:ascii="Century" w:hAnsi="Century" w:cs="FrankRuehl" w:hint="cs"/>
          <w:spacing w:val="10"/>
          <w:sz w:val="22"/>
          <w:szCs w:val="28"/>
          <w:rtl/>
        </w:rPr>
        <w:t xml:space="preserve">ביטולו. </w:t>
      </w:r>
    </w:p>
    <w:p w:rsidR="00E32081" w:rsidRPr="009A3788" w:rsidRDefault="00E32081" w:rsidP="00E32081">
      <w:pPr>
        <w:tabs>
          <w:tab w:val="left" w:pos="800"/>
        </w:tabs>
        <w:spacing w:line="360" w:lineRule="auto"/>
        <w:jc w:val="both"/>
        <w:rPr>
          <w:rFonts w:ascii="Century" w:hAnsi="Century" w:cs="FrankRuehl"/>
          <w:spacing w:val="10"/>
          <w:sz w:val="22"/>
          <w:szCs w:val="28"/>
          <w:rtl/>
        </w:rPr>
      </w:pPr>
    </w:p>
    <w:p w:rsidR="00E32081" w:rsidRPr="009A3788" w:rsidRDefault="00E32081" w:rsidP="00E32081">
      <w:pPr>
        <w:tabs>
          <w:tab w:val="left" w:pos="800"/>
        </w:tabs>
        <w:spacing w:line="360" w:lineRule="auto"/>
        <w:jc w:val="both"/>
        <w:rPr>
          <w:rFonts w:ascii="Century" w:hAnsi="Century" w:cs="FrankRuehl"/>
          <w:spacing w:val="10"/>
          <w:sz w:val="22"/>
          <w:szCs w:val="28"/>
          <w:rtl/>
        </w:rPr>
      </w:pPr>
      <w:r w:rsidRPr="009A3788">
        <w:rPr>
          <w:rFonts w:ascii="Century" w:hAnsi="Century" w:cs="FrankRuehl" w:hint="cs"/>
          <w:spacing w:val="10"/>
          <w:sz w:val="22"/>
          <w:szCs w:val="28"/>
          <w:rtl/>
        </w:rPr>
        <w:t>98.</w:t>
      </w:r>
      <w:r w:rsidRPr="009A3788">
        <w:rPr>
          <w:rFonts w:ascii="Century" w:hAnsi="Century" w:cs="FrankRuehl"/>
          <w:spacing w:val="10"/>
          <w:sz w:val="22"/>
          <w:szCs w:val="28"/>
          <w:rtl/>
        </w:rPr>
        <w:tab/>
      </w:r>
      <w:r w:rsidRPr="009A3788">
        <w:rPr>
          <w:rFonts w:ascii="Century" w:hAnsi="Century" w:cs="FrankRuehl" w:hint="cs"/>
          <w:spacing w:val="10"/>
          <w:sz w:val="22"/>
          <w:szCs w:val="28"/>
          <w:rtl/>
        </w:rPr>
        <w:t xml:space="preserve">נימוק נוסף שהעלו חבריי לדחיית הפרשנות המוצעת על-ידי נעוץ בחשש מפני "חוסר הבהירות באשר לתחומי התפרסותה" של עילת הסבירות שתעמוד בתוקפה בהתאם לפרשנות האמורה (ראו בפס' 14 לחוות דעתו של מ"מ הנשיא </w:t>
      </w:r>
      <w:r w:rsidRPr="009A3788">
        <w:rPr>
          <w:rFonts w:ascii="Century" w:hAnsi="Century" w:cs="Miriam" w:hint="cs"/>
          <w:b/>
          <w:sz w:val="22"/>
          <w:rtl/>
        </w:rPr>
        <w:t>פוגלמן</w:t>
      </w:r>
      <w:r w:rsidRPr="009A3788">
        <w:rPr>
          <w:rFonts w:ascii="Century" w:hAnsi="Century" w:cs="FrankRuehl" w:hint="cs"/>
          <w:spacing w:val="10"/>
          <w:sz w:val="22"/>
          <w:szCs w:val="28"/>
          <w:rtl/>
        </w:rPr>
        <w:t xml:space="preserve">; </w:t>
      </w:r>
      <w:r>
        <w:rPr>
          <w:rFonts w:ascii="Century" w:hAnsi="Century" w:cs="FrankRuehl" w:hint="cs"/>
          <w:spacing w:val="10"/>
          <w:sz w:val="22"/>
          <w:szCs w:val="28"/>
          <w:rtl/>
        </w:rPr>
        <w:t>וב</w:t>
      </w:r>
      <w:r w:rsidRPr="009A3788">
        <w:rPr>
          <w:rFonts w:ascii="Century" w:hAnsi="Century" w:cs="FrankRuehl" w:hint="cs"/>
          <w:spacing w:val="10"/>
          <w:sz w:val="22"/>
          <w:szCs w:val="28"/>
          <w:rtl/>
        </w:rPr>
        <w:t xml:space="preserve">פס' 15 לחוות דעתה של השופטת </w:t>
      </w:r>
      <w:r w:rsidRPr="009A3788">
        <w:rPr>
          <w:rFonts w:ascii="Century" w:hAnsi="Century" w:cs="Miriam" w:hint="cs"/>
          <w:b/>
          <w:sz w:val="22"/>
          <w:rtl/>
        </w:rPr>
        <w:t>רונן</w:t>
      </w:r>
      <w:r w:rsidRPr="009A3788">
        <w:rPr>
          <w:rFonts w:ascii="Century" w:hAnsi="Century" w:cs="FrankRuehl" w:hint="cs"/>
          <w:spacing w:val="10"/>
          <w:sz w:val="22"/>
          <w:szCs w:val="28"/>
          <w:rtl/>
        </w:rPr>
        <w:t xml:space="preserve">). אולם, כפי שהוטעם על ידי לעיל, עילת הסבירות </w:t>
      </w:r>
      <w:r w:rsidRPr="009A3788">
        <w:rPr>
          <w:rFonts w:ascii="Century" w:hAnsi="Century" w:cs="FrankRuehl"/>
          <w:spacing w:val="10"/>
          <w:sz w:val="22"/>
          <w:szCs w:val="28"/>
          <w:rtl/>
        </w:rPr>
        <w:t>–</w:t>
      </w:r>
      <w:r w:rsidRPr="009A3788">
        <w:rPr>
          <w:rFonts w:ascii="Century" w:hAnsi="Century" w:cs="FrankRuehl" w:hint="cs"/>
          <w:spacing w:val="10"/>
          <w:sz w:val="22"/>
          <w:szCs w:val="28"/>
          <w:rtl/>
        </w:rPr>
        <w:t xml:space="preserve"> על כל מובניה </w:t>
      </w:r>
      <w:r w:rsidRPr="009A3788">
        <w:rPr>
          <w:rFonts w:ascii="Century" w:hAnsi="Century" w:cs="FrankRuehl"/>
          <w:spacing w:val="10"/>
          <w:sz w:val="22"/>
          <w:szCs w:val="28"/>
          <w:rtl/>
        </w:rPr>
        <w:t>–</w:t>
      </w:r>
      <w:r w:rsidRPr="009A3788">
        <w:rPr>
          <w:rFonts w:ascii="Century" w:hAnsi="Century" w:cs="FrankRuehl" w:hint="cs"/>
          <w:spacing w:val="10"/>
          <w:sz w:val="22"/>
          <w:szCs w:val="28"/>
          <w:rtl/>
        </w:rPr>
        <w:t xml:space="preserve"> עמומה היא, והיקף גבולותיה לוט בערפל. על כן, בבואנו לבקר את עילת הסבירות המקורית על עמימותה, נזכור כי ביקורת זו היא-היא המופנית כלפי עילת הסבירות האיזונית שחבריי מבקשים להותיר על כנה. ברי אפוא, כי אין בחוסר הבהירות הנטען על-ידי חבריי כדי לגרוע ממסקנתי בדבר האפשרות לפרשנות המצמצמת. לא למותר לציין כי אין בחוסר הבהירות הנטענת על-ידי חבריי, כשלעצמו, כדי להצדיק את דחיית הפרשנות המוצעת, שכן תפקידו של בית משפט זה, כפי ששקד לאורך השנים ביחס למונחי שסתום ועילות אחרות במשפט </w:t>
      </w:r>
      <w:r w:rsidRPr="009A3788">
        <w:rPr>
          <w:rFonts w:ascii="Century" w:hAnsi="Century" w:cs="FrankRuehl"/>
          <w:spacing w:val="10"/>
          <w:sz w:val="22"/>
          <w:szCs w:val="28"/>
          <w:rtl/>
        </w:rPr>
        <w:t>–</w:t>
      </w:r>
      <w:r w:rsidRPr="009A3788">
        <w:rPr>
          <w:rFonts w:ascii="Century" w:hAnsi="Century" w:cs="FrankRuehl" w:hint="cs"/>
          <w:spacing w:val="10"/>
          <w:sz w:val="22"/>
          <w:szCs w:val="28"/>
          <w:rtl/>
        </w:rPr>
        <w:t xml:space="preserve"> ליישם, לפרש ולפתח אף עילה זו. </w:t>
      </w:r>
    </w:p>
    <w:p w:rsidR="00E32081" w:rsidRPr="009A3788" w:rsidRDefault="00E32081" w:rsidP="00E32081">
      <w:pPr>
        <w:tabs>
          <w:tab w:val="left" w:pos="800"/>
        </w:tabs>
        <w:spacing w:line="360" w:lineRule="auto"/>
        <w:jc w:val="both"/>
        <w:rPr>
          <w:rFonts w:ascii="Century" w:hAnsi="Century" w:cs="FrankRuehl"/>
          <w:spacing w:val="10"/>
          <w:sz w:val="22"/>
          <w:szCs w:val="28"/>
          <w:rtl/>
        </w:rPr>
      </w:pPr>
    </w:p>
    <w:p w:rsidR="00E32081" w:rsidRPr="009A3788" w:rsidRDefault="00E32081" w:rsidP="00E32081">
      <w:pPr>
        <w:tabs>
          <w:tab w:val="left" w:pos="800"/>
        </w:tabs>
        <w:spacing w:line="360" w:lineRule="auto"/>
        <w:jc w:val="both"/>
        <w:rPr>
          <w:rFonts w:ascii="Century" w:hAnsi="Century" w:cs="Miriam"/>
          <w:b/>
          <w:sz w:val="22"/>
          <w:rtl/>
        </w:rPr>
      </w:pPr>
      <w:r w:rsidRPr="009A3788">
        <w:rPr>
          <w:rFonts w:ascii="Century" w:hAnsi="Century" w:cs="Miriam" w:hint="cs"/>
          <w:b/>
          <w:sz w:val="22"/>
          <w:rtl/>
        </w:rPr>
        <w:t>סיכום</w:t>
      </w:r>
    </w:p>
    <w:p w:rsidR="00E32081" w:rsidRPr="009A3788" w:rsidRDefault="00E32081" w:rsidP="00E32081">
      <w:pPr>
        <w:tabs>
          <w:tab w:val="left" w:pos="800"/>
        </w:tabs>
        <w:spacing w:line="360" w:lineRule="auto"/>
        <w:jc w:val="both"/>
        <w:rPr>
          <w:rFonts w:ascii="Century" w:hAnsi="Century" w:cs="FrankRuehl"/>
          <w:spacing w:val="10"/>
          <w:sz w:val="22"/>
          <w:szCs w:val="28"/>
          <w:rtl/>
        </w:rPr>
      </w:pPr>
    </w:p>
    <w:p w:rsidR="00E32081" w:rsidRDefault="00E32081" w:rsidP="00E32081">
      <w:pPr>
        <w:tabs>
          <w:tab w:val="left" w:pos="800"/>
        </w:tabs>
        <w:spacing w:line="360" w:lineRule="auto"/>
        <w:jc w:val="both"/>
        <w:rPr>
          <w:rFonts w:ascii="Century" w:hAnsi="Century" w:cs="FrankRuehl"/>
          <w:spacing w:val="10"/>
          <w:sz w:val="22"/>
          <w:szCs w:val="28"/>
          <w:rtl/>
        </w:rPr>
      </w:pPr>
      <w:r>
        <w:rPr>
          <w:rFonts w:ascii="Century" w:hAnsi="Century" w:cs="FrankRuehl" w:hint="cs"/>
          <w:spacing w:val="10"/>
          <w:sz w:val="22"/>
          <w:szCs w:val="28"/>
          <w:rtl/>
        </w:rPr>
        <w:t>99.</w:t>
      </w:r>
      <w:r>
        <w:rPr>
          <w:rFonts w:ascii="Century" w:hAnsi="Century" w:cs="FrankRuehl"/>
          <w:spacing w:val="10"/>
          <w:sz w:val="22"/>
          <w:szCs w:val="28"/>
          <w:rtl/>
        </w:rPr>
        <w:tab/>
      </w:r>
      <w:r w:rsidRPr="00732338">
        <w:rPr>
          <w:rFonts w:ascii="Century" w:hAnsi="Century" w:cs="FrankRuehl"/>
          <w:spacing w:val="10"/>
          <w:sz w:val="22"/>
          <w:szCs w:val="28"/>
          <w:rtl/>
        </w:rPr>
        <w:t xml:space="preserve">כפי שהראיתי, הפרשנות המוצעת על-ידי צועדת עקב בצד אגודל אחר עקרונות הפרשנות, כפי שפותחו על-ידי בית משפט זה לאורך השנים, ונטועה </w:t>
      </w:r>
      <w:r w:rsidRPr="00E66AFB">
        <w:rPr>
          <w:rFonts w:ascii="Century" w:hAnsi="Century" w:cs="Miriam"/>
          <w:b/>
          <w:sz w:val="22"/>
          <w:rtl/>
        </w:rPr>
        <w:t>עמוק</w:t>
      </w:r>
      <w:r w:rsidRPr="00732338">
        <w:rPr>
          <w:rFonts w:ascii="Century" w:hAnsi="Century" w:cs="FrankRuehl"/>
          <w:spacing w:val="10"/>
          <w:sz w:val="22"/>
          <w:szCs w:val="28"/>
          <w:rtl/>
        </w:rPr>
        <w:t xml:space="preserve"> בגבולות הפרשנות הלגיטימיים. בפרט, </w:t>
      </w:r>
      <w:r w:rsidRPr="008D7087">
        <w:rPr>
          <w:rFonts w:ascii="Century" w:hAnsi="Century" w:cs="FrankRuehl"/>
          <w:spacing w:val="10"/>
          <w:sz w:val="22"/>
          <w:szCs w:val="28"/>
          <w:rtl/>
        </w:rPr>
        <w:t xml:space="preserve">מקיימת היא את ההלכה המושרשת במישור החוקתי, שלפיה "עדיפה פרשנות של דבר החקיקה המכניסה אותו לגבולות החוקתיות – על פני פסילתו", שכן פסילתו היא "בבחינת אמצעי אחרון, שיש לפנות אליו רק כאשר כלו כל </w:t>
      </w:r>
      <w:r w:rsidRPr="008D7087">
        <w:rPr>
          <w:rFonts w:ascii="Century" w:hAnsi="Century" w:cs="FrankRuehl"/>
          <w:spacing w:val="10"/>
          <w:sz w:val="22"/>
          <w:szCs w:val="28"/>
          <w:rtl/>
        </w:rPr>
        <w:lastRenderedPageBreak/>
        <w:t xml:space="preserve">הקיצין" (עניין </w:t>
      </w:r>
      <w:r w:rsidRPr="008D7087">
        <w:rPr>
          <w:rFonts w:ascii="Century" w:hAnsi="Century" w:cs="Miriam"/>
          <w:b/>
          <w:sz w:val="22"/>
          <w:rtl/>
        </w:rPr>
        <w:t>אבנרי</w:t>
      </w:r>
      <w:r w:rsidRPr="008D7087">
        <w:rPr>
          <w:rFonts w:ascii="Century" w:hAnsi="Century" w:cs="FrankRuehl"/>
          <w:spacing w:val="10"/>
          <w:sz w:val="22"/>
          <w:szCs w:val="28"/>
          <w:rtl/>
        </w:rPr>
        <w:t>, בפס' 5</w:t>
      </w:r>
      <w:r>
        <w:rPr>
          <w:rFonts w:ascii="Century" w:hAnsi="Century" w:cs="FrankRuehl" w:hint="cs"/>
          <w:spacing w:val="10"/>
          <w:sz w:val="22"/>
          <w:szCs w:val="28"/>
          <w:rtl/>
        </w:rPr>
        <w:t xml:space="preserve">6 לפסק דינו של השופט </w:t>
      </w:r>
      <w:r>
        <w:rPr>
          <w:rFonts w:ascii="Century" w:hAnsi="Century" w:cs="Miriam" w:hint="cs"/>
          <w:b/>
          <w:sz w:val="22"/>
          <w:rtl/>
        </w:rPr>
        <w:t>מלצר</w:t>
      </w:r>
      <w:r w:rsidRPr="008D7087">
        <w:rPr>
          <w:rFonts w:ascii="Century" w:hAnsi="Century" w:cs="FrankRuehl"/>
          <w:spacing w:val="10"/>
          <w:sz w:val="22"/>
          <w:szCs w:val="28"/>
          <w:rtl/>
        </w:rPr>
        <w:t>).</w:t>
      </w:r>
      <w:r w:rsidRPr="008D7087">
        <w:rPr>
          <w:rFonts w:ascii="Century" w:hAnsi="Century" w:cs="FrankRuehl" w:hint="cs"/>
          <w:spacing w:val="10"/>
          <w:sz w:val="22"/>
          <w:szCs w:val="28"/>
          <w:rtl/>
        </w:rPr>
        <w:t xml:space="preserve"> </w:t>
      </w:r>
      <w:r w:rsidRPr="008D7087">
        <w:rPr>
          <w:rFonts w:ascii="Century" w:hAnsi="Century" w:cs="FrankRuehl"/>
          <w:spacing w:val="10"/>
          <w:sz w:val="22"/>
          <w:szCs w:val="28"/>
          <w:rtl/>
        </w:rPr>
        <w:t xml:space="preserve">בדרך זו, נהג בית משפט זה מימים ימימה. אני מצרה על כך שחלק מחבריי בחרו </w:t>
      </w:r>
      <w:r w:rsidRPr="008D7087">
        <w:rPr>
          <w:rFonts w:ascii="Century" w:hAnsi="Century" w:cs="FrankRuehl" w:hint="cs"/>
          <w:spacing w:val="10"/>
          <w:sz w:val="22"/>
          <w:szCs w:val="28"/>
          <w:rtl/>
        </w:rPr>
        <w:t>לנקוט בנתיב שונה</w:t>
      </w:r>
      <w:r w:rsidRPr="008D7087">
        <w:rPr>
          <w:rFonts w:ascii="Century" w:hAnsi="Century" w:cs="FrankRuehl"/>
          <w:spacing w:val="10"/>
          <w:sz w:val="22"/>
          <w:szCs w:val="28"/>
          <w:rtl/>
        </w:rPr>
        <w:t>,</w:t>
      </w:r>
      <w:r w:rsidRPr="008D7087">
        <w:rPr>
          <w:rFonts w:ascii="Century" w:hAnsi="Century" w:cs="FrankRuehl" w:hint="cs"/>
          <w:spacing w:val="10"/>
          <w:sz w:val="22"/>
          <w:szCs w:val="28"/>
          <w:rtl/>
        </w:rPr>
        <w:t xml:space="preserve"> והורו על ביטול חוק יסוד</w:t>
      </w:r>
      <w:r w:rsidRPr="008D7087">
        <w:rPr>
          <w:rFonts w:ascii="Century" w:hAnsi="Century" w:cs="FrankRuehl"/>
          <w:spacing w:val="10"/>
          <w:sz w:val="22"/>
          <w:szCs w:val="28"/>
          <w:rtl/>
        </w:rPr>
        <w:t>, שלגביו החלת הכלל הפרשני האמור חשובה שבעתיים.</w:t>
      </w:r>
    </w:p>
    <w:p w:rsidR="00E32081" w:rsidRDefault="00E32081" w:rsidP="00E32081">
      <w:pPr>
        <w:tabs>
          <w:tab w:val="left" w:pos="800"/>
        </w:tabs>
        <w:spacing w:line="360" w:lineRule="auto"/>
        <w:jc w:val="both"/>
        <w:rPr>
          <w:rFonts w:ascii="Century" w:hAnsi="Century" w:cs="FrankRuehl"/>
          <w:spacing w:val="10"/>
          <w:sz w:val="22"/>
          <w:szCs w:val="28"/>
          <w:rtl/>
        </w:rPr>
      </w:pPr>
    </w:p>
    <w:p w:rsidR="00E32081" w:rsidRDefault="00E32081" w:rsidP="00E32081">
      <w:pPr>
        <w:tabs>
          <w:tab w:val="left" w:pos="800"/>
        </w:tabs>
        <w:spacing w:line="360" w:lineRule="auto"/>
        <w:jc w:val="both"/>
        <w:rPr>
          <w:rFonts w:ascii="FrankRuehl" w:hAnsi="FrankRuehl" w:cs="FrankRuehl"/>
          <w:color w:val="000000"/>
          <w:spacing w:val="10"/>
          <w:sz w:val="28"/>
          <w:szCs w:val="28"/>
          <w:shd w:val="clear" w:color="auto" w:fill="FFFFFF"/>
          <w:rtl/>
        </w:rPr>
      </w:pPr>
      <w:r>
        <w:rPr>
          <w:rFonts w:ascii="FrankRuehl" w:hAnsi="FrankRuehl" w:cs="FrankRuehl" w:hint="cs"/>
          <w:color w:val="000000"/>
          <w:spacing w:val="10"/>
          <w:sz w:val="28"/>
          <w:szCs w:val="28"/>
          <w:shd w:val="clear" w:color="auto" w:fill="FFFFFF"/>
          <w:rtl/>
        </w:rPr>
        <w:t>100.</w:t>
      </w:r>
      <w:r>
        <w:rPr>
          <w:rFonts w:ascii="FrankRuehl" w:hAnsi="FrankRuehl" w:cs="FrankRuehl" w:hint="cs"/>
          <w:color w:val="000000"/>
          <w:spacing w:val="10"/>
          <w:sz w:val="28"/>
          <w:szCs w:val="28"/>
          <w:shd w:val="clear" w:color="auto" w:fill="FFFFFF"/>
          <w:rtl/>
        </w:rPr>
        <w:tab/>
        <w:t>כאמור, דעתי היא כי יש</w:t>
      </w:r>
      <w:r w:rsidRPr="00E206AF">
        <w:rPr>
          <w:rFonts w:ascii="FrankRuehl" w:hAnsi="FrankRuehl" w:cs="FrankRuehl" w:hint="cs"/>
          <w:color w:val="000000"/>
          <w:spacing w:val="10"/>
          <w:sz w:val="28"/>
          <w:szCs w:val="28"/>
          <w:shd w:val="clear" w:color="auto" w:fill="FFFFFF"/>
          <w:rtl/>
        </w:rPr>
        <w:t xml:space="preserve"> לדחות את העתירות, כך ש</w:t>
      </w:r>
      <w:r>
        <w:rPr>
          <w:rFonts w:ascii="FrankRuehl" w:hAnsi="FrankRuehl" w:cs="FrankRuehl" w:hint="cs"/>
          <w:color w:val="000000"/>
          <w:spacing w:val="10"/>
          <w:sz w:val="28"/>
          <w:szCs w:val="28"/>
          <w:shd w:val="clear" w:color="auto" w:fill="FFFFFF"/>
          <w:rtl/>
        </w:rPr>
        <w:t>ה</w:t>
      </w:r>
      <w:r w:rsidRPr="00E206AF">
        <w:rPr>
          <w:rFonts w:ascii="FrankRuehl" w:hAnsi="FrankRuehl" w:cs="FrankRuehl" w:hint="cs"/>
          <w:color w:val="000000"/>
          <w:spacing w:val="10"/>
          <w:sz w:val="28"/>
          <w:szCs w:val="28"/>
          <w:shd w:val="clear" w:color="auto" w:fill="FFFFFF"/>
          <w:rtl/>
        </w:rPr>
        <w:t xml:space="preserve">תיקון יפורש ככזה אשר </w:t>
      </w:r>
      <w:r>
        <w:rPr>
          <w:rFonts w:ascii="FrankRuehl" w:hAnsi="FrankRuehl" w:cs="FrankRuehl" w:hint="cs"/>
          <w:color w:val="000000"/>
          <w:spacing w:val="10"/>
          <w:sz w:val="28"/>
          <w:szCs w:val="28"/>
          <w:shd w:val="clear" w:color="auto" w:fill="FFFFFF"/>
          <w:rtl/>
        </w:rPr>
        <w:t>מתייחס לעילת</w:t>
      </w:r>
      <w:r w:rsidRPr="00E206AF">
        <w:rPr>
          <w:rFonts w:ascii="FrankRuehl" w:hAnsi="FrankRuehl" w:cs="FrankRuehl" w:hint="cs"/>
          <w:color w:val="000000"/>
          <w:spacing w:val="10"/>
          <w:sz w:val="28"/>
          <w:szCs w:val="28"/>
          <w:shd w:val="clear" w:color="auto" w:fill="FFFFFF"/>
          <w:rtl/>
        </w:rPr>
        <w:t xml:space="preserve"> הסבירות האיזונית בלבד. </w:t>
      </w:r>
    </w:p>
    <w:p w:rsidR="00FF17DB" w:rsidRDefault="00FF17DB" w:rsidP="004E4926">
      <w:pPr>
        <w:pStyle w:val="Ruller41"/>
        <w:rPr>
          <w:rtl/>
        </w:rPr>
      </w:pPr>
    </w:p>
    <w:p w:rsidR="00EC32E0" w:rsidRDefault="00EC32E0" w:rsidP="004E4926">
      <w:pPr>
        <w:pStyle w:val="Ruller41"/>
        <w:rPr>
          <w:rtl/>
        </w:rPr>
      </w:pPr>
    </w:p>
    <w:tbl>
      <w:tblPr>
        <w:bidiVisual/>
        <w:tblW w:w="8363" w:type="dxa"/>
        <w:tblLook w:val="01E0" w:firstRow="1" w:lastRow="1" w:firstColumn="1" w:lastColumn="1" w:noHBand="0" w:noVBand="0"/>
      </w:tblPr>
      <w:tblGrid>
        <w:gridCol w:w="2786"/>
        <w:gridCol w:w="2787"/>
        <w:gridCol w:w="2790"/>
      </w:tblGrid>
      <w:tr w:rsidR="00EC32E0" w:rsidTr="00DD4ADA">
        <w:tc>
          <w:tcPr>
            <w:tcW w:w="2842" w:type="dxa"/>
            <w:shd w:val="clear" w:color="auto" w:fill="auto"/>
          </w:tcPr>
          <w:p w:rsidR="00EC32E0" w:rsidRDefault="00EC32E0" w:rsidP="00DD4ADA">
            <w:pPr>
              <w:pStyle w:val="Ruller41"/>
              <w:rPr>
                <w:rtl/>
              </w:rPr>
            </w:pPr>
          </w:p>
        </w:tc>
        <w:tc>
          <w:tcPr>
            <w:tcW w:w="2843" w:type="dxa"/>
            <w:shd w:val="clear" w:color="auto" w:fill="auto"/>
          </w:tcPr>
          <w:p w:rsidR="00EC32E0" w:rsidRDefault="00EC32E0" w:rsidP="00DD4ADA">
            <w:pPr>
              <w:pStyle w:val="Ruller41"/>
              <w:jc w:val="center"/>
              <w:rPr>
                <w:rtl/>
              </w:rPr>
            </w:pPr>
          </w:p>
        </w:tc>
        <w:tc>
          <w:tcPr>
            <w:tcW w:w="2843" w:type="dxa"/>
            <w:shd w:val="clear" w:color="auto" w:fill="auto"/>
          </w:tcPr>
          <w:p w:rsidR="00EC32E0" w:rsidRDefault="00EC32E0" w:rsidP="00DD4ADA">
            <w:pPr>
              <w:pStyle w:val="Ruller41"/>
              <w:jc w:val="center"/>
              <w:rPr>
                <w:rtl/>
              </w:rPr>
            </w:pPr>
            <w:r>
              <w:rPr>
                <w:rtl/>
              </w:rPr>
              <w:t>ש ו פ ט</w:t>
            </w:r>
            <w:r>
              <w:rPr>
                <w:rFonts w:hint="cs"/>
                <w:rtl/>
              </w:rPr>
              <w:t xml:space="preserve"> ת</w:t>
            </w:r>
          </w:p>
        </w:tc>
      </w:tr>
    </w:tbl>
    <w:p w:rsidR="00FF17DB" w:rsidRDefault="00FF17DB" w:rsidP="00FF17DB">
      <w:pPr>
        <w:pStyle w:val="BODYVERDICT"/>
      </w:pPr>
    </w:p>
    <w:p w:rsidR="00FF17DB" w:rsidRDefault="00FF17DB" w:rsidP="00FF17DB">
      <w:pPr>
        <w:pStyle w:val="BODYVERDICT"/>
        <w:outlineLvl w:val="0"/>
        <w:rPr>
          <w:rFonts w:cs="Miriam"/>
          <w:sz w:val="24"/>
          <w:szCs w:val="24"/>
          <w:u w:val="single"/>
          <w:rtl/>
        </w:rPr>
      </w:pPr>
      <w:r w:rsidRPr="00E00BCB">
        <w:rPr>
          <w:rFonts w:cs="Miriam" w:hint="cs"/>
          <w:sz w:val="24"/>
          <w:szCs w:val="24"/>
          <w:u w:val="single"/>
          <w:rtl/>
        </w:rPr>
        <w:t>השופט י' אלרון</w:t>
      </w:r>
      <w:r w:rsidRPr="00E00BCB">
        <w:rPr>
          <w:rFonts w:cs="Miriam"/>
          <w:sz w:val="24"/>
          <w:szCs w:val="24"/>
          <w:rtl/>
        </w:rPr>
        <w:t>:</w:t>
      </w:r>
    </w:p>
    <w:p w:rsidR="00AF4803" w:rsidRPr="006C44E3" w:rsidRDefault="00AF4803" w:rsidP="00AF4803">
      <w:pPr>
        <w:pStyle w:val="Ruller41"/>
        <w:rPr>
          <w:rFonts w:ascii="Garamond" w:hAnsi="Garamond"/>
          <w:b/>
          <w:bCs/>
          <w:sz w:val="24"/>
          <w:u w:val="single"/>
          <w:rtl/>
        </w:rPr>
      </w:pPr>
    </w:p>
    <w:p w:rsidR="00AF4803" w:rsidRPr="006C44E3" w:rsidRDefault="00AF4803" w:rsidP="002A1A3A">
      <w:pPr>
        <w:pStyle w:val="Ruller4"/>
        <w:numPr>
          <w:ilvl w:val="0"/>
          <w:numId w:val="13"/>
        </w:numPr>
        <w:rPr>
          <w:rtl/>
        </w:rPr>
      </w:pPr>
      <w:r w:rsidRPr="006C44E3">
        <w:rPr>
          <w:rFonts w:hint="cs"/>
          <w:rtl/>
        </w:rPr>
        <w:t xml:space="preserve">קראתי בעיון רב את חוות דעתה המקיפה של חברתי, הנשיאה (בדימ') </w:t>
      </w:r>
      <w:r w:rsidRPr="00AF4803">
        <w:rPr>
          <w:rFonts w:ascii="Century" w:hAnsi="Century" w:cs="Miriam" w:hint="cs"/>
          <w:b/>
          <w:spacing w:val="0"/>
          <w:sz w:val="22"/>
          <w:szCs w:val="24"/>
          <w:rtl/>
        </w:rPr>
        <w:t>א' חיות</w:t>
      </w:r>
      <w:r w:rsidRPr="006C44E3">
        <w:rPr>
          <w:rFonts w:hint="cs"/>
          <w:rtl/>
        </w:rPr>
        <w:t xml:space="preserve">, ודעתי שונה. לגישתי דין העתירות להידחות. </w:t>
      </w:r>
    </w:p>
    <w:p w:rsidR="00AF4803" w:rsidRPr="006C44E3" w:rsidRDefault="00AF4803" w:rsidP="00AF4803">
      <w:pPr>
        <w:pStyle w:val="Ruller41"/>
      </w:pPr>
    </w:p>
    <w:p w:rsidR="00AF4803" w:rsidRPr="006C44E3" w:rsidRDefault="00AF4803" w:rsidP="00AF4803">
      <w:pPr>
        <w:pStyle w:val="Ruller4"/>
      </w:pPr>
      <w:r w:rsidRPr="006C44E3">
        <w:rPr>
          <w:rFonts w:hint="cs"/>
          <w:rtl/>
        </w:rPr>
        <w:t xml:space="preserve">בעתירות שלפנינו התבקשו, כאמור, שורת סעדים ביחס לתיקון חוק-יסוד: השפיטה (תיקון מס' 3) (להלן: </w:t>
      </w:r>
      <w:r w:rsidRPr="006C44E3">
        <w:rPr>
          <w:rFonts w:ascii="Century" w:hAnsi="Century" w:cs="Miriam" w:hint="cs"/>
          <w:b/>
          <w:spacing w:val="0"/>
          <w:sz w:val="22"/>
          <w:szCs w:val="24"/>
          <w:rtl/>
        </w:rPr>
        <w:t>תיקון מס' 3</w:t>
      </w:r>
      <w:r w:rsidRPr="006C44E3">
        <w:rPr>
          <w:rFonts w:hint="cs"/>
          <w:rtl/>
        </w:rPr>
        <w:t xml:space="preserve">). הסעד המרכזי, ומרחיק הלכת מכולם, הוא ביטול תיקון מס' 3 </w:t>
      </w:r>
      <w:r w:rsidRPr="006C44E3">
        <w:rPr>
          <w:rtl/>
        </w:rPr>
        <w:t>–</w:t>
      </w:r>
      <w:r w:rsidRPr="006C44E3">
        <w:rPr>
          <w:rFonts w:hint="cs"/>
          <w:rtl/>
        </w:rPr>
        <w:t xml:space="preserve"> סעיף 15(ד1) ל</w:t>
      </w:r>
      <w:r w:rsidRPr="006C44E3">
        <w:rPr>
          <w:rFonts w:hint="eastAsia"/>
          <w:rtl/>
        </w:rPr>
        <w:t>חוק</w:t>
      </w:r>
      <w:r w:rsidRPr="006C44E3">
        <w:rPr>
          <w:rtl/>
        </w:rPr>
        <w:t>-</w:t>
      </w:r>
      <w:r w:rsidRPr="006C44E3">
        <w:rPr>
          <w:rFonts w:hint="eastAsia"/>
          <w:rtl/>
        </w:rPr>
        <w:t>יסוד</w:t>
      </w:r>
      <w:r w:rsidRPr="006C44E3">
        <w:rPr>
          <w:rtl/>
        </w:rPr>
        <w:t xml:space="preserve">: </w:t>
      </w:r>
      <w:r w:rsidRPr="006C44E3">
        <w:rPr>
          <w:rFonts w:hint="eastAsia"/>
          <w:rtl/>
        </w:rPr>
        <w:t>השפיטה</w:t>
      </w:r>
      <w:r w:rsidRPr="006C44E3">
        <w:rPr>
          <w:rFonts w:hint="cs"/>
          <w:rtl/>
        </w:rPr>
        <w:t>.</w:t>
      </w:r>
    </w:p>
    <w:p w:rsidR="00AF4803" w:rsidRPr="006C44E3" w:rsidRDefault="00AF4803" w:rsidP="00AF4803">
      <w:pPr>
        <w:pStyle w:val="Ruller4"/>
        <w:numPr>
          <w:ilvl w:val="0"/>
          <w:numId w:val="0"/>
        </w:numPr>
        <w:rPr>
          <w:rtl/>
        </w:rPr>
      </w:pPr>
    </w:p>
    <w:p w:rsidR="00AF4803" w:rsidRPr="006C44E3" w:rsidRDefault="00AF4803" w:rsidP="00AF4803">
      <w:pPr>
        <w:pStyle w:val="Ruller4"/>
      </w:pPr>
      <w:r w:rsidRPr="006C44E3">
        <w:rPr>
          <w:rFonts w:hint="cs"/>
          <w:rtl/>
        </w:rPr>
        <w:t xml:space="preserve">סמכותו של בית משפט זה לבטל סעיף מתוך חוק-יסוד נתונה במחלוקת משפטית וציבורית עמוקה. סמכות זו, ככל שישנה, איננה ניצבת על קרקע משפטית מוצקה ויהיו שיגידו שהיא תלויה על בלימה. אם הסמכות לבטל חוקים רגילים תוארה בעבר בפסיקה כ"נשק בלתי </w:t>
      </w:r>
      <w:r w:rsidRPr="006C44E3">
        <w:rPr>
          <w:rtl/>
        </w:rPr>
        <w:t>קונבנציונלי</w:t>
      </w:r>
      <w:r w:rsidRPr="006C44E3">
        <w:rPr>
          <w:rFonts w:hint="cs"/>
          <w:rtl/>
        </w:rPr>
        <w:t>" שיש לעשות בו שימוש רק במקרים שבהם ישנה פגיעה מהותית בזכויות יסוד או ערכים בסיסיים (</w:t>
      </w:r>
      <w:r w:rsidRPr="006C44E3">
        <w:rPr>
          <w:rtl/>
        </w:rPr>
        <w:t xml:space="preserve">בג"ץ 7111/95 </w:t>
      </w:r>
      <w:r w:rsidRPr="006C44E3">
        <w:rPr>
          <w:rFonts w:ascii="Century" w:hAnsi="Century" w:cs="Miriam"/>
          <w:b/>
          <w:spacing w:val="0"/>
          <w:sz w:val="22"/>
          <w:szCs w:val="24"/>
          <w:rtl/>
        </w:rPr>
        <w:t>מרכז השלטון המקומי נ' הכנסת</w:t>
      </w:r>
      <w:r w:rsidRPr="006C44E3">
        <w:rPr>
          <w:rtl/>
        </w:rPr>
        <w:t>,</w:t>
      </w:r>
      <w:r w:rsidRPr="006C44E3">
        <w:rPr>
          <w:rFonts w:hint="cs"/>
          <w:rtl/>
        </w:rPr>
        <w:t xml:space="preserve"> פ"ד</w:t>
      </w:r>
      <w:r w:rsidRPr="006C44E3">
        <w:rPr>
          <w:rtl/>
        </w:rPr>
        <w:t xml:space="preserve"> נ(3) </w:t>
      </w:r>
      <w:r w:rsidRPr="006C44E3">
        <w:rPr>
          <w:rFonts w:hint="cs"/>
          <w:rtl/>
        </w:rPr>
        <w:t xml:space="preserve">485, 496 (1996)); על אחת כמה וכמה </w:t>
      </w:r>
      <w:r w:rsidRPr="006C44E3">
        <w:rPr>
          <w:rtl/>
        </w:rPr>
        <w:t>–</w:t>
      </w:r>
      <w:r w:rsidRPr="006C44E3">
        <w:rPr>
          <w:rFonts w:hint="cs"/>
          <w:rtl/>
        </w:rPr>
        <w:t xml:space="preserve"> מה נאמר על אפשרות ביטולו של חוק-יסוד? </w:t>
      </w:r>
    </w:p>
    <w:p w:rsidR="00AF4803" w:rsidRPr="006C44E3" w:rsidRDefault="00AF4803" w:rsidP="00AF4803">
      <w:pPr>
        <w:pStyle w:val="Ruller4"/>
        <w:numPr>
          <w:ilvl w:val="0"/>
          <w:numId w:val="0"/>
        </w:numPr>
        <w:rPr>
          <w:rtl/>
        </w:rPr>
      </w:pPr>
    </w:p>
    <w:p w:rsidR="00AF4803" w:rsidRPr="006C44E3" w:rsidRDefault="00AF4803" w:rsidP="00AF4803">
      <w:pPr>
        <w:pStyle w:val="Ruller4"/>
        <w:rPr>
          <w:rtl/>
        </w:rPr>
      </w:pPr>
      <w:r w:rsidRPr="006C44E3">
        <w:rPr>
          <w:rFonts w:hint="cs"/>
          <w:rtl/>
        </w:rPr>
        <w:t xml:space="preserve">עיקר הסוגיה המונחת לפנינו אינה, לטעמי, האם עילת הסבירות נחוצה או חשובה, אם ראוי שהחלטות הרשות המבצעת </w:t>
      </w:r>
      <w:r w:rsidRPr="006C44E3">
        <w:rPr>
          <w:rtl/>
        </w:rPr>
        <w:t>–</w:t>
      </w:r>
      <w:r w:rsidRPr="006C44E3">
        <w:rPr>
          <w:rFonts w:hint="cs"/>
          <w:rtl/>
        </w:rPr>
        <w:t xml:space="preserve"> לרבות העומד בראשה, יהיו סבירות, או אם תיקון מס' 3 מוצדק. הסוגיה המרכזית בעתירות שלפנינו היא האם נתונה לבית משפט זה הסמכות להתערב בחוקי-יסוד. משמע, האם בית משפט זה יכול, במצב של "ואקום" חוקתי כפי שקיים, למחוק מחוקתה של מדינת ישראל, אשר טרם התגבשה במלואה, תיקון לחוק-יסוד? </w:t>
      </w:r>
    </w:p>
    <w:p w:rsidR="00AF4803" w:rsidRPr="006C44E3" w:rsidRDefault="00AF4803" w:rsidP="00AF4803">
      <w:pPr>
        <w:pStyle w:val="Ruller4"/>
        <w:numPr>
          <w:ilvl w:val="0"/>
          <w:numId w:val="0"/>
        </w:numPr>
        <w:rPr>
          <w:rtl/>
        </w:rPr>
      </w:pPr>
    </w:p>
    <w:p w:rsidR="00AF4803" w:rsidRPr="006C44E3" w:rsidRDefault="00AF4803" w:rsidP="00AF4803">
      <w:pPr>
        <w:pStyle w:val="Ruller4"/>
        <w:numPr>
          <w:ilvl w:val="0"/>
          <w:numId w:val="0"/>
        </w:numPr>
        <w:rPr>
          <w:rtl/>
        </w:rPr>
      </w:pPr>
      <w:r w:rsidRPr="006C44E3">
        <w:rPr>
          <w:rtl/>
        </w:rPr>
        <w:lastRenderedPageBreak/>
        <w:tab/>
      </w:r>
      <w:r w:rsidRPr="006C44E3">
        <w:rPr>
          <w:rFonts w:hint="cs"/>
          <w:rtl/>
        </w:rPr>
        <w:t>בעניין זה הבעתי את עמדתי ב</w:t>
      </w:r>
      <w:r w:rsidRPr="006C44E3">
        <w:rPr>
          <w:rtl/>
        </w:rPr>
        <w:t xml:space="preserve">בג"ץ 5969/20 </w:t>
      </w:r>
      <w:r w:rsidRPr="006C44E3">
        <w:rPr>
          <w:rFonts w:ascii="Century" w:hAnsi="Century" w:cs="Miriam"/>
          <w:b/>
          <w:spacing w:val="0"/>
          <w:szCs w:val="24"/>
          <w:rtl/>
        </w:rPr>
        <w:t>שפיר נ' הכנסת</w:t>
      </w:r>
      <w:r w:rsidRPr="006C44E3">
        <w:rPr>
          <w:rtl/>
        </w:rPr>
        <w:t xml:space="preserve"> (23.</w:t>
      </w:r>
      <w:r w:rsidRPr="006C44E3">
        <w:rPr>
          <w:rFonts w:hint="cs"/>
          <w:rtl/>
        </w:rPr>
        <w:t>5</w:t>
      </w:r>
      <w:r w:rsidRPr="006C44E3">
        <w:rPr>
          <w:rtl/>
        </w:rPr>
        <w:t>.2021)</w:t>
      </w:r>
      <w:r w:rsidRPr="006C44E3">
        <w:rPr>
          <w:rFonts w:hint="cs"/>
          <w:rtl/>
        </w:rPr>
        <w:t xml:space="preserve"> (להלן: עניין </w:t>
      </w:r>
      <w:r w:rsidRPr="006C44E3">
        <w:rPr>
          <w:rFonts w:ascii="Century" w:hAnsi="Century" w:cs="Miriam" w:hint="cs"/>
          <w:b/>
          <w:spacing w:val="0"/>
          <w:sz w:val="22"/>
          <w:szCs w:val="24"/>
          <w:rtl/>
        </w:rPr>
        <w:t>שפיר</w:t>
      </w:r>
      <w:r w:rsidRPr="006C44E3">
        <w:rPr>
          <w:rFonts w:hint="cs"/>
          <w:rtl/>
        </w:rPr>
        <w:t xml:space="preserve">). לגישתי, </w:t>
      </w:r>
      <w:r w:rsidRPr="006C44E3">
        <w:rPr>
          <w:rtl/>
        </w:rPr>
        <w:t xml:space="preserve">המנדט הנתון לבית משפט זה לבחון את </w:t>
      </w:r>
      <w:r w:rsidRPr="006C44E3">
        <w:rPr>
          <w:rFonts w:hint="cs"/>
          <w:rtl/>
        </w:rPr>
        <w:t>ההצדקה שבבסיס</w:t>
      </w:r>
      <w:r w:rsidRPr="006C44E3">
        <w:rPr>
          <w:rtl/>
        </w:rPr>
        <w:t xml:space="preserve"> החלטות חברי הכנסת מוגבל למדי. קושי זה מקבל משנה תוקף לאור החסר החוקתי </w:t>
      </w:r>
      <w:r w:rsidRPr="006C44E3">
        <w:rPr>
          <w:rFonts w:hint="cs"/>
          <w:rtl/>
        </w:rPr>
        <w:t xml:space="preserve">הקיים בו, </w:t>
      </w:r>
      <w:r w:rsidRPr="006C44E3">
        <w:rPr>
          <w:rtl/>
        </w:rPr>
        <w:t>מחד גיסא, אין בחוקי</w:t>
      </w:r>
      <w:r w:rsidRPr="006C44E3">
        <w:rPr>
          <w:rFonts w:hint="cs"/>
          <w:rtl/>
        </w:rPr>
        <w:t>-</w:t>
      </w:r>
      <w:r w:rsidRPr="006C44E3">
        <w:rPr>
          <w:rtl/>
        </w:rPr>
        <w:t>היסוד קביעה באשר לאופן שבו הכנסת רשאית להפעיל את סמכויותיה לחוקק חוקי-יסוד</w:t>
      </w:r>
      <w:r w:rsidRPr="006C44E3">
        <w:rPr>
          <w:rFonts w:hint="cs"/>
          <w:rtl/>
        </w:rPr>
        <w:t xml:space="preserve">; </w:t>
      </w:r>
      <w:r w:rsidRPr="006C44E3">
        <w:rPr>
          <w:rtl/>
        </w:rPr>
        <w:t xml:space="preserve">מאידך גיסא, דוקטרינת ה"שימוש לרעה" </w:t>
      </w:r>
      <w:r w:rsidRPr="006C44E3">
        <w:rPr>
          <w:rFonts w:hint="cs"/>
          <w:rtl/>
        </w:rPr>
        <w:t xml:space="preserve">או ה"תיקון החוקתי הלא חוקתי" </w:t>
      </w:r>
      <w:r w:rsidRPr="006C44E3">
        <w:rPr>
          <w:rtl/>
        </w:rPr>
        <w:t>מעוגנ</w:t>
      </w:r>
      <w:r w:rsidRPr="006C44E3">
        <w:rPr>
          <w:rFonts w:hint="cs"/>
          <w:rtl/>
        </w:rPr>
        <w:t>ו</w:t>
      </w:r>
      <w:r w:rsidRPr="006C44E3">
        <w:rPr>
          <w:rtl/>
        </w:rPr>
        <w:t>ת בפסיקת בית משפט זה</w:t>
      </w:r>
      <w:r w:rsidRPr="006C44E3">
        <w:rPr>
          <w:rFonts w:hint="cs"/>
          <w:rtl/>
        </w:rPr>
        <w:t xml:space="preserve"> בלבד</w:t>
      </w:r>
      <w:r w:rsidRPr="006C44E3">
        <w:rPr>
          <w:rtl/>
        </w:rPr>
        <w:t>.</w:t>
      </w:r>
      <w:r w:rsidRPr="006C44E3">
        <w:rPr>
          <w:rFonts w:hint="cs"/>
          <w:rtl/>
        </w:rPr>
        <w:t xml:space="preserve"> </w:t>
      </w:r>
      <w:r w:rsidRPr="006C44E3">
        <w:rPr>
          <w:rtl/>
        </w:rPr>
        <w:t xml:space="preserve">בהעדר נורמה מפורשת המגבילה את </w:t>
      </w:r>
      <w:r w:rsidRPr="006C44E3">
        <w:rPr>
          <w:rFonts w:hint="cs"/>
          <w:rtl/>
        </w:rPr>
        <w:t>סמכות</w:t>
      </w:r>
      <w:r w:rsidRPr="006C44E3">
        <w:rPr>
          <w:rtl/>
        </w:rPr>
        <w:t xml:space="preserve"> הכנסת לחוקק חוקי-יסוד, או קובעת כיצד יש להפעיל</w:t>
      </w:r>
      <w:r w:rsidRPr="006C44E3">
        <w:rPr>
          <w:rFonts w:hint="cs"/>
          <w:rtl/>
        </w:rPr>
        <w:t xml:space="preserve"> סמכויות אלו,</w:t>
      </w:r>
      <w:r w:rsidRPr="006C44E3">
        <w:rPr>
          <w:rtl/>
        </w:rPr>
        <w:t xml:space="preserve"> הרי שבהמשך </w:t>
      </w:r>
      <w:r w:rsidRPr="006C44E3">
        <w:rPr>
          <w:rFonts w:hint="cs"/>
          <w:rtl/>
        </w:rPr>
        <w:t xml:space="preserve">פיתוח דוקטרינות אלו, </w:t>
      </w:r>
      <w:r w:rsidRPr="006C44E3">
        <w:rPr>
          <w:rtl/>
        </w:rPr>
        <w:t>במסגרת ההלכה הפסוקה</w:t>
      </w:r>
      <w:r w:rsidRPr="006C44E3">
        <w:rPr>
          <w:rFonts w:hint="cs"/>
          <w:rtl/>
        </w:rPr>
        <w:t>,</w:t>
      </w:r>
      <w:r w:rsidRPr="006C44E3">
        <w:rPr>
          <w:rtl/>
        </w:rPr>
        <w:t xml:space="preserve"> יש משום היפוך היוצרות</w:t>
      </w:r>
      <w:r w:rsidRPr="006C44E3">
        <w:rPr>
          <w:rFonts w:hint="cs"/>
          <w:rtl/>
        </w:rPr>
        <w:t xml:space="preserve"> </w:t>
      </w:r>
      <w:r w:rsidRPr="006C44E3">
        <w:rPr>
          <w:rtl/>
        </w:rPr>
        <w:t>–</w:t>
      </w:r>
      <w:r w:rsidRPr="006C44E3">
        <w:rPr>
          <w:rFonts w:hint="cs"/>
          <w:rtl/>
        </w:rPr>
        <w:t xml:space="preserve"> </w:t>
      </w:r>
      <w:r w:rsidRPr="006C44E3">
        <w:rPr>
          <w:rtl/>
        </w:rPr>
        <w:t>בית המשפט הוא שמתווה את גבולות סמכות החקיקה</w:t>
      </w:r>
      <w:r w:rsidRPr="006C44E3">
        <w:rPr>
          <w:rFonts w:hint="cs"/>
          <w:rtl/>
        </w:rPr>
        <w:t xml:space="preserve"> וכינון החוקה</w:t>
      </w:r>
      <w:r w:rsidRPr="006C44E3">
        <w:rPr>
          <w:rtl/>
        </w:rPr>
        <w:t xml:space="preserve">, במקום שהמחוקק </w:t>
      </w:r>
      <w:r w:rsidRPr="006C44E3">
        <w:rPr>
          <w:rFonts w:hint="cs"/>
          <w:rtl/>
        </w:rPr>
        <w:t xml:space="preserve">והמכונן </w:t>
      </w:r>
      <w:r w:rsidRPr="006C44E3">
        <w:rPr>
          <w:rtl/>
        </w:rPr>
        <w:t>יתו</w:t>
      </w:r>
      <w:r w:rsidRPr="006C44E3">
        <w:rPr>
          <w:rFonts w:hint="cs"/>
          <w:rtl/>
        </w:rPr>
        <w:t>ו</w:t>
      </w:r>
      <w:r w:rsidRPr="006C44E3">
        <w:rPr>
          <w:rtl/>
        </w:rPr>
        <w:t xml:space="preserve"> את גבולות סמכות השיפוט</w:t>
      </w:r>
      <w:r w:rsidRPr="006C44E3">
        <w:rPr>
          <w:rFonts w:hint="cs"/>
          <w:rtl/>
        </w:rPr>
        <w:t xml:space="preserve"> (עניין </w:t>
      </w:r>
      <w:r w:rsidRPr="006C44E3">
        <w:rPr>
          <w:rFonts w:ascii="Century" w:hAnsi="Century" w:cs="Miriam" w:hint="cs"/>
          <w:b/>
          <w:spacing w:val="0"/>
          <w:sz w:val="22"/>
          <w:szCs w:val="24"/>
          <w:rtl/>
        </w:rPr>
        <w:t>שפיר</w:t>
      </w:r>
      <w:r w:rsidRPr="006C44E3">
        <w:rPr>
          <w:rFonts w:hint="cs"/>
          <w:rtl/>
        </w:rPr>
        <w:t>, פסקה 9 לחוות דעתי)</w:t>
      </w:r>
      <w:r w:rsidRPr="006C44E3">
        <w:rPr>
          <w:rtl/>
        </w:rPr>
        <w:t>.</w:t>
      </w:r>
      <w:r w:rsidRPr="006C44E3">
        <w:rPr>
          <w:rFonts w:hint="cs"/>
          <w:rtl/>
        </w:rPr>
        <w:t xml:space="preserve"> היכן שהמכונן אינו מצליח לגבש הסדר חוקתי יציר כפיה של הכנסת, מבוקש כי אנו נשלים את החסר. אולם, כפי שהוספתי ונימקתי בעניין </w:t>
      </w:r>
      <w:r w:rsidRPr="006C44E3">
        <w:rPr>
          <w:rFonts w:ascii="Century" w:hAnsi="Century" w:cs="Miriam" w:hint="cs"/>
          <w:b/>
          <w:spacing w:val="0"/>
          <w:sz w:val="22"/>
          <w:szCs w:val="24"/>
          <w:rtl/>
        </w:rPr>
        <w:t>שפיר</w:t>
      </w:r>
      <w:r w:rsidRPr="006C44E3">
        <w:rPr>
          <w:rFonts w:hint="cs"/>
          <w:rtl/>
        </w:rPr>
        <w:t>:</w:t>
      </w:r>
    </w:p>
    <w:p w:rsidR="00AF4803" w:rsidRPr="006C44E3" w:rsidRDefault="00AF4803" w:rsidP="00AF4803">
      <w:pPr>
        <w:pStyle w:val="Ruller41"/>
        <w:rPr>
          <w:rtl/>
        </w:rPr>
      </w:pPr>
    </w:p>
    <w:p w:rsidR="00AF4803" w:rsidRPr="006C44E3" w:rsidRDefault="00AF4803" w:rsidP="00AF4803">
      <w:pPr>
        <w:pStyle w:val="Ruller5"/>
        <w:rPr>
          <w:rtl/>
        </w:rPr>
      </w:pPr>
      <w:r w:rsidRPr="006C44E3">
        <w:rPr>
          <w:rFonts w:hint="cs"/>
          <w:rtl/>
        </w:rPr>
        <w:t>"</w:t>
      </w:r>
      <w:r w:rsidRPr="006C44E3">
        <w:rPr>
          <w:rtl/>
        </w:rPr>
        <w:t>לגישתי, הכרעה כה חשובה צריכה להתקבל על ידי הציבור ונציגיו הנבחרים, תוך ראייה כוללת באשר לתפקידו ומקומו של בית משפט זה להעביר ביקורת שיפוטית על חוקי היסוד</w:t>
      </w:r>
      <w:r w:rsidRPr="006C44E3">
        <w:rPr>
          <w:rFonts w:hint="cs"/>
          <w:rtl/>
        </w:rPr>
        <w:t xml:space="preserve"> [...]</w:t>
      </w:r>
    </w:p>
    <w:p w:rsidR="00AF4803" w:rsidRPr="006C44E3" w:rsidRDefault="00AF4803" w:rsidP="00AF4803">
      <w:pPr>
        <w:pStyle w:val="Ruller5"/>
        <w:rPr>
          <w:rtl/>
        </w:rPr>
      </w:pPr>
      <w:r w:rsidRPr="006C44E3">
        <w:rPr>
          <w:rtl/>
        </w:rPr>
        <w:t>קשה להלום כי בית משפט זה ייטול לעצמו סמכות לבקר את ההצדקות לחקיקת חוק-יסוד, והוא שיקבע ויאמר את המילה האחרונה באשר לשאלה אם ראוי להכליל בחוקה הכתובה של המדינה הוראה זו או אחרת – ואילו לנבחרי הציבור לא תהא שום אפשרות להשיג על כך.</w:t>
      </w:r>
    </w:p>
    <w:p w:rsidR="00AF4803" w:rsidRPr="006C44E3" w:rsidRDefault="00AF4803" w:rsidP="00AF4803">
      <w:pPr>
        <w:pStyle w:val="Ruller5"/>
        <w:rPr>
          <w:rtl/>
        </w:rPr>
      </w:pPr>
      <w:r w:rsidRPr="006C44E3">
        <w:rPr>
          <w:rtl/>
        </w:rPr>
        <w:t>יש שיאמרו כי בראייה ארוכת טווח, גישה מעין זו המבקשת להעניק לבית המשפט עוד ועוד סמכויות, כאשר הגבולות לכוחו הולכים ומטשטשים, תביא לפגיעה</w:t>
      </w:r>
      <w:r w:rsidRPr="006C44E3">
        <w:rPr>
          <w:rFonts w:hint="cs"/>
          <w:rtl/>
        </w:rPr>
        <w:t xml:space="preserve"> </w:t>
      </w:r>
      <w:r w:rsidRPr="006C44E3">
        <w:rPr>
          <w:rtl/>
        </w:rPr>
        <w:t xml:space="preserve">באמון הציבור בו – ולבסוף גם להחרפת השחיקה בציות להכרעותיו </w:t>
      </w:r>
      <w:r w:rsidRPr="006C44E3">
        <w:rPr>
          <w:rFonts w:hint="cs"/>
          <w:rtl/>
        </w:rPr>
        <w:t>[...]</w:t>
      </w:r>
    </w:p>
    <w:p w:rsidR="00AF4803" w:rsidRPr="006C44E3" w:rsidRDefault="00AF4803" w:rsidP="00AF4803">
      <w:pPr>
        <w:pStyle w:val="Ruller5"/>
        <w:rPr>
          <w:rtl/>
        </w:rPr>
      </w:pPr>
      <w:r w:rsidRPr="006C44E3">
        <w:rPr>
          <w:rFonts w:hint="cs"/>
          <w:rtl/>
        </w:rPr>
        <w:t xml:space="preserve">[...] </w:t>
      </w:r>
      <w:r w:rsidRPr="006C44E3">
        <w:rPr>
          <w:rtl/>
        </w:rPr>
        <w:t xml:space="preserve">אף אם נלך בדרכו של בית משפט זה בעניין </w:t>
      </w:r>
      <w:r w:rsidRPr="006C44E3">
        <w:rPr>
          <w:rFonts w:ascii="Century" w:hAnsi="Century" w:cs="Miriam"/>
          <w:b/>
          <w:spacing w:val="0"/>
          <w:szCs w:val="24"/>
          <w:rtl/>
        </w:rPr>
        <w:t>המרכז האקדמי</w:t>
      </w:r>
      <w:r w:rsidRPr="006C44E3">
        <w:rPr>
          <w:rtl/>
        </w:rPr>
        <w:t xml:space="preserve"> או בדרכה של הנשיאה בחוות דעתה בעתירות שלפנינו, ונאמץ גישה אשר לפיה במקרים מסוימים ניתן לקבוע כי הכנסת עשתה </w:t>
      </w:r>
      <w:r w:rsidRPr="006C44E3">
        <w:rPr>
          <w:rFonts w:hint="cs"/>
          <w:rtl/>
        </w:rPr>
        <w:t>'</w:t>
      </w:r>
      <w:r w:rsidRPr="006C44E3">
        <w:rPr>
          <w:rtl/>
        </w:rPr>
        <w:t>שימוש לרעה</w:t>
      </w:r>
      <w:r w:rsidRPr="006C44E3">
        <w:rPr>
          <w:rFonts w:hint="cs"/>
          <w:rtl/>
        </w:rPr>
        <w:t>'</w:t>
      </w:r>
      <w:r w:rsidRPr="006C44E3">
        <w:rPr>
          <w:rtl/>
        </w:rPr>
        <w:t xml:space="preserve"> בסמכותה כרשות מכוננת – הרי שלטעמי יש להותיר זאת למקרים חריגים וקיצוניים בלבד, שבהם הדבר עלול לפגוע בזכויות היסוד של הפרט, וכמוצא אחרון בלבד</w:t>
      </w:r>
      <w:r w:rsidRPr="006C44E3">
        <w:rPr>
          <w:rFonts w:hint="cs"/>
          <w:rtl/>
        </w:rPr>
        <w:t xml:space="preserve">" (שם, בפסקאות 10-9). </w:t>
      </w:r>
    </w:p>
    <w:p w:rsidR="00AF4803" w:rsidRPr="006C44E3" w:rsidRDefault="00AF4803" w:rsidP="00AF4803">
      <w:pPr>
        <w:pStyle w:val="Ruller41"/>
      </w:pPr>
    </w:p>
    <w:p w:rsidR="00AF4803" w:rsidRPr="006C44E3" w:rsidRDefault="00AF4803" w:rsidP="00AF4803">
      <w:pPr>
        <w:pStyle w:val="Ruller4"/>
        <w:numPr>
          <w:ilvl w:val="0"/>
          <w:numId w:val="0"/>
        </w:numPr>
        <w:rPr>
          <w:rtl/>
        </w:rPr>
      </w:pPr>
      <w:r w:rsidRPr="006C44E3">
        <w:rPr>
          <w:rtl/>
        </w:rPr>
        <w:tab/>
      </w:r>
      <w:r w:rsidRPr="006C44E3">
        <w:rPr>
          <w:rFonts w:hint="cs"/>
          <w:rtl/>
        </w:rPr>
        <w:t xml:space="preserve">כך סברתי לפני מספר שנים, ונותרתי איתן בדעתי </w:t>
      </w:r>
      <w:r w:rsidRPr="006C44E3">
        <w:rPr>
          <w:rtl/>
        </w:rPr>
        <w:t>–</w:t>
      </w:r>
      <w:r w:rsidRPr="006C44E3">
        <w:rPr>
          <w:rFonts w:hint="cs"/>
          <w:rtl/>
        </w:rPr>
        <w:t xml:space="preserve"> הן ביחס לכלל, הן לאפשרות קיומו של חריג צר המתייחס רק ל</w:t>
      </w:r>
      <w:r w:rsidRPr="006C44E3">
        <w:rPr>
          <w:rtl/>
        </w:rPr>
        <w:t xml:space="preserve">מקרים חריגים וקיצוניים </w:t>
      </w:r>
      <w:r w:rsidRPr="006C44E3">
        <w:rPr>
          <w:rFonts w:hint="cs"/>
          <w:rtl/>
        </w:rPr>
        <w:t>של</w:t>
      </w:r>
      <w:r w:rsidRPr="006C44E3">
        <w:rPr>
          <w:rtl/>
        </w:rPr>
        <w:t xml:space="preserve"> </w:t>
      </w:r>
      <w:r w:rsidRPr="006C44E3">
        <w:rPr>
          <w:rFonts w:hint="cs"/>
          <w:rtl/>
        </w:rPr>
        <w:t>פגיעה</w:t>
      </w:r>
      <w:r w:rsidRPr="006C44E3">
        <w:rPr>
          <w:rtl/>
        </w:rPr>
        <w:t xml:space="preserve"> בזכויות היסוד של הפרט</w:t>
      </w:r>
      <w:r w:rsidRPr="006C44E3">
        <w:rPr>
          <w:rFonts w:hint="cs"/>
          <w:rtl/>
        </w:rPr>
        <w:t xml:space="preserve"> </w:t>
      </w:r>
      <w:r w:rsidRPr="006C44E3">
        <w:rPr>
          <w:rFonts w:ascii="Century" w:hAnsi="Century" w:cs="Miriam"/>
          <w:b/>
          <w:spacing w:val="0"/>
          <w:sz w:val="22"/>
          <w:szCs w:val="24"/>
          <w:rtl/>
        </w:rPr>
        <w:t>וכמוצא אחרון בלבד</w:t>
      </w:r>
      <w:r w:rsidRPr="006C44E3">
        <w:rPr>
          <w:rFonts w:hint="cs"/>
          <w:rtl/>
        </w:rPr>
        <w:t xml:space="preserve">. </w:t>
      </w:r>
    </w:p>
    <w:p w:rsidR="00AF4803" w:rsidRPr="006C44E3" w:rsidRDefault="00AF4803" w:rsidP="00AF4803">
      <w:pPr>
        <w:pStyle w:val="Ruller4"/>
        <w:numPr>
          <w:ilvl w:val="0"/>
          <w:numId w:val="0"/>
        </w:numPr>
        <w:rPr>
          <w:rtl/>
        </w:rPr>
      </w:pPr>
    </w:p>
    <w:p w:rsidR="00AF4803" w:rsidRPr="006C44E3" w:rsidRDefault="00AF4803" w:rsidP="00AF4803">
      <w:pPr>
        <w:pStyle w:val="Ruller4"/>
        <w:rPr>
          <w:rtl/>
        </w:rPr>
      </w:pPr>
      <w:r w:rsidRPr="006C44E3">
        <w:rPr>
          <w:rFonts w:hint="cs"/>
          <w:rtl/>
        </w:rPr>
        <w:t xml:space="preserve">אם כן, המשוכה המוצבת לפני העותרים היא גבוהה ביותר. ייתכן שבלתי עבירה. אולם, חברתי הנשיאה (בדימ') מסבירה בהרחבה על אודות הקשיים שבמבנה החוקתי </w:t>
      </w:r>
      <w:r w:rsidRPr="006C44E3">
        <w:rPr>
          <w:rFonts w:hint="cs"/>
          <w:rtl/>
        </w:rPr>
        <w:lastRenderedPageBreak/>
        <w:t xml:space="preserve">הקיים, כמו גם על הייחודיות של המצב המשטרי בישראל. בנסיבות אלו קיים, לשיטתה, צורך בבית משפט זה כ"גורם א-פוליטי, אשר ישמש כ'בלם חיצוני'" (פסקה 85 לחוות דעתה). בראייתי, פתרון זה לאו פתרון הוא: יש בו כדי לשאוב סמכויות נוספות לרשות השופטת ולעצב מבנה חוקתי לקוי שלפיו בית משפט זה, בשבתו כבית המשפט הגבוה לצדק, לא יוגבל לפסילת חקיקה ראשית מכוח חוקי היסוד, אלא יהא בכוחו לעצב את חוקת מדינת ישראל. אותה חוקה ממנה הוא שואב את סמכויותיו. </w:t>
      </w:r>
    </w:p>
    <w:p w:rsidR="00AF4803" w:rsidRPr="006C44E3" w:rsidRDefault="00AF4803" w:rsidP="00AF4803">
      <w:pPr>
        <w:pStyle w:val="Ruller41"/>
        <w:rPr>
          <w:rtl/>
        </w:rPr>
      </w:pPr>
    </w:p>
    <w:p w:rsidR="00AF4803" w:rsidRPr="006C44E3" w:rsidRDefault="00AF4803" w:rsidP="00AF4803">
      <w:pPr>
        <w:pStyle w:val="Ruller4"/>
      </w:pPr>
      <w:r w:rsidRPr="006C44E3">
        <w:rPr>
          <w:rFonts w:hint="cs"/>
          <w:rtl/>
        </w:rPr>
        <w:t>הקושי בעמדה זו מתחדד אל מול מסקנת חוות דעתה של חברתי. בחלקה הראשון של חוות דעתה, נקבע כי בית משפט זה מוסמך לקיים ביקורת שיפוטית על תוכנם של חוקי היסוד וכי מקום בו נפגע "הלב הפועם של 'החוקה נוסח ישראל'" (פסקה 96 לחוות דעתה), בית משפט זה רשאי להכריז על בטלות חוק-יסוד. בחלקה השני, מוסבר כיצד תיקון מס' 3 מהווה פגיעה שכזו, ודינו בטלות. מסקנתה בשלב השני רק ממחישה היטב את הבעייתיות הרבה בכך שבית משפט זה יעביר תחת שבט ביקורתו חוקי יסוד, מכוחם של מונחים עמומים ורחבים ועקרונות כלליים. לפי גישה זו, עילת הסבירות, אשר קשה לחלוק כי הלכה והתרחבה באופן משמעותי במרוצת השנים, היא-היא שניצבת בלב הדמוקרטיה הישראלית, עד כדי כך שהיא הנושאת על כתפיה את עקרון הפרדת הרשויות ועקרון שלטון החוק.</w:t>
      </w:r>
    </w:p>
    <w:p w:rsidR="00AF4803" w:rsidRPr="006C44E3" w:rsidRDefault="00AF4803" w:rsidP="00AF4803">
      <w:pPr>
        <w:pStyle w:val="Ruller4"/>
        <w:numPr>
          <w:ilvl w:val="0"/>
          <w:numId w:val="0"/>
        </w:numPr>
        <w:rPr>
          <w:rtl/>
        </w:rPr>
      </w:pPr>
    </w:p>
    <w:p w:rsidR="00AF4803" w:rsidRPr="006C44E3" w:rsidRDefault="00AF4803" w:rsidP="00AF4803">
      <w:pPr>
        <w:pStyle w:val="Ruller4"/>
        <w:numPr>
          <w:ilvl w:val="0"/>
          <w:numId w:val="0"/>
        </w:numPr>
      </w:pPr>
      <w:r w:rsidRPr="006C44E3">
        <w:rPr>
          <w:rtl/>
        </w:rPr>
        <w:tab/>
      </w:r>
      <w:r w:rsidRPr="006C44E3">
        <w:rPr>
          <w:rFonts w:hint="cs"/>
          <w:rtl/>
        </w:rPr>
        <w:t xml:space="preserve">רואה אני לציין כי לפני זמן לא רב, בעניין </w:t>
      </w:r>
      <w:r w:rsidRPr="006C44E3">
        <w:rPr>
          <w:rFonts w:ascii="Century" w:hAnsi="Century" w:cs="Miriam" w:hint="cs"/>
          <w:b/>
          <w:spacing w:val="0"/>
          <w:sz w:val="22"/>
          <w:szCs w:val="24"/>
          <w:rtl/>
        </w:rPr>
        <w:t>רותם</w:t>
      </w:r>
      <w:r w:rsidRPr="006C44E3">
        <w:rPr>
          <w:rFonts w:hint="cs"/>
          <w:rtl/>
        </w:rPr>
        <w:t xml:space="preserve"> (</w:t>
      </w:r>
      <w:r w:rsidRPr="006C44E3">
        <w:rPr>
          <w:rtl/>
        </w:rPr>
        <w:t>דנ"פ 5387/20 </w:t>
      </w:r>
      <w:r w:rsidRPr="006C44E3">
        <w:rPr>
          <w:rFonts w:ascii="Century" w:hAnsi="Century" w:cs="Miriam"/>
          <w:b/>
          <w:spacing w:val="0"/>
          <w:sz w:val="22"/>
          <w:szCs w:val="24"/>
          <w:rtl/>
        </w:rPr>
        <w:t>רותם נ' מדינת ישראל</w:t>
      </w:r>
      <w:r w:rsidRPr="006C44E3">
        <w:rPr>
          <w:rtl/>
        </w:rPr>
        <w:t> (15.12.2021)</w:t>
      </w:r>
      <w:r w:rsidRPr="006C44E3">
        <w:rPr>
          <w:rFonts w:hint="cs"/>
          <w:rtl/>
        </w:rPr>
        <w:t xml:space="preserve">), דנו באפשרות כי טענת חוסר סבירות תיטען מפיו של נאשם בפלילים ביחס להחלטה להעמידו לדין. באותו מקרה סברתי, ודעתי נותרה דעת מיעוט, כי יש לאפשר טענה שכזו. בדנ"פ </w:t>
      </w:r>
      <w:r w:rsidRPr="006C44E3">
        <w:rPr>
          <w:rFonts w:ascii="Century" w:hAnsi="Century" w:cs="Miriam" w:hint="cs"/>
          <w:b/>
          <w:spacing w:val="0"/>
          <w:sz w:val="22"/>
          <w:szCs w:val="24"/>
          <w:rtl/>
        </w:rPr>
        <w:t>רותם</w:t>
      </w:r>
      <w:r w:rsidRPr="006C44E3">
        <w:rPr>
          <w:rFonts w:hint="cs"/>
          <w:rtl/>
        </w:rPr>
        <w:t xml:space="preserve"> נקבע לבסוף, בדעת רוב, כי </w:t>
      </w:r>
      <w:r w:rsidRPr="006C44E3">
        <w:rPr>
          <w:rFonts w:ascii="FrankRuehl" w:hAnsi="FrankRuehl"/>
          <w:color w:val="000000"/>
          <w:sz w:val="28"/>
          <w:rtl/>
        </w:rPr>
        <w:t>אין מקום להעלות טענות בדבר אי-סבירות או אי-מידתיות הגשת כתב</w:t>
      </w:r>
      <w:r w:rsidRPr="006C44E3">
        <w:rPr>
          <w:rFonts w:ascii="FrankRuehl" w:hAnsi="FrankRuehl" w:hint="cs"/>
          <w:color w:val="000000"/>
          <w:sz w:val="28"/>
          <w:rtl/>
        </w:rPr>
        <w:t xml:space="preserve"> </w:t>
      </w:r>
      <w:r w:rsidRPr="006C44E3">
        <w:rPr>
          <w:rFonts w:ascii="FrankRuehl" w:hAnsi="FrankRuehl"/>
          <w:color w:val="000000"/>
          <w:sz w:val="28"/>
          <w:rtl/>
        </w:rPr>
        <w:t>אישום</w:t>
      </w:r>
      <w:r w:rsidRPr="006C44E3">
        <w:rPr>
          <w:rFonts w:ascii="FrankRuehl" w:hAnsi="FrankRuehl" w:hint="cs"/>
          <w:color w:val="000000"/>
          <w:sz w:val="28"/>
          <w:rtl/>
        </w:rPr>
        <w:t>. חלף זאת,</w:t>
      </w:r>
      <w:r w:rsidRPr="006C44E3">
        <w:rPr>
          <w:rFonts w:ascii="FrankRuehl" w:hAnsi="FrankRuehl"/>
          <w:color w:val="000000"/>
          <w:sz w:val="28"/>
          <w:rtl/>
        </w:rPr>
        <w:t xml:space="preserve"> ניתן לטעון כי בהגשת כתב האישום יש משום "סתירה מהותית לעקרונות של צדק והגינות משפטית</w:t>
      </w:r>
      <w:r w:rsidRPr="006C44E3">
        <w:rPr>
          <w:rFonts w:ascii="FrankRuehl" w:hAnsi="FrankRuehl"/>
          <w:color w:val="000000"/>
          <w:sz w:val="28"/>
        </w:rPr>
        <w:t>"</w:t>
      </w:r>
      <w:r w:rsidRPr="006C44E3">
        <w:rPr>
          <w:rFonts w:hint="cs"/>
          <w:rtl/>
        </w:rPr>
        <w:t xml:space="preserve">. באותו מקרה, המובחן מענייננו, לא שפר גורלה של "עילת הסבירות". ער אני בהחלט להבדלים שבין הסוגיות, אולם ניכר הוא כי דעת הרוב לא ראתה קושי לוותר על עילת הסבירות באותו ההקשר ולהחליפה בטרמינולוגיה שונה. </w:t>
      </w:r>
    </w:p>
    <w:p w:rsidR="00AF4803" w:rsidRPr="006C44E3" w:rsidRDefault="00AF4803" w:rsidP="00AF4803">
      <w:pPr>
        <w:pStyle w:val="Ruller41"/>
        <w:rPr>
          <w:rtl/>
        </w:rPr>
      </w:pPr>
    </w:p>
    <w:p w:rsidR="00AF4803" w:rsidRPr="006C44E3" w:rsidRDefault="00AF4803" w:rsidP="00AF4803">
      <w:pPr>
        <w:pStyle w:val="Ruller41"/>
        <w:rPr>
          <w:rtl/>
        </w:rPr>
      </w:pPr>
      <w:r w:rsidRPr="006C44E3">
        <w:rPr>
          <w:rtl/>
        </w:rPr>
        <w:tab/>
      </w:r>
      <w:r w:rsidRPr="006C44E3">
        <w:rPr>
          <w:rFonts w:hint="cs"/>
          <w:rtl/>
        </w:rPr>
        <w:t xml:space="preserve">רוצה לומר: אם הצמצום שנעשה בעילת הסבירות במסגרת תיקון מס' 3, עומד במבחן אותו קבעה חברתי, הרי שהפתח שנפער להתערבותו של בית משפט זה בחוקי יסוד אינו צר כלל וכלל. לו תתקבל עמדה שכזו, נמצא עצמנו בפתח עידן שבו לבית משפט זה יוגשו עתירות רבות המבקשות לבטל או לשנות חוק-יסוד כזה או אחר, בשמם של אותם עקרונות רחבים ועמומים כעקרון הפרדת הרשויות ועקרון שלטון החוק. מכאן ועד לכך שבית משפט זה הוא שייטול את המושכות בעיצוב חוקת מדינת ישראל </w:t>
      </w:r>
      <w:r w:rsidRPr="006C44E3">
        <w:rPr>
          <w:rtl/>
        </w:rPr>
        <w:t>–</w:t>
      </w:r>
      <w:r w:rsidRPr="006C44E3">
        <w:rPr>
          <w:rFonts w:hint="cs"/>
          <w:rtl/>
        </w:rPr>
        <w:t xml:space="preserve"> הדרך </w:t>
      </w:r>
      <w:r w:rsidRPr="006C44E3">
        <w:rPr>
          <w:rFonts w:hint="cs"/>
          <w:rtl/>
        </w:rPr>
        <w:lastRenderedPageBreak/>
        <w:t xml:space="preserve">קצרה, ואל לנו לצעוד באותה דרך. מי שמוסמך לעצב את חוקת המדינה הוא העם באמצעות נבחריו. נטילת ולו מקצת מסמכות זו מידי העם ללא הסמכה מפורשת במסגרת הסדר חוקתי רחב, היא זו המהווה פגיעה משמעותית בעקרון הפרדת הרשויות; והיא זו אשר מכרסמת ביסודותיה הדמוקרטיים של המדינה. </w:t>
      </w:r>
    </w:p>
    <w:p w:rsidR="00AF4803" w:rsidRPr="006C44E3" w:rsidRDefault="00AF4803" w:rsidP="00AF4803">
      <w:pPr>
        <w:pStyle w:val="Ruller41"/>
      </w:pPr>
    </w:p>
    <w:p w:rsidR="00AF4803" w:rsidRPr="006C44E3" w:rsidRDefault="00AF4803" w:rsidP="00AF4803">
      <w:pPr>
        <w:pStyle w:val="Ruller4"/>
      </w:pPr>
      <w:r w:rsidRPr="006C44E3">
        <w:rPr>
          <w:rFonts w:hint="cs"/>
          <w:rtl/>
        </w:rPr>
        <w:t xml:space="preserve">מששבתי על עמדתי העקרונית, שלמעשה די בה כדי לנמק מדוע לטעמי יש לדחות את העתירות, הרי שגם לו הייתי נכון ללכת לפי חריג צר, כאמור בחוות דעתי בעניין </w:t>
      </w:r>
      <w:r w:rsidRPr="006C44E3">
        <w:rPr>
          <w:rFonts w:ascii="Century" w:hAnsi="Century" w:cs="Miriam" w:hint="cs"/>
          <w:b/>
          <w:spacing w:val="0"/>
          <w:sz w:val="22"/>
          <w:szCs w:val="24"/>
          <w:rtl/>
        </w:rPr>
        <w:t>שפיר</w:t>
      </w:r>
      <w:r w:rsidRPr="006C44E3">
        <w:rPr>
          <w:rFonts w:hint="cs"/>
          <w:rtl/>
        </w:rPr>
        <w:t xml:space="preserve">, במקרה שלפנינו הטענות כלפי תיקון מס' 3 אינן בשלות להכרעה </w:t>
      </w:r>
      <w:r w:rsidRPr="006C44E3">
        <w:rPr>
          <w:rtl/>
        </w:rPr>
        <w:t>–</w:t>
      </w:r>
      <w:r w:rsidRPr="006C44E3">
        <w:rPr>
          <w:rFonts w:hint="cs"/>
          <w:rtl/>
        </w:rPr>
        <w:t xml:space="preserve"> כפי שארחיב כעת. על כן, דין העתירות ממילא להידחות.</w:t>
      </w:r>
    </w:p>
    <w:p w:rsidR="00AF4803" w:rsidRPr="006C44E3" w:rsidRDefault="00AF4803" w:rsidP="00AF4803">
      <w:pPr>
        <w:pStyle w:val="Ruller4"/>
        <w:numPr>
          <w:ilvl w:val="0"/>
          <w:numId w:val="0"/>
        </w:numPr>
        <w:rPr>
          <w:rtl/>
        </w:rPr>
      </w:pPr>
    </w:p>
    <w:p w:rsidR="00AF4803" w:rsidRPr="006C44E3" w:rsidRDefault="00AF4803" w:rsidP="00AF4803">
      <w:pPr>
        <w:pStyle w:val="Ruller4"/>
        <w:numPr>
          <w:ilvl w:val="0"/>
          <w:numId w:val="0"/>
        </w:numPr>
        <w:rPr>
          <w:rtl/>
        </w:rPr>
      </w:pPr>
      <w:r w:rsidRPr="006C44E3">
        <w:rPr>
          <w:rtl/>
        </w:rPr>
        <w:tab/>
      </w:r>
      <w:r w:rsidRPr="006C44E3">
        <w:rPr>
          <w:rFonts w:hint="cs"/>
          <w:rtl/>
        </w:rPr>
        <w:t xml:space="preserve">בבסיס עמדתי ניצבת העובדה כי בעתירות נטען, בהרחבה, כיצד יש בתיקון מס' 3 כדי לפגוע פגיעה אנושה במאפייניה הדמוקרטיים של מדינת ישראל, ובפרט בשלטון החוק ובהפרדת הרשויות. להשקפתי, אין לקבל תחזיות קודרות שכאלו כעובדה מוגמרת שעל פיה יש להכריע. בשלב זה, טרם נוצקה פרשנות כלשהי לתיקון מס' 3; טרם נתבררו גבולותיו; וטרם הוצג לנו מקרה אחד שבו בית המשפט ביקש להעניק סעד אולם ידיו היו כבולות בשל תיקון מס' 3. משכך, איננו יכולים להניח כי השלכות תיקון מס' 3 תהיינה כה חמורות כפי שנטען. לא כל שכן, כאשר אנו מתבקשים, על בסיס תחזיות כאמור, לבטל סעיף מתוך חוק-יסוד. אף לשיטת הסבורים כי בידי בית משפט זה הסמכות לערוך ביקורת שיפוטית על חוקי-יסוד, התערבות מסוג זה שמורה למקרים קיצוניים ביותר, ולטעמי לא הוכח שבענייננו מדובר במקרה חריג המצדיק זאת. כעת אציג, בקצרה, את המסגרת הנורמטיבית הנדרשת, ואחריה אפנה ליישום הדברים בענייננו. </w:t>
      </w:r>
    </w:p>
    <w:p w:rsidR="00AF4803" w:rsidRPr="006C44E3" w:rsidRDefault="00AF4803" w:rsidP="00AF4803">
      <w:pPr>
        <w:pStyle w:val="Ruller41"/>
        <w:rPr>
          <w:rFonts w:ascii="Century" w:hAnsi="Century" w:cs="Miriam"/>
          <w:b/>
          <w:spacing w:val="0"/>
          <w:szCs w:val="24"/>
          <w:rtl/>
        </w:rPr>
      </w:pPr>
    </w:p>
    <w:p w:rsidR="00AF4803" w:rsidRPr="006C44E3" w:rsidRDefault="00AF4803" w:rsidP="00E942B3">
      <w:pPr>
        <w:pStyle w:val="Ruller41"/>
        <w:rPr>
          <w:rFonts w:ascii="Century" w:hAnsi="Century" w:cs="Miriam"/>
          <w:b/>
          <w:spacing w:val="0"/>
          <w:szCs w:val="24"/>
          <w:rtl/>
        </w:rPr>
      </w:pPr>
      <w:r w:rsidRPr="006C44E3">
        <w:rPr>
          <w:rFonts w:ascii="Century" w:hAnsi="Century" w:cs="Miriam" w:hint="cs"/>
          <w:b/>
          <w:spacing w:val="0"/>
          <w:szCs w:val="24"/>
          <w:rtl/>
        </w:rPr>
        <w:t xml:space="preserve">דוקטרינת הבשלות </w:t>
      </w:r>
    </w:p>
    <w:p w:rsidR="00AF4803" w:rsidRPr="006C44E3" w:rsidRDefault="00AF4803" w:rsidP="00CF42E9">
      <w:pPr>
        <w:pStyle w:val="Ruller41"/>
        <w:spacing w:line="276" w:lineRule="auto"/>
      </w:pPr>
    </w:p>
    <w:p w:rsidR="00AF4803" w:rsidRPr="006C44E3" w:rsidRDefault="00AF4803" w:rsidP="00E942B3">
      <w:pPr>
        <w:pStyle w:val="Ruller4"/>
      </w:pPr>
      <w:r w:rsidRPr="006C44E3">
        <w:rPr>
          <w:rFonts w:hint="cs"/>
          <w:rtl/>
        </w:rPr>
        <w:t xml:space="preserve">דוקטרינת ה"בעיה הבלתי בשלה", המכונה "דוקטרינת הבשלות", עניינה עיתוי הכרעת בית המשפט בשאלות חוקתיות המובאות לפניו. דוקטרינה זו </w:t>
      </w:r>
      <w:r w:rsidRPr="006C44E3">
        <w:rPr>
          <w:rtl/>
        </w:rPr>
        <w:t xml:space="preserve">חוסה תחת המטריה הרחבה של משפחת עילות הסף </w:t>
      </w:r>
      <w:r w:rsidRPr="006C44E3">
        <w:rPr>
          <w:rFonts w:hint="cs"/>
          <w:rtl/>
        </w:rPr>
        <w:t>ו</w:t>
      </w:r>
      <w:r w:rsidRPr="006C44E3">
        <w:rPr>
          <w:rtl/>
        </w:rPr>
        <w:t xml:space="preserve">ניתן לראות </w:t>
      </w:r>
      <w:r w:rsidRPr="006C44E3">
        <w:rPr>
          <w:rFonts w:hint="cs"/>
          <w:rtl/>
        </w:rPr>
        <w:t>בה</w:t>
      </w:r>
      <w:r w:rsidRPr="006C44E3">
        <w:rPr>
          <w:rtl/>
        </w:rPr>
        <w:t xml:space="preserve"> מקרה פרטי של עילת הסף בדבר</w:t>
      </w:r>
      <w:r w:rsidRPr="006C44E3">
        <w:rPr>
          <w:rFonts w:hint="cs"/>
          <w:rtl/>
        </w:rPr>
        <w:t xml:space="preserve"> היות</w:t>
      </w:r>
      <w:r w:rsidRPr="006C44E3">
        <w:rPr>
          <w:rtl/>
        </w:rPr>
        <w:t xml:space="preserve"> העתירה מוקדמת</w:t>
      </w:r>
      <w:r w:rsidRPr="006C44E3">
        <w:rPr>
          <w:rFonts w:hint="cs"/>
          <w:rtl/>
        </w:rPr>
        <w:t xml:space="preserve"> (</w:t>
      </w:r>
      <w:r w:rsidRPr="006C44E3">
        <w:rPr>
          <w:rtl/>
        </w:rPr>
        <w:t xml:space="preserve">בג"ץ 2311/11 </w:t>
      </w:r>
      <w:r w:rsidRPr="006C44E3">
        <w:rPr>
          <w:rFonts w:ascii="Century" w:hAnsi="Century" w:cs="Miriam"/>
          <w:b/>
          <w:spacing w:val="0"/>
          <w:sz w:val="22"/>
          <w:szCs w:val="24"/>
          <w:rtl/>
        </w:rPr>
        <w:t>סבח נ' הכנסת</w:t>
      </w:r>
      <w:r w:rsidRPr="006C44E3">
        <w:rPr>
          <w:rFonts w:hint="cs"/>
          <w:rtl/>
        </w:rPr>
        <w:t xml:space="preserve">, פסקה 11 לחוות דעתו של הנשיא </w:t>
      </w:r>
      <w:r w:rsidRPr="006C44E3">
        <w:rPr>
          <w:rFonts w:ascii="Century" w:hAnsi="Century" w:cs="Miriam" w:hint="cs"/>
          <w:b/>
          <w:spacing w:val="0"/>
          <w:sz w:val="22"/>
          <w:szCs w:val="24"/>
          <w:rtl/>
        </w:rPr>
        <w:t>א' גרוניס</w:t>
      </w:r>
      <w:r w:rsidRPr="006C44E3">
        <w:rPr>
          <w:rFonts w:hint="cs"/>
          <w:rtl/>
        </w:rPr>
        <w:t xml:space="preserve"> </w:t>
      </w:r>
      <w:r w:rsidRPr="006C44E3">
        <w:rPr>
          <w:rtl/>
        </w:rPr>
        <w:t>(17.</w:t>
      </w:r>
      <w:r w:rsidRPr="006C44E3">
        <w:rPr>
          <w:rFonts w:hint="cs"/>
          <w:rtl/>
        </w:rPr>
        <w:t>9</w:t>
      </w:r>
      <w:r w:rsidRPr="006C44E3">
        <w:rPr>
          <w:rtl/>
        </w:rPr>
        <w:t>.2014)</w:t>
      </w:r>
      <w:r w:rsidRPr="006C44E3">
        <w:rPr>
          <w:rFonts w:hint="cs"/>
          <w:rtl/>
        </w:rPr>
        <w:t xml:space="preserve"> (להלן: עניין </w:t>
      </w:r>
      <w:r w:rsidRPr="006C44E3">
        <w:rPr>
          <w:rFonts w:ascii="Century" w:hAnsi="Century" w:cs="Miriam" w:hint="cs"/>
          <w:b/>
          <w:spacing w:val="0"/>
          <w:sz w:val="22"/>
          <w:szCs w:val="24"/>
          <w:rtl/>
        </w:rPr>
        <w:t>סבח</w:t>
      </w:r>
      <w:r w:rsidRPr="006C44E3">
        <w:rPr>
          <w:rFonts w:hint="cs"/>
          <w:rtl/>
        </w:rPr>
        <w:t>)). בהתאם לדוקטרינה זו, בית המשפט הגבוה לצדק רשאי לדחות עתירה נגד חוקתיות חוק, כאשר אין בפניו מערכת עובדות קונקרטית אשר לאורה ניתן לבחון את הטענות המשפטיות נגד אותו החוק (</w:t>
      </w:r>
      <w:r w:rsidRPr="006C44E3">
        <w:rPr>
          <w:rtl/>
        </w:rPr>
        <w:t xml:space="preserve">אריאל בנדור וטל סלע "שיקול דעת שיפוטי: העידן השלישי" </w:t>
      </w:r>
      <w:r w:rsidRPr="006C44E3">
        <w:rPr>
          <w:rFonts w:ascii="Century" w:hAnsi="Century" w:cs="Miriam"/>
          <w:b/>
          <w:spacing w:val="0"/>
          <w:sz w:val="22"/>
          <w:szCs w:val="24"/>
          <w:rtl/>
        </w:rPr>
        <w:t>משפטים</w:t>
      </w:r>
      <w:r w:rsidRPr="006C44E3">
        <w:rPr>
          <w:rtl/>
        </w:rPr>
        <w:t xml:space="preserve"> מו 605, </w:t>
      </w:r>
      <w:r w:rsidRPr="006C44E3">
        <w:rPr>
          <w:rFonts w:hint="cs"/>
          <w:rtl/>
        </w:rPr>
        <w:t xml:space="preserve">630 </w:t>
      </w:r>
      <w:r w:rsidRPr="006C44E3">
        <w:rPr>
          <w:rtl/>
        </w:rPr>
        <w:t>(</w:t>
      </w:r>
      <w:r w:rsidRPr="006C44E3">
        <w:rPr>
          <w:rFonts w:hint="cs"/>
          <w:rtl/>
        </w:rPr>
        <w:t>2017</w:t>
      </w:r>
      <w:r w:rsidRPr="006C44E3">
        <w:rPr>
          <w:rtl/>
        </w:rPr>
        <w:t>)</w:t>
      </w:r>
      <w:r w:rsidRPr="006C44E3">
        <w:rPr>
          <w:rFonts w:hint="cs"/>
          <w:rtl/>
        </w:rPr>
        <w:t xml:space="preserve">). </w:t>
      </w:r>
    </w:p>
    <w:p w:rsidR="00AF4803" w:rsidRPr="006C44E3" w:rsidRDefault="00AF4803" w:rsidP="00AF4803">
      <w:pPr>
        <w:pStyle w:val="Ruller4"/>
        <w:numPr>
          <w:ilvl w:val="0"/>
          <w:numId w:val="0"/>
        </w:numPr>
        <w:rPr>
          <w:rtl/>
        </w:rPr>
      </w:pPr>
    </w:p>
    <w:p w:rsidR="00AF4803" w:rsidRPr="006C44E3" w:rsidRDefault="00AF4803" w:rsidP="00AF4803">
      <w:pPr>
        <w:pStyle w:val="Ruller4"/>
        <w:numPr>
          <w:ilvl w:val="0"/>
          <w:numId w:val="0"/>
        </w:numPr>
      </w:pPr>
      <w:r w:rsidRPr="006C44E3">
        <w:rPr>
          <w:rtl/>
        </w:rPr>
        <w:lastRenderedPageBreak/>
        <w:tab/>
      </w:r>
      <w:r w:rsidRPr="006C44E3">
        <w:rPr>
          <w:rFonts w:hint="cs"/>
          <w:rtl/>
        </w:rPr>
        <w:t xml:space="preserve">עילת סף זו, לצד עילות סף נוספות, אינה קבועה בחוק. מדובר ביצירה שיפוטית המבוססת על סמכותו של בית המשפט הגבוה לצדק לדון בעניינים </w:t>
      </w:r>
      <w:r w:rsidRPr="006C44E3">
        <w:rPr>
          <w:rtl/>
        </w:rPr>
        <w:t>שהוא רואה צורך לתת בהם סעד למען הצדק ואשר אינם בסמכותו של בית משפט אחר</w:t>
      </w:r>
      <w:r w:rsidRPr="006C44E3">
        <w:rPr>
          <w:rFonts w:hint="cs"/>
          <w:rtl/>
        </w:rPr>
        <w:t>, מכוח סעיפים 15(ג) ו-(ד) לחוק יסוד: השפיטה (</w:t>
      </w:r>
      <w:r w:rsidRPr="006C44E3">
        <w:rPr>
          <w:rtl/>
        </w:rPr>
        <w:t>סוזי נבות "הדיאלוג החוקתי: דו-שיח בכלים מוסדיים</w:t>
      </w:r>
      <w:r w:rsidRPr="006C44E3">
        <w:rPr>
          <w:rFonts w:hint="cs"/>
          <w:rtl/>
        </w:rPr>
        <w:t xml:space="preserve">" </w:t>
      </w:r>
      <w:r w:rsidRPr="006C44E3">
        <w:rPr>
          <w:rFonts w:ascii="Century" w:hAnsi="Century" w:cs="Miriam" w:hint="cs"/>
          <w:b/>
          <w:spacing w:val="0"/>
          <w:sz w:val="22"/>
          <w:szCs w:val="24"/>
          <w:rtl/>
        </w:rPr>
        <w:t>משפטים על אתר</w:t>
      </w:r>
      <w:r w:rsidRPr="006C44E3">
        <w:rPr>
          <w:rFonts w:hint="cs"/>
          <w:rtl/>
        </w:rPr>
        <w:t xml:space="preserve"> יב 99, 122 (התשע"ט) (להלן: </w:t>
      </w:r>
      <w:r w:rsidRPr="006C44E3">
        <w:rPr>
          <w:rFonts w:ascii="Century" w:hAnsi="Century" w:cs="Miriam" w:hint="cs"/>
          <w:b/>
          <w:spacing w:val="0"/>
          <w:sz w:val="22"/>
          <w:szCs w:val="24"/>
          <w:rtl/>
        </w:rPr>
        <w:t>נבות</w:t>
      </w:r>
      <w:r w:rsidRPr="006C44E3">
        <w:rPr>
          <w:rFonts w:hint="cs"/>
          <w:rtl/>
        </w:rPr>
        <w:t xml:space="preserve">)). עילות סף מבטאות, ככלל, </w:t>
      </w:r>
      <w:r w:rsidRPr="006C44E3">
        <w:rPr>
          <w:rtl/>
        </w:rPr>
        <w:t>מגבלות עצמיות של בית המשפט על הפעלת הסמכות הנתונה לו</w:t>
      </w:r>
      <w:r w:rsidRPr="006C44E3">
        <w:rPr>
          <w:rFonts w:hint="cs"/>
          <w:rtl/>
        </w:rPr>
        <w:t xml:space="preserve"> והן מתבססות על שיקולי מדיניות משפטית (עניין </w:t>
      </w:r>
      <w:r w:rsidRPr="006C44E3">
        <w:rPr>
          <w:rFonts w:ascii="Century" w:hAnsi="Century" w:cs="Miriam" w:hint="cs"/>
          <w:b/>
          <w:spacing w:val="0"/>
          <w:sz w:val="22"/>
          <w:szCs w:val="24"/>
          <w:rtl/>
        </w:rPr>
        <w:t>סבח</w:t>
      </w:r>
      <w:r w:rsidRPr="006C44E3">
        <w:rPr>
          <w:rFonts w:hint="cs"/>
          <w:rtl/>
        </w:rPr>
        <w:t xml:space="preserve">, בפסקה 11; </w:t>
      </w:r>
      <w:r w:rsidRPr="006C44E3">
        <w:rPr>
          <w:rtl/>
        </w:rPr>
        <w:t xml:space="preserve">אמנון רייכמן </w:t>
      </w:r>
      <w:r w:rsidRPr="006C44E3">
        <w:rPr>
          <w:rFonts w:hint="cs"/>
          <w:rtl/>
        </w:rPr>
        <w:t>ו</w:t>
      </w:r>
      <w:r w:rsidRPr="006C44E3">
        <w:rPr>
          <w:rtl/>
        </w:rPr>
        <w:t>מורן ברדה מלכה "על ערכה ומיקומה של עילת מיצוי הליכים בעתירות חוקתיות</w:t>
      </w:r>
      <w:r w:rsidRPr="006C44E3">
        <w:rPr>
          <w:rFonts w:hint="cs"/>
          <w:rtl/>
        </w:rPr>
        <w:t xml:space="preserve">" </w:t>
      </w:r>
      <w:r w:rsidRPr="006C44E3">
        <w:rPr>
          <w:rFonts w:ascii="Century" w:hAnsi="Century" w:cs="Miriam" w:hint="cs"/>
          <w:b/>
          <w:spacing w:val="0"/>
          <w:sz w:val="22"/>
          <w:szCs w:val="24"/>
          <w:rtl/>
        </w:rPr>
        <w:t>ספר סלים ג'ובראן</w:t>
      </w:r>
      <w:r w:rsidRPr="006C44E3">
        <w:rPr>
          <w:rFonts w:hint="cs"/>
          <w:rtl/>
        </w:rPr>
        <w:t xml:space="preserve"> 431, 436 (אהרן ברק ואח' עורכים 2023) (להלן: </w:t>
      </w:r>
      <w:r w:rsidRPr="006C44E3">
        <w:rPr>
          <w:rFonts w:ascii="Century" w:hAnsi="Century" w:cs="Miriam" w:hint="cs"/>
          <w:b/>
          <w:spacing w:val="0"/>
          <w:sz w:val="22"/>
          <w:szCs w:val="24"/>
          <w:rtl/>
        </w:rPr>
        <w:t>רייכמן ומלכה</w:t>
      </w:r>
      <w:r w:rsidRPr="006C44E3">
        <w:rPr>
          <w:rFonts w:hint="cs"/>
          <w:rtl/>
        </w:rPr>
        <w:t>)).</w:t>
      </w:r>
    </w:p>
    <w:p w:rsidR="00AF4803" w:rsidRPr="006C44E3" w:rsidRDefault="00AF4803" w:rsidP="00AF4803">
      <w:pPr>
        <w:pStyle w:val="Ruller4"/>
        <w:numPr>
          <w:ilvl w:val="0"/>
          <w:numId w:val="0"/>
        </w:numPr>
        <w:rPr>
          <w:rtl/>
        </w:rPr>
      </w:pPr>
    </w:p>
    <w:p w:rsidR="00AF4803" w:rsidRPr="006C44E3" w:rsidRDefault="00AF4803" w:rsidP="00AF4803">
      <w:pPr>
        <w:pStyle w:val="Ruller4"/>
      </w:pPr>
      <w:r w:rsidRPr="006C44E3">
        <w:rPr>
          <w:rFonts w:hint="cs"/>
          <w:rtl/>
        </w:rPr>
        <w:t xml:space="preserve">בבסיס דוקטרינת הבשלות מצויה ההבנה כי </w:t>
      </w:r>
      <w:r w:rsidRPr="006C44E3">
        <w:rPr>
          <w:rtl/>
        </w:rPr>
        <w:t xml:space="preserve">הכרעה שיפוטית מושכלת </w:t>
      </w:r>
      <w:r w:rsidRPr="006C44E3">
        <w:rPr>
          <w:rFonts w:hint="cs"/>
          <w:rtl/>
        </w:rPr>
        <w:t xml:space="preserve">נדרשת </w:t>
      </w:r>
      <w:r w:rsidRPr="006C44E3">
        <w:rPr>
          <w:rtl/>
        </w:rPr>
        <w:t>להיות קשורה בטבורה לעובדות קונקרטיות העולות מהמקרה</w:t>
      </w:r>
      <w:r w:rsidRPr="006C44E3">
        <w:rPr>
          <w:rFonts w:hint="cs"/>
          <w:rtl/>
        </w:rPr>
        <w:t xml:space="preserve"> הנדון</w:t>
      </w:r>
      <w:r w:rsidRPr="006C44E3">
        <w:rPr>
          <w:rtl/>
        </w:rPr>
        <w:t xml:space="preserve">. דוקטרינת הבשלות </w:t>
      </w:r>
      <w:r w:rsidRPr="006C44E3">
        <w:rPr>
          <w:rFonts w:hint="cs"/>
          <w:rtl/>
        </w:rPr>
        <w:t>מאפשרת</w:t>
      </w:r>
      <w:r w:rsidRPr="006C44E3">
        <w:rPr>
          <w:rtl/>
        </w:rPr>
        <w:t xml:space="preserve"> לבית המשפט להימנע מלהכריע במחלוקות מופשטות</w:t>
      </w:r>
      <w:r w:rsidRPr="006C44E3">
        <w:rPr>
          <w:rFonts w:hint="cs"/>
          <w:rtl/>
        </w:rPr>
        <w:t xml:space="preserve"> (</w:t>
      </w:r>
      <w:r w:rsidRPr="006C44E3">
        <w:rPr>
          <w:rtl/>
        </w:rPr>
        <w:t xml:space="preserve">בג"ץ 7190/05 </w:t>
      </w:r>
      <w:r w:rsidRPr="006C44E3">
        <w:rPr>
          <w:rFonts w:ascii="Century" w:hAnsi="Century" w:cs="Miriam"/>
          <w:b/>
          <w:spacing w:val="0"/>
          <w:sz w:val="22"/>
          <w:szCs w:val="24"/>
          <w:rtl/>
        </w:rPr>
        <w:t>לובל נ' ממשלת ישראל</w:t>
      </w:r>
      <w:r w:rsidRPr="006C44E3">
        <w:rPr>
          <w:rFonts w:hint="cs"/>
          <w:rtl/>
        </w:rPr>
        <w:t xml:space="preserve">, פסקה 6 לחוות דעתה של השופטת </w:t>
      </w:r>
      <w:r w:rsidRPr="006C44E3">
        <w:rPr>
          <w:rFonts w:ascii="Century" w:hAnsi="Century" w:cs="Miriam" w:hint="cs"/>
          <w:b/>
          <w:spacing w:val="0"/>
          <w:sz w:val="22"/>
          <w:szCs w:val="24"/>
          <w:rtl/>
        </w:rPr>
        <w:t>מ' נאור</w:t>
      </w:r>
      <w:r w:rsidRPr="006C44E3">
        <w:rPr>
          <w:rtl/>
        </w:rPr>
        <w:t xml:space="preserve"> (18.</w:t>
      </w:r>
      <w:r w:rsidRPr="006C44E3">
        <w:rPr>
          <w:rFonts w:hint="cs"/>
          <w:rtl/>
        </w:rPr>
        <w:t>1</w:t>
      </w:r>
      <w:r w:rsidRPr="006C44E3">
        <w:rPr>
          <w:rtl/>
        </w:rPr>
        <w:t>.2006)</w:t>
      </w:r>
      <w:r w:rsidRPr="006C44E3">
        <w:rPr>
          <w:rFonts w:hint="cs"/>
          <w:rtl/>
        </w:rPr>
        <w:t xml:space="preserve"> (להלן: עניין </w:t>
      </w:r>
      <w:r w:rsidRPr="006C44E3">
        <w:rPr>
          <w:rFonts w:ascii="Century" w:hAnsi="Century" w:cs="Miriam" w:hint="cs"/>
          <w:b/>
          <w:spacing w:val="0"/>
          <w:sz w:val="22"/>
          <w:szCs w:val="24"/>
          <w:rtl/>
        </w:rPr>
        <w:t>לובל</w:t>
      </w:r>
      <w:r w:rsidRPr="006C44E3">
        <w:rPr>
          <w:rFonts w:hint="cs"/>
          <w:rtl/>
        </w:rPr>
        <w:t xml:space="preserve">)), ולדחות את הדיון בטענות חוקתיות למועד מאוחר יותר, באופן שעשוי אף לייתרו לחלוטין. זאת, מתוך הנחה כי </w:t>
      </w:r>
      <w:r w:rsidRPr="006C44E3">
        <w:rPr>
          <w:rtl/>
        </w:rPr>
        <w:t xml:space="preserve">אירוע מאוחר עשוי </w:t>
      </w:r>
      <w:r w:rsidRPr="006C44E3">
        <w:rPr>
          <w:rFonts w:hint="cs"/>
          <w:rtl/>
        </w:rPr>
        <w:t>להבהיר</w:t>
      </w:r>
      <w:r w:rsidRPr="006C44E3">
        <w:rPr>
          <w:rtl/>
        </w:rPr>
        <w:t xml:space="preserve"> </w:t>
      </w:r>
      <w:r w:rsidRPr="006C44E3">
        <w:rPr>
          <w:rFonts w:hint="cs"/>
          <w:rtl/>
        </w:rPr>
        <w:t xml:space="preserve">את גדר </w:t>
      </w:r>
      <w:r w:rsidRPr="006C44E3">
        <w:rPr>
          <w:rtl/>
        </w:rPr>
        <w:t>המחלוקת בין הצדדים או לייתר את הצורך בהכרעה בהיבטים מסוימים של המחלוקת</w:t>
      </w:r>
      <w:r w:rsidRPr="006C44E3">
        <w:rPr>
          <w:rFonts w:hint="cs"/>
          <w:rtl/>
        </w:rPr>
        <w:t xml:space="preserve"> (שם; </w:t>
      </w:r>
      <w:r w:rsidRPr="006C44E3">
        <w:rPr>
          <w:rtl/>
        </w:rPr>
        <w:t xml:space="preserve">ילנה צ'צ'קו "על בשלות וחוקתיות" </w:t>
      </w:r>
      <w:r w:rsidRPr="006C44E3">
        <w:rPr>
          <w:rFonts w:ascii="Century" w:hAnsi="Century" w:cs="Miriam"/>
          <w:b/>
          <w:spacing w:val="0"/>
          <w:sz w:val="22"/>
          <w:szCs w:val="24"/>
          <w:rtl/>
        </w:rPr>
        <w:t>משפטים</w:t>
      </w:r>
      <w:r w:rsidRPr="006C44E3">
        <w:rPr>
          <w:rtl/>
        </w:rPr>
        <w:t xml:space="preserve"> מג 419</w:t>
      </w:r>
      <w:r w:rsidRPr="006C44E3">
        <w:rPr>
          <w:rFonts w:hint="cs"/>
          <w:rtl/>
        </w:rPr>
        <w:t>, 435 (2012))</w:t>
      </w:r>
      <w:r w:rsidRPr="006C44E3">
        <w:rPr>
          <w:color w:val="000000"/>
          <w:sz w:val="27"/>
          <w:szCs w:val="27"/>
          <w:rtl/>
        </w:rPr>
        <w:t>.</w:t>
      </w:r>
      <w:r w:rsidRPr="006C44E3">
        <w:rPr>
          <w:rFonts w:hint="cs"/>
          <w:rtl/>
        </w:rPr>
        <w:t xml:space="preserve"> </w:t>
      </w:r>
      <w:r w:rsidRPr="006C44E3">
        <w:rPr>
          <w:rtl/>
        </w:rPr>
        <w:t xml:space="preserve">עילת הבשלות </w:t>
      </w:r>
      <w:r w:rsidRPr="006C44E3">
        <w:rPr>
          <w:rFonts w:hint="cs"/>
          <w:rtl/>
        </w:rPr>
        <w:t>מונעת</w:t>
      </w:r>
      <w:r w:rsidRPr="006C44E3">
        <w:rPr>
          <w:rtl/>
        </w:rPr>
        <w:t xml:space="preserve"> מצב </w:t>
      </w:r>
      <w:r w:rsidRPr="006C44E3">
        <w:rPr>
          <w:rFonts w:hint="cs"/>
          <w:rtl/>
        </w:rPr>
        <w:t>ש</w:t>
      </w:r>
      <w:r w:rsidRPr="006C44E3">
        <w:rPr>
          <w:rtl/>
        </w:rPr>
        <w:t xml:space="preserve">בו בית המשפט </w:t>
      </w:r>
      <w:r w:rsidRPr="006C44E3">
        <w:rPr>
          <w:rFonts w:hint="cs"/>
          <w:rtl/>
        </w:rPr>
        <w:t>נדרש להכריע</w:t>
      </w:r>
      <w:r w:rsidRPr="006C44E3">
        <w:rPr>
          <w:rtl/>
        </w:rPr>
        <w:t xml:space="preserve"> בעניין שתוצאותיו או היקף פרי</w:t>
      </w:r>
      <w:r w:rsidRPr="006C44E3">
        <w:rPr>
          <w:rFonts w:hint="cs"/>
          <w:rtl/>
        </w:rPr>
        <w:t>ס</w:t>
      </w:r>
      <w:r w:rsidRPr="006C44E3">
        <w:rPr>
          <w:rtl/>
        </w:rPr>
        <w:t>תו אינם ברורים דיים</w:t>
      </w:r>
      <w:r w:rsidRPr="006C44E3">
        <w:rPr>
          <w:rFonts w:hint="cs"/>
          <w:rtl/>
        </w:rPr>
        <w:t>; וכן מונעת</w:t>
      </w:r>
      <w:r w:rsidRPr="006C44E3">
        <w:rPr>
          <w:rtl/>
        </w:rPr>
        <w:t xml:space="preserve"> דיון משפטי בעניינים שגופים אחרים, שיפוטיים או מנהליים, יכולים </w:t>
      </w:r>
      <w:r w:rsidRPr="006C44E3">
        <w:rPr>
          <w:rFonts w:hint="cs"/>
          <w:rtl/>
        </w:rPr>
        <w:t>או צריכים</w:t>
      </w:r>
      <w:r w:rsidRPr="006C44E3">
        <w:rPr>
          <w:rtl/>
        </w:rPr>
        <w:t xml:space="preserve"> להידרש אליהם</w:t>
      </w:r>
      <w:r w:rsidRPr="006C44E3">
        <w:rPr>
          <w:rFonts w:hint="cs"/>
          <w:rtl/>
        </w:rPr>
        <w:t xml:space="preserve"> (עניין </w:t>
      </w:r>
      <w:r w:rsidRPr="006C44E3">
        <w:rPr>
          <w:rFonts w:ascii="Century" w:hAnsi="Century" w:cs="Miriam" w:hint="cs"/>
          <w:b/>
          <w:spacing w:val="0"/>
          <w:sz w:val="22"/>
          <w:szCs w:val="24"/>
          <w:rtl/>
        </w:rPr>
        <w:t>סבח</w:t>
      </w:r>
      <w:r w:rsidRPr="006C44E3">
        <w:rPr>
          <w:rFonts w:hint="cs"/>
          <w:rtl/>
        </w:rPr>
        <w:t xml:space="preserve">, בפסקה 12 לחוות דעתו של הנשיא </w:t>
      </w:r>
      <w:r w:rsidRPr="006C44E3">
        <w:rPr>
          <w:rFonts w:ascii="Century" w:hAnsi="Century" w:cs="Miriam" w:hint="cs"/>
          <w:b/>
          <w:spacing w:val="0"/>
          <w:szCs w:val="24"/>
          <w:rtl/>
        </w:rPr>
        <w:t>א' גרוניס</w:t>
      </w:r>
      <w:r w:rsidRPr="006C44E3">
        <w:rPr>
          <w:rFonts w:hint="cs"/>
          <w:rtl/>
        </w:rPr>
        <w:t xml:space="preserve">). </w:t>
      </w:r>
    </w:p>
    <w:p w:rsidR="00AF4803" w:rsidRPr="006C44E3" w:rsidRDefault="00AF4803" w:rsidP="00AF4803">
      <w:pPr>
        <w:pStyle w:val="Ruller4"/>
        <w:numPr>
          <w:ilvl w:val="0"/>
          <w:numId w:val="0"/>
        </w:numPr>
        <w:rPr>
          <w:rtl/>
        </w:rPr>
      </w:pPr>
    </w:p>
    <w:p w:rsidR="00AF4803" w:rsidRPr="006C44E3" w:rsidRDefault="00AF4803" w:rsidP="00AF4803">
      <w:pPr>
        <w:pStyle w:val="Ruller4"/>
        <w:numPr>
          <w:ilvl w:val="0"/>
          <w:numId w:val="0"/>
        </w:numPr>
      </w:pPr>
      <w:r w:rsidRPr="006C44E3">
        <w:rPr>
          <w:rtl/>
        </w:rPr>
        <w:tab/>
      </w:r>
      <w:r w:rsidRPr="006C44E3">
        <w:rPr>
          <w:rFonts w:hint="cs"/>
          <w:rtl/>
        </w:rPr>
        <w:t xml:space="preserve">על מעלותיה הנוספות של דוקטרינת הבשלות הרחיב המשנה לנשיאה </w:t>
      </w:r>
      <w:r w:rsidRPr="006C44E3">
        <w:rPr>
          <w:rFonts w:ascii="Century" w:hAnsi="Century" w:cs="Miriam" w:hint="cs"/>
          <w:b/>
          <w:spacing w:val="0"/>
          <w:sz w:val="22"/>
          <w:szCs w:val="24"/>
          <w:rtl/>
        </w:rPr>
        <w:t>א' ריבלין</w:t>
      </w:r>
      <w:r w:rsidRPr="006C44E3">
        <w:rPr>
          <w:rFonts w:hint="cs"/>
          <w:rtl/>
        </w:rPr>
        <w:t xml:space="preserve"> ב</w:t>
      </w:r>
      <w:r w:rsidRPr="006C44E3">
        <w:rPr>
          <w:rtl/>
        </w:rPr>
        <w:t>בג"ץ 3803/11 </w:t>
      </w:r>
      <w:r w:rsidRPr="006C44E3">
        <w:rPr>
          <w:rFonts w:ascii="Century" w:hAnsi="Century" w:cs="Miriam"/>
          <w:b/>
          <w:spacing w:val="0"/>
          <w:sz w:val="22"/>
          <w:szCs w:val="24"/>
          <w:rtl/>
        </w:rPr>
        <w:t>איגוד הנאמנים בשוק ההון בישראל נ' מדינת ישראל</w:t>
      </w:r>
      <w:r w:rsidRPr="006C44E3">
        <w:rPr>
          <w:rtl/>
        </w:rPr>
        <w:t> (</w:t>
      </w:r>
      <w:r w:rsidRPr="006C44E3">
        <w:rPr>
          <w:rFonts w:hint="cs"/>
          <w:rtl/>
        </w:rPr>
        <w:t>5</w:t>
      </w:r>
      <w:r w:rsidRPr="006C44E3">
        <w:rPr>
          <w:rtl/>
        </w:rPr>
        <w:t>.</w:t>
      </w:r>
      <w:r w:rsidRPr="006C44E3">
        <w:rPr>
          <w:rFonts w:hint="cs"/>
          <w:rtl/>
        </w:rPr>
        <w:t>2</w:t>
      </w:r>
      <w:r w:rsidRPr="006C44E3">
        <w:rPr>
          <w:rtl/>
        </w:rPr>
        <w:t>.2012)</w:t>
      </w:r>
      <w:r w:rsidRPr="006C44E3">
        <w:rPr>
          <w:rFonts w:hint="cs"/>
          <w:rtl/>
        </w:rPr>
        <w:t xml:space="preserve"> (להלן: עניין </w:t>
      </w:r>
      <w:r w:rsidRPr="006C44E3">
        <w:rPr>
          <w:rFonts w:ascii="Century" w:hAnsi="Century" w:cs="Miriam" w:hint="cs"/>
          <w:b/>
          <w:spacing w:val="0"/>
          <w:sz w:val="22"/>
          <w:szCs w:val="24"/>
          <w:rtl/>
        </w:rPr>
        <w:t>איגוד הנאמנים</w:t>
      </w:r>
      <w:r w:rsidRPr="006C44E3">
        <w:rPr>
          <w:rFonts w:hint="cs"/>
          <w:rtl/>
        </w:rPr>
        <w:t>):</w:t>
      </w:r>
    </w:p>
    <w:p w:rsidR="00AF4803" w:rsidRPr="006C44E3" w:rsidRDefault="00AF4803" w:rsidP="00AF4803">
      <w:pPr>
        <w:pStyle w:val="Ruller4"/>
        <w:numPr>
          <w:ilvl w:val="0"/>
          <w:numId w:val="0"/>
        </w:numPr>
        <w:rPr>
          <w:rtl/>
        </w:rPr>
      </w:pPr>
    </w:p>
    <w:p w:rsidR="00AF4803" w:rsidRPr="006C44E3" w:rsidRDefault="00AF4803" w:rsidP="00AF4803">
      <w:pPr>
        <w:pStyle w:val="Ruller5"/>
        <w:rPr>
          <w:rtl/>
        </w:rPr>
      </w:pPr>
      <w:r w:rsidRPr="006C44E3">
        <w:rPr>
          <w:rtl/>
        </w:rPr>
        <w:t>"ביסוד תורת הבשלות – כמו ביסוד דוקטרינות השפיטות האחרות עומדים עקרונות מספר: עקרון הפרדת הרשויות מוגשם מקום בו נמנעים בתי המשפט מלדון בעניינים בהם אין זה חיוני כי תבוא התערבות שיפוטית שכן המחלוקת אינה מוחשית; גם עקרון היעילות השיפוטית מוגשם באמצעות תורת הבשלות, כמו גם באמצעות תורות השפיטות האחרות, שכן אלה באות לשפר את תפקודם של בתי המשפט, ביחדן להם את הדיון באותם נושאים בהם מיטיבים בתי המשפט לתפקד – סכסוכים קונקרטיי</w:t>
      </w:r>
      <w:r w:rsidRPr="006C44E3">
        <w:rPr>
          <w:rFonts w:hint="cs"/>
          <w:rtl/>
        </w:rPr>
        <w:t xml:space="preserve">ם [...] </w:t>
      </w:r>
      <w:r w:rsidRPr="006C44E3">
        <w:rPr>
          <w:rtl/>
        </w:rPr>
        <w:t xml:space="preserve">וחשוב מכל – תורות השפיטות משמרות את משאבי הרשות השופטת ומאפשרות לה למקד את </w:t>
      </w:r>
      <w:r w:rsidRPr="006C44E3">
        <w:rPr>
          <w:rtl/>
        </w:rPr>
        <w:lastRenderedPageBreak/>
        <w:t xml:space="preserve">כוחותיה לצורך הכרעה בשאלות אשר חיוני כי תכריע בהן. </w:t>
      </w:r>
      <w:r w:rsidRPr="006C44E3">
        <w:rPr>
          <w:rFonts w:ascii="Century" w:hAnsi="Century" w:cs="Miriam"/>
          <w:b/>
          <w:spacing w:val="0"/>
          <w:szCs w:val="24"/>
          <w:rtl/>
        </w:rPr>
        <w:t>אין המדובר רק במשאבים פיננסיים ומשאבים של זמן כי אם גם במשאבים של אמון הציבור</w:t>
      </w:r>
      <w:r w:rsidRPr="006C44E3">
        <w:rPr>
          <w:rFonts w:hint="cs"/>
          <w:rtl/>
        </w:rPr>
        <w:t xml:space="preserve"> [...]</w:t>
      </w:r>
    </w:p>
    <w:p w:rsidR="00AF4803" w:rsidRPr="006C44E3" w:rsidRDefault="00AF4803" w:rsidP="00AF4803">
      <w:pPr>
        <w:pStyle w:val="Ruller5"/>
        <w:rPr>
          <w:rtl/>
        </w:rPr>
      </w:pPr>
      <w:r w:rsidRPr="006C44E3">
        <w:rPr>
          <w:rtl/>
        </w:rPr>
        <w:t xml:space="preserve">הגמשת מכשולי השפיטות, יש עימה מחיר: היא מסירה מבית המשפט מקצת ממחסומי ההגנה החשובים שלו. היא פוגעת במנגנוני הסינון העומדים לו. </w:t>
      </w:r>
      <w:r w:rsidRPr="006C44E3">
        <w:rPr>
          <w:rFonts w:ascii="Century" w:hAnsi="Century" w:cs="Miriam"/>
          <w:b/>
          <w:spacing w:val="0"/>
          <w:szCs w:val="24"/>
          <w:rtl/>
        </w:rPr>
        <w:t>בית המשפט צריך שישמר את משאביו על מנת שיעמדו לו ביום פקודה – מילוי התפקיד של הגנה על זכויות היסוד</w:t>
      </w:r>
      <w:r w:rsidRPr="006C44E3">
        <w:rPr>
          <w:rFonts w:hint="cs"/>
          <w:rtl/>
        </w:rPr>
        <w:t xml:space="preserve">" (שם, בפסקאות 19-17; ההדגשות הוספו </w:t>
      </w:r>
      <w:r w:rsidRPr="006C44E3">
        <w:rPr>
          <w:rtl/>
        </w:rPr>
        <w:t>–</w:t>
      </w:r>
      <w:r w:rsidRPr="006C44E3">
        <w:rPr>
          <w:rFonts w:hint="cs"/>
          <w:rtl/>
        </w:rPr>
        <w:t xml:space="preserve"> </w:t>
      </w:r>
      <w:r w:rsidRPr="006C44E3">
        <w:rPr>
          <w:rFonts w:ascii="Century" w:hAnsi="Century" w:cs="Miriam" w:hint="cs"/>
          <w:b/>
          <w:spacing w:val="0"/>
          <w:szCs w:val="24"/>
          <w:rtl/>
        </w:rPr>
        <w:t>י' א'</w:t>
      </w:r>
      <w:r w:rsidRPr="006C44E3">
        <w:rPr>
          <w:rFonts w:hint="cs"/>
          <w:rtl/>
        </w:rPr>
        <w:t xml:space="preserve">). </w:t>
      </w:r>
    </w:p>
    <w:p w:rsidR="00AF4803" w:rsidRPr="006C44E3" w:rsidRDefault="00AF4803" w:rsidP="00AF4803">
      <w:pPr>
        <w:pStyle w:val="Ruller5"/>
        <w:rPr>
          <w:rtl/>
        </w:rPr>
      </w:pPr>
    </w:p>
    <w:p w:rsidR="00AF4803" w:rsidRPr="006C44E3" w:rsidRDefault="00AF4803" w:rsidP="00AF4803">
      <w:pPr>
        <w:pStyle w:val="Ruller4"/>
        <w:rPr>
          <w:rtl/>
        </w:rPr>
      </w:pPr>
      <w:r w:rsidRPr="006C44E3">
        <w:rPr>
          <w:rFonts w:hint="cs"/>
          <w:rtl/>
        </w:rPr>
        <w:t xml:space="preserve">ניכר אפוא כי בית משפט זה, לרבות בהרכבים מורחבים, הכיר ביתרונות הרבים הגלומים בדוקטרינת הבשלות. כך גם במישור ה"דו-שיח" שבין הרשויות, שבו דוקטרינה זו מקדמת דיאלוג ראוי ומפחיתה את החיכוכים בין הרשויות השונות (להרחבה: ראו </w:t>
      </w:r>
      <w:r w:rsidRPr="006C44E3">
        <w:rPr>
          <w:rtl/>
        </w:rPr>
        <w:t xml:space="preserve">רונן פוליאק </w:t>
      </w:r>
      <w:r w:rsidRPr="006C44E3">
        <w:rPr>
          <w:rFonts w:hint="cs"/>
          <w:rtl/>
        </w:rPr>
        <w:t>"</w:t>
      </w:r>
      <w:r w:rsidRPr="006C44E3">
        <w:rPr>
          <w:rtl/>
        </w:rPr>
        <w:t>בשלות יחסית: ביקורת שיפוטית חוקתית יישומית או מופשטת</w:t>
      </w:r>
      <w:r w:rsidRPr="006C44E3">
        <w:rPr>
          <w:rFonts w:hint="cs"/>
          <w:rtl/>
        </w:rPr>
        <w:t>"</w:t>
      </w:r>
      <w:r w:rsidRPr="006C44E3">
        <w:rPr>
          <w:rtl/>
        </w:rPr>
        <w:t xml:space="preserve"> </w:t>
      </w:r>
      <w:r w:rsidRPr="006C44E3">
        <w:rPr>
          <w:rFonts w:ascii="Century" w:hAnsi="Century" w:cs="Miriam"/>
          <w:b/>
          <w:spacing w:val="0"/>
          <w:sz w:val="22"/>
          <w:szCs w:val="24"/>
          <w:rtl/>
        </w:rPr>
        <w:t>עיוני משפט</w:t>
      </w:r>
      <w:r w:rsidRPr="006C44E3">
        <w:rPr>
          <w:rtl/>
        </w:rPr>
        <w:t xml:space="preserve"> לז 45</w:t>
      </w:r>
      <w:r w:rsidRPr="006C44E3">
        <w:rPr>
          <w:rFonts w:hint="cs"/>
          <w:rtl/>
        </w:rPr>
        <w:t xml:space="preserve">, 66-64 (2014) (להלן: </w:t>
      </w:r>
      <w:r w:rsidRPr="006C44E3">
        <w:rPr>
          <w:rFonts w:ascii="Century" w:hAnsi="Century" w:cs="Miriam" w:hint="cs"/>
          <w:b/>
          <w:spacing w:val="0"/>
          <w:sz w:val="22"/>
          <w:szCs w:val="24"/>
          <w:rtl/>
        </w:rPr>
        <w:t>פוליאק</w:t>
      </w:r>
      <w:r w:rsidRPr="006C44E3">
        <w:rPr>
          <w:rFonts w:hint="cs"/>
          <w:rtl/>
        </w:rPr>
        <w:t>)).</w:t>
      </w:r>
    </w:p>
    <w:p w:rsidR="00AF4803" w:rsidRPr="006C44E3" w:rsidRDefault="00AF4803" w:rsidP="00AF4803">
      <w:pPr>
        <w:pStyle w:val="Ruller4"/>
        <w:numPr>
          <w:ilvl w:val="0"/>
          <w:numId w:val="0"/>
        </w:numPr>
      </w:pPr>
    </w:p>
    <w:p w:rsidR="00AF4803" w:rsidRPr="006C44E3" w:rsidRDefault="00AF4803" w:rsidP="00AF4803">
      <w:pPr>
        <w:pStyle w:val="Ruller4"/>
        <w:rPr>
          <w:rtl/>
        </w:rPr>
      </w:pPr>
      <w:r w:rsidRPr="006C44E3">
        <w:rPr>
          <w:rFonts w:hint="cs"/>
          <w:rtl/>
        </w:rPr>
        <w:t xml:space="preserve">באופן שבו אומצה דוקטרינת הבשלות במשפט הישראלי, בשלות עתירה חוקתית לדיון נבחנת בשני שלבים: </w:t>
      </w:r>
      <w:r w:rsidRPr="006C44E3">
        <w:rPr>
          <w:rFonts w:ascii="Century" w:hAnsi="Century" w:cs="Miriam"/>
          <w:b/>
          <w:spacing w:val="0"/>
          <w:sz w:val="22"/>
          <w:szCs w:val="24"/>
          <w:rtl/>
        </w:rPr>
        <w:t xml:space="preserve">בשלב </w:t>
      </w:r>
      <w:r w:rsidRPr="006C44E3">
        <w:rPr>
          <w:rFonts w:ascii="Century" w:hAnsi="Century" w:cs="Miriam" w:hint="cs"/>
          <w:b/>
          <w:spacing w:val="0"/>
          <w:sz w:val="22"/>
          <w:szCs w:val="24"/>
          <w:rtl/>
        </w:rPr>
        <w:t>ה</w:t>
      </w:r>
      <w:r w:rsidRPr="006C44E3">
        <w:rPr>
          <w:rFonts w:ascii="Century" w:hAnsi="Century" w:cs="Miriam"/>
          <w:b/>
          <w:spacing w:val="0"/>
          <w:sz w:val="22"/>
          <w:szCs w:val="24"/>
          <w:rtl/>
        </w:rPr>
        <w:t>ראשון</w:t>
      </w:r>
      <w:r w:rsidRPr="006C44E3">
        <w:rPr>
          <w:rtl/>
        </w:rPr>
        <w:t xml:space="preserve">, על בית המשפט להכריע אם השאלה המרכזית הנדונה בעתירה היא שאלה משפטית בעיקרה, </w:t>
      </w:r>
      <w:r w:rsidRPr="006C44E3">
        <w:rPr>
          <w:rFonts w:hint="cs"/>
          <w:rtl/>
        </w:rPr>
        <w:t>אשר המענה</w:t>
      </w:r>
      <w:r w:rsidRPr="006C44E3">
        <w:rPr>
          <w:rtl/>
        </w:rPr>
        <w:t xml:space="preserve"> לה אינו מחייב מסכת עובדתית מפורטת, או שמא נדרש יישום של החוק הנבחן כדי להשיב על השאלה. </w:t>
      </w:r>
      <w:r w:rsidRPr="006C44E3">
        <w:rPr>
          <w:rFonts w:hint="cs"/>
          <w:rtl/>
        </w:rPr>
        <w:t>ככל שבידי הרשות שיקול דעת רחב יותר ביישום החוק, יש להמתין ולבחון את אופן יישומו. אולם, אם כל או מרבית הדרכים האפשריות ליישום החוק ברורות, אין הצדקה שלא לדון בעתירה לגופה בעיתוי הנוכחי (</w:t>
      </w:r>
      <w:r w:rsidRPr="006C44E3">
        <w:rPr>
          <w:rtl/>
        </w:rPr>
        <w:t>בג"ץ 3166/14 </w:t>
      </w:r>
      <w:r w:rsidRPr="006C44E3">
        <w:rPr>
          <w:rFonts w:ascii="Century" w:hAnsi="Century" w:cs="Miriam"/>
          <w:b/>
          <w:spacing w:val="0"/>
          <w:sz w:val="22"/>
          <w:szCs w:val="24"/>
          <w:rtl/>
        </w:rPr>
        <w:t>גוטמן נ' היועץ המשפטי לממשלה - מדינת ישראל</w:t>
      </w:r>
      <w:r w:rsidRPr="006C44E3">
        <w:rPr>
          <w:rFonts w:hint="cs"/>
          <w:rtl/>
        </w:rPr>
        <w:t xml:space="preserve">, פסקה 43 לחוות דעתו של הנשיא (בדימ') </w:t>
      </w:r>
      <w:r w:rsidRPr="006C44E3">
        <w:rPr>
          <w:rFonts w:ascii="Century" w:hAnsi="Century" w:cs="Miriam" w:hint="cs"/>
          <w:b/>
          <w:spacing w:val="0"/>
          <w:sz w:val="22"/>
          <w:szCs w:val="24"/>
          <w:rtl/>
        </w:rPr>
        <w:t>א' גרוניס</w:t>
      </w:r>
      <w:r w:rsidRPr="006C44E3">
        <w:rPr>
          <w:rFonts w:hint="cs"/>
          <w:rtl/>
        </w:rPr>
        <w:t xml:space="preserve"> </w:t>
      </w:r>
      <w:r w:rsidRPr="006C44E3">
        <w:rPr>
          <w:rtl/>
        </w:rPr>
        <w:t>(12.</w:t>
      </w:r>
      <w:r w:rsidRPr="006C44E3">
        <w:rPr>
          <w:rFonts w:hint="cs"/>
          <w:rtl/>
        </w:rPr>
        <w:t>3</w:t>
      </w:r>
      <w:r w:rsidRPr="006C44E3">
        <w:rPr>
          <w:rtl/>
        </w:rPr>
        <w:t>.2015)</w:t>
      </w:r>
      <w:r w:rsidRPr="006C44E3">
        <w:rPr>
          <w:rFonts w:hint="cs"/>
          <w:rtl/>
        </w:rPr>
        <w:t xml:space="preserve"> (להלן: עניין </w:t>
      </w:r>
      <w:r w:rsidRPr="006C44E3">
        <w:rPr>
          <w:rFonts w:ascii="Century" w:hAnsi="Century" w:cs="Miriam" w:hint="cs"/>
          <w:b/>
          <w:spacing w:val="0"/>
          <w:sz w:val="22"/>
          <w:szCs w:val="24"/>
          <w:rtl/>
        </w:rPr>
        <w:t>גוטמן</w:t>
      </w:r>
      <w:r w:rsidRPr="006C44E3">
        <w:rPr>
          <w:rtl/>
        </w:rPr>
        <w:t>‏</w:t>
      </w:r>
      <w:r w:rsidRPr="006C44E3">
        <w:rPr>
          <w:rFonts w:hint="cs"/>
          <w:rtl/>
        </w:rPr>
        <w:t xml:space="preserve">); </w:t>
      </w:r>
      <w:r w:rsidRPr="006C44E3">
        <w:rPr>
          <w:rFonts w:ascii="Century" w:hAnsi="Century" w:cs="Miriam" w:hint="cs"/>
          <w:b/>
          <w:spacing w:val="0"/>
          <w:sz w:val="22"/>
          <w:szCs w:val="24"/>
          <w:rtl/>
        </w:rPr>
        <w:t>רייכמן ומלכה</w:t>
      </w:r>
      <w:r w:rsidRPr="006C44E3">
        <w:rPr>
          <w:rFonts w:hint="cs"/>
          <w:rtl/>
        </w:rPr>
        <w:t xml:space="preserve">, בעמוד 448). </w:t>
      </w:r>
      <w:r w:rsidRPr="006C44E3">
        <w:rPr>
          <w:rFonts w:ascii="Century" w:hAnsi="Century" w:cs="Miriam"/>
          <w:b/>
          <w:spacing w:val="0"/>
          <w:sz w:val="22"/>
          <w:szCs w:val="24"/>
          <w:rtl/>
        </w:rPr>
        <w:t xml:space="preserve">בשלב </w:t>
      </w:r>
      <w:r w:rsidRPr="006C44E3">
        <w:rPr>
          <w:rFonts w:ascii="Century" w:hAnsi="Century" w:cs="Miriam" w:hint="cs"/>
          <w:b/>
          <w:spacing w:val="0"/>
          <w:sz w:val="22"/>
          <w:szCs w:val="24"/>
          <w:rtl/>
        </w:rPr>
        <w:t>ה</w:t>
      </w:r>
      <w:r w:rsidRPr="006C44E3">
        <w:rPr>
          <w:rFonts w:ascii="Century" w:hAnsi="Century" w:cs="Miriam"/>
          <w:b/>
          <w:spacing w:val="0"/>
          <w:sz w:val="22"/>
          <w:szCs w:val="24"/>
          <w:rtl/>
        </w:rPr>
        <w:t>שני</w:t>
      </w:r>
      <w:r w:rsidRPr="006C44E3">
        <w:rPr>
          <w:rtl/>
        </w:rPr>
        <w:t xml:space="preserve"> על בית המשפט לבחון אם קיימים טעמים לדון בעתירה על אף שטרם התבררו השלכות החוק הנבחן. טעמים אלה עשויים להיות, למשל, השפעה מצננת של </w:t>
      </w:r>
      <w:r w:rsidRPr="006C44E3">
        <w:rPr>
          <w:rFonts w:hint="cs"/>
          <w:rtl/>
        </w:rPr>
        <w:t>הותרת החוק על כנו</w:t>
      </w:r>
      <w:r w:rsidRPr="006C44E3">
        <w:rPr>
          <w:rtl/>
        </w:rPr>
        <w:t>, חשש שדחיית הביקורת השיפוטית תוביל לקביעת עובדות בלתי הפיכות בשטח, או קיומו של אינטרס ציבורי משמעותי בבירור העתירה אף לפני שיושם החוק</w:t>
      </w:r>
      <w:r w:rsidRPr="006C44E3">
        <w:t xml:space="preserve"> </w:t>
      </w:r>
      <w:r w:rsidRPr="006C44E3">
        <w:rPr>
          <w:rFonts w:hint="cs"/>
          <w:rtl/>
        </w:rPr>
        <w:t xml:space="preserve">(עניין </w:t>
      </w:r>
      <w:r w:rsidRPr="006C44E3">
        <w:rPr>
          <w:rFonts w:ascii="Century" w:hAnsi="Century" w:cs="Miriam" w:hint="cs"/>
          <w:b/>
          <w:spacing w:val="0"/>
          <w:sz w:val="22"/>
          <w:szCs w:val="24"/>
          <w:rtl/>
        </w:rPr>
        <w:t>סבח</w:t>
      </w:r>
      <w:r w:rsidRPr="006C44E3">
        <w:rPr>
          <w:rFonts w:hint="cs"/>
          <w:rtl/>
        </w:rPr>
        <w:t xml:space="preserve">, בפסקה 16 לחוות דעתו של הנשיא </w:t>
      </w:r>
      <w:r w:rsidRPr="006C44E3">
        <w:rPr>
          <w:rFonts w:ascii="Century" w:hAnsi="Century" w:cs="Miriam" w:hint="cs"/>
          <w:b/>
          <w:spacing w:val="0"/>
          <w:sz w:val="22"/>
          <w:szCs w:val="24"/>
          <w:rtl/>
        </w:rPr>
        <w:t>א' גרוניס</w:t>
      </w:r>
      <w:r w:rsidRPr="006C44E3">
        <w:rPr>
          <w:rFonts w:hint="cs"/>
          <w:rtl/>
        </w:rPr>
        <w:t xml:space="preserve">). </w:t>
      </w:r>
    </w:p>
    <w:p w:rsidR="00AF4803" w:rsidRPr="006C44E3" w:rsidRDefault="00AF4803" w:rsidP="00AF4803">
      <w:pPr>
        <w:pStyle w:val="Ruller4"/>
        <w:numPr>
          <w:ilvl w:val="0"/>
          <w:numId w:val="0"/>
        </w:numPr>
      </w:pPr>
    </w:p>
    <w:p w:rsidR="00AF4803" w:rsidRPr="006C44E3" w:rsidRDefault="00AF4803" w:rsidP="00AF4803">
      <w:pPr>
        <w:pStyle w:val="Ruller4"/>
      </w:pPr>
      <w:r w:rsidRPr="006C44E3">
        <w:rPr>
          <w:rFonts w:hint="cs"/>
          <w:rtl/>
        </w:rPr>
        <w:t xml:space="preserve">מקורה של דוקטרינת הבשלות במשפט האמריקאי והיא יובאה למשפטנו בהדרגה, צעד אחד צעד. תחילה, נתקפה בעניין </w:t>
      </w:r>
      <w:r w:rsidRPr="006C44E3">
        <w:rPr>
          <w:rFonts w:ascii="Century" w:hAnsi="Century" w:cs="Miriam" w:hint="cs"/>
          <w:b/>
          <w:spacing w:val="0"/>
          <w:sz w:val="22"/>
          <w:szCs w:val="24"/>
          <w:rtl/>
        </w:rPr>
        <w:t>לובל</w:t>
      </w:r>
      <w:r w:rsidRPr="006C44E3">
        <w:rPr>
          <w:rFonts w:hint="cs"/>
          <w:rtl/>
        </w:rPr>
        <w:t xml:space="preserve"> </w:t>
      </w:r>
      <w:r w:rsidRPr="006C44E3">
        <w:rPr>
          <w:rtl/>
        </w:rPr>
        <w:t>חוקתיות חוק יישום תכנית ההתנתקות, התשס"ה</w:t>
      </w:r>
      <w:r w:rsidRPr="006C44E3">
        <w:rPr>
          <w:rFonts w:hint="cs"/>
          <w:rtl/>
        </w:rPr>
        <w:t>-</w:t>
      </w:r>
      <w:r w:rsidRPr="006C44E3">
        <w:rPr>
          <w:rtl/>
        </w:rPr>
        <w:t>2005</w:t>
      </w:r>
      <w:r w:rsidRPr="006C44E3">
        <w:rPr>
          <w:rFonts w:hint="cs"/>
          <w:rtl/>
        </w:rPr>
        <w:t>, שה</w:t>
      </w:r>
      <w:r w:rsidRPr="006C44E3">
        <w:rPr>
          <w:rtl/>
        </w:rPr>
        <w:t>טיל סנקציות פליליות וכלכליות על ישראלים שהתגוררו בישובים המפונים בחבל עזה ובצפון השומרון, אשר שהו בשטח המפונה לאחר יום הפינוי שקבעו ראש הממשלה ושר הביטחון.</w:t>
      </w:r>
      <w:r w:rsidRPr="006C44E3">
        <w:rPr>
          <w:rFonts w:hint="cs"/>
          <w:rtl/>
        </w:rPr>
        <w:t xml:space="preserve"> </w:t>
      </w:r>
      <w:r>
        <w:rPr>
          <w:rFonts w:hint="cs"/>
          <w:rtl/>
        </w:rPr>
        <w:t>כטעם נוסף לדחיית העתירות קבעה</w:t>
      </w:r>
      <w:r w:rsidRPr="006C44E3">
        <w:rPr>
          <w:rFonts w:hint="cs"/>
          <w:rtl/>
        </w:rPr>
        <w:t xml:space="preserve"> השופטת </w:t>
      </w:r>
      <w:r w:rsidRPr="006C44E3">
        <w:rPr>
          <w:rFonts w:ascii="Century" w:hAnsi="Century" w:cs="Miriam" w:hint="cs"/>
          <w:b/>
          <w:spacing w:val="0"/>
          <w:sz w:val="22"/>
          <w:szCs w:val="24"/>
          <w:rtl/>
        </w:rPr>
        <w:t>מ' נאור</w:t>
      </w:r>
      <w:r w:rsidRPr="006C44E3">
        <w:rPr>
          <w:rFonts w:hint="cs"/>
          <w:rtl/>
        </w:rPr>
        <w:t xml:space="preserve">, בדעת יחיד: "[...] </w:t>
      </w:r>
      <w:r w:rsidRPr="006C44E3">
        <w:rPr>
          <w:rFonts w:ascii="Century" w:hAnsi="Century" w:cs="Miriam" w:hint="cs"/>
          <w:b/>
          <w:spacing w:val="0"/>
          <w:sz w:val="22"/>
          <w:szCs w:val="24"/>
          <w:rtl/>
        </w:rPr>
        <w:t>ה</w:t>
      </w:r>
      <w:r w:rsidRPr="006C44E3">
        <w:rPr>
          <w:rFonts w:ascii="Century" w:hAnsi="Century" w:cs="Miriam"/>
          <w:b/>
          <w:spacing w:val="0"/>
          <w:sz w:val="22"/>
          <w:szCs w:val="24"/>
          <w:rtl/>
        </w:rPr>
        <w:t xml:space="preserve">עתירה אף אינה בשלה להכרעה בבית משפט זה, </w:t>
      </w:r>
      <w:r w:rsidRPr="006C44E3">
        <w:rPr>
          <w:rFonts w:ascii="Century" w:hAnsi="Century" w:cs="Miriam"/>
          <w:b/>
          <w:spacing w:val="0"/>
          <w:sz w:val="22"/>
          <w:szCs w:val="24"/>
          <w:rtl/>
        </w:rPr>
        <w:lastRenderedPageBreak/>
        <w:t>עקב היעדרה של מערכת עובדות קונקרטית, ברורה ושלמה, החיונית לצורך מתן הכרעה שיפוטית עקרונית</w:t>
      </w:r>
      <w:r w:rsidRPr="006C44E3">
        <w:rPr>
          <w:rFonts w:hint="cs"/>
          <w:rtl/>
        </w:rPr>
        <w:t xml:space="preserve">" (שם, בפסקה 3 לחוות דעתה). </w:t>
      </w:r>
    </w:p>
    <w:p w:rsidR="00AF4803" w:rsidRPr="006C44E3" w:rsidRDefault="00AF4803" w:rsidP="00AF4803">
      <w:pPr>
        <w:pStyle w:val="Ruller4"/>
        <w:numPr>
          <w:ilvl w:val="0"/>
          <w:numId w:val="0"/>
        </w:numPr>
        <w:rPr>
          <w:rtl/>
        </w:rPr>
      </w:pPr>
    </w:p>
    <w:p w:rsidR="00AF4803" w:rsidRPr="006C44E3" w:rsidRDefault="00AF4803" w:rsidP="00AF4803">
      <w:pPr>
        <w:pStyle w:val="Ruller4"/>
        <w:numPr>
          <w:ilvl w:val="0"/>
          <w:numId w:val="0"/>
        </w:numPr>
        <w:rPr>
          <w:rtl/>
        </w:rPr>
      </w:pPr>
      <w:r w:rsidRPr="006C44E3">
        <w:rPr>
          <w:rtl/>
        </w:rPr>
        <w:tab/>
      </w:r>
      <w:r w:rsidRPr="006C44E3">
        <w:rPr>
          <w:rFonts w:hint="cs"/>
          <w:rtl/>
        </w:rPr>
        <w:t>מאז, נעשה שימוש בדוקטרינת הבשלות במספר מקרים: כך, ב</w:t>
      </w:r>
      <w:r w:rsidRPr="006C44E3">
        <w:rPr>
          <w:rtl/>
        </w:rPr>
        <w:t>בג"ץ 3429/11 </w:t>
      </w:r>
      <w:r w:rsidRPr="006C44E3">
        <w:rPr>
          <w:rFonts w:ascii="Century" w:hAnsi="Century" w:cs="Miriam"/>
          <w:b/>
          <w:spacing w:val="0"/>
          <w:sz w:val="22"/>
          <w:szCs w:val="24"/>
          <w:rtl/>
        </w:rPr>
        <w:t>בוגרי התיכון הערבי האורתודוקסי בחיפה נ' שר האוצר</w:t>
      </w:r>
      <w:r w:rsidRPr="006C44E3">
        <w:rPr>
          <w:rtl/>
        </w:rPr>
        <w:t> (</w:t>
      </w:r>
      <w:r w:rsidRPr="006C44E3">
        <w:rPr>
          <w:rFonts w:hint="cs"/>
          <w:rtl/>
        </w:rPr>
        <w:t>5</w:t>
      </w:r>
      <w:r w:rsidRPr="006C44E3">
        <w:rPr>
          <w:rtl/>
        </w:rPr>
        <w:t>.</w:t>
      </w:r>
      <w:r w:rsidRPr="006C44E3">
        <w:rPr>
          <w:rFonts w:hint="cs"/>
          <w:rtl/>
        </w:rPr>
        <w:t>1</w:t>
      </w:r>
      <w:r w:rsidRPr="006C44E3">
        <w:rPr>
          <w:rtl/>
        </w:rPr>
        <w:t>.2012)‏‏</w:t>
      </w:r>
      <w:r w:rsidRPr="006C44E3">
        <w:rPr>
          <w:rFonts w:hint="cs"/>
          <w:rtl/>
        </w:rPr>
        <w:t xml:space="preserve"> (להלן: עניין </w:t>
      </w:r>
      <w:r w:rsidRPr="006C44E3">
        <w:rPr>
          <w:rFonts w:ascii="Century" w:hAnsi="Century" w:cs="Miriam" w:hint="cs"/>
          <w:b/>
          <w:spacing w:val="0"/>
          <w:sz w:val="22"/>
          <w:szCs w:val="24"/>
          <w:rtl/>
        </w:rPr>
        <w:t>בוגרי התיכון</w:t>
      </w:r>
      <w:r w:rsidRPr="006C44E3">
        <w:rPr>
          <w:rFonts w:hint="cs"/>
          <w:rtl/>
        </w:rPr>
        <w:t>) נדונו טענות ביחס לחוקתיות תיקון ל</w:t>
      </w:r>
      <w:r w:rsidRPr="006C44E3">
        <w:rPr>
          <w:rtl/>
        </w:rPr>
        <w:t xml:space="preserve">חוק יסודות התקציב </w:t>
      </w:r>
      <w:r w:rsidRPr="006C44E3">
        <w:rPr>
          <w:rFonts w:hint="cs"/>
          <w:rtl/>
        </w:rPr>
        <w:t>אשר ה</w:t>
      </w:r>
      <w:r w:rsidRPr="006C44E3">
        <w:rPr>
          <w:rtl/>
        </w:rPr>
        <w:t xml:space="preserve">סמיך את שר האוצר להפחית מתקציבם של גופים מתוקצבים או נתמכים, </w:t>
      </w:r>
      <w:r w:rsidRPr="006C44E3">
        <w:rPr>
          <w:rFonts w:hint="cs"/>
          <w:rtl/>
        </w:rPr>
        <w:t xml:space="preserve">מקום בו </w:t>
      </w:r>
      <w:r w:rsidRPr="006C44E3">
        <w:rPr>
          <w:rtl/>
        </w:rPr>
        <w:t xml:space="preserve">הגוף הוציא הוצאה </w:t>
      </w:r>
      <w:r w:rsidRPr="006C44E3">
        <w:rPr>
          <w:rFonts w:hint="cs"/>
          <w:rtl/>
        </w:rPr>
        <w:t xml:space="preserve">שבמהותה מגולמת </w:t>
      </w:r>
      <w:r w:rsidRPr="006C44E3">
        <w:rPr>
          <w:rtl/>
        </w:rPr>
        <w:t xml:space="preserve">שלילת קיומה של מדינת ישראל כמדינה יהודית ודמוקרטית או ציון יום העצמאות או יום הקמת המדינה כיום אבל. </w:t>
      </w:r>
      <w:r w:rsidRPr="006C44E3">
        <w:rPr>
          <w:rFonts w:hint="cs"/>
          <w:rtl/>
        </w:rPr>
        <w:t xml:space="preserve">העתירה נדחתה מטעמי חוסר בשלות תוך שהשופטת </w:t>
      </w:r>
      <w:r w:rsidRPr="006C44E3">
        <w:rPr>
          <w:rFonts w:ascii="Century" w:hAnsi="Century" w:cs="Miriam" w:hint="cs"/>
          <w:b/>
          <w:spacing w:val="0"/>
          <w:sz w:val="22"/>
          <w:szCs w:val="24"/>
          <w:rtl/>
        </w:rPr>
        <w:t>מ' נאור</w:t>
      </w:r>
      <w:r w:rsidRPr="006C44E3">
        <w:rPr>
          <w:rFonts w:hint="cs"/>
          <w:rtl/>
        </w:rPr>
        <w:t xml:space="preserve"> מנמקת: "</w:t>
      </w:r>
      <w:r w:rsidRPr="006C44E3">
        <w:rPr>
          <w:rFonts w:ascii="Century" w:hAnsi="Century" w:cs="Miriam"/>
          <w:b/>
          <w:spacing w:val="0"/>
          <w:sz w:val="22"/>
          <w:szCs w:val="24"/>
          <w:rtl/>
        </w:rPr>
        <w:t>במצב הדברים דהיום לא ברורה עדיין המשמעות</w:t>
      </w:r>
      <w:r w:rsidRPr="006C44E3">
        <w:rPr>
          <w:rFonts w:ascii="Century" w:hAnsi="Century" w:cs="Miriam" w:hint="cs"/>
          <w:b/>
          <w:spacing w:val="0"/>
          <w:sz w:val="22"/>
          <w:szCs w:val="24"/>
          <w:rtl/>
        </w:rPr>
        <w:t xml:space="preserve"> </w:t>
      </w:r>
      <w:r w:rsidRPr="006C44E3">
        <w:rPr>
          <w:rFonts w:ascii="Century" w:hAnsi="Century" w:cs="Miriam"/>
          <w:b/>
          <w:spacing w:val="0"/>
          <w:sz w:val="22"/>
          <w:szCs w:val="24"/>
          <w:rtl/>
        </w:rPr>
        <w:t>האופרטיבית של החוק ולפיכך טרם בשלה לדעתי העת להידרש לגופן של הטענות</w:t>
      </w:r>
      <w:r w:rsidRPr="006C44E3">
        <w:rPr>
          <w:rtl/>
        </w:rPr>
        <w:t xml:space="preserve"> </w:t>
      </w:r>
      <w:r w:rsidRPr="006C44E3">
        <w:rPr>
          <w:rFonts w:hint="cs"/>
          <w:rtl/>
        </w:rPr>
        <w:t xml:space="preserve">[...]" (שם, בפסקה 32 לחוות דעתה). </w:t>
      </w:r>
    </w:p>
    <w:p w:rsidR="00AF4803" w:rsidRPr="006C44E3" w:rsidRDefault="00AF4803" w:rsidP="00AF4803">
      <w:pPr>
        <w:pStyle w:val="Ruller4"/>
        <w:numPr>
          <w:ilvl w:val="0"/>
          <w:numId w:val="0"/>
        </w:numPr>
        <w:rPr>
          <w:rtl/>
        </w:rPr>
      </w:pPr>
    </w:p>
    <w:p w:rsidR="00AF4803" w:rsidRPr="006C44E3" w:rsidRDefault="00AF4803" w:rsidP="00AF4803">
      <w:pPr>
        <w:pStyle w:val="Ruller4"/>
        <w:numPr>
          <w:ilvl w:val="0"/>
          <w:numId w:val="0"/>
        </w:numPr>
      </w:pPr>
      <w:r w:rsidRPr="006C44E3">
        <w:rPr>
          <w:rtl/>
        </w:rPr>
        <w:tab/>
      </w:r>
      <w:r w:rsidRPr="006C44E3">
        <w:rPr>
          <w:rFonts w:hint="cs"/>
          <w:rtl/>
        </w:rPr>
        <w:t xml:space="preserve">מקרה בולט נוסף שבו נדחתה עתירה על בסיס דוקטרינת הבשלות הוא בעניין </w:t>
      </w:r>
      <w:r w:rsidRPr="006C44E3">
        <w:rPr>
          <w:rFonts w:ascii="Century" w:hAnsi="Century" w:cs="Miriam" w:hint="cs"/>
          <w:b/>
          <w:spacing w:val="0"/>
          <w:sz w:val="22"/>
          <w:szCs w:val="24"/>
          <w:rtl/>
        </w:rPr>
        <w:t>סבח</w:t>
      </w:r>
      <w:r w:rsidRPr="006C44E3">
        <w:rPr>
          <w:rFonts w:hint="cs"/>
          <w:rtl/>
        </w:rPr>
        <w:t xml:space="preserve">. באותו מקרה נתקפה חוקתיות </w:t>
      </w:r>
      <w:r w:rsidRPr="006C44E3">
        <w:rPr>
          <w:rFonts w:ascii="FrankRuehl" w:hAnsi="FrankRuehl"/>
          <w:color w:val="000000"/>
          <w:sz w:val="28"/>
          <w:rtl/>
        </w:rPr>
        <w:t xml:space="preserve">החוק </w:t>
      </w:r>
      <w:r w:rsidRPr="006C44E3">
        <w:rPr>
          <w:rtl/>
        </w:rPr>
        <w:t>לתיקון </w:t>
      </w:r>
      <w:hyperlink r:id="rId12" w:history="1">
        <w:r w:rsidRPr="006C44E3">
          <w:rPr>
            <w:rtl/>
          </w:rPr>
          <w:t>פקודת האגודות השיתופיות</w:t>
        </w:r>
      </w:hyperlink>
      <w:r w:rsidRPr="006C44E3">
        <w:t> </w:t>
      </w:r>
      <w:r w:rsidRPr="006C44E3">
        <w:rPr>
          <w:rtl/>
        </w:rPr>
        <w:t>(מס' 8), התשע"א-2011</w:t>
      </w:r>
      <w:r w:rsidRPr="006C44E3">
        <w:rPr>
          <w:rFonts w:hint="cs"/>
          <w:rtl/>
        </w:rPr>
        <w:t>, ה</w:t>
      </w:r>
      <w:r w:rsidRPr="006C44E3">
        <w:rPr>
          <w:rtl/>
        </w:rPr>
        <w:t>מאפשר ליישוב להתנות את הקצאת המקרקעין למועמדים המבקשים להתגורר בו באישור של ועדת קבלה</w:t>
      </w:r>
      <w:r w:rsidRPr="006C44E3">
        <w:rPr>
          <w:rFonts w:hint="cs"/>
          <w:rtl/>
        </w:rPr>
        <w:t xml:space="preserve">. העתירות נדחו, ברוב דעות של הנשיא </w:t>
      </w:r>
      <w:r w:rsidRPr="006C44E3">
        <w:rPr>
          <w:rFonts w:ascii="Century" w:hAnsi="Century" w:cs="Miriam" w:hint="cs"/>
          <w:b/>
          <w:spacing w:val="0"/>
          <w:sz w:val="22"/>
          <w:szCs w:val="24"/>
          <w:rtl/>
        </w:rPr>
        <w:t>א' גרוניס</w:t>
      </w:r>
      <w:r w:rsidRPr="006C44E3">
        <w:rPr>
          <w:rFonts w:hint="cs"/>
          <w:rtl/>
        </w:rPr>
        <w:t>. בדומה, נעשה שימוש בדוקטרינת הבשלות גם ב</w:t>
      </w:r>
      <w:r w:rsidRPr="006C44E3">
        <w:rPr>
          <w:rtl/>
        </w:rPr>
        <w:t xml:space="preserve">בג"ץ 5239/11 </w:t>
      </w:r>
      <w:r w:rsidRPr="006C44E3">
        <w:rPr>
          <w:rFonts w:ascii="Century" w:hAnsi="Century" w:cs="Miriam"/>
          <w:b/>
          <w:spacing w:val="0"/>
          <w:sz w:val="22"/>
          <w:szCs w:val="24"/>
          <w:rtl/>
        </w:rPr>
        <w:t>אבנרי נ' הכנסת</w:t>
      </w:r>
      <w:r w:rsidRPr="006C44E3">
        <w:rPr>
          <w:rtl/>
        </w:rPr>
        <w:t> (15.</w:t>
      </w:r>
      <w:r w:rsidRPr="006C44E3">
        <w:rPr>
          <w:rFonts w:hint="cs"/>
          <w:rtl/>
        </w:rPr>
        <w:t>4</w:t>
      </w:r>
      <w:r w:rsidRPr="006C44E3">
        <w:rPr>
          <w:rtl/>
        </w:rPr>
        <w:t>.2015)‏</w:t>
      </w:r>
      <w:r w:rsidRPr="006C44E3">
        <w:rPr>
          <w:rFonts w:hint="cs"/>
          <w:rtl/>
        </w:rPr>
        <w:t xml:space="preserve"> (להלן: עניין </w:t>
      </w:r>
      <w:r w:rsidRPr="006C44E3">
        <w:rPr>
          <w:rFonts w:ascii="Century" w:hAnsi="Century" w:cs="Miriam" w:hint="cs"/>
          <w:b/>
          <w:spacing w:val="0"/>
          <w:sz w:val="22"/>
          <w:szCs w:val="24"/>
          <w:rtl/>
        </w:rPr>
        <w:t>אבנרי</w:t>
      </w:r>
      <w:r w:rsidRPr="006C44E3">
        <w:rPr>
          <w:rFonts w:hint="cs"/>
          <w:rtl/>
        </w:rPr>
        <w:t xml:space="preserve">) שבו נדונה חוקתיות </w:t>
      </w:r>
      <w:r w:rsidRPr="006C44E3">
        <w:rPr>
          <w:rtl/>
        </w:rPr>
        <w:t>החוק למניעת פגיעה במדינת ישראל באמצעות חרם, התשע"א-2011</w:t>
      </w:r>
      <w:r w:rsidRPr="006C44E3">
        <w:rPr>
          <w:rFonts w:hint="cs"/>
          <w:rtl/>
        </w:rPr>
        <w:t>, אשר ה</w:t>
      </w:r>
      <w:r w:rsidRPr="006C44E3">
        <w:rPr>
          <w:rtl/>
        </w:rPr>
        <w:t xml:space="preserve">טיל אחריות נזיקית </w:t>
      </w:r>
      <w:r w:rsidRPr="006C44E3">
        <w:rPr>
          <w:rFonts w:hint="cs"/>
          <w:rtl/>
        </w:rPr>
        <w:t>וקבע</w:t>
      </w:r>
      <w:r w:rsidRPr="006C44E3">
        <w:rPr>
          <w:rtl/>
        </w:rPr>
        <w:t xml:space="preserve"> הגבלות מנהליות שונות נגד מי שמפרסם ביודעין קריאה פומבית להטלת חרם על מדינת ישראל</w:t>
      </w:r>
      <w:r w:rsidRPr="006C44E3">
        <w:rPr>
          <w:rFonts w:hint="cs"/>
          <w:rtl/>
        </w:rPr>
        <w:t xml:space="preserve">; בעניין </w:t>
      </w:r>
      <w:r w:rsidRPr="006C44E3">
        <w:rPr>
          <w:rFonts w:ascii="Century" w:hAnsi="Century" w:cs="Miriam" w:hint="cs"/>
          <w:b/>
          <w:spacing w:val="0"/>
          <w:sz w:val="22"/>
          <w:szCs w:val="24"/>
          <w:rtl/>
        </w:rPr>
        <w:t>גוטמן</w:t>
      </w:r>
      <w:r w:rsidRPr="006C44E3">
        <w:rPr>
          <w:rFonts w:hint="cs"/>
          <w:rtl/>
        </w:rPr>
        <w:t>, שבו נבחנה חוקתיות תיקון ל</w:t>
      </w:r>
      <w:r w:rsidRPr="006C44E3">
        <w:rPr>
          <w:rtl/>
        </w:rPr>
        <w:t xml:space="preserve">חוק הבחירות לכנסת (תיקון מס' 62), התשע"ד-2014, ס"ח 2440 </w:t>
      </w:r>
      <w:r w:rsidRPr="006C44E3">
        <w:rPr>
          <w:rFonts w:hint="cs"/>
          <w:rtl/>
        </w:rPr>
        <w:t>ה</w:t>
      </w:r>
      <w:r w:rsidRPr="006C44E3">
        <w:rPr>
          <w:rtl/>
        </w:rPr>
        <w:t>קובע כי אחוז החסימה בבחירות לכנסת יעלה מ-2% ל-3.25%</w:t>
      </w:r>
      <w:r w:rsidRPr="006C44E3">
        <w:rPr>
          <w:rFonts w:hint="cs"/>
          <w:rtl/>
        </w:rPr>
        <w:t xml:space="preserve">; ובעניין </w:t>
      </w:r>
      <w:r w:rsidRPr="006C44E3">
        <w:rPr>
          <w:rFonts w:ascii="Century" w:hAnsi="Century" w:cs="Miriam" w:hint="cs"/>
          <w:b/>
          <w:spacing w:val="0"/>
          <w:sz w:val="22"/>
          <w:szCs w:val="24"/>
          <w:rtl/>
        </w:rPr>
        <w:t>איגוד הנאמנים</w:t>
      </w:r>
      <w:r w:rsidRPr="006C44E3">
        <w:rPr>
          <w:rFonts w:hint="cs"/>
          <w:rtl/>
        </w:rPr>
        <w:t xml:space="preserve"> שבו נדחו עתירות נגד </w:t>
      </w:r>
      <w:r w:rsidRPr="006C44E3">
        <w:rPr>
          <w:rtl/>
        </w:rPr>
        <w:t>חוקתיותן של הוראות מסוימות בחוק ייעול הליכי האכיפה ברשות ניירות ערך (תיקוני חקיקה), התשע"א-2011</w:t>
      </w:r>
      <w:r w:rsidRPr="006C44E3">
        <w:rPr>
          <w:rFonts w:hint="cs"/>
          <w:rtl/>
        </w:rPr>
        <w:t>.</w:t>
      </w:r>
    </w:p>
    <w:p w:rsidR="00AF4803" w:rsidRPr="006C44E3" w:rsidRDefault="00AF4803" w:rsidP="00AF4803">
      <w:pPr>
        <w:pStyle w:val="Ruller4"/>
        <w:numPr>
          <w:ilvl w:val="0"/>
          <w:numId w:val="0"/>
        </w:numPr>
        <w:rPr>
          <w:rtl/>
        </w:rPr>
      </w:pPr>
    </w:p>
    <w:p w:rsidR="00AF4803" w:rsidRPr="006C44E3" w:rsidRDefault="00AF4803" w:rsidP="00AF4803">
      <w:pPr>
        <w:pStyle w:val="Ruller4"/>
        <w:numPr>
          <w:ilvl w:val="0"/>
          <w:numId w:val="0"/>
        </w:numPr>
        <w:rPr>
          <w:rtl/>
        </w:rPr>
      </w:pPr>
      <w:r w:rsidRPr="006C44E3">
        <w:rPr>
          <w:rtl/>
        </w:rPr>
        <w:tab/>
      </w:r>
      <w:r w:rsidRPr="006C44E3">
        <w:rPr>
          <w:rFonts w:hint="cs"/>
          <w:rtl/>
        </w:rPr>
        <w:t>דוקטרינת הבשלות נדונה גם ב</w:t>
      </w:r>
      <w:r w:rsidRPr="006C44E3">
        <w:rPr>
          <w:rtl/>
        </w:rPr>
        <w:t xml:space="preserve">בג"ץ 5744/16 </w:t>
      </w:r>
      <w:r w:rsidRPr="006C44E3">
        <w:rPr>
          <w:rFonts w:ascii="Century" w:hAnsi="Century" w:cs="Miriam"/>
          <w:b/>
          <w:spacing w:val="0"/>
          <w:sz w:val="22"/>
          <w:szCs w:val="24"/>
          <w:rtl/>
        </w:rPr>
        <w:t>בן מאיר נ' הכנסת</w:t>
      </w:r>
      <w:r w:rsidRPr="006C44E3">
        <w:rPr>
          <w:rFonts w:hint="cs"/>
          <w:rtl/>
        </w:rPr>
        <w:t xml:space="preserve"> </w:t>
      </w:r>
      <w:r w:rsidRPr="006C44E3">
        <w:rPr>
          <w:rtl/>
        </w:rPr>
        <w:t>(27.</w:t>
      </w:r>
      <w:r w:rsidRPr="006C44E3">
        <w:rPr>
          <w:rFonts w:hint="cs"/>
          <w:rtl/>
        </w:rPr>
        <w:t>5</w:t>
      </w:r>
      <w:r w:rsidRPr="006C44E3">
        <w:rPr>
          <w:rtl/>
        </w:rPr>
        <w:t>.2018)</w:t>
      </w:r>
      <w:r w:rsidRPr="006C44E3">
        <w:rPr>
          <w:rFonts w:hint="cs"/>
          <w:rtl/>
        </w:rPr>
        <w:t xml:space="preserve"> (להלן: עניין </w:t>
      </w:r>
      <w:r w:rsidRPr="006C44E3">
        <w:rPr>
          <w:rFonts w:ascii="Century" w:hAnsi="Century" w:cs="Miriam" w:hint="cs"/>
          <w:b/>
          <w:spacing w:val="0"/>
          <w:sz w:val="22"/>
          <w:szCs w:val="24"/>
          <w:rtl/>
        </w:rPr>
        <w:t>בן מאיר</w:t>
      </w:r>
      <w:r w:rsidRPr="006C44E3">
        <w:rPr>
          <w:rFonts w:hint="cs"/>
          <w:rtl/>
        </w:rPr>
        <w:t xml:space="preserve">) שבו הועלו טענות נגד </w:t>
      </w:r>
      <w:r w:rsidRPr="006C44E3">
        <w:rPr>
          <w:rtl/>
        </w:rPr>
        <w:t>תיקונים לחוק-יסוד: הכנסת ולחוק הכנסת, התשנ"ד-1994, המסמיכים את הכנסת להחליט בתנאים מסוימים על הפסקת חברותו של חבר כנסת שיש במעשיו משום הסתה לגזענות או תמיכה במאבק מזוין נגד מדינת ישראל</w:t>
      </w:r>
      <w:r w:rsidRPr="006C44E3">
        <w:rPr>
          <w:rFonts w:hint="cs"/>
          <w:rtl/>
        </w:rPr>
        <w:t xml:space="preserve"> </w:t>
      </w:r>
      <w:r w:rsidRPr="006C44E3">
        <w:rPr>
          <w:rtl/>
        </w:rPr>
        <w:t>–</w:t>
      </w:r>
      <w:r w:rsidRPr="006C44E3">
        <w:rPr>
          <w:rFonts w:hint="cs"/>
          <w:rtl/>
        </w:rPr>
        <w:t xml:space="preserve"> תיקונים אשר זכו לכינוי "חוק ההדחה". במקרה זה, רוב שופטי ההרכב דחו את הטענה כי העתירות אינן בשלות, אולם סברו כי יש לדחות את העתירות לגופן. </w:t>
      </w:r>
    </w:p>
    <w:p w:rsidR="00AF4803" w:rsidRPr="006C44E3" w:rsidRDefault="00AF4803" w:rsidP="00AF4803">
      <w:pPr>
        <w:pStyle w:val="Ruller41"/>
        <w:rPr>
          <w:rtl/>
        </w:rPr>
      </w:pPr>
    </w:p>
    <w:p w:rsidR="00AF4803" w:rsidRPr="006C44E3" w:rsidRDefault="00AF4803" w:rsidP="00AF4803">
      <w:pPr>
        <w:pStyle w:val="Ruller4"/>
        <w:rPr>
          <w:rtl/>
        </w:rPr>
      </w:pPr>
      <w:r w:rsidRPr="006C44E3">
        <w:rPr>
          <w:rFonts w:hint="cs"/>
          <w:rtl/>
        </w:rPr>
        <w:lastRenderedPageBreak/>
        <w:t xml:space="preserve">ככלל, דוקטרינת הבשלות יושמה כאשר מדובר בעתירה חוקתית שבה נתקף חוק רגיל בטענה כי אינו חוקתי. האפשרות להחילה על מקרה של תיקון חוק-יסוד, אינה מובנית מאליה (ראו: שם, בפסקה 14 לחוות דעתו של השופט </w:t>
      </w:r>
      <w:r w:rsidRPr="006C44E3">
        <w:rPr>
          <w:rFonts w:ascii="Century" w:hAnsi="Century" w:cs="Miriam" w:hint="cs"/>
          <w:b/>
          <w:spacing w:val="0"/>
          <w:sz w:val="22"/>
          <w:szCs w:val="24"/>
          <w:rtl/>
        </w:rPr>
        <w:t>נ' סולברג</w:t>
      </w:r>
      <w:r w:rsidRPr="006C44E3">
        <w:rPr>
          <w:rFonts w:hint="cs"/>
          <w:rtl/>
        </w:rPr>
        <w:t xml:space="preserve">; ולעמדה שלפיה "תיקון לחוק יסוד הוא לעולם בשל" ראו </w:t>
      </w:r>
      <w:r w:rsidRPr="006C44E3">
        <w:rPr>
          <w:rFonts w:ascii="Century" w:hAnsi="Century" w:cs="Miriam" w:hint="cs"/>
          <w:b/>
          <w:spacing w:val="0"/>
          <w:sz w:val="22"/>
          <w:szCs w:val="24"/>
          <w:rtl/>
        </w:rPr>
        <w:t>נבות</w:t>
      </w:r>
      <w:r w:rsidRPr="006C44E3">
        <w:rPr>
          <w:rFonts w:hint="cs"/>
          <w:rtl/>
        </w:rPr>
        <w:t xml:space="preserve">, בעמוד 124). בעניין </w:t>
      </w:r>
      <w:r w:rsidRPr="006C44E3">
        <w:rPr>
          <w:rFonts w:ascii="Century" w:hAnsi="Century" w:cs="Miriam" w:hint="cs"/>
          <w:b/>
          <w:spacing w:val="0"/>
          <w:sz w:val="22"/>
          <w:szCs w:val="24"/>
          <w:rtl/>
        </w:rPr>
        <w:t>בן מאיר</w:t>
      </w:r>
      <w:r w:rsidRPr="006C44E3">
        <w:rPr>
          <w:rFonts w:hint="cs"/>
          <w:rtl/>
        </w:rPr>
        <w:t xml:space="preserve">, הביע השופט </w:t>
      </w:r>
      <w:r w:rsidRPr="006C44E3">
        <w:rPr>
          <w:rFonts w:ascii="Century" w:hAnsi="Century" w:cs="Miriam" w:hint="cs"/>
          <w:b/>
          <w:spacing w:val="0"/>
          <w:sz w:val="22"/>
          <w:szCs w:val="24"/>
          <w:rtl/>
        </w:rPr>
        <w:t>מ' מזוז</w:t>
      </w:r>
      <w:r w:rsidRPr="006C44E3">
        <w:rPr>
          <w:rFonts w:hint="cs"/>
          <w:rtl/>
        </w:rPr>
        <w:t xml:space="preserve"> עמדה כי ניתן להחיל את הדוקטרינה גם בנסיבות אלו, ואף ביתר שאת:</w:t>
      </w:r>
    </w:p>
    <w:p w:rsidR="00AF4803" w:rsidRPr="006C44E3" w:rsidRDefault="00AF4803" w:rsidP="00AF4803">
      <w:pPr>
        <w:pStyle w:val="Ruller41"/>
        <w:rPr>
          <w:rtl/>
        </w:rPr>
      </w:pPr>
    </w:p>
    <w:p w:rsidR="00AF4803" w:rsidRPr="006C44E3" w:rsidRDefault="00AF4803" w:rsidP="00AF4803">
      <w:pPr>
        <w:pStyle w:val="Ruller5"/>
        <w:rPr>
          <w:rtl/>
        </w:rPr>
      </w:pPr>
      <w:r w:rsidRPr="006C44E3">
        <w:rPr>
          <w:rFonts w:hint="cs"/>
          <w:rtl/>
        </w:rPr>
        <w:t>"</w:t>
      </w:r>
      <w:r w:rsidRPr="006C44E3">
        <w:rPr>
          <w:rtl/>
        </w:rPr>
        <w:t xml:space="preserve">במקרה דנן אין אנו עוסקים למעשה בעתירה לביקורת חוקתית אלא בעתירות התוקפות תיקון בחוקה (טענת </w:t>
      </w:r>
      <w:r w:rsidRPr="006C44E3">
        <w:rPr>
          <w:rFonts w:hint="cs"/>
          <w:rtl/>
        </w:rPr>
        <w:t>'</w:t>
      </w:r>
      <w:r w:rsidRPr="006C44E3">
        <w:rPr>
          <w:rtl/>
        </w:rPr>
        <w:t>תיקון חוקה לא חוקתי</w:t>
      </w:r>
      <w:r w:rsidRPr="006C44E3">
        <w:rPr>
          <w:rFonts w:hint="cs"/>
          <w:rtl/>
        </w:rPr>
        <w:t>'</w:t>
      </w:r>
      <w:r w:rsidRPr="006C44E3">
        <w:rPr>
          <w:rtl/>
        </w:rPr>
        <w:t>). דומני שאך מובן הוא כי עובדה זו מעצימה את הצורך בזהירות ואיפוק מרביים ומקרינה גם על שאלת הבשלות; לשון אחר - הנטל באשר לבשלות השאלה העומדת לדיון ובאשר לצידוק לדון ולהכריע בשאלה זו בעיתוי הנוכחי כבד יותר ממקרה רגיל של ביקורת חוקתית, וגם מערכת האיזונים (לרבות בהיבט של אפקט מצנן) נוטה יותר להימנעות מדיון והכרעה בטענה נגד תיקון בחוקה במנותק מהפעלה קונקרטית של הסמכות הנדונה וקיומה של פגיעה מוכחת</w:t>
      </w:r>
      <w:r w:rsidRPr="006C44E3">
        <w:rPr>
          <w:rFonts w:hint="cs"/>
          <w:rtl/>
        </w:rPr>
        <w:t>" (פסקה 5 לחוות דעתו).</w:t>
      </w:r>
    </w:p>
    <w:p w:rsidR="00AF4803" w:rsidRPr="006C44E3" w:rsidRDefault="00AF4803" w:rsidP="00AF4803">
      <w:pPr>
        <w:pStyle w:val="Ruller41"/>
        <w:rPr>
          <w:rtl/>
        </w:rPr>
      </w:pPr>
    </w:p>
    <w:p w:rsidR="00AF4803" w:rsidRPr="006C44E3" w:rsidRDefault="00AF4803" w:rsidP="00AF4803">
      <w:pPr>
        <w:pStyle w:val="Ruller4"/>
        <w:rPr>
          <w:rtl/>
        </w:rPr>
      </w:pPr>
      <w:r w:rsidRPr="006C44E3">
        <w:rPr>
          <w:rFonts w:hint="cs"/>
          <w:rtl/>
        </w:rPr>
        <w:t xml:space="preserve">אני שותף לעמדה זו. דוקטרינת הבשלות משקפת ריסון ואיפוק. אלו מתחייבים כאשר בית משפט זה בוחן חוקתיות של חוק, ובוודאי מתחייבים כאשר מדובר בעתירות כלפי תוקפו של חוק-יסוד. </w:t>
      </w:r>
    </w:p>
    <w:p w:rsidR="00AF4803" w:rsidRPr="006C44E3" w:rsidRDefault="00AF4803" w:rsidP="00AF4803">
      <w:pPr>
        <w:pStyle w:val="Ruller4"/>
        <w:numPr>
          <w:ilvl w:val="0"/>
          <w:numId w:val="0"/>
        </w:numPr>
        <w:rPr>
          <w:rFonts w:ascii="Century" w:hAnsi="Century" w:cs="Miriam"/>
          <w:b/>
          <w:spacing w:val="0"/>
          <w:sz w:val="22"/>
          <w:szCs w:val="24"/>
          <w:rtl/>
        </w:rPr>
      </w:pPr>
    </w:p>
    <w:p w:rsidR="00AF4803" w:rsidRPr="006C44E3" w:rsidRDefault="00AF4803" w:rsidP="00E942B3">
      <w:pPr>
        <w:pStyle w:val="Ruller4"/>
        <w:numPr>
          <w:ilvl w:val="0"/>
          <w:numId w:val="0"/>
        </w:numPr>
        <w:rPr>
          <w:rtl/>
        </w:rPr>
      </w:pPr>
      <w:r w:rsidRPr="006C44E3">
        <w:rPr>
          <w:rFonts w:ascii="Century" w:hAnsi="Century" w:cs="Miriam" w:hint="cs"/>
          <w:b/>
          <w:spacing w:val="0"/>
          <w:sz w:val="22"/>
          <w:szCs w:val="24"/>
          <w:rtl/>
        </w:rPr>
        <w:t>מן הכלל אל הפרט</w:t>
      </w:r>
    </w:p>
    <w:p w:rsidR="00AF4803" w:rsidRPr="006C44E3" w:rsidRDefault="00AF4803" w:rsidP="00CF42E9">
      <w:pPr>
        <w:pStyle w:val="Ruller41"/>
        <w:spacing w:line="276" w:lineRule="auto"/>
      </w:pPr>
    </w:p>
    <w:p w:rsidR="00AF4803" w:rsidRPr="006C44E3" w:rsidRDefault="00AF4803" w:rsidP="00E942B3">
      <w:pPr>
        <w:pStyle w:val="Ruller4"/>
        <w:rPr>
          <w:rtl/>
        </w:rPr>
      </w:pPr>
      <w:r w:rsidRPr="006C44E3">
        <w:rPr>
          <w:rFonts w:hint="cs"/>
          <w:rtl/>
        </w:rPr>
        <w:t xml:space="preserve">לגישתי, גם בענייננו ניתן וראוי לעשות שימוש בדוקטרינת הבשלות, וזאת ממספר טעמים מרכזיים. כאמור, עיקר הטענות בעתירות השונות עניינו ההשלכות השונות של מה שכונה "ביטול עילת הסבירות". הטענות הן צופות פני עתיד, שכן חלק מהעתירות הוגשו שעות וחלק דקות ספורות בלבד לאחר חקיקת תיקון מס' 3. מצב שבו טרם יבשה הדיו מעל ספר החוקים, או מעל החוקה המתגבשת, וכבר נדרש בית המשפט העליון לבחינת תוקפו של חוק או חוק-יסוד, אינו מצב רצוי. התנהלות זו מציבה את בית המשפט פעם אחר פעם בלב המחלוקת הפוליטית </w:t>
      </w:r>
      <w:r w:rsidRPr="006C44E3">
        <w:rPr>
          <w:rtl/>
        </w:rPr>
        <w:t>–</w:t>
      </w:r>
      <w:r w:rsidRPr="006C44E3">
        <w:rPr>
          <w:rFonts w:hint="cs"/>
          <w:rtl/>
        </w:rPr>
        <w:t xml:space="preserve"> ייתכן בהחלט שלא לצורך (ראו והשוו: </w:t>
      </w:r>
      <w:r w:rsidRPr="006C44E3">
        <w:rPr>
          <w:rtl/>
        </w:rPr>
        <w:t>יגאל מרזל "הדיון בעתירות לעניין תוקף חוק</w:t>
      </w:r>
      <w:r w:rsidRPr="006C44E3">
        <w:rPr>
          <w:rFonts w:ascii="Century" w:hAnsi="Century" w:cs="Miriam"/>
          <w:b/>
          <w:spacing w:val="0"/>
          <w:sz w:val="22"/>
          <w:szCs w:val="24"/>
          <w:rtl/>
        </w:rPr>
        <w:t>" ספר אליהו מצא</w:t>
      </w:r>
      <w:r w:rsidRPr="006C44E3">
        <w:rPr>
          <w:rtl/>
        </w:rPr>
        <w:t xml:space="preserve"> 167, </w:t>
      </w:r>
      <w:r w:rsidRPr="006C44E3">
        <w:rPr>
          <w:rFonts w:hint="cs"/>
          <w:rtl/>
        </w:rPr>
        <w:t xml:space="preserve">197 (אהרן ברק ואח' עורכים 2015)). </w:t>
      </w:r>
    </w:p>
    <w:p w:rsidR="00AF4803" w:rsidRPr="006C44E3" w:rsidRDefault="00AF4803" w:rsidP="00AF4803">
      <w:pPr>
        <w:pStyle w:val="Ruller4"/>
        <w:numPr>
          <w:ilvl w:val="0"/>
          <w:numId w:val="0"/>
        </w:numPr>
        <w:rPr>
          <w:rtl/>
        </w:rPr>
      </w:pPr>
    </w:p>
    <w:p w:rsidR="00AF4803" w:rsidRPr="006C44E3" w:rsidRDefault="00AF4803" w:rsidP="00AF4803">
      <w:pPr>
        <w:pStyle w:val="Ruller4"/>
        <w:rPr>
          <w:rtl/>
        </w:rPr>
      </w:pPr>
      <w:r w:rsidRPr="006C44E3">
        <w:rPr>
          <w:rFonts w:hint="cs"/>
          <w:rtl/>
        </w:rPr>
        <w:t>הנגזר מעיתוי הגשת העתירות הוא כי בשלב זה טרם נוצקה פרשנות לחוק. כאשר אין ספק, לטעמי, כי החוק טעון פרשנות. למען הבהירות, אצטט כעת את סעיף 15(ד1) לחוק-יסוד: השפיטה:</w:t>
      </w:r>
    </w:p>
    <w:p w:rsidR="00AF4803" w:rsidRPr="006C44E3" w:rsidRDefault="00AF4803" w:rsidP="00AF4803">
      <w:pPr>
        <w:pStyle w:val="Ruller41"/>
        <w:rPr>
          <w:rtl/>
        </w:rPr>
      </w:pPr>
    </w:p>
    <w:p w:rsidR="00AF4803" w:rsidRPr="006C44E3" w:rsidRDefault="00AF4803" w:rsidP="00AF4803">
      <w:pPr>
        <w:pStyle w:val="Ruller5"/>
        <w:rPr>
          <w:rtl/>
        </w:rPr>
      </w:pPr>
      <w:r w:rsidRPr="006C44E3">
        <w:rPr>
          <w:rtl/>
        </w:rPr>
        <w:t>"</w:t>
      </w:r>
      <w:r w:rsidRPr="006C44E3">
        <w:rPr>
          <w:rFonts w:hint="eastAsia"/>
          <w:rtl/>
        </w:rPr>
        <w:t>על</w:t>
      </w:r>
      <w:r w:rsidRPr="006C44E3">
        <w:rPr>
          <w:rtl/>
        </w:rPr>
        <w:t xml:space="preserve"> </w:t>
      </w:r>
      <w:r w:rsidRPr="006C44E3">
        <w:rPr>
          <w:rFonts w:hint="eastAsia"/>
          <w:rtl/>
        </w:rPr>
        <w:t>אף</w:t>
      </w:r>
      <w:r w:rsidRPr="006C44E3">
        <w:rPr>
          <w:rtl/>
        </w:rPr>
        <w:t xml:space="preserve"> </w:t>
      </w:r>
      <w:r w:rsidRPr="006C44E3">
        <w:rPr>
          <w:rFonts w:hint="eastAsia"/>
          <w:rtl/>
        </w:rPr>
        <w:t>האמור</w:t>
      </w:r>
      <w:r w:rsidRPr="006C44E3">
        <w:rPr>
          <w:rtl/>
        </w:rPr>
        <w:t xml:space="preserve"> </w:t>
      </w:r>
      <w:r w:rsidRPr="006C44E3">
        <w:rPr>
          <w:rFonts w:hint="eastAsia"/>
          <w:rtl/>
        </w:rPr>
        <w:t>בחוק</w:t>
      </w:r>
      <w:r w:rsidRPr="006C44E3">
        <w:rPr>
          <w:rtl/>
        </w:rPr>
        <w:t>-</w:t>
      </w:r>
      <w:r w:rsidRPr="006C44E3">
        <w:rPr>
          <w:rFonts w:hint="eastAsia"/>
          <w:rtl/>
        </w:rPr>
        <w:t>יסוד</w:t>
      </w:r>
      <w:r w:rsidRPr="006C44E3">
        <w:rPr>
          <w:rtl/>
        </w:rPr>
        <w:t xml:space="preserve"> </w:t>
      </w:r>
      <w:r w:rsidRPr="006C44E3">
        <w:rPr>
          <w:rFonts w:hint="eastAsia"/>
          <w:rtl/>
        </w:rPr>
        <w:t>זה</w:t>
      </w:r>
      <w:r w:rsidRPr="006C44E3">
        <w:rPr>
          <w:rtl/>
        </w:rPr>
        <w:t xml:space="preserve">, </w:t>
      </w:r>
      <w:r w:rsidRPr="006C44E3">
        <w:rPr>
          <w:rFonts w:hint="eastAsia"/>
          <w:rtl/>
        </w:rPr>
        <w:t>מי</w:t>
      </w:r>
      <w:r w:rsidRPr="006C44E3">
        <w:rPr>
          <w:rtl/>
        </w:rPr>
        <w:t xml:space="preserve"> </w:t>
      </w:r>
      <w:r w:rsidRPr="006C44E3">
        <w:rPr>
          <w:rFonts w:hint="eastAsia"/>
          <w:rtl/>
        </w:rPr>
        <w:t>שבידו</w:t>
      </w:r>
      <w:r w:rsidRPr="006C44E3">
        <w:rPr>
          <w:rtl/>
        </w:rPr>
        <w:t xml:space="preserve"> </w:t>
      </w:r>
      <w:r w:rsidRPr="006C44E3">
        <w:rPr>
          <w:rFonts w:hint="eastAsia"/>
          <w:rtl/>
        </w:rPr>
        <w:t>סמכות</w:t>
      </w:r>
      <w:r w:rsidRPr="006C44E3">
        <w:rPr>
          <w:rtl/>
        </w:rPr>
        <w:t xml:space="preserve"> </w:t>
      </w:r>
      <w:r w:rsidRPr="006C44E3">
        <w:rPr>
          <w:rFonts w:hint="eastAsia"/>
          <w:rtl/>
        </w:rPr>
        <w:t>שפיטה</w:t>
      </w:r>
      <w:r w:rsidRPr="006C44E3">
        <w:rPr>
          <w:rtl/>
        </w:rPr>
        <w:t xml:space="preserve"> </w:t>
      </w:r>
      <w:r w:rsidRPr="006C44E3">
        <w:rPr>
          <w:rFonts w:hint="eastAsia"/>
          <w:rtl/>
        </w:rPr>
        <w:t>על</w:t>
      </w:r>
      <w:r w:rsidRPr="006C44E3">
        <w:rPr>
          <w:rtl/>
        </w:rPr>
        <w:t xml:space="preserve"> </w:t>
      </w:r>
      <w:r w:rsidRPr="006C44E3">
        <w:rPr>
          <w:rFonts w:hint="eastAsia"/>
          <w:rtl/>
        </w:rPr>
        <w:t>פי</w:t>
      </w:r>
      <w:r w:rsidRPr="006C44E3">
        <w:rPr>
          <w:rtl/>
        </w:rPr>
        <w:t xml:space="preserve"> </w:t>
      </w:r>
      <w:r w:rsidRPr="006C44E3">
        <w:rPr>
          <w:rFonts w:hint="eastAsia"/>
          <w:rtl/>
        </w:rPr>
        <w:t>דין</w:t>
      </w:r>
      <w:r w:rsidRPr="006C44E3">
        <w:rPr>
          <w:rtl/>
        </w:rPr>
        <w:t xml:space="preserve">, </w:t>
      </w:r>
      <w:r w:rsidRPr="006C44E3">
        <w:rPr>
          <w:rFonts w:hint="eastAsia"/>
          <w:rtl/>
        </w:rPr>
        <w:t>לרבות</w:t>
      </w:r>
      <w:r w:rsidRPr="006C44E3">
        <w:rPr>
          <w:rtl/>
        </w:rPr>
        <w:t xml:space="preserve"> </w:t>
      </w:r>
      <w:r w:rsidRPr="006C44E3">
        <w:rPr>
          <w:rFonts w:hint="eastAsia"/>
          <w:rtl/>
        </w:rPr>
        <w:t>בית</w:t>
      </w:r>
      <w:r w:rsidRPr="006C44E3">
        <w:rPr>
          <w:rtl/>
        </w:rPr>
        <w:t xml:space="preserve"> </w:t>
      </w:r>
      <w:r w:rsidRPr="006C44E3">
        <w:rPr>
          <w:rFonts w:hint="eastAsia"/>
          <w:rtl/>
        </w:rPr>
        <w:t>המשפט</w:t>
      </w:r>
      <w:r w:rsidRPr="006C44E3">
        <w:rPr>
          <w:rtl/>
        </w:rPr>
        <w:t xml:space="preserve"> </w:t>
      </w:r>
      <w:r w:rsidRPr="006C44E3">
        <w:rPr>
          <w:rFonts w:hint="eastAsia"/>
          <w:rtl/>
        </w:rPr>
        <w:t>העליון</w:t>
      </w:r>
      <w:r w:rsidRPr="006C44E3">
        <w:rPr>
          <w:rtl/>
        </w:rPr>
        <w:t xml:space="preserve"> </w:t>
      </w:r>
      <w:r w:rsidRPr="006C44E3">
        <w:rPr>
          <w:rFonts w:hint="eastAsia"/>
          <w:rtl/>
        </w:rPr>
        <w:t>בשבתו</w:t>
      </w:r>
      <w:r w:rsidRPr="006C44E3">
        <w:rPr>
          <w:rtl/>
        </w:rPr>
        <w:t xml:space="preserve"> </w:t>
      </w:r>
      <w:r w:rsidRPr="006C44E3">
        <w:rPr>
          <w:rFonts w:hint="eastAsia"/>
          <w:rtl/>
        </w:rPr>
        <w:t>כבית</w:t>
      </w:r>
      <w:r w:rsidRPr="006C44E3">
        <w:rPr>
          <w:rtl/>
        </w:rPr>
        <w:t xml:space="preserve"> </w:t>
      </w:r>
      <w:r w:rsidRPr="006C44E3">
        <w:rPr>
          <w:rFonts w:hint="eastAsia"/>
          <w:rtl/>
        </w:rPr>
        <w:t>משפט</w:t>
      </w:r>
      <w:r w:rsidRPr="006C44E3">
        <w:rPr>
          <w:rtl/>
        </w:rPr>
        <w:t xml:space="preserve"> </w:t>
      </w:r>
      <w:r w:rsidRPr="006C44E3">
        <w:rPr>
          <w:rFonts w:hint="eastAsia"/>
          <w:rtl/>
        </w:rPr>
        <w:t>גבוה</w:t>
      </w:r>
      <w:r w:rsidRPr="006C44E3">
        <w:rPr>
          <w:rtl/>
        </w:rPr>
        <w:t xml:space="preserve"> </w:t>
      </w:r>
      <w:r w:rsidRPr="006C44E3">
        <w:rPr>
          <w:rFonts w:hint="eastAsia"/>
          <w:rtl/>
        </w:rPr>
        <w:t>לצדק</w:t>
      </w:r>
      <w:r w:rsidRPr="006C44E3">
        <w:rPr>
          <w:rtl/>
        </w:rPr>
        <w:t xml:space="preserve">, </w:t>
      </w:r>
      <w:r w:rsidRPr="006C44E3">
        <w:rPr>
          <w:rFonts w:hint="eastAsia"/>
          <w:rtl/>
        </w:rPr>
        <w:t>לא</w:t>
      </w:r>
      <w:r w:rsidRPr="006C44E3">
        <w:rPr>
          <w:rtl/>
        </w:rPr>
        <w:t xml:space="preserve"> </w:t>
      </w:r>
      <w:r w:rsidRPr="006C44E3">
        <w:rPr>
          <w:rFonts w:hint="eastAsia"/>
          <w:rtl/>
        </w:rPr>
        <w:t>ידון</w:t>
      </w:r>
      <w:r w:rsidRPr="006C44E3">
        <w:rPr>
          <w:rtl/>
        </w:rPr>
        <w:t xml:space="preserve"> </w:t>
      </w:r>
      <w:r w:rsidRPr="006C44E3">
        <w:rPr>
          <w:rFonts w:hint="eastAsia"/>
          <w:rtl/>
        </w:rPr>
        <w:t>בעניין</w:t>
      </w:r>
      <w:r w:rsidRPr="006C44E3">
        <w:rPr>
          <w:rtl/>
        </w:rPr>
        <w:t xml:space="preserve"> </w:t>
      </w:r>
      <w:r w:rsidRPr="006C44E3">
        <w:rPr>
          <w:rFonts w:hint="eastAsia"/>
          <w:rtl/>
        </w:rPr>
        <w:t>סבירות</w:t>
      </w:r>
      <w:r w:rsidRPr="006C44E3">
        <w:rPr>
          <w:rtl/>
        </w:rPr>
        <w:t xml:space="preserve"> </w:t>
      </w:r>
      <w:r w:rsidRPr="006C44E3">
        <w:rPr>
          <w:rFonts w:hint="eastAsia"/>
          <w:rtl/>
        </w:rPr>
        <w:t>ההחלטה</w:t>
      </w:r>
      <w:r w:rsidRPr="006C44E3">
        <w:rPr>
          <w:rtl/>
        </w:rPr>
        <w:t xml:space="preserve"> </w:t>
      </w:r>
      <w:r w:rsidRPr="006C44E3">
        <w:rPr>
          <w:rFonts w:hint="eastAsia"/>
          <w:rtl/>
        </w:rPr>
        <w:t>של</w:t>
      </w:r>
      <w:r w:rsidRPr="006C44E3">
        <w:rPr>
          <w:rtl/>
        </w:rPr>
        <w:t xml:space="preserve"> </w:t>
      </w:r>
      <w:r w:rsidRPr="006C44E3">
        <w:rPr>
          <w:rFonts w:hint="eastAsia"/>
          <w:rtl/>
        </w:rPr>
        <w:t>הממשלה</w:t>
      </w:r>
      <w:r w:rsidRPr="006C44E3">
        <w:rPr>
          <w:rtl/>
        </w:rPr>
        <w:t xml:space="preserve">, </w:t>
      </w:r>
      <w:r w:rsidRPr="006C44E3">
        <w:rPr>
          <w:rFonts w:hint="eastAsia"/>
          <w:rtl/>
        </w:rPr>
        <w:t>של</w:t>
      </w:r>
      <w:r w:rsidRPr="006C44E3">
        <w:rPr>
          <w:rtl/>
        </w:rPr>
        <w:t xml:space="preserve"> </w:t>
      </w:r>
      <w:r w:rsidRPr="006C44E3">
        <w:rPr>
          <w:rFonts w:hint="eastAsia"/>
          <w:rtl/>
        </w:rPr>
        <w:t>ראש</w:t>
      </w:r>
      <w:r w:rsidRPr="006C44E3">
        <w:rPr>
          <w:rtl/>
        </w:rPr>
        <w:t xml:space="preserve"> </w:t>
      </w:r>
      <w:r w:rsidRPr="006C44E3">
        <w:rPr>
          <w:rFonts w:hint="eastAsia"/>
          <w:rtl/>
        </w:rPr>
        <w:t>הממשלה</w:t>
      </w:r>
      <w:r w:rsidRPr="006C44E3">
        <w:rPr>
          <w:rtl/>
        </w:rPr>
        <w:t xml:space="preserve"> </w:t>
      </w:r>
      <w:r w:rsidRPr="006C44E3">
        <w:rPr>
          <w:rFonts w:hint="eastAsia"/>
          <w:rtl/>
        </w:rPr>
        <w:t>או</w:t>
      </w:r>
      <w:r w:rsidRPr="006C44E3">
        <w:rPr>
          <w:rtl/>
        </w:rPr>
        <w:t xml:space="preserve"> </w:t>
      </w:r>
      <w:r w:rsidRPr="006C44E3">
        <w:rPr>
          <w:rFonts w:hint="eastAsia"/>
          <w:rtl/>
        </w:rPr>
        <w:t>של</w:t>
      </w:r>
      <w:r w:rsidRPr="006C44E3">
        <w:rPr>
          <w:rtl/>
        </w:rPr>
        <w:t xml:space="preserve"> </w:t>
      </w:r>
      <w:r w:rsidRPr="006C44E3">
        <w:rPr>
          <w:rFonts w:hint="eastAsia"/>
          <w:rtl/>
        </w:rPr>
        <w:t>שר</w:t>
      </w:r>
      <w:r w:rsidRPr="006C44E3">
        <w:rPr>
          <w:rtl/>
        </w:rPr>
        <w:t xml:space="preserve"> </w:t>
      </w:r>
      <w:r w:rsidRPr="006C44E3">
        <w:rPr>
          <w:rFonts w:hint="eastAsia"/>
          <w:rtl/>
        </w:rPr>
        <w:t>אחר</w:t>
      </w:r>
      <w:r w:rsidRPr="006C44E3">
        <w:rPr>
          <w:rtl/>
        </w:rPr>
        <w:t xml:space="preserve">, </w:t>
      </w:r>
      <w:r w:rsidRPr="006C44E3">
        <w:rPr>
          <w:rFonts w:hint="eastAsia"/>
          <w:rtl/>
        </w:rPr>
        <w:t>ולא</w:t>
      </w:r>
      <w:r w:rsidRPr="006C44E3">
        <w:rPr>
          <w:rtl/>
        </w:rPr>
        <w:t xml:space="preserve"> </w:t>
      </w:r>
      <w:r w:rsidRPr="006C44E3">
        <w:rPr>
          <w:rFonts w:hint="eastAsia"/>
          <w:rtl/>
        </w:rPr>
        <w:t>ייתן</w:t>
      </w:r>
      <w:r w:rsidRPr="006C44E3">
        <w:rPr>
          <w:rtl/>
        </w:rPr>
        <w:t xml:space="preserve"> </w:t>
      </w:r>
      <w:r w:rsidRPr="006C44E3">
        <w:rPr>
          <w:rFonts w:hint="eastAsia"/>
          <w:rtl/>
        </w:rPr>
        <w:t>צו</w:t>
      </w:r>
      <w:r w:rsidRPr="006C44E3">
        <w:rPr>
          <w:rtl/>
        </w:rPr>
        <w:t xml:space="preserve"> </w:t>
      </w:r>
      <w:r w:rsidRPr="006C44E3">
        <w:rPr>
          <w:rFonts w:hint="eastAsia"/>
          <w:rtl/>
        </w:rPr>
        <w:t>בעניין</w:t>
      </w:r>
      <w:r w:rsidRPr="006C44E3">
        <w:rPr>
          <w:rtl/>
        </w:rPr>
        <w:t xml:space="preserve"> </w:t>
      </w:r>
      <w:r w:rsidRPr="006C44E3">
        <w:rPr>
          <w:rFonts w:hint="eastAsia"/>
          <w:rtl/>
        </w:rPr>
        <w:t>כאמור</w:t>
      </w:r>
      <w:r w:rsidRPr="006C44E3">
        <w:rPr>
          <w:rtl/>
        </w:rPr>
        <w:t xml:space="preserve">; </w:t>
      </w:r>
      <w:r w:rsidRPr="006C44E3">
        <w:rPr>
          <w:rFonts w:hint="eastAsia"/>
          <w:rtl/>
        </w:rPr>
        <w:t>בסעיף</w:t>
      </w:r>
      <w:r w:rsidRPr="006C44E3">
        <w:rPr>
          <w:rtl/>
        </w:rPr>
        <w:t xml:space="preserve"> </w:t>
      </w:r>
      <w:r w:rsidRPr="006C44E3">
        <w:rPr>
          <w:rFonts w:hint="eastAsia"/>
          <w:rtl/>
        </w:rPr>
        <w:t>זה</w:t>
      </w:r>
      <w:r w:rsidRPr="006C44E3">
        <w:rPr>
          <w:rtl/>
        </w:rPr>
        <w:t>, "</w:t>
      </w:r>
      <w:r w:rsidRPr="006C44E3">
        <w:rPr>
          <w:rFonts w:hint="eastAsia"/>
          <w:rtl/>
        </w:rPr>
        <w:t>החלטה</w:t>
      </w:r>
      <w:r w:rsidRPr="006C44E3">
        <w:rPr>
          <w:rtl/>
        </w:rPr>
        <w:t xml:space="preserve">" – </w:t>
      </w:r>
      <w:r w:rsidRPr="006C44E3">
        <w:rPr>
          <w:rFonts w:hint="eastAsia"/>
          <w:rtl/>
        </w:rPr>
        <w:t>כל</w:t>
      </w:r>
      <w:r w:rsidRPr="006C44E3">
        <w:rPr>
          <w:rtl/>
        </w:rPr>
        <w:t xml:space="preserve"> </w:t>
      </w:r>
      <w:r w:rsidRPr="006C44E3">
        <w:rPr>
          <w:rFonts w:hint="eastAsia"/>
          <w:rtl/>
        </w:rPr>
        <w:t>החלטה</w:t>
      </w:r>
      <w:r w:rsidRPr="006C44E3">
        <w:rPr>
          <w:rtl/>
        </w:rPr>
        <w:t xml:space="preserve">, </w:t>
      </w:r>
      <w:r w:rsidRPr="006C44E3">
        <w:rPr>
          <w:rFonts w:hint="eastAsia"/>
          <w:rtl/>
        </w:rPr>
        <w:t>לרבות</w:t>
      </w:r>
      <w:r w:rsidRPr="006C44E3">
        <w:rPr>
          <w:rtl/>
        </w:rPr>
        <w:t xml:space="preserve"> </w:t>
      </w:r>
      <w:r w:rsidRPr="006C44E3">
        <w:rPr>
          <w:rFonts w:hint="eastAsia"/>
          <w:rtl/>
        </w:rPr>
        <w:t>בענייני</w:t>
      </w:r>
      <w:r w:rsidRPr="006C44E3">
        <w:rPr>
          <w:rtl/>
        </w:rPr>
        <w:t xml:space="preserve"> </w:t>
      </w:r>
      <w:r w:rsidRPr="006C44E3">
        <w:rPr>
          <w:rFonts w:hint="eastAsia"/>
          <w:rtl/>
        </w:rPr>
        <w:t>מינויים</w:t>
      </w:r>
      <w:r w:rsidRPr="006C44E3">
        <w:rPr>
          <w:rtl/>
        </w:rPr>
        <w:t xml:space="preserve"> </w:t>
      </w:r>
      <w:r w:rsidRPr="006C44E3">
        <w:rPr>
          <w:rFonts w:hint="eastAsia"/>
          <w:rtl/>
        </w:rPr>
        <w:t>או</w:t>
      </w:r>
      <w:r w:rsidRPr="006C44E3">
        <w:rPr>
          <w:rtl/>
        </w:rPr>
        <w:t xml:space="preserve"> </w:t>
      </w:r>
      <w:r w:rsidRPr="006C44E3">
        <w:rPr>
          <w:rFonts w:hint="eastAsia"/>
          <w:rtl/>
        </w:rPr>
        <w:t>החלטה</w:t>
      </w:r>
      <w:r w:rsidRPr="006C44E3">
        <w:rPr>
          <w:rtl/>
        </w:rPr>
        <w:t xml:space="preserve"> </w:t>
      </w:r>
      <w:r w:rsidRPr="006C44E3">
        <w:rPr>
          <w:rFonts w:hint="eastAsia"/>
          <w:rtl/>
        </w:rPr>
        <w:t>להימנע</w:t>
      </w:r>
      <w:r w:rsidRPr="006C44E3">
        <w:rPr>
          <w:rtl/>
        </w:rPr>
        <w:t xml:space="preserve"> </w:t>
      </w:r>
      <w:r w:rsidRPr="006C44E3">
        <w:rPr>
          <w:rFonts w:hint="eastAsia"/>
          <w:rtl/>
        </w:rPr>
        <w:t>מהפעלת</w:t>
      </w:r>
      <w:r w:rsidRPr="006C44E3">
        <w:rPr>
          <w:rtl/>
        </w:rPr>
        <w:t xml:space="preserve"> </w:t>
      </w:r>
      <w:r w:rsidRPr="006C44E3">
        <w:rPr>
          <w:rFonts w:hint="eastAsia"/>
          <w:rtl/>
        </w:rPr>
        <w:t>כל</w:t>
      </w:r>
      <w:r w:rsidRPr="006C44E3">
        <w:rPr>
          <w:rtl/>
        </w:rPr>
        <w:t xml:space="preserve"> </w:t>
      </w:r>
      <w:r w:rsidRPr="006C44E3">
        <w:rPr>
          <w:rFonts w:hint="eastAsia"/>
          <w:rtl/>
        </w:rPr>
        <w:t>סמכות</w:t>
      </w:r>
      <w:r w:rsidRPr="006C44E3">
        <w:rPr>
          <w:rtl/>
        </w:rPr>
        <w:t xml:space="preserve">." </w:t>
      </w:r>
    </w:p>
    <w:p w:rsidR="00AF4803" w:rsidRPr="006C44E3" w:rsidRDefault="00AF4803" w:rsidP="00AF4803">
      <w:pPr>
        <w:pStyle w:val="Ruller5"/>
        <w:rPr>
          <w:rtl/>
        </w:rPr>
      </w:pPr>
    </w:p>
    <w:p w:rsidR="00AF4803" w:rsidRPr="006C44E3" w:rsidRDefault="00AF4803" w:rsidP="00AF4803">
      <w:pPr>
        <w:pStyle w:val="Ruller4"/>
      </w:pPr>
      <w:r w:rsidRPr="006C44E3">
        <w:rPr>
          <w:rtl/>
        </w:rPr>
        <w:tab/>
      </w:r>
      <w:r w:rsidRPr="006C44E3">
        <w:rPr>
          <w:rFonts w:hint="cs"/>
          <w:rtl/>
        </w:rPr>
        <w:t>מי שנדרש ליישם את תיקון מס' 3, בעיקרו של דבר, היא הרשות השופטת לה נתונה מלאכת פרשנותו. לצד זאת, קיימת חשיבות רבה ביותר גם לאופן שבו הרשות המבצעת תפרש את תיקון מס' 3. אחת מהמשמעויות של דחיית עתירה מטעמי העדר בשלות, הוא כי ההכרעה השיפוטית בטענות תתקבל רק לאחר שהרשות המבצעת תציג את פרשנותה שלה לתיקון והשלכותיו (ראו והשוו:</w:t>
      </w:r>
      <w:r w:rsidRPr="006C44E3">
        <w:rPr>
          <w:rFonts w:ascii="Century" w:hAnsi="Century" w:cs="Miriam" w:hint="cs"/>
          <w:b/>
          <w:spacing w:val="0"/>
          <w:sz w:val="22"/>
          <w:szCs w:val="24"/>
          <w:rtl/>
        </w:rPr>
        <w:t xml:space="preserve"> פוליאק</w:t>
      </w:r>
      <w:r w:rsidRPr="006C44E3">
        <w:rPr>
          <w:rFonts w:hint="cs"/>
          <w:rtl/>
        </w:rPr>
        <w:t xml:space="preserve">, בעמוד 59). למעשה, מתבקש כי מקום בו בית המשפט סבור כי נכון לשקול התערבות בתוכנו של חוק-יסוד, הדבר ייעשה רק לאחר בחינת יישומו ועיצוב גבולותיו בפרשנות בית המשפט. כפי שהבהירה הנשיאה </w:t>
      </w:r>
      <w:r w:rsidRPr="006C44E3">
        <w:rPr>
          <w:rFonts w:ascii="Century" w:hAnsi="Century" w:cs="Miriam" w:hint="cs"/>
          <w:b/>
          <w:spacing w:val="0"/>
          <w:sz w:val="22"/>
          <w:szCs w:val="24"/>
          <w:rtl/>
        </w:rPr>
        <w:t>ד' ביניש</w:t>
      </w:r>
      <w:r w:rsidRPr="006C44E3">
        <w:rPr>
          <w:rFonts w:hint="cs"/>
          <w:rtl/>
        </w:rPr>
        <w:t xml:space="preserve"> בעניין </w:t>
      </w:r>
      <w:r w:rsidRPr="006C44E3">
        <w:rPr>
          <w:rFonts w:ascii="Century" w:hAnsi="Century" w:cs="Miriam" w:hint="cs"/>
          <w:b/>
          <w:spacing w:val="0"/>
          <w:sz w:val="22"/>
          <w:szCs w:val="24"/>
          <w:rtl/>
        </w:rPr>
        <w:t>בוגרי התיכון</w:t>
      </w:r>
      <w:r w:rsidRPr="006C44E3">
        <w:rPr>
          <w:rFonts w:hint="cs"/>
          <w:rtl/>
        </w:rPr>
        <w:t>:</w:t>
      </w:r>
    </w:p>
    <w:p w:rsidR="00AF4803" w:rsidRPr="006C44E3" w:rsidRDefault="00AF4803" w:rsidP="00AF4803">
      <w:pPr>
        <w:pStyle w:val="Ruller4"/>
        <w:numPr>
          <w:ilvl w:val="0"/>
          <w:numId w:val="0"/>
        </w:numPr>
        <w:rPr>
          <w:rtl/>
        </w:rPr>
      </w:pPr>
    </w:p>
    <w:p w:rsidR="00AF4803" w:rsidRPr="006C44E3" w:rsidRDefault="00AF4803" w:rsidP="00AF4803">
      <w:pPr>
        <w:pStyle w:val="Ruller5"/>
        <w:rPr>
          <w:rtl/>
        </w:rPr>
      </w:pPr>
      <w:r w:rsidRPr="006C44E3">
        <w:rPr>
          <w:rtl/>
        </w:rPr>
        <w:t>"ברמה הצהרתית אכן מעורר החוק על פניו שאלות קשות ומורכבות, אלא שחוקתיותו של החוק תלויה, מלכתחילה במידה רבה בתוכן הפרשני שינתן להוראותיו, והדבר יתברר רק בשלב יישומו</w:t>
      </w:r>
      <w:r w:rsidRPr="006C44E3">
        <w:rPr>
          <w:rFonts w:hint="cs"/>
          <w:rtl/>
        </w:rPr>
        <w:t xml:space="preserve">". </w:t>
      </w:r>
    </w:p>
    <w:p w:rsidR="00AF4803" w:rsidRPr="006C44E3" w:rsidRDefault="00AF4803" w:rsidP="00AF4803">
      <w:pPr>
        <w:pStyle w:val="Ruller4"/>
        <w:numPr>
          <w:ilvl w:val="0"/>
          <w:numId w:val="0"/>
        </w:numPr>
        <w:rPr>
          <w:rtl/>
        </w:rPr>
      </w:pPr>
    </w:p>
    <w:p w:rsidR="00AF4803" w:rsidRPr="006C44E3" w:rsidRDefault="00AF4803" w:rsidP="00AF4803">
      <w:pPr>
        <w:pStyle w:val="Ruller4"/>
      </w:pPr>
      <w:r w:rsidRPr="006C44E3">
        <w:rPr>
          <w:rFonts w:hint="cs"/>
          <w:rtl/>
        </w:rPr>
        <w:t>במקרה דנן, ניסוחו של הסעיף מושא העתירות מותיר סימני שאלה פרשניים. בין היתר, התיקון מתייחס ל</w:t>
      </w:r>
      <w:r w:rsidRPr="006C44E3">
        <w:rPr>
          <w:rtl/>
        </w:rPr>
        <w:t>"</w:t>
      </w:r>
      <w:r w:rsidRPr="006C44E3">
        <w:rPr>
          <w:rFonts w:hint="eastAsia"/>
          <w:rtl/>
        </w:rPr>
        <w:t>ענייני</w:t>
      </w:r>
      <w:r w:rsidRPr="006C44E3">
        <w:rPr>
          <w:rtl/>
        </w:rPr>
        <w:t xml:space="preserve"> </w:t>
      </w:r>
      <w:r w:rsidRPr="006C44E3">
        <w:rPr>
          <w:rFonts w:hint="eastAsia"/>
          <w:rtl/>
        </w:rPr>
        <w:t>מינויים</w:t>
      </w:r>
      <w:r w:rsidRPr="006C44E3">
        <w:rPr>
          <w:rtl/>
        </w:rPr>
        <w:t>"</w:t>
      </w:r>
      <w:r w:rsidRPr="006C44E3">
        <w:rPr>
          <w:rFonts w:hint="cs"/>
          <w:rtl/>
        </w:rPr>
        <w:t>,</w:t>
      </w:r>
      <w:r w:rsidRPr="006C44E3">
        <w:rPr>
          <w:rtl/>
        </w:rPr>
        <w:t xml:space="preserve"> </w:t>
      </w:r>
      <w:r w:rsidRPr="006C44E3">
        <w:rPr>
          <w:rFonts w:hint="cs"/>
          <w:rtl/>
        </w:rPr>
        <w:t xml:space="preserve">אולם גבולות תיבה זו אינם ברורים. אף התיבה "לא ידון" </w:t>
      </w:r>
      <w:r w:rsidRPr="006C44E3">
        <w:rPr>
          <w:rtl/>
        </w:rPr>
        <w:t>–</w:t>
      </w:r>
      <w:r w:rsidRPr="006C44E3">
        <w:rPr>
          <w:rFonts w:hint="cs"/>
          <w:rtl/>
        </w:rPr>
        <w:t xml:space="preserve"> טעונה פרשנות, שכן ליבון הטענות וסיווגן מחייב את הבאתן לפתחו של בית המשפט. יש להדגיש, כי במענה לשאלתי במהלך הדיון בעתירות, השיב בא-כוח הממשלה כי הכוונה היא שבית המשפט לא ידון </w:t>
      </w:r>
      <w:r w:rsidRPr="006C44E3">
        <w:rPr>
          <w:rFonts w:ascii="Century" w:hAnsi="Century" w:cs="Miriam" w:hint="cs"/>
          <w:b/>
          <w:spacing w:val="0"/>
          <w:sz w:val="22"/>
          <w:szCs w:val="24"/>
          <w:rtl/>
        </w:rPr>
        <w:t>לגופו</w:t>
      </w:r>
      <w:r w:rsidRPr="006C44E3">
        <w:rPr>
          <w:rFonts w:hint="cs"/>
          <w:rtl/>
        </w:rPr>
        <w:t xml:space="preserve"> בטענות מסוג זה שכן הציפייה היא שהן ידחו על הסף (פרו' דיון מיום 12.9.2023, בעמוד 70). אכן, ספק אם ניתן לקיים את מצוותו המהותית של המכונן ללא סיווג מקדים של הטענה ככזו אשר נכנסת לגדרי הסעיף. מטבע הדברים, סוגיה זו תתבהר בעתיד. איני שותף אפוא לעמדת חברתי, הנשיאה (בדימ'), אשר רואה במילים "לא ידון" מחסום מוחלט מפני הידרשות לסוגיה (פסקה 101 לחוות דעתה). </w:t>
      </w:r>
    </w:p>
    <w:p w:rsidR="00AF4803" w:rsidRPr="006C44E3" w:rsidRDefault="00AF4803" w:rsidP="00AF4803">
      <w:pPr>
        <w:pStyle w:val="Ruller4"/>
        <w:numPr>
          <w:ilvl w:val="0"/>
          <w:numId w:val="0"/>
        </w:numPr>
        <w:rPr>
          <w:rtl/>
        </w:rPr>
      </w:pPr>
    </w:p>
    <w:p w:rsidR="00AF4803" w:rsidRPr="006C44E3" w:rsidRDefault="00AF4803" w:rsidP="00AF4803">
      <w:pPr>
        <w:pStyle w:val="Ruller4"/>
        <w:numPr>
          <w:ilvl w:val="0"/>
          <w:numId w:val="0"/>
        </w:numPr>
        <w:rPr>
          <w:rtl/>
        </w:rPr>
      </w:pPr>
      <w:r w:rsidRPr="006C44E3">
        <w:rPr>
          <w:rtl/>
        </w:rPr>
        <w:tab/>
      </w:r>
      <w:r w:rsidRPr="006C44E3">
        <w:rPr>
          <w:rFonts w:hint="cs"/>
          <w:rtl/>
        </w:rPr>
        <w:t>כמו כן, קיימת אי-התאמה מסוימת בין דברי ההסבר (דברי ההסבר להצעת חוק-יסוד: השפיטה (תיקון מס' 5) (עילת הסבירות), התשפ"ג</w:t>
      </w:r>
      <w:r w:rsidRPr="006C44E3">
        <w:rPr>
          <w:rtl/>
        </w:rPr>
        <w:t>–</w:t>
      </w:r>
      <w:r w:rsidRPr="006C44E3">
        <w:rPr>
          <w:rFonts w:hint="cs"/>
          <w:rtl/>
        </w:rPr>
        <w:t xml:space="preserve">2023, ס"ח 968 (להלן: </w:t>
      </w:r>
      <w:r w:rsidRPr="006C44E3">
        <w:rPr>
          <w:rFonts w:ascii="Century" w:hAnsi="Century" w:cs="Miriam" w:hint="cs"/>
          <w:b/>
          <w:spacing w:val="0"/>
          <w:sz w:val="22"/>
          <w:szCs w:val="24"/>
          <w:rtl/>
        </w:rPr>
        <w:t>דברי ההסבר</w:t>
      </w:r>
      <w:r w:rsidRPr="006C44E3">
        <w:rPr>
          <w:rFonts w:hint="cs"/>
          <w:rtl/>
        </w:rPr>
        <w:t xml:space="preserve">)), לבין נוסח הסעיף. דברי ההסבר מלמדים על רצון המחוקק לשנות את פרשנות גבולות עילת הסבירות לאור </w:t>
      </w:r>
      <w:r w:rsidRPr="006C44E3">
        <w:rPr>
          <w:rtl/>
        </w:rPr>
        <w:t xml:space="preserve">בג"ץ 389/80 </w:t>
      </w:r>
      <w:r w:rsidRPr="006C44E3">
        <w:rPr>
          <w:rFonts w:ascii="Century" w:hAnsi="Century" w:cs="Miriam"/>
          <w:b/>
          <w:spacing w:val="0"/>
          <w:sz w:val="22"/>
          <w:szCs w:val="24"/>
          <w:rtl/>
        </w:rPr>
        <w:t>דפי זהב בע"מ נ' רשות השידור</w:t>
      </w:r>
      <w:r w:rsidRPr="006C44E3">
        <w:rPr>
          <w:rtl/>
        </w:rPr>
        <w:t xml:space="preserve">, </w:t>
      </w:r>
      <w:r w:rsidRPr="006C44E3">
        <w:rPr>
          <w:rFonts w:hint="cs"/>
          <w:rtl/>
        </w:rPr>
        <w:t xml:space="preserve">פ"ד </w:t>
      </w:r>
      <w:r w:rsidRPr="006C44E3">
        <w:rPr>
          <w:rtl/>
        </w:rPr>
        <w:t xml:space="preserve">לה(1) </w:t>
      </w:r>
      <w:r w:rsidRPr="006C44E3">
        <w:rPr>
          <w:rtl/>
        </w:rPr>
        <w:lastRenderedPageBreak/>
        <w:t>421</w:t>
      </w:r>
      <w:r w:rsidRPr="006C44E3">
        <w:rPr>
          <w:rFonts w:hint="cs"/>
          <w:rtl/>
        </w:rPr>
        <w:t xml:space="preserve"> (1980) (להלן: עניין </w:t>
      </w:r>
      <w:r w:rsidRPr="006C44E3">
        <w:rPr>
          <w:rFonts w:ascii="Century" w:hAnsi="Century" w:cs="Miriam" w:hint="cs"/>
          <w:b/>
          <w:spacing w:val="0"/>
          <w:sz w:val="22"/>
          <w:szCs w:val="24"/>
          <w:rtl/>
        </w:rPr>
        <w:t>דפי זהב</w:t>
      </w:r>
      <w:r w:rsidRPr="006C44E3">
        <w:rPr>
          <w:rFonts w:hint="cs"/>
          <w:rtl/>
        </w:rPr>
        <w:t xml:space="preserve"> או הלכת </w:t>
      </w:r>
      <w:r w:rsidRPr="006C44E3">
        <w:rPr>
          <w:rFonts w:ascii="Century" w:hAnsi="Century" w:cs="Miriam" w:hint="cs"/>
          <w:b/>
          <w:spacing w:val="0"/>
          <w:sz w:val="22"/>
          <w:szCs w:val="24"/>
          <w:rtl/>
        </w:rPr>
        <w:t>דפי זהב</w:t>
      </w:r>
      <w:r w:rsidRPr="006C44E3">
        <w:rPr>
          <w:rFonts w:hint="cs"/>
          <w:rtl/>
        </w:rPr>
        <w:t xml:space="preserve">). אם תרצו, לצמצם את גבולות עילת הסבירות להיקפה טרם מתן פסק הדין בעניין </w:t>
      </w:r>
      <w:r w:rsidRPr="006C44E3">
        <w:rPr>
          <w:rFonts w:ascii="Century" w:hAnsi="Century" w:cs="Miriam" w:hint="cs"/>
          <w:b/>
          <w:spacing w:val="0"/>
          <w:sz w:val="22"/>
          <w:szCs w:val="24"/>
          <w:rtl/>
        </w:rPr>
        <w:t>דפי זהב</w:t>
      </w:r>
      <w:r w:rsidRPr="006C44E3">
        <w:rPr>
          <w:rFonts w:hint="cs"/>
          <w:rtl/>
        </w:rPr>
        <w:t xml:space="preserve"> (על המשקל הפרשני שיש להקנות לדברי ההסבר לחקיקה, ראו </w:t>
      </w:r>
      <w:r w:rsidRPr="006C44E3">
        <w:rPr>
          <w:rtl/>
        </w:rPr>
        <w:t xml:space="preserve">רע"א 10011/17 </w:t>
      </w:r>
      <w:r w:rsidRPr="006C44E3">
        <w:rPr>
          <w:rFonts w:ascii="Century" w:hAnsi="Century" w:cs="Miriam"/>
          <w:b/>
          <w:spacing w:val="0"/>
          <w:sz w:val="22"/>
          <w:szCs w:val="24"/>
          <w:rtl/>
        </w:rPr>
        <w:t>מי-טל הנדסה ושירותים בע"מ נ' סלמאן</w:t>
      </w:r>
      <w:r w:rsidRPr="006C44E3">
        <w:rPr>
          <w:rFonts w:hint="cs"/>
          <w:rtl/>
        </w:rPr>
        <w:t xml:space="preserve">, פסקה 33 לפסק דינו של השופט </w:t>
      </w:r>
      <w:r w:rsidRPr="006C44E3">
        <w:rPr>
          <w:rFonts w:ascii="Century" w:hAnsi="Century" w:cs="Miriam" w:hint="cs"/>
          <w:b/>
          <w:spacing w:val="0"/>
          <w:sz w:val="22"/>
          <w:szCs w:val="24"/>
          <w:rtl/>
        </w:rPr>
        <w:t>מ' מזוז</w:t>
      </w:r>
      <w:r w:rsidRPr="006C44E3">
        <w:rPr>
          <w:rtl/>
        </w:rPr>
        <w:t xml:space="preserve"> (19.</w:t>
      </w:r>
      <w:r w:rsidRPr="006C44E3">
        <w:rPr>
          <w:rFonts w:hint="cs"/>
          <w:rtl/>
        </w:rPr>
        <w:t>8</w:t>
      </w:r>
      <w:r w:rsidRPr="006C44E3">
        <w:rPr>
          <w:rtl/>
        </w:rPr>
        <w:t>.2019)</w:t>
      </w:r>
      <w:r w:rsidRPr="006C44E3">
        <w:rPr>
          <w:rFonts w:hint="cs"/>
          <w:rtl/>
        </w:rPr>
        <w:t xml:space="preserve">; </w:t>
      </w:r>
      <w:r w:rsidRPr="006C44E3">
        <w:rPr>
          <w:rtl/>
        </w:rPr>
        <w:t xml:space="preserve">בג"ץ 3353/18 </w:t>
      </w:r>
      <w:r w:rsidRPr="006C44E3">
        <w:rPr>
          <w:rFonts w:ascii="Century" w:hAnsi="Century" w:cs="Miriam"/>
          <w:b/>
          <w:spacing w:val="0"/>
          <w:sz w:val="22"/>
          <w:szCs w:val="24"/>
          <w:rtl/>
        </w:rPr>
        <w:t>קליבורן נ' משרד הפנים</w:t>
      </w:r>
      <w:r w:rsidRPr="006C44E3">
        <w:rPr>
          <w:rFonts w:hint="cs"/>
          <w:rtl/>
        </w:rPr>
        <w:t xml:space="preserve">, פסקה 24 </w:t>
      </w:r>
      <w:r w:rsidRPr="006C44E3">
        <w:rPr>
          <w:rtl/>
        </w:rPr>
        <w:t>(22.</w:t>
      </w:r>
      <w:r w:rsidRPr="006C44E3">
        <w:rPr>
          <w:rFonts w:hint="cs"/>
          <w:rtl/>
        </w:rPr>
        <w:t>9</w:t>
      </w:r>
      <w:r w:rsidRPr="006C44E3">
        <w:rPr>
          <w:rtl/>
        </w:rPr>
        <w:t>.2020)</w:t>
      </w:r>
      <w:r w:rsidRPr="006C44E3">
        <w:rPr>
          <w:rFonts w:hint="cs"/>
          <w:rtl/>
        </w:rPr>
        <w:t xml:space="preserve">). אולם, על פני הדברים, התיקון עצמו נוקט בלשון גורפת יותר. </w:t>
      </w:r>
    </w:p>
    <w:p w:rsidR="00AF4803" w:rsidRPr="006C44E3" w:rsidRDefault="00AF4803" w:rsidP="00AF4803">
      <w:pPr>
        <w:pStyle w:val="Ruller4"/>
        <w:numPr>
          <w:ilvl w:val="0"/>
          <w:numId w:val="0"/>
        </w:numPr>
        <w:rPr>
          <w:rtl/>
        </w:rPr>
      </w:pPr>
    </w:p>
    <w:p w:rsidR="00AF4803" w:rsidRPr="006C44E3" w:rsidRDefault="00AF4803" w:rsidP="00AF4803">
      <w:pPr>
        <w:pStyle w:val="Ruller4"/>
        <w:numPr>
          <w:ilvl w:val="0"/>
          <w:numId w:val="0"/>
        </w:numPr>
        <w:rPr>
          <w:rtl/>
        </w:rPr>
      </w:pPr>
      <w:r w:rsidRPr="006C44E3">
        <w:rPr>
          <w:rtl/>
        </w:rPr>
        <w:tab/>
      </w:r>
      <w:r w:rsidRPr="006C44E3">
        <w:rPr>
          <w:rFonts w:hint="cs"/>
          <w:rtl/>
        </w:rPr>
        <w:t>בכל אופן, נותר להכריע במקרים שעוד יובאו לפני בתי המשפט האם עילת הסבירות בוטלה כליל, או ששרידיה נותרו בתצורה המכונה עילת הסבירות ה"מצומצמ</w:t>
      </w:r>
      <w:r w:rsidRPr="006C44E3">
        <w:rPr>
          <w:rFonts w:hint="eastAsia"/>
          <w:rtl/>
        </w:rPr>
        <w:t>ת</w:t>
      </w:r>
      <w:r w:rsidRPr="006C44E3">
        <w:rPr>
          <w:rFonts w:hint="cs"/>
          <w:rtl/>
        </w:rPr>
        <w:t>" או בטרמינולוגי</w:t>
      </w:r>
      <w:r w:rsidRPr="006C44E3">
        <w:rPr>
          <w:rFonts w:hint="eastAsia"/>
          <w:rtl/>
        </w:rPr>
        <w:t>ה</w:t>
      </w:r>
      <w:r w:rsidRPr="006C44E3">
        <w:rPr>
          <w:rFonts w:hint="cs"/>
          <w:rtl/>
        </w:rPr>
        <w:t xml:space="preserve"> של "מופרכות", אשר הייתה מקובלת עד לפסק הדין בעניין </w:t>
      </w:r>
      <w:r w:rsidRPr="006C44E3">
        <w:rPr>
          <w:rFonts w:ascii="Century" w:hAnsi="Century" w:cs="Miriam" w:hint="cs"/>
          <w:b/>
          <w:spacing w:val="0"/>
          <w:sz w:val="22"/>
          <w:szCs w:val="24"/>
          <w:rtl/>
        </w:rPr>
        <w:t>דפי זהב</w:t>
      </w:r>
      <w:r w:rsidRPr="006C44E3">
        <w:rPr>
          <w:rFonts w:hint="cs"/>
          <w:rtl/>
        </w:rPr>
        <w:t xml:space="preserve">. בסוגיה זו עמדת הממשלה, אף בהליך שלפנינו, לא הייתה עקבית (ראו למשל סעיף 165 לכתב התשובה מטעם המשיבים 7-5 אל מול סעיף 45 להשלמת הטיעון מטעמם). ממילא, כוונתם הסובייקטיבית של מנסחי תיקון מס' 3 אינה בגדר סוף פסוק. כמו כן, ספקות פרשניים באשר לגבולותיו של תיקון מס' 3 הועלו גם בעמדת הכנסת. אם כך, בתי המשפט עשויים להגיע לבסוף למסקנה כי משמעות התיקון היא ביטול הלכת </w:t>
      </w:r>
      <w:r w:rsidRPr="006C44E3">
        <w:rPr>
          <w:rFonts w:ascii="Century" w:hAnsi="Century" w:cs="Miriam" w:hint="cs"/>
          <w:b/>
          <w:spacing w:val="0"/>
          <w:sz w:val="22"/>
          <w:szCs w:val="24"/>
          <w:rtl/>
        </w:rPr>
        <w:t>דפי זהב</w:t>
      </w:r>
      <w:r w:rsidRPr="006C44E3">
        <w:rPr>
          <w:rFonts w:hint="cs"/>
          <w:rtl/>
        </w:rPr>
        <w:t xml:space="preserve"> ותו לא. אם זו אכן המשמעות הסופית של תיקון מס' 3 הרי שעוצמת הפגיעה של התיקון בעקרונות הדמוקרטיים השונים רחוקה עוד יותר מלהיות כזו המצדיקה ביטול סעיף מתוך חוק-יסוד.</w:t>
      </w:r>
    </w:p>
    <w:p w:rsidR="00AF4803" w:rsidRPr="006C44E3" w:rsidRDefault="00AF4803" w:rsidP="00AF4803">
      <w:pPr>
        <w:pStyle w:val="Ruller4"/>
        <w:numPr>
          <w:ilvl w:val="0"/>
          <w:numId w:val="0"/>
        </w:numPr>
        <w:rPr>
          <w:rtl/>
        </w:rPr>
      </w:pPr>
    </w:p>
    <w:p w:rsidR="00AF4803" w:rsidRPr="006C44E3" w:rsidRDefault="00AF4803" w:rsidP="00AF4803">
      <w:pPr>
        <w:pStyle w:val="Ruller4"/>
        <w:rPr>
          <w:rtl/>
        </w:rPr>
      </w:pPr>
      <w:r w:rsidRPr="006C44E3">
        <w:rPr>
          <w:rFonts w:hint="cs"/>
          <w:rtl/>
        </w:rPr>
        <w:t xml:space="preserve">חברתי הנשיאה (בדימ') איננה רואה נתיב פרשני המוביל למסקנה כי תיקון מס' 3 רק ביטל את הלכת </w:t>
      </w:r>
      <w:r w:rsidRPr="006C44E3">
        <w:rPr>
          <w:rFonts w:ascii="Century" w:hAnsi="Century" w:cs="Miriam" w:hint="cs"/>
          <w:b/>
          <w:spacing w:val="0"/>
          <w:sz w:val="22"/>
          <w:szCs w:val="24"/>
          <w:rtl/>
        </w:rPr>
        <w:t>דפי זהב</w:t>
      </w:r>
      <w:r w:rsidRPr="006C44E3">
        <w:rPr>
          <w:rFonts w:hint="cs"/>
          <w:rtl/>
        </w:rPr>
        <w:t xml:space="preserve">. לכך אשיב: ראשית, בית משפט זה בעבר, בשורה ארוכה של מקרים, בחר שלא להיצמד ללשון החוק משיקולים כאלו ואחרים. איני רואה מדוע דווקא הפעם זו יש להקנות ללשון החוק משקל כה מכריע; שנית, הקושי שבעיגון סמכות בית משפט זה לפסול חוק-יסוד על בסיס עקרונות רחבים ומונחים עמומים עולה בהרבה על הקושי שבאימוץ פרשנות שבה תומכת הכנסת ובה תמכו גם משיבי הממשלה בשלב מסוים (ראו כאמור סעיף 165 לכתב התשובה מטעמם); בנוסף, גם אם בסופו של יום היו מגיעים בתי המשפט למסקנה הדומה למסקנת חברתי </w:t>
      </w:r>
      <w:r w:rsidRPr="006C44E3">
        <w:rPr>
          <w:rtl/>
        </w:rPr>
        <w:t>–</w:t>
      </w:r>
      <w:r w:rsidRPr="006C44E3">
        <w:rPr>
          <w:rFonts w:hint="cs"/>
          <w:rtl/>
        </w:rPr>
        <w:t xml:space="preserve"> כי הפרשנות היחידה האפשרית היא כזו שלפיה עילת הסבירות בוטלה לחלוטין, אין הדבר מצדיק קביעה כה נחרצת כבר בשלב זה. אם כן, ל</w:t>
      </w:r>
      <w:r w:rsidRPr="006C44E3">
        <w:rPr>
          <w:rFonts w:ascii="FrankRuehl" w:hAnsi="FrankRuehl"/>
          <w:rtl/>
        </w:rPr>
        <w:t>וּ</w:t>
      </w:r>
      <w:r w:rsidRPr="006C44E3">
        <w:rPr>
          <w:rFonts w:hint="cs"/>
          <w:rtl/>
        </w:rPr>
        <w:t xml:space="preserve"> תתקבל דעתי, ראוי להותיר את ההכרעה בסוגיות </w:t>
      </w:r>
      <w:r>
        <w:rPr>
          <w:rFonts w:hint="cs"/>
          <w:rtl/>
        </w:rPr>
        <w:t>פרשניות אלו, לצד סוגיות פרשניות</w:t>
      </w:r>
      <w:r w:rsidRPr="006C44E3">
        <w:rPr>
          <w:rFonts w:hint="cs"/>
          <w:rtl/>
        </w:rPr>
        <w:t xml:space="preserve"> אחרות, למקרים עתידיים אשר יובאו לפני הערכאות השונות.</w:t>
      </w:r>
    </w:p>
    <w:p w:rsidR="00AF4803" w:rsidRPr="006C44E3" w:rsidRDefault="00AF4803" w:rsidP="00AF4803">
      <w:pPr>
        <w:pStyle w:val="Ruller41"/>
      </w:pPr>
    </w:p>
    <w:p w:rsidR="00AF4803" w:rsidRPr="006C44E3" w:rsidRDefault="00AF4803" w:rsidP="00AF4803">
      <w:pPr>
        <w:pStyle w:val="Ruller4"/>
      </w:pPr>
      <w:r w:rsidRPr="006C44E3">
        <w:rPr>
          <w:rFonts w:hint="cs"/>
          <w:rtl/>
        </w:rPr>
        <w:t xml:space="preserve">כמו כן, אין חולק כי תיקון מס' 3 אינו פוטר את הגורמים המנויים בסעיף מהחובה לנהוג בסבירות. תיקון זה יוצר אפוא, במקרים הנכללים בו, חיץ בין חובת </w:t>
      </w:r>
      <w:r w:rsidRPr="006C44E3">
        <w:rPr>
          <w:rFonts w:hint="cs"/>
          <w:rtl/>
        </w:rPr>
        <w:lastRenderedPageBreak/>
        <w:t xml:space="preserve">הסבירות לעילת הסבירות. חיץ המונע מבית המשפט להעניק סעד ומבקש לכבול את ידיו מקום בו חובת הסבירות מופרת. בכך, יצר המכונן הסדר חריג, בעייתי ובלתי קוהרנטי ביחס לזכויות וחובות משפטיות אחרות. בהינתן זאת, נטען לפנינו כי "באין דיין יעלם אף הדין עמו". לכך אשיב </w:t>
      </w:r>
      <w:r w:rsidRPr="006C44E3">
        <w:rPr>
          <w:rtl/>
        </w:rPr>
        <w:t>–</w:t>
      </w:r>
      <w:r w:rsidRPr="006C44E3">
        <w:rPr>
          <w:rFonts w:hint="cs"/>
          <w:rtl/>
        </w:rPr>
        <w:t xml:space="preserve"> יש דין ויש דיין. הביקורת השיפוטית על החלטות הרשות המבצעת, לרבות על הגורמים המנויים במפורש בתיקון מס' 3, הייתה ונותרה הדוקה. הדין המנהלי מציב בפניהם שורה ארוכה של דרישות וחובות. כל אלו לא נפגמו ולו במעט. בידי בית משפט זה היו, ונותרו, סמכויות נרחבות. המשפט המנהלי, עקרון הפרדת הרשויות ועקרון שלטון החוק, אינו נסמך באופן כה דרמטי על פרשנות מסוימת להיקפה של עילת הסבירות. </w:t>
      </w:r>
    </w:p>
    <w:p w:rsidR="00AF4803" w:rsidRPr="006C44E3" w:rsidRDefault="00AF4803" w:rsidP="00AF4803">
      <w:pPr>
        <w:pStyle w:val="Ruller4"/>
        <w:numPr>
          <w:ilvl w:val="0"/>
          <w:numId w:val="0"/>
        </w:numPr>
        <w:rPr>
          <w:rtl/>
        </w:rPr>
      </w:pPr>
    </w:p>
    <w:p w:rsidR="00AF4803" w:rsidRPr="006C44E3" w:rsidRDefault="00AF4803" w:rsidP="00AF4803">
      <w:pPr>
        <w:pStyle w:val="Ruller4"/>
      </w:pPr>
      <w:r w:rsidRPr="006C44E3">
        <w:rPr>
          <w:rFonts w:hint="cs"/>
          <w:rtl/>
        </w:rPr>
        <w:t xml:space="preserve">בהמשך לכך, לטעמי אין להוציא מכלל אפשרות כי בחיי המעשה "מה שהיה הוא שיהיה". על שימוש היתר שנעשה בטענות בדבר "חוסר סבירות" נכתב בעבר בהרחבה בפסיקה ובספרות המשפטית. לטענת המבקרים, בפסיקה נעשה שימוש בעילת הסבירות, שלא לצורך, מקום בו ישנן עילות התערבות קונקרטיות ומתוחמות יותר שניתן ליישמן. על כן, ניתן לצפות כי במקרים רבים, גם אם לא בכולם, ה'וואקום' אשר מותירה אחריה עילת הסבירות, במתכונת שבה הייתה מקובלת בפסיקה עד לתיקון מס' 3, יתמלא על ידי עילות קיימות אחרות או אפילו עילות חדשות אשר תתגבשנה. </w:t>
      </w:r>
    </w:p>
    <w:p w:rsidR="00AF4803" w:rsidRPr="006C44E3" w:rsidRDefault="00AF4803" w:rsidP="00AF4803">
      <w:pPr>
        <w:pStyle w:val="Ruller4"/>
        <w:numPr>
          <w:ilvl w:val="0"/>
          <w:numId w:val="0"/>
        </w:numPr>
        <w:rPr>
          <w:rtl/>
        </w:rPr>
      </w:pPr>
    </w:p>
    <w:p w:rsidR="00AF4803" w:rsidRPr="006C44E3" w:rsidRDefault="00AF4803" w:rsidP="00AF4803">
      <w:pPr>
        <w:pStyle w:val="Ruller4"/>
        <w:numPr>
          <w:ilvl w:val="0"/>
          <w:numId w:val="0"/>
        </w:numPr>
        <w:rPr>
          <w:rtl/>
        </w:rPr>
      </w:pPr>
      <w:r w:rsidRPr="006C44E3">
        <w:rPr>
          <w:rtl/>
        </w:rPr>
        <w:tab/>
      </w:r>
      <w:r w:rsidRPr="006C44E3">
        <w:rPr>
          <w:rFonts w:hint="cs"/>
          <w:rtl/>
        </w:rPr>
        <w:t xml:space="preserve">מכך נגזר, כי תיקון מס' 3 ישפיע </w:t>
      </w:r>
      <w:r w:rsidRPr="006C44E3">
        <w:rPr>
          <w:rFonts w:ascii="Century" w:hAnsi="Century" w:cs="Miriam" w:hint="cs"/>
          <w:b/>
          <w:spacing w:val="0"/>
          <w:sz w:val="22"/>
          <w:szCs w:val="24"/>
          <w:rtl/>
        </w:rPr>
        <w:t>באופן ישיר</w:t>
      </w:r>
      <w:r w:rsidRPr="006C44E3">
        <w:rPr>
          <w:rFonts w:hint="cs"/>
          <w:rtl/>
        </w:rPr>
        <w:t xml:space="preserve"> רק במקרה שבו החלטת הממשלה, ראש הממשלה או שר, התקבלה בסמכות, לא משיקולים זרים, על בסיס תשתית עובדתית ראויה, תוך עמידה בכלל התנאים הקבועים בחוק וכלל דרישות המשפט המנהלי, ללא פגיעה בלתי מידתית בזכויות ובכל זאת </w:t>
      </w:r>
      <w:r w:rsidRPr="006C44E3">
        <w:rPr>
          <w:rtl/>
        </w:rPr>
        <w:t>–</w:t>
      </w:r>
      <w:r w:rsidRPr="006C44E3">
        <w:rPr>
          <w:rFonts w:hint="cs"/>
          <w:rtl/>
        </w:rPr>
        <w:t xml:space="preserve"> היא לא "סתם" בלתי סבירה, אלא היא בלתי סבירה באופן קיצוני. מקרים אלו נדירים שבנדירים. האם בשמם של אותם מקרים, נדירים שבנדירים, אשר טרם התרחשו מאז חקיקת תיקון מס' 3 ואשר ייתכן שלא יתרחשו, ראוי לנקוט כבר כעת בצעד כה דרסטי כביטול סעיף בחוק-יסוד? התשובה לכך, לדידי, שלילית.</w:t>
      </w:r>
    </w:p>
    <w:p w:rsidR="00AF4803" w:rsidRPr="006C44E3" w:rsidRDefault="00AF4803" w:rsidP="00AF4803">
      <w:pPr>
        <w:pStyle w:val="Ruller41"/>
        <w:rPr>
          <w:rtl/>
        </w:rPr>
      </w:pPr>
      <w:r w:rsidRPr="006C44E3">
        <w:rPr>
          <w:rtl/>
        </w:rPr>
        <w:tab/>
      </w:r>
      <w:r w:rsidRPr="006C44E3">
        <w:rPr>
          <w:rFonts w:hint="cs"/>
          <w:rtl/>
        </w:rPr>
        <w:t xml:space="preserve"> </w:t>
      </w:r>
    </w:p>
    <w:p w:rsidR="00AF4803" w:rsidRPr="006C44E3" w:rsidRDefault="00AF4803" w:rsidP="00AF4803">
      <w:pPr>
        <w:pStyle w:val="Ruller4"/>
        <w:rPr>
          <w:rtl/>
        </w:rPr>
      </w:pPr>
      <w:r w:rsidRPr="006C44E3">
        <w:rPr>
          <w:rFonts w:hint="cs"/>
          <w:rtl/>
        </w:rPr>
        <w:t xml:space="preserve">טענה נוספת בעתירות השונות היא שבשל תיקון מס' 3 יראו עצמם כעת הגורמים המנויים בסעיף כפטורים מחובת הסבירות וביקורת שיפוטית מהותית על החלטותיהם וינצלו זאת לרעה באופן שבו החלטות בלתי סבירות של הממשלה, השרים השונים וראש הממשלה יהפכו לנפוצות יותר. עמדה זו איני רואה לקבל מאחר שהיא מנוגדת לעקרונות המשפט המנהלי. אין אנו יכולים לצאת מנקודת הנחה כי הרשות המבצעת, לא כל שכן הבכירים ביותר בה, ינצלו לרעה את כוחם וינהגו בניגוד לדין. הנחה שכזו מנוגדת </w:t>
      </w:r>
      <w:r w:rsidRPr="006C44E3">
        <w:rPr>
          <w:rFonts w:hint="cs"/>
          <w:rtl/>
        </w:rPr>
        <w:lastRenderedPageBreak/>
        <w:t>לרציונאליים שבבסיס חזקת החוקיות (</w:t>
      </w:r>
      <w:r w:rsidRPr="006C44E3">
        <w:rPr>
          <w:rFonts w:ascii="Century" w:hAnsi="Century" w:cs="Miriam" w:hint="cs"/>
          <w:b/>
          <w:spacing w:val="0"/>
          <w:szCs w:val="24"/>
          <w:rtl/>
        </w:rPr>
        <w:t>פוליאק</w:t>
      </w:r>
      <w:r w:rsidRPr="006C44E3">
        <w:rPr>
          <w:rFonts w:hint="cs"/>
          <w:rtl/>
        </w:rPr>
        <w:t xml:space="preserve">, בעמוד 68; ראו והשוו: עניין </w:t>
      </w:r>
      <w:r w:rsidRPr="006C44E3">
        <w:rPr>
          <w:rFonts w:ascii="Century" w:hAnsi="Century" w:cs="Miriam" w:hint="cs"/>
          <w:b/>
          <w:spacing w:val="0"/>
          <w:szCs w:val="24"/>
          <w:rtl/>
        </w:rPr>
        <w:t>איגוד הנאמנים</w:t>
      </w:r>
      <w:r w:rsidRPr="006C44E3">
        <w:rPr>
          <w:rFonts w:hint="cs"/>
          <w:rtl/>
        </w:rPr>
        <w:t xml:space="preserve">, בפסקה 12). </w:t>
      </w:r>
    </w:p>
    <w:p w:rsidR="00AF4803" w:rsidRPr="006C44E3" w:rsidRDefault="00AF4803" w:rsidP="00AF4803">
      <w:pPr>
        <w:pStyle w:val="Ruller41"/>
      </w:pPr>
    </w:p>
    <w:p w:rsidR="00AF4803" w:rsidRPr="006C44E3" w:rsidRDefault="00AF4803" w:rsidP="00AF4803">
      <w:pPr>
        <w:pStyle w:val="Ruller4"/>
      </w:pPr>
      <w:r w:rsidRPr="006C44E3">
        <w:rPr>
          <w:rFonts w:hint="cs"/>
          <w:rtl/>
        </w:rPr>
        <w:t>אף איני רואה להעניק משקל ממשי לכך שתיקון מס' 3 הוא, על פי הנטען, חלק ממהלך חקיקתי וחוקתי רחב יותר. כלומר, שיש לבוחנו לא בפני עצמו, אלא כצעד ראשון או כחלק ממכלול חקיקה הפוגם בליבת הזהות הדמוקרטית של מדינת ישראל. כעולה באופן מפורש בחלק מהעתירות, וכעולה מבין שורותיהן של עתירות אחרות, זהו החשש המרכזי של העותרים השונים. מטענות אלו משתמעת ההבנה כי תיקון מס' 3, כשלעצמו, בעל השלכות מוגבלות, ודאי בשלב זה טרם התבררו גבולותיו.</w:t>
      </w:r>
    </w:p>
    <w:p w:rsidR="00AF4803" w:rsidRPr="006C44E3" w:rsidRDefault="00AF4803" w:rsidP="00AF4803">
      <w:pPr>
        <w:pStyle w:val="Ruller4"/>
        <w:numPr>
          <w:ilvl w:val="0"/>
          <w:numId w:val="0"/>
        </w:numPr>
        <w:rPr>
          <w:rtl/>
        </w:rPr>
      </w:pPr>
    </w:p>
    <w:p w:rsidR="00AF4803" w:rsidRPr="006C44E3" w:rsidRDefault="00AF4803" w:rsidP="00AF4803">
      <w:pPr>
        <w:pStyle w:val="Ruller4"/>
        <w:rPr>
          <w:rtl/>
        </w:rPr>
      </w:pPr>
      <w:r w:rsidRPr="006C44E3">
        <w:rPr>
          <w:rtl/>
        </w:rPr>
        <w:tab/>
      </w:r>
      <w:r w:rsidRPr="006C44E3">
        <w:rPr>
          <w:rFonts w:hint="cs"/>
          <w:rtl/>
        </w:rPr>
        <w:t xml:space="preserve">אכן, לא נעצום עינינו מהעובדה שהעיקרון שניצב בבסיס תיקון מס' 3 נכלל בהצהרת שר המשפטים הנוכחי בדבר שינויי חקיקה שבכוונת ממשלת ישראל הנוכחית לקדם לצד צעדים נוספים. אולם, בית משפט זה נזהר עד כה מלהתבסס בהליך משפטי על הצהרות במסיבות עיתונאים או מסמכים המבטאים כוונות פוליטיות, ולא בכדי. מלבד זאת, אנו עדים לשיח ציבורי ופוליטי ער שעודנו מעצב את סדר היום החקיקתי כך שתוכנה של אותה חקיקה עתידית כלל אינו ברור. כמו כן, הלכה היא כי </w:t>
      </w:r>
      <w:r w:rsidRPr="006C44E3">
        <w:rPr>
          <w:rtl/>
        </w:rPr>
        <w:t>בית משפט זה איננו מתערב ככלל בהליכי חקיקה מתוך כבוד לעיקרון הפרדת הרשויות</w:t>
      </w:r>
      <w:r w:rsidRPr="006C44E3">
        <w:rPr>
          <w:rFonts w:hint="cs"/>
          <w:rtl/>
        </w:rPr>
        <w:t xml:space="preserve">, ולכן </w:t>
      </w:r>
      <w:r w:rsidRPr="006C44E3">
        <w:rPr>
          <w:rtl/>
        </w:rPr>
        <w:t>השלב הראוי לבחינת חוקתיותו של חוק מסוים ותקינות ההליך שבו הוא נחקק הוא</w:t>
      </w:r>
      <w:r w:rsidRPr="006C44E3">
        <w:rPr>
          <w:rFonts w:hint="cs"/>
          <w:rtl/>
        </w:rPr>
        <w:t xml:space="preserve"> </w:t>
      </w:r>
      <w:r w:rsidRPr="006C44E3">
        <w:rPr>
          <w:rtl/>
        </w:rPr>
        <w:t>לאחר השלמת הליך החקיקה</w:t>
      </w:r>
      <w:r w:rsidRPr="006C44E3">
        <w:rPr>
          <w:rFonts w:hint="cs"/>
          <w:rtl/>
        </w:rPr>
        <w:t xml:space="preserve"> (</w:t>
      </w:r>
      <w:r w:rsidRPr="006C44E3">
        <w:rPr>
          <w:rtl/>
        </w:rPr>
        <w:t xml:space="preserve">בג"ץ 1234/23 </w:t>
      </w:r>
      <w:r w:rsidRPr="006C44E3">
        <w:rPr>
          <w:rFonts w:ascii="Century" w:hAnsi="Century" w:cs="Miriam"/>
          <w:b/>
          <w:spacing w:val="0"/>
          <w:sz w:val="22"/>
          <w:szCs w:val="24"/>
          <w:rtl/>
        </w:rPr>
        <w:t>אורון נ' ועדת החוקה, חוק ומשפט של הכנסת</w:t>
      </w:r>
      <w:r w:rsidRPr="006C44E3">
        <w:rPr>
          <w:rFonts w:hint="cs"/>
          <w:rtl/>
        </w:rPr>
        <w:t xml:space="preserve">, פסקה 3 </w:t>
      </w:r>
      <w:r w:rsidRPr="006C44E3">
        <w:rPr>
          <w:rtl/>
        </w:rPr>
        <w:t>(16.</w:t>
      </w:r>
      <w:r w:rsidRPr="006C44E3">
        <w:rPr>
          <w:rFonts w:hint="cs"/>
          <w:rtl/>
        </w:rPr>
        <w:t>2</w:t>
      </w:r>
      <w:r w:rsidRPr="006C44E3">
        <w:rPr>
          <w:rtl/>
        </w:rPr>
        <w:t>.2023)‏</w:t>
      </w:r>
      <w:r w:rsidRPr="006C44E3">
        <w:rPr>
          <w:rFonts w:hint="cs"/>
          <w:rtl/>
        </w:rPr>
        <w:t xml:space="preserve">). קיים אפוא קושי רב בלחוות דעה באשר לחוקתיות חקיקה עתידית, או מצבור חקיקה עתידית, אשר תוכנה אינו ברור עדיין. יש לציין, כי במענה לשאלתי הבהיר בא-כוחה של הכנסת כי חלק הארי של הצעות החוק להן התייחסו מי מבין באי-כוח העותרים הן הצעות חוק פרטיות אשר כלל אינן מקודמות. </w:t>
      </w:r>
    </w:p>
    <w:p w:rsidR="00AF4803" w:rsidRPr="006C44E3" w:rsidRDefault="00AF4803" w:rsidP="00AF4803">
      <w:pPr>
        <w:pStyle w:val="Ruller4"/>
        <w:numPr>
          <w:ilvl w:val="0"/>
          <w:numId w:val="0"/>
        </w:numPr>
        <w:rPr>
          <w:rtl/>
        </w:rPr>
      </w:pPr>
    </w:p>
    <w:p w:rsidR="00AF4803" w:rsidRPr="006C44E3" w:rsidRDefault="00AF4803" w:rsidP="00AF4803">
      <w:pPr>
        <w:pStyle w:val="Ruller4"/>
        <w:rPr>
          <w:rtl/>
        </w:rPr>
      </w:pPr>
      <w:r w:rsidRPr="006C44E3">
        <w:rPr>
          <w:rtl/>
        </w:rPr>
        <w:tab/>
      </w:r>
      <w:r w:rsidRPr="006C44E3">
        <w:rPr>
          <w:rFonts w:hint="cs"/>
          <w:rtl/>
        </w:rPr>
        <w:t xml:space="preserve">משכך, לטעמי, איננו יכולים להורות על פסילת תיקון חוק-יסוד על בסיס השערות בדבר חקיקה עתידית ותוכנה. יתרה מזאת, ובהתאם לדוקטרינת הבשלות, ככל שאותן הצעות חוק ישלימו את הליך החקיקה במתכונת כזו או אחרת, ייתכן שאז יהיה העיתוי המצדיק להידרש לגופן של חלק מטענות העותרים ביתר הרחבה. יוצא, כי טיעון זה ממחיש את ההצדקה לדחות את בירור העתירות לעיתוי מאוחר יותר. </w:t>
      </w:r>
    </w:p>
    <w:p w:rsidR="00AF4803" w:rsidRPr="006C44E3" w:rsidRDefault="00AF4803" w:rsidP="00AF4803">
      <w:pPr>
        <w:pStyle w:val="Ruller41"/>
        <w:rPr>
          <w:rtl/>
        </w:rPr>
      </w:pPr>
    </w:p>
    <w:p w:rsidR="00AF4803" w:rsidRPr="006C44E3" w:rsidRDefault="00AF4803" w:rsidP="00AF4803">
      <w:pPr>
        <w:pStyle w:val="Ruller4"/>
      </w:pPr>
      <w:r w:rsidRPr="006C44E3">
        <w:rPr>
          <w:rFonts w:hint="cs"/>
          <w:rtl/>
        </w:rPr>
        <w:t xml:space="preserve">נוסף על כל האמור, יתרון מוצהר וברור של דוקטרינת הבשלות ויישומה בנסיבות העניין הוא הפחתת החיכוך בין הרשות השופטת ליתר הרשויות. אין אנו מצויים בימים רגילים. הסערה הציבורית וקולות המפגינים </w:t>
      </w:r>
      <w:r w:rsidRPr="006C44E3">
        <w:rPr>
          <w:rtl/>
        </w:rPr>
        <w:t>–</w:t>
      </w:r>
      <w:r w:rsidRPr="006C44E3">
        <w:rPr>
          <w:rFonts w:hint="cs"/>
          <w:rtl/>
        </w:rPr>
        <w:t xml:space="preserve"> משני צדי המתרס </w:t>
      </w:r>
      <w:r w:rsidRPr="006C44E3">
        <w:rPr>
          <w:rtl/>
        </w:rPr>
        <w:t>–</w:t>
      </w:r>
      <w:r w:rsidRPr="006C44E3">
        <w:rPr>
          <w:rFonts w:hint="cs"/>
          <w:rtl/>
        </w:rPr>
        <w:t xml:space="preserve"> חודרים בנקל </w:t>
      </w:r>
      <w:r w:rsidRPr="006C44E3">
        <w:rPr>
          <w:rFonts w:hint="cs"/>
          <w:rtl/>
        </w:rPr>
        <w:lastRenderedPageBreak/>
        <w:t>דרך חלונות לשכות שופטי בית המשפט העליון ונשמעים היטב באוזנינו. דומה שבית משפט זה נקלע פעם נוספת, שלא בטובתו, לליבת המחלוקת הציבורית בישראל.</w:t>
      </w:r>
    </w:p>
    <w:p w:rsidR="00AF4803" w:rsidRPr="006C44E3" w:rsidRDefault="00AF4803" w:rsidP="00AF4803">
      <w:pPr>
        <w:pStyle w:val="Ruller4"/>
        <w:numPr>
          <w:ilvl w:val="0"/>
          <w:numId w:val="0"/>
        </w:numPr>
        <w:rPr>
          <w:rtl/>
        </w:rPr>
      </w:pPr>
    </w:p>
    <w:p w:rsidR="00AF4803" w:rsidRPr="006C44E3" w:rsidRDefault="00AF4803" w:rsidP="00AF4803">
      <w:pPr>
        <w:pStyle w:val="Ruller4"/>
        <w:numPr>
          <w:ilvl w:val="0"/>
          <w:numId w:val="0"/>
        </w:numPr>
        <w:rPr>
          <w:rtl/>
        </w:rPr>
      </w:pPr>
      <w:r w:rsidRPr="006C44E3">
        <w:rPr>
          <w:rtl/>
        </w:rPr>
        <w:tab/>
      </w:r>
      <w:r w:rsidRPr="006C44E3">
        <w:rPr>
          <w:rFonts w:hint="cs"/>
          <w:rtl/>
        </w:rPr>
        <w:t xml:space="preserve">המלאכה השיפוטית מזמנת ליושב בדין אתגרים רבים. מהגדולים שבהם, הוא לדעת מתי לנהוג בריסון ובאיפוק. הניסיון מלמד, כי בדרך זו גלום כוח רב ולעיתים כוח רב מאשר בנתיבים חלופיים. את משאביו, לרבות בכל הקשור לאמון הציבור בבית המשפט, על בית משפט זה לשמור למקרים המתאימים לכך. הצמצום המסוים שנעשה בסמכויות בתי המשפט אשר היקפו כלל לא ברור בעת הזו, אינו מבין מקרים אלו. אין בכך כדי לומר כי בית המשפט צריך להירתע מלעשות שימוש בסמכויותיו הקיימות, אלא כי בית המשפט נדרש להפעיל את סמכויותיו בשום שכל, וככל שביכולתו לבחור בנתיב ראוי המצמצם את החיכוך בין הרשויות השונות </w:t>
      </w:r>
      <w:r w:rsidRPr="006C44E3">
        <w:rPr>
          <w:rtl/>
        </w:rPr>
        <w:t>–</w:t>
      </w:r>
      <w:r w:rsidRPr="006C44E3">
        <w:rPr>
          <w:rFonts w:hint="cs"/>
          <w:rtl/>
        </w:rPr>
        <w:t xml:space="preserve"> כך ייטב. הנשיאה (בדימ') רואה אינטרס ציבורי מובהק בבירור העתירות דווקא בעיתוי זה (פסקה 102 לחוות דעתה), ואילו אני סבור כי האינטרס הציבורי המובהק הוא דווקא להימנע, במידת הניתן, מהמשבר בין הרשויות שעלול להיגרם או להחריף כתוצאה מההכרעה בעתירות שלפנינו. </w:t>
      </w:r>
    </w:p>
    <w:p w:rsidR="00AF4803" w:rsidRPr="006C44E3" w:rsidRDefault="00AF4803" w:rsidP="00AF4803">
      <w:pPr>
        <w:pStyle w:val="Ruller4"/>
        <w:numPr>
          <w:ilvl w:val="0"/>
          <w:numId w:val="0"/>
        </w:numPr>
        <w:rPr>
          <w:rtl/>
        </w:rPr>
      </w:pPr>
    </w:p>
    <w:p w:rsidR="00AF4803" w:rsidRPr="006C44E3" w:rsidRDefault="00AF4803" w:rsidP="00AF4803">
      <w:pPr>
        <w:pStyle w:val="Ruller4"/>
        <w:rPr>
          <w:rtl/>
        </w:rPr>
      </w:pPr>
      <w:r w:rsidRPr="006C44E3">
        <w:rPr>
          <w:rFonts w:hint="cs"/>
          <w:rtl/>
        </w:rPr>
        <w:t xml:space="preserve">מכלל טעמים אלה, אני סבור כי שני שלבי בחינת בשלותה של עתירה חוקתית מצביעים לעבר המסקנה כי אין זה העיתוי המתאים להכריע בעתירות שלפנינו. </w:t>
      </w:r>
    </w:p>
    <w:p w:rsidR="00AF4803" w:rsidRPr="006C44E3" w:rsidRDefault="00AF4803" w:rsidP="00AF4803">
      <w:pPr>
        <w:pStyle w:val="Ruller41"/>
      </w:pPr>
    </w:p>
    <w:p w:rsidR="00AF4803" w:rsidRPr="006C44E3" w:rsidRDefault="00AF4803" w:rsidP="00AF4803">
      <w:pPr>
        <w:pStyle w:val="Ruller4"/>
      </w:pPr>
      <w:r w:rsidRPr="006C44E3">
        <w:rPr>
          <w:rFonts w:ascii="Century" w:hAnsi="Century" w:cs="Miriam" w:hint="cs"/>
          <w:b/>
          <w:spacing w:val="0"/>
          <w:sz w:val="22"/>
          <w:szCs w:val="24"/>
          <w:rtl/>
        </w:rPr>
        <w:t>לסיכום</w:t>
      </w:r>
      <w:r w:rsidRPr="006C44E3">
        <w:rPr>
          <w:rFonts w:hint="cs"/>
          <w:rtl/>
        </w:rPr>
        <w:t xml:space="preserve">: איני מקבל את העמדה העקרונית שבידינו הסמכות להתערב בחוקי-יסוד מכוחן של הדוקטרינות כפי שפותחו עד כה בפסיקת בית משפט זה. מעבר לכך </w:t>
      </w:r>
      <w:r w:rsidRPr="006C44E3">
        <w:rPr>
          <w:rtl/>
        </w:rPr>
        <w:t>–</w:t>
      </w:r>
      <w:r w:rsidRPr="006C44E3">
        <w:rPr>
          <w:rFonts w:hint="cs"/>
          <w:rtl/>
        </w:rPr>
        <w:t xml:space="preserve"> גם אם קיים פתח, צר שבצרים, להתערבות שיפוטית בתוקפם של חוקי-יסוד, איני רואה הצדקה להיחפז לעשות שימוש בסמכות זו בעיתוי הנוכחי. </w:t>
      </w:r>
    </w:p>
    <w:p w:rsidR="00AF4803" w:rsidRPr="006C44E3" w:rsidRDefault="00AF4803" w:rsidP="00AF4803">
      <w:pPr>
        <w:pStyle w:val="Ruller4"/>
        <w:numPr>
          <w:ilvl w:val="0"/>
          <w:numId w:val="0"/>
        </w:numPr>
        <w:rPr>
          <w:rtl/>
        </w:rPr>
      </w:pPr>
      <w:r w:rsidRPr="006C44E3">
        <w:rPr>
          <w:rtl/>
        </w:rPr>
        <w:tab/>
      </w:r>
    </w:p>
    <w:p w:rsidR="00AF4803" w:rsidRPr="006C44E3" w:rsidRDefault="00AF4803" w:rsidP="00AF4803">
      <w:pPr>
        <w:pStyle w:val="Ruller4"/>
        <w:numPr>
          <w:ilvl w:val="0"/>
          <w:numId w:val="0"/>
        </w:numPr>
        <w:rPr>
          <w:rtl/>
        </w:rPr>
      </w:pPr>
      <w:r w:rsidRPr="006C44E3">
        <w:rPr>
          <w:rtl/>
        </w:rPr>
        <w:tab/>
      </w:r>
      <w:r w:rsidRPr="006C44E3">
        <w:rPr>
          <w:rFonts w:hint="cs"/>
          <w:rtl/>
        </w:rPr>
        <w:t>יחד עם זאת, יש לומר כי תיקון מס' 3 אינו בגדר סעיף המוסיף כבוד לחוקת מדינת ישראל המתגבשת. במובנים מסוימים ההיגיון שבבסיסו אינו ברור, הניסוח אינו חד, ו</w:t>
      </w:r>
      <w:r>
        <w:rPr>
          <w:rFonts w:hint="cs"/>
          <w:rtl/>
        </w:rPr>
        <w:t>מותיר, כאמור, חללים רבים</w:t>
      </w:r>
      <w:r w:rsidRPr="006C44E3">
        <w:rPr>
          <w:rFonts w:hint="cs"/>
          <w:rtl/>
        </w:rPr>
        <w:t xml:space="preserve"> אשר טעונים פרשנות, ואף לא נכללו בו הוראות מעבר כלשהן, כפי שראוי היה לקבוע על מנת שלא להסב נזק מיותר לבעלי דין שעניינם מתברר בימים אלו. אי-הבהירות והקשיים בנוסח החוק הוצפו במסגרת הדיונים בעיצוב תיקון מס' 3, אולם לא זכו למענה ראוי בניסוחו. טעמ</w:t>
      </w:r>
      <w:r w:rsidRPr="006C44E3">
        <w:rPr>
          <w:rFonts w:ascii="FrankRuehl" w:hAnsi="FrankRuehl"/>
          <w:rtl/>
        </w:rPr>
        <w:t>ֵ</w:t>
      </w:r>
      <w:r w:rsidRPr="006C44E3">
        <w:rPr>
          <w:rFonts w:hint="cs"/>
          <w:rtl/>
        </w:rPr>
        <w:t xml:space="preserve">י המכונן עמו. </w:t>
      </w:r>
    </w:p>
    <w:p w:rsidR="00AF4803" w:rsidRPr="006C44E3" w:rsidRDefault="00AF4803" w:rsidP="00AF4803">
      <w:pPr>
        <w:pStyle w:val="Ruller4"/>
        <w:numPr>
          <w:ilvl w:val="0"/>
          <w:numId w:val="0"/>
        </w:numPr>
        <w:rPr>
          <w:rtl/>
        </w:rPr>
      </w:pPr>
    </w:p>
    <w:p w:rsidR="00AF4803" w:rsidRPr="006C44E3" w:rsidRDefault="00AF4803" w:rsidP="00AF4803">
      <w:pPr>
        <w:pStyle w:val="Ruller4"/>
        <w:numPr>
          <w:ilvl w:val="0"/>
          <w:numId w:val="0"/>
        </w:numPr>
      </w:pPr>
      <w:r w:rsidRPr="006C44E3">
        <w:rPr>
          <w:rtl/>
        </w:rPr>
        <w:tab/>
      </w:r>
      <w:r w:rsidRPr="006C44E3">
        <w:rPr>
          <w:rFonts w:hint="cs"/>
          <w:rtl/>
        </w:rPr>
        <w:t xml:space="preserve">אף על פי כן, בשלב זה קיים ספק אם בסופו של יום תיקון מס' 3 יתברר כבעל חשיבות מעשית ממשית. קיים ספק גדול עוד יותר אם תיקון מס' 3 יתברר ככזה הפוגע פגיעה אנושה באופייה הדמוקרטי של מדינת ישראל, או אפילו קרוב לכך. גם זאת יש </w:t>
      </w:r>
      <w:r w:rsidRPr="006C44E3">
        <w:rPr>
          <w:rFonts w:hint="cs"/>
          <w:rtl/>
        </w:rPr>
        <w:lastRenderedPageBreak/>
        <w:t xml:space="preserve">לומר: אין זה מטבעו של שופט לראות עוול מתרחש לנגד עיניו ולהשיב את פניו של העותר לסעד ריקם. כך מזה דורי דורות </w:t>
      </w:r>
      <w:r w:rsidRPr="006C44E3">
        <w:rPr>
          <w:rtl/>
        </w:rPr>
        <w:t>–</w:t>
      </w:r>
      <w:r w:rsidRPr="006C44E3">
        <w:rPr>
          <w:rFonts w:hint="cs"/>
          <w:rtl/>
        </w:rPr>
        <w:t xml:space="preserve"> וכך גם בימינו אנו. תיקון מס' 3 אינו יכול לשנות זאת.</w:t>
      </w:r>
    </w:p>
    <w:p w:rsidR="00AF4803" w:rsidRPr="006C44E3" w:rsidRDefault="00AF4803" w:rsidP="00AF4803">
      <w:pPr>
        <w:pStyle w:val="Ruller4"/>
        <w:numPr>
          <w:ilvl w:val="0"/>
          <w:numId w:val="0"/>
        </w:numPr>
      </w:pPr>
      <w:r w:rsidRPr="006C44E3">
        <w:rPr>
          <w:rFonts w:hint="cs"/>
          <w:rtl/>
        </w:rPr>
        <w:t xml:space="preserve"> </w:t>
      </w:r>
    </w:p>
    <w:p w:rsidR="00AF4803" w:rsidRPr="006C44E3" w:rsidRDefault="00AF4803" w:rsidP="00AF4803">
      <w:pPr>
        <w:pStyle w:val="Ruller4"/>
        <w:rPr>
          <w:rtl/>
        </w:rPr>
      </w:pPr>
      <w:r w:rsidRPr="006C44E3">
        <w:rPr>
          <w:rFonts w:hint="cs"/>
          <w:rtl/>
        </w:rPr>
        <w:t>על כן, לו דעתי הייתה מתקבלת היינו מורים על דחיית העתירות. לא מתוך הסכמה או תמיכה בתוכנו של תיקון מס' 3, אלא מתוך הכרה בגבולות סמכותנו בעת הזו. ביטול סעיף מתוך חוק-יסוד, אף לשיטת הסבורים כי לבית משפט זה הסמכות לעשות כן, ייעשה כמוצא אחרון ממש ובמקרה שבו כלו כל הקיצין. תיקון מס' 3 אינו מקרה כזה. איתן אני בדעתי כי אין זו השעה לזעזע את יסודותיה החוקתיים של מדינתנו. את המחלוקת מושא העתירות שלפנינו מוטב לדחות למועד המתאים לכך אם וכאשר ההכרעה בה תתחייב מעובדות המקרה. חוששני כי בעיתוי הנוכחי הנזק שייגרם מערעור יסודות המשפט החוקתי בישראל בשל פסילת תיקון מס' 3, עלול לעלות עשרות מונים על הנזק שבהותרתו על כנו.</w:t>
      </w:r>
    </w:p>
    <w:p w:rsidR="00AF4803" w:rsidRPr="006C44E3" w:rsidRDefault="00AF4803" w:rsidP="00AF4803">
      <w:pPr>
        <w:pStyle w:val="Ruller41"/>
        <w:rPr>
          <w:rtl/>
        </w:rPr>
      </w:pPr>
    </w:p>
    <w:p w:rsidR="00AF4803" w:rsidRPr="006C44E3" w:rsidRDefault="00AF4803" w:rsidP="00AF4803">
      <w:pPr>
        <w:pStyle w:val="Ruller4"/>
        <w:rPr>
          <w:rtl/>
        </w:rPr>
      </w:pPr>
      <w:r w:rsidRPr="006C44E3">
        <w:rPr>
          <w:rFonts w:hint="cs"/>
          <w:rtl/>
        </w:rPr>
        <w:t xml:space="preserve">בהתייחס להערותיהם של חבריי השופטים </w:t>
      </w:r>
      <w:r w:rsidRPr="006C44E3">
        <w:rPr>
          <w:rFonts w:ascii="Century" w:hAnsi="Century" w:cs="Miriam" w:hint="cs"/>
          <w:b/>
          <w:spacing w:val="0"/>
          <w:sz w:val="22"/>
          <w:szCs w:val="24"/>
          <w:rtl/>
        </w:rPr>
        <w:t>ד' ברק-ארז</w:t>
      </w:r>
      <w:r w:rsidRPr="006C44E3">
        <w:rPr>
          <w:rFonts w:hint="cs"/>
          <w:rtl/>
        </w:rPr>
        <w:t xml:space="preserve"> ו-</w:t>
      </w:r>
      <w:r w:rsidRPr="006C44E3">
        <w:rPr>
          <w:rFonts w:ascii="Century" w:hAnsi="Century" w:cs="Miriam" w:hint="cs"/>
          <w:b/>
          <w:spacing w:val="0"/>
          <w:sz w:val="22"/>
          <w:szCs w:val="24"/>
          <w:rtl/>
        </w:rPr>
        <w:t>ע' גרוסקופף</w:t>
      </w:r>
      <w:r w:rsidRPr="006C44E3">
        <w:rPr>
          <w:rFonts w:ascii="Century" w:hAnsi="Century" w:hint="cs"/>
          <w:sz w:val="22"/>
          <w:rtl/>
        </w:rPr>
        <w:t>,</w:t>
      </w:r>
      <w:r w:rsidRPr="006C44E3">
        <w:rPr>
          <w:rFonts w:hint="cs"/>
          <w:rtl/>
        </w:rPr>
        <w:t xml:space="preserve"> ברצוני להוסיף ולהבהיר כי באומרי "חוסר בשלות", כוונתי לאי-הוודאות באשר למצבי דברים משתנים ומגוונים, בהם בית משפט זה יידרש להפעיל את דוקטרינת הסבירות בעתיד לבוא. </w:t>
      </w:r>
    </w:p>
    <w:p w:rsidR="00AF4803" w:rsidRPr="006C44E3" w:rsidRDefault="00AF4803" w:rsidP="00AF4803">
      <w:pPr>
        <w:pStyle w:val="Ruller41"/>
        <w:rPr>
          <w:rtl/>
        </w:rPr>
      </w:pPr>
    </w:p>
    <w:p w:rsidR="00AF4803" w:rsidRPr="006C44E3" w:rsidRDefault="00AF4803" w:rsidP="00AF4803">
      <w:pPr>
        <w:pStyle w:val="Ruller41"/>
        <w:rPr>
          <w:rtl/>
        </w:rPr>
      </w:pPr>
      <w:r w:rsidRPr="006C44E3">
        <w:rPr>
          <w:rtl/>
        </w:rPr>
        <w:tab/>
      </w:r>
      <w:r w:rsidRPr="006C44E3">
        <w:rPr>
          <w:rFonts w:hint="cs"/>
          <w:rtl/>
        </w:rPr>
        <w:t xml:space="preserve">הווה אומר: אין בידינו לקבוע בגדרן של העתירות הכוללניות שלפנינו, כיצד יש ליישם את דוקטרינת הסבירות בכל אותם מצבים שטרם התעוררו בהליכים קיימים או עתידיים, והאם יישום זה מעורר שאלות ברמה חוקתית. </w:t>
      </w:r>
    </w:p>
    <w:p w:rsidR="00AF4803" w:rsidRPr="006C44E3" w:rsidRDefault="00AF4803" w:rsidP="00AF4803">
      <w:pPr>
        <w:pStyle w:val="Ruller41"/>
        <w:rPr>
          <w:rtl/>
        </w:rPr>
      </w:pPr>
    </w:p>
    <w:p w:rsidR="00AF4803" w:rsidRPr="006C44E3" w:rsidRDefault="00AF4803" w:rsidP="00AF4803">
      <w:pPr>
        <w:pStyle w:val="Ruller41"/>
        <w:rPr>
          <w:rtl/>
        </w:rPr>
      </w:pPr>
      <w:r w:rsidRPr="006C44E3">
        <w:rPr>
          <w:rtl/>
        </w:rPr>
        <w:tab/>
      </w:r>
      <w:r w:rsidRPr="006C44E3">
        <w:rPr>
          <w:rFonts w:hint="cs"/>
          <w:rtl/>
        </w:rPr>
        <w:t xml:space="preserve">עמדתי זו נסמכת על הכלל הגדול לפיו בית משפט זה אינו אמור לעסוק בעניינים אקדמיים (ראו: </w:t>
      </w:r>
      <w:r w:rsidRPr="006C44E3">
        <w:rPr>
          <w:rFonts w:hint="eastAsia"/>
          <w:rtl/>
        </w:rPr>
        <w:t>בג</w:t>
      </w:r>
      <w:r w:rsidRPr="006C44E3">
        <w:rPr>
          <w:rtl/>
        </w:rPr>
        <w:t>"</w:t>
      </w:r>
      <w:r w:rsidRPr="006C44E3">
        <w:rPr>
          <w:rFonts w:hint="eastAsia"/>
          <w:rtl/>
        </w:rPr>
        <w:t>ץ</w:t>
      </w:r>
      <w:r w:rsidRPr="006C44E3">
        <w:rPr>
          <w:rtl/>
        </w:rPr>
        <w:t xml:space="preserve"> 8175/20 </w:t>
      </w:r>
      <w:r w:rsidRPr="006C44E3">
        <w:rPr>
          <w:rFonts w:ascii="Century" w:hAnsi="Century" w:cs="Miriam" w:hint="eastAsia"/>
          <w:b/>
          <w:spacing w:val="0"/>
          <w:szCs w:val="24"/>
          <w:rtl/>
        </w:rPr>
        <w:t>עיאט</w:t>
      </w:r>
      <w:r w:rsidRPr="006C44E3">
        <w:rPr>
          <w:rFonts w:ascii="Century" w:hAnsi="Century" w:cs="Miriam"/>
          <w:b/>
          <w:spacing w:val="0"/>
          <w:szCs w:val="24"/>
          <w:rtl/>
        </w:rPr>
        <w:t xml:space="preserve"> </w:t>
      </w:r>
      <w:r w:rsidRPr="006C44E3">
        <w:rPr>
          <w:rFonts w:ascii="Century" w:hAnsi="Century" w:cs="Miriam" w:hint="eastAsia"/>
          <w:b/>
          <w:spacing w:val="0"/>
          <w:szCs w:val="24"/>
          <w:rtl/>
        </w:rPr>
        <w:t>נ</w:t>
      </w:r>
      <w:r w:rsidRPr="006C44E3">
        <w:rPr>
          <w:rFonts w:ascii="Century" w:hAnsi="Century" w:cs="Miriam"/>
          <w:b/>
          <w:spacing w:val="0"/>
          <w:szCs w:val="24"/>
          <w:rtl/>
        </w:rPr>
        <w:t xml:space="preserve">' </w:t>
      </w:r>
      <w:r w:rsidRPr="006C44E3">
        <w:rPr>
          <w:rFonts w:ascii="Century" w:hAnsi="Century" w:cs="Miriam" w:hint="eastAsia"/>
          <w:b/>
          <w:spacing w:val="0"/>
          <w:szCs w:val="24"/>
          <w:rtl/>
        </w:rPr>
        <w:t>מדינת</w:t>
      </w:r>
      <w:r w:rsidRPr="006C44E3">
        <w:rPr>
          <w:rFonts w:ascii="Century" w:hAnsi="Century" w:cs="Miriam"/>
          <w:b/>
          <w:spacing w:val="0"/>
          <w:szCs w:val="24"/>
          <w:rtl/>
        </w:rPr>
        <w:t xml:space="preserve"> </w:t>
      </w:r>
      <w:r w:rsidRPr="006C44E3">
        <w:rPr>
          <w:rFonts w:ascii="Century" w:hAnsi="Century" w:cs="Miriam" w:hint="eastAsia"/>
          <w:b/>
          <w:spacing w:val="0"/>
          <w:szCs w:val="24"/>
          <w:rtl/>
        </w:rPr>
        <w:t>ישראל</w:t>
      </w:r>
      <w:r w:rsidRPr="006C44E3">
        <w:rPr>
          <w:rFonts w:hint="cs"/>
          <w:rtl/>
        </w:rPr>
        <w:t>, פסקה 16</w:t>
      </w:r>
      <w:r w:rsidRPr="006C44E3">
        <w:rPr>
          <w:rtl/>
        </w:rPr>
        <w:t xml:space="preserve"> (22.3.2022)</w:t>
      </w:r>
      <w:r w:rsidRPr="006C44E3">
        <w:rPr>
          <w:rFonts w:hint="cs"/>
          <w:rtl/>
        </w:rPr>
        <w:t xml:space="preserve">; </w:t>
      </w:r>
      <w:r w:rsidRPr="006C44E3">
        <w:rPr>
          <w:rFonts w:hint="eastAsia"/>
          <w:rtl/>
        </w:rPr>
        <w:t>בג</w:t>
      </w:r>
      <w:r w:rsidRPr="006C44E3">
        <w:rPr>
          <w:rtl/>
        </w:rPr>
        <w:t>"</w:t>
      </w:r>
      <w:r w:rsidRPr="006C44E3">
        <w:rPr>
          <w:rFonts w:hint="eastAsia"/>
          <w:rtl/>
        </w:rPr>
        <w:t>ץ</w:t>
      </w:r>
      <w:r w:rsidRPr="006C44E3">
        <w:rPr>
          <w:rtl/>
        </w:rPr>
        <w:t xml:space="preserve"> 2905/20 </w:t>
      </w:r>
      <w:r w:rsidRPr="006C44E3">
        <w:rPr>
          <w:rFonts w:ascii="Century" w:hAnsi="Century" w:cs="Miriam" w:hint="eastAsia"/>
          <w:b/>
          <w:spacing w:val="0"/>
          <w:szCs w:val="24"/>
          <w:rtl/>
        </w:rPr>
        <w:t>התנועה</w:t>
      </w:r>
      <w:r w:rsidRPr="006C44E3">
        <w:rPr>
          <w:rFonts w:ascii="Century" w:hAnsi="Century" w:cs="Miriam"/>
          <w:b/>
          <w:spacing w:val="0"/>
          <w:szCs w:val="24"/>
          <w:rtl/>
        </w:rPr>
        <w:t xml:space="preserve"> </w:t>
      </w:r>
      <w:r w:rsidRPr="006C44E3">
        <w:rPr>
          <w:rFonts w:ascii="Century" w:hAnsi="Century" w:cs="Miriam" w:hint="eastAsia"/>
          <w:b/>
          <w:spacing w:val="0"/>
          <w:szCs w:val="24"/>
          <w:rtl/>
        </w:rPr>
        <w:t>למען</w:t>
      </w:r>
      <w:r w:rsidRPr="006C44E3">
        <w:rPr>
          <w:rFonts w:ascii="Century" w:hAnsi="Century" w:cs="Miriam"/>
          <w:b/>
          <w:spacing w:val="0"/>
          <w:szCs w:val="24"/>
          <w:rtl/>
        </w:rPr>
        <w:t xml:space="preserve"> </w:t>
      </w:r>
      <w:r w:rsidRPr="006C44E3">
        <w:rPr>
          <w:rFonts w:ascii="Century" w:hAnsi="Century" w:cs="Miriam" w:hint="eastAsia"/>
          <w:b/>
          <w:spacing w:val="0"/>
          <w:szCs w:val="24"/>
          <w:rtl/>
        </w:rPr>
        <w:t>איכות</w:t>
      </w:r>
      <w:r w:rsidRPr="006C44E3">
        <w:rPr>
          <w:rFonts w:ascii="Century" w:hAnsi="Century" w:cs="Miriam"/>
          <w:b/>
          <w:spacing w:val="0"/>
          <w:szCs w:val="24"/>
          <w:rtl/>
        </w:rPr>
        <w:t xml:space="preserve"> </w:t>
      </w:r>
      <w:r w:rsidRPr="006C44E3">
        <w:rPr>
          <w:rFonts w:ascii="Century" w:hAnsi="Century" w:cs="Miriam" w:hint="eastAsia"/>
          <w:b/>
          <w:spacing w:val="0"/>
          <w:szCs w:val="24"/>
          <w:rtl/>
        </w:rPr>
        <w:t>השלטון</w:t>
      </w:r>
      <w:r w:rsidRPr="006C44E3">
        <w:rPr>
          <w:rFonts w:ascii="Century" w:hAnsi="Century" w:cs="Miriam"/>
          <w:b/>
          <w:spacing w:val="0"/>
          <w:szCs w:val="24"/>
          <w:rtl/>
        </w:rPr>
        <w:t xml:space="preserve"> </w:t>
      </w:r>
      <w:r w:rsidRPr="006C44E3">
        <w:rPr>
          <w:rFonts w:ascii="Century" w:hAnsi="Century" w:cs="Miriam" w:hint="eastAsia"/>
          <w:b/>
          <w:spacing w:val="0"/>
          <w:szCs w:val="24"/>
          <w:rtl/>
        </w:rPr>
        <w:t>בישראל</w:t>
      </w:r>
      <w:r w:rsidRPr="006C44E3">
        <w:rPr>
          <w:rFonts w:ascii="Century" w:hAnsi="Century" w:cs="Miriam"/>
          <w:b/>
          <w:spacing w:val="0"/>
          <w:szCs w:val="24"/>
          <w:rtl/>
        </w:rPr>
        <w:t xml:space="preserve"> </w:t>
      </w:r>
      <w:r w:rsidRPr="006C44E3">
        <w:rPr>
          <w:rFonts w:ascii="Century" w:hAnsi="Century" w:cs="Miriam" w:hint="eastAsia"/>
          <w:b/>
          <w:spacing w:val="0"/>
          <w:szCs w:val="24"/>
          <w:rtl/>
        </w:rPr>
        <w:t>נ</w:t>
      </w:r>
      <w:r w:rsidRPr="006C44E3">
        <w:rPr>
          <w:rFonts w:ascii="Century" w:hAnsi="Century" w:cs="Miriam"/>
          <w:b/>
          <w:spacing w:val="0"/>
          <w:szCs w:val="24"/>
          <w:rtl/>
        </w:rPr>
        <w:t xml:space="preserve">' </w:t>
      </w:r>
      <w:r w:rsidRPr="006C44E3">
        <w:rPr>
          <w:rFonts w:ascii="Century" w:hAnsi="Century" w:cs="Miriam" w:hint="eastAsia"/>
          <w:b/>
          <w:spacing w:val="0"/>
          <w:szCs w:val="24"/>
          <w:rtl/>
        </w:rPr>
        <w:t>כנסת</w:t>
      </w:r>
      <w:r w:rsidRPr="006C44E3">
        <w:rPr>
          <w:rFonts w:ascii="Century" w:hAnsi="Century" w:cs="Miriam"/>
          <w:b/>
          <w:spacing w:val="0"/>
          <w:szCs w:val="24"/>
          <w:rtl/>
        </w:rPr>
        <w:t xml:space="preserve"> </w:t>
      </w:r>
      <w:r w:rsidRPr="006C44E3">
        <w:rPr>
          <w:rFonts w:ascii="Century" w:hAnsi="Century" w:cs="Miriam" w:hint="eastAsia"/>
          <w:b/>
          <w:spacing w:val="0"/>
          <w:szCs w:val="24"/>
          <w:rtl/>
        </w:rPr>
        <w:t>ישראל</w:t>
      </w:r>
      <w:r w:rsidRPr="006C44E3">
        <w:rPr>
          <w:rFonts w:ascii="Century" w:hAnsi="Century" w:hint="cs"/>
          <w:rtl/>
        </w:rPr>
        <w:t xml:space="preserve">, פסקה 2 לפסק דינו של השופט </w:t>
      </w:r>
      <w:r w:rsidRPr="006C44E3">
        <w:rPr>
          <w:rFonts w:ascii="Century" w:hAnsi="Century" w:cs="Miriam" w:hint="cs"/>
          <w:b/>
          <w:spacing w:val="0"/>
          <w:szCs w:val="24"/>
          <w:rtl/>
        </w:rPr>
        <w:t>נ' הנדל</w:t>
      </w:r>
      <w:r w:rsidRPr="006C44E3">
        <w:rPr>
          <w:rtl/>
        </w:rPr>
        <w:t xml:space="preserve"> (12.7.2021)</w:t>
      </w:r>
      <w:r w:rsidRPr="006C44E3">
        <w:rPr>
          <w:rFonts w:hint="cs"/>
          <w:rtl/>
        </w:rPr>
        <w:t>).</w:t>
      </w:r>
    </w:p>
    <w:p w:rsidR="00AF4803" w:rsidRPr="006C44E3" w:rsidRDefault="00AF4803" w:rsidP="00AF4803">
      <w:pPr>
        <w:pStyle w:val="Ruller41"/>
        <w:rPr>
          <w:rtl/>
        </w:rPr>
      </w:pPr>
    </w:p>
    <w:p w:rsidR="00EC32E0" w:rsidRDefault="00AF4803" w:rsidP="00E942B3">
      <w:pPr>
        <w:pStyle w:val="Ruller41"/>
        <w:rPr>
          <w:rtl/>
        </w:rPr>
      </w:pPr>
      <w:r w:rsidRPr="006C44E3">
        <w:rPr>
          <w:rtl/>
        </w:rPr>
        <w:tab/>
      </w:r>
      <w:r w:rsidRPr="006C44E3">
        <w:rPr>
          <w:rFonts w:hint="cs"/>
          <w:rtl/>
        </w:rPr>
        <w:t xml:space="preserve">אשר על כן, לנוכח מכלול האמור לעיל, אני סבור כי דין העתירות להידחות. </w:t>
      </w:r>
    </w:p>
    <w:p w:rsidR="00E942B3" w:rsidRDefault="00E942B3" w:rsidP="00EC32E0">
      <w:pPr>
        <w:pStyle w:val="Ruller41"/>
        <w:rPr>
          <w:rtl/>
        </w:rPr>
      </w:pPr>
    </w:p>
    <w:p w:rsidR="0075641B" w:rsidRDefault="0075641B" w:rsidP="00EC32E0">
      <w:pPr>
        <w:pStyle w:val="Ruller41"/>
        <w:rPr>
          <w:rtl/>
        </w:rPr>
      </w:pPr>
    </w:p>
    <w:tbl>
      <w:tblPr>
        <w:bidiVisual/>
        <w:tblW w:w="8363" w:type="dxa"/>
        <w:tblLook w:val="01E0" w:firstRow="1" w:lastRow="1" w:firstColumn="1" w:lastColumn="1" w:noHBand="0" w:noVBand="0"/>
      </w:tblPr>
      <w:tblGrid>
        <w:gridCol w:w="2786"/>
        <w:gridCol w:w="2787"/>
        <w:gridCol w:w="2790"/>
      </w:tblGrid>
      <w:tr w:rsidR="00EC32E0" w:rsidTr="00DD4ADA">
        <w:tc>
          <w:tcPr>
            <w:tcW w:w="2842" w:type="dxa"/>
            <w:shd w:val="clear" w:color="auto" w:fill="auto"/>
          </w:tcPr>
          <w:p w:rsidR="00EC32E0" w:rsidRDefault="00EC32E0" w:rsidP="00DD4ADA">
            <w:pPr>
              <w:pStyle w:val="Ruller41"/>
              <w:rPr>
                <w:rtl/>
              </w:rPr>
            </w:pPr>
          </w:p>
        </w:tc>
        <w:tc>
          <w:tcPr>
            <w:tcW w:w="2843" w:type="dxa"/>
            <w:shd w:val="clear" w:color="auto" w:fill="auto"/>
          </w:tcPr>
          <w:p w:rsidR="00EC32E0" w:rsidRDefault="00EC32E0" w:rsidP="00DD4ADA">
            <w:pPr>
              <w:pStyle w:val="Ruller41"/>
              <w:jc w:val="center"/>
              <w:rPr>
                <w:rtl/>
              </w:rPr>
            </w:pPr>
          </w:p>
        </w:tc>
        <w:tc>
          <w:tcPr>
            <w:tcW w:w="2843" w:type="dxa"/>
            <w:shd w:val="clear" w:color="auto" w:fill="auto"/>
          </w:tcPr>
          <w:p w:rsidR="00EC32E0" w:rsidRDefault="00EC32E0" w:rsidP="00DD4ADA">
            <w:pPr>
              <w:pStyle w:val="Ruller41"/>
              <w:jc w:val="center"/>
              <w:rPr>
                <w:rtl/>
              </w:rPr>
            </w:pPr>
            <w:r>
              <w:rPr>
                <w:rtl/>
              </w:rPr>
              <w:t>ש ו פ ט</w:t>
            </w:r>
          </w:p>
        </w:tc>
      </w:tr>
    </w:tbl>
    <w:p w:rsidR="00FF17DB" w:rsidRDefault="00FF17DB" w:rsidP="00FF17DB">
      <w:pPr>
        <w:pStyle w:val="BODYVERDICT"/>
        <w:rPr>
          <w:rtl/>
        </w:rPr>
      </w:pPr>
    </w:p>
    <w:p w:rsidR="002F70BB" w:rsidRDefault="002F70BB" w:rsidP="00FF17DB">
      <w:pPr>
        <w:pStyle w:val="BODYVERDICT"/>
      </w:pPr>
    </w:p>
    <w:p w:rsidR="00FF17DB" w:rsidRDefault="00FF17DB" w:rsidP="00FF17DB">
      <w:pPr>
        <w:pStyle w:val="BODYVERDICT"/>
        <w:outlineLvl w:val="0"/>
        <w:rPr>
          <w:rFonts w:cs="Miriam"/>
          <w:sz w:val="24"/>
          <w:szCs w:val="24"/>
          <w:u w:val="single"/>
          <w:rtl/>
        </w:rPr>
      </w:pPr>
      <w:r w:rsidRPr="00462789">
        <w:rPr>
          <w:rFonts w:cs="Miriam" w:hint="cs"/>
          <w:sz w:val="24"/>
          <w:szCs w:val="24"/>
          <w:u w:val="single"/>
          <w:rtl/>
        </w:rPr>
        <w:lastRenderedPageBreak/>
        <w:t>השופט א' שטיין</w:t>
      </w:r>
      <w:r w:rsidRPr="0099248F">
        <w:rPr>
          <w:rFonts w:cs="Miriam"/>
          <w:sz w:val="24"/>
          <w:szCs w:val="24"/>
          <w:rtl/>
        </w:rPr>
        <w:t>:</w:t>
      </w:r>
    </w:p>
    <w:p w:rsidR="00FF17DB" w:rsidRDefault="00FF17DB" w:rsidP="00FF17DB">
      <w:pPr>
        <w:pStyle w:val="Ruller41"/>
        <w:rPr>
          <w:rtl/>
        </w:rPr>
      </w:pPr>
    </w:p>
    <w:p w:rsidR="0047626A" w:rsidRPr="00C00C0C" w:rsidRDefault="0047626A" w:rsidP="0047626A">
      <w:pPr>
        <w:pStyle w:val="Ruller41"/>
        <w:rPr>
          <w:rFonts w:ascii="Century" w:hAnsi="Century" w:cs="Miriam"/>
          <w:b/>
          <w:spacing w:val="0"/>
          <w:szCs w:val="24"/>
          <w:rtl/>
        </w:rPr>
      </w:pPr>
      <w:r w:rsidRPr="00C00C0C">
        <w:rPr>
          <w:rFonts w:ascii="Century" w:hAnsi="Century" w:cs="Miriam" w:hint="cs"/>
          <w:b/>
          <w:spacing w:val="0"/>
          <w:szCs w:val="24"/>
          <w:rtl/>
        </w:rPr>
        <w:t xml:space="preserve">דברי הקדמה </w:t>
      </w:r>
    </w:p>
    <w:p w:rsidR="0047626A" w:rsidRDefault="0047626A" w:rsidP="006856B2">
      <w:pPr>
        <w:pStyle w:val="Ruller41"/>
        <w:spacing w:line="276" w:lineRule="auto"/>
        <w:rPr>
          <w:rtl/>
        </w:rPr>
      </w:pPr>
    </w:p>
    <w:p w:rsidR="0047626A" w:rsidRDefault="0047626A" w:rsidP="00A01E7C">
      <w:pPr>
        <w:pStyle w:val="Ruller4"/>
        <w:numPr>
          <w:ilvl w:val="0"/>
          <w:numId w:val="12"/>
        </w:numPr>
      </w:pPr>
      <w:r>
        <w:rPr>
          <w:rFonts w:hint="cs"/>
          <w:rtl/>
        </w:rPr>
        <w:t xml:space="preserve">השיח החוקתי שמתקיים במחוזותינו מתנהל לפי הדפוס "מה גובר על מה?". לפי כללי השיח, בית המשפט העליון </w:t>
      </w:r>
      <w:r>
        <w:rPr>
          <w:rtl/>
        </w:rPr>
        <w:t>–</w:t>
      </w:r>
      <w:r>
        <w:rPr>
          <w:rFonts w:hint="cs"/>
          <w:rtl/>
        </w:rPr>
        <w:t xml:space="preserve"> ובנסיבות מתאימות, גם מוסד שיפוטי אחר </w:t>
      </w:r>
      <w:r>
        <w:rPr>
          <w:rtl/>
        </w:rPr>
        <w:t>–</w:t>
      </w:r>
      <w:r>
        <w:rPr>
          <w:rFonts w:hint="cs"/>
          <w:rtl/>
        </w:rPr>
        <w:t xml:space="preserve"> מוסמך לקבוע את בטלותו של חוק רגיל של הכנסת אשר נחקק בניגוד להוראותיו של אחד מחוקי היסוד </w:t>
      </w:r>
      <w:r w:rsidRPr="000871DC">
        <w:rPr>
          <w:rtl/>
        </w:rPr>
        <w:t>(</w:t>
      </w:r>
      <w:r w:rsidRPr="000871DC">
        <w:rPr>
          <w:rFonts w:hint="eastAsia"/>
          <w:rtl/>
        </w:rPr>
        <w:t>ראו</w:t>
      </w:r>
      <w:r w:rsidRPr="000871DC">
        <w:rPr>
          <w:rtl/>
        </w:rPr>
        <w:t xml:space="preserve">: </w:t>
      </w:r>
      <w:r w:rsidRPr="000871DC">
        <w:rPr>
          <w:rFonts w:hint="eastAsia"/>
          <w:rtl/>
        </w:rPr>
        <w:t>ע</w:t>
      </w:r>
      <w:r w:rsidRPr="000871DC">
        <w:rPr>
          <w:rtl/>
        </w:rPr>
        <w:t>"</w:t>
      </w:r>
      <w:r w:rsidRPr="000871DC">
        <w:rPr>
          <w:rFonts w:hint="eastAsia"/>
          <w:rtl/>
        </w:rPr>
        <w:t>א</w:t>
      </w:r>
      <w:r w:rsidRPr="0047626A">
        <w:rPr>
          <w:rFonts w:ascii="FrankRuehl" w:hAnsi="FrankRuehl"/>
          <w:color w:val="222222"/>
          <w:spacing w:val="0"/>
          <w:sz w:val="28"/>
          <w:rtl/>
        </w:rPr>
        <w:t xml:space="preserve"> 6821/93</w:t>
      </w:r>
      <w:r w:rsidRPr="0047626A">
        <w:rPr>
          <w:rFonts w:ascii="Arial" w:hAnsi="Arial" w:cs="Arial" w:hint="eastAsia"/>
          <w:color w:val="222222"/>
          <w:spacing w:val="0"/>
          <w:sz w:val="28"/>
          <w:rtl/>
        </w:rPr>
        <w:t> </w:t>
      </w:r>
      <w:r w:rsidRPr="0047626A">
        <w:rPr>
          <w:rFonts w:ascii="Miriam" w:hAnsi="Miriam" w:cs="Miriam"/>
          <w:color w:val="222222"/>
          <w:spacing w:val="0"/>
          <w:szCs w:val="24"/>
          <w:rtl/>
        </w:rPr>
        <w:t>בנק המזרחי המאוחד בע"מ נ' מגדל כפר שיתופי</w:t>
      </w:r>
      <w:r w:rsidRPr="0047626A">
        <w:rPr>
          <w:rFonts w:ascii="FrankRuehl" w:hAnsi="FrankRuehl"/>
          <w:color w:val="222222"/>
          <w:spacing w:val="0"/>
          <w:sz w:val="28"/>
          <w:rtl/>
        </w:rPr>
        <w:t xml:space="preserve">, פ"ד מט(4) 221 (1995) (להלן: </w:t>
      </w:r>
      <w:r w:rsidRPr="0047626A">
        <w:rPr>
          <w:rFonts w:ascii="Century" w:hAnsi="Century" w:hint="eastAsia"/>
          <w:sz w:val="22"/>
          <w:rtl/>
        </w:rPr>
        <w:t>עניין</w:t>
      </w:r>
      <w:r w:rsidRPr="0047626A">
        <w:rPr>
          <w:rFonts w:cs="Miriam" w:hint="cs"/>
          <w:b/>
          <w:spacing w:val="0"/>
          <w:szCs w:val="24"/>
          <w:rtl/>
        </w:rPr>
        <w:t xml:space="preserve"> בנק המזרחי</w:t>
      </w:r>
      <w:r w:rsidRPr="0047626A">
        <w:rPr>
          <w:rFonts w:ascii="FrankRuehl" w:hAnsi="FrankRuehl" w:hint="cs"/>
          <w:color w:val="222222"/>
          <w:spacing w:val="0"/>
          <w:sz w:val="28"/>
          <w:rtl/>
        </w:rPr>
        <w:t>)).</w:t>
      </w:r>
      <w:r>
        <w:rPr>
          <w:rFonts w:hint="cs"/>
          <w:rtl/>
        </w:rPr>
        <w:t xml:space="preserve"> מכאן נולדה הטענה נושא דיוננו: "אם פסיקתו של בית משפט זה בדבר בטלותו של חוק רגיל באה מכוח האמור בחוקי היסוד, אזי ניתן לכונן חוק יסוד שיהא חסין מפני ביקורת שיפוטית </w:t>
      </w:r>
      <w:r>
        <w:rPr>
          <w:rtl/>
        </w:rPr>
        <w:t>–</w:t>
      </w:r>
      <w:r>
        <w:rPr>
          <w:rFonts w:hint="cs"/>
          <w:rtl/>
        </w:rPr>
        <w:t xml:space="preserve"> לאמור: חוק יסוד גובר על כוחו של בית המשפט העליון".</w:t>
      </w:r>
    </w:p>
    <w:p w:rsidR="0047626A" w:rsidRDefault="0047626A" w:rsidP="0047626A">
      <w:pPr>
        <w:pStyle w:val="Ruller4"/>
        <w:numPr>
          <w:ilvl w:val="0"/>
          <w:numId w:val="0"/>
        </w:numPr>
      </w:pPr>
    </w:p>
    <w:p w:rsidR="0047626A" w:rsidRDefault="0047626A" w:rsidP="0047626A">
      <w:pPr>
        <w:pStyle w:val="Ruller4"/>
      </w:pPr>
      <w:r>
        <w:rPr>
          <w:rFonts w:hint="cs"/>
          <w:rtl/>
        </w:rPr>
        <w:t xml:space="preserve">טענה זו מזכירה משחק ילדים הידוע בשם "אבן, נייר ומספריים" או "אבנייר ומספריים", בעגה הירושלמית. מדובר במשחק מסדר שני שמנצחו מכריע במחלוקת הילדים באשר לפעילות מסדר ראשון שברצונם לקיים (כדוגמת הבחירה בין משחק כדורגל ומשחק כדורסל, או החלטה בדבר זהותו של המחפש הראשון במשחק מחבואים). בגדרו של משחק זה, משתתפיו מסמנים בבת-אחת, באמצעות אצבעותיהם, את בחירתם ב"אבן", ב"נייר" או ב"מספריים"; והמנצח נקבע לפי הכלל הבא: "אבן" שוברת ועל ידי כך מנצחת "מספריים", "מספריים" גוזרים ועל ידי כך מנצחים "נייר", ואילו "נייר" מכסה ועל ידי כך מנצח "אבן". </w:t>
      </w:r>
    </w:p>
    <w:p w:rsidR="0047626A" w:rsidRDefault="0047626A" w:rsidP="0047626A">
      <w:pPr>
        <w:pStyle w:val="Ruller4"/>
        <w:numPr>
          <w:ilvl w:val="0"/>
          <w:numId w:val="0"/>
        </w:numPr>
      </w:pPr>
    </w:p>
    <w:p w:rsidR="0047626A" w:rsidRDefault="0047626A" w:rsidP="0047626A">
      <w:pPr>
        <w:pStyle w:val="Ruller4"/>
      </w:pPr>
      <w:r>
        <w:rPr>
          <w:rFonts w:hint="cs"/>
          <w:rtl/>
        </w:rPr>
        <w:t xml:space="preserve">השיח החוקתי שלנו אינו יכול להתנהל לפי דפוסי המשחק "אבן, נייר ומספריים", או משחק ילדים אחר. שיח חוקתי אינו בגדר משחק לילדים; ובוודאי שאין הוא יכול להתנהל כדרכם של משחקי ילדים בגדרם של הליכים משפטיים אשר קובעים זכויות וחובות רבות חשיבות. משתתפיו הפעילים של שיח זה כוללים את המחוקק הראשי </w:t>
      </w:r>
      <w:r>
        <w:rPr>
          <w:rtl/>
        </w:rPr>
        <w:t>–</w:t>
      </w:r>
      <w:r>
        <w:rPr>
          <w:rFonts w:hint="cs"/>
          <w:rtl/>
        </w:rPr>
        <w:t xml:space="preserve"> הכנסת </w:t>
      </w:r>
      <w:r>
        <w:rPr>
          <w:rtl/>
        </w:rPr>
        <w:t>–</w:t>
      </w:r>
      <w:r>
        <w:rPr>
          <w:rFonts w:hint="cs"/>
          <w:rtl/>
        </w:rPr>
        <w:t xml:space="preserve"> וכן את מחוקקי המשנה, אשר משתייכים לזרועות הביצוע של הממשלה, ואת הרשות השופטת, שבראשה עומד בית המשפט העליון. במסגרתו של שיח זה, הכנסת, מחוקקי המשנה ובית המשפט העליון אינם רשאים לנכס לעצמם כוח-על במחי-יד, כפי שנעשה במשחק "אבן, נייר ומספריים". מקורו של כוח-על, כמו של כל כוח משפטי, צריך להימצא </w:t>
      </w:r>
      <w:r w:rsidRPr="005175BA">
        <w:rPr>
          <w:rFonts w:ascii="Century" w:hAnsi="Century" w:cs="Miriam" w:hint="cs"/>
          <w:b/>
          <w:spacing w:val="0"/>
          <w:sz w:val="22"/>
          <w:szCs w:val="24"/>
          <w:rtl/>
        </w:rPr>
        <w:t xml:space="preserve">באקט </w:t>
      </w:r>
      <w:r>
        <w:rPr>
          <w:rFonts w:ascii="Century" w:hAnsi="Century" w:cs="Miriam" w:hint="cs"/>
          <w:b/>
          <w:spacing w:val="0"/>
          <w:sz w:val="22"/>
          <w:szCs w:val="24"/>
          <w:rtl/>
        </w:rPr>
        <w:t>הסמכה</w:t>
      </w:r>
      <w:r>
        <w:rPr>
          <w:rFonts w:ascii="Century" w:hAnsi="Century" w:hint="cs"/>
          <w:sz w:val="22"/>
          <w:rtl/>
        </w:rPr>
        <w:t xml:space="preserve"> אשר נעשה במציאות ואשר מעוגן בדין. באופן ספציפי יותר, כוונתי </w:t>
      </w:r>
      <w:r w:rsidRPr="00BD1803">
        <w:rPr>
          <w:rFonts w:ascii="Century" w:hAnsi="Century" w:cs="Miriam" w:hint="cs"/>
          <w:b/>
          <w:spacing w:val="0"/>
          <w:sz w:val="22"/>
          <w:szCs w:val="24"/>
          <w:rtl/>
        </w:rPr>
        <w:t>לאקט פורמלי של הריבון</w:t>
      </w:r>
      <w:r>
        <w:rPr>
          <w:rFonts w:hint="cs"/>
          <w:rtl/>
        </w:rPr>
        <w:t xml:space="preserve"> אשר מקנה כוח-על לכנסת כרשות מחוקקת, לאחד ממחוקקי המשנה או לבית המשפט העליון (ראו: </w:t>
      </w:r>
      <w:r w:rsidRPr="00BD1803">
        <w:rPr>
          <w:rFonts w:asciiTheme="majorBidi" w:hAnsiTheme="majorBidi" w:cstheme="majorBidi"/>
          <w:smallCaps/>
        </w:rPr>
        <w:t>H.L.A. Hart, The Concept of Law</w:t>
      </w:r>
      <w:r w:rsidRPr="00BD1803">
        <w:rPr>
          <w:rFonts w:asciiTheme="majorBidi" w:hAnsiTheme="majorBidi" w:cstheme="majorBidi"/>
        </w:rPr>
        <w:t xml:space="preserve"> 64-66 (1961)</w:t>
      </w:r>
      <w:r w:rsidRPr="00BD1803">
        <w:rPr>
          <w:rFonts w:asciiTheme="majorBidi" w:hAnsiTheme="majorBidi" w:cstheme="majorBidi" w:hint="cs"/>
          <w:rtl/>
        </w:rPr>
        <w:t xml:space="preserve"> </w:t>
      </w:r>
      <w:r w:rsidRPr="00BD1803">
        <w:rPr>
          <w:rFonts w:ascii="Century" w:hAnsi="Century" w:hint="cs"/>
          <w:sz w:val="22"/>
          <w:rtl/>
        </w:rPr>
        <w:t xml:space="preserve">(להלן: </w:t>
      </w:r>
      <w:r w:rsidRPr="00BD1803">
        <w:rPr>
          <w:rFonts w:ascii="Century" w:hAnsi="Century" w:cs="Miriam" w:hint="cs"/>
          <w:b/>
          <w:spacing w:val="0"/>
          <w:sz w:val="22"/>
          <w:szCs w:val="24"/>
          <w:rtl/>
        </w:rPr>
        <w:t>הארט</w:t>
      </w:r>
      <w:r w:rsidRPr="00BD1803">
        <w:rPr>
          <w:rFonts w:ascii="Century" w:hAnsi="Century" w:hint="cs"/>
          <w:sz w:val="22"/>
          <w:rtl/>
        </w:rPr>
        <w:t>))</w:t>
      </w:r>
      <w:r>
        <w:rPr>
          <w:rFonts w:hint="cs"/>
          <w:rtl/>
        </w:rPr>
        <w:t xml:space="preserve">. </w:t>
      </w:r>
    </w:p>
    <w:p w:rsidR="0047626A" w:rsidRDefault="0047626A" w:rsidP="0047626A">
      <w:pPr>
        <w:pStyle w:val="Ruller4"/>
        <w:numPr>
          <w:ilvl w:val="0"/>
          <w:numId w:val="0"/>
        </w:numPr>
        <w:rPr>
          <w:rtl/>
        </w:rPr>
      </w:pPr>
    </w:p>
    <w:p w:rsidR="0047626A" w:rsidRDefault="0047626A" w:rsidP="00FE443E">
      <w:pPr>
        <w:pStyle w:val="Ruller4"/>
      </w:pPr>
      <w:r>
        <w:rPr>
          <w:rFonts w:hint="cs"/>
          <w:rtl/>
        </w:rPr>
        <w:t xml:space="preserve">בראש ובראשונה, הנני מכוון דבריי אלה לכך שסמכויות השלטון אינן נוצרות יש מאין ללא מעשה הסמכה פורמלי </w:t>
      </w:r>
      <w:r>
        <w:rPr>
          <w:rtl/>
        </w:rPr>
        <w:t>–</w:t>
      </w:r>
      <w:r>
        <w:rPr>
          <w:rFonts w:hint="cs"/>
          <w:rtl/>
        </w:rPr>
        <w:t xml:space="preserve"> וכפועל יוצא מכך, יש צורך בקיומה של הסמכה פורמלית בת-תוקף כתנאי לכשירותה ולתקפותה של כל פעולה שלטונית באשר היא: החל מכינון חוקי היסוד, עובר לחקיקת חוקים רגילים, וכלה בהתקנת תקנות בנות-פועל תחיקתי ובמעשים אחרים של השלטון, לרבות שפיטה. </w:t>
      </w:r>
    </w:p>
    <w:p w:rsidR="0047626A" w:rsidRDefault="0047626A" w:rsidP="0047626A">
      <w:pPr>
        <w:pStyle w:val="Ruller4"/>
        <w:numPr>
          <w:ilvl w:val="0"/>
          <w:numId w:val="0"/>
        </w:numPr>
      </w:pPr>
    </w:p>
    <w:p w:rsidR="0047626A" w:rsidRDefault="0047626A" w:rsidP="0047626A">
      <w:pPr>
        <w:pStyle w:val="Ruller4"/>
      </w:pPr>
      <w:r>
        <w:rPr>
          <w:rFonts w:hint="cs"/>
          <w:rtl/>
        </w:rPr>
        <w:t xml:space="preserve">לצד האמור וכפי שעולה ממנו, הנני מבקש לחלוק על קונספציה אחרת שמצאה אחיזה בשיח החוקתי אשר מתקיים במחוזותינו. כוונתי לקונספציה אשר מבכרת רעיונות ערכיים מופשטים, נטולי עיגון פורמלי </w:t>
      </w:r>
      <w:r>
        <w:rPr>
          <w:rtl/>
        </w:rPr>
        <w:t>–</w:t>
      </w:r>
      <w:r>
        <w:rPr>
          <w:rFonts w:hint="cs"/>
          <w:rtl/>
        </w:rPr>
        <w:t xml:space="preserve"> כדוגמת "דמוקרטיה" </w:t>
      </w:r>
      <w:r>
        <w:rPr>
          <w:rtl/>
        </w:rPr>
        <w:t>–</w:t>
      </w:r>
      <w:r>
        <w:rPr>
          <w:rFonts w:hint="cs"/>
          <w:rtl/>
        </w:rPr>
        <w:t xml:space="preserve"> על פני האות הכתובה של המשפט; אשר מעמידה מטאפורות מעל העובדות כהווייתן; אשר מניחה, יש מאין, כי בית משפט זה הוסמך ליצוק תוכן קונקרטי ומחייב מבחינה משפטית לתוך הערכים המופשטים; ואשר פוסחת על שאלות תורת-משפטיות יסודיות על ידי מהלכים שבבסיסם הנחת המבוקש. תשובות אמת לשאלות משפטיות, לרבות שאלות משפטיות מורכבות אשר נטועות בדיני חוקה, יש למצוא בגדרי הדין הפוזיטיבי, ורק בו. המשפט הפורמלי שמעוגן במסמכיה הרשמיים של המדינה, ובראשם ספרי חוק, הוא זה שאמור להכריע את הכף. הוא </w:t>
      </w:r>
      <w:r>
        <w:rPr>
          <w:rtl/>
        </w:rPr>
        <w:t>–</w:t>
      </w:r>
      <w:r>
        <w:rPr>
          <w:rFonts w:hint="cs"/>
          <w:rtl/>
        </w:rPr>
        <w:t xml:space="preserve"> ולא רעיונות ערכיים נטולי גושפנקא משפטית-פורמלית ומטאפורות למיניהן. </w:t>
      </w:r>
    </w:p>
    <w:p w:rsidR="0047626A" w:rsidRDefault="0047626A" w:rsidP="0047626A">
      <w:pPr>
        <w:pStyle w:val="Ruller4"/>
        <w:numPr>
          <w:ilvl w:val="0"/>
          <w:numId w:val="0"/>
        </w:numPr>
      </w:pPr>
    </w:p>
    <w:p w:rsidR="0047626A" w:rsidRDefault="0047626A" w:rsidP="0047626A">
      <w:pPr>
        <w:pStyle w:val="Ruller4"/>
      </w:pPr>
      <w:r>
        <w:rPr>
          <w:rFonts w:hint="cs"/>
          <w:rtl/>
        </w:rPr>
        <w:t xml:space="preserve">עיקרה של </w:t>
      </w:r>
      <w:r w:rsidRPr="0075641B">
        <w:rPr>
          <w:rFonts w:hint="cs"/>
          <w:rtl/>
        </w:rPr>
        <w:t xml:space="preserve">ביקורת זו מכוון לשתי גישות קצה אשר שוללות זו את זו אהדדי. אחת מגישות אלו, בה אוחז בא-כוח הממשלה, מעניקה חופש פעולה מלא למוסד המחוקק </w:t>
      </w:r>
      <w:r w:rsidRPr="0075641B">
        <w:rPr>
          <w:rtl/>
        </w:rPr>
        <w:t>–</w:t>
      </w:r>
      <w:r w:rsidRPr="0075641B">
        <w:rPr>
          <w:rFonts w:hint="cs"/>
          <w:rtl/>
        </w:rPr>
        <w:t xml:space="preserve"> הכנסת </w:t>
      </w:r>
      <w:r w:rsidRPr="0075641B">
        <w:rPr>
          <w:rtl/>
        </w:rPr>
        <w:t>–</w:t>
      </w:r>
      <w:r w:rsidRPr="0075641B">
        <w:rPr>
          <w:rFonts w:hint="cs"/>
          <w:rtl/>
        </w:rPr>
        <w:t xml:space="preserve"> על בסיס בחירתו על ידי רוב העם. הגישה האחרת, בה דוגלים רוב חברי המותב הנוכחי, מעניקה לבית משפט זה כוח נטול גבולות מוחשיים לבטל כל חוק, לרבות חוק יסוד, שאינו תואם את אופייה של מדינתנו כמדינה ״יהודית ודמוקרטית״. מכנה משותף שמחבר גישות אלו זאת אל זאת הוא הפטור העצמי מהצגת אסמכתא משפטית-פורמלית. בא-כוח הממשלה רואה את עצמו פטור מלהציג אסמכתא משפטית-פורמלית לקיום הסמכה של הכנסת לחוקק כל חוק יסוד. מנגד, רוב חברי המותב הנוכחי רואים את עצמם פטורים מלהציג אסמכתא משפטית-פורמלית לקיומו של כוח להעמיד כל חוק, לרבות חוק יסוד, לביקורת שיפוטית רחבת ידיים. הנני סבור כי מהלכים אלה הם חסרי בסיס.</w:t>
      </w:r>
    </w:p>
    <w:p w:rsidR="0047626A" w:rsidRDefault="0047626A" w:rsidP="0047626A">
      <w:pPr>
        <w:pStyle w:val="Ruller4"/>
        <w:numPr>
          <w:ilvl w:val="0"/>
          <w:numId w:val="0"/>
        </w:numPr>
      </w:pPr>
    </w:p>
    <w:p w:rsidR="0047626A" w:rsidRDefault="0047626A" w:rsidP="0047626A">
      <w:pPr>
        <w:pStyle w:val="Ruller4"/>
      </w:pPr>
      <w:r w:rsidRPr="0075641B">
        <w:rPr>
          <w:rFonts w:hint="cs"/>
          <w:rtl/>
        </w:rPr>
        <w:t xml:space="preserve">לדידי, סמכויות שררה שאינן כתובות בשום חוק (או חוקה) אינן קיימות. בשיטת משפטנו, רק לאזרח רגיל מותר לעשות כל דבר שלא נאסר בחוק. רשויות השלטון </w:t>
      </w:r>
      <w:r w:rsidRPr="0075641B">
        <w:rPr>
          <w:rtl/>
        </w:rPr>
        <w:t>–</w:t>
      </w:r>
      <w:r w:rsidRPr="0075641B">
        <w:rPr>
          <w:rFonts w:hint="cs"/>
          <w:rtl/>
        </w:rPr>
        <w:t xml:space="preserve"> </w:t>
      </w:r>
      <w:r w:rsidRPr="0075641B">
        <w:rPr>
          <w:rFonts w:hint="cs"/>
          <w:rtl/>
        </w:rPr>
        <w:lastRenderedPageBreak/>
        <w:t xml:space="preserve">ובכללן הכנסת </w:t>
      </w:r>
      <w:r w:rsidRPr="0075641B">
        <w:rPr>
          <w:rtl/>
        </w:rPr>
        <w:t>–</w:t>
      </w:r>
      <w:r w:rsidRPr="0075641B">
        <w:rPr>
          <w:rFonts w:hint="cs"/>
          <w:rtl/>
        </w:rPr>
        <w:t xml:space="preserve"> אינן מוסמכות לפעול אלא בגבולות הסמכות שהדין הקנה להם (ראו: </w:t>
      </w:r>
      <w:r w:rsidRPr="0075641B">
        <w:rPr>
          <w:rtl/>
        </w:rPr>
        <w:t xml:space="preserve">בג"ץ 1/49 </w:t>
      </w:r>
      <w:r w:rsidRPr="00B33F2D">
        <w:rPr>
          <w:rStyle w:val="s1"/>
          <w:rFonts w:ascii="Century" w:hAnsi="Century" w:cs="Miriam"/>
          <w:b/>
          <w:spacing w:val="0"/>
          <w:sz w:val="22"/>
          <w:szCs w:val="24"/>
          <w:rtl/>
        </w:rPr>
        <w:t>בז'רנו נ' שר</w:t>
      </w:r>
      <w:r w:rsidRPr="00B33F2D">
        <w:rPr>
          <w:rStyle w:val="s1"/>
          <w:rFonts w:ascii="Century" w:hAnsi="Century" w:cs="Miriam" w:hint="cs"/>
          <w:b/>
          <w:spacing w:val="0"/>
          <w:sz w:val="22"/>
          <w:szCs w:val="24"/>
          <w:rtl/>
        </w:rPr>
        <w:t xml:space="preserve"> </w:t>
      </w:r>
      <w:r w:rsidRPr="00B33F2D">
        <w:rPr>
          <w:rStyle w:val="s1"/>
          <w:rFonts w:ascii="Century" w:hAnsi="Century" w:cs="Miriam"/>
          <w:b/>
          <w:spacing w:val="0"/>
          <w:sz w:val="22"/>
          <w:szCs w:val="24"/>
          <w:rtl/>
        </w:rPr>
        <w:t>המשטרה</w:t>
      </w:r>
      <w:r w:rsidRPr="00B33F2D">
        <w:rPr>
          <w:rStyle w:val="s1"/>
          <w:rFonts w:ascii="Century" w:hAnsi="Century" w:hint="cs"/>
          <w:sz w:val="22"/>
          <w:rtl/>
        </w:rPr>
        <w:t xml:space="preserve">, </w:t>
      </w:r>
      <w:r w:rsidRPr="0075641B">
        <w:rPr>
          <w:rFonts w:hint="cs"/>
          <w:rtl/>
        </w:rPr>
        <w:t>פ"ד</w:t>
      </w:r>
      <w:r w:rsidRPr="0075641B">
        <w:rPr>
          <w:rtl/>
        </w:rPr>
        <w:t xml:space="preserve"> ב 80 (1949)</w:t>
      </w:r>
      <w:r w:rsidRPr="0075641B">
        <w:rPr>
          <w:rFonts w:hint="cs"/>
          <w:rtl/>
        </w:rPr>
        <w:t>). לשיטתו של בא-כוח הממשלה, לא קיימת שום מגבלה אשר מונעת מהכנסת את הכוח לחוקק חוק יסוד ששולל מאדם את קניינו, מגרשו מביתו-שלו והופך אותו לדר רחוב. מנגד, חבריי למותב אשר גוזרים את סמכות הביקורת השיפוטית מהיותה של מדינתנו "יהודית ודמוקרטית״ אינם מציבים שום מגבלה לכוחו של בית המשפט העליון לקבוע את תכני הדמוקרטיה היהודית כראות עיניו. </w:t>
      </w:r>
    </w:p>
    <w:p w:rsidR="0047626A" w:rsidRDefault="0047626A" w:rsidP="0047626A">
      <w:pPr>
        <w:pStyle w:val="Ruller4"/>
        <w:numPr>
          <w:ilvl w:val="0"/>
          <w:numId w:val="0"/>
        </w:numPr>
      </w:pPr>
    </w:p>
    <w:p w:rsidR="0047626A" w:rsidRPr="00ED780A" w:rsidRDefault="0047626A" w:rsidP="00FE443E">
      <w:pPr>
        <w:pStyle w:val="Ruller4"/>
        <w:rPr>
          <w:rtl/>
        </w:rPr>
      </w:pPr>
      <w:r w:rsidRPr="0075641B">
        <w:rPr>
          <w:rFonts w:hint="cs"/>
          <w:rtl/>
        </w:rPr>
        <w:t>גישות קצה אלה אינן מקובלות עלי כלל ועיקר. הן יוצרות סמכויות שררה יש מאין, ללא שום עיגון משפטי-פורמלי. הן מוליכות לתוצאות מרחיקות לכת שאין להן אח ורע בשיטות משפט מקבילות. בבסיסה של כל אחת מהגישות הללו עומד טיעון משפטי אשר מניח את מבוקשו — טיעון שבכוחו להוכיח כל דבר שהטוען חפץ ביקרו.</w:t>
      </w:r>
      <w:r w:rsidRPr="00B33F2D">
        <w:rPr>
          <w:rStyle w:val="s1"/>
          <w:rFonts w:ascii="Century" w:hAnsi="Century" w:hint="cs"/>
          <w:sz w:val="22"/>
          <w:rtl/>
        </w:rPr>
        <w:t xml:space="preserve"> </w:t>
      </w:r>
      <w:r w:rsidRPr="00B33F2D">
        <w:rPr>
          <w:rStyle w:val="s1"/>
          <w:rFonts w:ascii="Century" w:hAnsi="Century" w:cs="Miriam" w:hint="cs"/>
          <w:b/>
          <w:spacing w:val="0"/>
          <w:sz w:val="22"/>
          <w:szCs w:val="24"/>
          <w:rtl/>
        </w:rPr>
        <w:t>אולם, טיעון שבכוחו להוכיח כל דבר אינו יכול להוכיח דבר או חצי-דבר</w:t>
      </w:r>
      <w:r w:rsidRPr="00B33F2D">
        <w:rPr>
          <w:rStyle w:val="s1"/>
          <w:rFonts w:ascii="Century" w:hAnsi="Century" w:hint="cs"/>
          <w:sz w:val="22"/>
          <w:rtl/>
        </w:rPr>
        <w:t>. </w:t>
      </w:r>
    </w:p>
    <w:p w:rsidR="0047626A" w:rsidRPr="00C779D2" w:rsidRDefault="0047626A" w:rsidP="0047626A">
      <w:pPr>
        <w:pStyle w:val="Ruller41"/>
      </w:pPr>
    </w:p>
    <w:p w:rsidR="0047626A" w:rsidRDefault="0047626A" w:rsidP="0047626A">
      <w:pPr>
        <w:pStyle w:val="Ruller4"/>
        <w:rPr>
          <w:rtl/>
        </w:rPr>
      </w:pPr>
      <w:r>
        <w:rPr>
          <w:rFonts w:hint="cs"/>
          <w:rtl/>
        </w:rPr>
        <w:t xml:space="preserve">במדינתנו, העם הוא הריבון. בהתאם לכך, כוחה של הכנסת, כוחם של מחוקקי המשנה וכוחו של בית המשפט העליון חייבים להיות מעוגנים </w:t>
      </w:r>
      <w:r w:rsidRPr="005175BA">
        <w:rPr>
          <w:rFonts w:ascii="Century" w:hAnsi="Century" w:cs="Miriam" w:hint="cs"/>
          <w:b/>
          <w:spacing w:val="0"/>
          <w:sz w:val="22"/>
          <w:szCs w:val="24"/>
          <w:rtl/>
        </w:rPr>
        <w:t>ב</w:t>
      </w:r>
      <w:r>
        <w:rPr>
          <w:rFonts w:ascii="Century" w:hAnsi="Century" w:cs="Miriam" w:hint="cs"/>
          <w:b/>
          <w:spacing w:val="0"/>
          <w:sz w:val="22"/>
          <w:szCs w:val="24"/>
          <w:rtl/>
        </w:rPr>
        <w:t>מעשה פורמלי</w:t>
      </w:r>
      <w:r w:rsidRPr="005175BA">
        <w:rPr>
          <w:rFonts w:ascii="Century" w:hAnsi="Century" w:cs="Miriam" w:hint="cs"/>
          <w:b/>
          <w:spacing w:val="0"/>
          <w:sz w:val="22"/>
          <w:szCs w:val="24"/>
          <w:rtl/>
        </w:rPr>
        <w:t xml:space="preserve"> מסמיך</w:t>
      </w:r>
      <w:r>
        <w:rPr>
          <w:rFonts w:hint="cs"/>
          <w:rtl/>
        </w:rPr>
        <w:t xml:space="preserve"> אשר נעשה על ידי העם הריבון, בין במישרין </w:t>
      </w:r>
      <w:r>
        <w:rPr>
          <w:rtl/>
        </w:rPr>
        <w:t>–</w:t>
      </w:r>
      <w:r>
        <w:rPr>
          <w:rFonts w:hint="cs"/>
          <w:rtl/>
        </w:rPr>
        <w:t xml:space="preserve"> במשאל עם </w:t>
      </w:r>
      <w:r>
        <w:rPr>
          <w:rtl/>
        </w:rPr>
        <w:t>–</w:t>
      </w:r>
      <w:r>
        <w:rPr>
          <w:rFonts w:hint="cs"/>
          <w:rtl/>
        </w:rPr>
        <w:t xml:space="preserve"> ובין על ידי מייצגיו המוסמכים של העם. העם עושה את המעשה המסמיך וקובע את היקף הסמכות של המחוקק הראשי ושל שאר מוסדות המדינה בנקודות זמן נדירות ומיוחדות </w:t>
      </w:r>
      <w:r w:rsidRPr="008D78EB">
        <w:rPr>
          <w:rFonts w:hint="cs"/>
          <w:rtl/>
        </w:rPr>
        <w:t>אשר תוארו בספרות כ"רגעי-האמת החוקתיים" (</w:t>
      </w:r>
      <w:r w:rsidRPr="008D78EB">
        <w:rPr>
          <w:rFonts w:asciiTheme="majorBidi" w:hAnsiTheme="majorBidi" w:cstheme="majorBidi"/>
        </w:rPr>
        <w:t>constitutional moments</w:t>
      </w:r>
      <w:r w:rsidRPr="008D78EB">
        <w:rPr>
          <w:rFonts w:hint="cs"/>
          <w:rtl/>
        </w:rPr>
        <w:t xml:space="preserve">) </w:t>
      </w:r>
      <w:r w:rsidRPr="008D78EB">
        <w:rPr>
          <w:rtl/>
        </w:rPr>
        <w:t xml:space="preserve">(ראו: </w:t>
      </w:r>
      <w:r w:rsidRPr="008D78EB">
        <w:rPr>
          <w:rFonts w:asciiTheme="majorBidi" w:hAnsiTheme="majorBidi" w:cstheme="majorBidi"/>
          <w:smallCaps/>
        </w:rPr>
        <w:t>Bruce Ackerman, We the People: Foundations</w:t>
      </w:r>
      <w:r w:rsidRPr="008D78EB">
        <w:rPr>
          <w:rFonts w:asciiTheme="majorBidi" w:hAnsiTheme="majorBidi" w:cstheme="majorBidi"/>
        </w:rPr>
        <w:t xml:space="preserve"> </w:t>
      </w:r>
      <w:r w:rsidRPr="008E0586">
        <w:rPr>
          <w:rFonts w:asciiTheme="majorBidi" w:hAnsiTheme="majorBidi" w:cstheme="majorBidi"/>
        </w:rPr>
        <w:t>3-33</w:t>
      </w:r>
      <w:r>
        <w:rPr>
          <w:rFonts w:asciiTheme="majorBidi" w:hAnsiTheme="majorBidi" w:cstheme="majorBidi"/>
        </w:rPr>
        <w:t xml:space="preserve"> (1991</w:t>
      </w:r>
      <w:r w:rsidRPr="008D78EB">
        <w:rPr>
          <w:rFonts w:asciiTheme="majorBidi" w:hAnsiTheme="majorBidi" w:cstheme="majorBidi"/>
          <w:szCs w:val="24"/>
        </w:rPr>
        <w:t>)</w:t>
      </w:r>
      <w:r>
        <w:rPr>
          <w:rFonts w:ascii="Century" w:hAnsi="Century" w:hint="cs"/>
          <w:sz w:val="22"/>
          <w:rtl/>
        </w:rPr>
        <w:t>)</w:t>
      </w:r>
      <w:r w:rsidRPr="008D78EB">
        <w:rPr>
          <w:rtl/>
        </w:rPr>
        <w:t xml:space="preserve"> </w:t>
      </w:r>
      <w:r w:rsidRPr="008D78EB">
        <w:rPr>
          <w:rFonts w:hint="cs"/>
          <w:rtl/>
        </w:rPr>
        <w:t xml:space="preserve">– בראש ובראשונה, בזמן כינונה של המדינה (ראו שם, בעמ' </w:t>
      </w:r>
      <w:r w:rsidRPr="008E0586">
        <w:rPr>
          <w:rtl/>
        </w:rPr>
        <w:t>7-6, 21, 58</w:t>
      </w:r>
      <w:r w:rsidRPr="008D78EB">
        <w:rPr>
          <w:rFonts w:hint="cs"/>
          <w:rtl/>
        </w:rPr>
        <w:t xml:space="preserve">; </w:t>
      </w:r>
      <w:r w:rsidRPr="008E0586">
        <w:rPr>
          <w:rFonts w:asciiTheme="majorBidi" w:hAnsiTheme="majorBidi" w:cstheme="majorBidi"/>
        </w:rPr>
        <w:t xml:space="preserve">Bruce A. Ackerman, </w:t>
      </w:r>
      <w:r w:rsidRPr="008E0586">
        <w:rPr>
          <w:rFonts w:asciiTheme="majorBidi" w:hAnsiTheme="majorBidi" w:cstheme="majorBidi"/>
          <w:i/>
          <w:iCs/>
        </w:rPr>
        <w:t>Discovering the Constitution</w:t>
      </w:r>
      <w:r w:rsidRPr="008E0586">
        <w:rPr>
          <w:rFonts w:asciiTheme="majorBidi" w:hAnsiTheme="majorBidi" w:cstheme="majorBidi"/>
        </w:rPr>
        <w:t xml:space="preserve">, 93 </w:t>
      </w:r>
      <w:r w:rsidRPr="008E0586">
        <w:rPr>
          <w:rFonts w:asciiTheme="majorBidi" w:hAnsiTheme="majorBidi" w:cstheme="majorBidi"/>
          <w:smallCaps/>
        </w:rPr>
        <w:t>Yale L.J.</w:t>
      </w:r>
      <w:r w:rsidRPr="008E0586">
        <w:rPr>
          <w:rFonts w:asciiTheme="majorBidi" w:hAnsiTheme="majorBidi" w:cstheme="majorBidi"/>
        </w:rPr>
        <w:t xml:space="preserve"> 1013, 1022-1023 (1984)</w:t>
      </w:r>
      <w:r w:rsidRPr="008E0586">
        <w:rPr>
          <w:rtl/>
        </w:rPr>
        <w:t>;</w:t>
      </w:r>
      <w:r w:rsidRPr="008D78EB">
        <w:rPr>
          <w:rtl/>
        </w:rPr>
        <w:t xml:space="preserve"> כמו כן ראו: </w:t>
      </w:r>
      <w:r w:rsidRPr="008E0586">
        <w:rPr>
          <w:rFonts w:asciiTheme="majorBidi" w:hAnsiTheme="majorBidi" w:cstheme="majorBidi"/>
        </w:rPr>
        <w:t xml:space="preserve">Jaime G. Lluch Aguilú, </w:t>
      </w:r>
      <w:r w:rsidRPr="008E0586">
        <w:rPr>
          <w:rFonts w:asciiTheme="majorBidi" w:hAnsiTheme="majorBidi" w:cstheme="majorBidi"/>
          <w:i/>
          <w:iCs/>
        </w:rPr>
        <w:t>State-Nations, the Legitimacy-Legality Constitutional Conundrum, and Sub-State Party System Realignments: Catalonia and Puerto Rico (2005-2018)</w:t>
      </w:r>
      <w:r w:rsidRPr="008E0586">
        <w:rPr>
          <w:rFonts w:asciiTheme="majorBidi" w:hAnsiTheme="majorBidi" w:cstheme="majorBidi"/>
        </w:rPr>
        <w:t xml:space="preserve">, 87 </w:t>
      </w:r>
      <w:r w:rsidRPr="008E0586">
        <w:rPr>
          <w:rFonts w:asciiTheme="majorBidi" w:hAnsiTheme="majorBidi" w:cstheme="majorBidi"/>
          <w:smallCaps/>
        </w:rPr>
        <w:t>Rev. Jur. U.P.R.</w:t>
      </w:r>
      <w:r w:rsidRPr="008E0586">
        <w:rPr>
          <w:rFonts w:asciiTheme="majorBidi" w:hAnsiTheme="majorBidi" w:cstheme="majorBidi"/>
        </w:rPr>
        <w:t xml:space="preserve"> 266, 274 (2018) ("Constitutional moments play a critical role in the process of state formation and majority nation-building by creating institutions with state-wide authority"</w:t>
      </w:r>
      <w:r w:rsidRPr="008D78EB">
        <w:rPr>
          <w:rFonts w:asciiTheme="majorBidi" w:hAnsiTheme="majorBidi" w:cstheme="majorBidi"/>
          <w:rtl/>
        </w:rPr>
        <w:t>)</w:t>
      </w:r>
      <w:r>
        <w:rPr>
          <w:rFonts w:asciiTheme="majorBidi" w:hAnsiTheme="majorBidi" w:cstheme="majorBidi" w:hint="cs"/>
          <w:rtl/>
        </w:rPr>
        <w:t>)</w:t>
      </w:r>
      <w:r w:rsidRPr="008D78EB">
        <w:rPr>
          <w:rFonts w:asciiTheme="majorBidi" w:hAnsiTheme="majorBidi" w:cstheme="majorBidi"/>
          <w:rtl/>
        </w:rPr>
        <w:t>.</w:t>
      </w:r>
      <w:r>
        <w:rPr>
          <w:rtl/>
        </w:rPr>
        <w:t xml:space="preserve"> </w:t>
      </w:r>
      <w:r>
        <w:rPr>
          <w:rFonts w:hint="cs"/>
          <w:rtl/>
        </w:rPr>
        <w:t xml:space="preserve">עסקינן, בלי צל-צלו של ספק, במעשה בעל חשיבות עליונה </w:t>
      </w:r>
      <w:r>
        <w:rPr>
          <w:rtl/>
        </w:rPr>
        <w:t>–</w:t>
      </w:r>
      <w:r>
        <w:rPr>
          <w:rFonts w:hint="cs"/>
          <w:rtl/>
        </w:rPr>
        <w:t xml:space="preserve"> תרתי משמע </w:t>
      </w:r>
      <w:r>
        <w:rPr>
          <w:rtl/>
        </w:rPr>
        <w:t>–</w:t>
      </w:r>
      <w:r>
        <w:rPr>
          <w:rFonts w:hint="cs"/>
          <w:rtl/>
        </w:rPr>
        <w:t xml:space="preserve"> ועל כן הוא אמור להיות מעוגן במסמכי הכינון, קרי: במסמכי ההקמה של המדינה או, למצער, במסמך רשמי אחר.</w:t>
      </w:r>
    </w:p>
    <w:p w:rsidR="0047626A" w:rsidRDefault="0047626A" w:rsidP="0047626A">
      <w:pPr>
        <w:pStyle w:val="Ruller4"/>
        <w:numPr>
          <w:ilvl w:val="0"/>
          <w:numId w:val="0"/>
        </w:numPr>
      </w:pPr>
    </w:p>
    <w:p w:rsidR="0047626A" w:rsidRDefault="0047626A" w:rsidP="0047626A">
      <w:pPr>
        <w:pStyle w:val="Ruller4"/>
      </w:pPr>
      <w:r>
        <w:rPr>
          <w:rFonts w:hint="cs"/>
          <w:rtl/>
        </w:rPr>
        <w:t xml:space="preserve">מטעמים אלה, סבורני כי השיח החוקתי הרווח במחוזותינו מחייב שינוי. במרכזו של שיח זה צריכה לעמוד השאלה הבאה, ורק היא: "מהן הסמכויות שהוקנו למוסדותינו </w:t>
      </w:r>
      <w:r>
        <w:rPr>
          <w:rFonts w:hint="cs"/>
          <w:rtl/>
        </w:rPr>
        <w:lastRenderedPageBreak/>
        <w:t xml:space="preserve">הממלכתיים </w:t>
      </w:r>
      <w:r>
        <w:rPr>
          <w:rtl/>
        </w:rPr>
        <w:t>–</w:t>
      </w:r>
      <w:r>
        <w:rPr>
          <w:rFonts w:hint="cs"/>
          <w:rtl/>
        </w:rPr>
        <w:t xml:space="preserve"> הכנסת, הממשלה על זרועותיה ובתי המשפט </w:t>
      </w:r>
      <w:r>
        <w:rPr>
          <w:rtl/>
        </w:rPr>
        <w:t>–</w:t>
      </w:r>
      <w:r>
        <w:rPr>
          <w:rFonts w:hint="cs"/>
          <w:rtl/>
        </w:rPr>
        <w:t xml:space="preserve"> ברגע-האמת החוקתי, קרי: בכינונה של מדינת ישראל כמדינה ריבונית?". ללא מענה עובדתי לשאלה זו </w:t>
      </w:r>
      <w:r>
        <w:rPr>
          <w:rtl/>
        </w:rPr>
        <w:t>–</w:t>
      </w:r>
      <w:r>
        <w:rPr>
          <w:rFonts w:hint="cs"/>
          <w:rtl/>
        </w:rPr>
        <w:t xml:space="preserve"> </w:t>
      </w:r>
      <w:r w:rsidRPr="005175BA">
        <w:rPr>
          <w:rFonts w:ascii="Century" w:hAnsi="Century" w:cs="Miriam" w:hint="cs"/>
          <w:b/>
          <w:spacing w:val="0"/>
          <w:sz w:val="22"/>
          <w:szCs w:val="24"/>
          <w:rtl/>
        </w:rPr>
        <w:t xml:space="preserve">שאלת </w:t>
      </w:r>
      <w:r>
        <w:rPr>
          <w:rFonts w:ascii="Century" w:hAnsi="Century" w:cs="Miriam" w:hint="cs"/>
          <w:b/>
          <w:spacing w:val="0"/>
          <w:sz w:val="22"/>
          <w:szCs w:val="24"/>
          <w:rtl/>
        </w:rPr>
        <w:t>ה</w:t>
      </w:r>
      <w:r w:rsidRPr="005175BA">
        <w:rPr>
          <w:rFonts w:ascii="Century" w:hAnsi="Century" w:cs="Miriam" w:hint="cs"/>
          <w:b/>
          <w:spacing w:val="0"/>
          <w:sz w:val="22"/>
          <w:szCs w:val="24"/>
          <w:rtl/>
        </w:rPr>
        <w:t>הסמכ</w:t>
      </w:r>
      <w:r>
        <w:rPr>
          <w:rFonts w:ascii="Century" w:hAnsi="Century" w:cs="Miriam" w:hint="cs"/>
          <w:b/>
          <w:spacing w:val="0"/>
          <w:sz w:val="22"/>
          <w:szCs w:val="24"/>
          <w:rtl/>
        </w:rPr>
        <w:t>ה</w:t>
      </w:r>
      <w:r w:rsidRPr="005175BA">
        <w:rPr>
          <w:rFonts w:ascii="Century" w:hAnsi="Century" w:cs="Miriam" w:hint="cs"/>
          <w:b/>
          <w:spacing w:val="0"/>
          <w:sz w:val="22"/>
          <w:szCs w:val="24"/>
          <w:rtl/>
        </w:rPr>
        <w:t xml:space="preserve"> הפורמלית</w:t>
      </w:r>
      <w:r>
        <w:rPr>
          <w:rFonts w:hint="cs"/>
          <w:rtl/>
        </w:rPr>
        <w:t xml:space="preserve"> </w:t>
      </w:r>
      <w:r>
        <w:rPr>
          <w:rtl/>
        </w:rPr>
        <w:t>–</w:t>
      </w:r>
      <w:r>
        <w:rPr>
          <w:rFonts w:hint="cs"/>
          <w:rtl/>
        </w:rPr>
        <w:t xml:space="preserve"> איש אינו רשאי, וממילא אינו יכול, לתת מענה נכון לשאלה "מה גובר על מה?". כל ניסיון לתת מענה לשאלה זו מבלי לפתור את שאלת ההסמכה הפורמלית לא יהא שונה מהמשחק "אבן, נייר ומספריים".</w:t>
      </w:r>
    </w:p>
    <w:p w:rsidR="0047626A" w:rsidRDefault="0047626A" w:rsidP="0047626A">
      <w:pPr>
        <w:pStyle w:val="Ruller4"/>
        <w:numPr>
          <w:ilvl w:val="0"/>
          <w:numId w:val="0"/>
        </w:numPr>
        <w:rPr>
          <w:rtl/>
        </w:rPr>
      </w:pPr>
    </w:p>
    <w:p w:rsidR="0047626A" w:rsidRDefault="0047626A" w:rsidP="0047626A">
      <w:pPr>
        <w:pStyle w:val="Ruller4"/>
      </w:pPr>
      <w:r w:rsidRPr="00544A17">
        <w:rPr>
          <w:rFonts w:ascii="Century" w:hAnsi="Century" w:cs="Miriam" w:hint="eastAsia"/>
          <w:b/>
          <w:spacing w:val="0"/>
          <w:sz w:val="22"/>
          <w:szCs w:val="24"/>
          <w:rtl/>
        </w:rPr>
        <w:t>שאלת</w:t>
      </w:r>
      <w:r w:rsidRPr="00544A17">
        <w:rPr>
          <w:rFonts w:ascii="Century" w:hAnsi="Century" w:cs="Miriam"/>
          <w:b/>
          <w:spacing w:val="0"/>
          <w:sz w:val="22"/>
          <w:szCs w:val="24"/>
          <w:rtl/>
        </w:rPr>
        <w:t xml:space="preserve"> </w:t>
      </w:r>
      <w:r w:rsidRPr="00544A17">
        <w:rPr>
          <w:rFonts w:ascii="Century" w:hAnsi="Century" w:cs="Miriam" w:hint="eastAsia"/>
          <w:b/>
          <w:spacing w:val="0"/>
          <w:sz w:val="22"/>
          <w:szCs w:val="24"/>
          <w:rtl/>
        </w:rPr>
        <w:t>ההסמכה</w:t>
      </w:r>
      <w:r w:rsidRPr="00544A17">
        <w:rPr>
          <w:rFonts w:ascii="Century" w:hAnsi="Century" w:cs="Miriam"/>
          <w:b/>
          <w:spacing w:val="0"/>
          <w:sz w:val="22"/>
          <w:szCs w:val="24"/>
          <w:rtl/>
        </w:rPr>
        <w:t xml:space="preserve"> </w:t>
      </w:r>
      <w:r w:rsidRPr="00544A17">
        <w:rPr>
          <w:rFonts w:ascii="Century" w:hAnsi="Century" w:cs="Miriam" w:hint="eastAsia"/>
          <w:b/>
          <w:spacing w:val="0"/>
          <w:sz w:val="22"/>
          <w:szCs w:val="24"/>
          <w:rtl/>
        </w:rPr>
        <w:t>הפורמלית</w:t>
      </w:r>
      <w:r w:rsidRPr="00544A17">
        <w:rPr>
          <w:rFonts w:ascii="Century" w:hAnsi="Century" w:cs="Miriam"/>
          <w:b/>
          <w:spacing w:val="0"/>
          <w:sz w:val="22"/>
          <w:szCs w:val="24"/>
          <w:rtl/>
        </w:rPr>
        <w:t xml:space="preserve"> –</w:t>
      </w:r>
      <w:r>
        <w:rPr>
          <w:rFonts w:ascii="Century" w:hAnsi="Century" w:cs="Miriam" w:hint="cs"/>
          <w:b/>
          <w:spacing w:val="0"/>
          <w:sz w:val="22"/>
          <w:szCs w:val="24"/>
          <w:u w:val="single"/>
          <w:rtl/>
        </w:rPr>
        <w:t xml:space="preserve"> </w:t>
      </w:r>
      <w:r w:rsidRPr="00544A17">
        <w:rPr>
          <w:rFonts w:ascii="Century" w:hAnsi="Century" w:cs="Miriam" w:hint="eastAsia"/>
          <w:b/>
          <w:spacing w:val="0"/>
          <w:sz w:val="22"/>
          <w:szCs w:val="24"/>
          <w:u w:val="single"/>
          <w:rtl/>
        </w:rPr>
        <w:t>שאלה</w:t>
      </w:r>
      <w:r w:rsidRPr="00544A17">
        <w:rPr>
          <w:rFonts w:ascii="Century" w:hAnsi="Century" w:cs="Miriam"/>
          <w:b/>
          <w:spacing w:val="0"/>
          <w:sz w:val="22"/>
          <w:szCs w:val="24"/>
          <w:u w:val="single"/>
          <w:rtl/>
        </w:rPr>
        <w:t xml:space="preserve"> </w:t>
      </w:r>
      <w:r>
        <w:rPr>
          <w:rFonts w:ascii="Century" w:hAnsi="Century" w:cs="Miriam" w:hint="cs"/>
          <w:b/>
          <w:spacing w:val="0"/>
          <w:sz w:val="22"/>
          <w:szCs w:val="24"/>
          <w:u w:val="single"/>
          <w:rtl/>
        </w:rPr>
        <w:t>שעניינה</w:t>
      </w:r>
      <w:r w:rsidRPr="00544A17">
        <w:rPr>
          <w:rFonts w:ascii="Century" w:hAnsi="Century" w:cs="Miriam" w:hint="cs"/>
          <w:b/>
          <w:spacing w:val="0"/>
          <w:sz w:val="22"/>
          <w:szCs w:val="24"/>
          <w:u w:val="single"/>
          <w:rtl/>
        </w:rPr>
        <w:t xml:space="preserve"> מקור </w:t>
      </w:r>
      <w:r>
        <w:rPr>
          <w:rFonts w:ascii="Century" w:hAnsi="Century" w:cs="Miriam" w:hint="cs"/>
          <w:b/>
          <w:spacing w:val="0"/>
          <w:sz w:val="22"/>
          <w:szCs w:val="24"/>
          <w:u w:val="single"/>
          <w:rtl/>
        </w:rPr>
        <w:t>סמכותה</w:t>
      </w:r>
      <w:r w:rsidRPr="00544A17">
        <w:rPr>
          <w:rFonts w:ascii="Century" w:hAnsi="Century" w:cs="Miriam" w:hint="cs"/>
          <w:b/>
          <w:spacing w:val="0"/>
          <w:sz w:val="22"/>
          <w:szCs w:val="24"/>
          <w:u w:val="single"/>
          <w:rtl/>
        </w:rPr>
        <w:t xml:space="preserve"> </w:t>
      </w:r>
      <w:r>
        <w:rPr>
          <w:rFonts w:ascii="Century" w:hAnsi="Century" w:cs="Miriam" w:hint="cs"/>
          <w:b/>
          <w:spacing w:val="0"/>
          <w:sz w:val="22"/>
          <w:szCs w:val="24"/>
          <w:u w:val="single"/>
          <w:rtl/>
        </w:rPr>
        <w:t xml:space="preserve">של </w:t>
      </w:r>
      <w:r w:rsidRPr="00544A17">
        <w:rPr>
          <w:rFonts w:ascii="Century" w:hAnsi="Century" w:cs="Miriam" w:hint="eastAsia"/>
          <w:b/>
          <w:spacing w:val="0"/>
          <w:sz w:val="22"/>
          <w:szCs w:val="24"/>
          <w:u w:val="single"/>
          <w:rtl/>
        </w:rPr>
        <w:t>הכנסת</w:t>
      </w:r>
      <w:r w:rsidRPr="00544A17">
        <w:rPr>
          <w:rFonts w:ascii="Century" w:hAnsi="Century" w:cs="Miriam"/>
          <w:b/>
          <w:spacing w:val="0"/>
          <w:sz w:val="22"/>
          <w:szCs w:val="24"/>
          <w:u w:val="single"/>
          <w:rtl/>
        </w:rPr>
        <w:t xml:space="preserve"> </w:t>
      </w:r>
      <w:r w:rsidRPr="00544A17">
        <w:rPr>
          <w:rFonts w:ascii="Century" w:hAnsi="Century" w:cs="Miriam" w:hint="eastAsia"/>
          <w:b/>
          <w:spacing w:val="0"/>
          <w:sz w:val="22"/>
          <w:szCs w:val="24"/>
          <w:u w:val="single"/>
          <w:rtl/>
        </w:rPr>
        <w:t>לכונן</w:t>
      </w:r>
      <w:r w:rsidRPr="00544A17">
        <w:rPr>
          <w:rFonts w:ascii="Century" w:hAnsi="Century" w:cs="Miriam"/>
          <w:b/>
          <w:spacing w:val="0"/>
          <w:sz w:val="22"/>
          <w:szCs w:val="24"/>
          <w:u w:val="single"/>
          <w:rtl/>
        </w:rPr>
        <w:t xml:space="preserve"> </w:t>
      </w:r>
      <w:r w:rsidRPr="00544A17">
        <w:rPr>
          <w:rFonts w:ascii="Century" w:hAnsi="Century" w:cs="Miriam" w:hint="eastAsia"/>
          <w:b/>
          <w:spacing w:val="0"/>
          <w:sz w:val="22"/>
          <w:szCs w:val="24"/>
          <w:u w:val="single"/>
          <w:rtl/>
        </w:rPr>
        <w:t>חוקי</w:t>
      </w:r>
      <w:r w:rsidRPr="00544A17">
        <w:rPr>
          <w:rFonts w:ascii="Century" w:hAnsi="Century" w:cs="Miriam"/>
          <w:b/>
          <w:spacing w:val="0"/>
          <w:sz w:val="22"/>
          <w:szCs w:val="24"/>
          <w:u w:val="single"/>
          <w:rtl/>
        </w:rPr>
        <w:t xml:space="preserve"> </w:t>
      </w:r>
      <w:r w:rsidRPr="00544A17">
        <w:rPr>
          <w:rFonts w:ascii="Century" w:hAnsi="Century" w:cs="Miriam" w:hint="eastAsia"/>
          <w:b/>
          <w:spacing w:val="0"/>
          <w:sz w:val="22"/>
          <w:szCs w:val="24"/>
          <w:u w:val="single"/>
          <w:rtl/>
        </w:rPr>
        <w:t>יסוד</w:t>
      </w:r>
      <w:r w:rsidRPr="00544A17">
        <w:rPr>
          <w:rFonts w:ascii="Century" w:hAnsi="Century" w:cs="Miriam"/>
          <w:b/>
          <w:spacing w:val="0"/>
          <w:sz w:val="22"/>
          <w:szCs w:val="24"/>
          <w:u w:val="single"/>
          <w:rtl/>
        </w:rPr>
        <w:t xml:space="preserve"> </w:t>
      </w:r>
      <w:r w:rsidRPr="00544A17">
        <w:rPr>
          <w:rFonts w:ascii="Century" w:hAnsi="Century" w:cs="Miriam" w:hint="eastAsia"/>
          <w:b/>
          <w:spacing w:val="0"/>
          <w:sz w:val="22"/>
          <w:szCs w:val="24"/>
          <w:u w:val="single"/>
          <w:rtl/>
        </w:rPr>
        <w:t>ולחוקק</w:t>
      </w:r>
      <w:r w:rsidRPr="00544A17">
        <w:rPr>
          <w:rFonts w:ascii="Century" w:hAnsi="Century" w:cs="Miriam"/>
          <w:b/>
          <w:spacing w:val="0"/>
          <w:sz w:val="22"/>
          <w:szCs w:val="24"/>
          <w:u w:val="single"/>
          <w:rtl/>
        </w:rPr>
        <w:t xml:space="preserve"> </w:t>
      </w:r>
      <w:r w:rsidRPr="00544A17">
        <w:rPr>
          <w:rFonts w:ascii="Century" w:hAnsi="Century" w:cs="Miriam" w:hint="eastAsia"/>
          <w:b/>
          <w:spacing w:val="0"/>
          <w:sz w:val="22"/>
          <w:szCs w:val="24"/>
          <w:u w:val="single"/>
          <w:rtl/>
        </w:rPr>
        <w:t>חוקים</w:t>
      </w:r>
      <w:r w:rsidRPr="00544A17">
        <w:rPr>
          <w:rFonts w:ascii="Century" w:hAnsi="Century" w:cs="Miriam"/>
          <w:b/>
          <w:spacing w:val="0"/>
          <w:sz w:val="22"/>
          <w:szCs w:val="24"/>
          <w:u w:val="single"/>
          <w:rtl/>
        </w:rPr>
        <w:t xml:space="preserve"> </w:t>
      </w:r>
      <w:r w:rsidRPr="00544A17">
        <w:rPr>
          <w:rFonts w:ascii="Century" w:hAnsi="Century" w:cs="Miriam" w:hint="eastAsia"/>
          <w:b/>
          <w:spacing w:val="0"/>
          <w:sz w:val="22"/>
          <w:szCs w:val="24"/>
          <w:u w:val="single"/>
          <w:rtl/>
        </w:rPr>
        <w:t>רגילים</w:t>
      </w:r>
      <w:r w:rsidRPr="0049744F">
        <w:rPr>
          <w:rFonts w:ascii="Century" w:hAnsi="Century"/>
          <w:sz w:val="22"/>
          <w:rtl/>
        </w:rPr>
        <w:t xml:space="preserve"> – </w:t>
      </w:r>
      <w:r w:rsidRPr="0049744F">
        <w:rPr>
          <w:rFonts w:ascii="Century" w:hAnsi="Century" w:hint="eastAsia"/>
          <w:sz w:val="22"/>
          <w:rtl/>
        </w:rPr>
        <w:t>תעמוד</w:t>
      </w:r>
      <w:r w:rsidRPr="0049744F">
        <w:rPr>
          <w:rFonts w:ascii="Century" w:hAnsi="Century"/>
          <w:sz w:val="22"/>
          <w:rtl/>
        </w:rPr>
        <w:t xml:space="preserve"> </w:t>
      </w:r>
      <w:r w:rsidRPr="0049744F">
        <w:rPr>
          <w:rFonts w:ascii="Century" w:hAnsi="Century" w:hint="eastAsia"/>
          <w:sz w:val="22"/>
          <w:rtl/>
        </w:rPr>
        <w:t>אפוא</w:t>
      </w:r>
      <w:r w:rsidRPr="0049744F">
        <w:rPr>
          <w:rFonts w:ascii="Century" w:hAnsi="Century"/>
          <w:sz w:val="22"/>
          <w:rtl/>
        </w:rPr>
        <w:t xml:space="preserve"> </w:t>
      </w:r>
      <w:r w:rsidRPr="0049744F">
        <w:rPr>
          <w:rFonts w:ascii="Century" w:hAnsi="Century" w:hint="eastAsia"/>
          <w:sz w:val="22"/>
          <w:rtl/>
        </w:rPr>
        <w:t>במוקד</w:t>
      </w:r>
      <w:r w:rsidRPr="0049744F">
        <w:rPr>
          <w:rFonts w:ascii="Century" w:hAnsi="Century"/>
          <w:sz w:val="22"/>
          <w:rtl/>
        </w:rPr>
        <w:t xml:space="preserve"> </w:t>
      </w:r>
      <w:r w:rsidRPr="0049744F">
        <w:rPr>
          <w:rFonts w:ascii="Century" w:hAnsi="Century" w:hint="eastAsia"/>
          <w:sz w:val="22"/>
          <w:rtl/>
        </w:rPr>
        <w:t>פסק</w:t>
      </w:r>
      <w:r w:rsidRPr="0049744F">
        <w:rPr>
          <w:rFonts w:ascii="Century" w:hAnsi="Century"/>
          <w:sz w:val="22"/>
          <w:rtl/>
        </w:rPr>
        <w:t xml:space="preserve"> </w:t>
      </w:r>
      <w:r w:rsidRPr="0049744F">
        <w:rPr>
          <w:rFonts w:ascii="Century" w:hAnsi="Century" w:hint="eastAsia"/>
          <w:sz w:val="22"/>
          <w:rtl/>
        </w:rPr>
        <w:t>דיני</w:t>
      </w:r>
      <w:r w:rsidRPr="0049744F">
        <w:rPr>
          <w:rFonts w:ascii="Century" w:hAnsi="Century" w:hint="cs"/>
          <w:sz w:val="22"/>
          <w:rtl/>
        </w:rPr>
        <w:t xml:space="preserve">. </w:t>
      </w:r>
      <w:r>
        <w:rPr>
          <w:rFonts w:hint="cs"/>
          <w:rtl/>
        </w:rPr>
        <w:t xml:space="preserve">רק אחרי שאתן מענה עובדתי מספק לשאלת ההסמכה, אעסוק בשאלה "מה גובר על מה?" אשר עלתה, בענייננו-שלנו, בהקשרו של חוק-יסוד: השפיטה </w:t>
      </w:r>
      <w:r w:rsidRPr="00916602">
        <w:rPr>
          <w:rtl/>
        </w:rPr>
        <w:t>(</w:t>
      </w:r>
      <w:r w:rsidRPr="00916602">
        <w:rPr>
          <w:rFonts w:hint="eastAsia"/>
          <w:rtl/>
        </w:rPr>
        <w:t>תיקון</w:t>
      </w:r>
      <w:r w:rsidRPr="00916602">
        <w:rPr>
          <w:rtl/>
        </w:rPr>
        <w:t xml:space="preserve"> </w:t>
      </w:r>
      <w:r w:rsidRPr="00916602">
        <w:rPr>
          <w:rFonts w:hint="eastAsia"/>
          <w:rtl/>
        </w:rPr>
        <w:t>מס</w:t>
      </w:r>
      <w:r w:rsidRPr="00916602">
        <w:rPr>
          <w:rtl/>
        </w:rPr>
        <w:t>' 3)</w:t>
      </w:r>
      <w:r>
        <w:rPr>
          <w:rFonts w:hint="cs"/>
          <w:rtl/>
        </w:rPr>
        <w:t>, ה</w:t>
      </w:r>
      <w:r w:rsidRPr="00916602">
        <w:rPr>
          <w:rFonts w:hint="eastAsia"/>
          <w:rtl/>
        </w:rPr>
        <w:t>תשפ</w:t>
      </w:r>
      <w:r w:rsidRPr="00916602">
        <w:rPr>
          <w:rtl/>
        </w:rPr>
        <w:t>"</w:t>
      </w:r>
      <w:r w:rsidRPr="00916602">
        <w:rPr>
          <w:rFonts w:hint="eastAsia"/>
          <w:rtl/>
        </w:rPr>
        <w:t>ג</w:t>
      </w:r>
      <w:r w:rsidRPr="00916602">
        <w:rPr>
          <w:rtl/>
        </w:rPr>
        <w:t>-2023</w:t>
      </w:r>
      <w:r>
        <w:rPr>
          <w:rFonts w:hint="cs"/>
          <w:rtl/>
        </w:rPr>
        <w:t xml:space="preserve">, שכונן את סעיף 15(ד1) לאותו חוק יסוד (להלן: </w:t>
      </w:r>
      <w:r w:rsidRPr="005A0089">
        <w:rPr>
          <w:rFonts w:ascii="Century" w:hAnsi="Century" w:cs="Miriam" w:hint="cs"/>
          <w:b/>
          <w:spacing w:val="0"/>
          <w:szCs w:val="24"/>
          <w:rtl/>
        </w:rPr>
        <w:t>ההוראה נושא דיוננו</w:t>
      </w:r>
      <w:r>
        <w:rPr>
          <w:rFonts w:hint="cs"/>
          <w:rtl/>
        </w:rPr>
        <w:t>).</w:t>
      </w:r>
    </w:p>
    <w:p w:rsidR="0047626A" w:rsidRDefault="0047626A" w:rsidP="0047626A">
      <w:pPr>
        <w:pStyle w:val="Ruller4"/>
        <w:numPr>
          <w:ilvl w:val="0"/>
          <w:numId w:val="0"/>
        </w:numPr>
      </w:pPr>
    </w:p>
    <w:p w:rsidR="0047626A" w:rsidRDefault="0047626A" w:rsidP="0047626A">
      <w:pPr>
        <w:pStyle w:val="Ruller4"/>
        <w:rPr>
          <w:rtl/>
        </w:rPr>
      </w:pPr>
      <w:r>
        <w:rPr>
          <w:rFonts w:hint="cs"/>
          <w:rtl/>
        </w:rPr>
        <w:t xml:space="preserve">אקדים את המאוחר ואומר בקצרה את אשר כבר אמרתי בבג"ץ 5119/23 </w:t>
      </w:r>
      <w:r w:rsidRPr="005700A1">
        <w:rPr>
          <w:rFonts w:ascii="Century" w:hAnsi="Century" w:cs="Miriam" w:hint="eastAsia"/>
          <w:b/>
          <w:spacing w:val="0"/>
          <w:sz w:val="22"/>
          <w:szCs w:val="24"/>
          <w:rtl/>
        </w:rPr>
        <w:t>התנועה</w:t>
      </w:r>
      <w:r w:rsidRPr="005700A1">
        <w:rPr>
          <w:rFonts w:ascii="Century" w:hAnsi="Century" w:cs="Miriam"/>
          <w:b/>
          <w:spacing w:val="0"/>
          <w:sz w:val="22"/>
          <w:szCs w:val="24"/>
          <w:rtl/>
        </w:rPr>
        <w:t xml:space="preserve"> </w:t>
      </w:r>
      <w:r w:rsidRPr="005700A1">
        <w:rPr>
          <w:rFonts w:ascii="Century" w:hAnsi="Century" w:cs="Miriam" w:hint="eastAsia"/>
          <w:b/>
          <w:spacing w:val="0"/>
          <w:sz w:val="22"/>
          <w:szCs w:val="24"/>
          <w:rtl/>
        </w:rPr>
        <w:t>לטוהר</w:t>
      </w:r>
      <w:r w:rsidRPr="005700A1">
        <w:rPr>
          <w:rFonts w:ascii="Century" w:hAnsi="Century" w:cs="Miriam"/>
          <w:b/>
          <w:spacing w:val="0"/>
          <w:sz w:val="22"/>
          <w:szCs w:val="24"/>
          <w:rtl/>
        </w:rPr>
        <w:t xml:space="preserve"> </w:t>
      </w:r>
      <w:r w:rsidRPr="005700A1">
        <w:rPr>
          <w:rFonts w:ascii="Century" w:hAnsi="Century" w:cs="Miriam" w:hint="eastAsia"/>
          <w:b/>
          <w:spacing w:val="0"/>
          <w:sz w:val="22"/>
          <w:szCs w:val="24"/>
          <w:rtl/>
        </w:rPr>
        <w:t>המידות</w:t>
      </w:r>
      <w:r w:rsidRPr="005700A1">
        <w:rPr>
          <w:rFonts w:ascii="Century" w:hAnsi="Century" w:cs="Miriam"/>
          <w:b/>
          <w:spacing w:val="0"/>
          <w:sz w:val="22"/>
          <w:szCs w:val="24"/>
          <w:rtl/>
        </w:rPr>
        <w:t xml:space="preserve"> </w:t>
      </w:r>
      <w:r w:rsidRPr="005700A1">
        <w:rPr>
          <w:rFonts w:ascii="Century" w:hAnsi="Century" w:cs="Miriam" w:hint="eastAsia"/>
          <w:b/>
          <w:spacing w:val="0"/>
          <w:sz w:val="22"/>
          <w:szCs w:val="24"/>
          <w:rtl/>
        </w:rPr>
        <w:t>נ</w:t>
      </w:r>
      <w:r w:rsidRPr="005700A1">
        <w:rPr>
          <w:rFonts w:ascii="Century" w:hAnsi="Century" w:cs="Miriam"/>
          <w:b/>
          <w:spacing w:val="0"/>
          <w:sz w:val="22"/>
          <w:szCs w:val="24"/>
          <w:rtl/>
        </w:rPr>
        <w:t xml:space="preserve">' </w:t>
      </w:r>
      <w:r w:rsidRPr="005700A1">
        <w:rPr>
          <w:rFonts w:ascii="Century" w:hAnsi="Century" w:cs="Miriam" w:hint="eastAsia"/>
          <w:b/>
          <w:spacing w:val="0"/>
          <w:sz w:val="22"/>
          <w:szCs w:val="24"/>
          <w:rtl/>
        </w:rPr>
        <w:t>הכנסת</w:t>
      </w:r>
      <w:r>
        <w:rPr>
          <w:rFonts w:hint="cs"/>
          <w:rtl/>
        </w:rPr>
        <w:t xml:space="preserve">, פסקאות 36-35 לפסק </w:t>
      </w:r>
      <w:r w:rsidRPr="00136D99">
        <w:rPr>
          <w:rFonts w:hint="cs"/>
          <w:rtl/>
        </w:rPr>
        <w:t>דיני (</w:t>
      </w:r>
      <w:r w:rsidRPr="00C547C0">
        <w:rPr>
          <w:rtl/>
        </w:rPr>
        <w:t>26.10.2023</w:t>
      </w:r>
      <w:r w:rsidRPr="00136D99">
        <w:rPr>
          <w:rFonts w:hint="cs"/>
          <w:rtl/>
        </w:rPr>
        <w:t>) (</w:t>
      </w:r>
      <w:r>
        <w:rPr>
          <w:rFonts w:hint="cs"/>
          <w:rtl/>
        </w:rPr>
        <w:t xml:space="preserve">להלן: </w:t>
      </w:r>
      <w:r w:rsidRPr="005700A1">
        <w:rPr>
          <w:rFonts w:ascii="Century" w:hAnsi="Century" w:cs="Miriam" w:hint="eastAsia"/>
          <w:b/>
          <w:spacing w:val="0"/>
          <w:sz w:val="22"/>
          <w:szCs w:val="24"/>
          <w:rtl/>
        </w:rPr>
        <w:t>בג</w:t>
      </w:r>
      <w:r w:rsidRPr="005700A1">
        <w:rPr>
          <w:rFonts w:ascii="Century" w:hAnsi="Century" w:cs="Miriam"/>
          <w:b/>
          <w:spacing w:val="0"/>
          <w:sz w:val="22"/>
          <w:szCs w:val="24"/>
          <w:rtl/>
        </w:rPr>
        <w:t>"</w:t>
      </w:r>
      <w:r w:rsidRPr="005700A1">
        <w:rPr>
          <w:rFonts w:ascii="Century" w:hAnsi="Century" w:cs="Miriam" w:hint="eastAsia"/>
          <w:b/>
          <w:spacing w:val="0"/>
          <w:sz w:val="22"/>
          <w:szCs w:val="24"/>
          <w:rtl/>
        </w:rPr>
        <w:t>ץ</w:t>
      </w:r>
      <w:r w:rsidRPr="005700A1">
        <w:rPr>
          <w:rFonts w:ascii="Century" w:hAnsi="Century" w:cs="Miriam"/>
          <w:b/>
          <w:spacing w:val="0"/>
          <w:sz w:val="22"/>
          <w:szCs w:val="24"/>
          <w:rtl/>
        </w:rPr>
        <w:t xml:space="preserve"> </w:t>
      </w:r>
      <w:r w:rsidRPr="005700A1">
        <w:rPr>
          <w:rFonts w:ascii="Century" w:hAnsi="Century" w:cs="Miriam" w:hint="eastAsia"/>
          <w:b/>
          <w:spacing w:val="0"/>
          <w:sz w:val="22"/>
          <w:szCs w:val="24"/>
          <w:rtl/>
        </w:rPr>
        <w:t>טבריה</w:t>
      </w:r>
      <w:r>
        <w:rPr>
          <w:rFonts w:hint="cs"/>
          <w:rtl/>
        </w:rPr>
        <w:t>):</w:t>
      </w:r>
    </w:p>
    <w:p w:rsidR="0047626A" w:rsidRDefault="0047626A" w:rsidP="0047626A">
      <w:pPr>
        <w:pStyle w:val="Ruller41"/>
        <w:rPr>
          <w:rtl/>
        </w:rPr>
      </w:pPr>
    </w:p>
    <w:p w:rsidR="0047626A" w:rsidRDefault="0047626A" w:rsidP="00A01E7C">
      <w:pPr>
        <w:pStyle w:val="Ruller41"/>
        <w:numPr>
          <w:ilvl w:val="0"/>
          <w:numId w:val="11"/>
        </w:numPr>
      </w:pPr>
      <w:r>
        <w:rPr>
          <w:rFonts w:hint="cs"/>
          <w:rtl/>
        </w:rPr>
        <w:t xml:space="preserve">הסמכתה הפורמלית של הכנסת לכונן חוקי יסוד ולחוקק חוקים רגילים באה ממסמכי ההקמה של המדינה ומשפטה: </w:t>
      </w:r>
      <w:r w:rsidRPr="008E6D34">
        <w:rPr>
          <w:rFonts w:ascii="Century" w:hAnsi="Century" w:cs="Miriam" w:hint="cs"/>
          <w:b/>
          <w:spacing w:val="0"/>
          <w:szCs w:val="24"/>
          <w:rtl/>
        </w:rPr>
        <w:t>המנשר</w:t>
      </w:r>
      <w:r>
        <w:rPr>
          <w:rFonts w:hint="cs"/>
          <w:rtl/>
        </w:rPr>
        <w:t xml:space="preserve">, שפורסם על ידי מועצת המדינה הזמנית </w:t>
      </w:r>
      <w:r w:rsidRPr="00F86A84">
        <w:rPr>
          <w:rFonts w:hint="eastAsia"/>
          <w:rtl/>
        </w:rPr>
        <w:t>בה</w:t>
      </w:r>
      <w:r w:rsidRPr="00F86A84">
        <w:rPr>
          <w:rtl/>
        </w:rPr>
        <w:t xml:space="preserve">' </w:t>
      </w:r>
      <w:r w:rsidRPr="00F86A84">
        <w:rPr>
          <w:rFonts w:hint="eastAsia"/>
          <w:rtl/>
        </w:rPr>
        <w:t>באייר</w:t>
      </w:r>
      <w:r w:rsidRPr="00F86A84">
        <w:rPr>
          <w:rtl/>
        </w:rPr>
        <w:t xml:space="preserve">, </w:t>
      </w:r>
      <w:r w:rsidRPr="00F86A84">
        <w:rPr>
          <w:rFonts w:hint="eastAsia"/>
          <w:rtl/>
        </w:rPr>
        <w:t>תש</w:t>
      </w:r>
      <w:r w:rsidRPr="00F86A84">
        <w:rPr>
          <w:rtl/>
        </w:rPr>
        <w:t>"</w:t>
      </w:r>
      <w:r w:rsidRPr="00F86A84">
        <w:rPr>
          <w:rFonts w:hint="eastAsia"/>
          <w:rtl/>
        </w:rPr>
        <w:t>ח</w:t>
      </w:r>
      <w:r>
        <w:rPr>
          <w:rFonts w:hint="cs"/>
          <w:rtl/>
        </w:rPr>
        <w:t>, 14.5.1948, ו</w:t>
      </w:r>
      <w:r w:rsidRPr="008E6D34">
        <w:rPr>
          <w:rFonts w:ascii="Century" w:hAnsi="Century" w:cs="Miriam" w:hint="eastAsia"/>
          <w:b/>
          <w:spacing w:val="0"/>
          <w:szCs w:val="24"/>
          <w:rtl/>
        </w:rPr>
        <w:t>פקודת</w:t>
      </w:r>
      <w:r w:rsidRPr="008E6D34">
        <w:rPr>
          <w:rFonts w:ascii="Century" w:hAnsi="Century" w:cs="Miriam"/>
          <w:b/>
          <w:spacing w:val="0"/>
          <w:szCs w:val="24"/>
          <w:rtl/>
        </w:rPr>
        <w:t xml:space="preserve"> </w:t>
      </w:r>
      <w:r w:rsidRPr="008E6D34">
        <w:rPr>
          <w:rFonts w:ascii="Century" w:hAnsi="Century" w:cs="Miriam" w:hint="eastAsia"/>
          <w:b/>
          <w:spacing w:val="0"/>
          <w:szCs w:val="24"/>
          <w:rtl/>
        </w:rPr>
        <w:t>סדרי</w:t>
      </w:r>
      <w:r w:rsidRPr="008E6D34">
        <w:rPr>
          <w:rFonts w:ascii="Century" w:hAnsi="Century" w:cs="Miriam"/>
          <w:b/>
          <w:spacing w:val="0"/>
          <w:szCs w:val="24"/>
          <w:rtl/>
        </w:rPr>
        <w:t xml:space="preserve"> </w:t>
      </w:r>
      <w:r w:rsidRPr="008E6D34">
        <w:rPr>
          <w:rFonts w:ascii="Century" w:hAnsi="Century" w:cs="Miriam" w:hint="cs"/>
          <w:b/>
          <w:spacing w:val="0"/>
          <w:szCs w:val="24"/>
          <w:rtl/>
        </w:rPr>
        <w:t>ה</w:t>
      </w:r>
      <w:r w:rsidRPr="008E6D34">
        <w:rPr>
          <w:rFonts w:ascii="Century" w:hAnsi="Century" w:cs="Miriam" w:hint="eastAsia"/>
          <w:b/>
          <w:spacing w:val="0"/>
          <w:szCs w:val="24"/>
          <w:rtl/>
        </w:rPr>
        <w:t>שלטון</w:t>
      </w:r>
      <w:r w:rsidRPr="008E6D34">
        <w:rPr>
          <w:rFonts w:ascii="Century" w:hAnsi="Century" w:cs="Miriam"/>
          <w:b/>
          <w:spacing w:val="0"/>
          <w:szCs w:val="24"/>
          <w:rtl/>
        </w:rPr>
        <w:t xml:space="preserve"> </w:t>
      </w:r>
      <w:r w:rsidRPr="008E6D34">
        <w:rPr>
          <w:rFonts w:ascii="Century" w:hAnsi="Century" w:cs="Miriam" w:hint="eastAsia"/>
          <w:b/>
          <w:spacing w:val="0"/>
          <w:szCs w:val="24"/>
          <w:rtl/>
        </w:rPr>
        <w:t>ו</w:t>
      </w:r>
      <w:r w:rsidRPr="008E6D34">
        <w:rPr>
          <w:rFonts w:ascii="Century" w:hAnsi="Century" w:cs="Miriam" w:hint="cs"/>
          <w:b/>
          <w:spacing w:val="0"/>
          <w:szCs w:val="24"/>
          <w:rtl/>
        </w:rPr>
        <w:t>ה</w:t>
      </w:r>
      <w:r w:rsidRPr="008E6D34">
        <w:rPr>
          <w:rFonts w:ascii="Century" w:hAnsi="Century" w:cs="Miriam" w:hint="eastAsia"/>
          <w:b/>
          <w:spacing w:val="0"/>
          <w:szCs w:val="24"/>
          <w:rtl/>
        </w:rPr>
        <w:t>משפט</w:t>
      </w:r>
      <w:r>
        <w:rPr>
          <w:rFonts w:hint="cs"/>
          <w:rtl/>
        </w:rPr>
        <w:t>, התש"ח-1948, שנחקקה</w:t>
      </w:r>
      <w:r w:rsidRPr="00F86A84">
        <w:rPr>
          <w:rtl/>
        </w:rPr>
        <w:t xml:space="preserve"> </w:t>
      </w:r>
      <w:r w:rsidRPr="00F86A84">
        <w:rPr>
          <w:rFonts w:hint="eastAsia"/>
          <w:rtl/>
        </w:rPr>
        <w:t>ב</w:t>
      </w:r>
      <w:r>
        <w:rPr>
          <w:rFonts w:hint="cs"/>
          <w:rtl/>
        </w:rPr>
        <w:t xml:space="preserve">יום י"ב באייר, תש"ח, 21.5.1948. </w:t>
      </w:r>
      <w:r w:rsidRPr="008E6D34">
        <w:rPr>
          <w:rFonts w:ascii="Miriam" w:hAnsi="Miriam" w:cs="Miriam" w:hint="eastAsia"/>
          <w:sz w:val="20"/>
          <w:szCs w:val="24"/>
          <w:u w:val="single"/>
          <w:rtl/>
        </w:rPr>
        <w:t>מסמכי</w:t>
      </w:r>
      <w:r w:rsidRPr="008E6D34">
        <w:rPr>
          <w:rFonts w:ascii="Miriam" w:hAnsi="Miriam" w:cs="Miriam"/>
          <w:sz w:val="20"/>
          <w:szCs w:val="24"/>
          <w:u w:val="single"/>
          <w:rtl/>
        </w:rPr>
        <w:t xml:space="preserve"> </w:t>
      </w:r>
      <w:r w:rsidRPr="008E6D34">
        <w:rPr>
          <w:rFonts w:ascii="Miriam" w:hAnsi="Miriam" w:cs="Miriam" w:hint="eastAsia"/>
          <w:sz w:val="20"/>
          <w:szCs w:val="24"/>
          <w:u w:val="single"/>
          <w:rtl/>
        </w:rPr>
        <w:t>יסוד</w:t>
      </w:r>
      <w:r w:rsidRPr="008E6D34">
        <w:rPr>
          <w:rFonts w:ascii="Miriam" w:hAnsi="Miriam" w:cs="Miriam"/>
          <w:sz w:val="20"/>
          <w:szCs w:val="24"/>
          <w:u w:val="single"/>
          <w:rtl/>
        </w:rPr>
        <w:t xml:space="preserve"> </w:t>
      </w:r>
      <w:r w:rsidRPr="008E6D34">
        <w:rPr>
          <w:rFonts w:ascii="Miriam" w:hAnsi="Miriam" w:cs="Miriam" w:hint="eastAsia"/>
          <w:sz w:val="20"/>
          <w:szCs w:val="24"/>
          <w:u w:val="single"/>
          <w:rtl/>
        </w:rPr>
        <w:t>אלה</w:t>
      </w:r>
      <w:r w:rsidRPr="008E6D34">
        <w:rPr>
          <w:rFonts w:ascii="Miriam" w:hAnsi="Miriam" w:cs="Miriam"/>
          <w:sz w:val="20"/>
          <w:szCs w:val="24"/>
          <w:u w:val="single"/>
          <w:rtl/>
        </w:rPr>
        <w:t xml:space="preserve"> </w:t>
      </w:r>
      <w:r w:rsidRPr="008E6D34">
        <w:rPr>
          <w:rFonts w:ascii="Miriam" w:hAnsi="Miriam" w:cs="Miriam" w:hint="eastAsia"/>
          <w:sz w:val="20"/>
          <w:szCs w:val="24"/>
          <w:u w:val="single"/>
          <w:rtl/>
        </w:rPr>
        <w:t>קבעו</w:t>
      </w:r>
      <w:r w:rsidRPr="008E6D34">
        <w:rPr>
          <w:rFonts w:ascii="Miriam" w:hAnsi="Miriam" w:cs="Miriam"/>
          <w:sz w:val="20"/>
          <w:szCs w:val="24"/>
          <w:u w:val="single"/>
          <w:rtl/>
        </w:rPr>
        <w:t xml:space="preserve"> </w:t>
      </w:r>
      <w:r w:rsidRPr="008E6D34">
        <w:rPr>
          <w:rFonts w:ascii="Miriam" w:hAnsi="Miriam" w:cs="Miriam" w:hint="eastAsia"/>
          <w:sz w:val="20"/>
          <w:szCs w:val="24"/>
          <w:u w:val="single"/>
          <w:rtl/>
        </w:rPr>
        <w:t>במפורש</w:t>
      </w:r>
      <w:r w:rsidRPr="008E6D34">
        <w:rPr>
          <w:rFonts w:ascii="Miriam" w:hAnsi="Miriam" w:cs="Miriam"/>
          <w:sz w:val="20"/>
          <w:szCs w:val="24"/>
          <w:u w:val="single"/>
          <w:rtl/>
        </w:rPr>
        <w:t xml:space="preserve"> </w:t>
      </w:r>
      <w:r w:rsidRPr="008E6D34">
        <w:rPr>
          <w:rFonts w:ascii="Miriam" w:hAnsi="Miriam" w:cs="Miriam" w:hint="eastAsia"/>
          <w:sz w:val="20"/>
          <w:szCs w:val="24"/>
          <w:u w:val="single"/>
          <w:rtl/>
        </w:rPr>
        <w:t>כי</w:t>
      </w:r>
      <w:r w:rsidRPr="008E6D34">
        <w:rPr>
          <w:rFonts w:ascii="Miriam" w:hAnsi="Miriam" w:cs="Miriam"/>
          <w:sz w:val="20"/>
          <w:szCs w:val="24"/>
          <w:u w:val="single"/>
          <w:rtl/>
        </w:rPr>
        <w:t xml:space="preserve"> </w:t>
      </w:r>
      <w:r w:rsidRPr="008E6D34">
        <w:rPr>
          <w:rFonts w:ascii="Miriam" w:hAnsi="Miriam" w:cs="Miriam" w:hint="eastAsia"/>
          <w:sz w:val="20"/>
          <w:szCs w:val="24"/>
          <w:u w:val="single"/>
          <w:rtl/>
        </w:rPr>
        <w:t>סמכותה</w:t>
      </w:r>
      <w:r w:rsidRPr="008E6D34">
        <w:rPr>
          <w:rFonts w:ascii="Miriam" w:hAnsi="Miriam" w:cs="Miriam"/>
          <w:sz w:val="20"/>
          <w:szCs w:val="24"/>
          <w:u w:val="single"/>
          <w:rtl/>
        </w:rPr>
        <w:t xml:space="preserve"> </w:t>
      </w:r>
      <w:r w:rsidRPr="008E6D34">
        <w:rPr>
          <w:rFonts w:ascii="Miriam" w:hAnsi="Miriam" w:cs="Miriam" w:hint="eastAsia"/>
          <w:sz w:val="20"/>
          <w:szCs w:val="24"/>
          <w:u w:val="single"/>
          <w:rtl/>
        </w:rPr>
        <w:t>האמורה</w:t>
      </w:r>
      <w:r w:rsidRPr="008E6D34">
        <w:rPr>
          <w:rFonts w:ascii="Miriam" w:hAnsi="Miriam" w:cs="Miriam"/>
          <w:sz w:val="20"/>
          <w:szCs w:val="24"/>
          <w:u w:val="single"/>
          <w:rtl/>
        </w:rPr>
        <w:t xml:space="preserve"> </w:t>
      </w:r>
      <w:r w:rsidRPr="008E6D34">
        <w:rPr>
          <w:rFonts w:ascii="Miriam" w:hAnsi="Miriam" w:cs="Miriam" w:hint="eastAsia"/>
          <w:sz w:val="20"/>
          <w:szCs w:val="24"/>
          <w:u w:val="single"/>
          <w:rtl/>
        </w:rPr>
        <w:t>של</w:t>
      </w:r>
      <w:r w:rsidRPr="008E6D34">
        <w:rPr>
          <w:rFonts w:ascii="Miriam" w:hAnsi="Miriam" w:cs="Miriam"/>
          <w:sz w:val="20"/>
          <w:szCs w:val="24"/>
          <w:u w:val="single"/>
          <w:rtl/>
        </w:rPr>
        <w:t xml:space="preserve"> </w:t>
      </w:r>
      <w:r w:rsidRPr="008E6D34">
        <w:rPr>
          <w:rFonts w:ascii="Miriam" w:hAnsi="Miriam" w:cs="Miriam" w:hint="eastAsia"/>
          <w:sz w:val="20"/>
          <w:szCs w:val="24"/>
          <w:u w:val="single"/>
          <w:rtl/>
        </w:rPr>
        <w:t>הכנסת</w:t>
      </w:r>
      <w:r w:rsidRPr="008E6D34">
        <w:rPr>
          <w:rFonts w:ascii="Miriam" w:hAnsi="Miriam" w:cs="Miriam"/>
          <w:sz w:val="20"/>
          <w:szCs w:val="24"/>
          <w:u w:val="single"/>
          <w:rtl/>
        </w:rPr>
        <w:t xml:space="preserve"> </w:t>
      </w:r>
      <w:r w:rsidRPr="008E6D34">
        <w:rPr>
          <w:rFonts w:ascii="Miriam" w:hAnsi="Miriam" w:cs="Miriam" w:hint="eastAsia"/>
          <w:sz w:val="20"/>
          <w:szCs w:val="24"/>
          <w:u w:val="single"/>
          <w:rtl/>
        </w:rPr>
        <w:t>מעוגנת</w:t>
      </w:r>
      <w:r w:rsidRPr="008E6D34">
        <w:rPr>
          <w:rFonts w:ascii="Miriam" w:hAnsi="Miriam" w:cs="Miriam"/>
          <w:sz w:val="20"/>
          <w:szCs w:val="24"/>
          <w:u w:val="single"/>
          <w:rtl/>
        </w:rPr>
        <w:t xml:space="preserve"> </w:t>
      </w:r>
      <w:r w:rsidRPr="008E6D34">
        <w:rPr>
          <w:rFonts w:ascii="Miriam" w:hAnsi="Miriam" w:cs="Miriam" w:hint="eastAsia"/>
          <w:sz w:val="20"/>
          <w:szCs w:val="24"/>
          <w:u w:val="single"/>
          <w:rtl/>
        </w:rPr>
        <w:t>בהכרזת</w:t>
      </w:r>
      <w:r w:rsidRPr="008E6D34">
        <w:rPr>
          <w:rFonts w:ascii="Miriam" w:hAnsi="Miriam" w:cs="Miriam"/>
          <w:sz w:val="20"/>
          <w:szCs w:val="24"/>
          <w:u w:val="single"/>
          <w:rtl/>
        </w:rPr>
        <w:t xml:space="preserve"> </w:t>
      </w:r>
      <w:r w:rsidRPr="008E6D34">
        <w:rPr>
          <w:rFonts w:ascii="Miriam" w:hAnsi="Miriam" w:cs="Miriam" w:hint="eastAsia"/>
          <w:sz w:val="20"/>
          <w:szCs w:val="24"/>
          <w:u w:val="single"/>
          <w:rtl/>
        </w:rPr>
        <w:t>העצמאות</w:t>
      </w:r>
      <w:r>
        <w:rPr>
          <w:rFonts w:hint="cs"/>
          <w:rtl/>
        </w:rPr>
        <w:t xml:space="preserve">, אשר הוכרזה על ידי מועצת העם בה' באייר, תש"ח, 14.5.1948 </w:t>
      </w:r>
      <w:r>
        <w:rPr>
          <w:rtl/>
        </w:rPr>
        <w:t>–</w:t>
      </w:r>
      <w:r>
        <w:rPr>
          <w:rFonts w:hint="cs"/>
          <w:rtl/>
        </w:rPr>
        <w:t xml:space="preserve"> הכרזה אשר שיקפה, ואשר ממשיכה לשקף, את ה"אני מאמין" הקולקטיבי של העם היושב בציון. </w:t>
      </w:r>
    </w:p>
    <w:p w:rsidR="0047626A" w:rsidRDefault="0047626A" w:rsidP="0047626A">
      <w:pPr>
        <w:pStyle w:val="Ruller41"/>
        <w:ind w:left="1515"/>
      </w:pPr>
    </w:p>
    <w:p w:rsidR="0047626A" w:rsidRDefault="0047626A" w:rsidP="00A01E7C">
      <w:pPr>
        <w:pStyle w:val="Ruller41"/>
        <w:numPr>
          <w:ilvl w:val="0"/>
          <w:numId w:val="11"/>
        </w:numPr>
      </w:pPr>
      <w:r>
        <w:rPr>
          <w:rFonts w:hint="cs"/>
          <w:rtl/>
        </w:rPr>
        <w:t xml:space="preserve">האמור בהכרזת העצמאות מהווה אפוא את "כלל ההכרה" הבסיסי המקשר בין העם הריבון לבין משפט המדינה (ראו: </w:t>
      </w:r>
      <w:r w:rsidRPr="008E0586">
        <w:rPr>
          <w:rFonts w:ascii="Miriam" w:hAnsi="Miriam" w:cs="Miriam" w:hint="eastAsia"/>
          <w:sz w:val="20"/>
          <w:szCs w:val="24"/>
          <w:rtl/>
        </w:rPr>
        <w:t>הארט</w:t>
      </w:r>
      <w:r>
        <w:rPr>
          <w:rFonts w:hint="cs"/>
          <w:rtl/>
        </w:rPr>
        <w:t xml:space="preserve">, בעמ' 107-97) </w:t>
      </w:r>
      <w:r>
        <w:rPr>
          <w:rtl/>
        </w:rPr>
        <w:t>–</w:t>
      </w:r>
      <w:r>
        <w:rPr>
          <w:rFonts w:hint="cs"/>
          <w:rtl/>
        </w:rPr>
        <w:t xml:space="preserve"> כלל שהקים מסד בעבור משפט המדינה כולו.</w:t>
      </w:r>
    </w:p>
    <w:p w:rsidR="0047626A" w:rsidRDefault="0047626A" w:rsidP="0047626A">
      <w:pPr>
        <w:pStyle w:val="af0"/>
        <w:rPr>
          <w:rtl/>
        </w:rPr>
      </w:pPr>
    </w:p>
    <w:p w:rsidR="0047626A" w:rsidRDefault="0047626A" w:rsidP="00A01E7C">
      <w:pPr>
        <w:pStyle w:val="Ruller41"/>
        <w:numPr>
          <w:ilvl w:val="0"/>
          <w:numId w:val="11"/>
        </w:numPr>
      </w:pPr>
      <w:r>
        <w:rPr>
          <w:rFonts w:hint="cs"/>
          <w:rtl/>
        </w:rPr>
        <w:t xml:space="preserve">הכרזת העצמאות מגדירה את מתחם פועלה של הכנסת (ואת מתחם פועלן של שאר רשויות המדינה) בקווים כלליים מאד. מדובר במתחם פעולה רחב, אך לא אינסופי. הכנסת אינה מוסמכת לחרוג ממתחם זה בבואה לכונן חוקי יסוד ולחוקק חוקים רגילים, ומן הסתם אין בידה </w:t>
      </w:r>
      <w:r>
        <w:rPr>
          <w:rFonts w:hint="cs"/>
          <w:rtl/>
        </w:rPr>
        <w:lastRenderedPageBreak/>
        <w:t xml:space="preserve">לשנות או לבטל את "כלל ההכרה" הבסיסי אשר מעוגן בהכרזת העצמאות. </w:t>
      </w:r>
    </w:p>
    <w:p w:rsidR="0047626A" w:rsidRDefault="0047626A" w:rsidP="0047626A">
      <w:pPr>
        <w:pStyle w:val="af0"/>
        <w:rPr>
          <w:rtl/>
        </w:rPr>
      </w:pPr>
    </w:p>
    <w:p w:rsidR="0047626A" w:rsidRDefault="0047626A" w:rsidP="00A01E7C">
      <w:pPr>
        <w:pStyle w:val="Ruller41"/>
        <w:numPr>
          <w:ilvl w:val="0"/>
          <w:numId w:val="11"/>
        </w:numPr>
      </w:pPr>
      <w:r>
        <w:rPr>
          <w:rFonts w:hint="cs"/>
          <w:rtl/>
        </w:rPr>
        <w:t xml:space="preserve">אשר כל כן, כל מעשה חקיקה של הכנסת </w:t>
      </w:r>
      <w:r>
        <w:rPr>
          <w:rtl/>
        </w:rPr>
        <w:t>–</w:t>
      </w:r>
      <w:r>
        <w:rPr>
          <w:rFonts w:hint="cs"/>
          <w:rtl/>
        </w:rPr>
        <w:t xml:space="preserve"> חוק רגיל, ואפילו חוק יסוד </w:t>
      </w:r>
      <w:r>
        <w:rPr>
          <w:rtl/>
        </w:rPr>
        <w:t>–</w:t>
      </w:r>
      <w:r>
        <w:rPr>
          <w:rFonts w:hint="cs"/>
          <w:rtl/>
        </w:rPr>
        <w:t xml:space="preserve"> כפוף לגבולות ההסמכה שנקבעו בהכרזת העצמאות. מעשה חקיקה שמתיימר לפרוץ גבולות אלה הוא בגדר חריגה מההסמכה שניתנה לכנסת, ואין לו תוקף משפטי.</w:t>
      </w:r>
    </w:p>
    <w:p w:rsidR="0047626A" w:rsidRDefault="0047626A" w:rsidP="0047626A">
      <w:pPr>
        <w:pStyle w:val="af0"/>
        <w:rPr>
          <w:rtl/>
        </w:rPr>
      </w:pPr>
    </w:p>
    <w:p w:rsidR="0047626A" w:rsidRDefault="0047626A" w:rsidP="00A01E7C">
      <w:pPr>
        <w:pStyle w:val="Ruller41"/>
        <w:numPr>
          <w:ilvl w:val="0"/>
          <w:numId w:val="11"/>
        </w:numPr>
      </w:pPr>
      <w:r>
        <w:rPr>
          <w:rFonts w:hint="cs"/>
          <w:rtl/>
        </w:rPr>
        <w:t xml:space="preserve">כפועל יוצא מכך, בית משפט זה מוסמך לבטל מעשה חקיקה, אשר נפגם בחוסר סמכות כאמור, בבואו להפעיל את סמכויות השפיטה אשר הופקדו בידיו. </w:t>
      </w:r>
    </w:p>
    <w:p w:rsidR="0047626A" w:rsidRPr="00622E0B" w:rsidRDefault="0047626A" w:rsidP="0047626A">
      <w:pPr>
        <w:pStyle w:val="af0"/>
        <w:rPr>
          <w:rtl/>
        </w:rPr>
      </w:pPr>
    </w:p>
    <w:p w:rsidR="0047626A" w:rsidRDefault="0047626A" w:rsidP="0047626A">
      <w:pPr>
        <w:pStyle w:val="Ruller4"/>
      </w:pPr>
      <w:r>
        <w:rPr>
          <w:rFonts w:hint="cs"/>
          <w:rtl/>
        </w:rPr>
        <w:t xml:space="preserve">באשר להוראה נושא דיוננו </w:t>
      </w:r>
      <w:r>
        <w:rPr>
          <w:rtl/>
        </w:rPr>
        <w:t>–</w:t>
      </w:r>
      <w:r>
        <w:rPr>
          <w:rFonts w:hint="cs"/>
          <w:rtl/>
        </w:rPr>
        <w:t xml:space="preserve"> אקדים ואומר כי הוראה זו, לפי פירושה הנכון, </w:t>
      </w:r>
      <w:r w:rsidRPr="005759EB">
        <w:rPr>
          <w:rFonts w:ascii="Century" w:hAnsi="Century" w:cs="Miriam" w:hint="cs"/>
          <w:b/>
          <w:spacing w:val="0"/>
          <w:sz w:val="22"/>
          <w:szCs w:val="24"/>
          <w:rtl/>
        </w:rPr>
        <w:t>לא נפגמה בחוסר סמכות</w:t>
      </w:r>
      <w:r>
        <w:rPr>
          <w:rFonts w:hint="cs"/>
          <w:rtl/>
        </w:rPr>
        <w:t xml:space="preserve">, ועל כן שומה עלינו לתת לה תוקף. מטעם זה, אבקש לחלוק על המסקנה ההפוכה אליה הגיעה חברתי, הנשיאה (בדימ') </w:t>
      </w:r>
      <w:r w:rsidRPr="00AD5743">
        <w:rPr>
          <w:rFonts w:ascii="Century" w:hAnsi="Century" w:cs="Miriam" w:hint="cs"/>
          <w:b/>
          <w:spacing w:val="0"/>
          <w:sz w:val="22"/>
          <w:szCs w:val="24"/>
          <w:rtl/>
        </w:rPr>
        <w:t>א' חיות</w:t>
      </w:r>
      <w:r>
        <w:rPr>
          <w:rFonts w:hint="cs"/>
          <w:rtl/>
        </w:rPr>
        <w:t>, בפסק דינה המפורט והמעמיק.</w:t>
      </w:r>
    </w:p>
    <w:p w:rsidR="0047626A" w:rsidRDefault="0047626A" w:rsidP="0047626A">
      <w:pPr>
        <w:pStyle w:val="af0"/>
        <w:rPr>
          <w:rtl/>
        </w:rPr>
      </w:pPr>
    </w:p>
    <w:p w:rsidR="0047626A" w:rsidRDefault="0047626A" w:rsidP="0047626A">
      <w:pPr>
        <w:pStyle w:val="Ruller4"/>
        <w:rPr>
          <w:rtl/>
        </w:rPr>
      </w:pPr>
      <w:r>
        <w:rPr>
          <w:rFonts w:hint="cs"/>
          <w:rtl/>
        </w:rPr>
        <w:t xml:space="preserve">עד כאן סיכום הדברים; וכעת אפרטם. </w:t>
      </w:r>
    </w:p>
    <w:p w:rsidR="0047626A" w:rsidRDefault="0047626A" w:rsidP="0047626A">
      <w:pPr>
        <w:pStyle w:val="Ruller41"/>
        <w:rPr>
          <w:rtl/>
        </w:rPr>
      </w:pPr>
    </w:p>
    <w:p w:rsidR="0047626A" w:rsidRPr="003F4494" w:rsidRDefault="0047626A" w:rsidP="0047626A">
      <w:pPr>
        <w:pStyle w:val="Ruller41"/>
        <w:rPr>
          <w:rFonts w:ascii="Century" w:hAnsi="Century" w:cs="Miriam"/>
          <w:b/>
          <w:spacing w:val="0"/>
          <w:szCs w:val="24"/>
          <w:rtl/>
        </w:rPr>
      </w:pPr>
      <w:r>
        <w:rPr>
          <w:rFonts w:ascii="Century" w:hAnsi="Century" w:cs="Miriam" w:hint="cs"/>
          <w:b/>
          <w:spacing w:val="0"/>
          <w:szCs w:val="24"/>
          <w:rtl/>
        </w:rPr>
        <w:t>השאלות שעומדות לדיון</w:t>
      </w:r>
      <w:r w:rsidRPr="003F4494">
        <w:rPr>
          <w:rFonts w:ascii="Century" w:hAnsi="Century" w:cs="Miriam" w:hint="cs"/>
          <w:b/>
          <w:spacing w:val="0"/>
          <w:szCs w:val="24"/>
          <w:rtl/>
        </w:rPr>
        <w:t xml:space="preserve"> </w:t>
      </w:r>
    </w:p>
    <w:p w:rsidR="0047626A" w:rsidRDefault="0047626A" w:rsidP="0047626A">
      <w:pPr>
        <w:pStyle w:val="Ruller41"/>
        <w:rPr>
          <w:rtl/>
        </w:rPr>
      </w:pPr>
    </w:p>
    <w:p w:rsidR="0047626A" w:rsidRDefault="0047626A" w:rsidP="0047626A">
      <w:pPr>
        <w:pStyle w:val="Ruller4"/>
      </w:pPr>
      <w:r>
        <w:rPr>
          <w:rFonts w:hint="cs"/>
          <w:rtl/>
        </w:rPr>
        <w:t>העתירות שלפנינו מעלות לדיון שאלות יסוד בדיני החוקה; ואלה הן:</w:t>
      </w:r>
    </w:p>
    <w:p w:rsidR="0047626A" w:rsidRDefault="0047626A" w:rsidP="0047626A">
      <w:pPr>
        <w:pStyle w:val="Ruller4"/>
        <w:numPr>
          <w:ilvl w:val="0"/>
          <w:numId w:val="0"/>
        </w:numPr>
        <w:rPr>
          <w:rtl/>
        </w:rPr>
      </w:pPr>
    </w:p>
    <w:p w:rsidR="0047626A" w:rsidRDefault="0047626A" w:rsidP="00A01E7C">
      <w:pPr>
        <w:pStyle w:val="Ruller41"/>
        <w:numPr>
          <w:ilvl w:val="0"/>
          <w:numId w:val="8"/>
        </w:numPr>
      </w:pPr>
      <w:r>
        <w:rPr>
          <w:rFonts w:hint="cs"/>
          <w:rtl/>
        </w:rPr>
        <w:t xml:space="preserve">האם בידי הכנסת נתונה הסמכות לחוקק כל חוק שתמצא לנכון, כל אימת שהחוק אינו מנוגד לחוקי היסוד? </w:t>
      </w:r>
    </w:p>
    <w:p w:rsidR="0047626A" w:rsidRDefault="0047626A" w:rsidP="0047626A">
      <w:pPr>
        <w:pStyle w:val="Ruller41"/>
        <w:ind w:left="1523"/>
      </w:pPr>
    </w:p>
    <w:p w:rsidR="0047626A" w:rsidRDefault="0047626A" w:rsidP="00A01E7C">
      <w:pPr>
        <w:pStyle w:val="Ruller41"/>
        <w:numPr>
          <w:ilvl w:val="0"/>
          <w:numId w:val="8"/>
        </w:numPr>
      </w:pPr>
      <w:r>
        <w:rPr>
          <w:rFonts w:hint="cs"/>
          <w:rtl/>
        </w:rPr>
        <w:t xml:space="preserve">האם כינון חוקי יסוד על ידי הכנסת כפוף למגבלות ולביקורת שיפוטית, ואם כן </w:t>
      </w:r>
      <w:r>
        <w:rPr>
          <w:rtl/>
        </w:rPr>
        <w:t>–</w:t>
      </w:r>
      <w:r>
        <w:rPr>
          <w:rFonts w:hint="cs"/>
          <w:rtl/>
        </w:rPr>
        <w:t xml:space="preserve"> באלו נסיבות?</w:t>
      </w:r>
    </w:p>
    <w:p w:rsidR="0047626A" w:rsidRDefault="0047626A" w:rsidP="0047626A">
      <w:pPr>
        <w:pStyle w:val="Ruller41"/>
        <w:ind w:left="1523"/>
      </w:pPr>
    </w:p>
    <w:p w:rsidR="0047626A" w:rsidRDefault="0047626A" w:rsidP="00A01E7C">
      <w:pPr>
        <w:pStyle w:val="Ruller41"/>
        <w:numPr>
          <w:ilvl w:val="0"/>
          <w:numId w:val="8"/>
        </w:numPr>
      </w:pPr>
      <w:r w:rsidRPr="005A0089">
        <w:rPr>
          <w:rFonts w:ascii="FrankRuehl" w:hAnsi="FrankRuehl"/>
          <w:sz w:val="28"/>
          <w:rtl/>
        </w:rPr>
        <w:t xml:space="preserve">מה </w:t>
      </w:r>
      <w:r>
        <w:rPr>
          <w:rFonts w:ascii="FrankRuehl" w:hAnsi="FrankRuehl" w:hint="cs"/>
          <w:sz w:val="28"/>
          <w:rtl/>
        </w:rPr>
        <w:t xml:space="preserve">דינה של </w:t>
      </w:r>
      <w:r w:rsidRPr="005A0089">
        <w:rPr>
          <w:rFonts w:ascii="FrankRuehl" w:hAnsi="FrankRuehl"/>
          <w:b/>
          <w:spacing w:val="0"/>
          <w:sz w:val="28"/>
          <w:rtl/>
        </w:rPr>
        <w:t>ההוראה נושא דיוננו</w:t>
      </w:r>
      <w:r>
        <w:rPr>
          <w:rFonts w:ascii="FrankRuehl" w:hAnsi="FrankRuehl" w:hint="cs"/>
          <w:b/>
          <w:spacing w:val="0"/>
          <w:sz w:val="28"/>
          <w:rtl/>
        </w:rPr>
        <w:t>,</w:t>
      </w:r>
      <w:r w:rsidRPr="005A0089">
        <w:rPr>
          <w:rFonts w:ascii="FrankRuehl" w:hAnsi="FrankRuehl"/>
          <w:sz w:val="28"/>
          <w:rtl/>
        </w:rPr>
        <w:t xml:space="preserve"> אשר קובעת כדלקמן</w:t>
      </w:r>
      <w:r>
        <w:rPr>
          <w:rFonts w:hint="cs"/>
          <w:rtl/>
        </w:rPr>
        <w:t>:</w:t>
      </w:r>
    </w:p>
    <w:p w:rsidR="0047626A" w:rsidRDefault="0047626A" w:rsidP="0047626A">
      <w:pPr>
        <w:pStyle w:val="Ruller41"/>
        <w:ind w:left="1523"/>
        <w:rPr>
          <w:rtl/>
        </w:rPr>
      </w:pPr>
    </w:p>
    <w:p w:rsidR="0047626A" w:rsidRDefault="0047626A" w:rsidP="0047626A">
      <w:pPr>
        <w:pStyle w:val="Ruller5"/>
        <w:rPr>
          <w:rtl/>
        </w:rPr>
      </w:pPr>
      <w:r>
        <w:rPr>
          <w:rFonts w:hint="cs"/>
          <w:rtl/>
        </w:rPr>
        <w:t>"</w:t>
      </w:r>
      <w:r w:rsidRPr="00916602">
        <w:rPr>
          <w:rFonts w:hint="eastAsia"/>
          <w:rtl/>
        </w:rPr>
        <w:t>על</w:t>
      </w:r>
      <w:r w:rsidRPr="00916602">
        <w:rPr>
          <w:rtl/>
        </w:rPr>
        <w:t xml:space="preserve"> </w:t>
      </w:r>
      <w:r w:rsidRPr="00916602">
        <w:rPr>
          <w:rFonts w:hint="eastAsia"/>
          <w:rtl/>
        </w:rPr>
        <w:t>אף</w:t>
      </w:r>
      <w:r w:rsidRPr="00916602">
        <w:rPr>
          <w:rtl/>
        </w:rPr>
        <w:t xml:space="preserve"> </w:t>
      </w:r>
      <w:r w:rsidRPr="00916602">
        <w:rPr>
          <w:rFonts w:hint="eastAsia"/>
          <w:rtl/>
        </w:rPr>
        <w:t>האמור</w:t>
      </w:r>
      <w:r w:rsidRPr="00916602">
        <w:rPr>
          <w:rtl/>
        </w:rPr>
        <w:t xml:space="preserve"> </w:t>
      </w:r>
      <w:r w:rsidRPr="00916602">
        <w:rPr>
          <w:rFonts w:hint="eastAsia"/>
          <w:rtl/>
        </w:rPr>
        <w:t>בחוק</w:t>
      </w:r>
      <w:r w:rsidRPr="00916602">
        <w:rPr>
          <w:rtl/>
        </w:rPr>
        <w:t>-</w:t>
      </w:r>
      <w:r w:rsidRPr="00916602">
        <w:rPr>
          <w:rFonts w:hint="eastAsia"/>
          <w:rtl/>
        </w:rPr>
        <w:t>יסוד</w:t>
      </w:r>
      <w:r w:rsidRPr="00916602">
        <w:rPr>
          <w:rtl/>
        </w:rPr>
        <w:t xml:space="preserve"> </w:t>
      </w:r>
      <w:r w:rsidRPr="00916602">
        <w:rPr>
          <w:rFonts w:hint="eastAsia"/>
          <w:rtl/>
        </w:rPr>
        <w:t>זה</w:t>
      </w:r>
      <w:r w:rsidRPr="00916602">
        <w:rPr>
          <w:rtl/>
        </w:rPr>
        <w:t xml:space="preserve">, </w:t>
      </w:r>
      <w:r w:rsidRPr="00916602">
        <w:rPr>
          <w:rFonts w:hint="eastAsia"/>
          <w:rtl/>
        </w:rPr>
        <w:t>מי</w:t>
      </w:r>
      <w:r w:rsidRPr="00916602">
        <w:rPr>
          <w:rtl/>
        </w:rPr>
        <w:t xml:space="preserve"> </w:t>
      </w:r>
      <w:r w:rsidRPr="00916602">
        <w:rPr>
          <w:rFonts w:hint="eastAsia"/>
          <w:rtl/>
        </w:rPr>
        <w:t>שבידו</w:t>
      </w:r>
      <w:r w:rsidRPr="00916602">
        <w:rPr>
          <w:rtl/>
        </w:rPr>
        <w:t xml:space="preserve"> </w:t>
      </w:r>
      <w:r w:rsidRPr="00916602">
        <w:rPr>
          <w:rFonts w:hint="eastAsia"/>
          <w:rtl/>
        </w:rPr>
        <w:t>סמכות</w:t>
      </w:r>
      <w:r w:rsidRPr="00916602">
        <w:rPr>
          <w:rtl/>
        </w:rPr>
        <w:t xml:space="preserve"> </w:t>
      </w:r>
      <w:r w:rsidRPr="00916602">
        <w:rPr>
          <w:rFonts w:hint="eastAsia"/>
          <w:rtl/>
        </w:rPr>
        <w:t>שפיטה</w:t>
      </w:r>
      <w:r w:rsidRPr="00916602">
        <w:rPr>
          <w:rtl/>
        </w:rPr>
        <w:t xml:space="preserve"> </w:t>
      </w:r>
      <w:r w:rsidRPr="00916602">
        <w:rPr>
          <w:rFonts w:hint="eastAsia"/>
          <w:rtl/>
        </w:rPr>
        <w:t>על</w:t>
      </w:r>
      <w:r w:rsidRPr="00916602">
        <w:rPr>
          <w:rtl/>
        </w:rPr>
        <w:t xml:space="preserve"> </w:t>
      </w:r>
      <w:r w:rsidRPr="00916602">
        <w:rPr>
          <w:rFonts w:hint="eastAsia"/>
          <w:rtl/>
        </w:rPr>
        <w:t>פי</w:t>
      </w:r>
      <w:r w:rsidRPr="00916602">
        <w:rPr>
          <w:rtl/>
        </w:rPr>
        <w:t xml:space="preserve"> </w:t>
      </w:r>
      <w:r w:rsidRPr="00916602">
        <w:rPr>
          <w:rFonts w:hint="eastAsia"/>
          <w:rtl/>
        </w:rPr>
        <w:t>דין</w:t>
      </w:r>
      <w:r w:rsidRPr="00916602">
        <w:rPr>
          <w:rtl/>
        </w:rPr>
        <w:t xml:space="preserve">, </w:t>
      </w:r>
      <w:r w:rsidRPr="00916602">
        <w:rPr>
          <w:rFonts w:hint="eastAsia"/>
          <w:rtl/>
        </w:rPr>
        <w:t>לרבות</w:t>
      </w:r>
      <w:r w:rsidRPr="00916602">
        <w:rPr>
          <w:rtl/>
        </w:rPr>
        <w:t xml:space="preserve"> </w:t>
      </w:r>
      <w:r w:rsidRPr="00916602">
        <w:rPr>
          <w:rFonts w:hint="eastAsia"/>
          <w:rtl/>
        </w:rPr>
        <w:t>בית</w:t>
      </w:r>
      <w:r w:rsidRPr="00916602">
        <w:rPr>
          <w:rtl/>
        </w:rPr>
        <w:t xml:space="preserve"> </w:t>
      </w:r>
      <w:r w:rsidRPr="00916602">
        <w:rPr>
          <w:rFonts w:hint="eastAsia"/>
          <w:rtl/>
        </w:rPr>
        <w:t>המשפט</w:t>
      </w:r>
      <w:r w:rsidRPr="00916602">
        <w:rPr>
          <w:rtl/>
        </w:rPr>
        <w:t xml:space="preserve"> </w:t>
      </w:r>
      <w:r w:rsidRPr="00916602">
        <w:rPr>
          <w:rFonts w:hint="eastAsia"/>
          <w:rtl/>
        </w:rPr>
        <w:t>העליון</w:t>
      </w:r>
      <w:r w:rsidRPr="00916602">
        <w:rPr>
          <w:rtl/>
        </w:rPr>
        <w:t xml:space="preserve"> </w:t>
      </w:r>
      <w:r w:rsidRPr="00916602">
        <w:rPr>
          <w:rFonts w:hint="eastAsia"/>
          <w:rtl/>
        </w:rPr>
        <w:t>בשבתו</w:t>
      </w:r>
      <w:r w:rsidRPr="00916602">
        <w:rPr>
          <w:rtl/>
        </w:rPr>
        <w:t xml:space="preserve"> </w:t>
      </w:r>
      <w:r w:rsidRPr="00916602">
        <w:rPr>
          <w:rFonts w:hint="eastAsia"/>
          <w:rtl/>
        </w:rPr>
        <w:t>כבית</w:t>
      </w:r>
      <w:r w:rsidRPr="00916602">
        <w:rPr>
          <w:rtl/>
        </w:rPr>
        <w:t xml:space="preserve"> </w:t>
      </w:r>
      <w:r w:rsidRPr="00916602">
        <w:rPr>
          <w:rFonts w:hint="eastAsia"/>
          <w:rtl/>
        </w:rPr>
        <w:t>משפט</w:t>
      </w:r>
      <w:r w:rsidRPr="00916602">
        <w:rPr>
          <w:rtl/>
        </w:rPr>
        <w:t xml:space="preserve"> </w:t>
      </w:r>
      <w:r w:rsidRPr="00916602">
        <w:rPr>
          <w:rFonts w:hint="eastAsia"/>
          <w:rtl/>
        </w:rPr>
        <w:t>גבוה</w:t>
      </w:r>
      <w:r w:rsidRPr="00916602">
        <w:rPr>
          <w:rtl/>
        </w:rPr>
        <w:t xml:space="preserve"> </w:t>
      </w:r>
      <w:r w:rsidRPr="00916602">
        <w:rPr>
          <w:rFonts w:hint="eastAsia"/>
          <w:rtl/>
        </w:rPr>
        <w:t>לצדק</w:t>
      </w:r>
      <w:r w:rsidRPr="00916602">
        <w:rPr>
          <w:rtl/>
        </w:rPr>
        <w:t xml:space="preserve">, </w:t>
      </w:r>
      <w:r w:rsidRPr="00916602">
        <w:rPr>
          <w:rFonts w:hint="eastAsia"/>
          <w:rtl/>
        </w:rPr>
        <w:t>לא</w:t>
      </w:r>
      <w:r w:rsidRPr="00916602">
        <w:rPr>
          <w:rtl/>
        </w:rPr>
        <w:t xml:space="preserve"> </w:t>
      </w:r>
      <w:r w:rsidRPr="00916602">
        <w:rPr>
          <w:rFonts w:hint="eastAsia"/>
          <w:rtl/>
        </w:rPr>
        <w:t>ידון</w:t>
      </w:r>
      <w:r w:rsidRPr="00916602">
        <w:rPr>
          <w:rtl/>
        </w:rPr>
        <w:t xml:space="preserve"> </w:t>
      </w:r>
      <w:r w:rsidRPr="00916602">
        <w:rPr>
          <w:rFonts w:hint="eastAsia"/>
          <w:rtl/>
        </w:rPr>
        <w:t>בעניין</w:t>
      </w:r>
      <w:r w:rsidRPr="00916602">
        <w:rPr>
          <w:rtl/>
        </w:rPr>
        <w:t xml:space="preserve"> </w:t>
      </w:r>
      <w:r w:rsidRPr="00916602">
        <w:rPr>
          <w:rFonts w:hint="eastAsia"/>
          <w:rtl/>
        </w:rPr>
        <w:t>סבירות</w:t>
      </w:r>
      <w:r w:rsidRPr="00916602">
        <w:rPr>
          <w:rtl/>
        </w:rPr>
        <w:t xml:space="preserve"> </w:t>
      </w:r>
      <w:r w:rsidRPr="00916602">
        <w:rPr>
          <w:rFonts w:hint="eastAsia"/>
          <w:rtl/>
        </w:rPr>
        <w:t>ההחלטה</w:t>
      </w:r>
      <w:r w:rsidRPr="00916602">
        <w:rPr>
          <w:rtl/>
        </w:rPr>
        <w:t xml:space="preserve"> </w:t>
      </w:r>
      <w:r w:rsidRPr="00916602">
        <w:rPr>
          <w:rFonts w:hint="eastAsia"/>
          <w:rtl/>
        </w:rPr>
        <w:t>של</w:t>
      </w:r>
      <w:r w:rsidRPr="00916602">
        <w:rPr>
          <w:rtl/>
        </w:rPr>
        <w:t xml:space="preserve"> </w:t>
      </w:r>
      <w:r w:rsidRPr="00916602">
        <w:rPr>
          <w:rFonts w:hint="eastAsia"/>
          <w:rtl/>
        </w:rPr>
        <w:lastRenderedPageBreak/>
        <w:t>הממשלה</w:t>
      </w:r>
      <w:r w:rsidRPr="00916602">
        <w:rPr>
          <w:rtl/>
        </w:rPr>
        <w:t xml:space="preserve">, </w:t>
      </w:r>
      <w:r w:rsidRPr="00916602">
        <w:rPr>
          <w:rFonts w:hint="eastAsia"/>
          <w:rtl/>
        </w:rPr>
        <w:t>של</w:t>
      </w:r>
      <w:r w:rsidRPr="00916602">
        <w:rPr>
          <w:rtl/>
        </w:rPr>
        <w:t xml:space="preserve"> </w:t>
      </w:r>
      <w:r w:rsidRPr="00916602">
        <w:rPr>
          <w:rFonts w:hint="eastAsia"/>
          <w:rtl/>
        </w:rPr>
        <w:t>ראש</w:t>
      </w:r>
      <w:r w:rsidRPr="00916602">
        <w:rPr>
          <w:rtl/>
        </w:rPr>
        <w:t xml:space="preserve"> </w:t>
      </w:r>
      <w:r w:rsidRPr="00916602">
        <w:rPr>
          <w:rFonts w:hint="eastAsia"/>
          <w:rtl/>
        </w:rPr>
        <w:t>הממשלה</w:t>
      </w:r>
      <w:r w:rsidRPr="00916602">
        <w:rPr>
          <w:rtl/>
        </w:rPr>
        <w:t xml:space="preserve"> </w:t>
      </w:r>
      <w:r w:rsidRPr="00916602">
        <w:rPr>
          <w:rFonts w:hint="eastAsia"/>
          <w:rtl/>
        </w:rPr>
        <w:t>או</w:t>
      </w:r>
      <w:r w:rsidRPr="00916602">
        <w:rPr>
          <w:rtl/>
        </w:rPr>
        <w:t xml:space="preserve"> </w:t>
      </w:r>
      <w:r w:rsidRPr="00916602">
        <w:rPr>
          <w:rFonts w:hint="eastAsia"/>
          <w:rtl/>
        </w:rPr>
        <w:t>של</w:t>
      </w:r>
      <w:r w:rsidRPr="00916602">
        <w:rPr>
          <w:rtl/>
        </w:rPr>
        <w:t xml:space="preserve"> </w:t>
      </w:r>
      <w:r w:rsidRPr="00916602">
        <w:rPr>
          <w:rFonts w:hint="eastAsia"/>
          <w:rtl/>
        </w:rPr>
        <w:t>שר</w:t>
      </w:r>
      <w:r w:rsidRPr="00916602">
        <w:rPr>
          <w:rtl/>
        </w:rPr>
        <w:t xml:space="preserve"> </w:t>
      </w:r>
      <w:r w:rsidRPr="00916602">
        <w:rPr>
          <w:rFonts w:hint="eastAsia"/>
          <w:rtl/>
        </w:rPr>
        <w:t>אחר</w:t>
      </w:r>
      <w:r w:rsidRPr="00916602">
        <w:rPr>
          <w:rtl/>
        </w:rPr>
        <w:t xml:space="preserve">, </w:t>
      </w:r>
      <w:r w:rsidRPr="00916602">
        <w:rPr>
          <w:rFonts w:hint="eastAsia"/>
          <w:rtl/>
        </w:rPr>
        <w:t>ולא</w:t>
      </w:r>
      <w:r w:rsidRPr="00916602">
        <w:rPr>
          <w:rtl/>
        </w:rPr>
        <w:t xml:space="preserve"> </w:t>
      </w:r>
      <w:r w:rsidRPr="00916602">
        <w:rPr>
          <w:rFonts w:hint="eastAsia"/>
          <w:rtl/>
        </w:rPr>
        <w:t>ייתן</w:t>
      </w:r>
      <w:r w:rsidRPr="00916602">
        <w:rPr>
          <w:rtl/>
        </w:rPr>
        <w:t xml:space="preserve"> </w:t>
      </w:r>
      <w:r w:rsidRPr="00916602">
        <w:rPr>
          <w:rFonts w:hint="eastAsia"/>
          <w:rtl/>
        </w:rPr>
        <w:t>צו</w:t>
      </w:r>
      <w:r w:rsidRPr="00916602">
        <w:rPr>
          <w:rtl/>
        </w:rPr>
        <w:t xml:space="preserve"> </w:t>
      </w:r>
      <w:r w:rsidRPr="00916602">
        <w:rPr>
          <w:rFonts w:hint="eastAsia"/>
          <w:rtl/>
        </w:rPr>
        <w:t>בעניין</w:t>
      </w:r>
      <w:r w:rsidRPr="00916602">
        <w:rPr>
          <w:rtl/>
        </w:rPr>
        <w:t xml:space="preserve"> </w:t>
      </w:r>
      <w:r w:rsidRPr="00916602">
        <w:rPr>
          <w:rFonts w:hint="eastAsia"/>
          <w:rtl/>
        </w:rPr>
        <w:t>כאמור</w:t>
      </w:r>
      <w:r w:rsidRPr="00916602">
        <w:rPr>
          <w:rtl/>
        </w:rPr>
        <w:t xml:space="preserve">; </w:t>
      </w:r>
      <w:r w:rsidRPr="00916602">
        <w:rPr>
          <w:rFonts w:hint="eastAsia"/>
          <w:rtl/>
        </w:rPr>
        <w:t>בסעיף</w:t>
      </w:r>
      <w:r w:rsidRPr="00916602">
        <w:rPr>
          <w:rtl/>
        </w:rPr>
        <w:t xml:space="preserve"> </w:t>
      </w:r>
      <w:r w:rsidRPr="00916602">
        <w:rPr>
          <w:rFonts w:hint="eastAsia"/>
          <w:rtl/>
        </w:rPr>
        <w:t>זה</w:t>
      </w:r>
      <w:r w:rsidRPr="00916602">
        <w:rPr>
          <w:rtl/>
        </w:rPr>
        <w:t xml:space="preserve">, </w:t>
      </w:r>
      <w:r>
        <w:rPr>
          <w:rFonts w:hint="cs"/>
          <w:rtl/>
        </w:rPr>
        <w:t>'</w:t>
      </w:r>
      <w:r w:rsidRPr="00916602">
        <w:rPr>
          <w:rFonts w:hint="eastAsia"/>
          <w:rtl/>
        </w:rPr>
        <w:t>החלטה</w:t>
      </w:r>
      <w:r>
        <w:rPr>
          <w:rFonts w:hint="cs"/>
          <w:rtl/>
        </w:rPr>
        <w:t>'</w:t>
      </w:r>
      <w:r w:rsidRPr="00916602">
        <w:rPr>
          <w:rtl/>
        </w:rPr>
        <w:t xml:space="preserve"> – </w:t>
      </w:r>
      <w:r w:rsidRPr="00916602">
        <w:rPr>
          <w:rFonts w:hint="eastAsia"/>
          <w:rtl/>
        </w:rPr>
        <w:t>כל</w:t>
      </w:r>
      <w:r w:rsidRPr="00916602">
        <w:rPr>
          <w:rtl/>
        </w:rPr>
        <w:t xml:space="preserve"> </w:t>
      </w:r>
      <w:r w:rsidRPr="00916602">
        <w:rPr>
          <w:rFonts w:hint="eastAsia"/>
          <w:rtl/>
        </w:rPr>
        <w:t>החלטה</w:t>
      </w:r>
      <w:r w:rsidRPr="00916602">
        <w:rPr>
          <w:rtl/>
        </w:rPr>
        <w:t xml:space="preserve">, </w:t>
      </w:r>
      <w:r w:rsidRPr="00916602">
        <w:rPr>
          <w:rFonts w:hint="eastAsia"/>
          <w:rtl/>
        </w:rPr>
        <w:t>לרבות</w:t>
      </w:r>
      <w:r w:rsidRPr="00916602">
        <w:rPr>
          <w:rtl/>
        </w:rPr>
        <w:t xml:space="preserve"> </w:t>
      </w:r>
      <w:r w:rsidRPr="00916602">
        <w:rPr>
          <w:rFonts w:hint="eastAsia"/>
          <w:rtl/>
        </w:rPr>
        <w:t>בענייני</w:t>
      </w:r>
      <w:r w:rsidRPr="00916602">
        <w:rPr>
          <w:rtl/>
        </w:rPr>
        <w:t xml:space="preserve"> </w:t>
      </w:r>
      <w:r w:rsidRPr="00916602">
        <w:rPr>
          <w:rFonts w:hint="eastAsia"/>
          <w:rtl/>
        </w:rPr>
        <w:t>מינויים</w:t>
      </w:r>
      <w:r w:rsidRPr="00916602">
        <w:rPr>
          <w:rtl/>
        </w:rPr>
        <w:t xml:space="preserve"> </w:t>
      </w:r>
      <w:r w:rsidRPr="00916602">
        <w:rPr>
          <w:rFonts w:hint="eastAsia"/>
          <w:rtl/>
        </w:rPr>
        <w:t>או</w:t>
      </w:r>
      <w:r w:rsidRPr="00916602">
        <w:rPr>
          <w:rtl/>
        </w:rPr>
        <w:t xml:space="preserve"> </w:t>
      </w:r>
      <w:r w:rsidRPr="00916602">
        <w:rPr>
          <w:rFonts w:hint="eastAsia"/>
          <w:rtl/>
        </w:rPr>
        <w:t>החלטה</w:t>
      </w:r>
      <w:r w:rsidRPr="00916602">
        <w:rPr>
          <w:rtl/>
        </w:rPr>
        <w:t xml:space="preserve"> </w:t>
      </w:r>
      <w:r w:rsidRPr="00916602">
        <w:rPr>
          <w:rFonts w:hint="eastAsia"/>
          <w:rtl/>
        </w:rPr>
        <w:t>להימנע</w:t>
      </w:r>
      <w:r w:rsidRPr="00916602">
        <w:rPr>
          <w:rtl/>
        </w:rPr>
        <w:t xml:space="preserve"> </w:t>
      </w:r>
      <w:r w:rsidRPr="00916602">
        <w:rPr>
          <w:rFonts w:hint="eastAsia"/>
          <w:rtl/>
        </w:rPr>
        <w:t>מהפעלת</w:t>
      </w:r>
      <w:r w:rsidRPr="00916602">
        <w:rPr>
          <w:rtl/>
        </w:rPr>
        <w:t xml:space="preserve"> </w:t>
      </w:r>
      <w:r w:rsidRPr="00916602">
        <w:rPr>
          <w:rFonts w:hint="eastAsia"/>
          <w:rtl/>
        </w:rPr>
        <w:t>כל</w:t>
      </w:r>
      <w:r w:rsidRPr="00916602">
        <w:rPr>
          <w:rtl/>
        </w:rPr>
        <w:t xml:space="preserve"> </w:t>
      </w:r>
      <w:r w:rsidRPr="00916602">
        <w:rPr>
          <w:rFonts w:hint="eastAsia"/>
          <w:rtl/>
        </w:rPr>
        <w:t>סמכות</w:t>
      </w:r>
      <w:r>
        <w:rPr>
          <w:rFonts w:hint="cs"/>
          <w:rtl/>
        </w:rPr>
        <w:t>".</w:t>
      </w:r>
    </w:p>
    <w:p w:rsidR="0047626A" w:rsidRDefault="0047626A" w:rsidP="0047626A">
      <w:pPr>
        <w:pStyle w:val="Ruller41"/>
      </w:pPr>
    </w:p>
    <w:p w:rsidR="0047626A" w:rsidRDefault="0047626A" w:rsidP="0047626A">
      <w:pPr>
        <w:pStyle w:val="Ruller41"/>
        <w:ind w:left="1523"/>
        <w:rPr>
          <w:rtl/>
        </w:rPr>
      </w:pPr>
      <w:r>
        <w:rPr>
          <w:rFonts w:hint="cs"/>
          <w:rtl/>
        </w:rPr>
        <w:t>האם הוראה זו חוקתית?</w:t>
      </w:r>
    </w:p>
    <w:p w:rsidR="0047626A" w:rsidRDefault="0047626A" w:rsidP="0047626A">
      <w:pPr>
        <w:pStyle w:val="Ruller4"/>
        <w:numPr>
          <w:ilvl w:val="0"/>
          <w:numId w:val="0"/>
        </w:numPr>
      </w:pPr>
    </w:p>
    <w:p w:rsidR="0047626A" w:rsidRDefault="0047626A" w:rsidP="0047626A">
      <w:pPr>
        <w:pStyle w:val="Ruller4"/>
      </w:pPr>
      <w:r>
        <w:rPr>
          <w:rFonts w:hint="cs"/>
          <w:rtl/>
        </w:rPr>
        <w:t>תשובתי לשאלה הראשונה שהצגתי היא לאו מוחלט</w:t>
      </w:r>
      <w:r w:rsidRPr="00774EB6">
        <w:rPr>
          <w:rFonts w:ascii="Century" w:hAnsi="Century" w:hint="cs"/>
          <w:sz w:val="22"/>
          <w:rtl/>
        </w:rPr>
        <w:t>: הכנסת מעולם לא קיבלה לידיה סמכות לחוקק כל חוק בו תחפוץ</w:t>
      </w:r>
      <w:r>
        <w:rPr>
          <w:rFonts w:ascii="Century" w:hAnsi="Century" w:hint="cs"/>
          <w:sz w:val="22"/>
          <w:rtl/>
        </w:rPr>
        <w:t>,</w:t>
      </w:r>
      <w:r w:rsidRPr="00774EB6">
        <w:rPr>
          <w:rFonts w:ascii="Century" w:hAnsi="Century" w:hint="cs"/>
          <w:sz w:val="22"/>
          <w:rtl/>
        </w:rPr>
        <w:t xml:space="preserve"> כל אימת שהחוק אינו סותר את חוקי היסוד.</w:t>
      </w:r>
      <w:r>
        <w:rPr>
          <w:rFonts w:hint="cs"/>
          <w:rtl/>
        </w:rPr>
        <w:t xml:space="preserve"> כפי שכבר הזדמן לי לומר, וכפי שאסביר בהרחבה להלן, סמכויות החקיקה של הכנסת באות מהכרזת העצמאות, ועל כן הן כפופות לא רק לחוקי היסוד, אלא גם לאמור בהכרזת העצמאות אשר קבעה את גבולותיהן (ראו: </w:t>
      </w:r>
      <w:r w:rsidRPr="00774EB6">
        <w:rPr>
          <w:rFonts w:ascii="Century" w:hAnsi="Century" w:cs="Miriam" w:hint="cs"/>
          <w:b/>
          <w:spacing w:val="0"/>
          <w:sz w:val="22"/>
          <w:szCs w:val="24"/>
          <w:rtl/>
        </w:rPr>
        <w:t>בג"ץ טבריה</w:t>
      </w:r>
      <w:r>
        <w:rPr>
          <w:rFonts w:hint="cs"/>
          <w:rtl/>
        </w:rPr>
        <w:t xml:space="preserve">, פסקאות 36-35 לפסק </w:t>
      </w:r>
      <w:r w:rsidRPr="00136D99">
        <w:rPr>
          <w:rFonts w:hint="cs"/>
          <w:rtl/>
        </w:rPr>
        <w:t>דיני</w:t>
      </w:r>
      <w:r>
        <w:rPr>
          <w:rFonts w:hint="cs"/>
          <w:rtl/>
        </w:rPr>
        <w:t>).</w:t>
      </w:r>
    </w:p>
    <w:p w:rsidR="0047626A" w:rsidRDefault="0047626A" w:rsidP="0047626A">
      <w:pPr>
        <w:pStyle w:val="Ruller4"/>
        <w:numPr>
          <w:ilvl w:val="0"/>
          <w:numId w:val="0"/>
        </w:numPr>
      </w:pPr>
    </w:p>
    <w:p w:rsidR="0047626A" w:rsidRDefault="0047626A" w:rsidP="0047626A">
      <w:pPr>
        <w:pStyle w:val="Ruller4"/>
      </w:pPr>
      <w:r>
        <w:rPr>
          <w:rFonts w:hint="cs"/>
          <w:rtl/>
        </w:rPr>
        <w:t xml:space="preserve">באשר לשאלה השנייה </w:t>
      </w:r>
      <w:r>
        <w:rPr>
          <w:rtl/>
        </w:rPr>
        <w:t>–</w:t>
      </w:r>
      <w:r>
        <w:rPr>
          <w:rFonts w:hint="cs"/>
          <w:rtl/>
        </w:rPr>
        <w:t xml:space="preserve"> הכרזת העצמאות, שכאמור הגדירה את סמכויות החקיקה של הכנסת, הגבילה את כוחה של הכנסת גם בפועלה כרשות מכוננת. חוקי היסוד שהכנסת מכוננת אינם יכולים אפוא לעמוד בסתירה לאמור בהכרזת העצמאות. כפועל יוצא מכך, סמכויות השפיטה שהופקדו בידי בית משפט זה מסמיכות אותו לבחון ולקבוע את תוקפם של חוקי יסוד </w:t>
      </w:r>
      <w:r>
        <w:rPr>
          <w:rtl/>
        </w:rPr>
        <w:t>–</w:t>
      </w:r>
      <w:r>
        <w:rPr>
          <w:rFonts w:hint="cs"/>
          <w:rtl/>
        </w:rPr>
        <w:t xml:space="preserve"> בגבולות שיתוארו להלן.  </w:t>
      </w:r>
    </w:p>
    <w:p w:rsidR="0047626A" w:rsidRDefault="0047626A" w:rsidP="0047626A">
      <w:pPr>
        <w:pStyle w:val="Ruller4"/>
        <w:numPr>
          <w:ilvl w:val="0"/>
          <w:numId w:val="0"/>
        </w:numPr>
      </w:pPr>
    </w:p>
    <w:p w:rsidR="0047626A" w:rsidRDefault="0047626A" w:rsidP="0047626A">
      <w:pPr>
        <w:pStyle w:val="Ruller4"/>
      </w:pPr>
      <w:r>
        <w:rPr>
          <w:rFonts w:hint="cs"/>
          <w:rtl/>
        </w:rPr>
        <w:t xml:space="preserve">באשר לשאלה השלישית </w:t>
      </w:r>
      <w:r>
        <w:rPr>
          <w:rtl/>
        </w:rPr>
        <w:t>–</w:t>
      </w:r>
      <w:r>
        <w:rPr>
          <w:rFonts w:hint="cs"/>
          <w:rtl/>
        </w:rPr>
        <w:t xml:space="preserve"> סבורני, כאמור, כי פירושה הנכון של ההוראה נושא דיוננו מוביל למסקנה ברורה כי הכנסת היתה מוסמכת לכוננה. אשר על כן, אין מדובר בתיקון בלתי חוקתי של חוק יסוד: השפיטה. </w:t>
      </w:r>
    </w:p>
    <w:p w:rsidR="0047626A" w:rsidRDefault="0047626A" w:rsidP="0047626A">
      <w:pPr>
        <w:pStyle w:val="Ruller4"/>
        <w:numPr>
          <w:ilvl w:val="0"/>
          <w:numId w:val="0"/>
        </w:numPr>
        <w:rPr>
          <w:rtl/>
        </w:rPr>
      </w:pPr>
    </w:p>
    <w:p w:rsidR="0047626A" w:rsidRPr="0023630E" w:rsidRDefault="0047626A" w:rsidP="0047626A">
      <w:pPr>
        <w:pStyle w:val="Ruller41"/>
        <w:rPr>
          <w:rFonts w:ascii="Century" w:hAnsi="Century" w:cs="Miriam"/>
          <w:b/>
          <w:spacing w:val="0"/>
          <w:szCs w:val="24"/>
        </w:rPr>
      </w:pPr>
      <w:r w:rsidRPr="0023630E">
        <w:rPr>
          <w:rFonts w:ascii="Century" w:hAnsi="Century" w:cs="Miriam" w:hint="cs"/>
          <w:b/>
          <w:spacing w:val="0"/>
          <w:szCs w:val="24"/>
          <w:rtl/>
        </w:rPr>
        <w:t>הער</w:t>
      </w:r>
      <w:r>
        <w:rPr>
          <w:rFonts w:ascii="Century" w:hAnsi="Century" w:cs="Miriam" w:hint="cs"/>
          <w:b/>
          <w:spacing w:val="0"/>
          <w:szCs w:val="24"/>
          <w:rtl/>
        </w:rPr>
        <w:t>ה</w:t>
      </w:r>
      <w:r w:rsidRPr="0023630E">
        <w:rPr>
          <w:rFonts w:ascii="Century" w:hAnsi="Century" w:cs="Miriam" w:hint="cs"/>
          <w:b/>
          <w:spacing w:val="0"/>
          <w:szCs w:val="24"/>
          <w:rtl/>
        </w:rPr>
        <w:t xml:space="preserve"> מקדמית:</w:t>
      </w:r>
      <w:r>
        <w:rPr>
          <w:rFonts w:ascii="Century" w:hAnsi="Century" w:cs="Miriam" w:hint="cs"/>
          <w:b/>
          <w:spacing w:val="0"/>
          <w:szCs w:val="24"/>
          <w:rtl/>
        </w:rPr>
        <w:t xml:space="preserve"> </w:t>
      </w:r>
      <w:r w:rsidRPr="0023630E">
        <w:rPr>
          <w:rFonts w:ascii="Century" w:hAnsi="Century" w:cs="Miriam" w:hint="cs"/>
          <w:b/>
          <w:spacing w:val="0"/>
          <w:szCs w:val="24"/>
          <w:rtl/>
        </w:rPr>
        <w:t>תוכנ</w:t>
      </w:r>
      <w:r>
        <w:rPr>
          <w:rFonts w:ascii="Century" w:hAnsi="Century" w:cs="Miriam" w:hint="cs"/>
          <w:b/>
          <w:spacing w:val="0"/>
          <w:szCs w:val="24"/>
          <w:rtl/>
        </w:rPr>
        <w:t>ם</w:t>
      </w:r>
      <w:r w:rsidRPr="0023630E">
        <w:rPr>
          <w:rFonts w:ascii="Century" w:hAnsi="Century" w:cs="Miriam" w:hint="cs"/>
          <w:b/>
          <w:spacing w:val="0"/>
          <w:szCs w:val="24"/>
          <w:rtl/>
        </w:rPr>
        <w:t xml:space="preserve"> של די</w:t>
      </w:r>
      <w:r>
        <w:rPr>
          <w:rFonts w:ascii="Century" w:hAnsi="Century" w:cs="Miriam" w:hint="cs"/>
          <w:b/>
          <w:spacing w:val="0"/>
          <w:szCs w:val="24"/>
          <w:rtl/>
        </w:rPr>
        <w:t>ני</w:t>
      </w:r>
      <w:r w:rsidRPr="0023630E">
        <w:rPr>
          <w:rFonts w:ascii="Century" w:hAnsi="Century" w:cs="Miriam" w:hint="cs"/>
          <w:b/>
          <w:spacing w:val="0"/>
          <w:szCs w:val="24"/>
          <w:rtl/>
        </w:rPr>
        <w:t xml:space="preserve"> </w:t>
      </w:r>
      <w:r>
        <w:rPr>
          <w:rFonts w:ascii="Century" w:hAnsi="Century" w:cs="Miriam" w:hint="cs"/>
          <w:b/>
          <w:spacing w:val="0"/>
          <w:szCs w:val="24"/>
          <w:rtl/>
        </w:rPr>
        <w:t xml:space="preserve">החוקה של מדינתנו </w:t>
      </w:r>
      <w:r w:rsidRPr="0023630E">
        <w:rPr>
          <w:rFonts w:ascii="Century" w:hAnsi="Century" w:cs="Miriam" w:hint="cs"/>
          <w:b/>
          <w:spacing w:val="0"/>
          <w:szCs w:val="24"/>
          <w:rtl/>
        </w:rPr>
        <w:t>הוא עניין של עובדה</w:t>
      </w:r>
      <w:r>
        <w:rPr>
          <w:rFonts w:ascii="Century" w:hAnsi="Century" w:cs="Miriam" w:hint="cs"/>
          <w:b/>
          <w:spacing w:val="0"/>
          <w:szCs w:val="24"/>
          <w:rtl/>
        </w:rPr>
        <w:t xml:space="preserve"> אמפירית</w:t>
      </w:r>
    </w:p>
    <w:p w:rsidR="0047626A" w:rsidRPr="0023630E" w:rsidRDefault="0047626A" w:rsidP="0047626A">
      <w:pPr>
        <w:pStyle w:val="Ruller41"/>
      </w:pPr>
    </w:p>
    <w:p w:rsidR="0047626A" w:rsidRDefault="0047626A" w:rsidP="0047626A">
      <w:pPr>
        <w:pStyle w:val="Ruller4"/>
      </w:pPr>
      <w:r>
        <w:rPr>
          <w:rFonts w:hint="cs"/>
          <w:rtl/>
        </w:rPr>
        <w:t xml:space="preserve">בטרם אדון בשאלות שהצגתי לגופן, אעיר הערה מקדמית באשר למהותן ולמהות התשובות שאבקש לתת לכל אחת מהן. </w:t>
      </w:r>
    </w:p>
    <w:p w:rsidR="0047626A" w:rsidRDefault="0047626A" w:rsidP="0047626A">
      <w:pPr>
        <w:pStyle w:val="Ruller4"/>
        <w:numPr>
          <w:ilvl w:val="0"/>
          <w:numId w:val="0"/>
        </w:numPr>
      </w:pPr>
    </w:p>
    <w:p w:rsidR="0047626A" w:rsidRDefault="0047626A" w:rsidP="0047626A">
      <w:pPr>
        <w:pStyle w:val="Ruller4"/>
      </w:pPr>
      <w:r>
        <w:rPr>
          <w:rFonts w:hint="cs"/>
          <w:rtl/>
        </w:rPr>
        <w:t xml:space="preserve">לדידי, כל השאלות שהצגתי הן </w:t>
      </w:r>
      <w:r w:rsidRPr="003B41AC">
        <w:rPr>
          <w:rFonts w:ascii="Century" w:hAnsi="Century" w:cs="Miriam" w:hint="cs"/>
          <w:b/>
          <w:spacing w:val="0"/>
          <w:sz w:val="22"/>
          <w:szCs w:val="24"/>
          <w:rtl/>
        </w:rPr>
        <w:t>שאלות עובדתיות</w:t>
      </w:r>
      <w:r>
        <w:rPr>
          <w:rFonts w:hint="cs"/>
          <w:rtl/>
        </w:rPr>
        <w:t xml:space="preserve"> באשר לתוכנם של דיני החוקה הנהוגים במחוזותינו, ועל כן התשובות שתינתנה על ידי לשאלות אלה, אף הן נטועות בעולמן של עובדות אמפיריות, ולא במקום אחר, כדוגמת מסכת ערכים המקובלת על קהל כזה או אחר. ניסיון לתת מענה לא עובדתי לשאלות אלה </w:t>
      </w:r>
      <w:r>
        <w:rPr>
          <w:rtl/>
        </w:rPr>
        <w:t>–</w:t>
      </w:r>
      <w:r>
        <w:rPr>
          <w:rFonts w:hint="cs"/>
          <w:rtl/>
        </w:rPr>
        <w:t xml:space="preserve"> ובפרט, הניסיון השכיח במחוזותינו לגזור נורמות חוקתיות מתוך ערכים אמורפיים שאין להם עיגון פורמלי ואחיזה עובדתית בדין </w:t>
      </w:r>
      <w:r>
        <w:rPr>
          <w:rtl/>
        </w:rPr>
        <w:t>–</w:t>
      </w:r>
      <w:r>
        <w:rPr>
          <w:rFonts w:hint="cs"/>
          <w:rtl/>
        </w:rPr>
        <w:t xml:space="preserve"> אינו מקובל עלי. </w:t>
      </w:r>
    </w:p>
    <w:p w:rsidR="0047626A" w:rsidRDefault="0047626A" w:rsidP="0047626A">
      <w:pPr>
        <w:pStyle w:val="Ruller4"/>
        <w:numPr>
          <w:ilvl w:val="0"/>
          <w:numId w:val="0"/>
        </w:numPr>
      </w:pPr>
    </w:p>
    <w:p w:rsidR="0047626A" w:rsidRDefault="0047626A" w:rsidP="0047626A">
      <w:pPr>
        <w:pStyle w:val="Ruller4"/>
      </w:pPr>
      <w:r>
        <w:rPr>
          <w:rFonts w:hint="cs"/>
          <w:rtl/>
        </w:rPr>
        <w:t xml:space="preserve">לדידי, נורמות חוקתיות שזכו להיקרא "ערכי היסוד של השיטה" תהיינה ראויות לשם זה רק אם הן מעוגנות במעשיהם של מכונני החוקה המוסמכים </w:t>
      </w:r>
      <w:r>
        <w:rPr>
          <w:rtl/>
        </w:rPr>
        <w:t>–</w:t>
      </w:r>
      <w:r>
        <w:rPr>
          <w:rFonts w:hint="cs"/>
          <w:rtl/>
        </w:rPr>
        <w:t xml:space="preserve"> מייסדי המדינה וחברי הכנסת אשר באו אחריהם </w:t>
      </w:r>
      <w:r>
        <w:rPr>
          <w:rtl/>
        </w:rPr>
        <w:t>–</w:t>
      </w:r>
      <w:r>
        <w:rPr>
          <w:rFonts w:hint="cs"/>
          <w:rtl/>
        </w:rPr>
        <w:t xml:space="preserve"> וזאת, כל אימת שלמעשים אלו יש אסמכתא פורמלית. באין אסמכתא פורמלית כאמור, הצהרה שיפוטית </w:t>
      </w:r>
      <w:r>
        <w:rPr>
          <w:rtl/>
        </w:rPr>
        <w:t>–</w:t>
      </w:r>
      <w:r>
        <w:rPr>
          <w:rFonts w:hint="cs"/>
          <w:rtl/>
        </w:rPr>
        <w:t xml:space="preserve"> </w:t>
      </w:r>
      <w:r w:rsidRPr="003B41AC">
        <w:rPr>
          <w:rFonts w:asciiTheme="majorBidi" w:hAnsiTheme="majorBidi" w:cstheme="majorBidi"/>
        </w:rPr>
        <w:t>ex cathedra</w:t>
      </w:r>
      <w:r>
        <w:rPr>
          <w:rFonts w:hint="cs"/>
          <w:rtl/>
        </w:rPr>
        <w:t xml:space="preserve"> </w:t>
      </w:r>
      <w:r>
        <w:rPr>
          <w:rtl/>
        </w:rPr>
        <w:t>–</w:t>
      </w:r>
      <w:r>
        <w:rPr>
          <w:rFonts w:hint="cs"/>
          <w:rtl/>
        </w:rPr>
        <w:t xml:space="preserve"> כי ערך חברתי כזה או אחר נמנה עם ערכי היסוד של משטרנו החוקתי לא תהא נכונה ברמה העובדתית. הצהרה מעין זו אינה אלא משאלת-לבו של המצהיר, הא ותו לא. היא לא מהווה חלק ממשפטנו החוקתי ולא אפסוק את הדין לפיה. </w:t>
      </w:r>
    </w:p>
    <w:p w:rsidR="0047626A" w:rsidRDefault="0047626A" w:rsidP="0047626A">
      <w:pPr>
        <w:pStyle w:val="Ruller4"/>
        <w:numPr>
          <w:ilvl w:val="0"/>
          <w:numId w:val="0"/>
        </w:numPr>
      </w:pPr>
    </w:p>
    <w:p w:rsidR="0047626A" w:rsidRDefault="0047626A" w:rsidP="0047626A">
      <w:pPr>
        <w:pStyle w:val="Ruller4"/>
        <w:rPr>
          <w:rtl/>
        </w:rPr>
      </w:pPr>
      <w:r>
        <w:rPr>
          <w:rFonts w:hint="cs"/>
          <w:rtl/>
        </w:rPr>
        <w:t>בהקשר זה, ובהקשרים רבים אחרים, שומה עלינו לזכור את אשר מורה לנו סעיף 2 לחוק-יסוד: השפיטה, לפיו "</w:t>
      </w:r>
      <w:r w:rsidRPr="00A87AE5">
        <w:rPr>
          <w:rFonts w:hint="eastAsia"/>
          <w:rtl/>
        </w:rPr>
        <w:t>בענ</w:t>
      </w:r>
      <w:r>
        <w:rPr>
          <w:rFonts w:hint="cs"/>
          <w:rtl/>
        </w:rPr>
        <w:t>י</w:t>
      </w:r>
      <w:r w:rsidRPr="00A87AE5">
        <w:rPr>
          <w:rFonts w:hint="eastAsia"/>
          <w:rtl/>
        </w:rPr>
        <w:t>יני</w:t>
      </w:r>
      <w:r w:rsidRPr="00A87AE5">
        <w:rPr>
          <w:rtl/>
        </w:rPr>
        <w:t xml:space="preserve"> </w:t>
      </w:r>
      <w:r w:rsidRPr="00A87AE5">
        <w:rPr>
          <w:rFonts w:hint="eastAsia"/>
          <w:rtl/>
        </w:rPr>
        <w:t>שפיטה</w:t>
      </w:r>
      <w:r w:rsidRPr="00A87AE5">
        <w:rPr>
          <w:rtl/>
        </w:rPr>
        <w:t xml:space="preserve"> </w:t>
      </w:r>
      <w:r w:rsidRPr="00A87AE5">
        <w:rPr>
          <w:rFonts w:hint="eastAsia"/>
          <w:rtl/>
        </w:rPr>
        <w:t>אין</w:t>
      </w:r>
      <w:r w:rsidRPr="00A87AE5">
        <w:rPr>
          <w:rtl/>
        </w:rPr>
        <w:t xml:space="preserve"> </w:t>
      </w:r>
      <w:r w:rsidRPr="00A87AE5">
        <w:rPr>
          <w:rFonts w:hint="eastAsia"/>
          <w:rtl/>
        </w:rPr>
        <w:t>מרות</w:t>
      </w:r>
      <w:r w:rsidRPr="00A87AE5">
        <w:rPr>
          <w:rtl/>
        </w:rPr>
        <w:t xml:space="preserve"> </w:t>
      </w:r>
      <w:r w:rsidRPr="00A87AE5">
        <w:rPr>
          <w:rFonts w:hint="eastAsia"/>
          <w:rtl/>
        </w:rPr>
        <w:t>על</w:t>
      </w:r>
      <w:r w:rsidRPr="00A87AE5">
        <w:rPr>
          <w:rtl/>
        </w:rPr>
        <w:t xml:space="preserve"> </w:t>
      </w:r>
      <w:r w:rsidRPr="00A87AE5">
        <w:rPr>
          <w:rFonts w:hint="eastAsia"/>
          <w:rtl/>
        </w:rPr>
        <w:t>מי</w:t>
      </w:r>
      <w:r w:rsidRPr="00A87AE5">
        <w:rPr>
          <w:rtl/>
        </w:rPr>
        <w:t xml:space="preserve"> </w:t>
      </w:r>
      <w:r w:rsidRPr="00A87AE5">
        <w:rPr>
          <w:rFonts w:hint="eastAsia"/>
          <w:rtl/>
        </w:rPr>
        <w:t>שבידו</w:t>
      </w:r>
      <w:r w:rsidRPr="00A87AE5">
        <w:rPr>
          <w:rtl/>
        </w:rPr>
        <w:t xml:space="preserve"> </w:t>
      </w:r>
      <w:r w:rsidRPr="00A87AE5">
        <w:rPr>
          <w:rFonts w:hint="eastAsia"/>
          <w:rtl/>
        </w:rPr>
        <w:t>סמכות</w:t>
      </w:r>
      <w:r w:rsidRPr="00A87AE5">
        <w:rPr>
          <w:rtl/>
        </w:rPr>
        <w:t xml:space="preserve"> </w:t>
      </w:r>
      <w:r w:rsidRPr="00A87AE5">
        <w:rPr>
          <w:rFonts w:hint="eastAsia"/>
          <w:rtl/>
        </w:rPr>
        <w:t>שפיטה</w:t>
      </w:r>
      <w:r w:rsidRPr="00A87AE5">
        <w:rPr>
          <w:rtl/>
        </w:rPr>
        <w:t xml:space="preserve">, </w:t>
      </w:r>
      <w:r w:rsidRPr="00A87AE5">
        <w:rPr>
          <w:rFonts w:hint="eastAsia"/>
          <w:rtl/>
        </w:rPr>
        <w:t>זולת</w:t>
      </w:r>
      <w:r w:rsidRPr="00A87AE5">
        <w:rPr>
          <w:rtl/>
        </w:rPr>
        <w:t xml:space="preserve"> </w:t>
      </w:r>
      <w:r w:rsidRPr="00A87AE5">
        <w:rPr>
          <w:rFonts w:hint="eastAsia"/>
          <w:rtl/>
        </w:rPr>
        <w:t>מרותו</w:t>
      </w:r>
      <w:r w:rsidRPr="00A87AE5">
        <w:rPr>
          <w:rtl/>
        </w:rPr>
        <w:t xml:space="preserve"> </w:t>
      </w:r>
      <w:r w:rsidRPr="00A87AE5">
        <w:rPr>
          <w:rFonts w:hint="eastAsia"/>
          <w:rtl/>
        </w:rPr>
        <w:t>של</w:t>
      </w:r>
      <w:r w:rsidRPr="00A87AE5">
        <w:rPr>
          <w:rtl/>
        </w:rPr>
        <w:t xml:space="preserve"> </w:t>
      </w:r>
      <w:r w:rsidRPr="00A87AE5">
        <w:rPr>
          <w:rFonts w:hint="eastAsia"/>
          <w:rtl/>
        </w:rPr>
        <w:t>הדין</w:t>
      </w:r>
      <w:r>
        <w:rPr>
          <w:rFonts w:hint="cs"/>
          <w:rtl/>
        </w:rPr>
        <w:t xml:space="preserve">". הרישא של סעיף זה, אשר משתמשת במילים "אין מרות", קובעת עיקרון-על של עצמאות בתי המשפט ושל השופטות והשופטים שפועלים בהם. לצד עיקרון זה, מילות הסיפא של הסעיף </w:t>
      </w:r>
      <w:r>
        <w:rPr>
          <w:rtl/>
        </w:rPr>
        <w:t>–</w:t>
      </w:r>
      <w:r>
        <w:rPr>
          <w:rFonts w:hint="cs"/>
          <w:rtl/>
        </w:rPr>
        <w:t xml:space="preserve"> "זולת מרותו של הדין" </w:t>
      </w:r>
      <w:r>
        <w:rPr>
          <w:rtl/>
        </w:rPr>
        <w:t>–</w:t>
      </w:r>
      <w:r>
        <w:rPr>
          <w:rFonts w:hint="cs"/>
          <w:rtl/>
        </w:rPr>
        <w:t xml:space="preserve"> קובעות את יחסי המרות שבין הדין לדיין. </w:t>
      </w:r>
      <w:r w:rsidRPr="002C060A">
        <w:rPr>
          <w:rFonts w:ascii="Century" w:hAnsi="Century" w:cs="Miriam" w:hint="cs"/>
          <w:b/>
          <w:spacing w:val="0"/>
          <w:sz w:val="22"/>
          <w:szCs w:val="24"/>
          <w:rtl/>
        </w:rPr>
        <w:t>מילים אלה קובעות כי השופט נתון למרותו של הדין, ולא להיפך</w:t>
      </w:r>
      <w:r>
        <w:rPr>
          <w:rFonts w:hint="cs"/>
          <w:rtl/>
        </w:rPr>
        <w:t xml:space="preserve">. במסגרתם של יחסי מרות כאמור, תוכנו של הדין אינו יכול להיות תלוי ברצונותיו ובערכיו האישיים של השופט או בערכיהם של האזרחים הטובים עמהם השופט מזדהה </w:t>
      </w:r>
      <w:r>
        <w:rPr>
          <w:rtl/>
        </w:rPr>
        <w:t>–</w:t>
      </w:r>
      <w:r>
        <w:rPr>
          <w:rFonts w:hint="cs"/>
          <w:rtl/>
        </w:rPr>
        <w:t xml:space="preserve"> יהיו נאורים ונעלים ככל שיהיו. מסכת הדינים שהשופט נדרש להפעיל וליישם בפסיקתו חייבת להימצא בעובדות המשפט שאינן תלויות בשופט. השאלה "מה אומר הדין בעניין כזה או אחר?" היא שאלה עובדתית שצריכה לקבל מענה עובדתי. השאלה שמעסיקה אותנו כאן </w:t>
      </w:r>
      <w:r>
        <w:rPr>
          <w:rtl/>
        </w:rPr>
        <w:t>–</w:t>
      </w:r>
      <w:r>
        <w:rPr>
          <w:rFonts w:hint="cs"/>
          <w:rtl/>
        </w:rPr>
        <w:t xml:space="preserve"> "מהם גדרי סמכותה של הכנסת לחוקק חוקים וחוקי יסוד?" </w:t>
      </w:r>
      <w:r>
        <w:rPr>
          <w:rtl/>
        </w:rPr>
        <w:t>–</w:t>
      </w:r>
      <w:r>
        <w:rPr>
          <w:rFonts w:hint="cs"/>
          <w:rtl/>
        </w:rPr>
        <w:t xml:space="preserve"> גם היא שאלה עובדתית אשר צריכה לקבל תשובה </w:t>
      </w:r>
      <w:r w:rsidRPr="0070683A">
        <w:rPr>
          <w:rFonts w:hint="cs"/>
          <w:rtl/>
        </w:rPr>
        <w:t xml:space="preserve">מוסמכת המעוגנת בעולמן של עובדות. גישתי זו </w:t>
      </w:r>
      <w:r>
        <w:rPr>
          <w:rtl/>
        </w:rPr>
        <w:t>–</w:t>
      </w:r>
      <w:r>
        <w:rPr>
          <w:rFonts w:hint="cs"/>
          <w:rtl/>
        </w:rPr>
        <w:t xml:space="preserve"> שניתן לכנותה "משפט כעובדה" </w:t>
      </w:r>
      <w:r>
        <w:rPr>
          <w:rtl/>
        </w:rPr>
        <w:t>–</w:t>
      </w:r>
      <w:r>
        <w:rPr>
          <w:rFonts w:hint="cs"/>
          <w:rtl/>
        </w:rPr>
        <w:t xml:space="preserve"> </w:t>
      </w:r>
      <w:r w:rsidRPr="0070683A">
        <w:rPr>
          <w:rFonts w:hint="cs"/>
          <w:rtl/>
        </w:rPr>
        <w:t xml:space="preserve">מצאה את ביטויה </w:t>
      </w:r>
      <w:r>
        <w:rPr>
          <w:rFonts w:hint="cs"/>
          <w:rtl/>
        </w:rPr>
        <w:t>בפסק דיני ב</w:t>
      </w:r>
      <w:r w:rsidRPr="00082A89">
        <w:rPr>
          <w:rFonts w:ascii="Century" w:hAnsi="Century" w:cs="Miriam" w:hint="cs"/>
          <w:b/>
          <w:spacing w:val="0"/>
          <w:sz w:val="22"/>
          <w:szCs w:val="24"/>
          <w:rtl/>
        </w:rPr>
        <w:t>בג"ץ טבריה</w:t>
      </w:r>
      <w:r>
        <w:rPr>
          <w:rFonts w:hint="cs"/>
          <w:rtl/>
        </w:rPr>
        <w:t xml:space="preserve">, </w:t>
      </w:r>
      <w:r w:rsidRPr="0070683A">
        <w:rPr>
          <w:rFonts w:hint="cs"/>
          <w:rtl/>
        </w:rPr>
        <w:t>ב</w:t>
      </w:r>
      <w:r w:rsidRPr="001D55BD">
        <w:rPr>
          <w:rFonts w:hint="cs"/>
          <w:rtl/>
        </w:rPr>
        <w:t>מספר פסק</w:t>
      </w:r>
      <w:r w:rsidRPr="00D52A2B">
        <w:rPr>
          <w:rFonts w:hint="eastAsia"/>
          <w:rtl/>
        </w:rPr>
        <w:t>י</w:t>
      </w:r>
      <w:r w:rsidRPr="00D52A2B">
        <w:rPr>
          <w:rtl/>
        </w:rPr>
        <w:t xml:space="preserve"> </w:t>
      </w:r>
      <w:r w:rsidRPr="00D52A2B">
        <w:rPr>
          <w:rFonts w:hint="eastAsia"/>
          <w:rtl/>
        </w:rPr>
        <w:t>דין</w:t>
      </w:r>
      <w:r w:rsidRPr="00D52A2B">
        <w:rPr>
          <w:rtl/>
        </w:rPr>
        <w:t xml:space="preserve"> </w:t>
      </w:r>
      <w:r>
        <w:rPr>
          <w:rFonts w:hint="cs"/>
          <w:rtl/>
        </w:rPr>
        <w:t xml:space="preserve">נוספים </w:t>
      </w:r>
      <w:r w:rsidRPr="00D52A2B">
        <w:rPr>
          <w:rtl/>
        </w:rPr>
        <w:t>(</w:t>
      </w:r>
      <w:r w:rsidRPr="00D52A2B">
        <w:rPr>
          <w:rFonts w:hint="eastAsia"/>
          <w:rtl/>
        </w:rPr>
        <w:t>ראו</w:t>
      </w:r>
      <w:r w:rsidRPr="00D52A2B">
        <w:rPr>
          <w:rtl/>
        </w:rPr>
        <w:t xml:space="preserve">, </w:t>
      </w:r>
      <w:r w:rsidRPr="00D52A2B">
        <w:rPr>
          <w:rFonts w:hint="eastAsia"/>
          <w:rtl/>
        </w:rPr>
        <w:t>למשל</w:t>
      </w:r>
      <w:r w:rsidRPr="00D52A2B">
        <w:rPr>
          <w:rtl/>
        </w:rPr>
        <w:t xml:space="preserve">, </w:t>
      </w:r>
      <w:r w:rsidRPr="00D52A2B">
        <w:rPr>
          <w:rFonts w:hint="eastAsia"/>
          <w:rtl/>
        </w:rPr>
        <w:t>פסקי</w:t>
      </w:r>
      <w:r w:rsidRPr="00D52A2B">
        <w:rPr>
          <w:rtl/>
        </w:rPr>
        <w:t xml:space="preserve"> </w:t>
      </w:r>
      <w:r w:rsidRPr="00D52A2B">
        <w:rPr>
          <w:rFonts w:hint="eastAsia"/>
          <w:rtl/>
        </w:rPr>
        <w:t>הדין</w:t>
      </w:r>
      <w:r w:rsidRPr="00D52A2B">
        <w:rPr>
          <w:rtl/>
        </w:rPr>
        <w:t xml:space="preserve"> </w:t>
      </w:r>
      <w:r w:rsidRPr="00D52A2B">
        <w:rPr>
          <w:rFonts w:hint="eastAsia"/>
          <w:rtl/>
        </w:rPr>
        <w:t>שנתתי</w:t>
      </w:r>
      <w:r w:rsidRPr="00D52A2B">
        <w:rPr>
          <w:rtl/>
        </w:rPr>
        <w:t xml:space="preserve"> </w:t>
      </w:r>
      <w:r w:rsidRPr="00D52A2B">
        <w:rPr>
          <w:rFonts w:hint="eastAsia"/>
          <w:rtl/>
        </w:rPr>
        <w:t>ברע</w:t>
      </w:r>
      <w:r w:rsidRPr="00D52A2B">
        <w:rPr>
          <w:rtl/>
        </w:rPr>
        <w:t>"</w:t>
      </w:r>
      <w:r w:rsidRPr="00D52A2B">
        <w:rPr>
          <w:rFonts w:hint="eastAsia"/>
          <w:rtl/>
        </w:rPr>
        <w:t>א</w:t>
      </w:r>
      <w:r w:rsidRPr="00D52A2B">
        <w:rPr>
          <w:rtl/>
        </w:rPr>
        <w:t xml:space="preserve"> 10011/17 </w:t>
      </w:r>
      <w:r w:rsidRPr="00D52A2B">
        <w:rPr>
          <w:rFonts w:ascii="Century" w:hAnsi="Century" w:cs="Miriam" w:hint="eastAsia"/>
          <w:spacing w:val="0"/>
          <w:szCs w:val="24"/>
          <w:rtl/>
        </w:rPr>
        <w:t>מי</w:t>
      </w:r>
      <w:r w:rsidRPr="00D52A2B">
        <w:rPr>
          <w:rFonts w:ascii="Century" w:hAnsi="Century" w:cs="Miriam"/>
          <w:spacing w:val="0"/>
          <w:szCs w:val="24"/>
          <w:rtl/>
        </w:rPr>
        <w:t>-</w:t>
      </w:r>
      <w:r w:rsidRPr="00D52A2B">
        <w:rPr>
          <w:rFonts w:ascii="Century" w:hAnsi="Century" w:cs="Miriam" w:hint="eastAsia"/>
          <w:spacing w:val="0"/>
          <w:szCs w:val="24"/>
          <w:rtl/>
        </w:rPr>
        <w:t>טל</w:t>
      </w:r>
      <w:r w:rsidRPr="00D52A2B">
        <w:rPr>
          <w:rFonts w:ascii="Century" w:hAnsi="Century" w:cs="Miriam"/>
          <w:spacing w:val="0"/>
          <w:szCs w:val="24"/>
          <w:rtl/>
        </w:rPr>
        <w:t xml:space="preserve"> </w:t>
      </w:r>
      <w:r w:rsidRPr="00D52A2B">
        <w:rPr>
          <w:rFonts w:ascii="Century" w:hAnsi="Century" w:cs="Miriam" w:hint="eastAsia"/>
          <w:spacing w:val="0"/>
          <w:szCs w:val="24"/>
          <w:rtl/>
        </w:rPr>
        <w:t>הנדסה</w:t>
      </w:r>
      <w:r w:rsidRPr="00D52A2B">
        <w:rPr>
          <w:rFonts w:ascii="Century" w:hAnsi="Century" w:cs="Miriam"/>
          <w:spacing w:val="0"/>
          <w:szCs w:val="24"/>
          <w:rtl/>
        </w:rPr>
        <w:t xml:space="preserve"> </w:t>
      </w:r>
      <w:r w:rsidRPr="00D52A2B">
        <w:rPr>
          <w:rFonts w:ascii="Century" w:hAnsi="Century" w:cs="Miriam" w:hint="eastAsia"/>
          <w:spacing w:val="0"/>
          <w:szCs w:val="24"/>
          <w:rtl/>
        </w:rPr>
        <w:t>ושירותים</w:t>
      </w:r>
      <w:r w:rsidRPr="00D52A2B">
        <w:rPr>
          <w:rFonts w:ascii="Century" w:hAnsi="Century" w:cs="Miriam"/>
          <w:spacing w:val="0"/>
          <w:szCs w:val="24"/>
          <w:rtl/>
        </w:rPr>
        <w:t xml:space="preserve"> </w:t>
      </w:r>
      <w:r w:rsidRPr="00D52A2B">
        <w:rPr>
          <w:rFonts w:ascii="Century" w:hAnsi="Century" w:cs="Miriam" w:hint="eastAsia"/>
          <w:spacing w:val="0"/>
          <w:szCs w:val="24"/>
          <w:rtl/>
        </w:rPr>
        <w:t>בע</w:t>
      </w:r>
      <w:r w:rsidRPr="00D52A2B">
        <w:rPr>
          <w:rFonts w:ascii="Century" w:hAnsi="Century" w:cs="Miriam"/>
          <w:spacing w:val="0"/>
          <w:szCs w:val="24"/>
          <w:rtl/>
        </w:rPr>
        <w:t>"</w:t>
      </w:r>
      <w:r w:rsidRPr="00D52A2B">
        <w:rPr>
          <w:rFonts w:ascii="Century" w:hAnsi="Century" w:cs="Miriam" w:hint="eastAsia"/>
          <w:spacing w:val="0"/>
          <w:szCs w:val="24"/>
          <w:rtl/>
        </w:rPr>
        <w:t>מ</w:t>
      </w:r>
      <w:r w:rsidRPr="00D52A2B">
        <w:rPr>
          <w:rFonts w:ascii="Century" w:hAnsi="Century" w:cs="Miriam"/>
          <w:spacing w:val="0"/>
          <w:szCs w:val="24"/>
          <w:rtl/>
        </w:rPr>
        <w:t xml:space="preserve"> </w:t>
      </w:r>
      <w:r w:rsidRPr="00D52A2B">
        <w:rPr>
          <w:rFonts w:ascii="Century" w:hAnsi="Century" w:cs="Miriam" w:hint="eastAsia"/>
          <w:spacing w:val="0"/>
          <w:szCs w:val="24"/>
          <w:rtl/>
        </w:rPr>
        <w:t>נ</w:t>
      </w:r>
      <w:r w:rsidRPr="00D52A2B">
        <w:rPr>
          <w:rFonts w:ascii="Century" w:hAnsi="Century" w:cs="Miriam"/>
          <w:spacing w:val="0"/>
          <w:szCs w:val="24"/>
          <w:rtl/>
        </w:rPr>
        <w:t xml:space="preserve">' </w:t>
      </w:r>
      <w:r w:rsidRPr="00D52A2B">
        <w:rPr>
          <w:rFonts w:ascii="Century" w:hAnsi="Century" w:cs="Miriam" w:hint="eastAsia"/>
          <w:spacing w:val="0"/>
          <w:szCs w:val="24"/>
          <w:rtl/>
        </w:rPr>
        <w:t>סלמאן</w:t>
      </w:r>
      <w:r w:rsidRPr="00D52A2B">
        <w:rPr>
          <w:rtl/>
        </w:rPr>
        <w:t xml:space="preserve"> (19.8.2019); </w:t>
      </w:r>
      <w:r w:rsidRPr="00D52A2B">
        <w:rPr>
          <w:rFonts w:hint="eastAsia"/>
          <w:rtl/>
        </w:rPr>
        <w:t>בע</w:t>
      </w:r>
      <w:r w:rsidRPr="00D52A2B">
        <w:rPr>
          <w:rtl/>
        </w:rPr>
        <w:t>"</w:t>
      </w:r>
      <w:r w:rsidRPr="00D52A2B">
        <w:rPr>
          <w:rFonts w:hint="eastAsia"/>
          <w:rtl/>
        </w:rPr>
        <w:t>פ</w:t>
      </w:r>
      <w:r w:rsidRPr="00D52A2B">
        <w:rPr>
          <w:rtl/>
        </w:rPr>
        <w:t xml:space="preserve"> 3583/20 </w:t>
      </w:r>
      <w:r w:rsidRPr="00D52A2B">
        <w:rPr>
          <w:rFonts w:ascii="Century" w:hAnsi="Century" w:cs="Miriam" w:hint="eastAsia"/>
          <w:spacing w:val="0"/>
          <w:szCs w:val="24"/>
          <w:rtl/>
        </w:rPr>
        <w:t>פלוני</w:t>
      </w:r>
      <w:r w:rsidRPr="00D52A2B">
        <w:rPr>
          <w:rFonts w:ascii="Century" w:hAnsi="Century" w:cs="Miriam"/>
          <w:spacing w:val="0"/>
          <w:szCs w:val="24"/>
          <w:rtl/>
        </w:rPr>
        <w:t xml:space="preserve"> </w:t>
      </w:r>
      <w:r w:rsidRPr="00D52A2B">
        <w:rPr>
          <w:rFonts w:ascii="Century" w:hAnsi="Century" w:cs="Miriam" w:hint="eastAsia"/>
          <w:spacing w:val="0"/>
          <w:szCs w:val="24"/>
          <w:rtl/>
        </w:rPr>
        <w:t>נ</w:t>
      </w:r>
      <w:r w:rsidRPr="00D52A2B">
        <w:rPr>
          <w:rFonts w:ascii="Century" w:hAnsi="Century" w:cs="Miriam"/>
          <w:spacing w:val="0"/>
          <w:szCs w:val="24"/>
          <w:rtl/>
        </w:rPr>
        <w:t xml:space="preserve">' </w:t>
      </w:r>
      <w:r w:rsidRPr="00D52A2B">
        <w:rPr>
          <w:rFonts w:ascii="Century" w:hAnsi="Century" w:cs="Miriam" w:hint="eastAsia"/>
          <w:spacing w:val="0"/>
          <w:szCs w:val="24"/>
          <w:rtl/>
        </w:rPr>
        <w:t>מדינת</w:t>
      </w:r>
      <w:r w:rsidRPr="00D52A2B">
        <w:rPr>
          <w:rFonts w:ascii="Century" w:hAnsi="Century" w:cs="Miriam"/>
          <w:spacing w:val="0"/>
          <w:szCs w:val="24"/>
          <w:rtl/>
        </w:rPr>
        <w:t xml:space="preserve"> </w:t>
      </w:r>
      <w:r w:rsidRPr="00D52A2B">
        <w:rPr>
          <w:rFonts w:ascii="Century" w:hAnsi="Century" w:cs="Miriam" w:hint="eastAsia"/>
          <w:spacing w:val="0"/>
          <w:szCs w:val="24"/>
          <w:rtl/>
        </w:rPr>
        <w:t>ישראל</w:t>
      </w:r>
      <w:r w:rsidRPr="00D52A2B">
        <w:rPr>
          <w:rtl/>
        </w:rPr>
        <w:t xml:space="preserve"> (9.11.2020); </w:t>
      </w:r>
      <w:r w:rsidRPr="00D52A2B">
        <w:rPr>
          <w:rFonts w:hint="eastAsia"/>
          <w:rtl/>
        </w:rPr>
        <w:t>ובע</w:t>
      </w:r>
      <w:r w:rsidRPr="00D52A2B">
        <w:rPr>
          <w:rtl/>
        </w:rPr>
        <w:t>"</w:t>
      </w:r>
      <w:r w:rsidRPr="00D52A2B">
        <w:rPr>
          <w:rFonts w:hint="eastAsia"/>
          <w:rtl/>
        </w:rPr>
        <w:t>א</w:t>
      </w:r>
      <w:r w:rsidRPr="00D52A2B">
        <w:rPr>
          <w:rtl/>
        </w:rPr>
        <w:t xml:space="preserve"> 3129/19 </w:t>
      </w:r>
      <w:r w:rsidRPr="00D52A2B">
        <w:rPr>
          <w:rFonts w:ascii="Century" w:hAnsi="Century" w:cs="Miriam" w:hint="eastAsia"/>
          <w:spacing w:val="0"/>
          <w:szCs w:val="24"/>
          <w:rtl/>
        </w:rPr>
        <w:t>זנלכל</w:t>
      </w:r>
      <w:r w:rsidRPr="00D52A2B">
        <w:rPr>
          <w:rFonts w:ascii="Century" w:hAnsi="Century" w:cs="Miriam"/>
          <w:spacing w:val="0"/>
          <w:szCs w:val="24"/>
          <w:rtl/>
        </w:rPr>
        <w:t xml:space="preserve"> </w:t>
      </w:r>
      <w:r w:rsidRPr="00D52A2B">
        <w:rPr>
          <w:rFonts w:ascii="Century" w:hAnsi="Century" w:cs="Miriam" w:hint="eastAsia"/>
          <w:spacing w:val="0"/>
          <w:szCs w:val="24"/>
          <w:rtl/>
        </w:rPr>
        <w:t>בע</w:t>
      </w:r>
      <w:r w:rsidRPr="00D52A2B">
        <w:rPr>
          <w:rFonts w:ascii="Century" w:hAnsi="Century" w:cs="Miriam"/>
          <w:spacing w:val="0"/>
          <w:szCs w:val="24"/>
          <w:rtl/>
        </w:rPr>
        <w:t>"</w:t>
      </w:r>
      <w:r w:rsidRPr="00D52A2B">
        <w:rPr>
          <w:rFonts w:ascii="Century" w:hAnsi="Century" w:cs="Miriam" w:hint="eastAsia"/>
          <w:spacing w:val="0"/>
          <w:szCs w:val="24"/>
          <w:rtl/>
        </w:rPr>
        <w:t>מ</w:t>
      </w:r>
      <w:r w:rsidRPr="00D52A2B">
        <w:rPr>
          <w:rFonts w:ascii="Century" w:hAnsi="Century" w:cs="Miriam"/>
          <w:spacing w:val="0"/>
          <w:szCs w:val="24"/>
          <w:rtl/>
        </w:rPr>
        <w:t xml:space="preserve"> </w:t>
      </w:r>
      <w:r w:rsidRPr="00D52A2B">
        <w:rPr>
          <w:rFonts w:ascii="Century" w:hAnsi="Century" w:cs="Miriam" w:hint="eastAsia"/>
          <w:spacing w:val="0"/>
          <w:szCs w:val="24"/>
          <w:rtl/>
        </w:rPr>
        <w:t>נ</w:t>
      </w:r>
      <w:r w:rsidRPr="00D52A2B">
        <w:rPr>
          <w:rFonts w:ascii="Century" w:hAnsi="Century" w:cs="Miriam"/>
          <w:spacing w:val="0"/>
          <w:szCs w:val="24"/>
          <w:rtl/>
        </w:rPr>
        <w:t xml:space="preserve">' </w:t>
      </w:r>
      <w:r w:rsidRPr="00D52A2B">
        <w:rPr>
          <w:rFonts w:ascii="Century" w:hAnsi="Century" w:cs="Miriam" w:hint="eastAsia"/>
          <w:spacing w:val="0"/>
          <w:szCs w:val="24"/>
          <w:rtl/>
        </w:rPr>
        <w:t>פקיד</w:t>
      </w:r>
      <w:r w:rsidRPr="00D52A2B">
        <w:rPr>
          <w:rFonts w:ascii="Century" w:hAnsi="Century" w:cs="Miriam"/>
          <w:spacing w:val="0"/>
          <w:szCs w:val="24"/>
          <w:rtl/>
        </w:rPr>
        <w:t xml:space="preserve"> </w:t>
      </w:r>
      <w:r w:rsidRPr="00D52A2B">
        <w:rPr>
          <w:rFonts w:ascii="Century" w:hAnsi="Century" w:cs="Miriam" w:hint="eastAsia"/>
          <w:spacing w:val="0"/>
          <w:szCs w:val="24"/>
          <w:rtl/>
        </w:rPr>
        <w:t>שומה</w:t>
      </w:r>
      <w:r w:rsidRPr="00D52A2B">
        <w:rPr>
          <w:rFonts w:ascii="Century" w:hAnsi="Century" w:cs="Miriam"/>
          <w:spacing w:val="0"/>
          <w:szCs w:val="24"/>
          <w:rtl/>
        </w:rPr>
        <w:t xml:space="preserve"> </w:t>
      </w:r>
      <w:r w:rsidRPr="00D52A2B">
        <w:rPr>
          <w:rFonts w:ascii="Century" w:hAnsi="Century" w:cs="Miriam" w:hint="eastAsia"/>
          <w:spacing w:val="0"/>
          <w:szCs w:val="24"/>
          <w:rtl/>
        </w:rPr>
        <w:t>חיפה</w:t>
      </w:r>
      <w:r>
        <w:rPr>
          <w:rtl/>
        </w:rPr>
        <w:t xml:space="preserve"> (25.8.2022))</w:t>
      </w:r>
      <w:r w:rsidRPr="00D52A2B">
        <w:rPr>
          <w:rtl/>
        </w:rPr>
        <w:t xml:space="preserve"> </w:t>
      </w:r>
      <w:r w:rsidRPr="00D52A2B">
        <w:rPr>
          <w:rFonts w:hint="eastAsia"/>
          <w:rtl/>
        </w:rPr>
        <w:t>ובכתיבה</w:t>
      </w:r>
      <w:r w:rsidRPr="00D52A2B">
        <w:rPr>
          <w:rtl/>
        </w:rPr>
        <w:t xml:space="preserve"> </w:t>
      </w:r>
      <w:r w:rsidRPr="00D52A2B">
        <w:rPr>
          <w:rFonts w:hint="eastAsia"/>
          <w:rtl/>
        </w:rPr>
        <w:t>עיונית</w:t>
      </w:r>
      <w:r w:rsidRPr="00D52A2B">
        <w:rPr>
          <w:rtl/>
        </w:rPr>
        <w:t xml:space="preserve"> (</w:t>
      </w:r>
      <w:r w:rsidRPr="00D52A2B">
        <w:rPr>
          <w:rFonts w:hint="eastAsia"/>
          <w:rtl/>
        </w:rPr>
        <w:t>ראו</w:t>
      </w:r>
      <w:r w:rsidRPr="00D52A2B">
        <w:rPr>
          <w:rtl/>
        </w:rPr>
        <w:t xml:space="preserve">: </w:t>
      </w:r>
      <w:r w:rsidRPr="00D52A2B">
        <w:rPr>
          <w:rFonts w:asciiTheme="majorBidi" w:hAnsiTheme="majorBidi" w:cstheme="majorBidi"/>
        </w:rPr>
        <w:t xml:space="preserve">Alex Stein, </w:t>
      </w:r>
      <w:r w:rsidRPr="00D52A2B">
        <w:rPr>
          <w:rFonts w:asciiTheme="majorBidi" w:hAnsiTheme="majorBidi" w:cstheme="majorBidi"/>
          <w:i/>
          <w:iCs/>
        </w:rPr>
        <w:t>Probabilism in Legal Interpretation</w:t>
      </w:r>
      <w:r w:rsidRPr="00EB6D73">
        <w:rPr>
          <w:rFonts w:asciiTheme="majorBidi" w:hAnsiTheme="majorBidi" w:cstheme="majorBidi"/>
        </w:rPr>
        <w:t xml:space="preserve">, 107 </w:t>
      </w:r>
      <w:r w:rsidRPr="00EB6D73">
        <w:rPr>
          <w:rFonts w:asciiTheme="majorBidi" w:hAnsiTheme="majorBidi" w:cstheme="majorBidi"/>
          <w:smallCaps/>
        </w:rPr>
        <w:t>Iowa L. Rev.</w:t>
      </w:r>
      <w:r w:rsidRPr="00EB6D73">
        <w:rPr>
          <w:rFonts w:asciiTheme="majorBidi" w:hAnsiTheme="majorBidi" w:cstheme="majorBidi"/>
        </w:rPr>
        <w:t xml:space="preserve"> 1389 (2022)</w:t>
      </w:r>
      <w:r>
        <w:rPr>
          <w:rFonts w:hint="cs"/>
          <w:rtl/>
        </w:rPr>
        <w:t xml:space="preserve"> (להלן: </w:t>
      </w:r>
      <w:r w:rsidRPr="00EB6D73">
        <w:rPr>
          <w:rFonts w:asciiTheme="majorBidi" w:hAnsiTheme="majorBidi" w:cstheme="majorBidi"/>
          <w:i/>
          <w:iCs/>
        </w:rPr>
        <w:t>Probabilism in Interpretation</w:t>
      </w:r>
      <w:r w:rsidRPr="00EB6D73">
        <w:rPr>
          <w:rFonts w:ascii="Century" w:hAnsi="Century" w:hint="cs"/>
          <w:sz w:val="22"/>
          <w:rtl/>
        </w:rPr>
        <w:t>)</w:t>
      </w:r>
      <w:r>
        <w:rPr>
          <w:rFonts w:hint="cs"/>
          <w:rtl/>
        </w:rPr>
        <w:t xml:space="preserve">). גישה זו נטועה במסורת הפוזיטיביסטית </w:t>
      </w:r>
      <w:r w:rsidRPr="0046082C">
        <w:rPr>
          <w:rFonts w:ascii="Century" w:hAnsi="Century"/>
          <w:sz w:val="22"/>
          <w:rtl/>
        </w:rPr>
        <w:t>(ראו:</w:t>
      </w:r>
      <w:r w:rsidRPr="0046082C">
        <w:rPr>
          <w:rFonts w:ascii="FrankRuehl" w:hAnsi="FrankRuehl" w:hint="cs"/>
          <w:color w:val="222222"/>
          <w:spacing w:val="0"/>
          <w:sz w:val="28"/>
          <w:rtl/>
        </w:rPr>
        <w:t xml:space="preserve"> </w:t>
      </w:r>
      <w:r w:rsidRPr="0046082C">
        <w:rPr>
          <w:rFonts w:asciiTheme="majorBidi" w:hAnsiTheme="majorBidi" w:cstheme="majorBidi"/>
        </w:rPr>
        <w:t xml:space="preserve">H.L.A. Hart, </w:t>
      </w:r>
      <w:r w:rsidRPr="0046082C">
        <w:rPr>
          <w:rFonts w:asciiTheme="majorBidi" w:hAnsiTheme="majorBidi" w:cstheme="majorBidi"/>
          <w:i/>
          <w:iCs/>
        </w:rPr>
        <w:t>Positivism and the Separation of Law and Morals</w:t>
      </w:r>
      <w:r w:rsidRPr="0046082C">
        <w:rPr>
          <w:rFonts w:asciiTheme="majorBidi" w:hAnsiTheme="majorBidi" w:cstheme="majorBidi"/>
        </w:rPr>
        <w:t xml:space="preserve">, 71 </w:t>
      </w:r>
      <w:r w:rsidRPr="0046082C">
        <w:rPr>
          <w:rFonts w:asciiTheme="majorBidi" w:hAnsiTheme="majorBidi" w:cstheme="majorBidi"/>
          <w:smallCaps/>
        </w:rPr>
        <w:t>Harv. L. Rev.</w:t>
      </w:r>
      <w:r w:rsidRPr="0046082C">
        <w:rPr>
          <w:rFonts w:asciiTheme="majorBidi" w:hAnsiTheme="majorBidi" w:cstheme="majorBidi"/>
        </w:rPr>
        <w:t xml:space="preserve"> 593 (1958)</w:t>
      </w:r>
      <w:r>
        <w:rPr>
          <w:rFonts w:ascii="FrankRuehl" w:hAnsi="FrankRuehl" w:hint="cs"/>
          <w:color w:val="222222"/>
          <w:spacing w:val="0"/>
          <w:sz w:val="28"/>
          <w:rtl/>
        </w:rPr>
        <w:t xml:space="preserve"> (להלן: </w:t>
      </w:r>
      <w:r w:rsidRPr="0046082C">
        <w:rPr>
          <w:rFonts w:asciiTheme="majorBidi" w:hAnsiTheme="majorBidi" w:cstheme="majorBidi"/>
          <w:i/>
          <w:iCs/>
          <w:color w:val="222222"/>
          <w:spacing w:val="0"/>
          <w:szCs w:val="24"/>
        </w:rPr>
        <w:t xml:space="preserve">Separation of Law </w:t>
      </w:r>
      <w:r>
        <w:rPr>
          <w:rFonts w:asciiTheme="majorBidi" w:hAnsiTheme="majorBidi" w:cstheme="majorBidi"/>
          <w:i/>
          <w:iCs/>
          <w:color w:val="222222"/>
          <w:spacing w:val="0"/>
          <w:szCs w:val="24"/>
        </w:rPr>
        <w:t>and</w:t>
      </w:r>
      <w:r w:rsidRPr="0046082C">
        <w:rPr>
          <w:rFonts w:asciiTheme="majorBidi" w:hAnsiTheme="majorBidi" w:cstheme="majorBidi"/>
          <w:i/>
          <w:iCs/>
          <w:color w:val="222222"/>
          <w:spacing w:val="0"/>
          <w:szCs w:val="24"/>
        </w:rPr>
        <w:t xml:space="preserve"> Morals</w:t>
      </w:r>
      <w:r>
        <w:rPr>
          <w:rFonts w:ascii="FrankRuehl" w:hAnsi="FrankRuehl" w:hint="cs"/>
          <w:color w:val="222222"/>
          <w:spacing w:val="0"/>
          <w:sz w:val="28"/>
          <w:rtl/>
        </w:rPr>
        <w:t>)),</w:t>
      </w:r>
      <w:r>
        <w:rPr>
          <w:rFonts w:hint="cs"/>
          <w:rtl/>
        </w:rPr>
        <w:t xml:space="preserve"> ואיני רואה כל סיבה לסטות ממנה כאן ובכלל.</w:t>
      </w:r>
    </w:p>
    <w:p w:rsidR="0047626A" w:rsidRPr="002C060A" w:rsidRDefault="0047626A" w:rsidP="0047626A">
      <w:pPr>
        <w:pStyle w:val="Ruller41"/>
      </w:pPr>
    </w:p>
    <w:p w:rsidR="0047626A" w:rsidRDefault="0047626A" w:rsidP="0047626A">
      <w:pPr>
        <w:pStyle w:val="Ruller4"/>
        <w:rPr>
          <w:rtl/>
        </w:rPr>
      </w:pPr>
      <w:r>
        <w:rPr>
          <w:rFonts w:hint="cs"/>
          <w:rtl/>
        </w:rPr>
        <w:lastRenderedPageBreak/>
        <w:t xml:space="preserve">הנני מודע לכך שגישתי לא תהלום את </w:t>
      </w:r>
      <w:r w:rsidRPr="00082A89">
        <w:rPr>
          <w:rFonts w:ascii="Century" w:hAnsi="Century" w:cs="Miriam" w:hint="cs"/>
          <w:b/>
          <w:spacing w:val="0"/>
          <w:sz w:val="22"/>
          <w:szCs w:val="24"/>
          <w:rtl/>
        </w:rPr>
        <w:t>כל</w:t>
      </w:r>
      <w:r>
        <w:rPr>
          <w:rFonts w:hint="cs"/>
          <w:rtl/>
        </w:rPr>
        <w:t xml:space="preserve"> התקדימים החוקתיים הקיימים ואת כל האמירות השיפוטיות באשר לתוכנם של דיני החוקה הנהוגים בישראל. המותב הנוכחי הוא מותב מיוחד במינו, אשר התכנס, בין היתר, כדי לעשות סדר בדינים אלו ולשוות להם יציבות למשך שנים ארוכות. לטעמי, מטרה זו תושג רק אם נשכיל לעגן את דיני החוקה של מדינתנו בעובדות שמשקפות את האמת לאמיתה באשר לשאלת ההסמכה ולכל שאר השאלות שתעמודנה לדיון. "ערכי היסוד" שאין להם עיגון בעובדות אינם בגדר "דין"; וכך הוא גם לגבי מושגים אמורפיים כמו "רצון העם" ו"דמוקרטיה" אשר ניתנים למספר פירושים ואשר אינם מגדירים </w:t>
      </w:r>
      <w:r>
        <w:rPr>
          <w:rtl/>
        </w:rPr>
        <w:t>–</w:t>
      </w:r>
      <w:r>
        <w:rPr>
          <w:rFonts w:hint="cs"/>
          <w:rtl/>
        </w:rPr>
        <w:t xml:space="preserve"> ואף אינם מתיימרים להגדיר </w:t>
      </w:r>
      <w:r>
        <w:rPr>
          <w:rtl/>
        </w:rPr>
        <w:t>–</w:t>
      </w:r>
      <w:r>
        <w:rPr>
          <w:rFonts w:hint="cs"/>
          <w:rtl/>
        </w:rPr>
        <w:t xml:space="preserve"> את היקפן של סמכויות החקיקה שנמסרו לכנסת.</w:t>
      </w:r>
    </w:p>
    <w:p w:rsidR="0047626A" w:rsidRPr="00EB6D73" w:rsidRDefault="0047626A" w:rsidP="0047626A">
      <w:pPr>
        <w:pStyle w:val="Ruller41"/>
      </w:pPr>
    </w:p>
    <w:p w:rsidR="0047626A" w:rsidRDefault="0047626A" w:rsidP="0047626A">
      <w:pPr>
        <w:pStyle w:val="Ruller41"/>
        <w:rPr>
          <w:rFonts w:ascii="Century" w:hAnsi="Century" w:cs="Miriam"/>
          <w:b/>
          <w:spacing w:val="0"/>
          <w:szCs w:val="24"/>
          <w:rtl/>
        </w:rPr>
      </w:pPr>
      <w:r w:rsidRPr="00860C07">
        <w:rPr>
          <w:rFonts w:ascii="Century" w:hAnsi="Century" w:cs="Miriam" w:hint="cs"/>
          <w:b/>
          <w:spacing w:val="0"/>
          <w:szCs w:val="24"/>
          <w:rtl/>
        </w:rPr>
        <w:t xml:space="preserve">האם בידי הכנסת נתונה הסמכות לחוקק </w:t>
      </w:r>
      <w:r w:rsidRPr="000714B6">
        <w:rPr>
          <w:rFonts w:ascii="Century" w:hAnsi="Century" w:cs="Miriam" w:hint="cs"/>
          <w:b/>
          <w:spacing w:val="0"/>
          <w:szCs w:val="24"/>
          <w:rtl/>
        </w:rPr>
        <w:t xml:space="preserve">כל חוק </w:t>
      </w:r>
      <w:r w:rsidRPr="00860C07">
        <w:rPr>
          <w:rFonts w:ascii="Century" w:hAnsi="Century" w:cs="Miriam" w:hint="cs"/>
          <w:b/>
          <w:spacing w:val="0"/>
          <w:szCs w:val="24"/>
          <w:rtl/>
        </w:rPr>
        <w:t>מכל סיבה שתמצא לנכון, כל אימת שהחוק אינו מנוגד לחוקי היסוד?</w:t>
      </w:r>
      <w:r>
        <w:rPr>
          <w:rFonts w:ascii="Century" w:hAnsi="Century" w:cs="Miriam" w:hint="cs"/>
          <w:b/>
          <w:spacing w:val="0"/>
          <w:szCs w:val="24"/>
          <w:rtl/>
        </w:rPr>
        <w:t xml:space="preserve"> </w:t>
      </w:r>
    </w:p>
    <w:p w:rsidR="0047626A" w:rsidRDefault="0047626A" w:rsidP="0047626A">
      <w:pPr>
        <w:pStyle w:val="Ruller41"/>
        <w:rPr>
          <w:rFonts w:ascii="Century" w:hAnsi="Century" w:cs="Miriam"/>
          <w:b/>
          <w:spacing w:val="0"/>
          <w:szCs w:val="24"/>
          <w:rtl/>
        </w:rPr>
      </w:pPr>
    </w:p>
    <w:p w:rsidR="0047626A" w:rsidRPr="00860C07" w:rsidRDefault="0047626A" w:rsidP="0047626A">
      <w:pPr>
        <w:pStyle w:val="Ruller41"/>
        <w:rPr>
          <w:rFonts w:ascii="Century" w:hAnsi="Century" w:cs="Miriam"/>
          <w:b/>
          <w:spacing w:val="0"/>
          <w:szCs w:val="24"/>
          <w:rtl/>
        </w:rPr>
      </w:pPr>
      <w:r>
        <w:rPr>
          <w:rFonts w:ascii="Century" w:hAnsi="Century" w:cs="Miriam" w:hint="cs"/>
          <w:b/>
          <w:spacing w:val="0"/>
          <w:szCs w:val="24"/>
          <w:rtl/>
        </w:rPr>
        <w:t>מהו היקף סמכותה של הכנסת לכונן חוקי יסוד?</w:t>
      </w:r>
    </w:p>
    <w:p w:rsidR="0047626A" w:rsidRDefault="0047626A" w:rsidP="0047626A">
      <w:pPr>
        <w:pStyle w:val="Ruller41"/>
        <w:rPr>
          <w:rFonts w:ascii="Century" w:hAnsi="Century"/>
          <w:rtl/>
        </w:rPr>
      </w:pPr>
    </w:p>
    <w:p w:rsidR="0047626A" w:rsidRPr="007B10A5" w:rsidRDefault="0047626A" w:rsidP="0047626A">
      <w:pPr>
        <w:pStyle w:val="Ruller4"/>
      </w:pPr>
      <w:r w:rsidRPr="007B10A5">
        <w:rPr>
          <w:rFonts w:hint="cs"/>
          <w:rtl/>
        </w:rPr>
        <w:t>למיטב ידיעתי, שאל</w:t>
      </w:r>
      <w:r>
        <w:rPr>
          <w:rFonts w:hint="cs"/>
          <w:rtl/>
        </w:rPr>
        <w:t xml:space="preserve">ות </w:t>
      </w:r>
      <w:r w:rsidRPr="007B10A5">
        <w:rPr>
          <w:rFonts w:hint="cs"/>
          <w:rtl/>
        </w:rPr>
        <w:t>יסודי</w:t>
      </w:r>
      <w:r>
        <w:rPr>
          <w:rFonts w:hint="cs"/>
          <w:rtl/>
        </w:rPr>
        <w:t>ו</w:t>
      </w:r>
      <w:r w:rsidRPr="007B10A5">
        <w:rPr>
          <w:rFonts w:hint="cs"/>
          <w:rtl/>
        </w:rPr>
        <w:t xml:space="preserve">ת </w:t>
      </w:r>
      <w:r>
        <w:rPr>
          <w:rFonts w:hint="cs"/>
          <w:rtl/>
        </w:rPr>
        <w:t>אלה</w:t>
      </w:r>
      <w:r w:rsidRPr="007B10A5">
        <w:rPr>
          <w:rFonts w:hint="cs"/>
          <w:rtl/>
        </w:rPr>
        <w:t xml:space="preserve"> טרם נדונ</w:t>
      </w:r>
      <w:r>
        <w:rPr>
          <w:rFonts w:hint="cs"/>
          <w:rtl/>
        </w:rPr>
        <w:t>ו לגופן</w:t>
      </w:r>
      <w:r w:rsidRPr="007B10A5">
        <w:rPr>
          <w:rFonts w:hint="cs"/>
          <w:rtl/>
        </w:rPr>
        <w:t xml:space="preserve">, </w:t>
      </w:r>
      <w:r>
        <w:rPr>
          <w:rFonts w:hint="cs"/>
          <w:rtl/>
        </w:rPr>
        <w:t xml:space="preserve">במלוא היקפן; </w:t>
      </w:r>
      <w:r w:rsidRPr="007B10A5">
        <w:rPr>
          <w:rFonts w:hint="cs"/>
          <w:rtl/>
        </w:rPr>
        <w:t>וכתוצאה מכך</w:t>
      </w:r>
      <w:r>
        <w:rPr>
          <w:rFonts w:hint="cs"/>
          <w:rtl/>
        </w:rPr>
        <w:t>,</w:t>
      </w:r>
      <w:r w:rsidRPr="007B10A5">
        <w:rPr>
          <w:rFonts w:hint="cs"/>
          <w:rtl/>
        </w:rPr>
        <w:t xml:space="preserve"> טרם הוכרע</w:t>
      </w:r>
      <w:r>
        <w:rPr>
          <w:rFonts w:hint="cs"/>
          <w:rtl/>
        </w:rPr>
        <w:t>ו</w:t>
      </w:r>
      <w:r w:rsidRPr="007B10A5">
        <w:rPr>
          <w:rFonts w:hint="cs"/>
          <w:rtl/>
        </w:rPr>
        <w:t xml:space="preserve"> </w:t>
      </w:r>
      <w:r w:rsidRPr="000871DC">
        <w:rPr>
          <w:rFonts w:hint="eastAsia"/>
          <w:rtl/>
        </w:rPr>
        <w:t>בפסיקתנו</w:t>
      </w:r>
      <w:r w:rsidRPr="000871DC">
        <w:rPr>
          <w:rtl/>
        </w:rPr>
        <w:t xml:space="preserve">. </w:t>
      </w:r>
      <w:r w:rsidRPr="000871DC">
        <w:rPr>
          <w:rFonts w:hint="eastAsia"/>
          <w:rtl/>
        </w:rPr>
        <w:t>שאל</w:t>
      </w:r>
      <w:r>
        <w:rPr>
          <w:rFonts w:hint="cs"/>
          <w:rtl/>
        </w:rPr>
        <w:t>ות אלה</w:t>
      </w:r>
      <w:r w:rsidRPr="000871DC">
        <w:rPr>
          <w:rtl/>
        </w:rPr>
        <w:t xml:space="preserve"> </w:t>
      </w:r>
      <w:r w:rsidRPr="000871DC">
        <w:rPr>
          <w:rFonts w:hint="eastAsia"/>
          <w:rtl/>
        </w:rPr>
        <w:t>בצבצ</w:t>
      </w:r>
      <w:r>
        <w:rPr>
          <w:rFonts w:hint="cs"/>
          <w:rtl/>
        </w:rPr>
        <w:t>ו</w:t>
      </w:r>
      <w:r w:rsidRPr="000871DC">
        <w:rPr>
          <w:rtl/>
        </w:rPr>
        <w:t xml:space="preserve"> </w:t>
      </w:r>
      <w:r w:rsidRPr="000871DC">
        <w:rPr>
          <w:rFonts w:hint="eastAsia"/>
          <w:rtl/>
        </w:rPr>
        <w:t>בין</w:t>
      </w:r>
      <w:r w:rsidRPr="000871DC">
        <w:rPr>
          <w:rtl/>
        </w:rPr>
        <w:t xml:space="preserve"> </w:t>
      </w:r>
      <w:r w:rsidRPr="000871DC">
        <w:rPr>
          <w:rFonts w:hint="eastAsia"/>
          <w:rtl/>
        </w:rPr>
        <w:t>שורותיו</w:t>
      </w:r>
      <w:r w:rsidRPr="000871DC">
        <w:rPr>
          <w:rtl/>
        </w:rPr>
        <w:t xml:space="preserve"> </w:t>
      </w:r>
      <w:r w:rsidRPr="000871DC">
        <w:rPr>
          <w:rFonts w:hint="eastAsia"/>
          <w:rtl/>
        </w:rPr>
        <w:t>של</w:t>
      </w:r>
      <w:r w:rsidRPr="000871DC">
        <w:rPr>
          <w:rtl/>
        </w:rPr>
        <w:t xml:space="preserve"> </w:t>
      </w:r>
      <w:r w:rsidRPr="000871DC">
        <w:rPr>
          <w:rFonts w:hint="eastAsia"/>
          <w:rtl/>
        </w:rPr>
        <w:t>פסק</w:t>
      </w:r>
      <w:r w:rsidRPr="000871DC">
        <w:rPr>
          <w:rtl/>
        </w:rPr>
        <w:t xml:space="preserve"> </w:t>
      </w:r>
      <w:r w:rsidRPr="000871DC">
        <w:rPr>
          <w:rFonts w:hint="eastAsia"/>
          <w:rtl/>
        </w:rPr>
        <w:t>הדין</w:t>
      </w:r>
      <w:r w:rsidRPr="000871DC">
        <w:rPr>
          <w:rtl/>
        </w:rPr>
        <w:t xml:space="preserve"> </w:t>
      </w:r>
      <w:r w:rsidRPr="000871DC">
        <w:rPr>
          <w:rFonts w:hint="eastAsia"/>
          <w:rtl/>
        </w:rPr>
        <w:t>החוקתי</w:t>
      </w:r>
      <w:r w:rsidRPr="000871DC">
        <w:rPr>
          <w:rtl/>
        </w:rPr>
        <w:t xml:space="preserve"> </w:t>
      </w:r>
      <w:r w:rsidRPr="000871DC">
        <w:rPr>
          <w:rFonts w:hint="eastAsia"/>
          <w:rtl/>
        </w:rPr>
        <w:t>המייסד</w:t>
      </w:r>
      <w:r w:rsidRPr="000871DC">
        <w:rPr>
          <w:rtl/>
        </w:rPr>
        <w:t xml:space="preserve"> </w:t>
      </w:r>
      <w:r w:rsidRPr="000871DC">
        <w:rPr>
          <w:rFonts w:hint="eastAsia"/>
          <w:rtl/>
        </w:rPr>
        <w:t>בעניין</w:t>
      </w:r>
      <w:r w:rsidRPr="000871DC">
        <w:rPr>
          <w:rtl/>
        </w:rPr>
        <w:t xml:space="preserve"> </w:t>
      </w:r>
      <w:r w:rsidRPr="000871DC">
        <w:rPr>
          <w:rFonts w:ascii="Century" w:hAnsi="Century" w:cs="Miriam" w:hint="eastAsia"/>
          <w:b/>
          <w:spacing w:val="0"/>
          <w:sz w:val="22"/>
          <w:szCs w:val="24"/>
          <w:rtl/>
        </w:rPr>
        <w:t>בנק</w:t>
      </w:r>
      <w:r w:rsidRPr="000871DC">
        <w:rPr>
          <w:rFonts w:ascii="Century" w:hAnsi="Century" w:cs="Miriam"/>
          <w:b/>
          <w:spacing w:val="0"/>
          <w:sz w:val="22"/>
          <w:szCs w:val="24"/>
          <w:rtl/>
        </w:rPr>
        <w:t xml:space="preserve"> </w:t>
      </w:r>
      <w:r>
        <w:rPr>
          <w:rFonts w:ascii="Century" w:hAnsi="Century" w:cs="Miriam" w:hint="cs"/>
          <w:b/>
          <w:spacing w:val="0"/>
          <w:sz w:val="22"/>
          <w:szCs w:val="24"/>
          <w:rtl/>
        </w:rPr>
        <w:t>ה</w:t>
      </w:r>
      <w:r w:rsidRPr="000871DC">
        <w:rPr>
          <w:rFonts w:ascii="Century" w:hAnsi="Century" w:cs="Miriam" w:hint="eastAsia"/>
          <w:b/>
          <w:spacing w:val="0"/>
          <w:sz w:val="22"/>
          <w:szCs w:val="24"/>
          <w:rtl/>
        </w:rPr>
        <w:t>מזרחי</w:t>
      </w:r>
      <w:r w:rsidRPr="007B10A5">
        <w:rPr>
          <w:rFonts w:ascii="FrankRuehl" w:hAnsi="FrankRuehl" w:hint="cs"/>
          <w:color w:val="222222"/>
          <w:spacing w:val="0"/>
          <w:sz w:val="28"/>
          <w:rtl/>
        </w:rPr>
        <w:t xml:space="preserve">, </w:t>
      </w:r>
      <w:r>
        <w:rPr>
          <w:rFonts w:ascii="FrankRuehl" w:hAnsi="FrankRuehl" w:hint="cs"/>
          <w:color w:val="222222"/>
          <w:spacing w:val="0"/>
          <w:sz w:val="28"/>
          <w:rtl/>
        </w:rPr>
        <w:t>וכן</w:t>
      </w:r>
      <w:r>
        <w:rPr>
          <w:rFonts w:hint="cs"/>
          <w:rtl/>
        </w:rPr>
        <w:t xml:space="preserve"> בפסיקה שעניינה "שימוש לרעה בסמכות מכוננת" (ראו: בג"ץ 8260/16 </w:t>
      </w:r>
      <w:r>
        <w:rPr>
          <w:rFonts w:ascii="Century" w:hAnsi="Century" w:cs="Miriam" w:hint="cs"/>
          <w:b/>
          <w:spacing w:val="0"/>
          <w:sz w:val="22"/>
          <w:szCs w:val="24"/>
          <w:rtl/>
        </w:rPr>
        <w:t>המרכז האקדמי למשפט ולעסקים נ' כנסת ישראל</w:t>
      </w:r>
      <w:r>
        <w:rPr>
          <w:rFonts w:ascii="Century" w:hAnsi="Century" w:hint="cs"/>
          <w:sz w:val="22"/>
          <w:rtl/>
        </w:rPr>
        <w:t xml:space="preserve"> פסקאות כד-ל לפסק דינו של המשנה לנשיאה </w:t>
      </w:r>
      <w:r w:rsidRPr="008E0586">
        <w:rPr>
          <w:rFonts w:ascii="Century" w:hAnsi="Century" w:cs="Miriam" w:hint="eastAsia"/>
          <w:b/>
          <w:spacing w:val="0"/>
          <w:sz w:val="22"/>
          <w:szCs w:val="24"/>
          <w:rtl/>
        </w:rPr>
        <w:t>א</w:t>
      </w:r>
      <w:r w:rsidRPr="008E0586">
        <w:rPr>
          <w:rFonts w:ascii="Century" w:hAnsi="Century" w:cs="Miriam"/>
          <w:b/>
          <w:spacing w:val="0"/>
          <w:sz w:val="22"/>
          <w:szCs w:val="24"/>
          <w:rtl/>
        </w:rPr>
        <w:t xml:space="preserve">' </w:t>
      </w:r>
      <w:r w:rsidRPr="008E0586">
        <w:rPr>
          <w:rFonts w:ascii="Century" w:hAnsi="Century" w:cs="Miriam" w:hint="eastAsia"/>
          <w:b/>
          <w:spacing w:val="0"/>
          <w:sz w:val="22"/>
          <w:szCs w:val="24"/>
          <w:rtl/>
        </w:rPr>
        <w:t>רובינשטיין</w:t>
      </w:r>
      <w:r>
        <w:rPr>
          <w:rFonts w:ascii="Century" w:hAnsi="Century" w:hint="cs"/>
          <w:sz w:val="22"/>
          <w:rtl/>
        </w:rPr>
        <w:t xml:space="preserve"> (6.9.2017);</w:t>
      </w:r>
      <w:r>
        <w:rPr>
          <w:rFonts w:hint="cs"/>
          <w:rtl/>
        </w:rPr>
        <w:t xml:space="preserve"> ובג"ץ </w:t>
      </w:r>
      <w:r w:rsidRPr="00806C7D">
        <w:rPr>
          <w:rFonts w:hint="cs"/>
          <w:rtl/>
        </w:rPr>
        <w:t xml:space="preserve">5969/20 </w:t>
      </w:r>
      <w:r w:rsidRPr="00806C7D">
        <w:rPr>
          <w:rFonts w:ascii="Century" w:hAnsi="Century" w:cs="Miriam" w:hint="cs"/>
          <w:b/>
          <w:spacing w:val="0"/>
          <w:sz w:val="22"/>
          <w:szCs w:val="24"/>
          <w:rtl/>
        </w:rPr>
        <w:t>שפיר נ' הכנסת</w:t>
      </w:r>
      <w:r w:rsidRPr="008E0586">
        <w:rPr>
          <w:rFonts w:ascii="Century" w:hAnsi="Century"/>
          <w:sz w:val="22"/>
          <w:rtl/>
        </w:rPr>
        <w:t xml:space="preserve">, </w:t>
      </w:r>
      <w:r w:rsidRPr="008E0586">
        <w:rPr>
          <w:rFonts w:ascii="Century" w:hAnsi="Century" w:hint="eastAsia"/>
          <w:sz w:val="22"/>
          <w:rtl/>
        </w:rPr>
        <w:t>פסקאות</w:t>
      </w:r>
      <w:r w:rsidRPr="008E0586">
        <w:rPr>
          <w:rFonts w:ascii="Century" w:hAnsi="Century"/>
          <w:sz w:val="22"/>
          <w:rtl/>
        </w:rPr>
        <w:t xml:space="preserve"> 45-33 </w:t>
      </w:r>
      <w:r w:rsidRPr="008E0586">
        <w:rPr>
          <w:rFonts w:ascii="Century" w:hAnsi="Century" w:hint="eastAsia"/>
          <w:sz w:val="22"/>
          <w:rtl/>
        </w:rPr>
        <w:t>לפסק</w:t>
      </w:r>
      <w:r w:rsidRPr="008E0586">
        <w:rPr>
          <w:rFonts w:ascii="Century" w:hAnsi="Century"/>
          <w:sz w:val="22"/>
          <w:rtl/>
        </w:rPr>
        <w:t xml:space="preserve"> </w:t>
      </w:r>
      <w:r w:rsidRPr="008E0586">
        <w:rPr>
          <w:rFonts w:ascii="Century" w:hAnsi="Century" w:hint="eastAsia"/>
          <w:sz w:val="22"/>
          <w:rtl/>
        </w:rPr>
        <w:t>דינה</w:t>
      </w:r>
      <w:r w:rsidRPr="008E0586">
        <w:rPr>
          <w:rFonts w:ascii="Century" w:hAnsi="Century"/>
          <w:sz w:val="22"/>
          <w:rtl/>
        </w:rPr>
        <w:t xml:space="preserve"> </w:t>
      </w:r>
      <w:r w:rsidRPr="008E0586">
        <w:rPr>
          <w:rFonts w:ascii="Century" w:hAnsi="Century" w:hint="eastAsia"/>
          <w:sz w:val="22"/>
          <w:rtl/>
        </w:rPr>
        <w:t>של</w:t>
      </w:r>
      <w:r w:rsidRPr="008E0586">
        <w:rPr>
          <w:rFonts w:ascii="Century" w:hAnsi="Century"/>
          <w:sz w:val="22"/>
          <w:rtl/>
        </w:rPr>
        <w:t xml:space="preserve"> </w:t>
      </w:r>
      <w:r w:rsidRPr="008E0586">
        <w:rPr>
          <w:rFonts w:ascii="Century" w:hAnsi="Century" w:hint="eastAsia"/>
          <w:sz w:val="22"/>
          <w:rtl/>
        </w:rPr>
        <w:t>הנשיאה</w:t>
      </w:r>
      <w:r>
        <w:rPr>
          <w:rFonts w:ascii="Century" w:hAnsi="Century" w:cs="Miriam" w:hint="cs"/>
          <w:b/>
          <w:spacing w:val="0"/>
          <w:sz w:val="22"/>
          <w:szCs w:val="24"/>
          <w:rtl/>
        </w:rPr>
        <w:t xml:space="preserve"> א' חיות</w:t>
      </w:r>
      <w:r w:rsidRPr="00806C7D">
        <w:rPr>
          <w:rFonts w:ascii="Century" w:hAnsi="Century" w:cs="Miriam" w:hint="cs"/>
          <w:b/>
          <w:spacing w:val="0"/>
          <w:sz w:val="22"/>
          <w:szCs w:val="24"/>
          <w:rtl/>
        </w:rPr>
        <w:t xml:space="preserve"> </w:t>
      </w:r>
      <w:r>
        <w:rPr>
          <w:rFonts w:ascii="Century" w:hAnsi="Century" w:hint="cs"/>
          <w:sz w:val="22"/>
          <w:rtl/>
        </w:rPr>
        <w:t xml:space="preserve">ופסקאות 15-5 לפסק דינה של השופטת </w:t>
      </w:r>
      <w:r w:rsidRPr="008E0586">
        <w:rPr>
          <w:rFonts w:ascii="Century" w:hAnsi="Century" w:cs="Miriam" w:hint="eastAsia"/>
          <w:b/>
          <w:spacing w:val="0"/>
          <w:sz w:val="22"/>
          <w:szCs w:val="24"/>
          <w:rtl/>
        </w:rPr>
        <w:t>ד</w:t>
      </w:r>
      <w:r w:rsidRPr="008E0586">
        <w:rPr>
          <w:rFonts w:ascii="Century" w:hAnsi="Century" w:cs="Miriam"/>
          <w:b/>
          <w:spacing w:val="0"/>
          <w:sz w:val="22"/>
          <w:szCs w:val="24"/>
          <w:rtl/>
        </w:rPr>
        <w:t xml:space="preserve">' </w:t>
      </w:r>
      <w:r w:rsidRPr="008E0586">
        <w:rPr>
          <w:rFonts w:ascii="Century" w:hAnsi="Century" w:cs="Miriam" w:hint="eastAsia"/>
          <w:b/>
          <w:spacing w:val="0"/>
          <w:sz w:val="22"/>
          <w:szCs w:val="24"/>
          <w:rtl/>
        </w:rPr>
        <w:t>ברק</w:t>
      </w:r>
      <w:r>
        <w:rPr>
          <w:rFonts w:ascii="Century" w:hAnsi="Century" w:cs="Miriam" w:hint="cs"/>
          <w:b/>
          <w:spacing w:val="0"/>
          <w:sz w:val="22"/>
          <w:szCs w:val="24"/>
          <w:rtl/>
        </w:rPr>
        <w:t>-</w:t>
      </w:r>
      <w:r w:rsidRPr="008E0586">
        <w:rPr>
          <w:rFonts w:ascii="Century" w:hAnsi="Century" w:cs="Miriam" w:hint="eastAsia"/>
          <w:b/>
          <w:spacing w:val="0"/>
          <w:sz w:val="22"/>
          <w:szCs w:val="24"/>
          <w:rtl/>
        </w:rPr>
        <w:t>ארז</w:t>
      </w:r>
      <w:r>
        <w:rPr>
          <w:rFonts w:ascii="Century" w:hAnsi="Century" w:hint="cs"/>
          <w:sz w:val="22"/>
          <w:rtl/>
        </w:rPr>
        <w:t xml:space="preserve"> </w:t>
      </w:r>
      <w:r w:rsidRPr="00806C7D">
        <w:rPr>
          <w:rFonts w:ascii="Century" w:hAnsi="Century" w:hint="cs"/>
          <w:sz w:val="22"/>
          <w:rtl/>
        </w:rPr>
        <w:t>(23.5.2021</w:t>
      </w:r>
      <w:r>
        <w:rPr>
          <w:rFonts w:ascii="Century" w:hAnsi="Century" w:hint="cs"/>
          <w:sz w:val="22"/>
          <w:rtl/>
        </w:rPr>
        <w:t>)</w:t>
      </w:r>
      <w:r>
        <w:rPr>
          <w:rFonts w:hint="cs"/>
          <w:rtl/>
        </w:rPr>
        <w:t>), אולם גם פסקי דין אלה הותירו אותן ללא הכרעה חותכת.</w:t>
      </w:r>
    </w:p>
    <w:p w:rsidR="0047626A" w:rsidRDefault="0047626A" w:rsidP="0047626A">
      <w:pPr>
        <w:pStyle w:val="Ruller4"/>
        <w:numPr>
          <w:ilvl w:val="0"/>
          <w:numId w:val="0"/>
        </w:numPr>
        <w:rPr>
          <w:rtl/>
        </w:rPr>
      </w:pPr>
    </w:p>
    <w:p w:rsidR="0047626A" w:rsidRDefault="0047626A" w:rsidP="0047626A">
      <w:pPr>
        <w:pStyle w:val="Ruller4"/>
      </w:pPr>
      <w:r>
        <w:rPr>
          <w:rFonts w:hint="cs"/>
          <w:rtl/>
        </w:rPr>
        <w:t xml:space="preserve">הכרעה בשאלה כאמור נוגעת ליסודותיו של המשפט החוקתי שלנו </w:t>
      </w:r>
      <w:r>
        <w:rPr>
          <w:rtl/>
        </w:rPr>
        <w:t>–</w:t>
      </w:r>
      <w:r>
        <w:rPr>
          <w:rFonts w:hint="cs"/>
          <w:rtl/>
        </w:rPr>
        <w:t xml:space="preserve"> אשר עדיין נמצא בשלבי בנייה </w:t>
      </w:r>
      <w:r>
        <w:rPr>
          <w:rtl/>
        </w:rPr>
        <w:t>–</w:t>
      </w:r>
      <w:r>
        <w:rPr>
          <w:rFonts w:hint="cs"/>
          <w:rtl/>
        </w:rPr>
        <w:t xml:space="preserve"> ומכאן חשיבותן. כפי שכבר ציינתי, מדובר בשאלות של עובדה אשר מפנות את זרקורינו אל </w:t>
      </w:r>
      <w:r w:rsidRPr="00EB6D73">
        <w:rPr>
          <w:rFonts w:ascii="Century" w:hAnsi="Century" w:cs="Miriam" w:hint="cs"/>
          <w:b/>
          <w:spacing w:val="0"/>
          <w:sz w:val="22"/>
          <w:szCs w:val="24"/>
          <w:u w:val="single"/>
          <w:rtl/>
        </w:rPr>
        <w:t xml:space="preserve">אקט ההסמכה </w:t>
      </w:r>
      <w:r>
        <w:rPr>
          <w:rFonts w:ascii="Century" w:hAnsi="Century" w:cs="Miriam" w:hint="cs"/>
          <w:b/>
          <w:spacing w:val="0"/>
          <w:sz w:val="22"/>
          <w:szCs w:val="24"/>
          <w:u w:val="single"/>
          <w:rtl/>
        </w:rPr>
        <w:t xml:space="preserve">הפורמלי של הכנסת כרשות מחוקקת </w:t>
      </w:r>
      <w:r w:rsidRPr="00EB6D73">
        <w:rPr>
          <w:rFonts w:ascii="Century" w:hAnsi="Century" w:cs="Miriam" w:hint="cs"/>
          <w:b/>
          <w:spacing w:val="0"/>
          <w:sz w:val="22"/>
          <w:szCs w:val="24"/>
          <w:u w:val="single"/>
          <w:rtl/>
        </w:rPr>
        <w:t>ו</w:t>
      </w:r>
      <w:r>
        <w:rPr>
          <w:rFonts w:ascii="Century" w:hAnsi="Century" w:cs="Miriam" w:hint="cs"/>
          <w:b/>
          <w:spacing w:val="0"/>
          <w:sz w:val="22"/>
          <w:szCs w:val="24"/>
          <w:u w:val="single"/>
          <w:rtl/>
        </w:rPr>
        <w:t xml:space="preserve">אל </w:t>
      </w:r>
      <w:r w:rsidRPr="00EB6D73">
        <w:rPr>
          <w:rFonts w:ascii="Century" w:hAnsi="Century" w:cs="Miriam" w:hint="cs"/>
          <w:b/>
          <w:spacing w:val="0"/>
          <w:sz w:val="22"/>
          <w:szCs w:val="24"/>
          <w:u w:val="single"/>
          <w:rtl/>
        </w:rPr>
        <w:t>תוכנ</w:t>
      </w:r>
      <w:r>
        <w:rPr>
          <w:rFonts w:ascii="Century" w:hAnsi="Century" w:cs="Miriam" w:hint="cs"/>
          <w:b/>
          <w:spacing w:val="0"/>
          <w:sz w:val="22"/>
          <w:szCs w:val="24"/>
          <w:u w:val="single"/>
          <w:rtl/>
        </w:rPr>
        <w:t>ה של הסמכה כאמור</w:t>
      </w:r>
      <w:r>
        <w:rPr>
          <w:rFonts w:hint="cs"/>
          <w:rtl/>
        </w:rPr>
        <w:t>. מסיבה זאת, מן הראוי להגדיר שאלות אלה כשאלות שעניינן אקט ההסמכה הפורמלי; וכך אעשה.</w:t>
      </w:r>
    </w:p>
    <w:p w:rsidR="0047626A" w:rsidRDefault="0047626A" w:rsidP="0047626A">
      <w:pPr>
        <w:pStyle w:val="Ruller4"/>
        <w:numPr>
          <w:ilvl w:val="0"/>
          <w:numId w:val="0"/>
        </w:numPr>
        <w:tabs>
          <w:tab w:val="clear" w:pos="800"/>
          <w:tab w:val="left" w:pos="1541"/>
        </w:tabs>
        <w:rPr>
          <w:rtl/>
        </w:rPr>
      </w:pPr>
      <w:r>
        <w:rPr>
          <w:rtl/>
        </w:rPr>
        <w:tab/>
      </w:r>
    </w:p>
    <w:p w:rsidR="0047626A" w:rsidRPr="0070683A" w:rsidRDefault="0047626A" w:rsidP="0047626A">
      <w:pPr>
        <w:pStyle w:val="Ruller4"/>
        <w:numPr>
          <w:ilvl w:val="0"/>
          <w:numId w:val="0"/>
        </w:numPr>
        <w:rPr>
          <w:rFonts w:ascii="Century" w:hAnsi="Century" w:cs="Miriam"/>
          <w:b/>
          <w:spacing w:val="0"/>
          <w:sz w:val="22"/>
          <w:szCs w:val="24"/>
        </w:rPr>
      </w:pPr>
      <w:r w:rsidRPr="00EB6D73">
        <w:rPr>
          <w:rFonts w:ascii="Century" w:hAnsi="Century" w:cs="Miriam" w:hint="cs"/>
          <w:b/>
          <w:spacing w:val="0"/>
          <w:sz w:val="22"/>
          <w:szCs w:val="24"/>
          <w:rtl/>
        </w:rPr>
        <w:t>האם הכנסת אי-פעם קיבלה הסמכה גורפת לחוקק כל חוק</w:t>
      </w:r>
      <w:r>
        <w:rPr>
          <w:rFonts w:ascii="Century" w:hAnsi="Century" w:cs="Miriam" w:hint="cs"/>
          <w:b/>
          <w:spacing w:val="0"/>
          <w:sz w:val="22"/>
          <w:szCs w:val="24"/>
          <w:rtl/>
        </w:rPr>
        <w:t>,</w:t>
      </w:r>
      <w:r w:rsidRPr="00EB6D73">
        <w:rPr>
          <w:rFonts w:ascii="Century" w:hAnsi="Century" w:cs="Miriam" w:hint="cs"/>
          <w:b/>
          <w:spacing w:val="0"/>
          <w:sz w:val="22"/>
          <w:szCs w:val="24"/>
          <w:rtl/>
        </w:rPr>
        <w:t xml:space="preserve"> מכל סיבה שתה</w:t>
      </w:r>
      <w:r>
        <w:rPr>
          <w:rFonts w:ascii="Century" w:hAnsi="Century" w:cs="Miriam" w:hint="cs"/>
          <w:b/>
          <w:spacing w:val="0"/>
          <w:sz w:val="22"/>
          <w:szCs w:val="24"/>
          <w:rtl/>
        </w:rPr>
        <w:t>א</w:t>
      </w:r>
      <w:r w:rsidRPr="00EB6D73">
        <w:rPr>
          <w:rFonts w:ascii="Century" w:hAnsi="Century" w:cs="Miriam" w:hint="cs"/>
          <w:b/>
          <w:spacing w:val="0"/>
          <w:sz w:val="22"/>
          <w:szCs w:val="24"/>
          <w:rtl/>
        </w:rPr>
        <w:t xml:space="preserve"> טובה ב</w:t>
      </w:r>
      <w:r w:rsidRPr="0070683A">
        <w:rPr>
          <w:rFonts w:ascii="Century" w:hAnsi="Century" w:cs="Miriam" w:hint="cs"/>
          <w:b/>
          <w:spacing w:val="0"/>
          <w:sz w:val="22"/>
          <w:szCs w:val="24"/>
          <w:rtl/>
        </w:rPr>
        <w:t>עיניה, כל אימת שהחוק אינו מנוגד לאחד מ</w:t>
      </w:r>
      <w:r>
        <w:rPr>
          <w:rFonts w:ascii="Century" w:hAnsi="Century" w:cs="Miriam" w:hint="cs"/>
          <w:b/>
          <w:spacing w:val="0"/>
          <w:sz w:val="22"/>
          <w:szCs w:val="24"/>
          <w:rtl/>
        </w:rPr>
        <w:t>חוקי היסוד, והאם נתונה בידה הסמכות לכונן כל חוק יסוד שתמצא לנכון?</w:t>
      </w:r>
    </w:p>
    <w:p w:rsidR="0047626A" w:rsidRPr="00A25883" w:rsidRDefault="0047626A" w:rsidP="0047626A">
      <w:pPr>
        <w:pStyle w:val="Ruller4"/>
        <w:numPr>
          <w:ilvl w:val="0"/>
          <w:numId w:val="0"/>
        </w:numPr>
      </w:pPr>
    </w:p>
    <w:p w:rsidR="0047626A" w:rsidRPr="0070683A" w:rsidRDefault="0047626A" w:rsidP="0047626A">
      <w:pPr>
        <w:pStyle w:val="Ruller4"/>
      </w:pPr>
      <w:r w:rsidRPr="001D55BD">
        <w:rPr>
          <w:rFonts w:ascii="Century" w:hAnsi="Century" w:cs="Miriam" w:hint="cs"/>
          <w:b/>
          <w:spacing w:val="0"/>
          <w:sz w:val="22"/>
          <w:szCs w:val="24"/>
          <w:rtl/>
        </w:rPr>
        <w:t>תשובתי לשאל</w:t>
      </w:r>
      <w:r>
        <w:rPr>
          <w:rFonts w:ascii="Century" w:hAnsi="Century" w:cs="Miriam" w:hint="cs"/>
          <w:b/>
          <w:spacing w:val="0"/>
          <w:sz w:val="22"/>
          <w:szCs w:val="24"/>
          <w:rtl/>
        </w:rPr>
        <w:t xml:space="preserve">ות אלה </w:t>
      </w:r>
      <w:r w:rsidRPr="001D55BD">
        <w:rPr>
          <w:rFonts w:ascii="Century" w:hAnsi="Century" w:cs="Miriam" w:hint="cs"/>
          <w:b/>
          <w:spacing w:val="0"/>
          <w:sz w:val="22"/>
          <w:szCs w:val="24"/>
          <w:rtl/>
        </w:rPr>
        <w:t xml:space="preserve">היא </w:t>
      </w:r>
      <w:r w:rsidRPr="001D55BD">
        <w:rPr>
          <w:rFonts w:ascii="Century" w:hAnsi="Century" w:cs="Miriam" w:hint="cs"/>
          <w:b/>
          <w:spacing w:val="0"/>
          <w:sz w:val="22"/>
          <w:szCs w:val="24"/>
          <w:u w:val="single"/>
          <w:rtl/>
        </w:rPr>
        <w:t>לאו מוחלט</w:t>
      </w:r>
      <w:r w:rsidRPr="0070683A">
        <w:rPr>
          <w:rFonts w:ascii="Century" w:hAnsi="Century" w:cs="Miriam"/>
          <w:b/>
          <w:spacing w:val="0"/>
          <w:sz w:val="22"/>
          <w:szCs w:val="24"/>
          <w:rtl/>
        </w:rPr>
        <w:t>.</w:t>
      </w:r>
      <w:r w:rsidRPr="0070683A">
        <w:rPr>
          <w:rtl/>
        </w:rPr>
        <w:t xml:space="preserve"> </w:t>
      </w:r>
    </w:p>
    <w:p w:rsidR="0047626A" w:rsidRPr="009642CE" w:rsidRDefault="0047626A" w:rsidP="0047626A">
      <w:pPr>
        <w:pStyle w:val="Ruller41"/>
      </w:pPr>
    </w:p>
    <w:p w:rsidR="0047626A" w:rsidRDefault="0047626A" w:rsidP="0047626A">
      <w:pPr>
        <w:pStyle w:val="Ruller4"/>
      </w:pPr>
      <w:r>
        <w:rPr>
          <w:rFonts w:hint="cs"/>
          <w:rtl/>
        </w:rPr>
        <w:t>כפי שצויין על ידי ב</w:t>
      </w:r>
      <w:r w:rsidRPr="00301155">
        <w:rPr>
          <w:rFonts w:ascii="Century" w:hAnsi="Century" w:cs="Miriam" w:hint="cs"/>
          <w:b/>
          <w:spacing w:val="0"/>
          <w:sz w:val="22"/>
          <w:szCs w:val="24"/>
          <w:rtl/>
        </w:rPr>
        <w:t>בג"ץ טבריה</w:t>
      </w:r>
      <w:r>
        <w:rPr>
          <w:rFonts w:hint="cs"/>
          <w:rtl/>
        </w:rPr>
        <w:t xml:space="preserve">, </w:t>
      </w:r>
      <w:r w:rsidRPr="0070683A">
        <w:rPr>
          <w:rFonts w:hint="eastAsia"/>
          <w:rtl/>
        </w:rPr>
        <w:t>לפי</w:t>
      </w:r>
      <w:r w:rsidRPr="0070683A">
        <w:rPr>
          <w:rtl/>
        </w:rPr>
        <w:t xml:space="preserve"> </w:t>
      </w:r>
      <w:r w:rsidRPr="0070683A">
        <w:rPr>
          <w:rFonts w:hint="eastAsia"/>
          <w:rtl/>
        </w:rPr>
        <w:t>הדעה</w:t>
      </w:r>
      <w:r w:rsidRPr="0070683A">
        <w:rPr>
          <w:rtl/>
        </w:rPr>
        <w:t xml:space="preserve"> </w:t>
      </w:r>
      <w:r w:rsidRPr="0070683A">
        <w:rPr>
          <w:rFonts w:hint="eastAsia"/>
          <w:rtl/>
        </w:rPr>
        <w:t>ש</w:t>
      </w:r>
      <w:r>
        <w:rPr>
          <w:rFonts w:hint="cs"/>
          <w:rtl/>
        </w:rPr>
        <w:t>קנתה</w:t>
      </w:r>
      <w:r w:rsidRPr="00A25883">
        <w:rPr>
          <w:rFonts w:hint="cs"/>
          <w:rtl/>
        </w:rPr>
        <w:t xml:space="preserve"> אחיזה בקרב הציבור שאינו בקי ברזי המשפט, הכנסת היא הריבון הדמוקרטי </w:t>
      </w:r>
      <w:r w:rsidRPr="001D55BD">
        <w:rPr>
          <w:rFonts w:hint="cs"/>
          <w:rtl/>
        </w:rPr>
        <w:t xml:space="preserve">שמטמיע בתוכו את רצון העם ושיכול לחוקק כל חוק </w:t>
      </w:r>
      <w:r w:rsidRPr="001D55BD">
        <w:rPr>
          <w:rtl/>
        </w:rPr>
        <w:t>–</w:t>
      </w:r>
      <w:r w:rsidRPr="001D55BD">
        <w:rPr>
          <w:rFonts w:hint="cs"/>
          <w:rtl/>
        </w:rPr>
        <w:t xml:space="preserve"> ואחרי כינונם של חוקי</w:t>
      </w:r>
      <w:r w:rsidRPr="0070683A">
        <w:rPr>
          <w:rtl/>
        </w:rPr>
        <w:t xml:space="preserve"> </w:t>
      </w:r>
      <w:r w:rsidRPr="0070683A">
        <w:rPr>
          <w:rFonts w:hint="eastAsia"/>
          <w:rtl/>
        </w:rPr>
        <w:t>היסוד</w:t>
      </w:r>
      <w:r>
        <w:rPr>
          <w:rFonts w:hint="cs"/>
          <w:rtl/>
        </w:rPr>
        <w:t xml:space="preserve">, כל חוק שאינו מנוגד להם. </w:t>
      </w:r>
      <w:r w:rsidRPr="001F5D73">
        <w:rPr>
          <w:rFonts w:ascii="Century" w:hAnsi="Century" w:cs="Miriam" w:hint="cs"/>
          <w:b/>
          <w:spacing w:val="0"/>
          <w:sz w:val="22"/>
          <w:szCs w:val="24"/>
          <w:rtl/>
        </w:rPr>
        <w:t>דא עקא, דעה זו אינה מעוגנת בעובדות</w:t>
      </w:r>
      <w:r>
        <w:rPr>
          <w:rFonts w:ascii="Century" w:hAnsi="Century" w:cs="Miriam" w:hint="cs"/>
          <w:b/>
          <w:spacing w:val="0"/>
          <w:sz w:val="22"/>
          <w:szCs w:val="24"/>
          <w:rtl/>
        </w:rPr>
        <w:t>,</w:t>
      </w:r>
      <w:r w:rsidRPr="001F5D73">
        <w:rPr>
          <w:rFonts w:ascii="Century" w:hAnsi="Century" w:cs="Miriam" w:hint="cs"/>
          <w:b/>
          <w:spacing w:val="0"/>
          <w:sz w:val="22"/>
          <w:szCs w:val="24"/>
          <w:rtl/>
        </w:rPr>
        <w:t xml:space="preserve"> וממילא אי</w:t>
      </w:r>
      <w:r>
        <w:rPr>
          <w:rFonts w:ascii="Century" w:hAnsi="Century" w:cs="Miriam" w:hint="cs"/>
          <w:b/>
          <w:spacing w:val="0"/>
          <w:sz w:val="22"/>
          <w:szCs w:val="24"/>
          <w:rtl/>
        </w:rPr>
        <w:t>נה נתמכת ב</w:t>
      </w:r>
      <w:r w:rsidRPr="001F5D73">
        <w:rPr>
          <w:rFonts w:ascii="Century" w:hAnsi="Century" w:cs="Miriam" w:hint="cs"/>
          <w:b/>
          <w:spacing w:val="0"/>
          <w:sz w:val="22"/>
          <w:szCs w:val="24"/>
          <w:rtl/>
        </w:rPr>
        <w:t>שום אסמכתא משפטית בדמותם של מעשי הסמכה רשמיים</w:t>
      </w:r>
      <w:r>
        <w:rPr>
          <w:rFonts w:hint="cs"/>
          <w:rtl/>
        </w:rPr>
        <w:t>.</w:t>
      </w:r>
    </w:p>
    <w:p w:rsidR="0047626A" w:rsidRDefault="0047626A" w:rsidP="0047626A">
      <w:pPr>
        <w:pStyle w:val="Ruller4"/>
        <w:numPr>
          <w:ilvl w:val="0"/>
          <w:numId w:val="0"/>
        </w:numPr>
      </w:pPr>
    </w:p>
    <w:p w:rsidR="0047626A" w:rsidRDefault="0047626A" w:rsidP="0047626A">
      <w:pPr>
        <w:pStyle w:val="Ruller4"/>
      </w:pPr>
      <w:r>
        <w:rPr>
          <w:rFonts w:hint="cs"/>
          <w:rtl/>
        </w:rPr>
        <w:t xml:space="preserve">מדובר בדעה רווחת, אך שגויה מן היסוד. שאלו את מי שאוחז בדעה זו "היכן בדיוק מצויה הסמכה של הכנסת לחוקק כטוב בעיניה?" </w:t>
      </w:r>
      <w:r>
        <w:rPr>
          <w:rtl/>
        </w:rPr>
        <w:t>–</w:t>
      </w:r>
      <w:r>
        <w:rPr>
          <w:rFonts w:hint="cs"/>
          <w:rtl/>
        </w:rPr>
        <w:t xml:space="preserve"> וכל שתוכלו לקבל במענה הוא הפניה למושג הכללי של "דמוקרטיה", שלו, כידוע, יש תכנים שונים המשתנים מחברה לחברה וממדינה למדינה. "דמוקרטיה" כפשוטה אכן יכולה לכלול בתוכה הסמכה גורפת כאמור, אך היא יכולה גם לבחור בדרך אחרת. אכן, לא מעט משטרים דמוקרטיים, אם לא רובם, מטילים הגבלות משמעותיות על סמכותו של המוסד המחוקק. </w:t>
      </w:r>
    </w:p>
    <w:p w:rsidR="0047626A" w:rsidRDefault="0047626A" w:rsidP="0047626A">
      <w:pPr>
        <w:pStyle w:val="Ruller4"/>
        <w:numPr>
          <w:ilvl w:val="0"/>
          <w:numId w:val="0"/>
        </w:numPr>
      </w:pPr>
    </w:p>
    <w:p w:rsidR="0047626A" w:rsidRPr="00A25883" w:rsidRDefault="0047626A" w:rsidP="0047626A">
      <w:pPr>
        <w:pStyle w:val="Ruller4"/>
      </w:pPr>
      <w:r>
        <w:rPr>
          <w:rFonts w:hint="cs"/>
          <w:rtl/>
        </w:rPr>
        <w:t xml:space="preserve">כפי שכבר הזדמן לי להסביר (ראו: פסקאות 23-21 לפסק דיני </w:t>
      </w:r>
      <w:r w:rsidRPr="008E6D34">
        <w:rPr>
          <w:rFonts w:ascii="Century" w:hAnsi="Century" w:hint="cs"/>
          <w:sz w:val="22"/>
          <w:rtl/>
        </w:rPr>
        <w:t>ב</w:t>
      </w:r>
      <w:r w:rsidRPr="00B40F8C">
        <w:rPr>
          <w:rFonts w:ascii="Century" w:hAnsi="Century" w:cs="Miriam" w:hint="cs"/>
          <w:b/>
          <w:spacing w:val="0"/>
          <w:sz w:val="22"/>
          <w:szCs w:val="24"/>
          <w:rtl/>
        </w:rPr>
        <w:t>בג"ץ טבריה</w:t>
      </w:r>
      <w:r>
        <w:rPr>
          <w:rFonts w:hint="cs"/>
          <w:rtl/>
        </w:rPr>
        <w:t xml:space="preserve">), לכך יש רציונל גלוי וידוע, שלא נתקשה להבינו אם נעמיד לנגד עינינו חברה עסקית נטולת איסורים על קיפוח המיעוט. בחברה זו, הרוב האריתמטי יכול להשתלט בכל עת על מוקדי קבלת ההחלטות, לנהל את החברה לפי מאווייו מבלי להתחשב באינטרסים של המיעוט ולבסוף, לנכס לעצמו את הכספים והמשאבים שהמיעוט השקיע בחברה ולהשאיר את המיעוט בלא כלום. חברה כזאת, מטבע הדברים, לא תוכל לגייס השקעות מאלו שיחששו להפוך למיעוט אריתמטי; אלה שכבר השקיעו בחברה ימשכו חזרה את השקעותיהם ויבריחו ממנה את משאביהם ואת רגליהם, בטרם יהפכו למיעוט נרדף ומנוצל עד היסוד; והמיעוט </w:t>
      </w:r>
      <w:r w:rsidRPr="00A25883">
        <w:rPr>
          <w:rFonts w:hint="cs"/>
          <w:rtl/>
        </w:rPr>
        <w:t xml:space="preserve">האריתמטי שיישאר בחברה (אם בכלל) ינוצל באופן תמידי וללא רחמים על ידי הרוב. </w:t>
      </w:r>
      <w:r w:rsidRPr="0028365D">
        <w:rPr>
          <w:rFonts w:ascii="Century" w:hAnsi="Century" w:cs="Miriam" w:hint="cs"/>
          <w:b/>
          <w:spacing w:val="0"/>
          <w:sz w:val="22"/>
          <w:szCs w:val="24"/>
          <w:rtl/>
        </w:rPr>
        <w:t>תרחיש אימים זה הוא נחלתה</w:t>
      </w:r>
      <w:r w:rsidRPr="0028365D">
        <w:rPr>
          <w:rFonts w:ascii="Century" w:hAnsi="Century" w:cs="Miriam"/>
          <w:b/>
          <w:spacing w:val="0"/>
          <w:sz w:val="22"/>
          <w:szCs w:val="24"/>
          <w:rtl/>
        </w:rPr>
        <w:t xml:space="preserve"> </w:t>
      </w:r>
      <w:r w:rsidRPr="0028365D">
        <w:rPr>
          <w:rFonts w:ascii="Century" w:hAnsi="Century" w:cs="Miriam" w:hint="eastAsia"/>
          <w:b/>
          <w:spacing w:val="0"/>
          <w:sz w:val="22"/>
          <w:szCs w:val="24"/>
          <w:rtl/>
        </w:rPr>
        <w:t>של</w:t>
      </w:r>
      <w:r w:rsidRPr="0028365D">
        <w:rPr>
          <w:rFonts w:ascii="Century" w:hAnsi="Century" w:cs="Miriam"/>
          <w:b/>
          <w:spacing w:val="0"/>
          <w:sz w:val="22"/>
          <w:szCs w:val="24"/>
          <w:rtl/>
        </w:rPr>
        <w:t xml:space="preserve"> </w:t>
      </w:r>
      <w:r w:rsidRPr="0028365D">
        <w:rPr>
          <w:rFonts w:ascii="Century" w:hAnsi="Century" w:cs="Miriam" w:hint="eastAsia"/>
          <w:b/>
          <w:spacing w:val="0"/>
          <w:sz w:val="22"/>
          <w:szCs w:val="24"/>
          <w:rtl/>
        </w:rPr>
        <w:t>כל</w:t>
      </w:r>
      <w:r w:rsidRPr="0028365D">
        <w:rPr>
          <w:rFonts w:ascii="Century" w:hAnsi="Century" w:cs="Miriam"/>
          <w:b/>
          <w:spacing w:val="0"/>
          <w:sz w:val="22"/>
          <w:szCs w:val="24"/>
          <w:rtl/>
        </w:rPr>
        <w:t xml:space="preserve"> </w:t>
      </w:r>
      <w:r w:rsidRPr="0028365D">
        <w:rPr>
          <w:rFonts w:ascii="Century" w:hAnsi="Century" w:cs="Miriam" w:hint="eastAsia"/>
          <w:b/>
          <w:spacing w:val="0"/>
          <w:sz w:val="22"/>
          <w:szCs w:val="24"/>
          <w:rtl/>
        </w:rPr>
        <w:t>דמוקרטי</w:t>
      </w:r>
      <w:r w:rsidRPr="0028365D">
        <w:rPr>
          <w:rFonts w:ascii="Century" w:hAnsi="Century" w:cs="Miriam" w:hint="cs"/>
          <w:b/>
          <w:spacing w:val="0"/>
          <w:sz w:val="22"/>
          <w:szCs w:val="24"/>
          <w:rtl/>
        </w:rPr>
        <w:t xml:space="preserve">ה </w:t>
      </w:r>
      <w:r>
        <w:rPr>
          <w:rFonts w:ascii="Century" w:hAnsi="Century" w:cs="Miriam" w:hint="cs"/>
          <w:b/>
          <w:spacing w:val="0"/>
          <w:sz w:val="22"/>
          <w:szCs w:val="24"/>
          <w:rtl/>
        </w:rPr>
        <w:t xml:space="preserve">אריתמטית </w:t>
      </w:r>
      <w:r w:rsidRPr="0028365D">
        <w:rPr>
          <w:rFonts w:ascii="Century" w:hAnsi="Century" w:cs="Miriam" w:hint="cs"/>
          <w:b/>
          <w:spacing w:val="0"/>
          <w:sz w:val="22"/>
          <w:szCs w:val="24"/>
          <w:rtl/>
        </w:rPr>
        <w:t>נטולת רסנים והגבלות</w:t>
      </w:r>
      <w:r w:rsidRPr="00E45E70">
        <w:rPr>
          <w:rFonts w:ascii="Century" w:hAnsi="Century" w:hint="cs"/>
          <w:sz w:val="22"/>
          <w:rtl/>
        </w:rPr>
        <w:t>, ואידך זיל גמור</w:t>
      </w:r>
      <w:r w:rsidRPr="001D55BD">
        <w:rPr>
          <w:rFonts w:hint="cs"/>
          <w:rtl/>
        </w:rPr>
        <w:t xml:space="preserve"> (ראו: </w:t>
      </w:r>
      <w:r w:rsidRPr="00B40F8C">
        <w:rPr>
          <w:rFonts w:asciiTheme="majorBidi" w:hAnsiTheme="majorBidi" w:cstheme="majorBidi"/>
          <w:szCs w:val="24"/>
        </w:rPr>
        <w:t xml:space="preserve">Daron Acemoglu </w:t>
      </w:r>
      <w:r w:rsidRPr="00B40F8C">
        <w:rPr>
          <w:rFonts w:asciiTheme="majorBidi" w:hAnsiTheme="majorBidi" w:cstheme="majorBidi"/>
          <w:i/>
          <w:iCs/>
          <w:szCs w:val="24"/>
        </w:rPr>
        <w:t>et al</w:t>
      </w:r>
      <w:r w:rsidRPr="00B40F8C">
        <w:rPr>
          <w:rFonts w:asciiTheme="majorBidi" w:hAnsiTheme="majorBidi" w:cstheme="majorBidi"/>
          <w:szCs w:val="24"/>
        </w:rPr>
        <w:t xml:space="preserve">., </w:t>
      </w:r>
      <w:r w:rsidRPr="00B40F8C">
        <w:rPr>
          <w:rFonts w:asciiTheme="majorBidi" w:hAnsiTheme="majorBidi" w:cstheme="majorBidi"/>
          <w:i/>
          <w:iCs/>
          <w:szCs w:val="24"/>
        </w:rPr>
        <w:t>Institutions as a Fundamental Cause of Long-run Growth</w:t>
      </w:r>
      <w:r w:rsidRPr="00B40F8C">
        <w:rPr>
          <w:rFonts w:asciiTheme="majorBidi" w:hAnsiTheme="majorBidi" w:cstheme="majorBidi"/>
          <w:szCs w:val="24"/>
        </w:rPr>
        <w:t xml:space="preserve">, in </w:t>
      </w:r>
      <w:r w:rsidRPr="00B40F8C">
        <w:rPr>
          <w:rFonts w:asciiTheme="majorBidi" w:hAnsiTheme="majorBidi" w:cstheme="majorBidi"/>
          <w:smallCaps/>
          <w:szCs w:val="24"/>
        </w:rPr>
        <w:t>Handbook of Economic Growth</w:t>
      </w:r>
      <w:r w:rsidRPr="00B40F8C">
        <w:rPr>
          <w:rFonts w:asciiTheme="majorBidi" w:hAnsiTheme="majorBidi" w:cstheme="majorBidi"/>
          <w:szCs w:val="24"/>
        </w:rPr>
        <w:t xml:space="preserve"> 1, 385-472 (2005); Douglass C. North </w:t>
      </w:r>
      <w:r w:rsidRPr="00B40F8C">
        <w:rPr>
          <w:rFonts w:asciiTheme="majorBidi" w:hAnsiTheme="majorBidi" w:cstheme="majorBidi"/>
          <w:i/>
          <w:iCs/>
          <w:szCs w:val="24"/>
        </w:rPr>
        <w:t>et al</w:t>
      </w:r>
      <w:r w:rsidRPr="00B40F8C">
        <w:rPr>
          <w:rFonts w:asciiTheme="majorBidi" w:hAnsiTheme="majorBidi" w:cstheme="majorBidi"/>
          <w:szCs w:val="24"/>
        </w:rPr>
        <w:t xml:space="preserve">., </w:t>
      </w:r>
      <w:r w:rsidRPr="00B40F8C">
        <w:rPr>
          <w:rFonts w:asciiTheme="majorBidi" w:hAnsiTheme="majorBidi" w:cstheme="majorBidi"/>
          <w:i/>
          <w:iCs/>
          <w:szCs w:val="24"/>
        </w:rPr>
        <w:t>Constitutions and Commitment: The Evolution of Institutions Governing Public Choice in Seventeenth-Century England</w:t>
      </w:r>
      <w:r w:rsidRPr="00B40F8C">
        <w:rPr>
          <w:rFonts w:asciiTheme="majorBidi" w:hAnsiTheme="majorBidi" w:cstheme="majorBidi"/>
          <w:szCs w:val="24"/>
        </w:rPr>
        <w:t xml:space="preserve">, 49 </w:t>
      </w:r>
      <w:r w:rsidRPr="00B40F8C">
        <w:rPr>
          <w:rFonts w:asciiTheme="majorBidi" w:hAnsiTheme="majorBidi" w:cstheme="majorBidi"/>
          <w:smallCaps/>
          <w:szCs w:val="24"/>
        </w:rPr>
        <w:t>J. Econ. His.</w:t>
      </w:r>
      <w:r w:rsidRPr="00B40F8C">
        <w:rPr>
          <w:rFonts w:asciiTheme="majorBidi" w:hAnsiTheme="majorBidi" w:cstheme="majorBidi"/>
          <w:szCs w:val="24"/>
        </w:rPr>
        <w:t xml:space="preserve"> 803 (1989)</w:t>
      </w:r>
      <w:r w:rsidRPr="00B40F8C">
        <w:rPr>
          <w:rFonts w:ascii="Century" w:hAnsi="Century"/>
          <w:sz w:val="22"/>
          <w:rtl/>
        </w:rPr>
        <w:t>).</w:t>
      </w:r>
      <w:r w:rsidRPr="00B40F8C">
        <w:rPr>
          <w:rFonts w:asciiTheme="majorBidi" w:hAnsiTheme="majorBidi" w:cstheme="majorBidi"/>
          <w:szCs w:val="24"/>
          <w:rtl/>
        </w:rPr>
        <w:t xml:space="preserve"> </w:t>
      </w:r>
    </w:p>
    <w:p w:rsidR="0047626A" w:rsidRPr="000F06AD" w:rsidRDefault="0047626A" w:rsidP="0047626A">
      <w:pPr>
        <w:pStyle w:val="Ruller4"/>
        <w:numPr>
          <w:ilvl w:val="0"/>
          <w:numId w:val="0"/>
        </w:numPr>
      </w:pPr>
    </w:p>
    <w:p w:rsidR="0047626A" w:rsidRDefault="0047626A" w:rsidP="0047626A">
      <w:pPr>
        <w:pStyle w:val="Ruller4"/>
        <w:rPr>
          <w:rtl/>
        </w:rPr>
      </w:pPr>
      <w:r>
        <w:rPr>
          <w:rFonts w:hint="cs"/>
          <w:rtl/>
        </w:rPr>
        <w:t xml:space="preserve">אפשרות התממשותו של תרחיש זה מסבירה את קיומה של הדעה הרווחת אשר רואה בכללים החוקתיים אמצעי למניעתו. האוחזים בדעה זו מפרידים את עצמם </w:t>
      </w:r>
      <w:r>
        <w:rPr>
          <w:rFonts w:hint="cs"/>
          <w:rtl/>
        </w:rPr>
        <w:lastRenderedPageBreak/>
        <w:t xml:space="preserve">מהדמוקרט הדוגמטי שאינו מכיר בהטלת מגבלות כלשהן על הכרעת הרוב בחברה. הכלכלן הנודע, </w:t>
      </w:r>
      <w:r w:rsidRPr="00F61437">
        <w:rPr>
          <w:rFonts w:hint="eastAsia"/>
          <w:rtl/>
        </w:rPr>
        <w:t>פרידריך</w:t>
      </w:r>
      <w:r w:rsidRPr="00F61437">
        <w:rPr>
          <w:rtl/>
        </w:rPr>
        <w:t xml:space="preserve"> </w:t>
      </w:r>
      <w:r w:rsidRPr="00F61437">
        <w:rPr>
          <w:rFonts w:hint="eastAsia"/>
          <w:rtl/>
        </w:rPr>
        <w:t>האייק</w:t>
      </w:r>
      <w:r>
        <w:rPr>
          <w:rFonts w:hint="cs"/>
          <w:rtl/>
        </w:rPr>
        <w:t>, הציג דעה זו באופן קצר וקולע:</w:t>
      </w:r>
    </w:p>
    <w:p w:rsidR="0047626A" w:rsidRDefault="0047626A" w:rsidP="0047626A">
      <w:pPr>
        <w:pStyle w:val="Ruller41"/>
        <w:rPr>
          <w:rtl/>
        </w:rPr>
      </w:pPr>
    </w:p>
    <w:p w:rsidR="0047626A" w:rsidRDefault="0047626A" w:rsidP="0047626A">
      <w:pPr>
        <w:pStyle w:val="Ruller5"/>
        <w:bidi w:val="0"/>
        <w:rPr>
          <w:rFonts w:asciiTheme="majorBidi" w:hAnsiTheme="majorBidi" w:cstheme="majorBidi"/>
          <w:smallCaps/>
          <w:sz w:val="24"/>
          <w:szCs w:val="24"/>
        </w:rPr>
      </w:pPr>
      <w:r w:rsidRPr="009A27BD">
        <w:rPr>
          <w:rFonts w:asciiTheme="majorBidi" w:hAnsiTheme="majorBidi" w:cstheme="majorBidi"/>
          <w:sz w:val="24"/>
          <w:szCs w:val="24"/>
        </w:rPr>
        <w:t xml:space="preserve">"The crucial conception of the doctrinaire democrat is that of popular sovereignty. This means to him that majority rule is unlimited and unlimitable. The ideal of democracy, originally intended to prevent all arbitrary power, thus becomes a justification for a new arbitrary power. Yet the authority of democratic decision rests on its being made by the majority of a community which is held together by certain beliefs common to most members; and it is necessary that the majority submit to these common principles even when it may be in its immediate interest to violate them. […] </w:t>
      </w:r>
      <w:r w:rsidRPr="00AE38A4">
        <w:rPr>
          <w:rFonts w:asciiTheme="majorBidi" w:hAnsiTheme="majorBidi" w:cstheme="majorBidi"/>
          <w:i/>
          <w:iCs/>
          <w:sz w:val="24"/>
          <w:szCs w:val="24"/>
        </w:rPr>
        <w:t>The essential point remains: it is the acceptance of such common principles that makes a collection of people a community. And this common acceptance is the indispensable condition for a free society</w:t>
      </w:r>
      <w:r w:rsidRPr="009A27BD">
        <w:rPr>
          <w:rFonts w:asciiTheme="majorBidi" w:hAnsiTheme="majorBidi" w:cstheme="majorBidi"/>
          <w:sz w:val="24"/>
          <w:szCs w:val="24"/>
        </w:rPr>
        <w:t xml:space="preserve">. A group of men normally become a society not by giving themselves laws but by obeying the same rules of conduct. </w:t>
      </w:r>
      <w:r w:rsidRPr="00AE38A4">
        <w:rPr>
          <w:rFonts w:asciiTheme="majorBidi" w:hAnsiTheme="majorBidi" w:cstheme="majorBidi"/>
          <w:i/>
          <w:iCs/>
          <w:sz w:val="24"/>
          <w:szCs w:val="24"/>
        </w:rPr>
        <w:t>This means that the power of the majority is limited by those commonly held principles and that there is no legitimate power beyond them</w:t>
      </w:r>
      <w:r w:rsidRPr="009A27BD">
        <w:rPr>
          <w:rFonts w:asciiTheme="majorBidi" w:hAnsiTheme="majorBidi" w:cstheme="majorBidi"/>
          <w:sz w:val="24"/>
          <w:szCs w:val="24"/>
        </w:rPr>
        <w:t>"</w:t>
      </w:r>
      <w:r>
        <w:rPr>
          <w:rFonts w:asciiTheme="majorBidi" w:hAnsiTheme="majorBidi" w:cstheme="majorBidi"/>
          <w:sz w:val="24"/>
          <w:szCs w:val="24"/>
        </w:rPr>
        <w:t xml:space="preserve">. </w:t>
      </w:r>
    </w:p>
    <w:p w:rsidR="0047626A" w:rsidRDefault="0047626A" w:rsidP="0047626A">
      <w:pPr>
        <w:pStyle w:val="Ruller5"/>
        <w:bidi w:val="0"/>
        <w:rPr>
          <w:rFonts w:asciiTheme="majorBidi" w:hAnsiTheme="majorBidi" w:cstheme="majorBidi"/>
          <w:smallCaps/>
          <w:sz w:val="24"/>
          <w:szCs w:val="24"/>
        </w:rPr>
      </w:pPr>
    </w:p>
    <w:p w:rsidR="0047626A" w:rsidRDefault="0047626A" w:rsidP="0047626A">
      <w:pPr>
        <w:pStyle w:val="Ruller5"/>
        <w:bidi w:val="0"/>
        <w:rPr>
          <w:rtl/>
        </w:rPr>
      </w:pPr>
      <w:r w:rsidRPr="009A27BD">
        <w:rPr>
          <w:rFonts w:asciiTheme="majorBidi" w:hAnsiTheme="majorBidi" w:cstheme="majorBidi"/>
          <w:smallCaps/>
          <w:sz w:val="24"/>
          <w:szCs w:val="24"/>
        </w:rPr>
        <w:t>Friedrich A. Hayek, The Constitution of Liberty</w:t>
      </w:r>
      <w:r w:rsidRPr="009A27BD">
        <w:rPr>
          <w:rFonts w:asciiTheme="majorBidi" w:hAnsiTheme="majorBidi" w:cstheme="majorBidi"/>
          <w:sz w:val="24"/>
          <w:szCs w:val="24"/>
        </w:rPr>
        <w:t xml:space="preserve"> 106-107 (1960).</w:t>
      </w:r>
      <w:r>
        <w:t xml:space="preserve"> </w:t>
      </w:r>
    </w:p>
    <w:p w:rsidR="0047626A" w:rsidRDefault="0047626A" w:rsidP="0047626A">
      <w:pPr>
        <w:pStyle w:val="Ruller5"/>
        <w:rPr>
          <w:rtl/>
        </w:rPr>
      </w:pPr>
    </w:p>
    <w:p w:rsidR="0047626A" w:rsidRPr="00AE38A4" w:rsidRDefault="0047626A" w:rsidP="0047626A">
      <w:pPr>
        <w:pStyle w:val="Ruller5"/>
        <w:rPr>
          <w:rtl/>
        </w:rPr>
      </w:pPr>
      <w:r>
        <w:rPr>
          <w:rFonts w:hint="cs"/>
          <w:rtl/>
        </w:rPr>
        <w:t xml:space="preserve">(ההדגשה הוספה </w:t>
      </w:r>
      <w:r>
        <w:rPr>
          <w:rtl/>
        </w:rPr>
        <w:t>–</w:t>
      </w:r>
      <w:r>
        <w:rPr>
          <w:rFonts w:hint="cs"/>
          <w:rtl/>
        </w:rPr>
        <w:t xml:space="preserve"> א.ש.).</w:t>
      </w:r>
    </w:p>
    <w:p w:rsidR="0047626A" w:rsidRDefault="0047626A" w:rsidP="0047626A">
      <w:pPr>
        <w:pStyle w:val="Ruller41"/>
        <w:rPr>
          <w:rtl/>
        </w:rPr>
      </w:pPr>
    </w:p>
    <w:p w:rsidR="0047626A" w:rsidRDefault="0047626A" w:rsidP="0047626A">
      <w:pPr>
        <w:pStyle w:val="Ruller41"/>
        <w:rPr>
          <w:rtl/>
        </w:rPr>
      </w:pPr>
      <w:r>
        <w:rPr>
          <w:rtl/>
        </w:rPr>
        <w:tab/>
      </w:r>
      <w:r>
        <w:rPr>
          <w:rFonts w:hint="cs"/>
          <w:rtl/>
        </w:rPr>
        <w:t>דברים חשובים אלה צוטטו ותורגמו על ידי לעברית ב</w:t>
      </w:r>
      <w:r w:rsidRPr="00385477">
        <w:rPr>
          <w:rFonts w:ascii="Century" w:hAnsi="Century" w:cs="Miriam" w:hint="cs"/>
          <w:b/>
          <w:spacing w:val="0"/>
          <w:szCs w:val="24"/>
          <w:rtl/>
        </w:rPr>
        <w:t>בג"ץ טבריה</w:t>
      </w:r>
      <w:r>
        <w:rPr>
          <w:rFonts w:hint="cs"/>
          <w:rtl/>
        </w:rPr>
        <w:t xml:space="preserve"> (ראו: </w:t>
      </w:r>
      <w:r w:rsidRPr="008E0586">
        <w:rPr>
          <w:rFonts w:ascii="Century" w:hAnsi="Century" w:cs="Miriam" w:hint="eastAsia"/>
          <w:b/>
          <w:spacing w:val="0"/>
          <w:szCs w:val="24"/>
          <w:rtl/>
        </w:rPr>
        <w:t>שם</w:t>
      </w:r>
      <w:r>
        <w:rPr>
          <w:rFonts w:hint="cs"/>
          <w:rtl/>
        </w:rPr>
        <w:t>, פסקה 22 לפסק דיני). מפאת חשיבות הדברים והצורך להפנימם, אציג את תרגומם פעם נוספת:</w:t>
      </w:r>
    </w:p>
    <w:p w:rsidR="0047626A" w:rsidRDefault="0047626A" w:rsidP="0047626A">
      <w:pPr>
        <w:pStyle w:val="Ruller41"/>
        <w:rPr>
          <w:rtl/>
        </w:rPr>
      </w:pPr>
    </w:p>
    <w:p w:rsidR="0047626A" w:rsidRDefault="0047626A" w:rsidP="0047626A">
      <w:pPr>
        <w:pStyle w:val="Ruller5"/>
        <w:rPr>
          <w:rtl/>
        </w:rPr>
      </w:pPr>
      <w:r>
        <w:rPr>
          <w:rFonts w:hint="cs"/>
          <w:rtl/>
        </w:rPr>
        <w:t xml:space="preserve">"עבור דמוקרט דוגמטי, מושג המפתח הוא ריבונות העם, שמשמעו שלטון רוב נטול מגבלות. בדרך זו, הרעיון הדמוקרטי, שבמקור נועד למנוע את היווצרותו של כוח שררה שרירותי, מייצר הצדקה לכוח שררה שרירותי חדש. </w:t>
      </w:r>
      <w:r w:rsidRPr="00F46DF9">
        <w:rPr>
          <w:rFonts w:ascii="Century" w:hAnsi="Century" w:cs="Miriam" w:hint="cs"/>
          <w:b/>
          <w:spacing w:val="0"/>
          <w:szCs w:val="24"/>
          <w:rtl/>
        </w:rPr>
        <w:t>ברם, סמכותה של ההכרעה הדמוקרטית נעוצה בהיותה החלטת הרוב בחברה שאחדותה מבוססת על תפישות עולם ואמונות המאפיינות את רוב בניה ובנותיה;</w:t>
      </w:r>
      <w:r w:rsidRPr="00F46DF9">
        <w:rPr>
          <w:rFonts w:hint="cs"/>
          <w:rtl/>
        </w:rPr>
        <w:t xml:space="preserve"> </w:t>
      </w:r>
      <w:r w:rsidRPr="00F46DF9">
        <w:rPr>
          <w:rFonts w:ascii="Century" w:hAnsi="Century" w:cs="Miriam" w:hint="cs"/>
          <w:b/>
          <w:spacing w:val="0"/>
          <w:szCs w:val="24"/>
          <w:u w:val="single"/>
          <w:rtl/>
        </w:rPr>
        <w:t>ועל כן מן ההכרח הוא שהרוב המתמטי יכפיף את עצמו לעקרונות משותפים אלה גם כאשר האינטרס המיידי שלו בא על סיפוקו על ידי הפרתם</w:t>
      </w:r>
      <w:r>
        <w:rPr>
          <w:rFonts w:hint="cs"/>
          <w:rtl/>
        </w:rPr>
        <w:t xml:space="preserve">. הנקודה המכרעת כאן אינה אלא זאת: </w:t>
      </w:r>
      <w:r w:rsidRPr="00F46DF9">
        <w:rPr>
          <w:rFonts w:ascii="Century" w:hAnsi="Century" w:cs="Miriam" w:hint="cs"/>
          <w:b/>
          <w:spacing w:val="0"/>
          <w:szCs w:val="24"/>
          <w:u w:val="single"/>
          <w:rtl/>
        </w:rPr>
        <w:t>מה שהופך אוסף מקרי של אנשים לחברה ולמדינה הוא קבלת העקרונות המשותפים הללו</w:t>
      </w:r>
      <w:r w:rsidRPr="00F46DF9">
        <w:rPr>
          <w:rFonts w:hint="cs"/>
          <w:u w:val="single"/>
          <w:rtl/>
        </w:rPr>
        <w:t>.</w:t>
      </w:r>
      <w:r>
        <w:rPr>
          <w:rFonts w:hint="cs"/>
          <w:rtl/>
        </w:rPr>
        <w:t xml:space="preserve"> </w:t>
      </w:r>
      <w:r w:rsidRPr="008F1C84">
        <w:rPr>
          <w:rFonts w:ascii="Century" w:hAnsi="Century" w:cs="Miriam" w:hint="cs"/>
          <w:b/>
          <w:spacing w:val="0"/>
          <w:szCs w:val="24"/>
          <w:rtl/>
        </w:rPr>
        <w:t>קבלת העקרונות המשותפים הללו הינה תנאי הכרחי לקיומה של חברה חופשית</w:t>
      </w:r>
      <w:r>
        <w:rPr>
          <w:rFonts w:hint="cs"/>
          <w:rtl/>
        </w:rPr>
        <w:t xml:space="preserve">. קבוצת אנשים הופכת את עצמה לחברה מאורגנת </w:t>
      </w:r>
      <w:r>
        <w:rPr>
          <w:rFonts w:hint="cs"/>
          <w:rtl/>
        </w:rPr>
        <w:lastRenderedPageBreak/>
        <w:t xml:space="preserve">לא על ידי קביעת חוקים ותקנות, אלא באמצעות ציות לאותם כללי התנהגות. </w:t>
      </w:r>
      <w:r w:rsidRPr="00F46DF9">
        <w:rPr>
          <w:rFonts w:ascii="Century" w:hAnsi="Century" w:cs="Miriam" w:hint="cs"/>
          <w:b/>
          <w:spacing w:val="0"/>
          <w:szCs w:val="24"/>
          <w:u w:val="single"/>
          <w:rtl/>
        </w:rPr>
        <w:t>מכאן המסקנה כי כוחו של הרוב מוגבל מעיקרו על ידי העקרונות המשותפים של החברה, ושום כוח לגיטימי אינו יכול לעמוד מעליהם</w:t>
      </w:r>
      <w:r>
        <w:rPr>
          <w:rFonts w:hint="cs"/>
          <w:rtl/>
        </w:rPr>
        <w:t xml:space="preserve">" (תרגום שלי, שבמסגרתו נעשה מאמץ להישאר נאמן למהות הדברים שבמקור </w:t>
      </w:r>
      <w:r>
        <w:rPr>
          <w:rtl/>
        </w:rPr>
        <w:t>–</w:t>
      </w:r>
      <w:r>
        <w:rPr>
          <w:rFonts w:hint="cs"/>
          <w:rtl/>
        </w:rPr>
        <w:t xml:space="preserve"> א.ש.).</w:t>
      </w:r>
    </w:p>
    <w:p w:rsidR="0047626A" w:rsidRDefault="0047626A" w:rsidP="0047626A">
      <w:pPr>
        <w:pStyle w:val="Ruller41"/>
        <w:rPr>
          <w:rtl/>
        </w:rPr>
      </w:pPr>
    </w:p>
    <w:p w:rsidR="0047626A" w:rsidRDefault="0047626A" w:rsidP="0047626A">
      <w:pPr>
        <w:pStyle w:val="Ruller4"/>
      </w:pPr>
      <w:r w:rsidRPr="0055593B">
        <w:rPr>
          <w:rFonts w:ascii="Century" w:hAnsi="Century" w:cs="Miriam" w:hint="cs"/>
          <w:b/>
          <w:spacing w:val="0"/>
          <w:sz w:val="22"/>
          <w:szCs w:val="24"/>
          <w:rtl/>
        </w:rPr>
        <w:t>מכאן עולה שאלת-השאלות: "מניין לנו ש</w:t>
      </w:r>
      <w:r>
        <w:rPr>
          <w:rFonts w:ascii="Century" w:hAnsi="Century" w:cs="Miriam" w:hint="cs"/>
          <w:b/>
          <w:spacing w:val="0"/>
          <w:sz w:val="22"/>
          <w:szCs w:val="24"/>
          <w:rtl/>
        </w:rPr>
        <w:t>ה</w:t>
      </w:r>
      <w:r w:rsidRPr="0055593B">
        <w:rPr>
          <w:rFonts w:ascii="Century" w:hAnsi="Century" w:cs="Miriam" w:hint="cs"/>
          <w:b/>
          <w:spacing w:val="0"/>
          <w:sz w:val="22"/>
          <w:szCs w:val="24"/>
          <w:rtl/>
        </w:rPr>
        <w:t xml:space="preserve">דמוקרטיה </w:t>
      </w:r>
      <w:r>
        <w:rPr>
          <w:rFonts w:ascii="Century" w:hAnsi="Century" w:cs="Miriam" w:hint="cs"/>
          <w:b/>
          <w:spacing w:val="0"/>
          <w:sz w:val="22"/>
          <w:szCs w:val="24"/>
          <w:rtl/>
        </w:rPr>
        <w:t>ה</w:t>
      </w:r>
      <w:r w:rsidRPr="0055593B">
        <w:rPr>
          <w:rFonts w:ascii="Century" w:hAnsi="Century" w:cs="Miriam" w:hint="cs"/>
          <w:b/>
          <w:spacing w:val="0"/>
          <w:sz w:val="22"/>
          <w:szCs w:val="24"/>
          <w:rtl/>
        </w:rPr>
        <w:t xml:space="preserve">ישראלית הסמיכה את הכנסת לחוקק כל חוק </w:t>
      </w:r>
      <w:r>
        <w:rPr>
          <w:rFonts w:ascii="Century" w:hAnsi="Century" w:cs="Miriam" w:hint="cs"/>
          <w:b/>
          <w:spacing w:val="0"/>
          <w:sz w:val="22"/>
          <w:szCs w:val="24"/>
          <w:rtl/>
        </w:rPr>
        <w:t xml:space="preserve">ולכונן כל חוק יסוד </w:t>
      </w:r>
      <w:r w:rsidRPr="0055593B">
        <w:rPr>
          <w:rFonts w:ascii="Century" w:hAnsi="Century" w:cs="Miriam" w:hint="cs"/>
          <w:b/>
          <w:spacing w:val="0"/>
          <w:sz w:val="22"/>
          <w:szCs w:val="24"/>
          <w:rtl/>
        </w:rPr>
        <w:t>שת</w:t>
      </w:r>
      <w:r>
        <w:rPr>
          <w:rFonts w:ascii="Century" w:hAnsi="Century" w:cs="Miriam" w:hint="cs"/>
          <w:b/>
          <w:spacing w:val="0"/>
          <w:sz w:val="22"/>
          <w:szCs w:val="24"/>
          <w:rtl/>
        </w:rPr>
        <w:t>מצא</w:t>
      </w:r>
      <w:r w:rsidRPr="0055593B">
        <w:rPr>
          <w:rFonts w:ascii="Century" w:hAnsi="Century" w:cs="Miriam" w:hint="cs"/>
          <w:b/>
          <w:spacing w:val="0"/>
          <w:sz w:val="22"/>
          <w:szCs w:val="24"/>
          <w:rtl/>
        </w:rPr>
        <w:t xml:space="preserve"> לנכון?".</w:t>
      </w:r>
      <w:r>
        <w:rPr>
          <w:rFonts w:hint="cs"/>
          <w:rtl/>
        </w:rPr>
        <w:t xml:space="preserve"> לשאלה זו אין בנמצא תשובה מוסכמת או מוסמכת, קל וחומר, תשובה מוסכמת ומוסמכת אשר מגובה באסמכתא משפטית פורמלית. </w:t>
      </w:r>
    </w:p>
    <w:p w:rsidR="0047626A" w:rsidRPr="0017643F" w:rsidRDefault="0047626A" w:rsidP="0047626A">
      <w:pPr>
        <w:pStyle w:val="Ruller4"/>
        <w:numPr>
          <w:ilvl w:val="0"/>
          <w:numId w:val="0"/>
        </w:numPr>
      </w:pPr>
    </w:p>
    <w:p w:rsidR="0047626A" w:rsidRDefault="0047626A" w:rsidP="0047626A">
      <w:pPr>
        <w:pStyle w:val="Ruller4"/>
      </w:pPr>
      <w:r>
        <w:rPr>
          <w:rFonts w:hint="cs"/>
          <w:rtl/>
        </w:rPr>
        <w:t xml:space="preserve">לכך יש סיבה פשוטה, שאף היא מצויה בעולמן של עובדות. </w:t>
      </w:r>
      <w:r w:rsidRPr="008E6D34">
        <w:rPr>
          <w:rFonts w:ascii="Century" w:hAnsi="Century" w:cs="Miriam" w:hint="cs"/>
          <w:b/>
          <w:spacing w:val="0"/>
          <w:sz w:val="22"/>
          <w:szCs w:val="24"/>
          <w:rtl/>
        </w:rPr>
        <w:t xml:space="preserve">הכנסת מעולם לא קיבלה לידיה הסמכה גורפת לחוקק כל חוק </w:t>
      </w:r>
      <w:r>
        <w:rPr>
          <w:rFonts w:ascii="Century" w:hAnsi="Century" w:cs="Miriam" w:hint="cs"/>
          <w:b/>
          <w:spacing w:val="0"/>
          <w:sz w:val="22"/>
          <w:szCs w:val="24"/>
          <w:rtl/>
        </w:rPr>
        <w:t xml:space="preserve">ולכונן כל חוק יסוד </w:t>
      </w:r>
      <w:r w:rsidRPr="008E6D34">
        <w:rPr>
          <w:rFonts w:ascii="Century" w:hAnsi="Century" w:cs="Miriam" w:hint="cs"/>
          <w:b/>
          <w:spacing w:val="0"/>
          <w:sz w:val="22"/>
          <w:szCs w:val="24"/>
          <w:rtl/>
        </w:rPr>
        <w:t>שתמצא לנכון</w:t>
      </w:r>
      <w:r>
        <w:rPr>
          <w:rFonts w:hint="cs"/>
          <w:rtl/>
        </w:rPr>
        <w:t xml:space="preserve">; וכפועל יוצא מכך, הכנסת ממילא לא יכלה לחוקק שום חוק, או לכונן חוק יסוד, שמתיימר להקנות לה סמכות כזאת. יתרה מכך: כפי שאראה בהמשך דבריי, </w:t>
      </w:r>
      <w:r w:rsidRPr="0055593B">
        <w:rPr>
          <w:rFonts w:ascii="Century" w:hAnsi="Century" w:cs="Miriam" w:hint="cs"/>
          <w:b/>
          <w:spacing w:val="0"/>
          <w:sz w:val="22"/>
          <w:szCs w:val="24"/>
          <w:u w:val="single"/>
          <w:rtl/>
        </w:rPr>
        <w:t>כוחה של הכנסת לחוקק חוקים רגילים ו</w:t>
      </w:r>
      <w:r>
        <w:rPr>
          <w:rFonts w:ascii="Century" w:hAnsi="Century" w:cs="Miriam" w:hint="cs"/>
          <w:b/>
          <w:spacing w:val="0"/>
          <w:sz w:val="22"/>
          <w:szCs w:val="24"/>
          <w:u w:val="single"/>
          <w:rtl/>
        </w:rPr>
        <w:t xml:space="preserve">לכונן </w:t>
      </w:r>
      <w:r w:rsidRPr="0055593B">
        <w:rPr>
          <w:rFonts w:ascii="Century" w:hAnsi="Century" w:cs="Miriam" w:hint="cs"/>
          <w:b/>
          <w:spacing w:val="0"/>
          <w:sz w:val="22"/>
          <w:szCs w:val="24"/>
          <w:u w:val="single"/>
          <w:rtl/>
        </w:rPr>
        <w:t xml:space="preserve">חוקי יסוד הוגבל מעיקרו במעמד הסמכתה כמוסד </w:t>
      </w:r>
      <w:r>
        <w:rPr>
          <w:rFonts w:ascii="Century" w:hAnsi="Century" w:cs="Miriam" w:hint="cs"/>
          <w:b/>
          <w:spacing w:val="0"/>
          <w:sz w:val="22"/>
          <w:szCs w:val="24"/>
          <w:u w:val="single"/>
          <w:rtl/>
        </w:rPr>
        <w:t>ה</w:t>
      </w:r>
      <w:r w:rsidRPr="0055593B">
        <w:rPr>
          <w:rFonts w:ascii="Century" w:hAnsi="Century" w:cs="Miriam" w:hint="cs"/>
          <w:b/>
          <w:spacing w:val="0"/>
          <w:sz w:val="22"/>
          <w:szCs w:val="24"/>
          <w:u w:val="single"/>
          <w:rtl/>
        </w:rPr>
        <w:t>מחוקק של מדינת ישראל</w:t>
      </w:r>
      <w:r>
        <w:rPr>
          <w:rFonts w:hint="cs"/>
          <w:rtl/>
        </w:rPr>
        <w:t xml:space="preserve">. הגבלה זו מצויה בעולם העובדות שהוא </w:t>
      </w:r>
      <w:r>
        <w:rPr>
          <w:rtl/>
        </w:rPr>
        <w:t>–</w:t>
      </w:r>
      <w:r>
        <w:rPr>
          <w:rFonts w:hint="cs"/>
          <w:rtl/>
        </w:rPr>
        <w:t xml:space="preserve"> ורק הוא </w:t>
      </w:r>
      <w:r>
        <w:rPr>
          <w:rtl/>
        </w:rPr>
        <w:t>–</w:t>
      </w:r>
      <w:r>
        <w:rPr>
          <w:rFonts w:hint="cs"/>
          <w:rtl/>
        </w:rPr>
        <w:t xml:space="preserve"> מעניין אותנו כאן. </w:t>
      </w:r>
    </w:p>
    <w:p w:rsidR="0047626A" w:rsidRDefault="0047626A" w:rsidP="0047626A">
      <w:pPr>
        <w:pStyle w:val="Ruller4"/>
        <w:numPr>
          <w:ilvl w:val="0"/>
          <w:numId w:val="0"/>
        </w:numPr>
      </w:pPr>
    </w:p>
    <w:p w:rsidR="0047626A" w:rsidRPr="00163753" w:rsidRDefault="0047626A" w:rsidP="0047626A">
      <w:pPr>
        <w:pStyle w:val="Ruller4"/>
      </w:pPr>
      <w:r>
        <w:rPr>
          <w:rFonts w:hint="cs"/>
          <w:rtl/>
        </w:rPr>
        <w:t>כפי שהסברתי באריכות בפסק דיני ב</w:t>
      </w:r>
      <w:r w:rsidRPr="008E0586">
        <w:rPr>
          <w:rFonts w:ascii="Century" w:hAnsi="Century" w:cs="Miriam" w:hint="eastAsia"/>
          <w:b/>
          <w:spacing w:val="0"/>
          <w:sz w:val="22"/>
          <w:szCs w:val="24"/>
          <w:rtl/>
        </w:rPr>
        <w:t>בג</w:t>
      </w:r>
      <w:r w:rsidRPr="008E0586">
        <w:rPr>
          <w:rFonts w:ascii="Century" w:hAnsi="Century" w:cs="Miriam"/>
          <w:b/>
          <w:spacing w:val="0"/>
          <w:sz w:val="22"/>
          <w:szCs w:val="24"/>
          <w:rtl/>
        </w:rPr>
        <w:t>"</w:t>
      </w:r>
      <w:r w:rsidRPr="008E0586">
        <w:rPr>
          <w:rFonts w:ascii="Century" w:hAnsi="Century" w:cs="Miriam" w:hint="eastAsia"/>
          <w:b/>
          <w:spacing w:val="0"/>
          <w:sz w:val="22"/>
          <w:szCs w:val="24"/>
          <w:rtl/>
        </w:rPr>
        <w:t>ץ</w:t>
      </w:r>
      <w:r w:rsidRPr="008E0586">
        <w:rPr>
          <w:rFonts w:ascii="Century" w:hAnsi="Century" w:cs="Miriam"/>
          <w:b/>
          <w:spacing w:val="0"/>
          <w:sz w:val="22"/>
          <w:szCs w:val="24"/>
          <w:rtl/>
        </w:rPr>
        <w:t xml:space="preserve"> </w:t>
      </w:r>
      <w:r>
        <w:rPr>
          <w:rFonts w:ascii="Century" w:hAnsi="Century" w:cs="Miriam" w:hint="cs"/>
          <w:b/>
          <w:spacing w:val="0"/>
          <w:sz w:val="22"/>
          <w:szCs w:val="24"/>
          <w:rtl/>
        </w:rPr>
        <w:t>טבריה</w:t>
      </w:r>
      <w:r w:rsidRPr="008E0586">
        <w:rPr>
          <w:rFonts w:ascii="Century" w:hAnsi="Century"/>
          <w:sz w:val="22"/>
          <w:rtl/>
        </w:rPr>
        <w:t>,</w:t>
      </w:r>
      <w:r>
        <w:rPr>
          <w:rFonts w:ascii="Century" w:hAnsi="Century" w:cs="Miriam" w:hint="cs"/>
          <w:b/>
          <w:spacing w:val="0"/>
          <w:sz w:val="22"/>
          <w:szCs w:val="24"/>
          <w:rtl/>
        </w:rPr>
        <w:t xml:space="preserve"> </w:t>
      </w:r>
      <w:r>
        <w:rPr>
          <w:rFonts w:hint="cs"/>
          <w:rtl/>
        </w:rPr>
        <w:t xml:space="preserve">הכנסת הנוכחית וכל אלו שקדמו לה, ירשו את סמכויות החקיקה שהוענקו למועצת המדינה הזמנית ולכנסת הראשונה במועד הקמת המדינה, הוא חודש מאי 1948. סמכויות אלה לא גדלו ולא קטנו, אלא נשארו כמות-שהן עד עצם היום הזה. </w:t>
      </w:r>
      <w:r w:rsidRPr="00163753">
        <w:rPr>
          <w:rFonts w:ascii="Century" w:hAnsi="Century" w:cs="Miriam" w:hint="cs"/>
          <w:b/>
          <w:spacing w:val="0"/>
          <w:sz w:val="22"/>
          <w:szCs w:val="24"/>
          <w:rtl/>
        </w:rPr>
        <w:t xml:space="preserve">קיומן וגבולותיהן של סמכויות אלה נגזרים מהכרתו של העם, שישב בציון בהקמת המדינה, בכוחה של הכנסת לחוקק חוקים ולכונן חוקה </w:t>
      </w:r>
      <w:r w:rsidRPr="00163753">
        <w:rPr>
          <w:rFonts w:ascii="Century" w:hAnsi="Century" w:cs="Miriam"/>
          <w:b/>
          <w:spacing w:val="0"/>
          <w:sz w:val="22"/>
          <w:szCs w:val="24"/>
          <w:rtl/>
        </w:rPr>
        <w:t>–</w:t>
      </w:r>
      <w:r w:rsidRPr="00163753">
        <w:rPr>
          <w:rFonts w:ascii="Century" w:hAnsi="Century" w:cs="Miriam" w:hint="cs"/>
          <w:b/>
          <w:spacing w:val="0"/>
          <w:sz w:val="22"/>
          <w:szCs w:val="24"/>
          <w:rtl/>
        </w:rPr>
        <w:t xml:space="preserve"> </w:t>
      </w:r>
      <w:r w:rsidRPr="006422C0">
        <w:rPr>
          <w:rFonts w:ascii="Century" w:hAnsi="Century" w:cs="Miriam" w:hint="cs"/>
          <w:b/>
          <w:spacing w:val="0"/>
          <w:sz w:val="22"/>
          <w:szCs w:val="24"/>
          <w:u w:val="single"/>
          <w:rtl/>
        </w:rPr>
        <w:t>כפי שתועד במסמכי ההקמה של המדינה</w:t>
      </w:r>
      <w:r w:rsidRPr="00A44D2C">
        <w:rPr>
          <w:rFonts w:ascii="Century" w:hAnsi="Century" w:cs="Miriam" w:hint="cs"/>
          <w:b/>
          <w:spacing w:val="0"/>
          <w:sz w:val="22"/>
          <w:szCs w:val="24"/>
          <w:u w:val="single"/>
          <w:rtl/>
        </w:rPr>
        <w:t>, ובראשם הכרזת העצמאות.</w:t>
      </w:r>
      <w:r w:rsidRPr="00A44D2C">
        <w:rPr>
          <w:rFonts w:hint="cs"/>
          <w:u w:val="single"/>
          <w:rtl/>
        </w:rPr>
        <w:t xml:space="preserve"> </w:t>
      </w:r>
      <w:r w:rsidRPr="00163753">
        <w:rPr>
          <w:rFonts w:ascii="Century" w:hAnsi="Century" w:cs="Miriam" w:hint="cs"/>
          <w:b/>
          <w:spacing w:val="0"/>
          <w:sz w:val="22"/>
          <w:szCs w:val="24"/>
          <w:u w:val="single"/>
          <w:rtl/>
        </w:rPr>
        <w:t>הכרה זו, בגבולות שניתנה, מהווה מסד הסמכות הבלעדי לחקיקת חוקי המדינה ולכינון חוקתה באמצעות חוקי יסוד.</w:t>
      </w:r>
      <w:r w:rsidRPr="00163753">
        <w:rPr>
          <w:rFonts w:ascii="Century" w:hAnsi="Century" w:cs="Miriam" w:hint="cs"/>
          <w:b/>
          <w:spacing w:val="0"/>
          <w:sz w:val="22"/>
          <w:szCs w:val="24"/>
          <w:rtl/>
        </w:rPr>
        <w:t xml:space="preserve"> </w:t>
      </w:r>
      <w:r>
        <w:rPr>
          <w:rFonts w:hint="cs"/>
          <w:rtl/>
        </w:rPr>
        <w:t xml:space="preserve">ללא הכרה כאמור, לשום חוק ולשום חוק יסוד שחוקקו על ידי הכנסת לא היה מקור סמכות בעל תוקף משפטי מחייב. </w:t>
      </w:r>
      <w:r w:rsidRPr="00163753">
        <w:rPr>
          <w:rFonts w:ascii="Century" w:hAnsi="Century" w:cs="Miriam" w:hint="cs"/>
          <w:b/>
          <w:spacing w:val="0"/>
          <w:sz w:val="22"/>
          <w:szCs w:val="24"/>
          <w:rtl/>
        </w:rPr>
        <w:t xml:space="preserve">הכרה כאמור, יחד עם מסמכי ההקמה שתיעדו אותה </w:t>
      </w:r>
      <w:r w:rsidRPr="00163753">
        <w:rPr>
          <w:rFonts w:ascii="Century" w:hAnsi="Century" w:cs="Miriam"/>
          <w:b/>
          <w:spacing w:val="0"/>
          <w:sz w:val="22"/>
          <w:szCs w:val="24"/>
          <w:rtl/>
        </w:rPr>
        <w:t>–</w:t>
      </w:r>
      <w:r w:rsidRPr="00163753">
        <w:rPr>
          <w:rFonts w:ascii="Century" w:hAnsi="Century" w:cs="Miriam" w:hint="cs"/>
          <w:b/>
          <w:spacing w:val="0"/>
          <w:sz w:val="22"/>
          <w:szCs w:val="24"/>
          <w:rtl/>
        </w:rPr>
        <w:t xml:space="preserve"> ובראשם הכרזת העצמאות </w:t>
      </w:r>
      <w:r w:rsidRPr="00163753">
        <w:rPr>
          <w:rFonts w:ascii="Century" w:hAnsi="Century" w:cs="Miriam"/>
          <w:b/>
          <w:spacing w:val="0"/>
          <w:sz w:val="22"/>
          <w:szCs w:val="24"/>
          <w:rtl/>
        </w:rPr>
        <w:t>–</w:t>
      </w:r>
      <w:r w:rsidRPr="00163753">
        <w:rPr>
          <w:rFonts w:ascii="Century" w:hAnsi="Century" w:cs="Miriam" w:hint="cs"/>
          <w:b/>
          <w:spacing w:val="0"/>
          <w:sz w:val="22"/>
          <w:szCs w:val="24"/>
          <w:rtl/>
        </w:rPr>
        <w:t xml:space="preserve"> הם אלה שיצרו וקיימו את "כלל ההכרה" הבסיסי </w:t>
      </w:r>
      <w:r w:rsidRPr="00B650C6">
        <w:rPr>
          <w:rFonts w:asciiTheme="majorBidi" w:hAnsiTheme="majorBidi" w:cstheme="majorBidi"/>
          <w:b/>
          <w:spacing w:val="0"/>
          <w:sz w:val="22"/>
          <w:szCs w:val="24"/>
          <w:rtl/>
        </w:rPr>
        <w:t>(</w:t>
      </w:r>
      <w:r w:rsidRPr="005F1711">
        <w:rPr>
          <w:rFonts w:asciiTheme="majorBidi" w:hAnsiTheme="majorBidi" w:cstheme="majorBidi"/>
          <w:bCs/>
          <w:spacing w:val="0"/>
          <w:szCs w:val="24"/>
        </w:rPr>
        <w:t>the rule of recognition</w:t>
      </w:r>
      <w:r w:rsidRPr="00B650C6">
        <w:rPr>
          <w:rFonts w:asciiTheme="majorBidi" w:hAnsiTheme="majorBidi" w:cstheme="majorBidi"/>
          <w:b/>
          <w:spacing w:val="0"/>
          <w:sz w:val="22"/>
          <w:szCs w:val="24"/>
          <w:rtl/>
        </w:rPr>
        <w:t>)</w:t>
      </w:r>
      <w:r w:rsidRPr="00163753">
        <w:rPr>
          <w:rFonts w:ascii="Century" w:hAnsi="Century" w:cs="Miriam" w:hint="cs"/>
          <w:b/>
          <w:spacing w:val="0"/>
          <w:sz w:val="22"/>
          <w:szCs w:val="24"/>
          <w:rtl/>
        </w:rPr>
        <w:t xml:space="preserve"> עליו עומד משפט המדינה כולו, ובלעדיו אין</w:t>
      </w:r>
      <w:r>
        <w:rPr>
          <w:rFonts w:hint="cs"/>
          <w:rtl/>
        </w:rPr>
        <w:t xml:space="preserve"> </w:t>
      </w:r>
      <w:r w:rsidRPr="005A709A">
        <w:rPr>
          <w:rFonts w:ascii="Century" w:hAnsi="Century" w:hint="cs"/>
          <w:sz w:val="22"/>
          <w:rtl/>
        </w:rPr>
        <w:t xml:space="preserve">(ראו: </w:t>
      </w:r>
      <w:r w:rsidRPr="008E0586">
        <w:rPr>
          <w:rFonts w:ascii="Century" w:hAnsi="Century" w:cs="Miriam" w:hint="eastAsia"/>
          <w:b/>
          <w:spacing w:val="0"/>
          <w:sz w:val="22"/>
          <w:szCs w:val="24"/>
          <w:rtl/>
        </w:rPr>
        <w:t>הארט</w:t>
      </w:r>
      <w:r>
        <w:rPr>
          <w:rFonts w:ascii="Century" w:hAnsi="Century" w:hint="cs"/>
          <w:sz w:val="22"/>
          <w:rtl/>
        </w:rPr>
        <w:t>,</w:t>
      </w:r>
      <w:r w:rsidRPr="005A709A">
        <w:rPr>
          <w:rFonts w:ascii="Century" w:hAnsi="Century" w:hint="cs"/>
          <w:sz w:val="22"/>
          <w:rtl/>
        </w:rPr>
        <w:t xml:space="preserve"> בעמ'</w:t>
      </w:r>
      <w:r>
        <w:rPr>
          <w:rFonts w:ascii="Century" w:hAnsi="Century" w:hint="cs"/>
          <w:sz w:val="22"/>
          <w:rtl/>
        </w:rPr>
        <w:t xml:space="preserve"> 107-97</w:t>
      </w:r>
      <w:r w:rsidRPr="006422C0">
        <w:rPr>
          <w:rFonts w:ascii="Century" w:hAnsi="Century" w:hint="cs"/>
          <w:sz w:val="22"/>
          <w:rtl/>
        </w:rPr>
        <w:t>)</w:t>
      </w:r>
      <w:r w:rsidRPr="005A709A">
        <w:rPr>
          <w:rFonts w:ascii="Century" w:hAnsi="Century" w:hint="cs"/>
          <w:sz w:val="22"/>
          <w:rtl/>
        </w:rPr>
        <w:t>.</w:t>
      </w:r>
      <w:r>
        <w:rPr>
          <w:rFonts w:hint="cs"/>
          <w:rtl/>
        </w:rPr>
        <w:t xml:space="preserve"> </w:t>
      </w:r>
    </w:p>
    <w:p w:rsidR="0047626A" w:rsidRDefault="0047626A" w:rsidP="0047626A">
      <w:pPr>
        <w:pStyle w:val="Ruller4"/>
        <w:numPr>
          <w:ilvl w:val="0"/>
          <w:numId w:val="0"/>
        </w:numPr>
      </w:pPr>
    </w:p>
    <w:p w:rsidR="0047626A" w:rsidRDefault="0047626A" w:rsidP="0047626A">
      <w:pPr>
        <w:pStyle w:val="Ruller4"/>
        <w:rPr>
          <w:rtl/>
        </w:rPr>
      </w:pPr>
      <w:r>
        <w:rPr>
          <w:rFonts w:hint="cs"/>
          <w:rtl/>
        </w:rPr>
        <w:t xml:space="preserve">את הסמכת הכנסת לחוקק חוקים ולכונן חוקה </w:t>
      </w:r>
      <w:r>
        <w:rPr>
          <w:rtl/>
        </w:rPr>
        <w:t>–</w:t>
      </w:r>
      <w:r>
        <w:rPr>
          <w:rFonts w:hint="cs"/>
          <w:rtl/>
        </w:rPr>
        <w:t xml:space="preserve"> ואת גבולותיה של הסמכה כאמור </w:t>
      </w:r>
      <w:r>
        <w:rPr>
          <w:rtl/>
        </w:rPr>
        <w:t>–</w:t>
      </w:r>
      <w:r>
        <w:rPr>
          <w:rFonts w:hint="cs"/>
          <w:rtl/>
        </w:rPr>
        <w:t xml:space="preserve"> תיעדו מסמכי ההקמה אשר כוללים את אלו: </w:t>
      </w:r>
    </w:p>
    <w:p w:rsidR="0047626A" w:rsidRPr="005E4FC2" w:rsidRDefault="0047626A" w:rsidP="0047626A">
      <w:pPr>
        <w:pStyle w:val="Ruller41"/>
      </w:pPr>
    </w:p>
    <w:p w:rsidR="0047626A" w:rsidRPr="008E0586" w:rsidRDefault="0047626A" w:rsidP="0047626A">
      <w:pPr>
        <w:pStyle w:val="Ruller4"/>
        <w:numPr>
          <w:ilvl w:val="1"/>
          <w:numId w:val="1"/>
        </w:numPr>
        <w:tabs>
          <w:tab w:val="clear" w:pos="1440"/>
        </w:tabs>
        <w:ind w:left="1523"/>
        <w:rPr>
          <w:rtl/>
        </w:rPr>
      </w:pPr>
      <w:r w:rsidRPr="005E4FC2">
        <w:rPr>
          <w:rFonts w:ascii="Century" w:hAnsi="Century" w:cs="Miriam" w:hint="cs"/>
          <w:b/>
          <w:spacing w:val="0"/>
          <w:sz w:val="22"/>
          <w:szCs w:val="24"/>
          <w:u w:val="single"/>
          <w:rtl/>
        </w:rPr>
        <w:lastRenderedPageBreak/>
        <w:t>המנשר</w:t>
      </w:r>
      <w:r>
        <w:rPr>
          <w:rFonts w:hint="cs"/>
          <w:rtl/>
        </w:rPr>
        <w:t xml:space="preserve"> </w:t>
      </w:r>
      <w:r w:rsidRPr="00F86A84">
        <w:rPr>
          <w:rFonts w:hint="eastAsia"/>
          <w:rtl/>
        </w:rPr>
        <w:t>שפורסם</w:t>
      </w:r>
      <w:r w:rsidRPr="00F86A84">
        <w:rPr>
          <w:rtl/>
        </w:rPr>
        <w:t xml:space="preserve"> </w:t>
      </w:r>
      <w:r w:rsidRPr="00F86A84">
        <w:rPr>
          <w:rFonts w:hint="eastAsia"/>
          <w:rtl/>
        </w:rPr>
        <w:t>מטעם</w:t>
      </w:r>
      <w:r w:rsidRPr="00F86A84">
        <w:rPr>
          <w:rtl/>
        </w:rPr>
        <w:t xml:space="preserve"> </w:t>
      </w:r>
      <w:r w:rsidRPr="00F86A84">
        <w:rPr>
          <w:rFonts w:hint="eastAsia"/>
          <w:rtl/>
        </w:rPr>
        <w:t>מועצת</w:t>
      </w:r>
      <w:r w:rsidRPr="00F86A84">
        <w:rPr>
          <w:rtl/>
        </w:rPr>
        <w:t xml:space="preserve"> </w:t>
      </w:r>
      <w:r w:rsidRPr="00F86A84">
        <w:rPr>
          <w:rFonts w:hint="eastAsia"/>
          <w:rtl/>
        </w:rPr>
        <w:t>המדינה</w:t>
      </w:r>
      <w:r w:rsidRPr="00F86A84">
        <w:rPr>
          <w:rtl/>
        </w:rPr>
        <w:t xml:space="preserve"> </w:t>
      </w:r>
      <w:r w:rsidRPr="00F86A84">
        <w:rPr>
          <w:rFonts w:hint="eastAsia"/>
          <w:rtl/>
        </w:rPr>
        <w:t>הזמנית</w:t>
      </w:r>
      <w:r w:rsidRPr="00F86A84">
        <w:rPr>
          <w:rtl/>
        </w:rPr>
        <w:t xml:space="preserve"> </w:t>
      </w:r>
      <w:r w:rsidRPr="00F86A84">
        <w:rPr>
          <w:rFonts w:hint="eastAsia"/>
          <w:rtl/>
        </w:rPr>
        <w:t>בה</w:t>
      </w:r>
      <w:r w:rsidRPr="00F86A84">
        <w:rPr>
          <w:rtl/>
        </w:rPr>
        <w:t xml:space="preserve">' </w:t>
      </w:r>
      <w:r w:rsidRPr="00F86A84">
        <w:rPr>
          <w:rFonts w:hint="eastAsia"/>
          <w:rtl/>
        </w:rPr>
        <w:t>באייר</w:t>
      </w:r>
      <w:r w:rsidRPr="00F86A84">
        <w:rPr>
          <w:rtl/>
        </w:rPr>
        <w:t xml:space="preserve">, </w:t>
      </w:r>
      <w:r w:rsidRPr="00F86A84">
        <w:rPr>
          <w:rFonts w:hint="eastAsia"/>
          <w:rtl/>
        </w:rPr>
        <w:t>תש</w:t>
      </w:r>
      <w:r w:rsidRPr="00F86A84">
        <w:rPr>
          <w:rtl/>
        </w:rPr>
        <w:t>"</w:t>
      </w:r>
      <w:r w:rsidRPr="00F86A84">
        <w:rPr>
          <w:rFonts w:hint="eastAsia"/>
          <w:rtl/>
        </w:rPr>
        <w:t>ח</w:t>
      </w:r>
      <w:r>
        <w:rPr>
          <w:rFonts w:hint="cs"/>
          <w:rtl/>
        </w:rPr>
        <w:t xml:space="preserve">, 14.5.1948; </w:t>
      </w:r>
    </w:p>
    <w:p w:rsidR="0047626A" w:rsidRDefault="0047626A" w:rsidP="0047626A">
      <w:pPr>
        <w:pStyle w:val="Ruller4"/>
        <w:numPr>
          <w:ilvl w:val="1"/>
          <w:numId w:val="1"/>
        </w:numPr>
        <w:tabs>
          <w:tab w:val="clear" w:pos="1440"/>
        </w:tabs>
        <w:ind w:left="1523"/>
      </w:pPr>
      <w:r w:rsidRPr="005E4FC2">
        <w:rPr>
          <w:rFonts w:ascii="Century" w:hAnsi="Century" w:cs="Miriam" w:hint="eastAsia"/>
          <w:b/>
          <w:spacing w:val="0"/>
          <w:sz w:val="22"/>
          <w:szCs w:val="24"/>
          <w:u w:val="single"/>
          <w:rtl/>
        </w:rPr>
        <w:t>פקודת</w:t>
      </w:r>
      <w:r w:rsidRPr="005E4FC2">
        <w:rPr>
          <w:rFonts w:ascii="Century" w:hAnsi="Century" w:cs="Miriam"/>
          <w:b/>
          <w:spacing w:val="0"/>
          <w:sz w:val="22"/>
          <w:szCs w:val="24"/>
          <w:u w:val="single"/>
          <w:rtl/>
        </w:rPr>
        <w:t xml:space="preserve"> </w:t>
      </w:r>
      <w:r w:rsidRPr="005E4FC2">
        <w:rPr>
          <w:rFonts w:ascii="Century" w:hAnsi="Century" w:cs="Miriam" w:hint="eastAsia"/>
          <w:b/>
          <w:spacing w:val="0"/>
          <w:sz w:val="22"/>
          <w:szCs w:val="24"/>
          <w:u w:val="single"/>
          <w:rtl/>
        </w:rPr>
        <w:t>סדרי</w:t>
      </w:r>
      <w:r w:rsidRPr="005E4FC2">
        <w:rPr>
          <w:rFonts w:ascii="Century" w:hAnsi="Century" w:cs="Miriam"/>
          <w:b/>
          <w:spacing w:val="0"/>
          <w:sz w:val="22"/>
          <w:szCs w:val="24"/>
          <w:u w:val="single"/>
          <w:rtl/>
        </w:rPr>
        <w:t xml:space="preserve"> </w:t>
      </w:r>
      <w:r w:rsidRPr="005E4FC2">
        <w:rPr>
          <w:rFonts w:ascii="Century" w:hAnsi="Century" w:cs="Miriam" w:hint="cs"/>
          <w:b/>
          <w:spacing w:val="0"/>
          <w:sz w:val="22"/>
          <w:szCs w:val="24"/>
          <w:u w:val="single"/>
          <w:rtl/>
        </w:rPr>
        <w:t>ה</w:t>
      </w:r>
      <w:r w:rsidRPr="005E4FC2">
        <w:rPr>
          <w:rFonts w:ascii="Century" w:hAnsi="Century" w:cs="Miriam" w:hint="eastAsia"/>
          <w:b/>
          <w:spacing w:val="0"/>
          <w:sz w:val="22"/>
          <w:szCs w:val="24"/>
          <w:u w:val="single"/>
          <w:rtl/>
        </w:rPr>
        <w:t>שלטון</w:t>
      </w:r>
      <w:r w:rsidRPr="005E4FC2">
        <w:rPr>
          <w:rFonts w:ascii="Century" w:hAnsi="Century" w:cs="Miriam"/>
          <w:b/>
          <w:spacing w:val="0"/>
          <w:sz w:val="22"/>
          <w:szCs w:val="24"/>
          <w:u w:val="single"/>
          <w:rtl/>
        </w:rPr>
        <w:t xml:space="preserve"> </w:t>
      </w:r>
      <w:r w:rsidRPr="005E4FC2">
        <w:rPr>
          <w:rFonts w:ascii="Century" w:hAnsi="Century" w:cs="Miriam" w:hint="eastAsia"/>
          <w:b/>
          <w:spacing w:val="0"/>
          <w:sz w:val="22"/>
          <w:szCs w:val="24"/>
          <w:u w:val="single"/>
          <w:rtl/>
        </w:rPr>
        <w:t>ו</w:t>
      </w:r>
      <w:r w:rsidRPr="005E4FC2">
        <w:rPr>
          <w:rFonts w:ascii="Century" w:hAnsi="Century" w:cs="Miriam" w:hint="cs"/>
          <w:b/>
          <w:spacing w:val="0"/>
          <w:sz w:val="22"/>
          <w:szCs w:val="24"/>
          <w:u w:val="single"/>
          <w:rtl/>
        </w:rPr>
        <w:t>ה</w:t>
      </w:r>
      <w:r w:rsidRPr="005E4FC2">
        <w:rPr>
          <w:rFonts w:ascii="Century" w:hAnsi="Century" w:cs="Miriam" w:hint="eastAsia"/>
          <w:b/>
          <w:spacing w:val="0"/>
          <w:sz w:val="22"/>
          <w:szCs w:val="24"/>
          <w:u w:val="single"/>
          <w:rtl/>
        </w:rPr>
        <w:t>משפט</w:t>
      </w:r>
      <w:r>
        <w:rPr>
          <w:rFonts w:hint="cs"/>
          <w:rtl/>
        </w:rPr>
        <w:t xml:space="preserve">, התש"ח-1948 (להלן: </w:t>
      </w:r>
      <w:r w:rsidRPr="005E4FC2">
        <w:rPr>
          <w:rFonts w:ascii="Century" w:hAnsi="Century" w:cs="Miriam" w:hint="eastAsia"/>
          <w:b/>
          <w:spacing w:val="0"/>
          <w:sz w:val="22"/>
          <w:szCs w:val="24"/>
          <w:rtl/>
        </w:rPr>
        <w:t>פקודת</w:t>
      </w:r>
      <w:r w:rsidRPr="005E4FC2">
        <w:rPr>
          <w:rFonts w:ascii="Century" w:hAnsi="Century" w:cs="Miriam"/>
          <w:b/>
          <w:spacing w:val="0"/>
          <w:sz w:val="22"/>
          <w:szCs w:val="24"/>
          <w:rtl/>
        </w:rPr>
        <w:t xml:space="preserve"> </w:t>
      </w:r>
      <w:r w:rsidRPr="005E4FC2">
        <w:rPr>
          <w:rFonts w:ascii="Century" w:hAnsi="Century" w:cs="Miriam" w:hint="eastAsia"/>
          <w:b/>
          <w:spacing w:val="0"/>
          <w:sz w:val="22"/>
          <w:szCs w:val="24"/>
          <w:rtl/>
        </w:rPr>
        <w:t>סדרי</w:t>
      </w:r>
      <w:r w:rsidRPr="005E4FC2">
        <w:rPr>
          <w:rFonts w:ascii="Century" w:hAnsi="Century" w:cs="Miriam"/>
          <w:b/>
          <w:spacing w:val="0"/>
          <w:sz w:val="22"/>
          <w:szCs w:val="24"/>
          <w:rtl/>
        </w:rPr>
        <w:t xml:space="preserve"> </w:t>
      </w:r>
      <w:r w:rsidRPr="005E4FC2">
        <w:rPr>
          <w:rFonts w:ascii="Century" w:hAnsi="Century" w:cs="Miriam" w:hint="eastAsia"/>
          <w:b/>
          <w:spacing w:val="0"/>
          <w:sz w:val="22"/>
          <w:szCs w:val="24"/>
          <w:rtl/>
        </w:rPr>
        <w:t>השלטון</w:t>
      </w:r>
      <w:r w:rsidRPr="005E4FC2">
        <w:rPr>
          <w:rFonts w:ascii="Century" w:hAnsi="Century" w:cs="Miriam"/>
          <w:b/>
          <w:spacing w:val="0"/>
          <w:sz w:val="22"/>
          <w:szCs w:val="24"/>
          <w:rtl/>
        </w:rPr>
        <w:t xml:space="preserve"> </w:t>
      </w:r>
      <w:r w:rsidRPr="005E4FC2">
        <w:rPr>
          <w:rFonts w:ascii="Century" w:hAnsi="Century" w:cs="Miriam" w:hint="eastAsia"/>
          <w:b/>
          <w:spacing w:val="0"/>
          <w:sz w:val="22"/>
          <w:szCs w:val="24"/>
          <w:rtl/>
        </w:rPr>
        <w:t>והמשפט</w:t>
      </w:r>
      <w:r>
        <w:rPr>
          <w:rFonts w:hint="cs"/>
          <w:rtl/>
        </w:rPr>
        <w:t>)</w:t>
      </w:r>
      <w:r w:rsidRPr="00F86A84">
        <w:rPr>
          <w:rtl/>
        </w:rPr>
        <w:t xml:space="preserve">, </w:t>
      </w:r>
      <w:r w:rsidRPr="00F86A84">
        <w:rPr>
          <w:rFonts w:hint="eastAsia"/>
          <w:rtl/>
        </w:rPr>
        <w:t>כפי</w:t>
      </w:r>
      <w:r w:rsidRPr="00F86A84">
        <w:rPr>
          <w:rtl/>
        </w:rPr>
        <w:t xml:space="preserve"> </w:t>
      </w:r>
      <w:r w:rsidRPr="00F86A84">
        <w:rPr>
          <w:rFonts w:hint="eastAsia"/>
          <w:rtl/>
        </w:rPr>
        <w:t>שחוקקה</w:t>
      </w:r>
      <w:r w:rsidRPr="00F86A84">
        <w:rPr>
          <w:rtl/>
        </w:rPr>
        <w:t xml:space="preserve"> </w:t>
      </w:r>
      <w:r w:rsidRPr="00F86A84">
        <w:rPr>
          <w:rFonts w:hint="eastAsia"/>
          <w:rtl/>
        </w:rPr>
        <w:t>על</w:t>
      </w:r>
      <w:r w:rsidRPr="00F86A84">
        <w:rPr>
          <w:rtl/>
        </w:rPr>
        <w:t xml:space="preserve"> </w:t>
      </w:r>
      <w:r w:rsidRPr="00F86A84">
        <w:rPr>
          <w:rFonts w:hint="eastAsia"/>
          <w:rtl/>
        </w:rPr>
        <w:t>ידי</w:t>
      </w:r>
      <w:r w:rsidRPr="00F86A84">
        <w:rPr>
          <w:rtl/>
        </w:rPr>
        <w:t xml:space="preserve"> </w:t>
      </w:r>
      <w:r w:rsidRPr="00F86A84">
        <w:rPr>
          <w:rFonts w:hint="eastAsia"/>
          <w:rtl/>
        </w:rPr>
        <w:t>מועצת</w:t>
      </w:r>
      <w:r w:rsidRPr="00F86A84">
        <w:rPr>
          <w:rtl/>
        </w:rPr>
        <w:t xml:space="preserve"> </w:t>
      </w:r>
      <w:r w:rsidRPr="00F86A84">
        <w:rPr>
          <w:rFonts w:hint="eastAsia"/>
          <w:rtl/>
        </w:rPr>
        <w:t>המדינה</w:t>
      </w:r>
      <w:r w:rsidRPr="00F86A84">
        <w:rPr>
          <w:rtl/>
        </w:rPr>
        <w:t xml:space="preserve"> </w:t>
      </w:r>
      <w:r w:rsidRPr="00F86A84">
        <w:rPr>
          <w:rFonts w:hint="eastAsia"/>
          <w:rtl/>
        </w:rPr>
        <w:t>הזמנית</w:t>
      </w:r>
      <w:r w:rsidRPr="00F86A84">
        <w:rPr>
          <w:rtl/>
        </w:rPr>
        <w:t xml:space="preserve"> </w:t>
      </w:r>
      <w:r w:rsidRPr="00F86A84">
        <w:rPr>
          <w:rFonts w:hint="eastAsia"/>
          <w:rtl/>
        </w:rPr>
        <w:t>ב</w:t>
      </w:r>
      <w:r>
        <w:rPr>
          <w:rFonts w:hint="cs"/>
          <w:rtl/>
        </w:rPr>
        <w:t xml:space="preserve">י"ב באייר, תש"ח, 21.5.1948; </w:t>
      </w:r>
    </w:p>
    <w:p w:rsidR="0047626A" w:rsidRPr="002D40E2" w:rsidRDefault="0047626A" w:rsidP="0047626A">
      <w:pPr>
        <w:pStyle w:val="Ruller4"/>
        <w:numPr>
          <w:ilvl w:val="1"/>
          <w:numId w:val="1"/>
        </w:numPr>
        <w:tabs>
          <w:tab w:val="clear" w:pos="1440"/>
        </w:tabs>
        <w:ind w:left="1523"/>
        <w:rPr>
          <w:rtl/>
        </w:rPr>
      </w:pPr>
      <w:r>
        <w:rPr>
          <w:rFonts w:hint="cs"/>
          <w:rtl/>
        </w:rPr>
        <w:t xml:space="preserve">וכן </w:t>
      </w:r>
      <w:r>
        <w:rPr>
          <w:rtl/>
        </w:rPr>
        <w:t>–</w:t>
      </w:r>
      <w:r>
        <w:rPr>
          <w:rFonts w:hint="cs"/>
          <w:rtl/>
        </w:rPr>
        <w:t xml:space="preserve"> בראש ובראשונה </w:t>
      </w:r>
      <w:r>
        <w:rPr>
          <w:rtl/>
        </w:rPr>
        <w:t>–</w:t>
      </w:r>
      <w:r>
        <w:rPr>
          <w:rFonts w:hint="cs"/>
          <w:rtl/>
        </w:rPr>
        <w:t xml:space="preserve"> </w:t>
      </w:r>
      <w:r w:rsidRPr="005E4FC2">
        <w:rPr>
          <w:rFonts w:ascii="Century" w:hAnsi="Century" w:cs="Miriam" w:hint="cs"/>
          <w:b/>
          <w:spacing w:val="0"/>
          <w:sz w:val="22"/>
          <w:szCs w:val="24"/>
          <w:u w:val="single"/>
          <w:rtl/>
        </w:rPr>
        <w:t>הכרזת העצמאות</w:t>
      </w:r>
      <w:r>
        <w:rPr>
          <w:rFonts w:hint="cs"/>
          <w:rtl/>
        </w:rPr>
        <w:t xml:space="preserve"> אשר הוכרזה על ידי מועצת העם בה' באייר, תש"ח, 14.5.1948, </w:t>
      </w:r>
      <w:r w:rsidRPr="001408CE">
        <w:rPr>
          <w:rFonts w:ascii="Century" w:hAnsi="Century" w:cs="Miriam" w:hint="cs"/>
          <w:b/>
          <w:spacing w:val="0"/>
          <w:sz w:val="22"/>
          <w:szCs w:val="24"/>
          <w:u w:val="single"/>
          <w:rtl/>
        </w:rPr>
        <w:t>ושאליה הפנו המנשר והפקודה במילים מפורשות</w:t>
      </w:r>
      <w:r w:rsidRPr="00A44D2C">
        <w:rPr>
          <w:rFonts w:hint="cs"/>
          <w:u w:val="single"/>
          <w:rtl/>
        </w:rPr>
        <w:t xml:space="preserve"> </w:t>
      </w:r>
      <w:r w:rsidRPr="00A44D2C">
        <w:rPr>
          <w:rFonts w:ascii="Century" w:hAnsi="Century" w:hint="cs"/>
          <w:sz w:val="22"/>
          <w:u w:val="single"/>
          <w:rtl/>
        </w:rPr>
        <w:t>שאינן מותירות מקום לספקות</w:t>
      </w:r>
      <w:r>
        <w:rPr>
          <w:rFonts w:ascii="Century" w:hAnsi="Century" w:hint="cs"/>
          <w:sz w:val="22"/>
          <w:rtl/>
        </w:rPr>
        <w:t>.</w:t>
      </w:r>
    </w:p>
    <w:p w:rsidR="0047626A" w:rsidRDefault="0047626A" w:rsidP="0047626A">
      <w:pPr>
        <w:pStyle w:val="Ruller41"/>
        <w:rPr>
          <w:rtl/>
        </w:rPr>
      </w:pPr>
    </w:p>
    <w:p w:rsidR="0047626A" w:rsidRPr="00F86A84" w:rsidRDefault="0047626A" w:rsidP="0047626A">
      <w:pPr>
        <w:pStyle w:val="Ruller41"/>
        <w:rPr>
          <w:rtl/>
        </w:rPr>
      </w:pPr>
      <w:r>
        <w:rPr>
          <w:rtl/>
        </w:rPr>
        <w:tab/>
      </w:r>
      <w:r>
        <w:rPr>
          <w:rFonts w:hint="cs"/>
          <w:rtl/>
        </w:rPr>
        <w:t>על משמעותם החוקתית של שלושת אלו עמדתי בפסק דיני ב</w:t>
      </w:r>
      <w:r w:rsidRPr="00E1504B">
        <w:rPr>
          <w:rFonts w:ascii="Century" w:hAnsi="Century" w:cs="Miriam" w:hint="cs"/>
          <w:b/>
          <w:spacing w:val="0"/>
          <w:szCs w:val="24"/>
          <w:rtl/>
        </w:rPr>
        <w:t>בג"ץ טבריה</w:t>
      </w:r>
      <w:r>
        <w:rPr>
          <w:rFonts w:hint="cs"/>
          <w:rtl/>
        </w:rPr>
        <w:t xml:space="preserve">. מפאת חשיבות הדברים, ולשם פירוט ושלמות התמונה, אעמוד עליהם כאן פעם נוספת.  </w:t>
      </w:r>
    </w:p>
    <w:p w:rsidR="0047626A" w:rsidRDefault="0047626A" w:rsidP="0047626A">
      <w:pPr>
        <w:pStyle w:val="Ruller41"/>
        <w:rPr>
          <w:rtl/>
        </w:rPr>
      </w:pPr>
    </w:p>
    <w:p w:rsidR="0047626A" w:rsidRPr="00CC1627" w:rsidRDefault="0047626A" w:rsidP="0047626A">
      <w:pPr>
        <w:pStyle w:val="Ruller41"/>
        <w:rPr>
          <w:rFonts w:ascii="Century" w:hAnsi="Century" w:cs="Miriam"/>
          <w:b/>
          <w:spacing w:val="0"/>
          <w:szCs w:val="24"/>
          <w:rtl/>
        </w:rPr>
      </w:pPr>
      <w:r w:rsidRPr="00CC1627">
        <w:rPr>
          <w:rFonts w:ascii="Century" w:hAnsi="Century" w:cs="Miriam" w:hint="cs"/>
          <w:b/>
          <w:spacing w:val="0"/>
          <w:szCs w:val="24"/>
          <w:rtl/>
        </w:rPr>
        <w:t xml:space="preserve">המנשר </w:t>
      </w:r>
    </w:p>
    <w:p w:rsidR="0047626A" w:rsidRDefault="0047626A" w:rsidP="0047626A">
      <w:pPr>
        <w:pStyle w:val="Ruller41"/>
        <w:rPr>
          <w:rtl/>
        </w:rPr>
      </w:pPr>
    </w:p>
    <w:p w:rsidR="0047626A" w:rsidRDefault="0047626A" w:rsidP="0047626A">
      <w:pPr>
        <w:pStyle w:val="Ruller4"/>
        <w:rPr>
          <w:rtl/>
        </w:rPr>
      </w:pPr>
      <w:r>
        <w:rPr>
          <w:rFonts w:hint="cs"/>
          <w:rtl/>
        </w:rPr>
        <w:t>המנשר, שכאמור פורסם ביום 14.5.1948, קבע את הדברים הבאים:</w:t>
      </w:r>
    </w:p>
    <w:p w:rsidR="0047626A" w:rsidRDefault="0047626A" w:rsidP="0047626A">
      <w:pPr>
        <w:pStyle w:val="Ruller41"/>
        <w:rPr>
          <w:rtl/>
        </w:rPr>
      </w:pPr>
    </w:p>
    <w:p w:rsidR="0047626A" w:rsidRDefault="0047626A" w:rsidP="0047626A">
      <w:pPr>
        <w:pStyle w:val="Ruller5"/>
        <w:rPr>
          <w:rtl/>
        </w:rPr>
      </w:pPr>
      <w:r>
        <w:rPr>
          <w:rFonts w:hint="cs"/>
          <w:rtl/>
        </w:rPr>
        <w:t>"</w:t>
      </w:r>
      <w:r w:rsidRPr="00120DBD">
        <w:rPr>
          <w:rFonts w:ascii="Century" w:hAnsi="Century" w:cs="Miriam" w:hint="eastAsia"/>
          <w:b/>
          <w:spacing w:val="0"/>
          <w:szCs w:val="24"/>
          <w:u w:val="single"/>
          <w:rtl/>
        </w:rPr>
        <w:t>בת</w:t>
      </w:r>
      <w:r w:rsidRPr="00120DBD">
        <w:rPr>
          <w:rFonts w:ascii="Century" w:hAnsi="Century" w:cs="Miriam" w:hint="cs"/>
          <w:b/>
          <w:spacing w:val="0"/>
          <w:szCs w:val="24"/>
          <w:u w:val="single"/>
          <w:rtl/>
        </w:rPr>
        <w:t>ו</w:t>
      </w:r>
      <w:r w:rsidRPr="00120DBD">
        <w:rPr>
          <w:rFonts w:ascii="Century" w:hAnsi="Century" w:cs="Miriam" w:hint="eastAsia"/>
          <w:b/>
          <w:spacing w:val="0"/>
          <w:szCs w:val="24"/>
          <w:u w:val="single"/>
          <w:rtl/>
        </w:rPr>
        <w:t>קף</w:t>
      </w:r>
      <w:r w:rsidRPr="00120DBD">
        <w:rPr>
          <w:rFonts w:ascii="Century" w:hAnsi="Century" w:cs="Miriam"/>
          <w:b/>
          <w:spacing w:val="0"/>
          <w:szCs w:val="24"/>
          <w:u w:val="single"/>
          <w:rtl/>
        </w:rPr>
        <w:t xml:space="preserve"> </w:t>
      </w:r>
      <w:r w:rsidRPr="00120DBD">
        <w:rPr>
          <w:rFonts w:ascii="Century" w:hAnsi="Century" w:cs="Miriam" w:hint="eastAsia"/>
          <w:b/>
          <w:spacing w:val="0"/>
          <w:szCs w:val="24"/>
          <w:u w:val="single"/>
          <w:rtl/>
        </w:rPr>
        <w:t>הכרזת</w:t>
      </w:r>
      <w:r w:rsidRPr="00120DBD">
        <w:rPr>
          <w:rFonts w:ascii="Century" w:hAnsi="Century" w:cs="Miriam"/>
          <w:b/>
          <w:spacing w:val="0"/>
          <w:szCs w:val="24"/>
          <w:u w:val="single"/>
          <w:rtl/>
        </w:rPr>
        <w:t xml:space="preserve"> </w:t>
      </w:r>
      <w:r w:rsidRPr="00120DBD">
        <w:rPr>
          <w:rFonts w:ascii="Century" w:hAnsi="Century" w:cs="Miriam" w:hint="eastAsia"/>
          <w:b/>
          <w:spacing w:val="0"/>
          <w:szCs w:val="24"/>
          <w:u w:val="single"/>
          <w:rtl/>
        </w:rPr>
        <w:t>העצמאות</w:t>
      </w:r>
      <w:r>
        <w:rPr>
          <w:rtl/>
        </w:rPr>
        <w:t xml:space="preserve">, </w:t>
      </w:r>
      <w:r>
        <w:rPr>
          <w:rFonts w:hint="eastAsia"/>
          <w:rtl/>
        </w:rPr>
        <w:t>שנתפרסמה</w:t>
      </w:r>
      <w:r>
        <w:rPr>
          <w:rtl/>
        </w:rPr>
        <w:t xml:space="preserve"> </w:t>
      </w:r>
      <w:r>
        <w:rPr>
          <w:rFonts w:hint="eastAsia"/>
          <w:rtl/>
        </w:rPr>
        <w:t>היום</w:t>
      </w:r>
      <w:r>
        <w:rPr>
          <w:rtl/>
        </w:rPr>
        <w:t xml:space="preserve">, </w:t>
      </w:r>
      <w:r>
        <w:rPr>
          <w:rFonts w:hint="eastAsia"/>
          <w:rtl/>
        </w:rPr>
        <w:t>יום</w:t>
      </w:r>
      <w:r>
        <w:rPr>
          <w:rtl/>
        </w:rPr>
        <w:t xml:space="preserve"> </w:t>
      </w:r>
      <w:r>
        <w:rPr>
          <w:rFonts w:hint="eastAsia"/>
          <w:rtl/>
        </w:rPr>
        <w:t>ה׳</w:t>
      </w:r>
      <w:r>
        <w:rPr>
          <w:rtl/>
        </w:rPr>
        <w:t xml:space="preserve"> </w:t>
      </w:r>
      <w:r>
        <w:rPr>
          <w:rFonts w:hint="eastAsia"/>
          <w:rtl/>
        </w:rPr>
        <w:t>באייר</w:t>
      </w:r>
      <w:r>
        <w:rPr>
          <w:rtl/>
        </w:rPr>
        <w:t xml:space="preserve"> </w:t>
      </w:r>
      <w:r>
        <w:rPr>
          <w:rFonts w:hint="eastAsia"/>
          <w:rtl/>
        </w:rPr>
        <w:t>תש״ח</w:t>
      </w:r>
      <w:r>
        <w:rPr>
          <w:rtl/>
        </w:rPr>
        <w:t xml:space="preserve"> (14 </w:t>
      </w:r>
      <w:r>
        <w:rPr>
          <w:rFonts w:hint="eastAsia"/>
          <w:rtl/>
        </w:rPr>
        <w:t>במאי</w:t>
      </w:r>
      <w:r>
        <w:rPr>
          <w:rtl/>
        </w:rPr>
        <w:t xml:space="preserve"> 1948), </w:t>
      </w:r>
      <w:r w:rsidRPr="006C2EBF">
        <w:rPr>
          <w:rFonts w:ascii="Century" w:hAnsi="Century" w:cs="Miriam" w:hint="eastAsia"/>
          <w:b/>
          <w:spacing w:val="0"/>
          <w:szCs w:val="24"/>
          <w:rtl/>
        </w:rPr>
        <w:t>ואשר</w:t>
      </w:r>
      <w:r w:rsidRPr="006C2EBF">
        <w:rPr>
          <w:rFonts w:ascii="Century" w:hAnsi="Century" w:cs="Miriam"/>
          <w:b/>
          <w:spacing w:val="0"/>
          <w:szCs w:val="24"/>
          <w:rtl/>
        </w:rPr>
        <w:t xml:space="preserve"> </w:t>
      </w:r>
      <w:r w:rsidRPr="006C2EBF">
        <w:rPr>
          <w:rFonts w:ascii="Century" w:hAnsi="Century" w:cs="Miriam" w:hint="eastAsia"/>
          <w:b/>
          <w:spacing w:val="0"/>
          <w:szCs w:val="24"/>
          <w:rtl/>
        </w:rPr>
        <w:t>לפיה</w:t>
      </w:r>
      <w:r w:rsidRPr="006C2EBF">
        <w:rPr>
          <w:rFonts w:ascii="Century" w:hAnsi="Century" w:cs="Miriam"/>
          <w:b/>
          <w:spacing w:val="0"/>
          <w:szCs w:val="24"/>
          <w:rtl/>
        </w:rPr>
        <w:t xml:space="preserve"> </w:t>
      </w:r>
      <w:r w:rsidRPr="006C2EBF">
        <w:rPr>
          <w:rFonts w:ascii="Century" w:hAnsi="Century" w:cs="Miriam" w:hint="eastAsia"/>
          <w:b/>
          <w:spacing w:val="0"/>
          <w:szCs w:val="24"/>
          <w:rtl/>
        </w:rPr>
        <w:t>הוקמו</w:t>
      </w:r>
      <w:r w:rsidRPr="006C2EBF">
        <w:rPr>
          <w:rFonts w:ascii="Century" w:hAnsi="Century" w:cs="Miriam"/>
          <w:b/>
          <w:spacing w:val="0"/>
          <w:szCs w:val="24"/>
          <w:rtl/>
        </w:rPr>
        <w:t xml:space="preserve"> </w:t>
      </w:r>
      <w:r w:rsidRPr="006C2EBF">
        <w:rPr>
          <w:rFonts w:ascii="Century" w:hAnsi="Century" w:cs="Miriam" w:hint="eastAsia"/>
          <w:b/>
          <w:spacing w:val="0"/>
          <w:szCs w:val="24"/>
          <w:rtl/>
        </w:rPr>
        <w:t>מועצת</w:t>
      </w:r>
      <w:r w:rsidRPr="006C2EBF">
        <w:rPr>
          <w:rFonts w:ascii="Century" w:hAnsi="Century" w:cs="Miriam"/>
          <w:b/>
          <w:spacing w:val="0"/>
          <w:szCs w:val="24"/>
          <w:rtl/>
        </w:rPr>
        <w:t xml:space="preserve"> </w:t>
      </w:r>
      <w:r w:rsidRPr="006C2EBF">
        <w:rPr>
          <w:rFonts w:ascii="Century" w:hAnsi="Century" w:cs="Miriam" w:hint="eastAsia"/>
          <w:b/>
          <w:spacing w:val="0"/>
          <w:szCs w:val="24"/>
          <w:rtl/>
        </w:rPr>
        <w:t>המדינה</w:t>
      </w:r>
      <w:r w:rsidRPr="006C2EBF">
        <w:rPr>
          <w:rFonts w:ascii="Century" w:hAnsi="Century" w:cs="Miriam"/>
          <w:b/>
          <w:spacing w:val="0"/>
          <w:szCs w:val="24"/>
          <w:rtl/>
        </w:rPr>
        <w:t xml:space="preserve"> </w:t>
      </w:r>
      <w:r w:rsidRPr="006C2EBF">
        <w:rPr>
          <w:rFonts w:ascii="Century" w:hAnsi="Century" w:cs="Miriam" w:hint="eastAsia"/>
          <w:b/>
          <w:spacing w:val="0"/>
          <w:szCs w:val="24"/>
          <w:rtl/>
        </w:rPr>
        <w:t>הזמנית</w:t>
      </w:r>
      <w:r>
        <w:rPr>
          <w:rtl/>
        </w:rPr>
        <w:t xml:space="preserve"> </w:t>
      </w:r>
      <w:r>
        <w:rPr>
          <w:rFonts w:hint="eastAsia"/>
          <w:rtl/>
        </w:rPr>
        <w:t>והממשלה</w:t>
      </w:r>
      <w:r>
        <w:rPr>
          <w:rtl/>
        </w:rPr>
        <w:t xml:space="preserve"> </w:t>
      </w:r>
      <w:r>
        <w:rPr>
          <w:rFonts w:hint="eastAsia"/>
          <w:rtl/>
        </w:rPr>
        <w:t>הזמנית</w:t>
      </w:r>
      <w:r>
        <w:rPr>
          <w:rtl/>
        </w:rPr>
        <w:t xml:space="preserve"> </w:t>
      </w:r>
      <w:r>
        <w:rPr>
          <w:rFonts w:hint="eastAsia"/>
          <w:rtl/>
        </w:rPr>
        <w:t>של</w:t>
      </w:r>
      <w:r>
        <w:rPr>
          <w:rtl/>
        </w:rPr>
        <w:t xml:space="preserve"> </w:t>
      </w:r>
      <w:r>
        <w:rPr>
          <w:rFonts w:hint="eastAsia"/>
          <w:rtl/>
        </w:rPr>
        <w:t>מדינת</w:t>
      </w:r>
      <w:r>
        <w:rPr>
          <w:rtl/>
        </w:rPr>
        <w:t xml:space="preserve"> </w:t>
      </w:r>
      <w:r>
        <w:rPr>
          <w:rFonts w:hint="eastAsia"/>
          <w:rtl/>
        </w:rPr>
        <w:t>ישראל</w:t>
      </w:r>
      <w:r>
        <w:rPr>
          <w:rtl/>
        </w:rPr>
        <w:t xml:space="preserve">, </w:t>
      </w:r>
      <w:r>
        <w:rPr>
          <w:rFonts w:hint="eastAsia"/>
          <w:rtl/>
        </w:rPr>
        <w:t>מכריזה</w:t>
      </w:r>
      <w:r>
        <w:rPr>
          <w:rtl/>
        </w:rPr>
        <w:t xml:space="preserve"> </w:t>
      </w:r>
      <w:r>
        <w:rPr>
          <w:rFonts w:hint="eastAsia"/>
          <w:rtl/>
        </w:rPr>
        <w:t>בזה</w:t>
      </w:r>
      <w:r>
        <w:rPr>
          <w:rtl/>
        </w:rPr>
        <w:t xml:space="preserve"> </w:t>
      </w:r>
      <w:r>
        <w:rPr>
          <w:rFonts w:hint="eastAsia"/>
          <w:rtl/>
        </w:rPr>
        <w:t>מועצת</w:t>
      </w:r>
      <w:r>
        <w:rPr>
          <w:rtl/>
        </w:rPr>
        <w:t xml:space="preserve"> </w:t>
      </w:r>
      <w:r>
        <w:rPr>
          <w:rFonts w:hint="eastAsia"/>
          <w:rtl/>
        </w:rPr>
        <w:t>המדינה</w:t>
      </w:r>
      <w:r>
        <w:rPr>
          <w:rtl/>
        </w:rPr>
        <w:t xml:space="preserve"> </w:t>
      </w:r>
      <w:r>
        <w:rPr>
          <w:rFonts w:hint="eastAsia"/>
          <w:rtl/>
        </w:rPr>
        <w:t>הזמנית</w:t>
      </w:r>
      <w:r>
        <w:rPr>
          <w:rtl/>
        </w:rPr>
        <w:t xml:space="preserve"> </w:t>
      </w:r>
      <w:r>
        <w:rPr>
          <w:rFonts w:hint="eastAsia"/>
          <w:rtl/>
        </w:rPr>
        <w:t>לאמור</w:t>
      </w:r>
      <w:r>
        <w:rPr>
          <w:rtl/>
        </w:rPr>
        <w:t>:</w:t>
      </w:r>
      <w:r>
        <w:rPr>
          <w:rFonts w:hint="cs"/>
          <w:rtl/>
        </w:rPr>
        <w:t xml:space="preserve"> 1. </w:t>
      </w:r>
      <w:r>
        <w:rPr>
          <w:rFonts w:hint="eastAsia"/>
          <w:rtl/>
        </w:rPr>
        <w:t>מועצת</w:t>
      </w:r>
      <w:r>
        <w:rPr>
          <w:rtl/>
        </w:rPr>
        <w:t xml:space="preserve"> </w:t>
      </w:r>
      <w:r>
        <w:rPr>
          <w:rFonts w:hint="eastAsia"/>
          <w:rtl/>
        </w:rPr>
        <w:t>המדינה</w:t>
      </w:r>
      <w:r>
        <w:rPr>
          <w:rtl/>
        </w:rPr>
        <w:t xml:space="preserve"> </w:t>
      </w:r>
      <w:r>
        <w:rPr>
          <w:rFonts w:hint="eastAsia"/>
          <w:rtl/>
        </w:rPr>
        <w:t>הזמנית</w:t>
      </w:r>
      <w:r>
        <w:rPr>
          <w:rtl/>
        </w:rPr>
        <w:t xml:space="preserve"> </w:t>
      </w:r>
      <w:r>
        <w:rPr>
          <w:rFonts w:hint="eastAsia"/>
          <w:rtl/>
        </w:rPr>
        <w:t>היא</w:t>
      </w:r>
      <w:r>
        <w:rPr>
          <w:rtl/>
        </w:rPr>
        <w:t xml:space="preserve"> </w:t>
      </w:r>
      <w:r>
        <w:rPr>
          <w:rFonts w:hint="eastAsia"/>
          <w:rtl/>
        </w:rPr>
        <w:t>הרשות</w:t>
      </w:r>
      <w:r>
        <w:rPr>
          <w:rtl/>
        </w:rPr>
        <w:t xml:space="preserve"> </w:t>
      </w:r>
      <w:r>
        <w:rPr>
          <w:rFonts w:hint="eastAsia"/>
          <w:rtl/>
        </w:rPr>
        <w:t>המחוקקת</w:t>
      </w:r>
      <w:r>
        <w:rPr>
          <w:rtl/>
        </w:rPr>
        <w:t>.</w:t>
      </w:r>
      <w:r>
        <w:rPr>
          <w:rFonts w:hint="cs"/>
          <w:rtl/>
        </w:rPr>
        <w:t xml:space="preserve"> </w:t>
      </w:r>
      <w:r>
        <w:rPr>
          <w:rFonts w:hint="eastAsia"/>
          <w:rtl/>
        </w:rPr>
        <w:t>מועצת</w:t>
      </w:r>
      <w:r>
        <w:rPr>
          <w:rtl/>
        </w:rPr>
        <w:t xml:space="preserve"> </w:t>
      </w:r>
      <w:r>
        <w:rPr>
          <w:rFonts w:hint="eastAsia"/>
          <w:rtl/>
        </w:rPr>
        <w:t>המדינה</w:t>
      </w:r>
      <w:r>
        <w:rPr>
          <w:rtl/>
        </w:rPr>
        <w:t xml:space="preserve"> </w:t>
      </w:r>
      <w:r>
        <w:rPr>
          <w:rFonts w:hint="eastAsia"/>
          <w:rtl/>
        </w:rPr>
        <w:t>הזמנית</w:t>
      </w:r>
      <w:r>
        <w:rPr>
          <w:rtl/>
        </w:rPr>
        <w:t xml:space="preserve"> </w:t>
      </w:r>
      <w:r>
        <w:rPr>
          <w:rFonts w:hint="eastAsia"/>
          <w:rtl/>
        </w:rPr>
        <w:t>זכאית</w:t>
      </w:r>
      <w:r>
        <w:rPr>
          <w:rtl/>
        </w:rPr>
        <w:t xml:space="preserve"> </w:t>
      </w:r>
      <w:r>
        <w:rPr>
          <w:rFonts w:hint="eastAsia"/>
          <w:rtl/>
        </w:rPr>
        <w:t>להעניק</w:t>
      </w:r>
      <w:r>
        <w:rPr>
          <w:rtl/>
        </w:rPr>
        <w:t xml:space="preserve"> </w:t>
      </w:r>
      <w:r>
        <w:rPr>
          <w:rFonts w:hint="eastAsia"/>
          <w:rtl/>
        </w:rPr>
        <w:t>מסמכות</w:t>
      </w:r>
      <w:r>
        <w:rPr>
          <w:rtl/>
        </w:rPr>
        <w:t xml:space="preserve"> </w:t>
      </w:r>
      <w:r>
        <w:rPr>
          <w:rFonts w:hint="eastAsia"/>
          <w:rtl/>
        </w:rPr>
        <w:t>זו</w:t>
      </w:r>
      <w:r>
        <w:rPr>
          <w:rtl/>
        </w:rPr>
        <w:t xml:space="preserve"> </w:t>
      </w:r>
      <w:r>
        <w:rPr>
          <w:rFonts w:hint="eastAsia"/>
          <w:rtl/>
        </w:rPr>
        <w:t>לממשלה</w:t>
      </w:r>
      <w:r>
        <w:rPr>
          <w:rtl/>
        </w:rPr>
        <w:t xml:space="preserve"> </w:t>
      </w:r>
      <w:r>
        <w:rPr>
          <w:rFonts w:hint="eastAsia"/>
          <w:rtl/>
        </w:rPr>
        <w:t>הזמנית</w:t>
      </w:r>
      <w:r>
        <w:rPr>
          <w:rtl/>
        </w:rPr>
        <w:t xml:space="preserve"> </w:t>
      </w:r>
      <w:r>
        <w:rPr>
          <w:rFonts w:hint="eastAsia"/>
          <w:rtl/>
        </w:rPr>
        <w:t>לשם</w:t>
      </w:r>
      <w:r>
        <w:rPr>
          <w:rtl/>
        </w:rPr>
        <w:t xml:space="preserve"> </w:t>
      </w:r>
      <w:r>
        <w:rPr>
          <w:rFonts w:hint="eastAsia"/>
          <w:rtl/>
        </w:rPr>
        <w:t>חקיקה</w:t>
      </w:r>
      <w:r>
        <w:rPr>
          <w:rtl/>
        </w:rPr>
        <w:t xml:space="preserve"> </w:t>
      </w:r>
      <w:r>
        <w:rPr>
          <w:rFonts w:hint="eastAsia"/>
          <w:rtl/>
        </w:rPr>
        <w:t>דחופה</w:t>
      </w:r>
      <w:r>
        <w:rPr>
          <w:rFonts w:hint="cs"/>
          <w:rtl/>
        </w:rPr>
        <w:t xml:space="preserve">" (ההדגשה הוספה </w:t>
      </w:r>
      <w:r>
        <w:rPr>
          <w:rtl/>
        </w:rPr>
        <w:t>–</w:t>
      </w:r>
      <w:r>
        <w:rPr>
          <w:rFonts w:hint="cs"/>
          <w:rtl/>
        </w:rPr>
        <w:t xml:space="preserve"> א.ש.).</w:t>
      </w:r>
    </w:p>
    <w:p w:rsidR="0047626A" w:rsidRDefault="0047626A" w:rsidP="0047626A">
      <w:pPr>
        <w:pStyle w:val="Ruller41"/>
        <w:rPr>
          <w:rtl/>
        </w:rPr>
      </w:pPr>
      <w:r>
        <w:rPr>
          <w:rtl/>
        </w:rPr>
        <w:tab/>
      </w:r>
    </w:p>
    <w:p w:rsidR="0047626A" w:rsidRDefault="0047626A" w:rsidP="0047626A">
      <w:pPr>
        <w:pStyle w:val="Ruller41"/>
        <w:rPr>
          <w:rtl/>
        </w:rPr>
      </w:pPr>
      <w:r>
        <w:rPr>
          <w:rtl/>
        </w:rPr>
        <w:tab/>
      </w:r>
      <w:r>
        <w:rPr>
          <w:rFonts w:hint="cs"/>
          <w:rtl/>
        </w:rPr>
        <w:t>מפאת חשיבותו של מסמך היסטורי זה, ראיתי לנכון להביאו כאן, כפי שהודפס והופץ:</w:t>
      </w:r>
    </w:p>
    <w:p w:rsidR="0047626A" w:rsidRDefault="0047626A" w:rsidP="0047626A">
      <w:pPr>
        <w:pStyle w:val="Ruller41"/>
        <w:rPr>
          <w:rtl/>
        </w:rPr>
      </w:pPr>
    </w:p>
    <w:p w:rsidR="0047626A" w:rsidRDefault="0047626A" w:rsidP="0047626A">
      <w:pPr>
        <w:pStyle w:val="Ruller41"/>
        <w:jc w:val="center"/>
        <w:rPr>
          <w:rtl/>
        </w:rPr>
      </w:pPr>
      <w:r>
        <w:rPr>
          <w:noProof/>
          <w:rtl/>
        </w:rPr>
        <w:lastRenderedPageBreak/>
        <w:drawing>
          <wp:inline distT="0" distB="0" distL="0" distR="0" wp14:anchorId="336FD7EF" wp14:editId="64BBC882">
            <wp:extent cx="2825750" cy="3633787"/>
            <wp:effectExtent l="0" t="0" r="0" b="508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מנשר.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6218" cy="3672967"/>
                    </a:xfrm>
                    <a:prstGeom prst="rect">
                      <a:avLst/>
                    </a:prstGeom>
                  </pic:spPr>
                </pic:pic>
              </a:graphicData>
            </a:graphic>
          </wp:inline>
        </w:drawing>
      </w:r>
    </w:p>
    <w:p w:rsidR="0047626A" w:rsidRDefault="0047626A" w:rsidP="0047626A">
      <w:pPr>
        <w:pStyle w:val="Ruller41"/>
        <w:rPr>
          <w:rtl/>
        </w:rPr>
      </w:pPr>
    </w:p>
    <w:p w:rsidR="0047626A" w:rsidRDefault="0047626A" w:rsidP="0047626A">
      <w:pPr>
        <w:pStyle w:val="Ruller4"/>
        <w:rPr>
          <w:rtl/>
        </w:rPr>
      </w:pPr>
      <w:r>
        <w:rPr>
          <w:rFonts w:hint="cs"/>
          <w:rtl/>
        </w:rPr>
        <w:t xml:space="preserve">כפי שניתן להיווכח, המנשר מציין במפורש את העובדה שמועצת המדינה הזמנית קיבלה את סמכויותיה מהכרזת העצמאות, וכי אין לה מקור אחר ממנו ניתן לשאוב את הסמכות לחוקק חוקים ולכונן חוקה. </w:t>
      </w:r>
      <w:r w:rsidRPr="00FE1D1F">
        <w:rPr>
          <w:rFonts w:ascii="Century" w:hAnsi="Century" w:cs="Miriam" w:hint="cs"/>
          <w:b/>
          <w:spacing w:val="0"/>
          <w:sz w:val="22"/>
          <w:szCs w:val="24"/>
          <w:rtl/>
        </w:rPr>
        <w:t>הווה אומר: מועצת המדינה הזמנית, וכל כנסת שנכנסה לנעליה במרוצת השנים, לא קיבלה לידיה סמכויות אשר עולות על אלה שבהכרזת העצמאות.</w:t>
      </w:r>
    </w:p>
    <w:p w:rsidR="0047626A" w:rsidRDefault="0047626A" w:rsidP="0047626A">
      <w:pPr>
        <w:pStyle w:val="Ruller41"/>
        <w:rPr>
          <w:rtl/>
        </w:rPr>
      </w:pPr>
    </w:p>
    <w:p w:rsidR="0047626A" w:rsidRDefault="0047626A" w:rsidP="0047626A">
      <w:pPr>
        <w:pStyle w:val="Ruller41"/>
        <w:rPr>
          <w:rFonts w:ascii="Century" w:hAnsi="Century" w:cs="Miriam"/>
          <w:b/>
          <w:spacing w:val="0"/>
          <w:szCs w:val="24"/>
          <w:rtl/>
        </w:rPr>
      </w:pPr>
      <w:r w:rsidRPr="00CC1627">
        <w:rPr>
          <w:rFonts w:ascii="Century" w:hAnsi="Century" w:cs="Miriam" w:hint="cs"/>
          <w:b/>
          <w:spacing w:val="0"/>
          <w:szCs w:val="24"/>
          <w:rtl/>
        </w:rPr>
        <w:t xml:space="preserve">פקודת </w:t>
      </w:r>
      <w:r>
        <w:rPr>
          <w:rFonts w:ascii="Century" w:hAnsi="Century" w:cs="Miriam" w:hint="cs"/>
          <w:b/>
          <w:spacing w:val="0"/>
          <w:szCs w:val="24"/>
          <w:rtl/>
        </w:rPr>
        <w:t>סדרי השלטון והמשפט</w:t>
      </w:r>
    </w:p>
    <w:p w:rsidR="0047626A" w:rsidRPr="00CC1627" w:rsidRDefault="0047626A" w:rsidP="0047626A">
      <w:pPr>
        <w:pStyle w:val="Ruller41"/>
        <w:rPr>
          <w:rFonts w:ascii="Century" w:hAnsi="Century" w:cs="Miriam"/>
          <w:b/>
          <w:spacing w:val="0"/>
          <w:szCs w:val="24"/>
          <w:rtl/>
        </w:rPr>
      </w:pPr>
    </w:p>
    <w:p w:rsidR="0047626A" w:rsidRDefault="0047626A" w:rsidP="0047626A">
      <w:pPr>
        <w:pStyle w:val="Ruller4"/>
        <w:rPr>
          <w:rtl/>
        </w:rPr>
      </w:pPr>
      <w:r>
        <w:rPr>
          <w:rFonts w:hint="cs"/>
          <w:rtl/>
        </w:rPr>
        <w:t>פקודה זו הקימה את מוסדות השלטון במדינת ישראל והגדירה את סמכויותיהם. במבוא לפקודה נאמר מפורשות כך:</w:t>
      </w:r>
    </w:p>
    <w:p w:rsidR="0047626A" w:rsidRDefault="0047626A" w:rsidP="0047626A">
      <w:pPr>
        <w:pStyle w:val="Ruller41"/>
        <w:rPr>
          <w:rtl/>
        </w:rPr>
      </w:pPr>
    </w:p>
    <w:p w:rsidR="0047626A" w:rsidRDefault="0047626A" w:rsidP="0047626A">
      <w:pPr>
        <w:pStyle w:val="Ruller5"/>
        <w:rPr>
          <w:rtl/>
        </w:rPr>
      </w:pPr>
      <w:r>
        <w:rPr>
          <w:rFonts w:hint="cs"/>
          <w:rtl/>
        </w:rPr>
        <w:t>"</w:t>
      </w:r>
      <w:r w:rsidRPr="00904F72">
        <w:rPr>
          <w:rFonts w:ascii="Century" w:hAnsi="Century" w:cs="Miriam" w:hint="cs"/>
          <w:b/>
          <w:spacing w:val="0"/>
          <w:szCs w:val="24"/>
          <w:rtl/>
        </w:rPr>
        <w:t xml:space="preserve">בתוקף הסמכות שנקבעה למועצת המדינה הזמנית </w:t>
      </w:r>
      <w:r w:rsidRPr="00FE1D1F">
        <w:rPr>
          <w:rFonts w:ascii="Century" w:hAnsi="Century" w:cs="Miriam" w:hint="cs"/>
          <w:b/>
          <w:spacing w:val="0"/>
          <w:szCs w:val="24"/>
          <w:u w:val="single"/>
          <w:rtl/>
        </w:rPr>
        <w:t>בהכרזה על הקמת מדינת ישראל</w:t>
      </w:r>
      <w:r>
        <w:rPr>
          <w:rFonts w:hint="cs"/>
          <w:rtl/>
        </w:rPr>
        <w:t xml:space="preserve"> מיום ה' באייר תש"ח (14 במאי 1948) </w:t>
      </w:r>
      <w:r w:rsidRPr="00904F72">
        <w:rPr>
          <w:rFonts w:ascii="Century" w:hAnsi="Century" w:cs="Miriam" w:hint="cs"/>
          <w:b/>
          <w:spacing w:val="0"/>
          <w:szCs w:val="24"/>
          <w:rtl/>
        </w:rPr>
        <w:t>ובמנשר</w:t>
      </w:r>
      <w:r>
        <w:rPr>
          <w:rFonts w:hint="cs"/>
          <w:rtl/>
        </w:rPr>
        <w:t xml:space="preserve"> מאותו יום, מחוקקת בזאת מועצת המדינה הזמנית לאמור: [...]" (ההדגשה הוספה </w:t>
      </w:r>
      <w:r>
        <w:rPr>
          <w:rtl/>
        </w:rPr>
        <w:t>–</w:t>
      </w:r>
      <w:r>
        <w:rPr>
          <w:rFonts w:hint="cs"/>
          <w:rtl/>
        </w:rPr>
        <w:t xml:space="preserve"> א.ש.). </w:t>
      </w:r>
    </w:p>
    <w:p w:rsidR="0047626A" w:rsidRDefault="0047626A" w:rsidP="0047626A">
      <w:pPr>
        <w:pStyle w:val="Ruller41"/>
        <w:rPr>
          <w:rtl/>
        </w:rPr>
      </w:pPr>
      <w:r>
        <w:rPr>
          <w:rtl/>
        </w:rPr>
        <w:tab/>
      </w:r>
    </w:p>
    <w:p w:rsidR="0047626A" w:rsidRDefault="0047626A" w:rsidP="0047626A">
      <w:pPr>
        <w:pStyle w:val="Ruller41"/>
        <w:rPr>
          <w:rtl/>
        </w:rPr>
      </w:pPr>
      <w:r>
        <w:rPr>
          <w:rtl/>
        </w:rPr>
        <w:tab/>
      </w:r>
      <w:r>
        <w:rPr>
          <w:rFonts w:hint="cs"/>
          <w:rtl/>
        </w:rPr>
        <w:t>מפאת חשיבותו של מסמך היסטורי זה, ראיתי לנכון להביאו כאן, כפי שפורסם:</w:t>
      </w:r>
    </w:p>
    <w:p w:rsidR="0047626A" w:rsidRDefault="0047626A" w:rsidP="0047626A">
      <w:pPr>
        <w:pStyle w:val="Ruller41"/>
        <w:rPr>
          <w:rtl/>
        </w:rPr>
      </w:pPr>
    </w:p>
    <w:p w:rsidR="0047626A" w:rsidRDefault="0047626A" w:rsidP="0047626A">
      <w:pPr>
        <w:pStyle w:val="Ruller41"/>
        <w:jc w:val="center"/>
        <w:rPr>
          <w:rtl/>
        </w:rPr>
      </w:pPr>
      <w:r>
        <w:rPr>
          <w:noProof/>
          <w:rtl/>
        </w:rPr>
        <w:lastRenderedPageBreak/>
        <w:drawing>
          <wp:inline distT="0" distB="0" distL="0" distR="0" wp14:anchorId="13081785" wp14:editId="387AF932">
            <wp:extent cx="3814445" cy="3605212"/>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3-08-08 at 8.56.4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22144" cy="3612489"/>
                    </a:xfrm>
                    <a:prstGeom prst="rect">
                      <a:avLst/>
                    </a:prstGeom>
                  </pic:spPr>
                </pic:pic>
              </a:graphicData>
            </a:graphic>
          </wp:inline>
        </w:drawing>
      </w:r>
    </w:p>
    <w:p w:rsidR="0047626A" w:rsidRDefault="0047626A" w:rsidP="0047626A">
      <w:pPr>
        <w:pStyle w:val="Ruller41"/>
        <w:rPr>
          <w:rtl/>
        </w:rPr>
      </w:pPr>
    </w:p>
    <w:p w:rsidR="0047626A" w:rsidRPr="005B2227" w:rsidRDefault="0047626A" w:rsidP="0047626A">
      <w:pPr>
        <w:pStyle w:val="Ruller4"/>
      </w:pPr>
      <w:r>
        <w:rPr>
          <w:rFonts w:hint="cs"/>
          <w:rtl/>
        </w:rPr>
        <w:t xml:space="preserve">האמור במנשר ובפקודת סדרי השלטון והמשפט אינו משאיר מקום לספקות באשר למקור הסמכתה של הכנסת לחוקק חוקים ולכונן חוקה בעבור מדינת ישראל. מסמכי הקמה אלה קובעים במפורש כי מועצת המדינה הזמנית, וכל בית מחוקקים שמתמנה אחריה, יהיו מוסמכים לחוקק חוקים ולכונן הוראות חוקה </w:t>
      </w:r>
      <w:r w:rsidRPr="005B2227">
        <w:rPr>
          <w:rFonts w:ascii="Century" w:hAnsi="Century" w:cs="Miriam" w:hint="cs"/>
          <w:b/>
          <w:spacing w:val="0"/>
          <w:sz w:val="22"/>
          <w:szCs w:val="24"/>
          <w:rtl/>
        </w:rPr>
        <w:t>בתוקף הסמכות שנקבעה בהכרזת העצמאות</w:t>
      </w:r>
      <w:r w:rsidRPr="005B2227">
        <w:rPr>
          <w:rFonts w:ascii="Century" w:hAnsi="Century" w:hint="cs"/>
          <w:sz w:val="22"/>
          <w:rtl/>
        </w:rPr>
        <w:t>.</w:t>
      </w:r>
      <w:r>
        <w:rPr>
          <w:rFonts w:hint="cs"/>
          <w:rtl/>
        </w:rPr>
        <w:t xml:space="preserve"> </w:t>
      </w:r>
      <w:r w:rsidRPr="00060670">
        <w:rPr>
          <w:rFonts w:ascii="Century" w:hAnsi="Century" w:cs="Miriam" w:hint="cs"/>
          <w:b/>
          <w:spacing w:val="0"/>
          <w:sz w:val="22"/>
          <w:szCs w:val="24"/>
          <w:u w:val="single"/>
          <w:rtl/>
        </w:rPr>
        <w:t xml:space="preserve">הסמכה זו </w:t>
      </w:r>
      <w:r w:rsidRPr="00060670">
        <w:rPr>
          <w:rFonts w:ascii="Century" w:hAnsi="Century" w:cs="Miriam"/>
          <w:b/>
          <w:spacing w:val="0"/>
          <w:sz w:val="22"/>
          <w:szCs w:val="24"/>
          <w:u w:val="single"/>
          <w:rtl/>
        </w:rPr>
        <w:t>–</w:t>
      </w:r>
      <w:r w:rsidRPr="00060670">
        <w:rPr>
          <w:rFonts w:ascii="Century" w:hAnsi="Century" w:cs="Miriam" w:hint="cs"/>
          <w:b/>
          <w:spacing w:val="0"/>
          <w:sz w:val="22"/>
          <w:szCs w:val="24"/>
          <w:u w:val="single"/>
          <w:rtl/>
        </w:rPr>
        <w:t xml:space="preserve"> בלעדיה אין: בלעדי הסמכה כאמור, שום כנסת לא היתה מ</w:t>
      </w:r>
      <w:r>
        <w:rPr>
          <w:rFonts w:ascii="Century" w:hAnsi="Century" w:cs="Miriam" w:hint="cs"/>
          <w:b/>
          <w:spacing w:val="0"/>
          <w:sz w:val="22"/>
          <w:szCs w:val="24"/>
          <w:u w:val="single"/>
          <w:rtl/>
        </w:rPr>
        <w:t xml:space="preserve">וסמכת לחוקק חוקים רגילים ולכונן חוקי </w:t>
      </w:r>
      <w:r w:rsidRPr="00060670">
        <w:rPr>
          <w:rFonts w:ascii="Century" w:hAnsi="Century" w:cs="Miriam" w:hint="cs"/>
          <w:b/>
          <w:spacing w:val="0"/>
          <w:sz w:val="22"/>
          <w:szCs w:val="24"/>
          <w:u w:val="single"/>
          <w:rtl/>
        </w:rPr>
        <w:t>יסוד.</w:t>
      </w:r>
      <w:r>
        <w:rPr>
          <w:rFonts w:hint="cs"/>
          <w:rtl/>
        </w:rPr>
        <w:t xml:space="preserve"> אם נתעלם מהסמכה זו, לא נמצא במשפטנו הוראה פורמלית כלשהי שנותנת לחוקי הכנסת תוקף משפטי או שמחייבת את מוסדות המדינה ואת אזרחיה לקיים חוקים אלה ולציית להם. </w:t>
      </w:r>
      <w:r w:rsidRPr="00110110">
        <w:rPr>
          <w:rFonts w:ascii="Century" w:hAnsi="Century" w:cs="Miriam" w:hint="cs"/>
          <w:b/>
          <w:spacing w:val="0"/>
          <w:sz w:val="22"/>
          <w:szCs w:val="24"/>
          <w:rtl/>
        </w:rPr>
        <w:t xml:space="preserve">הסמכה זו </w:t>
      </w:r>
      <w:r w:rsidRPr="00110110">
        <w:rPr>
          <w:rFonts w:ascii="Century" w:hAnsi="Century" w:cs="Miriam"/>
          <w:b/>
          <w:spacing w:val="0"/>
          <w:sz w:val="22"/>
          <w:szCs w:val="24"/>
          <w:rtl/>
        </w:rPr>
        <w:t>–</w:t>
      </w:r>
      <w:r w:rsidRPr="00110110">
        <w:rPr>
          <w:rFonts w:ascii="Century" w:hAnsi="Century" w:cs="Miriam" w:hint="cs"/>
          <w:b/>
          <w:spacing w:val="0"/>
          <w:sz w:val="22"/>
          <w:szCs w:val="24"/>
          <w:rtl/>
        </w:rPr>
        <w:t xml:space="preserve"> וגבולותיה </w:t>
      </w:r>
      <w:r w:rsidRPr="00110110">
        <w:rPr>
          <w:rFonts w:ascii="Century" w:hAnsi="Century" w:cs="Miriam"/>
          <w:b/>
          <w:spacing w:val="0"/>
          <w:sz w:val="22"/>
          <w:szCs w:val="24"/>
          <w:rtl/>
        </w:rPr>
        <w:t>–</w:t>
      </w:r>
      <w:r w:rsidRPr="00110110">
        <w:rPr>
          <w:rFonts w:ascii="Century" w:hAnsi="Century" w:cs="Miriam" w:hint="cs"/>
          <w:b/>
          <w:spacing w:val="0"/>
          <w:sz w:val="22"/>
          <w:szCs w:val="24"/>
          <w:rtl/>
        </w:rPr>
        <w:t xml:space="preserve"> זכו להכרת העם בזמן קביעתה</w:t>
      </w:r>
      <w:r>
        <w:rPr>
          <w:rFonts w:hint="cs"/>
          <w:rtl/>
        </w:rPr>
        <w:t xml:space="preserve">. כל אלה מתועדים בהכרזת העצמאות, שמעמדה המשפטי הפורמלי כנורמת-העל </w:t>
      </w:r>
      <w:r>
        <w:rPr>
          <w:rtl/>
        </w:rPr>
        <w:t>–</w:t>
      </w:r>
      <w:r>
        <w:rPr>
          <w:rFonts w:hint="cs"/>
          <w:rtl/>
        </w:rPr>
        <w:t xml:space="preserve"> כלל ההכרה הבסיסי, כלשונו של הארט </w:t>
      </w:r>
      <w:r>
        <w:rPr>
          <w:rtl/>
        </w:rPr>
        <w:t>–</w:t>
      </w:r>
      <w:r>
        <w:rPr>
          <w:rFonts w:hint="cs"/>
          <w:rtl/>
        </w:rPr>
        <w:t xml:space="preserve"> עוגן במנשר ואחריו בפקודת סדרי השלטון והמשפט המקורית (ראו גם: פסקאות 17-6 לפסק דיני ב</w:t>
      </w:r>
      <w:r w:rsidRPr="008E0586">
        <w:rPr>
          <w:rFonts w:ascii="Century" w:hAnsi="Century" w:cs="Miriam" w:hint="eastAsia"/>
          <w:b/>
          <w:spacing w:val="0"/>
          <w:sz w:val="22"/>
          <w:szCs w:val="24"/>
          <w:rtl/>
        </w:rPr>
        <w:t>בג</w:t>
      </w:r>
      <w:r w:rsidRPr="008E0586">
        <w:rPr>
          <w:rFonts w:ascii="Century" w:hAnsi="Century" w:cs="Miriam"/>
          <w:b/>
          <w:spacing w:val="0"/>
          <w:sz w:val="22"/>
          <w:szCs w:val="24"/>
          <w:rtl/>
        </w:rPr>
        <w:t>"</w:t>
      </w:r>
      <w:r w:rsidRPr="008E0586">
        <w:rPr>
          <w:rFonts w:ascii="Century" w:hAnsi="Century" w:cs="Miriam" w:hint="eastAsia"/>
          <w:b/>
          <w:spacing w:val="0"/>
          <w:sz w:val="22"/>
          <w:szCs w:val="24"/>
          <w:rtl/>
        </w:rPr>
        <w:t>ץ</w:t>
      </w:r>
      <w:r>
        <w:rPr>
          <w:rFonts w:hint="cs"/>
          <w:rtl/>
        </w:rPr>
        <w:t xml:space="preserve"> </w:t>
      </w:r>
      <w:r w:rsidRPr="008E0586">
        <w:rPr>
          <w:rFonts w:ascii="Century" w:hAnsi="Century" w:cs="Miriam" w:hint="eastAsia"/>
          <w:b/>
          <w:spacing w:val="0"/>
          <w:sz w:val="22"/>
          <w:szCs w:val="24"/>
          <w:rtl/>
        </w:rPr>
        <w:t>טבריה</w:t>
      </w:r>
      <w:r>
        <w:rPr>
          <w:rFonts w:hint="cs"/>
          <w:rtl/>
        </w:rPr>
        <w:t>).</w:t>
      </w:r>
    </w:p>
    <w:p w:rsidR="0047626A" w:rsidRDefault="0047626A" w:rsidP="0047626A">
      <w:pPr>
        <w:pStyle w:val="Ruller4"/>
        <w:numPr>
          <w:ilvl w:val="0"/>
          <w:numId w:val="0"/>
        </w:numPr>
      </w:pPr>
    </w:p>
    <w:p w:rsidR="0047626A" w:rsidRDefault="0047626A" w:rsidP="0047626A">
      <w:pPr>
        <w:pStyle w:val="Ruller4"/>
        <w:rPr>
          <w:rtl/>
        </w:rPr>
      </w:pPr>
      <w:r>
        <w:rPr>
          <w:rFonts w:hint="cs"/>
          <w:rtl/>
        </w:rPr>
        <w:t xml:space="preserve">מכאן עולה מסקנה ברורה וחד-משמעית: </w:t>
      </w:r>
      <w:r w:rsidRPr="00C00DDA">
        <w:rPr>
          <w:rFonts w:ascii="Century" w:hAnsi="Century" w:cs="Miriam" w:hint="cs"/>
          <w:b/>
          <w:spacing w:val="0"/>
          <w:sz w:val="22"/>
          <w:szCs w:val="24"/>
          <w:u w:val="single"/>
          <w:rtl/>
        </w:rPr>
        <w:t xml:space="preserve">חוקי הכנסת וחוקי היסוד שלה לעולם כפופים לגבולותיה של סמכות החקיקה </w:t>
      </w:r>
      <w:r>
        <w:rPr>
          <w:rFonts w:ascii="Century" w:hAnsi="Century" w:cs="Miriam" w:hint="cs"/>
          <w:b/>
          <w:spacing w:val="0"/>
          <w:sz w:val="22"/>
          <w:szCs w:val="24"/>
          <w:u w:val="single"/>
          <w:rtl/>
        </w:rPr>
        <w:t xml:space="preserve">הכללית </w:t>
      </w:r>
      <w:r w:rsidRPr="00C00DDA">
        <w:rPr>
          <w:rFonts w:ascii="Century" w:hAnsi="Century" w:cs="Miriam" w:hint="cs"/>
          <w:b/>
          <w:spacing w:val="0"/>
          <w:sz w:val="22"/>
          <w:szCs w:val="24"/>
          <w:u w:val="single"/>
          <w:rtl/>
        </w:rPr>
        <w:t>אשר נקבעה בהכרזת העצמאות</w:t>
      </w:r>
      <w:r>
        <w:rPr>
          <w:rFonts w:hint="cs"/>
          <w:rtl/>
        </w:rPr>
        <w:t xml:space="preserve">. </w:t>
      </w:r>
      <w:r w:rsidRPr="00FE1D1F">
        <w:rPr>
          <w:rFonts w:ascii="Century" w:hAnsi="Century" w:cs="Miriam" w:hint="cs"/>
          <w:b/>
          <w:spacing w:val="0"/>
          <w:sz w:val="22"/>
          <w:szCs w:val="24"/>
          <w:rtl/>
        </w:rPr>
        <w:t>סמכות זו עברה מכנסת לכנסת</w:t>
      </w:r>
      <w:r>
        <w:rPr>
          <w:rFonts w:ascii="Century" w:hAnsi="Century" w:cs="Miriam" w:hint="cs"/>
          <w:b/>
          <w:spacing w:val="0"/>
          <w:sz w:val="22"/>
          <w:szCs w:val="24"/>
          <w:rtl/>
        </w:rPr>
        <w:t xml:space="preserve"> כמות שהיא. </w:t>
      </w:r>
      <w:r w:rsidRPr="0040037D">
        <w:rPr>
          <w:rFonts w:ascii="Century" w:hAnsi="Century" w:hint="cs"/>
          <w:sz w:val="22"/>
          <w:rtl/>
        </w:rPr>
        <w:t>מועצת המדינה הזמנית לא יכלה להעביר לכנסת הראשונה יותר סמכויות משהיו לה, וכך הוא גם לגבי שאר ההעברות של סמכות החקיקה מכנסת לכנסת</w:t>
      </w:r>
      <w:r>
        <w:rPr>
          <w:rFonts w:hint="cs"/>
          <w:rtl/>
        </w:rPr>
        <w:t xml:space="preserve">. </w:t>
      </w:r>
      <w:r w:rsidRPr="0040037D">
        <w:rPr>
          <w:rFonts w:ascii="Century" w:hAnsi="Century" w:cs="Miriam" w:hint="cs"/>
          <w:b/>
          <w:spacing w:val="0"/>
          <w:sz w:val="22"/>
          <w:szCs w:val="24"/>
          <w:rtl/>
        </w:rPr>
        <w:t>אשר על כן</w:t>
      </w:r>
      <w:r>
        <w:rPr>
          <w:rFonts w:ascii="Century" w:hAnsi="Century" w:cs="Miriam" w:hint="cs"/>
          <w:b/>
          <w:spacing w:val="0"/>
          <w:sz w:val="22"/>
          <w:szCs w:val="24"/>
          <w:rtl/>
        </w:rPr>
        <w:t>,</w:t>
      </w:r>
      <w:r w:rsidRPr="0040037D">
        <w:rPr>
          <w:rFonts w:ascii="Century" w:hAnsi="Century" w:cs="Miriam" w:hint="cs"/>
          <w:b/>
          <w:spacing w:val="0"/>
          <w:sz w:val="22"/>
          <w:szCs w:val="24"/>
          <w:rtl/>
        </w:rPr>
        <w:t xml:space="preserve"> הכנסת הנוכחית, כמו כל כנסת אחרת, אינה רשאית לחרוג </w:t>
      </w:r>
      <w:r>
        <w:rPr>
          <w:rFonts w:ascii="Century" w:hAnsi="Century" w:cs="Miriam" w:hint="cs"/>
          <w:b/>
          <w:spacing w:val="0"/>
          <w:sz w:val="22"/>
          <w:szCs w:val="24"/>
          <w:rtl/>
        </w:rPr>
        <w:t>מהכרזת העצמאות</w:t>
      </w:r>
      <w:r w:rsidRPr="0040037D">
        <w:rPr>
          <w:rFonts w:ascii="Century" w:hAnsi="Century" w:cs="Miriam" w:hint="cs"/>
          <w:b/>
          <w:spacing w:val="0"/>
          <w:sz w:val="22"/>
          <w:szCs w:val="24"/>
          <w:rtl/>
        </w:rPr>
        <w:t xml:space="preserve"> בבואה לחוקק חוקים רגילים ולכונן חוקי יסוד</w:t>
      </w:r>
      <w:r>
        <w:rPr>
          <w:rFonts w:hint="cs"/>
          <w:rtl/>
        </w:rPr>
        <w:t xml:space="preserve">. </w:t>
      </w:r>
    </w:p>
    <w:p w:rsidR="0047626A" w:rsidRPr="00462ED9" w:rsidRDefault="0047626A" w:rsidP="0047626A">
      <w:pPr>
        <w:pStyle w:val="Ruller41"/>
        <w:rPr>
          <w:rtl/>
        </w:rPr>
      </w:pPr>
    </w:p>
    <w:p w:rsidR="0047626A" w:rsidRPr="00385477" w:rsidRDefault="0047626A" w:rsidP="0047626A">
      <w:pPr>
        <w:pStyle w:val="Ruller41"/>
        <w:rPr>
          <w:rFonts w:ascii="Century" w:hAnsi="Century" w:cs="Miriam"/>
          <w:b/>
          <w:spacing w:val="0"/>
          <w:szCs w:val="24"/>
          <w:rtl/>
        </w:rPr>
      </w:pPr>
      <w:r w:rsidRPr="00385477">
        <w:rPr>
          <w:rFonts w:ascii="Century" w:hAnsi="Century" w:cs="Miriam" w:hint="cs"/>
          <w:b/>
          <w:spacing w:val="0"/>
          <w:szCs w:val="24"/>
          <w:rtl/>
        </w:rPr>
        <w:t xml:space="preserve">טענות הממשלה: </w:t>
      </w:r>
      <w:r>
        <w:rPr>
          <w:rFonts w:ascii="Century" w:hAnsi="Century" w:cs="Miriam" w:hint="cs"/>
          <w:b/>
          <w:spacing w:val="0"/>
          <w:szCs w:val="24"/>
          <w:rtl/>
        </w:rPr>
        <w:t xml:space="preserve">"מחוקק כל-יכול" מכוחם של </w:t>
      </w:r>
      <w:r w:rsidRPr="00385477">
        <w:rPr>
          <w:rFonts w:ascii="Century" w:hAnsi="Century" w:cs="Miriam" w:hint="cs"/>
          <w:b/>
          <w:spacing w:val="0"/>
          <w:szCs w:val="24"/>
          <w:rtl/>
        </w:rPr>
        <w:t>"דמוקרטיה" ו"רצון העם"</w:t>
      </w:r>
    </w:p>
    <w:p w:rsidR="0047626A" w:rsidRDefault="0047626A" w:rsidP="0047626A">
      <w:pPr>
        <w:pStyle w:val="Ruller4"/>
        <w:numPr>
          <w:ilvl w:val="0"/>
          <w:numId w:val="0"/>
        </w:numPr>
      </w:pPr>
    </w:p>
    <w:p w:rsidR="0047626A" w:rsidRDefault="0047626A" w:rsidP="0047626A">
      <w:pPr>
        <w:pStyle w:val="Ruller4"/>
      </w:pPr>
      <w:r>
        <w:rPr>
          <w:rFonts w:hint="cs"/>
          <w:rtl/>
        </w:rPr>
        <w:t xml:space="preserve">בא-כוח הממשלה חולק בתוקף על מסקנה זו שהצגתי לעיל. לטענתו, להכרזת העצמאות יש אמנם חשיבות לאומית והיסטורית עליונה, אולם היא אינה בגדר מקור משפטי-פורמלי לסמכות הכנסת לחוקק חוקים ולכונן חוקי יסוד. </w:t>
      </w:r>
    </w:p>
    <w:p w:rsidR="0047626A" w:rsidRDefault="0047626A" w:rsidP="0047626A">
      <w:pPr>
        <w:pStyle w:val="Ruller4"/>
        <w:numPr>
          <w:ilvl w:val="0"/>
          <w:numId w:val="0"/>
        </w:numPr>
      </w:pPr>
    </w:p>
    <w:p w:rsidR="0047626A" w:rsidRDefault="0047626A" w:rsidP="0047626A">
      <w:pPr>
        <w:pStyle w:val="Ruller4"/>
      </w:pPr>
      <w:r>
        <w:rPr>
          <w:rFonts w:hint="cs"/>
          <w:rtl/>
        </w:rPr>
        <w:t xml:space="preserve">כפי שכבר ציינתי, טענה זו מקובלת במחוזותינו ויש לה אפילו אחיזה לא מבוטלת בפסיקה. דא עקא, </w:t>
      </w:r>
      <w:r w:rsidRPr="00971433">
        <w:rPr>
          <w:rFonts w:ascii="Century" w:hAnsi="Century" w:cs="Miriam" w:hint="cs"/>
          <w:b/>
          <w:spacing w:val="0"/>
          <w:sz w:val="22"/>
          <w:szCs w:val="24"/>
          <w:rtl/>
        </w:rPr>
        <w:t xml:space="preserve">האוחזים בטענה זו מתעלמים </w:t>
      </w:r>
      <w:r>
        <w:rPr>
          <w:rFonts w:ascii="Century" w:hAnsi="Century" w:cs="Miriam" w:hint="cs"/>
          <w:b/>
          <w:spacing w:val="0"/>
          <w:sz w:val="22"/>
          <w:szCs w:val="24"/>
          <w:rtl/>
        </w:rPr>
        <w:t xml:space="preserve">לחלוטין </w:t>
      </w:r>
      <w:r w:rsidRPr="00971433">
        <w:rPr>
          <w:rFonts w:ascii="Century" w:hAnsi="Century" w:cs="Miriam" w:hint="cs"/>
          <w:b/>
          <w:spacing w:val="0"/>
          <w:sz w:val="22"/>
          <w:szCs w:val="24"/>
          <w:rtl/>
        </w:rPr>
        <w:t xml:space="preserve">מהאמור במסמכי ההקמה הפורמליים </w:t>
      </w:r>
      <w:r w:rsidRPr="00971433">
        <w:rPr>
          <w:rFonts w:ascii="Century" w:hAnsi="Century" w:cs="Miriam"/>
          <w:b/>
          <w:spacing w:val="0"/>
          <w:sz w:val="22"/>
          <w:szCs w:val="24"/>
          <w:rtl/>
        </w:rPr>
        <w:t>–</w:t>
      </w:r>
      <w:r w:rsidRPr="00971433">
        <w:rPr>
          <w:rFonts w:ascii="Century" w:hAnsi="Century" w:cs="Miriam" w:hint="cs"/>
          <w:b/>
          <w:spacing w:val="0"/>
          <w:sz w:val="22"/>
          <w:szCs w:val="24"/>
          <w:rtl/>
        </w:rPr>
        <w:t xml:space="preserve"> המנשר ופקודת סדרי השלטון והמשפט </w:t>
      </w:r>
      <w:r w:rsidRPr="00971433">
        <w:rPr>
          <w:rFonts w:ascii="Century" w:hAnsi="Century" w:cs="Miriam"/>
          <w:b/>
          <w:spacing w:val="0"/>
          <w:sz w:val="22"/>
          <w:szCs w:val="24"/>
          <w:rtl/>
        </w:rPr>
        <w:t>–</w:t>
      </w:r>
      <w:r w:rsidRPr="00971433">
        <w:rPr>
          <w:rFonts w:ascii="Century" w:hAnsi="Century" w:cs="Miriam" w:hint="cs"/>
          <w:b/>
          <w:spacing w:val="0"/>
          <w:sz w:val="22"/>
          <w:szCs w:val="24"/>
          <w:rtl/>
        </w:rPr>
        <w:t xml:space="preserve"> שעל מעמדם המשפטי המחייב לא ניתן לחלוק</w:t>
      </w:r>
      <w:r>
        <w:rPr>
          <w:rFonts w:hint="cs"/>
          <w:rtl/>
        </w:rPr>
        <w:t xml:space="preserve">. המנשר, ואחריו פקודת סדרי השלטון והמשפט, אמרו בקול צלול וברור כי הסמכות לחוקק חוקים רגילים ולכונן חוקי יסוד </w:t>
      </w:r>
      <w:r>
        <w:rPr>
          <w:rtl/>
        </w:rPr>
        <w:t>–</w:t>
      </w:r>
      <w:r>
        <w:rPr>
          <w:rFonts w:hint="cs"/>
          <w:rtl/>
        </w:rPr>
        <w:t xml:space="preserve"> סמכותה של מועצת המדינה הזמנית והסמכות של הכנסות אשר באו אחריה ונכנסו לנעליה </w:t>
      </w:r>
      <w:r>
        <w:rPr>
          <w:rtl/>
        </w:rPr>
        <w:t>–</w:t>
      </w:r>
      <w:r>
        <w:rPr>
          <w:rFonts w:hint="cs"/>
          <w:rtl/>
        </w:rPr>
        <w:t xml:space="preserve"> מעוגנת בהכרזת העצמאות. </w:t>
      </w:r>
      <w:r w:rsidRPr="007E4EF2">
        <w:rPr>
          <w:rFonts w:ascii="Century" w:hAnsi="Century" w:cs="Miriam" w:hint="cs"/>
          <w:b/>
          <w:spacing w:val="0"/>
          <w:sz w:val="22"/>
          <w:szCs w:val="24"/>
          <w:rtl/>
        </w:rPr>
        <w:t>זהו דברו הרשמי של המשפט הישראלי בהקמתו, ואחריו אין ולא כלום</w:t>
      </w:r>
      <w:r>
        <w:rPr>
          <w:rFonts w:hint="cs"/>
          <w:rtl/>
        </w:rPr>
        <w:t xml:space="preserve">. </w:t>
      </w:r>
    </w:p>
    <w:p w:rsidR="0047626A" w:rsidRDefault="0047626A" w:rsidP="0047626A">
      <w:pPr>
        <w:pStyle w:val="Ruller4"/>
        <w:numPr>
          <w:ilvl w:val="0"/>
          <w:numId w:val="0"/>
        </w:numPr>
      </w:pPr>
    </w:p>
    <w:p w:rsidR="0047626A" w:rsidRDefault="0047626A" w:rsidP="0047626A">
      <w:pPr>
        <w:pStyle w:val="Ruller4"/>
      </w:pPr>
      <w:r>
        <w:rPr>
          <w:rFonts w:hint="cs"/>
          <w:rtl/>
        </w:rPr>
        <w:t xml:space="preserve">ראש הממשלה הראשון של מדינת ישראל, דוד בן גוריון, החזיק בדעה לפיה הכרזת העצמאות אינה בגדר חוקה, אינה בגדר "דין" ואינה מהווה חלק מדברו הרשמי של המשפט הישראלי. מדובר בהבעת דעה של אחד מהאבות המייסדים של המדינה, אשר יכול שתהא לה השלכה על פרשנותם של דינים שנקבעו בהקמת המדינה </w:t>
      </w:r>
      <w:r>
        <w:rPr>
          <w:rtl/>
        </w:rPr>
        <w:t>–</w:t>
      </w:r>
      <w:r>
        <w:rPr>
          <w:rFonts w:hint="cs"/>
          <w:rtl/>
        </w:rPr>
        <w:t xml:space="preserve"> אך לא על הנושא אשר נדון בענייננו. זאת, מאחר שהמנשר ופקודת סדרי השלטון והמשפט קבעו בלשון חד-משמעית, שאינה מצריכה פרשנות, כי הכרזת העצמאות היא הבסיס לסמכותה של הכנסת לחוקק חוקים ולכונן חוקי יסוד. מסמכי הקמה רשמיים אלה מן הסתם גוברים על דעה כזאת או אחרת, גם כשבעל הדעה הוא אחד ממייסדי המדינה וראש ממשלתה הראשון. </w:t>
      </w:r>
    </w:p>
    <w:p w:rsidR="0047626A" w:rsidRDefault="0047626A" w:rsidP="0047626A">
      <w:pPr>
        <w:pStyle w:val="Ruller4"/>
        <w:numPr>
          <w:ilvl w:val="0"/>
          <w:numId w:val="0"/>
        </w:numPr>
      </w:pPr>
    </w:p>
    <w:p w:rsidR="0047626A" w:rsidRDefault="0047626A" w:rsidP="0047626A">
      <w:pPr>
        <w:pStyle w:val="Ruller4"/>
      </w:pPr>
      <w:r>
        <w:rPr>
          <w:rFonts w:hint="cs"/>
          <w:rtl/>
        </w:rPr>
        <w:t>יתרה מזאת: דבריו של בן גוריון כי הכרזת העצמאות לא נועדה להיות חוקה הם דברים נכונים כשלעצמם. כפי שצויין על ידי ב</w:t>
      </w:r>
      <w:r w:rsidRPr="00462ED9">
        <w:rPr>
          <w:rFonts w:ascii="Century" w:hAnsi="Century" w:cs="Miriam" w:hint="cs"/>
          <w:b/>
          <w:spacing w:val="0"/>
          <w:sz w:val="22"/>
          <w:szCs w:val="24"/>
          <w:rtl/>
        </w:rPr>
        <w:t>בג"ץ טבריה</w:t>
      </w:r>
      <w:r>
        <w:rPr>
          <w:rFonts w:hint="cs"/>
          <w:rtl/>
        </w:rPr>
        <w:t>, הכרזת העצמאות אכן אינה בגדר חוקה, וממילא לא נועדה להיות חוקה: היא אינה מכילה בתוכה רשימה סדורה ומלאה של סדרי השלטון ושל זכויות האדם (ראו: פסקה 23 לפסק דיני ב</w:t>
      </w:r>
      <w:r w:rsidRPr="00462ED9">
        <w:rPr>
          <w:rFonts w:ascii="Century" w:hAnsi="Century" w:cs="Miriam" w:hint="cs"/>
          <w:b/>
          <w:spacing w:val="0"/>
          <w:sz w:val="22"/>
          <w:szCs w:val="24"/>
          <w:rtl/>
        </w:rPr>
        <w:t>בג"ץ טבריה</w:t>
      </w:r>
      <w:r>
        <w:rPr>
          <w:rFonts w:hint="cs"/>
          <w:rtl/>
        </w:rPr>
        <w:t xml:space="preserve">). ברם, הכרזת העצמאות מעגנת בתוכה את "כלל ההכרה" הבסיסי </w:t>
      </w:r>
      <w:r>
        <w:rPr>
          <w:rtl/>
        </w:rPr>
        <w:t>–</w:t>
      </w:r>
      <w:r>
        <w:rPr>
          <w:rFonts w:hint="cs"/>
          <w:rtl/>
        </w:rPr>
        <w:t xml:space="preserve"> המסד הראשוני עליו עומד המשפט הישראלי כולו.</w:t>
      </w:r>
    </w:p>
    <w:p w:rsidR="0047626A" w:rsidRDefault="0047626A" w:rsidP="0047626A">
      <w:pPr>
        <w:pStyle w:val="Ruller4"/>
        <w:numPr>
          <w:ilvl w:val="0"/>
          <w:numId w:val="0"/>
        </w:numPr>
      </w:pPr>
    </w:p>
    <w:p w:rsidR="0047626A" w:rsidRDefault="0047626A" w:rsidP="0047626A">
      <w:pPr>
        <w:pStyle w:val="Ruller4"/>
        <w:rPr>
          <w:rtl/>
        </w:rPr>
      </w:pPr>
      <w:r>
        <w:rPr>
          <w:rFonts w:hint="cs"/>
          <w:rtl/>
        </w:rPr>
        <w:lastRenderedPageBreak/>
        <w:t xml:space="preserve">הבה נשאל את עצמנו את השאלה הבאה: מה תהא התוצאה אם נתעלם מהאמור במנשר ובפקודת סדרי השלטון והמשפט באשר להסמכת הכנסת לחוקק חוקים ולכונן חוקי יסוד? היכן בדיוק נמצא את ההסמכה הנדרשת? במה בדיוק אוחז בא-כוח הממשלה בסברו כי הכנסת מוסמכת לכונן כל חוק יסוד שטוב בעיניה ולחוקק כל חוק שתואם את חוקי היסוד? </w:t>
      </w:r>
    </w:p>
    <w:p w:rsidR="0047626A" w:rsidRPr="00663BAF" w:rsidRDefault="0047626A" w:rsidP="0047626A">
      <w:pPr>
        <w:pStyle w:val="Ruller41"/>
      </w:pPr>
    </w:p>
    <w:p w:rsidR="0047626A" w:rsidRDefault="0047626A" w:rsidP="0047626A">
      <w:pPr>
        <w:pStyle w:val="Ruller4"/>
      </w:pPr>
      <w:r>
        <w:rPr>
          <w:rFonts w:hint="cs"/>
          <w:rtl/>
        </w:rPr>
        <w:t>לבא-כוח הממשלה יש תשובה לשאלות אלה. הוא סבור כי הסמכה חובקת-כל כאמור ניתנת לכל כנסת אשר נבחרת על ידי רוב העם בפועלו כריבון בהליך הבחירות הדמוקרטי. לשאלת ההמשך המתבקשת "היכן בדיוק זה כתוב?", משיב בא-כוח הממשלה שריבונות העם ושלטון הרוב הדמוקרטי הם אמיתות ברורות וידועות שאינן צריכות כתב. לשיטתו, ריבונות העם ושלטון הרוב הדמוקרטי מצמיחים את ההסמכה הנדרשת כדבר המובן מאליו, ואינם זקוקים לעיגון רשמי בספר החוקים. מדובר באקסיומה מדינית-משפטית שעליה, לדבריו, לא ניתן לחלוק, שכן מי שחולק עליה מוצא את עצמו כופר בעיקר, בהיותו מתכחש לעיקרון של ריבונות העם ולאופיי</w:t>
      </w:r>
      <w:r>
        <w:rPr>
          <w:rFonts w:hint="eastAsia"/>
          <w:rtl/>
        </w:rPr>
        <w:t>ה</w:t>
      </w:r>
      <w:r>
        <w:rPr>
          <w:rFonts w:hint="cs"/>
          <w:rtl/>
        </w:rPr>
        <w:t xml:space="preserve"> הדמוקרטי של מדינתנו. </w:t>
      </w:r>
    </w:p>
    <w:p w:rsidR="0047626A" w:rsidRPr="000878FD" w:rsidRDefault="0047626A" w:rsidP="0047626A">
      <w:pPr>
        <w:pStyle w:val="Ruller4"/>
        <w:numPr>
          <w:ilvl w:val="0"/>
          <w:numId w:val="0"/>
        </w:numPr>
      </w:pPr>
    </w:p>
    <w:p w:rsidR="0047626A" w:rsidRDefault="0047626A" w:rsidP="0047626A">
      <w:pPr>
        <w:pStyle w:val="Ruller4"/>
      </w:pPr>
      <w:r>
        <w:rPr>
          <w:rFonts w:hint="cs"/>
          <w:rtl/>
        </w:rPr>
        <w:t xml:space="preserve">טענה גורפת זו אין בידי לקבל. ראשית, הדין הישראלי הוא דין מפותח אשר מתועד לפרטיו במסמכים רשמיים שונים שנושאים את סמל המדינה. כיצד ייתכן שהכלל הכי בסיסי של דין זה </w:t>
      </w:r>
      <w:r>
        <w:rPr>
          <w:rtl/>
        </w:rPr>
        <w:t>–</w:t>
      </w:r>
      <w:r>
        <w:rPr>
          <w:rFonts w:hint="cs"/>
          <w:rtl/>
        </w:rPr>
        <w:t xml:space="preserve"> כלל אשר מסמיך את הכנסת לחוקק חוקים ולכונן חוקי יסוד </w:t>
      </w:r>
      <w:r>
        <w:rPr>
          <w:rtl/>
        </w:rPr>
        <w:t>–</w:t>
      </w:r>
      <w:r>
        <w:rPr>
          <w:rFonts w:hint="cs"/>
          <w:rtl/>
        </w:rPr>
        <w:t xml:space="preserve"> אינו מוצא את מקומו בשום מסמך רשמי של המדינה? לשאלה זו, מן הסתם, אין תשובה שמניחה את הדעת, </w:t>
      </w:r>
      <w:r w:rsidRPr="0082270C">
        <w:rPr>
          <w:rFonts w:ascii="Century" w:hAnsi="Century" w:cs="Miriam" w:hint="cs"/>
          <w:b/>
          <w:spacing w:val="0"/>
          <w:sz w:val="22"/>
          <w:szCs w:val="24"/>
          <w:rtl/>
        </w:rPr>
        <w:t xml:space="preserve">מה גם שהאמור במנשר ובפקודת סדרי השלטון והמשפט </w:t>
      </w:r>
      <w:r>
        <w:rPr>
          <w:rFonts w:ascii="Century" w:hAnsi="Century" w:cs="Miriam" w:hint="cs"/>
          <w:b/>
          <w:spacing w:val="0"/>
          <w:sz w:val="22"/>
          <w:szCs w:val="24"/>
          <w:rtl/>
        </w:rPr>
        <w:t xml:space="preserve">המקורית </w:t>
      </w:r>
      <w:r w:rsidRPr="0082270C">
        <w:rPr>
          <w:rFonts w:ascii="Century" w:hAnsi="Century" w:cs="Miriam" w:hint="cs"/>
          <w:b/>
          <w:spacing w:val="0"/>
          <w:sz w:val="22"/>
          <w:szCs w:val="24"/>
          <w:rtl/>
        </w:rPr>
        <w:t>שוללים מניה וביה את הנחת היסוד שבבסיסה</w:t>
      </w:r>
      <w:r>
        <w:rPr>
          <w:rFonts w:hint="cs"/>
          <w:rtl/>
        </w:rPr>
        <w:t xml:space="preserve">. כפי שציינתי, וחזרתי וציינתי, מסמכי הקמה אלה קובעים במפורש כי סמכותה של הכנסת לחוקק חוקים ולכונן חוקי יסוד מצויה בהכרזת העצמאות. </w:t>
      </w:r>
    </w:p>
    <w:p w:rsidR="0047626A" w:rsidRDefault="0047626A" w:rsidP="0047626A">
      <w:pPr>
        <w:pStyle w:val="Ruller4"/>
        <w:numPr>
          <w:ilvl w:val="0"/>
          <w:numId w:val="0"/>
        </w:numPr>
      </w:pPr>
    </w:p>
    <w:p w:rsidR="0047626A" w:rsidRDefault="0047626A" w:rsidP="0047626A">
      <w:pPr>
        <w:pStyle w:val="Ruller4"/>
      </w:pPr>
      <w:r>
        <w:rPr>
          <w:rFonts w:hint="cs"/>
          <w:rtl/>
        </w:rPr>
        <w:t xml:space="preserve">בא-כוח הממשלה מניח בטענותיו כי כוחו של הרוב במשטר דמוקרטי מכיל בחובו, מעצם טבעו, את הכוח לחוקק חוקים ולכונן חוקי יסוד בהתאם לרצון הרוב. זאת, כביטוי טבעי ומובן מאליו של רצון העם, שכן אין לנו ביטוי טוב יותר לרצון העם מאשר רצונו של רוב העם אשר בא לממש את זכויותיו כרוב. </w:t>
      </w:r>
    </w:p>
    <w:p w:rsidR="0047626A" w:rsidRDefault="0047626A" w:rsidP="0047626A">
      <w:pPr>
        <w:pStyle w:val="Ruller4"/>
        <w:numPr>
          <w:ilvl w:val="0"/>
          <w:numId w:val="0"/>
        </w:numPr>
      </w:pPr>
    </w:p>
    <w:p w:rsidR="0047626A" w:rsidRDefault="0047626A" w:rsidP="0047626A">
      <w:pPr>
        <w:pStyle w:val="Ruller4"/>
      </w:pPr>
      <w:r>
        <w:rPr>
          <w:rFonts w:hint="cs"/>
          <w:rtl/>
        </w:rPr>
        <w:t xml:space="preserve">טענה זו לוקה בהנחת המבוקש. רצונו של רוב העם ורצון העם כולו הם שני דברים שונים, שלרוב אינם חופפים זה את זה. מדינה דמוקרטית אכן מנהלת את רוב ענייניה בהתאם לרצון הרוב, אולם מכאן לא ניתן לגזור כלל נוסף אשר מעניק לרוב העם </w:t>
      </w:r>
      <w:r>
        <w:rPr>
          <w:rFonts w:hint="cs"/>
          <w:rtl/>
        </w:rPr>
        <w:lastRenderedPageBreak/>
        <w:t xml:space="preserve">שליטה מוחלטת בכל שאר ענייני המדינה. ההיפך הוא הנכון: כפי שכבר צויין על ידי, רוב הדמוקרטיות מגבילות את כוחו של הרוב, לבל יהפוך לכוח דורסני שפוגע במיעוט </w:t>
      </w:r>
      <w:r>
        <w:rPr>
          <w:rtl/>
        </w:rPr>
        <w:t>–</w:t>
      </w:r>
      <w:r>
        <w:rPr>
          <w:rFonts w:hint="cs"/>
          <w:rtl/>
        </w:rPr>
        <w:t xml:space="preserve"> דבר שנעשה בגדרם של הסדרים חוקתיים, על-חוקיים, כאלה או אחרים. מסיבה זו, גם אלו שסבורים כי רצונו של רוב העם הוא הבסיס הטבעי להפעלתה של סמכות החקיקה </w:t>
      </w:r>
      <w:r>
        <w:rPr>
          <w:rtl/>
        </w:rPr>
        <w:t>–</w:t>
      </w:r>
      <w:r>
        <w:rPr>
          <w:rFonts w:hint="cs"/>
          <w:rtl/>
        </w:rPr>
        <w:t xml:space="preserve"> כחלק מזכותם הטבעית של בני אנוש לניהול עצמי </w:t>
      </w:r>
      <w:r>
        <w:rPr>
          <w:rtl/>
        </w:rPr>
        <w:t>–</w:t>
      </w:r>
      <w:r>
        <w:rPr>
          <w:rFonts w:hint="cs"/>
          <w:rtl/>
        </w:rPr>
        <w:t xml:space="preserve"> מסכימים כי אין מדובר בהסמכה גורפת, אשר הופכת את נציגו של הרוב למחוקק כל-יכול. </w:t>
      </w:r>
    </w:p>
    <w:p w:rsidR="0047626A" w:rsidRDefault="0047626A" w:rsidP="0047626A">
      <w:pPr>
        <w:pStyle w:val="Ruller4"/>
        <w:numPr>
          <w:ilvl w:val="0"/>
          <w:numId w:val="0"/>
        </w:numPr>
        <w:rPr>
          <w:rtl/>
        </w:rPr>
      </w:pPr>
    </w:p>
    <w:p w:rsidR="0047626A" w:rsidRPr="00126AC2" w:rsidRDefault="0047626A" w:rsidP="0047626A">
      <w:pPr>
        <w:pStyle w:val="Ruller4"/>
        <w:numPr>
          <w:ilvl w:val="0"/>
          <w:numId w:val="0"/>
        </w:numPr>
        <w:rPr>
          <w:rFonts w:asciiTheme="majorBidi" w:hAnsiTheme="majorBidi" w:cstheme="majorBidi"/>
          <w:rtl/>
        </w:rPr>
      </w:pPr>
      <w:r>
        <w:rPr>
          <w:rtl/>
        </w:rPr>
        <w:tab/>
      </w:r>
      <w:r>
        <w:rPr>
          <w:rFonts w:hint="cs"/>
          <w:rtl/>
        </w:rPr>
        <w:t>כפי שנכתב במאמר חשוב אשר בחן דמוקרטיה מזווית הראייה של "משפט הטבע" (</w:t>
      </w:r>
      <w:r>
        <w:rPr>
          <w:rFonts w:asciiTheme="majorBidi" w:hAnsiTheme="majorBidi" w:cstheme="majorBidi"/>
        </w:rPr>
        <w:t>natural law</w:t>
      </w:r>
      <w:r w:rsidRPr="00126AC2">
        <w:rPr>
          <w:rFonts w:ascii="Century" w:hAnsi="Century" w:hint="cs"/>
          <w:sz w:val="22"/>
          <w:rtl/>
        </w:rPr>
        <w:t>)</w:t>
      </w:r>
      <w:r>
        <w:rPr>
          <w:rFonts w:ascii="Century" w:hAnsi="Century" w:hint="cs"/>
          <w:sz w:val="22"/>
          <w:rtl/>
        </w:rPr>
        <w:t>:</w:t>
      </w:r>
    </w:p>
    <w:p w:rsidR="0047626A" w:rsidRDefault="0047626A" w:rsidP="0047626A">
      <w:pPr>
        <w:pStyle w:val="Ruller4"/>
        <w:numPr>
          <w:ilvl w:val="0"/>
          <w:numId w:val="0"/>
        </w:numPr>
      </w:pPr>
    </w:p>
    <w:p w:rsidR="0047626A" w:rsidRDefault="0047626A" w:rsidP="0047626A">
      <w:pPr>
        <w:pStyle w:val="Ruller5"/>
        <w:bidi w:val="0"/>
        <w:rPr>
          <w:rFonts w:asciiTheme="majorBidi" w:hAnsiTheme="majorBidi" w:cstheme="majorBidi"/>
          <w:sz w:val="24"/>
          <w:szCs w:val="24"/>
        </w:rPr>
      </w:pPr>
      <w:r w:rsidRPr="00331183">
        <w:rPr>
          <w:rFonts w:asciiTheme="majorBidi" w:hAnsiTheme="majorBidi" w:cstheme="majorBidi"/>
          <w:sz w:val="24"/>
          <w:szCs w:val="24"/>
        </w:rPr>
        <w:t>"Sometimes democracy seems to be defined a little too exclusively in terms of majority rule. That is surely</w:t>
      </w:r>
      <w:r w:rsidRPr="00331183">
        <w:rPr>
          <w:rFonts w:asciiTheme="majorBidi" w:hAnsiTheme="majorBidi" w:cstheme="majorBidi"/>
          <w:sz w:val="24"/>
          <w:szCs w:val="24"/>
          <w:rtl/>
        </w:rPr>
        <w:t xml:space="preserve"> </w:t>
      </w:r>
      <w:r w:rsidRPr="00331183">
        <w:rPr>
          <w:rFonts w:asciiTheme="majorBidi" w:hAnsiTheme="majorBidi" w:cstheme="majorBidi"/>
          <w:sz w:val="24"/>
          <w:szCs w:val="24"/>
        </w:rPr>
        <w:t>one of the indispensable, recognizable features of democracy in action, but it seems to me, only one. A second, not a whit less important, is the provision of safeguards for dissenting minorities."</w:t>
      </w:r>
    </w:p>
    <w:p w:rsidR="0047626A" w:rsidRDefault="0047626A" w:rsidP="0047626A">
      <w:pPr>
        <w:pStyle w:val="Ruller5"/>
        <w:bidi w:val="0"/>
        <w:rPr>
          <w:rFonts w:asciiTheme="majorBidi" w:hAnsiTheme="majorBidi" w:cstheme="majorBidi"/>
          <w:sz w:val="24"/>
          <w:szCs w:val="24"/>
        </w:rPr>
      </w:pPr>
    </w:p>
    <w:p w:rsidR="0047626A" w:rsidRPr="00331183" w:rsidRDefault="0047626A" w:rsidP="0047626A">
      <w:pPr>
        <w:pStyle w:val="Ruller5"/>
        <w:bidi w:val="0"/>
        <w:rPr>
          <w:rFonts w:asciiTheme="majorBidi" w:hAnsiTheme="majorBidi" w:cstheme="majorBidi"/>
          <w:sz w:val="24"/>
          <w:szCs w:val="24"/>
        </w:rPr>
      </w:pPr>
      <w:r w:rsidRPr="00CB269F">
        <w:rPr>
          <w:rFonts w:asciiTheme="majorBidi" w:hAnsiTheme="majorBidi" w:cstheme="majorBidi"/>
          <w:sz w:val="24"/>
          <w:szCs w:val="24"/>
        </w:rPr>
        <w:t>Robert L.</w:t>
      </w:r>
      <w:r>
        <w:rPr>
          <w:rFonts w:asciiTheme="majorBidi" w:hAnsiTheme="majorBidi" w:cstheme="majorBidi"/>
          <w:sz w:val="24"/>
          <w:szCs w:val="24"/>
        </w:rPr>
        <w:t xml:space="preserve"> Calhoun, </w:t>
      </w:r>
      <w:r w:rsidRPr="007407C2">
        <w:rPr>
          <w:rFonts w:asciiTheme="majorBidi" w:hAnsiTheme="majorBidi" w:cstheme="majorBidi"/>
          <w:i/>
          <w:iCs/>
          <w:sz w:val="24"/>
          <w:szCs w:val="24"/>
        </w:rPr>
        <w:t>Democracy and Natural Law</w:t>
      </w:r>
      <w:r>
        <w:rPr>
          <w:rFonts w:asciiTheme="majorBidi" w:hAnsiTheme="majorBidi" w:cstheme="majorBidi"/>
          <w:sz w:val="24"/>
          <w:szCs w:val="24"/>
        </w:rPr>
        <w:t xml:space="preserve">, 5 </w:t>
      </w:r>
      <w:r w:rsidRPr="007407C2">
        <w:rPr>
          <w:rFonts w:asciiTheme="majorBidi" w:hAnsiTheme="majorBidi" w:cstheme="majorBidi"/>
          <w:smallCaps/>
          <w:sz w:val="24"/>
          <w:szCs w:val="24"/>
        </w:rPr>
        <w:t>Nat</w:t>
      </w:r>
      <w:r>
        <w:rPr>
          <w:rFonts w:asciiTheme="majorBidi" w:hAnsiTheme="majorBidi" w:cstheme="majorBidi"/>
          <w:smallCaps/>
          <w:sz w:val="24"/>
          <w:szCs w:val="24"/>
        </w:rPr>
        <w:t>.</w:t>
      </w:r>
      <w:r w:rsidRPr="007407C2">
        <w:rPr>
          <w:rFonts w:asciiTheme="majorBidi" w:hAnsiTheme="majorBidi" w:cstheme="majorBidi"/>
          <w:smallCaps/>
          <w:sz w:val="24"/>
          <w:szCs w:val="24"/>
        </w:rPr>
        <w:t xml:space="preserve"> L</w:t>
      </w:r>
      <w:r>
        <w:rPr>
          <w:rFonts w:asciiTheme="majorBidi" w:hAnsiTheme="majorBidi" w:cstheme="majorBidi"/>
          <w:smallCaps/>
          <w:sz w:val="24"/>
          <w:szCs w:val="24"/>
        </w:rPr>
        <w:t>.</w:t>
      </w:r>
      <w:r w:rsidRPr="007407C2">
        <w:rPr>
          <w:rFonts w:asciiTheme="majorBidi" w:hAnsiTheme="majorBidi" w:cstheme="majorBidi"/>
          <w:smallCaps/>
          <w:sz w:val="24"/>
          <w:szCs w:val="24"/>
        </w:rPr>
        <w:t xml:space="preserve"> F</w:t>
      </w:r>
      <w:r>
        <w:rPr>
          <w:rFonts w:asciiTheme="majorBidi" w:hAnsiTheme="majorBidi" w:cstheme="majorBidi"/>
          <w:smallCaps/>
          <w:sz w:val="24"/>
          <w:szCs w:val="24"/>
        </w:rPr>
        <w:t>.</w:t>
      </w:r>
      <w:r>
        <w:rPr>
          <w:rFonts w:asciiTheme="majorBidi" w:hAnsiTheme="majorBidi" w:cstheme="majorBidi"/>
          <w:sz w:val="24"/>
          <w:szCs w:val="24"/>
        </w:rPr>
        <w:t xml:space="preserve"> 31, 35 (1960).</w:t>
      </w:r>
    </w:p>
    <w:p w:rsidR="0047626A" w:rsidRDefault="0047626A" w:rsidP="0047626A">
      <w:pPr>
        <w:pStyle w:val="Ruller41"/>
        <w:bidi w:val="0"/>
      </w:pPr>
    </w:p>
    <w:p w:rsidR="0047626A" w:rsidRPr="00331183" w:rsidRDefault="0047626A" w:rsidP="0047626A">
      <w:pPr>
        <w:pStyle w:val="Ruller41"/>
        <w:bidi w:val="0"/>
      </w:pPr>
    </w:p>
    <w:p w:rsidR="0047626A" w:rsidRDefault="0047626A" w:rsidP="0047626A">
      <w:pPr>
        <w:pStyle w:val="Ruller4"/>
      </w:pPr>
      <w:r>
        <w:rPr>
          <w:rFonts w:hint="cs"/>
          <w:rtl/>
        </w:rPr>
        <w:t xml:space="preserve">במקרה שלפנינו, אחרי שידענו כי המנשר ופקודת סדרי השלטון והמשפט המקורית אמרו במפורש כי הכרזת העצמאות היא המקור הראשוני של כל סמכויות החקיקה שבידי הכנסת, ואחרי שבדקנו </w:t>
      </w:r>
      <w:r>
        <w:rPr>
          <w:rtl/>
        </w:rPr>
        <w:t>–</w:t>
      </w:r>
      <w:r>
        <w:rPr>
          <w:rFonts w:hint="cs"/>
          <w:rtl/>
        </w:rPr>
        <w:t xml:space="preserve"> ולא מצאנו </w:t>
      </w:r>
      <w:r>
        <w:rPr>
          <w:rtl/>
        </w:rPr>
        <w:t>–</w:t>
      </w:r>
      <w:r>
        <w:rPr>
          <w:rFonts w:hint="cs"/>
          <w:rtl/>
        </w:rPr>
        <w:t xml:space="preserve"> שום עיגון רשמי אחר לסמכויות אלה, ממילא אין כל סיבה להפליג למרחקים ולהגיע למשפט הטבע.</w:t>
      </w:r>
    </w:p>
    <w:p w:rsidR="0047626A" w:rsidRDefault="0047626A" w:rsidP="0047626A">
      <w:pPr>
        <w:pStyle w:val="Ruller4"/>
        <w:numPr>
          <w:ilvl w:val="0"/>
          <w:numId w:val="0"/>
        </w:numPr>
      </w:pPr>
    </w:p>
    <w:p w:rsidR="0047626A" w:rsidRDefault="0047626A" w:rsidP="0047626A">
      <w:pPr>
        <w:pStyle w:val="Ruller4"/>
      </w:pPr>
      <w:r>
        <w:rPr>
          <w:rFonts w:hint="cs"/>
          <w:rtl/>
        </w:rPr>
        <w:t>מכאן להכרזת העצמאות גופה.</w:t>
      </w:r>
    </w:p>
    <w:p w:rsidR="0047626A" w:rsidRDefault="0047626A" w:rsidP="0047626A">
      <w:pPr>
        <w:pStyle w:val="Ruller4"/>
        <w:numPr>
          <w:ilvl w:val="0"/>
          <w:numId w:val="0"/>
        </w:numPr>
      </w:pPr>
    </w:p>
    <w:p w:rsidR="0047626A" w:rsidRDefault="0047626A" w:rsidP="0047626A">
      <w:pPr>
        <w:pStyle w:val="Ruller4"/>
        <w:numPr>
          <w:ilvl w:val="0"/>
          <w:numId w:val="0"/>
        </w:numPr>
        <w:rPr>
          <w:rFonts w:ascii="Century" w:hAnsi="Century" w:cs="Miriam"/>
          <w:b/>
          <w:spacing w:val="0"/>
          <w:sz w:val="22"/>
          <w:szCs w:val="24"/>
          <w:rtl/>
        </w:rPr>
      </w:pPr>
      <w:r>
        <w:rPr>
          <w:rFonts w:ascii="Century" w:hAnsi="Century" w:cs="Miriam" w:hint="cs"/>
          <w:b/>
          <w:spacing w:val="0"/>
          <w:sz w:val="22"/>
          <w:szCs w:val="24"/>
          <w:rtl/>
        </w:rPr>
        <w:t>הכרזת העצמאות:</w:t>
      </w:r>
    </w:p>
    <w:p w:rsidR="0047626A" w:rsidRPr="00A11F59" w:rsidRDefault="0047626A" w:rsidP="0047626A">
      <w:pPr>
        <w:pStyle w:val="Ruller4"/>
        <w:numPr>
          <w:ilvl w:val="0"/>
          <w:numId w:val="0"/>
        </w:numPr>
        <w:rPr>
          <w:rFonts w:ascii="Century" w:hAnsi="Century" w:cs="Miriam"/>
          <w:b/>
          <w:spacing w:val="0"/>
          <w:sz w:val="22"/>
          <w:szCs w:val="24"/>
        </w:rPr>
      </w:pPr>
      <w:r>
        <w:rPr>
          <w:rFonts w:ascii="Century" w:hAnsi="Century" w:cs="Miriam"/>
          <w:b/>
          <w:spacing w:val="0"/>
          <w:szCs w:val="24"/>
          <w:rtl/>
        </w:rPr>
        <w:t>בחיר</w:t>
      </w:r>
      <w:r>
        <w:rPr>
          <w:rFonts w:ascii="Century" w:hAnsi="Century" w:cs="Miriam" w:hint="cs"/>
          <w:b/>
          <w:spacing w:val="0"/>
          <w:szCs w:val="24"/>
          <w:rtl/>
        </w:rPr>
        <w:t>ת העם</w:t>
      </w:r>
      <w:r>
        <w:rPr>
          <w:rFonts w:ascii="Century" w:hAnsi="Century" w:cs="Miriam"/>
          <w:b/>
          <w:spacing w:val="0"/>
          <w:szCs w:val="24"/>
          <w:rtl/>
        </w:rPr>
        <w:t xml:space="preserve"> בדמוקרטיה מאוזנת, ולא אריתמטית</w:t>
      </w:r>
    </w:p>
    <w:p w:rsidR="0047626A" w:rsidRPr="00DB4825" w:rsidRDefault="0047626A" w:rsidP="0047626A">
      <w:pPr>
        <w:pStyle w:val="Ruller41"/>
      </w:pPr>
    </w:p>
    <w:p w:rsidR="0047626A" w:rsidRDefault="0047626A" w:rsidP="0047626A">
      <w:pPr>
        <w:pStyle w:val="Ruller4"/>
      </w:pPr>
      <w:r>
        <w:rPr>
          <w:rFonts w:hint="cs"/>
          <w:rtl/>
        </w:rPr>
        <w:t>הכרזת העצמאות הכריזה "</w:t>
      </w:r>
      <w:r>
        <w:rPr>
          <w:rFonts w:hint="eastAsia"/>
          <w:rtl/>
        </w:rPr>
        <w:t>על</w:t>
      </w:r>
      <w:r>
        <w:rPr>
          <w:rtl/>
        </w:rPr>
        <w:t xml:space="preserve"> </w:t>
      </w:r>
      <w:r>
        <w:rPr>
          <w:rFonts w:hint="eastAsia"/>
          <w:rtl/>
        </w:rPr>
        <w:t>הקמת</w:t>
      </w:r>
      <w:r>
        <w:rPr>
          <w:rtl/>
        </w:rPr>
        <w:t xml:space="preserve"> </w:t>
      </w:r>
      <w:r>
        <w:rPr>
          <w:rFonts w:hint="eastAsia"/>
          <w:rtl/>
        </w:rPr>
        <w:t>מדינה</w:t>
      </w:r>
      <w:r>
        <w:rPr>
          <w:rtl/>
        </w:rPr>
        <w:t xml:space="preserve"> </w:t>
      </w:r>
      <w:r>
        <w:rPr>
          <w:rFonts w:hint="eastAsia"/>
          <w:rtl/>
        </w:rPr>
        <w:t>יהודית</w:t>
      </w:r>
      <w:r>
        <w:rPr>
          <w:rtl/>
        </w:rPr>
        <w:t xml:space="preserve"> </w:t>
      </w:r>
      <w:r>
        <w:rPr>
          <w:rFonts w:hint="eastAsia"/>
          <w:rtl/>
        </w:rPr>
        <w:t>בארץ</w:t>
      </w:r>
      <w:r>
        <w:rPr>
          <w:rtl/>
        </w:rPr>
        <w:t xml:space="preserve"> </w:t>
      </w:r>
      <w:r>
        <w:rPr>
          <w:rFonts w:hint="eastAsia"/>
          <w:rtl/>
        </w:rPr>
        <w:t>ישראל</w:t>
      </w:r>
      <w:r>
        <w:rPr>
          <w:rtl/>
        </w:rPr>
        <w:t xml:space="preserve">, </w:t>
      </w:r>
      <w:r>
        <w:rPr>
          <w:rFonts w:hint="eastAsia"/>
          <w:rtl/>
        </w:rPr>
        <w:t>היא</w:t>
      </w:r>
      <w:r>
        <w:rPr>
          <w:rtl/>
        </w:rPr>
        <w:t xml:space="preserve"> </w:t>
      </w:r>
      <w:r>
        <w:rPr>
          <w:rFonts w:hint="eastAsia"/>
          <w:rtl/>
        </w:rPr>
        <w:t>מדינת</w:t>
      </w:r>
      <w:r>
        <w:rPr>
          <w:rtl/>
        </w:rPr>
        <w:t xml:space="preserve"> </w:t>
      </w:r>
      <w:r>
        <w:rPr>
          <w:rFonts w:hint="eastAsia"/>
          <w:rtl/>
        </w:rPr>
        <w:t>ישראל</w:t>
      </w:r>
      <w:r>
        <w:rPr>
          <w:rFonts w:hint="cs"/>
          <w:rtl/>
        </w:rPr>
        <w:t>". מייסדי המדינה קבעו במסגרתה, בין היתר, כי "</w:t>
      </w:r>
      <w:r>
        <w:rPr>
          <w:rFonts w:hint="eastAsia"/>
          <w:rtl/>
        </w:rPr>
        <w:t>החל</w:t>
      </w:r>
      <w:r>
        <w:rPr>
          <w:rtl/>
        </w:rPr>
        <w:t xml:space="preserve"> </w:t>
      </w:r>
      <w:r>
        <w:rPr>
          <w:rFonts w:hint="eastAsia"/>
          <w:rtl/>
        </w:rPr>
        <w:t>מרגע</w:t>
      </w:r>
      <w:r>
        <w:rPr>
          <w:rtl/>
        </w:rPr>
        <w:t xml:space="preserve"> </w:t>
      </w:r>
      <w:r>
        <w:rPr>
          <w:rFonts w:hint="eastAsia"/>
          <w:rtl/>
        </w:rPr>
        <w:t>סיום</w:t>
      </w:r>
      <w:r>
        <w:rPr>
          <w:rtl/>
        </w:rPr>
        <w:t xml:space="preserve"> </w:t>
      </w:r>
      <w:r>
        <w:rPr>
          <w:rFonts w:hint="eastAsia"/>
          <w:rtl/>
        </w:rPr>
        <w:t>המנדט</w:t>
      </w:r>
      <w:r>
        <w:rPr>
          <w:rtl/>
        </w:rPr>
        <w:t xml:space="preserve">, </w:t>
      </w:r>
      <w:r>
        <w:rPr>
          <w:rFonts w:hint="eastAsia"/>
          <w:rtl/>
        </w:rPr>
        <w:t>הלילה</w:t>
      </w:r>
      <w:r>
        <w:rPr>
          <w:rtl/>
        </w:rPr>
        <w:t xml:space="preserve">, </w:t>
      </w:r>
      <w:r>
        <w:rPr>
          <w:rFonts w:hint="eastAsia"/>
          <w:rtl/>
        </w:rPr>
        <w:t>אור</w:t>
      </w:r>
      <w:r>
        <w:rPr>
          <w:rtl/>
        </w:rPr>
        <w:t xml:space="preserve"> </w:t>
      </w:r>
      <w:r>
        <w:rPr>
          <w:rFonts w:hint="eastAsia"/>
          <w:rtl/>
        </w:rPr>
        <w:t>ליום</w:t>
      </w:r>
      <w:r>
        <w:rPr>
          <w:rtl/>
        </w:rPr>
        <w:t xml:space="preserve"> </w:t>
      </w:r>
      <w:r>
        <w:rPr>
          <w:rFonts w:hint="eastAsia"/>
          <w:rtl/>
        </w:rPr>
        <w:t>שבת</w:t>
      </w:r>
      <w:r>
        <w:rPr>
          <w:rtl/>
        </w:rPr>
        <w:t xml:space="preserve"> </w:t>
      </w:r>
      <w:r>
        <w:rPr>
          <w:rFonts w:hint="eastAsia"/>
          <w:rtl/>
        </w:rPr>
        <w:t>ו</w:t>
      </w:r>
      <w:r>
        <w:rPr>
          <w:rtl/>
        </w:rPr>
        <w:t xml:space="preserve">' </w:t>
      </w:r>
      <w:r>
        <w:rPr>
          <w:rFonts w:hint="eastAsia"/>
          <w:rtl/>
        </w:rPr>
        <w:t>אייר</w:t>
      </w:r>
      <w:r>
        <w:rPr>
          <w:rtl/>
        </w:rPr>
        <w:t xml:space="preserve"> </w:t>
      </w:r>
      <w:r>
        <w:rPr>
          <w:rFonts w:hint="eastAsia"/>
          <w:rtl/>
        </w:rPr>
        <w:t>תש</w:t>
      </w:r>
      <w:r>
        <w:rPr>
          <w:rtl/>
        </w:rPr>
        <w:t>"</w:t>
      </w:r>
      <w:r>
        <w:rPr>
          <w:rFonts w:hint="eastAsia"/>
          <w:rtl/>
        </w:rPr>
        <w:t>ח</w:t>
      </w:r>
      <w:r>
        <w:rPr>
          <w:rtl/>
        </w:rPr>
        <w:t xml:space="preserve">, 15 </w:t>
      </w:r>
      <w:r>
        <w:rPr>
          <w:rFonts w:hint="eastAsia"/>
          <w:rtl/>
        </w:rPr>
        <w:t>במאי</w:t>
      </w:r>
      <w:r>
        <w:rPr>
          <w:rtl/>
        </w:rPr>
        <w:t xml:space="preserve"> 1948, </w:t>
      </w:r>
      <w:r>
        <w:rPr>
          <w:rFonts w:hint="eastAsia"/>
          <w:rtl/>
        </w:rPr>
        <w:t>ועד</w:t>
      </w:r>
      <w:r>
        <w:rPr>
          <w:rtl/>
        </w:rPr>
        <w:t xml:space="preserve"> </w:t>
      </w:r>
      <w:r>
        <w:rPr>
          <w:rFonts w:hint="eastAsia"/>
          <w:rtl/>
        </w:rPr>
        <w:t>להקמת</w:t>
      </w:r>
      <w:r>
        <w:rPr>
          <w:rtl/>
        </w:rPr>
        <w:t xml:space="preserve"> </w:t>
      </w:r>
      <w:r>
        <w:rPr>
          <w:rFonts w:hint="eastAsia"/>
          <w:rtl/>
        </w:rPr>
        <w:t>השלטונות</w:t>
      </w:r>
      <w:r>
        <w:rPr>
          <w:rtl/>
        </w:rPr>
        <w:t xml:space="preserve"> </w:t>
      </w:r>
      <w:r>
        <w:rPr>
          <w:rFonts w:hint="eastAsia"/>
          <w:rtl/>
        </w:rPr>
        <w:t>הנבחרים</w:t>
      </w:r>
      <w:r>
        <w:rPr>
          <w:rtl/>
        </w:rPr>
        <w:t xml:space="preserve"> </w:t>
      </w:r>
      <w:r>
        <w:rPr>
          <w:rFonts w:hint="eastAsia"/>
          <w:rtl/>
        </w:rPr>
        <w:t>והסדירים</w:t>
      </w:r>
      <w:r>
        <w:rPr>
          <w:rtl/>
        </w:rPr>
        <w:t xml:space="preserve"> </w:t>
      </w:r>
      <w:r>
        <w:rPr>
          <w:rFonts w:hint="eastAsia"/>
          <w:rtl/>
        </w:rPr>
        <w:t>של</w:t>
      </w:r>
      <w:r>
        <w:rPr>
          <w:rtl/>
        </w:rPr>
        <w:t xml:space="preserve"> </w:t>
      </w:r>
      <w:r>
        <w:rPr>
          <w:rFonts w:hint="eastAsia"/>
          <w:rtl/>
        </w:rPr>
        <w:t>המדינה</w:t>
      </w:r>
      <w:r>
        <w:rPr>
          <w:rtl/>
        </w:rPr>
        <w:t xml:space="preserve"> </w:t>
      </w:r>
      <w:r>
        <w:rPr>
          <w:rFonts w:hint="eastAsia"/>
          <w:rtl/>
        </w:rPr>
        <w:t>בהתאם</w:t>
      </w:r>
      <w:r>
        <w:rPr>
          <w:rtl/>
        </w:rPr>
        <w:t xml:space="preserve"> </w:t>
      </w:r>
      <w:r>
        <w:rPr>
          <w:rFonts w:hint="eastAsia"/>
          <w:rtl/>
        </w:rPr>
        <w:t>לחוקה</w:t>
      </w:r>
      <w:r>
        <w:rPr>
          <w:rtl/>
        </w:rPr>
        <w:t xml:space="preserve"> </w:t>
      </w:r>
      <w:r>
        <w:rPr>
          <w:rFonts w:hint="eastAsia"/>
          <w:rtl/>
        </w:rPr>
        <w:t>שתיקבע</w:t>
      </w:r>
      <w:r>
        <w:rPr>
          <w:rtl/>
        </w:rPr>
        <w:t xml:space="preserve"> </w:t>
      </w:r>
      <w:r w:rsidRPr="007935D1">
        <w:rPr>
          <w:rFonts w:ascii="Arial" w:hAnsi="Arial" w:cs="Arial" w:hint="cs"/>
          <w:rtl/>
        </w:rPr>
        <w:t>​</w:t>
      </w:r>
      <w:r>
        <w:rPr>
          <w:rFonts w:hint="cs"/>
          <w:rtl/>
        </w:rPr>
        <w:t>ע</w:t>
      </w:r>
      <w:r>
        <w:rPr>
          <w:rFonts w:hint="eastAsia"/>
          <w:rtl/>
        </w:rPr>
        <w:t>ל</w:t>
      </w:r>
      <w:r>
        <w:rPr>
          <w:rtl/>
        </w:rPr>
        <w:t>-</w:t>
      </w:r>
      <w:r>
        <w:rPr>
          <w:rFonts w:hint="eastAsia"/>
          <w:rtl/>
        </w:rPr>
        <w:t>ידי</w:t>
      </w:r>
      <w:r>
        <w:rPr>
          <w:rtl/>
        </w:rPr>
        <w:t xml:space="preserve"> </w:t>
      </w:r>
      <w:r>
        <w:rPr>
          <w:rFonts w:hint="eastAsia"/>
          <w:rtl/>
        </w:rPr>
        <w:t>האספה</w:t>
      </w:r>
      <w:r>
        <w:rPr>
          <w:rtl/>
        </w:rPr>
        <w:t xml:space="preserve"> </w:t>
      </w:r>
      <w:r>
        <w:rPr>
          <w:rFonts w:hint="eastAsia"/>
          <w:rtl/>
        </w:rPr>
        <w:t>המכוננת</w:t>
      </w:r>
      <w:r>
        <w:rPr>
          <w:rtl/>
        </w:rPr>
        <w:t xml:space="preserve"> </w:t>
      </w:r>
      <w:r>
        <w:rPr>
          <w:rFonts w:hint="eastAsia"/>
          <w:rtl/>
        </w:rPr>
        <w:t>הנבחרת</w:t>
      </w:r>
      <w:r>
        <w:rPr>
          <w:rtl/>
        </w:rPr>
        <w:t xml:space="preserve"> </w:t>
      </w:r>
      <w:r>
        <w:rPr>
          <w:rFonts w:hint="eastAsia"/>
          <w:rtl/>
        </w:rPr>
        <w:t>לא</w:t>
      </w:r>
      <w:r>
        <w:rPr>
          <w:rtl/>
        </w:rPr>
        <w:t xml:space="preserve"> </w:t>
      </w:r>
      <w:r>
        <w:rPr>
          <w:rFonts w:hint="eastAsia"/>
          <w:rtl/>
        </w:rPr>
        <w:t>יאוחר</w:t>
      </w:r>
      <w:r>
        <w:rPr>
          <w:rtl/>
        </w:rPr>
        <w:t xml:space="preserve"> </w:t>
      </w:r>
      <w:r>
        <w:rPr>
          <w:rFonts w:hint="eastAsia"/>
          <w:rtl/>
        </w:rPr>
        <w:t>מ</w:t>
      </w:r>
      <w:r>
        <w:rPr>
          <w:rtl/>
        </w:rPr>
        <w:t xml:space="preserve">-1 </w:t>
      </w:r>
      <w:r>
        <w:rPr>
          <w:rFonts w:hint="eastAsia"/>
          <w:rtl/>
        </w:rPr>
        <w:t>באוקטובר</w:t>
      </w:r>
      <w:r>
        <w:rPr>
          <w:rtl/>
        </w:rPr>
        <w:t xml:space="preserve"> 1948 –</w:t>
      </w:r>
      <w:r>
        <w:rPr>
          <w:rFonts w:hint="cs"/>
          <w:rtl/>
        </w:rPr>
        <w:t xml:space="preserve"> </w:t>
      </w:r>
      <w:r>
        <w:rPr>
          <w:rFonts w:hint="eastAsia"/>
          <w:rtl/>
        </w:rPr>
        <w:t>תפעל</w:t>
      </w:r>
      <w:r>
        <w:rPr>
          <w:rtl/>
        </w:rPr>
        <w:t xml:space="preserve"> </w:t>
      </w:r>
      <w:r>
        <w:rPr>
          <w:rFonts w:hint="eastAsia"/>
          <w:rtl/>
        </w:rPr>
        <w:t>מועצת</w:t>
      </w:r>
      <w:r>
        <w:rPr>
          <w:rtl/>
        </w:rPr>
        <w:t xml:space="preserve"> </w:t>
      </w:r>
      <w:r>
        <w:rPr>
          <w:rFonts w:hint="eastAsia"/>
          <w:rtl/>
        </w:rPr>
        <w:t>העם</w:t>
      </w:r>
      <w:r>
        <w:rPr>
          <w:rtl/>
        </w:rPr>
        <w:t xml:space="preserve"> </w:t>
      </w:r>
      <w:r>
        <w:rPr>
          <w:rFonts w:hint="eastAsia"/>
          <w:rtl/>
        </w:rPr>
        <w:t>כמועצת</w:t>
      </w:r>
      <w:r>
        <w:rPr>
          <w:rtl/>
        </w:rPr>
        <w:t xml:space="preserve"> </w:t>
      </w:r>
      <w:r>
        <w:rPr>
          <w:rFonts w:hint="eastAsia"/>
          <w:rtl/>
        </w:rPr>
        <w:t>מדינה</w:t>
      </w:r>
      <w:r>
        <w:rPr>
          <w:rtl/>
        </w:rPr>
        <w:t xml:space="preserve"> </w:t>
      </w:r>
      <w:r>
        <w:rPr>
          <w:rFonts w:hint="eastAsia"/>
          <w:rtl/>
        </w:rPr>
        <w:t>זמנית</w:t>
      </w:r>
      <w:r>
        <w:rPr>
          <w:rtl/>
        </w:rPr>
        <w:t xml:space="preserve">, </w:t>
      </w:r>
      <w:r>
        <w:rPr>
          <w:rFonts w:hint="eastAsia"/>
          <w:rtl/>
        </w:rPr>
        <w:t>ומוסד</w:t>
      </w:r>
      <w:r>
        <w:rPr>
          <w:rtl/>
        </w:rPr>
        <w:t xml:space="preserve"> </w:t>
      </w:r>
      <w:r>
        <w:rPr>
          <w:rFonts w:hint="eastAsia"/>
          <w:rtl/>
        </w:rPr>
        <w:t>הביצוע</w:t>
      </w:r>
      <w:r>
        <w:rPr>
          <w:rtl/>
        </w:rPr>
        <w:t xml:space="preserve"> </w:t>
      </w:r>
      <w:r>
        <w:rPr>
          <w:rFonts w:hint="eastAsia"/>
          <w:rtl/>
        </w:rPr>
        <w:t>שלה</w:t>
      </w:r>
      <w:r>
        <w:rPr>
          <w:rtl/>
        </w:rPr>
        <w:t xml:space="preserve">, </w:t>
      </w:r>
      <w:r>
        <w:rPr>
          <w:rFonts w:hint="eastAsia"/>
          <w:rtl/>
        </w:rPr>
        <w:lastRenderedPageBreak/>
        <w:t>מנהלת</w:t>
      </w:r>
      <w:r>
        <w:rPr>
          <w:rtl/>
        </w:rPr>
        <w:t>-</w:t>
      </w:r>
      <w:r>
        <w:rPr>
          <w:rFonts w:hint="eastAsia"/>
          <w:rtl/>
        </w:rPr>
        <w:t>העם</w:t>
      </w:r>
      <w:r>
        <w:rPr>
          <w:rtl/>
        </w:rPr>
        <w:t xml:space="preserve">, </w:t>
      </w:r>
      <w:r>
        <w:rPr>
          <w:rFonts w:hint="eastAsia"/>
          <w:rtl/>
        </w:rPr>
        <w:t>יהווה</w:t>
      </w:r>
      <w:r>
        <w:rPr>
          <w:rtl/>
        </w:rPr>
        <w:t xml:space="preserve"> </w:t>
      </w:r>
      <w:r>
        <w:rPr>
          <w:rFonts w:hint="eastAsia"/>
          <w:rtl/>
        </w:rPr>
        <w:t>את</w:t>
      </w:r>
      <w:r>
        <w:rPr>
          <w:rtl/>
        </w:rPr>
        <w:t xml:space="preserve"> </w:t>
      </w:r>
      <w:r>
        <w:rPr>
          <w:rFonts w:hint="eastAsia"/>
          <w:rtl/>
        </w:rPr>
        <w:t>הממשלה</w:t>
      </w:r>
      <w:r>
        <w:rPr>
          <w:rtl/>
        </w:rPr>
        <w:t xml:space="preserve"> </w:t>
      </w:r>
      <w:r>
        <w:rPr>
          <w:rFonts w:hint="eastAsia"/>
          <w:rtl/>
        </w:rPr>
        <w:t>הזמנית</w:t>
      </w:r>
      <w:r>
        <w:rPr>
          <w:rtl/>
        </w:rPr>
        <w:t xml:space="preserve"> </w:t>
      </w:r>
      <w:r>
        <w:rPr>
          <w:rFonts w:hint="eastAsia"/>
          <w:rtl/>
        </w:rPr>
        <w:t>של</w:t>
      </w:r>
      <w:r>
        <w:rPr>
          <w:rtl/>
        </w:rPr>
        <w:t xml:space="preserve"> </w:t>
      </w:r>
      <w:r>
        <w:rPr>
          <w:rFonts w:hint="eastAsia"/>
          <w:rtl/>
        </w:rPr>
        <w:t>המדינה</w:t>
      </w:r>
      <w:r>
        <w:rPr>
          <w:rtl/>
        </w:rPr>
        <w:t xml:space="preserve"> </w:t>
      </w:r>
      <w:r>
        <w:rPr>
          <w:rFonts w:hint="eastAsia"/>
          <w:rtl/>
        </w:rPr>
        <w:t>היהודית</w:t>
      </w:r>
      <w:r>
        <w:rPr>
          <w:rtl/>
        </w:rPr>
        <w:t xml:space="preserve">, </w:t>
      </w:r>
      <w:r>
        <w:rPr>
          <w:rFonts w:hint="eastAsia"/>
          <w:rtl/>
        </w:rPr>
        <w:t>אשר</w:t>
      </w:r>
      <w:r>
        <w:rPr>
          <w:rtl/>
        </w:rPr>
        <w:t xml:space="preserve"> </w:t>
      </w:r>
      <w:r>
        <w:rPr>
          <w:rFonts w:hint="eastAsia"/>
          <w:rtl/>
        </w:rPr>
        <w:t>תיקר</w:t>
      </w:r>
      <w:r w:rsidRPr="007935D1">
        <w:rPr>
          <w:rFonts w:ascii="Arial" w:hAnsi="Arial" w:cs="Arial" w:hint="cs"/>
          <w:rtl/>
        </w:rPr>
        <w:t>​</w:t>
      </w:r>
      <w:r w:rsidRPr="007935D1">
        <w:rPr>
          <w:rFonts w:ascii="FrankRuehl" w:hAnsi="FrankRuehl" w:hint="cs"/>
          <w:rtl/>
        </w:rPr>
        <w:t>א</w:t>
      </w:r>
      <w:r>
        <w:rPr>
          <w:rtl/>
        </w:rPr>
        <w:t xml:space="preserve"> </w:t>
      </w:r>
      <w:r>
        <w:rPr>
          <w:rFonts w:hint="eastAsia"/>
          <w:rtl/>
        </w:rPr>
        <w:t>בשם</w:t>
      </w:r>
      <w:r>
        <w:rPr>
          <w:rtl/>
        </w:rPr>
        <w:t xml:space="preserve"> </w:t>
      </w:r>
      <w:r>
        <w:rPr>
          <w:rFonts w:hint="eastAsia"/>
          <w:rtl/>
        </w:rPr>
        <w:t>ישראל</w:t>
      </w:r>
      <w:r>
        <w:rPr>
          <w:rFonts w:hint="cs"/>
          <w:rtl/>
        </w:rPr>
        <w:t>".</w:t>
      </w:r>
    </w:p>
    <w:p w:rsidR="0047626A" w:rsidRDefault="0047626A" w:rsidP="0047626A">
      <w:pPr>
        <w:pStyle w:val="Ruller4"/>
        <w:numPr>
          <w:ilvl w:val="0"/>
          <w:numId w:val="0"/>
        </w:numPr>
        <w:rPr>
          <w:rtl/>
        </w:rPr>
      </w:pPr>
    </w:p>
    <w:p w:rsidR="0047626A" w:rsidRDefault="0047626A" w:rsidP="0047626A">
      <w:pPr>
        <w:pStyle w:val="Ruller4"/>
        <w:rPr>
          <w:rtl/>
        </w:rPr>
      </w:pPr>
      <w:r>
        <w:rPr>
          <w:rFonts w:hint="cs"/>
          <w:rtl/>
        </w:rPr>
        <w:t xml:space="preserve">החוקה שהובטחה בפסקה זו לא כוננה כמתוכנן. הסמכות לכונן חוקה עברה אפוא מכנסת לכנסת, שבהתאם להחלטת הררי המפורסמת (ראו: ד"כ 5, 1743 (התש"י) (להלן: </w:t>
      </w:r>
      <w:r w:rsidRPr="00CA78DC">
        <w:rPr>
          <w:rFonts w:ascii="Century" w:hAnsi="Century" w:cs="Miriam" w:hint="cs"/>
          <w:b/>
          <w:spacing w:val="0"/>
          <w:sz w:val="22"/>
          <w:szCs w:val="24"/>
          <w:rtl/>
        </w:rPr>
        <w:t>החלטת הררי</w:t>
      </w:r>
      <w:r>
        <w:rPr>
          <w:rFonts w:hint="cs"/>
          <w:rtl/>
        </w:rPr>
        <w:t xml:space="preserve">)) החלה לכונן חוקה </w:t>
      </w:r>
      <w:r>
        <w:rPr>
          <w:rtl/>
        </w:rPr>
        <w:t>–</w:t>
      </w:r>
      <w:r>
        <w:rPr>
          <w:rFonts w:hint="cs"/>
          <w:rtl/>
        </w:rPr>
        <w:t xml:space="preserve"> חלקים-חלקים </w:t>
      </w:r>
      <w:r>
        <w:rPr>
          <w:rtl/>
        </w:rPr>
        <w:t>–</w:t>
      </w:r>
      <w:r>
        <w:rPr>
          <w:rFonts w:hint="cs"/>
          <w:rtl/>
        </w:rPr>
        <w:t xml:space="preserve"> במסגרתם של חוקי יסוד; והדברים ידועים (ראו: אהרן ברק </w:t>
      </w:r>
      <w:r w:rsidRPr="00072651">
        <w:rPr>
          <w:rFonts w:ascii="Century" w:hAnsi="Century" w:cs="Miriam" w:hint="cs"/>
          <w:b/>
          <w:spacing w:val="0"/>
          <w:sz w:val="22"/>
          <w:szCs w:val="24"/>
          <w:rtl/>
        </w:rPr>
        <w:t xml:space="preserve">מבחר כתבים ג </w:t>
      </w:r>
      <w:r w:rsidRPr="00072651">
        <w:rPr>
          <w:rFonts w:ascii="Century" w:hAnsi="Century" w:cs="Miriam"/>
          <w:b/>
          <w:spacing w:val="0"/>
          <w:sz w:val="22"/>
          <w:szCs w:val="24"/>
          <w:rtl/>
        </w:rPr>
        <w:t>–</w:t>
      </w:r>
      <w:r w:rsidRPr="00072651">
        <w:rPr>
          <w:rFonts w:ascii="Century" w:hAnsi="Century" w:cs="Miriam" w:hint="cs"/>
          <w:b/>
          <w:spacing w:val="0"/>
          <w:sz w:val="22"/>
          <w:szCs w:val="24"/>
          <w:rtl/>
        </w:rPr>
        <w:t xml:space="preserve"> עניינים חוקתיים</w:t>
      </w:r>
      <w:r>
        <w:rPr>
          <w:rFonts w:hint="cs"/>
          <w:rtl/>
        </w:rPr>
        <w:t xml:space="preserve"> 160 (2017) </w:t>
      </w:r>
      <w:r w:rsidRPr="000871DC">
        <w:rPr>
          <w:rFonts w:ascii="Century" w:hAnsi="Century"/>
          <w:sz w:val="22"/>
          <w:rtl/>
        </w:rPr>
        <w:t>(</w:t>
      </w:r>
      <w:r w:rsidRPr="000871DC">
        <w:rPr>
          <w:rFonts w:ascii="Century" w:hAnsi="Century" w:hint="eastAsia"/>
          <w:sz w:val="22"/>
          <w:rtl/>
        </w:rPr>
        <w:t>להלן</w:t>
      </w:r>
      <w:r w:rsidRPr="000871DC">
        <w:rPr>
          <w:rFonts w:ascii="Century" w:hAnsi="Century"/>
          <w:sz w:val="22"/>
          <w:rtl/>
        </w:rPr>
        <w:t xml:space="preserve">: </w:t>
      </w:r>
      <w:r w:rsidRPr="00B650C6">
        <w:rPr>
          <w:rFonts w:ascii="Century" w:hAnsi="Century" w:cs="Miriam" w:hint="eastAsia"/>
          <w:b/>
          <w:spacing w:val="0"/>
          <w:sz w:val="22"/>
          <w:szCs w:val="24"/>
          <w:rtl/>
        </w:rPr>
        <w:t>ברק</w:t>
      </w:r>
      <w:r w:rsidRPr="00B650C6">
        <w:rPr>
          <w:rFonts w:ascii="Century" w:hAnsi="Century" w:cs="Miriam"/>
          <w:b/>
          <w:spacing w:val="0"/>
          <w:sz w:val="22"/>
          <w:szCs w:val="24"/>
          <w:rtl/>
        </w:rPr>
        <w:t xml:space="preserve">, </w:t>
      </w:r>
      <w:r w:rsidRPr="00B650C6">
        <w:rPr>
          <w:rFonts w:ascii="Century" w:hAnsi="Century" w:cs="Miriam" w:hint="eastAsia"/>
          <w:b/>
          <w:spacing w:val="0"/>
          <w:sz w:val="22"/>
          <w:szCs w:val="24"/>
          <w:rtl/>
        </w:rPr>
        <w:t>מבחר</w:t>
      </w:r>
      <w:r w:rsidRPr="00B650C6">
        <w:rPr>
          <w:rFonts w:ascii="Century" w:hAnsi="Century" w:cs="Miriam"/>
          <w:b/>
          <w:spacing w:val="0"/>
          <w:sz w:val="22"/>
          <w:szCs w:val="24"/>
          <w:rtl/>
        </w:rPr>
        <w:t xml:space="preserve"> </w:t>
      </w:r>
      <w:r w:rsidRPr="00B650C6">
        <w:rPr>
          <w:rFonts w:ascii="Century" w:hAnsi="Century" w:cs="Miriam" w:hint="eastAsia"/>
          <w:b/>
          <w:spacing w:val="0"/>
          <w:sz w:val="22"/>
          <w:szCs w:val="24"/>
          <w:rtl/>
        </w:rPr>
        <w:t>כתבים</w:t>
      </w:r>
      <w:r w:rsidRPr="000871DC">
        <w:rPr>
          <w:rFonts w:ascii="Century" w:hAnsi="Century"/>
          <w:sz w:val="22"/>
          <w:rtl/>
        </w:rPr>
        <w:t>)</w:t>
      </w:r>
      <w:r>
        <w:rPr>
          <w:rFonts w:hint="cs"/>
          <w:rtl/>
        </w:rPr>
        <w:t xml:space="preserve">). </w:t>
      </w:r>
    </w:p>
    <w:p w:rsidR="0047626A" w:rsidRDefault="0047626A" w:rsidP="0047626A">
      <w:pPr>
        <w:pStyle w:val="Ruller41"/>
        <w:rPr>
          <w:rtl/>
        </w:rPr>
      </w:pPr>
    </w:p>
    <w:p w:rsidR="0047626A" w:rsidRDefault="0047626A" w:rsidP="0047626A">
      <w:pPr>
        <w:pStyle w:val="Ruller4"/>
      </w:pPr>
      <w:r>
        <w:rPr>
          <w:rFonts w:hint="cs"/>
          <w:rtl/>
        </w:rPr>
        <w:t>כמו כן קבעה הכרזת העצמאות כדלקמן:</w:t>
      </w:r>
    </w:p>
    <w:p w:rsidR="0047626A" w:rsidRDefault="0047626A" w:rsidP="0047626A">
      <w:pPr>
        <w:pStyle w:val="Ruller4"/>
        <w:numPr>
          <w:ilvl w:val="0"/>
          <w:numId w:val="0"/>
        </w:numPr>
        <w:rPr>
          <w:rtl/>
        </w:rPr>
      </w:pPr>
    </w:p>
    <w:p w:rsidR="0047626A" w:rsidRDefault="0047626A" w:rsidP="0047626A">
      <w:pPr>
        <w:pStyle w:val="Ruller5"/>
        <w:rPr>
          <w:rtl/>
        </w:rPr>
      </w:pPr>
      <w:r>
        <w:rPr>
          <w:rFonts w:hint="cs"/>
          <w:rtl/>
        </w:rPr>
        <w:t>"</w:t>
      </w:r>
      <w:r>
        <w:rPr>
          <w:rFonts w:hint="eastAsia"/>
          <w:rtl/>
        </w:rPr>
        <w:t>מדינת</w:t>
      </w:r>
      <w:r>
        <w:rPr>
          <w:rtl/>
        </w:rPr>
        <w:t xml:space="preserve"> </w:t>
      </w:r>
      <w:r>
        <w:rPr>
          <w:rFonts w:hint="eastAsia"/>
          <w:rtl/>
        </w:rPr>
        <w:t>ישראל</w:t>
      </w:r>
      <w:r>
        <w:rPr>
          <w:rtl/>
        </w:rPr>
        <w:t xml:space="preserve"> </w:t>
      </w:r>
      <w:r>
        <w:rPr>
          <w:rFonts w:hint="eastAsia"/>
          <w:rtl/>
        </w:rPr>
        <w:t>תהא</w:t>
      </w:r>
      <w:r>
        <w:rPr>
          <w:rtl/>
        </w:rPr>
        <w:t xml:space="preserve"> </w:t>
      </w:r>
      <w:r>
        <w:rPr>
          <w:rFonts w:hint="eastAsia"/>
          <w:rtl/>
        </w:rPr>
        <w:t>פתוחה</w:t>
      </w:r>
      <w:r>
        <w:rPr>
          <w:rtl/>
        </w:rPr>
        <w:t xml:space="preserve"> </w:t>
      </w:r>
      <w:r>
        <w:rPr>
          <w:rFonts w:hint="eastAsia"/>
          <w:rtl/>
        </w:rPr>
        <w:t>לעליה</w:t>
      </w:r>
      <w:r>
        <w:rPr>
          <w:rtl/>
        </w:rPr>
        <w:t xml:space="preserve"> </w:t>
      </w:r>
      <w:r>
        <w:rPr>
          <w:rFonts w:hint="eastAsia"/>
          <w:rtl/>
        </w:rPr>
        <w:t>יהודית</w:t>
      </w:r>
      <w:r>
        <w:rPr>
          <w:rtl/>
        </w:rPr>
        <w:t xml:space="preserve"> </w:t>
      </w:r>
      <w:r>
        <w:rPr>
          <w:rFonts w:hint="eastAsia"/>
          <w:rtl/>
        </w:rPr>
        <w:t>ולקיבוץ</w:t>
      </w:r>
      <w:r>
        <w:rPr>
          <w:rtl/>
        </w:rPr>
        <w:t xml:space="preserve"> </w:t>
      </w:r>
      <w:r>
        <w:rPr>
          <w:rFonts w:hint="eastAsia"/>
          <w:rtl/>
        </w:rPr>
        <w:t>גלויות</w:t>
      </w:r>
      <w:r>
        <w:rPr>
          <w:rtl/>
        </w:rPr>
        <w:t xml:space="preserve">; </w:t>
      </w:r>
      <w:r>
        <w:rPr>
          <w:rFonts w:hint="eastAsia"/>
          <w:rtl/>
        </w:rPr>
        <w:t>תשקוד</w:t>
      </w:r>
      <w:r>
        <w:rPr>
          <w:rtl/>
        </w:rPr>
        <w:t xml:space="preserve"> </w:t>
      </w:r>
      <w:r>
        <w:rPr>
          <w:rFonts w:hint="eastAsia"/>
          <w:rtl/>
        </w:rPr>
        <w:t>על</w:t>
      </w:r>
      <w:r>
        <w:rPr>
          <w:rtl/>
        </w:rPr>
        <w:t xml:space="preserve"> </w:t>
      </w:r>
      <w:r>
        <w:rPr>
          <w:rFonts w:hint="eastAsia"/>
          <w:rtl/>
        </w:rPr>
        <w:t>פיתוח</w:t>
      </w:r>
      <w:r>
        <w:rPr>
          <w:rtl/>
        </w:rPr>
        <w:t xml:space="preserve"> </w:t>
      </w:r>
      <w:r>
        <w:rPr>
          <w:rFonts w:hint="eastAsia"/>
          <w:rtl/>
        </w:rPr>
        <w:t>הארץ</w:t>
      </w:r>
      <w:r>
        <w:rPr>
          <w:rtl/>
        </w:rPr>
        <w:t xml:space="preserve"> </w:t>
      </w:r>
      <w:r>
        <w:rPr>
          <w:rFonts w:hint="eastAsia"/>
          <w:rtl/>
        </w:rPr>
        <w:t>לטובת</w:t>
      </w:r>
      <w:r>
        <w:rPr>
          <w:rtl/>
        </w:rPr>
        <w:t xml:space="preserve"> </w:t>
      </w:r>
      <w:r>
        <w:rPr>
          <w:rFonts w:hint="eastAsia"/>
          <w:rtl/>
        </w:rPr>
        <w:t>כל</w:t>
      </w:r>
      <w:r>
        <w:rPr>
          <w:rtl/>
        </w:rPr>
        <w:t xml:space="preserve"> </w:t>
      </w:r>
      <w:r>
        <w:rPr>
          <w:rFonts w:hint="eastAsia"/>
          <w:rtl/>
        </w:rPr>
        <w:t>תושביה</w:t>
      </w:r>
      <w:r>
        <w:rPr>
          <w:rtl/>
        </w:rPr>
        <w:t xml:space="preserve">; </w:t>
      </w:r>
      <w:r>
        <w:rPr>
          <w:rFonts w:hint="eastAsia"/>
          <w:rtl/>
        </w:rPr>
        <w:t>תהא</w:t>
      </w:r>
      <w:r>
        <w:rPr>
          <w:rtl/>
        </w:rPr>
        <w:t xml:space="preserve"> </w:t>
      </w:r>
      <w:r>
        <w:rPr>
          <w:rFonts w:hint="eastAsia"/>
          <w:rtl/>
        </w:rPr>
        <w:t>מושתת</w:t>
      </w:r>
      <w:r>
        <w:rPr>
          <w:rFonts w:hint="cs"/>
          <w:rtl/>
        </w:rPr>
        <w:t>ת</w:t>
      </w:r>
      <w:r>
        <w:rPr>
          <w:rtl/>
        </w:rPr>
        <w:t xml:space="preserve"> </w:t>
      </w:r>
      <w:r>
        <w:rPr>
          <w:rFonts w:hint="eastAsia"/>
          <w:rtl/>
        </w:rPr>
        <w:t>על</w:t>
      </w:r>
      <w:r>
        <w:rPr>
          <w:rtl/>
        </w:rPr>
        <w:t xml:space="preserve"> </w:t>
      </w:r>
      <w:r>
        <w:rPr>
          <w:rFonts w:hint="eastAsia"/>
          <w:rtl/>
        </w:rPr>
        <w:t>יסודות</w:t>
      </w:r>
      <w:r>
        <w:rPr>
          <w:rtl/>
        </w:rPr>
        <w:t xml:space="preserve"> </w:t>
      </w:r>
      <w:r>
        <w:rPr>
          <w:rFonts w:hint="eastAsia"/>
          <w:rtl/>
        </w:rPr>
        <w:t>החירות</w:t>
      </w:r>
      <w:r>
        <w:rPr>
          <w:rtl/>
        </w:rPr>
        <w:t xml:space="preserve">, </w:t>
      </w:r>
      <w:r>
        <w:rPr>
          <w:rFonts w:hint="eastAsia"/>
          <w:rtl/>
        </w:rPr>
        <w:t>הצדק</w:t>
      </w:r>
      <w:r>
        <w:rPr>
          <w:rtl/>
        </w:rPr>
        <w:t xml:space="preserve"> </w:t>
      </w:r>
      <w:r>
        <w:rPr>
          <w:rFonts w:hint="eastAsia"/>
          <w:rtl/>
        </w:rPr>
        <w:t>והשלום</w:t>
      </w:r>
      <w:r>
        <w:rPr>
          <w:rtl/>
        </w:rPr>
        <w:t xml:space="preserve"> </w:t>
      </w:r>
      <w:r>
        <w:rPr>
          <w:rFonts w:hint="eastAsia"/>
          <w:rtl/>
        </w:rPr>
        <w:t>לאור</w:t>
      </w:r>
      <w:r>
        <w:rPr>
          <w:rtl/>
        </w:rPr>
        <w:t xml:space="preserve"> </w:t>
      </w:r>
      <w:r>
        <w:rPr>
          <w:rFonts w:hint="eastAsia"/>
          <w:rtl/>
        </w:rPr>
        <w:t>חזונם</w:t>
      </w:r>
      <w:r>
        <w:rPr>
          <w:rtl/>
        </w:rPr>
        <w:t xml:space="preserve"> </w:t>
      </w:r>
      <w:r>
        <w:rPr>
          <w:rFonts w:hint="eastAsia"/>
          <w:rtl/>
        </w:rPr>
        <w:t>של</w:t>
      </w:r>
      <w:r>
        <w:rPr>
          <w:rtl/>
        </w:rPr>
        <w:t xml:space="preserve"> </w:t>
      </w:r>
      <w:r>
        <w:rPr>
          <w:rFonts w:hint="eastAsia"/>
          <w:rtl/>
        </w:rPr>
        <w:t>נביאי</w:t>
      </w:r>
      <w:r>
        <w:rPr>
          <w:rtl/>
        </w:rPr>
        <w:t xml:space="preserve"> </w:t>
      </w:r>
      <w:r>
        <w:rPr>
          <w:rFonts w:hint="eastAsia"/>
          <w:rtl/>
        </w:rPr>
        <w:t>ישראל</w:t>
      </w:r>
      <w:r>
        <w:rPr>
          <w:rtl/>
        </w:rPr>
        <w:t xml:space="preserve">; </w:t>
      </w:r>
      <w:r>
        <w:rPr>
          <w:rFonts w:hint="eastAsia"/>
          <w:rtl/>
        </w:rPr>
        <w:t>תקיים</w:t>
      </w:r>
      <w:r>
        <w:rPr>
          <w:rtl/>
        </w:rPr>
        <w:t xml:space="preserve"> </w:t>
      </w:r>
      <w:r>
        <w:rPr>
          <w:rFonts w:hint="eastAsia"/>
          <w:rtl/>
        </w:rPr>
        <w:t>שויון</w:t>
      </w:r>
      <w:r>
        <w:rPr>
          <w:rtl/>
        </w:rPr>
        <w:t xml:space="preserve"> </w:t>
      </w:r>
      <w:r>
        <w:rPr>
          <w:rFonts w:hint="eastAsia"/>
          <w:rtl/>
        </w:rPr>
        <w:t>זכויו</w:t>
      </w:r>
      <w:r>
        <w:rPr>
          <w:rFonts w:ascii="Arial" w:hAnsi="Arial" w:cs="Arial" w:hint="cs"/>
          <w:rtl/>
        </w:rPr>
        <w:t>​</w:t>
      </w:r>
      <w:r>
        <w:rPr>
          <w:rFonts w:ascii="FrankRuehl" w:hAnsi="FrankRuehl" w:hint="cs"/>
          <w:rtl/>
        </w:rPr>
        <w:t>ת</w:t>
      </w:r>
      <w:r>
        <w:rPr>
          <w:rtl/>
        </w:rPr>
        <w:t xml:space="preserve"> </w:t>
      </w:r>
      <w:r>
        <w:rPr>
          <w:rFonts w:hint="eastAsia"/>
          <w:rtl/>
        </w:rPr>
        <w:t>חברתי</w:t>
      </w:r>
      <w:r>
        <w:rPr>
          <w:rtl/>
        </w:rPr>
        <w:t xml:space="preserve"> </w:t>
      </w:r>
      <w:r>
        <w:rPr>
          <w:rFonts w:hint="eastAsia"/>
          <w:rtl/>
        </w:rPr>
        <w:t>ומדיני</w:t>
      </w:r>
      <w:r>
        <w:rPr>
          <w:rtl/>
        </w:rPr>
        <w:t xml:space="preserve"> </w:t>
      </w:r>
      <w:r>
        <w:rPr>
          <w:rFonts w:hint="eastAsia"/>
          <w:rtl/>
        </w:rPr>
        <w:t>גמור</w:t>
      </w:r>
      <w:r>
        <w:rPr>
          <w:rtl/>
        </w:rPr>
        <w:t xml:space="preserve"> </w:t>
      </w:r>
      <w:r>
        <w:rPr>
          <w:rFonts w:hint="eastAsia"/>
          <w:rtl/>
        </w:rPr>
        <w:t>לכל</w:t>
      </w:r>
      <w:r>
        <w:rPr>
          <w:rtl/>
        </w:rPr>
        <w:t xml:space="preserve"> </w:t>
      </w:r>
      <w:r>
        <w:rPr>
          <w:rFonts w:hint="eastAsia"/>
          <w:rtl/>
        </w:rPr>
        <w:t>אזרחיה</w:t>
      </w:r>
      <w:r>
        <w:rPr>
          <w:rtl/>
        </w:rPr>
        <w:t xml:space="preserve"> </w:t>
      </w:r>
      <w:r>
        <w:rPr>
          <w:rFonts w:hint="eastAsia"/>
          <w:rtl/>
        </w:rPr>
        <w:t>בלי</w:t>
      </w:r>
      <w:r>
        <w:rPr>
          <w:rtl/>
        </w:rPr>
        <w:t xml:space="preserve"> </w:t>
      </w:r>
      <w:r>
        <w:rPr>
          <w:rFonts w:hint="eastAsia"/>
          <w:rtl/>
        </w:rPr>
        <w:t>הבדל</w:t>
      </w:r>
      <w:r>
        <w:rPr>
          <w:rtl/>
        </w:rPr>
        <w:t xml:space="preserve"> </w:t>
      </w:r>
      <w:r>
        <w:rPr>
          <w:rFonts w:hint="eastAsia"/>
          <w:rtl/>
        </w:rPr>
        <w:t>דת</w:t>
      </w:r>
      <w:r>
        <w:rPr>
          <w:rtl/>
        </w:rPr>
        <w:t xml:space="preserve">, </w:t>
      </w:r>
      <w:r>
        <w:rPr>
          <w:rFonts w:hint="eastAsia"/>
          <w:rtl/>
        </w:rPr>
        <w:t>גזע</w:t>
      </w:r>
      <w:r>
        <w:rPr>
          <w:rtl/>
        </w:rPr>
        <w:t xml:space="preserve"> </w:t>
      </w:r>
      <w:r>
        <w:rPr>
          <w:rFonts w:hint="eastAsia"/>
          <w:rtl/>
        </w:rPr>
        <w:t>ומין</w:t>
      </w:r>
      <w:r>
        <w:rPr>
          <w:rFonts w:hint="cs"/>
          <w:rtl/>
        </w:rPr>
        <w:t xml:space="preserve"> [...]".</w:t>
      </w:r>
    </w:p>
    <w:p w:rsidR="0047626A" w:rsidRDefault="0047626A" w:rsidP="0047626A">
      <w:pPr>
        <w:pStyle w:val="Ruller5"/>
        <w:rPr>
          <w:rtl/>
        </w:rPr>
      </w:pPr>
    </w:p>
    <w:p w:rsidR="0047626A" w:rsidRDefault="0047626A" w:rsidP="0047626A">
      <w:pPr>
        <w:pStyle w:val="Ruller5"/>
        <w:rPr>
          <w:rtl/>
        </w:rPr>
      </w:pPr>
      <w:r>
        <w:rPr>
          <w:rFonts w:hint="cs"/>
          <w:rtl/>
        </w:rPr>
        <w:t>(ראו:</w:t>
      </w:r>
      <w:r w:rsidRPr="008C7F15">
        <w:rPr>
          <w:rFonts w:asciiTheme="majorBidi" w:hAnsiTheme="majorBidi" w:cstheme="majorBidi"/>
          <w:sz w:val="24"/>
          <w:szCs w:val="32"/>
        </w:rPr>
        <w:t>https://main.knesset.gov.il/about/occasion/pages/declaration.aspx</w:t>
      </w:r>
      <w:r>
        <w:rPr>
          <w:rFonts w:hint="cs"/>
          <w:rtl/>
        </w:rPr>
        <w:t>).</w:t>
      </w:r>
    </w:p>
    <w:p w:rsidR="0047626A" w:rsidRDefault="0047626A" w:rsidP="0047626A">
      <w:pPr>
        <w:jc w:val="both"/>
        <w:rPr>
          <w:rtl/>
        </w:rPr>
      </w:pPr>
      <w:r>
        <w:rPr>
          <w:rtl/>
        </w:rPr>
        <w:tab/>
      </w:r>
    </w:p>
    <w:p w:rsidR="0047626A" w:rsidRDefault="0047626A" w:rsidP="0047626A">
      <w:pPr>
        <w:spacing w:line="360" w:lineRule="auto"/>
        <w:ind w:firstLine="720"/>
        <w:jc w:val="both"/>
        <w:rPr>
          <w:rFonts w:ascii="Century" w:hAnsi="Century" w:cs="FrankRuehl"/>
          <w:spacing w:val="10"/>
          <w:sz w:val="22"/>
          <w:szCs w:val="28"/>
          <w:rtl/>
        </w:rPr>
      </w:pPr>
    </w:p>
    <w:p w:rsidR="0047626A" w:rsidRPr="00BB46EB" w:rsidRDefault="0047626A" w:rsidP="0047626A">
      <w:pPr>
        <w:spacing w:line="360" w:lineRule="auto"/>
        <w:ind w:firstLine="720"/>
        <w:jc w:val="both"/>
        <w:rPr>
          <w:rFonts w:ascii="Century" w:hAnsi="Century" w:cs="FrankRuehl"/>
          <w:spacing w:val="10"/>
          <w:sz w:val="22"/>
          <w:szCs w:val="28"/>
          <w:rtl/>
        </w:rPr>
      </w:pPr>
      <w:r w:rsidRPr="00BB46EB">
        <w:rPr>
          <w:rFonts w:ascii="Century" w:hAnsi="Century" w:cs="FrankRuehl" w:hint="cs"/>
          <w:spacing w:val="10"/>
          <w:sz w:val="22"/>
          <w:szCs w:val="28"/>
          <w:rtl/>
        </w:rPr>
        <w:t xml:space="preserve">כפי שהסברתי בפסק דיני </w:t>
      </w:r>
      <w:r w:rsidRPr="00BB46EB">
        <w:rPr>
          <w:rFonts w:ascii="Century" w:hAnsi="Century" w:cs="FrankRuehl" w:hint="eastAsia"/>
          <w:spacing w:val="10"/>
          <w:sz w:val="22"/>
          <w:szCs w:val="28"/>
          <w:rtl/>
        </w:rPr>
        <w:t>ב</w:t>
      </w:r>
      <w:r w:rsidRPr="00BB46EB">
        <w:rPr>
          <w:rFonts w:ascii="Century" w:hAnsi="Century" w:cs="Miriam" w:hint="eastAsia"/>
          <w:b/>
          <w:sz w:val="22"/>
          <w:rtl/>
        </w:rPr>
        <w:t>בג</w:t>
      </w:r>
      <w:r w:rsidRPr="00BB46EB">
        <w:rPr>
          <w:rFonts w:ascii="Century" w:hAnsi="Century" w:cs="Miriam"/>
          <w:b/>
          <w:sz w:val="22"/>
          <w:rtl/>
        </w:rPr>
        <w:t>"</w:t>
      </w:r>
      <w:r w:rsidRPr="00BB46EB">
        <w:rPr>
          <w:rFonts w:ascii="Century" w:hAnsi="Century" w:cs="Miriam" w:hint="eastAsia"/>
          <w:b/>
          <w:sz w:val="22"/>
          <w:rtl/>
        </w:rPr>
        <w:t>ץ</w:t>
      </w:r>
      <w:r w:rsidRPr="00BB46EB">
        <w:rPr>
          <w:rFonts w:ascii="Century" w:hAnsi="Century" w:cs="Miriam"/>
          <w:b/>
          <w:sz w:val="22"/>
          <w:rtl/>
        </w:rPr>
        <w:t xml:space="preserve"> </w:t>
      </w:r>
      <w:r w:rsidRPr="00BB46EB">
        <w:rPr>
          <w:rFonts w:ascii="Century" w:hAnsi="Century" w:cs="Miriam" w:hint="eastAsia"/>
          <w:b/>
          <w:sz w:val="22"/>
          <w:rtl/>
        </w:rPr>
        <w:t>טבריה</w:t>
      </w:r>
      <w:r w:rsidRPr="00BB46EB">
        <w:rPr>
          <w:rFonts w:ascii="Century" w:hAnsi="Century" w:cs="FrankRuehl" w:hint="cs"/>
          <w:spacing w:val="10"/>
          <w:sz w:val="22"/>
          <w:szCs w:val="28"/>
          <w:rtl/>
        </w:rPr>
        <w:t xml:space="preserve">, קביעה זו מהווה חלק מההסמכה לחוקק חוקים ולכונן חוקה, שהכנסת קיבלה מהעם, כאמור במנשר ובפקודת סדרי השלטון והמשפט המקורית. </w:t>
      </w:r>
      <w:r w:rsidRPr="00BB46EB">
        <w:rPr>
          <w:rFonts w:ascii="Century" w:hAnsi="Century" w:cs="Miriam" w:hint="cs"/>
          <w:b/>
          <w:sz w:val="22"/>
          <w:rtl/>
        </w:rPr>
        <w:t>מקביעה זו עולה כי הפעלת סמכותה של הכנסת לחוקק חוקים ולכונן חוקה לעולם כפופה לחובתה של הכנסת להבטיח, בין היתר, "חירות", "צדק" ו"שוויון זכויות חברתי ומדיני גמור" לכל אזרחי המדינה באשר הם, לצד חובתה הלא-פחות חשובה לקיים בית לאומי-יהודי במדינת ישראל ("מדינה יהודית") בהתאם למסורת הדתית-לאומית הטבועה בנו ("חזונם של נביאי ישראל")</w:t>
      </w:r>
      <w:r w:rsidRPr="00BB46EB">
        <w:rPr>
          <w:rFonts w:ascii="Century" w:hAnsi="Century" w:cs="FrankRuehl" w:hint="cs"/>
          <w:spacing w:val="10"/>
          <w:sz w:val="22"/>
          <w:szCs w:val="28"/>
          <w:rtl/>
        </w:rPr>
        <w:t>. אין זה מקרה שסעיף 1(ב) לחוק הכנסת, התשנ"ד-1994, קובע כי בכל כנסת חדשה, בתום הצהרות האמונים של חבריה, "</w:t>
      </w:r>
      <w:r w:rsidRPr="00BB46EB">
        <w:rPr>
          <w:rFonts w:ascii="Century" w:hAnsi="Century" w:cs="FrankRuehl" w:hint="eastAsia"/>
          <w:spacing w:val="10"/>
          <w:sz w:val="22"/>
          <w:szCs w:val="28"/>
          <w:rtl/>
        </w:rPr>
        <w:t>ייקראו</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בפני</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המליאה</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מזמור</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קכ</w:t>
      </w:r>
      <w:r w:rsidRPr="00BB46EB">
        <w:rPr>
          <w:rFonts w:ascii="Century" w:hAnsi="Century" w:cs="FrankRuehl"/>
          <w:spacing w:val="10"/>
          <w:sz w:val="22"/>
          <w:szCs w:val="28"/>
          <w:rtl/>
        </w:rPr>
        <w:t>"</w:t>
      </w:r>
      <w:r w:rsidRPr="00BB46EB">
        <w:rPr>
          <w:rFonts w:ascii="Century" w:hAnsi="Century" w:cs="FrankRuehl" w:hint="eastAsia"/>
          <w:spacing w:val="10"/>
          <w:sz w:val="22"/>
          <w:szCs w:val="28"/>
          <w:rtl/>
        </w:rPr>
        <w:t>ב</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בתהלים</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וקטעים</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מתוך</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ההכרזה</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על</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הקמת</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מדינת</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ישראל</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המופיעים</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בתוספת</w:t>
      </w:r>
      <w:r w:rsidRPr="00BB46EB">
        <w:rPr>
          <w:rFonts w:ascii="Century" w:hAnsi="Century" w:cs="FrankRuehl" w:hint="cs"/>
          <w:spacing w:val="10"/>
          <w:sz w:val="22"/>
          <w:szCs w:val="28"/>
          <w:rtl/>
        </w:rPr>
        <w:t>"; כאשר התוספת לחוק חוזרת על האמור בהכרזת העצמאות ומבטיחה, בין היתר, כי "</w:t>
      </w:r>
      <w:r w:rsidRPr="00BB46EB">
        <w:rPr>
          <w:rFonts w:ascii="Century" w:hAnsi="Century" w:cs="FrankRuehl" w:hint="eastAsia"/>
          <w:spacing w:val="10"/>
          <w:sz w:val="22"/>
          <w:szCs w:val="28"/>
          <w:rtl/>
        </w:rPr>
        <w:t>מדינת</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ישראל</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תהא</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פתוחה</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לעליה</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יהודית</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ולקיבוץ</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גלויות</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תשקוד</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על</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פיתוח</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הארץ</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לטובת</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כל</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תושביה</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תהא</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מושתת</w:t>
      </w:r>
      <w:r w:rsidRPr="00BB46EB">
        <w:rPr>
          <w:rFonts w:ascii="Century" w:hAnsi="Century" w:cs="FrankRuehl" w:hint="cs"/>
          <w:spacing w:val="10"/>
          <w:sz w:val="22"/>
          <w:szCs w:val="28"/>
          <w:rtl/>
        </w:rPr>
        <w:t>ת</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על</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יסודות</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החירות</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הצדק</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והשלום</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לאור</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חזונם</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של</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נביאי</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ישראל</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תקיים</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ש</w:t>
      </w:r>
      <w:r w:rsidRPr="00BB46EB">
        <w:rPr>
          <w:rFonts w:ascii="Century" w:hAnsi="Century" w:cs="FrankRuehl" w:hint="cs"/>
          <w:spacing w:val="10"/>
          <w:sz w:val="22"/>
          <w:szCs w:val="28"/>
          <w:rtl/>
        </w:rPr>
        <w:t>ו</w:t>
      </w:r>
      <w:r w:rsidRPr="00BB46EB">
        <w:rPr>
          <w:rFonts w:ascii="Century" w:hAnsi="Century" w:cs="FrankRuehl" w:hint="eastAsia"/>
          <w:spacing w:val="10"/>
          <w:sz w:val="22"/>
          <w:szCs w:val="28"/>
          <w:rtl/>
        </w:rPr>
        <w:t>ויון</w:t>
      </w:r>
      <w:r w:rsidRPr="00BB46EB">
        <w:rPr>
          <w:rFonts w:ascii="Century" w:hAnsi="Century" w:cs="FrankRuehl"/>
          <w:spacing w:val="10"/>
          <w:sz w:val="22"/>
          <w:szCs w:val="28"/>
          <w:rtl/>
        </w:rPr>
        <w:t xml:space="preserve"> </w:t>
      </w:r>
      <w:r w:rsidRPr="00BB46EB">
        <w:rPr>
          <w:rFonts w:ascii="Century" w:hAnsi="Century" w:cs="FrankRuehl" w:hint="cs"/>
          <w:spacing w:val="10"/>
          <w:sz w:val="22"/>
          <w:szCs w:val="28"/>
          <w:rtl/>
        </w:rPr>
        <w:t>זכויו</w:t>
      </w:r>
      <w:r w:rsidRPr="00BB46EB">
        <w:rPr>
          <w:rFonts w:ascii="Century" w:hAnsi="Century" w:cs="FrankRuehl" w:hint="eastAsia"/>
          <w:spacing w:val="10"/>
          <w:sz w:val="22"/>
          <w:szCs w:val="28"/>
          <w:rtl/>
        </w:rPr>
        <w:t>ת</w:t>
      </w:r>
      <w:r w:rsidRPr="00BB46EB">
        <w:rPr>
          <w:rFonts w:ascii="Century" w:hAnsi="Century" w:cs="FrankRuehl" w:hint="cs"/>
          <w:spacing w:val="10"/>
          <w:sz w:val="22"/>
          <w:szCs w:val="28"/>
          <w:rtl/>
        </w:rPr>
        <w:t xml:space="preserve"> </w:t>
      </w:r>
      <w:r w:rsidRPr="00BB46EB">
        <w:rPr>
          <w:rFonts w:ascii="Century" w:hAnsi="Century" w:cs="FrankRuehl" w:hint="eastAsia"/>
          <w:spacing w:val="10"/>
          <w:sz w:val="22"/>
          <w:szCs w:val="28"/>
          <w:rtl/>
        </w:rPr>
        <w:t>חברתי</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ומדיני</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גמור</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לכל</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אזרחיה</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בלי</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הבדל</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דת</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גזע</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ומין</w:t>
      </w:r>
      <w:r w:rsidRPr="00BB46EB">
        <w:rPr>
          <w:rFonts w:ascii="Century" w:hAnsi="Century" w:cs="FrankRuehl" w:hint="cs"/>
          <w:spacing w:val="10"/>
          <w:sz w:val="22"/>
          <w:szCs w:val="28"/>
          <w:rtl/>
        </w:rPr>
        <w:t>".</w:t>
      </w:r>
    </w:p>
    <w:p w:rsidR="0047626A" w:rsidRPr="008E6E5C" w:rsidRDefault="0047626A" w:rsidP="0047626A">
      <w:pPr>
        <w:pStyle w:val="Ruller41"/>
        <w:rPr>
          <w:rtl/>
        </w:rPr>
      </w:pPr>
    </w:p>
    <w:p w:rsidR="0047626A" w:rsidRDefault="0047626A" w:rsidP="0047626A">
      <w:pPr>
        <w:pStyle w:val="Ruller4"/>
      </w:pPr>
      <w:r>
        <w:rPr>
          <w:rFonts w:hint="cs"/>
          <w:rtl/>
        </w:rPr>
        <w:lastRenderedPageBreak/>
        <w:t xml:space="preserve">לנוכח המגבלות שנקבעו לכנסת בהכרזת העצמאות, בקלות נגיע למסקנה כי שום כנסת אינה מוסמכת לחוקק חוקים כדלקמן, בין בלבוש של חוק רגיל, ובין בלבוש של חוק יסוד: </w:t>
      </w:r>
    </w:p>
    <w:p w:rsidR="0047626A" w:rsidRDefault="0047626A" w:rsidP="0047626A">
      <w:pPr>
        <w:pStyle w:val="Ruller4"/>
        <w:numPr>
          <w:ilvl w:val="0"/>
          <w:numId w:val="0"/>
        </w:numPr>
        <w:rPr>
          <w:rtl/>
        </w:rPr>
      </w:pPr>
    </w:p>
    <w:p w:rsidR="0047626A" w:rsidRDefault="0047626A" w:rsidP="00A01E7C">
      <w:pPr>
        <w:pStyle w:val="Ruller41"/>
        <w:numPr>
          <w:ilvl w:val="0"/>
          <w:numId w:val="9"/>
        </w:numPr>
      </w:pPr>
      <w:r>
        <w:rPr>
          <w:rFonts w:hint="cs"/>
          <w:rtl/>
        </w:rPr>
        <w:t xml:space="preserve">חוק שמונע מנשים או מבני מיעוטים להתמנות לנושאי משרות ציבוריות. </w:t>
      </w:r>
      <w:r w:rsidRPr="00331CD5">
        <w:rPr>
          <w:rFonts w:ascii="Century" w:hAnsi="Century" w:cs="Miriam" w:hint="cs"/>
          <w:b/>
          <w:spacing w:val="0"/>
          <w:szCs w:val="24"/>
          <w:rtl/>
        </w:rPr>
        <w:t>חוק זה שולל מנפגעותיו ומנפגעיו את זכ</w:t>
      </w:r>
      <w:r>
        <w:rPr>
          <w:rFonts w:ascii="Century" w:hAnsi="Century" w:cs="Miriam" w:hint="cs"/>
          <w:b/>
          <w:spacing w:val="0"/>
          <w:szCs w:val="24"/>
          <w:rtl/>
        </w:rPr>
        <w:t>א</w:t>
      </w:r>
      <w:r w:rsidRPr="00331CD5">
        <w:rPr>
          <w:rFonts w:ascii="Century" w:hAnsi="Century" w:cs="Miriam" w:hint="cs"/>
          <w:b/>
          <w:spacing w:val="0"/>
          <w:szCs w:val="24"/>
          <w:rtl/>
        </w:rPr>
        <w:t xml:space="preserve">ותם לשוויון </w:t>
      </w:r>
      <w:r>
        <w:rPr>
          <w:rFonts w:ascii="Century" w:hAnsi="Century" w:cs="Miriam" w:hint="cs"/>
          <w:b/>
          <w:spacing w:val="0"/>
          <w:szCs w:val="24"/>
          <w:rtl/>
        </w:rPr>
        <w:t xml:space="preserve">זכויות </w:t>
      </w:r>
      <w:r w:rsidRPr="00331CD5">
        <w:rPr>
          <w:rFonts w:ascii="Century" w:hAnsi="Century" w:cs="Miriam" w:hint="cs"/>
          <w:b/>
          <w:spacing w:val="0"/>
          <w:szCs w:val="24"/>
          <w:rtl/>
        </w:rPr>
        <w:t>חברתי ומדיני גמור</w:t>
      </w:r>
      <w:r>
        <w:rPr>
          <w:rFonts w:hint="cs"/>
          <w:rtl/>
        </w:rPr>
        <w:t xml:space="preserve">. </w:t>
      </w:r>
    </w:p>
    <w:p w:rsidR="0047626A" w:rsidRPr="009642CE" w:rsidRDefault="0047626A" w:rsidP="0047626A">
      <w:pPr>
        <w:pStyle w:val="Ruller41"/>
        <w:ind w:left="720"/>
      </w:pPr>
    </w:p>
    <w:p w:rsidR="0047626A" w:rsidRDefault="0047626A" w:rsidP="00A01E7C">
      <w:pPr>
        <w:pStyle w:val="Ruller41"/>
        <w:numPr>
          <w:ilvl w:val="0"/>
          <w:numId w:val="9"/>
        </w:numPr>
      </w:pPr>
      <w:r>
        <w:rPr>
          <w:rFonts w:hint="cs"/>
          <w:rtl/>
        </w:rPr>
        <w:t>חוק פרסונלי אשר בא להיטיב עם אדם או עם גוף ספציפי שהמחוקקים חפצים ביקרו; או להפך, חוק פרסונלי אשר בא להעניש אדם או גוף ספציפי או לבטל זכות מזכויותיו (מעשה חקיקה הידוע לשמצה במשפט החוקתי האמריקני כ-</w:t>
      </w:r>
      <w:r w:rsidRPr="006E4D1A">
        <w:rPr>
          <w:rFonts w:asciiTheme="majorBidi" w:hAnsiTheme="majorBidi" w:cstheme="majorBidi"/>
          <w:sz w:val="24"/>
          <w:szCs w:val="24"/>
        </w:rPr>
        <w:t>bill of attainder</w:t>
      </w:r>
      <w:r>
        <w:rPr>
          <w:rFonts w:hint="cs"/>
          <w:rtl/>
        </w:rPr>
        <w:t xml:space="preserve">: ראו </w:t>
      </w:r>
      <w:r w:rsidRPr="002A0C0D">
        <w:rPr>
          <w:rFonts w:asciiTheme="majorBidi" w:hAnsiTheme="majorBidi" w:cstheme="majorBidi"/>
          <w:sz w:val="24"/>
          <w:szCs w:val="24"/>
        </w:rPr>
        <w:t xml:space="preserve">U.S. Const., Article I, Section 9, Clause 3: "No Bill of Attainder </w:t>
      </w:r>
      <w:r>
        <w:rPr>
          <w:rFonts w:asciiTheme="majorBidi" w:hAnsiTheme="majorBidi" w:cstheme="majorBidi"/>
          <w:sz w:val="24"/>
          <w:szCs w:val="24"/>
        </w:rPr>
        <w:t>[…]</w:t>
      </w:r>
      <w:r w:rsidRPr="002A0C0D">
        <w:rPr>
          <w:rFonts w:asciiTheme="majorBidi" w:hAnsiTheme="majorBidi" w:cstheme="majorBidi"/>
          <w:sz w:val="24"/>
          <w:szCs w:val="24"/>
        </w:rPr>
        <w:t xml:space="preserve"> shall be passed"</w:t>
      </w:r>
      <w:r>
        <w:rPr>
          <w:rFonts w:hint="cs"/>
          <w:rtl/>
        </w:rPr>
        <w:t xml:space="preserve">). </w:t>
      </w:r>
      <w:r>
        <w:rPr>
          <w:rFonts w:ascii="Century" w:hAnsi="Century" w:cs="Miriam" w:hint="cs"/>
          <w:b/>
          <w:spacing w:val="0"/>
          <w:szCs w:val="24"/>
          <w:rtl/>
        </w:rPr>
        <w:t xml:space="preserve">חוק כזה, אף הוא </w:t>
      </w:r>
      <w:r w:rsidRPr="002A0C0D">
        <w:rPr>
          <w:rFonts w:ascii="Century" w:hAnsi="Century" w:cs="Miriam" w:hint="cs"/>
          <w:b/>
          <w:spacing w:val="0"/>
          <w:szCs w:val="24"/>
          <w:rtl/>
        </w:rPr>
        <w:t>מפר את דרישת השוויון שבהכרזת העצמאות</w:t>
      </w:r>
      <w:r>
        <w:rPr>
          <w:rFonts w:hint="cs"/>
          <w:rtl/>
        </w:rPr>
        <w:t>, לצד הפגיעה בעיקרון של הפרדת הרשויות, כל אימת שמדובר בניכוס סמכויות השפיטה על ידי המחוקק (ראו: פסקאות 46-40 לפסק דיני ב</w:t>
      </w:r>
      <w:r w:rsidRPr="00182503">
        <w:rPr>
          <w:rFonts w:ascii="Century" w:hAnsi="Century" w:cs="Miriam" w:hint="cs"/>
          <w:b/>
          <w:spacing w:val="0"/>
          <w:szCs w:val="24"/>
          <w:rtl/>
        </w:rPr>
        <w:t>בג"ץ טבריה</w:t>
      </w:r>
      <w:r>
        <w:rPr>
          <w:rFonts w:hint="cs"/>
          <w:rtl/>
        </w:rPr>
        <w:t>).</w:t>
      </w:r>
    </w:p>
    <w:p w:rsidR="0047626A" w:rsidRDefault="0047626A" w:rsidP="0047626A">
      <w:pPr>
        <w:pStyle w:val="Ruller41"/>
        <w:ind w:left="720"/>
      </w:pPr>
    </w:p>
    <w:p w:rsidR="0047626A" w:rsidRDefault="0047626A" w:rsidP="00A01E7C">
      <w:pPr>
        <w:pStyle w:val="Ruller41"/>
        <w:numPr>
          <w:ilvl w:val="0"/>
          <w:numId w:val="9"/>
        </w:numPr>
      </w:pPr>
      <w:r>
        <w:rPr>
          <w:rFonts w:hint="cs"/>
          <w:rtl/>
        </w:rPr>
        <w:t xml:space="preserve">חוק שמבטל בחירות לכנסת או דוחה אותן לתקופה ארוכה. </w:t>
      </w:r>
      <w:r w:rsidRPr="00331CD5">
        <w:rPr>
          <w:rFonts w:ascii="Century" w:hAnsi="Century" w:cs="Miriam" w:hint="cs"/>
          <w:b/>
          <w:spacing w:val="0"/>
          <w:szCs w:val="24"/>
          <w:rtl/>
        </w:rPr>
        <w:t>חוק זה פוגע בחירות ובאוטונומיה של הפרט שמבקש לנהל את חייו באמצעות נבחריו</w:t>
      </w:r>
      <w:r>
        <w:rPr>
          <w:rFonts w:hint="cs"/>
          <w:rtl/>
        </w:rPr>
        <w:t xml:space="preserve"> </w:t>
      </w:r>
      <w:r w:rsidRPr="0032229E">
        <w:rPr>
          <w:rFonts w:ascii="Century" w:hAnsi="Century" w:cs="Miriam" w:hint="cs"/>
          <w:b/>
          <w:spacing w:val="0"/>
          <w:szCs w:val="24"/>
          <w:rtl/>
        </w:rPr>
        <w:t>אשר דואגים לביטחונו ולרווחתו</w:t>
      </w:r>
      <w:r>
        <w:rPr>
          <w:rFonts w:hint="cs"/>
          <w:rtl/>
        </w:rPr>
        <w:t>.</w:t>
      </w:r>
    </w:p>
    <w:p w:rsidR="0047626A" w:rsidRDefault="0047626A" w:rsidP="0047626A">
      <w:pPr>
        <w:pStyle w:val="af0"/>
        <w:rPr>
          <w:rtl/>
        </w:rPr>
      </w:pPr>
    </w:p>
    <w:p w:rsidR="0047626A" w:rsidRDefault="0047626A" w:rsidP="00A01E7C">
      <w:pPr>
        <w:pStyle w:val="Ruller41"/>
        <w:numPr>
          <w:ilvl w:val="0"/>
          <w:numId w:val="9"/>
        </w:numPr>
      </w:pPr>
      <w:r>
        <w:rPr>
          <w:rFonts w:hint="cs"/>
          <w:rtl/>
        </w:rPr>
        <w:t xml:space="preserve">חוק שמבטל את זכותם של יהודים לעלות לישראל. </w:t>
      </w:r>
      <w:r w:rsidRPr="00331CD5">
        <w:rPr>
          <w:rFonts w:ascii="Century" w:hAnsi="Century" w:cs="Miriam" w:hint="cs"/>
          <w:b/>
          <w:spacing w:val="0"/>
          <w:szCs w:val="24"/>
          <w:rtl/>
        </w:rPr>
        <w:t xml:space="preserve">חוק זה פוגע בזכותם של בני העם היהודי </w:t>
      </w:r>
      <w:r w:rsidRPr="00331CD5">
        <w:rPr>
          <w:rFonts w:ascii="Century" w:hAnsi="Century" w:cs="Miriam" w:hint="eastAsia"/>
          <w:b/>
          <w:spacing w:val="0"/>
          <w:szCs w:val="24"/>
          <w:rtl/>
        </w:rPr>
        <w:t>לעליה</w:t>
      </w:r>
      <w:r w:rsidRPr="00331CD5">
        <w:rPr>
          <w:rFonts w:ascii="Century" w:hAnsi="Century" w:cs="Miriam"/>
          <w:b/>
          <w:spacing w:val="0"/>
          <w:szCs w:val="24"/>
          <w:rtl/>
        </w:rPr>
        <w:t xml:space="preserve"> </w:t>
      </w:r>
      <w:r w:rsidRPr="00331CD5">
        <w:rPr>
          <w:rFonts w:ascii="Century" w:hAnsi="Century" w:cs="Miriam" w:hint="eastAsia"/>
          <w:b/>
          <w:spacing w:val="0"/>
          <w:szCs w:val="24"/>
          <w:rtl/>
        </w:rPr>
        <w:t>ולקיבוץ</w:t>
      </w:r>
      <w:r w:rsidRPr="00331CD5">
        <w:rPr>
          <w:rFonts w:ascii="Century" w:hAnsi="Century" w:cs="Miriam"/>
          <w:b/>
          <w:spacing w:val="0"/>
          <w:szCs w:val="24"/>
          <w:rtl/>
        </w:rPr>
        <w:t xml:space="preserve"> </w:t>
      </w:r>
      <w:r w:rsidRPr="00331CD5">
        <w:rPr>
          <w:rFonts w:ascii="Century" w:hAnsi="Century" w:cs="Miriam" w:hint="eastAsia"/>
          <w:b/>
          <w:spacing w:val="0"/>
          <w:szCs w:val="24"/>
          <w:rtl/>
        </w:rPr>
        <w:t>גלויות</w:t>
      </w:r>
      <w:r>
        <w:rPr>
          <w:rFonts w:hint="cs"/>
          <w:rtl/>
        </w:rPr>
        <w:t>.</w:t>
      </w:r>
    </w:p>
    <w:p w:rsidR="0047626A" w:rsidRDefault="0047626A" w:rsidP="0047626A">
      <w:pPr>
        <w:pStyle w:val="af0"/>
        <w:rPr>
          <w:rtl/>
        </w:rPr>
      </w:pPr>
    </w:p>
    <w:p w:rsidR="0047626A" w:rsidRDefault="0047626A" w:rsidP="00A01E7C">
      <w:pPr>
        <w:pStyle w:val="Ruller41"/>
        <w:numPr>
          <w:ilvl w:val="0"/>
          <w:numId w:val="9"/>
        </w:numPr>
      </w:pPr>
      <w:r>
        <w:rPr>
          <w:rFonts w:hint="cs"/>
          <w:rtl/>
        </w:rPr>
        <w:t xml:space="preserve">חוק שמבטל שבתות, חגים ומועדי ישראל כימי פגרה ומנוחה. </w:t>
      </w:r>
      <w:r w:rsidRPr="00331CD5">
        <w:rPr>
          <w:rFonts w:ascii="Century" w:hAnsi="Century" w:cs="Miriam" w:hint="cs"/>
          <w:b/>
          <w:spacing w:val="0"/>
          <w:szCs w:val="24"/>
          <w:rtl/>
        </w:rPr>
        <w:t>חוק זה</w:t>
      </w:r>
      <w:r w:rsidRPr="00331CD5">
        <w:rPr>
          <w:rFonts w:hint="cs"/>
          <w:rtl/>
        </w:rPr>
        <w:t xml:space="preserve"> </w:t>
      </w:r>
      <w:r w:rsidRPr="00E4717D">
        <w:rPr>
          <w:rFonts w:ascii="Century" w:hAnsi="Century" w:cs="Miriam" w:hint="cs"/>
          <w:b/>
          <w:spacing w:val="0"/>
          <w:szCs w:val="24"/>
          <w:rtl/>
        </w:rPr>
        <w:t>מבטל את הבית</w:t>
      </w:r>
      <w:r w:rsidRPr="00E4717D">
        <w:rPr>
          <w:rFonts w:hint="cs"/>
          <w:rtl/>
        </w:rPr>
        <w:t xml:space="preserve"> </w:t>
      </w:r>
      <w:r w:rsidRPr="00C00DDA">
        <w:rPr>
          <w:rFonts w:ascii="Century" w:hAnsi="Century" w:cs="Miriam" w:hint="cs"/>
          <w:b/>
          <w:spacing w:val="0"/>
          <w:szCs w:val="24"/>
          <w:rtl/>
        </w:rPr>
        <w:t>ה</w:t>
      </w:r>
      <w:r w:rsidRPr="00E4717D">
        <w:rPr>
          <w:rFonts w:ascii="Century" w:hAnsi="Century" w:cs="Miriam" w:hint="cs"/>
          <w:b/>
          <w:spacing w:val="0"/>
          <w:szCs w:val="24"/>
          <w:rtl/>
        </w:rPr>
        <w:t xml:space="preserve">לאומי-יהודי במדינת ישראל </w:t>
      </w:r>
      <w:r>
        <w:rPr>
          <w:rFonts w:ascii="Century" w:hAnsi="Century" w:cs="Miriam" w:hint="cs"/>
          <w:b/>
          <w:spacing w:val="0"/>
          <w:szCs w:val="24"/>
          <w:rtl/>
        </w:rPr>
        <w:t xml:space="preserve">("מדינה יהודית"), אשר אמור להיבנות </w:t>
      </w:r>
      <w:r w:rsidRPr="00E4717D">
        <w:rPr>
          <w:rFonts w:ascii="Century" w:hAnsi="Century" w:cs="Miriam" w:hint="cs"/>
          <w:b/>
          <w:spacing w:val="0"/>
          <w:szCs w:val="24"/>
          <w:rtl/>
        </w:rPr>
        <w:t>בהתאם למסורת הדתית-לאומית ("חזונם של נביאי ישראל")</w:t>
      </w:r>
      <w:r>
        <w:rPr>
          <w:rFonts w:hint="cs"/>
          <w:rtl/>
        </w:rPr>
        <w:t xml:space="preserve">. אפנה בהקשר זה לאמור במכתב הסטטוס-קוו אשר הועבר על ידי ראש ממשלת-ישראל המיועד, דוד בן גוריון, להסתדרות אגודת ישראל העולמית כשנה לפני הקמת המדינה, ביום 10.6.1947. מכתב זה </w:t>
      </w:r>
      <w:r>
        <w:rPr>
          <w:rtl/>
        </w:rPr>
        <w:t>–</w:t>
      </w:r>
      <w:r>
        <w:rPr>
          <w:rFonts w:hint="cs"/>
          <w:rtl/>
        </w:rPr>
        <w:t xml:space="preserve"> שבעזרתו נכון יהיה לפרש את התיבות "מדינה יהודית" ו"חזונם של נביאי ישראל", שבהכרזת העצמאות </w:t>
      </w:r>
      <w:r>
        <w:rPr>
          <w:rtl/>
        </w:rPr>
        <w:t>–</w:t>
      </w:r>
      <w:r>
        <w:rPr>
          <w:rFonts w:hint="cs"/>
          <w:rtl/>
        </w:rPr>
        <w:t xml:space="preserve"> מבהיר כי מדינת ישראל, לכשתיוסד, לא תהא תאוקרטית, אולם היא תכבד את ערכי היהדות ותשריין את קדושת השבת כיום מנוחה רשמי שלה "מתוך מתן רשות לנוצרים ובעלי דת אחרת לשבות ביום החג השבועי שלהם" (ראו: </w:t>
      </w:r>
      <w:r w:rsidRPr="00B650C6">
        <w:rPr>
          <w:rFonts w:asciiTheme="majorBidi" w:hAnsiTheme="majorBidi" w:cstheme="majorBidi"/>
          <w:sz w:val="24"/>
          <w:szCs w:val="24"/>
        </w:rPr>
        <w:t>https://rotter.net/User_files/forum/57c208e4620712c6.png</w:t>
      </w:r>
      <w:r>
        <w:rPr>
          <w:rFonts w:hint="cs"/>
          <w:rtl/>
        </w:rPr>
        <w:t>).</w:t>
      </w:r>
    </w:p>
    <w:p w:rsidR="0047626A" w:rsidRPr="00A06D5D" w:rsidRDefault="0047626A" w:rsidP="0047626A">
      <w:pPr>
        <w:pStyle w:val="af0"/>
        <w:rPr>
          <w:rtl/>
        </w:rPr>
      </w:pPr>
    </w:p>
    <w:p w:rsidR="0047626A" w:rsidRDefault="0047626A" w:rsidP="00A01E7C">
      <w:pPr>
        <w:pStyle w:val="Ruller41"/>
        <w:numPr>
          <w:ilvl w:val="0"/>
          <w:numId w:val="9"/>
        </w:numPr>
      </w:pPr>
      <w:r>
        <w:rPr>
          <w:rFonts w:hint="cs"/>
          <w:rtl/>
        </w:rPr>
        <w:t xml:space="preserve">חוק שמבטל ביקורת שיפוטית על פעולות הממשלה והכנסת, על ידי שלילת סמכותם של בתי המשפט לבחון את חוקיותן של פעולות כאמור, ולבטל פעולות והחלטות שאינן חוקיות. </w:t>
      </w:r>
      <w:r w:rsidRPr="00E4717D">
        <w:rPr>
          <w:rFonts w:ascii="Century" w:hAnsi="Century" w:cs="Miriam" w:hint="cs"/>
          <w:b/>
          <w:spacing w:val="0"/>
          <w:szCs w:val="24"/>
          <w:rtl/>
        </w:rPr>
        <w:t>חוק זה פוגע פגיעה אנושה בהפרדת הרשויות, חושף את אזרחי המדינה ואת תושביה לעריצותם של האוחזים בכוחות השלטון בממשלה ובכנסת</w:t>
      </w:r>
      <w:r>
        <w:rPr>
          <w:rFonts w:ascii="Century" w:hAnsi="Century" w:cs="Miriam" w:hint="cs"/>
          <w:b/>
          <w:spacing w:val="0"/>
          <w:szCs w:val="24"/>
          <w:rtl/>
        </w:rPr>
        <w:t>,</w:t>
      </w:r>
      <w:r w:rsidRPr="00E4717D">
        <w:rPr>
          <w:rFonts w:ascii="Century" w:hAnsi="Century" w:cs="Miriam" w:hint="cs"/>
          <w:b/>
          <w:spacing w:val="0"/>
          <w:szCs w:val="24"/>
          <w:rtl/>
        </w:rPr>
        <w:t xml:space="preserve"> ועל ידי כך פוגע </w:t>
      </w:r>
      <w:r>
        <w:rPr>
          <w:rFonts w:ascii="Century" w:hAnsi="Century" w:cs="Miriam" w:hint="cs"/>
          <w:b/>
          <w:spacing w:val="0"/>
          <w:szCs w:val="24"/>
          <w:rtl/>
        </w:rPr>
        <w:t>בזכות</w:t>
      </w:r>
      <w:r w:rsidRPr="00E4717D">
        <w:rPr>
          <w:rFonts w:ascii="Century" w:hAnsi="Century" w:cs="Miriam" w:hint="cs"/>
          <w:b/>
          <w:spacing w:val="0"/>
          <w:szCs w:val="24"/>
          <w:rtl/>
        </w:rPr>
        <w:t xml:space="preserve"> </w:t>
      </w:r>
      <w:r>
        <w:rPr>
          <w:rFonts w:ascii="Century" w:hAnsi="Century" w:cs="Miriam" w:hint="cs"/>
          <w:b/>
          <w:spacing w:val="0"/>
          <w:szCs w:val="24"/>
          <w:rtl/>
        </w:rPr>
        <w:t xml:space="preserve">האדם </w:t>
      </w:r>
      <w:r w:rsidRPr="00E4717D">
        <w:rPr>
          <w:rFonts w:ascii="Century" w:hAnsi="Century" w:cs="Miriam" w:hint="cs"/>
          <w:b/>
          <w:spacing w:val="0"/>
          <w:szCs w:val="24"/>
          <w:rtl/>
        </w:rPr>
        <w:t>לחירות ולצדק משפטי בסיסי.</w:t>
      </w:r>
      <w:r w:rsidRPr="00E4717D">
        <w:rPr>
          <w:rFonts w:hint="cs"/>
          <w:rtl/>
        </w:rPr>
        <w:t xml:space="preserve"> </w:t>
      </w:r>
    </w:p>
    <w:p w:rsidR="0047626A" w:rsidRDefault="0047626A" w:rsidP="0047626A">
      <w:pPr>
        <w:pStyle w:val="af0"/>
        <w:rPr>
          <w:rtl/>
        </w:rPr>
      </w:pPr>
    </w:p>
    <w:p w:rsidR="0047626A" w:rsidRDefault="0047626A" w:rsidP="0047626A">
      <w:pPr>
        <w:pStyle w:val="Ruller4"/>
        <w:rPr>
          <w:rtl/>
        </w:rPr>
      </w:pPr>
      <w:r>
        <w:rPr>
          <w:rFonts w:hint="cs"/>
          <w:rtl/>
        </w:rPr>
        <w:t xml:space="preserve">ודוק: באומרי ששום כנסת אינה מוסמכת לחוקק חוקים כאלה, כוונתי לכך שלחקיקתם של חוקים כאמור לא יהא תוקף משפטי גם אם הכנסת תחוקק אותם ברוב של 120:0. חקיקה כאמור תהא בגדר </w:t>
      </w:r>
      <w:r w:rsidRPr="00C5263F">
        <w:rPr>
          <w:rFonts w:asciiTheme="majorBidi" w:hAnsiTheme="majorBidi" w:cstheme="majorBidi"/>
          <w:szCs w:val="24"/>
        </w:rPr>
        <w:t>ultra vires</w:t>
      </w:r>
      <w:r w:rsidRPr="00C5263F">
        <w:rPr>
          <w:rFonts w:asciiTheme="majorBidi" w:hAnsiTheme="majorBidi" w:cstheme="majorBidi"/>
          <w:szCs w:val="24"/>
          <w:rtl/>
        </w:rPr>
        <w:t xml:space="preserve"> </w:t>
      </w:r>
      <w:r>
        <w:rPr>
          <w:rFonts w:hint="cs"/>
          <w:rtl/>
        </w:rPr>
        <w:t xml:space="preserve">ובטלה מדעיקרא, בהיותה חורגת מגבולות הסמכות שהוקנתה לכנסת. </w:t>
      </w:r>
      <w:r w:rsidRPr="00C5263F">
        <w:rPr>
          <w:rFonts w:ascii="Century" w:hAnsi="Century" w:cs="Miriam" w:hint="cs"/>
          <w:b/>
          <w:spacing w:val="0"/>
          <w:szCs w:val="24"/>
          <w:rtl/>
        </w:rPr>
        <w:t>חקיקה כזאת הופכת את הקערה על-פיה על ידי שינוי יסודות המשפט ואופי המדינה בישראל. שום כנסת לא קיבלה לידיה את הסמכות לחוקק חוקים כאלה</w:t>
      </w:r>
      <w:r>
        <w:rPr>
          <w:rFonts w:hint="cs"/>
          <w:rtl/>
        </w:rPr>
        <w:t>.</w:t>
      </w:r>
    </w:p>
    <w:p w:rsidR="0047626A" w:rsidRPr="00F30567" w:rsidRDefault="0047626A" w:rsidP="0047626A">
      <w:pPr>
        <w:pStyle w:val="Ruller41"/>
      </w:pPr>
    </w:p>
    <w:p w:rsidR="0047626A" w:rsidRDefault="0047626A" w:rsidP="0047626A">
      <w:pPr>
        <w:pStyle w:val="Ruller4"/>
        <w:rPr>
          <w:rtl/>
        </w:rPr>
      </w:pPr>
      <w:r>
        <w:rPr>
          <w:rFonts w:hint="cs"/>
          <w:rtl/>
        </w:rPr>
        <w:t xml:space="preserve">דומני כי לא אטעה אם אומר שעל מסקנתי זו לא ניתן לחלוק לנוכח מהות הסמכות שמועצת העם והכנסות אשר באו אחריה קיבלו לידיהן בייסוּד המדינה, כפי שנוסדה במאי 1948. סמכות החקיקה של הכנסת, לרבות הסמכות לכונן חוקי יסוד, אינה בגדר סמכות מוחלטת נטולת סייגים וגבולות, ומעולם לא היתה כזאת. מדובר בסמכות שהוגבלה מעיקרה במסמך מכונן </w:t>
      </w:r>
      <w:r>
        <w:rPr>
          <w:rtl/>
        </w:rPr>
        <w:t>–</w:t>
      </w:r>
      <w:r>
        <w:rPr>
          <w:rFonts w:hint="cs"/>
          <w:rtl/>
        </w:rPr>
        <w:t xml:space="preserve"> הכרזת העצמאות, שקבעה את אופייה של מדינת ישראל לנצח-נצחים </w:t>
      </w:r>
      <w:r>
        <w:rPr>
          <w:rtl/>
        </w:rPr>
        <w:t>–</w:t>
      </w:r>
      <w:r>
        <w:rPr>
          <w:rFonts w:hint="cs"/>
          <w:rtl/>
        </w:rPr>
        <w:t xml:space="preserve"> אשר העניק לכנסת את סמכות החקיקה ואת הסמכות לכונן חוקה. בכך שונה הכנסת שלנו מהפרלמנט הבריטי אשר קיבל לידיו, באופן פורמלי, סמכויות חקיקה בלתי מוגבלות שנכפפו רק לחתימתו הטקסית של הכתר (ראו: </w:t>
      </w:r>
      <w:r w:rsidRPr="00FE0E33">
        <w:rPr>
          <w:rFonts w:asciiTheme="majorBidi" w:hAnsiTheme="majorBidi" w:cstheme="majorBidi"/>
          <w:smallCaps/>
        </w:rPr>
        <w:t>A.V. Dicey, Introduction to the Study of the Law of the Constitution</w:t>
      </w:r>
      <w:r w:rsidRPr="00FE0E33">
        <w:rPr>
          <w:rFonts w:asciiTheme="majorBidi" w:hAnsiTheme="majorBidi" w:cstheme="majorBidi"/>
        </w:rPr>
        <w:t xml:space="preserve"> 3-4 (8th ed.</w:t>
      </w:r>
      <w:r>
        <w:rPr>
          <w:rFonts w:asciiTheme="majorBidi" w:hAnsiTheme="majorBidi" w:cstheme="majorBidi"/>
        </w:rPr>
        <w:t>,</w:t>
      </w:r>
      <w:r w:rsidRPr="00FE0E33">
        <w:rPr>
          <w:rFonts w:asciiTheme="majorBidi" w:hAnsiTheme="majorBidi" w:cstheme="majorBidi"/>
        </w:rPr>
        <w:t xml:space="preserve"> 1915)</w:t>
      </w:r>
      <w:r>
        <w:rPr>
          <w:rFonts w:hint="cs"/>
          <w:rtl/>
        </w:rPr>
        <w:t xml:space="preserve">). </w:t>
      </w:r>
      <w:r w:rsidRPr="00280983">
        <w:rPr>
          <w:rFonts w:ascii="Century" w:hAnsi="Century" w:cs="Miriam" w:hint="cs"/>
          <w:b/>
          <w:spacing w:val="0"/>
          <w:sz w:val="22"/>
          <w:szCs w:val="24"/>
          <w:rtl/>
        </w:rPr>
        <w:t>הכרזת העצמאות הנהיגה במדינתנו משטר דמוקרטי מאוזן ומאזן אשר מכפיף את רצונו של הרוב לחובתו לקיים שוויון, צדק וחירות, לשמור על או</w:t>
      </w:r>
      <w:r>
        <w:rPr>
          <w:rFonts w:ascii="Century" w:hAnsi="Century" w:cs="Miriam" w:hint="cs"/>
          <w:b/>
          <w:spacing w:val="0"/>
          <w:sz w:val="22"/>
          <w:szCs w:val="24"/>
          <w:rtl/>
        </w:rPr>
        <w:t>פייה היהודי והדמוקרטי של המדינה</w:t>
      </w:r>
      <w:r w:rsidRPr="00280983">
        <w:rPr>
          <w:rFonts w:ascii="Century" w:hAnsi="Century" w:cs="Miriam" w:hint="cs"/>
          <w:b/>
          <w:spacing w:val="0"/>
          <w:sz w:val="22"/>
          <w:szCs w:val="24"/>
          <w:rtl/>
        </w:rPr>
        <w:t xml:space="preserve"> וכן לכבד את זכותם של יהודים לעלות לישראל ולהפוך לאזרחיה</w:t>
      </w:r>
      <w:r>
        <w:rPr>
          <w:rFonts w:hint="cs"/>
          <w:rtl/>
        </w:rPr>
        <w:t>.</w:t>
      </w:r>
    </w:p>
    <w:p w:rsidR="0047626A" w:rsidRDefault="0047626A" w:rsidP="0047626A">
      <w:pPr>
        <w:pStyle w:val="Ruller41"/>
        <w:rPr>
          <w:rtl/>
        </w:rPr>
      </w:pPr>
    </w:p>
    <w:p w:rsidR="0047626A" w:rsidRDefault="0047626A" w:rsidP="0047626A">
      <w:pPr>
        <w:pStyle w:val="Ruller4"/>
      </w:pPr>
      <w:r>
        <w:rPr>
          <w:rFonts w:hint="cs"/>
          <w:rtl/>
        </w:rPr>
        <w:t xml:space="preserve">האם ניתן לשנות את הכרזת העצמאות או לבטלה? שאלה זו עלתה בפסק דינו של השופט </w:t>
      </w:r>
      <w:r w:rsidRPr="001B6D67">
        <w:rPr>
          <w:rFonts w:ascii="Century" w:hAnsi="Century" w:cs="Miriam" w:hint="cs"/>
          <w:b/>
          <w:spacing w:val="0"/>
          <w:sz w:val="22"/>
          <w:szCs w:val="24"/>
          <w:rtl/>
        </w:rPr>
        <w:t>נ' סולברג</w:t>
      </w:r>
      <w:r>
        <w:rPr>
          <w:rFonts w:hint="cs"/>
          <w:rtl/>
        </w:rPr>
        <w:t xml:space="preserve"> ב</w:t>
      </w:r>
      <w:r w:rsidRPr="001B6D67">
        <w:rPr>
          <w:rFonts w:ascii="Century" w:hAnsi="Century" w:cs="Miriam" w:hint="cs"/>
          <w:b/>
          <w:spacing w:val="0"/>
          <w:sz w:val="22"/>
          <w:szCs w:val="24"/>
          <w:rtl/>
        </w:rPr>
        <w:t>בג"ץ טבריה</w:t>
      </w:r>
      <w:r>
        <w:rPr>
          <w:rFonts w:hint="cs"/>
          <w:rtl/>
        </w:rPr>
        <w:t>. בפסק דיני ב</w:t>
      </w:r>
      <w:r w:rsidRPr="001B6D67">
        <w:rPr>
          <w:rFonts w:ascii="Century" w:hAnsi="Century" w:cs="Miriam" w:hint="cs"/>
          <w:b/>
          <w:spacing w:val="0"/>
          <w:sz w:val="22"/>
          <w:szCs w:val="24"/>
          <w:rtl/>
        </w:rPr>
        <w:t>בג"ץ טבריה</w:t>
      </w:r>
      <w:r>
        <w:rPr>
          <w:rFonts w:hint="cs"/>
          <w:rtl/>
        </w:rPr>
        <w:t xml:space="preserve"> נמנעתי מלתת תשובה לשאלה זו, וגם כאן אמנע מכך. במאמר מוסגר, אעיר כי אני משער שהכרזת העצמאות אינה ניתנת לשינוי בעל תוקף חוקתי, למעט, אולי, במשאל עם וברוב מוחץ של בעלי זכויות ההצבעה. מדובר בסוגיה חוקתית מורכבת ביותר ובעלת השלכות מרחיקות לכת על מבנה השלטון במדינה, על אופייה ועל זהותה. סוגיה קשה זו אינה דורשת הכרעה בענייננו-שלנו, ואין כל סיבה לנסות להכריע בה כאן. </w:t>
      </w:r>
    </w:p>
    <w:p w:rsidR="0047626A" w:rsidRDefault="0047626A" w:rsidP="0047626A">
      <w:pPr>
        <w:pStyle w:val="Ruller4"/>
        <w:numPr>
          <w:ilvl w:val="0"/>
          <w:numId w:val="0"/>
        </w:numPr>
        <w:rPr>
          <w:rtl/>
        </w:rPr>
      </w:pPr>
    </w:p>
    <w:p w:rsidR="0047626A" w:rsidRPr="00625566" w:rsidRDefault="0047626A" w:rsidP="0047626A">
      <w:pPr>
        <w:pStyle w:val="Ruller41"/>
        <w:rPr>
          <w:rFonts w:ascii="Century" w:hAnsi="Century" w:cs="Miriam"/>
          <w:b/>
          <w:spacing w:val="0"/>
          <w:szCs w:val="24"/>
          <w:rtl/>
        </w:rPr>
      </w:pPr>
      <w:r w:rsidRPr="00625566">
        <w:rPr>
          <w:rFonts w:ascii="Century" w:hAnsi="Century" w:cs="Miriam" w:hint="cs"/>
          <w:b/>
          <w:spacing w:val="0"/>
          <w:szCs w:val="24"/>
          <w:rtl/>
        </w:rPr>
        <w:t>מענה לטענה "אין מה לחשוש, מאחר שהכנסת ממילא לא תחוקק חוק</w:t>
      </w:r>
      <w:r>
        <w:rPr>
          <w:rFonts w:ascii="Century" w:hAnsi="Century" w:cs="Miriam" w:hint="cs"/>
          <w:b/>
          <w:spacing w:val="0"/>
          <w:szCs w:val="24"/>
          <w:rtl/>
        </w:rPr>
        <w:t>ים</w:t>
      </w:r>
      <w:r w:rsidRPr="00625566">
        <w:rPr>
          <w:rFonts w:ascii="Century" w:hAnsi="Century" w:cs="Miriam" w:hint="cs"/>
          <w:b/>
          <w:spacing w:val="0"/>
          <w:szCs w:val="24"/>
          <w:rtl/>
        </w:rPr>
        <w:t xml:space="preserve"> פוגעני</w:t>
      </w:r>
      <w:r>
        <w:rPr>
          <w:rFonts w:ascii="Century" w:hAnsi="Century" w:cs="Miriam" w:hint="cs"/>
          <w:b/>
          <w:spacing w:val="0"/>
          <w:szCs w:val="24"/>
          <w:rtl/>
        </w:rPr>
        <w:t>ים</w:t>
      </w:r>
      <w:r w:rsidRPr="00625566">
        <w:rPr>
          <w:rFonts w:ascii="Century" w:hAnsi="Century" w:cs="Miriam" w:hint="cs"/>
          <w:b/>
          <w:spacing w:val="0"/>
          <w:szCs w:val="24"/>
          <w:rtl/>
        </w:rPr>
        <w:t xml:space="preserve"> ודורסני</w:t>
      </w:r>
      <w:r>
        <w:rPr>
          <w:rFonts w:ascii="Century" w:hAnsi="Century" w:cs="Miriam" w:hint="cs"/>
          <w:b/>
          <w:spacing w:val="0"/>
          <w:szCs w:val="24"/>
          <w:rtl/>
        </w:rPr>
        <w:t>ים</w:t>
      </w:r>
      <w:r w:rsidRPr="00625566">
        <w:rPr>
          <w:rFonts w:ascii="Century" w:hAnsi="Century" w:cs="Miriam" w:hint="cs"/>
          <w:b/>
          <w:spacing w:val="0"/>
          <w:szCs w:val="24"/>
          <w:rtl/>
        </w:rPr>
        <w:t>, כדוגמת אלו שצויינו לעיל"</w:t>
      </w:r>
    </w:p>
    <w:p w:rsidR="0047626A" w:rsidRPr="00E4717D" w:rsidRDefault="0047626A" w:rsidP="0047626A">
      <w:pPr>
        <w:pStyle w:val="Ruller41"/>
      </w:pPr>
    </w:p>
    <w:p w:rsidR="0047626A" w:rsidRDefault="0047626A" w:rsidP="0047626A">
      <w:pPr>
        <w:pStyle w:val="Ruller4"/>
      </w:pPr>
      <w:r>
        <w:rPr>
          <w:rFonts w:hint="cs"/>
          <w:rtl/>
        </w:rPr>
        <w:t xml:space="preserve">אקדים ואכיר בכך שמן הסתם יהיו כאלה שימאנו לקבל את הגישה הפורמליסטית הנקוטה בידי, ויאמרו את הדברים הבאים: "תנוח דעתך. כל בר-דעת יודע שהכנסת לעולם לא תחוקק את אחד החוקים הפוגעניים והדורסניים שמנית לעיל, ועל כן חששך הוא חשש תאורטי שאינו ראוי לשמש מסד לדיני החוקה של מדינת ישראל בחיי המעשה". </w:t>
      </w:r>
    </w:p>
    <w:p w:rsidR="0047626A" w:rsidRDefault="0047626A" w:rsidP="0047626A">
      <w:pPr>
        <w:pStyle w:val="Ruller4"/>
        <w:numPr>
          <w:ilvl w:val="0"/>
          <w:numId w:val="0"/>
        </w:numPr>
        <w:rPr>
          <w:rtl/>
        </w:rPr>
      </w:pPr>
    </w:p>
    <w:p w:rsidR="0047626A" w:rsidRDefault="0047626A" w:rsidP="0047626A">
      <w:pPr>
        <w:pStyle w:val="Ruller4"/>
        <w:numPr>
          <w:ilvl w:val="0"/>
          <w:numId w:val="0"/>
        </w:numPr>
      </w:pPr>
      <w:r>
        <w:rPr>
          <w:rtl/>
        </w:rPr>
        <w:tab/>
      </w:r>
      <w:r>
        <w:rPr>
          <w:rFonts w:hint="cs"/>
          <w:rtl/>
        </w:rPr>
        <w:t>לביקורת זו אבקש לתת שתי תשובות.</w:t>
      </w:r>
    </w:p>
    <w:p w:rsidR="0047626A" w:rsidRDefault="0047626A" w:rsidP="0047626A">
      <w:pPr>
        <w:pStyle w:val="Ruller4"/>
        <w:numPr>
          <w:ilvl w:val="0"/>
          <w:numId w:val="0"/>
        </w:numPr>
      </w:pPr>
    </w:p>
    <w:p w:rsidR="0047626A" w:rsidRDefault="0047626A" w:rsidP="0047626A">
      <w:pPr>
        <w:pStyle w:val="Ruller4"/>
      </w:pPr>
      <w:r>
        <w:rPr>
          <w:rFonts w:hint="cs"/>
          <w:rtl/>
        </w:rPr>
        <w:t xml:space="preserve">ראשית, הכלי החברתי ששמו "משפט", ובפרט המשפט החוקתי, צריך להיות פורמלי במידה משמעותית כזאת או אחרת (ראו: </w:t>
      </w:r>
      <w:r w:rsidRPr="00B17913">
        <w:rPr>
          <w:rFonts w:asciiTheme="majorBidi" w:hAnsiTheme="majorBidi" w:cstheme="majorBidi"/>
        </w:rPr>
        <w:t xml:space="preserve">Ernest J. Weinrib, </w:t>
      </w:r>
      <w:r w:rsidRPr="00B17913">
        <w:rPr>
          <w:rFonts w:asciiTheme="majorBidi" w:hAnsiTheme="majorBidi" w:cstheme="majorBidi"/>
          <w:i/>
          <w:iCs/>
        </w:rPr>
        <w:t>Legal Formalism: On the Immanent Rationality of Law</w:t>
      </w:r>
      <w:r w:rsidRPr="00B17913">
        <w:rPr>
          <w:rFonts w:asciiTheme="majorBidi" w:hAnsiTheme="majorBidi" w:cstheme="majorBidi"/>
        </w:rPr>
        <w:t xml:space="preserve">, 97 </w:t>
      </w:r>
      <w:r w:rsidRPr="00B17913">
        <w:rPr>
          <w:rFonts w:asciiTheme="majorBidi" w:hAnsiTheme="majorBidi" w:cstheme="majorBidi"/>
          <w:smallCaps/>
        </w:rPr>
        <w:t>Yale L.J.</w:t>
      </w:r>
      <w:r w:rsidRPr="00B17913">
        <w:rPr>
          <w:rFonts w:asciiTheme="majorBidi" w:hAnsiTheme="majorBidi" w:cstheme="majorBidi"/>
        </w:rPr>
        <w:t xml:space="preserve"> 949</w:t>
      </w:r>
      <w:r>
        <w:rPr>
          <w:rFonts w:asciiTheme="majorBidi" w:hAnsiTheme="majorBidi" w:cstheme="majorBidi"/>
        </w:rPr>
        <w:t>, 953-957, 961-971</w:t>
      </w:r>
      <w:r w:rsidRPr="00B17913">
        <w:rPr>
          <w:rFonts w:asciiTheme="majorBidi" w:hAnsiTheme="majorBidi" w:cstheme="majorBidi"/>
        </w:rPr>
        <w:t xml:space="preserve"> (1998); Frederick Schauer, </w:t>
      </w:r>
      <w:r w:rsidRPr="00B17913">
        <w:rPr>
          <w:rFonts w:asciiTheme="majorBidi" w:hAnsiTheme="majorBidi" w:cstheme="majorBidi"/>
          <w:i/>
          <w:iCs/>
        </w:rPr>
        <w:t>Formalism</w:t>
      </w:r>
      <w:r w:rsidRPr="00B17913">
        <w:rPr>
          <w:rFonts w:asciiTheme="majorBidi" w:hAnsiTheme="majorBidi" w:cstheme="majorBidi"/>
        </w:rPr>
        <w:t xml:space="preserve">, 97 </w:t>
      </w:r>
      <w:r w:rsidRPr="00B17913">
        <w:rPr>
          <w:rFonts w:asciiTheme="majorBidi" w:hAnsiTheme="majorBidi" w:cstheme="majorBidi"/>
          <w:smallCaps/>
        </w:rPr>
        <w:t>Yale L.J.</w:t>
      </w:r>
      <w:r w:rsidRPr="00B17913">
        <w:rPr>
          <w:rFonts w:asciiTheme="majorBidi" w:hAnsiTheme="majorBidi" w:cstheme="majorBidi"/>
        </w:rPr>
        <w:t xml:space="preserve"> 509, 520-535 (1998)</w:t>
      </w:r>
      <w:r>
        <w:rPr>
          <w:rFonts w:hint="cs"/>
          <w:rtl/>
        </w:rPr>
        <w:t xml:space="preserve">). לכך יש סיבה תורת-משפטית שקל להבינה: תוציאוּ את הפורמליות מתוך הפרקטיקה החברתית שנקראת "משפט" ותמצאו את עצמכם במהרה בתוך פרקטיקה אחרת לחלוטין, שבמסגרתה מתקבלים ונאכפים החלטות ופסקי דין של שופטים המבוססים על "נראה לי" ועל "לא נראה לי" </w:t>
      </w:r>
      <w:r>
        <w:rPr>
          <w:rtl/>
        </w:rPr>
        <w:t>–</w:t>
      </w:r>
      <w:r>
        <w:rPr>
          <w:rFonts w:hint="cs"/>
          <w:rtl/>
        </w:rPr>
        <w:t xml:space="preserve"> כאשר איש-איש לפי דרכו את הישר בעיניו עושה (במקרה הטוב). </w:t>
      </w:r>
    </w:p>
    <w:p w:rsidR="0047626A" w:rsidRDefault="0047626A" w:rsidP="0047626A">
      <w:pPr>
        <w:pStyle w:val="Ruller4"/>
        <w:numPr>
          <w:ilvl w:val="0"/>
          <w:numId w:val="0"/>
        </w:numPr>
      </w:pPr>
    </w:p>
    <w:p w:rsidR="0047626A" w:rsidRDefault="0047626A" w:rsidP="0047626A">
      <w:pPr>
        <w:pStyle w:val="Ruller4"/>
      </w:pPr>
      <w:r>
        <w:rPr>
          <w:rFonts w:hint="cs"/>
          <w:rtl/>
        </w:rPr>
        <w:t xml:space="preserve">שנית, ולענייננו זה העיקר: נורמות חוקתיות, כדוגמת הכרזת העצמאות, נועדו מעיקרן לספק לאזרחים ולאזרחיות </w:t>
      </w:r>
      <w:r w:rsidRPr="002842E9">
        <w:rPr>
          <w:rFonts w:ascii="Century" w:hAnsi="Century" w:cs="Miriam" w:hint="cs"/>
          <w:b/>
          <w:spacing w:val="0"/>
          <w:sz w:val="22"/>
          <w:szCs w:val="24"/>
          <w:rtl/>
        </w:rPr>
        <w:t>הגנת קבע סטרוקטורלית</w:t>
      </w:r>
      <w:r>
        <w:rPr>
          <w:rFonts w:hint="cs"/>
          <w:rtl/>
        </w:rPr>
        <w:t xml:space="preserve"> </w:t>
      </w:r>
      <w:r>
        <w:rPr>
          <w:rtl/>
        </w:rPr>
        <w:t>–</w:t>
      </w:r>
      <w:r>
        <w:rPr>
          <w:rFonts w:hint="cs"/>
          <w:rtl/>
        </w:rPr>
        <w:t xml:space="preserve"> לא קוניונקטורלית </w:t>
      </w:r>
      <w:r>
        <w:rPr>
          <w:rtl/>
        </w:rPr>
        <w:t>–</w:t>
      </w:r>
      <w:r>
        <w:rPr>
          <w:rFonts w:hint="cs"/>
          <w:rtl/>
        </w:rPr>
        <w:t xml:space="preserve"> מפני עריצות השלטון. </w:t>
      </w:r>
      <w:r w:rsidRPr="002842E9">
        <w:rPr>
          <w:rFonts w:ascii="Century" w:hAnsi="Century" w:cs="Miriam" w:hint="cs"/>
          <w:b/>
          <w:spacing w:val="0"/>
          <w:sz w:val="22"/>
          <w:szCs w:val="24"/>
          <w:rtl/>
        </w:rPr>
        <w:t xml:space="preserve">הגנה חוקתית לא נוצרת אלא כדי לשכון דרך קבע במבנה המשפט והחברה </w:t>
      </w:r>
      <w:r w:rsidRPr="002842E9">
        <w:rPr>
          <w:rFonts w:ascii="Century" w:hAnsi="Century" w:cs="Miriam"/>
          <w:b/>
          <w:spacing w:val="0"/>
          <w:sz w:val="22"/>
          <w:szCs w:val="24"/>
          <w:rtl/>
        </w:rPr>
        <w:t>–</w:t>
      </w:r>
      <w:r w:rsidRPr="002842E9">
        <w:rPr>
          <w:rFonts w:ascii="Century" w:hAnsi="Century" w:cs="Miriam" w:hint="cs"/>
          <w:b/>
          <w:spacing w:val="0"/>
          <w:sz w:val="22"/>
          <w:szCs w:val="24"/>
          <w:rtl/>
        </w:rPr>
        <w:t xml:space="preserve"> כדרכם של מלט, בטון וברזל ביסודות הבניין אשר נבנה על-מנת לעמוד על תילו ולא לקרוס</w:t>
      </w:r>
      <w:r>
        <w:rPr>
          <w:rFonts w:hint="cs"/>
          <w:rtl/>
        </w:rPr>
        <w:t xml:space="preserve">. </w:t>
      </w:r>
    </w:p>
    <w:p w:rsidR="0047626A" w:rsidRDefault="0047626A" w:rsidP="0047626A">
      <w:pPr>
        <w:pStyle w:val="Ruller4"/>
        <w:numPr>
          <w:ilvl w:val="0"/>
          <w:numId w:val="0"/>
        </w:numPr>
      </w:pPr>
    </w:p>
    <w:p w:rsidR="0047626A" w:rsidRDefault="0047626A" w:rsidP="0047626A">
      <w:pPr>
        <w:pStyle w:val="Ruller4"/>
        <w:rPr>
          <w:rtl/>
        </w:rPr>
      </w:pPr>
      <w:r>
        <w:rPr>
          <w:rFonts w:hint="cs"/>
          <w:rtl/>
        </w:rPr>
        <w:t>אני מצרף אפוא את דעתי לעמדת חברתי הנשיאה כי "הצורך למנוע מראש תרחישי קיצון עומד ביסוד הסדרים חוקתיים רבים [...]" (ראו: פסקה 93 לפסק דינה של הנשיאה).</w:t>
      </w:r>
    </w:p>
    <w:p w:rsidR="0047626A" w:rsidRDefault="0047626A" w:rsidP="0047626A">
      <w:pPr>
        <w:pStyle w:val="Ruller41"/>
        <w:rPr>
          <w:rtl/>
        </w:rPr>
      </w:pPr>
    </w:p>
    <w:p w:rsidR="0047626A" w:rsidRPr="002A0C0D" w:rsidRDefault="0047626A" w:rsidP="0047626A">
      <w:pPr>
        <w:pStyle w:val="Ruller41"/>
        <w:rPr>
          <w:rFonts w:ascii="Century" w:hAnsi="Century" w:cs="Miriam"/>
          <w:b/>
          <w:spacing w:val="0"/>
          <w:szCs w:val="24"/>
          <w:rtl/>
        </w:rPr>
      </w:pPr>
      <w:r w:rsidRPr="002A0C0D">
        <w:rPr>
          <w:rFonts w:ascii="Century" w:hAnsi="Century" w:cs="Miriam" w:hint="cs"/>
          <w:b/>
          <w:spacing w:val="0"/>
          <w:szCs w:val="24"/>
          <w:rtl/>
        </w:rPr>
        <w:t>הכרזת העצמאות בפסיקתו של בית המשפט העליון</w:t>
      </w:r>
    </w:p>
    <w:p w:rsidR="0047626A" w:rsidRDefault="0047626A" w:rsidP="0047626A">
      <w:pPr>
        <w:pStyle w:val="Ruller41"/>
        <w:rPr>
          <w:rtl/>
        </w:rPr>
      </w:pPr>
    </w:p>
    <w:p w:rsidR="0047626A" w:rsidRDefault="0047626A" w:rsidP="0047626A">
      <w:pPr>
        <w:pStyle w:val="Ruller4"/>
        <w:rPr>
          <w:rtl/>
        </w:rPr>
      </w:pPr>
      <w:r w:rsidRPr="006C4238">
        <w:rPr>
          <w:rFonts w:ascii="Century" w:hAnsi="Century" w:hint="cs"/>
          <w:sz w:val="22"/>
          <w:rtl/>
        </w:rPr>
        <w:lastRenderedPageBreak/>
        <w:t>בפסק דיני ב</w:t>
      </w:r>
      <w:r w:rsidRPr="008E0586">
        <w:rPr>
          <w:rFonts w:ascii="Century" w:hAnsi="Century" w:cs="Miriam" w:hint="eastAsia"/>
          <w:b/>
          <w:spacing w:val="0"/>
          <w:sz w:val="22"/>
          <w:szCs w:val="24"/>
          <w:rtl/>
        </w:rPr>
        <w:t>בג</w:t>
      </w:r>
      <w:r w:rsidRPr="008E0586">
        <w:rPr>
          <w:rFonts w:ascii="Century" w:hAnsi="Century" w:cs="Miriam"/>
          <w:b/>
          <w:spacing w:val="0"/>
          <w:sz w:val="22"/>
          <w:szCs w:val="24"/>
          <w:rtl/>
        </w:rPr>
        <w:t>"</w:t>
      </w:r>
      <w:r w:rsidRPr="008E0586">
        <w:rPr>
          <w:rFonts w:ascii="Century" w:hAnsi="Century" w:cs="Miriam" w:hint="eastAsia"/>
          <w:b/>
          <w:spacing w:val="0"/>
          <w:sz w:val="22"/>
          <w:szCs w:val="24"/>
          <w:rtl/>
        </w:rPr>
        <w:t>ץ</w:t>
      </w:r>
      <w:r w:rsidRPr="008E0586">
        <w:rPr>
          <w:rFonts w:ascii="Century" w:hAnsi="Century" w:cs="Miriam"/>
          <w:b/>
          <w:spacing w:val="0"/>
          <w:sz w:val="22"/>
          <w:szCs w:val="24"/>
          <w:rtl/>
        </w:rPr>
        <w:t xml:space="preserve"> </w:t>
      </w:r>
      <w:r w:rsidRPr="008E0586">
        <w:rPr>
          <w:rFonts w:ascii="Century" w:hAnsi="Century" w:cs="Miriam" w:hint="eastAsia"/>
          <w:b/>
          <w:spacing w:val="0"/>
          <w:sz w:val="22"/>
          <w:szCs w:val="24"/>
          <w:rtl/>
        </w:rPr>
        <w:t>טבריה</w:t>
      </w:r>
      <w:r>
        <w:rPr>
          <w:rFonts w:ascii="Century" w:hAnsi="Century" w:hint="cs"/>
          <w:sz w:val="22"/>
          <w:rtl/>
        </w:rPr>
        <w:t xml:space="preserve">, </w:t>
      </w:r>
      <w:r w:rsidRPr="006C4238">
        <w:rPr>
          <w:rFonts w:ascii="Century" w:hAnsi="Century" w:hint="cs"/>
          <w:sz w:val="22"/>
          <w:rtl/>
        </w:rPr>
        <w:t xml:space="preserve">הצבעתי על התקלה </w:t>
      </w:r>
      <w:r>
        <w:rPr>
          <w:rFonts w:ascii="Century" w:hAnsi="Century" w:hint="cs"/>
          <w:sz w:val="22"/>
          <w:rtl/>
        </w:rPr>
        <w:t xml:space="preserve">שנפלה </w:t>
      </w:r>
      <w:r w:rsidRPr="006C4238">
        <w:rPr>
          <w:rFonts w:ascii="Century" w:hAnsi="Century" w:hint="cs"/>
          <w:sz w:val="22"/>
          <w:rtl/>
        </w:rPr>
        <w:t xml:space="preserve">בהתייחסותו של בית משפט זה למעמדה של הכרזת העצמאות במשפט </w:t>
      </w:r>
      <w:r>
        <w:rPr>
          <w:rFonts w:ascii="Century" w:hAnsi="Century" w:hint="cs"/>
          <w:sz w:val="22"/>
          <w:rtl/>
        </w:rPr>
        <w:t>המדינה</w:t>
      </w:r>
      <w:r w:rsidRPr="006C4238">
        <w:rPr>
          <w:rFonts w:ascii="Century" w:hAnsi="Century" w:hint="cs"/>
          <w:sz w:val="22"/>
          <w:rtl/>
        </w:rPr>
        <w:t xml:space="preserve">. </w:t>
      </w:r>
      <w:r>
        <w:rPr>
          <w:rFonts w:ascii="Century" w:hAnsi="Century" w:hint="cs"/>
          <w:sz w:val="22"/>
          <w:rtl/>
        </w:rPr>
        <w:t>התייחסות זו</w:t>
      </w:r>
      <w:r w:rsidRPr="006C4238">
        <w:rPr>
          <w:rFonts w:ascii="Century" w:hAnsi="Century" w:hint="cs"/>
          <w:sz w:val="22"/>
          <w:rtl/>
        </w:rPr>
        <w:t xml:space="preserve"> </w:t>
      </w:r>
      <w:r>
        <w:rPr>
          <w:rFonts w:ascii="Century" w:hAnsi="Century" w:hint="cs"/>
          <w:sz w:val="22"/>
          <w:rtl/>
        </w:rPr>
        <w:t>ניתנה</w:t>
      </w:r>
      <w:r w:rsidRPr="006C4238">
        <w:rPr>
          <w:rFonts w:ascii="Century" w:hAnsi="Century" w:hint="cs"/>
          <w:sz w:val="22"/>
          <w:rtl/>
        </w:rPr>
        <w:t xml:space="preserve"> מבלי </w:t>
      </w:r>
      <w:r>
        <w:rPr>
          <w:rFonts w:ascii="Century" w:hAnsi="Century" w:hint="cs"/>
          <w:sz w:val="22"/>
          <w:rtl/>
        </w:rPr>
        <w:t>ליתן כל מעמד, או אפילו אזכור,</w:t>
      </w:r>
      <w:r w:rsidRPr="006C4238">
        <w:rPr>
          <w:rFonts w:ascii="Century" w:hAnsi="Century" w:hint="cs"/>
          <w:sz w:val="22"/>
          <w:rtl/>
        </w:rPr>
        <w:t xml:space="preserve"> ל</w:t>
      </w:r>
      <w:r w:rsidRPr="006C4238">
        <w:rPr>
          <w:rFonts w:ascii="Century" w:hAnsi="Century"/>
          <w:sz w:val="22"/>
          <w:rtl/>
        </w:rPr>
        <w:t xml:space="preserve">מסמכי </w:t>
      </w:r>
      <w:r w:rsidRPr="006C4238">
        <w:rPr>
          <w:rFonts w:ascii="Century" w:hAnsi="Century" w:hint="eastAsia"/>
          <w:sz w:val="22"/>
          <w:rtl/>
        </w:rPr>
        <w:t>הקמת</w:t>
      </w:r>
      <w:r w:rsidRPr="006C4238">
        <w:rPr>
          <w:rFonts w:ascii="Century" w:hAnsi="Century" w:hint="cs"/>
          <w:sz w:val="22"/>
          <w:rtl/>
        </w:rPr>
        <w:t>ו</w:t>
      </w:r>
      <w:r w:rsidRPr="006C4238">
        <w:rPr>
          <w:rFonts w:ascii="Century" w:hAnsi="Century"/>
          <w:sz w:val="22"/>
          <w:rtl/>
        </w:rPr>
        <w:t xml:space="preserve"> </w:t>
      </w:r>
      <w:r w:rsidRPr="006C4238">
        <w:rPr>
          <w:rFonts w:ascii="Century" w:hAnsi="Century" w:hint="eastAsia"/>
          <w:sz w:val="22"/>
          <w:rtl/>
        </w:rPr>
        <w:t>של</w:t>
      </w:r>
      <w:r>
        <w:rPr>
          <w:rFonts w:ascii="Century" w:hAnsi="Century"/>
          <w:sz w:val="22"/>
          <w:rtl/>
        </w:rPr>
        <w:t xml:space="preserve"> משפט המדינה</w:t>
      </w:r>
      <w:r>
        <w:rPr>
          <w:rFonts w:ascii="Century" w:hAnsi="Century" w:hint="cs"/>
          <w:sz w:val="22"/>
          <w:rtl/>
        </w:rPr>
        <w:t xml:space="preserve">: </w:t>
      </w:r>
      <w:r w:rsidRPr="006C4238">
        <w:rPr>
          <w:rFonts w:ascii="Century" w:hAnsi="Century"/>
          <w:sz w:val="22"/>
          <w:rtl/>
        </w:rPr>
        <w:t>המנשר ופקודת סדרי השלטון והמשפט</w:t>
      </w:r>
      <w:r>
        <w:rPr>
          <w:rFonts w:ascii="Century" w:hAnsi="Century" w:hint="cs"/>
          <w:sz w:val="22"/>
          <w:rtl/>
        </w:rPr>
        <w:t xml:space="preserve"> המקורית.</w:t>
      </w:r>
    </w:p>
    <w:p w:rsidR="0047626A" w:rsidRPr="008E0586" w:rsidRDefault="0047626A" w:rsidP="0047626A">
      <w:pPr>
        <w:pStyle w:val="Ruller41"/>
        <w:rPr>
          <w:rFonts w:ascii="Garamond" w:hAnsi="Garamond"/>
          <w:sz w:val="24"/>
          <w:rtl/>
        </w:rPr>
      </w:pPr>
    </w:p>
    <w:p w:rsidR="0047626A" w:rsidRPr="00281216" w:rsidRDefault="0047626A" w:rsidP="0047626A">
      <w:pPr>
        <w:pStyle w:val="Ruller4"/>
      </w:pPr>
      <w:r>
        <w:rPr>
          <w:rFonts w:ascii="Century" w:hAnsi="Century" w:hint="cs"/>
          <w:sz w:val="22"/>
          <w:rtl/>
        </w:rPr>
        <w:t>כך למשל, ב</w:t>
      </w:r>
      <w:r w:rsidRPr="008E0586">
        <w:rPr>
          <w:rFonts w:ascii="Century" w:hAnsi="Century" w:hint="eastAsia"/>
          <w:sz w:val="22"/>
          <w:rtl/>
        </w:rPr>
        <w:t>פסקי</w:t>
      </w:r>
      <w:r w:rsidRPr="008E0586">
        <w:rPr>
          <w:rFonts w:ascii="Century" w:hAnsi="Century"/>
          <w:sz w:val="22"/>
          <w:rtl/>
        </w:rPr>
        <w:t xml:space="preserve"> </w:t>
      </w:r>
      <w:r w:rsidRPr="008E0586">
        <w:rPr>
          <w:rFonts w:ascii="Century" w:hAnsi="Century" w:hint="eastAsia"/>
          <w:sz w:val="22"/>
          <w:rtl/>
        </w:rPr>
        <w:t>הדין</w:t>
      </w:r>
      <w:r w:rsidRPr="008E0586">
        <w:rPr>
          <w:rFonts w:ascii="Century" w:hAnsi="Century"/>
          <w:sz w:val="22"/>
          <w:rtl/>
        </w:rPr>
        <w:t xml:space="preserve"> </w:t>
      </w:r>
      <w:r w:rsidRPr="008E0586">
        <w:rPr>
          <w:rFonts w:ascii="Century" w:hAnsi="Century" w:hint="eastAsia"/>
          <w:sz w:val="22"/>
          <w:rtl/>
        </w:rPr>
        <w:t>בהם</w:t>
      </w:r>
      <w:r w:rsidRPr="008E0586">
        <w:rPr>
          <w:rFonts w:ascii="Century" w:hAnsi="Century"/>
          <w:sz w:val="22"/>
          <w:rtl/>
        </w:rPr>
        <w:t xml:space="preserve"> </w:t>
      </w:r>
      <w:r w:rsidRPr="008E0586">
        <w:rPr>
          <w:rFonts w:ascii="Century" w:hAnsi="Century" w:hint="eastAsia"/>
          <w:sz w:val="22"/>
          <w:rtl/>
        </w:rPr>
        <w:t>בית</w:t>
      </w:r>
      <w:r w:rsidRPr="008E0586">
        <w:rPr>
          <w:rFonts w:ascii="Century" w:hAnsi="Century"/>
          <w:sz w:val="22"/>
          <w:rtl/>
        </w:rPr>
        <w:t xml:space="preserve"> </w:t>
      </w:r>
      <w:r w:rsidRPr="008E0586">
        <w:rPr>
          <w:rFonts w:ascii="Century" w:hAnsi="Century" w:hint="eastAsia"/>
          <w:sz w:val="22"/>
          <w:rtl/>
        </w:rPr>
        <w:t>משפט</w:t>
      </w:r>
      <w:r w:rsidRPr="008E0586">
        <w:rPr>
          <w:rFonts w:ascii="Century" w:hAnsi="Century"/>
          <w:sz w:val="22"/>
          <w:rtl/>
        </w:rPr>
        <w:t xml:space="preserve"> </w:t>
      </w:r>
      <w:r w:rsidRPr="008E0586">
        <w:rPr>
          <w:rFonts w:ascii="Century" w:hAnsi="Century" w:hint="eastAsia"/>
          <w:sz w:val="22"/>
          <w:rtl/>
        </w:rPr>
        <w:t>זה</w:t>
      </w:r>
      <w:r w:rsidRPr="008E0586">
        <w:rPr>
          <w:rFonts w:ascii="Century" w:hAnsi="Century"/>
          <w:sz w:val="22"/>
          <w:rtl/>
        </w:rPr>
        <w:t xml:space="preserve"> </w:t>
      </w:r>
      <w:r w:rsidRPr="008E0586">
        <w:rPr>
          <w:rFonts w:ascii="Century" w:hAnsi="Century" w:hint="eastAsia"/>
          <w:sz w:val="22"/>
          <w:rtl/>
        </w:rPr>
        <w:t>התייחס</w:t>
      </w:r>
      <w:r w:rsidRPr="008E0586">
        <w:rPr>
          <w:rFonts w:ascii="Century" w:hAnsi="Century"/>
          <w:sz w:val="22"/>
          <w:rtl/>
        </w:rPr>
        <w:t xml:space="preserve"> </w:t>
      </w:r>
      <w:r w:rsidRPr="008E0586">
        <w:rPr>
          <w:rFonts w:ascii="Century" w:hAnsi="Century" w:hint="eastAsia"/>
          <w:sz w:val="22"/>
          <w:rtl/>
        </w:rPr>
        <w:t>להכרזת</w:t>
      </w:r>
      <w:r w:rsidRPr="008E0586">
        <w:rPr>
          <w:rFonts w:ascii="Century" w:hAnsi="Century"/>
          <w:sz w:val="22"/>
          <w:rtl/>
        </w:rPr>
        <w:t xml:space="preserve"> </w:t>
      </w:r>
      <w:r w:rsidRPr="008E0586">
        <w:rPr>
          <w:rFonts w:ascii="Century" w:hAnsi="Century" w:hint="eastAsia"/>
          <w:sz w:val="22"/>
          <w:rtl/>
        </w:rPr>
        <w:t>העצמאות</w:t>
      </w:r>
      <w:r w:rsidRPr="008E0586">
        <w:rPr>
          <w:rFonts w:ascii="Century" w:hAnsi="Century"/>
          <w:sz w:val="22"/>
          <w:rtl/>
        </w:rPr>
        <w:t xml:space="preserve"> </w:t>
      </w:r>
      <w:r w:rsidRPr="008E0586">
        <w:rPr>
          <w:rFonts w:ascii="Century" w:hAnsi="Century" w:hint="eastAsia"/>
          <w:sz w:val="22"/>
          <w:rtl/>
        </w:rPr>
        <w:t>נקבע</w:t>
      </w:r>
      <w:r w:rsidRPr="008E0586">
        <w:rPr>
          <w:rFonts w:ascii="Century" w:hAnsi="Century"/>
          <w:sz w:val="22"/>
          <w:rtl/>
        </w:rPr>
        <w:t xml:space="preserve"> </w:t>
      </w:r>
      <w:r w:rsidRPr="008E0586">
        <w:rPr>
          <w:rFonts w:ascii="Century" w:hAnsi="Century" w:hint="eastAsia"/>
          <w:sz w:val="22"/>
          <w:rtl/>
        </w:rPr>
        <w:t>כי</w:t>
      </w:r>
      <w:r w:rsidRPr="008E0586">
        <w:rPr>
          <w:rFonts w:ascii="Century" w:hAnsi="Century"/>
          <w:sz w:val="22"/>
          <w:rtl/>
        </w:rPr>
        <w:t xml:space="preserve"> </w:t>
      </w:r>
      <w:r w:rsidRPr="008E0586">
        <w:rPr>
          <w:rFonts w:ascii="Century" w:hAnsi="Century" w:hint="eastAsia"/>
          <w:sz w:val="22"/>
          <w:rtl/>
        </w:rPr>
        <w:t>ההכרזה</w:t>
      </w:r>
      <w:r w:rsidRPr="008E0586">
        <w:rPr>
          <w:rFonts w:ascii="Century" w:hAnsi="Century"/>
          <w:sz w:val="22"/>
          <w:rtl/>
        </w:rPr>
        <w:t xml:space="preserve"> "</w:t>
      </w:r>
      <w:r w:rsidRPr="008E0586">
        <w:rPr>
          <w:rFonts w:ascii="Century" w:hAnsi="Century" w:hint="eastAsia"/>
          <w:sz w:val="22"/>
          <w:rtl/>
        </w:rPr>
        <w:t>מבטאת</w:t>
      </w:r>
      <w:r w:rsidRPr="008E0586">
        <w:rPr>
          <w:rFonts w:ascii="Century" w:hAnsi="Century"/>
          <w:sz w:val="22"/>
          <w:rtl/>
        </w:rPr>
        <w:t xml:space="preserve"> </w:t>
      </w:r>
      <w:r w:rsidRPr="008E0586">
        <w:rPr>
          <w:rFonts w:ascii="Century" w:hAnsi="Century" w:hint="eastAsia"/>
          <w:sz w:val="22"/>
          <w:rtl/>
        </w:rPr>
        <w:t>את</w:t>
      </w:r>
      <w:r w:rsidRPr="008E0586">
        <w:rPr>
          <w:rFonts w:ascii="Century" w:hAnsi="Century"/>
          <w:sz w:val="22"/>
          <w:rtl/>
        </w:rPr>
        <w:t xml:space="preserve"> </w:t>
      </w:r>
      <w:r w:rsidRPr="008E0586">
        <w:rPr>
          <w:rFonts w:ascii="Century" w:hAnsi="Century" w:hint="eastAsia"/>
          <w:sz w:val="22"/>
          <w:rtl/>
        </w:rPr>
        <w:t>חזון</w:t>
      </w:r>
      <w:r w:rsidRPr="008E0586">
        <w:rPr>
          <w:rFonts w:ascii="Century" w:hAnsi="Century"/>
          <w:sz w:val="22"/>
          <w:rtl/>
        </w:rPr>
        <w:t xml:space="preserve"> </w:t>
      </w:r>
      <w:r w:rsidRPr="008E0586">
        <w:rPr>
          <w:rFonts w:ascii="Century" w:hAnsi="Century" w:hint="eastAsia"/>
          <w:sz w:val="22"/>
          <w:rtl/>
        </w:rPr>
        <w:t>העם</w:t>
      </w:r>
      <w:r w:rsidRPr="008E0586">
        <w:rPr>
          <w:rFonts w:ascii="Century" w:hAnsi="Century"/>
          <w:sz w:val="22"/>
          <w:rtl/>
        </w:rPr>
        <w:t xml:space="preserve"> </w:t>
      </w:r>
      <w:r w:rsidRPr="008E0586">
        <w:rPr>
          <w:rFonts w:ascii="Century" w:hAnsi="Century" w:hint="eastAsia"/>
          <w:sz w:val="22"/>
          <w:rtl/>
        </w:rPr>
        <w:t>ואת</w:t>
      </w:r>
      <w:r w:rsidRPr="008E0586">
        <w:rPr>
          <w:rFonts w:ascii="Century" w:hAnsi="Century"/>
          <w:sz w:val="22"/>
          <w:rtl/>
        </w:rPr>
        <w:t xml:space="preserve"> '</w:t>
      </w:r>
      <w:r w:rsidRPr="008E0586">
        <w:rPr>
          <w:rFonts w:ascii="Century" w:hAnsi="Century" w:hint="eastAsia"/>
          <w:sz w:val="22"/>
          <w:rtl/>
        </w:rPr>
        <w:t>האני</w:t>
      </w:r>
      <w:r w:rsidRPr="008E0586">
        <w:rPr>
          <w:rFonts w:ascii="Century" w:hAnsi="Century"/>
          <w:sz w:val="22"/>
          <w:rtl/>
        </w:rPr>
        <w:t xml:space="preserve"> </w:t>
      </w:r>
      <w:r w:rsidRPr="008E0586">
        <w:rPr>
          <w:rFonts w:ascii="Century" w:hAnsi="Century" w:hint="eastAsia"/>
          <w:sz w:val="22"/>
          <w:rtl/>
        </w:rPr>
        <w:t>מאמין</w:t>
      </w:r>
      <w:r w:rsidRPr="008E0586">
        <w:rPr>
          <w:rFonts w:ascii="Century" w:hAnsi="Century"/>
          <w:sz w:val="22"/>
          <w:rtl/>
        </w:rPr>
        <w:t xml:space="preserve">' </w:t>
      </w:r>
      <w:r w:rsidRPr="008E0586">
        <w:rPr>
          <w:rFonts w:ascii="Century" w:hAnsi="Century" w:hint="eastAsia"/>
          <w:sz w:val="22"/>
          <w:rtl/>
        </w:rPr>
        <w:t>שלו</w:t>
      </w:r>
      <w:r w:rsidRPr="008E0586">
        <w:rPr>
          <w:rFonts w:ascii="Century" w:hAnsi="Century"/>
          <w:sz w:val="22"/>
          <w:rtl/>
        </w:rPr>
        <w:t xml:space="preserve">, </w:t>
      </w:r>
      <w:r w:rsidRPr="008E0586">
        <w:rPr>
          <w:rFonts w:ascii="Century" w:hAnsi="Century" w:hint="eastAsia"/>
          <w:sz w:val="22"/>
          <w:rtl/>
        </w:rPr>
        <w:t>אבל</w:t>
      </w:r>
      <w:r w:rsidRPr="008E0586">
        <w:rPr>
          <w:rFonts w:ascii="Century" w:hAnsi="Century"/>
          <w:sz w:val="22"/>
          <w:rtl/>
        </w:rPr>
        <w:t xml:space="preserve"> </w:t>
      </w:r>
      <w:r w:rsidRPr="008E0586">
        <w:rPr>
          <w:rFonts w:ascii="Century" w:hAnsi="Century" w:hint="eastAsia"/>
          <w:sz w:val="22"/>
          <w:rtl/>
        </w:rPr>
        <w:t>אין</w:t>
      </w:r>
      <w:r w:rsidRPr="008E0586">
        <w:rPr>
          <w:rFonts w:ascii="Century" w:hAnsi="Century"/>
          <w:sz w:val="22"/>
          <w:rtl/>
        </w:rPr>
        <w:t xml:space="preserve"> </w:t>
      </w:r>
      <w:r w:rsidRPr="008E0586">
        <w:rPr>
          <w:rFonts w:ascii="Century" w:hAnsi="Century" w:hint="eastAsia"/>
          <w:sz w:val="22"/>
          <w:rtl/>
        </w:rPr>
        <w:t>בה</w:t>
      </w:r>
      <w:r w:rsidRPr="008E0586">
        <w:rPr>
          <w:rFonts w:ascii="Century" w:hAnsi="Century"/>
          <w:sz w:val="22"/>
          <w:rtl/>
        </w:rPr>
        <w:t xml:space="preserve"> </w:t>
      </w:r>
      <w:r w:rsidRPr="008E0586">
        <w:rPr>
          <w:rFonts w:ascii="Century" w:hAnsi="Century" w:hint="eastAsia"/>
          <w:sz w:val="22"/>
          <w:rtl/>
        </w:rPr>
        <w:t>משום</w:t>
      </w:r>
      <w:r w:rsidRPr="008E0586">
        <w:rPr>
          <w:rFonts w:ascii="Century" w:hAnsi="Century"/>
          <w:sz w:val="22"/>
          <w:rtl/>
        </w:rPr>
        <w:t xml:space="preserve"> </w:t>
      </w:r>
      <w:r w:rsidRPr="008E0586">
        <w:rPr>
          <w:rFonts w:ascii="Century" w:hAnsi="Century" w:hint="eastAsia"/>
          <w:sz w:val="22"/>
          <w:rtl/>
        </w:rPr>
        <w:t>חוק</w:t>
      </w:r>
      <w:r w:rsidRPr="008E0586">
        <w:rPr>
          <w:rFonts w:ascii="Century" w:hAnsi="Century"/>
          <w:sz w:val="22"/>
          <w:rtl/>
        </w:rPr>
        <w:t xml:space="preserve"> </w:t>
      </w:r>
      <w:r w:rsidRPr="008E0586">
        <w:rPr>
          <w:rFonts w:ascii="Century" w:hAnsi="Century" w:hint="eastAsia"/>
          <w:sz w:val="22"/>
          <w:rtl/>
        </w:rPr>
        <w:t>קונסטיטוציוני</w:t>
      </w:r>
      <w:r w:rsidRPr="008E0586">
        <w:rPr>
          <w:rFonts w:ascii="Century" w:hAnsi="Century"/>
          <w:sz w:val="22"/>
          <w:rtl/>
        </w:rPr>
        <w:t xml:space="preserve"> </w:t>
      </w:r>
      <w:r w:rsidRPr="008E0586">
        <w:rPr>
          <w:rFonts w:ascii="Century" w:hAnsi="Century" w:hint="eastAsia"/>
          <w:sz w:val="22"/>
          <w:rtl/>
        </w:rPr>
        <w:t>הפוסק</w:t>
      </w:r>
      <w:r w:rsidRPr="008E0586">
        <w:rPr>
          <w:rFonts w:ascii="Century" w:hAnsi="Century"/>
          <w:sz w:val="22"/>
          <w:rtl/>
        </w:rPr>
        <w:t xml:space="preserve"> </w:t>
      </w:r>
      <w:r w:rsidRPr="008E0586">
        <w:rPr>
          <w:rFonts w:ascii="Century" w:hAnsi="Century" w:hint="eastAsia"/>
          <w:sz w:val="22"/>
          <w:rtl/>
        </w:rPr>
        <w:t>הלכה</w:t>
      </w:r>
      <w:r w:rsidRPr="008E0586">
        <w:rPr>
          <w:rFonts w:ascii="Century" w:hAnsi="Century"/>
          <w:sz w:val="22"/>
          <w:rtl/>
        </w:rPr>
        <w:t xml:space="preserve"> </w:t>
      </w:r>
      <w:r w:rsidRPr="008E0586">
        <w:rPr>
          <w:rFonts w:ascii="Century" w:hAnsi="Century" w:hint="eastAsia"/>
          <w:sz w:val="22"/>
          <w:rtl/>
        </w:rPr>
        <w:t>למעשה</w:t>
      </w:r>
      <w:r w:rsidRPr="008E0586">
        <w:rPr>
          <w:rFonts w:ascii="Century" w:hAnsi="Century"/>
          <w:sz w:val="22"/>
          <w:rtl/>
        </w:rPr>
        <w:t xml:space="preserve"> </w:t>
      </w:r>
      <w:r w:rsidRPr="008E0586">
        <w:rPr>
          <w:rFonts w:ascii="Century" w:hAnsi="Century" w:hint="eastAsia"/>
          <w:sz w:val="22"/>
          <w:rtl/>
        </w:rPr>
        <w:t>בדבר</w:t>
      </w:r>
      <w:r w:rsidRPr="008E0586">
        <w:rPr>
          <w:rFonts w:ascii="Century" w:hAnsi="Century"/>
          <w:sz w:val="22"/>
          <w:rtl/>
        </w:rPr>
        <w:t xml:space="preserve"> </w:t>
      </w:r>
      <w:r w:rsidRPr="008E0586">
        <w:rPr>
          <w:rFonts w:ascii="Century" w:hAnsi="Century" w:hint="eastAsia"/>
          <w:sz w:val="22"/>
          <w:rtl/>
        </w:rPr>
        <w:t>קיום</w:t>
      </w:r>
      <w:r w:rsidRPr="008E0586">
        <w:rPr>
          <w:rFonts w:ascii="Century" w:hAnsi="Century"/>
          <w:sz w:val="22"/>
          <w:rtl/>
        </w:rPr>
        <w:t xml:space="preserve"> </w:t>
      </w:r>
      <w:r w:rsidRPr="008E0586">
        <w:rPr>
          <w:rFonts w:ascii="Century" w:hAnsi="Century" w:hint="eastAsia"/>
          <w:sz w:val="22"/>
          <w:rtl/>
        </w:rPr>
        <w:t>פקודות</w:t>
      </w:r>
      <w:r w:rsidRPr="008E0586">
        <w:rPr>
          <w:rFonts w:ascii="Century" w:hAnsi="Century"/>
          <w:sz w:val="22"/>
          <w:rtl/>
        </w:rPr>
        <w:t xml:space="preserve"> </w:t>
      </w:r>
      <w:r w:rsidRPr="008E0586">
        <w:rPr>
          <w:rFonts w:ascii="Century" w:hAnsi="Century" w:hint="eastAsia"/>
          <w:sz w:val="22"/>
          <w:rtl/>
        </w:rPr>
        <w:t>וחוקים</w:t>
      </w:r>
      <w:r w:rsidRPr="008E0586">
        <w:rPr>
          <w:rFonts w:ascii="Century" w:hAnsi="Century"/>
          <w:sz w:val="22"/>
          <w:rtl/>
        </w:rPr>
        <w:t xml:space="preserve"> </w:t>
      </w:r>
      <w:r w:rsidRPr="008E0586">
        <w:rPr>
          <w:rFonts w:ascii="Century" w:hAnsi="Century" w:hint="eastAsia"/>
          <w:sz w:val="22"/>
          <w:rtl/>
        </w:rPr>
        <w:t>שונים</w:t>
      </w:r>
      <w:r w:rsidRPr="008E0586">
        <w:rPr>
          <w:rFonts w:ascii="Century" w:hAnsi="Century"/>
          <w:sz w:val="22"/>
          <w:rtl/>
        </w:rPr>
        <w:t xml:space="preserve">, </w:t>
      </w:r>
      <w:r w:rsidRPr="008E0586">
        <w:rPr>
          <w:rFonts w:ascii="Century" w:hAnsi="Century" w:hint="eastAsia"/>
          <w:sz w:val="22"/>
          <w:rtl/>
        </w:rPr>
        <w:t>או</w:t>
      </w:r>
      <w:r w:rsidRPr="008E0586">
        <w:rPr>
          <w:rFonts w:ascii="Century" w:hAnsi="Century"/>
          <w:sz w:val="22"/>
          <w:rtl/>
        </w:rPr>
        <w:t xml:space="preserve"> </w:t>
      </w:r>
      <w:r w:rsidRPr="008E0586">
        <w:rPr>
          <w:rFonts w:ascii="Century" w:hAnsi="Century" w:hint="eastAsia"/>
          <w:sz w:val="22"/>
          <w:rtl/>
        </w:rPr>
        <w:t>ביטולם</w:t>
      </w:r>
      <w:r w:rsidRPr="008E0586">
        <w:rPr>
          <w:rFonts w:ascii="Century" w:hAnsi="Century"/>
          <w:sz w:val="22"/>
          <w:rtl/>
        </w:rPr>
        <w:t>"</w:t>
      </w:r>
      <w:r w:rsidRPr="00C66B06">
        <w:rPr>
          <w:rtl/>
        </w:rPr>
        <w:t xml:space="preserve"> </w:t>
      </w:r>
      <w:r w:rsidRPr="00281216">
        <w:rPr>
          <w:rtl/>
        </w:rPr>
        <w:t>(</w:t>
      </w:r>
      <w:r w:rsidRPr="00281216">
        <w:rPr>
          <w:rFonts w:hint="eastAsia"/>
          <w:rtl/>
        </w:rPr>
        <w:t>ראו</w:t>
      </w:r>
      <w:r w:rsidRPr="00281216">
        <w:rPr>
          <w:rtl/>
        </w:rPr>
        <w:t xml:space="preserve">: </w:t>
      </w:r>
      <w:r w:rsidRPr="006C4238">
        <w:rPr>
          <w:rFonts w:ascii="Century" w:hAnsi="Century" w:hint="eastAsia"/>
          <w:rtl/>
        </w:rPr>
        <w:t>בג</w:t>
      </w:r>
      <w:r w:rsidRPr="006C4238">
        <w:rPr>
          <w:rFonts w:ascii="Century" w:hAnsi="Century"/>
          <w:rtl/>
        </w:rPr>
        <w:t>"</w:t>
      </w:r>
      <w:r w:rsidRPr="006C4238">
        <w:rPr>
          <w:rFonts w:ascii="Century" w:hAnsi="Century" w:hint="eastAsia"/>
          <w:rtl/>
        </w:rPr>
        <w:t>ץ</w:t>
      </w:r>
      <w:r w:rsidRPr="006C4238">
        <w:rPr>
          <w:rFonts w:ascii="Century" w:hAnsi="Century"/>
          <w:rtl/>
        </w:rPr>
        <w:t xml:space="preserve"> 10/48 </w:t>
      </w:r>
      <w:r w:rsidRPr="006C4238">
        <w:rPr>
          <w:rFonts w:ascii="Century" w:hAnsi="Century" w:cs="Miriam" w:hint="eastAsia"/>
          <w:b/>
          <w:spacing w:val="0"/>
          <w:szCs w:val="24"/>
          <w:rtl/>
        </w:rPr>
        <w:t>זיו</w:t>
      </w:r>
      <w:r w:rsidRPr="006C4238">
        <w:rPr>
          <w:rFonts w:ascii="Century" w:hAnsi="Century" w:cs="Miriam"/>
          <w:b/>
          <w:spacing w:val="0"/>
          <w:szCs w:val="24"/>
          <w:rtl/>
        </w:rPr>
        <w:t xml:space="preserve"> </w:t>
      </w:r>
      <w:r w:rsidRPr="006C4238">
        <w:rPr>
          <w:rFonts w:ascii="Century" w:hAnsi="Century" w:cs="Miriam" w:hint="eastAsia"/>
          <w:b/>
          <w:spacing w:val="0"/>
          <w:szCs w:val="24"/>
          <w:rtl/>
        </w:rPr>
        <w:t>נ</w:t>
      </w:r>
      <w:r w:rsidRPr="006C4238">
        <w:rPr>
          <w:rFonts w:ascii="Century" w:hAnsi="Century" w:cs="Miriam"/>
          <w:b/>
          <w:spacing w:val="0"/>
          <w:szCs w:val="24"/>
          <w:rtl/>
        </w:rPr>
        <w:t xml:space="preserve">' </w:t>
      </w:r>
      <w:r w:rsidRPr="006C4238">
        <w:rPr>
          <w:rFonts w:ascii="Century" w:hAnsi="Century" w:cs="Miriam" w:hint="eastAsia"/>
          <w:b/>
          <w:spacing w:val="0"/>
          <w:szCs w:val="24"/>
          <w:rtl/>
        </w:rPr>
        <w:t>הממונה</w:t>
      </w:r>
      <w:r w:rsidRPr="006C4238">
        <w:rPr>
          <w:rFonts w:ascii="Century" w:hAnsi="Century" w:cs="Miriam"/>
          <w:b/>
          <w:spacing w:val="0"/>
          <w:szCs w:val="24"/>
          <w:rtl/>
        </w:rPr>
        <w:t xml:space="preserve"> </w:t>
      </w:r>
      <w:r w:rsidRPr="006C4238">
        <w:rPr>
          <w:rFonts w:ascii="Century" w:hAnsi="Century" w:cs="Miriam" w:hint="eastAsia"/>
          <w:b/>
          <w:spacing w:val="0"/>
          <w:szCs w:val="24"/>
          <w:rtl/>
        </w:rPr>
        <w:t>בפועל</w:t>
      </w:r>
      <w:r w:rsidRPr="006C4238">
        <w:rPr>
          <w:rFonts w:ascii="Century" w:hAnsi="Century" w:cs="Miriam"/>
          <w:b/>
          <w:spacing w:val="0"/>
          <w:szCs w:val="24"/>
          <w:rtl/>
        </w:rPr>
        <w:t xml:space="preserve"> </w:t>
      </w:r>
      <w:r w:rsidRPr="006C4238">
        <w:rPr>
          <w:rFonts w:ascii="Century" w:hAnsi="Century" w:cs="Miriam" w:hint="eastAsia"/>
          <w:b/>
          <w:spacing w:val="0"/>
          <w:szCs w:val="24"/>
          <w:rtl/>
        </w:rPr>
        <w:t>על</w:t>
      </w:r>
      <w:r w:rsidRPr="006C4238">
        <w:rPr>
          <w:rFonts w:ascii="Century" w:hAnsi="Century" w:cs="Miriam"/>
          <w:b/>
          <w:spacing w:val="0"/>
          <w:szCs w:val="24"/>
          <w:rtl/>
        </w:rPr>
        <w:t xml:space="preserve"> </w:t>
      </w:r>
      <w:r w:rsidRPr="006C4238">
        <w:rPr>
          <w:rFonts w:ascii="Century" w:hAnsi="Century" w:cs="Miriam" w:hint="eastAsia"/>
          <w:b/>
          <w:spacing w:val="0"/>
          <w:szCs w:val="24"/>
          <w:rtl/>
        </w:rPr>
        <w:t>האזור</w:t>
      </w:r>
      <w:r w:rsidRPr="006C4238">
        <w:rPr>
          <w:rFonts w:ascii="Century" w:hAnsi="Century" w:cs="Miriam"/>
          <w:b/>
          <w:spacing w:val="0"/>
          <w:szCs w:val="24"/>
          <w:rtl/>
        </w:rPr>
        <w:t xml:space="preserve"> </w:t>
      </w:r>
      <w:r w:rsidRPr="006C4238">
        <w:rPr>
          <w:rFonts w:ascii="Century" w:hAnsi="Century" w:cs="Miriam" w:hint="eastAsia"/>
          <w:b/>
          <w:spacing w:val="0"/>
          <w:szCs w:val="24"/>
          <w:rtl/>
        </w:rPr>
        <w:t>העירוני</w:t>
      </w:r>
      <w:r w:rsidRPr="006C4238">
        <w:rPr>
          <w:rFonts w:ascii="Century" w:hAnsi="Century" w:cs="Miriam"/>
          <w:b/>
          <w:spacing w:val="0"/>
          <w:szCs w:val="24"/>
          <w:rtl/>
        </w:rPr>
        <w:t xml:space="preserve"> </w:t>
      </w:r>
      <w:r w:rsidRPr="006C4238">
        <w:rPr>
          <w:rFonts w:ascii="Century" w:hAnsi="Century" w:cs="Miriam" w:hint="eastAsia"/>
          <w:b/>
          <w:spacing w:val="0"/>
          <w:szCs w:val="24"/>
          <w:rtl/>
        </w:rPr>
        <w:t>תל</w:t>
      </w:r>
      <w:r w:rsidRPr="006C4238">
        <w:rPr>
          <w:rFonts w:ascii="Century" w:hAnsi="Century" w:cs="Miriam"/>
          <w:b/>
          <w:spacing w:val="0"/>
          <w:szCs w:val="24"/>
          <w:rtl/>
        </w:rPr>
        <w:t>-</w:t>
      </w:r>
      <w:r w:rsidRPr="006C4238">
        <w:rPr>
          <w:rFonts w:ascii="Century" w:hAnsi="Century" w:cs="Miriam" w:hint="eastAsia"/>
          <w:b/>
          <w:spacing w:val="0"/>
          <w:szCs w:val="24"/>
          <w:rtl/>
        </w:rPr>
        <w:t>אביב</w:t>
      </w:r>
      <w:r w:rsidRPr="006C4238">
        <w:rPr>
          <w:rFonts w:ascii="Century" w:hAnsi="Century"/>
          <w:rtl/>
        </w:rPr>
        <w:t xml:space="preserve">, </w:t>
      </w:r>
      <w:r w:rsidRPr="006C4238">
        <w:rPr>
          <w:rFonts w:ascii="Century" w:hAnsi="Century" w:hint="eastAsia"/>
          <w:rtl/>
        </w:rPr>
        <w:t>פ</w:t>
      </w:r>
      <w:r w:rsidRPr="006C4238">
        <w:rPr>
          <w:rFonts w:ascii="Century" w:hAnsi="Century"/>
          <w:rtl/>
        </w:rPr>
        <w:t>"</w:t>
      </w:r>
      <w:r w:rsidRPr="006C4238">
        <w:rPr>
          <w:rFonts w:ascii="Century" w:hAnsi="Century" w:hint="eastAsia"/>
          <w:rtl/>
        </w:rPr>
        <w:t>ד</w:t>
      </w:r>
      <w:r w:rsidRPr="006C4238">
        <w:rPr>
          <w:rFonts w:ascii="Century" w:hAnsi="Century"/>
          <w:rtl/>
        </w:rPr>
        <w:t xml:space="preserve"> </w:t>
      </w:r>
      <w:r w:rsidRPr="006C4238">
        <w:rPr>
          <w:rFonts w:ascii="Century" w:hAnsi="Century" w:hint="eastAsia"/>
          <w:rtl/>
        </w:rPr>
        <w:t>א</w:t>
      </w:r>
      <w:r w:rsidRPr="006C4238">
        <w:rPr>
          <w:rFonts w:ascii="Century" w:hAnsi="Century"/>
          <w:rtl/>
        </w:rPr>
        <w:t xml:space="preserve"> 85, 90 (1948)</w:t>
      </w:r>
      <w:r>
        <w:rPr>
          <w:rFonts w:ascii="Century" w:hAnsi="Century" w:hint="cs"/>
          <w:rtl/>
        </w:rPr>
        <w:t xml:space="preserve"> </w:t>
      </w:r>
      <w:r>
        <w:rPr>
          <w:rFonts w:ascii="Century" w:hAnsi="Century"/>
          <w:rtl/>
        </w:rPr>
        <w:t>–</w:t>
      </w:r>
      <w:r>
        <w:rPr>
          <w:rFonts w:ascii="Century" w:hAnsi="Century" w:hint="cs"/>
          <w:rtl/>
        </w:rPr>
        <w:t xml:space="preserve"> פסק הדין הידוע בשם </w:t>
      </w:r>
      <w:r w:rsidRPr="00031CF9">
        <w:rPr>
          <w:rFonts w:ascii="Century" w:hAnsi="Century" w:cs="Miriam" w:hint="cs"/>
          <w:b/>
          <w:spacing w:val="0"/>
          <w:sz w:val="22"/>
          <w:szCs w:val="24"/>
          <w:rtl/>
        </w:rPr>
        <w:t>זיו נ' גוברניק</w:t>
      </w:r>
      <w:r>
        <w:rPr>
          <w:rFonts w:ascii="Century" w:hAnsi="Century" w:hint="cs"/>
          <w:rtl/>
        </w:rPr>
        <w:t>; וכך הוא ייקרא להלן</w:t>
      </w:r>
      <w:r w:rsidRPr="006C4238">
        <w:rPr>
          <w:rFonts w:ascii="Century" w:hAnsi="Century"/>
          <w:rtl/>
        </w:rPr>
        <w:t xml:space="preserve">); </w:t>
      </w:r>
      <w:r w:rsidRPr="008E0586">
        <w:rPr>
          <w:rFonts w:ascii="Century" w:hAnsi="Century" w:hint="eastAsia"/>
          <w:sz w:val="22"/>
          <w:rtl/>
        </w:rPr>
        <w:t>וכי</w:t>
      </w:r>
      <w:r w:rsidRPr="008E0586">
        <w:rPr>
          <w:rFonts w:ascii="Century" w:hAnsi="Century"/>
          <w:sz w:val="22"/>
          <w:rtl/>
        </w:rPr>
        <w:t xml:space="preserve"> </w:t>
      </w:r>
      <w:r w:rsidRPr="008E0586">
        <w:rPr>
          <w:rFonts w:ascii="Century" w:hAnsi="Century" w:hint="eastAsia"/>
          <w:sz w:val="22"/>
          <w:rtl/>
        </w:rPr>
        <w:t>ההכרזה</w:t>
      </w:r>
      <w:r w:rsidRPr="008E0586">
        <w:rPr>
          <w:rFonts w:ascii="Century" w:hAnsi="Century"/>
          <w:sz w:val="22"/>
          <w:rtl/>
        </w:rPr>
        <w:t xml:space="preserve"> </w:t>
      </w:r>
      <w:r w:rsidRPr="008E0586">
        <w:rPr>
          <w:rFonts w:ascii="Century" w:hAnsi="Century" w:hint="eastAsia"/>
          <w:sz w:val="22"/>
          <w:rtl/>
        </w:rPr>
        <w:t>מהווה</w:t>
      </w:r>
      <w:r w:rsidRPr="008E0586">
        <w:rPr>
          <w:rFonts w:ascii="Century" w:hAnsi="Century"/>
          <w:sz w:val="22"/>
          <w:rtl/>
        </w:rPr>
        <w:t xml:space="preserve"> </w:t>
      </w:r>
      <w:r w:rsidRPr="008E0586">
        <w:rPr>
          <w:rFonts w:ascii="Century" w:hAnsi="Century" w:hint="eastAsia"/>
          <w:sz w:val="22"/>
          <w:rtl/>
        </w:rPr>
        <w:t>בסיס</w:t>
      </w:r>
      <w:r w:rsidRPr="008E0586">
        <w:rPr>
          <w:rFonts w:ascii="Century" w:hAnsi="Century"/>
          <w:sz w:val="22"/>
          <w:rtl/>
        </w:rPr>
        <w:t xml:space="preserve"> </w:t>
      </w:r>
      <w:r w:rsidRPr="008E0586">
        <w:rPr>
          <w:rFonts w:ascii="Century" w:hAnsi="Century" w:hint="eastAsia"/>
          <w:sz w:val="22"/>
          <w:rtl/>
        </w:rPr>
        <w:t>לפרשנותם</w:t>
      </w:r>
      <w:r w:rsidRPr="008E0586">
        <w:rPr>
          <w:rFonts w:ascii="Century" w:hAnsi="Century"/>
          <w:sz w:val="22"/>
          <w:rtl/>
        </w:rPr>
        <w:t xml:space="preserve"> </w:t>
      </w:r>
      <w:r w:rsidRPr="008E0586">
        <w:rPr>
          <w:rFonts w:ascii="Century" w:hAnsi="Century" w:hint="eastAsia"/>
          <w:sz w:val="22"/>
          <w:rtl/>
        </w:rPr>
        <w:t>של</w:t>
      </w:r>
      <w:r w:rsidRPr="008E0586">
        <w:rPr>
          <w:rFonts w:ascii="Century" w:hAnsi="Century"/>
          <w:sz w:val="22"/>
          <w:rtl/>
        </w:rPr>
        <w:t xml:space="preserve"> </w:t>
      </w:r>
      <w:r w:rsidRPr="008E0586">
        <w:rPr>
          <w:rFonts w:ascii="Century" w:hAnsi="Century" w:hint="eastAsia"/>
          <w:sz w:val="22"/>
          <w:rtl/>
        </w:rPr>
        <w:t>דברי</w:t>
      </w:r>
      <w:r w:rsidRPr="008E0586">
        <w:rPr>
          <w:rFonts w:ascii="Century" w:hAnsi="Century"/>
          <w:sz w:val="22"/>
          <w:rtl/>
        </w:rPr>
        <w:t xml:space="preserve"> </w:t>
      </w:r>
      <w:r w:rsidRPr="008E0586">
        <w:rPr>
          <w:rFonts w:ascii="Century" w:hAnsi="Century" w:hint="eastAsia"/>
          <w:sz w:val="22"/>
          <w:rtl/>
        </w:rPr>
        <w:t>חקיקה</w:t>
      </w:r>
      <w:r w:rsidRPr="008E0586">
        <w:rPr>
          <w:rFonts w:ascii="Century" w:hAnsi="Century"/>
          <w:sz w:val="22"/>
          <w:rtl/>
        </w:rPr>
        <w:t xml:space="preserve"> </w:t>
      </w:r>
      <w:r w:rsidRPr="008E0586">
        <w:rPr>
          <w:rFonts w:ascii="Century" w:hAnsi="Century" w:hint="eastAsia"/>
          <w:sz w:val="22"/>
          <w:rtl/>
        </w:rPr>
        <w:t>שטעונים</w:t>
      </w:r>
      <w:r w:rsidRPr="008E0586">
        <w:rPr>
          <w:rFonts w:ascii="Century" w:hAnsi="Century"/>
          <w:sz w:val="22"/>
          <w:rtl/>
        </w:rPr>
        <w:t xml:space="preserve"> </w:t>
      </w:r>
      <w:r w:rsidRPr="008E0586">
        <w:rPr>
          <w:rFonts w:ascii="Century" w:hAnsi="Century" w:hint="eastAsia"/>
          <w:sz w:val="22"/>
          <w:rtl/>
        </w:rPr>
        <w:t>פירוש</w:t>
      </w:r>
      <w:r w:rsidRPr="008E0586">
        <w:rPr>
          <w:rFonts w:ascii="Century" w:hAnsi="Century"/>
          <w:sz w:val="22"/>
          <w:rtl/>
        </w:rPr>
        <w:t xml:space="preserve">, </w:t>
      </w:r>
      <w:r w:rsidRPr="008E0586">
        <w:rPr>
          <w:rFonts w:ascii="Century" w:hAnsi="Century" w:hint="eastAsia"/>
          <w:sz w:val="22"/>
          <w:rtl/>
        </w:rPr>
        <w:t>ותו</w:t>
      </w:r>
      <w:r w:rsidRPr="008E0586">
        <w:rPr>
          <w:rFonts w:ascii="Century" w:hAnsi="Century"/>
          <w:sz w:val="22"/>
          <w:rtl/>
        </w:rPr>
        <w:t xml:space="preserve"> </w:t>
      </w:r>
      <w:r w:rsidRPr="008E0586">
        <w:rPr>
          <w:rFonts w:ascii="Century" w:hAnsi="Century" w:hint="eastAsia"/>
          <w:sz w:val="22"/>
          <w:rtl/>
        </w:rPr>
        <w:t>לא</w:t>
      </w:r>
      <w:r w:rsidRPr="006C4238">
        <w:rPr>
          <w:rFonts w:ascii="Century" w:hAnsi="Century"/>
          <w:rtl/>
        </w:rPr>
        <w:t xml:space="preserve"> (</w:t>
      </w:r>
      <w:r w:rsidRPr="006C4238">
        <w:rPr>
          <w:rFonts w:ascii="Century" w:hAnsi="Century" w:hint="eastAsia"/>
          <w:rtl/>
        </w:rPr>
        <w:t>ראו</w:t>
      </w:r>
      <w:r w:rsidRPr="006C4238">
        <w:rPr>
          <w:rFonts w:ascii="Century" w:hAnsi="Century"/>
          <w:rtl/>
        </w:rPr>
        <w:t xml:space="preserve">: </w:t>
      </w:r>
      <w:r w:rsidRPr="006C4238">
        <w:rPr>
          <w:rFonts w:ascii="Century" w:hAnsi="Century" w:hint="eastAsia"/>
          <w:rtl/>
        </w:rPr>
        <w:t>בג</w:t>
      </w:r>
      <w:r w:rsidRPr="006C4238">
        <w:rPr>
          <w:rFonts w:ascii="Century" w:hAnsi="Century"/>
          <w:rtl/>
        </w:rPr>
        <w:t>"</w:t>
      </w:r>
      <w:r w:rsidRPr="006C4238">
        <w:rPr>
          <w:rFonts w:ascii="Century" w:hAnsi="Century" w:hint="eastAsia"/>
          <w:rtl/>
        </w:rPr>
        <w:t>ץ</w:t>
      </w:r>
      <w:r w:rsidRPr="006C4238">
        <w:rPr>
          <w:rFonts w:ascii="Century" w:hAnsi="Century"/>
          <w:rtl/>
        </w:rPr>
        <w:t xml:space="preserve"> 73/53 </w:t>
      </w:r>
      <w:r w:rsidRPr="006C4238">
        <w:rPr>
          <w:rFonts w:ascii="Century" w:hAnsi="Century" w:cs="Miriam" w:hint="eastAsia"/>
          <w:b/>
          <w:spacing w:val="0"/>
          <w:szCs w:val="24"/>
          <w:rtl/>
        </w:rPr>
        <w:t>חברת</w:t>
      </w:r>
      <w:r w:rsidRPr="006C4238">
        <w:rPr>
          <w:rFonts w:ascii="Century" w:hAnsi="Century" w:cs="Miriam"/>
          <w:b/>
          <w:spacing w:val="0"/>
          <w:szCs w:val="24"/>
          <w:rtl/>
        </w:rPr>
        <w:t xml:space="preserve"> "</w:t>
      </w:r>
      <w:r w:rsidRPr="006C4238">
        <w:rPr>
          <w:rFonts w:ascii="Century" w:hAnsi="Century" w:cs="Miriam" w:hint="eastAsia"/>
          <w:b/>
          <w:spacing w:val="0"/>
          <w:szCs w:val="24"/>
          <w:rtl/>
        </w:rPr>
        <w:t>קול</w:t>
      </w:r>
      <w:r w:rsidRPr="006C4238">
        <w:rPr>
          <w:rFonts w:ascii="Century" w:hAnsi="Century" w:cs="Miriam"/>
          <w:b/>
          <w:spacing w:val="0"/>
          <w:szCs w:val="24"/>
          <w:rtl/>
        </w:rPr>
        <w:t xml:space="preserve"> </w:t>
      </w:r>
      <w:r w:rsidRPr="006C4238">
        <w:rPr>
          <w:rFonts w:ascii="Century" w:hAnsi="Century" w:cs="Miriam" w:hint="eastAsia"/>
          <w:b/>
          <w:spacing w:val="0"/>
          <w:szCs w:val="24"/>
          <w:rtl/>
        </w:rPr>
        <w:t>העם</w:t>
      </w:r>
      <w:r w:rsidRPr="006C4238">
        <w:rPr>
          <w:rFonts w:ascii="Century" w:hAnsi="Century" w:cs="Miriam"/>
          <w:b/>
          <w:spacing w:val="0"/>
          <w:szCs w:val="24"/>
          <w:rtl/>
        </w:rPr>
        <w:t xml:space="preserve">" </w:t>
      </w:r>
      <w:r w:rsidRPr="006C4238">
        <w:rPr>
          <w:rFonts w:ascii="Century" w:hAnsi="Century" w:cs="Miriam" w:hint="eastAsia"/>
          <w:b/>
          <w:spacing w:val="0"/>
          <w:szCs w:val="24"/>
          <w:rtl/>
        </w:rPr>
        <w:t>בע</w:t>
      </w:r>
      <w:r w:rsidRPr="006C4238">
        <w:rPr>
          <w:rFonts w:ascii="Century" w:hAnsi="Century" w:cs="Miriam"/>
          <w:b/>
          <w:spacing w:val="0"/>
          <w:szCs w:val="24"/>
          <w:rtl/>
        </w:rPr>
        <w:t>"</w:t>
      </w:r>
      <w:r w:rsidRPr="006C4238">
        <w:rPr>
          <w:rFonts w:ascii="Century" w:hAnsi="Century" w:cs="Miriam" w:hint="eastAsia"/>
          <w:b/>
          <w:spacing w:val="0"/>
          <w:szCs w:val="24"/>
          <w:rtl/>
        </w:rPr>
        <w:t>מ</w:t>
      </w:r>
      <w:r w:rsidRPr="006C4238">
        <w:rPr>
          <w:rFonts w:ascii="Century" w:hAnsi="Century" w:cs="Miriam"/>
          <w:b/>
          <w:spacing w:val="0"/>
          <w:szCs w:val="24"/>
          <w:rtl/>
        </w:rPr>
        <w:t xml:space="preserve"> </w:t>
      </w:r>
      <w:r w:rsidRPr="006C4238">
        <w:rPr>
          <w:rFonts w:ascii="Century" w:hAnsi="Century" w:cs="Miriam" w:hint="eastAsia"/>
          <w:b/>
          <w:spacing w:val="0"/>
          <w:szCs w:val="24"/>
          <w:rtl/>
        </w:rPr>
        <w:t>נ</w:t>
      </w:r>
      <w:r w:rsidRPr="006C4238">
        <w:rPr>
          <w:rFonts w:ascii="Century" w:hAnsi="Century" w:cs="Miriam"/>
          <w:b/>
          <w:spacing w:val="0"/>
          <w:szCs w:val="24"/>
          <w:rtl/>
        </w:rPr>
        <w:t xml:space="preserve">' </w:t>
      </w:r>
      <w:r w:rsidRPr="006C4238">
        <w:rPr>
          <w:rFonts w:ascii="Century" w:hAnsi="Century" w:cs="Miriam" w:hint="eastAsia"/>
          <w:b/>
          <w:spacing w:val="0"/>
          <w:szCs w:val="24"/>
          <w:rtl/>
        </w:rPr>
        <w:t>שר</w:t>
      </w:r>
      <w:r w:rsidRPr="006C4238">
        <w:rPr>
          <w:rFonts w:ascii="Century" w:hAnsi="Century" w:cs="Miriam"/>
          <w:b/>
          <w:spacing w:val="0"/>
          <w:szCs w:val="24"/>
          <w:rtl/>
        </w:rPr>
        <w:t xml:space="preserve"> </w:t>
      </w:r>
      <w:r w:rsidRPr="006C4238">
        <w:rPr>
          <w:rFonts w:ascii="Century" w:hAnsi="Century" w:cs="Miriam" w:hint="eastAsia"/>
          <w:b/>
          <w:spacing w:val="0"/>
          <w:szCs w:val="24"/>
          <w:rtl/>
        </w:rPr>
        <w:t>הפנים</w:t>
      </w:r>
      <w:r w:rsidRPr="006C4238">
        <w:rPr>
          <w:sz w:val="26"/>
          <w:rtl/>
        </w:rPr>
        <w:t xml:space="preserve">, </w:t>
      </w:r>
      <w:r w:rsidRPr="006C4238">
        <w:rPr>
          <w:rFonts w:hint="eastAsia"/>
          <w:sz w:val="26"/>
          <w:rtl/>
        </w:rPr>
        <w:t>פ</w:t>
      </w:r>
      <w:r w:rsidRPr="006C4238">
        <w:rPr>
          <w:sz w:val="26"/>
          <w:rtl/>
        </w:rPr>
        <w:t>"</w:t>
      </w:r>
      <w:r w:rsidRPr="006C4238">
        <w:rPr>
          <w:rFonts w:hint="eastAsia"/>
          <w:sz w:val="26"/>
          <w:rtl/>
        </w:rPr>
        <w:t>ד</w:t>
      </w:r>
      <w:r w:rsidRPr="006C4238">
        <w:rPr>
          <w:sz w:val="26"/>
          <w:rtl/>
        </w:rPr>
        <w:t xml:space="preserve"> </w:t>
      </w:r>
      <w:r w:rsidRPr="006C4238">
        <w:rPr>
          <w:rFonts w:hint="eastAsia"/>
          <w:sz w:val="26"/>
          <w:rtl/>
        </w:rPr>
        <w:t>ז</w:t>
      </w:r>
      <w:r w:rsidRPr="006C4238">
        <w:rPr>
          <w:sz w:val="26"/>
          <w:rtl/>
        </w:rPr>
        <w:t xml:space="preserve"> 871, 885 (1953)</w:t>
      </w:r>
      <w:r w:rsidRPr="00281216">
        <w:rPr>
          <w:rtl/>
        </w:rPr>
        <w:t xml:space="preserve">; </w:t>
      </w:r>
      <w:r w:rsidRPr="00281216">
        <w:rPr>
          <w:rFonts w:hint="eastAsia"/>
          <w:rtl/>
        </w:rPr>
        <w:t>בג</w:t>
      </w:r>
      <w:r w:rsidRPr="00281216">
        <w:rPr>
          <w:rtl/>
        </w:rPr>
        <w:t>"</w:t>
      </w:r>
      <w:r w:rsidRPr="00281216">
        <w:rPr>
          <w:rFonts w:hint="eastAsia"/>
          <w:rtl/>
        </w:rPr>
        <w:t>ץ</w:t>
      </w:r>
      <w:r w:rsidRPr="00281216">
        <w:rPr>
          <w:rtl/>
        </w:rPr>
        <w:t xml:space="preserve"> 450/70 </w:t>
      </w:r>
      <w:r w:rsidRPr="006C4238">
        <w:rPr>
          <w:rFonts w:cs="Miriam" w:hint="eastAsia"/>
          <w:b/>
          <w:spacing w:val="0"/>
          <w:szCs w:val="24"/>
          <w:rtl/>
        </w:rPr>
        <w:t>רוגוזינסקי</w:t>
      </w:r>
      <w:r w:rsidRPr="006C4238">
        <w:rPr>
          <w:rFonts w:cs="Miriam"/>
          <w:b/>
          <w:spacing w:val="0"/>
          <w:szCs w:val="24"/>
          <w:rtl/>
        </w:rPr>
        <w:t xml:space="preserve"> </w:t>
      </w:r>
      <w:r w:rsidRPr="006C4238">
        <w:rPr>
          <w:rFonts w:cs="Miriam" w:hint="eastAsia"/>
          <w:b/>
          <w:spacing w:val="0"/>
          <w:szCs w:val="24"/>
          <w:rtl/>
        </w:rPr>
        <w:t>נ</w:t>
      </w:r>
      <w:r w:rsidRPr="006C4238">
        <w:rPr>
          <w:rFonts w:cs="Miriam"/>
          <w:b/>
          <w:spacing w:val="0"/>
          <w:szCs w:val="24"/>
          <w:rtl/>
        </w:rPr>
        <w:t xml:space="preserve">' </w:t>
      </w:r>
      <w:r w:rsidRPr="006C4238">
        <w:rPr>
          <w:rFonts w:cs="Miriam" w:hint="eastAsia"/>
          <w:b/>
          <w:spacing w:val="0"/>
          <w:szCs w:val="24"/>
          <w:rtl/>
        </w:rPr>
        <w:t>מדינת</w:t>
      </w:r>
      <w:r w:rsidRPr="006C4238">
        <w:rPr>
          <w:rFonts w:cs="Miriam"/>
          <w:b/>
          <w:spacing w:val="0"/>
          <w:szCs w:val="24"/>
          <w:rtl/>
        </w:rPr>
        <w:t xml:space="preserve"> </w:t>
      </w:r>
      <w:r w:rsidRPr="006C4238">
        <w:rPr>
          <w:rFonts w:cs="Miriam" w:hint="eastAsia"/>
          <w:b/>
          <w:spacing w:val="0"/>
          <w:szCs w:val="24"/>
          <w:rtl/>
        </w:rPr>
        <w:t>ישראל</w:t>
      </w:r>
      <w:r w:rsidRPr="00281216">
        <w:rPr>
          <w:rtl/>
        </w:rPr>
        <w:t xml:space="preserve">, </w:t>
      </w:r>
      <w:r w:rsidRPr="00281216">
        <w:rPr>
          <w:rFonts w:hint="eastAsia"/>
          <w:rtl/>
        </w:rPr>
        <w:t>פ</w:t>
      </w:r>
      <w:r w:rsidRPr="00281216">
        <w:rPr>
          <w:rtl/>
        </w:rPr>
        <w:t>"</w:t>
      </w:r>
      <w:r w:rsidRPr="00281216">
        <w:rPr>
          <w:rFonts w:hint="eastAsia"/>
          <w:rtl/>
        </w:rPr>
        <w:t>ד</w:t>
      </w:r>
      <w:r w:rsidRPr="00281216">
        <w:rPr>
          <w:rtl/>
        </w:rPr>
        <w:t xml:space="preserve"> </w:t>
      </w:r>
      <w:r w:rsidRPr="00281216">
        <w:rPr>
          <w:rFonts w:hint="eastAsia"/>
          <w:rtl/>
        </w:rPr>
        <w:t>כו</w:t>
      </w:r>
      <w:r w:rsidRPr="00281216">
        <w:rPr>
          <w:rtl/>
        </w:rPr>
        <w:t xml:space="preserve">(1) 129, 136 (1971)). </w:t>
      </w:r>
    </w:p>
    <w:p w:rsidR="0047626A" w:rsidRPr="00281216" w:rsidRDefault="0047626A" w:rsidP="0047626A">
      <w:pPr>
        <w:pStyle w:val="Ruller4"/>
        <w:numPr>
          <w:ilvl w:val="0"/>
          <w:numId w:val="0"/>
        </w:numPr>
      </w:pPr>
    </w:p>
    <w:p w:rsidR="0047626A" w:rsidRPr="00281216" w:rsidRDefault="0047626A" w:rsidP="0047626A">
      <w:pPr>
        <w:pStyle w:val="Ruller4"/>
        <w:rPr>
          <w:rFonts w:ascii="FrankRuehl" w:hAnsi="FrankRuehl"/>
          <w:color w:val="222222"/>
          <w:spacing w:val="0"/>
          <w:sz w:val="28"/>
        </w:rPr>
      </w:pPr>
      <w:r w:rsidRPr="008E0586">
        <w:rPr>
          <w:rFonts w:ascii="Century" w:hAnsi="Century" w:hint="eastAsia"/>
          <w:sz w:val="22"/>
          <w:rtl/>
        </w:rPr>
        <w:t>כמו</w:t>
      </w:r>
      <w:r w:rsidRPr="008E0586">
        <w:rPr>
          <w:rFonts w:ascii="Century" w:hAnsi="Century"/>
          <w:sz w:val="22"/>
          <w:rtl/>
        </w:rPr>
        <w:t xml:space="preserve"> </w:t>
      </w:r>
      <w:r w:rsidRPr="008E0586">
        <w:rPr>
          <w:rFonts w:ascii="Century" w:hAnsi="Century" w:hint="eastAsia"/>
          <w:sz w:val="22"/>
          <w:rtl/>
        </w:rPr>
        <w:t>כן</w:t>
      </w:r>
      <w:r w:rsidRPr="008E0586">
        <w:rPr>
          <w:rFonts w:ascii="Century" w:hAnsi="Century"/>
          <w:sz w:val="22"/>
          <w:rtl/>
        </w:rPr>
        <w:t xml:space="preserve">, </w:t>
      </w:r>
      <w:r w:rsidRPr="008E0586">
        <w:rPr>
          <w:rFonts w:ascii="Century" w:hAnsi="Century" w:hint="eastAsia"/>
          <w:sz w:val="22"/>
          <w:rtl/>
        </w:rPr>
        <w:t>נקבע</w:t>
      </w:r>
      <w:r w:rsidRPr="008E0586">
        <w:rPr>
          <w:rFonts w:ascii="Century" w:hAnsi="Century"/>
          <w:sz w:val="22"/>
          <w:rtl/>
        </w:rPr>
        <w:t xml:space="preserve"> </w:t>
      </w:r>
      <w:r w:rsidRPr="008E0586">
        <w:rPr>
          <w:rFonts w:ascii="Century" w:hAnsi="Century" w:hint="eastAsia"/>
          <w:sz w:val="22"/>
          <w:rtl/>
        </w:rPr>
        <w:t>אמנם</w:t>
      </w:r>
      <w:r w:rsidRPr="008E0586">
        <w:rPr>
          <w:rFonts w:ascii="Century" w:hAnsi="Century"/>
          <w:sz w:val="22"/>
          <w:rtl/>
        </w:rPr>
        <w:t xml:space="preserve"> </w:t>
      </w:r>
      <w:r w:rsidRPr="008E0586">
        <w:rPr>
          <w:rFonts w:ascii="Century" w:hAnsi="Century" w:hint="eastAsia"/>
          <w:sz w:val="22"/>
          <w:rtl/>
        </w:rPr>
        <w:t>כי</w:t>
      </w:r>
      <w:r w:rsidRPr="008E0586">
        <w:rPr>
          <w:rFonts w:ascii="Century" w:hAnsi="Century"/>
          <w:sz w:val="22"/>
          <w:rtl/>
        </w:rPr>
        <w:t xml:space="preserve"> </w:t>
      </w:r>
      <w:r w:rsidRPr="008E0586">
        <w:rPr>
          <w:rFonts w:ascii="Century" w:hAnsi="Century" w:hint="eastAsia"/>
          <w:sz w:val="22"/>
          <w:rtl/>
        </w:rPr>
        <w:t>אזכור</w:t>
      </w:r>
      <w:r w:rsidRPr="008E0586">
        <w:rPr>
          <w:rFonts w:ascii="Century" w:hAnsi="Century"/>
          <w:sz w:val="22"/>
          <w:rtl/>
        </w:rPr>
        <w:t xml:space="preserve"> </w:t>
      </w:r>
      <w:r w:rsidRPr="008E0586">
        <w:rPr>
          <w:rFonts w:ascii="Century" w:hAnsi="Century" w:hint="eastAsia"/>
          <w:sz w:val="22"/>
          <w:rtl/>
        </w:rPr>
        <w:t>ההכרזה</w:t>
      </w:r>
      <w:r w:rsidRPr="008E0586">
        <w:rPr>
          <w:rFonts w:ascii="Century" w:hAnsi="Century"/>
          <w:sz w:val="22"/>
          <w:rtl/>
        </w:rPr>
        <w:t xml:space="preserve"> </w:t>
      </w:r>
      <w:r w:rsidRPr="008E0586">
        <w:rPr>
          <w:rFonts w:ascii="Century" w:hAnsi="Century" w:hint="eastAsia"/>
          <w:sz w:val="22"/>
          <w:rtl/>
        </w:rPr>
        <w:t>בסעיף</w:t>
      </w:r>
      <w:r w:rsidRPr="008E0586">
        <w:rPr>
          <w:rFonts w:ascii="Century" w:hAnsi="Century"/>
          <w:sz w:val="22"/>
          <w:rtl/>
        </w:rPr>
        <w:t xml:space="preserve"> 1 </w:t>
      </w:r>
      <w:r w:rsidRPr="008E0586">
        <w:rPr>
          <w:rFonts w:ascii="Century" w:hAnsi="Century" w:hint="eastAsia"/>
          <w:sz w:val="22"/>
          <w:rtl/>
        </w:rPr>
        <w:t>לחוק</w:t>
      </w:r>
      <w:r w:rsidRPr="008E0586">
        <w:rPr>
          <w:rFonts w:ascii="Century" w:hAnsi="Century"/>
          <w:sz w:val="22"/>
          <w:rtl/>
        </w:rPr>
        <w:t>-</w:t>
      </w:r>
      <w:r w:rsidRPr="008E0586">
        <w:rPr>
          <w:rFonts w:ascii="Century" w:hAnsi="Century" w:hint="eastAsia"/>
          <w:sz w:val="22"/>
          <w:rtl/>
        </w:rPr>
        <w:t>יסוד</w:t>
      </w:r>
      <w:r w:rsidRPr="008E0586">
        <w:rPr>
          <w:rFonts w:ascii="Century" w:hAnsi="Century"/>
          <w:sz w:val="22"/>
          <w:rtl/>
        </w:rPr>
        <w:t xml:space="preserve">: </w:t>
      </w:r>
      <w:r w:rsidRPr="008E0586">
        <w:rPr>
          <w:rFonts w:ascii="Century" w:hAnsi="Century" w:hint="eastAsia"/>
          <w:sz w:val="22"/>
          <w:rtl/>
        </w:rPr>
        <w:t>כבוד</w:t>
      </w:r>
      <w:r w:rsidRPr="008E0586">
        <w:rPr>
          <w:rFonts w:ascii="Century" w:hAnsi="Century"/>
          <w:sz w:val="22"/>
          <w:rtl/>
        </w:rPr>
        <w:t xml:space="preserve"> </w:t>
      </w:r>
      <w:r w:rsidRPr="008E0586">
        <w:rPr>
          <w:rFonts w:ascii="Century" w:hAnsi="Century" w:hint="eastAsia"/>
          <w:sz w:val="22"/>
          <w:rtl/>
        </w:rPr>
        <w:t>האדם</w:t>
      </w:r>
      <w:r w:rsidRPr="008E0586">
        <w:rPr>
          <w:rFonts w:ascii="Century" w:hAnsi="Century"/>
          <w:sz w:val="22"/>
          <w:rtl/>
        </w:rPr>
        <w:t xml:space="preserve"> </w:t>
      </w:r>
      <w:r w:rsidRPr="008E0586">
        <w:rPr>
          <w:rFonts w:ascii="Century" w:hAnsi="Century" w:hint="eastAsia"/>
          <w:sz w:val="22"/>
          <w:rtl/>
        </w:rPr>
        <w:t>וחירותו</w:t>
      </w:r>
      <w:r w:rsidRPr="008E0586">
        <w:rPr>
          <w:rFonts w:ascii="Century" w:hAnsi="Century"/>
          <w:sz w:val="22"/>
          <w:rtl/>
        </w:rPr>
        <w:t xml:space="preserve"> </w:t>
      </w:r>
      <w:r w:rsidRPr="008E0586">
        <w:rPr>
          <w:rFonts w:ascii="Century" w:hAnsi="Century" w:hint="eastAsia"/>
          <w:sz w:val="22"/>
          <w:rtl/>
        </w:rPr>
        <w:t>מאפשר</w:t>
      </w:r>
      <w:r w:rsidRPr="008E0586">
        <w:rPr>
          <w:rFonts w:ascii="Century" w:hAnsi="Century"/>
          <w:sz w:val="22"/>
          <w:rtl/>
        </w:rPr>
        <w:t xml:space="preserve"> </w:t>
      </w:r>
      <w:r w:rsidRPr="008E0586">
        <w:rPr>
          <w:rFonts w:ascii="Century" w:hAnsi="Century" w:hint="eastAsia"/>
          <w:sz w:val="22"/>
          <w:rtl/>
        </w:rPr>
        <w:t>לראות</w:t>
      </w:r>
      <w:r w:rsidRPr="008E0586">
        <w:rPr>
          <w:rFonts w:ascii="Century" w:hAnsi="Century"/>
          <w:sz w:val="22"/>
          <w:rtl/>
        </w:rPr>
        <w:t xml:space="preserve"> </w:t>
      </w:r>
      <w:r w:rsidRPr="008E0586">
        <w:rPr>
          <w:rFonts w:ascii="Century" w:hAnsi="Century" w:hint="eastAsia"/>
          <w:sz w:val="22"/>
          <w:rtl/>
        </w:rPr>
        <w:t>בה</w:t>
      </w:r>
      <w:r w:rsidRPr="00281216">
        <w:rPr>
          <w:rtl/>
        </w:rPr>
        <w:t xml:space="preserve"> </w:t>
      </w:r>
      <w:r w:rsidRPr="00281216">
        <w:rPr>
          <w:rFonts w:ascii="Century" w:hAnsi="Century" w:cs="Miriam" w:hint="eastAsia"/>
          <w:b/>
          <w:spacing w:val="0"/>
          <w:sz w:val="22"/>
          <w:szCs w:val="24"/>
          <w:u w:val="single"/>
          <w:rtl/>
        </w:rPr>
        <w:t>מקור</w:t>
      </w:r>
      <w:r w:rsidRPr="00281216">
        <w:rPr>
          <w:rFonts w:ascii="Century" w:hAnsi="Century" w:cs="Miriam"/>
          <w:b/>
          <w:spacing w:val="0"/>
          <w:sz w:val="22"/>
          <w:szCs w:val="24"/>
          <w:u w:val="single"/>
          <w:rtl/>
        </w:rPr>
        <w:t xml:space="preserve"> </w:t>
      </w:r>
      <w:r w:rsidRPr="00281216">
        <w:rPr>
          <w:rFonts w:ascii="Century" w:hAnsi="Century" w:cs="Miriam" w:hint="eastAsia"/>
          <w:b/>
          <w:spacing w:val="0"/>
          <w:sz w:val="22"/>
          <w:szCs w:val="24"/>
          <w:u w:val="single"/>
          <w:rtl/>
        </w:rPr>
        <w:t>חוקתי</w:t>
      </w:r>
      <w:r w:rsidRPr="00281216">
        <w:rPr>
          <w:rFonts w:ascii="Century" w:hAnsi="Century" w:cs="Miriam"/>
          <w:b/>
          <w:spacing w:val="0"/>
          <w:sz w:val="22"/>
          <w:szCs w:val="24"/>
          <w:u w:val="single"/>
          <w:rtl/>
        </w:rPr>
        <w:t xml:space="preserve"> </w:t>
      </w:r>
      <w:r w:rsidRPr="00281216">
        <w:rPr>
          <w:rFonts w:ascii="Century" w:hAnsi="Century" w:cs="Miriam" w:hint="eastAsia"/>
          <w:b/>
          <w:spacing w:val="0"/>
          <w:sz w:val="22"/>
          <w:szCs w:val="24"/>
          <w:u w:val="single"/>
          <w:rtl/>
        </w:rPr>
        <w:t>עצמאי</w:t>
      </w:r>
      <w:r w:rsidRPr="00281216">
        <w:rPr>
          <w:rtl/>
        </w:rPr>
        <w:t xml:space="preserve"> </w:t>
      </w:r>
      <w:r w:rsidRPr="008E0586">
        <w:rPr>
          <w:rFonts w:ascii="Century" w:hAnsi="Century" w:hint="eastAsia"/>
          <w:sz w:val="22"/>
          <w:rtl/>
        </w:rPr>
        <w:t>להכרה</w:t>
      </w:r>
      <w:r w:rsidRPr="008E0586">
        <w:rPr>
          <w:rFonts w:ascii="Century" w:hAnsi="Century"/>
          <w:sz w:val="22"/>
          <w:rtl/>
        </w:rPr>
        <w:t xml:space="preserve"> </w:t>
      </w:r>
      <w:r w:rsidRPr="008E0586">
        <w:rPr>
          <w:rFonts w:ascii="Century" w:hAnsi="Century" w:hint="eastAsia"/>
          <w:sz w:val="22"/>
          <w:rtl/>
        </w:rPr>
        <w:t>בזכויות</w:t>
      </w:r>
      <w:r w:rsidRPr="008E0586">
        <w:rPr>
          <w:rFonts w:ascii="Century" w:hAnsi="Century"/>
          <w:sz w:val="22"/>
          <w:rtl/>
        </w:rPr>
        <w:t xml:space="preserve"> </w:t>
      </w:r>
      <w:r w:rsidRPr="008E0586">
        <w:rPr>
          <w:rFonts w:ascii="Century" w:hAnsi="Century" w:hint="eastAsia"/>
          <w:sz w:val="22"/>
          <w:rtl/>
        </w:rPr>
        <w:t>האדם</w:t>
      </w:r>
      <w:r w:rsidRPr="008E0586">
        <w:rPr>
          <w:rFonts w:ascii="Century" w:hAnsi="Century"/>
          <w:sz w:val="22"/>
          <w:rtl/>
        </w:rPr>
        <w:t xml:space="preserve">, </w:t>
      </w:r>
      <w:r w:rsidRPr="008E0586">
        <w:rPr>
          <w:rFonts w:ascii="Century" w:hAnsi="Century" w:hint="eastAsia"/>
          <w:sz w:val="22"/>
          <w:rtl/>
        </w:rPr>
        <w:t>אולם</w:t>
      </w:r>
      <w:r w:rsidRPr="008E0586">
        <w:rPr>
          <w:rFonts w:ascii="Century" w:hAnsi="Century"/>
          <w:sz w:val="22"/>
          <w:rtl/>
        </w:rPr>
        <w:t xml:space="preserve"> </w:t>
      </w:r>
      <w:r w:rsidRPr="008E0586">
        <w:rPr>
          <w:rFonts w:ascii="Century" w:hAnsi="Century" w:hint="eastAsia"/>
          <w:sz w:val="22"/>
          <w:rtl/>
        </w:rPr>
        <w:t>הסוגיה</w:t>
      </w:r>
      <w:r w:rsidRPr="008E0586">
        <w:rPr>
          <w:rFonts w:ascii="Century" w:hAnsi="Century"/>
          <w:sz w:val="22"/>
          <w:rtl/>
        </w:rPr>
        <w:t xml:space="preserve"> </w:t>
      </w:r>
      <w:r w:rsidRPr="008E0586">
        <w:rPr>
          <w:rFonts w:ascii="Century" w:hAnsi="Century" w:hint="eastAsia"/>
          <w:sz w:val="22"/>
          <w:rtl/>
        </w:rPr>
        <w:t>הושארה</w:t>
      </w:r>
      <w:r w:rsidRPr="008E0586">
        <w:rPr>
          <w:rFonts w:ascii="Century" w:hAnsi="Century"/>
          <w:sz w:val="22"/>
          <w:rtl/>
        </w:rPr>
        <w:t xml:space="preserve"> </w:t>
      </w:r>
      <w:r w:rsidRPr="008E0586">
        <w:rPr>
          <w:rFonts w:ascii="Century" w:hAnsi="Century" w:hint="eastAsia"/>
          <w:sz w:val="22"/>
          <w:rtl/>
        </w:rPr>
        <w:t>בצריך</w:t>
      </w:r>
      <w:r w:rsidRPr="008E0586">
        <w:rPr>
          <w:rFonts w:ascii="Century" w:hAnsi="Century"/>
          <w:sz w:val="22"/>
          <w:rtl/>
        </w:rPr>
        <w:t xml:space="preserve"> </w:t>
      </w:r>
      <w:r w:rsidRPr="008E0586">
        <w:rPr>
          <w:rFonts w:ascii="Century" w:hAnsi="Century" w:hint="eastAsia"/>
          <w:sz w:val="22"/>
          <w:rtl/>
        </w:rPr>
        <w:t>עיון</w:t>
      </w:r>
      <w:r w:rsidRPr="00C66B06">
        <w:rPr>
          <w:rtl/>
        </w:rPr>
        <w:t xml:space="preserve"> </w:t>
      </w:r>
      <w:r w:rsidRPr="008E0586">
        <w:rPr>
          <w:rFonts w:ascii="Century" w:hAnsi="Century"/>
          <w:sz w:val="22"/>
          <w:rtl/>
        </w:rPr>
        <w:t>(</w:t>
      </w:r>
      <w:r w:rsidRPr="008E0586">
        <w:rPr>
          <w:rFonts w:ascii="Century" w:hAnsi="Century" w:hint="eastAsia"/>
          <w:sz w:val="22"/>
          <w:rtl/>
        </w:rPr>
        <w:t>ראו</w:t>
      </w:r>
      <w:r w:rsidRPr="008E0586">
        <w:rPr>
          <w:rFonts w:ascii="Century" w:hAnsi="Century"/>
          <w:sz w:val="22"/>
          <w:rtl/>
        </w:rPr>
        <w:t xml:space="preserve">: </w:t>
      </w:r>
      <w:r w:rsidRPr="008E0586">
        <w:rPr>
          <w:rFonts w:ascii="Century" w:hAnsi="Century" w:hint="eastAsia"/>
          <w:sz w:val="22"/>
          <w:rtl/>
        </w:rPr>
        <w:t>בג</w:t>
      </w:r>
      <w:r w:rsidRPr="008E0586">
        <w:rPr>
          <w:rFonts w:ascii="Century" w:hAnsi="Century"/>
          <w:sz w:val="22"/>
          <w:rtl/>
        </w:rPr>
        <w:t>"</w:t>
      </w:r>
      <w:r w:rsidRPr="008E0586">
        <w:rPr>
          <w:rFonts w:ascii="Century" w:hAnsi="Century" w:hint="eastAsia"/>
          <w:sz w:val="22"/>
          <w:rtl/>
        </w:rPr>
        <w:t>ץ</w:t>
      </w:r>
      <w:r w:rsidRPr="008E0586">
        <w:rPr>
          <w:rFonts w:ascii="Century" w:hAnsi="Century"/>
          <w:sz w:val="22"/>
          <w:rtl/>
        </w:rPr>
        <w:t xml:space="preserve"> 1554/95 </w:t>
      </w:r>
      <w:r w:rsidRPr="00281216">
        <w:rPr>
          <w:rFonts w:ascii="Century" w:hAnsi="Century" w:cs="Miriam" w:hint="eastAsia"/>
          <w:b/>
          <w:spacing w:val="0"/>
          <w:sz w:val="22"/>
          <w:szCs w:val="24"/>
          <w:rtl/>
        </w:rPr>
        <w:t>עמותת</w:t>
      </w:r>
      <w:r w:rsidRPr="00281216">
        <w:rPr>
          <w:rFonts w:ascii="Century" w:hAnsi="Century" w:cs="Miriam"/>
          <w:b/>
          <w:spacing w:val="0"/>
          <w:sz w:val="22"/>
          <w:szCs w:val="24"/>
          <w:rtl/>
        </w:rPr>
        <w:t xml:space="preserve"> "</w:t>
      </w:r>
      <w:r w:rsidRPr="00281216">
        <w:rPr>
          <w:rFonts w:ascii="Century" w:hAnsi="Century" w:cs="Miriam" w:hint="eastAsia"/>
          <w:b/>
          <w:spacing w:val="0"/>
          <w:sz w:val="22"/>
          <w:szCs w:val="24"/>
          <w:rtl/>
        </w:rPr>
        <w:t>שוחרי</w:t>
      </w:r>
      <w:r w:rsidRPr="00281216">
        <w:rPr>
          <w:rFonts w:ascii="Century" w:hAnsi="Century" w:cs="Miriam"/>
          <w:b/>
          <w:spacing w:val="0"/>
          <w:sz w:val="22"/>
          <w:szCs w:val="24"/>
          <w:rtl/>
        </w:rPr>
        <w:t xml:space="preserve"> </w:t>
      </w:r>
      <w:r w:rsidRPr="00281216">
        <w:rPr>
          <w:rFonts w:ascii="Century" w:hAnsi="Century" w:cs="Miriam" w:hint="eastAsia"/>
          <w:b/>
          <w:spacing w:val="0"/>
          <w:sz w:val="22"/>
          <w:szCs w:val="24"/>
          <w:rtl/>
        </w:rPr>
        <w:t>גיל</w:t>
      </w:r>
      <w:r w:rsidRPr="00281216">
        <w:rPr>
          <w:rFonts w:ascii="Century" w:hAnsi="Century" w:cs="Miriam"/>
          <w:b/>
          <w:spacing w:val="0"/>
          <w:sz w:val="22"/>
          <w:szCs w:val="24"/>
          <w:rtl/>
        </w:rPr>
        <w:t>"</w:t>
      </w:r>
      <w:r w:rsidRPr="00281216">
        <w:rPr>
          <w:rFonts w:ascii="Century" w:hAnsi="Century" w:cs="Miriam" w:hint="eastAsia"/>
          <w:b/>
          <w:spacing w:val="0"/>
          <w:sz w:val="22"/>
          <w:szCs w:val="24"/>
          <w:rtl/>
        </w:rPr>
        <w:t>ת</w:t>
      </w:r>
      <w:r w:rsidRPr="00281216">
        <w:rPr>
          <w:rFonts w:ascii="Century" w:hAnsi="Century" w:cs="Miriam"/>
          <w:b/>
          <w:spacing w:val="0"/>
          <w:sz w:val="22"/>
          <w:szCs w:val="24"/>
          <w:rtl/>
        </w:rPr>
        <w:t xml:space="preserve">" </w:t>
      </w:r>
      <w:r w:rsidRPr="00281216">
        <w:rPr>
          <w:rFonts w:ascii="Century" w:hAnsi="Century" w:cs="Miriam" w:hint="eastAsia"/>
          <w:b/>
          <w:spacing w:val="0"/>
          <w:sz w:val="22"/>
          <w:szCs w:val="24"/>
          <w:rtl/>
        </w:rPr>
        <w:t>נ</w:t>
      </w:r>
      <w:r w:rsidRPr="00281216">
        <w:rPr>
          <w:rFonts w:ascii="Century" w:hAnsi="Century" w:cs="Miriam"/>
          <w:b/>
          <w:spacing w:val="0"/>
          <w:sz w:val="22"/>
          <w:szCs w:val="24"/>
          <w:rtl/>
        </w:rPr>
        <w:t xml:space="preserve">' </w:t>
      </w:r>
      <w:r w:rsidRPr="00281216">
        <w:rPr>
          <w:rFonts w:ascii="Century" w:hAnsi="Century" w:cs="Miriam" w:hint="eastAsia"/>
          <w:b/>
          <w:spacing w:val="0"/>
          <w:sz w:val="22"/>
          <w:szCs w:val="24"/>
          <w:rtl/>
        </w:rPr>
        <w:t>שר</w:t>
      </w:r>
      <w:r w:rsidRPr="00281216">
        <w:rPr>
          <w:rFonts w:ascii="Century" w:hAnsi="Century" w:cs="Miriam"/>
          <w:b/>
          <w:spacing w:val="0"/>
          <w:sz w:val="22"/>
          <w:szCs w:val="24"/>
          <w:rtl/>
        </w:rPr>
        <w:t xml:space="preserve"> </w:t>
      </w:r>
      <w:r w:rsidRPr="00281216">
        <w:rPr>
          <w:rFonts w:ascii="Century" w:hAnsi="Century" w:cs="Miriam" w:hint="eastAsia"/>
          <w:b/>
          <w:spacing w:val="0"/>
          <w:sz w:val="22"/>
          <w:szCs w:val="24"/>
          <w:rtl/>
        </w:rPr>
        <w:t>החינוך</w:t>
      </w:r>
      <w:r w:rsidRPr="00281216">
        <w:rPr>
          <w:rFonts w:ascii="Century" w:hAnsi="Century" w:cs="Miriam"/>
          <w:b/>
          <w:spacing w:val="0"/>
          <w:sz w:val="22"/>
          <w:szCs w:val="24"/>
          <w:rtl/>
        </w:rPr>
        <w:t xml:space="preserve">, </w:t>
      </w:r>
      <w:r w:rsidRPr="00281216">
        <w:rPr>
          <w:rFonts w:ascii="Century" w:hAnsi="Century" w:cs="Miriam" w:hint="eastAsia"/>
          <w:b/>
          <w:spacing w:val="0"/>
          <w:sz w:val="22"/>
          <w:szCs w:val="24"/>
          <w:rtl/>
        </w:rPr>
        <w:t>התרבות</w:t>
      </w:r>
      <w:r w:rsidRPr="00281216">
        <w:rPr>
          <w:rFonts w:ascii="Century" w:hAnsi="Century" w:cs="Miriam"/>
          <w:b/>
          <w:spacing w:val="0"/>
          <w:sz w:val="22"/>
          <w:szCs w:val="24"/>
          <w:rtl/>
        </w:rPr>
        <w:t xml:space="preserve"> </w:t>
      </w:r>
      <w:r w:rsidRPr="00281216">
        <w:rPr>
          <w:rFonts w:ascii="Century" w:hAnsi="Century" w:cs="Miriam" w:hint="eastAsia"/>
          <w:b/>
          <w:spacing w:val="0"/>
          <w:sz w:val="22"/>
          <w:szCs w:val="24"/>
          <w:rtl/>
        </w:rPr>
        <w:t>והספורט</w:t>
      </w:r>
      <w:r w:rsidRPr="00281216">
        <w:rPr>
          <w:rtl/>
        </w:rPr>
        <w:t xml:space="preserve">, </w:t>
      </w:r>
      <w:r w:rsidRPr="008E0586">
        <w:rPr>
          <w:rFonts w:ascii="Century" w:hAnsi="Century" w:hint="eastAsia"/>
          <w:sz w:val="22"/>
          <w:rtl/>
        </w:rPr>
        <w:t>פ</w:t>
      </w:r>
      <w:r w:rsidRPr="008E0586">
        <w:rPr>
          <w:rFonts w:ascii="Century" w:hAnsi="Century"/>
          <w:sz w:val="22"/>
          <w:rtl/>
        </w:rPr>
        <w:t>"</w:t>
      </w:r>
      <w:r w:rsidRPr="008E0586">
        <w:rPr>
          <w:rFonts w:ascii="Century" w:hAnsi="Century" w:hint="eastAsia"/>
          <w:sz w:val="22"/>
          <w:rtl/>
        </w:rPr>
        <w:t>ד</w:t>
      </w:r>
      <w:r w:rsidRPr="008E0586">
        <w:rPr>
          <w:rFonts w:ascii="Century" w:hAnsi="Century"/>
          <w:sz w:val="22"/>
          <w:rtl/>
        </w:rPr>
        <w:t xml:space="preserve"> </w:t>
      </w:r>
      <w:r w:rsidRPr="008E0586">
        <w:rPr>
          <w:rFonts w:ascii="Century" w:hAnsi="Century" w:hint="eastAsia"/>
          <w:sz w:val="22"/>
          <w:rtl/>
        </w:rPr>
        <w:t>נ</w:t>
      </w:r>
      <w:r w:rsidRPr="008E0586">
        <w:rPr>
          <w:rFonts w:ascii="Century" w:hAnsi="Century"/>
          <w:sz w:val="22"/>
          <w:rtl/>
        </w:rPr>
        <w:t xml:space="preserve">(3) 2, 25-24 (1996); </w:t>
      </w:r>
      <w:r w:rsidRPr="008E0586">
        <w:rPr>
          <w:rFonts w:ascii="Century" w:hAnsi="Century" w:hint="eastAsia"/>
          <w:sz w:val="22"/>
          <w:rtl/>
        </w:rPr>
        <w:t>ראו</w:t>
      </w:r>
      <w:r w:rsidRPr="008E0586">
        <w:rPr>
          <w:rFonts w:ascii="Century" w:hAnsi="Century"/>
          <w:sz w:val="22"/>
          <w:rtl/>
        </w:rPr>
        <w:t xml:space="preserve"> </w:t>
      </w:r>
      <w:r>
        <w:rPr>
          <w:rFonts w:ascii="Century" w:hAnsi="Century" w:hint="cs"/>
          <w:sz w:val="22"/>
          <w:rtl/>
        </w:rPr>
        <w:t xml:space="preserve">בנוסף: </w:t>
      </w:r>
      <w:r w:rsidRPr="008E0586">
        <w:rPr>
          <w:rFonts w:ascii="Century" w:hAnsi="Century" w:hint="eastAsia"/>
          <w:sz w:val="22"/>
          <w:rtl/>
        </w:rPr>
        <w:t>דברי</w:t>
      </w:r>
      <w:r w:rsidRPr="008E0586">
        <w:rPr>
          <w:rFonts w:ascii="Century" w:hAnsi="Century"/>
          <w:sz w:val="22"/>
          <w:rtl/>
        </w:rPr>
        <w:t xml:space="preserve"> </w:t>
      </w:r>
      <w:r w:rsidRPr="008E0586">
        <w:rPr>
          <w:rFonts w:ascii="Century" w:hAnsi="Century" w:hint="eastAsia"/>
          <w:sz w:val="22"/>
          <w:rtl/>
        </w:rPr>
        <w:t>השופט</w:t>
      </w:r>
      <w:r w:rsidRPr="00281216">
        <w:rPr>
          <w:rtl/>
        </w:rPr>
        <w:t xml:space="preserve"> </w:t>
      </w:r>
      <w:r w:rsidRPr="00281216">
        <w:rPr>
          <w:rFonts w:ascii="Century" w:hAnsi="Century" w:cs="Miriam" w:hint="eastAsia"/>
          <w:b/>
          <w:spacing w:val="0"/>
          <w:sz w:val="22"/>
          <w:szCs w:val="24"/>
          <w:rtl/>
        </w:rPr>
        <w:t>ד</w:t>
      </w:r>
      <w:r w:rsidRPr="00281216">
        <w:rPr>
          <w:rFonts w:ascii="Century" w:hAnsi="Century" w:cs="Miriam"/>
          <w:b/>
          <w:spacing w:val="0"/>
          <w:sz w:val="22"/>
          <w:szCs w:val="24"/>
          <w:rtl/>
        </w:rPr>
        <w:t xml:space="preserve">' </w:t>
      </w:r>
      <w:r w:rsidRPr="00281216">
        <w:rPr>
          <w:rFonts w:ascii="Century" w:hAnsi="Century" w:cs="Miriam" w:hint="eastAsia"/>
          <w:b/>
          <w:spacing w:val="0"/>
          <w:sz w:val="22"/>
          <w:szCs w:val="24"/>
          <w:rtl/>
        </w:rPr>
        <w:t>לוין</w:t>
      </w:r>
      <w:r w:rsidRPr="00281216">
        <w:rPr>
          <w:rtl/>
        </w:rPr>
        <w:t xml:space="preserve"> </w:t>
      </w:r>
      <w:r w:rsidRPr="00281216">
        <w:rPr>
          <w:rFonts w:hint="eastAsia"/>
          <w:rtl/>
        </w:rPr>
        <w:t>ב</w:t>
      </w:r>
      <w:r w:rsidRPr="00281216">
        <w:rPr>
          <w:rFonts w:ascii="Century" w:hAnsi="Century" w:hint="eastAsia"/>
          <w:sz w:val="22"/>
          <w:rtl/>
        </w:rPr>
        <w:t>עניין</w:t>
      </w:r>
      <w:r w:rsidRPr="00281216">
        <w:rPr>
          <w:rFonts w:cs="Miriam"/>
          <w:b/>
          <w:spacing w:val="0"/>
          <w:szCs w:val="24"/>
          <w:rtl/>
        </w:rPr>
        <w:t xml:space="preserve"> </w:t>
      </w:r>
      <w:r>
        <w:rPr>
          <w:rFonts w:cs="Miriam" w:hint="eastAsia"/>
          <w:b/>
          <w:spacing w:val="0"/>
          <w:szCs w:val="24"/>
          <w:rtl/>
        </w:rPr>
        <w:t>בנק המזרחי</w:t>
      </w:r>
      <w:r w:rsidRPr="00281216">
        <w:rPr>
          <w:rFonts w:ascii="Century" w:hAnsi="Century"/>
          <w:sz w:val="22"/>
          <w:rtl/>
        </w:rPr>
        <w:t xml:space="preserve">, </w:t>
      </w:r>
      <w:r>
        <w:rPr>
          <w:rFonts w:ascii="Century" w:hAnsi="Century" w:hint="cs"/>
          <w:sz w:val="22"/>
          <w:rtl/>
        </w:rPr>
        <w:t>ב</w:t>
      </w:r>
      <w:r w:rsidRPr="00281216">
        <w:rPr>
          <w:rFonts w:ascii="Century" w:hAnsi="Century" w:hint="eastAsia"/>
          <w:sz w:val="22"/>
          <w:rtl/>
        </w:rPr>
        <w:t>עמ</w:t>
      </w:r>
      <w:r w:rsidRPr="00281216">
        <w:rPr>
          <w:rFonts w:ascii="Century" w:hAnsi="Century"/>
          <w:sz w:val="22"/>
          <w:rtl/>
        </w:rPr>
        <w:t xml:space="preserve">' </w:t>
      </w:r>
      <w:r w:rsidRPr="008E0586">
        <w:rPr>
          <w:rFonts w:ascii="Century" w:hAnsi="Century"/>
          <w:sz w:val="22"/>
          <w:rtl/>
        </w:rPr>
        <w:t xml:space="preserve">455-450; </w:t>
      </w:r>
      <w:r w:rsidRPr="008E0586">
        <w:rPr>
          <w:rFonts w:ascii="Century" w:hAnsi="Century" w:hint="eastAsia"/>
          <w:sz w:val="22"/>
          <w:rtl/>
        </w:rPr>
        <w:t>בג</w:t>
      </w:r>
      <w:r w:rsidRPr="008E0586">
        <w:rPr>
          <w:rFonts w:ascii="Century" w:hAnsi="Century"/>
          <w:sz w:val="22"/>
          <w:rtl/>
        </w:rPr>
        <w:t>"</w:t>
      </w:r>
      <w:r w:rsidRPr="008E0586">
        <w:rPr>
          <w:rFonts w:ascii="Century" w:hAnsi="Century" w:hint="eastAsia"/>
          <w:sz w:val="22"/>
          <w:rtl/>
        </w:rPr>
        <w:t>ץ</w:t>
      </w:r>
      <w:r w:rsidRPr="008E0586">
        <w:rPr>
          <w:rFonts w:ascii="Century" w:hAnsi="Century"/>
          <w:sz w:val="22"/>
          <w:rtl/>
        </w:rPr>
        <w:t xml:space="preserve"> 6427/02 </w:t>
      </w:r>
      <w:r w:rsidRPr="00281216">
        <w:rPr>
          <w:rFonts w:ascii="Century" w:hAnsi="Century" w:cs="Miriam" w:hint="eastAsia"/>
          <w:b/>
          <w:spacing w:val="0"/>
          <w:sz w:val="22"/>
          <w:szCs w:val="24"/>
          <w:rtl/>
        </w:rPr>
        <w:t>התנועה</w:t>
      </w:r>
      <w:r w:rsidRPr="00281216">
        <w:rPr>
          <w:rFonts w:ascii="Century" w:hAnsi="Century" w:cs="Miriam"/>
          <w:b/>
          <w:spacing w:val="0"/>
          <w:sz w:val="22"/>
          <w:szCs w:val="24"/>
          <w:rtl/>
        </w:rPr>
        <w:t xml:space="preserve"> </w:t>
      </w:r>
      <w:r w:rsidRPr="00281216">
        <w:rPr>
          <w:rFonts w:ascii="Century" w:hAnsi="Century" w:cs="Miriam" w:hint="eastAsia"/>
          <w:b/>
          <w:spacing w:val="0"/>
          <w:sz w:val="22"/>
          <w:szCs w:val="24"/>
          <w:rtl/>
        </w:rPr>
        <w:t>לאיכות</w:t>
      </w:r>
      <w:r w:rsidRPr="00281216">
        <w:rPr>
          <w:rFonts w:ascii="Century" w:hAnsi="Century" w:cs="Miriam"/>
          <w:b/>
          <w:spacing w:val="0"/>
          <w:sz w:val="22"/>
          <w:szCs w:val="24"/>
          <w:rtl/>
        </w:rPr>
        <w:t xml:space="preserve"> </w:t>
      </w:r>
      <w:r w:rsidRPr="00281216">
        <w:rPr>
          <w:rFonts w:ascii="Century" w:hAnsi="Century" w:cs="Miriam" w:hint="eastAsia"/>
          <w:b/>
          <w:spacing w:val="0"/>
          <w:sz w:val="22"/>
          <w:szCs w:val="24"/>
          <w:rtl/>
        </w:rPr>
        <w:t>השלטון</w:t>
      </w:r>
      <w:r w:rsidRPr="00281216">
        <w:rPr>
          <w:rFonts w:ascii="Century" w:hAnsi="Century" w:cs="Miriam"/>
          <w:b/>
          <w:spacing w:val="0"/>
          <w:sz w:val="22"/>
          <w:szCs w:val="24"/>
          <w:rtl/>
        </w:rPr>
        <w:t xml:space="preserve"> </w:t>
      </w:r>
      <w:r w:rsidRPr="00281216">
        <w:rPr>
          <w:rFonts w:ascii="Century" w:hAnsi="Century" w:cs="Miriam" w:hint="eastAsia"/>
          <w:b/>
          <w:spacing w:val="0"/>
          <w:sz w:val="22"/>
          <w:szCs w:val="24"/>
          <w:rtl/>
        </w:rPr>
        <w:t>בישראל</w:t>
      </w:r>
      <w:r w:rsidRPr="00281216">
        <w:rPr>
          <w:rFonts w:ascii="Century" w:hAnsi="Century" w:cs="Miriam"/>
          <w:b/>
          <w:spacing w:val="0"/>
          <w:sz w:val="22"/>
          <w:szCs w:val="24"/>
          <w:rtl/>
        </w:rPr>
        <w:t xml:space="preserve"> </w:t>
      </w:r>
      <w:r w:rsidRPr="00281216">
        <w:rPr>
          <w:rFonts w:ascii="Century" w:hAnsi="Century" w:cs="Miriam" w:hint="eastAsia"/>
          <w:b/>
          <w:spacing w:val="0"/>
          <w:sz w:val="22"/>
          <w:szCs w:val="24"/>
          <w:rtl/>
        </w:rPr>
        <w:t>נ</w:t>
      </w:r>
      <w:r w:rsidRPr="00281216">
        <w:rPr>
          <w:rFonts w:ascii="Century" w:hAnsi="Century" w:cs="Miriam"/>
          <w:b/>
          <w:spacing w:val="0"/>
          <w:sz w:val="22"/>
          <w:szCs w:val="24"/>
          <w:rtl/>
        </w:rPr>
        <w:t xml:space="preserve">' </w:t>
      </w:r>
      <w:r w:rsidRPr="00281216">
        <w:rPr>
          <w:rFonts w:ascii="Century" w:hAnsi="Century" w:cs="Miriam" w:hint="eastAsia"/>
          <w:b/>
          <w:spacing w:val="0"/>
          <w:sz w:val="22"/>
          <w:szCs w:val="24"/>
          <w:rtl/>
        </w:rPr>
        <w:t>הכנסת</w:t>
      </w:r>
      <w:r w:rsidRPr="008E0586">
        <w:rPr>
          <w:rFonts w:ascii="Century" w:hAnsi="Century"/>
          <w:sz w:val="22"/>
          <w:rtl/>
        </w:rPr>
        <w:t xml:space="preserve">, </w:t>
      </w:r>
      <w:r w:rsidRPr="008E0586">
        <w:rPr>
          <w:rFonts w:ascii="Century" w:hAnsi="Century" w:hint="eastAsia"/>
          <w:sz w:val="22"/>
          <w:rtl/>
        </w:rPr>
        <w:t>פ</w:t>
      </w:r>
      <w:r w:rsidRPr="008E0586">
        <w:rPr>
          <w:rFonts w:ascii="Century" w:hAnsi="Century"/>
          <w:sz w:val="22"/>
          <w:rtl/>
        </w:rPr>
        <w:t xml:space="preserve">"ד </w:t>
      </w:r>
      <w:r w:rsidRPr="008E0586">
        <w:rPr>
          <w:rFonts w:ascii="Century" w:hAnsi="Century" w:hint="eastAsia"/>
          <w:sz w:val="22"/>
          <w:rtl/>
        </w:rPr>
        <w:t>סא</w:t>
      </w:r>
      <w:r w:rsidRPr="008E0586">
        <w:rPr>
          <w:rFonts w:ascii="Century" w:hAnsi="Century"/>
          <w:sz w:val="22"/>
          <w:rtl/>
        </w:rPr>
        <w:t xml:space="preserve">(1) 619, </w:t>
      </w:r>
      <w:r w:rsidRPr="008E0586">
        <w:rPr>
          <w:rFonts w:ascii="Century" w:hAnsi="Century" w:hint="eastAsia"/>
          <w:sz w:val="22"/>
          <w:rtl/>
        </w:rPr>
        <w:t>פסקה</w:t>
      </w:r>
      <w:r w:rsidRPr="008E0586">
        <w:rPr>
          <w:rFonts w:ascii="Century" w:hAnsi="Century"/>
          <w:sz w:val="22"/>
          <w:rtl/>
        </w:rPr>
        <w:t xml:space="preserve"> 40 </w:t>
      </w:r>
      <w:r w:rsidRPr="008E0586">
        <w:rPr>
          <w:rFonts w:ascii="Century" w:hAnsi="Century" w:hint="eastAsia"/>
          <w:sz w:val="22"/>
          <w:rtl/>
        </w:rPr>
        <w:t>לפסק</w:t>
      </w:r>
      <w:r w:rsidRPr="008E0586">
        <w:rPr>
          <w:rFonts w:ascii="Century" w:hAnsi="Century"/>
          <w:sz w:val="22"/>
          <w:rtl/>
        </w:rPr>
        <w:t xml:space="preserve"> </w:t>
      </w:r>
      <w:r w:rsidRPr="008E0586">
        <w:rPr>
          <w:rFonts w:ascii="Century" w:hAnsi="Century" w:hint="eastAsia"/>
          <w:sz w:val="22"/>
          <w:rtl/>
        </w:rPr>
        <w:t>דינו</w:t>
      </w:r>
      <w:r w:rsidRPr="008E0586">
        <w:rPr>
          <w:rFonts w:ascii="Century" w:hAnsi="Century"/>
          <w:sz w:val="22"/>
          <w:rtl/>
        </w:rPr>
        <w:t xml:space="preserve"> </w:t>
      </w:r>
      <w:r w:rsidRPr="008E0586">
        <w:rPr>
          <w:rFonts w:ascii="Century" w:hAnsi="Century" w:hint="eastAsia"/>
          <w:sz w:val="22"/>
          <w:rtl/>
        </w:rPr>
        <w:t>של</w:t>
      </w:r>
      <w:r w:rsidRPr="008E0586">
        <w:rPr>
          <w:rFonts w:ascii="Century" w:hAnsi="Century"/>
          <w:sz w:val="22"/>
          <w:rtl/>
        </w:rPr>
        <w:t xml:space="preserve"> </w:t>
      </w:r>
      <w:r w:rsidRPr="008E0586">
        <w:rPr>
          <w:rFonts w:ascii="Century" w:hAnsi="Century" w:hint="eastAsia"/>
          <w:sz w:val="22"/>
          <w:rtl/>
        </w:rPr>
        <w:t>הנשיא</w:t>
      </w:r>
      <w:r w:rsidRPr="00281216">
        <w:rPr>
          <w:rFonts w:ascii="FrankRuehl" w:hAnsi="FrankRuehl"/>
          <w:color w:val="222222"/>
          <w:spacing w:val="0"/>
          <w:sz w:val="28"/>
          <w:rtl/>
        </w:rPr>
        <w:t xml:space="preserve"> </w:t>
      </w:r>
      <w:r w:rsidRPr="00281216">
        <w:rPr>
          <w:rFonts w:ascii="Century" w:hAnsi="Century" w:cs="Miriam" w:hint="eastAsia"/>
          <w:b/>
          <w:spacing w:val="0"/>
          <w:sz w:val="22"/>
          <w:szCs w:val="24"/>
          <w:rtl/>
        </w:rPr>
        <w:t>א</w:t>
      </w:r>
      <w:r w:rsidRPr="00281216">
        <w:rPr>
          <w:rFonts w:ascii="Century" w:hAnsi="Century" w:cs="Miriam"/>
          <w:b/>
          <w:spacing w:val="0"/>
          <w:sz w:val="22"/>
          <w:szCs w:val="24"/>
          <w:rtl/>
        </w:rPr>
        <w:t xml:space="preserve">' </w:t>
      </w:r>
      <w:r w:rsidRPr="00281216">
        <w:rPr>
          <w:rFonts w:ascii="Century" w:hAnsi="Century" w:cs="Miriam" w:hint="eastAsia"/>
          <w:b/>
          <w:spacing w:val="0"/>
          <w:sz w:val="22"/>
          <w:szCs w:val="24"/>
          <w:rtl/>
        </w:rPr>
        <w:t>ברק</w:t>
      </w:r>
      <w:r w:rsidRPr="008E0586">
        <w:rPr>
          <w:rFonts w:ascii="Century" w:hAnsi="Century"/>
          <w:sz w:val="22"/>
          <w:rtl/>
        </w:rPr>
        <w:t xml:space="preserve"> (2006) (להלן:</w:t>
      </w:r>
      <w:r w:rsidRPr="00281216">
        <w:rPr>
          <w:rFonts w:ascii="FrankRuehl" w:hAnsi="FrankRuehl"/>
          <w:color w:val="222222"/>
          <w:spacing w:val="0"/>
          <w:sz w:val="28"/>
          <w:rtl/>
        </w:rPr>
        <w:t xml:space="preserve"> </w:t>
      </w:r>
      <w:r w:rsidRPr="00281216">
        <w:rPr>
          <w:rFonts w:ascii="Century" w:hAnsi="Century" w:cs="Miriam" w:hint="eastAsia"/>
          <w:b/>
          <w:spacing w:val="0"/>
          <w:sz w:val="22"/>
          <w:szCs w:val="24"/>
          <w:rtl/>
        </w:rPr>
        <w:t>בג</w:t>
      </w:r>
      <w:r w:rsidRPr="00281216">
        <w:rPr>
          <w:rFonts w:ascii="Century" w:hAnsi="Century" w:cs="Miriam"/>
          <w:b/>
          <w:spacing w:val="0"/>
          <w:sz w:val="22"/>
          <w:szCs w:val="24"/>
          <w:rtl/>
        </w:rPr>
        <w:t>"</w:t>
      </w:r>
      <w:r w:rsidRPr="00281216">
        <w:rPr>
          <w:rFonts w:ascii="Century" w:hAnsi="Century" w:cs="Miriam" w:hint="eastAsia"/>
          <w:b/>
          <w:spacing w:val="0"/>
          <w:sz w:val="22"/>
          <w:szCs w:val="24"/>
          <w:rtl/>
        </w:rPr>
        <w:t>ץ</w:t>
      </w:r>
      <w:r w:rsidRPr="00281216">
        <w:rPr>
          <w:rFonts w:ascii="Century" w:hAnsi="Century" w:cs="Miriam"/>
          <w:b/>
          <w:spacing w:val="0"/>
          <w:sz w:val="22"/>
          <w:szCs w:val="24"/>
          <w:rtl/>
        </w:rPr>
        <w:t xml:space="preserve"> 6427/02</w:t>
      </w:r>
      <w:r w:rsidRPr="008E0586">
        <w:rPr>
          <w:rFonts w:ascii="Century" w:hAnsi="Century"/>
          <w:sz w:val="22"/>
          <w:rtl/>
        </w:rPr>
        <w:t xml:space="preserve">); </w:t>
      </w:r>
      <w:r w:rsidRPr="008E0586">
        <w:rPr>
          <w:rFonts w:ascii="Century" w:hAnsi="Century" w:hint="eastAsia"/>
          <w:sz w:val="22"/>
          <w:rtl/>
        </w:rPr>
        <w:t>אהרן</w:t>
      </w:r>
      <w:r w:rsidRPr="008E0586">
        <w:rPr>
          <w:rFonts w:ascii="Century" w:hAnsi="Century"/>
          <w:sz w:val="22"/>
          <w:rtl/>
        </w:rPr>
        <w:t xml:space="preserve"> </w:t>
      </w:r>
      <w:r w:rsidRPr="008E0586">
        <w:rPr>
          <w:rFonts w:ascii="Century" w:hAnsi="Century" w:hint="eastAsia"/>
          <w:sz w:val="22"/>
          <w:rtl/>
        </w:rPr>
        <w:t>ברק</w:t>
      </w:r>
      <w:r w:rsidRPr="00281216">
        <w:rPr>
          <w:rtl/>
        </w:rPr>
        <w:t xml:space="preserve"> </w:t>
      </w:r>
      <w:r w:rsidRPr="00281216">
        <w:rPr>
          <w:rFonts w:cs="Miriam" w:hint="eastAsia"/>
          <w:b/>
          <w:spacing w:val="0"/>
          <w:szCs w:val="24"/>
          <w:rtl/>
        </w:rPr>
        <w:t>פרשנות</w:t>
      </w:r>
      <w:r w:rsidRPr="00281216">
        <w:rPr>
          <w:rFonts w:cs="Miriam"/>
          <w:b/>
          <w:spacing w:val="0"/>
          <w:szCs w:val="24"/>
          <w:rtl/>
        </w:rPr>
        <w:t xml:space="preserve"> </w:t>
      </w:r>
      <w:r w:rsidRPr="00281216">
        <w:rPr>
          <w:rFonts w:cs="Miriam" w:hint="eastAsia"/>
          <w:b/>
          <w:spacing w:val="0"/>
          <w:szCs w:val="24"/>
          <w:rtl/>
        </w:rPr>
        <w:t>במשפט</w:t>
      </w:r>
      <w:r w:rsidRPr="00281216">
        <w:rPr>
          <w:rFonts w:cs="Miriam"/>
          <w:b/>
          <w:spacing w:val="0"/>
          <w:szCs w:val="24"/>
          <w:rtl/>
        </w:rPr>
        <w:t xml:space="preserve"> – </w:t>
      </w:r>
      <w:r w:rsidRPr="00281216">
        <w:rPr>
          <w:rFonts w:cs="Miriam" w:hint="eastAsia"/>
          <w:b/>
          <w:spacing w:val="0"/>
          <w:szCs w:val="24"/>
          <w:rtl/>
        </w:rPr>
        <w:t>פרשנות</w:t>
      </w:r>
      <w:r w:rsidRPr="00281216">
        <w:rPr>
          <w:rFonts w:cs="Miriam"/>
          <w:b/>
          <w:spacing w:val="0"/>
          <w:szCs w:val="24"/>
          <w:rtl/>
        </w:rPr>
        <w:t xml:space="preserve"> </w:t>
      </w:r>
      <w:r w:rsidRPr="00281216">
        <w:rPr>
          <w:rFonts w:cs="Miriam" w:hint="eastAsia"/>
          <w:b/>
          <w:spacing w:val="0"/>
          <w:szCs w:val="24"/>
          <w:rtl/>
        </w:rPr>
        <w:t>חוקתית</w:t>
      </w:r>
      <w:r w:rsidRPr="00281216">
        <w:rPr>
          <w:rFonts w:cs="Miriam"/>
          <w:b/>
          <w:spacing w:val="0"/>
          <w:szCs w:val="24"/>
          <w:rtl/>
        </w:rPr>
        <w:t xml:space="preserve"> </w:t>
      </w:r>
      <w:r w:rsidRPr="008E0586">
        <w:rPr>
          <w:rFonts w:ascii="Century" w:hAnsi="Century" w:hint="eastAsia"/>
          <w:sz w:val="22"/>
          <w:rtl/>
        </w:rPr>
        <w:t>כרך</w:t>
      </w:r>
      <w:r w:rsidRPr="008E0586">
        <w:rPr>
          <w:rFonts w:ascii="Century" w:hAnsi="Century"/>
          <w:sz w:val="22"/>
          <w:rtl/>
        </w:rPr>
        <w:t xml:space="preserve"> </w:t>
      </w:r>
      <w:r w:rsidRPr="008E0586">
        <w:rPr>
          <w:rFonts w:ascii="Century" w:hAnsi="Century" w:hint="eastAsia"/>
          <w:sz w:val="22"/>
          <w:rtl/>
        </w:rPr>
        <w:t>שלישי</w:t>
      </w:r>
      <w:r w:rsidRPr="008E0586">
        <w:rPr>
          <w:rFonts w:ascii="Century" w:hAnsi="Century"/>
          <w:sz w:val="22"/>
          <w:rtl/>
        </w:rPr>
        <w:t xml:space="preserve"> </w:t>
      </w:r>
      <w:r w:rsidRPr="00FF4C46">
        <w:rPr>
          <w:rFonts w:ascii="Century" w:hAnsi="Century"/>
          <w:sz w:val="22"/>
          <w:rtl/>
        </w:rPr>
        <w:t>305 (1994)</w:t>
      </w:r>
      <w:r w:rsidRPr="008E0586">
        <w:rPr>
          <w:rFonts w:ascii="Century" w:hAnsi="Century"/>
          <w:sz w:val="22"/>
          <w:rtl/>
        </w:rPr>
        <w:t xml:space="preserve">; </w:t>
      </w:r>
      <w:r w:rsidRPr="008E0586">
        <w:rPr>
          <w:rFonts w:ascii="Century" w:hAnsi="Century" w:hint="eastAsia"/>
          <w:sz w:val="22"/>
          <w:rtl/>
        </w:rPr>
        <w:t>אהרן</w:t>
      </w:r>
      <w:r w:rsidRPr="008E0586">
        <w:rPr>
          <w:rFonts w:ascii="Century" w:hAnsi="Century"/>
          <w:sz w:val="22"/>
          <w:rtl/>
        </w:rPr>
        <w:t xml:space="preserve"> </w:t>
      </w:r>
      <w:r w:rsidRPr="008E0586">
        <w:rPr>
          <w:rFonts w:ascii="Century" w:hAnsi="Century" w:hint="eastAsia"/>
          <w:sz w:val="22"/>
          <w:rtl/>
        </w:rPr>
        <w:t>ברק</w:t>
      </w:r>
      <w:r w:rsidRPr="00281216">
        <w:rPr>
          <w:rFonts w:ascii="Century" w:hAnsi="Century"/>
          <w:rtl/>
        </w:rPr>
        <w:t xml:space="preserve"> </w:t>
      </w:r>
      <w:r w:rsidRPr="00281216">
        <w:rPr>
          <w:rFonts w:ascii="Century" w:hAnsi="Century" w:cs="Miriam" w:hint="eastAsia"/>
          <w:b/>
          <w:spacing w:val="0"/>
          <w:szCs w:val="24"/>
          <w:rtl/>
        </w:rPr>
        <w:t>כבוד</w:t>
      </w:r>
      <w:r w:rsidRPr="00281216">
        <w:rPr>
          <w:rFonts w:ascii="Century" w:hAnsi="Century" w:cs="Miriam"/>
          <w:b/>
          <w:spacing w:val="0"/>
          <w:szCs w:val="24"/>
          <w:rtl/>
        </w:rPr>
        <w:t xml:space="preserve"> </w:t>
      </w:r>
      <w:r w:rsidRPr="00281216">
        <w:rPr>
          <w:rFonts w:ascii="Century" w:hAnsi="Century" w:cs="Miriam" w:hint="eastAsia"/>
          <w:b/>
          <w:spacing w:val="0"/>
          <w:szCs w:val="24"/>
          <w:rtl/>
        </w:rPr>
        <w:t>האדם</w:t>
      </w:r>
      <w:r w:rsidRPr="00281216">
        <w:rPr>
          <w:rFonts w:ascii="Century" w:hAnsi="Century" w:cs="Miriam"/>
          <w:b/>
          <w:spacing w:val="0"/>
          <w:szCs w:val="24"/>
          <w:rtl/>
        </w:rPr>
        <w:t xml:space="preserve"> – </w:t>
      </w:r>
      <w:r w:rsidRPr="00281216">
        <w:rPr>
          <w:rFonts w:ascii="Century" w:hAnsi="Century" w:cs="Miriam" w:hint="eastAsia"/>
          <w:b/>
          <w:spacing w:val="0"/>
          <w:szCs w:val="24"/>
          <w:rtl/>
        </w:rPr>
        <w:t>הזכות</w:t>
      </w:r>
      <w:r w:rsidRPr="00281216">
        <w:rPr>
          <w:rFonts w:ascii="Century" w:hAnsi="Century" w:cs="Miriam"/>
          <w:b/>
          <w:spacing w:val="0"/>
          <w:szCs w:val="24"/>
          <w:rtl/>
        </w:rPr>
        <w:t xml:space="preserve"> </w:t>
      </w:r>
      <w:r w:rsidRPr="00281216">
        <w:rPr>
          <w:rFonts w:ascii="Century" w:hAnsi="Century" w:cs="Miriam" w:hint="eastAsia"/>
          <w:b/>
          <w:spacing w:val="0"/>
          <w:szCs w:val="24"/>
          <w:rtl/>
        </w:rPr>
        <w:t>החוקתית</w:t>
      </w:r>
      <w:r w:rsidRPr="00281216">
        <w:rPr>
          <w:rFonts w:ascii="Century" w:hAnsi="Century" w:cs="Miriam"/>
          <w:b/>
          <w:spacing w:val="0"/>
          <w:szCs w:val="24"/>
          <w:rtl/>
        </w:rPr>
        <w:t xml:space="preserve"> </w:t>
      </w:r>
      <w:r w:rsidRPr="00281216">
        <w:rPr>
          <w:rFonts w:ascii="Century" w:hAnsi="Century" w:cs="Miriam" w:hint="eastAsia"/>
          <w:b/>
          <w:spacing w:val="0"/>
          <w:szCs w:val="24"/>
          <w:rtl/>
        </w:rPr>
        <w:t>ובנותיה</w:t>
      </w:r>
      <w:r w:rsidRPr="008E0586">
        <w:rPr>
          <w:rFonts w:ascii="Century" w:hAnsi="Century"/>
          <w:sz w:val="22"/>
          <w:rtl/>
        </w:rPr>
        <w:t xml:space="preserve"> 266-263 (2014); </w:t>
      </w:r>
      <w:r w:rsidRPr="008E0586">
        <w:rPr>
          <w:rFonts w:ascii="Century" w:hAnsi="Century" w:hint="eastAsia"/>
          <w:sz w:val="22"/>
          <w:rtl/>
        </w:rPr>
        <w:t>וכן</w:t>
      </w:r>
      <w:r w:rsidRPr="008E0586">
        <w:rPr>
          <w:rFonts w:ascii="Century" w:hAnsi="Century"/>
          <w:sz w:val="22"/>
          <w:rtl/>
        </w:rPr>
        <w:t xml:space="preserve">, </w:t>
      </w:r>
      <w:r w:rsidRPr="008E0586">
        <w:rPr>
          <w:rFonts w:ascii="Century" w:hAnsi="Century" w:hint="eastAsia"/>
          <w:sz w:val="22"/>
          <w:rtl/>
        </w:rPr>
        <w:t>אהרן</w:t>
      </w:r>
      <w:r w:rsidRPr="008E0586">
        <w:rPr>
          <w:rFonts w:ascii="Century" w:hAnsi="Century"/>
          <w:sz w:val="22"/>
          <w:rtl/>
        </w:rPr>
        <w:t xml:space="preserve"> </w:t>
      </w:r>
      <w:r w:rsidRPr="008E0586">
        <w:rPr>
          <w:rFonts w:ascii="Century" w:hAnsi="Century" w:hint="eastAsia"/>
          <w:sz w:val="22"/>
          <w:rtl/>
        </w:rPr>
        <w:t>ברק</w:t>
      </w:r>
      <w:r w:rsidRPr="008E0586">
        <w:rPr>
          <w:rFonts w:ascii="Century" w:hAnsi="Century"/>
          <w:sz w:val="22"/>
          <w:rtl/>
        </w:rPr>
        <w:t xml:space="preserve"> "</w:t>
      </w:r>
      <w:r w:rsidRPr="008E0586">
        <w:rPr>
          <w:rFonts w:ascii="Century" w:hAnsi="Century" w:hint="eastAsia"/>
          <w:sz w:val="22"/>
          <w:rtl/>
        </w:rPr>
        <w:t>מגילת</w:t>
      </w:r>
      <w:r w:rsidRPr="008E0586">
        <w:rPr>
          <w:rFonts w:ascii="Century" w:hAnsi="Century"/>
          <w:sz w:val="22"/>
          <w:rtl/>
        </w:rPr>
        <w:t xml:space="preserve"> </w:t>
      </w:r>
      <w:r w:rsidRPr="008E0586">
        <w:rPr>
          <w:rFonts w:ascii="Century" w:hAnsi="Century" w:hint="eastAsia"/>
          <w:sz w:val="22"/>
          <w:rtl/>
        </w:rPr>
        <w:t>העצמאות</w:t>
      </w:r>
      <w:r w:rsidRPr="008E0586">
        <w:rPr>
          <w:rFonts w:ascii="Century" w:hAnsi="Century"/>
          <w:sz w:val="22"/>
          <w:rtl/>
        </w:rPr>
        <w:t xml:space="preserve"> </w:t>
      </w:r>
      <w:r w:rsidRPr="008E0586">
        <w:rPr>
          <w:rFonts w:ascii="Century" w:hAnsi="Century" w:hint="eastAsia"/>
          <w:sz w:val="22"/>
          <w:rtl/>
        </w:rPr>
        <w:t>והכנסת</w:t>
      </w:r>
      <w:r w:rsidRPr="008E0586">
        <w:rPr>
          <w:rFonts w:ascii="Century" w:hAnsi="Century"/>
          <w:sz w:val="22"/>
          <w:rtl/>
        </w:rPr>
        <w:t xml:space="preserve"> </w:t>
      </w:r>
      <w:r w:rsidRPr="008E0586">
        <w:rPr>
          <w:rFonts w:ascii="Century" w:hAnsi="Century" w:hint="eastAsia"/>
          <w:sz w:val="22"/>
          <w:rtl/>
        </w:rPr>
        <w:t>כרשות</w:t>
      </w:r>
      <w:r w:rsidRPr="008E0586">
        <w:rPr>
          <w:rFonts w:ascii="Century" w:hAnsi="Century"/>
          <w:sz w:val="22"/>
          <w:rtl/>
        </w:rPr>
        <w:t xml:space="preserve"> </w:t>
      </w:r>
      <w:r w:rsidRPr="008E0586">
        <w:rPr>
          <w:rFonts w:ascii="Century" w:hAnsi="Century" w:hint="eastAsia"/>
          <w:sz w:val="22"/>
          <w:rtl/>
        </w:rPr>
        <w:t>מכוננת</w:t>
      </w:r>
      <w:r w:rsidRPr="00281216">
        <w:rPr>
          <w:rtl/>
        </w:rPr>
        <w:t xml:space="preserve">" </w:t>
      </w:r>
      <w:r w:rsidRPr="00281216">
        <w:rPr>
          <w:rFonts w:ascii="Century" w:hAnsi="Century" w:cs="Miriam" w:hint="eastAsia"/>
          <w:b/>
          <w:spacing w:val="0"/>
          <w:sz w:val="22"/>
          <w:szCs w:val="24"/>
          <w:rtl/>
        </w:rPr>
        <w:t>חוקים</w:t>
      </w:r>
      <w:r w:rsidRPr="00281216">
        <w:rPr>
          <w:rtl/>
        </w:rPr>
        <w:t xml:space="preserve"> </w:t>
      </w:r>
      <w:r w:rsidRPr="00281216">
        <w:rPr>
          <w:rFonts w:hint="eastAsia"/>
          <w:rtl/>
        </w:rPr>
        <w:t>יא</w:t>
      </w:r>
      <w:r w:rsidRPr="00281216">
        <w:rPr>
          <w:rtl/>
        </w:rPr>
        <w:t xml:space="preserve"> 9, 19 (2018)).</w:t>
      </w:r>
    </w:p>
    <w:p w:rsidR="0047626A" w:rsidRPr="00297DD9" w:rsidRDefault="0047626A" w:rsidP="0047626A">
      <w:pPr>
        <w:pStyle w:val="Ruller4"/>
        <w:numPr>
          <w:ilvl w:val="0"/>
          <w:numId w:val="0"/>
        </w:numPr>
        <w:rPr>
          <w:rFonts w:ascii="FrankRuehl" w:hAnsi="FrankRuehl"/>
          <w:color w:val="222222"/>
          <w:spacing w:val="0"/>
          <w:sz w:val="28"/>
        </w:rPr>
      </w:pPr>
    </w:p>
    <w:p w:rsidR="0047626A" w:rsidRPr="00C66B06" w:rsidRDefault="0047626A" w:rsidP="0047626A">
      <w:pPr>
        <w:pStyle w:val="Ruller4"/>
        <w:rPr>
          <w:rFonts w:ascii="FrankRuehl" w:hAnsi="FrankRuehl"/>
          <w:color w:val="222222"/>
          <w:spacing w:val="0"/>
          <w:sz w:val="28"/>
        </w:rPr>
      </w:pPr>
      <w:r w:rsidRPr="008E0586">
        <w:rPr>
          <w:rFonts w:ascii="Century" w:hAnsi="Century" w:hint="eastAsia"/>
          <w:sz w:val="22"/>
          <w:rtl/>
        </w:rPr>
        <w:t>לצד</w:t>
      </w:r>
      <w:r w:rsidRPr="008E0586">
        <w:rPr>
          <w:rFonts w:ascii="Century" w:hAnsi="Century"/>
          <w:sz w:val="22"/>
          <w:rtl/>
        </w:rPr>
        <w:t xml:space="preserve"> </w:t>
      </w:r>
      <w:r w:rsidRPr="008E0586">
        <w:rPr>
          <w:rFonts w:ascii="Century" w:hAnsi="Century" w:hint="eastAsia"/>
          <w:sz w:val="22"/>
          <w:rtl/>
        </w:rPr>
        <w:t>כל</w:t>
      </w:r>
      <w:r w:rsidRPr="008E0586">
        <w:rPr>
          <w:rFonts w:ascii="Century" w:hAnsi="Century"/>
          <w:sz w:val="22"/>
          <w:rtl/>
        </w:rPr>
        <w:t xml:space="preserve"> </w:t>
      </w:r>
      <w:r w:rsidRPr="008E0586">
        <w:rPr>
          <w:rFonts w:ascii="Century" w:hAnsi="Century" w:hint="eastAsia"/>
          <w:sz w:val="22"/>
          <w:rtl/>
        </w:rPr>
        <w:t>אלה</w:t>
      </w:r>
      <w:r w:rsidRPr="008E0586">
        <w:rPr>
          <w:rFonts w:ascii="Century" w:hAnsi="Century"/>
          <w:sz w:val="22"/>
          <w:rtl/>
        </w:rPr>
        <w:t xml:space="preserve">, </w:t>
      </w:r>
      <w:r w:rsidRPr="008E0586">
        <w:rPr>
          <w:rFonts w:ascii="Century" w:hAnsi="Century" w:hint="eastAsia"/>
          <w:sz w:val="22"/>
          <w:rtl/>
        </w:rPr>
        <w:t>הבהיר</w:t>
      </w:r>
      <w:r w:rsidRPr="008E0586">
        <w:rPr>
          <w:rFonts w:ascii="Century" w:hAnsi="Century"/>
          <w:sz w:val="22"/>
          <w:rtl/>
        </w:rPr>
        <w:t xml:space="preserve"> </w:t>
      </w:r>
      <w:r w:rsidRPr="008E0586">
        <w:rPr>
          <w:rFonts w:ascii="Century" w:hAnsi="Century" w:hint="eastAsia"/>
          <w:sz w:val="22"/>
          <w:rtl/>
        </w:rPr>
        <w:t>הנשיא</w:t>
      </w:r>
      <w:r w:rsidRPr="008E0586">
        <w:rPr>
          <w:rFonts w:ascii="Century" w:hAnsi="Century"/>
          <w:sz w:val="22"/>
          <w:rtl/>
        </w:rPr>
        <w:t xml:space="preserve"> </w:t>
      </w:r>
      <w:r w:rsidRPr="00C66B06">
        <w:rPr>
          <w:rFonts w:ascii="Century" w:hAnsi="Century" w:cs="Miriam" w:hint="cs"/>
          <w:b/>
          <w:spacing w:val="0"/>
          <w:sz w:val="22"/>
          <w:szCs w:val="24"/>
          <w:rtl/>
        </w:rPr>
        <w:t>מ' שמגר</w:t>
      </w:r>
      <w:r w:rsidRPr="008E0586">
        <w:rPr>
          <w:rFonts w:ascii="Century" w:hAnsi="Century"/>
          <w:sz w:val="22"/>
          <w:rtl/>
        </w:rPr>
        <w:t xml:space="preserve"> </w:t>
      </w:r>
      <w:r w:rsidRPr="008E0586">
        <w:rPr>
          <w:rFonts w:ascii="Century" w:hAnsi="Century" w:hint="eastAsia"/>
          <w:sz w:val="22"/>
          <w:rtl/>
        </w:rPr>
        <w:t>כי</w:t>
      </w:r>
      <w:r w:rsidRPr="008E0586">
        <w:rPr>
          <w:rFonts w:ascii="Century" w:hAnsi="Century"/>
          <w:sz w:val="22"/>
          <w:rtl/>
        </w:rPr>
        <w:t xml:space="preserve"> "הכרזה זו – היא 'מגילת העצמאות' שלנו, שהיא </w:t>
      </w:r>
      <w:r w:rsidRPr="008E0586">
        <w:rPr>
          <w:rFonts w:ascii="Century" w:hAnsi="Century" w:hint="eastAsia"/>
          <w:sz w:val="22"/>
          <w:rtl/>
        </w:rPr>
        <w:t>הן</w:t>
      </w:r>
      <w:r w:rsidRPr="008E0586">
        <w:rPr>
          <w:rFonts w:ascii="Century" w:hAnsi="Century"/>
          <w:sz w:val="22"/>
          <w:rtl/>
        </w:rPr>
        <w:t xml:space="preserve"> </w:t>
      </w:r>
      <w:r w:rsidRPr="008E0586">
        <w:rPr>
          <w:rFonts w:ascii="Century" w:hAnsi="Century" w:hint="eastAsia"/>
          <w:sz w:val="22"/>
          <w:rtl/>
        </w:rPr>
        <w:t>תעודת</w:t>
      </w:r>
      <w:r w:rsidRPr="008E0586">
        <w:rPr>
          <w:rFonts w:ascii="Century" w:hAnsi="Century"/>
          <w:sz w:val="22"/>
          <w:rtl/>
        </w:rPr>
        <w:t xml:space="preserve"> </w:t>
      </w:r>
      <w:r w:rsidRPr="008E0586">
        <w:rPr>
          <w:rFonts w:ascii="Century" w:hAnsi="Century" w:hint="eastAsia"/>
          <w:sz w:val="22"/>
          <w:rtl/>
        </w:rPr>
        <w:t>הלידה</w:t>
      </w:r>
      <w:r w:rsidRPr="008E0586">
        <w:rPr>
          <w:rFonts w:ascii="Century" w:hAnsi="Century"/>
          <w:sz w:val="22"/>
          <w:rtl/>
        </w:rPr>
        <w:t xml:space="preserve"> </w:t>
      </w:r>
      <w:r w:rsidRPr="008E0586">
        <w:rPr>
          <w:rFonts w:ascii="Century" w:hAnsi="Century" w:hint="eastAsia"/>
          <w:sz w:val="22"/>
          <w:rtl/>
        </w:rPr>
        <w:t>והן</w:t>
      </w:r>
      <w:r w:rsidRPr="008E0586">
        <w:rPr>
          <w:rFonts w:ascii="Century" w:hAnsi="Century"/>
          <w:sz w:val="22"/>
          <w:rtl/>
        </w:rPr>
        <w:t xml:space="preserve"> </w:t>
      </w:r>
      <w:r w:rsidRPr="008E0586">
        <w:rPr>
          <w:rFonts w:ascii="Century" w:hAnsi="Century" w:hint="eastAsia"/>
          <w:sz w:val="22"/>
          <w:rtl/>
        </w:rPr>
        <w:t>תעודת</w:t>
      </w:r>
      <w:r w:rsidRPr="008E0586">
        <w:rPr>
          <w:rFonts w:ascii="Century" w:hAnsi="Century"/>
          <w:sz w:val="22"/>
          <w:rtl/>
        </w:rPr>
        <w:t xml:space="preserve"> </w:t>
      </w:r>
      <w:r w:rsidRPr="008E0586">
        <w:rPr>
          <w:rFonts w:ascii="Century" w:hAnsi="Century" w:hint="eastAsia"/>
          <w:sz w:val="22"/>
          <w:rtl/>
        </w:rPr>
        <w:t>הזהות</w:t>
      </w:r>
      <w:r w:rsidRPr="008E0586">
        <w:rPr>
          <w:rFonts w:ascii="Century" w:hAnsi="Century"/>
          <w:sz w:val="22"/>
          <w:rtl/>
        </w:rPr>
        <w:t xml:space="preserve"> </w:t>
      </w:r>
      <w:r w:rsidRPr="008E0586">
        <w:rPr>
          <w:rFonts w:ascii="Century" w:hAnsi="Century" w:hint="eastAsia"/>
          <w:sz w:val="22"/>
          <w:rtl/>
        </w:rPr>
        <w:t>של</w:t>
      </w:r>
      <w:r w:rsidRPr="008E0586">
        <w:rPr>
          <w:rFonts w:ascii="Century" w:hAnsi="Century"/>
          <w:sz w:val="22"/>
          <w:rtl/>
        </w:rPr>
        <w:t xml:space="preserve"> </w:t>
      </w:r>
      <w:r w:rsidRPr="008E0586">
        <w:rPr>
          <w:rFonts w:ascii="Century" w:hAnsi="Century" w:hint="eastAsia"/>
          <w:sz w:val="22"/>
          <w:rtl/>
        </w:rPr>
        <w:t>המדינה</w:t>
      </w:r>
      <w:r w:rsidRPr="008E0586">
        <w:rPr>
          <w:rFonts w:ascii="Century" w:hAnsi="Century"/>
          <w:sz w:val="22"/>
          <w:rtl/>
        </w:rPr>
        <w:t xml:space="preserve"> </w:t>
      </w:r>
      <w:r w:rsidRPr="008E0586">
        <w:rPr>
          <w:rFonts w:ascii="Century" w:hAnsi="Century" w:hint="eastAsia"/>
          <w:sz w:val="22"/>
          <w:rtl/>
        </w:rPr>
        <w:t>כיחידה</w:t>
      </w:r>
      <w:r w:rsidRPr="008E0586">
        <w:rPr>
          <w:rFonts w:ascii="Century" w:hAnsi="Century"/>
          <w:sz w:val="22"/>
          <w:rtl/>
        </w:rPr>
        <w:t xml:space="preserve"> </w:t>
      </w:r>
      <w:r w:rsidRPr="008E0586">
        <w:rPr>
          <w:rFonts w:ascii="Century" w:hAnsi="Century" w:hint="eastAsia"/>
          <w:sz w:val="22"/>
          <w:rtl/>
        </w:rPr>
        <w:t>מדינית</w:t>
      </w:r>
      <w:r w:rsidRPr="008E0586">
        <w:rPr>
          <w:rFonts w:ascii="Century" w:hAnsi="Century"/>
          <w:sz w:val="22"/>
          <w:rtl/>
        </w:rPr>
        <w:t xml:space="preserve">, </w:t>
      </w:r>
      <w:r w:rsidRPr="008E0586">
        <w:rPr>
          <w:rFonts w:ascii="Century" w:hAnsi="Century" w:hint="eastAsia"/>
          <w:sz w:val="22"/>
          <w:rtl/>
        </w:rPr>
        <w:t>ריבונית</w:t>
      </w:r>
      <w:r w:rsidRPr="008E0586">
        <w:rPr>
          <w:rFonts w:ascii="Century" w:hAnsi="Century"/>
          <w:sz w:val="22"/>
          <w:rtl/>
        </w:rPr>
        <w:t xml:space="preserve"> </w:t>
      </w:r>
      <w:r w:rsidRPr="008E0586">
        <w:rPr>
          <w:rFonts w:ascii="Century" w:hAnsi="Century" w:hint="eastAsia"/>
          <w:sz w:val="22"/>
          <w:rtl/>
        </w:rPr>
        <w:t>ועצמאית</w:t>
      </w:r>
      <w:r w:rsidRPr="008E0586">
        <w:rPr>
          <w:rFonts w:ascii="Century" w:hAnsi="Century"/>
          <w:sz w:val="22"/>
          <w:rtl/>
        </w:rPr>
        <w:t>" (</w:t>
      </w:r>
      <w:r w:rsidRPr="008E0586">
        <w:rPr>
          <w:rFonts w:ascii="Century" w:hAnsi="Century" w:hint="eastAsia"/>
          <w:sz w:val="22"/>
          <w:rtl/>
        </w:rPr>
        <w:t>ראו</w:t>
      </w:r>
      <w:r w:rsidRPr="008E0586">
        <w:rPr>
          <w:rFonts w:ascii="Century" w:hAnsi="Century"/>
          <w:sz w:val="22"/>
          <w:rtl/>
        </w:rPr>
        <w:t xml:space="preserve">: </w:t>
      </w:r>
      <w:r w:rsidRPr="008E0586">
        <w:rPr>
          <w:rFonts w:ascii="Century" w:hAnsi="Century" w:hint="eastAsia"/>
          <w:sz w:val="22"/>
          <w:rtl/>
        </w:rPr>
        <w:t>עניין</w:t>
      </w:r>
      <w:r w:rsidRPr="00C66B06">
        <w:rPr>
          <w:rtl/>
        </w:rPr>
        <w:t xml:space="preserve"> </w:t>
      </w:r>
      <w:r w:rsidRPr="00C66B06">
        <w:rPr>
          <w:rFonts w:ascii="Century" w:hAnsi="Century" w:cs="Miriam" w:hint="cs"/>
          <w:b/>
          <w:spacing w:val="0"/>
          <w:sz w:val="22"/>
          <w:szCs w:val="24"/>
          <w:rtl/>
        </w:rPr>
        <w:t>בנק המזרחי</w:t>
      </w:r>
      <w:r w:rsidRPr="00C66B06">
        <w:rPr>
          <w:rtl/>
        </w:rPr>
        <w:t xml:space="preserve">, </w:t>
      </w:r>
      <w:r w:rsidRPr="00C66B06">
        <w:rPr>
          <w:rFonts w:hint="eastAsia"/>
          <w:rtl/>
        </w:rPr>
        <w:t>בעמ</w:t>
      </w:r>
      <w:r w:rsidRPr="00C66B06">
        <w:rPr>
          <w:rtl/>
        </w:rPr>
        <w:t xml:space="preserve">' </w:t>
      </w:r>
      <w:r w:rsidRPr="008E0586">
        <w:rPr>
          <w:rFonts w:ascii="Century" w:hAnsi="Century"/>
          <w:sz w:val="22"/>
          <w:rtl/>
        </w:rPr>
        <w:t xml:space="preserve">309) – </w:t>
      </w:r>
      <w:r w:rsidRPr="008E0586">
        <w:rPr>
          <w:rFonts w:ascii="Century" w:hAnsi="Century" w:hint="eastAsia"/>
          <w:sz w:val="22"/>
          <w:rtl/>
        </w:rPr>
        <w:t>אמירה</w:t>
      </w:r>
      <w:r w:rsidRPr="008E0586">
        <w:rPr>
          <w:rFonts w:ascii="Century" w:hAnsi="Century"/>
          <w:sz w:val="22"/>
          <w:rtl/>
        </w:rPr>
        <w:t xml:space="preserve"> </w:t>
      </w:r>
      <w:r w:rsidRPr="008E0586">
        <w:rPr>
          <w:rFonts w:ascii="Century" w:hAnsi="Century" w:hint="eastAsia"/>
          <w:sz w:val="22"/>
          <w:rtl/>
        </w:rPr>
        <w:t>שרואה</w:t>
      </w:r>
      <w:r w:rsidRPr="008E0586">
        <w:rPr>
          <w:rFonts w:ascii="Century" w:hAnsi="Century"/>
          <w:sz w:val="22"/>
          <w:rtl/>
        </w:rPr>
        <w:t xml:space="preserve"> </w:t>
      </w:r>
      <w:r w:rsidRPr="008E0586">
        <w:rPr>
          <w:rFonts w:ascii="Century" w:hAnsi="Century" w:hint="eastAsia"/>
          <w:sz w:val="22"/>
          <w:rtl/>
        </w:rPr>
        <w:t>בהכרזת</w:t>
      </w:r>
      <w:r w:rsidRPr="008E0586">
        <w:rPr>
          <w:rFonts w:ascii="Century" w:hAnsi="Century"/>
          <w:sz w:val="22"/>
          <w:rtl/>
        </w:rPr>
        <w:t xml:space="preserve"> העצמאות </w:t>
      </w:r>
      <w:r w:rsidRPr="008E0586">
        <w:rPr>
          <w:rFonts w:ascii="Century" w:hAnsi="Century" w:hint="eastAsia"/>
          <w:sz w:val="22"/>
          <w:rtl/>
        </w:rPr>
        <w:t>נורמה</w:t>
      </w:r>
      <w:r w:rsidRPr="008E0586">
        <w:rPr>
          <w:rFonts w:ascii="Century" w:hAnsi="Century"/>
          <w:sz w:val="22"/>
          <w:rtl/>
        </w:rPr>
        <w:t xml:space="preserve"> </w:t>
      </w:r>
      <w:r w:rsidRPr="008E0586">
        <w:rPr>
          <w:rFonts w:ascii="Century" w:hAnsi="Century" w:hint="eastAsia"/>
          <w:sz w:val="22"/>
          <w:rtl/>
        </w:rPr>
        <w:t>בסיסית</w:t>
      </w:r>
      <w:r w:rsidRPr="008E0586">
        <w:rPr>
          <w:rFonts w:ascii="Century" w:hAnsi="Century"/>
          <w:sz w:val="22"/>
          <w:rtl/>
        </w:rPr>
        <w:t xml:space="preserve"> </w:t>
      </w:r>
      <w:r w:rsidRPr="008E0586">
        <w:rPr>
          <w:rFonts w:ascii="Century" w:hAnsi="Century" w:hint="eastAsia"/>
          <w:sz w:val="22"/>
          <w:rtl/>
        </w:rPr>
        <w:t>וכן</w:t>
      </w:r>
      <w:r w:rsidRPr="008E0586">
        <w:rPr>
          <w:rFonts w:ascii="Century" w:hAnsi="Century"/>
          <w:sz w:val="22"/>
          <w:rtl/>
        </w:rPr>
        <w:t xml:space="preserve"> </w:t>
      </w:r>
      <w:r w:rsidRPr="008E0586">
        <w:rPr>
          <w:rFonts w:ascii="Century" w:hAnsi="Century" w:hint="eastAsia"/>
          <w:sz w:val="22"/>
          <w:rtl/>
        </w:rPr>
        <w:t>המסד</w:t>
      </w:r>
      <w:r w:rsidRPr="008E0586">
        <w:rPr>
          <w:rFonts w:ascii="Century" w:hAnsi="Century"/>
          <w:sz w:val="22"/>
          <w:rtl/>
        </w:rPr>
        <w:t xml:space="preserve"> </w:t>
      </w:r>
      <w:r w:rsidRPr="008E0586">
        <w:rPr>
          <w:rFonts w:ascii="Century" w:hAnsi="Century" w:hint="eastAsia"/>
          <w:sz w:val="22"/>
          <w:rtl/>
        </w:rPr>
        <w:t>עליו</w:t>
      </w:r>
      <w:r w:rsidRPr="008E0586">
        <w:rPr>
          <w:rFonts w:ascii="Century" w:hAnsi="Century"/>
          <w:sz w:val="22"/>
          <w:rtl/>
        </w:rPr>
        <w:t xml:space="preserve"> </w:t>
      </w:r>
      <w:r w:rsidRPr="008E0586">
        <w:rPr>
          <w:rFonts w:ascii="Century" w:hAnsi="Century" w:hint="eastAsia"/>
          <w:sz w:val="22"/>
          <w:rtl/>
        </w:rPr>
        <w:t>עומד</w:t>
      </w:r>
      <w:r w:rsidRPr="008E0586">
        <w:rPr>
          <w:rFonts w:ascii="Century" w:hAnsi="Century"/>
          <w:sz w:val="22"/>
          <w:rtl/>
        </w:rPr>
        <w:t xml:space="preserve"> </w:t>
      </w:r>
      <w:r w:rsidRPr="008E0586">
        <w:rPr>
          <w:rFonts w:ascii="Century" w:hAnsi="Century" w:hint="eastAsia"/>
          <w:sz w:val="22"/>
          <w:rtl/>
        </w:rPr>
        <w:t>המשפט</w:t>
      </w:r>
      <w:r w:rsidRPr="008E0586">
        <w:rPr>
          <w:rFonts w:ascii="Century" w:hAnsi="Century"/>
          <w:sz w:val="22"/>
          <w:rtl/>
        </w:rPr>
        <w:t xml:space="preserve"> </w:t>
      </w:r>
      <w:r w:rsidRPr="008E0586">
        <w:rPr>
          <w:rFonts w:ascii="Century" w:hAnsi="Century" w:hint="eastAsia"/>
          <w:sz w:val="22"/>
          <w:rtl/>
        </w:rPr>
        <w:t>הישראלי</w:t>
      </w:r>
      <w:r w:rsidRPr="008E0586">
        <w:rPr>
          <w:rFonts w:ascii="Century" w:hAnsi="Century"/>
          <w:sz w:val="22"/>
          <w:rtl/>
        </w:rPr>
        <w:t xml:space="preserve"> </w:t>
      </w:r>
      <w:r w:rsidRPr="008E0586">
        <w:rPr>
          <w:rFonts w:ascii="Century" w:hAnsi="Century" w:hint="eastAsia"/>
          <w:sz w:val="22"/>
          <w:rtl/>
        </w:rPr>
        <w:t>כולו</w:t>
      </w:r>
      <w:r w:rsidRPr="008E0586">
        <w:rPr>
          <w:rFonts w:ascii="Century" w:hAnsi="Century"/>
          <w:sz w:val="22"/>
          <w:rtl/>
        </w:rPr>
        <w:t>.</w:t>
      </w:r>
      <w:r w:rsidRPr="00C66B06">
        <w:rPr>
          <w:rFonts w:ascii="FrankRuehl" w:hAnsi="FrankRuehl" w:hint="cs"/>
          <w:color w:val="222222"/>
          <w:spacing w:val="0"/>
          <w:sz w:val="28"/>
          <w:rtl/>
        </w:rPr>
        <w:t xml:space="preserve"> </w:t>
      </w:r>
    </w:p>
    <w:p w:rsidR="0047626A" w:rsidRDefault="0047626A" w:rsidP="0047626A">
      <w:pPr>
        <w:pStyle w:val="Ruller4"/>
        <w:numPr>
          <w:ilvl w:val="0"/>
          <w:numId w:val="0"/>
        </w:numPr>
        <w:rPr>
          <w:rFonts w:ascii="FrankRuehl" w:hAnsi="FrankRuehl"/>
          <w:color w:val="222222"/>
          <w:spacing w:val="0"/>
          <w:sz w:val="28"/>
          <w:rtl/>
        </w:rPr>
      </w:pPr>
    </w:p>
    <w:p w:rsidR="0047626A" w:rsidRPr="008E0586" w:rsidRDefault="0047626A" w:rsidP="0047626A">
      <w:pPr>
        <w:pStyle w:val="Ruller4"/>
        <w:numPr>
          <w:ilvl w:val="0"/>
          <w:numId w:val="0"/>
        </w:numPr>
        <w:rPr>
          <w:rFonts w:ascii="Century" w:hAnsi="Century"/>
          <w:sz w:val="22"/>
          <w:rtl/>
        </w:rPr>
      </w:pPr>
      <w:r>
        <w:rPr>
          <w:rFonts w:ascii="FrankRuehl" w:hAnsi="FrankRuehl"/>
          <w:color w:val="222222"/>
          <w:spacing w:val="0"/>
          <w:sz w:val="28"/>
          <w:rtl/>
        </w:rPr>
        <w:tab/>
      </w:r>
      <w:r w:rsidRPr="008E0586">
        <w:rPr>
          <w:rFonts w:ascii="Century" w:hAnsi="Century" w:hint="eastAsia"/>
          <w:sz w:val="22"/>
          <w:rtl/>
        </w:rPr>
        <w:t>בהקשר</w:t>
      </w:r>
      <w:r w:rsidRPr="008E0586">
        <w:rPr>
          <w:rFonts w:ascii="Century" w:hAnsi="Century"/>
          <w:sz w:val="22"/>
          <w:rtl/>
        </w:rPr>
        <w:t xml:space="preserve"> זה,</w:t>
      </w:r>
      <w:r>
        <w:rPr>
          <w:rFonts w:ascii="Century" w:hAnsi="Century" w:hint="cs"/>
          <w:sz w:val="22"/>
          <w:rtl/>
        </w:rPr>
        <w:t xml:space="preserve"> הפנתי</w:t>
      </w:r>
      <w:r w:rsidRPr="00CC3A36">
        <w:rPr>
          <w:rFonts w:ascii="FrankRuehl" w:hAnsi="FrankRuehl"/>
          <w:color w:val="222222"/>
          <w:spacing w:val="0"/>
          <w:sz w:val="28"/>
          <w:rtl/>
        </w:rPr>
        <w:t xml:space="preserve"> </w:t>
      </w:r>
      <w:r w:rsidRPr="00CC3A36">
        <w:rPr>
          <w:rFonts w:ascii="FrankRuehl" w:hAnsi="FrankRuehl" w:hint="eastAsia"/>
          <w:color w:val="222222"/>
          <w:spacing w:val="0"/>
          <w:sz w:val="28"/>
          <w:rtl/>
        </w:rPr>
        <w:t>גם</w:t>
      </w:r>
      <w:r w:rsidRPr="00CC3A36">
        <w:rPr>
          <w:rFonts w:ascii="FrankRuehl" w:hAnsi="FrankRuehl"/>
          <w:color w:val="222222"/>
          <w:spacing w:val="0"/>
          <w:sz w:val="28"/>
          <w:rtl/>
        </w:rPr>
        <w:t xml:space="preserve"> </w:t>
      </w:r>
      <w:r w:rsidRPr="008E0586">
        <w:rPr>
          <w:rFonts w:ascii="Century" w:hAnsi="Century" w:hint="eastAsia"/>
          <w:sz w:val="22"/>
          <w:rtl/>
        </w:rPr>
        <w:t>לדבריהם</w:t>
      </w:r>
      <w:r w:rsidRPr="008E0586">
        <w:rPr>
          <w:rFonts w:ascii="Century" w:hAnsi="Century"/>
          <w:sz w:val="22"/>
          <w:rtl/>
        </w:rPr>
        <w:t xml:space="preserve"> הנכונים של </w:t>
      </w:r>
      <w:r w:rsidRPr="008E0586">
        <w:rPr>
          <w:rFonts w:ascii="Century" w:hAnsi="Century" w:hint="eastAsia"/>
          <w:sz w:val="22"/>
          <w:rtl/>
        </w:rPr>
        <w:t>המלומדים</w:t>
      </w:r>
      <w:r w:rsidRPr="008E0586">
        <w:rPr>
          <w:rFonts w:ascii="Century" w:hAnsi="Century"/>
          <w:sz w:val="22"/>
          <w:rtl/>
        </w:rPr>
        <w:t xml:space="preserve"> פרופ' </w:t>
      </w:r>
      <w:r w:rsidRPr="008E0586">
        <w:rPr>
          <w:rFonts w:ascii="Century" w:hAnsi="Century" w:hint="eastAsia"/>
          <w:sz w:val="22"/>
          <w:rtl/>
        </w:rPr>
        <w:t>אמנון</w:t>
      </w:r>
      <w:r w:rsidRPr="008E0586">
        <w:rPr>
          <w:rFonts w:ascii="Century" w:hAnsi="Century"/>
          <w:sz w:val="22"/>
          <w:rtl/>
        </w:rPr>
        <w:t xml:space="preserve"> </w:t>
      </w:r>
      <w:r w:rsidRPr="008E0586">
        <w:rPr>
          <w:rFonts w:ascii="Century" w:hAnsi="Century" w:hint="eastAsia"/>
          <w:sz w:val="22"/>
          <w:rtl/>
        </w:rPr>
        <w:t>רובינשטיין</w:t>
      </w:r>
      <w:r w:rsidRPr="008E0586">
        <w:rPr>
          <w:rFonts w:ascii="Century" w:hAnsi="Century"/>
          <w:sz w:val="22"/>
          <w:rtl/>
        </w:rPr>
        <w:t xml:space="preserve"> </w:t>
      </w:r>
      <w:r w:rsidRPr="008E0586">
        <w:rPr>
          <w:rFonts w:ascii="Century" w:hAnsi="Century" w:hint="eastAsia"/>
          <w:sz w:val="22"/>
          <w:rtl/>
        </w:rPr>
        <w:t>ופרופ</w:t>
      </w:r>
      <w:r w:rsidRPr="008E0586">
        <w:rPr>
          <w:rFonts w:ascii="Century" w:hAnsi="Century"/>
          <w:sz w:val="22"/>
          <w:rtl/>
        </w:rPr>
        <w:t xml:space="preserve">' </w:t>
      </w:r>
      <w:r w:rsidRPr="008E0586">
        <w:rPr>
          <w:rFonts w:ascii="Century" w:hAnsi="Century" w:hint="eastAsia"/>
          <w:sz w:val="22"/>
          <w:rtl/>
        </w:rPr>
        <w:t>ברק</w:t>
      </w:r>
      <w:r w:rsidRPr="008E0586">
        <w:rPr>
          <w:rFonts w:ascii="Century" w:hAnsi="Century"/>
          <w:sz w:val="22"/>
          <w:rtl/>
        </w:rPr>
        <w:t xml:space="preserve"> </w:t>
      </w:r>
      <w:r w:rsidRPr="008E0586">
        <w:rPr>
          <w:rFonts w:ascii="Century" w:hAnsi="Century" w:hint="eastAsia"/>
          <w:sz w:val="22"/>
          <w:rtl/>
        </w:rPr>
        <w:t>מדינה</w:t>
      </w:r>
      <w:r>
        <w:rPr>
          <w:rFonts w:ascii="Century" w:hAnsi="Century" w:hint="cs"/>
          <w:sz w:val="22"/>
          <w:rtl/>
        </w:rPr>
        <w:t>; ואביאם גם כאן</w:t>
      </w:r>
      <w:r w:rsidRPr="008E0586">
        <w:rPr>
          <w:rFonts w:ascii="Century" w:hAnsi="Century"/>
          <w:sz w:val="22"/>
          <w:rtl/>
        </w:rPr>
        <w:t>:</w:t>
      </w:r>
    </w:p>
    <w:p w:rsidR="0047626A" w:rsidRPr="00B650C6" w:rsidRDefault="0047626A" w:rsidP="0047626A">
      <w:pPr>
        <w:pStyle w:val="Ruller41"/>
      </w:pPr>
    </w:p>
    <w:p w:rsidR="0047626A" w:rsidRPr="00D05E2F" w:rsidRDefault="0047626A" w:rsidP="0047626A">
      <w:pPr>
        <w:pStyle w:val="Ruller5"/>
        <w:rPr>
          <w:rtl/>
        </w:rPr>
      </w:pPr>
      <w:r>
        <w:rPr>
          <w:rFonts w:hint="cs"/>
          <w:rtl/>
        </w:rPr>
        <w:lastRenderedPageBreak/>
        <w:t xml:space="preserve">"מבחינה משפטית פועלה של ההכרזה הוא בשני מישורים עיקריים: ראשית, היא מבטאת את 'הנורמה הבסיסית' של המשפט בישראל; שנית, היא מבטאת את ה'אני מאמין' של העם, ומתווה בכך את אופיה של המדינה" (ראו: </w:t>
      </w:r>
      <w:r w:rsidRPr="00D05E2F">
        <w:rPr>
          <w:rFonts w:hint="eastAsia"/>
          <w:rtl/>
        </w:rPr>
        <w:t>אמנון</w:t>
      </w:r>
      <w:r w:rsidRPr="00D05E2F">
        <w:rPr>
          <w:rtl/>
        </w:rPr>
        <w:t xml:space="preserve"> </w:t>
      </w:r>
      <w:r w:rsidRPr="00D05E2F">
        <w:rPr>
          <w:rFonts w:hint="eastAsia"/>
          <w:rtl/>
        </w:rPr>
        <w:t>רובינשטיין</w:t>
      </w:r>
      <w:r w:rsidRPr="00D05E2F">
        <w:rPr>
          <w:rtl/>
        </w:rPr>
        <w:t xml:space="preserve"> </w:t>
      </w:r>
      <w:r w:rsidRPr="00D05E2F">
        <w:rPr>
          <w:rFonts w:hint="eastAsia"/>
          <w:rtl/>
        </w:rPr>
        <w:t>וברק</w:t>
      </w:r>
      <w:r w:rsidRPr="00D05E2F">
        <w:rPr>
          <w:rtl/>
        </w:rPr>
        <w:t xml:space="preserve"> </w:t>
      </w:r>
      <w:r w:rsidRPr="00D05E2F">
        <w:rPr>
          <w:rFonts w:hint="eastAsia"/>
          <w:rtl/>
        </w:rPr>
        <w:t>מדינה</w:t>
      </w:r>
      <w:r w:rsidRPr="00D05E2F">
        <w:rPr>
          <w:rtl/>
        </w:rPr>
        <w:t xml:space="preserve"> </w:t>
      </w:r>
      <w:r w:rsidRPr="00D05E2F">
        <w:rPr>
          <w:rFonts w:ascii="Century" w:hAnsi="Century" w:cs="Miriam" w:hint="eastAsia"/>
          <w:b/>
          <w:spacing w:val="0"/>
          <w:szCs w:val="24"/>
          <w:rtl/>
        </w:rPr>
        <w:t>המשפט</w:t>
      </w:r>
      <w:r w:rsidRPr="00D05E2F">
        <w:rPr>
          <w:rFonts w:ascii="Century" w:hAnsi="Century" w:cs="Miriam"/>
          <w:b/>
          <w:spacing w:val="0"/>
          <w:szCs w:val="24"/>
          <w:rtl/>
        </w:rPr>
        <w:t xml:space="preserve"> </w:t>
      </w:r>
      <w:r w:rsidRPr="00D05E2F">
        <w:rPr>
          <w:rFonts w:ascii="Century" w:hAnsi="Century" w:cs="Miriam" w:hint="eastAsia"/>
          <w:b/>
          <w:spacing w:val="0"/>
          <w:szCs w:val="24"/>
          <w:rtl/>
        </w:rPr>
        <w:t>החוקתי</w:t>
      </w:r>
      <w:r w:rsidRPr="00D05E2F">
        <w:rPr>
          <w:rFonts w:ascii="Century" w:hAnsi="Century" w:cs="Miriam"/>
          <w:b/>
          <w:spacing w:val="0"/>
          <w:szCs w:val="24"/>
          <w:rtl/>
        </w:rPr>
        <w:t xml:space="preserve"> </w:t>
      </w:r>
      <w:r w:rsidRPr="00D05E2F">
        <w:rPr>
          <w:rFonts w:ascii="Century" w:hAnsi="Century" w:cs="Miriam" w:hint="eastAsia"/>
          <w:b/>
          <w:spacing w:val="0"/>
          <w:szCs w:val="24"/>
          <w:rtl/>
        </w:rPr>
        <w:t>של</w:t>
      </w:r>
      <w:r w:rsidRPr="00D05E2F">
        <w:rPr>
          <w:rFonts w:ascii="Century" w:hAnsi="Century" w:cs="Miriam"/>
          <w:b/>
          <w:spacing w:val="0"/>
          <w:szCs w:val="24"/>
          <w:rtl/>
        </w:rPr>
        <w:t xml:space="preserve"> </w:t>
      </w:r>
      <w:r w:rsidRPr="00D05E2F">
        <w:rPr>
          <w:rFonts w:ascii="Century" w:hAnsi="Century" w:cs="Miriam" w:hint="eastAsia"/>
          <w:b/>
          <w:spacing w:val="0"/>
          <w:szCs w:val="24"/>
          <w:rtl/>
        </w:rPr>
        <w:t>מדינת</w:t>
      </w:r>
      <w:r w:rsidRPr="00D05E2F">
        <w:rPr>
          <w:rFonts w:ascii="Century" w:hAnsi="Century" w:cs="Miriam"/>
          <w:b/>
          <w:spacing w:val="0"/>
          <w:szCs w:val="24"/>
          <w:rtl/>
        </w:rPr>
        <w:t xml:space="preserve"> </w:t>
      </w:r>
      <w:r w:rsidRPr="00D05E2F">
        <w:rPr>
          <w:rFonts w:ascii="Century" w:hAnsi="Century" w:cs="Miriam" w:hint="eastAsia"/>
          <w:b/>
          <w:spacing w:val="0"/>
          <w:szCs w:val="24"/>
          <w:rtl/>
        </w:rPr>
        <w:t>ישראל</w:t>
      </w:r>
      <w:r w:rsidRPr="00D05E2F">
        <w:rPr>
          <w:rFonts w:ascii="Century" w:hAnsi="Century" w:cs="Miriam"/>
          <w:b/>
          <w:spacing w:val="0"/>
          <w:szCs w:val="24"/>
          <w:rtl/>
        </w:rPr>
        <w:t xml:space="preserve">: </w:t>
      </w:r>
      <w:r w:rsidRPr="00D05E2F">
        <w:rPr>
          <w:rFonts w:ascii="Century" w:hAnsi="Century" w:cs="Miriam" w:hint="eastAsia"/>
          <w:b/>
          <w:spacing w:val="0"/>
          <w:szCs w:val="24"/>
          <w:rtl/>
        </w:rPr>
        <w:t>עקרונות</w:t>
      </w:r>
      <w:r w:rsidRPr="00D05E2F">
        <w:rPr>
          <w:rFonts w:ascii="Century" w:hAnsi="Century" w:cs="Miriam"/>
          <w:b/>
          <w:spacing w:val="0"/>
          <w:szCs w:val="24"/>
          <w:rtl/>
        </w:rPr>
        <w:t xml:space="preserve"> </w:t>
      </w:r>
      <w:r w:rsidRPr="00D05E2F">
        <w:rPr>
          <w:rFonts w:ascii="Century" w:hAnsi="Century" w:cs="Miriam" w:hint="eastAsia"/>
          <w:b/>
          <w:spacing w:val="0"/>
          <w:szCs w:val="24"/>
          <w:rtl/>
        </w:rPr>
        <w:t>יסוד</w:t>
      </w:r>
      <w:r w:rsidRPr="00D05E2F">
        <w:rPr>
          <w:rtl/>
        </w:rPr>
        <w:t xml:space="preserve"> 37 (2005)</w:t>
      </w:r>
      <w:r>
        <w:rPr>
          <w:rFonts w:hint="cs"/>
          <w:rtl/>
        </w:rPr>
        <w:t>).</w:t>
      </w:r>
    </w:p>
    <w:p w:rsidR="0047626A" w:rsidRPr="00D05E2F" w:rsidRDefault="0047626A" w:rsidP="0047626A">
      <w:pPr>
        <w:pStyle w:val="Ruller41"/>
      </w:pPr>
    </w:p>
    <w:p w:rsidR="0047626A" w:rsidRPr="008E0586" w:rsidRDefault="0047626A" w:rsidP="0047626A">
      <w:pPr>
        <w:pStyle w:val="Ruller4"/>
        <w:rPr>
          <w:rFonts w:ascii="Century" w:hAnsi="Century"/>
          <w:sz w:val="22"/>
        </w:rPr>
      </w:pPr>
      <w:r w:rsidRPr="008E0586">
        <w:rPr>
          <w:rFonts w:ascii="Century" w:hAnsi="Century" w:hint="eastAsia"/>
          <w:sz w:val="22"/>
          <w:rtl/>
        </w:rPr>
        <w:t>כפי</w:t>
      </w:r>
      <w:r w:rsidRPr="008E0586">
        <w:rPr>
          <w:rFonts w:ascii="Century" w:hAnsi="Century"/>
          <w:sz w:val="22"/>
          <w:rtl/>
        </w:rPr>
        <w:t xml:space="preserve"> </w:t>
      </w:r>
      <w:r>
        <w:rPr>
          <w:rFonts w:ascii="Century" w:hAnsi="Century" w:hint="cs"/>
          <w:sz w:val="22"/>
          <w:rtl/>
        </w:rPr>
        <w:t xml:space="preserve">שהסברתי, וכפי </w:t>
      </w:r>
      <w:r w:rsidRPr="008E0586">
        <w:rPr>
          <w:rFonts w:ascii="Century" w:hAnsi="Century" w:hint="eastAsia"/>
          <w:sz w:val="22"/>
          <w:rtl/>
        </w:rPr>
        <w:t>שניתן</w:t>
      </w:r>
      <w:r w:rsidRPr="008E0586">
        <w:rPr>
          <w:rFonts w:ascii="Century" w:hAnsi="Century"/>
          <w:sz w:val="22"/>
          <w:rtl/>
        </w:rPr>
        <w:t xml:space="preserve"> </w:t>
      </w:r>
      <w:r w:rsidRPr="008E0586">
        <w:rPr>
          <w:rFonts w:ascii="Century" w:hAnsi="Century" w:hint="eastAsia"/>
          <w:sz w:val="22"/>
          <w:rtl/>
        </w:rPr>
        <w:t>להיווכח</w:t>
      </w:r>
      <w:r>
        <w:rPr>
          <w:rFonts w:ascii="Century" w:hAnsi="Century" w:hint="cs"/>
          <w:sz w:val="22"/>
          <w:rtl/>
        </w:rPr>
        <w:t xml:space="preserve"> מהכתובים</w:t>
      </w:r>
      <w:r w:rsidRPr="008E0586">
        <w:rPr>
          <w:rFonts w:ascii="Century" w:hAnsi="Century"/>
          <w:sz w:val="22"/>
          <w:rtl/>
        </w:rPr>
        <w:t xml:space="preserve">, </w:t>
      </w:r>
      <w:r w:rsidRPr="008E0586">
        <w:rPr>
          <w:rFonts w:ascii="Century" w:hAnsi="Century" w:hint="eastAsia"/>
          <w:sz w:val="22"/>
          <w:rtl/>
        </w:rPr>
        <w:t>הדעות</w:t>
      </w:r>
      <w:r w:rsidRPr="008E0586">
        <w:rPr>
          <w:rFonts w:ascii="Century" w:hAnsi="Century"/>
          <w:sz w:val="22"/>
          <w:rtl/>
        </w:rPr>
        <w:t xml:space="preserve"> שהובאו לעיל אינן כוללות התייחסות לאמור במסמכי </w:t>
      </w:r>
      <w:r w:rsidRPr="008E0586">
        <w:rPr>
          <w:rFonts w:ascii="Century" w:hAnsi="Century" w:hint="eastAsia"/>
          <w:sz w:val="22"/>
          <w:rtl/>
        </w:rPr>
        <w:t>הקמתו</w:t>
      </w:r>
      <w:r w:rsidRPr="008E0586">
        <w:rPr>
          <w:rFonts w:ascii="Century" w:hAnsi="Century"/>
          <w:sz w:val="22"/>
          <w:rtl/>
        </w:rPr>
        <w:t xml:space="preserve"> </w:t>
      </w:r>
      <w:r w:rsidRPr="008E0586">
        <w:rPr>
          <w:rFonts w:ascii="Century" w:hAnsi="Century" w:hint="eastAsia"/>
          <w:sz w:val="22"/>
          <w:rtl/>
        </w:rPr>
        <w:t>של</w:t>
      </w:r>
      <w:r w:rsidRPr="008E0586">
        <w:rPr>
          <w:rFonts w:ascii="Century" w:hAnsi="Century"/>
          <w:sz w:val="22"/>
          <w:rtl/>
        </w:rPr>
        <w:t xml:space="preserve"> משפט המדינה – המנשר ופקודת סדרי השלטון והמשפט </w:t>
      </w:r>
      <w:r>
        <w:rPr>
          <w:rFonts w:ascii="Century" w:hAnsi="Century" w:hint="cs"/>
          <w:sz w:val="22"/>
          <w:rtl/>
        </w:rPr>
        <w:t xml:space="preserve">המקורית </w:t>
      </w:r>
      <w:r w:rsidRPr="008E0586">
        <w:rPr>
          <w:rFonts w:ascii="Century" w:hAnsi="Century"/>
          <w:sz w:val="22"/>
          <w:rtl/>
        </w:rPr>
        <w:t xml:space="preserve">– באשר למעמדה המשפטי הפורמלי של הכרזת העצמאות כנורמה בסיסית עליה עומד המשפט הישראלי כולו, וכנורמה מכוננת אשר תוחמת את סמכויות החקיקה של הכנסת. סבורני כי הדבר מחייבנו לתקן את ההלכה הפסוקה ולקבוע </w:t>
      </w:r>
      <w:r w:rsidRPr="008E0586">
        <w:rPr>
          <w:rFonts w:ascii="Century" w:hAnsi="Century" w:hint="eastAsia"/>
          <w:sz w:val="22"/>
          <w:rtl/>
        </w:rPr>
        <w:t>במילים</w:t>
      </w:r>
      <w:r w:rsidRPr="008E0586">
        <w:rPr>
          <w:rFonts w:ascii="Century" w:hAnsi="Century"/>
          <w:sz w:val="22"/>
          <w:rtl/>
        </w:rPr>
        <w:t xml:space="preserve"> </w:t>
      </w:r>
      <w:r w:rsidRPr="008E0586">
        <w:rPr>
          <w:rFonts w:ascii="Century" w:hAnsi="Century" w:hint="eastAsia"/>
          <w:sz w:val="22"/>
          <w:rtl/>
        </w:rPr>
        <w:t>מפורשות</w:t>
      </w:r>
      <w:r w:rsidRPr="008E0586">
        <w:rPr>
          <w:rFonts w:ascii="Century" w:hAnsi="Century"/>
          <w:sz w:val="22"/>
          <w:rtl/>
        </w:rPr>
        <w:t xml:space="preserve"> – בהתאם לאמור במנשר ובפקודת סדרי השלטון והמשפט </w:t>
      </w:r>
      <w:r>
        <w:rPr>
          <w:rFonts w:ascii="Century" w:hAnsi="Century" w:hint="cs"/>
          <w:sz w:val="22"/>
          <w:rtl/>
        </w:rPr>
        <w:t xml:space="preserve">המקורית </w:t>
      </w:r>
      <w:r w:rsidRPr="008E0586">
        <w:rPr>
          <w:rFonts w:ascii="Century" w:hAnsi="Century"/>
          <w:sz w:val="22"/>
          <w:rtl/>
        </w:rPr>
        <w:t xml:space="preserve">– כי הכרזת העצמאות היא הנורמה </w:t>
      </w:r>
      <w:r w:rsidRPr="008E0586">
        <w:rPr>
          <w:rFonts w:ascii="Century" w:hAnsi="Century" w:hint="eastAsia"/>
          <w:sz w:val="22"/>
          <w:rtl/>
        </w:rPr>
        <w:t>המשפטית</w:t>
      </w:r>
      <w:r w:rsidRPr="008E0586">
        <w:rPr>
          <w:rFonts w:ascii="Century" w:hAnsi="Century"/>
          <w:sz w:val="22"/>
          <w:rtl/>
        </w:rPr>
        <w:t xml:space="preserve"> </w:t>
      </w:r>
      <w:r w:rsidRPr="008E0586">
        <w:rPr>
          <w:rFonts w:ascii="Century" w:hAnsi="Century" w:hint="eastAsia"/>
          <w:sz w:val="22"/>
          <w:rtl/>
        </w:rPr>
        <w:t>הבסיסית</w:t>
      </w:r>
      <w:r w:rsidRPr="008E0586">
        <w:rPr>
          <w:rFonts w:ascii="Century" w:hAnsi="Century"/>
          <w:sz w:val="22"/>
          <w:rtl/>
        </w:rPr>
        <w:t xml:space="preserve"> של דיננו אשר </w:t>
      </w:r>
      <w:r w:rsidRPr="008E0586">
        <w:rPr>
          <w:rFonts w:ascii="Century" w:hAnsi="Century" w:hint="eastAsia"/>
          <w:sz w:val="22"/>
          <w:rtl/>
        </w:rPr>
        <w:t>יצרה</w:t>
      </w:r>
      <w:r w:rsidRPr="008E0586">
        <w:rPr>
          <w:rFonts w:ascii="Century" w:hAnsi="Century"/>
          <w:sz w:val="22"/>
          <w:rtl/>
        </w:rPr>
        <w:t xml:space="preserve"> </w:t>
      </w:r>
      <w:r w:rsidRPr="008E0586">
        <w:rPr>
          <w:rFonts w:ascii="Century" w:hAnsi="Century" w:hint="eastAsia"/>
          <w:sz w:val="22"/>
          <w:rtl/>
        </w:rPr>
        <w:t>את</w:t>
      </w:r>
      <w:r w:rsidRPr="008E0586">
        <w:rPr>
          <w:rFonts w:ascii="Century" w:hAnsi="Century"/>
          <w:sz w:val="22"/>
          <w:rtl/>
        </w:rPr>
        <w:t xml:space="preserve"> סמכויות החקיקה של הכנסת ותחמה </w:t>
      </w:r>
      <w:r w:rsidRPr="008E0586">
        <w:rPr>
          <w:rFonts w:ascii="Century" w:hAnsi="Century" w:hint="eastAsia"/>
          <w:sz w:val="22"/>
          <w:rtl/>
        </w:rPr>
        <w:t>אותן</w:t>
      </w:r>
      <w:r w:rsidRPr="008E0586">
        <w:rPr>
          <w:rFonts w:ascii="Century" w:hAnsi="Century"/>
          <w:sz w:val="22"/>
          <w:rtl/>
        </w:rPr>
        <w:t xml:space="preserve"> כפי שתחמה. </w:t>
      </w:r>
    </w:p>
    <w:p w:rsidR="0047626A" w:rsidRDefault="0047626A" w:rsidP="0047626A">
      <w:pPr>
        <w:pStyle w:val="Ruller4"/>
        <w:numPr>
          <w:ilvl w:val="0"/>
          <w:numId w:val="0"/>
        </w:numPr>
        <w:rPr>
          <w:rFonts w:ascii="FrankRuehl" w:hAnsi="FrankRuehl"/>
          <w:color w:val="222222"/>
          <w:spacing w:val="0"/>
          <w:sz w:val="28"/>
        </w:rPr>
      </w:pPr>
    </w:p>
    <w:p w:rsidR="0047626A" w:rsidRPr="00B650C6" w:rsidRDefault="0047626A" w:rsidP="0047626A">
      <w:pPr>
        <w:pStyle w:val="Ruller4"/>
        <w:rPr>
          <w:rFonts w:ascii="FrankRuehl" w:hAnsi="FrankRuehl"/>
          <w:color w:val="222222"/>
          <w:spacing w:val="0"/>
          <w:sz w:val="28"/>
          <w:rtl/>
        </w:rPr>
      </w:pPr>
      <w:r w:rsidRPr="008E0586">
        <w:rPr>
          <w:rFonts w:ascii="Century" w:hAnsi="Century" w:hint="eastAsia"/>
          <w:sz w:val="22"/>
          <w:rtl/>
        </w:rPr>
        <w:t>בפסק</w:t>
      </w:r>
      <w:r w:rsidRPr="008E0586">
        <w:rPr>
          <w:rFonts w:ascii="Century" w:hAnsi="Century"/>
          <w:sz w:val="22"/>
          <w:rtl/>
        </w:rPr>
        <w:t xml:space="preserve"> </w:t>
      </w:r>
      <w:r w:rsidRPr="008E0586">
        <w:rPr>
          <w:rFonts w:ascii="Century" w:hAnsi="Century" w:hint="eastAsia"/>
          <w:sz w:val="22"/>
          <w:rtl/>
        </w:rPr>
        <w:t>דינו</w:t>
      </w:r>
      <w:r w:rsidRPr="00C71603">
        <w:rPr>
          <w:rFonts w:ascii="FrankRuehl" w:hAnsi="FrankRuehl" w:hint="cs"/>
          <w:color w:val="222222"/>
          <w:spacing w:val="0"/>
          <w:sz w:val="28"/>
          <w:rtl/>
        </w:rPr>
        <w:t xml:space="preserve"> </w:t>
      </w:r>
      <w:r>
        <w:rPr>
          <w:rFonts w:ascii="FrankRuehl" w:hAnsi="FrankRuehl" w:hint="cs"/>
          <w:color w:val="222222"/>
          <w:spacing w:val="0"/>
          <w:sz w:val="28"/>
          <w:rtl/>
        </w:rPr>
        <w:t>ב</w:t>
      </w:r>
      <w:r w:rsidRPr="00072651">
        <w:rPr>
          <w:rFonts w:ascii="Century" w:hAnsi="Century" w:cs="Miriam"/>
          <w:b/>
          <w:spacing w:val="0"/>
          <w:sz w:val="22"/>
          <w:szCs w:val="24"/>
          <w:rtl/>
        </w:rPr>
        <w:t>בג"ץ 6427/02</w:t>
      </w:r>
      <w:r>
        <w:rPr>
          <w:rFonts w:hint="cs"/>
          <w:color w:val="000000"/>
          <w:sz w:val="27"/>
          <w:szCs w:val="27"/>
          <w:rtl/>
        </w:rPr>
        <w:t>,</w:t>
      </w:r>
      <w:r w:rsidRPr="008E0586">
        <w:rPr>
          <w:rFonts w:ascii="Century" w:hAnsi="Century"/>
          <w:sz w:val="22"/>
          <w:rtl/>
        </w:rPr>
        <w:t xml:space="preserve"> </w:t>
      </w:r>
      <w:r w:rsidRPr="008E0586">
        <w:rPr>
          <w:rFonts w:ascii="Century" w:hAnsi="Century" w:hint="eastAsia"/>
          <w:sz w:val="22"/>
          <w:rtl/>
        </w:rPr>
        <w:t>קבע</w:t>
      </w:r>
      <w:r w:rsidRPr="008E0586">
        <w:rPr>
          <w:rFonts w:ascii="Century" w:hAnsi="Century"/>
          <w:sz w:val="22"/>
          <w:rtl/>
        </w:rPr>
        <w:t xml:space="preserve"> </w:t>
      </w:r>
      <w:r w:rsidRPr="008E0586">
        <w:rPr>
          <w:rFonts w:ascii="Century" w:hAnsi="Century" w:hint="eastAsia"/>
          <w:sz w:val="22"/>
          <w:rtl/>
        </w:rPr>
        <w:t>הנשיא</w:t>
      </w:r>
      <w:r w:rsidRPr="003B0E7A">
        <w:rPr>
          <w:rFonts w:ascii="Century" w:hAnsi="Century" w:cs="Miriam" w:hint="cs"/>
          <w:b/>
          <w:spacing w:val="0"/>
          <w:sz w:val="22"/>
          <w:szCs w:val="24"/>
          <w:rtl/>
        </w:rPr>
        <w:t xml:space="preserve"> ברק</w:t>
      </w:r>
      <w:r>
        <w:rPr>
          <w:rFonts w:hint="cs"/>
          <w:color w:val="000000"/>
          <w:sz w:val="27"/>
          <w:szCs w:val="27"/>
          <w:rtl/>
        </w:rPr>
        <w:t xml:space="preserve"> </w:t>
      </w:r>
      <w:r w:rsidRPr="008E0586">
        <w:rPr>
          <w:rFonts w:ascii="Century" w:hAnsi="Century" w:hint="eastAsia"/>
          <w:sz w:val="22"/>
          <w:rtl/>
        </w:rPr>
        <w:t>כדלהלן</w:t>
      </w:r>
      <w:r w:rsidRPr="008E0586">
        <w:rPr>
          <w:rFonts w:ascii="Century" w:hAnsi="Century"/>
          <w:sz w:val="22"/>
          <w:rtl/>
        </w:rPr>
        <w:t>:</w:t>
      </w:r>
    </w:p>
    <w:p w:rsidR="0047626A" w:rsidRPr="00AE664E" w:rsidRDefault="0047626A" w:rsidP="0047626A">
      <w:pPr>
        <w:pStyle w:val="Ruller4"/>
        <w:numPr>
          <w:ilvl w:val="0"/>
          <w:numId w:val="0"/>
        </w:numPr>
        <w:rPr>
          <w:rFonts w:ascii="FrankRuehl" w:hAnsi="FrankRuehl"/>
          <w:color w:val="222222"/>
          <w:spacing w:val="0"/>
          <w:sz w:val="28"/>
        </w:rPr>
      </w:pPr>
      <w:r w:rsidRPr="003B0E7A">
        <w:rPr>
          <w:color w:val="000000"/>
          <w:sz w:val="27"/>
          <w:szCs w:val="27"/>
          <w:rtl/>
        </w:rPr>
        <w:t xml:space="preserve"> </w:t>
      </w:r>
    </w:p>
    <w:p w:rsidR="0047626A" w:rsidRDefault="0047626A" w:rsidP="0047626A">
      <w:pPr>
        <w:pStyle w:val="Ruller5"/>
        <w:rPr>
          <w:rtl/>
        </w:rPr>
      </w:pPr>
      <w:r w:rsidRPr="003B0E7A">
        <w:rPr>
          <w:rtl/>
        </w:rPr>
        <w:t xml:space="preserve">"יש מקום לתפיסה כי חוק או חוק-יסוד, אשר ישללו את אופייה של ישראל כמדינה יהודית או דמוקרטית, אינו חוקתי. העם, הריבון, לא הסמיך לכך את הכנסת שלנו. זו הוסמכה לפעול במסגרת עקרונות היסוד של המשטר. היא לא הוסמכה </w:t>
      </w:r>
      <w:r>
        <w:rPr>
          <w:rFonts w:hint="cs"/>
          <w:rtl/>
        </w:rPr>
        <w:t xml:space="preserve">לבטלם" (ראו: </w:t>
      </w:r>
      <w:r w:rsidRPr="008E0586">
        <w:rPr>
          <w:rFonts w:ascii="Century" w:hAnsi="Century" w:cs="Miriam" w:hint="eastAsia"/>
          <w:b/>
          <w:spacing w:val="0"/>
          <w:szCs w:val="24"/>
          <w:rtl/>
        </w:rPr>
        <w:t>שם</w:t>
      </w:r>
      <w:r>
        <w:rPr>
          <w:rFonts w:hint="cs"/>
          <w:rtl/>
        </w:rPr>
        <w:t>, פסקה 74;</w:t>
      </w:r>
      <w:r w:rsidRPr="00707276">
        <w:rPr>
          <w:rFonts w:ascii="Century" w:hAnsi="Century"/>
          <w:shd w:val="clear" w:color="auto" w:fill="FFFFFF"/>
          <w:rtl/>
        </w:rPr>
        <w:t xml:space="preserve"> </w:t>
      </w:r>
      <w:r w:rsidRPr="008E0586">
        <w:rPr>
          <w:rFonts w:ascii="Century" w:hAnsi="Century"/>
          <w:shd w:val="clear" w:color="auto" w:fill="FFFFFF"/>
          <w:rtl/>
        </w:rPr>
        <w:t>ראו גם: אהרן ברק "הסמכות המכוננת הראשונית וההגבלות המוטלות עליה</w:t>
      </w:r>
      <w:r>
        <w:rPr>
          <w:rFonts w:ascii="Century" w:hAnsi="Century" w:hint="cs"/>
          <w:shd w:val="clear" w:color="auto" w:fill="FFFFFF"/>
          <w:rtl/>
        </w:rPr>
        <w:t xml:space="preserve">" </w:t>
      </w:r>
      <w:r w:rsidRPr="008E0586">
        <w:rPr>
          <w:rFonts w:ascii="Century" w:hAnsi="Century" w:cs="Miriam"/>
          <w:b/>
          <w:spacing w:val="0"/>
          <w:szCs w:val="24"/>
          <w:shd w:val="clear" w:color="auto" w:fill="FFFFFF"/>
          <w:rtl/>
        </w:rPr>
        <w:t>משפט ועסקים</w:t>
      </w:r>
      <w:r w:rsidRPr="008E0586">
        <w:rPr>
          <w:rFonts w:ascii="Century" w:hAnsi="Century"/>
          <w:shd w:val="clear" w:color="auto" w:fill="FFFFFF"/>
          <w:rtl/>
        </w:rPr>
        <w:t> כח 123, 146-138</w:t>
      </w:r>
      <w:r>
        <w:rPr>
          <w:rFonts w:ascii="Century" w:hAnsi="Century" w:hint="cs"/>
          <w:shd w:val="clear" w:color="auto" w:fill="FFFFFF"/>
          <w:rtl/>
        </w:rPr>
        <w:t xml:space="preserve"> (2023)</w:t>
      </w:r>
      <w:r>
        <w:rPr>
          <w:rFonts w:hint="cs"/>
          <w:rtl/>
        </w:rPr>
        <w:t xml:space="preserve">). </w:t>
      </w:r>
    </w:p>
    <w:p w:rsidR="0047626A" w:rsidRDefault="0047626A" w:rsidP="0047626A">
      <w:pPr>
        <w:pStyle w:val="Ruller4"/>
        <w:numPr>
          <w:ilvl w:val="0"/>
          <w:numId w:val="0"/>
        </w:numPr>
        <w:rPr>
          <w:color w:val="000000"/>
          <w:sz w:val="27"/>
          <w:szCs w:val="27"/>
          <w:rtl/>
        </w:rPr>
      </w:pPr>
    </w:p>
    <w:p w:rsidR="0047626A" w:rsidRDefault="0047626A" w:rsidP="0047626A">
      <w:pPr>
        <w:pStyle w:val="Ruller4"/>
        <w:numPr>
          <w:ilvl w:val="0"/>
          <w:numId w:val="0"/>
        </w:numPr>
        <w:rPr>
          <w:rFonts w:ascii="FrankRuehl" w:hAnsi="FrankRuehl"/>
          <w:color w:val="222222"/>
          <w:spacing w:val="0"/>
          <w:sz w:val="28"/>
          <w:rtl/>
        </w:rPr>
      </w:pPr>
      <w:r>
        <w:rPr>
          <w:color w:val="000000"/>
          <w:sz w:val="27"/>
          <w:szCs w:val="27"/>
          <w:rtl/>
        </w:rPr>
        <w:tab/>
      </w:r>
      <w:r>
        <w:rPr>
          <w:rFonts w:ascii="Century" w:hAnsi="Century" w:hint="cs"/>
          <w:sz w:val="22"/>
          <w:rtl/>
        </w:rPr>
        <w:t>עמדה זו</w:t>
      </w:r>
      <w:r w:rsidRPr="008E0586">
        <w:rPr>
          <w:rFonts w:ascii="Century" w:hAnsi="Century"/>
          <w:sz w:val="22"/>
          <w:rtl/>
        </w:rPr>
        <w:t xml:space="preserve">, </w:t>
      </w:r>
      <w:r w:rsidRPr="008E0586">
        <w:rPr>
          <w:rFonts w:ascii="Century" w:hAnsi="Century" w:hint="eastAsia"/>
          <w:sz w:val="22"/>
          <w:rtl/>
        </w:rPr>
        <w:t>בכל</w:t>
      </w:r>
      <w:r w:rsidRPr="008E0586">
        <w:rPr>
          <w:rFonts w:ascii="Century" w:hAnsi="Century"/>
          <w:sz w:val="22"/>
          <w:rtl/>
        </w:rPr>
        <w:t xml:space="preserve"> </w:t>
      </w:r>
      <w:r w:rsidRPr="008E0586">
        <w:rPr>
          <w:rFonts w:ascii="Century" w:hAnsi="Century" w:hint="eastAsia"/>
          <w:sz w:val="22"/>
          <w:rtl/>
        </w:rPr>
        <w:t>הכבוד</w:t>
      </w:r>
      <w:r w:rsidRPr="008E0586">
        <w:rPr>
          <w:rFonts w:ascii="Century" w:hAnsi="Century"/>
          <w:sz w:val="22"/>
          <w:rtl/>
        </w:rPr>
        <w:t xml:space="preserve">, </w:t>
      </w:r>
      <w:r w:rsidRPr="008E0586">
        <w:rPr>
          <w:rFonts w:ascii="Century" w:hAnsi="Century" w:hint="eastAsia"/>
          <w:sz w:val="22"/>
          <w:rtl/>
        </w:rPr>
        <w:t>הי</w:t>
      </w:r>
      <w:r>
        <w:rPr>
          <w:rFonts w:ascii="Century" w:hAnsi="Century" w:hint="cs"/>
          <w:sz w:val="22"/>
          <w:rtl/>
        </w:rPr>
        <w:t>א</w:t>
      </w:r>
      <w:r w:rsidRPr="008E0586">
        <w:rPr>
          <w:rFonts w:ascii="Century" w:hAnsi="Century"/>
          <w:sz w:val="22"/>
          <w:rtl/>
        </w:rPr>
        <w:t xml:space="preserve"> </w:t>
      </w:r>
      <w:r w:rsidRPr="008E0586">
        <w:rPr>
          <w:rFonts w:ascii="Century" w:hAnsi="Century" w:hint="eastAsia"/>
          <w:sz w:val="22"/>
          <w:rtl/>
        </w:rPr>
        <w:t>נכונ</w:t>
      </w:r>
      <w:r>
        <w:rPr>
          <w:rFonts w:ascii="Century" w:hAnsi="Century" w:hint="cs"/>
          <w:sz w:val="22"/>
          <w:rtl/>
        </w:rPr>
        <w:t>ה</w:t>
      </w:r>
      <w:r w:rsidRPr="008E0586">
        <w:rPr>
          <w:rFonts w:ascii="Century" w:hAnsi="Century"/>
          <w:sz w:val="22"/>
          <w:rtl/>
        </w:rPr>
        <w:t xml:space="preserve"> </w:t>
      </w:r>
      <w:r w:rsidRPr="008E0586">
        <w:rPr>
          <w:rFonts w:ascii="Century" w:hAnsi="Century" w:hint="eastAsia"/>
          <w:sz w:val="22"/>
          <w:rtl/>
        </w:rPr>
        <w:t>ומקובל</w:t>
      </w:r>
      <w:r>
        <w:rPr>
          <w:rFonts w:ascii="Century" w:hAnsi="Century" w:hint="cs"/>
          <w:sz w:val="22"/>
          <w:rtl/>
        </w:rPr>
        <w:t>ת</w:t>
      </w:r>
      <w:r w:rsidRPr="008E0586">
        <w:rPr>
          <w:rFonts w:ascii="Century" w:hAnsi="Century"/>
          <w:sz w:val="22"/>
          <w:rtl/>
        </w:rPr>
        <w:t xml:space="preserve"> </w:t>
      </w:r>
      <w:r w:rsidRPr="008E0586">
        <w:rPr>
          <w:rFonts w:ascii="Century" w:hAnsi="Century" w:hint="eastAsia"/>
          <w:sz w:val="22"/>
          <w:rtl/>
        </w:rPr>
        <w:t>עלי</w:t>
      </w:r>
      <w:r w:rsidRPr="008E0586">
        <w:rPr>
          <w:rFonts w:ascii="Century" w:hAnsi="Century"/>
          <w:sz w:val="22"/>
          <w:rtl/>
        </w:rPr>
        <w:t xml:space="preserve"> </w:t>
      </w:r>
      <w:r w:rsidRPr="008E0586">
        <w:rPr>
          <w:rFonts w:ascii="Century" w:hAnsi="Century" w:hint="eastAsia"/>
          <w:sz w:val="22"/>
          <w:rtl/>
        </w:rPr>
        <w:t>לחלוטין</w:t>
      </w:r>
      <w:r w:rsidRPr="008E0586">
        <w:rPr>
          <w:rFonts w:ascii="Century" w:hAnsi="Century"/>
          <w:sz w:val="22"/>
          <w:rtl/>
        </w:rPr>
        <w:t xml:space="preserve">, </w:t>
      </w:r>
      <w:r w:rsidRPr="008E0586">
        <w:rPr>
          <w:rFonts w:ascii="Century" w:hAnsi="Century" w:hint="eastAsia"/>
          <w:sz w:val="22"/>
          <w:rtl/>
        </w:rPr>
        <w:t>כל</w:t>
      </w:r>
      <w:r w:rsidRPr="008E0586">
        <w:rPr>
          <w:rFonts w:ascii="Century" w:hAnsi="Century"/>
          <w:sz w:val="22"/>
          <w:rtl/>
        </w:rPr>
        <w:t xml:space="preserve"> </w:t>
      </w:r>
      <w:r w:rsidRPr="008E0586">
        <w:rPr>
          <w:rFonts w:ascii="Century" w:hAnsi="Century" w:hint="eastAsia"/>
          <w:sz w:val="22"/>
          <w:rtl/>
        </w:rPr>
        <w:t>אימת</w:t>
      </w:r>
      <w:r w:rsidRPr="008E0586">
        <w:rPr>
          <w:rFonts w:ascii="Century" w:hAnsi="Century"/>
          <w:sz w:val="22"/>
          <w:rtl/>
        </w:rPr>
        <w:t xml:space="preserve"> </w:t>
      </w:r>
      <w:r w:rsidRPr="008E0586">
        <w:rPr>
          <w:rFonts w:ascii="Century" w:hAnsi="Century" w:hint="eastAsia"/>
          <w:sz w:val="22"/>
          <w:rtl/>
        </w:rPr>
        <w:t>שה</w:t>
      </w:r>
      <w:r>
        <w:rPr>
          <w:rFonts w:ascii="Century" w:hAnsi="Century" w:hint="cs"/>
          <w:sz w:val="22"/>
          <w:rtl/>
        </w:rPr>
        <w:t>יא</w:t>
      </w:r>
      <w:r w:rsidRPr="008E0586">
        <w:rPr>
          <w:rFonts w:ascii="Century" w:hAnsi="Century"/>
          <w:sz w:val="22"/>
          <w:rtl/>
        </w:rPr>
        <w:t xml:space="preserve"> </w:t>
      </w:r>
      <w:r w:rsidRPr="008E0586">
        <w:rPr>
          <w:rFonts w:ascii="Century" w:hAnsi="Century" w:hint="eastAsia"/>
          <w:sz w:val="22"/>
          <w:rtl/>
        </w:rPr>
        <w:t>נסמכ</w:t>
      </w:r>
      <w:r>
        <w:rPr>
          <w:rFonts w:ascii="Century" w:hAnsi="Century" w:hint="cs"/>
          <w:sz w:val="22"/>
          <w:rtl/>
        </w:rPr>
        <w:t>ת</w:t>
      </w:r>
      <w:r w:rsidRPr="001E2EC9">
        <w:rPr>
          <w:rFonts w:ascii="Century" w:hAnsi="Century" w:cs="Miriam" w:hint="cs"/>
          <w:b/>
          <w:spacing w:val="0"/>
          <w:sz w:val="22"/>
          <w:szCs w:val="24"/>
          <w:rtl/>
        </w:rPr>
        <w:t xml:space="preserve"> </w:t>
      </w:r>
      <w:r w:rsidRPr="002D3538">
        <w:rPr>
          <w:rFonts w:ascii="Century" w:hAnsi="Century" w:cs="Miriam" w:hint="cs"/>
          <w:b/>
          <w:spacing w:val="0"/>
          <w:sz w:val="22"/>
          <w:szCs w:val="24"/>
          <w:rtl/>
        </w:rPr>
        <w:t xml:space="preserve">על לשונה של הכרזת העצמאות ועל מובנה המקורי </w:t>
      </w:r>
      <w:r w:rsidRPr="002D3538">
        <w:rPr>
          <w:rFonts w:ascii="Century" w:hAnsi="Century" w:cs="Miriam"/>
          <w:b/>
          <w:spacing w:val="0"/>
          <w:sz w:val="22"/>
          <w:szCs w:val="24"/>
          <w:rtl/>
        </w:rPr>
        <w:t>–</w:t>
      </w:r>
      <w:r w:rsidRPr="002D3538">
        <w:rPr>
          <w:rFonts w:ascii="Century" w:hAnsi="Century" w:cs="Miriam" w:hint="cs"/>
          <w:b/>
          <w:spacing w:val="0"/>
          <w:sz w:val="22"/>
          <w:szCs w:val="24"/>
          <w:rtl/>
        </w:rPr>
        <w:t xml:space="preserve"> כפי שעוגנה כנורמת היסוד של המשפט הישראלי במנשר ובפקודת סדרי השלטון והמשפט</w:t>
      </w:r>
      <w:r w:rsidRPr="008E0586">
        <w:rPr>
          <w:rFonts w:ascii="Century" w:hAnsi="Century"/>
          <w:sz w:val="22"/>
          <w:rtl/>
        </w:rPr>
        <w:t xml:space="preserve">. </w:t>
      </w:r>
      <w:r w:rsidRPr="008E0586">
        <w:rPr>
          <w:rFonts w:ascii="Century" w:hAnsi="Century" w:hint="eastAsia"/>
          <w:sz w:val="22"/>
          <w:rtl/>
        </w:rPr>
        <w:t>זאת</w:t>
      </w:r>
      <w:r w:rsidRPr="008E0586">
        <w:rPr>
          <w:rFonts w:ascii="Century" w:hAnsi="Century"/>
          <w:sz w:val="22"/>
          <w:rtl/>
        </w:rPr>
        <w:t xml:space="preserve"> </w:t>
      </w:r>
      <w:r w:rsidRPr="008E0586">
        <w:rPr>
          <w:rFonts w:ascii="Century" w:hAnsi="Century" w:hint="eastAsia"/>
          <w:sz w:val="22"/>
          <w:rtl/>
        </w:rPr>
        <w:t>דרכו</w:t>
      </w:r>
      <w:r w:rsidRPr="008E0586">
        <w:rPr>
          <w:rFonts w:ascii="Century" w:hAnsi="Century"/>
          <w:sz w:val="22"/>
          <w:rtl/>
        </w:rPr>
        <w:t xml:space="preserve"> </w:t>
      </w:r>
      <w:r w:rsidRPr="008E0586">
        <w:rPr>
          <w:rFonts w:ascii="Century" w:hAnsi="Century" w:hint="eastAsia"/>
          <w:sz w:val="22"/>
          <w:rtl/>
        </w:rPr>
        <w:t>של</w:t>
      </w:r>
      <w:r w:rsidRPr="008E0586">
        <w:rPr>
          <w:rFonts w:ascii="Century" w:hAnsi="Century"/>
          <w:sz w:val="22"/>
          <w:rtl/>
        </w:rPr>
        <w:t xml:space="preserve"> </w:t>
      </w:r>
      <w:r w:rsidRPr="008E0586">
        <w:rPr>
          <w:rFonts w:ascii="Century" w:hAnsi="Century" w:hint="eastAsia"/>
          <w:sz w:val="22"/>
          <w:rtl/>
        </w:rPr>
        <w:t>המשפט</w:t>
      </w:r>
      <w:r w:rsidRPr="008E0586">
        <w:rPr>
          <w:rFonts w:ascii="Century" w:hAnsi="Century"/>
          <w:sz w:val="22"/>
          <w:rtl/>
        </w:rPr>
        <w:t xml:space="preserve"> </w:t>
      </w:r>
      <w:r w:rsidRPr="008E0586">
        <w:rPr>
          <w:rFonts w:ascii="Century" w:hAnsi="Century" w:hint="eastAsia"/>
          <w:sz w:val="22"/>
          <w:rtl/>
        </w:rPr>
        <w:t>החוקתי</w:t>
      </w:r>
      <w:r w:rsidRPr="008E0586">
        <w:rPr>
          <w:rFonts w:ascii="Century" w:hAnsi="Century"/>
          <w:sz w:val="22"/>
          <w:rtl/>
        </w:rPr>
        <w:t xml:space="preserve"> </w:t>
      </w:r>
      <w:r w:rsidRPr="008E0586">
        <w:rPr>
          <w:rFonts w:ascii="Century" w:hAnsi="Century" w:hint="eastAsia"/>
          <w:sz w:val="22"/>
          <w:rtl/>
        </w:rPr>
        <w:t>הפורמלי</w:t>
      </w:r>
      <w:r w:rsidRPr="008E0586">
        <w:rPr>
          <w:rFonts w:ascii="Century" w:hAnsi="Century"/>
          <w:sz w:val="22"/>
          <w:rtl/>
        </w:rPr>
        <w:t xml:space="preserve">, </w:t>
      </w:r>
      <w:r w:rsidRPr="008E0586">
        <w:rPr>
          <w:rFonts w:ascii="Century" w:hAnsi="Century" w:hint="eastAsia"/>
          <w:sz w:val="22"/>
          <w:rtl/>
        </w:rPr>
        <w:t>וזוהי</w:t>
      </w:r>
      <w:r w:rsidRPr="008E0586">
        <w:rPr>
          <w:rFonts w:ascii="Century" w:hAnsi="Century"/>
          <w:sz w:val="22"/>
          <w:rtl/>
        </w:rPr>
        <w:t xml:space="preserve"> </w:t>
      </w:r>
      <w:r w:rsidRPr="008E0586">
        <w:rPr>
          <w:rFonts w:ascii="Century" w:hAnsi="Century" w:hint="eastAsia"/>
          <w:sz w:val="22"/>
          <w:rtl/>
        </w:rPr>
        <w:t>דרכי</w:t>
      </w:r>
      <w:r w:rsidRPr="008E0586">
        <w:rPr>
          <w:rFonts w:ascii="Century" w:hAnsi="Century"/>
          <w:sz w:val="22"/>
          <w:rtl/>
        </w:rPr>
        <w:t xml:space="preserve">-שלי. </w:t>
      </w:r>
      <w:r w:rsidRPr="008E0586">
        <w:rPr>
          <w:rFonts w:ascii="Century" w:hAnsi="Century" w:hint="eastAsia"/>
          <w:sz w:val="22"/>
          <w:rtl/>
        </w:rPr>
        <w:t>כפי</w:t>
      </w:r>
      <w:r w:rsidRPr="008E0586">
        <w:rPr>
          <w:rFonts w:ascii="Century" w:hAnsi="Century"/>
          <w:sz w:val="22"/>
          <w:rtl/>
        </w:rPr>
        <w:t xml:space="preserve"> </w:t>
      </w:r>
      <w:r w:rsidRPr="008E0586">
        <w:rPr>
          <w:rFonts w:ascii="Century" w:hAnsi="Century" w:hint="eastAsia"/>
          <w:sz w:val="22"/>
          <w:rtl/>
        </w:rPr>
        <w:t>שכבר</w:t>
      </w:r>
      <w:r w:rsidRPr="008E0586">
        <w:rPr>
          <w:rFonts w:ascii="Century" w:hAnsi="Century"/>
          <w:sz w:val="22"/>
          <w:rtl/>
        </w:rPr>
        <w:t xml:space="preserve"> </w:t>
      </w:r>
      <w:r w:rsidRPr="008E0586">
        <w:rPr>
          <w:rFonts w:ascii="Century" w:hAnsi="Century" w:hint="eastAsia"/>
          <w:sz w:val="22"/>
          <w:rtl/>
        </w:rPr>
        <w:t>ציינתי</w:t>
      </w:r>
      <w:r w:rsidRPr="008E0586">
        <w:rPr>
          <w:rFonts w:ascii="Century" w:hAnsi="Century"/>
          <w:sz w:val="22"/>
          <w:rtl/>
        </w:rPr>
        <w:t xml:space="preserve">, "ערכי היסוד" הבלתי פורמליים וכן נורמות מוסריות </w:t>
      </w:r>
      <w:r w:rsidRPr="008E0586">
        <w:rPr>
          <w:rFonts w:ascii="Century" w:hAnsi="Century" w:hint="eastAsia"/>
          <w:sz w:val="22"/>
          <w:rtl/>
        </w:rPr>
        <w:t>כאלה</w:t>
      </w:r>
      <w:r w:rsidRPr="008E0586">
        <w:rPr>
          <w:rFonts w:ascii="Century" w:hAnsi="Century"/>
          <w:sz w:val="22"/>
          <w:rtl/>
        </w:rPr>
        <w:t xml:space="preserve"> </w:t>
      </w:r>
      <w:r w:rsidRPr="008E0586">
        <w:rPr>
          <w:rFonts w:ascii="Century" w:hAnsi="Century" w:hint="eastAsia"/>
          <w:sz w:val="22"/>
          <w:rtl/>
        </w:rPr>
        <w:t>או</w:t>
      </w:r>
      <w:r w:rsidRPr="008E0586">
        <w:rPr>
          <w:rFonts w:ascii="Century" w:hAnsi="Century"/>
          <w:sz w:val="22"/>
          <w:rtl/>
        </w:rPr>
        <w:t xml:space="preserve"> </w:t>
      </w:r>
      <w:r w:rsidRPr="008E0586">
        <w:rPr>
          <w:rFonts w:ascii="Century" w:hAnsi="Century" w:hint="eastAsia"/>
          <w:sz w:val="22"/>
          <w:rtl/>
        </w:rPr>
        <w:t>אחרות</w:t>
      </w:r>
      <w:r w:rsidRPr="008E0586">
        <w:rPr>
          <w:rFonts w:ascii="Century" w:hAnsi="Century"/>
          <w:sz w:val="22"/>
          <w:rtl/>
        </w:rPr>
        <w:t xml:space="preserve"> – </w:t>
      </w:r>
      <w:r w:rsidRPr="008E0586">
        <w:rPr>
          <w:rFonts w:ascii="Century" w:hAnsi="Century" w:hint="eastAsia"/>
          <w:sz w:val="22"/>
          <w:rtl/>
        </w:rPr>
        <w:t>נעלים</w:t>
      </w:r>
      <w:r w:rsidRPr="008E0586">
        <w:rPr>
          <w:rFonts w:ascii="Century" w:hAnsi="Century"/>
          <w:sz w:val="22"/>
          <w:rtl/>
        </w:rPr>
        <w:t xml:space="preserve"> ככל ש</w:t>
      </w:r>
      <w:r w:rsidRPr="008E0586">
        <w:rPr>
          <w:rFonts w:ascii="Century" w:hAnsi="Century" w:hint="eastAsia"/>
          <w:sz w:val="22"/>
          <w:rtl/>
        </w:rPr>
        <w:t>יהיו</w:t>
      </w:r>
      <w:r w:rsidRPr="008E0586">
        <w:rPr>
          <w:rFonts w:ascii="Century" w:hAnsi="Century"/>
          <w:sz w:val="22"/>
          <w:rtl/>
        </w:rPr>
        <w:t xml:space="preserve"> – אינ</w:t>
      </w:r>
      <w:r w:rsidRPr="008E0586">
        <w:rPr>
          <w:rFonts w:ascii="Century" w:hAnsi="Century" w:hint="eastAsia"/>
          <w:sz w:val="22"/>
          <w:rtl/>
        </w:rPr>
        <w:t>ם</w:t>
      </w:r>
      <w:r w:rsidRPr="008E0586">
        <w:rPr>
          <w:rFonts w:ascii="Century" w:hAnsi="Century"/>
          <w:sz w:val="22"/>
          <w:rtl/>
        </w:rPr>
        <w:t xml:space="preserve"> מהוו</w:t>
      </w:r>
      <w:r w:rsidRPr="008E0586">
        <w:rPr>
          <w:rFonts w:ascii="Century" w:hAnsi="Century" w:hint="eastAsia"/>
          <w:sz w:val="22"/>
          <w:rtl/>
        </w:rPr>
        <w:t>ים</w:t>
      </w:r>
      <w:r w:rsidRPr="008E0586">
        <w:rPr>
          <w:rFonts w:ascii="Century" w:hAnsi="Century"/>
          <w:sz w:val="22"/>
          <w:rtl/>
        </w:rPr>
        <w:t xml:space="preserve"> חלק מהמשפט כאשר </w:t>
      </w:r>
      <w:r w:rsidRPr="008E0586">
        <w:rPr>
          <w:rFonts w:ascii="Century" w:hAnsi="Century" w:hint="eastAsia"/>
          <w:sz w:val="22"/>
          <w:rtl/>
        </w:rPr>
        <w:t>אין</w:t>
      </w:r>
      <w:r w:rsidRPr="008E0586">
        <w:rPr>
          <w:rFonts w:ascii="Century" w:hAnsi="Century"/>
          <w:sz w:val="22"/>
          <w:rtl/>
        </w:rPr>
        <w:t xml:space="preserve"> </w:t>
      </w:r>
      <w:r w:rsidRPr="008E0586">
        <w:rPr>
          <w:rFonts w:ascii="Century" w:hAnsi="Century" w:hint="eastAsia"/>
          <w:sz w:val="22"/>
          <w:rtl/>
        </w:rPr>
        <w:t>להם</w:t>
      </w:r>
      <w:r w:rsidRPr="008E0586">
        <w:rPr>
          <w:rFonts w:ascii="Century" w:hAnsi="Century"/>
          <w:sz w:val="22"/>
          <w:rtl/>
        </w:rPr>
        <w:t xml:space="preserve"> עיגון משפטי-פורמלי</w:t>
      </w:r>
      <w:r>
        <w:rPr>
          <w:rFonts w:ascii="Century" w:hAnsi="Century" w:hint="cs"/>
          <w:sz w:val="22"/>
          <w:rtl/>
        </w:rPr>
        <w:t xml:space="preserve">; </w:t>
      </w:r>
      <w:r w:rsidRPr="008E0586">
        <w:rPr>
          <w:rFonts w:ascii="Century" w:hAnsi="Century" w:hint="eastAsia"/>
          <w:sz w:val="22"/>
          <w:rtl/>
        </w:rPr>
        <w:t>ובוודאי</w:t>
      </w:r>
      <w:r w:rsidRPr="008E0586">
        <w:rPr>
          <w:rFonts w:ascii="Century" w:hAnsi="Century"/>
          <w:sz w:val="22"/>
          <w:rtl/>
        </w:rPr>
        <w:t xml:space="preserve"> </w:t>
      </w:r>
      <w:r w:rsidRPr="008E0586">
        <w:rPr>
          <w:rFonts w:ascii="Century" w:hAnsi="Century" w:hint="eastAsia"/>
          <w:sz w:val="22"/>
          <w:rtl/>
        </w:rPr>
        <w:t>שלא</w:t>
      </w:r>
      <w:r w:rsidRPr="008E0586">
        <w:rPr>
          <w:rFonts w:ascii="Century" w:hAnsi="Century"/>
          <w:sz w:val="22"/>
          <w:rtl/>
        </w:rPr>
        <w:t xml:space="preserve"> ניתן לשוות לה</w:t>
      </w:r>
      <w:r w:rsidRPr="008E0586">
        <w:rPr>
          <w:rFonts w:ascii="Century" w:hAnsi="Century" w:hint="eastAsia"/>
          <w:sz w:val="22"/>
          <w:rtl/>
        </w:rPr>
        <w:t>ם</w:t>
      </w:r>
      <w:r w:rsidRPr="008E0586">
        <w:rPr>
          <w:rFonts w:ascii="Century" w:hAnsi="Century"/>
          <w:sz w:val="22"/>
          <w:rtl/>
        </w:rPr>
        <w:t xml:space="preserve"> </w:t>
      </w:r>
      <w:r w:rsidRPr="008E0586">
        <w:rPr>
          <w:rFonts w:ascii="Century" w:hAnsi="Century" w:hint="eastAsia"/>
          <w:sz w:val="22"/>
          <w:rtl/>
        </w:rPr>
        <w:t>מעמד</w:t>
      </w:r>
      <w:r w:rsidRPr="008E0586">
        <w:rPr>
          <w:rFonts w:ascii="Century" w:hAnsi="Century"/>
          <w:sz w:val="22"/>
          <w:rtl/>
        </w:rPr>
        <w:t xml:space="preserve"> של נורמות-על </w:t>
      </w:r>
      <w:r w:rsidRPr="008E0586">
        <w:rPr>
          <w:rFonts w:ascii="Century" w:hAnsi="Century" w:hint="eastAsia"/>
          <w:sz w:val="22"/>
          <w:rtl/>
        </w:rPr>
        <w:t>חוקתיות</w:t>
      </w:r>
      <w:r w:rsidRPr="002D3538">
        <w:rPr>
          <w:rFonts w:ascii="FrankRuehl" w:hAnsi="FrankRuehl" w:hint="cs"/>
          <w:color w:val="222222"/>
          <w:spacing w:val="0"/>
          <w:sz w:val="28"/>
          <w:rtl/>
        </w:rPr>
        <w:t xml:space="preserve"> </w:t>
      </w:r>
      <w:r w:rsidRPr="008E0586">
        <w:rPr>
          <w:rFonts w:ascii="Century" w:hAnsi="Century"/>
          <w:sz w:val="22"/>
          <w:rtl/>
        </w:rPr>
        <w:t>(ראו:</w:t>
      </w:r>
      <w:r w:rsidRPr="002D3538">
        <w:rPr>
          <w:rFonts w:ascii="FrankRuehl" w:hAnsi="FrankRuehl" w:hint="cs"/>
          <w:color w:val="222222"/>
          <w:spacing w:val="0"/>
          <w:sz w:val="28"/>
          <w:rtl/>
        </w:rPr>
        <w:t xml:space="preserve"> </w:t>
      </w:r>
      <w:r w:rsidRPr="0074786B">
        <w:rPr>
          <w:rFonts w:asciiTheme="majorBidi" w:hAnsiTheme="majorBidi" w:cstheme="majorBidi"/>
          <w:i/>
          <w:iCs/>
        </w:rPr>
        <w:t>Separation of Law and Morals</w:t>
      </w:r>
      <w:r w:rsidRPr="0074786B">
        <w:rPr>
          <w:rFonts w:asciiTheme="majorBidi" w:hAnsiTheme="majorBidi" w:cstheme="majorBidi"/>
        </w:rPr>
        <w:t>, 596-600</w:t>
      </w:r>
      <w:r w:rsidRPr="0074786B">
        <w:rPr>
          <w:rFonts w:ascii="FrankRuehl" w:hAnsi="FrankRuehl" w:hint="cs"/>
          <w:color w:val="222222"/>
          <w:spacing w:val="0"/>
          <w:sz w:val="28"/>
          <w:rtl/>
        </w:rPr>
        <w:t>).</w:t>
      </w:r>
    </w:p>
    <w:p w:rsidR="0047626A" w:rsidRDefault="0047626A" w:rsidP="0047626A">
      <w:pPr>
        <w:pStyle w:val="Ruller41"/>
        <w:rPr>
          <w:rtl/>
        </w:rPr>
      </w:pPr>
    </w:p>
    <w:p w:rsidR="0047626A" w:rsidRDefault="0047626A" w:rsidP="0047626A">
      <w:pPr>
        <w:pStyle w:val="Ruller4"/>
        <w:rPr>
          <w:rFonts w:ascii="Century" w:hAnsi="Century"/>
          <w:sz w:val="22"/>
        </w:rPr>
      </w:pPr>
      <w:r>
        <w:rPr>
          <w:rFonts w:ascii="Century" w:hAnsi="Century" w:hint="cs"/>
          <w:sz w:val="22"/>
          <w:shd w:val="clear" w:color="auto" w:fill="FFFFFF"/>
          <w:rtl/>
        </w:rPr>
        <w:t>בשורה התחתונה,</w:t>
      </w:r>
      <w:r w:rsidRPr="008E0586">
        <w:rPr>
          <w:rFonts w:ascii="Century" w:hAnsi="Century"/>
          <w:sz w:val="22"/>
          <w:shd w:val="clear" w:color="auto" w:fill="FFFFFF"/>
          <w:rtl/>
        </w:rPr>
        <w:t xml:space="preserve"> עמדתי באשר למעמדה ו</w:t>
      </w:r>
      <w:r>
        <w:rPr>
          <w:rFonts w:ascii="Century" w:hAnsi="Century" w:hint="cs"/>
          <w:sz w:val="22"/>
          <w:shd w:val="clear" w:color="auto" w:fill="FFFFFF"/>
          <w:rtl/>
        </w:rPr>
        <w:t>ל</w:t>
      </w:r>
      <w:r w:rsidRPr="008E0586">
        <w:rPr>
          <w:rFonts w:ascii="Century" w:hAnsi="Century"/>
          <w:sz w:val="22"/>
          <w:shd w:val="clear" w:color="auto" w:fill="FFFFFF"/>
          <w:rtl/>
        </w:rPr>
        <w:t>כוחה של הכרזת העצמאות קרובה מאד לדעות שנשמעו מפיהם של הנשיאה </w:t>
      </w:r>
      <w:r w:rsidRPr="008E0586">
        <w:rPr>
          <w:rFonts w:ascii="Century" w:hAnsi="Century" w:cs="Miriam"/>
          <w:b/>
          <w:spacing w:val="0"/>
          <w:sz w:val="22"/>
          <w:szCs w:val="24"/>
          <w:shd w:val="clear" w:color="auto" w:fill="FFFFFF"/>
          <w:rtl/>
        </w:rPr>
        <w:t>א' חיות</w:t>
      </w:r>
      <w:r w:rsidRPr="008E0586">
        <w:rPr>
          <w:rFonts w:ascii="Century" w:hAnsi="Century"/>
          <w:sz w:val="22"/>
          <w:shd w:val="clear" w:color="auto" w:fill="FFFFFF"/>
          <w:rtl/>
        </w:rPr>
        <w:t> והשופטים </w:t>
      </w:r>
      <w:r w:rsidRPr="008E0586">
        <w:rPr>
          <w:rFonts w:ascii="Century" w:hAnsi="Century" w:cs="Miriam"/>
          <w:b/>
          <w:spacing w:val="0"/>
          <w:sz w:val="22"/>
          <w:szCs w:val="24"/>
          <w:shd w:val="clear" w:color="auto" w:fill="FFFFFF"/>
          <w:rtl/>
        </w:rPr>
        <w:t>ע' פוגלמן</w:t>
      </w:r>
      <w:r w:rsidRPr="008E0586">
        <w:rPr>
          <w:rFonts w:ascii="Century" w:hAnsi="Century"/>
          <w:sz w:val="22"/>
          <w:shd w:val="clear" w:color="auto" w:fill="FFFFFF"/>
          <w:rtl/>
        </w:rPr>
        <w:t> ו</w:t>
      </w:r>
      <w:r w:rsidRPr="008E0586">
        <w:rPr>
          <w:rFonts w:ascii="Century" w:hAnsi="Century" w:cs="Miriam"/>
          <w:b/>
          <w:spacing w:val="0"/>
          <w:sz w:val="22"/>
          <w:szCs w:val="24"/>
          <w:shd w:val="clear" w:color="auto" w:fill="FFFFFF"/>
          <w:rtl/>
        </w:rPr>
        <w:t>י' עמית</w:t>
      </w:r>
      <w:r w:rsidRPr="008E0586">
        <w:rPr>
          <w:rFonts w:ascii="Century" w:hAnsi="Century"/>
          <w:sz w:val="22"/>
          <w:shd w:val="clear" w:color="auto" w:fill="FFFFFF"/>
          <w:rtl/>
        </w:rPr>
        <w:t> בבג"ץ 5555/18 </w:t>
      </w:r>
      <w:r w:rsidRPr="008E0586">
        <w:rPr>
          <w:rFonts w:ascii="Century" w:hAnsi="Century" w:cs="Miriam"/>
          <w:b/>
          <w:spacing w:val="0"/>
          <w:sz w:val="22"/>
          <w:szCs w:val="24"/>
          <w:shd w:val="clear" w:color="auto" w:fill="FFFFFF"/>
          <w:rtl/>
        </w:rPr>
        <w:t>חסון נ' כנסת ישראל</w:t>
      </w:r>
      <w:r>
        <w:rPr>
          <w:rFonts w:ascii="Century" w:hAnsi="Century" w:hint="cs"/>
          <w:sz w:val="22"/>
          <w:shd w:val="clear" w:color="auto" w:fill="FFFFFF"/>
          <w:rtl/>
        </w:rPr>
        <w:t xml:space="preserve"> (8.7.2021), </w:t>
      </w:r>
      <w:r w:rsidRPr="008E0586">
        <w:rPr>
          <w:rFonts w:ascii="Century" w:hAnsi="Century"/>
          <w:sz w:val="22"/>
          <w:shd w:val="clear" w:color="auto" w:fill="FFFFFF"/>
          <w:rtl/>
        </w:rPr>
        <w:t>אם כי נבדלת מדעות אלה בבסיסה הפורמלי. כפי שכבר הסברתי, הכרזת העצמאות היא </w:t>
      </w:r>
      <w:r w:rsidRPr="008E0586">
        <w:rPr>
          <w:rFonts w:ascii="Century" w:hAnsi="Century" w:cs="Miriam"/>
          <w:b/>
          <w:spacing w:val="0"/>
          <w:sz w:val="22"/>
          <w:szCs w:val="24"/>
          <w:shd w:val="clear" w:color="auto" w:fill="FFFFFF"/>
          <w:rtl/>
        </w:rPr>
        <w:t>הנורמה הבסיסית הפורמלית</w:t>
      </w:r>
      <w:r w:rsidRPr="008E0586">
        <w:rPr>
          <w:rFonts w:ascii="Century" w:hAnsi="Century"/>
          <w:sz w:val="22"/>
          <w:shd w:val="clear" w:color="auto" w:fill="FFFFFF"/>
          <w:rtl/>
        </w:rPr>
        <w:t xml:space="preserve"> של הדין הישראלי </w:t>
      </w:r>
      <w:r w:rsidRPr="008E0586">
        <w:rPr>
          <w:rFonts w:ascii="Century" w:hAnsi="Century"/>
          <w:sz w:val="22"/>
          <w:shd w:val="clear" w:color="auto" w:fill="FFFFFF"/>
          <w:rtl/>
        </w:rPr>
        <w:lastRenderedPageBreak/>
        <w:t>כולו – מעמד שנקבע לה במסמכי ההקמה של המדינה ומוסדותיה: המנשר ופקודת סדרי השלטון והמשפט המקורית. ככל שחבריי דוגלים בהכרה משפטית בערכי היסוד של מדינתנו ללא עיגון פורמלי כאמור, דרכי תישאר נפרדת מדרכם – כאשר שתי הדרכים הללו מובילות בענייננו לאותו מקו</w:t>
      </w:r>
      <w:r>
        <w:rPr>
          <w:rFonts w:ascii="Century" w:hAnsi="Century" w:hint="cs"/>
          <w:sz w:val="22"/>
          <w:shd w:val="clear" w:color="auto" w:fill="FFFFFF"/>
          <w:rtl/>
        </w:rPr>
        <w:t>ם (ראו גם: פסקאות 36-35 לפסק דיני ב</w:t>
      </w:r>
      <w:r w:rsidRPr="008E0586">
        <w:rPr>
          <w:rFonts w:ascii="Century" w:hAnsi="Century" w:cs="Miriam" w:hint="eastAsia"/>
          <w:b/>
          <w:spacing w:val="0"/>
          <w:sz w:val="22"/>
          <w:szCs w:val="24"/>
          <w:shd w:val="clear" w:color="auto" w:fill="FFFFFF"/>
          <w:rtl/>
        </w:rPr>
        <w:t>בג</w:t>
      </w:r>
      <w:r w:rsidRPr="008E0586">
        <w:rPr>
          <w:rFonts w:ascii="Century" w:hAnsi="Century" w:cs="Miriam"/>
          <w:b/>
          <w:spacing w:val="0"/>
          <w:sz w:val="22"/>
          <w:szCs w:val="24"/>
          <w:shd w:val="clear" w:color="auto" w:fill="FFFFFF"/>
          <w:rtl/>
        </w:rPr>
        <w:t>"</w:t>
      </w:r>
      <w:r w:rsidRPr="008E0586">
        <w:rPr>
          <w:rFonts w:ascii="Century" w:hAnsi="Century" w:cs="Miriam" w:hint="eastAsia"/>
          <w:b/>
          <w:spacing w:val="0"/>
          <w:sz w:val="22"/>
          <w:szCs w:val="24"/>
          <w:shd w:val="clear" w:color="auto" w:fill="FFFFFF"/>
          <w:rtl/>
        </w:rPr>
        <w:t>ץ</w:t>
      </w:r>
      <w:r w:rsidRPr="008E0586">
        <w:rPr>
          <w:rFonts w:ascii="Century" w:hAnsi="Century" w:cs="Miriam"/>
          <w:b/>
          <w:spacing w:val="0"/>
          <w:sz w:val="22"/>
          <w:szCs w:val="24"/>
          <w:shd w:val="clear" w:color="auto" w:fill="FFFFFF"/>
          <w:rtl/>
        </w:rPr>
        <w:t xml:space="preserve"> </w:t>
      </w:r>
      <w:r w:rsidRPr="008E0586">
        <w:rPr>
          <w:rFonts w:ascii="Century" w:hAnsi="Century" w:cs="Miriam" w:hint="eastAsia"/>
          <w:b/>
          <w:spacing w:val="0"/>
          <w:sz w:val="22"/>
          <w:szCs w:val="24"/>
          <w:shd w:val="clear" w:color="auto" w:fill="FFFFFF"/>
          <w:rtl/>
        </w:rPr>
        <w:t>טבריה</w:t>
      </w:r>
      <w:r>
        <w:rPr>
          <w:rFonts w:ascii="Century" w:hAnsi="Century" w:hint="cs"/>
          <w:sz w:val="22"/>
          <w:shd w:val="clear" w:color="auto" w:fill="FFFFFF"/>
          <w:rtl/>
        </w:rPr>
        <w:t>).</w:t>
      </w:r>
      <w:r>
        <w:rPr>
          <w:rFonts w:ascii="Century" w:hAnsi="Century" w:hint="cs"/>
          <w:sz w:val="22"/>
          <w:rtl/>
        </w:rPr>
        <w:t xml:space="preserve"> </w:t>
      </w:r>
    </w:p>
    <w:p w:rsidR="0047626A" w:rsidRDefault="0047626A" w:rsidP="0047626A">
      <w:pPr>
        <w:pStyle w:val="Ruller4"/>
        <w:numPr>
          <w:ilvl w:val="0"/>
          <w:numId w:val="0"/>
        </w:numPr>
        <w:rPr>
          <w:rFonts w:ascii="Century" w:hAnsi="Century"/>
          <w:sz w:val="22"/>
        </w:rPr>
      </w:pPr>
    </w:p>
    <w:p w:rsidR="0047626A" w:rsidRPr="00AC3F7C" w:rsidRDefault="0047626A" w:rsidP="0047626A">
      <w:pPr>
        <w:pStyle w:val="Ruller4"/>
        <w:rPr>
          <w:rFonts w:ascii="Century" w:hAnsi="Century"/>
          <w:sz w:val="22"/>
        </w:rPr>
      </w:pPr>
      <w:r>
        <w:rPr>
          <w:rFonts w:ascii="Century" w:hAnsi="Century" w:hint="cs"/>
          <w:sz w:val="22"/>
          <w:rtl/>
        </w:rPr>
        <w:t xml:space="preserve">חברתי הנשיאה חוזרת בפסק דינה הנוכחי על עמדתה בעניין </w:t>
      </w:r>
      <w:r w:rsidRPr="003E5392">
        <w:rPr>
          <w:rFonts w:ascii="Century" w:hAnsi="Century" w:cs="Miriam" w:hint="cs"/>
          <w:b/>
          <w:spacing w:val="0"/>
          <w:sz w:val="22"/>
          <w:szCs w:val="24"/>
          <w:rtl/>
        </w:rPr>
        <w:t>חסון</w:t>
      </w:r>
      <w:r>
        <w:rPr>
          <w:rFonts w:ascii="Century" w:hAnsi="Century" w:hint="cs"/>
          <w:sz w:val="22"/>
          <w:rtl/>
        </w:rPr>
        <w:t>, לפיה בית משפט זה מוסמך לבחון את תקפותם החוקתית של חוקי הכנסת, לרבות חוקי היסוד, לאור "מאפייני הזהות הגרעיניים של ישראל כמדינה יהודית ודמוקרטית", לאורן של "תפיסות היסוד אשר מלוות את המדינה מראשיתה ועד ימינו אלה" ולאורם של "נתונים קונסטיטוציוניים שעל בסיסם גובשה לכתחילה תורת הרשות המכוננת" (ראו שם, פסקאות 66-64). עמדה זו מקובלת על רוב חברי המותב הנוכחי, אולם אין בידי להצטרף אליה.</w:t>
      </w:r>
    </w:p>
    <w:p w:rsidR="0047626A" w:rsidRPr="00AC3F7C" w:rsidRDefault="0047626A" w:rsidP="0047626A">
      <w:pPr>
        <w:pStyle w:val="Ruller4"/>
        <w:numPr>
          <w:ilvl w:val="0"/>
          <w:numId w:val="0"/>
        </w:numPr>
        <w:rPr>
          <w:rFonts w:ascii="Century" w:hAnsi="Century"/>
          <w:sz w:val="22"/>
        </w:rPr>
      </w:pPr>
    </w:p>
    <w:p w:rsidR="0047626A" w:rsidRDefault="0047626A" w:rsidP="0047626A">
      <w:pPr>
        <w:pStyle w:val="Ruller4"/>
        <w:rPr>
          <w:rFonts w:ascii="Century" w:hAnsi="Century"/>
          <w:sz w:val="22"/>
          <w:rtl/>
        </w:rPr>
      </w:pPr>
      <w:r w:rsidRPr="000E399A">
        <w:rPr>
          <w:rFonts w:ascii="Century" w:hAnsi="Century" w:cs="Miriam" w:hint="cs"/>
          <w:b/>
          <w:spacing w:val="0"/>
          <w:sz w:val="22"/>
          <w:szCs w:val="24"/>
          <w:rtl/>
        </w:rPr>
        <w:t>עם כל הכבוד והיקר, הנני סבור כי סמכות הביקורת השיפוטית שבידינו צרה הרבה יותר מההגדרה שניתנה לה על ידי הנשיאה</w:t>
      </w:r>
      <w:r>
        <w:rPr>
          <w:rFonts w:ascii="Century" w:hAnsi="Century" w:hint="cs"/>
          <w:sz w:val="22"/>
          <w:rtl/>
        </w:rPr>
        <w:t xml:space="preserve">. </w:t>
      </w:r>
      <w:r w:rsidRPr="00CA28ED">
        <w:rPr>
          <w:rFonts w:ascii="Century" w:hAnsi="Century" w:hint="cs"/>
          <w:sz w:val="22"/>
          <w:rtl/>
        </w:rPr>
        <w:t xml:space="preserve">האופן שבו הגדירה הנשיאה </w:t>
      </w:r>
      <w:r>
        <w:rPr>
          <w:rFonts w:ascii="Century" w:hAnsi="Century" w:hint="cs"/>
          <w:sz w:val="22"/>
          <w:rtl/>
        </w:rPr>
        <w:t>את היקף ה</w:t>
      </w:r>
      <w:r w:rsidRPr="00536DE4">
        <w:rPr>
          <w:rFonts w:ascii="Century" w:hAnsi="Century" w:hint="cs"/>
          <w:sz w:val="22"/>
          <w:rtl/>
        </w:rPr>
        <w:t>סמכות כאמור אינו מעוגן בשום הוראה פורמלית בת-תוקף חוקתי, ועל כן הוא לוקה בהנחת המבוקש.</w:t>
      </w:r>
      <w:r>
        <w:rPr>
          <w:rFonts w:ascii="Century" w:hAnsi="Century" w:hint="cs"/>
          <w:sz w:val="22"/>
          <w:rtl/>
        </w:rPr>
        <w:t xml:space="preserve"> </w:t>
      </w:r>
      <w:r w:rsidRPr="00AC3F7C">
        <w:rPr>
          <w:rFonts w:ascii="Century" w:hAnsi="Century" w:hint="cs"/>
          <w:sz w:val="22"/>
          <w:rtl/>
        </w:rPr>
        <w:t xml:space="preserve">שופטים ואנשי אקדמיה שדוגלים בגישה זו מניחים </w:t>
      </w:r>
      <w:r w:rsidRPr="00AC3F7C">
        <w:rPr>
          <w:rFonts w:ascii="Century" w:hAnsi="Century"/>
          <w:sz w:val="22"/>
          <w:rtl/>
        </w:rPr>
        <w:t>–</w:t>
      </w:r>
      <w:r w:rsidRPr="00AC3F7C">
        <w:rPr>
          <w:rFonts w:ascii="Century" w:hAnsi="Century" w:hint="cs"/>
          <w:sz w:val="22"/>
          <w:rtl/>
        </w:rPr>
        <w:t xml:space="preserve"> מבלי להישען על שום הסמכה פורמלית או מקור משפטי אחר </w:t>
      </w:r>
      <w:r w:rsidRPr="00AC3F7C">
        <w:rPr>
          <w:rFonts w:ascii="Century" w:hAnsi="Century"/>
          <w:sz w:val="22"/>
          <w:rtl/>
        </w:rPr>
        <w:t>–</w:t>
      </w:r>
      <w:r w:rsidRPr="00AC3F7C">
        <w:rPr>
          <w:rFonts w:ascii="Century" w:hAnsi="Century" w:hint="cs"/>
          <w:sz w:val="22"/>
          <w:rtl/>
        </w:rPr>
        <w:t xml:space="preserve"> כי אופייה הכללי של מדינת ישראל כ"יהודית ודמוקרטית" מסמיך את הערכאות השיפוטיות, ובפרט את בית המשפט העליון, לגזור ערכים כלליים ממאפייני יסוד אלה, למלא ערכים אלה בתכנים קונקרטיים, ואחר-כך לקבוע כי תקפותם של חוקי הכנסת, לרבות חוקי היסוד, תיבחן לאור התכנים הללו במסגרתה של ביקורת שיפוטית. זאת, בשונה מגישתי-שלי, אשר משתיתה את סמכות הביקורת השיפוטית על הוראותיהם המפורשות של </w:t>
      </w:r>
      <w:r>
        <w:rPr>
          <w:rFonts w:ascii="Century" w:hAnsi="Century" w:hint="cs"/>
          <w:sz w:val="22"/>
          <w:rtl/>
        </w:rPr>
        <w:t xml:space="preserve">המנשר ושל פקודת סדרי השלטון והמשפט המקורית, אשר הכפיפו את כלל סמכויות החקיקה של הכנסת, בלשון ברורה וחד-משמעית, לעקרונותיה של הכרזת העצמאות, כדוגמת צדק, שוויון ומדינה יהודית, באופן שמאפשר לכנסת </w:t>
      </w:r>
      <w:r>
        <w:rPr>
          <w:rFonts w:ascii="Century" w:hAnsi="Century"/>
          <w:sz w:val="22"/>
          <w:rtl/>
        </w:rPr>
        <w:t>–</w:t>
      </w:r>
      <w:r>
        <w:rPr>
          <w:rFonts w:ascii="Century" w:hAnsi="Century" w:hint="cs"/>
          <w:sz w:val="22"/>
          <w:rtl/>
        </w:rPr>
        <w:t xml:space="preserve"> לה, ולא לנו </w:t>
      </w:r>
      <w:r>
        <w:rPr>
          <w:rFonts w:ascii="Century" w:hAnsi="Century"/>
          <w:sz w:val="22"/>
          <w:rtl/>
        </w:rPr>
        <w:t>–</w:t>
      </w:r>
      <w:r>
        <w:rPr>
          <w:rFonts w:ascii="Century" w:hAnsi="Century" w:hint="cs"/>
          <w:sz w:val="22"/>
          <w:rtl/>
        </w:rPr>
        <w:t xml:space="preserve"> למלא עקרונות אלה בתכנים קונקרטיים, כל אימת שהכנסת מאמצת לעצמה את אחד המובנים המקובלים של העקרונות או את אחת התפישות הערכיות שהזינו את קביעתם. </w:t>
      </w:r>
      <w:r w:rsidRPr="009C1A5F">
        <w:rPr>
          <w:rFonts w:ascii="Century" w:hAnsi="Century" w:hint="cs"/>
          <w:sz w:val="22"/>
          <w:rtl/>
        </w:rPr>
        <w:t xml:space="preserve">כפועל יוצא מכך, בית משפט זה מפעיל את סמכות הביקורת השיפוטית שלו </w:t>
      </w:r>
      <w:r w:rsidRPr="009C1A5F">
        <w:rPr>
          <w:rFonts w:ascii="Century" w:hAnsi="Century"/>
          <w:sz w:val="22"/>
          <w:rtl/>
        </w:rPr>
        <w:t>–</w:t>
      </w:r>
      <w:r w:rsidRPr="009C1A5F">
        <w:rPr>
          <w:rFonts w:ascii="Century" w:hAnsi="Century" w:hint="cs"/>
          <w:sz w:val="22"/>
          <w:rtl/>
        </w:rPr>
        <w:t xml:space="preserve"> אשר מהווה חלק מסמכויות השפיטה ואשר מעוגנת </w:t>
      </w:r>
      <w:r>
        <w:rPr>
          <w:rFonts w:ascii="Century" w:hAnsi="Century" w:hint="cs"/>
          <w:sz w:val="22"/>
          <w:rtl/>
        </w:rPr>
        <w:t xml:space="preserve">כעת </w:t>
      </w:r>
      <w:r w:rsidRPr="009C1A5F">
        <w:rPr>
          <w:rFonts w:ascii="Century" w:hAnsi="Century" w:hint="cs"/>
          <w:sz w:val="22"/>
          <w:rtl/>
        </w:rPr>
        <w:t>ב</w:t>
      </w:r>
      <w:r>
        <w:rPr>
          <w:rFonts w:hint="cs"/>
          <w:rtl/>
        </w:rPr>
        <w:t xml:space="preserve">סעיפים 15(ג) ו-15(ד)(2) לחוק-יסוד: השפיטה </w:t>
      </w:r>
      <w:r>
        <w:rPr>
          <w:rtl/>
        </w:rPr>
        <w:t>–</w:t>
      </w:r>
      <w:r>
        <w:rPr>
          <w:rFonts w:hint="cs"/>
          <w:rtl/>
        </w:rPr>
        <w:t xml:space="preserve"> מבלי להיכנס לתוככי הזירה הפוליטית בה מתבצעת הבחירה בין התפישות הערכיות השונות אשר באות למלא את עקרונותיה הכלליים של הכרזת העצמאות בתכנים קונקרטיים.</w:t>
      </w:r>
      <w:r>
        <w:rPr>
          <w:rFonts w:ascii="Century" w:hAnsi="Century" w:hint="cs"/>
          <w:sz w:val="22"/>
          <w:rtl/>
        </w:rPr>
        <w:t xml:space="preserve"> במסגרת זו, סמכות </w:t>
      </w:r>
      <w:r>
        <w:rPr>
          <w:rFonts w:ascii="Century" w:hAnsi="Century" w:hint="cs"/>
          <w:sz w:val="22"/>
          <w:rtl/>
        </w:rPr>
        <w:lastRenderedPageBreak/>
        <w:t xml:space="preserve">הביקורת השיפוטית אשר תופעל על ידינו ביחס לחוקים וחוקי יסוד </w:t>
      </w:r>
      <w:r w:rsidRPr="001E7D3A">
        <w:rPr>
          <w:rFonts w:ascii="Century" w:hAnsi="Century" w:hint="cs"/>
          <w:sz w:val="22"/>
          <w:rtl/>
        </w:rPr>
        <w:t xml:space="preserve">תהא, כל כולה, מכוונת למניעתן של חריגות ממתחם הפעילות הרחב שהכרזת העצמאות </w:t>
      </w:r>
      <w:r>
        <w:rPr>
          <w:rFonts w:ascii="Century" w:hAnsi="Century" w:hint="cs"/>
          <w:sz w:val="22"/>
          <w:rtl/>
        </w:rPr>
        <w:t>הועידה</w:t>
      </w:r>
      <w:r w:rsidRPr="001E7D3A">
        <w:rPr>
          <w:rFonts w:ascii="Century" w:hAnsi="Century" w:hint="cs"/>
          <w:sz w:val="22"/>
          <w:rtl/>
        </w:rPr>
        <w:t xml:space="preserve"> </w:t>
      </w:r>
      <w:r>
        <w:rPr>
          <w:rFonts w:ascii="Century" w:hAnsi="Century" w:hint="cs"/>
          <w:sz w:val="22"/>
          <w:rtl/>
        </w:rPr>
        <w:t>ל</w:t>
      </w:r>
      <w:r w:rsidRPr="001E7D3A">
        <w:rPr>
          <w:rFonts w:ascii="Century" w:hAnsi="Century" w:hint="cs"/>
          <w:sz w:val="22"/>
          <w:rtl/>
        </w:rPr>
        <w:t>כנסת.</w:t>
      </w:r>
    </w:p>
    <w:p w:rsidR="0047626A" w:rsidRDefault="0047626A" w:rsidP="0047626A">
      <w:pPr>
        <w:pStyle w:val="Ruller41"/>
        <w:rPr>
          <w:rtl/>
        </w:rPr>
      </w:pPr>
    </w:p>
    <w:p w:rsidR="0047626A" w:rsidRPr="00AC3F7C" w:rsidRDefault="0047626A" w:rsidP="0047626A">
      <w:pPr>
        <w:pStyle w:val="Ruller41"/>
      </w:pPr>
      <w:r>
        <w:rPr>
          <w:rtl/>
        </w:rPr>
        <w:tab/>
      </w:r>
      <w:r>
        <w:rPr>
          <w:rFonts w:hint="cs"/>
          <w:rtl/>
        </w:rPr>
        <w:t xml:space="preserve">ההבדל היסודי שבין גישת הנשיאה, שכאמור מקובלת על רוב חברי המותב הנוכחי, לבין גישתי-שלי הוא זה: בשונה מגישת הנשיאה, לפיה היותה של מדינתנו "יהודית ודמוקרטית" מגדיר את היקפה הרחב של </w:t>
      </w:r>
      <w:r w:rsidRPr="00AC3F7C">
        <w:rPr>
          <w:rFonts w:ascii="Century" w:hAnsi="Century" w:cs="Miriam" w:hint="cs"/>
          <w:b/>
          <w:spacing w:val="0"/>
          <w:szCs w:val="24"/>
          <w:u w:val="single"/>
          <w:rtl/>
        </w:rPr>
        <w:t>הביקורת השיפוטית</w:t>
      </w:r>
      <w:r w:rsidRPr="00AC3F7C">
        <w:rPr>
          <w:rFonts w:hint="cs"/>
          <w:rtl/>
        </w:rPr>
        <w:t xml:space="preserve"> </w:t>
      </w:r>
      <w:r>
        <w:rPr>
          <w:rFonts w:hint="cs"/>
          <w:rtl/>
        </w:rPr>
        <w:t xml:space="preserve">על חוקים וחוקי יסוד, הנני סבור כי עקרונותיה הכלליים של הכרזת העצמאות </w:t>
      </w:r>
      <w:r>
        <w:rPr>
          <w:rtl/>
        </w:rPr>
        <w:t>–</w:t>
      </w:r>
      <w:r>
        <w:rPr>
          <w:rFonts w:hint="cs"/>
          <w:rtl/>
        </w:rPr>
        <w:t xml:space="preserve"> כדוגמת צדק ושוויון </w:t>
      </w:r>
      <w:r>
        <w:rPr>
          <w:rtl/>
        </w:rPr>
        <w:t>–</w:t>
      </w:r>
      <w:r>
        <w:rPr>
          <w:rFonts w:hint="cs"/>
          <w:rtl/>
        </w:rPr>
        <w:t xml:space="preserve">מגדירים את </w:t>
      </w:r>
      <w:r w:rsidRPr="00AC3F7C">
        <w:rPr>
          <w:rFonts w:ascii="Century" w:hAnsi="Century" w:cs="Miriam" w:hint="cs"/>
          <w:b/>
          <w:spacing w:val="0"/>
          <w:szCs w:val="24"/>
          <w:u w:val="single"/>
          <w:rtl/>
        </w:rPr>
        <w:t>חופש הפעולה של הכנסת</w:t>
      </w:r>
      <w:r>
        <w:rPr>
          <w:rFonts w:hint="cs"/>
          <w:rtl/>
        </w:rPr>
        <w:t xml:space="preserve"> בבואה לחוקק חוקים וחוקי יסוד. חופש פעולה זה מותיר בידינו סמכות צרה של ביקורת שיפוטית, אשר תופעל על ידינו רק במקרים של חריגה ברורה מכל המובנים המקובלים של אותם עקרונות כלליים. במילים אחרות: הכנסת היא זאת שמוסמכת להזין את עקרונותיה הכלליים של הכרזת העצמאות בתכנים קונקרטיים </w:t>
      </w:r>
      <w:r>
        <w:rPr>
          <w:rtl/>
        </w:rPr>
        <w:t>–</w:t>
      </w:r>
      <w:r>
        <w:rPr>
          <w:rFonts w:hint="cs"/>
          <w:rtl/>
        </w:rPr>
        <w:t xml:space="preserve"> היא, ולא אנחנו. </w:t>
      </w:r>
      <w:r w:rsidRPr="001536FB">
        <w:rPr>
          <w:rFonts w:ascii="Century" w:hAnsi="Century" w:cs="Miriam" w:hint="cs"/>
          <w:b/>
          <w:spacing w:val="0"/>
          <w:szCs w:val="24"/>
          <w:rtl/>
        </w:rPr>
        <w:t>התערבותנו בתכנים שנבחרו על ידי הכנסת תיעשה רק אם נמצאם מנוגדים לכל המובנים האפשריים של העקרונות</w:t>
      </w:r>
      <w:r>
        <w:rPr>
          <w:rFonts w:hint="cs"/>
          <w:rtl/>
        </w:rPr>
        <w:t xml:space="preserve">. </w:t>
      </w:r>
    </w:p>
    <w:p w:rsidR="0047626A" w:rsidRDefault="0047626A" w:rsidP="0047626A">
      <w:pPr>
        <w:pStyle w:val="Ruller4"/>
        <w:numPr>
          <w:ilvl w:val="0"/>
          <w:numId w:val="0"/>
        </w:numPr>
        <w:rPr>
          <w:rFonts w:ascii="Century" w:hAnsi="Century"/>
          <w:sz w:val="22"/>
        </w:rPr>
      </w:pPr>
    </w:p>
    <w:p w:rsidR="0047626A" w:rsidRPr="009C1A5F" w:rsidRDefault="0047626A" w:rsidP="0047626A">
      <w:pPr>
        <w:pStyle w:val="Ruller4"/>
        <w:rPr>
          <w:rFonts w:ascii="Century" w:hAnsi="Century"/>
          <w:sz w:val="22"/>
          <w:rtl/>
        </w:rPr>
      </w:pPr>
      <w:r>
        <w:rPr>
          <w:rFonts w:ascii="Century" w:hAnsi="Century" w:hint="cs"/>
          <w:sz w:val="22"/>
          <w:rtl/>
        </w:rPr>
        <w:t>בעניינים אלה אעסוק כעת.</w:t>
      </w:r>
    </w:p>
    <w:p w:rsidR="0047626A" w:rsidRDefault="0047626A" w:rsidP="0047626A">
      <w:pPr>
        <w:pStyle w:val="Ruller41"/>
        <w:rPr>
          <w:rtl/>
        </w:rPr>
      </w:pPr>
    </w:p>
    <w:p w:rsidR="0047626A" w:rsidRPr="00FB2802" w:rsidRDefault="0047626A" w:rsidP="0047626A">
      <w:pPr>
        <w:pStyle w:val="Ruller41"/>
        <w:rPr>
          <w:rFonts w:ascii="Century" w:hAnsi="Century" w:cs="Miriam"/>
          <w:b/>
          <w:spacing w:val="0"/>
          <w:szCs w:val="24"/>
          <w:rtl/>
        </w:rPr>
      </w:pPr>
      <w:r w:rsidRPr="00FB2802">
        <w:rPr>
          <w:rFonts w:ascii="Century" w:hAnsi="Century" w:cs="Miriam" w:hint="cs"/>
          <w:b/>
          <w:spacing w:val="0"/>
          <w:szCs w:val="24"/>
          <w:rtl/>
        </w:rPr>
        <w:t>גבולות החקיקה של הכנסת תחת הכרזת העצמאות</w:t>
      </w:r>
    </w:p>
    <w:p w:rsidR="0047626A" w:rsidRDefault="0047626A" w:rsidP="0047626A">
      <w:pPr>
        <w:pStyle w:val="Ruller41"/>
        <w:rPr>
          <w:rtl/>
        </w:rPr>
      </w:pPr>
    </w:p>
    <w:p w:rsidR="0047626A" w:rsidRPr="008E0586" w:rsidRDefault="0047626A" w:rsidP="0047626A">
      <w:pPr>
        <w:pStyle w:val="Ruller4"/>
        <w:rPr>
          <w:rFonts w:ascii="Century" w:hAnsi="Century"/>
          <w:sz w:val="22"/>
        </w:rPr>
      </w:pPr>
      <w:r w:rsidRPr="008E0586">
        <w:rPr>
          <w:rFonts w:ascii="Century" w:hAnsi="Century" w:hint="eastAsia"/>
          <w:sz w:val="22"/>
          <w:rtl/>
        </w:rPr>
        <w:t>הכרזת</w:t>
      </w:r>
      <w:r w:rsidRPr="008E0586">
        <w:rPr>
          <w:rFonts w:ascii="Century" w:hAnsi="Century"/>
          <w:sz w:val="22"/>
          <w:rtl/>
        </w:rPr>
        <w:t xml:space="preserve"> </w:t>
      </w:r>
      <w:r w:rsidRPr="008E0586">
        <w:rPr>
          <w:rFonts w:ascii="Century" w:hAnsi="Century" w:hint="eastAsia"/>
          <w:sz w:val="22"/>
          <w:rtl/>
        </w:rPr>
        <w:t>העצמאות</w:t>
      </w:r>
      <w:r w:rsidRPr="008E0586">
        <w:rPr>
          <w:rFonts w:ascii="Century" w:hAnsi="Century"/>
          <w:sz w:val="22"/>
          <w:rtl/>
        </w:rPr>
        <w:t xml:space="preserve"> </w:t>
      </w:r>
      <w:r w:rsidRPr="008E0586">
        <w:rPr>
          <w:rFonts w:ascii="Century" w:hAnsi="Century" w:hint="eastAsia"/>
          <w:sz w:val="22"/>
          <w:rtl/>
        </w:rPr>
        <w:t>תחמה</w:t>
      </w:r>
      <w:r w:rsidRPr="008E0586">
        <w:rPr>
          <w:rFonts w:ascii="Century" w:hAnsi="Century"/>
          <w:sz w:val="22"/>
          <w:rtl/>
        </w:rPr>
        <w:t xml:space="preserve"> </w:t>
      </w:r>
      <w:r w:rsidRPr="008E0586">
        <w:rPr>
          <w:rFonts w:ascii="Century" w:hAnsi="Century" w:hint="eastAsia"/>
          <w:sz w:val="22"/>
          <w:rtl/>
        </w:rPr>
        <w:t>והגבילה</w:t>
      </w:r>
      <w:r w:rsidRPr="008E0586">
        <w:rPr>
          <w:rFonts w:ascii="Century" w:hAnsi="Century"/>
          <w:sz w:val="22"/>
          <w:rtl/>
        </w:rPr>
        <w:t xml:space="preserve"> </w:t>
      </w:r>
      <w:r w:rsidRPr="008E0586">
        <w:rPr>
          <w:rFonts w:ascii="Century" w:hAnsi="Century" w:hint="eastAsia"/>
          <w:sz w:val="22"/>
          <w:rtl/>
        </w:rPr>
        <w:t>את</w:t>
      </w:r>
      <w:r w:rsidRPr="008E0586">
        <w:rPr>
          <w:rFonts w:ascii="Century" w:hAnsi="Century"/>
          <w:sz w:val="22"/>
          <w:rtl/>
        </w:rPr>
        <w:t xml:space="preserve"> </w:t>
      </w:r>
      <w:r w:rsidRPr="008E0586">
        <w:rPr>
          <w:rFonts w:ascii="Century" w:hAnsi="Century" w:hint="eastAsia"/>
          <w:sz w:val="22"/>
          <w:rtl/>
        </w:rPr>
        <w:t>סמכויות</w:t>
      </w:r>
      <w:r w:rsidRPr="008E0586">
        <w:rPr>
          <w:rFonts w:ascii="Century" w:hAnsi="Century"/>
          <w:sz w:val="22"/>
          <w:rtl/>
        </w:rPr>
        <w:t xml:space="preserve"> </w:t>
      </w:r>
      <w:r w:rsidRPr="008E0586">
        <w:rPr>
          <w:rFonts w:ascii="Century" w:hAnsi="Century" w:hint="eastAsia"/>
          <w:sz w:val="22"/>
          <w:rtl/>
        </w:rPr>
        <w:t>החקיקה</w:t>
      </w:r>
      <w:r w:rsidRPr="008E0586">
        <w:rPr>
          <w:rFonts w:ascii="Century" w:hAnsi="Century"/>
          <w:sz w:val="22"/>
          <w:rtl/>
        </w:rPr>
        <w:t xml:space="preserve"> </w:t>
      </w:r>
      <w:r w:rsidRPr="008E0586">
        <w:rPr>
          <w:rFonts w:ascii="Century" w:hAnsi="Century" w:hint="eastAsia"/>
          <w:sz w:val="22"/>
          <w:rtl/>
        </w:rPr>
        <w:t>של</w:t>
      </w:r>
      <w:r w:rsidRPr="008E0586">
        <w:rPr>
          <w:rFonts w:ascii="Century" w:hAnsi="Century"/>
          <w:sz w:val="22"/>
          <w:rtl/>
        </w:rPr>
        <w:t xml:space="preserve"> </w:t>
      </w:r>
      <w:r w:rsidRPr="008E0586">
        <w:rPr>
          <w:rFonts w:ascii="Century" w:hAnsi="Century" w:hint="eastAsia"/>
          <w:sz w:val="22"/>
          <w:rtl/>
        </w:rPr>
        <w:t>הכנסת</w:t>
      </w:r>
      <w:r w:rsidRPr="008E0586">
        <w:rPr>
          <w:rFonts w:ascii="Century" w:hAnsi="Century"/>
          <w:sz w:val="22"/>
          <w:rtl/>
        </w:rPr>
        <w:t xml:space="preserve"> </w:t>
      </w:r>
      <w:r w:rsidRPr="008E0586">
        <w:rPr>
          <w:rFonts w:ascii="Century" w:hAnsi="Century" w:hint="eastAsia"/>
          <w:sz w:val="22"/>
          <w:rtl/>
        </w:rPr>
        <w:t>באמצעות</w:t>
      </w:r>
      <w:r w:rsidRPr="008E0586">
        <w:rPr>
          <w:rFonts w:ascii="Century" w:hAnsi="Century"/>
          <w:sz w:val="22"/>
          <w:rtl/>
        </w:rPr>
        <w:t xml:space="preserve"> </w:t>
      </w:r>
      <w:r w:rsidRPr="008E0586">
        <w:rPr>
          <w:rFonts w:ascii="Century" w:hAnsi="Century" w:hint="eastAsia"/>
          <w:sz w:val="22"/>
          <w:rtl/>
        </w:rPr>
        <w:t>מושגים</w:t>
      </w:r>
      <w:r w:rsidRPr="008E0586">
        <w:rPr>
          <w:rFonts w:ascii="Century" w:hAnsi="Century"/>
          <w:sz w:val="22"/>
          <w:rtl/>
        </w:rPr>
        <w:t xml:space="preserve"> </w:t>
      </w:r>
      <w:r w:rsidRPr="008E0586">
        <w:rPr>
          <w:rFonts w:ascii="Century" w:hAnsi="Century" w:hint="eastAsia"/>
          <w:sz w:val="22"/>
          <w:rtl/>
        </w:rPr>
        <w:t>כלליים</w:t>
      </w:r>
      <w:r w:rsidRPr="008E0586">
        <w:rPr>
          <w:rFonts w:ascii="Century" w:hAnsi="Century"/>
          <w:sz w:val="22"/>
          <w:rtl/>
        </w:rPr>
        <w:t xml:space="preserve"> </w:t>
      </w:r>
      <w:r w:rsidRPr="008E0586">
        <w:rPr>
          <w:rFonts w:ascii="Century" w:hAnsi="Century" w:hint="eastAsia"/>
          <w:sz w:val="22"/>
          <w:rtl/>
        </w:rPr>
        <w:t>אשר</w:t>
      </w:r>
      <w:r w:rsidRPr="008E0586">
        <w:rPr>
          <w:rFonts w:ascii="Century" w:hAnsi="Century"/>
          <w:sz w:val="22"/>
          <w:rtl/>
        </w:rPr>
        <w:t xml:space="preserve"> </w:t>
      </w:r>
      <w:r w:rsidRPr="008E0586">
        <w:rPr>
          <w:rFonts w:ascii="Century" w:hAnsi="Century" w:hint="eastAsia"/>
          <w:sz w:val="22"/>
          <w:rtl/>
        </w:rPr>
        <w:t>נוסחו</w:t>
      </w:r>
      <w:r w:rsidRPr="008E0586">
        <w:rPr>
          <w:rFonts w:ascii="Century" w:hAnsi="Century"/>
          <w:sz w:val="22"/>
          <w:rtl/>
        </w:rPr>
        <w:t xml:space="preserve"> </w:t>
      </w:r>
      <w:r w:rsidRPr="008E0586">
        <w:rPr>
          <w:rFonts w:ascii="Century" w:hAnsi="Century" w:hint="eastAsia"/>
          <w:sz w:val="22"/>
          <w:rtl/>
        </w:rPr>
        <w:t>ברמת</w:t>
      </w:r>
      <w:r w:rsidRPr="008E0586">
        <w:rPr>
          <w:rFonts w:ascii="Century" w:hAnsi="Century"/>
          <w:sz w:val="22"/>
          <w:rtl/>
        </w:rPr>
        <w:t xml:space="preserve"> </w:t>
      </w:r>
      <w:r w:rsidRPr="008E0586">
        <w:rPr>
          <w:rFonts w:ascii="Century" w:hAnsi="Century" w:hint="eastAsia"/>
          <w:sz w:val="22"/>
          <w:rtl/>
        </w:rPr>
        <w:t>הפשטה</w:t>
      </w:r>
      <w:r w:rsidRPr="008E0586">
        <w:rPr>
          <w:rFonts w:ascii="Century" w:hAnsi="Century"/>
          <w:sz w:val="22"/>
          <w:rtl/>
        </w:rPr>
        <w:t xml:space="preserve"> </w:t>
      </w:r>
      <w:r w:rsidRPr="008E0586">
        <w:rPr>
          <w:rFonts w:ascii="Century" w:hAnsi="Century" w:hint="eastAsia"/>
          <w:sz w:val="22"/>
          <w:rtl/>
        </w:rPr>
        <w:t>גבוהה</w:t>
      </w:r>
      <w:r w:rsidRPr="008E0586">
        <w:rPr>
          <w:rFonts w:ascii="Century" w:hAnsi="Century"/>
          <w:sz w:val="22"/>
          <w:rtl/>
        </w:rPr>
        <w:t xml:space="preserve">, </w:t>
      </w:r>
      <w:r w:rsidRPr="008E0586">
        <w:rPr>
          <w:rFonts w:ascii="Century" w:hAnsi="Century" w:hint="eastAsia"/>
          <w:sz w:val="22"/>
          <w:rtl/>
        </w:rPr>
        <w:t>כיאה</w:t>
      </w:r>
      <w:r w:rsidRPr="008E0586">
        <w:rPr>
          <w:rFonts w:ascii="Century" w:hAnsi="Century"/>
          <w:sz w:val="22"/>
          <w:rtl/>
        </w:rPr>
        <w:t xml:space="preserve"> </w:t>
      </w:r>
      <w:r w:rsidRPr="008E0586">
        <w:rPr>
          <w:rFonts w:ascii="Century" w:hAnsi="Century" w:hint="eastAsia"/>
          <w:sz w:val="22"/>
          <w:rtl/>
        </w:rPr>
        <w:t>למסמך</w:t>
      </w:r>
      <w:r w:rsidRPr="008E0586">
        <w:rPr>
          <w:rFonts w:ascii="Century" w:hAnsi="Century"/>
          <w:sz w:val="22"/>
          <w:rtl/>
        </w:rPr>
        <w:t xml:space="preserve"> </w:t>
      </w:r>
      <w:r w:rsidRPr="008E0586">
        <w:rPr>
          <w:rFonts w:ascii="Century" w:hAnsi="Century" w:hint="eastAsia"/>
          <w:sz w:val="22"/>
          <w:rtl/>
        </w:rPr>
        <w:t>חוקתי</w:t>
      </w:r>
      <w:r w:rsidRPr="008E0586">
        <w:rPr>
          <w:rFonts w:ascii="Century" w:hAnsi="Century"/>
          <w:sz w:val="22"/>
          <w:rtl/>
        </w:rPr>
        <w:t xml:space="preserve"> </w:t>
      </w:r>
      <w:r w:rsidRPr="008E0586">
        <w:rPr>
          <w:rFonts w:ascii="Century" w:hAnsi="Century" w:hint="eastAsia"/>
          <w:sz w:val="22"/>
          <w:rtl/>
        </w:rPr>
        <w:t>מייסד</w:t>
      </w:r>
      <w:r w:rsidRPr="008E0586">
        <w:rPr>
          <w:rFonts w:ascii="Century" w:hAnsi="Century"/>
          <w:sz w:val="22"/>
          <w:rtl/>
        </w:rPr>
        <w:t xml:space="preserve">. </w:t>
      </w:r>
      <w:r w:rsidRPr="008E0586">
        <w:rPr>
          <w:rFonts w:ascii="Century" w:hAnsi="Century" w:hint="eastAsia"/>
          <w:sz w:val="22"/>
          <w:rtl/>
        </w:rPr>
        <w:t>מושגים</w:t>
      </w:r>
      <w:r w:rsidRPr="008E0586">
        <w:rPr>
          <w:rFonts w:ascii="Century" w:hAnsi="Century"/>
          <w:sz w:val="22"/>
          <w:rtl/>
        </w:rPr>
        <w:t xml:space="preserve"> </w:t>
      </w:r>
      <w:r w:rsidRPr="008E0586">
        <w:rPr>
          <w:rFonts w:ascii="Century" w:hAnsi="Century" w:hint="eastAsia"/>
          <w:sz w:val="22"/>
          <w:rtl/>
        </w:rPr>
        <w:t>אלה</w:t>
      </w:r>
      <w:r w:rsidRPr="008E0586">
        <w:rPr>
          <w:rFonts w:ascii="Century" w:hAnsi="Century"/>
          <w:sz w:val="22"/>
          <w:rtl/>
        </w:rPr>
        <w:t xml:space="preserve"> </w:t>
      </w:r>
      <w:r w:rsidRPr="008E0586">
        <w:rPr>
          <w:rFonts w:ascii="Century" w:hAnsi="Century" w:hint="eastAsia"/>
          <w:sz w:val="22"/>
          <w:rtl/>
        </w:rPr>
        <w:t>כוללים</w:t>
      </w:r>
      <w:r w:rsidRPr="008E0586">
        <w:rPr>
          <w:rFonts w:ascii="Century" w:hAnsi="Century"/>
          <w:sz w:val="22"/>
          <w:rtl/>
        </w:rPr>
        <w:t xml:space="preserve">, </w:t>
      </w:r>
      <w:r w:rsidRPr="008E0586">
        <w:rPr>
          <w:rFonts w:ascii="Century" w:hAnsi="Century" w:hint="eastAsia"/>
          <w:sz w:val="22"/>
          <w:rtl/>
        </w:rPr>
        <w:t>בין</w:t>
      </w:r>
      <w:r w:rsidRPr="008E0586">
        <w:rPr>
          <w:rFonts w:ascii="Century" w:hAnsi="Century"/>
          <w:sz w:val="22"/>
          <w:rtl/>
        </w:rPr>
        <w:t xml:space="preserve"> </w:t>
      </w:r>
      <w:r w:rsidRPr="008E0586">
        <w:rPr>
          <w:rFonts w:ascii="Century" w:hAnsi="Century" w:hint="eastAsia"/>
          <w:sz w:val="22"/>
          <w:rtl/>
        </w:rPr>
        <w:t>היתר</w:t>
      </w:r>
      <w:r w:rsidRPr="008E0586">
        <w:rPr>
          <w:rFonts w:ascii="Century" w:hAnsi="Century"/>
          <w:sz w:val="22"/>
          <w:rtl/>
        </w:rPr>
        <w:t xml:space="preserve">, </w:t>
      </w:r>
      <w:r w:rsidRPr="008E0586">
        <w:rPr>
          <w:rFonts w:ascii="Century" w:hAnsi="Century" w:hint="eastAsia"/>
          <w:sz w:val="22"/>
          <w:rtl/>
        </w:rPr>
        <w:t>את</w:t>
      </w:r>
      <w:r w:rsidRPr="008E0586">
        <w:rPr>
          <w:rFonts w:ascii="Century" w:hAnsi="Century"/>
          <w:sz w:val="22"/>
          <w:rtl/>
        </w:rPr>
        <w:t xml:space="preserve"> </w:t>
      </w:r>
      <w:r w:rsidRPr="008E0586">
        <w:rPr>
          <w:rFonts w:ascii="Century" w:hAnsi="Century" w:hint="eastAsia"/>
          <w:sz w:val="22"/>
          <w:rtl/>
        </w:rPr>
        <w:t>הדרישה</w:t>
      </w:r>
      <w:r w:rsidRPr="008E0586">
        <w:rPr>
          <w:rFonts w:ascii="Century" w:hAnsi="Century"/>
          <w:sz w:val="22"/>
          <w:rtl/>
        </w:rPr>
        <w:t xml:space="preserve"> </w:t>
      </w:r>
      <w:r w:rsidRPr="008E0586">
        <w:rPr>
          <w:rFonts w:ascii="Century" w:hAnsi="Century" w:hint="eastAsia"/>
          <w:sz w:val="22"/>
          <w:rtl/>
        </w:rPr>
        <w:t>כי</w:t>
      </w:r>
      <w:r w:rsidRPr="008E0586">
        <w:rPr>
          <w:rFonts w:ascii="Century" w:hAnsi="Century"/>
          <w:sz w:val="22"/>
          <w:rtl/>
        </w:rPr>
        <w:t xml:space="preserve"> </w:t>
      </w:r>
      <w:r w:rsidRPr="008E0586">
        <w:rPr>
          <w:rFonts w:ascii="Century" w:hAnsi="Century" w:hint="eastAsia"/>
          <w:sz w:val="22"/>
          <w:rtl/>
        </w:rPr>
        <w:t>המדינה</w:t>
      </w:r>
      <w:r w:rsidRPr="008E0586">
        <w:rPr>
          <w:rFonts w:ascii="Century" w:hAnsi="Century"/>
          <w:sz w:val="22"/>
          <w:rtl/>
        </w:rPr>
        <w:t xml:space="preserve"> </w:t>
      </w:r>
      <w:r w:rsidRPr="008E0586">
        <w:rPr>
          <w:rFonts w:ascii="Century" w:hAnsi="Century" w:hint="eastAsia"/>
          <w:sz w:val="22"/>
          <w:rtl/>
        </w:rPr>
        <w:t>תהא</w:t>
      </w:r>
      <w:r w:rsidRPr="008E0586">
        <w:rPr>
          <w:rFonts w:ascii="Century" w:hAnsi="Century"/>
          <w:sz w:val="22"/>
          <w:rtl/>
        </w:rPr>
        <w:t xml:space="preserve"> </w:t>
      </w:r>
      <w:r w:rsidRPr="008E0586">
        <w:rPr>
          <w:rFonts w:ascii="Century" w:hAnsi="Century" w:hint="eastAsia"/>
          <w:sz w:val="22"/>
          <w:rtl/>
        </w:rPr>
        <w:t>יהודית</w:t>
      </w:r>
      <w:r w:rsidRPr="008E0586">
        <w:rPr>
          <w:rFonts w:ascii="Century" w:hAnsi="Century"/>
          <w:sz w:val="22"/>
          <w:rtl/>
        </w:rPr>
        <w:t xml:space="preserve"> </w:t>
      </w:r>
      <w:r w:rsidRPr="008E0586">
        <w:rPr>
          <w:rFonts w:ascii="Century" w:hAnsi="Century" w:hint="eastAsia"/>
          <w:sz w:val="22"/>
          <w:rtl/>
        </w:rPr>
        <w:t>ופתוחה</w:t>
      </w:r>
      <w:r w:rsidRPr="008E0586">
        <w:rPr>
          <w:rFonts w:ascii="Century" w:hAnsi="Century"/>
          <w:sz w:val="22"/>
          <w:rtl/>
        </w:rPr>
        <w:t xml:space="preserve"> </w:t>
      </w:r>
      <w:r w:rsidRPr="008E0586">
        <w:rPr>
          <w:rFonts w:ascii="Century" w:hAnsi="Century" w:hint="eastAsia"/>
          <w:sz w:val="22"/>
          <w:rtl/>
        </w:rPr>
        <w:t>לעלייה</w:t>
      </w:r>
      <w:r w:rsidRPr="008E0586">
        <w:rPr>
          <w:rFonts w:ascii="Century" w:hAnsi="Century"/>
          <w:sz w:val="22"/>
          <w:rtl/>
        </w:rPr>
        <w:t xml:space="preserve"> </w:t>
      </w:r>
      <w:r w:rsidRPr="008E0586">
        <w:rPr>
          <w:rFonts w:ascii="Century" w:hAnsi="Century" w:hint="eastAsia"/>
          <w:sz w:val="22"/>
          <w:rtl/>
        </w:rPr>
        <w:t>יהודית</w:t>
      </w:r>
      <w:r w:rsidRPr="008E0586">
        <w:rPr>
          <w:rFonts w:ascii="Century" w:hAnsi="Century"/>
          <w:sz w:val="22"/>
          <w:rtl/>
        </w:rPr>
        <w:t xml:space="preserve">, </w:t>
      </w:r>
      <w:r w:rsidRPr="008E0586">
        <w:rPr>
          <w:rFonts w:ascii="Century" w:hAnsi="Century" w:hint="eastAsia"/>
          <w:sz w:val="22"/>
          <w:rtl/>
        </w:rPr>
        <w:t>ואת</w:t>
      </w:r>
      <w:r w:rsidRPr="008E0586">
        <w:rPr>
          <w:rFonts w:ascii="Century" w:hAnsi="Century"/>
          <w:sz w:val="22"/>
          <w:rtl/>
        </w:rPr>
        <w:t xml:space="preserve"> </w:t>
      </w:r>
      <w:r w:rsidRPr="008E0586">
        <w:rPr>
          <w:rFonts w:ascii="Century" w:hAnsi="Century" w:hint="eastAsia"/>
          <w:sz w:val="22"/>
          <w:rtl/>
        </w:rPr>
        <w:t>הדרישה</w:t>
      </w:r>
      <w:r w:rsidRPr="008E0586">
        <w:rPr>
          <w:rFonts w:ascii="Century" w:hAnsi="Century"/>
          <w:sz w:val="22"/>
          <w:rtl/>
        </w:rPr>
        <w:t xml:space="preserve"> </w:t>
      </w:r>
      <w:r w:rsidRPr="008E0586">
        <w:rPr>
          <w:rFonts w:ascii="Century" w:hAnsi="Century" w:hint="eastAsia"/>
          <w:sz w:val="22"/>
          <w:rtl/>
        </w:rPr>
        <w:t>להבטחתם</w:t>
      </w:r>
      <w:r w:rsidRPr="008E0586">
        <w:rPr>
          <w:rFonts w:ascii="Century" w:hAnsi="Century"/>
          <w:sz w:val="22"/>
          <w:rtl/>
        </w:rPr>
        <w:t xml:space="preserve"> </w:t>
      </w:r>
      <w:r w:rsidRPr="008E0586">
        <w:rPr>
          <w:rFonts w:ascii="Century" w:hAnsi="Century" w:hint="eastAsia"/>
          <w:sz w:val="22"/>
          <w:rtl/>
        </w:rPr>
        <w:t>של</w:t>
      </w:r>
      <w:r w:rsidRPr="008E0586">
        <w:rPr>
          <w:rFonts w:ascii="Century" w:hAnsi="Century"/>
          <w:sz w:val="22"/>
          <w:rtl/>
        </w:rPr>
        <w:t xml:space="preserve"> </w:t>
      </w:r>
      <w:r w:rsidRPr="008E0586">
        <w:rPr>
          <w:rFonts w:ascii="Century" w:hAnsi="Century" w:hint="eastAsia"/>
          <w:sz w:val="22"/>
          <w:rtl/>
        </w:rPr>
        <w:t>חירות</w:t>
      </w:r>
      <w:r w:rsidRPr="008E0586">
        <w:rPr>
          <w:rFonts w:ascii="Century" w:hAnsi="Century"/>
          <w:sz w:val="22"/>
          <w:rtl/>
        </w:rPr>
        <w:t xml:space="preserve">, </w:t>
      </w:r>
      <w:r w:rsidRPr="008E0586">
        <w:rPr>
          <w:rFonts w:ascii="Century" w:hAnsi="Century" w:hint="eastAsia"/>
          <w:sz w:val="22"/>
          <w:rtl/>
        </w:rPr>
        <w:t>שוויון</w:t>
      </w:r>
      <w:r w:rsidRPr="008E0586">
        <w:rPr>
          <w:rFonts w:ascii="Century" w:hAnsi="Century"/>
          <w:sz w:val="22"/>
          <w:rtl/>
        </w:rPr>
        <w:t xml:space="preserve"> </w:t>
      </w:r>
      <w:r w:rsidRPr="008E0586">
        <w:rPr>
          <w:rFonts w:ascii="Century" w:hAnsi="Century" w:hint="eastAsia"/>
          <w:sz w:val="22"/>
          <w:rtl/>
        </w:rPr>
        <w:t>וצדק</w:t>
      </w:r>
      <w:r w:rsidRPr="008E0586">
        <w:rPr>
          <w:rFonts w:ascii="Century" w:hAnsi="Century"/>
          <w:sz w:val="22"/>
          <w:rtl/>
        </w:rPr>
        <w:t xml:space="preserve">, </w:t>
      </w:r>
      <w:r w:rsidRPr="008E0586">
        <w:rPr>
          <w:rFonts w:ascii="Century" w:hAnsi="Century" w:hint="eastAsia"/>
          <w:sz w:val="22"/>
          <w:rtl/>
        </w:rPr>
        <w:t>ולמימוש</w:t>
      </w:r>
      <w:r w:rsidRPr="008E0586">
        <w:rPr>
          <w:rFonts w:ascii="Century" w:hAnsi="Century"/>
          <w:sz w:val="22"/>
          <w:rtl/>
        </w:rPr>
        <w:t xml:space="preserve"> </w:t>
      </w:r>
      <w:r w:rsidRPr="008E0586">
        <w:rPr>
          <w:rFonts w:ascii="Century" w:hAnsi="Century" w:hint="eastAsia"/>
          <w:sz w:val="22"/>
          <w:rtl/>
        </w:rPr>
        <w:t>חזונם</w:t>
      </w:r>
      <w:r w:rsidRPr="008E0586">
        <w:rPr>
          <w:rFonts w:ascii="Century" w:hAnsi="Century"/>
          <w:sz w:val="22"/>
          <w:rtl/>
        </w:rPr>
        <w:t xml:space="preserve"> </w:t>
      </w:r>
      <w:r w:rsidRPr="008E0586">
        <w:rPr>
          <w:rFonts w:ascii="Century" w:hAnsi="Century" w:hint="eastAsia"/>
          <w:sz w:val="22"/>
          <w:rtl/>
        </w:rPr>
        <w:t>של</w:t>
      </w:r>
      <w:r w:rsidRPr="008E0586">
        <w:rPr>
          <w:rFonts w:ascii="Century" w:hAnsi="Century"/>
          <w:sz w:val="22"/>
          <w:rtl/>
        </w:rPr>
        <w:t xml:space="preserve"> </w:t>
      </w:r>
      <w:r w:rsidRPr="008E0586">
        <w:rPr>
          <w:rFonts w:ascii="Century" w:hAnsi="Century" w:hint="eastAsia"/>
          <w:sz w:val="22"/>
          <w:rtl/>
        </w:rPr>
        <w:t>נביאי</w:t>
      </w:r>
      <w:r w:rsidRPr="008E0586">
        <w:rPr>
          <w:rFonts w:ascii="Century" w:hAnsi="Century"/>
          <w:sz w:val="22"/>
          <w:rtl/>
        </w:rPr>
        <w:t xml:space="preserve"> </w:t>
      </w:r>
      <w:r w:rsidRPr="008E0586">
        <w:rPr>
          <w:rFonts w:ascii="Century" w:hAnsi="Century" w:hint="eastAsia"/>
          <w:sz w:val="22"/>
          <w:rtl/>
        </w:rPr>
        <w:t>ישראל</w:t>
      </w:r>
      <w:r w:rsidRPr="008E0586">
        <w:rPr>
          <w:rFonts w:ascii="Century" w:hAnsi="Century"/>
          <w:sz w:val="22"/>
          <w:rtl/>
        </w:rPr>
        <w:t xml:space="preserve">. </w:t>
      </w:r>
      <w:r>
        <w:rPr>
          <w:rFonts w:ascii="Century" w:hAnsi="Century" w:hint="cs"/>
          <w:sz w:val="22"/>
          <w:rtl/>
        </w:rPr>
        <w:t>דרישות כלליות אלה ניתנות למספר פירושים וניתן לממשן באינסוף דרכים. הבחירה בין פירושים ודרכים אלה הופקדה בידי רשויות השלטון שמנהלות את המדינה, ובראשן הרשות המחוקקת הנבחרת: הכנסת.</w:t>
      </w:r>
    </w:p>
    <w:p w:rsidR="0047626A" w:rsidRDefault="0047626A" w:rsidP="0047626A">
      <w:pPr>
        <w:pStyle w:val="Ruller4"/>
        <w:numPr>
          <w:ilvl w:val="0"/>
          <w:numId w:val="0"/>
        </w:numPr>
      </w:pPr>
    </w:p>
    <w:p w:rsidR="0047626A" w:rsidRDefault="0047626A" w:rsidP="0047626A">
      <w:pPr>
        <w:pStyle w:val="Ruller4"/>
      </w:pPr>
      <w:r w:rsidRPr="00203B81">
        <w:rPr>
          <w:rFonts w:hint="cs"/>
          <w:rtl/>
        </w:rPr>
        <w:t>הכנסת קיבלה אפוא מרחב תמרון רחב-ממדים לחקיקת חוקים ולכינו</w:t>
      </w:r>
      <w:r>
        <w:rPr>
          <w:rFonts w:hint="cs"/>
          <w:rtl/>
        </w:rPr>
        <w:t xml:space="preserve">נם של חוקי </w:t>
      </w:r>
      <w:r w:rsidRPr="00203B81">
        <w:rPr>
          <w:rFonts w:hint="cs"/>
          <w:rtl/>
        </w:rPr>
        <w:t xml:space="preserve">יסוד. המושגים הכלליים כדוגמת שוויון וחירות היו ונשארו תלויי תפישה ופתוחים לפרשנויות שונות ומנוגדות </w:t>
      </w:r>
      <w:r>
        <w:rPr>
          <w:rFonts w:hint="cs"/>
          <w:rtl/>
        </w:rPr>
        <w:t>(ראו:</w:t>
      </w:r>
      <w:r w:rsidRPr="007314D1">
        <w:rPr>
          <w:rFonts w:asciiTheme="majorBidi" w:hAnsiTheme="majorBidi" w:cstheme="majorBidi"/>
          <w:szCs w:val="24"/>
        </w:rPr>
        <w:t xml:space="preserve">W. B. Gallie, </w:t>
      </w:r>
      <w:r w:rsidRPr="007314D1">
        <w:rPr>
          <w:rFonts w:asciiTheme="majorBidi" w:hAnsiTheme="majorBidi" w:cstheme="majorBidi"/>
          <w:i/>
          <w:iCs/>
          <w:szCs w:val="24"/>
        </w:rPr>
        <w:t>Essentially Contested Concepts</w:t>
      </w:r>
      <w:r w:rsidRPr="007314D1">
        <w:rPr>
          <w:rFonts w:asciiTheme="majorBidi" w:hAnsiTheme="majorBidi" w:cstheme="majorBidi"/>
          <w:szCs w:val="24"/>
        </w:rPr>
        <w:t xml:space="preserve">, 56 </w:t>
      </w:r>
      <w:r w:rsidRPr="007314D1">
        <w:rPr>
          <w:rFonts w:asciiTheme="majorBidi" w:hAnsiTheme="majorBidi" w:cstheme="majorBidi"/>
          <w:smallCaps/>
          <w:szCs w:val="24"/>
        </w:rPr>
        <w:t>Proc. Arist</w:t>
      </w:r>
      <w:r>
        <w:rPr>
          <w:rFonts w:asciiTheme="majorBidi" w:hAnsiTheme="majorBidi" w:cstheme="majorBidi"/>
          <w:smallCaps/>
          <w:szCs w:val="24"/>
        </w:rPr>
        <w:t>.</w:t>
      </w:r>
      <w:r w:rsidRPr="007314D1">
        <w:rPr>
          <w:rFonts w:asciiTheme="majorBidi" w:hAnsiTheme="majorBidi" w:cstheme="majorBidi"/>
          <w:smallCaps/>
          <w:szCs w:val="24"/>
        </w:rPr>
        <w:t xml:space="preserve"> Soc</w:t>
      </w:r>
      <w:r>
        <w:rPr>
          <w:rFonts w:asciiTheme="majorBidi" w:hAnsiTheme="majorBidi" w:cstheme="majorBidi"/>
          <w:smallCaps/>
          <w:szCs w:val="24"/>
        </w:rPr>
        <w:t>.</w:t>
      </w:r>
      <w:r w:rsidRPr="007314D1">
        <w:rPr>
          <w:rFonts w:asciiTheme="majorBidi" w:hAnsiTheme="majorBidi" w:cstheme="majorBidi"/>
          <w:szCs w:val="24"/>
        </w:rPr>
        <w:t xml:space="preserve"> 167 (1956)</w:t>
      </w:r>
      <w:r>
        <w:rPr>
          <w:rFonts w:hint="cs"/>
          <w:rtl/>
        </w:rPr>
        <w:t xml:space="preserve"> (להלן: </w:t>
      </w:r>
      <w:r w:rsidRPr="00B650C6">
        <w:rPr>
          <w:rFonts w:ascii="Century" w:hAnsi="Century" w:cs="Miriam" w:hint="cs"/>
          <w:b/>
          <w:spacing w:val="0"/>
          <w:sz w:val="22"/>
          <w:szCs w:val="24"/>
          <w:rtl/>
        </w:rPr>
        <w:t>גאליי</w:t>
      </w:r>
      <w:r>
        <w:rPr>
          <w:rFonts w:hint="cs"/>
          <w:rtl/>
        </w:rPr>
        <w:t>)). כפועל יוצא מכך, המתחם המושגי שבתוכו הוסמכה הכנסת לפעול מאפשר לה לאמץ כל תפישה של "שוויון", של "חירות" וכיוצא באלה, כל אימת שתפישה זו (</w:t>
      </w:r>
      <w:r w:rsidRPr="00AE664E">
        <w:rPr>
          <w:rFonts w:asciiTheme="majorBidi" w:hAnsiTheme="majorBidi" w:cstheme="majorBidi"/>
        </w:rPr>
        <w:t>conception</w:t>
      </w:r>
      <w:r>
        <w:rPr>
          <w:rFonts w:hint="cs"/>
          <w:rtl/>
        </w:rPr>
        <w:t>) עולה בקנה אחד עם מובניהם המקובלים של "שוויון", "חירות" וכיוצא באלה, כמושגי-יסוד בסיסיים (</w:t>
      </w:r>
      <w:r w:rsidRPr="00AE664E">
        <w:rPr>
          <w:rFonts w:asciiTheme="majorBidi" w:hAnsiTheme="majorBidi" w:cstheme="majorBidi"/>
        </w:rPr>
        <w:t>concept</w:t>
      </w:r>
      <w:r>
        <w:rPr>
          <w:rFonts w:asciiTheme="majorBidi" w:hAnsiTheme="majorBidi" w:cstheme="majorBidi"/>
        </w:rPr>
        <w:t>s</w:t>
      </w:r>
      <w:r>
        <w:rPr>
          <w:rFonts w:hint="cs"/>
          <w:rtl/>
        </w:rPr>
        <w:t xml:space="preserve">) (ראו </w:t>
      </w:r>
      <w:r>
        <w:rPr>
          <w:rFonts w:hint="cs"/>
          <w:rtl/>
        </w:rPr>
        <w:lastRenderedPageBreak/>
        <w:t>והשוו:</w:t>
      </w:r>
      <w:r w:rsidRPr="00AE664E">
        <w:rPr>
          <w:rFonts w:asciiTheme="majorBidi" w:hAnsiTheme="majorBidi" w:cstheme="majorBidi"/>
        </w:rPr>
        <w:t xml:space="preserve">Andrei Marmor, </w:t>
      </w:r>
      <w:r w:rsidRPr="00AE664E">
        <w:rPr>
          <w:rFonts w:asciiTheme="majorBidi" w:hAnsiTheme="majorBidi" w:cstheme="majorBidi"/>
          <w:i/>
          <w:iCs/>
        </w:rPr>
        <w:t>Meaning and Belief in Constitutional Interpretation</w:t>
      </w:r>
      <w:r w:rsidRPr="00AE664E">
        <w:rPr>
          <w:rFonts w:asciiTheme="majorBidi" w:hAnsiTheme="majorBidi" w:cstheme="majorBidi"/>
        </w:rPr>
        <w:t xml:space="preserve">, 82 </w:t>
      </w:r>
      <w:r w:rsidRPr="00AE664E">
        <w:rPr>
          <w:rFonts w:asciiTheme="majorBidi" w:hAnsiTheme="majorBidi" w:cstheme="majorBidi"/>
          <w:smallCaps/>
        </w:rPr>
        <w:t>Fordham L. Rev.</w:t>
      </w:r>
      <w:r w:rsidRPr="00AE664E">
        <w:rPr>
          <w:rFonts w:asciiTheme="majorBidi" w:hAnsiTheme="majorBidi" w:cstheme="majorBidi"/>
        </w:rPr>
        <w:t xml:space="preserve"> 577, 587-589 (2013)</w:t>
      </w:r>
      <w:r>
        <w:rPr>
          <w:rFonts w:hint="cs"/>
          <w:rtl/>
        </w:rPr>
        <w:t xml:space="preserve">). זאת ועוד: מאחר שמושגים כלליים כאמור נכתבו בהכרזת העצמאות במבט צופה פני-עתיד ומוקמו על ידי מנסחי ההכרזה על פני ציר זמן ארוך בשנים, דומני כי לא אטעה אם אומר שהכנסת הוסמכה לקרוא לתוך המושגים הללו משמעויות חדשות </w:t>
      </w:r>
      <w:r>
        <w:rPr>
          <w:rtl/>
        </w:rPr>
        <w:t>–</w:t>
      </w:r>
      <w:r>
        <w:rPr>
          <w:rFonts w:hint="cs"/>
          <w:rtl/>
        </w:rPr>
        <w:t xml:space="preserve"> הנגזרות מתפישות עולם בנות-זמננו </w:t>
      </w:r>
      <w:r>
        <w:rPr>
          <w:rtl/>
        </w:rPr>
        <w:t>–</w:t>
      </w:r>
      <w:r>
        <w:rPr>
          <w:rFonts w:hint="cs"/>
          <w:rtl/>
        </w:rPr>
        <w:t xml:space="preserve"> </w:t>
      </w:r>
      <w:r w:rsidRPr="00597E2F">
        <w:rPr>
          <w:rFonts w:ascii="Century" w:hAnsi="Century" w:cs="Miriam" w:hint="cs"/>
          <w:b/>
          <w:spacing w:val="0"/>
          <w:sz w:val="22"/>
          <w:szCs w:val="24"/>
          <w:rtl/>
        </w:rPr>
        <w:t>כל אימת שמשמעויות אלו אינן מנוגדות להבנות אשר אפפו את המושגים בהם נעשה שימוש בהכרזת העצמאות בזמן קביעתם</w:t>
      </w:r>
      <w:r>
        <w:rPr>
          <w:rFonts w:hint="cs"/>
          <w:rtl/>
        </w:rPr>
        <w:t xml:space="preserve"> (ראו: </w:t>
      </w:r>
      <w:r w:rsidRPr="00597E2F">
        <w:rPr>
          <w:rFonts w:asciiTheme="majorBidi" w:hAnsiTheme="majorBidi" w:cstheme="majorBidi"/>
          <w:i/>
          <w:iCs/>
        </w:rPr>
        <w:t>Probabilism in Interpretation</w:t>
      </w:r>
      <w:r>
        <w:rPr>
          <w:rFonts w:hint="cs"/>
          <w:rtl/>
        </w:rPr>
        <w:t xml:space="preserve">, בעמ' 1428). </w:t>
      </w:r>
    </w:p>
    <w:p w:rsidR="0047626A" w:rsidRDefault="0047626A" w:rsidP="0047626A">
      <w:pPr>
        <w:pStyle w:val="Ruller4"/>
        <w:numPr>
          <w:ilvl w:val="0"/>
          <w:numId w:val="0"/>
        </w:numPr>
      </w:pPr>
    </w:p>
    <w:p w:rsidR="0047626A" w:rsidRDefault="0047626A" w:rsidP="0047626A">
      <w:pPr>
        <w:pStyle w:val="Ruller4"/>
      </w:pPr>
      <w:r w:rsidRPr="00A21780">
        <w:rPr>
          <w:rFonts w:ascii="Century" w:hAnsi="Century" w:cs="Miriam" w:hint="cs"/>
          <w:b/>
          <w:spacing w:val="0"/>
          <w:sz w:val="22"/>
          <w:szCs w:val="24"/>
          <w:rtl/>
        </w:rPr>
        <w:t xml:space="preserve">רוחב הסמכה זה של הכנסת, אין פירושו שהכנסת מוסמכת לעשות כל העולה על רוחה ולחוקק כל חוק רגיל </w:t>
      </w:r>
      <w:r>
        <w:rPr>
          <w:rFonts w:ascii="Century" w:hAnsi="Century" w:cs="Miriam" w:hint="cs"/>
          <w:b/>
          <w:spacing w:val="0"/>
          <w:sz w:val="22"/>
          <w:szCs w:val="24"/>
          <w:rtl/>
        </w:rPr>
        <w:t>א</w:t>
      </w:r>
      <w:r w:rsidRPr="00A21780">
        <w:rPr>
          <w:rFonts w:ascii="Century" w:hAnsi="Century" w:cs="Miriam" w:hint="cs"/>
          <w:b/>
          <w:spacing w:val="0"/>
          <w:sz w:val="22"/>
          <w:szCs w:val="24"/>
          <w:rtl/>
        </w:rPr>
        <w:t>ו</w:t>
      </w:r>
      <w:r>
        <w:rPr>
          <w:rFonts w:ascii="Century" w:hAnsi="Century" w:cs="Miriam" w:hint="cs"/>
          <w:b/>
          <w:spacing w:val="0"/>
          <w:sz w:val="22"/>
          <w:szCs w:val="24"/>
          <w:rtl/>
        </w:rPr>
        <w:t xml:space="preserve"> </w:t>
      </w:r>
      <w:r w:rsidRPr="00A21780">
        <w:rPr>
          <w:rFonts w:ascii="Century" w:hAnsi="Century" w:cs="Miriam" w:hint="cs"/>
          <w:b/>
          <w:spacing w:val="0"/>
          <w:sz w:val="22"/>
          <w:szCs w:val="24"/>
          <w:rtl/>
        </w:rPr>
        <w:t>כל חוק יסוד</w:t>
      </w:r>
      <w:r>
        <w:rPr>
          <w:rFonts w:hint="cs"/>
          <w:rtl/>
        </w:rPr>
        <w:t xml:space="preserve">. כפי שכבר צויין על ידי, חקיקת חוקים שמפרים את </w:t>
      </w:r>
      <w:r w:rsidRPr="00305C61">
        <w:rPr>
          <w:rFonts w:ascii="Century" w:hAnsi="Century" w:cs="Miriam" w:hint="cs"/>
          <w:b/>
          <w:spacing w:val="0"/>
          <w:sz w:val="22"/>
          <w:szCs w:val="24"/>
          <w:u w:val="single"/>
          <w:rtl/>
        </w:rPr>
        <w:t>כל התפישות</w:t>
      </w:r>
      <w:r>
        <w:rPr>
          <w:rFonts w:hint="cs"/>
          <w:rtl/>
        </w:rPr>
        <w:t xml:space="preserve"> המקובלות של "שוויון", של "חירות" וכיוצא באלה, תימצא מחוץ לדל"ת אמות סמכויותיה של הכנסת כמוסד מחוקק וכרשות מכוננת. דוגמאות של חוקים פסולים כאמור כבר ניתנו על ידי, ואין סיבה לחזור עליהן.</w:t>
      </w:r>
    </w:p>
    <w:p w:rsidR="0047626A" w:rsidRDefault="0047626A" w:rsidP="0047626A">
      <w:pPr>
        <w:pStyle w:val="Ruller4"/>
        <w:numPr>
          <w:ilvl w:val="0"/>
          <w:numId w:val="0"/>
        </w:numPr>
      </w:pPr>
    </w:p>
    <w:p w:rsidR="0047626A" w:rsidRDefault="0047626A" w:rsidP="0047626A">
      <w:pPr>
        <w:pStyle w:val="Ruller4"/>
      </w:pPr>
      <w:r>
        <w:rPr>
          <w:rFonts w:hint="cs"/>
          <w:rtl/>
        </w:rPr>
        <w:t xml:space="preserve">תובנות אלה מגדירות את אופייה המוגבל של הביקורת השיפוטית על חוקי הכנסת בכלל ועל חקיקת היסוד בפרט </w:t>
      </w:r>
      <w:r>
        <w:rPr>
          <w:rtl/>
        </w:rPr>
        <w:t>–</w:t>
      </w:r>
      <w:r>
        <w:rPr>
          <w:rFonts w:hint="cs"/>
          <w:rtl/>
        </w:rPr>
        <w:t xml:space="preserve"> נושא אליו אני עובר כעת.</w:t>
      </w:r>
    </w:p>
    <w:p w:rsidR="0047626A" w:rsidRPr="007314D1" w:rsidRDefault="0047626A" w:rsidP="0047626A">
      <w:pPr>
        <w:pStyle w:val="Ruller4"/>
        <w:numPr>
          <w:ilvl w:val="0"/>
          <w:numId w:val="0"/>
        </w:numPr>
      </w:pPr>
      <w:r>
        <w:rPr>
          <w:rFonts w:hint="cs"/>
          <w:rtl/>
        </w:rPr>
        <w:t xml:space="preserve"> </w:t>
      </w:r>
    </w:p>
    <w:p w:rsidR="0047626A" w:rsidRPr="00363032" w:rsidRDefault="0047626A" w:rsidP="0047626A">
      <w:pPr>
        <w:pStyle w:val="Ruller41"/>
        <w:rPr>
          <w:rFonts w:ascii="Century" w:hAnsi="Century" w:cs="Miriam"/>
          <w:b/>
          <w:spacing w:val="0"/>
          <w:szCs w:val="24"/>
          <w:rtl/>
        </w:rPr>
      </w:pPr>
      <w:r w:rsidRPr="00363032">
        <w:rPr>
          <w:rFonts w:ascii="Century" w:hAnsi="Century" w:cs="Miriam" w:hint="cs"/>
          <w:b/>
          <w:spacing w:val="0"/>
          <w:szCs w:val="24"/>
          <w:rtl/>
        </w:rPr>
        <w:t>ביקורת שיפוטית על חוקי הכנסת</w:t>
      </w:r>
    </w:p>
    <w:p w:rsidR="0047626A" w:rsidRPr="00363032" w:rsidRDefault="0047626A" w:rsidP="0047626A">
      <w:pPr>
        <w:pStyle w:val="Ruller41"/>
      </w:pPr>
    </w:p>
    <w:p w:rsidR="0047626A" w:rsidRPr="002E5883" w:rsidRDefault="0047626A" w:rsidP="0047626A">
      <w:pPr>
        <w:pStyle w:val="Ruller4"/>
        <w:rPr>
          <w:rtl/>
        </w:rPr>
      </w:pPr>
      <w:r>
        <w:rPr>
          <w:rFonts w:hint="cs"/>
          <w:rtl/>
        </w:rPr>
        <w:t xml:space="preserve">קיומה של ביקורת שיפוטית על חוקי הכנסת, לרבות חוקי יסוד, נגזרת מהעיקרון של שלטון החוק. עיקרון זה מחייב את אזרחי המדינה ואת רשויותיה </w:t>
      </w:r>
      <w:r>
        <w:rPr>
          <w:rtl/>
        </w:rPr>
        <w:t>–</w:t>
      </w:r>
      <w:r>
        <w:rPr>
          <w:rFonts w:hint="cs"/>
          <w:rtl/>
        </w:rPr>
        <w:t xml:space="preserve"> לרבות הכנסת בכבודה ובעצמה </w:t>
      </w:r>
      <w:r>
        <w:rPr>
          <w:rtl/>
        </w:rPr>
        <w:t>–</w:t>
      </w:r>
      <w:r>
        <w:rPr>
          <w:rFonts w:hint="cs"/>
          <w:rtl/>
        </w:rPr>
        <w:t xml:space="preserve"> להקפיד שלא לחרוג משורת הדין. כפי שהזדמן לי לומר בהקשר אחר, </w:t>
      </w:r>
      <w:r w:rsidRPr="002E5883">
        <w:rPr>
          <w:rtl/>
        </w:rPr>
        <w:t>"</w:t>
      </w:r>
      <w:r w:rsidRPr="002E5883">
        <w:rPr>
          <w:rFonts w:hint="eastAsia"/>
          <w:rtl/>
        </w:rPr>
        <w:t>כולנו</w:t>
      </w:r>
      <w:r w:rsidRPr="002E5883">
        <w:rPr>
          <w:rtl/>
        </w:rPr>
        <w:t xml:space="preserve"> </w:t>
      </w:r>
      <w:r w:rsidRPr="002E5883">
        <w:rPr>
          <w:rFonts w:hint="eastAsia"/>
          <w:rtl/>
        </w:rPr>
        <w:t>מרכינים</w:t>
      </w:r>
      <w:r w:rsidRPr="002E5883">
        <w:rPr>
          <w:rtl/>
        </w:rPr>
        <w:t xml:space="preserve"> </w:t>
      </w:r>
      <w:r w:rsidRPr="002E5883">
        <w:rPr>
          <w:rFonts w:hint="eastAsia"/>
          <w:rtl/>
        </w:rPr>
        <w:t>את</w:t>
      </w:r>
      <w:r w:rsidRPr="002E5883">
        <w:rPr>
          <w:rtl/>
        </w:rPr>
        <w:t xml:space="preserve"> </w:t>
      </w:r>
      <w:r w:rsidRPr="002E5883">
        <w:rPr>
          <w:rFonts w:hint="eastAsia"/>
          <w:rtl/>
        </w:rPr>
        <w:t>ראשינו</w:t>
      </w:r>
      <w:r w:rsidRPr="002E5883">
        <w:rPr>
          <w:rtl/>
        </w:rPr>
        <w:t xml:space="preserve"> </w:t>
      </w:r>
      <w:r w:rsidRPr="002E5883">
        <w:rPr>
          <w:rFonts w:hint="eastAsia"/>
          <w:rtl/>
        </w:rPr>
        <w:t>בפני</w:t>
      </w:r>
      <w:r w:rsidRPr="002E5883">
        <w:rPr>
          <w:rtl/>
        </w:rPr>
        <w:t xml:space="preserve"> </w:t>
      </w:r>
      <w:r w:rsidRPr="002E5883">
        <w:rPr>
          <w:rFonts w:hint="eastAsia"/>
          <w:rtl/>
        </w:rPr>
        <w:t>הדין</w:t>
      </w:r>
      <w:r w:rsidRPr="002E5883">
        <w:rPr>
          <w:rtl/>
        </w:rPr>
        <w:t xml:space="preserve">, </w:t>
      </w:r>
      <w:r w:rsidRPr="002E5883">
        <w:rPr>
          <w:rFonts w:hint="eastAsia"/>
          <w:rtl/>
        </w:rPr>
        <w:t>ואילו</w:t>
      </w:r>
      <w:r w:rsidRPr="002E5883">
        <w:rPr>
          <w:rtl/>
        </w:rPr>
        <w:t xml:space="preserve"> </w:t>
      </w:r>
      <w:r w:rsidRPr="002E5883">
        <w:rPr>
          <w:rFonts w:hint="eastAsia"/>
          <w:rtl/>
        </w:rPr>
        <w:t>הדין</w:t>
      </w:r>
      <w:r w:rsidRPr="002E5883">
        <w:rPr>
          <w:rtl/>
        </w:rPr>
        <w:t xml:space="preserve"> </w:t>
      </w:r>
      <w:r w:rsidRPr="002E5883">
        <w:rPr>
          <w:rFonts w:hint="eastAsia"/>
          <w:rtl/>
        </w:rPr>
        <w:t>אינו</w:t>
      </w:r>
      <w:r w:rsidRPr="002E5883">
        <w:rPr>
          <w:rtl/>
        </w:rPr>
        <w:t xml:space="preserve"> </w:t>
      </w:r>
      <w:r w:rsidRPr="002E5883">
        <w:rPr>
          <w:rFonts w:hint="eastAsia"/>
          <w:rtl/>
        </w:rPr>
        <w:t>מרכין</w:t>
      </w:r>
      <w:r w:rsidRPr="002E5883">
        <w:rPr>
          <w:rtl/>
        </w:rPr>
        <w:t xml:space="preserve"> </w:t>
      </w:r>
      <w:r w:rsidRPr="002E5883">
        <w:rPr>
          <w:rFonts w:hint="eastAsia"/>
          <w:rtl/>
        </w:rPr>
        <w:t>את</w:t>
      </w:r>
      <w:r w:rsidRPr="002E5883">
        <w:rPr>
          <w:rtl/>
        </w:rPr>
        <w:t xml:space="preserve"> </w:t>
      </w:r>
      <w:r w:rsidRPr="002E5883">
        <w:rPr>
          <w:rFonts w:hint="eastAsia"/>
          <w:rtl/>
        </w:rPr>
        <w:t>ראשו</w:t>
      </w:r>
      <w:r w:rsidRPr="002E5883">
        <w:rPr>
          <w:rtl/>
        </w:rPr>
        <w:t xml:space="preserve"> </w:t>
      </w:r>
      <w:r w:rsidRPr="002E5883">
        <w:rPr>
          <w:rFonts w:hint="eastAsia"/>
          <w:rtl/>
        </w:rPr>
        <w:t>בפני</w:t>
      </w:r>
      <w:r w:rsidRPr="002E5883">
        <w:rPr>
          <w:rtl/>
        </w:rPr>
        <w:t xml:space="preserve"> </w:t>
      </w:r>
      <w:r w:rsidRPr="002E5883">
        <w:rPr>
          <w:rFonts w:hint="eastAsia"/>
          <w:rtl/>
        </w:rPr>
        <w:t>איש</w:t>
      </w:r>
      <w:r w:rsidRPr="002E5883">
        <w:rPr>
          <w:rtl/>
        </w:rPr>
        <w:t>"</w:t>
      </w:r>
      <w:r>
        <w:rPr>
          <w:rFonts w:hint="cs"/>
          <w:rtl/>
        </w:rPr>
        <w:t xml:space="preserve"> (ראו: </w:t>
      </w:r>
      <w:r w:rsidRPr="00E42C9E">
        <w:rPr>
          <w:rFonts w:hint="eastAsia"/>
          <w:rtl/>
        </w:rPr>
        <w:t>בג</w:t>
      </w:r>
      <w:r w:rsidRPr="00E42C9E">
        <w:rPr>
          <w:rtl/>
        </w:rPr>
        <w:t>"</w:t>
      </w:r>
      <w:r w:rsidRPr="00E42C9E">
        <w:rPr>
          <w:rFonts w:hint="eastAsia"/>
          <w:rtl/>
        </w:rPr>
        <w:t>ץ</w:t>
      </w:r>
      <w:r w:rsidRPr="00E42C9E">
        <w:rPr>
          <w:rtl/>
        </w:rPr>
        <w:t xml:space="preserve"> 8948/22 </w:t>
      </w:r>
      <w:r w:rsidRPr="00E42C9E">
        <w:rPr>
          <w:rFonts w:ascii="Century" w:hAnsi="Century" w:cs="Miriam" w:hint="eastAsia"/>
          <w:b/>
          <w:spacing w:val="0"/>
          <w:sz w:val="22"/>
          <w:szCs w:val="24"/>
          <w:rtl/>
        </w:rPr>
        <w:t>שיינפלד</w:t>
      </w:r>
      <w:r w:rsidRPr="00E42C9E">
        <w:rPr>
          <w:rFonts w:ascii="Century" w:hAnsi="Century" w:cs="Miriam"/>
          <w:b/>
          <w:spacing w:val="0"/>
          <w:sz w:val="22"/>
          <w:szCs w:val="24"/>
          <w:rtl/>
        </w:rPr>
        <w:t xml:space="preserve"> </w:t>
      </w:r>
      <w:r w:rsidRPr="00E42C9E">
        <w:rPr>
          <w:rFonts w:ascii="Century" w:hAnsi="Century" w:cs="Miriam" w:hint="eastAsia"/>
          <w:b/>
          <w:spacing w:val="0"/>
          <w:sz w:val="22"/>
          <w:szCs w:val="24"/>
          <w:rtl/>
        </w:rPr>
        <w:t>נ</w:t>
      </w:r>
      <w:r w:rsidRPr="00E42C9E">
        <w:rPr>
          <w:rFonts w:ascii="Century" w:hAnsi="Century" w:cs="Miriam"/>
          <w:b/>
          <w:spacing w:val="0"/>
          <w:sz w:val="22"/>
          <w:szCs w:val="24"/>
          <w:rtl/>
        </w:rPr>
        <w:t xml:space="preserve">' </w:t>
      </w:r>
      <w:r w:rsidRPr="00E42C9E">
        <w:rPr>
          <w:rFonts w:ascii="Century" w:hAnsi="Century" w:cs="Miriam" w:hint="eastAsia"/>
          <w:b/>
          <w:spacing w:val="0"/>
          <w:sz w:val="22"/>
          <w:szCs w:val="24"/>
          <w:rtl/>
        </w:rPr>
        <w:t>הכנסת</w:t>
      </w:r>
      <w:r w:rsidRPr="00E42C9E">
        <w:rPr>
          <w:rtl/>
        </w:rPr>
        <w:t xml:space="preserve">, </w:t>
      </w:r>
      <w:r w:rsidRPr="00E42C9E">
        <w:rPr>
          <w:rFonts w:hint="eastAsia"/>
          <w:rtl/>
        </w:rPr>
        <w:t>פסקה</w:t>
      </w:r>
      <w:r w:rsidRPr="00E42C9E">
        <w:rPr>
          <w:rtl/>
        </w:rPr>
        <w:t xml:space="preserve"> 40 </w:t>
      </w:r>
      <w:r w:rsidRPr="00E42C9E">
        <w:rPr>
          <w:rFonts w:hint="eastAsia"/>
          <w:rtl/>
        </w:rPr>
        <w:t>לפסק</w:t>
      </w:r>
      <w:r w:rsidRPr="00E42C9E">
        <w:rPr>
          <w:rtl/>
        </w:rPr>
        <w:t xml:space="preserve"> </w:t>
      </w:r>
      <w:r w:rsidRPr="00E42C9E">
        <w:rPr>
          <w:rFonts w:hint="eastAsia"/>
          <w:rtl/>
        </w:rPr>
        <w:t>דיני</w:t>
      </w:r>
      <w:r w:rsidRPr="00E42C9E">
        <w:rPr>
          <w:rtl/>
        </w:rPr>
        <w:t xml:space="preserve"> (18.1.2023)</w:t>
      </w:r>
      <w:r>
        <w:rPr>
          <w:rFonts w:hint="cs"/>
          <w:rtl/>
        </w:rPr>
        <w:t xml:space="preserve"> (להלן: עניין </w:t>
      </w:r>
      <w:r w:rsidRPr="008E0586">
        <w:rPr>
          <w:rFonts w:ascii="Century" w:hAnsi="Century" w:cs="Miriam" w:hint="eastAsia"/>
          <w:b/>
          <w:spacing w:val="0"/>
          <w:sz w:val="22"/>
          <w:szCs w:val="24"/>
          <w:rtl/>
        </w:rPr>
        <w:t>שיינפלד</w:t>
      </w:r>
      <w:r>
        <w:rPr>
          <w:rFonts w:hint="cs"/>
          <w:rtl/>
        </w:rPr>
        <w:t>)</w:t>
      </w:r>
      <w:r w:rsidRPr="00E42C9E">
        <w:rPr>
          <w:rtl/>
        </w:rPr>
        <w:t xml:space="preserve">). </w:t>
      </w:r>
      <w:r w:rsidRPr="00E42C9E">
        <w:rPr>
          <w:rFonts w:hint="eastAsia"/>
          <w:rtl/>
        </w:rPr>
        <w:t>בדיקת</w:t>
      </w:r>
      <w:r>
        <w:rPr>
          <w:rFonts w:hint="cs"/>
          <w:rtl/>
        </w:rPr>
        <w:t xml:space="preserve"> קיומן של חריגות משורת הדין מצויה בסמכותם של בתי המשפט, אשר אמונים על אכיפתו של עיקרון שלטון החוק (ראו:</w:t>
      </w:r>
      <w:r w:rsidRPr="00F6574B">
        <w:rPr>
          <w:rFonts w:asciiTheme="majorBidi" w:hAnsiTheme="majorBidi" w:cstheme="majorBidi"/>
        </w:rPr>
        <w:t>Joseph Raz</w:t>
      </w:r>
      <w:r w:rsidRPr="00F6574B">
        <w:rPr>
          <w:rFonts w:asciiTheme="majorBidi" w:hAnsiTheme="majorBidi" w:cstheme="majorBidi"/>
          <w:i/>
          <w:iCs/>
        </w:rPr>
        <w:t>, The Rule of Law and its Virtue</w:t>
      </w:r>
      <w:r w:rsidRPr="00F6574B">
        <w:rPr>
          <w:rFonts w:asciiTheme="majorBidi" w:hAnsiTheme="majorBidi" w:cstheme="majorBidi"/>
        </w:rPr>
        <w:t xml:space="preserve">, in </w:t>
      </w:r>
      <w:r w:rsidRPr="00F6574B">
        <w:rPr>
          <w:rFonts w:asciiTheme="majorBidi" w:hAnsiTheme="majorBidi" w:cstheme="majorBidi"/>
          <w:smallCaps/>
        </w:rPr>
        <w:t>The Authority of Law: Essays on Law and Morality</w:t>
      </w:r>
      <w:r w:rsidRPr="00F6574B">
        <w:rPr>
          <w:rFonts w:asciiTheme="majorBidi" w:hAnsiTheme="majorBidi" w:cstheme="majorBidi"/>
        </w:rPr>
        <w:t xml:space="preserve"> 217 (2d ed.</w:t>
      </w:r>
      <w:r>
        <w:rPr>
          <w:rFonts w:asciiTheme="majorBidi" w:hAnsiTheme="majorBidi" w:cstheme="majorBidi"/>
        </w:rPr>
        <w:t>,</w:t>
      </w:r>
      <w:r w:rsidRPr="00F6574B">
        <w:rPr>
          <w:rFonts w:asciiTheme="majorBidi" w:hAnsiTheme="majorBidi" w:cstheme="majorBidi"/>
        </w:rPr>
        <w:t xml:space="preserve"> 2009)</w:t>
      </w:r>
      <w:r>
        <w:rPr>
          <w:rFonts w:asciiTheme="majorBidi" w:hAnsiTheme="majorBidi" w:cstheme="majorBidi" w:hint="cs"/>
          <w:rtl/>
        </w:rPr>
        <w:t xml:space="preserve">). </w:t>
      </w:r>
      <w:r>
        <w:rPr>
          <w:rFonts w:hint="cs"/>
          <w:rtl/>
        </w:rPr>
        <w:t xml:space="preserve">בדיקה כאמור היא חלק אינטגרלי מסמכות השפיטה שהופקדה בידי בתי המשפט השונים בסעיף 1 לחוק-יסוד: השפיטה. </w:t>
      </w:r>
    </w:p>
    <w:p w:rsidR="0047626A" w:rsidRPr="002E5883" w:rsidRDefault="0047626A" w:rsidP="0047626A">
      <w:pPr>
        <w:pStyle w:val="Ruller41"/>
      </w:pPr>
    </w:p>
    <w:p w:rsidR="0047626A" w:rsidRDefault="0047626A" w:rsidP="0047626A">
      <w:pPr>
        <w:pStyle w:val="Ruller4"/>
      </w:pPr>
      <w:r>
        <w:rPr>
          <w:rFonts w:hint="cs"/>
          <w:rtl/>
        </w:rPr>
        <w:t>סעיפים 15(ג) ו-15(ד)(2) לחוק-יסוד: השפיטה מ</w:t>
      </w:r>
      <w:r w:rsidRPr="00902B1E">
        <w:rPr>
          <w:rFonts w:hint="cs"/>
          <w:rtl/>
        </w:rPr>
        <w:t>סמיכים</w:t>
      </w:r>
      <w:r>
        <w:rPr>
          <w:rFonts w:hint="cs"/>
          <w:rtl/>
        </w:rPr>
        <w:t xml:space="preserve"> בית משפט זה להעמיד תחת </w:t>
      </w:r>
      <w:r w:rsidRPr="00E42C9E">
        <w:rPr>
          <w:rFonts w:hint="eastAsia"/>
          <w:rtl/>
        </w:rPr>
        <w:t>שבט</w:t>
      </w:r>
      <w:r w:rsidRPr="00E42C9E">
        <w:rPr>
          <w:rtl/>
        </w:rPr>
        <w:t xml:space="preserve"> </w:t>
      </w:r>
      <w:r w:rsidRPr="00E42C9E">
        <w:rPr>
          <w:rFonts w:hint="eastAsia"/>
          <w:rtl/>
        </w:rPr>
        <w:t>ביקורתו</w:t>
      </w:r>
      <w:r w:rsidRPr="00E42C9E">
        <w:rPr>
          <w:rtl/>
        </w:rPr>
        <w:t xml:space="preserve"> </w:t>
      </w:r>
      <w:r w:rsidRPr="00E42C9E">
        <w:rPr>
          <w:rFonts w:hint="eastAsia"/>
          <w:rtl/>
        </w:rPr>
        <w:t>את</w:t>
      </w:r>
      <w:r w:rsidRPr="00E42C9E">
        <w:rPr>
          <w:rtl/>
        </w:rPr>
        <w:t xml:space="preserve"> </w:t>
      </w:r>
      <w:r w:rsidRPr="00E42C9E">
        <w:rPr>
          <w:rFonts w:hint="eastAsia"/>
          <w:rtl/>
        </w:rPr>
        <w:t>פועלן</w:t>
      </w:r>
      <w:r w:rsidRPr="00E42C9E">
        <w:rPr>
          <w:rtl/>
        </w:rPr>
        <w:t xml:space="preserve"> </w:t>
      </w:r>
      <w:r w:rsidRPr="00E42C9E">
        <w:rPr>
          <w:rFonts w:hint="eastAsia"/>
          <w:rtl/>
        </w:rPr>
        <w:t>של</w:t>
      </w:r>
      <w:r w:rsidRPr="00E42C9E">
        <w:rPr>
          <w:rtl/>
        </w:rPr>
        <w:t xml:space="preserve"> </w:t>
      </w:r>
      <w:r w:rsidRPr="00E42C9E">
        <w:rPr>
          <w:rFonts w:hint="eastAsia"/>
          <w:rtl/>
        </w:rPr>
        <w:t>כל</w:t>
      </w:r>
      <w:r w:rsidRPr="00E42C9E">
        <w:rPr>
          <w:rtl/>
        </w:rPr>
        <w:t xml:space="preserve"> </w:t>
      </w:r>
      <w:r w:rsidRPr="00E42C9E">
        <w:rPr>
          <w:rFonts w:hint="eastAsia"/>
          <w:rtl/>
        </w:rPr>
        <w:t>רשויות</w:t>
      </w:r>
      <w:r w:rsidRPr="00E42C9E">
        <w:rPr>
          <w:rtl/>
        </w:rPr>
        <w:t xml:space="preserve"> </w:t>
      </w:r>
      <w:r w:rsidRPr="00E42C9E">
        <w:rPr>
          <w:rFonts w:hint="eastAsia"/>
          <w:rtl/>
        </w:rPr>
        <w:t>המדינה</w:t>
      </w:r>
      <w:r w:rsidRPr="00E42C9E">
        <w:rPr>
          <w:rtl/>
        </w:rPr>
        <w:t xml:space="preserve">, </w:t>
      </w:r>
      <w:r w:rsidRPr="00E42C9E">
        <w:rPr>
          <w:rFonts w:hint="eastAsia"/>
          <w:rtl/>
        </w:rPr>
        <w:t>ובכללן</w:t>
      </w:r>
      <w:r w:rsidRPr="00E42C9E">
        <w:rPr>
          <w:rtl/>
        </w:rPr>
        <w:t xml:space="preserve"> </w:t>
      </w:r>
      <w:r w:rsidRPr="00E42C9E">
        <w:rPr>
          <w:rFonts w:hint="eastAsia"/>
          <w:rtl/>
        </w:rPr>
        <w:t>הכנסת</w:t>
      </w:r>
      <w:r w:rsidRPr="00E42C9E">
        <w:rPr>
          <w:rtl/>
        </w:rPr>
        <w:t xml:space="preserve"> </w:t>
      </w:r>
      <w:r w:rsidRPr="00E42C9E">
        <w:rPr>
          <w:rFonts w:hint="eastAsia"/>
          <w:rtl/>
        </w:rPr>
        <w:t>כמוסד</w:t>
      </w:r>
      <w:r w:rsidRPr="00E42C9E">
        <w:rPr>
          <w:rtl/>
        </w:rPr>
        <w:t xml:space="preserve"> </w:t>
      </w:r>
      <w:r w:rsidRPr="00E42C9E">
        <w:rPr>
          <w:rFonts w:hint="eastAsia"/>
          <w:rtl/>
        </w:rPr>
        <w:t>מחוקק</w:t>
      </w:r>
      <w:r w:rsidRPr="00E42C9E">
        <w:rPr>
          <w:rtl/>
        </w:rPr>
        <w:t xml:space="preserve"> (</w:t>
      </w:r>
      <w:r w:rsidRPr="00E42C9E">
        <w:rPr>
          <w:rFonts w:hint="eastAsia"/>
          <w:rtl/>
        </w:rPr>
        <w:t>ראו</w:t>
      </w:r>
      <w:r w:rsidRPr="00E42C9E">
        <w:rPr>
          <w:rtl/>
        </w:rPr>
        <w:t xml:space="preserve">: </w:t>
      </w:r>
      <w:r w:rsidRPr="00E42C9E">
        <w:rPr>
          <w:rFonts w:hint="eastAsia"/>
          <w:rtl/>
        </w:rPr>
        <w:t>בג</w:t>
      </w:r>
      <w:r w:rsidRPr="00E42C9E">
        <w:rPr>
          <w:rtl/>
        </w:rPr>
        <w:t>"</w:t>
      </w:r>
      <w:r w:rsidRPr="00E42C9E">
        <w:rPr>
          <w:rFonts w:hint="eastAsia"/>
          <w:rtl/>
        </w:rPr>
        <w:t>ץ</w:t>
      </w:r>
      <w:r w:rsidRPr="00E42C9E">
        <w:rPr>
          <w:rtl/>
        </w:rPr>
        <w:t xml:space="preserve"> 325/85 </w:t>
      </w:r>
      <w:r w:rsidRPr="00E42C9E">
        <w:rPr>
          <w:rFonts w:ascii="Century" w:hAnsi="Century" w:cs="Miriam" w:hint="eastAsia"/>
          <w:b/>
          <w:spacing w:val="0"/>
          <w:szCs w:val="24"/>
          <w:rtl/>
        </w:rPr>
        <w:t>מיערי</w:t>
      </w:r>
      <w:r w:rsidRPr="00E42C9E">
        <w:rPr>
          <w:rFonts w:ascii="Century" w:hAnsi="Century" w:cs="Miriam"/>
          <w:b/>
          <w:spacing w:val="0"/>
          <w:szCs w:val="24"/>
          <w:rtl/>
        </w:rPr>
        <w:t xml:space="preserve"> </w:t>
      </w:r>
      <w:r w:rsidRPr="00E42C9E">
        <w:rPr>
          <w:rFonts w:ascii="Century" w:hAnsi="Century" w:cs="Miriam" w:hint="eastAsia"/>
          <w:b/>
          <w:spacing w:val="0"/>
          <w:szCs w:val="24"/>
          <w:rtl/>
        </w:rPr>
        <w:t>נ</w:t>
      </w:r>
      <w:r w:rsidRPr="00E42C9E">
        <w:rPr>
          <w:rFonts w:ascii="Century" w:hAnsi="Century" w:cs="Miriam"/>
          <w:b/>
          <w:spacing w:val="0"/>
          <w:szCs w:val="24"/>
          <w:rtl/>
        </w:rPr>
        <w:t xml:space="preserve">' </w:t>
      </w:r>
      <w:r w:rsidRPr="00E42C9E">
        <w:rPr>
          <w:rFonts w:ascii="Century" w:hAnsi="Century" w:cs="Miriam" w:hint="eastAsia"/>
          <w:b/>
          <w:spacing w:val="0"/>
          <w:szCs w:val="24"/>
          <w:rtl/>
        </w:rPr>
        <w:t>יו</w:t>
      </w:r>
      <w:r w:rsidRPr="00E42C9E">
        <w:rPr>
          <w:rFonts w:ascii="Century" w:hAnsi="Century" w:cs="Miriam"/>
          <w:b/>
          <w:spacing w:val="0"/>
          <w:szCs w:val="24"/>
          <w:rtl/>
        </w:rPr>
        <w:t>"</w:t>
      </w:r>
      <w:r w:rsidRPr="00E42C9E">
        <w:rPr>
          <w:rFonts w:ascii="Century" w:hAnsi="Century" w:cs="Miriam" w:hint="eastAsia"/>
          <w:b/>
          <w:spacing w:val="0"/>
          <w:szCs w:val="24"/>
          <w:rtl/>
        </w:rPr>
        <w:t>ר</w:t>
      </w:r>
      <w:r w:rsidRPr="00E42C9E">
        <w:rPr>
          <w:rFonts w:ascii="Century" w:hAnsi="Century" w:cs="Miriam"/>
          <w:b/>
          <w:spacing w:val="0"/>
          <w:szCs w:val="24"/>
          <w:rtl/>
        </w:rPr>
        <w:t xml:space="preserve"> </w:t>
      </w:r>
      <w:r w:rsidRPr="00E42C9E">
        <w:rPr>
          <w:rFonts w:ascii="Century" w:hAnsi="Century" w:cs="Miriam" w:hint="eastAsia"/>
          <w:b/>
          <w:spacing w:val="0"/>
          <w:szCs w:val="24"/>
          <w:rtl/>
        </w:rPr>
        <w:t>הכנסת</w:t>
      </w:r>
      <w:r w:rsidRPr="00E42C9E">
        <w:rPr>
          <w:rtl/>
        </w:rPr>
        <w:t xml:space="preserve">, </w:t>
      </w:r>
      <w:r w:rsidRPr="00E42C9E">
        <w:rPr>
          <w:rFonts w:hint="eastAsia"/>
          <w:rtl/>
        </w:rPr>
        <w:t>פ</w:t>
      </w:r>
      <w:r w:rsidRPr="00E42C9E">
        <w:rPr>
          <w:rtl/>
        </w:rPr>
        <w:t>"</w:t>
      </w:r>
      <w:r w:rsidRPr="00E42C9E">
        <w:rPr>
          <w:rFonts w:hint="eastAsia"/>
          <w:rtl/>
        </w:rPr>
        <w:t>ד</w:t>
      </w:r>
      <w:r w:rsidRPr="00E42C9E">
        <w:rPr>
          <w:rtl/>
        </w:rPr>
        <w:t xml:space="preserve"> </w:t>
      </w:r>
      <w:r w:rsidRPr="00E42C9E">
        <w:rPr>
          <w:rFonts w:hint="eastAsia"/>
          <w:rtl/>
        </w:rPr>
        <w:t>לט</w:t>
      </w:r>
      <w:r w:rsidRPr="00E42C9E">
        <w:rPr>
          <w:rtl/>
        </w:rPr>
        <w:t xml:space="preserve">(3) 122, 129-128 (1985); </w:t>
      </w:r>
      <w:r w:rsidRPr="00E42C9E">
        <w:rPr>
          <w:rFonts w:hint="eastAsia"/>
          <w:rtl/>
        </w:rPr>
        <w:t>בג</w:t>
      </w:r>
      <w:r w:rsidRPr="00E42C9E">
        <w:rPr>
          <w:rtl/>
        </w:rPr>
        <w:t>"</w:t>
      </w:r>
      <w:r w:rsidRPr="00E42C9E">
        <w:rPr>
          <w:rFonts w:hint="eastAsia"/>
          <w:rtl/>
        </w:rPr>
        <w:t>ץ</w:t>
      </w:r>
      <w:r w:rsidRPr="00E42C9E">
        <w:rPr>
          <w:rtl/>
        </w:rPr>
        <w:t xml:space="preserve"> </w:t>
      </w:r>
      <w:r w:rsidRPr="00E42C9E">
        <w:rPr>
          <w:rtl/>
        </w:rPr>
        <w:lastRenderedPageBreak/>
        <w:t xml:space="preserve">1843/93 </w:t>
      </w:r>
      <w:r w:rsidRPr="00E42C9E">
        <w:rPr>
          <w:rFonts w:ascii="Century" w:hAnsi="Century" w:cs="Miriam" w:hint="eastAsia"/>
          <w:b/>
          <w:spacing w:val="0"/>
          <w:szCs w:val="24"/>
          <w:rtl/>
        </w:rPr>
        <w:t>פנחסי</w:t>
      </w:r>
      <w:r w:rsidRPr="00E42C9E">
        <w:rPr>
          <w:rFonts w:ascii="Century" w:hAnsi="Century" w:cs="Miriam"/>
          <w:b/>
          <w:spacing w:val="0"/>
          <w:szCs w:val="24"/>
          <w:rtl/>
        </w:rPr>
        <w:t xml:space="preserve"> </w:t>
      </w:r>
      <w:r w:rsidRPr="00E42C9E">
        <w:rPr>
          <w:rFonts w:ascii="Century" w:hAnsi="Century" w:cs="Miriam" w:hint="eastAsia"/>
          <w:b/>
          <w:spacing w:val="0"/>
          <w:szCs w:val="24"/>
          <w:rtl/>
        </w:rPr>
        <w:t>נ</w:t>
      </w:r>
      <w:r w:rsidRPr="00E42C9E">
        <w:rPr>
          <w:rFonts w:ascii="Century" w:hAnsi="Century" w:cs="Miriam"/>
          <w:b/>
          <w:spacing w:val="0"/>
          <w:szCs w:val="24"/>
          <w:rtl/>
        </w:rPr>
        <w:t xml:space="preserve">' </w:t>
      </w:r>
      <w:r w:rsidRPr="00E42C9E">
        <w:rPr>
          <w:rFonts w:ascii="Century" w:hAnsi="Century" w:cs="Miriam" w:hint="eastAsia"/>
          <w:b/>
          <w:spacing w:val="0"/>
          <w:szCs w:val="24"/>
          <w:rtl/>
        </w:rPr>
        <w:t>כנסת</w:t>
      </w:r>
      <w:r w:rsidRPr="00E42C9E">
        <w:rPr>
          <w:rFonts w:ascii="Century" w:hAnsi="Century" w:cs="Miriam"/>
          <w:b/>
          <w:spacing w:val="0"/>
          <w:szCs w:val="24"/>
          <w:rtl/>
        </w:rPr>
        <w:t xml:space="preserve"> </w:t>
      </w:r>
      <w:r w:rsidRPr="00E42C9E">
        <w:rPr>
          <w:rFonts w:ascii="Century" w:hAnsi="Century" w:cs="Miriam" w:hint="eastAsia"/>
          <w:b/>
          <w:spacing w:val="0"/>
          <w:szCs w:val="24"/>
          <w:rtl/>
        </w:rPr>
        <w:t>ישראל</w:t>
      </w:r>
      <w:r w:rsidRPr="00E42C9E">
        <w:rPr>
          <w:rtl/>
        </w:rPr>
        <w:t xml:space="preserve">, </w:t>
      </w:r>
      <w:r w:rsidRPr="00E42C9E">
        <w:rPr>
          <w:rFonts w:hint="eastAsia"/>
          <w:rtl/>
        </w:rPr>
        <w:t>פ</w:t>
      </w:r>
      <w:r w:rsidRPr="00E42C9E">
        <w:rPr>
          <w:rtl/>
        </w:rPr>
        <w:t>"</w:t>
      </w:r>
      <w:r w:rsidRPr="00E42C9E">
        <w:rPr>
          <w:rFonts w:hint="eastAsia"/>
          <w:rtl/>
        </w:rPr>
        <w:t>ד</w:t>
      </w:r>
      <w:r w:rsidRPr="00E42C9E">
        <w:rPr>
          <w:rtl/>
        </w:rPr>
        <w:t xml:space="preserve"> </w:t>
      </w:r>
      <w:r w:rsidRPr="00E42C9E">
        <w:rPr>
          <w:rFonts w:hint="eastAsia"/>
          <w:rtl/>
        </w:rPr>
        <w:t>מט</w:t>
      </w:r>
      <w:r w:rsidRPr="00E42C9E">
        <w:rPr>
          <w:rtl/>
        </w:rPr>
        <w:t xml:space="preserve">(1) 661, 700 (1995); </w:t>
      </w:r>
      <w:r w:rsidRPr="00E42C9E">
        <w:rPr>
          <w:rFonts w:hint="eastAsia"/>
          <w:rtl/>
        </w:rPr>
        <w:t>בג</w:t>
      </w:r>
      <w:r w:rsidRPr="00E42C9E">
        <w:rPr>
          <w:rtl/>
        </w:rPr>
        <w:t>"</w:t>
      </w:r>
      <w:r w:rsidRPr="00E42C9E">
        <w:rPr>
          <w:rFonts w:hint="eastAsia"/>
          <w:rtl/>
        </w:rPr>
        <w:t>ץ</w:t>
      </w:r>
      <w:r w:rsidRPr="00E42C9E">
        <w:rPr>
          <w:rtl/>
        </w:rPr>
        <w:t xml:space="preserve"> 73/85 </w:t>
      </w:r>
      <w:r w:rsidRPr="00E42C9E">
        <w:rPr>
          <w:rFonts w:ascii="Century" w:hAnsi="Century" w:cs="Miriam" w:hint="eastAsia"/>
          <w:b/>
          <w:spacing w:val="0"/>
          <w:szCs w:val="24"/>
          <w:rtl/>
        </w:rPr>
        <w:t>סיעת</w:t>
      </w:r>
      <w:r w:rsidRPr="00E42C9E">
        <w:rPr>
          <w:rFonts w:ascii="Century" w:hAnsi="Century" w:cs="Miriam"/>
          <w:b/>
          <w:spacing w:val="0"/>
          <w:szCs w:val="24"/>
          <w:rtl/>
        </w:rPr>
        <w:t xml:space="preserve"> "</w:t>
      </w:r>
      <w:r w:rsidRPr="00E42C9E">
        <w:rPr>
          <w:rFonts w:ascii="Century" w:hAnsi="Century" w:cs="Miriam" w:hint="eastAsia"/>
          <w:b/>
          <w:spacing w:val="0"/>
          <w:szCs w:val="24"/>
          <w:rtl/>
        </w:rPr>
        <w:t>כך</w:t>
      </w:r>
      <w:r w:rsidRPr="00E42C9E">
        <w:rPr>
          <w:rFonts w:ascii="Century" w:hAnsi="Century" w:cs="Miriam"/>
          <w:b/>
          <w:spacing w:val="0"/>
          <w:szCs w:val="24"/>
          <w:rtl/>
        </w:rPr>
        <w:t xml:space="preserve">" </w:t>
      </w:r>
      <w:r w:rsidRPr="00E42C9E">
        <w:rPr>
          <w:rFonts w:ascii="Century" w:hAnsi="Century" w:cs="Miriam" w:hint="eastAsia"/>
          <w:b/>
          <w:spacing w:val="0"/>
          <w:szCs w:val="24"/>
          <w:rtl/>
        </w:rPr>
        <w:t>נ</w:t>
      </w:r>
      <w:r w:rsidRPr="00E42C9E">
        <w:rPr>
          <w:rFonts w:ascii="Century" w:hAnsi="Century" w:cs="Miriam"/>
          <w:b/>
          <w:spacing w:val="0"/>
          <w:szCs w:val="24"/>
          <w:rtl/>
        </w:rPr>
        <w:t xml:space="preserve">' </w:t>
      </w:r>
      <w:r w:rsidRPr="00E42C9E">
        <w:rPr>
          <w:rFonts w:ascii="Century" w:hAnsi="Century" w:cs="Miriam" w:hint="eastAsia"/>
          <w:b/>
          <w:spacing w:val="0"/>
          <w:szCs w:val="24"/>
          <w:rtl/>
        </w:rPr>
        <w:t>יושב</w:t>
      </w:r>
      <w:r w:rsidRPr="00E42C9E">
        <w:rPr>
          <w:rFonts w:ascii="Century" w:hAnsi="Century" w:cs="Miriam"/>
          <w:b/>
          <w:spacing w:val="0"/>
          <w:szCs w:val="24"/>
          <w:rtl/>
        </w:rPr>
        <w:t xml:space="preserve"> </w:t>
      </w:r>
      <w:r w:rsidRPr="00E42C9E">
        <w:rPr>
          <w:rFonts w:ascii="Century" w:hAnsi="Century" w:cs="Miriam" w:hint="eastAsia"/>
          <w:b/>
          <w:spacing w:val="0"/>
          <w:szCs w:val="24"/>
          <w:rtl/>
        </w:rPr>
        <w:t>ראש</w:t>
      </w:r>
      <w:r w:rsidRPr="00E42C9E">
        <w:rPr>
          <w:rFonts w:ascii="Century" w:hAnsi="Century" w:cs="Miriam"/>
          <w:b/>
          <w:spacing w:val="0"/>
          <w:szCs w:val="24"/>
          <w:rtl/>
        </w:rPr>
        <w:t xml:space="preserve"> </w:t>
      </w:r>
      <w:r w:rsidRPr="00E42C9E">
        <w:rPr>
          <w:rFonts w:ascii="Century" w:hAnsi="Century" w:cs="Miriam" w:hint="eastAsia"/>
          <w:b/>
          <w:spacing w:val="0"/>
          <w:szCs w:val="24"/>
          <w:rtl/>
        </w:rPr>
        <w:t>הכנסת</w:t>
      </w:r>
      <w:r w:rsidRPr="00E42C9E">
        <w:rPr>
          <w:rtl/>
        </w:rPr>
        <w:t xml:space="preserve">, </w:t>
      </w:r>
      <w:r w:rsidRPr="00E42C9E">
        <w:rPr>
          <w:rFonts w:hint="eastAsia"/>
          <w:rtl/>
        </w:rPr>
        <w:t>פ</w:t>
      </w:r>
      <w:r w:rsidRPr="00E42C9E">
        <w:rPr>
          <w:rtl/>
        </w:rPr>
        <w:t>"</w:t>
      </w:r>
      <w:r w:rsidRPr="00E42C9E">
        <w:rPr>
          <w:rFonts w:hint="eastAsia"/>
          <w:rtl/>
        </w:rPr>
        <w:t>ד</w:t>
      </w:r>
      <w:r w:rsidRPr="00E42C9E">
        <w:rPr>
          <w:rtl/>
        </w:rPr>
        <w:t xml:space="preserve"> </w:t>
      </w:r>
      <w:r w:rsidRPr="00E42C9E">
        <w:rPr>
          <w:rFonts w:hint="eastAsia"/>
          <w:rtl/>
        </w:rPr>
        <w:t>לט</w:t>
      </w:r>
      <w:r w:rsidRPr="00E42C9E">
        <w:rPr>
          <w:rtl/>
        </w:rPr>
        <w:t xml:space="preserve">(3) 141, 158-157 (1985); </w:t>
      </w:r>
      <w:r>
        <w:rPr>
          <w:rFonts w:hint="cs"/>
          <w:rtl/>
        </w:rPr>
        <w:t>ו</w:t>
      </w:r>
      <w:r w:rsidRPr="00E42C9E">
        <w:rPr>
          <w:rFonts w:hint="eastAsia"/>
          <w:rtl/>
        </w:rPr>
        <w:t>בג</w:t>
      </w:r>
      <w:r w:rsidRPr="00E42C9E">
        <w:rPr>
          <w:rtl/>
        </w:rPr>
        <w:t>"</w:t>
      </w:r>
      <w:r w:rsidRPr="00E42C9E">
        <w:rPr>
          <w:rFonts w:hint="eastAsia"/>
          <w:rtl/>
        </w:rPr>
        <w:t>ץ</w:t>
      </w:r>
      <w:r w:rsidRPr="00E42C9E">
        <w:rPr>
          <w:rtl/>
        </w:rPr>
        <w:t xml:space="preserve"> 10042/16 </w:t>
      </w:r>
      <w:r w:rsidRPr="00E42C9E">
        <w:rPr>
          <w:rFonts w:ascii="Century" w:hAnsi="Century" w:cs="Miriam" w:hint="eastAsia"/>
          <w:b/>
          <w:spacing w:val="0"/>
          <w:szCs w:val="24"/>
          <w:rtl/>
        </w:rPr>
        <w:t>קוונטינסקי</w:t>
      </w:r>
      <w:r w:rsidRPr="00E42C9E">
        <w:rPr>
          <w:rFonts w:ascii="Century" w:hAnsi="Century" w:cs="Miriam"/>
          <w:b/>
          <w:spacing w:val="0"/>
          <w:szCs w:val="24"/>
          <w:rtl/>
        </w:rPr>
        <w:t xml:space="preserve"> </w:t>
      </w:r>
      <w:r w:rsidRPr="00E42C9E">
        <w:rPr>
          <w:rFonts w:ascii="Century" w:hAnsi="Century" w:cs="Miriam" w:hint="eastAsia"/>
          <w:b/>
          <w:spacing w:val="0"/>
          <w:szCs w:val="24"/>
          <w:rtl/>
        </w:rPr>
        <w:t>נ</w:t>
      </w:r>
      <w:r w:rsidRPr="00E42C9E">
        <w:rPr>
          <w:rFonts w:ascii="Century" w:hAnsi="Century" w:cs="Miriam"/>
          <w:b/>
          <w:spacing w:val="0"/>
          <w:szCs w:val="24"/>
          <w:rtl/>
        </w:rPr>
        <w:t xml:space="preserve">' </w:t>
      </w:r>
      <w:r w:rsidRPr="00E42C9E">
        <w:rPr>
          <w:rFonts w:ascii="Century" w:hAnsi="Century" w:cs="Miriam" w:hint="eastAsia"/>
          <w:b/>
          <w:spacing w:val="0"/>
          <w:szCs w:val="24"/>
          <w:rtl/>
        </w:rPr>
        <w:t>כנסת</w:t>
      </w:r>
      <w:r w:rsidRPr="00E42C9E">
        <w:rPr>
          <w:rFonts w:ascii="Century" w:hAnsi="Century" w:cs="Miriam"/>
          <w:b/>
          <w:spacing w:val="0"/>
          <w:szCs w:val="24"/>
          <w:rtl/>
        </w:rPr>
        <w:t xml:space="preserve"> </w:t>
      </w:r>
      <w:r w:rsidRPr="00E42C9E">
        <w:rPr>
          <w:rFonts w:ascii="Century" w:hAnsi="Century" w:cs="Miriam" w:hint="eastAsia"/>
          <w:b/>
          <w:spacing w:val="0"/>
          <w:szCs w:val="24"/>
          <w:rtl/>
        </w:rPr>
        <w:t>ישראל</w:t>
      </w:r>
      <w:r w:rsidRPr="00E42C9E">
        <w:rPr>
          <w:rtl/>
        </w:rPr>
        <w:t xml:space="preserve">, </w:t>
      </w:r>
      <w:r w:rsidRPr="00E42C9E">
        <w:rPr>
          <w:rFonts w:hint="eastAsia"/>
          <w:rtl/>
        </w:rPr>
        <w:t>פסקה</w:t>
      </w:r>
      <w:r w:rsidRPr="00E42C9E">
        <w:rPr>
          <w:rtl/>
        </w:rPr>
        <w:t xml:space="preserve"> 41 </w:t>
      </w:r>
      <w:r w:rsidRPr="00E42C9E">
        <w:rPr>
          <w:rFonts w:hint="eastAsia"/>
          <w:rtl/>
        </w:rPr>
        <w:t>לפסק</w:t>
      </w:r>
      <w:r w:rsidRPr="00E42C9E">
        <w:rPr>
          <w:rtl/>
        </w:rPr>
        <w:t xml:space="preserve"> </w:t>
      </w:r>
      <w:r w:rsidRPr="00E42C9E">
        <w:rPr>
          <w:rFonts w:hint="eastAsia"/>
          <w:rtl/>
        </w:rPr>
        <w:t>דינו</w:t>
      </w:r>
      <w:r w:rsidRPr="00E42C9E">
        <w:rPr>
          <w:rtl/>
        </w:rPr>
        <w:t xml:space="preserve"> </w:t>
      </w:r>
      <w:r w:rsidRPr="00E42C9E">
        <w:rPr>
          <w:rFonts w:hint="eastAsia"/>
          <w:rtl/>
        </w:rPr>
        <w:t>של</w:t>
      </w:r>
      <w:r w:rsidRPr="00E42C9E">
        <w:rPr>
          <w:rtl/>
        </w:rPr>
        <w:t xml:space="preserve"> </w:t>
      </w:r>
      <w:r w:rsidRPr="00E42C9E">
        <w:rPr>
          <w:rFonts w:hint="eastAsia"/>
          <w:rtl/>
        </w:rPr>
        <w:t>השופט</w:t>
      </w:r>
      <w:r w:rsidRPr="00E42C9E">
        <w:rPr>
          <w:rtl/>
        </w:rPr>
        <w:t xml:space="preserve"> </w:t>
      </w:r>
      <w:r w:rsidRPr="00E42C9E">
        <w:rPr>
          <w:rFonts w:ascii="Century" w:hAnsi="Century" w:cs="Miriam" w:hint="eastAsia"/>
          <w:b/>
          <w:spacing w:val="0"/>
          <w:szCs w:val="24"/>
          <w:rtl/>
        </w:rPr>
        <w:t>נ</w:t>
      </w:r>
      <w:r w:rsidRPr="00E42C9E">
        <w:rPr>
          <w:rFonts w:ascii="Century" w:hAnsi="Century" w:cs="Miriam"/>
          <w:b/>
          <w:spacing w:val="0"/>
          <w:szCs w:val="24"/>
          <w:rtl/>
        </w:rPr>
        <w:t xml:space="preserve">' </w:t>
      </w:r>
      <w:r w:rsidRPr="00E42C9E">
        <w:rPr>
          <w:rFonts w:ascii="Century" w:hAnsi="Century" w:cs="Miriam" w:hint="eastAsia"/>
          <w:b/>
          <w:spacing w:val="0"/>
          <w:szCs w:val="24"/>
          <w:rtl/>
        </w:rPr>
        <w:t>סולברג</w:t>
      </w:r>
      <w:r w:rsidRPr="00E42C9E">
        <w:rPr>
          <w:rtl/>
        </w:rPr>
        <w:t xml:space="preserve"> (6.8.2017)). </w:t>
      </w:r>
      <w:r w:rsidRPr="00E42C9E">
        <w:rPr>
          <w:rFonts w:hint="eastAsia"/>
          <w:rtl/>
        </w:rPr>
        <w:t>ברם</w:t>
      </w:r>
      <w:r w:rsidRPr="00E42C9E">
        <w:rPr>
          <w:rtl/>
        </w:rPr>
        <w:t xml:space="preserve">, </w:t>
      </w:r>
      <w:r w:rsidRPr="00E42C9E">
        <w:rPr>
          <w:rFonts w:hint="eastAsia"/>
          <w:rtl/>
        </w:rPr>
        <w:t>בעניין</w:t>
      </w:r>
      <w:r w:rsidRPr="00E42C9E">
        <w:rPr>
          <w:rtl/>
        </w:rPr>
        <w:t xml:space="preserve"> </w:t>
      </w:r>
      <w:r w:rsidRPr="00E42C9E">
        <w:rPr>
          <w:rFonts w:hint="eastAsia"/>
          <w:rtl/>
        </w:rPr>
        <w:t>זה</w:t>
      </w:r>
      <w:r w:rsidRPr="00E42C9E">
        <w:rPr>
          <w:rtl/>
        </w:rPr>
        <w:t xml:space="preserve"> </w:t>
      </w:r>
      <w:r w:rsidRPr="00E42C9E">
        <w:rPr>
          <w:rFonts w:hint="eastAsia"/>
          <w:rtl/>
        </w:rPr>
        <w:t>יש</w:t>
      </w:r>
      <w:r w:rsidRPr="00E42C9E">
        <w:rPr>
          <w:rtl/>
        </w:rPr>
        <w:t xml:space="preserve"> </w:t>
      </w:r>
      <w:r w:rsidRPr="00E42C9E">
        <w:rPr>
          <w:rFonts w:hint="eastAsia"/>
          <w:rtl/>
        </w:rPr>
        <w:t>להבחין</w:t>
      </w:r>
      <w:r w:rsidRPr="00E42C9E">
        <w:rPr>
          <w:rtl/>
        </w:rPr>
        <w:t xml:space="preserve"> </w:t>
      </w:r>
      <w:r w:rsidRPr="00E42C9E">
        <w:rPr>
          <w:rFonts w:hint="eastAsia"/>
          <w:rtl/>
        </w:rPr>
        <w:t>בין</w:t>
      </w:r>
      <w:r w:rsidRPr="00E42C9E">
        <w:rPr>
          <w:rtl/>
        </w:rPr>
        <w:t xml:space="preserve"> </w:t>
      </w:r>
      <w:r w:rsidRPr="00E42C9E">
        <w:rPr>
          <w:rFonts w:hint="eastAsia"/>
          <w:rtl/>
        </w:rPr>
        <w:t>סמכות</w:t>
      </w:r>
      <w:r w:rsidRPr="00E42C9E">
        <w:rPr>
          <w:rtl/>
        </w:rPr>
        <w:t xml:space="preserve"> </w:t>
      </w:r>
      <w:r w:rsidRPr="00E42C9E">
        <w:rPr>
          <w:rFonts w:hint="eastAsia"/>
          <w:rtl/>
        </w:rPr>
        <w:t>הביקורת</w:t>
      </w:r>
      <w:r w:rsidRPr="00E42C9E">
        <w:rPr>
          <w:rtl/>
        </w:rPr>
        <w:t xml:space="preserve"> </w:t>
      </w:r>
      <w:r w:rsidRPr="00E42C9E">
        <w:rPr>
          <w:rFonts w:hint="eastAsia"/>
          <w:rtl/>
        </w:rPr>
        <w:t>השיפוטית</w:t>
      </w:r>
      <w:r w:rsidRPr="00E42C9E">
        <w:rPr>
          <w:rtl/>
        </w:rPr>
        <w:t xml:space="preserve"> </w:t>
      </w:r>
      <w:r w:rsidRPr="00E42C9E">
        <w:rPr>
          <w:rFonts w:hint="eastAsia"/>
          <w:rtl/>
        </w:rPr>
        <w:t>האמורה</w:t>
      </w:r>
      <w:r w:rsidRPr="00E42C9E">
        <w:rPr>
          <w:rtl/>
        </w:rPr>
        <w:t xml:space="preserve"> </w:t>
      </w:r>
      <w:r w:rsidRPr="00E42C9E">
        <w:rPr>
          <w:rFonts w:hint="eastAsia"/>
          <w:rtl/>
        </w:rPr>
        <w:t>לבין</w:t>
      </w:r>
      <w:r>
        <w:rPr>
          <w:rFonts w:hint="cs"/>
          <w:rtl/>
        </w:rPr>
        <w:t xml:space="preserve"> עילות הביקורת והיקפה. כפי שאראה להלן, מדובר בסמכות כללית שבצדה עילות ביקורת והתערבות צרות ומוגדרות. </w:t>
      </w:r>
    </w:p>
    <w:p w:rsidR="0047626A" w:rsidRDefault="0047626A" w:rsidP="0047626A">
      <w:pPr>
        <w:pStyle w:val="Ruller4"/>
        <w:numPr>
          <w:ilvl w:val="0"/>
          <w:numId w:val="0"/>
        </w:numPr>
      </w:pPr>
    </w:p>
    <w:p w:rsidR="0047626A" w:rsidRDefault="0047626A" w:rsidP="0047626A">
      <w:pPr>
        <w:pStyle w:val="Ruller4"/>
      </w:pPr>
      <w:r>
        <w:rPr>
          <w:rFonts w:hint="cs"/>
          <w:rtl/>
        </w:rPr>
        <w:t xml:space="preserve">למשל: כפי שכבר צויין על ידי, הכנסת אינה מוסמכת לחוקק חוק שסותר את האמור בהכרזת העצמאות </w:t>
      </w:r>
      <w:r>
        <w:rPr>
          <w:rtl/>
        </w:rPr>
        <w:t>–</w:t>
      </w:r>
      <w:r>
        <w:rPr>
          <w:rFonts w:hint="cs"/>
          <w:rtl/>
        </w:rPr>
        <w:t xml:space="preserve"> מעשה חקיקה כזה יהא בגדר חריגה מסמכות הכנסת. </w:t>
      </w:r>
      <w:r w:rsidRPr="00A21780">
        <w:rPr>
          <w:rFonts w:ascii="Century" w:hAnsi="Century" w:cs="Miriam" w:hint="cs"/>
          <w:b/>
          <w:spacing w:val="0"/>
          <w:sz w:val="22"/>
          <w:szCs w:val="24"/>
          <w:rtl/>
        </w:rPr>
        <w:t>אולם, בבואה לחוקק חוקים</w:t>
      </w:r>
      <w:r>
        <w:rPr>
          <w:rFonts w:ascii="Century" w:hAnsi="Century" w:cs="Miriam" w:hint="cs"/>
          <w:b/>
          <w:spacing w:val="0"/>
          <w:sz w:val="22"/>
          <w:szCs w:val="24"/>
          <w:rtl/>
        </w:rPr>
        <w:t>,</w:t>
      </w:r>
      <w:r w:rsidRPr="00A21780">
        <w:rPr>
          <w:rFonts w:ascii="Century" w:hAnsi="Century" w:cs="Miriam" w:hint="cs"/>
          <w:b/>
          <w:spacing w:val="0"/>
          <w:sz w:val="22"/>
          <w:szCs w:val="24"/>
          <w:rtl/>
        </w:rPr>
        <w:t xml:space="preserve"> הכנסת סוברנית לבחור כל תפישה מקובלת של חירות, של שוויון ושל צדק חברתי מבין התפישות הרבות הקיימות.</w:t>
      </w:r>
      <w:r>
        <w:rPr>
          <w:rFonts w:hint="cs"/>
          <w:rtl/>
        </w:rPr>
        <w:t xml:space="preserve"> </w:t>
      </w:r>
      <w:r w:rsidRPr="00597E2F">
        <w:rPr>
          <w:rFonts w:ascii="Century" w:hAnsi="Century" w:cs="Miriam" w:hint="cs"/>
          <w:b/>
          <w:spacing w:val="0"/>
          <w:sz w:val="22"/>
          <w:szCs w:val="24"/>
          <w:u w:val="single"/>
          <w:rtl/>
        </w:rPr>
        <w:t>בבחירה ערכית זו לא נתערב, שכן הקביעה באיזו תפישה מוסרית, ערכית או מדינית תבחר הכנסת צריכה להיעשות "ביום הבוחר, ולא ביום העותר"</w:t>
      </w:r>
      <w:r>
        <w:rPr>
          <w:rFonts w:hint="cs"/>
          <w:rtl/>
        </w:rPr>
        <w:t xml:space="preserve"> </w:t>
      </w:r>
      <w:r w:rsidRPr="000871DC">
        <w:rPr>
          <w:rtl/>
        </w:rPr>
        <w:t>(</w:t>
      </w:r>
      <w:r w:rsidRPr="000871DC">
        <w:rPr>
          <w:rFonts w:hint="eastAsia"/>
          <w:rtl/>
        </w:rPr>
        <w:t>ראו</w:t>
      </w:r>
      <w:r w:rsidRPr="000871DC">
        <w:rPr>
          <w:rtl/>
        </w:rPr>
        <w:t xml:space="preserve">: </w:t>
      </w:r>
      <w:r w:rsidRPr="000871DC">
        <w:rPr>
          <w:rFonts w:hint="eastAsia"/>
          <w:rtl/>
        </w:rPr>
        <w:t>בג</w:t>
      </w:r>
      <w:r w:rsidRPr="000871DC">
        <w:rPr>
          <w:rtl/>
        </w:rPr>
        <w:t>"</w:t>
      </w:r>
      <w:r w:rsidRPr="000871DC">
        <w:rPr>
          <w:rFonts w:hint="eastAsia"/>
          <w:rtl/>
        </w:rPr>
        <w:t>ץ</w:t>
      </w:r>
      <w:r w:rsidRPr="000871DC">
        <w:rPr>
          <w:rtl/>
        </w:rPr>
        <w:t xml:space="preserve"> 5004/14 </w:t>
      </w:r>
      <w:r w:rsidRPr="000871DC">
        <w:rPr>
          <w:rFonts w:ascii="Century" w:hAnsi="Century" w:cs="Miriam" w:hint="eastAsia"/>
          <w:b/>
          <w:spacing w:val="0"/>
          <w:sz w:val="22"/>
          <w:szCs w:val="24"/>
          <w:rtl/>
        </w:rPr>
        <w:t>ג</w:t>
      </w:r>
      <w:r w:rsidRPr="000871DC">
        <w:rPr>
          <w:rFonts w:ascii="Century" w:hAnsi="Century" w:cs="Miriam"/>
          <w:b/>
          <w:spacing w:val="0"/>
          <w:sz w:val="22"/>
          <w:szCs w:val="24"/>
          <w:rtl/>
        </w:rPr>
        <w:t>'</w:t>
      </w:r>
      <w:r w:rsidRPr="000871DC">
        <w:rPr>
          <w:rFonts w:ascii="Century" w:hAnsi="Century" w:cs="Miriam" w:hint="eastAsia"/>
          <w:b/>
          <w:spacing w:val="0"/>
          <w:sz w:val="22"/>
          <w:szCs w:val="24"/>
          <w:rtl/>
        </w:rPr>
        <w:t>קלין</w:t>
      </w:r>
      <w:r w:rsidRPr="000871DC">
        <w:rPr>
          <w:rFonts w:ascii="Century" w:hAnsi="Century" w:cs="Miriam"/>
          <w:b/>
          <w:spacing w:val="0"/>
          <w:sz w:val="22"/>
          <w:szCs w:val="24"/>
          <w:rtl/>
        </w:rPr>
        <w:t xml:space="preserve"> </w:t>
      </w:r>
      <w:r w:rsidRPr="000871DC">
        <w:rPr>
          <w:rFonts w:ascii="Century" w:hAnsi="Century" w:cs="Miriam" w:hint="eastAsia"/>
          <w:b/>
          <w:spacing w:val="0"/>
          <w:sz w:val="22"/>
          <w:szCs w:val="24"/>
          <w:rtl/>
        </w:rPr>
        <w:t>נ</w:t>
      </w:r>
      <w:r w:rsidRPr="000871DC">
        <w:rPr>
          <w:rFonts w:ascii="Century" w:hAnsi="Century" w:cs="Miriam"/>
          <w:b/>
          <w:spacing w:val="0"/>
          <w:sz w:val="22"/>
          <w:szCs w:val="24"/>
          <w:rtl/>
        </w:rPr>
        <w:t xml:space="preserve">' </w:t>
      </w:r>
      <w:r w:rsidRPr="000871DC">
        <w:rPr>
          <w:rFonts w:ascii="Century" w:hAnsi="Century" w:cs="Miriam" w:hint="eastAsia"/>
          <w:b/>
          <w:spacing w:val="0"/>
          <w:sz w:val="22"/>
          <w:szCs w:val="24"/>
          <w:rtl/>
        </w:rPr>
        <w:t>משרד</w:t>
      </w:r>
      <w:r w:rsidRPr="000871DC">
        <w:rPr>
          <w:rFonts w:ascii="Century" w:hAnsi="Century" w:cs="Miriam"/>
          <w:b/>
          <w:spacing w:val="0"/>
          <w:sz w:val="22"/>
          <w:szCs w:val="24"/>
          <w:rtl/>
        </w:rPr>
        <w:t xml:space="preserve"> </w:t>
      </w:r>
      <w:r w:rsidRPr="000871DC">
        <w:rPr>
          <w:rFonts w:ascii="Century" w:hAnsi="Century" w:cs="Miriam" w:hint="eastAsia"/>
          <w:b/>
          <w:spacing w:val="0"/>
          <w:sz w:val="22"/>
          <w:szCs w:val="24"/>
          <w:rtl/>
        </w:rPr>
        <w:t>החינוך</w:t>
      </w:r>
      <w:r w:rsidRPr="000871DC">
        <w:rPr>
          <w:rtl/>
        </w:rPr>
        <w:t xml:space="preserve">, </w:t>
      </w:r>
      <w:r w:rsidRPr="000871DC">
        <w:rPr>
          <w:rFonts w:hint="eastAsia"/>
          <w:rtl/>
        </w:rPr>
        <w:t>פסקה</w:t>
      </w:r>
      <w:r w:rsidRPr="000871DC">
        <w:rPr>
          <w:rtl/>
        </w:rPr>
        <w:t xml:space="preserve"> 4 </w:t>
      </w:r>
      <w:r w:rsidRPr="000871DC">
        <w:rPr>
          <w:rFonts w:hint="eastAsia"/>
          <w:rtl/>
        </w:rPr>
        <w:t>לפסק</w:t>
      </w:r>
      <w:r w:rsidRPr="000871DC">
        <w:rPr>
          <w:rtl/>
        </w:rPr>
        <w:t xml:space="preserve"> </w:t>
      </w:r>
      <w:r w:rsidRPr="000871DC">
        <w:rPr>
          <w:rFonts w:hint="eastAsia"/>
          <w:rtl/>
        </w:rPr>
        <w:t>דיני</w:t>
      </w:r>
      <w:r w:rsidRPr="000871DC">
        <w:rPr>
          <w:rtl/>
        </w:rPr>
        <w:t xml:space="preserve"> (7.8.2019)). </w:t>
      </w:r>
    </w:p>
    <w:p w:rsidR="0047626A" w:rsidRDefault="0047626A" w:rsidP="0047626A">
      <w:pPr>
        <w:pStyle w:val="Ruller4"/>
        <w:numPr>
          <w:ilvl w:val="0"/>
          <w:numId w:val="0"/>
        </w:numPr>
      </w:pPr>
    </w:p>
    <w:p w:rsidR="0047626A" w:rsidRDefault="0047626A" w:rsidP="0047626A">
      <w:pPr>
        <w:pStyle w:val="Ruller4"/>
      </w:pPr>
      <w:r w:rsidRPr="000871DC">
        <w:rPr>
          <w:rFonts w:hint="eastAsia"/>
          <w:rtl/>
        </w:rPr>
        <w:t>סמכותנו</w:t>
      </w:r>
      <w:r>
        <w:rPr>
          <w:rFonts w:hint="cs"/>
          <w:rtl/>
        </w:rPr>
        <w:t xml:space="preserve"> להכריז על סתירה בין דבר חקיקה של הכנסת לבין הכרזת העצמאות, ועל בטלותו של דבר החקיקה בשל סתירה כאמור, היא סמכות מתוחמת על ידי רוחב הפס הערכי שניתן לכנסת במסגרת המושגים "שוויון", "חירות", "צדק" וכיוצא באלה. כל אימת שהכנסת בוחרת לאמץ לעצמה את אחת התפישות המקובלות של אותם המושגים </w:t>
      </w:r>
      <w:r>
        <w:rPr>
          <w:rtl/>
        </w:rPr>
        <w:t>–</w:t>
      </w:r>
      <w:r>
        <w:rPr>
          <w:rFonts w:hint="cs"/>
          <w:rtl/>
        </w:rPr>
        <w:t xml:space="preserve"> "מושגי המחלוקת", כתיאורו של </w:t>
      </w:r>
      <w:r w:rsidRPr="00B650C6">
        <w:rPr>
          <w:rFonts w:ascii="Century" w:hAnsi="Century" w:cs="Miriam" w:hint="cs"/>
          <w:b/>
          <w:spacing w:val="0"/>
          <w:sz w:val="22"/>
          <w:szCs w:val="24"/>
          <w:rtl/>
        </w:rPr>
        <w:t>גאליי</w:t>
      </w:r>
      <w:r>
        <w:rPr>
          <w:rFonts w:hint="cs"/>
          <w:rtl/>
        </w:rPr>
        <w:t xml:space="preserve"> </w:t>
      </w:r>
      <w:r>
        <w:rPr>
          <w:rtl/>
        </w:rPr>
        <w:t>–</w:t>
      </w:r>
      <w:r>
        <w:rPr>
          <w:rFonts w:hint="cs"/>
          <w:rtl/>
        </w:rPr>
        <w:t xml:space="preserve"> לא יהא בידינו להתערב בבחירתה. </w:t>
      </w:r>
      <w:r w:rsidRPr="00E73050">
        <w:rPr>
          <w:rFonts w:ascii="Century" w:hAnsi="Century" w:cs="Miriam" w:hint="cs"/>
          <w:b/>
          <w:spacing w:val="0"/>
          <w:sz w:val="22"/>
          <w:szCs w:val="24"/>
          <w:rtl/>
        </w:rPr>
        <w:t xml:space="preserve">הכנסת היא זאת שמוסמכת ליתן משמעות למושגי המחלוקת הערכיים ועל ידי כך לקבוע הסדרים ראשוניים. היא </w:t>
      </w:r>
      <w:r w:rsidRPr="00E73050">
        <w:rPr>
          <w:rFonts w:ascii="Century" w:hAnsi="Century" w:cs="Miriam"/>
          <w:b/>
          <w:spacing w:val="0"/>
          <w:sz w:val="22"/>
          <w:szCs w:val="24"/>
          <w:rtl/>
        </w:rPr>
        <w:t>–</w:t>
      </w:r>
      <w:r w:rsidRPr="00E73050">
        <w:rPr>
          <w:rFonts w:ascii="Century" w:hAnsi="Century" w:cs="Miriam" w:hint="cs"/>
          <w:b/>
          <w:spacing w:val="0"/>
          <w:sz w:val="22"/>
          <w:szCs w:val="24"/>
          <w:rtl/>
        </w:rPr>
        <w:t xml:space="preserve"> ולא אנחנו.</w:t>
      </w:r>
      <w:r>
        <w:rPr>
          <w:rFonts w:hint="cs"/>
          <w:rtl/>
        </w:rPr>
        <w:t xml:space="preserve"> קביעת הסדרים ראשוניים כאמור צריכה לעמוד אך ורק במבחן הבוחרים בגדרן של בחירות לכנסת, ולא במבחן השופטים במסגרתה של ביקורת שיפוטית. מטרתה של ביקורת שיפוטית על קביעת ההסדרים הראשוניים על ידי הכנסת אינה אלא זאת: שמירה על כללי המשחק הפוליטי, שעיקרה מניעת חריגות ממתחם הפעילות הרחב של הכנסת אשר הוגדר בהכרזת העצמאות ובחוקי היסוד. בבואנו להפעיל ביקורת שיפוטית כאמור, שומה עלינו להבטיח כי כללי המשחק הפוליטי, שעיקרם נקבע בהכרזת העצמאות ובחוקי היסוד, נשמרים על ידי השחקנים שפועלים בזירה הפוליטית. זאת, מבלי שבית המשפט יורד אל הזירה הפוליטית ונוטל חלק במשחק.</w:t>
      </w:r>
    </w:p>
    <w:p w:rsidR="0047626A" w:rsidRDefault="0047626A" w:rsidP="0047626A">
      <w:pPr>
        <w:pStyle w:val="Ruller4"/>
        <w:numPr>
          <w:ilvl w:val="0"/>
          <w:numId w:val="0"/>
        </w:numPr>
      </w:pPr>
    </w:p>
    <w:p w:rsidR="0047626A" w:rsidRPr="007C59EC" w:rsidRDefault="0047626A" w:rsidP="0047626A">
      <w:pPr>
        <w:pStyle w:val="Ruller4"/>
        <w:rPr>
          <w:rtl/>
        </w:rPr>
      </w:pPr>
      <w:r w:rsidRPr="00257B28">
        <w:rPr>
          <w:rFonts w:ascii="Century" w:hAnsi="Century" w:hint="cs"/>
          <w:sz w:val="22"/>
          <w:rtl/>
        </w:rPr>
        <w:t>כפי שכבר צויין על ידי,</w:t>
      </w:r>
      <w:r>
        <w:rPr>
          <w:rFonts w:ascii="Century" w:hAnsi="Century" w:cs="Miriam" w:hint="cs"/>
          <w:b/>
          <w:spacing w:val="0"/>
          <w:sz w:val="22"/>
          <w:szCs w:val="24"/>
          <w:rtl/>
        </w:rPr>
        <w:t xml:space="preserve"> </w:t>
      </w:r>
      <w:r w:rsidRPr="00E73050">
        <w:rPr>
          <w:rFonts w:ascii="Century" w:hAnsi="Century" w:cs="Miriam" w:hint="cs"/>
          <w:b/>
          <w:spacing w:val="0"/>
          <w:sz w:val="22"/>
          <w:szCs w:val="24"/>
          <w:rtl/>
        </w:rPr>
        <w:t>האמור לעיל חל הן על חקיקת חוקים רגילים והן על כינונם של חוקי יסוד</w:t>
      </w:r>
      <w:r w:rsidRPr="00B82168">
        <w:rPr>
          <w:rFonts w:hint="cs"/>
          <w:rtl/>
        </w:rPr>
        <w:t xml:space="preserve">. חוק רגיל שתואם את אחת התפישות המקובלות של "שוויון", "חירות", "צדק" וכיוצא באלה, לא יעמוד </w:t>
      </w:r>
      <w:r>
        <w:rPr>
          <w:rFonts w:hint="cs"/>
          <w:rtl/>
        </w:rPr>
        <w:t xml:space="preserve">בסתירה להכרזת העצמאות ולא ייפסל; וכך הוא גם לגבי חוקי יסוד. חוק רגיל אשר יימצא מנוגד לכל אחת ואחת מהתפיסות המקובלות של </w:t>
      </w:r>
      <w:r>
        <w:rPr>
          <w:rFonts w:hint="cs"/>
          <w:rtl/>
        </w:rPr>
        <w:lastRenderedPageBreak/>
        <w:t xml:space="preserve">"שוויון", "חירות", "צדק" וכיוצא באלה, ייפסל גם ייפסל; והוא הדין לגבי חוקי יסוד. </w:t>
      </w:r>
      <w:r>
        <w:rPr>
          <w:rFonts w:ascii="Century" w:hAnsi="Century" w:cs="Miriam" w:hint="cs"/>
          <w:b/>
          <w:spacing w:val="0"/>
          <w:sz w:val="22"/>
          <w:szCs w:val="24"/>
          <w:rtl/>
        </w:rPr>
        <w:t xml:space="preserve">ודוק: </w:t>
      </w:r>
      <w:r w:rsidRPr="008F59A3">
        <w:rPr>
          <w:rFonts w:ascii="Century" w:hAnsi="Century" w:cs="Miriam" w:hint="cs"/>
          <w:b/>
          <w:spacing w:val="0"/>
          <w:sz w:val="22"/>
          <w:szCs w:val="24"/>
          <w:rtl/>
        </w:rPr>
        <w:t>צמד המילים "חוק יסוד" אינ</w:t>
      </w:r>
      <w:r>
        <w:rPr>
          <w:rFonts w:ascii="Century" w:hAnsi="Century" w:cs="Miriam" w:hint="cs"/>
          <w:b/>
          <w:spacing w:val="0"/>
          <w:sz w:val="22"/>
          <w:szCs w:val="24"/>
          <w:rtl/>
        </w:rPr>
        <w:t>ו</w:t>
      </w:r>
      <w:r w:rsidRPr="008F59A3">
        <w:rPr>
          <w:rFonts w:ascii="Century" w:hAnsi="Century" w:cs="Miriam" w:hint="cs"/>
          <w:b/>
          <w:spacing w:val="0"/>
          <w:sz w:val="22"/>
          <w:szCs w:val="24"/>
          <w:rtl/>
        </w:rPr>
        <w:t xml:space="preserve"> בגדר סיסמא או מילת קסם, אשר פוטרת את הכנסת מחובתה להתאים את מכלול מעשי החקיקה שלה להכרזת העצמאות, כמסד של כלל החוקים לפיהם פועלת המדינה.</w:t>
      </w:r>
      <w:r>
        <w:rPr>
          <w:rFonts w:hint="cs"/>
          <w:rtl/>
        </w:rPr>
        <w:t xml:space="preserve"> כפועל יוצא מכך, חוק שסותר את הכרזת העצמאות הוא חוק שחוקק בחוסר סמכות, ואשר יבוטל במסגרת ביקורת שיפוטית גם אם הכנסת בחרה לכנותו בשם "חוק יסוד".</w:t>
      </w:r>
    </w:p>
    <w:p w:rsidR="0047626A" w:rsidRDefault="0047626A" w:rsidP="0047626A">
      <w:pPr>
        <w:pStyle w:val="Ruller41"/>
        <w:ind w:left="720"/>
        <w:rPr>
          <w:rtl/>
        </w:rPr>
      </w:pPr>
    </w:p>
    <w:p w:rsidR="0047626A" w:rsidRPr="002A3AB1" w:rsidRDefault="0047626A" w:rsidP="0047626A">
      <w:pPr>
        <w:pStyle w:val="Ruller41"/>
        <w:rPr>
          <w:rFonts w:ascii="Century" w:hAnsi="Century" w:cs="Miriam"/>
          <w:b/>
          <w:spacing w:val="0"/>
          <w:szCs w:val="24"/>
          <w:rtl/>
        </w:rPr>
      </w:pPr>
      <w:r w:rsidRPr="002A3AB1">
        <w:rPr>
          <w:rFonts w:ascii="Century" w:hAnsi="Century" w:cs="Miriam" w:hint="cs"/>
          <w:b/>
          <w:spacing w:val="0"/>
          <w:szCs w:val="24"/>
          <w:rtl/>
        </w:rPr>
        <w:t>כינון חוקי היסוד</w:t>
      </w:r>
    </w:p>
    <w:p w:rsidR="0047626A" w:rsidRPr="002A3AB1" w:rsidRDefault="0047626A" w:rsidP="0047626A">
      <w:pPr>
        <w:pStyle w:val="Ruller41"/>
      </w:pPr>
    </w:p>
    <w:p w:rsidR="0047626A" w:rsidRDefault="0047626A" w:rsidP="0047626A">
      <w:pPr>
        <w:pStyle w:val="Ruller4"/>
      </w:pPr>
      <w:r>
        <w:rPr>
          <w:rFonts w:hint="cs"/>
          <w:rtl/>
        </w:rPr>
        <w:t xml:space="preserve">ליבון יסודי של כינון חוקי היסוד והיבטיו החוקתיים אינו דרוש להכרעה בעתירות שלפנינו, ועל כן אתייחס לנושא זה בקיצור נמרץ </w:t>
      </w:r>
      <w:r>
        <w:rPr>
          <w:rtl/>
        </w:rPr>
        <w:t>–</w:t>
      </w:r>
      <w:r>
        <w:rPr>
          <w:rFonts w:hint="cs"/>
          <w:rtl/>
        </w:rPr>
        <w:t xml:space="preserve"> זאת בכדי לא להשאיר את תמונת המצב החוקתי שתיארתי בלתי שלמה ולוקה בחסר.</w:t>
      </w:r>
    </w:p>
    <w:p w:rsidR="0047626A" w:rsidRDefault="0047626A" w:rsidP="0047626A">
      <w:pPr>
        <w:pStyle w:val="Ruller4"/>
        <w:numPr>
          <w:ilvl w:val="0"/>
          <w:numId w:val="0"/>
        </w:numPr>
      </w:pPr>
      <w:r>
        <w:rPr>
          <w:rFonts w:hint="cs"/>
          <w:rtl/>
        </w:rPr>
        <w:t xml:space="preserve"> </w:t>
      </w:r>
    </w:p>
    <w:p w:rsidR="0047626A" w:rsidRDefault="0047626A" w:rsidP="0047626A">
      <w:pPr>
        <w:pStyle w:val="Ruller4"/>
        <w:rPr>
          <w:rFonts w:ascii="Century" w:hAnsi="Century"/>
          <w:sz w:val="22"/>
          <w:rtl/>
        </w:rPr>
      </w:pPr>
      <w:r>
        <w:rPr>
          <w:rFonts w:hint="cs"/>
          <w:rtl/>
        </w:rPr>
        <w:t xml:space="preserve">כפי שכבר צויין על ידי, חוקי היסוד שלנו כוננו על ידי הכנסת בעקבות החלטת הררי. הדבר נעשה מבלי שקדם לכך כינונו של חוק-יסוד: החקיקה. כפי שציין, בצדק רב, </w:t>
      </w:r>
      <w:r w:rsidRPr="00C542BD">
        <w:rPr>
          <w:rFonts w:ascii="Century" w:hAnsi="Century" w:cs="Miriam" w:hint="cs"/>
          <w:b/>
          <w:spacing w:val="0"/>
          <w:sz w:val="22"/>
          <w:szCs w:val="24"/>
          <w:rtl/>
        </w:rPr>
        <w:t xml:space="preserve">הנשיא </w:t>
      </w:r>
      <w:r w:rsidRPr="00C542BD">
        <w:rPr>
          <w:rFonts w:ascii="Century" w:hAnsi="Century" w:cs="Miriam" w:hint="eastAsia"/>
          <w:b/>
          <w:spacing w:val="0"/>
          <w:sz w:val="22"/>
          <w:szCs w:val="24"/>
          <w:rtl/>
        </w:rPr>
        <w:t>א</w:t>
      </w:r>
      <w:r>
        <w:rPr>
          <w:rFonts w:ascii="Century" w:hAnsi="Century" w:cs="Miriam" w:hint="cs"/>
          <w:b/>
          <w:spacing w:val="0"/>
          <w:sz w:val="22"/>
          <w:szCs w:val="24"/>
          <w:rtl/>
        </w:rPr>
        <w:t>'</w:t>
      </w:r>
      <w:r w:rsidRPr="00C542BD">
        <w:rPr>
          <w:rFonts w:ascii="Century" w:hAnsi="Century" w:cs="Miriam"/>
          <w:b/>
          <w:spacing w:val="0"/>
          <w:sz w:val="22"/>
          <w:szCs w:val="24"/>
          <w:rtl/>
        </w:rPr>
        <w:t xml:space="preserve"> </w:t>
      </w:r>
      <w:r w:rsidRPr="00C542BD">
        <w:rPr>
          <w:rFonts w:ascii="Century" w:hAnsi="Century" w:cs="Miriam" w:hint="eastAsia"/>
          <w:b/>
          <w:spacing w:val="0"/>
          <w:sz w:val="22"/>
          <w:szCs w:val="24"/>
          <w:rtl/>
        </w:rPr>
        <w:t>ברק</w:t>
      </w:r>
      <w:r>
        <w:rPr>
          <w:rFonts w:hint="cs"/>
          <w:rtl/>
        </w:rPr>
        <w:t>, ככה לא בונים חוקה: כינון חוקי יסוד בלא תשתית נורמטיבית שנדרשת לכינונם הוא בגדר תקלה (</w:t>
      </w:r>
      <w:r w:rsidRPr="000871DC">
        <w:rPr>
          <w:rFonts w:hint="eastAsia"/>
          <w:rtl/>
        </w:rPr>
        <w:t>ראו</w:t>
      </w:r>
      <w:r w:rsidRPr="000871DC">
        <w:rPr>
          <w:rtl/>
        </w:rPr>
        <w:t xml:space="preserve">: </w:t>
      </w:r>
      <w:r w:rsidRPr="00B650C6">
        <w:rPr>
          <w:rFonts w:ascii="Century" w:hAnsi="Century" w:cs="Miriam" w:hint="eastAsia"/>
          <w:b/>
          <w:spacing w:val="0"/>
          <w:sz w:val="22"/>
          <w:szCs w:val="24"/>
          <w:rtl/>
        </w:rPr>
        <w:t>ברק</w:t>
      </w:r>
      <w:r w:rsidRPr="00B650C6">
        <w:rPr>
          <w:rFonts w:ascii="Century" w:hAnsi="Century" w:cs="Miriam"/>
          <w:b/>
          <w:spacing w:val="0"/>
          <w:sz w:val="22"/>
          <w:szCs w:val="24"/>
          <w:rtl/>
        </w:rPr>
        <w:t xml:space="preserve">, </w:t>
      </w:r>
      <w:r w:rsidRPr="00B650C6">
        <w:rPr>
          <w:rFonts w:ascii="Century" w:hAnsi="Century" w:cs="Miriam" w:hint="eastAsia"/>
          <w:b/>
          <w:spacing w:val="0"/>
          <w:sz w:val="22"/>
          <w:szCs w:val="24"/>
          <w:rtl/>
        </w:rPr>
        <w:t>מבחר</w:t>
      </w:r>
      <w:r w:rsidRPr="00B650C6">
        <w:rPr>
          <w:rFonts w:ascii="Century" w:hAnsi="Century" w:cs="Miriam"/>
          <w:b/>
          <w:spacing w:val="0"/>
          <w:sz w:val="22"/>
          <w:szCs w:val="24"/>
          <w:rtl/>
        </w:rPr>
        <w:t xml:space="preserve"> </w:t>
      </w:r>
      <w:r w:rsidRPr="00B650C6">
        <w:rPr>
          <w:rFonts w:ascii="Century" w:hAnsi="Century" w:cs="Miriam" w:hint="eastAsia"/>
          <w:b/>
          <w:spacing w:val="0"/>
          <w:sz w:val="22"/>
          <w:szCs w:val="24"/>
          <w:rtl/>
        </w:rPr>
        <w:t>כתבים</w:t>
      </w:r>
      <w:r>
        <w:rPr>
          <w:rFonts w:ascii="Century" w:hAnsi="Century" w:hint="cs"/>
          <w:sz w:val="22"/>
          <w:rtl/>
        </w:rPr>
        <w:t>, בעמ' 161</w:t>
      </w:r>
      <w:r w:rsidRPr="000871DC">
        <w:rPr>
          <w:rFonts w:ascii="Century" w:hAnsi="Century"/>
          <w:sz w:val="22"/>
          <w:rtl/>
        </w:rPr>
        <w:t xml:space="preserve">). </w:t>
      </w:r>
      <w:r w:rsidRPr="000871DC">
        <w:rPr>
          <w:rFonts w:ascii="Century" w:hAnsi="Century" w:hint="eastAsia"/>
          <w:sz w:val="22"/>
          <w:rtl/>
        </w:rPr>
        <w:t>כמו</w:t>
      </w:r>
      <w:r>
        <w:rPr>
          <w:rFonts w:ascii="Century" w:hAnsi="Century" w:hint="cs"/>
          <w:sz w:val="22"/>
          <w:rtl/>
        </w:rPr>
        <w:t xml:space="preserve"> </w:t>
      </w:r>
      <w:r w:rsidRPr="00C542BD">
        <w:rPr>
          <w:rFonts w:ascii="Century" w:hAnsi="Century" w:cs="Miriam" w:hint="cs"/>
          <w:b/>
          <w:spacing w:val="0"/>
          <w:sz w:val="22"/>
          <w:szCs w:val="24"/>
          <w:rtl/>
        </w:rPr>
        <w:t>הנשיא ברק</w:t>
      </w:r>
      <w:r>
        <w:rPr>
          <w:rFonts w:ascii="Century" w:hAnsi="Century" w:hint="cs"/>
          <w:sz w:val="22"/>
          <w:rtl/>
        </w:rPr>
        <w:t xml:space="preserve">, גם אני סבור כי תקלה זו אינה מאיינת את כוחם החוקתי של חוקי היסוד שכבר נמצאים עמנו. הכנסת </w:t>
      </w:r>
      <w:r>
        <w:rPr>
          <w:rFonts w:ascii="Century" w:hAnsi="Century"/>
          <w:sz w:val="22"/>
          <w:rtl/>
        </w:rPr>
        <w:t>–</w:t>
      </w:r>
      <w:r>
        <w:rPr>
          <w:rFonts w:ascii="Century" w:hAnsi="Century" w:hint="cs"/>
          <w:sz w:val="22"/>
          <w:rtl/>
        </w:rPr>
        <w:t xml:space="preserve"> ובדומה לה, גם העם </w:t>
      </w:r>
      <w:r>
        <w:rPr>
          <w:rFonts w:ascii="Century" w:hAnsi="Century"/>
          <w:sz w:val="22"/>
          <w:rtl/>
        </w:rPr>
        <w:t>–</w:t>
      </w:r>
      <w:r>
        <w:rPr>
          <w:rFonts w:ascii="Century" w:hAnsi="Century" w:hint="cs"/>
          <w:sz w:val="22"/>
          <w:rtl/>
        </w:rPr>
        <w:t xml:space="preserve"> קיבלו את חוקי היסוד ככאלה (ראו: </w:t>
      </w:r>
      <w:r w:rsidRPr="008E0586">
        <w:rPr>
          <w:rFonts w:ascii="Century" w:hAnsi="Century" w:cs="Miriam" w:hint="eastAsia"/>
          <w:b/>
          <w:spacing w:val="0"/>
          <w:sz w:val="22"/>
          <w:szCs w:val="24"/>
          <w:rtl/>
        </w:rPr>
        <w:t>שם</w:t>
      </w:r>
      <w:r>
        <w:rPr>
          <w:rFonts w:ascii="Century" w:hAnsi="Century" w:hint="cs"/>
          <w:sz w:val="22"/>
          <w:rtl/>
        </w:rPr>
        <w:t xml:space="preserve">). כפי שנפסק בעניין </w:t>
      </w:r>
      <w:r>
        <w:rPr>
          <w:rFonts w:ascii="Century" w:hAnsi="Century" w:cs="Miriam" w:hint="cs"/>
          <w:b/>
          <w:spacing w:val="0"/>
          <w:sz w:val="22"/>
          <w:szCs w:val="24"/>
          <w:rtl/>
        </w:rPr>
        <w:t>בנק המזרחי</w:t>
      </w:r>
      <w:r>
        <w:rPr>
          <w:rFonts w:ascii="Century" w:hAnsi="Century" w:hint="cs"/>
          <w:sz w:val="22"/>
          <w:rtl/>
        </w:rPr>
        <w:t xml:space="preserve">, לחוקים אלה יש מעמד חוקתי בשני מובנים. ראשית, אין לתקן או לשנות חוק יסוד אלא בדרך שהותוותה בו וברוב הדרוש של חברי הכנסת (ראו: עניין </w:t>
      </w:r>
      <w:r>
        <w:rPr>
          <w:rFonts w:ascii="Century" w:hAnsi="Century" w:cs="Miriam" w:hint="cs"/>
          <w:b/>
          <w:spacing w:val="0"/>
          <w:sz w:val="22"/>
          <w:szCs w:val="24"/>
          <w:rtl/>
        </w:rPr>
        <w:t>בנק המזרחי</w:t>
      </w:r>
      <w:r>
        <w:rPr>
          <w:rFonts w:ascii="Century" w:hAnsi="Century" w:hint="cs"/>
          <w:sz w:val="22"/>
          <w:rtl/>
        </w:rPr>
        <w:t xml:space="preserve">, בעמ' 322-320). ושנית, חוק רגיל אשר יימצא סותר את הוראת חוק היסוד הוא חוק שאין לו תוקף ועלינו להכריז על בטלותו (ראו: עניין </w:t>
      </w:r>
      <w:r>
        <w:rPr>
          <w:rFonts w:ascii="Century" w:hAnsi="Century" w:cs="Miriam" w:hint="eastAsia"/>
          <w:b/>
          <w:spacing w:val="0"/>
          <w:sz w:val="22"/>
          <w:szCs w:val="24"/>
          <w:rtl/>
        </w:rPr>
        <w:t>בנק המזרחי</w:t>
      </w:r>
      <w:r>
        <w:rPr>
          <w:rFonts w:ascii="Century" w:hAnsi="Century" w:hint="cs"/>
          <w:sz w:val="22"/>
          <w:rtl/>
        </w:rPr>
        <w:t>, בעמ' 277).</w:t>
      </w:r>
    </w:p>
    <w:p w:rsidR="0047626A" w:rsidRPr="00CA78DC" w:rsidRDefault="0047626A" w:rsidP="0047626A">
      <w:pPr>
        <w:pStyle w:val="Ruller41"/>
      </w:pPr>
    </w:p>
    <w:p w:rsidR="0047626A" w:rsidRDefault="0047626A" w:rsidP="0047626A">
      <w:pPr>
        <w:pStyle w:val="Ruller4"/>
      </w:pPr>
      <w:r>
        <w:rPr>
          <w:rFonts w:hint="cs"/>
          <w:rtl/>
        </w:rPr>
        <w:t xml:space="preserve">ברצוני להציג את התקלה שנפלה בכינון חוקי היסוד ואת תיקונה מכללא במילים שונות מאלו של </w:t>
      </w:r>
      <w:r w:rsidRPr="00C542BD">
        <w:rPr>
          <w:rFonts w:ascii="Century" w:hAnsi="Century" w:cs="Miriam" w:hint="cs"/>
          <w:b/>
          <w:spacing w:val="0"/>
          <w:sz w:val="22"/>
          <w:szCs w:val="24"/>
          <w:rtl/>
        </w:rPr>
        <w:t>הנשיא ברק</w:t>
      </w:r>
      <w:r>
        <w:rPr>
          <w:rFonts w:hint="cs"/>
          <w:rtl/>
        </w:rPr>
        <w:t xml:space="preserve">. ההסמכה לכונן חוקי יסוד, אשר ניתנה לכל כנסת וכנסת, כאמור בהחלטת הררי, כללה בתוכה הסמכה נלווית לקבוע את כללי הכינון של חוקי היסוד: כללים שעניינם הרוב הדרוש לכינון, עבודות ההכנה וכיוצא באלה. הכנסת דילגה על כינון הכללים הללו וכוננה שורה ארוכה של חוקי יסוד, מבלי להידרש לסוגיות שכללי הכינון אמורים היו להסדיר </w:t>
      </w:r>
      <w:r>
        <w:rPr>
          <w:rtl/>
        </w:rPr>
        <w:t>–</w:t>
      </w:r>
      <w:r>
        <w:rPr>
          <w:rFonts w:hint="cs"/>
          <w:rtl/>
        </w:rPr>
        <w:t xml:space="preserve"> כדוגמת הקוורום והמספר האבסולוטי של חברי כנסת שאמורים לתמוך בחוק יסוד כזה או אחר. </w:t>
      </w:r>
    </w:p>
    <w:p w:rsidR="0047626A" w:rsidRDefault="0047626A" w:rsidP="0047626A">
      <w:pPr>
        <w:pStyle w:val="Ruller4"/>
        <w:numPr>
          <w:ilvl w:val="0"/>
          <w:numId w:val="0"/>
        </w:numPr>
      </w:pPr>
    </w:p>
    <w:p w:rsidR="0047626A" w:rsidRDefault="0047626A" w:rsidP="0047626A">
      <w:pPr>
        <w:pStyle w:val="Ruller4"/>
      </w:pPr>
      <w:r>
        <w:rPr>
          <w:rFonts w:hint="cs"/>
          <w:rtl/>
        </w:rPr>
        <w:lastRenderedPageBreak/>
        <w:t xml:space="preserve">לטעמי, מדובר בפגם רציני אשר מזכיר במידת-מה את הפגם שנפל בכינונו של אחד מתיקוני החוקה האמריקנית החשובים ביותר: התיקון הארבעה-עשר, שעניינו הבטחת הליך משפטי הוגן לכל אזרחית ואזרח. תיקון זה כונן מבלי להקפיד על הפרוצדורה שנועדה להבטיח את תמיכתן של 3/4 מהמדינות המשתתפות בהליך </w:t>
      </w:r>
      <w:r>
        <w:rPr>
          <w:rtl/>
        </w:rPr>
        <w:t>–</w:t>
      </w:r>
      <w:r>
        <w:rPr>
          <w:rFonts w:hint="cs"/>
          <w:rtl/>
        </w:rPr>
        <w:t xml:space="preserve"> תקלה שבעטיה נראה היה שהרוב הדרוש לא הושג. חרף זאת, מזכיר המדינה נתן את אישורו לכך שהתיקון כונן כדת וכדין, ולאחר מכן אומץ התיקון כבר-תוקף על ידי כל מוסדות המדינה, לרבות בית המשפט העליון של ארצות הברית (ראו: </w:t>
      </w:r>
      <w:r w:rsidRPr="000E10C1">
        <w:rPr>
          <w:rFonts w:asciiTheme="majorBidi" w:hAnsiTheme="majorBidi" w:cstheme="majorBidi"/>
          <w:smallCaps/>
        </w:rPr>
        <w:t>Erwin Chemerinsky, Constitutional Law</w:t>
      </w:r>
      <w:r w:rsidRPr="000E10C1">
        <w:rPr>
          <w:rFonts w:asciiTheme="majorBidi" w:hAnsiTheme="majorBidi" w:cstheme="majorBidi"/>
        </w:rPr>
        <w:t xml:space="preserve"> 14-16 (5th ed.</w:t>
      </w:r>
      <w:r>
        <w:rPr>
          <w:rFonts w:asciiTheme="majorBidi" w:hAnsiTheme="majorBidi" w:cstheme="majorBidi"/>
        </w:rPr>
        <w:t>,</w:t>
      </w:r>
      <w:r w:rsidRPr="000E10C1">
        <w:rPr>
          <w:rFonts w:asciiTheme="majorBidi" w:hAnsiTheme="majorBidi" w:cstheme="majorBidi"/>
        </w:rPr>
        <w:t xml:space="preserve"> 2015)</w:t>
      </w:r>
      <w:r>
        <w:rPr>
          <w:rFonts w:hint="cs"/>
          <w:rtl/>
        </w:rPr>
        <w:t xml:space="preserve">; וכן </w:t>
      </w:r>
      <w:r w:rsidRPr="000E10C1">
        <w:rPr>
          <w:rFonts w:asciiTheme="majorBidi" w:hAnsiTheme="majorBidi" w:cstheme="majorBidi"/>
        </w:rPr>
        <w:t>Coleman v. Miller, 307 U.S. 433, 448-450 (1939)</w:t>
      </w:r>
      <w:r>
        <w:rPr>
          <w:rFonts w:hint="cs"/>
          <w:rtl/>
        </w:rPr>
        <w:t xml:space="preserve">). </w:t>
      </w:r>
    </w:p>
    <w:p w:rsidR="0047626A" w:rsidRDefault="0047626A" w:rsidP="0047626A">
      <w:pPr>
        <w:pStyle w:val="Ruller4"/>
        <w:numPr>
          <w:ilvl w:val="0"/>
          <w:numId w:val="0"/>
        </w:numPr>
      </w:pPr>
    </w:p>
    <w:p w:rsidR="0047626A" w:rsidRDefault="0047626A" w:rsidP="0047626A">
      <w:pPr>
        <w:pStyle w:val="Ruller4"/>
      </w:pPr>
      <w:r>
        <w:rPr>
          <w:rFonts w:hint="cs"/>
          <w:rtl/>
        </w:rPr>
        <w:t>בדומה לכך, גם במחוזותינו איש אינו מפקפק בתקפותם של חוקי היסוד אשר כוננו בלי להידרש לכללי הכינון. חוקים אלה הם חוקי יסוד שרירים וקיימים, ולא נביט עוד לאחור. מה שנעשה נעשה, ולא נפחית מתוקפם של חוקי היסוד אשר כוננו ללא קביעה מוקדמת של כללי הכינון.</w:t>
      </w:r>
    </w:p>
    <w:p w:rsidR="0047626A" w:rsidRPr="006E7E87" w:rsidRDefault="0047626A" w:rsidP="0047626A">
      <w:pPr>
        <w:pStyle w:val="Ruller4"/>
        <w:numPr>
          <w:ilvl w:val="0"/>
          <w:numId w:val="0"/>
        </w:numPr>
      </w:pPr>
    </w:p>
    <w:p w:rsidR="0047626A" w:rsidRDefault="0047626A" w:rsidP="0047626A">
      <w:pPr>
        <w:pStyle w:val="Ruller4"/>
      </w:pPr>
      <w:r>
        <w:rPr>
          <w:rFonts w:hint="cs"/>
          <w:rtl/>
        </w:rPr>
        <w:t xml:space="preserve">עם זאת, סבורני כי אין כל סיבה שנכפה על עצמנו גם בעתיד את התקלה החוקתית שאירעה. כאמור, הסמכות לכונן חוקי יסוד עברה מכנסת לכנסת, ועל כך אין חולק. ברם, כפי שכבר צויין על ידי, סמכות זו לא עברה מכנסת לכנסת בגפה. יחד עמה הועברה לידי הכנסת סמכות נוספת: </w:t>
      </w:r>
      <w:r w:rsidRPr="006E7E87">
        <w:rPr>
          <w:rFonts w:ascii="Century" w:hAnsi="Century" w:cs="Miriam" w:hint="cs"/>
          <w:b/>
          <w:spacing w:val="0"/>
          <w:sz w:val="22"/>
          <w:szCs w:val="24"/>
          <w:rtl/>
        </w:rPr>
        <w:t xml:space="preserve">הסמכות </w:t>
      </w:r>
      <w:r>
        <w:rPr>
          <w:rFonts w:ascii="Century" w:hAnsi="Century" w:cs="Miriam" w:hint="cs"/>
          <w:b/>
          <w:spacing w:val="0"/>
          <w:sz w:val="22"/>
          <w:szCs w:val="24"/>
          <w:rtl/>
        </w:rPr>
        <w:t xml:space="preserve">הנלווית </w:t>
      </w:r>
      <w:r w:rsidRPr="006E7E87">
        <w:rPr>
          <w:rFonts w:ascii="Century" w:hAnsi="Century" w:cs="Miriam" w:hint="cs"/>
          <w:b/>
          <w:spacing w:val="0"/>
          <w:sz w:val="22"/>
          <w:szCs w:val="24"/>
          <w:rtl/>
        </w:rPr>
        <w:t xml:space="preserve">לקבוע את </w:t>
      </w:r>
      <w:r w:rsidRPr="006E7E87">
        <w:rPr>
          <w:rFonts w:ascii="Century" w:hAnsi="Century" w:cs="Miriam" w:hint="cs"/>
          <w:b/>
          <w:spacing w:val="0"/>
          <w:sz w:val="22"/>
          <w:szCs w:val="24"/>
          <w:u w:val="single"/>
          <w:rtl/>
        </w:rPr>
        <w:t>כללי כינונם של חוקי היסוד</w:t>
      </w:r>
      <w:r w:rsidRPr="006E7E87">
        <w:rPr>
          <w:rFonts w:ascii="Century" w:hAnsi="Century" w:cs="Miriam" w:hint="cs"/>
          <w:b/>
          <w:spacing w:val="0"/>
          <w:sz w:val="22"/>
          <w:szCs w:val="24"/>
          <w:rtl/>
        </w:rPr>
        <w:t xml:space="preserve"> הן מבחינת הפרוצדורה החקיקתית, והן מבחינת מספר חברי הכנסת שיידרש</w:t>
      </w:r>
      <w:r>
        <w:rPr>
          <w:rFonts w:ascii="Century" w:hAnsi="Century" w:cs="Miriam" w:hint="cs"/>
          <w:b/>
          <w:spacing w:val="0"/>
          <w:sz w:val="22"/>
          <w:szCs w:val="24"/>
          <w:rtl/>
        </w:rPr>
        <w:t>ו</w:t>
      </w:r>
      <w:r w:rsidRPr="006E7E87">
        <w:rPr>
          <w:rFonts w:ascii="Century" w:hAnsi="Century" w:cs="Miriam" w:hint="cs"/>
          <w:b/>
          <w:spacing w:val="0"/>
          <w:sz w:val="22"/>
          <w:szCs w:val="24"/>
          <w:rtl/>
        </w:rPr>
        <w:t xml:space="preserve"> לתמוך בחוק יסוד כדי שזה ישמש חוק יסוד בעל מעמד חוקתי</w:t>
      </w:r>
      <w:r>
        <w:rPr>
          <w:rFonts w:hint="cs"/>
          <w:rtl/>
        </w:rPr>
        <w:t xml:space="preserve">. סמכות נלווית זו ניתן היה להפעיל </w:t>
      </w:r>
      <w:r>
        <w:rPr>
          <w:rtl/>
        </w:rPr>
        <w:t>–</w:t>
      </w:r>
      <w:r>
        <w:rPr>
          <w:rFonts w:hint="cs"/>
          <w:rtl/>
        </w:rPr>
        <w:t xml:space="preserve"> אחת ולתמיד </w:t>
      </w:r>
      <w:r>
        <w:rPr>
          <w:rtl/>
        </w:rPr>
        <w:t>–</w:t>
      </w:r>
      <w:r>
        <w:rPr>
          <w:rFonts w:hint="cs"/>
          <w:rtl/>
        </w:rPr>
        <w:t xml:space="preserve"> על ידי כינונו של חוק-יסוד: החקיקה, דבר שמן הסתם לא נעשה. כמו כן, סמכות כאמור ניתן היה להפעיל אד-הוק עובר לכינונו של כל חוק יסוד, דבר שאף הוא לא נעשה. במבט צופה פני-עתיד, ספק בעיניי אם יהא זה נכון מבחינתנו ליתן הכרה חוקתית לחוק שנושא תווית של "חוק יסוד" אשר כונן ללא פרוצדורת כינון מיוחדת. </w:t>
      </w:r>
    </w:p>
    <w:p w:rsidR="0047626A" w:rsidRDefault="0047626A" w:rsidP="0047626A">
      <w:pPr>
        <w:pStyle w:val="Ruller4"/>
        <w:numPr>
          <w:ilvl w:val="0"/>
          <w:numId w:val="0"/>
        </w:numPr>
      </w:pPr>
    </w:p>
    <w:p w:rsidR="0047626A" w:rsidRDefault="0047626A" w:rsidP="0047626A">
      <w:pPr>
        <w:pStyle w:val="Ruller4"/>
      </w:pPr>
      <w:r w:rsidRPr="005A0089">
        <w:rPr>
          <w:rFonts w:ascii="FrankRuehl" w:hAnsi="FrankRuehl"/>
          <w:b/>
          <w:spacing w:val="0"/>
          <w:sz w:val="28"/>
          <w:rtl/>
        </w:rPr>
        <w:t>ההוראה נושא דיוננו</w:t>
      </w:r>
      <w:r>
        <w:rPr>
          <w:rFonts w:hint="cs"/>
          <w:rtl/>
        </w:rPr>
        <w:t xml:space="preserve">, אף היא סובלת מאותו כֶשֶל פרוצדורלי עליו הצבעתי. אולם, עמדתי היא כי עלינו להקפיד על דרכי הכינון של חוקי יסוד </w:t>
      </w:r>
      <w:r w:rsidRPr="00842018">
        <w:rPr>
          <w:rFonts w:ascii="Century" w:hAnsi="Century" w:cs="Miriam" w:hint="cs"/>
          <w:b/>
          <w:spacing w:val="0"/>
          <w:sz w:val="22"/>
          <w:szCs w:val="24"/>
          <w:rtl/>
        </w:rPr>
        <w:t>רק מכאן ואילך</w:t>
      </w:r>
      <w:r>
        <w:rPr>
          <w:rFonts w:hint="cs"/>
          <w:rtl/>
        </w:rPr>
        <w:t xml:space="preserve"> </w:t>
      </w:r>
      <w:r>
        <w:rPr>
          <w:rtl/>
        </w:rPr>
        <w:t>–</w:t>
      </w:r>
      <w:r>
        <w:rPr>
          <w:rFonts w:hint="cs"/>
          <w:rtl/>
        </w:rPr>
        <w:t xml:space="preserve"> דרישה שאינה חלה על חוקי היסוד שכבר כוננו. </w:t>
      </w:r>
    </w:p>
    <w:p w:rsidR="0047626A" w:rsidRDefault="0047626A" w:rsidP="0047626A">
      <w:pPr>
        <w:pStyle w:val="Ruller4"/>
        <w:numPr>
          <w:ilvl w:val="0"/>
          <w:numId w:val="0"/>
        </w:numPr>
        <w:rPr>
          <w:rtl/>
        </w:rPr>
      </w:pPr>
      <w:r>
        <w:rPr>
          <w:rFonts w:hint="cs"/>
          <w:rtl/>
        </w:rPr>
        <w:t xml:space="preserve"> </w:t>
      </w:r>
    </w:p>
    <w:p w:rsidR="0047626A" w:rsidRPr="00936A8D" w:rsidRDefault="0047626A" w:rsidP="0047626A">
      <w:pPr>
        <w:pStyle w:val="Ruller41"/>
        <w:rPr>
          <w:rFonts w:ascii="Century" w:hAnsi="Century" w:cs="Miriam"/>
          <w:b/>
          <w:spacing w:val="0"/>
          <w:szCs w:val="24"/>
          <w:rtl/>
        </w:rPr>
      </w:pPr>
      <w:r w:rsidRPr="00936A8D">
        <w:rPr>
          <w:rFonts w:ascii="Century" w:hAnsi="Century" w:cs="Miriam" w:hint="cs"/>
          <w:b/>
          <w:spacing w:val="0"/>
          <w:szCs w:val="24"/>
          <w:rtl/>
        </w:rPr>
        <w:t>אי-סבירות קיצונית כעילה להתערבות בתי המשפט בהחלטותיהן של רשויות המינהל הציבורי</w:t>
      </w:r>
    </w:p>
    <w:p w:rsidR="0047626A" w:rsidRPr="00936A8D" w:rsidRDefault="0047626A" w:rsidP="0047626A">
      <w:pPr>
        <w:pStyle w:val="Ruller41"/>
        <w:rPr>
          <w:rtl/>
        </w:rPr>
      </w:pPr>
    </w:p>
    <w:p w:rsidR="0047626A" w:rsidRPr="00936A8D" w:rsidRDefault="0047626A" w:rsidP="0047626A">
      <w:pPr>
        <w:pStyle w:val="Ruller4"/>
      </w:pPr>
      <w:r w:rsidRPr="00936A8D">
        <w:rPr>
          <w:rFonts w:hint="cs"/>
          <w:rtl/>
        </w:rPr>
        <w:lastRenderedPageBreak/>
        <w:t xml:space="preserve">בעניינה של </w:t>
      </w:r>
      <w:r w:rsidRPr="00936A8D">
        <w:rPr>
          <w:rFonts w:hint="eastAsia"/>
          <w:rtl/>
        </w:rPr>
        <w:t>אי</w:t>
      </w:r>
      <w:r w:rsidRPr="00936A8D">
        <w:rPr>
          <w:rtl/>
        </w:rPr>
        <w:t>-</w:t>
      </w:r>
      <w:r w:rsidRPr="00936A8D">
        <w:rPr>
          <w:rFonts w:hint="eastAsia"/>
          <w:rtl/>
        </w:rPr>
        <w:t>סבירות</w:t>
      </w:r>
      <w:r w:rsidRPr="00936A8D">
        <w:rPr>
          <w:rtl/>
        </w:rPr>
        <w:t xml:space="preserve"> </w:t>
      </w:r>
      <w:r w:rsidRPr="00936A8D">
        <w:rPr>
          <w:rFonts w:hint="eastAsia"/>
          <w:rtl/>
        </w:rPr>
        <w:t>קיצונית</w:t>
      </w:r>
      <w:r w:rsidRPr="00936A8D">
        <w:rPr>
          <w:rtl/>
        </w:rPr>
        <w:t xml:space="preserve"> </w:t>
      </w:r>
      <w:r w:rsidRPr="00936A8D">
        <w:rPr>
          <w:rFonts w:hint="eastAsia"/>
          <w:rtl/>
        </w:rPr>
        <w:t>כעילה</w:t>
      </w:r>
      <w:r w:rsidRPr="00936A8D">
        <w:rPr>
          <w:rtl/>
        </w:rPr>
        <w:t xml:space="preserve"> </w:t>
      </w:r>
      <w:r w:rsidRPr="00936A8D">
        <w:rPr>
          <w:rFonts w:hint="eastAsia"/>
          <w:rtl/>
        </w:rPr>
        <w:t>להתערבות</w:t>
      </w:r>
      <w:r w:rsidRPr="00936A8D">
        <w:rPr>
          <w:rFonts w:hint="cs"/>
          <w:rtl/>
        </w:rPr>
        <w:t>ם של</w:t>
      </w:r>
      <w:r w:rsidRPr="00936A8D">
        <w:rPr>
          <w:rtl/>
        </w:rPr>
        <w:t xml:space="preserve"> </w:t>
      </w:r>
      <w:r w:rsidRPr="00936A8D">
        <w:rPr>
          <w:rFonts w:hint="eastAsia"/>
          <w:rtl/>
        </w:rPr>
        <w:t>בתי</w:t>
      </w:r>
      <w:r w:rsidRPr="00936A8D">
        <w:rPr>
          <w:rtl/>
        </w:rPr>
        <w:t xml:space="preserve"> </w:t>
      </w:r>
      <w:r w:rsidRPr="00936A8D">
        <w:rPr>
          <w:rFonts w:hint="eastAsia"/>
          <w:rtl/>
        </w:rPr>
        <w:t>המשפט</w:t>
      </w:r>
      <w:r w:rsidRPr="00936A8D">
        <w:rPr>
          <w:rtl/>
        </w:rPr>
        <w:t xml:space="preserve"> </w:t>
      </w:r>
      <w:r w:rsidRPr="00936A8D">
        <w:rPr>
          <w:rFonts w:hint="eastAsia"/>
          <w:rtl/>
        </w:rPr>
        <w:t>בהחלטות</w:t>
      </w:r>
      <w:r w:rsidRPr="00936A8D">
        <w:rPr>
          <w:rFonts w:hint="cs"/>
          <w:rtl/>
        </w:rPr>
        <w:t xml:space="preserve"> ה</w:t>
      </w:r>
      <w:r w:rsidRPr="00936A8D">
        <w:rPr>
          <w:rFonts w:hint="eastAsia"/>
          <w:rtl/>
        </w:rPr>
        <w:t>רשויות</w:t>
      </w:r>
      <w:r w:rsidRPr="00936A8D">
        <w:rPr>
          <w:rtl/>
        </w:rPr>
        <w:t xml:space="preserve"> </w:t>
      </w:r>
      <w:r w:rsidRPr="00936A8D">
        <w:rPr>
          <w:rFonts w:hint="cs"/>
          <w:rtl/>
        </w:rPr>
        <w:t xml:space="preserve">השונות, לרבות אלו של הממשלה (להלן: </w:t>
      </w:r>
      <w:r w:rsidRPr="00936A8D">
        <w:rPr>
          <w:rFonts w:ascii="Century" w:hAnsi="Century" w:cs="Miriam" w:hint="cs"/>
          <w:b/>
          <w:spacing w:val="0"/>
          <w:sz w:val="22"/>
          <w:szCs w:val="24"/>
          <w:rtl/>
        </w:rPr>
        <w:t>דוקטרינת הסבירות</w:t>
      </w:r>
      <w:r w:rsidRPr="00936A8D">
        <w:rPr>
          <w:rFonts w:hint="cs"/>
          <w:rtl/>
        </w:rPr>
        <w:t xml:space="preserve">), קיימות </w:t>
      </w:r>
      <w:r w:rsidRPr="00936A8D">
        <w:rPr>
          <w:rFonts w:ascii="Century" w:hAnsi="Century" w:cs="Miriam" w:hint="cs"/>
          <w:b/>
          <w:spacing w:val="0"/>
          <w:sz w:val="22"/>
          <w:szCs w:val="24"/>
          <w:u w:val="single"/>
          <w:rtl/>
        </w:rPr>
        <w:t>שלוש גישות עקרוניות</w:t>
      </w:r>
      <w:r w:rsidRPr="00936A8D">
        <w:rPr>
          <w:rFonts w:hint="cs"/>
          <w:rtl/>
        </w:rPr>
        <w:t xml:space="preserve"> בקרב שופטי בית המשפט העליון.</w:t>
      </w:r>
    </w:p>
    <w:p w:rsidR="0047626A" w:rsidRPr="00936A8D" w:rsidRDefault="0047626A" w:rsidP="0047626A">
      <w:pPr>
        <w:pStyle w:val="Ruller4"/>
        <w:numPr>
          <w:ilvl w:val="0"/>
          <w:numId w:val="0"/>
        </w:numPr>
      </w:pPr>
    </w:p>
    <w:p w:rsidR="0047626A" w:rsidRPr="00936A8D" w:rsidRDefault="0047626A" w:rsidP="0047626A">
      <w:pPr>
        <w:pStyle w:val="Ruller4"/>
      </w:pPr>
      <w:r w:rsidRPr="00936A8D">
        <w:rPr>
          <w:rFonts w:hint="cs"/>
          <w:rtl/>
        </w:rPr>
        <w:t xml:space="preserve">הגישה הראשונה נקוטה בידי רוב השופטים, ואותה אכנה, לסירוגין, בשם </w:t>
      </w:r>
      <w:r w:rsidRPr="00936A8D">
        <w:rPr>
          <w:rFonts w:ascii="Century" w:hAnsi="Century" w:cs="Miriam" w:hint="cs"/>
          <w:b/>
          <w:spacing w:val="0"/>
          <w:sz w:val="22"/>
          <w:szCs w:val="24"/>
          <w:rtl/>
        </w:rPr>
        <w:t>גישת הרוב</w:t>
      </w:r>
      <w:r w:rsidRPr="00936A8D">
        <w:rPr>
          <w:rFonts w:hint="cs"/>
          <w:rtl/>
        </w:rPr>
        <w:t xml:space="preserve"> או </w:t>
      </w:r>
      <w:r w:rsidRPr="00936A8D">
        <w:rPr>
          <w:rFonts w:ascii="Century" w:hAnsi="Century" w:cs="Miriam" w:hint="cs"/>
          <w:b/>
          <w:spacing w:val="0"/>
          <w:sz w:val="22"/>
          <w:szCs w:val="24"/>
          <w:rtl/>
        </w:rPr>
        <w:t>נוסחת דפי זהב</w:t>
      </w:r>
      <w:r w:rsidRPr="00936A8D">
        <w:rPr>
          <w:rFonts w:hint="cs"/>
          <w:rtl/>
        </w:rPr>
        <w:t>, בהתאמה לשמו של פסק הדין מפיו של השופט</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ברק</w:t>
      </w:r>
      <w:r w:rsidRPr="00936A8D">
        <w:rPr>
          <w:rtl/>
        </w:rPr>
        <w:t xml:space="preserve">, </w:t>
      </w:r>
      <w:r w:rsidRPr="00936A8D">
        <w:rPr>
          <w:rFonts w:hint="eastAsia"/>
          <w:rtl/>
        </w:rPr>
        <w:t>שייסד</w:t>
      </w:r>
      <w:r w:rsidRPr="00936A8D">
        <w:rPr>
          <w:rtl/>
        </w:rPr>
        <w:t xml:space="preserve"> </w:t>
      </w:r>
      <w:r w:rsidRPr="00936A8D">
        <w:rPr>
          <w:rFonts w:hint="eastAsia"/>
          <w:rtl/>
        </w:rPr>
        <w:t>גישה</w:t>
      </w:r>
      <w:r w:rsidRPr="00936A8D">
        <w:rPr>
          <w:rtl/>
        </w:rPr>
        <w:t xml:space="preserve"> </w:t>
      </w:r>
      <w:r w:rsidRPr="00936A8D">
        <w:rPr>
          <w:rFonts w:hint="eastAsia"/>
          <w:rtl/>
        </w:rPr>
        <w:t>זו</w:t>
      </w:r>
      <w:r>
        <w:rPr>
          <w:rFonts w:hint="cs"/>
          <w:rtl/>
        </w:rPr>
        <w:t xml:space="preserve"> (ראו: </w:t>
      </w:r>
      <w:r w:rsidRPr="00936A8D">
        <w:rPr>
          <w:rFonts w:hint="eastAsia"/>
          <w:rtl/>
        </w:rPr>
        <w:t>בג</w:t>
      </w:r>
      <w:r w:rsidRPr="00936A8D">
        <w:rPr>
          <w:rtl/>
        </w:rPr>
        <w:t>"</w:t>
      </w:r>
      <w:r w:rsidRPr="00936A8D">
        <w:rPr>
          <w:rFonts w:hint="eastAsia"/>
          <w:rtl/>
        </w:rPr>
        <w:t>ץ</w:t>
      </w:r>
      <w:r w:rsidRPr="00936A8D">
        <w:rPr>
          <w:rtl/>
        </w:rPr>
        <w:t xml:space="preserve"> 389/80 </w:t>
      </w:r>
      <w:r w:rsidRPr="00936A8D">
        <w:rPr>
          <w:rFonts w:ascii="Century" w:hAnsi="Century" w:cs="Miriam" w:hint="eastAsia"/>
          <w:b/>
          <w:spacing w:val="0"/>
          <w:sz w:val="22"/>
          <w:szCs w:val="24"/>
          <w:rtl/>
        </w:rPr>
        <w:t>דפי</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זהב</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בע</w:t>
      </w:r>
      <w:r w:rsidRPr="00936A8D">
        <w:rPr>
          <w:rFonts w:ascii="Century" w:hAnsi="Century" w:cs="Miriam"/>
          <w:b/>
          <w:spacing w:val="0"/>
          <w:sz w:val="22"/>
          <w:szCs w:val="24"/>
          <w:rtl/>
        </w:rPr>
        <w:t>"</w:t>
      </w:r>
      <w:r w:rsidRPr="00936A8D">
        <w:rPr>
          <w:rFonts w:ascii="Century" w:hAnsi="Century" w:cs="Miriam" w:hint="eastAsia"/>
          <w:b/>
          <w:spacing w:val="0"/>
          <w:sz w:val="22"/>
          <w:szCs w:val="24"/>
          <w:rtl/>
        </w:rPr>
        <w:t>מ</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נ</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רשות</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השידור</w:t>
      </w:r>
      <w:r w:rsidRPr="00936A8D">
        <w:rPr>
          <w:rtl/>
        </w:rPr>
        <w:t xml:space="preserve">, </w:t>
      </w:r>
      <w:r w:rsidRPr="00936A8D">
        <w:rPr>
          <w:rFonts w:hint="eastAsia"/>
          <w:rtl/>
        </w:rPr>
        <w:t>פ</w:t>
      </w:r>
      <w:r w:rsidRPr="00936A8D">
        <w:rPr>
          <w:rtl/>
        </w:rPr>
        <w:t>"</w:t>
      </w:r>
      <w:r w:rsidRPr="00936A8D">
        <w:rPr>
          <w:rFonts w:hint="eastAsia"/>
          <w:rtl/>
        </w:rPr>
        <w:t>ד</w:t>
      </w:r>
      <w:r w:rsidRPr="00936A8D">
        <w:rPr>
          <w:rtl/>
        </w:rPr>
        <w:t xml:space="preserve"> </w:t>
      </w:r>
      <w:r w:rsidRPr="00936A8D">
        <w:rPr>
          <w:rFonts w:hint="eastAsia"/>
          <w:rtl/>
        </w:rPr>
        <w:t>לה</w:t>
      </w:r>
      <w:r w:rsidRPr="00936A8D">
        <w:rPr>
          <w:rtl/>
        </w:rPr>
        <w:t xml:space="preserve">(1) 421, </w:t>
      </w:r>
      <w:r w:rsidRPr="00936A8D">
        <w:rPr>
          <w:rFonts w:ascii="FrankRuehl" w:hAnsi="FrankRuehl"/>
          <w:color w:val="000000"/>
          <w:sz w:val="28"/>
          <w:rtl/>
        </w:rPr>
        <w:t>447-439</w:t>
      </w:r>
      <w:r w:rsidRPr="00936A8D">
        <w:rPr>
          <w:rtl/>
        </w:rPr>
        <w:t xml:space="preserve"> (1980)</w:t>
      </w:r>
      <w:r>
        <w:rPr>
          <w:rFonts w:hint="cs"/>
          <w:rtl/>
        </w:rPr>
        <w:t>)</w:t>
      </w:r>
      <w:r w:rsidRPr="00936A8D">
        <w:rPr>
          <w:rtl/>
        </w:rPr>
        <w:t xml:space="preserve">. </w:t>
      </w:r>
      <w:r w:rsidRPr="00936A8D">
        <w:rPr>
          <w:rFonts w:hint="eastAsia"/>
          <w:rtl/>
        </w:rPr>
        <w:t>לפי</w:t>
      </w:r>
      <w:r w:rsidRPr="00936A8D">
        <w:rPr>
          <w:rtl/>
        </w:rPr>
        <w:t xml:space="preserve"> </w:t>
      </w:r>
      <w:r w:rsidRPr="00936A8D">
        <w:rPr>
          <w:rFonts w:hint="eastAsia"/>
          <w:rtl/>
        </w:rPr>
        <w:t>גישת</w:t>
      </w:r>
      <w:r w:rsidRPr="00936A8D">
        <w:rPr>
          <w:rtl/>
        </w:rPr>
        <w:t xml:space="preserve"> </w:t>
      </w:r>
      <w:r w:rsidRPr="00936A8D">
        <w:rPr>
          <w:rFonts w:hint="eastAsia"/>
          <w:rtl/>
        </w:rPr>
        <w:t>הרוב</w:t>
      </w:r>
      <w:r w:rsidRPr="00936A8D">
        <w:rPr>
          <w:rtl/>
        </w:rPr>
        <w:t xml:space="preserve">, </w:t>
      </w:r>
      <w:r w:rsidRPr="00936A8D">
        <w:rPr>
          <w:rFonts w:hint="eastAsia"/>
          <w:rtl/>
        </w:rPr>
        <w:t>אי</w:t>
      </w:r>
      <w:r w:rsidRPr="00936A8D">
        <w:rPr>
          <w:rtl/>
        </w:rPr>
        <w:t>-</w:t>
      </w:r>
      <w:r w:rsidRPr="00936A8D">
        <w:rPr>
          <w:rFonts w:hint="eastAsia"/>
          <w:rtl/>
        </w:rPr>
        <w:t>סבירות</w:t>
      </w:r>
      <w:r w:rsidRPr="00936A8D">
        <w:rPr>
          <w:rtl/>
        </w:rPr>
        <w:t xml:space="preserve"> </w:t>
      </w:r>
      <w:r w:rsidRPr="00936A8D">
        <w:rPr>
          <w:rFonts w:hint="eastAsia"/>
          <w:rtl/>
        </w:rPr>
        <w:t>קיצונית</w:t>
      </w:r>
      <w:r w:rsidRPr="00936A8D">
        <w:rPr>
          <w:rtl/>
        </w:rPr>
        <w:t xml:space="preserve"> </w:t>
      </w:r>
      <w:r w:rsidRPr="00936A8D">
        <w:rPr>
          <w:rFonts w:hint="eastAsia"/>
          <w:rtl/>
        </w:rPr>
        <w:t>מהווה</w:t>
      </w:r>
      <w:r w:rsidRPr="00936A8D">
        <w:rPr>
          <w:rtl/>
        </w:rPr>
        <w:t xml:space="preserve"> </w:t>
      </w:r>
      <w:r w:rsidRPr="00936A8D">
        <w:rPr>
          <w:rFonts w:hint="eastAsia"/>
          <w:rtl/>
        </w:rPr>
        <w:t>עילה</w:t>
      </w:r>
      <w:r w:rsidRPr="00936A8D">
        <w:rPr>
          <w:rtl/>
        </w:rPr>
        <w:t xml:space="preserve"> </w:t>
      </w:r>
      <w:r w:rsidRPr="00936A8D">
        <w:rPr>
          <w:rFonts w:hint="eastAsia"/>
          <w:rtl/>
        </w:rPr>
        <w:t>עצמאית</w:t>
      </w:r>
      <w:r w:rsidRPr="00936A8D">
        <w:rPr>
          <w:rtl/>
        </w:rPr>
        <w:t xml:space="preserve"> </w:t>
      </w:r>
      <w:r w:rsidRPr="00936A8D">
        <w:rPr>
          <w:rFonts w:hint="eastAsia"/>
          <w:rtl/>
        </w:rPr>
        <w:t>להתערבותו</w:t>
      </w:r>
      <w:r w:rsidRPr="00936A8D">
        <w:rPr>
          <w:rtl/>
        </w:rPr>
        <w:t xml:space="preserve"> </w:t>
      </w:r>
      <w:r w:rsidRPr="00936A8D">
        <w:rPr>
          <w:rFonts w:hint="eastAsia"/>
          <w:rtl/>
        </w:rPr>
        <w:t>של</w:t>
      </w:r>
      <w:r w:rsidRPr="00936A8D">
        <w:rPr>
          <w:rtl/>
        </w:rPr>
        <w:t xml:space="preserve"> </w:t>
      </w:r>
      <w:r w:rsidRPr="00936A8D">
        <w:rPr>
          <w:rFonts w:hint="eastAsia"/>
          <w:rtl/>
        </w:rPr>
        <w:t>בית</w:t>
      </w:r>
      <w:r w:rsidRPr="00936A8D">
        <w:rPr>
          <w:rtl/>
        </w:rPr>
        <w:t xml:space="preserve"> </w:t>
      </w:r>
      <w:r w:rsidRPr="00936A8D">
        <w:rPr>
          <w:rFonts w:hint="eastAsia"/>
          <w:rtl/>
        </w:rPr>
        <w:t>המשפט</w:t>
      </w:r>
      <w:r w:rsidRPr="00936A8D">
        <w:rPr>
          <w:rtl/>
        </w:rPr>
        <w:t xml:space="preserve"> </w:t>
      </w:r>
      <w:r w:rsidRPr="00936A8D">
        <w:rPr>
          <w:rFonts w:hint="eastAsia"/>
          <w:rtl/>
        </w:rPr>
        <w:t>בהחלטת</w:t>
      </w:r>
      <w:r w:rsidRPr="00936A8D">
        <w:rPr>
          <w:rtl/>
        </w:rPr>
        <w:t xml:space="preserve"> </w:t>
      </w:r>
      <w:r w:rsidRPr="00936A8D">
        <w:rPr>
          <w:rFonts w:hint="eastAsia"/>
          <w:rtl/>
        </w:rPr>
        <w:t>הרשות</w:t>
      </w:r>
      <w:r w:rsidRPr="00936A8D">
        <w:rPr>
          <w:rtl/>
        </w:rPr>
        <w:t xml:space="preserve"> </w:t>
      </w:r>
      <w:r w:rsidRPr="00936A8D">
        <w:rPr>
          <w:rFonts w:hint="eastAsia"/>
          <w:rtl/>
        </w:rPr>
        <w:t>ולפסילת</w:t>
      </w:r>
      <w:r>
        <w:rPr>
          <w:rFonts w:hint="cs"/>
          <w:rtl/>
        </w:rPr>
        <w:t>ה.</w:t>
      </w:r>
      <w:r w:rsidRPr="00936A8D">
        <w:rPr>
          <w:rtl/>
        </w:rPr>
        <w:t xml:space="preserve"> </w:t>
      </w:r>
      <w:r w:rsidRPr="00936A8D">
        <w:rPr>
          <w:rFonts w:hint="eastAsia"/>
          <w:rtl/>
        </w:rPr>
        <w:t>אימתי</w:t>
      </w:r>
      <w:r w:rsidRPr="00936A8D">
        <w:rPr>
          <w:rtl/>
        </w:rPr>
        <w:t xml:space="preserve"> </w:t>
      </w:r>
      <w:r w:rsidRPr="00936A8D">
        <w:rPr>
          <w:rFonts w:hint="eastAsia"/>
          <w:rtl/>
        </w:rPr>
        <w:t>תיחשב</w:t>
      </w:r>
      <w:r w:rsidRPr="00936A8D">
        <w:rPr>
          <w:rtl/>
        </w:rPr>
        <w:t xml:space="preserve"> </w:t>
      </w:r>
      <w:r w:rsidRPr="00936A8D">
        <w:rPr>
          <w:rFonts w:hint="eastAsia"/>
          <w:rtl/>
        </w:rPr>
        <w:t>ההחלטה</w:t>
      </w:r>
      <w:r w:rsidRPr="00936A8D">
        <w:rPr>
          <w:rtl/>
        </w:rPr>
        <w:t xml:space="preserve"> </w:t>
      </w:r>
      <w:r w:rsidRPr="00936A8D">
        <w:rPr>
          <w:rFonts w:hint="eastAsia"/>
          <w:rtl/>
        </w:rPr>
        <w:t>בלתי</w:t>
      </w:r>
      <w:r w:rsidRPr="00936A8D">
        <w:rPr>
          <w:rtl/>
        </w:rPr>
        <w:t xml:space="preserve"> </w:t>
      </w:r>
      <w:r w:rsidRPr="00936A8D">
        <w:rPr>
          <w:rFonts w:hint="eastAsia"/>
          <w:rtl/>
        </w:rPr>
        <w:t>סבירה</w:t>
      </w:r>
      <w:r w:rsidRPr="00936A8D">
        <w:rPr>
          <w:rtl/>
        </w:rPr>
        <w:t xml:space="preserve"> "</w:t>
      </w:r>
      <w:r w:rsidRPr="00936A8D">
        <w:rPr>
          <w:rFonts w:hint="eastAsia"/>
          <w:rtl/>
        </w:rPr>
        <w:t>במידה</w:t>
      </w:r>
      <w:r w:rsidRPr="00936A8D">
        <w:rPr>
          <w:rtl/>
        </w:rPr>
        <w:t xml:space="preserve"> </w:t>
      </w:r>
      <w:r w:rsidRPr="00936A8D">
        <w:rPr>
          <w:rFonts w:hint="eastAsia"/>
          <w:rtl/>
        </w:rPr>
        <w:t>קיצונית</w:t>
      </w:r>
      <w:r w:rsidRPr="00936A8D">
        <w:rPr>
          <w:rtl/>
        </w:rPr>
        <w:t xml:space="preserve">"? </w:t>
      </w:r>
      <w:r w:rsidRPr="00936A8D">
        <w:rPr>
          <w:rFonts w:hint="eastAsia"/>
          <w:rtl/>
        </w:rPr>
        <w:t>לפי</w:t>
      </w:r>
      <w:r w:rsidRPr="00936A8D">
        <w:rPr>
          <w:rtl/>
        </w:rPr>
        <w:t xml:space="preserve"> </w:t>
      </w:r>
      <w:r w:rsidRPr="00936A8D">
        <w:rPr>
          <w:rFonts w:hint="eastAsia"/>
          <w:rtl/>
        </w:rPr>
        <w:t>גישת</w:t>
      </w:r>
      <w:r w:rsidRPr="00936A8D">
        <w:rPr>
          <w:rtl/>
        </w:rPr>
        <w:t xml:space="preserve"> </w:t>
      </w:r>
      <w:r w:rsidRPr="00936A8D">
        <w:rPr>
          <w:rFonts w:hint="eastAsia"/>
          <w:rtl/>
        </w:rPr>
        <w:t>הרוב</w:t>
      </w:r>
      <w:r w:rsidRPr="00936A8D">
        <w:rPr>
          <w:rtl/>
        </w:rPr>
        <w:t xml:space="preserve">, </w:t>
      </w:r>
      <w:r w:rsidRPr="00936A8D">
        <w:rPr>
          <w:rFonts w:hint="eastAsia"/>
          <w:rtl/>
        </w:rPr>
        <w:t>לתוצאה</w:t>
      </w:r>
      <w:r w:rsidRPr="00936A8D">
        <w:rPr>
          <w:rtl/>
        </w:rPr>
        <w:t xml:space="preserve"> </w:t>
      </w:r>
      <w:r w:rsidRPr="00936A8D">
        <w:rPr>
          <w:rFonts w:hint="eastAsia"/>
          <w:rtl/>
        </w:rPr>
        <w:t>זו</w:t>
      </w:r>
      <w:r w:rsidRPr="00936A8D">
        <w:rPr>
          <w:rtl/>
        </w:rPr>
        <w:t xml:space="preserve"> </w:t>
      </w:r>
      <w:r w:rsidRPr="00936A8D">
        <w:rPr>
          <w:rFonts w:hint="eastAsia"/>
          <w:rtl/>
        </w:rPr>
        <w:t>אפשר</w:t>
      </w:r>
      <w:r w:rsidRPr="00936A8D">
        <w:rPr>
          <w:rtl/>
        </w:rPr>
        <w:t xml:space="preserve"> </w:t>
      </w:r>
      <w:r w:rsidRPr="00936A8D">
        <w:rPr>
          <w:rFonts w:hint="eastAsia"/>
          <w:rtl/>
        </w:rPr>
        <w:t>שנגיע</w:t>
      </w:r>
      <w:r w:rsidRPr="00936A8D">
        <w:rPr>
          <w:rtl/>
        </w:rPr>
        <w:t xml:space="preserve"> </w:t>
      </w:r>
      <w:r w:rsidRPr="00936A8D">
        <w:rPr>
          <w:rFonts w:hint="eastAsia"/>
          <w:rtl/>
        </w:rPr>
        <w:t>גם</w:t>
      </w:r>
      <w:r w:rsidRPr="00936A8D">
        <w:rPr>
          <w:rtl/>
        </w:rPr>
        <w:t xml:space="preserve"> </w:t>
      </w:r>
      <w:r w:rsidRPr="00936A8D">
        <w:rPr>
          <w:rFonts w:hint="eastAsia"/>
          <w:rtl/>
        </w:rPr>
        <w:t>כאשר</w:t>
      </w:r>
      <w:r w:rsidRPr="00936A8D">
        <w:rPr>
          <w:rtl/>
        </w:rPr>
        <w:t xml:space="preserve"> </w:t>
      </w:r>
      <w:r w:rsidRPr="00936A8D">
        <w:rPr>
          <w:rFonts w:hint="eastAsia"/>
          <w:rtl/>
        </w:rPr>
        <w:t>הרשות</w:t>
      </w:r>
      <w:r w:rsidRPr="00936A8D">
        <w:rPr>
          <w:rtl/>
        </w:rPr>
        <w:t xml:space="preserve"> </w:t>
      </w:r>
      <w:r w:rsidRPr="00936A8D">
        <w:rPr>
          <w:rFonts w:hint="eastAsia"/>
          <w:rtl/>
        </w:rPr>
        <w:t>פועלת</w:t>
      </w:r>
      <w:r w:rsidRPr="00936A8D">
        <w:rPr>
          <w:rtl/>
        </w:rPr>
        <w:t xml:space="preserve"> </w:t>
      </w:r>
      <w:r w:rsidRPr="00936A8D">
        <w:rPr>
          <w:rFonts w:hint="eastAsia"/>
          <w:rtl/>
        </w:rPr>
        <w:t>בהתאם</w:t>
      </w:r>
      <w:r w:rsidRPr="00936A8D">
        <w:rPr>
          <w:rtl/>
        </w:rPr>
        <w:t xml:space="preserve"> </w:t>
      </w:r>
      <w:r w:rsidRPr="00936A8D">
        <w:rPr>
          <w:rFonts w:hint="eastAsia"/>
          <w:rtl/>
        </w:rPr>
        <w:t>לכללי</w:t>
      </w:r>
      <w:r w:rsidRPr="00936A8D">
        <w:rPr>
          <w:rtl/>
        </w:rPr>
        <w:t xml:space="preserve"> </w:t>
      </w:r>
      <w:r w:rsidRPr="00936A8D">
        <w:rPr>
          <w:rFonts w:hint="eastAsia"/>
          <w:rtl/>
        </w:rPr>
        <w:t>הצדק</w:t>
      </w:r>
      <w:r w:rsidRPr="00936A8D">
        <w:rPr>
          <w:rtl/>
        </w:rPr>
        <w:t xml:space="preserve"> </w:t>
      </w:r>
      <w:r w:rsidRPr="00936A8D">
        <w:rPr>
          <w:rFonts w:hint="eastAsia"/>
          <w:rtl/>
        </w:rPr>
        <w:t>הטבעי</w:t>
      </w:r>
      <w:r w:rsidRPr="00936A8D">
        <w:rPr>
          <w:rtl/>
        </w:rPr>
        <w:t xml:space="preserve">, </w:t>
      </w:r>
      <w:r w:rsidRPr="00936A8D">
        <w:rPr>
          <w:rFonts w:hint="eastAsia"/>
          <w:rtl/>
        </w:rPr>
        <w:t>בתום</w:t>
      </w:r>
      <w:r w:rsidRPr="00936A8D">
        <w:rPr>
          <w:rtl/>
        </w:rPr>
        <w:t xml:space="preserve"> </w:t>
      </w:r>
      <w:r w:rsidRPr="00936A8D">
        <w:rPr>
          <w:rFonts w:hint="eastAsia"/>
          <w:rtl/>
        </w:rPr>
        <w:t>לב</w:t>
      </w:r>
      <w:r w:rsidRPr="00936A8D">
        <w:rPr>
          <w:rtl/>
        </w:rPr>
        <w:t xml:space="preserve"> </w:t>
      </w:r>
      <w:r w:rsidRPr="00936A8D">
        <w:rPr>
          <w:rFonts w:hint="eastAsia"/>
          <w:rtl/>
        </w:rPr>
        <w:t>וללא</w:t>
      </w:r>
      <w:r w:rsidRPr="00936A8D">
        <w:rPr>
          <w:rtl/>
        </w:rPr>
        <w:t xml:space="preserve"> </w:t>
      </w:r>
      <w:r w:rsidRPr="00936A8D">
        <w:rPr>
          <w:rFonts w:hint="eastAsia"/>
          <w:rtl/>
        </w:rPr>
        <w:t>אבק</w:t>
      </w:r>
      <w:r w:rsidRPr="00936A8D">
        <w:rPr>
          <w:rtl/>
        </w:rPr>
        <w:t xml:space="preserve"> </w:t>
      </w:r>
      <w:r w:rsidRPr="00936A8D">
        <w:rPr>
          <w:rFonts w:hint="eastAsia"/>
          <w:rtl/>
        </w:rPr>
        <w:t>של</w:t>
      </w:r>
      <w:r w:rsidRPr="00936A8D">
        <w:rPr>
          <w:rtl/>
        </w:rPr>
        <w:t xml:space="preserve"> </w:t>
      </w:r>
      <w:r w:rsidRPr="00936A8D">
        <w:rPr>
          <w:rFonts w:hint="eastAsia"/>
          <w:rtl/>
        </w:rPr>
        <w:t>שרירות</w:t>
      </w:r>
      <w:r w:rsidRPr="00936A8D">
        <w:rPr>
          <w:rtl/>
        </w:rPr>
        <w:t xml:space="preserve">, </w:t>
      </w:r>
      <w:r w:rsidRPr="00936A8D">
        <w:rPr>
          <w:rFonts w:hint="eastAsia"/>
          <w:rtl/>
        </w:rPr>
        <w:t>שוקלת</w:t>
      </w:r>
      <w:r w:rsidRPr="00936A8D">
        <w:rPr>
          <w:rtl/>
        </w:rPr>
        <w:t xml:space="preserve"> </w:t>
      </w:r>
      <w:r w:rsidRPr="00936A8D">
        <w:rPr>
          <w:rFonts w:hint="eastAsia"/>
          <w:rtl/>
        </w:rPr>
        <w:t>את</w:t>
      </w:r>
      <w:r w:rsidRPr="00936A8D">
        <w:rPr>
          <w:rtl/>
        </w:rPr>
        <w:t xml:space="preserve"> </w:t>
      </w:r>
      <w:r w:rsidRPr="00936A8D">
        <w:rPr>
          <w:rFonts w:hint="eastAsia"/>
          <w:rtl/>
        </w:rPr>
        <w:t>כל</w:t>
      </w:r>
      <w:r w:rsidRPr="00936A8D">
        <w:rPr>
          <w:rtl/>
        </w:rPr>
        <w:t xml:space="preserve"> </w:t>
      </w:r>
      <w:r w:rsidRPr="00936A8D">
        <w:rPr>
          <w:rFonts w:hint="eastAsia"/>
          <w:rtl/>
        </w:rPr>
        <w:t>השיקולים</w:t>
      </w:r>
      <w:r w:rsidRPr="00936A8D">
        <w:rPr>
          <w:rtl/>
        </w:rPr>
        <w:t xml:space="preserve"> </w:t>
      </w:r>
      <w:r w:rsidRPr="00936A8D">
        <w:rPr>
          <w:rFonts w:hint="eastAsia"/>
          <w:rtl/>
        </w:rPr>
        <w:t>שממין</w:t>
      </w:r>
      <w:r w:rsidRPr="00936A8D">
        <w:rPr>
          <w:rtl/>
        </w:rPr>
        <w:t xml:space="preserve"> </w:t>
      </w:r>
      <w:r w:rsidRPr="00936A8D">
        <w:rPr>
          <w:rFonts w:hint="eastAsia"/>
          <w:rtl/>
        </w:rPr>
        <w:t>העניין</w:t>
      </w:r>
      <w:r>
        <w:rPr>
          <w:rFonts w:hint="cs"/>
          <w:rtl/>
        </w:rPr>
        <w:t xml:space="preserve"> </w:t>
      </w:r>
      <w:r>
        <w:rPr>
          <w:rtl/>
        </w:rPr>
        <w:t>–</w:t>
      </w:r>
      <w:r>
        <w:rPr>
          <w:rFonts w:hint="cs"/>
          <w:rtl/>
        </w:rPr>
        <w:t xml:space="preserve"> </w:t>
      </w:r>
      <w:r w:rsidRPr="00936A8D">
        <w:rPr>
          <w:rFonts w:hint="eastAsia"/>
          <w:rtl/>
        </w:rPr>
        <w:t>ורק</w:t>
      </w:r>
      <w:r w:rsidRPr="00936A8D">
        <w:rPr>
          <w:rtl/>
        </w:rPr>
        <w:t xml:space="preserve"> </w:t>
      </w:r>
      <w:r w:rsidRPr="00936A8D">
        <w:rPr>
          <w:rFonts w:hint="eastAsia"/>
          <w:rtl/>
        </w:rPr>
        <w:t>אותם</w:t>
      </w:r>
      <w:r w:rsidRPr="00936A8D">
        <w:rPr>
          <w:rtl/>
        </w:rPr>
        <w:t xml:space="preserve">, </w:t>
      </w:r>
      <w:r w:rsidRPr="00936A8D">
        <w:rPr>
          <w:rFonts w:hint="eastAsia"/>
          <w:rtl/>
        </w:rPr>
        <w:t>ואינה</w:t>
      </w:r>
      <w:r w:rsidRPr="00936A8D">
        <w:rPr>
          <w:rtl/>
        </w:rPr>
        <w:t xml:space="preserve"> </w:t>
      </w:r>
      <w:r w:rsidRPr="00936A8D">
        <w:rPr>
          <w:rFonts w:hint="eastAsia"/>
          <w:rtl/>
        </w:rPr>
        <w:t>מפלה</w:t>
      </w:r>
      <w:r w:rsidRPr="00936A8D">
        <w:rPr>
          <w:rtl/>
        </w:rPr>
        <w:t xml:space="preserve"> </w:t>
      </w:r>
      <w:r w:rsidRPr="00936A8D">
        <w:rPr>
          <w:rFonts w:hint="eastAsia"/>
          <w:rtl/>
        </w:rPr>
        <w:t>איש</w:t>
      </w:r>
      <w:r w:rsidRPr="00936A8D">
        <w:rPr>
          <w:rtl/>
        </w:rPr>
        <w:t xml:space="preserve"> </w:t>
      </w:r>
      <w:r w:rsidRPr="00936A8D">
        <w:rPr>
          <w:rFonts w:hint="eastAsia"/>
          <w:rtl/>
        </w:rPr>
        <w:t>לרעה</w:t>
      </w:r>
      <w:r w:rsidRPr="00936A8D">
        <w:rPr>
          <w:rtl/>
        </w:rPr>
        <w:t xml:space="preserve"> </w:t>
      </w:r>
      <w:r w:rsidRPr="00936A8D">
        <w:rPr>
          <w:rFonts w:hint="eastAsia"/>
          <w:rtl/>
        </w:rPr>
        <w:t>או</w:t>
      </w:r>
      <w:r w:rsidRPr="00936A8D">
        <w:rPr>
          <w:rtl/>
        </w:rPr>
        <w:t xml:space="preserve"> </w:t>
      </w:r>
      <w:r w:rsidRPr="00936A8D">
        <w:rPr>
          <w:rFonts w:hint="eastAsia"/>
          <w:rtl/>
        </w:rPr>
        <w:t>לטובה</w:t>
      </w:r>
      <w:r w:rsidRPr="00936A8D">
        <w:rPr>
          <w:rtl/>
        </w:rPr>
        <w:t xml:space="preserve">. </w:t>
      </w:r>
      <w:r w:rsidRPr="00936A8D">
        <w:rPr>
          <w:rFonts w:hint="eastAsia"/>
          <w:rtl/>
        </w:rPr>
        <w:t>אם</w:t>
      </w:r>
      <w:r w:rsidRPr="00936A8D">
        <w:rPr>
          <w:rtl/>
        </w:rPr>
        <w:t xml:space="preserve"> </w:t>
      </w:r>
      <w:r w:rsidRPr="00936A8D">
        <w:rPr>
          <w:rFonts w:hint="eastAsia"/>
          <w:rtl/>
        </w:rPr>
        <w:t>הרשות</w:t>
      </w:r>
      <w:r w:rsidRPr="00936A8D">
        <w:rPr>
          <w:rtl/>
        </w:rPr>
        <w:t xml:space="preserve"> </w:t>
      </w:r>
      <w:r w:rsidRPr="00936A8D">
        <w:rPr>
          <w:rFonts w:hint="eastAsia"/>
          <w:rtl/>
        </w:rPr>
        <w:t>נתנה</w:t>
      </w:r>
      <w:r w:rsidRPr="00936A8D">
        <w:rPr>
          <w:rtl/>
        </w:rPr>
        <w:t xml:space="preserve"> </w:t>
      </w:r>
      <w:r w:rsidRPr="00936A8D">
        <w:rPr>
          <w:rFonts w:hint="eastAsia"/>
          <w:rtl/>
        </w:rPr>
        <w:t>לאחד</w:t>
      </w:r>
      <w:r w:rsidRPr="00936A8D">
        <w:rPr>
          <w:rtl/>
        </w:rPr>
        <w:t xml:space="preserve"> </w:t>
      </w:r>
      <w:r w:rsidRPr="00936A8D">
        <w:rPr>
          <w:rFonts w:hint="eastAsia"/>
          <w:rtl/>
        </w:rPr>
        <w:t>השיקולים</w:t>
      </w:r>
      <w:r w:rsidRPr="00936A8D">
        <w:rPr>
          <w:rtl/>
        </w:rPr>
        <w:t xml:space="preserve"> </w:t>
      </w:r>
      <w:r w:rsidRPr="00936A8D">
        <w:rPr>
          <w:rFonts w:hint="eastAsia"/>
          <w:rtl/>
        </w:rPr>
        <w:t>ששקלה</w:t>
      </w:r>
      <w:r w:rsidRPr="00936A8D">
        <w:rPr>
          <w:rtl/>
        </w:rPr>
        <w:t xml:space="preserve"> </w:t>
      </w:r>
      <w:r w:rsidRPr="00936A8D">
        <w:rPr>
          <w:rFonts w:ascii="Century" w:hAnsi="Century" w:cs="Miriam" w:hint="eastAsia"/>
          <w:b/>
          <w:spacing w:val="0"/>
          <w:sz w:val="22"/>
          <w:szCs w:val="24"/>
          <w:rtl/>
        </w:rPr>
        <w:t>משקל</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שסוטה</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באופן</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קיצוני</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מהמשקל</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הראוי</w:t>
      </w:r>
      <w:r w:rsidRPr="00936A8D">
        <w:rPr>
          <w:rtl/>
        </w:rPr>
        <w:t xml:space="preserve">, </w:t>
      </w:r>
      <w:r w:rsidRPr="00936A8D">
        <w:rPr>
          <w:rFonts w:hint="eastAsia"/>
          <w:rtl/>
        </w:rPr>
        <w:t>למעלה</w:t>
      </w:r>
      <w:r w:rsidRPr="00936A8D">
        <w:rPr>
          <w:rtl/>
        </w:rPr>
        <w:t xml:space="preserve"> </w:t>
      </w:r>
      <w:r w:rsidRPr="00936A8D">
        <w:rPr>
          <w:rFonts w:hint="eastAsia"/>
          <w:rtl/>
        </w:rPr>
        <w:t>או</w:t>
      </w:r>
      <w:r w:rsidRPr="00936A8D">
        <w:rPr>
          <w:rtl/>
        </w:rPr>
        <w:t xml:space="preserve"> </w:t>
      </w:r>
      <w:r w:rsidRPr="00936A8D">
        <w:rPr>
          <w:rFonts w:hint="eastAsia"/>
          <w:rtl/>
        </w:rPr>
        <w:t>למטה</w:t>
      </w:r>
      <w:r w:rsidRPr="00936A8D">
        <w:rPr>
          <w:rtl/>
        </w:rPr>
        <w:t xml:space="preserve">, </w:t>
      </w:r>
      <w:r w:rsidRPr="00936A8D">
        <w:rPr>
          <w:rFonts w:hint="eastAsia"/>
          <w:rtl/>
        </w:rPr>
        <w:t>בפנינו</w:t>
      </w:r>
      <w:r w:rsidRPr="00936A8D">
        <w:rPr>
          <w:rtl/>
        </w:rPr>
        <w:t xml:space="preserve"> </w:t>
      </w:r>
      <w:r w:rsidRPr="00936A8D">
        <w:rPr>
          <w:rFonts w:hint="eastAsia"/>
          <w:rtl/>
        </w:rPr>
        <w:t>החלטה</w:t>
      </w:r>
      <w:r w:rsidRPr="00936A8D">
        <w:rPr>
          <w:rtl/>
        </w:rPr>
        <w:t xml:space="preserve"> </w:t>
      </w:r>
      <w:r w:rsidRPr="00936A8D">
        <w:rPr>
          <w:rFonts w:hint="eastAsia"/>
          <w:rtl/>
        </w:rPr>
        <w:t>שנפגמה</w:t>
      </w:r>
      <w:r w:rsidRPr="00936A8D">
        <w:rPr>
          <w:rtl/>
        </w:rPr>
        <w:t xml:space="preserve"> </w:t>
      </w:r>
      <w:r w:rsidRPr="00936A8D">
        <w:rPr>
          <w:rFonts w:hint="eastAsia"/>
          <w:rtl/>
        </w:rPr>
        <w:t>בחוסר</w:t>
      </w:r>
      <w:r w:rsidRPr="00936A8D">
        <w:rPr>
          <w:rtl/>
        </w:rPr>
        <w:t xml:space="preserve"> </w:t>
      </w:r>
      <w:r w:rsidRPr="00936A8D">
        <w:rPr>
          <w:rFonts w:hint="eastAsia"/>
          <w:rtl/>
        </w:rPr>
        <w:t>סבירות</w:t>
      </w:r>
      <w:r w:rsidRPr="00936A8D">
        <w:rPr>
          <w:rtl/>
        </w:rPr>
        <w:t xml:space="preserve"> </w:t>
      </w:r>
      <w:r w:rsidRPr="00936A8D">
        <w:rPr>
          <w:rFonts w:hint="eastAsia"/>
          <w:rtl/>
        </w:rPr>
        <w:t>קיצוני</w:t>
      </w:r>
      <w:r w:rsidRPr="00936A8D">
        <w:rPr>
          <w:rtl/>
        </w:rPr>
        <w:t xml:space="preserve"> </w:t>
      </w:r>
      <w:r w:rsidRPr="00936A8D">
        <w:rPr>
          <w:rFonts w:hint="eastAsia"/>
          <w:rtl/>
        </w:rPr>
        <w:t>אשר</w:t>
      </w:r>
      <w:r w:rsidRPr="00936A8D">
        <w:rPr>
          <w:rtl/>
        </w:rPr>
        <w:t xml:space="preserve"> </w:t>
      </w:r>
      <w:r w:rsidRPr="00936A8D">
        <w:rPr>
          <w:rFonts w:hint="eastAsia"/>
          <w:rtl/>
        </w:rPr>
        <w:t>יורד</w:t>
      </w:r>
      <w:r w:rsidRPr="00936A8D">
        <w:rPr>
          <w:rtl/>
        </w:rPr>
        <w:t xml:space="preserve"> </w:t>
      </w:r>
      <w:r w:rsidRPr="00936A8D">
        <w:rPr>
          <w:rFonts w:hint="eastAsia"/>
          <w:rtl/>
        </w:rPr>
        <w:t>לשורש</w:t>
      </w:r>
      <w:r w:rsidRPr="00936A8D">
        <w:rPr>
          <w:rtl/>
        </w:rPr>
        <w:t xml:space="preserve"> </w:t>
      </w:r>
      <w:r w:rsidRPr="00936A8D">
        <w:rPr>
          <w:rFonts w:hint="eastAsia"/>
          <w:rtl/>
        </w:rPr>
        <w:t>העניין</w:t>
      </w:r>
      <w:r w:rsidRPr="00936A8D">
        <w:rPr>
          <w:rtl/>
        </w:rPr>
        <w:t xml:space="preserve">, </w:t>
      </w:r>
      <w:r w:rsidRPr="00936A8D">
        <w:rPr>
          <w:rFonts w:hint="eastAsia"/>
          <w:rtl/>
        </w:rPr>
        <w:t>ודינה</w:t>
      </w:r>
      <w:r w:rsidRPr="00936A8D">
        <w:rPr>
          <w:rtl/>
        </w:rPr>
        <w:t xml:space="preserve"> </w:t>
      </w:r>
      <w:r w:rsidRPr="00936A8D">
        <w:rPr>
          <w:rFonts w:hint="eastAsia"/>
          <w:rtl/>
        </w:rPr>
        <w:t>בטלות</w:t>
      </w:r>
      <w:r w:rsidRPr="00936A8D">
        <w:rPr>
          <w:rtl/>
        </w:rPr>
        <w:t xml:space="preserve"> (</w:t>
      </w:r>
      <w:r w:rsidRPr="00936A8D">
        <w:rPr>
          <w:rFonts w:hint="eastAsia"/>
          <w:rtl/>
        </w:rPr>
        <w:t>מלאה</w:t>
      </w:r>
      <w:r w:rsidRPr="00936A8D">
        <w:rPr>
          <w:rtl/>
        </w:rPr>
        <w:t xml:space="preserve"> </w:t>
      </w:r>
      <w:r w:rsidRPr="00936A8D">
        <w:rPr>
          <w:rFonts w:hint="eastAsia"/>
          <w:rtl/>
        </w:rPr>
        <w:t>או</w:t>
      </w:r>
      <w:r w:rsidRPr="00936A8D">
        <w:rPr>
          <w:rtl/>
        </w:rPr>
        <w:t xml:space="preserve"> </w:t>
      </w:r>
      <w:r w:rsidRPr="00936A8D">
        <w:rPr>
          <w:rFonts w:hint="eastAsia"/>
          <w:rtl/>
        </w:rPr>
        <w:t>יחסית</w:t>
      </w:r>
      <w:r w:rsidRPr="00936A8D">
        <w:rPr>
          <w:rtl/>
        </w:rPr>
        <w:t>) (</w:t>
      </w:r>
      <w:r w:rsidRPr="00936A8D">
        <w:rPr>
          <w:rFonts w:hint="eastAsia"/>
          <w:rtl/>
        </w:rPr>
        <w:t>ראו</w:t>
      </w:r>
      <w:r w:rsidRPr="00936A8D">
        <w:rPr>
          <w:rtl/>
        </w:rPr>
        <w:t xml:space="preserve">, </w:t>
      </w:r>
      <w:r w:rsidRPr="00936A8D">
        <w:rPr>
          <w:rFonts w:hint="eastAsia"/>
          <w:rtl/>
        </w:rPr>
        <w:t>מני</w:t>
      </w:r>
      <w:r w:rsidRPr="00936A8D">
        <w:rPr>
          <w:rtl/>
        </w:rPr>
        <w:t xml:space="preserve"> </w:t>
      </w:r>
      <w:r w:rsidRPr="00936A8D">
        <w:rPr>
          <w:rFonts w:hint="eastAsia"/>
          <w:rtl/>
        </w:rPr>
        <w:t>רבים</w:t>
      </w:r>
      <w:r w:rsidRPr="00936A8D">
        <w:rPr>
          <w:rtl/>
        </w:rPr>
        <w:t xml:space="preserve">: </w:t>
      </w:r>
      <w:r w:rsidRPr="00936A8D">
        <w:rPr>
          <w:rFonts w:ascii="FrankRuehl" w:hAnsi="FrankRuehl"/>
          <w:sz w:val="28"/>
          <w:rtl/>
        </w:rPr>
        <w:t xml:space="preserve">דנ"פ 5387/20 </w:t>
      </w:r>
      <w:r w:rsidRPr="00936A8D">
        <w:rPr>
          <w:rFonts w:ascii="Miriam" w:hAnsi="Miriam" w:cs="Miriam"/>
          <w:spacing w:val="0"/>
          <w:szCs w:val="24"/>
          <w:rtl/>
        </w:rPr>
        <w:t>רותם נ' מדינת ישראל</w:t>
      </w:r>
      <w:r w:rsidRPr="00936A8D">
        <w:rPr>
          <w:rFonts w:ascii="FrankRuehl" w:hAnsi="FrankRuehl"/>
          <w:sz w:val="28"/>
          <w:rtl/>
        </w:rPr>
        <w:t xml:space="preserve">, פסקאות 14-12 לפסק דינה של הנשיאה </w:t>
      </w:r>
      <w:r w:rsidRPr="00936A8D">
        <w:rPr>
          <w:rFonts w:ascii="Miriam" w:hAnsi="Miriam" w:cs="Miriam"/>
          <w:spacing w:val="0"/>
          <w:szCs w:val="24"/>
          <w:rtl/>
        </w:rPr>
        <w:t>א' חיות</w:t>
      </w:r>
      <w:r w:rsidRPr="00936A8D">
        <w:rPr>
          <w:rFonts w:ascii="FrankRuehl" w:hAnsi="FrankRuehl"/>
          <w:sz w:val="28"/>
          <w:rtl/>
        </w:rPr>
        <w:t xml:space="preserve"> (15.12.2021) (להלן: עניין </w:t>
      </w:r>
      <w:r w:rsidRPr="00936A8D">
        <w:rPr>
          <w:rFonts w:ascii="Century" w:hAnsi="Century" w:cs="Miriam" w:hint="eastAsia"/>
          <w:b/>
          <w:spacing w:val="0"/>
          <w:sz w:val="22"/>
          <w:szCs w:val="24"/>
          <w:rtl/>
        </w:rPr>
        <w:t>רותם</w:t>
      </w:r>
      <w:r w:rsidRPr="00936A8D">
        <w:rPr>
          <w:rFonts w:ascii="FrankRuehl" w:hAnsi="FrankRuehl"/>
          <w:sz w:val="28"/>
          <w:rtl/>
        </w:rPr>
        <w:t xml:space="preserve">)). </w:t>
      </w:r>
    </w:p>
    <w:p w:rsidR="0047626A" w:rsidRPr="00936A8D" w:rsidRDefault="0047626A" w:rsidP="0047626A">
      <w:pPr>
        <w:pStyle w:val="Ruller4"/>
        <w:numPr>
          <w:ilvl w:val="0"/>
          <w:numId w:val="0"/>
        </w:numPr>
      </w:pPr>
    </w:p>
    <w:p w:rsidR="0047626A" w:rsidRPr="00936A8D" w:rsidRDefault="0047626A" w:rsidP="0047626A">
      <w:pPr>
        <w:pStyle w:val="Ruller4"/>
        <w:rPr>
          <w:rtl/>
        </w:rPr>
      </w:pPr>
      <w:r w:rsidRPr="00936A8D">
        <w:rPr>
          <w:rFonts w:ascii="FrankRuehl" w:hAnsi="FrankRuehl" w:hint="eastAsia"/>
          <w:sz w:val="28"/>
          <w:rtl/>
        </w:rPr>
        <w:t>הגישה</w:t>
      </w:r>
      <w:r w:rsidRPr="00936A8D">
        <w:rPr>
          <w:rFonts w:ascii="FrankRuehl" w:hAnsi="FrankRuehl"/>
          <w:sz w:val="28"/>
          <w:rtl/>
        </w:rPr>
        <w:t xml:space="preserve"> </w:t>
      </w:r>
      <w:r w:rsidRPr="00936A8D">
        <w:rPr>
          <w:rFonts w:ascii="FrankRuehl" w:hAnsi="FrankRuehl" w:hint="eastAsia"/>
          <w:sz w:val="28"/>
          <w:rtl/>
        </w:rPr>
        <w:t>השנייה</w:t>
      </w:r>
      <w:r w:rsidRPr="00936A8D">
        <w:rPr>
          <w:rFonts w:ascii="FrankRuehl" w:hAnsi="FrankRuehl"/>
          <w:sz w:val="28"/>
          <w:rtl/>
        </w:rPr>
        <w:t xml:space="preserve">, </w:t>
      </w:r>
      <w:r w:rsidRPr="00936A8D">
        <w:rPr>
          <w:rFonts w:ascii="FrankRuehl" w:hAnsi="FrankRuehl" w:hint="eastAsia"/>
          <w:sz w:val="28"/>
          <w:rtl/>
        </w:rPr>
        <w:t>היא</w:t>
      </w:r>
      <w:r w:rsidRPr="00936A8D">
        <w:rPr>
          <w:rFonts w:ascii="FrankRuehl" w:hAnsi="FrankRuehl"/>
          <w:sz w:val="28"/>
          <w:rtl/>
        </w:rPr>
        <w:t xml:space="preserve"> </w:t>
      </w:r>
      <w:r w:rsidRPr="00936A8D">
        <w:rPr>
          <w:rFonts w:ascii="FrankRuehl" w:hAnsi="FrankRuehl" w:hint="eastAsia"/>
          <w:sz w:val="28"/>
          <w:rtl/>
        </w:rPr>
        <w:t>גישתו</w:t>
      </w:r>
      <w:r w:rsidRPr="00936A8D">
        <w:rPr>
          <w:rFonts w:ascii="FrankRuehl" w:hAnsi="FrankRuehl"/>
          <w:sz w:val="28"/>
          <w:rtl/>
        </w:rPr>
        <w:t xml:space="preserve"> </w:t>
      </w:r>
      <w:r w:rsidRPr="00936A8D">
        <w:rPr>
          <w:rFonts w:ascii="FrankRuehl" w:hAnsi="FrankRuehl" w:hint="eastAsia"/>
          <w:sz w:val="28"/>
          <w:rtl/>
        </w:rPr>
        <w:t>של</w:t>
      </w:r>
      <w:r w:rsidRPr="00936A8D">
        <w:rPr>
          <w:rFonts w:ascii="FrankRuehl" w:hAnsi="FrankRuehl"/>
          <w:sz w:val="28"/>
          <w:rtl/>
        </w:rPr>
        <w:t xml:space="preserve"> </w:t>
      </w:r>
      <w:r w:rsidRPr="00936A8D">
        <w:rPr>
          <w:rFonts w:ascii="FrankRuehl" w:hAnsi="FrankRuehl" w:hint="eastAsia"/>
          <w:sz w:val="28"/>
          <w:rtl/>
        </w:rPr>
        <w:t>השופט</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סולברג</w:t>
      </w:r>
      <w:r w:rsidRPr="00936A8D">
        <w:rPr>
          <w:rFonts w:ascii="FrankRuehl" w:hAnsi="FrankRuehl"/>
          <w:sz w:val="28"/>
          <w:rtl/>
        </w:rPr>
        <w:t xml:space="preserve"> (להלן: </w:t>
      </w:r>
      <w:r w:rsidRPr="00936A8D">
        <w:rPr>
          <w:rFonts w:ascii="Century" w:hAnsi="Century" w:cs="Miriam" w:hint="eastAsia"/>
          <w:b/>
          <w:spacing w:val="0"/>
          <w:sz w:val="22"/>
          <w:szCs w:val="24"/>
          <w:rtl/>
        </w:rPr>
        <w:t>גישת</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סולברג</w:t>
      </w:r>
      <w:r w:rsidRPr="00936A8D">
        <w:rPr>
          <w:rFonts w:ascii="FrankRuehl" w:hAnsi="FrankRuehl"/>
          <w:sz w:val="28"/>
          <w:rtl/>
        </w:rPr>
        <w:t xml:space="preserve">). </w:t>
      </w:r>
      <w:r w:rsidRPr="00936A8D">
        <w:rPr>
          <w:rFonts w:hint="eastAsia"/>
          <w:rtl/>
        </w:rPr>
        <w:t>לפי</w:t>
      </w:r>
      <w:r w:rsidRPr="00936A8D">
        <w:rPr>
          <w:rtl/>
        </w:rPr>
        <w:t xml:space="preserve"> </w:t>
      </w:r>
      <w:r w:rsidRPr="00936A8D">
        <w:rPr>
          <w:rFonts w:hint="eastAsia"/>
          <w:rtl/>
        </w:rPr>
        <w:t>גישת</w:t>
      </w:r>
      <w:r w:rsidRPr="00936A8D">
        <w:rPr>
          <w:rtl/>
        </w:rPr>
        <w:t xml:space="preserve"> </w:t>
      </w:r>
      <w:r w:rsidRPr="00936A8D">
        <w:rPr>
          <w:rFonts w:hint="eastAsia"/>
          <w:rtl/>
        </w:rPr>
        <w:t>סולברג</w:t>
      </w:r>
      <w:r w:rsidRPr="00936A8D">
        <w:rPr>
          <w:rtl/>
        </w:rPr>
        <w:t xml:space="preserve">, </w:t>
      </w:r>
      <w:r w:rsidRPr="00936A8D">
        <w:rPr>
          <w:rFonts w:hint="eastAsia"/>
          <w:rtl/>
        </w:rPr>
        <w:t>נוסחת</w:t>
      </w:r>
      <w:r w:rsidRPr="00936A8D">
        <w:rPr>
          <w:rtl/>
        </w:rPr>
        <w:t xml:space="preserve"> </w:t>
      </w:r>
      <w:r w:rsidRPr="00936A8D">
        <w:rPr>
          <w:rFonts w:ascii="Century" w:hAnsi="Century" w:cs="Miriam" w:hint="eastAsia"/>
          <w:b/>
          <w:spacing w:val="0"/>
          <w:sz w:val="22"/>
          <w:szCs w:val="24"/>
          <w:rtl/>
        </w:rPr>
        <w:t>דפי</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זהב</w:t>
      </w:r>
      <w:r w:rsidRPr="00936A8D">
        <w:rPr>
          <w:rtl/>
        </w:rPr>
        <w:t xml:space="preserve"> </w:t>
      </w:r>
      <w:r w:rsidRPr="00936A8D">
        <w:rPr>
          <w:rFonts w:hint="eastAsia"/>
          <w:rtl/>
        </w:rPr>
        <w:t>רחבה</w:t>
      </w:r>
      <w:r w:rsidRPr="00936A8D">
        <w:rPr>
          <w:rtl/>
        </w:rPr>
        <w:t xml:space="preserve"> </w:t>
      </w:r>
      <w:r w:rsidRPr="00936A8D">
        <w:rPr>
          <w:rFonts w:hint="eastAsia"/>
          <w:rtl/>
        </w:rPr>
        <w:t>יתר</w:t>
      </w:r>
      <w:r w:rsidRPr="00936A8D">
        <w:rPr>
          <w:rtl/>
        </w:rPr>
        <w:t xml:space="preserve"> </w:t>
      </w:r>
      <w:r w:rsidRPr="00936A8D">
        <w:rPr>
          <w:rFonts w:hint="eastAsia"/>
          <w:rtl/>
        </w:rPr>
        <w:t>על</w:t>
      </w:r>
      <w:r w:rsidRPr="00936A8D">
        <w:rPr>
          <w:rtl/>
        </w:rPr>
        <w:t xml:space="preserve"> </w:t>
      </w:r>
      <w:r w:rsidRPr="00936A8D">
        <w:rPr>
          <w:rFonts w:hint="eastAsia"/>
          <w:rtl/>
        </w:rPr>
        <w:t>המידה</w:t>
      </w:r>
      <w:r w:rsidRPr="00936A8D">
        <w:rPr>
          <w:rtl/>
        </w:rPr>
        <w:t xml:space="preserve">, </w:t>
      </w:r>
      <w:r w:rsidRPr="00936A8D">
        <w:rPr>
          <w:rFonts w:hint="eastAsia"/>
          <w:rtl/>
        </w:rPr>
        <w:t>ויש</w:t>
      </w:r>
      <w:r w:rsidRPr="00936A8D">
        <w:rPr>
          <w:rtl/>
        </w:rPr>
        <w:t xml:space="preserve"> </w:t>
      </w:r>
      <w:r w:rsidRPr="00936A8D">
        <w:rPr>
          <w:rFonts w:hint="eastAsia"/>
          <w:rtl/>
        </w:rPr>
        <w:t>להעמיד</w:t>
      </w:r>
      <w:r w:rsidRPr="00936A8D">
        <w:rPr>
          <w:rtl/>
        </w:rPr>
        <w:t xml:space="preserve"> </w:t>
      </w:r>
      <w:r w:rsidRPr="00936A8D">
        <w:rPr>
          <w:rFonts w:hint="eastAsia"/>
          <w:rtl/>
        </w:rPr>
        <w:t>תחתיה</w:t>
      </w:r>
      <w:r w:rsidRPr="00936A8D">
        <w:rPr>
          <w:rtl/>
        </w:rPr>
        <w:t xml:space="preserve"> </w:t>
      </w:r>
      <w:r w:rsidRPr="00936A8D">
        <w:rPr>
          <w:rFonts w:hint="eastAsia"/>
          <w:rtl/>
        </w:rPr>
        <w:t>את</w:t>
      </w:r>
      <w:r w:rsidRPr="00936A8D">
        <w:rPr>
          <w:rtl/>
        </w:rPr>
        <w:t xml:space="preserve"> </w:t>
      </w:r>
      <w:r w:rsidRPr="00936A8D">
        <w:rPr>
          <w:rFonts w:hint="eastAsia"/>
          <w:rtl/>
        </w:rPr>
        <w:t>המבחנים</w:t>
      </w:r>
      <w:r w:rsidRPr="00936A8D">
        <w:rPr>
          <w:rtl/>
        </w:rPr>
        <w:t xml:space="preserve"> </w:t>
      </w:r>
      <w:r w:rsidRPr="00936A8D">
        <w:rPr>
          <w:rFonts w:hint="eastAsia"/>
          <w:rtl/>
        </w:rPr>
        <w:t>הבאים</w:t>
      </w:r>
      <w:r w:rsidRPr="00936A8D">
        <w:rPr>
          <w:rtl/>
        </w:rPr>
        <w:t xml:space="preserve">: </w:t>
      </w:r>
    </w:p>
    <w:p w:rsidR="0047626A" w:rsidRPr="00936A8D" w:rsidRDefault="0047626A" w:rsidP="0047626A">
      <w:pPr>
        <w:pStyle w:val="Ruller41"/>
      </w:pPr>
    </w:p>
    <w:p w:rsidR="0047626A" w:rsidRPr="00936A8D" w:rsidRDefault="0047626A" w:rsidP="00A01E7C">
      <w:pPr>
        <w:pStyle w:val="Ruller4"/>
        <w:numPr>
          <w:ilvl w:val="0"/>
          <w:numId w:val="10"/>
        </w:numPr>
      </w:pPr>
      <w:r w:rsidRPr="00936A8D">
        <w:rPr>
          <w:rFonts w:hint="eastAsia"/>
          <w:rtl/>
        </w:rPr>
        <w:t>האם</w:t>
      </w:r>
      <w:r w:rsidRPr="00936A8D">
        <w:rPr>
          <w:rtl/>
        </w:rPr>
        <w:t xml:space="preserve"> </w:t>
      </w:r>
      <w:r w:rsidRPr="00936A8D">
        <w:rPr>
          <w:rFonts w:hint="eastAsia"/>
          <w:rtl/>
        </w:rPr>
        <w:t>רשות</w:t>
      </w:r>
      <w:r w:rsidRPr="00936A8D">
        <w:rPr>
          <w:rtl/>
        </w:rPr>
        <w:t xml:space="preserve"> </w:t>
      </w:r>
      <w:r w:rsidRPr="00936A8D">
        <w:rPr>
          <w:rFonts w:hint="eastAsia"/>
          <w:rtl/>
        </w:rPr>
        <w:t>מינהלית</w:t>
      </w:r>
      <w:r w:rsidRPr="00936A8D">
        <w:rPr>
          <w:rtl/>
        </w:rPr>
        <w:t xml:space="preserve"> </w:t>
      </w:r>
      <w:r w:rsidRPr="00936A8D">
        <w:rPr>
          <w:rFonts w:hint="eastAsia"/>
          <w:rtl/>
        </w:rPr>
        <w:t>סבירה</w:t>
      </w:r>
      <w:r w:rsidRPr="00936A8D">
        <w:rPr>
          <w:rtl/>
        </w:rPr>
        <w:t xml:space="preserve"> </w:t>
      </w:r>
      <w:r w:rsidRPr="00936A8D">
        <w:rPr>
          <w:rFonts w:hint="eastAsia"/>
          <w:rtl/>
        </w:rPr>
        <w:t>יכלה</w:t>
      </w:r>
      <w:r w:rsidRPr="00936A8D">
        <w:rPr>
          <w:rtl/>
        </w:rPr>
        <w:t xml:space="preserve"> </w:t>
      </w:r>
      <w:r w:rsidRPr="00936A8D">
        <w:rPr>
          <w:rFonts w:hint="eastAsia"/>
          <w:rtl/>
        </w:rPr>
        <w:t>לקבל</w:t>
      </w:r>
      <w:r w:rsidRPr="00936A8D">
        <w:rPr>
          <w:rtl/>
        </w:rPr>
        <w:t xml:space="preserve"> </w:t>
      </w:r>
      <w:r w:rsidRPr="00936A8D">
        <w:rPr>
          <w:rFonts w:hint="eastAsia"/>
          <w:rtl/>
        </w:rPr>
        <w:t>את</w:t>
      </w:r>
      <w:r w:rsidRPr="00936A8D">
        <w:rPr>
          <w:rtl/>
        </w:rPr>
        <w:t xml:space="preserve"> </w:t>
      </w:r>
      <w:r w:rsidRPr="00936A8D">
        <w:rPr>
          <w:rFonts w:hint="eastAsia"/>
          <w:rtl/>
        </w:rPr>
        <w:t>ההחלטה</w:t>
      </w:r>
      <w:r w:rsidRPr="00936A8D">
        <w:rPr>
          <w:rtl/>
        </w:rPr>
        <w:t xml:space="preserve"> </w:t>
      </w:r>
      <w:r w:rsidRPr="00936A8D">
        <w:rPr>
          <w:rFonts w:hint="eastAsia"/>
          <w:rtl/>
        </w:rPr>
        <w:t>שעומדת</w:t>
      </w:r>
      <w:r w:rsidRPr="00936A8D">
        <w:rPr>
          <w:rtl/>
        </w:rPr>
        <w:t xml:space="preserve"> </w:t>
      </w:r>
      <w:r w:rsidRPr="00936A8D">
        <w:rPr>
          <w:rFonts w:hint="eastAsia"/>
          <w:rtl/>
        </w:rPr>
        <w:t>לביקורת</w:t>
      </w:r>
      <w:r w:rsidRPr="00936A8D">
        <w:rPr>
          <w:rtl/>
        </w:rPr>
        <w:t xml:space="preserve"> </w:t>
      </w:r>
      <w:r w:rsidRPr="00936A8D">
        <w:rPr>
          <w:rFonts w:hint="eastAsia"/>
          <w:rtl/>
        </w:rPr>
        <w:t>שיפוטית</w:t>
      </w:r>
      <w:r w:rsidRPr="00936A8D">
        <w:rPr>
          <w:rtl/>
        </w:rPr>
        <w:t xml:space="preserve">? </w:t>
      </w:r>
      <w:r w:rsidRPr="00936A8D">
        <w:rPr>
          <w:rFonts w:hint="eastAsia"/>
          <w:rtl/>
        </w:rPr>
        <w:t>אם</w:t>
      </w:r>
      <w:r w:rsidRPr="00936A8D">
        <w:rPr>
          <w:rtl/>
        </w:rPr>
        <w:t xml:space="preserve"> </w:t>
      </w:r>
      <w:r w:rsidRPr="00936A8D">
        <w:rPr>
          <w:rFonts w:hint="eastAsia"/>
          <w:rtl/>
        </w:rPr>
        <w:t>כן</w:t>
      </w:r>
      <w:r w:rsidRPr="00936A8D">
        <w:rPr>
          <w:rtl/>
        </w:rPr>
        <w:t xml:space="preserve">, </w:t>
      </w:r>
      <w:r w:rsidRPr="00936A8D">
        <w:rPr>
          <w:rFonts w:hint="eastAsia"/>
          <w:rtl/>
        </w:rPr>
        <w:t>אזי</w:t>
      </w:r>
      <w:r w:rsidRPr="00936A8D">
        <w:rPr>
          <w:rtl/>
        </w:rPr>
        <w:t xml:space="preserve"> </w:t>
      </w:r>
      <w:r w:rsidRPr="00936A8D">
        <w:rPr>
          <w:rFonts w:hint="eastAsia"/>
          <w:rtl/>
        </w:rPr>
        <w:t>אין</w:t>
      </w:r>
      <w:r w:rsidRPr="00936A8D">
        <w:rPr>
          <w:rtl/>
        </w:rPr>
        <w:t xml:space="preserve"> </w:t>
      </w:r>
      <w:r w:rsidRPr="00936A8D">
        <w:rPr>
          <w:rFonts w:hint="eastAsia"/>
          <w:rtl/>
        </w:rPr>
        <w:t>לפנינו</w:t>
      </w:r>
      <w:r w:rsidRPr="00936A8D">
        <w:rPr>
          <w:rtl/>
        </w:rPr>
        <w:t xml:space="preserve"> </w:t>
      </w:r>
      <w:r w:rsidRPr="00936A8D">
        <w:rPr>
          <w:rFonts w:hint="eastAsia"/>
          <w:rtl/>
        </w:rPr>
        <w:t>החלטה</w:t>
      </w:r>
      <w:r w:rsidRPr="00936A8D">
        <w:rPr>
          <w:rtl/>
        </w:rPr>
        <w:t xml:space="preserve"> </w:t>
      </w:r>
      <w:r w:rsidRPr="00936A8D">
        <w:rPr>
          <w:rFonts w:hint="eastAsia"/>
          <w:rtl/>
        </w:rPr>
        <w:t>בלתי</w:t>
      </w:r>
      <w:r w:rsidRPr="00936A8D">
        <w:rPr>
          <w:rtl/>
        </w:rPr>
        <w:t xml:space="preserve"> </w:t>
      </w:r>
      <w:r w:rsidRPr="00936A8D">
        <w:rPr>
          <w:rFonts w:hint="eastAsia"/>
          <w:rtl/>
        </w:rPr>
        <w:t>סבירה</w:t>
      </w:r>
      <w:r w:rsidRPr="00936A8D">
        <w:rPr>
          <w:rtl/>
        </w:rPr>
        <w:t xml:space="preserve">. </w:t>
      </w:r>
    </w:p>
    <w:p w:rsidR="0047626A" w:rsidRPr="00936A8D" w:rsidRDefault="0047626A" w:rsidP="0047626A">
      <w:pPr>
        <w:pStyle w:val="Ruller4"/>
        <w:numPr>
          <w:ilvl w:val="0"/>
          <w:numId w:val="0"/>
        </w:numPr>
        <w:ind w:left="1523"/>
      </w:pPr>
    </w:p>
    <w:p w:rsidR="0047626A" w:rsidRPr="00936A8D" w:rsidRDefault="0047626A" w:rsidP="00A01E7C">
      <w:pPr>
        <w:pStyle w:val="Ruller4"/>
        <w:numPr>
          <w:ilvl w:val="0"/>
          <w:numId w:val="10"/>
        </w:numPr>
        <w:rPr>
          <w:rtl/>
        </w:rPr>
      </w:pPr>
      <w:r w:rsidRPr="00936A8D">
        <w:rPr>
          <w:rFonts w:hint="eastAsia"/>
          <w:rtl/>
        </w:rPr>
        <w:t>כדי</w:t>
      </w:r>
      <w:r w:rsidRPr="00936A8D">
        <w:rPr>
          <w:rtl/>
        </w:rPr>
        <w:t xml:space="preserve"> </w:t>
      </w:r>
      <w:r w:rsidRPr="00936A8D">
        <w:rPr>
          <w:rFonts w:hint="eastAsia"/>
          <w:rtl/>
        </w:rPr>
        <w:t>להוכיח</w:t>
      </w:r>
      <w:r w:rsidRPr="00936A8D">
        <w:rPr>
          <w:rtl/>
        </w:rPr>
        <w:t xml:space="preserve"> </w:t>
      </w:r>
      <w:r w:rsidRPr="00936A8D">
        <w:rPr>
          <w:rFonts w:hint="eastAsia"/>
          <w:rtl/>
        </w:rPr>
        <w:t>ששום</w:t>
      </w:r>
      <w:r w:rsidRPr="00936A8D">
        <w:rPr>
          <w:rtl/>
        </w:rPr>
        <w:t xml:space="preserve"> </w:t>
      </w:r>
      <w:r w:rsidRPr="00936A8D">
        <w:rPr>
          <w:rFonts w:hint="eastAsia"/>
          <w:rtl/>
        </w:rPr>
        <w:t>רשות</w:t>
      </w:r>
      <w:r w:rsidRPr="00936A8D">
        <w:rPr>
          <w:rtl/>
        </w:rPr>
        <w:t xml:space="preserve"> </w:t>
      </w:r>
      <w:r w:rsidRPr="00936A8D">
        <w:rPr>
          <w:rFonts w:hint="eastAsia"/>
          <w:rtl/>
        </w:rPr>
        <w:t>מינהלית</w:t>
      </w:r>
      <w:r w:rsidRPr="00936A8D">
        <w:rPr>
          <w:rtl/>
        </w:rPr>
        <w:t xml:space="preserve"> </w:t>
      </w:r>
      <w:r w:rsidRPr="00936A8D">
        <w:rPr>
          <w:rFonts w:hint="eastAsia"/>
          <w:rtl/>
        </w:rPr>
        <w:t>סבירה</w:t>
      </w:r>
      <w:r w:rsidRPr="00936A8D">
        <w:rPr>
          <w:rtl/>
        </w:rPr>
        <w:t xml:space="preserve"> </w:t>
      </w:r>
      <w:r w:rsidRPr="00936A8D">
        <w:rPr>
          <w:rFonts w:hint="eastAsia"/>
          <w:rtl/>
        </w:rPr>
        <w:t>לא</w:t>
      </w:r>
      <w:r w:rsidRPr="00936A8D">
        <w:rPr>
          <w:rtl/>
        </w:rPr>
        <w:t xml:space="preserve"> </w:t>
      </w:r>
      <w:r w:rsidRPr="00936A8D">
        <w:rPr>
          <w:rFonts w:hint="eastAsia"/>
          <w:rtl/>
        </w:rPr>
        <w:t>הייתה</w:t>
      </w:r>
      <w:r w:rsidRPr="00936A8D">
        <w:rPr>
          <w:rtl/>
        </w:rPr>
        <w:t xml:space="preserve"> </w:t>
      </w:r>
      <w:r w:rsidRPr="00936A8D">
        <w:rPr>
          <w:rFonts w:hint="eastAsia"/>
          <w:rtl/>
        </w:rPr>
        <w:t>מקבלת</w:t>
      </w:r>
      <w:r w:rsidRPr="00936A8D">
        <w:rPr>
          <w:rtl/>
        </w:rPr>
        <w:t xml:space="preserve"> </w:t>
      </w:r>
      <w:r w:rsidRPr="00936A8D">
        <w:rPr>
          <w:rFonts w:hint="eastAsia"/>
          <w:rtl/>
        </w:rPr>
        <w:t>החלטה</w:t>
      </w:r>
      <w:r w:rsidRPr="00936A8D">
        <w:rPr>
          <w:rtl/>
        </w:rPr>
        <w:t xml:space="preserve"> </w:t>
      </w:r>
      <w:r w:rsidRPr="00936A8D">
        <w:rPr>
          <w:rFonts w:hint="eastAsia"/>
          <w:rtl/>
        </w:rPr>
        <w:t>כאמור</w:t>
      </w:r>
      <w:r w:rsidRPr="00936A8D">
        <w:rPr>
          <w:rtl/>
        </w:rPr>
        <w:t xml:space="preserve">, </w:t>
      </w:r>
      <w:r w:rsidRPr="00936A8D">
        <w:rPr>
          <w:rFonts w:hint="eastAsia"/>
          <w:rtl/>
        </w:rPr>
        <w:t>נדרשים</w:t>
      </w:r>
      <w:r w:rsidRPr="00936A8D">
        <w:rPr>
          <w:rtl/>
        </w:rPr>
        <w:t xml:space="preserve"> "</w:t>
      </w:r>
      <w:r w:rsidRPr="00936A8D">
        <w:rPr>
          <w:rFonts w:hint="eastAsia"/>
          <w:rtl/>
        </w:rPr>
        <w:t>נתונים</w:t>
      </w:r>
      <w:r w:rsidRPr="00936A8D">
        <w:rPr>
          <w:rtl/>
        </w:rPr>
        <w:t xml:space="preserve"> </w:t>
      </w:r>
      <w:r w:rsidRPr="00936A8D">
        <w:rPr>
          <w:rFonts w:hint="eastAsia"/>
          <w:rtl/>
        </w:rPr>
        <w:t>מוחצים</w:t>
      </w:r>
      <w:r w:rsidRPr="00936A8D">
        <w:rPr>
          <w:rtl/>
        </w:rPr>
        <w:t xml:space="preserve">", </w:t>
      </w:r>
      <w:r w:rsidRPr="00936A8D">
        <w:rPr>
          <w:rFonts w:hint="eastAsia"/>
          <w:rtl/>
        </w:rPr>
        <w:t>להבדיל</w:t>
      </w:r>
      <w:r w:rsidRPr="00936A8D">
        <w:rPr>
          <w:rtl/>
        </w:rPr>
        <w:t xml:space="preserve"> </w:t>
      </w:r>
      <w:r w:rsidRPr="00936A8D">
        <w:rPr>
          <w:rFonts w:hint="eastAsia"/>
          <w:rtl/>
        </w:rPr>
        <w:t>מהפרשי</w:t>
      </w:r>
      <w:r w:rsidRPr="00936A8D">
        <w:rPr>
          <w:rtl/>
        </w:rPr>
        <w:t xml:space="preserve"> </w:t>
      </w:r>
      <w:r w:rsidRPr="00936A8D">
        <w:rPr>
          <w:rFonts w:hint="eastAsia"/>
          <w:rtl/>
        </w:rPr>
        <w:t>המשקל</w:t>
      </w:r>
      <w:r w:rsidRPr="00936A8D">
        <w:rPr>
          <w:rtl/>
        </w:rPr>
        <w:t xml:space="preserve"> </w:t>
      </w:r>
      <w:r w:rsidRPr="00936A8D">
        <w:rPr>
          <w:rFonts w:hint="eastAsia"/>
          <w:rtl/>
        </w:rPr>
        <w:t>עליהם</w:t>
      </w:r>
      <w:r w:rsidRPr="00936A8D">
        <w:rPr>
          <w:rtl/>
        </w:rPr>
        <w:t xml:space="preserve"> </w:t>
      </w:r>
      <w:r w:rsidRPr="00936A8D">
        <w:rPr>
          <w:rFonts w:hint="eastAsia"/>
          <w:rtl/>
        </w:rPr>
        <w:t>מבוססת</w:t>
      </w:r>
      <w:r w:rsidRPr="00936A8D">
        <w:rPr>
          <w:rtl/>
        </w:rPr>
        <w:t xml:space="preserve"> </w:t>
      </w:r>
      <w:r w:rsidRPr="00936A8D">
        <w:rPr>
          <w:rFonts w:hint="eastAsia"/>
          <w:rtl/>
        </w:rPr>
        <w:t>נוסחת</w:t>
      </w:r>
      <w:r w:rsidRPr="00936A8D">
        <w:rPr>
          <w:rtl/>
        </w:rPr>
        <w:t xml:space="preserve"> </w:t>
      </w:r>
      <w:r w:rsidRPr="00936A8D">
        <w:rPr>
          <w:rFonts w:ascii="Century" w:hAnsi="Century" w:cs="Miriam" w:hint="eastAsia"/>
          <w:b/>
          <w:spacing w:val="0"/>
          <w:sz w:val="22"/>
          <w:szCs w:val="24"/>
          <w:rtl/>
        </w:rPr>
        <w:t>דפי</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זהב</w:t>
      </w:r>
      <w:r w:rsidRPr="00936A8D">
        <w:rPr>
          <w:rtl/>
        </w:rPr>
        <w:t xml:space="preserve">. </w:t>
      </w:r>
    </w:p>
    <w:p w:rsidR="0047626A" w:rsidRPr="00936A8D" w:rsidRDefault="0047626A" w:rsidP="0047626A">
      <w:pPr>
        <w:pStyle w:val="Ruller41"/>
        <w:ind w:left="1523"/>
      </w:pPr>
    </w:p>
    <w:p w:rsidR="0047626A" w:rsidRPr="00936A8D" w:rsidRDefault="0047626A" w:rsidP="0047626A">
      <w:pPr>
        <w:pStyle w:val="Ruller41"/>
        <w:ind w:left="1523"/>
        <w:rPr>
          <w:rtl/>
        </w:rPr>
      </w:pPr>
      <w:r w:rsidRPr="00936A8D">
        <w:rPr>
          <w:rtl/>
        </w:rPr>
        <w:t xml:space="preserve">(ראו: </w:t>
      </w:r>
      <w:r w:rsidRPr="00936A8D">
        <w:rPr>
          <w:rFonts w:ascii="Century" w:hAnsi="Century" w:hint="eastAsia"/>
          <w:rtl/>
        </w:rPr>
        <w:t>נעם</w:t>
      </w:r>
      <w:r w:rsidRPr="00936A8D">
        <w:rPr>
          <w:rFonts w:ascii="Century" w:hAnsi="Century"/>
          <w:rtl/>
        </w:rPr>
        <w:t xml:space="preserve"> </w:t>
      </w:r>
      <w:r w:rsidRPr="00936A8D">
        <w:rPr>
          <w:rFonts w:ascii="Century" w:hAnsi="Century" w:hint="eastAsia"/>
          <w:rtl/>
        </w:rPr>
        <w:t>סולברג</w:t>
      </w:r>
      <w:r w:rsidRPr="00936A8D">
        <w:rPr>
          <w:rFonts w:ascii="Century" w:hAnsi="Century"/>
          <w:rtl/>
        </w:rPr>
        <w:t xml:space="preserve"> "</w:t>
      </w:r>
      <w:r w:rsidRPr="00936A8D">
        <w:rPr>
          <w:rFonts w:ascii="Century" w:hAnsi="Century" w:hint="eastAsia"/>
          <w:rtl/>
        </w:rPr>
        <w:t>על</w:t>
      </w:r>
      <w:r w:rsidRPr="00936A8D">
        <w:rPr>
          <w:rFonts w:ascii="Century" w:hAnsi="Century"/>
          <w:rtl/>
        </w:rPr>
        <w:t xml:space="preserve"> </w:t>
      </w:r>
      <w:r w:rsidRPr="00936A8D">
        <w:rPr>
          <w:rFonts w:ascii="Century" w:hAnsi="Century" w:hint="eastAsia"/>
          <w:rtl/>
        </w:rPr>
        <w:t>ערכים</w:t>
      </w:r>
      <w:r w:rsidRPr="00936A8D">
        <w:rPr>
          <w:rFonts w:ascii="Century" w:hAnsi="Century"/>
          <w:rtl/>
        </w:rPr>
        <w:t xml:space="preserve"> </w:t>
      </w:r>
      <w:r w:rsidRPr="00936A8D">
        <w:rPr>
          <w:rFonts w:ascii="Century" w:hAnsi="Century" w:hint="eastAsia"/>
          <w:rtl/>
        </w:rPr>
        <w:t>סובייקטיביים</w:t>
      </w:r>
      <w:r w:rsidRPr="00936A8D">
        <w:rPr>
          <w:rFonts w:ascii="Century" w:hAnsi="Century"/>
          <w:rtl/>
        </w:rPr>
        <w:t xml:space="preserve"> </w:t>
      </w:r>
      <w:r w:rsidRPr="00936A8D">
        <w:rPr>
          <w:rFonts w:ascii="Century" w:hAnsi="Century" w:hint="eastAsia"/>
          <w:rtl/>
        </w:rPr>
        <w:t>ושופטים</w:t>
      </w:r>
      <w:r w:rsidRPr="00936A8D">
        <w:rPr>
          <w:rFonts w:ascii="Century" w:hAnsi="Century"/>
          <w:rtl/>
        </w:rPr>
        <w:t xml:space="preserve"> </w:t>
      </w:r>
      <w:r w:rsidRPr="00936A8D">
        <w:rPr>
          <w:rFonts w:ascii="Century" w:hAnsi="Century" w:hint="eastAsia"/>
          <w:rtl/>
        </w:rPr>
        <w:t>אובייקטיביים</w:t>
      </w:r>
      <w:r w:rsidRPr="00936A8D">
        <w:rPr>
          <w:rFonts w:ascii="Century" w:hAnsi="Century" w:cs="Miriam"/>
          <w:b/>
          <w:spacing w:val="0"/>
          <w:szCs w:val="24"/>
          <w:rtl/>
        </w:rPr>
        <w:t xml:space="preserve">" </w:t>
      </w:r>
      <w:r w:rsidRPr="00936A8D">
        <w:rPr>
          <w:rFonts w:ascii="Century" w:hAnsi="Century" w:cs="Miriam" w:hint="eastAsia"/>
          <w:b/>
          <w:spacing w:val="0"/>
          <w:szCs w:val="24"/>
          <w:rtl/>
        </w:rPr>
        <w:t>השילוח</w:t>
      </w:r>
      <w:r w:rsidRPr="00936A8D">
        <w:rPr>
          <w:rFonts w:ascii="Century" w:hAnsi="Century" w:cs="Miriam"/>
          <w:b/>
          <w:spacing w:val="0"/>
          <w:szCs w:val="24"/>
          <w:rtl/>
        </w:rPr>
        <w:t xml:space="preserve"> </w:t>
      </w:r>
      <w:r w:rsidRPr="00936A8D">
        <w:rPr>
          <w:rFonts w:ascii="Century" w:hAnsi="Century"/>
          <w:rtl/>
        </w:rPr>
        <w:t>18 (2019) (</w:t>
      </w:r>
      <w:r w:rsidRPr="00936A8D">
        <w:rPr>
          <w:rFonts w:ascii="Century" w:hAnsi="Century" w:hint="eastAsia"/>
          <w:rtl/>
        </w:rPr>
        <w:t>להלן</w:t>
      </w:r>
      <w:r w:rsidRPr="00936A8D">
        <w:rPr>
          <w:rFonts w:ascii="Century" w:hAnsi="Century"/>
          <w:rtl/>
        </w:rPr>
        <w:t xml:space="preserve">: </w:t>
      </w:r>
      <w:r w:rsidRPr="00936A8D">
        <w:rPr>
          <w:rFonts w:ascii="Century" w:hAnsi="Century" w:cs="Miriam" w:hint="eastAsia"/>
          <w:b/>
          <w:spacing w:val="0"/>
          <w:szCs w:val="24"/>
          <w:rtl/>
        </w:rPr>
        <w:t>סולברג</w:t>
      </w:r>
      <w:r w:rsidRPr="00936A8D">
        <w:rPr>
          <w:rFonts w:ascii="Century" w:hAnsi="Century"/>
          <w:rtl/>
        </w:rPr>
        <w:t xml:space="preserve">); </w:t>
      </w:r>
      <w:r w:rsidRPr="00936A8D">
        <w:rPr>
          <w:rFonts w:ascii="Century" w:hAnsi="Century" w:hint="eastAsia"/>
          <w:rtl/>
        </w:rPr>
        <w:t>רע</w:t>
      </w:r>
      <w:r w:rsidRPr="00936A8D">
        <w:rPr>
          <w:rFonts w:ascii="Century" w:hAnsi="Century"/>
          <w:rtl/>
        </w:rPr>
        <w:t>"</w:t>
      </w:r>
      <w:r w:rsidRPr="00936A8D">
        <w:rPr>
          <w:rFonts w:ascii="Century" w:hAnsi="Century" w:hint="eastAsia"/>
          <w:rtl/>
        </w:rPr>
        <w:t>פ</w:t>
      </w:r>
      <w:r w:rsidRPr="00936A8D">
        <w:rPr>
          <w:rFonts w:ascii="Century" w:hAnsi="Century"/>
          <w:rtl/>
        </w:rPr>
        <w:t xml:space="preserve"> 7052/18 </w:t>
      </w:r>
      <w:r w:rsidRPr="00F240CE">
        <w:rPr>
          <w:rFonts w:ascii="Century" w:hAnsi="Century" w:cs="Miriam" w:hint="eastAsia"/>
          <w:b/>
          <w:spacing w:val="0"/>
          <w:szCs w:val="24"/>
          <w:rtl/>
        </w:rPr>
        <w:t>מדינת</w:t>
      </w:r>
      <w:r w:rsidRPr="00F240CE">
        <w:rPr>
          <w:rFonts w:ascii="Century" w:hAnsi="Century" w:cs="Miriam"/>
          <w:b/>
          <w:spacing w:val="0"/>
          <w:szCs w:val="24"/>
          <w:rtl/>
        </w:rPr>
        <w:t xml:space="preserve"> </w:t>
      </w:r>
      <w:r w:rsidRPr="00F240CE">
        <w:rPr>
          <w:rFonts w:ascii="Century" w:hAnsi="Century" w:cs="Miriam" w:hint="eastAsia"/>
          <w:b/>
          <w:spacing w:val="0"/>
          <w:szCs w:val="24"/>
          <w:rtl/>
        </w:rPr>
        <w:t>ישראל</w:t>
      </w:r>
      <w:r w:rsidRPr="00F240CE">
        <w:rPr>
          <w:rFonts w:ascii="Century" w:hAnsi="Century" w:cs="Miriam"/>
          <w:b/>
          <w:spacing w:val="0"/>
          <w:szCs w:val="24"/>
          <w:rtl/>
        </w:rPr>
        <w:t xml:space="preserve"> </w:t>
      </w:r>
      <w:r w:rsidRPr="00F240CE">
        <w:rPr>
          <w:rFonts w:ascii="Century" w:hAnsi="Century" w:cs="Miriam" w:hint="eastAsia"/>
          <w:b/>
          <w:spacing w:val="0"/>
          <w:szCs w:val="24"/>
          <w:rtl/>
        </w:rPr>
        <w:t>נ</w:t>
      </w:r>
      <w:r w:rsidRPr="00F240CE">
        <w:rPr>
          <w:rFonts w:ascii="Century" w:hAnsi="Century" w:cs="Miriam"/>
          <w:b/>
          <w:spacing w:val="0"/>
          <w:szCs w:val="24"/>
          <w:rtl/>
        </w:rPr>
        <w:t xml:space="preserve">' </w:t>
      </w:r>
      <w:r w:rsidRPr="00F240CE">
        <w:rPr>
          <w:rFonts w:ascii="Century" w:hAnsi="Century" w:cs="Miriam" w:hint="eastAsia"/>
          <w:b/>
          <w:spacing w:val="0"/>
          <w:szCs w:val="24"/>
          <w:rtl/>
        </w:rPr>
        <w:t>רותם</w:t>
      </w:r>
      <w:r w:rsidRPr="00936A8D">
        <w:rPr>
          <w:rFonts w:ascii="Century" w:hAnsi="Century" w:hint="cs"/>
          <w:rtl/>
        </w:rPr>
        <w:t xml:space="preserve">, פסקה 37 לפסק דינו של השופט </w:t>
      </w:r>
      <w:r w:rsidRPr="00F240CE">
        <w:rPr>
          <w:rFonts w:ascii="Century" w:hAnsi="Century" w:cs="Miriam" w:hint="eastAsia"/>
          <w:b/>
          <w:spacing w:val="0"/>
          <w:szCs w:val="24"/>
          <w:rtl/>
        </w:rPr>
        <w:t>סולברג</w:t>
      </w:r>
      <w:r w:rsidRPr="00936A8D">
        <w:rPr>
          <w:rFonts w:ascii="Century" w:hAnsi="Century" w:hint="cs"/>
          <w:rtl/>
        </w:rPr>
        <w:t xml:space="preserve"> (5.5.2020); דנ"א 4960/18 </w:t>
      </w:r>
      <w:r w:rsidRPr="00F240CE">
        <w:rPr>
          <w:rFonts w:ascii="Century" w:hAnsi="Century" w:cs="Miriam" w:hint="eastAsia"/>
          <w:b/>
          <w:spacing w:val="0"/>
          <w:szCs w:val="24"/>
          <w:rtl/>
        </w:rPr>
        <w:t>זליגמן</w:t>
      </w:r>
      <w:r w:rsidRPr="00F240CE">
        <w:rPr>
          <w:rFonts w:ascii="Century" w:hAnsi="Century" w:cs="Miriam"/>
          <w:b/>
          <w:spacing w:val="0"/>
          <w:szCs w:val="24"/>
          <w:rtl/>
        </w:rPr>
        <w:t xml:space="preserve"> </w:t>
      </w:r>
      <w:r w:rsidRPr="00F240CE">
        <w:rPr>
          <w:rFonts w:ascii="Century" w:hAnsi="Century" w:cs="Miriam" w:hint="eastAsia"/>
          <w:b/>
          <w:spacing w:val="0"/>
          <w:szCs w:val="24"/>
          <w:rtl/>
        </w:rPr>
        <w:t>נ</w:t>
      </w:r>
      <w:r w:rsidRPr="00F240CE">
        <w:rPr>
          <w:rFonts w:ascii="Century" w:hAnsi="Century" w:cs="Miriam"/>
          <w:b/>
          <w:spacing w:val="0"/>
          <w:szCs w:val="24"/>
          <w:rtl/>
        </w:rPr>
        <w:t xml:space="preserve">' </w:t>
      </w:r>
      <w:r w:rsidRPr="00F240CE">
        <w:rPr>
          <w:rFonts w:ascii="Century" w:hAnsi="Century" w:cs="Miriam" w:hint="eastAsia"/>
          <w:b/>
          <w:spacing w:val="0"/>
          <w:szCs w:val="24"/>
          <w:rtl/>
        </w:rPr>
        <w:t>הפניקס</w:t>
      </w:r>
      <w:r w:rsidRPr="00F240CE">
        <w:rPr>
          <w:rFonts w:ascii="Century" w:hAnsi="Century" w:cs="Miriam"/>
          <w:b/>
          <w:spacing w:val="0"/>
          <w:szCs w:val="24"/>
          <w:rtl/>
        </w:rPr>
        <w:t xml:space="preserve"> </w:t>
      </w:r>
      <w:r w:rsidRPr="00F240CE">
        <w:rPr>
          <w:rFonts w:ascii="Century" w:hAnsi="Century" w:cs="Miriam" w:hint="eastAsia"/>
          <w:b/>
          <w:spacing w:val="0"/>
          <w:szCs w:val="24"/>
          <w:rtl/>
        </w:rPr>
        <w:t>חברה</w:t>
      </w:r>
      <w:r w:rsidRPr="00F240CE">
        <w:rPr>
          <w:rFonts w:ascii="Century" w:hAnsi="Century" w:cs="Miriam"/>
          <w:b/>
          <w:spacing w:val="0"/>
          <w:szCs w:val="24"/>
          <w:rtl/>
        </w:rPr>
        <w:t xml:space="preserve"> </w:t>
      </w:r>
      <w:r w:rsidRPr="00F240CE">
        <w:rPr>
          <w:rFonts w:ascii="Century" w:hAnsi="Century" w:cs="Miriam" w:hint="eastAsia"/>
          <w:b/>
          <w:spacing w:val="0"/>
          <w:szCs w:val="24"/>
          <w:rtl/>
        </w:rPr>
        <w:t>לביטוח</w:t>
      </w:r>
      <w:r w:rsidRPr="00F240CE">
        <w:rPr>
          <w:rFonts w:ascii="Century" w:hAnsi="Century" w:cs="Miriam"/>
          <w:b/>
          <w:spacing w:val="0"/>
          <w:szCs w:val="24"/>
          <w:rtl/>
        </w:rPr>
        <w:t xml:space="preserve"> </w:t>
      </w:r>
      <w:r w:rsidRPr="00F240CE">
        <w:rPr>
          <w:rFonts w:ascii="Century" w:hAnsi="Century" w:cs="Miriam" w:hint="eastAsia"/>
          <w:b/>
          <w:spacing w:val="0"/>
          <w:szCs w:val="24"/>
          <w:rtl/>
        </w:rPr>
        <w:t>בע</w:t>
      </w:r>
      <w:r w:rsidRPr="00F240CE">
        <w:rPr>
          <w:rFonts w:ascii="Century" w:hAnsi="Century" w:cs="Miriam"/>
          <w:b/>
          <w:spacing w:val="0"/>
          <w:szCs w:val="24"/>
          <w:rtl/>
        </w:rPr>
        <w:t>"</w:t>
      </w:r>
      <w:r w:rsidRPr="00F240CE">
        <w:rPr>
          <w:rFonts w:ascii="Century" w:hAnsi="Century" w:cs="Miriam" w:hint="eastAsia"/>
          <w:b/>
          <w:spacing w:val="0"/>
          <w:szCs w:val="24"/>
          <w:rtl/>
        </w:rPr>
        <w:t>מ</w:t>
      </w:r>
      <w:r w:rsidRPr="00936A8D">
        <w:rPr>
          <w:rFonts w:ascii="Century" w:hAnsi="Century" w:hint="cs"/>
          <w:rtl/>
        </w:rPr>
        <w:t xml:space="preserve">, פסקה 6 לפסק דינו של השופט </w:t>
      </w:r>
      <w:r w:rsidRPr="00F240CE">
        <w:rPr>
          <w:rFonts w:ascii="Century" w:hAnsi="Century" w:cs="Miriam" w:hint="eastAsia"/>
          <w:b/>
          <w:spacing w:val="0"/>
          <w:szCs w:val="24"/>
          <w:rtl/>
        </w:rPr>
        <w:t>סולברג</w:t>
      </w:r>
      <w:r w:rsidRPr="00936A8D">
        <w:rPr>
          <w:rFonts w:ascii="Century" w:hAnsi="Century" w:hint="cs"/>
          <w:rtl/>
        </w:rPr>
        <w:t xml:space="preserve"> (4.7.2021); בג"ץ 8076/21 </w:t>
      </w:r>
      <w:r w:rsidRPr="00F240CE">
        <w:rPr>
          <w:rFonts w:ascii="Century" w:hAnsi="Century" w:cs="Miriam" w:hint="eastAsia"/>
          <w:b/>
          <w:spacing w:val="0"/>
          <w:szCs w:val="24"/>
          <w:rtl/>
        </w:rPr>
        <w:t>ועדת</w:t>
      </w:r>
      <w:r w:rsidRPr="00F240CE">
        <w:rPr>
          <w:rFonts w:ascii="Century" w:hAnsi="Century" w:cs="Miriam"/>
          <w:b/>
          <w:spacing w:val="0"/>
          <w:szCs w:val="24"/>
          <w:rtl/>
        </w:rPr>
        <w:t xml:space="preserve"> </w:t>
      </w:r>
      <w:r w:rsidRPr="00F240CE">
        <w:rPr>
          <w:rFonts w:ascii="Century" w:hAnsi="Century" w:cs="Miriam" w:hint="eastAsia"/>
          <w:b/>
          <w:spacing w:val="0"/>
          <w:szCs w:val="24"/>
          <w:rtl/>
        </w:rPr>
        <w:t>השופטים</w:t>
      </w:r>
      <w:r w:rsidRPr="00F240CE">
        <w:rPr>
          <w:rFonts w:ascii="Century" w:hAnsi="Century" w:cs="Miriam"/>
          <w:b/>
          <w:spacing w:val="0"/>
          <w:szCs w:val="24"/>
          <w:rtl/>
        </w:rPr>
        <w:t xml:space="preserve"> </w:t>
      </w:r>
      <w:r w:rsidRPr="00F240CE">
        <w:rPr>
          <w:rFonts w:ascii="Century" w:hAnsi="Century" w:cs="Miriam" w:hint="eastAsia"/>
          <w:b/>
          <w:spacing w:val="0"/>
          <w:szCs w:val="24"/>
          <w:rtl/>
        </w:rPr>
        <w:t>להענקת</w:t>
      </w:r>
      <w:r w:rsidRPr="00F240CE">
        <w:rPr>
          <w:rFonts w:ascii="Century" w:hAnsi="Century" w:cs="Miriam"/>
          <w:b/>
          <w:spacing w:val="0"/>
          <w:szCs w:val="24"/>
          <w:rtl/>
        </w:rPr>
        <w:t xml:space="preserve"> </w:t>
      </w:r>
      <w:r w:rsidRPr="00F240CE">
        <w:rPr>
          <w:rFonts w:ascii="Century" w:hAnsi="Century" w:cs="Miriam" w:hint="eastAsia"/>
          <w:b/>
          <w:spacing w:val="0"/>
          <w:szCs w:val="24"/>
          <w:rtl/>
        </w:rPr>
        <w:t>פרס</w:t>
      </w:r>
      <w:r w:rsidRPr="00F240CE">
        <w:rPr>
          <w:rFonts w:ascii="Century" w:hAnsi="Century" w:cs="Miriam"/>
          <w:b/>
          <w:spacing w:val="0"/>
          <w:szCs w:val="24"/>
          <w:rtl/>
        </w:rPr>
        <w:t xml:space="preserve"> </w:t>
      </w:r>
      <w:r w:rsidRPr="00F240CE">
        <w:rPr>
          <w:rFonts w:ascii="Century" w:hAnsi="Century" w:cs="Miriam" w:hint="eastAsia"/>
          <w:b/>
          <w:spacing w:val="0"/>
          <w:szCs w:val="24"/>
          <w:rtl/>
        </w:rPr>
        <w:t>ישראל</w:t>
      </w:r>
      <w:r w:rsidRPr="00F240CE">
        <w:rPr>
          <w:rFonts w:ascii="Century" w:hAnsi="Century" w:cs="Miriam"/>
          <w:b/>
          <w:spacing w:val="0"/>
          <w:szCs w:val="24"/>
          <w:rtl/>
        </w:rPr>
        <w:t xml:space="preserve"> </w:t>
      </w:r>
      <w:r w:rsidRPr="00F240CE">
        <w:rPr>
          <w:rFonts w:ascii="Century" w:hAnsi="Century" w:cs="Miriam" w:hint="eastAsia"/>
          <w:b/>
          <w:spacing w:val="0"/>
          <w:szCs w:val="24"/>
          <w:rtl/>
        </w:rPr>
        <w:t>לשנת</w:t>
      </w:r>
      <w:r w:rsidRPr="00F240CE">
        <w:rPr>
          <w:rFonts w:ascii="Century" w:hAnsi="Century" w:cs="Miriam"/>
          <w:b/>
          <w:spacing w:val="0"/>
          <w:szCs w:val="24"/>
          <w:rtl/>
        </w:rPr>
        <w:t xml:space="preserve"> </w:t>
      </w:r>
      <w:r w:rsidRPr="00F240CE">
        <w:rPr>
          <w:rFonts w:ascii="Century" w:hAnsi="Century" w:cs="Miriam" w:hint="eastAsia"/>
          <w:b/>
          <w:spacing w:val="0"/>
          <w:szCs w:val="24"/>
          <w:rtl/>
        </w:rPr>
        <w:t>תשפ</w:t>
      </w:r>
      <w:r w:rsidRPr="00F240CE">
        <w:rPr>
          <w:rFonts w:ascii="Century" w:hAnsi="Century" w:cs="Miriam"/>
          <w:b/>
          <w:spacing w:val="0"/>
          <w:szCs w:val="24"/>
          <w:rtl/>
        </w:rPr>
        <w:t>"</w:t>
      </w:r>
      <w:r w:rsidRPr="00F240CE">
        <w:rPr>
          <w:rFonts w:ascii="Century" w:hAnsi="Century" w:cs="Miriam" w:hint="eastAsia"/>
          <w:b/>
          <w:spacing w:val="0"/>
          <w:szCs w:val="24"/>
          <w:rtl/>
        </w:rPr>
        <w:t>א</w:t>
      </w:r>
      <w:r w:rsidRPr="00F240CE">
        <w:rPr>
          <w:rFonts w:ascii="Century" w:hAnsi="Century" w:cs="Miriam"/>
          <w:b/>
          <w:spacing w:val="0"/>
          <w:szCs w:val="24"/>
          <w:rtl/>
        </w:rPr>
        <w:t xml:space="preserve"> </w:t>
      </w:r>
      <w:r w:rsidRPr="00F240CE">
        <w:rPr>
          <w:rFonts w:ascii="Century" w:hAnsi="Century" w:cs="Miriam" w:hint="eastAsia"/>
          <w:b/>
          <w:spacing w:val="0"/>
          <w:szCs w:val="24"/>
          <w:rtl/>
        </w:rPr>
        <w:t>בתחום</w:t>
      </w:r>
      <w:r w:rsidRPr="00F240CE">
        <w:rPr>
          <w:rFonts w:ascii="Century" w:hAnsi="Century" w:cs="Miriam"/>
          <w:b/>
          <w:spacing w:val="0"/>
          <w:szCs w:val="24"/>
          <w:rtl/>
        </w:rPr>
        <w:t xml:space="preserve"> </w:t>
      </w:r>
      <w:r w:rsidRPr="00F240CE">
        <w:rPr>
          <w:rFonts w:ascii="Century" w:hAnsi="Century" w:cs="Miriam" w:hint="eastAsia"/>
          <w:b/>
          <w:spacing w:val="0"/>
          <w:szCs w:val="24"/>
          <w:rtl/>
        </w:rPr>
        <w:t>חקר</w:t>
      </w:r>
      <w:r w:rsidRPr="00F240CE">
        <w:rPr>
          <w:rFonts w:ascii="Century" w:hAnsi="Century" w:cs="Miriam"/>
          <w:b/>
          <w:spacing w:val="0"/>
          <w:szCs w:val="24"/>
          <w:rtl/>
        </w:rPr>
        <w:t xml:space="preserve"> </w:t>
      </w:r>
      <w:r w:rsidRPr="00F240CE">
        <w:rPr>
          <w:rFonts w:ascii="Century" w:hAnsi="Century" w:cs="Miriam" w:hint="eastAsia"/>
          <w:b/>
          <w:spacing w:val="0"/>
          <w:szCs w:val="24"/>
          <w:rtl/>
        </w:rPr>
        <w:t>מדעי</w:t>
      </w:r>
      <w:r w:rsidRPr="00F240CE">
        <w:rPr>
          <w:rFonts w:ascii="Century" w:hAnsi="Century" w:cs="Miriam"/>
          <w:b/>
          <w:spacing w:val="0"/>
          <w:szCs w:val="24"/>
          <w:rtl/>
        </w:rPr>
        <w:t xml:space="preserve"> </w:t>
      </w:r>
      <w:r w:rsidRPr="00F240CE">
        <w:rPr>
          <w:rFonts w:ascii="Century" w:hAnsi="Century" w:cs="Miriam" w:hint="eastAsia"/>
          <w:b/>
          <w:spacing w:val="0"/>
          <w:szCs w:val="24"/>
          <w:rtl/>
        </w:rPr>
        <w:t>המחשב</w:t>
      </w:r>
      <w:r w:rsidRPr="00F240CE">
        <w:rPr>
          <w:rFonts w:ascii="Century" w:hAnsi="Century" w:cs="Miriam"/>
          <w:b/>
          <w:spacing w:val="0"/>
          <w:szCs w:val="24"/>
          <w:rtl/>
        </w:rPr>
        <w:t xml:space="preserve"> </w:t>
      </w:r>
      <w:r w:rsidRPr="00F240CE">
        <w:rPr>
          <w:rFonts w:ascii="Century" w:hAnsi="Century" w:cs="Miriam" w:hint="eastAsia"/>
          <w:b/>
          <w:spacing w:val="0"/>
          <w:szCs w:val="24"/>
          <w:rtl/>
        </w:rPr>
        <w:t>נ</w:t>
      </w:r>
      <w:r w:rsidRPr="00F240CE">
        <w:rPr>
          <w:rFonts w:ascii="Century" w:hAnsi="Century" w:cs="Miriam"/>
          <w:b/>
          <w:spacing w:val="0"/>
          <w:szCs w:val="24"/>
          <w:rtl/>
        </w:rPr>
        <w:t xml:space="preserve">' </w:t>
      </w:r>
      <w:r w:rsidRPr="00F240CE">
        <w:rPr>
          <w:rFonts w:ascii="Century" w:hAnsi="Century" w:cs="Miriam" w:hint="eastAsia"/>
          <w:b/>
          <w:spacing w:val="0"/>
          <w:szCs w:val="24"/>
          <w:rtl/>
        </w:rPr>
        <w:t>שרת</w:t>
      </w:r>
      <w:r w:rsidRPr="00F240CE">
        <w:rPr>
          <w:rFonts w:ascii="Century" w:hAnsi="Century" w:cs="Miriam"/>
          <w:b/>
          <w:spacing w:val="0"/>
          <w:szCs w:val="24"/>
          <w:rtl/>
        </w:rPr>
        <w:t xml:space="preserve"> </w:t>
      </w:r>
      <w:r w:rsidRPr="00F240CE">
        <w:rPr>
          <w:rFonts w:ascii="Century" w:hAnsi="Century" w:cs="Miriam" w:hint="eastAsia"/>
          <w:b/>
          <w:spacing w:val="0"/>
          <w:szCs w:val="24"/>
          <w:rtl/>
        </w:rPr>
        <w:t>החינוך</w:t>
      </w:r>
      <w:r w:rsidRPr="00936A8D">
        <w:rPr>
          <w:rFonts w:ascii="Century" w:hAnsi="Century" w:hint="cs"/>
          <w:rtl/>
        </w:rPr>
        <w:t xml:space="preserve">, פסקה 6 </w:t>
      </w:r>
      <w:r w:rsidRPr="00936A8D">
        <w:rPr>
          <w:rFonts w:ascii="Century" w:hAnsi="Century" w:hint="cs"/>
          <w:rtl/>
        </w:rPr>
        <w:lastRenderedPageBreak/>
        <w:t xml:space="preserve">לפסק דינו של השופט </w:t>
      </w:r>
      <w:r w:rsidRPr="00F240CE">
        <w:rPr>
          <w:rFonts w:ascii="Century" w:hAnsi="Century" w:cs="Miriam" w:hint="eastAsia"/>
          <w:b/>
          <w:spacing w:val="0"/>
          <w:szCs w:val="24"/>
          <w:rtl/>
        </w:rPr>
        <w:t>סולברג</w:t>
      </w:r>
      <w:r w:rsidRPr="00936A8D">
        <w:rPr>
          <w:rFonts w:ascii="Century" w:hAnsi="Century"/>
          <w:rtl/>
        </w:rPr>
        <w:t xml:space="preserve"> </w:t>
      </w:r>
      <w:r w:rsidRPr="00936A8D">
        <w:rPr>
          <w:rFonts w:ascii="Century" w:hAnsi="Century" w:hint="cs"/>
          <w:rtl/>
        </w:rPr>
        <w:t xml:space="preserve">(29.3.2022); בג"ץ 43/16 </w:t>
      </w:r>
      <w:r w:rsidRPr="00F240CE">
        <w:rPr>
          <w:rFonts w:ascii="Century" w:hAnsi="Century" w:cs="Miriam" w:hint="eastAsia"/>
          <w:b/>
          <w:spacing w:val="0"/>
          <w:szCs w:val="24"/>
          <w:rtl/>
        </w:rPr>
        <w:t>תנועת</w:t>
      </w:r>
      <w:r w:rsidRPr="00F240CE">
        <w:rPr>
          <w:rFonts w:ascii="Century" w:hAnsi="Century" w:cs="Miriam"/>
          <w:b/>
          <w:spacing w:val="0"/>
          <w:szCs w:val="24"/>
          <w:rtl/>
        </w:rPr>
        <w:t xml:space="preserve"> </w:t>
      </w:r>
      <w:r w:rsidRPr="00F240CE">
        <w:rPr>
          <w:rFonts w:ascii="Century" w:hAnsi="Century" w:cs="Miriam" w:hint="eastAsia"/>
          <w:b/>
          <w:spacing w:val="0"/>
          <w:szCs w:val="24"/>
          <w:rtl/>
        </w:rPr>
        <w:t>אומ</w:t>
      </w:r>
      <w:r w:rsidRPr="00F240CE">
        <w:rPr>
          <w:rFonts w:ascii="Century" w:hAnsi="Century" w:cs="Miriam"/>
          <w:b/>
          <w:spacing w:val="0"/>
          <w:szCs w:val="24"/>
          <w:rtl/>
        </w:rPr>
        <w:t>"</w:t>
      </w:r>
      <w:r w:rsidRPr="00F240CE">
        <w:rPr>
          <w:rFonts w:ascii="Century" w:hAnsi="Century" w:cs="Miriam" w:hint="eastAsia"/>
          <w:b/>
          <w:spacing w:val="0"/>
          <w:szCs w:val="24"/>
          <w:rtl/>
        </w:rPr>
        <w:t>ץ</w:t>
      </w:r>
      <w:r w:rsidRPr="00F240CE">
        <w:rPr>
          <w:rFonts w:ascii="Century" w:hAnsi="Century" w:cs="Miriam"/>
          <w:b/>
          <w:spacing w:val="0"/>
          <w:szCs w:val="24"/>
          <w:rtl/>
        </w:rPr>
        <w:t xml:space="preserve"> </w:t>
      </w:r>
      <w:r w:rsidRPr="00F240CE">
        <w:rPr>
          <w:rFonts w:ascii="Century" w:hAnsi="Century" w:cs="Miriam" w:hint="eastAsia"/>
          <w:b/>
          <w:spacing w:val="0"/>
          <w:szCs w:val="24"/>
          <w:rtl/>
        </w:rPr>
        <w:t>אזרחים</w:t>
      </w:r>
      <w:r w:rsidRPr="00F240CE">
        <w:rPr>
          <w:rFonts w:ascii="Century" w:hAnsi="Century" w:cs="Miriam"/>
          <w:b/>
          <w:spacing w:val="0"/>
          <w:szCs w:val="24"/>
          <w:rtl/>
        </w:rPr>
        <w:t xml:space="preserve"> </w:t>
      </w:r>
      <w:r w:rsidRPr="00F240CE">
        <w:rPr>
          <w:rFonts w:ascii="Century" w:hAnsi="Century" w:cs="Miriam" w:hint="eastAsia"/>
          <w:b/>
          <w:spacing w:val="0"/>
          <w:szCs w:val="24"/>
          <w:rtl/>
        </w:rPr>
        <w:t>למען</w:t>
      </w:r>
      <w:r w:rsidRPr="00F240CE">
        <w:rPr>
          <w:rFonts w:ascii="Century" w:hAnsi="Century" w:cs="Miriam"/>
          <w:b/>
          <w:spacing w:val="0"/>
          <w:szCs w:val="24"/>
          <w:rtl/>
        </w:rPr>
        <w:t xml:space="preserve"> </w:t>
      </w:r>
      <w:r w:rsidRPr="00F240CE">
        <w:rPr>
          <w:rFonts w:ascii="Century" w:hAnsi="Century" w:cs="Miriam" w:hint="eastAsia"/>
          <w:b/>
          <w:spacing w:val="0"/>
          <w:szCs w:val="24"/>
          <w:rtl/>
        </w:rPr>
        <w:t>מינהל</w:t>
      </w:r>
      <w:r w:rsidRPr="00F240CE">
        <w:rPr>
          <w:rFonts w:ascii="Century" w:hAnsi="Century" w:cs="Miriam"/>
          <w:b/>
          <w:spacing w:val="0"/>
          <w:szCs w:val="24"/>
          <w:rtl/>
        </w:rPr>
        <w:t xml:space="preserve"> </w:t>
      </w:r>
      <w:r w:rsidRPr="00F240CE">
        <w:rPr>
          <w:rFonts w:ascii="Century" w:hAnsi="Century" w:cs="Miriam" w:hint="eastAsia"/>
          <w:b/>
          <w:spacing w:val="0"/>
          <w:szCs w:val="24"/>
          <w:rtl/>
        </w:rPr>
        <w:t>תקין</w:t>
      </w:r>
      <w:r w:rsidRPr="00F240CE">
        <w:rPr>
          <w:rFonts w:ascii="Century" w:hAnsi="Century" w:cs="Miriam"/>
          <w:b/>
          <w:spacing w:val="0"/>
          <w:szCs w:val="24"/>
          <w:rtl/>
        </w:rPr>
        <w:t xml:space="preserve"> </w:t>
      </w:r>
      <w:r w:rsidRPr="00F240CE">
        <w:rPr>
          <w:rFonts w:ascii="Century" w:hAnsi="Century" w:cs="Miriam" w:hint="eastAsia"/>
          <w:b/>
          <w:spacing w:val="0"/>
          <w:szCs w:val="24"/>
          <w:rtl/>
        </w:rPr>
        <w:t>וצדק</w:t>
      </w:r>
      <w:r w:rsidRPr="00F240CE">
        <w:rPr>
          <w:rFonts w:ascii="Century" w:hAnsi="Century" w:cs="Miriam"/>
          <w:b/>
          <w:spacing w:val="0"/>
          <w:szCs w:val="24"/>
          <w:rtl/>
        </w:rPr>
        <w:t xml:space="preserve"> </w:t>
      </w:r>
      <w:r w:rsidRPr="00F240CE">
        <w:rPr>
          <w:rFonts w:ascii="Century" w:hAnsi="Century" w:cs="Miriam" w:hint="eastAsia"/>
          <w:b/>
          <w:spacing w:val="0"/>
          <w:szCs w:val="24"/>
          <w:rtl/>
        </w:rPr>
        <w:t>חברתי</w:t>
      </w:r>
      <w:r w:rsidRPr="00F240CE">
        <w:rPr>
          <w:rFonts w:ascii="Century" w:hAnsi="Century" w:cs="Miriam"/>
          <w:b/>
          <w:spacing w:val="0"/>
          <w:szCs w:val="24"/>
          <w:rtl/>
        </w:rPr>
        <w:t xml:space="preserve"> </w:t>
      </w:r>
      <w:r w:rsidRPr="00F240CE">
        <w:rPr>
          <w:rFonts w:ascii="Century" w:hAnsi="Century" w:cs="Miriam" w:hint="eastAsia"/>
          <w:b/>
          <w:spacing w:val="0"/>
          <w:szCs w:val="24"/>
          <w:rtl/>
        </w:rPr>
        <w:t>ומשפטי</w:t>
      </w:r>
      <w:r w:rsidRPr="00F240CE">
        <w:rPr>
          <w:rFonts w:ascii="Century" w:hAnsi="Century" w:cs="Miriam"/>
          <w:b/>
          <w:spacing w:val="0"/>
          <w:szCs w:val="24"/>
          <w:rtl/>
        </w:rPr>
        <w:t xml:space="preserve"> </w:t>
      </w:r>
      <w:r w:rsidRPr="00F240CE">
        <w:rPr>
          <w:rFonts w:ascii="Century" w:hAnsi="Century" w:cs="Miriam" w:hint="eastAsia"/>
          <w:b/>
          <w:spacing w:val="0"/>
          <w:szCs w:val="24"/>
          <w:rtl/>
        </w:rPr>
        <w:t>נ</w:t>
      </w:r>
      <w:r w:rsidRPr="00F240CE">
        <w:rPr>
          <w:rFonts w:ascii="Century" w:hAnsi="Century" w:cs="Miriam"/>
          <w:b/>
          <w:spacing w:val="0"/>
          <w:szCs w:val="24"/>
          <w:rtl/>
        </w:rPr>
        <w:t xml:space="preserve">' </w:t>
      </w:r>
      <w:r w:rsidRPr="00F240CE">
        <w:rPr>
          <w:rFonts w:ascii="Century" w:hAnsi="Century" w:cs="Miriam" w:hint="eastAsia"/>
          <w:b/>
          <w:spacing w:val="0"/>
          <w:szCs w:val="24"/>
          <w:rtl/>
        </w:rPr>
        <w:t>ממשלת</w:t>
      </w:r>
      <w:r w:rsidRPr="00F240CE">
        <w:rPr>
          <w:rFonts w:ascii="Century" w:hAnsi="Century" w:cs="Miriam"/>
          <w:b/>
          <w:spacing w:val="0"/>
          <w:szCs w:val="24"/>
          <w:rtl/>
        </w:rPr>
        <w:t xml:space="preserve"> </w:t>
      </w:r>
      <w:r w:rsidRPr="00F240CE">
        <w:rPr>
          <w:rFonts w:ascii="Century" w:hAnsi="Century" w:cs="Miriam" w:hint="eastAsia"/>
          <w:b/>
          <w:spacing w:val="0"/>
          <w:szCs w:val="24"/>
          <w:rtl/>
        </w:rPr>
        <w:t>ישראל</w:t>
      </w:r>
      <w:r w:rsidRPr="00936A8D">
        <w:rPr>
          <w:rFonts w:ascii="Century" w:hAnsi="Century" w:hint="cs"/>
          <w:rtl/>
        </w:rPr>
        <w:t xml:space="preserve">, פסקה 15 לפסק דינו של השופט </w:t>
      </w:r>
      <w:r w:rsidRPr="00F240CE">
        <w:rPr>
          <w:rFonts w:ascii="Century" w:hAnsi="Century" w:cs="Miriam" w:hint="eastAsia"/>
          <w:b/>
          <w:spacing w:val="0"/>
          <w:szCs w:val="24"/>
          <w:rtl/>
        </w:rPr>
        <w:t>סולברג</w:t>
      </w:r>
      <w:r w:rsidRPr="00936A8D">
        <w:rPr>
          <w:rFonts w:ascii="Century" w:hAnsi="Century" w:hint="cs"/>
          <w:rtl/>
        </w:rPr>
        <w:t xml:space="preserve"> (1.3.2016); דנג"ץ 3660/17 </w:t>
      </w:r>
      <w:r w:rsidRPr="00F240CE">
        <w:rPr>
          <w:rFonts w:ascii="Century" w:hAnsi="Century" w:cs="Miriam" w:hint="eastAsia"/>
          <w:b/>
          <w:spacing w:val="0"/>
          <w:szCs w:val="24"/>
          <w:rtl/>
        </w:rPr>
        <w:t>התאחדות</w:t>
      </w:r>
      <w:r w:rsidRPr="00F240CE">
        <w:rPr>
          <w:rFonts w:ascii="Century" w:hAnsi="Century" w:cs="Miriam"/>
          <w:b/>
          <w:spacing w:val="0"/>
          <w:szCs w:val="24"/>
          <w:rtl/>
        </w:rPr>
        <w:t xml:space="preserve"> </w:t>
      </w:r>
      <w:r w:rsidRPr="00F240CE">
        <w:rPr>
          <w:rFonts w:ascii="Century" w:hAnsi="Century" w:cs="Miriam" w:hint="eastAsia"/>
          <w:b/>
          <w:spacing w:val="0"/>
          <w:szCs w:val="24"/>
          <w:rtl/>
        </w:rPr>
        <w:t>הסוחרים</w:t>
      </w:r>
      <w:r w:rsidRPr="00F240CE">
        <w:rPr>
          <w:rFonts w:ascii="Century" w:hAnsi="Century" w:cs="Miriam"/>
          <w:b/>
          <w:spacing w:val="0"/>
          <w:szCs w:val="24"/>
          <w:rtl/>
        </w:rPr>
        <w:t xml:space="preserve"> </w:t>
      </w:r>
      <w:r w:rsidRPr="00F240CE">
        <w:rPr>
          <w:rFonts w:ascii="Century" w:hAnsi="Century" w:cs="Miriam" w:hint="eastAsia"/>
          <w:b/>
          <w:spacing w:val="0"/>
          <w:szCs w:val="24"/>
          <w:rtl/>
        </w:rPr>
        <w:t>והעצמאים</w:t>
      </w:r>
      <w:r w:rsidRPr="00F240CE">
        <w:rPr>
          <w:rFonts w:ascii="Century" w:hAnsi="Century" w:cs="Miriam"/>
          <w:b/>
          <w:spacing w:val="0"/>
          <w:szCs w:val="24"/>
          <w:rtl/>
        </w:rPr>
        <w:t xml:space="preserve"> </w:t>
      </w:r>
      <w:r w:rsidRPr="00F240CE">
        <w:rPr>
          <w:rFonts w:ascii="Century" w:hAnsi="Century" w:cs="Miriam" w:hint="eastAsia"/>
          <w:b/>
          <w:spacing w:val="0"/>
          <w:szCs w:val="24"/>
          <w:rtl/>
        </w:rPr>
        <w:t>הכללית</w:t>
      </w:r>
      <w:r w:rsidRPr="00F240CE">
        <w:rPr>
          <w:rFonts w:ascii="Century" w:hAnsi="Century" w:cs="Miriam"/>
          <w:b/>
          <w:spacing w:val="0"/>
          <w:szCs w:val="24"/>
          <w:rtl/>
        </w:rPr>
        <w:t xml:space="preserve"> </w:t>
      </w:r>
      <w:r w:rsidRPr="00F240CE">
        <w:rPr>
          <w:rFonts w:ascii="Century" w:hAnsi="Century" w:cs="Miriam" w:hint="eastAsia"/>
          <w:b/>
          <w:spacing w:val="0"/>
          <w:szCs w:val="24"/>
          <w:rtl/>
        </w:rPr>
        <w:t>נ</w:t>
      </w:r>
      <w:r w:rsidRPr="00F240CE">
        <w:rPr>
          <w:rFonts w:ascii="Century" w:hAnsi="Century" w:cs="Miriam"/>
          <w:b/>
          <w:spacing w:val="0"/>
          <w:szCs w:val="24"/>
          <w:rtl/>
        </w:rPr>
        <w:t xml:space="preserve">' </w:t>
      </w:r>
      <w:r w:rsidRPr="00F240CE">
        <w:rPr>
          <w:rFonts w:ascii="Century" w:hAnsi="Century" w:cs="Miriam" w:hint="eastAsia"/>
          <w:b/>
          <w:spacing w:val="0"/>
          <w:szCs w:val="24"/>
          <w:rtl/>
        </w:rPr>
        <w:t>שר</w:t>
      </w:r>
      <w:r w:rsidRPr="00F240CE">
        <w:rPr>
          <w:rFonts w:ascii="Century" w:hAnsi="Century" w:cs="Miriam"/>
          <w:b/>
          <w:spacing w:val="0"/>
          <w:szCs w:val="24"/>
          <w:rtl/>
        </w:rPr>
        <w:t xml:space="preserve"> </w:t>
      </w:r>
      <w:r w:rsidRPr="00F240CE">
        <w:rPr>
          <w:rFonts w:ascii="Century" w:hAnsi="Century" w:cs="Miriam" w:hint="eastAsia"/>
          <w:b/>
          <w:spacing w:val="0"/>
          <w:szCs w:val="24"/>
          <w:rtl/>
        </w:rPr>
        <w:t>הפנים</w:t>
      </w:r>
      <w:r w:rsidRPr="00936A8D">
        <w:rPr>
          <w:rFonts w:ascii="Century" w:hAnsi="Century" w:hint="cs"/>
          <w:rtl/>
        </w:rPr>
        <w:t xml:space="preserve">, פסקה 36 לפסק דינו של השופט </w:t>
      </w:r>
      <w:r w:rsidRPr="00F240CE">
        <w:rPr>
          <w:rFonts w:ascii="Century" w:hAnsi="Century" w:cs="Miriam" w:hint="eastAsia"/>
          <w:b/>
          <w:spacing w:val="0"/>
          <w:szCs w:val="24"/>
          <w:rtl/>
        </w:rPr>
        <w:t>סולברג</w:t>
      </w:r>
      <w:r w:rsidRPr="00936A8D">
        <w:rPr>
          <w:rFonts w:ascii="Century" w:hAnsi="Century" w:hint="cs"/>
          <w:rtl/>
        </w:rPr>
        <w:t xml:space="preserve"> (26.10.2017)).</w:t>
      </w:r>
    </w:p>
    <w:p w:rsidR="0047626A" w:rsidRPr="00936A8D" w:rsidRDefault="0047626A" w:rsidP="0047626A">
      <w:pPr>
        <w:pStyle w:val="Ruller41"/>
        <w:rPr>
          <w:rtl/>
        </w:rPr>
      </w:pPr>
      <w:r w:rsidRPr="00936A8D">
        <w:rPr>
          <w:rtl/>
        </w:rPr>
        <w:t xml:space="preserve"> </w:t>
      </w:r>
    </w:p>
    <w:p w:rsidR="0047626A" w:rsidRPr="00936A8D" w:rsidRDefault="0047626A" w:rsidP="0047626A">
      <w:pPr>
        <w:pStyle w:val="Ruller41"/>
      </w:pPr>
      <w:r w:rsidRPr="00936A8D">
        <w:rPr>
          <w:rtl/>
        </w:rPr>
        <w:tab/>
      </w:r>
      <w:r w:rsidRPr="00936A8D">
        <w:rPr>
          <w:rFonts w:hint="eastAsia"/>
          <w:rtl/>
        </w:rPr>
        <w:t>מבחנים</w:t>
      </w:r>
      <w:r w:rsidRPr="00936A8D">
        <w:rPr>
          <w:rtl/>
        </w:rPr>
        <w:t xml:space="preserve"> אלה נועדו, בין היתר, לאפשר ביקורת שיפוטית יעילה גם כאשר קיים מחסור בראיות (ראו</w:t>
      </w:r>
      <w:r>
        <w:rPr>
          <w:rFonts w:hint="cs"/>
          <w:rtl/>
        </w:rPr>
        <w:t>:</w:t>
      </w:r>
      <w:r w:rsidRPr="00936A8D">
        <w:rPr>
          <w:rtl/>
        </w:rPr>
        <w:t xml:space="preserve"> </w:t>
      </w:r>
      <w:r w:rsidRPr="00936A8D">
        <w:rPr>
          <w:rFonts w:ascii="Century" w:hAnsi="Century" w:cs="Miriam" w:hint="eastAsia"/>
          <w:b/>
          <w:spacing w:val="0"/>
          <w:szCs w:val="24"/>
          <w:rtl/>
        </w:rPr>
        <w:t>סולברג</w:t>
      </w:r>
      <w:r w:rsidRPr="00936A8D">
        <w:rPr>
          <w:rtl/>
        </w:rPr>
        <w:t xml:space="preserve">, </w:t>
      </w:r>
      <w:r w:rsidRPr="00936A8D">
        <w:rPr>
          <w:rFonts w:hint="eastAsia"/>
          <w:rtl/>
        </w:rPr>
        <w:t>בסמוך</w:t>
      </w:r>
      <w:r w:rsidRPr="00936A8D">
        <w:rPr>
          <w:rtl/>
        </w:rPr>
        <w:t xml:space="preserve"> </w:t>
      </w:r>
      <w:r w:rsidRPr="00936A8D">
        <w:rPr>
          <w:rFonts w:hint="eastAsia"/>
          <w:rtl/>
        </w:rPr>
        <w:t>לה</w:t>
      </w:r>
      <w:r w:rsidRPr="00936A8D">
        <w:rPr>
          <w:rtl/>
        </w:rPr>
        <w:t xml:space="preserve">"ש 30). פרמטר נוסף זה יוצר חפיפה רבה, אם כי לא מלאה, בין גישת </w:t>
      </w:r>
      <w:r w:rsidRPr="00936A8D">
        <w:rPr>
          <w:rFonts w:hint="eastAsia"/>
          <w:rtl/>
        </w:rPr>
        <w:t>סולברג</w:t>
      </w:r>
      <w:r w:rsidRPr="00936A8D">
        <w:rPr>
          <w:rtl/>
        </w:rPr>
        <w:t xml:space="preserve"> לבין גישתי, שאותה אציג כעת.</w:t>
      </w:r>
    </w:p>
    <w:p w:rsidR="0047626A" w:rsidRPr="00936A8D" w:rsidRDefault="0047626A" w:rsidP="0047626A">
      <w:pPr>
        <w:pStyle w:val="Ruller4"/>
        <w:numPr>
          <w:ilvl w:val="0"/>
          <w:numId w:val="0"/>
        </w:numPr>
      </w:pPr>
    </w:p>
    <w:p w:rsidR="0047626A" w:rsidRPr="00936A8D" w:rsidRDefault="0047626A" w:rsidP="0047626A">
      <w:pPr>
        <w:pStyle w:val="Ruller4"/>
        <w:rPr>
          <w:rtl/>
        </w:rPr>
      </w:pPr>
      <w:r w:rsidRPr="00936A8D">
        <w:rPr>
          <w:rFonts w:hint="eastAsia"/>
          <w:rtl/>
        </w:rPr>
        <w:t>הגישה</w:t>
      </w:r>
      <w:r w:rsidRPr="00936A8D">
        <w:rPr>
          <w:rtl/>
        </w:rPr>
        <w:t xml:space="preserve"> </w:t>
      </w:r>
      <w:r w:rsidRPr="00936A8D">
        <w:rPr>
          <w:rFonts w:hint="eastAsia"/>
          <w:rtl/>
        </w:rPr>
        <w:t>השלי</w:t>
      </w:r>
      <w:r>
        <w:rPr>
          <w:rFonts w:hint="cs"/>
          <w:rtl/>
        </w:rPr>
        <w:t>ש</w:t>
      </w:r>
      <w:r w:rsidRPr="00936A8D">
        <w:rPr>
          <w:rFonts w:hint="eastAsia"/>
          <w:rtl/>
        </w:rPr>
        <w:t>ית</w:t>
      </w:r>
      <w:r w:rsidRPr="00936A8D">
        <w:rPr>
          <w:rtl/>
        </w:rPr>
        <w:t xml:space="preserve"> – </w:t>
      </w:r>
      <w:r w:rsidRPr="00936A8D">
        <w:rPr>
          <w:rFonts w:hint="eastAsia"/>
          <w:rtl/>
        </w:rPr>
        <w:t>גישתי</w:t>
      </w:r>
      <w:r w:rsidRPr="00936A8D">
        <w:rPr>
          <w:rtl/>
        </w:rPr>
        <w:t xml:space="preserve"> </w:t>
      </w:r>
      <w:r w:rsidRPr="00936A8D">
        <w:rPr>
          <w:rFonts w:hint="eastAsia"/>
          <w:rtl/>
        </w:rPr>
        <w:t>שלי</w:t>
      </w:r>
      <w:r w:rsidRPr="00936A8D">
        <w:rPr>
          <w:rtl/>
        </w:rPr>
        <w:t xml:space="preserve"> – </w:t>
      </w:r>
      <w:r w:rsidRPr="00936A8D">
        <w:rPr>
          <w:rFonts w:hint="eastAsia"/>
          <w:rtl/>
        </w:rPr>
        <w:t>תיקרא</w:t>
      </w:r>
      <w:r w:rsidRPr="00936A8D">
        <w:rPr>
          <w:rtl/>
        </w:rPr>
        <w:t xml:space="preserve"> </w:t>
      </w:r>
      <w:r w:rsidRPr="00936A8D">
        <w:rPr>
          <w:rFonts w:ascii="Century" w:hAnsi="Century" w:cs="Miriam" w:hint="eastAsia"/>
          <w:b/>
          <w:spacing w:val="0"/>
          <w:sz w:val="22"/>
          <w:szCs w:val="24"/>
          <w:rtl/>
        </w:rPr>
        <w:t>הגישה</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הראייתית</w:t>
      </w:r>
      <w:r w:rsidRPr="00936A8D">
        <w:rPr>
          <w:rtl/>
        </w:rPr>
        <w:t xml:space="preserve"> </w:t>
      </w:r>
      <w:r w:rsidRPr="00936A8D">
        <w:rPr>
          <w:rFonts w:hint="eastAsia"/>
          <w:rtl/>
        </w:rPr>
        <w:t>מטעמים</w:t>
      </w:r>
      <w:r w:rsidRPr="00936A8D">
        <w:rPr>
          <w:rtl/>
        </w:rPr>
        <w:t xml:space="preserve"> </w:t>
      </w:r>
      <w:r w:rsidRPr="00936A8D">
        <w:rPr>
          <w:rFonts w:hint="eastAsia"/>
          <w:rtl/>
        </w:rPr>
        <w:t>שאבארם</w:t>
      </w:r>
      <w:r w:rsidRPr="00936A8D">
        <w:rPr>
          <w:rtl/>
        </w:rPr>
        <w:t xml:space="preserve"> </w:t>
      </w:r>
      <w:r w:rsidRPr="00936A8D">
        <w:rPr>
          <w:rFonts w:hint="eastAsia"/>
          <w:rtl/>
        </w:rPr>
        <w:t>מיד</w:t>
      </w:r>
      <w:r w:rsidRPr="00936A8D">
        <w:rPr>
          <w:rtl/>
        </w:rPr>
        <w:t xml:space="preserve">. </w:t>
      </w:r>
      <w:r w:rsidRPr="00936A8D">
        <w:rPr>
          <w:rFonts w:hint="eastAsia"/>
          <w:rtl/>
        </w:rPr>
        <w:t>גישה</w:t>
      </w:r>
      <w:r w:rsidRPr="00936A8D">
        <w:rPr>
          <w:rtl/>
        </w:rPr>
        <w:t xml:space="preserve"> </w:t>
      </w:r>
      <w:r w:rsidRPr="00936A8D">
        <w:rPr>
          <w:rFonts w:hint="eastAsia"/>
          <w:rtl/>
        </w:rPr>
        <w:t>זו</w:t>
      </w:r>
      <w:r w:rsidRPr="00936A8D">
        <w:rPr>
          <w:rtl/>
        </w:rPr>
        <w:t xml:space="preserve"> </w:t>
      </w:r>
      <w:r w:rsidRPr="00936A8D">
        <w:rPr>
          <w:rFonts w:hint="eastAsia"/>
          <w:rtl/>
        </w:rPr>
        <w:t>מחזירה</w:t>
      </w:r>
      <w:r w:rsidRPr="00936A8D">
        <w:rPr>
          <w:rtl/>
        </w:rPr>
        <w:t xml:space="preserve"> </w:t>
      </w:r>
      <w:r w:rsidRPr="00936A8D">
        <w:rPr>
          <w:rFonts w:hint="eastAsia"/>
          <w:rtl/>
        </w:rPr>
        <w:t>את</w:t>
      </w:r>
      <w:r w:rsidRPr="00936A8D">
        <w:rPr>
          <w:rtl/>
        </w:rPr>
        <w:t xml:space="preserve"> </w:t>
      </w:r>
      <w:r w:rsidRPr="00936A8D">
        <w:rPr>
          <w:rFonts w:hint="eastAsia"/>
          <w:rtl/>
        </w:rPr>
        <w:t>דוקטרינת</w:t>
      </w:r>
      <w:r w:rsidRPr="00936A8D">
        <w:rPr>
          <w:rtl/>
        </w:rPr>
        <w:t xml:space="preserve"> </w:t>
      </w:r>
      <w:r w:rsidRPr="00936A8D">
        <w:rPr>
          <w:rFonts w:hint="eastAsia"/>
          <w:rtl/>
        </w:rPr>
        <w:t>הסבירות</w:t>
      </w:r>
      <w:r w:rsidRPr="00936A8D">
        <w:rPr>
          <w:rtl/>
        </w:rPr>
        <w:t xml:space="preserve"> </w:t>
      </w:r>
      <w:r w:rsidRPr="00936A8D">
        <w:rPr>
          <w:rFonts w:hint="eastAsia"/>
          <w:rtl/>
        </w:rPr>
        <w:t>מ</w:t>
      </w:r>
      <w:r w:rsidRPr="00936A8D">
        <w:rPr>
          <w:rFonts w:ascii="Century" w:hAnsi="Century" w:hint="eastAsia"/>
          <w:sz w:val="22"/>
          <w:rtl/>
        </w:rPr>
        <w:t>נוסחת</w:t>
      </w:r>
      <w:r w:rsidRPr="00936A8D">
        <w:rPr>
          <w:rtl/>
        </w:rPr>
        <w:t xml:space="preserve"> </w:t>
      </w:r>
      <w:r w:rsidRPr="00936A8D">
        <w:rPr>
          <w:rFonts w:ascii="Century" w:hAnsi="Century" w:cs="Miriam" w:hint="eastAsia"/>
          <w:b/>
          <w:spacing w:val="0"/>
          <w:sz w:val="22"/>
          <w:szCs w:val="24"/>
          <w:rtl/>
        </w:rPr>
        <w:t>דפי</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זהב</w:t>
      </w:r>
      <w:r w:rsidRPr="00936A8D">
        <w:rPr>
          <w:rtl/>
        </w:rPr>
        <w:t xml:space="preserve"> </w:t>
      </w:r>
      <w:r w:rsidRPr="00936A8D">
        <w:rPr>
          <w:rFonts w:hint="eastAsia"/>
          <w:rtl/>
        </w:rPr>
        <w:t>אל</w:t>
      </w:r>
      <w:r w:rsidRPr="00936A8D">
        <w:rPr>
          <w:rtl/>
        </w:rPr>
        <w:t xml:space="preserve"> </w:t>
      </w:r>
      <w:r w:rsidRPr="00936A8D">
        <w:rPr>
          <w:rFonts w:hint="eastAsia"/>
          <w:rtl/>
        </w:rPr>
        <w:t>ראשית</w:t>
      </w:r>
      <w:r w:rsidRPr="00936A8D">
        <w:rPr>
          <w:rtl/>
        </w:rPr>
        <w:t xml:space="preserve"> </w:t>
      </w:r>
      <w:r w:rsidRPr="00936A8D">
        <w:rPr>
          <w:rFonts w:hint="eastAsia"/>
          <w:rtl/>
        </w:rPr>
        <w:t>דרכה</w:t>
      </w:r>
      <w:r w:rsidRPr="00936A8D">
        <w:rPr>
          <w:rtl/>
        </w:rPr>
        <w:t xml:space="preserve"> </w:t>
      </w:r>
      <w:r w:rsidRPr="00936A8D">
        <w:rPr>
          <w:rFonts w:hint="eastAsia"/>
          <w:rtl/>
        </w:rPr>
        <w:t>ואל</w:t>
      </w:r>
      <w:r w:rsidRPr="00936A8D">
        <w:rPr>
          <w:rtl/>
        </w:rPr>
        <w:t xml:space="preserve"> </w:t>
      </w:r>
      <w:r w:rsidRPr="00936A8D">
        <w:rPr>
          <w:rFonts w:hint="eastAsia"/>
          <w:rtl/>
        </w:rPr>
        <w:t>מקורה</w:t>
      </w:r>
      <w:r w:rsidRPr="00936A8D">
        <w:rPr>
          <w:rtl/>
        </w:rPr>
        <w:t xml:space="preserve"> </w:t>
      </w:r>
      <w:r w:rsidRPr="00936A8D">
        <w:rPr>
          <w:rFonts w:hint="eastAsia"/>
          <w:rtl/>
        </w:rPr>
        <w:t>במשפט</w:t>
      </w:r>
      <w:r w:rsidRPr="00936A8D">
        <w:rPr>
          <w:rtl/>
        </w:rPr>
        <w:t xml:space="preserve"> </w:t>
      </w:r>
      <w:r w:rsidRPr="00936A8D">
        <w:rPr>
          <w:rFonts w:hint="eastAsia"/>
          <w:rtl/>
        </w:rPr>
        <w:t>המקובל</w:t>
      </w:r>
      <w:r w:rsidRPr="00936A8D">
        <w:rPr>
          <w:rtl/>
        </w:rPr>
        <w:t xml:space="preserve"> </w:t>
      </w:r>
      <w:r w:rsidRPr="00936A8D">
        <w:rPr>
          <w:rFonts w:hint="eastAsia"/>
          <w:rtl/>
        </w:rPr>
        <w:t>האנגלי</w:t>
      </w:r>
      <w:r w:rsidRPr="00936A8D">
        <w:rPr>
          <w:rtl/>
        </w:rPr>
        <w:t>.</w:t>
      </w:r>
    </w:p>
    <w:p w:rsidR="0047626A" w:rsidRPr="00936A8D" w:rsidRDefault="0047626A" w:rsidP="0047626A">
      <w:pPr>
        <w:pStyle w:val="Ruller41"/>
      </w:pPr>
    </w:p>
    <w:p w:rsidR="0047626A" w:rsidRPr="00936A8D" w:rsidRDefault="0047626A" w:rsidP="0047626A">
      <w:pPr>
        <w:pStyle w:val="Ruller4"/>
        <w:numPr>
          <w:ilvl w:val="0"/>
          <w:numId w:val="0"/>
        </w:numPr>
        <w:rPr>
          <w:rtl/>
        </w:rPr>
      </w:pPr>
      <w:r w:rsidRPr="00936A8D">
        <w:rPr>
          <w:rtl/>
        </w:rPr>
        <w:tab/>
      </w:r>
      <w:r w:rsidRPr="00936A8D">
        <w:rPr>
          <w:rFonts w:hint="eastAsia"/>
          <w:rtl/>
        </w:rPr>
        <w:t>להלן</w:t>
      </w:r>
      <w:r w:rsidRPr="00936A8D">
        <w:rPr>
          <w:rtl/>
        </w:rPr>
        <w:t xml:space="preserve"> </w:t>
      </w:r>
      <w:r w:rsidRPr="00936A8D">
        <w:rPr>
          <w:rFonts w:hint="eastAsia"/>
          <w:rtl/>
        </w:rPr>
        <w:t>עיקרי</w:t>
      </w:r>
      <w:r w:rsidRPr="00936A8D">
        <w:rPr>
          <w:rtl/>
        </w:rPr>
        <w:t xml:space="preserve"> </w:t>
      </w:r>
      <w:r w:rsidRPr="00936A8D">
        <w:rPr>
          <w:rFonts w:hint="eastAsia"/>
          <w:rtl/>
        </w:rPr>
        <w:t>הגישה</w:t>
      </w:r>
      <w:r w:rsidRPr="00936A8D">
        <w:rPr>
          <w:rtl/>
        </w:rPr>
        <w:t xml:space="preserve"> </w:t>
      </w:r>
      <w:r w:rsidRPr="00936A8D">
        <w:rPr>
          <w:rFonts w:hint="eastAsia"/>
          <w:rtl/>
        </w:rPr>
        <w:t>הראייתית</w:t>
      </w:r>
      <w:r>
        <w:rPr>
          <w:rFonts w:hint="cs"/>
          <w:rtl/>
        </w:rPr>
        <w:t xml:space="preserve"> כפי שנזדמן לי להסביר</w:t>
      </w:r>
      <w:r w:rsidRPr="00936A8D">
        <w:rPr>
          <w:rtl/>
        </w:rPr>
        <w:t>:</w:t>
      </w:r>
    </w:p>
    <w:p w:rsidR="0047626A" w:rsidRPr="00936A8D" w:rsidRDefault="0047626A" w:rsidP="0047626A">
      <w:pPr>
        <w:pStyle w:val="Ruller41"/>
        <w:rPr>
          <w:rtl/>
        </w:rPr>
      </w:pPr>
    </w:p>
    <w:p w:rsidR="0047626A" w:rsidRPr="00936A8D" w:rsidRDefault="0047626A" w:rsidP="0047626A">
      <w:pPr>
        <w:pStyle w:val="Ruller5"/>
        <w:rPr>
          <w:rtl/>
        </w:rPr>
      </w:pPr>
      <w:r w:rsidRPr="00936A8D">
        <w:rPr>
          <w:rtl/>
        </w:rPr>
        <w:t>"</w:t>
      </w:r>
      <w:r w:rsidRPr="00936A8D">
        <w:rPr>
          <w:rFonts w:hint="eastAsia"/>
          <w:rtl/>
        </w:rPr>
        <w:t>בראשית</w:t>
      </w:r>
      <w:r w:rsidRPr="00936A8D">
        <w:rPr>
          <w:rtl/>
        </w:rPr>
        <w:t xml:space="preserve"> </w:t>
      </w:r>
      <w:r w:rsidRPr="00936A8D">
        <w:rPr>
          <w:rFonts w:hint="eastAsia"/>
          <w:rtl/>
        </w:rPr>
        <w:t>דרכה</w:t>
      </w:r>
      <w:r w:rsidRPr="00936A8D">
        <w:rPr>
          <w:rtl/>
        </w:rPr>
        <w:t xml:space="preserve">, </w:t>
      </w:r>
      <w:r w:rsidRPr="00936A8D">
        <w:rPr>
          <w:rFonts w:hint="eastAsia"/>
          <w:rtl/>
        </w:rPr>
        <w:t>דוקטרינת</w:t>
      </w:r>
      <w:r w:rsidRPr="00936A8D">
        <w:rPr>
          <w:rtl/>
        </w:rPr>
        <w:t xml:space="preserve"> </w:t>
      </w:r>
      <w:r w:rsidRPr="00936A8D">
        <w:rPr>
          <w:rFonts w:hint="eastAsia"/>
          <w:rtl/>
        </w:rPr>
        <w:t>הסבירות</w:t>
      </w:r>
      <w:r w:rsidRPr="00936A8D">
        <w:rPr>
          <w:rtl/>
        </w:rPr>
        <w:t xml:space="preserve"> </w:t>
      </w:r>
      <w:r w:rsidRPr="00936A8D">
        <w:rPr>
          <w:rFonts w:hint="eastAsia"/>
          <w:rtl/>
        </w:rPr>
        <w:t>הועדה</w:t>
      </w:r>
      <w:r w:rsidRPr="00936A8D">
        <w:rPr>
          <w:rtl/>
        </w:rPr>
        <w:t xml:space="preserve"> </w:t>
      </w:r>
      <w:r w:rsidRPr="00936A8D">
        <w:rPr>
          <w:rFonts w:hint="eastAsia"/>
          <w:rtl/>
        </w:rPr>
        <w:t>לפעול</w:t>
      </w:r>
      <w:r w:rsidRPr="00936A8D">
        <w:rPr>
          <w:rtl/>
        </w:rPr>
        <w:t xml:space="preserve"> </w:t>
      </w:r>
      <w:r w:rsidRPr="00936A8D">
        <w:rPr>
          <w:rFonts w:hint="eastAsia"/>
          <w:rtl/>
        </w:rPr>
        <w:t>במתכונת</w:t>
      </w:r>
      <w:r w:rsidRPr="00936A8D">
        <w:rPr>
          <w:rtl/>
        </w:rPr>
        <w:t xml:space="preserve"> </w:t>
      </w:r>
      <w:r w:rsidRPr="00936A8D">
        <w:rPr>
          <w:rFonts w:hint="eastAsia"/>
          <w:rtl/>
        </w:rPr>
        <w:t>שיורית</w:t>
      </w:r>
      <w:r w:rsidRPr="00936A8D">
        <w:rPr>
          <w:rtl/>
        </w:rPr>
        <w:t xml:space="preserve"> </w:t>
      </w:r>
      <w:r w:rsidRPr="00936A8D">
        <w:rPr>
          <w:rFonts w:hint="eastAsia"/>
          <w:rtl/>
        </w:rPr>
        <w:t>וצנועה</w:t>
      </w:r>
      <w:r w:rsidRPr="00936A8D">
        <w:rPr>
          <w:rtl/>
        </w:rPr>
        <w:t xml:space="preserve">, </w:t>
      </w:r>
      <w:r w:rsidRPr="00936A8D">
        <w:rPr>
          <w:rFonts w:hint="eastAsia"/>
          <w:rtl/>
        </w:rPr>
        <w:t>כמעין</w:t>
      </w:r>
      <w:r w:rsidRPr="00936A8D">
        <w:rPr>
          <w:rtl/>
        </w:rPr>
        <w:t xml:space="preserve"> </w:t>
      </w:r>
      <w:r w:rsidRPr="00936A8D">
        <w:rPr>
          <w:rFonts w:hint="eastAsia"/>
          <w:rtl/>
        </w:rPr>
        <w:t>חזקה</w:t>
      </w:r>
      <w:r w:rsidRPr="00936A8D">
        <w:rPr>
          <w:rtl/>
        </w:rPr>
        <w:t xml:space="preserve"> </w:t>
      </w:r>
      <w:r w:rsidRPr="00936A8D">
        <w:rPr>
          <w:rFonts w:hint="eastAsia"/>
          <w:rtl/>
        </w:rPr>
        <w:t>משפטית</w:t>
      </w:r>
      <w:r w:rsidRPr="00936A8D">
        <w:rPr>
          <w:rtl/>
        </w:rPr>
        <w:t xml:space="preserve"> </w:t>
      </w:r>
      <w:r w:rsidRPr="00936A8D">
        <w:rPr>
          <w:rFonts w:hint="eastAsia"/>
          <w:rtl/>
        </w:rPr>
        <w:t>בדבר</w:t>
      </w:r>
      <w:r w:rsidRPr="00936A8D">
        <w:rPr>
          <w:rtl/>
        </w:rPr>
        <w:t xml:space="preserve"> </w:t>
      </w:r>
      <w:r w:rsidRPr="00936A8D">
        <w:rPr>
          <w:rFonts w:hint="eastAsia"/>
          <w:rtl/>
        </w:rPr>
        <w:t>קיומם</w:t>
      </w:r>
      <w:r w:rsidRPr="00936A8D">
        <w:rPr>
          <w:rtl/>
        </w:rPr>
        <w:t xml:space="preserve"> </w:t>
      </w:r>
      <w:r w:rsidRPr="00936A8D">
        <w:rPr>
          <w:rFonts w:hint="eastAsia"/>
          <w:rtl/>
        </w:rPr>
        <w:t>של</w:t>
      </w:r>
      <w:r w:rsidRPr="00936A8D">
        <w:rPr>
          <w:rtl/>
        </w:rPr>
        <w:t xml:space="preserve"> </w:t>
      </w:r>
      <w:r w:rsidRPr="00936A8D">
        <w:rPr>
          <w:rFonts w:hint="eastAsia"/>
          <w:rtl/>
        </w:rPr>
        <w:t>שיקולים</w:t>
      </w:r>
      <w:r w:rsidRPr="00936A8D">
        <w:rPr>
          <w:rtl/>
        </w:rPr>
        <w:t xml:space="preserve"> </w:t>
      </w:r>
      <w:r w:rsidRPr="00936A8D">
        <w:rPr>
          <w:rFonts w:hint="eastAsia"/>
          <w:rtl/>
        </w:rPr>
        <w:t>זרים</w:t>
      </w:r>
      <w:r w:rsidRPr="00936A8D">
        <w:rPr>
          <w:rtl/>
        </w:rPr>
        <w:t xml:space="preserve">, </w:t>
      </w:r>
      <w:r w:rsidRPr="00936A8D">
        <w:rPr>
          <w:rFonts w:hint="eastAsia"/>
          <w:rtl/>
        </w:rPr>
        <w:t>שרירות</w:t>
      </w:r>
      <w:r w:rsidRPr="00936A8D">
        <w:rPr>
          <w:rtl/>
        </w:rPr>
        <w:t>-</w:t>
      </w:r>
      <w:r w:rsidRPr="00936A8D">
        <w:rPr>
          <w:rFonts w:hint="eastAsia"/>
          <w:rtl/>
        </w:rPr>
        <w:t>לב</w:t>
      </w:r>
      <w:r w:rsidRPr="00936A8D">
        <w:rPr>
          <w:rtl/>
        </w:rPr>
        <w:t xml:space="preserve"> </w:t>
      </w:r>
      <w:r w:rsidRPr="00936A8D">
        <w:rPr>
          <w:rFonts w:hint="eastAsia"/>
          <w:rtl/>
        </w:rPr>
        <w:t>או</w:t>
      </w:r>
      <w:r w:rsidRPr="00936A8D">
        <w:rPr>
          <w:rtl/>
        </w:rPr>
        <w:t xml:space="preserve"> </w:t>
      </w:r>
      <w:r w:rsidRPr="00936A8D">
        <w:rPr>
          <w:rFonts w:hint="eastAsia"/>
          <w:rtl/>
        </w:rPr>
        <w:t>פגם</w:t>
      </w:r>
      <w:r w:rsidRPr="00936A8D">
        <w:rPr>
          <w:rtl/>
        </w:rPr>
        <w:t xml:space="preserve"> </w:t>
      </w:r>
      <w:r w:rsidRPr="00936A8D">
        <w:rPr>
          <w:rFonts w:hint="eastAsia"/>
          <w:rtl/>
        </w:rPr>
        <w:t>חמור</w:t>
      </w:r>
      <w:r w:rsidRPr="00936A8D">
        <w:rPr>
          <w:rtl/>
        </w:rPr>
        <w:t xml:space="preserve"> </w:t>
      </w:r>
      <w:r w:rsidRPr="00936A8D">
        <w:rPr>
          <w:rFonts w:hint="eastAsia"/>
          <w:rtl/>
        </w:rPr>
        <w:t>אחר</w:t>
      </w:r>
      <w:r w:rsidRPr="00936A8D">
        <w:rPr>
          <w:rtl/>
        </w:rPr>
        <w:t xml:space="preserve"> </w:t>
      </w:r>
      <w:r w:rsidRPr="00936A8D">
        <w:rPr>
          <w:rFonts w:hint="eastAsia"/>
          <w:rtl/>
        </w:rPr>
        <w:t>בהחלטה</w:t>
      </w:r>
      <w:r w:rsidRPr="00936A8D">
        <w:rPr>
          <w:rtl/>
        </w:rPr>
        <w:t xml:space="preserve"> </w:t>
      </w:r>
      <w:r w:rsidRPr="00936A8D">
        <w:rPr>
          <w:rFonts w:hint="eastAsia"/>
          <w:rtl/>
        </w:rPr>
        <w:t>מינהלית</w:t>
      </w:r>
      <w:r w:rsidRPr="00936A8D">
        <w:rPr>
          <w:rtl/>
        </w:rPr>
        <w:t xml:space="preserve"> – </w:t>
      </w:r>
      <w:r w:rsidRPr="00936A8D">
        <w:rPr>
          <w:rFonts w:hint="eastAsia"/>
          <w:rtl/>
        </w:rPr>
        <w:t>זאת</w:t>
      </w:r>
      <w:r w:rsidRPr="00936A8D">
        <w:rPr>
          <w:rtl/>
        </w:rPr>
        <w:t xml:space="preserve">, </w:t>
      </w:r>
      <w:r w:rsidRPr="00936A8D">
        <w:rPr>
          <w:rFonts w:ascii="Century" w:hAnsi="Century" w:cs="Miriam" w:hint="eastAsia"/>
          <w:b/>
          <w:spacing w:val="0"/>
          <w:szCs w:val="24"/>
          <w:rtl/>
        </w:rPr>
        <w:t>כאשר</w:t>
      </w:r>
      <w:r w:rsidRPr="00936A8D">
        <w:rPr>
          <w:rFonts w:ascii="Century" w:hAnsi="Century" w:cs="Miriam"/>
          <w:b/>
          <w:spacing w:val="0"/>
          <w:szCs w:val="24"/>
          <w:rtl/>
        </w:rPr>
        <w:t xml:space="preserve"> </w:t>
      </w:r>
      <w:r w:rsidRPr="00936A8D">
        <w:rPr>
          <w:rFonts w:ascii="Century" w:hAnsi="Century" w:cs="Miriam" w:hint="eastAsia"/>
          <w:b/>
          <w:spacing w:val="0"/>
          <w:szCs w:val="24"/>
          <w:rtl/>
        </w:rPr>
        <w:t>ניכר</w:t>
      </w:r>
      <w:r w:rsidRPr="00936A8D">
        <w:rPr>
          <w:rFonts w:ascii="Century" w:hAnsi="Century" w:cs="Miriam"/>
          <w:b/>
          <w:spacing w:val="0"/>
          <w:szCs w:val="24"/>
          <w:rtl/>
        </w:rPr>
        <w:t xml:space="preserve"> </w:t>
      </w:r>
      <w:r w:rsidRPr="00936A8D">
        <w:rPr>
          <w:rFonts w:ascii="Century" w:hAnsi="Century" w:cs="Miriam" w:hint="eastAsia"/>
          <w:b/>
          <w:spacing w:val="0"/>
          <w:szCs w:val="24"/>
          <w:rtl/>
        </w:rPr>
        <w:t>היה</w:t>
      </w:r>
      <w:r w:rsidRPr="00936A8D">
        <w:rPr>
          <w:rFonts w:ascii="Century" w:hAnsi="Century" w:cs="Miriam"/>
          <w:b/>
          <w:spacing w:val="0"/>
          <w:szCs w:val="24"/>
          <w:rtl/>
        </w:rPr>
        <w:t xml:space="preserve"> </w:t>
      </w:r>
      <w:r w:rsidRPr="00936A8D">
        <w:rPr>
          <w:rFonts w:ascii="Century" w:hAnsi="Century" w:cs="Miriam" w:hint="eastAsia"/>
          <w:b/>
          <w:spacing w:val="0"/>
          <w:szCs w:val="24"/>
          <w:rtl/>
        </w:rPr>
        <w:t>שההחלטה</w:t>
      </w:r>
      <w:r w:rsidRPr="00936A8D">
        <w:rPr>
          <w:rFonts w:ascii="Century" w:hAnsi="Century" w:cs="Miriam"/>
          <w:b/>
          <w:spacing w:val="0"/>
          <w:szCs w:val="24"/>
          <w:rtl/>
        </w:rPr>
        <w:t xml:space="preserve"> </w:t>
      </w:r>
      <w:r w:rsidRPr="00936A8D">
        <w:rPr>
          <w:rFonts w:ascii="Century" w:hAnsi="Century" w:cs="Miriam" w:hint="eastAsia"/>
          <w:b/>
          <w:spacing w:val="0"/>
          <w:szCs w:val="24"/>
          <w:rtl/>
        </w:rPr>
        <w:t>נפגמה</w:t>
      </w:r>
      <w:r w:rsidRPr="00936A8D">
        <w:rPr>
          <w:rFonts w:ascii="Century" w:hAnsi="Century" w:cs="Miriam"/>
          <w:b/>
          <w:spacing w:val="0"/>
          <w:szCs w:val="24"/>
          <w:rtl/>
        </w:rPr>
        <w:t xml:space="preserve"> </w:t>
      </w:r>
      <w:r w:rsidRPr="00936A8D">
        <w:rPr>
          <w:rFonts w:ascii="Century" w:hAnsi="Century" w:cs="Miriam" w:hint="eastAsia"/>
          <w:b/>
          <w:spacing w:val="0"/>
          <w:szCs w:val="24"/>
          <w:rtl/>
        </w:rPr>
        <w:t>בפגם</w:t>
      </w:r>
      <w:r w:rsidRPr="00936A8D">
        <w:rPr>
          <w:rFonts w:ascii="Century" w:hAnsi="Century" w:cs="Miriam"/>
          <w:b/>
          <w:spacing w:val="0"/>
          <w:szCs w:val="24"/>
          <w:rtl/>
        </w:rPr>
        <w:t xml:space="preserve"> </w:t>
      </w:r>
      <w:r w:rsidRPr="00936A8D">
        <w:rPr>
          <w:rFonts w:ascii="Century" w:hAnsi="Century" w:cs="Miriam" w:hint="eastAsia"/>
          <w:b/>
          <w:spacing w:val="0"/>
          <w:szCs w:val="24"/>
          <w:rtl/>
        </w:rPr>
        <w:t>חמור</w:t>
      </w:r>
      <w:r w:rsidRPr="00936A8D">
        <w:rPr>
          <w:rFonts w:ascii="Century" w:hAnsi="Century" w:cs="Miriam"/>
          <w:b/>
          <w:spacing w:val="0"/>
          <w:szCs w:val="24"/>
          <w:rtl/>
        </w:rPr>
        <w:t xml:space="preserve"> </w:t>
      </w:r>
      <w:r w:rsidRPr="00936A8D">
        <w:rPr>
          <w:rFonts w:ascii="Century" w:hAnsi="Century" w:cs="Miriam" w:hint="eastAsia"/>
          <w:b/>
          <w:spacing w:val="0"/>
          <w:szCs w:val="24"/>
          <w:rtl/>
        </w:rPr>
        <w:t>כלשהו</w:t>
      </w:r>
      <w:r w:rsidRPr="00936A8D">
        <w:rPr>
          <w:rFonts w:ascii="Century" w:hAnsi="Century" w:cs="Miriam"/>
          <w:b/>
          <w:spacing w:val="0"/>
          <w:szCs w:val="24"/>
          <w:rtl/>
        </w:rPr>
        <w:t xml:space="preserve"> </w:t>
      </w:r>
      <w:r w:rsidRPr="00936A8D">
        <w:rPr>
          <w:rFonts w:ascii="Century" w:hAnsi="Century" w:cs="Miriam" w:hint="eastAsia"/>
          <w:b/>
          <w:spacing w:val="0"/>
          <w:szCs w:val="24"/>
          <w:rtl/>
        </w:rPr>
        <w:t>שאותו</w:t>
      </w:r>
      <w:r w:rsidRPr="00936A8D">
        <w:rPr>
          <w:rFonts w:ascii="Century" w:hAnsi="Century" w:cs="Miriam"/>
          <w:b/>
          <w:spacing w:val="0"/>
          <w:szCs w:val="24"/>
          <w:rtl/>
        </w:rPr>
        <w:t xml:space="preserve"> </w:t>
      </w:r>
      <w:r w:rsidRPr="00936A8D">
        <w:rPr>
          <w:rFonts w:ascii="Century" w:hAnsi="Century" w:cs="Miriam" w:hint="eastAsia"/>
          <w:b/>
          <w:spacing w:val="0"/>
          <w:szCs w:val="24"/>
          <w:rtl/>
        </w:rPr>
        <w:t>אין</w:t>
      </w:r>
      <w:r w:rsidRPr="00936A8D">
        <w:rPr>
          <w:rFonts w:ascii="Century" w:hAnsi="Century" w:cs="Miriam"/>
          <w:b/>
          <w:spacing w:val="0"/>
          <w:szCs w:val="24"/>
          <w:rtl/>
        </w:rPr>
        <w:t xml:space="preserve"> </w:t>
      </w:r>
      <w:r w:rsidRPr="00936A8D">
        <w:rPr>
          <w:rFonts w:ascii="Century" w:hAnsi="Century" w:cs="Miriam" w:hint="eastAsia"/>
          <w:b/>
          <w:spacing w:val="0"/>
          <w:szCs w:val="24"/>
          <w:rtl/>
        </w:rPr>
        <w:t>אפשרות</w:t>
      </w:r>
      <w:r w:rsidRPr="00936A8D">
        <w:rPr>
          <w:rFonts w:ascii="Century" w:hAnsi="Century" w:cs="Miriam"/>
          <w:b/>
          <w:spacing w:val="0"/>
          <w:szCs w:val="24"/>
          <w:rtl/>
        </w:rPr>
        <w:t xml:space="preserve"> </w:t>
      </w:r>
      <w:r w:rsidRPr="00936A8D">
        <w:rPr>
          <w:rFonts w:ascii="Century" w:hAnsi="Century" w:cs="Miriam" w:hint="eastAsia"/>
          <w:b/>
          <w:spacing w:val="0"/>
          <w:szCs w:val="24"/>
          <w:rtl/>
        </w:rPr>
        <w:t>להוכיח</w:t>
      </w:r>
      <w:r w:rsidRPr="00936A8D">
        <w:rPr>
          <w:rFonts w:ascii="Century" w:hAnsi="Century" w:cs="Miriam"/>
          <w:b/>
          <w:spacing w:val="0"/>
          <w:szCs w:val="24"/>
          <w:rtl/>
        </w:rPr>
        <w:t xml:space="preserve"> </w:t>
      </w:r>
      <w:r w:rsidRPr="00936A8D">
        <w:rPr>
          <w:rFonts w:ascii="Century" w:hAnsi="Century" w:cs="Miriam" w:hint="eastAsia"/>
          <w:b/>
          <w:spacing w:val="0"/>
          <w:szCs w:val="24"/>
          <w:rtl/>
        </w:rPr>
        <w:t>בשל</w:t>
      </w:r>
      <w:r w:rsidRPr="00936A8D">
        <w:rPr>
          <w:rFonts w:ascii="Century" w:hAnsi="Century" w:cs="Miriam"/>
          <w:b/>
          <w:spacing w:val="0"/>
          <w:szCs w:val="24"/>
          <w:rtl/>
        </w:rPr>
        <w:t xml:space="preserve"> </w:t>
      </w:r>
      <w:r w:rsidRPr="00936A8D">
        <w:rPr>
          <w:rFonts w:ascii="Century" w:hAnsi="Century" w:cs="Miriam" w:hint="eastAsia"/>
          <w:b/>
          <w:spacing w:val="0"/>
          <w:szCs w:val="24"/>
          <w:rtl/>
        </w:rPr>
        <w:t>מחסור</w:t>
      </w:r>
      <w:r w:rsidRPr="00936A8D">
        <w:rPr>
          <w:rFonts w:ascii="Century" w:hAnsi="Century" w:cs="Miriam"/>
          <w:b/>
          <w:spacing w:val="0"/>
          <w:szCs w:val="24"/>
          <w:rtl/>
        </w:rPr>
        <w:t xml:space="preserve"> </w:t>
      </w:r>
      <w:r w:rsidRPr="00936A8D">
        <w:rPr>
          <w:rFonts w:ascii="Century" w:hAnsi="Century" w:cs="Miriam" w:hint="eastAsia"/>
          <w:b/>
          <w:spacing w:val="0"/>
          <w:szCs w:val="24"/>
          <w:rtl/>
        </w:rPr>
        <w:t>בראיות</w:t>
      </w:r>
      <w:r w:rsidRPr="00936A8D">
        <w:rPr>
          <w:rFonts w:ascii="Century" w:hAnsi="Century" w:cs="Miriam"/>
          <w:b/>
          <w:spacing w:val="0"/>
          <w:szCs w:val="24"/>
          <w:rtl/>
        </w:rPr>
        <w:t xml:space="preserve"> </w:t>
      </w:r>
      <w:r w:rsidRPr="00936A8D">
        <w:rPr>
          <w:rFonts w:ascii="Century" w:hAnsi="Century" w:cs="Miriam" w:hint="eastAsia"/>
          <w:b/>
          <w:spacing w:val="0"/>
          <w:szCs w:val="24"/>
          <w:rtl/>
        </w:rPr>
        <w:t>או</w:t>
      </w:r>
      <w:r w:rsidRPr="00936A8D">
        <w:rPr>
          <w:rFonts w:ascii="Century" w:hAnsi="Century" w:cs="Miriam"/>
          <w:b/>
          <w:spacing w:val="0"/>
          <w:szCs w:val="24"/>
          <w:rtl/>
        </w:rPr>
        <w:t xml:space="preserve"> </w:t>
      </w:r>
      <w:r w:rsidRPr="00936A8D">
        <w:rPr>
          <w:rFonts w:ascii="Century" w:hAnsi="Century" w:cs="Miriam" w:hint="eastAsia"/>
          <w:b/>
          <w:spacing w:val="0"/>
          <w:szCs w:val="24"/>
          <w:rtl/>
        </w:rPr>
        <w:t>מסיבה</w:t>
      </w:r>
      <w:r w:rsidRPr="00936A8D">
        <w:rPr>
          <w:rFonts w:ascii="Century" w:hAnsi="Century" w:cs="Miriam"/>
          <w:b/>
          <w:spacing w:val="0"/>
          <w:szCs w:val="24"/>
          <w:rtl/>
        </w:rPr>
        <w:t xml:space="preserve"> </w:t>
      </w:r>
      <w:r w:rsidRPr="00936A8D">
        <w:rPr>
          <w:rFonts w:ascii="Century" w:hAnsi="Century" w:cs="Miriam" w:hint="eastAsia"/>
          <w:b/>
          <w:spacing w:val="0"/>
          <w:szCs w:val="24"/>
          <w:rtl/>
        </w:rPr>
        <w:t>אחרת</w:t>
      </w:r>
      <w:r w:rsidRPr="00936A8D">
        <w:rPr>
          <w:rFonts w:ascii="Century" w:hAnsi="Century" w:cs="Miriam"/>
          <w:b/>
          <w:spacing w:val="0"/>
          <w:szCs w:val="24"/>
          <w:rtl/>
        </w:rPr>
        <w:t xml:space="preserve">. </w:t>
      </w:r>
      <w:r w:rsidRPr="00936A8D">
        <w:rPr>
          <w:rFonts w:ascii="Century" w:hAnsi="Century" w:cs="Miriam" w:hint="eastAsia"/>
          <w:b/>
          <w:spacing w:val="0"/>
          <w:szCs w:val="24"/>
          <w:rtl/>
        </w:rPr>
        <w:t>באין</w:t>
      </w:r>
      <w:r w:rsidRPr="00936A8D">
        <w:rPr>
          <w:rFonts w:ascii="Century" w:hAnsi="Century" w:cs="Miriam"/>
          <w:b/>
          <w:spacing w:val="0"/>
          <w:szCs w:val="24"/>
          <w:rtl/>
        </w:rPr>
        <w:t xml:space="preserve"> </w:t>
      </w:r>
      <w:r w:rsidRPr="00936A8D">
        <w:rPr>
          <w:rFonts w:ascii="Century" w:hAnsi="Century" w:cs="Miriam" w:hint="eastAsia"/>
          <w:b/>
          <w:spacing w:val="0"/>
          <w:szCs w:val="24"/>
          <w:rtl/>
        </w:rPr>
        <w:t>אפשרות</w:t>
      </w:r>
      <w:r w:rsidRPr="00936A8D">
        <w:rPr>
          <w:rFonts w:ascii="Century" w:hAnsi="Century" w:cs="Miriam"/>
          <w:b/>
          <w:spacing w:val="0"/>
          <w:szCs w:val="24"/>
          <w:rtl/>
        </w:rPr>
        <w:t xml:space="preserve"> </w:t>
      </w:r>
      <w:r w:rsidRPr="00936A8D">
        <w:rPr>
          <w:rFonts w:ascii="Century" w:hAnsi="Century" w:cs="Miriam" w:hint="eastAsia"/>
          <w:b/>
          <w:spacing w:val="0"/>
          <w:szCs w:val="24"/>
          <w:rtl/>
        </w:rPr>
        <w:t>להוכיח</w:t>
      </w:r>
      <w:r w:rsidRPr="00936A8D">
        <w:rPr>
          <w:rFonts w:ascii="Century" w:hAnsi="Century" w:cs="Miriam"/>
          <w:b/>
          <w:spacing w:val="0"/>
          <w:szCs w:val="24"/>
          <w:rtl/>
        </w:rPr>
        <w:t xml:space="preserve"> </w:t>
      </w:r>
      <w:r w:rsidRPr="00936A8D">
        <w:rPr>
          <w:rFonts w:ascii="Century" w:hAnsi="Century" w:cs="Miriam" w:hint="eastAsia"/>
          <w:b/>
          <w:spacing w:val="0"/>
          <w:szCs w:val="24"/>
          <w:rtl/>
        </w:rPr>
        <w:t>את</w:t>
      </w:r>
      <w:r w:rsidRPr="00936A8D">
        <w:rPr>
          <w:rFonts w:ascii="Century" w:hAnsi="Century" w:cs="Miriam"/>
          <w:b/>
          <w:spacing w:val="0"/>
          <w:szCs w:val="24"/>
          <w:rtl/>
        </w:rPr>
        <w:t xml:space="preserve"> </w:t>
      </w:r>
      <w:r w:rsidRPr="00936A8D">
        <w:rPr>
          <w:rFonts w:ascii="Century" w:hAnsi="Century" w:cs="Miriam" w:hint="eastAsia"/>
          <w:b/>
          <w:spacing w:val="0"/>
          <w:szCs w:val="24"/>
          <w:rtl/>
        </w:rPr>
        <w:t>מהותו</w:t>
      </w:r>
      <w:r w:rsidRPr="00936A8D">
        <w:rPr>
          <w:rFonts w:ascii="Century" w:hAnsi="Century" w:cs="Miriam"/>
          <w:b/>
          <w:spacing w:val="0"/>
          <w:szCs w:val="24"/>
          <w:rtl/>
        </w:rPr>
        <w:t xml:space="preserve"> </w:t>
      </w:r>
      <w:r w:rsidRPr="00936A8D">
        <w:rPr>
          <w:rFonts w:ascii="Century" w:hAnsi="Century" w:cs="Miriam" w:hint="eastAsia"/>
          <w:b/>
          <w:spacing w:val="0"/>
          <w:szCs w:val="24"/>
          <w:rtl/>
        </w:rPr>
        <w:t>של</w:t>
      </w:r>
      <w:r w:rsidRPr="00936A8D">
        <w:rPr>
          <w:rFonts w:ascii="Century" w:hAnsi="Century" w:cs="Miriam"/>
          <w:b/>
          <w:spacing w:val="0"/>
          <w:szCs w:val="24"/>
          <w:rtl/>
        </w:rPr>
        <w:t xml:space="preserve"> </w:t>
      </w:r>
      <w:r w:rsidRPr="00936A8D">
        <w:rPr>
          <w:rFonts w:ascii="Century" w:hAnsi="Century" w:cs="Miriam" w:hint="eastAsia"/>
          <w:b/>
          <w:spacing w:val="0"/>
          <w:szCs w:val="24"/>
          <w:rtl/>
        </w:rPr>
        <w:t>הפגם</w:t>
      </w:r>
      <w:r w:rsidRPr="00936A8D">
        <w:rPr>
          <w:rFonts w:ascii="Century" w:hAnsi="Century" w:cs="Miriam"/>
          <w:b/>
          <w:spacing w:val="0"/>
          <w:szCs w:val="24"/>
          <w:rtl/>
        </w:rPr>
        <w:t xml:space="preserve">, </w:t>
      </w:r>
      <w:r w:rsidRPr="00936A8D">
        <w:rPr>
          <w:rFonts w:ascii="Century" w:hAnsi="Century" w:cs="Miriam" w:hint="eastAsia"/>
          <w:b/>
          <w:spacing w:val="0"/>
          <w:szCs w:val="24"/>
          <w:rtl/>
        </w:rPr>
        <w:t>אפשרה</w:t>
      </w:r>
      <w:r w:rsidRPr="00936A8D">
        <w:rPr>
          <w:rFonts w:ascii="Century" w:hAnsi="Century" w:cs="Miriam"/>
          <w:b/>
          <w:spacing w:val="0"/>
          <w:szCs w:val="24"/>
          <w:rtl/>
        </w:rPr>
        <w:t xml:space="preserve"> </w:t>
      </w:r>
      <w:r w:rsidRPr="00936A8D">
        <w:rPr>
          <w:rFonts w:ascii="Century" w:hAnsi="Century" w:cs="Miriam" w:hint="eastAsia"/>
          <w:b/>
          <w:spacing w:val="0"/>
          <w:szCs w:val="24"/>
          <w:rtl/>
        </w:rPr>
        <w:t>הדוקטרינה</w:t>
      </w:r>
      <w:r w:rsidRPr="00936A8D">
        <w:rPr>
          <w:rFonts w:ascii="Century" w:hAnsi="Century" w:cs="Miriam"/>
          <w:b/>
          <w:spacing w:val="0"/>
          <w:szCs w:val="24"/>
          <w:rtl/>
        </w:rPr>
        <w:t xml:space="preserve"> </w:t>
      </w:r>
      <w:r w:rsidRPr="00936A8D">
        <w:rPr>
          <w:rFonts w:ascii="Century" w:hAnsi="Century" w:cs="Miriam" w:hint="eastAsia"/>
          <w:b/>
          <w:spacing w:val="0"/>
          <w:szCs w:val="24"/>
          <w:rtl/>
        </w:rPr>
        <w:t>לפסול</w:t>
      </w:r>
      <w:r w:rsidRPr="00936A8D">
        <w:rPr>
          <w:rFonts w:ascii="Century" w:hAnsi="Century" w:cs="Miriam"/>
          <w:b/>
          <w:spacing w:val="0"/>
          <w:szCs w:val="24"/>
          <w:rtl/>
        </w:rPr>
        <w:t xml:space="preserve"> </w:t>
      </w:r>
      <w:r w:rsidRPr="00936A8D">
        <w:rPr>
          <w:rFonts w:ascii="Century" w:hAnsi="Century" w:cs="Miriam" w:hint="eastAsia"/>
          <w:b/>
          <w:spacing w:val="0"/>
          <w:szCs w:val="24"/>
          <w:rtl/>
        </w:rPr>
        <w:t>את</w:t>
      </w:r>
      <w:r w:rsidRPr="00936A8D">
        <w:rPr>
          <w:rFonts w:ascii="Century" w:hAnsi="Century" w:cs="Miriam"/>
          <w:b/>
          <w:spacing w:val="0"/>
          <w:szCs w:val="24"/>
          <w:rtl/>
        </w:rPr>
        <w:t xml:space="preserve"> </w:t>
      </w:r>
      <w:r w:rsidRPr="00936A8D">
        <w:rPr>
          <w:rFonts w:ascii="Century" w:hAnsi="Century" w:cs="Miriam" w:hint="eastAsia"/>
          <w:b/>
          <w:spacing w:val="0"/>
          <w:szCs w:val="24"/>
          <w:rtl/>
        </w:rPr>
        <w:t>ההחלטה</w:t>
      </w:r>
      <w:r w:rsidRPr="00936A8D">
        <w:rPr>
          <w:rFonts w:ascii="Century" w:hAnsi="Century" w:cs="Miriam"/>
          <w:b/>
          <w:spacing w:val="0"/>
          <w:szCs w:val="24"/>
          <w:rtl/>
        </w:rPr>
        <w:t xml:space="preserve"> </w:t>
      </w:r>
      <w:r w:rsidRPr="00936A8D">
        <w:rPr>
          <w:rFonts w:ascii="Century" w:hAnsi="Century" w:cs="Miriam" w:hint="eastAsia"/>
          <w:b/>
          <w:spacing w:val="0"/>
          <w:szCs w:val="24"/>
          <w:rtl/>
        </w:rPr>
        <w:t>המינהלית</w:t>
      </w:r>
      <w:r w:rsidRPr="00936A8D">
        <w:rPr>
          <w:rFonts w:ascii="Century" w:hAnsi="Century" w:cs="Miriam"/>
          <w:b/>
          <w:spacing w:val="0"/>
          <w:szCs w:val="24"/>
          <w:rtl/>
        </w:rPr>
        <w:t xml:space="preserve"> </w:t>
      </w:r>
      <w:r w:rsidRPr="00936A8D">
        <w:rPr>
          <w:rFonts w:ascii="Century" w:hAnsi="Century" w:cs="Miriam" w:hint="eastAsia"/>
          <w:b/>
          <w:spacing w:val="0"/>
          <w:szCs w:val="24"/>
          <w:rtl/>
        </w:rPr>
        <w:t>בשל</w:t>
      </w:r>
      <w:r w:rsidRPr="00936A8D">
        <w:rPr>
          <w:rFonts w:ascii="Century" w:hAnsi="Century" w:cs="Miriam"/>
          <w:b/>
          <w:spacing w:val="0"/>
          <w:szCs w:val="24"/>
          <w:rtl/>
        </w:rPr>
        <w:t xml:space="preserve"> </w:t>
      </w:r>
      <w:r w:rsidRPr="00936A8D">
        <w:rPr>
          <w:rFonts w:ascii="Century" w:hAnsi="Century" w:cs="Miriam" w:hint="eastAsia"/>
          <w:b/>
          <w:spacing w:val="0"/>
          <w:szCs w:val="24"/>
          <w:rtl/>
        </w:rPr>
        <w:t>היותה</w:t>
      </w:r>
      <w:r w:rsidRPr="00936A8D">
        <w:rPr>
          <w:rFonts w:ascii="Century" w:hAnsi="Century" w:cs="Miriam"/>
          <w:b/>
          <w:spacing w:val="0"/>
          <w:szCs w:val="24"/>
          <w:rtl/>
        </w:rPr>
        <w:t xml:space="preserve"> – </w:t>
      </w:r>
      <w:r w:rsidRPr="00936A8D">
        <w:rPr>
          <w:rFonts w:ascii="Century" w:hAnsi="Century" w:cs="Miriam" w:hint="eastAsia"/>
          <w:b/>
          <w:spacing w:val="0"/>
          <w:szCs w:val="24"/>
          <w:rtl/>
        </w:rPr>
        <w:t>על</w:t>
      </w:r>
      <w:r w:rsidRPr="00936A8D">
        <w:rPr>
          <w:rFonts w:ascii="Century" w:hAnsi="Century" w:cs="Miriam"/>
          <w:b/>
          <w:spacing w:val="0"/>
          <w:szCs w:val="24"/>
          <w:rtl/>
        </w:rPr>
        <w:t xml:space="preserve"> </w:t>
      </w:r>
      <w:r w:rsidRPr="00936A8D">
        <w:rPr>
          <w:rFonts w:ascii="Century" w:hAnsi="Century" w:cs="Miriam" w:hint="eastAsia"/>
          <w:b/>
          <w:spacing w:val="0"/>
          <w:szCs w:val="24"/>
          <w:rtl/>
        </w:rPr>
        <w:t>פניה</w:t>
      </w:r>
      <w:r w:rsidRPr="00936A8D">
        <w:rPr>
          <w:rFonts w:ascii="Century" w:hAnsi="Century" w:cs="Miriam"/>
          <w:b/>
          <w:spacing w:val="0"/>
          <w:szCs w:val="24"/>
          <w:rtl/>
        </w:rPr>
        <w:t xml:space="preserve"> – </w:t>
      </w:r>
      <w:r w:rsidRPr="00936A8D">
        <w:rPr>
          <w:rFonts w:ascii="Century" w:hAnsi="Century" w:cs="Miriam" w:hint="eastAsia"/>
          <w:b/>
          <w:spacing w:val="0"/>
          <w:szCs w:val="24"/>
          <w:rtl/>
        </w:rPr>
        <w:t>בלתי</w:t>
      </w:r>
      <w:r w:rsidRPr="00936A8D">
        <w:rPr>
          <w:rFonts w:ascii="Century" w:hAnsi="Century" w:cs="Miriam"/>
          <w:b/>
          <w:spacing w:val="0"/>
          <w:szCs w:val="24"/>
          <w:rtl/>
        </w:rPr>
        <w:t xml:space="preserve"> </w:t>
      </w:r>
      <w:r w:rsidRPr="00936A8D">
        <w:rPr>
          <w:rFonts w:ascii="Century" w:hAnsi="Century" w:cs="Miriam" w:hint="eastAsia"/>
          <w:b/>
          <w:spacing w:val="0"/>
          <w:szCs w:val="24"/>
          <w:rtl/>
        </w:rPr>
        <w:t>סבירה</w:t>
      </w:r>
      <w:r w:rsidRPr="00936A8D">
        <w:rPr>
          <w:rFonts w:ascii="Century" w:hAnsi="Century" w:cs="Miriam"/>
          <w:b/>
          <w:spacing w:val="0"/>
          <w:szCs w:val="24"/>
          <w:rtl/>
        </w:rPr>
        <w:t xml:space="preserve"> </w:t>
      </w:r>
      <w:r w:rsidRPr="00936A8D">
        <w:rPr>
          <w:rFonts w:ascii="Century" w:hAnsi="Century" w:cs="Miriam" w:hint="eastAsia"/>
          <w:b/>
          <w:spacing w:val="0"/>
          <w:szCs w:val="24"/>
          <w:rtl/>
        </w:rPr>
        <w:t>בעליל</w:t>
      </w:r>
      <w:r w:rsidRPr="00936A8D">
        <w:rPr>
          <w:rFonts w:ascii="Century" w:hAnsi="Century" w:cs="Miriam"/>
          <w:b/>
          <w:spacing w:val="0"/>
          <w:szCs w:val="24"/>
          <w:rtl/>
        </w:rPr>
        <w:t xml:space="preserve">, </w:t>
      </w:r>
      <w:r w:rsidRPr="00936A8D">
        <w:rPr>
          <w:rFonts w:ascii="Century" w:hAnsi="Century" w:cs="Miriam" w:hint="eastAsia"/>
          <w:b/>
          <w:spacing w:val="0"/>
          <w:szCs w:val="24"/>
          <w:rtl/>
        </w:rPr>
        <w:t>או</w:t>
      </w:r>
      <w:r w:rsidRPr="00936A8D">
        <w:rPr>
          <w:rFonts w:ascii="Century" w:hAnsi="Century" w:cs="Miriam"/>
          <w:b/>
          <w:spacing w:val="0"/>
          <w:szCs w:val="24"/>
          <w:rtl/>
        </w:rPr>
        <w:t xml:space="preserve"> </w:t>
      </w:r>
      <w:r w:rsidRPr="00936A8D">
        <w:rPr>
          <w:rFonts w:ascii="Century" w:hAnsi="Century" w:cs="Miriam" w:hint="eastAsia"/>
          <w:b/>
          <w:spacing w:val="0"/>
          <w:szCs w:val="24"/>
          <w:rtl/>
        </w:rPr>
        <w:t>בלתי</w:t>
      </w:r>
      <w:r w:rsidRPr="00936A8D">
        <w:rPr>
          <w:rFonts w:ascii="Century" w:hAnsi="Century" w:cs="Miriam"/>
          <w:b/>
          <w:spacing w:val="0"/>
          <w:szCs w:val="24"/>
          <w:rtl/>
        </w:rPr>
        <w:t xml:space="preserve"> </w:t>
      </w:r>
      <w:r w:rsidRPr="00936A8D">
        <w:rPr>
          <w:rFonts w:ascii="Century" w:hAnsi="Century" w:cs="Miriam" w:hint="eastAsia"/>
          <w:b/>
          <w:spacing w:val="0"/>
          <w:szCs w:val="24"/>
          <w:rtl/>
        </w:rPr>
        <w:t>סבירה</w:t>
      </w:r>
      <w:r w:rsidRPr="00936A8D">
        <w:rPr>
          <w:rFonts w:ascii="Century" w:hAnsi="Century" w:cs="Miriam"/>
          <w:b/>
          <w:spacing w:val="0"/>
          <w:szCs w:val="24"/>
          <w:rtl/>
        </w:rPr>
        <w:t xml:space="preserve"> </w:t>
      </w:r>
      <w:r w:rsidRPr="00936A8D">
        <w:rPr>
          <w:rFonts w:ascii="Century" w:hAnsi="Century" w:cs="Miriam" w:hint="eastAsia"/>
          <w:b/>
          <w:spacing w:val="0"/>
          <w:szCs w:val="24"/>
          <w:rtl/>
        </w:rPr>
        <w:t>באופן</w:t>
      </w:r>
      <w:r w:rsidRPr="00936A8D">
        <w:rPr>
          <w:rFonts w:ascii="Century" w:hAnsi="Century" w:cs="Miriam"/>
          <w:b/>
          <w:spacing w:val="0"/>
          <w:szCs w:val="24"/>
          <w:rtl/>
        </w:rPr>
        <w:t xml:space="preserve"> </w:t>
      </w:r>
      <w:r w:rsidRPr="00936A8D">
        <w:rPr>
          <w:rFonts w:ascii="Century" w:hAnsi="Century" w:cs="Miriam" w:hint="eastAsia"/>
          <w:b/>
          <w:spacing w:val="0"/>
          <w:szCs w:val="24"/>
          <w:rtl/>
        </w:rPr>
        <w:t>קיצוני</w:t>
      </w:r>
      <w:r w:rsidRPr="00936A8D">
        <w:rPr>
          <w:rtl/>
        </w:rPr>
        <w:t xml:space="preserve"> [...] </w:t>
      </w:r>
      <w:r w:rsidRPr="00936A8D">
        <w:rPr>
          <w:rFonts w:hint="eastAsia"/>
          <w:rtl/>
        </w:rPr>
        <w:t>מתכונת</w:t>
      </w:r>
      <w:r w:rsidRPr="00936A8D">
        <w:rPr>
          <w:rtl/>
        </w:rPr>
        <w:t xml:space="preserve"> </w:t>
      </w:r>
      <w:r w:rsidRPr="00936A8D">
        <w:rPr>
          <w:rFonts w:hint="eastAsia"/>
          <w:rtl/>
        </w:rPr>
        <w:t>זו</w:t>
      </w:r>
      <w:r w:rsidRPr="00936A8D">
        <w:rPr>
          <w:rtl/>
        </w:rPr>
        <w:t xml:space="preserve"> </w:t>
      </w:r>
      <w:r w:rsidRPr="00936A8D">
        <w:rPr>
          <w:rFonts w:hint="eastAsia"/>
          <w:rtl/>
        </w:rPr>
        <w:t>של</w:t>
      </w:r>
      <w:r w:rsidRPr="00936A8D">
        <w:rPr>
          <w:rtl/>
        </w:rPr>
        <w:t xml:space="preserve"> </w:t>
      </w:r>
      <w:r w:rsidRPr="00936A8D">
        <w:rPr>
          <w:rFonts w:hint="eastAsia"/>
          <w:rtl/>
        </w:rPr>
        <w:t>הפעלת</w:t>
      </w:r>
      <w:r w:rsidRPr="00936A8D">
        <w:rPr>
          <w:rtl/>
        </w:rPr>
        <w:t xml:space="preserve"> </w:t>
      </w:r>
      <w:r w:rsidRPr="00936A8D">
        <w:rPr>
          <w:rFonts w:hint="eastAsia"/>
          <w:rtl/>
        </w:rPr>
        <w:t>הדוקטרינה</w:t>
      </w:r>
      <w:r w:rsidRPr="00936A8D">
        <w:rPr>
          <w:rtl/>
        </w:rPr>
        <w:t xml:space="preserve"> </w:t>
      </w:r>
      <w:r w:rsidRPr="00936A8D">
        <w:rPr>
          <w:rFonts w:hint="eastAsia"/>
          <w:rtl/>
        </w:rPr>
        <w:t>היתה</w:t>
      </w:r>
      <w:r w:rsidRPr="00936A8D">
        <w:rPr>
          <w:rtl/>
        </w:rPr>
        <w:t xml:space="preserve"> </w:t>
      </w:r>
      <w:r w:rsidRPr="00936A8D">
        <w:rPr>
          <w:rFonts w:hint="eastAsia"/>
          <w:rtl/>
        </w:rPr>
        <w:t>זהה</w:t>
      </w:r>
      <w:r w:rsidRPr="00936A8D">
        <w:rPr>
          <w:rtl/>
        </w:rPr>
        <w:t xml:space="preserve"> </w:t>
      </w:r>
      <w:r w:rsidRPr="00936A8D">
        <w:rPr>
          <w:rFonts w:hint="eastAsia"/>
          <w:rtl/>
        </w:rPr>
        <w:t>מבחינה</w:t>
      </w:r>
      <w:r w:rsidRPr="00936A8D">
        <w:rPr>
          <w:rtl/>
        </w:rPr>
        <w:t xml:space="preserve"> </w:t>
      </w:r>
      <w:r w:rsidRPr="00936A8D">
        <w:rPr>
          <w:rFonts w:hint="eastAsia"/>
          <w:rtl/>
        </w:rPr>
        <w:t>פונקציונלית</w:t>
      </w:r>
      <w:r w:rsidRPr="00936A8D">
        <w:rPr>
          <w:rtl/>
        </w:rPr>
        <w:t xml:space="preserve"> </w:t>
      </w:r>
      <w:r w:rsidRPr="00936A8D">
        <w:rPr>
          <w:rFonts w:hint="eastAsia"/>
          <w:rtl/>
        </w:rPr>
        <w:t>לפועלו</w:t>
      </w:r>
      <w:r w:rsidRPr="00936A8D">
        <w:rPr>
          <w:rtl/>
        </w:rPr>
        <w:t xml:space="preserve"> </w:t>
      </w:r>
      <w:r w:rsidRPr="00936A8D">
        <w:rPr>
          <w:rFonts w:hint="eastAsia"/>
          <w:rtl/>
        </w:rPr>
        <w:t>של</w:t>
      </w:r>
      <w:r w:rsidRPr="00936A8D">
        <w:rPr>
          <w:rtl/>
        </w:rPr>
        <w:t xml:space="preserve"> </w:t>
      </w:r>
      <w:r w:rsidRPr="00936A8D">
        <w:rPr>
          <w:rFonts w:hint="eastAsia"/>
          <w:rtl/>
        </w:rPr>
        <w:t>הכלל</w:t>
      </w:r>
      <w:r w:rsidRPr="00936A8D">
        <w:rPr>
          <w:rtl/>
        </w:rPr>
        <w:t xml:space="preserve"> '</w:t>
      </w:r>
      <w:r w:rsidRPr="00936A8D">
        <w:rPr>
          <w:rFonts w:hint="eastAsia"/>
          <w:rtl/>
        </w:rPr>
        <w:t>הדבר</w:t>
      </w:r>
      <w:r w:rsidRPr="00936A8D">
        <w:rPr>
          <w:rtl/>
        </w:rPr>
        <w:t xml:space="preserve"> </w:t>
      </w:r>
      <w:r w:rsidRPr="00936A8D">
        <w:rPr>
          <w:rFonts w:hint="eastAsia"/>
          <w:rtl/>
        </w:rPr>
        <w:t>מעיד</w:t>
      </w:r>
      <w:r w:rsidRPr="00936A8D">
        <w:rPr>
          <w:rtl/>
        </w:rPr>
        <w:t xml:space="preserve"> </w:t>
      </w:r>
      <w:r w:rsidRPr="00936A8D">
        <w:rPr>
          <w:rFonts w:hint="eastAsia"/>
          <w:rtl/>
        </w:rPr>
        <w:t>על</w:t>
      </w:r>
      <w:r w:rsidRPr="00936A8D">
        <w:rPr>
          <w:rtl/>
        </w:rPr>
        <w:t xml:space="preserve"> </w:t>
      </w:r>
      <w:r w:rsidRPr="00936A8D">
        <w:rPr>
          <w:rFonts w:hint="eastAsia"/>
          <w:rtl/>
        </w:rPr>
        <w:t>עצמו</w:t>
      </w:r>
      <w:r w:rsidRPr="00936A8D">
        <w:rPr>
          <w:rtl/>
        </w:rPr>
        <w:t xml:space="preserve">' </w:t>
      </w:r>
      <w:r w:rsidRPr="00936A8D">
        <w:rPr>
          <w:rFonts w:hint="eastAsia"/>
          <w:rtl/>
        </w:rPr>
        <w:t>בגדרם</w:t>
      </w:r>
      <w:r w:rsidRPr="00936A8D">
        <w:rPr>
          <w:rtl/>
        </w:rPr>
        <w:t xml:space="preserve"> </w:t>
      </w:r>
      <w:r w:rsidRPr="00936A8D">
        <w:rPr>
          <w:rFonts w:hint="eastAsia"/>
          <w:rtl/>
        </w:rPr>
        <w:t>של</w:t>
      </w:r>
      <w:r w:rsidRPr="00936A8D">
        <w:rPr>
          <w:rtl/>
        </w:rPr>
        <w:t xml:space="preserve"> </w:t>
      </w:r>
      <w:r w:rsidRPr="00936A8D">
        <w:rPr>
          <w:rFonts w:hint="eastAsia"/>
          <w:rtl/>
        </w:rPr>
        <w:t>דיני</w:t>
      </w:r>
      <w:r w:rsidRPr="00936A8D">
        <w:rPr>
          <w:rtl/>
        </w:rPr>
        <w:t xml:space="preserve"> </w:t>
      </w:r>
      <w:r w:rsidRPr="00936A8D">
        <w:rPr>
          <w:rFonts w:hint="eastAsia"/>
          <w:rtl/>
        </w:rPr>
        <w:t>הנזיקין</w:t>
      </w:r>
      <w:r w:rsidRPr="00936A8D">
        <w:rPr>
          <w:rtl/>
        </w:rPr>
        <w:t xml:space="preserve">, </w:t>
      </w:r>
      <w:r w:rsidRPr="00936A8D">
        <w:rPr>
          <w:rFonts w:hint="eastAsia"/>
          <w:rtl/>
        </w:rPr>
        <w:t>אשר</w:t>
      </w:r>
      <w:r w:rsidRPr="00936A8D">
        <w:rPr>
          <w:rtl/>
        </w:rPr>
        <w:t xml:space="preserve"> </w:t>
      </w:r>
      <w:r w:rsidRPr="00936A8D">
        <w:rPr>
          <w:rFonts w:hint="eastAsia"/>
          <w:rtl/>
        </w:rPr>
        <w:t>מאפשר</w:t>
      </w:r>
      <w:r w:rsidRPr="00936A8D">
        <w:rPr>
          <w:rtl/>
        </w:rPr>
        <w:t xml:space="preserve"> </w:t>
      </w:r>
      <w:r w:rsidRPr="00936A8D">
        <w:rPr>
          <w:rFonts w:hint="eastAsia"/>
          <w:rtl/>
        </w:rPr>
        <w:t>לתובע</w:t>
      </w:r>
      <w:r w:rsidRPr="00936A8D">
        <w:rPr>
          <w:rtl/>
        </w:rPr>
        <w:t xml:space="preserve"> </w:t>
      </w:r>
      <w:r w:rsidRPr="00936A8D">
        <w:rPr>
          <w:rFonts w:hint="eastAsia"/>
          <w:rtl/>
        </w:rPr>
        <w:t>לבסס</w:t>
      </w:r>
      <w:r w:rsidRPr="00936A8D">
        <w:rPr>
          <w:rtl/>
        </w:rPr>
        <w:t xml:space="preserve"> </w:t>
      </w:r>
      <w:r w:rsidRPr="00936A8D">
        <w:rPr>
          <w:rFonts w:hint="eastAsia"/>
          <w:rtl/>
        </w:rPr>
        <w:t>את</w:t>
      </w:r>
      <w:r w:rsidRPr="00936A8D">
        <w:rPr>
          <w:rtl/>
        </w:rPr>
        <w:t xml:space="preserve"> </w:t>
      </w:r>
      <w:r w:rsidRPr="00936A8D">
        <w:rPr>
          <w:rFonts w:hint="eastAsia"/>
          <w:rtl/>
        </w:rPr>
        <w:t>טענתו</w:t>
      </w:r>
      <w:r w:rsidRPr="00936A8D">
        <w:rPr>
          <w:rtl/>
        </w:rPr>
        <w:t xml:space="preserve"> </w:t>
      </w:r>
      <w:r w:rsidRPr="00936A8D">
        <w:rPr>
          <w:rFonts w:hint="eastAsia"/>
          <w:rtl/>
        </w:rPr>
        <w:t>בדבר</w:t>
      </w:r>
      <w:r w:rsidRPr="00936A8D">
        <w:rPr>
          <w:rtl/>
        </w:rPr>
        <w:t xml:space="preserve"> </w:t>
      </w:r>
      <w:r w:rsidRPr="00936A8D">
        <w:rPr>
          <w:rFonts w:hint="eastAsia"/>
          <w:rtl/>
        </w:rPr>
        <w:t>התרשלות</w:t>
      </w:r>
      <w:r w:rsidRPr="00936A8D">
        <w:rPr>
          <w:rtl/>
        </w:rPr>
        <w:t xml:space="preserve"> </w:t>
      </w:r>
      <w:r w:rsidRPr="00936A8D">
        <w:rPr>
          <w:rFonts w:hint="eastAsia"/>
          <w:rtl/>
        </w:rPr>
        <w:t>הנתבע</w:t>
      </w:r>
      <w:r w:rsidRPr="00936A8D">
        <w:rPr>
          <w:rtl/>
        </w:rPr>
        <w:t xml:space="preserve"> </w:t>
      </w:r>
      <w:r w:rsidRPr="00936A8D">
        <w:rPr>
          <w:rFonts w:hint="eastAsia"/>
          <w:rtl/>
        </w:rPr>
        <w:t>מבלי</w:t>
      </w:r>
      <w:r w:rsidRPr="00936A8D">
        <w:rPr>
          <w:rtl/>
        </w:rPr>
        <w:t xml:space="preserve"> </w:t>
      </w:r>
      <w:r w:rsidRPr="00936A8D">
        <w:rPr>
          <w:rFonts w:hint="eastAsia"/>
          <w:rtl/>
        </w:rPr>
        <w:t>להוכיח</w:t>
      </w:r>
      <w:r w:rsidRPr="00936A8D">
        <w:rPr>
          <w:rtl/>
        </w:rPr>
        <w:t xml:space="preserve"> </w:t>
      </w:r>
      <w:r w:rsidRPr="00936A8D">
        <w:rPr>
          <w:rFonts w:hint="eastAsia"/>
          <w:rtl/>
        </w:rPr>
        <w:t>את</w:t>
      </w:r>
      <w:r w:rsidRPr="00936A8D">
        <w:rPr>
          <w:rtl/>
        </w:rPr>
        <w:t xml:space="preserve"> </w:t>
      </w:r>
      <w:r w:rsidRPr="00936A8D">
        <w:rPr>
          <w:rFonts w:hint="eastAsia"/>
          <w:rtl/>
        </w:rPr>
        <w:t>פרטי</w:t>
      </w:r>
      <w:r w:rsidRPr="00936A8D">
        <w:rPr>
          <w:rtl/>
        </w:rPr>
        <w:t xml:space="preserve"> </w:t>
      </w:r>
      <w:r w:rsidRPr="00936A8D">
        <w:rPr>
          <w:rFonts w:hint="eastAsia"/>
          <w:rtl/>
        </w:rPr>
        <w:t>ההתרשלות</w:t>
      </w:r>
      <w:r w:rsidRPr="00936A8D">
        <w:rPr>
          <w:rtl/>
        </w:rPr>
        <w:t xml:space="preserve"> </w:t>
      </w:r>
      <w:r w:rsidRPr="00936A8D">
        <w:rPr>
          <w:rFonts w:hint="eastAsia"/>
          <w:rtl/>
        </w:rPr>
        <w:t>בנסיבות</w:t>
      </w:r>
      <w:r w:rsidRPr="00936A8D">
        <w:rPr>
          <w:rtl/>
        </w:rPr>
        <w:t xml:space="preserve"> </w:t>
      </w:r>
      <w:r w:rsidRPr="00936A8D">
        <w:rPr>
          <w:rFonts w:hint="eastAsia"/>
          <w:rtl/>
        </w:rPr>
        <w:t>מהן</w:t>
      </w:r>
      <w:r w:rsidRPr="00936A8D">
        <w:rPr>
          <w:rtl/>
        </w:rPr>
        <w:t xml:space="preserve"> </w:t>
      </w:r>
      <w:r w:rsidRPr="00936A8D">
        <w:rPr>
          <w:rFonts w:hint="eastAsia"/>
          <w:rtl/>
        </w:rPr>
        <w:t>עולה</w:t>
      </w:r>
      <w:r w:rsidRPr="00936A8D">
        <w:rPr>
          <w:rtl/>
        </w:rPr>
        <w:t xml:space="preserve"> – </w:t>
      </w:r>
      <w:r w:rsidRPr="00936A8D">
        <w:rPr>
          <w:rFonts w:hint="eastAsia"/>
          <w:rtl/>
        </w:rPr>
        <w:t>במאזן</w:t>
      </w:r>
      <w:r w:rsidRPr="00936A8D">
        <w:rPr>
          <w:rtl/>
        </w:rPr>
        <w:t xml:space="preserve"> </w:t>
      </w:r>
      <w:r w:rsidRPr="00936A8D">
        <w:rPr>
          <w:rFonts w:hint="eastAsia"/>
          <w:rtl/>
        </w:rPr>
        <w:t>ההסתברויות</w:t>
      </w:r>
      <w:r w:rsidRPr="00936A8D">
        <w:rPr>
          <w:rtl/>
        </w:rPr>
        <w:t xml:space="preserve"> – </w:t>
      </w:r>
      <w:r w:rsidRPr="00936A8D">
        <w:rPr>
          <w:rFonts w:hint="eastAsia"/>
          <w:rtl/>
        </w:rPr>
        <w:t>כי</w:t>
      </w:r>
      <w:r w:rsidRPr="00936A8D">
        <w:rPr>
          <w:rtl/>
        </w:rPr>
        <w:t xml:space="preserve"> </w:t>
      </w:r>
      <w:r w:rsidRPr="00936A8D">
        <w:rPr>
          <w:rFonts w:hint="eastAsia"/>
          <w:rtl/>
        </w:rPr>
        <w:t>הנתבע</w:t>
      </w:r>
      <w:r w:rsidRPr="00936A8D">
        <w:rPr>
          <w:rtl/>
        </w:rPr>
        <w:t xml:space="preserve"> </w:t>
      </w:r>
      <w:r w:rsidRPr="00936A8D">
        <w:rPr>
          <w:rFonts w:hint="eastAsia"/>
          <w:rtl/>
        </w:rPr>
        <w:t>התרשל</w:t>
      </w:r>
      <w:r w:rsidRPr="00936A8D">
        <w:rPr>
          <w:rtl/>
        </w:rPr>
        <w:t xml:space="preserve"> </w:t>
      </w:r>
      <w:r w:rsidRPr="00936A8D">
        <w:rPr>
          <w:rFonts w:hint="eastAsia"/>
          <w:rtl/>
        </w:rPr>
        <w:t>בדרך</w:t>
      </w:r>
      <w:r w:rsidRPr="00936A8D">
        <w:rPr>
          <w:rtl/>
        </w:rPr>
        <w:t xml:space="preserve"> </w:t>
      </w:r>
      <w:r w:rsidRPr="00936A8D">
        <w:rPr>
          <w:rFonts w:hint="eastAsia"/>
          <w:rtl/>
        </w:rPr>
        <w:t>כלשהי</w:t>
      </w:r>
      <w:r w:rsidRPr="00936A8D">
        <w:rPr>
          <w:rtl/>
        </w:rPr>
        <w:t xml:space="preserve"> </w:t>
      </w:r>
      <w:r w:rsidRPr="00936A8D">
        <w:rPr>
          <w:rFonts w:hint="eastAsia"/>
          <w:rtl/>
        </w:rPr>
        <w:t>ועל</w:t>
      </w:r>
      <w:r w:rsidRPr="00936A8D">
        <w:rPr>
          <w:rtl/>
        </w:rPr>
        <w:t xml:space="preserve"> </w:t>
      </w:r>
      <w:r w:rsidRPr="00936A8D">
        <w:rPr>
          <w:rFonts w:hint="eastAsia"/>
          <w:rtl/>
        </w:rPr>
        <w:t>ידי</w:t>
      </w:r>
      <w:r w:rsidRPr="00936A8D">
        <w:rPr>
          <w:rtl/>
        </w:rPr>
        <w:t xml:space="preserve"> </w:t>
      </w:r>
      <w:r w:rsidRPr="00936A8D">
        <w:rPr>
          <w:rFonts w:hint="eastAsia"/>
          <w:rtl/>
        </w:rPr>
        <w:t>כך</w:t>
      </w:r>
      <w:r w:rsidRPr="00936A8D">
        <w:rPr>
          <w:rtl/>
        </w:rPr>
        <w:t xml:space="preserve"> </w:t>
      </w:r>
      <w:r w:rsidRPr="00936A8D">
        <w:rPr>
          <w:rFonts w:hint="eastAsia"/>
          <w:rtl/>
        </w:rPr>
        <w:t>גרם</w:t>
      </w:r>
      <w:r w:rsidRPr="00936A8D">
        <w:rPr>
          <w:rtl/>
        </w:rPr>
        <w:t xml:space="preserve"> </w:t>
      </w:r>
      <w:r w:rsidRPr="00936A8D">
        <w:rPr>
          <w:rFonts w:hint="eastAsia"/>
          <w:rtl/>
        </w:rPr>
        <w:t>נזק</w:t>
      </w:r>
      <w:r w:rsidRPr="00936A8D">
        <w:rPr>
          <w:rtl/>
        </w:rPr>
        <w:t xml:space="preserve"> </w:t>
      </w:r>
      <w:r w:rsidRPr="00936A8D">
        <w:rPr>
          <w:rFonts w:hint="eastAsia"/>
          <w:rtl/>
        </w:rPr>
        <w:t>לתובע</w:t>
      </w:r>
      <w:r w:rsidRPr="00936A8D">
        <w:rPr>
          <w:rtl/>
        </w:rPr>
        <w:t xml:space="preserve"> [...] </w:t>
      </w:r>
      <w:r w:rsidRPr="00936A8D">
        <w:rPr>
          <w:rFonts w:hint="eastAsia"/>
          <w:rtl/>
        </w:rPr>
        <w:t>מתכונת</w:t>
      </w:r>
      <w:r w:rsidRPr="00936A8D">
        <w:rPr>
          <w:rtl/>
        </w:rPr>
        <w:t xml:space="preserve"> </w:t>
      </w:r>
      <w:r w:rsidRPr="00936A8D">
        <w:rPr>
          <w:rFonts w:hint="eastAsia"/>
          <w:rtl/>
        </w:rPr>
        <w:t>זו</w:t>
      </w:r>
      <w:r w:rsidRPr="00936A8D">
        <w:rPr>
          <w:rtl/>
        </w:rPr>
        <w:t xml:space="preserve"> </w:t>
      </w:r>
      <w:r w:rsidRPr="00936A8D">
        <w:rPr>
          <w:rFonts w:hint="eastAsia"/>
          <w:rtl/>
        </w:rPr>
        <w:t>אפיינה</w:t>
      </w:r>
      <w:r w:rsidRPr="00936A8D">
        <w:rPr>
          <w:rtl/>
        </w:rPr>
        <w:t xml:space="preserve"> </w:t>
      </w:r>
      <w:r w:rsidRPr="00936A8D">
        <w:rPr>
          <w:rFonts w:hint="eastAsia"/>
          <w:rtl/>
        </w:rPr>
        <w:t>את</w:t>
      </w:r>
      <w:r w:rsidRPr="00936A8D">
        <w:rPr>
          <w:rtl/>
        </w:rPr>
        <w:t xml:space="preserve"> </w:t>
      </w:r>
      <w:r w:rsidRPr="00936A8D">
        <w:rPr>
          <w:rFonts w:hint="eastAsia"/>
          <w:rtl/>
        </w:rPr>
        <w:t>הפעלת</w:t>
      </w:r>
      <w:r w:rsidRPr="00936A8D">
        <w:rPr>
          <w:rtl/>
        </w:rPr>
        <w:t xml:space="preserve"> </w:t>
      </w:r>
      <w:r w:rsidRPr="00936A8D">
        <w:rPr>
          <w:rFonts w:hint="eastAsia"/>
          <w:rtl/>
        </w:rPr>
        <w:t>הדוקטרינה</w:t>
      </w:r>
      <w:r w:rsidRPr="00936A8D">
        <w:rPr>
          <w:rtl/>
        </w:rPr>
        <w:t xml:space="preserve"> </w:t>
      </w:r>
      <w:r w:rsidRPr="00936A8D">
        <w:rPr>
          <w:rFonts w:hint="eastAsia"/>
          <w:rtl/>
        </w:rPr>
        <w:t>בארץ</w:t>
      </w:r>
      <w:r w:rsidRPr="00936A8D">
        <w:rPr>
          <w:rtl/>
        </w:rPr>
        <w:t xml:space="preserve"> </w:t>
      </w:r>
      <w:r w:rsidRPr="00936A8D">
        <w:rPr>
          <w:rFonts w:hint="eastAsia"/>
          <w:rtl/>
        </w:rPr>
        <w:t>מולדתה</w:t>
      </w:r>
      <w:r w:rsidRPr="00936A8D">
        <w:rPr>
          <w:rtl/>
        </w:rPr>
        <w:t xml:space="preserve"> – </w:t>
      </w:r>
      <w:r w:rsidRPr="00936A8D">
        <w:rPr>
          <w:rFonts w:hint="eastAsia"/>
          <w:rtl/>
        </w:rPr>
        <w:t>בריטניה</w:t>
      </w:r>
      <w:r w:rsidRPr="00936A8D">
        <w:rPr>
          <w:rtl/>
        </w:rPr>
        <w:t>" (</w:t>
      </w:r>
      <w:r w:rsidRPr="00936A8D">
        <w:rPr>
          <w:rFonts w:hint="eastAsia"/>
          <w:rtl/>
        </w:rPr>
        <w:t>ראו</w:t>
      </w:r>
      <w:r w:rsidRPr="00936A8D">
        <w:rPr>
          <w:rtl/>
        </w:rPr>
        <w:t xml:space="preserve">: </w:t>
      </w:r>
      <w:r w:rsidRPr="00936A8D">
        <w:rPr>
          <w:rFonts w:hint="eastAsia"/>
          <w:rtl/>
        </w:rPr>
        <w:t>עניין</w:t>
      </w:r>
      <w:r w:rsidRPr="00936A8D">
        <w:rPr>
          <w:rtl/>
        </w:rPr>
        <w:t xml:space="preserve"> </w:t>
      </w:r>
      <w:r w:rsidRPr="00936A8D">
        <w:rPr>
          <w:rFonts w:ascii="Century" w:hAnsi="Century" w:cs="Miriam" w:hint="eastAsia"/>
          <w:b/>
          <w:spacing w:val="0"/>
          <w:szCs w:val="24"/>
          <w:rtl/>
        </w:rPr>
        <w:t>רותם</w:t>
      </w:r>
      <w:r w:rsidRPr="00936A8D">
        <w:rPr>
          <w:rtl/>
        </w:rPr>
        <w:t xml:space="preserve">, </w:t>
      </w:r>
      <w:r w:rsidRPr="00936A8D">
        <w:rPr>
          <w:rFonts w:hint="eastAsia"/>
          <w:rtl/>
        </w:rPr>
        <w:t>פסקה</w:t>
      </w:r>
      <w:r w:rsidRPr="00936A8D">
        <w:rPr>
          <w:rtl/>
        </w:rPr>
        <w:t xml:space="preserve"> 3 </w:t>
      </w:r>
      <w:r w:rsidRPr="00936A8D">
        <w:rPr>
          <w:rFonts w:hint="eastAsia"/>
          <w:rtl/>
        </w:rPr>
        <w:t>לפסק</w:t>
      </w:r>
      <w:r w:rsidRPr="00936A8D">
        <w:rPr>
          <w:rtl/>
        </w:rPr>
        <w:t xml:space="preserve"> </w:t>
      </w:r>
      <w:r w:rsidRPr="00936A8D">
        <w:rPr>
          <w:rFonts w:hint="eastAsia"/>
          <w:rtl/>
        </w:rPr>
        <w:t>דיני</w:t>
      </w:r>
      <w:r w:rsidRPr="00936A8D">
        <w:rPr>
          <w:rtl/>
        </w:rPr>
        <w:t xml:space="preserve">; </w:t>
      </w:r>
      <w:r w:rsidRPr="00936A8D">
        <w:rPr>
          <w:rFonts w:hint="eastAsia"/>
          <w:rtl/>
        </w:rPr>
        <w:t>ההדגשה</w:t>
      </w:r>
      <w:r w:rsidRPr="00936A8D">
        <w:rPr>
          <w:rtl/>
        </w:rPr>
        <w:t xml:space="preserve"> הוספה, והציטוטים הפנימיים הוסרו – א.ש.).</w:t>
      </w:r>
    </w:p>
    <w:p w:rsidR="0047626A" w:rsidRPr="00936A8D" w:rsidRDefault="0047626A" w:rsidP="0047626A">
      <w:pPr>
        <w:pStyle w:val="Ruller5"/>
        <w:rPr>
          <w:rtl/>
        </w:rPr>
      </w:pPr>
    </w:p>
    <w:p w:rsidR="0047626A" w:rsidRPr="00936A8D" w:rsidRDefault="0047626A" w:rsidP="0047626A">
      <w:pPr>
        <w:pStyle w:val="Ruller41"/>
        <w:ind w:firstLine="720"/>
        <w:rPr>
          <w:rtl/>
        </w:rPr>
      </w:pPr>
      <w:r>
        <w:rPr>
          <w:rFonts w:hint="cs"/>
          <w:rtl/>
        </w:rPr>
        <w:t>ובמקום אחר:</w:t>
      </w:r>
    </w:p>
    <w:p w:rsidR="0047626A" w:rsidRPr="00936A8D" w:rsidRDefault="0047626A" w:rsidP="0047626A">
      <w:pPr>
        <w:pStyle w:val="Ruller5"/>
        <w:rPr>
          <w:rtl/>
        </w:rPr>
      </w:pPr>
    </w:p>
    <w:p w:rsidR="0047626A" w:rsidRPr="00936A8D" w:rsidRDefault="0047626A" w:rsidP="0047626A">
      <w:pPr>
        <w:pStyle w:val="Ruller5"/>
        <w:rPr>
          <w:rtl/>
        </w:rPr>
      </w:pPr>
      <w:r w:rsidRPr="00936A8D">
        <w:rPr>
          <w:rtl/>
        </w:rPr>
        <w:t>"</w:t>
      </w:r>
      <w:r w:rsidRPr="00936A8D">
        <w:rPr>
          <w:rFonts w:hint="eastAsia"/>
          <w:rtl/>
        </w:rPr>
        <w:t>הנני</w:t>
      </w:r>
      <w:r w:rsidRPr="00936A8D">
        <w:rPr>
          <w:rtl/>
        </w:rPr>
        <w:t xml:space="preserve"> </w:t>
      </w:r>
      <w:r w:rsidRPr="00936A8D">
        <w:rPr>
          <w:rFonts w:hint="eastAsia"/>
          <w:rtl/>
        </w:rPr>
        <w:t>מתנגד</w:t>
      </w:r>
      <w:r w:rsidRPr="00936A8D">
        <w:rPr>
          <w:rtl/>
        </w:rPr>
        <w:t xml:space="preserve"> </w:t>
      </w:r>
      <w:r w:rsidRPr="00936A8D">
        <w:rPr>
          <w:rFonts w:hint="eastAsia"/>
          <w:rtl/>
        </w:rPr>
        <w:t>להפעלתה</w:t>
      </w:r>
      <w:r w:rsidRPr="00936A8D">
        <w:rPr>
          <w:rtl/>
        </w:rPr>
        <w:t xml:space="preserve"> </w:t>
      </w:r>
      <w:r w:rsidRPr="00936A8D">
        <w:rPr>
          <w:rFonts w:hint="eastAsia"/>
          <w:rtl/>
        </w:rPr>
        <w:t>של</w:t>
      </w:r>
      <w:r w:rsidRPr="00936A8D">
        <w:rPr>
          <w:rtl/>
        </w:rPr>
        <w:t xml:space="preserve"> </w:t>
      </w:r>
      <w:r w:rsidRPr="00936A8D">
        <w:rPr>
          <w:rFonts w:hint="eastAsia"/>
          <w:rtl/>
        </w:rPr>
        <w:t>דוקטרינת</w:t>
      </w:r>
      <w:r w:rsidRPr="00936A8D">
        <w:rPr>
          <w:rtl/>
        </w:rPr>
        <w:t xml:space="preserve"> </w:t>
      </w:r>
      <w:r w:rsidRPr="00936A8D">
        <w:rPr>
          <w:rFonts w:hint="eastAsia"/>
          <w:rtl/>
        </w:rPr>
        <w:t>הסבירות</w:t>
      </w:r>
      <w:r w:rsidRPr="00936A8D">
        <w:rPr>
          <w:rtl/>
        </w:rPr>
        <w:t xml:space="preserve"> </w:t>
      </w:r>
      <w:r w:rsidRPr="00936A8D">
        <w:rPr>
          <w:rFonts w:hint="eastAsia"/>
          <w:rtl/>
        </w:rPr>
        <w:t>במתכונת</w:t>
      </w:r>
      <w:r w:rsidRPr="00936A8D">
        <w:rPr>
          <w:rtl/>
        </w:rPr>
        <w:t xml:space="preserve"> </w:t>
      </w:r>
      <w:r w:rsidRPr="00936A8D">
        <w:rPr>
          <w:rFonts w:hint="eastAsia"/>
          <w:rtl/>
        </w:rPr>
        <w:t>שכיניתיה</w:t>
      </w:r>
      <w:r w:rsidRPr="00936A8D">
        <w:rPr>
          <w:rtl/>
        </w:rPr>
        <w:t xml:space="preserve"> '</w:t>
      </w:r>
      <w:r w:rsidRPr="00936A8D">
        <w:rPr>
          <w:rFonts w:hint="eastAsia"/>
          <w:rtl/>
        </w:rPr>
        <w:t>המשפט</w:t>
      </w:r>
      <w:r w:rsidRPr="00936A8D">
        <w:rPr>
          <w:rtl/>
        </w:rPr>
        <w:t xml:space="preserve"> </w:t>
      </w:r>
      <w:r w:rsidRPr="00936A8D">
        <w:rPr>
          <w:rFonts w:hint="eastAsia"/>
          <w:rtl/>
        </w:rPr>
        <w:t>זה</w:t>
      </w:r>
      <w:r w:rsidRPr="00936A8D">
        <w:rPr>
          <w:rtl/>
        </w:rPr>
        <w:t xml:space="preserve"> </w:t>
      </w:r>
      <w:r w:rsidRPr="00936A8D">
        <w:rPr>
          <w:rFonts w:hint="eastAsia"/>
          <w:rtl/>
        </w:rPr>
        <w:t>אני</w:t>
      </w:r>
      <w:r w:rsidRPr="00936A8D">
        <w:rPr>
          <w:rtl/>
        </w:rPr>
        <w:t xml:space="preserve">', </w:t>
      </w:r>
      <w:r w:rsidRPr="00936A8D">
        <w:rPr>
          <w:rFonts w:hint="eastAsia"/>
          <w:rtl/>
        </w:rPr>
        <w:t>במסגרתה</w:t>
      </w:r>
      <w:r w:rsidRPr="00936A8D">
        <w:rPr>
          <w:rtl/>
        </w:rPr>
        <w:t xml:space="preserve"> </w:t>
      </w:r>
      <w:r w:rsidRPr="00936A8D">
        <w:rPr>
          <w:rFonts w:hint="eastAsia"/>
          <w:rtl/>
        </w:rPr>
        <w:t>בית</w:t>
      </w:r>
      <w:r w:rsidRPr="00936A8D">
        <w:rPr>
          <w:rtl/>
        </w:rPr>
        <w:t xml:space="preserve"> </w:t>
      </w:r>
      <w:r w:rsidRPr="00936A8D">
        <w:rPr>
          <w:rFonts w:hint="eastAsia"/>
          <w:rtl/>
        </w:rPr>
        <w:t>המשפט</w:t>
      </w:r>
      <w:r w:rsidRPr="00936A8D">
        <w:rPr>
          <w:rtl/>
        </w:rPr>
        <w:t xml:space="preserve"> </w:t>
      </w:r>
      <w:r w:rsidRPr="00936A8D">
        <w:rPr>
          <w:rFonts w:hint="eastAsia"/>
          <w:rtl/>
        </w:rPr>
        <w:t>מעמיד</w:t>
      </w:r>
      <w:r w:rsidRPr="00936A8D">
        <w:rPr>
          <w:rtl/>
        </w:rPr>
        <w:t xml:space="preserve"> </w:t>
      </w:r>
      <w:r w:rsidRPr="00936A8D">
        <w:rPr>
          <w:rFonts w:hint="eastAsia"/>
          <w:rtl/>
        </w:rPr>
        <w:t>את</w:t>
      </w:r>
      <w:r w:rsidRPr="00936A8D">
        <w:rPr>
          <w:rtl/>
        </w:rPr>
        <w:t xml:space="preserve"> </w:t>
      </w:r>
      <w:r w:rsidRPr="00936A8D">
        <w:rPr>
          <w:rFonts w:hint="eastAsia"/>
          <w:rtl/>
        </w:rPr>
        <w:t>איכות</w:t>
      </w:r>
      <w:r w:rsidRPr="00936A8D">
        <w:rPr>
          <w:rtl/>
        </w:rPr>
        <w:t xml:space="preserve"> </w:t>
      </w:r>
      <w:r w:rsidRPr="00936A8D">
        <w:rPr>
          <w:rFonts w:hint="eastAsia"/>
          <w:rtl/>
        </w:rPr>
        <w:t>השיקולים</w:t>
      </w:r>
      <w:r w:rsidRPr="00936A8D">
        <w:rPr>
          <w:rtl/>
        </w:rPr>
        <w:t xml:space="preserve"> </w:t>
      </w:r>
      <w:r w:rsidRPr="00936A8D">
        <w:rPr>
          <w:rFonts w:hint="eastAsia"/>
          <w:rtl/>
        </w:rPr>
        <w:t>אשר</w:t>
      </w:r>
      <w:r w:rsidRPr="00936A8D">
        <w:rPr>
          <w:rtl/>
        </w:rPr>
        <w:t xml:space="preserve"> </w:t>
      </w:r>
      <w:r w:rsidRPr="00936A8D">
        <w:rPr>
          <w:rFonts w:hint="eastAsia"/>
          <w:rtl/>
        </w:rPr>
        <w:t>נשקלו</w:t>
      </w:r>
      <w:r w:rsidRPr="00936A8D">
        <w:rPr>
          <w:rtl/>
        </w:rPr>
        <w:t xml:space="preserve"> </w:t>
      </w:r>
      <w:r w:rsidRPr="00936A8D">
        <w:rPr>
          <w:rFonts w:hint="eastAsia"/>
          <w:rtl/>
        </w:rPr>
        <w:t>על</w:t>
      </w:r>
      <w:r w:rsidRPr="00936A8D">
        <w:rPr>
          <w:rtl/>
        </w:rPr>
        <w:t xml:space="preserve"> </w:t>
      </w:r>
      <w:r w:rsidRPr="00936A8D">
        <w:rPr>
          <w:rFonts w:hint="eastAsia"/>
          <w:rtl/>
        </w:rPr>
        <w:t>ידי</w:t>
      </w:r>
      <w:r w:rsidRPr="00936A8D">
        <w:rPr>
          <w:rtl/>
        </w:rPr>
        <w:t xml:space="preserve"> </w:t>
      </w:r>
      <w:r w:rsidRPr="00936A8D">
        <w:rPr>
          <w:rFonts w:hint="eastAsia"/>
          <w:rtl/>
        </w:rPr>
        <w:t>הרשות</w:t>
      </w:r>
      <w:r w:rsidRPr="00936A8D">
        <w:rPr>
          <w:rtl/>
        </w:rPr>
        <w:t xml:space="preserve"> </w:t>
      </w:r>
      <w:r w:rsidRPr="00936A8D">
        <w:rPr>
          <w:rFonts w:hint="eastAsia"/>
          <w:rtl/>
        </w:rPr>
        <w:t>עובר</w:t>
      </w:r>
      <w:r w:rsidRPr="00936A8D">
        <w:rPr>
          <w:rtl/>
        </w:rPr>
        <w:t xml:space="preserve"> </w:t>
      </w:r>
      <w:r w:rsidRPr="00936A8D">
        <w:rPr>
          <w:rFonts w:hint="eastAsia"/>
          <w:rtl/>
        </w:rPr>
        <w:t>לקבלת</w:t>
      </w:r>
      <w:r w:rsidRPr="00936A8D">
        <w:rPr>
          <w:rtl/>
        </w:rPr>
        <w:t xml:space="preserve"> </w:t>
      </w:r>
      <w:r w:rsidRPr="00936A8D">
        <w:rPr>
          <w:rFonts w:hint="eastAsia"/>
          <w:rtl/>
        </w:rPr>
        <w:t>החלטתה</w:t>
      </w:r>
      <w:r w:rsidRPr="00936A8D">
        <w:rPr>
          <w:rtl/>
        </w:rPr>
        <w:t xml:space="preserve"> </w:t>
      </w:r>
      <w:r w:rsidRPr="00936A8D">
        <w:rPr>
          <w:rFonts w:hint="eastAsia"/>
          <w:rtl/>
        </w:rPr>
        <w:t>לבחינה</w:t>
      </w:r>
      <w:r w:rsidRPr="00936A8D">
        <w:rPr>
          <w:rtl/>
        </w:rPr>
        <w:t xml:space="preserve"> </w:t>
      </w:r>
      <w:r w:rsidRPr="00936A8D">
        <w:rPr>
          <w:rFonts w:hint="eastAsia"/>
          <w:rtl/>
        </w:rPr>
        <w:t>מוסרית</w:t>
      </w:r>
      <w:r w:rsidRPr="00936A8D">
        <w:rPr>
          <w:rtl/>
        </w:rPr>
        <w:t>-</w:t>
      </w:r>
      <w:r w:rsidRPr="00936A8D">
        <w:rPr>
          <w:rFonts w:hint="eastAsia"/>
          <w:rtl/>
        </w:rPr>
        <w:t>ערכית</w:t>
      </w:r>
      <w:r w:rsidRPr="00936A8D">
        <w:rPr>
          <w:rtl/>
        </w:rPr>
        <w:t xml:space="preserve"> </w:t>
      </w:r>
      <w:r w:rsidRPr="00936A8D">
        <w:rPr>
          <w:rFonts w:hint="eastAsia"/>
          <w:rtl/>
        </w:rPr>
        <w:t>משל</w:t>
      </w:r>
      <w:r w:rsidRPr="00936A8D">
        <w:rPr>
          <w:rtl/>
        </w:rPr>
        <w:t xml:space="preserve"> </w:t>
      </w:r>
      <w:r w:rsidRPr="00936A8D">
        <w:rPr>
          <w:rFonts w:hint="eastAsia"/>
          <w:rtl/>
        </w:rPr>
        <w:t>עצמו</w:t>
      </w:r>
      <w:r w:rsidRPr="00936A8D">
        <w:rPr>
          <w:rtl/>
        </w:rPr>
        <w:t xml:space="preserve">. </w:t>
      </w:r>
      <w:r w:rsidRPr="00936A8D">
        <w:rPr>
          <w:rFonts w:hint="eastAsia"/>
          <w:rtl/>
        </w:rPr>
        <w:t>התערבות</w:t>
      </w:r>
      <w:r w:rsidRPr="00936A8D">
        <w:rPr>
          <w:rtl/>
        </w:rPr>
        <w:t xml:space="preserve"> </w:t>
      </w:r>
      <w:r w:rsidRPr="00936A8D">
        <w:rPr>
          <w:rFonts w:hint="eastAsia"/>
          <w:rtl/>
        </w:rPr>
        <w:t>זו</w:t>
      </w:r>
      <w:r w:rsidRPr="00936A8D">
        <w:rPr>
          <w:rtl/>
        </w:rPr>
        <w:t xml:space="preserve"> </w:t>
      </w:r>
      <w:r w:rsidRPr="00936A8D">
        <w:rPr>
          <w:rFonts w:hint="eastAsia"/>
          <w:rtl/>
        </w:rPr>
        <w:t>בשיקול</w:t>
      </w:r>
      <w:r w:rsidRPr="00936A8D">
        <w:rPr>
          <w:rtl/>
        </w:rPr>
        <w:t xml:space="preserve"> </w:t>
      </w:r>
      <w:r w:rsidRPr="00936A8D">
        <w:rPr>
          <w:rFonts w:hint="eastAsia"/>
          <w:rtl/>
        </w:rPr>
        <w:t>הדעת</w:t>
      </w:r>
      <w:r w:rsidRPr="00936A8D">
        <w:rPr>
          <w:rtl/>
        </w:rPr>
        <w:t xml:space="preserve"> </w:t>
      </w:r>
      <w:r w:rsidRPr="00936A8D">
        <w:rPr>
          <w:rFonts w:hint="eastAsia"/>
          <w:rtl/>
        </w:rPr>
        <w:t>המינהלי</w:t>
      </w:r>
      <w:r w:rsidRPr="00936A8D">
        <w:rPr>
          <w:rtl/>
        </w:rPr>
        <w:t xml:space="preserve"> </w:t>
      </w:r>
      <w:r w:rsidRPr="00936A8D">
        <w:rPr>
          <w:rFonts w:hint="eastAsia"/>
          <w:rtl/>
        </w:rPr>
        <w:t>אינה</w:t>
      </w:r>
      <w:r w:rsidRPr="00936A8D">
        <w:rPr>
          <w:rtl/>
        </w:rPr>
        <w:t xml:space="preserve"> </w:t>
      </w:r>
      <w:r w:rsidRPr="00936A8D">
        <w:rPr>
          <w:rFonts w:hint="eastAsia"/>
          <w:rtl/>
        </w:rPr>
        <w:t>מקובלת</w:t>
      </w:r>
      <w:r w:rsidRPr="00936A8D">
        <w:rPr>
          <w:rtl/>
        </w:rPr>
        <w:t xml:space="preserve"> </w:t>
      </w:r>
      <w:r w:rsidRPr="00936A8D">
        <w:rPr>
          <w:rFonts w:hint="eastAsia"/>
          <w:rtl/>
        </w:rPr>
        <w:lastRenderedPageBreak/>
        <w:t>עלי</w:t>
      </w:r>
      <w:r w:rsidRPr="00936A8D">
        <w:rPr>
          <w:rtl/>
        </w:rPr>
        <w:t xml:space="preserve"> </w:t>
      </w:r>
      <w:r w:rsidRPr="00936A8D">
        <w:rPr>
          <w:rFonts w:hint="eastAsia"/>
          <w:rtl/>
        </w:rPr>
        <w:t>כלל</w:t>
      </w:r>
      <w:r w:rsidRPr="00936A8D">
        <w:rPr>
          <w:rtl/>
        </w:rPr>
        <w:t xml:space="preserve"> </w:t>
      </w:r>
      <w:r w:rsidRPr="00936A8D">
        <w:rPr>
          <w:rFonts w:hint="eastAsia"/>
          <w:rtl/>
        </w:rPr>
        <w:t>ועיקר</w:t>
      </w:r>
      <w:r w:rsidRPr="00936A8D">
        <w:rPr>
          <w:rtl/>
        </w:rPr>
        <w:t xml:space="preserve">. </w:t>
      </w:r>
      <w:r w:rsidRPr="00936A8D">
        <w:rPr>
          <w:rFonts w:ascii="Century" w:hAnsi="Century" w:cs="Miriam" w:hint="eastAsia"/>
          <w:b/>
          <w:spacing w:val="0"/>
          <w:szCs w:val="24"/>
          <w:rtl/>
        </w:rPr>
        <w:t>לטעמי</w:t>
      </w:r>
      <w:r w:rsidRPr="00936A8D">
        <w:rPr>
          <w:rFonts w:ascii="Century" w:hAnsi="Century" w:cs="Miriam"/>
          <w:b/>
          <w:spacing w:val="0"/>
          <w:szCs w:val="24"/>
          <w:rtl/>
        </w:rPr>
        <w:t xml:space="preserve">, </w:t>
      </w:r>
      <w:r w:rsidRPr="00936A8D">
        <w:rPr>
          <w:rFonts w:ascii="Century" w:hAnsi="Century" w:cs="Miriam" w:hint="eastAsia"/>
          <w:b/>
          <w:spacing w:val="0"/>
          <w:szCs w:val="24"/>
          <w:rtl/>
        </w:rPr>
        <w:t>דוקטרינת</w:t>
      </w:r>
      <w:r w:rsidRPr="00936A8D">
        <w:rPr>
          <w:rFonts w:ascii="Century" w:hAnsi="Century" w:cs="Miriam"/>
          <w:b/>
          <w:spacing w:val="0"/>
          <w:szCs w:val="24"/>
          <w:rtl/>
        </w:rPr>
        <w:t xml:space="preserve"> </w:t>
      </w:r>
      <w:r w:rsidRPr="00936A8D">
        <w:rPr>
          <w:rFonts w:ascii="Century" w:hAnsi="Century" w:cs="Miriam" w:hint="eastAsia"/>
          <w:b/>
          <w:spacing w:val="0"/>
          <w:szCs w:val="24"/>
          <w:rtl/>
        </w:rPr>
        <w:t>הסבירות</w:t>
      </w:r>
      <w:r w:rsidRPr="00936A8D">
        <w:rPr>
          <w:rFonts w:ascii="Century" w:hAnsi="Century" w:cs="Miriam"/>
          <w:b/>
          <w:spacing w:val="0"/>
          <w:szCs w:val="24"/>
          <w:rtl/>
        </w:rPr>
        <w:t xml:space="preserve"> </w:t>
      </w:r>
      <w:r w:rsidRPr="00936A8D">
        <w:rPr>
          <w:rFonts w:ascii="Century" w:hAnsi="Century" w:cs="Miriam" w:hint="eastAsia"/>
          <w:b/>
          <w:spacing w:val="0"/>
          <w:szCs w:val="24"/>
          <w:rtl/>
        </w:rPr>
        <w:t>מעמידה</w:t>
      </w:r>
      <w:r w:rsidRPr="00936A8D">
        <w:rPr>
          <w:rFonts w:ascii="Century" w:hAnsi="Century" w:cs="Miriam"/>
          <w:b/>
          <w:spacing w:val="0"/>
          <w:szCs w:val="24"/>
          <w:rtl/>
        </w:rPr>
        <w:t xml:space="preserve"> </w:t>
      </w:r>
      <w:r w:rsidRPr="00936A8D">
        <w:rPr>
          <w:rFonts w:ascii="Century" w:hAnsi="Century" w:cs="Miriam" w:hint="eastAsia"/>
          <w:b/>
          <w:spacing w:val="0"/>
          <w:szCs w:val="24"/>
          <w:rtl/>
        </w:rPr>
        <w:t>לרשותנו</w:t>
      </w:r>
      <w:r w:rsidRPr="00936A8D">
        <w:rPr>
          <w:rFonts w:ascii="Century" w:hAnsi="Century" w:cs="Miriam"/>
          <w:b/>
          <w:spacing w:val="0"/>
          <w:szCs w:val="24"/>
          <w:rtl/>
        </w:rPr>
        <w:t xml:space="preserve"> </w:t>
      </w:r>
      <w:r w:rsidRPr="00936A8D">
        <w:rPr>
          <w:rFonts w:ascii="Century" w:hAnsi="Century" w:cs="Miriam" w:hint="eastAsia"/>
          <w:b/>
          <w:spacing w:val="0"/>
          <w:szCs w:val="24"/>
          <w:rtl/>
        </w:rPr>
        <w:t>כלל</w:t>
      </w:r>
      <w:r w:rsidRPr="00936A8D">
        <w:rPr>
          <w:rFonts w:ascii="Century" w:hAnsi="Century" w:cs="Miriam"/>
          <w:b/>
          <w:spacing w:val="0"/>
          <w:szCs w:val="24"/>
          <w:rtl/>
        </w:rPr>
        <w:t xml:space="preserve"> </w:t>
      </w:r>
      <w:r w:rsidRPr="00936A8D">
        <w:rPr>
          <w:rFonts w:ascii="Century" w:hAnsi="Century" w:cs="Miriam" w:hint="eastAsia"/>
          <w:b/>
          <w:spacing w:val="0"/>
          <w:szCs w:val="24"/>
          <w:rtl/>
        </w:rPr>
        <w:t>שיורי</w:t>
      </w:r>
      <w:r w:rsidRPr="00936A8D">
        <w:rPr>
          <w:rFonts w:ascii="Century" w:hAnsi="Century" w:cs="Miriam"/>
          <w:b/>
          <w:spacing w:val="0"/>
          <w:szCs w:val="24"/>
          <w:rtl/>
        </w:rPr>
        <w:t xml:space="preserve"> </w:t>
      </w:r>
      <w:r w:rsidRPr="00936A8D">
        <w:rPr>
          <w:rFonts w:ascii="Century" w:hAnsi="Century" w:cs="Miriam" w:hint="eastAsia"/>
          <w:b/>
          <w:spacing w:val="0"/>
          <w:szCs w:val="24"/>
          <w:rtl/>
        </w:rPr>
        <w:t>שפועלו</w:t>
      </w:r>
      <w:r w:rsidRPr="00936A8D">
        <w:rPr>
          <w:rFonts w:ascii="Century" w:hAnsi="Century" w:cs="Miriam"/>
          <w:b/>
          <w:spacing w:val="0"/>
          <w:szCs w:val="24"/>
          <w:rtl/>
        </w:rPr>
        <w:t xml:space="preserve"> </w:t>
      </w:r>
      <w:r w:rsidRPr="00936A8D">
        <w:rPr>
          <w:rFonts w:ascii="Century" w:hAnsi="Century" w:cs="Miriam" w:hint="eastAsia"/>
          <w:b/>
          <w:spacing w:val="0"/>
          <w:szCs w:val="24"/>
          <w:rtl/>
        </w:rPr>
        <w:t>זהה</w:t>
      </w:r>
      <w:r w:rsidRPr="00936A8D">
        <w:rPr>
          <w:rFonts w:ascii="Century" w:hAnsi="Century" w:cs="Miriam"/>
          <w:b/>
          <w:spacing w:val="0"/>
          <w:szCs w:val="24"/>
          <w:rtl/>
        </w:rPr>
        <w:t xml:space="preserve"> </w:t>
      </w:r>
      <w:r w:rsidRPr="00936A8D">
        <w:rPr>
          <w:rFonts w:ascii="Century" w:hAnsi="Century" w:cs="Miriam" w:hint="eastAsia"/>
          <w:b/>
          <w:spacing w:val="0"/>
          <w:szCs w:val="24"/>
          <w:rtl/>
        </w:rPr>
        <w:t>מבחינה</w:t>
      </w:r>
      <w:r w:rsidRPr="00936A8D">
        <w:rPr>
          <w:rFonts w:ascii="Century" w:hAnsi="Century" w:cs="Miriam"/>
          <w:b/>
          <w:spacing w:val="0"/>
          <w:szCs w:val="24"/>
          <w:rtl/>
        </w:rPr>
        <w:t xml:space="preserve"> </w:t>
      </w:r>
      <w:r w:rsidRPr="00936A8D">
        <w:rPr>
          <w:rFonts w:ascii="Century" w:hAnsi="Century" w:cs="Miriam" w:hint="eastAsia"/>
          <w:b/>
          <w:spacing w:val="0"/>
          <w:szCs w:val="24"/>
          <w:rtl/>
        </w:rPr>
        <w:t>פונקציונלית</w:t>
      </w:r>
      <w:r w:rsidRPr="00936A8D">
        <w:rPr>
          <w:rFonts w:ascii="Century" w:hAnsi="Century" w:cs="Miriam"/>
          <w:b/>
          <w:spacing w:val="0"/>
          <w:szCs w:val="24"/>
          <w:rtl/>
        </w:rPr>
        <w:t xml:space="preserve"> </w:t>
      </w:r>
      <w:r w:rsidRPr="00936A8D">
        <w:rPr>
          <w:rFonts w:ascii="Century" w:hAnsi="Century" w:cs="Miriam" w:hint="eastAsia"/>
          <w:b/>
          <w:spacing w:val="0"/>
          <w:szCs w:val="24"/>
          <w:rtl/>
        </w:rPr>
        <w:t>לפועלו</w:t>
      </w:r>
      <w:r w:rsidRPr="00936A8D">
        <w:rPr>
          <w:rFonts w:ascii="Century" w:hAnsi="Century" w:cs="Miriam"/>
          <w:b/>
          <w:spacing w:val="0"/>
          <w:szCs w:val="24"/>
          <w:rtl/>
        </w:rPr>
        <w:t xml:space="preserve"> </w:t>
      </w:r>
      <w:r w:rsidRPr="00936A8D">
        <w:rPr>
          <w:rFonts w:ascii="Century" w:hAnsi="Century" w:cs="Miriam" w:hint="eastAsia"/>
          <w:b/>
          <w:spacing w:val="0"/>
          <w:szCs w:val="24"/>
          <w:rtl/>
        </w:rPr>
        <w:t>של</w:t>
      </w:r>
      <w:r w:rsidRPr="00936A8D">
        <w:rPr>
          <w:rFonts w:ascii="Century" w:hAnsi="Century" w:cs="Miriam"/>
          <w:b/>
          <w:spacing w:val="0"/>
          <w:szCs w:val="24"/>
          <w:rtl/>
        </w:rPr>
        <w:t xml:space="preserve"> </w:t>
      </w:r>
      <w:r w:rsidRPr="00936A8D">
        <w:rPr>
          <w:rFonts w:ascii="Century" w:hAnsi="Century" w:cs="Miriam" w:hint="eastAsia"/>
          <w:b/>
          <w:spacing w:val="0"/>
          <w:szCs w:val="24"/>
          <w:rtl/>
        </w:rPr>
        <w:t>הכלל</w:t>
      </w:r>
      <w:r w:rsidRPr="00936A8D">
        <w:rPr>
          <w:rFonts w:ascii="Century" w:hAnsi="Century" w:cs="Miriam"/>
          <w:b/>
          <w:spacing w:val="0"/>
          <w:szCs w:val="24"/>
          <w:rtl/>
        </w:rPr>
        <w:t xml:space="preserve"> '</w:t>
      </w:r>
      <w:r w:rsidRPr="00936A8D">
        <w:rPr>
          <w:rFonts w:ascii="Century" w:hAnsi="Century" w:cs="Miriam" w:hint="eastAsia"/>
          <w:b/>
          <w:spacing w:val="0"/>
          <w:szCs w:val="24"/>
          <w:rtl/>
        </w:rPr>
        <w:t>הדבר</w:t>
      </w:r>
      <w:r w:rsidRPr="00936A8D">
        <w:rPr>
          <w:rFonts w:ascii="Century" w:hAnsi="Century" w:cs="Miriam"/>
          <w:b/>
          <w:spacing w:val="0"/>
          <w:szCs w:val="24"/>
          <w:rtl/>
        </w:rPr>
        <w:t xml:space="preserve"> </w:t>
      </w:r>
      <w:r w:rsidRPr="00936A8D">
        <w:rPr>
          <w:rFonts w:ascii="Century" w:hAnsi="Century" w:cs="Miriam" w:hint="eastAsia"/>
          <w:b/>
          <w:spacing w:val="0"/>
          <w:szCs w:val="24"/>
          <w:rtl/>
        </w:rPr>
        <w:t>מעיד</w:t>
      </w:r>
      <w:r w:rsidRPr="00936A8D">
        <w:rPr>
          <w:rFonts w:ascii="Century" w:hAnsi="Century" w:cs="Miriam"/>
          <w:b/>
          <w:spacing w:val="0"/>
          <w:szCs w:val="24"/>
          <w:rtl/>
        </w:rPr>
        <w:t xml:space="preserve"> </w:t>
      </w:r>
      <w:r w:rsidRPr="00936A8D">
        <w:rPr>
          <w:rFonts w:ascii="Century" w:hAnsi="Century" w:cs="Miriam" w:hint="eastAsia"/>
          <w:b/>
          <w:spacing w:val="0"/>
          <w:szCs w:val="24"/>
          <w:rtl/>
        </w:rPr>
        <w:t>על</w:t>
      </w:r>
      <w:r w:rsidRPr="00936A8D">
        <w:rPr>
          <w:rFonts w:ascii="Century" w:hAnsi="Century" w:cs="Miriam"/>
          <w:b/>
          <w:spacing w:val="0"/>
          <w:szCs w:val="24"/>
          <w:rtl/>
        </w:rPr>
        <w:t xml:space="preserve"> </w:t>
      </w:r>
      <w:r w:rsidRPr="00936A8D">
        <w:rPr>
          <w:rFonts w:ascii="Century" w:hAnsi="Century" w:cs="Miriam" w:hint="eastAsia"/>
          <w:b/>
          <w:spacing w:val="0"/>
          <w:szCs w:val="24"/>
          <w:rtl/>
        </w:rPr>
        <w:t>עצמו</w:t>
      </w:r>
      <w:r w:rsidRPr="00936A8D">
        <w:rPr>
          <w:rFonts w:ascii="Century" w:hAnsi="Century" w:cs="Miriam"/>
          <w:b/>
          <w:spacing w:val="0"/>
          <w:szCs w:val="24"/>
          <w:rtl/>
        </w:rPr>
        <w:t xml:space="preserve">' </w:t>
      </w:r>
      <w:r w:rsidRPr="00936A8D">
        <w:rPr>
          <w:rFonts w:ascii="Century" w:hAnsi="Century" w:cs="Miriam" w:hint="eastAsia"/>
          <w:b/>
          <w:spacing w:val="0"/>
          <w:szCs w:val="24"/>
          <w:rtl/>
        </w:rPr>
        <w:t>בגדרם</w:t>
      </w:r>
      <w:r w:rsidRPr="00936A8D">
        <w:rPr>
          <w:rFonts w:ascii="Century" w:hAnsi="Century" w:cs="Miriam"/>
          <w:b/>
          <w:spacing w:val="0"/>
          <w:szCs w:val="24"/>
          <w:rtl/>
        </w:rPr>
        <w:t xml:space="preserve"> </w:t>
      </w:r>
      <w:r w:rsidRPr="00936A8D">
        <w:rPr>
          <w:rFonts w:ascii="Century" w:hAnsi="Century" w:cs="Miriam" w:hint="eastAsia"/>
          <w:b/>
          <w:spacing w:val="0"/>
          <w:szCs w:val="24"/>
          <w:rtl/>
        </w:rPr>
        <w:t>של</w:t>
      </w:r>
      <w:r w:rsidRPr="00936A8D">
        <w:rPr>
          <w:rFonts w:ascii="Century" w:hAnsi="Century" w:cs="Miriam"/>
          <w:b/>
          <w:spacing w:val="0"/>
          <w:szCs w:val="24"/>
          <w:rtl/>
        </w:rPr>
        <w:t xml:space="preserve"> </w:t>
      </w:r>
      <w:r w:rsidRPr="00936A8D">
        <w:rPr>
          <w:rFonts w:ascii="Century" w:hAnsi="Century" w:cs="Miriam" w:hint="eastAsia"/>
          <w:b/>
          <w:spacing w:val="0"/>
          <w:szCs w:val="24"/>
          <w:rtl/>
        </w:rPr>
        <w:t>דיני</w:t>
      </w:r>
      <w:r w:rsidRPr="00936A8D">
        <w:rPr>
          <w:rFonts w:ascii="Century" w:hAnsi="Century" w:cs="Miriam"/>
          <w:b/>
          <w:spacing w:val="0"/>
          <w:szCs w:val="24"/>
          <w:rtl/>
        </w:rPr>
        <w:t xml:space="preserve"> </w:t>
      </w:r>
      <w:r w:rsidRPr="00936A8D">
        <w:rPr>
          <w:rFonts w:ascii="Century" w:hAnsi="Century" w:cs="Miriam" w:hint="eastAsia"/>
          <w:b/>
          <w:spacing w:val="0"/>
          <w:szCs w:val="24"/>
          <w:rtl/>
        </w:rPr>
        <w:t>הנזיקין</w:t>
      </w:r>
      <w:r w:rsidRPr="00936A8D">
        <w:rPr>
          <w:rFonts w:ascii="Century" w:hAnsi="Century" w:cs="Miriam"/>
          <w:b/>
          <w:spacing w:val="0"/>
          <w:szCs w:val="24"/>
          <w:rtl/>
        </w:rPr>
        <w:t xml:space="preserve">, </w:t>
      </w:r>
      <w:r w:rsidRPr="00936A8D">
        <w:rPr>
          <w:rFonts w:ascii="Century" w:hAnsi="Century" w:cs="Miriam" w:hint="eastAsia"/>
          <w:b/>
          <w:spacing w:val="0"/>
          <w:szCs w:val="24"/>
          <w:rtl/>
        </w:rPr>
        <w:t>אשר</w:t>
      </w:r>
      <w:r w:rsidRPr="00936A8D">
        <w:rPr>
          <w:rFonts w:ascii="Century" w:hAnsi="Century" w:cs="Miriam"/>
          <w:b/>
          <w:spacing w:val="0"/>
          <w:szCs w:val="24"/>
          <w:rtl/>
        </w:rPr>
        <w:t xml:space="preserve"> </w:t>
      </w:r>
      <w:r w:rsidRPr="00936A8D">
        <w:rPr>
          <w:rFonts w:ascii="Century" w:hAnsi="Century" w:cs="Miriam" w:hint="eastAsia"/>
          <w:b/>
          <w:spacing w:val="0"/>
          <w:szCs w:val="24"/>
          <w:rtl/>
        </w:rPr>
        <w:t>מאפשר</w:t>
      </w:r>
      <w:r w:rsidRPr="00936A8D">
        <w:rPr>
          <w:rFonts w:ascii="Century" w:hAnsi="Century" w:cs="Miriam"/>
          <w:b/>
          <w:spacing w:val="0"/>
          <w:szCs w:val="24"/>
          <w:rtl/>
        </w:rPr>
        <w:t xml:space="preserve"> </w:t>
      </w:r>
      <w:r w:rsidRPr="00936A8D">
        <w:rPr>
          <w:rFonts w:ascii="Century" w:hAnsi="Century" w:cs="Miriam" w:hint="eastAsia"/>
          <w:b/>
          <w:spacing w:val="0"/>
          <w:szCs w:val="24"/>
          <w:rtl/>
        </w:rPr>
        <w:t>לתובע</w:t>
      </w:r>
      <w:r w:rsidRPr="00936A8D">
        <w:rPr>
          <w:rFonts w:ascii="Century" w:hAnsi="Century" w:cs="Miriam"/>
          <w:b/>
          <w:spacing w:val="0"/>
          <w:szCs w:val="24"/>
          <w:rtl/>
        </w:rPr>
        <w:t xml:space="preserve"> </w:t>
      </w:r>
      <w:r w:rsidRPr="00936A8D">
        <w:rPr>
          <w:rFonts w:ascii="Century" w:hAnsi="Century" w:cs="Miriam" w:hint="eastAsia"/>
          <w:b/>
          <w:spacing w:val="0"/>
          <w:szCs w:val="24"/>
          <w:rtl/>
        </w:rPr>
        <w:t>לבסס</w:t>
      </w:r>
      <w:r w:rsidRPr="00936A8D">
        <w:rPr>
          <w:rFonts w:ascii="Century" w:hAnsi="Century" w:cs="Miriam"/>
          <w:b/>
          <w:spacing w:val="0"/>
          <w:szCs w:val="24"/>
          <w:rtl/>
        </w:rPr>
        <w:t xml:space="preserve"> </w:t>
      </w:r>
      <w:r w:rsidRPr="00936A8D">
        <w:rPr>
          <w:rFonts w:ascii="Century" w:hAnsi="Century" w:cs="Miriam" w:hint="eastAsia"/>
          <w:b/>
          <w:spacing w:val="0"/>
          <w:szCs w:val="24"/>
          <w:rtl/>
        </w:rPr>
        <w:t>את</w:t>
      </w:r>
      <w:r w:rsidRPr="00936A8D">
        <w:rPr>
          <w:rFonts w:ascii="Century" w:hAnsi="Century" w:cs="Miriam"/>
          <w:b/>
          <w:spacing w:val="0"/>
          <w:szCs w:val="24"/>
          <w:rtl/>
        </w:rPr>
        <w:t xml:space="preserve"> </w:t>
      </w:r>
      <w:r w:rsidRPr="00936A8D">
        <w:rPr>
          <w:rFonts w:ascii="Century" w:hAnsi="Century" w:cs="Miriam" w:hint="eastAsia"/>
          <w:b/>
          <w:spacing w:val="0"/>
          <w:szCs w:val="24"/>
          <w:rtl/>
        </w:rPr>
        <w:t>טענתו</w:t>
      </w:r>
      <w:r w:rsidRPr="00936A8D">
        <w:rPr>
          <w:rFonts w:ascii="Century" w:hAnsi="Century" w:cs="Miriam"/>
          <w:b/>
          <w:spacing w:val="0"/>
          <w:szCs w:val="24"/>
          <w:rtl/>
        </w:rPr>
        <w:t xml:space="preserve"> </w:t>
      </w:r>
      <w:r w:rsidRPr="00936A8D">
        <w:rPr>
          <w:rFonts w:ascii="Century" w:hAnsi="Century" w:cs="Miriam" w:hint="eastAsia"/>
          <w:b/>
          <w:spacing w:val="0"/>
          <w:szCs w:val="24"/>
          <w:rtl/>
        </w:rPr>
        <w:t>בדבר</w:t>
      </w:r>
      <w:r w:rsidRPr="00936A8D">
        <w:rPr>
          <w:rFonts w:ascii="Century" w:hAnsi="Century" w:cs="Miriam"/>
          <w:b/>
          <w:spacing w:val="0"/>
          <w:szCs w:val="24"/>
          <w:rtl/>
        </w:rPr>
        <w:t xml:space="preserve"> </w:t>
      </w:r>
      <w:r w:rsidRPr="00936A8D">
        <w:rPr>
          <w:rFonts w:ascii="Century" w:hAnsi="Century" w:cs="Miriam" w:hint="eastAsia"/>
          <w:b/>
          <w:spacing w:val="0"/>
          <w:szCs w:val="24"/>
          <w:rtl/>
        </w:rPr>
        <w:t>התרשלות</w:t>
      </w:r>
      <w:r w:rsidRPr="00936A8D">
        <w:rPr>
          <w:rFonts w:ascii="Century" w:hAnsi="Century" w:cs="Miriam"/>
          <w:b/>
          <w:spacing w:val="0"/>
          <w:szCs w:val="24"/>
          <w:rtl/>
        </w:rPr>
        <w:t xml:space="preserve"> </w:t>
      </w:r>
      <w:r w:rsidRPr="00936A8D">
        <w:rPr>
          <w:rFonts w:ascii="Century" w:hAnsi="Century" w:cs="Miriam" w:hint="eastAsia"/>
          <w:b/>
          <w:spacing w:val="0"/>
          <w:szCs w:val="24"/>
          <w:rtl/>
        </w:rPr>
        <w:t>הנתבע</w:t>
      </w:r>
      <w:r w:rsidRPr="00936A8D">
        <w:rPr>
          <w:rFonts w:ascii="Century" w:hAnsi="Century" w:cs="Miriam"/>
          <w:b/>
          <w:spacing w:val="0"/>
          <w:szCs w:val="24"/>
          <w:rtl/>
        </w:rPr>
        <w:t xml:space="preserve"> </w:t>
      </w:r>
      <w:r w:rsidRPr="00936A8D">
        <w:rPr>
          <w:rFonts w:ascii="Century" w:hAnsi="Century" w:cs="Miriam" w:hint="eastAsia"/>
          <w:b/>
          <w:spacing w:val="0"/>
          <w:szCs w:val="24"/>
          <w:rtl/>
        </w:rPr>
        <w:t>מבלי</w:t>
      </w:r>
      <w:r w:rsidRPr="00936A8D">
        <w:rPr>
          <w:rFonts w:ascii="Century" w:hAnsi="Century" w:cs="Miriam"/>
          <w:b/>
          <w:spacing w:val="0"/>
          <w:szCs w:val="24"/>
          <w:rtl/>
        </w:rPr>
        <w:t xml:space="preserve"> </w:t>
      </w:r>
      <w:r w:rsidRPr="00936A8D">
        <w:rPr>
          <w:rFonts w:ascii="Century" w:hAnsi="Century" w:cs="Miriam" w:hint="eastAsia"/>
          <w:b/>
          <w:spacing w:val="0"/>
          <w:szCs w:val="24"/>
          <w:rtl/>
        </w:rPr>
        <w:t>להוכיח</w:t>
      </w:r>
      <w:r w:rsidRPr="00936A8D">
        <w:rPr>
          <w:rFonts w:ascii="Century" w:hAnsi="Century" w:cs="Miriam"/>
          <w:b/>
          <w:spacing w:val="0"/>
          <w:szCs w:val="24"/>
          <w:rtl/>
        </w:rPr>
        <w:t xml:space="preserve"> </w:t>
      </w:r>
      <w:r w:rsidRPr="00936A8D">
        <w:rPr>
          <w:rFonts w:ascii="Century" w:hAnsi="Century" w:cs="Miriam" w:hint="eastAsia"/>
          <w:b/>
          <w:spacing w:val="0"/>
          <w:szCs w:val="24"/>
          <w:rtl/>
        </w:rPr>
        <w:t>את</w:t>
      </w:r>
      <w:r w:rsidRPr="00936A8D">
        <w:rPr>
          <w:rFonts w:ascii="Century" w:hAnsi="Century" w:cs="Miriam"/>
          <w:b/>
          <w:spacing w:val="0"/>
          <w:szCs w:val="24"/>
          <w:rtl/>
        </w:rPr>
        <w:t xml:space="preserve"> </w:t>
      </w:r>
      <w:r w:rsidRPr="00936A8D">
        <w:rPr>
          <w:rFonts w:ascii="Century" w:hAnsi="Century" w:cs="Miriam" w:hint="eastAsia"/>
          <w:b/>
          <w:spacing w:val="0"/>
          <w:szCs w:val="24"/>
          <w:rtl/>
        </w:rPr>
        <w:t>פרטי</w:t>
      </w:r>
      <w:r w:rsidRPr="00936A8D">
        <w:rPr>
          <w:rFonts w:ascii="Century" w:hAnsi="Century" w:cs="Miriam"/>
          <w:b/>
          <w:spacing w:val="0"/>
          <w:szCs w:val="24"/>
          <w:rtl/>
        </w:rPr>
        <w:t xml:space="preserve"> </w:t>
      </w:r>
      <w:r w:rsidRPr="00936A8D">
        <w:rPr>
          <w:rFonts w:ascii="Century" w:hAnsi="Century" w:cs="Miriam" w:hint="eastAsia"/>
          <w:b/>
          <w:spacing w:val="0"/>
          <w:szCs w:val="24"/>
          <w:rtl/>
        </w:rPr>
        <w:t>ההתרשלות</w:t>
      </w:r>
      <w:r w:rsidRPr="00936A8D">
        <w:rPr>
          <w:rFonts w:ascii="Century" w:hAnsi="Century" w:cs="Miriam"/>
          <w:b/>
          <w:spacing w:val="0"/>
          <w:szCs w:val="24"/>
          <w:rtl/>
        </w:rPr>
        <w:t xml:space="preserve"> </w:t>
      </w:r>
      <w:r w:rsidRPr="00936A8D">
        <w:rPr>
          <w:rFonts w:ascii="Century" w:hAnsi="Century" w:cs="Miriam" w:hint="eastAsia"/>
          <w:b/>
          <w:spacing w:val="0"/>
          <w:szCs w:val="24"/>
          <w:rtl/>
        </w:rPr>
        <w:t>בנסיבות</w:t>
      </w:r>
      <w:r w:rsidRPr="00936A8D">
        <w:rPr>
          <w:rFonts w:ascii="Century" w:hAnsi="Century" w:cs="Miriam"/>
          <w:b/>
          <w:spacing w:val="0"/>
          <w:szCs w:val="24"/>
          <w:rtl/>
        </w:rPr>
        <w:t xml:space="preserve"> </w:t>
      </w:r>
      <w:r w:rsidRPr="00936A8D">
        <w:rPr>
          <w:rFonts w:ascii="Century" w:hAnsi="Century" w:cs="Miriam" w:hint="eastAsia"/>
          <w:b/>
          <w:spacing w:val="0"/>
          <w:szCs w:val="24"/>
          <w:rtl/>
        </w:rPr>
        <w:t>מהן</w:t>
      </w:r>
      <w:r w:rsidRPr="00936A8D">
        <w:rPr>
          <w:rFonts w:ascii="Century" w:hAnsi="Century" w:cs="Miriam"/>
          <w:b/>
          <w:spacing w:val="0"/>
          <w:szCs w:val="24"/>
          <w:rtl/>
        </w:rPr>
        <w:t xml:space="preserve"> </w:t>
      </w:r>
      <w:r w:rsidRPr="00936A8D">
        <w:rPr>
          <w:rFonts w:ascii="Century" w:hAnsi="Century" w:cs="Miriam" w:hint="eastAsia"/>
          <w:b/>
          <w:spacing w:val="0"/>
          <w:szCs w:val="24"/>
          <w:rtl/>
        </w:rPr>
        <w:t>עולה</w:t>
      </w:r>
      <w:r w:rsidRPr="00936A8D">
        <w:rPr>
          <w:rFonts w:ascii="Century" w:hAnsi="Century" w:cs="Miriam"/>
          <w:b/>
          <w:spacing w:val="0"/>
          <w:szCs w:val="24"/>
          <w:rtl/>
        </w:rPr>
        <w:t xml:space="preserve"> – </w:t>
      </w:r>
      <w:r w:rsidRPr="00936A8D">
        <w:rPr>
          <w:rFonts w:ascii="Century" w:hAnsi="Century" w:cs="Miriam" w:hint="eastAsia"/>
          <w:b/>
          <w:spacing w:val="0"/>
          <w:szCs w:val="24"/>
          <w:rtl/>
        </w:rPr>
        <w:t>במאזן</w:t>
      </w:r>
      <w:r w:rsidRPr="00936A8D">
        <w:rPr>
          <w:rFonts w:ascii="Century" w:hAnsi="Century" w:cs="Miriam"/>
          <w:b/>
          <w:spacing w:val="0"/>
          <w:szCs w:val="24"/>
          <w:rtl/>
        </w:rPr>
        <w:t xml:space="preserve"> </w:t>
      </w:r>
      <w:r w:rsidRPr="00936A8D">
        <w:rPr>
          <w:rFonts w:ascii="Century" w:hAnsi="Century" w:cs="Miriam" w:hint="eastAsia"/>
          <w:b/>
          <w:spacing w:val="0"/>
          <w:szCs w:val="24"/>
          <w:rtl/>
        </w:rPr>
        <w:t>ההסתברויות</w:t>
      </w:r>
      <w:r w:rsidRPr="00936A8D">
        <w:rPr>
          <w:rFonts w:ascii="Century" w:hAnsi="Century" w:cs="Miriam"/>
          <w:b/>
          <w:spacing w:val="0"/>
          <w:szCs w:val="24"/>
          <w:rtl/>
        </w:rPr>
        <w:t xml:space="preserve"> – </w:t>
      </w:r>
      <w:r w:rsidRPr="00936A8D">
        <w:rPr>
          <w:rFonts w:ascii="Century" w:hAnsi="Century" w:cs="Miriam" w:hint="eastAsia"/>
          <w:b/>
          <w:spacing w:val="0"/>
          <w:szCs w:val="24"/>
          <w:rtl/>
        </w:rPr>
        <w:t>כי</w:t>
      </w:r>
      <w:r w:rsidRPr="00936A8D">
        <w:rPr>
          <w:rFonts w:ascii="Century" w:hAnsi="Century" w:cs="Miriam"/>
          <w:b/>
          <w:spacing w:val="0"/>
          <w:szCs w:val="24"/>
          <w:rtl/>
        </w:rPr>
        <w:t xml:space="preserve"> </w:t>
      </w:r>
      <w:r w:rsidRPr="00936A8D">
        <w:rPr>
          <w:rFonts w:ascii="Century" w:hAnsi="Century" w:cs="Miriam" w:hint="eastAsia"/>
          <w:b/>
          <w:spacing w:val="0"/>
          <w:szCs w:val="24"/>
          <w:rtl/>
        </w:rPr>
        <w:t>הנתבע</w:t>
      </w:r>
      <w:r w:rsidRPr="00936A8D">
        <w:rPr>
          <w:rFonts w:ascii="Century" w:hAnsi="Century" w:cs="Miriam"/>
          <w:b/>
          <w:spacing w:val="0"/>
          <w:szCs w:val="24"/>
          <w:rtl/>
        </w:rPr>
        <w:t xml:space="preserve"> </w:t>
      </w:r>
      <w:r w:rsidRPr="00936A8D">
        <w:rPr>
          <w:rFonts w:ascii="Century" w:hAnsi="Century" w:cs="Miriam" w:hint="eastAsia"/>
          <w:b/>
          <w:spacing w:val="0"/>
          <w:szCs w:val="24"/>
          <w:rtl/>
        </w:rPr>
        <w:t>התרשל</w:t>
      </w:r>
      <w:r w:rsidRPr="00936A8D">
        <w:rPr>
          <w:rFonts w:ascii="Century" w:hAnsi="Century" w:cs="Miriam"/>
          <w:b/>
          <w:spacing w:val="0"/>
          <w:szCs w:val="24"/>
          <w:rtl/>
        </w:rPr>
        <w:t xml:space="preserve"> </w:t>
      </w:r>
      <w:r w:rsidRPr="00936A8D">
        <w:rPr>
          <w:rFonts w:ascii="Century" w:hAnsi="Century" w:cs="Miriam" w:hint="eastAsia"/>
          <w:b/>
          <w:spacing w:val="0"/>
          <w:szCs w:val="24"/>
          <w:rtl/>
        </w:rPr>
        <w:t>בדרך</w:t>
      </w:r>
      <w:r w:rsidRPr="00936A8D">
        <w:rPr>
          <w:rFonts w:ascii="Century" w:hAnsi="Century" w:cs="Miriam"/>
          <w:b/>
          <w:spacing w:val="0"/>
          <w:szCs w:val="24"/>
          <w:rtl/>
        </w:rPr>
        <w:t xml:space="preserve"> </w:t>
      </w:r>
      <w:r w:rsidRPr="00936A8D">
        <w:rPr>
          <w:rFonts w:ascii="Century" w:hAnsi="Century" w:cs="Miriam" w:hint="eastAsia"/>
          <w:b/>
          <w:spacing w:val="0"/>
          <w:szCs w:val="24"/>
          <w:rtl/>
        </w:rPr>
        <w:t>כלשהי</w:t>
      </w:r>
      <w:r w:rsidRPr="00936A8D">
        <w:rPr>
          <w:rFonts w:ascii="Century" w:hAnsi="Century" w:cs="Miriam"/>
          <w:b/>
          <w:spacing w:val="0"/>
          <w:szCs w:val="24"/>
          <w:rtl/>
        </w:rPr>
        <w:t xml:space="preserve">, </w:t>
      </w:r>
      <w:r w:rsidRPr="00936A8D">
        <w:rPr>
          <w:rFonts w:ascii="Century" w:hAnsi="Century" w:cs="Miriam" w:hint="eastAsia"/>
          <w:b/>
          <w:spacing w:val="0"/>
          <w:szCs w:val="24"/>
          <w:rtl/>
        </w:rPr>
        <w:t>שאינה</w:t>
      </w:r>
      <w:r w:rsidRPr="00936A8D">
        <w:rPr>
          <w:rFonts w:ascii="Century" w:hAnsi="Century" w:cs="Miriam"/>
          <w:b/>
          <w:spacing w:val="0"/>
          <w:szCs w:val="24"/>
          <w:rtl/>
        </w:rPr>
        <w:t xml:space="preserve"> </w:t>
      </w:r>
      <w:r w:rsidRPr="00936A8D">
        <w:rPr>
          <w:rFonts w:ascii="Century" w:hAnsi="Century" w:cs="Miriam" w:hint="eastAsia"/>
          <w:b/>
          <w:spacing w:val="0"/>
          <w:szCs w:val="24"/>
          <w:rtl/>
        </w:rPr>
        <w:t>ידועה</w:t>
      </w:r>
      <w:r w:rsidRPr="00936A8D">
        <w:rPr>
          <w:rFonts w:ascii="Century" w:hAnsi="Century" w:cs="Miriam"/>
          <w:b/>
          <w:spacing w:val="0"/>
          <w:szCs w:val="24"/>
          <w:rtl/>
        </w:rPr>
        <w:t xml:space="preserve">, </w:t>
      </w:r>
      <w:r w:rsidRPr="00936A8D">
        <w:rPr>
          <w:rFonts w:ascii="Century" w:hAnsi="Century" w:cs="Miriam" w:hint="eastAsia"/>
          <w:b/>
          <w:spacing w:val="0"/>
          <w:szCs w:val="24"/>
          <w:rtl/>
        </w:rPr>
        <w:t>ועל</w:t>
      </w:r>
      <w:r w:rsidRPr="00936A8D">
        <w:rPr>
          <w:rFonts w:ascii="Century" w:hAnsi="Century" w:cs="Miriam"/>
          <w:b/>
          <w:spacing w:val="0"/>
          <w:szCs w:val="24"/>
          <w:rtl/>
        </w:rPr>
        <w:t xml:space="preserve"> </w:t>
      </w:r>
      <w:r w:rsidRPr="00936A8D">
        <w:rPr>
          <w:rFonts w:ascii="Century" w:hAnsi="Century" w:cs="Miriam" w:hint="eastAsia"/>
          <w:b/>
          <w:spacing w:val="0"/>
          <w:szCs w:val="24"/>
          <w:rtl/>
        </w:rPr>
        <w:t>ידי</w:t>
      </w:r>
      <w:r w:rsidRPr="00936A8D">
        <w:rPr>
          <w:rFonts w:ascii="Century" w:hAnsi="Century" w:cs="Miriam"/>
          <w:b/>
          <w:spacing w:val="0"/>
          <w:szCs w:val="24"/>
          <w:rtl/>
        </w:rPr>
        <w:t xml:space="preserve"> </w:t>
      </w:r>
      <w:r w:rsidRPr="00936A8D">
        <w:rPr>
          <w:rFonts w:ascii="Century" w:hAnsi="Century" w:cs="Miriam" w:hint="eastAsia"/>
          <w:b/>
          <w:spacing w:val="0"/>
          <w:szCs w:val="24"/>
          <w:rtl/>
        </w:rPr>
        <w:t>כך</w:t>
      </w:r>
      <w:r w:rsidRPr="00936A8D">
        <w:rPr>
          <w:rFonts w:ascii="Century" w:hAnsi="Century" w:cs="Miriam"/>
          <w:b/>
          <w:spacing w:val="0"/>
          <w:szCs w:val="24"/>
          <w:rtl/>
        </w:rPr>
        <w:t xml:space="preserve"> </w:t>
      </w:r>
      <w:r w:rsidRPr="00936A8D">
        <w:rPr>
          <w:rFonts w:ascii="Century" w:hAnsi="Century" w:cs="Miriam" w:hint="eastAsia"/>
          <w:b/>
          <w:spacing w:val="0"/>
          <w:szCs w:val="24"/>
          <w:rtl/>
        </w:rPr>
        <w:t>גרם</w:t>
      </w:r>
      <w:r w:rsidRPr="00936A8D">
        <w:rPr>
          <w:rFonts w:ascii="Century" w:hAnsi="Century" w:cs="Miriam"/>
          <w:b/>
          <w:spacing w:val="0"/>
          <w:szCs w:val="24"/>
          <w:rtl/>
        </w:rPr>
        <w:t xml:space="preserve"> </w:t>
      </w:r>
      <w:r w:rsidRPr="00936A8D">
        <w:rPr>
          <w:rFonts w:ascii="Century" w:hAnsi="Century" w:cs="Miriam" w:hint="eastAsia"/>
          <w:b/>
          <w:spacing w:val="0"/>
          <w:szCs w:val="24"/>
          <w:rtl/>
        </w:rPr>
        <w:t>נזק</w:t>
      </w:r>
      <w:r w:rsidRPr="00936A8D">
        <w:rPr>
          <w:rFonts w:ascii="Century" w:hAnsi="Century" w:cs="Miriam"/>
          <w:b/>
          <w:spacing w:val="0"/>
          <w:szCs w:val="24"/>
          <w:rtl/>
        </w:rPr>
        <w:t xml:space="preserve"> </w:t>
      </w:r>
      <w:r w:rsidRPr="00936A8D">
        <w:rPr>
          <w:rFonts w:ascii="Century" w:hAnsi="Century" w:cs="Miriam" w:hint="eastAsia"/>
          <w:b/>
          <w:spacing w:val="0"/>
          <w:szCs w:val="24"/>
          <w:rtl/>
        </w:rPr>
        <w:t>לתובע</w:t>
      </w:r>
      <w:r w:rsidRPr="00936A8D">
        <w:rPr>
          <w:rtl/>
        </w:rPr>
        <w:t xml:space="preserve"> [...]. </w:t>
      </w:r>
      <w:r w:rsidRPr="00936A8D">
        <w:rPr>
          <w:rFonts w:ascii="Century" w:hAnsi="Century" w:cs="Miriam" w:hint="eastAsia"/>
          <w:b/>
          <w:spacing w:val="0"/>
          <w:szCs w:val="24"/>
          <w:rtl/>
        </w:rPr>
        <w:t>בדומה</w:t>
      </w:r>
      <w:r w:rsidRPr="00936A8D">
        <w:rPr>
          <w:rFonts w:ascii="Century" w:hAnsi="Century" w:cs="Miriam"/>
          <w:b/>
          <w:spacing w:val="0"/>
          <w:szCs w:val="24"/>
          <w:rtl/>
        </w:rPr>
        <w:t xml:space="preserve"> </w:t>
      </w:r>
      <w:r w:rsidRPr="00936A8D">
        <w:rPr>
          <w:rFonts w:ascii="Century" w:hAnsi="Century" w:cs="Miriam" w:hint="eastAsia"/>
          <w:b/>
          <w:spacing w:val="0"/>
          <w:szCs w:val="24"/>
          <w:rtl/>
        </w:rPr>
        <w:t>לכך</w:t>
      </w:r>
      <w:r w:rsidRPr="00936A8D">
        <w:rPr>
          <w:rFonts w:ascii="Century" w:hAnsi="Century" w:cs="Miriam"/>
          <w:b/>
          <w:spacing w:val="0"/>
          <w:szCs w:val="24"/>
          <w:rtl/>
        </w:rPr>
        <w:t xml:space="preserve">, </w:t>
      </w:r>
      <w:r w:rsidRPr="00936A8D">
        <w:rPr>
          <w:rFonts w:ascii="Century" w:hAnsi="Century" w:cs="Miriam" w:hint="eastAsia"/>
          <w:b/>
          <w:spacing w:val="0"/>
          <w:szCs w:val="24"/>
          <w:rtl/>
        </w:rPr>
        <w:t>דוקטרינת</w:t>
      </w:r>
      <w:r w:rsidRPr="00936A8D">
        <w:rPr>
          <w:rFonts w:ascii="Century" w:hAnsi="Century" w:cs="Miriam"/>
          <w:b/>
          <w:spacing w:val="0"/>
          <w:szCs w:val="24"/>
          <w:rtl/>
        </w:rPr>
        <w:t xml:space="preserve"> </w:t>
      </w:r>
      <w:r w:rsidRPr="00936A8D">
        <w:rPr>
          <w:rFonts w:ascii="Century" w:hAnsi="Century" w:cs="Miriam" w:hint="eastAsia"/>
          <w:b/>
          <w:spacing w:val="0"/>
          <w:szCs w:val="24"/>
          <w:rtl/>
        </w:rPr>
        <w:t>הסבירות</w:t>
      </w:r>
      <w:r w:rsidRPr="00936A8D">
        <w:rPr>
          <w:rFonts w:ascii="Century" w:hAnsi="Century" w:cs="Miriam"/>
          <w:b/>
          <w:spacing w:val="0"/>
          <w:szCs w:val="24"/>
          <w:rtl/>
        </w:rPr>
        <w:t xml:space="preserve"> </w:t>
      </w:r>
      <w:r w:rsidRPr="00936A8D">
        <w:rPr>
          <w:rFonts w:ascii="Century" w:hAnsi="Century" w:cs="Miriam" w:hint="eastAsia"/>
          <w:b/>
          <w:spacing w:val="0"/>
          <w:szCs w:val="24"/>
          <w:rtl/>
        </w:rPr>
        <w:t>קובעת</w:t>
      </w:r>
      <w:r w:rsidRPr="00936A8D">
        <w:rPr>
          <w:rFonts w:ascii="Century" w:hAnsi="Century" w:cs="Miriam"/>
          <w:b/>
          <w:spacing w:val="0"/>
          <w:szCs w:val="24"/>
          <w:rtl/>
        </w:rPr>
        <w:t xml:space="preserve"> </w:t>
      </w:r>
      <w:r w:rsidRPr="00936A8D">
        <w:rPr>
          <w:rFonts w:ascii="Century" w:hAnsi="Century" w:cs="Miriam" w:hint="eastAsia"/>
          <w:b/>
          <w:spacing w:val="0"/>
          <w:szCs w:val="24"/>
          <w:rtl/>
        </w:rPr>
        <w:t>כי</w:t>
      </w:r>
      <w:r w:rsidRPr="00936A8D">
        <w:rPr>
          <w:rFonts w:ascii="Century" w:hAnsi="Century" w:cs="Miriam"/>
          <w:b/>
          <w:spacing w:val="0"/>
          <w:szCs w:val="24"/>
          <w:rtl/>
        </w:rPr>
        <w:t xml:space="preserve"> </w:t>
      </w:r>
      <w:r w:rsidRPr="00936A8D">
        <w:rPr>
          <w:rFonts w:ascii="Century" w:hAnsi="Century" w:cs="Miriam" w:hint="eastAsia"/>
          <w:b/>
          <w:spacing w:val="0"/>
          <w:szCs w:val="24"/>
          <w:rtl/>
        </w:rPr>
        <w:t>החלטה</w:t>
      </w:r>
      <w:r w:rsidRPr="00936A8D">
        <w:rPr>
          <w:rFonts w:ascii="Century" w:hAnsi="Century" w:cs="Miriam"/>
          <w:b/>
          <w:spacing w:val="0"/>
          <w:szCs w:val="24"/>
          <w:rtl/>
        </w:rPr>
        <w:t xml:space="preserve"> </w:t>
      </w:r>
      <w:r w:rsidRPr="00936A8D">
        <w:rPr>
          <w:rFonts w:ascii="Century" w:hAnsi="Century" w:cs="Miriam" w:hint="eastAsia"/>
          <w:b/>
          <w:spacing w:val="0"/>
          <w:szCs w:val="24"/>
          <w:rtl/>
        </w:rPr>
        <w:t>מינהלית</w:t>
      </w:r>
      <w:r w:rsidRPr="00936A8D">
        <w:rPr>
          <w:rFonts w:ascii="Century" w:hAnsi="Century" w:cs="Miriam"/>
          <w:b/>
          <w:spacing w:val="0"/>
          <w:szCs w:val="24"/>
          <w:rtl/>
        </w:rPr>
        <w:t xml:space="preserve"> </w:t>
      </w:r>
      <w:r w:rsidRPr="00936A8D">
        <w:rPr>
          <w:rFonts w:ascii="Century" w:hAnsi="Century" w:cs="Miriam" w:hint="eastAsia"/>
          <w:b/>
          <w:spacing w:val="0"/>
          <w:szCs w:val="24"/>
          <w:rtl/>
        </w:rPr>
        <w:t>אשר</w:t>
      </w:r>
      <w:r w:rsidRPr="00936A8D">
        <w:rPr>
          <w:rFonts w:ascii="Century" w:hAnsi="Century" w:cs="Miriam"/>
          <w:b/>
          <w:spacing w:val="0"/>
          <w:szCs w:val="24"/>
          <w:rtl/>
        </w:rPr>
        <w:t xml:space="preserve"> </w:t>
      </w:r>
      <w:r w:rsidRPr="00936A8D">
        <w:rPr>
          <w:rFonts w:ascii="Century" w:hAnsi="Century" w:cs="Miriam" w:hint="eastAsia"/>
          <w:b/>
          <w:spacing w:val="0"/>
          <w:szCs w:val="24"/>
          <w:rtl/>
        </w:rPr>
        <w:t>נראית</w:t>
      </w:r>
      <w:r w:rsidRPr="00936A8D">
        <w:rPr>
          <w:rFonts w:ascii="Century" w:hAnsi="Century" w:cs="Miriam"/>
          <w:b/>
          <w:spacing w:val="0"/>
          <w:szCs w:val="24"/>
          <w:rtl/>
        </w:rPr>
        <w:t xml:space="preserve">, </w:t>
      </w:r>
      <w:r w:rsidRPr="00936A8D">
        <w:rPr>
          <w:rFonts w:ascii="Century" w:hAnsi="Century" w:cs="Miriam" w:hint="eastAsia"/>
          <w:b/>
          <w:spacing w:val="0"/>
          <w:szCs w:val="24"/>
          <w:rtl/>
        </w:rPr>
        <w:t>על</w:t>
      </w:r>
      <w:r w:rsidRPr="00936A8D">
        <w:rPr>
          <w:rFonts w:ascii="Century" w:hAnsi="Century" w:cs="Miriam"/>
          <w:b/>
          <w:spacing w:val="0"/>
          <w:szCs w:val="24"/>
          <w:rtl/>
        </w:rPr>
        <w:t xml:space="preserve"> </w:t>
      </w:r>
      <w:r w:rsidRPr="00936A8D">
        <w:rPr>
          <w:rFonts w:ascii="Century" w:hAnsi="Century" w:cs="Miriam" w:hint="eastAsia"/>
          <w:b/>
          <w:spacing w:val="0"/>
          <w:szCs w:val="24"/>
          <w:rtl/>
        </w:rPr>
        <w:t>פניה</w:t>
      </w:r>
      <w:r w:rsidRPr="00936A8D">
        <w:rPr>
          <w:rFonts w:ascii="Century" w:hAnsi="Century" w:cs="Miriam"/>
          <w:b/>
          <w:spacing w:val="0"/>
          <w:szCs w:val="24"/>
          <w:rtl/>
        </w:rPr>
        <w:t xml:space="preserve">, </w:t>
      </w:r>
      <w:r w:rsidRPr="00936A8D">
        <w:rPr>
          <w:rFonts w:ascii="Century" w:hAnsi="Century" w:cs="Miriam" w:hint="eastAsia"/>
          <w:b/>
          <w:spacing w:val="0"/>
          <w:szCs w:val="24"/>
          <w:rtl/>
        </w:rPr>
        <w:t>בלתי</w:t>
      </w:r>
      <w:r w:rsidRPr="00936A8D">
        <w:rPr>
          <w:rFonts w:ascii="Century" w:hAnsi="Century" w:cs="Miriam"/>
          <w:b/>
          <w:spacing w:val="0"/>
          <w:szCs w:val="24"/>
          <w:rtl/>
        </w:rPr>
        <w:t xml:space="preserve"> </w:t>
      </w:r>
      <w:r w:rsidRPr="00936A8D">
        <w:rPr>
          <w:rFonts w:ascii="Century" w:hAnsi="Century" w:cs="Miriam" w:hint="eastAsia"/>
          <w:b/>
          <w:spacing w:val="0"/>
          <w:szCs w:val="24"/>
          <w:rtl/>
        </w:rPr>
        <w:t>סבירה</w:t>
      </w:r>
      <w:r w:rsidRPr="00936A8D">
        <w:rPr>
          <w:rFonts w:ascii="Century" w:hAnsi="Century" w:cs="Miriam"/>
          <w:b/>
          <w:spacing w:val="0"/>
          <w:szCs w:val="24"/>
          <w:rtl/>
        </w:rPr>
        <w:t xml:space="preserve"> </w:t>
      </w:r>
      <w:r w:rsidRPr="00936A8D">
        <w:rPr>
          <w:rFonts w:ascii="Century" w:hAnsi="Century" w:cs="Miriam" w:hint="eastAsia"/>
          <w:b/>
          <w:spacing w:val="0"/>
          <w:szCs w:val="24"/>
          <w:rtl/>
        </w:rPr>
        <w:t>במידה</w:t>
      </w:r>
      <w:r w:rsidRPr="00936A8D">
        <w:rPr>
          <w:rFonts w:ascii="Century" w:hAnsi="Century" w:cs="Miriam"/>
          <w:b/>
          <w:spacing w:val="0"/>
          <w:szCs w:val="24"/>
          <w:rtl/>
        </w:rPr>
        <w:t xml:space="preserve"> </w:t>
      </w:r>
      <w:r w:rsidRPr="00936A8D">
        <w:rPr>
          <w:rFonts w:ascii="Century" w:hAnsi="Century" w:cs="Miriam" w:hint="eastAsia"/>
          <w:b/>
          <w:spacing w:val="0"/>
          <w:szCs w:val="24"/>
          <w:rtl/>
        </w:rPr>
        <w:t>קיצונית</w:t>
      </w:r>
      <w:r w:rsidRPr="00936A8D">
        <w:rPr>
          <w:rFonts w:ascii="Century" w:hAnsi="Century" w:cs="Miriam"/>
          <w:b/>
          <w:spacing w:val="0"/>
          <w:szCs w:val="24"/>
          <w:rtl/>
        </w:rPr>
        <w:t xml:space="preserve"> </w:t>
      </w:r>
      <w:r w:rsidRPr="00936A8D">
        <w:rPr>
          <w:rFonts w:ascii="Century" w:hAnsi="Century" w:cs="Miriam" w:hint="eastAsia"/>
          <w:b/>
          <w:spacing w:val="0"/>
          <w:szCs w:val="24"/>
          <w:rtl/>
        </w:rPr>
        <w:t>היא</w:t>
      </w:r>
      <w:r w:rsidRPr="00936A8D">
        <w:rPr>
          <w:rFonts w:ascii="Century" w:hAnsi="Century" w:cs="Miriam"/>
          <w:b/>
          <w:spacing w:val="0"/>
          <w:szCs w:val="24"/>
          <w:rtl/>
        </w:rPr>
        <w:t xml:space="preserve"> </w:t>
      </w:r>
      <w:r w:rsidRPr="00936A8D">
        <w:rPr>
          <w:rFonts w:ascii="Century" w:hAnsi="Century" w:cs="Miriam" w:hint="eastAsia"/>
          <w:b/>
          <w:spacing w:val="0"/>
          <w:szCs w:val="24"/>
          <w:rtl/>
        </w:rPr>
        <w:t>החלטה</w:t>
      </w:r>
      <w:r w:rsidRPr="00936A8D">
        <w:rPr>
          <w:rFonts w:ascii="Century" w:hAnsi="Century" w:cs="Miriam"/>
          <w:b/>
          <w:spacing w:val="0"/>
          <w:szCs w:val="24"/>
          <w:rtl/>
        </w:rPr>
        <w:t xml:space="preserve"> </w:t>
      </w:r>
      <w:r w:rsidRPr="00936A8D">
        <w:rPr>
          <w:rFonts w:ascii="Century" w:hAnsi="Century" w:cs="Miriam" w:hint="eastAsia"/>
          <w:b/>
          <w:spacing w:val="0"/>
          <w:szCs w:val="24"/>
          <w:rtl/>
        </w:rPr>
        <w:t>שלבטח</w:t>
      </w:r>
      <w:r w:rsidRPr="00936A8D">
        <w:rPr>
          <w:rFonts w:ascii="Century" w:hAnsi="Century" w:cs="Miriam"/>
          <w:b/>
          <w:spacing w:val="0"/>
          <w:szCs w:val="24"/>
          <w:rtl/>
        </w:rPr>
        <w:t xml:space="preserve"> </w:t>
      </w:r>
      <w:r w:rsidRPr="00936A8D">
        <w:rPr>
          <w:rFonts w:ascii="Century" w:hAnsi="Century" w:cs="Miriam" w:hint="eastAsia"/>
          <w:b/>
          <w:spacing w:val="0"/>
          <w:szCs w:val="24"/>
          <w:rtl/>
        </w:rPr>
        <w:t>לוקה</w:t>
      </w:r>
      <w:r w:rsidRPr="00936A8D">
        <w:rPr>
          <w:rFonts w:ascii="Century" w:hAnsi="Century" w:cs="Miriam"/>
          <w:b/>
          <w:spacing w:val="0"/>
          <w:szCs w:val="24"/>
          <w:rtl/>
        </w:rPr>
        <w:t xml:space="preserve"> </w:t>
      </w:r>
      <w:r w:rsidRPr="00936A8D">
        <w:rPr>
          <w:rFonts w:ascii="Century" w:hAnsi="Century" w:cs="Miriam" w:hint="eastAsia"/>
          <w:b/>
          <w:spacing w:val="0"/>
          <w:szCs w:val="24"/>
          <w:rtl/>
        </w:rPr>
        <w:t>באחד</w:t>
      </w:r>
      <w:r w:rsidRPr="00936A8D">
        <w:rPr>
          <w:rFonts w:ascii="Century" w:hAnsi="Century" w:cs="Miriam"/>
          <w:b/>
          <w:spacing w:val="0"/>
          <w:szCs w:val="24"/>
          <w:rtl/>
        </w:rPr>
        <w:t xml:space="preserve"> </w:t>
      </w:r>
      <w:r w:rsidRPr="00936A8D">
        <w:rPr>
          <w:rFonts w:ascii="Century" w:hAnsi="Century" w:cs="Miriam" w:hint="eastAsia"/>
          <w:b/>
          <w:spacing w:val="0"/>
          <w:szCs w:val="24"/>
          <w:rtl/>
        </w:rPr>
        <w:t>הפגמים</w:t>
      </w:r>
      <w:r w:rsidRPr="00936A8D">
        <w:rPr>
          <w:rFonts w:ascii="Century" w:hAnsi="Century" w:cs="Miriam"/>
          <w:b/>
          <w:spacing w:val="0"/>
          <w:szCs w:val="24"/>
          <w:rtl/>
        </w:rPr>
        <w:t xml:space="preserve"> </w:t>
      </w:r>
      <w:r w:rsidRPr="00936A8D">
        <w:rPr>
          <w:rFonts w:ascii="Century" w:hAnsi="Century" w:cs="Miriam" w:hint="eastAsia"/>
          <w:b/>
          <w:spacing w:val="0"/>
          <w:szCs w:val="24"/>
          <w:rtl/>
        </w:rPr>
        <w:t>היסודיים</w:t>
      </w:r>
      <w:r w:rsidRPr="00936A8D">
        <w:rPr>
          <w:rFonts w:ascii="Century" w:hAnsi="Century" w:cs="Miriam"/>
          <w:b/>
          <w:spacing w:val="0"/>
          <w:szCs w:val="24"/>
          <w:rtl/>
        </w:rPr>
        <w:t xml:space="preserve"> </w:t>
      </w:r>
      <w:r w:rsidRPr="00936A8D">
        <w:rPr>
          <w:rFonts w:ascii="Century" w:hAnsi="Century" w:cs="Miriam" w:hint="eastAsia"/>
          <w:b/>
          <w:spacing w:val="0"/>
          <w:szCs w:val="24"/>
          <w:rtl/>
        </w:rPr>
        <w:t>כדוגמת</w:t>
      </w:r>
      <w:r w:rsidRPr="00936A8D">
        <w:rPr>
          <w:rFonts w:ascii="Century" w:hAnsi="Century" w:cs="Miriam"/>
          <w:b/>
          <w:spacing w:val="0"/>
          <w:szCs w:val="24"/>
          <w:rtl/>
        </w:rPr>
        <w:t xml:space="preserve"> </w:t>
      </w:r>
      <w:r w:rsidRPr="00936A8D">
        <w:rPr>
          <w:rFonts w:ascii="Century" w:hAnsi="Century" w:cs="Miriam" w:hint="eastAsia"/>
          <w:b/>
          <w:spacing w:val="0"/>
          <w:szCs w:val="24"/>
          <w:rtl/>
        </w:rPr>
        <w:t>שרירות</w:t>
      </w:r>
      <w:r w:rsidRPr="00936A8D">
        <w:rPr>
          <w:rFonts w:ascii="Century" w:hAnsi="Century" w:cs="Miriam"/>
          <w:b/>
          <w:spacing w:val="0"/>
          <w:szCs w:val="24"/>
          <w:rtl/>
        </w:rPr>
        <w:t xml:space="preserve">, </w:t>
      </w:r>
      <w:r w:rsidRPr="00936A8D">
        <w:rPr>
          <w:rFonts w:ascii="Century" w:hAnsi="Century" w:cs="Miriam" w:hint="eastAsia"/>
          <w:b/>
          <w:spacing w:val="0"/>
          <w:szCs w:val="24"/>
          <w:rtl/>
        </w:rPr>
        <w:t>שיקולים</w:t>
      </w:r>
      <w:r w:rsidRPr="00936A8D">
        <w:rPr>
          <w:rFonts w:ascii="Century" w:hAnsi="Century" w:cs="Miriam"/>
          <w:b/>
          <w:spacing w:val="0"/>
          <w:szCs w:val="24"/>
          <w:rtl/>
        </w:rPr>
        <w:t xml:space="preserve"> </w:t>
      </w:r>
      <w:r w:rsidRPr="00936A8D">
        <w:rPr>
          <w:rFonts w:ascii="Century" w:hAnsi="Century" w:cs="Miriam" w:hint="eastAsia"/>
          <w:b/>
          <w:spacing w:val="0"/>
          <w:szCs w:val="24"/>
          <w:rtl/>
        </w:rPr>
        <w:t>זרים</w:t>
      </w:r>
      <w:r w:rsidRPr="00936A8D">
        <w:rPr>
          <w:rFonts w:ascii="Century" w:hAnsi="Century" w:cs="Miriam"/>
          <w:b/>
          <w:spacing w:val="0"/>
          <w:szCs w:val="24"/>
          <w:rtl/>
        </w:rPr>
        <w:t xml:space="preserve"> </w:t>
      </w:r>
      <w:r w:rsidRPr="00936A8D">
        <w:rPr>
          <w:rFonts w:ascii="Century" w:hAnsi="Century" w:cs="Miriam" w:hint="eastAsia"/>
          <w:b/>
          <w:spacing w:val="0"/>
          <w:szCs w:val="24"/>
          <w:rtl/>
        </w:rPr>
        <w:t>והפליה</w:t>
      </w:r>
      <w:r w:rsidRPr="00936A8D">
        <w:rPr>
          <w:rFonts w:ascii="Century" w:hAnsi="Century" w:cs="Miriam"/>
          <w:b/>
          <w:spacing w:val="0"/>
          <w:szCs w:val="24"/>
          <w:rtl/>
        </w:rPr>
        <w:t xml:space="preserve">, </w:t>
      </w:r>
      <w:r w:rsidRPr="00936A8D">
        <w:rPr>
          <w:rFonts w:ascii="Century" w:hAnsi="Century" w:cs="Miriam" w:hint="eastAsia"/>
          <w:b/>
          <w:spacing w:val="0"/>
          <w:szCs w:val="24"/>
          <w:rtl/>
        </w:rPr>
        <w:t>וזאת</w:t>
      </w:r>
      <w:r w:rsidRPr="00936A8D">
        <w:rPr>
          <w:rFonts w:ascii="Century" w:hAnsi="Century" w:cs="Miriam"/>
          <w:b/>
          <w:spacing w:val="0"/>
          <w:szCs w:val="24"/>
          <w:rtl/>
        </w:rPr>
        <w:t xml:space="preserve"> </w:t>
      </w:r>
      <w:r w:rsidRPr="00936A8D">
        <w:rPr>
          <w:rFonts w:ascii="Century" w:hAnsi="Century" w:cs="Miriam" w:hint="eastAsia"/>
          <w:b/>
          <w:spacing w:val="0"/>
          <w:szCs w:val="24"/>
          <w:rtl/>
        </w:rPr>
        <w:t>על</w:t>
      </w:r>
      <w:r w:rsidRPr="00936A8D">
        <w:rPr>
          <w:rFonts w:ascii="Century" w:hAnsi="Century" w:cs="Miriam"/>
          <w:b/>
          <w:spacing w:val="0"/>
          <w:szCs w:val="24"/>
          <w:rtl/>
        </w:rPr>
        <w:t xml:space="preserve"> </w:t>
      </w:r>
      <w:r w:rsidRPr="00936A8D">
        <w:rPr>
          <w:rFonts w:ascii="Century" w:hAnsi="Century" w:cs="Miriam" w:hint="eastAsia"/>
          <w:b/>
          <w:spacing w:val="0"/>
          <w:szCs w:val="24"/>
          <w:rtl/>
        </w:rPr>
        <w:t>אף</w:t>
      </w:r>
      <w:r w:rsidRPr="00936A8D">
        <w:rPr>
          <w:rFonts w:ascii="Century" w:hAnsi="Century" w:cs="Miriam"/>
          <w:b/>
          <w:spacing w:val="0"/>
          <w:szCs w:val="24"/>
          <w:rtl/>
        </w:rPr>
        <w:t xml:space="preserve"> </w:t>
      </w:r>
      <w:r w:rsidRPr="00936A8D">
        <w:rPr>
          <w:rFonts w:ascii="Century" w:hAnsi="Century" w:cs="Miriam" w:hint="eastAsia"/>
          <w:b/>
          <w:spacing w:val="0"/>
          <w:szCs w:val="24"/>
          <w:rtl/>
        </w:rPr>
        <w:t>שקיומו</w:t>
      </w:r>
      <w:r w:rsidRPr="00936A8D">
        <w:rPr>
          <w:rFonts w:ascii="Century" w:hAnsi="Century" w:cs="Miriam"/>
          <w:b/>
          <w:spacing w:val="0"/>
          <w:szCs w:val="24"/>
          <w:rtl/>
        </w:rPr>
        <w:t xml:space="preserve"> </w:t>
      </w:r>
      <w:r w:rsidRPr="00936A8D">
        <w:rPr>
          <w:rFonts w:ascii="Century" w:hAnsi="Century" w:cs="Miriam" w:hint="eastAsia"/>
          <w:b/>
          <w:spacing w:val="0"/>
          <w:szCs w:val="24"/>
          <w:rtl/>
        </w:rPr>
        <w:t>של</w:t>
      </w:r>
      <w:r w:rsidRPr="00936A8D">
        <w:rPr>
          <w:rFonts w:ascii="Century" w:hAnsi="Century" w:cs="Miriam"/>
          <w:b/>
          <w:spacing w:val="0"/>
          <w:szCs w:val="24"/>
          <w:rtl/>
        </w:rPr>
        <w:t xml:space="preserve"> </w:t>
      </w:r>
      <w:r w:rsidRPr="00936A8D">
        <w:rPr>
          <w:rFonts w:ascii="Century" w:hAnsi="Century" w:cs="Miriam" w:hint="eastAsia"/>
          <w:b/>
          <w:spacing w:val="0"/>
          <w:szCs w:val="24"/>
          <w:rtl/>
        </w:rPr>
        <w:t>פגם</w:t>
      </w:r>
      <w:r w:rsidRPr="00936A8D">
        <w:rPr>
          <w:rFonts w:ascii="Century" w:hAnsi="Century" w:cs="Miriam"/>
          <w:b/>
          <w:spacing w:val="0"/>
          <w:szCs w:val="24"/>
          <w:rtl/>
        </w:rPr>
        <w:t xml:space="preserve"> </w:t>
      </w:r>
      <w:r w:rsidRPr="00936A8D">
        <w:rPr>
          <w:rFonts w:ascii="Century" w:hAnsi="Century" w:cs="Miriam" w:hint="eastAsia"/>
          <w:b/>
          <w:spacing w:val="0"/>
          <w:szCs w:val="24"/>
          <w:rtl/>
        </w:rPr>
        <w:t>כגון</w:t>
      </w:r>
      <w:r w:rsidRPr="00936A8D">
        <w:rPr>
          <w:rFonts w:ascii="Century" w:hAnsi="Century" w:cs="Miriam"/>
          <w:b/>
          <w:spacing w:val="0"/>
          <w:szCs w:val="24"/>
          <w:rtl/>
        </w:rPr>
        <w:t xml:space="preserve"> </w:t>
      </w:r>
      <w:r w:rsidRPr="00936A8D">
        <w:rPr>
          <w:rFonts w:ascii="Century" w:hAnsi="Century" w:cs="Miriam" w:hint="eastAsia"/>
          <w:b/>
          <w:spacing w:val="0"/>
          <w:szCs w:val="24"/>
          <w:rtl/>
        </w:rPr>
        <w:t>דא</w:t>
      </w:r>
      <w:r w:rsidRPr="00936A8D">
        <w:rPr>
          <w:rFonts w:ascii="Century" w:hAnsi="Century" w:cs="Miriam"/>
          <w:b/>
          <w:spacing w:val="0"/>
          <w:szCs w:val="24"/>
          <w:rtl/>
        </w:rPr>
        <w:t xml:space="preserve"> </w:t>
      </w:r>
      <w:r w:rsidRPr="00936A8D">
        <w:rPr>
          <w:rFonts w:ascii="Century" w:hAnsi="Century" w:cs="Miriam" w:hint="eastAsia"/>
          <w:b/>
          <w:spacing w:val="0"/>
          <w:szCs w:val="24"/>
          <w:rtl/>
        </w:rPr>
        <w:t>איננו</w:t>
      </w:r>
      <w:r w:rsidRPr="00936A8D">
        <w:rPr>
          <w:rFonts w:ascii="Century" w:hAnsi="Century" w:cs="Miriam"/>
          <w:b/>
          <w:spacing w:val="0"/>
          <w:szCs w:val="24"/>
          <w:rtl/>
        </w:rPr>
        <w:t xml:space="preserve"> </w:t>
      </w:r>
      <w:r w:rsidRPr="00936A8D">
        <w:rPr>
          <w:rFonts w:ascii="Century" w:hAnsi="Century" w:cs="Miriam" w:hint="eastAsia"/>
          <w:b/>
          <w:spacing w:val="0"/>
          <w:szCs w:val="24"/>
          <w:rtl/>
        </w:rPr>
        <w:t>גלוי</w:t>
      </w:r>
      <w:r w:rsidRPr="00936A8D">
        <w:rPr>
          <w:rFonts w:ascii="Century" w:hAnsi="Century" w:cs="Miriam"/>
          <w:b/>
          <w:spacing w:val="0"/>
          <w:szCs w:val="24"/>
          <w:rtl/>
        </w:rPr>
        <w:t xml:space="preserve"> </w:t>
      </w:r>
      <w:r w:rsidRPr="00936A8D">
        <w:rPr>
          <w:rFonts w:ascii="Century" w:hAnsi="Century" w:cs="Miriam" w:hint="eastAsia"/>
          <w:b/>
          <w:spacing w:val="0"/>
          <w:szCs w:val="24"/>
          <w:rtl/>
        </w:rPr>
        <w:t>לעין</w:t>
      </w:r>
      <w:r w:rsidRPr="00936A8D">
        <w:rPr>
          <w:rtl/>
        </w:rPr>
        <w:t xml:space="preserve"> [...] </w:t>
      </w:r>
      <w:r w:rsidRPr="00936A8D">
        <w:rPr>
          <w:rFonts w:ascii="Century" w:hAnsi="Century" w:cs="Miriam" w:hint="eastAsia"/>
          <w:b/>
          <w:spacing w:val="0"/>
          <w:szCs w:val="24"/>
          <w:u w:val="single"/>
          <w:rtl/>
        </w:rPr>
        <w:t>בפועלה</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במתכונת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שיורית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זו</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דוקטרינת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הסבירות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מביאה</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תועלת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חברתית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מרובה</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היא</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מספקת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לבתי</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המשפט</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כלי</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יעיל</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והכרחי</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לביקורת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שיפוטית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תחת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חוסר</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ודאות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ואינה</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מאפשרת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לרשויות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השלטון</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להסתיר</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את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קלקלתן</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על</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ידי</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ניצול</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של</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עמימות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המסד</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העובדתי</w:t>
      </w:r>
      <w:r w:rsidRPr="00936A8D">
        <w:rPr>
          <w:rtl/>
        </w:rPr>
        <w:t xml:space="preserve">. </w:t>
      </w:r>
      <w:r w:rsidRPr="00936A8D">
        <w:rPr>
          <w:rFonts w:hint="eastAsia"/>
          <w:rtl/>
        </w:rPr>
        <w:t>טוב</w:t>
      </w:r>
      <w:r w:rsidRPr="00936A8D">
        <w:rPr>
          <w:rtl/>
        </w:rPr>
        <w:t xml:space="preserve"> </w:t>
      </w:r>
      <w:r w:rsidRPr="00936A8D">
        <w:rPr>
          <w:rFonts w:hint="eastAsia"/>
          <w:rtl/>
        </w:rPr>
        <w:t>אפוא</w:t>
      </w:r>
      <w:r w:rsidRPr="00936A8D">
        <w:rPr>
          <w:rtl/>
        </w:rPr>
        <w:t xml:space="preserve"> </w:t>
      </w:r>
      <w:r w:rsidRPr="00936A8D">
        <w:rPr>
          <w:rFonts w:hint="eastAsia"/>
          <w:rtl/>
        </w:rPr>
        <w:t>נעשה</w:t>
      </w:r>
      <w:r w:rsidRPr="00936A8D">
        <w:rPr>
          <w:rtl/>
        </w:rPr>
        <w:t xml:space="preserve"> </w:t>
      </w:r>
      <w:r w:rsidRPr="00936A8D">
        <w:rPr>
          <w:rFonts w:hint="eastAsia"/>
          <w:rtl/>
        </w:rPr>
        <w:t>אם</w:t>
      </w:r>
      <w:r w:rsidRPr="00936A8D">
        <w:rPr>
          <w:rtl/>
        </w:rPr>
        <w:t xml:space="preserve"> </w:t>
      </w:r>
      <w:r w:rsidRPr="00936A8D">
        <w:rPr>
          <w:rFonts w:hint="eastAsia"/>
          <w:rtl/>
        </w:rPr>
        <w:t>נשמרה</w:t>
      </w:r>
      <w:r w:rsidRPr="00936A8D">
        <w:rPr>
          <w:rtl/>
        </w:rPr>
        <w:t xml:space="preserve"> </w:t>
      </w:r>
      <w:r w:rsidRPr="00936A8D">
        <w:rPr>
          <w:rFonts w:hint="eastAsia"/>
          <w:rtl/>
        </w:rPr>
        <w:t>במתכונת</w:t>
      </w:r>
      <w:r w:rsidRPr="00936A8D">
        <w:rPr>
          <w:rtl/>
        </w:rPr>
        <w:t xml:space="preserve"> </w:t>
      </w:r>
      <w:r w:rsidRPr="00936A8D">
        <w:rPr>
          <w:rFonts w:hint="eastAsia"/>
          <w:rtl/>
        </w:rPr>
        <w:t>זו</w:t>
      </w:r>
      <w:r w:rsidRPr="00936A8D">
        <w:rPr>
          <w:rtl/>
        </w:rPr>
        <w:t xml:space="preserve">. </w:t>
      </w:r>
      <w:r w:rsidRPr="00936A8D">
        <w:rPr>
          <w:rFonts w:hint="eastAsia"/>
          <w:rtl/>
        </w:rPr>
        <w:t>במקרה</w:t>
      </w:r>
      <w:r w:rsidRPr="00936A8D">
        <w:rPr>
          <w:rtl/>
        </w:rPr>
        <w:t xml:space="preserve"> </w:t>
      </w:r>
      <w:r w:rsidRPr="00936A8D">
        <w:rPr>
          <w:rFonts w:hint="eastAsia"/>
          <w:rtl/>
        </w:rPr>
        <w:t>שלפנינו</w:t>
      </w:r>
      <w:r w:rsidRPr="00936A8D">
        <w:rPr>
          <w:rtl/>
        </w:rPr>
        <w:t xml:space="preserve">, </w:t>
      </w:r>
      <w:r w:rsidRPr="00936A8D">
        <w:rPr>
          <w:rFonts w:hint="eastAsia"/>
          <w:rtl/>
        </w:rPr>
        <w:t>סבורני</w:t>
      </w:r>
      <w:r w:rsidRPr="00936A8D">
        <w:rPr>
          <w:rtl/>
        </w:rPr>
        <w:t xml:space="preserve"> </w:t>
      </w:r>
      <w:r w:rsidRPr="00936A8D">
        <w:rPr>
          <w:rFonts w:hint="eastAsia"/>
          <w:rtl/>
        </w:rPr>
        <w:t>כי</w:t>
      </w:r>
      <w:r w:rsidRPr="00936A8D">
        <w:rPr>
          <w:rtl/>
        </w:rPr>
        <w:t xml:space="preserve"> </w:t>
      </w:r>
      <w:r w:rsidRPr="00936A8D">
        <w:rPr>
          <w:rFonts w:hint="eastAsia"/>
          <w:rtl/>
        </w:rPr>
        <w:t>היזקקות</w:t>
      </w:r>
      <w:r w:rsidRPr="00936A8D">
        <w:rPr>
          <w:rtl/>
        </w:rPr>
        <w:t xml:space="preserve"> </w:t>
      </w:r>
      <w:r w:rsidRPr="00936A8D">
        <w:rPr>
          <w:rFonts w:hint="eastAsia"/>
          <w:rtl/>
        </w:rPr>
        <w:t>לדוקטרינת</w:t>
      </w:r>
      <w:r w:rsidRPr="00936A8D">
        <w:rPr>
          <w:rtl/>
        </w:rPr>
        <w:t xml:space="preserve"> </w:t>
      </w:r>
      <w:r w:rsidRPr="00936A8D">
        <w:rPr>
          <w:rFonts w:hint="eastAsia"/>
          <w:rtl/>
        </w:rPr>
        <w:t>הסבירות</w:t>
      </w:r>
      <w:r w:rsidRPr="00936A8D">
        <w:rPr>
          <w:rtl/>
        </w:rPr>
        <w:t xml:space="preserve"> </w:t>
      </w:r>
      <w:r w:rsidRPr="00936A8D">
        <w:rPr>
          <w:rFonts w:hint="eastAsia"/>
          <w:rtl/>
        </w:rPr>
        <w:t>אינה</w:t>
      </w:r>
      <w:r w:rsidRPr="00936A8D">
        <w:rPr>
          <w:rtl/>
        </w:rPr>
        <w:t xml:space="preserve"> </w:t>
      </w:r>
      <w:r w:rsidRPr="00936A8D">
        <w:rPr>
          <w:rFonts w:hint="eastAsia"/>
          <w:rtl/>
        </w:rPr>
        <w:t>נדרשת</w:t>
      </w:r>
      <w:r w:rsidRPr="00936A8D">
        <w:rPr>
          <w:rtl/>
        </w:rPr>
        <w:t>" (</w:t>
      </w:r>
      <w:r w:rsidRPr="00936A8D">
        <w:rPr>
          <w:rFonts w:hint="eastAsia"/>
          <w:rtl/>
        </w:rPr>
        <w:t>ראו</w:t>
      </w:r>
      <w:r w:rsidRPr="00936A8D">
        <w:rPr>
          <w:rtl/>
        </w:rPr>
        <w:t xml:space="preserve">: </w:t>
      </w:r>
      <w:r w:rsidRPr="00936A8D">
        <w:rPr>
          <w:rFonts w:hint="eastAsia"/>
          <w:rtl/>
        </w:rPr>
        <w:t>עניין</w:t>
      </w:r>
      <w:r w:rsidRPr="00936A8D">
        <w:rPr>
          <w:rtl/>
        </w:rPr>
        <w:t xml:space="preserve"> </w:t>
      </w:r>
      <w:r w:rsidRPr="00936A8D">
        <w:rPr>
          <w:rFonts w:ascii="Century" w:hAnsi="Century" w:cs="Miriam" w:hint="eastAsia"/>
          <w:b/>
          <w:spacing w:val="0"/>
          <w:szCs w:val="24"/>
          <w:rtl/>
        </w:rPr>
        <w:t>שיינפ</w:t>
      </w:r>
      <w:r w:rsidRPr="00F240CE">
        <w:rPr>
          <w:rFonts w:ascii="Century" w:hAnsi="Century" w:cs="Miriam" w:hint="eastAsia"/>
          <w:b/>
          <w:spacing w:val="0"/>
          <w:szCs w:val="24"/>
          <w:rtl/>
        </w:rPr>
        <w:t>לד</w:t>
      </w:r>
      <w:r w:rsidRPr="00936A8D">
        <w:rPr>
          <w:rFonts w:hint="cs"/>
          <w:rtl/>
        </w:rPr>
        <w:t xml:space="preserve">, </w:t>
      </w:r>
      <w:r w:rsidRPr="00F240CE">
        <w:rPr>
          <w:rFonts w:ascii="Century" w:hAnsi="Century" w:hint="eastAsia"/>
          <w:rtl/>
        </w:rPr>
        <w:t>פסקה</w:t>
      </w:r>
      <w:r w:rsidRPr="00F240CE">
        <w:rPr>
          <w:rFonts w:ascii="Century" w:hAnsi="Century"/>
          <w:rtl/>
        </w:rPr>
        <w:t xml:space="preserve"> 35 </w:t>
      </w:r>
      <w:r w:rsidRPr="00F240CE">
        <w:rPr>
          <w:rFonts w:ascii="Century" w:hAnsi="Century" w:hint="eastAsia"/>
          <w:rtl/>
        </w:rPr>
        <w:t>לפסק</w:t>
      </w:r>
      <w:r w:rsidRPr="00F240CE">
        <w:rPr>
          <w:rFonts w:ascii="Century" w:hAnsi="Century"/>
          <w:rtl/>
        </w:rPr>
        <w:t xml:space="preserve"> </w:t>
      </w:r>
      <w:r w:rsidRPr="00F240CE">
        <w:rPr>
          <w:rFonts w:ascii="Century" w:hAnsi="Century" w:hint="eastAsia"/>
          <w:rtl/>
        </w:rPr>
        <w:t>דיני</w:t>
      </w:r>
      <w:r w:rsidRPr="00936A8D">
        <w:rPr>
          <w:rFonts w:ascii="Century" w:hAnsi="Century" w:hint="cs"/>
          <w:rtl/>
        </w:rPr>
        <w:t xml:space="preserve">; </w:t>
      </w:r>
      <w:r w:rsidRPr="00F240CE">
        <w:rPr>
          <w:rFonts w:ascii="Century" w:hAnsi="Century" w:hint="eastAsia"/>
          <w:rtl/>
        </w:rPr>
        <w:t>ההדגשה</w:t>
      </w:r>
      <w:r w:rsidRPr="00F240CE">
        <w:rPr>
          <w:rFonts w:ascii="Century" w:hAnsi="Century"/>
          <w:rtl/>
        </w:rPr>
        <w:t xml:space="preserve"> </w:t>
      </w:r>
      <w:r w:rsidRPr="00F240CE">
        <w:rPr>
          <w:rFonts w:ascii="Century" w:hAnsi="Century" w:hint="eastAsia"/>
          <w:rtl/>
        </w:rPr>
        <w:t>הוספה</w:t>
      </w:r>
      <w:r w:rsidRPr="00F240CE">
        <w:rPr>
          <w:rFonts w:ascii="Century" w:hAnsi="Century"/>
          <w:rtl/>
        </w:rPr>
        <w:t xml:space="preserve">, </w:t>
      </w:r>
      <w:r w:rsidRPr="00F240CE">
        <w:rPr>
          <w:rFonts w:ascii="Century" w:hAnsi="Century" w:hint="eastAsia"/>
          <w:rtl/>
        </w:rPr>
        <w:t>והציטוטים</w:t>
      </w:r>
      <w:r w:rsidRPr="00936A8D">
        <w:rPr>
          <w:rtl/>
        </w:rPr>
        <w:t xml:space="preserve"> </w:t>
      </w:r>
      <w:r w:rsidRPr="00936A8D">
        <w:rPr>
          <w:rFonts w:hint="cs"/>
          <w:rtl/>
        </w:rPr>
        <w:t xml:space="preserve">הפנימיים הוסרו </w:t>
      </w:r>
      <w:r w:rsidRPr="00936A8D">
        <w:rPr>
          <w:rtl/>
        </w:rPr>
        <w:t>– א.ש.).</w:t>
      </w:r>
    </w:p>
    <w:p w:rsidR="0047626A" w:rsidRPr="00936A8D" w:rsidRDefault="0047626A" w:rsidP="0047626A">
      <w:pPr>
        <w:pStyle w:val="Ruller41"/>
        <w:rPr>
          <w:rtl/>
        </w:rPr>
      </w:pPr>
    </w:p>
    <w:p w:rsidR="0047626A" w:rsidRPr="00936A8D" w:rsidRDefault="0047626A" w:rsidP="0047626A">
      <w:pPr>
        <w:pStyle w:val="Ruller4"/>
      </w:pPr>
      <w:r w:rsidRPr="00936A8D">
        <w:rPr>
          <w:rFonts w:hint="eastAsia"/>
          <w:rtl/>
        </w:rPr>
        <w:t>כפי</w:t>
      </w:r>
      <w:r w:rsidRPr="00936A8D">
        <w:rPr>
          <w:rtl/>
        </w:rPr>
        <w:t xml:space="preserve"> </w:t>
      </w:r>
      <w:r w:rsidRPr="00936A8D">
        <w:rPr>
          <w:rFonts w:hint="eastAsia"/>
          <w:rtl/>
        </w:rPr>
        <w:t>שניתן</w:t>
      </w:r>
      <w:r w:rsidRPr="00936A8D">
        <w:rPr>
          <w:rtl/>
        </w:rPr>
        <w:t xml:space="preserve"> </w:t>
      </w:r>
      <w:r w:rsidRPr="00936A8D">
        <w:rPr>
          <w:rFonts w:hint="eastAsia"/>
          <w:rtl/>
        </w:rPr>
        <w:t>להבין</w:t>
      </w:r>
      <w:r w:rsidRPr="00936A8D">
        <w:rPr>
          <w:rtl/>
        </w:rPr>
        <w:t xml:space="preserve"> </w:t>
      </w:r>
      <w:r w:rsidRPr="00936A8D">
        <w:rPr>
          <w:rFonts w:hint="eastAsia"/>
          <w:rtl/>
        </w:rPr>
        <w:t>מציטוטים</w:t>
      </w:r>
      <w:r w:rsidRPr="00936A8D">
        <w:rPr>
          <w:rtl/>
        </w:rPr>
        <w:t xml:space="preserve"> </w:t>
      </w:r>
      <w:r w:rsidRPr="00936A8D">
        <w:rPr>
          <w:rFonts w:hint="eastAsia"/>
          <w:rtl/>
        </w:rPr>
        <w:t>אלה</w:t>
      </w:r>
      <w:r w:rsidRPr="00936A8D">
        <w:rPr>
          <w:rtl/>
        </w:rPr>
        <w:t xml:space="preserve">, </w:t>
      </w:r>
      <w:r w:rsidRPr="00936A8D">
        <w:rPr>
          <w:rFonts w:hint="eastAsia"/>
          <w:rtl/>
        </w:rPr>
        <w:t>הגישה</w:t>
      </w:r>
      <w:r w:rsidRPr="00936A8D">
        <w:rPr>
          <w:rtl/>
        </w:rPr>
        <w:t xml:space="preserve"> </w:t>
      </w:r>
      <w:r w:rsidRPr="00936A8D">
        <w:rPr>
          <w:rFonts w:hint="eastAsia"/>
          <w:rtl/>
        </w:rPr>
        <w:t>הראייתית</w:t>
      </w:r>
      <w:r w:rsidRPr="00936A8D">
        <w:rPr>
          <w:rtl/>
        </w:rPr>
        <w:t xml:space="preserve"> – </w:t>
      </w:r>
      <w:r w:rsidRPr="00936A8D">
        <w:rPr>
          <w:rFonts w:hint="eastAsia"/>
          <w:rtl/>
        </w:rPr>
        <w:t>כשמה</w:t>
      </w:r>
      <w:r w:rsidRPr="00936A8D">
        <w:rPr>
          <w:rtl/>
        </w:rPr>
        <w:t xml:space="preserve"> </w:t>
      </w:r>
      <w:r w:rsidRPr="00936A8D">
        <w:rPr>
          <w:rFonts w:hint="eastAsia"/>
          <w:rtl/>
        </w:rPr>
        <w:t>כן</w:t>
      </w:r>
      <w:r w:rsidRPr="00936A8D">
        <w:rPr>
          <w:rtl/>
        </w:rPr>
        <w:t xml:space="preserve"> </w:t>
      </w:r>
      <w:r w:rsidRPr="00936A8D">
        <w:rPr>
          <w:rFonts w:hint="eastAsia"/>
          <w:rtl/>
        </w:rPr>
        <w:t>היא</w:t>
      </w:r>
      <w:r w:rsidRPr="00936A8D">
        <w:rPr>
          <w:rtl/>
        </w:rPr>
        <w:t xml:space="preserve"> – </w:t>
      </w:r>
      <w:r w:rsidRPr="00936A8D">
        <w:rPr>
          <w:rFonts w:hint="eastAsia"/>
          <w:rtl/>
        </w:rPr>
        <w:t>נטועה</w:t>
      </w:r>
      <w:r w:rsidRPr="00936A8D">
        <w:rPr>
          <w:rtl/>
        </w:rPr>
        <w:t xml:space="preserve"> </w:t>
      </w:r>
      <w:r w:rsidRPr="00936A8D">
        <w:rPr>
          <w:rFonts w:hint="eastAsia"/>
          <w:rtl/>
        </w:rPr>
        <w:t>בדיני</w:t>
      </w:r>
      <w:r w:rsidRPr="00936A8D">
        <w:rPr>
          <w:rtl/>
        </w:rPr>
        <w:t xml:space="preserve"> </w:t>
      </w:r>
      <w:r w:rsidRPr="00936A8D">
        <w:rPr>
          <w:rFonts w:hint="eastAsia"/>
          <w:rtl/>
        </w:rPr>
        <w:t>ראיות</w:t>
      </w:r>
      <w:r w:rsidRPr="00936A8D">
        <w:rPr>
          <w:rtl/>
        </w:rPr>
        <w:t xml:space="preserve">, </w:t>
      </w:r>
      <w:r w:rsidRPr="00936A8D">
        <w:rPr>
          <w:rFonts w:hint="eastAsia"/>
          <w:rtl/>
        </w:rPr>
        <w:t>ולא</w:t>
      </w:r>
      <w:r w:rsidRPr="00936A8D">
        <w:rPr>
          <w:rtl/>
        </w:rPr>
        <w:t xml:space="preserve"> </w:t>
      </w:r>
      <w:r w:rsidRPr="00936A8D">
        <w:rPr>
          <w:rFonts w:hint="eastAsia"/>
          <w:rtl/>
        </w:rPr>
        <w:t>במשפט</w:t>
      </w:r>
      <w:r w:rsidRPr="00936A8D">
        <w:rPr>
          <w:rtl/>
        </w:rPr>
        <w:t xml:space="preserve"> </w:t>
      </w:r>
      <w:r w:rsidRPr="00936A8D">
        <w:rPr>
          <w:rFonts w:hint="eastAsia"/>
          <w:rtl/>
        </w:rPr>
        <w:t>מהותי</w:t>
      </w:r>
      <w:r w:rsidRPr="00936A8D">
        <w:rPr>
          <w:rtl/>
        </w:rPr>
        <w:t xml:space="preserve">. </w:t>
      </w:r>
      <w:r w:rsidRPr="00936A8D">
        <w:rPr>
          <w:rFonts w:hint="eastAsia"/>
          <w:rtl/>
        </w:rPr>
        <w:t>גישה</w:t>
      </w:r>
      <w:r w:rsidRPr="00936A8D">
        <w:rPr>
          <w:rtl/>
        </w:rPr>
        <w:t xml:space="preserve"> </w:t>
      </w:r>
      <w:r w:rsidRPr="00936A8D">
        <w:rPr>
          <w:rFonts w:hint="eastAsia"/>
          <w:rtl/>
        </w:rPr>
        <w:t>זו</w:t>
      </w:r>
      <w:r w:rsidRPr="00936A8D">
        <w:rPr>
          <w:rtl/>
        </w:rPr>
        <w:t xml:space="preserve"> </w:t>
      </w:r>
      <w:r w:rsidRPr="00936A8D">
        <w:rPr>
          <w:rFonts w:hint="eastAsia"/>
          <w:rtl/>
        </w:rPr>
        <w:t>אינה</w:t>
      </w:r>
      <w:r w:rsidRPr="00936A8D">
        <w:rPr>
          <w:rtl/>
        </w:rPr>
        <w:t xml:space="preserve"> </w:t>
      </w:r>
      <w:r w:rsidRPr="00936A8D">
        <w:rPr>
          <w:rFonts w:hint="eastAsia"/>
          <w:rtl/>
        </w:rPr>
        <w:t>רואה</w:t>
      </w:r>
      <w:r w:rsidRPr="00936A8D">
        <w:rPr>
          <w:rtl/>
        </w:rPr>
        <w:t xml:space="preserve"> </w:t>
      </w:r>
      <w:r w:rsidRPr="00936A8D">
        <w:rPr>
          <w:rFonts w:hint="eastAsia"/>
          <w:rtl/>
        </w:rPr>
        <w:t>בחוסר</w:t>
      </w:r>
      <w:r w:rsidRPr="00936A8D">
        <w:rPr>
          <w:rtl/>
        </w:rPr>
        <w:t xml:space="preserve"> </w:t>
      </w:r>
      <w:r w:rsidRPr="00936A8D">
        <w:rPr>
          <w:rFonts w:hint="eastAsia"/>
          <w:rtl/>
        </w:rPr>
        <w:t>סבירות</w:t>
      </w:r>
      <w:r w:rsidRPr="00936A8D">
        <w:rPr>
          <w:rtl/>
        </w:rPr>
        <w:t xml:space="preserve"> </w:t>
      </w:r>
      <w:r w:rsidRPr="00936A8D">
        <w:rPr>
          <w:rFonts w:hint="eastAsia"/>
          <w:rtl/>
        </w:rPr>
        <w:t>קיצוני</w:t>
      </w:r>
      <w:r w:rsidRPr="00936A8D">
        <w:rPr>
          <w:rtl/>
        </w:rPr>
        <w:t xml:space="preserve"> </w:t>
      </w:r>
      <w:r w:rsidRPr="00936A8D">
        <w:rPr>
          <w:rFonts w:hint="eastAsia"/>
          <w:rtl/>
        </w:rPr>
        <w:t>עילה</w:t>
      </w:r>
      <w:r w:rsidRPr="00936A8D">
        <w:rPr>
          <w:rtl/>
        </w:rPr>
        <w:t xml:space="preserve"> </w:t>
      </w:r>
      <w:r w:rsidRPr="00936A8D">
        <w:rPr>
          <w:rFonts w:hint="eastAsia"/>
          <w:rtl/>
        </w:rPr>
        <w:t>עצמאית</w:t>
      </w:r>
      <w:r w:rsidRPr="00936A8D">
        <w:rPr>
          <w:rtl/>
        </w:rPr>
        <w:t xml:space="preserve"> </w:t>
      </w:r>
      <w:r w:rsidRPr="00936A8D">
        <w:rPr>
          <w:rFonts w:hint="eastAsia"/>
          <w:rtl/>
        </w:rPr>
        <w:t>להתערבות</w:t>
      </w:r>
      <w:r w:rsidRPr="00936A8D">
        <w:rPr>
          <w:rtl/>
        </w:rPr>
        <w:t xml:space="preserve"> </w:t>
      </w:r>
      <w:r w:rsidRPr="00936A8D">
        <w:rPr>
          <w:rFonts w:hint="eastAsia"/>
          <w:rtl/>
        </w:rPr>
        <w:t>בהחלטת</w:t>
      </w:r>
      <w:r w:rsidRPr="00936A8D">
        <w:rPr>
          <w:rtl/>
        </w:rPr>
        <w:t xml:space="preserve"> </w:t>
      </w:r>
      <w:r w:rsidRPr="00936A8D">
        <w:rPr>
          <w:rFonts w:hint="eastAsia"/>
          <w:rtl/>
        </w:rPr>
        <w:t>הרשות</w:t>
      </w:r>
      <w:r w:rsidRPr="00936A8D">
        <w:rPr>
          <w:rtl/>
        </w:rPr>
        <w:t xml:space="preserve">, </w:t>
      </w:r>
      <w:r w:rsidRPr="00936A8D">
        <w:rPr>
          <w:rFonts w:hint="eastAsia"/>
          <w:rtl/>
        </w:rPr>
        <w:t>וממילא</w:t>
      </w:r>
      <w:r w:rsidRPr="00936A8D">
        <w:rPr>
          <w:rtl/>
        </w:rPr>
        <w:t xml:space="preserve"> </w:t>
      </w:r>
      <w:r w:rsidRPr="00936A8D">
        <w:rPr>
          <w:rFonts w:hint="eastAsia"/>
          <w:rtl/>
        </w:rPr>
        <w:t>אינה</w:t>
      </w:r>
      <w:r w:rsidRPr="00936A8D">
        <w:rPr>
          <w:rtl/>
        </w:rPr>
        <w:t xml:space="preserve"> </w:t>
      </w:r>
      <w:r w:rsidRPr="00936A8D">
        <w:rPr>
          <w:rFonts w:hint="eastAsia"/>
          <w:rtl/>
        </w:rPr>
        <w:t>נכנסת</w:t>
      </w:r>
      <w:r>
        <w:rPr>
          <w:rFonts w:hint="cs"/>
          <w:rtl/>
        </w:rPr>
        <w:t xml:space="preserve"> </w:t>
      </w:r>
      <w:r w:rsidRPr="00936A8D">
        <w:rPr>
          <w:rFonts w:hint="eastAsia"/>
          <w:rtl/>
        </w:rPr>
        <w:t>לבדיקת</w:t>
      </w:r>
      <w:r w:rsidRPr="00936A8D">
        <w:rPr>
          <w:rtl/>
        </w:rPr>
        <w:t xml:space="preserve"> </w:t>
      </w:r>
      <w:r w:rsidRPr="00936A8D">
        <w:rPr>
          <w:rFonts w:hint="eastAsia"/>
          <w:rtl/>
        </w:rPr>
        <w:t>המשקלים</w:t>
      </w:r>
      <w:r w:rsidRPr="00936A8D">
        <w:rPr>
          <w:rtl/>
        </w:rPr>
        <w:t xml:space="preserve"> </w:t>
      </w:r>
      <w:r w:rsidRPr="00936A8D">
        <w:rPr>
          <w:rFonts w:hint="eastAsia"/>
          <w:rtl/>
        </w:rPr>
        <w:t>השונים</w:t>
      </w:r>
      <w:r w:rsidRPr="00936A8D">
        <w:rPr>
          <w:rtl/>
        </w:rPr>
        <w:t xml:space="preserve"> </w:t>
      </w:r>
      <w:r w:rsidRPr="00936A8D">
        <w:rPr>
          <w:rFonts w:hint="eastAsia"/>
          <w:rtl/>
        </w:rPr>
        <w:t>שהרשות</w:t>
      </w:r>
      <w:r w:rsidRPr="00936A8D">
        <w:rPr>
          <w:rtl/>
        </w:rPr>
        <w:t xml:space="preserve"> </w:t>
      </w:r>
      <w:r w:rsidRPr="00936A8D">
        <w:rPr>
          <w:rFonts w:hint="eastAsia"/>
          <w:rtl/>
        </w:rPr>
        <w:t>בחרה</w:t>
      </w:r>
      <w:r w:rsidRPr="00936A8D">
        <w:rPr>
          <w:rtl/>
        </w:rPr>
        <w:t xml:space="preserve"> </w:t>
      </w:r>
      <w:r w:rsidRPr="00936A8D">
        <w:rPr>
          <w:rFonts w:hint="eastAsia"/>
          <w:rtl/>
        </w:rPr>
        <w:t>לתת</w:t>
      </w:r>
      <w:r w:rsidRPr="00936A8D">
        <w:rPr>
          <w:rtl/>
        </w:rPr>
        <w:t xml:space="preserve"> </w:t>
      </w:r>
      <w:r w:rsidRPr="00936A8D">
        <w:rPr>
          <w:rFonts w:hint="eastAsia"/>
          <w:rtl/>
        </w:rPr>
        <w:t>לשיקולים</w:t>
      </w:r>
      <w:r w:rsidRPr="00936A8D">
        <w:rPr>
          <w:rtl/>
        </w:rPr>
        <w:t xml:space="preserve"> </w:t>
      </w:r>
      <w:r w:rsidRPr="00936A8D">
        <w:rPr>
          <w:rFonts w:hint="eastAsia"/>
          <w:rtl/>
        </w:rPr>
        <w:t>ששקלה</w:t>
      </w:r>
      <w:r w:rsidRPr="00936A8D">
        <w:rPr>
          <w:rtl/>
        </w:rPr>
        <w:t xml:space="preserve"> </w:t>
      </w:r>
      <w:r w:rsidRPr="00936A8D">
        <w:rPr>
          <w:rFonts w:hint="eastAsia"/>
          <w:rtl/>
        </w:rPr>
        <w:t>עובר</w:t>
      </w:r>
      <w:r w:rsidRPr="00936A8D">
        <w:rPr>
          <w:rtl/>
        </w:rPr>
        <w:t xml:space="preserve"> </w:t>
      </w:r>
      <w:r w:rsidRPr="00936A8D">
        <w:rPr>
          <w:rFonts w:hint="eastAsia"/>
          <w:rtl/>
        </w:rPr>
        <w:t>לקבלת</w:t>
      </w:r>
      <w:r w:rsidRPr="00936A8D">
        <w:rPr>
          <w:rtl/>
        </w:rPr>
        <w:t xml:space="preserve"> </w:t>
      </w:r>
      <w:r w:rsidRPr="00936A8D">
        <w:rPr>
          <w:rFonts w:hint="eastAsia"/>
          <w:rtl/>
        </w:rPr>
        <w:t>החלטתה</w:t>
      </w:r>
      <w:r>
        <w:rPr>
          <w:rFonts w:hint="cs"/>
          <w:rtl/>
        </w:rPr>
        <w:t xml:space="preserve"> (</w:t>
      </w:r>
      <w:r>
        <w:rPr>
          <w:rFonts w:ascii="FrankRuehl" w:hAnsi="FrankRuehl" w:hint="cs"/>
          <w:b/>
          <w:spacing w:val="0"/>
          <w:sz w:val="28"/>
          <w:rtl/>
        </w:rPr>
        <w:t>בדיקת הסבירות "האיזונית", כתיאורה על ידי בא-כוח היועצת המשפטית לממשלה).</w:t>
      </w:r>
      <w:r>
        <w:rPr>
          <w:rFonts w:hint="cs"/>
          <w:rtl/>
        </w:rPr>
        <w:t xml:space="preserve"> </w:t>
      </w:r>
      <w:r w:rsidRPr="00936A8D">
        <w:rPr>
          <w:rFonts w:hint="eastAsia"/>
          <w:rtl/>
        </w:rPr>
        <w:t>גישה</w:t>
      </w:r>
      <w:r w:rsidRPr="00936A8D">
        <w:rPr>
          <w:rtl/>
        </w:rPr>
        <w:t xml:space="preserve"> </w:t>
      </w:r>
      <w:r w:rsidRPr="00936A8D">
        <w:rPr>
          <w:rFonts w:hint="eastAsia"/>
          <w:rtl/>
        </w:rPr>
        <w:t>זו</w:t>
      </w:r>
      <w:r w:rsidRPr="00936A8D">
        <w:rPr>
          <w:rtl/>
        </w:rPr>
        <w:t xml:space="preserve"> </w:t>
      </w:r>
      <w:r w:rsidRPr="00936A8D">
        <w:rPr>
          <w:rFonts w:hint="eastAsia"/>
          <w:rtl/>
        </w:rPr>
        <w:t>בוחנת</w:t>
      </w:r>
      <w:r w:rsidRPr="00936A8D">
        <w:rPr>
          <w:rtl/>
        </w:rPr>
        <w:t xml:space="preserve"> </w:t>
      </w:r>
      <w:r w:rsidRPr="00936A8D">
        <w:rPr>
          <w:rFonts w:hint="eastAsia"/>
          <w:rtl/>
        </w:rPr>
        <w:t>את</w:t>
      </w:r>
      <w:r w:rsidRPr="00936A8D">
        <w:rPr>
          <w:rtl/>
        </w:rPr>
        <w:t xml:space="preserve"> </w:t>
      </w:r>
      <w:r w:rsidRPr="00936A8D">
        <w:rPr>
          <w:rFonts w:hint="eastAsia"/>
          <w:rtl/>
        </w:rPr>
        <w:t>החלטת</w:t>
      </w:r>
      <w:r w:rsidRPr="00936A8D">
        <w:rPr>
          <w:rtl/>
        </w:rPr>
        <w:t xml:space="preserve"> </w:t>
      </w:r>
      <w:r w:rsidRPr="00936A8D">
        <w:rPr>
          <w:rFonts w:hint="eastAsia"/>
          <w:rtl/>
        </w:rPr>
        <w:t>הרשות</w:t>
      </w:r>
      <w:r w:rsidRPr="00936A8D">
        <w:rPr>
          <w:rtl/>
        </w:rPr>
        <w:t xml:space="preserve"> </w:t>
      </w:r>
      <w:r w:rsidRPr="00936A8D">
        <w:rPr>
          <w:rFonts w:hint="eastAsia"/>
          <w:rtl/>
        </w:rPr>
        <w:t>כולה</w:t>
      </w:r>
      <w:r w:rsidRPr="00936A8D">
        <w:rPr>
          <w:rtl/>
        </w:rPr>
        <w:t xml:space="preserve"> </w:t>
      </w:r>
      <w:r w:rsidRPr="00936A8D">
        <w:rPr>
          <w:rFonts w:hint="eastAsia"/>
          <w:rtl/>
        </w:rPr>
        <w:t>כאשר</w:t>
      </w:r>
      <w:r w:rsidRPr="00936A8D">
        <w:rPr>
          <w:rtl/>
        </w:rPr>
        <w:t xml:space="preserve"> </w:t>
      </w:r>
      <w:r w:rsidRPr="00936A8D">
        <w:rPr>
          <w:rFonts w:hint="eastAsia"/>
          <w:rtl/>
        </w:rPr>
        <w:t>היא</w:t>
      </w:r>
      <w:r w:rsidRPr="00936A8D">
        <w:rPr>
          <w:rtl/>
        </w:rPr>
        <w:t xml:space="preserve"> </w:t>
      </w:r>
      <w:r w:rsidRPr="00936A8D">
        <w:rPr>
          <w:rFonts w:hint="eastAsia"/>
          <w:rtl/>
        </w:rPr>
        <w:t>מציגה</w:t>
      </w:r>
      <w:r w:rsidRPr="00936A8D">
        <w:rPr>
          <w:rtl/>
        </w:rPr>
        <w:t xml:space="preserve">, </w:t>
      </w:r>
      <w:r w:rsidRPr="00936A8D">
        <w:rPr>
          <w:rFonts w:hint="eastAsia"/>
          <w:rtl/>
        </w:rPr>
        <w:t>ביחס</w:t>
      </w:r>
      <w:r w:rsidRPr="00936A8D">
        <w:rPr>
          <w:rtl/>
        </w:rPr>
        <w:t xml:space="preserve"> </w:t>
      </w:r>
      <w:r w:rsidRPr="00936A8D">
        <w:rPr>
          <w:rFonts w:hint="eastAsia"/>
          <w:rtl/>
        </w:rPr>
        <w:t>להחלטה</w:t>
      </w:r>
      <w:r w:rsidRPr="00936A8D">
        <w:rPr>
          <w:rtl/>
        </w:rPr>
        <w:t xml:space="preserve"> </w:t>
      </w:r>
      <w:r w:rsidRPr="00936A8D">
        <w:rPr>
          <w:rFonts w:hint="eastAsia"/>
          <w:rtl/>
        </w:rPr>
        <w:t>זו</w:t>
      </w:r>
      <w:r w:rsidRPr="00936A8D">
        <w:rPr>
          <w:rtl/>
        </w:rPr>
        <w:t xml:space="preserve">, </w:t>
      </w:r>
      <w:r w:rsidRPr="00936A8D">
        <w:rPr>
          <w:rFonts w:hint="eastAsia"/>
          <w:rtl/>
        </w:rPr>
        <w:t>שאלה</w:t>
      </w:r>
      <w:r w:rsidRPr="00936A8D">
        <w:rPr>
          <w:rtl/>
        </w:rPr>
        <w:t xml:space="preserve"> </w:t>
      </w:r>
      <w:r w:rsidRPr="00936A8D">
        <w:rPr>
          <w:rFonts w:hint="eastAsia"/>
          <w:rtl/>
        </w:rPr>
        <w:t>אחת</w:t>
      </w:r>
      <w:r w:rsidRPr="00936A8D">
        <w:rPr>
          <w:rtl/>
        </w:rPr>
        <w:t xml:space="preserve"> </w:t>
      </w:r>
      <w:r w:rsidRPr="00936A8D">
        <w:rPr>
          <w:rFonts w:hint="eastAsia"/>
          <w:rtl/>
        </w:rPr>
        <w:t>בלבד</w:t>
      </w:r>
      <w:r w:rsidRPr="00936A8D">
        <w:rPr>
          <w:rtl/>
        </w:rPr>
        <w:t xml:space="preserve">: </w:t>
      </w:r>
      <w:r w:rsidRPr="009A43B9">
        <w:rPr>
          <w:rFonts w:ascii="Century" w:hAnsi="Century" w:cs="Miriam" w:hint="eastAsia"/>
          <w:b/>
          <w:spacing w:val="0"/>
          <w:sz w:val="22"/>
          <w:szCs w:val="24"/>
          <w:rtl/>
        </w:rPr>
        <w:t>האם</w:t>
      </w:r>
      <w:r w:rsidRPr="009A43B9">
        <w:rPr>
          <w:rFonts w:ascii="Century" w:hAnsi="Century" w:cs="Miriam"/>
          <w:b/>
          <w:spacing w:val="0"/>
          <w:sz w:val="22"/>
          <w:szCs w:val="24"/>
          <w:rtl/>
        </w:rPr>
        <w:t xml:space="preserve"> </w:t>
      </w:r>
      <w:r w:rsidRPr="009A43B9">
        <w:rPr>
          <w:rFonts w:ascii="Century" w:hAnsi="Century" w:cs="Miriam" w:hint="eastAsia"/>
          <w:b/>
          <w:spacing w:val="0"/>
          <w:sz w:val="22"/>
          <w:szCs w:val="24"/>
          <w:rtl/>
        </w:rPr>
        <w:t>עסקינן</w:t>
      </w:r>
      <w:r w:rsidRPr="009A43B9">
        <w:rPr>
          <w:rFonts w:ascii="Century" w:hAnsi="Century" w:cs="Miriam"/>
          <w:b/>
          <w:spacing w:val="0"/>
          <w:sz w:val="22"/>
          <w:szCs w:val="24"/>
          <w:rtl/>
        </w:rPr>
        <w:t xml:space="preserve"> </w:t>
      </w:r>
      <w:r w:rsidRPr="009A43B9">
        <w:rPr>
          <w:rFonts w:ascii="Century" w:hAnsi="Century" w:cs="Miriam" w:hint="eastAsia"/>
          <w:b/>
          <w:spacing w:val="0"/>
          <w:sz w:val="22"/>
          <w:szCs w:val="24"/>
          <w:rtl/>
        </w:rPr>
        <w:t>בהחלטה</w:t>
      </w:r>
      <w:r w:rsidRPr="009A43B9">
        <w:rPr>
          <w:rFonts w:ascii="Century" w:hAnsi="Century" w:cs="Miriam"/>
          <w:b/>
          <w:spacing w:val="0"/>
          <w:sz w:val="22"/>
          <w:szCs w:val="24"/>
          <w:rtl/>
        </w:rPr>
        <w:t xml:space="preserve"> </w:t>
      </w:r>
      <w:r w:rsidRPr="009A43B9">
        <w:rPr>
          <w:rFonts w:ascii="Century" w:hAnsi="Century" w:cs="Miriam" w:hint="eastAsia"/>
          <w:b/>
          <w:spacing w:val="0"/>
          <w:sz w:val="22"/>
          <w:szCs w:val="24"/>
          <w:rtl/>
        </w:rPr>
        <w:t>מתקבלת</w:t>
      </w:r>
      <w:r w:rsidRPr="009A43B9">
        <w:rPr>
          <w:rFonts w:ascii="Century" w:hAnsi="Century" w:cs="Miriam"/>
          <w:b/>
          <w:spacing w:val="0"/>
          <w:sz w:val="22"/>
          <w:szCs w:val="24"/>
          <w:rtl/>
        </w:rPr>
        <w:t xml:space="preserve"> </w:t>
      </w:r>
      <w:r w:rsidRPr="009A43B9">
        <w:rPr>
          <w:rFonts w:ascii="Century" w:hAnsi="Century" w:cs="Miriam" w:hint="eastAsia"/>
          <w:b/>
          <w:spacing w:val="0"/>
          <w:sz w:val="22"/>
          <w:szCs w:val="24"/>
          <w:rtl/>
        </w:rPr>
        <w:t>על</w:t>
      </w:r>
      <w:r w:rsidRPr="009A43B9">
        <w:rPr>
          <w:rFonts w:ascii="Century" w:hAnsi="Century" w:cs="Miriam"/>
          <w:b/>
          <w:spacing w:val="0"/>
          <w:sz w:val="22"/>
          <w:szCs w:val="24"/>
          <w:rtl/>
        </w:rPr>
        <w:t xml:space="preserve"> </w:t>
      </w:r>
      <w:r w:rsidRPr="009A43B9">
        <w:rPr>
          <w:rFonts w:ascii="Century" w:hAnsi="Century" w:cs="Miriam" w:hint="eastAsia"/>
          <w:b/>
          <w:spacing w:val="0"/>
          <w:sz w:val="22"/>
          <w:szCs w:val="24"/>
          <w:rtl/>
        </w:rPr>
        <w:t>הדעת</w:t>
      </w:r>
      <w:r w:rsidRPr="009A43B9">
        <w:rPr>
          <w:rFonts w:ascii="Century" w:hAnsi="Century" w:cs="Miriam"/>
          <w:b/>
          <w:spacing w:val="0"/>
          <w:sz w:val="22"/>
          <w:szCs w:val="24"/>
          <w:rtl/>
        </w:rPr>
        <w:t xml:space="preserve"> </w:t>
      </w:r>
      <w:r w:rsidRPr="009A43B9">
        <w:rPr>
          <w:rFonts w:ascii="Century" w:hAnsi="Century" w:cs="Miriam" w:hint="eastAsia"/>
          <w:b/>
          <w:spacing w:val="0"/>
          <w:sz w:val="22"/>
          <w:szCs w:val="24"/>
          <w:rtl/>
        </w:rPr>
        <w:t>על</w:t>
      </w:r>
      <w:r w:rsidRPr="009A43B9">
        <w:rPr>
          <w:rFonts w:ascii="Century" w:hAnsi="Century" w:cs="Miriam"/>
          <w:b/>
          <w:spacing w:val="0"/>
          <w:sz w:val="22"/>
          <w:szCs w:val="24"/>
          <w:rtl/>
        </w:rPr>
        <w:t>-</w:t>
      </w:r>
      <w:r w:rsidRPr="009A43B9">
        <w:rPr>
          <w:rFonts w:ascii="Century" w:hAnsi="Century" w:cs="Miriam" w:hint="eastAsia"/>
          <w:b/>
          <w:spacing w:val="0"/>
          <w:sz w:val="22"/>
          <w:szCs w:val="24"/>
          <w:rtl/>
        </w:rPr>
        <w:t>פניה</w:t>
      </w:r>
      <w:r w:rsidRPr="009A43B9">
        <w:rPr>
          <w:rFonts w:ascii="Century" w:hAnsi="Century" w:cs="Miriam"/>
          <w:b/>
          <w:spacing w:val="0"/>
          <w:sz w:val="22"/>
          <w:szCs w:val="24"/>
          <w:rtl/>
        </w:rPr>
        <w:t>?</w:t>
      </w:r>
      <w:r w:rsidRPr="00936A8D">
        <w:rPr>
          <w:rtl/>
        </w:rPr>
        <w:t xml:space="preserve"> </w:t>
      </w:r>
      <w:r w:rsidRPr="00936A8D">
        <w:rPr>
          <w:rFonts w:hint="eastAsia"/>
          <w:rtl/>
        </w:rPr>
        <w:t>אם</w:t>
      </w:r>
      <w:r w:rsidRPr="00936A8D">
        <w:rPr>
          <w:rtl/>
        </w:rPr>
        <w:t xml:space="preserve"> </w:t>
      </w:r>
      <w:r w:rsidRPr="00936A8D">
        <w:rPr>
          <w:rFonts w:hint="eastAsia"/>
          <w:rtl/>
        </w:rPr>
        <w:t>המענה</w:t>
      </w:r>
      <w:r w:rsidRPr="00936A8D">
        <w:rPr>
          <w:rtl/>
        </w:rPr>
        <w:t xml:space="preserve"> </w:t>
      </w:r>
      <w:r w:rsidRPr="00936A8D">
        <w:rPr>
          <w:rFonts w:hint="eastAsia"/>
          <w:rtl/>
        </w:rPr>
        <w:t>לשאלה</w:t>
      </w:r>
      <w:r w:rsidRPr="00936A8D">
        <w:rPr>
          <w:rtl/>
        </w:rPr>
        <w:t xml:space="preserve"> </w:t>
      </w:r>
      <w:r w:rsidRPr="00936A8D">
        <w:rPr>
          <w:rFonts w:hint="eastAsia"/>
          <w:rtl/>
        </w:rPr>
        <w:t>זו</w:t>
      </w:r>
      <w:r w:rsidRPr="00936A8D">
        <w:rPr>
          <w:rtl/>
        </w:rPr>
        <w:t xml:space="preserve"> </w:t>
      </w:r>
      <w:r w:rsidRPr="00936A8D">
        <w:rPr>
          <w:rFonts w:hint="eastAsia"/>
          <w:rtl/>
        </w:rPr>
        <w:t>הוא</w:t>
      </w:r>
      <w:r w:rsidRPr="00936A8D">
        <w:rPr>
          <w:rtl/>
        </w:rPr>
        <w:t xml:space="preserve"> </w:t>
      </w:r>
      <w:r w:rsidRPr="00936A8D">
        <w:rPr>
          <w:rFonts w:hint="eastAsia"/>
          <w:rtl/>
        </w:rPr>
        <w:t>שלילי</w:t>
      </w:r>
      <w:r w:rsidRPr="00936A8D">
        <w:rPr>
          <w:rtl/>
        </w:rPr>
        <w:t xml:space="preserve">, </w:t>
      </w:r>
      <w:r w:rsidRPr="00936A8D">
        <w:rPr>
          <w:rFonts w:hint="eastAsia"/>
          <w:rtl/>
        </w:rPr>
        <w:t>ברי</w:t>
      </w:r>
      <w:r w:rsidRPr="00936A8D">
        <w:rPr>
          <w:rtl/>
        </w:rPr>
        <w:t xml:space="preserve"> </w:t>
      </w:r>
      <w:r w:rsidRPr="00936A8D">
        <w:rPr>
          <w:rFonts w:hint="eastAsia"/>
          <w:rtl/>
        </w:rPr>
        <w:t>הוא</w:t>
      </w:r>
      <w:r w:rsidRPr="00936A8D">
        <w:rPr>
          <w:rtl/>
        </w:rPr>
        <w:t xml:space="preserve"> </w:t>
      </w:r>
      <w:r w:rsidRPr="00936A8D">
        <w:rPr>
          <w:rFonts w:hint="eastAsia"/>
          <w:rtl/>
        </w:rPr>
        <w:t>כי</w:t>
      </w:r>
      <w:r w:rsidRPr="00936A8D">
        <w:rPr>
          <w:rtl/>
        </w:rPr>
        <w:t xml:space="preserve"> </w:t>
      </w:r>
      <w:r w:rsidRPr="00936A8D">
        <w:rPr>
          <w:rFonts w:hint="eastAsia"/>
          <w:rtl/>
        </w:rPr>
        <w:t>לפנינו</w:t>
      </w:r>
      <w:r w:rsidRPr="00936A8D">
        <w:rPr>
          <w:rtl/>
        </w:rPr>
        <w:t xml:space="preserve"> </w:t>
      </w:r>
      <w:r w:rsidRPr="00936A8D">
        <w:rPr>
          <w:rFonts w:hint="eastAsia"/>
          <w:rtl/>
        </w:rPr>
        <w:t>החלטה</w:t>
      </w:r>
      <w:r w:rsidRPr="00936A8D">
        <w:rPr>
          <w:rtl/>
        </w:rPr>
        <w:t xml:space="preserve"> </w:t>
      </w:r>
      <w:r w:rsidRPr="00936A8D">
        <w:rPr>
          <w:rFonts w:hint="eastAsia"/>
          <w:rtl/>
        </w:rPr>
        <w:t>שלבטח</w:t>
      </w:r>
      <w:r w:rsidRPr="00936A8D">
        <w:rPr>
          <w:rtl/>
        </w:rPr>
        <w:t xml:space="preserve"> </w:t>
      </w:r>
      <w:r w:rsidRPr="00936A8D">
        <w:rPr>
          <w:rFonts w:hint="eastAsia"/>
          <w:rtl/>
        </w:rPr>
        <w:t>נפגמה</w:t>
      </w:r>
      <w:r w:rsidRPr="00936A8D">
        <w:rPr>
          <w:rtl/>
        </w:rPr>
        <w:t xml:space="preserve"> </w:t>
      </w:r>
      <w:r w:rsidRPr="00936A8D">
        <w:rPr>
          <w:rFonts w:hint="eastAsia"/>
          <w:rtl/>
        </w:rPr>
        <w:t>בפגם</w:t>
      </w:r>
      <w:r w:rsidRPr="00936A8D">
        <w:rPr>
          <w:rtl/>
        </w:rPr>
        <w:t xml:space="preserve"> </w:t>
      </w:r>
      <w:r w:rsidRPr="00936A8D">
        <w:rPr>
          <w:rFonts w:hint="eastAsia"/>
          <w:rtl/>
        </w:rPr>
        <w:t>כלשהו</w:t>
      </w:r>
      <w:r w:rsidRPr="00936A8D">
        <w:rPr>
          <w:rtl/>
        </w:rPr>
        <w:t xml:space="preserve"> </w:t>
      </w:r>
      <w:r w:rsidRPr="00936A8D">
        <w:rPr>
          <w:rFonts w:hint="eastAsia"/>
          <w:rtl/>
        </w:rPr>
        <w:t>כדוגמת</w:t>
      </w:r>
      <w:r w:rsidRPr="00936A8D">
        <w:rPr>
          <w:rtl/>
        </w:rPr>
        <w:t xml:space="preserve"> </w:t>
      </w:r>
      <w:r w:rsidRPr="00936A8D">
        <w:rPr>
          <w:rFonts w:hint="eastAsia"/>
          <w:rtl/>
        </w:rPr>
        <w:t>שרירות</w:t>
      </w:r>
      <w:r w:rsidRPr="00936A8D">
        <w:rPr>
          <w:rtl/>
        </w:rPr>
        <w:t xml:space="preserve">, </w:t>
      </w:r>
      <w:r w:rsidRPr="00936A8D">
        <w:rPr>
          <w:rFonts w:hint="eastAsia"/>
          <w:rtl/>
        </w:rPr>
        <w:t>זדון</w:t>
      </w:r>
      <w:r w:rsidRPr="00936A8D">
        <w:rPr>
          <w:rtl/>
        </w:rPr>
        <w:t xml:space="preserve">, </w:t>
      </w:r>
      <w:r w:rsidRPr="00936A8D">
        <w:rPr>
          <w:rFonts w:hint="eastAsia"/>
          <w:rtl/>
        </w:rPr>
        <w:t>חוסר</w:t>
      </w:r>
      <w:r w:rsidRPr="00936A8D">
        <w:rPr>
          <w:rtl/>
        </w:rPr>
        <w:t xml:space="preserve"> </w:t>
      </w:r>
      <w:r w:rsidRPr="00936A8D">
        <w:rPr>
          <w:rFonts w:hint="eastAsia"/>
          <w:rtl/>
        </w:rPr>
        <w:t>תום</w:t>
      </w:r>
      <w:r w:rsidRPr="00936A8D">
        <w:rPr>
          <w:rtl/>
        </w:rPr>
        <w:t xml:space="preserve"> </w:t>
      </w:r>
      <w:r w:rsidRPr="00936A8D">
        <w:rPr>
          <w:rFonts w:hint="eastAsia"/>
          <w:rtl/>
        </w:rPr>
        <w:t>לב</w:t>
      </w:r>
      <w:r w:rsidRPr="00936A8D">
        <w:rPr>
          <w:rtl/>
        </w:rPr>
        <w:t xml:space="preserve">, </w:t>
      </w:r>
      <w:r w:rsidRPr="00936A8D">
        <w:rPr>
          <w:rFonts w:hint="eastAsia"/>
          <w:rtl/>
        </w:rPr>
        <w:t>שיקולים</w:t>
      </w:r>
      <w:r w:rsidRPr="00936A8D">
        <w:rPr>
          <w:rtl/>
        </w:rPr>
        <w:t xml:space="preserve"> </w:t>
      </w:r>
      <w:r w:rsidRPr="00936A8D">
        <w:rPr>
          <w:rFonts w:hint="eastAsia"/>
          <w:rtl/>
        </w:rPr>
        <w:t>זרים</w:t>
      </w:r>
      <w:r w:rsidRPr="00936A8D">
        <w:rPr>
          <w:rtl/>
        </w:rPr>
        <w:t xml:space="preserve">, </w:t>
      </w:r>
      <w:r w:rsidRPr="00936A8D">
        <w:rPr>
          <w:rFonts w:hint="eastAsia"/>
          <w:rtl/>
        </w:rPr>
        <w:t>התעלמות</w:t>
      </w:r>
      <w:r w:rsidRPr="00936A8D">
        <w:rPr>
          <w:rtl/>
        </w:rPr>
        <w:t xml:space="preserve"> </w:t>
      </w:r>
      <w:r w:rsidRPr="00936A8D">
        <w:rPr>
          <w:rFonts w:hint="eastAsia"/>
          <w:rtl/>
        </w:rPr>
        <w:t>משיקול</w:t>
      </w:r>
      <w:r w:rsidRPr="00936A8D">
        <w:rPr>
          <w:rtl/>
        </w:rPr>
        <w:t xml:space="preserve"> </w:t>
      </w:r>
      <w:r w:rsidRPr="00936A8D">
        <w:rPr>
          <w:rFonts w:hint="eastAsia"/>
          <w:rtl/>
        </w:rPr>
        <w:t>ענייני</w:t>
      </w:r>
      <w:r w:rsidRPr="00936A8D">
        <w:rPr>
          <w:rtl/>
        </w:rPr>
        <w:t xml:space="preserve"> </w:t>
      </w:r>
      <w:r w:rsidRPr="00936A8D">
        <w:rPr>
          <w:rFonts w:hint="eastAsia"/>
          <w:rtl/>
        </w:rPr>
        <w:t>או</w:t>
      </w:r>
      <w:r w:rsidRPr="00936A8D">
        <w:rPr>
          <w:rtl/>
        </w:rPr>
        <w:t xml:space="preserve"> </w:t>
      </w:r>
      <w:r w:rsidRPr="00936A8D">
        <w:rPr>
          <w:rFonts w:hint="eastAsia"/>
          <w:rtl/>
        </w:rPr>
        <w:t>הפליה</w:t>
      </w:r>
      <w:r w:rsidRPr="00936A8D">
        <w:rPr>
          <w:rtl/>
        </w:rPr>
        <w:t xml:space="preserve">. </w:t>
      </w:r>
      <w:r w:rsidRPr="00936A8D">
        <w:rPr>
          <w:rFonts w:hint="eastAsia"/>
          <w:rtl/>
        </w:rPr>
        <w:t>בדרך</w:t>
      </w:r>
      <w:r w:rsidRPr="00936A8D">
        <w:rPr>
          <w:rtl/>
        </w:rPr>
        <w:t xml:space="preserve"> </w:t>
      </w:r>
      <w:r w:rsidRPr="00936A8D">
        <w:rPr>
          <w:rFonts w:hint="eastAsia"/>
          <w:rtl/>
        </w:rPr>
        <w:t>זו</w:t>
      </w:r>
      <w:r w:rsidRPr="00936A8D">
        <w:rPr>
          <w:rtl/>
        </w:rPr>
        <w:t xml:space="preserve">, </w:t>
      </w:r>
      <w:r w:rsidRPr="00936A8D">
        <w:rPr>
          <w:rFonts w:hint="eastAsia"/>
          <w:rtl/>
        </w:rPr>
        <w:t>חוסר</w:t>
      </w:r>
      <w:r w:rsidRPr="00936A8D">
        <w:rPr>
          <w:rtl/>
        </w:rPr>
        <w:t xml:space="preserve"> </w:t>
      </w:r>
      <w:r w:rsidRPr="00936A8D">
        <w:rPr>
          <w:rFonts w:hint="eastAsia"/>
          <w:rtl/>
        </w:rPr>
        <w:t>סבירות</w:t>
      </w:r>
      <w:r w:rsidRPr="00936A8D">
        <w:rPr>
          <w:rtl/>
        </w:rPr>
        <w:t xml:space="preserve"> </w:t>
      </w:r>
      <w:r w:rsidRPr="00936A8D">
        <w:rPr>
          <w:rFonts w:hint="eastAsia"/>
          <w:rtl/>
        </w:rPr>
        <w:t>קיצוני</w:t>
      </w:r>
      <w:r w:rsidRPr="00936A8D">
        <w:rPr>
          <w:rtl/>
        </w:rPr>
        <w:t xml:space="preserve"> </w:t>
      </w:r>
      <w:r w:rsidRPr="00936A8D">
        <w:rPr>
          <w:rFonts w:hint="eastAsia"/>
          <w:rtl/>
        </w:rPr>
        <w:t>מוכיח</w:t>
      </w:r>
      <w:r w:rsidRPr="00936A8D">
        <w:rPr>
          <w:rtl/>
        </w:rPr>
        <w:t xml:space="preserve"> </w:t>
      </w:r>
      <w:r w:rsidRPr="00936A8D">
        <w:rPr>
          <w:rFonts w:hint="eastAsia"/>
          <w:rtl/>
        </w:rPr>
        <w:t>את</w:t>
      </w:r>
      <w:r w:rsidRPr="00936A8D">
        <w:rPr>
          <w:rtl/>
        </w:rPr>
        <w:t xml:space="preserve"> </w:t>
      </w:r>
      <w:r w:rsidRPr="00936A8D">
        <w:rPr>
          <w:rFonts w:hint="eastAsia"/>
          <w:rtl/>
        </w:rPr>
        <w:t>קיומו</w:t>
      </w:r>
      <w:r w:rsidRPr="00936A8D">
        <w:rPr>
          <w:rtl/>
        </w:rPr>
        <w:t xml:space="preserve"> </w:t>
      </w:r>
      <w:r w:rsidRPr="00936A8D">
        <w:rPr>
          <w:rFonts w:hint="eastAsia"/>
          <w:rtl/>
        </w:rPr>
        <w:t>של</w:t>
      </w:r>
      <w:r w:rsidRPr="00936A8D">
        <w:rPr>
          <w:rtl/>
        </w:rPr>
        <w:t xml:space="preserve"> </w:t>
      </w:r>
      <w:r w:rsidRPr="00936A8D">
        <w:rPr>
          <w:rFonts w:hint="eastAsia"/>
          <w:rtl/>
        </w:rPr>
        <w:t>אחד</w:t>
      </w:r>
      <w:r w:rsidRPr="00936A8D">
        <w:rPr>
          <w:rtl/>
        </w:rPr>
        <w:t xml:space="preserve"> </w:t>
      </w:r>
      <w:r w:rsidRPr="00936A8D">
        <w:rPr>
          <w:rFonts w:hint="eastAsia"/>
          <w:rtl/>
        </w:rPr>
        <w:t>הפגמים</w:t>
      </w:r>
      <w:r w:rsidRPr="00936A8D">
        <w:rPr>
          <w:rtl/>
        </w:rPr>
        <w:t xml:space="preserve"> </w:t>
      </w:r>
      <w:r w:rsidRPr="00936A8D">
        <w:rPr>
          <w:rFonts w:hint="eastAsia"/>
          <w:rtl/>
        </w:rPr>
        <w:t>הקונקרטיים</w:t>
      </w:r>
      <w:r>
        <w:rPr>
          <w:rFonts w:hint="cs"/>
          <w:rtl/>
        </w:rPr>
        <w:t xml:space="preserve"> בהחלטת הרשות</w:t>
      </w:r>
      <w:r w:rsidRPr="00936A8D">
        <w:rPr>
          <w:rtl/>
        </w:rPr>
        <w:t xml:space="preserve">. </w:t>
      </w:r>
      <w:r w:rsidRPr="00936A8D">
        <w:rPr>
          <w:rFonts w:hint="eastAsia"/>
          <w:rtl/>
        </w:rPr>
        <w:t>הוכחה</w:t>
      </w:r>
      <w:r w:rsidRPr="00936A8D">
        <w:rPr>
          <w:rtl/>
        </w:rPr>
        <w:t xml:space="preserve"> </w:t>
      </w:r>
      <w:r w:rsidRPr="00936A8D">
        <w:rPr>
          <w:rFonts w:hint="eastAsia"/>
          <w:rtl/>
        </w:rPr>
        <w:t>זו</w:t>
      </w:r>
      <w:r w:rsidRPr="00936A8D">
        <w:rPr>
          <w:rtl/>
        </w:rPr>
        <w:t xml:space="preserve">, </w:t>
      </w:r>
      <w:r w:rsidRPr="00936A8D">
        <w:rPr>
          <w:rFonts w:hint="eastAsia"/>
          <w:rtl/>
        </w:rPr>
        <w:t>משמעה</w:t>
      </w:r>
      <w:r w:rsidRPr="00936A8D">
        <w:rPr>
          <w:rtl/>
        </w:rPr>
        <w:t xml:space="preserve"> </w:t>
      </w:r>
      <w:r w:rsidRPr="00936A8D">
        <w:rPr>
          <w:rFonts w:hint="eastAsia"/>
          <w:rtl/>
        </w:rPr>
        <w:t>החלטה</w:t>
      </w:r>
      <w:r w:rsidRPr="00936A8D">
        <w:rPr>
          <w:rtl/>
        </w:rPr>
        <w:t xml:space="preserve"> </w:t>
      </w:r>
      <w:r w:rsidRPr="00936A8D">
        <w:rPr>
          <w:rFonts w:hint="eastAsia"/>
          <w:rtl/>
        </w:rPr>
        <w:t>שהרשות</w:t>
      </w:r>
      <w:r w:rsidRPr="00936A8D">
        <w:rPr>
          <w:rtl/>
        </w:rPr>
        <w:t xml:space="preserve"> </w:t>
      </w:r>
      <w:r w:rsidRPr="00936A8D">
        <w:rPr>
          <w:rFonts w:hint="eastAsia"/>
          <w:rtl/>
        </w:rPr>
        <w:t>כלל</w:t>
      </w:r>
      <w:r w:rsidRPr="00936A8D">
        <w:rPr>
          <w:rtl/>
        </w:rPr>
        <w:t xml:space="preserve"> </w:t>
      </w:r>
      <w:r w:rsidRPr="00936A8D">
        <w:rPr>
          <w:rFonts w:hint="eastAsia"/>
          <w:rtl/>
        </w:rPr>
        <w:t>לא</w:t>
      </w:r>
      <w:r w:rsidRPr="00936A8D">
        <w:rPr>
          <w:rtl/>
        </w:rPr>
        <w:t xml:space="preserve"> </w:t>
      </w:r>
      <w:r w:rsidRPr="00936A8D">
        <w:rPr>
          <w:rFonts w:hint="eastAsia"/>
          <w:rtl/>
        </w:rPr>
        <w:t>היתה</w:t>
      </w:r>
      <w:r w:rsidRPr="00936A8D">
        <w:rPr>
          <w:rtl/>
        </w:rPr>
        <w:t xml:space="preserve"> </w:t>
      </w:r>
      <w:r w:rsidRPr="00936A8D">
        <w:rPr>
          <w:rFonts w:hint="eastAsia"/>
          <w:rtl/>
        </w:rPr>
        <w:t>מוסמכת</w:t>
      </w:r>
      <w:r w:rsidRPr="00936A8D">
        <w:rPr>
          <w:rtl/>
        </w:rPr>
        <w:t xml:space="preserve"> </w:t>
      </w:r>
      <w:r w:rsidRPr="00936A8D">
        <w:rPr>
          <w:rFonts w:hint="eastAsia"/>
          <w:rtl/>
        </w:rPr>
        <w:t>לקבל</w:t>
      </w:r>
      <w:r w:rsidRPr="00936A8D">
        <w:rPr>
          <w:rtl/>
        </w:rPr>
        <w:t xml:space="preserve"> (</w:t>
      </w:r>
      <w:r w:rsidRPr="009A43B9">
        <w:rPr>
          <w:rFonts w:asciiTheme="majorBidi" w:hAnsiTheme="majorBidi" w:cstheme="majorBidi"/>
        </w:rPr>
        <w:t>ultra vires</w:t>
      </w:r>
      <w:r w:rsidRPr="00936A8D">
        <w:rPr>
          <w:rtl/>
        </w:rPr>
        <w:t xml:space="preserve">). </w:t>
      </w:r>
      <w:r w:rsidRPr="00936A8D">
        <w:rPr>
          <w:rFonts w:hint="eastAsia"/>
          <w:rtl/>
        </w:rPr>
        <w:t>זאת</w:t>
      </w:r>
      <w:r w:rsidRPr="00936A8D">
        <w:rPr>
          <w:rtl/>
        </w:rPr>
        <w:t xml:space="preserve">, </w:t>
      </w:r>
      <w:r w:rsidRPr="00936A8D">
        <w:rPr>
          <w:rFonts w:hint="eastAsia"/>
          <w:rtl/>
        </w:rPr>
        <w:t>מאחר</w:t>
      </w:r>
      <w:r w:rsidRPr="00936A8D">
        <w:rPr>
          <w:rtl/>
        </w:rPr>
        <w:t xml:space="preserve"> </w:t>
      </w:r>
      <w:r w:rsidRPr="00936A8D">
        <w:rPr>
          <w:rFonts w:hint="eastAsia"/>
          <w:rtl/>
        </w:rPr>
        <w:t>שהקניית</w:t>
      </w:r>
      <w:r w:rsidRPr="00936A8D">
        <w:rPr>
          <w:rtl/>
        </w:rPr>
        <w:t xml:space="preserve"> </w:t>
      </w:r>
      <w:r w:rsidRPr="00936A8D">
        <w:rPr>
          <w:rFonts w:hint="eastAsia"/>
          <w:rtl/>
        </w:rPr>
        <w:t>הסמכות</w:t>
      </w:r>
      <w:r w:rsidRPr="00936A8D">
        <w:rPr>
          <w:rtl/>
        </w:rPr>
        <w:t xml:space="preserve"> </w:t>
      </w:r>
      <w:r w:rsidRPr="00936A8D">
        <w:rPr>
          <w:rFonts w:hint="eastAsia"/>
          <w:rtl/>
        </w:rPr>
        <w:t>לרשות</w:t>
      </w:r>
      <w:r w:rsidRPr="00936A8D">
        <w:rPr>
          <w:rtl/>
        </w:rPr>
        <w:t xml:space="preserve"> </w:t>
      </w:r>
      <w:r w:rsidRPr="00936A8D">
        <w:rPr>
          <w:rFonts w:hint="eastAsia"/>
          <w:rtl/>
        </w:rPr>
        <w:t>אינה</w:t>
      </w:r>
      <w:r w:rsidRPr="00936A8D">
        <w:rPr>
          <w:rtl/>
        </w:rPr>
        <w:t xml:space="preserve"> </w:t>
      </w:r>
      <w:r w:rsidRPr="00936A8D">
        <w:rPr>
          <w:rFonts w:hint="eastAsia"/>
          <w:rtl/>
        </w:rPr>
        <w:t>כוללת</w:t>
      </w:r>
      <w:r w:rsidRPr="00936A8D">
        <w:rPr>
          <w:rtl/>
        </w:rPr>
        <w:t xml:space="preserve"> </w:t>
      </w:r>
      <w:r w:rsidRPr="00936A8D">
        <w:rPr>
          <w:rFonts w:hint="eastAsia"/>
          <w:rtl/>
        </w:rPr>
        <w:t>סמכות</w:t>
      </w:r>
      <w:r w:rsidRPr="00936A8D">
        <w:rPr>
          <w:rtl/>
        </w:rPr>
        <w:t xml:space="preserve"> </w:t>
      </w:r>
      <w:r w:rsidRPr="00936A8D">
        <w:rPr>
          <w:rFonts w:hint="eastAsia"/>
          <w:rtl/>
        </w:rPr>
        <w:t>לקבל</w:t>
      </w:r>
      <w:r w:rsidRPr="00936A8D">
        <w:rPr>
          <w:rtl/>
        </w:rPr>
        <w:t xml:space="preserve"> </w:t>
      </w:r>
      <w:r w:rsidRPr="00936A8D">
        <w:rPr>
          <w:rFonts w:hint="eastAsia"/>
          <w:rtl/>
        </w:rPr>
        <w:t>החלטות</w:t>
      </w:r>
      <w:r w:rsidRPr="00936A8D">
        <w:rPr>
          <w:rtl/>
        </w:rPr>
        <w:t xml:space="preserve"> </w:t>
      </w:r>
      <w:r w:rsidRPr="00936A8D">
        <w:rPr>
          <w:rFonts w:hint="eastAsia"/>
          <w:rtl/>
        </w:rPr>
        <w:t>מתוך</w:t>
      </w:r>
      <w:r w:rsidRPr="00936A8D">
        <w:rPr>
          <w:rtl/>
        </w:rPr>
        <w:t xml:space="preserve"> </w:t>
      </w:r>
      <w:r w:rsidRPr="00936A8D">
        <w:rPr>
          <w:rFonts w:hint="eastAsia"/>
          <w:rtl/>
        </w:rPr>
        <w:t>שרירות</w:t>
      </w:r>
      <w:r w:rsidRPr="00936A8D">
        <w:rPr>
          <w:rtl/>
        </w:rPr>
        <w:t xml:space="preserve">, </w:t>
      </w:r>
      <w:r w:rsidRPr="00936A8D">
        <w:rPr>
          <w:rFonts w:hint="eastAsia"/>
          <w:rtl/>
        </w:rPr>
        <w:t>זדון</w:t>
      </w:r>
      <w:r w:rsidRPr="00936A8D">
        <w:rPr>
          <w:rtl/>
        </w:rPr>
        <w:t xml:space="preserve">, </w:t>
      </w:r>
      <w:r w:rsidRPr="00936A8D">
        <w:rPr>
          <w:rFonts w:hint="eastAsia"/>
          <w:rtl/>
        </w:rPr>
        <w:t>חוסר</w:t>
      </w:r>
      <w:r w:rsidRPr="00936A8D">
        <w:rPr>
          <w:rtl/>
        </w:rPr>
        <w:t xml:space="preserve"> </w:t>
      </w:r>
      <w:r w:rsidRPr="00936A8D">
        <w:rPr>
          <w:rFonts w:hint="eastAsia"/>
          <w:rtl/>
        </w:rPr>
        <w:t>תום</w:t>
      </w:r>
      <w:r w:rsidRPr="00936A8D">
        <w:rPr>
          <w:rtl/>
        </w:rPr>
        <w:t xml:space="preserve"> </w:t>
      </w:r>
      <w:r w:rsidRPr="00936A8D">
        <w:rPr>
          <w:rFonts w:hint="eastAsia"/>
          <w:rtl/>
        </w:rPr>
        <w:t>לב</w:t>
      </w:r>
      <w:r w:rsidRPr="00936A8D">
        <w:rPr>
          <w:rtl/>
        </w:rPr>
        <w:t xml:space="preserve">, </w:t>
      </w:r>
      <w:r w:rsidRPr="00936A8D">
        <w:rPr>
          <w:rFonts w:hint="eastAsia"/>
          <w:rtl/>
        </w:rPr>
        <w:t>שיקולים</w:t>
      </w:r>
      <w:r w:rsidRPr="00936A8D">
        <w:rPr>
          <w:rtl/>
        </w:rPr>
        <w:t xml:space="preserve"> </w:t>
      </w:r>
      <w:r w:rsidRPr="00936A8D">
        <w:rPr>
          <w:rFonts w:hint="eastAsia"/>
          <w:rtl/>
        </w:rPr>
        <w:t>זרים</w:t>
      </w:r>
      <w:r w:rsidRPr="00936A8D">
        <w:rPr>
          <w:rtl/>
        </w:rPr>
        <w:t xml:space="preserve"> </w:t>
      </w:r>
      <w:r w:rsidRPr="00936A8D">
        <w:rPr>
          <w:rFonts w:hint="eastAsia"/>
          <w:rtl/>
        </w:rPr>
        <w:t>והפליה</w:t>
      </w:r>
      <w:r w:rsidRPr="00936A8D">
        <w:rPr>
          <w:rtl/>
        </w:rPr>
        <w:t xml:space="preserve"> </w:t>
      </w:r>
      <w:r w:rsidRPr="00936A8D">
        <w:rPr>
          <w:rFonts w:hint="eastAsia"/>
          <w:rtl/>
        </w:rPr>
        <w:t>פסולה</w:t>
      </w:r>
      <w:r w:rsidRPr="00936A8D">
        <w:rPr>
          <w:rtl/>
        </w:rPr>
        <w:t xml:space="preserve">, </w:t>
      </w:r>
      <w:r w:rsidRPr="00936A8D">
        <w:rPr>
          <w:rFonts w:hint="eastAsia"/>
          <w:rtl/>
        </w:rPr>
        <w:t>או</w:t>
      </w:r>
      <w:r w:rsidRPr="00936A8D">
        <w:rPr>
          <w:rtl/>
        </w:rPr>
        <w:t xml:space="preserve"> </w:t>
      </w:r>
      <w:r w:rsidRPr="00936A8D">
        <w:rPr>
          <w:rFonts w:hint="eastAsia"/>
          <w:rtl/>
        </w:rPr>
        <w:t>תוך</w:t>
      </w:r>
      <w:r w:rsidRPr="00936A8D">
        <w:rPr>
          <w:rtl/>
        </w:rPr>
        <w:t xml:space="preserve"> </w:t>
      </w:r>
      <w:r w:rsidRPr="00936A8D">
        <w:rPr>
          <w:rFonts w:hint="eastAsia"/>
          <w:rtl/>
        </w:rPr>
        <w:t>התעלמות</w:t>
      </w:r>
      <w:r w:rsidRPr="00936A8D">
        <w:rPr>
          <w:rtl/>
        </w:rPr>
        <w:t xml:space="preserve"> </w:t>
      </w:r>
      <w:r w:rsidRPr="00936A8D">
        <w:rPr>
          <w:rFonts w:hint="eastAsia"/>
          <w:rtl/>
        </w:rPr>
        <w:t>משיקול</w:t>
      </w:r>
      <w:r w:rsidRPr="00936A8D">
        <w:rPr>
          <w:rtl/>
        </w:rPr>
        <w:t xml:space="preserve"> </w:t>
      </w:r>
      <w:r w:rsidRPr="00936A8D">
        <w:rPr>
          <w:rFonts w:hint="eastAsia"/>
          <w:rtl/>
        </w:rPr>
        <w:t>ענייני</w:t>
      </w:r>
      <w:r w:rsidRPr="00936A8D">
        <w:rPr>
          <w:rtl/>
        </w:rPr>
        <w:t xml:space="preserve"> (</w:t>
      </w:r>
      <w:r w:rsidRPr="00F240CE">
        <w:rPr>
          <w:rFonts w:hint="eastAsia"/>
          <w:rtl/>
        </w:rPr>
        <w:t>ראו</w:t>
      </w:r>
      <w:r w:rsidRPr="00F240CE">
        <w:rPr>
          <w:rtl/>
        </w:rPr>
        <w:t xml:space="preserve">: </w:t>
      </w:r>
      <w:r w:rsidRPr="00F240CE">
        <w:rPr>
          <w:rFonts w:hint="eastAsia"/>
          <w:rtl/>
        </w:rPr>
        <w:t>יצחק</w:t>
      </w:r>
      <w:r w:rsidRPr="00F240CE">
        <w:rPr>
          <w:rtl/>
        </w:rPr>
        <w:t xml:space="preserve"> </w:t>
      </w:r>
      <w:r w:rsidRPr="00F240CE">
        <w:rPr>
          <w:rFonts w:hint="eastAsia"/>
          <w:rtl/>
        </w:rPr>
        <w:t>זמיר</w:t>
      </w:r>
      <w:r w:rsidRPr="00F240CE">
        <w:rPr>
          <w:rtl/>
        </w:rPr>
        <w:t xml:space="preserve"> </w:t>
      </w:r>
      <w:r w:rsidRPr="009A43B9">
        <w:rPr>
          <w:rFonts w:ascii="Century" w:hAnsi="Century" w:cs="Miriam" w:hint="eastAsia"/>
          <w:b/>
          <w:spacing w:val="0"/>
          <w:sz w:val="22"/>
          <w:szCs w:val="24"/>
          <w:rtl/>
        </w:rPr>
        <w:t>הסמכות</w:t>
      </w:r>
      <w:r w:rsidRPr="009A43B9">
        <w:rPr>
          <w:rFonts w:ascii="Century" w:hAnsi="Century" w:cs="Miriam"/>
          <w:b/>
          <w:spacing w:val="0"/>
          <w:sz w:val="22"/>
          <w:szCs w:val="24"/>
          <w:rtl/>
        </w:rPr>
        <w:t xml:space="preserve"> </w:t>
      </w:r>
      <w:r w:rsidRPr="009A43B9">
        <w:rPr>
          <w:rFonts w:ascii="Century" w:hAnsi="Century" w:cs="Miriam" w:hint="eastAsia"/>
          <w:b/>
          <w:spacing w:val="0"/>
          <w:sz w:val="22"/>
          <w:szCs w:val="24"/>
          <w:rtl/>
        </w:rPr>
        <w:t>המינהלית</w:t>
      </w:r>
      <w:r w:rsidRPr="00F240CE">
        <w:rPr>
          <w:rtl/>
        </w:rPr>
        <w:t xml:space="preserve"> </w:t>
      </w:r>
      <w:r w:rsidRPr="00F240CE">
        <w:rPr>
          <w:rFonts w:hint="eastAsia"/>
          <w:rtl/>
        </w:rPr>
        <w:t>א</w:t>
      </w:r>
      <w:r w:rsidRPr="00F240CE">
        <w:rPr>
          <w:rtl/>
        </w:rPr>
        <w:t xml:space="preserve"> 154 (1996); </w:t>
      </w:r>
      <w:r w:rsidRPr="00F240CE">
        <w:rPr>
          <w:rFonts w:hint="eastAsia"/>
          <w:rtl/>
        </w:rPr>
        <w:t>דפנה</w:t>
      </w:r>
      <w:r w:rsidRPr="00F240CE">
        <w:rPr>
          <w:rtl/>
        </w:rPr>
        <w:t xml:space="preserve"> </w:t>
      </w:r>
      <w:r w:rsidRPr="00F240CE">
        <w:rPr>
          <w:rFonts w:hint="eastAsia"/>
          <w:rtl/>
        </w:rPr>
        <w:t>ברק</w:t>
      </w:r>
      <w:r w:rsidRPr="00F240CE">
        <w:rPr>
          <w:rtl/>
        </w:rPr>
        <w:t>-</w:t>
      </w:r>
      <w:r w:rsidRPr="00F240CE">
        <w:rPr>
          <w:rFonts w:hint="eastAsia"/>
          <w:rtl/>
        </w:rPr>
        <w:t>ארז</w:t>
      </w:r>
      <w:r w:rsidRPr="00F240CE">
        <w:rPr>
          <w:rtl/>
        </w:rPr>
        <w:t xml:space="preserve"> </w:t>
      </w:r>
      <w:r w:rsidRPr="009A43B9">
        <w:rPr>
          <w:rFonts w:ascii="Century" w:hAnsi="Century" w:cs="Miriam" w:hint="eastAsia"/>
          <w:b/>
          <w:spacing w:val="0"/>
          <w:sz w:val="22"/>
          <w:szCs w:val="24"/>
          <w:rtl/>
        </w:rPr>
        <w:t>משפט</w:t>
      </w:r>
      <w:r w:rsidRPr="009A43B9">
        <w:rPr>
          <w:rFonts w:ascii="Century" w:hAnsi="Century" w:cs="Miriam"/>
          <w:b/>
          <w:spacing w:val="0"/>
          <w:sz w:val="22"/>
          <w:szCs w:val="24"/>
          <w:rtl/>
        </w:rPr>
        <w:t xml:space="preserve"> </w:t>
      </w:r>
      <w:r w:rsidRPr="009A43B9">
        <w:rPr>
          <w:rFonts w:ascii="Century" w:hAnsi="Century" w:cs="Miriam" w:hint="eastAsia"/>
          <w:b/>
          <w:spacing w:val="0"/>
          <w:sz w:val="22"/>
          <w:szCs w:val="24"/>
          <w:rtl/>
        </w:rPr>
        <w:t>מינהלי</w:t>
      </w:r>
      <w:r w:rsidRPr="00F240CE">
        <w:rPr>
          <w:rtl/>
        </w:rPr>
        <w:t xml:space="preserve"> </w:t>
      </w:r>
      <w:r w:rsidRPr="00F240CE">
        <w:rPr>
          <w:rFonts w:hint="eastAsia"/>
          <w:rtl/>
        </w:rPr>
        <w:t>ב</w:t>
      </w:r>
      <w:r w:rsidRPr="00F240CE">
        <w:rPr>
          <w:rtl/>
        </w:rPr>
        <w:t xml:space="preserve"> 619 (2010)</w:t>
      </w:r>
      <w:r w:rsidRPr="00936A8D">
        <w:rPr>
          <w:rFonts w:hint="cs"/>
          <w:rtl/>
        </w:rPr>
        <w:t xml:space="preserve">). הקניית סמכות כאמור לרשות מן הסתם גם אינה מכילה בחובה הסמכה </w:t>
      </w:r>
      <w:r w:rsidRPr="00936A8D">
        <w:rPr>
          <w:rFonts w:hint="eastAsia"/>
          <w:rtl/>
        </w:rPr>
        <w:t>לקבל</w:t>
      </w:r>
      <w:r w:rsidRPr="00936A8D">
        <w:rPr>
          <w:rtl/>
        </w:rPr>
        <w:t xml:space="preserve"> </w:t>
      </w:r>
      <w:r w:rsidRPr="00936A8D">
        <w:rPr>
          <w:rFonts w:hint="eastAsia"/>
          <w:rtl/>
        </w:rPr>
        <w:t>החלטות</w:t>
      </w:r>
      <w:r w:rsidRPr="00936A8D">
        <w:rPr>
          <w:rtl/>
        </w:rPr>
        <w:t xml:space="preserve"> </w:t>
      </w:r>
      <w:r w:rsidRPr="00936A8D">
        <w:rPr>
          <w:rFonts w:hint="eastAsia"/>
          <w:rtl/>
        </w:rPr>
        <w:t>אבסורדיות</w:t>
      </w:r>
      <w:r w:rsidRPr="00936A8D">
        <w:rPr>
          <w:rtl/>
        </w:rPr>
        <w:t xml:space="preserve"> </w:t>
      </w:r>
      <w:r w:rsidRPr="00936A8D">
        <w:rPr>
          <w:rFonts w:hint="eastAsia"/>
          <w:rtl/>
        </w:rPr>
        <w:t>שהדעת</w:t>
      </w:r>
      <w:r w:rsidRPr="00936A8D">
        <w:rPr>
          <w:rtl/>
        </w:rPr>
        <w:t xml:space="preserve"> </w:t>
      </w:r>
      <w:r w:rsidRPr="00936A8D">
        <w:rPr>
          <w:rFonts w:hint="eastAsia"/>
          <w:rtl/>
        </w:rPr>
        <w:t>אינה</w:t>
      </w:r>
      <w:r w:rsidRPr="00936A8D">
        <w:rPr>
          <w:rtl/>
        </w:rPr>
        <w:t xml:space="preserve"> </w:t>
      </w:r>
      <w:r w:rsidRPr="00936A8D">
        <w:rPr>
          <w:rFonts w:hint="eastAsia"/>
          <w:rtl/>
        </w:rPr>
        <w:t>סובלת</w:t>
      </w:r>
      <w:r w:rsidRPr="00936A8D">
        <w:rPr>
          <w:rtl/>
        </w:rPr>
        <w:t xml:space="preserve">. </w:t>
      </w:r>
    </w:p>
    <w:p w:rsidR="0047626A" w:rsidRPr="00936A8D" w:rsidRDefault="0047626A" w:rsidP="0047626A">
      <w:pPr>
        <w:pStyle w:val="Ruller4"/>
        <w:numPr>
          <w:ilvl w:val="0"/>
          <w:numId w:val="0"/>
        </w:numPr>
      </w:pPr>
    </w:p>
    <w:p w:rsidR="0047626A" w:rsidRPr="00936A8D" w:rsidRDefault="0047626A" w:rsidP="0047626A">
      <w:pPr>
        <w:pStyle w:val="Ruller4"/>
        <w:rPr>
          <w:rFonts w:ascii="Century" w:hAnsi="Century"/>
          <w:sz w:val="22"/>
        </w:rPr>
      </w:pPr>
      <w:r w:rsidRPr="00936A8D">
        <w:rPr>
          <w:rFonts w:hint="eastAsia"/>
          <w:rtl/>
        </w:rPr>
        <w:t>היבט</w:t>
      </w:r>
      <w:r w:rsidRPr="00936A8D">
        <w:rPr>
          <w:rtl/>
        </w:rPr>
        <w:t xml:space="preserve"> </w:t>
      </w:r>
      <w:r w:rsidRPr="00936A8D">
        <w:rPr>
          <w:rFonts w:hint="eastAsia"/>
          <w:rtl/>
        </w:rPr>
        <w:t>זה</w:t>
      </w:r>
      <w:r w:rsidRPr="00936A8D">
        <w:rPr>
          <w:rtl/>
        </w:rPr>
        <w:t xml:space="preserve"> </w:t>
      </w:r>
      <w:r w:rsidRPr="00936A8D">
        <w:rPr>
          <w:rFonts w:hint="eastAsia"/>
          <w:rtl/>
        </w:rPr>
        <w:t>של</w:t>
      </w:r>
      <w:r w:rsidRPr="00936A8D">
        <w:rPr>
          <w:rtl/>
        </w:rPr>
        <w:t xml:space="preserve"> </w:t>
      </w:r>
      <w:r w:rsidRPr="00936A8D">
        <w:rPr>
          <w:rFonts w:hint="eastAsia"/>
          <w:rtl/>
        </w:rPr>
        <w:t>דוקטרינת</w:t>
      </w:r>
      <w:r w:rsidRPr="00936A8D">
        <w:rPr>
          <w:rtl/>
        </w:rPr>
        <w:t xml:space="preserve"> </w:t>
      </w:r>
      <w:r w:rsidRPr="00936A8D">
        <w:rPr>
          <w:rFonts w:hint="eastAsia"/>
          <w:rtl/>
        </w:rPr>
        <w:t>הסבירות</w:t>
      </w:r>
      <w:r w:rsidRPr="00936A8D">
        <w:rPr>
          <w:rtl/>
        </w:rPr>
        <w:t xml:space="preserve"> </w:t>
      </w:r>
      <w:r w:rsidRPr="00936A8D">
        <w:rPr>
          <w:rFonts w:hint="eastAsia"/>
          <w:rtl/>
        </w:rPr>
        <w:t>הוסבר</w:t>
      </w:r>
      <w:r w:rsidRPr="00936A8D">
        <w:rPr>
          <w:rtl/>
        </w:rPr>
        <w:t xml:space="preserve"> </w:t>
      </w:r>
      <w:r w:rsidRPr="00936A8D">
        <w:rPr>
          <w:rFonts w:hint="eastAsia"/>
          <w:rtl/>
        </w:rPr>
        <w:t>היטב</w:t>
      </w:r>
      <w:r w:rsidRPr="00936A8D">
        <w:rPr>
          <w:rtl/>
        </w:rPr>
        <w:t xml:space="preserve"> </w:t>
      </w:r>
      <w:r w:rsidRPr="00936A8D">
        <w:rPr>
          <w:rFonts w:hint="eastAsia"/>
          <w:rtl/>
        </w:rPr>
        <w:t>בפסק</w:t>
      </w:r>
      <w:r w:rsidRPr="00936A8D">
        <w:rPr>
          <w:rtl/>
        </w:rPr>
        <w:t xml:space="preserve"> </w:t>
      </w:r>
      <w:r w:rsidRPr="00936A8D">
        <w:rPr>
          <w:rFonts w:hint="eastAsia"/>
          <w:rtl/>
        </w:rPr>
        <w:t>דינו</w:t>
      </w:r>
      <w:r w:rsidRPr="00936A8D">
        <w:rPr>
          <w:rtl/>
        </w:rPr>
        <w:t xml:space="preserve"> </w:t>
      </w:r>
      <w:r w:rsidRPr="00936A8D">
        <w:rPr>
          <w:rFonts w:hint="eastAsia"/>
          <w:rtl/>
        </w:rPr>
        <w:t>של</w:t>
      </w:r>
      <w:r w:rsidRPr="00936A8D">
        <w:rPr>
          <w:rtl/>
        </w:rPr>
        <w:t xml:space="preserve"> </w:t>
      </w:r>
      <w:r w:rsidRPr="00936A8D">
        <w:rPr>
          <w:rFonts w:hint="eastAsia"/>
          <w:rtl/>
        </w:rPr>
        <w:t>השופט</w:t>
      </w:r>
      <w:r w:rsidRPr="00936A8D">
        <w:rPr>
          <w:rtl/>
        </w:rPr>
        <w:t xml:space="preserve"> </w:t>
      </w:r>
      <w:r w:rsidRPr="00936A8D">
        <w:rPr>
          <w:rFonts w:ascii="Century" w:hAnsi="Century" w:cs="Miriam" w:hint="eastAsia"/>
          <w:b/>
          <w:spacing w:val="0"/>
          <w:sz w:val="22"/>
          <w:szCs w:val="24"/>
          <w:rtl/>
        </w:rPr>
        <w:t>צ</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ברנזון</w:t>
      </w:r>
      <w:r w:rsidRPr="00936A8D">
        <w:rPr>
          <w:rFonts w:ascii="Century" w:hAnsi="Century"/>
          <w:sz w:val="22"/>
          <w:rtl/>
        </w:rPr>
        <w:t xml:space="preserve"> </w:t>
      </w:r>
      <w:r w:rsidRPr="00936A8D">
        <w:rPr>
          <w:rFonts w:ascii="Century" w:hAnsi="Century" w:hint="eastAsia"/>
          <w:sz w:val="22"/>
          <w:rtl/>
        </w:rPr>
        <w:t>בע</w:t>
      </w:r>
      <w:r w:rsidRPr="00936A8D">
        <w:rPr>
          <w:rFonts w:ascii="Century" w:hAnsi="Century"/>
          <w:sz w:val="22"/>
          <w:rtl/>
        </w:rPr>
        <w:t>"</w:t>
      </w:r>
      <w:r w:rsidRPr="00936A8D">
        <w:rPr>
          <w:rFonts w:ascii="Century" w:hAnsi="Century" w:hint="eastAsia"/>
          <w:sz w:val="22"/>
          <w:rtl/>
        </w:rPr>
        <w:t>א</w:t>
      </w:r>
      <w:r w:rsidRPr="00936A8D">
        <w:rPr>
          <w:rFonts w:ascii="Century" w:hAnsi="Century"/>
          <w:sz w:val="22"/>
          <w:rtl/>
        </w:rPr>
        <w:t xml:space="preserve"> 311/57 </w:t>
      </w:r>
      <w:r w:rsidRPr="00936A8D">
        <w:rPr>
          <w:rFonts w:ascii="Century" w:hAnsi="Century" w:cs="Miriam" w:hint="eastAsia"/>
          <w:b/>
          <w:spacing w:val="0"/>
          <w:sz w:val="22"/>
          <w:szCs w:val="24"/>
          <w:rtl/>
        </w:rPr>
        <w:t>היועץ</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המשפטי</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לממשלה</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נ</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מ</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דיזנגוף</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ושות</w:t>
      </w:r>
      <w:r w:rsidRPr="00936A8D">
        <w:rPr>
          <w:rFonts w:ascii="Century" w:hAnsi="Century" w:cs="Miriam"/>
          <w:b/>
          <w:spacing w:val="0"/>
          <w:sz w:val="22"/>
          <w:szCs w:val="24"/>
          <w:rtl/>
        </w:rPr>
        <w:t>' (</w:t>
      </w:r>
      <w:r w:rsidRPr="00936A8D">
        <w:rPr>
          <w:rFonts w:ascii="Century" w:hAnsi="Century" w:cs="Miriam" w:hint="eastAsia"/>
          <w:b/>
          <w:spacing w:val="0"/>
          <w:sz w:val="22"/>
          <w:szCs w:val="24"/>
          <w:rtl/>
        </w:rPr>
        <w:t>שיט</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בע</w:t>
      </w:r>
      <w:r w:rsidRPr="00936A8D">
        <w:rPr>
          <w:rFonts w:ascii="Century" w:hAnsi="Century" w:cs="Miriam"/>
          <w:b/>
          <w:spacing w:val="0"/>
          <w:sz w:val="22"/>
          <w:szCs w:val="24"/>
          <w:rtl/>
        </w:rPr>
        <w:t>"</w:t>
      </w:r>
      <w:r w:rsidRPr="00936A8D">
        <w:rPr>
          <w:rFonts w:ascii="Century" w:hAnsi="Century" w:cs="Miriam" w:hint="eastAsia"/>
          <w:b/>
          <w:spacing w:val="0"/>
          <w:sz w:val="22"/>
          <w:szCs w:val="24"/>
          <w:rtl/>
        </w:rPr>
        <w:t>מ</w:t>
      </w:r>
      <w:r w:rsidRPr="00936A8D">
        <w:rPr>
          <w:rFonts w:ascii="Century" w:hAnsi="Century"/>
          <w:sz w:val="22"/>
          <w:rtl/>
        </w:rPr>
        <w:t xml:space="preserve">, </w:t>
      </w:r>
      <w:r w:rsidRPr="00936A8D">
        <w:rPr>
          <w:rFonts w:ascii="Century" w:hAnsi="Century" w:hint="eastAsia"/>
          <w:sz w:val="22"/>
          <w:rtl/>
        </w:rPr>
        <w:t>פ</w:t>
      </w:r>
      <w:r w:rsidRPr="00936A8D">
        <w:rPr>
          <w:rFonts w:ascii="Century" w:hAnsi="Century"/>
          <w:sz w:val="22"/>
          <w:rtl/>
        </w:rPr>
        <w:t>"</w:t>
      </w:r>
      <w:r w:rsidRPr="00936A8D">
        <w:rPr>
          <w:rFonts w:ascii="Century" w:hAnsi="Century" w:hint="eastAsia"/>
          <w:sz w:val="22"/>
          <w:rtl/>
        </w:rPr>
        <w:t>ד</w:t>
      </w:r>
      <w:r w:rsidRPr="00936A8D">
        <w:rPr>
          <w:rFonts w:ascii="Century" w:hAnsi="Century"/>
          <w:sz w:val="22"/>
          <w:rtl/>
        </w:rPr>
        <w:t xml:space="preserve"> </w:t>
      </w:r>
      <w:r w:rsidRPr="00936A8D">
        <w:rPr>
          <w:rFonts w:ascii="Century" w:hAnsi="Century" w:hint="eastAsia"/>
          <w:sz w:val="22"/>
          <w:rtl/>
        </w:rPr>
        <w:t>יג</w:t>
      </w:r>
      <w:r w:rsidRPr="00936A8D">
        <w:rPr>
          <w:rFonts w:ascii="Century" w:hAnsi="Century"/>
          <w:sz w:val="22"/>
          <w:rtl/>
        </w:rPr>
        <w:t xml:space="preserve">(2) 1026, </w:t>
      </w:r>
      <w:r w:rsidRPr="00936A8D">
        <w:rPr>
          <w:rFonts w:ascii="Century" w:hAnsi="Century"/>
          <w:sz w:val="22"/>
          <w:rtl/>
        </w:rPr>
        <w:lastRenderedPageBreak/>
        <w:t>1037-1032 (1959) (</w:t>
      </w:r>
      <w:r w:rsidRPr="00936A8D">
        <w:rPr>
          <w:rFonts w:ascii="Century" w:hAnsi="Century" w:hint="eastAsia"/>
          <w:sz w:val="22"/>
          <w:rtl/>
        </w:rPr>
        <w:t>להלן</w:t>
      </w:r>
      <w:r w:rsidRPr="00936A8D">
        <w:rPr>
          <w:rFonts w:ascii="Century" w:hAnsi="Century"/>
          <w:sz w:val="22"/>
          <w:rtl/>
        </w:rPr>
        <w:t xml:space="preserve">: </w:t>
      </w:r>
      <w:r w:rsidRPr="00936A8D">
        <w:rPr>
          <w:rFonts w:ascii="Century" w:hAnsi="Century" w:hint="eastAsia"/>
          <w:sz w:val="22"/>
          <w:rtl/>
        </w:rPr>
        <w:t>עניין</w:t>
      </w:r>
      <w:r w:rsidRPr="00936A8D">
        <w:rPr>
          <w:rFonts w:ascii="Century" w:hAnsi="Century"/>
          <w:sz w:val="22"/>
          <w:rtl/>
        </w:rPr>
        <w:t xml:space="preserve"> </w:t>
      </w:r>
      <w:r w:rsidRPr="00936A8D">
        <w:rPr>
          <w:rFonts w:ascii="Century" w:hAnsi="Century" w:cs="Miriam" w:hint="eastAsia"/>
          <w:b/>
          <w:spacing w:val="0"/>
          <w:sz w:val="22"/>
          <w:szCs w:val="24"/>
          <w:rtl/>
        </w:rPr>
        <w:t>דיזנגוף</w:t>
      </w:r>
      <w:r w:rsidRPr="00936A8D">
        <w:rPr>
          <w:rFonts w:ascii="Century" w:hAnsi="Century"/>
          <w:sz w:val="22"/>
          <w:rtl/>
        </w:rPr>
        <w:t xml:space="preserve">) – </w:t>
      </w:r>
      <w:r w:rsidRPr="00936A8D">
        <w:rPr>
          <w:rFonts w:ascii="Century" w:hAnsi="Century" w:hint="eastAsia"/>
          <w:sz w:val="22"/>
          <w:rtl/>
        </w:rPr>
        <w:t>פסק</w:t>
      </w:r>
      <w:r w:rsidRPr="00936A8D">
        <w:rPr>
          <w:rFonts w:ascii="Century" w:hAnsi="Century"/>
          <w:sz w:val="22"/>
          <w:rtl/>
        </w:rPr>
        <w:t xml:space="preserve"> </w:t>
      </w:r>
      <w:r w:rsidRPr="00936A8D">
        <w:rPr>
          <w:rFonts w:ascii="Century" w:hAnsi="Century" w:hint="eastAsia"/>
          <w:sz w:val="22"/>
          <w:rtl/>
        </w:rPr>
        <w:t>הדין</w:t>
      </w:r>
      <w:r w:rsidRPr="00936A8D">
        <w:rPr>
          <w:rFonts w:ascii="Century" w:hAnsi="Century"/>
          <w:sz w:val="22"/>
          <w:rtl/>
        </w:rPr>
        <w:t xml:space="preserve"> </w:t>
      </w:r>
      <w:r w:rsidRPr="00936A8D">
        <w:rPr>
          <w:rFonts w:ascii="Century" w:hAnsi="Century" w:hint="eastAsia"/>
          <w:sz w:val="22"/>
          <w:rtl/>
        </w:rPr>
        <w:t>אשר</w:t>
      </w:r>
      <w:r w:rsidRPr="00936A8D">
        <w:rPr>
          <w:rFonts w:ascii="Century" w:hAnsi="Century"/>
          <w:sz w:val="22"/>
          <w:rtl/>
        </w:rPr>
        <w:t xml:space="preserve"> </w:t>
      </w:r>
      <w:r w:rsidRPr="00936A8D">
        <w:rPr>
          <w:rFonts w:ascii="Century" w:hAnsi="Century" w:hint="eastAsia"/>
          <w:sz w:val="22"/>
          <w:rtl/>
        </w:rPr>
        <w:t>ייבא</w:t>
      </w:r>
      <w:r w:rsidRPr="00936A8D">
        <w:rPr>
          <w:rFonts w:ascii="Century" w:hAnsi="Century"/>
          <w:sz w:val="22"/>
          <w:rtl/>
        </w:rPr>
        <w:t xml:space="preserve"> </w:t>
      </w:r>
      <w:r w:rsidRPr="00936A8D">
        <w:rPr>
          <w:rFonts w:ascii="Century" w:hAnsi="Century" w:hint="eastAsia"/>
          <w:sz w:val="22"/>
          <w:rtl/>
        </w:rPr>
        <w:t>את</w:t>
      </w:r>
      <w:r w:rsidRPr="00936A8D">
        <w:rPr>
          <w:rFonts w:ascii="Century" w:hAnsi="Century"/>
          <w:sz w:val="22"/>
          <w:rtl/>
        </w:rPr>
        <w:t xml:space="preserve"> </w:t>
      </w:r>
      <w:r w:rsidRPr="00936A8D">
        <w:rPr>
          <w:rFonts w:ascii="Century" w:hAnsi="Century" w:hint="eastAsia"/>
          <w:sz w:val="22"/>
          <w:rtl/>
        </w:rPr>
        <w:t>דוקטרינת</w:t>
      </w:r>
      <w:r w:rsidRPr="00936A8D">
        <w:rPr>
          <w:rFonts w:ascii="Century" w:hAnsi="Century"/>
          <w:sz w:val="22"/>
          <w:rtl/>
        </w:rPr>
        <w:t xml:space="preserve"> </w:t>
      </w:r>
      <w:r w:rsidRPr="00936A8D">
        <w:rPr>
          <w:rFonts w:ascii="Century" w:hAnsi="Century" w:hint="eastAsia"/>
          <w:sz w:val="22"/>
          <w:rtl/>
        </w:rPr>
        <w:t>הסבירות</w:t>
      </w:r>
      <w:r w:rsidRPr="00936A8D">
        <w:rPr>
          <w:rFonts w:ascii="Century" w:hAnsi="Century"/>
          <w:sz w:val="22"/>
          <w:rtl/>
        </w:rPr>
        <w:t xml:space="preserve"> </w:t>
      </w:r>
      <w:r w:rsidRPr="00936A8D">
        <w:rPr>
          <w:rFonts w:ascii="Century" w:hAnsi="Century" w:hint="eastAsia"/>
          <w:sz w:val="22"/>
          <w:rtl/>
        </w:rPr>
        <w:t>מהמשפט</w:t>
      </w:r>
      <w:r w:rsidRPr="00936A8D">
        <w:rPr>
          <w:rFonts w:ascii="Century" w:hAnsi="Century"/>
          <w:sz w:val="22"/>
          <w:rtl/>
        </w:rPr>
        <w:t xml:space="preserve"> </w:t>
      </w:r>
      <w:r w:rsidRPr="00936A8D">
        <w:rPr>
          <w:rFonts w:ascii="Century" w:hAnsi="Century" w:hint="eastAsia"/>
          <w:sz w:val="22"/>
          <w:rtl/>
        </w:rPr>
        <w:t>המקובל</w:t>
      </w:r>
      <w:r w:rsidRPr="00936A8D">
        <w:rPr>
          <w:rFonts w:ascii="Century" w:hAnsi="Century"/>
          <w:sz w:val="22"/>
          <w:rtl/>
        </w:rPr>
        <w:t xml:space="preserve"> </w:t>
      </w:r>
      <w:r w:rsidRPr="00936A8D">
        <w:rPr>
          <w:rFonts w:ascii="Century" w:hAnsi="Century" w:hint="eastAsia"/>
          <w:sz w:val="22"/>
          <w:rtl/>
        </w:rPr>
        <w:t>האנגלי</w:t>
      </w:r>
      <w:r w:rsidRPr="00936A8D">
        <w:rPr>
          <w:rFonts w:ascii="Century" w:hAnsi="Century"/>
          <w:sz w:val="22"/>
          <w:rtl/>
        </w:rPr>
        <w:t xml:space="preserve"> </w:t>
      </w:r>
      <w:r w:rsidRPr="00936A8D">
        <w:rPr>
          <w:rFonts w:ascii="Century" w:hAnsi="Century" w:hint="eastAsia"/>
          <w:sz w:val="22"/>
          <w:rtl/>
        </w:rPr>
        <w:t>במתכונתה</w:t>
      </w:r>
      <w:r w:rsidRPr="00936A8D">
        <w:rPr>
          <w:rFonts w:ascii="Century" w:hAnsi="Century"/>
          <w:sz w:val="22"/>
          <w:rtl/>
        </w:rPr>
        <w:t xml:space="preserve"> </w:t>
      </w:r>
      <w:r w:rsidRPr="00936A8D">
        <w:rPr>
          <w:rFonts w:ascii="Century" w:hAnsi="Century" w:hint="eastAsia"/>
          <w:sz w:val="22"/>
          <w:rtl/>
        </w:rPr>
        <w:t>הישנה</w:t>
      </w:r>
      <w:r w:rsidRPr="00936A8D">
        <w:rPr>
          <w:rFonts w:ascii="Century" w:hAnsi="Century"/>
          <w:sz w:val="22"/>
          <w:rtl/>
        </w:rPr>
        <w:t xml:space="preserve"> </w:t>
      </w:r>
      <w:r w:rsidRPr="00936A8D">
        <w:rPr>
          <w:rFonts w:ascii="Century" w:hAnsi="Century" w:hint="eastAsia"/>
          <w:sz w:val="22"/>
          <w:rtl/>
        </w:rPr>
        <w:t>והטובה</w:t>
      </w:r>
      <w:r w:rsidRPr="00936A8D">
        <w:rPr>
          <w:rFonts w:ascii="Century" w:hAnsi="Century"/>
          <w:sz w:val="22"/>
          <w:rtl/>
        </w:rPr>
        <w:t xml:space="preserve">, </w:t>
      </w:r>
      <w:r w:rsidRPr="00936A8D">
        <w:rPr>
          <w:rFonts w:ascii="Century" w:hAnsi="Century" w:hint="eastAsia"/>
          <w:sz w:val="22"/>
          <w:rtl/>
        </w:rPr>
        <w:t>לפני</w:t>
      </w:r>
      <w:r w:rsidRPr="00936A8D">
        <w:rPr>
          <w:rFonts w:ascii="Century" w:hAnsi="Century"/>
          <w:sz w:val="22"/>
          <w:rtl/>
        </w:rPr>
        <w:t xml:space="preserve"> </w:t>
      </w:r>
      <w:r w:rsidRPr="00936A8D">
        <w:rPr>
          <w:rFonts w:ascii="Century" w:hAnsi="Century" w:hint="eastAsia"/>
          <w:sz w:val="22"/>
          <w:rtl/>
        </w:rPr>
        <w:t>ששונתה</w:t>
      </w:r>
      <w:r w:rsidRPr="00936A8D">
        <w:rPr>
          <w:rFonts w:ascii="Century" w:hAnsi="Century"/>
          <w:sz w:val="22"/>
          <w:rtl/>
        </w:rPr>
        <w:t xml:space="preserve"> </w:t>
      </w:r>
      <w:r w:rsidRPr="00936A8D">
        <w:rPr>
          <w:rFonts w:ascii="Century" w:hAnsi="Century" w:hint="eastAsia"/>
          <w:sz w:val="22"/>
          <w:rtl/>
        </w:rPr>
        <w:t>על</w:t>
      </w:r>
      <w:r w:rsidRPr="00936A8D">
        <w:rPr>
          <w:rFonts w:ascii="Century" w:hAnsi="Century"/>
          <w:sz w:val="22"/>
          <w:rtl/>
        </w:rPr>
        <w:t xml:space="preserve"> </w:t>
      </w:r>
      <w:r w:rsidRPr="00936A8D">
        <w:rPr>
          <w:rFonts w:ascii="Century" w:hAnsi="Century" w:hint="eastAsia"/>
          <w:sz w:val="22"/>
          <w:rtl/>
        </w:rPr>
        <w:t>ידי</w:t>
      </w:r>
      <w:r w:rsidRPr="00936A8D">
        <w:rPr>
          <w:rFonts w:ascii="Century" w:hAnsi="Century"/>
          <w:sz w:val="22"/>
          <w:rtl/>
        </w:rPr>
        <w:t xml:space="preserve"> </w:t>
      </w:r>
      <w:r w:rsidRPr="00936A8D">
        <w:rPr>
          <w:rFonts w:ascii="Century" w:hAnsi="Century" w:hint="eastAsia"/>
          <w:sz w:val="22"/>
          <w:rtl/>
        </w:rPr>
        <w:t>נוסחת</w:t>
      </w:r>
      <w:r w:rsidRPr="00936A8D">
        <w:rPr>
          <w:rFonts w:ascii="Century" w:hAnsi="Century"/>
          <w:sz w:val="22"/>
          <w:rtl/>
        </w:rPr>
        <w:t xml:space="preserve"> </w:t>
      </w:r>
      <w:r w:rsidRPr="00936A8D">
        <w:rPr>
          <w:rFonts w:ascii="Century" w:hAnsi="Century" w:cs="Miriam" w:hint="eastAsia"/>
          <w:b/>
          <w:spacing w:val="0"/>
          <w:sz w:val="22"/>
          <w:szCs w:val="24"/>
          <w:rtl/>
        </w:rPr>
        <w:t>דפי</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זהב</w:t>
      </w:r>
      <w:r w:rsidRPr="00936A8D">
        <w:rPr>
          <w:rFonts w:ascii="Century" w:hAnsi="Century"/>
          <w:sz w:val="22"/>
          <w:rtl/>
        </w:rPr>
        <w:t xml:space="preserve">. </w:t>
      </w:r>
    </w:p>
    <w:p w:rsidR="0047626A" w:rsidRPr="00936A8D" w:rsidRDefault="0047626A" w:rsidP="0047626A">
      <w:pPr>
        <w:pStyle w:val="Ruller4"/>
        <w:numPr>
          <w:ilvl w:val="0"/>
          <w:numId w:val="0"/>
        </w:numPr>
        <w:rPr>
          <w:rFonts w:ascii="Century" w:hAnsi="Century"/>
          <w:sz w:val="22"/>
          <w:rtl/>
        </w:rPr>
      </w:pPr>
    </w:p>
    <w:p w:rsidR="0047626A" w:rsidRPr="00936A8D" w:rsidRDefault="0047626A" w:rsidP="0047626A">
      <w:pPr>
        <w:pStyle w:val="Ruller4"/>
        <w:numPr>
          <w:ilvl w:val="0"/>
          <w:numId w:val="0"/>
        </w:numPr>
        <w:rPr>
          <w:rFonts w:ascii="Century" w:hAnsi="Century"/>
          <w:sz w:val="22"/>
        </w:rPr>
      </w:pPr>
      <w:r w:rsidRPr="00936A8D">
        <w:rPr>
          <w:rFonts w:ascii="Century" w:hAnsi="Century"/>
          <w:sz w:val="22"/>
          <w:rtl/>
        </w:rPr>
        <w:tab/>
      </w:r>
      <w:r w:rsidRPr="00936A8D">
        <w:rPr>
          <w:rFonts w:ascii="Century" w:hAnsi="Century" w:hint="eastAsia"/>
          <w:sz w:val="22"/>
          <w:rtl/>
        </w:rPr>
        <w:t>ואלה</w:t>
      </w:r>
      <w:r w:rsidRPr="00936A8D">
        <w:rPr>
          <w:rFonts w:ascii="Century" w:hAnsi="Century"/>
          <w:sz w:val="22"/>
          <w:rtl/>
        </w:rPr>
        <w:t xml:space="preserve"> </w:t>
      </w:r>
      <w:r w:rsidRPr="00936A8D">
        <w:rPr>
          <w:rFonts w:ascii="Century" w:hAnsi="Century" w:hint="eastAsia"/>
          <w:sz w:val="22"/>
          <w:rtl/>
        </w:rPr>
        <w:t>הם</w:t>
      </w:r>
      <w:r w:rsidRPr="00936A8D">
        <w:rPr>
          <w:rFonts w:ascii="Century" w:hAnsi="Century"/>
          <w:sz w:val="22"/>
          <w:rtl/>
        </w:rPr>
        <w:t xml:space="preserve"> </w:t>
      </w:r>
      <w:r w:rsidRPr="00936A8D">
        <w:rPr>
          <w:rFonts w:ascii="Century" w:hAnsi="Century" w:hint="eastAsia"/>
          <w:sz w:val="22"/>
          <w:rtl/>
        </w:rPr>
        <w:t>דברי</w:t>
      </w:r>
      <w:r w:rsidRPr="00936A8D">
        <w:rPr>
          <w:rFonts w:ascii="Century" w:hAnsi="Century"/>
          <w:sz w:val="22"/>
          <w:rtl/>
        </w:rPr>
        <w:t xml:space="preserve"> </w:t>
      </w:r>
      <w:r w:rsidRPr="00936A8D">
        <w:rPr>
          <w:rFonts w:ascii="Century" w:hAnsi="Century" w:hint="eastAsia"/>
          <w:sz w:val="22"/>
          <w:rtl/>
        </w:rPr>
        <w:t>השופט</w:t>
      </w:r>
      <w:r w:rsidRPr="00936A8D">
        <w:rPr>
          <w:rFonts w:ascii="Century" w:hAnsi="Century"/>
          <w:sz w:val="22"/>
          <w:rtl/>
        </w:rPr>
        <w:t xml:space="preserve"> </w:t>
      </w:r>
      <w:r w:rsidRPr="00936A8D">
        <w:rPr>
          <w:rFonts w:ascii="Century" w:hAnsi="Century" w:cs="Miriam" w:hint="eastAsia"/>
          <w:b/>
          <w:spacing w:val="0"/>
          <w:sz w:val="22"/>
          <w:szCs w:val="24"/>
          <w:rtl/>
        </w:rPr>
        <w:t>ברנזון</w:t>
      </w:r>
      <w:r w:rsidRPr="00936A8D">
        <w:rPr>
          <w:rFonts w:ascii="Century" w:hAnsi="Century"/>
          <w:sz w:val="22"/>
          <w:rtl/>
        </w:rPr>
        <w:t xml:space="preserve"> </w:t>
      </w:r>
      <w:r w:rsidRPr="00936A8D">
        <w:rPr>
          <w:rFonts w:ascii="Century" w:hAnsi="Century" w:hint="eastAsia"/>
          <w:sz w:val="22"/>
          <w:rtl/>
        </w:rPr>
        <w:t>בעניין</w:t>
      </w:r>
      <w:r w:rsidRPr="00936A8D">
        <w:rPr>
          <w:rFonts w:ascii="Century" w:hAnsi="Century"/>
          <w:sz w:val="22"/>
          <w:rtl/>
        </w:rPr>
        <w:t xml:space="preserve"> </w:t>
      </w:r>
      <w:r w:rsidRPr="00936A8D">
        <w:rPr>
          <w:rFonts w:ascii="Century" w:hAnsi="Century" w:cs="Miriam" w:hint="eastAsia"/>
          <w:b/>
          <w:spacing w:val="0"/>
          <w:sz w:val="22"/>
          <w:szCs w:val="24"/>
          <w:rtl/>
        </w:rPr>
        <w:t>דיזנגוף</w:t>
      </w:r>
      <w:r w:rsidRPr="00936A8D">
        <w:rPr>
          <w:rFonts w:ascii="Century" w:hAnsi="Century"/>
          <w:sz w:val="22"/>
          <w:rtl/>
        </w:rPr>
        <w:t xml:space="preserve">: </w:t>
      </w:r>
    </w:p>
    <w:p w:rsidR="0047626A" w:rsidRPr="00936A8D" w:rsidRDefault="0047626A" w:rsidP="0047626A">
      <w:pPr>
        <w:pStyle w:val="Ruller4"/>
        <w:numPr>
          <w:ilvl w:val="0"/>
          <w:numId w:val="0"/>
        </w:numPr>
        <w:rPr>
          <w:rFonts w:ascii="Century" w:hAnsi="Century"/>
          <w:sz w:val="22"/>
          <w:rtl/>
        </w:rPr>
      </w:pPr>
      <w:r w:rsidRPr="00936A8D">
        <w:rPr>
          <w:rFonts w:ascii="Century" w:hAnsi="Century"/>
          <w:sz w:val="22"/>
          <w:rtl/>
        </w:rPr>
        <w:t xml:space="preserve"> </w:t>
      </w:r>
    </w:p>
    <w:p w:rsidR="0047626A" w:rsidRPr="00936A8D" w:rsidRDefault="0047626A" w:rsidP="0047626A">
      <w:pPr>
        <w:pStyle w:val="Ruller5"/>
        <w:rPr>
          <w:rFonts w:cs="Arial TUR"/>
          <w:szCs w:val="22"/>
          <w:rtl/>
        </w:rPr>
      </w:pPr>
      <w:r w:rsidRPr="00936A8D">
        <w:rPr>
          <w:rtl/>
        </w:rPr>
        <w:t>"עניני הסבירות והחריגה מהסמכות כרוכים [...] זה אחר זה [...]. ובכן, קשה להבדיל באופן מהותי בין מבחן הסבירות לבין המבחנים האחרים המקובלים לפסילת אקט מינהלי כמו חוסר-תום-לב, נקיטת שיקולים בלתי כשרים, השגת מטרה זרה לענין, וכו', שכולם אינם אלא צורות שונות לבדיקת ענין החריגה מסמכות. ייתכן שהשם המשותף היאה לכל הסוגים האלה של חריגה מסמכות הוא 'עיוות הסמכות', מה שנקרא בפי הצרפתים </w:t>
      </w:r>
      <w:r w:rsidRPr="00936A8D">
        <w:rPr>
          <w:rFonts w:asciiTheme="majorBidi" w:hAnsiTheme="majorBidi" w:cstheme="majorBidi"/>
          <w:sz w:val="24"/>
          <w:szCs w:val="24"/>
        </w:rPr>
        <w:t>détournement de pouvoir</w:t>
      </w:r>
      <w:r w:rsidRPr="00936A8D">
        <w:rPr>
          <w:rtl/>
        </w:rPr>
        <w:t> </w:t>
      </w:r>
      <w:r w:rsidRPr="00936A8D">
        <w:rPr>
          <w:rFonts w:hint="eastAsia"/>
          <w:rtl/>
        </w:rPr>
        <w:t>ובפי</w:t>
      </w:r>
      <w:r w:rsidRPr="00936A8D">
        <w:rPr>
          <w:rtl/>
        </w:rPr>
        <w:t xml:space="preserve"> </w:t>
      </w:r>
      <w:r w:rsidRPr="00936A8D">
        <w:rPr>
          <w:rFonts w:hint="eastAsia"/>
          <w:rtl/>
        </w:rPr>
        <w:t>האנגלים </w:t>
      </w:r>
      <w:r w:rsidRPr="00936A8D">
        <w:rPr>
          <w:rFonts w:asciiTheme="majorBidi" w:hAnsiTheme="majorBidi" w:cstheme="majorBidi"/>
          <w:sz w:val="24"/>
          <w:szCs w:val="24"/>
        </w:rPr>
        <w:t>abuse of power</w:t>
      </w:r>
      <w:r w:rsidRPr="00936A8D">
        <w:rPr>
          <w:rtl/>
        </w:rPr>
        <w:t xml:space="preserve"> [...]". (ראו: </w:t>
      </w:r>
      <w:r w:rsidRPr="008E0586">
        <w:rPr>
          <w:rFonts w:ascii="Century" w:hAnsi="Century" w:cs="Miriam"/>
          <w:b/>
          <w:spacing w:val="0"/>
          <w:szCs w:val="24"/>
          <w:rtl/>
        </w:rPr>
        <w:t>שם</w:t>
      </w:r>
      <w:r w:rsidRPr="00936A8D">
        <w:rPr>
          <w:rtl/>
        </w:rPr>
        <w:t>, בעמ' 1038-1037).</w:t>
      </w:r>
    </w:p>
    <w:p w:rsidR="0047626A" w:rsidRPr="00936A8D" w:rsidRDefault="0047626A" w:rsidP="0047626A">
      <w:pPr>
        <w:rPr>
          <w:rFonts w:ascii="Arial" w:hAnsi="Arial" w:cs="Arial"/>
          <w:rtl/>
        </w:rPr>
      </w:pPr>
    </w:p>
    <w:p w:rsidR="0047626A" w:rsidRDefault="0047626A" w:rsidP="0047626A">
      <w:pPr>
        <w:pStyle w:val="Ruller4"/>
      </w:pPr>
      <w:r>
        <w:rPr>
          <w:rFonts w:hint="cs"/>
          <w:rtl/>
        </w:rPr>
        <w:t xml:space="preserve">החלטתי לאמץ את הגישה הראייתית לדוקטרינת הסבירות נבעה לא רק מיתרונותיה ככלי עבודה שיפוטי שמאפשר ביקורת שיפוטית יעילה על החלטות רשות שלטונית במצבים של אי-ודאות באשר למה שמסתתר מאחורי החלטת הרשות. החלטתי זו נבעה מסיבה נוספת, והיא: </w:t>
      </w:r>
      <w:r w:rsidRPr="006A6374">
        <w:rPr>
          <w:rFonts w:ascii="Century" w:hAnsi="Century" w:cs="Miriam" w:hint="cs"/>
          <w:b/>
          <w:spacing w:val="0"/>
          <w:sz w:val="22"/>
          <w:szCs w:val="24"/>
          <w:rtl/>
        </w:rPr>
        <w:t>שלילתה של דוקטרינת הסבירות במתכונת של "המשפט זה אני"</w:t>
      </w:r>
      <w:r>
        <w:rPr>
          <w:rFonts w:hint="cs"/>
          <w:rtl/>
        </w:rPr>
        <w:t xml:space="preserve">. כאשר בית משפט מפעיל את נוסחת </w:t>
      </w:r>
      <w:r w:rsidRPr="003C0F76">
        <w:rPr>
          <w:rFonts w:ascii="Century" w:hAnsi="Century" w:cs="Miriam" w:hint="cs"/>
          <w:b/>
          <w:spacing w:val="0"/>
          <w:sz w:val="22"/>
          <w:szCs w:val="24"/>
          <w:rtl/>
        </w:rPr>
        <w:t>דפי זהב</w:t>
      </w:r>
      <w:r>
        <w:rPr>
          <w:rFonts w:hint="cs"/>
          <w:rtl/>
        </w:rPr>
        <w:t xml:space="preserve"> וקובע כי הרשות סטתה במידה קיצונית </w:t>
      </w:r>
      <w:r>
        <w:rPr>
          <w:rtl/>
        </w:rPr>
        <w:t>–</w:t>
      </w:r>
      <w:r>
        <w:rPr>
          <w:rFonts w:hint="cs"/>
          <w:rtl/>
        </w:rPr>
        <w:t xml:space="preserve"> כלפי מעלה או כלפי מטה </w:t>
      </w:r>
      <w:r>
        <w:rPr>
          <w:rtl/>
        </w:rPr>
        <w:t>–</w:t>
      </w:r>
      <w:r>
        <w:rPr>
          <w:rFonts w:hint="cs"/>
          <w:rtl/>
        </w:rPr>
        <w:t xml:space="preserve"> במתן משקל יחסי לאחד השיקולים ששקלה, הוא גם קובע, מניה וביה, עמדה ערכית באשר למשקלו הראוי של אותו שיקול. לטעמי, קביעתו של משקל ראוי כאמור היא עניינה הבלעדי של הרשות, ולא עניינו של בית המשפט, ועל כן היא חורגת מגבולות המותר בביקורת שיפוטית על החלטות השלטון. מסיבה זו, הנוסחה של </w:t>
      </w:r>
      <w:r w:rsidRPr="003C0F76">
        <w:rPr>
          <w:rFonts w:ascii="Century" w:hAnsi="Century" w:cs="Miriam" w:hint="cs"/>
          <w:b/>
          <w:spacing w:val="0"/>
          <w:sz w:val="22"/>
          <w:szCs w:val="24"/>
          <w:rtl/>
        </w:rPr>
        <w:t>דפי זהב</w:t>
      </w:r>
      <w:r>
        <w:rPr>
          <w:rFonts w:hint="cs"/>
          <w:rtl/>
        </w:rPr>
        <w:t xml:space="preserve">, אשר הרחיבה את דוקטרינת הסבירות המקורית </w:t>
      </w:r>
      <w:r>
        <w:rPr>
          <w:rtl/>
        </w:rPr>
        <w:t>–</w:t>
      </w:r>
      <w:r>
        <w:rPr>
          <w:rFonts w:hint="cs"/>
          <w:rtl/>
        </w:rPr>
        <w:t xml:space="preserve"> כפי שאומצה במשפטנו בפסק הדין בעניין </w:t>
      </w:r>
      <w:r w:rsidRPr="003C0F76">
        <w:rPr>
          <w:rFonts w:ascii="Century" w:hAnsi="Century" w:cs="Miriam" w:hint="cs"/>
          <w:b/>
          <w:spacing w:val="0"/>
          <w:sz w:val="22"/>
          <w:szCs w:val="24"/>
          <w:rtl/>
        </w:rPr>
        <w:t>דיזנגוף</w:t>
      </w:r>
      <w:r>
        <w:rPr>
          <w:rFonts w:hint="cs"/>
          <w:rtl/>
        </w:rPr>
        <w:t xml:space="preserve"> </w:t>
      </w:r>
      <w:r>
        <w:rPr>
          <w:rtl/>
        </w:rPr>
        <w:t>–</w:t>
      </w:r>
      <w:r>
        <w:rPr>
          <w:rFonts w:hint="cs"/>
          <w:rtl/>
        </w:rPr>
        <w:t xml:space="preserve"> אינה מקובלת עלי ועל חברי, השופט </w:t>
      </w:r>
      <w:r w:rsidRPr="003C0F76">
        <w:rPr>
          <w:rFonts w:ascii="Century" w:hAnsi="Century" w:cs="Miriam" w:hint="cs"/>
          <w:b/>
          <w:spacing w:val="0"/>
          <w:sz w:val="22"/>
          <w:szCs w:val="24"/>
          <w:rtl/>
        </w:rPr>
        <w:t>סולברג</w:t>
      </w:r>
      <w:r>
        <w:rPr>
          <w:rFonts w:hint="cs"/>
          <w:rtl/>
        </w:rPr>
        <w:t xml:space="preserve">. </w:t>
      </w:r>
    </w:p>
    <w:p w:rsidR="0047626A" w:rsidRDefault="0047626A" w:rsidP="0047626A">
      <w:pPr>
        <w:pStyle w:val="Ruller4"/>
        <w:numPr>
          <w:ilvl w:val="0"/>
          <w:numId w:val="0"/>
        </w:numPr>
      </w:pPr>
    </w:p>
    <w:p w:rsidR="0047626A" w:rsidRDefault="0047626A" w:rsidP="0047626A">
      <w:pPr>
        <w:pStyle w:val="Ruller4"/>
      </w:pPr>
      <w:r>
        <w:rPr>
          <w:rFonts w:hint="cs"/>
          <w:rtl/>
        </w:rPr>
        <w:t xml:space="preserve">בעניין אחרון זה, השופט </w:t>
      </w:r>
      <w:r w:rsidRPr="003C0F76">
        <w:rPr>
          <w:rFonts w:ascii="Century" w:hAnsi="Century" w:cs="Miriam" w:hint="cs"/>
          <w:b/>
          <w:spacing w:val="0"/>
          <w:sz w:val="22"/>
          <w:szCs w:val="24"/>
          <w:rtl/>
        </w:rPr>
        <w:t>סולברג</w:t>
      </w:r>
      <w:r>
        <w:rPr>
          <w:rFonts w:hint="cs"/>
          <w:rtl/>
        </w:rPr>
        <w:t xml:space="preserve"> ואנוכי נשארנו בדעת מיעוט, ופסיקותינו לא היו לחלק מהדין הישראלי הנוהג </w:t>
      </w:r>
      <w:r>
        <w:rPr>
          <w:rtl/>
        </w:rPr>
        <w:t>–</w:t>
      </w:r>
      <w:r>
        <w:rPr>
          <w:rFonts w:hint="cs"/>
          <w:rtl/>
        </w:rPr>
        <w:t xml:space="preserve"> לפחות עד לחקיקת ההוראה נושא דיוננו.</w:t>
      </w:r>
    </w:p>
    <w:p w:rsidR="0047626A" w:rsidRPr="003C0F76" w:rsidRDefault="0047626A" w:rsidP="0047626A">
      <w:pPr>
        <w:pStyle w:val="Ruller4"/>
        <w:numPr>
          <w:ilvl w:val="0"/>
          <w:numId w:val="0"/>
        </w:numPr>
      </w:pPr>
    </w:p>
    <w:p w:rsidR="0047626A" w:rsidRPr="00936A8D" w:rsidRDefault="0047626A" w:rsidP="0047626A">
      <w:pPr>
        <w:pStyle w:val="Ruller4"/>
      </w:pPr>
      <w:r w:rsidRPr="00936A8D">
        <w:rPr>
          <w:rFonts w:hint="eastAsia"/>
          <w:rtl/>
        </w:rPr>
        <w:t>הדין</w:t>
      </w:r>
      <w:r w:rsidRPr="00936A8D">
        <w:rPr>
          <w:rtl/>
        </w:rPr>
        <w:t xml:space="preserve"> </w:t>
      </w:r>
      <w:r w:rsidRPr="00936A8D">
        <w:rPr>
          <w:rFonts w:hint="eastAsia"/>
          <w:rtl/>
        </w:rPr>
        <w:t>האנגלי</w:t>
      </w:r>
      <w:r w:rsidRPr="00936A8D">
        <w:rPr>
          <w:rtl/>
        </w:rPr>
        <w:t xml:space="preserve">, </w:t>
      </w:r>
      <w:r w:rsidRPr="00936A8D">
        <w:rPr>
          <w:rFonts w:hint="eastAsia"/>
          <w:rtl/>
        </w:rPr>
        <w:t>ממנו</w:t>
      </w:r>
      <w:r w:rsidRPr="00936A8D">
        <w:rPr>
          <w:rtl/>
        </w:rPr>
        <w:t xml:space="preserve"> </w:t>
      </w:r>
      <w:r w:rsidRPr="00936A8D">
        <w:rPr>
          <w:rFonts w:hint="eastAsia"/>
          <w:rtl/>
        </w:rPr>
        <w:t>שאבנו</w:t>
      </w:r>
      <w:r w:rsidRPr="00936A8D">
        <w:rPr>
          <w:rtl/>
        </w:rPr>
        <w:t xml:space="preserve"> </w:t>
      </w:r>
      <w:r w:rsidRPr="00936A8D">
        <w:rPr>
          <w:rFonts w:hint="eastAsia"/>
          <w:rtl/>
        </w:rPr>
        <w:t>את</w:t>
      </w:r>
      <w:r w:rsidRPr="00936A8D">
        <w:rPr>
          <w:rtl/>
        </w:rPr>
        <w:t xml:space="preserve"> </w:t>
      </w:r>
      <w:r w:rsidRPr="00936A8D">
        <w:rPr>
          <w:rFonts w:hint="eastAsia"/>
          <w:rtl/>
        </w:rPr>
        <w:t>דוקטרינת</w:t>
      </w:r>
      <w:r w:rsidRPr="00936A8D">
        <w:rPr>
          <w:rtl/>
        </w:rPr>
        <w:t xml:space="preserve"> </w:t>
      </w:r>
      <w:r w:rsidRPr="00936A8D">
        <w:rPr>
          <w:rFonts w:hint="eastAsia"/>
          <w:rtl/>
        </w:rPr>
        <w:t>הסבירות</w:t>
      </w:r>
      <w:r w:rsidRPr="00936A8D">
        <w:rPr>
          <w:rtl/>
        </w:rPr>
        <w:t xml:space="preserve"> </w:t>
      </w:r>
      <w:r w:rsidRPr="00936A8D">
        <w:rPr>
          <w:rFonts w:hint="eastAsia"/>
          <w:rtl/>
        </w:rPr>
        <w:t>המקורית</w:t>
      </w:r>
      <w:r w:rsidRPr="00936A8D">
        <w:rPr>
          <w:rtl/>
        </w:rPr>
        <w:t xml:space="preserve">, </w:t>
      </w:r>
      <w:r w:rsidRPr="00936A8D">
        <w:rPr>
          <w:rFonts w:hint="eastAsia"/>
          <w:rtl/>
        </w:rPr>
        <w:t>קובע</w:t>
      </w:r>
      <w:r w:rsidRPr="00936A8D">
        <w:rPr>
          <w:rtl/>
        </w:rPr>
        <w:t xml:space="preserve"> </w:t>
      </w:r>
      <w:r w:rsidRPr="00936A8D">
        <w:rPr>
          <w:rFonts w:hint="eastAsia"/>
          <w:rtl/>
        </w:rPr>
        <w:t>דברים</w:t>
      </w:r>
      <w:r w:rsidRPr="00936A8D">
        <w:rPr>
          <w:rtl/>
        </w:rPr>
        <w:t xml:space="preserve"> </w:t>
      </w:r>
      <w:r w:rsidRPr="00936A8D">
        <w:rPr>
          <w:rFonts w:hint="eastAsia"/>
          <w:rtl/>
        </w:rPr>
        <w:t>דומים</w:t>
      </w:r>
      <w:r w:rsidRPr="00936A8D">
        <w:rPr>
          <w:rtl/>
        </w:rPr>
        <w:t xml:space="preserve">. </w:t>
      </w:r>
      <w:r w:rsidRPr="00936A8D">
        <w:rPr>
          <w:rFonts w:hint="eastAsia"/>
          <w:rtl/>
        </w:rPr>
        <w:t>דין</w:t>
      </w:r>
      <w:r w:rsidRPr="00936A8D">
        <w:rPr>
          <w:rtl/>
        </w:rPr>
        <w:t xml:space="preserve"> </w:t>
      </w:r>
      <w:r w:rsidRPr="00936A8D">
        <w:rPr>
          <w:rFonts w:hint="eastAsia"/>
          <w:rtl/>
        </w:rPr>
        <w:t>זה</w:t>
      </w:r>
      <w:r w:rsidRPr="00936A8D">
        <w:rPr>
          <w:rtl/>
        </w:rPr>
        <w:t xml:space="preserve"> </w:t>
      </w:r>
      <w:r w:rsidRPr="00936A8D">
        <w:rPr>
          <w:rFonts w:hint="eastAsia"/>
          <w:rtl/>
        </w:rPr>
        <w:t>נוסד</w:t>
      </w:r>
      <w:r w:rsidRPr="00936A8D">
        <w:rPr>
          <w:rtl/>
        </w:rPr>
        <w:t xml:space="preserve"> </w:t>
      </w:r>
      <w:r w:rsidRPr="00936A8D">
        <w:rPr>
          <w:rFonts w:hint="eastAsia"/>
          <w:rtl/>
        </w:rPr>
        <w:t>בהלכת</w:t>
      </w:r>
      <w:r w:rsidRPr="00936A8D">
        <w:rPr>
          <w:rtl/>
        </w:rPr>
        <w:t xml:space="preserve"> </w:t>
      </w:r>
      <w:r w:rsidRPr="00936A8D">
        <w:rPr>
          <w:rFonts w:ascii="Century" w:hAnsi="Century" w:cs="Miriam" w:hint="eastAsia"/>
          <w:b/>
          <w:spacing w:val="0"/>
          <w:sz w:val="22"/>
          <w:szCs w:val="24"/>
          <w:rtl/>
        </w:rPr>
        <w:t>ונסבורי</w:t>
      </w:r>
      <w:r w:rsidRPr="00936A8D">
        <w:rPr>
          <w:rtl/>
        </w:rPr>
        <w:t xml:space="preserve"> </w:t>
      </w:r>
      <w:r w:rsidRPr="00936A8D">
        <w:rPr>
          <w:rFonts w:hint="eastAsia"/>
          <w:rtl/>
        </w:rPr>
        <w:t>הידועה</w:t>
      </w:r>
      <w:r w:rsidRPr="00936A8D">
        <w:rPr>
          <w:rtl/>
        </w:rPr>
        <w:t xml:space="preserve">: </w:t>
      </w:r>
      <w:r w:rsidRPr="00936A8D">
        <w:rPr>
          <w:rFonts w:asciiTheme="majorBidi" w:hAnsiTheme="majorBidi" w:cstheme="majorBidi"/>
        </w:rPr>
        <w:t>Associated Provincial Picture Houses Ltd. v. Wednesbury Corp. [1948] 1 K.B. 223</w:t>
      </w:r>
      <w:r w:rsidRPr="00936A8D">
        <w:rPr>
          <w:rFonts w:asciiTheme="majorBidi" w:hAnsiTheme="majorBidi" w:cstheme="majorBidi"/>
          <w:rtl/>
        </w:rPr>
        <w:t xml:space="preserve">. </w:t>
      </w:r>
      <w:r w:rsidRPr="00936A8D">
        <w:rPr>
          <w:rFonts w:hint="eastAsia"/>
          <w:rtl/>
        </w:rPr>
        <w:t>הלכת</w:t>
      </w:r>
      <w:r w:rsidRPr="00936A8D">
        <w:rPr>
          <w:rtl/>
        </w:rPr>
        <w:t xml:space="preserve"> </w:t>
      </w:r>
      <w:r w:rsidRPr="00936A8D">
        <w:rPr>
          <w:rFonts w:ascii="Century" w:hAnsi="Century" w:cs="Miriam" w:hint="eastAsia"/>
          <w:b/>
          <w:spacing w:val="0"/>
          <w:sz w:val="22"/>
          <w:szCs w:val="24"/>
          <w:rtl/>
        </w:rPr>
        <w:t>ונסבורי</w:t>
      </w:r>
      <w:r w:rsidRPr="00936A8D">
        <w:rPr>
          <w:rtl/>
        </w:rPr>
        <w:t xml:space="preserve"> </w:t>
      </w:r>
      <w:r w:rsidRPr="00936A8D">
        <w:rPr>
          <w:rFonts w:hint="eastAsia"/>
          <w:rtl/>
        </w:rPr>
        <w:t>קבעה</w:t>
      </w:r>
      <w:r w:rsidRPr="00936A8D">
        <w:rPr>
          <w:rtl/>
        </w:rPr>
        <w:t xml:space="preserve"> </w:t>
      </w:r>
      <w:r w:rsidRPr="00936A8D">
        <w:rPr>
          <w:rFonts w:hint="eastAsia"/>
          <w:rtl/>
        </w:rPr>
        <w:t>כי</w:t>
      </w:r>
      <w:r w:rsidRPr="00936A8D">
        <w:rPr>
          <w:rtl/>
        </w:rPr>
        <w:t xml:space="preserve"> </w:t>
      </w:r>
      <w:r w:rsidRPr="00936A8D">
        <w:rPr>
          <w:rFonts w:hint="eastAsia"/>
          <w:rtl/>
        </w:rPr>
        <w:t>החלטת</w:t>
      </w:r>
      <w:r w:rsidRPr="00936A8D">
        <w:rPr>
          <w:rtl/>
        </w:rPr>
        <w:t xml:space="preserve"> </w:t>
      </w:r>
      <w:r w:rsidRPr="00936A8D">
        <w:rPr>
          <w:rFonts w:hint="eastAsia"/>
          <w:rtl/>
        </w:rPr>
        <w:t>רשות</w:t>
      </w:r>
      <w:r w:rsidRPr="00936A8D">
        <w:rPr>
          <w:rtl/>
        </w:rPr>
        <w:t xml:space="preserve"> </w:t>
      </w:r>
      <w:r w:rsidRPr="00936A8D">
        <w:rPr>
          <w:rFonts w:hint="eastAsia"/>
          <w:rtl/>
        </w:rPr>
        <w:t>יורדת</w:t>
      </w:r>
      <w:r w:rsidRPr="00936A8D">
        <w:rPr>
          <w:rtl/>
        </w:rPr>
        <w:t xml:space="preserve"> </w:t>
      </w:r>
      <w:r w:rsidRPr="00936A8D">
        <w:rPr>
          <w:rFonts w:hint="eastAsia"/>
          <w:rtl/>
        </w:rPr>
        <w:t>למצולותיה</w:t>
      </w:r>
      <w:r w:rsidRPr="00936A8D">
        <w:rPr>
          <w:rtl/>
        </w:rPr>
        <w:t xml:space="preserve"> </w:t>
      </w:r>
      <w:r w:rsidRPr="00936A8D">
        <w:rPr>
          <w:rFonts w:hint="eastAsia"/>
          <w:rtl/>
        </w:rPr>
        <w:t>של</w:t>
      </w:r>
      <w:r w:rsidRPr="00936A8D">
        <w:rPr>
          <w:rtl/>
        </w:rPr>
        <w:t xml:space="preserve"> </w:t>
      </w:r>
      <w:r w:rsidRPr="00936A8D">
        <w:rPr>
          <w:rFonts w:hint="eastAsia"/>
          <w:rtl/>
        </w:rPr>
        <w:t>אי</w:t>
      </w:r>
      <w:r w:rsidRPr="00936A8D">
        <w:rPr>
          <w:rtl/>
        </w:rPr>
        <w:t>-</w:t>
      </w:r>
      <w:r w:rsidRPr="00936A8D">
        <w:rPr>
          <w:rFonts w:hint="eastAsia"/>
          <w:rtl/>
        </w:rPr>
        <w:t>סבירות</w:t>
      </w:r>
      <w:r w:rsidRPr="00936A8D">
        <w:rPr>
          <w:rtl/>
        </w:rPr>
        <w:t xml:space="preserve"> </w:t>
      </w:r>
      <w:r w:rsidRPr="00936A8D">
        <w:rPr>
          <w:rFonts w:hint="eastAsia"/>
          <w:rtl/>
        </w:rPr>
        <w:t>קיצונית</w:t>
      </w:r>
      <w:r w:rsidRPr="00936A8D">
        <w:rPr>
          <w:rtl/>
        </w:rPr>
        <w:t xml:space="preserve"> </w:t>
      </w:r>
      <w:r w:rsidRPr="00936A8D">
        <w:rPr>
          <w:rFonts w:hint="eastAsia"/>
          <w:rtl/>
        </w:rPr>
        <w:t>בהתקיים</w:t>
      </w:r>
      <w:r w:rsidRPr="00936A8D">
        <w:rPr>
          <w:rtl/>
        </w:rPr>
        <w:t xml:space="preserve"> </w:t>
      </w:r>
      <w:r w:rsidRPr="00936A8D">
        <w:rPr>
          <w:rFonts w:hint="eastAsia"/>
          <w:rtl/>
        </w:rPr>
        <w:t>נסיבות</w:t>
      </w:r>
      <w:r w:rsidRPr="00936A8D">
        <w:rPr>
          <w:rtl/>
        </w:rPr>
        <w:t xml:space="preserve"> </w:t>
      </w:r>
      <w:r w:rsidRPr="00936A8D">
        <w:rPr>
          <w:rFonts w:hint="eastAsia"/>
          <w:rtl/>
        </w:rPr>
        <w:t>שמטילות</w:t>
      </w:r>
      <w:r w:rsidRPr="00936A8D">
        <w:rPr>
          <w:rtl/>
        </w:rPr>
        <w:t xml:space="preserve"> </w:t>
      </w:r>
      <w:r w:rsidRPr="00936A8D">
        <w:rPr>
          <w:rFonts w:hint="eastAsia"/>
          <w:rtl/>
        </w:rPr>
        <w:t>עליה</w:t>
      </w:r>
      <w:r w:rsidRPr="00936A8D">
        <w:rPr>
          <w:rtl/>
        </w:rPr>
        <w:t xml:space="preserve"> </w:t>
      </w:r>
      <w:r w:rsidRPr="00936A8D">
        <w:rPr>
          <w:rFonts w:hint="eastAsia"/>
          <w:rtl/>
        </w:rPr>
        <w:t>דופי</w:t>
      </w:r>
      <w:r w:rsidRPr="00936A8D">
        <w:rPr>
          <w:rtl/>
        </w:rPr>
        <w:t xml:space="preserve"> </w:t>
      </w:r>
      <w:r w:rsidRPr="00936A8D">
        <w:rPr>
          <w:rFonts w:hint="eastAsia"/>
          <w:rtl/>
        </w:rPr>
        <w:t>ברמה</w:t>
      </w:r>
      <w:r w:rsidRPr="00936A8D">
        <w:rPr>
          <w:rtl/>
        </w:rPr>
        <w:t xml:space="preserve"> </w:t>
      </w:r>
      <w:r w:rsidRPr="00936A8D">
        <w:rPr>
          <w:rFonts w:hint="eastAsia"/>
          <w:rtl/>
        </w:rPr>
        <w:t>של</w:t>
      </w:r>
      <w:r w:rsidRPr="00936A8D">
        <w:rPr>
          <w:rtl/>
        </w:rPr>
        <w:t xml:space="preserve"> </w:t>
      </w:r>
      <w:r w:rsidRPr="00936A8D">
        <w:rPr>
          <w:rFonts w:asciiTheme="majorBidi" w:hAnsiTheme="majorBidi" w:cstheme="majorBidi"/>
        </w:rPr>
        <w:lastRenderedPageBreak/>
        <w:t>"something overwhelming"</w:t>
      </w:r>
      <w:r w:rsidRPr="00936A8D">
        <w:rPr>
          <w:rtl/>
        </w:rPr>
        <w:t xml:space="preserve"> (</w:t>
      </w:r>
      <w:r w:rsidRPr="008E0586">
        <w:rPr>
          <w:rFonts w:ascii="Century" w:hAnsi="Century" w:hint="eastAsia"/>
          <w:sz w:val="22"/>
          <w:rtl/>
        </w:rPr>
        <w:t>ראו</w:t>
      </w:r>
      <w:r w:rsidRPr="008E0586">
        <w:rPr>
          <w:rFonts w:ascii="Century" w:hAnsi="Century"/>
          <w:sz w:val="22"/>
          <w:rtl/>
        </w:rPr>
        <w:t xml:space="preserve">: </w:t>
      </w:r>
      <w:r w:rsidRPr="008E0586">
        <w:rPr>
          <w:rFonts w:ascii="Century" w:hAnsi="Century" w:cs="Miriam" w:hint="eastAsia"/>
          <w:b/>
          <w:spacing w:val="0"/>
          <w:sz w:val="22"/>
          <w:szCs w:val="24"/>
          <w:rtl/>
        </w:rPr>
        <w:t>שם</w:t>
      </w:r>
      <w:r w:rsidRPr="00936A8D">
        <w:rPr>
          <w:rtl/>
        </w:rPr>
        <w:t xml:space="preserve">, </w:t>
      </w:r>
      <w:r w:rsidRPr="00936A8D">
        <w:rPr>
          <w:rFonts w:hint="eastAsia"/>
          <w:rtl/>
        </w:rPr>
        <w:t>בעמ</w:t>
      </w:r>
      <w:r w:rsidRPr="00936A8D">
        <w:rPr>
          <w:rtl/>
        </w:rPr>
        <w:t>' 229) – "</w:t>
      </w:r>
      <w:r w:rsidRPr="00936A8D">
        <w:rPr>
          <w:rFonts w:hint="eastAsia"/>
          <w:rtl/>
        </w:rPr>
        <w:t>מוחץ</w:t>
      </w:r>
      <w:r w:rsidRPr="00936A8D">
        <w:rPr>
          <w:rtl/>
        </w:rPr>
        <w:t xml:space="preserve">", </w:t>
      </w:r>
      <w:r w:rsidRPr="00936A8D">
        <w:rPr>
          <w:rFonts w:hint="eastAsia"/>
          <w:rtl/>
        </w:rPr>
        <w:t>לפי</w:t>
      </w:r>
      <w:r w:rsidRPr="00936A8D">
        <w:rPr>
          <w:rtl/>
        </w:rPr>
        <w:t xml:space="preserve"> </w:t>
      </w:r>
      <w:r w:rsidRPr="00936A8D">
        <w:rPr>
          <w:rFonts w:hint="eastAsia"/>
          <w:rtl/>
        </w:rPr>
        <w:t>מינוחו</w:t>
      </w:r>
      <w:r w:rsidRPr="00936A8D">
        <w:rPr>
          <w:rtl/>
        </w:rPr>
        <w:t xml:space="preserve"> </w:t>
      </w:r>
      <w:r w:rsidRPr="00936A8D">
        <w:rPr>
          <w:rFonts w:hint="eastAsia"/>
          <w:rtl/>
        </w:rPr>
        <w:t>של</w:t>
      </w:r>
      <w:r w:rsidRPr="00936A8D">
        <w:rPr>
          <w:rtl/>
        </w:rPr>
        <w:t xml:space="preserve"> </w:t>
      </w:r>
      <w:r w:rsidRPr="00936A8D">
        <w:rPr>
          <w:rFonts w:hint="eastAsia"/>
          <w:rtl/>
        </w:rPr>
        <w:t>השופט</w:t>
      </w:r>
      <w:r w:rsidRPr="00936A8D">
        <w:rPr>
          <w:rtl/>
        </w:rPr>
        <w:t xml:space="preserve"> </w:t>
      </w:r>
      <w:r w:rsidRPr="00936A8D">
        <w:rPr>
          <w:rFonts w:ascii="Century" w:hAnsi="Century" w:cs="Miriam" w:hint="eastAsia"/>
          <w:b/>
          <w:spacing w:val="0"/>
          <w:sz w:val="22"/>
          <w:szCs w:val="24"/>
          <w:rtl/>
        </w:rPr>
        <w:t>סולברג</w:t>
      </w:r>
      <w:r w:rsidRPr="00936A8D">
        <w:rPr>
          <w:rtl/>
        </w:rPr>
        <w:t xml:space="preserve">. </w:t>
      </w:r>
      <w:r w:rsidRPr="00936A8D">
        <w:rPr>
          <w:rFonts w:hint="eastAsia"/>
          <w:rtl/>
        </w:rPr>
        <w:t>נסיבות</w:t>
      </w:r>
      <w:r w:rsidRPr="00936A8D">
        <w:rPr>
          <w:rtl/>
        </w:rPr>
        <w:t>-</w:t>
      </w:r>
      <w:r w:rsidRPr="00936A8D">
        <w:rPr>
          <w:rFonts w:hint="eastAsia"/>
          <w:rtl/>
        </w:rPr>
        <w:t>קצה</w:t>
      </w:r>
      <w:r w:rsidRPr="00936A8D">
        <w:rPr>
          <w:rtl/>
        </w:rPr>
        <w:t xml:space="preserve"> </w:t>
      </w:r>
      <w:r w:rsidRPr="00936A8D">
        <w:rPr>
          <w:rFonts w:hint="eastAsia"/>
          <w:rtl/>
        </w:rPr>
        <w:t>כאמור</w:t>
      </w:r>
      <w:r w:rsidRPr="00936A8D">
        <w:rPr>
          <w:rtl/>
        </w:rPr>
        <w:t xml:space="preserve"> </w:t>
      </w:r>
      <w:r w:rsidRPr="00936A8D">
        <w:rPr>
          <w:rFonts w:hint="eastAsia"/>
          <w:rtl/>
        </w:rPr>
        <w:t>נמשלו</w:t>
      </w:r>
      <w:r w:rsidRPr="00936A8D">
        <w:rPr>
          <w:rtl/>
        </w:rPr>
        <w:t xml:space="preserve"> </w:t>
      </w:r>
      <w:r w:rsidRPr="00936A8D">
        <w:rPr>
          <w:rFonts w:hint="eastAsia"/>
          <w:rtl/>
        </w:rPr>
        <w:t>על</w:t>
      </w:r>
      <w:r w:rsidRPr="00936A8D">
        <w:rPr>
          <w:rtl/>
        </w:rPr>
        <w:t xml:space="preserve"> </w:t>
      </w:r>
      <w:r w:rsidRPr="00936A8D">
        <w:rPr>
          <w:rFonts w:hint="eastAsia"/>
          <w:rtl/>
        </w:rPr>
        <w:t>ידי</w:t>
      </w:r>
      <w:r w:rsidRPr="00936A8D">
        <w:rPr>
          <w:rtl/>
        </w:rPr>
        <w:t xml:space="preserve"> </w:t>
      </w:r>
      <w:r w:rsidRPr="00936A8D">
        <w:rPr>
          <w:rFonts w:hint="eastAsia"/>
          <w:rtl/>
        </w:rPr>
        <w:t>המלומד</w:t>
      </w:r>
      <w:r w:rsidRPr="00936A8D">
        <w:rPr>
          <w:rtl/>
        </w:rPr>
        <w:t xml:space="preserve"> </w:t>
      </w:r>
      <w:r w:rsidRPr="00936A8D">
        <w:rPr>
          <w:rFonts w:hint="eastAsia"/>
          <w:rtl/>
        </w:rPr>
        <w:t>סטנלי</w:t>
      </w:r>
      <w:r w:rsidRPr="00936A8D">
        <w:rPr>
          <w:rtl/>
        </w:rPr>
        <w:t xml:space="preserve"> </w:t>
      </w:r>
      <w:r w:rsidRPr="00936A8D">
        <w:rPr>
          <w:rFonts w:hint="eastAsia"/>
          <w:rtl/>
        </w:rPr>
        <w:t>דה</w:t>
      </w:r>
      <w:r w:rsidRPr="00936A8D">
        <w:rPr>
          <w:rtl/>
        </w:rPr>
        <w:t>-</w:t>
      </w:r>
      <w:r w:rsidRPr="00936A8D">
        <w:rPr>
          <w:rFonts w:hint="eastAsia"/>
          <w:rtl/>
        </w:rPr>
        <w:t>סמית</w:t>
      </w:r>
      <w:r w:rsidRPr="00936A8D">
        <w:rPr>
          <w:rtl/>
        </w:rPr>
        <w:t xml:space="preserve">, </w:t>
      </w:r>
      <w:r w:rsidRPr="00936A8D">
        <w:rPr>
          <w:rFonts w:hint="eastAsia"/>
          <w:rtl/>
        </w:rPr>
        <w:t>אחד</w:t>
      </w:r>
      <w:r w:rsidRPr="00936A8D">
        <w:rPr>
          <w:rtl/>
        </w:rPr>
        <w:t xml:space="preserve"> </w:t>
      </w:r>
      <w:r w:rsidRPr="00936A8D">
        <w:rPr>
          <w:rFonts w:hint="eastAsia"/>
          <w:rtl/>
        </w:rPr>
        <w:t>מענקי</w:t>
      </w:r>
      <w:r w:rsidRPr="00936A8D">
        <w:rPr>
          <w:rtl/>
        </w:rPr>
        <w:t xml:space="preserve"> </w:t>
      </w:r>
      <w:r w:rsidRPr="00936A8D">
        <w:rPr>
          <w:rFonts w:hint="eastAsia"/>
          <w:rtl/>
        </w:rPr>
        <w:t>המשפט</w:t>
      </w:r>
      <w:r w:rsidRPr="00936A8D">
        <w:rPr>
          <w:rtl/>
        </w:rPr>
        <w:t xml:space="preserve"> </w:t>
      </w:r>
      <w:r w:rsidRPr="00936A8D">
        <w:rPr>
          <w:rFonts w:hint="eastAsia"/>
          <w:rtl/>
        </w:rPr>
        <w:t>המינהלי</w:t>
      </w:r>
      <w:r w:rsidRPr="00936A8D">
        <w:rPr>
          <w:rtl/>
        </w:rPr>
        <w:t xml:space="preserve">, </w:t>
      </w:r>
      <w:r w:rsidRPr="00936A8D">
        <w:rPr>
          <w:rFonts w:hint="eastAsia"/>
          <w:rtl/>
        </w:rPr>
        <w:t>לפיטוריה</w:t>
      </w:r>
      <w:r w:rsidRPr="00936A8D">
        <w:rPr>
          <w:rtl/>
        </w:rPr>
        <w:t xml:space="preserve"> </w:t>
      </w:r>
      <w:r w:rsidRPr="00936A8D">
        <w:rPr>
          <w:rFonts w:hint="eastAsia"/>
          <w:rtl/>
        </w:rPr>
        <w:t>של</w:t>
      </w:r>
      <w:r w:rsidRPr="00936A8D">
        <w:rPr>
          <w:rtl/>
        </w:rPr>
        <w:t xml:space="preserve"> </w:t>
      </w:r>
      <w:r w:rsidRPr="00936A8D">
        <w:rPr>
          <w:rFonts w:hint="eastAsia"/>
          <w:rtl/>
        </w:rPr>
        <w:t>מורה</w:t>
      </w:r>
      <w:r w:rsidRPr="00936A8D">
        <w:rPr>
          <w:rtl/>
        </w:rPr>
        <w:t xml:space="preserve"> </w:t>
      </w:r>
      <w:r w:rsidRPr="00936A8D">
        <w:rPr>
          <w:rFonts w:hint="eastAsia"/>
          <w:rtl/>
        </w:rPr>
        <w:t>מבית</w:t>
      </w:r>
      <w:r w:rsidRPr="00936A8D">
        <w:rPr>
          <w:rtl/>
        </w:rPr>
        <w:t xml:space="preserve"> </w:t>
      </w:r>
      <w:r w:rsidRPr="00936A8D">
        <w:rPr>
          <w:rFonts w:hint="eastAsia"/>
          <w:rtl/>
        </w:rPr>
        <w:t>ספר</w:t>
      </w:r>
      <w:r w:rsidRPr="00936A8D">
        <w:rPr>
          <w:rtl/>
        </w:rPr>
        <w:t xml:space="preserve"> </w:t>
      </w:r>
      <w:r w:rsidRPr="00936A8D">
        <w:rPr>
          <w:rFonts w:hint="eastAsia"/>
          <w:rtl/>
        </w:rPr>
        <w:t>ציבורי</w:t>
      </w:r>
      <w:r w:rsidRPr="00936A8D">
        <w:rPr>
          <w:rtl/>
        </w:rPr>
        <w:t xml:space="preserve"> </w:t>
      </w:r>
      <w:r w:rsidRPr="00936A8D">
        <w:rPr>
          <w:rFonts w:hint="eastAsia"/>
          <w:rtl/>
        </w:rPr>
        <w:t>בשל</w:t>
      </w:r>
      <w:r w:rsidRPr="00936A8D">
        <w:rPr>
          <w:rtl/>
        </w:rPr>
        <w:t xml:space="preserve"> </w:t>
      </w:r>
      <w:r w:rsidRPr="00936A8D">
        <w:rPr>
          <w:rFonts w:hint="eastAsia"/>
          <w:rtl/>
        </w:rPr>
        <w:t>שערה</w:t>
      </w:r>
      <w:r w:rsidRPr="00936A8D">
        <w:rPr>
          <w:rtl/>
        </w:rPr>
        <w:t xml:space="preserve"> </w:t>
      </w:r>
      <w:r w:rsidRPr="00936A8D">
        <w:rPr>
          <w:rFonts w:hint="eastAsia"/>
          <w:rtl/>
        </w:rPr>
        <w:t>הג</w:t>
      </w:r>
      <w:r w:rsidRPr="00936A8D">
        <w:rPr>
          <w:rtl/>
        </w:rPr>
        <w:t>'</w:t>
      </w:r>
      <w:r w:rsidRPr="00936A8D">
        <w:rPr>
          <w:rFonts w:hint="eastAsia"/>
          <w:rtl/>
        </w:rPr>
        <w:t>ינג</w:t>
      </w:r>
      <w:r w:rsidRPr="00936A8D">
        <w:rPr>
          <w:rtl/>
        </w:rPr>
        <w:t>'</w:t>
      </w:r>
      <w:r w:rsidRPr="00936A8D">
        <w:rPr>
          <w:rFonts w:hint="eastAsia"/>
          <w:rtl/>
        </w:rPr>
        <w:t>י</w:t>
      </w:r>
      <w:r w:rsidRPr="00936A8D">
        <w:rPr>
          <w:rtl/>
        </w:rPr>
        <w:t xml:space="preserve"> </w:t>
      </w:r>
      <w:r w:rsidRPr="00936A8D">
        <w:rPr>
          <w:rFonts w:asciiTheme="majorBidi" w:hAnsiTheme="majorBidi" w:cstheme="majorBidi"/>
        </w:rPr>
        <w:t>("such as a teacher being dismissed on the ground of her red hair"</w:t>
      </w:r>
      <w:r w:rsidRPr="00936A8D">
        <w:rPr>
          <w:rFonts w:ascii="Century" w:hAnsi="Century"/>
          <w:sz w:val="22"/>
          <w:rtl/>
        </w:rPr>
        <w:t xml:space="preserve">). </w:t>
      </w:r>
      <w:r w:rsidRPr="00936A8D">
        <w:rPr>
          <w:rtl/>
        </w:rPr>
        <w:t>(</w:t>
      </w:r>
      <w:r w:rsidRPr="00936A8D">
        <w:rPr>
          <w:rFonts w:hint="eastAsia"/>
          <w:rtl/>
        </w:rPr>
        <w:t>ראו</w:t>
      </w:r>
      <w:r w:rsidRPr="00936A8D">
        <w:rPr>
          <w:rtl/>
        </w:rPr>
        <w:t xml:space="preserve">: </w:t>
      </w:r>
      <w:r w:rsidRPr="00936A8D">
        <w:rPr>
          <w:rFonts w:asciiTheme="majorBidi" w:hAnsiTheme="majorBidi" w:cstheme="majorBidi"/>
          <w:smallCaps/>
        </w:rPr>
        <w:t>De Smith's Judicial Review</w:t>
      </w:r>
      <w:r w:rsidRPr="00936A8D">
        <w:rPr>
          <w:rFonts w:asciiTheme="majorBidi" w:hAnsiTheme="majorBidi" w:cstheme="majorBidi"/>
        </w:rPr>
        <w:t xml:space="preserve"> 551 (6th ed. 2007)</w:t>
      </w:r>
      <w:r w:rsidRPr="00936A8D">
        <w:rPr>
          <w:rFonts w:ascii="Century" w:hAnsi="Century"/>
          <w:sz w:val="22"/>
          <w:rtl/>
        </w:rPr>
        <w:t xml:space="preserve"> (</w:t>
      </w:r>
      <w:r w:rsidRPr="00936A8D">
        <w:rPr>
          <w:rFonts w:ascii="Century" w:hAnsi="Century" w:hint="eastAsia"/>
          <w:sz w:val="22"/>
          <w:rtl/>
        </w:rPr>
        <w:t>להלן</w:t>
      </w:r>
      <w:r w:rsidRPr="00936A8D">
        <w:rPr>
          <w:rFonts w:ascii="Century" w:hAnsi="Century"/>
          <w:sz w:val="22"/>
          <w:rtl/>
        </w:rPr>
        <w:t xml:space="preserve">: </w:t>
      </w:r>
      <w:r w:rsidRPr="00936A8D">
        <w:rPr>
          <w:rFonts w:ascii="Century" w:hAnsi="Century" w:cs="Miriam" w:hint="eastAsia"/>
          <w:b/>
          <w:spacing w:val="0"/>
          <w:sz w:val="22"/>
          <w:szCs w:val="24"/>
          <w:rtl/>
        </w:rPr>
        <w:t>דה</w:t>
      </w:r>
      <w:r w:rsidRPr="00936A8D">
        <w:rPr>
          <w:rFonts w:ascii="Century" w:hAnsi="Century" w:cs="Miriam"/>
          <w:b/>
          <w:spacing w:val="0"/>
          <w:sz w:val="22"/>
          <w:szCs w:val="24"/>
          <w:rtl/>
        </w:rPr>
        <w:t>-</w:t>
      </w:r>
      <w:r w:rsidRPr="00936A8D">
        <w:rPr>
          <w:rFonts w:ascii="Century" w:hAnsi="Century" w:cs="Miriam" w:hint="eastAsia"/>
          <w:b/>
          <w:spacing w:val="0"/>
          <w:sz w:val="22"/>
          <w:szCs w:val="24"/>
          <w:rtl/>
        </w:rPr>
        <w:t>סמית</w:t>
      </w:r>
      <w:r w:rsidRPr="00936A8D">
        <w:rPr>
          <w:rFonts w:ascii="Century" w:hAnsi="Century"/>
          <w:sz w:val="22"/>
          <w:rtl/>
        </w:rPr>
        <w:t xml:space="preserve">)). </w:t>
      </w:r>
      <w:r w:rsidRPr="00936A8D">
        <w:rPr>
          <w:rFonts w:hint="eastAsia"/>
          <w:rtl/>
        </w:rPr>
        <w:t>דוגמא</w:t>
      </w:r>
      <w:r w:rsidRPr="00936A8D">
        <w:rPr>
          <w:rtl/>
        </w:rPr>
        <w:t xml:space="preserve"> </w:t>
      </w:r>
      <w:r w:rsidRPr="00936A8D">
        <w:rPr>
          <w:rFonts w:hint="eastAsia"/>
          <w:rtl/>
        </w:rPr>
        <w:t>נוספת</w:t>
      </w:r>
      <w:r w:rsidRPr="00936A8D">
        <w:rPr>
          <w:rtl/>
        </w:rPr>
        <w:t xml:space="preserve"> </w:t>
      </w:r>
      <w:r w:rsidRPr="00936A8D">
        <w:rPr>
          <w:rFonts w:hint="eastAsia"/>
          <w:rtl/>
        </w:rPr>
        <w:t>לחוסר</w:t>
      </w:r>
      <w:r w:rsidRPr="00936A8D">
        <w:rPr>
          <w:rtl/>
        </w:rPr>
        <w:t xml:space="preserve"> </w:t>
      </w:r>
      <w:r w:rsidRPr="00936A8D">
        <w:rPr>
          <w:rFonts w:hint="eastAsia"/>
          <w:rtl/>
        </w:rPr>
        <w:t>סבירות</w:t>
      </w:r>
      <w:r w:rsidRPr="00936A8D">
        <w:rPr>
          <w:rtl/>
        </w:rPr>
        <w:t xml:space="preserve"> </w:t>
      </w:r>
      <w:r w:rsidRPr="00936A8D">
        <w:rPr>
          <w:rFonts w:hint="eastAsia"/>
          <w:rtl/>
        </w:rPr>
        <w:t>קיצוני</w:t>
      </w:r>
      <w:r w:rsidRPr="00936A8D">
        <w:rPr>
          <w:rtl/>
        </w:rPr>
        <w:t xml:space="preserve"> </w:t>
      </w:r>
      <w:r w:rsidRPr="00936A8D">
        <w:rPr>
          <w:rFonts w:hint="eastAsia"/>
          <w:rtl/>
        </w:rPr>
        <w:t>היא</w:t>
      </w:r>
      <w:r w:rsidRPr="00936A8D">
        <w:rPr>
          <w:rtl/>
        </w:rPr>
        <w:t xml:space="preserve"> </w:t>
      </w:r>
      <w:r w:rsidRPr="00936A8D">
        <w:rPr>
          <w:rFonts w:hint="eastAsia"/>
          <w:rtl/>
        </w:rPr>
        <w:t>החלטת</w:t>
      </w:r>
      <w:r w:rsidRPr="00936A8D">
        <w:rPr>
          <w:rtl/>
        </w:rPr>
        <w:t xml:space="preserve"> </w:t>
      </w:r>
      <w:r w:rsidRPr="00936A8D">
        <w:rPr>
          <w:rFonts w:hint="eastAsia"/>
          <w:rtl/>
        </w:rPr>
        <w:t>רשות</w:t>
      </w:r>
      <w:r w:rsidRPr="00936A8D">
        <w:rPr>
          <w:rtl/>
        </w:rPr>
        <w:t xml:space="preserve"> </w:t>
      </w:r>
      <w:r w:rsidRPr="00936A8D">
        <w:rPr>
          <w:rFonts w:hint="eastAsia"/>
          <w:rtl/>
        </w:rPr>
        <w:t>שמזמינה</w:t>
      </w:r>
      <w:r w:rsidRPr="00936A8D">
        <w:rPr>
          <w:rtl/>
        </w:rPr>
        <w:t xml:space="preserve"> </w:t>
      </w:r>
      <w:r w:rsidRPr="00936A8D">
        <w:rPr>
          <w:rFonts w:hint="eastAsia"/>
          <w:rtl/>
        </w:rPr>
        <w:t>תגובה</w:t>
      </w:r>
      <w:r w:rsidRPr="00936A8D">
        <w:rPr>
          <w:rtl/>
        </w:rPr>
        <w:t xml:space="preserve"> </w:t>
      </w:r>
      <w:r w:rsidRPr="00936A8D">
        <w:rPr>
          <w:rFonts w:hint="eastAsia"/>
          <w:rtl/>
        </w:rPr>
        <w:t>מיידית</w:t>
      </w:r>
      <w:r w:rsidRPr="00936A8D">
        <w:rPr>
          <w:rtl/>
        </w:rPr>
        <w:t xml:space="preserve"> </w:t>
      </w:r>
      <w:r w:rsidRPr="00936A8D">
        <w:rPr>
          <w:rFonts w:asciiTheme="majorBidi" w:hAnsiTheme="majorBidi" w:cstheme="majorBidi"/>
        </w:rPr>
        <w:t>"My goodness, that is certainly wrong!"</w:t>
      </w:r>
      <w:r w:rsidRPr="00936A8D">
        <w:rPr>
          <w:rtl/>
        </w:rPr>
        <w:t xml:space="preserve"> (</w:t>
      </w:r>
      <w:r w:rsidRPr="00936A8D">
        <w:rPr>
          <w:rFonts w:hint="eastAsia"/>
          <w:rtl/>
        </w:rPr>
        <w:t>ראו</w:t>
      </w:r>
      <w:r w:rsidRPr="00936A8D">
        <w:rPr>
          <w:rtl/>
        </w:rPr>
        <w:t xml:space="preserve">: </w:t>
      </w:r>
      <w:r w:rsidRPr="00936A8D">
        <w:rPr>
          <w:rFonts w:ascii="Century" w:hAnsi="Century" w:cs="Miriam" w:hint="eastAsia"/>
          <w:b/>
          <w:spacing w:val="0"/>
          <w:sz w:val="22"/>
          <w:szCs w:val="24"/>
          <w:rtl/>
        </w:rPr>
        <w:t>דה</w:t>
      </w:r>
      <w:r w:rsidRPr="00936A8D">
        <w:rPr>
          <w:rFonts w:ascii="Century" w:hAnsi="Century" w:cs="Miriam"/>
          <w:b/>
          <w:spacing w:val="0"/>
          <w:sz w:val="22"/>
          <w:szCs w:val="24"/>
          <w:rtl/>
        </w:rPr>
        <w:t>-</w:t>
      </w:r>
      <w:r w:rsidRPr="00936A8D">
        <w:rPr>
          <w:rFonts w:ascii="Century" w:hAnsi="Century" w:cs="Miriam" w:hint="eastAsia"/>
          <w:b/>
          <w:spacing w:val="0"/>
          <w:sz w:val="22"/>
          <w:szCs w:val="24"/>
          <w:rtl/>
        </w:rPr>
        <w:t>סמית</w:t>
      </w:r>
      <w:r w:rsidRPr="00936A8D">
        <w:rPr>
          <w:rtl/>
        </w:rPr>
        <w:t xml:space="preserve">, </w:t>
      </w:r>
      <w:r w:rsidRPr="00936A8D">
        <w:rPr>
          <w:rFonts w:hint="eastAsia"/>
          <w:rtl/>
        </w:rPr>
        <w:t>בעמ</w:t>
      </w:r>
      <w:r w:rsidRPr="00936A8D">
        <w:rPr>
          <w:rtl/>
        </w:rPr>
        <w:t xml:space="preserve">' 554). </w:t>
      </w:r>
      <w:r w:rsidRPr="00936A8D">
        <w:rPr>
          <w:rFonts w:hint="eastAsia"/>
          <w:rtl/>
        </w:rPr>
        <w:t>הגדרות</w:t>
      </w:r>
      <w:r w:rsidRPr="00936A8D">
        <w:rPr>
          <w:rtl/>
        </w:rPr>
        <w:t xml:space="preserve"> </w:t>
      </w:r>
      <w:r w:rsidRPr="00936A8D">
        <w:rPr>
          <w:rFonts w:hint="eastAsia"/>
          <w:rtl/>
        </w:rPr>
        <w:t>נוספות</w:t>
      </w:r>
      <w:r w:rsidRPr="00936A8D">
        <w:rPr>
          <w:rtl/>
        </w:rPr>
        <w:t xml:space="preserve"> </w:t>
      </w:r>
      <w:r w:rsidRPr="00936A8D">
        <w:rPr>
          <w:rFonts w:hint="eastAsia"/>
          <w:rtl/>
        </w:rPr>
        <w:t>של</w:t>
      </w:r>
      <w:r w:rsidRPr="00936A8D">
        <w:rPr>
          <w:rtl/>
        </w:rPr>
        <w:t xml:space="preserve"> "</w:t>
      </w:r>
      <w:r w:rsidRPr="00936A8D">
        <w:rPr>
          <w:rFonts w:hint="eastAsia"/>
          <w:rtl/>
        </w:rPr>
        <w:t>חוסר</w:t>
      </w:r>
      <w:r w:rsidRPr="00936A8D">
        <w:rPr>
          <w:rtl/>
        </w:rPr>
        <w:t xml:space="preserve"> </w:t>
      </w:r>
      <w:r w:rsidRPr="00936A8D">
        <w:rPr>
          <w:rFonts w:hint="eastAsia"/>
          <w:rtl/>
        </w:rPr>
        <w:t>סבירות</w:t>
      </w:r>
      <w:r w:rsidRPr="00936A8D">
        <w:rPr>
          <w:rtl/>
        </w:rPr>
        <w:t xml:space="preserve"> </w:t>
      </w:r>
      <w:r w:rsidRPr="00936A8D">
        <w:rPr>
          <w:rFonts w:hint="eastAsia"/>
          <w:rtl/>
        </w:rPr>
        <w:t>קיצוני</w:t>
      </w:r>
      <w:r w:rsidRPr="00936A8D">
        <w:rPr>
          <w:rtl/>
        </w:rPr>
        <w:t xml:space="preserve">", </w:t>
      </w:r>
      <w:r w:rsidRPr="00936A8D">
        <w:rPr>
          <w:rFonts w:hint="eastAsia"/>
          <w:rtl/>
        </w:rPr>
        <w:t>אשר</w:t>
      </w:r>
      <w:r w:rsidRPr="00936A8D">
        <w:rPr>
          <w:rtl/>
        </w:rPr>
        <w:t xml:space="preserve"> </w:t>
      </w:r>
      <w:r w:rsidRPr="00936A8D">
        <w:rPr>
          <w:rFonts w:hint="eastAsia"/>
          <w:rtl/>
        </w:rPr>
        <w:t>הופיעו</w:t>
      </w:r>
      <w:r w:rsidRPr="00936A8D">
        <w:rPr>
          <w:rtl/>
        </w:rPr>
        <w:t xml:space="preserve"> </w:t>
      </w:r>
      <w:r w:rsidRPr="00936A8D">
        <w:rPr>
          <w:rFonts w:hint="eastAsia"/>
          <w:rtl/>
        </w:rPr>
        <w:t>בפסיקתם</w:t>
      </w:r>
      <w:r w:rsidRPr="00936A8D">
        <w:rPr>
          <w:rtl/>
        </w:rPr>
        <w:t xml:space="preserve"> </w:t>
      </w:r>
      <w:r w:rsidRPr="00936A8D">
        <w:rPr>
          <w:rFonts w:hint="eastAsia"/>
          <w:rtl/>
        </w:rPr>
        <w:t>של</w:t>
      </w:r>
      <w:r w:rsidRPr="00936A8D">
        <w:rPr>
          <w:rtl/>
        </w:rPr>
        <w:t xml:space="preserve"> </w:t>
      </w:r>
      <w:r w:rsidRPr="00936A8D">
        <w:rPr>
          <w:rFonts w:hint="eastAsia"/>
          <w:rtl/>
        </w:rPr>
        <w:t>בתי</w:t>
      </w:r>
      <w:r w:rsidRPr="00936A8D">
        <w:rPr>
          <w:rtl/>
        </w:rPr>
        <w:t xml:space="preserve"> </w:t>
      </w:r>
      <w:r w:rsidRPr="00936A8D">
        <w:rPr>
          <w:rFonts w:hint="eastAsia"/>
          <w:rtl/>
        </w:rPr>
        <w:t>המשפט</w:t>
      </w:r>
      <w:r w:rsidRPr="00936A8D">
        <w:rPr>
          <w:rtl/>
        </w:rPr>
        <w:t xml:space="preserve"> </w:t>
      </w:r>
      <w:r w:rsidRPr="00936A8D">
        <w:rPr>
          <w:rFonts w:hint="eastAsia"/>
          <w:rtl/>
        </w:rPr>
        <w:t>הבריטיים</w:t>
      </w:r>
      <w:r w:rsidRPr="00936A8D">
        <w:rPr>
          <w:rtl/>
        </w:rPr>
        <w:t xml:space="preserve"> </w:t>
      </w:r>
      <w:r w:rsidRPr="00936A8D">
        <w:rPr>
          <w:rFonts w:hint="eastAsia"/>
          <w:rtl/>
        </w:rPr>
        <w:t>הן</w:t>
      </w:r>
      <w:r w:rsidRPr="00936A8D">
        <w:rPr>
          <w:rtl/>
        </w:rPr>
        <w:t xml:space="preserve"> </w:t>
      </w:r>
      <w:r w:rsidRPr="00936A8D">
        <w:rPr>
          <w:rFonts w:asciiTheme="majorBidi" w:hAnsiTheme="majorBidi" w:cstheme="majorBidi"/>
        </w:rPr>
        <w:t>"perverse"</w:t>
      </w:r>
      <w:r w:rsidRPr="00936A8D">
        <w:rPr>
          <w:rtl/>
        </w:rPr>
        <w:t xml:space="preserve">, </w:t>
      </w:r>
      <w:r w:rsidRPr="00936A8D">
        <w:rPr>
          <w:rFonts w:asciiTheme="majorBidi" w:hAnsiTheme="majorBidi" w:cstheme="majorBidi"/>
        </w:rPr>
        <w:t>"absurd"</w:t>
      </w:r>
      <w:r w:rsidRPr="00936A8D">
        <w:rPr>
          <w:rtl/>
        </w:rPr>
        <w:t xml:space="preserve">, </w:t>
      </w:r>
      <w:r w:rsidRPr="00936A8D">
        <w:rPr>
          <w:rFonts w:asciiTheme="majorBidi" w:hAnsiTheme="majorBidi" w:cstheme="majorBidi"/>
        </w:rPr>
        <w:t>"outrageous"</w:t>
      </w:r>
      <w:r w:rsidRPr="00936A8D">
        <w:rPr>
          <w:rtl/>
        </w:rPr>
        <w:t xml:space="preserve"> </w:t>
      </w:r>
      <w:r w:rsidRPr="00936A8D">
        <w:rPr>
          <w:rFonts w:hint="eastAsia"/>
          <w:rtl/>
        </w:rPr>
        <w:t>ו</w:t>
      </w:r>
      <w:r w:rsidRPr="00936A8D">
        <w:rPr>
          <w:rtl/>
        </w:rPr>
        <w:t>-</w:t>
      </w:r>
      <w:r w:rsidRPr="00936A8D">
        <w:rPr>
          <w:rFonts w:asciiTheme="majorBidi" w:hAnsiTheme="majorBidi" w:cstheme="majorBidi"/>
        </w:rPr>
        <w:t>"irrational"</w:t>
      </w:r>
      <w:r w:rsidRPr="00936A8D">
        <w:rPr>
          <w:rtl/>
        </w:rPr>
        <w:t xml:space="preserve"> (</w:t>
      </w:r>
      <w:r w:rsidRPr="00936A8D">
        <w:rPr>
          <w:rFonts w:hint="eastAsia"/>
          <w:rtl/>
        </w:rPr>
        <w:t>מעוות</w:t>
      </w:r>
      <w:r w:rsidRPr="00936A8D">
        <w:rPr>
          <w:rtl/>
        </w:rPr>
        <w:t xml:space="preserve">, </w:t>
      </w:r>
      <w:r w:rsidRPr="00936A8D">
        <w:rPr>
          <w:rFonts w:hint="eastAsia"/>
          <w:rtl/>
        </w:rPr>
        <w:t>אבסורדי</w:t>
      </w:r>
      <w:r w:rsidRPr="00936A8D">
        <w:rPr>
          <w:rtl/>
        </w:rPr>
        <w:t xml:space="preserve">, </w:t>
      </w:r>
      <w:r w:rsidRPr="00936A8D">
        <w:rPr>
          <w:rFonts w:hint="eastAsia"/>
          <w:rtl/>
        </w:rPr>
        <w:t>שערורייתי</w:t>
      </w:r>
      <w:r w:rsidRPr="00936A8D">
        <w:rPr>
          <w:rtl/>
        </w:rPr>
        <w:t xml:space="preserve"> </w:t>
      </w:r>
      <w:r w:rsidRPr="00936A8D">
        <w:rPr>
          <w:rFonts w:hint="eastAsia"/>
          <w:rtl/>
        </w:rPr>
        <w:t>ובלתי</w:t>
      </w:r>
      <w:r w:rsidRPr="00936A8D">
        <w:rPr>
          <w:rtl/>
        </w:rPr>
        <w:t xml:space="preserve"> </w:t>
      </w:r>
      <w:r w:rsidRPr="00936A8D">
        <w:rPr>
          <w:rFonts w:hint="eastAsia"/>
          <w:rtl/>
        </w:rPr>
        <w:t>רציונלי</w:t>
      </w:r>
      <w:r w:rsidRPr="00936A8D">
        <w:rPr>
          <w:rtl/>
        </w:rPr>
        <w:t>) (</w:t>
      </w:r>
      <w:r w:rsidRPr="00936A8D">
        <w:rPr>
          <w:rFonts w:hint="eastAsia"/>
          <w:rtl/>
        </w:rPr>
        <w:t>ראו</w:t>
      </w:r>
      <w:r w:rsidRPr="00936A8D">
        <w:rPr>
          <w:rtl/>
        </w:rPr>
        <w:t xml:space="preserve">: </w:t>
      </w:r>
      <w:r w:rsidRPr="00936A8D">
        <w:rPr>
          <w:rFonts w:ascii="Century" w:hAnsi="Century" w:cs="Miriam" w:hint="eastAsia"/>
          <w:b/>
          <w:spacing w:val="0"/>
          <w:sz w:val="22"/>
          <w:szCs w:val="24"/>
          <w:rtl/>
        </w:rPr>
        <w:t>דה</w:t>
      </w:r>
      <w:r w:rsidRPr="00936A8D">
        <w:rPr>
          <w:rFonts w:ascii="Century" w:hAnsi="Century" w:cs="Miriam"/>
          <w:b/>
          <w:spacing w:val="0"/>
          <w:sz w:val="22"/>
          <w:szCs w:val="24"/>
          <w:rtl/>
        </w:rPr>
        <w:t>-</w:t>
      </w:r>
      <w:r w:rsidRPr="00936A8D">
        <w:rPr>
          <w:rFonts w:ascii="Century" w:hAnsi="Century" w:cs="Miriam" w:hint="eastAsia"/>
          <w:b/>
          <w:spacing w:val="0"/>
          <w:sz w:val="22"/>
          <w:szCs w:val="24"/>
          <w:rtl/>
        </w:rPr>
        <w:t>סמית</w:t>
      </w:r>
      <w:r w:rsidRPr="00936A8D">
        <w:rPr>
          <w:rtl/>
        </w:rPr>
        <w:t xml:space="preserve">, </w:t>
      </w:r>
      <w:r w:rsidRPr="00936A8D">
        <w:rPr>
          <w:rFonts w:hint="eastAsia"/>
          <w:rtl/>
        </w:rPr>
        <w:t>בעמ</w:t>
      </w:r>
      <w:r w:rsidRPr="00936A8D">
        <w:rPr>
          <w:rtl/>
        </w:rPr>
        <w:t xml:space="preserve">' 553). </w:t>
      </w:r>
    </w:p>
    <w:p w:rsidR="0047626A" w:rsidRPr="00936A8D" w:rsidRDefault="0047626A" w:rsidP="0047626A">
      <w:pPr>
        <w:pStyle w:val="Ruller4"/>
        <w:numPr>
          <w:ilvl w:val="0"/>
          <w:numId w:val="0"/>
        </w:numPr>
      </w:pPr>
    </w:p>
    <w:p w:rsidR="0047626A" w:rsidRPr="00936A8D" w:rsidRDefault="0047626A" w:rsidP="0047626A">
      <w:pPr>
        <w:pStyle w:val="Ruller4"/>
        <w:rPr>
          <w:rtl/>
        </w:rPr>
      </w:pPr>
      <w:r w:rsidRPr="00936A8D">
        <w:rPr>
          <w:rFonts w:hint="eastAsia"/>
          <w:rtl/>
        </w:rPr>
        <w:t>כפי</w:t>
      </w:r>
      <w:r w:rsidRPr="00936A8D">
        <w:rPr>
          <w:rtl/>
        </w:rPr>
        <w:t xml:space="preserve"> </w:t>
      </w:r>
      <w:r w:rsidRPr="00936A8D">
        <w:rPr>
          <w:rFonts w:hint="eastAsia"/>
          <w:rtl/>
        </w:rPr>
        <w:t>שהוסבר</w:t>
      </w:r>
      <w:r w:rsidRPr="00936A8D">
        <w:rPr>
          <w:rtl/>
        </w:rPr>
        <w:t xml:space="preserve"> </w:t>
      </w:r>
      <w:r w:rsidRPr="00936A8D">
        <w:rPr>
          <w:rFonts w:hint="eastAsia"/>
          <w:rtl/>
        </w:rPr>
        <w:t>בהלכת</w:t>
      </w:r>
      <w:r w:rsidRPr="00936A8D">
        <w:rPr>
          <w:rtl/>
        </w:rPr>
        <w:t xml:space="preserve"> </w:t>
      </w:r>
      <w:r w:rsidRPr="00936A8D">
        <w:rPr>
          <w:rFonts w:ascii="Century" w:hAnsi="Century" w:cs="Miriam" w:hint="eastAsia"/>
          <w:b/>
          <w:spacing w:val="0"/>
          <w:sz w:val="22"/>
          <w:szCs w:val="24"/>
          <w:rtl/>
        </w:rPr>
        <w:t>ונסבורי</w:t>
      </w:r>
      <w:r w:rsidRPr="00936A8D">
        <w:rPr>
          <w:rtl/>
        </w:rPr>
        <w:t xml:space="preserve">, </w:t>
      </w:r>
      <w:r w:rsidRPr="00936A8D">
        <w:rPr>
          <w:rFonts w:hint="eastAsia"/>
          <w:rtl/>
        </w:rPr>
        <w:t>התקיימותה</w:t>
      </w:r>
      <w:r w:rsidRPr="00936A8D">
        <w:rPr>
          <w:rtl/>
        </w:rPr>
        <w:t xml:space="preserve"> </w:t>
      </w:r>
      <w:r w:rsidRPr="00936A8D">
        <w:rPr>
          <w:rFonts w:hint="eastAsia"/>
          <w:rtl/>
        </w:rPr>
        <w:t>של</w:t>
      </w:r>
      <w:r w:rsidRPr="00936A8D">
        <w:rPr>
          <w:rtl/>
        </w:rPr>
        <w:t xml:space="preserve"> </w:t>
      </w:r>
      <w:r w:rsidRPr="00936A8D">
        <w:rPr>
          <w:rFonts w:hint="eastAsia"/>
          <w:rtl/>
        </w:rPr>
        <w:t>אי</w:t>
      </w:r>
      <w:r w:rsidRPr="00936A8D">
        <w:rPr>
          <w:rtl/>
        </w:rPr>
        <w:t>-</w:t>
      </w:r>
      <w:r w:rsidRPr="00936A8D">
        <w:rPr>
          <w:rFonts w:hint="eastAsia"/>
          <w:rtl/>
        </w:rPr>
        <w:t>סבירות</w:t>
      </w:r>
      <w:r w:rsidRPr="00936A8D">
        <w:rPr>
          <w:rtl/>
        </w:rPr>
        <w:t xml:space="preserve"> </w:t>
      </w:r>
      <w:r w:rsidRPr="00936A8D">
        <w:rPr>
          <w:rFonts w:hint="eastAsia"/>
          <w:rtl/>
        </w:rPr>
        <w:t>קיצונית</w:t>
      </w:r>
      <w:r w:rsidRPr="00936A8D">
        <w:rPr>
          <w:rtl/>
        </w:rPr>
        <w:t xml:space="preserve"> </w:t>
      </w:r>
      <w:r w:rsidRPr="00936A8D">
        <w:rPr>
          <w:rFonts w:hint="eastAsia"/>
          <w:rtl/>
        </w:rPr>
        <w:t>מצביעה</w:t>
      </w:r>
      <w:r w:rsidRPr="00936A8D">
        <w:rPr>
          <w:rtl/>
        </w:rPr>
        <w:t xml:space="preserve"> </w:t>
      </w:r>
      <w:r w:rsidRPr="00936A8D">
        <w:rPr>
          <w:rFonts w:hint="eastAsia"/>
          <w:rtl/>
        </w:rPr>
        <w:t>מניה</w:t>
      </w:r>
      <w:r w:rsidRPr="00936A8D">
        <w:rPr>
          <w:rtl/>
        </w:rPr>
        <w:t xml:space="preserve"> </w:t>
      </w:r>
      <w:r w:rsidRPr="00936A8D">
        <w:rPr>
          <w:rFonts w:hint="eastAsia"/>
          <w:rtl/>
        </w:rPr>
        <w:t>וביה</w:t>
      </w:r>
      <w:r w:rsidRPr="00936A8D">
        <w:rPr>
          <w:rtl/>
        </w:rPr>
        <w:t xml:space="preserve"> </w:t>
      </w:r>
      <w:r w:rsidRPr="00936A8D">
        <w:rPr>
          <w:rFonts w:hint="eastAsia"/>
          <w:rtl/>
        </w:rPr>
        <w:t>על</w:t>
      </w:r>
      <w:r w:rsidRPr="00936A8D">
        <w:rPr>
          <w:rtl/>
        </w:rPr>
        <w:t xml:space="preserve"> </w:t>
      </w:r>
      <w:r w:rsidRPr="00936A8D">
        <w:rPr>
          <w:rFonts w:hint="eastAsia"/>
          <w:rtl/>
        </w:rPr>
        <w:t>כך</w:t>
      </w:r>
      <w:r w:rsidRPr="00936A8D">
        <w:rPr>
          <w:rtl/>
        </w:rPr>
        <w:t xml:space="preserve"> </w:t>
      </w:r>
      <w:r w:rsidRPr="00936A8D">
        <w:rPr>
          <w:rFonts w:hint="eastAsia"/>
          <w:rtl/>
        </w:rPr>
        <w:t>שהחלטת</w:t>
      </w:r>
      <w:r w:rsidRPr="00936A8D">
        <w:rPr>
          <w:rtl/>
        </w:rPr>
        <w:t xml:space="preserve"> </w:t>
      </w:r>
      <w:r w:rsidRPr="00936A8D">
        <w:rPr>
          <w:rFonts w:hint="eastAsia"/>
          <w:rtl/>
        </w:rPr>
        <w:t>הרשות</w:t>
      </w:r>
      <w:r w:rsidRPr="00936A8D">
        <w:rPr>
          <w:rtl/>
        </w:rPr>
        <w:t xml:space="preserve"> </w:t>
      </w:r>
      <w:r w:rsidRPr="00936A8D">
        <w:rPr>
          <w:rFonts w:hint="eastAsia"/>
          <w:rtl/>
        </w:rPr>
        <w:t>נפגמה</w:t>
      </w:r>
      <w:r w:rsidRPr="00936A8D">
        <w:rPr>
          <w:rtl/>
        </w:rPr>
        <w:t xml:space="preserve"> </w:t>
      </w:r>
      <w:r w:rsidRPr="00936A8D">
        <w:rPr>
          <w:rFonts w:hint="eastAsia"/>
          <w:rtl/>
        </w:rPr>
        <w:t>באחד</w:t>
      </w:r>
      <w:r w:rsidRPr="00936A8D">
        <w:rPr>
          <w:rtl/>
        </w:rPr>
        <w:t xml:space="preserve"> </w:t>
      </w:r>
      <w:r w:rsidRPr="00936A8D">
        <w:rPr>
          <w:rFonts w:hint="eastAsia"/>
          <w:rtl/>
        </w:rPr>
        <w:t>הפגמים</w:t>
      </w:r>
      <w:r w:rsidRPr="00936A8D">
        <w:rPr>
          <w:rtl/>
        </w:rPr>
        <w:t xml:space="preserve"> </w:t>
      </w:r>
      <w:r w:rsidRPr="00936A8D">
        <w:rPr>
          <w:rFonts w:hint="eastAsia"/>
          <w:rtl/>
        </w:rPr>
        <w:t>הקונקרטיים</w:t>
      </w:r>
      <w:r w:rsidRPr="00936A8D">
        <w:rPr>
          <w:rtl/>
        </w:rPr>
        <w:t xml:space="preserve">, </w:t>
      </w:r>
      <w:r w:rsidRPr="00936A8D">
        <w:rPr>
          <w:rFonts w:hint="eastAsia"/>
          <w:rtl/>
        </w:rPr>
        <w:t>כדוגמת</w:t>
      </w:r>
      <w:r w:rsidRPr="00936A8D">
        <w:rPr>
          <w:rtl/>
        </w:rPr>
        <w:t xml:space="preserve"> "</w:t>
      </w:r>
      <w:r w:rsidRPr="00936A8D">
        <w:rPr>
          <w:rFonts w:hint="eastAsia"/>
          <w:rtl/>
        </w:rPr>
        <w:t>שיקולים</w:t>
      </w:r>
      <w:r w:rsidRPr="00936A8D">
        <w:rPr>
          <w:rtl/>
        </w:rPr>
        <w:t xml:space="preserve"> </w:t>
      </w:r>
      <w:r w:rsidRPr="00936A8D">
        <w:rPr>
          <w:rFonts w:hint="eastAsia"/>
          <w:rtl/>
        </w:rPr>
        <w:t>זרים</w:t>
      </w:r>
      <w:r w:rsidRPr="00936A8D">
        <w:rPr>
          <w:rtl/>
        </w:rPr>
        <w:t>", "</w:t>
      </w:r>
      <w:r w:rsidRPr="00936A8D">
        <w:rPr>
          <w:rFonts w:hint="eastAsia"/>
          <w:rtl/>
        </w:rPr>
        <w:t>שרירות</w:t>
      </w:r>
      <w:r w:rsidRPr="00936A8D">
        <w:rPr>
          <w:rtl/>
        </w:rPr>
        <w:t xml:space="preserve">" </w:t>
      </w:r>
      <w:r w:rsidRPr="00936A8D">
        <w:rPr>
          <w:rFonts w:hint="eastAsia"/>
          <w:rtl/>
        </w:rPr>
        <w:t>או</w:t>
      </w:r>
      <w:r w:rsidRPr="00936A8D">
        <w:rPr>
          <w:rtl/>
        </w:rPr>
        <w:t xml:space="preserve"> "</w:t>
      </w:r>
      <w:r w:rsidRPr="00936A8D">
        <w:rPr>
          <w:rFonts w:hint="eastAsia"/>
          <w:rtl/>
        </w:rPr>
        <w:t>חוסר</w:t>
      </w:r>
      <w:r w:rsidRPr="00936A8D">
        <w:rPr>
          <w:rtl/>
        </w:rPr>
        <w:t xml:space="preserve"> </w:t>
      </w:r>
      <w:r w:rsidRPr="00936A8D">
        <w:rPr>
          <w:rFonts w:hint="eastAsia"/>
          <w:rtl/>
        </w:rPr>
        <w:t>תום</w:t>
      </w:r>
      <w:r w:rsidRPr="00936A8D">
        <w:rPr>
          <w:rtl/>
        </w:rPr>
        <w:t>-</w:t>
      </w:r>
      <w:r w:rsidRPr="00936A8D">
        <w:rPr>
          <w:rFonts w:hint="eastAsia"/>
          <w:rtl/>
        </w:rPr>
        <w:t>לב</w:t>
      </w:r>
      <w:r w:rsidRPr="00936A8D">
        <w:rPr>
          <w:rtl/>
        </w:rPr>
        <w:t xml:space="preserve">", </w:t>
      </w:r>
      <w:r w:rsidRPr="00936A8D">
        <w:rPr>
          <w:rFonts w:hint="eastAsia"/>
          <w:rtl/>
        </w:rPr>
        <w:t>שגורר</w:t>
      </w:r>
      <w:r w:rsidRPr="00936A8D">
        <w:rPr>
          <w:rtl/>
        </w:rPr>
        <w:t xml:space="preserve"> </w:t>
      </w:r>
      <w:r w:rsidRPr="00936A8D">
        <w:rPr>
          <w:rFonts w:hint="eastAsia"/>
          <w:rtl/>
        </w:rPr>
        <w:t>אחריו</w:t>
      </w:r>
      <w:r w:rsidRPr="00936A8D">
        <w:rPr>
          <w:rtl/>
        </w:rPr>
        <w:t xml:space="preserve"> </w:t>
      </w:r>
      <w:r w:rsidRPr="00936A8D">
        <w:rPr>
          <w:rFonts w:hint="eastAsia"/>
          <w:rtl/>
        </w:rPr>
        <w:t>ביקורת</w:t>
      </w:r>
      <w:r w:rsidRPr="00936A8D">
        <w:rPr>
          <w:rtl/>
        </w:rPr>
        <w:t xml:space="preserve"> </w:t>
      </w:r>
      <w:r w:rsidRPr="00936A8D">
        <w:rPr>
          <w:rFonts w:hint="eastAsia"/>
          <w:rtl/>
        </w:rPr>
        <w:t>שיפוטית</w:t>
      </w:r>
      <w:r w:rsidRPr="00936A8D">
        <w:rPr>
          <w:rtl/>
        </w:rPr>
        <w:t>:</w:t>
      </w:r>
    </w:p>
    <w:p w:rsidR="0047626A" w:rsidRPr="00803DDF" w:rsidRDefault="0047626A" w:rsidP="0047626A">
      <w:pPr>
        <w:pStyle w:val="Ruller41"/>
        <w:rPr>
          <w:rtl/>
        </w:rPr>
      </w:pPr>
    </w:p>
    <w:p w:rsidR="0047626A" w:rsidRPr="00936A8D" w:rsidRDefault="0047626A" w:rsidP="0047626A">
      <w:pPr>
        <w:pStyle w:val="Ruller5"/>
        <w:bidi w:val="0"/>
        <w:rPr>
          <w:rFonts w:asciiTheme="majorBidi" w:hAnsiTheme="majorBidi" w:cstheme="majorBidi"/>
          <w:sz w:val="24"/>
          <w:szCs w:val="24"/>
        </w:rPr>
      </w:pPr>
      <w:r w:rsidRPr="00936A8D">
        <w:rPr>
          <w:rFonts w:asciiTheme="majorBidi" w:hAnsiTheme="majorBidi" w:cstheme="majorBidi"/>
          <w:sz w:val="24"/>
          <w:szCs w:val="24"/>
        </w:rPr>
        <w:t>"There have been in the cases expressions used relating to the sort of things tha</w:t>
      </w:r>
      <w:r>
        <w:rPr>
          <w:rFonts w:asciiTheme="majorBidi" w:hAnsiTheme="majorBidi" w:cstheme="majorBidi"/>
          <w:sz w:val="24"/>
          <w:szCs w:val="24"/>
        </w:rPr>
        <w:t>t authorities must not do [...]</w:t>
      </w:r>
      <w:r w:rsidRPr="00936A8D">
        <w:rPr>
          <w:rFonts w:asciiTheme="majorBidi" w:hAnsiTheme="majorBidi" w:cstheme="majorBidi"/>
          <w:sz w:val="24"/>
          <w:szCs w:val="24"/>
        </w:rPr>
        <w:t xml:space="preserve"> Bad faith, dishonesty – those of course, stand by themselves – unreasonableness, attention given to extraneous circumstances, disregard of public policy and things like that have all been referred to, according to the facts of individual cases, as being matters which are relevant to the question. If they cannot all be confined under one head, they at any rate, I think,</w:t>
      </w:r>
      <w:r>
        <w:rPr>
          <w:rFonts w:asciiTheme="majorBidi" w:hAnsiTheme="majorBidi" w:cstheme="majorBidi"/>
          <w:sz w:val="24"/>
          <w:szCs w:val="24"/>
        </w:rPr>
        <w:t xml:space="preserve"> overlap to a very great extent</w:t>
      </w:r>
      <w:r w:rsidRPr="00936A8D">
        <w:rPr>
          <w:rFonts w:asciiTheme="majorBidi" w:hAnsiTheme="majorBidi" w:cstheme="majorBidi"/>
          <w:sz w:val="24"/>
          <w:szCs w:val="24"/>
        </w:rPr>
        <w:t xml:space="preserve"> [...]</w:t>
      </w:r>
    </w:p>
    <w:p w:rsidR="0047626A" w:rsidRPr="00936A8D" w:rsidRDefault="0047626A" w:rsidP="0047626A">
      <w:pPr>
        <w:pStyle w:val="Ruller5"/>
        <w:bidi w:val="0"/>
        <w:rPr>
          <w:rFonts w:asciiTheme="majorBidi" w:hAnsiTheme="majorBidi" w:cstheme="majorBidi"/>
          <w:sz w:val="24"/>
          <w:szCs w:val="24"/>
        </w:rPr>
      </w:pPr>
      <w:r w:rsidRPr="00936A8D">
        <w:rPr>
          <w:rFonts w:asciiTheme="majorBidi" w:hAnsiTheme="majorBidi" w:cstheme="majorBidi"/>
          <w:sz w:val="24"/>
          <w:szCs w:val="24"/>
        </w:rPr>
        <w:br/>
        <w:t xml:space="preserve">It is true the discretion must be exercised reasonably. Now what does that mean? [...] It has frequently been used and is frequently used as a general description of the things that must not be done. For instance, a person entrusted with a discretion must, so to speak, direct himself properly in law. He must call his own attention to the matters which he is bound to consider. He must exclude from his consideration matters which are irrelevant to what he has to consider. If he does not obey those rules, he may truly be said, and often is said, to be acting 'unreasonably'. Similarly, there may be something so absurd that no sensible person could ever dream that it lay within the powers of the authority. Warrington L.J. in Short v. Poole Corporation [1926] Ch. 66, 90, 91 gave the </w:t>
      </w:r>
      <w:r w:rsidRPr="00936A8D">
        <w:rPr>
          <w:rFonts w:asciiTheme="majorBidi" w:hAnsiTheme="majorBidi" w:cstheme="majorBidi"/>
          <w:sz w:val="24"/>
          <w:szCs w:val="24"/>
        </w:rPr>
        <w:lastRenderedPageBreak/>
        <w:t>example of the red-haired teacher, dismissed because she had red hair. That is unreasonable in one sense. In another sense it is taking into consideration extraneous matters. It is so unreasonable that it might almost be described as being done in bad faith; and, in fact, all these things run into one another".</w:t>
      </w:r>
    </w:p>
    <w:p w:rsidR="0047626A" w:rsidRPr="00936A8D" w:rsidRDefault="0047626A" w:rsidP="0047626A">
      <w:pPr>
        <w:pStyle w:val="Ruller5"/>
        <w:bidi w:val="0"/>
        <w:rPr>
          <w:rFonts w:asciiTheme="majorBidi" w:hAnsiTheme="majorBidi" w:cstheme="majorBidi"/>
          <w:sz w:val="24"/>
          <w:szCs w:val="24"/>
        </w:rPr>
      </w:pPr>
    </w:p>
    <w:p w:rsidR="0047626A" w:rsidRPr="00936A8D" w:rsidRDefault="0047626A" w:rsidP="0047626A">
      <w:pPr>
        <w:pStyle w:val="Ruller5"/>
        <w:rPr>
          <w:rtl/>
        </w:rPr>
      </w:pPr>
      <w:r>
        <w:rPr>
          <w:rFonts w:hint="cs"/>
          <w:rtl/>
        </w:rPr>
        <w:t>(</w:t>
      </w:r>
      <w:r w:rsidRPr="00936A8D">
        <w:rPr>
          <w:rFonts w:hint="eastAsia"/>
          <w:rtl/>
        </w:rPr>
        <w:t>ראו</w:t>
      </w:r>
      <w:r>
        <w:rPr>
          <w:rFonts w:hint="cs"/>
          <w:rtl/>
        </w:rPr>
        <w:t>:</w:t>
      </w:r>
      <w:r w:rsidRPr="00936A8D">
        <w:rPr>
          <w:rtl/>
        </w:rPr>
        <w:t xml:space="preserve"> </w:t>
      </w:r>
      <w:r w:rsidRPr="00936A8D">
        <w:rPr>
          <w:rFonts w:hint="eastAsia"/>
          <w:rtl/>
        </w:rPr>
        <w:t>הלכת</w:t>
      </w:r>
      <w:r w:rsidRPr="00936A8D">
        <w:rPr>
          <w:rtl/>
        </w:rPr>
        <w:t xml:space="preserve"> </w:t>
      </w:r>
      <w:r w:rsidRPr="00936A8D">
        <w:rPr>
          <w:rFonts w:cs="Miriam" w:hint="eastAsia"/>
          <w:b/>
          <w:spacing w:val="0"/>
          <w:szCs w:val="24"/>
          <w:rtl/>
        </w:rPr>
        <w:t>ונסבורי</w:t>
      </w:r>
      <w:r w:rsidRPr="00936A8D">
        <w:rPr>
          <w:rtl/>
        </w:rPr>
        <w:t xml:space="preserve">, </w:t>
      </w:r>
      <w:r w:rsidRPr="00936A8D">
        <w:rPr>
          <w:rFonts w:hint="eastAsia"/>
          <w:rtl/>
        </w:rPr>
        <w:t>בעמ</w:t>
      </w:r>
      <w:r w:rsidRPr="00936A8D">
        <w:rPr>
          <w:rtl/>
        </w:rPr>
        <w:t>' 229-228</w:t>
      </w:r>
      <w:r>
        <w:rPr>
          <w:rFonts w:hint="cs"/>
          <w:rtl/>
        </w:rPr>
        <w:t>)</w:t>
      </w:r>
      <w:r w:rsidRPr="00936A8D">
        <w:rPr>
          <w:rtl/>
        </w:rPr>
        <w:t>.</w:t>
      </w:r>
    </w:p>
    <w:p w:rsidR="0047626A" w:rsidRPr="00803DDF" w:rsidRDefault="0047626A" w:rsidP="0047626A">
      <w:pPr>
        <w:pStyle w:val="Ruller4"/>
        <w:numPr>
          <w:ilvl w:val="0"/>
          <w:numId w:val="0"/>
        </w:numPr>
        <w:rPr>
          <w:rtl/>
        </w:rPr>
      </w:pPr>
    </w:p>
    <w:p w:rsidR="0047626A" w:rsidRPr="00936A8D" w:rsidRDefault="0047626A" w:rsidP="0047626A">
      <w:pPr>
        <w:pStyle w:val="Ruller41"/>
        <w:rPr>
          <w:rtl/>
        </w:rPr>
      </w:pPr>
      <w:r w:rsidRPr="00936A8D">
        <w:rPr>
          <w:rtl/>
        </w:rPr>
        <w:tab/>
      </w:r>
      <w:r w:rsidRPr="00936A8D">
        <w:rPr>
          <w:rFonts w:hint="eastAsia"/>
          <w:rtl/>
        </w:rPr>
        <w:t>לנוכח</w:t>
      </w:r>
      <w:r w:rsidRPr="00936A8D">
        <w:rPr>
          <w:rtl/>
        </w:rPr>
        <w:t xml:space="preserve"> </w:t>
      </w:r>
      <w:r w:rsidRPr="00936A8D">
        <w:rPr>
          <w:rFonts w:hint="eastAsia"/>
          <w:rtl/>
        </w:rPr>
        <w:t>חפיפה</w:t>
      </w:r>
      <w:r w:rsidRPr="00936A8D">
        <w:rPr>
          <w:rtl/>
        </w:rPr>
        <w:t xml:space="preserve"> </w:t>
      </w:r>
      <w:r w:rsidRPr="00936A8D">
        <w:rPr>
          <w:rFonts w:hint="eastAsia"/>
          <w:rtl/>
        </w:rPr>
        <w:t>כאמור</w:t>
      </w:r>
      <w:r w:rsidRPr="00936A8D">
        <w:rPr>
          <w:rtl/>
        </w:rPr>
        <w:t xml:space="preserve">, </w:t>
      </w:r>
      <w:r w:rsidRPr="00936A8D">
        <w:rPr>
          <w:rFonts w:hint="eastAsia"/>
          <w:rtl/>
        </w:rPr>
        <w:t>אין</w:t>
      </w:r>
      <w:r w:rsidRPr="00936A8D">
        <w:rPr>
          <w:rtl/>
        </w:rPr>
        <w:t xml:space="preserve"> </w:t>
      </w:r>
      <w:r w:rsidRPr="00936A8D">
        <w:rPr>
          <w:rFonts w:hint="eastAsia"/>
          <w:rtl/>
        </w:rPr>
        <w:t>ספק</w:t>
      </w:r>
      <w:r w:rsidRPr="00936A8D">
        <w:rPr>
          <w:rtl/>
        </w:rPr>
        <w:t xml:space="preserve"> </w:t>
      </w:r>
      <w:r w:rsidRPr="00936A8D">
        <w:rPr>
          <w:rFonts w:hint="eastAsia"/>
          <w:rtl/>
        </w:rPr>
        <w:t>בכך</w:t>
      </w:r>
      <w:r w:rsidRPr="00936A8D">
        <w:rPr>
          <w:rtl/>
        </w:rPr>
        <w:t xml:space="preserve"> </w:t>
      </w:r>
      <w:r w:rsidRPr="00936A8D">
        <w:rPr>
          <w:rFonts w:hint="eastAsia"/>
          <w:rtl/>
        </w:rPr>
        <w:t>שתבחיני</w:t>
      </w:r>
      <w:r w:rsidRPr="00936A8D">
        <w:rPr>
          <w:rtl/>
        </w:rPr>
        <w:t xml:space="preserve"> "אי-הסבירות" </w:t>
      </w:r>
      <w:r w:rsidRPr="00936A8D">
        <w:rPr>
          <w:rFonts w:hint="eastAsia"/>
          <w:rtl/>
        </w:rPr>
        <w:t>אשר</w:t>
      </w:r>
      <w:r w:rsidRPr="00936A8D">
        <w:rPr>
          <w:rtl/>
        </w:rPr>
        <w:t xml:space="preserve"> נקבעו בהלכת </w:t>
      </w:r>
      <w:r w:rsidRPr="00936A8D">
        <w:rPr>
          <w:rFonts w:ascii="Century" w:hAnsi="Century" w:cs="Miriam" w:hint="eastAsia"/>
          <w:b/>
          <w:spacing w:val="0"/>
          <w:szCs w:val="24"/>
          <w:rtl/>
        </w:rPr>
        <w:t>ונסבורי</w:t>
      </w:r>
      <w:r w:rsidRPr="00936A8D">
        <w:rPr>
          <w:rtl/>
        </w:rPr>
        <w:t xml:space="preserve"> נועדו לאפשר לשופטים לזהות החלטות קיצוניות שלבטח נפגמו בשריר</w:t>
      </w:r>
      <w:r>
        <w:rPr>
          <w:rtl/>
        </w:rPr>
        <w:t>ות, בחוסר תום-לב, בשיקולים זרים</w:t>
      </w:r>
      <w:r w:rsidRPr="00936A8D">
        <w:rPr>
          <w:rtl/>
        </w:rPr>
        <w:t xml:space="preserve"> או בפגם קונקרטי אחר שנאסר על ידי המשפט </w:t>
      </w:r>
      <w:r w:rsidRPr="00936A8D">
        <w:rPr>
          <w:rFonts w:hint="eastAsia"/>
          <w:rtl/>
        </w:rPr>
        <w:t>המינהלי</w:t>
      </w:r>
      <w:r w:rsidRPr="00936A8D">
        <w:rPr>
          <w:rtl/>
        </w:rPr>
        <w:t xml:space="preserve"> (ראו: </w:t>
      </w:r>
      <w:r w:rsidRPr="00936A8D">
        <w:rPr>
          <w:rFonts w:ascii="Century" w:hAnsi="Century" w:cs="Miriam" w:hint="eastAsia"/>
          <w:b/>
          <w:spacing w:val="0"/>
          <w:szCs w:val="24"/>
          <w:rtl/>
        </w:rPr>
        <w:t>דה</w:t>
      </w:r>
      <w:r w:rsidRPr="00936A8D">
        <w:rPr>
          <w:rFonts w:ascii="Century" w:hAnsi="Century" w:cs="Miriam"/>
          <w:b/>
          <w:spacing w:val="0"/>
          <w:szCs w:val="24"/>
          <w:rtl/>
        </w:rPr>
        <w:t>-</w:t>
      </w:r>
      <w:r w:rsidRPr="00936A8D">
        <w:rPr>
          <w:rFonts w:ascii="Century" w:hAnsi="Century" w:cs="Miriam" w:hint="eastAsia"/>
          <w:b/>
          <w:spacing w:val="0"/>
          <w:szCs w:val="24"/>
          <w:rtl/>
        </w:rPr>
        <w:t>סמית</w:t>
      </w:r>
      <w:r w:rsidRPr="00936A8D">
        <w:rPr>
          <w:rtl/>
        </w:rPr>
        <w:t xml:space="preserve">, בעמ' 553). מכאן הזיקה בין הלכת </w:t>
      </w:r>
      <w:r w:rsidRPr="00936A8D">
        <w:rPr>
          <w:rFonts w:ascii="Century" w:hAnsi="Century" w:cs="Miriam" w:hint="eastAsia"/>
          <w:b/>
          <w:spacing w:val="0"/>
          <w:szCs w:val="24"/>
          <w:rtl/>
        </w:rPr>
        <w:t>ונסבורי</w:t>
      </w:r>
      <w:r w:rsidRPr="00936A8D">
        <w:rPr>
          <w:rtl/>
        </w:rPr>
        <w:t xml:space="preserve"> לגישה הראייתית בה אני </w:t>
      </w:r>
      <w:r w:rsidRPr="00936A8D">
        <w:rPr>
          <w:rFonts w:hint="eastAsia"/>
          <w:rtl/>
        </w:rPr>
        <w:t>מצדד</w:t>
      </w:r>
      <w:r w:rsidRPr="00936A8D">
        <w:rPr>
          <w:rtl/>
        </w:rPr>
        <w:t>.</w:t>
      </w:r>
    </w:p>
    <w:p w:rsidR="0047626A" w:rsidRPr="00936A8D" w:rsidRDefault="0047626A" w:rsidP="0047626A">
      <w:pPr>
        <w:pStyle w:val="Ruller41"/>
        <w:rPr>
          <w:rtl/>
        </w:rPr>
      </w:pPr>
    </w:p>
    <w:p w:rsidR="0047626A" w:rsidRPr="00F240CE" w:rsidRDefault="0047626A" w:rsidP="0047626A">
      <w:pPr>
        <w:pStyle w:val="Ruller4"/>
        <w:rPr>
          <w:rtl/>
        </w:rPr>
      </w:pPr>
      <w:r w:rsidRPr="00F240CE">
        <w:rPr>
          <w:rFonts w:hint="eastAsia"/>
          <w:rtl/>
        </w:rPr>
        <w:t>זיקה</w:t>
      </w:r>
      <w:r w:rsidRPr="00F240CE">
        <w:rPr>
          <w:rtl/>
        </w:rPr>
        <w:t xml:space="preserve"> </w:t>
      </w:r>
      <w:r w:rsidRPr="00F240CE">
        <w:rPr>
          <w:rFonts w:hint="eastAsia"/>
          <w:rtl/>
        </w:rPr>
        <w:t>זו</w:t>
      </w:r>
      <w:r w:rsidRPr="00F240CE">
        <w:rPr>
          <w:rtl/>
        </w:rPr>
        <w:t xml:space="preserve"> </w:t>
      </w:r>
      <w:r w:rsidRPr="00F240CE">
        <w:rPr>
          <w:rFonts w:hint="eastAsia"/>
          <w:rtl/>
        </w:rPr>
        <w:t>משקפת</w:t>
      </w:r>
      <w:r w:rsidRPr="00F240CE">
        <w:rPr>
          <w:rtl/>
        </w:rPr>
        <w:t xml:space="preserve"> </w:t>
      </w:r>
      <w:r w:rsidRPr="00F240CE">
        <w:rPr>
          <w:rFonts w:hint="eastAsia"/>
          <w:rtl/>
        </w:rPr>
        <w:t>את</w:t>
      </w:r>
      <w:r w:rsidRPr="00F240CE">
        <w:rPr>
          <w:rtl/>
        </w:rPr>
        <w:t xml:space="preserve"> </w:t>
      </w:r>
      <w:r w:rsidRPr="00F240CE">
        <w:rPr>
          <w:rFonts w:hint="eastAsia"/>
          <w:rtl/>
        </w:rPr>
        <w:t>הפרקטיקה</w:t>
      </w:r>
      <w:r w:rsidRPr="00F240CE">
        <w:rPr>
          <w:rtl/>
        </w:rPr>
        <w:t xml:space="preserve"> </w:t>
      </w:r>
      <w:r w:rsidRPr="00F240CE">
        <w:rPr>
          <w:rFonts w:hint="eastAsia"/>
          <w:rtl/>
        </w:rPr>
        <w:t>הנהוגה</w:t>
      </w:r>
      <w:r w:rsidRPr="00F240CE">
        <w:rPr>
          <w:rtl/>
        </w:rPr>
        <w:t xml:space="preserve"> </w:t>
      </w:r>
      <w:r w:rsidRPr="00F240CE">
        <w:rPr>
          <w:rFonts w:hint="eastAsia"/>
          <w:rtl/>
        </w:rPr>
        <w:t>בבתי</w:t>
      </w:r>
      <w:r w:rsidRPr="00F240CE">
        <w:rPr>
          <w:rtl/>
        </w:rPr>
        <w:t xml:space="preserve"> </w:t>
      </w:r>
      <w:r w:rsidRPr="00F240CE">
        <w:rPr>
          <w:rFonts w:hint="eastAsia"/>
          <w:rtl/>
        </w:rPr>
        <w:t>המשפט</w:t>
      </w:r>
      <w:r w:rsidRPr="00F240CE">
        <w:rPr>
          <w:rtl/>
        </w:rPr>
        <w:t xml:space="preserve"> </w:t>
      </w:r>
      <w:r w:rsidRPr="00F240CE">
        <w:rPr>
          <w:rFonts w:hint="eastAsia"/>
          <w:rtl/>
        </w:rPr>
        <w:t>האנגליים</w:t>
      </w:r>
      <w:r w:rsidRPr="00F240CE">
        <w:rPr>
          <w:rtl/>
        </w:rPr>
        <w:t xml:space="preserve">. </w:t>
      </w:r>
      <w:r w:rsidRPr="00F240CE">
        <w:rPr>
          <w:rFonts w:hint="eastAsia"/>
          <w:rtl/>
        </w:rPr>
        <w:t>במסגרתה</w:t>
      </w:r>
      <w:r w:rsidRPr="00F240CE">
        <w:rPr>
          <w:rtl/>
        </w:rPr>
        <w:t xml:space="preserve">, </w:t>
      </w:r>
      <w:r w:rsidRPr="00F240CE">
        <w:rPr>
          <w:rFonts w:hint="eastAsia"/>
          <w:rtl/>
        </w:rPr>
        <w:t>היותה</w:t>
      </w:r>
      <w:r w:rsidRPr="00F240CE">
        <w:rPr>
          <w:rtl/>
        </w:rPr>
        <w:t xml:space="preserve"> </w:t>
      </w:r>
      <w:r w:rsidRPr="00F240CE">
        <w:rPr>
          <w:rFonts w:hint="eastAsia"/>
          <w:rtl/>
        </w:rPr>
        <w:t>של</w:t>
      </w:r>
      <w:r w:rsidRPr="00F240CE">
        <w:rPr>
          <w:rtl/>
        </w:rPr>
        <w:t xml:space="preserve"> </w:t>
      </w:r>
      <w:r w:rsidRPr="00F240CE">
        <w:rPr>
          <w:rFonts w:hint="eastAsia"/>
          <w:rtl/>
        </w:rPr>
        <w:t>החלטת</w:t>
      </w:r>
      <w:r w:rsidRPr="00F240CE">
        <w:rPr>
          <w:rtl/>
        </w:rPr>
        <w:t xml:space="preserve"> </w:t>
      </w:r>
      <w:r w:rsidRPr="00F240CE">
        <w:rPr>
          <w:rFonts w:hint="eastAsia"/>
          <w:rtl/>
        </w:rPr>
        <w:t>הרשות</w:t>
      </w:r>
      <w:r w:rsidRPr="00F240CE">
        <w:rPr>
          <w:rtl/>
        </w:rPr>
        <w:t xml:space="preserve"> </w:t>
      </w:r>
      <w:r w:rsidRPr="00F240CE">
        <w:rPr>
          <w:rFonts w:hint="eastAsia"/>
          <w:rtl/>
        </w:rPr>
        <w:t>בלתי</w:t>
      </w:r>
      <w:r w:rsidRPr="00F240CE">
        <w:rPr>
          <w:rtl/>
        </w:rPr>
        <w:t xml:space="preserve"> </w:t>
      </w:r>
      <w:r w:rsidRPr="00F240CE">
        <w:rPr>
          <w:rFonts w:hint="eastAsia"/>
          <w:rtl/>
        </w:rPr>
        <w:t>הגיונית</w:t>
      </w:r>
      <w:r w:rsidRPr="00F240CE">
        <w:rPr>
          <w:rtl/>
        </w:rPr>
        <w:t xml:space="preserve"> </w:t>
      </w:r>
      <w:r w:rsidRPr="00F240CE">
        <w:rPr>
          <w:rFonts w:hint="eastAsia"/>
          <w:rtl/>
        </w:rPr>
        <w:t>או</w:t>
      </w:r>
      <w:r w:rsidRPr="00F240CE">
        <w:rPr>
          <w:rtl/>
        </w:rPr>
        <w:t xml:space="preserve"> </w:t>
      </w:r>
      <w:r w:rsidRPr="00F240CE">
        <w:rPr>
          <w:rFonts w:hint="eastAsia"/>
          <w:rtl/>
        </w:rPr>
        <w:t>בלתי</w:t>
      </w:r>
      <w:r w:rsidRPr="00F240CE">
        <w:rPr>
          <w:rtl/>
        </w:rPr>
        <w:t xml:space="preserve"> </w:t>
      </w:r>
      <w:r w:rsidRPr="00F240CE">
        <w:rPr>
          <w:rFonts w:hint="eastAsia"/>
          <w:rtl/>
        </w:rPr>
        <w:t>סבירה</w:t>
      </w:r>
      <w:r w:rsidRPr="00F240CE">
        <w:rPr>
          <w:rtl/>
        </w:rPr>
        <w:t xml:space="preserve"> </w:t>
      </w:r>
      <w:r w:rsidRPr="00F240CE">
        <w:rPr>
          <w:rFonts w:hint="eastAsia"/>
          <w:rtl/>
        </w:rPr>
        <w:t>על</w:t>
      </w:r>
      <w:r w:rsidRPr="00F240CE">
        <w:rPr>
          <w:rtl/>
        </w:rPr>
        <w:t>-</w:t>
      </w:r>
      <w:r w:rsidRPr="00F240CE">
        <w:rPr>
          <w:rFonts w:hint="eastAsia"/>
          <w:rtl/>
        </w:rPr>
        <w:t>פניה</w:t>
      </w:r>
      <w:r w:rsidRPr="00F240CE">
        <w:rPr>
          <w:rtl/>
        </w:rPr>
        <w:t xml:space="preserve"> </w:t>
      </w:r>
      <w:r w:rsidRPr="00F240CE">
        <w:rPr>
          <w:rFonts w:hint="eastAsia"/>
          <w:rtl/>
        </w:rPr>
        <w:t>מעבירה</w:t>
      </w:r>
      <w:r w:rsidRPr="00F240CE">
        <w:rPr>
          <w:rtl/>
        </w:rPr>
        <w:t xml:space="preserve"> </w:t>
      </w:r>
      <w:r w:rsidRPr="00F240CE">
        <w:rPr>
          <w:rFonts w:hint="eastAsia"/>
          <w:rtl/>
        </w:rPr>
        <w:t>אל</w:t>
      </w:r>
      <w:r w:rsidRPr="00F240CE">
        <w:rPr>
          <w:rtl/>
        </w:rPr>
        <w:t xml:space="preserve"> </w:t>
      </w:r>
      <w:r w:rsidRPr="00F240CE">
        <w:rPr>
          <w:rFonts w:hint="eastAsia"/>
          <w:rtl/>
        </w:rPr>
        <w:t>הרשות</w:t>
      </w:r>
      <w:r w:rsidRPr="00F240CE">
        <w:rPr>
          <w:rtl/>
        </w:rPr>
        <w:t xml:space="preserve"> </w:t>
      </w:r>
      <w:r w:rsidRPr="00F240CE">
        <w:rPr>
          <w:rFonts w:hint="eastAsia"/>
          <w:rtl/>
        </w:rPr>
        <w:t>את</w:t>
      </w:r>
      <w:r w:rsidRPr="00F240CE">
        <w:rPr>
          <w:rtl/>
        </w:rPr>
        <w:t xml:space="preserve"> </w:t>
      </w:r>
      <w:r w:rsidRPr="00F240CE">
        <w:rPr>
          <w:rFonts w:hint="eastAsia"/>
          <w:rtl/>
        </w:rPr>
        <w:t>הנטל</w:t>
      </w:r>
      <w:r w:rsidRPr="00F240CE">
        <w:rPr>
          <w:rtl/>
        </w:rPr>
        <w:t xml:space="preserve"> </w:t>
      </w:r>
      <w:r w:rsidRPr="00F240CE">
        <w:rPr>
          <w:rFonts w:hint="eastAsia"/>
          <w:rtl/>
        </w:rPr>
        <w:t>להוכיח</w:t>
      </w:r>
      <w:r w:rsidRPr="00F240CE">
        <w:rPr>
          <w:rtl/>
        </w:rPr>
        <w:t xml:space="preserve"> </w:t>
      </w:r>
      <w:r w:rsidRPr="00F240CE">
        <w:rPr>
          <w:rFonts w:hint="eastAsia"/>
          <w:rtl/>
        </w:rPr>
        <w:t>כי</w:t>
      </w:r>
      <w:r w:rsidRPr="00F240CE">
        <w:rPr>
          <w:rtl/>
        </w:rPr>
        <w:t xml:space="preserve"> </w:t>
      </w:r>
      <w:r w:rsidRPr="00F240CE">
        <w:rPr>
          <w:rFonts w:hint="eastAsia"/>
          <w:rtl/>
        </w:rPr>
        <w:t>ההחלטה</w:t>
      </w:r>
      <w:r w:rsidRPr="00F240CE">
        <w:rPr>
          <w:rtl/>
        </w:rPr>
        <w:t xml:space="preserve"> </w:t>
      </w:r>
      <w:r w:rsidRPr="00F240CE">
        <w:rPr>
          <w:rFonts w:hint="eastAsia"/>
          <w:rtl/>
        </w:rPr>
        <w:t>התקבלה</w:t>
      </w:r>
      <w:r w:rsidRPr="00F240CE">
        <w:rPr>
          <w:rtl/>
        </w:rPr>
        <w:t xml:space="preserve"> </w:t>
      </w:r>
      <w:r w:rsidRPr="00F240CE">
        <w:rPr>
          <w:rFonts w:hint="eastAsia"/>
          <w:rtl/>
        </w:rPr>
        <w:t>כדבעי</w:t>
      </w:r>
      <w:r w:rsidRPr="00F240CE">
        <w:rPr>
          <w:rtl/>
        </w:rPr>
        <w:t xml:space="preserve">, </w:t>
      </w:r>
      <w:r w:rsidRPr="00F240CE">
        <w:rPr>
          <w:rFonts w:hint="eastAsia"/>
          <w:rtl/>
        </w:rPr>
        <w:t>ללא</w:t>
      </w:r>
      <w:r w:rsidRPr="00F240CE">
        <w:rPr>
          <w:rtl/>
        </w:rPr>
        <w:t xml:space="preserve"> </w:t>
      </w:r>
      <w:r w:rsidRPr="00F240CE">
        <w:rPr>
          <w:rFonts w:hint="eastAsia"/>
          <w:rtl/>
        </w:rPr>
        <w:t>שום</w:t>
      </w:r>
      <w:r w:rsidRPr="00F240CE">
        <w:rPr>
          <w:rtl/>
        </w:rPr>
        <w:t xml:space="preserve"> </w:t>
      </w:r>
      <w:r w:rsidRPr="00F240CE">
        <w:rPr>
          <w:rFonts w:hint="eastAsia"/>
          <w:rtl/>
        </w:rPr>
        <w:t>שרירות</w:t>
      </w:r>
      <w:r w:rsidRPr="00F240CE">
        <w:rPr>
          <w:rtl/>
        </w:rPr>
        <w:t xml:space="preserve"> </w:t>
      </w:r>
      <w:r w:rsidRPr="00F240CE">
        <w:rPr>
          <w:rFonts w:hint="eastAsia"/>
          <w:rtl/>
        </w:rPr>
        <w:t>ומתוך</w:t>
      </w:r>
      <w:r w:rsidRPr="00F240CE">
        <w:rPr>
          <w:rtl/>
        </w:rPr>
        <w:t xml:space="preserve"> </w:t>
      </w:r>
      <w:r w:rsidRPr="00F240CE">
        <w:rPr>
          <w:rFonts w:hint="eastAsia"/>
          <w:rtl/>
        </w:rPr>
        <w:t>שיקולים</w:t>
      </w:r>
      <w:r w:rsidRPr="00F240CE">
        <w:rPr>
          <w:rtl/>
        </w:rPr>
        <w:t xml:space="preserve"> </w:t>
      </w:r>
      <w:r w:rsidRPr="00F240CE">
        <w:rPr>
          <w:rFonts w:hint="eastAsia"/>
          <w:rtl/>
        </w:rPr>
        <w:t>ענייניים</w:t>
      </w:r>
      <w:r w:rsidRPr="00F240CE">
        <w:rPr>
          <w:rtl/>
        </w:rPr>
        <w:t xml:space="preserve"> (</w:t>
      </w:r>
      <w:r w:rsidRPr="00F240CE">
        <w:rPr>
          <w:rFonts w:hint="eastAsia"/>
          <w:rtl/>
        </w:rPr>
        <w:t>ראו</w:t>
      </w:r>
      <w:r w:rsidRPr="00F240CE">
        <w:rPr>
          <w:rtl/>
        </w:rPr>
        <w:t xml:space="preserve">: </w:t>
      </w:r>
      <w:r w:rsidRPr="00F240CE">
        <w:rPr>
          <w:rFonts w:asciiTheme="majorBidi" w:hAnsiTheme="majorBidi" w:cstheme="majorBidi"/>
        </w:rPr>
        <w:t xml:space="preserve">Paul Daly, </w:t>
      </w:r>
      <w:r w:rsidRPr="00F240CE">
        <w:rPr>
          <w:rFonts w:asciiTheme="majorBidi" w:hAnsiTheme="majorBidi" w:cstheme="majorBidi"/>
          <w:i/>
          <w:iCs/>
        </w:rPr>
        <w:t>Wednesbury's Reason and Structure</w:t>
      </w:r>
      <w:r w:rsidRPr="00F240CE">
        <w:rPr>
          <w:rFonts w:asciiTheme="majorBidi" w:hAnsiTheme="majorBidi" w:cstheme="majorBidi"/>
        </w:rPr>
        <w:t xml:space="preserve">, </w:t>
      </w:r>
      <w:r>
        <w:rPr>
          <w:rFonts w:asciiTheme="majorBidi" w:hAnsiTheme="majorBidi" w:cstheme="majorBidi"/>
        </w:rPr>
        <w:t>2</w:t>
      </w:r>
      <w:r w:rsidRPr="00F240CE">
        <w:rPr>
          <w:rFonts w:asciiTheme="majorBidi" w:hAnsiTheme="majorBidi" w:cstheme="majorBidi"/>
        </w:rPr>
        <w:t xml:space="preserve"> </w:t>
      </w:r>
      <w:r w:rsidRPr="00F240CE">
        <w:rPr>
          <w:rFonts w:asciiTheme="majorBidi" w:hAnsiTheme="majorBidi" w:cstheme="majorBidi"/>
          <w:smallCaps/>
        </w:rPr>
        <w:t>Pub. Law</w:t>
      </w:r>
      <w:r w:rsidRPr="00F240CE">
        <w:rPr>
          <w:rFonts w:asciiTheme="majorBidi" w:hAnsiTheme="majorBidi" w:cstheme="majorBidi"/>
        </w:rPr>
        <w:t xml:space="preserve"> 238</w:t>
      </w:r>
      <w:r>
        <w:rPr>
          <w:rFonts w:asciiTheme="majorBidi" w:hAnsiTheme="majorBidi" w:cstheme="majorBidi"/>
        </w:rPr>
        <w:t xml:space="preserve"> (2011)</w:t>
      </w:r>
      <w:r w:rsidRPr="00F240CE">
        <w:rPr>
          <w:rtl/>
        </w:rPr>
        <w:t>).</w:t>
      </w:r>
    </w:p>
    <w:p w:rsidR="0047626A" w:rsidRPr="00F240CE" w:rsidRDefault="0047626A" w:rsidP="0047626A">
      <w:pPr>
        <w:pStyle w:val="Ruller41"/>
        <w:rPr>
          <w:rtl/>
        </w:rPr>
      </w:pPr>
    </w:p>
    <w:p w:rsidR="0047626A" w:rsidRPr="00936A8D" w:rsidRDefault="0047626A" w:rsidP="0047626A">
      <w:pPr>
        <w:pStyle w:val="Ruller4"/>
      </w:pPr>
      <w:r w:rsidRPr="00F240CE">
        <w:rPr>
          <w:rFonts w:hint="eastAsia"/>
          <w:rtl/>
        </w:rPr>
        <w:t>זאת</w:t>
      </w:r>
      <w:r w:rsidRPr="00F240CE">
        <w:rPr>
          <w:rtl/>
        </w:rPr>
        <w:t xml:space="preserve"> </w:t>
      </w:r>
      <w:r w:rsidRPr="00F240CE">
        <w:rPr>
          <w:rFonts w:hint="eastAsia"/>
          <w:rtl/>
        </w:rPr>
        <w:t>ועוד</w:t>
      </w:r>
      <w:r w:rsidRPr="00F240CE">
        <w:rPr>
          <w:rtl/>
        </w:rPr>
        <w:t xml:space="preserve">: </w:t>
      </w:r>
      <w:r w:rsidRPr="00F240CE">
        <w:rPr>
          <w:rFonts w:hint="eastAsia"/>
          <w:rtl/>
        </w:rPr>
        <w:t>גם</w:t>
      </w:r>
      <w:r w:rsidRPr="00F240CE">
        <w:rPr>
          <w:rtl/>
        </w:rPr>
        <w:t xml:space="preserve"> </w:t>
      </w:r>
      <w:r w:rsidRPr="00F240CE">
        <w:rPr>
          <w:rFonts w:hint="eastAsia"/>
          <w:rtl/>
        </w:rPr>
        <w:t>בגדרי</w:t>
      </w:r>
      <w:r w:rsidRPr="00F240CE">
        <w:rPr>
          <w:rtl/>
        </w:rPr>
        <w:t xml:space="preserve"> </w:t>
      </w:r>
      <w:r w:rsidRPr="00F240CE">
        <w:rPr>
          <w:rFonts w:hint="eastAsia"/>
          <w:rtl/>
        </w:rPr>
        <w:t>המשפט</w:t>
      </w:r>
      <w:r w:rsidRPr="00F240CE">
        <w:rPr>
          <w:rtl/>
        </w:rPr>
        <w:t xml:space="preserve"> </w:t>
      </w:r>
      <w:r w:rsidRPr="00F240CE">
        <w:rPr>
          <w:rFonts w:hint="eastAsia"/>
          <w:rtl/>
        </w:rPr>
        <w:t>האנגלי</w:t>
      </w:r>
      <w:r w:rsidRPr="00F240CE">
        <w:rPr>
          <w:rtl/>
        </w:rPr>
        <w:t xml:space="preserve"> </w:t>
      </w:r>
      <w:r w:rsidRPr="00F240CE">
        <w:rPr>
          <w:rFonts w:hint="eastAsia"/>
          <w:rtl/>
        </w:rPr>
        <w:t>נשמעה</w:t>
      </w:r>
      <w:r w:rsidRPr="00F240CE">
        <w:rPr>
          <w:rtl/>
        </w:rPr>
        <w:t xml:space="preserve"> </w:t>
      </w:r>
      <w:r w:rsidRPr="00F240CE">
        <w:rPr>
          <w:rFonts w:hint="eastAsia"/>
          <w:rtl/>
        </w:rPr>
        <w:t>התנגדות</w:t>
      </w:r>
      <w:r w:rsidRPr="00F240CE">
        <w:rPr>
          <w:rtl/>
        </w:rPr>
        <w:t xml:space="preserve"> </w:t>
      </w:r>
      <w:r w:rsidRPr="00F240CE">
        <w:rPr>
          <w:rFonts w:hint="eastAsia"/>
          <w:rtl/>
        </w:rPr>
        <w:t>נמרצת</w:t>
      </w:r>
      <w:r w:rsidRPr="00F240CE">
        <w:rPr>
          <w:rtl/>
        </w:rPr>
        <w:t xml:space="preserve"> – </w:t>
      </w:r>
      <w:r w:rsidRPr="00F240CE">
        <w:rPr>
          <w:rFonts w:hint="eastAsia"/>
          <w:rtl/>
        </w:rPr>
        <w:t>הזהה</w:t>
      </w:r>
      <w:r w:rsidRPr="00F240CE">
        <w:rPr>
          <w:rtl/>
        </w:rPr>
        <w:t xml:space="preserve"> </w:t>
      </w:r>
      <w:r w:rsidRPr="00F240CE">
        <w:rPr>
          <w:rFonts w:hint="eastAsia"/>
          <w:rtl/>
        </w:rPr>
        <w:t>במהותה</w:t>
      </w:r>
      <w:r w:rsidRPr="00F240CE">
        <w:rPr>
          <w:rtl/>
        </w:rPr>
        <w:t xml:space="preserve"> </w:t>
      </w:r>
      <w:r w:rsidRPr="00F240CE">
        <w:rPr>
          <w:rFonts w:hint="eastAsia"/>
          <w:rtl/>
        </w:rPr>
        <w:t>להתנגדותי</w:t>
      </w:r>
      <w:r w:rsidRPr="00F240CE">
        <w:rPr>
          <w:rtl/>
        </w:rPr>
        <w:t xml:space="preserve"> </w:t>
      </w:r>
      <w:r w:rsidRPr="00F240CE">
        <w:rPr>
          <w:rFonts w:hint="eastAsia"/>
          <w:rtl/>
        </w:rPr>
        <w:t>שלי</w:t>
      </w:r>
      <w:r w:rsidRPr="00F240CE">
        <w:rPr>
          <w:rtl/>
        </w:rPr>
        <w:t xml:space="preserve"> – </w:t>
      </w:r>
      <w:r w:rsidRPr="00F240CE">
        <w:rPr>
          <w:rFonts w:hint="eastAsia"/>
          <w:rtl/>
        </w:rPr>
        <w:t>להפעלתה</w:t>
      </w:r>
      <w:r w:rsidRPr="00F240CE">
        <w:rPr>
          <w:rtl/>
        </w:rPr>
        <w:t xml:space="preserve"> </w:t>
      </w:r>
      <w:r w:rsidRPr="00F240CE">
        <w:rPr>
          <w:rFonts w:hint="eastAsia"/>
          <w:rtl/>
        </w:rPr>
        <w:t>של</w:t>
      </w:r>
      <w:r w:rsidRPr="00F240CE">
        <w:rPr>
          <w:rtl/>
        </w:rPr>
        <w:t xml:space="preserve"> </w:t>
      </w:r>
      <w:r w:rsidRPr="00F240CE">
        <w:rPr>
          <w:rFonts w:hint="eastAsia"/>
          <w:rtl/>
        </w:rPr>
        <w:t>דוקטרינת</w:t>
      </w:r>
      <w:r w:rsidRPr="00F240CE">
        <w:rPr>
          <w:rtl/>
        </w:rPr>
        <w:t xml:space="preserve"> </w:t>
      </w:r>
      <w:r w:rsidRPr="00F240CE">
        <w:rPr>
          <w:rFonts w:hint="eastAsia"/>
          <w:rtl/>
        </w:rPr>
        <w:t>הסבירות</w:t>
      </w:r>
      <w:r w:rsidRPr="00F240CE">
        <w:rPr>
          <w:rtl/>
        </w:rPr>
        <w:t xml:space="preserve"> </w:t>
      </w:r>
      <w:r w:rsidRPr="00F240CE">
        <w:rPr>
          <w:rFonts w:hint="eastAsia"/>
          <w:rtl/>
        </w:rPr>
        <w:t>במתכונת</w:t>
      </w:r>
      <w:r w:rsidRPr="00F240CE">
        <w:rPr>
          <w:rtl/>
        </w:rPr>
        <w:t xml:space="preserve"> </w:t>
      </w:r>
      <w:r w:rsidRPr="00F240CE">
        <w:rPr>
          <w:rFonts w:hint="eastAsia"/>
          <w:rtl/>
        </w:rPr>
        <w:t>של</w:t>
      </w:r>
      <w:r w:rsidRPr="00F240CE">
        <w:rPr>
          <w:rtl/>
        </w:rPr>
        <w:t xml:space="preserve"> "</w:t>
      </w:r>
      <w:r w:rsidRPr="00F240CE">
        <w:rPr>
          <w:rFonts w:hint="eastAsia"/>
          <w:rtl/>
        </w:rPr>
        <w:t>המשפט</w:t>
      </w:r>
      <w:r w:rsidRPr="00F240CE">
        <w:rPr>
          <w:rtl/>
        </w:rPr>
        <w:t xml:space="preserve"> </w:t>
      </w:r>
      <w:r w:rsidRPr="00F240CE">
        <w:rPr>
          <w:rFonts w:hint="eastAsia"/>
          <w:rtl/>
        </w:rPr>
        <w:t>זה</w:t>
      </w:r>
      <w:r w:rsidRPr="00F240CE">
        <w:rPr>
          <w:rtl/>
        </w:rPr>
        <w:t xml:space="preserve"> </w:t>
      </w:r>
      <w:r w:rsidRPr="00F240CE">
        <w:rPr>
          <w:rFonts w:hint="eastAsia"/>
          <w:rtl/>
        </w:rPr>
        <w:t>אני</w:t>
      </w:r>
      <w:r w:rsidRPr="00F240CE">
        <w:rPr>
          <w:rtl/>
        </w:rPr>
        <w:t xml:space="preserve">". </w:t>
      </w:r>
      <w:r w:rsidRPr="00F240CE">
        <w:rPr>
          <w:rFonts w:hint="eastAsia"/>
          <w:rtl/>
        </w:rPr>
        <w:t>התנגדות</w:t>
      </w:r>
      <w:r w:rsidRPr="00F240CE">
        <w:rPr>
          <w:rtl/>
        </w:rPr>
        <w:t xml:space="preserve"> </w:t>
      </w:r>
      <w:r w:rsidRPr="00F240CE">
        <w:rPr>
          <w:rFonts w:hint="eastAsia"/>
          <w:rtl/>
        </w:rPr>
        <w:t>זו</w:t>
      </w:r>
      <w:r w:rsidRPr="00F240CE">
        <w:rPr>
          <w:rtl/>
        </w:rPr>
        <w:t xml:space="preserve"> </w:t>
      </w:r>
      <w:r w:rsidRPr="00F240CE">
        <w:rPr>
          <w:rFonts w:hint="eastAsia"/>
          <w:rtl/>
        </w:rPr>
        <w:t>באה</w:t>
      </w:r>
      <w:r w:rsidRPr="00F240CE">
        <w:rPr>
          <w:rtl/>
        </w:rPr>
        <w:t xml:space="preserve"> </w:t>
      </w:r>
      <w:r w:rsidRPr="00F240CE">
        <w:rPr>
          <w:rFonts w:hint="eastAsia"/>
          <w:rtl/>
        </w:rPr>
        <w:t>מפיהם</w:t>
      </w:r>
      <w:r w:rsidRPr="00F240CE">
        <w:rPr>
          <w:rtl/>
        </w:rPr>
        <w:t xml:space="preserve"> </w:t>
      </w:r>
      <w:r w:rsidRPr="00F240CE">
        <w:rPr>
          <w:rFonts w:hint="eastAsia"/>
          <w:rtl/>
        </w:rPr>
        <w:t>של</w:t>
      </w:r>
      <w:r w:rsidRPr="00F240CE">
        <w:rPr>
          <w:rtl/>
        </w:rPr>
        <w:t xml:space="preserve"> </w:t>
      </w:r>
      <w:r w:rsidRPr="00F240CE">
        <w:rPr>
          <w:rFonts w:hint="eastAsia"/>
          <w:rtl/>
        </w:rPr>
        <w:t>פרופ</w:t>
      </w:r>
      <w:r w:rsidRPr="00F240CE">
        <w:rPr>
          <w:rtl/>
        </w:rPr>
        <w:t xml:space="preserve">' </w:t>
      </w:r>
      <w:r w:rsidRPr="00F240CE">
        <w:rPr>
          <w:rFonts w:hint="eastAsia"/>
          <w:rtl/>
        </w:rPr>
        <w:t>ג</w:t>
      </w:r>
      <w:r w:rsidRPr="00F240CE">
        <w:rPr>
          <w:rtl/>
        </w:rPr>
        <w:t>'</w:t>
      </w:r>
      <w:r w:rsidRPr="00F240CE">
        <w:rPr>
          <w:rFonts w:hint="eastAsia"/>
          <w:rtl/>
        </w:rPr>
        <w:t>פרי</w:t>
      </w:r>
      <w:r w:rsidRPr="00F240CE">
        <w:rPr>
          <w:rtl/>
        </w:rPr>
        <w:t xml:space="preserve"> </w:t>
      </w:r>
      <w:r w:rsidRPr="00F240CE">
        <w:rPr>
          <w:rFonts w:hint="eastAsia"/>
          <w:rtl/>
        </w:rPr>
        <w:t>ג</w:t>
      </w:r>
      <w:r w:rsidRPr="00F240CE">
        <w:rPr>
          <w:rtl/>
        </w:rPr>
        <w:t>'</w:t>
      </w:r>
      <w:r w:rsidRPr="00F240CE">
        <w:rPr>
          <w:rFonts w:hint="eastAsia"/>
          <w:rtl/>
        </w:rPr>
        <w:t>ואל</w:t>
      </w:r>
      <w:r w:rsidRPr="00F240CE">
        <w:rPr>
          <w:rtl/>
        </w:rPr>
        <w:t xml:space="preserve">, </w:t>
      </w:r>
      <w:r w:rsidRPr="00F240CE">
        <w:rPr>
          <w:rFonts w:hint="eastAsia"/>
          <w:rtl/>
        </w:rPr>
        <w:t>אחד</w:t>
      </w:r>
      <w:r w:rsidRPr="00F240CE">
        <w:rPr>
          <w:rtl/>
        </w:rPr>
        <w:t xml:space="preserve"> </w:t>
      </w:r>
      <w:r w:rsidRPr="00F240CE">
        <w:rPr>
          <w:rFonts w:hint="eastAsia"/>
          <w:rtl/>
        </w:rPr>
        <w:t>מגדולי</w:t>
      </w:r>
      <w:r w:rsidRPr="00F240CE">
        <w:rPr>
          <w:rtl/>
        </w:rPr>
        <w:t xml:space="preserve"> </w:t>
      </w:r>
      <w:r w:rsidRPr="00F240CE">
        <w:rPr>
          <w:rFonts w:hint="eastAsia"/>
          <w:rtl/>
        </w:rPr>
        <w:t>המומחים</w:t>
      </w:r>
      <w:r w:rsidRPr="00F240CE">
        <w:rPr>
          <w:rtl/>
        </w:rPr>
        <w:t xml:space="preserve"> </w:t>
      </w:r>
      <w:r w:rsidRPr="00F240CE">
        <w:rPr>
          <w:rFonts w:hint="eastAsia"/>
          <w:rtl/>
        </w:rPr>
        <w:t>האקדמיים</w:t>
      </w:r>
      <w:r w:rsidRPr="00F240CE">
        <w:rPr>
          <w:rtl/>
        </w:rPr>
        <w:t xml:space="preserve"> </w:t>
      </w:r>
      <w:r w:rsidRPr="00F240CE">
        <w:rPr>
          <w:rFonts w:hint="eastAsia"/>
          <w:rtl/>
        </w:rPr>
        <w:t>במשפט</w:t>
      </w:r>
      <w:r w:rsidRPr="00F240CE">
        <w:rPr>
          <w:rtl/>
        </w:rPr>
        <w:t xml:space="preserve"> </w:t>
      </w:r>
      <w:r w:rsidRPr="00F240CE">
        <w:rPr>
          <w:rFonts w:hint="eastAsia"/>
          <w:rtl/>
        </w:rPr>
        <w:t>המינהלי</w:t>
      </w:r>
      <w:r w:rsidRPr="00F240CE">
        <w:rPr>
          <w:rtl/>
        </w:rPr>
        <w:t xml:space="preserve">, </w:t>
      </w:r>
      <w:r w:rsidRPr="00F240CE">
        <w:rPr>
          <w:rFonts w:hint="eastAsia"/>
          <w:rtl/>
        </w:rPr>
        <w:t>ושל</w:t>
      </w:r>
      <w:r w:rsidRPr="00F240CE">
        <w:rPr>
          <w:rtl/>
        </w:rPr>
        <w:t xml:space="preserve"> </w:t>
      </w:r>
      <w:r w:rsidRPr="00F240CE">
        <w:rPr>
          <w:rFonts w:hint="eastAsia"/>
          <w:rtl/>
        </w:rPr>
        <w:t>הלורד</w:t>
      </w:r>
      <w:r w:rsidRPr="00F240CE">
        <w:rPr>
          <w:rtl/>
        </w:rPr>
        <w:t xml:space="preserve"> </w:t>
      </w:r>
      <w:r w:rsidRPr="00F240CE">
        <w:rPr>
          <w:rFonts w:hint="eastAsia"/>
          <w:rtl/>
        </w:rPr>
        <w:t>לסטר</w:t>
      </w:r>
      <w:r w:rsidRPr="00F240CE">
        <w:rPr>
          <w:rtl/>
        </w:rPr>
        <w:t xml:space="preserve">, </w:t>
      </w:r>
      <w:r w:rsidRPr="00F240CE">
        <w:rPr>
          <w:rFonts w:hint="eastAsia"/>
          <w:rtl/>
        </w:rPr>
        <w:t>שופט</w:t>
      </w:r>
      <w:r w:rsidRPr="00F240CE">
        <w:rPr>
          <w:rtl/>
        </w:rPr>
        <w:t xml:space="preserve"> </w:t>
      </w:r>
      <w:r w:rsidRPr="00F240CE">
        <w:rPr>
          <w:rFonts w:hint="eastAsia"/>
          <w:rtl/>
        </w:rPr>
        <w:t>לשעבר</w:t>
      </w:r>
      <w:r w:rsidRPr="00F240CE">
        <w:rPr>
          <w:rtl/>
        </w:rPr>
        <w:t xml:space="preserve"> </w:t>
      </w:r>
      <w:r w:rsidRPr="00F240CE">
        <w:rPr>
          <w:rFonts w:hint="eastAsia"/>
          <w:rtl/>
        </w:rPr>
        <w:t>בבית</w:t>
      </w:r>
      <w:r w:rsidRPr="00F240CE">
        <w:rPr>
          <w:rtl/>
        </w:rPr>
        <w:t xml:space="preserve"> </w:t>
      </w:r>
      <w:r w:rsidRPr="00F240CE">
        <w:rPr>
          <w:rFonts w:hint="eastAsia"/>
          <w:rtl/>
        </w:rPr>
        <w:t>הלורדים</w:t>
      </w:r>
      <w:r w:rsidRPr="00F240CE">
        <w:rPr>
          <w:rtl/>
        </w:rPr>
        <w:t xml:space="preserve"> (</w:t>
      </w:r>
      <w:r w:rsidRPr="00F240CE">
        <w:rPr>
          <w:rFonts w:hint="eastAsia"/>
          <w:rtl/>
        </w:rPr>
        <w:t>כיום</w:t>
      </w:r>
      <w:r w:rsidRPr="00F240CE">
        <w:rPr>
          <w:rtl/>
        </w:rPr>
        <w:t xml:space="preserve"> </w:t>
      </w:r>
      <w:r w:rsidRPr="00F240CE">
        <w:rPr>
          <w:rFonts w:hint="eastAsia"/>
          <w:rtl/>
        </w:rPr>
        <w:t>בית</w:t>
      </w:r>
      <w:r w:rsidRPr="00F240CE">
        <w:rPr>
          <w:rtl/>
        </w:rPr>
        <w:t xml:space="preserve"> </w:t>
      </w:r>
      <w:r w:rsidRPr="00F240CE">
        <w:rPr>
          <w:rFonts w:hint="eastAsia"/>
          <w:rtl/>
        </w:rPr>
        <w:t>המשפט</w:t>
      </w:r>
      <w:r w:rsidRPr="00F240CE">
        <w:rPr>
          <w:rtl/>
        </w:rPr>
        <w:t xml:space="preserve"> </w:t>
      </w:r>
      <w:r w:rsidRPr="00F240CE">
        <w:rPr>
          <w:rFonts w:hint="eastAsia"/>
          <w:rtl/>
        </w:rPr>
        <w:t>העליון</w:t>
      </w:r>
      <w:r w:rsidRPr="00F240CE">
        <w:rPr>
          <w:rtl/>
        </w:rPr>
        <w:t xml:space="preserve">) </w:t>
      </w:r>
      <w:r w:rsidRPr="00F240CE">
        <w:rPr>
          <w:rFonts w:hint="eastAsia"/>
          <w:rtl/>
        </w:rPr>
        <w:t>של</w:t>
      </w:r>
      <w:r w:rsidRPr="00F240CE">
        <w:rPr>
          <w:rtl/>
        </w:rPr>
        <w:t xml:space="preserve"> </w:t>
      </w:r>
      <w:r w:rsidRPr="00F240CE">
        <w:rPr>
          <w:rFonts w:hint="eastAsia"/>
          <w:rtl/>
        </w:rPr>
        <w:t>בריטניה</w:t>
      </w:r>
      <w:r w:rsidRPr="00F240CE">
        <w:rPr>
          <w:rtl/>
        </w:rPr>
        <w:t xml:space="preserve"> </w:t>
      </w:r>
      <w:r w:rsidRPr="00F240CE">
        <w:rPr>
          <w:rFonts w:hint="eastAsia"/>
          <w:rtl/>
        </w:rPr>
        <w:t>הגדולה</w:t>
      </w:r>
      <w:r w:rsidRPr="00F240CE">
        <w:rPr>
          <w:rtl/>
        </w:rPr>
        <w:t xml:space="preserve"> (</w:t>
      </w:r>
      <w:r w:rsidRPr="00F240CE">
        <w:rPr>
          <w:rFonts w:asciiTheme="majorBidi" w:hAnsiTheme="majorBidi" w:cstheme="majorBidi"/>
        </w:rPr>
        <w:t>"</w:t>
      </w:r>
      <w:r>
        <w:rPr>
          <w:rFonts w:asciiTheme="majorBidi" w:hAnsiTheme="majorBidi" w:cstheme="majorBidi"/>
        </w:rPr>
        <w:t>T</w:t>
      </w:r>
      <w:r w:rsidRPr="00F240CE">
        <w:rPr>
          <w:rFonts w:asciiTheme="majorBidi" w:hAnsiTheme="majorBidi" w:cstheme="majorBidi"/>
        </w:rPr>
        <w:t>he Wednesbury test, because of its vagueness, allows judges to obscure their social and economic preferences more easily than would be possible were they to be guided by established legal principle"</w:t>
      </w:r>
      <w:r>
        <w:rPr>
          <w:rFonts w:hint="cs"/>
          <w:rtl/>
        </w:rPr>
        <w:t xml:space="preserve">, </w:t>
      </w:r>
      <w:r w:rsidRPr="00F240CE">
        <w:rPr>
          <w:rFonts w:hint="eastAsia"/>
          <w:rtl/>
        </w:rPr>
        <w:t>ראו</w:t>
      </w:r>
      <w:r w:rsidRPr="00F240CE">
        <w:rPr>
          <w:rtl/>
        </w:rPr>
        <w:t xml:space="preserve">:  </w:t>
      </w:r>
      <w:r w:rsidRPr="00F240CE">
        <w:rPr>
          <w:rFonts w:asciiTheme="majorBidi" w:hAnsiTheme="majorBidi" w:cstheme="majorBidi"/>
        </w:rPr>
        <w:t xml:space="preserve">Lord Lester &amp; Jeffrey Jowell, </w:t>
      </w:r>
      <w:r w:rsidRPr="00F240CE">
        <w:rPr>
          <w:rFonts w:asciiTheme="majorBidi" w:hAnsiTheme="majorBidi" w:cstheme="majorBidi"/>
          <w:i/>
          <w:iCs/>
        </w:rPr>
        <w:t>Beyond Wednesbury: Substantive Principles of Administrative Law</w:t>
      </w:r>
      <w:r w:rsidRPr="00F240CE">
        <w:rPr>
          <w:rFonts w:asciiTheme="majorBidi" w:hAnsiTheme="majorBidi" w:cstheme="majorBidi"/>
        </w:rPr>
        <w:t xml:space="preserve">, </w:t>
      </w:r>
      <w:r w:rsidRPr="00F240CE">
        <w:rPr>
          <w:rFonts w:asciiTheme="majorBidi" w:hAnsiTheme="majorBidi" w:cstheme="majorBidi"/>
          <w:smallCaps/>
        </w:rPr>
        <w:t>Pub. Law</w:t>
      </w:r>
      <w:r w:rsidRPr="00F240CE">
        <w:rPr>
          <w:rFonts w:asciiTheme="majorBidi" w:hAnsiTheme="majorBidi" w:cstheme="majorBidi"/>
        </w:rPr>
        <w:t xml:space="preserve"> 368, 372</w:t>
      </w:r>
      <w:r>
        <w:rPr>
          <w:rFonts w:asciiTheme="majorBidi" w:hAnsiTheme="majorBidi" w:cstheme="majorBidi"/>
        </w:rPr>
        <w:t xml:space="preserve"> (</w:t>
      </w:r>
      <w:r w:rsidRPr="00F240CE">
        <w:rPr>
          <w:rFonts w:asciiTheme="majorBidi" w:hAnsiTheme="majorBidi" w:cstheme="majorBidi"/>
        </w:rPr>
        <w:t>1987</w:t>
      </w:r>
      <w:r>
        <w:rPr>
          <w:rFonts w:asciiTheme="majorBidi" w:hAnsiTheme="majorBidi" w:cstheme="majorBidi"/>
        </w:rPr>
        <w:t>)</w:t>
      </w:r>
      <w:r w:rsidRPr="00936A8D">
        <w:rPr>
          <w:rFonts w:asciiTheme="majorBidi" w:hAnsiTheme="majorBidi" w:cstheme="majorBidi" w:hint="cs"/>
          <w:rtl/>
        </w:rPr>
        <w:t xml:space="preserve">). </w:t>
      </w:r>
    </w:p>
    <w:p w:rsidR="0047626A" w:rsidRPr="00936A8D" w:rsidRDefault="0047626A" w:rsidP="0047626A">
      <w:pPr>
        <w:pStyle w:val="Ruller41"/>
        <w:bidi w:val="0"/>
      </w:pPr>
    </w:p>
    <w:p w:rsidR="0047626A" w:rsidRPr="00936A8D" w:rsidRDefault="0047626A" w:rsidP="0047626A">
      <w:pPr>
        <w:pStyle w:val="Ruller41"/>
        <w:rPr>
          <w:rFonts w:ascii="Century" w:hAnsi="Century" w:cs="Miriam"/>
          <w:b/>
          <w:spacing w:val="0"/>
          <w:szCs w:val="24"/>
          <w:rtl/>
        </w:rPr>
      </w:pPr>
      <w:r w:rsidRPr="00936A8D">
        <w:rPr>
          <w:rFonts w:ascii="Century" w:hAnsi="Century" w:cs="Miriam" w:hint="eastAsia"/>
          <w:b/>
          <w:spacing w:val="0"/>
          <w:szCs w:val="24"/>
          <w:rtl/>
        </w:rPr>
        <w:t>מן</w:t>
      </w:r>
      <w:r w:rsidRPr="00936A8D">
        <w:rPr>
          <w:rFonts w:ascii="Century" w:hAnsi="Century" w:cs="Miriam"/>
          <w:b/>
          <w:spacing w:val="0"/>
          <w:szCs w:val="24"/>
          <w:rtl/>
        </w:rPr>
        <w:t xml:space="preserve"> </w:t>
      </w:r>
      <w:r w:rsidRPr="00936A8D">
        <w:rPr>
          <w:rFonts w:ascii="Century" w:hAnsi="Century" w:cs="Miriam" w:hint="eastAsia"/>
          <w:b/>
          <w:spacing w:val="0"/>
          <w:szCs w:val="24"/>
          <w:rtl/>
        </w:rPr>
        <w:t>הכלל</w:t>
      </w:r>
      <w:r w:rsidRPr="00936A8D">
        <w:rPr>
          <w:rFonts w:ascii="Century" w:hAnsi="Century" w:cs="Miriam"/>
          <w:b/>
          <w:spacing w:val="0"/>
          <w:szCs w:val="24"/>
          <w:rtl/>
        </w:rPr>
        <w:t xml:space="preserve"> </w:t>
      </w:r>
      <w:r w:rsidRPr="00936A8D">
        <w:rPr>
          <w:rFonts w:ascii="Century" w:hAnsi="Century" w:cs="Miriam" w:hint="eastAsia"/>
          <w:b/>
          <w:spacing w:val="0"/>
          <w:szCs w:val="24"/>
          <w:rtl/>
        </w:rPr>
        <w:t>אל</w:t>
      </w:r>
      <w:r w:rsidRPr="00936A8D">
        <w:rPr>
          <w:rFonts w:ascii="Century" w:hAnsi="Century" w:cs="Miriam"/>
          <w:b/>
          <w:spacing w:val="0"/>
          <w:szCs w:val="24"/>
          <w:rtl/>
        </w:rPr>
        <w:t xml:space="preserve"> </w:t>
      </w:r>
      <w:r w:rsidRPr="00936A8D">
        <w:rPr>
          <w:rFonts w:ascii="Century" w:hAnsi="Century" w:cs="Miriam" w:hint="eastAsia"/>
          <w:b/>
          <w:spacing w:val="0"/>
          <w:szCs w:val="24"/>
          <w:rtl/>
        </w:rPr>
        <w:t>הפרט</w:t>
      </w:r>
    </w:p>
    <w:p w:rsidR="0047626A" w:rsidRPr="00936A8D" w:rsidRDefault="0047626A" w:rsidP="0047626A">
      <w:pPr>
        <w:pStyle w:val="Ruller41"/>
        <w:rPr>
          <w:rtl/>
        </w:rPr>
      </w:pPr>
    </w:p>
    <w:p w:rsidR="0047626A" w:rsidRPr="00936A8D" w:rsidRDefault="0047626A" w:rsidP="0047626A">
      <w:pPr>
        <w:pStyle w:val="Ruller4"/>
        <w:rPr>
          <w:rtl/>
        </w:rPr>
      </w:pPr>
      <w:r w:rsidRPr="00936A8D">
        <w:rPr>
          <w:rFonts w:hint="eastAsia"/>
          <w:rtl/>
        </w:rPr>
        <w:t>הוראת</w:t>
      </w:r>
      <w:r w:rsidRPr="00936A8D">
        <w:rPr>
          <w:rtl/>
        </w:rPr>
        <w:t xml:space="preserve"> </w:t>
      </w:r>
      <w:r w:rsidRPr="00936A8D">
        <w:rPr>
          <w:rFonts w:hint="eastAsia"/>
          <w:rtl/>
        </w:rPr>
        <w:t>חוק</w:t>
      </w:r>
      <w:r w:rsidRPr="00936A8D">
        <w:rPr>
          <w:rtl/>
        </w:rPr>
        <w:t>-</w:t>
      </w:r>
      <w:r w:rsidRPr="00936A8D">
        <w:rPr>
          <w:rFonts w:hint="eastAsia"/>
          <w:rtl/>
        </w:rPr>
        <w:t>יסוד</w:t>
      </w:r>
      <w:r w:rsidRPr="00936A8D">
        <w:rPr>
          <w:rtl/>
        </w:rPr>
        <w:t xml:space="preserve">: </w:t>
      </w:r>
      <w:r w:rsidRPr="00936A8D">
        <w:rPr>
          <w:rFonts w:hint="eastAsia"/>
          <w:rtl/>
        </w:rPr>
        <w:t>השפיטה</w:t>
      </w:r>
      <w:r>
        <w:rPr>
          <w:rFonts w:hint="cs"/>
          <w:rtl/>
        </w:rPr>
        <w:t>,</w:t>
      </w:r>
      <w:r w:rsidRPr="00936A8D">
        <w:rPr>
          <w:rtl/>
        </w:rPr>
        <w:t xml:space="preserve"> </w:t>
      </w:r>
      <w:r w:rsidRPr="00936A8D">
        <w:rPr>
          <w:rFonts w:hint="eastAsia"/>
          <w:rtl/>
        </w:rPr>
        <w:t>עליה</w:t>
      </w:r>
      <w:r w:rsidRPr="00936A8D">
        <w:rPr>
          <w:rtl/>
        </w:rPr>
        <w:t xml:space="preserve"> </w:t>
      </w:r>
      <w:r w:rsidRPr="00936A8D">
        <w:rPr>
          <w:rFonts w:hint="eastAsia"/>
          <w:rtl/>
        </w:rPr>
        <w:t>מלינות</w:t>
      </w:r>
      <w:r w:rsidRPr="00936A8D">
        <w:rPr>
          <w:rtl/>
        </w:rPr>
        <w:t xml:space="preserve"> </w:t>
      </w:r>
      <w:r w:rsidRPr="00936A8D">
        <w:rPr>
          <w:rFonts w:hint="eastAsia"/>
          <w:rtl/>
        </w:rPr>
        <w:t>העתירות</w:t>
      </w:r>
      <w:r w:rsidRPr="00936A8D">
        <w:rPr>
          <w:rtl/>
        </w:rPr>
        <w:t xml:space="preserve"> </w:t>
      </w:r>
      <w:r w:rsidRPr="00936A8D">
        <w:rPr>
          <w:rFonts w:hint="eastAsia"/>
          <w:rtl/>
        </w:rPr>
        <w:t>שלפנינו</w:t>
      </w:r>
      <w:r>
        <w:rPr>
          <w:rFonts w:hint="cs"/>
          <w:rtl/>
        </w:rPr>
        <w:t>,</w:t>
      </w:r>
      <w:r w:rsidRPr="00936A8D">
        <w:rPr>
          <w:rtl/>
        </w:rPr>
        <w:t xml:space="preserve"> </w:t>
      </w:r>
      <w:r w:rsidRPr="00936A8D">
        <w:rPr>
          <w:rFonts w:hint="eastAsia"/>
          <w:rtl/>
        </w:rPr>
        <w:t>קובעת</w:t>
      </w:r>
      <w:r w:rsidRPr="00936A8D">
        <w:rPr>
          <w:rtl/>
        </w:rPr>
        <w:t xml:space="preserve"> </w:t>
      </w:r>
      <w:r w:rsidRPr="00936A8D">
        <w:rPr>
          <w:rFonts w:hint="eastAsia"/>
          <w:rtl/>
        </w:rPr>
        <w:t>כך</w:t>
      </w:r>
      <w:r w:rsidRPr="00936A8D">
        <w:rPr>
          <w:rtl/>
        </w:rPr>
        <w:t>:</w:t>
      </w:r>
    </w:p>
    <w:p w:rsidR="0047626A" w:rsidRPr="00936A8D" w:rsidRDefault="0047626A" w:rsidP="0047626A">
      <w:pPr>
        <w:pStyle w:val="Ruller4"/>
        <w:numPr>
          <w:ilvl w:val="0"/>
          <w:numId w:val="0"/>
        </w:numPr>
        <w:rPr>
          <w:rtl/>
        </w:rPr>
      </w:pPr>
      <w:r w:rsidRPr="00936A8D">
        <w:rPr>
          <w:rtl/>
        </w:rPr>
        <w:t xml:space="preserve">  </w:t>
      </w:r>
    </w:p>
    <w:p w:rsidR="0047626A" w:rsidRPr="00936A8D" w:rsidRDefault="0047626A" w:rsidP="0047626A">
      <w:pPr>
        <w:pStyle w:val="Ruller5"/>
        <w:rPr>
          <w:rtl/>
        </w:rPr>
      </w:pPr>
      <w:r w:rsidRPr="00936A8D">
        <w:rPr>
          <w:rtl/>
        </w:rPr>
        <w:lastRenderedPageBreak/>
        <w:t xml:space="preserve">"על אף האמור בחוק-יסוד זה, מי שבידו סמכות שפיטה על פי דין, לרבות בית המשפט העליון בשבתו כבית משפט גבוה לצדק, לא ידון בעניין סבירות ההחלטה של הממשלה, של ראש הממשלה או של שר אחר, ולא ייתן צו בעניין כאמור; בסעיף זה, 'החלטה' – כל החלטה, לרבות בענייני מינויים או החלטה להימנע מהפעלת כל סמכות". </w:t>
      </w:r>
    </w:p>
    <w:p w:rsidR="0047626A" w:rsidRPr="00936A8D" w:rsidRDefault="0047626A" w:rsidP="0047626A">
      <w:pPr>
        <w:pStyle w:val="Ruller41"/>
        <w:rPr>
          <w:rtl/>
        </w:rPr>
      </w:pPr>
      <w:r w:rsidRPr="00936A8D">
        <w:rPr>
          <w:rtl/>
        </w:rPr>
        <w:tab/>
      </w:r>
    </w:p>
    <w:p w:rsidR="0047626A" w:rsidRPr="00936A8D" w:rsidRDefault="0047626A" w:rsidP="0047626A">
      <w:pPr>
        <w:pStyle w:val="Ruller4"/>
        <w:rPr>
          <w:rtl/>
        </w:rPr>
      </w:pPr>
      <w:r w:rsidRPr="00936A8D">
        <w:rPr>
          <w:rFonts w:hint="eastAsia"/>
          <w:rtl/>
        </w:rPr>
        <w:t>אליבא</w:t>
      </w:r>
      <w:r w:rsidRPr="00936A8D">
        <w:rPr>
          <w:rtl/>
        </w:rPr>
        <w:t xml:space="preserve"> </w:t>
      </w:r>
      <w:r w:rsidRPr="00936A8D">
        <w:rPr>
          <w:rFonts w:hint="eastAsia"/>
          <w:rtl/>
        </w:rPr>
        <w:t>דעותרים</w:t>
      </w:r>
      <w:r w:rsidRPr="00936A8D">
        <w:rPr>
          <w:rtl/>
        </w:rPr>
        <w:t xml:space="preserve">, </w:t>
      </w:r>
      <w:r w:rsidRPr="00936A8D">
        <w:rPr>
          <w:rFonts w:hint="eastAsia"/>
          <w:rtl/>
        </w:rPr>
        <w:t>הביטוי</w:t>
      </w:r>
      <w:r w:rsidRPr="00936A8D">
        <w:rPr>
          <w:rtl/>
        </w:rPr>
        <w:t xml:space="preserve"> "לא </w:t>
      </w:r>
      <w:r w:rsidRPr="00936A8D">
        <w:rPr>
          <w:rFonts w:hint="eastAsia"/>
          <w:rtl/>
        </w:rPr>
        <w:t>ידון</w:t>
      </w:r>
      <w:r w:rsidRPr="00936A8D">
        <w:rPr>
          <w:rtl/>
        </w:rPr>
        <w:t xml:space="preserve"> </w:t>
      </w:r>
      <w:r w:rsidRPr="00936A8D">
        <w:rPr>
          <w:rFonts w:hint="eastAsia"/>
          <w:rtl/>
        </w:rPr>
        <w:t>בעניין</w:t>
      </w:r>
      <w:r w:rsidRPr="00936A8D">
        <w:rPr>
          <w:rtl/>
        </w:rPr>
        <w:t xml:space="preserve"> </w:t>
      </w:r>
      <w:r w:rsidRPr="00936A8D">
        <w:rPr>
          <w:rFonts w:hint="eastAsia"/>
          <w:rtl/>
        </w:rPr>
        <w:t>סבירות</w:t>
      </w:r>
      <w:r w:rsidRPr="00936A8D">
        <w:rPr>
          <w:rtl/>
        </w:rPr>
        <w:t xml:space="preserve"> </w:t>
      </w:r>
      <w:r w:rsidRPr="00936A8D">
        <w:rPr>
          <w:rFonts w:hint="eastAsia"/>
          <w:rtl/>
        </w:rPr>
        <w:t>ההחלטה</w:t>
      </w:r>
      <w:r w:rsidRPr="00936A8D">
        <w:rPr>
          <w:rtl/>
        </w:rPr>
        <w:t xml:space="preserve">", </w:t>
      </w:r>
      <w:r w:rsidRPr="00936A8D">
        <w:rPr>
          <w:rFonts w:hint="eastAsia"/>
          <w:rtl/>
        </w:rPr>
        <w:t>פירושו</w:t>
      </w:r>
      <w:r w:rsidRPr="00936A8D">
        <w:rPr>
          <w:rtl/>
        </w:rPr>
        <w:t xml:space="preserve"> </w:t>
      </w:r>
      <w:r w:rsidRPr="00936A8D">
        <w:rPr>
          <w:rFonts w:hint="eastAsia"/>
          <w:rtl/>
        </w:rPr>
        <w:t>חסינות</w:t>
      </w:r>
      <w:r w:rsidRPr="00936A8D">
        <w:rPr>
          <w:rtl/>
        </w:rPr>
        <w:t xml:space="preserve"> </w:t>
      </w:r>
      <w:r w:rsidRPr="00936A8D">
        <w:rPr>
          <w:rFonts w:hint="eastAsia"/>
          <w:rtl/>
        </w:rPr>
        <w:t>מלאה</w:t>
      </w:r>
      <w:r w:rsidRPr="00936A8D">
        <w:rPr>
          <w:rtl/>
        </w:rPr>
        <w:t xml:space="preserve">, </w:t>
      </w:r>
      <w:r w:rsidRPr="00936A8D">
        <w:rPr>
          <w:rFonts w:hint="eastAsia"/>
          <w:rtl/>
        </w:rPr>
        <w:t>או</w:t>
      </w:r>
      <w:r w:rsidRPr="00936A8D">
        <w:rPr>
          <w:rtl/>
        </w:rPr>
        <w:t xml:space="preserve"> </w:t>
      </w:r>
      <w:r w:rsidRPr="00936A8D">
        <w:rPr>
          <w:rFonts w:hint="eastAsia"/>
          <w:rtl/>
        </w:rPr>
        <w:t>כמעט</w:t>
      </w:r>
      <w:r w:rsidRPr="00936A8D">
        <w:rPr>
          <w:rtl/>
        </w:rPr>
        <w:t xml:space="preserve">-מלאה, </w:t>
      </w:r>
      <w:r w:rsidRPr="00936A8D">
        <w:rPr>
          <w:rFonts w:hint="eastAsia"/>
          <w:rtl/>
        </w:rPr>
        <w:t>של</w:t>
      </w:r>
      <w:r w:rsidRPr="00936A8D">
        <w:rPr>
          <w:rtl/>
        </w:rPr>
        <w:t xml:space="preserve"> </w:t>
      </w:r>
      <w:r w:rsidRPr="00936A8D">
        <w:rPr>
          <w:rFonts w:hint="eastAsia"/>
          <w:rtl/>
        </w:rPr>
        <w:t>החלטות</w:t>
      </w:r>
      <w:r w:rsidRPr="00936A8D">
        <w:rPr>
          <w:rtl/>
        </w:rPr>
        <w:t xml:space="preserve"> </w:t>
      </w:r>
      <w:r w:rsidRPr="00936A8D">
        <w:rPr>
          <w:rFonts w:hint="eastAsia"/>
          <w:rtl/>
        </w:rPr>
        <w:t>הממשלה</w:t>
      </w:r>
      <w:r w:rsidRPr="00936A8D">
        <w:rPr>
          <w:rtl/>
        </w:rPr>
        <w:t xml:space="preserve">, </w:t>
      </w:r>
      <w:r w:rsidRPr="00936A8D">
        <w:rPr>
          <w:rFonts w:hint="eastAsia"/>
          <w:rtl/>
        </w:rPr>
        <w:t>ראשה</w:t>
      </w:r>
      <w:r w:rsidRPr="00936A8D">
        <w:rPr>
          <w:rtl/>
        </w:rPr>
        <w:t xml:space="preserve"> </w:t>
      </w:r>
      <w:r w:rsidRPr="00936A8D">
        <w:rPr>
          <w:rFonts w:hint="eastAsia"/>
          <w:rtl/>
        </w:rPr>
        <w:t>ושריה</w:t>
      </w:r>
      <w:r w:rsidRPr="00936A8D">
        <w:rPr>
          <w:rtl/>
        </w:rPr>
        <w:t xml:space="preserve"> </w:t>
      </w:r>
      <w:r w:rsidRPr="00936A8D">
        <w:rPr>
          <w:rFonts w:hint="eastAsia"/>
          <w:rtl/>
        </w:rPr>
        <w:t>מביקורת</w:t>
      </w:r>
      <w:r w:rsidRPr="00936A8D">
        <w:rPr>
          <w:rtl/>
        </w:rPr>
        <w:t xml:space="preserve"> שיפוטית. </w:t>
      </w:r>
      <w:r>
        <w:rPr>
          <w:rFonts w:hint="cs"/>
          <w:rtl/>
        </w:rPr>
        <w:t xml:space="preserve">חה"כ שמחה רוטמן, שטען לפנינו מטעם ועדת החוקה חוק ומשפט של הכנסת, שבראשה הוא עומד, אישר שזאת אכן היתה כוונתם של הוגי ההוראה החוקתית החדשה. </w:t>
      </w:r>
    </w:p>
    <w:p w:rsidR="0047626A" w:rsidRPr="00936A8D" w:rsidRDefault="0047626A" w:rsidP="0047626A">
      <w:pPr>
        <w:pStyle w:val="Ruller41"/>
        <w:rPr>
          <w:rtl/>
        </w:rPr>
      </w:pPr>
    </w:p>
    <w:p w:rsidR="0047626A" w:rsidRPr="00936A8D" w:rsidRDefault="0047626A" w:rsidP="0047626A">
      <w:pPr>
        <w:pStyle w:val="Ruller4"/>
      </w:pPr>
      <w:r w:rsidRPr="00936A8D">
        <w:rPr>
          <w:rFonts w:hint="eastAsia"/>
          <w:rtl/>
        </w:rPr>
        <w:t>אודה</w:t>
      </w:r>
      <w:r w:rsidRPr="00936A8D">
        <w:rPr>
          <w:rtl/>
        </w:rPr>
        <w:t xml:space="preserve"> </w:t>
      </w:r>
      <w:r w:rsidRPr="00936A8D">
        <w:rPr>
          <w:rFonts w:hint="eastAsia"/>
          <w:rtl/>
        </w:rPr>
        <w:t>ולא</w:t>
      </w:r>
      <w:r w:rsidRPr="00936A8D">
        <w:rPr>
          <w:rtl/>
        </w:rPr>
        <w:t xml:space="preserve"> </w:t>
      </w:r>
      <w:r w:rsidRPr="00936A8D">
        <w:rPr>
          <w:rFonts w:hint="eastAsia"/>
          <w:rtl/>
        </w:rPr>
        <w:t>אכחד</w:t>
      </w:r>
      <w:r w:rsidRPr="00936A8D">
        <w:rPr>
          <w:rtl/>
        </w:rPr>
        <w:t xml:space="preserve">: </w:t>
      </w:r>
      <w:r w:rsidRPr="00936A8D">
        <w:rPr>
          <w:rFonts w:ascii="Century" w:hAnsi="Century" w:cs="Miriam" w:hint="eastAsia"/>
          <w:b/>
          <w:spacing w:val="0"/>
          <w:sz w:val="22"/>
          <w:szCs w:val="24"/>
          <w:rtl/>
        </w:rPr>
        <w:t>אילו</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סברתי</w:t>
      </w:r>
      <w:r>
        <w:rPr>
          <w:rFonts w:ascii="Century" w:hAnsi="Century" w:cs="Miriam" w:hint="cs"/>
          <w:b/>
          <w:spacing w:val="0"/>
          <w:sz w:val="22"/>
          <w:szCs w:val="24"/>
          <w:rtl/>
        </w:rPr>
        <w:t>, כפי שסבורים</w:t>
      </w:r>
      <w:r w:rsidRPr="00F662A6">
        <w:rPr>
          <w:rFonts w:ascii="Century" w:hAnsi="Century" w:cs="Miriam" w:hint="cs"/>
          <w:b/>
          <w:spacing w:val="0"/>
          <w:sz w:val="22"/>
          <w:szCs w:val="24"/>
          <w:rtl/>
        </w:rPr>
        <w:t xml:space="preserve"> חבר</w:t>
      </w:r>
      <w:r>
        <w:rPr>
          <w:rFonts w:ascii="Century" w:hAnsi="Century" w:cs="Miriam" w:hint="cs"/>
          <w:b/>
          <w:spacing w:val="0"/>
          <w:sz w:val="22"/>
          <w:szCs w:val="24"/>
          <w:rtl/>
        </w:rPr>
        <w:t>י</w:t>
      </w:r>
      <w:r w:rsidRPr="00F662A6">
        <w:rPr>
          <w:rFonts w:ascii="Century" w:hAnsi="Century" w:cs="Miriam" w:hint="cs"/>
          <w:b/>
          <w:spacing w:val="0"/>
          <w:sz w:val="22"/>
          <w:szCs w:val="24"/>
          <w:rtl/>
        </w:rPr>
        <w:t>י</w:t>
      </w:r>
      <w:r>
        <w:rPr>
          <w:rFonts w:ascii="Century" w:hAnsi="Century" w:cs="Miriam" w:hint="cs"/>
          <w:b/>
          <w:spacing w:val="0"/>
          <w:sz w:val="22"/>
          <w:szCs w:val="24"/>
          <w:rtl/>
        </w:rPr>
        <w:t>,</w:t>
      </w:r>
      <w:r w:rsidRPr="00F662A6">
        <w:rPr>
          <w:rFonts w:ascii="Century" w:hAnsi="Century" w:cs="Miriam" w:hint="cs"/>
          <w:b/>
          <w:spacing w:val="0"/>
          <w:sz w:val="22"/>
          <w:szCs w:val="24"/>
          <w:rtl/>
        </w:rPr>
        <w:t xml:space="preserve"> הנשיאה</w:t>
      </w:r>
      <w:r>
        <w:rPr>
          <w:rFonts w:ascii="Century" w:hAnsi="Century" w:cs="Miriam" w:hint="cs"/>
          <w:b/>
          <w:spacing w:val="0"/>
          <w:sz w:val="22"/>
          <w:szCs w:val="24"/>
          <w:rtl/>
        </w:rPr>
        <w:t xml:space="preserve"> חיות והשופט י' עמית</w:t>
      </w:r>
      <w:r w:rsidRPr="00F662A6">
        <w:rPr>
          <w:rFonts w:ascii="Century" w:hAnsi="Century" w:cs="Miriam" w:hint="cs"/>
          <w:b/>
          <w:spacing w:val="0"/>
          <w:sz w:val="22"/>
          <w:szCs w:val="24"/>
          <w:rtl/>
        </w:rPr>
        <w:t>,</w:t>
      </w:r>
      <w:r w:rsidRPr="00F662A6">
        <w:rPr>
          <w:rFonts w:hint="cs"/>
          <w:rtl/>
        </w:rPr>
        <w:t xml:space="preserve"> </w:t>
      </w:r>
      <w:r w:rsidRPr="00F662A6">
        <w:rPr>
          <w:rFonts w:ascii="Century" w:hAnsi="Century" w:cs="Miriam" w:hint="cs"/>
          <w:b/>
          <w:spacing w:val="0"/>
          <w:sz w:val="22"/>
          <w:szCs w:val="24"/>
          <w:rtl/>
        </w:rPr>
        <w:t xml:space="preserve">כי זאת אכן פרשנותה הנכונה של ההוראה נושא דיוננו </w:t>
      </w:r>
      <w:r w:rsidRPr="00F662A6">
        <w:rPr>
          <w:rFonts w:ascii="Century" w:hAnsi="Century" w:cs="Miriam"/>
          <w:b/>
          <w:spacing w:val="0"/>
          <w:sz w:val="22"/>
          <w:szCs w:val="24"/>
          <w:rtl/>
        </w:rPr>
        <w:t>–</w:t>
      </w:r>
      <w:r w:rsidRPr="00F662A6">
        <w:rPr>
          <w:rFonts w:ascii="Century" w:hAnsi="Century" w:cs="Miriam" w:hint="cs"/>
          <w:b/>
          <w:spacing w:val="0"/>
          <w:sz w:val="22"/>
          <w:szCs w:val="24"/>
          <w:rtl/>
        </w:rPr>
        <w:t xml:space="preserve"> פרשנות שלמעשה מעקרת את </w:t>
      </w:r>
      <w:r w:rsidRPr="00F662A6">
        <w:rPr>
          <w:rFonts w:ascii="Century" w:hAnsi="Century" w:cs="Miriam" w:hint="eastAsia"/>
          <w:b/>
          <w:spacing w:val="0"/>
          <w:sz w:val="22"/>
          <w:szCs w:val="24"/>
          <w:rtl/>
        </w:rPr>
        <w:t>הביקורת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השיפוטית</w:t>
      </w:r>
      <w:r w:rsidRPr="00F662A6">
        <w:rPr>
          <w:rFonts w:ascii="Century" w:hAnsi="Century" w:cs="Miriam" w:hint="cs"/>
          <w:b/>
          <w:spacing w:val="0"/>
          <w:sz w:val="22"/>
          <w:szCs w:val="24"/>
          <w:rtl/>
        </w:rPr>
        <w:t xml:space="preserve"> על החלטות הממשלה</w:t>
      </w:r>
      <w:r w:rsidRPr="00F662A6">
        <w:rPr>
          <w:rFonts w:ascii="Century" w:hAnsi="Century" w:cs="Miriam"/>
          <w:b/>
          <w:spacing w:val="0"/>
          <w:sz w:val="22"/>
          <w:szCs w:val="24"/>
          <w:rtl/>
        </w:rPr>
        <w:t>,</w:t>
      </w:r>
      <w:r w:rsidRPr="00F662A6">
        <w:rPr>
          <w:rFonts w:ascii="Century" w:hAnsi="Century" w:cs="Miriam" w:hint="cs"/>
          <w:b/>
          <w:spacing w:val="0"/>
          <w:sz w:val="22"/>
          <w:szCs w:val="24"/>
          <w:rtl/>
        </w:rPr>
        <w:t xml:space="preserve"> ראשה ושריה </w:t>
      </w:r>
      <w:r w:rsidRPr="00F662A6">
        <w:rPr>
          <w:rFonts w:ascii="Century" w:hAnsi="Century" w:cs="Miriam"/>
          <w:b/>
          <w:spacing w:val="0"/>
          <w:sz w:val="22"/>
          <w:szCs w:val="24"/>
          <w:rtl/>
        </w:rPr>
        <w:t>–</w:t>
      </w:r>
      <w:r w:rsidRPr="00F662A6">
        <w:rPr>
          <w:rFonts w:ascii="Century" w:hAnsi="Century" w:cs="Miriam" w:hint="cs"/>
          <w:b/>
          <w:spacing w:val="0"/>
          <w:sz w:val="22"/>
          <w:szCs w:val="24"/>
          <w:rtl/>
        </w:rPr>
        <w:t xml:space="preserve"> </w:t>
      </w:r>
      <w:r w:rsidRPr="00F662A6">
        <w:rPr>
          <w:rFonts w:ascii="Century" w:hAnsi="Century" w:cs="Miriam" w:hint="eastAsia"/>
          <w:b/>
          <w:spacing w:val="0"/>
          <w:sz w:val="22"/>
          <w:szCs w:val="24"/>
          <w:rtl/>
        </w:rPr>
        <w:t>לא</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הייתי</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מהסס</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לקבוע</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כי</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הכנסת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לא</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היתה</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מוסמכת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ל</w:t>
      </w:r>
      <w:r w:rsidRPr="00F662A6">
        <w:rPr>
          <w:rFonts w:ascii="Century" w:hAnsi="Century" w:cs="Miriam" w:hint="cs"/>
          <w:b/>
          <w:spacing w:val="0"/>
          <w:sz w:val="22"/>
          <w:szCs w:val="24"/>
          <w:rtl/>
        </w:rPr>
        <w:t xml:space="preserve">כונן </w:t>
      </w:r>
      <w:r w:rsidRPr="00F662A6">
        <w:rPr>
          <w:rFonts w:ascii="Century" w:hAnsi="Century" w:cs="Miriam" w:hint="eastAsia"/>
          <w:b/>
          <w:spacing w:val="0"/>
          <w:sz w:val="22"/>
          <w:szCs w:val="24"/>
          <w:rtl/>
        </w:rPr>
        <w:t>את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ההוראה</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וכי</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הכותרת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חוק</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יסוד</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אין</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בה</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כדי</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לרפא</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את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חוסר</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הסמכות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ולהציל</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את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ההוראה</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מביטולה</w:t>
      </w:r>
      <w:r w:rsidRPr="00936A8D">
        <w:rPr>
          <w:rtl/>
        </w:rPr>
        <w:t xml:space="preserve">. </w:t>
      </w:r>
      <w:r w:rsidRPr="00936A8D">
        <w:rPr>
          <w:rFonts w:hint="eastAsia"/>
          <w:rtl/>
        </w:rPr>
        <w:t>פשיטא</w:t>
      </w:r>
      <w:r w:rsidRPr="00936A8D">
        <w:rPr>
          <w:rtl/>
        </w:rPr>
        <w:t xml:space="preserve"> </w:t>
      </w:r>
      <w:r w:rsidRPr="00936A8D">
        <w:rPr>
          <w:rFonts w:hint="eastAsia"/>
          <w:rtl/>
        </w:rPr>
        <w:t>הוא</w:t>
      </w:r>
      <w:r w:rsidRPr="00936A8D">
        <w:rPr>
          <w:rtl/>
        </w:rPr>
        <w:t xml:space="preserve">, </w:t>
      </w:r>
      <w:r w:rsidRPr="00936A8D">
        <w:rPr>
          <w:rFonts w:hint="eastAsia"/>
          <w:rtl/>
        </w:rPr>
        <w:t>לטעמי</w:t>
      </w:r>
      <w:r w:rsidRPr="00936A8D">
        <w:rPr>
          <w:rtl/>
        </w:rPr>
        <w:t xml:space="preserve">, </w:t>
      </w:r>
      <w:r w:rsidRPr="00936A8D">
        <w:rPr>
          <w:rFonts w:hint="eastAsia"/>
          <w:rtl/>
        </w:rPr>
        <w:t>כי</w:t>
      </w:r>
      <w:r w:rsidRPr="00936A8D">
        <w:rPr>
          <w:rtl/>
        </w:rPr>
        <w:t xml:space="preserve"> </w:t>
      </w:r>
      <w:r w:rsidRPr="00936A8D">
        <w:rPr>
          <w:rFonts w:hint="eastAsia"/>
          <w:rtl/>
        </w:rPr>
        <w:t>ביטול</w:t>
      </w:r>
      <w:r w:rsidRPr="00936A8D">
        <w:rPr>
          <w:rtl/>
        </w:rPr>
        <w:t xml:space="preserve"> </w:t>
      </w:r>
      <w:r w:rsidRPr="00936A8D">
        <w:rPr>
          <w:rFonts w:hint="eastAsia"/>
          <w:rtl/>
        </w:rPr>
        <w:t>הביקורת</w:t>
      </w:r>
      <w:r w:rsidRPr="00936A8D">
        <w:rPr>
          <w:rtl/>
        </w:rPr>
        <w:t xml:space="preserve"> </w:t>
      </w:r>
      <w:r w:rsidRPr="00936A8D">
        <w:rPr>
          <w:rFonts w:hint="eastAsia"/>
          <w:rtl/>
        </w:rPr>
        <w:t>השיפוטית</w:t>
      </w:r>
      <w:r w:rsidRPr="00936A8D">
        <w:rPr>
          <w:rtl/>
        </w:rPr>
        <w:t xml:space="preserve"> </w:t>
      </w:r>
      <w:r w:rsidRPr="00936A8D">
        <w:rPr>
          <w:rFonts w:hint="eastAsia"/>
          <w:rtl/>
        </w:rPr>
        <w:t>על</w:t>
      </w:r>
      <w:r w:rsidRPr="00936A8D">
        <w:rPr>
          <w:rtl/>
        </w:rPr>
        <w:t xml:space="preserve"> </w:t>
      </w:r>
      <w:r w:rsidRPr="00936A8D">
        <w:rPr>
          <w:rFonts w:hint="eastAsia"/>
          <w:rtl/>
        </w:rPr>
        <w:t>החלטות</w:t>
      </w:r>
      <w:r w:rsidRPr="00936A8D">
        <w:rPr>
          <w:rtl/>
        </w:rPr>
        <w:t xml:space="preserve"> </w:t>
      </w:r>
      <w:r w:rsidRPr="00936A8D">
        <w:rPr>
          <w:rFonts w:hint="eastAsia"/>
          <w:rtl/>
        </w:rPr>
        <w:t>ממשלה</w:t>
      </w:r>
      <w:r w:rsidRPr="00936A8D">
        <w:rPr>
          <w:rtl/>
        </w:rPr>
        <w:t xml:space="preserve"> </w:t>
      </w:r>
      <w:r w:rsidRPr="00936A8D">
        <w:rPr>
          <w:rFonts w:hint="eastAsia"/>
          <w:rtl/>
        </w:rPr>
        <w:t>אינו</w:t>
      </w:r>
      <w:r w:rsidRPr="00936A8D">
        <w:rPr>
          <w:rtl/>
        </w:rPr>
        <w:t xml:space="preserve"> </w:t>
      </w:r>
      <w:r w:rsidRPr="00936A8D">
        <w:rPr>
          <w:rFonts w:hint="eastAsia"/>
          <w:rtl/>
        </w:rPr>
        <w:t>עולה</w:t>
      </w:r>
      <w:r w:rsidRPr="00936A8D">
        <w:rPr>
          <w:rtl/>
        </w:rPr>
        <w:t xml:space="preserve"> </w:t>
      </w:r>
      <w:r w:rsidRPr="00936A8D">
        <w:rPr>
          <w:rFonts w:hint="eastAsia"/>
          <w:rtl/>
        </w:rPr>
        <w:t>בקנה</w:t>
      </w:r>
      <w:r w:rsidRPr="00936A8D">
        <w:rPr>
          <w:rtl/>
        </w:rPr>
        <w:t xml:space="preserve"> </w:t>
      </w:r>
      <w:r w:rsidRPr="00936A8D">
        <w:rPr>
          <w:rFonts w:hint="eastAsia"/>
          <w:rtl/>
        </w:rPr>
        <w:t>אחד</w:t>
      </w:r>
      <w:r w:rsidRPr="00936A8D">
        <w:rPr>
          <w:rtl/>
        </w:rPr>
        <w:t xml:space="preserve"> </w:t>
      </w:r>
      <w:r w:rsidRPr="00F662A6">
        <w:rPr>
          <w:rFonts w:ascii="Century" w:hAnsi="Century" w:cs="Miriam" w:hint="eastAsia"/>
          <w:b/>
          <w:spacing w:val="0"/>
          <w:sz w:val="22"/>
          <w:szCs w:val="24"/>
          <w:u w:val="single"/>
          <w:rtl/>
        </w:rPr>
        <w:t>עם</w:t>
      </w:r>
      <w:r w:rsidRPr="00F662A6">
        <w:rPr>
          <w:rFonts w:ascii="Century" w:hAnsi="Century" w:cs="Miriam"/>
          <w:b/>
          <w:spacing w:val="0"/>
          <w:sz w:val="22"/>
          <w:szCs w:val="24"/>
          <w:u w:val="single"/>
          <w:rtl/>
        </w:rPr>
        <w:t xml:space="preserve"> </w:t>
      </w:r>
      <w:r w:rsidRPr="00F662A6">
        <w:rPr>
          <w:rFonts w:ascii="Century" w:hAnsi="Century" w:cs="Miriam" w:hint="eastAsia"/>
          <w:b/>
          <w:spacing w:val="0"/>
          <w:sz w:val="22"/>
          <w:szCs w:val="24"/>
          <w:u w:val="single"/>
          <w:rtl/>
        </w:rPr>
        <w:t>שום</w:t>
      </w:r>
      <w:r w:rsidRPr="00F662A6">
        <w:rPr>
          <w:rFonts w:ascii="Century" w:hAnsi="Century" w:cs="Miriam"/>
          <w:b/>
          <w:spacing w:val="0"/>
          <w:sz w:val="22"/>
          <w:szCs w:val="24"/>
          <w:u w:val="single"/>
          <w:rtl/>
        </w:rPr>
        <w:t xml:space="preserve"> </w:t>
      </w:r>
      <w:r w:rsidRPr="00F662A6">
        <w:rPr>
          <w:rFonts w:ascii="Century" w:hAnsi="Century" w:cs="Miriam" w:hint="eastAsia"/>
          <w:b/>
          <w:spacing w:val="0"/>
          <w:sz w:val="22"/>
          <w:szCs w:val="24"/>
          <w:u w:val="single"/>
          <w:rtl/>
        </w:rPr>
        <w:t>תפישה</w:t>
      </w:r>
      <w:r>
        <w:rPr>
          <w:rFonts w:ascii="Century" w:hAnsi="Century" w:cs="Miriam" w:hint="cs"/>
          <w:b/>
          <w:spacing w:val="0"/>
          <w:sz w:val="22"/>
          <w:szCs w:val="24"/>
          <w:u w:val="single"/>
          <w:rtl/>
        </w:rPr>
        <w:t xml:space="preserve"> מקובלת</w:t>
      </w:r>
      <w:r w:rsidRPr="00936A8D">
        <w:rPr>
          <w:rtl/>
        </w:rPr>
        <w:t xml:space="preserve"> </w:t>
      </w:r>
      <w:r w:rsidRPr="00936A8D">
        <w:rPr>
          <w:rFonts w:hint="eastAsia"/>
          <w:rtl/>
        </w:rPr>
        <w:t>של</w:t>
      </w:r>
      <w:r w:rsidRPr="00936A8D">
        <w:rPr>
          <w:rtl/>
        </w:rPr>
        <w:t xml:space="preserve"> "</w:t>
      </w:r>
      <w:r w:rsidRPr="00936A8D">
        <w:rPr>
          <w:rFonts w:hint="eastAsia"/>
          <w:rtl/>
        </w:rPr>
        <w:t>צדק</w:t>
      </w:r>
      <w:r w:rsidRPr="00936A8D">
        <w:rPr>
          <w:rtl/>
        </w:rPr>
        <w:t xml:space="preserve">" </w:t>
      </w:r>
      <w:r w:rsidRPr="00936A8D">
        <w:rPr>
          <w:rFonts w:hint="eastAsia"/>
          <w:rtl/>
        </w:rPr>
        <w:t>ושל</w:t>
      </w:r>
      <w:r w:rsidRPr="00936A8D">
        <w:rPr>
          <w:rtl/>
        </w:rPr>
        <w:t xml:space="preserve"> "</w:t>
      </w:r>
      <w:r w:rsidRPr="00936A8D">
        <w:rPr>
          <w:rFonts w:hint="eastAsia"/>
          <w:rtl/>
        </w:rPr>
        <w:t>חירות</w:t>
      </w:r>
      <w:r w:rsidRPr="00936A8D">
        <w:rPr>
          <w:rtl/>
        </w:rPr>
        <w:t xml:space="preserve">" </w:t>
      </w:r>
      <w:r w:rsidRPr="00936A8D">
        <w:rPr>
          <w:rFonts w:hint="eastAsia"/>
          <w:rtl/>
        </w:rPr>
        <w:t>שהובטחו</w:t>
      </w:r>
      <w:r w:rsidRPr="00936A8D">
        <w:rPr>
          <w:rtl/>
        </w:rPr>
        <w:t xml:space="preserve"> </w:t>
      </w:r>
      <w:r w:rsidRPr="00936A8D">
        <w:rPr>
          <w:rFonts w:hint="eastAsia"/>
          <w:rtl/>
        </w:rPr>
        <w:t>לנו</w:t>
      </w:r>
      <w:r w:rsidRPr="00936A8D">
        <w:rPr>
          <w:rtl/>
        </w:rPr>
        <w:t xml:space="preserve">, </w:t>
      </w:r>
      <w:r w:rsidRPr="00936A8D">
        <w:rPr>
          <w:rFonts w:hint="eastAsia"/>
          <w:rtl/>
        </w:rPr>
        <w:t>כאזרחי</w:t>
      </w:r>
      <w:r w:rsidRPr="00936A8D">
        <w:rPr>
          <w:rtl/>
        </w:rPr>
        <w:t xml:space="preserve"> </w:t>
      </w:r>
      <w:r w:rsidRPr="00936A8D">
        <w:rPr>
          <w:rFonts w:hint="eastAsia"/>
          <w:rtl/>
        </w:rPr>
        <w:t>מדינה</w:t>
      </w:r>
      <w:r w:rsidRPr="00936A8D">
        <w:rPr>
          <w:rtl/>
        </w:rPr>
        <w:t xml:space="preserve"> </w:t>
      </w:r>
      <w:r w:rsidRPr="00936A8D">
        <w:rPr>
          <w:rFonts w:hint="eastAsia"/>
          <w:rtl/>
        </w:rPr>
        <w:t>בני</w:t>
      </w:r>
      <w:r w:rsidRPr="00936A8D">
        <w:rPr>
          <w:rtl/>
        </w:rPr>
        <w:t xml:space="preserve"> </w:t>
      </w:r>
      <w:r w:rsidRPr="00936A8D">
        <w:rPr>
          <w:rFonts w:hint="eastAsia"/>
          <w:rtl/>
        </w:rPr>
        <w:t>חורין</w:t>
      </w:r>
      <w:r w:rsidRPr="00936A8D">
        <w:rPr>
          <w:rtl/>
        </w:rPr>
        <w:t xml:space="preserve">, </w:t>
      </w:r>
      <w:r w:rsidRPr="00936A8D">
        <w:rPr>
          <w:rFonts w:hint="eastAsia"/>
          <w:rtl/>
        </w:rPr>
        <w:t>בהכרזת</w:t>
      </w:r>
      <w:r w:rsidRPr="00936A8D">
        <w:rPr>
          <w:rtl/>
        </w:rPr>
        <w:t xml:space="preserve"> </w:t>
      </w:r>
      <w:r w:rsidRPr="00936A8D">
        <w:rPr>
          <w:rFonts w:hint="eastAsia"/>
          <w:rtl/>
        </w:rPr>
        <w:t>העצמאות</w:t>
      </w:r>
      <w:r w:rsidRPr="00936A8D">
        <w:rPr>
          <w:rtl/>
        </w:rPr>
        <w:t xml:space="preserve"> (</w:t>
      </w:r>
      <w:r w:rsidRPr="00F240CE">
        <w:rPr>
          <w:rFonts w:hint="eastAsia"/>
          <w:rtl/>
        </w:rPr>
        <w:t>ראו</w:t>
      </w:r>
      <w:r w:rsidRPr="00F240CE">
        <w:rPr>
          <w:rtl/>
        </w:rPr>
        <w:t xml:space="preserve"> </w:t>
      </w:r>
      <w:r w:rsidRPr="00F240CE">
        <w:rPr>
          <w:rFonts w:hint="eastAsia"/>
          <w:rtl/>
        </w:rPr>
        <w:t>והשוו</w:t>
      </w:r>
      <w:r w:rsidRPr="00F240CE">
        <w:rPr>
          <w:rtl/>
        </w:rPr>
        <w:t xml:space="preserve">: </w:t>
      </w:r>
      <w:r w:rsidRPr="00936A8D">
        <w:rPr>
          <w:rFonts w:hint="eastAsia"/>
          <w:rtl/>
        </w:rPr>
        <w:t>יצחק</w:t>
      </w:r>
      <w:r w:rsidRPr="00936A8D">
        <w:rPr>
          <w:rtl/>
        </w:rPr>
        <w:t xml:space="preserve"> </w:t>
      </w:r>
      <w:r w:rsidRPr="00936A8D">
        <w:rPr>
          <w:rFonts w:hint="eastAsia"/>
          <w:rtl/>
        </w:rPr>
        <w:t>זמיר</w:t>
      </w:r>
      <w:r w:rsidRPr="00936A8D">
        <w:rPr>
          <w:rtl/>
        </w:rPr>
        <w:t xml:space="preserve"> </w:t>
      </w:r>
      <w:r w:rsidRPr="00F662A6">
        <w:rPr>
          <w:rFonts w:ascii="Century" w:hAnsi="Century" w:cs="Miriam" w:hint="eastAsia"/>
          <w:b/>
          <w:spacing w:val="0"/>
          <w:sz w:val="22"/>
          <w:szCs w:val="24"/>
          <w:rtl/>
        </w:rPr>
        <w:t>הסמכות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המינהלית</w:t>
      </w:r>
      <w:r w:rsidRPr="00936A8D">
        <w:rPr>
          <w:rtl/>
        </w:rPr>
        <w:t xml:space="preserve"> </w:t>
      </w:r>
      <w:r w:rsidRPr="00936A8D">
        <w:rPr>
          <w:rFonts w:hint="eastAsia"/>
          <w:rtl/>
        </w:rPr>
        <w:t>ג</w:t>
      </w:r>
      <w:r w:rsidRPr="00936A8D">
        <w:rPr>
          <w:rtl/>
        </w:rPr>
        <w:t xml:space="preserve"> 1591-1587 (2014)). </w:t>
      </w:r>
      <w:r w:rsidRPr="00936A8D">
        <w:rPr>
          <w:rFonts w:hint="eastAsia"/>
          <w:rtl/>
        </w:rPr>
        <w:t>העדרה</w:t>
      </w:r>
      <w:r w:rsidRPr="00936A8D">
        <w:rPr>
          <w:rtl/>
        </w:rPr>
        <w:t xml:space="preserve"> </w:t>
      </w:r>
      <w:r w:rsidRPr="00936A8D">
        <w:rPr>
          <w:rFonts w:hint="eastAsia"/>
          <w:rtl/>
        </w:rPr>
        <w:t>של</w:t>
      </w:r>
      <w:r w:rsidRPr="00936A8D">
        <w:rPr>
          <w:rtl/>
        </w:rPr>
        <w:t xml:space="preserve"> </w:t>
      </w:r>
      <w:r w:rsidRPr="00936A8D">
        <w:rPr>
          <w:rFonts w:hint="eastAsia"/>
          <w:rtl/>
        </w:rPr>
        <w:t>ביקורת</w:t>
      </w:r>
      <w:r w:rsidRPr="00936A8D">
        <w:rPr>
          <w:rtl/>
        </w:rPr>
        <w:t xml:space="preserve"> </w:t>
      </w:r>
      <w:r w:rsidRPr="00936A8D">
        <w:rPr>
          <w:rFonts w:hint="eastAsia"/>
          <w:rtl/>
        </w:rPr>
        <w:t>שיפוטית</w:t>
      </w:r>
      <w:r w:rsidRPr="00936A8D">
        <w:rPr>
          <w:rtl/>
        </w:rPr>
        <w:t xml:space="preserve"> </w:t>
      </w:r>
      <w:r w:rsidRPr="00936A8D">
        <w:rPr>
          <w:rFonts w:hint="eastAsia"/>
          <w:rtl/>
        </w:rPr>
        <w:t>כאמור</w:t>
      </w:r>
      <w:r w:rsidRPr="00936A8D">
        <w:rPr>
          <w:rtl/>
        </w:rPr>
        <w:t xml:space="preserve">, </w:t>
      </w:r>
      <w:r w:rsidRPr="00936A8D">
        <w:rPr>
          <w:rFonts w:hint="eastAsia"/>
          <w:rtl/>
        </w:rPr>
        <w:t>משמעה</w:t>
      </w:r>
      <w:r w:rsidRPr="00936A8D">
        <w:rPr>
          <w:rtl/>
        </w:rPr>
        <w:t xml:space="preserve"> </w:t>
      </w:r>
      <w:r w:rsidRPr="00936A8D">
        <w:rPr>
          <w:rFonts w:hint="eastAsia"/>
          <w:rtl/>
        </w:rPr>
        <w:t>כפיפות</w:t>
      </w:r>
      <w:r w:rsidRPr="00936A8D">
        <w:rPr>
          <w:rtl/>
        </w:rPr>
        <w:t xml:space="preserve"> </w:t>
      </w:r>
      <w:r w:rsidRPr="00936A8D">
        <w:rPr>
          <w:rFonts w:hint="eastAsia"/>
          <w:rtl/>
        </w:rPr>
        <w:t>מוחלטת</w:t>
      </w:r>
      <w:r w:rsidRPr="00936A8D">
        <w:rPr>
          <w:rtl/>
        </w:rPr>
        <w:t xml:space="preserve"> </w:t>
      </w:r>
      <w:r w:rsidRPr="00936A8D">
        <w:rPr>
          <w:rFonts w:hint="eastAsia"/>
          <w:rtl/>
        </w:rPr>
        <w:t>של</w:t>
      </w:r>
      <w:r w:rsidRPr="00936A8D">
        <w:rPr>
          <w:rtl/>
        </w:rPr>
        <w:t xml:space="preserve"> </w:t>
      </w:r>
      <w:r w:rsidRPr="00936A8D">
        <w:rPr>
          <w:rFonts w:hint="eastAsia"/>
          <w:rtl/>
        </w:rPr>
        <w:t>האזרח</w:t>
      </w:r>
      <w:r w:rsidRPr="00936A8D">
        <w:rPr>
          <w:rtl/>
        </w:rPr>
        <w:t xml:space="preserve"> </w:t>
      </w:r>
      <w:r w:rsidRPr="00936A8D">
        <w:rPr>
          <w:rFonts w:hint="eastAsia"/>
          <w:rtl/>
        </w:rPr>
        <w:t>לכל</w:t>
      </w:r>
      <w:r w:rsidRPr="00936A8D">
        <w:rPr>
          <w:rtl/>
        </w:rPr>
        <w:t xml:space="preserve"> </w:t>
      </w:r>
      <w:r w:rsidRPr="00936A8D">
        <w:rPr>
          <w:rFonts w:hint="eastAsia"/>
          <w:rtl/>
        </w:rPr>
        <w:t>החלטה</w:t>
      </w:r>
      <w:r w:rsidRPr="00936A8D">
        <w:rPr>
          <w:rtl/>
        </w:rPr>
        <w:t xml:space="preserve"> </w:t>
      </w:r>
      <w:r w:rsidRPr="00936A8D">
        <w:rPr>
          <w:rFonts w:hint="eastAsia"/>
          <w:rtl/>
        </w:rPr>
        <w:t>מעשה</w:t>
      </w:r>
      <w:r w:rsidRPr="00936A8D">
        <w:rPr>
          <w:rtl/>
        </w:rPr>
        <w:t xml:space="preserve"> </w:t>
      </w:r>
      <w:r w:rsidRPr="00936A8D">
        <w:rPr>
          <w:rFonts w:hint="eastAsia"/>
          <w:rtl/>
        </w:rPr>
        <w:t>ידי</w:t>
      </w:r>
      <w:r w:rsidRPr="00936A8D">
        <w:rPr>
          <w:rtl/>
        </w:rPr>
        <w:t xml:space="preserve"> </w:t>
      </w:r>
      <w:r w:rsidRPr="00936A8D">
        <w:rPr>
          <w:rFonts w:hint="eastAsia"/>
          <w:rtl/>
        </w:rPr>
        <w:t>הממשלה</w:t>
      </w:r>
      <w:r w:rsidRPr="00936A8D">
        <w:rPr>
          <w:rtl/>
        </w:rPr>
        <w:t xml:space="preserve">, </w:t>
      </w:r>
      <w:r w:rsidRPr="00936A8D">
        <w:rPr>
          <w:rFonts w:hint="eastAsia"/>
          <w:rtl/>
        </w:rPr>
        <w:t>ראשה</w:t>
      </w:r>
      <w:r w:rsidRPr="00936A8D">
        <w:rPr>
          <w:rtl/>
        </w:rPr>
        <w:t xml:space="preserve"> </w:t>
      </w:r>
      <w:r w:rsidRPr="00936A8D">
        <w:rPr>
          <w:rFonts w:hint="eastAsia"/>
          <w:rtl/>
        </w:rPr>
        <w:t>ושר</w:t>
      </w:r>
      <w:r w:rsidRPr="00936A8D">
        <w:rPr>
          <w:rtl/>
        </w:rPr>
        <w:t xml:space="preserve"> </w:t>
      </w:r>
      <w:r w:rsidRPr="00936A8D">
        <w:rPr>
          <w:rFonts w:hint="eastAsia"/>
          <w:rtl/>
        </w:rPr>
        <w:t>משריה</w:t>
      </w:r>
      <w:r w:rsidRPr="00936A8D">
        <w:rPr>
          <w:rtl/>
        </w:rPr>
        <w:t xml:space="preserve">; </w:t>
      </w:r>
      <w:r w:rsidRPr="00936A8D">
        <w:rPr>
          <w:rFonts w:hint="eastAsia"/>
          <w:rtl/>
        </w:rPr>
        <w:t>וכפיפות</w:t>
      </w:r>
      <w:r w:rsidRPr="00936A8D">
        <w:rPr>
          <w:rtl/>
        </w:rPr>
        <w:t xml:space="preserve"> </w:t>
      </w:r>
      <w:r w:rsidRPr="00936A8D">
        <w:rPr>
          <w:rFonts w:hint="eastAsia"/>
          <w:rtl/>
        </w:rPr>
        <w:t>זו</w:t>
      </w:r>
      <w:r w:rsidRPr="00936A8D">
        <w:rPr>
          <w:rtl/>
        </w:rPr>
        <w:t xml:space="preserve">, </w:t>
      </w:r>
      <w:r w:rsidRPr="00936A8D">
        <w:rPr>
          <w:rFonts w:hint="eastAsia"/>
          <w:rtl/>
        </w:rPr>
        <w:t>פירושה</w:t>
      </w:r>
      <w:r w:rsidRPr="00936A8D">
        <w:rPr>
          <w:rtl/>
        </w:rPr>
        <w:t xml:space="preserve"> </w:t>
      </w:r>
      <w:r w:rsidRPr="00936A8D">
        <w:rPr>
          <w:rFonts w:hint="eastAsia"/>
          <w:rtl/>
        </w:rPr>
        <w:t>העדר</w:t>
      </w:r>
      <w:r w:rsidRPr="00936A8D">
        <w:rPr>
          <w:rtl/>
        </w:rPr>
        <w:t xml:space="preserve"> </w:t>
      </w:r>
      <w:r w:rsidRPr="00936A8D">
        <w:rPr>
          <w:rFonts w:hint="eastAsia"/>
          <w:rtl/>
        </w:rPr>
        <w:t>חירות</w:t>
      </w:r>
      <w:r w:rsidRPr="00936A8D">
        <w:rPr>
          <w:rtl/>
        </w:rPr>
        <w:t xml:space="preserve"> </w:t>
      </w:r>
      <w:r w:rsidRPr="00936A8D">
        <w:rPr>
          <w:rFonts w:hint="eastAsia"/>
          <w:rtl/>
        </w:rPr>
        <w:t>ו</w:t>
      </w:r>
      <w:r>
        <w:rPr>
          <w:rFonts w:hint="cs"/>
          <w:rtl/>
        </w:rPr>
        <w:t>היעדר</w:t>
      </w:r>
      <w:r w:rsidRPr="00936A8D">
        <w:rPr>
          <w:rtl/>
        </w:rPr>
        <w:t xml:space="preserve"> </w:t>
      </w:r>
      <w:r w:rsidRPr="00936A8D">
        <w:rPr>
          <w:rFonts w:hint="eastAsia"/>
          <w:rtl/>
        </w:rPr>
        <w:t>גישה</w:t>
      </w:r>
      <w:r w:rsidRPr="00936A8D">
        <w:rPr>
          <w:rtl/>
        </w:rPr>
        <w:t xml:space="preserve"> </w:t>
      </w:r>
      <w:r w:rsidRPr="00936A8D">
        <w:rPr>
          <w:rFonts w:hint="eastAsia"/>
          <w:rtl/>
        </w:rPr>
        <w:t>לצדק</w:t>
      </w:r>
      <w:r w:rsidRPr="00936A8D">
        <w:rPr>
          <w:rtl/>
        </w:rPr>
        <w:t xml:space="preserve"> </w:t>
      </w:r>
      <w:r w:rsidRPr="00936A8D">
        <w:rPr>
          <w:rFonts w:hint="eastAsia"/>
          <w:rtl/>
        </w:rPr>
        <w:t>המשפטי</w:t>
      </w:r>
      <w:r w:rsidRPr="00936A8D">
        <w:rPr>
          <w:rtl/>
        </w:rPr>
        <w:t xml:space="preserve"> </w:t>
      </w:r>
      <w:r w:rsidRPr="00936A8D">
        <w:rPr>
          <w:rFonts w:hint="eastAsia"/>
          <w:rtl/>
        </w:rPr>
        <w:t>שבתי</w:t>
      </w:r>
      <w:r w:rsidRPr="00936A8D">
        <w:rPr>
          <w:rtl/>
        </w:rPr>
        <w:t xml:space="preserve"> </w:t>
      </w:r>
      <w:r w:rsidRPr="00936A8D">
        <w:rPr>
          <w:rFonts w:hint="eastAsia"/>
          <w:rtl/>
        </w:rPr>
        <w:t>המשפט</w:t>
      </w:r>
      <w:r w:rsidRPr="00936A8D">
        <w:rPr>
          <w:rtl/>
        </w:rPr>
        <w:t xml:space="preserve"> </w:t>
      </w:r>
      <w:r w:rsidRPr="00936A8D">
        <w:rPr>
          <w:rFonts w:hint="eastAsia"/>
          <w:rtl/>
        </w:rPr>
        <w:t>שלנו</w:t>
      </w:r>
      <w:r w:rsidRPr="00936A8D">
        <w:rPr>
          <w:rtl/>
        </w:rPr>
        <w:t xml:space="preserve"> </w:t>
      </w:r>
      <w:r w:rsidRPr="00936A8D">
        <w:rPr>
          <w:rFonts w:hint="eastAsia"/>
          <w:rtl/>
        </w:rPr>
        <w:t>מצווים</w:t>
      </w:r>
      <w:r w:rsidRPr="00936A8D">
        <w:rPr>
          <w:rtl/>
        </w:rPr>
        <w:t xml:space="preserve"> </w:t>
      </w:r>
      <w:r w:rsidRPr="00936A8D">
        <w:rPr>
          <w:rFonts w:hint="eastAsia"/>
          <w:rtl/>
        </w:rPr>
        <w:t>לספק</w:t>
      </w:r>
      <w:r w:rsidRPr="00936A8D">
        <w:rPr>
          <w:rtl/>
        </w:rPr>
        <w:t xml:space="preserve"> </w:t>
      </w:r>
      <w:r w:rsidRPr="00936A8D">
        <w:rPr>
          <w:rFonts w:hint="eastAsia"/>
          <w:rtl/>
        </w:rPr>
        <w:t>לאזרחי</w:t>
      </w:r>
      <w:r>
        <w:rPr>
          <w:rFonts w:hint="cs"/>
          <w:rtl/>
        </w:rPr>
        <w:t xml:space="preserve"> המדינה</w:t>
      </w:r>
      <w:r w:rsidRPr="00936A8D">
        <w:rPr>
          <w:rtl/>
        </w:rPr>
        <w:t xml:space="preserve"> (</w:t>
      </w:r>
      <w:r w:rsidRPr="00936A8D">
        <w:rPr>
          <w:rFonts w:hint="eastAsia"/>
          <w:rtl/>
        </w:rPr>
        <w:t>ראו</w:t>
      </w:r>
      <w:r w:rsidRPr="00936A8D">
        <w:rPr>
          <w:rtl/>
        </w:rPr>
        <w:t xml:space="preserve">: </w:t>
      </w:r>
      <w:r w:rsidRPr="00F662A6">
        <w:rPr>
          <w:rFonts w:asciiTheme="majorBidi" w:hAnsiTheme="majorBidi" w:cstheme="majorBidi"/>
        </w:rPr>
        <w:t xml:space="preserve">Wesley Newcomb Hohfeld, </w:t>
      </w:r>
      <w:r w:rsidRPr="00F662A6">
        <w:rPr>
          <w:rFonts w:asciiTheme="majorBidi" w:hAnsiTheme="majorBidi" w:cstheme="majorBidi"/>
          <w:i/>
          <w:iCs/>
        </w:rPr>
        <w:t>Some Fundamental Legal Conceptions as Applied in Judicial Reasoning</w:t>
      </w:r>
      <w:r w:rsidRPr="00F662A6">
        <w:rPr>
          <w:rFonts w:asciiTheme="majorBidi" w:hAnsiTheme="majorBidi" w:cstheme="majorBidi"/>
        </w:rPr>
        <w:t xml:space="preserve">, 23 </w:t>
      </w:r>
      <w:r w:rsidRPr="00F662A6">
        <w:rPr>
          <w:rFonts w:asciiTheme="majorBidi" w:hAnsiTheme="majorBidi" w:cstheme="majorBidi"/>
          <w:smallCaps/>
        </w:rPr>
        <w:t>Yale L.J.</w:t>
      </w:r>
      <w:r w:rsidRPr="00F662A6">
        <w:rPr>
          <w:rFonts w:asciiTheme="majorBidi" w:hAnsiTheme="majorBidi" w:cstheme="majorBidi"/>
        </w:rPr>
        <w:t xml:space="preserve"> 16, 30-33 (1913)</w:t>
      </w:r>
      <w:r w:rsidRPr="00936A8D">
        <w:rPr>
          <w:rtl/>
        </w:rPr>
        <w:t xml:space="preserve">). </w:t>
      </w:r>
      <w:r w:rsidRPr="00936A8D">
        <w:rPr>
          <w:rFonts w:hint="eastAsia"/>
          <w:rtl/>
        </w:rPr>
        <w:t>אשר</w:t>
      </w:r>
      <w:r w:rsidRPr="00936A8D">
        <w:rPr>
          <w:rtl/>
        </w:rPr>
        <w:t xml:space="preserve"> </w:t>
      </w:r>
      <w:r w:rsidRPr="00936A8D">
        <w:rPr>
          <w:rFonts w:hint="eastAsia"/>
          <w:rtl/>
        </w:rPr>
        <w:t>על</w:t>
      </w:r>
      <w:r w:rsidRPr="00936A8D">
        <w:rPr>
          <w:rtl/>
        </w:rPr>
        <w:t xml:space="preserve"> </w:t>
      </w:r>
      <w:r w:rsidRPr="00936A8D">
        <w:rPr>
          <w:rFonts w:hint="eastAsia"/>
          <w:rtl/>
        </w:rPr>
        <w:t>כן</w:t>
      </w:r>
      <w:r w:rsidRPr="00936A8D">
        <w:rPr>
          <w:rtl/>
        </w:rPr>
        <w:t xml:space="preserve">, </w:t>
      </w:r>
      <w:r w:rsidRPr="00F662A6">
        <w:rPr>
          <w:rFonts w:ascii="Century" w:hAnsi="Century" w:cs="Miriam" w:hint="eastAsia"/>
          <w:b/>
          <w:spacing w:val="0"/>
          <w:sz w:val="22"/>
          <w:szCs w:val="24"/>
          <w:rtl/>
        </w:rPr>
        <w:t>הוראה</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שמתיימרת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לבטל</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ביקורת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שיפוטית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על</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החלטות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ממשלה</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או</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על</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החלטותיהן</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של</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רשויות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אחרות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או</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להפוך</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ביקורת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שיפוטית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לבלתי</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אפקטיבית</w:t>
      </w:r>
      <w:r w:rsidRPr="00F662A6">
        <w:rPr>
          <w:rFonts w:ascii="Century" w:hAnsi="Century" w:cs="Miriam"/>
          <w:b/>
          <w:spacing w:val="0"/>
          <w:sz w:val="22"/>
          <w:szCs w:val="24"/>
          <w:rtl/>
        </w:rPr>
        <w:t xml:space="preserve"> – </w:t>
      </w:r>
      <w:r w:rsidRPr="00F662A6">
        <w:rPr>
          <w:rFonts w:ascii="Century" w:hAnsi="Century" w:cs="Miriam" w:hint="eastAsia"/>
          <w:b/>
          <w:spacing w:val="0"/>
          <w:sz w:val="22"/>
          <w:szCs w:val="24"/>
          <w:rtl/>
        </w:rPr>
        <w:t>מקומה</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לא</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יכירנו</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בספר</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החוקים</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של</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מדינת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ישראל</w:t>
      </w:r>
      <w:r w:rsidRPr="00936A8D">
        <w:rPr>
          <w:rtl/>
        </w:rPr>
        <w:t>.</w:t>
      </w:r>
    </w:p>
    <w:p w:rsidR="0047626A" w:rsidRPr="00936A8D" w:rsidRDefault="0047626A" w:rsidP="0047626A">
      <w:pPr>
        <w:pStyle w:val="Ruller4"/>
        <w:numPr>
          <w:ilvl w:val="0"/>
          <w:numId w:val="0"/>
        </w:numPr>
      </w:pPr>
    </w:p>
    <w:p w:rsidR="0047626A" w:rsidRDefault="0047626A" w:rsidP="0047626A">
      <w:pPr>
        <w:pStyle w:val="Ruller4"/>
        <w:rPr>
          <w:rtl/>
        </w:rPr>
      </w:pPr>
      <w:r w:rsidRPr="00936A8D">
        <w:rPr>
          <w:rFonts w:hint="eastAsia"/>
          <w:rtl/>
        </w:rPr>
        <w:t>ברם</w:t>
      </w:r>
      <w:r w:rsidRPr="00936A8D">
        <w:rPr>
          <w:rtl/>
        </w:rPr>
        <w:t xml:space="preserve">, </w:t>
      </w:r>
      <w:r>
        <w:rPr>
          <w:rFonts w:hint="cs"/>
          <w:rtl/>
        </w:rPr>
        <w:t>פרשנות זו של ההוראה נושא דיוננו אינה נכונה</w:t>
      </w:r>
      <w:r w:rsidRPr="00936A8D">
        <w:rPr>
          <w:rtl/>
        </w:rPr>
        <w:t xml:space="preserve">. </w:t>
      </w:r>
      <w:r w:rsidRPr="00936A8D">
        <w:rPr>
          <w:rFonts w:ascii="Century" w:hAnsi="Century" w:cs="Miriam" w:hint="eastAsia"/>
          <w:b/>
          <w:spacing w:val="0"/>
          <w:sz w:val="22"/>
          <w:szCs w:val="24"/>
          <w:rtl/>
        </w:rPr>
        <w:t>הנני</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סבור</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כי</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ההוראה</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נושא</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דיוננו</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מבטלת</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אך</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ורק</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את</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נוסחת</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דפי</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זהב</w:t>
      </w:r>
      <w:r>
        <w:rPr>
          <w:rFonts w:ascii="Century" w:hAnsi="Century" w:hint="cs"/>
          <w:sz w:val="22"/>
          <w:rtl/>
        </w:rPr>
        <w:t xml:space="preserve"> </w:t>
      </w:r>
      <w:r>
        <w:rPr>
          <w:rFonts w:ascii="Century" w:hAnsi="Century"/>
          <w:sz w:val="22"/>
          <w:rtl/>
        </w:rPr>
        <w:t>–</w:t>
      </w:r>
      <w:r>
        <w:rPr>
          <w:rFonts w:ascii="Century" w:hAnsi="Century" w:hint="cs"/>
          <w:sz w:val="22"/>
          <w:rtl/>
        </w:rPr>
        <w:t xml:space="preserve"> דוקטרינה משפטית שכונתה על ידי היועצת המשפטית לממשלה כדרישת "הסבירות האיזונית". </w:t>
      </w:r>
      <w:r>
        <w:rPr>
          <w:rFonts w:hint="cs"/>
          <w:rtl/>
        </w:rPr>
        <w:t xml:space="preserve">במילים אחרות, </w:t>
      </w:r>
      <w:r w:rsidRPr="00936A8D">
        <w:rPr>
          <w:rFonts w:hint="eastAsia"/>
          <w:rtl/>
        </w:rPr>
        <w:t>ההוראה</w:t>
      </w:r>
      <w:r w:rsidRPr="00936A8D">
        <w:rPr>
          <w:rtl/>
        </w:rPr>
        <w:t xml:space="preserve"> </w:t>
      </w:r>
      <w:r w:rsidRPr="00936A8D">
        <w:rPr>
          <w:rFonts w:hint="eastAsia"/>
          <w:rtl/>
        </w:rPr>
        <w:t>נושא</w:t>
      </w:r>
      <w:r w:rsidRPr="00936A8D">
        <w:rPr>
          <w:rtl/>
        </w:rPr>
        <w:t xml:space="preserve"> </w:t>
      </w:r>
      <w:r w:rsidRPr="00936A8D">
        <w:rPr>
          <w:rFonts w:hint="eastAsia"/>
          <w:rtl/>
        </w:rPr>
        <w:t>דיוננו</w:t>
      </w:r>
      <w:r w:rsidRPr="00936A8D">
        <w:rPr>
          <w:rtl/>
        </w:rPr>
        <w:t xml:space="preserve"> עושה דבר אחד בלבד: היא מבטלת את "אי-הסבירות" </w:t>
      </w:r>
      <w:r w:rsidRPr="00997B4F">
        <w:rPr>
          <w:rFonts w:ascii="Century" w:hAnsi="Century" w:cs="Miriam" w:hint="eastAsia"/>
          <w:b/>
          <w:spacing w:val="0"/>
          <w:szCs w:val="24"/>
          <w:rtl/>
        </w:rPr>
        <w:t>כעילה</w:t>
      </w:r>
      <w:r w:rsidRPr="00997B4F">
        <w:rPr>
          <w:rFonts w:ascii="Century" w:hAnsi="Century" w:cs="Miriam"/>
          <w:b/>
          <w:spacing w:val="0"/>
          <w:szCs w:val="24"/>
          <w:rtl/>
        </w:rPr>
        <w:t xml:space="preserve"> </w:t>
      </w:r>
      <w:r w:rsidRPr="00997B4F">
        <w:rPr>
          <w:rFonts w:ascii="Century" w:hAnsi="Century" w:cs="Miriam" w:hint="eastAsia"/>
          <w:b/>
          <w:spacing w:val="0"/>
          <w:szCs w:val="24"/>
          <w:rtl/>
        </w:rPr>
        <w:t>עצמאית</w:t>
      </w:r>
      <w:r w:rsidRPr="00936A8D">
        <w:rPr>
          <w:rtl/>
        </w:rPr>
        <w:t xml:space="preserve"> להתערבותנו בהחלטות הממשלה, ראשה ושריה – זאת, תוך שמירה מלאה על ביקורת שיפוטית שמו</w:t>
      </w:r>
      <w:r>
        <w:rPr>
          <w:rFonts w:hint="cs"/>
          <w:rtl/>
        </w:rPr>
        <w:t>ּ</w:t>
      </w:r>
      <w:r w:rsidRPr="00936A8D">
        <w:rPr>
          <w:rtl/>
        </w:rPr>
        <w:t xml:space="preserve">נעת על ידי עילות התערבות אחרות, כדוגמת </w:t>
      </w:r>
      <w:r w:rsidRPr="00936A8D">
        <w:rPr>
          <w:rFonts w:hint="eastAsia"/>
          <w:rtl/>
        </w:rPr>
        <w:t>שרירות</w:t>
      </w:r>
      <w:r w:rsidRPr="00936A8D">
        <w:rPr>
          <w:rtl/>
        </w:rPr>
        <w:t xml:space="preserve">, חוסר תום-לב, </w:t>
      </w:r>
      <w:r w:rsidRPr="00936A8D">
        <w:rPr>
          <w:rFonts w:hint="eastAsia"/>
          <w:rtl/>
        </w:rPr>
        <w:t>הפליה</w:t>
      </w:r>
      <w:r w:rsidRPr="00936A8D">
        <w:rPr>
          <w:rtl/>
        </w:rPr>
        <w:t xml:space="preserve">, </w:t>
      </w:r>
      <w:r w:rsidRPr="00936A8D">
        <w:rPr>
          <w:rFonts w:hint="eastAsia"/>
          <w:rtl/>
        </w:rPr>
        <w:t>שיקולים</w:t>
      </w:r>
      <w:r w:rsidRPr="00936A8D">
        <w:rPr>
          <w:rtl/>
        </w:rPr>
        <w:t xml:space="preserve"> </w:t>
      </w:r>
      <w:r w:rsidRPr="00936A8D">
        <w:rPr>
          <w:rFonts w:hint="eastAsia"/>
          <w:rtl/>
        </w:rPr>
        <w:t>זרים</w:t>
      </w:r>
      <w:r w:rsidRPr="00936A8D">
        <w:rPr>
          <w:rtl/>
        </w:rPr>
        <w:t xml:space="preserve">, </w:t>
      </w:r>
      <w:r w:rsidRPr="00936A8D">
        <w:rPr>
          <w:rFonts w:hint="eastAsia"/>
          <w:rtl/>
        </w:rPr>
        <w:t>אי</w:t>
      </w:r>
      <w:r w:rsidRPr="00936A8D">
        <w:rPr>
          <w:rtl/>
        </w:rPr>
        <w:t>-</w:t>
      </w:r>
      <w:r w:rsidRPr="00936A8D">
        <w:rPr>
          <w:rFonts w:hint="eastAsia"/>
          <w:rtl/>
        </w:rPr>
        <w:t>שקילת</w:t>
      </w:r>
      <w:r w:rsidRPr="00936A8D">
        <w:rPr>
          <w:rtl/>
        </w:rPr>
        <w:t xml:space="preserve"> </w:t>
      </w:r>
      <w:r w:rsidRPr="00936A8D">
        <w:rPr>
          <w:rFonts w:hint="eastAsia"/>
          <w:rtl/>
        </w:rPr>
        <w:t>שיקולים</w:t>
      </w:r>
      <w:r w:rsidRPr="00936A8D">
        <w:rPr>
          <w:rtl/>
        </w:rPr>
        <w:t xml:space="preserve"> </w:t>
      </w:r>
      <w:r w:rsidRPr="00936A8D">
        <w:rPr>
          <w:rFonts w:hint="eastAsia"/>
          <w:rtl/>
        </w:rPr>
        <w:t>מהותיים</w:t>
      </w:r>
      <w:r w:rsidRPr="00936A8D">
        <w:rPr>
          <w:rtl/>
        </w:rPr>
        <w:t xml:space="preserve"> </w:t>
      </w:r>
      <w:r w:rsidRPr="00936A8D">
        <w:rPr>
          <w:rFonts w:hint="eastAsia"/>
          <w:rtl/>
        </w:rPr>
        <w:t>והפרת</w:t>
      </w:r>
      <w:r w:rsidRPr="00936A8D">
        <w:rPr>
          <w:rtl/>
        </w:rPr>
        <w:t xml:space="preserve"> </w:t>
      </w:r>
      <w:r w:rsidRPr="00936A8D">
        <w:rPr>
          <w:rFonts w:hint="eastAsia"/>
          <w:rtl/>
        </w:rPr>
        <w:t>כללי</w:t>
      </w:r>
      <w:r w:rsidRPr="00936A8D">
        <w:rPr>
          <w:rtl/>
        </w:rPr>
        <w:t xml:space="preserve"> </w:t>
      </w:r>
      <w:r w:rsidRPr="00936A8D">
        <w:rPr>
          <w:rFonts w:hint="eastAsia"/>
          <w:rtl/>
        </w:rPr>
        <w:t>הצדק</w:t>
      </w:r>
      <w:r w:rsidRPr="00936A8D">
        <w:rPr>
          <w:rtl/>
        </w:rPr>
        <w:t xml:space="preserve"> </w:t>
      </w:r>
      <w:r w:rsidRPr="00936A8D">
        <w:rPr>
          <w:rFonts w:hint="eastAsia"/>
          <w:rtl/>
        </w:rPr>
        <w:t>הטבעי</w:t>
      </w:r>
      <w:r w:rsidRPr="00936A8D">
        <w:rPr>
          <w:rtl/>
        </w:rPr>
        <w:t xml:space="preserve"> </w:t>
      </w:r>
      <w:r w:rsidRPr="00936A8D">
        <w:rPr>
          <w:rFonts w:hint="eastAsia"/>
          <w:rtl/>
        </w:rPr>
        <w:t>אשר</w:t>
      </w:r>
      <w:r w:rsidRPr="00936A8D">
        <w:rPr>
          <w:rtl/>
        </w:rPr>
        <w:t xml:space="preserve"> </w:t>
      </w:r>
      <w:r w:rsidRPr="00936A8D">
        <w:rPr>
          <w:rFonts w:hint="eastAsia"/>
          <w:rtl/>
        </w:rPr>
        <w:t>כוללים</w:t>
      </w:r>
      <w:r w:rsidRPr="00936A8D">
        <w:rPr>
          <w:rtl/>
        </w:rPr>
        <w:t xml:space="preserve"> </w:t>
      </w:r>
      <w:r w:rsidRPr="00936A8D">
        <w:rPr>
          <w:rFonts w:hint="eastAsia"/>
          <w:rtl/>
        </w:rPr>
        <w:t>את</w:t>
      </w:r>
      <w:r w:rsidRPr="00936A8D">
        <w:rPr>
          <w:rtl/>
        </w:rPr>
        <w:t xml:space="preserve"> </w:t>
      </w:r>
      <w:r w:rsidRPr="00936A8D">
        <w:rPr>
          <w:rFonts w:hint="eastAsia"/>
          <w:rtl/>
        </w:rPr>
        <w:lastRenderedPageBreak/>
        <w:t>זכות</w:t>
      </w:r>
      <w:r w:rsidRPr="00936A8D">
        <w:rPr>
          <w:rtl/>
        </w:rPr>
        <w:t xml:space="preserve"> </w:t>
      </w:r>
      <w:r w:rsidRPr="00936A8D">
        <w:rPr>
          <w:rFonts w:hint="eastAsia"/>
          <w:rtl/>
        </w:rPr>
        <w:t>הנפגע</w:t>
      </w:r>
      <w:r w:rsidRPr="00936A8D">
        <w:rPr>
          <w:rtl/>
        </w:rPr>
        <w:t xml:space="preserve"> </w:t>
      </w:r>
      <w:r w:rsidRPr="00936A8D">
        <w:rPr>
          <w:rFonts w:hint="eastAsia"/>
          <w:rtl/>
        </w:rPr>
        <w:t>הפוטנציאלי</w:t>
      </w:r>
      <w:r w:rsidRPr="00936A8D">
        <w:rPr>
          <w:rtl/>
        </w:rPr>
        <w:t xml:space="preserve"> </w:t>
      </w:r>
      <w:r w:rsidRPr="00936A8D">
        <w:rPr>
          <w:rFonts w:hint="eastAsia"/>
          <w:rtl/>
        </w:rPr>
        <w:t>לשימוע</w:t>
      </w:r>
      <w:r w:rsidRPr="00936A8D">
        <w:rPr>
          <w:rtl/>
        </w:rPr>
        <w:t xml:space="preserve"> </w:t>
      </w:r>
      <w:r w:rsidRPr="00936A8D">
        <w:rPr>
          <w:rFonts w:hint="eastAsia"/>
          <w:rtl/>
        </w:rPr>
        <w:t>ואיסור</w:t>
      </w:r>
      <w:r w:rsidRPr="00936A8D">
        <w:rPr>
          <w:rtl/>
        </w:rPr>
        <w:t xml:space="preserve"> על משוא פנים. </w:t>
      </w:r>
      <w:r>
        <w:rPr>
          <w:rFonts w:hint="cs"/>
          <w:rtl/>
        </w:rPr>
        <w:t xml:space="preserve">בעניין זה, דעתי היא כדעתה של חברתי, השופטת </w:t>
      </w:r>
      <w:r w:rsidRPr="0025009A">
        <w:rPr>
          <w:rFonts w:ascii="Century" w:hAnsi="Century" w:cs="Miriam" w:hint="cs"/>
          <w:b/>
          <w:spacing w:val="0"/>
          <w:sz w:val="22"/>
          <w:szCs w:val="24"/>
          <w:rtl/>
        </w:rPr>
        <w:t>י' וילנר</w:t>
      </w:r>
      <w:r>
        <w:rPr>
          <w:rFonts w:hint="cs"/>
          <w:rtl/>
        </w:rPr>
        <w:t>.</w:t>
      </w:r>
    </w:p>
    <w:p w:rsidR="0047626A" w:rsidRDefault="0047626A" w:rsidP="0047626A">
      <w:pPr>
        <w:pStyle w:val="Ruller4"/>
        <w:numPr>
          <w:ilvl w:val="0"/>
          <w:numId w:val="0"/>
        </w:numPr>
        <w:rPr>
          <w:rtl/>
        </w:rPr>
      </w:pPr>
    </w:p>
    <w:p w:rsidR="0047626A" w:rsidRPr="00936A8D" w:rsidRDefault="0047626A" w:rsidP="0047626A">
      <w:pPr>
        <w:pStyle w:val="Ruller4"/>
      </w:pPr>
      <w:r>
        <w:rPr>
          <w:rtl/>
        </w:rPr>
        <w:tab/>
      </w:r>
      <w:r>
        <w:rPr>
          <w:rFonts w:hint="cs"/>
          <w:rtl/>
        </w:rPr>
        <w:t>ה</w:t>
      </w:r>
      <w:r w:rsidRPr="00936A8D">
        <w:rPr>
          <w:rFonts w:hint="eastAsia"/>
          <w:rtl/>
        </w:rPr>
        <w:t>הוראה</w:t>
      </w:r>
      <w:r w:rsidRPr="00936A8D">
        <w:rPr>
          <w:rtl/>
        </w:rPr>
        <w:t xml:space="preserve"> </w:t>
      </w:r>
      <w:r>
        <w:rPr>
          <w:rFonts w:hint="cs"/>
          <w:rtl/>
        </w:rPr>
        <w:t>נושא דיוננו</w:t>
      </w:r>
      <w:r w:rsidRPr="00936A8D">
        <w:rPr>
          <w:rtl/>
        </w:rPr>
        <w:t xml:space="preserve"> </w:t>
      </w:r>
      <w:r w:rsidRPr="00936A8D">
        <w:rPr>
          <w:rFonts w:hint="eastAsia"/>
          <w:rtl/>
        </w:rPr>
        <w:t>לא</w:t>
      </w:r>
      <w:r w:rsidRPr="00936A8D">
        <w:rPr>
          <w:rtl/>
        </w:rPr>
        <w:t xml:space="preserve"> </w:t>
      </w:r>
      <w:r w:rsidRPr="00936A8D">
        <w:rPr>
          <w:rFonts w:hint="eastAsia"/>
          <w:rtl/>
        </w:rPr>
        <w:t>באה</w:t>
      </w:r>
      <w:r w:rsidRPr="00936A8D">
        <w:rPr>
          <w:rtl/>
        </w:rPr>
        <w:t xml:space="preserve"> </w:t>
      </w:r>
      <w:r w:rsidRPr="00936A8D">
        <w:rPr>
          <w:rFonts w:hint="eastAsia"/>
          <w:rtl/>
        </w:rPr>
        <w:t>לחסום</w:t>
      </w:r>
      <w:r w:rsidRPr="00936A8D">
        <w:rPr>
          <w:rtl/>
        </w:rPr>
        <w:t xml:space="preserve"> </w:t>
      </w:r>
      <w:r w:rsidRPr="00936A8D">
        <w:rPr>
          <w:rFonts w:hint="eastAsia"/>
          <w:rtl/>
        </w:rPr>
        <w:t>שום</w:t>
      </w:r>
      <w:r w:rsidRPr="00936A8D">
        <w:rPr>
          <w:rtl/>
        </w:rPr>
        <w:t xml:space="preserve"> </w:t>
      </w:r>
      <w:r w:rsidRPr="00936A8D">
        <w:rPr>
          <w:rFonts w:hint="eastAsia"/>
          <w:rtl/>
        </w:rPr>
        <w:t>טענה</w:t>
      </w:r>
      <w:r w:rsidRPr="00936A8D">
        <w:rPr>
          <w:rtl/>
        </w:rPr>
        <w:t xml:space="preserve"> </w:t>
      </w:r>
      <w:r w:rsidRPr="00936A8D">
        <w:rPr>
          <w:rFonts w:hint="eastAsia"/>
          <w:rtl/>
        </w:rPr>
        <w:t>שמייחסת</w:t>
      </w:r>
      <w:r w:rsidRPr="00936A8D">
        <w:rPr>
          <w:rtl/>
        </w:rPr>
        <w:t xml:space="preserve"> </w:t>
      </w:r>
      <w:r w:rsidRPr="00936A8D">
        <w:rPr>
          <w:rFonts w:hint="eastAsia"/>
          <w:rtl/>
        </w:rPr>
        <w:t>להחלטת</w:t>
      </w:r>
      <w:r w:rsidRPr="00936A8D">
        <w:rPr>
          <w:rtl/>
        </w:rPr>
        <w:t xml:space="preserve"> </w:t>
      </w:r>
      <w:r w:rsidRPr="00936A8D">
        <w:rPr>
          <w:rFonts w:hint="eastAsia"/>
          <w:rtl/>
        </w:rPr>
        <w:t>ממשלה</w:t>
      </w:r>
      <w:r w:rsidRPr="00936A8D">
        <w:rPr>
          <w:rtl/>
        </w:rPr>
        <w:t xml:space="preserve">, </w:t>
      </w:r>
      <w:r w:rsidRPr="00936A8D">
        <w:rPr>
          <w:rFonts w:hint="eastAsia"/>
          <w:rtl/>
        </w:rPr>
        <w:t>במסגרתה</w:t>
      </w:r>
      <w:r w:rsidRPr="00936A8D">
        <w:rPr>
          <w:rtl/>
        </w:rPr>
        <w:t xml:space="preserve"> </w:t>
      </w:r>
      <w:r w:rsidRPr="00936A8D">
        <w:rPr>
          <w:rFonts w:hint="eastAsia"/>
          <w:rtl/>
        </w:rPr>
        <w:t>של</w:t>
      </w:r>
      <w:r w:rsidRPr="00936A8D">
        <w:rPr>
          <w:rtl/>
        </w:rPr>
        <w:t xml:space="preserve"> </w:t>
      </w:r>
      <w:r w:rsidRPr="00936A8D">
        <w:rPr>
          <w:rFonts w:hint="eastAsia"/>
          <w:rtl/>
        </w:rPr>
        <w:t>ביקורת</w:t>
      </w:r>
      <w:r w:rsidRPr="00936A8D">
        <w:rPr>
          <w:rtl/>
        </w:rPr>
        <w:t xml:space="preserve"> </w:t>
      </w:r>
      <w:r w:rsidRPr="00936A8D">
        <w:rPr>
          <w:rFonts w:hint="eastAsia"/>
          <w:rtl/>
        </w:rPr>
        <w:t>שיפוטית</w:t>
      </w:r>
      <w:r w:rsidRPr="00936A8D">
        <w:rPr>
          <w:rtl/>
        </w:rPr>
        <w:t xml:space="preserve">, </w:t>
      </w:r>
      <w:r w:rsidRPr="00936A8D">
        <w:rPr>
          <w:rFonts w:hint="eastAsia"/>
          <w:rtl/>
        </w:rPr>
        <w:t>שרירות</w:t>
      </w:r>
      <w:r w:rsidRPr="00936A8D">
        <w:rPr>
          <w:rtl/>
        </w:rPr>
        <w:t xml:space="preserve">, </w:t>
      </w:r>
      <w:r w:rsidRPr="00936A8D">
        <w:rPr>
          <w:rFonts w:hint="eastAsia"/>
          <w:rtl/>
        </w:rPr>
        <w:t>חוסר</w:t>
      </w:r>
      <w:r w:rsidRPr="00936A8D">
        <w:rPr>
          <w:rtl/>
        </w:rPr>
        <w:t xml:space="preserve"> </w:t>
      </w:r>
      <w:r w:rsidRPr="00936A8D">
        <w:rPr>
          <w:rFonts w:hint="eastAsia"/>
          <w:rtl/>
        </w:rPr>
        <w:t>תום</w:t>
      </w:r>
      <w:r w:rsidRPr="00936A8D">
        <w:rPr>
          <w:rtl/>
        </w:rPr>
        <w:t>-</w:t>
      </w:r>
      <w:r w:rsidRPr="00936A8D">
        <w:rPr>
          <w:rFonts w:hint="eastAsia"/>
          <w:rtl/>
        </w:rPr>
        <w:t>לב</w:t>
      </w:r>
      <w:r w:rsidRPr="00936A8D">
        <w:rPr>
          <w:rtl/>
        </w:rPr>
        <w:t xml:space="preserve">, </w:t>
      </w:r>
      <w:r w:rsidRPr="00936A8D">
        <w:rPr>
          <w:rFonts w:hint="eastAsia"/>
          <w:rtl/>
        </w:rPr>
        <w:t>הפליה</w:t>
      </w:r>
      <w:r w:rsidRPr="00936A8D">
        <w:rPr>
          <w:rtl/>
        </w:rPr>
        <w:t xml:space="preserve">, </w:t>
      </w:r>
      <w:r w:rsidRPr="00936A8D">
        <w:rPr>
          <w:rFonts w:hint="eastAsia"/>
          <w:rtl/>
        </w:rPr>
        <w:t>שיקולים</w:t>
      </w:r>
      <w:r w:rsidRPr="00936A8D">
        <w:rPr>
          <w:rtl/>
        </w:rPr>
        <w:t xml:space="preserve"> </w:t>
      </w:r>
      <w:r w:rsidRPr="00936A8D">
        <w:rPr>
          <w:rFonts w:hint="eastAsia"/>
          <w:rtl/>
        </w:rPr>
        <w:t>זרים</w:t>
      </w:r>
      <w:r w:rsidRPr="00936A8D">
        <w:rPr>
          <w:rtl/>
        </w:rPr>
        <w:t xml:space="preserve">, </w:t>
      </w:r>
      <w:r w:rsidRPr="00936A8D">
        <w:rPr>
          <w:rFonts w:hint="eastAsia"/>
          <w:rtl/>
        </w:rPr>
        <w:t>אי</w:t>
      </w:r>
      <w:r w:rsidRPr="00936A8D">
        <w:rPr>
          <w:rtl/>
        </w:rPr>
        <w:t>-</w:t>
      </w:r>
      <w:r w:rsidRPr="00936A8D">
        <w:rPr>
          <w:rFonts w:hint="eastAsia"/>
          <w:rtl/>
        </w:rPr>
        <w:t>שקילת</w:t>
      </w:r>
      <w:r w:rsidRPr="00936A8D">
        <w:rPr>
          <w:rtl/>
        </w:rPr>
        <w:t xml:space="preserve"> </w:t>
      </w:r>
      <w:r w:rsidRPr="00936A8D">
        <w:rPr>
          <w:rFonts w:hint="eastAsia"/>
          <w:rtl/>
        </w:rPr>
        <w:t>שיקולים</w:t>
      </w:r>
      <w:r w:rsidRPr="00936A8D">
        <w:rPr>
          <w:rtl/>
        </w:rPr>
        <w:t xml:space="preserve"> </w:t>
      </w:r>
      <w:r w:rsidRPr="00936A8D">
        <w:rPr>
          <w:rFonts w:hint="eastAsia"/>
          <w:rtl/>
        </w:rPr>
        <w:t>מהותיים</w:t>
      </w:r>
      <w:r w:rsidRPr="00936A8D">
        <w:rPr>
          <w:rtl/>
        </w:rPr>
        <w:t xml:space="preserve"> </w:t>
      </w:r>
      <w:r w:rsidRPr="00936A8D">
        <w:rPr>
          <w:rFonts w:hint="eastAsia"/>
          <w:rtl/>
        </w:rPr>
        <w:t>או</w:t>
      </w:r>
      <w:r w:rsidRPr="00936A8D">
        <w:rPr>
          <w:rtl/>
        </w:rPr>
        <w:t xml:space="preserve"> </w:t>
      </w:r>
      <w:r w:rsidRPr="00936A8D">
        <w:rPr>
          <w:rFonts w:hint="eastAsia"/>
          <w:rtl/>
        </w:rPr>
        <w:t>הפרת</w:t>
      </w:r>
      <w:r w:rsidRPr="00936A8D">
        <w:rPr>
          <w:rtl/>
        </w:rPr>
        <w:t xml:space="preserve"> </w:t>
      </w:r>
      <w:r w:rsidRPr="00936A8D">
        <w:rPr>
          <w:rFonts w:hint="eastAsia"/>
          <w:rtl/>
        </w:rPr>
        <w:t>כללי</w:t>
      </w:r>
      <w:r w:rsidRPr="00936A8D">
        <w:rPr>
          <w:rtl/>
        </w:rPr>
        <w:t xml:space="preserve"> </w:t>
      </w:r>
      <w:r w:rsidRPr="00936A8D">
        <w:rPr>
          <w:rFonts w:hint="eastAsia"/>
          <w:rtl/>
        </w:rPr>
        <w:t>הצדק</w:t>
      </w:r>
      <w:r w:rsidRPr="00936A8D">
        <w:rPr>
          <w:rtl/>
        </w:rPr>
        <w:t xml:space="preserve"> </w:t>
      </w:r>
      <w:r w:rsidRPr="00936A8D">
        <w:rPr>
          <w:rFonts w:hint="eastAsia"/>
          <w:rtl/>
        </w:rPr>
        <w:t>הטבעי</w:t>
      </w:r>
      <w:r w:rsidRPr="00936A8D">
        <w:rPr>
          <w:rtl/>
        </w:rPr>
        <w:t xml:space="preserve">, </w:t>
      </w:r>
      <w:r w:rsidRPr="00936A8D">
        <w:rPr>
          <w:rFonts w:hint="eastAsia"/>
          <w:rtl/>
        </w:rPr>
        <w:t>ומן</w:t>
      </w:r>
      <w:r w:rsidRPr="00936A8D">
        <w:rPr>
          <w:rtl/>
        </w:rPr>
        <w:t xml:space="preserve"> </w:t>
      </w:r>
      <w:r w:rsidRPr="00936A8D">
        <w:rPr>
          <w:rFonts w:hint="eastAsia"/>
          <w:rtl/>
        </w:rPr>
        <w:t>הסתם</w:t>
      </w:r>
      <w:r w:rsidRPr="00936A8D">
        <w:rPr>
          <w:rtl/>
        </w:rPr>
        <w:t xml:space="preserve"> </w:t>
      </w:r>
      <w:r w:rsidRPr="00936A8D">
        <w:rPr>
          <w:rFonts w:hint="eastAsia"/>
          <w:rtl/>
        </w:rPr>
        <w:t>אינה</w:t>
      </w:r>
      <w:r w:rsidRPr="00936A8D">
        <w:rPr>
          <w:rtl/>
        </w:rPr>
        <w:t xml:space="preserve"> </w:t>
      </w:r>
      <w:r w:rsidRPr="00936A8D">
        <w:rPr>
          <w:rFonts w:hint="eastAsia"/>
          <w:rtl/>
        </w:rPr>
        <w:t>מונעת</w:t>
      </w:r>
      <w:r w:rsidRPr="00936A8D">
        <w:rPr>
          <w:rtl/>
        </w:rPr>
        <w:t xml:space="preserve"> </w:t>
      </w:r>
      <w:r w:rsidRPr="00936A8D">
        <w:rPr>
          <w:rFonts w:hint="eastAsia"/>
          <w:rtl/>
        </w:rPr>
        <w:t>את</w:t>
      </w:r>
      <w:r w:rsidRPr="00936A8D">
        <w:rPr>
          <w:rtl/>
        </w:rPr>
        <w:t xml:space="preserve"> </w:t>
      </w:r>
      <w:r w:rsidRPr="00936A8D">
        <w:rPr>
          <w:rFonts w:hint="eastAsia"/>
          <w:rtl/>
        </w:rPr>
        <w:t>הוכחת</w:t>
      </w:r>
      <w:r w:rsidRPr="00936A8D">
        <w:rPr>
          <w:rtl/>
        </w:rPr>
        <w:t xml:space="preserve"> </w:t>
      </w:r>
      <w:r w:rsidRPr="00936A8D">
        <w:rPr>
          <w:rFonts w:hint="eastAsia"/>
          <w:rtl/>
        </w:rPr>
        <w:t>הפגמים</w:t>
      </w:r>
      <w:r w:rsidRPr="00936A8D">
        <w:rPr>
          <w:rtl/>
        </w:rPr>
        <w:t xml:space="preserve"> </w:t>
      </w:r>
      <w:r w:rsidRPr="00936A8D">
        <w:rPr>
          <w:rFonts w:hint="eastAsia"/>
          <w:rtl/>
        </w:rPr>
        <w:t>האמורים</w:t>
      </w:r>
      <w:r w:rsidRPr="00936A8D">
        <w:rPr>
          <w:rtl/>
        </w:rPr>
        <w:t xml:space="preserve"> </w:t>
      </w:r>
      <w:r w:rsidRPr="00936A8D">
        <w:rPr>
          <w:rFonts w:hint="eastAsia"/>
          <w:rtl/>
        </w:rPr>
        <w:t>על</w:t>
      </w:r>
      <w:r w:rsidRPr="00936A8D">
        <w:rPr>
          <w:rtl/>
        </w:rPr>
        <w:t xml:space="preserve"> </w:t>
      </w:r>
      <w:r w:rsidRPr="00936A8D">
        <w:rPr>
          <w:rFonts w:hint="eastAsia"/>
          <w:rtl/>
        </w:rPr>
        <w:t>ידי</w:t>
      </w:r>
      <w:r w:rsidRPr="00936A8D">
        <w:rPr>
          <w:rtl/>
        </w:rPr>
        <w:t xml:space="preserve"> </w:t>
      </w:r>
      <w:r w:rsidRPr="00936A8D">
        <w:rPr>
          <w:rFonts w:hint="eastAsia"/>
          <w:rtl/>
        </w:rPr>
        <w:t>היות</w:t>
      </w:r>
      <w:r w:rsidRPr="00936A8D">
        <w:rPr>
          <w:rtl/>
        </w:rPr>
        <w:t xml:space="preserve"> </w:t>
      </w:r>
      <w:r w:rsidRPr="00936A8D">
        <w:rPr>
          <w:rFonts w:hint="eastAsia"/>
          <w:rtl/>
        </w:rPr>
        <w:t>ההחלטה</w:t>
      </w:r>
      <w:r w:rsidRPr="00936A8D">
        <w:rPr>
          <w:rtl/>
        </w:rPr>
        <w:t xml:space="preserve"> </w:t>
      </w:r>
      <w:r w:rsidRPr="00936A8D">
        <w:rPr>
          <w:rFonts w:hint="eastAsia"/>
          <w:rtl/>
        </w:rPr>
        <w:t>מעוותת</w:t>
      </w:r>
      <w:r w:rsidRPr="00936A8D">
        <w:rPr>
          <w:rtl/>
        </w:rPr>
        <w:t xml:space="preserve">, </w:t>
      </w:r>
      <w:r w:rsidRPr="00936A8D">
        <w:rPr>
          <w:rFonts w:hint="eastAsia"/>
          <w:rtl/>
        </w:rPr>
        <w:t>אבסורדית</w:t>
      </w:r>
      <w:r w:rsidRPr="00936A8D">
        <w:rPr>
          <w:rtl/>
        </w:rPr>
        <w:t xml:space="preserve"> </w:t>
      </w:r>
      <w:r w:rsidRPr="00936A8D">
        <w:rPr>
          <w:rFonts w:hint="eastAsia"/>
          <w:rtl/>
        </w:rPr>
        <w:t>ומופרכת</w:t>
      </w:r>
      <w:r w:rsidRPr="00936A8D">
        <w:rPr>
          <w:rtl/>
        </w:rPr>
        <w:t xml:space="preserve"> </w:t>
      </w:r>
      <w:r w:rsidRPr="00936A8D">
        <w:rPr>
          <w:rFonts w:hint="eastAsia"/>
          <w:rtl/>
        </w:rPr>
        <w:t>על</w:t>
      </w:r>
      <w:r w:rsidRPr="00936A8D">
        <w:rPr>
          <w:rtl/>
        </w:rPr>
        <w:t>-</w:t>
      </w:r>
      <w:r w:rsidRPr="00936A8D">
        <w:rPr>
          <w:rFonts w:hint="eastAsia"/>
          <w:rtl/>
        </w:rPr>
        <w:t>פניה</w:t>
      </w:r>
      <w:r>
        <w:rPr>
          <w:rFonts w:hint="cs"/>
          <w:rtl/>
        </w:rPr>
        <w:t xml:space="preserve"> (קרי: החלטה שעל-פניה אינה סבירה במידה קיצונית). </w:t>
      </w:r>
      <w:r w:rsidRPr="00EB0AC0">
        <w:rPr>
          <w:rFonts w:ascii="Century" w:hAnsi="Century" w:cs="Miriam" w:hint="eastAsia"/>
          <w:b/>
          <w:spacing w:val="0"/>
          <w:sz w:val="22"/>
          <w:szCs w:val="24"/>
          <w:rtl/>
        </w:rPr>
        <w:t>הווה</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אומר</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ההוראה</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נושא</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דיוננו</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משמרת</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את</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הגישה</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הראייתית</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להפעלתה</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של</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דוקטרינת</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הסבירות</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שלטעמי</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מהווה</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כלי</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יעיל</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ועוצמתי</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די</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הצורך</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להפעלתה</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של</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ביקורת</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שיפוטית</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אפקטיבית</w:t>
      </w:r>
      <w:r w:rsidRPr="00EB0AC0">
        <w:rPr>
          <w:rFonts w:ascii="Century" w:hAnsi="Century" w:cs="Miriam"/>
          <w:b/>
          <w:spacing w:val="0"/>
          <w:sz w:val="22"/>
          <w:szCs w:val="24"/>
          <w:rtl/>
        </w:rPr>
        <w:t>.</w:t>
      </w:r>
      <w:r w:rsidRPr="00936A8D">
        <w:rPr>
          <w:rtl/>
        </w:rPr>
        <w:t xml:space="preserve"> </w:t>
      </w:r>
      <w:r w:rsidRPr="00936A8D">
        <w:rPr>
          <w:rFonts w:hint="eastAsia"/>
          <w:rtl/>
        </w:rPr>
        <w:t>לפי</w:t>
      </w:r>
      <w:r w:rsidRPr="00936A8D">
        <w:rPr>
          <w:rtl/>
        </w:rPr>
        <w:t xml:space="preserve"> </w:t>
      </w:r>
      <w:r w:rsidRPr="00936A8D">
        <w:rPr>
          <w:rFonts w:hint="eastAsia"/>
          <w:rtl/>
        </w:rPr>
        <w:t>גישה</w:t>
      </w:r>
      <w:r w:rsidRPr="00936A8D">
        <w:rPr>
          <w:rtl/>
        </w:rPr>
        <w:t xml:space="preserve"> </w:t>
      </w:r>
      <w:r w:rsidRPr="00936A8D">
        <w:rPr>
          <w:rFonts w:hint="eastAsia"/>
          <w:rtl/>
        </w:rPr>
        <w:t>זו</w:t>
      </w:r>
      <w:r w:rsidRPr="00936A8D">
        <w:rPr>
          <w:rtl/>
        </w:rPr>
        <w:t xml:space="preserve">, </w:t>
      </w:r>
      <w:r w:rsidRPr="00936A8D">
        <w:rPr>
          <w:rFonts w:hint="eastAsia"/>
          <w:rtl/>
        </w:rPr>
        <w:t>היותה</w:t>
      </w:r>
      <w:r w:rsidRPr="00936A8D">
        <w:rPr>
          <w:rtl/>
        </w:rPr>
        <w:t xml:space="preserve"> </w:t>
      </w:r>
      <w:r w:rsidRPr="00936A8D">
        <w:rPr>
          <w:rFonts w:hint="eastAsia"/>
          <w:rtl/>
        </w:rPr>
        <w:t>של</w:t>
      </w:r>
      <w:r w:rsidRPr="00936A8D">
        <w:rPr>
          <w:rtl/>
        </w:rPr>
        <w:t xml:space="preserve"> </w:t>
      </w:r>
      <w:r w:rsidRPr="00936A8D">
        <w:rPr>
          <w:rFonts w:hint="eastAsia"/>
          <w:rtl/>
        </w:rPr>
        <w:t>החלטת</w:t>
      </w:r>
      <w:r w:rsidRPr="00936A8D">
        <w:rPr>
          <w:rtl/>
        </w:rPr>
        <w:t xml:space="preserve"> </w:t>
      </w:r>
      <w:r w:rsidRPr="00936A8D">
        <w:rPr>
          <w:rFonts w:hint="eastAsia"/>
          <w:rtl/>
        </w:rPr>
        <w:t>ממשלה</w:t>
      </w:r>
      <w:r w:rsidRPr="00936A8D">
        <w:rPr>
          <w:rtl/>
        </w:rPr>
        <w:t xml:space="preserve"> </w:t>
      </w:r>
      <w:r w:rsidRPr="00936A8D">
        <w:rPr>
          <w:rFonts w:hint="eastAsia"/>
          <w:rtl/>
        </w:rPr>
        <w:t>מעוותת</w:t>
      </w:r>
      <w:r w:rsidRPr="00936A8D">
        <w:rPr>
          <w:rtl/>
        </w:rPr>
        <w:t xml:space="preserve">, </w:t>
      </w:r>
      <w:r w:rsidRPr="00936A8D">
        <w:rPr>
          <w:rFonts w:hint="eastAsia"/>
          <w:rtl/>
        </w:rPr>
        <w:t>אבסורדית</w:t>
      </w:r>
      <w:r w:rsidRPr="00936A8D">
        <w:rPr>
          <w:rtl/>
        </w:rPr>
        <w:t xml:space="preserve">, </w:t>
      </w:r>
      <w:r w:rsidRPr="00936A8D">
        <w:rPr>
          <w:rFonts w:hint="eastAsia"/>
          <w:rtl/>
        </w:rPr>
        <w:t>מופרכת</w:t>
      </w:r>
      <w:r w:rsidRPr="00936A8D">
        <w:rPr>
          <w:rtl/>
        </w:rPr>
        <w:t xml:space="preserve"> </w:t>
      </w:r>
      <w:r w:rsidRPr="00936A8D">
        <w:rPr>
          <w:rFonts w:hint="eastAsia"/>
          <w:rtl/>
        </w:rPr>
        <w:t>על</w:t>
      </w:r>
      <w:r w:rsidRPr="00936A8D">
        <w:rPr>
          <w:rtl/>
        </w:rPr>
        <w:t>-</w:t>
      </w:r>
      <w:r w:rsidRPr="00936A8D">
        <w:rPr>
          <w:rFonts w:hint="eastAsia"/>
          <w:rtl/>
        </w:rPr>
        <w:t>פניה</w:t>
      </w:r>
      <w:r w:rsidRPr="00936A8D">
        <w:rPr>
          <w:rtl/>
        </w:rPr>
        <w:t xml:space="preserve"> – </w:t>
      </w:r>
      <w:r w:rsidRPr="00936A8D">
        <w:rPr>
          <w:rFonts w:hint="eastAsia"/>
          <w:rtl/>
        </w:rPr>
        <w:t>וכפועל</w:t>
      </w:r>
      <w:r w:rsidRPr="00936A8D">
        <w:rPr>
          <w:rtl/>
        </w:rPr>
        <w:t xml:space="preserve"> </w:t>
      </w:r>
      <w:r w:rsidRPr="00936A8D">
        <w:rPr>
          <w:rFonts w:hint="eastAsia"/>
          <w:rtl/>
        </w:rPr>
        <w:t>יוצא</w:t>
      </w:r>
      <w:r w:rsidRPr="00936A8D">
        <w:rPr>
          <w:rtl/>
        </w:rPr>
        <w:t xml:space="preserve"> </w:t>
      </w:r>
      <w:r w:rsidRPr="00936A8D">
        <w:rPr>
          <w:rFonts w:hint="eastAsia"/>
          <w:rtl/>
        </w:rPr>
        <w:t>מכך</w:t>
      </w:r>
      <w:r w:rsidRPr="00936A8D">
        <w:rPr>
          <w:rtl/>
        </w:rPr>
        <w:t xml:space="preserve">, </w:t>
      </w:r>
      <w:r w:rsidRPr="00936A8D">
        <w:rPr>
          <w:rFonts w:hint="eastAsia"/>
          <w:rtl/>
        </w:rPr>
        <w:t>בלתי</w:t>
      </w:r>
      <w:r w:rsidRPr="00936A8D">
        <w:rPr>
          <w:rtl/>
        </w:rPr>
        <w:t xml:space="preserve"> </w:t>
      </w:r>
      <w:r w:rsidRPr="00936A8D">
        <w:rPr>
          <w:rFonts w:hint="eastAsia"/>
          <w:rtl/>
        </w:rPr>
        <w:t>סבירה</w:t>
      </w:r>
      <w:r w:rsidRPr="00936A8D">
        <w:rPr>
          <w:rtl/>
        </w:rPr>
        <w:t xml:space="preserve"> </w:t>
      </w:r>
      <w:r w:rsidRPr="00936A8D">
        <w:rPr>
          <w:rFonts w:hint="eastAsia"/>
          <w:rtl/>
        </w:rPr>
        <w:t>במידה</w:t>
      </w:r>
      <w:r w:rsidRPr="00936A8D">
        <w:rPr>
          <w:rtl/>
        </w:rPr>
        <w:t xml:space="preserve"> </w:t>
      </w:r>
      <w:r w:rsidRPr="00936A8D">
        <w:rPr>
          <w:rFonts w:hint="eastAsia"/>
          <w:rtl/>
        </w:rPr>
        <w:t>קיצונית</w:t>
      </w:r>
      <w:r w:rsidRPr="00936A8D">
        <w:rPr>
          <w:rtl/>
        </w:rPr>
        <w:t xml:space="preserve"> – </w:t>
      </w:r>
      <w:r w:rsidRPr="00936A8D">
        <w:rPr>
          <w:rFonts w:hint="eastAsia"/>
          <w:rtl/>
        </w:rPr>
        <w:t>מוכיחה</w:t>
      </w:r>
      <w:r w:rsidRPr="00936A8D">
        <w:rPr>
          <w:rtl/>
        </w:rPr>
        <w:t xml:space="preserve"> </w:t>
      </w:r>
      <w:r w:rsidRPr="00936A8D">
        <w:rPr>
          <w:rFonts w:hint="eastAsia"/>
          <w:rtl/>
        </w:rPr>
        <w:t>כי</w:t>
      </w:r>
      <w:r w:rsidRPr="00936A8D">
        <w:rPr>
          <w:rtl/>
        </w:rPr>
        <w:t xml:space="preserve"> </w:t>
      </w:r>
      <w:r w:rsidRPr="00936A8D">
        <w:rPr>
          <w:rFonts w:hint="eastAsia"/>
          <w:rtl/>
        </w:rPr>
        <w:t>ההחלטה</w:t>
      </w:r>
      <w:r w:rsidRPr="00936A8D">
        <w:rPr>
          <w:rtl/>
        </w:rPr>
        <w:t xml:space="preserve"> </w:t>
      </w:r>
      <w:r w:rsidRPr="00936A8D">
        <w:rPr>
          <w:rFonts w:hint="eastAsia"/>
          <w:rtl/>
        </w:rPr>
        <w:t>נפגמה</w:t>
      </w:r>
      <w:r w:rsidRPr="00936A8D">
        <w:rPr>
          <w:rtl/>
        </w:rPr>
        <w:t xml:space="preserve"> </w:t>
      </w:r>
      <w:r w:rsidRPr="00936A8D">
        <w:rPr>
          <w:rFonts w:hint="eastAsia"/>
          <w:rtl/>
        </w:rPr>
        <w:t>באחד</w:t>
      </w:r>
      <w:r w:rsidRPr="00936A8D">
        <w:rPr>
          <w:rtl/>
        </w:rPr>
        <w:t xml:space="preserve"> </w:t>
      </w:r>
      <w:r w:rsidRPr="00936A8D">
        <w:rPr>
          <w:rFonts w:hint="eastAsia"/>
          <w:rtl/>
        </w:rPr>
        <w:t>הפגמים</w:t>
      </w:r>
      <w:r w:rsidRPr="00936A8D">
        <w:rPr>
          <w:rtl/>
        </w:rPr>
        <w:t xml:space="preserve"> </w:t>
      </w:r>
      <w:r w:rsidRPr="00936A8D">
        <w:rPr>
          <w:rFonts w:hint="eastAsia"/>
          <w:rtl/>
        </w:rPr>
        <w:t>האמורים</w:t>
      </w:r>
      <w:r w:rsidRPr="00936A8D">
        <w:rPr>
          <w:rtl/>
        </w:rPr>
        <w:t xml:space="preserve">, </w:t>
      </w:r>
      <w:r w:rsidRPr="00936A8D">
        <w:rPr>
          <w:rFonts w:hint="eastAsia"/>
          <w:rtl/>
        </w:rPr>
        <w:t>על</w:t>
      </w:r>
      <w:r w:rsidRPr="00936A8D">
        <w:rPr>
          <w:rtl/>
        </w:rPr>
        <w:t xml:space="preserve"> </w:t>
      </w:r>
      <w:r w:rsidRPr="00936A8D">
        <w:rPr>
          <w:rFonts w:hint="eastAsia"/>
          <w:rtl/>
        </w:rPr>
        <w:t>כל</w:t>
      </w:r>
      <w:r w:rsidRPr="00936A8D">
        <w:rPr>
          <w:rtl/>
        </w:rPr>
        <w:t xml:space="preserve"> </w:t>
      </w:r>
      <w:r w:rsidRPr="00936A8D">
        <w:rPr>
          <w:rFonts w:hint="eastAsia"/>
          <w:rtl/>
        </w:rPr>
        <w:t>המשתמע</w:t>
      </w:r>
      <w:r w:rsidRPr="00936A8D">
        <w:rPr>
          <w:rtl/>
        </w:rPr>
        <w:t xml:space="preserve"> </w:t>
      </w:r>
      <w:r w:rsidRPr="00936A8D">
        <w:rPr>
          <w:rFonts w:hint="eastAsia"/>
          <w:rtl/>
        </w:rPr>
        <w:t>מכך</w:t>
      </w:r>
      <w:r w:rsidRPr="00936A8D">
        <w:rPr>
          <w:rtl/>
        </w:rPr>
        <w:t xml:space="preserve">. </w:t>
      </w:r>
    </w:p>
    <w:p w:rsidR="0047626A" w:rsidRPr="00936A8D" w:rsidRDefault="0047626A" w:rsidP="0047626A">
      <w:pPr>
        <w:pStyle w:val="Ruller4"/>
        <w:numPr>
          <w:ilvl w:val="0"/>
          <w:numId w:val="0"/>
        </w:numPr>
      </w:pPr>
    </w:p>
    <w:p w:rsidR="0047626A" w:rsidRPr="00936A8D" w:rsidRDefault="0047626A" w:rsidP="0047626A">
      <w:pPr>
        <w:pStyle w:val="Ruller4"/>
      </w:pPr>
      <w:r w:rsidRPr="00936A8D">
        <w:rPr>
          <w:rFonts w:ascii="Century" w:hAnsi="Century" w:cs="Miriam" w:hint="eastAsia"/>
          <w:b/>
          <w:spacing w:val="0"/>
          <w:sz w:val="22"/>
          <w:szCs w:val="24"/>
          <w:rtl/>
        </w:rPr>
        <w:t>ההוראה</w:t>
      </w:r>
      <w:r w:rsidRPr="00936A8D">
        <w:rPr>
          <w:rFonts w:ascii="Century" w:hAnsi="Century" w:cs="Miriam"/>
          <w:b/>
          <w:spacing w:val="0"/>
          <w:sz w:val="22"/>
          <w:szCs w:val="24"/>
          <w:rtl/>
        </w:rPr>
        <w:t xml:space="preserve"> </w:t>
      </w:r>
      <w:r>
        <w:rPr>
          <w:rFonts w:ascii="Century" w:hAnsi="Century" w:cs="Miriam" w:hint="cs"/>
          <w:b/>
          <w:spacing w:val="0"/>
          <w:sz w:val="22"/>
          <w:szCs w:val="24"/>
          <w:rtl/>
        </w:rPr>
        <w:t xml:space="preserve">נושא דיוננו </w:t>
      </w:r>
      <w:r w:rsidRPr="00936A8D">
        <w:rPr>
          <w:rFonts w:ascii="Century" w:hAnsi="Century" w:cs="Miriam" w:hint="eastAsia"/>
          <w:b/>
          <w:spacing w:val="0"/>
          <w:sz w:val="22"/>
          <w:szCs w:val="24"/>
          <w:rtl/>
        </w:rPr>
        <w:t>אינה</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אוסרת</w:t>
      </w:r>
      <w:r w:rsidRPr="00936A8D">
        <w:rPr>
          <w:rFonts w:ascii="Century" w:hAnsi="Century" w:cs="Miriam"/>
          <w:b/>
          <w:spacing w:val="0"/>
          <w:sz w:val="22"/>
          <w:szCs w:val="24"/>
          <w:rtl/>
        </w:rPr>
        <w:t xml:space="preserve"> </w:t>
      </w:r>
      <w:r>
        <w:rPr>
          <w:rFonts w:ascii="Century" w:hAnsi="Century" w:cs="Miriam" w:hint="cs"/>
          <w:b/>
          <w:spacing w:val="0"/>
          <w:sz w:val="22"/>
          <w:szCs w:val="24"/>
          <w:rtl/>
        </w:rPr>
        <w:t xml:space="preserve">אפוא </w:t>
      </w:r>
      <w:r w:rsidRPr="00936A8D">
        <w:rPr>
          <w:rFonts w:ascii="Century" w:hAnsi="Century" w:cs="Miriam" w:hint="eastAsia"/>
          <w:b/>
          <w:spacing w:val="0"/>
          <w:sz w:val="22"/>
          <w:szCs w:val="24"/>
          <w:rtl/>
        </w:rPr>
        <w:t>על</w:t>
      </w:r>
      <w:r w:rsidRPr="00936A8D">
        <w:rPr>
          <w:rFonts w:ascii="Century" w:hAnsi="Century" w:cs="Miriam"/>
          <w:b/>
          <w:spacing w:val="0"/>
          <w:sz w:val="22"/>
          <w:szCs w:val="24"/>
          <w:rtl/>
        </w:rPr>
        <w:t xml:space="preserve"> </w:t>
      </w:r>
      <w:r w:rsidRPr="0019296E">
        <w:rPr>
          <w:rFonts w:ascii="Century" w:hAnsi="Century" w:cs="Miriam" w:hint="eastAsia"/>
          <w:b/>
          <w:spacing w:val="0"/>
          <w:sz w:val="22"/>
          <w:szCs w:val="24"/>
          <w:u w:val="single"/>
          <w:rtl/>
        </w:rPr>
        <w:t>שימוש</w:t>
      </w:r>
      <w:r w:rsidRPr="0019296E">
        <w:rPr>
          <w:rFonts w:ascii="Century" w:hAnsi="Century" w:cs="Miriam"/>
          <w:b/>
          <w:spacing w:val="0"/>
          <w:sz w:val="22"/>
          <w:szCs w:val="24"/>
          <w:u w:val="single"/>
          <w:rtl/>
        </w:rPr>
        <w:t xml:space="preserve"> </w:t>
      </w:r>
      <w:r w:rsidRPr="0019296E">
        <w:rPr>
          <w:rFonts w:ascii="Century" w:hAnsi="Century" w:cs="Miriam" w:hint="eastAsia"/>
          <w:b/>
          <w:spacing w:val="0"/>
          <w:sz w:val="22"/>
          <w:szCs w:val="24"/>
          <w:u w:val="single"/>
          <w:rtl/>
        </w:rPr>
        <w:t>ראייתי</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באי</w:t>
      </w:r>
      <w:r w:rsidRPr="00936A8D">
        <w:rPr>
          <w:rFonts w:ascii="Century" w:hAnsi="Century" w:cs="Miriam"/>
          <w:b/>
          <w:spacing w:val="0"/>
          <w:sz w:val="22"/>
          <w:szCs w:val="24"/>
          <w:rtl/>
        </w:rPr>
        <w:t>-</w:t>
      </w:r>
      <w:r w:rsidRPr="00936A8D">
        <w:rPr>
          <w:rFonts w:ascii="Century" w:hAnsi="Century" w:cs="Miriam" w:hint="eastAsia"/>
          <w:b/>
          <w:spacing w:val="0"/>
          <w:sz w:val="22"/>
          <w:szCs w:val="24"/>
          <w:rtl/>
        </w:rPr>
        <w:t>סבירות</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ההחלטה</w:t>
      </w:r>
      <w:r>
        <w:rPr>
          <w:rFonts w:ascii="Century" w:hAnsi="Century" w:cs="Miriam" w:hint="cs"/>
          <w:b/>
          <w:spacing w:val="0"/>
          <w:sz w:val="22"/>
          <w:szCs w:val="24"/>
          <w:rtl/>
        </w:rPr>
        <w:t xml:space="preserve"> המינהלית</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וגם</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אילו</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היה</w:t>
      </w:r>
      <w:r w:rsidRPr="00936A8D">
        <w:rPr>
          <w:rFonts w:ascii="Century" w:hAnsi="Century" w:cs="Miriam"/>
          <w:b/>
          <w:spacing w:val="0"/>
          <w:sz w:val="22"/>
          <w:szCs w:val="24"/>
          <w:rtl/>
        </w:rPr>
        <w:t xml:space="preserve"> </w:t>
      </w:r>
      <w:r>
        <w:rPr>
          <w:rFonts w:ascii="Century" w:hAnsi="Century" w:cs="Miriam" w:hint="cs"/>
          <w:b/>
          <w:spacing w:val="0"/>
          <w:sz w:val="22"/>
          <w:szCs w:val="24"/>
          <w:rtl/>
        </w:rPr>
        <w:t xml:space="preserve">בה </w:t>
      </w:r>
      <w:r w:rsidRPr="00936A8D">
        <w:rPr>
          <w:rFonts w:ascii="Century" w:hAnsi="Century" w:cs="Miriam" w:hint="eastAsia"/>
          <w:b/>
          <w:spacing w:val="0"/>
          <w:sz w:val="22"/>
          <w:szCs w:val="24"/>
          <w:rtl/>
        </w:rPr>
        <w:t>איסור</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כזה</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בנקל</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היינו</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מחליפים</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את</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המילים</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חוסר</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סבירות</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קיצוני</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ב</w:t>
      </w:r>
      <w:r w:rsidRPr="00936A8D">
        <w:rPr>
          <w:rFonts w:ascii="Century" w:hAnsi="Century" w:cs="Miriam"/>
          <w:b/>
          <w:spacing w:val="0"/>
          <w:sz w:val="22"/>
          <w:szCs w:val="24"/>
          <w:rtl/>
        </w:rPr>
        <w:t>"</w:t>
      </w:r>
      <w:r w:rsidRPr="00936A8D">
        <w:rPr>
          <w:rFonts w:ascii="Century" w:hAnsi="Century" w:cs="Miriam" w:hint="eastAsia"/>
          <w:b/>
          <w:spacing w:val="0"/>
          <w:sz w:val="22"/>
          <w:szCs w:val="24"/>
          <w:rtl/>
        </w:rPr>
        <w:t>עיוות</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מהותי</w:t>
      </w:r>
      <w:r w:rsidRPr="00936A8D">
        <w:rPr>
          <w:rFonts w:ascii="Century" w:hAnsi="Century" w:cs="Miriam"/>
          <w:b/>
          <w:spacing w:val="0"/>
          <w:sz w:val="22"/>
          <w:szCs w:val="24"/>
          <w:rtl/>
        </w:rPr>
        <w:t>", "</w:t>
      </w:r>
      <w:r w:rsidRPr="00936A8D">
        <w:rPr>
          <w:rFonts w:ascii="Century" w:hAnsi="Century" w:cs="Miriam" w:hint="eastAsia"/>
          <w:b/>
          <w:spacing w:val="0"/>
          <w:sz w:val="22"/>
          <w:szCs w:val="24"/>
          <w:rtl/>
        </w:rPr>
        <w:t>מופרכוּת</w:t>
      </w:r>
      <w:r w:rsidRPr="00936A8D">
        <w:rPr>
          <w:rFonts w:ascii="Century" w:hAnsi="Century" w:cs="Miriam"/>
          <w:b/>
          <w:spacing w:val="0"/>
          <w:sz w:val="22"/>
          <w:szCs w:val="24"/>
          <w:rtl/>
        </w:rPr>
        <w:t>", "</w:t>
      </w:r>
      <w:r w:rsidRPr="00936A8D">
        <w:rPr>
          <w:rFonts w:ascii="Century" w:hAnsi="Century" w:cs="Miriam" w:hint="eastAsia"/>
          <w:b/>
          <w:spacing w:val="0"/>
          <w:sz w:val="22"/>
          <w:szCs w:val="24"/>
          <w:rtl/>
        </w:rPr>
        <w:t>אבסורדיות</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או</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היעדר</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רציונליות</w:t>
      </w:r>
      <w:r w:rsidRPr="00936A8D">
        <w:rPr>
          <w:rFonts w:ascii="Century" w:hAnsi="Century" w:cs="Miriam"/>
          <w:b/>
          <w:spacing w:val="0"/>
          <w:sz w:val="22"/>
          <w:szCs w:val="24"/>
          <w:rtl/>
        </w:rPr>
        <w:t xml:space="preserve">" – </w:t>
      </w:r>
      <w:r w:rsidRPr="00936A8D">
        <w:rPr>
          <w:rFonts w:ascii="Century" w:hAnsi="Century" w:cs="Miriam" w:hint="eastAsia"/>
          <w:b/>
          <w:spacing w:val="0"/>
          <w:sz w:val="22"/>
          <w:szCs w:val="24"/>
          <w:rtl/>
        </w:rPr>
        <w:t>שהרי</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אלו</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הם</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ביטויים</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נרדפים</w:t>
      </w:r>
      <w:r w:rsidRPr="00936A8D">
        <w:rPr>
          <w:rFonts w:ascii="Century" w:hAnsi="Century" w:cs="Miriam"/>
          <w:b/>
          <w:spacing w:val="0"/>
          <w:sz w:val="22"/>
          <w:szCs w:val="24"/>
          <w:rtl/>
        </w:rPr>
        <w:t>.</w:t>
      </w:r>
      <w:r w:rsidRPr="00936A8D">
        <w:rPr>
          <w:rtl/>
        </w:rPr>
        <w:t xml:space="preserve"> </w:t>
      </w:r>
      <w:r w:rsidRPr="00936A8D">
        <w:rPr>
          <w:rFonts w:hint="eastAsia"/>
          <w:rtl/>
        </w:rPr>
        <w:t>מצב</w:t>
      </w:r>
      <w:r w:rsidRPr="00936A8D">
        <w:rPr>
          <w:rtl/>
        </w:rPr>
        <w:t xml:space="preserve"> </w:t>
      </w:r>
      <w:r w:rsidRPr="00936A8D">
        <w:rPr>
          <w:rFonts w:hint="eastAsia"/>
          <w:rtl/>
        </w:rPr>
        <w:t>משפטי</w:t>
      </w:r>
      <w:r w:rsidRPr="00936A8D">
        <w:rPr>
          <w:rtl/>
        </w:rPr>
        <w:t xml:space="preserve"> </w:t>
      </w:r>
      <w:r w:rsidRPr="00936A8D">
        <w:rPr>
          <w:rFonts w:hint="eastAsia"/>
          <w:rtl/>
        </w:rPr>
        <w:t>זה</w:t>
      </w:r>
      <w:r w:rsidRPr="00936A8D">
        <w:rPr>
          <w:rtl/>
        </w:rPr>
        <w:t xml:space="preserve"> </w:t>
      </w:r>
      <w:r w:rsidRPr="00936A8D">
        <w:rPr>
          <w:rFonts w:hint="eastAsia"/>
          <w:rtl/>
        </w:rPr>
        <w:t>דומה</w:t>
      </w:r>
      <w:r w:rsidRPr="00936A8D">
        <w:rPr>
          <w:rtl/>
        </w:rPr>
        <w:t xml:space="preserve"> </w:t>
      </w:r>
      <w:r w:rsidRPr="00936A8D">
        <w:rPr>
          <w:rFonts w:hint="eastAsia"/>
          <w:rtl/>
        </w:rPr>
        <w:t>למצבם</w:t>
      </w:r>
      <w:r w:rsidRPr="00936A8D">
        <w:rPr>
          <w:rtl/>
        </w:rPr>
        <w:t xml:space="preserve"> </w:t>
      </w:r>
      <w:r w:rsidRPr="00936A8D">
        <w:rPr>
          <w:rFonts w:hint="eastAsia"/>
          <w:rtl/>
        </w:rPr>
        <w:t>המשפטי</w:t>
      </w:r>
      <w:r w:rsidRPr="00936A8D">
        <w:rPr>
          <w:rtl/>
        </w:rPr>
        <w:t xml:space="preserve"> </w:t>
      </w:r>
      <w:r w:rsidRPr="00936A8D">
        <w:rPr>
          <w:rFonts w:hint="eastAsia"/>
          <w:rtl/>
        </w:rPr>
        <w:t>של</w:t>
      </w:r>
      <w:r w:rsidRPr="00936A8D">
        <w:rPr>
          <w:rtl/>
        </w:rPr>
        <w:t xml:space="preserve"> </w:t>
      </w:r>
      <w:r w:rsidRPr="00936A8D">
        <w:rPr>
          <w:rFonts w:hint="eastAsia"/>
          <w:rtl/>
        </w:rPr>
        <w:t>דיני</w:t>
      </w:r>
      <w:r w:rsidRPr="00936A8D">
        <w:rPr>
          <w:rtl/>
        </w:rPr>
        <w:t xml:space="preserve"> </w:t>
      </w:r>
      <w:r w:rsidRPr="00936A8D">
        <w:rPr>
          <w:rFonts w:hint="eastAsia"/>
          <w:rtl/>
        </w:rPr>
        <w:t>הנזיקין</w:t>
      </w:r>
      <w:r w:rsidRPr="00936A8D">
        <w:rPr>
          <w:rtl/>
        </w:rPr>
        <w:t xml:space="preserve"> </w:t>
      </w:r>
      <w:r w:rsidRPr="00936A8D">
        <w:rPr>
          <w:rFonts w:hint="eastAsia"/>
          <w:rtl/>
        </w:rPr>
        <w:t>הקנדיים</w:t>
      </w:r>
      <w:r w:rsidRPr="00936A8D">
        <w:rPr>
          <w:rtl/>
        </w:rPr>
        <w:t xml:space="preserve"> </w:t>
      </w:r>
      <w:r w:rsidRPr="00936A8D">
        <w:rPr>
          <w:rFonts w:hint="eastAsia"/>
          <w:rtl/>
        </w:rPr>
        <w:t>בעקבות</w:t>
      </w:r>
      <w:r w:rsidRPr="00936A8D">
        <w:rPr>
          <w:rtl/>
        </w:rPr>
        <w:t xml:space="preserve"> </w:t>
      </w:r>
      <w:r w:rsidRPr="00936A8D">
        <w:rPr>
          <w:rFonts w:hint="eastAsia"/>
          <w:rtl/>
        </w:rPr>
        <w:t>ביטולו</w:t>
      </w:r>
      <w:r w:rsidRPr="00936A8D">
        <w:rPr>
          <w:rtl/>
        </w:rPr>
        <w:t xml:space="preserve"> </w:t>
      </w:r>
      <w:r w:rsidRPr="00936A8D">
        <w:rPr>
          <w:rFonts w:hint="eastAsia"/>
          <w:rtl/>
        </w:rPr>
        <w:t>של</w:t>
      </w:r>
      <w:r w:rsidRPr="00936A8D">
        <w:rPr>
          <w:rtl/>
        </w:rPr>
        <w:t xml:space="preserve"> </w:t>
      </w:r>
      <w:r w:rsidRPr="00936A8D">
        <w:rPr>
          <w:rFonts w:hint="eastAsia"/>
          <w:rtl/>
        </w:rPr>
        <w:t>הכלל</w:t>
      </w:r>
      <w:r w:rsidRPr="00936A8D">
        <w:rPr>
          <w:rtl/>
        </w:rPr>
        <w:t xml:space="preserve"> "</w:t>
      </w:r>
      <w:r w:rsidRPr="00936A8D">
        <w:rPr>
          <w:rFonts w:hint="eastAsia"/>
          <w:rtl/>
        </w:rPr>
        <w:t>הדבר</w:t>
      </w:r>
      <w:r w:rsidRPr="00936A8D">
        <w:rPr>
          <w:rtl/>
        </w:rPr>
        <w:t xml:space="preserve"> </w:t>
      </w:r>
      <w:r w:rsidRPr="00936A8D">
        <w:rPr>
          <w:rFonts w:hint="eastAsia"/>
          <w:rtl/>
        </w:rPr>
        <w:t>מעיד</w:t>
      </w:r>
      <w:r w:rsidRPr="00936A8D">
        <w:rPr>
          <w:rtl/>
        </w:rPr>
        <w:t xml:space="preserve"> </w:t>
      </w:r>
      <w:r w:rsidRPr="00936A8D">
        <w:rPr>
          <w:rFonts w:hint="eastAsia"/>
          <w:rtl/>
        </w:rPr>
        <w:t>על</w:t>
      </w:r>
      <w:r w:rsidRPr="00936A8D">
        <w:rPr>
          <w:rtl/>
        </w:rPr>
        <w:t xml:space="preserve"> </w:t>
      </w:r>
      <w:r w:rsidRPr="00936A8D">
        <w:rPr>
          <w:rFonts w:hint="eastAsia"/>
          <w:rtl/>
        </w:rPr>
        <w:t>עצמו</w:t>
      </w:r>
      <w:r w:rsidRPr="00936A8D">
        <w:rPr>
          <w:rtl/>
        </w:rPr>
        <w:t>" (</w:t>
      </w:r>
      <w:r w:rsidRPr="00936A8D">
        <w:rPr>
          <w:rFonts w:asciiTheme="majorBidi" w:hAnsiTheme="majorBidi" w:cstheme="majorBidi"/>
        </w:rPr>
        <w:t>res ipsa loquitur</w:t>
      </w:r>
      <w:r w:rsidRPr="00936A8D">
        <w:rPr>
          <w:rtl/>
        </w:rPr>
        <w:t xml:space="preserve">) </w:t>
      </w:r>
      <w:r w:rsidRPr="00936A8D">
        <w:rPr>
          <w:rFonts w:hint="eastAsia"/>
          <w:rtl/>
        </w:rPr>
        <w:t>כבסיס</w:t>
      </w:r>
      <w:r w:rsidRPr="00936A8D">
        <w:rPr>
          <w:rtl/>
        </w:rPr>
        <w:t xml:space="preserve"> </w:t>
      </w:r>
      <w:r w:rsidRPr="00936A8D">
        <w:rPr>
          <w:rFonts w:hint="eastAsia"/>
          <w:rtl/>
        </w:rPr>
        <w:t>לזיהוי</w:t>
      </w:r>
      <w:r w:rsidRPr="00936A8D">
        <w:rPr>
          <w:rtl/>
        </w:rPr>
        <w:t xml:space="preserve"> </w:t>
      </w:r>
      <w:r w:rsidRPr="00936A8D">
        <w:rPr>
          <w:rFonts w:hint="eastAsia"/>
          <w:rtl/>
        </w:rPr>
        <w:t>התרשלות</w:t>
      </w:r>
      <w:r w:rsidRPr="00936A8D">
        <w:rPr>
          <w:rtl/>
        </w:rPr>
        <w:t xml:space="preserve"> </w:t>
      </w:r>
      <w:r w:rsidRPr="00936A8D">
        <w:rPr>
          <w:rFonts w:hint="eastAsia"/>
          <w:rtl/>
        </w:rPr>
        <w:t>אצל</w:t>
      </w:r>
      <w:r w:rsidRPr="00936A8D">
        <w:rPr>
          <w:rtl/>
        </w:rPr>
        <w:t xml:space="preserve"> </w:t>
      </w:r>
      <w:r w:rsidRPr="00936A8D">
        <w:rPr>
          <w:rFonts w:hint="eastAsia"/>
          <w:rtl/>
        </w:rPr>
        <w:t>הנתבע</w:t>
      </w:r>
      <w:r w:rsidRPr="00936A8D">
        <w:rPr>
          <w:rtl/>
        </w:rPr>
        <w:t xml:space="preserve">. </w:t>
      </w:r>
      <w:r w:rsidRPr="00936A8D">
        <w:rPr>
          <w:rFonts w:hint="eastAsia"/>
          <w:rtl/>
        </w:rPr>
        <w:t>בית</w:t>
      </w:r>
      <w:r w:rsidRPr="00936A8D">
        <w:rPr>
          <w:rtl/>
        </w:rPr>
        <w:t xml:space="preserve"> </w:t>
      </w:r>
      <w:r w:rsidRPr="00936A8D">
        <w:rPr>
          <w:rFonts w:hint="eastAsia"/>
          <w:rtl/>
        </w:rPr>
        <w:t>המשפט</w:t>
      </w:r>
      <w:r w:rsidRPr="00936A8D">
        <w:rPr>
          <w:rtl/>
        </w:rPr>
        <w:t xml:space="preserve"> </w:t>
      </w:r>
      <w:r w:rsidRPr="00936A8D">
        <w:rPr>
          <w:rFonts w:hint="eastAsia"/>
          <w:rtl/>
        </w:rPr>
        <w:t>העליון</w:t>
      </w:r>
      <w:r w:rsidRPr="00936A8D">
        <w:rPr>
          <w:rtl/>
        </w:rPr>
        <w:t xml:space="preserve"> </w:t>
      </w:r>
      <w:r w:rsidRPr="00936A8D">
        <w:rPr>
          <w:rFonts w:hint="eastAsia"/>
          <w:rtl/>
        </w:rPr>
        <w:t>הקנדי</w:t>
      </w:r>
      <w:r w:rsidRPr="00936A8D">
        <w:rPr>
          <w:rtl/>
        </w:rPr>
        <w:t xml:space="preserve"> </w:t>
      </w:r>
      <w:r w:rsidRPr="00936A8D">
        <w:rPr>
          <w:rFonts w:hint="eastAsia"/>
          <w:rtl/>
        </w:rPr>
        <w:t>ביטל</w:t>
      </w:r>
      <w:r w:rsidRPr="00936A8D">
        <w:rPr>
          <w:rtl/>
        </w:rPr>
        <w:t xml:space="preserve"> </w:t>
      </w:r>
      <w:r w:rsidRPr="00936A8D">
        <w:rPr>
          <w:rFonts w:hint="eastAsia"/>
          <w:rtl/>
        </w:rPr>
        <w:t>כלל</w:t>
      </w:r>
      <w:r w:rsidRPr="00936A8D">
        <w:rPr>
          <w:rtl/>
        </w:rPr>
        <w:t xml:space="preserve"> </w:t>
      </w:r>
      <w:r w:rsidRPr="00936A8D">
        <w:rPr>
          <w:rFonts w:hint="eastAsia"/>
          <w:rtl/>
        </w:rPr>
        <w:t>זה</w:t>
      </w:r>
      <w:r w:rsidRPr="00936A8D">
        <w:rPr>
          <w:rtl/>
        </w:rPr>
        <w:t xml:space="preserve"> </w:t>
      </w:r>
      <w:r w:rsidRPr="00936A8D">
        <w:rPr>
          <w:rFonts w:hint="eastAsia"/>
          <w:rtl/>
        </w:rPr>
        <w:t>ככלל</w:t>
      </w:r>
      <w:r w:rsidRPr="00936A8D">
        <w:rPr>
          <w:rtl/>
        </w:rPr>
        <w:t xml:space="preserve"> </w:t>
      </w:r>
      <w:r w:rsidRPr="00936A8D">
        <w:rPr>
          <w:rFonts w:hint="eastAsia"/>
          <w:rtl/>
        </w:rPr>
        <w:t>של</w:t>
      </w:r>
      <w:r w:rsidRPr="00936A8D">
        <w:rPr>
          <w:rtl/>
        </w:rPr>
        <w:t xml:space="preserve"> </w:t>
      </w:r>
      <w:r w:rsidRPr="00936A8D">
        <w:rPr>
          <w:rFonts w:hint="eastAsia"/>
          <w:rtl/>
        </w:rPr>
        <w:t>דין</w:t>
      </w:r>
      <w:r w:rsidRPr="00936A8D">
        <w:rPr>
          <w:rtl/>
        </w:rPr>
        <w:t xml:space="preserve"> </w:t>
      </w:r>
      <w:r w:rsidRPr="00936A8D">
        <w:rPr>
          <w:rFonts w:hint="eastAsia"/>
          <w:rtl/>
        </w:rPr>
        <w:t>מהותי</w:t>
      </w:r>
      <w:r w:rsidRPr="00936A8D">
        <w:rPr>
          <w:rtl/>
        </w:rPr>
        <w:t xml:space="preserve"> </w:t>
      </w:r>
      <w:r w:rsidRPr="00936A8D">
        <w:rPr>
          <w:rFonts w:hint="eastAsia"/>
          <w:rtl/>
        </w:rPr>
        <w:t>וכעילה</w:t>
      </w:r>
      <w:r w:rsidRPr="00936A8D">
        <w:rPr>
          <w:rtl/>
        </w:rPr>
        <w:t xml:space="preserve"> </w:t>
      </w:r>
      <w:r w:rsidRPr="00936A8D">
        <w:rPr>
          <w:rFonts w:hint="eastAsia"/>
          <w:rtl/>
        </w:rPr>
        <w:t>עצמאית</w:t>
      </w:r>
      <w:r w:rsidRPr="00936A8D">
        <w:rPr>
          <w:rtl/>
        </w:rPr>
        <w:t xml:space="preserve"> </w:t>
      </w:r>
      <w:r w:rsidRPr="00936A8D">
        <w:rPr>
          <w:rFonts w:hint="eastAsia"/>
          <w:rtl/>
        </w:rPr>
        <w:t>לקביעת</w:t>
      </w:r>
      <w:r w:rsidRPr="00936A8D">
        <w:rPr>
          <w:rtl/>
        </w:rPr>
        <w:t xml:space="preserve"> </w:t>
      </w:r>
      <w:r w:rsidRPr="00936A8D">
        <w:rPr>
          <w:rFonts w:hint="eastAsia"/>
          <w:rtl/>
        </w:rPr>
        <w:t>התרשלות</w:t>
      </w:r>
      <w:r w:rsidRPr="00936A8D">
        <w:rPr>
          <w:rtl/>
        </w:rPr>
        <w:t xml:space="preserve">, </w:t>
      </w:r>
      <w:r w:rsidRPr="00936A8D">
        <w:rPr>
          <w:rFonts w:hint="eastAsia"/>
          <w:rtl/>
        </w:rPr>
        <w:t>בקבעו</w:t>
      </w:r>
      <w:r w:rsidRPr="00936A8D">
        <w:rPr>
          <w:rtl/>
        </w:rPr>
        <w:t xml:space="preserve"> </w:t>
      </w:r>
      <w:r w:rsidRPr="00936A8D">
        <w:rPr>
          <w:rFonts w:hint="eastAsia"/>
          <w:rtl/>
        </w:rPr>
        <w:t>כי</w:t>
      </w:r>
      <w:r w:rsidRPr="00936A8D">
        <w:rPr>
          <w:rtl/>
        </w:rPr>
        <w:t xml:space="preserve"> </w:t>
      </w:r>
      <w:r w:rsidRPr="00936A8D">
        <w:rPr>
          <w:rFonts w:hint="eastAsia"/>
          <w:rtl/>
        </w:rPr>
        <w:t>הכלל</w:t>
      </w:r>
      <w:r w:rsidRPr="00936A8D">
        <w:rPr>
          <w:rtl/>
        </w:rPr>
        <w:t xml:space="preserve"> </w:t>
      </w:r>
      <w:r w:rsidRPr="00936A8D">
        <w:rPr>
          <w:rFonts w:hint="eastAsia"/>
          <w:rtl/>
        </w:rPr>
        <w:t>אינו</w:t>
      </w:r>
      <w:r w:rsidRPr="00936A8D">
        <w:rPr>
          <w:rtl/>
        </w:rPr>
        <w:t xml:space="preserve"> </w:t>
      </w:r>
      <w:r w:rsidRPr="00936A8D">
        <w:rPr>
          <w:rFonts w:hint="eastAsia"/>
          <w:rtl/>
        </w:rPr>
        <w:t>נחוץ</w:t>
      </w:r>
      <w:r w:rsidRPr="00936A8D">
        <w:rPr>
          <w:rtl/>
        </w:rPr>
        <w:t xml:space="preserve">, </w:t>
      </w:r>
      <w:r w:rsidRPr="00936A8D">
        <w:rPr>
          <w:rFonts w:hint="eastAsia"/>
          <w:rtl/>
        </w:rPr>
        <w:t>תוך</w:t>
      </w:r>
      <w:r w:rsidRPr="00936A8D">
        <w:rPr>
          <w:rtl/>
        </w:rPr>
        <w:t xml:space="preserve"> </w:t>
      </w:r>
      <w:r w:rsidRPr="00936A8D">
        <w:rPr>
          <w:rFonts w:hint="eastAsia"/>
          <w:rtl/>
        </w:rPr>
        <w:t>שהוא</w:t>
      </w:r>
      <w:r w:rsidRPr="00936A8D">
        <w:rPr>
          <w:rtl/>
        </w:rPr>
        <w:t xml:space="preserve"> </w:t>
      </w:r>
      <w:r w:rsidRPr="00936A8D">
        <w:rPr>
          <w:rFonts w:hint="eastAsia"/>
          <w:rtl/>
        </w:rPr>
        <w:t>מבהיר</w:t>
      </w:r>
      <w:r w:rsidRPr="00936A8D">
        <w:rPr>
          <w:rtl/>
        </w:rPr>
        <w:t xml:space="preserve"> </w:t>
      </w:r>
      <w:r w:rsidRPr="00936A8D">
        <w:rPr>
          <w:rFonts w:hint="eastAsia"/>
          <w:rtl/>
        </w:rPr>
        <w:t>כי</w:t>
      </w:r>
      <w:r w:rsidRPr="00936A8D">
        <w:rPr>
          <w:rtl/>
        </w:rPr>
        <w:t xml:space="preserve"> </w:t>
      </w:r>
      <w:r w:rsidRPr="00936A8D">
        <w:rPr>
          <w:rFonts w:hint="eastAsia"/>
          <w:rtl/>
        </w:rPr>
        <w:t>האירוע</w:t>
      </w:r>
      <w:r w:rsidRPr="00936A8D">
        <w:rPr>
          <w:rtl/>
        </w:rPr>
        <w:t xml:space="preserve"> </w:t>
      </w:r>
      <w:r>
        <w:rPr>
          <w:rFonts w:hint="cs"/>
          <w:rtl/>
        </w:rPr>
        <w:t xml:space="preserve">הטיפוסי </w:t>
      </w:r>
      <w:r w:rsidRPr="00936A8D">
        <w:rPr>
          <w:rFonts w:hint="eastAsia"/>
          <w:rtl/>
        </w:rPr>
        <w:t>אשר</w:t>
      </w:r>
      <w:r w:rsidRPr="00936A8D">
        <w:rPr>
          <w:rtl/>
        </w:rPr>
        <w:t xml:space="preserve"> </w:t>
      </w:r>
      <w:r>
        <w:rPr>
          <w:rFonts w:hint="cs"/>
          <w:rtl/>
        </w:rPr>
        <w:t>הפעיל</w:t>
      </w:r>
      <w:r w:rsidRPr="00936A8D">
        <w:rPr>
          <w:rtl/>
        </w:rPr>
        <w:t xml:space="preserve"> </w:t>
      </w:r>
      <w:r w:rsidRPr="00936A8D">
        <w:rPr>
          <w:rFonts w:hint="eastAsia"/>
          <w:rtl/>
        </w:rPr>
        <w:t>את</w:t>
      </w:r>
      <w:r w:rsidRPr="00936A8D">
        <w:rPr>
          <w:rtl/>
        </w:rPr>
        <w:t xml:space="preserve"> </w:t>
      </w:r>
      <w:r w:rsidRPr="00936A8D">
        <w:rPr>
          <w:rFonts w:hint="eastAsia"/>
          <w:rtl/>
        </w:rPr>
        <w:t>הכלל</w:t>
      </w:r>
      <w:r w:rsidRPr="00936A8D">
        <w:rPr>
          <w:rtl/>
        </w:rPr>
        <w:t xml:space="preserve"> – </w:t>
      </w:r>
      <w:r w:rsidRPr="00936A8D">
        <w:rPr>
          <w:rFonts w:hint="eastAsia"/>
          <w:rtl/>
        </w:rPr>
        <w:t>גרימת</w:t>
      </w:r>
      <w:r w:rsidRPr="00936A8D">
        <w:rPr>
          <w:rtl/>
        </w:rPr>
        <w:t xml:space="preserve"> </w:t>
      </w:r>
      <w:r w:rsidRPr="00936A8D">
        <w:rPr>
          <w:rFonts w:hint="eastAsia"/>
          <w:rtl/>
        </w:rPr>
        <w:t>נזק</w:t>
      </w:r>
      <w:r w:rsidRPr="00936A8D">
        <w:rPr>
          <w:rtl/>
        </w:rPr>
        <w:t xml:space="preserve"> </w:t>
      </w:r>
      <w:r w:rsidRPr="00936A8D">
        <w:rPr>
          <w:rFonts w:hint="eastAsia"/>
          <w:rtl/>
        </w:rPr>
        <w:t>לתובע</w:t>
      </w:r>
      <w:r w:rsidRPr="00936A8D">
        <w:rPr>
          <w:rtl/>
        </w:rPr>
        <w:t xml:space="preserve"> </w:t>
      </w:r>
      <w:r w:rsidRPr="00936A8D">
        <w:rPr>
          <w:rFonts w:hint="eastAsia"/>
          <w:rtl/>
        </w:rPr>
        <w:t>על</w:t>
      </w:r>
      <w:r w:rsidRPr="00936A8D">
        <w:rPr>
          <w:rtl/>
        </w:rPr>
        <w:t xml:space="preserve"> </w:t>
      </w:r>
      <w:r w:rsidRPr="00936A8D">
        <w:rPr>
          <w:rFonts w:hint="eastAsia"/>
          <w:rtl/>
        </w:rPr>
        <w:t>ידי</w:t>
      </w:r>
      <w:r w:rsidRPr="00936A8D">
        <w:rPr>
          <w:rtl/>
        </w:rPr>
        <w:t xml:space="preserve"> </w:t>
      </w:r>
      <w:r w:rsidRPr="00936A8D">
        <w:rPr>
          <w:rFonts w:hint="eastAsia"/>
          <w:rtl/>
        </w:rPr>
        <w:t>חפץ</w:t>
      </w:r>
      <w:r w:rsidRPr="00936A8D">
        <w:rPr>
          <w:rtl/>
        </w:rPr>
        <w:t xml:space="preserve"> </w:t>
      </w:r>
      <w:r w:rsidRPr="00936A8D">
        <w:rPr>
          <w:rFonts w:hint="eastAsia"/>
          <w:rtl/>
        </w:rPr>
        <w:t>שבשליטת</w:t>
      </w:r>
      <w:r w:rsidRPr="00936A8D">
        <w:rPr>
          <w:rtl/>
        </w:rPr>
        <w:t xml:space="preserve"> </w:t>
      </w:r>
      <w:r w:rsidRPr="00936A8D">
        <w:rPr>
          <w:rFonts w:hint="eastAsia"/>
          <w:rtl/>
        </w:rPr>
        <w:t>הנתבע</w:t>
      </w:r>
      <w:r w:rsidRPr="00936A8D">
        <w:rPr>
          <w:rtl/>
        </w:rPr>
        <w:t xml:space="preserve">, </w:t>
      </w:r>
      <w:r w:rsidRPr="00936A8D">
        <w:rPr>
          <w:rFonts w:hint="eastAsia"/>
          <w:rtl/>
        </w:rPr>
        <w:t>תאונה</w:t>
      </w:r>
      <w:r w:rsidRPr="00936A8D">
        <w:rPr>
          <w:rtl/>
        </w:rPr>
        <w:t xml:space="preserve"> </w:t>
      </w:r>
      <w:r w:rsidRPr="00936A8D">
        <w:rPr>
          <w:rFonts w:hint="eastAsia"/>
          <w:rtl/>
        </w:rPr>
        <w:t>שברגיל</w:t>
      </w:r>
      <w:r w:rsidRPr="00936A8D">
        <w:rPr>
          <w:rtl/>
        </w:rPr>
        <w:t xml:space="preserve"> </w:t>
      </w:r>
      <w:r w:rsidRPr="00936A8D">
        <w:rPr>
          <w:rFonts w:hint="eastAsia"/>
          <w:rtl/>
        </w:rPr>
        <w:t>לא</w:t>
      </w:r>
      <w:r w:rsidRPr="00936A8D">
        <w:rPr>
          <w:rtl/>
        </w:rPr>
        <w:t xml:space="preserve"> </w:t>
      </w:r>
      <w:r w:rsidRPr="00936A8D">
        <w:rPr>
          <w:rFonts w:hint="eastAsia"/>
          <w:rtl/>
        </w:rPr>
        <w:t>מתרחשת</w:t>
      </w:r>
      <w:r w:rsidRPr="00936A8D">
        <w:rPr>
          <w:rtl/>
        </w:rPr>
        <w:t xml:space="preserve"> </w:t>
      </w:r>
      <w:r w:rsidRPr="00936A8D">
        <w:rPr>
          <w:rFonts w:hint="eastAsia"/>
          <w:rtl/>
        </w:rPr>
        <w:t>באין</w:t>
      </w:r>
      <w:r w:rsidRPr="00936A8D">
        <w:rPr>
          <w:rtl/>
        </w:rPr>
        <w:t xml:space="preserve"> </w:t>
      </w:r>
      <w:r w:rsidRPr="00936A8D">
        <w:rPr>
          <w:rFonts w:hint="eastAsia"/>
          <w:rtl/>
        </w:rPr>
        <w:t>התרשלות</w:t>
      </w:r>
      <w:r w:rsidRPr="00936A8D">
        <w:rPr>
          <w:rtl/>
        </w:rPr>
        <w:t xml:space="preserve"> </w:t>
      </w:r>
      <w:r w:rsidRPr="00936A8D">
        <w:rPr>
          <w:rFonts w:hint="eastAsia"/>
          <w:rtl/>
        </w:rPr>
        <w:t>מצד</w:t>
      </w:r>
      <w:r w:rsidRPr="00936A8D">
        <w:rPr>
          <w:rtl/>
        </w:rPr>
        <w:t xml:space="preserve"> </w:t>
      </w:r>
      <w:r w:rsidRPr="00936A8D">
        <w:rPr>
          <w:rFonts w:hint="eastAsia"/>
          <w:rtl/>
        </w:rPr>
        <w:t>הנתבע</w:t>
      </w:r>
      <w:r w:rsidRPr="00936A8D">
        <w:rPr>
          <w:rtl/>
        </w:rPr>
        <w:t xml:space="preserve"> – </w:t>
      </w:r>
      <w:r w:rsidRPr="00936A8D">
        <w:rPr>
          <w:rFonts w:hint="eastAsia"/>
          <w:rtl/>
        </w:rPr>
        <w:t>ימשיך</w:t>
      </w:r>
      <w:r w:rsidRPr="00936A8D">
        <w:rPr>
          <w:rtl/>
        </w:rPr>
        <w:t xml:space="preserve"> </w:t>
      </w:r>
      <w:r w:rsidRPr="00936A8D">
        <w:rPr>
          <w:rFonts w:hint="eastAsia"/>
          <w:rtl/>
        </w:rPr>
        <w:t>לשמש</w:t>
      </w:r>
      <w:r w:rsidRPr="00936A8D">
        <w:rPr>
          <w:rtl/>
        </w:rPr>
        <w:t xml:space="preserve"> </w:t>
      </w:r>
      <w:r w:rsidRPr="00936A8D">
        <w:rPr>
          <w:rFonts w:hint="eastAsia"/>
          <w:rtl/>
        </w:rPr>
        <w:t>כראיה</w:t>
      </w:r>
      <w:r w:rsidRPr="00936A8D">
        <w:rPr>
          <w:rtl/>
        </w:rPr>
        <w:t xml:space="preserve"> </w:t>
      </w:r>
      <w:r w:rsidRPr="00936A8D">
        <w:rPr>
          <w:rFonts w:hint="eastAsia"/>
          <w:rtl/>
        </w:rPr>
        <w:t>נסיבתית</w:t>
      </w:r>
      <w:r w:rsidRPr="00936A8D">
        <w:rPr>
          <w:rtl/>
        </w:rPr>
        <w:t xml:space="preserve"> </w:t>
      </w:r>
      <w:r w:rsidRPr="00936A8D">
        <w:rPr>
          <w:rFonts w:hint="eastAsia"/>
          <w:rtl/>
        </w:rPr>
        <w:t>להוכחת</w:t>
      </w:r>
      <w:r w:rsidRPr="00936A8D">
        <w:rPr>
          <w:rtl/>
        </w:rPr>
        <w:t xml:space="preserve"> </w:t>
      </w:r>
      <w:r w:rsidRPr="00936A8D">
        <w:rPr>
          <w:rFonts w:hint="eastAsia"/>
          <w:rtl/>
        </w:rPr>
        <w:t>ההתרשלות</w:t>
      </w:r>
      <w:r w:rsidRPr="00936A8D">
        <w:rPr>
          <w:rtl/>
        </w:rPr>
        <w:t xml:space="preserve"> (</w:t>
      </w:r>
      <w:r w:rsidRPr="00936A8D">
        <w:rPr>
          <w:rFonts w:hint="eastAsia"/>
          <w:rtl/>
        </w:rPr>
        <w:t>ראו</w:t>
      </w:r>
      <w:r w:rsidRPr="00936A8D">
        <w:rPr>
          <w:rtl/>
        </w:rPr>
        <w:t xml:space="preserve">: </w:t>
      </w:r>
      <w:r w:rsidRPr="00936A8D">
        <w:rPr>
          <w:rFonts w:asciiTheme="majorBidi" w:hAnsiTheme="majorBidi" w:cstheme="majorBidi"/>
        </w:rPr>
        <w:t>Fontaine v. British Columbia [1998] 1 SCR 424</w:t>
      </w:r>
      <w:r w:rsidRPr="00936A8D">
        <w:rPr>
          <w:rtl/>
        </w:rPr>
        <w:t xml:space="preserve">). </w:t>
      </w:r>
    </w:p>
    <w:p w:rsidR="0047626A" w:rsidRPr="00936A8D" w:rsidRDefault="0047626A" w:rsidP="0047626A">
      <w:pPr>
        <w:pStyle w:val="Ruller4"/>
        <w:numPr>
          <w:ilvl w:val="0"/>
          <w:numId w:val="0"/>
        </w:numPr>
      </w:pPr>
    </w:p>
    <w:p w:rsidR="0047626A" w:rsidRPr="00936A8D" w:rsidRDefault="0047626A" w:rsidP="0047626A">
      <w:pPr>
        <w:pStyle w:val="Ruller4"/>
      </w:pPr>
      <w:r w:rsidRPr="00936A8D">
        <w:rPr>
          <w:rFonts w:hint="eastAsia"/>
          <w:rtl/>
        </w:rPr>
        <w:t>אמור</w:t>
      </w:r>
      <w:r w:rsidRPr="00936A8D">
        <w:rPr>
          <w:rtl/>
        </w:rPr>
        <w:t xml:space="preserve"> </w:t>
      </w:r>
      <w:r w:rsidRPr="00936A8D">
        <w:rPr>
          <w:rFonts w:hint="eastAsia"/>
          <w:rtl/>
        </w:rPr>
        <w:t>מעתה</w:t>
      </w:r>
      <w:r w:rsidRPr="00936A8D">
        <w:rPr>
          <w:rtl/>
        </w:rPr>
        <w:t xml:space="preserve">: </w:t>
      </w:r>
      <w:r w:rsidRPr="00936A8D">
        <w:rPr>
          <w:rFonts w:ascii="Century" w:hAnsi="Century" w:cs="Miriam" w:hint="eastAsia"/>
          <w:b/>
          <w:spacing w:val="0"/>
          <w:sz w:val="22"/>
          <w:szCs w:val="24"/>
          <w:rtl/>
        </w:rPr>
        <w:t>המילים</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לא</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ידון</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בעניין</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סבירות</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ההחלטה</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בהן</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עשתה</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הכנסת</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שימוש</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בהוראה</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נושא</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דיוננו</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משמען</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שבית</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משפט</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זה</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לא</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ידון</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בעניין</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סבירותה</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של</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החלטה</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כאמור</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u w:val="single"/>
          <w:rtl/>
        </w:rPr>
        <w:t>כנושא</w:t>
      </w:r>
      <w:r w:rsidRPr="00936A8D">
        <w:rPr>
          <w:rFonts w:ascii="Century" w:hAnsi="Century" w:cs="Miriam"/>
          <w:b/>
          <w:spacing w:val="0"/>
          <w:sz w:val="22"/>
          <w:szCs w:val="24"/>
          <w:u w:val="single"/>
          <w:rtl/>
        </w:rPr>
        <w:t xml:space="preserve"> </w:t>
      </w:r>
      <w:r w:rsidRPr="00936A8D">
        <w:rPr>
          <w:rFonts w:ascii="Century" w:hAnsi="Century" w:cs="Miriam" w:hint="eastAsia"/>
          <w:b/>
          <w:spacing w:val="0"/>
          <w:sz w:val="22"/>
          <w:szCs w:val="24"/>
          <w:u w:val="single"/>
          <w:rtl/>
        </w:rPr>
        <w:t>עצמאי</w:t>
      </w:r>
      <w:r w:rsidRPr="00936A8D">
        <w:rPr>
          <w:rFonts w:ascii="Century" w:hAnsi="Century" w:cs="Miriam"/>
          <w:b/>
          <w:spacing w:val="0"/>
          <w:sz w:val="22"/>
          <w:szCs w:val="24"/>
          <w:u w:val="single"/>
          <w:rtl/>
        </w:rPr>
        <w:t xml:space="preserve"> </w:t>
      </w:r>
      <w:r w:rsidRPr="00936A8D">
        <w:rPr>
          <w:rFonts w:ascii="Century" w:hAnsi="Century" w:cs="Miriam" w:hint="eastAsia"/>
          <w:b/>
          <w:spacing w:val="0"/>
          <w:sz w:val="22"/>
          <w:szCs w:val="24"/>
          <w:u w:val="single"/>
          <w:rtl/>
        </w:rPr>
        <w:t>בהתאם</w:t>
      </w:r>
      <w:r w:rsidRPr="00936A8D">
        <w:rPr>
          <w:rFonts w:ascii="Century" w:hAnsi="Century" w:cs="Miriam"/>
          <w:b/>
          <w:spacing w:val="0"/>
          <w:sz w:val="22"/>
          <w:szCs w:val="24"/>
          <w:u w:val="single"/>
          <w:rtl/>
        </w:rPr>
        <w:t xml:space="preserve"> </w:t>
      </w:r>
      <w:r w:rsidRPr="00936A8D">
        <w:rPr>
          <w:rFonts w:ascii="Century" w:hAnsi="Century" w:cs="Miriam" w:hint="eastAsia"/>
          <w:b/>
          <w:spacing w:val="0"/>
          <w:sz w:val="22"/>
          <w:szCs w:val="24"/>
          <w:u w:val="single"/>
          <w:rtl/>
        </w:rPr>
        <w:t>לנוסחת</w:t>
      </w:r>
      <w:r w:rsidRPr="00936A8D">
        <w:rPr>
          <w:rFonts w:ascii="Century" w:hAnsi="Century" w:cs="Miriam"/>
          <w:b/>
          <w:spacing w:val="0"/>
          <w:sz w:val="22"/>
          <w:szCs w:val="24"/>
          <w:u w:val="single"/>
          <w:rtl/>
        </w:rPr>
        <w:t xml:space="preserve"> </w:t>
      </w:r>
      <w:r w:rsidRPr="00936A8D">
        <w:rPr>
          <w:rFonts w:ascii="Century" w:hAnsi="Century" w:cs="Miriam" w:hint="eastAsia"/>
          <w:b/>
          <w:spacing w:val="0"/>
          <w:sz w:val="22"/>
          <w:szCs w:val="24"/>
          <w:u w:val="single"/>
          <w:rtl/>
        </w:rPr>
        <w:t>דפי</w:t>
      </w:r>
      <w:r w:rsidRPr="00936A8D">
        <w:rPr>
          <w:rFonts w:ascii="Century" w:hAnsi="Century" w:cs="Miriam"/>
          <w:b/>
          <w:spacing w:val="0"/>
          <w:sz w:val="22"/>
          <w:szCs w:val="24"/>
          <w:u w:val="single"/>
          <w:rtl/>
        </w:rPr>
        <w:t xml:space="preserve"> </w:t>
      </w:r>
      <w:r w:rsidRPr="00936A8D">
        <w:rPr>
          <w:rFonts w:ascii="Century" w:hAnsi="Century" w:cs="Miriam" w:hint="eastAsia"/>
          <w:b/>
          <w:spacing w:val="0"/>
          <w:sz w:val="22"/>
          <w:szCs w:val="24"/>
          <w:u w:val="single"/>
          <w:rtl/>
        </w:rPr>
        <w:t>זהב</w:t>
      </w:r>
      <w:r w:rsidRPr="00936A8D">
        <w:rPr>
          <w:rtl/>
        </w:rPr>
        <w:t xml:space="preserve">. </w:t>
      </w:r>
      <w:r w:rsidRPr="00936A8D">
        <w:rPr>
          <w:rFonts w:hint="eastAsia"/>
          <w:rtl/>
        </w:rPr>
        <w:t>מילים</w:t>
      </w:r>
      <w:r w:rsidRPr="00936A8D">
        <w:rPr>
          <w:rtl/>
        </w:rPr>
        <w:t xml:space="preserve"> </w:t>
      </w:r>
      <w:r w:rsidRPr="00936A8D">
        <w:rPr>
          <w:rFonts w:hint="eastAsia"/>
          <w:rtl/>
        </w:rPr>
        <w:t>אלה</w:t>
      </w:r>
      <w:r w:rsidRPr="00936A8D">
        <w:rPr>
          <w:rtl/>
        </w:rPr>
        <w:t xml:space="preserve"> </w:t>
      </w:r>
      <w:r w:rsidRPr="00936A8D">
        <w:rPr>
          <w:rFonts w:hint="eastAsia"/>
          <w:rtl/>
        </w:rPr>
        <w:t>לא</w:t>
      </w:r>
      <w:r w:rsidRPr="00936A8D">
        <w:rPr>
          <w:rtl/>
        </w:rPr>
        <w:t xml:space="preserve"> </w:t>
      </w:r>
      <w:r w:rsidRPr="00936A8D">
        <w:rPr>
          <w:rFonts w:hint="eastAsia"/>
          <w:rtl/>
        </w:rPr>
        <w:t>אוסרות</w:t>
      </w:r>
      <w:r w:rsidRPr="00936A8D">
        <w:rPr>
          <w:rtl/>
        </w:rPr>
        <w:t xml:space="preserve"> </w:t>
      </w:r>
      <w:r w:rsidRPr="00936A8D">
        <w:rPr>
          <w:rFonts w:hint="eastAsia"/>
          <w:rtl/>
        </w:rPr>
        <w:t>על</w:t>
      </w:r>
      <w:r w:rsidRPr="00936A8D">
        <w:rPr>
          <w:rtl/>
        </w:rPr>
        <w:t xml:space="preserve"> </w:t>
      </w:r>
      <w:r w:rsidRPr="00936A8D">
        <w:rPr>
          <w:rFonts w:hint="eastAsia"/>
          <w:rtl/>
        </w:rPr>
        <w:t>בית</w:t>
      </w:r>
      <w:r w:rsidRPr="00936A8D">
        <w:rPr>
          <w:rtl/>
        </w:rPr>
        <w:t xml:space="preserve"> </w:t>
      </w:r>
      <w:r w:rsidRPr="00936A8D">
        <w:rPr>
          <w:rFonts w:hint="eastAsia"/>
          <w:rtl/>
        </w:rPr>
        <w:t>המשפט</w:t>
      </w:r>
      <w:r w:rsidRPr="00936A8D">
        <w:rPr>
          <w:rtl/>
        </w:rPr>
        <w:t xml:space="preserve"> </w:t>
      </w:r>
      <w:r w:rsidRPr="00936A8D">
        <w:rPr>
          <w:rFonts w:hint="eastAsia"/>
          <w:rtl/>
        </w:rPr>
        <w:t>לראות</w:t>
      </w:r>
      <w:r w:rsidRPr="00936A8D">
        <w:rPr>
          <w:rtl/>
        </w:rPr>
        <w:t xml:space="preserve"> </w:t>
      </w:r>
      <w:r w:rsidRPr="00936A8D">
        <w:rPr>
          <w:rFonts w:hint="eastAsia"/>
          <w:rtl/>
        </w:rPr>
        <w:t>בעיוות</w:t>
      </w:r>
      <w:r w:rsidRPr="00936A8D">
        <w:rPr>
          <w:rtl/>
        </w:rPr>
        <w:t xml:space="preserve"> </w:t>
      </w:r>
      <w:r w:rsidRPr="00936A8D">
        <w:rPr>
          <w:rFonts w:hint="eastAsia"/>
          <w:rtl/>
        </w:rPr>
        <w:t>מהותי</w:t>
      </w:r>
      <w:r w:rsidRPr="00936A8D">
        <w:rPr>
          <w:rtl/>
        </w:rPr>
        <w:t xml:space="preserve"> </w:t>
      </w:r>
      <w:r w:rsidRPr="00936A8D">
        <w:rPr>
          <w:rFonts w:hint="eastAsia"/>
          <w:rtl/>
        </w:rPr>
        <w:t>שדבק</w:t>
      </w:r>
      <w:r w:rsidRPr="00936A8D">
        <w:rPr>
          <w:rtl/>
        </w:rPr>
        <w:t xml:space="preserve"> </w:t>
      </w:r>
      <w:r w:rsidRPr="00936A8D">
        <w:rPr>
          <w:rFonts w:hint="eastAsia"/>
          <w:rtl/>
        </w:rPr>
        <w:t>בהחלטת</w:t>
      </w:r>
      <w:r w:rsidRPr="00936A8D">
        <w:rPr>
          <w:rtl/>
        </w:rPr>
        <w:t xml:space="preserve"> </w:t>
      </w:r>
      <w:r w:rsidRPr="00936A8D">
        <w:rPr>
          <w:rFonts w:hint="eastAsia"/>
          <w:rtl/>
        </w:rPr>
        <w:t>ממשלה</w:t>
      </w:r>
      <w:r w:rsidRPr="00936A8D">
        <w:rPr>
          <w:rtl/>
        </w:rPr>
        <w:t xml:space="preserve">, </w:t>
      </w:r>
      <w:r w:rsidRPr="00936A8D">
        <w:rPr>
          <w:rFonts w:hint="eastAsia"/>
          <w:rtl/>
        </w:rPr>
        <w:t>בהחלטת</w:t>
      </w:r>
      <w:r w:rsidRPr="00936A8D">
        <w:rPr>
          <w:rtl/>
        </w:rPr>
        <w:t xml:space="preserve"> </w:t>
      </w:r>
      <w:r w:rsidRPr="00936A8D">
        <w:rPr>
          <w:rFonts w:hint="eastAsia"/>
          <w:rtl/>
        </w:rPr>
        <w:t>ראש</w:t>
      </w:r>
      <w:r w:rsidRPr="00936A8D">
        <w:rPr>
          <w:rtl/>
        </w:rPr>
        <w:t xml:space="preserve"> </w:t>
      </w:r>
      <w:r w:rsidRPr="00936A8D">
        <w:rPr>
          <w:rFonts w:hint="eastAsia"/>
          <w:rtl/>
        </w:rPr>
        <w:t>הממשלה</w:t>
      </w:r>
      <w:r w:rsidRPr="00936A8D">
        <w:rPr>
          <w:rtl/>
        </w:rPr>
        <w:t xml:space="preserve"> </w:t>
      </w:r>
      <w:r w:rsidRPr="00936A8D">
        <w:rPr>
          <w:rFonts w:hint="eastAsia"/>
          <w:rtl/>
        </w:rPr>
        <w:t>או</w:t>
      </w:r>
      <w:r w:rsidRPr="00936A8D">
        <w:rPr>
          <w:rtl/>
        </w:rPr>
        <w:t xml:space="preserve"> </w:t>
      </w:r>
      <w:r w:rsidRPr="00936A8D">
        <w:rPr>
          <w:rFonts w:hint="eastAsia"/>
          <w:rtl/>
        </w:rPr>
        <w:t>בהחלטת</w:t>
      </w:r>
      <w:r w:rsidRPr="00936A8D">
        <w:rPr>
          <w:rtl/>
        </w:rPr>
        <w:t xml:space="preserve"> </w:t>
      </w:r>
      <w:r w:rsidRPr="00936A8D">
        <w:rPr>
          <w:rFonts w:hint="eastAsia"/>
          <w:rtl/>
        </w:rPr>
        <w:t>שר</w:t>
      </w:r>
      <w:r w:rsidRPr="00936A8D">
        <w:rPr>
          <w:rtl/>
        </w:rPr>
        <w:t xml:space="preserve"> </w:t>
      </w:r>
      <w:r w:rsidRPr="00936A8D">
        <w:rPr>
          <w:rFonts w:hint="eastAsia"/>
          <w:rtl/>
        </w:rPr>
        <w:t>משריה</w:t>
      </w:r>
      <w:r w:rsidRPr="00936A8D">
        <w:rPr>
          <w:rtl/>
        </w:rPr>
        <w:t xml:space="preserve"> </w:t>
      </w:r>
      <w:r w:rsidRPr="00936A8D">
        <w:rPr>
          <w:rFonts w:hint="eastAsia"/>
          <w:rtl/>
        </w:rPr>
        <w:t>אינדיקציה</w:t>
      </w:r>
      <w:r w:rsidRPr="00936A8D">
        <w:rPr>
          <w:rtl/>
        </w:rPr>
        <w:t xml:space="preserve"> </w:t>
      </w:r>
      <w:r w:rsidRPr="00936A8D">
        <w:rPr>
          <w:rFonts w:hint="eastAsia"/>
          <w:rtl/>
        </w:rPr>
        <w:t>לכך</w:t>
      </w:r>
      <w:r w:rsidRPr="00936A8D">
        <w:rPr>
          <w:rtl/>
        </w:rPr>
        <w:t xml:space="preserve"> </w:t>
      </w:r>
      <w:r w:rsidRPr="00936A8D">
        <w:rPr>
          <w:rFonts w:hint="eastAsia"/>
          <w:rtl/>
        </w:rPr>
        <w:t>שההחלטה</w:t>
      </w:r>
      <w:r w:rsidRPr="00936A8D">
        <w:rPr>
          <w:rtl/>
        </w:rPr>
        <w:t xml:space="preserve"> </w:t>
      </w:r>
      <w:r w:rsidRPr="00936A8D">
        <w:rPr>
          <w:rFonts w:hint="eastAsia"/>
          <w:rtl/>
        </w:rPr>
        <w:t>נפגמה</w:t>
      </w:r>
      <w:r w:rsidRPr="00936A8D">
        <w:rPr>
          <w:rtl/>
        </w:rPr>
        <w:t xml:space="preserve"> </w:t>
      </w:r>
      <w:r w:rsidRPr="00936A8D">
        <w:rPr>
          <w:rFonts w:hint="eastAsia"/>
          <w:rtl/>
        </w:rPr>
        <w:t>בשרירות</w:t>
      </w:r>
      <w:r w:rsidRPr="00936A8D">
        <w:rPr>
          <w:rtl/>
        </w:rPr>
        <w:t xml:space="preserve">, </w:t>
      </w:r>
      <w:r w:rsidRPr="00936A8D">
        <w:rPr>
          <w:rFonts w:hint="eastAsia"/>
          <w:rtl/>
        </w:rPr>
        <w:t>בחוסר</w:t>
      </w:r>
      <w:r w:rsidRPr="00936A8D">
        <w:rPr>
          <w:rtl/>
        </w:rPr>
        <w:t xml:space="preserve"> </w:t>
      </w:r>
      <w:r w:rsidRPr="00936A8D">
        <w:rPr>
          <w:rFonts w:hint="eastAsia"/>
          <w:rtl/>
        </w:rPr>
        <w:t>תום</w:t>
      </w:r>
      <w:r w:rsidRPr="00936A8D">
        <w:rPr>
          <w:rtl/>
        </w:rPr>
        <w:t>-</w:t>
      </w:r>
      <w:r w:rsidRPr="00936A8D">
        <w:rPr>
          <w:rFonts w:hint="eastAsia"/>
          <w:rtl/>
        </w:rPr>
        <w:t>לב</w:t>
      </w:r>
      <w:r w:rsidRPr="00936A8D">
        <w:rPr>
          <w:rtl/>
        </w:rPr>
        <w:t xml:space="preserve">, </w:t>
      </w:r>
      <w:r w:rsidRPr="00936A8D">
        <w:rPr>
          <w:rFonts w:hint="eastAsia"/>
          <w:rtl/>
        </w:rPr>
        <w:t>בהפליה</w:t>
      </w:r>
      <w:r w:rsidRPr="00936A8D">
        <w:rPr>
          <w:rtl/>
        </w:rPr>
        <w:t xml:space="preserve">, </w:t>
      </w:r>
      <w:r w:rsidRPr="00936A8D">
        <w:rPr>
          <w:rFonts w:hint="eastAsia"/>
          <w:rtl/>
        </w:rPr>
        <w:t>בשיקולים</w:t>
      </w:r>
      <w:r w:rsidRPr="00936A8D">
        <w:rPr>
          <w:rtl/>
        </w:rPr>
        <w:t xml:space="preserve"> </w:t>
      </w:r>
      <w:r w:rsidRPr="00936A8D">
        <w:rPr>
          <w:rFonts w:hint="eastAsia"/>
          <w:rtl/>
        </w:rPr>
        <w:t>זרים</w:t>
      </w:r>
      <w:r w:rsidRPr="00936A8D">
        <w:rPr>
          <w:rtl/>
        </w:rPr>
        <w:t xml:space="preserve">, </w:t>
      </w:r>
      <w:r w:rsidRPr="00936A8D">
        <w:rPr>
          <w:rFonts w:hint="eastAsia"/>
          <w:rtl/>
        </w:rPr>
        <w:t>באי</w:t>
      </w:r>
      <w:r w:rsidRPr="00936A8D">
        <w:rPr>
          <w:rtl/>
        </w:rPr>
        <w:t>-</w:t>
      </w:r>
      <w:r w:rsidRPr="00936A8D">
        <w:rPr>
          <w:rFonts w:hint="eastAsia"/>
          <w:rtl/>
        </w:rPr>
        <w:t>שקילת</w:t>
      </w:r>
      <w:r w:rsidRPr="00936A8D">
        <w:rPr>
          <w:rtl/>
        </w:rPr>
        <w:t xml:space="preserve"> </w:t>
      </w:r>
      <w:r w:rsidRPr="00936A8D">
        <w:rPr>
          <w:rFonts w:hint="eastAsia"/>
          <w:rtl/>
        </w:rPr>
        <w:t>שיקולים</w:t>
      </w:r>
      <w:r w:rsidRPr="00936A8D">
        <w:rPr>
          <w:rtl/>
        </w:rPr>
        <w:t xml:space="preserve"> </w:t>
      </w:r>
      <w:r w:rsidRPr="00936A8D">
        <w:rPr>
          <w:rFonts w:hint="eastAsia"/>
          <w:rtl/>
        </w:rPr>
        <w:t>מהותיים</w:t>
      </w:r>
      <w:r w:rsidRPr="00936A8D">
        <w:rPr>
          <w:rtl/>
        </w:rPr>
        <w:t xml:space="preserve"> </w:t>
      </w:r>
      <w:r w:rsidRPr="00936A8D">
        <w:rPr>
          <w:rFonts w:hint="eastAsia"/>
          <w:rtl/>
        </w:rPr>
        <w:t>או</w:t>
      </w:r>
      <w:r w:rsidRPr="00936A8D">
        <w:rPr>
          <w:rtl/>
        </w:rPr>
        <w:t xml:space="preserve"> </w:t>
      </w:r>
      <w:r w:rsidRPr="00936A8D">
        <w:rPr>
          <w:rFonts w:hint="eastAsia"/>
          <w:rtl/>
        </w:rPr>
        <w:t>בהפרת</w:t>
      </w:r>
      <w:r w:rsidRPr="00936A8D">
        <w:rPr>
          <w:rtl/>
        </w:rPr>
        <w:t xml:space="preserve"> </w:t>
      </w:r>
      <w:r w:rsidRPr="00936A8D">
        <w:rPr>
          <w:rFonts w:hint="eastAsia"/>
          <w:rtl/>
        </w:rPr>
        <w:t>כללי</w:t>
      </w:r>
      <w:r w:rsidRPr="00936A8D">
        <w:rPr>
          <w:rtl/>
        </w:rPr>
        <w:t xml:space="preserve"> </w:t>
      </w:r>
      <w:r w:rsidRPr="00936A8D">
        <w:rPr>
          <w:rFonts w:hint="eastAsia"/>
          <w:rtl/>
        </w:rPr>
        <w:t>הצדק</w:t>
      </w:r>
      <w:r w:rsidRPr="00936A8D">
        <w:rPr>
          <w:rtl/>
        </w:rPr>
        <w:t xml:space="preserve"> </w:t>
      </w:r>
      <w:r w:rsidRPr="00936A8D">
        <w:rPr>
          <w:rFonts w:hint="eastAsia"/>
          <w:rtl/>
        </w:rPr>
        <w:t>הטבעי</w:t>
      </w:r>
      <w:r w:rsidRPr="00936A8D">
        <w:rPr>
          <w:rtl/>
        </w:rPr>
        <w:t xml:space="preserve">. </w:t>
      </w:r>
      <w:r w:rsidRPr="00936A8D">
        <w:rPr>
          <w:rFonts w:hint="eastAsia"/>
          <w:rtl/>
        </w:rPr>
        <w:t>קיומה</w:t>
      </w:r>
      <w:r w:rsidRPr="00936A8D">
        <w:rPr>
          <w:rtl/>
        </w:rPr>
        <w:t xml:space="preserve"> </w:t>
      </w:r>
      <w:r w:rsidRPr="00936A8D">
        <w:rPr>
          <w:rFonts w:hint="eastAsia"/>
          <w:rtl/>
        </w:rPr>
        <w:t>של</w:t>
      </w:r>
      <w:r w:rsidRPr="00936A8D">
        <w:rPr>
          <w:rtl/>
        </w:rPr>
        <w:t xml:space="preserve"> </w:t>
      </w:r>
      <w:r w:rsidRPr="00936A8D">
        <w:rPr>
          <w:rFonts w:hint="eastAsia"/>
          <w:rtl/>
        </w:rPr>
        <w:t>סמכות</w:t>
      </w:r>
      <w:r w:rsidRPr="00936A8D">
        <w:rPr>
          <w:rtl/>
        </w:rPr>
        <w:t xml:space="preserve"> </w:t>
      </w:r>
      <w:r w:rsidRPr="00936A8D">
        <w:rPr>
          <w:rFonts w:hint="eastAsia"/>
          <w:rtl/>
        </w:rPr>
        <w:t>כאמור</w:t>
      </w:r>
      <w:r w:rsidRPr="00936A8D">
        <w:rPr>
          <w:rtl/>
        </w:rPr>
        <w:t xml:space="preserve">, </w:t>
      </w:r>
      <w:r w:rsidRPr="00936A8D">
        <w:rPr>
          <w:rFonts w:hint="eastAsia"/>
          <w:rtl/>
        </w:rPr>
        <w:t>משמע</w:t>
      </w:r>
      <w:r>
        <w:rPr>
          <w:rFonts w:hint="cs"/>
          <w:rtl/>
        </w:rPr>
        <w:t>ה</w:t>
      </w:r>
      <w:r w:rsidRPr="00936A8D">
        <w:rPr>
          <w:rtl/>
        </w:rPr>
        <w:t xml:space="preserve"> </w:t>
      </w:r>
      <w:r w:rsidRPr="00936A8D">
        <w:rPr>
          <w:rFonts w:hint="eastAsia"/>
          <w:rtl/>
        </w:rPr>
        <w:t>כי</w:t>
      </w:r>
      <w:r w:rsidRPr="00936A8D">
        <w:rPr>
          <w:rtl/>
        </w:rPr>
        <w:t xml:space="preserve"> </w:t>
      </w:r>
      <w:r w:rsidRPr="00936A8D">
        <w:rPr>
          <w:rFonts w:hint="eastAsia"/>
          <w:rtl/>
        </w:rPr>
        <w:t>יש</w:t>
      </w:r>
      <w:r w:rsidRPr="00936A8D">
        <w:rPr>
          <w:rtl/>
        </w:rPr>
        <w:t xml:space="preserve"> </w:t>
      </w:r>
      <w:r w:rsidRPr="00936A8D">
        <w:rPr>
          <w:rFonts w:hint="eastAsia"/>
          <w:rtl/>
        </w:rPr>
        <w:t>בידינו</w:t>
      </w:r>
      <w:r w:rsidRPr="00936A8D">
        <w:rPr>
          <w:rtl/>
        </w:rPr>
        <w:t xml:space="preserve"> </w:t>
      </w:r>
      <w:r w:rsidRPr="00936A8D">
        <w:rPr>
          <w:rFonts w:hint="eastAsia"/>
          <w:rtl/>
        </w:rPr>
        <w:t>ביקורת</w:t>
      </w:r>
      <w:r w:rsidRPr="00936A8D">
        <w:rPr>
          <w:rtl/>
        </w:rPr>
        <w:t xml:space="preserve"> </w:t>
      </w:r>
      <w:r w:rsidRPr="00936A8D">
        <w:rPr>
          <w:rFonts w:hint="eastAsia"/>
          <w:rtl/>
        </w:rPr>
        <w:t>שיפוטית</w:t>
      </w:r>
      <w:r w:rsidRPr="00936A8D">
        <w:rPr>
          <w:rtl/>
        </w:rPr>
        <w:t xml:space="preserve"> </w:t>
      </w:r>
      <w:r w:rsidRPr="00936A8D">
        <w:rPr>
          <w:rFonts w:hint="eastAsia"/>
          <w:rtl/>
        </w:rPr>
        <w:t>אפקטיבית</w:t>
      </w:r>
      <w:r w:rsidRPr="00936A8D">
        <w:rPr>
          <w:rtl/>
        </w:rPr>
        <w:t xml:space="preserve"> </w:t>
      </w:r>
      <w:r w:rsidRPr="00936A8D">
        <w:rPr>
          <w:rFonts w:hint="eastAsia"/>
          <w:rtl/>
        </w:rPr>
        <w:t>על</w:t>
      </w:r>
      <w:r w:rsidRPr="00936A8D">
        <w:rPr>
          <w:rtl/>
        </w:rPr>
        <w:t xml:space="preserve"> </w:t>
      </w:r>
      <w:r w:rsidRPr="00936A8D">
        <w:rPr>
          <w:rFonts w:hint="eastAsia"/>
          <w:rtl/>
        </w:rPr>
        <w:t>החלטות</w:t>
      </w:r>
      <w:r w:rsidRPr="00936A8D">
        <w:rPr>
          <w:rtl/>
        </w:rPr>
        <w:t xml:space="preserve"> </w:t>
      </w:r>
      <w:r>
        <w:rPr>
          <w:rFonts w:hint="cs"/>
          <w:rtl/>
        </w:rPr>
        <w:t>ה</w:t>
      </w:r>
      <w:r w:rsidRPr="00936A8D">
        <w:rPr>
          <w:rFonts w:hint="eastAsia"/>
          <w:rtl/>
        </w:rPr>
        <w:t>ממשלה</w:t>
      </w:r>
      <w:r w:rsidRPr="00936A8D">
        <w:rPr>
          <w:rtl/>
        </w:rPr>
        <w:t xml:space="preserve">, </w:t>
      </w:r>
      <w:r w:rsidRPr="00936A8D">
        <w:rPr>
          <w:rFonts w:hint="eastAsia"/>
          <w:rtl/>
        </w:rPr>
        <w:t>ראשה</w:t>
      </w:r>
      <w:r w:rsidRPr="00936A8D">
        <w:rPr>
          <w:rtl/>
        </w:rPr>
        <w:t xml:space="preserve"> </w:t>
      </w:r>
      <w:r w:rsidRPr="00936A8D">
        <w:rPr>
          <w:rFonts w:hint="eastAsia"/>
          <w:rtl/>
        </w:rPr>
        <w:t>ושריה</w:t>
      </w:r>
      <w:r w:rsidRPr="00936A8D">
        <w:rPr>
          <w:rtl/>
        </w:rPr>
        <w:t xml:space="preserve">. </w:t>
      </w:r>
      <w:r w:rsidRPr="00936A8D">
        <w:rPr>
          <w:rFonts w:hint="eastAsia"/>
          <w:rtl/>
        </w:rPr>
        <w:t>היקפה</w:t>
      </w:r>
      <w:r w:rsidRPr="00936A8D">
        <w:rPr>
          <w:rtl/>
        </w:rPr>
        <w:t xml:space="preserve"> </w:t>
      </w:r>
      <w:r w:rsidRPr="00936A8D">
        <w:rPr>
          <w:rFonts w:hint="eastAsia"/>
          <w:rtl/>
        </w:rPr>
        <w:t>של</w:t>
      </w:r>
      <w:r w:rsidRPr="00936A8D">
        <w:rPr>
          <w:rtl/>
        </w:rPr>
        <w:t xml:space="preserve"> </w:t>
      </w:r>
      <w:r w:rsidRPr="00936A8D">
        <w:rPr>
          <w:rFonts w:hint="eastAsia"/>
          <w:rtl/>
        </w:rPr>
        <w:t>ביקורת</w:t>
      </w:r>
      <w:r w:rsidRPr="00936A8D">
        <w:rPr>
          <w:rtl/>
        </w:rPr>
        <w:t xml:space="preserve"> </w:t>
      </w:r>
      <w:r w:rsidRPr="00936A8D">
        <w:rPr>
          <w:rFonts w:hint="eastAsia"/>
          <w:rtl/>
        </w:rPr>
        <w:t>זו</w:t>
      </w:r>
      <w:r w:rsidRPr="00936A8D">
        <w:rPr>
          <w:rtl/>
        </w:rPr>
        <w:t xml:space="preserve"> </w:t>
      </w:r>
      <w:r w:rsidRPr="00936A8D">
        <w:rPr>
          <w:rFonts w:hint="eastAsia"/>
          <w:rtl/>
        </w:rPr>
        <w:t>פחת</w:t>
      </w:r>
      <w:r w:rsidRPr="00936A8D">
        <w:rPr>
          <w:rtl/>
        </w:rPr>
        <w:t xml:space="preserve"> </w:t>
      </w:r>
      <w:r w:rsidRPr="00936A8D">
        <w:rPr>
          <w:rFonts w:hint="eastAsia"/>
          <w:rtl/>
        </w:rPr>
        <w:t>אמנם</w:t>
      </w:r>
      <w:r w:rsidRPr="00936A8D">
        <w:rPr>
          <w:rtl/>
        </w:rPr>
        <w:t xml:space="preserve"> </w:t>
      </w:r>
      <w:r w:rsidRPr="00936A8D">
        <w:rPr>
          <w:rFonts w:hint="eastAsia"/>
          <w:rtl/>
        </w:rPr>
        <w:t>בעקבות</w:t>
      </w:r>
      <w:r w:rsidRPr="00936A8D">
        <w:rPr>
          <w:rtl/>
        </w:rPr>
        <w:t xml:space="preserve"> </w:t>
      </w:r>
      <w:r w:rsidRPr="00936A8D">
        <w:rPr>
          <w:rFonts w:hint="eastAsia"/>
          <w:rtl/>
        </w:rPr>
        <w:t>ביטולה</w:t>
      </w:r>
      <w:r w:rsidRPr="00936A8D">
        <w:rPr>
          <w:rtl/>
        </w:rPr>
        <w:t xml:space="preserve"> </w:t>
      </w:r>
      <w:r w:rsidRPr="00936A8D">
        <w:rPr>
          <w:rFonts w:hint="eastAsia"/>
          <w:rtl/>
        </w:rPr>
        <w:t>של</w:t>
      </w:r>
      <w:r w:rsidRPr="00936A8D">
        <w:rPr>
          <w:rtl/>
        </w:rPr>
        <w:t xml:space="preserve"> </w:t>
      </w:r>
      <w:r w:rsidRPr="00936A8D">
        <w:rPr>
          <w:rFonts w:hint="eastAsia"/>
          <w:rtl/>
        </w:rPr>
        <w:t>נוסחת</w:t>
      </w:r>
      <w:r w:rsidRPr="00936A8D">
        <w:rPr>
          <w:rtl/>
        </w:rPr>
        <w:t xml:space="preserve"> </w:t>
      </w:r>
      <w:r w:rsidRPr="00936A8D">
        <w:rPr>
          <w:rFonts w:ascii="Century" w:hAnsi="Century" w:cs="Miriam" w:hint="eastAsia"/>
          <w:b/>
          <w:spacing w:val="0"/>
          <w:sz w:val="22"/>
          <w:szCs w:val="24"/>
          <w:rtl/>
        </w:rPr>
        <w:t>דפי</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זהב</w:t>
      </w:r>
      <w:r w:rsidRPr="00936A8D">
        <w:rPr>
          <w:rtl/>
        </w:rPr>
        <w:t xml:space="preserve">, </w:t>
      </w:r>
      <w:r w:rsidRPr="00936A8D">
        <w:rPr>
          <w:rFonts w:hint="eastAsia"/>
          <w:rtl/>
        </w:rPr>
        <w:t>אולם</w:t>
      </w:r>
      <w:r w:rsidRPr="00936A8D">
        <w:rPr>
          <w:rtl/>
        </w:rPr>
        <w:t xml:space="preserve"> </w:t>
      </w:r>
      <w:r w:rsidRPr="00936A8D">
        <w:rPr>
          <w:rFonts w:hint="eastAsia"/>
          <w:rtl/>
        </w:rPr>
        <w:t>אין</w:t>
      </w:r>
      <w:r w:rsidRPr="00936A8D">
        <w:rPr>
          <w:rtl/>
        </w:rPr>
        <w:t xml:space="preserve"> </w:t>
      </w:r>
      <w:r w:rsidRPr="00936A8D">
        <w:rPr>
          <w:rFonts w:hint="eastAsia"/>
          <w:rtl/>
        </w:rPr>
        <w:t>מדובר</w:t>
      </w:r>
      <w:r w:rsidRPr="00936A8D">
        <w:rPr>
          <w:rtl/>
        </w:rPr>
        <w:t xml:space="preserve"> </w:t>
      </w:r>
      <w:r w:rsidRPr="00936A8D">
        <w:rPr>
          <w:rFonts w:hint="eastAsia"/>
          <w:rtl/>
        </w:rPr>
        <w:t>בפיחות</w:t>
      </w:r>
      <w:r w:rsidRPr="00936A8D">
        <w:rPr>
          <w:rtl/>
        </w:rPr>
        <w:t xml:space="preserve"> </w:t>
      </w:r>
      <w:r w:rsidRPr="00936A8D">
        <w:rPr>
          <w:rFonts w:hint="eastAsia"/>
          <w:rtl/>
        </w:rPr>
        <w:t>שעולה</w:t>
      </w:r>
      <w:r w:rsidRPr="00936A8D">
        <w:rPr>
          <w:rtl/>
        </w:rPr>
        <w:t xml:space="preserve"> </w:t>
      </w:r>
      <w:r w:rsidRPr="00936A8D">
        <w:rPr>
          <w:rFonts w:hint="eastAsia"/>
          <w:rtl/>
        </w:rPr>
        <w:t>כדי</w:t>
      </w:r>
      <w:r w:rsidRPr="00936A8D">
        <w:rPr>
          <w:rtl/>
        </w:rPr>
        <w:t xml:space="preserve"> </w:t>
      </w:r>
      <w:r w:rsidRPr="00936A8D">
        <w:rPr>
          <w:rFonts w:hint="eastAsia"/>
          <w:rtl/>
        </w:rPr>
        <w:t>סתירה</w:t>
      </w:r>
      <w:r w:rsidRPr="00936A8D">
        <w:rPr>
          <w:rtl/>
        </w:rPr>
        <w:t xml:space="preserve"> </w:t>
      </w:r>
      <w:r w:rsidRPr="00936A8D">
        <w:rPr>
          <w:rFonts w:hint="eastAsia"/>
          <w:rtl/>
        </w:rPr>
        <w:t>להכרזת</w:t>
      </w:r>
      <w:r w:rsidRPr="00936A8D">
        <w:rPr>
          <w:rtl/>
        </w:rPr>
        <w:t xml:space="preserve"> </w:t>
      </w:r>
      <w:r w:rsidRPr="00936A8D">
        <w:rPr>
          <w:rFonts w:hint="eastAsia"/>
          <w:rtl/>
        </w:rPr>
        <w:t>העצמאות</w:t>
      </w:r>
      <w:r w:rsidRPr="00936A8D">
        <w:rPr>
          <w:rtl/>
        </w:rPr>
        <w:t xml:space="preserve"> </w:t>
      </w:r>
      <w:r w:rsidRPr="00936A8D">
        <w:rPr>
          <w:rFonts w:hint="eastAsia"/>
          <w:rtl/>
        </w:rPr>
        <w:t>ו</w:t>
      </w:r>
      <w:r>
        <w:rPr>
          <w:rFonts w:hint="cs"/>
          <w:rtl/>
        </w:rPr>
        <w:t xml:space="preserve">כדי </w:t>
      </w:r>
      <w:r w:rsidRPr="00936A8D">
        <w:rPr>
          <w:rFonts w:hint="eastAsia"/>
          <w:rtl/>
        </w:rPr>
        <w:t>פגיעה</w:t>
      </w:r>
      <w:r w:rsidRPr="00936A8D">
        <w:rPr>
          <w:rtl/>
        </w:rPr>
        <w:t xml:space="preserve"> </w:t>
      </w:r>
      <w:r w:rsidRPr="00936A8D">
        <w:rPr>
          <w:rFonts w:hint="eastAsia"/>
          <w:rtl/>
        </w:rPr>
        <w:t>בנורמות</w:t>
      </w:r>
      <w:r w:rsidRPr="00936A8D">
        <w:rPr>
          <w:rtl/>
        </w:rPr>
        <w:t xml:space="preserve"> </w:t>
      </w:r>
      <w:r w:rsidRPr="00936A8D">
        <w:rPr>
          <w:rFonts w:hint="eastAsia"/>
          <w:rtl/>
        </w:rPr>
        <w:t>חוקתיות</w:t>
      </w:r>
      <w:r>
        <w:rPr>
          <w:rFonts w:hint="cs"/>
          <w:rtl/>
        </w:rPr>
        <w:t xml:space="preserve"> מחייבות.</w:t>
      </w:r>
    </w:p>
    <w:p w:rsidR="0047626A" w:rsidRPr="00936A8D" w:rsidRDefault="0047626A" w:rsidP="0047626A">
      <w:pPr>
        <w:pStyle w:val="Ruller4"/>
        <w:numPr>
          <w:ilvl w:val="0"/>
          <w:numId w:val="0"/>
        </w:numPr>
      </w:pPr>
    </w:p>
    <w:p w:rsidR="0047626A" w:rsidRPr="00936A8D" w:rsidRDefault="0047626A" w:rsidP="0047626A">
      <w:pPr>
        <w:pStyle w:val="Ruller4"/>
      </w:pPr>
      <w:r w:rsidRPr="00936A8D">
        <w:rPr>
          <w:rFonts w:ascii="FrankRuehl" w:hAnsi="FrankRuehl" w:hint="eastAsia"/>
          <w:sz w:val="28"/>
          <w:rtl/>
        </w:rPr>
        <w:lastRenderedPageBreak/>
        <w:t>על</w:t>
      </w:r>
      <w:r w:rsidRPr="00936A8D">
        <w:rPr>
          <w:rFonts w:ascii="FrankRuehl" w:hAnsi="FrankRuehl"/>
          <w:sz w:val="28"/>
          <w:rtl/>
        </w:rPr>
        <w:t xml:space="preserve"> </w:t>
      </w:r>
      <w:r w:rsidRPr="00936A8D">
        <w:rPr>
          <w:rFonts w:ascii="FrankRuehl" w:hAnsi="FrankRuehl" w:hint="eastAsia"/>
          <w:sz w:val="28"/>
          <w:rtl/>
        </w:rPr>
        <w:t>כך</w:t>
      </w:r>
      <w:r w:rsidRPr="00936A8D">
        <w:rPr>
          <w:rFonts w:ascii="FrankRuehl" w:hAnsi="FrankRuehl"/>
          <w:sz w:val="28"/>
          <w:rtl/>
        </w:rPr>
        <w:t xml:space="preserve"> </w:t>
      </w:r>
      <w:r w:rsidRPr="00936A8D">
        <w:rPr>
          <w:rFonts w:ascii="FrankRuehl" w:hAnsi="FrankRuehl" w:hint="eastAsia"/>
          <w:sz w:val="28"/>
          <w:rtl/>
        </w:rPr>
        <w:t>שההוראה</w:t>
      </w:r>
      <w:r w:rsidRPr="00936A8D">
        <w:rPr>
          <w:rFonts w:ascii="FrankRuehl" w:hAnsi="FrankRuehl"/>
          <w:sz w:val="28"/>
          <w:rtl/>
        </w:rPr>
        <w:t xml:space="preserve"> </w:t>
      </w:r>
      <w:r w:rsidRPr="00936A8D">
        <w:rPr>
          <w:rFonts w:ascii="FrankRuehl" w:hAnsi="FrankRuehl" w:hint="eastAsia"/>
          <w:sz w:val="28"/>
          <w:rtl/>
        </w:rPr>
        <w:t>נושא</w:t>
      </w:r>
      <w:r w:rsidRPr="00936A8D">
        <w:rPr>
          <w:rFonts w:ascii="FrankRuehl" w:hAnsi="FrankRuehl"/>
          <w:sz w:val="28"/>
          <w:rtl/>
        </w:rPr>
        <w:t xml:space="preserve"> </w:t>
      </w:r>
      <w:r w:rsidRPr="00936A8D">
        <w:rPr>
          <w:rFonts w:ascii="FrankRuehl" w:hAnsi="FrankRuehl" w:hint="eastAsia"/>
          <w:sz w:val="28"/>
          <w:rtl/>
        </w:rPr>
        <w:t>דיוננו</w:t>
      </w:r>
      <w:r w:rsidRPr="00936A8D">
        <w:rPr>
          <w:rFonts w:ascii="FrankRuehl" w:hAnsi="FrankRuehl"/>
          <w:sz w:val="28"/>
          <w:rtl/>
        </w:rPr>
        <w:t xml:space="preserve"> </w:t>
      </w:r>
      <w:r w:rsidRPr="00936A8D">
        <w:rPr>
          <w:rFonts w:ascii="FrankRuehl" w:hAnsi="FrankRuehl" w:hint="eastAsia"/>
          <w:sz w:val="28"/>
          <w:rtl/>
        </w:rPr>
        <w:t>מבטלת</w:t>
      </w:r>
      <w:r w:rsidRPr="00936A8D">
        <w:rPr>
          <w:rFonts w:ascii="FrankRuehl" w:hAnsi="FrankRuehl"/>
          <w:sz w:val="28"/>
          <w:rtl/>
        </w:rPr>
        <w:t xml:space="preserve"> </w:t>
      </w:r>
      <w:r w:rsidRPr="00936A8D">
        <w:rPr>
          <w:rFonts w:ascii="FrankRuehl" w:hAnsi="FrankRuehl" w:hint="eastAsia"/>
          <w:sz w:val="28"/>
          <w:rtl/>
        </w:rPr>
        <w:t>אך</w:t>
      </w:r>
      <w:r w:rsidRPr="00936A8D">
        <w:rPr>
          <w:rFonts w:ascii="FrankRuehl" w:hAnsi="FrankRuehl"/>
          <w:sz w:val="28"/>
          <w:rtl/>
        </w:rPr>
        <w:t xml:space="preserve"> </w:t>
      </w:r>
      <w:r w:rsidRPr="00936A8D">
        <w:rPr>
          <w:rFonts w:ascii="FrankRuehl" w:hAnsi="FrankRuehl" w:hint="eastAsia"/>
          <w:sz w:val="28"/>
          <w:rtl/>
        </w:rPr>
        <w:t>ורק</w:t>
      </w:r>
      <w:r w:rsidRPr="00936A8D">
        <w:rPr>
          <w:rFonts w:ascii="FrankRuehl" w:hAnsi="FrankRuehl"/>
          <w:sz w:val="28"/>
          <w:rtl/>
        </w:rPr>
        <w:t xml:space="preserve"> </w:t>
      </w:r>
      <w:r w:rsidRPr="00936A8D">
        <w:rPr>
          <w:rFonts w:ascii="FrankRuehl" w:hAnsi="FrankRuehl" w:hint="eastAsia"/>
          <w:sz w:val="28"/>
          <w:rtl/>
        </w:rPr>
        <w:t>את</w:t>
      </w:r>
      <w:r w:rsidRPr="00936A8D">
        <w:rPr>
          <w:rFonts w:ascii="FrankRuehl" w:hAnsi="FrankRuehl"/>
          <w:sz w:val="28"/>
          <w:rtl/>
        </w:rPr>
        <w:t xml:space="preserve"> </w:t>
      </w:r>
      <w:r w:rsidRPr="00936A8D">
        <w:rPr>
          <w:rFonts w:ascii="FrankRuehl" w:hAnsi="FrankRuehl" w:hint="eastAsia"/>
          <w:sz w:val="28"/>
          <w:rtl/>
        </w:rPr>
        <w:t>נוסחת</w:t>
      </w:r>
      <w:r w:rsidRPr="00936A8D">
        <w:rPr>
          <w:rFonts w:ascii="FrankRuehl" w:hAnsi="FrankRuehl"/>
          <w:sz w:val="28"/>
          <w:rtl/>
        </w:rPr>
        <w:t xml:space="preserve"> </w:t>
      </w:r>
      <w:r w:rsidRPr="00936A8D">
        <w:rPr>
          <w:rFonts w:ascii="Century" w:hAnsi="Century" w:cs="Miriam" w:hint="eastAsia"/>
          <w:b/>
          <w:spacing w:val="0"/>
          <w:sz w:val="22"/>
          <w:szCs w:val="24"/>
          <w:rtl/>
        </w:rPr>
        <w:t>דפי</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זהב</w:t>
      </w:r>
      <w:r w:rsidRPr="00936A8D">
        <w:rPr>
          <w:rFonts w:ascii="FrankRuehl" w:hAnsi="FrankRuehl"/>
          <w:sz w:val="28"/>
          <w:rtl/>
        </w:rPr>
        <w:t xml:space="preserve"> ניתן ללמוד בבירור מדברי </w:t>
      </w:r>
      <w:r w:rsidRPr="00936A8D">
        <w:rPr>
          <w:rFonts w:ascii="FrankRuehl" w:hAnsi="FrankRuehl" w:hint="eastAsia"/>
          <w:sz w:val="28"/>
          <w:rtl/>
        </w:rPr>
        <w:t>ה</w:t>
      </w:r>
      <w:r w:rsidRPr="00936A8D">
        <w:rPr>
          <w:rFonts w:ascii="FrankRuehl" w:hAnsi="FrankRuehl"/>
          <w:sz w:val="28"/>
          <w:rtl/>
        </w:rPr>
        <w:t xml:space="preserve">הסבר להצעת חוק-יסוד: השפיטה (תיקון מס' 5) (עילת הסבירות) ה"ח 110 (למעשה, מדובר בתיקון מס' 3 לחוק-יסוד: השפיטה. הטעות במקור – א.ש.). </w:t>
      </w:r>
    </w:p>
    <w:p w:rsidR="0047626A" w:rsidRPr="00936A8D" w:rsidRDefault="0047626A" w:rsidP="0047626A">
      <w:pPr>
        <w:pStyle w:val="Ruller4"/>
        <w:numPr>
          <w:ilvl w:val="0"/>
          <w:numId w:val="0"/>
        </w:numPr>
        <w:rPr>
          <w:rtl/>
        </w:rPr>
      </w:pPr>
    </w:p>
    <w:p w:rsidR="0047626A" w:rsidRPr="00936A8D" w:rsidRDefault="0047626A" w:rsidP="0047626A">
      <w:pPr>
        <w:pStyle w:val="Ruller4"/>
        <w:numPr>
          <w:ilvl w:val="0"/>
          <w:numId w:val="0"/>
        </w:numPr>
      </w:pPr>
      <w:r w:rsidRPr="00936A8D">
        <w:rPr>
          <w:rtl/>
        </w:rPr>
        <w:tab/>
      </w:r>
      <w:r w:rsidRPr="00936A8D">
        <w:rPr>
          <w:rFonts w:hint="eastAsia"/>
          <w:rtl/>
        </w:rPr>
        <w:t>ואלה</w:t>
      </w:r>
      <w:r w:rsidRPr="00936A8D">
        <w:rPr>
          <w:rtl/>
        </w:rPr>
        <w:t xml:space="preserve"> </w:t>
      </w:r>
      <w:r w:rsidRPr="00936A8D">
        <w:rPr>
          <w:rFonts w:hint="eastAsia"/>
          <w:rtl/>
        </w:rPr>
        <w:t>הם</w:t>
      </w:r>
      <w:r w:rsidRPr="00936A8D">
        <w:rPr>
          <w:rtl/>
        </w:rPr>
        <w:t xml:space="preserve"> </w:t>
      </w:r>
      <w:r w:rsidRPr="00936A8D">
        <w:rPr>
          <w:rFonts w:hint="eastAsia"/>
          <w:rtl/>
        </w:rPr>
        <w:t>הדברים</w:t>
      </w:r>
      <w:r w:rsidRPr="00936A8D">
        <w:rPr>
          <w:rtl/>
        </w:rPr>
        <w:t xml:space="preserve"> </w:t>
      </w:r>
      <w:r w:rsidRPr="00936A8D">
        <w:rPr>
          <w:rFonts w:hint="eastAsia"/>
          <w:rtl/>
        </w:rPr>
        <w:t>שנכתבו</w:t>
      </w:r>
      <w:r w:rsidRPr="00936A8D">
        <w:rPr>
          <w:rtl/>
        </w:rPr>
        <w:t xml:space="preserve"> </w:t>
      </w:r>
      <w:r w:rsidRPr="00936A8D">
        <w:rPr>
          <w:rFonts w:hint="eastAsia"/>
          <w:rtl/>
        </w:rPr>
        <w:t>שם</w:t>
      </w:r>
      <w:r w:rsidRPr="00936A8D">
        <w:rPr>
          <w:rtl/>
        </w:rPr>
        <w:t>:</w:t>
      </w:r>
    </w:p>
    <w:p w:rsidR="0047626A" w:rsidRPr="00936A8D" w:rsidRDefault="0047626A" w:rsidP="0047626A">
      <w:pPr>
        <w:pStyle w:val="Ruller41"/>
        <w:ind w:left="360"/>
      </w:pPr>
    </w:p>
    <w:p w:rsidR="0047626A" w:rsidRPr="00936A8D" w:rsidRDefault="0047626A" w:rsidP="0047626A">
      <w:pPr>
        <w:pStyle w:val="Ruller5"/>
        <w:rPr>
          <w:rtl/>
        </w:rPr>
      </w:pPr>
      <w:r w:rsidRPr="00936A8D">
        <w:rPr>
          <w:rtl/>
        </w:rPr>
        <w:t>"</w:t>
      </w:r>
      <w:r w:rsidRPr="00936A8D">
        <w:rPr>
          <w:rFonts w:hint="eastAsia"/>
          <w:rtl/>
        </w:rPr>
        <w:t>בית</w:t>
      </w:r>
      <w:r w:rsidRPr="00936A8D">
        <w:rPr>
          <w:rtl/>
        </w:rPr>
        <w:t xml:space="preserve"> </w:t>
      </w:r>
      <w:r w:rsidRPr="00936A8D">
        <w:rPr>
          <w:rFonts w:hint="eastAsia"/>
          <w:rtl/>
        </w:rPr>
        <w:t>המשפט</w:t>
      </w:r>
      <w:r w:rsidRPr="00936A8D">
        <w:rPr>
          <w:rtl/>
        </w:rPr>
        <w:t xml:space="preserve"> </w:t>
      </w:r>
      <w:r w:rsidRPr="00936A8D">
        <w:rPr>
          <w:rFonts w:hint="eastAsia"/>
          <w:rtl/>
        </w:rPr>
        <w:t>העליון</w:t>
      </w:r>
      <w:r w:rsidRPr="00936A8D">
        <w:rPr>
          <w:rtl/>
        </w:rPr>
        <w:t xml:space="preserve">, </w:t>
      </w:r>
      <w:r w:rsidRPr="00936A8D">
        <w:rPr>
          <w:rFonts w:hint="eastAsia"/>
          <w:rtl/>
        </w:rPr>
        <w:t>בשבתו</w:t>
      </w:r>
      <w:r w:rsidRPr="00936A8D">
        <w:rPr>
          <w:rtl/>
        </w:rPr>
        <w:t xml:space="preserve"> </w:t>
      </w:r>
      <w:r w:rsidRPr="00936A8D">
        <w:rPr>
          <w:rFonts w:hint="eastAsia"/>
          <w:rtl/>
        </w:rPr>
        <w:t>כבית</w:t>
      </w:r>
      <w:r w:rsidRPr="00936A8D">
        <w:rPr>
          <w:rtl/>
        </w:rPr>
        <w:t xml:space="preserve"> </w:t>
      </w:r>
      <w:r w:rsidRPr="00936A8D">
        <w:rPr>
          <w:rFonts w:hint="eastAsia"/>
          <w:rtl/>
        </w:rPr>
        <w:t>משפט</w:t>
      </w:r>
      <w:r w:rsidRPr="00936A8D">
        <w:rPr>
          <w:rtl/>
        </w:rPr>
        <w:t xml:space="preserve"> </w:t>
      </w:r>
      <w:r w:rsidRPr="00936A8D">
        <w:rPr>
          <w:rFonts w:hint="eastAsia"/>
          <w:rtl/>
        </w:rPr>
        <w:t>גבוה</w:t>
      </w:r>
      <w:r w:rsidRPr="00936A8D">
        <w:rPr>
          <w:rtl/>
        </w:rPr>
        <w:t xml:space="preserve"> </w:t>
      </w:r>
      <w:r w:rsidRPr="00936A8D">
        <w:rPr>
          <w:rFonts w:hint="eastAsia"/>
          <w:rtl/>
        </w:rPr>
        <w:t>לצדק</w:t>
      </w:r>
      <w:r w:rsidRPr="00936A8D">
        <w:rPr>
          <w:rtl/>
        </w:rPr>
        <w:t xml:space="preserve">, </w:t>
      </w:r>
      <w:r w:rsidRPr="00936A8D">
        <w:rPr>
          <w:rFonts w:hint="eastAsia"/>
          <w:rtl/>
        </w:rPr>
        <w:t>מוסמך</w:t>
      </w:r>
      <w:r w:rsidRPr="00936A8D">
        <w:rPr>
          <w:rtl/>
        </w:rPr>
        <w:t xml:space="preserve"> </w:t>
      </w:r>
      <w:r w:rsidRPr="00936A8D">
        <w:rPr>
          <w:rFonts w:hint="eastAsia"/>
          <w:rtl/>
        </w:rPr>
        <w:t>לקיים</w:t>
      </w:r>
      <w:r w:rsidRPr="00936A8D">
        <w:rPr>
          <w:rtl/>
        </w:rPr>
        <w:t xml:space="preserve"> </w:t>
      </w:r>
      <w:r w:rsidRPr="00936A8D">
        <w:rPr>
          <w:rFonts w:hint="eastAsia"/>
          <w:rtl/>
        </w:rPr>
        <w:t>ביקורת</w:t>
      </w:r>
      <w:r w:rsidRPr="00936A8D">
        <w:rPr>
          <w:rtl/>
        </w:rPr>
        <w:t xml:space="preserve"> </w:t>
      </w:r>
      <w:r w:rsidRPr="00936A8D">
        <w:rPr>
          <w:rFonts w:hint="eastAsia"/>
          <w:rtl/>
        </w:rPr>
        <w:t>שיפוטית</w:t>
      </w:r>
      <w:r w:rsidRPr="00936A8D">
        <w:rPr>
          <w:rtl/>
        </w:rPr>
        <w:t xml:space="preserve"> </w:t>
      </w:r>
      <w:r w:rsidRPr="00936A8D">
        <w:rPr>
          <w:rFonts w:hint="eastAsia"/>
          <w:rtl/>
        </w:rPr>
        <w:t>על</w:t>
      </w:r>
      <w:r w:rsidRPr="00936A8D">
        <w:rPr>
          <w:rtl/>
        </w:rPr>
        <w:t xml:space="preserve"> </w:t>
      </w:r>
      <w:r w:rsidRPr="00936A8D">
        <w:rPr>
          <w:rFonts w:hint="eastAsia"/>
          <w:rtl/>
        </w:rPr>
        <w:t>החלטות</w:t>
      </w:r>
      <w:r w:rsidRPr="00936A8D">
        <w:rPr>
          <w:rtl/>
        </w:rPr>
        <w:t xml:space="preserve"> </w:t>
      </w:r>
      <w:r w:rsidRPr="00936A8D">
        <w:rPr>
          <w:rFonts w:hint="eastAsia"/>
          <w:rtl/>
        </w:rPr>
        <w:t>של</w:t>
      </w:r>
      <w:r w:rsidRPr="00936A8D">
        <w:rPr>
          <w:rtl/>
        </w:rPr>
        <w:t xml:space="preserve"> </w:t>
      </w:r>
      <w:r w:rsidRPr="00936A8D">
        <w:rPr>
          <w:rFonts w:hint="eastAsia"/>
          <w:rtl/>
        </w:rPr>
        <w:t>רשויות</w:t>
      </w:r>
      <w:r w:rsidRPr="00936A8D">
        <w:rPr>
          <w:rtl/>
        </w:rPr>
        <w:t xml:space="preserve"> </w:t>
      </w:r>
      <w:r w:rsidRPr="00936A8D">
        <w:rPr>
          <w:rFonts w:hint="eastAsia"/>
          <w:rtl/>
        </w:rPr>
        <w:t>המדינה</w:t>
      </w:r>
      <w:r w:rsidRPr="00936A8D">
        <w:rPr>
          <w:rtl/>
        </w:rPr>
        <w:t xml:space="preserve"> </w:t>
      </w:r>
      <w:r w:rsidRPr="00936A8D">
        <w:rPr>
          <w:rFonts w:hint="eastAsia"/>
          <w:rtl/>
        </w:rPr>
        <w:t>בהתאם</w:t>
      </w:r>
      <w:r w:rsidRPr="00936A8D">
        <w:rPr>
          <w:rtl/>
        </w:rPr>
        <w:t xml:space="preserve"> </w:t>
      </w:r>
      <w:r w:rsidRPr="00936A8D">
        <w:rPr>
          <w:rFonts w:hint="eastAsia"/>
          <w:rtl/>
        </w:rPr>
        <w:t>להוראות</w:t>
      </w:r>
      <w:r w:rsidRPr="00936A8D">
        <w:rPr>
          <w:rtl/>
        </w:rPr>
        <w:t xml:space="preserve"> </w:t>
      </w:r>
      <w:r w:rsidRPr="00936A8D">
        <w:rPr>
          <w:rFonts w:hint="eastAsia"/>
          <w:rtl/>
        </w:rPr>
        <w:t>סעיף</w:t>
      </w:r>
      <w:r w:rsidRPr="00936A8D">
        <w:rPr>
          <w:rtl/>
        </w:rPr>
        <w:t xml:space="preserve"> 15 </w:t>
      </w:r>
      <w:r w:rsidRPr="00936A8D">
        <w:rPr>
          <w:rFonts w:hint="eastAsia"/>
          <w:rtl/>
        </w:rPr>
        <w:t>לחוק</w:t>
      </w:r>
      <w:r w:rsidRPr="00936A8D">
        <w:rPr>
          <w:rtl/>
        </w:rPr>
        <w:t>-</w:t>
      </w:r>
      <w:r w:rsidRPr="00936A8D">
        <w:rPr>
          <w:rFonts w:hint="eastAsia"/>
          <w:rtl/>
        </w:rPr>
        <w:t>יסוד</w:t>
      </w:r>
      <w:r w:rsidRPr="00936A8D">
        <w:rPr>
          <w:rtl/>
        </w:rPr>
        <w:t xml:space="preserve">: </w:t>
      </w:r>
      <w:r w:rsidRPr="00936A8D">
        <w:rPr>
          <w:rFonts w:hint="eastAsia"/>
          <w:rtl/>
        </w:rPr>
        <w:t>השפיטה</w:t>
      </w:r>
      <w:r w:rsidRPr="00936A8D">
        <w:rPr>
          <w:rtl/>
        </w:rPr>
        <w:t>.</w:t>
      </w:r>
    </w:p>
    <w:p w:rsidR="0047626A" w:rsidRPr="00936A8D" w:rsidRDefault="0047626A" w:rsidP="0047626A">
      <w:pPr>
        <w:pStyle w:val="Ruller5"/>
        <w:rPr>
          <w:rtl/>
        </w:rPr>
      </w:pPr>
    </w:p>
    <w:p w:rsidR="0047626A" w:rsidRPr="00936A8D" w:rsidRDefault="0047626A" w:rsidP="0047626A">
      <w:pPr>
        <w:pStyle w:val="Ruller5"/>
        <w:rPr>
          <w:rtl/>
        </w:rPr>
      </w:pPr>
      <w:r w:rsidRPr="00936A8D">
        <w:rPr>
          <w:rtl/>
        </w:rPr>
        <w:t xml:space="preserve">[...] </w:t>
      </w:r>
    </w:p>
    <w:p w:rsidR="0047626A" w:rsidRPr="00936A8D" w:rsidRDefault="0047626A" w:rsidP="0047626A">
      <w:pPr>
        <w:pStyle w:val="Ruller5"/>
        <w:rPr>
          <w:rtl/>
        </w:rPr>
      </w:pPr>
    </w:p>
    <w:p w:rsidR="0047626A" w:rsidRPr="00936A8D" w:rsidRDefault="0047626A" w:rsidP="0047626A">
      <w:pPr>
        <w:pStyle w:val="Ruller5"/>
        <w:rPr>
          <w:rtl/>
        </w:rPr>
      </w:pPr>
      <w:r w:rsidRPr="00936A8D">
        <w:rPr>
          <w:rFonts w:hint="eastAsia"/>
          <w:rtl/>
        </w:rPr>
        <w:t>מכוח</w:t>
      </w:r>
      <w:r w:rsidRPr="00936A8D">
        <w:rPr>
          <w:rtl/>
        </w:rPr>
        <w:t xml:space="preserve"> </w:t>
      </w:r>
      <w:r w:rsidRPr="00936A8D">
        <w:rPr>
          <w:rFonts w:hint="eastAsia"/>
          <w:rtl/>
        </w:rPr>
        <w:t>סמכות</w:t>
      </w:r>
      <w:r w:rsidRPr="00936A8D">
        <w:rPr>
          <w:rtl/>
        </w:rPr>
        <w:t xml:space="preserve"> </w:t>
      </w:r>
      <w:r w:rsidRPr="00936A8D">
        <w:rPr>
          <w:rFonts w:hint="eastAsia"/>
          <w:rtl/>
        </w:rPr>
        <w:t>זו</w:t>
      </w:r>
      <w:r w:rsidRPr="00936A8D">
        <w:rPr>
          <w:rtl/>
        </w:rPr>
        <w:t xml:space="preserve">, </w:t>
      </w:r>
      <w:r w:rsidRPr="00936A8D">
        <w:rPr>
          <w:rFonts w:hint="eastAsia"/>
          <w:rtl/>
        </w:rPr>
        <w:t>עורך</w:t>
      </w:r>
      <w:r w:rsidRPr="00936A8D">
        <w:rPr>
          <w:rtl/>
        </w:rPr>
        <w:t xml:space="preserve"> </w:t>
      </w:r>
      <w:r w:rsidRPr="00936A8D">
        <w:rPr>
          <w:rFonts w:hint="eastAsia"/>
          <w:rtl/>
        </w:rPr>
        <w:t>בית</w:t>
      </w:r>
      <w:r w:rsidRPr="00936A8D">
        <w:rPr>
          <w:rtl/>
        </w:rPr>
        <w:t xml:space="preserve"> </w:t>
      </w:r>
      <w:r w:rsidRPr="00936A8D">
        <w:rPr>
          <w:rFonts w:hint="eastAsia"/>
          <w:rtl/>
        </w:rPr>
        <w:t>המשפט</w:t>
      </w:r>
      <w:r w:rsidRPr="00936A8D">
        <w:rPr>
          <w:rtl/>
        </w:rPr>
        <w:t xml:space="preserve"> </w:t>
      </w:r>
      <w:r w:rsidRPr="00936A8D">
        <w:rPr>
          <w:rFonts w:hint="eastAsia"/>
          <w:rtl/>
        </w:rPr>
        <w:t>ביקורת</w:t>
      </w:r>
      <w:r w:rsidRPr="00936A8D">
        <w:rPr>
          <w:rtl/>
        </w:rPr>
        <w:t xml:space="preserve"> </w:t>
      </w:r>
      <w:r w:rsidRPr="00936A8D">
        <w:rPr>
          <w:rFonts w:hint="eastAsia"/>
          <w:rtl/>
        </w:rPr>
        <w:t>מינהלית</w:t>
      </w:r>
      <w:r w:rsidRPr="00936A8D">
        <w:rPr>
          <w:rtl/>
        </w:rPr>
        <w:t xml:space="preserve"> </w:t>
      </w:r>
      <w:r w:rsidRPr="00936A8D">
        <w:rPr>
          <w:rFonts w:hint="eastAsia"/>
          <w:rtl/>
        </w:rPr>
        <w:t>על</w:t>
      </w:r>
      <w:r w:rsidRPr="00936A8D">
        <w:rPr>
          <w:rtl/>
        </w:rPr>
        <w:t xml:space="preserve"> </w:t>
      </w:r>
      <w:r w:rsidRPr="00936A8D">
        <w:rPr>
          <w:rFonts w:hint="eastAsia"/>
          <w:rtl/>
        </w:rPr>
        <w:t>פעולות</w:t>
      </w:r>
      <w:r w:rsidRPr="00936A8D">
        <w:rPr>
          <w:rtl/>
        </w:rPr>
        <w:t xml:space="preserve"> </w:t>
      </w:r>
      <w:r w:rsidRPr="00936A8D">
        <w:rPr>
          <w:rFonts w:hint="eastAsia"/>
          <w:rtl/>
        </w:rPr>
        <w:t>הרשות</w:t>
      </w:r>
      <w:r w:rsidRPr="00936A8D">
        <w:rPr>
          <w:rtl/>
        </w:rPr>
        <w:t xml:space="preserve"> </w:t>
      </w:r>
      <w:r w:rsidRPr="00936A8D">
        <w:rPr>
          <w:rFonts w:hint="eastAsia"/>
          <w:rtl/>
        </w:rPr>
        <w:t>המבצעת</w:t>
      </w:r>
      <w:r w:rsidRPr="00936A8D">
        <w:rPr>
          <w:rtl/>
        </w:rPr>
        <w:t xml:space="preserve">. </w:t>
      </w:r>
      <w:r w:rsidRPr="00936A8D">
        <w:rPr>
          <w:rFonts w:hint="eastAsia"/>
          <w:rtl/>
        </w:rPr>
        <w:t>התפתחות</w:t>
      </w:r>
      <w:r w:rsidRPr="00936A8D">
        <w:rPr>
          <w:rtl/>
        </w:rPr>
        <w:t xml:space="preserve"> </w:t>
      </w:r>
      <w:r w:rsidRPr="00936A8D">
        <w:rPr>
          <w:rFonts w:hint="eastAsia"/>
          <w:rtl/>
        </w:rPr>
        <w:t>עילות</w:t>
      </w:r>
      <w:r w:rsidRPr="00936A8D">
        <w:rPr>
          <w:rtl/>
        </w:rPr>
        <w:t xml:space="preserve"> </w:t>
      </w:r>
      <w:r w:rsidRPr="00936A8D">
        <w:rPr>
          <w:rFonts w:hint="eastAsia"/>
          <w:rtl/>
        </w:rPr>
        <w:t>של</w:t>
      </w:r>
      <w:r w:rsidRPr="00936A8D">
        <w:rPr>
          <w:rtl/>
        </w:rPr>
        <w:t xml:space="preserve"> </w:t>
      </w:r>
      <w:r w:rsidRPr="00936A8D">
        <w:rPr>
          <w:rFonts w:hint="eastAsia"/>
          <w:rtl/>
        </w:rPr>
        <w:t>הביקורת</w:t>
      </w:r>
      <w:r w:rsidRPr="00936A8D">
        <w:rPr>
          <w:rtl/>
        </w:rPr>
        <w:t xml:space="preserve"> </w:t>
      </w:r>
      <w:r w:rsidRPr="00936A8D">
        <w:rPr>
          <w:rFonts w:hint="eastAsia"/>
          <w:rtl/>
        </w:rPr>
        <w:t>המינהלית</w:t>
      </w:r>
      <w:r w:rsidRPr="00936A8D">
        <w:rPr>
          <w:rtl/>
        </w:rPr>
        <w:t xml:space="preserve"> </w:t>
      </w:r>
      <w:r w:rsidRPr="00936A8D">
        <w:rPr>
          <w:rFonts w:hint="eastAsia"/>
          <w:rtl/>
        </w:rPr>
        <w:t>נעשתה</w:t>
      </w:r>
      <w:r w:rsidRPr="00936A8D">
        <w:rPr>
          <w:rtl/>
        </w:rPr>
        <w:t xml:space="preserve"> </w:t>
      </w:r>
      <w:r w:rsidRPr="00936A8D">
        <w:rPr>
          <w:rFonts w:hint="eastAsia"/>
          <w:rtl/>
        </w:rPr>
        <w:t>בעיקרה</w:t>
      </w:r>
      <w:r w:rsidRPr="00936A8D">
        <w:rPr>
          <w:rtl/>
        </w:rPr>
        <w:t xml:space="preserve"> </w:t>
      </w:r>
      <w:r w:rsidRPr="00936A8D">
        <w:rPr>
          <w:rFonts w:hint="eastAsia"/>
          <w:rtl/>
        </w:rPr>
        <w:t>בפסיקה</w:t>
      </w:r>
      <w:r w:rsidRPr="00936A8D">
        <w:rPr>
          <w:rtl/>
        </w:rPr>
        <w:t xml:space="preserve">, </w:t>
      </w:r>
      <w:r w:rsidRPr="00936A8D">
        <w:rPr>
          <w:rFonts w:hint="eastAsia"/>
          <w:rtl/>
        </w:rPr>
        <w:t>ובכלל</w:t>
      </w:r>
      <w:r w:rsidRPr="00936A8D">
        <w:rPr>
          <w:rtl/>
        </w:rPr>
        <w:t xml:space="preserve"> </w:t>
      </w:r>
      <w:r w:rsidRPr="00936A8D">
        <w:rPr>
          <w:rFonts w:hint="eastAsia"/>
          <w:rtl/>
        </w:rPr>
        <w:t>זה</w:t>
      </w:r>
      <w:r w:rsidRPr="00936A8D">
        <w:rPr>
          <w:rtl/>
        </w:rPr>
        <w:t xml:space="preserve"> </w:t>
      </w:r>
      <w:r w:rsidRPr="00936A8D">
        <w:rPr>
          <w:rFonts w:hint="eastAsia"/>
          <w:rtl/>
        </w:rPr>
        <w:t>התפתחה</w:t>
      </w:r>
      <w:r w:rsidRPr="00936A8D">
        <w:rPr>
          <w:rtl/>
        </w:rPr>
        <w:t xml:space="preserve"> </w:t>
      </w:r>
      <w:r w:rsidRPr="00936A8D">
        <w:rPr>
          <w:rFonts w:hint="eastAsia"/>
          <w:rtl/>
        </w:rPr>
        <w:t>עילת</w:t>
      </w:r>
      <w:r w:rsidRPr="00936A8D">
        <w:rPr>
          <w:rtl/>
        </w:rPr>
        <w:t xml:space="preserve"> </w:t>
      </w:r>
      <w:r w:rsidRPr="00936A8D">
        <w:rPr>
          <w:rFonts w:hint="eastAsia"/>
          <w:rtl/>
        </w:rPr>
        <w:t>הסבירות</w:t>
      </w:r>
      <w:r w:rsidRPr="00936A8D">
        <w:rPr>
          <w:rtl/>
        </w:rPr>
        <w:t xml:space="preserve">. </w:t>
      </w:r>
      <w:r w:rsidRPr="00936A8D">
        <w:rPr>
          <w:rFonts w:ascii="Century" w:hAnsi="Century" w:cs="Miriam" w:hint="eastAsia"/>
          <w:b/>
          <w:spacing w:val="0"/>
          <w:szCs w:val="24"/>
          <w:rtl/>
        </w:rPr>
        <w:t>כיום</w:t>
      </w:r>
      <w:r w:rsidRPr="00936A8D">
        <w:rPr>
          <w:rFonts w:ascii="Century" w:hAnsi="Century" w:cs="Miriam"/>
          <w:b/>
          <w:spacing w:val="0"/>
          <w:szCs w:val="24"/>
          <w:rtl/>
        </w:rPr>
        <w:t xml:space="preserve"> </w:t>
      </w:r>
      <w:r w:rsidRPr="00936A8D">
        <w:rPr>
          <w:rFonts w:ascii="Century" w:hAnsi="Century" w:cs="Miriam" w:hint="eastAsia"/>
          <w:b/>
          <w:spacing w:val="0"/>
          <w:szCs w:val="24"/>
          <w:rtl/>
        </w:rPr>
        <w:t>עילה</w:t>
      </w:r>
      <w:r w:rsidRPr="00936A8D">
        <w:rPr>
          <w:rFonts w:ascii="Century" w:hAnsi="Century" w:cs="Miriam"/>
          <w:b/>
          <w:spacing w:val="0"/>
          <w:szCs w:val="24"/>
          <w:rtl/>
        </w:rPr>
        <w:t xml:space="preserve"> </w:t>
      </w:r>
      <w:r w:rsidRPr="00936A8D">
        <w:rPr>
          <w:rFonts w:ascii="Century" w:hAnsi="Century" w:cs="Miriam" w:hint="eastAsia"/>
          <w:b/>
          <w:spacing w:val="0"/>
          <w:szCs w:val="24"/>
          <w:rtl/>
        </w:rPr>
        <w:t>זו</w:t>
      </w:r>
      <w:r w:rsidRPr="00936A8D">
        <w:rPr>
          <w:rFonts w:ascii="Century" w:hAnsi="Century" w:cs="Miriam"/>
          <w:b/>
          <w:spacing w:val="0"/>
          <w:szCs w:val="24"/>
          <w:rtl/>
        </w:rPr>
        <w:t xml:space="preserve"> </w:t>
      </w:r>
      <w:r w:rsidRPr="00936A8D">
        <w:rPr>
          <w:rFonts w:ascii="Century" w:hAnsi="Century" w:cs="Miriam" w:hint="eastAsia"/>
          <w:b/>
          <w:spacing w:val="0"/>
          <w:szCs w:val="24"/>
          <w:rtl/>
        </w:rPr>
        <w:t>מאפשרת</w:t>
      </w:r>
      <w:r w:rsidRPr="00936A8D">
        <w:rPr>
          <w:rFonts w:ascii="Century" w:hAnsi="Century" w:cs="Miriam"/>
          <w:b/>
          <w:spacing w:val="0"/>
          <w:szCs w:val="24"/>
          <w:rtl/>
        </w:rPr>
        <w:t xml:space="preserve"> </w:t>
      </w:r>
      <w:r w:rsidRPr="00936A8D">
        <w:rPr>
          <w:rFonts w:ascii="Century" w:hAnsi="Century" w:cs="Miriam" w:hint="eastAsia"/>
          <w:b/>
          <w:spacing w:val="0"/>
          <w:szCs w:val="24"/>
          <w:rtl/>
        </w:rPr>
        <w:t>לבית</w:t>
      </w:r>
      <w:r w:rsidRPr="00936A8D">
        <w:rPr>
          <w:rFonts w:ascii="Century" w:hAnsi="Century" w:cs="Miriam"/>
          <w:b/>
          <w:spacing w:val="0"/>
          <w:szCs w:val="24"/>
          <w:rtl/>
        </w:rPr>
        <w:t xml:space="preserve"> </w:t>
      </w:r>
      <w:r w:rsidRPr="00936A8D">
        <w:rPr>
          <w:rFonts w:ascii="Century" w:hAnsi="Century" w:cs="Miriam" w:hint="eastAsia"/>
          <w:b/>
          <w:spacing w:val="0"/>
          <w:szCs w:val="24"/>
          <w:rtl/>
        </w:rPr>
        <w:t>המשפט</w:t>
      </w:r>
      <w:r w:rsidRPr="00936A8D">
        <w:rPr>
          <w:rFonts w:ascii="Century" w:hAnsi="Century" w:cs="Miriam"/>
          <w:b/>
          <w:spacing w:val="0"/>
          <w:szCs w:val="24"/>
          <w:rtl/>
        </w:rPr>
        <w:t xml:space="preserve"> </w:t>
      </w:r>
      <w:r w:rsidRPr="00936A8D">
        <w:rPr>
          <w:rFonts w:ascii="Century" w:hAnsi="Century" w:cs="Miriam" w:hint="eastAsia"/>
          <w:b/>
          <w:spacing w:val="0"/>
          <w:szCs w:val="24"/>
          <w:rtl/>
        </w:rPr>
        <w:t>לפסול</w:t>
      </w:r>
      <w:r w:rsidRPr="00936A8D">
        <w:rPr>
          <w:rFonts w:ascii="Century" w:hAnsi="Century" w:cs="Miriam"/>
          <w:b/>
          <w:spacing w:val="0"/>
          <w:szCs w:val="24"/>
          <w:rtl/>
        </w:rPr>
        <w:t xml:space="preserve"> </w:t>
      </w:r>
      <w:r w:rsidRPr="00936A8D">
        <w:rPr>
          <w:rFonts w:ascii="Century" w:hAnsi="Century" w:cs="Miriam" w:hint="eastAsia"/>
          <w:b/>
          <w:spacing w:val="0"/>
          <w:szCs w:val="24"/>
          <w:rtl/>
        </w:rPr>
        <w:t>החלטה</w:t>
      </w:r>
      <w:r w:rsidRPr="00936A8D">
        <w:rPr>
          <w:rFonts w:ascii="Century" w:hAnsi="Century" w:cs="Miriam"/>
          <w:b/>
          <w:spacing w:val="0"/>
          <w:szCs w:val="24"/>
          <w:rtl/>
        </w:rPr>
        <w:t xml:space="preserve"> </w:t>
      </w:r>
      <w:r w:rsidRPr="00936A8D">
        <w:rPr>
          <w:rFonts w:ascii="Century" w:hAnsi="Century" w:cs="Miriam" w:hint="eastAsia"/>
          <w:b/>
          <w:spacing w:val="0"/>
          <w:szCs w:val="24"/>
          <w:rtl/>
        </w:rPr>
        <w:t>מינהלית</w:t>
      </w:r>
      <w:r w:rsidRPr="00936A8D">
        <w:rPr>
          <w:rFonts w:ascii="Century" w:hAnsi="Century" w:cs="Miriam"/>
          <w:b/>
          <w:spacing w:val="0"/>
          <w:szCs w:val="24"/>
          <w:rtl/>
        </w:rPr>
        <w:t xml:space="preserve"> </w:t>
      </w:r>
      <w:r w:rsidRPr="00936A8D">
        <w:rPr>
          <w:rFonts w:ascii="Century" w:hAnsi="Century" w:cs="Miriam" w:hint="eastAsia"/>
          <w:b/>
          <w:spacing w:val="0"/>
          <w:szCs w:val="24"/>
          <w:rtl/>
        </w:rPr>
        <w:t>הלוקה</w:t>
      </w:r>
      <w:r w:rsidRPr="00936A8D">
        <w:rPr>
          <w:rFonts w:ascii="Century" w:hAnsi="Century" w:cs="Miriam"/>
          <w:b/>
          <w:spacing w:val="0"/>
          <w:szCs w:val="24"/>
          <w:rtl/>
        </w:rPr>
        <w:t xml:space="preserve"> </w:t>
      </w:r>
      <w:r w:rsidRPr="00936A8D">
        <w:rPr>
          <w:rFonts w:ascii="Century" w:hAnsi="Century" w:cs="Miriam" w:hint="eastAsia"/>
          <w:b/>
          <w:spacing w:val="0"/>
          <w:szCs w:val="24"/>
          <w:rtl/>
        </w:rPr>
        <w:t>בחוסר</w:t>
      </w:r>
      <w:r w:rsidRPr="00936A8D">
        <w:rPr>
          <w:rFonts w:ascii="Century" w:hAnsi="Century" w:cs="Miriam"/>
          <w:b/>
          <w:spacing w:val="0"/>
          <w:szCs w:val="24"/>
          <w:rtl/>
        </w:rPr>
        <w:t xml:space="preserve"> </w:t>
      </w:r>
      <w:r w:rsidRPr="00936A8D">
        <w:rPr>
          <w:rFonts w:ascii="Century" w:hAnsi="Century" w:cs="Miriam" w:hint="eastAsia"/>
          <w:b/>
          <w:spacing w:val="0"/>
          <w:szCs w:val="24"/>
          <w:rtl/>
        </w:rPr>
        <w:t>סבירות</w:t>
      </w:r>
      <w:r w:rsidRPr="00936A8D">
        <w:rPr>
          <w:rFonts w:ascii="Century" w:hAnsi="Century" w:cs="Miriam"/>
          <w:b/>
          <w:spacing w:val="0"/>
          <w:szCs w:val="24"/>
          <w:rtl/>
        </w:rPr>
        <w:t xml:space="preserve"> </w:t>
      </w:r>
      <w:r w:rsidRPr="00936A8D">
        <w:rPr>
          <w:rFonts w:ascii="Century" w:hAnsi="Century" w:cs="Miriam" w:hint="eastAsia"/>
          <w:b/>
          <w:spacing w:val="0"/>
          <w:szCs w:val="24"/>
          <w:rtl/>
        </w:rPr>
        <w:t>במובן</w:t>
      </w:r>
      <w:r w:rsidRPr="00936A8D">
        <w:rPr>
          <w:rFonts w:ascii="Century" w:hAnsi="Century" w:cs="Miriam"/>
          <w:b/>
          <w:spacing w:val="0"/>
          <w:szCs w:val="24"/>
          <w:rtl/>
        </w:rPr>
        <w:t xml:space="preserve"> </w:t>
      </w:r>
      <w:r w:rsidRPr="00936A8D">
        <w:rPr>
          <w:rFonts w:ascii="Century" w:hAnsi="Century" w:cs="Miriam" w:hint="eastAsia"/>
          <w:b/>
          <w:spacing w:val="0"/>
          <w:szCs w:val="24"/>
          <w:rtl/>
        </w:rPr>
        <w:t>זה</w:t>
      </w:r>
      <w:r w:rsidRPr="00936A8D">
        <w:rPr>
          <w:rFonts w:ascii="Century" w:hAnsi="Century" w:cs="Miriam"/>
          <w:b/>
          <w:spacing w:val="0"/>
          <w:szCs w:val="24"/>
          <w:rtl/>
        </w:rPr>
        <w:t xml:space="preserve"> </w:t>
      </w:r>
      <w:r w:rsidRPr="00F240CE">
        <w:rPr>
          <w:rFonts w:ascii="Century" w:hAnsi="Century" w:cs="Miriam" w:hint="eastAsia"/>
          <w:b/>
          <w:spacing w:val="0"/>
          <w:szCs w:val="24"/>
          <w:u w:val="single"/>
          <w:rtl/>
        </w:rPr>
        <w:t>שהיא</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אינה</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נותנת</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משקל</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ראוי</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לאינטרסים</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השונים</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שעל</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הרשות</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המינהלית</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להתחשב</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בהם</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בהחלטתה</w:t>
      </w:r>
      <w:r w:rsidRPr="00F240CE">
        <w:rPr>
          <w:rFonts w:ascii="Century" w:hAnsi="Century" w:cs="Miriam"/>
          <w:b/>
          <w:spacing w:val="0"/>
          <w:szCs w:val="24"/>
          <w:u w:val="single"/>
          <w:rtl/>
        </w:rPr>
        <w:t>' (</w:t>
      </w:r>
      <w:r w:rsidRPr="00F240CE">
        <w:rPr>
          <w:rFonts w:ascii="Century" w:hAnsi="Century" w:cs="Miriam" w:hint="eastAsia"/>
          <w:b/>
          <w:spacing w:val="0"/>
          <w:szCs w:val="24"/>
          <w:u w:val="single"/>
          <w:rtl/>
        </w:rPr>
        <w:t>בג</w:t>
      </w:r>
      <w:r w:rsidRPr="00F240CE">
        <w:rPr>
          <w:rFonts w:ascii="Century" w:hAnsi="Century" w:cs="Miriam"/>
          <w:b/>
          <w:spacing w:val="0"/>
          <w:szCs w:val="24"/>
          <w:u w:val="single"/>
          <w:rtl/>
        </w:rPr>
        <w:t>"</w:t>
      </w:r>
      <w:r w:rsidRPr="00F240CE">
        <w:rPr>
          <w:rFonts w:ascii="Century" w:hAnsi="Century" w:cs="Miriam" w:hint="eastAsia"/>
          <w:b/>
          <w:spacing w:val="0"/>
          <w:szCs w:val="24"/>
          <w:u w:val="single"/>
          <w:rtl/>
        </w:rPr>
        <w:t>ץ</w:t>
      </w:r>
      <w:r w:rsidRPr="00F240CE">
        <w:rPr>
          <w:rFonts w:ascii="Century" w:hAnsi="Century" w:cs="Miriam"/>
          <w:b/>
          <w:spacing w:val="0"/>
          <w:szCs w:val="24"/>
          <w:u w:val="single"/>
          <w:rtl/>
        </w:rPr>
        <w:t xml:space="preserve"> 389/80 </w:t>
      </w:r>
      <w:r w:rsidRPr="00F240CE">
        <w:rPr>
          <w:rFonts w:ascii="Century" w:hAnsi="Century" w:cs="Miriam" w:hint="eastAsia"/>
          <w:b/>
          <w:spacing w:val="0"/>
          <w:szCs w:val="24"/>
          <w:u w:val="single"/>
          <w:rtl/>
        </w:rPr>
        <w:t>דפי</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זהב</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בע</w:t>
      </w:r>
      <w:r w:rsidRPr="00F240CE">
        <w:rPr>
          <w:rFonts w:ascii="Century" w:hAnsi="Century" w:cs="Miriam"/>
          <w:b/>
          <w:spacing w:val="0"/>
          <w:szCs w:val="24"/>
          <w:u w:val="single"/>
          <w:rtl/>
        </w:rPr>
        <w:t>"</w:t>
      </w:r>
      <w:r w:rsidRPr="00F240CE">
        <w:rPr>
          <w:rFonts w:ascii="Century" w:hAnsi="Century" w:cs="Miriam" w:hint="eastAsia"/>
          <w:b/>
          <w:spacing w:val="0"/>
          <w:szCs w:val="24"/>
          <w:u w:val="single"/>
          <w:rtl/>
        </w:rPr>
        <w:t>מ</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נ</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רשות</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השידור</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פ</w:t>
      </w:r>
      <w:r w:rsidRPr="00F240CE">
        <w:rPr>
          <w:rFonts w:ascii="Century" w:hAnsi="Century" w:cs="Miriam"/>
          <w:b/>
          <w:spacing w:val="0"/>
          <w:szCs w:val="24"/>
          <w:u w:val="single"/>
          <w:rtl/>
        </w:rPr>
        <w:t>"</w:t>
      </w:r>
      <w:r w:rsidRPr="00F240CE">
        <w:rPr>
          <w:rFonts w:ascii="Century" w:hAnsi="Century" w:cs="Miriam" w:hint="eastAsia"/>
          <w:b/>
          <w:spacing w:val="0"/>
          <w:szCs w:val="24"/>
          <w:u w:val="single"/>
          <w:rtl/>
        </w:rPr>
        <w:t>ד</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לה</w:t>
      </w:r>
      <w:r w:rsidRPr="00F240CE">
        <w:rPr>
          <w:rFonts w:ascii="Century" w:hAnsi="Century" w:cs="Miriam"/>
          <w:b/>
          <w:spacing w:val="0"/>
          <w:szCs w:val="24"/>
          <w:u w:val="single"/>
          <w:rtl/>
        </w:rPr>
        <w:t>(1) ,421 437 (1980))</w:t>
      </w:r>
      <w:r w:rsidRPr="00F240CE">
        <w:rPr>
          <w:u w:val="single"/>
          <w:rtl/>
        </w:rPr>
        <w:t>,</w:t>
      </w:r>
      <w:r w:rsidRPr="00936A8D">
        <w:rPr>
          <w:rtl/>
        </w:rPr>
        <w:t xml:space="preserve"> </w:t>
      </w:r>
      <w:r w:rsidRPr="00936A8D">
        <w:rPr>
          <w:rFonts w:hint="eastAsia"/>
          <w:rtl/>
        </w:rPr>
        <w:t>וזאת</w:t>
      </w:r>
      <w:r w:rsidRPr="00936A8D">
        <w:rPr>
          <w:rtl/>
        </w:rPr>
        <w:t xml:space="preserve"> </w:t>
      </w:r>
      <w:r w:rsidRPr="00936A8D">
        <w:rPr>
          <w:rFonts w:hint="eastAsia"/>
          <w:rtl/>
        </w:rPr>
        <w:t>כשמדובר</w:t>
      </w:r>
      <w:r w:rsidRPr="00936A8D">
        <w:rPr>
          <w:rtl/>
        </w:rPr>
        <w:t xml:space="preserve"> </w:t>
      </w:r>
      <w:r w:rsidRPr="00936A8D">
        <w:rPr>
          <w:rFonts w:hint="eastAsia"/>
          <w:rtl/>
        </w:rPr>
        <w:t>ב</w:t>
      </w:r>
      <w:r w:rsidRPr="00936A8D">
        <w:rPr>
          <w:rtl/>
        </w:rPr>
        <w:t>'</w:t>
      </w:r>
      <w:r w:rsidRPr="00936A8D">
        <w:rPr>
          <w:rFonts w:hint="eastAsia"/>
          <w:rtl/>
        </w:rPr>
        <w:t>חוסר</w:t>
      </w:r>
      <w:r w:rsidRPr="00936A8D">
        <w:rPr>
          <w:rtl/>
        </w:rPr>
        <w:t xml:space="preserve"> </w:t>
      </w:r>
      <w:r w:rsidRPr="00936A8D">
        <w:rPr>
          <w:rFonts w:hint="eastAsia"/>
          <w:rtl/>
        </w:rPr>
        <w:t>סבירות</w:t>
      </w:r>
      <w:r w:rsidRPr="00936A8D">
        <w:rPr>
          <w:rtl/>
        </w:rPr>
        <w:t xml:space="preserve"> </w:t>
      </w:r>
      <w:r w:rsidRPr="00936A8D">
        <w:rPr>
          <w:rFonts w:hint="eastAsia"/>
          <w:rtl/>
        </w:rPr>
        <w:t>מהותי</w:t>
      </w:r>
      <w:r w:rsidRPr="00936A8D">
        <w:rPr>
          <w:rtl/>
        </w:rPr>
        <w:t xml:space="preserve"> </w:t>
      </w:r>
      <w:r w:rsidRPr="00936A8D">
        <w:rPr>
          <w:rFonts w:hint="eastAsia"/>
          <w:rtl/>
        </w:rPr>
        <w:t>או</w:t>
      </w:r>
      <w:r w:rsidRPr="00936A8D">
        <w:rPr>
          <w:rtl/>
        </w:rPr>
        <w:t xml:space="preserve"> </w:t>
      </w:r>
      <w:r w:rsidRPr="00936A8D">
        <w:rPr>
          <w:rFonts w:hint="eastAsia"/>
          <w:rtl/>
        </w:rPr>
        <w:t>קיצוני</w:t>
      </w:r>
      <w:r w:rsidRPr="00936A8D">
        <w:rPr>
          <w:rtl/>
        </w:rPr>
        <w:t>' (</w:t>
      </w:r>
      <w:r w:rsidRPr="00936A8D">
        <w:rPr>
          <w:rFonts w:hint="eastAsia"/>
          <w:rtl/>
        </w:rPr>
        <w:t>שם</w:t>
      </w:r>
      <w:r w:rsidRPr="00936A8D">
        <w:rPr>
          <w:rtl/>
        </w:rPr>
        <w:t xml:space="preserve">, </w:t>
      </w:r>
      <w:r w:rsidRPr="00936A8D">
        <w:rPr>
          <w:rFonts w:hint="eastAsia"/>
          <w:rtl/>
        </w:rPr>
        <w:t>שם</w:t>
      </w:r>
      <w:r w:rsidRPr="00936A8D">
        <w:rPr>
          <w:rtl/>
        </w:rPr>
        <w:t xml:space="preserve">). </w:t>
      </w:r>
    </w:p>
    <w:p w:rsidR="0047626A" w:rsidRPr="00936A8D" w:rsidRDefault="0047626A" w:rsidP="0047626A">
      <w:pPr>
        <w:pStyle w:val="Ruller5"/>
        <w:rPr>
          <w:rtl/>
        </w:rPr>
      </w:pPr>
    </w:p>
    <w:p w:rsidR="0047626A" w:rsidRPr="00936A8D" w:rsidRDefault="0047626A" w:rsidP="0047626A">
      <w:pPr>
        <w:pStyle w:val="Ruller5"/>
        <w:rPr>
          <w:rtl/>
        </w:rPr>
      </w:pPr>
      <w:r w:rsidRPr="00F240CE">
        <w:rPr>
          <w:rFonts w:ascii="Century" w:hAnsi="Century" w:cs="Miriam" w:hint="eastAsia"/>
          <w:b/>
          <w:spacing w:val="0"/>
          <w:szCs w:val="24"/>
          <w:rtl/>
        </w:rPr>
        <w:t>על</w:t>
      </w:r>
      <w:r w:rsidRPr="00F240CE">
        <w:rPr>
          <w:rFonts w:ascii="Century" w:hAnsi="Century" w:cs="Miriam"/>
          <w:b/>
          <w:spacing w:val="0"/>
          <w:szCs w:val="24"/>
          <w:rtl/>
        </w:rPr>
        <w:t xml:space="preserve"> </w:t>
      </w:r>
      <w:r w:rsidRPr="00F240CE">
        <w:rPr>
          <w:rFonts w:ascii="Century" w:hAnsi="Century" w:cs="Miriam" w:hint="eastAsia"/>
          <w:b/>
          <w:spacing w:val="0"/>
          <w:szCs w:val="24"/>
          <w:rtl/>
        </w:rPr>
        <w:t>השימוש</w:t>
      </w:r>
      <w:r w:rsidRPr="00F240CE">
        <w:rPr>
          <w:rFonts w:ascii="Century" w:hAnsi="Century" w:cs="Miriam"/>
          <w:b/>
          <w:spacing w:val="0"/>
          <w:szCs w:val="24"/>
          <w:rtl/>
        </w:rPr>
        <w:t xml:space="preserve"> </w:t>
      </w:r>
      <w:r w:rsidRPr="00F240CE">
        <w:rPr>
          <w:rFonts w:ascii="Century" w:hAnsi="Century" w:cs="Miriam" w:hint="eastAsia"/>
          <w:b/>
          <w:spacing w:val="0"/>
          <w:szCs w:val="24"/>
          <w:rtl/>
        </w:rPr>
        <w:t>בעילת</w:t>
      </w:r>
      <w:r w:rsidRPr="00F240CE">
        <w:rPr>
          <w:rFonts w:ascii="Century" w:hAnsi="Century" w:cs="Miriam"/>
          <w:b/>
          <w:spacing w:val="0"/>
          <w:szCs w:val="24"/>
          <w:rtl/>
        </w:rPr>
        <w:t xml:space="preserve"> </w:t>
      </w:r>
      <w:r w:rsidRPr="00F240CE">
        <w:rPr>
          <w:rFonts w:ascii="Century" w:hAnsi="Century" w:cs="Miriam" w:hint="eastAsia"/>
          <w:b/>
          <w:spacing w:val="0"/>
          <w:szCs w:val="24"/>
          <w:rtl/>
        </w:rPr>
        <w:t>הסבירות</w:t>
      </w:r>
      <w:r w:rsidRPr="00F240CE">
        <w:rPr>
          <w:rFonts w:ascii="Century" w:hAnsi="Century" w:cs="Miriam"/>
          <w:b/>
          <w:spacing w:val="0"/>
          <w:szCs w:val="24"/>
          <w:rtl/>
        </w:rPr>
        <w:t xml:space="preserve"> </w:t>
      </w:r>
      <w:r w:rsidRPr="00F240CE">
        <w:rPr>
          <w:rFonts w:ascii="Century" w:hAnsi="Century" w:cs="Miriam" w:hint="eastAsia"/>
          <w:b/>
          <w:spacing w:val="0"/>
          <w:szCs w:val="24"/>
          <w:u w:val="single"/>
          <w:rtl/>
        </w:rPr>
        <w:t>במובנה</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זה</w:t>
      </w:r>
      <w:r w:rsidRPr="00936A8D">
        <w:rPr>
          <w:rtl/>
        </w:rPr>
        <w:t xml:space="preserve">, </w:t>
      </w:r>
      <w:r w:rsidRPr="00936A8D">
        <w:rPr>
          <w:rFonts w:hint="eastAsia"/>
          <w:rtl/>
        </w:rPr>
        <w:t>ובפרט</w:t>
      </w:r>
      <w:r w:rsidRPr="00936A8D">
        <w:rPr>
          <w:rtl/>
        </w:rPr>
        <w:t xml:space="preserve"> </w:t>
      </w:r>
      <w:r w:rsidRPr="00936A8D">
        <w:rPr>
          <w:rFonts w:hint="eastAsia"/>
          <w:rtl/>
        </w:rPr>
        <w:t>על</w:t>
      </w:r>
      <w:r w:rsidRPr="00936A8D">
        <w:rPr>
          <w:rtl/>
        </w:rPr>
        <w:t xml:space="preserve"> </w:t>
      </w:r>
      <w:r w:rsidRPr="00936A8D">
        <w:rPr>
          <w:rFonts w:hint="eastAsia"/>
          <w:rtl/>
        </w:rPr>
        <w:t>החלת</w:t>
      </w:r>
      <w:r w:rsidRPr="00936A8D">
        <w:rPr>
          <w:rtl/>
        </w:rPr>
        <w:t xml:space="preserve"> </w:t>
      </w:r>
      <w:r w:rsidRPr="00936A8D">
        <w:rPr>
          <w:rFonts w:hint="eastAsia"/>
          <w:rtl/>
        </w:rPr>
        <w:t>עילת</w:t>
      </w:r>
      <w:r w:rsidRPr="00936A8D">
        <w:rPr>
          <w:rtl/>
        </w:rPr>
        <w:t xml:space="preserve"> </w:t>
      </w:r>
      <w:r w:rsidRPr="00936A8D">
        <w:rPr>
          <w:rFonts w:hint="eastAsia"/>
          <w:rtl/>
        </w:rPr>
        <w:t>הסבירות</w:t>
      </w:r>
      <w:r w:rsidRPr="00936A8D">
        <w:rPr>
          <w:rtl/>
        </w:rPr>
        <w:t xml:space="preserve"> </w:t>
      </w:r>
      <w:r w:rsidRPr="00936A8D">
        <w:rPr>
          <w:rFonts w:hint="eastAsia"/>
          <w:rtl/>
        </w:rPr>
        <w:t>בנוגע</w:t>
      </w:r>
      <w:r w:rsidRPr="00936A8D">
        <w:rPr>
          <w:rtl/>
        </w:rPr>
        <w:t xml:space="preserve"> </w:t>
      </w:r>
      <w:r w:rsidRPr="00936A8D">
        <w:rPr>
          <w:rFonts w:hint="eastAsia"/>
          <w:rtl/>
        </w:rPr>
        <w:t>להחלטות</w:t>
      </w:r>
      <w:r w:rsidRPr="00936A8D">
        <w:rPr>
          <w:rtl/>
        </w:rPr>
        <w:t xml:space="preserve"> </w:t>
      </w:r>
      <w:r w:rsidRPr="00936A8D">
        <w:rPr>
          <w:rFonts w:hint="eastAsia"/>
          <w:rtl/>
        </w:rPr>
        <w:t>של</w:t>
      </w:r>
      <w:r w:rsidRPr="00936A8D">
        <w:rPr>
          <w:rtl/>
        </w:rPr>
        <w:t xml:space="preserve"> </w:t>
      </w:r>
      <w:r w:rsidRPr="00936A8D">
        <w:rPr>
          <w:rFonts w:hint="eastAsia"/>
          <w:rtl/>
        </w:rPr>
        <w:t>הדרג</w:t>
      </w:r>
      <w:r w:rsidRPr="00936A8D">
        <w:rPr>
          <w:rtl/>
        </w:rPr>
        <w:t xml:space="preserve"> </w:t>
      </w:r>
      <w:r w:rsidRPr="00936A8D">
        <w:rPr>
          <w:rFonts w:hint="eastAsia"/>
          <w:rtl/>
        </w:rPr>
        <w:t>הנבחר</w:t>
      </w:r>
      <w:r w:rsidRPr="00936A8D">
        <w:rPr>
          <w:rtl/>
        </w:rPr>
        <w:t xml:space="preserve">, </w:t>
      </w:r>
      <w:r w:rsidRPr="00936A8D">
        <w:rPr>
          <w:rFonts w:hint="eastAsia"/>
          <w:rtl/>
        </w:rPr>
        <w:t>נטען</w:t>
      </w:r>
      <w:r w:rsidRPr="00936A8D">
        <w:rPr>
          <w:rtl/>
        </w:rPr>
        <w:t xml:space="preserve"> </w:t>
      </w:r>
      <w:r w:rsidRPr="00936A8D">
        <w:rPr>
          <w:rFonts w:hint="eastAsia"/>
          <w:rtl/>
        </w:rPr>
        <w:t>בין</w:t>
      </w:r>
      <w:r w:rsidRPr="00936A8D">
        <w:rPr>
          <w:rtl/>
        </w:rPr>
        <w:t xml:space="preserve"> </w:t>
      </w:r>
      <w:r w:rsidRPr="00936A8D">
        <w:rPr>
          <w:rFonts w:hint="eastAsia"/>
          <w:rtl/>
        </w:rPr>
        <w:t>היתר</w:t>
      </w:r>
      <w:r w:rsidRPr="00936A8D">
        <w:rPr>
          <w:rtl/>
        </w:rPr>
        <w:t xml:space="preserve"> </w:t>
      </w:r>
      <w:r w:rsidRPr="00936A8D">
        <w:rPr>
          <w:rFonts w:hint="eastAsia"/>
          <w:rtl/>
        </w:rPr>
        <w:t>כי</w:t>
      </w:r>
      <w:r w:rsidRPr="00936A8D">
        <w:rPr>
          <w:rtl/>
        </w:rPr>
        <w:t xml:space="preserve"> </w:t>
      </w:r>
      <w:r w:rsidRPr="00F240CE">
        <w:rPr>
          <w:rFonts w:ascii="Century" w:hAnsi="Century" w:cs="Miriam" w:hint="eastAsia"/>
          <w:b/>
          <w:spacing w:val="0"/>
          <w:szCs w:val="24"/>
          <w:u w:val="single"/>
          <w:rtl/>
        </w:rPr>
        <w:t>קביעת</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האיזון</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הערכי</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בין</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השיקולים</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השונים</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הנוגעים</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להחלטה</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מינהלית</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צריכה</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להיות</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נתונה</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לנבחרי</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הציבור</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ולא</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לבית</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המשפט</w:t>
      </w:r>
      <w:r w:rsidRPr="00936A8D">
        <w:rPr>
          <w:rtl/>
        </w:rPr>
        <w:t xml:space="preserve">. </w:t>
      </w:r>
      <w:r w:rsidRPr="00936A8D">
        <w:rPr>
          <w:rFonts w:hint="eastAsia"/>
          <w:rtl/>
        </w:rPr>
        <w:t>לפיכך</w:t>
      </w:r>
      <w:r w:rsidRPr="00936A8D">
        <w:rPr>
          <w:rtl/>
        </w:rPr>
        <w:t xml:space="preserve"> </w:t>
      </w:r>
      <w:r w:rsidRPr="00936A8D">
        <w:rPr>
          <w:rFonts w:hint="eastAsia"/>
          <w:rtl/>
        </w:rPr>
        <w:t>מוצע</w:t>
      </w:r>
      <w:r w:rsidRPr="00936A8D">
        <w:rPr>
          <w:rtl/>
        </w:rPr>
        <w:t xml:space="preserve"> </w:t>
      </w:r>
      <w:r w:rsidRPr="00936A8D">
        <w:rPr>
          <w:rFonts w:hint="eastAsia"/>
          <w:rtl/>
        </w:rPr>
        <w:t>לקבוע</w:t>
      </w:r>
      <w:r w:rsidRPr="00936A8D">
        <w:rPr>
          <w:rtl/>
        </w:rPr>
        <w:t xml:space="preserve"> </w:t>
      </w:r>
      <w:r w:rsidRPr="00936A8D">
        <w:rPr>
          <w:rFonts w:hint="eastAsia"/>
          <w:rtl/>
        </w:rPr>
        <w:t>בחוק</w:t>
      </w:r>
      <w:r w:rsidRPr="00936A8D">
        <w:rPr>
          <w:rtl/>
        </w:rPr>
        <w:t>-</w:t>
      </w:r>
      <w:r w:rsidRPr="00936A8D">
        <w:rPr>
          <w:rFonts w:hint="eastAsia"/>
          <w:rtl/>
        </w:rPr>
        <w:t>יסוד</w:t>
      </w:r>
      <w:r w:rsidRPr="00936A8D">
        <w:rPr>
          <w:rtl/>
        </w:rPr>
        <w:t xml:space="preserve">: </w:t>
      </w:r>
      <w:r w:rsidRPr="00936A8D">
        <w:rPr>
          <w:rFonts w:hint="eastAsia"/>
          <w:rtl/>
        </w:rPr>
        <w:t>השפיטה</w:t>
      </w:r>
      <w:r w:rsidRPr="00936A8D">
        <w:rPr>
          <w:rtl/>
        </w:rPr>
        <w:t xml:space="preserve"> </w:t>
      </w:r>
      <w:r w:rsidRPr="00936A8D">
        <w:rPr>
          <w:rFonts w:hint="eastAsia"/>
          <w:rtl/>
        </w:rPr>
        <w:t>כי</w:t>
      </w:r>
      <w:r w:rsidRPr="00936A8D">
        <w:rPr>
          <w:rtl/>
        </w:rPr>
        <w:t xml:space="preserve"> </w:t>
      </w:r>
      <w:r w:rsidRPr="00936A8D">
        <w:rPr>
          <w:rFonts w:hint="eastAsia"/>
          <w:rtl/>
        </w:rPr>
        <w:t>רשות</w:t>
      </w:r>
      <w:r w:rsidRPr="00936A8D">
        <w:rPr>
          <w:rtl/>
        </w:rPr>
        <w:t xml:space="preserve"> </w:t>
      </w:r>
      <w:r w:rsidRPr="00936A8D">
        <w:rPr>
          <w:rFonts w:hint="eastAsia"/>
          <w:rtl/>
        </w:rPr>
        <w:t>שיפוטית</w:t>
      </w:r>
      <w:r w:rsidRPr="00936A8D">
        <w:rPr>
          <w:rtl/>
        </w:rPr>
        <w:t xml:space="preserve"> </w:t>
      </w:r>
      <w:r w:rsidRPr="00936A8D">
        <w:rPr>
          <w:rFonts w:hint="eastAsia"/>
          <w:rtl/>
        </w:rPr>
        <w:t>לא</w:t>
      </w:r>
      <w:r w:rsidRPr="00936A8D">
        <w:rPr>
          <w:rtl/>
        </w:rPr>
        <w:t xml:space="preserve"> </w:t>
      </w:r>
      <w:r w:rsidRPr="00936A8D">
        <w:rPr>
          <w:rFonts w:hint="eastAsia"/>
          <w:rtl/>
        </w:rPr>
        <w:t>תוכל</w:t>
      </w:r>
      <w:r w:rsidRPr="00936A8D">
        <w:rPr>
          <w:rtl/>
        </w:rPr>
        <w:t xml:space="preserve"> </w:t>
      </w:r>
      <w:r w:rsidRPr="00936A8D">
        <w:rPr>
          <w:rFonts w:hint="eastAsia"/>
          <w:rtl/>
        </w:rPr>
        <w:t>לדון</w:t>
      </w:r>
      <w:r w:rsidRPr="00936A8D">
        <w:rPr>
          <w:rtl/>
        </w:rPr>
        <w:t xml:space="preserve"> </w:t>
      </w:r>
      <w:r w:rsidRPr="00936A8D">
        <w:rPr>
          <w:rFonts w:hint="eastAsia"/>
          <w:rtl/>
        </w:rPr>
        <w:t>בעניין</w:t>
      </w:r>
      <w:r w:rsidRPr="00936A8D">
        <w:rPr>
          <w:rtl/>
        </w:rPr>
        <w:t xml:space="preserve"> </w:t>
      </w:r>
      <w:r w:rsidRPr="00936A8D">
        <w:rPr>
          <w:rFonts w:hint="eastAsia"/>
          <w:rtl/>
        </w:rPr>
        <w:t>סבירות</w:t>
      </w:r>
      <w:r w:rsidRPr="00936A8D">
        <w:rPr>
          <w:rtl/>
        </w:rPr>
        <w:t xml:space="preserve"> </w:t>
      </w:r>
      <w:r w:rsidRPr="00936A8D">
        <w:rPr>
          <w:rFonts w:hint="eastAsia"/>
          <w:rtl/>
        </w:rPr>
        <w:t>ההחלטה</w:t>
      </w:r>
      <w:r w:rsidRPr="00936A8D">
        <w:rPr>
          <w:rtl/>
        </w:rPr>
        <w:t xml:space="preserve"> </w:t>
      </w:r>
      <w:r w:rsidRPr="00936A8D">
        <w:rPr>
          <w:rFonts w:hint="eastAsia"/>
          <w:rtl/>
        </w:rPr>
        <w:t>של</w:t>
      </w:r>
      <w:r w:rsidRPr="00936A8D">
        <w:rPr>
          <w:rtl/>
        </w:rPr>
        <w:t xml:space="preserve"> </w:t>
      </w:r>
      <w:r w:rsidRPr="00936A8D">
        <w:rPr>
          <w:rFonts w:hint="eastAsia"/>
          <w:rtl/>
        </w:rPr>
        <w:t>הממשלה</w:t>
      </w:r>
      <w:r w:rsidRPr="00936A8D">
        <w:rPr>
          <w:rtl/>
        </w:rPr>
        <w:t xml:space="preserve"> </w:t>
      </w:r>
      <w:r w:rsidRPr="00936A8D">
        <w:rPr>
          <w:rFonts w:hint="eastAsia"/>
          <w:rtl/>
        </w:rPr>
        <w:t>במליאתה</w:t>
      </w:r>
      <w:r w:rsidRPr="00936A8D">
        <w:rPr>
          <w:rtl/>
        </w:rPr>
        <w:t xml:space="preserve">, </w:t>
      </w:r>
      <w:r w:rsidRPr="00936A8D">
        <w:rPr>
          <w:rFonts w:hint="eastAsia"/>
          <w:rtl/>
        </w:rPr>
        <w:t>של</w:t>
      </w:r>
      <w:r w:rsidRPr="00936A8D">
        <w:rPr>
          <w:rtl/>
        </w:rPr>
        <w:t xml:space="preserve"> </w:t>
      </w:r>
      <w:r w:rsidRPr="00936A8D">
        <w:rPr>
          <w:rFonts w:hint="eastAsia"/>
          <w:rtl/>
        </w:rPr>
        <w:t>ראש</w:t>
      </w:r>
      <w:r w:rsidRPr="00936A8D">
        <w:rPr>
          <w:rtl/>
        </w:rPr>
        <w:t xml:space="preserve"> </w:t>
      </w:r>
      <w:r w:rsidRPr="00936A8D">
        <w:rPr>
          <w:rFonts w:hint="eastAsia"/>
          <w:rtl/>
        </w:rPr>
        <w:t>הממשלה</w:t>
      </w:r>
      <w:r w:rsidRPr="00936A8D">
        <w:rPr>
          <w:rtl/>
        </w:rPr>
        <w:t xml:space="preserve"> </w:t>
      </w:r>
      <w:r w:rsidRPr="00936A8D">
        <w:rPr>
          <w:rFonts w:hint="eastAsia"/>
          <w:rtl/>
        </w:rPr>
        <w:t>או</w:t>
      </w:r>
      <w:r w:rsidRPr="00936A8D">
        <w:rPr>
          <w:rtl/>
        </w:rPr>
        <w:t xml:space="preserve"> </w:t>
      </w:r>
      <w:r w:rsidRPr="00936A8D">
        <w:rPr>
          <w:rFonts w:hint="eastAsia"/>
          <w:rtl/>
        </w:rPr>
        <w:t>של</w:t>
      </w:r>
      <w:r w:rsidRPr="00936A8D">
        <w:rPr>
          <w:rtl/>
        </w:rPr>
        <w:t xml:space="preserve"> </w:t>
      </w:r>
      <w:r w:rsidRPr="00936A8D">
        <w:rPr>
          <w:rFonts w:hint="eastAsia"/>
          <w:rtl/>
        </w:rPr>
        <w:t>שר</w:t>
      </w:r>
      <w:r w:rsidRPr="00936A8D">
        <w:rPr>
          <w:rtl/>
        </w:rPr>
        <w:t xml:space="preserve"> </w:t>
      </w:r>
      <w:r w:rsidRPr="00936A8D">
        <w:rPr>
          <w:rFonts w:hint="eastAsia"/>
          <w:rtl/>
        </w:rPr>
        <w:t>אחר</w:t>
      </w:r>
      <w:r w:rsidRPr="00936A8D">
        <w:rPr>
          <w:rtl/>
        </w:rPr>
        <w:t xml:space="preserve"> </w:t>
      </w:r>
      <w:r w:rsidRPr="00936A8D">
        <w:rPr>
          <w:rFonts w:hint="eastAsia"/>
          <w:rtl/>
        </w:rPr>
        <w:t>וכן</w:t>
      </w:r>
      <w:r w:rsidRPr="00936A8D">
        <w:rPr>
          <w:rtl/>
        </w:rPr>
        <w:t xml:space="preserve"> </w:t>
      </w:r>
      <w:r w:rsidRPr="00936A8D">
        <w:rPr>
          <w:rFonts w:hint="eastAsia"/>
          <w:rtl/>
        </w:rPr>
        <w:t>של</w:t>
      </w:r>
      <w:r w:rsidRPr="00936A8D">
        <w:rPr>
          <w:rtl/>
        </w:rPr>
        <w:t xml:space="preserve"> </w:t>
      </w:r>
      <w:r w:rsidRPr="00936A8D">
        <w:rPr>
          <w:rFonts w:hint="eastAsia"/>
          <w:rtl/>
        </w:rPr>
        <w:t>נבחר</w:t>
      </w:r>
      <w:r w:rsidRPr="00936A8D">
        <w:rPr>
          <w:rtl/>
        </w:rPr>
        <w:t xml:space="preserve"> </w:t>
      </w:r>
      <w:r w:rsidRPr="00936A8D">
        <w:rPr>
          <w:rFonts w:hint="eastAsia"/>
          <w:rtl/>
        </w:rPr>
        <w:t>ציבור</w:t>
      </w:r>
      <w:r w:rsidRPr="00936A8D">
        <w:rPr>
          <w:rtl/>
        </w:rPr>
        <w:t xml:space="preserve"> </w:t>
      </w:r>
      <w:r w:rsidRPr="00936A8D">
        <w:rPr>
          <w:rFonts w:hint="eastAsia"/>
          <w:rtl/>
        </w:rPr>
        <w:t>אחר</w:t>
      </w:r>
      <w:r w:rsidRPr="00936A8D">
        <w:rPr>
          <w:rtl/>
        </w:rPr>
        <w:t xml:space="preserve"> </w:t>
      </w:r>
      <w:r w:rsidRPr="00936A8D">
        <w:rPr>
          <w:rFonts w:hint="eastAsia"/>
          <w:rtl/>
        </w:rPr>
        <w:t>כפי</w:t>
      </w:r>
      <w:r w:rsidRPr="00936A8D">
        <w:rPr>
          <w:rtl/>
        </w:rPr>
        <w:t xml:space="preserve"> </w:t>
      </w:r>
      <w:r w:rsidRPr="00936A8D">
        <w:rPr>
          <w:rFonts w:hint="eastAsia"/>
          <w:rtl/>
        </w:rPr>
        <w:t>שייקבע</w:t>
      </w:r>
      <w:r w:rsidRPr="00936A8D">
        <w:rPr>
          <w:rtl/>
        </w:rPr>
        <w:t xml:space="preserve"> </w:t>
      </w:r>
      <w:r w:rsidRPr="00936A8D">
        <w:rPr>
          <w:rFonts w:hint="eastAsia"/>
          <w:rtl/>
        </w:rPr>
        <w:t>בחוק</w:t>
      </w:r>
      <w:r w:rsidRPr="00936A8D">
        <w:rPr>
          <w:rtl/>
        </w:rPr>
        <w:t xml:space="preserve">, </w:t>
      </w:r>
      <w:r w:rsidRPr="00936A8D">
        <w:rPr>
          <w:rFonts w:hint="eastAsia"/>
          <w:rtl/>
        </w:rPr>
        <w:t>או</w:t>
      </w:r>
      <w:r w:rsidRPr="00936A8D">
        <w:rPr>
          <w:rtl/>
        </w:rPr>
        <w:t xml:space="preserve"> </w:t>
      </w:r>
      <w:r w:rsidRPr="00936A8D">
        <w:rPr>
          <w:rFonts w:hint="eastAsia"/>
          <w:rtl/>
        </w:rPr>
        <w:t>להוציא</w:t>
      </w:r>
      <w:r w:rsidRPr="00936A8D">
        <w:rPr>
          <w:rtl/>
        </w:rPr>
        <w:t xml:space="preserve"> </w:t>
      </w:r>
      <w:r w:rsidRPr="00936A8D">
        <w:rPr>
          <w:rFonts w:hint="eastAsia"/>
          <w:rtl/>
        </w:rPr>
        <w:t>צו</w:t>
      </w:r>
      <w:r w:rsidRPr="00936A8D">
        <w:rPr>
          <w:rtl/>
        </w:rPr>
        <w:t xml:space="preserve"> </w:t>
      </w:r>
      <w:r w:rsidRPr="00936A8D">
        <w:rPr>
          <w:rFonts w:hint="eastAsia"/>
          <w:rtl/>
        </w:rPr>
        <w:t>כלפי</w:t>
      </w:r>
      <w:r w:rsidRPr="00936A8D">
        <w:rPr>
          <w:rtl/>
        </w:rPr>
        <w:t xml:space="preserve"> </w:t>
      </w:r>
      <w:r w:rsidRPr="00936A8D">
        <w:rPr>
          <w:rFonts w:hint="eastAsia"/>
          <w:rtl/>
        </w:rPr>
        <w:t>דרג</w:t>
      </w:r>
      <w:r w:rsidRPr="00936A8D">
        <w:rPr>
          <w:rtl/>
        </w:rPr>
        <w:t xml:space="preserve"> </w:t>
      </w:r>
      <w:r w:rsidRPr="00936A8D">
        <w:rPr>
          <w:rFonts w:hint="eastAsia"/>
          <w:rtl/>
        </w:rPr>
        <w:t>נבחר</w:t>
      </w:r>
      <w:r w:rsidRPr="00936A8D">
        <w:rPr>
          <w:rtl/>
        </w:rPr>
        <w:t xml:space="preserve"> </w:t>
      </w:r>
      <w:r w:rsidRPr="00936A8D">
        <w:rPr>
          <w:rFonts w:hint="eastAsia"/>
          <w:rtl/>
        </w:rPr>
        <w:t>בעניין</w:t>
      </w:r>
      <w:r w:rsidRPr="00936A8D">
        <w:rPr>
          <w:rtl/>
        </w:rPr>
        <w:t xml:space="preserve"> </w:t>
      </w:r>
      <w:r w:rsidRPr="00936A8D">
        <w:rPr>
          <w:rFonts w:hint="eastAsia"/>
          <w:rtl/>
        </w:rPr>
        <w:t>סבירות</w:t>
      </w:r>
      <w:r w:rsidRPr="00936A8D">
        <w:rPr>
          <w:rtl/>
        </w:rPr>
        <w:t xml:space="preserve"> </w:t>
      </w:r>
      <w:r w:rsidRPr="00936A8D">
        <w:rPr>
          <w:rFonts w:hint="eastAsia"/>
          <w:rtl/>
        </w:rPr>
        <w:t>החלטתו</w:t>
      </w:r>
      <w:r w:rsidRPr="00936A8D">
        <w:rPr>
          <w:rtl/>
        </w:rPr>
        <w:t xml:space="preserve">. </w:t>
      </w:r>
    </w:p>
    <w:p w:rsidR="0047626A" w:rsidRPr="00936A8D" w:rsidRDefault="0047626A" w:rsidP="0047626A">
      <w:pPr>
        <w:pStyle w:val="Ruller5"/>
        <w:rPr>
          <w:rtl/>
        </w:rPr>
      </w:pPr>
    </w:p>
    <w:p w:rsidR="0047626A" w:rsidRPr="00936A8D" w:rsidRDefault="0047626A" w:rsidP="0047626A">
      <w:pPr>
        <w:pStyle w:val="Ruller5"/>
        <w:rPr>
          <w:rtl/>
        </w:rPr>
      </w:pPr>
      <w:r w:rsidRPr="00936A8D">
        <w:rPr>
          <w:rFonts w:ascii="Century" w:hAnsi="Century" w:cs="Miriam" w:hint="eastAsia"/>
          <w:b/>
          <w:spacing w:val="0"/>
          <w:szCs w:val="24"/>
          <w:u w:val="single"/>
          <w:rtl/>
        </w:rPr>
        <w:t>יצוין</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כי</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אין</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באמור</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כדי</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להגביל</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את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סמכותו</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של</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בית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המשפט</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לדון</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או</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להוציא</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צו</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בשל</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עילות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אחרות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של</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ביקורת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מינהלית</w:t>
      </w:r>
      <w:r w:rsidRPr="00936A8D">
        <w:rPr>
          <w:rtl/>
        </w:rPr>
        <w:t xml:space="preserve"> [...]" (ראו: </w:t>
      </w:r>
      <w:r w:rsidRPr="008E0586">
        <w:rPr>
          <w:rFonts w:ascii="Century" w:hAnsi="Century" w:cs="Miriam"/>
          <w:b/>
          <w:spacing w:val="0"/>
          <w:szCs w:val="24"/>
          <w:rtl/>
        </w:rPr>
        <w:t>שם</w:t>
      </w:r>
      <w:r w:rsidRPr="00936A8D">
        <w:rPr>
          <w:rtl/>
        </w:rPr>
        <w:t xml:space="preserve">; </w:t>
      </w:r>
      <w:r w:rsidRPr="00936A8D">
        <w:rPr>
          <w:rFonts w:hint="eastAsia"/>
          <w:rtl/>
        </w:rPr>
        <w:t>ההדגשות</w:t>
      </w:r>
      <w:r w:rsidRPr="00936A8D">
        <w:rPr>
          <w:rtl/>
        </w:rPr>
        <w:t xml:space="preserve"> </w:t>
      </w:r>
      <w:r w:rsidRPr="00936A8D">
        <w:rPr>
          <w:rFonts w:hint="eastAsia"/>
          <w:rtl/>
        </w:rPr>
        <w:t>הוספו</w:t>
      </w:r>
      <w:r w:rsidRPr="00936A8D">
        <w:rPr>
          <w:rtl/>
        </w:rPr>
        <w:t xml:space="preserve"> – א.ש.).</w:t>
      </w:r>
    </w:p>
    <w:p w:rsidR="0047626A" w:rsidRPr="00936A8D" w:rsidRDefault="0047626A" w:rsidP="0047626A">
      <w:pPr>
        <w:pStyle w:val="Ruller41"/>
        <w:rPr>
          <w:rtl/>
        </w:rPr>
      </w:pPr>
    </w:p>
    <w:p w:rsidR="0047626A" w:rsidRDefault="0047626A" w:rsidP="0047626A">
      <w:pPr>
        <w:pStyle w:val="Ruller4"/>
      </w:pPr>
      <w:r w:rsidRPr="00803DDF">
        <w:rPr>
          <w:rFonts w:hint="eastAsia"/>
          <w:rtl/>
        </w:rPr>
        <w:t>עינינו</w:t>
      </w:r>
      <w:r w:rsidRPr="00803DDF">
        <w:rPr>
          <w:rtl/>
        </w:rPr>
        <w:t xml:space="preserve"> הרואות כי בדברי ההסבר של </w:t>
      </w:r>
      <w:r w:rsidRPr="00F240CE">
        <w:rPr>
          <w:rFonts w:hint="eastAsia"/>
          <w:rtl/>
        </w:rPr>
        <w:t>ההוראה</w:t>
      </w:r>
      <w:r w:rsidRPr="00F240CE">
        <w:rPr>
          <w:rtl/>
        </w:rPr>
        <w:t xml:space="preserve"> </w:t>
      </w:r>
      <w:r w:rsidRPr="00F240CE">
        <w:rPr>
          <w:rFonts w:hint="eastAsia"/>
          <w:rtl/>
        </w:rPr>
        <w:t>נושא</w:t>
      </w:r>
      <w:r w:rsidRPr="00F240CE">
        <w:rPr>
          <w:rtl/>
        </w:rPr>
        <w:t xml:space="preserve"> </w:t>
      </w:r>
      <w:r w:rsidRPr="00F240CE">
        <w:rPr>
          <w:rFonts w:hint="eastAsia"/>
          <w:rtl/>
        </w:rPr>
        <w:t>דיוננו</w:t>
      </w:r>
      <w:r w:rsidRPr="00F240CE">
        <w:rPr>
          <w:rtl/>
        </w:rPr>
        <w:t xml:space="preserve">, בציינו את המושג "עילת הסבירות", המחוקק ביקש להתייחס למובנה הרחב של עילת הסבירות – קרי: לנוסחת </w:t>
      </w:r>
      <w:r w:rsidRPr="00F240CE">
        <w:rPr>
          <w:rFonts w:ascii="Century" w:hAnsi="Century" w:cs="Miriam" w:hint="eastAsia"/>
          <w:b/>
          <w:spacing w:val="0"/>
          <w:sz w:val="22"/>
          <w:szCs w:val="24"/>
          <w:rtl/>
        </w:rPr>
        <w:t>דפי</w:t>
      </w:r>
      <w:r w:rsidRPr="00F240CE">
        <w:rPr>
          <w:rFonts w:ascii="Century" w:hAnsi="Century" w:cs="Miriam"/>
          <w:b/>
          <w:spacing w:val="0"/>
          <w:sz w:val="22"/>
          <w:szCs w:val="24"/>
          <w:rtl/>
        </w:rPr>
        <w:t xml:space="preserve"> זהב </w:t>
      </w:r>
      <w:r w:rsidRPr="00936A8D">
        <w:rPr>
          <w:rtl/>
        </w:rPr>
        <w:t>–</w:t>
      </w:r>
      <w:r w:rsidRPr="00936A8D">
        <w:rPr>
          <w:rFonts w:hint="cs"/>
          <w:rtl/>
        </w:rPr>
        <w:t xml:space="preserve"> ולמובן </w:t>
      </w:r>
      <w:r w:rsidRPr="00803DDF">
        <w:rPr>
          <w:rFonts w:hint="eastAsia"/>
          <w:rtl/>
        </w:rPr>
        <w:t>זה</w:t>
      </w:r>
      <w:r w:rsidRPr="00803DDF">
        <w:rPr>
          <w:rtl/>
        </w:rPr>
        <w:t xml:space="preserve"> בלבד. לא בכדי נקט המחוקק בצמד המילים "במובנה זה" בהדגישו כי עסקינן בעילת הסבירות </w:t>
      </w:r>
      <w:r w:rsidRPr="00F240CE">
        <w:rPr>
          <w:rFonts w:hint="eastAsia"/>
          <w:rtl/>
        </w:rPr>
        <w:t>כפי</w:t>
      </w:r>
      <w:r w:rsidRPr="00F240CE">
        <w:rPr>
          <w:rtl/>
        </w:rPr>
        <w:t xml:space="preserve"> </w:t>
      </w:r>
      <w:r w:rsidRPr="00F240CE">
        <w:rPr>
          <w:rFonts w:hint="eastAsia"/>
          <w:rtl/>
        </w:rPr>
        <w:t>שזו</w:t>
      </w:r>
      <w:r w:rsidRPr="00F240CE">
        <w:rPr>
          <w:rtl/>
        </w:rPr>
        <w:t xml:space="preserve"> </w:t>
      </w:r>
      <w:r w:rsidRPr="00F240CE">
        <w:rPr>
          <w:rFonts w:hint="eastAsia"/>
          <w:rtl/>
        </w:rPr>
        <w:t>נקבעה</w:t>
      </w:r>
      <w:r w:rsidRPr="00F240CE">
        <w:rPr>
          <w:rtl/>
        </w:rPr>
        <w:t xml:space="preserve"> ב</w:t>
      </w:r>
      <w:r w:rsidRPr="00F240CE">
        <w:rPr>
          <w:rFonts w:hint="eastAsia"/>
          <w:rtl/>
        </w:rPr>
        <w:t>הלכת</w:t>
      </w:r>
      <w:r w:rsidRPr="00F240CE">
        <w:rPr>
          <w:rtl/>
        </w:rPr>
        <w:t xml:space="preserve"> </w:t>
      </w:r>
      <w:r w:rsidRPr="00F240CE">
        <w:rPr>
          <w:rFonts w:ascii="Century" w:hAnsi="Century" w:cs="Miriam" w:hint="eastAsia"/>
          <w:b/>
          <w:spacing w:val="0"/>
          <w:sz w:val="22"/>
          <w:szCs w:val="24"/>
          <w:rtl/>
        </w:rPr>
        <w:t>דפי</w:t>
      </w:r>
      <w:r w:rsidRPr="00F240CE">
        <w:rPr>
          <w:rFonts w:ascii="Century" w:hAnsi="Century" w:cs="Miriam"/>
          <w:b/>
          <w:spacing w:val="0"/>
          <w:sz w:val="22"/>
          <w:szCs w:val="24"/>
          <w:rtl/>
        </w:rPr>
        <w:t xml:space="preserve"> </w:t>
      </w:r>
      <w:r w:rsidRPr="00F240CE">
        <w:rPr>
          <w:rFonts w:ascii="Century" w:hAnsi="Century" w:cs="Miriam" w:hint="eastAsia"/>
          <w:b/>
          <w:spacing w:val="0"/>
          <w:sz w:val="22"/>
          <w:szCs w:val="24"/>
          <w:rtl/>
        </w:rPr>
        <w:t>זהב</w:t>
      </w:r>
      <w:r w:rsidRPr="00936A8D">
        <w:rPr>
          <w:rFonts w:hint="cs"/>
          <w:rtl/>
        </w:rPr>
        <w:t>. כידוע,</w:t>
      </w:r>
      <w:r w:rsidRPr="00803DDF">
        <w:rPr>
          <w:rtl/>
        </w:rPr>
        <w:t xml:space="preserve"> </w:t>
      </w:r>
      <w:r w:rsidRPr="00F240CE">
        <w:rPr>
          <w:rFonts w:hint="eastAsia"/>
          <w:rtl/>
        </w:rPr>
        <w:t>חזקה</w:t>
      </w:r>
      <w:r w:rsidRPr="00F240CE">
        <w:rPr>
          <w:rtl/>
        </w:rPr>
        <w:t xml:space="preserve"> </w:t>
      </w:r>
      <w:r w:rsidRPr="00F240CE">
        <w:rPr>
          <w:rFonts w:hint="eastAsia"/>
          <w:rtl/>
        </w:rPr>
        <w:t>היא</w:t>
      </w:r>
      <w:r w:rsidRPr="00F240CE">
        <w:rPr>
          <w:rtl/>
        </w:rPr>
        <w:t xml:space="preserve"> </w:t>
      </w:r>
      <w:r w:rsidRPr="00F240CE">
        <w:rPr>
          <w:rFonts w:hint="eastAsia"/>
          <w:rtl/>
        </w:rPr>
        <w:t>כי</w:t>
      </w:r>
      <w:r w:rsidRPr="00F240CE">
        <w:rPr>
          <w:rtl/>
        </w:rPr>
        <w:t xml:space="preserve"> המחוקק אינו משחית את מילותיו לריק. </w:t>
      </w:r>
      <w:r w:rsidRPr="00F240CE">
        <w:rPr>
          <w:rFonts w:hint="eastAsia"/>
          <w:rtl/>
        </w:rPr>
        <w:t>אשר</w:t>
      </w:r>
      <w:r w:rsidRPr="00F240CE">
        <w:rPr>
          <w:rtl/>
        </w:rPr>
        <w:t xml:space="preserve"> על כן, </w:t>
      </w:r>
      <w:r w:rsidRPr="00F240CE">
        <w:rPr>
          <w:rFonts w:hint="eastAsia"/>
          <w:rtl/>
        </w:rPr>
        <w:t>כל</w:t>
      </w:r>
      <w:r w:rsidRPr="00F240CE">
        <w:rPr>
          <w:rtl/>
        </w:rPr>
        <w:t xml:space="preserve"> פרשנות אחרת למילות החוק </w:t>
      </w:r>
      <w:r w:rsidRPr="00F240CE">
        <w:rPr>
          <w:rtl/>
        </w:rPr>
        <w:lastRenderedPageBreak/>
        <w:t xml:space="preserve">– ובכלל </w:t>
      </w:r>
      <w:r w:rsidRPr="00F240CE">
        <w:rPr>
          <w:rFonts w:hint="eastAsia"/>
          <w:rtl/>
        </w:rPr>
        <w:t>זאת</w:t>
      </w:r>
      <w:r w:rsidRPr="00F240CE">
        <w:rPr>
          <w:rtl/>
        </w:rPr>
        <w:t xml:space="preserve"> </w:t>
      </w:r>
      <w:r w:rsidRPr="00F240CE">
        <w:rPr>
          <w:rFonts w:hint="eastAsia"/>
          <w:rtl/>
        </w:rPr>
        <w:t>פרשנות</w:t>
      </w:r>
      <w:r w:rsidRPr="00F240CE">
        <w:rPr>
          <w:rtl/>
        </w:rPr>
        <w:t xml:space="preserve"> אשר מבטלת את עילת הסבירות </w:t>
      </w:r>
      <w:r w:rsidRPr="00F240CE">
        <w:rPr>
          <w:rFonts w:ascii="Century" w:hAnsi="Century" w:cs="Miriam" w:hint="eastAsia"/>
          <w:b/>
          <w:spacing w:val="0"/>
          <w:sz w:val="22"/>
          <w:szCs w:val="24"/>
          <w:rtl/>
        </w:rPr>
        <w:t>במובנה</w:t>
      </w:r>
      <w:r w:rsidRPr="00F240CE">
        <w:rPr>
          <w:rFonts w:ascii="Century" w:hAnsi="Century" w:cs="Miriam"/>
          <w:b/>
          <w:spacing w:val="0"/>
          <w:sz w:val="22"/>
          <w:szCs w:val="24"/>
          <w:rtl/>
        </w:rPr>
        <w:t xml:space="preserve"> הראייתי </w:t>
      </w:r>
      <w:r w:rsidRPr="00936A8D">
        <w:rPr>
          <w:rtl/>
        </w:rPr>
        <w:t>–</w:t>
      </w:r>
      <w:r w:rsidRPr="00936A8D">
        <w:rPr>
          <w:rFonts w:hint="cs"/>
          <w:rtl/>
        </w:rPr>
        <w:t xml:space="preserve"> אינה עולה בקנה אח</w:t>
      </w:r>
      <w:r w:rsidRPr="00803DDF">
        <w:rPr>
          <w:rFonts w:hint="eastAsia"/>
          <w:rtl/>
        </w:rPr>
        <w:t>ד</w:t>
      </w:r>
      <w:r w:rsidRPr="00F240CE">
        <w:rPr>
          <w:rtl/>
        </w:rPr>
        <w:t xml:space="preserve"> עם </w:t>
      </w:r>
      <w:r w:rsidRPr="00F240CE">
        <w:rPr>
          <w:rFonts w:hint="eastAsia"/>
          <w:rtl/>
        </w:rPr>
        <w:t>דברי</w:t>
      </w:r>
      <w:r w:rsidRPr="00F240CE">
        <w:rPr>
          <w:rtl/>
        </w:rPr>
        <w:t xml:space="preserve"> </w:t>
      </w:r>
      <w:r w:rsidRPr="00F240CE">
        <w:rPr>
          <w:rFonts w:hint="eastAsia"/>
          <w:rtl/>
        </w:rPr>
        <w:t>ההסבר</w:t>
      </w:r>
      <w:r w:rsidRPr="00F240CE">
        <w:rPr>
          <w:rtl/>
        </w:rPr>
        <w:t xml:space="preserve"> להוראה נושא דיוננו ואינה מקובלת עליי.</w:t>
      </w:r>
      <w:r>
        <w:rPr>
          <w:rFonts w:hint="cs"/>
          <w:rtl/>
        </w:rPr>
        <w:t xml:space="preserve"> </w:t>
      </w:r>
    </w:p>
    <w:p w:rsidR="0047626A" w:rsidRDefault="0047626A" w:rsidP="0047626A">
      <w:pPr>
        <w:pStyle w:val="Ruller4"/>
        <w:numPr>
          <w:ilvl w:val="0"/>
          <w:numId w:val="0"/>
        </w:numPr>
      </w:pPr>
    </w:p>
    <w:p w:rsidR="0047626A" w:rsidRDefault="0047626A" w:rsidP="0047626A">
      <w:pPr>
        <w:pStyle w:val="Ruller4"/>
      </w:pPr>
      <w:r w:rsidRPr="00EB0AC0">
        <w:rPr>
          <w:rFonts w:ascii="Century" w:hAnsi="Century" w:cs="Miriam" w:hint="cs"/>
          <w:b/>
          <w:spacing w:val="0"/>
          <w:sz w:val="22"/>
          <w:szCs w:val="24"/>
          <w:rtl/>
        </w:rPr>
        <w:t>חברי הכנסת שהצביעו בעד כינונה של ההוראה נושא דיוננו העמידו לנגד עיניהם את הנוסח שנחקק ואת דברי ההס</w:t>
      </w:r>
      <w:r>
        <w:rPr>
          <w:rFonts w:ascii="Century" w:hAnsi="Century" w:cs="Miriam" w:hint="cs"/>
          <w:b/>
          <w:spacing w:val="0"/>
          <w:sz w:val="22"/>
          <w:szCs w:val="24"/>
          <w:rtl/>
        </w:rPr>
        <w:t>ב</w:t>
      </w:r>
      <w:r w:rsidRPr="00EB0AC0">
        <w:rPr>
          <w:rFonts w:ascii="Century" w:hAnsi="Century" w:cs="Miriam" w:hint="cs"/>
          <w:b/>
          <w:spacing w:val="0"/>
          <w:sz w:val="22"/>
          <w:szCs w:val="24"/>
          <w:rtl/>
        </w:rPr>
        <w:t>ר שליוו נוסח זה</w:t>
      </w:r>
      <w:r>
        <w:rPr>
          <w:rFonts w:hint="cs"/>
          <w:rtl/>
        </w:rPr>
        <w:t xml:space="preserve">. הנוסח שנחקק ודברי ההסבר שליוו אותו מאמתים את מסקנתי הפרשנית ושוללים את עמדת העותרים ואת עמדתו של חה"כ רוטמן. </w:t>
      </w:r>
    </w:p>
    <w:p w:rsidR="0047626A" w:rsidRDefault="0047626A" w:rsidP="0047626A">
      <w:pPr>
        <w:pStyle w:val="Ruller4"/>
        <w:numPr>
          <w:ilvl w:val="0"/>
          <w:numId w:val="0"/>
        </w:numPr>
      </w:pPr>
    </w:p>
    <w:p w:rsidR="0047626A" w:rsidRPr="0072306F" w:rsidRDefault="0047626A" w:rsidP="00535C11">
      <w:pPr>
        <w:pStyle w:val="Ruller4"/>
        <w:rPr>
          <w:rFonts w:ascii="Century" w:hAnsi="Century"/>
          <w:sz w:val="22"/>
        </w:rPr>
      </w:pPr>
      <w:r>
        <w:rPr>
          <w:rFonts w:hint="cs"/>
          <w:rtl/>
        </w:rPr>
        <w:t xml:space="preserve">בנקודה זו, אבקש לחלוק על עמדתה של חברתי הנשיאה אשר מאמצת את פרשנות העותרים לנוכח עמדתו של חה"כ רוטמן ועמדתם של היועצים המשפטיים שליוו את תהליך חקיקתה של ההוראה נושא דיוננו. הנשיאה סבורה כי עמדות אלה משקפות את התכלית הסובייקטיבית של ההוראה, ועם זאת, במלוא הכבוד, לא אוכל להסכים. תכליתה הסובייקטיבית של ההוראה נושא דיוננו נגזרת משני אלה: האמור בהצעת תיקון </w:t>
      </w:r>
      <w:r w:rsidRPr="00916602">
        <w:rPr>
          <w:rFonts w:hint="eastAsia"/>
          <w:rtl/>
        </w:rPr>
        <w:t>מס</w:t>
      </w:r>
      <w:r w:rsidRPr="00916602">
        <w:rPr>
          <w:rtl/>
        </w:rPr>
        <w:t>' 3</w:t>
      </w:r>
      <w:r>
        <w:rPr>
          <w:rFonts w:hint="cs"/>
          <w:rtl/>
        </w:rPr>
        <w:t xml:space="preserve"> לחוק יסוד: השפיטה </w:t>
      </w:r>
      <w:r>
        <w:rPr>
          <w:rtl/>
        </w:rPr>
        <w:t>–</w:t>
      </w:r>
      <w:r>
        <w:rPr>
          <w:rFonts w:hint="cs"/>
          <w:rtl/>
        </w:rPr>
        <w:t xml:space="preserve"> הצעה שבעדה הצביעו חברי הכנסת שתמכו בה; ודברי ההסבר לאותה הצעה, אשר ציינו במפורש את כוונת מנסחיה לבטל את הלכת </w:t>
      </w:r>
      <w:r w:rsidRPr="00544780">
        <w:rPr>
          <w:rFonts w:ascii="Century" w:hAnsi="Century" w:cs="Miriam" w:hint="cs"/>
          <w:b/>
          <w:spacing w:val="0"/>
          <w:sz w:val="22"/>
          <w:szCs w:val="24"/>
          <w:rtl/>
        </w:rPr>
        <w:t>דפי זהב</w:t>
      </w:r>
      <w:r>
        <w:rPr>
          <w:rFonts w:hint="cs"/>
          <w:rtl/>
        </w:rPr>
        <w:t xml:space="preserve"> בהקשרן של החלטות ממשלה, ראשה ושריה </w:t>
      </w:r>
      <w:r>
        <w:rPr>
          <w:rtl/>
        </w:rPr>
        <w:t>–</w:t>
      </w:r>
      <w:r>
        <w:rPr>
          <w:rFonts w:hint="cs"/>
          <w:rtl/>
        </w:rPr>
        <w:t xml:space="preserve"> הא ותו לא. כוונת המחוקק </w:t>
      </w:r>
      <w:r>
        <w:rPr>
          <w:rtl/>
        </w:rPr>
        <w:t>–</w:t>
      </w:r>
      <w:r>
        <w:rPr>
          <w:rFonts w:hint="cs"/>
          <w:rtl/>
        </w:rPr>
        <w:t xml:space="preserve"> זאת אשר קובעת את תכליתו הסובייקטיבית של חוק כזה או אחר </w:t>
      </w:r>
      <w:r>
        <w:rPr>
          <w:rtl/>
        </w:rPr>
        <w:t>–</w:t>
      </w:r>
      <w:r>
        <w:rPr>
          <w:rFonts w:hint="cs"/>
          <w:rtl/>
        </w:rPr>
        <w:t xml:space="preserve"> אינה מצויה אלא בהחלטתם של חברי הכנסת להצביע בעד חקיקת החוק לאור האמור בהצעת החוק ובדברי ההסבר אשר מלווים אותה (כמוסבר על ידי</w:t>
      </w:r>
      <w:r>
        <w:rPr>
          <w:rFonts w:ascii="Century" w:hAnsi="Century" w:hint="cs"/>
          <w:sz w:val="22"/>
          <w:rtl/>
        </w:rPr>
        <w:t xml:space="preserve"> חברתי, השופטת </w:t>
      </w:r>
      <w:r w:rsidRPr="0072306F">
        <w:rPr>
          <w:rFonts w:ascii="Century" w:hAnsi="Century" w:cs="Miriam" w:hint="cs"/>
          <w:b/>
          <w:spacing w:val="0"/>
          <w:sz w:val="22"/>
          <w:szCs w:val="24"/>
          <w:rtl/>
        </w:rPr>
        <w:t>וילנר</w:t>
      </w:r>
      <w:r>
        <w:rPr>
          <w:rFonts w:ascii="Century" w:hAnsi="Century" w:hint="cs"/>
          <w:sz w:val="22"/>
          <w:rtl/>
        </w:rPr>
        <w:t xml:space="preserve">, בפסקאות </w:t>
      </w:r>
      <w:r w:rsidR="00535C11">
        <w:rPr>
          <w:rFonts w:ascii="Century" w:hAnsi="Century" w:hint="cs"/>
          <w:sz w:val="22"/>
          <w:rtl/>
        </w:rPr>
        <w:t>50</w:t>
      </w:r>
      <w:r>
        <w:rPr>
          <w:rFonts w:ascii="Century" w:hAnsi="Century" w:hint="cs"/>
          <w:sz w:val="22"/>
          <w:rtl/>
        </w:rPr>
        <w:t xml:space="preserve"> ו-61 לפסק דינה; כמו כן </w:t>
      </w:r>
      <w:r>
        <w:rPr>
          <w:rFonts w:hint="cs"/>
          <w:rtl/>
        </w:rPr>
        <w:t>ראו, מִני רבים:</w:t>
      </w:r>
      <w:r w:rsidRPr="0072306F">
        <w:rPr>
          <w:rFonts w:asciiTheme="majorBidi" w:hAnsiTheme="majorBidi" w:cstheme="majorBidi" w:hint="cs"/>
          <w:i/>
          <w:iCs/>
          <w:rtl/>
        </w:rPr>
        <w:t xml:space="preserve"> </w:t>
      </w:r>
      <w:r w:rsidRPr="0072306F">
        <w:rPr>
          <w:rFonts w:asciiTheme="majorBidi" w:hAnsiTheme="majorBidi" w:cstheme="majorBidi"/>
          <w:i/>
          <w:iCs/>
        </w:rPr>
        <w:t>Probabilism in Interpretation</w:t>
      </w:r>
      <w:r w:rsidRPr="0072306F">
        <w:rPr>
          <w:rFonts w:ascii="Century" w:hAnsi="Century" w:hint="cs"/>
          <w:sz w:val="22"/>
          <w:rtl/>
        </w:rPr>
        <w:t>, בעמ' 1400).</w:t>
      </w:r>
    </w:p>
    <w:p w:rsidR="0047626A" w:rsidRDefault="0047626A" w:rsidP="0047626A">
      <w:pPr>
        <w:pStyle w:val="Ruller4"/>
        <w:numPr>
          <w:ilvl w:val="0"/>
          <w:numId w:val="0"/>
        </w:numPr>
      </w:pPr>
    </w:p>
    <w:p w:rsidR="0047626A" w:rsidRPr="00F240CE" w:rsidRDefault="0047626A" w:rsidP="0047626A">
      <w:pPr>
        <w:pStyle w:val="Ruller4"/>
        <w:rPr>
          <w:rtl/>
        </w:rPr>
      </w:pPr>
      <w:r>
        <w:rPr>
          <w:rFonts w:hint="cs"/>
          <w:rtl/>
        </w:rPr>
        <w:t xml:space="preserve">ההוראה נושא דיוננו לא עשתה אפוא אלא זאת: היא ביטלה את הלכת </w:t>
      </w:r>
      <w:r w:rsidRPr="00616B39">
        <w:rPr>
          <w:rFonts w:ascii="Century" w:hAnsi="Century" w:cs="Miriam" w:hint="cs"/>
          <w:b/>
          <w:spacing w:val="0"/>
          <w:sz w:val="22"/>
          <w:szCs w:val="24"/>
          <w:rtl/>
        </w:rPr>
        <w:t>דפי זהב</w:t>
      </w:r>
      <w:r>
        <w:rPr>
          <w:rFonts w:hint="cs"/>
          <w:rtl/>
        </w:rPr>
        <w:t xml:space="preserve"> בהקשרן של החלטות הממשלה, ראשה ושריה, תוך שהיא מחזירה אותנו, כאמור, אל דוקטרינת הסבירות הישנה כהגדרתה בדין האנגלי. בהקשרו של הדין האנגלי, אציין כי אינני מסכים עם דברי חברתי הנשיאה אשר מייחסים לדין זה הרחבה של דוקטרינת הסבירות שתואמת את נוסחת </w:t>
      </w:r>
      <w:r w:rsidRPr="004D7432">
        <w:rPr>
          <w:rFonts w:ascii="Century" w:hAnsi="Century" w:cs="Miriam" w:hint="cs"/>
          <w:b/>
          <w:spacing w:val="0"/>
          <w:sz w:val="22"/>
          <w:szCs w:val="24"/>
          <w:rtl/>
        </w:rPr>
        <w:t>דפי זהב</w:t>
      </w:r>
      <w:r>
        <w:rPr>
          <w:rFonts w:hint="cs"/>
          <w:rtl/>
        </w:rPr>
        <w:t>. ההלכות האנגליות נסקרו על ידי לעיל, והן מדברות בעד עצמן.</w:t>
      </w:r>
    </w:p>
    <w:p w:rsidR="0047626A" w:rsidRPr="00936A8D" w:rsidRDefault="0047626A" w:rsidP="0047626A">
      <w:pPr>
        <w:pStyle w:val="Ruller41"/>
      </w:pPr>
    </w:p>
    <w:p w:rsidR="0047626A" w:rsidRPr="00F240CE" w:rsidRDefault="0047626A" w:rsidP="0047626A">
      <w:pPr>
        <w:pStyle w:val="Ruller4"/>
        <w:rPr>
          <w:rtl/>
        </w:rPr>
      </w:pPr>
      <w:r>
        <w:rPr>
          <w:rFonts w:hint="cs"/>
          <w:rtl/>
        </w:rPr>
        <w:t>כאמור</w:t>
      </w:r>
      <w:r>
        <w:rPr>
          <w:rtl/>
        </w:rPr>
        <w:t xml:space="preserve">, אין כל ספק </w:t>
      </w:r>
      <w:r w:rsidRPr="00803DDF">
        <w:rPr>
          <w:rtl/>
        </w:rPr>
        <w:t xml:space="preserve">בכך </w:t>
      </w:r>
      <w:r w:rsidRPr="00F240CE">
        <w:rPr>
          <w:rFonts w:hint="eastAsia"/>
          <w:rtl/>
        </w:rPr>
        <w:t>שההוראה</w:t>
      </w:r>
      <w:r w:rsidRPr="00F240CE">
        <w:rPr>
          <w:rtl/>
        </w:rPr>
        <w:t xml:space="preserve"> נושא דיוננו לא באה לבטל אלא </w:t>
      </w:r>
      <w:r>
        <w:rPr>
          <w:rFonts w:hint="cs"/>
          <w:rtl/>
        </w:rPr>
        <w:t xml:space="preserve">אך ורק </w:t>
      </w:r>
      <w:r w:rsidRPr="00F240CE">
        <w:rPr>
          <w:rtl/>
        </w:rPr>
        <w:t xml:space="preserve">את נוסחת </w:t>
      </w:r>
      <w:r w:rsidRPr="00F240CE">
        <w:rPr>
          <w:rFonts w:ascii="Century" w:hAnsi="Century" w:cs="Miriam" w:hint="eastAsia"/>
          <w:b/>
          <w:spacing w:val="0"/>
          <w:sz w:val="22"/>
          <w:szCs w:val="24"/>
          <w:rtl/>
        </w:rPr>
        <w:t>דפי</w:t>
      </w:r>
      <w:r w:rsidRPr="00F240CE">
        <w:rPr>
          <w:rFonts w:ascii="Century" w:hAnsi="Century" w:cs="Miriam"/>
          <w:b/>
          <w:spacing w:val="0"/>
          <w:sz w:val="22"/>
          <w:szCs w:val="24"/>
          <w:rtl/>
        </w:rPr>
        <w:t xml:space="preserve"> </w:t>
      </w:r>
      <w:r w:rsidRPr="00F240CE">
        <w:rPr>
          <w:rFonts w:ascii="Century" w:hAnsi="Century" w:cs="Miriam" w:hint="eastAsia"/>
          <w:b/>
          <w:spacing w:val="0"/>
          <w:sz w:val="22"/>
          <w:szCs w:val="24"/>
          <w:rtl/>
        </w:rPr>
        <w:t>זהב</w:t>
      </w:r>
      <w:r w:rsidRPr="00936A8D">
        <w:rPr>
          <w:rFonts w:ascii="Century" w:hAnsi="Century"/>
          <w:sz w:val="22"/>
          <w:rtl/>
        </w:rPr>
        <w:t>,</w:t>
      </w:r>
      <w:r w:rsidRPr="00936A8D">
        <w:rPr>
          <w:rFonts w:hint="cs"/>
          <w:rtl/>
        </w:rPr>
        <w:t xml:space="preserve"> ועל כן אינה נפגמת בשום פגם חוקתי. </w:t>
      </w:r>
      <w:r w:rsidRPr="00803DDF">
        <w:rPr>
          <w:rFonts w:hint="eastAsia"/>
          <w:rtl/>
        </w:rPr>
        <w:t>למען</w:t>
      </w:r>
      <w:r w:rsidRPr="00F240CE">
        <w:rPr>
          <w:rtl/>
        </w:rPr>
        <w:t xml:space="preserve"> הזהירות, אוסיף כי אילו סברתי ש</w:t>
      </w:r>
      <w:r>
        <w:rPr>
          <w:rFonts w:hint="cs"/>
          <w:rtl/>
        </w:rPr>
        <w:t xml:space="preserve">ניתן לפרש </w:t>
      </w:r>
      <w:r w:rsidRPr="00F240CE">
        <w:rPr>
          <w:rtl/>
        </w:rPr>
        <w:t xml:space="preserve">הוראה זו כחסימה </w:t>
      </w:r>
      <w:r>
        <w:rPr>
          <w:rFonts w:hint="cs"/>
          <w:rtl/>
        </w:rPr>
        <w:t xml:space="preserve">כללית אשר </w:t>
      </w:r>
      <w:r w:rsidRPr="00F240CE">
        <w:rPr>
          <w:rtl/>
        </w:rPr>
        <w:t>מונעת מבתי המשפט כל היזקקות לשאלת הסבירות, לרבות</w:t>
      </w:r>
      <w:r>
        <w:rPr>
          <w:rtl/>
        </w:rPr>
        <w:t xml:space="preserve"> היזקקות לסבירות במובן הראייתי</w:t>
      </w:r>
      <w:r>
        <w:rPr>
          <w:rFonts w:hint="cs"/>
          <w:rtl/>
        </w:rPr>
        <w:t xml:space="preserve"> </w:t>
      </w:r>
      <w:r>
        <w:rPr>
          <w:rtl/>
        </w:rPr>
        <w:t>–</w:t>
      </w:r>
      <w:r>
        <w:rPr>
          <w:rFonts w:hint="cs"/>
          <w:rtl/>
        </w:rPr>
        <w:t xml:space="preserve"> כפי שטוענים העותרים </w:t>
      </w:r>
      <w:r>
        <w:rPr>
          <w:rtl/>
        </w:rPr>
        <w:t>–</w:t>
      </w:r>
      <w:r>
        <w:rPr>
          <w:rFonts w:hint="cs"/>
          <w:rtl/>
        </w:rPr>
        <w:t xml:space="preserve"> </w:t>
      </w:r>
      <w:r w:rsidRPr="00F240CE">
        <w:rPr>
          <w:rFonts w:hint="eastAsia"/>
          <w:rtl/>
        </w:rPr>
        <w:t>גם</w:t>
      </w:r>
      <w:r w:rsidRPr="00F240CE">
        <w:rPr>
          <w:rtl/>
        </w:rPr>
        <w:t xml:space="preserve"> אז </w:t>
      </w:r>
      <w:r w:rsidRPr="00F240CE">
        <w:rPr>
          <w:rFonts w:hint="eastAsia"/>
          <w:rtl/>
        </w:rPr>
        <w:t>לא</w:t>
      </w:r>
      <w:r w:rsidRPr="00F240CE">
        <w:rPr>
          <w:rtl/>
        </w:rPr>
        <w:t xml:space="preserve"> </w:t>
      </w:r>
      <w:r w:rsidRPr="00F240CE">
        <w:rPr>
          <w:rFonts w:hint="eastAsia"/>
          <w:rtl/>
        </w:rPr>
        <w:t>הייתי</w:t>
      </w:r>
      <w:r w:rsidRPr="00F240CE">
        <w:rPr>
          <w:rtl/>
        </w:rPr>
        <w:t xml:space="preserve"> </w:t>
      </w:r>
      <w:r w:rsidRPr="00F240CE">
        <w:rPr>
          <w:rFonts w:hint="eastAsia"/>
          <w:rtl/>
        </w:rPr>
        <w:t>מכריז</w:t>
      </w:r>
      <w:r w:rsidRPr="00F240CE">
        <w:rPr>
          <w:rtl/>
        </w:rPr>
        <w:t xml:space="preserve"> </w:t>
      </w:r>
      <w:r w:rsidRPr="00F240CE">
        <w:rPr>
          <w:rFonts w:hint="eastAsia"/>
          <w:rtl/>
        </w:rPr>
        <w:t>על</w:t>
      </w:r>
      <w:r w:rsidRPr="00F240CE">
        <w:rPr>
          <w:rtl/>
        </w:rPr>
        <w:t xml:space="preserve"> </w:t>
      </w:r>
      <w:r w:rsidRPr="00F240CE">
        <w:rPr>
          <w:rFonts w:hint="eastAsia"/>
          <w:rtl/>
        </w:rPr>
        <w:t>בטלותה</w:t>
      </w:r>
      <w:r w:rsidRPr="00F240CE">
        <w:rPr>
          <w:rtl/>
        </w:rPr>
        <w:t xml:space="preserve">. זאת, מאחר שהאמור בהוראה זו מתפרש באופן טבעי, </w:t>
      </w:r>
      <w:r w:rsidRPr="00F240CE">
        <w:rPr>
          <w:rFonts w:hint="eastAsia"/>
          <w:rtl/>
        </w:rPr>
        <w:lastRenderedPageBreak/>
        <w:t>כפי</w:t>
      </w:r>
      <w:r w:rsidRPr="00F240CE">
        <w:rPr>
          <w:rtl/>
        </w:rPr>
        <w:t xml:space="preserve"> </w:t>
      </w:r>
      <w:r w:rsidRPr="00F240CE">
        <w:rPr>
          <w:rFonts w:hint="eastAsia"/>
          <w:rtl/>
        </w:rPr>
        <w:t>שעולה</w:t>
      </w:r>
      <w:r w:rsidRPr="00F240CE">
        <w:rPr>
          <w:rtl/>
        </w:rPr>
        <w:t xml:space="preserve"> </w:t>
      </w:r>
      <w:r w:rsidRPr="00F240CE">
        <w:rPr>
          <w:rFonts w:hint="eastAsia"/>
          <w:rtl/>
        </w:rPr>
        <w:t>מדברי</w:t>
      </w:r>
      <w:r w:rsidRPr="00F240CE">
        <w:rPr>
          <w:rtl/>
        </w:rPr>
        <w:t xml:space="preserve"> ההסבר, כביטול של נוסחת </w:t>
      </w:r>
      <w:r w:rsidRPr="00F240CE">
        <w:rPr>
          <w:rFonts w:ascii="Century" w:hAnsi="Century" w:cs="Miriam" w:hint="eastAsia"/>
          <w:b/>
          <w:spacing w:val="0"/>
          <w:sz w:val="22"/>
          <w:szCs w:val="24"/>
          <w:rtl/>
        </w:rPr>
        <w:t>דפי</w:t>
      </w:r>
      <w:r w:rsidRPr="00F240CE">
        <w:rPr>
          <w:rFonts w:ascii="Century" w:hAnsi="Century" w:cs="Miriam"/>
          <w:b/>
          <w:spacing w:val="0"/>
          <w:sz w:val="22"/>
          <w:szCs w:val="24"/>
          <w:rtl/>
        </w:rPr>
        <w:t xml:space="preserve"> </w:t>
      </w:r>
      <w:r w:rsidRPr="00F240CE">
        <w:rPr>
          <w:rFonts w:ascii="Century" w:hAnsi="Century" w:cs="Miriam" w:hint="eastAsia"/>
          <w:b/>
          <w:spacing w:val="0"/>
          <w:sz w:val="22"/>
          <w:szCs w:val="24"/>
          <w:rtl/>
        </w:rPr>
        <w:t>זהב</w:t>
      </w:r>
      <w:r w:rsidRPr="00936A8D">
        <w:rPr>
          <w:rFonts w:hint="cs"/>
          <w:rtl/>
        </w:rPr>
        <w:t xml:space="preserve"> ולא מעבר לכך</w:t>
      </w:r>
      <w:r w:rsidRPr="00803DDF">
        <w:rPr>
          <w:rtl/>
        </w:rPr>
        <w:t>; ו</w:t>
      </w:r>
      <w:r>
        <w:rPr>
          <w:rFonts w:hint="cs"/>
          <w:rtl/>
        </w:rPr>
        <w:t>מאחר ש</w:t>
      </w:r>
      <w:r w:rsidRPr="00803DDF">
        <w:rPr>
          <w:rtl/>
        </w:rPr>
        <w:t xml:space="preserve">פרשנות זו עלינו להעדיף מכוחו של הכלל אשר מחייבנו </w:t>
      </w:r>
      <w:r>
        <w:rPr>
          <w:rFonts w:hint="cs"/>
          <w:rtl/>
        </w:rPr>
        <w:t>לאמץ</w:t>
      </w:r>
      <w:r w:rsidRPr="00F240CE">
        <w:rPr>
          <w:rtl/>
        </w:rPr>
        <w:t xml:space="preserve"> </w:t>
      </w:r>
      <w:r w:rsidRPr="00F240CE">
        <w:rPr>
          <w:rFonts w:hint="eastAsia"/>
          <w:rtl/>
        </w:rPr>
        <w:t>פירוש</w:t>
      </w:r>
      <w:r w:rsidRPr="00F240CE">
        <w:rPr>
          <w:rtl/>
        </w:rPr>
        <w:t xml:space="preserve"> </w:t>
      </w:r>
      <w:r>
        <w:rPr>
          <w:rFonts w:hint="cs"/>
          <w:rtl/>
        </w:rPr>
        <w:t>חוקתי, זה ש</w:t>
      </w:r>
      <w:r w:rsidRPr="00F240CE">
        <w:rPr>
          <w:rFonts w:hint="eastAsia"/>
          <w:rtl/>
        </w:rPr>
        <w:t>מקיים</w:t>
      </w:r>
      <w:r w:rsidRPr="00F240CE">
        <w:rPr>
          <w:rtl/>
        </w:rPr>
        <w:t xml:space="preserve"> </w:t>
      </w:r>
      <w:r>
        <w:rPr>
          <w:rFonts w:hint="cs"/>
          <w:rtl/>
        </w:rPr>
        <w:t>את</w:t>
      </w:r>
      <w:r w:rsidRPr="00F240CE">
        <w:rPr>
          <w:rtl/>
        </w:rPr>
        <w:t xml:space="preserve"> החוק</w:t>
      </w:r>
      <w:r>
        <w:rPr>
          <w:rFonts w:hint="cs"/>
          <w:rtl/>
        </w:rPr>
        <w:t xml:space="preserve"> מושא המחלוקת ונותן לו חיים,</w:t>
      </w:r>
      <w:r w:rsidRPr="00F240CE">
        <w:rPr>
          <w:rtl/>
        </w:rPr>
        <w:t xml:space="preserve"> </w:t>
      </w:r>
      <w:r w:rsidRPr="00F240CE">
        <w:rPr>
          <w:rFonts w:hint="eastAsia"/>
          <w:rtl/>
        </w:rPr>
        <w:t>על</w:t>
      </w:r>
      <w:r w:rsidRPr="00F240CE">
        <w:rPr>
          <w:rtl/>
        </w:rPr>
        <w:t xml:space="preserve"> </w:t>
      </w:r>
      <w:r w:rsidRPr="00F240CE">
        <w:rPr>
          <w:rFonts w:hint="eastAsia"/>
          <w:rtl/>
        </w:rPr>
        <w:t>פני</w:t>
      </w:r>
      <w:r w:rsidRPr="00F240CE">
        <w:rPr>
          <w:rtl/>
        </w:rPr>
        <w:t xml:space="preserve"> </w:t>
      </w:r>
      <w:r w:rsidRPr="00F240CE">
        <w:rPr>
          <w:rFonts w:hint="eastAsia"/>
          <w:rtl/>
        </w:rPr>
        <w:t>פירוש</w:t>
      </w:r>
      <w:r w:rsidRPr="00F240CE">
        <w:rPr>
          <w:rtl/>
        </w:rPr>
        <w:t xml:space="preserve"> </w:t>
      </w:r>
      <w:r>
        <w:rPr>
          <w:rFonts w:hint="cs"/>
          <w:rtl/>
        </w:rPr>
        <w:t xml:space="preserve">אחר אשר </w:t>
      </w:r>
      <w:r w:rsidRPr="00F240CE">
        <w:rPr>
          <w:rFonts w:hint="eastAsia"/>
          <w:rtl/>
        </w:rPr>
        <w:t>מביא</w:t>
      </w:r>
      <w:r w:rsidRPr="00F240CE">
        <w:rPr>
          <w:rtl/>
        </w:rPr>
        <w:t xml:space="preserve"> </w:t>
      </w:r>
      <w:r>
        <w:rPr>
          <w:rFonts w:hint="eastAsia"/>
          <w:rtl/>
        </w:rPr>
        <w:t>לביטול</w:t>
      </w:r>
      <w:r>
        <w:rPr>
          <w:rFonts w:hint="cs"/>
          <w:rtl/>
        </w:rPr>
        <w:t xml:space="preserve"> החוק </w:t>
      </w:r>
      <w:r>
        <w:rPr>
          <w:rtl/>
        </w:rPr>
        <w:t>–</w:t>
      </w:r>
      <w:r w:rsidRPr="00F240CE">
        <w:rPr>
          <w:rtl/>
        </w:rPr>
        <w:t xml:space="preserve"> </w:t>
      </w:r>
      <w:r w:rsidRPr="00F240CE">
        <w:rPr>
          <w:rFonts w:hint="eastAsia"/>
          <w:rtl/>
        </w:rPr>
        <w:t>כל</w:t>
      </w:r>
      <w:r w:rsidRPr="00F240CE">
        <w:rPr>
          <w:rtl/>
        </w:rPr>
        <w:t xml:space="preserve"> </w:t>
      </w:r>
      <w:r w:rsidRPr="00F240CE">
        <w:rPr>
          <w:rFonts w:hint="eastAsia"/>
          <w:rtl/>
        </w:rPr>
        <w:t>אימת</w:t>
      </w:r>
      <w:r w:rsidRPr="00F240CE">
        <w:rPr>
          <w:rtl/>
        </w:rPr>
        <w:t xml:space="preserve"> </w:t>
      </w:r>
      <w:r w:rsidRPr="00F240CE">
        <w:rPr>
          <w:rFonts w:hint="eastAsia"/>
          <w:rtl/>
        </w:rPr>
        <w:t>שהדבר</w:t>
      </w:r>
      <w:r w:rsidRPr="00F240CE">
        <w:rPr>
          <w:rtl/>
        </w:rPr>
        <w:t xml:space="preserve"> </w:t>
      </w:r>
      <w:r w:rsidRPr="00F240CE">
        <w:rPr>
          <w:rFonts w:hint="eastAsia"/>
          <w:rtl/>
        </w:rPr>
        <w:t>עולה</w:t>
      </w:r>
      <w:r w:rsidRPr="00F240CE">
        <w:rPr>
          <w:rtl/>
        </w:rPr>
        <w:t xml:space="preserve"> </w:t>
      </w:r>
      <w:r w:rsidRPr="00F240CE">
        <w:rPr>
          <w:rFonts w:hint="eastAsia"/>
          <w:rtl/>
        </w:rPr>
        <w:t>בקנה</w:t>
      </w:r>
      <w:r w:rsidRPr="00F240CE">
        <w:rPr>
          <w:rtl/>
        </w:rPr>
        <w:t xml:space="preserve"> </w:t>
      </w:r>
      <w:r w:rsidRPr="00F240CE">
        <w:rPr>
          <w:rFonts w:hint="eastAsia"/>
          <w:rtl/>
        </w:rPr>
        <w:t>אחד</w:t>
      </w:r>
      <w:r w:rsidRPr="00F240CE">
        <w:rPr>
          <w:rtl/>
        </w:rPr>
        <w:t xml:space="preserve"> </w:t>
      </w:r>
      <w:r w:rsidRPr="00F240CE">
        <w:rPr>
          <w:rFonts w:hint="eastAsia"/>
          <w:rtl/>
        </w:rPr>
        <w:t>עם</w:t>
      </w:r>
      <w:r w:rsidRPr="00F240CE">
        <w:rPr>
          <w:rtl/>
        </w:rPr>
        <w:t xml:space="preserve"> </w:t>
      </w:r>
      <w:r w:rsidRPr="00F240CE">
        <w:rPr>
          <w:rFonts w:hint="eastAsia"/>
          <w:rtl/>
        </w:rPr>
        <w:t>לשון</w:t>
      </w:r>
      <w:r w:rsidRPr="00F240CE">
        <w:rPr>
          <w:rtl/>
        </w:rPr>
        <w:t xml:space="preserve"> </w:t>
      </w:r>
      <w:r w:rsidRPr="00F240CE">
        <w:rPr>
          <w:rFonts w:hint="eastAsia"/>
          <w:rtl/>
        </w:rPr>
        <w:t>החוק</w:t>
      </w:r>
      <w:r w:rsidRPr="00F240CE">
        <w:rPr>
          <w:rtl/>
        </w:rPr>
        <w:t xml:space="preserve"> (ראו: בג"ץ 4562/92 </w:t>
      </w:r>
      <w:r w:rsidRPr="00F240CE">
        <w:rPr>
          <w:rFonts w:ascii="Century" w:hAnsi="Century" w:cs="Miriam" w:hint="eastAsia"/>
          <w:b/>
          <w:spacing w:val="0"/>
          <w:sz w:val="22"/>
          <w:szCs w:val="24"/>
          <w:rtl/>
        </w:rPr>
        <w:t>זנדברג</w:t>
      </w:r>
      <w:r w:rsidRPr="00F240CE">
        <w:rPr>
          <w:rFonts w:ascii="Century" w:hAnsi="Century" w:cs="Miriam"/>
          <w:b/>
          <w:spacing w:val="0"/>
          <w:sz w:val="22"/>
          <w:szCs w:val="24"/>
          <w:rtl/>
        </w:rPr>
        <w:t xml:space="preserve"> </w:t>
      </w:r>
      <w:r w:rsidRPr="00F240CE">
        <w:rPr>
          <w:rFonts w:ascii="Century" w:hAnsi="Century" w:cs="Miriam" w:hint="eastAsia"/>
          <w:b/>
          <w:spacing w:val="0"/>
          <w:sz w:val="22"/>
          <w:szCs w:val="24"/>
          <w:rtl/>
        </w:rPr>
        <w:t>נ</w:t>
      </w:r>
      <w:r w:rsidRPr="00F240CE">
        <w:rPr>
          <w:rFonts w:ascii="Century" w:hAnsi="Century" w:cs="Miriam"/>
          <w:b/>
          <w:spacing w:val="0"/>
          <w:sz w:val="22"/>
          <w:szCs w:val="24"/>
          <w:rtl/>
        </w:rPr>
        <w:t xml:space="preserve">' </w:t>
      </w:r>
      <w:r w:rsidRPr="00F240CE">
        <w:rPr>
          <w:rFonts w:ascii="Century" w:hAnsi="Century" w:cs="Miriam" w:hint="eastAsia"/>
          <w:b/>
          <w:spacing w:val="0"/>
          <w:sz w:val="22"/>
          <w:szCs w:val="24"/>
          <w:rtl/>
        </w:rPr>
        <w:t>רשות</w:t>
      </w:r>
      <w:r w:rsidRPr="00F240CE">
        <w:rPr>
          <w:rFonts w:ascii="Century" w:hAnsi="Century" w:cs="Miriam"/>
          <w:b/>
          <w:spacing w:val="0"/>
          <w:sz w:val="22"/>
          <w:szCs w:val="24"/>
          <w:rtl/>
        </w:rPr>
        <w:t xml:space="preserve"> </w:t>
      </w:r>
      <w:r w:rsidRPr="00F240CE">
        <w:rPr>
          <w:rFonts w:ascii="Century" w:hAnsi="Century" w:cs="Miriam" w:hint="eastAsia"/>
          <w:b/>
          <w:spacing w:val="0"/>
          <w:sz w:val="22"/>
          <w:szCs w:val="24"/>
          <w:rtl/>
        </w:rPr>
        <w:t>השידור</w:t>
      </w:r>
      <w:r w:rsidRPr="00936A8D">
        <w:rPr>
          <w:rFonts w:hint="cs"/>
          <w:rtl/>
        </w:rPr>
        <w:t>, פ"</w:t>
      </w:r>
      <w:r w:rsidRPr="00803DDF">
        <w:rPr>
          <w:rFonts w:hint="eastAsia"/>
          <w:rtl/>
        </w:rPr>
        <w:t>ד</w:t>
      </w:r>
      <w:r w:rsidRPr="00F240CE">
        <w:rPr>
          <w:rtl/>
        </w:rPr>
        <w:t xml:space="preserve"> </w:t>
      </w:r>
      <w:r w:rsidRPr="00F240CE">
        <w:rPr>
          <w:rFonts w:hint="eastAsia"/>
          <w:rtl/>
        </w:rPr>
        <w:t>נ</w:t>
      </w:r>
      <w:r w:rsidRPr="00F240CE">
        <w:rPr>
          <w:rtl/>
        </w:rPr>
        <w:t xml:space="preserve">(2) 793, 808, 812 (1996); בג"ץ 9098/01 </w:t>
      </w:r>
      <w:r w:rsidRPr="00F240CE">
        <w:rPr>
          <w:rFonts w:ascii="Century" w:hAnsi="Century" w:cs="Miriam" w:hint="eastAsia"/>
          <w:b/>
          <w:spacing w:val="0"/>
          <w:sz w:val="22"/>
          <w:szCs w:val="24"/>
          <w:rtl/>
        </w:rPr>
        <w:t>גניס</w:t>
      </w:r>
      <w:r w:rsidRPr="00F240CE">
        <w:rPr>
          <w:rFonts w:ascii="Century" w:hAnsi="Century" w:cs="Miriam"/>
          <w:b/>
          <w:spacing w:val="0"/>
          <w:sz w:val="22"/>
          <w:szCs w:val="24"/>
          <w:rtl/>
        </w:rPr>
        <w:t xml:space="preserve"> נ' משרד הבינוי והשיכון</w:t>
      </w:r>
      <w:r w:rsidRPr="00936A8D">
        <w:rPr>
          <w:rFonts w:hint="cs"/>
          <w:rtl/>
        </w:rPr>
        <w:t xml:space="preserve">, פסקה 5 לפסק דינו של הנשיא </w:t>
      </w:r>
      <w:r w:rsidRPr="00F240CE">
        <w:rPr>
          <w:rFonts w:ascii="Century" w:hAnsi="Century" w:cs="Miriam" w:hint="eastAsia"/>
          <w:b/>
          <w:spacing w:val="0"/>
          <w:sz w:val="22"/>
          <w:szCs w:val="24"/>
          <w:rtl/>
        </w:rPr>
        <w:t>ברק</w:t>
      </w:r>
      <w:r w:rsidRPr="00936A8D">
        <w:rPr>
          <w:rFonts w:hint="cs"/>
          <w:rtl/>
        </w:rPr>
        <w:t xml:space="preserve"> </w:t>
      </w:r>
      <w:r w:rsidRPr="00803DDF">
        <w:rPr>
          <w:rtl/>
        </w:rPr>
        <w:t>(</w:t>
      </w:r>
      <w:r w:rsidRPr="00F240CE">
        <w:rPr>
          <w:rtl/>
        </w:rPr>
        <w:t>22.11.2004)).</w:t>
      </w:r>
      <w:r>
        <w:rPr>
          <w:rFonts w:hint="cs"/>
          <w:rtl/>
        </w:rPr>
        <w:t xml:space="preserve"> לפיכך, וככל שעמדתי הפרשנית העקרונית לא תהא מקובלת על חבריי, אבקש להצטרף למסקנתה של חברתי השופטת </w:t>
      </w:r>
      <w:r w:rsidRPr="00616B39">
        <w:rPr>
          <w:rFonts w:ascii="Century" w:hAnsi="Century" w:cs="Miriam" w:hint="cs"/>
          <w:b/>
          <w:spacing w:val="0"/>
          <w:sz w:val="22"/>
          <w:szCs w:val="24"/>
          <w:rtl/>
        </w:rPr>
        <w:t>וילנר</w:t>
      </w:r>
      <w:r>
        <w:rPr>
          <w:rFonts w:hint="cs"/>
          <w:rtl/>
        </w:rPr>
        <w:t xml:space="preserve"> (ובהקשר זה, ראו גם את האמור בפסקאות 20-18 לפסק דינו של חברי, השופט </w:t>
      </w:r>
      <w:r w:rsidRPr="00316B30">
        <w:rPr>
          <w:rFonts w:ascii="Century" w:hAnsi="Century" w:cs="Miriam" w:hint="cs"/>
          <w:b/>
          <w:spacing w:val="0"/>
          <w:sz w:val="22"/>
          <w:szCs w:val="24"/>
          <w:rtl/>
        </w:rPr>
        <w:t>י' אלרון</w:t>
      </w:r>
      <w:r>
        <w:rPr>
          <w:rFonts w:hint="cs"/>
          <w:rtl/>
        </w:rPr>
        <w:t>).</w:t>
      </w:r>
    </w:p>
    <w:p w:rsidR="0047626A" w:rsidRPr="00936A8D" w:rsidRDefault="0047626A" w:rsidP="0047626A">
      <w:pPr>
        <w:pStyle w:val="Ruller41"/>
        <w:rPr>
          <w:rtl/>
        </w:rPr>
      </w:pPr>
    </w:p>
    <w:p w:rsidR="0047626A" w:rsidRDefault="0047626A" w:rsidP="0047626A">
      <w:pPr>
        <w:pStyle w:val="Ruller4"/>
        <w:rPr>
          <w:rtl/>
        </w:rPr>
      </w:pPr>
      <w:r w:rsidRPr="00936A8D">
        <w:rPr>
          <w:rFonts w:hint="eastAsia"/>
          <w:rtl/>
        </w:rPr>
        <w:t>ההוראה</w:t>
      </w:r>
      <w:r w:rsidRPr="00936A8D">
        <w:rPr>
          <w:rtl/>
        </w:rPr>
        <w:t xml:space="preserve"> </w:t>
      </w:r>
      <w:r w:rsidRPr="00936A8D">
        <w:rPr>
          <w:rFonts w:hint="eastAsia"/>
          <w:rtl/>
        </w:rPr>
        <w:t>נושא</w:t>
      </w:r>
      <w:r w:rsidRPr="00936A8D">
        <w:rPr>
          <w:rtl/>
        </w:rPr>
        <w:t xml:space="preserve"> </w:t>
      </w:r>
      <w:r w:rsidRPr="00936A8D">
        <w:rPr>
          <w:rFonts w:hint="eastAsia"/>
          <w:rtl/>
        </w:rPr>
        <w:t>דיוננו</w:t>
      </w:r>
      <w:r w:rsidRPr="00936A8D">
        <w:rPr>
          <w:rtl/>
        </w:rPr>
        <w:t xml:space="preserve"> </w:t>
      </w:r>
      <w:r w:rsidRPr="00936A8D">
        <w:rPr>
          <w:rFonts w:hint="eastAsia"/>
          <w:rtl/>
        </w:rPr>
        <w:t>יכלה</w:t>
      </w:r>
      <w:r w:rsidRPr="00936A8D">
        <w:rPr>
          <w:rtl/>
        </w:rPr>
        <w:t xml:space="preserve"> </w:t>
      </w:r>
      <w:r w:rsidRPr="00936A8D">
        <w:rPr>
          <w:rFonts w:hint="eastAsia"/>
          <w:rtl/>
        </w:rPr>
        <w:t>להיות</w:t>
      </w:r>
      <w:r w:rsidRPr="00936A8D">
        <w:rPr>
          <w:rtl/>
        </w:rPr>
        <w:t xml:space="preserve"> </w:t>
      </w:r>
      <w:r w:rsidRPr="00936A8D">
        <w:rPr>
          <w:rFonts w:hint="eastAsia"/>
          <w:rtl/>
        </w:rPr>
        <w:t>מנוסחת</w:t>
      </w:r>
      <w:r w:rsidRPr="00936A8D">
        <w:rPr>
          <w:rtl/>
        </w:rPr>
        <w:t xml:space="preserve"> </w:t>
      </w:r>
      <w:r w:rsidRPr="00936A8D">
        <w:rPr>
          <w:rFonts w:hint="eastAsia"/>
          <w:rtl/>
        </w:rPr>
        <w:t>טוב</w:t>
      </w:r>
      <w:r w:rsidRPr="00936A8D">
        <w:rPr>
          <w:rtl/>
        </w:rPr>
        <w:t xml:space="preserve"> </w:t>
      </w:r>
      <w:r w:rsidRPr="00936A8D">
        <w:rPr>
          <w:rFonts w:hint="eastAsia"/>
          <w:rtl/>
        </w:rPr>
        <w:t>יותר</w:t>
      </w:r>
      <w:r w:rsidRPr="00936A8D">
        <w:rPr>
          <w:rtl/>
        </w:rPr>
        <w:t xml:space="preserve"> </w:t>
      </w:r>
      <w:r w:rsidRPr="00936A8D">
        <w:rPr>
          <w:rFonts w:hint="eastAsia"/>
          <w:rtl/>
        </w:rPr>
        <w:t>מכפי</w:t>
      </w:r>
      <w:r w:rsidRPr="00936A8D">
        <w:rPr>
          <w:rtl/>
        </w:rPr>
        <w:t xml:space="preserve"> </w:t>
      </w:r>
      <w:r w:rsidRPr="00936A8D">
        <w:rPr>
          <w:rFonts w:hint="eastAsia"/>
          <w:rtl/>
        </w:rPr>
        <w:t>שנוסחה</w:t>
      </w:r>
      <w:r w:rsidRPr="00936A8D">
        <w:rPr>
          <w:rtl/>
        </w:rPr>
        <w:t xml:space="preserve">, </w:t>
      </w:r>
      <w:r w:rsidRPr="00936A8D">
        <w:rPr>
          <w:rFonts w:hint="eastAsia"/>
          <w:rtl/>
        </w:rPr>
        <w:t>אך</w:t>
      </w:r>
      <w:r w:rsidRPr="00936A8D">
        <w:rPr>
          <w:rtl/>
        </w:rPr>
        <w:t xml:space="preserve"> </w:t>
      </w:r>
      <w:r w:rsidRPr="00936A8D">
        <w:rPr>
          <w:rFonts w:hint="eastAsia"/>
          <w:rtl/>
        </w:rPr>
        <w:t>אין</w:t>
      </w:r>
      <w:r w:rsidRPr="00936A8D">
        <w:rPr>
          <w:rtl/>
        </w:rPr>
        <w:t xml:space="preserve"> </w:t>
      </w:r>
      <w:r w:rsidRPr="00936A8D">
        <w:rPr>
          <w:rFonts w:hint="eastAsia"/>
          <w:rtl/>
        </w:rPr>
        <w:t>מדובר</w:t>
      </w:r>
      <w:r w:rsidRPr="00936A8D">
        <w:rPr>
          <w:rtl/>
        </w:rPr>
        <w:t xml:space="preserve"> </w:t>
      </w:r>
      <w:r w:rsidRPr="00936A8D">
        <w:rPr>
          <w:rFonts w:hint="eastAsia"/>
          <w:rtl/>
        </w:rPr>
        <w:t>בהוראה</w:t>
      </w:r>
      <w:r w:rsidRPr="00936A8D">
        <w:rPr>
          <w:rtl/>
        </w:rPr>
        <w:t xml:space="preserve"> </w:t>
      </w:r>
      <w:r w:rsidRPr="00936A8D">
        <w:rPr>
          <w:rFonts w:hint="eastAsia"/>
          <w:rtl/>
        </w:rPr>
        <w:t>בלתי</w:t>
      </w:r>
      <w:r w:rsidRPr="00936A8D">
        <w:rPr>
          <w:rtl/>
        </w:rPr>
        <w:t xml:space="preserve"> </w:t>
      </w:r>
      <w:r w:rsidRPr="00936A8D">
        <w:rPr>
          <w:rFonts w:hint="eastAsia"/>
          <w:rtl/>
        </w:rPr>
        <w:t>חוקתית</w:t>
      </w:r>
      <w:r w:rsidRPr="00936A8D">
        <w:rPr>
          <w:rtl/>
        </w:rPr>
        <w:t xml:space="preserve">. </w:t>
      </w:r>
      <w:r w:rsidRPr="00936A8D">
        <w:rPr>
          <w:rFonts w:hint="eastAsia"/>
          <w:rtl/>
        </w:rPr>
        <w:t>הכנסת</w:t>
      </w:r>
      <w:r w:rsidRPr="00936A8D">
        <w:rPr>
          <w:rtl/>
        </w:rPr>
        <w:t xml:space="preserve"> </w:t>
      </w:r>
      <w:r w:rsidRPr="00936A8D">
        <w:rPr>
          <w:rFonts w:hint="eastAsia"/>
          <w:rtl/>
        </w:rPr>
        <w:t>הורתה</w:t>
      </w:r>
      <w:r w:rsidRPr="00936A8D">
        <w:rPr>
          <w:rtl/>
        </w:rPr>
        <w:t xml:space="preserve"> </w:t>
      </w:r>
      <w:r w:rsidRPr="00936A8D">
        <w:rPr>
          <w:rFonts w:hint="eastAsia"/>
          <w:rtl/>
        </w:rPr>
        <w:t>לנו</w:t>
      </w:r>
      <w:r w:rsidRPr="00936A8D">
        <w:rPr>
          <w:rtl/>
        </w:rPr>
        <w:t xml:space="preserve"> </w:t>
      </w:r>
      <w:r w:rsidRPr="00936A8D">
        <w:rPr>
          <w:rFonts w:hint="eastAsia"/>
          <w:rtl/>
        </w:rPr>
        <w:t>כי</w:t>
      </w:r>
      <w:r w:rsidRPr="00936A8D">
        <w:rPr>
          <w:rtl/>
        </w:rPr>
        <w:t xml:space="preserve"> </w:t>
      </w:r>
      <w:r w:rsidRPr="00936A8D">
        <w:rPr>
          <w:rFonts w:hint="eastAsia"/>
          <w:rtl/>
        </w:rPr>
        <w:t>ביחס</w:t>
      </w:r>
      <w:r w:rsidRPr="00936A8D">
        <w:rPr>
          <w:rtl/>
        </w:rPr>
        <w:t xml:space="preserve"> </w:t>
      </w:r>
      <w:r w:rsidRPr="00936A8D">
        <w:rPr>
          <w:rFonts w:hint="eastAsia"/>
          <w:rtl/>
        </w:rPr>
        <w:t>להחלטות</w:t>
      </w:r>
      <w:r w:rsidRPr="00936A8D">
        <w:rPr>
          <w:rtl/>
        </w:rPr>
        <w:t xml:space="preserve"> </w:t>
      </w:r>
      <w:r>
        <w:rPr>
          <w:rFonts w:hint="cs"/>
          <w:rtl/>
        </w:rPr>
        <w:t>ה</w:t>
      </w:r>
      <w:r w:rsidRPr="00936A8D">
        <w:rPr>
          <w:rFonts w:hint="eastAsia"/>
          <w:rtl/>
        </w:rPr>
        <w:t>ממשלה</w:t>
      </w:r>
      <w:r w:rsidRPr="00936A8D">
        <w:rPr>
          <w:rtl/>
        </w:rPr>
        <w:t xml:space="preserve">, </w:t>
      </w:r>
      <w:r w:rsidRPr="00936A8D">
        <w:rPr>
          <w:rFonts w:hint="eastAsia"/>
          <w:rtl/>
        </w:rPr>
        <w:t>ראשה</w:t>
      </w:r>
      <w:r w:rsidRPr="00936A8D">
        <w:rPr>
          <w:rtl/>
        </w:rPr>
        <w:t xml:space="preserve"> </w:t>
      </w:r>
      <w:r w:rsidRPr="00936A8D">
        <w:rPr>
          <w:rFonts w:hint="eastAsia"/>
          <w:rtl/>
        </w:rPr>
        <w:t>ושריה</w:t>
      </w:r>
      <w:r w:rsidRPr="00936A8D">
        <w:rPr>
          <w:rtl/>
        </w:rPr>
        <w:t xml:space="preserve"> </w:t>
      </w:r>
      <w:r w:rsidRPr="00936A8D">
        <w:rPr>
          <w:rFonts w:hint="eastAsia"/>
          <w:rtl/>
        </w:rPr>
        <w:t>נסתפק</w:t>
      </w:r>
      <w:r w:rsidRPr="00936A8D">
        <w:rPr>
          <w:rtl/>
        </w:rPr>
        <w:t xml:space="preserve"> </w:t>
      </w:r>
      <w:r w:rsidRPr="00936A8D">
        <w:rPr>
          <w:rFonts w:hint="eastAsia"/>
          <w:rtl/>
        </w:rPr>
        <w:t>בביקורת</w:t>
      </w:r>
      <w:r w:rsidRPr="00936A8D">
        <w:rPr>
          <w:rtl/>
        </w:rPr>
        <w:t xml:space="preserve"> </w:t>
      </w:r>
      <w:r w:rsidRPr="00936A8D">
        <w:rPr>
          <w:rFonts w:hint="eastAsia"/>
          <w:rtl/>
        </w:rPr>
        <w:t>שיפוטית</w:t>
      </w:r>
      <w:r w:rsidRPr="00936A8D">
        <w:rPr>
          <w:rtl/>
        </w:rPr>
        <w:t xml:space="preserve"> </w:t>
      </w:r>
      <w:r w:rsidRPr="00936A8D">
        <w:rPr>
          <w:rFonts w:hint="eastAsia"/>
          <w:rtl/>
        </w:rPr>
        <w:t>במתכונת</w:t>
      </w:r>
      <w:r w:rsidRPr="00936A8D">
        <w:rPr>
          <w:rtl/>
        </w:rPr>
        <w:t xml:space="preserve"> </w:t>
      </w:r>
      <w:r w:rsidRPr="00936A8D">
        <w:rPr>
          <w:rFonts w:hint="eastAsia"/>
          <w:rtl/>
        </w:rPr>
        <w:t>שקדמה</w:t>
      </w:r>
      <w:r w:rsidRPr="00936A8D">
        <w:rPr>
          <w:rtl/>
        </w:rPr>
        <w:t xml:space="preserve"> </w:t>
      </w:r>
      <w:r w:rsidRPr="00936A8D">
        <w:rPr>
          <w:rFonts w:hint="eastAsia"/>
          <w:rtl/>
        </w:rPr>
        <w:t>להלכת</w:t>
      </w:r>
      <w:r w:rsidRPr="00936A8D">
        <w:rPr>
          <w:rtl/>
        </w:rPr>
        <w:t xml:space="preserve"> </w:t>
      </w:r>
      <w:r w:rsidRPr="00936A8D">
        <w:rPr>
          <w:rFonts w:ascii="Century" w:hAnsi="Century" w:cs="Miriam" w:hint="eastAsia"/>
          <w:b/>
          <w:spacing w:val="0"/>
          <w:sz w:val="22"/>
          <w:szCs w:val="24"/>
          <w:rtl/>
        </w:rPr>
        <w:t>דפי</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זהב</w:t>
      </w:r>
      <w:r w:rsidRPr="00936A8D">
        <w:rPr>
          <w:rFonts w:ascii="Century" w:hAnsi="Century"/>
          <w:sz w:val="22"/>
          <w:rtl/>
        </w:rPr>
        <w:t>,</w:t>
      </w:r>
      <w:r w:rsidRPr="00936A8D">
        <w:rPr>
          <w:rFonts w:ascii="Century" w:hAnsi="Century" w:cs="Miriam"/>
          <w:b/>
          <w:spacing w:val="0"/>
          <w:sz w:val="22"/>
          <w:szCs w:val="24"/>
          <w:rtl/>
        </w:rPr>
        <w:t xml:space="preserve"> </w:t>
      </w:r>
      <w:r w:rsidRPr="00936A8D">
        <w:rPr>
          <w:rFonts w:ascii="Century" w:hAnsi="Century" w:hint="eastAsia"/>
          <w:sz w:val="22"/>
          <w:rtl/>
        </w:rPr>
        <w:t>אשר</w:t>
      </w:r>
      <w:r w:rsidRPr="00936A8D">
        <w:rPr>
          <w:rFonts w:ascii="Century" w:hAnsi="Century"/>
          <w:sz w:val="22"/>
          <w:rtl/>
        </w:rPr>
        <w:t xml:space="preserve"> </w:t>
      </w:r>
      <w:r w:rsidRPr="00936A8D">
        <w:rPr>
          <w:rFonts w:ascii="Century" w:hAnsi="Century" w:hint="eastAsia"/>
          <w:sz w:val="22"/>
          <w:rtl/>
        </w:rPr>
        <w:t>נהוגה</w:t>
      </w:r>
      <w:r w:rsidRPr="00936A8D">
        <w:rPr>
          <w:rFonts w:ascii="Century" w:hAnsi="Century"/>
          <w:sz w:val="22"/>
          <w:rtl/>
        </w:rPr>
        <w:t xml:space="preserve"> </w:t>
      </w:r>
      <w:r w:rsidRPr="00936A8D">
        <w:rPr>
          <w:rFonts w:ascii="Century" w:hAnsi="Century" w:hint="eastAsia"/>
          <w:sz w:val="22"/>
          <w:rtl/>
        </w:rPr>
        <w:t>בדין</w:t>
      </w:r>
      <w:r w:rsidRPr="00936A8D">
        <w:rPr>
          <w:rFonts w:ascii="Century" w:hAnsi="Century"/>
          <w:sz w:val="22"/>
          <w:rtl/>
        </w:rPr>
        <w:t xml:space="preserve"> </w:t>
      </w:r>
      <w:r w:rsidRPr="00936A8D">
        <w:rPr>
          <w:rFonts w:ascii="Century" w:hAnsi="Century" w:hint="eastAsia"/>
          <w:sz w:val="22"/>
          <w:rtl/>
        </w:rPr>
        <w:t>האנגלי</w:t>
      </w:r>
      <w:r w:rsidRPr="00936A8D">
        <w:rPr>
          <w:rFonts w:ascii="Century" w:hAnsi="Century"/>
          <w:sz w:val="22"/>
          <w:rtl/>
        </w:rPr>
        <w:t xml:space="preserve">. </w:t>
      </w:r>
      <w:r>
        <w:rPr>
          <w:rFonts w:hint="cs"/>
          <w:rtl/>
        </w:rPr>
        <w:t xml:space="preserve">מתכונת זו אינה מפרה שום נורמה חוקתית, הגם שהיא מצמצמת במידת-מה את היקף הביקורת השיפוטית על </w:t>
      </w:r>
      <w:r w:rsidRPr="00936A8D">
        <w:rPr>
          <w:rFonts w:hint="eastAsia"/>
          <w:rtl/>
        </w:rPr>
        <w:t>החלטות</w:t>
      </w:r>
      <w:r w:rsidRPr="00936A8D">
        <w:rPr>
          <w:rtl/>
        </w:rPr>
        <w:t xml:space="preserve"> </w:t>
      </w:r>
      <w:r>
        <w:rPr>
          <w:rFonts w:hint="cs"/>
          <w:rtl/>
        </w:rPr>
        <w:t>ה</w:t>
      </w:r>
      <w:r w:rsidRPr="00936A8D">
        <w:rPr>
          <w:rFonts w:hint="eastAsia"/>
          <w:rtl/>
        </w:rPr>
        <w:t>ממשלה</w:t>
      </w:r>
      <w:r w:rsidRPr="00936A8D">
        <w:rPr>
          <w:rtl/>
        </w:rPr>
        <w:t xml:space="preserve">, </w:t>
      </w:r>
      <w:r w:rsidRPr="00936A8D">
        <w:rPr>
          <w:rFonts w:hint="eastAsia"/>
          <w:rtl/>
        </w:rPr>
        <w:t>ראשה</w:t>
      </w:r>
      <w:r w:rsidRPr="00936A8D">
        <w:rPr>
          <w:rtl/>
        </w:rPr>
        <w:t xml:space="preserve"> </w:t>
      </w:r>
      <w:r w:rsidRPr="00936A8D">
        <w:rPr>
          <w:rFonts w:hint="eastAsia"/>
          <w:rtl/>
        </w:rPr>
        <w:t>ושריה</w:t>
      </w:r>
      <w:r>
        <w:rPr>
          <w:rFonts w:hint="cs"/>
          <w:rtl/>
        </w:rPr>
        <w:t>.</w:t>
      </w:r>
    </w:p>
    <w:p w:rsidR="0047626A" w:rsidRDefault="0047626A" w:rsidP="0047626A">
      <w:pPr>
        <w:pStyle w:val="Ruller41"/>
        <w:rPr>
          <w:rtl/>
        </w:rPr>
      </w:pPr>
    </w:p>
    <w:p w:rsidR="0047626A" w:rsidRPr="00C13646" w:rsidRDefault="0047626A" w:rsidP="0047626A">
      <w:pPr>
        <w:pStyle w:val="Ruller41"/>
        <w:rPr>
          <w:rFonts w:ascii="Century" w:hAnsi="Century" w:cs="Miriam"/>
          <w:b/>
          <w:spacing w:val="0"/>
          <w:szCs w:val="24"/>
          <w:rtl/>
        </w:rPr>
      </w:pPr>
      <w:r w:rsidRPr="00C13646">
        <w:rPr>
          <w:rFonts w:ascii="Century" w:hAnsi="Century" w:cs="Miriam" w:hint="cs"/>
          <w:b/>
          <w:spacing w:val="0"/>
          <w:szCs w:val="24"/>
          <w:rtl/>
        </w:rPr>
        <w:t>טענות נוספות</w:t>
      </w:r>
    </w:p>
    <w:p w:rsidR="0047626A" w:rsidRDefault="0047626A" w:rsidP="0047626A">
      <w:pPr>
        <w:pStyle w:val="Ruller41"/>
        <w:rPr>
          <w:rtl/>
        </w:rPr>
      </w:pPr>
    </w:p>
    <w:p w:rsidR="0047626A" w:rsidRDefault="0047626A" w:rsidP="0047626A">
      <w:pPr>
        <w:pStyle w:val="Ruller4"/>
      </w:pPr>
      <w:r>
        <w:rPr>
          <w:rFonts w:hint="cs"/>
          <w:rtl/>
        </w:rPr>
        <w:t>בטרם אסיים את דבריי, אוסיף בקצרה כי לא מקובלת עלי הטענה שרואה פגם יסודי בחקיקת ההוראה נושא דיוננו</w:t>
      </w:r>
      <w:r w:rsidRPr="00C13646">
        <w:rPr>
          <w:rFonts w:ascii="Century" w:hAnsi="Century" w:hint="cs"/>
          <w:rtl/>
        </w:rPr>
        <w:t xml:space="preserve"> </w:t>
      </w:r>
      <w:r w:rsidRPr="00C13646">
        <w:rPr>
          <w:rFonts w:ascii="Century" w:hAnsi="Century" w:hint="eastAsia"/>
          <w:rtl/>
        </w:rPr>
        <w:t>במ</w:t>
      </w:r>
      <w:r>
        <w:rPr>
          <w:rFonts w:ascii="Century" w:hAnsi="Century" w:hint="cs"/>
          <w:rtl/>
        </w:rPr>
        <w:t>תווה של גיבוש</w:t>
      </w:r>
      <w:r w:rsidRPr="00C13646">
        <w:rPr>
          <w:rFonts w:ascii="Century" w:hAnsi="Century"/>
          <w:rtl/>
        </w:rPr>
        <w:t xml:space="preserve"> </w:t>
      </w:r>
      <w:r w:rsidRPr="00C13646">
        <w:rPr>
          <w:rFonts w:ascii="Century" w:hAnsi="Century" w:hint="eastAsia"/>
          <w:rtl/>
        </w:rPr>
        <w:t>הצעת</w:t>
      </w:r>
      <w:r w:rsidRPr="00C13646">
        <w:rPr>
          <w:rFonts w:ascii="Century" w:hAnsi="Century"/>
          <w:rtl/>
        </w:rPr>
        <w:t xml:space="preserve"> </w:t>
      </w:r>
      <w:r>
        <w:rPr>
          <w:rFonts w:ascii="Century" w:hAnsi="Century" w:hint="cs"/>
          <w:rtl/>
        </w:rPr>
        <w:t>ה</w:t>
      </w:r>
      <w:r w:rsidRPr="00C13646">
        <w:rPr>
          <w:rFonts w:ascii="Century" w:hAnsi="Century" w:hint="eastAsia"/>
          <w:rtl/>
        </w:rPr>
        <w:t>חוק</w:t>
      </w:r>
      <w:r w:rsidRPr="00C13646">
        <w:rPr>
          <w:rFonts w:ascii="Century" w:hAnsi="Century"/>
          <w:rtl/>
        </w:rPr>
        <w:t xml:space="preserve"> </w:t>
      </w:r>
      <w:r w:rsidRPr="00C13646">
        <w:rPr>
          <w:rFonts w:ascii="Century" w:hAnsi="Century" w:hint="eastAsia"/>
          <w:rtl/>
        </w:rPr>
        <w:t>מטעם</w:t>
      </w:r>
      <w:r w:rsidRPr="00C13646">
        <w:rPr>
          <w:rFonts w:ascii="Century" w:hAnsi="Century"/>
          <w:rtl/>
        </w:rPr>
        <w:t xml:space="preserve"> </w:t>
      </w:r>
      <w:r w:rsidRPr="00C13646">
        <w:rPr>
          <w:rFonts w:ascii="Century" w:hAnsi="Century" w:hint="eastAsia"/>
          <w:rtl/>
        </w:rPr>
        <w:t>ועדת</w:t>
      </w:r>
      <w:r w:rsidRPr="00C13646">
        <w:rPr>
          <w:rFonts w:ascii="Century" w:hAnsi="Century"/>
          <w:rtl/>
        </w:rPr>
        <w:t xml:space="preserve"> </w:t>
      </w:r>
      <w:r w:rsidRPr="00C13646">
        <w:rPr>
          <w:rFonts w:ascii="Century" w:hAnsi="Century" w:hint="eastAsia"/>
          <w:rtl/>
        </w:rPr>
        <w:t>החוקה</w:t>
      </w:r>
      <w:r>
        <w:rPr>
          <w:rFonts w:ascii="Century" w:hAnsi="Century" w:hint="cs"/>
          <w:rtl/>
        </w:rPr>
        <w:t>, חוק ומשפט של הכנסת. ההוראה נושא דיוננו נחקקה בהצבעה תקפה של חברי הכנסת ב</w:t>
      </w:r>
      <w:r>
        <w:rPr>
          <w:rFonts w:hint="cs"/>
          <w:rtl/>
        </w:rPr>
        <w:t xml:space="preserve">ישיבה שרוב משתתפיה הרימו את ידיהם בעד הצעת החוק האמורה; ודיינו בכך. בעניין זה, הנני מסכים עם דברי חברי, השופט </w:t>
      </w:r>
      <w:r w:rsidRPr="00C13646">
        <w:rPr>
          <w:rFonts w:ascii="Century" w:hAnsi="Century" w:cs="Miriam" w:hint="cs"/>
          <w:b/>
          <w:spacing w:val="0"/>
          <w:szCs w:val="24"/>
          <w:rtl/>
        </w:rPr>
        <w:t>י' כשר</w:t>
      </w:r>
      <w:r>
        <w:rPr>
          <w:rFonts w:hint="cs"/>
          <w:rtl/>
        </w:rPr>
        <w:t>.</w:t>
      </w:r>
    </w:p>
    <w:p w:rsidR="0047626A" w:rsidRDefault="0047626A" w:rsidP="0047626A">
      <w:pPr>
        <w:pStyle w:val="Ruller4"/>
        <w:numPr>
          <w:ilvl w:val="0"/>
          <w:numId w:val="0"/>
        </w:numPr>
      </w:pPr>
    </w:p>
    <w:p w:rsidR="0047626A" w:rsidRDefault="0047626A" w:rsidP="0047626A">
      <w:pPr>
        <w:pStyle w:val="Ruller4"/>
      </w:pPr>
      <w:r>
        <w:rPr>
          <w:rFonts w:hint="cs"/>
          <w:rtl/>
        </w:rPr>
        <w:t xml:space="preserve">טענת העותרים אשר מייחסת לכנסת שימוש לרעה בסמכות המכוננת, אף היא אינה מקובלת עלי. זאת, מאחר שסמכות הביקורת השיפוטית, בה אנו אוחזים, מעוגנת בחוק יסוד: השפיטה; ועל כן, אך טבעי הוא שצמצום הסמכות האמורה ייעשה באמצעות תיקון האמור באותו חוק גופו. גם בעניין זה מקובלת עלי חוות דעתו של חברי, השופט </w:t>
      </w:r>
      <w:r w:rsidRPr="00B33F2D">
        <w:rPr>
          <w:rFonts w:ascii="Century" w:hAnsi="Century" w:cs="Miriam" w:hint="cs"/>
          <w:b/>
          <w:spacing w:val="0"/>
          <w:szCs w:val="24"/>
          <w:rtl/>
        </w:rPr>
        <w:t>כשר</w:t>
      </w:r>
      <w:r>
        <w:rPr>
          <w:rFonts w:hint="cs"/>
          <w:rtl/>
        </w:rPr>
        <w:t xml:space="preserve">. </w:t>
      </w:r>
    </w:p>
    <w:p w:rsidR="0047626A" w:rsidRDefault="0047626A" w:rsidP="0047626A">
      <w:pPr>
        <w:pStyle w:val="Ruller4"/>
        <w:numPr>
          <w:ilvl w:val="0"/>
          <w:numId w:val="0"/>
        </w:numPr>
        <w:rPr>
          <w:rtl/>
        </w:rPr>
      </w:pPr>
    </w:p>
    <w:p w:rsidR="0047626A" w:rsidRDefault="0047626A" w:rsidP="0047626A">
      <w:pPr>
        <w:pStyle w:val="Ruller41"/>
        <w:rPr>
          <w:rFonts w:ascii="Century" w:hAnsi="Century" w:cs="Miriam"/>
          <w:b/>
          <w:spacing w:val="0"/>
          <w:szCs w:val="24"/>
          <w:rtl/>
        </w:rPr>
      </w:pPr>
      <w:r>
        <w:rPr>
          <w:rFonts w:ascii="Century" w:hAnsi="Century" w:cs="Miriam" w:hint="cs"/>
          <w:b/>
          <w:spacing w:val="0"/>
          <w:szCs w:val="24"/>
          <w:rtl/>
        </w:rPr>
        <w:t>הכרזת העצמאות ו</w:t>
      </w:r>
      <w:r>
        <w:rPr>
          <w:rFonts w:ascii="Century" w:hAnsi="Century" w:cs="Miriam"/>
          <w:b/>
          <w:spacing w:val="0"/>
          <w:szCs w:val="24"/>
          <w:rtl/>
        </w:rPr>
        <w:t xml:space="preserve">תפקידו של בית </w:t>
      </w:r>
      <w:r>
        <w:rPr>
          <w:rFonts w:ascii="Century" w:hAnsi="Century" w:cs="Miriam" w:hint="cs"/>
          <w:b/>
          <w:spacing w:val="0"/>
          <w:szCs w:val="24"/>
          <w:rtl/>
        </w:rPr>
        <w:t>ה</w:t>
      </w:r>
      <w:r>
        <w:rPr>
          <w:rFonts w:ascii="Century" w:hAnsi="Century" w:cs="Miriam"/>
          <w:b/>
          <w:spacing w:val="0"/>
          <w:szCs w:val="24"/>
          <w:rtl/>
        </w:rPr>
        <w:t>משפט</w:t>
      </w:r>
      <w:r>
        <w:rPr>
          <w:rFonts w:ascii="Century" w:hAnsi="Century" w:cs="Miriam" w:hint="cs"/>
          <w:b/>
          <w:spacing w:val="0"/>
          <w:szCs w:val="24"/>
          <w:rtl/>
        </w:rPr>
        <w:t xml:space="preserve"> העליון</w:t>
      </w:r>
      <w:r>
        <w:rPr>
          <w:rFonts w:ascii="Century" w:hAnsi="Century" w:cs="Miriam"/>
          <w:b/>
          <w:spacing w:val="0"/>
          <w:szCs w:val="24"/>
          <w:rtl/>
        </w:rPr>
        <w:t>: מענה לחברי</w:t>
      </w:r>
      <w:r>
        <w:rPr>
          <w:rFonts w:ascii="Century" w:hAnsi="Century" w:cs="Miriam" w:hint="cs"/>
          <w:b/>
          <w:spacing w:val="0"/>
          <w:szCs w:val="24"/>
          <w:rtl/>
        </w:rPr>
        <w:t>י</w:t>
      </w:r>
      <w:r>
        <w:rPr>
          <w:rFonts w:ascii="Century" w:hAnsi="Century" w:cs="Miriam"/>
          <w:b/>
          <w:spacing w:val="0"/>
          <w:szCs w:val="24"/>
          <w:rtl/>
        </w:rPr>
        <w:t xml:space="preserve"> </w:t>
      </w:r>
    </w:p>
    <w:p w:rsidR="0047626A" w:rsidRDefault="0047626A" w:rsidP="0047626A">
      <w:pPr>
        <w:pStyle w:val="Ruller41"/>
        <w:rPr>
          <w:rFonts w:ascii="Century" w:hAnsi="Century" w:cs="Miriam"/>
          <w:b/>
          <w:spacing w:val="0"/>
          <w:szCs w:val="24"/>
          <w:rtl/>
        </w:rPr>
      </w:pPr>
    </w:p>
    <w:p w:rsidR="0047626A" w:rsidRDefault="0047626A" w:rsidP="0047626A">
      <w:pPr>
        <w:pStyle w:val="Ruller41"/>
        <w:rPr>
          <w:rFonts w:ascii="Century" w:hAnsi="Century" w:cs="Miriam"/>
          <w:b/>
          <w:spacing w:val="0"/>
          <w:szCs w:val="24"/>
          <w:rtl/>
        </w:rPr>
      </w:pPr>
      <w:r>
        <w:rPr>
          <w:rFonts w:ascii="Century" w:hAnsi="Century" w:cs="Miriam"/>
          <w:b/>
          <w:spacing w:val="0"/>
          <w:szCs w:val="24"/>
          <w:rtl/>
        </w:rPr>
        <w:t>מענה לשופט נ' סולברג</w:t>
      </w:r>
    </w:p>
    <w:p w:rsidR="0047626A" w:rsidRDefault="0047626A" w:rsidP="0047626A">
      <w:pPr>
        <w:pStyle w:val="Ruller41"/>
        <w:rPr>
          <w:rFonts w:ascii="Century" w:hAnsi="Century" w:cs="Miriam"/>
          <w:b/>
          <w:spacing w:val="0"/>
          <w:szCs w:val="24"/>
          <w:rtl/>
        </w:rPr>
      </w:pPr>
    </w:p>
    <w:p w:rsidR="0047626A" w:rsidRDefault="0047626A" w:rsidP="0047626A">
      <w:pPr>
        <w:pStyle w:val="Ruller4"/>
      </w:pPr>
      <w:r>
        <w:rPr>
          <w:rFonts w:hint="cs"/>
          <w:rtl/>
        </w:rPr>
        <w:lastRenderedPageBreak/>
        <w:t xml:space="preserve">חברי, השופט </w:t>
      </w:r>
      <w:r w:rsidRPr="007076EC">
        <w:rPr>
          <w:rFonts w:ascii="Century" w:hAnsi="Century" w:cs="Miriam" w:hint="cs"/>
          <w:b/>
          <w:spacing w:val="0"/>
          <w:sz w:val="22"/>
          <w:szCs w:val="24"/>
          <w:rtl/>
        </w:rPr>
        <w:t>נ' סולברג</w:t>
      </w:r>
      <w:r>
        <w:rPr>
          <w:rFonts w:hint="cs"/>
          <w:rtl/>
        </w:rPr>
        <w:t xml:space="preserve">, דוחה בשתי ידיו את קביעתי לפיה חקיקת חוקי הכנסת וכינון חוקי היסוד "לעולם כפופים לגבולותיה של סמכות החקיקה הכללית אשר נקבעה בהכרזת העצמאות". לדעתו, "קביעה זו מעוררת שורה של קשיים חמוּרים, במישור הפרשני, ההיסטורי, העיוני והמעשי". </w:t>
      </w:r>
    </w:p>
    <w:p w:rsidR="0047626A" w:rsidRDefault="0047626A" w:rsidP="0047626A">
      <w:pPr>
        <w:pStyle w:val="Ruller4"/>
        <w:numPr>
          <w:ilvl w:val="0"/>
          <w:numId w:val="0"/>
        </w:numPr>
      </w:pPr>
    </w:p>
    <w:p w:rsidR="0047626A" w:rsidRDefault="0047626A" w:rsidP="0047626A">
      <w:pPr>
        <w:pStyle w:val="Ruller4"/>
      </w:pPr>
      <w:r>
        <w:rPr>
          <w:rFonts w:hint="cs"/>
          <w:rtl/>
        </w:rPr>
        <w:t xml:space="preserve">אאחוז את השור בקרניו ואסיר מסדר היום את ה"קשיים" עליהם מצביע חברי באבחה אחת </w:t>
      </w:r>
      <w:r>
        <w:rPr>
          <w:rtl/>
        </w:rPr>
        <w:t>–</w:t>
      </w:r>
      <w:r>
        <w:rPr>
          <w:rFonts w:hint="cs"/>
          <w:rtl/>
        </w:rPr>
        <w:t xml:space="preserve"> על ידי הצבעה על שורש-השורשים של הטעות שנפלה אצל חברי: </w:t>
      </w:r>
      <w:r w:rsidRPr="00A7705A">
        <w:rPr>
          <w:rFonts w:ascii="Century" w:hAnsi="Century" w:cs="Miriam" w:hint="cs"/>
          <w:b/>
          <w:spacing w:val="0"/>
          <w:sz w:val="22"/>
          <w:szCs w:val="24"/>
          <w:u w:val="single"/>
          <w:rtl/>
        </w:rPr>
        <w:t>התעלמות מהדברים המפורשים אשר נקבעו במנשר ובפקודת סדרי השלטון והמשפט ביחס לכלל סמכויות החקיקה</w:t>
      </w:r>
      <w:r>
        <w:rPr>
          <w:rFonts w:hint="cs"/>
          <w:rtl/>
        </w:rPr>
        <w:t>. כפי שציינתי בחוות דעתי הנוכחית, וקודם-לכן ב</w:t>
      </w:r>
      <w:r w:rsidRPr="00A7705A">
        <w:rPr>
          <w:rFonts w:ascii="Century" w:hAnsi="Century" w:cs="Miriam" w:hint="cs"/>
          <w:b/>
          <w:spacing w:val="0"/>
          <w:sz w:val="22"/>
          <w:szCs w:val="24"/>
          <w:rtl/>
        </w:rPr>
        <w:t>בג"ץ טבריה</w:t>
      </w:r>
      <w:r>
        <w:rPr>
          <w:rFonts w:hint="cs"/>
          <w:rtl/>
        </w:rPr>
        <w:t xml:space="preserve">, המנשר קבע, ביום 14.5.1948, כי הכרזתו בדבר הקמת הגוף המחוקק והמכונן של מדינת ישראל </w:t>
      </w:r>
      <w:r>
        <w:rPr>
          <w:rtl/>
        </w:rPr>
        <w:t>–</w:t>
      </w:r>
      <w:r>
        <w:rPr>
          <w:rFonts w:hint="cs"/>
          <w:rtl/>
        </w:rPr>
        <w:t xml:space="preserve"> מועצת המדינה הזמנית, קודמתן של הכּנסות שירשו את סמכויותיה </w:t>
      </w:r>
      <w:r>
        <w:rPr>
          <w:rtl/>
        </w:rPr>
        <w:t>–</w:t>
      </w:r>
      <w:r>
        <w:rPr>
          <w:rFonts w:hint="cs"/>
          <w:rtl/>
        </w:rPr>
        <w:t xml:space="preserve"> </w:t>
      </w:r>
      <w:r w:rsidRPr="00A7705A">
        <w:rPr>
          <w:rFonts w:ascii="Century" w:hAnsi="Century" w:cs="Miriam" w:hint="cs"/>
          <w:b/>
          <w:spacing w:val="0"/>
          <w:sz w:val="22"/>
          <w:szCs w:val="24"/>
          <w:rtl/>
        </w:rPr>
        <w:t>באה מכוחה של הכרזת העצמאות</w:t>
      </w:r>
      <w:r>
        <w:rPr>
          <w:rFonts w:hint="cs"/>
          <w:rtl/>
        </w:rPr>
        <w:t xml:space="preserve">. כמו כן קבע המנשר, במילים ברורות ומפורשות לא פחות, כי מועצת המדינה הזמנית לא הוקמה אלא </w:t>
      </w:r>
      <w:r w:rsidRPr="00A7705A">
        <w:rPr>
          <w:rFonts w:ascii="Century" w:hAnsi="Century" w:cs="Miriam" w:hint="cs"/>
          <w:b/>
          <w:spacing w:val="0"/>
          <w:sz w:val="22"/>
          <w:szCs w:val="24"/>
          <w:rtl/>
        </w:rPr>
        <w:t>לפי הכרזת העצמאות</w:t>
      </w:r>
      <w:r>
        <w:rPr>
          <w:rFonts w:hint="cs"/>
          <w:rtl/>
        </w:rPr>
        <w:t xml:space="preserve">. כעבור שבוע, דבר חקיקה מייסד נוסף, פקודת סדרי השלטון והמשפט, קבע כי מועצת המדינה הזמנית מחוקקת אותו מתוקף סמכותה </w:t>
      </w:r>
      <w:r w:rsidRPr="00A7705A">
        <w:rPr>
          <w:rFonts w:ascii="Century" w:hAnsi="Century" w:cs="Miriam" w:hint="cs"/>
          <w:b/>
          <w:spacing w:val="0"/>
          <w:sz w:val="22"/>
          <w:szCs w:val="24"/>
          <w:rtl/>
        </w:rPr>
        <w:t>לפי הכרזת העצמאות</w:t>
      </w:r>
      <w:r>
        <w:rPr>
          <w:rFonts w:hint="cs"/>
          <w:rtl/>
        </w:rPr>
        <w:t xml:space="preserve">. בזאת הכול התחיל; ולדידי, בזאת הדיון במעמדה של הכרזת העצמאות מסתיים: </w:t>
      </w:r>
      <w:r w:rsidRPr="00A7705A">
        <w:rPr>
          <w:rFonts w:ascii="Century" w:hAnsi="Century" w:cs="Miriam" w:hint="cs"/>
          <w:b/>
          <w:spacing w:val="0"/>
          <w:sz w:val="22"/>
          <w:szCs w:val="24"/>
          <w:rtl/>
        </w:rPr>
        <w:t>הכרזת העצמאות היא המקור האולטימטיבי של הסמכות לחוקק חוקים ולכונן חוקי-יסוד במדינת ישראל</w:t>
      </w:r>
      <w:r>
        <w:rPr>
          <w:rFonts w:hint="cs"/>
          <w:rtl/>
        </w:rPr>
        <w:t xml:space="preserve">. ההכרזה עצמה אינה בגדר חוקה, אך יש לה מעמד חוקתי, על-חוקי, כנורמת יסוד עליה עומד המשפט הישראלי כולו </w:t>
      </w:r>
      <w:r>
        <w:rPr>
          <w:rtl/>
        </w:rPr>
        <w:t>–</w:t>
      </w:r>
      <w:r>
        <w:rPr>
          <w:rFonts w:hint="cs"/>
          <w:rtl/>
        </w:rPr>
        <w:t xml:space="preserve"> כפי שהסברתי בחוות דעתי. </w:t>
      </w:r>
    </w:p>
    <w:p w:rsidR="0047626A" w:rsidRDefault="0047626A" w:rsidP="0047626A">
      <w:pPr>
        <w:pStyle w:val="Ruller4"/>
        <w:numPr>
          <w:ilvl w:val="0"/>
          <w:numId w:val="0"/>
        </w:numPr>
      </w:pPr>
    </w:p>
    <w:p w:rsidR="0047626A" w:rsidRDefault="0047626A" w:rsidP="0047626A">
      <w:pPr>
        <w:pStyle w:val="Ruller4"/>
      </w:pPr>
      <w:r>
        <w:rPr>
          <w:rFonts w:hint="cs"/>
          <w:rtl/>
        </w:rPr>
        <w:t xml:space="preserve">חברי מעלה שורה ארוכה של שאלות ותהיות שתחילתן ב"כיצד ייתכן?". דא עקא, כל השאלות והתהיות הללו מתנפצות לרסיסי-רסיסים בהיתקלותן בסלע-קיומנו המשפטי: </w:t>
      </w:r>
      <w:r w:rsidRPr="00A7705A">
        <w:rPr>
          <w:rFonts w:ascii="Century" w:hAnsi="Century" w:cs="Miriam" w:hint="cs"/>
          <w:b/>
          <w:spacing w:val="0"/>
          <w:sz w:val="22"/>
          <w:szCs w:val="24"/>
          <w:rtl/>
        </w:rPr>
        <w:t>הכרזת העצמאות</w:t>
      </w:r>
      <w:r>
        <w:rPr>
          <w:rFonts w:hint="cs"/>
          <w:rtl/>
        </w:rPr>
        <w:t xml:space="preserve">, </w:t>
      </w:r>
      <w:r w:rsidRPr="00A7705A">
        <w:rPr>
          <w:rFonts w:ascii="Century" w:hAnsi="Century" w:cs="Miriam" w:hint="cs"/>
          <w:b/>
          <w:spacing w:val="0"/>
          <w:sz w:val="22"/>
          <w:szCs w:val="24"/>
          <w:rtl/>
        </w:rPr>
        <w:t>מסמך מכונן אשר מחובר חיבור קבע אל אבני היסוד שהניחו המנשר ופקודת סדרי השלטון והמשפט</w:t>
      </w:r>
      <w:r>
        <w:rPr>
          <w:rFonts w:hint="cs"/>
          <w:rtl/>
        </w:rPr>
        <w:t xml:space="preserve">. חברי סומך את ידיו על דעותיהם של שופטים, מלומדי משפט ומדינאים </w:t>
      </w:r>
      <w:r>
        <w:rPr>
          <w:rtl/>
        </w:rPr>
        <w:t>–</w:t>
      </w:r>
      <w:r>
        <w:rPr>
          <w:rFonts w:hint="cs"/>
          <w:rtl/>
        </w:rPr>
        <w:t xml:space="preserve"> שורה ארוכה ומרשימה של אנשי אשכולות אשר ניצבים מאחורי הדעה הרווחת השוללת מהכרזת העצמאות מעמד קונסטיטוציוני. ברם, למיטב ידיעתי, הגותם החוקתית של כל האישים המכובדים הללו </w:t>
      </w:r>
      <w:r w:rsidRPr="00A7705A">
        <w:rPr>
          <w:rFonts w:ascii="Century" w:hAnsi="Century" w:cs="Miriam" w:hint="cs"/>
          <w:b/>
          <w:spacing w:val="0"/>
          <w:sz w:val="22"/>
          <w:szCs w:val="24"/>
          <w:rtl/>
        </w:rPr>
        <w:t xml:space="preserve">אינה כוללת התייחסות למילותיהם המפורשות והברורות של המנשר ושל פקודת סדרי השלטון והמשפט, </w:t>
      </w:r>
      <w:r w:rsidRPr="00A7705A">
        <w:rPr>
          <w:rFonts w:ascii="Century" w:hAnsi="Century" w:cs="Miriam" w:hint="cs"/>
          <w:b/>
          <w:spacing w:val="0"/>
          <w:sz w:val="22"/>
          <w:szCs w:val="24"/>
          <w:u w:val="single"/>
          <w:rtl/>
        </w:rPr>
        <w:t>אשר אומרות את ההפך הגמור</w:t>
      </w:r>
      <w:r>
        <w:rPr>
          <w:rFonts w:hint="cs"/>
          <w:rtl/>
        </w:rPr>
        <w:t xml:space="preserve">; ומכל מקום, חברי אינו מביא התייחסות כאמור בפסק דינו. במצב דברים זה, אין בידי לומר אלא זאת: חזרה על אותה טעות אינה יכולה להפוך את הטעות לאמת. </w:t>
      </w:r>
    </w:p>
    <w:p w:rsidR="0047626A" w:rsidRDefault="0047626A" w:rsidP="0047626A">
      <w:pPr>
        <w:pStyle w:val="Ruller4"/>
        <w:numPr>
          <w:ilvl w:val="0"/>
          <w:numId w:val="0"/>
        </w:numPr>
      </w:pPr>
    </w:p>
    <w:p w:rsidR="0047626A" w:rsidRDefault="0047626A" w:rsidP="0047626A">
      <w:pPr>
        <w:pStyle w:val="Ruller4"/>
      </w:pPr>
      <w:r>
        <w:rPr>
          <w:rFonts w:hint="cs"/>
          <w:rtl/>
        </w:rPr>
        <w:lastRenderedPageBreak/>
        <w:t>המנשר ופקודת סדרי השלטון והמשפט הניחו יסודות להקמתו של משפט המדינה. אמירתם הברורה כי סמכויותיה של מועצת המדינה הזמנית מעוגנות בהכרזת העצמאות, משמעה שלמועצת המדינה הזמנית ולכּנסות אשר באו אחריה אין סמכויות מעבר לכך. כפי שהסברתי בחוות דעתי הנוכחית, וקודם-לכן ב</w:t>
      </w:r>
      <w:r w:rsidRPr="00A7705A">
        <w:rPr>
          <w:rFonts w:ascii="Century" w:hAnsi="Century" w:cs="Miriam" w:hint="cs"/>
          <w:b/>
          <w:spacing w:val="0"/>
          <w:sz w:val="22"/>
          <w:szCs w:val="24"/>
          <w:rtl/>
        </w:rPr>
        <w:t>בג"ץ טבריה</w:t>
      </w:r>
      <w:r>
        <w:rPr>
          <w:rFonts w:hint="cs"/>
          <w:rtl/>
        </w:rPr>
        <w:t xml:space="preserve">, אמירה זו מטמיעה בתוכה את כלל ההכרה הבסיסי עליו עומד המשפט הישראלי כולו. חברי מציג תזה לפיה הכנסת קנתה לעצמה סמכות בלתי מוגבלת לכונן כל חוק-יסוד בו תחפוץ, אך אינו מציין את </w:t>
      </w:r>
      <w:r w:rsidRPr="00A7705A">
        <w:rPr>
          <w:rFonts w:ascii="Century" w:hAnsi="Century" w:cs="Miriam" w:hint="cs"/>
          <w:b/>
          <w:spacing w:val="0"/>
          <w:sz w:val="22"/>
          <w:szCs w:val="24"/>
          <w:rtl/>
        </w:rPr>
        <w:t>המקור הפורמלי</w:t>
      </w:r>
      <w:r>
        <w:rPr>
          <w:rFonts w:hint="cs"/>
          <w:rtl/>
        </w:rPr>
        <w:t xml:space="preserve"> של הסמכות לכינונם של חוקים כאלה. כיצד נדע, אם כן, שחברי מציג תזת אמת המצויה בעולמן של עובדות, להבדיל ממקבץ של אמונות וערכים פרטיים? חברי מבקר את שופטי הרוב על שבחרו לבסס את סמכות הביקורת השיפוטית ביחס לחוקי-יסוד על היותה של מדינתנו "יהודית ודמוקרטית". לדבריו </w:t>
      </w:r>
      <w:r>
        <w:rPr>
          <w:rtl/>
        </w:rPr>
        <w:t>–</w:t>
      </w:r>
      <w:r>
        <w:rPr>
          <w:rFonts w:hint="cs"/>
          <w:rtl/>
        </w:rPr>
        <w:t xml:space="preserve"> ועמהם אני מסכים </w:t>
      </w:r>
      <w:r>
        <w:rPr>
          <w:rtl/>
        </w:rPr>
        <w:t>–</w:t>
      </w:r>
      <w:r>
        <w:rPr>
          <w:rFonts w:hint="cs"/>
          <w:rtl/>
        </w:rPr>
        <w:t xml:space="preserve"> לביסוס זה של סמכות הביקורת השיפוטית אין אחיזה בדין הפוזיטיבי. אם כך הוא הדבר, הבה נשאל את עצמנו אם הדין הפוזיטיבי מכיר בסמכות הכנסת לכונן כל חוק-יסוד שיעלה על רוחה? בדקתי את הדין הפוזיטיבי לאורכו ולרוחבו ולא מצאתי בו שום הוראה אשר מקנה לכנסת סמכות מעין זאת </w:t>
      </w:r>
      <w:r>
        <w:rPr>
          <w:rtl/>
        </w:rPr>
        <w:t>–</w:t>
      </w:r>
      <w:r>
        <w:rPr>
          <w:rFonts w:hint="cs"/>
          <w:rtl/>
        </w:rPr>
        <w:t xml:space="preserve"> ולא בכדי: הכנסת מקבצת בתוכה את נבחרי העם, אך היא אינה "שמש העמים". האם חברי מאמין שהכנסת מוסמכת לכונן חוקי-יסוד אשר יחלקו מחדש את זכויות הקניין בנכסים פרטיים, יבטלו את זכאות היהודים לשבות, או יאסרו על קיום יחסי מין הומוסקסואליים בין בגירים ויתגברו את האיסור בסנקציה עונשית? אם כן, מכוח מה? היכן בדיוק נמצאת הסמכות לה טוען חברי? האם יש לסמכות זו בסיס פורמלי כלשהו? לחברי אין תשובות לשאלות יסודיות אלה בגדרי הדין הפוזיטיבי. דומני אפוא כי חברי הכניס את עצמו בטיעוניו, בלי משים, לשיח החוקתי השגוי עליו הצבעתי בפתח דבריי: שיח שנשען על הנחת המבוקש, אשר מתנהל לפי הדפוס של משחק ילדים "אבן, נייר ומספריים".</w:t>
      </w:r>
    </w:p>
    <w:p w:rsidR="0047626A" w:rsidRDefault="0047626A" w:rsidP="0047626A">
      <w:pPr>
        <w:pStyle w:val="Ruller4"/>
        <w:numPr>
          <w:ilvl w:val="0"/>
          <w:numId w:val="0"/>
        </w:numPr>
      </w:pPr>
    </w:p>
    <w:p w:rsidR="0047626A" w:rsidRDefault="0047626A" w:rsidP="0047626A">
      <w:pPr>
        <w:pStyle w:val="Ruller4"/>
      </w:pPr>
      <w:r>
        <w:rPr>
          <w:rFonts w:hint="cs"/>
          <w:rtl/>
        </w:rPr>
        <w:t>כפי שציינתי בחוות דעתי הנוכחית, וקודם-לכן ב</w:t>
      </w:r>
      <w:r w:rsidRPr="00A7705A">
        <w:rPr>
          <w:rFonts w:ascii="Century" w:hAnsi="Century" w:cs="Miriam" w:hint="cs"/>
          <w:b/>
          <w:spacing w:val="0"/>
          <w:sz w:val="22"/>
          <w:szCs w:val="24"/>
          <w:rtl/>
        </w:rPr>
        <w:t>בג"ץ טבריה</w:t>
      </w:r>
      <w:r>
        <w:rPr>
          <w:rFonts w:hint="cs"/>
          <w:rtl/>
        </w:rPr>
        <w:t xml:space="preserve">, אם נסיר מהכרזת העצמאות את מעמדה ככלל ההכרה הבסיסי </w:t>
      </w:r>
      <w:r>
        <w:rPr>
          <w:rtl/>
        </w:rPr>
        <w:t>–</w:t>
      </w:r>
      <w:r>
        <w:rPr>
          <w:rFonts w:hint="cs"/>
          <w:rtl/>
        </w:rPr>
        <w:t xml:space="preserve"> וכבסיס לסמכויות החקיקה ולכינון חוקי-יסוד </w:t>
      </w:r>
      <w:r>
        <w:rPr>
          <w:rtl/>
        </w:rPr>
        <w:t>–</w:t>
      </w:r>
      <w:r>
        <w:rPr>
          <w:rFonts w:hint="cs"/>
          <w:rtl/>
        </w:rPr>
        <w:t xml:space="preserve"> נמצא את עצמנו עומדים מול כנסת שאינה אוחזת בשום סמכות חקיקה פורמלית. כאמור, תוצאה זו אינה מתקבלת על הדעת. </w:t>
      </w:r>
    </w:p>
    <w:p w:rsidR="0047626A" w:rsidRDefault="0047626A" w:rsidP="0047626A">
      <w:pPr>
        <w:pStyle w:val="Ruller4"/>
        <w:numPr>
          <w:ilvl w:val="0"/>
          <w:numId w:val="0"/>
        </w:numPr>
      </w:pPr>
    </w:p>
    <w:p w:rsidR="0047626A" w:rsidRDefault="0047626A" w:rsidP="0047626A">
      <w:pPr>
        <w:pStyle w:val="Ruller4"/>
      </w:pPr>
      <w:r>
        <w:rPr>
          <w:rFonts w:hint="cs"/>
          <w:rtl/>
        </w:rPr>
        <w:t xml:space="preserve">חברי מעלה תהיות ביחס לקביעתי לפיה הכנסת אינה מוסמכת לכונן חוק-יסוד שמאיין את סמכות הביקורת השיפוטית של בתי המשפט. באופן ספציפי יותר, חברי שואל מניין לי לדעת שחוק כזה יפר את דרישת הצדק שבהכרזת העצמאות. לשאלה זו אענה בקיצור נמרץ: הכרזת העצמאות אימצה את מערכת המושגים האוניברסלית של זכויות האדם ושל התנגדות למשטרים טוטליטריים, אשר אפיינו את רוח התקופה שאחרי </w:t>
      </w:r>
      <w:r>
        <w:rPr>
          <w:rFonts w:hint="cs"/>
          <w:rtl/>
        </w:rPr>
        <w:lastRenderedPageBreak/>
        <w:t xml:space="preserve">מלחמת העולם השנייה (ראו: </w:t>
      </w:r>
      <w:r w:rsidRPr="00A7705A">
        <w:rPr>
          <w:rFonts w:asciiTheme="majorBidi" w:hAnsiTheme="majorBidi" w:cstheme="majorBidi"/>
        </w:rPr>
        <w:t xml:space="preserve">Yoram Shachar, </w:t>
      </w:r>
      <w:r w:rsidRPr="00A7705A">
        <w:rPr>
          <w:rFonts w:asciiTheme="majorBidi" w:hAnsiTheme="majorBidi" w:cstheme="majorBidi"/>
          <w:i/>
          <w:iCs/>
        </w:rPr>
        <w:t>Jefferson Goes East: The American Origins of the Israeli Declaration of Independence</w:t>
      </w:r>
      <w:r w:rsidRPr="00A7705A">
        <w:rPr>
          <w:rFonts w:asciiTheme="majorBidi" w:hAnsiTheme="majorBidi" w:cstheme="majorBidi"/>
        </w:rPr>
        <w:t xml:space="preserve">, 10 </w:t>
      </w:r>
      <w:r w:rsidRPr="00A7705A">
        <w:rPr>
          <w:rFonts w:asciiTheme="majorBidi" w:hAnsiTheme="majorBidi" w:cstheme="majorBidi"/>
          <w:smallCaps/>
        </w:rPr>
        <w:t>Theoretical Inq. L.</w:t>
      </w:r>
      <w:r w:rsidRPr="00A7705A">
        <w:rPr>
          <w:rFonts w:asciiTheme="majorBidi" w:hAnsiTheme="majorBidi" w:cstheme="majorBidi"/>
        </w:rPr>
        <w:t xml:space="preserve"> 589 (2009)</w:t>
      </w:r>
      <w:r>
        <w:rPr>
          <w:rFonts w:hint="cs"/>
          <w:rtl/>
        </w:rPr>
        <w:t xml:space="preserve">). הסרת הביקורת השיפוטית ממעשיהם של בעלי שררה שפוגעים באזרח אינה יכולה לדור בכפיפה אחת עם דרישת הצדק המשפטי, כפי שהובנה אז וכפי שהיא מובנת כעת. </w:t>
      </w:r>
    </w:p>
    <w:p w:rsidR="0047626A" w:rsidRDefault="0047626A" w:rsidP="0047626A">
      <w:pPr>
        <w:pStyle w:val="Ruller4"/>
        <w:numPr>
          <w:ilvl w:val="0"/>
          <w:numId w:val="0"/>
        </w:numPr>
      </w:pPr>
    </w:p>
    <w:p w:rsidR="0047626A" w:rsidRDefault="0047626A" w:rsidP="0047626A">
      <w:pPr>
        <w:pStyle w:val="Ruller4"/>
      </w:pPr>
      <w:r>
        <w:rPr>
          <w:rFonts w:hint="cs"/>
          <w:rtl/>
        </w:rPr>
        <w:t>חברי סבור כי הכרתנו בהכרזת העצמאות כנורמת-על תיצור מצב בלתי רצוי של חוסר היקבעוּת (</w:t>
      </w:r>
      <w:r w:rsidRPr="00A7705A">
        <w:rPr>
          <w:rFonts w:asciiTheme="majorBidi" w:hAnsiTheme="majorBidi" w:cstheme="majorBidi"/>
        </w:rPr>
        <w:t>indeterminacy</w:t>
      </w:r>
      <w:r>
        <w:rPr>
          <w:rFonts w:hint="cs"/>
          <w:rtl/>
        </w:rPr>
        <w:t xml:space="preserve">) </w:t>
      </w:r>
      <w:r>
        <w:rPr>
          <w:rtl/>
        </w:rPr>
        <w:t>–</w:t>
      </w:r>
      <w:r>
        <w:rPr>
          <w:rFonts w:hint="cs"/>
          <w:rtl/>
        </w:rPr>
        <w:t xml:space="preserve"> ערפל משפטי אשר יאפשר לשופטים, שאינם נבחרי העם, להיכנס לנעליו של מחוקק-העל ולהזין את המשפט החוקתי בערכיהם הפרטיים. חשש זה </w:t>
      </w:r>
      <w:r>
        <w:rPr>
          <w:rFonts w:hint="eastAsia"/>
          <w:rtl/>
        </w:rPr>
        <w:t>נראה לי</w:t>
      </w:r>
      <w:r>
        <w:rPr>
          <w:rFonts w:hint="cs"/>
          <w:rtl/>
        </w:rPr>
        <w:t xml:space="preserve"> מופרז. כפי שהוסבר על ידי, הכרזת העצמאות היא, בראש ובראשונה, מקור סמכותה של הכנסת. הכנסת היא זאת שאמורה להזין תכנים קונקרטיים אל תוך המושגים הכלליים שבהכרזת העצמאות </w:t>
      </w:r>
      <w:r>
        <w:rPr>
          <w:rtl/>
        </w:rPr>
        <w:t>–</w:t>
      </w:r>
      <w:r>
        <w:rPr>
          <w:rFonts w:hint="cs"/>
          <w:rtl/>
        </w:rPr>
        <w:t xml:space="preserve"> היא, ולא אנחנו. בית המשפט העליון מוסמך להתערב בפועלה של הכנסת כמחוקק וכמחוקק-על, אשר נבחר על ידי העם, רק כאשר מדובר בחוק רגיל או בחוק-יסוד שאינו עולה בקנה אחד </w:t>
      </w:r>
      <w:r w:rsidRPr="00A7705A">
        <w:rPr>
          <w:rFonts w:ascii="Century" w:hAnsi="Century" w:cs="Miriam" w:hint="cs"/>
          <w:b/>
          <w:spacing w:val="0"/>
          <w:sz w:val="22"/>
          <w:szCs w:val="24"/>
          <w:rtl/>
        </w:rPr>
        <w:t>עם שום מובן אפשרי</w:t>
      </w:r>
      <w:r>
        <w:rPr>
          <w:rFonts w:hint="cs"/>
          <w:rtl/>
        </w:rPr>
        <w:t xml:space="preserve"> שניתן לייחס לעקרונותיה של הכרזת העצמאות. למשל, כפי שקבעתי ב</w:t>
      </w:r>
      <w:r w:rsidRPr="00A7705A">
        <w:rPr>
          <w:rFonts w:ascii="Century" w:hAnsi="Century" w:cs="Miriam" w:hint="cs"/>
          <w:b/>
          <w:spacing w:val="0"/>
          <w:sz w:val="22"/>
          <w:szCs w:val="24"/>
          <w:rtl/>
        </w:rPr>
        <w:t>בג"ץ טבריה</w:t>
      </w:r>
      <w:r>
        <w:rPr>
          <w:rFonts w:hint="cs"/>
          <w:rtl/>
        </w:rPr>
        <w:t xml:space="preserve">: חוק פרסונלי מובהק אשר בא להטיב עם יקיר הקואליציה, שאמונה על חקיקתו, אינו עולה בקנה אחד עם שום מובן של הדרישה ל"שוויון גמור" שבהכרזת העצמאות. חוק כזה אין הכנסת מוסמכת לחוקק, ועל כן אין לו תוקף משפטי. כך הוא לגבי חוק רגיל, וכך הוא גם לגבי חוקי-יסוד. </w:t>
      </w:r>
    </w:p>
    <w:p w:rsidR="0047626A" w:rsidRDefault="0047626A" w:rsidP="0047626A">
      <w:pPr>
        <w:pStyle w:val="Ruller4"/>
        <w:numPr>
          <w:ilvl w:val="0"/>
          <w:numId w:val="0"/>
        </w:numPr>
      </w:pPr>
    </w:p>
    <w:p w:rsidR="0047626A" w:rsidRDefault="0047626A" w:rsidP="0047626A">
      <w:pPr>
        <w:pStyle w:val="Ruller4"/>
      </w:pPr>
      <w:r w:rsidRPr="00A7705A">
        <w:rPr>
          <w:rFonts w:ascii="Century" w:hAnsi="Century" w:hint="eastAsia"/>
          <w:sz w:val="22"/>
          <w:rtl/>
        </w:rPr>
        <w:t>חברי</w:t>
      </w:r>
      <w:r w:rsidRPr="00A7705A">
        <w:rPr>
          <w:rFonts w:ascii="Century" w:hAnsi="Century"/>
          <w:sz w:val="22"/>
          <w:rtl/>
        </w:rPr>
        <w:t xml:space="preserve"> </w:t>
      </w:r>
      <w:r w:rsidRPr="00A7705A">
        <w:rPr>
          <w:rFonts w:ascii="Century" w:hAnsi="Century" w:hint="eastAsia"/>
          <w:sz w:val="22"/>
          <w:rtl/>
        </w:rPr>
        <w:t>מזהה</w:t>
      </w:r>
      <w:r w:rsidRPr="00A7705A">
        <w:rPr>
          <w:rFonts w:ascii="Century" w:hAnsi="Century"/>
          <w:sz w:val="22"/>
          <w:rtl/>
        </w:rPr>
        <w:t xml:space="preserve"> </w:t>
      </w:r>
      <w:r w:rsidRPr="00A7705A">
        <w:rPr>
          <w:rFonts w:ascii="Century" w:hAnsi="Century" w:hint="eastAsia"/>
          <w:sz w:val="22"/>
          <w:rtl/>
        </w:rPr>
        <w:t>שורה</w:t>
      </w:r>
      <w:r w:rsidRPr="00A7705A">
        <w:rPr>
          <w:rFonts w:ascii="Century" w:hAnsi="Century"/>
          <w:sz w:val="22"/>
          <w:rtl/>
        </w:rPr>
        <w:t xml:space="preserve"> </w:t>
      </w:r>
      <w:r w:rsidRPr="00A7705A">
        <w:rPr>
          <w:rFonts w:ascii="Century" w:hAnsi="Century" w:hint="eastAsia"/>
          <w:sz w:val="22"/>
          <w:rtl/>
        </w:rPr>
        <w:t>של</w:t>
      </w:r>
      <w:r w:rsidRPr="00A7705A">
        <w:rPr>
          <w:rFonts w:ascii="Century" w:hAnsi="Century"/>
          <w:sz w:val="22"/>
          <w:rtl/>
        </w:rPr>
        <w:t xml:space="preserve"> </w:t>
      </w:r>
      <w:r w:rsidRPr="00A7705A">
        <w:rPr>
          <w:rFonts w:ascii="Century" w:hAnsi="Century" w:hint="eastAsia"/>
          <w:sz w:val="22"/>
          <w:rtl/>
        </w:rPr>
        <w:t>קשיים</w:t>
      </w:r>
      <w:r w:rsidRPr="00A7705A">
        <w:rPr>
          <w:rFonts w:ascii="Century" w:hAnsi="Century"/>
          <w:sz w:val="22"/>
          <w:rtl/>
        </w:rPr>
        <w:t xml:space="preserve"> </w:t>
      </w:r>
      <w:r w:rsidRPr="00A7705A">
        <w:rPr>
          <w:rFonts w:ascii="Century" w:hAnsi="Century" w:hint="eastAsia"/>
          <w:sz w:val="22"/>
          <w:rtl/>
        </w:rPr>
        <w:t>יישומיים</w:t>
      </w:r>
      <w:r w:rsidRPr="00A7705A">
        <w:rPr>
          <w:rFonts w:ascii="Century" w:hAnsi="Century"/>
          <w:sz w:val="22"/>
          <w:rtl/>
        </w:rPr>
        <w:t xml:space="preserve"> </w:t>
      </w:r>
      <w:r w:rsidRPr="00A7705A">
        <w:rPr>
          <w:rFonts w:ascii="Century" w:hAnsi="Century" w:hint="eastAsia"/>
          <w:sz w:val="22"/>
          <w:rtl/>
        </w:rPr>
        <w:t>שלשיטתו</w:t>
      </w:r>
      <w:r w:rsidRPr="00A7705A">
        <w:rPr>
          <w:rFonts w:ascii="Century" w:hAnsi="Century"/>
          <w:sz w:val="22"/>
          <w:rtl/>
        </w:rPr>
        <w:t xml:space="preserve"> </w:t>
      </w:r>
      <w:r w:rsidRPr="00A7705A">
        <w:rPr>
          <w:rFonts w:ascii="Century" w:hAnsi="Century" w:hint="eastAsia"/>
          <w:sz w:val="22"/>
          <w:rtl/>
        </w:rPr>
        <w:t>יתעוררו</w:t>
      </w:r>
      <w:r w:rsidRPr="00A7705A">
        <w:rPr>
          <w:rFonts w:ascii="Century" w:hAnsi="Century"/>
          <w:sz w:val="22"/>
          <w:rtl/>
        </w:rPr>
        <w:t xml:space="preserve"> </w:t>
      </w:r>
      <w:r w:rsidRPr="00A7705A">
        <w:rPr>
          <w:rFonts w:ascii="Century" w:hAnsi="Century" w:hint="eastAsia"/>
          <w:sz w:val="22"/>
          <w:rtl/>
        </w:rPr>
        <w:t>בעקבות</w:t>
      </w:r>
      <w:r w:rsidRPr="00A7705A">
        <w:rPr>
          <w:rFonts w:ascii="Century" w:hAnsi="Century"/>
          <w:sz w:val="22"/>
          <w:rtl/>
        </w:rPr>
        <w:t xml:space="preserve"> </w:t>
      </w:r>
      <w:r w:rsidRPr="00A7705A">
        <w:rPr>
          <w:rFonts w:ascii="Century" w:hAnsi="Century" w:hint="eastAsia"/>
          <w:sz w:val="22"/>
          <w:rtl/>
        </w:rPr>
        <w:t>הכרתנו</w:t>
      </w:r>
      <w:r w:rsidRPr="00A7705A">
        <w:rPr>
          <w:rFonts w:ascii="Century" w:hAnsi="Century"/>
          <w:sz w:val="22"/>
          <w:rtl/>
        </w:rPr>
        <w:t xml:space="preserve"> </w:t>
      </w:r>
      <w:r w:rsidRPr="00A7705A">
        <w:rPr>
          <w:rFonts w:ascii="Century" w:hAnsi="Century" w:hint="eastAsia"/>
          <w:sz w:val="22"/>
          <w:rtl/>
        </w:rPr>
        <w:t>בהכרזת</w:t>
      </w:r>
      <w:r w:rsidRPr="00A7705A">
        <w:rPr>
          <w:rFonts w:ascii="Century" w:hAnsi="Century"/>
          <w:sz w:val="22"/>
          <w:rtl/>
        </w:rPr>
        <w:t xml:space="preserve"> </w:t>
      </w:r>
      <w:r w:rsidRPr="00A7705A">
        <w:rPr>
          <w:rFonts w:ascii="Century" w:hAnsi="Century" w:hint="eastAsia"/>
          <w:sz w:val="22"/>
          <w:rtl/>
        </w:rPr>
        <w:t>העצמאות</w:t>
      </w:r>
      <w:r w:rsidRPr="00A7705A">
        <w:rPr>
          <w:rFonts w:ascii="Century" w:hAnsi="Century"/>
          <w:sz w:val="22"/>
          <w:rtl/>
        </w:rPr>
        <w:t xml:space="preserve"> </w:t>
      </w:r>
      <w:r w:rsidRPr="00A7705A">
        <w:rPr>
          <w:rFonts w:ascii="Century" w:hAnsi="Century" w:hint="eastAsia"/>
          <w:sz w:val="22"/>
          <w:rtl/>
        </w:rPr>
        <w:t>כנורמת</w:t>
      </w:r>
      <w:r w:rsidRPr="00A7705A">
        <w:rPr>
          <w:rFonts w:ascii="Century" w:hAnsi="Century" w:hint="cs"/>
          <w:sz w:val="22"/>
          <w:rtl/>
        </w:rPr>
        <w:t>-</w:t>
      </w:r>
      <w:r w:rsidRPr="00A7705A">
        <w:rPr>
          <w:rFonts w:ascii="Century" w:hAnsi="Century" w:hint="eastAsia"/>
          <w:sz w:val="22"/>
          <w:rtl/>
        </w:rPr>
        <w:t>על</w:t>
      </w:r>
      <w:r w:rsidRPr="00A7705A">
        <w:rPr>
          <w:rFonts w:ascii="Century" w:hAnsi="Century"/>
          <w:sz w:val="22"/>
          <w:rtl/>
        </w:rPr>
        <w:t xml:space="preserve">. </w:t>
      </w:r>
      <w:r w:rsidRPr="00A7705A">
        <w:rPr>
          <w:rFonts w:ascii="Century" w:hAnsi="Century" w:hint="eastAsia"/>
          <w:sz w:val="22"/>
          <w:rtl/>
        </w:rPr>
        <w:t>מבלי</w:t>
      </w:r>
      <w:r w:rsidRPr="00A7705A">
        <w:rPr>
          <w:rFonts w:ascii="Century" w:hAnsi="Century"/>
          <w:sz w:val="22"/>
          <w:rtl/>
        </w:rPr>
        <w:t xml:space="preserve"> </w:t>
      </w:r>
      <w:r w:rsidRPr="00A7705A">
        <w:rPr>
          <w:rFonts w:ascii="Century" w:hAnsi="Century" w:hint="eastAsia"/>
          <w:sz w:val="22"/>
          <w:rtl/>
        </w:rPr>
        <w:t>להקל</w:t>
      </w:r>
      <w:r w:rsidRPr="00A7705A">
        <w:rPr>
          <w:rFonts w:ascii="Century" w:hAnsi="Century"/>
          <w:sz w:val="22"/>
          <w:rtl/>
        </w:rPr>
        <w:t xml:space="preserve"> </w:t>
      </w:r>
      <w:r w:rsidRPr="00A7705A">
        <w:rPr>
          <w:rFonts w:ascii="Century" w:hAnsi="Century" w:hint="eastAsia"/>
          <w:sz w:val="22"/>
          <w:rtl/>
        </w:rPr>
        <w:t>ראש</w:t>
      </w:r>
      <w:r w:rsidRPr="00A7705A">
        <w:rPr>
          <w:rFonts w:ascii="Century" w:hAnsi="Century"/>
          <w:sz w:val="22"/>
          <w:rtl/>
        </w:rPr>
        <w:t xml:space="preserve"> </w:t>
      </w:r>
      <w:r w:rsidRPr="00A7705A">
        <w:rPr>
          <w:rFonts w:ascii="Century" w:hAnsi="Century" w:hint="eastAsia"/>
          <w:sz w:val="22"/>
          <w:rtl/>
        </w:rPr>
        <w:t>בקשיים</w:t>
      </w:r>
      <w:r w:rsidRPr="00A7705A">
        <w:rPr>
          <w:rFonts w:ascii="Century" w:hAnsi="Century"/>
          <w:sz w:val="22"/>
          <w:rtl/>
        </w:rPr>
        <w:t xml:space="preserve"> </w:t>
      </w:r>
      <w:r w:rsidRPr="00A7705A">
        <w:rPr>
          <w:rFonts w:ascii="Century" w:hAnsi="Century" w:hint="eastAsia"/>
          <w:sz w:val="22"/>
          <w:rtl/>
        </w:rPr>
        <w:t>אלה</w:t>
      </w:r>
      <w:r w:rsidRPr="00A7705A">
        <w:rPr>
          <w:rFonts w:ascii="Century" w:hAnsi="Century"/>
          <w:sz w:val="22"/>
          <w:rtl/>
        </w:rPr>
        <w:t xml:space="preserve">, </w:t>
      </w:r>
      <w:r w:rsidRPr="00A7705A">
        <w:rPr>
          <w:rFonts w:ascii="Century" w:hAnsi="Century" w:hint="cs"/>
          <w:sz w:val="22"/>
          <w:rtl/>
        </w:rPr>
        <w:t xml:space="preserve">אשיב כי </w:t>
      </w:r>
      <w:r w:rsidRPr="00A7705A">
        <w:rPr>
          <w:rFonts w:ascii="Century" w:hAnsi="Century" w:hint="eastAsia"/>
          <w:sz w:val="22"/>
          <w:rtl/>
        </w:rPr>
        <w:t>קיומם</w:t>
      </w:r>
      <w:r w:rsidRPr="00A7705A">
        <w:rPr>
          <w:rFonts w:ascii="Century" w:hAnsi="Century"/>
          <w:sz w:val="22"/>
          <w:rtl/>
        </w:rPr>
        <w:t xml:space="preserve"> </w:t>
      </w:r>
      <w:r w:rsidRPr="00A7705A">
        <w:rPr>
          <w:rFonts w:ascii="Century" w:hAnsi="Century" w:hint="eastAsia"/>
          <w:sz w:val="22"/>
          <w:rtl/>
        </w:rPr>
        <w:t>אינו</w:t>
      </w:r>
      <w:r w:rsidRPr="00A7705A">
        <w:rPr>
          <w:rFonts w:ascii="Century" w:hAnsi="Century"/>
          <w:sz w:val="22"/>
          <w:rtl/>
        </w:rPr>
        <w:t xml:space="preserve"> </w:t>
      </w:r>
      <w:r w:rsidRPr="00A7705A">
        <w:rPr>
          <w:rFonts w:ascii="Century" w:hAnsi="Century" w:hint="eastAsia"/>
          <w:sz w:val="22"/>
          <w:rtl/>
        </w:rPr>
        <w:t>מהווה</w:t>
      </w:r>
      <w:r w:rsidRPr="00A7705A">
        <w:rPr>
          <w:rFonts w:ascii="Century" w:hAnsi="Century"/>
          <w:sz w:val="22"/>
          <w:rtl/>
        </w:rPr>
        <w:t xml:space="preserve"> </w:t>
      </w:r>
      <w:r w:rsidRPr="00A7705A">
        <w:rPr>
          <w:rFonts w:ascii="Century" w:hAnsi="Century" w:hint="eastAsia"/>
          <w:sz w:val="22"/>
          <w:rtl/>
        </w:rPr>
        <w:t>סיבה</w:t>
      </w:r>
      <w:r w:rsidRPr="00A7705A">
        <w:rPr>
          <w:rFonts w:ascii="Century" w:hAnsi="Century"/>
          <w:sz w:val="22"/>
          <w:rtl/>
        </w:rPr>
        <w:t xml:space="preserve"> </w:t>
      </w:r>
      <w:r w:rsidRPr="00A7705A">
        <w:rPr>
          <w:rFonts w:ascii="Century" w:hAnsi="Century" w:hint="eastAsia"/>
          <w:sz w:val="22"/>
          <w:rtl/>
        </w:rPr>
        <w:t>להתעלמות</w:t>
      </w:r>
      <w:r w:rsidRPr="00A7705A">
        <w:rPr>
          <w:rFonts w:ascii="Century" w:hAnsi="Century"/>
          <w:sz w:val="22"/>
          <w:rtl/>
        </w:rPr>
        <w:t xml:space="preserve"> </w:t>
      </w:r>
      <w:r w:rsidRPr="00A7705A">
        <w:rPr>
          <w:rFonts w:ascii="Century" w:hAnsi="Century" w:hint="eastAsia"/>
          <w:sz w:val="22"/>
          <w:rtl/>
        </w:rPr>
        <w:t>מהדין</w:t>
      </w:r>
      <w:r w:rsidRPr="00A7705A">
        <w:rPr>
          <w:rFonts w:ascii="Century" w:hAnsi="Century"/>
          <w:sz w:val="22"/>
          <w:rtl/>
        </w:rPr>
        <w:t xml:space="preserve"> </w:t>
      </w:r>
      <w:r w:rsidRPr="00A7705A">
        <w:rPr>
          <w:rFonts w:ascii="Century" w:hAnsi="Century" w:hint="eastAsia"/>
          <w:sz w:val="22"/>
          <w:rtl/>
        </w:rPr>
        <w:t>הפוזיטיבי</w:t>
      </w:r>
      <w:r w:rsidRPr="00A7705A">
        <w:rPr>
          <w:rFonts w:ascii="Century" w:hAnsi="Century"/>
          <w:sz w:val="22"/>
          <w:rtl/>
        </w:rPr>
        <w:t xml:space="preserve">: </w:t>
      </w:r>
      <w:r w:rsidRPr="00A7705A">
        <w:rPr>
          <w:rFonts w:ascii="Century" w:hAnsi="Century" w:hint="cs"/>
          <w:sz w:val="22"/>
          <w:rtl/>
        </w:rPr>
        <w:t>ה</w:t>
      </w:r>
      <w:r w:rsidRPr="00A7705A">
        <w:rPr>
          <w:rFonts w:ascii="Century" w:hAnsi="Century" w:hint="eastAsia"/>
          <w:sz w:val="22"/>
          <w:rtl/>
        </w:rPr>
        <w:t>הוראות</w:t>
      </w:r>
      <w:r w:rsidRPr="00A7705A">
        <w:rPr>
          <w:rFonts w:ascii="Century" w:hAnsi="Century"/>
          <w:sz w:val="22"/>
          <w:rtl/>
        </w:rPr>
        <w:t xml:space="preserve"> </w:t>
      </w:r>
      <w:r w:rsidRPr="00A7705A">
        <w:rPr>
          <w:rFonts w:ascii="Century" w:hAnsi="Century" w:hint="cs"/>
          <w:sz w:val="22"/>
          <w:rtl/>
        </w:rPr>
        <w:t>הברורות שב</w:t>
      </w:r>
      <w:r w:rsidRPr="00A7705A">
        <w:rPr>
          <w:rFonts w:ascii="Century" w:hAnsi="Century" w:hint="eastAsia"/>
          <w:sz w:val="22"/>
          <w:rtl/>
        </w:rPr>
        <w:t>מנשר</w:t>
      </w:r>
      <w:r w:rsidRPr="00A7705A">
        <w:rPr>
          <w:rFonts w:ascii="Century" w:hAnsi="Century"/>
          <w:sz w:val="22"/>
          <w:rtl/>
        </w:rPr>
        <w:t xml:space="preserve"> </w:t>
      </w:r>
      <w:r w:rsidRPr="00A7705A">
        <w:rPr>
          <w:rFonts w:ascii="Century" w:hAnsi="Century" w:hint="cs"/>
          <w:sz w:val="22"/>
          <w:rtl/>
        </w:rPr>
        <w:t>וב</w:t>
      </w:r>
      <w:r w:rsidRPr="00A7705A">
        <w:rPr>
          <w:rFonts w:ascii="Century" w:hAnsi="Century" w:hint="eastAsia"/>
          <w:sz w:val="22"/>
          <w:rtl/>
        </w:rPr>
        <w:t>פקודת</w:t>
      </w:r>
      <w:r w:rsidRPr="00A7705A">
        <w:rPr>
          <w:rFonts w:ascii="Century" w:hAnsi="Century"/>
          <w:sz w:val="22"/>
          <w:rtl/>
        </w:rPr>
        <w:t xml:space="preserve"> </w:t>
      </w:r>
      <w:r w:rsidRPr="00A7705A">
        <w:rPr>
          <w:rFonts w:ascii="Century" w:hAnsi="Century" w:hint="eastAsia"/>
          <w:sz w:val="22"/>
          <w:rtl/>
        </w:rPr>
        <w:t>סדרי</w:t>
      </w:r>
      <w:r w:rsidRPr="00A7705A">
        <w:rPr>
          <w:rFonts w:ascii="Century" w:hAnsi="Century"/>
          <w:sz w:val="22"/>
          <w:rtl/>
        </w:rPr>
        <w:t xml:space="preserve"> </w:t>
      </w:r>
      <w:r w:rsidRPr="00A7705A">
        <w:rPr>
          <w:rFonts w:ascii="Century" w:hAnsi="Century" w:hint="eastAsia"/>
          <w:sz w:val="22"/>
          <w:rtl/>
        </w:rPr>
        <w:t>השלטון</w:t>
      </w:r>
      <w:r w:rsidRPr="00A7705A">
        <w:rPr>
          <w:rFonts w:ascii="Century" w:hAnsi="Century"/>
          <w:sz w:val="22"/>
          <w:rtl/>
        </w:rPr>
        <w:t xml:space="preserve"> </w:t>
      </w:r>
      <w:r w:rsidRPr="00A7705A">
        <w:rPr>
          <w:rFonts w:ascii="Century" w:hAnsi="Century" w:hint="eastAsia"/>
          <w:sz w:val="22"/>
          <w:rtl/>
        </w:rPr>
        <w:t>והמשפט</w:t>
      </w:r>
      <w:r w:rsidRPr="00A7705A">
        <w:rPr>
          <w:rFonts w:ascii="Century" w:hAnsi="Century"/>
          <w:sz w:val="22"/>
          <w:rtl/>
        </w:rPr>
        <w:t xml:space="preserve"> </w:t>
      </w:r>
      <w:r w:rsidRPr="00A7705A">
        <w:rPr>
          <w:rFonts w:ascii="Century" w:hAnsi="Century" w:hint="eastAsia"/>
          <w:sz w:val="22"/>
          <w:rtl/>
        </w:rPr>
        <w:t>אשר</w:t>
      </w:r>
      <w:r w:rsidRPr="00A7705A">
        <w:rPr>
          <w:rFonts w:ascii="Century" w:hAnsi="Century"/>
          <w:sz w:val="22"/>
          <w:rtl/>
        </w:rPr>
        <w:t xml:space="preserve"> </w:t>
      </w:r>
      <w:r w:rsidRPr="00A7705A">
        <w:rPr>
          <w:rFonts w:ascii="Century" w:hAnsi="Century" w:hint="eastAsia"/>
          <w:sz w:val="22"/>
          <w:rtl/>
        </w:rPr>
        <w:t>משוות</w:t>
      </w:r>
      <w:r w:rsidRPr="00A7705A">
        <w:rPr>
          <w:rFonts w:ascii="Century" w:hAnsi="Century"/>
          <w:sz w:val="22"/>
          <w:rtl/>
        </w:rPr>
        <w:t xml:space="preserve"> </w:t>
      </w:r>
      <w:r w:rsidRPr="00A7705A">
        <w:rPr>
          <w:rFonts w:ascii="Century" w:hAnsi="Century" w:hint="eastAsia"/>
          <w:sz w:val="22"/>
          <w:rtl/>
        </w:rPr>
        <w:t>להכרזת</w:t>
      </w:r>
      <w:r w:rsidRPr="00A7705A">
        <w:rPr>
          <w:rFonts w:ascii="Century" w:hAnsi="Century"/>
          <w:sz w:val="22"/>
          <w:rtl/>
        </w:rPr>
        <w:t xml:space="preserve"> </w:t>
      </w:r>
      <w:r w:rsidRPr="00A7705A">
        <w:rPr>
          <w:rFonts w:ascii="Century" w:hAnsi="Century" w:hint="eastAsia"/>
          <w:sz w:val="22"/>
          <w:rtl/>
        </w:rPr>
        <w:t>העצמאות</w:t>
      </w:r>
      <w:r w:rsidRPr="00A7705A">
        <w:rPr>
          <w:rFonts w:ascii="Century" w:hAnsi="Century"/>
          <w:sz w:val="22"/>
          <w:rtl/>
        </w:rPr>
        <w:t xml:space="preserve"> </w:t>
      </w:r>
      <w:r w:rsidRPr="00A7705A">
        <w:rPr>
          <w:rFonts w:ascii="Century" w:hAnsi="Century" w:hint="eastAsia"/>
          <w:sz w:val="22"/>
          <w:rtl/>
        </w:rPr>
        <w:t>מעמד</w:t>
      </w:r>
      <w:r w:rsidRPr="00A7705A">
        <w:rPr>
          <w:rFonts w:ascii="Century" w:hAnsi="Century"/>
          <w:sz w:val="22"/>
          <w:rtl/>
        </w:rPr>
        <w:t xml:space="preserve"> </w:t>
      </w:r>
      <w:r w:rsidRPr="00A7705A">
        <w:rPr>
          <w:rFonts w:ascii="Century" w:hAnsi="Century" w:hint="eastAsia"/>
          <w:sz w:val="22"/>
          <w:rtl/>
        </w:rPr>
        <w:t>של</w:t>
      </w:r>
      <w:r w:rsidRPr="00A7705A">
        <w:rPr>
          <w:rFonts w:ascii="Century" w:hAnsi="Century"/>
          <w:sz w:val="22"/>
          <w:rtl/>
        </w:rPr>
        <w:t xml:space="preserve"> </w:t>
      </w:r>
      <w:r w:rsidRPr="00A7705A">
        <w:rPr>
          <w:rFonts w:ascii="Century" w:hAnsi="Century" w:hint="eastAsia"/>
          <w:sz w:val="22"/>
          <w:rtl/>
        </w:rPr>
        <w:t>נורמת</w:t>
      </w:r>
      <w:r w:rsidRPr="00A7705A">
        <w:rPr>
          <w:rFonts w:ascii="Century" w:hAnsi="Century" w:hint="cs"/>
          <w:sz w:val="22"/>
          <w:rtl/>
        </w:rPr>
        <w:t>-</w:t>
      </w:r>
      <w:r w:rsidRPr="00A7705A">
        <w:rPr>
          <w:rFonts w:ascii="Century" w:hAnsi="Century" w:hint="eastAsia"/>
          <w:sz w:val="22"/>
          <w:rtl/>
        </w:rPr>
        <w:t>על</w:t>
      </w:r>
      <w:r w:rsidRPr="00A7705A">
        <w:rPr>
          <w:rFonts w:ascii="Century" w:hAnsi="Century" w:hint="cs"/>
          <w:sz w:val="22"/>
          <w:rtl/>
        </w:rPr>
        <w:t xml:space="preserve">, הבסיס של סמכויות חקיקה לסוגיהן. </w:t>
      </w:r>
      <w:r w:rsidRPr="00A7705A">
        <w:rPr>
          <w:rFonts w:ascii="Century" w:hAnsi="Century" w:hint="eastAsia"/>
          <w:sz w:val="22"/>
          <w:rtl/>
        </w:rPr>
        <w:t>דין</w:t>
      </w:r>
      <w:r w:rsidRPr="00A7705A">
        <w:rPr>
          <w:rFonts w:ascii="Century" w:hAnsi="Century"/>
          <w:sz w:val="22"/>
          <w:rtl/>
        </w:rPr>
        <w:t xml:space="preserve"> </w:t>
      </w:r>
      <w:r w:rsidRPr="00A7705A">
        <w:rPr>
          <w:rFonts w:ascii="Century" w:hAnsi="Century" w:hint="eastAsia"/>
          <w:sz w:val="22"/>
          <w:rtl/>
        </w:rPr>
        <w:t>פוזיטיבי</w:t>
      </w:r>
      <w:r w:rsidRPr="00A7705A">
        <w:rPr>
          <w:rFonts w:ascii="Century" w:hAnsi="Century"/>
          <w:sz w:val="22"/>
          <w:rtl/>
        </w:rPr>
        <w:t xml:space="preserve"> </w:t>
      </w:r>
      <w:r w:rsidRPr="00A7705A">
        <w:rPr>
          <w:rFonts w:ascii="Century" w:hAnsi="Century" w:hint="eastAsia"/>
          <w:sz w:val="22"/>
          <w:rtl/>
        </w:rPr>
        <w:t>הוא</w:t>
      </w:r>
      <w:r w:rsidRPr="00A7705A">
        <w:rPr>
          <w:rFonts w:ascii="Century" w:hAnsi="Century"/>
          <w:sz w:val="22"/>
          <w:rtl/>
        </w:rPr>
        <w:t xml:space="preserve"> </w:t>
      </w:r>
      <w:r w:rsidRPr="00A7705A">
        <w:rPr>
          <w:rFonts w:ascii="Century" w:hAnsi="Century" w:hint="eastAsia"/>
          <w:sz w:val="22"/>
          <w:rtl/>
        </w:rPr>
        <w:t>דין</w:t>
      </w:r>
      <w:r w:rsidRPr="00A7705A">
        <w:rPr>
          <w:rFonts w:ascii="Century" w:hAnsi="Century" w:hint="cs"/>
          <w:sz w:val="22"/>
          <w:rtl/>
        </w:rPr>
        <w:t>, ו</w:t>
      </w:r>
      <w:r w:rsidRPr="00A7705A">
        <w:rPr>
          <w:rFonts w:ascii="Century" w:hAnsi="Century" w:hint="eastAsia"/>
          <w:sz w:val="22"/>
          <w:rtl/>
        </w:rPr>
        <w:t>בלעדיו</w:t>
      </w:r>
      <w:r w:rsidRPr="00A7705A">
        <w:rPr>
          <w:rFonts w:ascii="Century" w:hAnsi="Century"/>
          <w:sz w:val="22"/>
          <w:rtl/>
        </w:rPr>
        <w:t xml:space="preserve"> </w:t>
      </w:r>
      <w:r w:rsidRPr="00A7705A">
        <w:rPr>
          <w:rFonts w:ascii="Century" w:hAnsi="Century" w:hint="eastAsia"/>
          <w:sz w:val="22"/>
          <w:rtl/>
        </w:rPr>
        <w:t>אין</w:t>
      </w:r>
      <w:r w:rsidRPr="00A7705A">
        <w:rPr>
          <w:rFonts w:ascii="Century" w:hAnsi="Century"/>
          <w:sz w:val="22"/>
          <w:rtl/>
        </w:rPr>
        <w:t xml:space="preserve">. </w:t>
      </w:r>
      <w:r w:rsidRPr="00A7705A">
        <w:rPr>
          <w:rFonts w:ascii="Century" w:hAnsi="Century" w:hint="eastAsia"/>
          <w:sz w:val="22"/>
          <w:rtl/>
        </w:rPr>
        <w:t>אוסיף</w:t>
      </w:r>
      <w:r w:rsidRPr="00A7705A">
        <w:rPr>
          <w:rFonts w:ascii="Century" w:hAnsi="Century"/>
          <w:sz w:val="22"/>
          <w:rtl/>
        </w:rPr>
        <w:t xml:space="preserve"> </w:t>
      </w:r>
      <w:r w:rsidRPr="00A7705A">
        <w:rPr>
          <w:rFonts w:ascii="Century" w:hAnsi="Century" w:hint="eastAsia"/>
          <w:sz w:val="22"/>
          <w:rtl/>
        </w:rPr>
        <w:t>ואציין</w:t>
      </w:r>
      <w:r w:rsidRPr="00A7705A">
        <w:rPr>
          <w:rFonts w:ascii="Century" w:hAnsi="Century"/>
          <w:sz w:val="22"/>
          <w:rtl/>
        </w:rPr>
        <w:t xml:space="preserve"> </w:t>
      </w:r>
      <w:r w:rsidRPr="00A7705A">
        <w:rPr>
          <w:rFonts w:ascii="Century" w:hAnsi="Century" w:hint="eastAsia"/>
          <w:sz w:val="22"/>
          <w:rtl/>
        </w:rPr>
        <w:t>כי</w:t>
      </w:r>
      <w:r w:rsidRPr="00A7705A">
        <w:rPr>
          <w:rFonts w:ascii="Century" w:hAnsi="Century"/>
          <w:sz w:val="22"/>
          <w:rtl/>
        </w:rPr>
        <w:t xml:space="preserve"> </w:t>
      </w:r>
      <w:r w:rsidRPr="00A7705A">
        <w:rPr>
          <w:rFonts w:ascii="Century" w:hAnsi="Century" w:hint="eastAsia"/>
          <w:sz w:val="22"/>
          <w:rtl/>
        </w:rPr>
        <w:t>הקשיים</w:t>
      </w:r>
      <w:r w:rsidRPr="00A7705A">
        <w:rPr>
          <w:rFonts w:ascii="Century" w:hAnsi="Century"/>
          <w:sz w:val="22"/>
          <w:rtl/>
        </w:rPr>
        <w:t xml:space="preserve"> </w:t>
      </w:r>
      <w:r w:rsidRPr="00A7705A">
        <w:rPr>
          <w:rFonts w:ascii="Century" w:hAnsi="Century" w:hint="eastAsia"/>
          <w:sz w:val="22"/>
          <w:rtl/>
        </w:rPr>
        <w:t>עליהם</w:t>
      </w:r>
      <w:r w:rsidRPr="00A7705A">
        <w:rPr>
          <w:rFonts w:ascii="Century" w:hAnsi="Century"/>
          <w:sz w:val="22"/>
          <w:rtl/>
        </w:rPr>
        <w:t xml:space="preserve"> </w:t>
      </w:r>
      <w:r w:rsidRPr="00A7705A">
        <w:rPr>
          <w:rFonts w:ascii="Century" w:hAnsi="Century" w:hint="eastAsia"/>
          <w:sz w:val="22"/>
          <w:rtl/>
        </w:rPr>
        <w:t>מצביע</w:t>
      </w:r>
      <w:r w:rsidRPr="00A7705A">
        <w:rPr>
          <w:rFonts w:ascii="Century" w:hAnsi="Century"/>
          <w:sz w:val="22"/>
          <w:rtl/>
        </w:rPr>
        <w:t xml:space="preserve"> </w:t>
      </w:r>
      <w:r w:rsidRPr="00A7705A">
        <w:rPr>
          <w:rFonts w:ascii="Century" w:hAnsi="Century" w:hint="eastAsia"/>
          <w:sz w:val="22"/>
          <w:rtl/>
        </w:rPr>
        <w:t>חברי</w:t>
      </w:r>
      <w:r w:rsidRPr="00A7705A">
        <w:rPr>
          <w:rFonts w:ascii="Century" w:hAnsi="Century"/>
          <w:sz w:val="22"/>
          <w:rtl/>
        </w:rPr>
        <w:t xml:space="preserve"> </w:t>
      </w:r>
      <w:r w:rsidRPr="00A7705A">
        <w:rPr>
          <w:rFonts w:ascii="Century" w:hAnsi="Century" w:hint="eastAsia"/>
          <w:sz w:val="22"/>
          <w:rtl/>
        </w:rPr>
        <w:t>מאפיינים</w:t>
      </w:r>
      <w:r w:rsidRPr="00A7705A">
        <w:rPr>
          <w:rFonts w:ascii="Century" w:hAnsi="Century"/>
          <w:sz w:val="22"/>
          <w:rtl/>
        </w:rPr>
        <w:t xml:space="preserve"> </w:t>
      </w:r>
      <w:r w:rsidRPr="00A7705A">
        <w:rPr>
          <w:rFonts w:ascii="Century" w:hAnsi="Century" w:hint="eastAsia"/>
          <w:sz w:val="22"/>
          <w:rtl/>
        </w:rPr>
        <w:t>את</w:t>
      </w:r>
      <w:r w:rsidRPr="00A7705A">
        <w:rPr>
          <w:rFonts w:ascii="Century" w:hAnsi="Century"/>
          <w:sz w:val="22"/>
          <w:rtl/>
        </w:rPr>
        <w:t xml:space="preserve"> </w:t>
      </w:r>
      <w:r w:rsidRPr="00A7705A">
        <w:rPr>
          <w:rFonts w:ascii="Century" w:hAnsi="Century" w:hint="eastAsia"/>
          <w:sz w:val="22"/>
          <w:rtl/>
        </w:rPr>
        <w:t>עולמן</w:t>
      </w:r>
      <w:r w:rsidRPr="00A7705A">
        <w:rPr>
          <w:rFonts w:ascii="Century" w:hAnsi="Century"/>
          <w:sz w:val="22"/>
          <w:rtl/>
        </w:rPr>
        <w:t xml:space="preserve"> </w:t>
      </w:r>
      <w:r w:rsidRPr="00A7705A">
        <w:rPr>
          <w:rFonts w:ascii="Century" w:hAnsi="Century" w:hint="eastAsia"/>
          <w:sz w:val="22"/>
          <w:rtl/>
        </w:rPr>
        <w:t>של</w:t>
      </w:r>
      <w:r w:rsidRPr="00A7705A">
        <w:rPr>
          <w:rFonts w:ascii="Century" w:hAnsi="Century"/>
          <w:sz w:val="22"/>
          <w:rtl/>
        </w:rPr>
        <w:t xml:space="preserve"> </w:t>
      </w:r>
      <w:r w:rsidRPr="00A7705A">
        <w:rPr>
          <w:rFonts w:ascii="Century" w:hAnsi="Century" w:hint="eastAsia"/>
          <w:sz w:val="22"/>
          <w:rtl/>
        </w:rPr>
        <w:t>כל</w:t>
      </w:r>
      <w:r w:rsidRPr="00A7705A">
        <w:rPr>
          <w:rFonts w:ascii="Century" w:hAnsi="Century"/>
          <w:sz w:val="22"/>
          <w:rtl/>
        </w:rPr>
        <w:t xml:space="preserve"> </w:t>
      </w:r>
      <w:r w:rsidRPr="00A7705A">
        <w:rPr>
          <w:rFonts w:ascii="Century" w:hAnsi="Century" w:hint="eastAsia"/>
          <w:sz w:val="22"/>
          <w:rtl/>
        </w:rPr>
        <w:t>הוראות</w:t>
      </w:r>
      <w:r w:rsidRPr="00A7705A">
        <w:rPr>
          <w:rFonts w:ascii="Century" w:hAnsi="Century"/>
          <w:sz w:val="22"/>
          <w:rtl/>
        </w:rPr>
        <w:t xml:space="preserve"> </w:t>
      </w:r>
      <w:r w:rsidRPr="00A7705A">
        <w:rPr>
          <w:rFonts w:ascii="Century" w:hAnsi="Century" w:hint="eastAsia"/>
          <w:sz w:val="22"/>
          <w:rtl/>
        </w:rPr>
        <w:t>דין</w:t>
      </w:r>
      <w:r w:rsidRPr="00A7705A">
        <w:rPr>
          <w:rFonts w:ascii="Century" w:hAnsi="Century"/>
          <w:sz w:val="22"/>
          <w:rtl/>
        </w:rPr>
        <w:t xml:space="preserve"> </w:t>
      </w:r>
      <w:r w:rsidRPr="00A7705A">
        <w:rPr>
          <w:rFonts w:ascii="Century" w:hAnsi="Century" w:hint="eastAsia"/>
          <w:sz w:val="22"/>
          <w:rtl/>
        </w:rPr>
        <w:t>בנות</w:t>
      </w:r>
      <w:r w:rsidRPr="00A7705A">
        <w:rPr>
          <w:rFonts w:ascii="Century" w:hAnsi="Century"/>
          <w:sz w:val="22"/>
          <w:rtl/>
        </w:rPr>
        <w:t xml:space="preserve"> </w:t>
      </w:r>
      <w:r w:rsidRPr="00A7705A">
        <w:rPr>
          <w:rFonts w:ascii="Century" w:hAnsi="Century" w:hint="eastAsia"/>
          <w:sz w:val="22"/>
          <w:rtl/>
        </w:rPr>
        <w:t>תוקף</w:t>
      </w:r>
      <w:r w:rsidRPr="00A7705A">
        <w:rPr>
          <w:rFonts w:ascii="Century" w:hAnsi="Century"/>
          <w:sz w:val="22"/>
          <w:rtl/>
        </w:rPr>
        <w:t xml:space="preserve"> </w:t>
      </w:r>
      <w:r w:rsidRPr="00A7705A">
        <w:rPr>
          <w:rFonts w:ascii="Century" w:hAnsi="Century" w:hint="eastAsia"/>
          <w:sz w:val="22"/>
          <w:rtl/>
        </w:rPr>
        <w:t>חוקתי</w:t>
      </w:r>
      <w:r w:rsidRPr="00A7705A">
        <w:rPr>
          <w:rFonts w:ascii="Century" w:hAnsi="Century"/>
          <w:sz w:val="22"/>
          <w:rtl/>
        </w:rPr>
        <w:t xml:space="preserve"> </w:t>
      </w:r>
      <w:r w:rsidRPr="00A7705A">
        <w:rPr>
          <w:rFonts w:ascii="Century" w:hAnsi="Century" w:hint="cs"/>
          <w:sz w:val="22"/>
          <w:rtl/>
        </w:rPr>
        <w:t xml:space="preserve">אשר </w:t>
      </w:r>
      <w:r w:rsidRPr="00A7705A">
        <w:rPr>
          <w:rFonts w:ascii="Century" w:hAnsi="Century" w:hint="eastAsia"/>
          <w:sz w:val="22"/>
          <w:rtl/>
        </w:rPr>
        <w:t>מנוסחות</w:t>
      </w:r>
      <w:r w:rsidRPr="00A7705A">
        <w:rPr>
          <w:rFonts w:ascii="Century" w:hAnsi="Century"/>
          <w:sz w:val="22"/>
          <w:rtl/>
        </w:rPr>
        <w:t xml:space="preserve"> </w:t>
      </w:r>
      <w:r w:rsidRPr="00A7705A">
        <w:rPr>
          <w:rFonts w:ascii="Century" w:hAnsi="Century" w:hint="eastAsia"/>
          <w:sz w:val="22"/>
          <w:rtl/>
        </w:rPr>
        <w:t>בלשון</w:t>
      </w:r>
      <w:r w:rsidRPr="00A7705A">
        <w:rPr>
          <w:rFonts w:ascii="Century" w:hAnsi="Century"/>
          <w:sz w:val="22"/>
          <w:rtl/>
        </w:rPr>
        <w:t xml:space="preserve"> </w:t>
      </w:r>
      <w:r w:rsidRPr="00A7705A">
        <w:rPr>
          <w:rFonts w:ascii="Century" w:hAnsi="Century" w:hint="eastAsia"/>
          <w:sz w:val="22"/>
          <w:rtl/>
        </w:rPr>
        <w:t>כללית</w:t>
      </w:r>
      <w:r w:rsidRPr="00A7705A">
        <w:rPr>
          <w:rFonts w:ascii="Century" w:hAnsi="Century"/>
          <w:sz w:val="22"/>
          <w:rtl/>
        </w:rPr>
        <w:t xml:space="preserve">, </w:t>
      </w:r>
      <w:r w:rsidRPr="00A7705A">
        <w:rPr>
          <w:rFonts w:ascii="Century" w:hAnsi="Century" w:hint="eastAsia"/>
          <w:sz w:val="22"/>
          <w:rtl/>
        </w:rPr>
        <w:t>במבט</w:t>
      </w:r>
      <w:r w:rsidRPr="00A7705A">
        <w:rPr>
          <w:rFonts w:ascii="Century" w:hAnsi="Century"/>
          <w:sz w:val="22"/>
          <w:rtl/>
        </w:rPr>
        <w:t xml:space="preserve"> </w:t>
      </w:r>
      <w:r w:rsidRPr="00A7705A">
        <w:rPr>
          <w:rFonts w:ascii="Century" w:hAnsi="Century" w:hint="eastAsia"/>
          <w:sz w:val="22"/>
          <w:rtl/>
        </w:rPr>
        <w:t>הצופה</w:t>
      </w:r>
      <w:r w:rsidRPr="00A7705A">
        <w:rPr>
          <w:rFonts w:ascii="Century" w:hAnsi="Century"/>
          <w:sz w:val="22"/>
          <w:rtl/>
        </w:rPr>
        <w:t xml:space="preserve"> </w:t>
      </w:r>
      <w:r w:rsidRPr="00A7705A">
        <w:rPr>
          <w:rFonts w:ascii="Century" w:hAnsi="Century" w:hint="eastAsia"/>
          <w:sz w:val="22"/>
          <w:rtl/>
        </w:rPr>
        <w:t>פני</w:t>
      </w:r>
      <w:r w:rsidRPr="00A7705A">
        <w:rPr>
          <w:rFonts w:ascii="Century" w:hAnsi="Century"/>
          <w:sz w:val="22"/>
          <w:rtl/>
        </w:rPr>
        <w:t>-</w:t>
      </w:r>
      <w:r w:rsidRPr="00A7705A">
        <w:rPr>
          <w:rFonts w:ascii="Century" w:hAnsi="Century" w:hint="eastAsia"/>
          <w:sz w:val="22"/>
          <w:rtl/>
        </w:rPr>
        <w:t>עתיד</w:t>
      </w:r>
      <w:r w:rsidRPr="00A7705A">
        <w:rPr>
          <w:rFonts w:ascii="Century" w:hAnsi="Century"/>
          <w:sz w:val="22"/>
          <w:rtl/>
        </w:rPr>
        <w:t xml:space="preserve">, </w:t>
      </w:r>
      <w:r w:rsidRPr="00A7705A">
        <w:rPr>
          <w:rFonts w:ascii="Century" w:hAnsi="Century" w:hint="eastAsia"/>
          <w:sz w:val="22"/>
          <w:rtl/>
        </w:rPr>
        <w:t>על</w:t>
      </w:r>
      <w:r w:rsidRPr="00A7705A">
        <w:rPr>
          <w:rFonts w:ascii="Century" w:hAnsi="Century"/>
          <w:sz w:val="22"/>
          <w:rtl/>
        </w:rPr>
        <w:t xml:space="preserve"> </w:t>
      </w:r>
      <w:r w:rsidRPr="00A7705A">
        <w:rPr>
          <w:rFonts w:ascii="Century" w:hAnsi="Century" w:hint="eastAsia"/>
          <w:sz w:val="22"/>
          <w:rtl/>
        </w:rPr>
        <w:t>ידי</w:t>
      </w:r>
      <w:r w:rsidRPr="00A7705A">
        <w:rPr>
          <w:rFonts w:ascii="Century" w:hAnsi="Century"/>
          <w:sz w:val="22"/>
          <w:rtl/>
        </w:rPr>
        <w:t xml:space="preserve"> </w:t>
      </w:r>
      <w:r w:rsidRPr="00A7705A">
        <w:rPr>
          <w:rFonts w:ascii="Century" w:hAnsi="Century" w:hint="eastAsia"/>
          <w:sz w:val="22"/>
          <w:rtl/>
        </w:rPr>
        <w:t>מייסדי</w:t>
      </w:r>
      <w:r w:rsidRPr="00A7705A">
        <w:rPr>
          <w:rFonts w:ascii="Century" w:hAnsi="Century"/>
          <w:sz w:val="22"/>
          <w:rtl/>
        </w:rPr>
        <w:t xml:space="preserve"> </w:t>
      </w:r>
      <w:r w:rsidRPr="00A7705A">
        <w:rPr>
          <w:rFonts w:ascii="Century" w:hAnsi="Century" w:hint="eastAsia"/>
          <w:sz w:val="22"/>
          <w:rtl/>
        </w:rPr>
        <w:t>המדינה</w:t>
      </w:r>
      <w:r w:rsidRPr="00A7705A">
        <w:rPr>
          <w:rFonts w:ascii="Century" w:hAnsi="Century"/>
          <w:sz w:val="22"/>
          <w:rtl/>
        </w:rPr>
        <w:t xml:space="preserve"> </w:t>
      </w:r>
      <w:r w:rsidRPr="00A7705A">
        <w:rPr>
          <w:rFonts w:ascii="Century" w:hAnsi="Century" w:hint="eastAsia"/>
          <w:sz w:val="22"/>
          <w:rtl/>
        </w:rPr>
        <w:t>שמטבע</w:t>
      </w:r>
      <w:r w:rsidRPr="00A7705A">
        <w:rPr>
          <w:rFonts w:ascii="Century" w:hAnsi="Century"/>
          <w:sz w:val="22"/>
          <w:rtl/>
        </w:rPr>
        <w:t xml:space="preserve"> </w:t>
      </w:r>
      <w:r w:rsidRPr="00A7705A">
        <w:rPr>
          <w:rFonts w:ascii="Century" w:hAnsi="Century" w:hint="eastAsia"/>
          <w:sz w:val="22"/>
          <w:rtl/>
        </w:rPr>
        <w:t>הדברים</w:t>
      </w:r>
      <w:r w:rsidRPr="00A7705A">
        <w:rPr>
          <w:rFonts w:ascii="Century" w:hAnsi="Century"/>
          <w:sz w:val="22"/>
          <w:rtl/>
        </w:rPr>
        <w:t xml:space="preserve"> </w:t>
      </w:r>
      <w:r w:rsidRPr="00A7705A">
        <w:rPr>
          <w:rFonts w:ascii="Century" w:hAnsi="Century" w:hint="eastAsia"/>
          <w:sz w:val="22"/>
          <w:rtl/>
        </w:rPr>
        <w:t>נהנים</w:t>
      </w:r>
      <w:r w:rsidRPr="00A7705A">
        <w:rPr>
          <w:rFonts w:ascii="Century" w:hAnsi="Century"/>
          <w:sz w:val="22"/>
          <w:rtl/>
        </w:rPr>
        <w:t xml:space="preserve"> </w:t>
      </w:r>
      <w:r w:rsidRPr="00A7705A">
        <w:rPr>
          <w:rFonts w:ascii="Century" w:hAnsi="Century" w:hint="eastAsia"/>
          <w:sz w:val="22"/>
          <w:rtl/>
        </w:rPr>
        <w:t>מיתרון</w:t>
      </w:r>
      <w:r w:rsidRPr="00A7705A">
        <w:rPr>
          <w:rFonts w:ascii="Century" w:hAnsi="Century"/>
          <w:sz w:val="22"/>
          <w:rtl/>
        </w:rPr>
        <w:t xml:space="preserve"> </w:t>
      </w:r>
      <w:r w:rsidRPr="00A7705A">
        <w:rPr>
          <w:rFonts w:ascii="Century" w:hAnsi="Century" w:hint="eastAsia"/>
          <w:sz w:val="22"/>
          <w:rtl/>
        </w:rPr>
        <w:t>הראשונים</w:t>
      </w:r>
      <w:r w:rsidRPr="00A7705A">
        <w:rPr>
          <w:rFonts w:ascii="Century" w:hAnsi="Century"/>
          <w:sz w:val="22"/>
          <w:rtl/>
        </w:rPr>
        <w:t xml:space="preserve">. </w:t>
      </w:r>
    </w:p>
    <w:p w:rsidR="0047626A" w:rsidRDefault="0047626A" w:rsidP="0047626A">
      <w:pPr>
        <w:pStyle w:val="Ruller4"/>
        <w:numPr>
          <w:ilvl w:val="0"/>
          <w:numId w:val="0"/>
        </w:numPr>
      </w:pPr>
    </w:p>
    <w:p w:rsidR="0047626A" w:rsidRPr="00A7705A" w:rsidRDefault="0047626A" w:rsidP="0047626A">
      <w:pPr>
        <w:pStyle w:val="Ruller4"/>
        <w:rPr>
          <w:rtl/>
        </w:rPr>
      </w:pPr>
      <w:r w:rsidRPr="00A7705A">
        <w:rPr>
          <w:rFonts w:ascii="Century" w:hAnsi="Century" w:hint="eastAsia"/>
          <w:sz w:val="22"/>
          <w:rtl/>
        </w:rPr>
        <w:t>זאת</w:t>
      </w:r>
      <w:r w:rsidRPr="00A7705A">
        <w:rPr>
          <w:rFonts w:ascii="Century" w:hAnsi="Century"/>
          <w:sz w:val="22"/>
          <w:rtl/>
        </w:rPr>
        <w:t xml:space="preserve"> </w:t>
      </w:r>
      <w:r w:rsidRPr="00A7705A">
        <w:rPr>
          <w:rFonts w:ascii="Century" w:hAnsi="Century" w:hint="eastAsia"/>
          <w:sz w:val="22"/>
          <w:rtl/>
        </w:rPr>
        <w:t>ועוד</w:t>
      </w:r>
      <w:r w:rsidRPr="00A7705A">
        <w:rPr>
          <w:rFonts w:ascii="Century" w:hAnsi="Century"/>
          <w:sz w:val="22"/>
          <w:rtl/>
        </w:rPr>
        <w:t xml:space="preserve">: </w:t>
      </w:r>
      <w:r w:rsidRPr="00A7705A">
        <w:rPr>
          <w:rFonts w:ascii="Century" w:hAnsi="Century" w:hint="eastAsia"/>
          <w:sz w:val="22"/>
          <w:rtl/>
        </w:rPr>
        <w:t>בניגוד</w:t>
      </w:r>
      <w:r w:rsidRPr="00A7705A">
        <w:rPr>
          <w:rFonts w:ascii="Century" w:hAnsi="Century"/>
          <w:sz w:val="22"/>
          <w:rtl/>
        </w:rPr>
        <w:t xml:space="preserve"> </w:t>
      </w:r>
      <w:r w:rsidRPr="00A7705A">
        <w:rPr>
          <w:rFonts w:ascii="Century" w:hAnsi="Century" w:hint="eastAsia"/>
          <w:sz w:val="22"/>
          <w:rtl/>
        </w:rPr>
        <w:t>לחברי</w:t>
      </w:r>
      <w:r w:rsidRPr="00A7705A">
        <w:rPr>
          <w:rFonts w:ascii="Century" w:hAnsi="Century"/>
          <w:sz w:val="22"/>
          <w:rtl/>
        </w:rPr>
        <w:t xml:space="preserve">, </w:t>
      </w:r>
      <w:r w:rsidRPr="00A7705A">
        <w:rPr>
          <w:rFonts w:ascii="Century" w:hAnsi="Century" w:hint="eastAsia"/>
          <w:sz w:val="22"/>
          <w:rtl/>
        </w:rPr>
        <w:t>איני</w:t>
      </w:r>
      <w:r w:rsidRPr="00A7705A">
        <w:rPr>
          <w:rFonts w:ascii="Century" w:hAnsi="Century"/>
          <w:sz w:val="22"/>
          <w:rtl/>
        </w:rPr>
        <w:t xml:space="preserve"> </w:t>
      </w:r>
      <w:r w:rsidRPr="00A7705A">
        <w:rPr>
          <w:rFonts w:ascii="Century" w:hAnsi="Century" w:hint="eastAsia"/>
          <w:sz w:val="22"/>
          <w:rtl/>
        </w:rPr>
        <w:t>רואה</w:t>
      </w:r>
      <w:r w:rsidRPr="00A7705A">
        <w:rPr>
          <w:rFonts w:ascii="Century" w:hAnsi="Century"/>
          <w:sz w:val="22"/>
          <w:rtl/>
        </w:rPr>
        <w:t xml:space="preserve"> </w:t>
      </w:r>
      <w:r w:rsidRPr="00A7705A">
        <w:rPr>
          <w:rFonts w:ascii="Century" w:hAnsi="Century" w:hint="eastAsia"/>
          <w:sz w:val="22"/>
          <w:rtl/>
        </w:rPr>
        <w:t>כל</w:t>
      </w:r>
      <w:r w:rsidRPr="00A7705A">
        <w:rPr>
          <w:rFonts w:ascii="Century" w:hAnsi="Century"/>
          <w:sz w:val="22"/>
          <w:rtl/>
        </w:rPr>
        <w:t xml:space="preserve"> </w:t>
      </w:r>
      <w:r w:rsidRPr="00A7705A">
        <w:rPr>
          <w:rFonts w:ascii="Century" w:hAnsi="Century" w:hint="eastAsia"/>
          <w:sz w:val="22"/>
          <w:rtl/>
        </w:rPr>
        <w:t>קושי</w:t>
      </w:r>
      <w:r w:rsidRPr="00A7705A">
        <w:rPr>
          <w:rFonts w:ascii="Century" w:hAnsi="Century"/>
          <w:sz w:val="22"/>
          <w:rtl/>
        </w:rPr>
        <w:t xml:space="preserve"> </w:t>
      </w:r>
      <w:r w:rsidRPr="00A7705A">
        <w:rPr>
          <w:rFonts w:ascii="Century" w:hAnsi="Century" w:hint="eastAsia"/>
          <w:sz w:val="22"/>
          <w:rtl/>
        </w:rPr>
        <w:t>בציון</w:t>
      </w:r>
      <w:r w:rsidRPr="00A7705A">
        <w:rPr>
          <w:rFonts w:ascii="Century" w:hAnsi="Century"/>
          <w:sz w:val="22"/>
          <w:rtl/>
        </w:rPr>
        <w:t xml:space="preserve"> </w:t>
      </w:r>
      <w:r w:rsidRPr="00A7705A">
        <w:rPr>
          <w:rFonts w:ascii="Century" w:hAnsi="Century" w:hint="eastAsia"/>
          <w:sz w:val="22"/>
          <w:rtl/>
        </w:rPr>
        <w:t>החוקה</w:t>
      </w:r>
      <w:r w:rsidRPr="00A7705A">
        <w:rPr>
          <w:rFonts w:ascii="Century" w:hAnsi="Century"/>
          <w:sz w:val="22"/>
          <w:rtl/>
        </w:rPr>
        <w:t xml:space="preserve"> </w:t>
      </w:r>
      <w:r w:rsidRPr="00A7705A">
        <w:rPr>
          <w:rFonts w:ascii="Century" w:hAnsi="Century" w:hint="eastAsia"/>
          <w:sz w:val="22"/>
          <w:rtl/>
        </w:rPr>
        <w:t>העתידית</w:t>
      </w:r>
      <w:r w:rsidRPr="00A7705A">
        <w:rPr>
          <w:rFonts w:ascii="Century" w:hAnsi="Century"/>
          <w:sz w:val="22"/>
          <w:rtl/>
        </w:rPr>
        <w:t xml:space="preserve"> </w:t>
      </w:r>
      <w:r w:rsidRPr="00A7705A">
        <w:rPr>
          <w:rFonts w:ascii="Century" w:hAnsi="Century" w:hint="eastAsia"/>
          <w:sz w:val="22"/>
          <w:rtl/>
        </w:rPr>
        <w:t>בהכרזת</w:t>
      </w:r>
      <w:r w:rsidRPr="00A7705A">
        <w:rPr>
          <w:rFonts w:ascii="Century" w:hAnsi="Century"/>
          <w:sz w:val="22"/>
          <w:rtl/>
        </w:rPr>
        <w:t xml:space="preserve"> </w:t>
      </w:r>
      <w:r w:rsidRPr="00A7705A">
        <w:rPr>
          <w:rFonts w:ascii="Century" w:hAnsi="Century" w:hint="eastAsia"/>
          <w:sz w:val="22"/>
          <w:rtl/>
        </w:rPr>
        <w:t>העצמאות</w:t>
      </w:r>
      <w:r w:rsidRPr="00A7705A">
        <w:rPr>
          <w:rFonts w:ascii="Century" w:hAnsi="Century"/>
          <w:sz w:val="22"/>
          <w:rtl/>
        </w:rPr>
        <w:t xml:space="preserve">. </w:t>
      </w:r>
      <w:r w:rsidRPr="00A7705A">
        <w:rPr>
          <w:rFonts w:ascii="Century" w:hAnsi="Century" w:hint="eastAsia"/>
          <w:sz w:val="22"/>
          <w:rtl/>
        </w:rPr>
        <w:t>כפי</w:t>
      </w:r>
      <w:r w:rsidRPr="00A7705A">
        <w:rPr>
          <w:rFonts w:ascii="Century" w:hAnsi="Century"/>
          <w:sz w:val="22"/>
          <w:rtl/>
        </w:rPr>
        <w:t xml:space="preserve"> </w:t>
      </w:r>
      <w:r w:rsidRPr="00A7705A">
        <w:rPr>
          <w:rFonts w:ascii="Century" w:hAnsi="Century" w:hint="eastAsia"/>
          <w:sz w:val="22"/>
          <w:rtl/>
        </w:rPr>
        <w:t>שכבר</w:t>
      </w:r>
      <w:r w:rsidRPr="00A7705A">
        <w:rPr>
          <w:rFonts w:ascii="Century" w:hAnsi="Century"/>
          <w:sz w:val="22"/>
          <w:rtl/>
        </w:rPr>
        <w:t xml:space="preserve"> </w:t>
      </w:r>
      <w:r w:rsidRPr="00A7705A">
        <w:rPr>
          <w:rFonts w:ascii="Century" w:hAnsi="Century" w:hint="eastAsia"/>
          <w:sz w:val="22"/>
          <w:rtl/>
        </w:rPr>
        <w:t>ציינתי</w:t>
      </w:r>
      <w:r w:rsidRPr="00A7705A">
        <w:rPr>
          <w:rFonts w:ascii="Century" w:hAnsi="Century"/>
          <w:sz w:val="22"/>
          <w:rtl/>
        </w:rPr>
        <w:t xml:space="preserve">, </w:t>
      </w:r>
      <w:r w:rsidRPr="00A7705A">
        <w:rPr>
          <w:rFonts w:ascii="Century" w:hAnsi="Century" w:hint="eastAsia"/>
          <w:sz w:val="22"/>
          <w:rtl/>
        </w:rPr>
        <w:t>הכרזת</w:t>
      </w:r>
      <w:r w:rsidRPr="00A7705A">
        <w:rPr>
          <w:rFonts w:ascii="Century" w:hAnsi="Century"/>
          <w:sz w:val="22"/>
          <w:rtl/>
        </w:rPr>
        <w:t xml:space="preserve"> </w:t>
      </w:r>
      <w:r w:rsidRPr="00A7705A">
        <w:rPr>
          <w:rFonts w:ascii="Century" w:hAnsi="Century" w:hint="eastAsia"/>
          <w:sz w:val="22"/>
          <w:rtl/>
        </w:rPr>
        <w:t>העצמאות</w:t>
      </w:r>
      <w:r w:rsidRPr="00A7705A">
        <w:rPr>
          <w:rFonts w:ascii="Century" w:hAnsi="Century"/>
          <w:sz w:val="22"/>
          <w:rtl/>
        </w:rPr>
        <w:t xml:space="preserve"> </w:t>
      </w:r>
      <w:r w:rsidRPr="00A7705A">
        <w:rPr>
          <w:rFonts w:ascii="Century" w:hAnsi="Century" w:hint="eastAsia"/>
          <w:sz w:val="22"/>
          <w:rtl/>
        </w:rPr>
        <w:t>היא</w:t>
      </w:r>
      <w:r w:rsidRPr="00A7705A">
        <w:rPr>
          <w:rFonts w:ascii="Century" w:hAnsi="Century"/>
          <w:sz w:val="22"/>
          <w:rtl/>
        </w:rPr>
        <w:t xml:space="preserve"> </w:t>
      </w:r>
      <w:r w:rsidRPr="00A7705A">
        <w:rPr>
          <w:rFonts w:ascii="Century" w:hAnsi="Century" w:hint="eastAsia"/>
          <w:sz w:val="22"/>
          <w:rtl/>
        </w:rPr>
        <w:t>נורמת</w:t>
      </w:r>
      <w:r w:rsidRPr="00A7705A">
        <w:rPr>
          <w:rFonts w:ascii="Century" w:hAnsi="Century" w:hint="cs"/>
          <w:sz w:val="22"/>
          <w:rtl/>
        </w:rPr>
        <w:t>-</w:t>
      </w:r>
      <w:r w:rsidRPr="00A7705A">
        <w:rPr>
          <w:rFonts w:ascii="Century" w:hAnsi="Century" w:hint="eastAsia"/>
          <w:sz w:val="22"/>
          <w:rtl/>
        </w:rPr>
        <w:t>על</w:t>
      </w:r>
      <w:r w:rsidRPr="00A7705A">
        <w:rPr>
          <w:rFonts w:ascii="Century" w:hAnsi="Century"/>
          <w:sz w:val="22"/>
          <w:rtl/>
        </w:rPr>
        <w:t xml:space="preserve"> </w:t>
      </w:r>
      <w:r w:rsidRPr="00A7705A">
        <w:rPr>
          <w:rFonts w:ascii="Century" w:hAnsi="Century" w:hint="eastAsia"/>
          <w:sz w:val="22"/>
          <w:rtl/>
        </w:rPr>
        <w:t>של</w:t>
      </w:r>
      <w:r w:rsidRPr="00A7705A">
        <w:rPr>
          <w:rFonts w:ascii="Century" w:hAnsi="Century"/>
          <w:sz w:val="22"/>
          <w:rtl/>
        </w:rPr>
        <w:t xml:space="preserve"> </w:t>
      </w:r>
      <w:r w:rsidRPr="00A7705A">
        <w:rPr>
          <w:rFonts w:ascii="Century" w:hAnsi="Century" w:hint="eastAsia"/>
          <w:sz w:val="22"/>
          <w:rtl/>
        </w:rPr>
        <w:t>משפטנו</w:t>
      </w:r>
      <w:r w:rsidRPr="00A7705A">
        <w:rPr>
          <w:rFonts w:ascii="Century" w:hAnsi="Century" w:hint="cs"/>
          <w:sz w:val="22"/>
          <w:rtl/>
        </w:rPr>
        <w:t xml:space="preserve"> </w:t>
      </w:r>
      <w:r w:rsidRPr="00A7705A">
        <w:rPr>
          <w:rFonts w:ascii="Century" w:hAnsi="Century"/>
          <w:sz w:val="22"/>
          <w:rtl/>
        </w:rPr>
        <w:t>–</w:t>
      </w:r>
      <w:r w:rsidRPr="00A7705A">
        <w:rPr>
          <w:rFonts w:ascii="Century" w:hAnsi="Century" w:hint="cs"/>
          <w:sz w:val="22"/>
          <w:rtl/>
        </w:rPr>
        <w:t xml:space="preserve"> </w:t>
      </w:r>
      <w:r w:rsidRPr="00A7705A">
        <w:rPr>
          <w:rFonts w:ascii="Century" w:hAnsi="Century" w:hint="eastAsia"/>
          <w:sz w:val="22"/>
          <w:rtl/>
        </w:rPr>
        <w:t>בסיס</w:t>
      </w:r>
      <w:r w:rsidRPr="00A7705A">
        <w:rPr>
          <w:rFonts w:ascii="Century" w:hAnsi="Century"/>
          <w:sz w:val="22"/>
          <w:rtl/>
        </w:rPr>
        <w:t xml:space="preserve"> </w:t>
      </w:r>
      <w:r w:rsidRPr="00A7705A">
        <w:rPr>
          <w:rFonts w:ascii="Century" w:hAnsi="Century" w:hint="eastAsia"/>
          <w:sz w:val="22"/>
          <w:rtl/>
        </w:rPr>
        <w:t>הסמכויות</w:t>
      </w:r>
      <w:r w:rsidRPr="00A7705A">
        <w:rPr>
          <w:rFonts w:ascii="Century" w:hAnsi="Century"/>
          <w:sz w:val="22"/>
          <w:rtl/>
        </w:rPr>
        <w:t xml:space="preserve"> </w:t>
      </w:r>
      <w:r w:rsidRPr="00A7705A">
        <w:rPr>
          <w:rFonts w:ascii="Century" w:hAnsi="Century" w:hint="eastAsia"/>
          <w:sz w:val="22"/>
          <w:rtl/>
        </w:rPr>
        <w:t>לחוקק</w:t>
      </w:r>
      <w:r w:rsidRPr="00A7705A">
        <w:rPr>
          <w:rFonts w:ascii="Century" w:hAnsi="Century"/>
          <w:sz w:val="22"/>
          <w:rtl/>
        </w:rPr>
        <w:t xml:space="preserve"> </w:t>
      </w:r>
      <w:r w:rsidRPr="00A7705A">
        <w:rPr>
          <w:rFonts w:ascii="Century" w:hAnsi="Century" w:hint="eastAsia"/>
          <w:sz w:val="22"/>
          <w:rtl/>
        </w:rPr>
        <w:t>חוקים</w:t>
      </w:r>
      <w:r w:rsidRPr="00A7705A">
        <w:rPr>
          <w:rFonts w:ascii="Century" w:hAnsi="Century"/>
          <w:sz w:val="22"/>
          <w:rtl/>
        </w:rPr>
        <w:t xml:space="preserve"> </w:t>
      </w:r>
      <w:r w:rsidRPr="00A7705A">
        <w:rPr>
          <w:rFonts w:ascii="Century" w:hAnsi="Century" w:hint="eastAsia"/>
          <w:sz w:val="22"/>
          <w:rtl/>
        </w:rPr>
        <w:t>ולכונן</w:t>
      </w:r>
      <w:r w:rsidRPr="00A7705A">
        <w:rPr>
          <w:rFonts w:ascii="Century" w:hAnsi="Century"/>
          <w:sz w:val="22"/>
          <w:rtl/>
        </w:rPr>
        <w:t xml:space="preserve"> </w:t>
      </w:r>
      <w:r w:rsidRPr="00A7705A">
        <w:rPr>
          <w:rFonts w:ascii="Century" w:hAnsi="Century" w:hint="eastAsia"/>
          <w:sz w:val="22"/>
          <w:rtl/>
        </w:rPr>
        <w:t>חוקי</w:t>
      </w:r>
      <w:r w:rsidRPr="00A7705A">
        <w:rPr>
          <w:rFonts w:ascii="Century" w:hAnsi="Century"/>
          <w:sz w:val="22"/>
          <w:rtl/>
        </w:rPr>
        <w:t>-</w:t>
      </w:r>
      <w:r w:rsidRPr="00A7705A">
        <w:rPr>
          <w:rFonts w:ascii="Century" w:hAnsi="Century" w:hint="eastAsia"/>
          <w:sz w:val="22"/>
          <w:rtl/>
        </w:rPr>
        <w:t>יסוד</w:t>
      </w:r>
      <w:r w:rsidRPr="00A7705A">
        <w:rPr>
          <w:rFonts w:ascii="Century" w:hAnsi="Century" w:hint="cs"/>
          <w:sz w:val="22"/>
          <w:rtl/>
        </w:rPr>
        <w:t xml:space="preserve"> </w:t>
      </w:r>
      <w:r w:rsidRPr="00A7705A">
        <w:rPr>
          <w:rFonts w:ascii="Century" w:hAnsi="Century"/>
          <w:sz w:val="22"/>
          <w:rtl/>
        </w:rPr>
        <w:t>–</w:t>
      </w:r>
      <w:r w:rsidRPr="00A7705A">
        <w:rPr>
          <w:rFonts w:ascii="Century" w:hAnsi="Century" w:hint="cs"/>
          <w:sz w:val="22"/>
          <w:rtl/>
        </w:rPr>
        <w:t xml:space="preserve"> </w:t>
      </w:r>
      <w:r w:rsidRPr="00A7705A">
        <w:rPr>
          <w:rFonts w:ascii="Century" w:hAnsi="Century" w:hint="eastAsia"/>
          <w:sz w:val="22"/>
          <w:rtl/>
        </w:rPr>
        <w:t>אך</w:t>
      </w:r>
      <w:r w:rsidRPr="00A7705A">
        <w:rPr>
          <w:rFonts w:ascii="Century" w:hAnsi="Century"/>
          <w:sz w:val="22"/>
          <w:rtl/>
        </w:rPr>
        <w:t xml:space="preserve"> </w:t>
      </w:r>
      <w:r w:rsidRPr="00A7705A">
        <w:rPr>
          <w:rFonts w:ascii="Century" w:hAnsi="Century" w:hint="eastAsia"/>
          <w:sz w:val="22"/>
          <w:rtl/>
        </w:rPr>
        <w:t>היא</w:t>
      </w:r>
      <w:r w:rsidRPr="00A7705A">
        <w:rPr>
          <w:rFonts w:ascii="Century" w:hAnsi="Century"/>
          <w:sz w:val="22"/>
          <w:rtl/>
        </w:rPr>
        <w:t xml:space="preserve"> </w:t>
      </w:r>
      <w:r w:rsidRPr="00A7705A">
        <w:rPr>
          <w:rFonts w:ascii="Century" w:hAnsi="Century" w:hint="eastAsia"/>
          <w:sz w:val="22"/>
          <w:rtl/>
        </w:rPr>
        <w:t>עצמה</w:t>
      </w:r>
      <w:r w:rsidRPr="00A7705A">
        <w:rPr>
          <w:rFonts w:ascii="Century" w:hAnsi="Century"/>
          <w:sz w:val="22"/>
          <w:rtl/>
        </w:rPr>
        <w:t xml:space="preserve"> </w:t>
      </w:r>
      <w:r w:rsidRPr="00A7705A">
        <w:rPr>
          <w:rFonts w:ascii="Century" w:hAnsi="Century" w:hint="eastAsia"/>
          <w:sz w:val="22"/>
          <w:rtl/>
        </w:rPr>
        <w:t>אינה</w:t>
      </w:r>
      <w:r w:rsidRPr="00A7705A">
        <w:rPr>
          <w:rFonts w:ascii="Century" w:hAnsi="Century"/>
          <w:sz w:val="22"/>
          <w:rtl/>
        </w:rPr>
        <w:t xml:space="preserve"> </w:t>
      </w:r>
      <w:r w:rsidRPr="00A7705A">
        <w:rPr>
          <w:rFonts w:ascii="Century" w:hAnsi="Century" w:hint="eastAsia"/>
          <w:sz w:val="22"/>
          <w:rtl/>
        </w:rPr>
        <w:t>בגדר</w:t>
      </w:r>
      <w:r w:rsidRPr="00A7705A">
        <w:rPr>
          <w:rFonts w:ascii="Century" w:hAnsi="Century"/>
          <w:sz w:val="22"/>
          <w:rtl/>
        </w:rPr>
        <w:t xml:space="preserve"> </w:t>
      </w:r>
      <w:r w:rsidRPr="00A7705A">
        <w:rPr>
          <w:rFonts w:ascii="Century" w:hAnsi="Century" w:hint="eastAsia"/>
          <w:sz w:val="22"/>
          <w:rtl/>
        </w:rPr>
        <w:t>חוקה</w:t>
      </w:r>
      <w:r w:rsidRPr="00A7705A">
        <w:rPr>
          <w:rFonts w:ascii="Century" w:hAnsi="Century"/>
          <w:sz w:val="22"/>
          <w:rtl/>
        </w:rPr>
        <w:t xml:space="preserve">. </w:t>
      </w:r>
      <w:r w:rsidRPr="00A7705A">
        <w:rPr>
          <w:rFonts w:ascii="Century" w:hAnsi="Century" w:hint="eastAsia"/>
          <w:sz w:val="22"/>
          <w:rtl/>
        </w:rPr>
        <w:t>באשר</w:t>
      </w:r>
      <w:r w:rsidRPr="00A7705A">
        <w:rPr>
          <w:rFonts w:ascii="Century" w:hAnsi="Century"/>
          <w:sz w:val="22"/>
          <w:rtl/>
        </w:rPr>
        <w:t xml:space="preserve"> </w:t>
      </w:r>
      <w:r w:rsidRPr="00A7705A">
        <w:rPr>
          <w:rFonts w:ascii="Century" w:hAnsi="Century" w:hint="eastAsia"/>
          <w:sz w:val="22"/>
          <w:rtl/>
        </w:rPr>
        <w:t>לאפשרות</w:t>
      </w:r>
      <w:r w:rsidRPr="00A7705A">
        <w:rPr>
          <w:rFonts w:ascii="Century" w:hAnsi="Century"/>
          <w:sz w:val="22"/>
          <w:rtl/>
        </w:rPr>
        <w:t xml:space="preserve"> </w:t>
      </w:r>
      <w:r w:rsidRPr="00A7705A">
        <w:rPr>
          <w:rFonts w:ascii="Century" w:hAnsi="Century" w:hint="cs"/>
          <w:sz w:val="22"/>
          <w:rtl/>
        </w:rPr>
        <w:t xml:space="preserve">לבטל או </w:t>
      </w:r>
      <w:r w:rsidRPr="00A7705A">
        <w:rPr>
          <w:rFonts w:ascii="Century" w:hAnsi="Century" w:hint="eastAsia"/>
          <w:sz w:val="22"/>
          <w:rtl/>
        </w:rPr>
        <w:t>לשנות</w:t>
      </w:r>
      <w:r w:rsidRPr="00A7705A">
        <w:rPr>
          <w:rFonts w:ascii="Century" w:hAnsi="Century"/>
          <w:sz w:val="22"/>
          <w:rtl/>
        </w:rPr>
        <w:t xml:space="preserve"> </w:t>
      </w:r>
      <w:r w:rsidRPr="00A7705A">
        <w:rPr>
          <w:rFonts w:ascii="Century" w:hAnsi="Century" w:hint="eastAsia"/>
          <w:sz w:val="22"/>
          <w:rtl/>
        </w:rPr>
        <w:t>את</w:t>
      </w:r>
      <w:r w:rsidRPr="00A7705A">
        <w:rPr>
          <w:rFonts w:ascii="Century" w:hAnsi="Century"/>
          <w:sz w:val="22"/>
          <w:rtl/>
        </w:rPr>
        <w:t xml:space="preserve"> </w:t>
      </w:r>
      <w:r w:rsidRPr="00A7705A">
        <w:rPr>
          <w:rFonts w:ascii="Century" w:hAnsi="Century" w:hint="eastAsia"/>
          <w:sz w:val="22"/>
          <w:rtl/>
        </w:rPr>
        <w:t>הכרזת</w:t>
      </w:r>
      <w:r w:rsidRPr="00A7705A">
        <w:rPr>
          <w:rFonts w:ascii="Century" w:hAnsi="Century"/>
          <w:sz w:val="22"/>
          <w:rtl/>
        </w:rPr>
        <w:t xml:space="preserve"> </w:t>
      </w:r>
      <w:r w:rsidRPr="00A7705A">
        <w:rPr>
          <w:rFonts w:ascii="Century" w:hAnsi="Century" w:hint="eastAsia"/>
          <w:sz w:val="22"/>
          <w:rtl/>
        </w:rPr>
        <w:t>העצמאות</w:t>
      </w:r>
      <w:r w:rsidRPr="00A7705A">
        <w:rPr>
          <w:rFonts w:ascii="Century" w:hAnsi="Century" w:hint="cs"/>
          <w:sz w:val="22"/>
          <w:rtl/>
        </w:rPr>
        <w:t xml:space="preserve"> </w:t>
      </w:r>
      <w:r w:rsidRPr="00A7705A">
        <w:rPr>
          <w:rFonts w:ascii="Century" w:hAnsi="Century"/>
          <w:sz w:val="22"/>
          <w:rtl/>
        </w:rPr>
        <w:t>–</w:t>
      </w:r>
      <w:r w:rsidRPr="00A7705A">
        <w:rPr>
          <w:rFonts w:ascii="Century" w:hAnsi="Century" w:hint="cs"/>
          <w:sz w:val="22"/>
          <w:rtl/>
        </w:rPr>
        <w:t xml:space="preserve"> </w:t>
      </w:r>
      <w:r w:rsidRPr="00A7705A">
        <w:rPr>
          <w:rFonts w:ascii="Century" w:hAnsi="Century" w:hint="eastAsia"/>
          <w:sz w:val="22"/>
          <w:rtl/>
        </w:rPr>
        <w:t>כפי</w:t>
      </w:r>
      <w:r w:rsidRPr="00A7705A">
        <w:rPr>
          <w:rFonts w:ascii="Century" w:hAnsi="Century"/>
          <w:sz w:val="22"/>
          <w:rtl/>
        </w:rPr>
        <w:t xml:space="preserve"> </w:t>
      </w:r>
      <w:r w:rsidRPr="00A7705A">
        <w:rPr>
          <w:rFonts w:ascii="Century" w:hAnsi="Century" w:hint="eastAsia"/>
          <w:sz w:val="22"/>
          <w:rtl/>
        </w:rPr>
        <w:t>שציינתי</w:t>
      </w:r>
      <w:r w:rsidRPr="00A7705A">
        <w:rPr>
          <w:rFonts w:ascii="Century" w:hAnsi="Century"/>
          <w:sz w:val="22"/>
          <w:rtl/>
        </w:rPr>
        <w:t xml:space="preserve"> </w:t>
      </w:r>
      <w:r w:rsidRPr="00A7705A">
        <w:rPr>
          <w:rFonts w:ascii="Century" w:hAnsi="Century" w:hint="eastAsia"/>
          <w:sz w:val="22"/>
          <w:rtl/>
        </w:rPr>
        <w:t>ב</w:t>
      </w:r>
      <w:r w:rsidRPr="00A7705A">
        <w:rPr>
          <w:rFonts w:ascii="Century" w:hAnsi="Century" w:cs="Miriam" w:hint="eastAsia"/>
          <w:b/>
          <w:spacing w:val="0"/>
          <w:sz w:val="22"/>
          <w:szCs w:val="24"/>
          <w:rtl/>
        </w:rPr>
        <w:t>בג״ץ</w:t>
      </w:r>
      <w:r w:rsidRPr="00A7705A">
        <w:rPr>
          <w:rFonts w:ascii="Century" w:hAnsi="Century" w:cs="Miriam"/>
          <w:b/>
          <w:spacing w:val="0"/>
          <w:sz w:val="22"/>
          <w:szCs w:val="24"/>
          <w:rtl/>
        </w:rPr>
        <w:t xml:space="preserve"> </w:t>
      </w:r>
      <w:r w:rsidRPr="00A7705A">
        <w:rPr>
          <w:rFonts w:ascii="Century" w:hAnsi="Century" w:cs="Miriam" w:hint="eastAsia"/>
          <w:b/>
          <w:spacing w:val="0"/>
          <w:sz w:val="22"/>
          <w:szCs w:val="24"/>
          <w:rtl/>
        </w:rPr>
        <w:t>טבריה</w:t>
      </w:r>
      <w:r w:rsidRPr="00A7705A">
        <w:rPr>
          <w:rFonts w:ascii="Century" w:hAnsi="Century"/>
          <w:sz w:val="22"/>
          <w:rtl/>
        </w:rPr>
        <w:t xml:space="preserve">, </w:t>
      </w:r>
      <w:r w:rsidRPr="00A7705A">
        <w:rPr>
          <w:rFonts w:ascii="Century" w:hAnsi="Century" w:hint="eastAsia"/>
          <w:sz w:val="22"/>
          <w:rtl/>
        </w:rPr>
        <w:t>אין</w:t>
      </w:r>
      <w:r w:rsidRPr="00A7705A">
        <w:rPr>
          <w:rFonts w:ascii="Century" w:hAnsi="Century"/>
          <w:sz w:val="22"/>
          <w:rtl/>
        </w:rPr>
        <w:t xml:space="preserve"> </w:t>
      </w:r>
      <w:r w:rsidRPr="00A7705A">
        <w:rPr>
          <w:rFonts w:ascii="Century" w:hAnsi="Century" w:hint="eastAsia"/>
          <w:sz w:val="22"/>
          <w:rtl/>
        </w:rPr>
        <w:t>כל</w:t>
      </w:r>
      <w:r w:rsidRPr="00A7705A">
        <w:rPr>
          <w:rFonts w:ascii="Century" w:hAnsi="Century"/>
          <w:sz w:val="22"/>
          <w:rtl/>
        </w:rPr>
        <w:t xml:space="preserve"> </w:t>
      </w:r>
      <w:r w:rsidRPr="00A7705A">
        <w:rPr>
          <w:rFonts w:ascii="Century" w:hAnsi="Century" w:hint="eastAsia"/>
          <w:sz w:val="22"/>
          <w:rtl/>
        </w:rPr>
        <w:lastRenderedPageBreak/>
        <w:t>סיבה</w:t>
      </w:r>
      <w:r w:rsidRPr="00A7705A">
        <w:rPr>
          <w:rFonts w:ascii="Century" w:hAnsi="Century"/>
          <w:sz w:val="22"/>
          <w:rtl/>
        </w:rPr>
        <w:t xml:space="preserve"> </w:t>
      </w:r>
      <w:r w:rsidRPr="00A7705A">
        <w:rPr>
          <w:rFonts w:ascii="Century" w:hAnsi="Century" w:hint="eastAsia"/>
          <w:sz w:val="22"/>
          <w:rtl/>
        </w:rPr>
        <w:t>שנדון</w:t>
      </w:r>
      <w:r w:rsidRPr="00A7705A">
        <w:rPr>
          <w:rFonts w:ascii="Century" w:hAnsi="Century"/>
          <w:sz w:val="22"/>
          <w:rtl/>
        </w:rPr>
        <w:t xml:space="preserve"> </w:t>
      </w:r>
      <w:r w:rsidRPr="00A7705A">
        <w:rPr>
          <w:rFonts w:ascii="Century" w:hAnsi="Century" w:hint="eastAsia"/>
          <w:sz w:val="22"/>
          <w:rtl/>
        </w:rPr>
        <w:t>בשאלה</w:t>
      </w:r>
      <w:r w:rsidRPr="00A7705A">
        <w:rPr>
          <w:rFonts w:ascii="Century" w:hAnsi="Century"/>
          <w:sz w:val="22"/>
          <w:rtl/>
        </w:rPr>
        <w:t xml:space="preserve"> </w:t>
      </w:r>
      <w:r w:rsidRPr="00A7705A">
        <w:rPr>
          <w:rFonts w:ascii="Century" w:hAnsi="Century" w:hint="eastAsia"/>
          <w:sz w:val="22"/>
          <w:rtl/>
        </w:rPr>
        <w:t>כבדת</w:t>
      </w:r>
      <w:r w:rsidRPr="00A7705A">
        <w:rPr>
          <w:rFonts w:ascii="Century" w:hAnsi="Century"/>
          <w:sz w:val="22"/>
          <w:rtl/>
        </w:rPr>
        <w:t xml:space="preserve"> </w:t>
      </w:r>
      <w:r w:rsidRPr="00A7705A">
        <w:rPr>
          <w:rFonts w:ascii="Century" w:hAnsi="Century" w:hint="eastAsia"/>
          <w:sz w:val="22"/>
          <w:rtl/>
        </w:rPr>
        <w:t>משקל</w:t>
      </w:r>
      <w:r w:rsidRPr="00A7705A">
        <w:rPr>
          <w:rFonts w:ascii="Century" w:hAnsi="Century"/>
          <w:sz w:val="22"/>
          <w:rtl/>
        </w:rPr>
        <w:t xml:space="preserve"> </w:t>
      </w:r>
      <w:r w:rsidRPr="00A7705A">
        <w:rPr>
          <w:rFonts w:ascii="Century" w:hAnsi="Century" w:hint="eastAsia"/>
          <w:sz w:val="22"/>
          <w:rtl/>
        </w:rPr>
        <w:t>זו</w:t>
      </w:r>
      <w:r w:rsidRPr="00A7705A">
        <w:rPr>
          <w:rFonts w:ascii="Century" w:hAnsi="Century"/>
          <w:sz w:val="22"/>
          <w:rtl/>
        </w:rPr>
        <w:t xml:space="preserve"> </w:t>
      </w:r>
      <w:r w:rsidRPr="00A7705A">
        <w:rPr>
          <w:rFonts w:ascii="Century" w:hAnsi="Century" w:hint="eastAsia"/>
          <w:sz w:val="22"/>
          <w:rtl/>
        </w:rPr>
        <w:t>אגב</w:t>
      </w:r>
      <w:r w:rsidRPr="00A7705A">
        <w:rPr>
          <w:rFonts w:ascii="Century" w:hAnsi="Century"/>
          <w:sz w:val="22"/>
          <w:rtl/>
        </w:rPr>
        <w:t xml:space="preserve"> </w:t>
      </w:r>
      <w:r w:rsidRPr="00A7705A">
        <w:rPr>
          <w:rFonts w:ascii="Century" w:hAnsi="Century" w:hint="eastAsia"/>
          <w:sz w:val="22"/>
          <w:rtl/>
        </w:rPr>
        <w:t>אורחא</w:t>
      </w:r>
      <w:r w:rsidRPr="00A7705A">
        <w:rPr>
          <w:rFonts w:ascii="Century" w:hAnsi="Century"/>
          <w:sz w:val="22"/>
          <w:rtl/>
        </w:rPr>
        <w:t xml:space="preserve"> </w:t>
      </w:r>
      <w:r w:rsidRPr="00A7705A">
        <w:rPr>
          <w:rFonts w:ascii="Century" w:hAnsi="Century" w:hint="eastAsia"/>
          <w:sz w:val="22"/>
          <w:rtl/>
        </w:rPr>
        <w:t>ולמעלה</w:t>
      </w:r>
      <w:r w:rsidRPr="00A7705A">
        <w:rPr>
          <w:rFonts w:ascii="Century" w:hAnsi="Century"/>
          <w:sz w:val="22"/>
          <w:rtl/>
        </w:rPr>
        <w:t xml:space="preserve"> </w:t>
      </w:r>
      <w:r w:rsidRPr="00A7705A">
        <w:rPr>
          <w:rFonts w:ascii="Century" w:hAnsi="Century" w:hint="eastAsia"/>
          <w:sz w:val="22"/>
          <w:rtl/>
        </w:rPr>
        <w:t>מן</w:t>
      </w:r>
      <w:r w:rsidRPr="00A7705A">
        <w:rPr>
          <w:rFonts w:ascii="Century" w:hAnsi="Century"/>
          <w:sz w:val="22"/>
          <w:rtl/>
        </w:rPr>
        <w:t xml:space="preserve"> </w:t>
      </w:r>
      <w:r w:rsidRPr="00A7705A">
        <w:rPr>
          <w:rFonts w:ascii="Century" w:hAnsi="Century" w:hint="eastAsia"/>
          <w:sz w:val="22"/>
          <w:rtl/>
        </w:rPr>
        <w:t>הצורך</w:t>
      </w:r>
      <w:r w:rsidRPr="00A7705A">
        <w:rPr>
          <w:rFonts w:ascii="Century" w:hAnsi="Century"/>
          <w:sz w:val="22"/>
          <w:rtl/>
        </w:rPr>
        <w:t xml:space="preserve">. </w:t>
      </w:r>
      <w:r w:rsidRPr="00A7705A">
        <w:rPr>
          <w:rFonts w:ascii="Century" w:hAnsi="Century" w:hint="eastAsia"/>
          <w:sz w:val="22"/>
          <w:rtl/>
        </w:rPr>
        <w:t>אחזור</w:t>
      </w:r>
      <w:r w:rsidRPr="00A7705A">
        <w:rPr>
          <w:rFonts w:ascii="Century" w:hAnsi="Century"/>
          <w:sz w:val="22"/>
          <w:rtl/>
        </w:rPr>
        <w:t xml:space="preserve"> </w:t>
      </w:r>
      <w:r w:rsidRPr="00A7705A">
        <w:rPr>
          <w:rFonts w:ascii="Century" w:hAnsi="Century" w:hint="eastAsia"/>
          <w:sz w:val="22"/>
          <w:rtl/>
        </w:rPr>
        <w:t>על</w:t>
      </w:r>
      <w:r w:rsidRPr="00A7705A">
        <w:rPr>
          <w:rFonts w:ascii="Century" w:hAnsi="Century"/>
          <w:sz w:val="22"/>
          <w:rtl/>
        </w:rPr>
        <w:t xml:space="preserve"> </w:t>
      </w:r>
      <w:r w:rsidRPr="00A7705A">
        <w:rPr>
          <w:rFonts w:ascii="Century" w:hAnsi="Century" w:hint="eastAsia"/>
          <w:sz w:val="22"/>
          <w:rtl/>
        </w:rPr>
        <w:t>אשר</w:t>
      </w:r>
      <w:r w:rsidRPr="00A7705A">
        <w:rPr>
          <w:rFonts w:ascii="Century" w:hAnsi="Century"/>
          <w:sz w:val="22"/>
          <w:rtl/>
        </w:rPr>
        <w:t xml:space="preserve"> </w:t>
      </w:r>
      <w:r w:rsidRPr="00A7705A">
        <w:rPr>
          <w:rFonts w:ascii="Century" w:hAnsi="Century" w:hint="eastAsia"/>
          <w:sz w:val="22"/>
          <w:rtl/>
        </w:rPr>
        <w:t>אמרתי</w:t>
      </w:r>
      <w:r w:rsidRPr="00A7705A">
        <w:rPr>
          <w:rFonts w:ascii="Century" w:hAnsi="Century"/>
          <w:sz w:val="22"/>
          <w:rtl/>
        </w:rPr>
        <w:t xml:space="preserve"> </w:t>
      </w:r>
      <w:r w:rsidRPr="00A7705A">
        <w:rPr>
          <w:rFonts w:ascii="Century" w:hAnsi="Century" w:hint="eastAsia"/>
          <w:sz w:val="22"/>
          <w:rtl/>
        </w:rPr>
        <w:t>ב</w:t>
      </w:r>
      <w:r w:rsidRPr="00A7705A">
        <w:rPr>
          <w:rFonts w:ascii="Century" w:hAnsi="Century" w:cs="Miriam" w:hint="eastAsia"/>
          <w:b/>
          <w:spacing w:val="0"/>
          <w:sz w:val="22"/>
          <w:szCs w:val="24"/>
          <w:rtl/>
        </w:rPr>
        <w:t>בג״ץ</w:t>
      </w:r>
      <w:r w:rsidRPr="00A7705A">
        <w:rPr>
          <w:rFonts w:ascii="Century" w:hAnsi="Century" w:cs="Miriam"/>
          <w:b/>
          <w:spacing w:val="0"/>
          <w:sz w:val="22"/>
          <w:szCs w:val="24"/>
          <w:rtl/>
        </w:rPr>
        <w:t xml:space="preserve"> </w:t>
      </w:r>
      <w:r w:rsidRPr="00A7705A">
        <w:rPr>
          <w:rFonts w:ascii="Century" w:hAnsi="Century" w:cs="Miriam" w:hint="eastAsia"/>
          <w:b/>
          <w:spacing w:val="0"/>
          <w:sz w:val="22"/>
          <w:szCs w:val="24"/>
          <w:rtl/>
        </w:rPr>
        <w:t>טבריה</w:t>
      </w:r>
      <w:r w:rsidRPr="00A7705A">
        <w:rPr>
          <w:rFonts w:ascii="Century" w:hAnsi="Century"/>
          <w:sz w:val="22"/>
          <w:rtl/>
        </w:rPr>
        <w:t xml:space="preserve">: </w:t>
      </w:r>
      <w:r w:rsidRPr="00A7705A">
        <w:rPr>
          <w:rFonts w:ascii="Century" w:hAnsi="Century" w:hint="eastAsia"/>
          <w:sz w:val="22"/>
          <w:rtl/>
        </w:rPr>
        <w:t>אין</w:t>
      </w:r>
      <w:r w:rsidRPr="00A7705A">
        <w:rPr>
          <w:rFonts w:ascii="Century" w:hAnsi="Century"/>
          <w:sz w:val="22"/>
          <w:rtl/>
        </w:rPr>
        <w:t xml:space="preserve"> </w:t>
      </w:r>
      <w:r w:rsidRPr="00A7705A">
        <w:rPr>
          <w:rFonts w:ascii="Century" w:hAnsi="Century" w:hint="eastAsia"/>
          <w:sz w:val="22"/>
          <w:rtl/>
        </w:rPr>
        <w:t>זה</w:t>
      </w:r>
      <w:r w:rsidRPr="00A7705A">
        <w:rPr>
          <w:rFonts w:ascii="Century" w:hAnsi="Century"/>
          <w:sz w:val="22"/>
          <w:rtl/>
        </w:rPr>
        <w:t xml:space="preserve"> </w:t>
      </w:r>
      <w:r w:rsidRPr="00A7705A">
        <w:rPr>
          <w:rFonts w:ascii="Century" w:hAnsi="Century" w:hint="eastAsia"/>
          <w:sz w:val="22"/>
          <w:rtl/>
        </w:rPr>
        <w:t>מן</w:t>
      </w:r>
      <w:r w:rsidRPr="00A7705A">
        <w:rPr>
          <w:rFonts w:ascii="Century" w:hAnsi="Century"/>
          <w:sz w:val="22"/>
          <w:rtl/>
        </w:rPr>
        <w:t xml:space="preserve"> </w:t>
      </w:r>
      <w:r w:rsidRPr="00A7705A">
        <w:rPr>
          <w:rFonts w:ascii="Century" w:hAnsi="Century" w:hint="eastAsia"/>
          <w:sz w:val="22"/>
          <w:rtl/>
        </w:rPr>
        <w:t>הנמנע</w:t>
      </w:r>
      <w:r w:rsidRPr="00A7705A">
        <w:rPr>
          <w:rFonts w:ascii="Century" w:hAnsi="Century"/>
          <w:sz w:val="22"/>
          <w:rtl/>
        </w:rPr>
        <w:t xml:space="preserve"> </w:t>
      </w:r>
      <w:r w:rsidRPr="00A7705A">
        <w:rPr>
          <w:rFonts w:ascii="Century" w:hAnsi="Century" w:hint="eastAsia"/>
          <w:sz w:val="22"/>
          <w:rtl/>
        </w:rPr>
        <w:t>שמשאל</w:t>
      </w:r>
      <w:r w:rsidRPr="00A7705A">
        <w:rPr>
          <w:rFonts w:ascii="Century" w:hAnsi="Century"/>
          <w:sz w:val="22"/>
          <w:rtl/>
        </w:rPr>
        <w:t xml:space="preserve"> </w:t>
      </w:r>
      <w:r w:rsidRPr="00A7705A">
        <w:rPr>
          <w:rFonts w:ascii="Century" w:hAnsi="Century" w:hint="eastAsia"/>
          <w:sz w:val="22"/>
          <w:rtl/>
        </w:rPr>
        <w:t>עם</w:t>
      </w:r>
      <w:r w:rsidRPr="00A7705A">
        <w:rPr>
          <w:rFonts w:ascii="Century" w:hAnsi="Century"/>
          <w:sz w:val="22"/>
          <w:rtl/>
        </w:rPr>
        <w:t xml:space="preserve"> </w:t>
      </w:r>
      <w:r w:rsidRPr="00A7705A">
        <w:rPr>
          <w:rFonts w:ascii="Century" w:hAnsi="Century" w:hint="eastAsia"/>
          <w:sz w:val="22"/>
          <w:rtl/>
        </w:rPr>
        <w:t>יכול</w:t>
      </w:r>
      <w:r w:rsidRPr="00A7705A">
        <w:rPr>
          <w:rFonts w:ascii="Century" w:hAnsi="Century"/>
          <w:sz w:val="22"/>
          <w:rtl/>
        </w:rPr>
        <w:t xml:space="preserve"> </w:t>
      </w:r>
      <w:r w:rsidRPr="00A7705A">
        <w:rPr>
          <w:rFonts w:ascii="Century" w:hAnsi="Century" w:hint="eastAsia"/>
          <w:sz w:val="22"/>
          <w:rtl/>
        </w:rPr>
        <w:t>לשנות</w:t>
      </w:r>
      <w:r w:rsidRPr="00A7705A">
        <w:rPr>
          <w:rFonts w:ascii="Century" w:hAnsi="Century"/>
          <w:sz w:val="22"/>
          <w:rtl/>
        </w:rPr>
        <w:t xml:space="preserve"> </w:t>
      </w:r>
      <w:r w:rsidRPr="00A7705A">
        <w:rPr>
          <w:rFonts w:ascii="Century" w:hAnsi="Century" w:hint="eastAsia"/>
          <w:sz w:val="22"/>
          <w:rtl/>
        </w:rPr>
        <w:t>את</w:t>
      </w:r>
      <w:r w:rsidRPr="00A7705A">
        <w:rPr>
          <w:rFonts w:ascii="Century" w:hAnsi="Century"/>
          <w:sz w:val="22"/>
          <w:rtl/>
        </w:rPr>
        <w:t xml:space="preserve"> </w:t>
      </w:r>
      <w:r w:rsidRPr="00A7705A">
        <w:rPr>
          <w:rFonts w:ascii="Century" w:hAnsi="Century" w:hint="eastAsia"/>
          <w:sz w:val="22"/>
          <w:rtl/>
        </w:rPr>
        <w:t>ההכרזה</w:t>
      </w:r>
      <w:r w:rsidRPr="00A7705A">
        <w:rPr>
          <w:rFonts w:ascii="Century" w:hAnsi="Century"/>
          <w:sz w:val="22"/>
          <w:rtl/>
        </w:rPr>
        <w:t xml:space="preserve"> </w:t>
      </w:r>
      <w:r w:rsidRPr="00A7705A">
        <w:rPr>
          <w:rFonts w:ascii="Century" w:hAnsi="Century" w:hint="eastAsia"/>
          <w:sz w:val="22"/>
          <w:rtl/>
        </w:rPr>
        <w:t>ברוב</w:t>
      </w:r>
      <w:r w:rsidRPr="00A7705A">
        <w:rPr>
          <w:rFonts w:ascii="Century" w:hAnsi="Century"/>
          <w:sz w:val="22"/>
          <w:rtl/>
        </w:rPr>
        <w:t xml:space="preserve"> </w:t>
      </w:r>
      <w:r w:rsidRPr="00A7705A">
        <w:rPr>
          <w:rFonts w:ascii="Century" w:hAnsi="Century" w:hint="eastAsia"/>
          <w:sz w:val="22"/>
          <w:rtl/>
        </w:rPr>
        <w:t>מוחץ</w:t>
      </w:r>
      <w:r w:rsidRPr="00A7705A">
        <w:rPr>
          <w:rFonts w:ascii="Century" w:hAnsi="Century"/>
          <w:sz w:val="22"/>
          <w:rtl/>
        </w:rPr>
        <w:t xml:space="preserve"> </w:t>
      </w:r>
      <w:r w:rsidRPr="00A7705A">
        <w:rPr>
          <w:rFonts w:ascii="Century" w:hAnsi="Century" w:hint="eastAsia"/>
          <w:sz w:val="22"/>
          <w:rtl/>
        </w:rPr>
        <w:t>של</w:t>
      </w:r>
      <w:r w:rsidRPr="00A7705A">
        <w:rPr>
          <w:rFonts w:ascii="Century" w:hAnsi="Century"/>
          <w:sz w:val="22"/>
          <w:rtl/>
        </w:rPr>
        <w:t xml:space="preserve"> </w:t>
      </w:r>
      <w:r w:rsidRPr="00A7705A">
        <w:rPr>
          <w:rFonts w:ascii="Century" w:hAnsi="Century" w:hint="cs"/>
          <w:sz w:val="22"/>
          <w:rtl/>
        </w:rPr>
        <w:t>קולות המצביעים</w:t>
      </w:r>
      <w:r w:rsidRPr="00A7705A">
        <w:rPr>
          <w:rFonts w:ascii="Century" w:hAnsi="Century"/>
          <w:sz w:val="22"/>
          <w:rtl/>
        </w:rPr>
        <w:t xml:space="preserve">, </w:t>
      </w:r>
      <w:r w:rsidRPr="00A7705A">
        <w:rPr>
          <w:rFonts w:ascii="Century" w:hAnsi="Century" w:hint="eastAsia"/>
          <w:sz w:val="22"/>
          <w:rtl/>
        </w:rPr>
        <w:t>א</w:t>
      </w:r>
      <w:r w:rsidRPr="00A7705A">
        <w:rPr>
          <w:rFonts w:ascii="Century" w:hAnsi="Century" w:hint="cs"/>
          <w:sz w:val="22"/>
          <w:rtl/>
        </w:rPr>
        <w:t>ולם</w:t>
      </w:r>
      <w:r w:rsidRPr="00A7705A">
        <w:rPr>
          <w:rFonts w:ascii="Century" w:hAnsi="Century"/>
          <w:sz w:val="22"/>
          <w:rtl/>
        </w:rPr>
        <w:t xml:space="preserve"> </w:t>
      </w:r>
      <w:r w:rsidRPr="00A7705A">
        <w:rPr>
          <w:rFonts w:ascii="Century" w:hAnsi="Century" w:hint="eastAsia"/>
          <w:sz w:val="22"/>
          <w:rtl/>
        </w:rPr>
        <w:t>מהלך</w:t>
      </w:r>
      <w:r w:rsidRPr="00A7705A">
        <w:rPr>
          <w:rFonts w:ascii="Century" w:hAnsi="Century"/>
          <w:sz w:val="22"/>
          <w:rtl/>
        </w:rPr>
        <w:t xml:space="preserve"> </w:t>
      </w:r>
      <w:r w:rsidRPr="00A7705A">
        <w:rPr>
          <w:rFonts w:ascii="Century" w:hAnsi="Century" w:hint="eastAsia"/>
          <w:sz w:val="22"/>
          <w:rtl/>
        </w:rPr>
        <w:t>כזה</w:t>
      </w:r>
      <w:r w:rsidRPr="00A7705A">
        <w:rPr>
          <w:rFonts w:ascii="Century" w:hAnsi="Century"/>
          <w:sz w:val="22"/>
          <w:rtl/>
        </w:rPr>
        <w:t xml:space="preserve"> </w:t>
      </w:r>
      <w:r w:rsidRPr="00A7705A">
        <w:rPr>
          <w:rFonts w:ascii="Century" w:hAnsi="Century" w:hint="eastAsia"/>
          <w:sz w:val="22"/>
          <w:rtl/>
        </w:rPr>
        <w:t>כמוהו</w:t>
      </w:r>
      <w:r w:rsidRPr="00A7705A">
        <w:rPr>
          <w:rFonts w:ascii="Century" w:hAnsi="Century"/>
          <w:sz w:val="22"/>
          <w:rtl/>
        </w:rPr>
        <w:t xml:space="preserve"> </w:t>
      </w:r>
      <w:r w:rsidRPr="00A7705A">
        <w:rPr>
          <w:rFonts w:ascii="Century" w:hAnsi="Century" w:hint="eastAsia"/>
          <w:sz w:val="22"/>
          <w:rtl/>
        </w:rPr>
        <w:t>כהקמת</w:t>
      </w:r>
      <w:r w:rsidRPr="00A7705A">
        <w:rPr>
          <w:rFonts w:ascii="Century" w:hAnsi="Century"/>
          <w:sz w:val="22"/>
          <w:rtl/>
        </w:rPr>
        <w:t xml:space="preserve"> </w:t>
      </w:r>
      <w:r w:rsidRPr="00A7705A">
        <w:rPr>
          <w:rFonts w:ascii="Century" w:hAnsi="Century" w:hint="eastAsia"/>
          <w:sz w:val="22"/>
          <w:rtl/>
        </w:rPr>
        <w:t>המדינה</w:t>
      </w:r>
      <w:r w:rsidRPr="00A7705A">
        <w:rPr>
          <w:rFonts w:ascii="Century" w:hAnsi="Century"/>
          <w:sz w:val="22"/>
          <w:rtl/>
        </w:rPr>
        <w:t xml:space="preserve"> </w:t>
      </w:r>
      <w:r w:rsidRPr="00A7705A">
        <w:rPr>
          <w:rFonts w:ascii="Century" w:hAnsi="Century" w:hint="eastAsia"/>
          <w:sz w:val="22"/>
          <w:rtl/>
        </w:rPr>
        <w:t>מבראשית</w:t>
      </w:r>
      <w:r w:rsidRPr="00A7705A">
        <w:rPr>
          <w:rFonts w:ascii="Century" w:hAnsi="Century"/>
          <w:sz w:val="22"/>
          <w:rtl/>
        </w:rPr>
        <w:t>.</w:t>
      </w:r>
    </w:p>
    <w:p w:rsidR="0047626A" w:rsidRPr="00724F34" w:rsidRDefault="0047626A" w:rsidP="0047626A">
      <w:pPr>
        <w:pStyle w:val="Ruller41"/>
        <w:rPr>
          <w:rFonts w:ascii="Century" w:hAnsi="Century"/>
        </w:rPr>
      </w:pPr>
    </w:p>
    <w:p w:rsidR="0047626A" w:rsidRDefault="0047626A" w:rsidP="0047626A">
      <w:pPr>
        <w:pStyle w:val="Ruller41"/>
        <w:rPr>
          <w:rFonts w:ascii="Century" w:hAnsi="Century" w:cs="Miriam"/>
          <w:b/>
          <w:spacing w:val="0"/>
          <w:szCs w:val="24"/>
        </w:rPr>
      </w:pPr>
      <w:r>
        <w:rPr>
          <w:rFonts w:ascii="Century" w:hAnsi="Century" w:cs="Miriam" w:hint="cs"/>
          <w:b/>
          <w:spacing w:val="0"/>
          <w:szCs w:val="24"/>
          <w:rtl/>
        </w:rPr>
        <w:t>מענה ל</w:t>
      </w:r>
      <w:r>
        <w:rPr>
          <w:rFonts w:ascii="Century" w:hAnsi="Century" w:cs="Miriam"/>
          <w:b/>
          <w:spacing w:val="0"/>
          <w:szCs w:val="24"/>
          <w:rtl/>
        </w:rPr>
        <w:t>שופט ע' גרוסקופף</w:t>
      </w:r>
    </w:p>
    <w:p w:rsidR="0047626A" w:rsidRDefault="0047626A" w:rsidP="0047626A">
      <w:pPr>
        <w:pStyle w:val="Ruller41"/>
        <w:rPr>
          <w:rtl/>
        </w:rPr>
      </w:pPr>
    </w:p>
    <w:p w:rsidR="0047626A" w:rsidRDefault="0047626A" w:rsidP="0047626A">
      <w:pPr>
        <w:pStyle w:val="Ruller4"/>
        <w:rPr>
          <w:rFonts w:ascii="Century" w:hAnsi="Century"/>
          <w:sz w:val="22"/>
        </w:rPr>
      </w:pPr>
      <w:r>
        <w:rPr>
          <w:rtl/>
        </w:rPr>
        <w:t>בטרם א</w:t>
      </w:r>
      <w:r>
        <w:rPr>
          <w:rFonts w:hint="cs"/>
          <w:rtl/>
        </w:rPr>
        <w:t>נעל</w:t>
      </w:r>
      <w:r>
        <w:rPr>
          <w:rtl/>
        </w:rPr>
        <w:t xml:space="preserve"> את חוות דעתי, אגיב לדברי חברי, השופט </w:t>
      </w:r>
      <w:r>
        <w:rPr>
          <w:rFonts w:ascii="Century" w:hAnsi="Century" w:cs="Miriam"/>
          <w:b/>
          <w:spacing w:val="0"/>
          <w:sz w:val="22"/>
          <w:szCs w:val="24"/>
          <w:rtl/>
        </w:rPr>
        <w:t>ע' גרוסקופף</w:t>
      </w:r>
      <w:r>
        <w:rPr>
          <w:rtl/>
        </w:rPr>
        <w:t xml:space="preserve">, בעניין מעמדה של הכרזת העצמאות. כפי שהדגשתי, וחזרתי והדגשתי, מעמד זה נקנה מכוחו של רצון העם שישב בציון בהקמת המדינה, ומצא ביטוי פורמלי מפורש </w:t>
      </w:r>
      <w:r>
        <w:rPr>
          <w:rFonts w:ascii="Century" w:hAnsi="Century" w:cs="Miriam"/>
          <w:b/>
          <w:spacing w:val="0"/>
          <w:sz w:val="22"/>
          <w:szCs w:val="24"/>
          <w:rtl/>
        </w:rPr>
        <w:t>ב</w:t>
      </w:r>
      <w:r>
        <w:rPr>
          <w:rFonts w:ascii="Century" w:hAnsi="Century" w:cs="Miriam"/>
          <w:b/>
          <w:spacing w:val="0"/>
          <w:szCs w:val="24"/>
          <w:rtl/>
        </w:rPr>
        <w:t>מנשר</w:t>
      </w:r>
      <w:r>
        <w:rPr>
          <w:rtl/>
        </w:rPr>
        <w:t xml:space="preserve"> ו</w:t>
      </w:r>
      <w:r>
        <w:rPr>
          <w:rFonts w:ascii="Century" w:hAnsi="Century" w:cs="Miriam"/>
          <w:b/>
          <w:spacing w:val="0"/>
          <w:sz w:val="22"/>
          <w:szCs w:val="24"/>
          <w:rtl/>
        </w:rPr>
        <w:t>בפ</w:t>
      </w:r>
      <w:r>
        <w:rPr>
          <w:rFonts w:ascii="Century" w:hAnsi="Century" w:cs="Miriam"/>
          <w:b/>
          <w:spacing w:val="0"/>
          <w:szCs w:val="24"/>
          <w:rtl/>
        </w:rPr>
        <w:t>קודת סדרי השלטון והמשפט</w:t>
      </w:r>
      <w:r>
        <w:rPr>
          <w:rtl/>
        </w:rPr>
        <w:t xml:space="preserve">. </w:t>
      </w:r>
      <w:r>
        <w:rPr>
          <w:rFonts w:ascii="Century" w:hAnsi="Century"/>
          <w:sz w:val="22"/>
          <w:rtl/>
        </w:rPr>
        <w:t xml:space="preserve">מסמכים אלו, אשר הקימו את משפטה של מדינת ישראל, קבעו ב"רחל בתך הקטנה" כי </w:t>
      </w:r>
      <w:r>
        <w:rPr>
          <w:rFonts w:ascii="Century" w:hAnsi="Century" w:cs="Miriam"/>
          <w:b/>
          <w:spacing w:val="0"/>
          <w:sz w:val="22"/>
          <w:szCs w:val="24"/>
          <w:rtl/>
        </w:rPr>
        <w:t>סמכות החקיקה של מועצת המדינה הזמנית – וכפועל יוצא מכך של כל הכנסות אשר באו אחריה – מעוגנת בהכרזת העצמאות</w:t>
      </w:r>
      <w:r>
        <w:rPr>
          <w:rFonts w:ascii="Century" w:hAnsi="Century"/>
          <w:sz w:val="22"/>
          <w:rtl/>
        </w:rPr>
        <w:t xml:space="preserve">. חברי סבור כי עלינו להתייחס אל מסמכי הקמה אלו, חרף דבריהם המפורשים ולמרות מעמדם הפורמלי, כאמירות בעלמא – זאת, מאחר שהדעה המקובלת אשר השתרשה בפסיקתו של בית משפט זה, עליה אחראים ענקי המשפט שקדמו לנו, קובעת כי להכרזת העצמאות אין מעמד משפטי פורמלי. </w:t>
      </w:r>
    </w:p>
    <w:p w:rsidR="0047626A" w:rsidRDefault="0047626A" w:rsidP="0047626A">
      <w:pPr>
        <w:pStyle w:val="Ruller4"/>
        <w:numPr>
          <w:ilvl w:val="0"/>
          <w:numId w:val="0"/>
        </w:numPr>
        <w:rPr>
          <w:rFonts w:ascii="Century" w:hAnsi="Century"/>
          <w:sz w:val="22"/>
        </w:rPr>
      </w:pPr>
    </w:p>
    <w:p w:rsidR="0047626A" w:rsidRDefault="0047626A" w:rsidP="0047626A">
      <w:pPr>
        <w:pStyle w:val="Ruller4"/>
      </w:pPr>
      <w:r>
        <w:rPr>
          <w:rtl/>
        </w:rPr>
        <w:t>הנני סבור כי אנו כשופטים מצווים לפסוק דין אמת לאמיתו. עיקרון בסיסי זה חל ביתר שאת כאשר עסקינן ביסודות המשפט החוקתי, ובעוצמה רבה אף יותר כאשר הדבר נעשה על רקע מחלוקת ציבורית חריפה באשר ל</w:t>
      </w:r>
      <w:r>
        <w:rPr>
          <w:rFonts w:hint="cs"/>
          <w:rtl/>
        </w:rPr>
        <w:t>מהותם</w:t>
      </w:r>
      <w:r>
        <w:rPr>
          <w:rtl/>
        </w:rPr>
        <w:t xml:space="preserve"> של יסודות אלה. בעניינים כגון זה, אמת מנצחת יציבות בנוקאאוט, ולא רק בנקודות. </w:t>
      </w:r>
    </w:p>
    <w:p w:rsidR="0047626A" w:rsidRDefault="0047626A" w:rsidP="0047626A">
      <w:pPr>
        <w:pStyle w:val="Ruller4"/>
        <w:numPr>
          <w:ilvl w:val="0"/>
          <w:numId w:val="0"/>
        </w:numPr>
        <w:rPr>
          <w:rFonts w:ascii="Century" w:hAnsi="Century"/>
          <w:sz w:val="22"/>
        </w:rPr>
      </w:pPr>
    </w:p>
    <w:p w:rsidR="0047626A" w:rsidRDefault="0047626A" w:rsidP="0047626A">
      <w:pPr>
        <w:pStyle w:val="Ruller4"/>
      </w:pPr>
      <w:r>
        <w:rPr>
          <w:rtl/>
        </w:rPr>
        <w:t xml:space="preserve">בצאתי מהנחות אלה, ואחרי שידעתי שענקי המשפט, אליהם מפנה חברי, עשו טעות ענקית כאשר התעלמו מהקביעה החד-משמעית במנשר ובפקודת סדרי השלטון והמשפט – </w:t>
      </w:r>
      <w:r>
        <w:rPr>
          <w:rFonts w:cs="Miriam"/>
          <w:b/>
          <w:spacing w:val="0"/>
          <w:szCs w:val="24"/>
          <w:rtl/>
        </w:rPr>
        <w:t>קביעתו של המוסד המכונן אשר אומרת כי מחוקקנו בא לחוקק חוקים מתוקף סמכותו לפי הכרזת העצמאות</w:t>
      </w:r>
      <w:r>
        <w:rPr>
          <w:rtl/>
        </w:rPr>
        <w:t xml:space="preserve"> – הגעתי לכלל מסקנה כי חובה עלינו לסטות מהשביל השגוי אשר נסלל על ידי קודמינו ולהתחיל לצעוד בדרך אחרת: דרך האמת לאמיתה</w:t>
      </w:r>
      <w:r>
        <w:rPr>
          <w:rFonts w:hint="cs"/>
          <w:rtl/>
        </w:rPr>
        <w:t xml:space="preserve"> המרוצפת על ידי עובדות</w:t>
      </w:r>
      <w:r>
        <w:rPr>
          <w:rtl/>
        </w:rPr>
        <w:t xml:space="preserve">. </w:t>
      </w:r>
      <w:r>
        <w:rPr>
          <w:rFonts w:hint="cs"/>
          <w:rtl/>
        </w:rPr>
        <w:t xml:space="preserve">בהקשר זה, אעלה על הכתב את הסכמתי המלאה עם דברי חברתי, השופטת </w:t>
      </w:r>
      <w:r w:rsidRPr="00ED3C1B">
        <w:rPr>
          <w:rFonts w:ascii="Century" w:hAnsi="Century" w:cs="Miriam" w:hint="cs"/>
          <w:b/>
          <w:spacing w:val="0"/>
          <w:sz w:val="22"/>
          <w:szCs w:val="24"/>
          <w:rtl/>
        </w:rPr>
        <w:t>ד' ברק-ארז</w:t>
      </w:r>
      <w:r>
        <w:rPr>
          <w:rFonts w:hint="cs"/>
          <w:rtl/>
        </w:rPr>
        <w:t xml:space="preserve">, באשר למסקנתי זו. חברתי כותבת </w:t>
      </w:r>
      <w:r>
        <w:rPr>
          <w:rtl/>
        </w:rPr>
        <w:t>–</w:t>
      </w:r>
      <w:r>
        <w:rPr>
          <w:rFonts w:hint="cs"/>
          <w:rtl/>
        </w:rPr>
        <w:t xml:space="preserve"> בצדק רב </w:t>
      </w:r>
      <w:r>
        <w:rPr>
          <w:rtl/>
        </w:rPr>
        <w:t>–</w:t>
      </w:r>
      <w:r>
        <w:rPr>
          <w:rFonts w:hint="cs"/>
          <w:rtl/>
        </w:rPr>
        <w:t xml:space="preserve"> כי עמדתי ביחס למעמדה המחייב של הכרזת העצמאות אינה תואמת את האמור בפסק הדין </w:t>
      </w:r>
      <w:r w:rsidRPr="00031CF9">
        <w:rPr>
          <w:rFonts w:ascii="Century" w:hAnsi="Century" w:cs="Miriam" w:hint="cs"/>
          <w:b/>
          <w:spacing w:val="0"/>
          <w:sz w:val="22"/>
          <w:szCs w:val="24"/>
          <w:rtl/>
        </w:rPr>
        <w:t>זיו נ' גוברניק</w:t>
      </w:r>
      <w:r>
        <w:rPr>
          <w:rFonts w:ascii="Century" w:hAnsi="Century" w:hint="cs"/>
          <w:sz w:val="22"/>
          <w:rtl/>
        </w:rPr>
        <w:t xml:space="preserve">. אחזור ואציין את הסיבה לחוסר התאמה זה: </w:t>
      </w:r>
      <w:r w:rsidRPr="00031CF9">
        <w:rPr>
          <w:rFonts w:ascii="Century" w:hAnsi="Century" w:cs="Miriam" w:hint="cs"/>
          <w:b/>
          <w:spacing w:val="0"/>
          <w:sz w:val="22"/>
          <w:szCs w:val="24"/>
          <w:rtl/>
        </w:rPr>
        <w:t>זיו נ' גוברניק</w:t>
      </w:r>
      <w:r>
        <w:rPr>
          <w:rFonts w:ascii="Century" w:hAnsi="Century" w:hint="cs"/>
          <w:sz w:val="22"/>
          <w:rtl/>
        </w:rPr>
        <w:t xml:space="preserve"> הוא פסק דין שגוי באשר </w:t>
      </w:r>
      <w:r w:rsidRPr="003701EE">
        <w:rPr>
          <w:rFonts w:ascii="Century" w:hAnsi="Century" w:cs="Miriam" w:hint="cs"/>
          <w:b/>
          <w:spacing w:val="0"/>
          <w:sz w:val="22"/>
          <w:szCs w:val="24"/>
          <w:rtl/>
        </w:rPr>
        <w:t>אינו מתייחס לאמור ב</w:t>
      </w:r>
      <w:r w:rsidRPr="003701EE">
        <w:rPr>
          <w:rFonts w:ascii="Century" w:hAnsi="Century" w:cs="Miriam"/>
          <w:b/>
          <w:spacing w:val="0"/>
          <w:sz w:val="22"/>
          <w:szCs w:val="24"/>
          <w:rtl/>
        </w:rPr>
        <w:t>מנשר ו</w:t>
      </w:r>
      <w:r w:rsidRPr="003701EE">
        <w:rPr>
          <w:rFonts w:ascii="Century" w:hAnsi="Century" w:cs="Miriam" w:hint="cs"/>
          <w:b/>
          <w:spacing w:val="0"/>
          <w:sz w:val="22"/>
          <w:szCs w:val="24"/>
          <w:rtl/>
        </w:rPr>
        <w:t>ב</w:t>
      </w:r>
      <w:r w:rsidRPr="003701EE">
        <w:rPr>
          <w:rFonts w:ascii="Century" w:hAnsi="Century" w:cs="Miriam"/>
          <w:b/>
          <w:spacing w:val="0"/>
          <w:sz w:val="22"/>
          <w:szCs w:val="24"/>
          <w:rtl/>
        </w:rPr>
        <w:t>פקודת סדרי השלטון והמשפט</w:t>
      </w:r>
      <w:r>
        <w:rPr>
          <w:rFonts w:ascii="Century" w:hAnsi="Century" w:hint="cs"/>
          <w:sz w:val="22"/>
          <w:rtl/>
        </w:rPr>
        <w:t xml:space="preserve"> </w:t>
      </w:r>
      <w:r>
        <w:rPr>
          <w:rFonts w:ascii="Century" w:hAnsi="Century"/>
          <w:sz w:val="22"/>
          <w:rtl/>
        </w:rPr>
        <w:t>–</w:t>
      </w:r>
      <w:r>
        <w:rPr>
          <w:rFonts w:ascii="Century" w:hAnsi="Century" w:hint="cs"/>
          <w:sz w:val="22"/>
          <w:rtl/>
        </w:rPr>
        <w:t xml:space="preserve"> מסמכי יסוד אשר </w:t>
      </w:r>
      <w:r>
        <w:rPr>
          <w:rFonts w:ascii="Century" w:hAnsi="Century" w:hint="cs"/>
          <w:sz w:val="22"/>
          <w:rtl/>
        </w:rPr>
        <w:lastRenderedPageBreak/>
        <w:t xml:space="preserve">הקימו </w:t>
      </w:r>
      <w:r>
        <w:rPr>
          <w:rFonts w:hint="cs"/>
          <w:rtl/>
        </w:rPr>
        <w:t>את משפטנו ואשר זיהו במפורש את הכרזת העצמאות כמקורן של סמכויות חקיקה.</w:t>
      </w:r>
    </w:p>
    <w:p w:rsidR="0047626A" w:rsidRPr="00ED3C1B" w:rsidRDefault="0047626A" w:rsidP="0047626A">
      <w:pPr>
        <w:pStyle w:val="Ruller4"/>
        <w:numPr>
          <w:ilvl w:val="0"/>
          <w:numId w:val="0"/>
        </w:numPr>
        <w:rPr>
          <w:rtl/>
        </w:rPr>
      </w:pPr>
    </w:p>
    <w:p w:rsidR="0047626A" w:rsidRDefault="0047626A" w:rsidP="0047626A">
      <w:pPr>
        <w:pStyle w:val="Ruller4"/>
      </w:pPr>
      <w:r>
        <w:rPr>
          <w:rtl/>
        </w:rPr>
        <w:t>חברי</w:t>
      </w:r>
      <w:r>
        <w:rPr>
          <w:rFonts w:hint="cs"/>
          <w:rtl/>
        </w:rPr>
        <w:t xml:space="preserve">, השופט </w:t>
      </w:r>
      <w:r w:rsidRPr="00ED3C1B">
        <w:rPr>
          <w:rFonts w:ascii="Century" w:hAnsi="Century" w:cs="Miriam" w:hint="cs"/>
          <w:b/>
          <w:spacing w:val="0"/>
          <w:sz w:val="22"/>
          <w:szCs w:val="24"/>
          <w:rtl/>
        </w:rPr>
        <w:t>גרוסקופף</w:t>
      </w:r>
      <w:r>
        <w:rPr>
          <w:rFonts w:hint="cs"/>
          <w:rtl/>
        </w:rPr>
        <w:t xml:space="preserve">, </w:t>
      </w:r>
      <w:r>
        <w:rPr>
          <w:rtl/>
        </w:rPr>
        <w:t>מבקרני על בסיס משנתו של רונאלד דוורקין אשר רואה בפיתוח הדין שנעשה על ידי בתי המשפט ספר שנכתב בשרשרת (</w:t>
      </w:r>
      <w:r>
        <w:rPr>
          <w:rFonts w:asciiTheme="majorBidi" w:hAnsiTheme="majorBidi" w:cstheme="majorBidi"/>
          <w:szCs w:val="32"/>
        </w:rPr>
        <w:t>chain novel</w:t>
      </w:r>
      <w:r>
        <w:rPr>
          <w:rtl/>
        </w:rPr>
        <w:t>) – חיבור קולקטיבי שבמסגרתו כותבי הפרקים, אשר אוחזים בעט זה-אחר-זה, מחויבים להיצמד לעלילה שפותחה על ידי קודמיהם. דא עקא, משנתו זו של דוורקין (ראו:</w:t>
      </w:r>
      <w:r>
        <w:rPr>
          <w:rFonts w:asciiTheme="majorBidi" w:hAnsiTheme="majorBidi" w:cstheme="majorBidi"/>
          <w:smallCaps/>
          <w:szCs w:val="24"/>
        </w:rPr>
        <w:t>Ronald Dworkin, Law's Empire 229 (1986)</w:t>
      </w:r>
      <w:r>
        <w:rPr>
          <w:rtl/>
        </w:rPr>
        <w:t>)</w:t>
      </w:r>
      <w:r>
        <w:t xml:space="preserve"> </w:t>
      </w:r>
      <w:r>
        <w:rPr>
          <w:rtl/>
        </w:rPr>
        <w:t xml:space="preserve">אינה </w:t>
      </w:r>
      <w:r>
        <w:rPr>
          <w:rFonts w:hint="cs"/>
          <w:rtl/>
        </w:rPr>
        <w:t>מועילה</w:t>
      </w:r>
      <w:r>
        <w:rPr>
          <w:rtl/>
        </w:rPr>
        <w:t xml:space="preserve"> במצב הדברים הייחודי שקיים במשפטנו</w:t>
      </w:r>
      <w:r>
        <w:rPr>
          <w:rFonts w:hint="cs"/>
          <w:rtl/>
        </w:rPr>
        <w:t>-שלנו</w:t>
      </w:r>
      <w:r>
        <w:rPr>
          <w:rtl/>
        </w:rPr>
        <w:t>, אשר בו כותבי הפרקים הראשונים של הספר</w:t>
      </w:r>
      <w:r>
        <w:rPr>
          <w:rFonts w:hint="cs"/>
          <w:rtl/>
        </w:rPr>
        <w:t xml:space="preserve">, כדוגמת השופטים שכתבו את פסק הדין </w:t>
      </w:r>
      <w:r w:rsidRPr="00291574">
        <w:rPr>
          <w:rFonts w:ascii="Century" w:hAnsi="Century" w:cs="Miriam" w:hint="cs"/>
          <w:b/>
          <w:spacing w:val="0"/>
          <w:sz w:val="22"/>
          <w:szCs w:val="24"/>
          <w:rtl/>
        </w:rPr>
        <w:t>זיו נ' גוברניק</w:t>
      </w:r>
      <w:r>
        <w:rPr>
          <w:rFonts w:hint="cs"/>
          <w:rtl/>
        </w:rPr>
        <w:t xml:space="preserve">, </w:t>
      </w:r>
      <w:r>
        <w:rPr>
          <w:rtl/>
        </w:rPr>
        <w:t xml:space="preserve">התעלמו – בין במודע ובין שלא במודע – מפרק המבוא אשר נכתב עבורם על ידי מכונן החיבור כולו. </w:t>
      </w:r>
    </w:p>
    <w:p w:rsidR="0047626A" w:rsidRDefault="0047626A" w:rsidP="0047626A">
      <w:pPr>
        <w:pStyle w:val="Ruller4"/>
        <w:numPr>
          <w:ilvl w:val="0"/>
          <w:numId w:val="0"/>
        </w:numPr>
      </w:pPr>
    </w:p>
    <w:p w:rsidR="0047626A" w:rsidRDefault="0047626A" w:rsidP="0047626A">
      <w:pPr>
        <w:pStyle w:val="Ruller4"/>
      </w:pPr>
      <w:r>
        <w:rPr>
          <w:rtl/>
        </w:rPr>
        <w:t xml:space="preserve">ואכן, נגד משנתו של דוורקין נמתחה ביקורת </w:t>
      </w:r>
      <w:r>
        <w:rPr>
          <w:rFonts w:hint="cs"/>
          <w:rtl/>
        </w:rPr>
        <w:t xml:space="preserve">נוקבת </w:t>
      </w:r>
      <w:r>
        <w:rPr>
          <w:rtl/>
        </w:rPr>
        <w:t xml:space="preserve">בשל כך שאין בה </w:t>
      </w:r>
      <w:r>
        <w:rPr>
          <w:rFonts w:cs="Miriam"/>
          <w:b/>
          <w:spacing w:val="0"/>
          <w:szCs w:val="24"/>
          <w:rtl/>
        </w:rPr>
        <w:t>שום מחויבות לחשיפת האמת המשפטית</w:t>
      </w:r>
      <w:r>
        <w:rPr>
          <w:rtl/>
        </w:rPr>
        <w:t xml:space="preserve"> </w:t>
      </w:r>
      <w:r>
        <w:rPr>
          <w:rFonts w:cs="Miriam"/>
          <w:b/>
          <w:spacing w:val="0"/>
          <w:szCs w:val="24"/>
          <w:rtl/>
        </w:rPr>
        <w:t>ופסיקה על פיה</w:t>
      </w:r>
      <w:r>
        <w:rPr>
          <w:rtl/>
        </w:rPr>
        <w:t>. כפי שכותבת הפרופ' לי אן פֶנֶל:</w:t>
      </w:r>
    </w:p>
    <w:p w:rsidR="0047626A" w:rsidRDefault="0047626A" w:rsidP="0047626A">
      <w:pPr>
        <w:pStyle w:val="Ruller41"/>
        <w:rPr>
          <w:rtl/>
        </w:rPr>
      </w:pPr>
    </w:p>
    <w:p w:rsidR="0047626A" w:rsidRDefault="0047626A" w:rsidP="0047626A">
      <w:pPr>
        <w:pStyle w:val="Ruller5"/>
        <w:bidi w:val="0"/>
        <w:rPr>
          <w:rFonts w:asciiTheme="majorBidi" w:hAnsiTheme="majorBidi" w:cstheme="majorBidi"/>
          <w:sz w:val="24"/>
          <w:szCs w:val="24"/>
          <w:rtl/>
        </w:rPr>
      </w:pPr>
      <w:r>
        <w:rPr>
          <w:rFonts w:asciiTheme="majorBidi" w:hAnsiTheme="majorBidi" w:cstheme="majorBidi"/>
          <w:sz w:val="24"/>
          <w:szCs w:val="24"/>
        </w:rPr>
        <w:t>"Significantly, Dworkin's chain author judge has no duty – indeed no license – to check the ongoing story against the realities of the outside world or demand that the doctrines actually work out properly in consequentialist terms. As in fiction, only the internal consistency of the piece itself matters. There is no chance for moral outrage at a story gone awry, and no way to abandon a story that no longer rings true. Errors are not only tolerated, they are expanded, replicated, and applied in new and different settings".</w:t>
      </w:r>
    </w:p>
    <w:p w:rsidR="0047626A" w:rsidRDefault="0047626A" w:rsidP="0047626A">
      <w:pPr>
        <w:pStyle w:val="Ruller5"/>
        <w:bidi w:val="0"/>
        <w:rPr>
          <w:rFonts w:asciiTheme="majorBidi" w:hAnsiTheme="majorBidi" w:cstheme="majorBidi"/>
          <w:sz w:val="24"/>
          <w:szCs w:val="24"/>
        </w:rPr>
      </w:pPr>
    </w:p>
    <w:p w:rsidR="0047626A" w:rsidRDefault="0047626A" w:rsidP="0047626A">
      <w:pPr>
        <w:pStyle w:val="Ruller5"/>
        <w:bidi w:val="0"/>
        <w:rPr>
          <w:rFonts w:asciiTheme="majorBidi" w:hAnsiTheme="majorBidi" w:cstheme="majorBidi"/>
          <w:sz w:val="24"/>
          <w:szCs w:val="24"/>
        </w:rPr>
      </w:pPr>
      <w:r>
        <w:rPr>
          <w:rFonts w:asciiTheme="majorBidi" w:hAnsiTheme="majorBidi" w:cstheme="majorBidi"/>
          <w:sz w:val="24"/>
          <w:szCs w:val="24"/>
        </w:rPr>
        <w:t xml:space="preserve">Lee Anne Fennell, </w:t>
      </w:r>
      <w:r>
        <w:rPr>
          <w:rFonts w:asciiTheme="majorBidi" w:hAnsiTheme="majorBidi" w:cstheme="majorBidi"/>
          <w:i/>
          <w:iCs/>
          <w:sz w:val="24"/>
          <w:szCs w:val="24"/>
        </w:rPr>
        <w:t>Between Monster and Machine: Rethinking the Judicial Function</w:t>
      </w:r>
      <w:r>
        <w:rPr>
          <w:rFonts w:asciiTheme="majorBidi" w:hAnsiTheme="majorBidi" w:cstheme="majorBidi"/>
          <w:sz w:val="24"/>
          <w:szCs w:val="24"/>
        </w:rPr>
        <w:t xml:space="preserve">, 51 </w:t>
      </w:r>
      <w:r>
        <w:rPr>
          <w:rFonts w:asciiTheme="majorBidi" w:hAnsiTheme="majorBidi" w:cstheme="majorBidi"/>
          <w:smallCaps/>
          <w:sz w:val="24"/>
          <w:szCs w:val="24"/>
        </w:rPr>
        <w:t>S.C. L. Rev.</w:t>
      </w:r>
      <w:r>
        <w:rPr>
          <w:rFonts w:asciiTheme="majorBidi" w:hAnsiTheme="majorBidi" w:cstheme="majorBidi"/>
          <w:sz w:val="24"/>
          <w:szCs w:val="24"/>
        </w:rPr>
        <w:t xml:space="preserve"> 183, 215</w:t>
      </w:r>
      <w:r>
        <w:rPr>
          <w:rFonts w:asciiTheme="majorBidi" w:hAnsiTheme="majorBidi" w:cstheme="majorBidi"/>
          <w:sz w:val="24"/>
          <w:szCs w:val="24"/>
          <w:rtl/>
        </w:rPr>
        <w:t xml:space="preserve"> </w:t>
      </w:r>
      <w:r>
        <w:rPr>
          <w:rFonts w:asciiTheme="majorBidi" w:hAnsiTheme="majorBidi" w:cstheme="majorBidi"/>
          <w:sz w:val="24"/>
          <w:szCs w:val="24"/>
        </w:rPr>
        <w:t>(1999).</w:t>
      </w:r>
    </w:p>
    <w:p w:rsidR="0047626A" w:rsidRDefault="0047626A" w:rsidP="0047626A">
      <w:pPr>
        <w:pStyle w:val="Ruller5"/>
        <w:bidi w:val="0"/>
        <w:rPr>
          <w:rFonts w:asciiTheme="majorBidi" w:hAnsiTheme="majorBidi" w:cstheme="majorBidi"/>
          <w:sz w:val="24"/>
          <w:szCs w:val="24"/>
        </w:rPr>
      </w:pPr>
    </w:p>
    <w:p w:rsidR="0047626A" w:rsidRDefault="0047626A" w:rsidP="0047626A">
      <w:pPr>
        <w:pStyle w:val="Ruller41"/>
        <w:rPr>
          <w:rtl/>
        </w:rPr>
      </w:pPr>
      <w:r>
        <w:rPr>
          <w:rtl/>
        </w:rPr>
        <w:tab/>
        <w:t>במאמר מוסגר, אציין כי אף ברמה האמפירית משנתו של דוורקין מסבירה את פיתוח התקדימים המשפטיים על ידי בתי המשפט האמריקניים רק באופן חלקי ולוקה בחסר (ראו:</w:t>
      </w:r>
      <w:r>
        <w:rPr>
          <w:rFonts w:asciiTheme="majorBidi" w:hAnsiTheme="majorBidi" w:cstheme="majorBidi"/>
          <w:sz w:val="24"/>
          <w:szCs w:val="24"/>
        </w:rPr>
        <w:t xml:space="preserve">Stefanie A. Lindquist &amp; Frank B. Cross, </w:t>
      </w:r>
      <w:r>
        <w:rPr>
          <w:rFonts w:asciiTheme="majorBidi" w:hAnsiTheme="majorBidi" w:cstheme="majorBidi"/>
          <w:i/>
          <w:iCs/>
          <w:sz w:val="24"/>
          <w:szCs w:val="24"/>
        </w:rPr>
        <w:t>Empirically Testing Dworkin's Chain Novel Theory: Studying the Path of Precedent</w:t>
      </w:r>
      <w:r>
        <w:rPr>
          <w:rFonts w:asciiTheme="majorBidi" w:hAnsiTheme="majorBidi" w:cstheme="majorBidi"/>
          <w:sz w:val="24"/>
          <w:szCs w:val="24"/>
        </w:rPr>
        <w:t xml:space="preserve">, 80 </w:t>
      </w:r>
      <w:r>
        <w:rPr>
          <w:rFonts w:asciiTheme="majorBidi" w:hAnsiTheme="majorBidi" w:cstheme="majorBidi"/>
          <w:smallCaps/>
          <w:sz w:val="24"/>
          <w:szCs w:val="24"/>
        </w:rPr>
        <w:t>N.Y.U. L. Rev.</w:t>
      </w:r>
      <w:r>
        <w:rPr>
          <w:rFonts w:asciiTheme="majorBidi" w:hAnsiTheme="majorBidi" w:cstheme="majorBidi"/>
          <w:sz w:val="24"/>
          <w:szCs w:val="24"/>
        </w:rPr>
        <w:t xml:space="preserve"> 1156 (2005)</w:t>
      </w:r>
      <w:r>
        <w:rPr>
          <w:rtl/>
        </w:rPr>
        <w:t xml:space="preserve">). כך, למשל, משנה זו אינה יכולה להסביר את ביטול הדוקטרינה הגזענית הישנה "נפרד אך שווה", אשר אפשרה הפרדה גזעית בין תלמידי החינוך הממלכתי, בפסק הדין הקנוני </w:t>
      </w:r>
      <w:r>
        <w:rPr>
          <w:rFonts w:asciiTheme="majorBidi" w:hAnsiTheme="majorBidi" w:cstheme="majorBidi"/>
          <w:sz w:val="24"/>
          <w:szCs w:val="24"/>
        </w:rPr>
        <w:t>Brown v. Board of Education, 347 U.S. 483 (1954)</w:t>
      </w:r>
      <w:r>
        <w:rPr>
          <w:rtl/>
        </w:rPr>
        <w:t xml:space="preserve">, </w:t>
      </w:r>
      <w:r>
        <w:rPr>
          <w:rtl/>
        </w:rPr>
        <w:lastRenderedPageBreak/>
        <w:t xml:space="preserve">אשר קבע כי פסק הדין שניתן בעניין </w:t>
      </w:r>
      <w:r>
        <w:rPr>
          <w:rFonts w:asciiTheme="majorBidi" w:hAnsiTheme="majorBidi" w:cstheme="majorBidi"/>
          <w:sz w:val="24"/>
          <w:szCs w:val="24"/>
        </w:rPr>
        <w:t>Plessy v. Ferguson, 163 U.S. 537 (1896)</w:t>
      </w:r>
      <w:r>
        <w:rPr>
          <w:rFonts w:asciiTheme="majorBidi" w:hAnsiTheme="majorBidi" w:cstheme="majorBidi"/>
          <w:i/>
          <w:iCs/>
          <w:sz w:val="24"/>
          <w:szCs w:val="24"/>
          <w:rtl/>
        </w:rPr>
        <w:t xml:space="preserve"> </w:t>
      </w:r>
      <w:r>
        <w:rPr>
          <w:rtl/>
        </w:rPr>
        <w:t xml:space="preserve">היה שגוי מיסודו, וכי הפרדה גזעית כאמור מנוגדת לחוקת ארצות-הברית.  </w:t>
      </w:r>
    </w:p>
    <w:p w:rsidR="0047626A" w:rsidRDefault="0047626A" w:rsidP="0047626A">
      <w:pPr>
        <w:pStyle w:val="Ruller41"/>
        <w:rPr>
          <w:rtl/>
        </w:rPr>
      </w:pPr>
    </w:p>
    <w:p w:rsidR="0047626A" w:rsidRDefault="0047626A" w:rsidP="0047626A">
      <w:pPr>
        <w:pStyle w:val="Ruller4"/>
      </w:pPr>
      <w:r>
        <w:rPr>
          <w:rtl/>
        </w:rPr>
        <w:t xml:space="preserve">כמו כן, איני מסכים עם הערכת חברי שגישתי מחוללת מהפך ביסודות המשפט. כפי שהראיתי בפסק דיני, עקרונותיה של הכרזת העצמאות הנחו את פועלה של הכנסת ואת פועלם של בתי המשפט בשדה החוקתי מאז קום המדינה. </w:t>
      </w:r>
      <w:r>
        <w:rPr>
          <w:rFonts w:hint="cs"/>
          <w:rtl/>
        </w:rPr>
        <w:t xml:space="preserve">לא בכדי כותבת חברתי, השופטת </w:t>
      </w:r>
      <w:r w:rsidRPr="002F50C4">
        <w:rPr>
          <w:rFonts w:ascii="Century" w:hAnsi="Century" w:cs="Miriam" w:hint="cs"/>
          <w:b/>
          <w:spacing w:val="0"/>
          <w:sz w:val="22"/>
          <w:szCs w:val="24"/>
          <w:rtl/>
        </w:rPr>
        <w:t>ברק-ארז</w:t>
      </w:r>
      <w:r>
        <w:rPr>
          <w:rFonts w:hint="cs"/>
          <w:rtl/>
        </w:rPr>
        <w:t xml:space="preserve">, בפסק דינה כי הפעלת הסמכות המכוננת כפופה לעקרונותיה של הכרזת העצמאות; וכפועל יוצא מכך </w:t>
      </w:r>
      <w:r>
        <w:rPr>
          <w:rtl/>
        </w:rPr>
        <w:t>–</w:t>
      </w:r>
      <w:r>
        <w:rPr>
          <w:rFonts w:hint="cs"/>
          <w:rtl/>
        </w:rPr>
        <w:t xml:space="preserve"> לשיטתי </w:t>
      </w:r>
      <w:r>
        <w:rPr>
          <w:rtl/>
        </w:rPr>
        <w:t>–</w:t>
      </w:r>
      <w:r>
        <w:rPr>
          <w:rFonts w:hint="cs"/>
          <w:rtl/>
        </w:rPr>
        <w:t xml:space="preserve"> הוא הדין עם חקיקה רגילה של הכנסת.</w:t>
      </w:r>
    </w:p>
    <w:p w:rsidR="0047626A" w:rsidRDefault="0047626A" w:rsidP="0047626A">
      <w:pPr>
        <w:pStyle w:val="Ruller4"/>
        <w:numPr>
          <w:ilvl w:val="0"/>
          <w:numId w:val="0"/>
        </w:numPr>
        <w:rPr>
          <w:rtl/>
        </w:rPr>
      </w:pPr>
      <w:r>
        <w:rPr>
          <w:rtl/>
        </w:rPr>
        <w:t xml:space="preserve">קבלת עמדתי, שכאמור רואה בהכרזת העצמאות לא רק את סלע-קיומנו כחברה וכמדינה, אלא גם את המסד </w:t>
      </w:r>
      <w:r>
        <w:rPr>
          <w:rFonts w:hint="cs"/>
          <w:rtl/>
        </w:rPr>
        <w:t xml:space="preserve">הבראשיתי </w:t>
      </w:r>
      <w:r>
        <w:rPr>
          <w:rtl/>
        </w:rPr>
        <w:t xml:space="preserve">עליו עומד המשפט הישראלי כולו, אינה מביאה </w:t>
      </w:r>
      <w:r>
        <w:rPr>
          <w:rFonts w:hint="cs"/>
          <w:rtl/>
        </w:rPr>
        <w:t xml:space="preserve">אפוא </w:t>
      </w:r>
      <w:r>
        <w:rPr>
          <w:rtl/>
        </w:rPr>
        <w:t>לשום שינוי מרחיק לכת למעט המעבר ההכרחי מאי-סדר חוקתי לסדר חוקתי.</w:t>
      </w:r>
    </w:p>
    <w:p w:rsidR="0047626A" w:rsidRPr="00FB4AD4" w:rsidRDefault="0047626A" w:rsidP="0047626A">
      <w:pPr>
        <w:pStyle w:val="Ruller4"/>
        <w:numPr>
          <w:ilvl w:val="0"/>
          <w:numId w:val="0"/>
        </w:numPr>
        <w:rPr>
          <w:rFonts w:ascii="FrankRuehl" w:hAnsi="FrankRuehl"/>
          <w:color w:val="222222"/>
          <w:spacing w:val="0"/>
          <w:sz w:val="28"/>
          <w:rtl/>
        </w:rPr>
      </w:pPr>
    </w:p>
    <w:p w:rsidR="0047626A" w:rsidRPr="00936A8D" w:rsidRDefault="0047626A" w:rsidP="0047626A">
      <w:pPr>
        <w:pStyle w:val="Ruller41"/>
        <w:rPr>
          <w:rFonts w:ascii="Century" w:hAnsi="Century" w:cs="Miriam"/>
          <w:b/>
          <w:spacing w:val="0"/>
          <w:szCs w:val="24"/>
        </w:rPr>
      </w:pPr>
      <w:r w:rsidRPr="00936A8D">
        <w:rPr>
          <w:rFonts w:ascii="Century" w:hAnsi="Century" w:cs="Miriam" w:hint="eastAsia"/>
          <w:b/>
          <w:spacing w:val="0"/>
          <w:szCs w:val="24"/>
          <w:rtl/>
        </w:rPr>
        <w:t>סוף</w:t>
      </w:r>
      <w:r w:rsidRPr="00936A8D">
        <w:rPr>
          <w:rFonts w:ascii="Century" w:hAnsi="Century" w:cs="Miriam"/>
          <w:b/>
          <w:spacing w:val="0"/>
          <w:szCs w:val="24"/>
          <w:rtl/>
        </w:rPr>
        <w:t xml:space="preserve"> </w:t>
      </w:r>
      <w:r w:rsidRPr="00936A8D">
        <w:rPr>
          <w:rFonts w:ascii="Century" w:hAnsi="Century" w:cs="Miriam" w:hint="eastAsia"/>
          <w:b/>
          <w:spacing w:val="0"/>
          <w:szCs w:val="24"/>
          <w:rtl/>
        </w:rPr>
        <w:t>דבר</w:t>
      </w:r>
    </w:p>
    <w:p w:rsidR="0047626A" w:rsidRPr="00936A8D" w:rsidRDefault="0047626A" w:rsidP="0047626A">
      <w:pPr>
        <w:pStyle w:val="Ruller4"/>
        <w:numPr>
          <w:ilvl w:val="0"/>
          <w:numId w:val="0"/>
        </w:numPr>
      </w:pPr>
    </w:p>
    <w:p w:rsidR="0047626A" w:rsidRDefault="0047626A" w:rsidP="0047626A">
      <w:pPr>
        <w:pStyle w:val="Ruller4"/>
      </w:pPr>
      <w:r w:rsidRPr="00B33F2D">
        <w:rPr>
          <w:rFonts w:ascii="Century" w:hAnsi="Century" w:hint="eastAsia"/>
          <w:sz w:val="22"/>
          <w:rtl/>
        </w:rPr>
        <w:t>ההוראה</w:t>
      </w:r>
      <w:r w:rsidRPr="00B33F2D">
        <w:rPr>
          <w:rFonts w:ascii="Century" w:hAnsi="Century"/>
          <w:sz w:val="22"/>
          <w:rtl/>
        </w:rPr>
        <w:t xml:space="preserve"> </w:t>
      </w:r>
      <w:r w:rsidRPr="00936A8D">
        <w:rPr>
          <w:rFonts w:hint="eastAsia"/>
          <w:rtl/>
        </w:rPr>
        <w:t>נושא</w:t>
      </w:r>
      <w:r w:rsidRPr="00936A8D">
        <w:rPr>
          <w:rtl/>
        </w:rPr>
        <w:t xml:space="preserve"> </w:t>
      </w:r>
      <w:r w:rsidRPr="00936A8D">
        <w:rPr>
          <w:rFonts w:hint="eastAsia"/>
          <w:rtl/>
        </w:rPr>
        <w:t>דיוננו</w:t>
      </w:r>
      <w:r w:rsidRPr="00936A8D">
        <w:rPr>
          <w:rtl/>
        </w:rPr>
        <w:t xml:space="preserve"> </w:t>
      </w:r>
      <w:r w:rsidRPr="00936A8D">
        <w:rPr>
          <w:rFonts w:hint="eastAsia"/>
          <w:rtl/>
        </w:rPr>
        <w:t>מותירה</w:t>
      </w:r>
      <w:r w:rsidRPr="00936A8D">
        <w:rPr>
          <w:rtl/>
        </w:rPr>
        <w:t xml:space="preserve"> </w:t>
      </w:r>
      <w:r w:rsidRPr="00936A8D">
        <w:rPr>
          <w:rFonts w:hint="eastAsia"/>
          <w:rtl/>
        </w:rPr>
        <w:t>בידינו</w:t>
      </w:r>
      <w:r w:rsidRPr="00936A8D">
        <w:rPr>
          <w:rtl/>
        </w:rPr>
        <w:t xml:space="preserve"> </w:t>
      </w:r>
      <w:r w:rsidRPr="00B33F2D">
        <w:rPr>
          <w:rFonts w:ascii="Century" w:hAnsi="Century" w:hint="eastAsia"/>
          <w:sz w:val="22"/>
          <w:rtl/>
        </w:rPr>
        <w:t>ביקורת</w:t>
      </w:r>
      <w:r w:rsidRPr="00B33F2D">
        <w:rPr>
          <w:rFonts w:ascii="Century" w:hAnsi="Century"/>
          <w:sz w:val="22"/>
          <w:rtl/>
        </w:rPr>
        <w:t xml:space="preserve"> </w:t>
      </w:r>
      <w:r w:rsidRPr="00B33F2D">
        <w:rPr>
          <w:rFonts w:ascii="Century" w:hAnsi="Century" w:hint="eastAsia"/>
          <w:sz w:val="22"/>
          <w:rtl/>
        </w:rPr>
        <w:t>שיפוטית</w:t>
      </w:r>
      <w:r w:rsidRPr="00B33F2D">
        <w:rPr>
          <w:rFonts w:ascii="Century" w:hAnsi="Century"/>
          <w:sz w:val="22"/>
          <w:rtl/>
        </w:rPr>
        <w:t xml:space="preserve"> </w:t>
      </w:r>
      <w:r w:rsidRPr="00B33F2D">
        <w:rPr>
          <w:rFonts w:ascii="Century" w:hAnsi="Century" w:hint="eastAsia"/>
          <w:sz w:val="22"/>
          <w:rtl/>
        </w:rPr>
        <w:t>אפקטיבית</w:t>
      </w:r>
      <w:r w:rsidRPr="00B33F2D">
        <w:rPr>
          <w:rFonts w:ascii="Century" w:hAnsi="Century" w:hint="cs"/>
          <w:sz w:val="22"/>
          <w:rtl/>
        </w:rPr>
        <w:t xml:space="preserve"> ומועילה</w:t>
      </w:r>
      <w:r w:rsidRPr="00B33F2D">
        <w:rPr>
          <w:rFonts w:ascii="Century" w:hAnsi="Century"/>
          <w:sz w:val="22"/>
          <w:rtl/>
        </w:rPr>
        <w:t xml:space="preserve">, </w:t>
      </w:r>
      <w:r w:rsidRPr="00B33F2D">
        <w:rPr>
          <w:rFonts w:ascii="Century" w:hAnsi="Century" w:hint="eastAsia"/>
          <w:sz w:val="22"/>
          <w:rtl/>
        </w:rPr>
        <w:t>שבכוחה</w:t>
      </w:r>
      <w:r w:rsidRPr="00B33F2D">
        <w:rPr>
          <w:rFonts w:ascii="Century" w:hAnsi="Century"/>
          <w:sz w:val="22"/>
          <w:rtl/>
        </w:rPr>
        <w:t xml:space="preserve"> </w:t>
      </w:r>
      <w:r w:rsidRPr="00B33F2D">
        <w:rPr>
          <w:rFonts w:ascii="Century" w:hAnsi="Century" w:hint="eastAsia"/>
          <w:sz w:val="22"/>
          <w:rtl/>
        </w:rPr>
        <w:t>לספק</w:t>
      </w:r>
      <w:r w:rsidRPr="00B33F2D">
        <w:rPr>
          <w:rFonts w:ascii="Century" w:hAnsi="Century"/>
          <w:sz w:val="22"/>
          <w:rtl/>
        </w:rPr>
        <w:t xml:space="preserve"> </w:t>
      </w:r>
      <w:r w:rsidRPr="00B33F2D">
        <w:rPr>
          <w:rFonts w:ascii="Century" w:hAnsi="Century" w:hint="eastAsia"/>
          <w:sz w:val="22"/>
          <w:rtl/>
        </w:rPr>
        <w:t>הגנה</w:t>
      </w:r>
      <w:r w:rsidRPr="00B33F2D">
        <w:rPr>
          <w:rFonts w:ascii="Century" w:hAnsi="Century"/>
          <w:sz w:val="22"/>
          <w:rtl/>
        </w:rPr>
        <w:t xml:space="preserve"> </w:t>
      </w:r>
      <w:r w:rsidRPr="00B33F2D">
        <w:rPr>
          <w:rFonts w:ascii="Century" w:hAnsi="Century" w:hint="eastAsia"/>
          <w:sz w:val="22"/>
          <w:rtl/>
        </w:rPr>
        <w:t>נאותה</w:t>
      </w:r>
      <w:r w:rsidRPr="00B33F2D">
        <w:rPr>
          <w:rFonts w:ascii="Century" w:hAnsi="Century"/>
          <w:sz w:val="22"/>
          <w:rtl/>
        </w:rPr>
        <w:t xml:space="preserve"> </w:t>
      </w:r>
      <w:r w:rsidRPr="00B33F2D">
        <w:rPr>
          <w:rFonts w:ascii="Century" w:hAnsi="Century" w:hint="eastAsia"/>
          <w:sz w:val="22"/>
          <w:rtl/>
        </w:rPr>
        <w:t>על</w:t>
      </w:r>
      <w:r w:rsidRPr="00B33F2D">
        <w:rPr>
          <w:rFonts w:ascii="Century" w:hAnsi="Century"/>
          <w:sz w:val="22"/>
          <w:rtl/>
        </w:rPr>
        <w:t xml:space="preserve"> </w:t>
      </w:r>
      <w:r w:rsidRPr="00B33F2D">
        <w:rPr>
          <w:rFonts w:ascii="Century" w:hAnsi="Century" w:hint="eastAsia"/>
          <w:sz w:val="22"/>
          <w:rtl/>
        </w:rPr>
        <w:t>שלטון</w:t>
      </w:r>
      <w:r w:rsidRPr="00B33F2D">
        <w:rPr>
          <w:rFonts w:ascii="Century" w:hAnsi="Century"/>
          <w:sz w:val="22"/>
          <w:rtl/>
        </w:rPr>
        <w:t xml:space="preserve"> </w:t>
      </w:r>
      <w:r w:rsidRPr="00B33F2D">
        <w:rPr>
          <w:rFonts w:ascii="Century" w:hAnsi="Century" w:hint="eastAsia"/>
          <w:sz w:val="22"/>
          <w:rtl/>
        </w:rPr>
        <w:t>החוק</w:t>
      </w:r>
      <w:r w:rsidRPr="00B33F2D">
        <w:rPr>
          <w:rFonts w:ascii="Century" w:hAnsi="Century"/>
          <w:sz w:val="22"/>
          <w:rtl/>
        </w:rPr>
        <w:t xml:space="preserve"> </w:t>
      </w:r>
      <w:r w:rsidRPr="00B33F2D">
        <w:rPr>
          <w:rFonts w:ascii="Century" w:hAnsi="Century" w:hint="eastAsia"/>
          <w:sz w:val="22"/>
          <w:rtl/>
        </w:rPr>
        <w:t>ועל</w:t>
      </w:r>
      <w:r w:rsidRPr="00B33F2D">
        <w:rPr>
          <w:rFonts w:ascii="Century" w:hAnsi="Century"/>
          <w:sz w:val="22"/>
          <w:rtl/>
        </w:rPr>
        <w:t xml:space="preserve"> </w:t>
      </w:r>
      <w:r w:rsidRPr="00B33F2D">
        <w:rPr>
          <w:rFonts w:ascii="Century" w:hAnsi="Century" w:hint="eastAsia"/>
          <w:sz w:val="22"/>
          <w:rtl/>
        </w:rPr>
        <w:t>זכויות</w:t>
      </w:r>
      <w:r w:rsidRPr="00B33F2D">
        <w:rPr>
          <w:rFonts w:ascii="Century" w:hAnsi="Century"/>
          <w:sz w:val="22"/>
          <w:rtl/>
        </w:rPr>
        <w:t xml:space="preserve"> </w:t>
      </w:r>
      <w:r w:rsidRPr="00B33F2D">
        <w:rPr>
          <w:rFonts w:ascii="Century" w:hAnsi="Century" w:hint="eastAsia"/>
          <w:sz w:val="22"/>
          <w:rtl/>
        </w:rPr>
        <w:t>האזרח</w:t>
      </w:r>
      <w:r w:rsidRPr="00B33F2D">
        <w:rPr>
          <w:rFonts w:ascii="Century" w:hAnsi="Century"/>
          <w:sz w:val="22"/>
          <w:rtl/>
        </w:rPr>
        <w:t>.</w:t>
      </w:r>
      <w:r w:rsidRPr="00B33F2D">
        <w:rPr>
          <w:rFonts w:ascii="Century" w:hAnsi="Century" w:hint="cs"/>
          <w:sz w:val="22"/>
          <w:rtl/>
        </w:rPr>
        <w:t xml:space="preserve"> </w:t>
      </w:r>
      <w:r w:rsidRPr="00B33F2D">
        <w:rPr>
          <w:rFonts w:ascii="Century" w:hAnsi="Century" w:hint="eastAsia"/>
          <w:sz w:val="22"/>
          <w:rtl/>
        </w:rPr>
        <w:t>כך</w:t>
      </w:r>
      <w:r w:rsidRPr="00B33F2D">
        <w:rPr>
          <w:rFonts w:ascii="Century" w:hAnsi="Century"/>
          <w:sz w:val="22"/>
          <w:rtl/>
        </w:rPr>
        <w:t xml:space="preserve"> </w:t>
      </w:r>
      <w:r w:rsidRPr="00B33F2D">
        <w:rPr>
          <w:rFonts w:ascii="Century" w:hAnsi="Century" w:hint="eastAsia"/>
          <w:sz w:val="22"/>
          <w:rtl/>
        </w:rPr>
        <w:t>אצלנו</w:t>
      </w:r>
      <w:r w:rsidRPr="00B33F2D">
        <w:rPr>
          <w:rFonts w:ascii="Century" w:hAnsi="Century"/>
          <w:sz w:val="22"/>
          <w:rtl/>
        </w:rPr>
        <w:t xml:space="preserve">, </w:t>
      </w:r>
      <w:r w:rsidRPr="00B33F2D">
        <w:rPr>
          <w:rFonts w:ascii="Century" w:hAnsi="Century" w:hint="eastAsia"/>
          <w:sz w:val="22"/>
          <w:rtl/>
        </w:rPr>
        <w:t>וכך</w:t>
      </w:r>
      <w:r w:rsidRPr="00B33F2D">
        <w:rPr>
          <w:rFonts w:ascii="Century" w:hAnsi="Century"/>
          <w:sz w:val="22"/>
          <w:rtl/>
        </w:rPr>
        <w:t xml:space="preserve"> </w:t>
      </w:r>
      <w:r w:rsidRPr="00B33F2D">
        <w:rPr>
          <w:rFonts w:ascii="Century" w:hAnsi="Century" w:hint="cs"/>
          <w:sz w:val="22"/>
          <w:rtl/>
        </w:rPr>
        <w:t xml:space="preserve">הוא </w:t>
      </w:r>
      <w:r w:rsidRPr="00B33F2D">
        <w:rPr>
          <w:rFonts w:ascii="Century" w:hAnsi="Century" w:hint="eastAsia"/>
          <w:sz w:val="22"/>
          <w:rtl/>
        </w:rPr>
        <w:t>גם</w:t>
      </w:r>
      <w:r w:rsidRPr="00B33F2D">
        <w:rPr>
          <w:rFonts w:ascii="Century" w:hAnsi="Century"/>
          <w:sz w:val="22"/>
          <w:rtl/>
        </w:rPr>
        <w:t xml:space="preserve"> </w:t>
      </w:r>
      <w:r w:rsidRPr="00B33F2D">
        <w:rPr>
          <w:rFonts w:ascii="Century" w:hAnsi="Century" w:hint="eastAsia"/>
          <w:sz w:val="22"/>
          <w:rtl/>
        </w:rPr>
        <w:t>ב</w:t>
      </w:r>
      <w:r w:rsidRPr="00B33F2D">
        <w:rPr>
          <w:rFonts w:ascii="Century" w:hAnsi="Century" w:hint="cs"/>
          <w:sz w:val="22"/>
          <w:rtl/>
        </w:rPr>
        <w:t>משפט האנגלי</w:t>
      </w:r>
      <w:r w:rsidRPr="00B33F2D">
        <w:rPr>
          <w:rFonts w:ascii="Century" w:hAnsi="Century"/>
          <w:sz w:val="22"/>
          <w:rtl/>
        </w:rPr>
        <w:t xml:space="preserve">. </w:t>
      </w:r>
      <w:r w:rsidRPr="00936A8D">
        <w:rPr>
          <w:rFonts w:hint="eastAsia"/>
          <w:rtl/>
        </w:rPr>
        <w:t>לא</w:t>
      </w:r>
      <w:r w:rsidRPr="00936A8D">
        <w:rPr>
          <w:rtl/>
        </w:rPr>
        <w:t xml:space="preserve"> </w:t>
      </w:r>
      <w:r w:rsidRPr="00936A8D">
        <w:rPr>
          <w:rFonts w:hint="eastAsia"/>
          <w:rtl/>
        </w:rPr>
        <w:t>אלמן</w:t>
      </w:r>
      <w:r w:rsidRPr="00936A8D">
        <w:rPr>
          <w:rtl/>
        </w:rPr>
        <w:t xml:space="preserve"> </w:t>
      </w:r>
      <w:r w:rsidRPr="00936A8D">
        <w:rPr>
          <w:rFonts w:hint="eastAsia"/>
          <w:rtl/>
        </w:rPr>
        <w:t>ישראל</w:t>
      </w:r>
      <w:r w:rsidRPr="00936A8D">
        <w:rPr>
          <w:rtl/>
        </w:rPr>
        <w:t xml:space="preserve"> (</w:t>
      </w:r>
      <w:r w:rsidRPr="00936A8D">
        <w:rPr>
          <w:rFonts w:hint="eastAsia"/>
          <w:rtl/>
        </w:rPr>
        <w:t>וגם</w:t>
      </w:r>
      <w:r w:rsidRPr="00936A8D">
        <w:rPr>
          <w:rtl/>
        </w:rPr>
        <w:t xml:space="preserve"> </w:t>
      </w:r>
      <w:r>
        <w:rPr>
          <w:rFonts w:hint="cs"/>
          <w:rtl/>
        </w:rPr>
        <w:t>אנגליה</w:t>
      </w:r>
      <w:r w:rsidRPr="00936A8D">
        <w:rPr>
          <w:rtl/>
        </w:rPr>
        <w:t xml:space="preserve"> </w:t>
      </w:r>
      <w:r w:rsidRPr="00936A8D">
        <w:rPr>
          <w:rFonts w:hint="eastAsia"/>
          <w:rtl/>
        </w:rPr>
        <w:t>אינה</w:t>
      </w:r>
      <w:r w:rsidRPr="00936A8D">
        <w:rPr>
          <w:rtl/>
        </w:rPr>
        <w:t xml:space="preserve"> </w:t>
      </w:r>
      <w:r w:rsidRPr="00936A8D">
        <w:rPr>
          <w:rFonts w:hint="eastAsia"/>
          <w:rtl/>
        </w:rPr>
        <w:t>אלמנה</w:t>
      </w:r>
      <w:r w:rsidRPr="00936A8D">
        <w:rPr>
          <w:rtl/>
        </w:rPr>
        <w:t xml:space="preserve">). </w:t>
      </w:r>
    </w:p>
    <w:p w:rsidR="0047626A" w:rsidRDefault="0047626A" w:rsidP="0047626A">
      <w:pPr>
        <w:pStyle w:val="Ruller4"/>
        <w:numPr>
          <w:ilvl w:val="0"/>
          <w:numId w:val="0"/>
        </w:numPr>
        <w:rPr>
          <w:rtl/>
        </w:rPr>
      </w:pPr>
      <w:r>
        <w:rPr>
          <w:rtl/>
        </w:rPr>
        <w:tab/>
      </w:r>
    </w:p>
    <w:p w:rsidR="0047626A" w:rsidRDefault="0047626A" w:rsidP="0047626A">
      <w:pPr>
        <w:pStyle w:val="Ruller4"/>
        <w:numPr>
          <w:ilvl w:val="0"/>
          <w:numId w:val="0"/>
        </w:numPr>
        <w:rPr>
          <w:rtl/>
        </w:rPr>
      </w:pPr>
      <w:r>
        <w:rPr>
          <w:rtl/>
        </w:rPr>
        <w:tab/>
      </w:r>
      <w:r w:rsidRPr="00936A8D">
        <w:rPr>
          <w:rFonts w:hint="eastAsia"/>
          <w:rtl/>
        </w:rPr>
        <w:t>דין</w:t>
      </w:r>
      <w:r w:rsidRPr="00936A8D">
        <w:rPr>
          <w:rtl/>
        </w:rPr>
        <w:t xml:space="preserve"> </w:t>
      </w:r>
      <w:r w:rsidRPr="00936A8D">
        <w:rPr>
          <w:rFonts w:hint="eastAsia"/>
          <w:rtl/>
        </w:rPr>
        <w:t>העתירות</w:t>
      </w:r>
      <w:r w:rsidRPr="00936A8D">
        <w:rPr>
          <w:rtl/>
        </w:rPr>
        <w:t xml:space="preserve"> </w:t>
      </w:r>
      <w:r w:rsidRPr="00936A8D">
        <w:rPr>
          <w:rFonts w:hint="eastAsia"/>
          <w:rtl/>
        </w:rPr>
        <w:t>להידחות</w:t>
      </w:r>
      <w:r w:rsidRPr="00936A8D">
        <w:rPr>
          <w:rtl/>
        </w:rPr>
        <w:t>.</w:t>
      </w:r>
    </w:p>
    <w:p w:rsidR="00EC32E0" w:rsidRDefault="00EC32E0" w:rsidP="004E4926">
      <w:pPr>
        <w:pStyle w:val="Ruller41"/>
        <w:rPr>
          <w:rtl/>
        </w:rPr>
      </w:pPr>
    </w:p>
    <w:p w:rsidR="002742C2" w:rsidRDefault="002742C2" w:rsidP="00EC32E0">
      <w:pPr>
        <w:pStyle w:val="Ruller41"/>
        <w:rPr>
          <w:rtl/>
        </w:rPr>
      </w:pPr>
    </w:p>
    <w:tbl>
      <w:tblPr>
        <w:bidiVisual/>
        <w:tblW w:w="8363" w:type="dxa"/>
        <w:tblLook w:val="01E0" w:firstRow="1" w:lastRow="1" w:firstColumn="1" w:lastColumn="1" w:noHBand="0" w:noVBand="0"/>
      </w:tblPr>
      <w:tblGrid>
        <w:gridCol w:w="2786"/>
        <w:gridCol w:w="2787"/>
        <w:gridCol w:w="2790"/>
      </w:tblGrid>
      <w:tr w:rsidR="00EC32E0" w:rsidTr="00DD4ADA">
        <w:tc>
          <w:tcPr>
            <w:tcW w:w="2842" w:type="dxa"/>
            <w:shd w:val="clear" w:color="auto" w:fill="auto"/>
          </w:tcPr>
          <w:p w:rsidR="00EC32E0" w:rsidRDefault="00EC32E0" w:rsidP="00DD4ADA">
            <w:pPr>
              <w:pStyle w:val="Ruller41"/>
              <w:rPr>
                <w:rtl/>
              </w:rPr>
            </w:pPr>
          </w:p>
        </w:tc>
        <w:tc>
          <w:tcPr>
            <w:tcW w:w="2843" w:type="dxa"/>
            <w:shd w:val="clear" w:color="auto" w:fill="auto"/>
          </w:tcPr>
          <w:p w:rsidR="00EC32E0" w:rsidRDefault="00EC32E0" w:rsidP="00DD4ADA">
            <w:pPr>
              <w:pStyle w:val="Ruller41"/>
              <w:jc w:val="center"/>
              <w:rPr>
                <w:rtl/>
              </w:rPr>
            </w:pPr>
          </w:p>
        </w:tc>
        <w:tc>
          <w:tcPr>
            <w:tcW w:w="2843" w:type="dxa"/>
            <w:shd w:val="clear" w:color="auto" w:fill="auto"/>
          </w:tcPr>
          <w:p w:rsidR="00EC32E0" w:rsidRDefault="00EC32E0" w:rsidP="00DD4ADA">
            <w:pPr>
              <w:pStyle w:val="Ruller41"/>
              <w:jc w:val="center"/>
              <w:rPr>
                <w:rtl/>
              </w:rPr>
            </w:pPr>
            <w:r>
              <w:rPr>
                <w:rtl/>
              </w:rPr>
              <w:t>ש ו פ ט</w:t>
            </w:r>
          </w:p>
        </w:tc>
      </w:tr>
    </w:tbl>
    <w:p w:rsidR="00FF17DB" w:rsidRDefault="00FF17DB" w:rsidP="00FF17DB">
      <w:pPr>
        <w:pStyle w:val="Ruller41"/>
        <w:rPr>
          <w:rtl/>
        </w:rPr>
      </w:pPr>
    </w:p>
    <w:p w:rsidR="00244560" w:rsidRDefault="00244560" w:rsidP="009B0AFF">
      <w:pPr>
        <w:pStyle w:val="BODYVERDICT"/>
        <w:outlineLvl w:val="0"/>
        <w:rPr>
          <w:rFonts w:cs="Miriam"/>
          <w:sz w:val="24"/>
          <w:szCs w:val="24"/>
          <w:u w:val="single"/>
          <w:rtl/>
        </w:rPr>
      </w:pPr>
      <w:r w:rsidRPr="00462789">
        <w:rPr>
          <w:rFonts w:cs="Miriam"/>
          <w:sz w:val="24"/>
          <w:szCs w:val="24"/>
          <w:u w:val="single"/>
          <w:rtl/>
        </w:rPr>
        <w:t>השופט י' עמית</w:t>
      </w:r>
      <w:r w:rsidRPr="009B0AFF">
        <w:rPr>
          <w:rFonts w:cs="Miriam"/>
          <w:sz w:val="24"/>
          <w:szCs w:val="24"/>
          <w:u w:val="single"/>
          <w:rtl/>
        </w:rPr>
        <w:t>:</w:t>
      </w:r>
    </w:p>
    <w:p w:rsidR="00244560" w:rsidRDefault="00244560" w:rsidP="00244560">
      <w:pPr>
        <w:pStyle w:val="Ruller41"/>
        <w:rPr>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אני מצטרף לדעתה של חברתי הנשיאה השופטת </w:t>
      </w:r>
      <w:r w:rsidRPr="00632224">
        <w:rPr>
          <w:rFonts w:ascii="Century" w:hAnsi="Century" w:cs="Miriam" w:hint="cs"/>
          <w:b/>
          <w:sz w:val="22"/>
          <w:rtl/>
        </w:rPr>
        <w:t>א' חיות</w:t>
      </w:r>
      <w:r w:rsidRPr="00632224">
        <w:rPr>
          <w:rFonts w:ascii="Arial TUR" w:hAnsi="Arial TUR" w:cs="FrankRuehl" w:hint="cs"/>
          <w:spacing w:val="10"/>
          <w:sz w:val="22"/>
          <w:szCs w:val="28"/>
          <w:rtl/>
        </w:rPr>
        <w:t>, כי דין העתירות להתקבל וכי יש להורות על בטלותו של תיקון מס' 3 לחוק יסוד: השפיטה, ומסכים אני לעיקרי דרך הילוכה בפסק דינה. אם בחרתי להאריך בדברים, עשיתי זאת משום חשיבות הנושא שהונח לפתחנו.</w:t>
      </w:r>
    </w:p>
    <w:p w:rsidR="00244560" w:rsidRPr="00632224" w:rsidRDefault="00244560" w:rsidP="00244560">
      <w:pPr>
        <w:tabs>
          <w:tab w:val="left" w:pos="800"/>
        </w:tabs>
        <w:spacing w:line="360" w:lineRule="auto"/>
        <w:jc w:val="both"/>
        <w:rPr>
          <w:rFonts w:ascii="Century" w:hAnsi="Century" w:cs="Miriam"/>
          <w:b/>
          <w:sz w:val="22"/>
          <w:rtl/>
        </w:rPr>
      </w:pPr>
    </w:p>
    <w:p w:rsidR="00244560" w:rsidRPr="00632224" w:rsidRDefault="00244560" w:rsidP="00244560">
      <w:pPr>
        <w:keepNext/>
        <w:keepLines/>
        <w:spacing w:line="360" w:lineRule="auto"/>
        <w:outlineLvl w:val="0"/>
        <w:rPr>
          <w:rFonts w:ascii="Century" w:hAnsi="Century" w:cs="Miriam"/>
          <w:b/>
          <w:sz w:val="32"/>
          <w:rtl/>
        </w:rPr>
      </w:pPr>
      <w:r w:rsidRPr="00632224">
        <w:rPr>
          <w:rFonts w:ascii="Century" w:hAnsi="Century" w:cs="Miriam" w:hint="eastAsia"/>
          <w:b/>
          <w:sz w:val="22"/>
          <w:rtl/>
        </w:rPr>
        <w:t>פתח</w:t>
      </w:r>
      <w:r w:rsidRPr="00632224">
        <w:rPr>
          <w:rFonts w:ascii="Century" w:hAnsi="Century" w:cs="Miriam"/>
          <w:b/>
          <w:sz w:val="22"/>
          <w:rtl/>
        </w:rPr>
        <w:t xml:space="preserve"> דבר </w:t>
      </w:r>
    </w:p>
    <w:p w:rsidR="00244560" w:rsidRPr="00632224" w:rsidRDefault="00244560" w:rsidP="00244560">
      <w:pPr>
        <w:spacing w:line="360" w:lineRule="auto"/>
        <w:rPr>
          <w:rFonts w:ascii="Century" w:hAnsi="Century" w:cs="FrankRuehl"/>
          <w:spacing w:val="10"/>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1.</w:t>
      </w: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ביום 1.11.2022 התקיימו הבחירות לכנסת העשרים וחמש וביום 9.11.2022 התכנסה ועדת הבחירות המרכזית ואישרה את תוצאות הבחירות. מלאכת הרכבת </w:t>
      </w:r>
      <w:r w:rsidRPr="00632224">
        <w:rPr>
          <w:rFonts w:ascii="Arial TUR" w:hAnsi="Arial TUR" w:cs="FrankRuehl" w:hint="cs"/>
          <w:spacing w:val="10"/>
          <w:sz w:val="22"/>
          <w:szCs w:val="28"/>
          <w:rtl/>
        </w:rPr>
        <w:lastRenderedPageBreak/>
        <w:t xml:space="preserve">הממשלה הסתיימה בסוף חודש דצמבר, וביום 4.1.2023 נשא שר המשפטים נאום שבו הציג את התוכנית המכונה "הרפורמה המשפטית".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2.</w:t>
      </w:r>
      <w:r w:rsidRPr="00632224">
        <w:rPr>
          <w:rFonts w:ascii="Arial TUR" w:hAnsi="Arial TUR" w:cs="FrankRuehl" w:hint="cs"/>
          <w:spacing w:val="10"/>
          <w:sz w:val="22"/>
          <w:szCs w:val="28"/>
          <w:rtl/>
        </w:rPr>
        <w:tab/>
        <w:t>תיקון 3 לחוק יסוד: השפיטה, התיקון נושא דיוננו, הוא אחד הרכיבים באותה "רפורמה משפטית", ועניינו בביטול הביקורת השיפוטית על הממשלה ועל כל אחד משריה מכוח עילת הסבירות. כפי שנראה להלן, התיקון לחוק היסוד מביא אותנו לדיון במונחי יסוד כמו דמוקרטיה, הפרדת רשויות, עצמאות המשפט ושלטון החוק, מעמדה של הכרזת העצמאות ועוד, כך שאין מדובר בתיקון מינורי.</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3.</w:t>
      </w:r>
      <w:r w:rsidRPr="00632224">
        <w:rPr>
          <w:rFonts w:ascii="Arial TUR" w:hAnsi="Arial TUR" w:cs="FrankRuehl" w:hint="cs"/>
          <w:spacing w:val="10"/>
          <w:sz w:val="22"/>
          <w:szCs w:val="28"/>
          <w:rtl/>
        </w:rPr>
        <w:tab/>
        <w:t xml:space="preserve">נשים לפנינו את נוסחו של תיקון מספר 3 לחוק יסוד: השפיטה (להלן: </w:t>
      </w:r>
      <w:r w:rsidRPr="00632224">
        <w:rPr>
          <w:rFonts w:ascii="Century" w:hAnsi="Century" w:cs="Miriam" w:hint="cs"/>
          <w:b/>
          <w:sz w:val="22"/>
          <w:rtl/>
        </w:rPr>
        <w:t xml:space="preserve">התיקון </w:t>
      </w:r>
      <w:r w:rsidRPr="00632224">
        <w:rPr>
          <w:rFonts w:ascii="Arial TUR" w:hAnsi="Arial TUR" w:cs="FrankRuehl" w:hint="cs"/>
          <w:spacing w:val="10"/>
          <w:sz w:val="22"/>
          <w:szCs w:val="28"/>
          <w:rtl/>
        </w:rPr>
        <w:t xml:space="preserve">או </w:t>
      </w:r>
      <w:r w:rsidRPr="00632224">
        <w:rPr>
          <w:rFonts w:ascii="Century" w:hAnsi="Century" w:cs="Miriam" w:hint="cs"/>
          <w:b/>
          <w:sz w:val="22"/>
          <w:rtl/>
        </w:rPr>
        <w:t>התיקון לחוק היסוד</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Century" w:hAnsi="Century" w:cs="FrankRuehl"/>
          <w:spacing w:val="10"/>
          <w:sz w:val="22"/>
          <w:szCs w:val="28"/>
          <w:rtl/>
        </w:rPr>
        <w:t xml:space="preserve">(ד1) על אף האמור בחוק-יסוד זה, מי שבידו סמכות שפיטה על פי דין, לרבות בית המשפט העליון בשבתו כבית משפט גבוה לצדק, </w:t>
      </w:r>
      <w:r w:rsidRPr="00632224">
        <w:rPr>
          <w:rFonts w:ascii="Century" w:hAnsi="Century" w:cs="FrankRuehl" w:hint="eastAsia"/>
          <w:spacing w:val="10"/>
          <w:sz w:val="22"/>
          <w:szCs w:val="28"/>
          <w:rtl/>
        </w:rPr>
        <w:t>לא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ידון</w:t>
      </w:r>
      <w:r w:rsidRPr="00632224">
        <w:rPr>
          <w:rFonts w:ascii="Century" w:hAnsi="Century" w:cs="FrankRuehl"/>
          <w:spacing w:val="10"/>
          <w:sz w:val="22"/>
          <w:szCs w:val="28"/>
          <w:rtl/>
        </w:rPr>
        <w:t xml:space="preserve"> בעניין סבירות ההחלטה של הממשלה, של ראש הממשלה או של שר אחר, </w:t>
      </w:r>
      <w:r w:rsidRPr="00632224">
        <w:rPr>
          <w:rFonts w:ascii="Century" w:hAnsi="Century" w:cs="FrankRuehl" w:hint="eastAsia"/>
          <w:spacing w:val="10"/>
          <w:sz w:val="22"/>
          <w:szCs w:val="28"/>
          <w:rtl/>
        </w:rPr>
        <w:t>ולא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ייתן</w:t>
      </w:r>
      <w:r w:rsidRPr="00632224">
        <w:rPr>
          <w:rFonts w:ascii="Century" w:hAnsi="Century" w:cs="FrankRuehl"/>
          <w:spacing w:val="10"/>
          <w:sz w:val="22"/>
          <w:szCs w:val="28"/>
          <w:rtl/>
        </w:rPr>
        <w:t xml:space="preserve"> צו בעניין כאמור; בסעיף זה, "ההחלטה"</w:t>
      </w:r>
      <w:r w:rsidRPr="00632224">
        <w:rPr>
          <w:rFonts w:ascii="FrankRuehl" w:hAnsi="FrankRuehl" w:cs="FrankRuehl"/>
          <w:spacing w:val="10"/>
          <w:sz w:val="28"/>
          <w:szCs w:val="28"/>
          <w:rtl/>
        </w:rPr>
        <w:t xml:space="preserve"> – </w:t>
      </w:r>
      <w:r w:rsidRPr="00632224">
        <w:rPr>
          <w:rFonts w:ascii="Century" w:hAnsi="Century" w:cs="Miriam"/>
          <w:b/>
          <w:sz w:val="22"/>
          <w:rtl/>
        </w:rPr>
        <w:t>כל החלטה, לרבות בענייני מינויים או החלטה להימנע מהפעלת כל סמכות</w:t>
      </w:r>
      <w:r w:rsidRPr="00632224">
        <w:rPr>
          <w:rFonts w:ascii="Century" w:hAnsi="Century" w:cs="FrankRuehl"/>
          <w:spacing w:val="10"/>
          <w:sz w:val="22"/>
          <w:szCs w:val="28"/>
          <w:rtl/>
        </w:rPr>
        <w:t>.</w:t>
      </w:r>
    </w:p>
    <w:p w:rsidR="00244560" w:rsidRPr="00632224" w:rsidRDefault="00244560" w:rsidP="00244560">
      <w:pPr>
        <w:ind w:left="1644" w:right="1276"/>
        <w:jc w:val="both"/>
        <w:rPr>
          <w:rFonts w:cs="Miriam"/>
          <w:b/>
          <w:sz w:val="24"/>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קריאה תמה של הסעיף מלמדת כי הוא חל על </w:t>
      </w:r>
      <w:r w:rsidRPr="00632224">
        <w:rPr>
          <w:rFonts w:ascii="Century" w:hAnsi="Century" w:cs="Miriam" w:hint="cs"/>
          <w:b/>
          <w:sz w:val="22"/>
          <w:rtl/>
        </w:rPr>
        <w:t>כל</w:t>
      </w:r>
      <w:r w:rsidRPr="00632224">
        <w:rPr>
          <w:rFonts w:ascii="Arial TUR" w:hAnsi="Arial TUR" w:cs="FrankRuehl" w:hint="cs"/>
          <w:spacing w:val="10"/>
          <w:sz w:val="22"/>
          <w:szCs w:val="28"/>
          <w:rtl/>
        </w:rPr>
        <w:t xml:space="preserve"> בתי המשפט ועל </w:t>
      </w:r>
      <w:r w:rsidRPr="00632224">
        <w:rPr>
          <w:rFonts w:ascii="Century" w:hAnsi="Century" w:cs="Miriam" w:hint="cs"/>
          <w:b/>
          <w:sz w:val="22"/>
          <w:rtl/>
        </w:rPr>
        <w:t>כל</w:t>
      </w:r>
      <w:r w:rsidRPr="00632224">
        <w:rPr>
          <w:rFonts w:ascii="Arial TUR" w:hAnsi="Arial TUR" w:cs="FrankRuehl" w:hint="cs"/>
          <w:spacing w:val="10"/>
          <w:sz w:val="22"/>
          <w:szCs w:val="28"/>
          <w:rtl/>
        </w:rPr>
        <w:t xml:space="preserve"> החלטה, הן </w:t>
      </w:r>
      <w:r w:rsidRPr="00632224">
        <w:rPr>
          <w:rFonts w:ascii="Century" w:hAnsi="Century" w:cs="Miriam" w:hint="cs"/>
          <w:b/>
          <w:sz w:val="22"/>
          <w:rtl/>
        </w:rPr>
        <w:t>במעשה</w:t>
      </w:r>
      <w:r w:rsidRPr="00632224">
        <w:rPr>
          <w:rFonts w:ascii="Arial TUR" w:hAnsi="Arial TUR" w:cs="FrankRuehl" w:hint="cs"/>
          <w:spacing w:val="10"/>
          <w:sz w:val="22"/>
          <w:szCs w:val="28"/>
          <w:rtl/>
        </w:rPr>
        <w:t xml:space="preserve"> והן </w:t>
      </w:r>
      <w:r w:rsidRPr="00632224">
        <w:rPr>
          <w:rFonts w:ascii="Century" w:hAnsi="Century" w:cs="Miriam" w:hint="eastAsia"/>
          <w:b/>
          <w:sz w:val="22"/>
          <w:rtl/>
        </w:rPr>
        <w:t>בהימנעות</w:t>
      </w:r>
      <w:r w:rsidRPr="00632224">
        <w:rPr>
          <w:rFonts w:ascii="Century" w:hAnsi="Century" w:cs="Miriam"/>
          <w:b/>
          <w:sz w:val="22"/>
          <w:rtl/>
        </w:rPr>
        <w:t xml:space="preserve"> </w:t>
      </w:r>
      <w:r w:rsidRPr="00632224">
        <w:rPr>
          <w:rFonts w:ascii="Century" w:hAnsi="Century" w:cs="Miriam" w:hint="eastAsia"/>
          <w:b/>
          <w:sz w:val="22"/>
          <w:rtl/>
        </w:rPr>
        <w:t>ממעש</w:t>
      </w:r>
      <w:r w:rsidRPr="00632224">
        <w:rPr>
          <w:rFonts w:ascii="Century" w:hAnsi="Century" w:cs="Miriam" w:hint="cs"/>
          <w:b/>
          <w:sz w:val="22"/>
          <w:rtl/>
        </w:rPr>
        <w:t>ה</w:t>
      </w:r>
      <w:r w:rsidRPr="00632224">
        <w:rPr>
          <w:rFonts w:ascii="Arial TUR" w:hAnsi="Arial TUR" w:cs="FrankRuehl" w:hint="cs"/>
          <w:spacing w:val="10"/>
          <w:sz w:val="22"/>
          <w:szCs w:val="28"/>
          <w:rtl/>
        </w:rPr>
        <w:t xml:space="preserve">. אין לי אלא להביא דברים בשם אומרם: "הממשלה סבורה כי פרשנות נכונה של תיקון מס' 3 [...] היא כי ביחס להחלטות הממשלה ושריה אין עוד אפשרות לביקורת שיפוטית בעילה של </w:t>
      </w:r>
      <w:r w:rsidRPr="00632224">
        <w:rPr>
          <w:rFonts w:ascii="Century" w:hAnsi="Century" w:cs="Miriam" w:hint="eastAsia"/>
          <w:b/>
          <w:sz w:val="22"/>
          <w:rtl/>
        </w:rPr>
        <w:t>חוסר</w:t>
      </w:r>
      <w:r w:rsidRPr="00632224">
        <w:rPr>
          <w:rFonts w:ascii="Century" w:hAnsi="Century" w:cs="Miriam"/>
          <w:b/>
          <w:sz w:val="22"/>
          <w:rtl/>
        </w:rPr>
        <w:t xml:space="preserve"> </w:t>
      </w:r>
      <w:r w:rsidRPr="00632224">
        <w:rPr>
          <w:rFonts w:ascii="Century" w:hAnsi="Century" w:cs="Miriam" w:hint="eastAsia"/>
          <w:b/>
          <w:sz w:val="22"/>
          <w:rtl/>
        </w:rPr>
        <w:t>סבירות</w:t>
      </w:r>
      <w:r w:rsidRPr="00632224">
        <w:rPr>
          <w:rFonts w:ascii="Century" w:hAnsi="Century" w:cs="Miriam"/>
          <w:b/>
          <w:sz w:val="22"/>
          <w:rtl/>
        </w:rPr>
        <w:t xml:space="preserve"> </w:t>
      </w:r>
      <w:r w:rsidRPr="00632224">
        <w:rPr>
          <w:rFonts w:ascii="Century" w:hAnsi="Century" w:cs="Miriam" w:hint="eastAsia"/>
          <w:b/>
          <w:sz w:val="22"/>
          <w:rtl/>
        </w:rPr>
        <w:t>מכל</w:t>
      </w:r>
      <w:r w:rsidRPr="00632224">
        <w:rPr>
          <w:rFonts w:ascii="Century" w:hAnsi="Century" w:cs="Miriam"/>
          <w:b/>
          <w:sz w:val="22"/>
          <w:rtl/>
        </w:rPr>
        <w:t xml:space="preserve"> </w:t>
      </w:r>
      <w:r w:rsidRPr="00632224">
        <w:rPr>
          <w:rFonts w:ascii="Century" w:hAnsi="Century" w:cs="Miriam" w:hint="eastAsia"/>
          <w:b/>
          <w:sz w:val="22"/>
          <w:rtl/>
        </w:rPr>
        <w:t>סוג</w:t>
      </w:r>
      <w:r w:rsidRPr="00632224">
        <w:rPr>
          <w:rFonts w:ascii="Century" w:hAnsi="Century" w:cs="Miriam"/>
          <w:b/>
          <w:sz w:val="22"/>
          <w:rtl/>
        </w:rPr>
        <w:t xml:space="preserve"> </w:t>
      </w:r>
      <w:r w:rsidRPr="00632224">
        <w:rPr>
          <w:rFonts w:ascii="Century" w:hAnsi="Century" w:cs="Miriam" w:hint="eastAsia"/>
          <w:b/>
          <w:sz w:val="22"/>
          <w:rtl/>
        </w:rPr>
        <w:t>שהוא</w:t>
      </w:r>
      <w:r w:rsidRPr="00632224">
        <w:rPr>
          <w:rFonts w:ascii="Arial TUR" w:hAnsi="Arial TUR" w:cs="FrankRuehl" w:hint="cs"/>
          <w:spacing w:val="10"/>
          <w:sz w:val="22"/>
          <w:szCs w:val="28"/>
          <w:rtl/>
        </w:rPr>
        <w:t>, אף אם יסבור מישהו שמדובר בהחלטה בלתי סבירה באופן קיצוני נוסח וונדסבורי" (פסקה 45 לתשובה המשלימה של הממשלה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הדגשה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הוספה</w:t>
      </w:r>
      <w:r w:rsidRPr="00632224">
        <w:rPr>
          <w:rFonts w:ascii="Arial TUR" w:hAnsi="Arial TUR" w:cs="FrankRuehl"/>
          <w:spacing w:val="10"/>
          <w:sz w:val="22"/>
          <w:szCs w:val="28"/>
          <w:rtl/>
        </w:rPr>
        <w:t xml:space="preserve"> – </w:t>
      </w:r>
      <w:r w:rsidRPr="00632224">
        <w:rPr>
          <w:rFonts w:ascii="Arial TUR" w:hAnsi="Arial TUR" w:cs="FrankRuehl" w:hint="eastAsia"/>
          <w:spacing w:val="10"/>
          <w:sz w:val="22"/>
          <w:szCs w:val="28"/>
          <w:rtl/>
        </w:rPr>
        <w:t>י</w:t>
      </w:r>
      <w:r w:rsidRPr="00632224">
        <w:rPr>
          <w:rFonts w:ascii="Arial TUR" w:hAnsi="Arial TUR" w:cs="FrankRuehl"/>
          <w:spacing w:val="10"/>
          <w:sz w:val="22"/>
          <w:szCs w:val="28"/>
          <w:rtl/>
        </w:rPr>
        <w:t>"</w:t>
      </w:r>
      <w:r w:rsidRPr="00632224">
        <w:rPr>
          <w:rFonts w:ascii="Arial TUR" w:hAnsi="Arial TUR" w:cs="FrankRuehl" w:hint="eastAsia"/>
          <w:spacing w:val="10"/>
          <w:sz w:val="22"/>
          <w:szCs w:val="28"/>
          <w:rtl/>
        </w:rPr>
        <w:t>ע</w:t>
      </w:r>
      <w:r w:rsidRPr="00632224">
        <w:rPr>
          <w:rFonts w:ascii="Arial TUR" w:hAnsi="Arial TUR" w:cs="FrankRuehl" w:hint="cs"/>
          <w:spacing w:val="10"/>
          <w:sz w:val="22"/>
          <w:szCs w:val="28"/>
          <w:rtl/>
        </w:rPr>
        <w:t xml:space="preserve">). ואכן, התיקון לחוק היסוד אינו מבחין בין סוגי החלטות, אינו מבחין בין סוגים של אי סבירות, אינו מבחין בין מעשה לבין החלטה על הימנעות ממעשה, אינו מבחין בין החלטות בדרג הממשלה לבין החלטות בדרג של שרים. המדובר בנוסח גורף, שאין לו שיעור, לא למעלה ולא למטה ולא לצדדים, תיקון שעלול להציף את מרבית השטחים שבהם חורשת משך שנים בזהירות ובתבונה מחרשת הדין המינהלי (בפרפרזה על דברי השופט </w:t>
      </w:r>
      <w:r w:rsidRPr="00632224">
        <w:rPr>
          <w:rFonts w:ascii="Century" w:hAnsi="Century" w:cs="Miriam" w:hint="eastAsia"/>
          <w:b/>
          <w:sz w:val="22"/>
          <w:rtl/>
        </w:rPr>
        <w:t>זילברג</w:t>
      </w:r>
      <w:r w:rsidRPr="00632224">
        <w:rPr>
          <w:rFonts w:ascii="Arial TUR" w:hAnsi="Arial TUR" w:cs="FrankRuehl" w:hint="cs"/>
          <w:spacing w:val="10"/>
          <w:sz w:val="22"/>
          <w:szCs w:val="28"/>
          <w:rtl/>
        </w:rPr>
        <w:t xml:space="preserve"> </w:t>
      </w:r>
      <w:r w:rsidRPr="00632224">
        <w:rPr>
          <w:rFonts w:ascii="Century" w:hAnsi="Century" w:cs="FrankRuehl" w:hint="cs"/>
          <w:spacing w:val="10"/>
          <w:sz w:val="22"/>
          <w:szCs w:val="28"/>
          <w:rtl/>
        </w:rPr>
        <w:t>ב</w:t>
      </w:r>
      <w:r w:rsidRPr="00632224">
        <w:rPr>
          <w:rFonts w:ascii="Century" w:hAnsi="Century" w:cs="FrankRuehl" w:hint="eastAsia"/>
          <w:spacing w:val="10"/>
          <w:sz w:val="22"/>
          <w:szCs w:val="28"/>
          <w:rtl/>
        </w:rPr>
        <w:t>ע</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פ</w:t>
      </w:r>
      <w:r w:rsidRPr="00632224">
        <w:rPr>
          <w:rFonts w:ascii="Century" w:hAnsi="Century" w:cs="FrankRuehl"/>
          <w:spacing w:val="10"/>
          <w:sz w:val="22"/>
          <w:szCs w:val="28"/>
          <w:rtl/>
        </w:rPr>
        <w:t xml:space="preserve"> 53/54 </w:t>
      </w:r>
      <w:r w:rsidRPr="00632224">
        <w:rPr>
          <w:rFonts w:ascii="Century" w:hAnsi="Century" w:cs="Miriam" w:hint="eastAsia"/>
          <w:b/>
          <w:sz w:val="22"/>
          <w:rtl/>
        </w:rPr>
        <w:t>אש</w:t>
      </w:r>
      <w:r w:rsidRPr="00632224">
        <w:rPr>
          <w:rFonts w:ascii="Century" w:hAnsi="Century" w:cs="Miriam"/>
          <w:b/>
          <w:sz w:val="22"/>
          <w:rtl/>
        </w:rPr>
        <w:t>"</w:t>
      </w:r>
      <w:r w:rsidRPr="00632224">
        <w:rPr>
          <w:rFonts w:ascii="Century" w:hAnsi="Century" w:cs="Miriam" w:hint="eastAsia"/>
          <w:b/>
          <w:sz w:val="22"/>
          <w:rtl/>
        </w:rPr>
        <w:t>ד</w:t>
      </w:r>
      <w:r w:rsidRPr="00632224">
        <w:rPr>
          <w:rFonts w:ascii="Century" w:hAnsi="Century" w:cs="Miriam"/>
          <w:b/>
          <w:sz w:val="22"/>
          <w:rtl/>
        </w:rPr>
        <w:t xml:space="preserve"> </w:t>
      </w:r>
      <w:r w:rsidRPr="00632224">
        <w:rPr>
          <w:rFonts w:ascii="Century" w:hAnsi="Century" w:cs="Miriam" w:hint="eastAsia"/>
          <w:b/>
          <w:sz w:val="22"/>
          <w:rtl/>
        </w:rPr>
        <w:t>מרכז</w:t>
      </w:r>
      <w:r w:rsidRPr="00632224">
        <w:rPr>
          <w:rFonts w:ascii="Century" w:hAnsi="Century" w:cs="Miriam"/>
          <w:b/>
          <w:sz w:val="22"/>
          <w:rtl/>
        </w:rPr>
        <w:t xml:space="preserve"> </w:t>
      </w:r>
      <w:r w:rsidRPr="00632224">
        <w:rPr>
          <w:rFonts w:ascii="Century" w:hAnsi="Century" w:cs="Miriam" w:hint="eastAsia"/>
          <w:b/>
          <w:sz w:val="22"/>
          <w:rtl/>
        </w:rPr>
        <w:t>זמני</w:t>
      </w:r>
      <w:r w:rsidRPr="00632224">
        <w:rPr>
          <w:rFonts w:ascii="Century" w:hAnsi="Century" w:cs="Miriam"/>
          <w:b/>
          <w:sz w:val="22"/>
          <w:rtl/>
        </w:rPr>
        <w:t xml:space="preserve"> </w:t>
      </w:r>
      <w:r w:rsidRPr="00632224">
        <w:rPr>
          <w:rFonts w:ascii="Century" w:hAnsi="Century" w:cs="Miriam" w:hint="eastAsia"/>
          <w:b/>
          <w:sz w:val="22"/>
          <w:rtl/>
        </w:rPr>
        <w:t>לתחבורה</w:t>
      </w:r>
      <w:r w:rsidRPr="00632224">
        <w:rPr>
          <w:rFonts w:ascii="Century" w:hAnsi="Century" w:cs="Miriam"/>
          <w:b/>
          <w:sz w:val="22"/>
          <w:rtl/>
        </w:rPr>
        <w:t xml:space="preserve"> </w:t>
      </w:r>
      <w:r w:rsidRPr="00632224">
        <w:rPr>
          <w:rFonts w:ascii="Century" w:hAnsi="Century" w:cs="Miriam" w:hint="eastAsia"/>
          <w:b/>
          <w:sz w:val="22"/>
          <w:rtl/>
        </w:rPr>
        <w:t>נ</w:t>
      </w:r>
      <w:r w:rsidRPr="00632224">
        <w:rPr>
          <w:rFonts w:ascii="Century" w:hAnsi="Century" w:cs="Miriam"/>
          <w:b/>
          <w:sz w:val="22"/>
          <w:rtl/>
        </w:rPr>
        <w:t xml:space="preserve">' </w:t>
      </w:r>
      <w:r w:rsidRPr="00632224">
        <w:rPr>
          <w:rFonts w:ascii="Century" w:hAnsi="Century" w:cs="Miriam" w:hint="eastAsia"/>
          <w:b/>
          <w:sz w:val="22"/>
          <w:rtl/>
        </w:rPr>
        <w:t>היועץ</w:t>
      </w:r>
      <w:r w:rsidRPr="00632224">
        <w:rPr>
          <w:rFonts w:ascii="Century" w:hAnsi="Century" w:cs="Miriam"/>
          <w:b/>
          <w:sz w:val="22"/>
          <w:rtl/>
        </w:rPr>
        <w:t xml:space="preserve"> </w:t>
      </w:r>
      <w:r w:rsidRPr="00632224">
        <w:rPr>
          <w:rFonts w:ascii="Century" w:hAnsi="Century" w:cs="Miriam" w:hint="eastAsia"/>
          <w:b/>
          <w:sz w:val="22"/>
          <w:rtl/>
        </w:rPr>
        <w:t>המשפטי</w:t>
      </w:r>
      <w:r w:rsidRPr="00632224">
        <w:rPr>
          <w:rFonts w:ascii="Century" w:hAnsi="Century" w:cs="Miriam"/>
          <w:b/>
          <w:sz w:val="22"/>
          <w:rtl/>
        </w:rPr>
        <w:t xml:space="preserve"> </w:t>
      </w:r>
      <w:r w:rsidRPr="00632224">
        <w:rPr>
          <w:rFonts w:ascii="Century" w:hAnsi="Century" w:cs="Miriam" w:hint="eastAsia"/>
          <w:b/>
          <w:sz w:val="22"/>
          <w:rtl/>
        </w:rPr>
        <w:t>לממשלה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פ</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ח</w:t>
      </w:r>
      <w:r w:rsidRPr="00632224">
        <w:rPr>
          <w:rFonts w:ascii="Century" w:hAnsi="Century" w:cs="FrankRuehl" w:hint="cs"/>
          <w:spacing w:val="10"/>
          <w:sz w:val="22"/>
          <w:szCs w:val="28"/>
          <w:rtl/>
        </w:rPr>
        <w:t>(2) 785, 818 (1954)).</w:t>
      </w:r>
      <w:r w:rsidRPr="00632224">
        <w:rPr>
          <w:rFonts w:ascii="Arial TUR" w:hAnsi="Arial TUR" w:cs="FrankRuehl" w:hint="cs"/>
          <w:spacing w:val="10"/>
          <w:sz w:val="22"/>
          <w:szCs w:val="28"/>
          <w:rtl/>
        </w:rPr>
        <w:t xml:space="preserve"> המדובר בתיקון לחוק יסוד שנחקק בהליך חריג ביותר של הצעה מטעם ועדת החוקה, חוק ומשפט (להלן: </w:t>
      </w:r>
      <w:r w:rsidRPr="00632224">
        <w:rPr>
          <w:rFonts w:ascii="Century" w:hAnsi="Century" w:cs="Miriam" w:hint="cs"/>
          <w:b/>
          <w:sz w:val="22"/>
          <w:rtl/>
        </w:rPr>
        <w:t xml:space="preserve">הוועדה </w:t>
      </w:r>
      <w:r w:rsidRPr="00632224">
        <w:rPr>
          <w:rFonts w:ascii="Century" w:hAnsi="Century" w:cs="FrankRuehl" w:hint="eastAsia"/>
          <w:spacing w:val="10"/>
          <w:sz w:val="22"/>
          <w:szCs w:val="28"/>
          <w:rtl/>
        </w:rPr>
        <w:t>או</w:t>
      </w:r>
      <w:r w:rsidRPr="00632224">
        <w:rPr>
          <w:rFonts w:ascii="Century" w:hAnsi="Century" w:cs="Miriam" w:hint="cs"/>
          <w:b/>
          <w:sz w:val="22"/>
          <w:rtl/>
        </w:rPr>
        <w:t xml:space="preserve"> ועדת החוקה</w:t>
      </w:r>
      <w:r w:rsidRPr="00632224">
        <w:rPr>
          <w:rFonts w:ascii="Arial TUR" w:hAnsi="Arial TUR" w:cs="FrankRuehl" w:hint="cs"/>
          <w:spacing w:val="10"/>
          <w:sz w:val="22"/>
          <w:szCs w:val="28"/>
          <w:rtl/>
        </w:rPr>
        <w:t xml:space="preserve">), תוך פרק זמן קצר, תוך התעלמות מעמדת הייעוץ המשפטי של הכנסת, תוך התעלמות מעמדת הייעוץ המשפטי של הממשלה, ותוך התעלמות מכל העצות, ההתרעות והאזהרות של משפטנים, כלכלנים, אנשי ביטחון, </w:t>
      </w:r>
      <w:r w:rsidRPr="00632224">
        <w:rPr>
          <w:rFonts w:ascii="Arial TUR" w:hAnsi="Arial TUR" w:cs="FrankRuehl" w:hint="cs"/>
          <w:spacing w:val="10"/>
          <w:sz w:val="22"/>
          <w:szCs w:val="28"/>
          <w:rtl/>
        </w:rPr>
        <w:lastRenderedPageBreak/>
        <w:t xml:space="preserve">פקידים בכירים בשירות הציבורי, גורמי חברה אזרחית ועוד. כפי שציינה הכנסת בתשובתה, מעולם לא הוגשו לוועדה בכנסת כל כך הרבה הסתייגויות לפני הקריאה השניה והשלישית (הוגשו למעלה מ-27,000 הסתייגויות).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ודוק: היו מקרים שבהם המחוקק הגביל או שלל </w:t>
      </w:r>
      <w:r w:rsidRPr="00632224">
        <w:rPr>
          <w:rFonts w:ascii="Arial TUR" w:hAnsi="Arial TUR" w:cs="FrankRuehl"/>
          <w:spacing w:val="10"/>
          <w:sz w:val="22"/>
          <w:szCs w:val="28"/>
          <w:rtl/>
        </w:rPr>
        <w:t>את סמכות השיפוט של בתי המשפט</w:t>
      </w:r>
      <w:r w:rsidRPr="00632224">
        <w:rPr>
          <w:rFonts w:ascii="Arial TUR" w:hAnsi="Arial TUR" w:cs="FrankRuehl" w:hint="cs"/>
          <w:spacing w:val="10"/>
          <w:sz w:val="22"/>
          <w:szCs w:val="28"/>
          <w:rtl/>
        </w:rPr>
        <w:t xml:space="preserve">, אך זאת בנושא מסוים (ראו, טרם "המהפכה החוקתית", בג"ץ 294/89 </w:t>
      </w:r>
      <w:r w:rsidRPr="00632224">
        <w:rPr>
          <w:rFonts w:ascii="Century" w:hAnsi="Century" w:cs="Miriam" w:hint="cs"/>
          <w:b/>
          <w:sz w:val="22"/>
          <w:rtl/>
        </w:rPr>
        <w:t>המוסד לביטוח לאומי נ' אלפטפטה</w:t>
      </w:r>
      <w:r w:rsidRPr="00632224">
        <w:rPr>
          <w:rFonts w:ascii="Arial TUR" w:hAnsi="Arial TUR" w:cs="FrankRuehl" w:hint="cs"/>
          <w:spacing w:val="10"/>
          <w:sz w:val="22"/>
          <w:szCs w:val="28"/>
          <w:rtl/>
        </w:rPr>
        <w:t xml:space="preserve">, פ"ד מה(5) 445, 451 (1991). על חקיקה השוללת כליל ביקורת שיפוטית בתחום מסוים ראו דפנה ברק-ארז </w:t>
      </w:r>
      <w:r w:rsidRPr="00632224">
        <w:rPr>
          <w:rFonts w:ascii="Century" w:hAnsi="Century" w:cs="Miriam" w:hint="cs"/>
          <w:b/>
          <w:sz w:val="22"/>
          <w:rtl/>
        </w:rPr>
        <w:t>משפט מינהלי</w:t>
      </w:r>
      <w:r w:rsidRPr="00632224">
        <w:rPr>
          <w:rFonts w:ascii="Arial TUR" w:hAnsi="Arial TUR" w:cs="FrankRuehl" w:hint="cs"/>
          <w:spacing w:val="10"/>
          <w:sz w:val="22"/>
          <w:szCs w:val="28"/>
          <w:rtl/>
        </w:rPr>
        <w:t xml:space="preserve"> כרך ד 126-119 (2017) (להלן: </w:t>
      </w:r>
      <w:r w:rsidRPr="00632224">
        <w:rPr>
          <w:rFonts w:ascii="Century" w:hAnsi="Century" w:cs="Miriam" w:hint="eastAsia"/>
          <w:b/>
          <w:sz w:val="22"/>
          <w:rtl/>
        </w:rPr>
        <w:t>ברק</w:t>
      </w:r>
      <w:r w:rsidRPr="00632224">
        <w:rPr>
          <w:rFonts w:ascii="Century" w:hAnsi="Century" w:cs="Miriam"/>
          <w:b/>
          <w:sz w:val="22"/>
          <w:rtl/>
        </w:rPr>
        <w:t xml:space="preserve">-ארז משפט </w:t>
      </w:r>
      <w:r w:rsidRPr="00632224">
        <w:rPr>
          <w:rFonts w:ascii="Century" w:hAnsi="Century" w:cs="Miriam" w:hint="eastAsia"/>
          <w:b/>
          <w:sz w:val="22"/>
          <w:rtl/>
        </w:rPr>
        <w:t>מינהלי</w:t>
      </w:r>
      <w:r w:rsidRPr="00632224">
        <w:rPr>
          <w:rFonts w:ascii="Arial TUR" w:hAnsi="Arial TUR" w:cs="FrankRuehl" w:hint="cs"/>
          <w:spacing w:val="10"/>
          <w:sz w:val="22"/>
          <w:szCs w:val="28"/>
          <w:rtl/>
        </w:rPr>
        <w:t xml:space="preserve">) וכן ראו להלן בפסקה 76). לא כך נעשה במקרה שלפנינו. הנוסח הגורף של התיקון אך ממחיש את האמירה "תפסת מרובה לא תפסת". דיאלוג קונסטיטוציוני נאות בא לידי ביטוי בתגובה של הכנסת להלכה או לפסק דין מסוים של בית המשפט העליון, ולא בדרך של שלילה גורפת של סמכויות בית המשפט בתחום כה מרכזי. אומר אפוא בזהירות הראויה כי אם הכנסת הייתה </w:t>
      </w:r>
      <w:r w:rsidRPr="00632224">
        <w:rPr>
          <w:rFonts w:ascii="Century" w:hAnsi="Century" w:cs="FrankRuehl" w:hint="cs"/>
          <w:spacing w:val="10"/>
          <w:sz w:val="22"/>
          <w:szCs w:val="28"/>
          <w:rtl/>
        </w:rPr>
        <w:t xml:space="preserve">מתקנת את חוק היסוד באופן שמצמצם את הביקורת השיפוטית בעילת הסבירות באופן </w:t>
      </w:r>
      <w:r w:rsidRPr="00632224">
        <w:rPr>
          <w:rFonts w:ascii="Century" w:hAnsi="Century" w:cs="Miriam" w:hint="cs"/>
          <w:b/>
          <w:sz w:val="22"/>
          <w:rtl/>
        </w:rPr>
        <w:t>נושאי-נקודתי</w:t>
      </w:r>
      <w:r w:rsidRPr="00632224">
        <w:rPr>
          <w:rFonts w:ascii="Century" w:hAnsi="Century" w:cs="FrankRuehl" w:hint="cs"/>
          <w:spacing w:val="10"/>
          <w:sz w:val="22"/>
          <w:szCs w:val="28"/>
          <w:rtl/>
        </w:rPr>
        <w:t>, לדוגמה, לגבי מינוי שרים שאושרו על ידי הכנסת, דומני כי לא היינו מגיעים עד הלום</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4.</w:t>
      </w: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בעמודים הבאים אנסה להסביר מדוע שורה של נימוקים מביאים בהצטברותם למסקנה כי יש מקום לביטולו של התיקון לחוק, על אף שמדובר בחוק יסוד. טרם ניגש למלאכה, נגביה מעט את מבטנו, על מנת להבין את השפעתו של התיקון על המרחב הדמוקרטי בישראל, בבחינת דע מהיכן אנו באים ולאן אנו הולכים.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הערת מינוח: התיקון לחוק היסוד אמנם אינו מבטל את עילת הסבירות במשפט המינהלי בכללותו, אך הוא מבטל אותה ביחס להחלטות הממשלה וכל אחד משריה. לשם הנוחות והקיצור אתייחס לכך להלן כאל "ביטול עילת הסבירות".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 xml:space="preserve">דע מאין אנו באים </w:t>
      </w:r>
      <w:r w:rsidRPr="00632224">
        <w:rPr>
          <w:rFonts w:ascii="Cambria" w:hAnsi="Cambria" w:cs="Miriam"/>
          <w:sz w:val="32"/>
          <w:rtl/>
        </w:rPr>
        <w:t>–</w:t>
      </w:r>
      <w:r w:rsidRPr="00632224">
        <w:rPr>
          <w:rFonts w:ascii="Cambria" w:hAnsi="Cambria" w:cs="Miriam" w:hint="cs"/>
          <w:sz w:val="32"/>
          <w:rtl/>
        </w:rPr>
        <w:t xml:space="preserve"> הגרעון הדמוקרטי של מדינת ישראל עוד לפני התיקון לחוק היסוד</w:t>
      </w:r>
    </w:p>
    <w:p w:rsidR="00244560" w:rsidRPr="00632224" w:rsidRDefault="00244560" w:rsidP="009B0AFF">
      <w:pPr>
        <w:tabs>
          <w:tab w:val="left" w:pos="800"/>
        </w:tabs>
        <w:spacing w:line="360" w:lineRule="auto"/>
        <w:jc w:val="both"/>
        <w:rPr>
          <w:rFonts w:ascii="Cambria" w:hAnsi="Cambria" w:cs="Miriam"/>
          <w:sz w:val="32"/>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5.</w:t>
      </w:r>
      <w:r w:rsidRPr="00632224">
        <w:rPr>
          <w:rFonts w:ascii="Arial TUR" w:hAnsi="Arial TUR" w:cs="FrankRuehl" w:hint="cs"/>
          <w:spacing w:val="10"/>
          <w:sz w:val="22"/>
          <w:szCs w:val="28"/>
          <w:rtl/>
        </w:rPr>
        <w:tab/>
        <w:t xml:space="preserve">דמוקרטיה אינה אורגניזם אשר חי לנצח, תוך שהוא מזין את עצמו מהאוויר סביבו. כפי שאין הבור מתמלא מחולייתו, כפי שמטוס אינו יכול להמשיך לטוס לאורך זמן ללא מנוע, כך גם הדמוקרטיה זקוקה בכל עת למנגנונים אשר ייצבו אותה וישמרו על חיותה ומעופה.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למטוס הדמוקרטיה יכולים להיות מנועים שונים שבכוחם לאזן, לייצב ולחלק את הכוחות של הרשויות השונות במדינה:</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 פדרליזם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משטר פדרלי/מדינתי/קנטונים.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 בחירות אזוריות.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 שני בתי פרלמנט.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רשויות מוניציפליות חזקות ובעלות סמכויות מול הממשל המרכזי.</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נשיא בעל סמכויות ביצועיות.</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 חוקה מוסדית מלאה ומשוריינת.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 מגילת זכויות אדם מלאה. </w:t>
      </w:r>
    </w:p>
    <w:p w:rsidR="00244560" w:rsidRPr="00632224" w:rsidRDefault="00244560" w:rsidP="00244560">
      <w:pPr>
        <w:tabs>
          <w:tab w:val="left" w:pos="800"/>
        </w:tabs>
        <w:spacing w:line="360" w:lineRule="auto"/>
        <w:ind w:left="720"/>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כפיפות לבית דין חיצוני (כמו בית הדין האירופי לצדק בלוקסמבורג).</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 מסורת חוקתית, נוהגים חוקתיים, תרבות של </w:t>
      </w:r>
      <w:r w:rsidRPr="00632224">
        <w:rPr>
          <w:rFonts w:cs="FrankRuehl"/>
          <w:spacing w:val="10"/>
          <w:sz w:val="22"/>
          <w:szCs w:val="22"/>
        </w:rPr>
        <w:t>it is not done</w:t>
      </w:r>
      <w:r w:rsidRPr="00632224">
        <w:rPr>
          <w:rFonts w:ascii="Arial TUR" w:hAnsi="Arial TUR" w:cs="FrankRuehl" w:hint="cs"/>
          <w:spacing w:val="10"/>
          <w:sz w:val="22"/>
          <w:szCs w:val="28"/>
          <w:rtl/>
        </w:rPr>
        <w:t>.</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יש מדינות שהתברכו בכל המנועים, יש מדינות שהתברכו בחלק מהמנועים, אך בישראל </w:t>
      </w:r>
      <w:r w:rsidRPr="00632224">
        <w:rPr>
          <w:rFonts w:ascii="Century" w:hAnsi="Century" w:cs="Miriam" w:hint="cs"/>
          <w:b/>
          <w:sz w:val="22"/>
          <w:rtl/>
        </w:rPr>
        <w:t>אין אפילו מנוע אחד</w:t>
      </w:r>
      <w:r w:rsidRPr="00632224">
        <w:rPr>
          <w:rFonts w:ascii="Arial TUR" w:hAnsi="Arial TUR" w:cs="FrankRuehl" w:hint="cs"/>
          <w:spacing w:val="10"/>
          <w:sz w:val="22"/>
          <w:szCs w:val="28"/>
          <w:rtl/>
        </w:rPr>
        <w:t xml:space="preserve"> ממנועים אלה, כך שעוד לפני התיקון לחוק היסוד, מדינת ישראל לא הייתה דמוקרטיה משוכללת, בלשון המעטה. לא ייפלא כי המלומד פרופ' עמיחי כהן, שבחן מספר רב של מדינות ו"מנועי דמוקרטיה" שמתקיימים בהן, מיקם את מדינת ישראל לצד מאוריציוס, והרחק ממדינות כמו אוסטרליה והולנד (עמיחי כהן </w:t>
      </w:r>
      <w:r w:rsidRPr="00632224">
        <w:rPr>
          <w:rFonts w:ascii="Century" w:hAnsi="Century" w:cs="Miriam" w:hint="cs"/>
          <w:b/>
          <w:sz w:val="22"/>
          <w:rtl/>
        </w:rPr>
        <w:t>פסקת ההתגברות: איזונים ובלמים של המוסדות הפוליטיים ומערכת המשפט</w:t>
      </w:r>
      <w:r w:rsidRPr="00632224">
        <w:rPr>
          <w:rFonts w:ascii="Arial TUR" w:hAnsi="Arial TUR" w:cs="FrankRuehl" w:hint="cs"/>
          <w:spacing w:val="10"/>
          <w:sz w:val="22"/>
          <w:szCs w:val="28"/>
          <w:rtl/>
        </w:rPr>
        <w:t xml:space="preserve"> (המכון הישראלי לדמוקרטיה, 2018); </w:t>
      </w:r>
      <w:r w:rsidRPr="00632224">
        <w:rPr>
          <w:rFonts w:ascii="Century" w:hAnsi="Century" w:cs="FrankRuehl" w:hint="eastAsia"/>
          <w:spacing w:val="10"/>
          <w:sz w:val="22"/>
          <w:szCs w:val="28"/>
          <w:rtl/>
        </w:rPr>
        <w:t>עמיחי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כהן</w:t>
      </w:r>
      <w:r w:rsidRPr="00632224">
        <w:rPr>
          <w:rFonts w:ascii="Century" w:hAnsi="Century" w:cs="FrankRuehl"/>
          <w:spacing w:val="10"/>
          <w:sz w:val="22"/>
          <w:szCs w:val="28"/>
          <w:rtl/>
        </w:rPr>
        <w:t xml:space="preserve"> </w:t>
      </w:r>
      <w:r w:rsidRPr="00632224">
        <w:rPr>
          <w:rFonts w:ascii="Century" w:hAnsi="Century" w:cs="Miriam" w:hint="eastAsia"/>
          <w:b/>
          <w:sz w:val="22"/>
          <w:rtl/>
        </w:rPr>
        <w:t>מלחמות</w:t>
      </w:r>
      <w:r w:rsidRPr="00632224">
        <w:rPr>
          <w:rFonts w:ascii="Century" w:hAnsi="Century" w:cs="Miriam"/>
          <w:b/>
          <w:sz w:val="22"/>
          <w:rtl/>
        </w:rPr>
        <w:t xml:space="preserve"> </w:t>
      </w:r>
      <w:r w:rsidRPr="00632224">
        <w:rPr>
          <w:rFonts w:ascii="Century" w:hAnsi="Century" w:cs="Miriam" w:hint="eastAsia"/>
          <w:b/>
          <w:sz w:val="22"/>
          <w:rtl/>
        </w:rPr>
        <w:t>הבג</w:t>
      </w:r>
      <w:r w:rsidRPr="00632224">
        <w:rPr>
          <w:rFonts w:ascii="Century" w:hAnsi="Century" w:cs="Miriam"/>
          <w:b/>
          <w:sz w:val="22"/>
          <w:rtl/>
        </w:rPr>
        <w:t>"</w:t>
      </w:r>
      <w:r w:rsidRPr="00632224">
        <w:rPr>
          <w:rFonts w:ascii="Century" w:hAnsi="Century" w:cs="Miriam" w:hint="eastAsia"/>
          <w:b/>
          <w:sz w:val="22"/>
          <w:rtl/>
        </w:rPr>
        <w:t>ץ</w:t>
      </w:r>
      <w:r w:rsidRPr="00632224">
        <w:rPr>
          <w:rFonts w:ascii="Century" w:hAnsi="Century" w:cs="Miriam" w:hint="cs"/>
          <w:b/>
          <w:sz w:val="22"/>
          <w:rtl/>
        </w:rPr>
        <w:t>:</w:t>
      </w:r>
      <w:r w:rsidRPr="00632224">
        <w:rPr>
          <w:rFonts w:ascii="Century" w:hAnsi="Century" w:cs="Miriam"/>
          <w:b/>
          <w:sz w:val="22"/>
          <w:rtl/>
        </w:rPr>
        <w:t xml:space="preserve"> </w:t>
      </w:r>
      <w:r w:rsidRPr="00632224">
        <w:rPr>
          <w:rFonts w:ascii="Century" w:hAnsi="Century" w:cs="Miriam" w:hint="eastAsia"/>
          <w:b/>
          <w:sz w:val="22"/>
          <w:rtl/>
        </w:rPr>
        <w:t>המהפכה</w:t>
      </w:r>
      <w:r w:rsidRPr="00632224">
        <w:rPr>
          <w:rFonts w:ascii="Century" w:hAnsi="Century" w:cs="Miriam"/>
          <w:b/>
          <w:sz w:val="22"/>
          <w:rtl/>
        </w:rPr>
        <w:t xml:space="preserve"> </w:t>
      </w:r>
      <w:r w:rsidRPr="00632224">
        <w:rPr>
          <w:rFonts w:ascii="Century" w:hAnsi="Century" w:cs="Miriam" w:hint="eastAsia"/>
          <w:b/>
          <w:sz w:val="22"/>
          <w:rtl/>
        </w:rPr>
        <w:t>החוקתית</w:t>
      </w:r>
      <w:r w:rsidRPr="00632224">
        <w:rPr>
          <w:rFonts w:ascii="Century" w:hAnsi="Century" w:cs="Miriam"/>
          <w:b/>
          <w:sz w:val="22"/>
          <w:rtl/>
        </w:rPr>
        <w:t xml:space="preserve"> </w:t>
      </w:r>
      <w:r w:rsidRPr="00632224">
        <w:rPr>
          <w:rFonts w:ascii="Century" w:hAnsi="Century" w:cs="Miriam" w:hint="eastAsia"/>
          <w:b/>
          <w:sz w:val="22"/>
          <w:rtl/>
        </w:rPr>
        <w:t>ומהפכת</w:t>
      </w:r>
      <w:r w:rsidRPr="00632224">
        <w:rPr>
          <w:rFonts w:ascii="Century" w:hAnsi="Century" w:cs="Miriam"/>
          <w:b/>
          <w:sz w:val="22"/>
          <w:rtl/>
        </w:rPr>
        <w:t xml:space="preserve"> </w:t>
      </w:r>
      <w:r w:rsidRPr="00632224">
        <w:rPr>
          <w:rFonts w:ascii="Century" w:hAnsi="Century" w:cs="Miriam" w:hint="eastAsia"/>
          <w:b/>
          <w:sz w:val="22"/>
          <w:rtl/>
        </w:rPr>
        <w:t>הנגד</w:t>
      </w:r>
      <w:r w:rsidRPr="00632224">
        <w:rPr>
          <w:rFonts w:ascii="Century" w:hAnsi="Century" w:cs="FrankRuehl" w:hint="cs"/>
          <w:spacing w:val="10"/>
          <w:sz w:val="22"/>
          <w:szCs w:val="28"/>
          <w:rtl/>
        </w:rPr>
        <w:t xml:space="preserve"> </w:t>
      </w:r>
      <w:r w:rsidRPr="00632224">
        <w:rPr>
          <w:rFonts w:ascii="Arial TUR" w:hAnsi="Arial TUR" w:cs="FrankRuehl"/>
          <w:spacing w:val="10"/>
          <w:sz w:val="22"/>
          <w:szCs w:val="28"/>
          <w:rtl/>
        </w:rPr>
        <w:t>(2020)</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6.</w:t>
      </w:r>
      <w:r w:rsidRPr="00632224">
        <w:rPr>
          <w:rFonts w:ascii="Arial TUR" w:hAnsi="Arial TUR" w:cs="FrankRuehl" w:hint="cs"/>
          <w:spacing w:val="10"/>
          <w:sz w:val="22"/>
          <w:szCs w:val="28"/>
          <w:rtl/>
        </w:rPr>
        <w:tab/>
        <w:t xml:space="preserve">ואם לא די בחסרונם של "מנועי דמוקרטיה", הרי שבישראל לרוב חברי הכנסת יש אינטרס מובנה וטבעי, הנובע ממבנה המשטר הפרלמנטרי של מדינת ישראל, בשימור קיומה של הממשלה, שהיא הראשית והיא התכלית לחברותם בכנסת. הנשיאה עמדה על כך בפסקה 112 לפסק דינה, וארחיב מעט בלשוני-שלי.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במבנה המוסדי של ממשלה-קואליציה, יש </w:t>
      </w:r>
      <w:r w:rsidRPr="00632224">
        <w:rPr>
          <w:rFonts w:ascii="Arial TUR" w:hAnsi="Arial TUR" w:cs="FrankRuehl"/>
          <w:spacing w:val="10"/>
          <w:sz w:val="22"/>
          <w:szCs w:val="28"/>
          <w:rtl/>
        </w:rPr>
        <w:t xml:space="preserve">כוח פוליטי </w:t>
      </w:r>
      <w:r w:rsidRPr="00632224">
        <w:rPr>
          <w:rFonts w:ascii="Arial TUR" w:hAnsi="Arial TUR" w:cs="FrankRuehl" w:hint="cs"/>
          <w:spacing w:val="10"/>
          <w:sz w:val="22"/>
          <w:szCs w:val="28"/>
          <w:rtl/>
        </w:rPr>
        <w:t>עצום ל</w:t>
      </w:r>
      <w:r w:rsidRPr="00632224">
        <w:rPr>
          <w:rFonts w:ascii="Arial TUR" w:hAnsi="Arial TUR" w:cs="FrankRuehl"/>
          <w:spacing w:val="10"/>
          <w:sz w:val="22"/>
          <w:szCs w:val="28"/>
          <w:rtl/>
        </w:rPr>
        <w:t>ראשי מפלגות הקואליציה</w:t>
      </w:r>
      <w:r w:rsidRPr="00632224">
        <w:rPr>
          <w:rFonts w:ascii="Arial TUR" w:hAnsi="Arial TUR" w:cs="FrankRuehl" w:hint="cs"/>
          <w:spacing w:val="10"/>
          <w:sz w:val="22"/>
          <w:szCs w:val="28"/>
          <w:rtl/>
        </w:rPr>
        <w:t>, ובאנלוגיה לדיני הממשל התאגידי, ניתן לומר שהם "גרעין השליטה" של הרשות המבצעת והמחוקקת (</w:t>
      </w:r>
      <w:r w:rsidRPr="00632224">
        <w:rPr>
          <w:rFonts w:ascii="Century" w:hAnsi="Century" w:cs="FrankRuehl" w:hint="cs"/>
          <w:spacing w:val="10"/>
          <w:sz w:val="22"/>
          <w:szCs w:val="28"/>
          <w:rtl/>
        </w:rPr>
        <w:t>ע</w:t>
      </w:r>
      <w:r w:rsidRPr="00632224">
        <w:rPr>
          <w:rFonts w:ascii="Century" w:hAnsi="Century" w:cs="FrankRuehl"/>
          <w:spacing w:val="10"/>
          <w:sz w:val="22"/>
          <w:szCs w:val="28"/>
          <w:bdr w:val="none" w:sz="0" w:space="0" w:color="auto" w:frame="1"/>
          <w:rtl/>
        </w:rPr>
        <w:t>מיחי כהן ויניב רוזנאי "פופוליזם, דמוקרטיה והחוקה המוסדית הישראלי</w:t>
      </w:r>
      <w:r w:rsidRPr="00632224">
        <w:rPr>
          <w:rFonts w:ascii="Century" w:hAnsi="Century" w:cs="FrankRuehl" w:hint="cs"/>
          <w:spacing w:val="10"/>
          <w:sz w:val="22"/>
          <w:szCs w:val="28"/>
          <w:bdr w:val="none" w:sz="0" w:space="0" w:color="auto" w:frame="1"/>
          <w:rtl/>
        </w:rPr>
        <w:t xml:space="preserve">ת" </w:t>
      </w:r>
      <w:r w:rsidRPr="00632224">
        <w:rPr>
          <w:rFonts w:ascii="Century" w:hAnsi="Century" w:cs="Miriam"/>
          <w:b/>
          <w:sz w:val="22"/>
          <w:bdr w:val="none" w:sz="0" w:space="0" w:color="auto" w:frame="1"/>
          <w:rtl/>
        </w:rPr>
        <w:t>עיוני משפט</w:t>
      </w:r>
      <w:r w:rsidRPr="00632224">
        <w:rPr>
          <w:rFonts w:ascii="Century" w:hAnsi="Century" w:cs="FrankRuehl"/>
          <w:spacing w:val="10"/>
          <w:sz w:val="22"/>
          <w:szCs w:val="28"/>
          <w:bdr w:val="none" w:sz="0" w:space="0" w:color="auto" w:frame="1"/>
          <w:rtl/>
        </w:rPr>
        <w:t xml:space="preserve"> מד </w:t>
      </w:r>
      <w:r w:rsidRPr="00632224">
        <w:rPr>
          <w:rFonts w:ascii="Century" w:hAnsi="Century" w:cs="FrankRuehl" w:hint="cs"/>
          <w:spacing w:val="10"/>
          <w:sz w:val="22"/>
          <w:szCs w:val="28"/>
          <w:bdr w:val="none" w:sz="0" w:space="0" w:color="auto" w:frame="1"/>
          <w:rtl/>
        </w:rPr>
        <w:t xml:space="preserve">87, 122 </w:t>
      </w:r>
      <w:r w:rsidRPr="00632224">
        <w:rPr>
          <w:rFonts w:ascii="Century" w:hAnsi="Century" w:cs="FrankRuehl"/>
          <w:spacing w:val="10"/>
          <w:sz w:val="22"/>
          <w:szCs w:val="28"/>
          <w:bdr w:val="none" w:sz="0" w:space="0" w:color="auto" w:frame="1"/>
          <w:rtl/>
        </w:rPr>
        <w:t>(</w:t>
      </w:r>
      <w:r w:rsidRPr="00632224">
        <w:rPr>
          <w:rFonts w:ascii="Century" w:hAnsi="Century" w:cs="FrankRuehl" w:hint="cs"/>
          <w:spacing w:val="10"/>
          <w:sz w:val="22"/>
          <w:szCs w:val="28"/>
          <w:bdr w:val="none" w:sz="0" w:space="0" w:color="auto" w:frame="1"/>
          <w:rtl/>
        </w:rPr>
        <w:t>2021</w:t>
      </w:r>
      <w:r w:rsidRPr="00632224">
        <w:rPr>
          <w:rFonts w:ascii="Century" w:hAnsi="Century" w:cs="FrankRuehl"/>
          <w:spacing w:val="10"/>
          <w:sz w:val="22"/>
          <w:szCs w:val="28"/>
          <w:bdr w:val="none" w:sz="0" w:space="0" w:color="auto" w:frame="1"/>
          <w:rtl/>
        </w:rPr>
        <w:t>)</w:t>
      </w:r>
      <w:r w:rsidRPr="00632224">
        <w:rPr>
          <w:rFonts w:ascii="Century" w:hAnsi="Century" w:cs="FrankRuehl" w:hint="cs"/>
          <w:spacing w:val="10"/>
          <w:sz w:val="22"/>
          <w:szCs w:val="28"/>
          <w:bdr w:val="none" w:sz="0" w:space="0" w:color="auto" w:frame="1"/>
          <w:rtl/>
        </w:rPr>
        <w:t xml:space="preserve"> (להלן: </w:t>
      </w:r>
      <w:r w:rsidRPr="00632224">
        <w:rPr>
          <w:rFonts w:ascii="Century" w:hAnsi="Century" w:cs="Miriam" w:hint="cs"/>
          <w:b/>
          <w:sz w:val="22"/>
          <w:bdr w:val="none" w:sz="0" w:space="0" w:color="auto" w:frame="1"/>
          <w:rtl/>
        </w:rPr>
        <w:t>כהן ורוזנאי</w:t>
      </w:r>
      <w:r w:rsidRPr="00632224">
        <w:rPr>
          <w:rFonts w:ascii="Century" w:hAnsi="Century" w:cs="FrankRuehl" w:hint="cs"/>
          <w:spacing w:val="10"/>
          <w:sz w:val="22"/>
          <w:szCs w:val="28"/>
          <w:bdr w:val="none" w:sz="0" w:space="0" w:color="auto" w:frame="1"/>
          <w:rtl/>
        </w:rPr>
        <w:t>)</w:t>
      </w:r>
      <w:r w:rsidRPr="00632224">
        <w:rPr>
          <w:rFonts w:ascii="Century" w:hAnsi="Century" w:cs="FrankRuehl" w:hint="cs"/>
          <w:spacing w:val="10"/>
          <w:sz w:val="22"/>
          <w:szCs w:val="28"/>
          <w:rtl/>
        </w:rPr>
        <w:t xml:space="preserve">). </w:t>
      </w:r>
      <w:r w:rsidRPr="00632224">
        <w:rPr>
          <w:rFonts w:ascii="Arial TUR" w:hAnsi="Arial TUR" w:cs="FrankRuehl" w:hint="cs"/>
          <w:spacing w:val="10"/>
          <w:sz w:val="22"/>
          <w:szCs w:val="28"/>
          <w:rtl/>
        </w:rPr>
        <w:t>הכנסת נשלטת על ידי הממשלה המחזיקה ברוב קואליציוני מובנה מקרב חברי הכנסת, רוב אשר מחושק מכוח עקרון המשמעת הקואליציונית וההסכמים הקואליציוניים (</w:t>
      </w:r>
      <w:r w:rsidRPr="00632224">
        <w:rPr>
          <w:rFonts w:ascii="Century" w:hAnsi="Century" w:cs="FrankRuehl"/>
          <w:spacing w:val="10"/>
          <w:sz w:val="22"/>
          <w:szCs w:val="28"/>
          <w:rtl/>
        </w:rPr>
        <w:t>מתן גוטמן "שליטתה של הממשלה על הכנסת והסכם קואליציוני כשריון חוק</w:t>
      </w:r>
      <w:r w:rsidRPr="00632224">
        <w:rPr>
          <w:rFonts w:ascii="Century" w:hAnsi="Century" w:cs="FrankRuehl" w:hint="cs"/>
          <w:spacing w:val="10"/>
          <w:sz w:val="22"/>
          <w:szCs w:val="28"/>
          <w:rtl/>
        </w:rPr>
        <w:t xml:space="preserve">תי" </w:t>
      </w:r>
      <w:r w:rsidRPr="00632224">
        <w:rPr>
          <w:rFonts w:cs="FrankRuehl"/>
          <w:spacing w:val="10"/>
          <w:sz w:val="22"/>
          <w:szCs w:val="22"/>
        </w:rPr>
        <w:t>ICON S-IL Blog</w:t>
      </w:r>
      <w:r w:rsidRPr="00632224">
        <w:rPr>
          <w:rFonts w:ascii="Century" w:hAnsi="Century" w:cs="FrankRuehl"/>
          <w:spacing w:val="10"/>
          <w:sz w:val="22"/>
          <w:szCs w:val="22"/>
          <w:rtl/>
        </w:rPr>
        <w:t xml:space="preserve"> </w:t>
      </w:r>
      <w:r w:rsidRPr="00632224">
        <w:rPr>
          <w:rFonts w:ascii="Century" w:hAnsi="Century" w:cs="FrankRuehl" w:hint="cs"/>
          <w:spacing w:val="10"/>
          <w:sz w:val="22"/>
          <w:szCs w:val="28"/>
          <w:rtl/>
        </w:rPr>
        <w:t xml:space="preserve">(30.4.2019)). לעוצמה זו של הממשלה יש להוסיף את </w:t>
      </w:r>
      <w:r w:rsidRPr="00632224">
        <w:rPr>
          <w:rFonts w:ascii="Arial TUR" w:hAnsi="Arial TUR" w:cs="FrankRuehl" w:hint="cs"/>
          <w:spacing w:val="10"/>
          <w:sz w:val="22"/>
          <w:szCs w:val="28"/>
          <w:rtl/>
        </w:rPr>
        <w:t xml:space="preserve">ועדת השרים לענייני חקיקה שביכולתה להטיל וטו כמעט על כל מעשה חקיקה, ואת יכולתה של הממשלה להחיל את </w:t>
      </w:r>
      <w:r w:rsidRPr="00632224">
        <w:rPr>
          <w:rFonts w:ascii="Arial TUR" w:hAnsi="Arial TUR" w:cs="FrankRuehl" w:hint="cs"/>
          <w:spacing w:val="10"/>
          <w:sz w:val="22"/>
          <w:szCs w:val="28"/>
          <w:rtl/>
        </w:rPr>
        <w:lastRenderedPageBreak/>
        <w:t>דין הרציפות על הצעות חוק או להתנגד לרציפות (</w:t>
      </w:r>
      <w:r w:rsidRPr="00632224">
        <w:rPr>
          <w:rFonts w:ascii="Arial TUR" w:hAnsi="Arial TUR" w:cs="FrankRuehl"/>
          <w:spacing w:val="10"/>
          <w:sz w:val="22"/>
          <w:szCs w:val="28"/>
          <w:rtl/>
        </w:rPr>
        <w:t xml:space="preserve">רבקה וייל "הלכת יולי אדלשטיין וכרונולוגית יחסי הכוחות בין </w:t>
      </w:r>
      <w:r w:rsidRPr="00632224">
        <w:rPr>
          <w:rFonts w:ascii="Arial TUR" w:hAnsi="Arial TUR" w:cs="FrankRuehl" w:hint="cs"/>
          <w:spacing w:val="10"/>
          <w:sz w:val="22"/>
          <w:szCs w:val="28"/>
          <w:rtl/>
        </w:rPr>
        <w:t>ה</w:t>
      </w:r>
      <w:r w:rsidRPr="00632224">
        <w:rPr>
          <w:rFonts w:ascii="Arial TUR" w:hAnsi="Arial TUR" w:cs="FrankRuehl"/>
          <w:spacing w:val="10"/>
          <w:sz w:val="22"/>
          <w:szCs w:val="28"/>
          <w:rtl/>
        </w:rPr>
        <w:t xml:space="preserve">כנסת לממשלה בישראל" </w:t>
      </w:r>
      <w:r w:rsidRPr="00632224">
        <w:rPr>
          <w:rFonts w:ascii="Century" w:hAnsi="Century" w:cs="Miriam"/>
          <w:b/>
          <w:sz w:val="22"/>
          <w:rtl/>
        </w:rPr>
        <w:t>עיוני משפ</w:t>
      </w:r>
      <w:r w:rsidRPr="00632224">
        <w:rPr>
          <w:rFonts w:ascii="Century" w:hAnsi="Century" w:cs="Miriam" w:hint="cs"/>
          <w:b/>
          <w:sz w:val="22"/>
          <w:rtl/>
        </w:rPr>
        <w:t>ט</w:t>
      </w:r>
      <w:r w:rsidRPr="00632224">
        <w:rPr>
          <w:rFonts w:ascii="Arial TUR" w:hAnsi="Arial TUR" w:cs="FrankRuehl" w:hint="cs"/>
          <w:spacing w:val="10"/>
          <w:sz w:val="22"/>
          <w:szCs w:val="28"/>
          <w:rtl/>
        </w:rPr>
        <w:t xml:space="preserve"> מד 321, 333 (2021))</w:t>
      </w:r>
      <w:r>
        <w:rPr>
          <w:rFonts w:ascii="Arial TUR" w:hAnsi="Arial TUR" w:cs="FrankRuehl" w:hint="cs"/>
          <w:spacing w:val="10"/>
          <w:sz w:val="22"/>
          <w:szCs w:val="28"/>
          <w:rtl/>
        </w:rPr>
        <w:t xml:space="preserve">, </w:t>
      </w:r>
      <w:r w:rsidRPr="00794C22">
        <w:rPr>
          <w:rFonts w:ascii="Century" w:hAnsi="Century" w:cs="FrankRuehl" w:hint="eastAsia"/>
          <w:spacing w:val="10"/>
          <w:sz w:val="22"/>
          <w:szCs w:val="28"/>
          <w:rtl/>
        </w:rPr>
        <w:t>כך</w:t>
      </w:r>
      <w:r w:rsidRPr="00794C22">
        <w:rPr>
          <w:rFonts w:ascii="Century" w:hAnsi="Century" w:cs="FrankRuehl"/>
          <w:spacing w:val="10"/>
          <w:sz w:val="22"/>
          <w:szCs w:val="28"/>
          <w:rtl/>
        </w:rPr>
        <w:t xml:space="preserve"> ש"במקום שהממשלה תהיה סוכנת הביצוע של הכנסת, הכנסת הופכת להיות סוכנת החקיקה של הממשלה" (קרן הורוביץ ואיתי בר-סימן טוב "היועץ המשפטי לכנסת ומקומו בהפרדת הרשויות בהליכי החקיקה" </w:t>
      </w:r>
      <w:r w:rsidRPr="002473F8">
        <w:rPr>
          <w:rFonts w:ascii="Century" w:hAnsi="Century" w:cs="Miriam" w:hint="cs"/>
          <w:b/>
          <w:sz w:val="22"/>
          <w:rtl/>
        </w:rPr>
        <w:t>עיוני משפט</w:t>
      </w:r>
      <w:r w:rsidRPr="00794C22">
        <w:rPr>
          <w:rFonts w:ascii="Century" w:hAnsi="Century" w:cs="FrankRuehl"/>
          <w:spacing w:val="10"/>
          <w:sz w:val="22"/>
          <w:szCs w:val="28"/>
          <w:rtl/>
        </w:rPr>
        <w:t xml:space="preserve"> מד 267, 313 (2021)</w:t>
      </w:r>
      <w:r>
        <w:rPr>
          <w:rFonts w:ascii="Century" w:hAnsi="Century" w:cs="FrankRuehl" w:hint="cs"/>
          <w:spacing w:val="10"/>
          <w:sz w:val="22"/>
          <w:szCs w:val="28"/>
          <w:rtl/>
        </w:rPr>
        <w:t>)</w:t>
      </w:r>
      <w:r w:rsidRPr="00794C22">
        <w:rPr>
          <w:rFonts w:ascii="Century" w:hAnsi="Century" w:cs="FrankRuehl"/>
          <w:spacing w:val="10"/>
          <w:sz w:val="22"/>
          <w:szCs w:val="28"/>
          <w:rtl/>
        </w:rPr>
        <w:t>.</w:t>
      </w:r>
      <w:r w:rsidRPr="002473F8">
        <w:rPr>
          <w:rFonts w:ascii="Arial TUR" w:hAnsi="Arial TUR" w:cs="FrankRuehl" w:hint="cs"/>
          <w:spacing w:val="10"/>
          <w:sz w:val="22"/>
          <w:szCs w:val="28"/>
          <w:rtl/>
        </w:rPr>
        <w:t xml:space="preserve"> </w:t>
      </w:r>
      <w:r w:rsidRPr="00632224">
        <w:rPr>
          <w:rFonts w:ascii="Arial TUR" w:hAnsi="Arial TUR" w:cs="FrankRuehl" w:hint="cs"/>
          <w:spacing w:val="10"/>
          <w:sz w:val="22"/>
          <w:szCs w:val="28"/>
          <w:rtl/>
        </w:rPr>
        <w:t>עוצמת השליטה של הממשלה גברה עוד יותר לנוכח השימוש הנרחב בחוק הנורווגי על פי סעיפים 42ג ו-43(ב)-(ו) לחוק יסוד: הכנסת, באשר כל חבר כנסת שהתמנה מכוח חוק זה יודע כי כהונתו יכולה להסתיים בכל עת בהתאם לרצונו של השר או סגן השר שאותו החליף. עוד גברה עוצמת השליטה של הממשלה עם צמצום מוסד אי-האמון והמרתו באי-אמון קונסטרוקטיבי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סעיף</w:t>
      </w:r>
      <w:r w:rsidRPr="00632224">
        <w:rPr>
          <w:rFonts w:ascii="Arial TUR" w:hAnsi="Arial TUR" w:cs="FrankRuehl"/>
          <w:spacing w:val="10"/>
          <w:sz w:val="22"/>
          <w:szCs w:val="28"/>
          <w:rtl/>
        </w:rPr>
        <w:t xml:space="preserve"> 28 </w:t>
      </w:r>
      <w:r w:rsidRPr="00632224">
        <w:rPr>
          <w:rFonts w:ascii="Arial TUR" w:hAnsi="Arial TUR" w:cs="FrankRuehl" w:hint="eastAsia"/>
          <w:spacing w:val="10"/>
          <w:sz w:val="22"/>
          <w:szCs w:val="28"/>
          <w:rtl/>
        </w:rPr>
        <w:t>לחוק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יסוד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הממשלה</w:t>
      </w:r>
      <w:r w:rsidRPr="00632224">
        <w:rPr>
          <w:rFonts w:ascii="Arial TUR" w:hAnsi="Arial TUR" w:cs="FrankRuehl" w:hint="cs"/>
          <w:spacing w:val="10"/>
          <w:sz w:val="22"/>
          <w:szCs w:val="28"/>
          <w:rtl/>
        </w:rPr>
        <w:t>; וראו פסקה 112 לפסק דינה של הנשיאה</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עוצמת השליטה של הממשלה מתחזקת אף יותר כאשר הקואליציה היא הומוגנית באופיה. במשטר הפרלמנטרי בישראל, הרשות המחוקקת היא היד הארוכה של הרשות המבצעת, השולטת על הכנסת מכוח הרוב הקואליציוני, כפי שכבר נכתב: </w:t>
      </w:r>
      <w:r w:rsidRPr="00632224">
        <w:rPr>
          <w:rFonts w:ascii="Arial TUR" w:hAnsi="Arial TUR" w:cs="FrankRuehl" w:hint="cs"/>
          <w:spacing w:val="10"/>
          <w:sz w:val="28"/>
          <w:szCs w:val="28"/>
          <w:rtl/>
        </w:rPr>
        <w:t xml:space="preserve">"דברים אלו נכונים ביתר שאת בשיטת המשטר הפרלמנטרית הנהוגה בישראל, שבה מחזיקה הרשות המבצעת ברוב מקרב חברי הרשות המחוקקת; כפועל יוצא מכך, בדרך כלל 'שולטת' הממשלה בכנסת הלכה למעשה" </w:t>
      </w:r>
      <w:r w:rsidRPr="00632224">
        <w:rPr>
          <w:rFonts w:ascii="Century" w:hAnsi="Century" w:cs="FrankRuehl" w:hint="cs"/>
          <w:spacing w:val="10"/>
          <w:sz w:val="22"/>
          <w:szCs w:val="28"/>
          <w:rtl/>
        </w:rPr>
        <w:t>(</w:t>
      </w:r>
      <w:r w:rsidRPr="00632224">
        <w:rPr>
          <w:rFonts w:ascii="Century" w:hAnsi="Century" w:cs="FrankRuehl" w:hint="eastAsia"/>
          <w:spacing w:val="10"/>
          <w:sz w:val="22"/>
          <w:szCs w:val="28"/>
          <w:rtl/>
        </w:rPr>
        <w:t>בג</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ץ</w:t>
      </w:r>
      <w:r w:rsidRPr="00632224">
        <w:rPr>
          <w:rFonts w:ascii="Century" w:hAnsi="Century" w:cs="FrankRuehl"/>
          <w:spacing w:val="10"/>
          <w:sz w:val="22"/>
          <w:szCs w:val="28"/>
          <w:rtl/>
        </w:rPr>
        <w:t xml:space="preserve"> 10042/16</w:t>
      </w:r>
      <w:r w:rsidRPr="00632224">
        <w:rPr>
          <w:rFonts w:ascii="Arial TUR" w:hAnsi="Arial TUR" w:cs="FrankRuehl" w:hint="cs"/>
          <w:spacing w:val="10"/>
          <w:sz w:val="22"/>
          <w:szCs w:val="28"/>
          <w:rtl/>
        </w:rPr>
        <w:t xml:space="preserve"> </w:t>
      </w:r>
      <w:r w:rsidRPr="00632224">
        <w:rPr>
          <w:rFonts w:ascii="Century" w:hAnsi="Century" w:cs="Miriam" w:hint="cs"/>
          <w:b/>
          <w:sz w:val="22"/>
          <w:rtl/>
        </w:rPr>
        <w:t>קוונטינסקי נ' כנסת ישראל</w:t>
      </w:r>
      <w:r w:rsidRPr="00632224">
        <w:rPr>
          <w:rFonts w:ascii="Arial TUR" w:hAnsi="Arial TUR" w:cs="FrankRuehl" w:hint="cs"/>
          <w:spacing w:val="10"/>
          <w:sz w:val="22"/>
          <w:szCs w:val="28"/>
          <w:rtl/>
        </w:rPr>
        <w:t xml:space="preserve">, פסקה 39 לפסק דינו </w:t>
      </w:r>
      <w:r w:rsidRPr="00632224">
        <w:rPr>
          <w:rFonts w:ascii="Arial TUR" w:hAnsi="Arial TUR" w:cs="FrankRuehl" w:hint="cs"/>
          <w:spacing w:val="10"/>
          <w:sz w:val="28"/>
          <w:szCs w:val="28"/>
          <w:rtl/>
        </w:rPr>
        <w:t xml:space="preserve">של השופט </w:t>
      </w:r>
      <w:r w:rsidRPr="00632224">
        <w:rPr>
          <w:rFonts w:ascii="Century" w:hAnsi="Century" w:cs="Miriam" w:hint="cs"/>
          <w:b/>
          <w:sz w:val="22"/>
          <w:rtl/>
        </w:rPr>
        <w:t>סולברג</w:t>
      </w:r>
      <w:r w:rsidRPr="00632224">
        <w:rPr>
          <w:rFonts w:ascii="Arial TUR" w:hAnsi="Arial TUR" w:cs="FrankRuehl" w:hint="cs"/>
          <w:spacing w:val="10"/>
          <w:sz w:val="28"/>
          <w:szCs w:val="28"/>
          <w:rtl/>
        </w:rPr>
        <w:t xml:space="preserve"> </w:t>
      </w:r>
      <w:r w:rsidRPr="00632224">
        <w:rPr>
          <w:rFonts w:ascii="Arial TUR" w:hAnsi="Arial TUR" w:cs="FrankRuehl" w:hint="cs"/>
          <w:spacing w:val="10"/>
          <w:sz w:val="22"/>
          <w:szCs w:val="28"/>
          <w:rtl/>
        </w:rPr>
        <w:t xml:space="preserve">(6.8.2017) (להלן: עניין </w:t>
      </w:r>
      <w:r w:rsidRPr="00632224">
        <w:rPr>
          <w:rFonts w:ascii="Century" w:hAnsi="Century" w:cs="Miriam" w:hint="cs"/>
          <w:b/>
          <w:sz w:val="22"/>
          <w:rtl/>
        </w:rPr>
        <w:t>קוונטינסקי</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גם הביקורת הפרלמנטרית על הממשלה אינה אפקטיבית במקרים רבים, באשר הרוב הקואליציוני שעליו שולטת הממשלה, שולט ממילא על הוועדות החשובות. ניתן אפוא לומר כי הרשות המחוקקת משרתת את הרשות המבצעת וכי קיימת שליטה כמעט מוחלטת של הרשות המבצעת בהליכים הפרלמנטריים: "לא ניתן לדון ולבחון שינויים חוקתיים במארג החוקתי הישראלי מבלי לתת משקל ממשי </w:t>
      </w:r>
      <w:r w:rsidRPr="00632224">
        <w:rPr>
          <w:rFonts w:ascii="Century" w:hAnsi="Century" w:cs="Miriam" w:hint="cs"/>
          <w:b/>
          <w:sz w:val="22"/>
          <w:rtl/>
        </w:rPr>
        <w:t xml:space="preserve">להתכת </w:t>
      </w:r>
      <w:r w:rsidRPr="00632224">
        <w:rPr>
          <w:rFonts w:ascii="Century" w:hAnsi="Century" w:cs="FrankRuehl" w:hint="cs"/>
          <w:spacing w:val="10"/>
          <w:sz w:val="22"/>
          <w:szCs w:val="28"/>
          <w:rtl/>
        </w:rPr>
        <w:t>הרשויות</w:t>
      </w:r>
      <w:r w:rsidRPr="00632224">
        <w:rPr>
          <w:rFonts w:ascii="Arial TUR" w:hAnsi="Arial TUR" w:cs="FrankRuehl" w:hint="cs"/>
          <w:spacing w:val="10"/>
          <w:sz w:val="22"/>
          <w:szCs w:val="28"/>
          <w:rtl/>
        </w:rPr>
        <w:t xml:space="preserve"> בין הכנסת לממשלה" (מתן גוטמן "המדינה הקואליציונית 'חותמת הגומי' ו'להקת המעודדות'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על רמיסת הכנסת על ידי הממשלה" </w:t>
      </w:r>
      <w:r w:rsidRPr="00632224">
        <w:rPr>
          <w:rFonts w:ascii="Century" w:hAnsi="Century" w:cs="Miriam" w:hint="cs"/>
          <w:b/>
          <w:sz w:val="22"/>
          <w:rtl/>
        </w:rPr>
        <w:t>ספר סלים ג'ובראן</w:t>
      </w:r>
      <w:r w:rsidRPr="00632224">
        <w:rPr>
          <w:rFonts w:ascii="Arial TUR" w:hAnsi="Arial TUR" w:cs="FrankRuehl" w:hint="cs"/>
          <w:spacing w:val="10"/>
          <w:sz w:val="22"/>
          <w:szCs w:val="28"/>
          <w:rtl/>
        </w:rPr>
        <w:t xml:space="preserve"> 197, 198-197 (2023)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 הנה כי כן, הרשות המבצעת והרשות המחוקקת כמעט שהיו לבשר אחד.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על מצב דברים זה, אמר מונטסקיה, מי שהניח את היסודות התיאורטיים של עקרון הפרדת הרשויות, כי כאשר הרשות המחוקקת והרשות המבצעת מתגלמים באותו גוף או באותו אדם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אזי החירות אינה יכולה להתקיים: "</w:t>
      </w:r>
      <w:r w:rsidRPr="00632224">
        <w:rPr>
          <w:rFonts w:cs="Times New Roman"/>
          <w:spacing w:val="10"/>
          <w:sz w:val="22"/>
          <w:szCs w:val="22"/>
        </w:rPr>
        <w:t>When the legislative and executive powers are united in the same person, or in the same body of magistrates, there can be no liberty</w:t>
      </w:r>
      <w:r w:rsidRPr="00632224">
        <w:rPr>
          <w:rFonts w:ascii="Arial TUR" w:hAnsi="Arial TUR" w:cs="FrankRuehl" w:hint="cs"/>
          <w:spacing w:val="10"/>
          <w:sz w:val="22"/>
          <w:szCs w:val="28"/>
          <w:rtl/>
        </w:rPr>
        <w:t xml:space="preserve">" (לציטוטים נוספים מספרו של מונטסקיה, ראו דברי השופט </w:t>
      </w:r>
      <w:r w:rsidRPr="00632224">
        <w:rPr>
          <w:rFonts w:ascii="Century" w:hAnsi="Century" w:cs="Miriam" w:hint="cs"/>
          <w:b/>
          <w:sz w:val="22"/>
          <w:rtl/>
        </w:rPr>
        <w:t>חשין</w:t>
      </w:r>
      <w:r w:rsidRPr="00632224">
        <w:rPr>
          <w:rFonts w:ascii="Arial TUR" w:hAnsi="Arial TUR" w:cs="FrankRuehl" w:hint="cs"/>
          <w:spacing w:val="10"/>
          <w:sz w:val="22"/>
          <w:szCs w:val="28"/>
          <w:rtl/>
        </w:rPr>
        <w:t xml:space="preserve"> בבג"ץ 4899/03 </w:t>
      </w:r>
      <w:r w:rsidRPr="00632224">
        <w:rPr>
          <w:rFonts w:ascii="Century" w:hAnsi="Century" w:cs="Miriam" w:hint="cs"/>
          <w:b/>
          <w:sz w:val="22"/>
          <w:rtl/>
        </w:rPr>
        <w:t>ארגון מגדלי העופות אגודה חקלאית שיתופית נ' ממשלת ישראל</w:t>
      </w:r>
      <w:r w:rsidRPr="00632224">
        <w:rPr>
          <w:rFonts w:ascii="Arial TUR" w:hAnsi="Arial TUR" w:cs="FrankRuehl" w:hint="cs"/>
          <w:spacing w:val="10"/>
          <w:sz w:val="22"/>
          <w:szCs w:val="28"/>
          <w:rtl/>
        </w:rPr>
        <w:t xml:space="preserve">, פ"ד נט(2) 14, 84-83 (2004) (להלן: </w:t>
      </w:r>
      <w:r w:rsidRPr="00632224">
        <w:rPr>
          <w:rFonts w:ascii="Century" w:hAnsi="Century" w:cs="FrankRuehl" w:hint="eastAsia"/>
          <w:spacing w:val="10"/>
          <w:sz w:val="22"/>
          <w:szCs w:val="28"/>
          <w:rtl/>
        </w:rPr>
        <w:t>עניין</w:t>
      </w:r>
      <w:r w:rsidRPr="00632224">
        <w:rPr>
          <w:rFonts w:ascii="Century" w:hAnsi="Century" w:cs="Miriam"/>
          <w:b/>
          <w:sz w:val="22"/>
          <w:rtl/>
        </w:rPr>
        <w:t xml:space="preserve"> </w:t>
      </w:r>
      <w:r w:rsidRPr="00632224">
        <w:rPr>
          <w:rFonts w:ascii="Century" w:hAnsi="Century" w:cs="Miriam" w:hint="cs"/>
          <w:b/>
          <w:sz w:val="22"/>
          <w:rtl/>
        </w:rPr>
        <w:t>מגדלי העופות</w:t>
      </w:r>
      <w:r w:rsidRPr="00632224">
        <w:rPr>
          <w:rFonts w:ascii="Arial TUR" w:hAnsi="Arial TUR" w:cs="FrankRuehl" w:hint="cs"/>
          <w:spacing w:val="10"/>
          <w:sz w:val="22"/>
          <w:szCs w:val="28"/>
          <w:rtl/>
        </w:rPr>
        <w:t>)).</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ab/>
        <w:t>בהעדר כל מנגנון של ביזור הכוח, הממשלה בישראל כרשות המבצעת היא מהממשלות החזקות ביותר במדינות דמוקרטיות-מערביות. "</w:t>
      </w:r>
      <w:r w:rsidRPr="00632224">
        <w:rPr>
          <w:rFonts w:ascii="Arial TUR" w:hAnsi="Arial TUR" w:cs="FrankRuehl" w:hint="cs"/>
          <w:spacing w:val="10"/>
          <w:sz w:val="28"/>
          <w:szCs w:val="28"/>
          <w:rtl/>
        </w:rPr>
        <w:t xml:space="preserve">המציאות הישראלית היא – כך דומה – החלשה מתמדת של כוח הכנסת לעומת כוחה של הממשלה, [...] הגידול בהיקף פעילותה של המדינה חולל שינוי פנימי בחלוקת התפקידים בין רשויות השלטון על דרך העברת כוח רב לידי הרשות המבצעת" </w:t>
      </w:r>
      <w:r w:rsidRPr="00632224">
        <w:rPr>
          <w:rFonts w:ascii="Century" w:hAnsi="Century" w:cs="FrankRuehl" w:hint="cs"/>
          <w:spacing w:val="10"/>
          <w:sz w:val="22"/>
          <w:szCs w:val="28"/>
          <w:rtl/>
        </w:rPr>
        <w:t xml:space="preserve">(בג"ץ 4374/15 </w:t>
      </w:r>
      <w:r w:rsidRPr="00632224">
        <w:rPr>
          <w:rFonts w:ascii="Century" w:hAnsi="Century" w:cs="Miriam" w:hint="cs"/>
          <w:b/>
          <w:sz w:val="22"/>
          <w:rtl/>
        </w:rPr>
        <w:t>התנועה למען איכות השלטון בישראל נ' ראש ממשלת ישראל</w:t>
      </w:r>
      <w:r w:rsidRPr="00632224">
        <w:rPr>
          <w:rFonts w:ascii="Century" w:hAnsi="Century" w:cs="FrankRuehl" w:hint="cs"/>
          <w:spacing w:val="10"/>
          <w:sz w:val="22"/>
          <w:szCs w:val="28"/>
          <w:rtl/>
        </w:rPr>
        <w:t xml:space="preserve">, </w:t>
      </w:r>
      <w:r w:rsidRPr="00632224">
        <w:rPr>
          <w:rFonts w:ascii="Arial TUR" w:hAnsi="Arial TUR" w:cs="FrankRuehl" w:hint="cs"/>
          <w:spacing w:val="10"/>
          <w:sz w:val="28"/>
          <w:szCs w:val="28"/>
          <w:rtl/>
        </w:rPr>
        <w:t xml:space="preserve">פסקאות קכח-קכט </w:t>
      </w:r>
      <w:r w:rsidRPr="00632224">
        <w:rPr>
          <w:rFonts w:ascii="Century" w:hAnsi="Century" w:cs="FrankRuehl" w:hint="cs"/>
          <w:spacing w:val="10"/>
          <w:sz w:val="22"/>
          <w:szCs w:val="28"/>
          <w:rtl/>
        </w:rPr>
        <w:t xml:space="preserve">לפסק דינו של המשנה לנשיאה </w:t>
      </w:r>
      <w:r w:rsidRPr="00632224">
        <w:rPr>
          <w:rFonts w:ascii="Century" w:hAnsi="Century" w:cs="Miriam" w:hint="eastAsia"/>
          <w:b/>
          <w:sz w:val="22"/>
          <w:rtl/>
        </w:rPr>
        <w:t>רובינשטיין</w:t>
      </w:r>
      <w:r w:rsidRPr="00632224">
        <w:rPr>
          <w:rFonts w:ascii="Century" w:hAnsi="Century" w:cs="Miriam"/>
          <w:b/>
          <w:sz w:val="22"/>
          <w:rtl/>
        </w:rPr>
        <w:t xml:space="preserve"> </w:t>
      </w:r>
      <w:r w:rsidRPr="00632224">
        <w:rPr>
          <w:rFonts w:ascii="Arial TUR" w:hAnsi="Arial TUR" w:cs="FrankRuehl" w:hint="cs"/>
          <w:spacing w:val="10"/>
          <w:sz w:val="28"/>
          <w:szCs w:val="28"/>
          <w:rtl/>
        </w:rPr>
        <w:t>והאסמכתאות שם</w:t>
      </w:r>
      <w:r w:rsidRPr="00632224">
        <w:rPr>
          <w:rFonts w:ascii="Century" w:hAnsi="Century" w:cs="FrankRuehl" w:hint="cs"/>
          <w:spacing w:val="10"/>
          <w:sz w:val="22"/>
          <w:szCs w:val="28"/>
          <w:rtl/>
        </w:rPr>
        <w:t xml:space="preserve"> (27.3.2016) (להלן: </w:t>
      </w:r>
      <w:r w:rsidRPr="00632224">
        <w:rPr>
          <w:rFonts w:ascii="Century" w:hAnsi="Century" w:cs="FrankRuehl" w:hint="eastAsia"/>
          <w:spacing w:val="10"/>
          <w:sz w:val="22"/>
          <w:szCs w:val="28"/>
          <w:rtl/>
        </w:rPr>
        <w:t>עניין</w:t>
      </w:r>
      <w:r w:rsidRPr="00632224">
        <w:rPr>
          <w:rFonts w:ascii="Century" w:hAnsi="Century" w:cs="FrankRuehl"/>
          <w:spacing w:val="10"/>
          <w:sz w:val="22"/>
          <w:szCs w:val="28"/>
          <w:rtl/>
        </w:rPr>
        <w:t xml:space="preserve"> </w:t>
      </w:r>
      <w:r w:rsidRPr="00632224">
        <w:rPr>
          <w:rFonts w:ascii="Century" w:hAnsi="Century" w:cs="Miriam" w:hint="cs"/>
          <w:b/>
          <w:sz w:val="22"/>
          <w:rtl/>
        </w:rPr>
        <w:t>מתווה הגז</w:t>
      </w:r>
      <w:r w:rsidRPr="00632224">
        <w:rPr>
          <w:rFonts w:ascii="Century" w:hAnsi="Century" w:cs="FrankRuehl" w:hint="cs"/>
          <w:spacing w:val="10"/>
          <w:sz w:val="22"/>
          <w:szCs w:val="28"/>
          <w:rtl/>
        </w:rPr>
        <w:t>)</w:t>
      </w:r>
      <w:r w:rsidRPr="00632224">
        <w:rPr>
          <w:rFonts w:ascii="Arial TUR" w:hAnsi="Arial TUR" w:cs="FrankRuehl" w:hint="cs"/>
          <w:spacing w:val="10"/>
          <w:sz w:val="28"/>
          <w:szCs w:val="28"/>
          <w:rtl/>
        </w:rPr>
        <w:t xml:space="preserve">). </w:t>
      </w:r>
      <w:r w:rsidRPr="00632224">
        <w:rPr>
          <w:rFonts w:ascii="Arial TUR" w:hAnsi="Arial TUR" w:cs="FrankRuehl" w:hint="cs"/>
          <w:spacing w:val="10"/>
          <w:sz w:val="22"/>
          <w:szCs w:val="28"/>
          <w:rtl/>
        </w:rPr>
        <w:t xml:space="preserve">הממשלה, הרשות המבצעת עצמה, נתונה לשליטתו של ראש הממשלה, מי שבידיו סמכויות רבות על פי תקנון הממשלה, מי שמחזיק בידיו סמכויות ביטחוניות רבות, מי שיכול למנות שרים ולפטרם ואף לפזר את הכנסת ולהפוך את ממשלתו לממשלת מעבר. ואילו לכנסת, הנשלטת כאמור על ידי הקואליציה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בהיותה הרשות המחוקקת היחידה במדינה, והיא מכהנת בעת ובעונה אחת גם כרשות המכוננת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יש כוח עצום, שבהעדר "כללי משחק" כמו חוק יסוד: החקיקה, מתאפשר לה גם לשנות בנקל חוקי יסוד ואת כללי המשחק עצמם.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7.</w:t>
      </w: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בישראל יש חוקי יסוד שבעתיד יתאגדו לכלל חוקה שלמה ומשוריינת, כך שמנוע עיקרי לשמירה על מעופו של מטוס הדמוקרטיה הוא בית המשפט העליון. אל יחשוב הקורא כי המדובר במנוע סילוני-עוצמתי, כי אם במנוע צנוע, והדס"ל (דלק סילוני) שהזין אותו בשלושת העשורים האחרונים היה אף הוא דל-אוקטן, ועיקרו לצורך שמירה על זכויות אדם ואזרח הוא בחוק יסוד: כבוד האדם וחירותו. מאז שנת 1992 לא נחקק אף חוק יסוד נוסף ולא תוקן חוק יסוד במטרה לעגן ולהגן על זכויות יסוד חוקתיות נוספות.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התשובה לשאלה כיצד מדינת ישראל נשארה דמוקרטית במשך שבעים וחמש שנות קיומה היא מורכבת. ייתכן כי התשובה לכך נמצאת בסדרי השלטון והממשל שירשנו מהמנדט הבריטי, שהחליף את הכיבוש התורכי ששלט בארץ 400 שנה; או במוסדות של "המדינה שבדרך"; או בשל תרבות שלטונית ותודעה חברתית-משפטית ששררה בקרב הציבור במדינה משך עשרות שנים; או בשל גורמים עצמאיים נוספים כמו הייעוץ המשפטי, פקידות מקצועית, ותקשורת חופשית. שאלה זו היא עניין להיסטוריונים, סוציולוגים וחוקרי מדע המדינה לענות בו, ולא אתיימר להסיג את גבולם של אלה.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lastRenderedPageBreak/>
        <w:tab/>
      </w:r>
      <w:r w:rsidRPr="00632224">
        <w:rPr>
          <w:rFonts w:ascii="Arial TUR" w:hAnsi="Arial TUR" w:cs="FrankRuehl" w:hint="cs"/>
          <w:spacing w:val="10"/>
          <w:sz w:val="22"/>
          <w:szCs w:val="28"/>
          <w:rtl/>
        </w:rPr>
        <w:t xml:space="preserve">המסקנה הנובעת מהעדר "מנועי דמוקרטיה" בישראל היא שהכיוון צריך להיות אך ורק "מערבה מכאן"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אך ורק לכיוון של </w:t>
      </w:r>
      <w:r w:rsidRPr="00632224">
        <w:rPr>
          <w:rFonts w:ascii="Century" w:hAnsi="Century" w:cs="Miriam" w:hint="cs"/>
          <w:b/>
          <w:sz w:val="22"/>
          <w:rtl/>
        </w:rPr>
        <w:t xml:space="preserve">תוספת </w:t>
      </w:r>
      <w:r w:rsidRPr="00632224">
        <w:rPr>
          <w:rFonts w:ascii="Arial TUR" w:hAnsi="Arial TUR" w:cs="FrankRuehl" w:hint="cs"/>
          <w:spacing w:val="10"/>
          <w:sz w:val="22"/>
          <w:szCs w:val="28"/>
          <w:rtl/>
        </w:rPr>
        <w:t xml:space="preserve">מנועים המחזקים את המשטר הדמוקרטי. זהו ההקשר שבו יש לבחון את התיקון לחוק היסוד, ונעמיק בדברים בהמשך. לכן, ועוד לפני שהתחלנו את מסענו, די בכיוון הנגדי שהתיקון לחוק היסוד לוקח אותנו, כדי לרופף את הברגים שמחברים את מנוע בית המשפט העליון לתושבת, ולהדליק נורה אדומה מהבהבת בלוח השעונים של מטוס הדמוקרטיה הישראלי.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8.</w:t>
      </w:r>
      <w:r w:rsidRPr="00632224">
        <w:rPr>
          <w:rFonts w:ascii="Arial TUR" w:hAnsi="Arial TUR" w:cs="FrankRuehl" w:hint="cs"/>
          <w:spacing w:val="10"/>
          <w:sz w:val="22"/>
          <w:szCs w:val="28"/>
          <w:rtl/>
        </w:rPr>
        <w:tab/>
        <w:t xml:space="preserve">ואם ישאל השואל, מה לביטול עילת הסבירות נושא דיוננו ולדמוקרטיה, את פתח לו ואמור כי ביטול עילת הסבירות פוגע במספר אבני יסוד ועקרונות יסוד של השיטה המשפטית ושל הדמוקרטיה, והם: </w:t>
      </w:r>
      <w:r w:rsidRPr="00632224">
        <w:rPr>
          <w:rFonts w:ascii="Century" w:hAnsi="Century" w:cs="FrankRuehl" w:hint="cs"/>
          <w:spacing w:val="10"/>
          <w:sz w:val="22"/>
          <w:szCs w:val="28"/>
          <w:rtl/>
        </w:rPr>
        <w:t>עקרון שלטון החוק; זכות הגישה לערכאות; עקרון הפרדת הרשויות; וזכויות יסוד חוקתיות.</w:t>
      </w:r>
      <w:r w:rsidRPr="00632224">
        <w:rPr>
          <w:rFonts w:ascii="Arial TUR" w:hAnsi="Arial TUR" w:cs="FrankRuehl" w:hint="cs"/>
          <w:spacing w:val="10"/>
          <w:sz w:val="22"/>
          <w:szCs w:val="28"/>
          <w:rtl/>
        </w:rPr>
        <w:t xml:space="preserve"> אכן, יש מדינות דמוקרטיות שבהן עילת הסבירות מתפרשת ומיושמת בצמצום, אך לנוכח הגרעון הדמוקרטי הכבד במדינת ישראל, כמתואר לעיל, לשלילה כה גורפת של עילת הסבירות יש משקל סגולי גבוה הרבה יותר מאשר במדינות אחרות. </w:t>
      </w:r>
      <w:r w:rsidRPr="00632224">
        <w:rPr>
          <w:rFonts w:ascii="Arial TUR" w:hAnsi="Arial TUR" w:cs="FrankRuehl" w:hint="eastAsia"/>
          <w:spacing w:val="10"/>
          <w:sz w:val="22"/>
          <w:szCs w:val="28"/>
          <w:rtl/>
        </w:rPr>
        <w:t>ודוק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ביטול</w:t>
      </w:r>
      <w:r w:rsidRPr="00632224">
        <w:rPr>
          <w:rFonts w:ascii="Arial TUR" w:hAnsi="Arial TUR" w:cs="FrankRuehl"/>
          <w:spacing w:val="10"/>
          <w:sz w:val="22"/>
          <w:szCs w:val="28"/>
          <w:rtl/>
        </w:rPr>
        <w:t xml:space="preserve"> עילת הסבירות על פי התיקון לחוק </w:t>
      </w:r>
      <w:r w:rsidRPr="00632224">
        <w:rPr>
          <w:rFonts w:ascii="Arial TUR" w:hAnsi="Arial TUR" w:cs="FrankRuehl" w:hint="eastAsia"/>
          <w:spacing w:val="10"/>
          <w:sz w:val="22"/>
          <w:szCs w:val="28"/>
          <w:rtl/>
        </w:rPr>
        <w:t>היסוד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אינו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מביא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מיניה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וביה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לקץ</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הדמוקרטיה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אך</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לנו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ללכת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שולל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אחר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טיעון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זה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במשטר</w:t>
      </w:r>
      <w:r w:rsidRPr="00632224">
        <w:rPr>
          <w:rFonts w:ascii="Arial TUR" w:hAnsi="Arial TUR" w:cs="FrankRuehl"/>
          <w:spacing w:val="10"/>
          <w:sz w:val="22"/>
          <w:szCs w:val="28"/>
          <w:rtl/>
        </w:rPr>
        <w:t xml:space="preserve"> דמוקרטי </w:t>
      </w:r>
      <w:r w:rsidRPr="00632224">
        <w:rPr>
          <w:rFonts w:ascii="Arial TUR" w:hAnsi="Arial TUR" w:cs="FrankRuehl" w:hint="eastAsia"/>
          <w:spacing w:val="10"/>
          <w:sz w:val="22"/>
          <w:szCs w:val="28"/>
          <w:rtl/>
        </w:rPr>
        <w:t>יש</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לעמוד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המשמר</w:t>
      </w:r>
      <w:r w:rsidRPr="00632224">
        <w:rPr>
          <w:rFonts w:ascii="Arial TUR" w:hAnsi="Arial TUR" w:cs="FrankRuehl"/>
          <w:spacing w:val="10"/>
          <w:sz w:val="22"/>
          <w:szCs w:val="28"/>
          <w:rtl/>
        </w:rPr>
        <w:t>, מאחר שדמוקרטיות מתות בסתר, לא במספר אבחות גדולות אלא בשורה של צעדים, שעל כל אחד מהם בנפרד ניתן לומר שאינו מביא לקץ הדמוקרטיה, אך בהצטברותם הם עלולים להביא לשינוי משטר</w:t>
      </w:r>
      <w:r w:rsidRPr="00632224">
        <w:rPr>
          <w:rFonts w:ascii="Arial TUR" w:hAnsi="Arial TUR" w:cs="FrankRuehl" w:hint="eastAsia"/>
          <w:spacing w:val="10"/>
          <w:sz w:val="22"/>
          <w:szCs w:val="28"/>
          <w:rtl/>
        </w:rPr>
        <w:t>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צר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לקבוע</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התיקון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לחוק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היסוד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הוא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צעד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אחד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בכיוון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נכון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החלשת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הדמוקרטיה</w:t>
      </w:r>
      <w:r w:rsidRPr="00632224">
        <w:rPr>
          <w:rFonts w:ascii="Arial TUR" w:hAnsi="Arial TUR" w:cs="FrankRuehl"/>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9.</w:t>
      </w:r>
      <w:r w:rsidRPr="00632224">
        <w:rPr>
          <w:rFonts w:ascii="Century" w:hAnsi="Century" w:cs="FrankRuehl" w:hint="cs"/>
          <w:spacing w:val="10"/>
          <w:sz w:val="22"/>
          <w:szCs w:val="28"/>
          <w:rtl/>
        </w:rPr>
        <w:tab/>
      </w:r>
      <w:r w:rsidRPr="00632224">
        <w:rPr>
          <w:rFonts w:ascii="Century" w:hAnsi="Century" w:cs="FrankRuehl" w:hint="eastAsia"/>
          <w:spacing w:val="10"/>
          <w:sz w:val="22"/>
          <w:szCs w:val="28"/>
          <w:rtl/>
        </w:rPr>
        <w:t>טרם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נצא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לדרכנו</w:t>
      </w:r>
      <w:r w:rsidRPr="00632224">
        <w:rPr>
          <w:rFonts w:ascii="Century" w:hAnsi="Century" w:cs="FrankRuehl"/>
          <w:spacing w:val="10"/>
          <w:sz w:val="22"/>
          <w:szCs w:val="28"/>
          <w:rtl/>
        </w:rPr>
        <w:t xml:space="preserve"> </w:t>
      </w:r>
      <w:r w:rsidRPr="00632224">
        <w:rPr>
          <w:rFonts w:ascii="Arial TUR" w:hAnsi="Arial TUR" w:cs="FrankRuehl" w:hint="eastAsia"/>
          <w:spacing w:val="10"/>
          <w:sz w:val="22"/>
          <w:szCs w:val="28"/>
          <w:rtl/>
        </w:rPr>
        <w:t>אשרטט</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בקווים</w:t>
      </w:r>
      <w:r w:rsidRPr="00632224">
        <w:rPr>
          <w:rFonts w:ascii="Arial TUR" w:hAnsi="Arial TUR" w:cs="FrankRuehl"/>
          <w:spacing w:val="10"/>
          <w:sz w:val="22"/>
          <w:szCs w:val="28"/>
          <w:rtl/>
        </w:rPr>
        <w:t xml:space="preserve"> כלליים </w:t>
      </w:r>
      <w:r w:rsidRPr="00632224">
        <w:rPr>
          <w:rFonts w:ascii="Arial TUR" w:hAnsi="Arial TUR" w:cs="FrankRuehl" w:hint="eastAsia"/>
          <w:spacing w:val="10"/>
          <w:sz w:val="22"/>
          <w:szCs w:val="28"/>
          <w:rtl/>
        </w:rPr>
        <w:t>חלק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מהתחנות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בדרך</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הילוכנו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אסביר</w:t>
      </w:r>
      <w:r w:rsidRPr="00632224">
        <w:rPr>
          <w:rFonts w:ascii="Arial TUR" w:hAnsi="Arial TUR" w:cs="FrankRuehl"/>
          <w:spacing w:val="10"/>
          <w:sz w:val="22"/>
          <w:szCs w:val="28"/>
          <w:rtl/>
        </w:rPr>
        <w:t xml:space="preserve"> מה מקור סמכותו של בית משפט זה להתערב בחוק יסוד; </w:t>
      </w:r>
      <w:r w:rsidRPr="00632224">
        <w:rPr>
          <w:rFonts w:ascii="Arial TUR" w:hAnsi="Arial TUR" w:cs="FrankRuehl" w:hint="eastAsia"/>
          <w:spacing w:val="10"/>
          <w:sz w:val="22"/>
          <w:szCs w:val="28"/>
          <w:rtl/>
        </w:rPr>
        <w:t>מדוע</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צריכה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להיות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ביקורת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שיפוטית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יסוד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אעמוד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משמעותו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התיקון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לחוק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היסוד</w:t>
      </w:r>
      <w:r w:rsidRPr="00632224">
        <w:rPr>
          <w:rFonts w:ascii="Arial TUR" w:hAnsi="Arial TUR" w:cs="FrankRuehl" w:hint="cs"/>
          <w:spacing w:val="10"/>
          <w:sz w:val="22"/>
          <w:szCs w:val="28"/>
          <w:rtl/>
        </w:rPr>
        <w:t xml:space="preserve"> נושא דיוננו </w:t>
      </w:r>
      <w:r w:rsidRPr="00632224">
        <w:rPr>
          <w:rFonts w:ascii="Arial TUR" w:hAnsi="Arial TUR" w:cs="FrankRuehl" w:hint="eastAsia"/>
          <w:spacing w:val="10"/>
          <w:sz w:val="22"/>
          <w:szCs w:val="28"/>
          <w:rtl/>
        </w:rPr>
        <w:t>ואצביע</w:t>
      </w:r>
      <w:r w:rsidRPr="00632224">
        <w:rPr>
          <w:rFonts w:ascii="Arial TUR" w:hAnsi="Arial TUR" w:cs="FrankRuehl"/>
          <w:spacing w:val="10"/>
          <w:sz w:val="22"/>
          <w:szCs w:val="28"/>
          <w:rtl/>
        </w:rPr>
        <w:t xml:space="preserve"> על מספר נפקויות והיבטים של</w:t>
      </w:r>
      <w:r w:rsidRPr="00632224">
        <w:rPr>
          <w:rFonts w:ascii="Arial TUR" w:hAnsi="Arial TUR" w:cs="FrankRuehl" w:hint="cs"/>
          <w:spacing w:val="10"/>
          <w:sz w:val="22"/>
          <w:szCs w:val="28"/>
          <w:rtl/>
        </w:rPr>
        <w:t>ו</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ו</w:t>
      </w:r>
      <w:r w:rsidRPr="00632224">
        <w:rPr>
          <w:rFonts w:ascii="Arial TUR" w:hAnsi="Arial TUR" w:cs="FrankRuehl" w:hint="eastAsia"/>
          <w:spacing w:val="10"/>
          <w:sz w:val="22"/>
          <w:szCs w:val="28"/>
          <w:rtl/>
        </w:rPr>
        <w:t>אביע</w:t>
      </w:r>
      <w:r w:rsidRPr="00632224">
        <w:rPr>
          <w:rFonts w:ascii="Arial TUR" w:hAnsi="Arial TUR" w:cs="FrankRuehl"/>
          <w:spacing w:val="10"/>
          <w:sz w:val="22"/>
          <w:szCs w:val="28"/>
          <w:rtl/>
        </w:rPr>
        <w:t xml:space="preserve"> עמדתי </w:t>
      </w:r>
      <w:r w:rsidRPr="00632224">
        <w:rPr>
          <w:rFonts w:ascii="Arial TUR" w:hAnsi="Arial TUR" w:cs="FrankRuehl" w:hint="eastAsia"/>
          <w:spacing w:val="10"/>
          <w:sz w:val="22"/>
          <w:szCs w:val="28"/>
          <w:rtl/>
        </w:rPr>
        <w:t>מדוע</w:t>
      </w:r>
      <w:r w:rsidRPr="00632224">
        <w:rPr>
          <w:rFonts w:ascii="Arial TUR" w:hAnsi="Arial TUR" w:cs="FrankRuehl"/>
          <w:spacing w:val="10"/>
          <w:sz w:val="22"/>
          <w:szCs w:val="28"/>
          <w:rtl/>
        </w:rPr>
        <w:t xml:space="preserve"> יש לפסול את התיקון </w:t>
      </w:r>
      <w:r w:rsidRPr="00632224">
        <w:rPr>
          <w:rFonts w:ascii="Arial TUR" w:hAnsi="Arial TUR" w:cs="FrankRuehl" w:hint="cs"/>
          <w:spacing w:val="10"/>
          <w:sz w:val="22"/>
          <w:szCs w:val="28"/>
          <w:rtl/>
        </w:rPr>
        <w:t xml:space="preserve">לחוק היסוד </w:t>
      </w:r>
      <w:r w:rsidRPr="00632224">
        <w:rPr>
          <w:rFonts w:ascii="Arial TUR" w:hAnsi="Arial TUR" w:cs="FrankRuehl"/>
          <w:spacing w:val="10"/>
          <w:sz w:val="22"/>
          <w:szCs w:val="28"/>
          <w:rtl/>
        </w:rPr>
        <w:t xml:space="preserve">בהיותו תיקון חוקתי שאינו חוקתי. </w:t>
      </w:r>
      <w:r w:rsidRPr="00632224">
        <w:rPr>
          <w:rFonts w:ascii="Arial TUR" w:hAnsi="Arial TUR" w:cs="FrankRuehl" w:hint="cs"/>
          <w:spacing w:val="10"/>
          <w:sz w:val="22"/>
          <w:szCs w:val="28"/>
          <w:rtl/>
        </w:rPr>
        <w:t>תחת כל אחת מכותרות</w:t>
      </w:r>
      <w:r w:rsidRPr="00632224">
        <w:rPr>
          <w:rFonts w:ascii="Arial TUR" w:hAnsi="Arial TUR" w:cs="FrankRuehl"/>
          <w:spacing w:val="10"/>
          <w:sz w:val="22"/>
          <w:szCs w:val="28"/>
          <w:rtl/>
        </w:rPr>
        <w:t xml:space="preserve"> אלה </w:t>
      </w:r>
      <w:r w:rsidRPr="00632224">
        <w:rPr>
          <w:rFonts w:ascii="Arial TUR" w:hAnsi="Arial TUR" w:cs="FrankRuehl" w:hint="eastAsia"/>
          <w:spacing w:val="10"/>
          <w:sz w:val="22"/>
          <w:szCs w:val="28"/>
          <w:rtl/>
        </w:rPr>
        <w:t>נתעכב</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נושאים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נוספים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הצריכים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לענייננו</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סמכות בית המשפט לפסול חקיקה ראשית</w:t>
      </w:r>
    </w:p>
    <w:p w:rsidR="00244560" w:rsidRPr="009B0AFF" w:rsidRDefault="00244560" w:rsidP="009B0AFF">
      <w:pPr>
        <w:tabs>
          <w:tab w:val="left" w:pos="800"/>
        </w:tabs>
        <w:spacing w:line="276"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10.</w:t>
      </w: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עודנו מגיעים לשאלת סמכות בית המשפט </w:t>
      </w:r>
      <w:r w:rsidRPr="00632224">
        <w:rPr>
          <w:rFonts w:ascii="Century" w:hAnsi="Century" w:cs="FrankRuehl" w:hint="cs"/>
          <w:spacing w:val="10"/>
          <w:sz w:val="22"/>
          <w:szCs w:val="28"/>
          <w:rtl/>
        </w:rPr>
        <w:t>להעביר תחת שבט ביקורתו חוקי</w:t>
      </w:r>
      <w:r w:rsidRPr="00632224">
        <w:rPr>
          <w:rFonts w:ascii="Century" w:hAnsi="Century" w:cs="Miriam" w:hint="cs"/>
          <w:b/>
          <w:sz w:val="22"/>
          <w:rtl/>
        </w:rPr>
        <w:t xml:space="preserve"> </w:t>
      </w:r>
      <w:r w:rsidRPr="00632224">
        <w:rPr>
          <w:rFonts w:ascii="Century" w:hAnsi="Century" w:cs="FrankRuehl" w:hint="cs"/>
          <w:spacing w:val="10"/>
          <w:sz w:val="22"/>
          <w:szCs w:val="28"/>
          <w:rtl/>
        </w:rPr>
        <w:t>יסוד</w:t>
      </w:r>
      <w:r w:rsidRPr="00632224">
        <w:rPr>
          <w:rFonts w:ascii="Arial TUR" w:hAnsi="Arial TUR" w:cs="FrankRuehl" w:hint="cs"/>
          <w:spacing w:val="10"/>
          <w:sz w:val="22"/>
          <w:szCs w:val="28"/>
          <w:rtl/>
        </w:rPr>
        <w:t xml:space="preserve">, נעבור דרך שאלה קודמת לכך. מניין סמכותו של בית משפט זה לפסול חקיקה ראשית "רגילה" של הכנסת? שאלה זו מצאה הד בהערתו של חברי, השופט </w:t>
      </w:r>
      <w:r w:rsidRPr="00632224">
        <w:rPr>
          <w:rFonts w:ascii="Century" w:hAnsi="Century" w:cs="Miriam" w:hint="cs"/>
          <w:b/>
          <w:sz w:val="22"/>
          <w:rtl/>
        </w:rPr>
        <w:t>מינץ</w:t>
      </w:r>
      <w:r w:rsidRPr="00632224">
        <w:rPr>
          <w:rFonts w:ascii="Arial TUR" w:hAnsi="Arial TUR" w:cs="FrankRuehl" w:hint="cs"/>
          <w:spacing w:val="10"/>
          <w:sz w:val="22"/>
          <w:szCs w:val="28"/>
          <w:rtl/>
        </w:rPr>
        <w:t xml:space="preserve">, בפסק דינו </w:t>
      </w:r>
      <w:r w:rsidRPr="00632224">
        <w:rPr>
          <w:rFonts w:ascii="Century" w:hAnsi="Century" w:cs="FrankRuehl" w:hint="cs"/>
          <w:spacing w:val="10"/>
          <w:sz w:val="22"/>
          <w:szCs w:val="28"/>
          <w:rtl/>
        </w:rPr>
        <w:t>ב</w:t>
      </w:r>
      <w:r w:rsidRPr="00632224">
        <w:rPr>
          <w:rFonts w:ascii="Century" w:hAnsi="Century" w:cs="FrankRuehl" w:hint="eastAsia"/>
          <w:spacing w:val="10"/>
          <w:sz w:val="22"/>
          <w:szCs w:val="28"/>
          <w:rtl/>
        </w:rPr>
        <w:t>בג</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ץ</w:t>
      </w:r>
      <w:r w:rsidRPr="00632224">
        <w:rPr>
          <w:rFonts w:ascii="Century" w:hAnsi="Century" w:cs="FrankRuehl"/>
          <w:spacing w:val="10"/>
          <w:sz w:val="22"/>
          <w:szCs w:val="28"/>
          <w:rtl/>
        </w:rPr>
        <w:t xml:space="preserve"> 5969/20 </w:t>
      </w:r>
      <w:r w:rsidRPr="00632224">
        <w:rPr>
          <w:rFonts w:ascii="Arial TUR" w:hAnsi="Arial TUR" w:cs="Miriam" w:hint="eastAsia"/>
          <w:b/>
          <w:sz w:val="22"/>
          <w:rtl/>
        </w:rPr>
        <w:t>שפיר</w:t>
      </w:r>
      <w:r w:rsidRPr="00632224">
        <w:rPr>
          <w:rFonts w:ascii="Arial TUR" w:hAnsi="Arial TUR" w:cs="Miriam"/>
          <w:b/>
          <w:sz w:val="22"/>
          <w:rtl/>
        </w:rPr>
        <w:t xml:space="preserve"> </w:t>
      </w:r>
      <w:r w:rsidRPr="00632224">
        <w:rPr>
          <w:rFonts w:ascii="Arial TUR" w:hAnsi="Arial TUR" w:cs="Miriam" w:hint="eastAsia"/>
          <w:b/>
          <w:sz w:val="22"/>
          <w:rtl/>
        </w:rPr>
        <w:t>נ</w:t>
      </w:r>
      <w:r w:rsidRPr="00632224">
        <w:rPr>
          <w:rFonts w:ascii="Arial TUR" w:hAnsi="Arial TUR" w:cs="Miriam"/>
          <w:b/>
          <w:sz w:val="22"/>
          <w:rtl/>
        </w:rPr>
        <w:t xml:space="preserve">' </w:t>
      </w:r>
      <w:r w:rsidRPr="00632224">
        <w:rPr>
          <w:rFonts w:ascii="Arial TUR" w:hAnsi="Arial TUR" w:cs="Miriam" w:hint="eastAsia"/>
          <w:b/>
          <w:sz w:val="22"/>
          <w:rtl/>
        </w:rPr>
        <w:t>הכנסת</w:t>
      </w:r>
      <w:r w:rsidRPr="00632224">
        <w:rPr>
          <w:rFonts w:ascii="Century" w:hAnsi="Century" w:cs="FrankRuehl" w:hint="cs"/>
          <w:spacing w:val="10"/>
          <w:sz w:val="22"/>
          <w:szCs w:val="28"/>
          <w:rtl/>
        </w:rPr>
        <w:t xml:space="preserve">, פסקה 8 </w:t>
      </w:r>
      <w:r w:rsidRPr="00632224">
        <w:rPr>
          <w:rFonts w:ascii="Century" w:hAnsi="Century" w:cs="FrankRuehl"/>
          <w:spacing w:val="10"/>
          <w:sz w:val="22"/>
          <w:szCs w:val="28"/>
          <w:rtl/>
        </w:rPr>
        <w:t>(23.5.2021)</w:t>
      </w:r>
      <w:r w:rsidRPr="00632224">
        <w:rPr>
          <w:rFonts w:ascii="Arial TUR" w:hAnsi="Arial TUR" w:cs="FrankRuehl" w:hint="cs"/>
          <w:spacing w:val="10"/>
          <w:sz w:val="22"/>
          <w:szCs w:val="28"/>
          <w:rtl/>
        </w:rPr>
        <w:t xml:space="preserve"> (להלן: </w:t>
      </w:r>
      <w:r w:rsidRPr="00632224">
        <w:rPr>
          <w:rFonts w:ascii="Arial TUR" w:hAnsi="Arial TUR" w:cs="FrankRuehl" w:hint="eastAsia"/>
          <w:spacing w:val="10"/>
          <w:sz w:val="22"/>
          <w:szCs w:val="28"/>
          <w:rtl/>
        </w:rPr>
        <w:t>עניין</w:t>
      </w:r>
      <w:r w:rsidRPr="00632224">
        <w:rPr>
          <w:rFonts w:ascii="Century" w:hAnsi="Century" w:cs="FrankRuehl"/>
          <w:spacing w:val="10"/>
          <w:sz w:val="22"/>
          <w:szCs w:val="28"/>
          <w:rtl/>
        </w:rPr>
        <w:t xml:space="preserve"> </w:t>
      </w:r>
      <w:r w:rsidRPr="00632224">
        <w:rPr>
          <w:rFonts w:ascii="Century" w:hAnsi="Century" w:cs="Miriam" w:hint="cs"/>
          <w:b/>
          <w:sz w:val="22"/>
          <w:rtl/>
        </w:rPr>
        <w:t>שפיר</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Arial TUR" w:hAnsi="Arial TUR" w:cs="FrankRuehl" w:hint="cs"/>
          <w:spacing w:val="10"/>
          <w:sz w:val="22"/>
          <w:szCs w:val="28"/>
          <w:rtl/>
        </w:rPr>
        <w:lastRenderedPageBreak/>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פניו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שאלת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סמכותו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משפט</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זה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לבצע</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ביקורת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שיפוטית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תוכנם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חוקים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מכוח</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חוקי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היסוד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חרף</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העובדה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שכיום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כמעט</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ולא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נמצא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חולק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אינה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מובנת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מאליה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ואינה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מושתתת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בהכרח</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יסודות</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 xml:space="preserve"> </w:t>
      </w:r>
      <w:r>
        <w:rPr>
          <w:rFonts w:ascii="Century" w:hAnsi="Century" w:cs="FrankRuehl" w:hint="cs"/>
          <w:spacing w:val="10"/>
          <w:sz w:val="22"/>
          <w:szCs w:val="28"/>
          <w:rtl/>
        </w:rPr>
        <w:t xml:space="preserve"> </w:t>
      </w:r>
      <w:r w:rsidRPr="00632224">
        <w:rPr>
          <w:rFonts w:ascii="Century" w:hAnsi="Century" w:cs="FrankRuehl" w:hint="cs"/>
          <w:spacing w:val="10"/>
          <w:sz w:val="22"/>
          <w:szCs w:val="28"/>
          <w:rtl/>
        </w:rPr>
        <w:t xml:space="preserve">  </w:t>
      </w:r>
      <w:r w:rsidRPr="00632224">
        <w:rPr>
          <w:rFonts w:ascii="Century" w:hAnsi="Century" w:cs="FrankRuehl" w:hint="eastAsia"/>
          <w:spacing w:val="10"/>
          <w:sz w:val="22"/>
          <w:szCs w:val="28"/>
          <w:rtl/>
        </w:rPr>
        <w:t>ברורים</w:t>
      </w:r>
      <w:r w:rsidRPr="00632224">
        <w:rPr>
          <w:rFonts w:ascii="Century" w:hAnsi="Century" w:cs="FrankRuehl" w:hint="cs"/>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הטענה כי בית המשפט בישראל נטל לעצמו את הסמכות לפסול חוקים, חלשה לעמדתי מהטענה שבית המשפט בארצות הברית נטל לעצמו סמכות דומה בפסק הדין בעניין </w:t>
      </w:r>
      <w:r w:rsidRPr="00632224">
        <w:rPr>
          <w:rFonts w:cs="FrankRuehl"/>
          <w:spacing w:val="10"/>
          <w:sz w:val="24"/>
          <w:szCs w:val="28"/>
        </w:rPr>
        <w:t>Marbury v. Madison</w:t>
      </w:r>
      <w:r w:rsidRPr="00632224">
        <w:rPr>
          <w:rFonts w:ascii="Century" w:hAnsi="Century" w:cs="FrankRuehl" w:hint="cs"/>
          <w:spacing w:val="10"/>
          <w:sz w:val="22"/>
          <w:szCs w:val="28"/>
          <w:rtl/>
        </w:rPr>
        <w:t xml:space="preserve">, שלא הסתמך על הוראה מפורשת כמו פסקת ההגבלה הקיימת במשפטנו </w:t>
      </w:r>
      <w:r w:rsidRPr="00632224">
        <w:rPr>
          <w:rFonts w:ascii="Arial TUR" w:hAnsi="Arial TUR" w:cs="FrankRuehl" w:hint="cs"/>
          <w:spacing w:val="10"/>
          <w:sz w:val="22"/>
          <w:szCs w:val="28"/>
          <w:rtl/>
        </w:rPr>
        <w:t xml:space="preserve">(לפסק דין זה ראו </w:t>
      </w:r>
      <w:r w:rsidRPr="00632224">
        <w:rPr>
          <w:rFonts w:ascii="Century" w:hAnsi="Century" w:cs="FrankRuehl" w:hint="cs"/>
          <w:spacing w:val="10"/>
          <w:sz w:val="22"/>
          <w:szCs w:val="28"/>
          <w:rtl/>
        </w:rPr>
        <w:t xml:space="preserve">ארנון גוטפלד, יורם רבין "גבולות כוחו של בית המשפט: פרשת </w:t>
      </w:r>
      <w:r w:rsidRPr="00632224">
        <w:rPr>
          <w:rFonts w:cs="FrankRuehl"/>
          <w:spacing w:val="10"/>
          <w:sz w:val="24"/>
          <w:szCs w:val="28"/>
        </w:rPr>
        <w:t>Marbury v. Madison</w:t>
      </w:r>
      <w:r w:rsidRPr="00632224">
        <w:rPr>
          <w:rFonts w:ascii="Century" w:hAnsi="Century" w:cs="FrankRuehl" w:hint="cs"/>
          <w:spacing w:val="10"/>
          <w:sz w:val="22"/>
          <w:szCs w:val="28"/>
          <w:rtl/>
        </w:rPr>
        <w:t xml:space="preserve"> והשתקפותה במשפט החוקתי הישראלי" </w:t>
      </w:r>
      <w:r w:rsidRPr="00632224">
        <w:rPr>
          <w:rFonts w:ascii="Century" w:hAnsi="Century" w:cs="Miriam" w:hint="cs"/>
          <w:b/>
          <w:sz w:val="22"/>
          <w:rtl/>
        </w:rPr>
        <w:t>ספר אדמונד לוי</w:t>
      </w:r>
      <w:r w:rsidRPr="00632224">
        <w:rPr>
          <w:rFonts w:ascii="Century" w:hAnsi="Century" w:cs="FrankRuehl" w:hint="cs"/>
          <w:spacing w:val="10"/>
          <w:sz w:val="22"/>
          <w:szCs w:val="28"/>
          <w:rtl/>
        </w:rPr>
        <w:t xml:space="preserve"> 75 (2017)). מכל מקום,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גם המתנגדים העקשים ביותר של המהפכה החוקתית אינם יכולים להתעלם מכך שבמאר</w:t>
      </w:r>
      <w:r w:rsidRPr="00632224">
        <w:rPr>
          <w:rFonts w:ascii="Arial TUR" w:hAnsi="Arial TUR" w:cs="FrankRuehl" w:hint="cs"/>
          <w:spacing w:val="10"/>
          <w:sz w:val="22"/>
          <w:szCs w:val="28"/>
          <w:rtl/>
        </w:rPr>
        <w:t>ס</w:t>
      </w:r>
      <w:r w:rsidRPr="00632224">
        <w:rPr>
          <w:rFonts w:ascii="Arial TUR" w:hAnsi="Arial TUR" w:cs="FrankRuehl"/>
          <w:spacing w:val="10"/>
          <w:sz w:val="22"/>
          <w:szCs w:val="28"/>
          <w:rtl/>
        </w:rPr>
        <w:t xml:space="preserve"> 1992 נפל דבר בישראל</w:t>
      </w:r>
      <w:r w:rsidRPr="00632224">
        <w:rPr>
          <w:rFonts w:ascii="Arial TUR" w:hAnsi="Arial TUR" w:cs="FrankRuehl" w:hint="cs"/>
          <w:spacing w:val="10"/>
          <w:sz w:val="22"/>
          <w:szCs w:val="28"/>
          <w:rtl/>
        </w:rPr>
        <w:t>" (</w:t>
      </w:r>
      <w:r w:rsidRPr="00632224">
        <w:rPr>
          <w:rFonts w:ascii="Arial TUR" w:hAnsi="Arial TUR" w:cs="FrankRuehl" w:hint="eastAsia"/>
          <w:spacing w:val="10"/>
          <w:sz w:val="22"/>
          <w:szCs w:val="28"/>
          <w:rtl/>
        </w:rPr>
        <w:t>יואב</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דותן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למדינת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ישראל</w:t>
      </w:r>
      <w:r w:rsidRPr="00632224">
        <w:rPr>
          <w:rFonts w:ascii="Arial TUR" w:hAnsi="Arial TUR" w:cs="FrankRuehl"/>
          <w:spacing w:val="10"/>
          <w:sz w:val="22"/>
          <w:szCs w:val="28"/>
          <w:rtl/>
        </w:rPr>
        <w:t xml:space="preserve">? - </w:t>
      </w:r>
      <w:r w:rsidRPr="00632224">
        <w:rPr>
          <w:rFonts w:ascii="Arial TUR" w:hAnsi="Arial TUR" w:cs="FrankRuehl" w:hint="eastAsia"/>
          <w:spacing w:val="10"/>
          <w:sz w:val="22"/>
          <w:szCs w:val="28"/>
          <w:rtl/>
        </w:rPr>
        <w:t>הדיאלוג</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הקונסטיטוציוני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לאחר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המהפכה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החוקתית</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w:t>
      </w:r>
      <w:r w:rsidRPr="00632224">
        <w:rPr>
          <w:rFonts w:ascii="Century" w:hAnsi="Century" w:cs="Miriam" w:hint="eastAsia"/>
          <w:b/>
          <w:sz w:val="22"/>
          <w:rtl/>
        </w:rPr>
        <w:t>משפטים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כח</w:t>
      </w:r>
      <w:r w:rsidRPr="00632224">
        <w:rPr>
          <w:rFonts w:ascii="Arial TUR" w:hAnsi="Arial TUR" w:cs="FrankRuehl"/>
          <w:spacing w:val="10"/>
          <w:sz w:val="22"/>
          <w:szCs w:val="28"/>
          <w:rtl/>
        </w:rPr>
        <w:t xml:space="preserve"> 149, 177 (</w:t>
      </w:r>
      <w:r w:rsidRPr="00632224">
        <w:rPr>
          <w:rFonts w:ascii="Arial TUR" w:hAnsi="Arial TUR" w:cs="FrankRuehl" w:hint="cs"/>
          <w:spacing w:val="10"/>
          <w:sz w:val="22"/>
          <w:szCs w:val="28"/>
          <w:rtl/>
        </w:rPr>
        <w:t>1997</w:t>
      </w:r>
      <w:r w:rsidRPr="00632224">
        <w:rPr>
          <w:rFonts w:ascii="Arial TUR" w:hAnsi="Arial TUR" w:cs="FrankRuehl"/>
          <w:spacing w:val="10"/>
          <w:sz w:val="22"/>
          <w:szCs w:val="28"/>
          <w:rtl/>
        </w:rPr>
        <w:t>)</w:t>
      </w:r>
      <w:r w:rsidRPr="00632224">
        <w:rPr>
          <w:rFonts w:ascii="Century" w:hAnsi="Century" w:cs="FrankRuehl" w:hint="cs"/>
          <w:spacing w:val="10"/>
          <w:sz w:val="22"/>
          <w:szCs w:val="28"/>
          <w:rtl/>
        </w:rPr>
        <w:t xml:space="preserve"> (להלן: </w:t>
      </w:r>
      <w:r w:rsidRPr="00632224">
        <w:rPr>
          <w:rFonts w:ascii="Century" w:hAnsi="Century" w:cs="Miriam" w:hint="cs"/>
          <w:b/>
          <w:sz w:val="22"/>
          <w:rtl/>
        </w:rPr>
        <w:t>דותן הדיאלוג הקונסטיטוציוני</w:t>
      </w:r>
      <w:r w:rsidRPr="00632224">
        <w:rPr>
          <w:rFonts w:ascii="Century" w:hAnsi="Century" w:cs="FrankRuehl" w:hint="cs"/>
          <w:spacing w:val="10"/>
          <w:sz w:val="22"/>
          <w:szCs w:val="28"/>
          <w:rtl/>
        </w:rPr>
        <w:t>)).</w:t>
      </w:r>
      <w:r w:rsidRPr="00632224">
        <w:rPr>
          <w:rFonts w:ascii="Arial TUR" w:hAnsi="Arial TUR" w:cs="FrankRuehl" w:hint="cs"/>
          <w:spacing w:val="10"/>
          <w:sz w:val="22"/>
          <w:szCs w:val="28"/>
          <w:rtl/>
        </w:rPr>
        <w:t xml:space="preserve"> ואכן, נפל דבר בישראל, וחוק יסוד: כבוד האדם וחירותו וחוק יסוד: חופש העיסוק הכניסו את ישראל לעידן החוקתי.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פסק הדין </w:t>
      </w:r>
      <w:r w:rsidRPr="00632224">
        <w:rPr>
          <w:rFonts w:ascii="Century" w:hAnsi="Century" w:cs="FrankRuehl" w:hint="cs"/>
          <w:spacing w:val="10"/>
          <w:sz w:val="22"/>
          <w:szCs w:val="28"/>
          <w:rtl/>
        </w:rPr>
        <w:t>ב</w:t>
      </w:r>
      <w:r w:rsidRPr="00632224">
        <w:rPr>
          <w:rFonts w:ascii="Century" w:hAnsi="Century" w:cs="FrankRuehl"/>
          <w:spacing w:val="10"/>
          <w:sz w:val="22"/>
          <w:szCs w:val="28"/>
          <w:rtl/>
        </w:rPr>
        <w:t>ע"א 6821/93</w:t>
      </w:r>
      <w:r w:rsidRPr="00632224">
        <w:rPr>
          <w:rFonts w:ascii="Century" w:hAnsi="Century" w:cs="FrankRuehl" w:hint="cs"/>
          <w:spacing w:val="10"/>
          <w:sz w:val="22"/>
          <w:szCs w:val="28"/>
          <w:rtl/>
        </w:rPr>
        <w:t xml:space="preserve"> </w:t>
      </w:r>
      <w:r w:rsidRPr="00632224">
        <w:rPr>
          <w:rFonts w:ascii="Century" w:hAnsi="Century" w:cs="Miriam" w:hint="cs"/>
          <w:b/>
          <w:sz w:val="22"/>
          <w:rtl/>
        </w:rPr>
        <w:t>בנק המזרחי המאוחד בע"מ נ' מגדל כפר שיתופי</w:t>
      </w:r>
      <w:r w:rsidRPr="00632224">
        <w:rPr>
          <w:rFonts w:ascii="Century" w:hAnsi="Century" w:cs="FrankRuehl" w:hint="cs"/>
          <w:spacing w:val="10"/>
          <w:sz w:val="22"/>
          <w:szCs w:val="28"/>
          <w:rtl/>
        </w:rPr>
        <w:t>, פ"ד מט</w:t>
      </w:r>
      <w:r w:rsidRPr="00632224">
        <w:rPr>
          <w:rFonts w:ascii="Arial TUR" w:hAnsi="Arial TUR" w:cs="FrankRuehl" w:hint="cs"/>
          <w:spacing w:val="10"/>
          <w:sz w:val="22"/>
          <w:szCs w:val="28"/>
          <w:rtl/>
        </w:rPr>
        <w:t xml:space="preserve">(4) 221 (1995) (להלן: עניין </w:t>
      </w:r>
      <w:r w:rsidRPr="00632224">
        <w:rPr>
          <w:rFonts w:ascii="Century" w:hAnsi="Century" w:cs="Miriam" w:hint="cs"/>
          <w:b/>
          <w:sz w:val="22"/>
          <w:rtl/>
        </w:rPr>
        <w:t>בנק המזרחי</w:t>
      </w:r>
      <w:r w:rsidRPr="00632224">
        <w:rPr>
          <w:rFonts w:ascii="Arial TUR" w:hAnsi="Arial TUR" w:cs="FrankRuehl" w:hint="cs"/>
          <w:spacing w:val="10"/>
          <w:sz w:val="22"/>
          <w:szCs w:val="28"/>
          <w:rtl/>
        </w:rPr>
        <w:t xml:space="preserve">) הניב תילי תילים של מאמרים (אהרן ברק </w:t>
      </w:r>
      <w:r w:rsidRPr="00632224">
        <w:rPr>
          <w:rFonts w:ascii="Century" w:hAnsi="Century" w:cs="Miriam" w:hint="cs"/>
          <w:b/>
          <w:sz w:val="22"/>
          <w:rtl/>
        </w:rPr>
        <w:t xml:space="preserve">חוק יסוד: כבוד האדם וחירותו וחוק יסוד: חופש העיסוק </w:t>
      </w:r>
      <w:r w:rsidRPr="00632224">
        <w:rPr>
          <w:rFonts w:ascii="Arial TUR" w:hAnsi="Arial TUR" w:cs="FrankRuehl" w:hint="cs"/>
          <w:spacing w:val="10"/>
          <w:sz w:val="22"/>
          <w:szCs w:val="28"/>
          <w:rtl/>
        </w:rPr>
        <w:t xml:space="preserve">כרך ד: הביקורת השיפוטית 1707-1706 ה"ש 134 והאסמכתאות הרבות שם (פירוש לחוקי-היסוד בעריכת יצחק זמיר, 2023) (להלן: </w:t>
      </w:r>
      <w:r w:rsidRPr="00632224">
        <w:rPr>
          <w:rFonts w:ascii="Century" w:hAnsi="Century" w:cs="Miriam" w:hint="cs"/>
          <w:b/>
          <w:sz w:val="22"/>
          <w:rtl/>
        </w:rPr>
        <w:t>ברק חוקי היסוד</w:t>
      </w:r>
      <w:r w:rsidRPr="00632224">
        <w:rPr>
          <w:rFonts w:ascii="Arial TUR" w:hAnsi="Arial TUR" w:cs="FrankRuehl" w:hint="cs"/>
          <w:spacing w:val="10"/>
          <w:sz w:val="22"/>
          <w:szCs w:val="28"/>
          <w:rtl/>
        </w:rPr>
        <w:t xml:space="preserve">)). במאמרים אלה אנו מוצאים תשובה מפורטת לטענה חסרת הבסיס כי בית המשפט נטל על דעת עצמו את הסמכות לפסול חקיקה ראשית. לכן, לא אאריך בדברים ואציג את התשובה לטענה באופן טלגרפי.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11.</w:t>
      </w:r>
      <w:r w:rsidRPr="00632224">
        <w:rPr>
          <w:rFonts w:ascii="Arial TUR" w:hAnsi="Arial TUR" w:cs="FrankRuehl" w:hint="cs"/>
          <w:spacing w:val="10"/>
          <w:sz w:val="22"/>
          <w:szCs w:val="28"/>
          <w:rtl/>
        </w:rPr>
        <w:tab/>
        <w:t xml:space="preserve">ואלו העוגנים לסמכותו של בית המשפט לבקר חקיקה ראשית: </w:t>
      </w: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עצם קביעתה של פסקת ההגבלה, המגדירה את התנאים שבהתקיימם ניתן להגביל את הזכויות המוגנות בחוקי היסוד, מעידה על סמכותו של בית המשפט לפסול חקיקה ראשית. שהרי, לא ייתכן כי הכנסת עצמה תחליט אם חוק מעשה ידיה עומד בארבעת התנאים בפסקת ההגבלה: "</w:t>
      </w:r>
      <w:r w:rsidRPr="00632224">
        <w:rPr>
          <w:rFonts w:ascii="Arial TUR" w:hAnsi="Arial TUR" w:cs="FrankRuehl"/>
          <w:spacing w:val="10"/>
          <w:sz w:val="22"/>
          <w:szCs w:val="28"/>
          <w:rtl/>
        </w:rPr>
        <w:t>יצירת חוקה על־ידי שימוש בסמכות המכוננת כרוכה בהענקת הסמכות לפרשנות חוקתית לרשות השופטת</w:t>
      </w:r>
      <w:r w:rsidRPr="00632224">
        <w:rPr>
          <w:rFonts w:ascii="Arial TUR" w:hAnsi="Arial TUR" w:cs="FrankRuehl" w:hint="cs"/>
          <w:spacing w:val="10"/>
          <w:sz w:val="22"/>
          <w:szCs w:val="28"/>
          <w:rtl/>
        </w:rPr>
        <w:t xml:space="preserve">" (עניין </w:t>
      </w:r>
      <w:r w:rsidRPr="00632224">
        <w:rPr>
          <w:rFonts w:ascii="Century" w:hAnsi="Century" w:cs="Miriam" w:hint="cs"/>
          <w:b/>
          <w:sz w:val="22"/>
          <w:rtl/>
        </w:rPr>
        <w:t>בנק המזרחי</w:t>
      </w:r>
      <w:r w:rsidRPr="00632224">
        <w:rPr>
          <w:rFonts w:ascii="Arial TUR" w:hAnsi="Arial TUR" w:cs="FrankRuehl" w:hint="cs"/>
          <w:spacing w:val="10"/>
          <w:sz w:val="22"/>
          <w:szCs w:val="28"/>
          <w:rtl/>
        </w:rPr>
        <w:t xml:space="preserve">, בעמ' 422).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lastRenderedPageBreak/>
        <w:tab/>
      </w:r>
      <w:r w:rsidRPr="00632224">
        <w:rPr>
          <w:rFonts w:ascii="Arial TUR" w:hAnsi="Arial TUR" w:cs="FrankRuehl" w:hint="cs"/>
          <w:spacing w:val="10"/>
          <w:sz w:val="22"/>
          <w:szCs w:val="28"/>
          <w:rtl/>
        </w:rPr>
        <w:t xml:space="preserve">(-) סעיף שמירת הדינים בשני חוקי היסוד, כשלעצמו, מעיד על סמכותו של בית המשפט לפסול חקיקה ראשית. ברי כי גם סעיף זה מכוון לבתי המשפט, שהרי הכנסת יכולה בכל עת לשנות ולבטל חוקים ישנים. מכלל הלאו האמור בסעיף זה נשמע הן לסמכותו של בית המשפט, קרי, כי יש בחוק היסוד כדי לפגוע בתוקפו של דין שיחוקק לאחר תחולתו.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 הפרוטוקולים של הדיונים בוועדת החוקה בנוגע לחקיקת חוקי היסוד, מלמדים כי חברי הכנסת היו ערים לכך שחוקי היסוד נותנים בידי בית המשפט את הסמכות לפסילת חוק (וראו </w:t>
      </w:r>
      <w:r w:rsidRPr="00632224">
        <w:rPr>
          <w:rFonts w:ascii="Century" w:hAnsi="Century" w:cs="FrankRuehl"/>
          <w:spacing w:val="10"/>
          <w:sz w:val="22"/>
          <w:szCs w:val="28"/>
          <w:rtl/>
        </w:rPr>
        <w:t xml:space="preserve">אמנון רובינשטיין "סיפורם של חוקי-היסוד" </w:t>
      </w:r>
      <w:r w:rsidRPr="00632224">
        <w:rPr>
          <w:rFonts w:ascii="Century" w:hAnsi="Century" w:cs="Miriam"/>
          <w:b/>
          <w:sz w:val="22"/>
          <w:rtl/>
        </w:rPr>
        <w:t>משפט ועסקים</w:t>
      </w:r>
      <w:r w:rsidRPr="00632224">
        <w:rPr>
          <w:rFonts w:ascii="Century" w:hAnsi="Century" w:cs="FrankRuehl"/>
          <w:spacing w:val="10"/>
          <w:sz w:val="22"/>
          <w:szCs w:val="28"/>
          <w:rtl/>
        </w:rPr>
        <w:t xml:space="preserve"> יד </w:t>
      </w:r>
      <w:r w:rsidRPr="00632224">
        <w:rPr>
          <w:rFonts w:ascii="Century" w:hAnsi="Century" w:cs="FrankRuehl" w:hint="cs"/>
          <w:spacing w:val="10"/>
          <w:sz w:val="22"/>
          <w:szCs w:val="28"/>
          <w:rtl/>
        </w:rPr>
        <w:t xml:space="preserve">79 </w:t>
      </w:r>
      <w:r w:rsidRPr="00632224">
        <w:rPr>
          <w:rFonts w:ascii="Century" w:hAnsi="Century" w:cs="FrankRuehl"/>
          <w:spacing w:val="10"/>
          <w:sz w:val="22"/>
          <w:szCs w:val="28"/>
          <w:rtl/>
        </w:rPr>
        <w:t>(</w:t>
      </w:r>
      <w:r w:rsidRPr="00632224">
        <w:rPr>
          <w:rFonts w:ascii="Century" w:hAnsi="Century" w:cs="FrankRuehl" w:hint="cs"/>
          <w:spacing w:val="10"/>
          <w:sz w:val="22"/>
          <w:szCs w:val="28"/>
          <w:rtl/>
        </w:rPr>
        <w:t>2012</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(להלן: </w:t>
      </w:r>
      <w:r w:rsidRPr="00632224">
        <w:rPr>
          <w:rFonts w:ascii="Century" w:hAnsi="Century" w:cs="Miriam" w:hint="eastAsia"/>
          <w:b/>
          <w:sz w:val="22"/>
          <w:rtl/>
        </w:rPr>
        <w:t>רובינשטיין</w:t>
      </w:r>
      <w:r w:rsidRPr="00632224">
        <w:rPr>
          <w:rFonts w:ascii="Century" w:hAnsi="Century" w:cs="Miriam"/>
          <w:b/>
          <w:sz w:val="22"/>
          <w:rtl/>
        </w:rPr>
        <w:t xml:space="preserve"> </w:t>
      </w:r>
      <w:r w:rsidRPr="00632224">
        <w:rPr>
          <w:rFonts w:ascii="Century" w:hAnsi="Century" w:cs="Miriam" w:hint="eastAsia"/>
          <w:b/>
          <w:sz w:val="22"/>
          <w:rtl/>
        </w:rPr>
        <w:t>חוקי</w:t>
      </w:r>
      <w:r w:rsidRPr="00632224">
        <w:rPr>
          <w:rFonts w:ascii="Century" w:hAnsi="Century" w:cs="Miriam"/>
          <w:b/>
          <w:sz w:val="22"/>
          <w:rtl/>
        </w:rPr>
        <w:t xml:space="preserve"> </w:t>
      </w:r>
      <w:r w:rsidRPr="00632224">
        <w:rPr>
          <w:rFonts w:ascii="Century" w:hAnsi="Century" w:cs="Miriam" w:hint="eastAsia"/>
          <w:b/>
          <w:sz w:val="22"/>
          <w:rtl/>
        </w:rPr>
        <w:t>היסוד</w:t>
      </w:r>
      <w:r w:rsidRPr="00632224">
        <w:rPr>
          <w:rFonts w:ascii="Century" w:hAnsi="Century" w:cs="FrankRuehl" w:hint="cs"/>
          <w:spacing w:val="10"/>
          <w:sz w:val="22"/>
          <w:szCs w:val="28"/>
          <w:rtl/>
        </w:rPr>
        <w:t>)). המחבר מתאר את הליך החקיקה, ומצטט מתוך פרוטוקולים שבהם נאמר במפורש כי ניתן יהיה לתקוף חקיקה ראשית, וכלשונו: "כפי שניתן לראות לאורכו של מאמר זה, נושא הביקורת השיפוטית היה ידוע לחברי-הכנסת מיומו הראשון של הליך החקיקה" (</w:t>
      </w:r>
      <w:r w:rsidRPr="00632224">
        <w:rPr>
          <w:rFonts w:ascii="Century" w:hAnsi="Century" w:cs="Miriam" w:hint="eastAsia"/>
          <w:b/>
          <w:sz w:val="22"/>
          <w:rtl/>
        </w:rPr>
        <w:t>שם</w:t>
      </w:r>
      <w:r w:rsidRPr="00632224">
        <w:rPr>
          <w:rFonts w:ascii="Century" w:hAnsi="Century" w:cs="FrankRuehl" w:hint="cs"/>
          <w:spacing w:val="10"/>
          <w:sz w:val="22"/>
          <w:szCs w:val="28"/>
          <w:rtl/>
        </w:rPr>
        <w:t>, בעמ' 108).</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 חבר הכנסת אוריאל לין, שעמד בראש ועדת החוקה שקידמה כאמור את חקיקתם של שני חוקי היסוד, חוזר ומעיד על כך שהמהפכה החוקתית הייתה מעשה מודע ומכוון של הכנסת (אוריאל לין ושלומי לויה </w:t>
      </w:r>
      <w:r w:rsidRPr="00632224">
        <w:rPr>
          <w:rFonts w:ascii="Century" w:hAnsi="Century" w:cs="Miriam" w:hint="cs"/>
          <w:b/>
          <w:sz w:val="22"/>
          <w:rtl/>
        </w:rPr>
        <w:t xml:space="preserve">כיצד שונתה השיטה הפוליטית בישראל 2022-1990 </w:t>
      </w:r>
      <w:r w:rsidRPr="00632224">
        <w:rPr>
          <w:rFonts w:ascii="Arial TUR" w:hAnsi="Arial TUR" w:cs="FrankRuehl" w:hint="cs"/>
          <w:spacing w:val="10"/>
          <w:sz w:val="22"/>
          <w:szCs w:val="28"/>
          <w:rtl/>
        </w:rPr>
        <w:t xml:space="preserve">(מהדורה שניה, 2022) (להלן: </w:t>
      </w:r>
      <w:r w:rsidRPr="00632224">
        <w:rPr>
          <w:rFonts w:ascii="Century" w:hAnsi="Century" w:cs="Miriam" w:hint="cs"/>
          <w:b/>
          <w:sz w:val="22"/>
          <w:rtl/>
        </w:rPr>
        <w:t>לין-לויה</w:t>
      </w:r>
      <w:r w:rsidRPr="00632224">
        <w:rPr>
          <w:rFonts w:ascii="Arial TUR" w:hAnsi="Arial TUR" w:cs="FrankRuehl" w:hint="cs"/>
          <w:spacing w:val="10"/>
          <w:sz w:val="22"/>
          <w:szCs w:val="28"/>
          <w:rtl/>
        </w:rPr>
        <w:t xml:space="preserve">); כן ראו </w:t>
      </w:r>
      <w:r w:rsidRPr="00632224">
        <w:rPr>
          <w:rFonts w:ascii="Century" w:hAnsi="Century" w:cs="Miriam" w:hint="cs"/>
          <w:b/>
          <w:sz w:val="22"/>
          <w:rtl/>
        </w:rPr>
        <w:t>ברק חוקי היסוד</w:t>
      </w:r>
      <w:r w:rsidRPr="00632224">
        <w:rPr>
          <w:rFonts w:ascii="Century" w:hAnsi="Century" w:cs="FrankRuehl"/>
          <w:spacing w:val="10"/>
          <w:sz w:val="22"/>
          <w:szCs w:val="28"/>
          <w:rtl/>
        </w:rPr>
        <w:t>,</w:t>
      </w:r>
      <w:r w:rsidRPr="00632224">
        <w:rPr>
          <w:rFonts w:ascii="Century" w:hAnsi="Century" w:cs="Miriam" w:hint="cs"/>
          <w:b/>
          <w:sz w:val="22"/>
          <w:rtl/>
        </w:rPr>
        <w:t xml:space="preserve"> </w:t>
      </w:r>
      <w:r w:rsidRPr="00632224">
        <w:rPr>
          <w:rFonts w:ascii="Arial TUR" w:hAnsi="Arial TUR" w:cs="FrankRuehl" w:hint="cs"/>
          <w:spacing w:val="10"/>
          <w:sz w:val="22"/>
          <w:szCs w:val="28"/>
          <w:rtl/>
        </w:rPr>
        <w:t>בעמ' 1713-1712</w:t>
      </w:r>
      <w:r w:rsidRPr="00632224">
        <w:rPr>
          <w:rFonts w:ascii="Century" w:hAnsi="Century" w:cs="FrankRuehl"/>
          <w:spacing w:val="10"/>
          <w:sz w:val="22"/>
          <w:szCs w:val="28"/>
          <w:rtl/>
        </w:rPr>
        <w:t>).</w:t>
      </w:r>
      <w:r w:rsidRPr="00632224">
        <w:rPr>
          <w:rFonts w:ascii="Century" w:hAnsi="Century" w:cs="Miriam" w:hint="cs"/>
          <w:b/>
          <w:sz w:val="22"/>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 ואם נותר ספק ספיקא כי חברי הכנסת דאז ידעו והבינו היטב במה מדובר, נזכיר כי בשנת 1994 תוקנו שני חוקי היסוד ברוב גדול. באותה עת, שמה של המהפכה החוקתית כבר נישא על שפתי רבים. עמדתי על כך בדברים שכתבתי בבג"ץ 5555/18 </w:t>
      </w:r>
      <w:r w:rsidRPr="00632224">
        <w:rPr>
          <w:rFonts w:ascii="Century" w:hAnsi="Century" w:cs="Miriam" w:hint="cs"/>
          <w:b/>
          <w:sz w:val="22"/>
          <w:rtl/>
        </w:rPr>
        <w:t>חסון נ' כנסת ישראל</w:t>
      </w:r>
      <w:r w:rsidRPr="00632224">
        <w:rPr>
          <w:rFonts w:ascii="Arial TUR" w:hAnsi="Arial TUR" w:cs="FrankRuehl" w:hint="cs"/>
          <w:spacing w:val="10"/>
          <w:sz w:val="22"/>
          <w:szCs w:val="28"/>
          <w:rtl/>
        </w:rPr>
        <w:t xml:space="preserve">, פסקה 6 (8.7.2021) (להלן: </w:t>
      </w:r>
      <w:r w:rsidRPr="00632224">
        <w:rPr>
          <w:rFonts w:ascii="Arial TUR" w:hAnsi="Arial TUR" w:cs="FrankRuehl" w:hint="eastAsia"/>
          <w:spacing w:val="10"/>
          <w:sz w:val="22"/>
          <w:szCs w:val="28"/>
          <w:rtl/>
        </w:rPr>
        <w:t>עניין</w:t>
      </w:r>
      <w:r w:rsidRPr="00632224">
        <w:rPr>
          <w:rFonts w:ascii="Arial TUR" w:hAnsi="Arial TUR" w:cs="FrankRuehl"/>
          <w:spacing w:val="10"/>
          <w:sz w:val="22"/>
          <w:szCs w:val="28"/>
          <w:rtl/>
        </w:rPr>
        <w:t xml:space="preserve"> </w:t>
      </w:r>
      <w:r w:rsidRPr="00632224">
        <w:rPr>
          <w:rFonts w:ascii="Century" w:hAnsi="Century" w:cs="Miriam" w:hint="cs"/>
          <w:b/>
          <w:sz w:val="22"/>
          <w:rtl/>
        </w:rPr>
        <w:t>חוק הלאום</w:t>
      </w:r>
      <w:r w:rsidRPr="00632224">
        <w:rPr>
          <w:rFonts w:ascii="Century" w:hAnsi="Century" w:cs="FrankRuehl"/>
          <w:spacing w:val="10"/>
          <w:sz w:val="22"/>
          <w:szCs w:val="28"/>
          <w:rtl/>
        </w:rPr>
        <w:t>):</w:t>
      </w:r>
      <w:r w:rsidRPr="00632224">
        <w:rPr>
          <w:rFonts w:ascii="Arial TUR" w:hAnsi="Arial TUR" w:cs="FrankRuehl" w:hint="cs"/>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התיקון משנת 1994 נעשה לאחר שהרעיון של מהפכה חוקתית כבר נפוץ ברבים בעקבות חקיקת חוק יסוד: כבוד האדם וחירותו וחוק יסוד: חופש העיסוק. תיקון שני חוקי יסוד אלה התקבל בשנת 1994 ברוב גדול של חברי הכנסת (</w:t>
      </w:r>
      <w:r w:rsidRPr="00632224">
        <w:rPr>
          <w:rFonts w:ascii="Century" w:hAnsi="Century" w:cs="FrankRuehl" w:hint="eastAsia"/>
          <w:spacing w:val="10"/>
          <w:sz w:val="22"/>
          <w:szCs w:val="28"/>
          <w:rtl/>
        </w:rPr>
        <w:t>עמיחי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כהן</w:t>
      </w:r>
      <w:r w:rsidRPr="00632224">
        <w:rPr>
          <w:rFonts w:ascii="Century" w:hAnsi="Century" w:cs="FrankRuehl"/>
          <w:spacing w:val="10"/>
          <w:sz w:val="22"/>
          <w:szCs w:val="28"/>
          <w:rtl/>
        </w:rPr>
        <w:t xml:space="preserve"> </w:t>
      </w:r>
      <w:r w:rsidRPr="00632224">
        <w:rPr>
          <w:rFonts w:ascii="Century" w:hAnsi="Century" w:cs="Miriam" w:hint="eastAsia"/>
          <w:b/>
          <w:sz w:val="22"/>
          <w:rtl/>
        </w:rPr>
        <w:t>מלחמות</w:t>
      </w:r>
      <w:r w:rsidRPr="00632224">
        <w:rPr>
          <w:rFonts w:ascii="Century" w:hAnsi="Century" w:cs="Miriam"/>
          <w:b/>
          <w:sz w:val="22"/>
          <w:rtl/>
        </w:rPr>
        <w:t xml:space="preserve"> </w:t>
      </w:r>
      <w:r w:rsidRPr="00632224">
        <w:rPr>
          <w:rFonts w:ascii="Century" w:hAnsi="Century" w:cs="Miriam" w:hint="eastAsia"/>
          <w:b/>
          <w:sz w:val="22"/>
          <w:rtl/>
        </w:rPr>
        <w:t>הבג</w:t>
      </w:r>
      <w:r w:rsidRPr="00632224">
        <w:rPr>
          <w:rFonts w:ascii="Century" w:hAnsi="Century" w:cs="Miriam"/>
          <w:b/>
          <w:sz w:val="22"/>
          <w:rtl/>
        </w:rPr>
        <w:t>"</w:t>
      </w:r>
      <w:r w:rsidRPr="00632224">
        <w:rPr>
          <w:rFonts w:ascii="Century" w:hAnsi="Century" w:cs="Miriam" w:hint="eastAsia"/>
          <w:b/>
          <w:sz w:val="22"/>
          <w:rtl/>
        </w:rPr>
        <w:t>ץ</w:t>
      </w:r>
      <w:r w:rsidRPr="00632224">
        <w:rPr>
          <w:rFonts w:ascii="Century" w:hAnsi="Century" w:cs="Miriam"/>
          <w:b/>
          <w:sz w:val="22"/>
          <w:rtl/>
        </w:rPr>
        <w:t xml:space="preserve"> </w:t>
      </w:r>
      <w:r w:rsidRPr="00632224">
        <w:rPr>
          <w:rFonts w:ascii="Century" w:hAnsi="Century" w:cs="Miriam" w:hint="eastAsia"/>
          <w:b/>
          <w:sz w:val="22"/>
          <w:rtl/>
        </w:rPr>
        <w:t>המהפכה</w:t>
      </w:r>
      <w:r w:rsidRPr="00632224">
        <w:rPr>
          <w:rFonts w:ascii="Century" w:hAnsi="Century" w:cs="Miriam"/>
          <w:b/>
          <w:sz w:val="22"/>
          <w:rtl/>
        </w:rPr>
        <w:t xml:space="preserve"> </w:t>
      </w:r>
      <w:r w:rsidRPr="00632224">
        <w:rPr>
          <w:rFonts w:ascii="Century" w:hAnsi="Century" w:cs="Miriam" w:hint="eastAsia"/>
          <w:b/>
          <w:sz w:val="22"/>
          <w:rtl/>
        </w:rPr>
        <w:t>החוקתית</w:t>
      </w:r>
      <w:r w:rsidRPr="00632224">
        <w:rPr>
          <w:rFonts w:ascii="Century" w:hAnsi="Century" w:cs="Miriam"/>
          <w:b/>
          <w:sz w:val="22"/>
          <w:rtl/>
        </w:rPr>
        <w:t xml:space="preserve"> </w:t>
      </w:r>
      <w:r w:rsidRPr="00632224">
        <w:rPr>
          <w:rFonts w:ascii="Century" w:hAnsi="Century" w:cs="Miriam" w:hint="eastAsia"/>
          <w:b/>
          <w:sz w:val="22"/>
          <w:rtl/>
        </w:rPr>
        <w:t>ומהפכת</w:t>
      </w:r>
      <w:r w:rsidRPr="00632224">
        <w:rPr>
          <w:rFonts w:ascii="Century" w:hAnsi="Century" w:cs="Miriam"/>
          <w:b/>
          <w:sz w:val="22"/>
          <w:rtl/>
        </w:rPr>
        <w:t xml:space="preserve"> </w:t>
      </w:r>
      <w:r w:rsidRPr="00632224">
        <w:rPr>
          <w:rFonts w:ascii="Century" w:hAnsi="Century" w:cs="Miriam" w:hint="eastAsia"/>
          <w:b/>
          <w:sz w:val="22"/>
          <w:rtl/>
        </w:rPr>
        <w:t>הנגד</w:t>
      </w:r>
      <w:r w:rsidRPr="00632224">
        <w:rPr>
          <w:rFonts w:ascii="Century" w:hAnsi="Century" w:cs="FrankRuehl" w:hint="cs"/>
          <w:spacing w:val="10"/>
          <w:sz w:val="22"/>
          <w:szCs w:val="28"/>
          <w:rtl/>
        </w:rPr>
        <w:t xml:space="preserve"> </w:t>
      </w:r>
      <w:r w:rsidRPr="00632224">
        <w:rPr>
          <w:rFonts w:ascii="Century" w:hAnsi="Century" w:cs="FrankRuehl" w:hint="eastAsia"/>
          <w:spacing w:val="10"/>
          <w:sz w:val="22"/>
          <w:szCs w:val="28"/>
          <w:rtl/>
        </w:rPr>
        <w:t>עמ</w:t>
      </w:r>
      <w:r w:rsidRPr="00632224">
        <w:rPr>
          <w:rFonts w:ascii="Century" w:hAnsi="Century" w:cs="FrankRuehl"/>
          <w:spacing w:val="10"/>
          <w:sz w:val="22"/>
          <w:szCs w:val="28"/>
          <w:rtl/>
        </w:rPr>
        <w:t>'</w:t>
      </w:r>
      <w:r w:rsidRPr="00632224">
        <w:rPr>
          <w:rFonts w:ascii="Arial TUR" w:hAnsi="Arial TUR" w:cs="FrankRuehl"/>
          <w:spacing w:val="10"/>
          <w:sz w:val="22"/>
          <w:szCs w:val="28"/>
          <w:rtl/>
        </w:rPr>
        <w:t xml:space="preserve"> 103-102 (2020)) </w:t>
      </w:r>
      <w:r w:rsidRPr="00632224">
        <w:rPr>
          <w:rFonts w:ascii="Century" w:hAnsi="Century" w:cs="Miriam"/>
          <w:b/>
          <w:sz w:val="22"/>
          <w:rtl/>
        </w:rPr>
        <w:t>ויש בכך תשובה ניצחת לטוענים שחוקי היסוד התקבלו בשל חוסר תשומת לב של חלק מהמחוקקים</w:t>
      </w:r>
      <w:r w:rsidRPr="00632224">
        <w:rPr>
          <w:rFonts w:ascii="Arial TUR" w:hAnsi="Arial TUR" w:cs="FrankRuehl"/>
          <w:spacing w:val="10"/>
          <w:sz w:val="22"/>
          <w:szCs w:val="28"/>
          <w:rtl/>
        </w:rPr>
        <w:t xml:space="preserve">. הנה כי כן, לא רק שהרשות המכוננת אישררה בשנת 1994 את המהפכה החוקתית, היא אף חיזקה אותה בכך שהזרימה את עקרונות הכרזת העצמאות אל תוך חוקי היסוד בבחינת </w:t>
      </w:r>
      <w:r w:rsidRPr="00632224">
        <w:rPr>
          <w:rFonts w:ascii="Arial TUR" w:hAnsi="Arial TUR" w:cs="FrankRuehl" w:hint="cs"/>
          <w:spacing w:val="10"/>
          <w:sz w:val="22"/>
          <w:szCs w:val="28"/>
          <w:rtl/>
        </w:rPr>
        <w:t>'</w:t>
      </w:r>
      <w:r w:rsidRPr="00632224">
        <w:rPr>
          <w:rFonts w:ascii="Century" w:hAnsi="Century" w:cs="FrankRuehl" w:hint="eastAsia"/>
          <w:spacing w:val="10"/>
          <w:sz w:val="22"/>
          <w:szCs w:val="28"/>
          <w:shd w:val="clear" w:color="auto" w:fill="FFFFFF"/>
          <w:rtl/>
        </w:rPr>
        <w:t>וַיְחַזְּקֵהוּ</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בְמַסְמְרִים</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לֹא</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יִמּוֹט</w:t>
      </w:r>
      <w:r w:rsidRPr="00632224">
        <w:rPr>
          <w:rFonts w:ascii="Century" w:hAnsi="Century" w:cs="FrankRuehl" w:hint="cs"/>
          <w:spacing w:val="10"/>
          <w:sz w:val="22"/>
          <w:szCs w:val="28"/>
          <w:shd w:val="clear" w:color="auto" w:fill="FFFFFF"/>
          <w:rtl/>
        </w:rPr>
        <w:t>'</w:t>
      </w:r>
      <w:r w:rsidRPr="00632224">
        <w:rPr>
          <w:rFonts w:ascii="Century" w:hAnsi="Century" w:cs="FrankRuehl"/>
          <w:spacing w:val="10"/>
          <w:sz w:val="22"/>
          <w:szCs w:val="28"/>
          <w:shd w:val="clear" w:color="auto" w:fill="FFFFFF"/>
          <w:rtl/>
        </w:rPr>
        <w:t xml:space="preserve"> </w:t>
      </w:r>
      <w:r w:rsidRPr="00632224">
        <w:rPr>
          <w:rFonts w:ascii="Arial TUR" w:hAnsi="Arial TUR" w:cs="FrankRuehl"/>
          <w:spacing w:val="10"/>
          <w:sz w:val="22"/>
          <w:szCs w:val="28"/>
          <w:rtl/>
        </w:rPr>
        <w:t>(ישעיה מא ז)</w:t>
      </w:r>
      <w:r w:rsidRPr="00632224">
        <w:rPr>
          <w:rFonts w:ascii="Arial TUR" w:hAnsi="Arial TUR" w:cs="FrankRuehl" w:hint="cs"/>
          <w:spacing w:val="10"/>
          <w:sz w:val="22"/>
          <w:szCs w:val="28"/>
          <w:rtl/>
        </w:rPr>
        <w:t xml:space="preserve">"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r w:rsidRPr="00632224">
        <w:rPr>
          <w:rFonts w:ascii="Arial TUR" w:hAnsi="Arial TUR" w:cs="FrankRuehl"/>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lastRenderedPageBreak/>
        <w:tab/>
      </w:r>
      <w:r w:rsidRPr="00632224">
        <w:rPr>
          <w:rFonts w:ascii="Arial TUR" w:hAnsi="Arial TUR" w:cs="FrankRuehl" w:hint="eastAsia"/>
          <w:spacing w:val="10"/>
          <w:sz w:val="22"/>
          <w:szCs w:val="28"/>
          <w:rtl/>
        </w:rPr>
        <w:t>עד</w:t>
      </w:r>
      <w:r w:rsidRPr="00632224">
        <w:rPr>
          <w:rFonts w:ascii="Arial TUR" w:hAnsi="Arial TUR" w:cs="FrankRuehl"/>
          <w:spacing w:val="10"/>
          <w:sz w:val="22"/>
          <w:szCs w:val="28"/>
          <w:rtl/>
        </w:rPr>
        <w:t xml:space="preserve"> כאן לגבי </w:t>
      </w:r>
      <w:r w:rsidRPr="00632224">
        <w:rPr>
          <w:rFonts w:ascii="Arial TUR" w:hAnsi="Arial TUR" w:cs="FrankRuehl" w:hint="eastAsia"/>
          <w:spacing w:val="10"/>
          <w:sz w:val="22"/>
          <w:szCs w:val="28"/>
          <w:rtl/>
        </w:rPr>
        <w:t>הסמכות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לערוך</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ביקורת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שיפוטית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חקיקה</w:t>
      </w:r>
      <w:r w:rsidRPr="00632224">
        <w:rPr>
          <w:rFonts w:ascii="Arial TUR" w:hAnsi="Arial TUR" w:cs="FrankRuehl"/>
          <w:spacing w:val="10"/>
          <w:sz w:val="22"/>
          <w:szCs w:val="28"/>
          <w:rtl/>
        </w:rPr>
        <w:t xml:space="preserve"> "רגילה"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הכנסת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כעת</w:t>
      </w:r>
      <w:r w:rsidRPr="00632224">
        <w:rPr>
          <w:rFonts w:ascii="Arial TUR" w:hAnsi="Arial TUR" w:cs="FrankRuehl"/>
          <w:spacing w:val="10"/>
          <w:sz w:val="22"/>
          <w:szCs w:val="28"/>
          <w:rtl/>
        </w:rPr>
        <w:t xml:space="preserve"> נעמוד </w:t>
      </w:r>
      <w:r w:rsidRPr="00632224">
        <w:rPr>
          <w:rFonts w:ascii="Arial TUR" w:hAnsi="Arial TUR" w:cs="FrankRuehl" w:hint="cs"/>
          <w:spacing w:val="10"/>
          <w:sz w:val="22"/>
          <w:szCs w:val="28"/>
          <w:rtl/>
        </w:rPr>
        <w:t xml:space="preserve">על </w:t>
      </w:r>
      <w:r w:rsidRPr="00632224">
        <w:rPr>
          <w:rFonts w:ascii="Arial TUR" w:hAnsi="Arial TUR" w:cs="FrankRuehl" w:hint="eastAsia"/>
          <w:spacing w:val="10"/>
          <w:sz w:val="22"/>
          <w:szCs w:val="28"/>
          <w:rtl/>
        </w:rPr>
        <w:t>מקור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הסמכות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לערוך</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ביקורת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שיפוטית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יסוד</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מקור הסמכות לביקורת שיפוטית על חוקי יסוד</w:t>
      </w:r>
    </w:p>
    <w:p w:rsidR="00244560" w:rsidRPr="009B0AFF" w:rsidRDefault="00244560" w:rsidP="009B0AFF">
      <w:pPr>
        <w:tabs>
          <w:tab w:val="left" w:pos="800"/>
        </w:tabs>
        <w:spacing w:line="276" w:lineRule="auto"/>
        <w:jc w:val="both"/>
        <w:rPr>
          <w:rFonts w:ascii="Arial TUR" w:hAnsi="Arial TUR" w:cs="FrankRuehl"/>
          <w:spacing w:val="10"/>
          <w:sz w:val="22"/>
          <w:szCs w:val="28"/>
          <w:rtl/>
        </w:rPr>
      </w:pPr>
    </w:p>
    <w:p w:rsidR="00244560" w:rsidRPr="00632224" w:rsidRDefault="00244560" w:rsidP="00244560">
      <w:pPr>
        <w:spacing w:line="360" w:lineRule="auto"/>
        <w:jc w:val="both"/>
        <w:rPr>
          <w:rFonts w:ascii="Century" w:hAnsi="Century" w:cs="FrankRuehl"/>
          <w:spacing w:val="10"/>
          <w:szCs w:val="28"/>
          <w:rtl/>
        </w:rPr>
      </w:pPr>
      <w:r w:rsidRPr="00632224">
        <w:rPr>
          <w:rFonts w:ascii="Century" w:hAnsi="Century" w:cs="FrankRuehl" w:hint="cs"/>
          <w:spacing w:val="10"/>
          <w:szCs w:val="28"/>
          <w:rtl/>
        </w:rPr>
        <w:t>12.</w:t>
      </w:r>
      <w:r w:rsidRPr="00632224">
        <w:rPr>
          <w:rFonts w:ascii="Century" w:hAnsi="Century" w:cs="FrankRuehl"/>
          <w:spacing w:val="10"/>
          <w:szCs w:val="28"/>
          <w:rtl/>
        </w:rPr>
        <w:tab/>
      </w:r>
      <w:r w:rsidRPr="00632224">
        <w:rPr>
          <w:rFonts w:ascii="Century" w:hAnsi="Century" w:cs="FrankRuehl" w:hint="cs"/>
          <w:spacing w:val="10"/>
          <w:szCs w:val="28"/>
          <w:rtl/>
        </w:rPr>
        <w:t>השאלה אם לבית המשפט יש סמכות לקיים ביקורת שיפוטית על חוקי יסוד ומה מקורה, זכתה לדיון בפסיקה ובספרות המקצועית. לסוגיה זו אדרש כעת, ואפתח בהתייחסות לטענת הממשלה והכנסת בדבר העדר סמכות לקיים ביקורת שיפוטית על חוקי יסוד.</w:t>
      </w:r>
    </w:p>
    <w:p w:rsidR="00244560" w:rsidRPr="00632224" w:rsidRDefault="00244560" w:rsidP="00244560">
      <w:pPr>
        <w:spacing w:line="360" w:lineRule="auto"/>
        <w:rPr>
          <w:rFonts w:ascii="Century" w:hAnsi="Century" w:cs="FrankRuehl"/>
          <w:spacing w:val="10"/>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ab/>
        <w:t xml:space="preserve">הממשלה והכנסת טוענות כי דווקא לנוכח פסק הדין בעניין </w:t>
      </w:r>
      <w:r w:rsidRPr="00632224">
        <w:rPr>
          <w:rFonts w:ascii="Century" w:hAnsi="Century" w:cs="Miriam" w:hint="cs"/>
          <w:b/>
          <w:sz w:val="22"/>
          <w:rtl/>
        </w:rPr>
        <w:t>בנק המזרחי</w:t>
      </w:r>
      <w:r w:rsidRPr="00632224">
        <w:rPr>
          <w:rFonts w:ascii="Arial TUR" w:hAnsi="Arial TUR" w:cs="FrankRuehl" w:hint="cs"/>
          <w:spacing w:val="10"/>
          <w:sz w:val="22"/>
          <w:szCs w:val="28"/>
          <w:rtl/>
        </w:rPr>
        <w:t xml:space="preserve">, אין לבית המשפט סמכות לדון בתוקפו של חוק יסוד. לשיטה זו, מאחר שחוקי היסוד הם במעמד חוקתי על-חוקי, הם מהווים את הנורמה הבסיסית שמכוחה ניתן לבקר חקיקה ראשית, ואין מקור חוקי שהוא גבוה-מעל-גבוה שמכוחו ניתן לבקר את חוקי היסוד עצמם. טענה זו נזכרה בדבריה של הנשיאה חיות בעניין </w:t>
      </w:r>
      <w:r w:rsidRPr="00632224">
        <w:rPr>
          <w:rFonts w:ascii="Century" w:hAnsi="Century" w:cs="Miriam" w:hint="cs"/>
          <w:b/>
          <w:sz w:val="22"/>
          <w:rtl/>
        </w:rPr>
        <w:t>חוק הלאום</w:t>
      </w:r>
      <w:r w:rsidRPr="00632224">
        <w:rPr>
          <w:rFonts w:ascii="Century" w:hAnsi="Century" w:cs="FrankRuehl"/>
          <w:spacing w:val="10"/>
          <w:sz w:val="22"/>
          <w:szCs w:val="28"/>
          <w:rtl/>
        </w:rPr>
        <w:t>:</w:t>
      </w:r>
      <w:r w:rsidRPr="00632224">
        <w:rPr>
          <w:rFonts w:ascii="Century" w:hAnsi="Century" w:cs="Miriam" w:hint="cs"/>
          <w:b/>
          <w:sz w:val="22"/>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hint="eastAsia"/>
          <w:spacing w:val="10"/>
          <w:sz w:val="22"/>
          <w:szCs w:val="28"/>
          <w:rtl/>
        </w:rPr>
        <w:t>סמכותו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משפט</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זה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לקיים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ביקורת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שיפוטית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חקיקה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ראשית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נגזרת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מהעליונות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הנורמטיבית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היסוד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מכאן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הקושי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בקיום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ביקורת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שיפוטית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תוכנם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חוקי היסוד, </w:t>
      </w:r>
      <w:r w:rsidRPr="00632224">
        <w:rPr>
          <w:rFonts w:ascii="Arial TUR" w:hAnsi="Arial TUR" w:cs="FrankRuehl" w:hint="eastAsia"/>
          <w:spacing w:val="10"/>
          <w:sz w:val="22"/>
          <w:szCs w:val="28"/>
          <w:rtl/>
        </w:rPr>
        <w:t>הטמון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בכך</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שחוקי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יסוד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אלה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מצויים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בפסגת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המדרג</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הנורמטיבי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הפוזיטיבי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ומהם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שואב</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המשפט</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עצמו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סמכויותיו</w:t>
      </w:r>
      <w:r w:rsidRPr="00632224">
        <w:rPr>
          <w:rFonts w:ascii="Arial TUR" w:hAnsi="Arial TUR" w:cs="FrankRuehl" w:hint="cs"/>
          <w:spacing w:val="10"/>
          <w:sz w:val="22"/>
          <w:szCs w:val="28"/>
          <w:rtl/>
        </w:rPr>
        <w:t xml:space="preserve"> [...]" (</w:t>
      </w:r>
      <w:r w:rsidRPr="00632224">
        <w:rPr>
          <w:rFonts w:ascii="Century" w:hAnsi="Century" w:cs="Miriam" w:hint="eastAsia"/>
          <w:sz w:val="22"/>
          <w:rtl/>
        </w:rPr>
        <w:t>שם</w:t>
      </w:r>
      <w:r w:rsidRPr="00632224">
        <w:rPr>
          <w:rFonts w:ascii="Century" w:hAnsi="Century" w:cs="FrankRuehl"/>
          <w:spacing w:val="10"/>
          <w:sz w:val="22"/>
          <w:szCs w:val="28"/>
          <w:rtl/>
        </w:rPr>
        <w:t>,</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בפסקה 32).</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13.</w:t>
      </w:r>
      <w:r w:rsidRPr="00632224">
        <w:rPr>
          <w:rFonts w:ascii="Arial TUR" w:hAnsi="Arial TUR" w:cs="FrankRuehl" w:hint="cs"/>
          <w:spacing w:val="10"/>
          <w:sz w:val="22"/>
          <w:szCs w:val="28"/>
          <w:rtl/>
        </w:rPr>
        <w:tab/>
        <w:t xml:space="preserve">בפסק הדין בעניין </w:t>
      </w:r>
      <w:r w:rsidRPr="00632224">
        <w:rPr>
          <w:rFonts w:ascii="Century" w:hAnsi="Century" w:cs="Miriam" w:hint="cs"/>
          <w:b/>
          <w:sz w:val="22"/>
          <w:rtl/>
        </w:rPr>
        <w:t>בנק המזרחי</w:t>
      </w:r>
      <w:r w:rsidRPr="00632224">
        <w:rPr>
          <w:rFonts w:ascii="Arial TUR" w:hAnsi="Arial TUR" w:cs="FrankRuehl" w:hint="cs"/>
          <w:spacing w:val="10"/>
          <w:sz w:val="22"/>
          <w:szCs w:val="28"/>
          <w:rtl/>
        </w:rPr>
        <w:t xml:space="preserve"> נקבע כי כאשר הכנסת מחוקקת חוק יסוד היא עושה זאת מכוח סמכותה כרשות מכוננת (הנשיא </w:t>
      </w:r>
      <w:r w:rsidRPr="00632224">
        <w:rPr>
          <w:rFonts w:ascii="Century" w:hAnsi="Century" w:cs="Miriam" w:hint="cs"/>
          <w:b/>
          <w:sz w:val="22"/>
          <w:rtl/>
        </w:rPr>
        <w:t>שמגר</w:t>
      </w:r>
      <w:r w:rsidRPr="00632224">
        <w:rPr>
          <w:rFonts w:ascii="Arial TUR" w:hAnsi="Arial TUR" w:cs="FrankRuehl" w:hint="cs"/>
          <w:spacing w:val="10"/>
          <w:sz w:val="22"/>
          <w:szCs w:val="28"/>
          <w:rtl/>
        </w:rPr>
        <w:t xml:space="preserve"> בדעת </w:t>
      </w:r>
      <w:r>
        <w:rPr>
          <w:rFonts w:ascii="Arial TUR" w:hAnsi="Arial TUR" w:cs="FrankRuehl" w:hint="cs"/>
          <w:spacing w:val="10"/>
          <w:sz w:val="22"/>
          <w:szCs w:val="28"/>
          <w:rtl/>
        </w:rPr>
        <w:t>יחיד</w:t>
      </w:r>
      <w:r w:rsidRPr="00632224">
        <w:rPr>
          <w:rFonts w:ascii="Arial TUR" w:hAnsi="Arial TUR" w:cs="FrankRuehl" w:hint="cs"/>
          <w:spacing w:val="10"/>
          <w:sz w:val="22"/>
          <w:szCs w:val="28"/>
          <w:rtl/>
        </w:rPr>
        <w:t xml:space="preserve"> סבר כי הסמכות נגזרת מכוח הריבונות הבלתי מוגבלת של הכנסת); כי לחוק יסוד מעמד נורמטיבי חוקתי על-חוקי; כי לבית המשפט סמכות לבטל חוקים שאינם עומדים בתנאי "פסקת ההגבלה"; כי תיקון או שינוי של חוק יסוד ייעשה רק בחוק יסוד ולא ניתן לשנות חוק יסוד בחוק רגיל; כי בכוחה של הכנסת לשריין את הוראות חוקי היסוד ובכך ליצור נוקשות של החוקה, קרי, לכבול את עצמה באמצעות שריון פורמלי.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לדידי, לא ניתן להסיק מעניין </w:t>
      </w:r>
      <w:r w:rsidRPr="00632224">
        <w:rPr>
          <w:rFonts w:ascii="Century" w:hAnsi="Century" w:cs="Miriam" w:hint="cs"/>
          <w:b/>
          <w:sz w:val="22"/>
          <w:rtl/>
        </w:rPr>
        <w:t>בנק המזרחי</w:t>
      </w:r>
      <w:r w:rsidRPr="00632224">
        <w:rPr>
          <w:rFonts w:ascii="Century" w:hAnsi="Century" w:cs="FrankRuehl"/>
          <w:spacing w:val="10"/>
          <w:sz w:val="22"/>
          <w:szCs w:val="28"/>
          <w:rtl/>
        </w:rPr>
        <w:t>,</w:t>
      </w:r>
      <w:r w:rsidRPr="00632224">
        <w:rPr>
          <w:rFonts w:ascii="Century" w:hAnsi="Century" w:cs="Miriam" w:hint="cs"/>
          <w:b/>
          <w:sz w:val="22"/>
          <w:rtl/>
        </w:rPr>
        <w:t xml:space="preserve"> </w:t>
      </w:r>
      <w:r w:rsidRPr="00632224">
        <w:rPr>
          <w:rFonts w:ascii="Arial TUR" w:hAnsi="Arial TUR" w:cs="FrankRuehl" w:hint="cs"/>
          <w:spacing w:val="10"/>
          <w:sz w:val="22"/>
          <w:szCs w:val="28"/>
          <w:rtl/>
        </w:rPr>
        <w:t xml:space="preserve">שעניינו המרכזי הוא בתורת "שני הכובעים" וביחס שבין חוק יסוד לבין חקיקה ראשית, מסקנה לגבי העדר סמכותו של בית המשפט לבקר את חוק היסוד עצמו. בעניין </w:t>
      </w:r>
      <w:r w:rsidRPr="00632224">
        <w:rPr>
          <w:rFonts w:ascii="Century" w:hAnsi="Century" w:cs="Miriam" w:hint="cs"/>
          <w:b/>
          <w:sz w:val="22"/>
          <w:rtl/>
        </w:rPr>
        <w:t>בנק המזרחי</w:t>
      </w:r>
      <w:r w:rsidRPr="00632224">
        <w:rPr>
          <w:rFonts w:ascii="Arial TUR" w:hAnsi="Arial TUR" w:cs="FrankRuehl" w:hint="cs"/>
          <w:spacing w:val="10"/>
          <w:sz w:val="22"/>
          <w:szCs w:val="28"/>
          <w:rtl/>
        </w:rPr>
        <w:t xml:space="preserve"> בית המשפט הכיר ב"</w:t>
      </w:r>
      <w:r w:rsidRPr="00632224">
        <w:rPr>
          <w:rFonts w:ascii="Arial TUR" w:hAnsi="Arial TUR" w:cs="FrankRuehl"/>
          <w:spacing w:val="10"/>
          <w:sz w:val="22"/>
          <w:szCs w:val="28"/>
          <w:rtl/>
        </w:rPr>
        <w:t xml:space="preserve">סמכות המכוננת״ </w:t>
      </w:r>
      <w:r w:rsidRPr="00632224">
        <w:rPr>
          <w:rFonts w:ascii="Arial TUR" w:hAnsi="Arial TUR" w:cs="FrankRuehl" w:hint="cs"/>
          <w:spacing w:val="10"/>
          <w:sz w:val="22"/>
          <w:szCs w:val="28"/>
          <w:rtl/>
        </w:rPr>
        <w:t xml:space="preserve">של הכנסת ובכך העניק </w:t>
      </w:r>
      <w:r w:rsidRPr="00632224">
        <w:rPr>
          <w:rFonts w:ascii="Arial TUR" w:hAnsi="Arial TUR" w:cs="FrankRuehl"/>
          <w:spacing w:val="10"/>
          <w:sz w:val="22"/>
          <w:szCs w:val="28"/>
          <w:rtl/>
        </w:rPr>
        <w:t>ביסוס משטרי לחוקה</w:t>
      </w:r>
      <w:r w:rsidRPr="00632224">
        <w:rPr>
          <w:rFonts w:cs="FrankRuehl"/>
          <w:spacing w:val="10"/>
          <w:sz w:val="24"/>
          <w:szCs w:val="28"/>
          <w:rtl/>
        </w:rPr>
        <w:t>,</w:t>
      </w:r>
      <w:r w:rsidRPr="00632224">
        <w:rPr>
          <w:rFonts w:ascii="Arial TUR" w:hAnsi="Arial TUR" w:cs="FrankRuehl" w:hint="cs"/>
          <w:spacing w:val="10"/>
          <w:sz w:val="22"/>
          <w:szCs w:val="28"/>
          <w:rtl/>
        </w:rPr>
        <w:t xml:space="preserve"> אך לא ייפלא כי איננו מוצאים בפסק הדין דיון של ממש בביקורת שיפוטית על חקיקת חוקי יסוד. ההכרה בעליונות </w:t>
      </w:r>
      <w:r w:rsidRPr="00632224">
        <w:rPr>
          <w:rFonts w:ascii="Arial TUR" w:hAnsi="Arial TUR" w:cs="FrankRuehl" w:hint="cs"/>
          <w:spacing w:val="10"/>
          <w:sz w:val="22"/>
          <w:szCs w:val="28"/>
          <w:rtl/>
        </w:rPr>
        <w:lastRenderedPageBreak/>
        <w:t xml:space="preserve">חוקי היסוד נותנת בסיס משפטי לביקורת על חקיקה רגילה של הכנסת, ונועדה למנוע מהרשות המחוקקת לחוקק חוקים הסותרים את חוקי היסוד או פוגעים בהם ובזכויות האדם המנויות בהם. אך המדרג הנורמטיבי של חוק יסוד &gt; חוק רגיל &gt; חקיקת משנה אינו מחייב הכרה בהעדר מגבלות על הרשות המכוננת, כפי שהבהירה היטב הנשיאה בפסקה 91 לפסק דינה.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ומזווית נוספת: תהא זו תוצאה פרדוכסלית לטעון כי דווקא ההכרה של בית המשפט בקיומה של חוקה לישראל כבסיס לביקורת שיפוטית על חוקים, תביא לפגיעה בעקרונות היסוד של השיטה הדמוקרטית. תהא זו תוצאה פרדוכסלית לטעון כי פסק הדין בעניין </w:t>
      </w:r>
      <w:r w:rsidRPr="00632224">
        <w:rPr>
          <w:rFonts w:ascii="Century" w:hAnsi="Century" w:cs="Miriam" w:hint="cs"/>
          <w:b/>
          <w:sz w:val="22"/>
          <w:rtl/>
        </w:rPr>
        <w:t>בנק המזרחי</w:t>
      </w:r>
      <w:r w:rsidRPr="00632224">
        <w:rPr>
          <w:rFonts w:ascii="Arial TUR" w:hAnsi="Arial TUR" w:cs="FrankRuehl" w:hint="cs"/>
          <w:spacing w:val="10"/>
          <w:sz w:val="22"/>
          <w:szCs w:val="28"/>
          <w:rtl/>
        </w:rPr>
        <w:t xml:space="preserve"> בא </w:t>
      </w:r>
      <w:r w:rsidRPr="00632224">
        <w:rPr>
          <w:rFonts w:ascii="Century" w:hAnsi="Century" w:cs="Miriam" w:hint="cs"/>
          <w:b/>
          <w:sz w:val="22"/>
          <w:rtl/>
        </w:rPr>
        <w:t>להוסיף</w:t>
      </w:r>
      <w:r w:rsidRPr="00632224">
        <w:rPr>
          <w:rFonts w:ascii="Arial TUR" w:hAnsi="Arial TUR" w:cs="FrankRuehl" w:hint="cs"/>
          <w:spacing w:val="10"/>
          <w:sz w:val="22"/>
          <w:szCs w:val="28"/>
          <w:rtl/>
        </w:rPr>
        <w:t xml:space="preserve"> עוד עוצמה לכנסת באמצעות שימוש בחוקי יסוד על מנת "להתמגן" מפני ביקורת שיפוטית, שהרי החוקה נועדה דווקא על מנת להגביל את הרשות המחוקקת ואת הרוב הפוליטי המזדמן השולט בה. הדרך למנוע חשש מתוספת מסוכנת של עוצמה לכנסת, היא הטלת מגבלות על הכנסת בפועלה בכובעה כרשות מכוננת, ואחת הדרכים לכך היא בהסתמך על העקרונות המחייבים שנקבעו בהכרזת העצמאות </w:t>
      </w:r>
      <w:r w:rsidRPr="00632224">
        <w:rPr>
          <w:rFonts w:ascii="Century" w:hAnsi="Century" w:cs="FrankRuehl" w:hint="cs"/>
          <w:spacing w:val="10"/>
          <w:sz w:val="22"/>
          <w:szCs w:val="28"/>
          <w:rtl/>
        </w:rPr>
        <w:t xml:space="preserve">(אריאל בנדור </w:t>
      </w:r>
      <w:r w:rsidRPr="00632224">
        <w:rPr>
          <w:rFonts w:ascii="Arial TUR" w:hAnsi="Arial TUR" w:cs="FrankRuehl" w:hint="cs"/>
          <w:spacing w:val="10"/>
          <w:sz w:val="22"/>
          <w:szCs w:val="28"/>
          <w:rtl/>
        </w:rPr>
        <w:t xml:space="preserve">"המעמד המשפטי של חוקי-יסוד" </w:t>
      </w:r>
      <w:r w:rsidRPr="00632224">
        <w:rPr>
          <w:rFonts w:ascii="Century" w:hAnsi="Century" w:cs="Miriam" w:hint="cs"/>
          <w:b/>
          <w:sz w:val="22"/>
          <w:rtl/>
        </w:rPr>
        <w:t>ספר ברנזון</w:t>
      </w:r>
      <w:r w:rsidRPr="00632224">
        <w:rPr>
          <w:rFonts w:ascii="Arial TUR" w:hAnsi="Arial TUR" w:cs="FrankRuehl" w:hint="cs"/>
          <w:spacing w:val="10"/>
          <w:sz w:val="22"/>
          <w:szCs w:val="28"/>
          <w:rtl/>
        </w:rPr>
        <w:t xml:space="preserve"> כרך שני 119, 145 ה"ש 55 (אהרן ברק וחיים ברנזון עורכים, 2000) (להלן: </w:t>
      </w:r>
      <w:r w:rsidRPr="00632224">
        <w:rPr>
          <w:rFonts w:ascii="Century" w:hAnsi="Century" w:cs="Miriam" w:hint="cs"/>
          <w:b/>
          <w:sz w:val="22"/>
          <w:rtl/>
        </w:rPr>
        <w:t>בנדור חוקי יסוד</w:t>
      </w:r>
      <w:r w:rsidRPr="00632224">
        <w:rPr>
          <w:rFonts w:ascii="Century" w:hAnsi="Century" w:cs="FrankRuehl" w:hint="cs"/>
          <w:spacing w:val="10"/>
          <w:sz w:val="22"/>
          <w:szCs w:val="28"/>
          <w:rtl/>
        </w:rPr>
        <w:t>)</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14.</w:t>
      </w:r>
      <w:r w:rsidRPr="00632224">
        <w:rPr>
          <w:rFonts w:ascii="Arial TUR" w:hAnsi="Arial TUR" w:cs="FrankRuehl" w:hint="cs"/>
          <w:spacing w:val="10"/>
          <w:sz w:val="22"/>
          <w:szCs w:val="28"/>
          <w:rtl/>
        </w:rPr>
        <w:tab/>
        <w:t xml:space="preserve">הכנסת, אך בעיקר הממשלה, הציבו בתגובותיהן את הטיעון העקרוני שניתן לתמצתו בשורות הבאות: מדינת ישראל היא מדינה דמוקרטית; </w:t>
      </w:r>
      <w:r w:rsidRPr="00632224">
        <w:rPr>
          <w:rFonts w:ascii="Arial TUR" w:hAnsi="Arial TUR" w:cs="FrankRuehl" w:hint="eastAsia"/>
          <w:spacing w:val="10"/>
          <w:sz w:val="22"/>
          <w:szCs w:val="28"/>
          <w:rtl/>
        </w:rPr>
        <w:t>ה</w:t>
      </w:r>
      <w:r w:rsidRPr="00632224">
        <w:rPr>
          <w:rFonts w:ascii="Arial TUR" w:hAnsi="Arial TUR" w:cs="FrankRuehl"/>
          <w:spacing w:val="10"/>
          <w:sz w:val="22"/>
          <w:szCs w:val="28"/>
          <w:rtl/>
        </w:rPr>
        <w:t xml:space="preserve">ריבון הוא העם – אזרחי ישראל, המיוצגים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ידי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חברי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הכנסת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w:t>
      </w:r>
      <w:r w:rsidRPr="00632224">
        <w:rPr>
          <w:rFonts w:ascii="Arial TUR" w:hAnsi="Arial TUR" w:cs="FrankRuehl" w:hint="cs"/>
          <w:spacing w:val="10"/>
          <w:sz w:val="22"/>
          <w:szCs w:val="28"/>
          <w:rtl/>
        </w:rPr>
        <w:t>בהם בחרו;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מקור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הסמכות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הוא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בכללים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שקובעת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הכנסת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בחוקי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היסוד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ואין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מעליהם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דבר</w:t>
      </w:r>
      <w:r w:rsidRPr="00632224">
        <w:rPr>
          <w:rFonts w:ascii="Arial TUR" w:hAnsi="Arial TUR" w:cs="FrankRuehl" w:hint="cs"/>
          <w:spacing w:val="10"/>
          <w:sz w:val="22"/>
          <w:szCs w:val="28"/>
          <w:rtl/>
        </w:rPr>
        <w:t>; ריבונות העל מסורה בסוף כל הסופים בידיו של העם באמצעות נציגיו בכנסת, וחקיקת חוקי יסוד אינה כפופה כלל לביקורת שיפוטית, והיא בלתי שפיטה.</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לשיטה זו, קול העם הוא כמו קול האל (</w:t>
      </w:r>
      <w:r w:rsidRPr="00632224">
        <w:rPr>
          <w:rFonts w:cs="FrankRuehl"/>
          <w:spacing w:val="10"/>
          <w:sz w:val="22"/>
          <w:szCs w:val="22"/>
        </w:rPr>
        <w:t>Vox populi, vox dei</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העם נותן יפוי כוח בלתי חוזר לנציגיו, ולאחר מכן הוא נכנס כמו דוב לשנת חורף הנמשכת מספר שנים עד לבחירות הבאות (הדבר נכון במיוחד בישראל, שבה לא נהוג לערוך משאלי עם ולא נהוגה שיטת בחירות אזורית, כך שנוצר </w:t>
      </w:r>
      <w:r w:rsidRPr="00632224">
        <w:rPr>
          <w:rFonts w:ascii="Arial TUR" w:hAnsi="Arial TUR" w:cs="FrankRuehl"/>
          <w:spacing w:val="10"/>
          <w:sz w:val="22"/>
          <w:szCs w:val="28"/>
          <w:rtl/>
        </w:rPr>
        <w:t>נתק אלקטורלי ממשי בין הבוחר לנבחר</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w:t>
      </w:r>
      <w:r w:rsidRPr="00632224">
        <w:rPr>
          <w:rFonts w:ascii="Century" w:hAnsi="Century" w:cs="FrankRuehl" w:hint="cs"/>
          <w:spacing w:val="10"/>
          <w:sz w:val="22"/>
          <w:szCs w:val="28"/>
          <w:rtl/>
        </w:rPr>
        <w:t xml:space="preserve">(יניב רוזנאי </w:t>
      </w:r>
      <w:r w:rsidRPr="00632224">
        <w:rPr>
          <w:rFonts w:ascii="Century" w:hAnsi="Century" w:cs="Miriam"/>
          <w:b/>
          <w:sz w:val="22"/>
          <w:rtl/>
        </w:rPr>
        <w:t>ביקורת חוקתית: התפתחות, דגמים והצעה לעיגון הביקורת השיפוטית בישראל</w:t>
      </w:r>
      <w:r w:rsidRPr="00632224">
        <w:rPr>
          <w:rFonts w:ascii="Century" w:hAnsi="Century" w:cs="FrankRuehl" w:hint="cs"/>
          <w:spacing w:val="10"/>
          <w:sz w:val="22"/>
          <w:szCs w:val="28"/>
          <w:rtl/>
        </w:rPr>
        <w:t xml:space="preserve"> </w:t>
      </w:r>
      <w:r w:rsidRPr="00632224">
        <w:rPr>
          <w:rFonts w:ascii="Arial TUR" w:hAnsi="Arial TUR" w:cs="FrankRuehl" w:hint="cs"/>
          <w:spacing w:val="10"/>
          <w:sz w:val="22"/>
          <w:szCs w:val="28"/>
          <w:rtl/>
        </w:rPr>
        <w:t xml:space="preserve">81 ה"ש 159 והאסמכתאות שם </w:t>
      </w:r>
      <w:r w:rsidRPr="00632224">
        <w:rPr>
          <w:rFonts w:ascii="Century" w:hAnsi="Century" w:cs="FrankRuehl" w:hint="cs"/>
          <w:spacing w:val="10"/>
          <w:sz w:val="22"/>
          <w:szCs w:val="28"/>
          <w:rtl/>
        </w:rPr>
        <w:t>(המכון הישראלי לדמוקרטיה, 2021)</w:t>
      </w:r>
      <w:r w:rsidRPr="00632224">
        <w:rPr>
          <w:rFonts w:ascii="Arial TUR" w:hAnsi="Arial TUR" w:cs="FrankRuehl" w:hint="cs"/>
          <w:spacing w:val="10"/>
          <w:sz w:val="22"/>
          <w:szCs w:val="28"/>
          <w:rtl/>
        </w:rPr>
        <w:t xml:space="preserve"> (להלן: </w:t>
      </w:r>
      <w:r w:rsidRPr="00632224">
        <w:rPr>
          <w:rFonts w:ascii="Century" w:hAnsi="Century" w:cs="Miriam" w:hint="eastAsia"/>
          <w:b/>
          <w:sz w:val="22"/>
          <w:rtl/>
        </w:rPr>
        <w:t>רוזנאי</w:t>
      </w:r>
      <w:r w:rsidRPr="00632224">
        <w:rPr>
          <w:rFonts w:ascii="Century" w:hAnsi="Century" w:cs="Miriam"/>
          <w:b/>
          <w:sz w:val="22"/>
          <w:rtl/>
        </w:rPr>
        <w:t xml:space="preserve"> ביקורת חוקתית</w:t>
      </w:r>
      <w:r w:rsidRPr="00632224">
        <w:rPr>
          <w:rFonts w:ascii="Arial TUR" w:hAnsi="Arial TUR" w:cs="FrankRuehl" w:hint="cs"/>
          <w:spacing w:val="10"/>
          <w:sz w:val="22"/>
          <w:szCs w:val="28"/>
          <w:rtl/>
        </w:rPr>
        <w:t xml:space="preserve">)). תפיסה רובנית זו, של "דמוקרטיה ייצוגית", של רוב כל-יכול שרשאי לתפוס ככל יכולתו בנוסח </w:t>
      </w:r>
      <w:r w:rsidRPr="00632224">
        <w:rPr>
          <w:rFonts w:cs="FrankRuehl"/>
          <w:spacing w:val="10"/>
          <w:sz w:val="22"/>
          <w:szCs w:val="22"/>
        </w:rPr>
        <w:t>the winner takes it all</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היא תפיסה פשטנית. יש לדחות תפיסה פשטנית זו בפרט בהעדרם של חוקה וכל עוד לא נקבעו הכללים ליצירת החוקה.</w:t>
      </w:r>
      <w:r w:rsidRPr="00632224">
        <w:rPr>
          <w:rFonts w:ascii="Arial TUR" w:hAnsi="Arial TUR" w:cs="FrankRuehl" w:hint="cs"/>
          <w:spacing w:val="10"/>
          <w:sz w:val="22"/>
          <w:szCs w:val="28"/>
        </w:rPr>
        <w:t xml:space="preserve"> </w:t>
      </w:r>
      <w:r w:rsidRPr="00632224">
        <w:rPr>
          <w:rFonts w:ascii="Arial TUR" w:hAnsi="Arial TUR" w:cs="FrankRuehl" w:hint="cs"/>
          <w:spacing w:val="10"/>
          <w:sz w:val="22"/>
          <w:szCs w:val="28"/>
          <w:rtl/>
        </w:rPr>
        <w:t xml:space="preserve">התפיסה הרווחת כיום במדינות המערב היא של מודל מפותח יותר, של דמוקרטיה ייצוגית </w:t>
      </w:r>
      <w:r w:rsidRPr="00632224">
        <w:rPr>
          <w:rFonts w:ascii="Arial TUR" w:hAnsi="Arial TUR" w:cs="FrankRuehl" w:hint="cs"/>
          <w:spacing w:val="10"/>
          <w:sz w:val="22"/>
          <w:szCs w:val="28"/>
          <w:rtl/>
        </w:rPr>
        <w:lastRenderedPageBreak/>
        <w:t>ומפוקחת (</w:t>
      </w:r>
      <w:r w:rsidRPr="00632224">
        <w:rPr>
          <w:rFonts w:cs="FrankRuehl"/>
          <w:spacing w:val="10"/>
          <w:sz w:val="22"/>
          <w:szCs w:val="22"/>
        </w:rPr>
        <w:t>Monitory Democracy</w:t>
      </w:r>
      <w:r w:rsidRPr="00632224">
        <w:rPr>
          <w:rFonts w:ascii="Arial TUR" w:hAnsi="Arial TUR" w:cs="FrankRuehl" w:hint="cs"/>
          <w:spacing w:val="10"/>
          <w:sz w:val="22"/>
          <w:szCs w:val="28"/>
          <w:rtl/>
        </w:rPr>
        <w:t xml:space="preserve">), באמצעות גופים ממתני כוח ומרסני כוח (ג'ון קין </w:t>
      </w:r>
      <w:r w:rsidRPr="00632224">
        <w:rPr>
          <w:rFonts w:ascii="Century" w:hAnsi="Century" w:cs="Miriam" w:hint="cs"/>
          <w:b/>
          <w:sz w:val="22"/>
          <w:rtl/>
        </w:rPr>
        <w:t>ההיסטוריה הקצרה של הדמוקרטיה</w:t>
      </w:r>
      <w:r w:rsidRPr="00632224">
        <w:rPr>
          <w:rFonts w:ascii="Arial TUR" w:hAnsi="Arial TUR" w:cs="FrankRuehl" w:hint="cs"/>
          <w:spacing w:val="10"/>
          <w:sz w:val="22"/>
          <w:szCs w:val="28"/>
          <w:rtl/>
        </w:rPr>
        <w:t xml:space="preserve"> (2022)).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15. </w:t>
      </w:r>
      <w:r w:rsidRPr="00632224">
        <w:rPr>
          <w:rFonts w:ascii="Arial TUR" w:hAnsi="Arial TUR" w:cs="FrankRuehl" w:hint="cs"/>
          <w:spacing w:val="10"/>
          <w:sz w:val="22"/>
          <w:szCs w:val="28"/>
          <w:rtl/>
        </w:rPr>
        <w:tab/>
        <w:t xml:space="preserve">חוק יסוד: השפיטה אינו כולל הוראה השוללת מבית המשפט סמכות לדון בסעד או בטענה הנוגעת לתוקפו של חוק יסוד. לפי הצעת חוק יסוד: השפיטה (תיקון מס' 3) (חיזוק הפרדת רשויות), ה"ח 947 (13.2.2023), "מי שבידו סמכות שפיטה על פי דין, לרבות בית המשפט העליון בשבתו כבית משפט גבוה לצדק, לא יידרש, במישרין או בעקיפין, לשאלה בדבר תוקפו של חוק-יסוד ולא יהיה תוקף להחלטה שהתקבלה בעניין כאמור". העובדה שהצעה זו הועלתה, </w:t>
      </w:r>
      <w:r w:rsidRPr="00632224">
        <w:rPr>
          <w:rFonts w:ascii="Arial TUR" w:hAnsi="Arial TUR" w:cs="FrankRuehl" w:hint="eastAsia"/>
          <w:spacing w:val="10"/>
          <w:sz w:val="22"/>
          <w:szCs w:val="28"/>
          <w:rtl/>
        </w:rPr>
        <w:t>במהלך</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החודשים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האחרונים</w:t>
      </w:r>
      <w:r w:rsidRPr="00632224">
        <w:rPr>
          <w:rFonts w:ascii="Arial TUR" w:hAnsi="Arial TUR" w:cs="FrankRuehl" w:hint="cs"/>
          <w:spacing w:val="10"/>
          <w:sz w:val="22"/>
          <w:szCs w:val="28"/>
          <w:rtl/>
        </w:rPr>
        <w:t xml:space="preserve">, תומכת במסקנה כי הגישה הרווחת היא שיש כיום סמכות כזו (ואיני מביע עמדה בשאלת תוקפה של הוראה כזו אם תתקבל ההצעה).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8"/>
          <w:szCs w:val="28"/>
          <w:rtl/>
        </w:rPr>
      </w:pPr>
      <w:r w:rsidRPr="00632224">
        <w:rPr>
          <w:rFonts w:ascii="Arial TUR" w:hAnsi="Arial TUR" w:cs="FrankRuehl" w:hint="cs"/>
          <w:spacing w:val="10"/>
          <w:sz w:val="22"/>
          <w:szCs w:val="28"/>
          <w:rtl/>
        </w:rPr>
        <w:t>16.</w:t>
      </w:r>
      <w:r w:rsidRPr="00632224">
        <w:rPr>
          <w:rFonts w:ascii="Arial TUR" w:hAnsi="Arial TUR" w:cs="FrankRuehl" w:hint="cs"/>
          <w:spacing w:val="10"/>
          <w:sz w:val="22"/>
          <w:szCs w:val="28"/>
          <w:rtl/>
        </w:rPr>
        <w:tab/>
        <w:t xml:space="preserve">אין לכחד כי עד לפרסום ספרו של רוזנאי </w:t>
      </w:r>
      <w:r w:rsidRPr="00632224">
        <w:rPr>
          <w:rFonts w:cs="FrankRuehl"/>
          <w:spacing w:val="10"/>
          <w:sz w:val="22"/>
          <w:szCs w:val="26"/>
        </w:rPr>
        <w:t>Constitutional Amendments</w:t>
      </w:r>
      <w:r w:rsidRPr="00632224">
        <w:rPr>
          <w:rFonts w:ascii="Arial TUR" w:hAnsi="Arial TUR" w:cs="FrankRuehl" w:hint="cs"/>
          <w:spacing w:val="10"/>
          <w:sz w:val="22"/>
          <w:szCs w:val="28"/>
          <w:rtl/>
        </w:rPr>
        <w:t xml:space="preserve"> </w:t>
      </w:r>
      <w:r w:rsidRPr="00632224">
        <w:rPr>
          <w:rFonts w:cs="FrankRuehl"/>
          <w:spacing w:val="10"/>
          <w:sz w:val="22"/>
          <w:szCs w:val="26"/>
        </w:rPr>
        <w:t>Unconstitutional</w:t>
      </w:r>
      <w:r w:rsidRPr="00632224">
        <w:rPr>
          <w:rFonts w:cs="FrankRuehl"/>
          <w:spacing w:val="10"/>
          <w:sz w:val="24"/>
          <w:szCs w:val="28"/>
          <w:rtl/>
        </w:rPr>
        <w:t>,</w:t>
      </w:r>
      <w:r w:rsidRPr="00632224">
        <w:rPr>
          <w:rFonts w:ascii="Century" w:hAnsi="Century" w:cs="FrankRuehl" w:hint="cs"/>
          <w:spacing w:val="10"/>
          <w:sz w:val="22"/>
          <w:szCs w:val="28"/>
          <w:rtl/>
        </w:rPr>
        <w:t xml:space="preserve"> </w:t>
      </w:r>
      <w:r w:rsidRPr="00632224">
        <w:rPr>
          <w:rFonts w:ascii="Arial TUR" w:hAnsi="Arial TUR" w:cs="FrankRuehl" w:hint="cs"/>
          <w:spacing w:val="10"/>
          <w:sz w:val="22"/>
          <w:szCs w:val="28"/>
          <w:rtl/>
        </w:rPr>
        <w:t>הדיון במשפט הישראלי בנושא של התיקון החוקתי שאינו חוקתי היה מצומצם (</w:t>
      </w:r>
      <w:r w:rsidRPr="00632224">
        <w:rPr>
          <w:rFonts w:ascii="Century" w:hAnsi="Century" w:cs="FrankRuehl"/>
          <w:spacing w:val="10"/>
          <w:sz w:val="22"/>
          <w:szCs w:val="28"/>
          <w:rtl/>
        </w:rPr>
        <w:t xml:space="preserve">אהרן ברק "תיקון של חוקה שאינו חוקתי" </w:t>
      </w:r>
      <w:r w:rsidRPr="00632224">
        <w:rPr>
          <w:rFonts w:ascii="Century" w:hAnsi="Century" w:cs="Miriam"/>
          <w:b/>
          <w:sz w:val="22"/>
          <w:rtl/>
        </w:rPr>
        <w:t>ספר גבריאל בך</w:t>
      </w:r>
      <w:r w:rsidRPr="00632224">
        <w:rPr>
          <w:rFonts w:ascii="Century" w:hAnsi="Century" w:cs="FrankRuehl"/>
          <w:spacing w:val="10"/>
          <w:sz w:val="22"/>
          <w:szCs w:val="28"/>
          <w:rtl/>
        </w:rPr>
        <w:t xml:space="preserve"> 361 </w:t>
      </w:r>
      <w:r w:rsidRPr="00632224">
        <w:rPr>
          <w:rFonts w:ascii="Century" w:hAnsi="Century" w:cs="FrankRuehl" w:hint="cs"/>
          <w:spacing w:val="10"/>
          <w:sz w:val="22"/>
          <w:szCs w:val="28"/>
          <w:rtl/>
        </w:rPr>
        <w:t>(</w:t>
      </w:r>
      <w:r w:rsidRPr="00632224">
        <w:rPr>
          <w:rFonts w:ascii="Century" w:hAnsi="Century" w:cs="FrankRuehl"/>
          <w:spacing w:val="10"/>
          <w:sz w:val="22"/>
          <w:szCs w:val="28"/>
          <w:rtl/>
        </w:rPr>
        <w:t xml:space="preserve">דוד האן, דנה כהן-לקח </w:t>
      </w:r>
      <w:r w:rsidRPr="00632224">
        <w:rPr>
          <w:rFonts w:ascii="Century" w:hAnsi="Century" w:cs="FrankRuehl" w:hint="cs"/>
          <w:spacing w:val="10"/>
          <w:sz w:val="22"/>
          <w:szCs w:val="28"/>
          <w:rtl/>
        </w:rPr>
        <w:t>ו</w:t>
      </w:r>
      <w:r w:rsidRPr="00632224">
        <w:rPr>
          <w:rFonts w:ascii="Century" w:hAnsi="Century" w:cs="FrankRuehl"/>
          <w:spacing w:val="10"/>
          <w:sz w:val="22"/>
          <w:szCs w:val="28"/>
          <w:rtl/>
        </w:rPr>
        <w:t>מיכא</w:t>
      </w:r>
      <w:r w:rsidRPr="00632224">
        <w:rPr>
          <w:rFonts w:ascii="Century" w:hAnsi="Century" w:cs="FrankRuehl" w:hint="cs"/>
          <w:spacing w:val="10"/>
          <w:sz w:val="22"/>
          <w:szCs w:val="28"/>
          <w:rtl/>
        </w:rPr>
        <w:t>ל בך</w:t>
      </w:r>
      <w:r w:rsidRPr="00632224">
        <w:rPr>
          <w:rFonts w:ascii="Century" w:hAnsi="Century" w:cs="FrankRuehl"/>
          <w:spacing w:val="10"/>
          <w:sz w:val="22"/>
          <w:szCs w:val="28"/>
          <w:rtl/>
        </w:rPr>
        <w:t xml:space="preserve"> עורכים, </w:t>
      </w:r>
      <w:r w:rsidRPr="00632224">
        <w:rPr>
          <w:rFonts w:ascii="Century" w:hAnsi="Century" w:cs="FrankRuehl" w:hint="cs"/>
          <w:spacing w:val="10"/>
          <w:sz w:val="22"/>
          <w:szCs w:val="28"/>
          <w:rtl/>
        </w:rPr>
        <w:t xml:space="preserve">2011) (להלן: </w:t>
      </w:r>
      <w:r w:rsidRPr="00632224">
        <w:rPr>
          <w:rFonts w:ascii="Arial TUR" w:hAnsi="Arial TUR" w:cs="Miriam" w:hint="eastAsia"/>
          <w:b/>
          <w:sz w:val="22"/>
          <w:rtl/>
        </w:rPr>
        <w:t>ברק</w:t>
      </w:r>
      <w:r w:rsidRPr="00632224">
        <w:rPr>
          <w:rFonts w:ascii="Arial TUR" w:hAnsi="Arial TUR" w:cs="Miriam"/>
          <w:b/>
          <w:sz w:val="22"/>
          <w:rtl/>
        </w:rPr>
        <w:t xml:space="preserve"> </w:t>
      </w:r>
      <w:r w:rsidRPr="00632224">
        <w:rPr>
          <w:rFonts w:ascii="Century" w:hAnsi="Century" w:cs="Miriam"/>
          <w:b/>
          <w:sz w:val="22"/>
          <w:rtl/>
        </w:rPr>
        <w:t>תיקון של חוקה שאינו חוקתי</w:t>
      </w:r>
      <w:r w:rsidRPr="00632224">
        <w:rPr>
          <w:rFonts w:ascii="Arial TUR" w:hAnsi="Arial TUR" w:cs="FrankRuehl" w:hint="cs"/>
          <w:spacing w:val="10"/>
          <w:sz w:val="22"/>
          <w:szCs w:val="28"/>
          <w:rtl/>
        </w:rPr>
        <w:t>)</w:t>
      </w:r>
      <w:r w:rsidRPr="00632224">
        <w:rPr>
          <w:rFonts w:ascii="Century" w:hAnsi="Century" w:cs="FrankRuehl" w:hint="cs"/>
          <w:spacing w:val="10"/>
          <w:sz w:val="22"/>
          <w:szCs w:val="28"/>
          <w:rtl/>
        </w:rPr>
        <w:t>)</w:t>
      </w:r>
      <w:r w:rsidRPr="00632224">
        <w:rPr>
          <w:rFonts w:ascii="Arial TUR" w:hAnsi="Arial TUR" w:cs="FrankRuehl" w:hint="cs"/>
          <w:spacing w:val="10"/>
          <w:sz w:val="22"/>
          <w:szCs w:val="28"/>
          <w:rtl/>
        </w:rPr>
        <w:t>, אך בשנים האחרונות התייחסה הפסיקה לנושא זה (</w:t>
      </w:r>
      <w:r w:rsidRPr="00632224">
        <w:rPr>
          <w:rFonts w:ascii="Century" w:hAnsi="Century" w:cs="FrankRuehl" w:hint="eastAsia"/>
          <w:spacing w:val="10"/>
          <w:sz w:val="22"/>
          <w:szCs w:val="28"/>
          <w:rtl/>
        </w:rPr>
        <w:t>בג</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ץ</w:t>
      </w:r>
      <w:r w:rsidRPr="00632224">
        <w:rPr>
          <w:rFonts w:ascii="Century" w:hAnsi="Century" w:cs="FrankRuehl"/>
          <w:spacing w:val="10"/>
          <w:sz w:val="22"/>
          <w:szCs w:val="28"/>
          <w:rtl/>
        </w:rPr>
        <w:t xml:space="preserve"> 4908/10 </w:t>
      </w:r>
      <w:r w:rsidRPr="00632224">
        <w:rPr>
          <w:rFonts w:ascii="Century" w:hAnsi="Century" w:cs="Miriam" w:hint="eastAsia"/>
          <w:b/>
          <w:sz w:val="22"/>
          <w:rtl/>
        </w:rPr>
        <w:t>ח</w:t>
      </w:r>
      <w:r w:rsidRPr="00632224">
        <w:rPr>
          <w:rFonts w:ascii="Century" w:hAnsi="Century" w:cs="Miriam"/>
          <w:b/>
          <w:sz w:val="22"/>
          <w:rtl/>
        </w:rPr>
        <w:t>"</w:t>
      </w:r>
      <w:r w:rsidRPr="00632224">
        <w:rPr>
          <w:rFonts w:ascii="Century" w:hAnsi="Century" w:cs="Miriam" w:hint="eastAsia"/>
          <w:b/>
          <w:sz w:val="22"/>
          <w:rtl/>
        </w:rPr>
        <w:t>כ</w:t>
      </w:r>
      <w:r w:rsidRPr="00632224">
        <w:rPr>
          <w:rFonts w:ascii="Century" w:hAnsi="Century" w:cs="Miriam"/>
          <w:b/>
          <w:sz w:val="22"/>
          <w:rtl/>
        </w:rPr>
        <w:t xml:space="preserve"> </w:t>
      </w:r>
      <w:r w:rsidRPr="00632224">
        <w:rPr>
          <w:rFonts w:ascii="Century" w:hAnsi="Century" w:cs="Miriam" w:hint="eastAsia"/>
          <w:b/>
          <w:sz w:val="22"/>
          <w:rtl/>
        </w:rPr>
        <w:t>בר</w:t>
      </w:r>
      <w:r w:rsidRPr="00632224">
        <w:rPr>
          <w:rFonts w:ascii="Century" w:hAnsi="Century" w:cs="Miriam"/>
          <w:b/>
          <w:sz w:val="22"/>
          <w:rtl/>
        </w:rPr>
        <w:t>-</w:t>
      </w:r>
      <w:r w:rsidRPr="00632224">
        <w:rPr>
          <w:rFonts w:ascii="Century" w:hAnsi="Century" w:cs="Miriam" w:hint="eastAsia"/>
          <w:b/>
          <w:sz w:val="22"/>
          <w:rtl/>
        </w:rPr>
        <w:t>און</w:t>
      </w:r>
      <w:r w:rsidRPr="00632224">
        <w:rPr>
          <w:rFonts w:ascii="Century" w:hAnsi="Century" w:cs="Miriam"/>
          <w:b/>
          <w:sz w:val="22"/>
          <w:rtl/>
        </w:rPr>
        <w:t xml:space="preserve"> </w:t>
      </w:r>
      <w:r w:rsidRPr="00632224">
        <w:rPr>
          <w:rFonts w:ascii="Century" w:hAnsi="Century" w:cs="Miriam" w:hint="eastAsia"/>
          <w:b/>
          <w:sz w:val="22"/>
          <w:rtl/>
        </w:rPr>
        <w:t>נ</w:t>
      </w:r>
      <w:r w:rsidRPr="00632224">
        <w:rPr>
          <w:rFonts w:ascii="Century" w:hAnsi="Century" w:cs="Miriam"/>
          <w:b/>
          <w:sz w:val="22"/>
          <w:rtl/>
        </w:rPr>
        <w:t xml:space="preserve">' </w:t>
      </w:r>
      <w:r w:rsidRPr="00632224">
        <w:rPr>
          <w:rFonts w:ascii="Century" w:hAnsi="Century" w:cs="Miriam" w:hint="eastAsia"/>
          <w:b/>
          <w:sz w:val="22"/>
          <w:rtl/>
        </w:rPr>
        <w:t>כנסת</w:t>
      </w:r>
      <w:r w:rsidRPr="00632224">
        <w:rPr>
          <w:rFonts w:ascii="Century" w:hAnsi="Century" w:cs="Miriam"/>
          <w:b/>
          <w:sz w:val="22"/>
          <w:rtl/>
        </w:rPr>
        <w:t xml:space="preserve"> </w:t>
      </w:r>
      <w:r w:rsidRPr="00632224">
        <w:rPr>
          <w:rFonts w:ascii="Century" w:hAnsi="Century" w:cs="Miriam" w:hint="eastAsia"/>
          <w:b/>
          <w:sz w:val="22"/>
          <w:rtl/>
        </w:rPr>
        <w:t>ישראל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פ</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סד</w:t>
      </w:r>
      <w:r w:rsidRPr="00632224">
        <w:rPr>
          <w:rFonts w:ascii="Century" w:hAnsi="Century" w:cs="FrankRuehl"/>
          <w:spacing w:val="10"/>
          <w:sz w:val="22"/>
          <w:szCs w:val="28"/>
          <w:rtl/>
        </w:rPr>
        <w:t>(3) 275 (2011)</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להלן: עניין</w:t>
      </w:r>
      <w:r w:rsidRPr="00632224">
        <w:rPr>
          <w:rFonts w:ascii="Century" w:hAnsi="Century" w:cs="Miriam"/>
          <w:b/>
          <w:sz w:val="22"/>
          <w:rtl/>
        </w:rPr>
        <w:t xml:space="preserve"> </w:t>
      </w:r>
      <w:r w:rsidRPr="00632224">
        <w:rPr>
          <w:rFonts w:ascii="Century" w:hAnsi="Century" w:cs="Miriam" w:hint="cs"/>
          <w:b/>
          <w:sz w:val="22"/>
          <w:rtl/>
        </w:rPr>
        <w:t>התקציב הדו-שנתי</w:t>
      </w:r>
      <w:r w:rsidRPr="00632224">
        <w:rPr>
          <w:rFonts w:ascii="Century" w:hAnsi="Century" w:cs="FrankRuehl"/>
          <w:spacing w:val="10"/>
          <w:sz w:val="22"/>
          <w:szCs w:val="28"/>
          <w:rtl/>
        </w:rPr>
        <w:t>)</w:t>
      </w:r>
      <w:r w:rsidRPr="00632224">
        <w:rPr>
          <w:rFonts w:ascii="Century" w:hAnsi="Century" w:cs="FrankRuehl" w:hint="cs"/>
          <w:spacing w:val="10"/>
          <w:sz w:val="22"/>
          <w:szCs w:val="28"/>
          <w:rtl/>
        </w:rPr>
        <w:t>,</w:t>
      </w:r>
      <w:r w:rsidRPr="00632224">
        <w:rPr>
          <w:rFonts w:ascii="Century" w:hAnsi="Century" w:cs="Miriam" w:hint="cs"/>
          <w:b/>
          <w:sz w:val="22"/>
          <w:rtl/>
        </w:rPr>
        <w:t xml:space="preserve"> </w:t>
      </w:r>
      <w:r w:rsidRPr="00632224">
        <w:rPr>
          <w:rFonts w:ascii="Century" w:hAnsi="Century" w:cs="FrankRuehl" w:hint="eastAsia"/>
          <w:spacing w:val="10"/>
          <w:sz w:val="22"/>
          <w:szCs w:val="28"/>
          <w:rtl/>
        </w:rPr>
        <w:t>בג</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ץ</w:t>
      </w:r>
      <w:r w:rsidRPr="00632224">
        <w:rPr>
          <w:rFonts w:ascii="Century" w:hAnsi="Century" w:cs="FrankRuehl"/>
          <w:spacing w:val="10"/>
          <w:sz w:val="22"/>
          <w:szCs w:val="28"/>
          <w:rtl/>
        </w:rPr>
        <w:t xml:space="preserve"> 5744/16 </w:t>
      </w:r>
      <w:r w:rsidRPr="00632224">
        <w:rPr>
          <w:rFonts w:ascii="Century" w:hAnsi="Century" w:cs="Miriam" w:hint="eastAsia"/>
          <w:b/>
          <w:sz w:val="22"/>
          <w:rtl/>
        </w:rPr>
        <w:t>בן</w:t>
      </w:r>
      <w:r w:rsidRPr="00632224">
        <w:rPr>
          <w:rFonts w:ascii="Century" w:hAnsi="Century" w:cs="Miriam"/>
          <w:b/>
          <w:sz w:val="22"/>
          <w:rtl/>
        </w:rPr>
        <w:t xml:space="preserve"> </w:t>
      </w:r>
      <w:r w:rsidRPr="00632224">
        <w:rPr>
          <w:rFonts w:ascii="Century" w:hAnsi="Century" w:cs="Miriam" w:hint="eastAsia"/>
          <w:b/>
          <w:sz w:val="22"/>
          <w:rtl/>
        </w:rPr>
        <w:t>מאיר</w:t>
      </w:r>
      <w:r w:rsidRPr="00632224">
        <w:rPr>
          <w:rFonts w:ascii="Century" w:hAnsi="Century" w:cs="Miriam"/>
          <w:b/>
          <w:sz w:val="22"/>
          <w:rtl/>
        </w:rPr>
        <w:t xml:space="preserve"> </w:t>
      </w:r>
      <w:r w:rsidRPr="00632224">
        <w:rPr>
          <w:rFonts w:ascii="Century" w:hAnsi="Century" w:cs="Miriam" w:hint="eastAsia"/>
          <w:b/>
          <w:sz w:val="22"/>
          <w:rtl/>
        </w:rPr>
        <w:t>נ</w:t>
      </w:r>
      <w:r w:rsidRPr="00632224">
        <w:rPr>
          <w:rFonts w:ascii="Century" w:hAnsi="Century" w:cs="Miriam"/>
          <w:b/>
          <w:sz w:val="22"/>
          <w:rtl/>
        </w:rPr>
        <w:t xml:space="preserve">' </w:t>
      </w:r>
      <w:r w:rsidRPr="00632224">
        <w:rPr>
          <w:rFonts w:ascii="Century" w:hAnsi="Century" w:cs="Miriam" w:hint="eastAsia"/>
          <w:b/>
          <w:sz w:val="22"/>
          <w:rtl/>
        </w:rPr>
        <w:t>הכנסת</w:t>
      </w:r>
      <w:r w:rsidRPr="00632224">
        <w:rPr>
          <w:rFonts w:ascii="Century" w:hAnsi="Century" w:cs="FrankRuehl"/>
          <w:spacing w:val="10"/>
          <w:sz w:val="22"/>
          <w:szCs w:val="28"/>
          <w:rtl/>
        </w:rPr>
        <w:t xml:space="preserve"> (27.5.2018)</w:t>
      </w:r>
      <w:r w:rsidRPr="00632224">
        <w:rPr>
          <w:rFonts w:ascii="Century" w:hAnsi="Century" w:cs="FrankRuehl" w:hint="cs"/>
          <w:spacing w:val="10"/>
          <w:sz w:val="22"/>
          <w:szCs w:val="28"/>
          <w:rtl/>
        </w:rPr>
        <w:t xml:space="preserve"> (לה</w:t>
      </w:r>
      <w:r w:rsidRPr="00632224">
        <w:rPr>
          <w:rFonts w:ascii="Century" w:hAnsi="Century" w:cs="FrankRuehl" w:hint="eastAsia"/>
          <w:spacing w:val="10"/>
          <w:sz w:val="22"/>
          <w:szCs w:val="28"/>
          <w:rtl/>
        </w:rPr>
        <w:t>לן</w:t>
      </w:r>
      <w:r w:rsidRPr="00632224">
        <w:rPr>
          <w:rFonts w:ascii="Century" w:hAnsi="Century" w:cs="FrankRuehl"/>
          <w:spacing w:val="10"/>
          <w:sz w:val="22"/>
          <w:szCs w:val="28"/>
          <w:rtl/>
        </w:rPr>
        <w:t xml:space="preserve">: </w:t>
      </w:r>
      <w:r w:rsidRPr="00632224">
        <w:rPr>
          <w:rFonts w:ascii="Century" w:hAnsi="Century" w:cs="Miriam" w:hint="eastAsia"/>
          <w:b/>
          <w:sz w:val="22"/>
          <w:rtl/>
        </w:rPr>
        <w:t>ענין</w:t>
      </w:r>
      <w:r w:rsidRPr="00632224">
        <w:rPr>
          <w:rFonts w:ascii="Century" w:hAnsi="Century" w:cs="FrankRuehl"/>
          <w:spacing w:val="10"/>
          <w:sz w:val="22"/>
          <w:szCs w:val="28"/>
          <w:rtl/>
        </w:rPr>
        <w:t xml:space="preserve"> </w:t>
      </w:r>
      <w:r w:rsidRPr="00632224">
        <w:rPr>
          <w:rFonts w:ascii="Century" w:hAnsi="Century" w:cs="Miriam" w:hint="cs"/>
          <w:b/>
          <w:sz w:val="22"/>
          <w:rtl/>
        </w:rPr>
        <w:t>חוק ההדחה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עניין</w:t>
      </w:r>
      <w:r w:rsidRPr="00632224">
        <w:rPr>
          <w:rFonts w:ascii="Century" w:hAnsi="Century" w:cs="Miriam" w:hint="cs"/>
          <w:b/>
          <w:sz w:val="22"/>
          <w:rtl/>
        </w:rPr>
        <w:t xml:space="preserve"> חוק הלאום</w:t>
      </w:r>
      <w:r w:rsidRPr="00632224">
        <w:rPr>
          <w:rFonts w:ascii="Arial TUR" w:hAnsi="Arial TUR" w:cs="FrankRuehl" w:hint="cs"/>
          <w:spacing w:val="10"/>
          <w:sz w:val="22"/>
          <w:szCs w:val="28"/>
          <w:rtl/>
        </w:rPr>
        <w:t>). מכל מקום, הפסיקה והספרות האקדמית חרשו זה מכבר תלמים בשאלה אם יש מגבלות על כוחה של הכנסת, ומהדעה הרווחת משתמע במפורש או מכללא כי גם חוקי היסוד אינם חסינים מפני ביקורת שיפוטית. אביא מקצת מהדברים בשם אומרם ואפתח בפסיקת בית המשפט לאורך השנים:</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"אין הכנסת בלתי מוגבלת, על-פי טבעם של דברים, בסמכותה ובכוחה. יש עקרונות-על - אם תרצה: עקרונות-מסד - הטבועים בעצם קיומה של הכנסת; יש תכונות אופי השוכנות בגנים של הכנסת - בהיותה מה שהיא - ומאותם עקרונות, מאותן תכונות, לא תוכל הכנסת להשתחרר" (השופט </w:t>
      </w:r>
      <w:r w:rsidRPr="00632224">
        <w:rPr>
          <w:rFonts w:ascii="Century" w:hAnsi="Century" w:cs="Miriam" w:hint="cs"/>
          <w:b/>
          <w:sz w:val="22"/>
          <w:rtl/>
        </w:rPr>
        <w:t>חשין</w:t>
      </w:r>
      <w:r w:rsidRPr="00632224">
        <w:rPr>
          <w:rFonts w:ascii="Arial TUR" w:hAnsi="Arial TUR" w:cs="FrankRuehl" w:hint="cs"/>
          <w:spacing w:val="10"/>
          <w:sz w:val="22"/>
          <w:szCs w:val="28"/>
          <w:rtl/>
        </w:rPr>
        <w:t xml:space="preserve"> בעניין </w:t>
      </w:r>
      <w:r w:rsidRPr="00632224">
        <w:rPr>
          <w:rFonts w:ascii="Century" w:hAnsi="Century" w:cs="Miriam" w:hint="cs"/>
          <w:b/>
          <w:sz w:val="22"/>
          <w:rtl/>
        </w:rPr>
        <w:t>בנק המזרחי</w:t>
      </w:r>
      <w:r w:rsidRPr="00632224">
        <w:rPr>
          <w:rFonts w:ascii="Arial TUR" w:hAnsi="Arial TUR" w:cs="FrankRuehl" w:hint="cs"/>
          <w:spacing w:val="10"/>
          <w:sz w:val="22"/>
          <w:szCs w:val="28"/>
          <w:rtl/>
        </w:rPr>
        <w:t xml:space="preserve">, בעמ' 546-545).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adjustRightInd/>
        <w:ind w:left="1644" w:right="1281"/>
        <w:jc w:val="both"/>
        <w:textAlignment w:val="auto"/>
        <w:rPr>
          <w:rFonts w:ascii="Arial TUR" w:hAnsi="Arial TUR" w:cs="Arial TUR"/>
          <w:spacing w:val="10"/>
          <w:sz w:val="22"/>
          <w:szCs w:val="22"/>
          <w:rtl/>
          <w:lang w:eastAsia="he-IL"/>
        </w:rPr>
      </w:pPr>
      <w:r w:rsidRPr="00632224">
        <w:rPr>
          <w:rFonts w:ascii="Arial TUR" w:hAnsi="Arial TUR" w:cs="FrankRuehl" w:hint="cs"/>
          <w:spacing w:val="10"/>
          <w:sz w:val="28"/>
          <w:szCs w:val="28"/>
          <w:rtl/>
          <w:lang w:eastAsia="he-IL"/>
        </w:rPr>
        <w:t xml:space="preserve">"ואולם גם חוקי-היסוד אינם בפסגת הפירמידה, שמא נאמר: בתשתית-התשתיות. נעלים עליהם עקרונות-יסוד בחיינו, עקרונות שאף חוקי-היסוד יונקים מהם את חיותם. עקרונות אלה הם עיקרים במשפט הטבע ועיקרים בתורת הדמוקרטיה היהודית. אלה הם ה'גבוה מעל גבוה שומר'" (השופט </w:t>
      </w:r>
      <w:r w:rsidRPr="00632224">
        <w:rPr>
          <w:rFonts w:ascii="Century" w:hAnsi="Century" w:cs="Miriam" w:hint="cs"/>
          <w:b/>
          <w:sz w:val="22"/>
          <w:rtl/>
          <w:lang w:eastAsia="he-IL"/>
        </w:rPr>
        <w:t>חשין</w:t>
      </w:r>
      <w:r w:rsidRPr="00632224">
        <w:rPr>
          <w:rFonts w:ascii="Arial TUR" w:hAnsi="Arial TUR" w:cs="FrankRuehl" w:hint="cs"/>
          <w:spacing w:val="10"/>
          <w:sz w:val="28"/>
          <w:szCs w:val="28"/>
          <w:rtl/>
          <w:lang w:eastAsia="he-IL"/>
        </w:rPr>
        <w:t xml:space="preserve"> </w:t>
      </w:r>
      <w:r w:rsidRPr="00632224">
        <w:rPr>
          <w:rFonts w:ascii="Century" w:hAnsi="Century" w:cs="FrankRuehl" w:hint="cs"/>
          <w:spacing w:val="10"/>
          <w:sz w:val="22"/>
          <w:szCs w:val="28"/>
          <w:rtl/>
          <w:lang w:eastAsia="he-IL"/>
        </w:rPr>
        <w:t>ב</w:t>
      </w:r>
      <w:r w:rsidRPr="00632224">
        <w:rPr>
          <w:rFonts w:ascii="Century" w:hAnsi="Century" w:cs="FrankRuehl" w:hint="eastAsia"/>
          <w:spacing w:val="10"/>
          <w:sz w:val="22"/>
          <w:szCs w:val="28"/>
          <w:rtl/>
          <w:lang w:eastAsia="he-IL"/>
        </w:rPr>
        <w:t>ע</w:t>
      </w:r>
      <w:r w:rsidRPr="00632224">
        <w:rPr>
          <w:rFonts w:ascii="Century" w:hAnsi="Century" w:cs="FrankRuehl"/>
          <w:spacing w:val="10"/>
          <w:sz w:val="22"/>
          <w:szCs w:val="28"/>
          <w:rtl/>
          <w:lang w:eastAsia="he-IL"/>
        </w:rPr>
        <w:t>"א 733/95</w:t>
      </w:r>
      <w:r w:rsidRPr="00632224">
        <w:rPr>
          <w:rFonts w:ascii="Century" w:hAnsi="Century" w:cs="Arial TUR"/>
          <w:spacing w:val="10"/>
          <w:sz w:val="22"/>
          <w:szCs w:val="22"/>
          <w:rtl/>
          <w:lang w:eastAsia="he-IL"/>
        </w:rPr>
        <w:t xml:space="preserve"> </w:t>
      </w:r>
      <w:r w:rsidRPr="00632224">
        <w:rPr>
          <w:rFonts w:ascii="Century" w:hAnsi="Century" w:cs="Miriam"/>
          <w:b/>
          <w:sz w:val="22"/>
          <w:rtl/>
          <w:lang w:eastAsia="he-IL"/>
        </w:rPr>
        <w:t xml:space="preserve">ארפל אלומיניום </w:t>
      </w:r>
      <w:r w:rsidRPr="00632224">
        <w:rPr>
          <w:rFonts w:ascii="Century" w:hAnsi="Century" w:cs="Miriam"/>
          <w:b/>
          <w:sz w:val="22"/>
          <w:rtl/>
          <w:lang w:eastAsia="he-IL"/>
        </w:rPr>
        <w:lastRenderedPageBreak/>
        <w:t>בע"מ נ' קליל תעשיות בע"מ</w:t>
      </w:r>
      <w:r w:rsidRPr="00632224">
        <w:rPr>
          <w:rFonts w:ascii="Century" w:hAnsi="Century" w:cs="FrankRuehl"/>
          <w:spacing w:val="10"/>
          <w:sz w:val="22"/>
          <w:szCs w:val="28"/>
          <w:rtl/>
          <w:lang w:eastAsia="he-IL"/>
        </w:rPr>
        <w:t xml:space="preserve">, </w:t>
      </w:r>
      <w:r w:rsidRPr="00632224">
        <w:rPr>
          <w:rFonts w:ascii="Century" w:hAnsi="Century" w:cs="FrankRuehl" w:hint="eastAsia"/>
          <w:spacing w:val="10"/>
          <w:sz w:val="22"/>
          <w:szCs w:val="28"/>
          <w:rtl/>
          <w:lang w:eastAsia="he-IL"/>
        </w:rPr>
        <w:t>פ</w:t>
      </w:r>
      <w:r w:rsidRPr="00632224">
        <w:rPr>
          <w:rFonts w:ascii="Century" w:hAnsi="Century" w:cs="FrankRuehl"/>
          <w:spacing w:val="10"/>
          <w:sz w:val="22"/>
          <w:szCs w:val="28"/>
          <w:rtl/>
          <w:lang w:eastAsia="he-IL"/>
        </w:rPr>
        <w:t>"</w:t>
      </w:r>
      <w:r w:rsidRPr="00632224">
        <w:rPr>
          <w:rFonts w:ascii="Century" w:hAnsi="Century" w:cs="FrankRuehl" w:hint="eastAsia"/>
          <w:spacing w:val="10"/>
          <w:sz w:val="22"/>
          <w:szCs w:val="28"/>
          <w:rtl/>
          <w:lang w:eastAsia="he-IL"/>
        </w:rPr>
        <w:t>ד</w:t>
      </w:r>
      <w:r w:rsidRPr="00632224">
        <w:rPr>
          <w:rFonts w:ascii="Century" w:hAnsi="Century" w:cs="FrankRuehl"/>
          <w:spacing w:val="10"/>
          <w:sz w:val="22"/>
          <w:szCs w:val="28"/>
          <w:rtl/>
          <w:lang w:eastAsia="he-IL"/>
        </w:rPr>
        <w:t xml:space="preserve"> </w:t>
      </w:r>
      <w:r w:rsidRPr="00632224">
        <w:rPr>
          <w:rFonts w:ascii="Century" w:hAnsi="Century" w:cs="FrankRuehl" w:hint="eastAsia"/>
          <w:spacing w:val="10"/>
          <w:sz w:val="22"/>
          <w:szCs w:val="28"/>
          <w:rtl/>
          <w:lang w:eastAsia="he-IL"/>
        </w:rPr>
        <w:t>נא</w:t>
      </w:r>
      <w:r w:rsidRPr="00632224">
        <w:rPr>
          <w:rFonts w:ascii="Century" w:hAnsi="Century" w:cs="FrankRuehl"/>
          <w:spacing w:val="10"/>
          <w:sz w:val="22"/>
          <w:szCs w:val="28"/>
          <w:rtl/>
          <w:lang w:eastAsia="he-IL"/>
        </w:rPr>
        <w:t xml:space="preserve">(3) 577, </w:t>
      </w:r>
      <w:r w:rsidRPr="00632224">
        <w:rPr>
          <w:rFonts w:ascii="Century" w:hAnsi="Century" w:cs="FrankRuehl" w:hint="cs"/>
          <w:spacing w:val="10"/>
          <w:sz w:val="22"/>
          <w:szCs w:val="28"/>
          <w:rtl/>
          <w:lang w:eastAsia="he-IL"/>
        </w:rPr>
        <w:t>629</w:t>
      </w:r>
      <w:r w:rsidRPr="00632224">
        <w:rPr>
          <w:rFonts w:ascii="Century" w:hAnsi="Century" w:cs="FrankRuehl"/>
          <w:spacing w:val="10"/>
          <w:sz w:val="22"/>
          <w:szCs w:val="28"/>
          <w:rtl/>
          <w:lang w:eastAsia="he-IL"/>
        </w:rPr>
        <w:t xml:space="preserve"> (1997) (להלן: עניין</w:t>
      </w:r>
      <w:r w:rsidRPr="00632224">
        <w:rPr>
          <w:rFonts w:ascii="Century" w:hAnsi="Century" w:cs="Miriam" w:hint="cs"/>
          <w:b/>
          <w:sz w:val="22"/>
          <w:rtl/>
          <w:lang w:eastAsia="he-IL"/>
        </w:rPr>
        <w:t xml:space="preserve"> ארפל</w:t>
      </w:r>
      <w:r w:rsidRPr="00632224">
        <w:rPr>
          <w:rFonts w:ascii="Century" w:hAnsi="Century" w:cs="FrankRuehl"/>
          <w:spacing w:val="10"/>
          <w:sz w:val="22"/>
          <w:szCs w:val="28"/>
          <w:rtl/>
          <w:lang w:eastAsia="he-IL"/>
        </w:rPr>
        <w:t>)</w:t>
      </w:r>
      <w:r w:rsidRPr="00632224">
        <w:rPr>
          <w:rFonts w:ascii="Arial TUR" w:hAnsi="Arial TUR" w:cs="FrankRuehl" w:hint="cs"/>
          <w:spacing w:val="10"/>
          <w:sz w:val="28"/>
          <w:szCs w:val="28"/>
          <w:rtl/>
          <w:lang w:eastAsia="he-IL"/>
        </w:rPr>
        <w:t>).</w:t>
      </w:r>
    </w:p>
    <w:p w:rsidR="00244560" w:rsidRPr="00632224" w:rsidRDefault="00244560" w:rsidP="00244560">
      <w:pPr>
        <w:adjustRightInd/>
        <w:ind w:left="1644" w:right="1281"/>
        <w:jc w:val="both"/>
        <w:textAlignment w:val="auto"/>
        <w:rPr>
          <w:rFonts w:ascii="Arial TUR" w:hAnsi="Arial TUR" w:cs="Arial TUR"/>
          <w:spacing w:val="10"/>
          <w:sz w:val="22"/>
          <w:szCs w:val="22"/>
          <w:rtl/>
          <w:lang w:eastAsia="he-I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Arial TUR" w:hAnsi="Arial TUR" w:cs="FrankRuehl" w:hint="cs"/>
          <w:spacing w:val="10"/>
          <w:sz w:val="22"/>
          <w:szCs w:val="28"/>
          <w:rtl/>
        </w:rPr>
        <w:t xml:space="preserve">"יש מקום לתפיסה כי חוק או חוק-יסוד, אשר ישללו את אופייה של ישראל כמדינה יהודית או דמוקרטית, אינו חוקתי. העם, הריבון, לא הסמיך לכך את הכנסת שלנו. זו הוסמכה לפעול במסגרת עקרונות היסוד של המשטר. היא לא הוסמכה לבטלם" (דברי </w:t>
      </w:r>
      <w:r w:rsidRPr="00632224">
        <w:rPr>
          <w:rFonts w:ascii="Century" w:hAnsi="Century" w:cs="FrankRuehl" w:hint="cs"/>
          <w:spacing w:val="10"/>
          <w:sz w:val="22"/>
          <w:szCs w:val="28"/>
          <w:rtl/>
        </w:rPr>
        <w:t xml:space="preserve">הנשיא </w:t>
      </w:r>
      <w:r w:rsidRPr="00632224">
        <w:rPr>
          <w:rFonts w:ascii="Century" w:hAnsi="Century" w:cs="Miriam" w:hint="eastAsia"/>
          <w:b/>
          <w:sz w:val="22"/>
          <w:rtl/>
        </w:rPr>
        <w:t>ברק</w:t>
      </w:r>
      <w:r w:rsidRPr="00632224">
        <w:rPr>
          <w:rFonts w:ascii="Century" w:hAnsi="Century" w:cs="FrankRuehl" w:hint="cs"/>
          <w:spacing w:val="10"/>
          <w:sz w:val="22"/>
          <w:szCs w:val="28"/>
          <w:rtl/>
        </w:rPr>
        <w:t xml:space="preserve"> </w:t>
      </w:r>
      <w:r w:rsidRPr="00632224">
        <w:rPr>
          <w:rFonts w:ascii="Arial TUR" w:hAnsi="Arial TUR" w:cs="FrankRuehl" w:hint="cs"/>
          <w:spacing w:val="10"/>
          <w:sz w:val="22"/>
          <w:szCs w:val="28"/>
          <w:rtl/>
        </w:rPr>
        <w:t xml:space="preserve">בבג"ץ 6427/02 </w:t>
      </w:r>
      <w:r w:rsidRPr="00632224">
        <w:rPr>
          <w:rFonts w:ascii="Century" w:hAnsi="Century" w:cs="Miriam" w:hint="cs"/>
          <w:b/>
          <w:sz w:val="22"/>
          <w:rtl/>
        </w:rPr>
        <w:t>התנועה לאיכות השלטון בישראל נ' הכנסת</w:t>
      </w:r>
      <w:r w:rsidRPr="00632224">
        <w:rPr>
          <w:rFonts w:ascii="Arial TUR" w:hAnsi="Arial TUR" w:cs="FrankRuehl" w:hint="cs"/>
          <w:spacing w:val="10"/>
          <w:sz w:val="22"/>
          <w:szCs w:val="28"/>
          <w:rtl/>
        </w:rPr>
        <w:t xml:space="preserve">, פ"ד סא(1) 619, </w:t>
      </w:r>
      <w:r w:rsidRPr="00632224">
        <w:rPr>
          <w:rFonts w:ascii="Century" w:hAnsi="Century" w:cs="FrankRuehl" w:hint="cs"/>
          <w:spacing w:val="10"/>
          <w:sz w:val="22"/>
          <w:szCs w:val="28"/>
          <w:rtl/>
        </w:rPr>
        <w:t>717-716</w:t>
      </w:r>
      <w:r w:rsidRPr="00632224">
        <w:rPr>
          <w:rFonts w:ascii="Arial TUR" w:hAnsi="Arial TUR" w:cs="FrankRuehl" w:hint="cs"/>
          <w:spacing w:val="10"/>
          <w:sz w:val="22"/>
          <w:szCs w:val="28"/>
          <w:rtl/>
        </w:rPr>
        <w:t xml:space="preserve"> (2006) (להלן: </w:t>
      </w:r>
      <w:r w:rsidRPr="00632224">
        <w:rPr>
          <w:rFonts w:ascii="Century" w:hAnsi="Century" w:cs="FrankRuehl" w:hint="eastAsia"/>
          <w:spacing w:val="10"/>
          <w:sz w:val="22"/>
          <w:szCs w:val="28"/>
          <w:rtl/>
        </w:rPr>
        <w:t>עניין</w:t>
      </w:r>
      <w:r w:rsidRPr="00632224">
        <w:rPr>
          <w:rFonts w:ascii="Arial TUR" w:hAnsi="Arial TUR" w:cs="FrankRuehl" w:hint="cs"/>
          <w:spacing w:val="10"/>
          <w:sz w:val="22"/>
          <w:szCs w:val="28"/>
          <w:rtl/>
        </w:rPr>
        <w:t xml:space="preserve"> </w:t>
      </w:r>
      <w:r w:rsidRPr="00632224">
        <w:rPr>
          <w:rFonts w:ascii="Century" w:hAnsi="Century" w:cs="Miriam" w:hint="cs"/>
          <w:b/>
          <w:sz w:val="22"/>
          <w:rtl/>
        </w:rPr>
        <w:t>גיוס בני הישיבות</w:t>
      </w:r>
      <w:r w:rsidRPr="00632224">
        <w:rPr>
          <w:rFonts w:ascii="Century" w:hAnsi="Century" w:cs="FrankRuehl"/>
          <w:spacing w:val="10"/>
          <w:sz w:val="22"/>
          <w:szCs w:val="28"/>
          <w:rtl/>
        </w:rPr>
        <w:t>))</w:t>
      </w:r>
      <w:r w:rsidRPr="00632224">
        <w:rPr>
          <w:rFonts w:ascii="Century" w:hAnsi="Century" w:cs="FrankRuehl" w:hint="cs"/>
          <w:spacing w:val="10"/>
          <w:sz w:val="22"/>
          <w:szCs w:val="28"/>
          <w:rtl/>
        </w:rPr>
        <w:t>.</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Arial TUR" w:hAnsi="Arial TUR" w:cs="FrankRuehl"/>
          <w:spacing w:val="10"/>
          <w:sz w:val="28"/>
          <w:szCs w:val="28"/>
          <w:rtl/>
        </w:rPr>
      </w:pPr>
      <w:r w:rsidRPr="00632224">
        <w:rPr>
          <w:rFonts w:ascii="Arial TUR" w:hAnsi="Arial TUR" w:cs="FrankRuehl" w:hint="cs"/>
          <w:spacing w:val="10"/>
          <w:sz w:val="28"/>
          <w:szCs w:val="28"/>
          <w:rtl/>
        </w:rPr>
        <w:t xml:space="preserve">"הפירמידה המשפטית בנויה אפוא על ערכי-העומק של החברה והמדינה. אותם ערכים מזינים בשורשיהן את הנורמות השוררות במדינה, ובלעדיהם לא תיכון המדינה. וגם הכנסת - שהיא עצמה חיה מכוחם - תכוף ראשה לפני אותם ערכים. [...] עיקרים אלה שבדמוקרטיה נַעֲלים הם מחוקי-יסוד ולא-כל-שכן נעלים הם מחקיקה מן-המניין. </w:t>
      </w:r>
      <w:r w:rsidRPr="00632224">
        <w:rPr>
          <w:rFonts w:ascii="Century" w:hAnsi="Century" w:cs="FrankRuehl" w:hint="cs"/>
          <w:spacing w:val="10"/>
          <w:sz w:val="22"/>
          <w:szCs w:val="28"/>
          <w:rtl/>
        </w:rPr>
        <w:t xml:space="preserve">שכן חוקי היסוד - בוודאי כך חוקים מן-המניין - שואבים את כוחם מעיקרי הדמוקרטיה, וממילא קדים ומשתחווים הם לפני אותם עיקרים. </w:t>
      </w:r>
      <w:r w:rsidRPr="00632224">
        <w:rPr>
          <w:rFonts w:ascii="Arial TUR" w:hAnsi="Arial TUR" w:cs="FrankRuehl" w:hint="cs"/>
          <w:spacing w:val="10"/>
          <w:sz w:val="28"/>
          <w:szCs w:val="28"/>
          <w:rtl/>
        </w:rPr>
        <w:t xml:space="preserve">הנה-כי-כן, מכוחם של עיקרי הדמוקרטיה נבחרת הכנסת בבחירות דמוקרטיות, וסמכותה המשפטית, החברתית והמוסרית לחוקק חוקים ולקבוע הסדרים ראשוניים שואבת את כוחה מעיקרי הדמוקרטיה ומן ההסכמה החברתית השוררים בחברה. [...] יש עיקרי-יסוד בחיי המדינה שלא נוכל בלעדיהם ואין אנו זכאים להתעלם מהם. שאם נעבור ונתעלם, אנו לא עוד נהיה אנו" (המשנה לנשיא (בדימ') </w:t>
      </w:r>
      <w:r w:rsidRPr="00632224">
        <w:rPr>
          <w:rFonts w:ascii="Century" w:hAnsi="Century" w:cs="Miriam" w:hint="eastAsia"/>
          <w:b/>
          <w:sz w:val="22"/>
          <w:rtl/>
        </w:rPr>
        <w:t>חשין</w:t>
      </w:r>
      <w:r w:rsidRPr="00632224">
        <w:rPr>
          <w:rFonts w:ascii="Arial TUR" w:hAnsi="Arial TUR" w:cs="FrankRuehl"/>
          <w:spacing w:val="10"/>
          <w:sz w:val="28"/>
          <w:szCs w:val="28"/>
          <w:rtl/>
        </w:rPr>
        <w:t xml:space="preserve"> </w:t>
      </w:r>
      <w:r w:rsidRPr="00632224">
        <w:rPr>
          <w:rFonts w:ascii="Arial TUR" w:hAnsi="Arial TUR" w:cs="FrankRuehl" w:hint="cs"/>
          <w:spacing w:val="10"/>
          <w:sz w:val="28"/>
          <w:szCs w:val="28"/>
          <w:rtl/>
        </w:rPr>
        <w:t>ב</w:t>
      </w:r>
      <w:r w:rsidRPr="00632224">
        <w:rPr>
          <w:rFonts w:ascii="Century" w:hAnsi="Century" w:cs="FrankRuehl" w:hint="cs"/>
          <w:spacing w:val="10"/>
          <w:sz w:val="22"/>
          <w:szCs w:val="28"/>
          <w:rtl/>
        </w:rPr>
        <w:t xml:space="preserve">עניין </w:t>
      </w:r>
      <w:r w:rsidRPr="00632224">
        <w:rPr>
          <w:rFonts w:ascii="Century" w:hAnsi="Century" w:cs="Miriam" w:hint="cs"/>
          <w:b/>
          <w:sz w:val="22"/>
          <w:rtl/>
        </w:rPr>
        <w:t>גיוס בני הישיבות</w:t>
      </w:r>
      <w:r w:rsidRPr="00632224">
        <w:rPr>
          <w:rFonts w:ascii="Arial TUR" w:hAnsi="Arial TUR" w:cs="FrankRuehl" w:hint="cs"/>
          <w:spacing w:val="10"/>
          <w:sz w:val="28"/>
          <w:szCs w:val="28"/>
          <w:rtl/>
        </w:rPr>
        <w:t>, בעמ' 730-729, 742-741, 757).</w:t>
      </w:r>
    </w:p>
    <w:p w:rsidR="00244560" w:rsidRPr="00632224" w:rsidRDefault="00244560" w:rsidP="00244560">
      <w:pPr>
        <w:ind w:left="1644" w:right="1276"/>
        <w:jc w:val="both"/>
        <w:rPr>
          <w:rFonts w:ascii="Arial TUR" w:hAnsi="Arial TUR" w:cs="FrankRuehl"/>
          <w:spacing w:val="10"/>
          <w:sz w:val="28"/>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בתי המשפט בישראל הכירו בקיומם של עקרונות על שאינם ניתנים לשינוי. גם חוקי היסוד שלנו הניחו את העיקרון החוקתי המרכזי, שספק אם הוא ניתן לשינוי, המתייחס לאופייה היהודי והדמוקרטי של המדינ</w:t>
      </w:r>
      <w:r w:rsidRPr="00632224">
        <w:rPr>
          <w:rFonts w:ascii="Arial TUR" w:hAnsi="Arial TUR" w:cs="FrankRuehl" w:hint="cs"/>
          <w:spacing w:val="10"/>
          <w:sz w:val="22"/>
          <w:szCs w:val="28"/>
          <w:rtl/>
        </w:rPr>
        <w:t xml:space="preserve">ה. [...] </w:t>
      </w:r>
      <w:r w:rsidRPr="00632224">
        <w:rPr>
          <w:rFonts w:ascii="Arial TUR" w:hAnsi="Arial TUR" w:cs="FrankRuehl"/>
          <w:spacing w:val="10"/>
          <w:sz w:val="22"/>
          <w:szCs w:val="28"/>
          <w:rtl/>
        </w:rPr>
        <w:t>אכן, אף אני סבורה כי קיימים עקרונות יסוד, העומדים בבסיס קיומנו כחברה וכמדינה אשר פגיעה בהם תעורר שאלות קשות של סמכות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במקרה כזה</w:t>
      </w:r>
      <w:r w:rsidRPr="00632224">
        <w:rPr>
          <w:rFonts w:cs="FrankRuehl"/>
          <w:spacing w:val="10"/>
          <w:sz w:val="24"/>
          <w:szCs w:val="28"/>
          <w:rtl/>
        </w:rPr>
        <w:t xml:space="preserve"> – </w:t>
      </w:r>
      <w:r w:rsidRPr="00632224">
        <w:rPr>
          <w:rFonts w:ascii="Arial TUR" w:hAnsi="Arial TUR" w:cs="FrankRuehl"/>
          <w:spacing w:val="10"/>
          <w:sz w:val="22"/>
          <w:szCs w:val="28"/>
          <w:rtl/>
        </w:rPr>
        <w:t>ומוטב שלא יתרחש לעולם – יידרש בית המשפט להכריע אם חרגה הכנסת מסמכותה המכוננת ופגעה ביסודות בסיסיים של המדינה כמדינה יהודית ודמוקרטי</w:t>
      </w:r>
      <w:r w:rsidRPr="00632224">
        <w:rPr>
          <w:rFonts w:ascii="Arial TUR" w:hAnsi="Arial TUR" w:cs="FrankRuehl" w:hint="cs"/>
          <w:spacing w:val="10"/>
          <w:sz w:val="22"/>
          <w:szCs w:val="28"/>
          <w:rtl/>
        </w:rPr>
        <w:t xml:space="preserve">ת" (עניין </w:t>
      </w:r>
      <w:r w:rsidRPr="00632224">
        <w:rPr>
          <w:rFonts w:ascii="Century" w:hAnsi="Century" w:cs="Miriam" w:hint="cs"/>
          <w:b/>
          <w:sz w:val="22"/>
          <w:rtl/>
        </w:rPr>
        <w:t>התקציב הדו-שנתי</w:t>
      </w:r>
      <w:r w:rsidRPr="00632224">
        <w:rPr>
          <w:rFonts w:ascii="Arial TUR" w:hAnsi="Arial TUR" w:cs="FrankRuehl" w:hint="cs"/>
          <w:spacing w:val="10"/>
          <w:sz w:val="22"/>
          <w:szCs w:val="28"/>
          <w:rtl/>
        </w:rPr>
        <w:t xml:space="preserve">, </w:t>
      </w:r>
      <w:r w:rsidRPr="00632224">
        <w:rPr>
          <w:rFonts w:ascii="Arial TUR" w:hAnsi="Arial TUR" w:cs="FrankRuehl" w:hint="eastAsia"/>
          <w:spacing w:val="10"/>
          <w:sz w:val="22"/>
          <w:szCs w:val="28"/>
          <w:rtl/>
        </w:rPr>
        <w:t>בפסקה</w:t>
      </w:r>
      <w:r w:rsidRPr="00632224">
        <w:rPr>
          <w:rFonts w:ascii="Arial TUR" w:hAnsi="Arial TUR" w:cs="FrankRuehl"/>
          <w:spacing w:val="10"/>
          <w:sz w:val="22"/>
          <w:szCs w:val="28"/>
          <w:rtl/>
        </w:rPr>
        <w:t xml:space="preserve"> 34 לפסק דינה של הנשיאה </w:t>
      </w:r>
      <w:r w:rsidRPr="00632224">
        <w:rPr>
          <w:rFonts w:ascii="Arial TUR" w:hAnsi="Arial TUR" w:cs="Miriam" w:hint="eastAsia"/>
          <w:b/>
          <w:sz w:val="22"/>
          <w:rtl/>
        </w:rPr>
        <w:t>ביניש</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"סבורני כי אין להרחיק לכת ולסתום את הגולל על סמכותו של בית משפט זה לבקר חקיקת יסוד, וזאת בזהירות הנדרשת ועל פי אמות מידה קפדניות [...]. ככל רשויות השלטון, מחויב בית משפט זה להגן על חוקי היסוד המצויים בליבת שיטתנו המשפטית [...], ולהכריע בסוגיות המובאות לפניו לאור ערכי היסוד הראויים למשטר דמוקרטי חוקתי – יהיו הם כתובים עלי ספר או לאו [...]" (בג"ץ 8260/16 </w:t>
      </w:r>
      <w:r w:rsidRPr="00632224">
        <w:rPr>
          <w:rFonts w:ascii="Century" w:hAnsi="Century" w:cs="Miriam" w:hint="cs"/>
          <w:b/>
          <w:sz w:val="22"/>
          <w:rtl/>
        </w:rPr>
        <w:t>המרכז האקדמי למשפט ועסקים נ' כנסת ישראל</w:t>
      </w:r>
      <w:r w:rsidRPr="00632224">
        <w:rPr>
          <w:rFonts w:ascii="Century" w:hAnsi="Century" w:cs="FrankRuehl"/>
          <w:spacing w:val="10"/>
          <w:sz w:val="22"/>
          <w:szCs w:val="28"/>
          <w:rtl/>
        </w:rPr>
        <w:t>,</w:t>
      </w:r>
      <w:r w:rsidRPr="00632224">
        <w:rPr>
          <w:rFonts w:ascii="Century" w:hAnsi="Century" w:cs="Miriam" w:hint="cs"/>
          <w:b/>
          <w:sz w:val="22"/>
          <w:rtl/>
        </w:rPr>
        <w:t xml:space="preserve"> </w:t>
      </w:r>
      <w:r w:rsidRPr="00632224">
        <w:rPr>
          <w:rFonts w:ascii="Arial TUR" w:hAnsi="Arial TUR" w:cs="FrankRuehl" w:hint="cs"/>
          <w:spacing w:val="10"/>
          <w:sz w:val="22"/>
          <w:szCs w:val="28"/>
          <w:rtl/>
        </w:rPr>
        <w:t xml:space="preserve">פסקה 3 לפסק דינו של המשנה לנשיאה </w:t>
      </w:r>
      <w:r w:rsidRPr="00632224">
        <w:rPr>
          <w:rFonts w:ascii="Century" w:hAnsi="Century" w:cs="Miriam" w:hint="eastAsia"/>
          <w:b/>
          <w:sz w:val="22"/>
          <w:rtl/>
        </w:rPr>
        <w:t>ג</w:t>
      </w:r>
      <w:r w:rsidRPr="00632224">
        <w:rPr>
          <w:rFonts w:ascii="Century" w:hAnsi="Century" w:cs="Miriam"/>
          <w:b/>
          <w:sz w:val="22"/>
          <w:rtl/>
        </w:rPr>
        <w:t>'ובראן</w:t>
      </w:r>
      <w:r w:rsidRPr="00632224">
        <w:rPr>
          <w:rFonts w:ascii="Arial TUR" w:hAnsi="Arial TUR" w:cs="FrankRuehl" w:hint="cs"/>
          <w:spacing w:val="10"/>
          <w:sz w:val="22"/>
          <w:szCs w:val="28"/>
          <w:rtl/>
        </w:rPr>
        <w:t xml:space="preserve"> </w:t>
      </w:r>
      <w:r w:rsidRPr="00632224">
        <w:rPr>
          <w:rFonts w:ascii="Century" w:hAnsi="Century" w:cs="FrankRuehl" w:hint="cs"/>
          <w:spacing w:val="10"/>
          <w:sz w:val="22"/>
          <w:szCs w:val="28"/>
          <w:rtl/>
        </w:rPr>
        <w:t>(6.9.2017) (להלן: עניין</w:t>
      </w:r>
      <w:r w:rsidRPr="00632224">
        <w:rPr>
          <w:rFonts w:ascii="Century" w:hAnsi="Century" w:cs="Miriam" w:hint="cs"/>
          <w:b/>
          <w:sz w:val="22"/>
          <w:rtl/>
        </w:rPr>
        <w:t xml:space="preserve"> המרכז האקדמי</w:t>
      </w:r>
      <w:r w:rsidRPr="00632224">
        <w:rPr>
          <w:rFonts w:ascii="Century" w:hAnsi="Century" w:cs="FrankRuehl"/>
          <w:spacing w:val="10"/>
          <w:sz w:val="22"/>
          <w:szCs w:val="28"/>
          <w:rtl/>
        </w:rPr>
        <w:t>)</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8"/>
          <w:szCs w:val="28"/>
          <w:rtl/>
        </w:rPr>
        <w:t xml:space="preserve">"[...] אם ימצא בית משפט זה כי תיקון שנעשה לחוק היסוד פוגע בצורה חמורה במשטר הדמוקרטי, אין לשלול את האפשרות – ושוב, אומר זאת בזהירות המתבקשת, כי נושא זה טרם נדון לגופו בבית המשפט – כי הדבר יוביל למסקנה </w:t>
      </w:r>
      <w:r w:rsidRPr="00632224">
        <w:rPr>
          <w:rFonts w:ascii="Century" w:hAnsi="Century" w:cs="FrankRuehl" w:hint="eastAsia"/>
          <w:spacing w:val="10"/>
          <w:sz w:val="22"/>
          <w:szCs w:val="28"/>
          <w:rtl/>
        </w:rPr>
        <w:t>החריגה</w:t>
      </w:r>
      <w:r w:rsidRPr="00632224">
        <w:rPr>
          <w:rFonts w:ascii="Arial TUR" w:hAnsi="Arial TUR" w:cs="FrankRuehl" w:hint="cs"/>
          <w:spacing w:val="10"/>
          <w:sz w:val="28"/>
          <w:szCs w:val="28"/>
          <w:rtl/>
        </w:rPr>
        <w:t xml:space="preserve"> שמדובר בתיקון חוקתי שאינו חוקתי ולכן יש לפסלו" (</w:t>
      </w:r>
      <w:r w:rsidRPr="00632224">
        <w:rPr>
          <w:rFonts w:ascii="Arial TUR" w:hAnsi="Arial TUR" w:cs="FrankRuehl" w:hint="cs"/>
          <w:spacing w:val="10"/>
          <w:sz w:val="22"/>
          <w:szCs w:val="28"/>
          <w:rtl/>
        </w:rPr>
        <w:t xml:space="preserve">עניין </w:t>
      </w:r>
      <w:r w:rsidRPr="00632224">
        <w:rPr>
          <w:rFonts w:ascii="Century" w:hAnsi="Century" w:cs="Miriam" w:hint="cs"/>
          <w:b/>
          <w:sz w:val="22"/>
          <w:rtl/>
        </w:rPr>
        <w:t>המרכז האקדמי</w:t>
      </w:r>
      <w:r w:rsidRPr="00632224">
        <w:rPr>
          <w:rFonts w:ascii="Arial TUR" w:hAnsi="Arial TUR" w:cs="FrankRuehl" w:hint="cs"/>
          <w:spacing w:val="10"/>
          <w:sz w:val="28"/>
          <w:szCs w:val="28"/>
          <w:rtl/>
        </w:rPr>
        <w:t>, בפסקה</w:t>
      </w:r>
      <w:r w:rsidRPr="00632224">
        <w:rPr>
          <w:rFonts w:ascii="Arial TUR" w:hAnsi="Arial TUR" w:cs="FrankRuehl" w:hint="cs"/>
          <w:spacing w:val="10"/>
          <w:sz w:val="22"/>
          <w:szCs w:val="28"/>
          <w:rtl/>
        </w:rPr>
        <w:t xml:space="preserve"> לה לפסק דינו של המשנה לנשיאה (בדימ') </w:t>
      </w:r>
      <w:r w:rsidRPr="00632224">
        <w:rPr>
          <w:rFonts w:ascii="Century" w:hAnsi="Century" w:cs="Miriam" w:hint="cs"/>
          <w:b/>
          <w:sz w:val="22"/>
          <w:rtl/>
        </w:rPr>
        <w:t>רובינשטיין</w:t>
      </w:r>
      <w:r w:rsidRPr="00632224">
        <w:rPr>
          <w:rFonts w:ascii="Arial TUR" w:hAnsi="Arial TUR" w:cs="FrankRuehl" w:hint="cs"/>
          <w:spacing w:val="10"/>
          <w:sz w:val="22"/>
          <w:szCs w:val="28"/>
          <w:rtl/>
        </w:rPr>
        <w:t>).</w:t>
      </w:r>
    </w:p>
    <w:p w:rsidR="00244560" w:rsidRPr="00632224" w:rsidRDefault="00244560" w:rsidP="00244560">
      <w:pPr>
        <w:adjustRightInd/>
        <w:ind w:left="1642" w:right="1282"/>
        <w:jc w:val="both"/>
        <w:textAlignment w:val="auto"/>
        <w:rPr>
          <w:rFonts w:ascii="Arial TUR" w:hAnsi="Arial TUR" w:cs="FrankRuehl"/>
          <w:spacing w:val="10"/>
          <w:sz w:val="28"/>
          <w:szCs w:val="28"/>
          <w:rtl/>
          <w:lang w:eastAsia="he-IL"/>
        </w:rPr>
      </w:pPr>
    </w:p>
    <w:p w:rsidR="00244560" w:rsidRPr="00632224" w:rsidRDefault="00244560" w:rsidP="00244560">
      <w:pPr>
        <w:adjustRightInd/>
        <w:ind w:left="1642" w:right="1282"/>
        <w:jc w:val="both"/>
        <w:textAlignment w:val="auto"/>
        <w:rPr>
          <w:rFonts w:ascii="Arial TUR" w:hAnsi="Arial TUR" w:cs="FrankRuehl"/>
          <w:spacing w:val="10"/>
          <w:sz w:val="28"/>
          <w:szCs w:val="28"/>
          <w:rtl/>
          <w:lang w:eastAsia="he-I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גם בדברי מלומדים אנו מוצאים כי יש ערכי יסוד שהם גבוה-מעל-גבוה, המסמיכים את בית המשפט לבקר חוקי יסוד. אביא מקצת הדברים:</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"חירות, שוויון, צדק אינם רק ערכי-יסוד; הם גם מושגי-יסוד הקודמים לשיטה המשפטית וקיימים מעל ומעבר לה" (גואלטירו פרוקצ'יה "הערות בדבר שינוי תוכנם של ערכי-היסוד במשפט" </w:t>
      </w:r>
      <w:r w:rsidRPr="00632224">
        <w:rPr>
          <w:rFonts w:cs="Miriam" w:hint="cs"/>
          <w:sz w:val="22"/>
          <w:rtl/>
        </w:rPr>
        <w:t>עיוני משפט</w:t>
      </w:r>
      <w:r w:rsidRPr="00632224">
        <w:rPr>
          <w:rFonts w:ascii="Arial TUR" w:hAnsi="Arial TUR" w:cs="FrankRuehl" w:hint="cs"/>
          <w:spacing w:val="10"/>
          <w:sz w:val="22"/>
          <w:szCs w:val="28"/>
          <w:rtl/>
        </w:rPr>
        <w:t xml:space="preserve"> טו 377, 382 (1990)).</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adjustRightInd/>
        <w:ind w:left="1642" w:right="1282"/>
        <w:jc w:val="both"/>
        <w:textAlignment w:val="auto"/>
        <w:rPr>
          <w:rFonts w:ascii="Arial TUR" w:hAnsi="Arial TUR" w:cs="FrankRuehl"/>
          <w:spacing w:val="10"/>
          <w:sz w:val="28"/>
          <w:szCs w:val="28"/>
          <w:rtl/>
          <w:lang w:eastAsia="he-IL"/>
        </w:rPr>
      </w:pPr>
      <w:r w:rsidRPr="00632224">
        <w:rPr>
          <w:rFonts w:ascii="Arial TUR" w:hAnsi="Arial TUR" w:cs="FrankRuehl" w:hint="cs"/>
          <w:spacing w:val="10"/>
          <w:sz w:val="28"/>
          <w:szCs w:val="28"/>
          <w:rtl/>
          <w:lang w:eastAsia="he-IL"/>
        </w:rPr>
        <w:t>"[...] הגבלה זו על כוחו של המחוקק חלה במקרים מיוחדים ויוצאי דופן שבהם השינוי החוקתי פוגע בליבת הדמוקרטיה ושולל את תכונות המינימום הדרושות למשטר דמוקרטי" (</w:t>
      </w:r>
      <w:r w:rsidRPr="00632224">
        <w:rPr>
          <w:rFonts w:ascii="Century" w:hAnsi="Century" w:cs="FrankRuehl" w:hint="eastAsia"/>
          <w:spacing w:val="10"/>
          <w:sz w:val="22"/>
          <w:szCs w:val="28"/>
          <w:rtl/>
          <w:lang w:eastAsia="he-IL"/>
        </w:rPr>
        <w:t>אהרן</w:t>
      </w:r>
      <w:r w:rsidRPr="00632224">
        <w:rPr>
          <w:rFonts w:ascii="Century" w:hAnsi="Century" w:cs="FrankRuehl"/>
          <w:spacing w:val="10"/>
          <w:sz w:val="22"/>
          <w:szCs w:val="28"/>
          <w:rtl/>
          <w:lang w:eastAsia="he-IL"/>
        </w:rPr>
        <w:t xml:space="preserve"> </w:t>
      </w:r>
      <w:r w:rsidRPr="00632224">
        <w:rPr>
          <w:rFonts w:ascii="Century" w:hAnsi="Century" w:cs="FrankRuehl" w:hint="eastAsia"/>
          <w:spacing w:val="10"/>
          <w:sz w:val="22"/>
          <w:szCs w:val="28"/>
          <w:rtl/>
          <w:lang w:eastAsia="he-IL"/>
        </w:rPr>
        <w:t>ברק</w:t>
      </w:r>
      <w:r w:rsidRPr="00632224">
        <w:rPr>
          <w:rFonts w:ascii="Century" w:hAnsi="Century" w:cs="FrankRuehl"/>
          <w:spacing w:val="10"/>
          <w:sz w:val="22"/>
          <w:szCs w:val="28"/>
          <w:rtl/>
          <w:lang w:eastAsia="he-IL"/>
        </w:rPr>
        <w:t xml:space="preserve"> </w:t>
      </w:r>
      <w:r w:rsidRPr="00632224">
        <w:rPr>
          <w:rFonts w:ascii="Century" w:hAnsi="Century" w:cs="Miriam" w:hint="eastAsia"/>
          <w:b/>
          <w:sz w:val="22"/>
          <w:rtl/>
          <w:lang w:eastAsia="he-IL"/>
        </w:rPr>
        <w:t>שופט</w:t>
      </w:r>
      <w:r w:rsidRPr="00632224">
        <w:rPr>
          <w:rFonts w:ascii="Century" w:hAnsi="Century" w:cs="Miriam"/>
          <w:b/>
          <w:sz w:val="22"/>
          <w:rtl/>
          <w:lang w:eastAsia="he-IL"/>
        </w:rPr>
        <w:t xml:space="preserve"> </w:t>
      </w:r>
      <w:r w:rsidRPr="00632224">
        <w:rPr>
          <w:rFonts w:ascii="Century" w:hAnsi="Century" w:cs="Miriam" w:hint="eastAsia"/>
          <w:b/>
          <w:sz w:val="22"/>
          <w:rtl/>
          <w:lang w:eastAsia="he-IL"/>
        </w:rPr>
        <w:t>בחברה</w:t>
      </w:r>
      <w:r w:rsidRPr="00632224">
        <w:rPr>
          <w:rFonts w:ascii="Century" w:hAnsi="Century" w:cs="Miriam"/>
          <w:b/>
          <w:sz w:val="22"/>
          <w:rtl/>
          <w:lang w:eastAsia="he-IL"/>
        </w:rPr>
        <w:t xml:space="preserve"> </w:t>
      </w:r>
      <w:r w:rsidRPr="00632224">
        <w:rPr>
          <w:rFonts w:ascii="Century" w:hAnsi="Century" w:cs="Miriam" w:hint="eastAsia"/>
          <w:b/>
          <w:sz w:val="22"/>
          <w:rtl/>
          <w:lang w:eastAsia="he-IL"/>
        </w:rPr>
        <w:t>דמוקרטית</w:t>
      </w:r>
      <w:r w:rsidRPr="00632224">
        <w:rPr>
          <w:rFonts w:ascii="Century" w:hAnsi="Century" w:cs="FrankRuehl"/>
          <w:spacing w:val="10"/>
          <w:sz w:val="22"/>
          <w:szCs w:val="28"/>
          <w:rtl/>
          <w:lang w:eastAsia="he-IL"/>
        </w:rPr>
        <w:t xml:space="preserve"> </w:t>
      </w:r>
      <w:r w:rsidRPr="00632224">
        <w:rPr>
          <w:rFonts w:ascii="Century" w:hAnsi="Century" w:cs="FrankRuehl" w:hint="cs"/>
          <w:spacing w:val="10"/>
          <w:sz w:val="22"/>
          <w:szCs w:val="28"/>
          <w:rtl/>
          <w:lang w:eastAsia="he-IL"/>
        </w:rPr>
        <w:t xml:space="preserve">99 </w:t>
      </w:r>
      <w:r w:rsidRPr="00632224">
        <w:rPr>
          <w:rFonts w:ascii="Century" w:hAnsi="Century" w:cs="FrankRuehl"/>
          <w:spacing w:val="10"/>
          <w:sz w:val="22"/>
          <w:szCs w:val="28"/>
          <w:rtl/>
          <w:lang w:eastAsia="he-IL"/>
        </w:rPr>
        <w:t>(2004)</w:t>
      </w:r>
      <w:r w:rsidRPr="00632224">
        <w:rPr>
          <w:rFonts w:ascii="Century" w:hAnsi="Century" w:cs="FrankRuehl" w:hint="cs"/>
          <w:spacing w:val="10"/>
          <w:sz w:val="22"/>
          <w:szCs w:val="28"/>
          <w:rtl/>
          <w:lang w:eastAsia="he-IL"/>
        </w:rPr>
        <w:t xml:space="preserve"> (להלן: </w:t>
      </w:r>
      <w:r w:rsidRPr="00632224">
        <w:rPr>
          <w:rFonts w:ascii="Century" w:hAnsi="Century" w:cs="Miriam" w:hint="eastAsia"/>
          <w:b/>
          <w:sz w:val="22"/>
          <w:rtl/>
          <w:lang w:eastAsia="he-IL"/>
        </w:rPr>
        <w:t>ברק</w:t>
      </w:r>
      <w:r w:rsidRPr="00632224">
        <w:rPr>
          <w:rFonts w:ascii="Century" w:hAnsi="Century" w:cs="Miriam"/>
          <w:b/>
          <w:sz w:val="22"/>
          <w:rtl/>
          <w:lang w:eastAsia="he-IL"/>
        </w:rPr>
        <w:t xml:space="preserve"> </w:t>
      </w:r>
      <w:r w:rsidRPr="00632224">
        <w:rPr>
          <w:rFonts w:ascii="Century" w:hAnsi="Century" w:cs="Miriam" w:hint="eastAsia"/>
          <w:b/>
          <w:sz w:val="22"/>
          <w:rtl/>
          <w:lang w:eastAsia="he-IL"/>
        </w:rPr>
        <w:t>שופט</w:t>
      </w:r>
      <w:r w:rsidRPr="00632224">
        <w:rPr>
          <w:rFonts w:ascii="Century" w:hAnsi="Century" w:cs="Miriam"/>
          <w:b/>
          <w:sz w:val="22"/>
          <w:rtl/>
          <w:lang w:eastAsia="he-IL"/>
        </w:rPr>
        <w:t xml:space="preserve"> </w:t>
      </w:r>
      <w:r w:rsidRPr="00632224">
        <w:rPr>
          <w:rFonts w:ascii="Century" w:hAnsi="Century" w:cs="Miriam" w:hint="eastAsia"/>
          <w:b/>
          <w:sz w:val="22"/>
          <w:rtl/>
          <w:lang w:eastAsia="he-IL"/>
        </w:rPr>
        <w:t>בחברה</w:t>
      </w:r>
      <w:r w:rsidRPr="00632224">
        <w:rPr>
          <w:rFonts w:ascii="Century" w:hAnsi="Century" w:cs="Miriam"/>
          <w:b/>
          <w:sz w:val="22"/>
          <w:rtl/>
          <w:lang w:eastAsia="he-IL"/>
        </w:rPr>
        <w:t xml:space="preserve"> </w:t>
      </w:r>
      <w:r w:rsidRPr="00632224">
        <w:rPr>
          <w:rFonts w:ascii="Century" w:hAnsi="Century" w:cs="Miriam" w:hint="eastAsia"/>
          <w:b/>
          <w:sz w:val="22"/>
          <w:rtl/>
          <w:lang w:eastAsia="he-IL"/>
        </w:rPr>
        <w:t>דמוקרטית</w:t>
      </w:r>
      <w:r w:rsidRPr="00632224">
        <w:rPr>
          <w:rFonts w:ascii="Century" w:hAnsi="Century" w:cs="FrankRuehl" w:hint="cs"/>
          <w:spacing w:val="10"/>
          <w:sz w:val="22"/>
          <w:szCs w:val="28"/>
          <w:rtl/>
          <w:lang w:eastAsia="he-IL"/>
        </w:rPr>
        <w:t>)</w:t>
      </w:r>
      <w:r w:rsidRPr="00632224">
        <w:rPr>
          <w:rFonts w:ascii="Arial TUR" w:hAnsi="Arial TUR" w:cs="FrankRuehl" w:hint="cs"/>
          <w:spacing w:val="10"/>
          <w:sz w:val="28"/>
          <w:szCs w:val="28"/>
          <w:rtl/>
          <w:lang w:eastAsia="he-IL"/>
        </w:rPr>
        <w:t xml:space="preserve">). </w:t>
      </w:r>
    </w:p>
    <w:p w:rsidR="00244560" w:rsidRPr="00632224" w:rsidRDefault="00244560" w:rsidP="00244560">
      <w:pPr>
        <w:adjustRightInd/>
        <w:ind w:left="1642" w:right="1282"/>
        <w:jc w:val="both"/>
        <w:textAlignment w:val="auto"/>
        <w:rPr>
          <w:rFonts w:ascii="Arial TUR" w:hAnsi="Arial TUR" w:cs="FrankRuehl"/>
          <w:spacing w:val="10"/>
          <w:sz w:val="28"/>
          <w:szCs w:val="28"/>
          <w:rtl/>
          <w:lang w:eastAsia="he-IL"/>
        </w:rPr>
      </w:pPr>
    </w:p>
    <w:p w:rsidR="00244560" w:rsidRPr="00632224" w:rsidRDefault="00244560" w:rsidP="00244560">
      <w:pPr>
        <w:adjustRightInd/>
        <w:ind w:left="1642" w:right="1282"/>
        <w:jc w:val="both"/>
        <w:textAlignment w:val="auto"/>
        <w:rPr>
          <w:rFonts w:ascii="Arial TUR" w:hAnsi="Arial TUR" w:cs="FrankRuehl"/>
          <w:spacing w:val="10"/>
          <w:sz w:val="28"/>
          <w:szCs w:val="28"/>
          <w:rtl/>
          <w:lang w:eastAsia="he-IL"/>
        </w:rPr>
      </w:pPr>
      <w:r w:rsidRPr="00632224">
        <w:rPr>
          <w:rFonts w:ascii="Arial TUR" w:hAnsi="Arial TUR" w:cs="FrankRuehl" w:hint="cs"/>
          <w:spacing w:val="10"/>
          <w:sz w:val="28"/>
          <w:szCs w:val="28"/>
          <w:rtl/>
          <w:lang w:eastAsia="he-IL"/>
        </w:rPr>
        <w:t xml:space="preserve">"חשוב לזכור כי, עקרונית, ניתן לייחס עליונות גם לנורמות שאינן חקוקות. זה הוא המעמד של משפט הטבע בתורות משפט טבע של המשפט, וזה הוא מעמד 'ערכי היסוד' אם הקהילה המשפטית ובתי המשפט יבחנו תוקפם של חוקים על פיהם" (רות </w:t>
      </w:r>
      <w:r w:rsidRPr="00632224">
        <w:rPr>
          <w:rFonts w:ascii="Century" w:hAnsi="Century" w:cs="FrankRuehl" w:hint="eastAsia"/>
          <w:spacing w:val="10"/>
          <w:sz w:val="22"/>
          <w:szCs w:val="28"/>
          <w:rtl/>
          <w:lang w:eastAsia="he-IL"/>
        </w:rPr>
        <w:t>גביזון</w:t>
      </w:r>
      <w:r w:rsidRPr="00632224">
        <w:rPr>
          <w:rFonts w:ascii="Century" w:hAnsi="Century" w:cs="FrankRuehl"/>
          <w:spacing w:val="10"/>
          <w:sz w:val="22"/>
          <w:szCs w:val="28"/>
          <w:rtl/>
          <w:lang w:eastAsia="he-IL"/>
        </w:rPr>
        <w:t xml:space="preserve"> "המהפכה החוקתית</w:t>
      </w:r>
      <w:r w:rsidRPr="00632224">
        <w:rPr>
          <w:rFonts w:ascii="Century" w:hAnsi="Century" w:cs="FrankRuehl" w:hint="cs"/>
          <w:spacing w:val="10"/>
          <w:sz w:val="22"/>
          <w:szCs w:val="28"/>
          <w:rtl/>
          <w:lang w:eastAsia="he-IL"/>
        </w:rPr>
        <w:t xml:space="preserve"> </w:t>
      </w:r>
      <w:r w:rsidRPr="00632224">
        <w:rPr>
          <w:rFonts w:ascii="Century" w:hAnsi="Century" w:cs="FrankRuehl"/>
          <w:spacing w:val="10"/>
          <w:sz w:val="22"/>
          <w:szCs w:val="28"/>
          <w:rtl/>
          <w:lang w:eastAsia="he-IL"/>
        </w:rPr>
        <w:t>–</w:t>
      </w:r>
      <w:r w:rsidRPr="00632224">
        <w:rPr>
          <w:rFonts w:ascii="Century" w:hAnsi="Century" w:cs="FrankRuehl" w:hint="cs"/>
          <w:spacing w:val="10"/>
          <w:sz w:val="22"/>
          <w:szCs w:val="28"/>
          <w:rtl/>
          <w:lang w:eastAsia="he-IL"/>
        </w:rPr>
        <w:t xml:space="preserve"> </w:t>
      </w:r>
      <w:r w:rsidRPr="00632224">
        <w:rPr>
          <w:rFonts w:ascii="Century" w:hAnsi="Century" w:cs="FrankRuehl"/>
          <w:spacing w:val="10"/>
          <w:sz w:val="22"/>
          <w:szCs w:val="28"/>
          <w:rtl/>
          <w:lang w:eastAsia="he-IL"/>
        </w:rPr>
        <w:t xml:space="preserve">תיאור </w:t>
      </w:r>
      <w:r w:rsidRPr="00632224">
        <w:rPr>
          <w:rFonts w:ascii="Arial TUR" w:hAnsi="Arial TUR" w:cs="FrankRuehl" w:hint="cs"/>
          <w:spacing w:val="10"/>
          <w:sz w:val="28"/>
          <w:szCs w:val="28"/>
          <w:rtl/>
          <w:lang w:eastAsia="he-IL"/>
        </w:rPr>
        <w:t xml:space="preserve">המציאות או נבואה המגשימה את עצמה?" </w:t>
      </w:r>
      <w:r w:rsidRPr="00632224">
        <w:rPr>
          <w:rFonts w:ascii="Arial TUR" w:hAnsi="Arial TUR" w:cs="Miriam" w:hint="cs"/>
          <w:sz w:val="24"/>
          <w:rtl/>
          <w:lang w:eastAsia="he-IL"/>
        </w:rPr>
        <w:t>משפטים</w:t>
      </w:r>
      <w:r w:rsidRPr="00632224">
        <w:rPr>
          <w:rFonts w:ascii="Arial TUR" w:hAnsi="Arial TUR" w:cs="FrankRuehl" w:hint="cs"/>
          <w:spacing w:val="10"/>
          <w:sz w:val="28"/>
          <w:szCs w:val="28"/>
          <w:rtl/>
          <w:lang w:eastAsia="he-IL"/>
        </w:rPr>
        <w:t xml:space="preserve"> כח 21, 36-35 (1997) (להלן: </w:t>
      </w:r>
      <w:r w:rsidRPr="00632224">
        <w:rPr>
          <w:rFonts w:ascii="Century" w:hAnsi="Century" w:cs="Miriam" w:hint="eastAsia"/>
          <w:b/>
          <w:sz w:val="22"/>
          <w:rtl/>
          <w:lang w:eastAsia="he-IL"/>
        </w:rPr>
        <w:t>גביזון</w:t>
      </w:r>
      <w:r w:rsidRPr="00632224">
        <w:rPr>
          <w:rFonts w:ascii="Century" w:hAnsi="Century" w:cs="Miriam"/>
          <w:b/>
          <w:sz w:val="22"/>
          <w:rtl/>
          <w:lang w:eastAsia="he-IL"/>
        </w:rPr>
        <w:t xml:space="preserve"> </w:t>
      </w:r>
      <w:r w:rsidRPr="00632224">
        <w:rPr>
          <w:rFonts w:ascii="Century" w:hAnsi="Century" w:cs="Miriam" w:hint="eastAsia"/>
          <w:b/>
          <w:sz w:val="22"/>
          <w:rtl/>
          <w:lang w:eastAsia="he-IL"/>
        </w:rPr>
        <w:t>המהפכה</w:t>
      </w:r>
      <w:r w:rsidRPr="00632224">
        <w:rPr>
          <w:rFonts w:ascii="Century" w:hAnsi="Century" w:cs="Miriam"/>
          <w:b/>
          <w:sz w:val="22"/>
          <w:rtl/>
          <w:lang w:eastAsia="he-IL"/>
        </w:rPr>
        <w:t xml:space="preserve"> </w:t>
      </w:r>
      <w:r w:rsidRPr="00632224">
        <w:rPr>
          <w:rFonts w:ascii="Century" w:hAnsi="Century" w:cs="Miriam" w:hint="eastAsia"/>
          <w:b/>
          <w:sz w:val="22"/>
          <w:rtl/>
          <w:lang w:eastAsia="he-IL"/>
        </w:rPr>
        <w:t>החוקתית</w:t>
      </w:r>
      <w:r w:rsidRPr="00632224">
        <w:rPr>
          <w:rFonts w:ascii="Arial TUR" w:hAnsi="Arial TUR" w:cs="FrankRuehl" w:hint="cs"/>
          <w:spacing w:val="10"/>
          <w:sz w:val="28"/>
          <w:szCs w:val="28"/>
          <w:rtl/>
          <w:lang w:eastAsia="he-IL"/>
        </w:rPr>
        <w:t xml:space="preserve">)). </w:t>
      </w:r>
    </w:p>
    <w:p w:rsidR="00244560" w:rsidRPr="00632224" w:rsidRDefault="00244560" w:rsidP="00244560">
      <w:pPr>
        <w:adjustRightInd/>
        <w:ind w:left="1642" w:right="1282"/>
        <w:jc w:val="both"/>
        <w:textAlignment w:val="auto"/>
        <w:rPr>
          <w:rFonts w:ascii="Arial TUR" w:hAnsi="Arial TUR" w:cs="Arial TUR"/>
          <w:spacing w:val="10"/>
          <w:sz w:val="22"/>
          <w:szCs w:val="22"/>
          <w:rtl/>
          <w:lang w:eastAsia="he-IL"/>
        </w:rPr>
      </w:pPr>
      <w:r w:rsidRPr="00632224">
        <w:rPr>
          <w:rFonts w:ascii="Arial TUR" w:hAnsi="Arial TUR" w:cs="FrankRuehl" w:hint="cs"/>
          <w:spacing w:val="10"/>
          <w:sz w:val="28"/>
          <w:szCs w:val="28"/>
          <w:rtl/>
          <w:lang w:eastAsia="he-IL"/>
        </w:rPr>
        <w:t xml:space="preserve"> </w:t>
      </w: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את מעשי הכנסת יש לא </w:t>
      </w:r>
      <w:r w:rsidRPr="00632224">
        <w:rPr>
          <w:rFonts w:ascii="Arial TUR" w:hAnsi="Arial TUR" w:cs="FrankRuehl" w:hint="cs"/>
          <w:spacing w:val="10"/>
          <w:sz w:val="22"/>
          <w:szCs w:val="28"/>
          <w:rtl/>
        </w:rPr>
        <w:t>ר</w:t>
      </w:r>
      <w:r w:rsidRPr="00632224">
        <w:rPr>
          <w:rFonts w:ascii="Arial TUR" w:hAnsi="Arial TUR" w:cs="FrankRuehl"/>
          <w:spacing w:val="10"/>
          <w:sz w:val="22"/>
          <w:szCs w:val="28"/>
          <w:rtl/>
        </w:rPr>
        <w:t>ק לפרש לאורם של עקרונות העל המקובלים בחברה הישראלית, כי אם גם לבקר את עצם קיומם</w:t>
      </w:r>
      <w:r w:rsidRPr="00632224">
        <w:rPr>
          <w:rFonts w:cs="FrankRuehl"/>
          <w:spacing w:val="10"/>
          <w:sz w:val="24"/>
          <w:szCs w:val="28"/>
          <w:rtl/>
        </w:rPr>
        <w:t>.</w:t>
      </w:r>
      <w:r w:rsidRPr="00632224">
        <w:rPr>
          <w:rFonts w:ascii="Arial TUR" w:hAnsi="Arial TUR" w:cs="FrankRuehl" w:hint="cs"/>
          <w:spacing w:val="10"/>
          <w:sz w:val="28"/>
          <w:szCs w:val="28"/>
          <w:rtl/>
        </w:rPr>
        <w:t xml:space="preserve"> מעשה חקיקה שיסתור את עקרונות העל של החברה הישראלית לא יעבור את ביקורת בתי-המשפט. כך אחרי חקיקתם של חוקי-היסוד, וכך גם לפני חקיקתם" (יוסף אדרעי "מהפכה חוקתית האמנם?" </w:t>
      </w:r>
      <w:r w:rsidRPr="00632224">
        <w:rPr>
          <w:rFonts w:ascii="Arial TUR" w:hAnsi="Arial TUR" w:cs="Miriam" w:hint="cs"/>
          <w:sz w:val="24"/>
          <w:rtl/>
        </w:rPr>
        <w:t>משפט וממשל</w:t>
      </w:r>
      <w:r w:rsidRPr="00632224">
        <w:rPr>
          <w:rFonts w:ascii="Arial TUR" w:hAnsi="Arial TUR" w:cs="FrankRuehl" w:hint="cs"/>
          <w:spacing w:val="10"/>
          <w:sz w:val="28"/>
          <w:szCs w:val="28"/>
          <w:rtl/>
        </w:rPr>
        <w:t xml:space="preserve"> ג 453, 458 (1996)).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"ביטול הזיקה לעם היהודי או ביטול האופי הדמוקרטי של הממשל שקולים לביטולה של מדינת ישראל. זאת אין בסמכותה של האספה המכוננת של מדינת ישראל לעשות" (</w:t>
      </w:r>
      <w:r w:rsidRPr="00632224">
        <w:rPr>
          <w:rFonts w:ascii="Century" w:hAnsi="Century" w:cs="Miriam" w:hint="cs"/>
          <w:b/>
          <w:sz w:val="22"/>
          <w:rtl/>
        </w:rPr>
        <w:t>בנדור</w:t>
      </w:r>
      <w:r w:rsidRPr="00632224">
        <w:rPr>
          <w:rFonts w:ascii="Arial TUR" w:hAnsi="Arial TUR" w:cs="FrankRuehl" w:hint="cs"/>
          <w:spacing w:val="10"/>
          <w:sz w:val="22"/>
          <w:szCs w:val="28"/>
          <w:rtl/>
        </w:rPr>
        <w:t xml:space="preserve"> </w:t>
      </w:r>
      <w:r w:rsidRPr="00632224">
        <w:rPr>
          <w:rFonts w:ascii="Century" w:hAnsi="Century" w:cs="Miriam" w:hint="eastAsia"/>
          <w:b/>
          <w:sz w:val="22"/>
          <w:rtl/>
        </w:rPr>
        <w:t>חוקי</w:t>
      </w:r>
      <w:r w:rsidRPr="00632224">
        <w:rPr>
          <w:rFonts w:ascii="Century" w:hAnsi="Century" w:cs="Miriam"/>
          <w:b/>
          <w:sz w:val="22"/>
          <w:rtl/>
        </w:rPr>
        <w:t xml:space="preserve"> </w:t>
      </w:r>
      <w:r w:rsidRPr="00632224">
        <w:rPr>
          <w:rFonts w:ascii="Century" w:hAnsi="Century" w:cs="Miriam" w:hint="eastAsia"/>
          <w:b/>
          <w:sz w:val="22"/>
          <w:rtl/>
        </w:rPr>
        <w:t>יסוד</w:t>
      </w:r>
      <w:r w:rsidRPr="00632224">
        <w:rPr>
          <w:rFonts w:ascii="Arial TUR" w:hAnsi="Arial TUR" w:cs="FrankRuehl" w:hint="cs"/>
          <w:spacing w:val="10"/>
          <w:sz w:val="22"/>
          <w:szCs w:val="28"/>
          <w:rtl/>
        </w:rPr>
        <w:t>, בעמ' 142).</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למעשה, כבר לאחר פסק הדין בעניין </w:t>
      </w:r>
      <w:r w:rsidRPr="00632224">
        <w:rPr>
          <w:rFonts w:ascii="Century" w:hAnsi="Century" w:cs="Miriam" w:hint="cs"/>
          <w:b/>
          <w:sz w:val="22"/>
          <w:rtl/>
        </w:rPr>
        <w:t>בנק המזרחי</w:t>
      </w:r>
      <w:r w:rsidRPr="00632224">
        <w:rPr>
          <w:rFonts w:ascii="Century" w:hAnsi="Century" w:cs="FrankRuehl" w:hint="cs"/>
          <w:spacing w:val="10"/>
          <w:sz w:val="22"/>
          <w:szCs w:val="28"/>
          <w:rtl/>
        </w:rPr>
        <w:t>, היו שצפו את האפשרות כי יגיע הרגע שבו בית המשפט לא ימצא מנוס מפסילת חוק יסוד:</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ניתן להוסיף את האפשרות שבית</w:t>
      </w: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המשפט יתערב ויפסול גם פעולות של הכנסת בגדר כו</w:t>
      </w:r>
      <w:r w:rsidRPr="00632224">
        <w:rPr>
          <w:rFonts w:ascii="Century" w:hAnsi="Century" w:cs="FrankRuehl" w:hint="cs"/>
          <w:spacing w:val="10"/>
          <w:sz w:val="22"/>
          <w:szCs w:val="28"/>
          <w:rtl/>
        </w:rPr>
        <w:t>ח</w:t>
      </w:r>
      <w:r w:rsidRPr="00632224">
        <w:rPr>
          <w:rFonts w:ascii="Century" w:hAnsi="Century" w:cs="FrankRuehl"/>
          <w:spacing w:val="10"/>
          <w:sz w:val="22"/>
          <w:szCs w:val="28"/>
          <w:rtl/>
        </w:rPr>
        <w:t xml:space="preserve">ות הכינון שלה </w:t>
      </w: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ניתן להניח, שזוהי דרך</w:t>
      </w: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פעולה שבית</w:t>
      </w: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המשפט</w:t>
      </w: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 xml:space="preserve">ינקוט רק </w:t>
      </w:r>
      <w:r w:rsidRPr="00632224">
        <w:rPr>
          <w:rFonts w:ascii="Century" w:hAnsi="Century" w:cs="FrankRuehl" w:hint="cs"/>
          <w:spacing w:val="10"/>
          <w:sz w:val="22"/>
          <w:szCs w:val="28"/>
          <w:rtl/>
        </w:rPr>
        <w:t>ב</w:t>
      </w:r>
      <w:r w:rsidRPr="00632224">
        <w:rPr>
          <w:rFonts w:ascii="Century" w:hAnsi="Century" w:cs="FrankRuehl"/>
          <w:spacing w:val="10"/>
          <w:sz w:val="22"/>
          <w:szCs w:val="28"/>
          <w:rtl/>
        </w:rPr>
        <w:t>מצבים קיצוניים ונדירים</w:t>
      </w: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יח</w:t>
      </w:r>
      <w:r w:rsidRPr="00632224">
        <w:rPr>
          <w:rFonts w:ascii="Century" w:hAnsi="Century" w:cs="FrankRuehl" w:hint="cs"/>
          <w:spacing w:val="10"/>
          <w:sz w:val="22"/>
          <w:szCs w:val="28"/>
          <w:rtl/>
        </w:rPr>
        <w:t>ס</w:t>
      </w:r>
      <w:r w:rsidRPr="00632224">
        <w:rPr>
          <w:rFonts w:ascii="Century" w:hAnsi="Century" w:cs="FrankRuehl"/>
          <w:spacing w:val="10"/>
          <w:sz w:val="22"/>
          <w:szCs w:val="28"/>
          <w:rtl/>
        </w:rPr>
        <w:t>י</w:t>
      </w:r>
      <w:r w:rsidRPr="00632224">
        <w:rPr>
          <w:rFonts w:ascii="Century" w:hAnsi="Century" w:cs="FrankRuehl" w:hint="cs"/>
          <w:spacing w:val="10"/>
          <w:sz w:val="22"/>
          <w:szCs w:val="28"/>
          <w:rtl/>
        </w:rPr>
        <w:t>ת.</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Arial TUR" w:hAnsi="Arial TUR" w:cs="FrankRuehl" w:hint="cs"/>
          <w:spacing w:val="10"/>
          <w:sz w:val="22"/>
          <w:szCs w:val="28"/>
          <w:rtl/>
        </w:rPr>
        <w:t xml:space="preserve">[...] ואם יחוש </w:t>
      </w:r>
      <w:r w:rsidRPr="00632224">
        <w:rPr>
          <w:rFonts w:ascii="Arial TUR" w:hAnsi="Arial TUR" w:cs="FrankRuehl"/>
          <w:spacing w:val="10"/>
          <w:sz w:val="22"/>
          <w:szCs w:val="28"/>
          <w:rtl/>
        </w:rPr>
        <w:t>בית</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 xml:space="preserve">המשפט כי עליו לעשות צעד קיצוני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ולשבור את הכלים</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הרי המסגרת </w:t>
      </w:r>
      <w:r w:rsidRPr="00632224">
        <w:rPr>
          <w:rFonts w:ascii="Arial TUR" w:hAnsi="Arial TUR" w:cs="FrankRuehl" w:hint="cs"/>
          <w:spacing w:val="10"/>
          <w:sz w:val="22"/>
          <w:szCs w:val="28"/>
          <w:rtl/>
        </w:rPr>
        <w:t>ש</w:t>
      </w:r>
      <w:r w:rsidRPr="00632224">
        <w:rPr>
          <w:rFonts w:ascii="Arial TUR" w:hAnsi="Arial TUR" w:cs="FrankRuehl"/>
          <w:spacing w:val="10"/>
          <w:sz w:val="22"/>
          <w:szCs w:val="28"/>
          <w:rtl/>
        </w:rPr>
        <w:t xml:space="preserve">פותחה בעקבות </w:t>
      </w:r>
      <w:r w:rsidRPr="00632224">
        <w:rPr>
          <w:rFonts w:ascii="Arial TUR" w:hAnsi="Arial TUR" w:cs="FrankRuehl" w:hint="cs"/>
          <w:spacing w:val="10"/>
          <w:sz w:val="22"/>
          <w:szCs w:val="28"/>
          <w:rtl/>
        </w:rPr>
        <w:t xml:space="preserve">המהפכה </w:t>
      </w:r>
      <w:r w:rsidRPr="00632224">
        <w:rPr>
          <w:rFonts w:ascii="Arial TUR" w:hAnsi="Arial TUR" w:cs="FrankRuehl"/>
          <w:spacing w:val="10"/>
          <w:sz w:val="22"/>
          <w:szCs w:val="28"/>
          <w:rtl/>
        </w:rPr>
        <w:t xml:space="preserve">החוקתית מותירה לו את האמצעים העיוניים </w:t>
      </w:r>
      <w:r w:rsidRPr="00632224">
        <w:rPr>
          <w:rFonts w:ascii="Arial TUR" w:hAnsi="Arial TUR" w:cs="FrankRuehl" w:hint="cs"/>
          <w:spacing w:val="10"/>
          <w:sz w:val="22"/>
          <w:szCs w:val="28"/>
          <w:rtl/>
        </w:rPr>
        <w:t xml:space="preserve">לעשות </w:t>
      </w:r>
      <w:r w:rsidRPr="00632224">
        <w:rPr>
          <w:rFonts w:ascii="Arial TUR" w:hAnsi="Arial TUR" w:cs="FrankRuehl"/>
          <w:spacing w:val="10"/>
          <w:sz w:val="22"/>
          <w:szCs w:val="28"/>
          <w:rtl/>
        </w:rPr>
        <w:t>כ</w:t>
      </w:r>
      <w:r w:rsidRPr="00632224">
        <w:rPr>
          <w:rFonts w:ascii="Arial TUR" w:hAnsi="Arial TUR" w:cs="FrankRuehl" w:hint="cs"/>
          <w:spacing w:val="10"/>
          <w:sz w:val="22"/>
          <w:szCs w:val="28"/>
          <w:rtl/>
        </w:rPr>
        <w:t xml:space="preserve">ן. לפיכך </w:t>
      </w:r>
      <w:r w:rsidRPr="00632224">
        <w:rPr>
          <w:rFonts w:ascii="Arial TUR" w:hAnsi="Arial TUR" w:cs="FrankRuehl"/>
          <w:spacing w:val="10"/>
          <w:sz w:val="22"/>
          <w:szCs w:val="28"/>
          <w:rtl/>
        </w:rPr>
        <w:t>כאשר יחוש בית</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 xml:space="preserve">המשפט כי כלו כל הקצין, </w:t>
      </w:r>
      <w:r w:rsidRPr="00632224">
        <w:rPr>
          <w:rFonts w:ascii="Century" w:hAnsi="Century" w:cs="Miriam"/>
          <w:b/>
          <w:sz w:val="22"/>
          <w:rtl/>
        </w:rPr>
        <w:t xml:space="preserve">הוא עשוי להתערב ולהגביל גם את הסמכות </w:t>
      </w:r>
      <w:r w:rsidRPr="00632224">
        <w:rPr>
          <w:rFonts w:ascii="Century" w:hAnsi="Century" w:cs="Miriam" w:hint="cs"/>
          <w:b/>
          <w:sz w:val="22"/>
          <w:rtl/>
        </w:rPr>
        <w:t>ה</w:t>
      </w:r>
      <w:r w:rsidRPr="00632224">
        <w:rPr>
          <w:rFonts w:ascii="Century" w:hAnsi="Century" w:cs="Miriam"/>
          <w:b/>
          <w:sz w:val="22"/>
          <w:rtl/>
        </w:rPr>
        <w:t>מכוננת של הכנסת, אם היא תאיים על עקרונות</w:t>
      </w:r>
      <w:r w:rsidRPr="00632224">
        <w:rPr>
          <w:rFonts w:ascii="Century" w:hAnsi="Century" w:cs="Miriam" w:hint="cs"/>
          <w:b/>
          <w:sz w:val="22"/>
          <w:rtl/>
        </w:rPr>
        <w:t xml:space="preserve"> </w:t>
      </w:r>
      <w:r w:rsidRPr="00632224">
        <w:rPr>
          <w:rFonts w:ascii="Century" w:hAnsi="Century" w:cs="Miriam"/>
          <w:b/>
          <w:sz w:val="22"/>
          <w:rtl/>
        </w:rPr>
        <w:t>־היסוד של הדמוקרטיה</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או על חירויות </w:t>
      </w:r>
      <w:r w:rsidRPr="00632224">
        <w:rPr>
          <w:rFonts w:ascii="Arial TUR" w:hAnsi="Arial TUR" w:cs="FrankRuehl"/>
          <w:spacing w:val="10"/>
          <w:sz w:val="22"/>
          <w:szCs w:val="28"/>
          <w:rtl/>
        </w:rPr>
        <w:t>היסוד של המיעוט</w:t>
      </w:r>
      <w:r w:rsidRPr="00632224">
        <w:rPr>
          <w:rFonts w:ascii="Arial TUR" w:hAnsi="Arial TUR" w:cs="FrankRuehl" w:hint="cs"/>
          <w:spacing w:val="10"/>
          <w:sz w:val="22"/>
          <w:szCs w:val="28"/>
          <w:rtl/>
        </w:rPr>
        <w:t>"</w:t>
      </w:r>
      <w:r w:rsidRPr="00632224">
        <w:rPr>
          <w:rFonts w:ascii="Century" w:hAnsi="Century" w:cs="FrankRuehl" w:hint="cs"/>
          <w:spacing w:val="10"/>
          <w:sz w:val="22"/>
          <w:szCs w:val="28"/>
          <w:rtl/>
        </w:rPr>
        <w:t xml:space="preserve"> (</w:t>
      </w:r>
      <w:r w:rsidRPr="00632224">
        <w:rPr>
          <w:rFonts w:ascii="Century" w:hAnsi="Century" w:cs="Miriam" w:hint="cs"/>
          <w:b/>
          <w:sz w:val="22"/>
          <w:rtl/>
        </w:rPr>
        <w:t>דותן הדיאלוג הקונסטיטוציוני</w:t>
      </w:r>
      <w:r w:rsidRPr="00632224">
        <w:rPr>
          <w:rFonts w:ascii="Century" w:hAnsi="Century" w:cs="FrankRuehl" w:hint="cs"/>
          <w:spacing w:val="10"/>
          <w:sz w:val="22"/>
          <w:szCs w:val="28"/>
          <w:rtl/>
        </w:rPr>
        <w:t xml:space="preserve">, בעמ' 190-189, 208, הדגשה הוספה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י"ע). </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אציין כי </w:t>
      </w:r>
      <w:r w:rsidRPr="00632224">
        <w:rPr>
          <w:rFonts w:ascii="Arial TUR" w:hAnsi="Arial TUR" w:cs="FrankRuehl" w:hint="cs"/>
          <w:spacing w:val="10"/>
          <w:sz w:val="22"/>
          <w:szCs w:val="28"/>
          <w:rtl/>
        </w:rPr>
        <w:t xml:space="preserve">בסעיף 35(ה) להצעת חוק יסוד: החקיקה, ה"ח התשנ"ב 149 משנת 1992, הוצע כי בית המשפט יהא רשאי להכריז שהוראה של חוק יסוד אינה תקפה </w:t>
      </w:r>
      <w:r w:rsidRPr="00632224">
        <w:rPr>
          <w:rFonts w:ascii="Arial TUR" w:hAnsi="Arial TUR" w:cs="FrankRuehl"/>
          <w:spacing w:val="10"/>
          <w:sz w:val="22"/>
          <w:szCs w:val="28"/>
          <w:rtl/>
        </w:rPr>
        <w:t>״מן הטעם שהחוק או ההוראה לא נתקבלו ברוב הדרוש לקבלתם או מן הטעם שהם סותרים חוק</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י</w:t>
      </w:r>
      <w:r w:rsidRPr="00632224">
        <w:rPr>
          <w:rFonts w:ascii="Arial TUR" w:hAnsi="Arial TUR" w:cs="FrankRuehl" w:hint="cs"/>
          <w:spacing w:val="10"/>
          <w:sz w:val="22"/>
          <w:szCs w:val="28"/>
          <w:rtl/>
        </w:rPr>
        <w:t>סוד</w:t>
      </w:r>
      <w:r w:rsidRPr="00632224">
        <w:rPr>
          <w:rFonts w:ascii="Arial TUR" w:hAnsi="Arial TUR" w:cs="FrankRuehl"/>
          <w:spacing w:val="10"/>
          <w:sz w:val="22"/>
          <w:szCs w:val="28"/>
          <w:rtl/>
        </w:rPr>
        <w:t xml:space="preserve"> ולא נאמר בהם שתקפם הוא על אף האמור בחו</w:t>
      </w:r>
      <w:r w:rsidRPr="00632224">
        <w:rPr>
          <w:rFonts w:ascii="Arial TUR" w:hAnsi="Arial TUR" w:cs="FrankRuehl" w:hint="cs"/>
          <w:spacing w:val="10"/>
          <w:sz w:val="22"/>
          <w:szCs w:val="28"/>
          <w:rtl/>
        </w:rPr>
        <w:t xml:space="preserve">ק-היסוד </w:t>
      </w:r>
      <w:r w:rsidRPr="00632224">
        <w:rPr>
          <w:rFonts w:ascii="Century" w:hAnsi="Century" w:cs="Miriam"/>
          <w:b/>
          <w:sz w:val="22"/>
          <w:rtl/>
        </w:rPr>
        <w:t xml:space="preserve">או שהם </w:t>
      </w:r>
      <w:r w:rsidRPr="00632224">
        <w:rPr>
          <w:rFonts w:ascii="Century" w:hAnsi="Century" w:cs="Miriam" w:hint="cs"/>
          <w:b/>
          <w:sz w:val="22"/>
          <w:rtl/>
        </w:rPr>
        <w:t>ס</w:t>
      </w:r>
      <w:r w:rsidRPr="00632224">
        <w:rPr>
          <w:rFonts w:ascii="Century" w:hAnsi="Century" w:cs="Miriam"/>
          <w:b/>
          <w:sz w:val="22"/>
          <w:rtl/>
        </w:rPr>
        <w:t>ותרים עקרון מעקרונות הי</w:t>
      </w:r>
      <w:r w:rsidRPr="00632224">
        <w:rPr>
          <w:rFonts w:ascii="Century" w:hAnsi="Century" w:cs="Miriam" w:hint="cs"/>
          <w:b/>
          <w:sz w:val="22"/>
          <w:rtl/>
        </w:rPr>
        <w:t>ס</w:t>
      </w:r>
      <w:r w:rsidRPr="00632224">
        <w:rPr>
          <w:rFonts w:ascii="Century" w:hAnsi="Century" w:cs="Miriam"/>
          <w:b/>
          <w:sz w:val="22"/>
          <w:rtl/>
        </w:rPr>
        <w:t>ו</w:t>
      </w:r>
      <w:r w:rsidRPr="00632224">
        <w:rPr>
          <w:rFonts w:ascii="Century" w:hAnsi="Century" w:cs="Miriam" w:hint="cs"/>
          <w:b/>
          <w:sz w:val="22"/>
          <w:rtl/>
        </w:rPr>
        <w:t>ד</w:t>
      </w:r>
      <w:r w:rsidRPr="00632224">
        <w:rPr>
          <w:rFonts w:ascii="Century" w:hAnsi="Century" w:cs="Miriam"/>
          <w:b/>
          <w:sz w:val="22"/>
          <w:rtl/>
        </w:rPr>
        <w:t xml:space="preserve"> של מדינת ישראל</w:t>
      </w:r>
      <w:r w:rsidRPr="00632224">
        <w:rPr>
          <w:rFonts w:ascii="Arial TUR" w:hAnsi="Arial TUR" w:cs="FrankRuehl" w:hint="cs"/>
          <w:spacing w:val="10"/>
          <w:sz w:val="22"/>
          <w:szCs w:val="28"/>
          <w:rtl/>
        </w:rPr>
        <w:t xml:space="preserve">". מכאן, שהרעיון של עקרונות יסוד שיש בהם כדי לכבול את הרשות המכוננת אינו רעיון חדש.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17.</w:t>
      </w:r>
      <w:r w:rsidRPr="00632224">
        <w:rPr>
          <w:rFonts w:ascii="Century" w:hAnsi="Century" w:cs="FrankRuehl" w:hint="cs"/>
          <w:spacing w:val="10"/>
          <w:sz w:val="22"/>
          <w:szCs w:val="28"/>
          <w:rtl/>
        </w:rPr>
        <w:tab/>
        <w:t xml:space="preserve">לעניין מקור הסמכות לדוקטרינת התיקון החוקתי שאינו חוקתי, אני נכון לקבל את עמדתה של הנשיאה כי המערך החוקתי בכללותו, אותם "נתונים קונסטיטוציוניים" שביססו את עצם סמכותה של הרשות המכוננת, הם גם אלה הקובעים את מגבלותיה (בפסקה 66 לפסק דינה). לדידי, ניתן לגזור את מקור הסמכות גם </w:t>
      </w:r>
      <w:r w:rsidRPr="00632224">
        <w:rPr>
          <w:rFonts w:ascii="Arial TUR" w:hAnsi="Arial TUR" w:cs="FrankRuehl" w:hint="cs"/>
          <w:spacing w:val="10"/>
          <w:sz w:val="22"/>
          <w:szCs w:val="28"/>
          <w:rtl/>
        </w:rPr>
        <w:t>מהה</w:t>
      </w:r>
      <w:r w:rsidRPr="00632224">
        <w:rPr>
          <w:rFonts w:ascii="Arial TUR" w:hAnsi="Arial TUR" w:cs="FrankRuehl"/>
          <w:spacing w:val="10"/>
          <w:sz w:val="22"/>
          <w:szCs w:val="28"/>
          <w:rtl/>
        </w:rPr>
        <w:t>כרזה על הקמת מדינת ישרא</w:t>
      </w:r>
      <w:r w:rsidRPr="00632224">
        <w:rPr>
          <w:rFonts w:ascii="Century" w:hAnsi="Century" w:cs="FrankRuehl" w:hint="cs"/>
          <w:spacing w:val="10"/>
          <w:sz w:val="22"/>
          <w:szCs w:val="28"/>
          <w:rtl/>
        </w:rPr>
        <w:t xml:space="preserve">ל (השם הרשמי של הכרזת העצמאות) </w:t>
      </w:r>
      <w:r w:rsidRPr="00632224">
        <w:rPr>
          <w:rFonts w:ascii="Century" w:hAnsi="Century" w:cs="FrankRuehl" w:hint="eastAsia"/>
          <w:spacing w:val="10"/>
          <w:sz w:val="22"/>
          <w:szCs w:val="28"/>
          <w:rtl/>
        </w:rPr>
        <w:t>ו</w:t>
      </w:r>
      <w:r w:rsidRPr="00632224">
        <w:rPr>
          <w:rFonts w:ascii="Century" w:hAnsi="Century" w:cs="FrankRuehl" w:hint="cs"/>
          <w:spacing w:val="10"/>
          <w:sz w:val="22"/>
          <w:szCs w:val="28"/>
          <w:rtl/>
        </w:rPr>
        <w:t>גם מהעקרונות העל-חוקתיים שנזכרו בפסיקה דלעיל.</w:t>
      </w:r>
      <w:r w:rsidRPr="00632224">
        <w:rPr>
          <w:rFonts w:ascii="Century" w:hAnsi="Century" w:cs="Miriam" w:hint="cs"/>
          <w:b/>
          <w:sz w:val="22"/>
          <w:rtl/>
        </w:rPr>
        <w:t xml:space="preserve"> </w:t>
      </w:r>
      <w:r w:rsidRPr="00632224">
        <w:rPr>
          <w:rFonts w:ascii="Century" w:hAnsi="Century" w:cs="FrankRuehl" w:hint="cs"/>
          <w:spacing w:val="10"/>
          <w:sz w:val="22"/>
          <w:szCs w:val="28"/>
          <w:rtl/>
        </w:rPr>
        <w:t xml:space="preserve">לא אכחד כי איני רואה נפקות </w:t>
      </w:r>
      <w:r w:rsidRPr="00632224">
        <w:rPr>
          <w:rFonts w:ascii="Century" w:hAnsi="Century" w:cs="Miriam" w:hint="cs"/>
          <w:b/>
          <w:sz w:val="22"/>
          <w:rtl/>
        </w:rPr>
        <w:t>מעשית</w:t>
      </w:r>
      <w:r w:rsidRPr="00632224">
        <w:rPr>
          <w:rFonts w:ascii="Century" w:hAnsi="Century" w:cs="FrankRuehl" w:hint="cs"/>
          <w:spacing w:val="10"/>
          <w:sz w:val="22"/>
          <w:szCs w:val="28"/>
          <w:rtl/>
        </w:rPr>
        <w:t xml:space="preserve"> לשאלה איזו דרך יש להעדיף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האם נקודת האחיזה הארכימדית נובעת מ"הנתונים הקונסטיטוציוניים" או ממקור חיצוני אחר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באשר כל הדרכים מובילות לאותה נקודה אשר תוחמת את "גבולות הגזרה" של הרשות המכוננת.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לצורך דיוננו, אף איני רואה טעם להידרש לשאלה אם סמכותה המכוננת של הכנסת היא נגזרת או מקורית. בנושא זה ניתן להצביע על שלוש גישות: האחת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הסמכות היא לעולם נגזרת מאחר שהסמכות המקורית הייתה של מועצת העם (</w:t>
      </w:r>
      <w:r w:rsidRPr="00632224">
        <w:rPr>
          <w:rFonts w:ascii="Century" w:hAnsi="Century" w:cs="Miriam" w:hint="cs"/>
          <w:b/>
          <w:sz w:val="22"/>
          <w:rtl/>
        </w:rPr>
        <w:t>בנדור חוקי יסוד</w:t>
      </w:r>
      <w:r w:rsidRPr="00632224">
        <w:rPr>
          <w:rFonts w:ascii="Century" w:hAnsi="Century" w:cs="FrankRuehl" w:hint="cs"/>
          <w:spacing w:val="10"/>
          <w:sz w:val="22"/>
          <w:szCs w:val="28"/>
          <w:rtl/>
        </w:rPr>
        <w:t xml:space="preserve">, בעמ' </w:t>
      </w:r>
      <w:r w:rsidRPr="00632224">
        <w:rPr>
          <w:rFonts w:ascii="Arial TUR" w:hAnsi="Arial TUR" w:cs="FrankRuehl" w:hint="cs"/>
          <w:spacing w:val="10"/>
          <w:sz w:val="22"/>
          <w:szCs w:val="28"/>
          <w:rtl/>
        </w:rPr>
        <w:t xml:space="preserve">135 ה"ש 55). השניה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בקבלת חוקי יסוד חדשים פועלת הכנסת כרשות מכוננת מקורית ובתיקון חוק יסוד היא פועלת כרשות מכוננת נגזרת (</w:t>
      </w:r>
      <w:r w:rsidRPr="00632224">
        <w:rPr>
          <w:rFonts w:ascii="Century" w:hAnsi="Century" w:cs="FrankRuehl"/>
          <w:spacing w:val="10"/>
          <w:sz w:val="22"/>
          <w:szCs w:val="28"/>
          <w:rtl/>
        </w:rPr>
        <w:t xml:space="preserve">קלוד קליין "בעקבות פסק-הדין בנק המזרחי – הסמכות המכוננת בראי בית-המשפט העליון" </w:t>
      </w:r>
      <w:r w:rsidRPr="00632224">
        <w:rPr>
          <w:rFonts w:ascii="Century" w:hAnsi="Century" w:cs="Miriam"/>
          <w:b/>
          <w:sz w:val="22"/>
          <w:rtl/>
        </w:rPr>
        <w:t>משפטים</w:t>
      </w: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 xml:space="preserve">כח </w:t>
      </w:r>
      <w:r w:rsidRPr="00632224">
        <w:rPr>
          <w:rFonts w:ascii="Century" w:hAnsi="Century" w:cs="FrankRuehl" w:hint="cs"/>
          <w:spacing w:val="10"/>
          <w:sz w:val="22"/>
          <w:szCs w:val="28"/>
          <w:rtl/>
        </w:rPr>
        <w:t xml:space="preserve">341, 357 </w:t>
      </w:r>
      <w:r w:rsidRPr="00632224">
        <w:rPr>
          <w:rFonts w:ascii="Century" w:hAnsi="Century" w:cs="FrankRuehl"/>
          <w:spacing w:val="10"/>
          <w:sz w:val="22"/>
          <w:szCs w:val="28"/>
          <w:rtl/>
        </w:rPr>
        <w:lastRenderedPageBreak/>
        <w:t>(</w:t>
      </w:r>
      <w:r w:rsidRPr="00632224">
        <w:rPr>
          <w:rFonts w:ascii="Century" w:hAnsi="Century" w:cs="FrankRuehl" w:hint="cs"/>
          <w:spacing w:val="10"/>
          <w:sz w:val="22"/>
          <w:szCs w:val="28"/>
          <w:rtl/>
        </w:rPr>
        <w:t>1997</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 xml:space="preserve">(להלן: </w:t>
      </w:r>
      <w:r w:rsidRPr="00632224">
        <w:rPr>
          <w:rFonts w:ascii="Century" w:hAnsi="Century" w:cs="Miriam" w:hint="cs"/>
          <w:b/>
          <w:sz w:val="22"/>
          <w:rtl/>
        </w:rPr>
        <w:t>קליין בנק המזרחי</w:t>
      </w:r>
      <w:r w:rsidRPr="00632224">
        <w:rPr>
          <w:rFonts w:ascii="Arial TUR" w:hAnsi="Arial TUR" w:cs="FrankRuehl" w:hint="cs"/>
          <w:spacing w:val="10"/>
          <w:sz w:val="22"/>
          <w:szCs w:val="28"/>
          <w:rtl/>
        </w:rPr>
        <w:t xml:space="preserve">); קלוד קליין "הסמכות המכוננת במדינת ישראל" </w:t>
      </w:r>
      <w:r w:rsidRPr="00632224">
        <w:rPr>
          <w:rFonts w:ascii="Century" w:hAnsi="Century" w:cs="Miriam" w:hint="cs"/>
          <w:b/>
          <w:sz w:val="22"/>
          <w:rtl/>
        </w:rPr>
        <w:t>משפטים</w:t>
      </w:r>
      <w:r w:rsidRPr="00632224">
        <w:rPr>
          <w:rFonts w:ascii="Arial TUR" w:hAnsi="Arial TUR" w:cs="FrankRuehl" w:hint="cs"/>
          <w:spacing w:val="10"/>
          <w:sz w:val="22"/>
          <w:szCs w:val="28"/>
          <w:rtl/>
        </w:rPr>
        <w:t xml:space="preserve"> ב 52, 54 (התש"ל)). השלישית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כל עוד לא הושלם מפעל החוקה, הכנסת פועלת כרשות מכוננת מקורית (עניין </w:t>
      </w:r>
      <w:r w:rsidRPr="00632224">
        <w:rPr>
          <w:rFonts w:ascii="Century" w:hAnsi="Century" w:cs="Miriam" w:hint="eastAsia"/>
          <w:b/>
          <w:sz w:val="22"/>
          <w:rtl/>
        </w:rPr>
        <w:t>חוק</w:t>
      </w:r>
      <w:r w:rsidRPr="00632224">
        <w:rPr>
          <w:rFonts w:ascii="Century" w:hAnsi="Century" w:cs="Miriam"/>
          <w:b/>
          <w:sz w:val="22"/>
          <w:rtl/>
        </w:rPr>
        <w:t xml:space="preserve"> </w:t>
      </w:r>
      <w:r w:rsidRPr="00632224">
        <w:rPr>
          <w:rFonts w:ascii="Century" w:hAnsi="Century" w:cs="Miriam" w:hint="eastAsia"/>
          <w:b/>
          <w:sz w:val="22"/>
          <w:rtl/>
        </w:rPr>
        <w:t>הלאום</w:t>
      </w:r>
      <w:r w:rsidRPr="00632224">
        <w:rPr>
          <w:rFonts w:ascii="Arial TUR" w:hAnsi="Arial TUR" w:cs="FrankRuehl" w:hint="cs"/>
          <w:spacing w:val="10"/>
          <w:sz w:val="22"/>
          <w:szCs w:val="28"/>
          <w:rtl/>
        </w:rPr>
        <w:t xml:space="preserve">, בפסקה 13 לפסק דינו של השופט </w:t>
      </w:r>
      <w:r w:rsidRPr="00632224">
        <w:rPr>
          <w:rFonts w:ascii="Century" w:hAnsi="Century" w:cs="Miriam" w:hint="eastAsia"/>
          <w:b/>
          <w:sz w:val="22"/>
          <w:rtl/>
        </w:rPr>
        <w:t>סולברג</w:t>
      </w:r>
      <w:r w:rsidRPr="00632224">
        <w:rPr>
          <w:rFonts w:ascii="Arial TUR" w:hAnsi="Arial TUR" w:cs="FrankRuehl" w:hint="cs"/>
          <w:spacing w:val="10"/>
          <w:sz w:val="22"/>
          <w:szCs w:val="28"/>
          <w:rtl/>
        </w:rPr>
        <w:t xml:space="preserve">; </w:t>
      </w:r>
      <w:r w:rsidRPr="00632224">
        <w:rPr>
          <w:rFonts w:ascii="Century" w:hAnsi="Century" w:cs="FrankRuehl" w:hint="cs"/>
          <w:spacing w:val="10"/>
          <w:sz w:val="22"/>
          <w:szCs w:val="28"/>
          <w:rtl/>
        </w:rPr>
        <w:t xml:space="preserve">אהרן ברק "הסמכות המכוננת הראשונית וההגבלות המוטלות עליה" </w:t>
      </w:r>
      <w:r w:rsidRPr="00632224">
        <w:rPr>
          <w:rFonts w:ascii="Century" w:hAnsi="Century" w:cs="Miriam" w:hint="eastAsia"/>
          <w:b/>
          <w:sz w:val="22"/>
          <w:rtl/>
        </w:rPr>
        <w:t>משפט</w:t>
      </w:r>
      <w:r w:rsidRPr="00632224">
        <w:rPr>
          <w:rFonts w:ascii="Century" w:hAnsi="Century" w:cs="Miriam"/>
          <w:b/>
          <w:sz w:val="22"/>
          <w:rtl/>
        </w:rPr>
        <w:t xml:space="preserve"> </w:t>
      </w:r>
      <w:r w:rsidRPr="00632224">
        <w:rPr>
          <w:rFonts w:ascii="Century" w:hAnsi="Century" w:cs="Miriam" w:hint="eastAsia"/>
          <w:b/>
          <w:sz w:val="22"/>
          <w:rtl/>
        </w:rPr>
        <w:t>ועסקים</w:t>
      </w:r>
      <w:r w:rsidRPr="00632224">
        <w:rPr>
          <w:rFonts w:ascii="Century" w:hAnsi="Century" w:cs="FrankRuehl" w:hint="cs"/>
          <w:spacing w:val="10"/>
          <w:sz w:val="22"/>
          <w:szCs w:val="28"/>
          <w:rtl/>
        </w:rPr>
        <w:t xml:space="preserve"> כח 123, 138 (2023) (להלן: </w:t>
      </w:r>
      <w:r w:rsidRPr="00632224">
        <w:rPr>
          <w:rFonts w:ascii="Century" w:hAnsi="Century" w:cs="Miriam" w:hint="eastAsia"/>
          <w:b/>
          <w:sz w:val="22"/>
          <w:rtl/>
        </w:rPr>
        <w:t>ברק</w:t>
      </w:r>
      <w:r w:rsidRPr="00632224">
        <w:rPr>
          <w:rFonts w:ascii="Century" w:hAnsi="Century" w:cs="Miriam"/>
          <w:b/>
          <w:sz w:val="22"/>
          <w:rtl/>
        </w:rPr>
        <w:t xml:space="preserve"> </w:t>
      </w:r>
      <w:r w:rsidRPr="00632224">
        <w:rPr>
          <w:rFonts w:ascii="Century" w:hAnsi="Century" w:cs="Miriam" w:hint="eastAsia"/>
          <w:b/>
          <w:sz w:val="22"/>
          <w:rtl/>
        </w:rPr>
        <w:t>הסמכות</w:t>
      </w:r>
      <w:r w:rsidRPr="00632224">
        <w:rPr>
          <w:rFonts w:ascii="Century" w:hAnsi="Century" w:cs="Miriam"/>
          <w:b/>
          <w:sz w:val="22"/>
          <w:rtl/>
        </w:rPr>
        <w:t xml:space="preserve"> </w:t>
      </w:r>
      <w:r w:rsidRPr="00632224">
        <w:rPr>
          <w:rFonts w:ascii="Century" w:hAnsi="Century" w:cs="Miriam" w:hint="eastAsia"/>
          <w:b/>
          <w:sz w:val="22"/>
          <w:rtl/>
        </w:rPr>
        <w:t>המכוננת</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18.</w:t>
      </w:r>
      <w:r w:rsidRPr="00632224">
        <w:rPr>
          <w:rFonts w:ascii="Century" w:hAnsi="Century" w:cs="FrankRuehl" w:hint="cs"/>
          <w:spacing w:val="10"/>
          <w:sz w:val="22"/>
          <w:szCs w:val="28"/>
          <w:rtl/>
        </w:rPr>
        <w:tab/>
        <w:t>יש בסיס איתן לראות בהכרזת העצמאות כמקור סמכות (ראו</w:t>
      </w:r>
      <w:r w:rsidRPr="00632224">
        <w:rPr>
          <w:rFonts w:ascii="Century" w:hAnsi="Century" w:cs="Miriam" w:hint="cs"/>
          <w:b/>
          <w:sz w:val="22"/>
          <w:rtl/>
        </w:rPr>
        <w:t xml:space="preserve"> ברק הסמכות המכוננת</w:t>
      </w:r>
      <w:r w:rsidRPr="00632224">
        <w:rPr>
          <w:rFonts w:ascii="Century" w:hAnsi="Century" w:cs="FrankRuehl"/>
          <w:spacing w:val="10"/>
          <w:sz w:val="22"/>
          <w:szCs w:val="28"/>
          <w:rtl/>
        </w:rPr>
        <w:t>)</w:t>
      </w:r>
      <w:r w:rsidRPr="00632224">
        <w:rPr>
          <w:rFonts w:ascii="Century" w:hAnsi="Century" w:cs="FrankRuehl" w:hint="cs"/>
          <w:spacing w:val="10"/>
          <w:sz w:val="22"/>
          <w:szCs w:val="28"/>
          <w:rtl/>
        </w:rPr>
        <w:t>. איני רואה טעם לחזור ולהציג</w:t>
      </w:r>
      <w:r w:rsidRPr="00632224">
        <w:rPr>
          <w:rFonts w:ascii="Century" w:hAnsi="Century" w:cs="Miriam" w:hint="cs"/>
          <w:b/>
          <w:sz w:val="22"/>
          <w:rtl/>
        </w:rPr>
        <w:t xml:space="preserve"> </w:t>
      </w:r>
      <w:r w:rsidRPr="00632224">
        <w:rPr>
          <w:rFonts w:ascii="Century" w:hAnsi="Century" w:cs="FrankRuehl" w:hint="cs"/>
          <w:spacing w:val="10"/>
          <w:sz w:val="22"/>
          <w:szCs w:val="28"/>
          <w:rtl/>
        </w:rPr>
        <w:t xml:space="preserve">את "מירוץ השליחים" של החוקה מיום הקמת המדינה ואילך, ואפנה את הקורא אל פירוט הדברים בפסקאות 50-48 לפסק דינה של הנשיאה; לדברי חברי, השופט </w:t>
      </w:r>
      <w:r w:rsidRPr="00632224">
        <w:rPr>
          <w:rFonts w:ascii="Century" w:hAnsi="Century" w:cs="Miriam" w:hint="eastAsia"/>
          <w:b/>
          <w:sz w:val="22"/>
          <w:rtl/>
        </w:rPr>
        <w:t>שטיין</w:t>
      </w:r>
      <w:r w:rsidRPr="00632224">
        <w:rPr>
          <w:rFonts w:ascii="Century" w:hAnsi="Century" w:cs="FrankRuehl" w:hint="cs"/>
          <w:spacing w:val="10"/>
          <w:sz w:val="22"/>
          <w:szCs w:val="28"/>
          <w:rtl/>
        </w:rPr>
        <w:t xml:space="preserve">, שבפסק דינו סקר עקב בצד אגודל את השתלשלות הדברים ולפסק דינו בבג"ץ 5119/23 </w:t>
      </w:r>
      <w:r w:rsidRPr="00632224">
        <w:rPr>
          <w:rFonts w:ascii="Century" w:hAnsi="Century" w:cs="Miriam" w:hint="cs"/>
          <w:b/>
          <w:sz w:val="22"/>
          <w:rtl/>
        </w:rPr>
        <w:t>התנועה לטוהר המידות נ' הכנסת</w:t>
      </w:r>
      <w:r w:rsidRPr="00632224">
        <w:rPr>
          <w:rFonts w:ascii="Century" w:hAnsi="Century" w:cs="FrankRuehl" w:hint="cs"/>
          <w:spacing w:val="10"/>
          <w:sz w:val="22"/>
          <w:szCs w:val="28"/>
          <w:rtl/>
        </w:rPr>
        <w:t xml:space="preserve"> (26.10.2023); וכן לדברי השופט </w:t>
      </w:r>
      <w:r w:rsidRPr="00632224">
        <w:rPr>
          <w:rFonts w:ascii="Century" w:hAnsi="Century" w:cs="Miriam" w:hint="cs"/>
          <w:b/>
          <w:sz w:val="22"/>
          <w:rtl/>
        </w:rPr>
        <w:t>מזוז</w:t>
      </w:r>
      <w:r w:rsidRPr="00632224">
        <w:rPr>
          <w:rFonts w:ascii="Century" w:hAnsi="Century" w:cs="FrankRuehl" w:hint="cs"/>
          <w:spacing w:val="10"/>
          <w:sz w:val="22"/>
          <w:szCs w:val="28"/>
          <w:rtl/>
        </w:rPr>
        <w:t xml:space="preserve"> בעניין </w:t>
      </w:r>
      <w:r w:rsidRPr="00632224">
        <w:rPr>
          <w:rFonts w:ascii="Century" w:hAnsi="Century" w:cs="Miriam" w:hint="cs"/>
          <w:b/>
          <w:sz w:val="22"/>
          <w:rtl/>
        </w:rPr>
        <w:t>חוק הלאום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w:t>
      </w:r>
      <w:r w:rsidRPr="00632224">
        <w:rPr>
          <w:rFonts w:ascii="Century" w:hAnsi="Century" w:cs="FrankRuehl" w:hint="cs"/>
          <w:spacing w:val="10"/>
          <w:sz w:val="22"/>
          <w:szCs w:val="28"/>
          <w:rtl/>
        </w:rPr>
        <w:t xml:space="preserve">פסקאות 10-9.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בשורה של פסקי דין הבהיר בית משפט זה כי הכרזת העצמאות אינה בגדר חוק מחייב. הכרזת העצמאות גם אינה החוקה של מדינת ישראל, וזו נמצאת עדיין בתהליכי גיבוש בדמות חוקי היסוד. אולם אין משמעות הדבר שלהכרזת העצמאות אין נפקות משפטית. כבר בעניין </w:t>
      </w:r>
      <w:r w:rsidRPr="00632224">
        <w:rPr>
          <w:rFonts w:ascii="Century" w:hAnsi="Century" w:cs="Miriam" w:hint="cs"/>
          <w:b/>
          <w:sz w:val="22"/>
          <w:rtl/>
        </w:rPr>
        <w:t>בנק המזרחי</w:t>
      </w:r>
      <w:r w:rsidRPr="00632224">
        <w:rPr>
          <w:rFonts w:ascii="Century" w:hAnsi="Century" w:cs="FrankRuehl" w:hint="cs"/>
          <w:spacing w:val="10"/>
          <w:sz w:val="22"/>
          <w:szCs w:val="28"/>
          <w:rtl/>
        </w:rPr>
        <w:t>, הצביע בית המשפט על כך שמקור הסמכות הוא חיצוני לחוקי היסוד עצמם:</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כדי לקבוע חוקה, המצויה ברמה נורמאטיבית עליונה על חוק, </w:t>
      </w:r>
      <w:r w:rsidRPr="00632224">
        <w:rPr>
          <w:rFonts w:ascii="Century" w:hAnsi="Century" w:cs="Miriam"/>
          <w:b/>
          <w:sz w:val="22"/>
          <w:rtl/>
        </w:rPr>
        <w:t>נדרשת לכנסת נקודת אחיזה ארכימדית, המצויה מחוץ לחוקה או לחוק</w:t>
      </w:r>
      <w:r w:rsidRPr="00632224">
        <w:rPr>
          <w:rFonts w:ascii="Arial TUR" w:hAnsi="Arial TUR" w:cs="FrankRuehl"/>
          <w:spacing w:val="10"/>
          <w:sz w:val="22"/>
          <w:szCs w:val="28"/>
          <w:rtl/>
        </w:rPr>
        <w:t xml:space="preserve">, אשר מעניקה לה את הסמכות לכונן חוקה. החוקה אינה יכולה ליצור את הסמכות שתיצור אותה. חוק אינו יכול ליצור חוקה אשר החוק כפוף לה. החוק אינו יכול ליצור את הסמכות שתיצור אותו. </w:t>
      </w:r>
      <w:r w:rsidRPr="00632224">
        <w:rPr>
          <w:rFonts w:ascii="Century" w:hAnsi="Century" w:cs="Miriam"/>
          <w:b/>
          <w:sz w:val="22"/>
          <w:rtl/>
        </w:rPr>
        <w:t>מעשה חוקה מחייב תמיד נקודת אחיזה שמחוץ לגוף המחוק</w:t>
      </w:r>
      <w:r w:rsidRPr="00632224">
        <w:rPr>
          <w:rFonts w:ascii="Century" w:hAnsi="Century" w:cs="Miriam" w:hint="cs"/>
          <w:b/>
          <w:sz w:val="22"/>
          <w:rtl/>
        </w:rPr>
        <w:t xml:space="preserve">ק. </w:t>
      </w:r>
      <w:r w:rsidRPr="00632224">
        <w:rPr>
          <w:rFonts w:ascii="Arial TUR" w:hAnsi="Arial TUR" w:cs="FrankRuehl"/>
          <w:spacing w:val="10"/>
          <w:sz w:val="22"/>
          <w:szCs w:val="28"/>
          <w:rtl/>
        </w:rPr>
        <w:t>נקודת אחיזה זו צריכה לינוק עצמה מהעם, אשר הריבונות שייכת לו</w:t>
      </w:r>
      <w:r w:rsidRPr="00632224">
        <w:rPr>
          <w:rFonts w:ascii="Century" w:hAnsi="Century" w:cs="FrankRuehl" w:hint="cs"/>
          <w:spacing w:val="10"/>
          <w:sz w:val="22"/>
          <w:szCs w:val="28"/>
          <w:rtl/>
        </w:rPr>
        <w:t>" (</w:t>
      </w:r>
      <w:r w:rsidRPr="00632224">
        <w:rPr>
          <w:rFonts w:ascii="Century" w:hAnsi="Century" w:cs="Miriam" w:hint="eastAsia"/>
          <w:b/>
          <w:sz w:val="22"/>
          <w:rtl/>
        </w:rPr>
        <w:t>שם</w:t>
      </w:r>
      <w:r w:rsidRPr="00632224">
        <w:rPr>
          <w:rFonts w:ascii="Century" w:hAnsi="Century" w:cs="FrankRuehl" w:hint="cs"/>
          <w:spacing w:val="10"/>
          <w:sz w:val="22"/>
          <w:szCs w:val="28"/>
          <w:rtl/>
        </w:rPr>
        <w:t xml:space="preserve">, בעמ' 355 לדברי הנשיא </w:t>
      </w:r>
      <w:r w:rsidRPr="00632224">
        <w:rPr>
          <w:rFonts w:ascii="Century" w:hAnsi="Century" w:cs="Miriam" w:hint="eastAsia"/>
          <w:b/>
          <w:sz w:val="22"/>
          <w:rtl/>
        </w:rPr>
        <w:t>ברק</w:t>
      </w:r>
      <w:r w:rsidRPr="00632224">
        <w:rPr>
          <w:rFonts w:ascii="Century" w:hAnsi="Century" w:cs="FrankRuehl" w:hint="cs"/>
          <w:spacing w:val="10"/>
          <w:sz w:val="22"/>
          <w:szCs w:val="28"/>
          <w:rtl/>
        </w:rPr>
        <w:t xml:space="preserve">, הדגשות הוספו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י"ע). </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adjustRightInd/>
        <w:spacing w:line="360" w:lineRule="auto"/>
        <w:ind w:firstLine="720"/>
        <w:jc w:val="both"/>
        <w:textAlignment w:val="auto"/>
        <w:rPr>
          <w:rFonts w:ascii="Arial TUR" w:hAnsi="Arial TUR" w:cs="FrankRuehl"/>
          <w:spacing w:val="10"/>
          <w:sz w:val="28"/>
          <w:szCs w:val="28"/>
          <w:rtl/>
          <w:lang w:eastAsia="he-IL"/>
        </w:rPr>
      </w:pPr>
      <w:r w:rsidRPr="00632224">
        <w:rPr>
          <w:rFonts w:ascii="Century" w:hAnsi="Century" w:cs="FrankRuehl"/>
          <w:spacing w:val="10"/>
          <w:sz w:val="22"/>
          <w:szCs w:val="28"/>
          <w:rtl/>
          <w:lang w:eastAsia="he-IL"/>
        </w:rPr>
        <w:t xml:space="preserve">הכרזת העצמאות מבטאת את ערכיה של </w:t>
      </w:r>
      <w:r w:rsidRPr="00632224">
        <w:rPr>
          <w:rFonts w:ascii="Century" w:hAnsi="Century" w:cs="FrankRuehl" w:hint="cs"/>
          <w:spacing w:val="10"/>
          <w:sz w:val="22"/>
          <w:szCs w:val="28"/>
          <w:rtl/>
          <w:lang w:eastAsia="he-IL"/>
        </w:rPr>
        <w:t xml:space="preserve">מדינת </w:t>
      </w:r>
      <w:r w:rsidRPr="00632224">
        <w:rPr>
          <w:rFonts w:ascii="Century" w:hAnsi="Century" w:cs="FrankRuehl"/>
          <w:spacing w:val="10"/>
          <w:sz w:val="22"/>
          <w:szCs w:val="28"/>
          <w:rtl/>
          <w:lang w:eastAsia="he-IL"/>
        </w:rPr>
        <w:t>ישראל</w:t>
      </w:r>
      <w:r w:rsidRPr="00632224">
        <w:rPr>
          <w:rFonts w:ascii="Century" w:hAnsi="Century" w:cs="FrankRuehl" w:hint="cs"/>
          <w:spacing w:val="10"/>
          <w:sz w:val="22"/>
          <w:szCs w:val="28"/>
          <w:rtl/>
          <w:lang w:eastAsia="he-IL"/>
        </w:rPr>
        <w:t>;</w:t>
      </w:r>
      <w:r w:rsidRPr="00632224">
        <w:rPr>
          <w:rFonts w:ascii="Century" w:hAnsi="Century" w:cs="FrankRuehl"/>
          <w:spacing w:val="10"/>
          <w:sz w:val="22"/>
          <w:szCs w:val="28"/>
          <w:rtl/>
          <w:lang w:eastAsia="he-IL"/>
        </w:rPr>
        <w:t xml:space="preserve"> </w:t>
      </w:r>
      <w:r w:rsidRPr="00632224">
        <w:rPr>
          <w:rFonts w:ascii="Century" w:hAnsi="Century" w:cs="FrankRuehl" w:hint="cs"/>
          <w:spacing w:val="10"/>
          <w:sz w:val="22"/>
          <w:szCs w:val="28"/>
          <w:rtl/>
          <w:lang w:eastAsia="he-IL"/>
        </w:rPr>
        <w:t>ו</w:t>
      </w:r>
      <w:r w:rsidRPr="00632224">
        <w:rPr>
          <w:rFonts w:ascii="Century" w:hAnsi="Century" w:cs="FrankRuehl"/>
          <w:spacing w:val="10"/>
          <w:sz w:val="22"/>
          <w:szCs w:val="28"/>
          <w:rtl/>
          <w:lang w:eastAsia="he-IL"/>
        </w:rPr>
        <w:t>כאשר הכנסת חורגת מהגרעין של מגבלות אל</w:t>
      </w:r>
      <w:r w:rsidRPr="00632224">
        <w:rPr>
          <w:rFonts w:ascii="Century" w:hAnsi="Century" w:cs="FrankRuehl" w:hint="cs"/>
          <w:spacing w:val="10"/>
          <w:sz w:val="22"/>
          <w:szCs w:val="28"/>
          <w:rtl/>
          <w:lang w:eastAsia="he-IL"/>
        </w:rPr>
        <w:t>ה</w:t>
      </w:r>
      <w:r w:rsidRPr="00632224">
        <w:rPr>
          <w:rFonts w:ascii="Century" w:hAnsi="Century" w:cs="FrankRuehl"/>
          <w:spacing w:val="10"/>
          <w:sz w:val="22"/>
          <w:szCs w:val="28"/>
          <w:rtl/>
          <w:lang w:eastAsia="he-IL"/>
        </w:rPr>
        <w:t>, בית המשפט מוסמך להעניק סעדים חוקתיי</w:t>
      </w:r>
      <w:r w:rsidRPr="00632224">
        <w:rPr>
          <w:rFonts w:ascii="Century" w:hAnsi="Century" w:cs="FrankRuehl" w:hint="cs"/>
          <w:spacing w:val="10"/>
          <w:sz w:val="22"/>
          <w:szCs w:val="28"/>
          <w:rtl/>
          <w:lang w:eastAsia="he-IL"/>
        </w:rPr>
        <w:t>ם (</w:t>
      </w:r>
      <w:r w:rsidRPr="00632224">
        <w:rPr>
          <w:rFonts w:ascii="Century" w:hAnsi="Century" w:cs="Miriam" w:hint="eastAsia"/>
          <w:b/>
          <w:sz w:val="22"/>
          <w:rtl/>
          <w:lang w:eastAsia="he-IL"/>
        </w:rPr>
        <w:t>ברק</w:t>
      </w:r>
      <w:r w:rsidRPr="00632224">
        <w:rPr>
          <w:rFonts w:ascii="Century" w:hAnsi="Century" w:cs="Miriam"/>
          <w:b/>
          <w:sz w:val="22"/>
          <w:rtl/>
          <w:lang w:eastAsia="he-IL"/>
        </w:rPr>
        <w:t xml:space="preserve"> </w:t>
      </w:r>
      <w:r w:rsidRPr="00632224">
        <w:rPr>
          <w:rFonts w:ascii="Century" w:hAnsi="Century" w:cs="Miriam" w:hint="eastAsia"/>
          <w:b/>
          <w:sz w:val="22"/>
          <w:rtl/>
          <w:lang w:eastAsia="he-IL"/>
        </w:rPr>
        <w:t>הסמכות</w:t>
      </w:r>
      <w:r w:rsidRPr="00632224">
        <w:rPr>
          <w:rFonts w:ascii="Century" w:hAnsi="Century" w:cs="Miriam"/>
          <w:b/>
          <w:sz w:val="22"/>
          <w:rtl/>
          <w:lang w:eastAsia="he-IL"/>
        </w:rPr>
        <w:t xml:space="preserve"> </w:t>
      </w:r>
      <w:r w:rsidRPr="00632224">
        <w:rPr>
          <w:rFonts w:ascii="Century" w:hAnsi="Century" w:cs="Miriam" w:hint="eastAsia"/>
          <w:b/>
          <w:sz w:val="22"/>
          <w:rtl/>
          <w:lang w:eastAsia="he-IL"/>
        </w:rPr>
        <w:t>המכוננת</w:t>
      </w:r>
      <w:r w:rsidRPr="00632224">
        <w:rPr>
          <w:rFonts w:ascii="Century" w:hAnsi="Century" w:cs="FrankRuehl" w:hint="cs"/>
          <w:spacing w:val="10"/>
          <w:sz w:val="22"/>
          <w:szCs w:val="28"/>
          <w:rtl/>
          <w:lang w:eastAsia="he-IL"/>
        </w:rPr>
        <w:t xml:space="preserve">). הכרזת העצמאות היא תעודת הלידה ותעודת הזהות של המדינה, ולא בכדי סעיף </w:t>
      </w:r>
      <w:r w:rsidRPr="00632224">
        <w:rPr>
          <w:rFonts w:ascii="Arial TUR" w:hAnsi="Arial TUR" w:cs="FrankRuehl" w:hint="cs"/>
          <w:spacing w:val="10"/>
          <w:sz w:val="28"/>
          <w:szCs w:val="28"/>
          <w:rtl/>
          <w:lang w:eastAsia="he-IL"/>
        </w:rPr>
        <w:t>1 לחוק יסוד: כבוד האדם וחירותו וסעיף 1 לחוק יסוד: חופש העיסוק, קובעים את ההוראה הזהה הבאה:</w:t>
      </w:r>
    </w:p>
    <w:p w:rsidR="00244560" w:rsidRPr="00632224" w:rsidRDefault="00244560" w:rsidP="00244560">
      <w:pPr>
        <w:adjustRightInd/>
        <w:spacing w:line="360" w:lineRule="auto"/>
        <w:jc w:val="both"/>
        <w:textAlignment w:val="auto"/>
        <w:rPr>
          <w:rFonts w:ascii="Arial TUR" w:hAnsi="Arial TUR" w:cs="FrankRuehl"/>
          <w:spacing w:val="10"/>
          <w:sz w:val="28"/>
          <w:szCs w:val="28"/>
          <w:rtl/>
          <w:lang w:eastAsia="he-IL"/>
        </w:rPr>
      </w:pPr>
    </w:p>
    <w:p w:rsidR="00244560" w:rsidRPr="00632224" w:rsidRDefault="00244560" w:rsidP="00244560">
      <w:pPr>
        <w:keepNext/>
        <w:ind w:left="1644" w:right="1276"/>
        <w:jc w:val="both"/>
        <w:rPr>
          <w:rFonts w:ascii="Century" w:hAnsi="Century" w:cs="Miriam"/>
          <w:b/>
          <w:sz w:val="22"/>
          <w:rtl/>
        </w:rPr>
      </w:pPr>
      <w:r w:rsidRPr="00632224">
        <w:rPr>
          <w:rFonts w:ascii="Century" w:hAnsi="Century" w:cs="Miriam" w:hint="cs"/>
          <w:b/>
          <w:sz w:val="22"/>
          <w:rtl/>
        </w:rPr>
        <w:lastRenderedPageBreak/>
        <w:t>עקרונות יסוד</w:t>
      </w: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זכויות היסוד של האדם בישראל מושתתות על ההכרה בערך האדם, בקדושת חייו ובהיותו בן-חורין, </w:t>
      </w:r>
      <w:r w:rsidRPr="00632224">
        <w:rPr>
          <w:rFonts w:ascii="Century" w:hAnsi="Century" w:cs="Miriam" w:hint="cs"/>
          <w:b/>
          <w:sz w:val="22"/>
          <w:rtl/>
        </w:rPr>
        <w:t>והן יכובדו ברוח העקרונות שבהכרזה על הקמת מדינת ישראל</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adjustRightInd/>
        <w:spacing w:line="360" w:lineRule="auto"/>
        <w:ind w:firstLine="720"/>
        <w:jc w:val="both"/>
        <w:textAlignment w:val="auto"/>
        <w:rPr>
          <w:rFonts w:ascii="Arial TUR" w:hAnsi="Arial TUR" w:cs="Arial TUR"/>
          <w:spacing w:val="10"/>
          <w:sz w:val="22"/>
          <w:szCs w:val="22"/>
          <w:rtl/>
          <w:lang w:eastAsia="he-IL"/>
        </w:rPr>
      </w:pPr>
      <w:r w:rsidRPr="00632224">
        <w:rPr>
          <w:rFonts w:ascii="Arial TUR" w:hAnsi="Arial TUR" w:cs="FrankRuehl" w:hint="cs"/>
          <w:spacing w:val="10"/>
          <w:sz w:val="28"/>
          <w:szCs w:val="28"/>
          <w:rtl/>
          <w:lang w:eastAsia="he-IL"/>
        </w:rPr>
        <w:t>בכך נמצאנו גם טובלים במימי הכרזת העצמאות וגם שואבים ממנה את ערכי המשטר הדמוקרטי בישראל. אין מדובר באמירה דקלרטיבית גרידא, אין מדובר בהוראה המשמשת אך בסיס לפרשנות. יפים לענייננו הדברים הבאים:</w:t>
      </w:r>
    </w:p>
    <w:p w:rsidR="00244560" w:rsidRPr="00632224" w:rsidRDefault="00244560" w:rsidP="00244560">
      <w:pPr>
        <w:ind w:left="1644" w:right="1276"/>
        <w:jc w:val="both"/>
        <w:rPr>
          <w:rFonts w:ascii="Arial TUR" w:hAnsi="Arial TUR" w:cs="FrankRuehl"/>
          <w:spacing w:val="10"/>
          <w:sz w:val="28"/>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Arial TUR" w:hAnsi="Arial TUR" w:cs="FrankRuehl" w:hint="cs"/>
          <w:spacing w:val="10"/>
          <w:sz w:val="28"/>
          <w:szCs w:val="28"/>
          <w:rtl/>
        </w:rPr>
        <w:t xml:space="preserve">"[...] </w:t>
      </w:r>
      <w:r w:rsidRPr="00632224">
        <w:rPr>
          <w:rFonts w:ascii="Arial TUR" w:hAnsi="Arial TUR" w:cs="FrankRuehl"/>
          <w:spacing w:val="10"/>
          <w:sz w:val="22"/>
          <w:szCs w:val="28"/>
          <w:rtl/>
        </w:rPr>
        <w:t xml:space="preserve">עקרונות היסוד שבחלק הראשון ובחלק השלישי של הכרזת העצמאות הם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נשמתו היתירה</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של המשפט הישראלי. </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 xml:space="preserve">נובע מאופיים של עקרונות היסוד כנורמות משפטיות שהם חלק מהמשפט של המדינה, שיש להם נפקות משפטית, ויש להביאם בחשבון בהתחשב בהקשרים הרלוונטיים. מבחינה זו הם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נורמות בנות פועל תחיקתי</w:t>
      </w:r>
      <w:r w:rsidRPr="00632224">
        <w:rPr>
          <w:rFonts w:ascii="Arial TUR" w:hAnsi="Arial TUR" w:cs="FrankRuehl" w:hint="cs"/>
          <w:spacing w:val="10"/>
          <w:sz w:val="22"/>
          <w:szCs w:val="28"/>
          <w:rtl/>
        </w:rPr>
        <w:t xml:space="preserve">'. [...] </w:t>
      </w:r>
      <w:r w:rsidRPr="00632224">
        <w:rPr>
          <w:rFonts w:ascii="Arial TUR" w:hAnsi="Arial TUR" w:cs="FrankRuehl"/>
          <w:spacing w:val="10"/>
          <w:sz w:val="22"/>
          <w:szCs w:val="28"/>
          <w:rtl/>
        </w:rPr>
        <w:t xml:space="preserve">סמכותה של הכנסת כאספה מכוננת </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 xml:space="preserve">אינה סמכות מוחלטת. היא אומנם סמכות רחבה ביותר, אך היא מוגבלת באמצעות העקרונות של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ההיסטוריה והאידיאולוגיה</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ו</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האני מאמין והחזון</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של העם, הקבועים בהכרזת העצמאו</w:t>
      </w:r>
      <w:r w:rsidRPr="00632224">
        <w:rPr>
          <w:rFonts w:ascii="Arial TUR" w:hAnsi="Arial TUR" w:cs="FrankRuehl" w:hint="cs"/>
          <w:spacing w:val="10"/>
          <w:sz w:val="22"/>
          <w:szCs w:val="28"/>
          <w:rtl/>
        </w:rPr>
        <w:t>ת. [...] מת</w:t>
      </w:r>
      <w:r w:rsidRPr="00632224">
        <w:rPr>
          <w:rFonts w:ascii="Arial TUR" w:hAnsi="Arial TUR" w:cs="FrankRuehl"/>
          <w:spacing w:val="10"/>
          <w:sz w:val="22"/>
          <w:szCs w:val="28"/>
          <w:rtl/>
        </w:rPr>
        <w:t>בקשות מכך כמה מסקנות. למשל, הכנסת כרשות מכוננת אינה מוסמכת לבטל את אופייה של מדינת ישראל כמדינה יהודית ואינה מוסמכת לבטל את אופייה של מדינת ישראל כמדינה דמוקרטית</w:t>
      </w:r>
      <w:r w:rsidRPr="00632224">
        <w:rPr>
          <w:rFonts w:ascii="Arial TUR" w:hAnsi="Arial TUR" w:cs="FrankRuehl" w:hint="cs"/>
          <w:spacing w:val="10"/>
          <w:sz w:val="22"/>
          <w:szCs w:val="28"/>
          <w:rtl/>
        </w:rPr>
        <w:t xml:space="preserve"> [...]. </w:t>
      </w:r>
      <w:r w:rsidRPr="00632224">
        <w:rPr>
          <w:rFonts w:ascii="Arial TUR" w:hAnsi="Arial TUR" w:cs="FrankRuehl"/>
          <w:spacing w:val="10"/>
          <w:sz w:val="22"/>
          <w:szCs w:val="28"/>
          <w:rtl/>
        </w:rPr>
        <w:t>על כן אין הכנסת כאסיפה מכוננת מוסמכת לבטל את הכרזת העצמאות, ואין היא מוסמכת לבטל או לפגוע בדרישות המינימום באשר לערכיה של מדינת ישראל כמדינה יהודית ודמוקרטי</w:t>
      </w:r>
      <w:r w:rsidRPr="00632224">
        <w:rPr>
          <w:rFonts w:ascii="Arial TUR" w:hAnsi="Arial TUR" w:cs="FrankRuehl" w:hint="cs"/>
          <w:spacing w:val="10"/>
          <w:sz w:val="22"/>
          <w:szCs w:val="28"/>
          <w:rtl/>
        </w:rPr>
        <w:t>ת" (</w:t>
      </w:r>
      <w:r w:rsidRPr="00632224">
        <w:rPr>
          <w:rFonts w:ascii="Century" w:hAnsi="Century" w:cs="FrankRuehl" w:hint="eastAsia"/>
          <w:spacing w:val="10"/>
          <w:sz w:val="22"/>
          <w:szCs w:val="28"/>
          <w:rtl/>
        </w:rPr>
        <w:t>אהרן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ברק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מגילת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העצמאות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והכנסת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כרשות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מכוננת</w:t>
      </w:r>
      <w:r w:rsidRPr="00632224">
        <w:rPr>
          <w:rFonts w:ascii="Century" w:hAnsi="Century" w:cs="FrankRuehl" w:hint="cs"/>
          <w:spacing w:val="10"/>
          <w:sz w:val="22"/>
          <w:szCs w:val="28"/>
          <w:rtl/>
        </w:rPr>
        <w:t xml:space="preserve">" </w:t>
      </w:r>
      <w:r w:rsidRPr="00632224">
        <w:rPr>
          <w:rFonts w:ascii="Century" w:hAnsi="Century" w:cs="Miriam" w:hint="eastAsia"/>
          <w:b/>
          <w:sz w:val="22"/>
          <w:rtl/>
        </w:rPr>
        <w:t>חוקים</w:t>
      </w:r>
      <w:r w:rsidRPr="00632224">
        <w:rPr>
          <w:rFonts w:ascii="Century" w:hAnsi="Century" w:cs="FrankRuehl" w:hint="cs"/>
          <w:spacing w:val="10"/>
          <w:sz w:val="22"/>
          <w:szCs w:val="28"/>
          <w:rtl/>
        </w:rPr>
        <w:t xml:space="preserve"> יא 9, 22, 30, 36 (2018)).</w:t>
      </w: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r w:rsidRPr="00632224">
        <w:rPr>
          <w:rFonts w:cs="FrankRuehl"/>
          <w:spacing w:val="10"/>
          <w:sz w:val="24"/>
          <w:szCs w:val="28"/>
          <w:rtl/>
        </w:rPr>
        <w:t>"</w:t>
      </w:r>
      <w:r w:rsidRPr="00632224">
        <w:rPr>
          <w:rFonts w:ascii="Arial TUR" w:hAnsi="Arial TUR" w:cs="FrankRuehl"/>
          <w:spacing w:val="10"/>
          <w:sz w:val="22"/>
          <w:szCs w:val="28"/>
          <w:rtl/>
        </w:rPr>
        <w:t>חייבת הכנסת, כרשות מכוננת, לפעול במסגרת עקרונות יסוד וערכי היסוד של המבנה החוקתי שלנו. עליה לפעול במסגרת אמות המדינה העקרוניות עליהן מבוססת הכרזת העצמאות ועליהם מבוסס מפעל החוקה כולו. על פי תפיסה זו חוק יסוד חדש או תיקון לחוק יסוד 'אשר ישללו את אופייה ישראל כמדינה יהודית או דמוקרטית, אינו חוקתי</w:t>
      </w:r>
      <w:r w:rsidRPr="00632224">
        <w:rPr>
          <w:rFonts w:ascii="Arial TUR" w:hAnsi="Arial TUR" w:cs="FrankRuehl" w:hint="cs"/>
          <w:spacing w:val="10"/>
          <w:sz w:val="22"/>
          <w:szCs w:val="28"/>
          <w:rtl/>
        </w:rPr>
        <w:t>'" (</w:t>
      </w:r>
      <w:r w:rsidRPr="00632224">
        <w:rPr>
          <w:rFonts w:ascii="Century" w:hAnsi="Century" w:cs="Miriam" w:hint="eastAsia"/>
          <w:b/>
          <w:sz w:val="22"/>
          <w:rtl/>
        </w:rPr>
        <w:t>ברק</w:t>
      </w:r>
      <w:r w:rsidRPr="00632224">
        <w:rPr>
          <w:rFonts w:ascii="Century" w:hAnsi="Century" w:cs="Miriam"/>
          <w:b/>
          <w:sz w:val="22"/>
          <w:rtl/>
        </w:rPr>
        <w:t xml:space="preserve"> תיקון של חוקה שאינו חוקתי</w:t>
      </w:r>
      <w:r w:rsidRPr="00632224">
        <w:rPr>
          <w:rFonts w:ascii="Century" w:hAnsi="Century" w:cs="FrankRuehl" w:hint="cs"/>
          <w:spacing w:val="10"/>
          <w:sz w:val="22"/>
          <w:szCs w:val="28"/>
          <w:rtl/>
        </w:rPr>
        <w:t>, בעמ' 380).</w:t>
      </w:r>
      <w:r w:rsidRPr="00632224">
        <w:rPr>
          <w:rFonts w:ascii="Arial TUR" w:hAnsi="Arial TUR" w:cs="FrankRuehl" w:hint="cs"/>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"עיקריה הנורמטיביים של הכרזת העצמאות, כלומר הזיקה לעם היהודי והממשל הדמוקרטי, אינם כלי עזר פרשניים בלבד, כפי שקבע עד עתה בית המשפט העליון; אלה הן נורמות מחייבות, שלהן כפופות כל רשויות המדינה, לרבות האספה המכוננת שלה, הקיימת ופועלת מכוח הכרזת העצמאות. [...] הקמת ישראל כמדינה יהודית ודמוקרטית אינה אך 'המלצה' או 'חזקה פרשנית'. מדובר במהות הבסיסית והמחייבת שנקבעה למדינה על-ידי מייסדיה. כיאה לנורמה המשפטית הראשונית, שנתקבלה על-ידי המוסד המשפטי הראשוני בפועלו </w:t>
      </w:r>
      <w:r w:rsidRPr="00632224">
        <w:rPr>
          <w:rFonts w:ascii="Arial TUR" w:hAnsi="Arial TUR" w:cs="FrankRuehl" w:hint="cs"/>
          <w:spacing w:val="10"/>
          <w:sz w:val="22"/>
          <w:szCs w:val="28"/>
          <w:rtl/>
        </w:rPr>
        <w:lastRenderedPageBreak/>
        <w:t>ישירות בשם הריבון מכוח הנורמה הבסיסית, התקבלה ההכרזה פה אחד. [...] הכנסת, אף בשמשה כאספה המכוננת, כפופה אפוא לערכי היסוד המחייבים הקבועים בהכרזת העצמאות" (</w:t>
      </w:r>
      <w:r w:rsidRPr="00632224">
        <w:rPr>
          <w:rFonts w:ascii="Century" w:hAnsi="Century" w:cs="Miriam" w:hint="cs"/>
          <w:b/>
          <w:sz w:val="22"/>
          <w:rtl/>
        </w:rPr>
        <w:t>בנדור חוקי יסוד</w:t>
      </w:r>
      <w:r w:rsidRPr="00632224">
        <w:rPr>
          <w:rFonts w:ascii="Arial TUR" w:hAnsi="Arial TUR" w:cs="FrankRuehl" w:hint="cs"/>
          <w:spacing w:val="10"/>
          <w:sz w:val="22"/>
          <w:szCs w:val="28"/>
          <w:rtl/>
        </w:rPr>
        <w:t>, בעמ' 143).</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adjustRightInd/>
        <w:spacing w:line="360" w:lineRule="auto"/>
        <w:jc w:val="both"/>
        <w:textAlignment w:val="auto"/>
        <w:rPr>
          <w:rFonts w:ascii="Arial TUR" w:hAnsi="Arial TUR" w:cs="Arial TUR"/>
          <w:spacing w:val="10"/>
          <w:sz w:val="22"/>
          <w:szCs w:val="22"/>
          <w:rtl/>
          <w:lang w:eastAsia="he-IL"/>
        </w:rPr>
      </w:pPr>
      <w:r w:rsidRPr="00632224">
        <w:rPr>
          <w:rFonts w:ascii="Arial TUR" w:hAnsi="Arial TUR" w:cs="FrankRuehl" w:hint="cs"/>
          <w:spacing w:val="10"/>
          <w:sz w:val="28"/>
          <w:szCs w:val="28"/>
          <w:rtl/>
          <w:lang w:eastAsia="he-IL"/>
        </w:rPr>
        <w:t>19.</w:t>
      </w:r>
      <w:r w:rsidRPr="00632224">
        <w:rPr>
          <w:rFonts w:ascii="Arial TUR" w:hAnsi="Arial TUR" w:cs="FrankRuehl" w:hint="cs"/>
          <w:spacing w:val="10"/>
          <w:sz w:val="28"/>
          <w:szCs w:val="28"/>
          <w:rtl/>
          <w:lang w:eastAsia="he-IL"/>
        </w:rPr>
        <w:tab/>
        <w:t xml:space="preserve">ערכי הכרזת העצמאות אינם משקפים רק את ה"אני מאמין" של המדינה, הם </w:t>
      </w:r>
      <w:r w:rsidRPr="00632224">
        <w:rPr>
          <w:rFonts w:ascii="Century" w:hAnsi="Century" w:cs="FrankRuehl" w:hint="cs"/>
          <w:spacing w:val="10"/>
          <w:sz w:val="22"/>
          <w:szCs w:val="28"/>
          <w:rtl/>
          <w:lang w:eastAsia="he-IL"/>
        </w:rPr>
        <w:t xml:space="preserve">"ערכים אשר האבות המייסדים הבטיחו להשתית עליהם את המדינה. ודוק שלא רק המשפט והחקיקה הושתתו על יסודות אלה, כי אם המדינה כולה, על ממשלתה ורשויותיה וצבאותיה" (חיים כהן "עריכה של מדינה יהודית ודמוקרטית </w:t>
      </w:r>
      <w:r w:rsidRPr="00632224">
        <w:rPr>
          <w:rFonts w:ascii="Century" w:hAnsi="Century" w:cs="FrankRuehl"/>
          <w:spacing w:val="10"/>
          <w:sz w:val="22"/>
          <w:szCs w:val="28"/>
          <w:rtl/>
          <w:lang w:eastAsia="he-IL"/>
        </w:rPr>
        <w:t>– ‏</w:t>
      </w:r>
      <w:r w:rsidRPr="00632224">
        <w:rPr>
          <w:rFonts w:ascii="Century" w:hAnsi="Century" w:cs="FrankRuehl" w:hint="eastAsia"/>
          <w:spacing w:val="10"/>
          <w:sz w:val="22"/>
          <w:szCs w:val="28"/>
          <w:rtl/>
          <w:lang w:eastAsia="he-IL"/>
        </w:rPr>
        <w:t>עיונים</w:t>
      </w:r>
      <w:r w:rsidRPr="00632224">
        <w:rPr>
          <w:rFonts w:ascii="Century" w:hAnsi="Century" w:cs="FrankRuehl"/>
          <w:spacing w:val="10"/>
          <w:sz w:val="22"/>
          <w:szCs w:val="28"/>
          <w:rtl/>
          <w:lang w:eastAsia="he-IL"/>
        </w:rPr>
        <w:t xml:space="preserve"> </w:t>
      </w:r>
      <w:r w:rsidRPr="00632224">
        <w:rPr>
          <w:rFonts w:ascii="Century" w:hAnsi="Century" w:cs="FrankRuehl" w:hint="eastAsia"/>
          <w:spacing w:val="10"/>
          <w:sz w:val="22"/>
          <w:szCs w:val="28"/>
          <w:rtl/>
          <w:lang w:eastAsia="he-IL"/>
        </w:rPr>
        <w:t>בחוק</w:t>
      </w:r>
      <w:r w:rsidRPr="00632224">
        <w:rPr>
          <w:rFonts w:ascii="Century" w:hAnsi="Century" w:cs="FrankRuehl"/>
          <w:spacing w:val="10"/>
          <w:sz w:val="22"/>
          <w:szCs w:val="28"/>
          <w:rtl/>
          <w:lang w:eastAsia="he-IL"/>
        </w:rPr>
        <w:t>-</w:t>
      </w:r>
      <w:r w:rsidRPr="00632224">
        <w:rPr>
          <w:rFonts w:ascii="Century" w:hAnsi="Century" w:cs="FrankRuehl" w:hint="eastAsia"/>
          <w:spacing w:val="10"/>
          <w:sz w:val="22"/>
          <w:szCs w:val="28"/>
          <w:rtl/>
          <w:lang w:eastAsia="he-IL"/>
        </w:rPr>
        <w:t>יסוד</w:t>
      </w:r>
      <w:r w:rsidRPr="00632224">
        <w:rPr>
          <w:rFonts w:ascii="Century" w:hAnsi="Century" w:cs="FrankRuehl"/>
          <w:spacing w:val="10"/>
          <w:sz w:val="22"/>
          <w:szCs w:val="28"/>
          <w:rtl/>
          <w:lang w:eastAsia="he-IL"/>
        </w:rPr>
        <w:t xml:space="preserve">: </w:t>
      </w:r>
      <w:r w:rsidRPr="00632224">
        <w:rPr>
          <w:rFonts w:ascii="Century" w:hAnsi="Century" w:cs="FrankRuehl" w:hint="eastAsia"/>
          <w:spacing w:val="10"/>
          <w:sz w:val="22"/>
          <w:szCs w:val="28"/>
          <w:rtl/>
          <w:lang w:eastAsia="he-IL"/>
        </w:rPr>
        <w:t>כבוד</w:t>
      </w:r>
      <w:r w:rsidRPr="00632224">
        <w:rPr>
          <w:rFonts w:ascii="Century" w:hAnsi="Century" w:cs="FrankRuehl"/>
          <w:spacing w:val="10"/>
          <w:sz w:val="22"/>
          <w:szCs w:val="28"/>
          <w:rtl/>
          <w:lang w:eastAsia="he-IL"/>
        </w:rPr>
        <w:t xml:space="preserve"> </w:t>
      </w:r>
      <w:r w:rsidRPr="00632224">
        <w:rPr>
          <w:rFonts w:ascii="Century" w:hAnsi="Century" w:cs="FrankRuehl" w:hint="eastAsia"/>
          <w:spacing w:val="10"/>
          <w:sz w:val="22"/>
          <w:szCs w:val="28"/>
          <w:rtl/>
          <w:lang w:eastAsia="he-IL"/>
        </w:rPr>
        <w:t>האדם</w:t>
      </w:r>
      <w:r w:rsidRPr="00632224">
        <w:rPr>
          <w:rFonts w:ascii="Century" w:hAnsi="Century" w:cs="FrankRuehl"/>
          <w:spacing w:val="10"/>
          <w:sz w:val="22"/>
          <w:szCs w:val="28"/>
          <w:rtl/>
          <w:lang w:eastAsia="he-IL"/>
        </w:rPr>
        <w:t xml:space="preserve"> </w:t>
      </w:r>
      <w:r w:rsidRPr="00632224">
        <w:rPr>
          <w:rFonts w:ascii="Century" w:hAnsi="Century" w:cs="FrankRuehl" w:hint="eastAsia"/>
          <w:spacing w:val="10"/>
          <w:sz w:val="22"/>
          <w:szCs w:val="28"/>
          <w:rtl/>
          <w:lang w:eastAsia="he-IL"/>
        </w:rPr>
        <w:t>וחירותו</w:t>
      </w:r>
      <w:r w:rsidRPr="00632224">
        <w:rPr>
          <w:rFonts w:ascii="Century" w:hAnsi="Century" w:cs="FrankRuehl" w:hint="cs"/>
          <w:spacing w:val="10"/>
          <w:sz w:val="22"/>
          <w:szCs w:val="28"/>
          <w:rtl/>
          <w:lang w:eastAsia="he-IL"/>
        </w:rPr>
        <w:t xml:space="preserve">" </w:t>
      </w:r>
      <w:r w:rsidRPr="00632224">
        <w:rPr>
          <w:rFonts w:ascii="Century" w:hAnsi="Century" w:cs="Miriam" w:hint="cs"/>
          <w:b/>
          <w:sz w:val="22"/>
          <w:rtl/>
          <w:lang w:eastAsia="he-IL"/>
        </w:rPr>
        <w:t>הפרקליט: ספר היובל</w:t>
      </w:r>
      <w:r w:rsidRPr="00632224">
        <w:rPr>
          <w:rFonts w:ascii="Century" w:hAnsi="Century" w:cs="FrankRuehl" w:hint="cs"/>
          <w:spacing w:val="10"/>
          <w:sz w:val="22"/>
          <w:szCs w:val="28"/>
          <w:rtl/>
          <w:lang w:eastAsia="he-IL"/>
        </w:rPr>
        <w:t xml:space="preserve"> 9, 14 (1994-1993)), "</w:t>
      </w:r>
      <w:r w:rsidRPr="00632224">
        <w:rPr>
          <w:rFonts w:ascii="Century" w:hAnsi="Century" w:cs="FrankRuehl"/>
          <w:spacing w:val="10"/>
          <w:sz w:val="22"/>
          <w:szCs w:val="28"/>
          <w:rtl/>
          <w:lang w:eastAsia="he-IL"/>
        </w:rPr>
        <w:t>ערכים אלה הם בבחינת ערכי־על, המרחפים מעל לשיטת המשפט כול</w:t>
      </w:r>
      <w:r w:rsidRPr="00632224">
        <w:rPr>
          <w:rFonts w:ascii="Century" w:hAnsi="Century" w:cs="FrankRuehl" w:hint="cs"/>
          <w:spacing w:val="10"/>
          <w:sz w:val="22"/>
          <w:szCs w:val="28"/>
          <w:rtl/>
          <w:lang w:eastAsia="he-IL"/>
        </w:rPr>
        <w:t xml:space="preserve">ה" (אשר מעוז "ערכיה של מדינה יהודית ודמוקרטית" </w:t>
      </w:r>
      <w:r w:rsidRPr="00632224">
        <w:rPr>
          <w:rFonts w:ascii="Century" w:hAnsi="Century" w:cs="Miriam" w:hint="cs"/>
          <w:b/>
          <w:sz w:val="22"/>
          <w:rtl/>
          <w:lang w:eastAsia="he-IL"/>
        </w:rPr>
        <w:t>עיוני משפט</w:t>
      </w:r>
      <w:r w:rsidRPr="00632224">
        <w:rPr>
          <w:rFonts w:ascii="Century" w:hAnsi="Century" w:cs="FrankRuehl" w:hint="cs"/>
          <w:spacing w:val="10"/>
          <w:sz w:val="22"/>
          <w:szCs w:val="28"/>
          <w:rtl/>
          <w:lang w:eastAsia="he-IL"/>
        </w:rPr>
        <w:t xml:space="preserve"> יט 547, 565 (1995)).</w:t>
      </w:r>
      <w:r w:rsidRPr="00632224">
        <w:rPr>
          <w:rFonts w:ascii="Arial TUR" w:hAnsi="Arial TUR" w:cs="Arial TUR"/>
          <w:spacing w:val="10"/>
          <w:sz w:val="22"/>
          <w:szCs w:val="22"/>
          <w:rtl/>
          <w:lang w:eastAsia="he-IL"/>
        </w:rPr>
        <w:t xml:space="preserve"> </w:t>
      </w:r>
      <w:r w:rsidRPr="00632224">
        <w:rPr>
          <w:rFonts w:ascii="Century" w:hAnsi="Century" w:cs="FrankRuehl" w:hint="eastAsia"/>
          <w:spacing w:val="10"/>
          <w:sz w:val="22"/>
          <w:szCs w:val="28"/>
          <w:rtl/>
          <w:lang w:eastAsia="he-IL"/>
        </w:rPr>
        <w:t>ערכי</w:t>
      </w:r>
      <w:r w:rsidRPr="00632224">
        <w:rPr>
          <w:rFonts w:ascii="Arial TUR" w:hAnsi="Arial TUR" w:cs="FrankRuehl" w:hint="cs"/>
          <w:spacing w:val="10"/>
          <w:sz w:val="28"/>
          <w:szCs w:val="28"/>
          <w:rtl/>
          <w:lang w:eastAsia="he-IL"/>
        </w:rPr>
        <w:t xml:space="preserve"> היסוד הם אפוא המצפן שבלעדיהם ייפרע עם ותאבד דרכה של המדינה היהודית-דמוקרטית בביתה הלאומי.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8"/>
          <w:szCs w:val="28"/>
          <w:rtl/>
        </w:rPr>
      </w:pPr>
      <w:r w:rsidRPr="00632224">
        <w:rPr>
          <w:rFonts w:ascii="Arial TUR" w:hAnsi="Arial TUR" w:cs="FrankRuehl"/>
          <w:spacing w:val="10"/>
          <w:sz w:val="28"/>
          <w:szCs w:val="28"/>
          <w:rtl/>
        </w:rPr>
        <w:tab/>
      </w:r>
      <w:r w:rsidRPr="00632224">
        <w:rPr>
          <w:rFonts w:ascii="Arial TUR" w:hAnsi="Arial TUR" w:cs="FrankRuehl" w:hint="cs"/>
          <w:spacing w:val="10"/>
          <w:sz w:val="28"/>
          <w:szCs w:val="28"/>
          <w:rtl/>
        </w:rPr>
        <w:t xml:space="preserve">יש ערכים ועקרונות יסוד שארוגים בסיפור חייה של מדינת ישראל, יש "אמנה חברתית" שהיא החוזה והבסיס לחיים המשותפים של כל אזרחי המדינה. ערכים ועקרונות יסוד אלה, המגלמים </w:t>
      </w:r>
      <w:r w:rsidRPr="00632224">
        <w:rPr>
          <w:rFonts w:ascii="Arial TUR" w:hAnsi="Arial TUR" w:cs="FrankRuehl" w:hint="cs"/>
          <w:spacing w:val="10"/>
          <w:sz w:val="22"/>
          <w:szCs w:val="28"/>
          <w:rtl/>
        </w:rPr>
        <w:t xml:space="preserve">קונצנזוס שאינו בר-חלוף, </w:t>
      </w:r>
      <w:r w:rsidRPr="00632224">
        <w:rPr>
          <w:rFonts w:ascii="Arial TUR" w:hAnsi="Arial TUR" w:cs="FrankRuehl" w:hint="cs"/>
          <w:spacing w:val="10"/>
          <w:sz w:val="28"/>
          <w:szCs w:val="28"/>
          <w:rtl/>
        </w:rPr>
        <w:t xml:space="preserve">הם ערכי העומק המזינים ומפיחים חיים בכל חוק של הכנסת, הן בחקיקה ראשית והן בחוקי היסוד. "חוקה וחוק שאינם שולחים שורשים עמוק אל הערכים והמוסכמות של החברה, יקמלו וייעלמו עד-מהרה. בסוף כל הסופות, ערכי העומק של החברה ידם תהא על העליונה. כך הוא בעניינן של זכויות האדם וכך הוא בעיקרי המישטר ובערכי החברה הכלליים" (עניין </w:t>
      </w:r>
      <w:r w:rsidRPr="00632224">
        <w:rPr>
          <w:rFonts w:ascii="Century" w:hAnsi="Century" w:cs="Miriam" w:hint="cs"/>
          <w:b/>
          <w:sz w:val="22"/>
          <w:rtl/>
        </w:rPr>
        <w:t>גיוס בני הישיבות</w:t>
      </w:r>
      <w:r w:rsidRPr="00632224">
        <w:rPr>
          <w:rFonts w:ascii="Arial TUR" w:hAnsi="Arial TUR" w:cs="FrankRuehl" w:hint="cs"/>
          <w:spacing w:val="10"/>
          <w:sz w:val="28"/>
          <w:szCs w:val="28"/>
          <w:rtl/>
        </w:rPr>
        <w:t xml:space="preserve">, בפסקה 9 לפסק דינו של המשנה לנשיא (בדימ') </w:t>
      </w:r>
      <w:r w:rsidRPr="00632224">
        <w:rPr>
          <w:rFonts w:ascii="Century" w:hAnsi="Century" w:cs="Miriam" w:hint="cs"/>
          <w:b/>
          <w:sz w:val="22"/>
          <w:rtl/>
        </w:rPr>
        <w:t>חשין</w:t>
      </w:r>
      <w:r w:rsidRPr="00632224">
        <w:rPr>
          <w:rFonts w:ascii="Arial TUR" w:hAnsi="Arial TUR" w:cs="FrankRuehl" w:hint="cs"/>
          <w:spacing w:val="10"/>
          <w:sz w:val="28"/>
          <w:szCs w:val="28"/>
          <w:rtl/>
        </w:rPr>
        <w:t>).</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כאמור, איני רואה להכריע אם מקור הסמכות לביקורת שיפוטית על חוקי היסוד נובע מאותם "נתונים קונסטיטוציוניים" שביססו את עצם סמכותה של הרשות המכוננת, או אם מהכרזת העצמאות, או אם מעקרונות על-חוקתיים. זאת, בהעדר נפקות מעשית לשאלה ובאשר כל הדרכים מובילות לאותה התוצאה.</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לאחר שעמדנו על מקור הסמכות, נסביר מדוע חיוני להכיר בביקורת שיפוטית על חוקי יסוד.</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eastAsia"/>
          <w:sz w:val="32"/>
          <w:rtl/>
        </w:rPr>
        <w:t>הקלות</w:t>
      </w:r>
      <w:r w:rsidRPr="00632224">
        <w:rPr>
          <w:rFonts w:ascii="Cambria" w:hAnsi="Cambria" w:cs="Miriam"/>
          <w:sz w:val="32"/>
          <w:rtl/>
        </w:rPr>
        <w:t xml:space="preserve"> </w:t>
      </w:r>
      <w:r w:rsidRPr="00632224">
        <w:rPr>
          <w:rFonts w:ascii="Cambria" w:hAnsi="Cambria" w:cs="Miriam" w:hint="eastAsia"/>
          <w:sz w:val="32"/>
          <w:rtl/>
        </w:rPr>
        <w:t>הבלתי</w:t>
      </w:r>
      <w:r w:rsidRPr="00632224">
        <w:rPr>
          <w:rFonts w:ascii="Cambria" w:hAnsi="Cambria" w:cs="Miriam"/>
          <w:sz w:val="32"/>
          <w:rtl/>
        </w:rPr>
        <w:t xml:space="preserve"> </w:t>
      </w:r>
      <w:r w:rsidRPr="00632224">
        <w:rPr>
          <w:rFonts w:ascii="Cambria" w:hAnsi="Cambria" w:cs="Miriam" w:hint="eastAsia"/>
          <w:sz w:val="32"/>
          <w:rtl/>
        </w:rPr>
        <w:t>נסבלת</w:t>
      </w:r>
      <w:r w:rsidRPr="00632224">
        <w:rPr>
          <w:rFonts w:ascii="Cambria" w:hAnsi="Cambria" w:cs="Miriam"/>
          <w:sz w:val="32"/>
          <w:rtl/>
        </w:rPr>
        <w:t xml:space="preserve"> </w:t>
      </w:r>
      <w:r w:rsidRPr="00632224">
        <w:rPr>
          <w:rFonts w:ascii="Cambria" w:hAnsi="Cambria" w:cs="Miriam" w:hint="eastAsia"/>
          <w:sz w:val="32"/>
          <w:rtl/>
        </w:rPr>
        <w:t>של</w:t>
      </w:r>
      <w:r w:rsidRPr="00632224">
        <w:rPr>
          <w:rFonts w:ascii="Cambria" w:hAnsi="Cambria" w:cs="Miriam"/>
          <w:sz w:val="32"/>
          <w:rtl/>
        </w:rPr>
        <w:t xml:space="preserve"> </w:t>
      </w:r>
      <w:r w:rsidRPr="00632224">
        <w:rPr>
          <w:rFonts w:ascii="Cambria" w:hAnsi="Cambria" w:cs="Miriam" w:hint="eastAsia"/>
          <w:sz w:val="32"/>
          <w:rtl/>
        </w:rPr>
        <w:t>השימוש</w:t>
      </w:r>
      <w:r w:rsidRPr="00632224">
        <w:rPr>
          <w:rFonts w:ascii="Cambria" w:hAnsi="Cambria" w:cs="Miriam"/>
          <w:sz w:val="32"/>
          <w:rtl/>
        </w:rPr>
        <w:t xml:space="preserve"> </w:t>
      </w:r>
      <w:r w:rsidRPr="00632224">
        <w:rPr>
          <w:rFonts w:ascii="Cambria" w:hAnsi="Cambria" w:cs="Miriam" w:hint="eastAsia"/>
          <w:sz w:val="32"/>
          <w:rtl/>
        </w:rPr>
        <w:t>בסמכות</w:t>
      </w:r>
      <w:r w:rsidRPr="00632224">
        <w:rPr>
          <w:rFonts w:ascii="Cambria" w:hAnsi="Cambria" w:cs="Miriam"/>
          <w:sz w:val="32"/>
          <w:rtl/>
        </w:rPr>
        <w:t xml:space="preserve"> </w:t>
      </w:r>
      <w:r w:rsidRPr="00632224">
        <w:rPr>
          <w:rFonts w:ascii="Cambria" w:hAnsi="Cambria" w:cs="Miriam" w:hint="cs"/>
          <w:sz w:val="32"/>
          <w:rtl/>
        </w:rPr>
        <w:t>המכוננת מחייבת ביקורת שיפוטית</w:t>
      </w:r>
    </w:p>
    <w:p w:rsidR="00244560" w:rsidRPr="009B0AFF" w:rsidRDefault="00244560" w:rsidP="009B0AFF">
      <w:pPr>
        <w:tabs>
          <w:tab w:val="left" w:pos="800"/>
        </w:tabs>
        <w:spacing w:line="276"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20.</w:t>
      </w:r>
      <w:r w:rsidRPr="00632224">
        <w:rPr>
          <w:rFonts w:ascii="Arial TUR" w:hAnsi="Arial TUR" w:cs="FrankRuehl" w:hint="cs"/>
          <w:spacing w:val="10"/>
          <w:sz w:val="22"/>
          <w:szCs w:val="28"/>
          <w:rtl/>
        </w:rPr>
        <w:tab/>
      </w:r>
      <w:r>
        <w:rPr>
          <w:rFonts w:ascii="Arial TUR" w:hAnsi="Arial TUR" w:cs="FrankRuehl" w:hint="cs"/>
          <w:spacing w:val="10"/>
          <w:sz w:val="22"/>
          <w:szCs w:val="28"/>
          <w:rtl/>
        </w:rPr>
        <w:t>כאשר</w:t>
      </w:r>
      <w:r w:rsidRPr="00632224">
        <w:rPr>
          <w:rFonts w:ascii="Arial TUR" w:hAnsi="Arial TUR" w:cs="FrankRuehl" w:hint="cs"/>
          <w:spacing w:val="10"/>
          <w:sz w:val="22"/>
          <w:szCs w:val="28"/>
          <w:rtl/>
        </w:rPr>
        <w:t xml:space="preserve"> כנסת ישראל מחוקקת חוקי יסוד היא פועלת בכובעה כרשות מכוננת (על תורת "שני הכובעים" ראו, בין היתר, </w:t>
      </w:r>
      <w:r w:rsidRPr="00632224">
        <w:rPr>
          <w:rFonts w:ascii="Arial TUR" w:hAnsi="Arial TUR" w:cs="FrankRuehl"/>
          <w:spacing w:val="10"/>
          <w:sz w:val="22"/>
          <w:szCs w:val="28"/>
          <w:rtl/>
        </w:rPr>
        <w:t xml:space="preserve">אמנון רובינשטיין וברק מדינה </w:t>
      </w:r>
      <w:r w:rsidRPr="00632224">
        <w:rPr>
          <w:rFonts w:ascii="Century" w:hAnsi="Century" w:cs="Miriam"/>
          <w:b/>
          <w:sz w:val="22"/>
          <w:rtl/>
        </w:rPr>
        <w:t xml:space="preserve">המשפט החוקתי של </w:t>
      </w:r>
      <w:r w:rsidRPr="00632224">
        <w:rPr>
          <w:rFonts w:ascii="Century" w:hAnsi="Century" w:cs="Miriam"/>
          <w:b/>
          <w:sz w:val="22"/>
          <w:rtl/>
        </w:rPr>
        <w:lastRenderedPageBreak/>
        <w:t>מדינת ישראל</w:t>
      </w:r>
      <w:r w:rsidRPr="00632224">
        <w:rPr>
          <w:rFonts w:ascii="Arial TUR" w:hAnsi="Arial TUR" w:cs="FrankRuehl"/>
          <w:spacing w:val="10"/>
          <w:sz w:val="22"/>
          <w:szCs w:val="28"/>
          <w:rtl/>
        </w:rPr>
        <w:t xml:space="preserve"> א</w:t>
      </w:r>
      <w:r w:rsidRPr="00632224">
        <w:rPr>
          <w:rFonts w:ascii="Arial TUR" w:hAnsi="Arial TUR" w:cs="FrankRuehl" w:hint="cs"/>
          <w:spacing w:val="10"/>
          <w:sz w:val="22"/>
          <w:szCs w:val="28"/>
          <w:rtl/>
        </w:rPr>
        <w:t xml:space="preserve"> 60 (מהדורה שישית, 2005); אורי אהרונסון "המהפכה החוקתית: הדור הבא" </w:t>
      </w:r>
      <w:r w:rsidRPr="00632224">
        <w:rPr>
          <w:rFonts w:ascii="Century" w:hAnsi="Century" w:cs="Miriam" w:hint="cs"/>
          <w:b/>
          <w:sz w:val="22"/>
          <w:rtl/>
        </w:rPr>
        <w:t>מחקרי משפט</w:t>
      </w:r>
      <w:r w:rsidRPr="00632224">
        <w:rPr>
          <w:rFonts w:ascii="Arial TUR" w:hAnsi="Arial TUR" w:cs="FrankRuehl" w:hint="cs"/>
          <w:spacing w:val="10"/>
          <w:sz w:val="22"/>
          <w:szCs w:val="28"/>
          <w:rtl/>
        </w:rPr>
        <w:t xml:space="preserve"> לד (2023); רבקה וייל "עשרים שנה לבנק המזרחי: סיפורה הפיקנטי של חוקת הכלאיים הישראלי" </w:t>
      </w:r>
      <w:r w:rsidRPr="00632224">
        <w:rPr>
          <w:rFonts w:ascii="Century" w:hAnsi="Century" w:cs="Miriam" w:hint="cs"/>
          <w:b/>
          <w:sz w:val="22"/>
          <w:rtl/>
        </w:rPr>
        <w:t>עיוני משפט</w:t>
      </w:r>
      <w:r w:rsidRPr="00632224">
        <w:rPr>
          <w:rFonts w:ascii="Arial TUR" w:hAnsi="Arial TUR" w:cs="FrankRuehl" w:hint="cs"/>
          <w:spacing w:val="10"/>
          <w:sz w:val="22"/>
          <w:szCs w:val="28"/>
          <w:rtl/>
        </w:rPr>
        <w:t xml:space="preserve"> לח 501, 515 (2016)). מאז נודע ברבים כי קיימת זהות מוסדית בין הכנסת כרשות מכוננת חוקה, לבין הכנסת כבית המחוקקים, דומה כי נאה עד מאוד כובע המכונן בעיני הכנסת, והיא מחליפה את כובעיה בתכיפות ובזריזות גבוהה, כמעט חדשות לבקרים (כמפורט גם בפסקה 83 לפסק דינה של הנשיאה), וכפי שנזדמן לי לומר:</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spacing w:val="10"/>
          <w:sz w:val="22"/>
          <w:szCs w:val="28"/>
          <w:rtl/>
        </w:rPr>
        <w:t>"קצרים היו ימי שני חייה של הכנסת ה-23, משך כתשעה חודשים בלבד, אך במהלך תקופה קצרה זו תוקנו חוקי היסוד 13 פעמים (!!!) בהוראת שעה, בגדר שיא אולימפי בתיקוני חוקה למרחקים קצרים (לשם השוואה, החוקה בארצות הברית התקבלה בשנת 1787 ומאז, בחלוף למעלה ממאתיים ושלושים שנה, התקבלו 27 תיקונים לחוקה)</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עניין </w:t>
      </w:r>
      <w:r w:rsidRPr="00632224">
        <w:rPr>
          <w:rFonts w:ascii="Century" w:hAnsi="Century" w:cs="Miriam" w:hint="eastAsia"/>
          <w:b/>
          <w:sz w:val="22"/>
          <w:rtl/>
        </w:rPr>
        <w:t>שפיר</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ב</w:t>
      </w:r>
      <w:r w:rsidRPr="00632224">
        <w:rPr>
          <w:rFonts w:ascii="Century" w:hAnsi="Century" w:cs="FrankRuehl" w:hint="eastAsia"/>
          <w:spacing w:val="10"/>
          <w:sz w:val="22"/>
          <w:szCs w:val="28"/>
          <w:rtl/>
        </w:rPr>
        <w:t>פסקה</w:t>
      </w:r>
      <w:r w:rsidRPr="00632224">
        <w:rPr>
          <w:rFonts w:ascii="Century" w:hAnsi="Century" w:cs="FrankRuehl"/>
          <w:spacing w:val="10"/>
          <w:sz w:val="22"/>
          <w:szCs w:val="28"/>
          <w:rtl/>
        </w:rPr>
        <w:t xml:space="preserve"> 4 </w:t>
      </w:r>
      <w:r w:rsidRPr="00632224">
        <w:rPr>
          <w:rFonts w:ascii="Century" w:hAnsi="Century" w:cs="FrankRuehl" w:hint="eastAsia"/>
          <w:spacing w:val="10"/>
          <w:sz w:val="22"/>
          <w:szCs w:val="28"/>
          <w:rtl/>
        </w:rPr>
        <w:t>לפסק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דיני</w:t>
      </w:r>
      <w:r w:rsidRPr="00632224">
        <w:rPr>
          <w:rFonts w:ascii="Arial TUR" w:hAnsi="Arial TUR" w:cs="FrankRuehl"/>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b/>
          <w:bCs/>
          <w:spacing w:val="10"/>
          <w:sz w:val="22"/>
          <w:szCs w:val="28"/>
          <w:rtl/>
        </w:rPr>
      </w:pPr>
      <w:r w:rsidRPr="00632224">
        <w:rPr>
          <w:rFonts w:ascii="Arial TUR" w:hAnsi="Arial TUR" w:cs="FrankRuehl"/>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מכאן, שהטענה כי בארצות הברית לא היה עולה על הדעת שבית המשפט יתערב בתיקון לחוקה, היא בבחינת השוואה בין תפוזים לשור הבר. לפנינו דוגמה לכך שיש להישמר מפני העתקה של מאפיין אחד ממדינה דמוקרטית מסוימת, תוך השמטה של מאפיינים משלימים שקיימים בשיטת המשטר של אותה מדינה. בארצות הברית, על מנת לתקן את החוקה, יש צורך ברוב של שני שלישים בשני הבתים ואישור של שלושה רבעים מהמדינות (</w:t>
      </w:r>
      <w:r w:rsidRPr="00632224">
        <w:rPr>
          <w:rFonts w:ascii="Century" w:hAnsi="Century" w:cs="FrankRuehl" w:hint="eastAsia"/>
          <w:spacing w:val="10"/>
          <w:sz w:val="22"/>
          <w:szCs w:val="28"/>
          <w:rtl/>
        </w:rPr>
        <w:t>עניין</w:t>
      </w:r>
      <w:r w:rsidRPr="00632224">
        <w:rPr>
          <w:rFonts w:ascii="Century" w:hAnsi="Century" w:cs="Miriam"/>
          <w:b/>
          <w:sz w:val="22"/>
          <w:rtl/>
        </w:rPr>
        <w:t xml:space="preserve"> </w:t>
      </w:r>
      <w:r w:rsidRPr="00632224">
        <w:rPr>
          <w:rFonts w:ascii="Century" w:hAnsi="Century" w:cs="Miriam" w:hint="cs"/>
          <w:b/>
          <w:sz w:val="22"/>
          <w:rtl/>
        </w:rPr>
        <w:t>התקציב הדו-שנתי</w:t>
      </w:r>
      <w:r w:rsidRPr="00632224">
        <w:rPr>
          <w:rFonts w:ascii="Arial TUR" w:hAnsi="Arial TUR" w:cs="FrankRuehl" w:hint="cs"/>
          <w:spacing w:val="10"/>
          <w:sz w:val="22"/>
          <w:szCs w:val="28"/>
          <w:rtl/>
        </w:rPr>
        <w:t xml:space="preserve">, בעמ' 317; דברי הנשיאה </w:t>
      </w:r>
      <w:r w:rsidRPr="00632224">
        <w:rPr>
          <w:rFonts w:ascii="Century" w:hAnsi="Century" w:cs="Miriam" w:hint="eastAsia"/>
          <w:b/>
          <w:sz w:val="22"/>
          <w:rtl/>
        </w:rPr>
        <w:t>חיות</w:t>
      </w:r>
      <w:r w:rsidRPr="00632224">
        <w:rPr>
          <w:rFonts w:ascii="Arial TUR" w:hAnsi="Arial TUR" w:cs="FrankRuehl" w:hint="cs"/>
          <w:spacing w:val="10"/>
          <w:sz w:val="22"/>
          <w:szCs w:val="28"/>
          <w:rtl/>
        </w:rPr>
        <w:t xml:space="preserve"> בעניין </w:t>
      </w:r>
      <w:r w:rsidRPr="00632224">
        <w:rPr>
          <w:rFonts w:ascii="Century" w:hAnsi="Century" w:cs="Miriam" w:hint="cs"/>
          <w:b/>
          <w:sz w:val="22"/>
          <w:rtl/>
        </w:rPr>
        <w:t>חוק הלאום</w:t>
      </w:r>
      <w:r w:rsidRPr="00632224">
        <w:rPr>
          <w:rFonts w:ascii="Arial TUR" w:hAnsi="Arial TUR" w:cs="FrankRuehl" w:hint="cs"/>
          <w:spacing w:val="10"/>
          <w:sz w:val="22"/>
          <w:szCs w:val="28"/>
          <w:rtl/>
        </w:rPr>
        <w:t>, בפסקה 34). לא בכדי כבר למעלה מ</w:t>
      </w:r>
      <w:r>
        <w:rPr>
          <w:rFonts w:ascii="Arial TUR" w:hAnsi="Arial TUR" w:cs="FrankRuehl" w:hint="cs"/>
          <w:spacing w:val="10"/>
          <w:sz w:val="22"/>
          <w:szCs w:val="28"/>
          <w:rtl/>
        </w:rPr>
        <w:t>שלושים</w:t>
      </w:r>
      <w:r w:rsidRPr="00632224">
        <w:rPr>
          <w:rFonts w:ascii="Arial TUR" w:hAnsi="Arial TUR" w:cs="FrankRuehl" w:hint="cs"/>
          <w:spacing w:val="10"/>
          <w:sz w:val="22"/>
          <w:szCs w:val="28"/>
          <w:rtl/>
        </w:rPr>
        <w:t xml:space="preserve"> שנה לא נעשה בארצות הברית תיקון לחוקה. ואילו בישראל: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r w:rsidRPr="00632224">
        <w:rPr>
          <w:rFonts w:ascii="Arial TUR" w:hAnsi="Arial TUR" w:cs="FrankRuehl" w:hint="eastAsia"/>
          <w:spacing w:val="10"/>
          <w:sz w:val="22"/>
          <w:szCs w:val="28"/>
          <w:rtl/>
        </w:rPr>
        <w:t>אוי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לאותה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שנעשתה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ידי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הכנסת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כחומר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ביד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היוצר</w:t>
      </w:r>
      <w:r w:rsidRPr="00632224">
        <w:rPr>
          <w:rFonts w:ascii="Arial TUR" w:hAnsi="Arial TUR" w:cs="FrankRuehl"/>
          <w:spacing w:val="10"/>
          <w:sz w:val="22"/>
          <w:szCs w:val="28"/>
          <w:rtl/>
        </w:rPr>
        <w:t xml:space="preserve"> – </w:t>
      </w:r>
      <w:r w:rsidRPr="00632224">
        <w:rPr>
          <w:rFonts w:ascii="Arial TUR" w:hAnsi="Arial TUR" w:cs="FrankRuehl" w:hint="eastAsia"/>
          <w:spacing w:val="10"/>
          <w:sz w:val="22"/>
          <w:szCs w:val="28"/>
          <w:rtl/>
        </w:rPr>
        <w:t>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כאבן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בידי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המסתת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כיריעה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ביד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הרוקם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כפלסטלינה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בידי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המכונן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יציבות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חוקתית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תרבות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תיקון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חוקתית</w:t>
      </w:r>
      <w:r w:rsidRPr="00632224">
        <w:rPr>
          <w:rFonts w:ascii="Arial TUR" w:hAnsi="Arial TUR" w:cs="FrankRuehl"/>
          <w:spacing w:val="10"/>
          <w:sz w:val="22"/>
          <w:szCs w:val="28"/>
          <w:rtl/>
        </w:rPr>
        <w:t xml:space="preserve"> (</w:t>
      </w:r>
      <w:r w:rsidRPr="00632224">
        <w:rPr>
          <w:rFonts w:cs="Times New Roman"/>
          <w:spacing w:val="10"/>
          <w:sz w:val="22"/>
          <w:szCs w:val="22"/>
        </w:rPr>
        <w:t>amendment culture</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הסתם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מונחים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שאינם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הולמים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תנאי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הארץ</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ותושביה</w:t>
      </w:r>
      <w:r w:rsidRPr="00632224">
        <w:rPr>
          <w:rFonts w:ascii="Arial TUR" w:hAnsi="Arial TUR" w:cs="FrankRuehl" w:hint="cs"/>
          <w:spacing w:val="10"/>
          <w:sz w:val="22"/>
          <w:szCs w:val="28"/>
          <w:rtl/>
        </w:rPr>
        <w:t xml:space="preserve">" (בג"ץ 8948/22 </w:t>
      </w:r>
      <w:r w:rsidRPr="00632224">
        <w:rPr>
          <w:rFonts w:ascii="Century" w:hAnsi="Century" w:cs="Miriam" w:hint="cs"/>
          <w:b/>
          <w:sz w:val="22"/>
          <w:rtl/>
        </w:rPr>
        <w:t>שיינפלד נ' הכנסת</w:t>
      </w:r>
      <w:r w:rsidRPr="00632224">
        <w:rPr>
          <w:rFonts w:ascii="Arial TUR" w:hAnsi="Arial TUR" w:cs="FrankRuehl" w:hint="cs"/>
          <w:spacing w:val="10"/>
          <w:sz w:val="22"/>
          <w:szCs w:val="28"/>
          <w:rtl/>
        </w:rPr>
        <w:t xml:space="preserve">, פסקה 3 לפסק דיני (18.1.2023) (להלן: </w:t>
      </w:r>
      <w:r w:rsidRPr="00632224">
        <w:rPr>
          <w:rFonts w:ascii="Century" w:hAnsi="Century" w:cs="FrankRuehl" w:hint="eastAsia"/>
          <w:spacing w:val="10"/>
          <w:sz w:val="22"/>
          <w:szCs w:val="28"/>
          <w:rtl/>
        </w:rPr>
        <w:t>עניין</w:t>
      </w:r>
      <w:r w:rsidRPr="00632224">
        <w:rPr>
          <w:rFonts w:ascii="Century" w:hAnsi="Century" w:cs="Miriam" w:hint="cs"/>
          <w:b/>
          <w:sz w:val="22"/>
          <w:rtl/>
        </w:rPr>
        <w:t xml:space="preserve"> דרעי הרביעי</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אם כן, בעמודים הבאים אבקש לעמוד על היבטים שונים בהליך חקיקת חוקי יסוד ועל סוגיות נוספות הנוגעות לחוקי היסוד, שיש בהם לשיטתי כדי להעיד על ההצדקה לביקורת שיפוטית על חוקי היסוד ועל היקפה.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lastRenderedPageBreak/>
        <w:t>21.</w:t>
      </w:r>
      <w:r w:rsidRPr="00632224">
        <w:rPr>
          <w:rFonts w:ascii="Century" w:hAnsi="Century" w:cs="Miriam"/>
          <w:b/>
          <w:sz w:val="22"/>
          <w:rtl/>
        </w:rPr>
        <w:tab/>
      </w:r>
      <w:r w:rsidRPr="00632224">
        <w:rPr>
          <w:rFonts w:ascii="Century" w:hAnsi="Century" w:cs="Miriam" w:hint="cs"/>
          <w:b/>
          <w:sz w:val="22"/>
          <w:rtl/>
        </w:rPr>
        <w:t>אי יציבות החוקה והעדר מגבלות על שינויה</w:t>
      </w:r>
      <w:r w:rsidRPr="00632224">
        <w:rPr>
          <w:rFonts w:ascii="Century" w:hAnsi="Century" w:cs="Miriam"/>
          <w:b/>
          <w:sz w:val="22"/>
          <w:rtl/>
        </w:rPr>
        <w:t>:</w:t>
      </w:r>
      <w:r w:rsidRPr="00632224">
        <w:rPr>
          <w:rFonts w:ascii="Arial TUR" w:hAnsi="Arial TUR" w:cs="FrankRuehl" w:hint="cs"/>
          <w:spacing w:val="10"/>
          <w:sz w:val="22"/>
          <w:szCs w:val="28"/>
          <w:rtl/>
        </w:rPr>
        <w:t xml:space="preserve"> </w:t>
      </w:r>
      <w:r w:rsidRPr="00632224">
        <w:rPr>
          <w:rFonts w:ascii="Arial TUR" w:hAnsi="Arial TUR" w:cs="FrankRuehl" w:hint="eastAsia"/>
          <w:spacing w:val="10"/>
          <w:sz w:val="28"/>
          <w:szCs w:val="28"/>
          <w:rtl/>
        </w:rPr>
        <w:t>עובר</w:t>
      </w:r>
      <w:r w:rsidRPr="00632224">
        <w:rPr>
          <w:rFonts w:ascii="Arial TUR" w:hAnsi="Arial TUR" w:cs="FrankRuehl"/>
          <w:spacing w:val="10"/>
          <w:sz w:val="28"/>
          <w:szCs w:val="28"/>
          <w:rtl/>
        </w:rPr>
        <w:t xml:space="preserve"> לחקיקתו של חוק </w:t>
      </w:r>
      <w:r w:rsidRPr="00632224">
        <w:rPr>
          <w:rFonts w:ascii="Arial TUR" w:hAnsi="Arial TUR" w:cs="FrankRuehl" w:hint="cs"/>
          <w:spacing w:val="10"/>
          <w:sz w:val="28"/>
          <w:szCs w:val="28"/>
          <w:rtl/>
        </w:rPr>
        <w:t>ה</w:t>
      </w:r>
      <w:r w:rsidRPr="00632224">
        <w:rPr>
          <w:rFonts w:ascii="Arial TUR" w:hAnsi="Arial TUR" w:cs="FrankRuehl"/>
          <w:spacing w:val="10"/>
          <w:sz w:val="28"/>
          <w:szCs w:val="28"/>
          <w:rtl/>
        </w:rPr>
        <w:t>יסוד</w:t>
      </w:r>
      <w:r w:rsidRPr="00632224">
        <w:rPr>
          <w:rFonts w:ascii="Arial TUR" w:hAnsi="Arial TUR" w:cs="FrankRuehl" w:hint="cs"/>
          <w:spacing w:val="10"/>
          <w:sz w:val="28"/>
          <w:szCs w:val="28"/>
          <w:rtl/>
        </w:rPr>
        <w:t xml:space="preserve"> הראשון, חוק יסוד</w:t>
      </w:r>
      <w:r w:rsidRPr="00632224">
        <w:rPr>
          <w:rFonts w:ascii="Arial TUR" w:hAnsi="Arial TUR" w:cs="FrankRuehl"/>
          <w:spacing w:val="10"/>
          <w:sz w:val="28"/>
          <w:szCs w:val="28"/>
          <w:rtl/>
        </w:rPr>
        <w:t>: הכנסת, הציע חבר הכנסת סנה לשריין את חוק היסוד כולו על מנת להבטיח את יציבות החוק "כדי שאיזו קאפריזה רגעית חולפת, איזה אינטרס לשעה אחת או ליום אחד או לתקופה קצרה, איזו התלקחות יצרים, איזה צירוף מקרי של כוחות לא יוכלו לשנות את אבני היסוד של חוקת הארץ" (ד"כ 2.2.1958, 957</w:t>
      </w:r>
      <w:r w:rsidRPr="00632224">
        <w:rPr>
          <w:rFonts w:ascii="Arial TUR" w:hAnsi="Arial TUR" w:cs="FrankRuehl" w:hint="cs"/>
          <w:spacing w:val="10"/>
          <w:sz w:val="28"/>
          <w:szCs w:val="28"/>
          <w:rtl/>
        </w:rPr>
        <w:t>).</w:t>
      </w:r>
      <w:r w:rsidRPr="00632224">
        <w:rPr>
          <w:rFonts w:ascii="Arial TUR" w:hAnsi="Arial TUR" w:cs="FrankRuehl"/>
          <w:spacing w:val="10"/>
          <w:sz w:val="28"/>
          <w:szCs w:val="28"/>
          <w:rtl/>
        </w:rPr>
        <w:t xml:space="preserve"> לא רוח נבואה שרתה על חבר הכנסת סנה כאשר אמר את הדברים, אלא תפיסה כיצד צריכה להיראות חוק</w:t>
      </w:r>
      <w:r w:rsidRPr="00632224">
        <w:rPr>
          <w:rFonts w:ascii="Arial TUR" w:hAnsi="Arial TUR" w:cs="FrankRuehl" w:hint="eastAsia"/>
          <w:spacing w:val="10"/>
          <w:sz w:val="28"/>
          <w:szCs w:val="28"/>
          <w:rtl/>
        </w:rPr>
        <w:t>ה</w:t>
      </w:r>
      <w:r w:rsidRPr="00632224">
        <w:rPr>
          <w:rFonts w:ascii="Century" w:hAnsi="Century" w:cs="FrankRuehl"/>
          <w:spacing w:val="10"/>
          <w:sz w:val="22"/>
          <w:szCs w:val="28"/>
          <w:rtl/>
        </w:rPr>
        <w:t>.</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b/>
          <w:bCs/>
          <w:spacing w:val="10"/>
          <w:sz w:val="22"/>
          <w:szCs w:val="28"/>
          <w:rtl/>
        </w:rPr>
      </w:pPr>
      <w:r w:rsidRPr="00632224">
        <w:rPr>
          <w:rFonts w:ascii="Arial TUR" w:hAnsi="Arial TUR" w:cs="FrankRuehl"/>
          <w:spacing w:val="10"/>
          <w:sz w:val="22"/>
          <w:szCs w:val="28"/>
          <w:rtl/>
        </w:rPr>
        <w:tab/>
      </w:r>
      <w:r w:rsidRPr="00632224">
        <w:rPr>
          <w:rFonts w:ascii="Century" w:hAnsi="Century" w:cs="FrankRuehl" w:hint="cs"/>
          <w:spacing w:val="10"/>
          <w:sz w:val="22"/>
          <w:szCs w:val="28"/>
          <w:rtl/>
        </w:rPr>
        <w:t>מידת החסינות של חוקי היסוד מהתערבות בית המשפט צריכה לעמוד ביחס ישיר לקושי בשינוי החוקה ולתכיפות בשינוי החוקה.</w:t>
      </w:r>
      <w:r w:rsidRPr="00632224">
        <w:rPr>
          <w:rFonts w:ascii="Arial TUR" w:hAnsi="Arial TUR" w:cs="FrankRuehl" w:hint="cs"/>
          <w:spacing w:val="10"/>
          <w:sz w:val="22"/>
          <w:szCs w:val="28"/>
          <w:rtl/>
        </w:rPr>
        <w:t xml:space="preserve"> ככלל, חוקה נועדה "להגן על האומה מפני שינויים קיצוניים בנרטיב המכונן, המאיימים לפרק את רצף אבני-הבנין מהן מורכב סיפורה" (דברי השופט </w:t>
      </w:r>
      <w:r w:rsidRPr="00632224">
        <w:rPr>
          <w:rFonts w:ascii="Century" w:hAnsi="Century" w:cs="Miriam" w:hint="eastAsia"/>
          <w:b/>
          <w:sz w:val="22"/>
          <w:rtl/>
        </w:rPr>
        <w:t>לוי</w:t>
      </w:r>
      <w:r w:rsidRPr="00632224">
        <w:rPr>
          <w:rFonts w:ascii="Arial TUR" w:hAnsi="Arial TUR" w:cs="FrankRuehl" w:hint="cs"/>
          <w:spacing w:val="10"/>
          <w:sz w:val="22"/>
          <w:szCs w:val="28"/>
          <w:rtl/>
        </w:rPr>
        <w:t xml:space="preserve"> בבג"ץ 466/07 </w:t>
      </w:r>
      <w:r w:rsidRPr="00632224">
        <w:rPr>
          <w:rFonts w:ascii="Century" w:hAnsi="Century" w:cs="Miriam" w:hint="cs"/>
          <w:b/>
          <w:sz w:val="22"/>
          <w:rtl/>
        </w:rPr>
        <w:t>גלאון נ' היועץ המשפטי לממשלה</w:t>
      </w:r>
      <w:r w:rsidRPr="00632224">
        <w:rPr>
          <w:rFonts w:ascii="Arial TUR" w:hAnsi="Arial TUR" w:cs="FrankRuehl" w:hint="cs"/>
          <w:spacing w:val="10"/>
          <w:sz w:val="22"/>
          <w:szCs w:val="28"/>
          <w:rtl/>
        </w:rPr>
        <w:t xml:space="preserve">, פ"ד סה(2) 44, 61-60 (2012) (להלן: </w:t>
      </w:r>
      <w:r w:rsidRPr="00632224">
        <w:rPr>
          <w:rFonts w:ascii="Century" w:hAnsi="Century" w:cs="FrankRuehl" w:hint="eastAsia"/>
          <w:spacing w:val="10"/>
          <w:sz w:val="22"/>
          <w:szCs w:val="28"/>
          <w:rtl/>
        </w:rPr>
        <w:t>עניין</w:t>
      </w:r>
      <w:r w:rsidRPr="00632224">
        <w:rPr>
          <w:rFonts w:ascii="Century" w:hAnsi="Century" w:cs="FrankRuehl"/>
          <w:spacing w:val="10"/>
          <w:sz w:val="22"/>
          <w:szCs w:val="28"/>
          <w:rtl/>
        </w:rPr>
        <w:t xml:space="preserve"> </w:t>
      </w:r>
      <w:r w:rsidRPr="00632224">
        <w:rPr>
          <w:rFonts w:ascii="Century" w:hAnsi="Century" w:cs="Miriam" w:hint="cs"/>
          <w:b/>
          <w:sz w:val="22"/>
          <w:rtl/>
        </w:rPr>
        <w:t>חוק האזרחות</w:t>
      </w:r>
      <w:r w:rsidRPr="00632224">
        <w:rPr>
          <w:rFonts w:ascii="Arial TUR" w:hAnsi="Arial TUR" w:cs="FrankRuehl" w:hint="cs"/>
          <w:spacing w:val="10"/>
          <w:sz w:val="22"/>
          <w:szCs w:val="28"/>
          <w:rtl/>
        </w:rPr>
        <w:t xml:space="preserve">)). ברם, בישראל ניתן לשנות את רוב הוראות חוקי היסוד ולחוקק חוקי יסוד חדשים ברוב רגיל, וגם הליכי החקיקה של חוק יסוד אינם שונים מהליכי החקיקה של חוק רגיל. </w:t>
      </w:r>
      <w:r w:rsidRPr="00632224">
        <w:rPr>
          <w:rFonts w:ascii="Century" w:hAnsi="Century" w:cs="FrankRuehl"/>
          <w:spacing w:val="10"/>
          <w:sz w:val="22"/>
          <w:szCs w:val="28"/>
          <w:shd w:val="clear" w:color="auto" w:fill="FFFFFF"/>
          <w:rtl/>
        </w:rPr>
        <w:t>כדי לתקן חוק יסוד מספיק רוב רגיל (</w:t>
      </w:r>
      <w:r w:rsidRPr="00632224">
        <w:rPr>
          <w:rFonts w:ascii="Century" w:hAnsi="Century" w:cs="FrankRuehl" w:hint="cs"/>
          <w:spacing w:val="10"/>
          <w:sz w:val="22"/>
          <w:szCs w:val="28"/>
          <w:shd w:val="clear" w:color="auto" w:fill="FFFFFF"/>
          <w:rtl/>
        </w:rPr>
        <w:t xml:space="preserve">ולעיתים </w:t>
      </w:r>
      <w:r w:rsidRPr="00632224">
        <w:rPr>
          <w:rFonts w:ascii="Century" w:hAnsi="Century" w:cs="FrankRuehl"/>
          <w:spacing w:val="10"/>
          <w:sz w:val="22"/>
          <w:szCs w:val="28"/>
          <w:shd w:val="clear" w:color="auto" w:fill="FFFFFF"/>
          <w:rtl/>
        </w:rPr>
        <w:t xml:space="preserve">רוב של 61 ח"כים) </w:t>
      </w:r>
      <w:r w:rsidRPr="00632224">
        <w:rPr>
          <w:rFonts w:ascii="Century" w:hAnsi="Century" w:cs="FrankRuehl" w:hint="eastAsia"/>
          <w:spacing w:val="10"/>
          <w:sz w:val="22"/>
          <w:szCs w:val="28"/>
          <w:shd w:val="clear" w:color="auto" w:fill="FFFFFF"/>
          <w:rtl/>
        </w:rPr>
        <w:t>וניתן</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לתקנו</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בשלוש</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קריאות</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תוך</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זמן</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קצר</w:t>
      </w:r>
      <w:r w:rsidRPr="00632224">
        <w:rPr>
          <w:rFonts w:ascii="Arial TUR" w:hAnsi="Arial TUR" w:cs="FrankRuehl" w:hint="cs"/>
          <w:spacing w:val="10"/>
          <w:sz w:val="22"/>
          <w:szCs w:val="28"/>
          <w:rtl/>
        </w:rPr>
        <w:t xml:space="preserve">. כאמור, השינויים בחוקי היסוד נעשים בתכיפות ובמהירות רבה (אריאל </w:t>
      </w:r>
      <w:r w:rsidRPr="00632224">
        <w:rPr>
          <w:rFonts w:ascii="Century" w:hAnsi="Century" w:cs="FrankRuehl"/>
          <w:spacing w:val="10"/>
          <w:sz w:val="22"/>
          <w:szCs w:val="28"/>
          <w:rtl/>
        </w:rPr>
        <w:t>בנדור "פגמים בחקיקת חוקי-היסוד"</w:t>
      </w:r>
      <w:r w:rsidRPr="00632224">
        <w:rPr>
          <w:rFonts w:ascii="Century" w:hAnsi="Century" w:cs="FrankRuehl" w:hint="cs"/>
          <w:spacing w:val="10"/>
          <w:sz w:val="22"/>
          <w:szCs w:val="28"/>
          <w:rtl/>
        </w:rPr>
        <w:t xml:space="preserve"> </w:t>
      </w:r>
      <w:r w:rsidRPr="00632224">
        <w:rPr>
          <w:rFonts w:ascii="Century" w:hAnsi="Century" w:cs="Miriam" w:hint="cs"/>
          <w:b/>
          <w:sz w:val="22"/>
          <w:rtl/>
        </w:rPr>
        <w:t>משפט</w:t>
      </w:r>
      <w:r w:rsidRPr="00632224">
        <w:rPr>
          <w:rFonts w:cs="Miriam" w:hint="cs"/>
          <w:sz w:val="28"/>
          <w:rtl/>
        </w:rPr>
        <w:t xml:space="preserve"> וממשל</w:t>
      </w:r>
      <w:r w:rsidRPr="00632224">
        <w:rPr>
          <w:rFonts w:ascii="Arial TUR" w:hAnsi="Arial TUR" w:cs="FrankRuehl" w:hint="cs"/>
          <w:spacing w:val="10"/>
          <w:sz w:val="22"/>
          <w:szCs w:val="28"/>
          <w:rtl/>
        </w:rPr>
        <w:t xml:space="preserve"> </w:t>
      </w:r>
      <w:r w:rsidRPr="00632224">
        <w:rPr>
          <w:rFonts w:ascii="Century" w:hAnsi="Century" w:cs="FrankRuehl" w:hint="cs"/>
          <w:spacing w:val="10"/>
          <w:sz w:val="22"/>
          <w:szCs w:val="28"/>
          <w:rtl/>
        </w:rPr>
        <w:t xml:space="preserve">ב </w:t>
      </w:r>
      <w:r w:rsidRPr="00632224">
        <w:rPr>
          <w:rFonts w:ascii="Arial TUR" w:hAnsi="Arial TUR" w:cs="FrankRuehl" w:hint="cs"/>
          <w:spacing w:val="10"/>
          <w:sz w:val="22"/>
          <w:szCs w:val="28"/>
          <w:rtl/>
        </w:rPr>
        <w:t xml:space="preserve">443, 445-444 </w:t>
      </w:r>
      <w:r w:rsidRPr="00632224">
        <w:rPr>
          <w:rFonts w:ascii="Century" w:hAnsi="Century" w:cs="FrankRuehl" w:hint="cs"/>
          <w:spacing w:val="10"/>
          <w:sz w:val="22"/>
          <w:szCs w:val="28"/>
          <w:rtl/>
        </w:rPr>
        <w:t>(1995</w:t>
      </w:r>
      <w:r w:rsidRPr="00632224">
        <w:rPr>
          <w:rFonts w:ascii="Arial TUR" w:hAnsi="Arial TUR" w:cs="FrankRuehl" w:hint="cs"/>
          <w:spacing w:val="10"/>
          <w:sz w:val="22"/>
          <w:szCs w:val="28"/>
          <w:rtl/>
        </w:rPr>
        <w:t xml:space="preserve">) (להלן: </w:t>
      </w:r>
      <w:r w:rsidRPr="00632224">
        <w:rPr>
          <w:rFonts w:ascii="Century" w:hAnsi="Century" w:cs="Miriam" w:hint="eastAsia"/>
          <w:b/>
          <w:sz w:val="22"/>
          <w:rtl/>
        </w:rPr>
        <w:t>בנדור</w:t>
      </w:r>
      <w:r w:rsidRPr="00632224">
        <w:rPr>
          <w:rFonts w:ascii="Century" w:hAnsi="Century" w:cs="Miriam"/>
          <w:b/>
          <w:sz w:val="22"/>
          <w:rtl/>
        </w:rPr>
        <w:t xml:space="preserve"> </w:t>
      </w:r>
      <w:r w:rsidRPr="00632224">
        <w:rPr>
          <w:rFonts w:ascii="Century" w:hAnsi="Century" w:cs="Miriam" w:hint="eastAsia"/>
          <w:b/>
          <w:sz w:val="22"/>
          <w:rtl/>
        </w:rPr>
        <w:t>פגמים</w:t>
      </w:r>
      <w:r w:rsidRPr="00632224">
        <w:rPr>
          <w:rFonts w:ascii="Century" w:hAnsi="Century" w:cs="Miriam"/>
          <w:b/>
          <w:sz w:val="22"/>
          <w:rtl/>
        </w:rPr>
        <w:t xml:space="preserve"> </w:t>
      </w:r>
      <w:r w:rsidRPr="00632224">
        <w:rPr>
          <w:rFonts w:ascii="Century" w:hAnsi="Century" w:cs="Miriam" w:hint="eastAsia"/>
          <w:b/>
          <w:sz w:val="22"/>
          <w:rtl/>
        </w:rPr>
        <w:t>בחקיקת</w:t>
      </w:r>
      <w:r w:rsidRPr="00632224">
        <w:rPr>
          <w:rFonts w:ascii="Century" w:hAnsi="Century" w:cs="Miriam"/>
          <w:b/>
          <w:sz w:val="22"/>
          <w:rtl/>
        </w:rPr>
        <w:t xml:space="preserve"> </w:t>
      </w:r>
      <w:r w:rsidRPr="00632224">
        <w:rPr>
          <w:rFonts w:ascii="Century" w:hAnsi="Century" w:cs="Miriam" w:hint="eastAsia"/>
          <w:b/>
          <w:sz w:val="22"/>
          <w:rtl/>
        </w:rPr>
        <w:t>חוקי</w:t>
      </w:r>
      <w:r w:rsidRPr="00632224">
        <w:rPr>
          <w:rFonts w:ascii="Century" w:hAnsi="Century" w:cs="Miriam"/>
          <w:b/>
          <w:sz w:val="22"/>
          <w:rtl/>
        </w:rPr>
        <w:t xml:space="preserve"> </w:t>
      </w:r>
      <w:r w:rsidRPr="00632224">
        <w:rPr>
          <w:rFonts w:ascii="Century" w:hAnsi="Century" w:cs="Miriam" w:hint="eastAsia"/>
          <w:b/>
          <w:sz w:val="22"/>
          <w:rtl/>
        </w:rPr>
        <w:t>יסוד</w:t>
      </w:r>
      <w:r w:rsidRPr="00632224">
        <w:rPr>
          <w:rFonts w:ascii="Arial TUR" w:hAnsi="Arial TUR" w:cs="FrankRuehl" w:hint="cs"/>
          <w:spacing w:val="10"/>
          <w:sz w:val="22"/>
          <w:szCs w:val="28"/>
          <w:rtl/>
        </w:rPr>
        <w:t xml:space="preserve">). כך, לדוגמה, חוק יסוד: הכנסת כבר תוקן מעל 50 פעמים, ומאז כינונו בשנת 1958, הוכנסו בחוקי היסוד השונים למעלה ממאה שינויים. </w:t>
      </w:r>
      <w:r w:rsidRPr="00632224">
        <w:rPr>
          <w:rFonts w:ascii="Arial TUR" w:hAnsi="Arial TUR" w:cs="FrankRuehl"/>
          <w:spacing w:val="10"/>
          <w:sz w:val="22"/>
          <w:szCs w:val="28"/>
          <w:rtl/>
        </w:rPr>
        <w:t xml:space="preserve">בשנת 2020 </w:t>
      </w:r>
      <w:r w:rsidRPr="00632224">
        <w:rPr>
          <w:rFonts w:ascii="Arial TUR" w:hAnsi="Arial TUR" w:cs="FrankRuehl" w:hint="cs"/>
          <w:spacing w:val="10"/>
          <w:sz w:val="22"/>
          <w:szCs w:val="28"/>
          <w:rtl/>
        </w:rPr>
        <w:t xml:space="preserve">לבדה התקבלו </w:t>
      </w:r>
      <w:r w:rsidRPr="00632224">
        <w:rPr>
          <w:rFonts w:ascii="Arial TUR" w:hAnsi="Arial TUR" w:cs="FrankRuehl"/>
          <w:spacing w:val="10"/>
          <w:sz w:val="22"/>
          <w:szCs w:val="28"/>
          <w:rtl/>
        </w:rPr>
        <w:t xml:space="preserve">תשעה תיקונים לחוקי יסוד, ומאז שנת 2013 התקבלו 28 תיקונים לחוקי יסוד </w:t>
      </w:r>
      <w:r w:rsidRPr="00632224">
        <w:rPr>
          <w:rFonts w:ascii="Arial TUR" w:hAnsi="Arial TUR" w:cs="FrankRuehl" w:hint="cs"/>
          <w:spacing w:val="10"/>
          <w:sz w:val="22"/>
          <w:szCs w:val="28"/>
          <w:rtl/>
        </w:rPr>
        <w:t xml:space="preserve">(וראו פסקה 5 לפסק דינו של השופט </w:t>
      </w:r>
      <w:r w:rsidRPr="00632224">
        <w:rPr>
          <w:rFonts w:ascii="Century" w:hAnsi="Century" w:cs="Miriam" w:hint="cs"/>
          <w:b/>
          <w:sz w:val="22"/>
          <w:rtl/>
        </w:rPr>
        <w:t>מזוז</w:t>
      </w:r>
      <w:r w:rsidRPr="00632224">
        <w:rPr>
          <w:rFonts w:ascii="Arial TUR" w:hAnsi="Arial TUR" w:cs="FrankRuehl" w:hint="cs"/>
          <w:spacing w:val="10"/>
          <w:sz w:val="22"/>
          <w:szCs w:val="28"/>
          <w:rtl/>
        </w:rPr>
        <w:t xml:space="preserve"> בעניין </w:t>
      </w:r>
      <w:r w:rsidRPr="00632224">
        <w:rPr>
          <w:rFonts w:ascii="Century" w:hAnsi="Century" w:cs="Miriam" w:hint="cs"/>
          <w:b/>
          <w:sz w:val="22"/>
          <w:rtl/>
        </w:rPr>
        <w:t>חוק הלאום</w:t>
      </w:r>
      <w:r w:rsidRPr="00632224">
        <w:rPr>
          <w:rFonts w:ascii="Arial TUR" w:hAnsi="Arial TUR" w:cs="FrankRuehl" w:hint="cs"/>
          <w:spacing w:val="10"/>
          <w:sz w:val="22"/>
          <w:szCs w:val="28"/>
          <w:rtl/>
        </w:rPr>
        <w:t xml:space="preserve">; אביגדור קלגסבלד "חוק יסוד סותר (הוראת שעה): תקציב דו-שנתי, שימוש לרעה בסמכות הכינון ושני רעיונות חדשים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הערות בשולי בג"ץ 8260/16 המרכז האקדמי למשפט ולעסקים נ' כנסת ישראל וממשלת ישראל" </w:t>
      </w:r>
      <w:r w:rsidRPr="00632224">
        <w:rPr>
          <w:rFonts w:ascii="Century" w:hAnsi="Century" w:cs="Miriam" w:hint="cs"/>
          <w:b/>
          <w:sz w:val="22"/>
          <w:rtl/>
        </w:rPr>
        <w:t>משפט ועסקים</w:t>
      </w:r>
      <w:r w:rsidRPr="00632224">
        <w:rPr>
          <w:rFonts w:ascii="Arial TUR" w:hAnsi="Arial TUR" w:cs="FrankRuehl" w:hint="cs"/>
          <w:spacing w:val="10"/>
          <w:sz w:val="22"/>
          <w:szCs w:val="28"/>
          <w:rtl/>
        </w:rPr>
        <w:t xml:space="preserve"> כו </w:t>
      </w:r>
      <w:r w:rsidRPr="00632224">
        <w:rPr>
          <w:rFonts w:ascii="Arial TUR" w:hAnsi="Arial TUR" w:cs="FrankRuehl"/>
          <w:spacing w:val="10"/>
          <w:sz w:val="22"/>
          <w:szCs w:val="28"/>
          <w:rtl/>
        </w:rPr>
        <w:t xml:space="preserve">1, 16 </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צפוי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להתפרסם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מספר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התיקונים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מעיד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כך</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שאין</w:t>
      </w:r>
      <w:r w:rsidRPr="00632224">
        <w:rPr>
          <w:rFonts w:ascii="Century" w:hAnsi="Century" w:cs="FrankRuehl"/>
          <w:spacing w:val="10"/>
          <w:sz w:val="22"/>
          <w:szCs w:val="28"/>
          <w:rtl/>
        </w:rPr>
        <w:t xml:space="preserve"> "קדושה </w:t>
      </w:r>
      <w:r w:rsidRPr="00632224">
        <w:rPr>
          <w:rFonts w:ascii="Century" w:hAnsi="Century" w:cs="FrankRuehl" w:hint="eastAsia"/>
          <w:spacing w:val="10"/>
          <w:sz w:val="22"/>
          <w:szCs w:val="28"/>
          <w:rtl/>
        </w:rPr>
        <w:t>חוקתית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אשר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שורה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Arial TUR" w:hAnsi="Arial TUR" w:cs="FrankRuehl" w:hint="cs"/>
          <w:spacing w:val="10"/>
          <w:sz w:val="22"/>
          <w:szCs w:val="28"/>
          <w:rtl/>
        </w:rPr>
        <w:t xml:space="preserve"> מרביתם של חוקי היסוד, וכי החוקה בישראל "גמישה" עד מאוד, שלא לתפארת מדינת ישראל, אלא כ"אסקופה הנדרסת שכל רוח מצויה, אם כלכלית ואם פוליטית, מרוקנת אותו מתוכנו לעבר ניסויים ותעיות [...]. אם חוק יסוד הוא כשמו, הנה היסוד רעוע בתכלית" (עניין </w:t>
      </w:r>
      <w:r w:rsidRPr="00632224">
        <w:rPr>
          <w:rFonts w:ascii="Century" w:hAnsi="Century" w:cs="Miriam" w:hint="cs"/>
          <w:b/>
          <w:sz w:val="22"/>
          <w:rtl/>
        </w:rPr>
        <w:t>המרכז האקדמי</w:t>
      </w:r>
      <w:r w:rsidRPr="00632224">
        <w:rPr>
          <w:rFonts w:ascii="Century" w:hAnsi="Century" w:cs="FrankRuehl" w:hint="cs"/>
          <w:spacing w:val="10"/>
          <w:sz w:val="22"/>
          <w:szCs w:val="28"/>
          <w:rtl/>
        </w:rPr>
        <w:t>,</w:t>
      </w:r>
      <w:r w:rsidRPr="00632224">
        <w:rPr>
          <w:rFonts w:ascii="Century" w:hAnsi="Century" w:cs="Miriam" w:hint="cs"/>
          <w:b/>
          <w:sz w:val="22"/>
          <w:rtl/>
        </w:rPr>
        <w:t xml:space="preserve"> </w:t>
      </w:r>
      <w:r w:rsidRPr="00632224">
        <w:rPr>
          <w:rFonts w:ascii="Arial TUR" w:hAnsi="Arial TUR" w:cs="FrankRuehl" w:hint="cs"/>
          <w:spacing w:val="10"/>
          <w:sz w:val="22"/>
          <w:szCs w:val="28"/>
          <w:rtl/>
        </w:rPr>
        <w:t xml:space="preserve">בפסקה לב לפסק דינו של המשנה לנשיאה (בדימ') </w:t>
      </w:r>
      <w:r w:rsidRPr="00632224">
        <w:rPr>
          <w:rFonts w:ascii="Century" w:hAnsi="Century" w:cs="Miriam" w:hint="cs"/>
          <w:b/>
          <w:sz w:val="22"/>
          <w:rtl/>
        </w:rPr>
        <w:t>רובינשטיין</w:t>
      </w:r>
      <w:r w:rsidRPr="00632224">
        <w:rPr>
          <w:rFonts w:ascii="Century" w:hAnsi="Century" w:cs="FrankRuehl"/>
          <w:spacing w:val="10"/>
          <w:sz w:val="22"/>
          <w:szCs w:val="28"/>
          <w:rtl/>
        </w:rPr>
        <w:t>);</w:t>
      </w:r>
      <w:r w:rsidRPr="00632224">
        <w:rPr>
          <w:rFonts w:ascii="Century" w:hAnsi="Century" w:cs="Miriam" w:hint="cs"/>
          <w:b/>
          <w:sz w:val="22"/>
          <w:rtl/>
        </w:rPr>
        <w:t xml:space="preserve"> </w:t>
      </w:r>
      <w:r w:rsidRPr="00632224">
        <w:rPr>
          <w:rFonts w:ascii="Arial TUR" w:hAnsi="Arial TUR" w:cs="FrankRuehl" w:hint="cs"/>
          <w:spacing w:val="10"/>
          <w:sz w:val="22"/>
          <w:szCs w:val="28"/>
          <w:rtl/>
        </w:rPr>
        <w:t xml:space="preserve">וראו גם אליקים רובינשטיין "החוקתיות במדרון: זילות ודורסנות, והניתן להעלות את אבנו של סיזיפוס לפסגת ההר" </w:t>
      </w:r>
      <w:r w:rsidRPr="00632224">
        <w:rPr>
          <w:rFonts w:cs="FrankRuehl"/>
          <w:spacing w:val="10"/>
          <w:sz w:val="22"/>
          <w:szCs w:val="26"/>
        </w:rPr>
        <w:t>ICON-S-IL Blog</w:t>
      </w:r>
      <w:r w:rsidRPr="00632224">
        <w:rPr>
          <w:rFonts w:ascii="Arial TUR" w:hAnsi="Arial TUR" w:cs="FrankRuehl"/>
          <w:spacing w:val="10"/>
          <w:szCs w:val="26"/>
          <w:rtl/>
        </w:rPr>
        <w:t xml:space="preserve"> </w:t>
      </w:r>
      <w:r w:rsidRPr="00632224">
        <w:rPr>
          <w:rFonts w:ascii="Arial TUR" w:hAnsi="Arial TUR" w:cs="FrankRuehl" w:hint="cs"/>
          <w:spacing w:val="10"/>
          <w:sz w:val="22"/>
          <w:szCs w:val="28"/>
          <w:rtl/>
        </w:rPr>
        <w:t xml:space="preserve">(24.1.2021)).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lastRenderedPageBreak/>
        <w:tab/>
      </w:r>
      <w:r w:rsidRPr="00632224">
        <w:rPr>
          <w:rFonts w:ascii="Arial TUR" w:hAnsi="Arial TUR" w:cs="FrankRuehl" w:hint="cs"/>
          <w:spacing w:val="10"/>
          <w:sz w:val="22"/>
          <w:szCs w:val="28"/>
          <w:rtl/>
        </w:rPr>
        <w:t>הקלות שבה ניתן לחוקק ולשנות חוקי יסוד, פוגעת מיניה וביה במעמדם, ועל כך עמד בית משפט זה בפסיקתו:</w:t>
      </w:r>
    </w:p>
    <w:p w:rsidR="00244560" w:rsidRPr="00632224" w:rsidRDefault="00244560" w:rsidP="00244560">
      <w:pPr>
        <w:ind w:left="1644" w:right="1276"/>
        <w:jc w:val="both"/>
        <w:rPr>
          <w:rFonts w:ascii="Century" w:hAnsi="Century" w:cs="Miriam"/>
          <w:b/>
          <w:sz w:val="22"/>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Century" w:hAnsi="Century" w:cs="FrankRuehl"/>
          <w:spacing w:val="10"/>
          <w:sz w:val="22"/>
          <w:szCs w:val="28"/>
          <w:rtl/>
        </w:rPr>
        <w:t>"</w:t>
      </w:r>
      <w:r w:rsidRPr="00632224">
        <w:rPr>
          <w:rFonts w:ascii="Century" w:hAnsi="Century" w:cs="Miriam" w:hint="cs"/>
          <w:b/>
          <w:sz w:val="22"/>
          <w:rtl/>
        </w:rPr>
        <w:t>הקלות בה ניתן לשנות את חוקי היסוד בישראל פוגעת במעמדם</w:t>
      </w:r>
      <w:r w:rsidRPr="00632224">
        <w:rPr>
          <w:rFonts w:ascii="Arial TUR" w:hAnsi="Arial TUR" w:cs="FrankRuehl" w:hint="cs"/>
          <w:spacing w:val="10"/>
          <w:sz w:val="22"/>
          <w:szCs w:val="28"/>
          <w:rtl/>
        </w:rPr>
        <w:t>. המאפיין המרכזי של חוקה – מאפיין שהוא חלק מהגדרת היסוד של חוקה וגם חלק מהיתרונות הגלומים בעצם קיומה של חוקה – הוא יציבותה. חוקה נועדה לשרוד שינויים תכופים ולעמוד איתנה מול שינויים בהרכב הפוליטי של השלטון ואל מול שינויים חברתיים כאלה ואחרים. חוקה מציבה בפני החברה אמת מידה נורמטיבית. הליך השינוי המורכב של החוקה הוא המאפשר לאמת מידה זו לעמוד איתנה ויציבה גם אל מול חברה גועשת ומשטר משתנה. בישראל המצב אינו כזה. מרבית חוקי היסוד שלנו אינם משוריינים ועל כן ניתנים לשינוי על ידי הכנסת ברוב רגיל בהליכי חקיקה רגילים" (עניין</w:t>
      </w:r>
      <w:r w:rsidRPr="00632224">
        <w:rPr>
          <w:rFonts w:ascii="Century" w:hAnsi="Century" w:cs="Miriam" w:hint="cs"/>
          <w:b/>
          <w:sz w:val="22"/>
          <w:rtl/>
        </w:rPr>
        <w:t xml:space="preserve"> התקציב הדו-שנתי</w:t>
      </w:r>
      <w:r w:rsidRPr="00632224">
        <w:rPr>
          <w:rFonts w:ascii="Arial TUR" w:hAnsi="Arial TUR" w:cs="FrankRuehl" w:hint="cs"/>
          <w:spacing w:val="10"/>
          <w:sz w:val="22"/>
          <w:szCs w:val="28"/>
          <w:rtl/>
        </w:rPr>
        <w:t xml:space="preserve">, בפסקה 20 לפסק דינה של הנשיאה </w:t>
      </w:r>
      <w:r w:rsidRPr="00632224">
        <w:rPr>
          <w:rFonts w:ascii="Century" w:hAnsi="Century" w:cs="Miriam" w:hint="eastAsia"/>
          <w:b/>
          <w:sz w:val="22"/>
          <w:rtl/>
        </w:rPr>
        <w:t>ביניש</w:t>
      </w:r>
      <w:r w:rsidRPr="00632224">
        <w:rPr>
          <w:rFonts w:ascii="Arial TUR" w:hAnsi="Arial TUR" w:cs="FrankRuehl" w:hint="cs"/>
          <w:spacing w:val="10"/>
          <w:sz w:val="22"/>
          <w:szCs w:val="28"/>
          <w:rtl/>
        </w:rPr>
        <w:t xml:space="preserve">,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בין הריסון של הרשות המכוננת לבין הריסון השיפוטי שבית המשפט נוהג בו יש יחסי גומלין. "ריסון שיפוטי אסור לו שיביא לשיתוק שיפוטי" (בג"ץ 1715/97 </w:t>
      </w:r>
      <w:r w:rsidRPr="00632224">
        <w:rPr>
          <w:rFonts w:ascii="Century" w:hAnsi="Century" w:cs="Miriam" w:hint="cs"/>
          <w:b/>
          <w:sz w:val="22"/>
          <w:rtl/>
        </w:rPr>
        <w:t>לשכת מנהלי ההשקעות בישראל נ' שר האוצר</w:t>
      </w:r>
      <w:r w:rsidRPr="00632224">
        <w:rPr>
          <w:rFonts w:ascii="Arial TUR" w:hAnsi="Arial TUR" w:cs="FrankRuehl" w:hint="cs"/>
          <w:spacing w:val="10"/>
          <w:sz w:val="22"/>
          <w:szCs w:val="28"/>
          <w:rtl/>
        </w:rPr>
        <w:t>, פ"ד נא(4) 367, 390 (1997)). ככל שהרשות המכוננת אינה מפגינה ריסון בשעה שהיא עוסקת בחוקי יסוד שמעגנים את העקרונות החוקתיים של המדינה, כך גדל, בהתאם, הצורך כי בית המשפט יערוך ביקורת על חוקי היסוד, ועל כך כבר נאמר:</w:t>
      </w:r>
    </w:p>
    <w:p w:rsidR="00244560" w:rsidRPr="00632224" w:rsidRDefault="00244560" w:rsidP="00244560">
      <w:pPr>
        <w:ind w:left="1644" w:right="1276"/>
        <w:jc w:val="both"/>
        <w:rPr>
          <w:rFonts w:ascii="Arial TUR" w:hAnsi="Arial TUR" w:cs="FrankRuehl"/>
          <w:spacing w:val="10"/>
          <w:sz w:val="28"/>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8"/>
          <w:szCs w:val="28"/>
          <w:rtl/>
        </w:rPr>
        <w:t>"עוד יצוין, כי מטבע הדברים, תכיפות התיקונים החוקתיים על ידי הרשות המכוננת יש בה כדי להשפיע על מידת התערבותו של בית המשפט</w:t>
      </w:r>
      <w:r w:rsidRPr="00632224">
        <w:rPr>
          <w:rFonts w:ascii="Arial TUR" w:hAnsi="Arial TUR" w:cs="FrankRuehl" w:hint="cs"/>
          <w:spacing w:val="10"/>
          <w:sz w:val="22"/>
          <w:szCs w:val="28"/>
          <w:rtl/>
        </w:rPr>
        <w:t xml:space="preserve"> </w:t>
      </w:r>
      <w:r w:rsidRPr="00632224">
        <w:rPr>
          <w:rFonts w:ascii="Arial TUR" w:hAnsi="Arial TUR" w:cs="FrankRuehl" w:hint="cs"/>
          <w:spacing w:val="10"/>
          <w:sz w:val="28"/>
          <w:szCs w:val="28"/>
          <w:rtl/>
        </w:rPr>
        <w:t xml:space="preserve">[...]. הרשות המכוננת הישראלית מבצעת תיקונים רבים ותכופים בחוקי היסוד, באופן שיש בו, בכל הכבוד, הקלת ראש בחוקתיותם של חוקי היסוד, שלא לומר זילותם [...]. </w:t>
      </w:r>
      <w:r w:rsidRPr="00632224">
        <w:rPr>
          <w:rFonts w:ascii="Century" w:hAnsi="Century" w:cs="FrankRuehl" w:hint="cs"/>
          <w:spacing w:val="10"/>
          <w:sz w:val="22"/>
          <w:szCs w:val="28"/>
          <w:rtl/>
        </w:rPr>
        <w:t>הריסון אותה נוקטת הרשות המכוננת בתיקון החוקה מחייב גם ריסון מצד בית המשפט; ואולם נדמה שההמשך הטבעי לדברים אלה, הוא</w:t>
      </w:r>
      <w:r w:rsidRPr="00632224">
        <w:rPr>
          <w:rFonts w:ascii="Century" w:hAnsi="Century" w:cs="Miriam" w:hint="cs"/>
          <w:b/>
          <w:sz w:val="22"/>
          <w:rtl/>
        </w:rPr>
        <w:t xml:space="preserve"> שככל שהרשות המכוננת אינה נוקטת היא עצמה ריסון של ממש בבואה לתקן את עקרונותיה החוקתיים של המדינה, נכונותו של בית המשפט לבקרה – רחבה יותר</w:t>
      </w:r>
      <w:r w:rsidRPr="00632224">
        <w:rPr>
          <w:rFonts w:ascii="Century" w:hAnsi="Century" w:cs="FrankRuehl"/>
          <w:spacing w:val="10"/>
          <w:sz w:val="22"/>
          <w:szCs w:val="28"/>
          <w:rtl/>
        </w:rPr>
        <w:t>,</w:t>
      </w:r>
      <w:r w:rsidRPr="00632224">
        <w:rPr>
          <w:rFonts w:ascii="Century" w:hAnsi="Century" w:cs="Miriam" w:hint="cs"/>
          <w:b/>
          <w:sz w:val="22"/>
          <w:rtl/>
        </w:rPr>
        <w:t xml:space="preserve"> </w:t>
      </w:r>
      <w:r w:rsidRPr="00632224">
        <w:rPr>
          <w:rFonts w:ascii="Century" w:hAnsi="Century" w:cs="FrankRuehl" w:hint="cs"/>
          <w:spacing w:val="10"/>
          <w:sz w:val="22"/>
          <w:szCs w:val="28"/>
          <w:rtl/>
        </w:rPr>
        <w:t>גם אם ברי כי עדיין תהא מצומצמת מהביקורת אותה נוקט בית המשפט כלפי חקיקה במעמד נורמטיבי רגיל, שגם היא מצומצמת מעיקרא. לעת זו אין צורך להרחיב מעבר לאמור"</w:t>
      </w:r>
      <w:r w:rsidRPr="00632224">
        <w:rPr>
          <w:rFonts w:ascii="Century" w:hAnsi="Century" w:cs="Miriam" w:hint="cs"/>
          <w:b/>
          <w:sz w:val="22"/>
          <w:rtl/>
        </w:rPr>
        <w:t xml:space="preserve"> </w:t>
      </w:r>
      <w:r w:rsidRPr="00632224">
        <w:rPr>
          <w:rFonts w:ascii="Century" w:hAnsi="Century" w:cs="FrankRuehl" w:hint="cs"/>
          <w:spacing w:val="10"/>
          <w:sz w:val="22"/>
          <w:szCs w:val="28"/>
          <w:rtl/>
        </w:rPr>
        <w:t xml:space="preserve">(עניין </w:t>
      </w:r>
      <w:r w:rsidRPr="00632224">
        <w:rPr>
          <w:rFonts w:ascii="Century" w:hAnsi="Century" w:cs="Miriam" w:hint="cs"/>
          <w:b/>
          <w:sz w:val="22"/>
          <w:rtl/>
        </w:rPr>
        <w:t>המרכז האקדמי</w:t>
      </w:r>
      <w:r w:rsidRPr="00632224">
        <w:rPr>
          <w:rFonts w:ascii="Century" w:hAnsi="Century" w:cs="FrankRuehl" w:hint="cs"/>
          <w:spacing w:val="10"/>
          <w:sz w:val="22"/>
          <w:szCs w:val="28"/>
          <w:rtl/>
        </w:rPr>
        <w:t>,</w:t>
      </w:r>
      <w:r w:rsidRPr="00632224">
        <w:rPr>
          <w:rFonts w:ascii="Century" w:hAnsi="Century" w:cs="Miriam" w:hint="cs"/>
          <w:b/>
          <w:sz w:val="22"/>
          <w:rtl/>
        </w:rPr>
        <w:t xml:space="preserve"> </w:t>
      </w:r>
      <w:r w:rsidRPr="00632224">
        <w:rPr>
          <w:rFonts w:ascii="Century" w:hAnsi="Century" w:cs="FrankRuehl" w:hint="eastAsia"/>
          <w:spacing w:val="10"/>
          <w:sz w:val="22"/>
          <w:szCs w:val="28"/>
          <w:rtl/>
        </w:rPr>
        <w:t>ב</w:t>
      </w:r>
      <w:r w:rsidRPr="00632224">
        <w:rPr>
          <w:rFonts w:ascii="Arial TUR" w:hAnsi="Arial TUR" w:cs="FrankRuehl" w:hint="cs"/>
          <w:spacing w:val="10"/>
          <w:sz w:val="22"/>
          <w:szCs w:val="28"/>
          <w:rtl/>
        </w:rPr>
        <w:t xml:space="preserve">פסקה לה לפסק דינו של המשנה לנשיאה (בדימ') </w:t>
      </w:r>
      <w:r w:rsidRPr="00632224">
        <w:rPr>
          <w:rFonts w:ascii="Century" w:hAnsi="Century" w:cs="Miriam" w:hint="eastAsia"/>
          <w:b/>
          <w:sz w:val="22"/>
          <w:rtl/>
        </w:rPr>
        <w:t>רובינשטיין</w:t>
      </w:r>
      <w:r w:rsidRPr="00632224">
        <w:rPr>
          <w:rFonts w:ascii="Arial TUR" w:hAnsi="Arial TUR" w:cs="FrankRuehl" w:hint="cs"/>
          <w:spacing w:val="10"/>
          <w:sz w:val="22"/>
          <w:szCs w:val="28"/>
          <w:rtl/>
        </w:rPr>
        <w:t xml:space="preserve">,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lastRenderedPageBreak/>
        <w:tab/>
      </w:r>
      <w:r w:rsidRPr="00632224">
        <w:rPr>
          <w:rFonts w:ascii="Arial TUR" w:hAnsi="Arial TUR" w:cs="FrankRuehl" w:hint="cs"/>
          <w:spacing w:val="10"/>
          <w:sz w:val="22"/>
          <w:szCs w:val="28"/>
          <w:rtl/>
        </w:rPr>
        <w:t>אף אני הבעתי בעבר את דעתי כי הריסון השיפוטי אינו חד-סיטרי:</w:t>
      </w:r>
    </w:p>
    <w:p w:rsidR="00244560" w:rsidRPr="00632224" w:rsidRDefault="00244560" w:rsidP="00244560">
      <w:pPr>
        <w:keepNext/>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"בית משפט זה אינו ממהר לפסול חוק של הכנסת. על אחת כמה וכמה, מחויב בית המשפט לריסון שיפוטי מקום שבו מדובר בחוק יסוד. </w:t>
      </w:r>
      <w:r w:rsidRPr="00632224">
        <w:rPr>
          <w:rFonts w:ascii="Century" w:hAnsi="Century" w:cs="Miriam" w:hint="cs"/>
          <w:b/>
          <w:sz w:val="22"/>
          <w:rtl/>
        </w:rPr>
        <w:t>ברם, גם על הכנסת לפעול בריסון בהפעלת סמכותה כרשות מכוננת ולהצביע על חוקי יסוד ב'יד רועדת', תוך מודעות והכרה בחשיבות הרגע וגודל השעה.</w:t>
      </w:r>
      <w:r w:rsidRPr="00632224">
        <w:rPr>
          <w:rFonts w:ascii="Arial TUR" w:hAnsi="Arial TUR" w:cs="FrankRuehl" w:hint="cs"/>
          <w:spacing w:val="10"/>
          <w:sz w:val="22"/>
          <w:szCs w:val="28"/>
          <w:rtl/>
        </w:rPr>
        <w:t xml:space="preserve"> שהרי </w:t>
      </w:r>
      <w:r w:rsidRPr="00632224">
        <w:rPr>
          <w:rFonts w:ascii="Arial TUR" w:hAnsi="Arial TUR" w:cs="FrankRuehl" w:hint="cs"/>
          <w:spacing w:val="10"/>
          <w:sz w:val="26"/>
          <w:szCs w:val="28"/>
          <w:rtl/>
        </w:rPr>
        <w:t xml:space="preserve">לא בחוק רגיל עסקינן, אלא בחוק יסוד, שבעצם היותו חוק יסוד הוא אמור להיות בעל השלכות ארוכות טווח על משפטה ועל אופיה של המדינה והחברה" </w:t>
      </w:r>
      <w:r w:rsidRPr="00632224">
        <w:rPr>
          <w:rFonts w:ascii="Arial TUR" w:hAnsi="Arial TUR" w:cs="FrankRuehl" w:hint="cs"/>
          <w:spacing w:val="10"/>
          <w:sz w:val="22"/>
          <w:szCs w:val="28"/>
          <w:rtl/>
        </w:rPr>
        <w:t xml:space="preserve">(עניין </w:t>
      </w:r>
      <w:r w:rsidRPr="00632224">
        <w:rPr>
          <w:rFonts w:ascii="Century" w:hAnsi="Century" w:cs="Miriam" w:hint="cs"/>
          <w:b/>
          <w:sz w:val="22"/>
          <w:rtl/>
        </w:rPr>
        <w:t>שפיר</w:t>
      </w:r>
      <w:r w:rsidRPr="00632224">
        <w:rPr>
          <w:rFonts w:ascii="Arial TUR" w:hAnsi="Arial TUR" w:cs="FrankRuehl" w:hint="cs"/>
          <w:spacing w:val="10"/>
          <w:sz w:val="22"/>
          <w:szCs w:val="28"/>
          <w:rtl/>
        </w:rPr>
        <w:t xml:space="preserve">, בפסקה 4,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E0052A">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22.</w:t>
      </w:r>
      <w:r w:rsidRPr="00632224">
        <w:rPr>
          <w:rFonts w:ascii="Century" w:hAnsi="Century" w:cs="Miriam" w:hint="cs"/>
          <w:b/>
          <w:sz w:val="22"/>
          <w:rtl/>
        </w:rPr>
        <w:t xml:space="preserve"> </w:t>
      </w:r>
      <w:r w:rsidRPr="00632224">
        <w:rPr>
          <w:rFonts w:ascii="Century" w:hAnsi="Century" w:cs="Miriam"/>
          <w:b/>
          <w:sz w:val="22"/>
          <w:rtl/>
        </w:rPr>
        <w:tab/>
      </w:r>
      <w:r w:rsidRPr="00632224">
        <w:rPr>
          <w:rFonts w:ascii="Century" w:hAnsi="Century" w:cs="Miriam" w:hint="cs"/>
          <w:b/>
          <w:sz w:val="22"/>
          <w:rtl/>
        </w:rPr>
        <w:t>רוחב ההסכמה בחקיקת חוקי יסוד:</w:t>
      </w:r>
      <w:r w:rsidRPr="00632224">
        <w:rPr>
          <w:rFonts w:ascii="Arial TUR" w:hAnsi="Arial TUR" w:cs="FrankRuehl" w:hint="cs"/>
          <w:spacing w:val="10"/>
          <w:sz w:val="22"/>
          <w:szCs w:val="28"/>
          <w:rtl/>
        </w:rPr>
        <w:t xml:space="preserve"> ככלל, חוקה אמורה להתקבל בהסכמה רחבה חוצת מפלגות ומתוך הבנה בין חלקי הבית, וזאת נוכח אופייה כמסמך שמשקף את ההסכמות הבסיסיות של החברה: "</w:t>
      </w:r>
      <w:r w:rsidRPr="00632224">
        <w:rPr>
          <w:rFonts w:ascii="Arial TUR" w:hAnsi="Arial TUR" w:cs="FrankRuehl" w:hint="eastAsia"/>
          <w:spacing w:val="10"/>
          <w:sz w:val="22"/>
          <w:szCs w:val="28"/>
          <w:rtl/>
        </w:rPr>
        <w:t>חוקה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למעשה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המסמך</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הקובע</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כללי</w:t>
      </w:r>
      <w:r w:rsidRPr="00632224">
        <w:rPr>
          <w:rFonts w:ascii="Arial TUR" w:hAnsi="Arial TUR" w:cs="FrankRuehl" w:hint="cs"/>
          <w:spacing w:val="10"/>
          <w:sz w:val="22"/>
          <w:szCs w:val="28"/>
          <w:rtl/>
        </w:rPr>
        <w:t>-</w:t>
      </w:r>
      <w:r w:rsidRPr="00632224">
        <w:rPr>
          <w:rFonts w:ascii="Arial TUR" w:hAnsi="Arial TUR" w:cs="FrankRuehl" w:hint="eastAsia"/>
          <w:spacing w:val="10"/>
          <w:sz w:val="22"/>
          <w:szCs w:val="28"/>
          <w:rtl/>
        </w:rPr>
        <w:t>הי</w:t>
      </w:r>
      <w:r w:rsidRPr="00632224">
        <w:rPr>
          <w:rFonts w:ascii="Arial TUR" w:hAnsi="Arial TUR" w:cs="FrankRuehl" w:hint="cs"/>
          <w:spacing w:val="10"/>
          <w:sz w:val="22"/>
          <w:szCs w:val="28"/>
          <w:rtl/>
        </w:rPr>
        <w:t xml:space="preserve">סוד </w:t>
      </w:r>
      <w:r w:rsidRPr="00632224">
        <w:rPr>
          <w:rFonts w:ascii="Arial TUR" w:hAnsi="Arial TUR" w:cs="FrankRuehl" w:hint="eastAsia"/>
          <w:spacing w:val="10"/>
          <w:sz w:val="22"/>
          <w:szCs w:val="28"/>
          <w:rtl/>
        </w:rPr>
        <w:t>המשותפים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לחברה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החיה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במסגרתה</w:t>
      </w:r>
      <w:r w:rsidRPr="00632224">
        <w:rPr>
          <w:rFonts w:ascii="Arial TUR" w:hAnsi="Arial TUR" w:cs="FrankRuehl" w:hint="cs"/>
          <w:spacing w:val="10"/>
          <w:sz w:val="22"/>
          <w:szCs w:val="28"/>
          <w:rtl/>
        </w:rPr>
        <w:t>" (</w:t>
      </w:r>
      <w:r w:rsidRPr="00632224">
        <w:rPr>
          <w:rFonts w:ascii="Century" w:hAnsi="Century" w:cs="Miriam" w:hint="cs"/>
          <w:b/>
          <w:sz w:val="22"/>
          <w:rtl/>
        </w:rPr>
        <w:t>גביזון המהפכה החוקתית</w:t>
      </w:r>
      <w:r w:rsidRPr="00632224">
        <w:rPr>
          <w:rFonts w:ascii="Arial TUR" w:hAnsi="Arial TUR" w:cs="FrankRuehl" w:hint="cs"/>
          <w:spacing w:val="10"/>
          <w:sz w:val="28"/>
          <w:szCs w:val="28"/>
          <w:rtl/>
        </w:rPr>
        <w:t>, בעמ' 36-35</w:t>
      </w:r>
      <w:r w:rsidRPr="00632224">
        <w:rPr>
          <w:rFonts w:ascii="Arial TUR" w:hAnsi="Arial TUR" w:cs="FrankRuehl" w:hint="cs"/>
          <w:spacing w:val="10"/>
          <w:sz w:val="22"/>
          <w:szCs w:val="28"/>
          <w:rtl/>
        </w:rPr>
        <w:t>). כך נעשה בשנות התשעים עת נחקקו חוק יסוד: כבוד האדם וחירותו; חוק יסוד: חופש העיסוק; חוק יסוד: הממשלה שבו נקבע עקרון הבחירה הישירה של ראש הממשלה; וחוקים נוספים כמו חוק המפלגות (</w:t>
      </w:r>
      <w:r w:rsidRPr="00632224">
        <w:rPr>
          <w:rFonts w:ascii="Century" w:hAnsi="Century" w:cs="Miriam" w:hint="cs"/>
          <w:b/>
          <w:sz w:val="22"/>
          <w:rtl/>
        </w:rPr>
        <w:t>לין-לויה</w:t>
      </w:r>
      <w:r w:rsidRPr="00632224">
        <w:rPr>
          <w:rFonts w:ascii="Arial TUR" w:hAnsi="Arial TUR" w:cs="FrankRuehl" w:hint="cs"/>
          <w:spacing w:val="10"/>
          <w:sz w:val="22"/>
          <w:szCs w:val="28"/>
          <w:rtl/>
        </w:rPr>
        <w:t xml:space="preserve">; </w:t>
      </w:r>
      <w:r w:rsidRPr="00632224">
        <w:rPr>
          <w:rFonts w:ascii="Century" w:hAnsi="Century" w:cs="Miriam" w:hint="cs"/>
          <w:b/>
          <w:sz w:val="22"/>
          <w:rtl/>
        </w:rPr>
        <w:t>רובינשטיין חוקי היסוד</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 xml:space="preserve">מאיר שמגר </w:t>
      </w:r>
      <w:r w:rsidRPr="00632224">
        <w:rPr>
          <w:rFonts w:ascii="Century" w:hAnsi="Century" w:cs="Miriam"/>
          <w:b/>
          <w:sz w:val="22"/>
          <w:rtl/>
        </w:rPr>
        <w:t>חוקה בהסכמה הצעת המכון הישראלי לדמוקרטיה</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238 בסעיף 181 (</w:t>
      </w:r>
      <w:r w:rsidRPr="00632224">
        <w:rPr>
          <w:rFonts w:ascii="Arial TUR" w:hAnsi="Arial TUR" w:cs="FrankRuehl" w:hint="eastAsia"/>
          <w:spacing w:val="10"/>
          <w:sz w:val="22"/>
          <w:szCs w:val="28"/>
          <w:rtl/>
        </w:rPr>
        <w:t>המכון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הישראלי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לדמוקרטיה</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2005</w:t>
      </w:r>
      <w:r w:rsidRPr="00632224">
        <w:rPr>
          <w:rFonts w:ascii="Arial TUR" w:hAnsi="Arial TUR" w:cs="FrankRuehl" w:hint="cs"/>
          <w:spacing w:val="10"/>
          <w:sz w:val="22"/>
          <w:szCs w:val="28"/>
          <w:rtl/>
        </w:rPr>
        <w:t xml:space="preserve">), שם הוצע כי תיקון לחוקה יתקבל ברוב מיוחס של שני שלישים בארבע קריאות). </w:t>
      </w:r>
      <w:r>
        <w:rPr>
          <w:rFonts w:hint="cs"/>
          <w:rtl/>
        </w:rPr>
        <w:t>"</w:t>
      </w:r>
      <w:r w:rsidRPr="00794C22">
        <w:rPr>
          <w:rFonts w:ascii="Century" w:hAnsi="Century" w:cs="FrankRuehl" w:hint="eastAsia"/>
          <w:spacing w:val="10"/>
          <w:sz w:val="22"/>
          <w:szCs w:val="28"/>
          <w:rtl/>
        </w:rPr>
        <w:t>דורות</w:t>
      </w:r>
      <w:r w:rsidRPr="00794C22">
        <w:rPr>
          <w:rFonts w:ascii="Century" w:hAnsi="Century" w:cs="FrankRuehl"/>
          <w:spacing w:val="10"/>
          <w:sz w:val="22"/>
          <w:szCs w:val="28"/>
          <w:rtl/>
        </w:rPr>
        <w:t xml:space="preserve"> של חברי כנסת, מימין ומשמאל, מהקואליציה ומהאופוזיציה, היו שותפים לתפיסה שלפיה חקיקת חוקי יסוד מחייבת הליך ארוך ומעמיק, ובעיקר הליך דיאלוגי של הבנה ושיתוף פעולה חוצה מחנות פוליטיים" </w:t>
      </w:r>
      <w:r>
        <w:rPr>
          <w:rFonts w:ascii="Century" w:hAnsi="Century" w:cs="FrankRuehl" w:hint="cs"/>
          <w:spacing w:val="10"/>
          <w:sz w:val="22"/>
          <w:szCs w:val="28"/>
          <w:rtl/>
        </w:rPr>
        <w:t>(</w:t>
      </w:r>
      <w:r w:rsidRPr="00F47BC9">
        <w:rPr>
          <w:rFonts w:ascii="Century" w:hAnsi="Century" w:cs="FrankRuehl" w:hint="cs"/>
          <w:spacing w:val="10"/>
          <w:sz w:val="22"/>
          <w:szCs w:val="28"/>
          <w:rtl/>
        </w:rPr>
        <w:t xml:space="preserve">אורי אהרונסון, איתי בר-סימן-טוב, עדן ישראלי לוי, רונית לוין-שנור, דורין לוסטיג ואיסי רוזן-צבי "נורמות הליכיות בחקיקת חוקי יסוד וחקיקה במסלול ועדה" </w:t>
      </w:r>
      <w:r w:rsidRPr="00794C22">
        <w:rPr>
          <w:rFonts w:ascii="Century" w:hAnsi="Century" w:cs="Miriam" w:hint="eastAsia"/>
          <w:b/>
          <w:sz w:val="22"/>
          <w:rtl/>
        </w:rPr>
        <w:t>עיוני</w:t>
      </w:r>
      <w:r w:rsidRPr="00794C22">
        <w:rPr>
          <w:rFonts w:ascii="Century" w:hAnsi="Century" w:cs="Miriam"/>
          <w:b/>
          <w:sz w:val="22"/>
          <w:rtl/>
        </w:rPr>
        <w:t xml:space="preserve"> </w:t>
      </w:r>
      <w:r w:rsidRPr="00794C22">
        <w:rPr>
          <w:rFonts w:ascii="Century" w:hAnsi="Century" w:cs="Miriam" w:hint="eastAsia"/>
          <w:b/>
          <w:sz w:val="22"/>
          <w:rtl/>
        </w:rPr>
        <w:t>משפט</w:t>
      </w:r>
      <w:r>
        <w:rPr>
          <w:rFonts w:ascii="Century" w:hAnsi="Century" w:cs="FrankRuehl" w:hint="cs"/>
          <w:spacing w:val="10"/>
          <w:sz w:val="22"/>
          <w:szCs w:val="28"/>
          <w:rtl/>
        </w:rPr>
        <w:t xml:space="preserve"> 15 </w:t>
      </w:r>
      <w:r w:rsidRPr="00F47BC9">
        <w:rPr>
          <w:rFonts w:ascii="Century" w:hAnsi="Century" w:cs="FrankRuehl" w:hint="cs"/>
          <w:spacing w:val="10"/>
          <w:sz w:val="22"/>
          <w:szCs w:val="28"/>
          <w:rtl/>
        </w:rPr>
        <w:t xml:space="preserve">(עתיד להתפרסם) (להלן: </w:t>
      </w:r>
      <w:r w:rsidRPr="00F47BC9">
        <w:rPr>
          <w:rFonts w:ascii="Century" w:hAnsi="Century" w:cs="Miriam" w:hint="cs"/>
          <w:b/>
          <w:sz w:val="22"/>
          <w:rtl/>
        </w:rPr>
        <w:t>אהרונסון</w:t>
      </w:r>
      <w:r>
        <w:rPr>
          <w:rFonts w:ascii="Century" w:hAnsi="Century" w:cs="Miriam" w:hint="cs"/>
          <w:b/>
          <w:sz w:val="22"/>
          <w:rtl/>
        </w:rPr>
        <w:t xml:space="preserve"> ואח'</w:t>
      </w:r>
      <w:r w:rsidRPr="00F47BC9">
        <w:rPr>
          <w:rFonts w:ascii="Century" w:hAnsi="Century" w:cs="Miriam" w:hint="cs"/>
          <w:b/>
          <w:sz w:val="22"/>
          <w:rtl/>
        </w:rPr>
        <w:t xml:space="preserve"> נורמות הליכיות</w:t>
      </w:r>
      <w:r w:rsidRPr="00F47BC9">
        <w:rPr>
          <w:rFonts w:ascii="Century" w:hAnsi="Century" w:cs="FrankRuehl" w:hint="cs"/>
          <w:spacing w:val="10"/>
          <w:sz w:val="22"/>
          <w:szCs w:val="28"/>
          <w:rtl/>
        </w:rPr>
        <w:t>).</w:t>
      </w:r>
      <w:r w:rsidRPr="005F6C37">
        <w:rPr>
          <w:rFonts w:ascii="Century" w:hAnsi="Century" w:hint="cs"/>
          <w:rtl/>
        </w:rPr>
        <w:t xml:space="preserve"> </w:t>
      </w:r>
      <w:r w:rsidRPr="00632224">
        <w:rPr>
          <w:rFonts w:ascii="Arial TUR" w:hAnsi="Arial TUR" w:cs="FrankRuehl" w:hint="cs"/>
          <w:spacing w:val="10"/>
          <w:sz w:val="22"/>
          <w:szCs w:val="28"/>
          <w:rtl/>
        </w:rPr>
        <w:t xml:space="preserve">גם חברי, השופט </w:t>
      </w:r>
      <w:r w:rsidRPr="00632224">
        <w:rPr>
          <w:rFonts w:ascii="Century" w:hAnsi="Century" w:cs="Miriam" w:hint="cs"/>
          <w:b/>
          <w:sz w:val="22"/>
          <w:rtl/>
        </w:rPr>
        <w:t>סולברג</w:t>
      </w:r>
      <w:r w:rsidRPr="00632224">
        <w:rPr>
          <w:rFonts w:ascii="Arial TUR" w:hAnsi="Arial TUR" w:cs="FrankRuehl" w:hint="cs"/>
          <w:spacing w:val="10"/>
          <w:sz w:val="22"/>
          <w:szCs w:val="28"/>
          <w:rtl/>
        </w:rPr>
        <w:t xml:space="preserve">, שיצא בשעתו חוצץ נגד דוקטרינת השימוש לרעה בסמכות המכוננת, הסביר כי "כינונה של חוקה המעגנת את ערכיה היסודיים של המדינה, את סדרי-המשטר, ואת כללי המשחק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טעונה הסמכה, </w:t>
      </w:r>
      <w:r w:rsidRPr="00632224">
        <w:rPr>
          <w:rFonts w:ascii="Century" w:hAnsi="Century" w:cs="Miriam" w:hint="cs"/>
          <w:b/>
          <w:sz w:val="22"/>
          <w:rtl/>
        </w:rPr>
        <w:t>ומצריכה הסכמה ציבורית רחבה</w:t>
      </w:r>
      <w:r w:rsidRPr="00632224">
        <w:rPr>
          <w:rFonts w:ascii="Arial TUR" w:hAnsi="Arial TUR" w:cs="FrankRuehl" w:hint="cs"/>
          <w:spacing w:val="10"/>
          <w:sz w:val="22"/>
          <w:szCs w:val="28"/>
          <w:rtl/>
        </w:rPr>
        <w:t>" (</w:t>
      </w:r>
      <w:r w:rsidRPr="00632224">
        <w:rPr>
          <w:rFonts w:ascii="Century" w:hAnsi="Century" w:cs="FrankRuehl" w:hint="cs"/>
          <w:spacing w:val="10"/>
          <w:sz w:val="22"/>
          <w:szCs w:val="28"/>
          <w:rtl/>
        </w:rPr>
        <w:t xml:space="preserve">בג"ץ 2905/20 </w:t>
      </w:r>
      <w:r w:rsidRPr="00632224">
        <w:rPr>
          <w:rFonts w:ascii="Century" w:hAnsi="Century" w:cs="Miriam" w:hint="cs"/>
          <w:b/>
          <w:sz w:val="22"/>
          <w:rtl/>
        </w:rPr>
        <w:t>התנועה למען איכות השלטון בישראל נ' כנסת ישראל</w:t>
      </w:r>
      <w:r w:rsidRPr="00632224">
        <w:rPr>
          <w:rFonts w:ascii="Century" w:hAnsi="Century" w:cs="FrankRuehl" w:hint="cs"/>
          <w:spacing w:val="10"/>
          <w:sz w:val="22"/>
          <w:szCs w:val="28"/>
          <w:rtl/>
        </w:rPr>
        <w:t xml:space="preserve">, </w:t>
      </w:r>
      <w:r w:rsidRPr="00632224">
        <w:rPr>
          <w:rFonts w:ascii="Arial TUR" w:hAnsi="Arial TUR" w:cs="FrankRuehl" w:hint="cs"/>
          <w:spacing w:val="10"/>
          <w:sz w:val="22"/>
          <w:szCs w:val="28"/>
          <w:rtl/>
        </w:rPr>
        <w:t>פסקה 6 לפסק דינו</w:t>
      </w:r>
      <w:r w:rsidRPr="00632224">
        <w:rPr>
          <w:rFonts w:ascii="Century" w:hAnsi="Century" w:cs="FrankRuehl" w:hint="cs"/>
          <w:spacing w:val="10"/>
          <w:sz w:val="22"/>
          <w:szCs w:val="28"/>
          <w:rtl/>
        </w:rPr>
        <w:t xml:space="preserve"> (12.7.2021) (להלן: עניין</w:t>
      </w:r>
      <w:r w:rsidRPr="00632224">
        <w:rPr>
          <w:rFonts w:ascii="Century" w:hAnsi="Century" w:cs="Miriam" w:hint="cs"/>
          <w:b/>
          <w:sz w:val="22"/>
          <w:rtl/>
        </w:rPr>
        <w:t xml:space="preserve"> ממשלת החילופים</w:t>
      </w:r>
      <w:r w:rsidRPr="00632224">
        <w:rPr>
          <w:rFonts w:ascii="Century" w:hAnsi="Century" w:cs="FrankRuehl"/>
          <w:spacing w:val="10"/>
          <w:sz w:val="22"/>
          <w:szCs w:val="28"/>
          <w:rtl/>
        </w:rPr>
        <w:t>)</w:t>
      </w:r>
      <w:r w:rsidRPr="00632224">
        <w:rPr>
          <w:rFonts w:ascii="Century" w:hAnsi="Century" w:cs="Miriam" w:hint="cs"/>
          <w:b/>
          <w:sz w:val="22"/>
          <w:rtl/>
        </w:rPr>
        <w:t xml:space="preserve"> </w:t>
      </w:r>
      <w:r w:rsidRPr="00632224">
        <w:rPr>
          <w:rFonts w:ascii="Century" w:hAnsi="Century" w:cs="FrankRuehl" w:hint="cs"/>
          <w:spacing w:val="10"/>
          <w:sz w:val="22"/>
          <w:szCs w:val="28"/>
          <w:rtl/>
        </w:rPr>
        <w:t>(</w:t>
      </w:r>
      <w:r w:rsidRPr="00632224">
        <w:rPr>
          <w:rFonts w:ascii="Arial TUR" w:hAnsi="Arial TUR" w:cs="FrankRuehl" w:hint="cs"/>
          <w:spacing w:val="10"/>
          <w:sz w:val="22"/>
          <w:szCs w:val="28"/>
          <w:rtl/>
        </w:rPr>
        <w:t xml:space="preserve">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color w:val="FF0000"/>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יפים לעני</w:t>
      </w:r>
      <w:r>
        <w:rPr>
          <w:rFonts w:ascii="Arial TUR" w:hAnsi="Arial TUR" w:cs="FrankRuehl" w:hint="cs"/>
          <w:spacing w:val="10"/>
          <w:sz w:val="22"/>
          <w:szCs w:val="28"/>
          <w:rtl/>
        </w:rPr>
        <w:t>יננו דברי שר המשפטים דאז, משה נ</w:t>
      </w:r>
      <w:r w:rsidRPr="00632224">
        <w:rPr>
          <w:rFonts w:ascii="Arial TUR" w:hAnsi="Arial TUR" w:cs="FrankRuehl" w:hint="cs"/>
          <w:spacing w:val="10"/>
          <w:sz w:val="22"/>
          <w:szCs w:val="28"/>
          <w:rtl/>
        </w:rPr>
        <w:t xml:space="preserve">סים, בעת הקריאה השניה והשלישית לחוק יסוד: השפיטה, הוא החוק נושא דיוננו: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"לא ראוי לקבל חוק-יסוד ברוב קטן, אפילו לא רוב של 61 חברי הכנסת [...]. אני אומר, שלא ראוי לקבל חוק-יסוד, ודאי שלא חוקה נוקשה, ללא הבנה בין חלקי הבית. </w:t>
      </w:r>
      <w:r w:rsidRPr="00632224">
        <w:rPr>
          <w:rFonts w:ascii="Arial TUR" w:hAnsi="Arial TUR" w:cs="FrankRuehl" w:hint="cs"/>
          <w:spacing w:val="10"/>
          <w:sz w:val="22"/>
          <w:szCs w:val="28"/>
          <w:rtl/>
        </w:rPr>
        <w:lastRenderedPageBreak/>
        <w:t xml:space="preserve">זה מצריך רוח של הבנה וגם רוח של פשרנות. חשוב שנדע כי חוקי-היסוד שנותרו, וחוקה שצריכה להינתן, לא יכללו מהפכות ולא יקעקעו מוסכמות בחברה הישראלית. אם נלך בדרך זו, ואם תשרוד הרוח הזאת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רוח של הבנה, כפי שהיא באה לידי ביטוי בחוק-יסוד: השפיטה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הכנסת הזאת תרשום לזכותה הישג רב-משמעות בהצעדת מערכת החוקים במדינת ישראל לקראת שעתה היפה" (ד"כ 28.2.1984, 1737).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cs="FrankRuehl"/>
          <w:spacing w:val="10"/>
          <w:sz w:val="24"/>
          <w:szCs w:val="28"/>
        </w:rPr>
      </w:pP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Arial TUR" w:hAnsi="Arial TUR" w:cs="FrankRuehl" w:hint="cs"/>
          <w:color w:val="FF0000"/>
          <w:spacing w:val="10"/>
          <w:sz w:val="22"/>
          <w:szCs w:val="28"/>
          <w:rtl/>
        </w:rPr>
        <w:t xml:space="preserve"> </w:t>
      </w: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הסכמה רחבה מביאה לידי ביטוי את השאיפות והמטרות של החברה, היא משקפת את הערכים המשותפים ומשרטטת "בסיס משותף לבני האומה, חותרת לקוהרנטיות בהתווית סיפור חייה ורושמת את קווי המיתאר לדמותה" </w:t>
      </w:r>
      <w:r w:rsidRPr="00632224">
        <w:rPr>
          <w:rFonts w:ascii="Century" w:hAnsi="Century" w:cs="FrankRuehl" w:hint="cs"/>
          <w:spacing w:val="10"/>
          <w:sz w:val="22"/>
          <w:szCs w:val="28"/>
          <w:rtl/>
        </w:rPr>
        <w:t>(עניין</w:t>
      </w:r>
      <w:r w:rsidRPr="00632224">
        <w:rPr>
          <w:rFonts w:ascii="Century" w:hAnsi="Century" w:cs="Miriam" w:hint="cs"/>
          <w:b/>
          <w:sz w:val="22"/>
          <w:rtl/>
        </w:rPr>
        <w:t xml:space="preserve"> חוק האזרחות</w:t>
      </w:r>
      <w:r w:rsidRPr="00632224">
        <w:rPr>
          <w:rFonts w:ascii="Arial TUR" w:hAnsi="Arial TUR" w:cs="FrankRuehl" w:hint="cs"/>
          <w:spacing w:val="10"/>
          <w:sz w:val="22"/>
          <w:szCs w:val="28"/>
          <w:rtl/>
        </w:rPr>
        <w:t xml:space="preserve">, בפסקה 10 לפסק דינו של השופט </w:t>
      </w:r>
      <w:r w:rsidRPr="00632224">
        <w:rPr>
          <w:rFonts w:ascii="Century" w:hAnsi="Century" w:cs="Miriam" w:hint="eastAsia"/>
          <w:b/>
          <w:sz w:val="22"/>
          <w:rtl/>
        </w:rPr>
        <w:t>לוי</w:t>
      </w:r>
      <w:r w:rsidRPr="00632224">
        <w:rPr>
          <w:rFonts w:ascii="Arial TUR" w:hAnsi="Arial TUR" w:cs="FrankRuehl" w:hint="cs"/>
          <w:spacing w:val="10"/>
          <w:sz w:val="22"/>
          <w:szCs w:val="28"/>
          <w:rtl/>
        </w:rPr>
        <w:t xml:space="preserve">). הסכמה רחבה יוצרת תשתית לחיים בצוותא ומחזקת את החוסן הלאומי ואת הלכידות הפנימית. בנקודה זו אין לי אלא להפנות לדברי חברי, השופט </w:t>
      </w:r>
      <w:r w:rsidRPr="00632224">
        <w:rPr>
          <w:rFonts w:ascii="Century" w:hAnsi="Century" w:cs="Miriam" w:hint="eastAsia"/>
          <w:b/>
          <w:sz w:val="22"/>
          <w:rtl/>
        </w:rPr>
        <w:t>שטיין</w:t>
      </w:r>
      <w:r w:rsidRPr="00632224">
        <w:rPr>
          <w:rFonts w:ascii="Century" w:hAnsi="Century" w:cs="Miriam" w:hint="cs"/>
          <w:b/>
          <w:sz w:val="22"/>
          <w:rtl/>
        </w:rPr>
        <w:t xml:space="preserve"> </w:t>
      </w:r>
      <w:r w:rsidRPr="00632224">
        <w:rPr>
          <w:rFonts w:ascii="Century" w:hAnsi="Century" w:cs="FrankRuehl"/>
          <w:spacing w:val="10"/>
          <w:sz w:val="22"/>
          <w:szCs w:val="28"/>
          <w:rtl/>
        </w:rPr>
        <w:t>(</w:t>
      </w:r>
      <w:r w:rsidRPr="00632224">
        <w:rPr>
          <w:rFonts w:ascii="Arial TUR" w:hAnsi="Arial TUR" w:cs="FrankRuehl" w:hint="cs"/>
          <w:spacing w:val="10"/>
          <w:sz w:val="22"/>
          <w:szCs w:val="28"/>
          <w:rtl/>
        </w:rPr>
        <w:t xml:space="preserve">בפסקה 27 לפסק דינו), שם הוא עומד על העקרונות המשותפים שהופכים אנשים לחברה ולמדינה. ולהיפך, כפייה של שינויים מהותיים שלא בהסכמה רחבה מערערת את החוסן הלאומי ואת הערבות ההדדית. איננו צריכים להרחיק עדותנו. התיקון לחוק היסוד נושא דיוננו, נחקק בתמיכת 64 חברי הקואליציה בלבד ועודנו שנוי במחלוקת ציבורית רחבה. </w:t>
      </w: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23.</w:t>
      </w:r>
      <w:r w:rsidRPr="00632224">
        <w:rPr>
          <w:rFonts w:ascii="Arial TUR" w:hAnsi="Arial TUR" w:cs="FrankRuehl" w:hint="cs"/>
          <w:spacing w:val="10"/>
          <w:sz w:val="22"/>
          <w:szCs w:val="28"/>
          <w:rtl/>
        </w:rPr>
        <w:tab/>
        <w:t xml:space="preserve">זאת ועוד. על פי המצב החוקתי דהיום, חוקי יסוד יכולים להתקבל ברוב רגיל ובמספר קטן של חברי כנסת. למרבה האבסורד, </w:t>
      </w:r>
      <w:r>
        <w:rPr>
          <w:rFonts w:ascii="Arial TUR" w:hAnsi="Arial TUR" w:cs="FrankRuehl" w:hint="cs"/>
          <w:spacing w:val="10"/>
          <w:sz w:val="22"/>
          <w:szCs w:val="28"/>
          <w:rtl/>
        </w:rPr>
        <w:t xml:space="preserve">יש הטוענים כי </w:t>
      </w:r>
      <w:r w:rsidRPr="00632224">
        <w:rPr>
          <w:rFonts w:ascii="Arial TUR" w:hAnsi="Arial TUR" w:cs="FrankRuehl" w:hint="cs"/>
          <w:spacing w:val="10"/>
          <w:sz w:val="22"/>
          <w:szCs w:val="28"/>
          <w:rtl/>
        </w:rPr>
        <w:t>אף ניתן ברוב רגיל לקבוע שריון פורמלי של חוק יסוד, דהיינו, 10 חברי כנסת יכולים לחוקק סעיף בחוק יסוד ולקבוע כי לצורך שינויו יש צורך ברוב מיוחד של 61 חברי כנסת (</w:t>
      </w:r>
      <w:r w:rsidRPr="00632224">
        <w:rPr>
          <w:rFonts w:ascii="Century" w:hAnsi="Century" w:cs="Miriam" w:hint="cs"/>
          <w:b/>
          <w:sz w:val="22"/>
          <w:rtl/>
        </w:rPr>
        <w:t>דותן הדיאלוג הקונסטיטוציוני</w:t>
      </w:r>
      <w:r w:rsidRPr="00632224">
        <w:rPr>
          <w:rFonts w:ascii="Arial TUR" w:hAnsi="Arial TUR" w:cs="FrankRuehl" w:hint="cs"/>
          <w:spacing w:val="10"/>
          <w:sz w:val="22"/>
          <w:szCs w:val="28"/>
          <w:rtl/>
        </w:rPr>
        <w:t xml:space="preserve">, בעמ' 182-181). עם זאת, בעשורים האחרונים הכנסת מקפידה לעמוד בדרישת הרוב המיוחס בבואה לאמץ הוראת שריון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נדב דישון "שימוש לרעה בשריון </w:t>
      </w:r>
      <w:r w:rsidRPr="00632224">
        <w:rPr>
          <w:rFonts w:ascii="Arial TUR" w:hAnsi="Arial TUR" w:cs="FrankRuehl" w:hint="eastAsia"/>
          <w:spacing w:val="10"/>
          <w:sz w:val="22"/>
          <w:szCs w:val="28"/>
          <w:rtl/>
        </w:rPr>
        <w:t>פורמלי</w:t>
      </w:r>
      <w:r w:rsidRPr="00632224">
        <w:rPr>
          <w:rFonts w:ascii="Arial TUR" w:hAnsi="Arial TUR" w:cs="FrankRuehl"/>
          <w:spacing w:val="10"/>
          <w:sz w:val="22"/>
          <w:szCs w:val="28"/>
          <w:rtl/>
        </w:rPr>
        <w:t xml:space="preserve"> של חוק יסוד" </w:t>
      </w:r>
      <w:r w:rsidRPr="00632224">
        <w:rPr>
          <w:rFonts w:ascii="Century" w:hAnsi="Century" w:cs="Miriam" w:hint="eastAsia"/>
          <w:b/>
          <w:sz w:val="22"/>
          <w:rtl/>
        </w:rPr>
        <w:t>משפט</w:t>
      </w:r>
      <w:r w:rsidRPr="00632224">
        <w:rPr>
          <w:rFonts w:ascii="Century" w:hAnsi="Century" w:cs="Miriam"/>
          <w:b/>
          <w:sz w:val="22"/>
          <w:rtl/>
        </w:rPr>
        <w:t xml:space="preserve"> </w:t>
      </w:r>
      <w:r w:rsidRPr="00632224">
        <w:rPr>
          <w:rFonts w:ascii="Century" w:hAnsi="Century" w:cs="Miriam" w:hint="eastAsia"/>
          <w:b/>
          <w:sz w:val="22"/>
          <w:rtl/>
        </w:rPr>
        <w:t>ועסקים</w:t>
      </w:r>
      <w:r w:rsidRPr="00632224">
        <w:rPr>
          <w:rFonts w:ascii="Century" w:hAnsi="Century" w:cs="Miriam"/>
          <w:b/>
          <w:sz w:val="22"/>
          <w:rtl/>
        </w:rPr>
        <w:t xml:space="preserve"> </w:t>
      </w:r>
      <w:r w:rsidRPr="00632224">
        <w:rPr>
          <w:rFonts w:ascii="Arial TUR" w:hAnsi="Arial TUR" w:cs="FrankRuehl" w:hint="eastAsia"/>
          <w:spacing w:val="10"/>
          <w:sz w:val="22"/>
          <w:szCs w:val="28"/>
          <w:rtl/>
        </w:rPr>
        <w:t>טכסט</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לה</w:t>
      </w:r>
      <w:r w:rsidRPr="00632224">
        <w:rPr>
          <w:rFonts w:ascii="Arial TUR" w:hAnsi="Arial TUR" w:cs="FrankRuehl"/>
          <w:spacing w:val="10"/>
          <w:sz w:val="22"/>
          <w:szCs w:val="28"/>
          <w:rtl/>
        </w:rPr>
        <w:t>"ש 140-138 (</w:t>
      </w:r>
      <w:r w:rsidRPr="00632224">
        <w:rPr>
          <w:rFonts w:ascii="Arial TUR" w:hAnsi="Arial TUR" w:cs="FrankRuehl" w:hint="eastAsia"/>
          <w:spacing w:val="10"/>
          <w:sz w:val="22"/>
          <w:szCs w:val="28"/>
          <w:rtl/>
        </w:rPr>
        <w:t>צפוי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להתפרסם</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(להלן: </w:t>
      </w:r>
      <w:r w:rsidRPr="00632224">
        <w:rPr>
          <w:rFonts w:ascii="Century" w:hAnsi="Century" w:cs="Miriam" w:hint="cs"/>
          <w:b/>
          <w:sz w:val="22"/>
          <w:rtl/>
        </w:rPr>
        <w:t>דישון</w:t>
      </w:r>
      <w:r w:rsidRPr="00632224">
        <w:rPr>
          <w:rFonts w:ascii="Arial TUR" w:hAnsi="Arial TUR" w:cs="FrankRuehl" w:hint="cs"/>
          <w:spacing w:val="10"/>
          <w:sz w:val="22"/>
          <w:szCs w:val="28"/>
          <w:rtl/>
        </w:rPr>
        <w:t xml:space="preserve">)). כל קבוצה של חברי כנסת יכולה אפוא לעשות "מחטף חוקתי", לחוקק חוק, לחבוש על ראשו כתר של חוק יסוד, וכך נמצאנו עושים את חוקי היסוד מחוקה לעתיד לחוקא ואיטלולא.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24.</w:t>
      </w:r>
      <w:r w:rsidRPr="00632224">
        <w:rPr>
          <w:rFonts w:ascii="Century" w:hAnsi="Century" w:cs="FrankRuehl" w:hint="cs"/>
          <w:spacing w:val="10"/>
          <w:sz w:val="22"/>
          <w:szCs w:val="28"/>
          <w:rtl/>
        </w:rPr>
        <w:tab/>
      </w:r>
      <w:r w:rsidRPr="00632224">
        <w:rPr>
          <w:rFonts w:ascii="Century" w:hAnsi="Century" w:cs="FrankRuehl" w:hint="eastAsia"/>
          <w:spacing w:val="10"/>
          <w:sz w:val="22"/>
          <w:szCs w:val="28"/>
          <w:rtl/>
        </w:rPr>
        <w:t>המעמד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המיוחד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שניתן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לחוקי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היסוד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ידי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משפט</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זה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בעניין</w:t>
      </w:r>
      <w:r w:rsidRPr="00632224">
        <w:rPr>
          <w:rFonts w:ascii="Century" w:hAnsi="Century" w:cs="FrankRuehl"/>
          <w:spacing w:val="10"/>
          <w:sz w:val="22"/>
          <w:szCs w:val="28"/>
          <w:rtl/>
        </w:rPr>
        <w:t xml:space="preserve"> </w:t>
      </w:r>
      <w:r w:rsidRPr="00632224">
        <w:rPr>
          <w:rFonts w:ascii="Century" w:hAnsi="Century" w:cs="Miriam" w:hint="eastAsia"/>
          <w:b/>
          <w:sz w:val="22"/>
          <w:rtl/>
        </w:rPr>
        <w:t>בנק</w:t>
      </w:r>
      <w:r w:rsidRPr="00632224">
        <w:rPr>
          <w:rFonts w:ascii="Century" w:hAnsi="Century" w:cs="Miriam"/>
          <w:b/>
          <w:sz w:val="22"/>
          <w:rtl/>
        </w:rPr>
        <w:t xml:space="preserve"> </w:t>
      </w:r>
      <w:r w:rsidRPr="00632224">
        <w:rPr>
          <w:rFonts w:ascii="Century" w:hAnsi="Century" w:cs="Miriam" w:hint="eastAsia"/>
          <w:b/>
          <w:sz w:val="22"/>
          <w:rtl/>
        </w:rPr>
        <w:t>המזרחי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נולד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בחלל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ריק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ההנחה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היא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שהחוקה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לעתיד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מעגנת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ערכי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יסוד</w:t>
      </w:r>
      <w:r w:rsidRPr="00632224">
        <w:rPr>
          <w:rFonts w:ascii="Century" w:hAnsi="Century" w:cs="FrankRuehl"/>
          <w:spacing w:val="10"/>
          <w:sz w:val="22"/>
          <w:szCs w:val="28"/>
          <w:rtl/>
        </w:rPr>
        <w:t xml:space="preserve"> </w:t>
      </w:r>
      <w:r w:rsidRPr="00632224">
        <w:rPr>
          <w:rFonts w:ascii="Arial TUR" w:hAnsi="Arial TUR" w:cs="FrankRuehl" w:hint="eastAsia"/>
          <w:spacing w:val="10"/>
          <w:sz w:val="22"/>
          <w:szCs w:val="28"/>
          <w:rtl/>
        </w:rPr>
        <w:t>דומיננטיים</w:t>
      </w:r>
      <w:r w:rsidRPr="00632224">
        <w:rPr>
          <w:rFonts w:ascii="Arial TUR" w:hAnsi="Arial TUR" w:cs="FrankRuehl"/>
          <w:spacing w:val="10"/>
          <w:sz w:val="22"/>
          <w:szCs w:val="28"/>
          <w:rtl/>
        </w:rPr>
        <w:t xml:space="preserve"> ועל-זמניים, </w:t>
      </w:r>
      <w:r w:rsidRPr="00632224">
        <w:rPr>
          <w:rFonts w:ascii="Arial TUR" w:hAnsi="Arial TUR" w:cs="FrankRuehl" w:hint="eastAsia"/>
          <w:spacing w:val="10"/>
          <w:sz w:val="22"/>
          <w:szCs w:val="28"/>
          <w:rtl/>
        </w:rPr>
        <w:t>שנועדו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גם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לדורות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הבאים</w:t>
      </w:r>
      <w:r w:rsidRPr="00632224">
        <w:rPr>
          <w:rFonts w:ascii="Arial TUR" w:hAnsi="Arial TUR" w:cs="FrankRuehl"/>
          <w:spacing w:val="10"/>
          <w:sz w:val="22"/>
          <w:szCs w:val="28"/>
          <w:rtl/>
        </w:rPr>
        <w:t xml:space="preserve">. ערכים </w:t>
      </w:r>
      <w:r w:rsidRPr="00632224">
        <w:rPr>
          <w:rFonts w:ascii="Century" w:hAnsi="Century" w:cs="FrankRuehl" w:hint="eastAsia"/>
          <w:spacing w:val="10"/>
          <w:sz w:val="22"/>
          <w:szCs w:val="28"/>
          <w:rtl/>
        </w:rPr>
        <w:t>שנהנים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מהסכמה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רחבה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בציבור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מאחורי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מסך</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בערות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זאת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בניגוד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לחוק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יסוד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שמגלם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הסכמה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קואליציונית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צרה</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 xml:space="preserve">כך </w:t>
      </w:r>
      <w:r w:rsidRPr="00632224">
        <w:rPr>
          <w:rFonts w:ascii="Arial TUR" w:hAnsi="Arial TUR" w:cs="FrankRuehl" w:hint="cs"/>
          <w:spacing w:val="10"/>
          <w:sz w:val="22"/>
          <w:szCs w:val="28"/>
          <w:rtl/>
        </w:rPr>
        <w:t>ש</w:t>
      </w:r>
      <w:r w:rsidRPr="00632224">
        <w:rPr>
          <w:rFonts w:ascii="Arial TUR" w:hAnsi="Arial TUR" w:cs="FrankRuehl"/>
          <w:spacing w:val="10"/>
          <w:sz w:val="22"/>
          <w:szCs w:val="28"/>
          <w:rtl/>
        </w:rPr>
        <w:t xml:space="preserve">"במקום להגיע </w:t>
      </w:r>
      <w:r w:rsidRPr="00632224">
        <w:rPr>
          <w:rFonts w:ascii="Arial TUR" w:hAnsi="Arial TUR" w:cs="FrankRuehl"/>
          <w:spacing w:val="10"/>
          <w:sz w:val="22"/>
          <w:szCs w:val="28"/>
          <w:rtl/>
        </w:rPr>
        <w:lastRenderedPageBreak/>
        <w:t>לחברה שבה הקונסטיטוציה מנחה את הפוליטיקה, הגענו למצב שבו יש פוליטיזציה של הקונסטיטוצי</w:t>
      </w:r>
      <w:r w:rsidRPr="00632224">
        <w:rPr>
          <w:rFonts w:ascii="Arial TUR" w:hAnsi="Arial TUR" w:cs="FrankRuehl" w:hint="eastAsia"/>
          <w:spacing w:val="10"/>
          <w:sz w:val="22"/>
          <w:szCs w:val="28"/>
          <w:rtl/>
        </w:rPr>
        <w:t>ה</w:t>
      </w:r>
      <w:r w:rsidRPr="00632224">
        <w:rPr>
          <w:rFonts w:ascii="Arial TUR" w:hAnsi="Arial TUR" w:cs="FrankRuehl"/>
          <w:spacing w:val="10"/>
          <w:sz w:val="22"/>
          <w:szCs w:val="28"/>
          <w:rtl/>
        </w:rPr>
        <w:t>" (</w:t>
      </w:r>
      <w:r w:rsidRPr="00632224">
        <w:rPr>
          <w:rFonts w:ascii="Century" w:hAnsi="Century" w:cs="Miriam" w:hint="eastAsia"/>
          <w:b/>
          <w:sz w:val="22"/>
          <w:rtl/>
        </w:rPr>
        <w:t>דותן</w:t>
      </w:r>
      <w:r w:rsidRPr="00632224">
        <w:rPr>
          <w:rFonts w:ascii="Century" w:hAnsi="Century" w:cs="Miriam"/>
          <w:b/>
          <w:sz w:val="22"/>
          <w:rtl/>
        </w:rPr>
        <w:t xml:space="preserve"> </w:t>
      </w:r>
      <w:r w:rsidRPr="00632224">
        <w:rPr>
          <w:rFonts w:ascii="Century" w:hAnsi="Century" w:cs="Miriam" w:hint="eastAsia"/>
          <w:b/>
          <w:sz w:val="22"/>
          <w:rtl/>
        </w:rPr>
        <w:t>הדיאלוג</w:t>
      </w:r>
      <w:r w:rsidRPr="00632224">
        <w:rPr>
          <w:rFonts w:ascii="Century" w:hAnsi="Century" w:cs="Miriam"/>
          <w:b/>
          <w:sz w:val="22"/>
          <w:rtl/>
        </w:rPr>
        <w:t xml:space="preserve"> </w:t>
      </w:r>
      <w:r w:rsidRPr="00632224">
        <w:rPr>
          <w:rFonts w:ascii="Century" w:hAnsi="Century" w:cs="Miriam" w:hint="eastAsia"/>
          <w:b/>
          <w:sz w:val="22"/>
          <w:rtl/>
        </w:rPr>
        <w:t>הקונסטיטוציוני</w:t>
      </w:r>
      <w:r w:rsidRPr="00632224">
        <w:rPr>
          <w:rFonts w:ascii="Century" w:hAnsi="Century" w:cs="FrankRuehl"/>
          <w:spacing w:val="10"/>
          <w:sz w:val="22"/>
          <w:szCs w:val="28"/>
          <w:rtl/>
        </w:rPr>
        <w:t>,</w:t>
      </w:r>
      <w:r w:rsidRPr="00632224">
        <w:rPr>
          <w:rFonts w:ascii="Century" w:hAnsi="Century" w:cs="Miriam"/>
          <w:b/>
          <w:sz w:val="22"/>
          <w:rtl/>
        </w:rPr>
        <w:t xml:space="preserve"> </w:t>
      </w:r>
      <w:r w:rsidRPr="00632224">
        <w:rPr>
          <w:rFonts w:ascii="Century" w:hAnsi="Century" w:cs="FrankRuehl" w:hint="cs"/>
          <w:spacing w:val="10"/>
          <w:sz w:val="22"/>
          <w:szCs w:val="28"/>
          <w:rtl/>
        </w:rPr>
        <w:t>ב</w:t>
      </w:r>
      <w:r w:rsidRPr="00632224">
        <w:rPr>
          <w:rFonts w:ascii="Century" w:hAnsi="Century" w:cs="FrankRuehl" w:hint="eastAsia"/>
          <w:spacing w:val="10"/>
          <w:sz w:val="22"/>
          <w:szCs w:val="28"/>
          <w:rtl/>
        </w:rPr>
        <w:t>עמ</w:t>
      </w:r>
      <w:r w:rsidRPr="00632224">
        <w:rPr>
          <w:rFonts w:ascii="Century" w:hAnsi="Century" w:cs="FrankRuehl"/>
          <w:spacing w:val="10"/>
          <w:sz w:val="22"/>
          <w:szCs w:val="28"/>
          <w:rtl/>
        </w:rPr>
        <w:t>' 191).</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eastAsia"/>
          <w:spacing w:val="10"/>
          <w:sz w:val="22"/>
          <w:szCs w:val="28"/>
          <w:rtl/>
        </w:rPr>
        <w:t>יש</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בכך</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כדי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להשיב</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הטענה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בבחירות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הבאות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תעלה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האופוזיציה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לשלטון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היא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תוכל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לבטל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התיקון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לחוק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היסוד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נהפוך</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הוא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עיצוב</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עיגון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ושינוי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החוקה</w:t>
      </w:r>
      <w:r w:rsidRPr="00632224">
        <w:rPr>
          <w:rFonts w:ascii="Century" w:hAnsi="Century" w:cs="FrankRuehl"/>
          <w:spacing w:val="10"/>
          <w:sz w:val="22"/>
          <w:szCs w:val="28"/>
          <w:rtl/>
        </w:rPr>
        <w:t xml:space="preserve"> – </w:t>
      </w:r>
      <w:r w:rsidRPr="00632224">
        <w:rPr>
          <w:rFonts w:ascii="Century" w:hAnsi="Century" w:cs="FrankRuehl" w:hint="eastAsia"/>
          <w:spacing w:val="10"/>
          <w:sz w:val="22"/>
          <w:szCs w:val="28"/>
          <w:rtl/>
        </w:rPr>
        <w:t>כל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אלה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אינם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אמורים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להיעשות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ידי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הצמדת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הכותרת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חוק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יסוד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לנורמה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שמשתנה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מדי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חילופי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שלטון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פי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העדפה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הרוב</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הזמני</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ארעי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השולט</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בנקודת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זמן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מסוימת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ותוך</w:t>
      </w:r>
      <w:r w:rsidRPr="00632224">
        <w:rPr>
          <w:rFonts w:ascii="Century" w:hAnsi="Century" w:cs="FrankRuehl"/>
          <w:spacing w:val="10"/>
          <w:sz w:val="22"/>
          <w:szCs w:val="28"/>
          <w:rtl/>
        </w:rPr>
        <w:t xml:space="preserve"> "</w:t>
      </w:r>
      <w:r w:rsidRPr="00632224">
        <w:rPr>
          <w:rFonts w:ascii="Arial TUR" w:hAnsi="Arial TUR" w:cs="FrankRuehl" w:hint="eastAsia"/>
          <w:spacing w:val="10"/>
          <w:sz w:val="28"/>
          <w:szCs w:val="28"/>
          <w:rtl/>
        </w:rPr>
        <w:t>קביעת</w:t>
      </w:r>
      <w:r w:rsidRPr="00632224">
        <w:rPr>
          <w:rFonts w:ascii="Arial TUR" w:hAnsi="Arial TUR" w:cs="FrankRuehl"/>
          <w:spacing w:val="10"/>
          <w:sz w:val="28"/>
          <w:szCs w:val="28"/>
          <w:rtl/>
        </w:rPr>
        <w:t xml:space="preserve"> עובדות בשטח, נוסח 'עוד דונם ועוד עז'" (עניין </w:t>
      </w:r>
      <w:r w:rsidRPr="00632224">
        <w:rPr>
          <w:rFonts w:ascii="Century" w:hAnsi="Century" w:cs="Miriam" w:hint="eastAsia"/>
          <w:b/>
          <w:sz w:val="22"/>
          <w:rtl/>
        </w:rPr>
        <w:t>התקציב</w:t>
      </w:r>
      <w:r w:rsidRPr="00632224">
        <w:rPr>
          <w:rFonts w:ascii="Century" w:hAnsi="Century" w:cs="Miriam"/>
          <w:b/>
          <w:sz w:val="22"/>
          <w:rtl/>
        </w:rPr>
        <w:t xml:space="preserve"> </w:t>
      </w:r>
      <w:r w:rsidRPr="00632224">
        <w:rPr>
          <w:rFonts w:ascii="Century" w:hAnsi="Century" w:cs="Miriam" w:hint="eastAsia"/>
          <w:b/>
          <w:sz w:val="22"/>
          <w:rtl/>
        </w:rPr>
        <w:t>הדו</w:t>
      </w:r>
      <w:r w:rsidRPr="00632224">
        <w:rPr>
          <w:rFonts w:ascii="Century" w:hAnsi="Century" w:cs="Miriam"/>
          <w:b/>
          <w:sz w:val="22"/>
          <w:rtl/>
        </w:rPr>
        <w:t>-</w:t>
      </w:r>
      <w:r w:rsidRPr="00632224">
        <w:rPr>
          <w:rFonts w:ascii="Century" w:hAnsi="Century" w:cs="Miriam" w:hint="eastAsia"/>
          <w:b/>
          <w:sz w:val="22"/>
          <w:rtl/>
        </w:rPr>
        <w:t>שנתי</w:t>
      </w:r>
      <w:r w:rsidRPr="00632224">
        <w:rPr>
          <w:rFonts w:ascii="Arial TUR" w:hAnsi="Arial TUR" w:cs="FrankRuehl" w:hint="cs"/>
          <w:spacing w:val="10"/>
          <w:sz w:val="28"/>
          <w:szCs w:val="28"/>
          <w:rtl/>
        </w:rPr>
        <w:t>,</w:t>
      </w:r>
      <w:r w:rsidRPr="00632224">
        <w:rPr>
          <w:rFonts w:ascii="Arial TUR" w:hAnsi="Arial TUR" w:cs="FrankRuehl"/>
          <w:spacing w:val="10"/>
          <w:sz w:val="28"/>
          <w:szCs w:val="28"/>
          <w:rtl/>
        </w:rPr>
        <w:t xml:space="preserve"> </w:t>
      </w:r>
      <w:r w:rsidRPr="00632224">
        <w:rPr>
          <w:rFonts w:ascii="Arial TUR" w:hAnsi="Arial TUR" w:cs="FrankRuehl" w:hint="cs"/>
          <w:spacing w:val="10"/>
          <w:sz w:val="28"/>
          <w:szCs w:val="28"/>
          <w:rtl/>
        </w:rPr>
        <w:t>ב</w:t>
      </w:r>
      <w:r w:rsidRPr="00632224">
        <w:rPr>
          <w:rFonts w:ascii="Arial TUR" w:hAnsi="Arial TUR" w:cs="FrankRuehl"/>
          <w:spacing w:val="10"/>
          <w:sz w:val="28"/>
          <w:szCs w:val="28"/>
          <w:rtl/>
        </w:rPr>
        <w:t xml:space="preserve">פסקה 5 לפסק דינו של השופט </w:t>
      </w:r>
      <w:r w:rsidRPr="00632224">
        <w:rPr>
          <w:rFonts w:ascii="Century" w:hAnsi="Century" w:cs="Miriam" w:hint="eastAsia"/>
          <w:b/>
          <w:sz w:val="22"/>
          <w:rtl/>
        </w:rPr>
        <w:t>הנדל</w:t>
      </w:r>
      <w:r w:rsidRPr="00632224">
        <w:rPr>
          <w:rFonts w:ascii="Arial TUR" w:hAnsi="Arial TUR" w:cs="FrankRuehl"/>
          <w:spacing w:val="10"/>
          <w:sz w:val="28"/>
          <w:szCs w:val="28"/>
          <w:rtl/>
        </w:rPr>
        <w:t xml:space="preserve">). </w:t>
      </w: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25.</w:t>
      </w:r>
      <w:r w:rsidRPr="00632224">
        <w:rPr>
          <w:rFonts w:ascii="Arial TUR" w:hAnsi="Arial TUR" w:cs="FrankRuehl" w:hint="cs"/>
          <w:spacing w:val="10"/>
          <w:sz w:val="22"/>
          <w:szCs w:val="28"/>
          <w:rtl/>
        </w:rPr>
        <w:tab/>
        <w:t>הסכמה רחבה באה לידי ביטוי, מטבע הדברים, גם בתחושת חגיגיות האופפת את המעמד. עת הכנסת מחוקקת או מתקנת חוק יסוד, היא חובשת לראשה את כתר הרשות המכוננת. שעה שכתר מלכות על ראשה, יודע העם כי ביום חג ומועד עסקינן, וכי הכנסת מודעת לגודל השעה:</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Century" w:hAnsi="Century" w:cs="FrankRuehl" w:hint="cs"/>
          <w:spacing w:val="10"/>
          <w:sz w:val="22"/>
          <w:szCs w:val="28"/>
          <w:rtl/>
        </w:rPr>
        <w:t xml:space="preserve">"קביעת חוקה (והרי </w:t>
      </w:r>
      <w:r w:rsidRPr="00632224">
        <w:rPr>
          <w:rFonts w:ascii="Century" w:hAnsi="Century" w:cs="FrankRuehl"/>
          <w:spacing w:val="10"/>
          <w:sz w:val="22"/>
          <w:szCs w:val="28"/>
          <w:rtl/>
        </w:rPr>
        <w:t xml:space="preserve">חוקי </w:t>
      </w:r>
      <w:r w:rsidRPr="00632224">
        <w:rPr>
          <w:rFonts w:ascii="Century" w:hAnsi="Century" w:cs="FrankRuehl" w:hint="cs"/>
          <w:spacing w:val="10"/>
          <w:sz w:val="22"/>
          <w:szCs w:val="28"/>
          <w:rtl/>
        </w:rPr>
        <w:t>ה</w:t>
      </w:r>
      <w:r w:rsidRPr="00632224">
        <w:rPr>
          <w:rFonts w:ascii="Century" w:hAnsi="Century" w:cs="FrankRuehl"/>
          <w:spacing w:val="10"/>
          <w:sz w:val="22"/>
          <w:szCs w:val="28"/>
          <w:rtl/>
        </w:rPr>
        <w:t>יסוד הם פרקים בחוקה העתידית</w:t>
      </w:r>
      <w:r w:rsidRPr="00632224">
        <w:rPr>
          <w:rFonts w:ascii="Century" w:hAnsi="Century" w:cs="FrankRuehl" w:hint="cs"/>
          <w:spacing w:val="10"/>
          <w:sz w:val="22"/>
          <w:szCs w:val="28"/>
          <w:rtl/>
        </w:rPr>
        <w:t>)</w:t>
      </w:r>
      <w:r w:rsidRPr="00632224">
        <w:rPr>
          <w:rFonts w:ascii="Century" w:hAnsi="Century" w:cs="FrankRuehl"/>
          <w:spacing w:val="10"/>
          <w:sz w:val="22"/>
          <w:szCs w:val="28"/>
          <w:rtl/>
        </w:rPr>
        <w:t xml:space="preserve"> </w:t>
      </w:r>
      <w:r w:rsidRPr="00632224">
        <w:rPr>
          <w:rFonts w:cs="FrankRuehl"/>
          <w:spacing w:val="10"/>
          <w:sz w:val="24"/>
          <w:szCs w:val="28"/>
        </w:rPr>
        <w:softHyphen/>
      </w:r>
      <w:r w:rsidRPr="00632224">
        <w:rPr>
          <w:rFonts w:ascii="Century" w:hAnsi="Century" w:cs="FrankRuehl"/>
          <w:spacing w:val="10"/>
          <w:sz w:val="22"/>
          <w:szCs w:val="28"/>
          <w:rtl/>
        </w:rPr>
        <w:t>והנחלתה לעם הן</w:t>
      </w:r>
      <w:r w:rsidRPr="00632224">
        <w:rPr>
          <w:rFonts w:cs="FrankRuehl"/>
          <w:spacing w:val="10"/>
          <w:sz w:val="24"/>
          <w:szCs w:val="28"/>
          <w:rtl/>
        </w:rPr>
        <w:t xml:space="preserve"> </w:t>
      </w:r>
      <w:r w:rsidRPr="00632224">
        <w:rPr>
          <w:rFonts w:ascii="Century" w:hAnsi="Century" w:cs="FrankRuehl"/>
          <w:spacing w:val="10"/>
          <w:sz w:val="22"/>
          <w:szCs w:val="28"/>
          <w:rtl/>
        </w:rPr>
        <w:t>אירוע של חג לכל משטר דמוקרטי ונאור. מלאכת קביעת החוקה חזקה עלי</w:t>
      </w:r>
      <w:r w:rsidRPr="00632224">
        <w:rPr>
          <w:rFonts w:ascii="Century" w:hAnsi="Century" w:cs="FrankRuehl" w:hint="cs"/>
          <w:spacing w:val="10"/>
          <w:sz w:val="22"/>
          <w:szCs w:val="28"/>
          <w:rtl/>
        </w:rPr>
        <w:t>ה</w:t>
      </w:r>
      <w:r w:rsidRPr="00632224">
        <w:rPr>
          <w:rFonts w:ascii="Century" w:hAnsi="Century" w:cs="FrankRuehl"/>
          <w:spacing w:val="10"/>
          <w:sz w:val="22"/>
          <w:szCs w:val="28"/>
          <w:rtl/>
        </w:rPr>
        <w:t xml:space="preserve"> שתיעשה על-ידי המחוקק העוסק בכך בדחילו ורחימו, בכובד ראש ובאחריות מרובה, כאשר הוא מחזיק בידו במטה המגולף בערכים ובעקרונות, שנמסר לידו כרשות מכוננת</w:t>
      </w:r>
      <w:r w:rsidRPr="00632224">
        <w:rPr>
          <w:rFonts w:ascii="Century" w:hAnsi="Century" w:cs="FrankRuehl" w:hint="cs"/>
          <w:spacing w:val="10"/>
          <w:sz w:val="22"/>
          <w:szCs w:val="28"/>
          <w:rtl/>
        </w:rPr>
        <w:t xml:space="preserve">" (דברי השופט </w:t>
      </w:r>
      <w:r w:rsidRPr="00632224">
        <w:rPr>
          <w:rFonts w:ascii="Century" w:hAnsi="Century" w:cs="Miriam" w:hint="cs"/>
          <w:b/>
          <w:sz w:val="22"/>
          <w:rtl/>
        </w:rPr>
        <w:t>לוין</w:t>
      </w:r>
      <w:r w:rsidRPr="00632224">
        <w:rPr>
          <w:rFonts w:ascii="Century" w:hAnsi="Century" w:cs="FrankRuehl" w:hint="cs"/>
          <w:spacing w:val="10"/>
          <w:sz w:val="22"/>
          <w:szCs w:val="28"/>
          <w:rtl/>
        </w:rPr>
        <w:t xml:space="preserve"> בעניין </w:t>
      </w:r>
      <w:r w:rsidRPr="00632224">
        <w:rPr>
          <w:rFonts w:ascii="Century" w:hAnsi="Century" w:cs="Miriam" w:hint="cs"/>
          <w:b/>
          <w:sz w:val="22"/>
          <w:rtl/>
        </w:rPr>
        <w:t>בנק המזרחי</w:t>
      </w:r>
      <w:r w:rsidRPr="00632224">
        <w:rPr>
          <w:rFonts w:ascii="Century" w:hAnsi="Century" w:cs="FrankRuehl"/>
          <w:spacing w:val="10"/>
          <w:sz w:val="22"/>
          <w:szCs w:val="28"/>
          <w:rtl/>
        </w:rPr>
        <w:t>,</w:t>
      </w:r>
      <w:r w:rsidRPr="00632224">
        <w:rPr>
          <w:rFonts w:ascii="Century" w:hAnsi="Century" w:cs="Miriam" w:hint="cs"/>
          <w:b/>
          <w:sz w:val="22"/>
          <w:rtl/>
        </w:rPr>
        <w:t xml:space="preserve"> </w:t>
      </w:r>
      <w:r w:rsidRPr="00632224">
        <w:rPr>
          <w:rFonts w:ascii="Century" w:hAnsi="Century" w:cs="FrankRuehl" w:hint="eastAsia"/>
          <w:spacing w:val="10"/>
          <w:sz w:val="22"/>
          <w:szCs w:val="28"/>
          <w:rtl/>
        </w:rPr>
        <w:t>בעמ</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453).</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"יום חקיקתו של חוק יסוד או תיקון לחוק יסוד אמור להיות יום חגיגי שבו הכנסת לובשת לבן ומצטחצחת בהתרגשות לקראת המאורע ולא יום קטנות פוליטי" (עניין </w:t>
      </w:r>
      <w:r w:rsidRPr="00632224">
        <w:rPr>
          <w:rFonts w:ascii="Century" w:hAnsi="Century" w:cs="Miriam" w:hint="cs"/>
          <w:b/>
          <w:sz w:val="22"/>
          <w:rtl/>
        </w:rPr>
        <w:t>שפיר</w:t>
      </w:r>
      <w:r w:rsidRPr="00632224">
        <w:rPr>
          <w:rFonts w:ascii="Arial TUR" w:hAnsi="Arial TUR" w:cs="FrankRuehl" w:hint="cs"/>
          <w:spacing w:val="10"/>
          <w:sz w:val="22"/>
          <w:szCs w:val="28"/>
          <w:rtl/>
        </w:rPr>
        <w:t xml:space="preserve">, בפסקה 4 לפסק דיני).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eastAsia"/>
          <w:spacing w:val="10"/>
          <w:sz w:val="22"/>
          <w:szCs w:val="28"/>
          <w:rtl/>
        </w:rPr>
        <w:t>חגיגיות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המעמד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אינה</w:t>
      </w:r>
      <w:r w:rsidRPr="00632224">
        <w:rPr>
          <w:rFonts w:ascii="Arial TUR" w:hAnsi="Arial TUR" w:cs="FrankRuehl"/>
          <w:spacing w:val="10"/>
          <w:sz w:val="22"/>
          <w:szCs w:val="28"/>
          <w:rtl/>
        </w:rPr>
        <w:t xml:space="preserve"> צריכה להתבטא </w:t>
      </w:r>
      <w:r w:rsidRPr="00632224">
        <w:rPr>
          <w:rFonts w:ascii="Arial TUR" w:hAnsi="Arial TUR" w:cs="FrankRuehl" w:hint="eastAsia"/>
          <w:spacing w:val="10"/>
          <w:sz w:val="22"/>
          <w:szCs w:val="28"/>
          <w:rtl/>
        </w:rPr>
        <w:t>בהכרח</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בברקים</w:t>
      </w:r>
      <w:r w:rsidRPr="00632224">
        <w:rPr>
          <w:rFonts w:ascii="Arial TUR" w:hAnsi="Arial TUR" w:cs="FrankRuehl"/>
          <w:spacing w:val="10"/>
          <w:sz w:val="22"/>
          <w:szCs w:val="28"/>
          <w:rtl/>
        </w:rPr>
        <w:t xml:space="preserve"> ורעמים, אך </w:t>
      </w:r>
      <w:r w:rsidRPr="00632224">
        <w:rPr>
          <w:rFonts w:ascii="Arial TUR" w:hAnsi="Arial TUR" w:cs="FrankRuehl" w:hint="cs"/>
          <w:spacing w:val="10"/>
          <w:sz w:val="22"/>
          <w:szCs w:val="28"/>
          <w:rtl/>
        </w:rPr>
        <w:t xml:space="preserve">ניתן לומר בוודאות כי </w:t>
      </w:r>
      <w:r w:rsidRPr="00632224">
        <w:rPr>
          <w:rFonts w:ascii="Arial TUR" w:hAnsi="Arial TUR" w:cs="FrankRuehl" w:hint="eastAsia"/>
          <w:spacing w:val="10"/>
          <w:sz w:val="22"/>
          <w:szCs w:val="28"/>
          <w:rtl/>
        </w:rPr>
        <w:t>התיקון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לחוק</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נושא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דיוננו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יום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חג</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יום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וביום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חולין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כזה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דרכיו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העם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אינן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מצטלבות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נפרדות</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E0052A">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26.</w:t>
      </w:r>
      <w:r w:rsidRPr="00632224">
        <w:rPr>
          <w:rFonts w:ascii="Century" w:hAnsi="Century" w:cs="Miriam" w:hint="cs"/>
          <w:b/>
          <w:sz w:val="22"/>
          <w:rtl/>
        </w:rPr>
        <w:tab/>
        <w:t>אי ההשתלבות במערך החוקתי</w:t>
      </w:r>
      <w:r w:rsidRPr="00632224">
        <w:rPr>
          <w:rFonts w:ascii="Century" w:hAnsi="Century" w:cs="Miriam"/>
          <w:b/>
          <w:sz w:val="22"/>
          <w:rtl/>
        </w:rPr>
        <w:t>:</w:t>
      </w:r>
      <w:r w:rsidRPr="00632224">
        <w:rPr>
          <w:rFonts w:ascii="Century" w:hAnsi="Century" w:cs="FrankRuehl" w:hint="cs"/>
          <w:spacing w:val="10"/>
          <w:sz w:val="22"/>
          <w:szCs w:val="28"/>
          <w:rtl/>
        </w:rPr>
        <w:t xml:space="preserve"> לשיטת הכנסת, די בכותרת הצורנית כדי להפוך כל חוק רגיל לחוק יסוד. מכאן קצרה הדרך לנסות להקנות חסינות לכל חוק שהממשלה חפצה ביקרו על ידי עיטורו בכותרת של חוק יסוד. לשיטה זו, אין מניעה לחוקק את חוק יסוד: היטל תיעול, על אף שחוק כזה אינו מתיישב ואינו משתלב עם המארג החוקתי (על מבחן ההתאמה למארג החוקתי ראו עניין </w:t>
      </w:r>
      <w:r w:rsidRPr="00632224">
        <w:rPr>
          <w:rFonts w:ascii="Century" w:hAnsi="Century" w:cs="Miriam" w:hint="eastAsia"/>
          <w:b/>
          <w:sz w:val="22"/>
          <w:rtl/>
        </w:rPr>
        <w:t>שפיר</w:t>
      </w:r>
      <w:r w:rsidRPr="00632224">
        <w:rPr>
          <w:rFonts w:ascii="Century" w:hAnsi="Century" w:cs="FrankRuehl" w:hint="cs"/>
          <w:spacing w:val="10"/>
          <w:sz w:val="22"/>
          <w:szCs w:val="28"/>
          <w:rtl/>
        </w:rPr>
        <w:t xml:space="preserve">, בפסקה 41 לפסק דינה של הנשיאה </w:t>
      </w:r>
      <w:r w:rsidRPr="00632224">
        <w:rPr>
          <w:rFonts w:ascii="Century" w:hAnsi="Century" w:cs="Miriam" w:hint="eastAsia"/>
          <w:b/>
          <w:sz w:val="22"/>
          <w:rtl/>
        </w:rPr>
        <w:lastRenderedPageBreak/>
        <w:t>חיות</w:t>
      </w:r>
      <w:r w:rsidRPr="00632224">
        <w:rPr>
          <w:rFonts w:ascii="Century" w:hAnsi="Century" w:cs="FrankRuehl" w:hint="cs"/>
          <w:spacing w:val="10"/>
          <w:sz w:val="22"/>
          <w:szCs w:val="28"/>
          <w:rtl/>
        </w:rPr>
        <w:t xml:space="preserve">). ככל שמדובר בהוראה שאין מקומה הטבעי בחוקה, כך תגדל הנכונות לביקורת שיפוטית.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27.</w:t>
      </w:r>
      <w:r w:rsidRPr="00632224">
        <w:rPr>
          <w:rFonts w:ascii="Century" w:hAnsi="Century" w:cs="Miriam" w:hint="cs"/>
          <w:b/>
          <w:sz w:val="22"/>
          <w:rtl/>
        </w:rPr>
        <w:tab/>
        <w:t>פגמים בהליכי החקיקה</w:t>
      </w:r>
      <w:r w:rsidRPr="00632224">
        <w:rPr>
          <w:rFonts w:ascii="Century" w:hAnsi="Century" w:cs="Miriam"/>
          <w:b/>
          <w:sz w:val="22"/>
          <w:rtl/>
        </w:rPr>
        <w:t>:</w:t>
      </w:r>
      <w:r w:rsidRPr="00632224">
        <w:rPr>
          <w:rFonts w:ascii="Century" w:hAnsi="Century" w:cs="FrankRuehl" w:hint="cs"/>
          <w:spacing w:val="10"/>
          <w:sz w:val="22"/>
          <w:szCs w:val="28"/>
          <w:rtl/>
        </w:rPr>
        <w:t xml:space="preserve"> חקיקה או תיקון של חוק יסוד ראוי כי ייעשו לאחר עבודת מטה יסודית, ולאחר קבלת הערות הציבור, כפי שנעשה פעמים רבות בחקיקה ראשית רגילה. הדברים נכונים במיוחד שעה שיש בחוק היסוד משום שינוי של כללי המשחק המשטרי. ככל שההליך נעשה שלא בדרך הדברים הרגילה, בחיפזון, בשטחיות, מבלי להטות אוזן קשבת להערות הציבור, להערות המומחים ולהערות חברי הכנסת המתנגדים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כך הנטייה להתערבות שיפוטית גדולה יותר.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28.</w:t>
      </w:r>
      <w:r w:rsidRPr="00632224">
        <w:rPr>
          <w:rFonts w:ascii="Century" w:hAnsi="Century" w:cs="Miriam" w:hint="cs"/>
          <w:b/>
          <w:sz w:val="22"/>
          <w:rtl/>
        </w:rPr>
        <w:tab/>
        <w:t xml:space="preserve">'מסך הבערות': </w:t>
      </w:r>
      <w:r w:rsidRPr="00632224">
        <w:rPr>
          <w:rFonts w:ascii="Century" w:hAnsi="Century" w:cs="FrankRuehl" w:hint="cs"/>
          <w:spacing w:val="10"/>
          <w:sz w:val="22"/>
          <w:szCs w:val="28"/>
          <w:rtl/>
        </w:rPr>
        <w:t>יש מצבים המצדיקים שינוי חוקי יסוד באופן מיידי, אך בהעדר צורך דחוף, ראוי כי שינוי חוק יסוד, במיוחד שינוי עומק, ייעשה שלא בתחולה מיידית:</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Arial TUR" w:hAnsi="Arial TUR" w:cs="FrankRuehl" w:hint="cs"/>
          <w:spacing w:val="10"/>
          <w:sz w:val="22"/>
          <w:szCs w:val="28"/>
          <w:rtl/>
        </w:rPr>
        <w:t xml:space="preserve">"ההגנה על כללי ההכרעה, או 'כללי המשחק' המוסדיים, נועדה, בין היתר, כדי למנוע מנציגי הציבור לפעול למען קידום האינטרסים האישיים שלהם, או של מפלגותיהם, חלף האינטרס הציבורי הכללי, או האינטרסים של בוחריהם. [...] גם הנורמות המוסדיות נדרשות להיקבע במנותק, עד כמה שניתן, מהאינטרסים האישיים של קובעיהן; או כפי שהגדירו זאת מלומדים, מאחורי 'מסך של בערות' [... לפיו] </w:t>
      </w:r>
      <w:r w:rsidRPr="00632224">
        <w:rPr>
          <w:rFonts w:ascii="Century" w:hAnsi="Century" w:cs="Miriam" w:hint="cs"/>
          <w:b/>
          <w:sz w:val="22"/>
          <w:rtl/>
        </w:rPr>
        <w:t>לא ניתן לעשות מקצה תיקונים או שיפורים לאחר ש'מסך הבערות' הוסר</w:t>
      </w:r>
      <w:r w:rsidRPr="00632224">
        <w:rPr>
          <w:rFonts w:ascii="Arial TUR" w:hAnsi="Arial TUR" w:cs="FrankRuehl" w:hint="cs"/>
          <w:spacing w:val="10"/>
          <w:sz w:val="22"/>
          <w:szCs w:val="28"/>
          <w:rtl/>
        </w:rPr>
        <w:t xml:space="preserve">, והנציגים מגלים את מי הם מייצגים [...] נורמה חוקתית של קביעת כללים </w:t>
      </w:r>
      <w:r w:rsidRPr="00632224">
        <w:rPr>
          <w:rFonts w:ascii="Century" w:hAnsi="Century" w:cs="Miriam" w:hint="cs"/>
          <w:b/>
          <w:sz w:val="22"/>
          <w:rtl/>
        </w:rPr>
        <w:t>כלליים</w:t>
      </w:r>
      <w:r w:rsidRPr="00632224">
        <w:rPr>
          <w:rFonts w:ascii="Arial TUR" w:hAnsi="Arial TUR" w:cs="FrankRuehl" w:hint="cs"/>
          <w:spacing w:val="10"/>
          <w:sz w:val="22"/>
          <w:szCs w:val="28"/>
          <w:rtl/>
        </w:rPr>
        <w:t>, צופים פני עתיד ו</w:t>
      </w:r>
      <w:r w:rsidRPr="00632224">
        <w:rPr>
          <w:rFonts w:ascii="Century" w:hAnsi="Century" w:cs="Miriam" w:hint="cs"/>
          <w:b/>
          <w:sz w:val="22"/>
          <w:rtl/>
        </w:rPr>
        <w:t>יציבים</w:t>
      </w:r>
      <w:r w:rsidRPr="00632224">
        <w:rPr>
          <w:rFonts w:ascii="Arial TUR" w:hAnsi="Arial TUR" w:cs="FrankRuehl" w:hint="cs"/>
          <w:spacing w:val="10"/>
          <w:sz w:val="22"/>
          <w:szCs w:val="28"/>
          <w:rtl/>
        </w:rPr>
        <w:t xml:space="preserve">, שאינם ניתנים לשינוי בקלות על פי האינטרסים הצרים והזמניים במערכת הפוליטית, שומרת אם כן על כבודן של הנורמות החוקתיות ועל עקרון ההוגנות בעיצוב כללי המשחק הדמוקרטיים בישראל [...]. תחולה מיידית אף לא מוצדקת </w:t>
      </w:r>
      <w:r w:rsidRPr="00632224">
        <w:rPr>
          <w:rFonts w:ascii="Century" w:hAnsi="Century" w:cs="Miriam" w:hint="cs"/>
          <w:b/>
          <w:sz w:val="22"/>
          <w:rtl/>
        </w:rPr>
        <w:t>מעשית</w:t>
      </w:r>
      <w:r w:rsidRPr="00632224">
        <w:rPr>
          <w:rFonts w:ascii="Arial TUR" w:hAnsi="Arial TUR" w:cs="FrankRuehl" w:hint="cs"/>
          <w:spacing w:val="10"/>
          <w:sz w:val="22"/>
          <w:szCs w:val="28"/>
          <w:rtl/>
        </w:rPr>
        <w:t xml:space="preserve">, שכן היא תורמת לשינויים חוקתיים תכופים ומזדמנים (מתוך הנחה מוטעית שבהתבטל האילוץ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ניתן יהיה לשנות שוב את ההסדר החוקתי)" </w:t>
      </w:r>
      <w:r w:rsidRPr="00632224">
        <w:rPr>
          <w:rFonts w:ascii="Century" w:hAnsi="Century" w:cs="FrankRuehl" w:hint="cs"/>
          <w:spacing w:val="10"/>
          <w:sz w:val="22"/>
          <w:szCs w:val="28"/>
          <w:rtl/>
        </w:rPr>
        <w:t>(עניין</w:t>
      </w:r>
      <w:r w:rsidRPr="00632224">
        <w:rPr>
          <w:rFonts w:ascii="Century" w:hAnsi="Century" w:cs="Miriam" w:hint="cs"/>
          <w:b/>
          <w:sz w:val="22"/>
          <w:rtl/>
        </w:rPr>
        <w:t xml:space="preserve"> ממשלת החילופים</w:t>
      </w:r>
      <w:r w:rsidRPr="00632224">
        <w:rPr>
          <w:rFonts w:ascii="Century" w:hAnsi="Century" w:cs="FrankRuehl"/>
          <w:spacing w:val="10"/>
          <w:sz w:val="22"/>
          <w:szCs w:val="28"/>
          <w:rtl/>
        </w:rPr>
        <w:t>,</w:t>
      </w:r>
      <w:r w:rsidRPr="00632224">
        <w:rPr>
          <w:rFonts w:ascii="Century" w:hAnsi="Century" w:cs="Miriam" w:hint="cs"/>
          <w:b/>
          <w:sz w:val="22"/>
          <w:rtl/>
        </w:rPr>
        <w:t xml:space="preserve"> </w:t>
      </w:r>
      <w:r w:rsidRPr="00632224">
        <w:rPr>
          <w:rFonts w:ascii="Century" w:hAnsi="Century" w:cs="FrankRuehl" w:hint="cs"/>
          <w:spacing w:val="10"/>
          <w:sz w:val="22"/>
          <w:szCs w:val="28"/>
          <w:rtl/>
        </w:rPr>
        <w:t xml:space="preserve">בפסקאות 126-122 לפסק דינו </w:t>
      </w:r>
      <w:r>
        <w:rPr>
          <w:rFonts w:ascii="Century" w:hAnsi="Century" w:cs="FrankRuehl" w:hint="cs"/>
          <w:spacing w:val="10"/>
          <w:sz w:val="22"/>
          <w:szCs w:val="28"/>
          <w:rtl/>
        </w:rPr>
        <w:t xml:space="preserve">במיעוט </w:t>
      </w:r>
      <w:r w:rsidRPr="00632224">
        <w:rPr>
          <w:rFonts w:ascii="Century" w:hAnsi="Century" w:cs="FrankRuehl" w:hint="cs"/>
          <w:spacing w:val="10"/>
          <w:sz w:val="22"/>
          <w:szCs w:val="28"/>
          <w:rtl/>
        </w:rPr>
        <w:t xml:space="preserve">של המשנה לנשיאה </w:t>
      </w:r>
      <w:r w:rsidRPr="00632224">
        <w:rPr>
          <w:rFonts w:ascii="Century" w:hAnsi="Century" w:cs="Miriam" w:hint="cs"/>
          <w:b/>
          <w:sz w:val="22"/>
          <w:rtl/>
        </w:rPr>
        <w:t>מלצר</w:t>
      </w:r>
      <w:r w:rsidRPr="00632224">
        <w:rPr>
          <w:rFonts w:ascii="Century" w:hAnsi="Century" w:cs="FrankRuehl" w:hint="cs"/>
          <w:spacing w:val="10"/>
          <w:sz w:val="22"/>
          <w:szCs w:val="28"/>
          <w:rtl/>
        </w:rPr>
        <w:t xml:space="preserve">, הדגשות במקור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י"ע).</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Century" w:hAnsi="Century" w:cs="FrankRuehl" w:hint="cs"/>
          <w:spacing w:val="10"/>
          <w:sz w:val="22"/>
          <w:szCs w:val="28"/>
          <w:rtl/>
        </w:rPr>
        <w:t xml:space="preserve"> </w:t>
      </w: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הסכנה האינהרנטית בחוק יסוד שמתקבל בתחולה מיידית, היא שהכנסת תקבע כללי משחק שישרתו את טובתם של חברי הכנסת ואת טובת הממשלה המכהנת (ראו הערתו של השופט </w:t>
      </w:r>
      <w:r w:rsidRPr="00632224">
        <w:rPr>
          <w:rFonts w:ascii="Century" w:hAnsi="Century" w:cs="Miriam" w:hint="cs"/>
          <w:b/>
          <w:sz w:val="22"/>
          <w:rtl/>
        </w:rPr>
        <w:t>גרוסקופף</w:t>
      </w:r>
      <w:r w:rsidRPr="00632224">
        <w:rPr>
          <w:rFonts w:ascii="Century" w:hAnsi="Century" w:cs="FrankRuehl" w:hint="cs"/>
          <w:spacing w:val="10"/>
          <w:sz w:val="22"/>
          <w:szCs w:val="28"/>
          <w:rtl/>
        </w:rPr>
        <w:t xml:space="preserve"> בעניין </w:t>
      </w:r>
      <w:r w:rsidRPr="00632224">
        <w:rPr>
          <w:rFonts w:ascii="Century" w:hAnsi="Century" w:cs="Miriam" w:hint="cs"/>
          <w:b/>
          <w:sz w:val="22"/>
          <w:rtl/>
        </w:rPr>
        <w:t>דרעי הרביעי</w:t>
      </w:r>
      <w:r w:rsidRPr="00632224">
        <w:rPr>
          <w:rFonts w:ascii="Century" w:hAnsi="Century" w:cs="FrankRuehl" w:hint="cs"/>
          <w:spacing w:val="10"/>
          <w:sz w:val="22"/>
          <w:szCs w:val="28"/>
          <w:rtl/>
        </w:rPr>
        <w:t xml:space="preserve">, בפסקה 4 לפסק דינו, כי יש חשש שהתיקון לחוק היסוד נעשה </w:t>
      </w:r>
      <w:r w:rsidRPr="00632224">
        <w:rPr>
          <w:rFonts w:ascii="Century" w:hAnsi="Century" w:cs="FrankRuehl" w:hint="eastAsia"/>
          <w:spacing w:val="10"/>
          <w:sz w:val="22"/>
          <w:szCs w:val="28"/>
          <w:rtl/>
        </w:rPr>
        <w:t>לצורך</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נקודתי</w:t>
      </w:r>
      <w:r w:rsidRPr="00632224">
        <w:rPr>
          <w:rFonts w:ascii="Century" w:hAnsi="Century" w:cs="FrankRuehl" w:hint="cs"/>
          <w:spacing w:val="10"/>
          <w:sz w:val="22"/>
          <w:szCs w:val="28"/>
          <w:rtl/>
        </w:rPr>
        <w:t xml:space="preserve">). </w:t>
      </w:r>
      <w:r w:rsidRPr="00632224">
        <w:rPr>
          <w:rFonts w:ascii="Arial TUR" w:hAnsi="Arial TUR" w:cs="FrankRuehl" w:hint="eastAsia"/>
          <w:spacing w:val="10"/>
          <w:sz w:val="28"/>
          <w:szCs w:val="28"/>
          <w:rtl/>
        </w:rPr>
        <w:t>הכלל</w:t>
      </w:r>
      <w:r w:rsidRPr="00632224">
        <w:rPr>
          <w:rFonts w:ascii="Arial TUR" w:hAnsi="Arial TUR" w:cs="FrankRuehl"/>
          <w:spacing w:val="10"/>
          <w:sz w:val="28"/>
          <w:szCs w:val="28"/>
          <w:rtl/>
        </w:rPr>
        <w:t xml:space="preserve"> הבסיסי ביותר, בבחינת הבסיס ל"פירמידת הנורמות" של כללי המשחק, הוא שעל כללי המשחק </w:t>
      </w:r>
      <w:r w:rsidRPr="00632224">
        <w:rPr>
          <w:rFonts w:ascii="Arial TUR" w:hAnsi="Arial TUR" w:cs="FrankRuehl"/>
          <w:spacing w:val="10"/>
          <w:sz w:val="22"/>
          <w:szCs w:val="28"/>
          <w:rtl/>
        </w:rPr>
        <w:t xml:space="preserve">"להיקבע לפני המשחק, ולא להיות נתונים בקלות לשינוי במהלכו רק כדי להתאימם לאינטרסים של השחקנים </w:t>
      </w:r>
      <w:r w:rsidRPr="00632224">
        <w:rPr>
          <w:rFonts w:ascii="Arial TUR" w:hAnsi="Arial TUR" w:cs="FrankRuehl"/>
          <w:spacing w:val="10"/>
          <w:sz w:val="22"/>
          <w:szCs w:val="28"/>
          <w:rtl/>
        </w:rPr>
        <w:lastRenderedPageBreak/>
        <w:t>שבידיהם יתרון באותה ע</w:t>
      </w:r>
      <w:r w:rsidRPr="00632224">
        <w:rPr>
          <w:rFonts w:ascii="Arial TUR" w:hAnsi="Arial TUR" w:cs="FrankRuehl" w:hint="eastAsia"/>
          <w:spacing w:val="10"/>
          <w:sz w:val="22"/>
          <w:szCs w:val="28"/>
          <w:rtl/>
        </w:rPr>
        <w:t>ת</w:t>
      </w:r>
      <w:r w:rsidRPr="00632224">
        <w:rPr>
          <w:rFonts w:ascii="Arial TUR" w:hAnsi="Arial TUR" w:cs="FrankRuehl"/>
          <w:spacing w:val="10"/>
          <w:sz w:val="22"/>
          <w:szCs w:val="28"/>
          <w:rtl/>
        </w:rPr>
        <w:t>" (</w:t>
      </w:r>
      <w:r w:rsidRPr="00632224">
        <w:rPr>
          <w:rFonts w:ascii="Century" w:hAnsi="Century" w:cs="FrankRuehl" w:hint="eastAsia"/>
          <w:spacing w:val="10"/>
          <w:sz w:val="22"/>
          <w:szCs w:val="28"/>
          <w:rtl/>
        </w:rPr>
        <w:t>אריאל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בנדור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חוקי</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היסוד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כבסיס</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לחוקה</w:t>
      </w:r>
      <w:r w:rsidRPr="00632224">
        <w:rPr>
          <w:rFonts w:ascii="Century" w:hAnsi="Century" w:cs="FrankRuehl"/>
          <w:spacing w:val="10"/>
          <w:sz w:val="22"/>
          <w:szCs w:val="28"/>
          <w:rtl/>
        </w:rPr>
        <w:t xml:space="preserve"> – </w:t>
      </w:r>
      <w:r w:rsidRPr="00632224">
        <w:rPr>
          <w:rFonts w:ascii="Century" w:hAnsi="Century" w:cs="FrankRuehl" w:hint="eastAsia"/>
          <w:spacing w:val="10"/>
          <w:sz w:val="22"/>
          <w:szCs w:val="28"/>
          <w:rtl/>
        </w:rPr>
        <w:t>הצעה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לחוקת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ישראל</w:t>
      </w:r>
      <w:r w:rsidRPr="00632224">
        <w:rPr>
          <w:rFonts w:ascii="Arial TUR" w:hAnsi="Arial TUR" w:cs="FrankRuehl"/>
          <w:spacing w:val="10"/>
          <w:sz w:val="22"/>
          <w:szCs w:val="28"/>
          <w:rtl/>
        </w:rPr>
        <w:t xml:space="preserve">" </w:t>
      </w:r>
      <w:r w:rsidRPr="00632224">
        <w:rPr>
          <w:rFonts w:ascii="Century" w:hAnsi="Century" w:cs="Miriam" w:hint="eastAsia"/>
          <w:b/>
          <w:sz w:val="22"/>
          <w:rtl/>
        </w:rPr>
        <w:t>משפט</w:t>
      </w:r>
      <w:r w:rsidRPr="00632224">
        <w:rPr>
          <w:rFonts w:ascii="Century" w:hAnsi="Century" w:cs="Miriam"/>
          <w:b/>
          <w:sz w:val="22"/>
          <w:rtl/>
        </w:rPr>
        <w:t xml:space="preserve"> </w:t>
      </w:r>
      <w:r w:rsidRPr="00632224">
        <w:rPr>
          <w:rFonts w:ascii="Century" w:hAnsi="Century" w:cs="Miriam" w:hint="eastAsia"/>
          <w:b/>
          <w:sz w:val="22"/>
          <w:rtl/>
        </w:rPr>
        <w:t>וממשל</w:t>
      </w:r>
      <w:r w:rsidRPr="00632224">
        <w:rPr>
          <w:rFonts w:ascii="Arial TUR" w:hAnsi="Arial TUR" w:cs="FrankRuehl"/>
          <w:spacing w:val="10"/>
          <w:sz w:val="22"/>
          <w:szCs w:val="28"/>
          <w:rtl/>
        </w:rPr>
        <w:t xml:space="preserve"> ה 15, 18 (</w:t>
      </w:r>
      <w:r w:rsidRPr="00632224">
        <w:rPr>
          <w:rFonts w:ascii="Arial TUR" w:hAnsi="Arial TUR" w:cs="FrankRuehl" w:hint="cs"/>
          <w:spacing w:val="10"/>
          <w:sz w:val="22"/>
          <w:szCs w:val="28"/>
          <w:rtl/>
        </w:rPr>
        <w:t>2000</w:t>
      </w:r>
      <w:r w:rsidRPr="00632224">
        <w:rPr>
          <w:rFonts w:ascii="Arial TUR" w:hAnsi="Arial TUR" w:cs="FrankRuehl"/>
          <w:spacing w:val="10"/>
          <w:sz w:val="22"/>
          <w:szCs w:val="28"/>
          <w:rtl/>
        </w:rPr>
        <w:t xml:space="preserve">)). </w:t>
      </w:r>
      <w:r w:rsidRPr="00632224">
        <w:rPr>
          <w:rFonts w:ascii="Century" w:hAnsi="Century" w:cs="FrankRuehl" w:hint="cs"/>
          <w:spacing w:val="10"/>
          <w:sz w:val="22"/>
          <w:szCs w:val="28"/>
          <w:rtl/>
        </w:rPr>
        <w:t xml:space="preserve">ככל שההליך נעשה שלא מאחורי מסך הבערות, אלא אד-הוק כדי לפתור בעיה נקודתית או פרסונלית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כך הנטייה להתערבות שיפוטית תהא גדולה יותר. </w:t>
      </w: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spacing w:val="10"/>
          <w:sz w:val="22"/>
          <w:szCs w:val="28"/>
          <w:rtl/>
        </w:rPr>
        <w:tab/>
      </w: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29.</w:t>
      </w:r>
      <w:r w:rsidRPr="00632224">
        <w:rPr>
          <w:rFonts w:ascii="Century" w:hAnsi="Century" w:cs="Miriam"/>
          <w:b/>
          <w:sz w:val="22"/>
          <w:rtl/>
        </w:rPr>
        <w:tab/>
      </w:r>
      <w:r w:rsidRPr="00632224">
        <w:rPr>
          <w:rFonts w:ascii="Century" w:hAnsi="Century" w:cs="Miriam" w:hint="cs"/>
          <w:b/>
          <w:sz w:val="22"/>
          <w:rtl/>
        </w:rPr>
        <w:t>אי חקיקת חוק יסוד: החקיקה</w:t>
      </w:r>
      <w:r w:rsidRPr="00632224">
        <w:rPr>
          <w:rFonts w:ascii="Century" w:hAnsi="Century" w:cs="Miriam"/>
          <w:b/>
          <w:sz w:val="22"/>
          <w:rtl/>
        </w:rPr>
        <w:t>:</w:t>
      </w:r>
      <w:r w:rsidRPr="00632224">
        <w:rPr>
          <w:rFonts w:ascii="Century" w:hAnsi="Century" w:cs="FrankRuehl" w:hint="cs"/>
          <w:spacing w:val="10"/>
          <w:sz w:val="22"/>
          <w:szCs w:val="28"/>
          <w:rtl/>
        </w:rPr>
        <w:t xml:space="preserve"> הממשלה אישרה בתשובתה כי "</w:t>
      </w:r>
      <w:r w:rsidRPr="00632224">
        <w:rPr>
          <w:rFonts w:ascii="Century" w:hAnsi="Century" w:cs="FrankRuehl"/>
          <w:spacing w:val="10"/>
          <w:sz w:val="22"/>
          <w:szCs w:val="28"/>
          <w:rtl/>
        </w:rPr>
        <w:t>העובדה</w:t>
      </w:r>
      <w:r w:rsidRPr="00632224">
        <w:rPr>
          <w:rFonts w:cs="FrankRuehl"/>
          <w:spacing w:val="10"/>
          <w:sz w:val="24"/>
          <w:szCs w:val="28"/>
          <w:rtl/>
        </w:rPr>
        <w:t xml:space="preserve"> </w:t>
      </w:r>
      <w:r w:rsidRPr="00632224">
        <w:rPr>
          <w:rFonts w:ascii="Century" w:hAnsi="Century" w:cs="FrankRuehl"/>
          <w:spacing w:val="10"/>
          <w:sz w:val="22"/>
          <w:szCs w:val="28"/>
          <w:rtl/>
        </w:rPr>
        <w:t>שבישראל</w:t>
      </w:r>
      <w:r w:rsidRPr="00632224">
        <w:rPr>
          <w:rFonts w:cs="FrankRuehl"/>
          <w:spacing w:val="10"/>
          <w:sz w:val="24"/>
          <w:szCs w:val="28"/>
          <w:rtl/>
        </w:rPr>
        <w:t xml:space="preserve"> </w:t>
      </w:r>
      <w:r w:rsidRPr="00632224">
        <w:rPr>
          <w:rFonts w:ascii="Century" w:hAnsi="Century" w:cs="FrankRuehl"/>
          <w:spacing w:val="10"/>
          <w:sz w:val="22"/>
          <w:szCs w:val="28"/>
          <w:rtl/>
        </w:rPr>
        <w:t>לא</w:t>
      </w:r>
      <w:r w:rsidRPr="00632224">
        <w:rPr>
          <w:rFonts w:cs="FrankRuehl"/>
          <w:spacing w:val="10"/>
          <w:sz w:val="24"/>
          <w:szCs w:val="28"/>
          <w:rtl/>
        </w:rPr>
        <w:t xml:space="preserve"> </w:t>
      </w:r>
      <w:r w:rsidRPr="00632224">
        <w:rPr>
          <w:rFonts w:ascii="Century" w:hAnsi="Century" w:cs="FrankRuehl"/>
          <w:spacing w:val="10"/>
          <w:sz w:val="22"/>
          <w:szCs w:val="28"/>
          <w:rtl/>
        </w:rPr>
        <w:t>נקבע</w:t>
      </w:r>
      <w:r w:rsidRPr="00632224">
        <w:rPr>
          <w:rFonts w:cs="FrankRuehl"/>
          <w:spacing w:val="10"/>
          <w:sz w:val="24"/>
          <w:szCs w:val="28"/>
          <w:rtl/>
        </w:rPr>
        <w:t xml:space="preserve"> </w:t>
      </w:r>
      <w:r w:rsidRPr="00632224">
        <w:rPr>
          <w:rFonts w:ascii="Century" w:hAnsi="Century" w:cs="FrankRuehl"/>
          <w:spacing w:val="10"/>
          <w:sz w:val="22"/>
          <w:szCs w:val="28"/>
          <w:rtl/>
        </w:rPr>
        <w:t>בחוק</w:t>
      </w:r>
      <w:r w:rsidRPr="00632224">
        <w:rPr>
          <w:rFonts w:cs="FrankRuehl"/>
          <w:spacing w:val="10"/>
          <w:sz w:val="24"/>
          <w:szCs w:val="28"/>
          <w:rtl/>
        </w:rPr>
        <w:t xml:space="preserve"> </w:t>
      </w:r>
      <w:r w:rsidRPr="00632224">
        <w:rPr>
          <w:rFonts w:ascii="Century" w:hAnsi="Century" w:cs="FrankRuehl"/>
          <w:spacing w:val="10"/>
          <w:sz w:val="22"/>
          <w:szCs w:val="28"/>
          <w:rtl/>
        </w:rPr>
        <w:t>יסוד</w:t>
      </w:r>
      <w:r w:rsidRPr="00632224">
        <w:rPr>
          <w:rFonts w:cs="FrankRuehl"/>
          <w:spacing w:val="10"/>
          <w:sz w:val="24"/>
          <w:szCs w:val="28"/>
          <w:rtl/>
        </w:rPr>
        <w:t xml:space="preserve"> </w:t>
      </w:r>
      <w:r w:rsidRPr="00632224">
        <w:rPr>
          <w:rFonts w:ascii="Century" w:hAnsi="Century" w:cs="FrankRuehl"/>
          <w:spacing w:val="10"/>
          <w:sz w:val="22"/>
          <w:szCs w:val="28"/>
          <w:rtl/>
        </w:rPr>
        <w:t>הליך</w:t>
      </w:r>
      <w:r w:rsidRPr="00632224">
        <w:rPr>
          <w:rFonts w:cs="FrankRuehl"/>
          <w:spacing w:val="10"/>
          <w:sz w:val="24"/>
          <w:szCs w:val="28"/>
          <w:rtl/>
        </w:rPr>
        <w:t xml:space="preserve"> </w:t>
      </w:r>
      <w:r w:rsidRPr="00632224">
        <w:rPr>
          <w:rFonts w:ascii="Century" w:hAnsi="Century" w:cs="FrankRuehl"/>
          <w:spacing w:val="10"/>
          <w:sz w:val="22"/>
          <w:szCs w:val="28"/>
          <w:rtl/>
        </w:rPr>
        <w:t>מיוחד</w:t>
      </w:r>
      <w:r w:rsidRPr="00632224">
        <w:rPr>
          <w:rFonts w:cs="FrankRuehl"/>
          <w:spacing w:val="10"/>
          <w:sz w:val="24"/>
          <w:szCs w:val="28"/>
          <w:rtl/>
        </w:rPr>
        <w:t xml:space="preserve"> </w:t>
      </w:r>
      <w:r w:rsidRPr="00632224">
        <w:rPr>
          <w:rFonts w:ascii="Century" w:hAnsi="Century" w:cs="FrankRuehl"/>
          <w:spacing w:val="10"/>
          <w:sz w:val="22"/>
          <w:szCs w:val="28"/>
          <w:rtl/>
        </w:rPr>
        <w:t>לכינון</w:t>
      </w:r>
      <w:r w:rsidRPr="00632224">
        <w:rPr>
          <w:rFonts w:cs="FrankRuehl"/>
          <w:spacing w:val="10"/>
          <w:sz w:val="24"/>
          <w:szCs w:val="28"/>
          <w:rtl/>
        </w:rPr>
        <w:t xml:space="preserve"> </w:t>
      </w:r>
      <w:r w:rsidRPr="00632224">
        <w:rPr>
          <w:rFonts w:ascii="Century" w:hAnsi="Century" w:cs="FrankRuehl"/>
          <w:spacing w:val="10"/>
          <w:sz w:val="22"/>
          <w:szCs w:val="28"/>
          <w:rtl/>
        </w:rPr>
        <w:t>חוקי</w:t>
      </w:r>
      <w:r w:rsidRPr="00632224">
        <w:rPr>
          <w:rFonts w:cs="FrankRuehl"/>
          <w:spacing w:val="10"/>
          <w:sz w:val="24"/>
          <w:szCs w:val="28"/>
          <w:rtl/>
        </w:rPr>
        <w:t xml:space="preserve"> </w:t>
      </w:r>
      <w:r w:rsidRPr="00632224">
        <w:rPr>
          <w:rFonts w:ascii="Century" w:hAnsi="Century" w:cs="FrankRuehl"/>
          <w:spacing w:val="10"/>
          <w:sz w:val="22"/>
          <w:szCs w:val="28"/>
          <w:rtl/>
        </w:rPr>
        <w:t>יסוד</w:t>
      </w:r>
      <w:r w:rsidRPr="00632224">
        <w:rPr>
          <w:rFonts w:ascii="Century" w:hAnsi="Century" w:cs="FrankRuehl" w:hint="cs"/>
          <w:spacing w:val="10"/>
          <w:sz w:val="22"/>
          <w:szCs w:val="28"/>
          <w:rtl/>
        </w:rPr>
        <w:t xml:space="preserve"> ול</w:t>
      </w:r>
      <w:r w:rsidRPr="00632224">
        <w:rPr>
          <w:rFonts w:ascii="Century" w:hAnsi="Century" w:cs="FrankRuehl"/>
          <w:spacing w:val="10"/>
          <w:sz w:val="22"/>
          <w:szCs w:val="28"/>
          <w:rtl/>
        </w:rPr>
        <w:t>תיקונם</w:t>
      </w:r>
      <w:r w:rsidRPr="00632224">
        <w:rPr>
          <w:rFonts w:cs="FrankRuehl"/>
          <w:spacing w:val="10"/>
          <w:sz w:val="24"/>
          <w:szCs w:val="28"/>
          <w:rtl/>
        </w:rPr>
        <w:t xml:space="preserve"> </w:t>
      </w:r>
      <w:r w:rsidRPr="00632224">
        <w:rPr>
          <w:rFonts w:ascii="Century" w:hAnsi="Century" w:cs="FrankRuehl"/>
          <w:spacing w:val="10"/>
          <w:sz w:val="22"/>
          <w:szCs w:val="28"/>
          <w:rtl/>
        </w:rPr>
        <w:t>אכן</w:t>
      </w:r>
      <w:r w:rsidRPr="00632224">
        <w:rPr>
          <w:rFonts w:cs="FrankRuehl"/>
          <w:spacing w:val="10"/>
          <w:sz w:val="24"/>
          <w:szCs w:val="28"/>
          <w:rtl/>
        </w:rPr>
        <w:t xml:space="preserve"> </w:t>
      </w:r>
      <w:r w:rsidRPr="00632224">
        <w:rPr>
          <w:rFonts w:ascii="Century" w:hAnsi="Century" w:cs="FrankRuehl"/>
          <w:spacing w:val="10"/>
          <w:sz w:val="22"/>
          <w:szCs w:val="28"/>
          <w:rtl/>
        </w:rPr>
        <w:t>מהווה</w:t>
      </w:r>
      <w:r w:rsidRPr="00632224">
        <w:rPr>
          <w:rFonts w:cs="FrankRuehl"/>
          <w:spacing w:val="10"/>
          <w:sz w:val="24"/>
          <w:szCs w:val="28"/>
          <w:rtl/>
        </w:rPr>
        <w:t xml:space="preserve"> </w:t>
      </w:r>
      <w:r w:rsidRPr="00632224">
        <w:rPr>
          <w:rFonts w:ascii="Century" w:hAnsi="Century" w:cs="FrankRuehl"/>
          <w:spacing w:val="10"/>
          <w:sz w:val="22"/>
          <w:szCs w:val="28"/>
          <w:rtl/>
        </w:rPr>
        <w:t>עיוות</w:t>
      </w:r>
      <w:r w:rsidRPr="00632224">
        <w:rPr>
          <w:rFonts w:ascii="Century" w:hAnsi="Century" w:cs="FrankRuehl" w:hint="cs"/>
          <w:spacing w:val="10"/>
          <w:sz w:val="22"/>
          <w:szCs w:val="28"/>
          <w:rtl/>
        </w:rPr>
        <w:t>", אלא שלשיטתה, גם בעיוות זה אין כדי להקנות סמכות לבית המשפט.</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דעתי שונה. עמדנו על כך שהחלפת הכובעים בין הרשות המכוננת לרשות המחוקקת לא באה לידי ביטוי בפרמטר כלשהו לעומת חקיקה ראשית רגילה, למעט הכותרת "חוק יסוד" (ברק מדינה "גבולות סמכותה של הכנסת לקבוע הוראות שריון" </w:t>
      </w:r>
      <w:r w:rsidRPr="00632224">
        <w:rPr>
          <w:rFonts w:ascii="Century" w:hAnsi="Century" w:cs="Miriam" w:hint="cs"/>
          <w:b/>
          <w:sz w:val="22"/>
          <w:rtl/>
        </w:rPr>
        <w:t>משפט וממשל</w:t>
      </w:r>
      <w:r w:rsidRPr="00632224">
        <w:rPr>
          <w:rFonts w:ascii="Century" w:hAnsi="Century" w:cs="FrankRuehl" w:hint="cs"/>
          <w:spacing w:val="10"/>
          <w:sz w:val="22"/>
          <w:szCs w:val="28"/>
          <w:rtl/>
        </w:rPr>
        <w:t xml:space="preserve"> ו 509, 516 (2003)). חוקי היסוד נחשבים כפרקים בחוקה העתידית, אך מבלי שנקבעו "כללי משחק" לדרך שבה יש לנהוג על מנת ליצור חוקה.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"מכל מקום, לפי המצב בישראל כיום, אין לתפיסה הקשיחה ביחס להליכי החקיקה מסגרת הולמת. כאמור, </w:t>
      </w:r>
      <w:r w:rsidRPr="00632224">
        <w:rPr>
          <w:rFonts w:ascii="Century" w:hAnsi="Century" w:cs="Miriam" w:hint="cs"/>
          <w:b/>
          <w:sz w:val="22"/>
          <w:rtl/>
        </w:rPr>
        <w:t>בהיעדר חוק יסוד: החקיקה, ההגבלות על הליכי החקיקה או השינוי של חוקי יסוד הן מצומצמות</w:t>
      </w:r>
      <w:r w:rsidRPr="00632224">
        <w:rPr>
          <w:rFonts w:ascii="Century" w:hAnsi="Century" w:cs="FrankRuehl"/>
          <w:spacing w:val="10"/>
          <w:sz w:val="22"/>
          <w:szCs w:val="28"/>
          <w:rtl/>
        </w:rPr>
        <w:t>"</w:t>
      </w:r>
      <w:r w:rsidRPr="00632224">
        <w:rPr>
          <w:rFonts w:ascii="Arial TUR" w:hAnsi="Arial TUR" w:cs="FrankRuehl" w:hint="cs"/>
          <w:spacing w:val="10"/>
          <w:sz w:val="22"/>
          <w:szCs w:val="28"/>
          <w:rtl/>
        </w:rPr>
        <w:t xml:space="preserve"> (עניין </w:t>
      </w:r>
      <w:r w:rsidRPr="00632224">
        <w:rPr>
          <w:rFonts w:ascii="Century" w:hAnsi="Century" w:cs="Miriam" w:hint="cs"/>
          <w:b/>
          <w:sz w:val="22"/>
          <w:rtl/>
        </w:rPr>
        <w:t>התקציב הדו-שנתי</w:t>
      </w:r>
      <w:r w:rsidRPr="00632224">
        <w:rPr>
          <w:rFonts w:ascii="Arial TUR" w:hAnsi="Arial TUR" w:cs="FrankRuehl" w:hint="cs"/>
          <w:spacing w:val="10"/>
          <w:sz w:val="22"/>
          <w:szCs w:val="28"/>
          <w:rtl/>
        </w:rPr>
        <w:t xml:space="preserve">, בפסקה 24 לפסק דינה של הנשיאה </w:t>
      </w:r>
      <w:r w:rsidRPr="00632224">
        <w:rPr>
          <w:rFonts w:ascii="Century" w:hAnsi="Century" w:cs="Miriam" w:hint="cs"/>
          <w:b/>
          <w:sz w:val="22"/>
          <w:rtl/>
        </w:rPr>
        <w:t>ביניש</w:t>
      </w:r>
      <w:r w:rsidRPr="00632224">
        <w:rPr>
          <w:rFonts w:ascii="Century" w:hAnsi="Century" w:cs="FrankRuehl" w:hint="cs"/>
          <w:spacing w:val="10"/>
          <w:sz w:val="22"/>
          <w:szCs w:val="28"/>
          <w:rtl/>
        </w:rPr>
        <w:t>,</w:t>
      </w:r>
      <w:r w:rsidRPr="00632224">
        <w:rPr>
          <w:rFonts w:ascii="Century" w:hAnsi="Century" w:cs="Miriam" w:hint="cs"/>
          <w:b/>
          <w:sz w:val="22"/>
          <w:rtl/>
        </w:rPr>
        <w:t xml:space="preserve"> </w:t>
      </w:r>
      <w:r w:rsidRPr="00632224">
        <w:rPr>
          <w:rFonts w:ascii="Arial TUR" w:hAnsi="Arial TUR" w:cs="FrankRuehl" w:hint="cs"/>
          <w:spacing w:val="10"/>
          <w:sz w:val="22"/>
          <w:szCs w:val="28"/>
          <w:rtl/>
        </w:rPr>
        <w:t xml:space="preserve">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keepNext/>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בית משפט זה חזר והתריע על העדר חוק יסוד: החקיקה: </w:t>
      </w:r>
    </w:p>
    <w:p w:rsidR="00244560" w:rsidRPr="00632224" w:rsidRDefault="00244560" w:rsidP="00244560">
      <w:pPr>
        <w:keepNext/>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Century" w:hAnsi="Century" w:cs="FrankRuehl" w:hint="cs"/>
          <w:spacing w:val="10"/>
          <w:sz w:val="22"/>
          <w:szCs w:val="28"/>
          <w:rtl/>
        </w:rPr>
        <w:t>"בשולי הדברים נחזור על שנאמר בבית משפט זה לא אחת בדבר הצורך בקיומו של חוק-יסוד: החקיקה, אשר יסדיר, בין היתר, את מעמדם של חוקי היסוד במדינת ישראל והאפשרות לתקנם [...]. בבואנו לבחון את תקינות עבודת החקיקה של הכנסת, כרשות מחוקקת ומכוננת כאחת, איננו יכולים להתעלם מפגמים מהותיים הנופלים בה. הפתרון הראוי הוא אם כן בכינון חוק יסוד: החקיקה, אולם עד שזה יזכה להגיע לאויר העולם, אין מנוס מקביעת כללים מנחים לשם שמירה על עקרונותיו הבסיסיים של המשטר הפרלמנטרי הישראלי, ועל-ידי כך לכבד את הכנסת – לכבד את עבודתה ואת תוצריה, לכבד את עקרונות המשטר החוקתי"</w:t>
      </w:r>
      <w:r w:rsidRPr="00632224">
        <w:rPr>
          <w:rFonts w:ascii="Century" w:hAnsi="Century" w:cs="Miriam" w:hint="cs"/>
          <w:b/>
          <w:sz w:val="22"/>
          <w:rtl/>
        </w:rPr>
        <w:t xml:space="preserve"> </w:t>
      </w:r>
      <w:r w:rsidRPr="00632224">
        <w:rPr>
          <w:rFonts w:ascii="Arial TUR" w:hAnsi="Arial TUR" w:cs="FrankRuehl" w:hint="cs"/>
          <w:spacing w:val="10"/>
          <w:sz w:val="22"/>
          <w:szCs w:val="28"/>
          <w:rtl/>
        </w:rPr>
        <w:t xml:space="preserve">(עניין </w:t>
      </w:r>
      <w:r w:rsidRPr="00632224">
        <w:rPr>
          <w:rFonts w:ascii="Century" w:hAnsi="Century" w:cs="Miriam" w:hint="cs"/>
          <w:b/>
          <w:sz w:val="22"/>
          <w:rtl/>
        </w:rPr>
        <w:t>המרכז האקדמי</w:t>
      </w:r>
      <w:r w:rsidRPr="00632224">
        <w:rPr>
          <w:rFonts w:ascii="Arial TUR" w:hAnsi="Arial TUR" w:cs="FrankRuehl" w:hint="cs"/>
          <w:spacing w:val="10"/>
          <w:sz w:val="22"/>
          <w:szCs w:val="28"/>
          <w:rtl/>
        </w:rPr>
        <w:t xml:space="preserve">, בפסקה לז לפסק דינו של המשנה לנשיאה (בדימ') </w:t>
      </w:r>
      <w:r w:rsidRPr="00632224">
        <w:rPr>
          <w:rFonts w:ascii="Century" w:hAnsi="Century" w:cs="Miriam" w:hint="eastAsia"/>
          <w:b/>
          <w:sz w:val="22"/>
          <w:rtl/>
        </w:rPr>
        <w:t>רובינשטיין</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ואף אני בעניין </w:t>
      </w:r>
      <w:r w:rsidRPr="00632224">
        <w:rPr>
          <w:rFonts w:ascii="Century" w:hAnsi="Century" w:cs="Miriam" w:hint="cs"/>
          <w:b/>
          <w:sz w:val="22"/>
          <w:rtl/>
        </w:rPr>
        <w:t>שפיר</w:t>
      </w:r>
      <w:r w:rsidRPr="00632224">
        <w:rPr>
          <w:rFonts w:ascii="Century" w:hAnsi="Century" w:cs="FrankRuehl" w:hint="cs"/>
          <w:spacing w:val="10"/>
          <w:sz w:val="22"/>
          <w:szCs w:val="28"/>
          <w:rtl/>
        </w:rPr>
        <w:t xml:space="preserve"> הפניתי קריאה "למען הדמוקרטיה בישראל הבו לנו כבר את חוק יסוד: החקיקה" (</w:t>
      </w:r>
      <w:r w:rsidRPr="00632224">
        <w:rPr>
          <w:rFonts w:ascii="Century" w:hAnsi="Century" w:cs="Miriam" w:hint="eastAsia"/>
          <w:b/>
          <w:sz w:val="22"/>
          <w:rtl/>
        </w:rPr>
        <w:t>שם</w:t>
      </w:r>
      <w:r w:rsidRPr="00632224">
        <w:rPr>
          <w:rFonts w:ascii="Century" w:hAnsi="Century" w:cs="FrankRuehl" w:hint="cs"/>
          <w:spacing w:val="10"/>
          <w:sz w:val="22"/>
          <w:szCs w:val="28"/>
          <w:rtl/>
        </w:rPr>
        <w:t xml:space="preserve">, בפסקה 3 לפסק דיני).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30.</w:t>
      </w:r>
      <w:r w:rsidRPr="00632224">
        <w:rPr>
          <w:rFonts w:ascii="Century" w:hAnsi="Century" w:cs="FrankRuehl" w:hint="cs"/>
          <w:spacing w:val="10"/>
          <w:sz w:val="22"/>
          <w:szCs w:val="28"/>
          <w:rtl/>
        </w:rPr>
        <w:tab/>
        <w:t>בחלק מהצעות חוק יסוד: החקיקה השונות שהוצעו לאורך השנים, הוצע מנגנון המחייב, בין היתר, הצבעה בארבע קריאות, כאשר הקריאה הרביעית תתקיים בישיבה מיוחדת, לא לפני חלוף שישה חודשים ממועד הקריאה השלישית, ועליה להתקבל ברוב מיוחס (</w:t>
      </w:r>
      <w:r w:rsidRPr="00632224">
        <w:rPr>
          <w:rFonts w:ascii="Century" w:hAnsi="Century" w:cs="Miriam" w:hint="cs"/>
          <w:b/>
          <w:sz w:val="22"/>
          <w:rtl/>
        </w:rPr>
        <w:t>דישון</w:t>
      </w:r>
      <w:r w:rsidRPr="00632224">
        <w:rPr>
          <w:rFonts w:ascii="Arial TUR" w:hAnsi="Arial TUR" w:cs="FrankRuehl" w:hint="cs"/>
          <w:spacing w:val="10"/>
          <w:sz w:val="22"/>
          <w:szCs w:val="28"/>
          <w:rtl/>
        </w:rPr>
        <w:t xml:space="preserve">, בה"ש 26). יש בכך כדי להעיד על הצורך בכללים מיוחדים לצורך חקיקה או תיקון של חוקי יסוד.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דומה כי ישראל היא המדינה היחידה בעולם שבה ניתן להעביר תיקון חוקתי ברוב רגיל ובהליכי חקיקה רגילים (</w:t>
      </w:r>
      <w:r w:rsidRPr="00632224">
        <w:rPr>
          <w:rFonts w:ascii="Century" w:hAnsi="Century" w:cs="Miriam" w:hint="cs"/>
          <w:b/>
          <w:sz w:val="22"/>
          <w:rtl/>
        </w:rPr>
        <w:t>כהן ורוזנאי</w:t>
      </w:r>
      <w:r w:rsidRPr="00632224">
        <w:rPr>
          <w:rFonts w:ascii="Century" w:hAnsi="Century" w:cs="FrankRuehl" w:hint="cs"/>
          <w:spacing w:val="10"/>
          <w:sz w:val="22"/>
          <w:szCs w:val="28"/>
          <w:rtl/>
        </w:rPr>
        <w:t xml:space="preserve">, בעמ' 128-127; </w:t>
      </w:r>
      <w:r w:rsidRPr="00632224">
        <w:rPr>
          <w:rFonts w:ascii="Century" w:hAnsi="Century" w:cs="FrankRuehl"/>
          <w:spacing w:val="10"/>
          <w:sz w:val="22"/>
          <w:szCs w:val="28"/>
          <w:rtl/>
        </w:rPr>
        <w:t>עמיחי כהן "תיקון חוקתי לא־חוקתי בעידן של פוליטיקה פופוליסטית</w:t>
      </w:r>
      <w:r w:rsidRPr="00632224">
        <w:rPr>
          <w:rFonts w:ascii="Century" w:hAnsi="Century" w:cs="FrankRuehl" w:hint="cs"/>
          <w:spacing w:val="10"/>
          <w:sz w:val="22"/>
          <w:szCs w:val="28"/>
          <w:rtl/>
        </w:rPr>
        <w:t>-</w:t>
      </w:r>
      <w:r w:rsidRPr="00632224">
        <w:rPr>
          <w:rFonts w:ascii="Century" w:hAnsi="Century" w:cs="FrankRuehl"/>
          <w:spacing w:val="10"/>
          <w:sz w:val="22"/>
          <w:szCs w:val="28"/>
          <w:rtl/>
        </w:rPr>
        <w:t>בעקבות ספרו של יניב רוזנא</w:t>
      </w:r>
      <w:r w:rsidRPr="00632224">
        <w:rPr>
          <w:rFonts w:ascii="Century" w:hAnsi="Century" w:cs="FrankRuehl" w:hint="cs"/>
          <w:spacing w:val="10"/>
          <w:sz w:val="22"/>
          <w:szCs w:val="28"/>
          <w:rtl/>
        </w:rPr>
        <w:t>י</w:t>
      </w:r>
      <w:r w:rsidRPr="00632224">
        <w:rPr>
          <w:rFonts w:cs="FrankRuehl"/>
          <w:spacing w:val="10"/>
          <w:sz w:val="24"/>
          <w:szCs w:val="28"/>
          <w:rtl/>
        </w:rPr>
        <w:t xml:space="preserve"> </w:t>
      </w:r>
      <w:r w:rsidRPr="00632224">
        <w:rPr>
          <w:rFonts w:cs="FrankRuehl"/>
          <w:spacing w:val="10"/>
          <w:sz w:val="22"/>
          <w:szCs w:val="22"/>
        </w:rPr>
        <w:t>Unconstitutional Constitutional Amendments</w:t>
      </w:r>
      <w:r w:rsidRPr="00632224">
        <w:rPr>
          <w:rFonts w:ascii="Century" w:hAnsi="Century" w:cs="FrankRuehl" w:hint="cs"/>
          <w:spacing w:val="10"/>
          <w:sz w:val="22"/>
          <w:szCs w:val="28"/>
          <w:rtl/>
        </w:rPr>
        <w:t xml:space="preserve">" </w:t>
      </w:r>
      <w:r w:rsidRPr="00632224">
        <w:rPr>
          <w:rFonts w:ascii="Century" w:hAnsi="Century" w:cs="Miriam"/>
          <w:b/>
          <w:sz w:val="22"/>
          <w:rtl/>
        </w:rPr>
        <w:t>משפט וממשל</w:t>
      </w:r>
      <w:r w:rsidRPr="00632224">
        <w:rPr>
          <w:rFonts w:ascii="Century" w:hAnsi="Century" w:cs="FrankRuehl"/>
          <w:spacing w:val="10"/>
          <w:sz w:val="22"/>
          <w:szCs w:val="28"/>
          <w:rtl/>
        </w:rPr>
        <w:t xml:space="preserve"> כא 335</w:t>
      </w:r>
      <w:r w:rsidRPr="00632224">
        <w:rPr>
          <w:rFonts w:ascii="Century" w:hAnsi="Century" w:cs="FrankRuehl" w:hint="cs"/>
          <w:spacing w:val="10"/>
          <w:sz w:val="22"/>
          <w:szCs w:val="28"/>
          <w:rtl/>
        </w:rPr>
        <w:t xml:space="preserve">, 336 </w:t>
      </w:r>
      <w:r w:rsidRPr="00632224">
        <w:rPr>
          <w:rFonts w:cs="FrankRuehl" w:hint="cs"/>
          <w:spacing w:val="10"/>
          <w:sz w:val="24"/>
          <w:szCs w:val="28"/>
          <w:rtl/>
        </w:rPr>
        <w:t>(</w:t>
      </w:r>
      <w:r w:rsidRPr="00632224">
        <w:rPr>
          <w:rFonts w:ascii="Century" w:hAnsi="Century" w:cs="FrankRuehl" w:hint="cs"/>
          <w:spacing w:val="10"/>
          <w:sz w:val="22"/>
          <w:szCs w:val="28"/>
          <w:rtl/>
        </w:rPr>
        <w:t>2020)). בכל המדינות שכוננה בהן חוקה יש מנגנונים שונים לתיקון החוקה "</w:t>
      </w:r>
      <w:r w:rsidRPr="00632224">
        <w:rPr>
          <w:rFonts w:ascii="Century" w:hAnsi="Century" w:cs="FrankRuehl"/>
          <w:spacing w:val="10"/>
          <w:sz w:val="22"/>
          <w:szCs w:val="28"/>
          <w:shd w:val="clear" w:color="auto" w:fill="FFFFFF"/>
          <w:rtl/>
        </w:rPr>
        <w:t>מְדִינָה וּמְדִינָה כִּכְתָבָהּ וְאֶל עַם וָעָם כִּלְשׁוֹנוֹ</w:t>
      </w:r>
      <w:r w:rsidRPr="00632224">
        <w:rPr>
          <w:rFonts w:ascii="Century" w:hAnsi="Century" w:cs="FrankRuehl" w:hint="cs"/>
          <w:spacing w:val="10"/>
          <w:sz w:val="22"/>
          <w:szCs w:val="28"/>
          <w:rtl/>
        </w:rPr>
        <w:t xml:space="preserve">" (מגילת אסתר א, כב), ובין היתר: דרישה לרוב מיוחס; פסקי זמן בין הליכי החקיקה; </w:t>
      </w:r>
      <w:r w:rsidRPr="00632224">
        <w:rPr>
          <w:rFonts w:ascii="Century" w:hAnsi="Century" w:cs="FrankRuehl"/>
          <w:spacing w:val="10"/>
          <w:sz w:val="22"/>
          <w:szCs w:val="28"/>
          <w:rtl/>
        </w:rPr>
        <w:t>קבלת תיקון בחוקה רק לאחר בחירות חדשות</w:t>
      </w:r>
      <w:r w:rsidRPr="00632224">
        <w:rPr>
          <w:rFonts w:ascii="Century" w:hAnsi="Century" w:cs="FrankRuehl" w:hint="cs"/>
          <w:spacing w:val="10"/>
          <w:sz w:val="22"/>
          <w:szCs w:val="28"/>
          <w:rtl/>
        </w:rPr>
        <w:t xml:space="preserve">; משאל עם; </w:t>
      </w:r>
      <w:r w:rsidRPr="00632224">
        <w:rPr>
          <w:rFonts w:ascii="Arial TUR" w:hAnsi="Arial TUR" w:cs="FrankRuehl"/>
          <w:spacing w:val="10"/>
          <w:sz w:val="22"/>
          <w:szCs w:val="28"/>
          <w:rtl/>
        </w:rPr>
        <w:t>הגבלות על תיקון חוקתי לגבי הוראות ספציפיות או נושאים מסוימים</w:t>
      </w:r>
      <w:r w:rsidRPr="00632224">
        <w:rPr>
          <w:rFonts w:ascii="Arial TUR" w:hAnsi="Arial TUR" w:cs="FrankRuehl" w:hint="cs"/>
          <w:spacing w:val="10"/>
          <w:sz w:val="22"/>
          <w:szCs w:val="28"/>
          <w:rtl/>
        </w:rPr>
        <w:t xml:space="preserve"> (</w:t>
      </w:r>
      <w:r w:rsidRPr="00632224">
        <w:rPr>
          <w:rFonts w:ascii="Century" w:hAnsi="Century" w:cs="FrankRuehl" w:hint="cs"/>
          <w:spacing w:val="10"/>
          <w:sz w:val="22"/>
          <w:szCs w:val="28"/>
          <w:rtl/>
        </w:rPr>
        <w:t xml:space="preserve">גבריאל בוקובזה </w:t>
      </w:r>
      <w:r w:rsidRPr="00632224">
        <w:rPr>
          <w:rFonts w:ascii="Century" w:hAnsi="Century" w:cs="Miriam" w:hint="eastAsia"/>
          <w:b/>
          <w:sz w:val="22"/>
          <w:rtl/>
        </w:rPr>
        <w:t>הסדרים</w:t>
      </w:r>
      <w:r w:rsidRPr="00632224">
        <w:rPr>
          <w:rFonts w:ascii="Century" w:hAnsi="Century" w:cs="Miriam"/>
          <w:b/>
          <w:sz w:val="22"/>
          <w:rtl/>
        </w:rPr>
        <w:t xml:space="preserve"> </w:t>
      </w:r>
      <w:r w:rsidRPr="00632224">
        <w:rPr>
          <w:rFonts w:ascii="Century" w:hAnsi="Century" w:cs="Miriam" w:hint="eastAsia"/>
          <w:b/>
          <w:sz w:val="22"/>
          <w:rtl/>
        </w:rPr>
        <w:t>לתיקון</w:t>
      </w:r>
      <w:r w:rsidRPr="00632224">
        <w:rPr>
          <w:rFonts w:ascii="Century" w:hAnsi="Century" w:cs="Miriam"/>
          <w:b/>
          <w:sz w:val="22"/>
          <w:rtl/>
        </w:rPr>
        <w:t xml:space="preserve"> </w:t>
      </w:r>
      <w:r w:rsidRPr="00632224">
        <w:rPr>
          <w:rFonts w:ascii="Century" w:hAnsi="Century" w:cs="Miriam" w:hint="eastAsia"/>
          <w:b/>
          <w:sz w:val="22"/>
          <w:rtl/>
        </w:rPr>
        <w:t>חוקות</w:t>
      </w:r>
      <w:r w:rsidRPr="00632224">
        <w:rPr>
          <w:rFonts w:ascii="Century" w:hAnsi="Century" w:cs="FrankRuehl" w:hint="cs"/>
          <w:spacing w:val="10"/>
          <w:sz w:val="22"/>
          <w:szCs w:val="28"/>
          <w:rtl/>
        </w:rPr>
        <w:t xml:space="preserve"> (הכנסת, מרכז מחקר ומידע 2023); </w:t>
      </w:r>
      <w:r w:rsidRPr="00632224">
        <w:rPr>
          <w:rFonts w:ascii="Arial TUR" w:hAnsi="Arial TUR" w:cs="FrankRuehl"/>
          <w:spacing w:val="10"/>
          <w:sz w:val="22"/>
          <w:szCs w:val="28"/>
          <w:rtl/>
        </w:rPr>
        <w:t>יובל וורגן ודפנה בן-פורת</w:t>
      </w:r>
      <w:r w:rsidRPr="00632224">
        <w:rPr>
          <w:rFonts w:ascii="Century" w:hAnsi="Century" w:cs="FrankRuehl" w:hint="cs"/>
          <w:spacing w:val="10"/>
          <w:sz w:val="22"/>
          <w:szCs w:val="28"/>
          <w:rtl/>
        </w:rPr>
        <w:t xml:space="preserve"> </w:t>
      </w:r>
      <w:r w:rsidRPr="00632224">
        <w:rPr>
          <w:rFonts w:ascii="Century" w:hAnsi="Century" w:cs="Miriam" w:hint="eastAsia"/>
          <w:b/>
          <w:sz w:val="22"/>
          <w:rtl/>
        </w:rPr>
        <w:t>דרכים</w:t>
      </w:r>
      <w:r w:rsidRPr="00632224">
        <w:rPr>
          <w:rFonts w:ascii="Century" w:hAnsi="Century" w:cs="Miriam"/>
          <w:b/>
          <w:sz w:val="22"/>
          <w:rtl/>
        </w:rPr>
        <w:t xml:space="preserve"> </w:t>
      </w:r>
      <w:r w:rsidRPr="00632224">
        <w:rPr>
          <w:rFonts w:ascii="Century" w:hAnsi="Century" w:cs="Miriam" w:hint="eastAsia"/>
          <w:b/>
          <w:sz w:val="22"/>
          <w:rtl/>
        </w:rPr>
        <w:t>לתיקון</w:t>
      </w:r>
      <w:r w:rsidRPr="00632224">
        <w:rPr>
          <w:rFonts w:ascii="Century" w:hAnsi="Century" w:cs="Miriam"/>
          <w:b/>
          <w:sz w:val="22"/>
          <w:rtl/>
        </w:rPr>
        <w:t xml:space="preserve"> </w:t>
      </w:r>
      <w:r w:rsidRPr="00632224">
        <w:rPr>
          <w:rFonts w:ascii="Century" w:hAnsi="Century" w:cs="Miriam" w:hint="eastAsia"/>
          <w:b/>
          <w:sz w:val="22"/>
          <w:rtl/>
        </w:rPr>
        <w:t>חוקה</w:t>
      </w:r>
      <w:r w:rsidRPr="00632224">
        <w:rPr>
          <w:rFonts w:ascii="Century" w:hAnsi="Century" w:cs="FrankRuehl" w:hint="cs"/>
          <w:spacing w:val="10"/>
          <w:sz w:val="22"/>
          <w:szCs w:val="28"/>
          <w:rtl/>
        </w:rPr>
        <w:t xml:space="preserve"> (הכנסת, מרכז מחקר ומידע 2005)). במובן זה, החוקה הישראלית היא גמישה בצורה קיצונית, כמעט חסרת חוליות, </w:t>
      </w:r>
      <w:r w:rsidRPr="00632224">
        <w:rPr>
          <w:rFonts w:ascii="Century" w:hAnsi="Century" w:cs="FrankRuehl" w:hint="eastAsia"/>
          <w:spacing w:val="10"/>
          <w:sz w:val="22"/>
          <w:szCs w:val="28"/>
          <w:rtl/>
        </w:rPr>
        <w:t>באופן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המאפשר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לזכות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באליפות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העולם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בהתעמלות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קרקע</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לחוקות</w:t>
      </w:r>
      <w:r w:rsidRPr="00632224">
        <w:rPr>
          <w:rFonts w:ascii="Century" w:hAnsi="Century" w:cs="FrankRuehl" w:hint="cs"/>
          <w:spacing w:val="10"/>
          <w:sz w:val="22"/>
          <w:szCs w:val="28"/>
          <w:rtl/>
        </w:rPr>
        <w:t xml:space="preserve">. כל עוד לא </w:t>
      </w:r>
      <w:r w:rsidRPr="00632224">
        <w:rPr>
          <w:rFonts w:ascii="Arial TUR" w:hAnsi="Arial TUR" w:cs="FrankRuehl" w:hint="cs"/>
          <w:spacing w:val="10"/>
          <w:sz w:val="22"/>
          <w:szCs w:val="28"/>
          <w:rtl/>
        </w:rPr>
        <w:t xml:space="preserve">נחקק חוק יסוד: החקיקה באופן המסדיר את חקיקת פרקי היסוד של החוקה העתידית של מדינת ישראל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הן בהיבט ההליכי, הן בהיבט המספרי של הרוב הנדרש, והן בהיבט המהותי-תוכני, לכנסת ניתן </w:t>
      </w:r>
      <w:r w:rsidRPr="00632224">
        <w:rPr>
          <w:rFonts w:ascii="Century" w:hAnsi="Century" w:cs="FrankRuehl" w:hint="cs"/>
          <w:spacing w:val="10"/>
          <w:sz w:val="22"/>
          <w:szCs w:val="28"/>
          <w:rtl/>
        </w:rPr>
        <w:t xml:space="preserve">כוח עצום ללא כל מגבלה. כל עוד לא נקבעו כללי המשחק של חקיקת חוקי יסוד, ממילא לא נקבעו כללי המשחק לביקורת שיפוטית על חוקי היסוד. הכנסת, כרשות מכוננת, יכולה הייתה לקבוע תנאים לגבי הדרך לקבלת חוקי יסוד ולתיקונם, אך היא בחרה שלא לעשות כן. העובדה שהכנסת יכולה כיום לכונן ולתקן חוקי יסוד בפרוצדורה של חוק רגיל, היא אנומליה, והיו שראו בכך כובע שלישי שהכנסת חובשת על כובעה, ובשל כך קראו </w:t>
      </w:r>
      <w:r w:rsidRPr="00632224">
        <w:rPr>
          <w:rFonts w:ascii="Arial TUR" w:hAnsi="Arial TUR" w:cs="FrankRuehl"/>
          <w:spacing w:val="10"/>
          <w:sz w:val="22"/>
          <w:szCs w:val="28"/>
          <w:rtl/>
        </w:rPr>
        <w:t>לחוקק את חוק יסו</w:t>
      </w:r>
      <w:r w:rsidRPr="00632224">
        <w:rPr>
          <w:rFonts w:ascii="Arial TUR" w:hAnsi="Arial TUR" w:cs="FrankRuehl" w:hint="cs"/>
          <w:spacing w:val="10"/>
          <w:sz w:val="22"/>
          <w:szCs w:val="28"/>
          <w:rtl/>
        </w:rPr>
        <w:t>ד: החקיקה (</w:t>
      </w:r>
      <w:r w:rsidRPr="00632224">
        <w:rPr>
          <w:rFonts w:ascii="Century" w:hAnsi="Century" w:cs="Miriam" w:hint="eastAsia"/>
          <w:b/>
          <w:sz w:val="22"/>
          <w:rtl/>
        </w:rPr>
        <w:t>קליין</w:t>
      </w:r>
      <w:r w:rsidRPr="00632224">
        <w:rPr>
          <w:rFonts w:ascii="Century" w:hAnsi="Century" w:cs="Miriam"/>
          <w:b/>
          <w:sz w:val="22"/>
          <w:rtl/>
        </w:rPr>
        <w:t xml:space="preserve"> </w:t>
      </w:r>
      <w:r w:rsidRPr="00632224">
        <w:rPr>
          <w:rFonts w:ascii="Century" w:hAnsi="Century" w:cs="Miriam" w:hint="eastAsia"/>
          <w:b/>
          <w:sz w:val="22"/>
          <w:rtl/>
        </w:rPr>
        <w:t>בנק</w:t>
      </w:r>
      <w:r w:rsidRPr="00632224">
        <w:rPr>
          <w:rFonts w:ascii="Century" w:hAnsi="Century" w:cs="Miriam"/>
          <w:b/>
          <w:sz w:val="22"/>
          <w:rtl/>
        </w:rPr>
        <w:t xml:space="preserve"> </w:t>
      </w:r>
      <w:r w:rsidRPr="00632224">
        <w:rPr>
          <w:rFonts w:ascii="Century" w:hAnsi="Century" w:cs="Miriam" w:hint="eastAsia"/>
          <w:b/>
          <w:sz w:val="22"/>
          <w:rtl/>
        </w:rPr>
        <w:t>המזרחי</w:t>
      </w:r>
      <w:r w:rsidRPr="00632224">
        <w:rPr>
          <w:rFonts w:ascii="Century" w:hAnsi="Century" w:cs="FrankRuehl" w:hint="cs"/>
          <w:spacing w:val="10"/>
          <w:sz w:val="22"/>
          <w:szCs w:val="28"/>
          <w:rtl/>
        </w:rPr>
        <w:t>, בעמ' 358)</w:t>
      </w:r>
      <w:r w:rsidRPr="00632224">
        <w:rPr>
          <w:rFonts w:ascii="Arial TUR" w:hAnsi="Arial TUR" w:cs="FrankRuehl" w:hint="cs"/>
          <w:spacing w:val="10"/>
          <w:sz w:val="22"/>
          <w:szCs w:val="28"/>
          <w:rtl/>
        </w:rPr>
        <w:t>. כל עוד לא נחקק חוק יסוד: החקיקה, החוקה בישראל חסרה את אחד היסודות שמכוננים חוקה:</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Century" w:hAnsi="Century" w:cs="FrankRuehl" w:hint="cs"/>
          <w:spacing w:val="10"/>
          <w:sz w:val="22"/>
          <w:szCs w:val="28"/>
          <w:rtl/>
        </w:rPr>
        <w:t>"ח</w:t>
      </w:r>
      <w:r w:rsidRPr="00632224">
        <w:rPr>
          <w:rFonts w:ascii="Century" w:hAnsi="Century" w:cs="FrankRuehl"/>
          <w:spacing w:val="10"/>
          <w:sz w:val="22"/>
          <w:szCs w:val="28"/>
          <w:rtl/>
        </w:rPr>
        <w:t>ו</w:t>
      </w:r>
      <w:r w:rsidRPr="00632224">
        <w:rPr>
          <w:rFonts w:ascii="Century" w:hAnsi="Century" w:cs="FrankRuehl" w:hint="cs"/>
          <w:spacing w:val="10"/>
          <w:sz w:val="22"/>
          <w:szCs w:val="28"/>
          <w:rtl/>
        </w:rPr>
        <w:t>ק</w:t>
      </w:r>
      <w:r w:rsidRPr="00632224">
        <w:rPr>
          <w:rFonts w:ascii="Century" w:hAnsi="Century" w:cs="FrankRuehl"/>
          <w:spacing w:val="10"/>
          <w:sz w:val="22"/>
          <w:szCs w:val="28"/>
          <w:rtl/>
        </w:rPr>
        <w:t>ה מקיימת שני תנאים הכר</w:t>
      </w:r>
      <w:r w:rsidRPr="00632224">
        <w:rPr>
          <w:rFonts w:ascii="Century" w:hAnsi="Century" w:cs="FrankRuehl" w:hint="cs"/>
          <w:spacing w:val="10"/>
          <w:sz w:val="22"/>
          <w:szCs w:val="28"/>
          <w:rtl/>
        </w:rPr>
        <w:t>ח</w:t>
      </w:r>
      <w:r w:rsidRPr="00632224">
        <w:rPr>
          <w:rFonts w:ascii="Century" w:hAnsi="Century" w:cs="FrankRuehl"/>
          <w:spacing w:val="10"/>
          <w:sz w:val="22"/>
          <w:szCs w:val="28"/>
          <w:rtl/>
        </w:rPr>
        <w:t>יים: הראש</w:t>
      </w:r>
      <w:r w:rsidRPr="00632224">
        <w:rPr>
          <w:rFonts w:ascii="Century" w:hAnsi="Century" w:cs="FrankRuehl" w:hint="cs"/>
          <w:spacing w:val="10"/>
          <w:sz w:val="22"/>
          <w:szCs w:val="28"/>
          <w:rtl/>
        </w:rPr>
        <w:t xml:space="preserve">ון </w:t>
      </w:r>
      <w:r w:rsidRPr="00632224">
        <w:rPr>
          <w:rFonts w:ascii="Century" w:hAnsi="Century" w:cs="FrankRuehl"/>
          <w:spacing w:val="10"/>
          <w:sz w:val="22"/>
          <w:szCs w:val="28"/>
          <w:rtl/>
        </w:rPr>
        <w:t>הוא, שכל חוק</w:t>
      </w:r>
      <w:r w:rsidRPr="00632224">
        <w:rPr>
          <w:rFonts w:ascii="Arial TUR" w:hAnsi="Arial TUR" w:cs="FrankRuehl"/>
          <w:spacing w:val="10"/>
          <w:sz w:val="22"/>
          <w:szCs w:val="28"/>
          <w:rtl/>
        </w:rPr>
        <w:t xml:space="preserve"> (או נורמה אחרת במערכת המשפטית) חייב לתאום את קביעות החוקה, ואם אינו עושה כן — הריהו חסר תוקף משפטי. </w:t>
      </w:r>
      <w:r w:rsidRPr="00632224">
        <w:rPr>
          <w:rFonts w:ascii="Century" w:hAnsi="Century" w:cs="Miriam"/>
          <w:b/>
          <w:sz w:val="22"/>
          <w:rtl/>
        </w:rPr>
        <w:t xml:space="preserve">התנאי השני הוא, שכדי לשנות את החוקה (או </w:t>
      </w:r>
      <w:r w:rsidRPr="00632224">
        <w:rPr>
          <w:rFonts w:ascii="Century" w:hAnsi="Century" w:cs="Miriam" w:hint="eastAsia"/>
          <w:b/>
          <w:sz w:val="22"/>
          <w:rtl/>
        </w:rPr>
        <w:t>לגרוע</w:t>
      </w:r>
      <w:r w:rsidRPr="00632224">
        <w:rPr>
          <w:rFonts w:ascii="Century" w:hAnsi="Century" w:cs="Miriam"/>
          <w:b/>
          <w:sz w:val="22"/>
          <w:rtl/>
        </w:rPr>
        <w:t xml:space="preserve"> </w:t>
      </w:r>
      <w:r w:rsidRPr="00632224">
        <w:rPr>
          <w:rFonts w:ascii="Century" w:hAnsi="Century" w:cs="Miriam" w:hint="eastAsia"/>
          <w:b/>
          <w:sz w:val="22"/>
          <w:rtl/>
        </w:rPr>
        <w:t>ממנה</w:t>
      </w:r>
      <w:r w:rsidRPr="00632224">
        <w:rPr>
          <w:rFonts w:ascii="Century" w:hAnsi="Century" w:cs="Miriam"/>
          <w:b/>
          <w:sz w:val="22"/>
          <w:rtl/>
        </w:rPr>
        <w:t xml:space="preserve"> </w:t>
      </w:r>
      <w:r w:rsidRPr="00632224">
        <w:rPr>
          <w:rFonts w:ascii="Century" w:hAnsi="Century" w:cs="Miriam" w:hint="eastAsia"/>
          <w:b/>
          <w:sz w:val="22"/>
          <w:rtl/>
        </w:rPr>
        <w:t>בדרך</w:t>
      </w:r>
      <w:r w:rsidRPr="00632224">
        <w:rPr>
          <w:rFonts w:ascii="Century" w:hAnsi="Century" w:cs="Miriam"/>
          <w:b/>
          <w:sz w:val="22"/>
          <w:rtl/>
        </w:rPr>
        <w:t xml:space="preserve"> </w:t>
      </w:r>
      <w:r w:rsidRPr="00632224">
        <w:rPr>
          <w:rFonts w:ascii="Century" w:hAnsi="Century" w:cs="Miriam" w:hint="eastAsia"/>
          <w:b/>
          <w:sz w:val="22"/>
          <w:rtl/>
        </w:rPr>
        <w:t>אחרת</w:t>
      </w:r>
      <w:r w:rsidRPr="00632224">
        <w:rPr>
          <w:rFonts w:ascii="Century" w:hAnsi="Century" w:cs="Miriam"/>
          <w:b/>
          <w:sz w:val="22"/>
          <w:rtl/>
        </w:rPr>
        <w:t xml:space="preserve">) </w:t>
      </w:r>
      <w:r w:rsidRPr="00632224">
        <w:rPr>
          <w:rFonts w:ascii="Century" w:hAnsi="Century" w:cs="Miriam" w:hint="eastAsia"/>
          <w:b/>
          <w:sz w:val="22"/>
          <w:rtl/>
        </w:rPr>
        <w:t>נדרשת</w:t>
      </w:r>
      <w:r w:rsidRPr="00632224">
        <w:rPr>
          <w:rFonts w:ascii="Century" w:hAnsi="Century" w:cs="Miriam"/>
          <w:b/>
          <w:sz w:val="22"/>
          <w:rtl/>
        </w:rPr>
        <w:t xml:space="preserve"> </w:t>
      </w:r>
      <w:r w:rsidRPr="00632224">
        <w:rPr>
          <w:rFonts w:ascii="Century" w:hAnsi="Century" w:cs="Miriam" w:hint="eastAsia"/>
          <w:b/>
          <w:sz w:val="22"/>
          <w:rtl/>
        </w:rPr>
        <w:t>פרוצדורה</w:t>
      </w:r>
      <w:r w:rsidRPr="00632224">
        <w:rPr>
          <w:rFonts w:ascii="Century" w:hAnsi="Century" w:cs="Miriam"/>
          <w:b/>
          <w:sz w:val="22"/>
          <w:rtl/>
        </w:rPr>
        <w:t xml:space="preserve"> </w:t>
      </w:r>
      <w:r w:rsidRPr="00632224">
        <w:rPr>
          <w:rFonts w:ascii="Century" w:hAnsi="Century" w:cs="Miriam" w:hint="eastAsia"/>
          <w:b/>
          <w:sz w:val="22"/>
          <w:rtl/>
        </w:rPr>
        <w:t>מיוחדת</w:t>
      </w:r>
      <w:r w:rsidRPr="00632224">
        <w:rPr>
          <w:rFonts w:ascii="Century" w:hAnsi="Century" w:cs="Miriam"/>
          <w:b/>
          <w:sz w:val="22"/>
          <w:rtl/>
        </w:rPr>
        <w:t>, השונה</w:t>
      </w:r>
      <w:r w:rsidRPr="00632224">
        <w:rPr>
          <w:rFonts w:ascii="Arial TUR" w:hAnsi="Arial TUR" w:cs="FrankRuehl"/>
          <w:spacing w:val="10"/>
          <w:sz w:val="22"/>
          <w:szCs w:val="28"/>
          <w:rtl/>
        </w:rPr>
        <w:t xml:space="preserve"> </w:t>
      </w:r>
      <w:r w:rsidRPr="00632224">
        <w:rPr>
          <w:rFonts w:ascii="Century" w:hAnsi="Century" w:cs="Miriam"/>
          <w:b/>
          <w:sz w:val="22"/>
          <w:rtl/>
        </w:rPr>
        <w:t>(ובדרך</w:t>
      </w:r>
      <w:r w:rsidRPr="00632224">
        <w:rPr>
          <w:rFonts w:ascii="Century" w:hAnsi="Century" w:cs="Miriam" w:hint="cs"/>
          <w:b/>
          <w:sz w:val="22"/>
          <w:rtl/>
        </w:rPr>
        <w:t>-</w:t>
      </w:r>
      <w:r w:rsidRPr="00632224">
        <w:rPr>
          <w:rFonts w:ascii="Century" w:hAnsi="Century" w:cs="Miriam"/>
          <w:b/>
          <w:sz w:val="22"/>
          <w:rtl/>
        </w:rPr>
        <w:t>כלל תובענית יות</w:t>
      </w:r>
      <w:r w:rsidRPr="00632224">
        <w:rPr>
          <w:rFonts w:ascii="Century" w:hAnsi="Century" w:cs="Miriam" w:hint="eastAsia"/>
          <w:b/>
          <w:sz w:val="22"/>
          <w:rtl/>
        </w:rPr>
        <w:t>ר</w:t>
      </w:r>
      <w:r w:rsidRPr="00632224">
        <w:rPr>
          <w:rFonts w:ascii="Century" w:hAnsi="Century" w:cs="Miriam"/>
          <w:b/>
          <w:sz w:val="22"/>
          <w:rtl/>
        </w:rPr>
        <w:t>)</w:t>
      </w:r>
      <w:r w:rsidRPr="00632224">
        <w:rPr>
          <w:rFonts w:cs="FrankRuehl"/>
          <w:spacing w:val="10"/>
          <w:sz w:val="24"/>
          <w:szCs w:val="28"/>
          <w:rtl/>
        </w:rPr>
        <w:t xml:space="preserve"> </w:t>
      </w:r>
      <w:r w:rsidRPr="00632224">
        <w:rPr>
          <w:rFonts w:ascii="Century" w:hAnsi="Century" w:cs="Miriam"/>
          <w:b/>
          <w:sz w:val="22"/>
          <w:rtl/>
        </w:rPr>
        <w:t>מהפרוצדורה הנדרשת בהליכי חקיקה רגילים</w:t>
      </w:r>
      <w:r w:rsidRPr="00632224">
        <w:rPr>
          <w:rFonts w:ascii="Arial TUR" w:hAnsi="Arial TUR" w:cs="FrankRuehl" w:hint="cs"/>
          <w:spacing w:val="10"/>
          <w:sz w:val="22"/>
          <w:szCs w:val="28"/>
          <w:rtl/>
        </w:rPr>
        <w:t>" (</w:t>
      </w:r>
      <w:r w:rsidRPr="00632224">
        <w:rPr>
          <w:rFonts w:ascii="Century" w:hAnsi="Century" w:cs="Miriam" w:hint="cs"/>
          <w:b/>
          <w:sz w:val="22"/>
          <w:rtl/>
        </w:rPr>
        <w:t>דותן הדיאלוג הקונסטיטוציוני</w:t>
      </w:r>
      <w:r w:rsidRPr="00632224">
        <w:rPr>
          <w:rFonts w:ascii="Century" w:hAnsi="Century" w:cs="FrankRuehl"/>
          <w:spacing w:val="10"/>
          <w:sz w:val="22"/>
          <w:szCs w:val="28"/>
          <w:rtl/>
        </w:rPr>
        <w:t>,</w:t>
      </w:r>
      <w:r w:rsidRPr="00632224">
        <w:rPr>
          <w:rFonts w:ascii="Century" w:hAnsi="Century" w:cs="Miriam" w:hint="cs"/>
          <w:b/>
          <w:sz w:val="22"/>
          <w:rtl/>
        </w:rPr>
        <w:t xml:space="preserve"> </w:t>
      </w:r>
      <w:r w:rsidRPr="00632224">
        <w:rPr>
          <w:rFonts w:ascii="Century" w:hAnsi="Century" w:cs="FrankRuehl" w:hint="cs"/>
          <w:spacing w:val="10"/>
          <w:sz w:val="22"/>
          <w:szCs w:val="28"/>
          <w:rtl/>
        </w:rPr>
        <w:t xml:space="preserve">בעמ' 157, הדגשה הוספה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י"ע).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לכן, דווקא העדרו של חוק יסוד: החקיקה מחייב כי גם חוקי היסוד יהיו נתונים לביקורת שיפוטית. יש בכך גם תשובה לטענת הממשלה כי לא נמצאו שיטות משפט אחרות המאפשרות לבית המשפט לפסול תיקונים חוקתיים מבלי להיסמך על החוקה עצמה. היא הנותנת. </w:t>
      </w:r>
      <w:r w:rsidRPr="00632224">
        <w:rPr>
          <w:rFonts w:ascii="Century" w:hAnsi="Century" w:cs="FrankRuehl" w:hint="eastAsia"/>
          <w:spacing w:val="10"/>
          <w:sz w:val="22"/>
          <w:szCs w:val="28"/>
          <w:rtl/>
        </w:rPr>
        <w:t>מקום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שבו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החוקה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מתווה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הדרך</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לשינוי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הוראותיה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וקובעת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מגבלות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פרוצדורליות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מהותיות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שינוי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החוקה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כפי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שנעשה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בחוקותיהן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מדינות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המשפט</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לפעול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בהתאם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להוראות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אלה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ולהיפך</w:t>
      </w:r>
      <w:r w:rsidRPr="00632224">
        <w:rPr>
          <w:rFonts w:ascii="Century" w:hAnsi="Century" w:cs="FrankRuehl"/>
          <w:spacing w:val="10"/>
          <w:sz w:val="22"/>
          <w:szCs w:val="28"/>
          <w:rtl/>
        </w:rPr>
        <w:t xml:space="preserve"> – </w:t>
      </w:r>
      <w:r w:rsidRPr="00632224">
        <w:rPr>
          <w:rFonts w:ascii="Century" w:hAnsi="Century" w:cs="FrankRuehl" w:hint="eastAsia"/>
          <w:spacing w:val="10"/>
          <w:sz w:val="22"/>
          <w:szCs w:val="28"/>
          <w:rtl/>
        </w:rPr>
        <w:t>כל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עוד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נחקקו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וכל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עוד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נקבעו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מגבלות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כאלה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ואחרות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אין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לשלול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האפשרות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לקיים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ביקורת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שיפוטית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תיקון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חוקתי</w:t>
      </w:r>
      <w:r w:rsidRPr="00632224">
        <w:rPr>
          <w:rFonts w:ascii="Century" w:hAnsi="Century" w:cs="FrankRuehl" w:hint="cs"/>
          <w:spacing w:val="10"/>
          <w:sz w:val="22"/>
          <w:szCs w:val="28"/>
          <w:rtl/>
        </w:rPr>
        <w:t xml:space="preserve">. באנגליה, שם אין חוקה, המשפט </w:t>
      </w:r>
      <w:r w:rsidRPr="00632224">
        <w:rPr>
          <w:rFonts w:ascii="Arial TUR" w:hAnsi="Arial TUR" w:cs="FrankRuehl" w:hint="cs"/>
          <w:spacing w:val="10"/>
          <w:sz w:val="22"/>
          <w:szCs w:val="28"/>
          <w:rtl/>
        </w:rPr>
        <w:t>אינו מכיר כלל בסמכות המכוננת של הפרלמנט,</w:t>
      </w:r>
      <w:r w:rsidRPr="00632224">
        <w:rPr>
          <w:rFonts w:ascii="Century" w:hAnsi="Century" w:cs="FrankRuehl" w:hint="cs"/>
          <w:spacing w:val="10"/>
          <w:sz w:val="22"/>
          <w:szCs w:val="28"/>
          <w:rtl/>
        </w:rPr>
        <w:t xml:space="preserve"> כך שלא ניתן להקיש מהמשפט האנגלי לענייננו</w:t>
      </w:r>
      <w:hyperlink r:id="rId15" w:history="1">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w:t>
        </w:r>
        <w:r w:rsidRPr="00632224">
          <w:rPr>
            <w:rFonts w:ascii="Century" w:hAnsi="Century" w:cs="Miriam"/>
            <w:b/>
            <w:sz w:val="22"/>
            <w:rtl/>
          </w:rPr>
          <w:t>קליין</w:t>
        </w:r>
        <w:r w:rsidRPr="00632224">
          <w:rPr>
            <w:rFonts w:ascii="Century" w:hAnsi="Century" w:cs="Miriam" w:hint="cs"/>
            <w:b/>
            <w:sz w:val="22"/>
            <w:rtl/>
          </w:rPr>
          <w:t xml:space="preserve"> </w:t>
        </w:r>
        <w:r w:rsidRPr="00632224">
          <w:rPr>
            <w:rFonts w:ascii="Century" w:hAnsi="Century" w:cs="Miriam"/>
            <w:b/>
            <w:sz w:val="22"/>
            <w:rtl/>
          </w:rPr>
          <w:t>בנק המזרחי</w:t>
        </w:r>
        <w:r w:rsidRPr="00632224">
          <w:rPr>
            <w:rFonts w:ascii="Century" w:hAnsi="Century" w:cs="FrankRuehl" w:hint="cs"/>
            <w:spacing w:val="10"/>
            <w:sz w:val="22"/>
            <w:szCs w:val="28"/>
            <w:rtl/>
          </w:rPr>
          <w:t>, בעמ'</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345)</w:t>
        </w:r>
      </w:hyperlink>
      <w:r w:rsidRPr="00632224">
        <w:rPr>
          <w:rFonts w:ascii="Century" w:hAnsi="Century" w:cs="FrankRuehl" w:hint="cs"/>
          <w:spacing w:val="10"/>
          <w:sz w:val="22"/>
          <w:szCs w:val="28"/>
          <w:rtl/>
        </w:rPr>
        <w:t xml:space="preserve">. לא למותר לציין כי ב-83% מהחוקות בעולם, יש </w:t>
      </w:r>
      <w:r w:rsidRPr="00632224">
        <w:rPr>
          <w:rFonts w:ascii="Arial TUR" w:hAnsi="Arial TUR" w:cs="FrankRuehl"/>
          <w:spacing w:val="10"/>
          <w:sz w:val="22"/>
          <w:szCs w:val="28"/>
          <w:rtl/>
        </w:rPr>
        <w:t>מנגנון מפורש של ביקורת שיפוטי</w:t>
      </w:r>
      <w:r w:rsidRPr="00632224">
        <w:rPr>
          <w:rFonts w:ascii="Arial TUR" w:hAnsi="Arial TUR" w:cs="FrankRuehl" w:hint="cs"/>
          <w:spacing w:val="10"/>
          <w:sz w:val="22"/>
          <w:szCs w:val="28"/>
          <w:rtl/>
        </w:rPr>
        <w:t>ת, המאפשר ל</w:t>
      </w:r>
      <w:r w:rsidRPr="00632224">
        <w:rPr>
          <w:rFonts w:ascii="Arial TUR" w:hAnsi="Arial TUR" w:cs="FrankRuehl"/>
          <w:spacing w:val="10"/>
          <w:sz w:val="22"/>
          <w:szCs w:val="28"/>
          <w:rtl/>
        </w:rPr>
        <w:t>גופים שיפוטיים להגן על החוקה ועל הוראותיה מפני הפרות</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מצד המחוקק</w:t>
      </w:r>
      <w:r w:rsidRPr="00632224">
        <w:rPr>
          <w:rFonts w:ascii="Century" w:hAnsi="Century" w:cs="FrankRuehl" w:hint="cs"/>
          <w:spacing w:val="10"/>
          <w:sz w:val="22"/>
          <w:szCs w:val="28"/>
          <w:rtl/>
        </w:rPr>
        <w:t xml:space="preserve"> (</w:t>
      </w:r>
      <w:r w:rsidRPr="00632224">
        <w:rPr>
          <w:rFonts w:ascii="Century" w:hAnsi="Century" w:cs="Miriam" w:hint="eastAsia"/>
          <w:b/>
          <w:sz w:val="22"/>
          <w:rtl/>
        </w:rPr>
        <w:t>רוזנאי</w:t>
      </w:r>
      <w:r w:rsidRPr="00632224">
        <w:rPr>
          <w:rFonts w:ascii="Century" w:hAnsi="Century" w:cs="FrankRuehl"/>
          <w:spacing w:val="10"/>
          <w:sz w:val="22"/>
          <w:szCs w:val="28"/>
          <w:rtl/>
        </w:rPr>
        <w:t xml:space="preserve"> </w:t>
      </w:r>
      <w:r w:rsidRPr="00632224">
        <w:rPr>
          <w:rFonts w:ascii="Century" w:hAnsi="Century" w:cs="Miriam"/>
          <w:b/>
          <w:sz w:val="22"/>
          <w:rtl/>
        </w:rPr>
        <w:t>ביקורת חוקתית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בעמ</w:t>
      </w:r>
      <w:r w:rsidRPr="00632224">
        <w:rPr>
          <w:rFonts w:ascii="Century" w:hAnsi="Century" w:cs="FrankRuehl"/>
          <w:spacing w:val="10"/>
          <w:sz w:val="22"/>
          <w:szCs w:val="28"/>
          <w:rtl/>
        </w:rPr>
        <w:t>'</w:t>
      </w:r>
      <w:r w:rsidRPr="00632224">
        <w:rPr>
          <w:rFonts w:ascii="Century" w:hAnsi="Century" w:cs="Miriam"/>
          <w:b/>
          <w:sz w:val="22"/>
          <w:rtl/>
        </w:rPr>
        <w:t xml:space="preserve"> </w:t>
      </w:r>
      <w:r w:rsidRPr="00632224">
        <w:rPr>
          <w:rFonts w:ascii="Century" w:hAnsi="Century" w:cs="FrankRuehl" w:hint="cs"/>
          <w:spacing w:val="10"/>
          <w:sz w:val="22"/>
          <w:szCs w:val="28"/>
          <w:rtl/>
        </w:rPr>
        <w:t>47, 51).</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 xml:space="preserve">31. </w:t>
      </w:r>
      <w:r w:rsidRPr="00632224">
        <w:rPr>
          <w:rFonts w:ascii="Century" w:hAnsi="Century" w:cs="FrankRuehl"/>
          <w:spacing w:val="10"/>
          <w:sz w:val="22"/>
          <w:szCs w:val="28"/>
          <w:rtl/>
        </w:rPr>
        <w:tab/>
      </w:r>
      <w:r w:rsidRPr="00632224">
        <w:rPr>
          <w:rFonts w:ascii="Century" w:hAnsi="Century" w:cs="FrankRuehl" w:hint="cs"/>
          <w:spacing w:val="10"/>
          <w:sz w:val="22"/>
          <w:szCs w:val="28"/>
          <w:rtl/>
        </w:rPr>
        <w:t>יכול הטוען לטעון כי יש בכך "מ</w:t>
      </w:r>
      <w:r w:rsidRPr="00632224">
        <w:rPr>
          <w:rFonts w:ascii="Arial TUR" w:hAnsi="Arial TUR" w:cs="FrankRuehl" w:hint="cs"/>
          <w:spacing w:val="10"/>
          <w:sz w:val="22"/>
          <w:szCs w:val="28"/>
          <w:rtl/>
        </w:rPr>
        <w:t xml:space="preserve">שום היפוך היוצרות: בית המשפט הוא שמתווה את גבולות סמכות החקיקה, במקום שהמחוקק יתווה את גבולות סמכות השיפוט" (דברי השופט </w:t>
      </w:r>
      <w:r w:rsidRPr="00632224">
        <w:rPr>
          <w:rFonts w:ascii="Century" w:hAnsi="Century" w:cs="Miriam" w:hint="cs"/>
          <w:b/>
          <w:sz w:val="22"/>
          <w:rtl/>
        </w:rPr>
        <w:t>אלרון</w:t>
      </w:r>
      <w:r w:rsidRPr="00632224">
        <w:rPr>
          <w:rFonts w:ascii="Arial TUR" w:hAnsi="Arial TUR" w:cs="FrankRuehl" w:hint="cs"/>
          <w:spacing w:val="10"/>
          <w:sz w:val="22"/>
          <w:szCs w:val="28"/>
          <w:rtl/>
        </w:rPr>
        <w:t xml:space="preserve"> בעניין </w:t>
      </w:r>
      <w:r w:rsidRPr="00632224">
        <w:rPr>
          <w:rFonts w:ascii="Century" w:hAnsi="Century" w:cs="Miriam" w:hint="cs"/>
          <w:b/>
          <w:sz w:val="22"/>
          <w:rtl/>
        </w:rPr>
        <w:t>שפיר</w:t>
      </w:r>
      <w:r w:rsidRPr="00632224">
        <w:rPr>
          <w:rFonts w:ascii="Arial TUR" w:hAnsi="Arial TUR" w:cs="FrankRuehl" w:hint="cs"/>
          <w:spacing w:val="10"/>
          <w:sz w:val="22"/>
          <w:szCs w:val="28"/>
          <w:rtl/>
        </w:rPr>
        <w:t xml:space="preserve">, בפסקה 9 לפסק דינו), או לטעון כי בכך מעצב בית המשפט את החוקה שממנה הוא שואב את סמכויותיו (פסקאות 5 ו-7 לפסק דינו של השופט </w:t>
      </w:r>
      <w:r w:rsidRPr="00632224">
        <w:rPr>
          <w:rFonts w:ascii="Century" w:hAnsi="Century" w:cs="Miriam" w:hint="eastAsia"/>
          <w:b/>
          <w:sz w:val="22"/>
          <w:rtl/>
        </w:rPr>
        <w:t>אלרון</w:t>
      </w:r>
      <w:r w:rsidRPr="00632224">
        <w:rPr>
          <w:rFonts w:ascii="Arial TUR" w:hAnsi="Arial TUR" w:cs="FrankRuehl" w:hint="cs"/>
          <w:spacing w:val="10"/>
          <w:sz w:val="22"/>
          <w:szCs w:val="28"/>
          <w:rtl/>
        </w:rPr>
        <w:t xml:space="preserve">). איני סבור כך. כאשר בית המשפט פוסל הוראה </w:t>
      </w:r>
      <w:r w:rsidRPr="00632224">
        <w:rPr>
          <w:rFonts w:ascii="Century" w:hAnsi="Century" w:cs="Miriam" w:hint="cs"/>
          <w:b/>
          <w:sz w:val="22"/>
          <w:rtl/>
        </w:rPr>
        <w:t>ספציפית</w:t>
      </w:r>
      <w:r w:rsidRPr="00632224">
        <w:rPr>
          <w:rFonts w:ascii="Arial TUR" w:hAnsi="Arial TUR" w:cs="FrankRuehl" w:hint="cs"/>
          <w:spacing w:val="10"/>
          <w:sz w:val="22"/>
          <w:szCs w:val="28"/>
          <w:rtl/>
        </w:rPr>
        <w:t xml:space="preserve"> בחוק יסוד, הוא אינו מתיימר בכך לעצב את החוקה או לקבוע מהי הדרך לחקיקת חוקי יסוד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כמה קריאות, מה הרוב הנדרש, מועד התחולה, סוג העניינים שיבואו בגדרי חוקי היסוד וכיוצא בזה. אלה כללי משחק המסורים לסמכותו של המכונן לקבוע, ויש להצר על כך שהמכונן ביכר עד היום שלא לעשות כן. </w:t>
      </w:r>
      <w:r w:rsidRPr="00632224">
        <w:rPr>
          <w:rFonts w:ascii="Century" w:hAnsi="Century" w:cs="FrankRuehl" w:hint="cs"/>
          <w:spacing w:val="10"/>
          <w:sz w:val="22"/>
          <w:szCs w:val="28"/>
          <w:rtl/>
        </w:rPr>
        <w:t xml:space="preserve">חוק יסוד: החקיקה, שטרם בא לעולם, אינו אמור לקבוע את עקרונות היסוד </w:t>
      </w:r>
      <w:r w:rsidRPr="00632224">
        <w:rPr>
          <w:rFonts w:ascii="Century" w:hAnsi="Century" w:cs="Miriam" w:hint="eastAsia"/>
          <w:b/>
          <w:sz w:val="22"/>
          <w:rtl/>
        </w:rPr>
        <w:t>התוכניים</w:t>
      </w:r>
      <w:r w:rsidRPr="00632224">
        <w:rPr>
          <w:rFonts w:ascii="Century" w:hAnsi="Century" w:cs="FrankRuehl" w:hint="cs"/>
          <w:spacing w:val="10"/>
          <w:sz w:val="22"/>
          <w:szCs w:val="28"/>
          <w:rtl/>
        </w:rPr>
        <w:t xml:space="preserve"> של החוקה, אלא את "מערכת ההפעלה" או כללי המשחק לכינונם של חוקי היסוד. הצבת סייג ספציפי לכוחה של הרשות המכוננת במסגרת כללי משחק שטרם נקבעו, אינה שקולה כלל וכלל לקביעת עקרונות היסוד של החוקה, ובוודאי שלא לעיצובה של החוקה. לכן, כאשר בית המשפט מכריז על התיקון לחוק היסוד כבטל, בבחינת "אל תעשה", הוא אינו מסיג את גבולה של הרשות המכוננת בקביעת ערכי היסוד בחוקה העתידית בבחינת "עשה".</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העדרו של חוק יסוד: החקיקה מביא אותנו לנקודה הבאה.</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lastRenderedPageBreak/>
        <w:t>32.</w:t>
      </w:r>
      <w:r w:rsidRPr="00632224">
        <w:rPr>
          <w:rFonts w:ascii="Century" w:hAnsi="Century" w:cs="FrankRuehl"/>
          <w:spacing w:val="10"/>
          <w:sz w:val="22"/>
          <w:szCs w:val="28"/>
          <w:rtl/>
        </w:rPr>
        <w:tab/>
      </w:r>
      <w:r w:rsidRPr="00632224">
        <w:rPr>
          <w:rFonts w:ascii="Century" w:hAnsi="Century" w:cs="Miriam" w:hint="cs"/>
          <w:b/>
          <w:sz w:val="22"/>
          <w:rtl/>
        </w:rPr>
        <w:t>אי השלמת המפעל החוקתי</w:t>
      </w:r>
      <w:r w:rsidRPr="00632224">
        <w:rPr>
          <w:rFonts w:ascii="Century" w:hAnsi="Century" w:cs="Miriam"/>
          <w:b/>
          <w:sz w:val="22"/>
          <w:rtl/>
        </w:rPr>
        <w:t>:</w:t>
      </w:r>
      <w:r w:rsidRPr="00632224">
        <w:rPr>
          <w:rFonts w:ascii="Century" w:hAnsi="Century" w:cs="FrankRuehl" w:hint="cs"/>
          <w:spacing w:val="10"/>
          <w:sz w:val="22"/>
          <w:szCs w:val="28"/>
          <w:rtl/>
        </w:rPr>
        <w:t xml:space="preserve"> חלפו </w:t>
      </w:r>
      <w:r w:rsidRPr="00632224">
        <w:rPr>
          <w:rFonts w:ascii="Arial TUR" w:hAnsi="Arial TUR" w:cs="FrankRuehl"/>
          <w:spacing w:val="10"/>
          <w:sz w:val="22"/>
          <w:szCs w:val="28"/>
          <w:rtl/>
        </w:rPr>
        <w:t xml:space="preserve">שבעה עשורים מאז התקבלה "החלטת הררי", </w:t>
      </w:r>
      <w:r w:rsidRPr="00632224">
        <w:rPr>
          <w:rFonts w:ascii="Arial TUR" w:hAnsi="Arial TUR" w:cs="FrankRuehl" w:hint="cs"/>
          <w:spacing w:val="10"/>
          <w:sz w:val="22"/>
          <w:szCs w:val="28"/>
          <w:rtl/>
        </w:rPr>
        <w:t>ו</w:t>
      </w:r>
      <w:r w:rsidRPr="00632224">
        <w:rPr>
          <w:rFonts w:ascii="Arial TUR" w:hAnsi="Arial TUR" w:cs="FrankRuehl"/>
          <w:spacing w:val="10"/>
          <w:sz w:val="22"/>
          <w:szCs w:val="28"/>
          <w:rtl/>
        </w:rPr>
        <w:t xml:space="preserve">הרשות המכוננת </w:t>
      </w:r>
      <w:r w:rsidRPr="00632224">
        <w:rPr>
          <w:rFonts w:ascii="Arial TUR" w:hAnsi="Arial TUR" w:cs="FrankRuehl" w:hint="cs"/>
          <w:spacing w:val="10"/>
          <w:sz w:val="22"/>
          <w:szCs w:val="28"/>
          <w:rtl/>
        </w:rPr>
        <w:t xml:space="preserve">לא מילאה את תפקידה ולא השלימה את פרוייקט החוקה (וזאת, מעבר לאי חקיקת חוק יסוד: החקיקה).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tabs>
          <w:tab w:val="left" w:pos="800"/>
        </w:tabs>
        <w:spacing w:line="360" w:lineRule="auto"/>
        <w:jc w:val="both"/>
        <w:rPr>
          <w:rFonts w:ascii="Century" w:hAnsi="Century"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בעניין </w:t>
      </w:r>
      <w:r w:rsidRPr="00632224">
        <w:rPr>
          <w:rFonts w:ascii="Century" w:hAnsi="Century" w:cs="Miriam" w:hint="eastAsia"/>
          <w:b/>
          <w:sz w:val="22"/>
          <w:rtl/>
        </w:rPr>
        <w:t>חוק</w:t>
      </w:r>
      <w:r w:rsidRPr="00632224">
        <w:rPr>
          <w:rFonts w:ascii="Century" w:hAnsi="Century" w:cs="Miriam"/>
          <w:b/>
          <w:sz w:val="22"/>
          <w:rtl/>
        </w:rPr>
        <w:t xml:space="preserve"> </w:t>
      </w:r>
      <w:r w:rsidRPr="00632224">
        <w:rPr>
          <w:rFonts w:ascii="Century" w:hAnsi="Century" w:cs="Miriam" w:hint="eastAsia"/>
          <w:b/>
          <w:sz w:val="22"/>
          <w:rtl/>
        </w:rPr>
        <w:t>ההדחה</w:t>
      </w:r>
      <w:r w:rsidRPr="00632224">
        <w:rPr>
          <w:rFonts w:ascii="Arial TUR" w:hAnsi="Arial TUR" w:cs="FrankRuehl"/>
          <w:spacing w:val="10"/>
          <w:sz w:val="22"/>
          <w:szCs w:val="28"/>
          <w:rtl/>
        </w:rPr>
        <w:t xml:space="preserve"> </w:t>
      </w:r>
      <w:r w:rsidRPr="00632224">
        <w:rPr>
          <w:rFonts w:ascii="Century" w:hAnsi="Century" w:cs="FrankRuehl" w:hint="cs"/>
          <w:spacing w:val="10"/>
          <w:sz w:val="22"/>
          <w:szCs w:val="28"/>
          <w:rtl/>
        </w:rPr>
        <w:t xml:space="preserve">אמרה הנשיאה </w:t>
      </w:r>
      <w:r w:rsidRPr="00632224">
        <w:rPr>
          <w:rFonts w:ascii="Century" w:hAnsi="Century" w:cs="Miriam" w:hint="cs"/>
          <w:b/>
          <w:sz w:val="22"/>
          <w:rtl/>
        </w:rPr>
        <w:t>חיות</w:t>
      </w:r>
      <w:r w:rsidRPr="00632224">
        <w:rPr>
          <w:rFonts w:ascii="Century" w:hAnsi="Century" w:cs="FrankRuehl" w:hint="cs"/>
          <w:spacing w:val="10"/>
          <w:sz w:val="22"/>
          <w:szCs w:val="28"/>
          <w:rtl/>
        </w:rPr>
        <w:t xml:space="preserve"> את הדברים הבאים:</w:t>
      </w:r>
    </w:p>
    <w:p w:rsidR="00244560" w:rsidRPr="00632224" w:rsidRDefault="00244560" w:rsidP="00244560">
      <w:pPr>
        <w:keepNext/>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spacing w:val="10"/>
          <w:sz w:val="22"/>
          <w:szCs w:val="28"/>
          <w:rtl/>
        </w:rPr>
        <w:t>"</w:t>
      </w:r>
      <w:r w:rsidRPr="00632224">
        <w:rPr>
          <w:rFonts w:ascii="Arial TUR" w:hAnsi="Arial TUR" w:cs="FrankRuehl" w:hint="eastAsia"/>
          <w:spacing w:val="10"/>
          <w:sz w:val="22"/>
          <w:szCs w:val="28"/>
          <w:rtl/>
        </w:rPr>
        <w:t>לעת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הזו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ובהינתן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השלב</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שבו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מצוי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מפעל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החוקה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הישראלי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כמשימה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שטרם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הושלמה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ובפרט</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משלא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נקבעו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ההליכים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לכינון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ולתיקון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חוקי</w:t>
      </w:r>
      <w:r w:rsidRPr="00632224">
        <w:rPr>
          <w:rFonts w:ascii="Arial TUR" w:hAnsi="Arial TUR" w:cs="FrankRuehl"/>
          <w:spacing w:val="10"/>
          <w:sz w:val="22"/>
          <w:szCs w:val="28"/>
          <w:rtl/>
        </w:rPr>
        <w:t>-</w:t>
      </w:r>
      <w:r w:rsidRPr="00632224">
        <w:rPr>
          <w:rFonts w:ascii="Arial TUR" w:hAnsi="Arial TUR" w:cs="FrankRuehl" w:hint="eastAsia"/>
          <w:spacing w:val="10"/>
          <w:sz w:val="22"/>
          <w:szCs w:val="28"/>
          <w:rtl/>
        </w:rPr>
        <w:t>יסוד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יש</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בעייתיות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מבוטלת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באימוץ</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דוקטרינה</w:t>
      </w:r>
      <w:r w:rsidRPr="00632224">
        <w:rPr>
          <w:rFonts w:ascii="Arial TUR" w:hAnsi="Arial TUR" w:cs="FrankRuehl"/>
          <w:spacing w:val="10"/>
          <w:sz w:val="22"/>
          <w:szCs w:val="28"/>
          <w:rtl/>
        </w:rPr>
        <w:t xml:space="preserve"> </w:t>
      </w:r>
      <w:r w:rsidRPr="00632224">
        <w:rPr>
          <w:rFonts w:ascii="Century" w:hAnsi="Century" w:cs="FrankRuehl" w:hint="eastAsia"/>
          <w:spacing w:val="10"/>
          <w:sz w:val="22"/>
          <w:szCs w:val="28"/>
          <w:rtl/>
        </w:rPr>
        <w:t>מקיפה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הנוגעת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לתיקון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חוקתי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שאינו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חוקתי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דוגמת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הדוקטרינות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הנוהגות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במשפט</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המשווה</w:t>
      </w:r>
      <w:r w:rsidRPr="00632224">
        <w:rPr>
          <w:rFonts w:ascii="Arial TUR" w:hAnsi="Arial TUR" w:cs="FrankRuehl"/>
          <w:spacing w:val="10"/>
          <w:sz w:val="22"/>
          <w:szCs w:val="28"/>
          <w:rtl/>
        </w:rPr>
        <w:t>" (</w:t>
      </w:r>
      <w:r w:rsidRPr="00632224">
        <w:rPr>
          <w:rFonts w:ascii="Century" w:hAnsi="Century" w:cs="Miriam" w:hint="eastAsia"/>
          <w:b/>
          <w:sz w:val="22"/>
          <w:rtl/>
        </w:rPr>
        <w:t>שם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בפסקה</w:t>
      </w:r>
      <w:r w:rsidRPr="00632224">
        <w:rPr>
          <w:rFonts w:ascii="Arial TUR" w:hAnsi="Arial TUR" w:cs="FrankRuehl"/>
          <w:spacing w:val="10"/>
          <w:sz w:val="22"/>
          <w:szCs w:val="28"/>
          <w:rtl/>
        </w:rPr>
        <w:t xml:space="preserve"> 25 </w:t>
      </w:r>
      <w:r w:rsidRPr="00632224">
        <w:rPr>
          <w:rFonts w:ascii="Arial TUR" w:hAnsi="Arial TUR" w:cs="FrankRuehl" w:hint="eastAsia"/>
          <w:spacing w:val="10"/>
          <w:sz w:val="22"/>
          <w:szCs w:val="28"/>
          <w:rtl/>
        </w:rPr>
        <w:t>ל</w:t>
      </w:r>
      <w:r w:rsidRPr="00632224">
        <w:rPr>
          <w:rFonts w:ascii="Arial TUR" w:hAnsi="Arial TUR" w:cs="FrankRuehl" w:hint="cs"/>
          <w:spacing w:val="10"/>
          <w:sz w:val="22"/>
          <w:szCs w:val="28"/>
          <w:rtl/>
        </w:rPr>
        <w:t xml:space="preserve">פסק דינה; על כך חזרה הנשיאה חיות בעניין </w:t>
      </w:r>
      <w:r w:rsidRPr="00632224">
        <w:rPr>
          <w:rFonts w:ascii="Century" w:hAnsi="Century" w:cs="Miriam" w:hint="cs"/>
          <w:b/>
          <w:sz w:val="22"/>
          <w:rtl/>
        </w:rPr>
        <w:t>חוק הלאום</w:t>
      </w:r>
      <w:r w:rsidRPr="00632224">
        <w:rPr>
          <w:rFonts w:ascii="Arial TUR" w:hAnsi="Arial TUR" w:cs="FrankRuehl" w:hint="cs"/>
          <w:spacing w:val="10"/>
          <w:sz w:val="22"/>
          <w:szCs w:val="28"/>
          <w:rtl/>
        </w:rPr>
        <w:t>, בפסקה 15 לפסק דינה</w:t>
      </w:r>
      <w:r w:rsidRPr="00632224">
        <w:rPr>
          <w:rFonts w:ascii="Arial TUR" w:hAnsi="Arial TUR" w:cs="FrankRuehl"/>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לדעה זו הצטרף השופט </w:t>
      </w:r>
      <w:r w:rsidRPr="00632224">
        <w:rPr>
          <w:rFonts w:ascii="Century" w:hAnsi="Century" w:cs="Miriam" w:hint="eastAsia"/>
          <w:b/>
          <w:sz w:val="22"/>
          <w:rtl/>
        </w:rPr>
        <w:t>מזוז</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 xml:space="preserve">בעניין </w:t>
      </w:r>
      <w:r w:rsidRPr="00632224">
        <w:rPr>
          <w:rFonts w:ascii="Century" w:hAnsi="Century" w:cs="Miriam" w:hint="cs"/>
          <w:b/>
          <w:sz w:val="22"/>
          <w:rtl/>
        </w:rPr>
        <w:t>חוק הלאום</w:t>
      </w:r>
      <w:r w:rsidRPr="00632224">
        <w:rPr>
          <w:rFonts w:ascii="Century" w:hAnsi="Century" w:cs="FrankRuehl" w:hint="cs"/>
          <w:spacing w:val="10"/>
          <w:sz w:val="22"/>
          <w:szCs w:val="28"/>
          <w:rtl/>
        </w:rPr>
        <w:t xml:space="preserve">, בפסקה 2 לפסק דינו (לדעה דומה ראו </w:t>
      </w:r>
      <w:r w:rsidRPr="00632224">
        <w:rPr>
          <w:rFonts w:ascii="Century" w:hAnsi="Century" w:cs="Miriam" w:hint="eastAsia"/>
          <w:b/>
          <w:sz w:val="22"/>
          <w:rtl/>
        </w:rPr>
        <w:t>ברק</w:t>
      </w:r>
      <w:r w:rsidRPr="00632224">
        <w:rPr>
          <w:rFonts w:ascii="Century" w:hAnsi="Century" w:cs="Miriam"/>
          <w:b/>
          <w:sz w:val="22"/>
          <w:rtl/>
        </w:rPr>
        <w:t xml:space="preserve"> </w:t>
      </w:r>
      <w:r w:rsidRPr="00632224">
        <w:rPr>
          <w:rFonts w:ascii="Century" w:hAnsi="Century" w:cs="Miriam" w:hint="eastAsia"/>
          <w:b/>
          <w:sz w:val="22"/>
          <w:rtl/>
        </w:rPr>
        <w:t>הסמכות</w:t>
      </w:r>
      <w:r w:rsidRPr="00632224">
        <w:rPr>
          <w:rFonts w:ascii="Century" w:hAnsi="Century" w:cs="Miriam"/>
          <w:b/>
          <w:sz w:val="22"/>
          <w:rtl/>
        </w:rPr>
        <w:t xml:space="preserve"> </w:t>
      </w:r>
      <w:r w:rsidRPr="00632224">
        <w:rPr>
          <w:rFonts w:ascii="Century" w:hAnsi="Century" w:cs="Miriam" w:hint="eastAsia"/>
          <w:b/>
          <w:sz w:val="22"/>
          <w:rtl/>
        </w:rPr>
        <w:t>המכוננת</w:t>
      </w:r>
      <w:r w:rsidRPr="00632224">
        <w:rPr>
          <w:rFonts w:ascii="Century" w:hAnsi="Century" w:cs="FrankRuehl" w:hint="cs"/>
          <w:spacing w:val="10"/>
          <w:sz w:val="22"/>
          <w:szCs w:val="28"/>
          <w:rtl/>
        </w:rPr>
        <w:t>, בעמ'</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138-137).</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33.</w:t>
      </w:r>
      <w:r w:rsidRPr="00632224">
        <w:rPr>
          <w:rFonts w:ascii="Century" w:hAnsi="Century" w:cs="FrankRuehl" w:hint="cs"/>
          <w:spacing w:val="10"/>
          <w:sz w:val="22"/>
          <w:szCs w:val="28"/>
          <w:rtl/>
        </w:rPr>
        <w:tab/>
        <w:t xml:space="preserve">דעתי שונה. לטעמי, דווקא מאחר שהחוקה טרם הושלמה ואף לא נקבעו כללי המשחק לכינונה של החוקה, הדבר מחייב ביקורת שיפוטית על חוקי היסוד, שמא אף הנמכת רף ההתערבות השיפוטית. </w:t>
      </w:r>
      <w:r w:rsidRPr="00632224">
        <w:rPr>
          <w:rFonts w:ascii="Arial TUR" w:hAnsi="Arial TUR" w:cs="FrankRuehl" w:hint="cs"/>
          <w:spacing w:val="10"/>
          <w:sz w:val="22"/>
          <w:szCs w:val="28"/>
          <w:rtl/>
        </w:rPr>
        <w:t>שאם נקבל את הדעה כי אי השלמת המפעל החוקתי מקשה על החלת ביקורת שיפוטית על חוקי היסוד, יש בכך תמריץ לכנסת ולממשלה שלא להשלים את המפעל החוקתי: "</w:t>
      </w:r>
      <w:r w:rsidRPr="00632224">
        <w:rPr>
          <w:rFonts w:ascii="Arial TUR" w:hAnsi="Arial TUR" w:cs="FrankRuehl" w:hint="cs"/>
          <w:spacing w:val="10"/>
          <w:sz w:val="28"/>
          <w:szCs w:val="28"/>
          <w:rtl/>
        </w:rPr>
        <w:t xml:space="preserve">לא יתכן שדווקא העדר הסדרה יוביל לכך שהנושא יחמוק מביקורת. אין לאפשר למחדל, להפוך למפלט ולמקלט" (עניין </w:t>
      </w:r>
      <w:r w:rsidRPr="00632224">
        <w:rPr>
          <w:rFonts w:ascii="Century" w:hAnsi="Century" w:cs="Miriam" w:hint="eastAsia"/>
          <w:b/>
          <w:sz w:val="22"/>
          <w:rtl/>
        </w:rPr>
        <w:t>קוונטינסקי</w:t>
      </w:r>
      <w:r w:rsidRPr="00632224">
        <w:rPr>
          <w:rFonts w:ascii="Arial TUR" w:hAnsi="Arial TUR" w:cs="FrankRuehl" w:hint="cs"/>
          <w:spacing w:val="10"/>
          <w:sz w:val="28"/>
          <w:szCs w:val="28"/>
          <w:rtl/>
        </w:rPr>
        <w:t xml:space="preserve">, בפסקה 55 לפסק דינו של השופט </w:t>
      </w:r>
      <w:r w:rsidRPr="00632224">
        <w:rPr>
          <w:rFonts w:ascii="Century" w:hAnsi="Century" w:cs="Miriam" w:hint="cs"/>
          <w:b/>
          <w:sz w:val="22"/>
          <w:rtl/>
        </w:rPr>
        <w:t>סולברג</w:t>
      </w:r>
      <w:r w:rsidRPr="00632224">
        <w:rPr>
          <w:rFonts w:ascii="Arial TUR" w:hAnsi="Arial TUR" w:cs="FrankRuehl" w:hint="cs"/>
          <w:spacing w:val="10"/>
          <w:sz w:val="28"/>
          <w:szCs w:val="28"/>
          <w:rtl/>
        </w:rPr>
        <w:t>).</w:t>
      </w:r>
      <w:r w:rsidRPr="00632224">
        <w:rPr>
          <w:rFonts w:ascii="Arial TUR" w:hAnsi="Arial TUR" w:cs="FrankRuehl" w:hint="cs"/>
          <w:spacing w:val="10"/>
          <w:sz w:val="22"/>
          <w:szCs w:val="28"/>
          <w:rtl/>
        </w:rPr>
        <w:t xml:space="preserve"> אדרבה, אם וכאשר יושלם המפעל החוקתי וייקבע </w:t>
      </w:r>
      <w:r w:rsidRPr="00632224">
        <w:rPr>
          <w:rFonts w:ascii="Century" w:hAnsi="Century" w:cs="FrankRuehl" w:hint="eastAsia"/>
          <w:spacing w:val="10"/>
          <w:sz w:val="22"/>
          <w:szCs w:val="28"/>
          <w:rtl/>
        </w:rPr>
        <w:t>מתווה</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 xml:space="preserve">ייחודי נוקשה, כללי, ויציב </w:t>
      </w:r>
      <w:r w:rsidRPr="00632224">
        <w:rPr>
          <w:rFonts w:ascii="Century" w:hAnsi="Century" w:cs="FrankRuehl" w:hint="eastAsia"/>
          <w:spacing w:val="10"/>
          <w:sz w:val="22"/>
          <w:szCs w:val="28"/>
          <w:rtl/>
        </w:rPr>
        <w:t>לחקיקת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חוקי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יסוד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w:t>
      </w:r>
      <w:r w:rsidRPr="00632224">
        <w:rPr>
          <w:rFonts w:ascii="Century" w:hAnsi="Century" w:cs="FrankRuehl" w:hint="cs"/>
          <w:spacing w:val="10"/>
          <w:sz w:val="22"/>
          <w:szCs w:val="28"/>
          <w:rtl/>
        </w:rPr>
        <w:t>ל</w:t>
      </w:r>
      <w:r w:rsidRPr="00632224">
        <w:rPr>
          <w:rFonts w:ascii="Century" w:hAnsi="Century" w:cs="FrankRuehl" w:hint="eastAsia"/>
          <w:spacing w:val="10"/>
          <w:sz w:val="22"/>
          <w:szCs w:val="28"/>
          <w:rtl/>
        </w:rPr>
        <w:t>תיקונם</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 xml:space="preserve">או-אז יש לנקוט בגישה מצמצמת להחלת הדוקטרינה של </w:t>
      </w:r>
      <w:r w:rsidRPr="00632224">
        <w:rPr>
          <w:rFonts w:ascii="Arial TUR" w:hAnsi="Arial TUR" w:cs="FrankRuehl" w:hint="cs"/>
          <w:spacing w:val="10"/>
          <w:sz w:val="22"/>
          <w:szCs w:val="28"/>
          <w:rtl/>
        </w:rPr>
        <w:t>ה</w:t>
      </w:r>
      <w:r w:rsidRPr="00632224">
        <w:rPr>
          <w:rFonts w:ascii="Arial TUR" w:hAnsi="Arial TUR" w:cs="FrankRuehl" w:hint="eastAsia"/>
          <w:spacing w:val="10"/>
          <w:sz w:val="22"/>
          <w:szCs w:val="28"/>
          <w:rtl/>
        </w:rPr>
        <w:t>תיקון</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ה</w:t>
      </w:r>
      <w:r w:rsidRPr="00632224">
        <w:rPr>
          <w:rFonts w:ascii="Arial TUR" w:hAnsi="Arial TUR" w:cs="FrankRuehl" w:hint="eastAsia"/>
          <w:spacing w:val="10"/>
          <w:sz w:val="22"/>
          <w:szCs w:val="28"/>
          <w:rtl/>
        </w:rPr>
        <w:t>חוקתי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שאינו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חוקתי</w:t>
      </w:r>
      <w:r w:rsidRPr="00632224">
        <w:rPr>
          <w:rFonts w:ascii="Century" w:hAnsi="Century" w:cs="FrankRuehl" w:hint="cs"/>
          <w:spacing w:val="10"/>
          <w:sz w:val="22"/>
          <w:szCs w:val="28"/>
          <w:rtl/>
        </w:rPr>
        <w:t xml:space="preserve">. דעה דומה הביעו חבריי השופטת </w:t>
      </w:r>
      <w:r w:rsidRPr="00632224">
        <w:rPr>
          <w:rFonts w:ascii="Arial TUR" w:hAnsi="Arial TUR" w:cs="Miriam" w:hint="eastAsia"/>
          <w:b/>
          <w:sz w:val="22"/>
          <w:rtl/>
        </w:rPr>
        <w:t>ברון</w:t>
      </w:r>
      <w:r w:rsidRPr="00632224">
        <w:rPr>
          <w:rFonts w:ascii="Century" w:hAnsi="Century" w:cs="FrankRuehl" w:hint="cs"/>
          <w:spacing w:val="10"/>
          <w:sz w:val="22"/>
          <w:szCs w:val="28"/>
          <w:rtl/>
        </w:rPr>
        <w:t xml:space="preserve"> והשופט </w:t>
      </w:r>
      <w:r w:rsidRPr="00632224">
        <w:rPr>
          <w:rFonts w:ascii="Arial TUR" w:hAnsi="Arial TUR" w:cs="Miriam" w:hint="eastAsia"/>
          <w:b/>
          <w:sz w:val="22"/>
          <w:rtl/>
        </w:rPr>
        <w:t>קרא</w:t>
      </w:r>
      <w:r w:rsidRPr="00632224">
        <w:rPr>
          <w:rFonts w:ascii="Century" w:hAnsi="Century" w:cs="FrankRuehl" w:hint="cs"/>
          <w:spacing w:val="10"/>
          <w:sz w:val="22"/>
          <w:szCs w:val="28"/>
          <w:rtl/>
        </w:rPr>
        <w:t xml:space="preserve"> בעניין </w:t>
      </w:r>
      <w:r w:rsidRPr="00632224">
        <w:rPr>
          <w:rFonts w:ascii="Century" w:hAnsi="Century" w:cs="Miriam" w:hint="cs"/>
          <w:b/>
          <w:sz w:val="22"/>
          <w:rtl/>
        </w:rPr>
        <w:t xml:space="preserve">חוק הלאום </w:t>
      </w:r>
      <w:r w:rsidRPr="00632224">
        <w:rPr>
          <w:rFonts w:ascii="Century" w:hAnsi="Century" w:cs="FrankRuehl" w:hint="cs"/>
          <w:spacing w:val="10"/>
          <w:sz w:val="22"/>
          <w:szCs w:val="28"/>
          <w:rtl/>
        </w:rPr>
        <w:t>(פסקאות 2 ו-9 לפסקי דינם, בהתאמה)</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34.</w:t>
      </w:r>
      <w:r w:rsidRPr="00632224">
        <w:rPr>
          <w:rFonts w:ascii="Century" w:hAnsi="Century" w:cs="Miriam"/>
          <w:b/>
          <w:sz w:val="22"/>
          <w:rtl/>
        </w:rPr>
        <w:tab/>
      </w:r>
      <w:r w:rsidRPr="00632224">
        <w:rPr>
          <w:rFonts w:ascii="Century" w:hAnsi="Century" w:cs="Miriam" w:hint="cs"/>
          <w:b/>
          <w:sz w:val="22"/>
          <w:rtl/>
        </w:rPr>
        <w:t>פגיעה בזכויות אדם</w:t>
      </w:r>
      <w:r w:rsidRPr="00632224">
        <w:rPr>
          <w:rFonts w:ascii="Century" w:hAnsi="Century" w:cs="Miriam"/>
          <w:b/>
          <w:sz w:val="22"/>
          <w:rtl/>
        </w:rPr>
        <w:t>:</w:t>
      </w:r>
      <w:r w:rsidRPr="00632224">
        <w:rPr>
          <w:rFonts w:ascii="Century" w:hAnsi="Century" w:cs="FrankRuehl" w:hint="cs"/>
          <w:spacing w:val="10"/>
          <w:sz w:val="22"/>
          <w:szCs w:val="28"/>
          <w:rtl/>
        </w:rPr>
        <w:t xml:space="preserve"> ולבסוף, ולא אחרון בסדר חשיבותו, סיבת כל הסיבות לכיבוד החוקה ולמעמדה החוקתי העל-חוקתי הוא שהחוקה נועדה לשריין את זכויות האדם והאזרח: </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Century" w:hAnsi="Century" w:cs="FrankRuehl" w:hint="cs"/>
          <w:spacing w:val="10"/>
          <w:sz w:val="22"/>
          <w:szCs w:val="28"/>
          <w:rtl/>
        </w:rPr>
        <w:t>"</w:t>
      </w:r>
      <w:r w:rsidRPr="00632224">
        <w:rPr>
          <w:rFonts w:ascii="Century" w:hAnsi="Century" w:cs="FrankRuehl"/>
          <w:spacing w:val="10"/>
          <w:sz w:val="22"/>
          <w:szCs w:val="28"/>
          <w:rtl/>
        </w:rPr>
        <w:t>דמוקרטיה אמיתית מכירה בכוחה של חוקה</w:t>
      </w:r>
      <w:r w:rsidRPr="00632224">
        <w:rPr>
          <w:rFonts w:cs="FrankRuehl"/>
          <w:spacing w:val="10"/>
          <w:sz w:val="24"/>
          <w:szCs w:val="28"/>
          <w:rtl/>
        </w:rPr>
        <w:t xml:space="preserve"> - </w:t>
      </w:r>
      <w:r w:rsidRPr="00632224">
        <w:rPr>
          <w:rFonts w:ascii="Century" w:hAnsi="Century" w:cs="FrankRuehl"/>
          <w:spacing w:val="10"/>
          <w:sz w:val="22"/>
          <w:szCs w:val="28"/>
          <w:rtl/>
        </w:rPr>
        <w:t>פרי הסמכות המכוננת – לשריין את ערכי היסוד של השיטה ואת זכויות האדם הבסיסיות, בפני כוחו של הרוב. הגבלה כזו על עקרון שלטון הרוב אינה פוגעת בדמוקרטיה, אלא היא מהווה את הגשמתה במלוא</w:t>
      </w:r>
      <w:r w:rsidRPr="00632224">
        <w:rPr>
          <w:rFonts w:ascii="Century" w:hAnsi="Century" w:cs="FrankRuehl" w:hint="cs"/>
          <w:spacing w:val="10"/>
          <w:sz w:val="22"/>
          <w:szCs w:val="28"/>
          <w:rtl/>
        </w:rPr>
        <w:t>ה.</w:t>
      </w:r>
      <w:r w:rsidRPr="00632224">
        <w:rPr>
          <w:rFonts w:cs="FrankRuehl"/>
          <w:spacing w:val="10"/>
          <w:sz w:val="24"/>
          <w:szCs w:val="28"/>
          <w:rtl/>
        </w:rPr>
        <w:t xml:space="preserve"> </w:t>
      </w: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 xml:space="preserve">בענייני חוקה </w:t>
      </w:r>
      <w:r w:rsidRPr="00632224">
        <w:rPr>
          <w:rFonts w:ascii="Century" w:hAnsi="Century" w:cs="FrankRuehl"/>
          <w:spacing w:val="10"/>
          <w:sz w:val="22"/>
          <w:szCs w:val="28"/>
          <w:rtl/>
        </w:rPr>
        <w:lastRenderedPageBreak/>
        <w:t>וזכויות אדם חוקתיות</w:t>
      </w: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 מתן כוח לרוב לפגוע בזכויות המיעוט הוא מעשה בלתי דמוקרטי. ההגנה על זכויות הפרט והמיעוט ועל ערכי היסוד של המבנה המשפטי מפני כוחו של הרוב, היא המעשה הדמוקרטי</w:t>
      </w:r>
      <w:r w:rsidRPr="00632224">
        <w:rPr>
          <w:rFonts w:ascii="Century" w:hAnsi="Century" w:cs="FrankRuehl" w:hint="cs"/>
          <w:spacing w:val="10"/>
          <w:sz w:val="22"/>
          <w:szCs w:val="28"/>
          <w:rtl/>
        </w:rPr>
        <w:t>" (הנשיא</w:t>
      </w:r>
      <w:r w:rsidRPr="00632224">
        <w:rPr>
          <w:rFonts w:ascii="Century" w:hAnsi="Century" w:cs="Miriam" w:hint="cs"/>
          <w:b/>
          <w:sz w:val="22"/>
          <w:rtl/>
        </w:rPr>
        <w:t xml:space="preserve"> ברק</w:t>
      </w:r>
      <w:r w:rsidRPr="00632224">
        <w:rPr>
          <w:rFonts w:ascii="Century" w:hAnsi="Century" w:cs="FrankRuehl" w:hint="cs"/>
          <w:spacing w:val="10"/>
          <w:sz w:val="22"/>
          <w:szCs w:val="28"/>
          <w:rtl/>
        </w:rPr>
        <w:t xml:space="preserve"> בעניין </w:t>
      </w:r>
      <w:r w:rsidRPr="00632224">
        <w:rPr>
          <w:rFonts w:ascii="Century" w:hAnsi="Century" w:cs="Miriam" w:hint="cs"/>
          <w:b/>
          <w:sz w:val="22"/>
          <w:rtl/>
        </w:rPr>
        <w:t>בנק המזרחי</w:t>
      </w:r>
      <w:r w:rsidRPr="00632224">
        <w:rPr>
          <w:rFonts w:ascii="Century" w:hAnsi="Century" w:cs="FrankRuehl" w:hint="cs"/>
          <w:spacing w:val="10"/>
          <w:sz w:val="22"/>
          <w:szCs w:val="28"/>
          <w:rtl/>
        </w:rPr>
        <w:t xml:space="preserve">, בעמ' 398-397). </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כאשר החוקה עושה ההיפך, פוגעת בזכויות האדם, מגבילה את זכות הגישה לערכאות ומציבה את הממשלה מעל החוק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ועל כך אעמוד בהמשך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כך הנטייה להתערבות שיפוטית גדולה יותר.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35.</w:t>
      </w:r>
      <w:r w:rsidRPr="00632224">
        <w:rPr>
          <w:rFonts w:ascii="Century" w:hAnsi="Century" w:cs="FrankRuehl" w:hint="cs"/>
          <w:spacing w:val="10"/>
          <w:sz w:val="22"/>
          <w:szCs w:val="28"/>
          <w:rtl/>
        </w:rPr>
        <w:tab/>
      </w:r>
      <w:r w:rsidRPr="00632224">
        <w:rPr>
          <w:rFonts w:ascii="Arial TUR" w:hAnsi="Arial TUR" w:cs="Miriam" w:hint="eastAsia"/>
          <w:b/>
          <w:sz w:val="22"/>
          <w:rtl/>
        </w:rPr>
        <w:t>סי</w:t>
      </w:r>
      <w:r w:rsidRPr="00632224">
        <w:rPr>
          <w:rFonts w:ascii="Century" w:hAnsi="Century" w:cs="Miriam" w:hint="cs"/>
          <w:b/>
          <w:sz w:val="22"/>
          <w:rtl/>
        </w:rPr>
        <w:t>כום ביניים</w:t>
      </w:r>
      <w:r w:rsidRPr="00632224">
        <w:rPr>
          <w:rFonts w:ascii="Century" w:hAnsi="Century" w:cs="Miriam"/>
          <w:b/>
          <w:sz w:val="22"/>
          <w:rtl/>
        </w:rPr>
        <w:t>:</w:t>
      </w:r>
      <w:r w:rsidRPr="00632224">
        <w:rPr>
          <w:rFonts w:ascii="Arial TUR" w:hAnsi="Arial TUR" w:cs="FrankRuehl" w:hint="cs"/>
          <w:spacing w:val="10"/>
          <w:sz w:val="22"/>
          <w:szCs w:val="28"/>
          <w:rtl/>
        </w:rPr>
        <w:t xml:space="preserve"> </w:t>
      </w:r>
      <w:r w:rsidRPr="00632224">
        <w:rPr>
          <w:rFonts w:ascii="Century" w:hAnsi="Century" w:cs="FrankRuehl" w:hint="cs"/>
          <w:spacing w:val="10"/>
          <w:sz w:val="22"/>
          <w:szCs w:val="28"/>
          <w:rtl/>
        </w:rPr>
        <w:t xml:space="preserve">הקלות הבלתי נסבלת של מנגנון התיקון החוקתי בישראל, הביאה לזילות של חוקי היסוד, שחברי הקואליציה לשים אותם כפלסטלינה לצרכיהם בתכיפות גוברת והולכת </w:t>
      </w:r>
      <w:r w:rsidRPr="00632224">
        <w:rPr>
          <w:rFonts w:ascii="Century" w:hAnsi="Century" w:cs="FrankRuehl"/>
          <w:spacing w:val="10"/>
          <w:sz w:val="22"/>
          <w:szCs w:val="28"/>
          <w:rtl/>
        </w:rPr>
        <w:t>(</w:t>
      </w:r>
      <w:r w:rsidRPr="00632224">
        <w:rPr>
          <w:rFonts w:ascii="Century" w:hAnsi="Century" w:cs="Miriam" w:hint="eastAsia"/>
          <w:b/>
          <w:sz w:val="22"/>
          <w:rtl/>
        </w:rPr>
        <w:t>בנדור</w:t>
      </w:r>
      <w:r w:rsidRPr="00632224">
        <w:rPr>
          <w:rFonts w:ascii="Century" w:hAnsi="Century" w:cs="FrankRuehl"/>
          <w:spacing w:val="10"/>
          <w:sz w:val="22"/>
          <w:szCs w:val="28"/>
          <w:rtl/>
        </w:rPr>
        <w:t xml:space="preserve"> </w:t>
      </w:r>
      <w:r w:rsidRPr="00632224">
        <w:rPr>
          <w:rFonts w:ascii="Century" w:hAnsi="Century" w:cs="Miriam" w:hint="eastAsia"/>
          <w:b/>
          <w:sz w:val="22"/>
          <w:rtl/>
        </w:rPr>
        <w:t>פגמים</w:t>
      </w:r>
      <w:r w:rsidRPr="00632224">
        <w:rPr>
          <w:rFonts w:ascii="Century" w:hAnsi="Century" w:cs="Miriam"/>
          <w:b/>
          <w:sz w:val="22"/>
          <w:rtl/>
        </w:rPr>
        <w:t xml:space="preserve"> </w:t>
      </w:r>
      <w:r w:rsidRPr="00632224">
        <w:rPr>
          <w:rFonts w:ascii="Century" w:hAnsi="Century" w:cs="Miriam" w:hint="eastAsia"/>
          <w:b/>
          <w:sz w:val="22"/>
          <w:rtl/>
        </w:rPr>
        <w:t>ב</w:t>
      </w:r>
      <w:r w:rsidRPr="00632224">
        <w:rPr>
          <w:rFonts w:ascii="Century" w:hAnsi="Century" w:cs="Miriam" w:hint="cs"/>
          <w:b/>
          <w:sz w:val="22"/>
          <w:rtl/>
        </w:rPr>
        <w:t xml:space="preserve">חקיקת </w:t>
      </w:r>
      <w:r w:rsidRPr="00632224">
        <w:rPr>
          <w:rFonts w:ascii="Century" w:hAnsi="Century" w:cs="Miriam" w:hint="eastAsia"/>
          <w:b/>
          <w:sz w:val="22"/>
          <w:rtl/>
        </w:rPr>
        <w:t>חוקי</w:t>
      </w:r>
      <w:r w:rsidRPr="00632224">
        <w:rPr>
          <w:rFonts w:ascii="Century" w:hAnsi="Century" w:cs="Miriam"/>
          <w:b/>
          <w:sz w:val="22"/>
          <w:rtl/>
        </w:rPr>
        <w:t xml:space="preserve"> </w:t>
      </w:r>
      <w:r w:rsidRPr="00632224">
        <w:rPr>
          <w:rFonts w:ascii="Century" w:hAnsi="Century" w:cs="Miriam" w:hint="eastAsia"/>
          <w:b/>
          <w:sz w:val="22"/>
          <w:rtl/>
        </w:rPr>
        <w:t>יסוד</w:t>
      </w:r>
      <w:r w:rsidRPr="00632224">
        <w:rPr>
          <w:rFonts w:ascii="Century" w:hAnsi="Century" w:cs="FrankRuehl" w:hint="cs"/>
          <w:spacing w:val="10"/>
          <w:sz w:val="22"/>
          <w:szCs w:val="28"/>
          <w:rtl/>
        </w:rPr>
        <w:t xml:space="preserve">; יצחק זמיר "הביקורת השיפוטית על חוקיות חוקים" </w:t>
      </w:r>
      <w:r w:rsidRPr="00632224">
        <w:rPr>
          <w:rFonts w:ascii="Century" w:hAnsi="Century" w:cs="Miriam" w:hint="cs"/>
          <w:b/>
          <w:sz w:val="22"/>
          <w:rtl/>
        </w:rPr>
        <w:t>משפט וממשל</w:t>
      </w:r>
      <w:r w:rsidRPr="00632224">
        <w:rPr>
          <w:rFonts w:ascii="Century" w:hAnsi="Century" w:cs="FrankRuehl" w:hint="cs"/>
          <w:spacing w:val="10"/>
          <w:sz w:val="22"/>
          <w:szCs w:val="28"/>
          <w:rtl/>
        </w:rPr>
        <w:t xml:space="preserve"> א 395, 402 (1992); </w:t>
      </w:r>
      <w:r w:rsidRPr="00632224">
        <w:rPr>
          <w:rFonts w:ascii="Arial TUR" w:hAnsi="Arial TUR" w:cs="FrankRuehl" w:hint="eastAsia"/>
          <w:spacing w:val="10"/>
          <w:sz w:val="22"/>
          <w:szCs w:val="28"/>
          <w:rtl/>
        </w:rPr>
        <w:t>סוזי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נבות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ויניב</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רוזנאי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הסמכות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לביקורת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שיפוטית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יסוד</w:t>
      </w:r>
      <w:r w:rsidRPr="00632224">
        <w:rPr>
          <w:rFonts w:ascii="Arial TUR" w:hAnsi="Arial TUR" w:cs="FrankRuehl"/>
          <w:spacing w:val="10"/>
          <w:sz w:val="22"/>
          <w:szCs w:val="28"/>
          <w:rtl/>
        </w:rPr>
        <w:t xml:space="preserve">" </w:t>
      </w:r>
      <w:r w:rsidRPr="00632224">
        <w:rPr>
          <w:rFonts w:cs="Calibri"/>
          <w:sz w:val="22"/>
          <w:szCs w:val="22"/>
        </w:rPr>
        <w:t>ICON-S-IL Blog</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(4.11.2018)</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w:t>
      </w:r>
      <w:r w:rsidRPr="00632224">
        <w:rPr>
          <w:rFonts w:ascii="Century" w:hAnsi="Century" w:cs="FrankRuehl" w:hint="cs"/>
          <w:spacing w:val="10"/>
          <w:sz w:val="22"/>
          <w:szCs w:val="28"/>
          <w:rtl/>
        </w:rPr>
        <w:t xml:space="preserve"> ככה לא בונים חוקה, ככה לא מחוקקים חוקי יסוד</w:t>
      </w:r>
      <w:r>
        <w:rPr>
          <w:rFonts w:ascii="Century" w:hAnsi="Century" w:cs="FrankRuehl" w:hint="cs"/>
          <w:spacing w:val="10"/>
          <w:sz w:val="22"/>
          <w:szCs w:val="28"/>
          <w:rtl/>
        </w:rPr>
        <w:t xml:space="preserve"> </w:t>
      </w:r>
      <w:r w:rsidRPr="00794C22">
        <w:rPr>
          <w:rFonts w:ascii="Century" w:hAnsi="Century" w:cs="FrankRuehl"/>
          <w:spacing w:val="10"/>
          <w:sz w:val="22"/>
          <w:szCs w:val="28"/>
          <w:rtl/>
        </w:rPr>
        <w:t>(</w:t>
      </w:r>
      <w:r w:rsidRPr="00794C22">
        <w:rPr>
          <w:rFonts w:ascii="Century" w:hAnsi="Century" w:cs="FrankRuehl" w:hint="eastAsia"/>
          <w:spacing w:val="10"/>
          <w:sz w:val="22"/>
          <w:szCs w:val="28"/>
          <w:rtl/>
        </w:rPr>
        <w:t>להליכי</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החקיקה</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הראויים</w:t>
      </w:r>
      <w:r w:rsidRPr="00794C22">
        <w:rPr>
          <w:rFonts w:ascii="Century" w:hAnsi="Century" w:cs="FrankRuehl"/>
          <w:spacing w:val="10"/>
          <w:sz w:val="22"/>
          <w:szCs w:val="28"/>
          <w:rtl/>
        </w:rPr>
        <w:t xml:space="preserve"> </w:t>
      </w:r>
      <w:r>
        <w:rPr>
          <w:rFonts w:ascii="Century" w:hAnsi="Century" w:cs="FrankRuehl" w:hint="cs"/>
          <w:spacing w:val="10"/>
          <w:sz w:val="22"/>
          <w:szCs w:val="28"/>
          <w:rtl/>
        </w:rPr>
        <w:t xml:space="preserve">של </w:t>
      </w:r>
      <w:r w:rsidRPr="00794C22">
        <w:rPr>
          <w:rFonts w:ascii="Century" w:hAnsi="Century" w:cs="FrankRuehl" w:hint="eastAsia"/>
          <w:spacing w:val="10"/>
          <w:sz w:val="22"/>
          <w:szCs w:val="28"/>
          <w:rtl/>
        </w:rPr>
        <w:t>נורמות</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חוקתיות</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ראו</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בהרחבה</w:t>
      </w:r>
      <w:r w:rsidRPr="00794C22">
        <w:rPr>
          <w:rFonts w:ascii="Century" w:hAnsi="Century" w:cs="FrankRuehl"/>
          <w:spacing w:val="10"/>
          <w:sz w:val="22"/>
          <w:szCs w:val="28"/>
          <w:rtl/>
        </w:rPr>
        <w:t xml:space="preserve"> </w:t>
      </w:r>
      <w:r w:rsidRPr="00794C22">
        <w:rPr>
          <w:rFonts w:ascii="Century" w:hAnsi="Century" w:cs="Miriam" w:hint="eastAsia"/>
          <w:b/>
          <w:sz w:val="22"/>
          <w:rtl/>
        </w:rPr>
        <w:t>אהרונסון</w:t>
      </w:r>
      <w:r w:rsidRPr="00794C22">
        <w:rPr>
          <w:rFonts w:ascii="Century" w:hAnsi="Century" w:cs="Miriam"/>
          <w:b/>
          <w:sz w:val="22"/>
          <w:rtl/>
        </w:rPr>
        <w:t xml:space="preserve"> </w:t>
      </w:r>
      <w:r>
        <w:rPr>
          <w:rFonts w:ascii="Century" w:hAnsi="Century" w:cs="Miriam" w:hint="cs"/>
          <w:b/>
          <w:sz w:val="22"/>
          <w:rtl/>
        </w:rPr>
        <w:t xml:space="preserve">ואח' </w:t>
      </w:r>
      <w:r w:rsidRPr="00794C22">
        <w:rPr>
          <w:rFonts w:ascii="Century" w:hAnsi="Century" w:cs="Miriam" w:hint="eastAsia"/>
          <w:b/>
          <w:sz w:val="22"/>
          <w:rtl/>
        </w:rPr>
        <w:t>נורמות</w:t>
      </w:r>
      <w:r w:rsidRPr="00794C22">
        <w:rPr>
          <w:rFonts w:ascii="Century" w:hAnsi="Century" w:cs="Miriam"/>
          <w:b/>
          <w:sz w:val="22"/>
          <w:rtl/>
        </w:rPr>
        <w:t xml:space="preserve"> </w:t>
      </w:r>
      <w:r w:rsidRPr="00794C22">
        <w:rPr>
          <w:rFonts w:ascii="Century" w:hAnsi="Century" w:cs="Miriam" w:hint="eastAsia"/>
          <w:b/>
          <w:sz w:val="22"/>
          <w:rtl/>
        </w:rPr>
        <w:t>הליכיות</w:t>
      </w:r>
      <w:r w:rsidRPr="00794C22">
        <w:rPr>
          <w:rFonts w:ascii="Century" w:hAnsi="Century" w:cs="FrankRuehl"/>
          <w:spacing w:val="10"/>
          <w:sz w:val="22"/>
          <w:szCs w:val="28"/>
          <w:rtl/>
        </w:rPr>
        <w:t>).</w:t>
      </w:r>
      <w:r w:rsidRPr="005F6C37">
        <w:rPr>
          <w:rFonts w:ascii="Century" w:hAnsi="Century" w:hint="cs"/>
          <w:rtl/>
        </w:rPr>
        <w:t xml:space="preserve"> </w:t>
      </w:r>
      <w:r w:rsidRPr="00632224">
        <w:rPr>
          <w:rFonts w:ascii="Century" w:hAnsi="Century" w:cs="FrankRuehl" w:hint="cs"/>
          <w:spacing w:val="10"/>
          <w:sz w:val="22"/>
          <w:szCs w:val="28"/>
          <w:rtl/>
        </w:rPr>
        <w:t>בישראל, שבה אין חוקה נוקשה, אין שני בתים לפרלמנט, אין שיטה פדרלית ואין מנגנונים אחרים של בלמים ואיזונים (</w:t>
      </w:r>
      <w:r w:rsidRPr="00632224">
        <w:rPr>
          <w:rFonts w:cs="FrankRuehl"/>
          <w:spacing w:val="10"/>
          <w:sz w:val="22"/>
          <w:szCs w:val="22"/>
        </w:rPr>
        <w:t>checks and balances</w:t>
      </w:r>
      <w:r w:rsidRPr="00632224">
        <w:rPr>
          <w:rFonts w:ascii="Arial TUR" w:hAnsi="Arial TUR" w:cs="FrankRuehl"/>
          <w:spacing w:val="10"/>
          <w:sz w:val="22"/>
          <w:szCs w:val="28"/>
          <w:rtl/>
        </w:rPr>
        <w:t>)</w:t>
      </w:r>
      <w:r w:rsidRPr="00632224">
        <w:rPr>
          <w:rFonts w:ascii="Century" w:hAnsi="Century" w:cs="FrankRuehl" w:hint="cs"/>
          <w:spacing w:val="10"/>
          <w:sz w:val="22"/>
          <w:szCs w:val="28"/>
          <w:rtl/>
        </w:rPr>
        <w:t xml:space="preserve">, הצורך בביקורת שיפוטית מוגבלת על חוקי היסוד, החוקה לעתיד, הוא חיוני. הביקורת השיפוטית על חוקי היסוד צריכה לעמוד בהלימה ליציבות, להליך, לרצינות, לחגיגיות, ולרוב הנדרש לחקיקת חוקי יסוד. מה שנחקק בהליך רגיל; ברוב רגיל; שנעשים בו שינויים תכופים, לעיתים אף שינויים נקודתיים ופרסונליים, שינויים אד-הוק שלא מאחורי 'מסך בערות'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אינו מצדיק מתן חסינות מפני ביקורת שיפוטית. קביעה כי אין לבית המשפט העליון סמכות לבקר חוק יסוד או תיקון לחוק יסוד, משמעה מתן כוח בלתי מוגבל לרשות המבצעת, בהינתן שזו יכולה לפעול באמצעות הרשות המכוננת ולהשתמש בכוח הרוב לרעה על מנת לפגוע בזכויות המיעוט תוך עריצות הרוב, חשש שביטאו עוד לפני שנים רבות </w:t>
      </w:r>
      <w:r w:rsidRPr="00632224">
        <w:rPr>
          <w:rFonts w:ascii="Arial TUR" w:hAnsi="Arial TUR" w:cs="FrankRuehl"/>
          <w:spacing w:val="10"/>
          <w:sz w:val="22"/>
          <w:szCs w:val="28"/>
          <w:rtl/>
        </w:rPr>
        <w:t xml:space="preserve">ג'ון סטיוארט מיל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ג'ון סטיוארט מיל </w:t>
      </w:r>
      <w:r w:rsidRPr="00632224">
        <w:rPr>
          <w:rFonts w:ascii="Century" w:hAnsi="Century" w:cs="Miriam" w:hint="cs"/>
          <w:b/>
          <w:sz w:val="22"/>
          <w:rtl/>
        </w:rPr>
        <w:t>ע</w:t>
      </w:r>
      <w:r w:rsidRPr="00632224">
        <w:rPr>
          <w:rFonts w:ascii="Century" w:hAnsi="Century" w:cs="Miriam"/>
          <w:b/>
          <w:sz w:val="22"/>
          <w:rtl/>
        </w:rPr>
        <w:t>ל החירות</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אהרן אמיר</w:t>
      </w:r>
      <w:r w:rsidRPr="00632224">
        <w:rPr>
          <w:rFonts w:ascii="Arial TUR" w:hAnsi="Arial TUR" w:cs="FrankRuehl" w:hint="cs"/>
          <w:spacing w:val="10"/>
          <w:sz w:val="22"/>
          <w:szCs w:val="28"/>
          <w:rtl/>
        </w:rPr>
        <w:t xml:space="preserve"> מתרגם</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הוצא </w:t>
      </w:r>
      <w:r w:rsidRPr="00632224">
        <w:rPr>
          <w:rFonts w:ascii="Arial TUR" w:hAnsi="Arial TUR" w:cs="FrankRuehl"/>
          <w:spacing w:val="10"/>
          <w:sz w:val="22"/>
          <w:szCs w:val="28"/>
          <w:rtl/>
        </w:rPr>
        <w:t>שלם 2006</w:t>
      </w:r>
      <w:r w:rsidRPr="00632224">
        <w:rPr>
          <w:rFonts w:cs="FrankRuehl" w:hint="cs"/>
          <w:spacing w:val="10"/>
          <w:sz w:val="24"/>
          <w:szCs w:val="28"/>
          <w:rtl/>
        </w:rPr>
        <w:t>))</w:t>
      </w:r>
      <w:r w:rsidRPr="00632224">
        <w:rPr>
          <w:rFonts w:ascii="Arial TUR" w:hAnsi="Arial TUR" w:cs="FrankRuehl" w:hint="cs"/>
          <w:spacing w:val="10"/>
          <w:sz w:val="22"/>
          <w:szCs w:val="28"/>
          <w:rtl/>
        </w:rPr>
        <w:t xml:space="preserve"> ו</w:t>
      </w:r>
      <w:r w:rsidRPr="00632224">
        <w:rPr>
          <w:rFonts w:ascii="Arial TUR" w:hAnsi="Arial TUR" w:cs="FrankRuehl"/>
          <w:spacing w:val="10"/>
          <w:sz w:val="22"/>
          <w:szCs w:val="28"/>
          <w:rtl/>
        </w:rPr>
        <w:t>אלקסיס דה</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טוקוויל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אלקסיס דה</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טוקוויל </w:t>
      </w:r>
      <w:r w:rsidRPr="00632224">
        <w:rPr>
          <w:rFonts w:ascii="Century" w:hAnsi="Century" w:cs="Miriam"/>
          <w:b/>
          <w:sz w:val="22"/>
          <w:rtl/>
        </w:rPr>
        <w:t>הדמוקרטיה באמריקה</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אהרן אמיר</w:t>
      </w:r>
      <w:r w:rsidRPr="00632224">
        <w:rPr>
          <w:rFonts w:ascii="Arial TUR" w:hAnsi="Arial TUR" w:cs="FrankRuehl" w:hint="cs"/>
          <w:spacing w:val="10"/>
          <w:sz w:val="22"/>
          <w:szCs w:val="28"/>
          <w:rtl/>
        </w:rPr>
        <w:t xml:space="preserve"> מתרגם</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הוצאת </w:t>
      </w:r>
      <w:r w:rsidRPr="00632224">
        <w:rPr>
          <w:rFonts w:ascii="Arial TUR" w:hAnsi="Arial TUR" w:cs="FrankRuehl"/>
          <w:spacing w:val="10"/>
          <w:sz w:val="22"/>
          <w:szCs w:val="28"/>
          <w:rtl/>
        </w:rPr>
        <w:t xml:space="preserve">שלם </w:t>
      </w:r>
      <w:r w:rsidRPr="00632224">
        <w:rPr>
          <w:rFonts w:ascii="Arial TUR" w:hAnsi="Arial TUR" w:cs="FrankRuehl" w:hint="cs"/>
          <w:spacing w:val="10"/>
          <w:sz w:val="22"/>
          <w:szCs w:val="28"/>
          <w:rtl/>
        </w:rPr>
        <w:t xml:space="preserve">2010)).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36.</w:t>
      </w: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למי שסבור </w:t>
      </w:r>
      <w:r w:rsidRPr="00632224">
        <w:rPr>
          <w:rFonts w:ascii="Arial TUR" w:hAnsi="Arial TUR" w:cs="FrankRuehl" w:hint="cs"/>
          <w:spacing w:val="10"/>
          <w:sz w:val="22"/>
          <w:szCs w:val="28"/>
          <w:rtl/>
        </w:rPr>
        <w:t xml:space="preserve">כי אין לבית משפט זה סמכות לבקר חוקי יסוד, אציע כתרגיל מחשבתי להתייצב מאחורי "מסך בערות" וליתן דעתו על חוקי היסוד הבאים: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חוק יסוד: איסור שחיטה כשרה.</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חוק יסוד: ביטול חובת כשרות בצה"ל.</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lastRenderedPageBreak/>
        <w:tab/>
      </w:r>
      <w:r w:rsidRPr="00632224">
        <w:rPr>
          <w:rFonts w:ascii="Arial TUR" w:hAnsi="Arial TUR" w:cs="FrankRuehl" w:hint="cs"/>
          <w:spacing w:val="10"/>
          <w:sz w:val="22"/>
          <w:szCs w:val="28"/>
          <w:rtl/>
        </w:rPr>
        <w:t>חוק יסוד: ביטול יום השבת כיום המנוחה השבועי.</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חוק יסוד: ביטול השפה העברית כשפה הרשמית.</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חוק יסוד: ביטול חוק השבות.</w:t>
      </w:r>
    </w:p>
    <w:p w:rsidR="00244560" w:rsidRPr="00632224" w:rsidRDefault="00244560" w:rsidP="00244560">
      <w:pPr>
        <w:tabs>
          <w:tab w:val="left" w:pos="800"/>
        </w:tabs>
        <w:spacing w:line="360" w:lineRule="auto"/>
        <w:ind w:left="720"/>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תיקון לחוק יסוד: חופש העיסוק: על אף האמור בחוק ההסמכה, רשות מקומית אינה יכולה לאסור פתיחת בתי עסק בשבת בכל מקום שהוא.</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המשותף לכל "חוקי היסוד" דלעיל, שהם פוגעים בעמוד היהודי של "יהודית ודמוקרטית". האם היינו נכונים לקבל חוקי יסוד המקעקעים את היסוד היהודי של המדינה, אך ורק מאחר שנמצא בכנסת רוב מזדמן לכך? הממשלה טענה כי אין לפסוק על פי תרחישי אימה ואין לי אלא להסכים כי רשימת החוקים הדמיוניים דלעיל הם תרחישי אימה בהיבט של העמוד היהודי במדינת ישראל. </w:t>
      </w:r>
      <w:r w:rsidRPr="00632224">
        <w:rPr>
          <w:rFonts w:ascii="Arial TUR" w:hAnsi="Arial TUR" w:cs="FrankRuehl" w:hint="eastAsia"/>
          <w:spacing w:val="10"/>
          <w:sz w:val="22"/>
          <w:szCs w:val="28"/>
          <w:rtl/>
        </w:rPr>
        <w:t>אלא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w:t>
      </w:r>
      <w:r w:rsidRPr="00632224">
        <w:rPr>
          <w:rFonts w:ascii="Arial TUR" w:hAnsi="Arial TUR" w:cs="FrankRuehl"/>
          <w:spacing w:val="10"/>
          <w:sz w:val="22"/>
          <w:szCs w:val="28"/>
          <w:rtl/>
        </w:rPr>
        <w:t xml:space="preserve">כל אימת שאנו בוחנים מעשה חקיקה עלינו לקחת בחשבון כי איננו יכולים לדמיין ולצפות את כל התרחישים האפשריים.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Arial TUR" w:hAnsi="Arial TUR" w:cs="FrankRuehl" w:hint="cs"/>
          <w:spacing w:val="10"/>
          <w:sz w:val="22"/>
          <w:szCs w:val="28"/>
          <w:rtl/>
        </w:rPr>
        <w:tab/>
        <w:t xml:space="preserve">היה זה השופט </w:t>
      </w:r>
      <w:r w:rsidRPr="00632224">
        <w:rPr>
          <w:rFonts w:ascii="Century" w:hAnsi="Century" w:cs="Miriam" w:hint="cs"/>
          <w:b/>
          <w:sz w:val="22"/>
          <w:rtl/>
        </w:rPr>
        <w:t>בך</w:t>
      </w:r>
      <w:r w:rsidRPr="00632224">
        <w:rPr>
          <w:rFonts w:ascii="Arial TUR" w:hAnsi="Arial TUR" w:cs="FrankRuehl" w:hint="cs"/>
          <w:spacing w:val="10"/>
          <w:sz w:val="22"/>
          <w:szCs w:val="28"/>
          <w:rtl/>
        </w:rPr>
        <w:t xml:space="preserve"> בעניין </w:t>
      </w:r>
      <w:r w:rsidRPr="00632224">
        <w:rPr>
          <w:rFonts w:ascii="Century" w:hAnsi="Century" w:cs="Miriam" w:hint="cs"/>
          <w:b/>
          <w:sz w:val="22"/>
          <w:rtl/>
        </w:rPr>
        <w:t>בנק המזרחי</w:t>
      </w:r>
      <w:r w:rsidRPr="00632224">
        <w:rPr>
          <w:rFonts w:ascii="Arial TUR" w:hAnsi="Arial TUR" w:cs="FrankRuehl" w:hint="cs"/>
          <w:spacing w:val="10"/>
          <w:sz w:val="22"/>
          <w:szCs w:val="28"/>
          <w:rtl/>
        </w:rPr>
        <w:t xml:space="preserve"> שהתבטא כי "</w:t>
      </w:r>
      <w:r w:rsidRPr="00632224">
        <w:rPr>
          <w:rFonts w:ascii="Arial TUR" w:hAnsi="Arial TUR" w:cs="FrankRuehl" w:hint="cs"/>
          <w:spacing w:val="10"/>
          <w:sz w:val="26"/>
          <w:szCs w:val="28"/>
          <w:rtl/>
        </w:rPr>
        <w:t xml:space="preserve">ישנם </w:t>
      </w:r>
      <w:r w:rsidRPr="00632224">
        <w:rPr>
          <w:rFonts w:ascii="Century" w:hAnsi="Century" w:cs="FrankRuehl" w:hint="cs"/>
          <w:spacing w:val="10"/>
          <w:sz w:val="22"/>
          <w:szCs w:val="28"/>
          <w:rtl/>
        </w:rPr>
        <w:t>דברים מסוימים, אשר יש להניח כי במשטר דמוקרטי תקין פשוט לא יקרו" (</w:t>
      </w:r>
      <w:r w:rsidRPr="00632224">
        <w:rPr>
          <w:rFonts w:ascii="Century" w:hAnsi="Century" w:cs="Miriam" w:hint="cs"/>
          <w:b/>
          <w:sz w:val="22"/>
          <w:rtl/>
        </w:rPr>
        <w:t>שם</w:t>
      </w:r>
      <w:r w:rsidRPr="00632224">
        <w:rPr>
          <w:rFonts w:ascii="Century" w:hAnsi="Century" w:cs="FrankRuehl" w:hint="cs"/>
          <w:spacing w:val="10"/>
          <w:sz w:val="22"/>
          <w:szCs w:val="28"/>
          <w:rtl/>
        </w:rPr>
        <w:t>, בעמ' 583). אולם במשטר דמוקרטי אי אפשר לקבל תשובות בנוסח "זה לא יקרה" או "סמוך עלינו", ואחזור על הציטוט הקולע שהביאה הנשיאה בפסקה 93 לפסק דינה: "</w:t>
      </w:r>
      <w:r w:rsidRPr="00632224">
        <w:rPr>
          <w:rFonts w:ascii="Arial TUR" w:hAnsi="Arial TUR" w:cs="FrankRuehl"/>
          <w:spacing w:val="10"/>
          <w:sz w:val="22"/>
          <w:szCs w:val="28"/>
          <w:rtl/>
        </w:rPr>
        <w:t>כל המבנה הקונסטיטוציוני מבוסס על ההנחה, כי דברים עשויים לא להתנהל כשורה, ועל-כן יש להציב גבולות וגדרות</w:t>
      </w:r>
      <w:r w:rsidRPr="00632224">
        <w:rPr>
          <w:rFonts w:ascii="Arial TUR" w:hAnsi="Arial TUR" w:cs="FrankRuehl" w:hint="cs"/>
          <w:spacing w:val="10"/>
          <w:sz w:val="22"/>
          <w:szCs w:val="28"/>
          <w:rtl/>
        </w:rPr>
        <w:t xml:space="preserve">" (בג"ץ 428/86 </w:t>
      </w:r>
      <w:r w:rsidRPr="00632224">
        <w:rPr>
          <w:rFonts w:ascii="Century" w:hAnsi="Century" w:cs="Miriam" w:hint="cs"/>
          <w:b/>
          <w:sz w:val="22"/>
          <w:rtl/>
        </w:rPr>
        <w:t>ברזילי נ' ממשלת ישראל</w:t>
      </w:r>
      <w:r w:rsidRPr="00632224">
        <w:rPr>
          <w:rFonts w:ascii="Arial TUR" w:hAnsi="Arial TUR" w:cs="FrankRuehl" w:hint="cs"/>
          <w:spacing w:val="10"/>
          <w:sz w:val="22"/>
          <w:szCs w:val="28"/>
          <w:rtl/>
        </w:rPr>
        <w:t>, פ"ד מג(3) 505, 606 (1986) (להלן: עניין</w:t>
      </w:r>
      <w:r w:rsidRPr="00632224">
        <w:rPr>
          <w:rFonts w:ascii="Century" w:hAnsi="Century" w:cs="Miriam" w:hint="cs"/>
          <w:b/>
          <w:sz w:val="22"/>
          <w:rtl/>
        </w:rPr>
        <w:t xml:space="preserve"> ברזילי</w:t>
      </w:r>
      <w:r w:rsidRPr="00632224">
        <w:rPr>
          <w:rFonts w:ascii="Arial TUR" w:hAnsi="Arial TUR" w:cs="FrankRuehl" w:hint="cs"/>
          <w:spacing w:val="10"/>
          <w:sz w:val="22"/>
          <w:szCs w:val="28"/>
          <w:rtl/>
        </w:rPr>
        <w:t>)).</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בתשובה לטענה כי לא ייתכן שלכנסת יינתן כוח מוחלט, השיבה הכנסת כי חזקה עליה, כמי שרגישה לדעת הקהל, שלא תפעל לזעזע את עקרונות היסוד של הדמוקרטיה בישראל (פסקה 353 לתשובת הכנסת). לשיטת הדוגלים ב"תסמכו עלינו", ניתן לבטל את הביקורת השיפוטית בכלל ולסמוך על המחוקקים והמכוננים. אך משטרים שבנויים על מנגנון של "תסמכו עלינו", משטרים שנסמכים על ההנחה שנבחרי הציבור אינם נדרשים לבלמים ואיזונים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אינם משטרים דמוקרטיים. ובכלל, </w:t>
      </w:r>
      <w:r w:rsidRPr="00632224">
        <w:rPr>
          <w:rFonts w:ascii="Arial TUR" w:hAnsi="Arial TUR" w:cs="FrankRuehl" w:hint="cs"/>
          <w:spacing w:val="10"/>
          <w:sz w:val="22"/>
          <w:szCs w:val="28"/>
          <w:rtl/>
        </w:rPr>
        <w:t>"אילו היו בני-האדם מלאכים, לא היה צורך בשלטון כלל. אילו משלו מלאכים בבני-האדם, לא היה צורך בשום ריסון לשלטון, לא מבית ולא מחוץ" (</w:t>
      </w:r>
      <w:r w:rsidRPr="00632224">
        <w:rPr>
          <w:rFonts w:ascii="Arial TUR" w:hAnsi="Arial TUR" w:cs="FrankRuehl"/>
          <w:spacing w:val="10"/>
          <w:sz w:val="22"/>
          <w:szCs w:val="28"/>
          <w:rtl/>
        </w:rPr>
        <w:t xml:space="preserve">אלכסנדר המילטון, ג'יימס מדיסון וג'ון ג'יי </w:t>
      </w:r>
      <w:r w:rsidRPr="00632224">
        <w:rPr>
          <w:rFonts w:ascii="Century" w:hAnsi="Century" w:cs="Miriam"/>
          <w:b/>
          <w:sz w:val="22"/>
          <w:rtl/>
        </w:rPr>
        <w:t>הפדרליסט</w:t>
      </w:r>
      <w:r w:rsidRPr="00632224">
        <w:rPr>
          <w:rFonts w:ascii="Arial TUR" w:hAnsi="Arial TUR" w:cs="FrankRuehl" w:hint="cs"/>
          <w:spacing w:val="10"/>
          <w:sz w:val="22"/>
          <w:szCs w:val="28"/>
          <w:rtl/>
        </w:rPr>
        <w:t xml:space="preserve"> 262 (הוצאת שלם, 2004)). חברי, השופט </w:t>
      </w:r>
      <w:r w:rsidRPr="00632224">
        <w:rPr>
          <w:rFonts w:ascii="Century" w:hAnsi="Century" w:cs="Miriam" w:hint="eastAsia"/>
          <w:b/>
          <w:sz w:val="22"/>
          <w:rtl/>
        </w:rPr>
        <w:t>שטיין</w:t>
      </w:r>
      <w:r w:rsidRPr="00632224">
        <w:rPr>
          <w:rFonts w:ascii="Arial TUR" w:hAnsi="Arial TUR" w:cs="FrankRuehl" w:hint="cs"/>
          <w:spacing w:val="10"/>
          <w:sz w:val="22"/>
          <w:szCs w:val="28"/>
          <w:rtl/>
        </w:rPr>
        <w:t xml:space="preserve">, ניסח יפה את הדברים בפסקה 57 סיפא לפסק דינו בתארו את ההגנה החוקתית כמלט, בטון וברזל ביסודות הבניין, ואין לי אלא להצטרף לדבריו.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lastRenderedPageBreak/>
        <w:t>37.</w:t>
      </w:r>
      <w:r w:rsidRPr="00632224">
        <w:rPr>
          <w:rFonts w:ascii="Century" w:hAnsi="Century" w:cs="FrankRuehl" w:hint="cs"/>
          <w:spacing w:val="10"/>
          <w:sz w:val="22"/>
          <w:szCs w:val="28"/>
          <w:rtl/>
        </w:rPr>
        <w:tab/>
        <w:t xml:space="preserve">עמדנו על המקור לקיומה של סמכות לבית משפט זה לערוך ביקורת שיפוטית על חוקי יסוד, וכן על הסיבה שבגינה, במבנה המשטרי הקיים בישראל, </w:t>
      </w:r>
      <w:r w:rsidRPr="00632224">
        <w:rPr>
          <w:rFonts w:ascii="Century" w:hAnsi="Century" w:cs="Miriam" w:hint="cs"/>
          <w:b/>
          <w:sz w:val="22"/>
          <w:rtl/>
        </w:rPr>
        <w:t>חיוני</w:t>
      </w:r>
      <w:r w:rsidRPr="00632224">
        <w:rPr>
          <w:rFonts w:ascii="Century" w:hAnsi="Century" w:cs="FrankRuehl" w:hint="cs"/>
          <w:spacing w:val="10"/>
          <w:sz w:val="22"/>
          <w:szCs w:val="28"/>
          <w:rtl/>
        </w:rPr>
        <w:t xml:space="preserve"> לערוך ביקורת שיפוטית על חוקי יסוד</w:t>
      </w:r>
      <w:r>
        <w:rPr>
          <w:rFonts w:ascii="Century" w:hAnsi="Century" w:cs="FrankRuehl" w:hint="cs"/>
          <w:spacing w:val="10"/>
          <w:sz w:val="22"/>
          <w:szCs w:val="28"/>
          <w:rtl/>
        </w:rPr>
        <w:t xml:space="preserve">, </w:t>
      </w:r>
      <w:r w:rsidRPr="00794C22">
        <w:rPr>
          <w:rFonts w:ascii="Century" w:hAnsi="Century" w:cs="FrankRuehl" w:hint="eastAsia"/>
          <w:spacing w:val="10"/>
          <w:sz w:val="22"/>
          <w:szCs w:val="28"/>
          <w:rtl/>
        </w:rPr>
        <w:t>שאם</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לא</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כן</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חוקי</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היסוד</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עלולים</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לשמש</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ככלי</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לחתור</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תחת</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הדמוקרטיה</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עצמה</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בבחינת</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חוקתיות</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פוגענית</w:t>
      </w:r>
      <w:r w:rsidRPr="00794C22">
        <w:rPr>
          <w:rFonts w:ascii="Century" w:hAnsi="Century" w:cs="FrankRuehl"/>
          <w:spacing w:val="10"/>
          <w:sz w:val="22"/>
          <w:szCs w:val="28"/>
          <w:rtl/>
        </w:rPr>
        <w:t>" (</w:t>
      </w:r>
      <w:r w:rsidRPr="00794C22">
        <w:rPr>
          <w:rFonts w:asciiTheme="majorBidi" w:hAnsiTheme="majorBidi" w:cstheme="majorBidi"/>
          <w:spacing w:val="10"/>
          <w:sz w:val="22"/>
          <w:szCs w:val="28"/>
        </w:rPr>
        <w:t>abusive constitutionalism</w:t>
      </w:r>
      <w:r w:rsidRPr="00794C22">
        <w:rPr>
          <w:rFonts w:ascii="Century" w:hAnsi="Century" w:cs="FrankRuehl"/>
          <w:spacing w:val="10"/>
          <w:sz w:val="22"/>
          <w:szCs w:val="28"/>
          <w:rtl/>
        </w:rPr>
        <w:t>)</w:t>
      </w:r>
      <w:r w:rsidRPr="009A0A3E">
        <w:rPr>
          <w:rFonts w:ascii="Century" w:hAnsi="Century" w:cs="FrankRuehl" w:hint="cs"/>
          <w:spacing w:val="10"/>
          <w:sz w:val="22"/>
          <w:szCs w:val="28"/>
          <w:rtl/>
        </w:rPr>
        <w:t xml:space="preserve">. </w:t>
      </w:r>
      <w:r w:rsidRPr="00632224">
        <w:rPr>
          <w:rFonts w:ascii="Century" w:hAnsi="Century" w:cs="FrankRuehl" w:hint="cs"/>
          <w:spacing w:val="10"/>
          <w:sz w:val="22"/>
          <w:szCs w:val="28"/>
          <w:rtl/>
        </w:rPr>
        <w:t xml:space="preserve">בנקודה זו אוסיף הערה ביחס לרף </w:t>
      </w:r>
      <w:r w:rsidRPr="00632224">
        <w:rPr>
          <w:rFonts w:ascii="Arial TUR" w:hAnsi="Arial TUR" w:cs="FrankRuehl" w:hint="cs"/>
          <w:spacing w:val="10"/>
          <w:sz w:val="22"/>
          <w:szCs w:val="28"/>
          <w:rtl/>
        </w:rPr>
        <w:t>ההתערבות מכוח דוקטרינת התיקון החוקתי שאינו חוקתי.</w:t>
      </w:r>
    </w:p>
    <w:p w:rsidR="00244560" w:rsidRPr="00632224" w:rsidRDefault="00244560" w:rsidP="009B0AFF">
      <w:pPr>
        <w:tabs>
          <w:tab w:val="left" w:pos="800"/>
        </w:tabs>
        <w:spacing w:line="276" w:lineRule="auto"/>
        <w:jc w:val="both"/>
        <w:rPr>
          <w:rFonts w:ascii="Century" w:hAnsi="Century" w:cs="Miriam"/>
          <w:sz w:val="32"/>
          <w:rtl/>
        </w:rPr>
      </w:pPr>
      <w:r w:rsidRPr="00632224">
        <w:rPr>
          <w:rFonts w:ascii="Century" w:hAnsi="Century" w:cs="Miriam"/>
          <w:sz w:val="32"/>
          <w:rtl/>
        </w:rPr>
        <w:t xml:space="preserve"> </w:t>
      </w:r>
    </w:p>
    <w:p w:rsidR="00244560" w:rsidRPr="00632224" w:rsidRDefault="00244560" w:rsidP="00244560">
      <w:pPr>
        <w:tabs>
          <w:tab w:val="left" w:pos="800"/>
        </w:tabs>
        <w:spacing w:line="360" w:lineRule="auto"/>
        <w:jc w:val="both"/>
        <w:rPr>
          <w:rFonts w:cs="FrankRuehl"/>
          <w:spacing w:val="10"/>
          <w:sz w:val="24"/>
          <w:szCs w:val="28"/>
        </w:rPr>
      </w:pPr>
      <w:r w:rsidRPr="00632224">
        <w:rPr>
          <w:rFonts w:ascii="Arial TUR" w:hAnsi="Arial TUR" w:cs="FrankRuehl" w:hint="cs"/>
          <w:spacing w:val="10"/>
          <w:sz w:val="22"/>
          <w:szCs w:val="28"/>
          <w:rtl/>
        </w:rPr>
        <w:t>38.</w:t>
      </w:r>
      <w:r w:rsidRPr="00632224">
        <w:rPr>
          <w:rFonts w:ascii="Arial TUR" w:hAnsi="Arial TUR" w:cs="FrankRuehl" w:hint="cs"/>
          <w:spacing w:val="10"/>
          <w:sz w:val="22"/>
          <w:szCs w:val="28"/>
          <w:rtl/>
        </w:rPr>
        <w:tab/>
      </w:r>
      <w:r w:rsidRPr="00632224">
        <w:rPr>
          <w:rFonts w:ascii="Century" w:hAnsi="Century" w:cs="FrankRuehl" w:hint="eastAsia"/>
          <w:spacing w:val="10"/>
          <w:sz w:val="22"/>
          <w:szCs w:val="28"/>
          <w:rtl/>
        </w:rPr>
        <w:t>בעניין</w:t>
      </w:r>
      <w:r w:rsidRPr="00632224">
        <w:rPr>
          <w:rFonts w:ascii="Century" w:hAnsi="Century" w:cs="FrankRuehl"/>
          <w:spacing w:val="10"/>
          <w:sz w:val="22"/>
          <w:szCs w:val="28"/>
          <w:rtl/>
        </w:rPr>
        <w:t xml:space="preserve"> </w:t>
      </w:r>
      <w:r w:rsidRPr="00632224">
        <w:rPr>
          <w:rFonts w:ascii="Century" w:hAnsi="Century" w:cs="Miriam" w:hint="eastAsia"/>
          <w:b/>
          <w:sz w:val="22"/>
          <w:rtl/>
        </w:rPr>
        <w:t>חוק</w:t>
      </w:r>
      <w:r w:rsidRPr="00632224">
        <w:rPr>
          <w:rFonts w:ascii="Century" w:hAnsi="Century" w:cs="Miriam"/>
          <w:b/>
          <w:sz w:val="22"/>
          <w:rtl/>
        </w:rPr>
        <w:t xml:space="preserve"> </w:t>
      </w:r>
      <w:r w:rsidRPr="00632224">
        <w:rPr>
          <w:rFonts w:ascii="Century" w:hAnsi="Century" w:cs="Miriam" w:hint="eastAsia"/>
          <w:b/>
          <w:sz w:val="22"/>
          <w:rtl/>
        </w:rPr>
        <w:t>הלאום</w:t>
      </w:r>
      <w:r w:rsidRPr="00632224">
        <w:rPr>
          <w:rFonts w:ascii="Century" w:hAnsi="Century" w:cs="FrankRuehl" w:hint="cs"/>
          <w:spacing w:val="10"/>
          <w:sz w:val="22"/>
          <w:szCs w:val="28"/>
          <w:rtl/>
        </w:rPr>
        <w:t>, שם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הניח</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משפט</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זה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היסודות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לקיום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ביקורת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שיפוטית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חוקי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יסוד</w:t>
      </w:r>
      <w:r w:rsidRPr="00632224">
        <w:rPr>
          <w:rFonts w:ascii="Century" w:hAnsi="Century" w:cs="FrankRuehl" w:hint="cs"/>
          <w:spacing w:val="10"/>
          <w:sz w:val="22"/>
          <w:szCs w:val="28"/>
          <w:rtl/>
        </w:rPr>
        <w:t>,</w:t>
      </w:r>
      <w:r w:rsidRPr="00632224">
        <w:rPr>
          <w:rFonts w:ascii="Century" w:hAnsi="Century" w:cs="FrankRuehl"/>
          <w:spacing w:val="10"/>
          <w:sz w:val="22"/>
          <w:szCs w:val="28"/>
          <w:rtl/>
        </w:rPr>
        <w:t xml:space="preserve"> </w:t>
      </w:r>
      <w:r w:rsidRPr="00632224">
        <w:rPr>
          <w:rFonts w:ascii="Arial TUR" w:hAnsi="Arial TUR" w:cs="FrankRuehl" w:hint="cs"/>
          <w:spacing w:val="10"/>
          <w:sz w:val="22"/>
          <w:szCs w:val="28"/>
          <w:rtl/>
        </w:rPr>
        <w:t xml:space="preserve">הנשיאה הציבה בפסק דינה מבחנים הקובעים רף גבוה לצורך השימוש בדוקטרינת התיקון החוקתי שאינו חוקתי: "מצבים שבהם חוק יסוד </w:t>
      </w:r>
      <w:r w:rsidRPr="00632224">
        <w:rPr>
          <w:rFonts w:ascii="Century" w:hAnsi="Century" w:cs="FrankRuehl"/>
          <w:spacing w:val="10"/>
          <w:sz w:val="22"/>
          <w:szCs w:val="28"/>
          <w:rtl/>
        </w:rPr>
        <w:t>שולל או סותר באופן חזיתי את</w:t>
      </w: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 xml:space="preserve">המאפיינים הגרעיניים' </w:t>
      </w:r>
      <w:r w:rsidRPr="00632224">
        <w:rPr>
          <w:rFonts w:ascii="Century" w:hAnsi="Century" w:cs="FrankRuehl" w:hint="cs"/>
          <w:spacing w:val="10"/>
          <w:sz w:val="22"/>
          <w:szCs w:val="28"/>
          <w:rtl/>
        </w:rPr>
        <w:t xml:space="preserve">המעצבים את הגדרת המינימום </w:t>
      </w:r>
      <w:r w:rsidRPr="00632224">
        <w:rPr>
          <w:rFonts w:ascii="Century" w:hAnsi="Century" w:cs="FrankRuehl"/>
          <w:spacing w:val="10"/>
          <w:sz w:val="22"/>
          <w:szCs w:val="28"/>
          <w:rtl/>
        </w:rPr>
        <w:t>של היות מדינת ישראל מדינה יהודית ודמוקרטית</w:t>
      </w:r>
      <w:r w:rsidRPr="00632224">
        <w:rPr>
          <w:rFonts w:ascii="Century" w:hAnsi="Century" w:cs="FrankRuehl" w:hint="cs"/>
          <w:spacing w:val="10"/>
          <w:sz w:val="22"/>
          <w:szCs w:val="28"/>
          <w:rtl/>
        </w:rPr>
        <w:t>" (</w:t>
      </w:r>
      <w:r w:rsidRPr="00632224">
        <w:rPr>
          <w:rFonts w:ascii="Century" w:hAnsi="Century" w:cs="Miriam" w:hint="eastAsia"/>
          <w:b/>
          <w:sz w:val="22"/>
          <w:rtl/>
        </w:rPr>
        <w:t>שם</w:t>
      </w:r>
      <w:r w:rsidRPr="00632224">
        <w:rPr>
          <w:rFonts w:ascii="Century" w:hAnsi="Century" w:cs="FrankRuehl" w:hint="cs"/>
          <w:spacing w:val="10"/>
          <w:sz w:val="22"/>
          <w:szCs w:val="28"/>
          <w:rtl/>
        </w:rPr>
        <w:t xml:space="preserve">, בפסקה 29 לפסק דינה). חברתי, השופטת </w:t>
      </w:r>
      <w:r w:rsidRPr="00632224">
        <w:rPr>
          <w:rFonts w:ascii="Century" w:hAnsi="Century" w:cs="Miriam" w:hint="cs"/>
          <w:b/>
          <w:sz w:val="22"/>
          <w:rtl/>
        </w:rPr>
        <w:t>ברק-ארז</w:t>
      </w:r>
      <w:r w:rsidRPr="00632224">
        <w:rPr>
          <w:rFonts w:ascii="Century" w:hAnsi="Century" w:cs="FrankRuehl" w:hint="cs"/>
          <w:spacing w:val="10"/>
          <w:sz w:val="22"/>
          <w:szCs w:val="28"/>
          <w:rtl/>
        </w:rPr>
        <w:t xml:space="preserve"> הציבה אף היא רף גבוה, שמא אף גבוה יותר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מקום שבו </w:t>
      </w:r>
      <w:r w:rsidRPr="00632224">
        <w:rPr>
          <w:rFonts w:ascii="Century" w:hAnsi="Century" w:cs="FrankRuehl" w:hint="eastAsia"/>
          <w:spacing w:val="10"/>
          <w:sz w:val="22"/>
          <w:szCs w:val="28"/>
          <w:rtl/>
        </w:rPr>
        <w:t>חוק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יסוד</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w:t>
      </w:r>
      <w:r w:rsidRPr="00632224">
        <w:rPr>
          <w:rFonts w:ascii="Century" w:hAnsi="Century" w:cs="FrankRuehl" w:hint="eastAsia"/>
          <w:spacing w:val="10"/>
          <w:sz w:val="22"/>
          <w:szCs w:val="28"/>
          <w:rtl/>
        </w:rPr>
        <w:t>מהווה</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w:t>
      </w:r>
      <w:r w:rsidRPr="00632224">
        <w:rPr>
          <w:rFonts w:ascii="Century" w:hAnsi="Century" w:cs="FrankRuehl" w:hint="eastAsia"/>
          <w:spacing w:val="10"/>
          <w:sz w:val="22"/>
          <w:szCs w:val="28"/>
          <w:rtl/>
        </w:rPr>
        <w:t>שבירת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כלים</w:t>
      </w:r>
      <w:r w:rsidRPr="00632224">
        <w:rPr>
          <w:rFonts w:ascii="Century" w:hAnsi="Century" w:cs="FrankRuehl" w:hint="cs"/>
          <w:spacing w:val="10"/>
          <w:sz w:val="22"/>
          <w:szCs w:val="28"/>
          <w:rtl/>
        </w:rPr>
        <w:t>'</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במובן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הרס</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בלתי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הפיך</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השיטה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החוקתית</w:t>
      </w:r>
      <w:r w:rsidRPr="00632224">
        <w:rPr>
          <w:rFonts w:ascii="Century" w:hAnsi="Century" w:cs="FrankRuehl" w:hint="cs"/>
          <w:spacing w:val="10"/>
          <w:sz w:val="22"/>
          <w:szCs w:val="28"/>
          <w:rtl/>
        </w:rPr>
        <w:t>" (</w:t>
      </w:r>
      <w:r w:rsidRPr="00632224">
        <w:rPr>
          <w:rFonts w:ascii="Century" w:hAnsi="Century" w:cs="Miriam" w:hint="eastAsia"/>
          <w:b/>
          <w:sz w:val="22"/>
          <w:rtl/>
        </w:rPr>
        <w:t>שם</w:t>
      </w:r>
      <w:r w:rsidRPr="00632224">
        <w:rPr>
          <w:rFonts w:ascii="Century" w:hAnsi="Century" w:cs="FrankRuehl" w:hint="cs"/>
          <w:spacing w:val="10"/>
          <w:sz w:val="22"/>
          <w:szCs w:val="28"/>
          <w:rtl/>
        </w:rPr>
        <w:t>, בפסקה 16 לפסק דינה)</w:t>
      </w:r>
      <w:r w:rsidRPr="00632224">
        <w:rPr>
          <w:rFonts w:ascii="Century" w:hAnsi="Century" w:cs="FrankRuehl"/>
          <w:spacing w:val="10"/>
          <w:sz w:val="22"/>
          <w:szCs w:val="28"/>
          <w:rtl/>
        </w:rPr>
        <w:t>.</w:t>
      </w:r>
      <w:r w:rsidRPr="00632224">
        <w:rPr>
          <w:rFonts w:ascii="Arial TUR" w:hAnsi="Arial TUR" w:cs="FrankRuehl" w:hint="cs"/>
          <w:spacing w:val="10"/>
          <w:sz w:val="22"/>
          <w:szCs w:val="28"/>
          <w:rtl/>
        </w:rPr>
        <w:t xml:space="preserve"> דומני כי חברי, השופט </w:t>
      </w:r>
      <w:r w:rsidRPr="00632224">
        <w:rPr>
          <w:rFonts w:ascii="Century" w:hAnsi="Century" w:cs="Miriam" w:hint="eastAsia"/>
          <w:b/>
          <w:sz w:val="22"/>
          <w:rtl/>
        </w:rPr>
        <w:t>פוגלמן</w:t>
      </w:r>
      <w:r w:rsidRPr="00632224">
        <w:rPr>
          <w:rFonts w:ascii="Arial TUR" w:hAnsi="Arial TUR" w:cs="FrankRuehl" w:hint="cs"/>
          <w:spacing w:val="10"/>
          <w:sz w:val="22"/>
          <w:szCs w:val="28"/>
          <w:rtl/>
        </w:rPr>
        <w:t>, הציב מבחן רחב יותר: "</w:t>
      </w:r>
      <w:r w:rsidRPr="00632224">
        <w:rPr>
          <w:rFonts w:ascii="Arial TUR" w:hAnsi="Arial TUR" w:cs="FrankRuehl" w:hint="eastAsia"/>
          <w:spacing w:val="10"/>
          <w:sz w:val="22"/>
          <w:szCs w:val="28"/>
          <w:rtl/>
        </w:rPr>
        <w:t>נוטה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אני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לגישה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סמכות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זו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נגזרת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המגבלות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המהותיות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סמכותה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הרשות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המכוננת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זאת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מנת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שמגבלות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אלו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יהפכו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לאות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מתה</w:t>
      </w:r>
      <w:r w:rsidRPr="00632224">
        <w:rPr>
          <w:rFonts w:ascii="Arial TUR" w:hAnsi="Arial TUR" w:cs="FrankRuehl" w:hint="cs"/>
          <w:spacing w:val="10"/>
          <w:sz w:val="22"/>
          <w:szCs w:val="28"/>
          <w:rtl/>
        </w:rPr>
        <w:t>" (</w:t>
      </w:r>
      <w:r w:rsidRPr="00632224">
        <w:rPr>
          <w:rFonts w:ascii="Century" w:hAnsi="Century" w:cs="Miriam" w:hint="eastAsia"/>
          <w:b/>
          <w:sz w:val="22"/>
          <w:rtl/>
        </w:rPr>
        <w:t>שם</w:t>
      </w:r>
      <w:r w:rsidRPr="00632224">
        <w:rPr>
          <w:rFonts w:ascii="Arial TUR" w:hAnsi="Arial TUR" w:cs="FrankRuehl" w:hint="cs"/>
          <w:spacing w:val="10"/>
          <w:sz w:val="22"/>
          <w:szCs w:val="28"/>
          <w:rtl/>
        </w:rPr>
        <w:t>, בפסקה 4 לפסק דינו)</w:t>
      </w:r>
      <w:r w:rsidRPr="00632224">
        <w:rPr>
          <w:rFonts w:cs="FrankRuehl" w:hint="cs"/>
          <w:spacing w:val="10"/>
          <w:sz w:val="24"/>
          <w:szCs w:val="28"/>
          <w:rtl/>
        </w:rPr>
        <w:t>.</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ספק אם מלכתחילה היה מקום לקבוע רף כה גבוה להפעלת דוקטרינת התיקון החוקתי הלא-חוקתי. על פי המצב החוקתי בישראל, אין כל "סממני קדושה" האופפים את הליכי חקיקת חוקי היסוד, שבגינם נדרש בית משפט זה </w:t>
      </w:r>
      <w:r w:rsidRPr="00632224">
        <w:rPr>
          <w:rFonts w:ascii="Century" w:hAnsi="Century" w:cs="FrankRuehl" w:hint="cs"/>
          <w:spacing w:val="10"/>
          <w:sz w:val="22"/>
          <w:szCs w:val="28"/>
          <w:rtl/>
        </w:rPr>
        <w:t>"</w:t>
      </w:r>
      <w:r w:rsidRPr="00632224">
        <w:rPr>
          <w:rFonts w:ascii="Century" w:hAnsi="Century" w:cs="FrankRuehl"/>
          <w:spacing w:val="10"/>
          <w:sz w:val="22"/>
          <w:szCs w:val="28"/>
          <w:rtl/>
        </w:rPr>
        <w:t>לָכֹף כְּאַגְמֹן רֹאשׁוֹ</w:t>
      </w:r>
      <w:r w:rsidRPr="00632224">
        <w:rPr>
          <w:rFonts w:ascii="Century" w:hAnsi="Century" w:cs="FrankRuehl" w:hint="cs"/>
          <w:spacing w:val="10"/>
          <w:sz w:val="22"/>
          <w:szCs w:val="28"/>
          <w:rtl/>
        </w:rPr>
        <w:t xml:space="preserve">" </w:t>
      </w:r>
      <w:r w:rsidRPr="00632224">
        <w:rPr>
          <w:rFonts w:ascii="Arial TUR" w:hAnsi="Arial TUR" w:cs="FrankRuehl" w:hint="cs"/>
          <w:spacing w:val="10"/>
          <w:sz w:val="22"/>
          <w:szCs w:val="28"/>
          <w:rtl/>
        </w:rPr>
        <w:t>(ישעיהו נח, ה)</w:t>
      </w:r>
      <w:r w:rsidRPr="00632224">
        <w:rPr>
          <w:rFonts w:ascii="Century" w:hAnsi="Century" w:cs="FrankRuehl" w:hint="cs"/>
          <w:spacing w:val="10"/>
          <w:sz w:val="22"/>
          <w:szCs w:val="28"/>
          <w:rtl/>
        </w:rPr>
        <w:t xml:space="preserve"> ו</w:t>
      </w:r>
      <w:r w:rsidRPr="00632224">
        <w:rPr>
          <w:rFonts w:ascii="Arial TUR" w:hAnsi="Arial TUR" w:cs="FrankRuehl" w:hint="cs"/>
          <w:spacing w:val="10"/>
          <w:sz w:val="22"/>
          <w:szCs w:val="28"/>
          <w:rtl/>
        </w:rPr>
        <w:t xml:space="preserve">לומר "קדוש-קדוש-קדוש" על כל חוק יסוד ותיקון לחוק יסוד. אם חוקי יסוד נעשו ככדור משחק בידי הכנסת, אזי כאשר הכדור מתגלגל לפתחו של בית המשפט, אין הוא הופך לאגרטל פורצלן עדין, שאין בית המשפט מורשה להחזיקו אלא לראותו בלבד.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שאלה שאותיר בצריך עיון היא אם סטנדרט הביקורת השיפוטית על חוקי היסוד אינו צריך להיות </w:t>
      </w:r>
      <w:r w:rsidRPr="00632224">
        <w:rPr>
          <w:rFonts w:ascii="Century" w:hAnsi="Century" w:cs="Miriam" w:hint="cs"/>
          <w:b/>
          <w:sz w:val="22"/>
          <w:rtl/>
        </w:rPr>
        <w:t>נמוך</w:t>
      </w:r>
      <w:r w:rsidRPr="00632224">
        <w:rPr>
          <w:rFonts w:ascii="Arial TUR" w:hAnsi="Arial TUR" w:cs="FrankRuehl" w:hint="cs"/>
          <w:spacing w:val="10"/>
          <w:sz w:val="22"/>
          <w:szCs w:val="28"/>
          <w:rtl/>
        </w:rPr>
        <w:t xml:space="preserve"> מהרף שהוצע בעניין </w:t>
      </w:r>
      <w:r w:rsidRPr="00632224">
        <w:rPr>
          <w:rFonts w:ascii="Century" w:hAnsi="Century" w:cs="Miriam" w:hint="cs"/>
          <w:b/>
          <w:sz w:val="22"/>
          <w:rtl/>
        </w:rPr>
        <w:t>חוק הלאום</w:t>
      </w:r>
      <w:r w:rsidRPr="00632224">
        <w:rPr>
          <w:rFonts w:ascii="Arial TUR" w:hAnsi="Arial TUR" w:cs="FrankRuehl" w:hint="cs"/>
          <w:spacing w:val="10"/>
          <w:sz w:val="22"/>
          <w:szCs w:val="28"/>
          <w:rtl/>
        </w:rPr>
        <w:t xml:space="preserve"> (חברתי הנשיאה סברה כי יש להותיר על כנו את הרף שנקבע שם, כאמור בפסקה 105 לפסק דינה). כאשר נקבע אותו רף, נראה היה כי מדובר בעניין תיאורטי רחוק, בתרחיש היפותטי ובמבחן שלא ייעשה בו שימוש לעולם, אך לא ימים של אז כימינו אנו. </w:t>
      </w:r>
      <w:r w:rsidRPr="00632224">
        <w:rPr>
          <w:rFonts w:ascii="Arial TUR" w:hAnsi="Arial TUR" w:cs="FrankRuehl"/>
          <w:spacing w:val="10"/>
          <w:sz w:val="22"/>
          <w:szCs w:val="28"/>
          <w:rtl/>
        </w:rPr>
        <w:t xml:space="preserve">כאשר תיקון חוקתי חותר תחת </w:t>
      </w:r>
      <w:r w:rsidRPr="00632224">
        <w:rPr>
          <w:rFonts w:ascii="Arial TUR" w:hAnsi="Arial TUR" w:cs="FrankRuehl" w:hint="eastAsia"/>
          <w:spacing w:val="10"/>
          <w:sz w:val="22"/>
          <w:szCs w:val="28"/>
          <w:rtl/>
        </w:rPr>
        <w:t>הבסיס</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הדמוקרטי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ושלטון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החוק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כאשר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הוא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חותר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תחת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האפשרות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להחלפת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השלטון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כאשר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הוא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w:t>
      </w:r>
      <w:r w:rsidRPr="00632224">
        <w:rPr>
          <w:rFonts w:ascii="Arial TUR" w:hAnsi="Arial TUR" w:cs="FrankRuehl"/>
          <w:spacing w:val="10"/>
          <w:sz w:val="22"/>
          <w:szCs w:val="28"/>
          <w:rtl/>
        </w:rPr>
        <w:t xml:space="preserve">ותר תחת האפשרות להגן על כבודם וחירותם של </w:t>
      </w:r>
      <w:r w:rsidRPr="00632224">
        <w:rPr>
          <w:rFonts w:ascii="Arial TUR" w:hAnsi="Arial TUR" w:cs="FrankRuehl" w:hint="eastAsia"/>
          <w:spacing w:val="10"/>
          <w:sz w:val="22"/>
          <w:szCs w:val="28"/>
          <w:rtl/>
        </w:rPr>
        <w:t>תושבי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המדינה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וכאשר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הוא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חותר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תחת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הבסיס</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היהודי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המדינה</w:t>
      </w:r>
      <w:r w:rsidRPr="00632224">
        <w:rPr>
          <w:rFonts w:ascii="Arial TUR" w:hAnsi="Arial TUR" w:cs="FrankRuehl"/>
          <w:spacing w:val="10"/>
          <w:sz w:val="22"/>
          <w:szCs w:val="28"/>
          <w:rtl/>
        </w:rPr>
        <w:t xml:space="preserve"> – כל אלה קטיגוריות </w:t>
      </w:r>
      <w:r w:rsidRPr="00632224">
        <w:rPr>
          <w:rFonts w:ascii="Arial TUR" w:hAnsi="Arial TUR" w:cs="FrankRuehl" w:hint="eastAsia"/>
          <w:spacing w:val="10"/>
          <w:sz w:val="22"/>
          <w:szCs w:val="28"/>
          <w:rtl/>
        </w:rPr>
        <w:t>החשודות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כתיקון</w:t>
      </w:r>
      <w:r w:rsidRPr="00632224">
        <w:rPr>
          <w:rFonts w:ascii="Arial TUR" w:hAnsi="Arial TUR" w:cs="FrankRuehl"/>
          <w:spacing w:val="10"/>
          <w:sz w:val="22"/>
          <w:szCs w:val="28"/>
          <w:rtl/>
        </w:rPr>
        <w:t xml:space="preserve"> חוקתי </w:t>
      </w:r>
      <w:r w:rsidRPr="00632224">
        <w:rPr>
          <w:rFonts w:ascii="Arial TUR" w:hAnsi="Arial TUR" w:cs="FrankRuehl" w:hint="eastAsia"/>
          <w:spacing w:val="10"/>
          <w:sz w:val="22"/>
          <w:szCs w:val="28"/>
          <w:rtl/>
        </w:rPr>
        <w:t>שאינו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חוקתי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רקע</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האמור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לעיל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לגבי</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העדרם של מנועים דמוקרטיים מספקים ובדבר </w:t>
      </w:r>
      <w:r w:rsidRPr="00632224">
        <w:rPr>
          <w:rFonts w:ascii="Arial TUR" w:hAnsi="Arial TUR" w:cs="FrankRuehl" w:hint="eastAsia"/>
          <w:spacing w:val="10"/>
          <w:sz w:val="22"/>
          <w:szCs w:val="28"/>
          <w:rtl/>
        </w:rPr>
        <w:lastRenderedPageBreak/>
        <w:t>ה</w:t>
      </w:r>
      <w:r w:rsidRPr="00632224">
        <w:rPr>
          <w:rFonts w:ascii="Arial TUR" w:hAnsi="Arial TUR" w:cs="FrankRuehl"/>
          <w:spacing w:val="10"/>
          <w:sz w:val="22"/>
          <w:szCs w:val="28"/>
          <w:rtl/>
        </w:rPr>
        <w:t>"</w:t>
      </w:r>
      <w:r w:rsidRPr="00632224">
        <w:rPr>
          <w:rFonts w:ascii="Arial TUR" w:hAnsi="Arial TUR" w:cs="FrankRuehl" w:hint="eastAsia"/>
          <w:spacing w:val="10"/>
          <w:sz w:val="22"/>
          <w:szCs w:val="28"/>
          <w:rtl/>
        </w:rPr>
        <w:t>קלות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הבלתי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נסבלת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חקיקת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יסוד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ותיקונם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מבלי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שנקבעו</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w:t>
      </w:r>
      <w:r w:rsidRPr="00632224">
        <w:rPr>
          <w:rFonts w:ascii="Arial TUR" w:hAnsi="Arial TUR" w:cs="FrankRuehl" w:hint="eastAsia"/>
          <w:spacing w:val="10"/>
          <w:sz w:val="22"/>
          <w:szCs w:val="28"/>
          <w:rtl/>
        </w:rPr>
        <w:t>כללי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משחק</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חוקתיים"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דומה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יש</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להרהר אחר </w:t>
      </w:r>
      <w:r w:rsidRPr="00632224">
        <w:rPr>
          <w:rFonts w:ascii="Arial TUR" w:hAnsi="Arial TUR" w:cs="FrankRuehl" w:hint="eastAsia"/>
          <w:spacing w:val="10"/>
          <w:sz w:val="22"/>
          <w:szCs w:val="28"/>
          <w:rtl/>
        </w:rPr>
        <w:t>האפשרות</w:t>
      </w:r>
      <w:r w:rsidRPr="00632224">
        <w:rPr>
          <w:rFonts w:ascii="Arial TUR" w:hAnsi="Arial TUR" w:cs="FrankRuehl" w:hint="cs"/>
          <w:spacing w:val="10"/>
          <w:sz w:val="22"/>
          <w:szCs w:val="28"/>
          <w:rtl/>
        </w:rPr>
        <w:t xml:space="preserve"> </w:t>
      </w:r>
      <w:r w:rsidRPr="00632224">
        <w:rPr>
          <w:rFonts w:ascii="Arial TUR" w:hAnsi="Arial TUR" w:cs="FrankRuehl" w:hint="eastAsia"/>
          <w:spacing w:val="10"/>
          <w:sz w:val="22"/>
          <w:szCs w:val="28"/>
          <w:rtl/>
        </w:rPr>
        <w:t>להרחיב</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את</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נכונותו של בית משפט זה להעביר </w:t>
      </w:r>
      <w:r w:rsidRPr="00632224">
        <w:rPr>
          <w:rFonts w:ascii="Arial TUR" w:hAnsi="Arial TUR" w:cs="FrankRuehl" w:hint="eastAsia"/>
          <w:spacing w:val="10"/>
          <w:sz w:val="22"/>
          <w:szCs w:val="28"/>
          <w:rtl/>
        </w:rPr>
        <w:t>ביקורת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שיפוטית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יסוד</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המשנים את האיזונים והבלמים הקבועים בשיטתנו</w:t>
      </w:r>
      <w:r w:rsidRPr="00632224">
        <w:rPr>
          <w:rFonts w:ascii="Arial TUR" w:hAnsi="Arial TUR" w:cs="FrankRuehl"/>
          <w:spacing w:val="10"/>
          <w:sz w:val="22"/>
          <w:szCs w:val="28"/>
          <w:rtl/>
        </w:rPr>
        <w:t>.</w:t>
      </w:r>
      <w:r w:rsidRPr="00632224" w:rsidDel="00AD4341">
        <w:rPr>
          <w:rFonts w:ascii="Arial TUR" w:hAnsi="Arial TUR" w:cs="FrankRuehl"/>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מכל מקום, כפי שאסביר להלן, התיקון לחוק היסוד שבפנינו אינו עומד גם ברף של ביקורת שיפוטית על חוקי יסוד שהציב בית המשפט בעניין </w:t>
      </w:r>
      <w:r w:rsidRPr="00632224">
        <w:rPr>
          <w:rFonts w:ascii="Century" w:hAnsi="Century" w:cs="Miriam" w:hint="cs"/>
          <w:b/>
          <w:sz w:val="22"/>
          <w:rtl/>
        </w:rPr>
        <w:t>חוק הלאום</w:t>
      </w:r>
      <w:r w:rsidRPr="00632224">
        <w:rPr>
          <w:rFonts w:ascii="Arial TUR" w:hAnsi="Arial TUR" w:cs="FrankRuehl" w:hint="cs"/>
          <w:spacing w:val="10"/>
          <w:sz w:val="22"/>
          <w:szCs w:val="28"/>
          <w:rtl/>
        </w:rPr>
        <w:t xml:space="preserve">, </w:t>
      </w:r>
      <w:r w:rsidRPr="00632224">
        <w:rPr>
          <w:rFonts w:ascii="Arial TUR" w:hAnsi="Arial TUR" w:cs="FrankRuehl" w:hint="eastAsia"/>
          <w:spacing w:val="10"/>
          <w:sz w:val="22"/>
          <w:szCs w:val="28"/>
          <w:rtl/>
        </w:rPr>
        <w:t>ועל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כך</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עמדה</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גם </w:t>
      </w:r>
      <w:r w:rsidRPr="00632224">
        <w:rPr>
          <w:rFonts w:ascii="Arial TUR" w:hAnsi="Arial TUR" w:cs="FrankRuehl" w:hint="eastAsia"/>
          <w:spacing w:val="10"/>
          <w:sz w:val="22"/>
          <w:szCs w:val="28"/>
          <w:rtl/>
        </w:rPr>
        <w:t>הנשיאה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בפסק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דינה</w:t>
      </w:r>
      <w:r w:rsidRPr="00632224">
        <w:rPr>
          <w:rFonts w:ascii="Arial TUR" w:hAnsi="Arial TUR" w:cs="FrankRuehl" w:hint="cs"/>
          <w:spacing w:val="10"/>
          <w:sz w:val="22"/>
          <w:szCs w:val="28"/>
          <w:rtl/>
        </w:rPr>
        <w:t xml:space="preserve">. משכך, לא אקבע מסמרות בנושא, ונקווה שלא נדרש לשאלה זו בעתיד.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Arial TUR" w:hAnsi="Arial TUR" w:cs="FrankRuehl" w:hint="cs"/>
          <w:spacing w:val="10"/>
          <w:sz w:val="22"/>
          <w:szCs w:val="28"/>
          <w:rtl/>
        </w:rPr>
        <w:t>39.</w:t>
      </w:r>
      <w:r w:rsidRPr="00632224">
        <w:rPr>
          <w:rFonts w:ascii="Arial TUR" w:hAnsi="Arial TUR" w:cs="FrankRuehl" w:hint="cs"/>
          <w:spacing w:val="10"/>
          <w:sz w:val="22"/>
          <w:szCs w:val="28"/>
          <w:rtl/>
        </w:rPr>
        <w:tab/>
      </w:r>
      <w:r w:rsidRPr="00632224">
        <w:rPr>
          <w:rFonts w:ascii="Century" w:hAnsi="Century" w:cs="FrankRuehl" w:hint="cs"/>
          <w:spacing w:val="10"/>
          <w:sz w:val="22"/>
          <w:szCs w:val="28"/>
          <w:rtl/>
        </w:rPr>
        <w:t xml:space="preserve">וכעת, לאחר שהסברנו מדוע חיוני כי תהא ביקורת שיפוטית על חוקי היסוד, מהו מקור הסמכות לכך ומה אמות המידה לבחינת התיקון, אפנה לבחינת התיקון לחוק נושא דיוננו.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על עילת הסבירות</w:t>
      </w:r>
    </w:p>
    <w:p w:rsidR="00244560" w:rsidRPr="00632224" w:rsidRDefault="00244560" w:rsidP="009B0AFF">
      <w:pPr>
        <w:tabs>
          <w:tab w:val="left" w:pos="800"/>
        </w:tabs>
        <w:spacing w:line="276" w:lineRule="auto"/>
        <w:jc w:val="both"/>
        <w:rPr>
          <w:rFonts w:ascii="Century" w:hAnsi="Century" w:cs="Miriam"/>
          <w:sz w:val="32"/>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shd w:val="clear" w:color="auto" w:fill="FFFFFF"/>
          <w:rtl/>
        </w:rPr>
        <w:t>40.</w:t>
      </w:r>
      <w:r w:rsidRPr="00632224">
        <w:rPr>
          <w:rFonts w:ascii="Century" w:hAnsi="Century" w:cs="FrankRuehl" w:hint="cs"/>
          <w:spacing w:val="10"/>
          <w:sz w:val="22"/>
          <w:szCs w:val="28"/>
          <w:shd w:val="clear" w:color="auto" w:fill="FFFFFF"/>
          <w:rtl/>
        </w:rPr>
        <w:tab/>
        <w:t xml:space="preserve">בהעדר חוק הכולל את עילות הביקורת המינהלית, הפסיקה קבעה את כללי היסוד </w:t>
      </w:r>
      <w:r w:rsidRPr="00632224">
        <w:rPr>
          <w:rFonts w:ascii="Century" w:hAnsi="Century" w:cs="FrankRuehl"/>
          <w:spacing w:val="10"/>
          <w:sz w:val="22"/>
          <w:szCs w:val="28"/>
          <w:shd w:val="clear" w:color="auto" w:fill="FFFFFF"/>
          <w:rtl/>
        </w:rPr>
        <w:t>לפעולתן של רשויות המינה</w:t>
      </w:r>
      <w:r w:rsidRPr="00632224">
        <w:rPr>
          <w:rFonts w:ascii="Century" w:hAnsi="Century" w:cs="FrankRuehl" w:hint="cs"/>
          <w:spacing w:val="10"/>
          <w:sz w:val="22"/>
          <w:szCs w:val="28"/>
          <w:shd w:val="clear" w:color="auto" w:fill="FFFFFF"/>
          <w:rtl/>
        </w:rPr>
        <w:t xml:space="preserve">ל ואת "המרעין בישין" שעשויים להצדיק התערבות בפעולות מינהליות שונות. </w:t>
      </w:r>
      <w:r w:rsidRPr="00632224">
        <w:rPr>
          <w:rFonts w:ascii="Century" w:hAnsi="Century" w:cs="FrankRuehl" w:hint="cs"/>
          <w:spacing w:val="10"/>
          <w:sz w:val="22"/>
          <w:szCs w:val="28"/>
          <w:rtl/>
        </w:rPr>
        <w:t xml:space="preserve">אחת מאותן עילות ביקורת היא עילת הסבירות. </w:t>
      </w:r>
      <w:r w:rsidRPr="00632224">
        <w:rPr>
          <w:rFonts w:ascii="Arial TUR" w:hAnsi="Arial TUR" w:cs="FrankRuehl" w:hint="cs"/>
          <w:spacing w:val="10"/>
          <w:sz w:val="22"/>
          <w:szCs w:val="28"/>
          <w:rtl/>
        </w:rPr>
        <w:t>לא בכדי צמחה עילה זו מתוך העילה של חריגה מסמכות, מאחר שהבחינה נעשית בהתאם להוראות החוק המסמיך על פי תכליתו ותפקידו של החוק. אין לי אלא ללכת לדברי ראשונים:</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Century" w:hAnsi="Century" w:cs="FrankRuehl" w:hint="cs"/>
          <w:spacing w:val="10"/>
          <w:sz w:val="22"/>
          <w:szCs w:val="28"/>
          <w:rtl/>
        </w:rPr>
        <w:t>"</w:t>
      </w:r>
      <w:r w:rsidRPr="00632224">
        <w:rPr>
          <w:rFonts w:ascii="Century" w:hAnsi="Century" w:cs="FrankRuehl"/>
          <w:spacing w:val="10"/>
          <w:sz w:val="22"/>
          <w:szCs w:val="28"/>
          <w:rtl/>
        </w:rPr>
        <w:t>אני רואה את העיקר בזה, שענין הסבירות אינו בעצם אלא אחת הצורות של חריגה מסמכות</w:t>
      </w:r>
      <w:r w:rsidRPr="00632224">
        <w:rPr>
          <w:rFonts w:ascii="Century" w:hAnsi="Century" w:cs="FrankRuehl" w:hint="cs"/>
          <w:spacing w:val="10"/>
          <w:sz w:val="22"/>
          <w:szCs w:val="28"/>
          <w:rtl/>
        </w:rPr>
        <w:t xml:space="preserve"> [...]. </w:t>
      </w:r>
      <w:r w:rsidRPr="00632224">
        <w:rPr>
          <w:rFonts w:ascii="Century" w:hAnsi="Century" w:cs="FrankRuehl"/>
          <w:spacing w:val="10"/>
          <w:sz w:val="22"/>
          <w:szCs w:val="28"/>
          <w:rtl/>
        </w:rPr>
        <w:t>עניני הסבירות והחריגה מהסמכות כרוכים, איפוא, זה אחר זה</w:t>
      </w:r>
      <w:r w:rsidRPr="00632224">
        <w:rPr>
          <w:rFonts w:ascii="Century" w:hAnsi="Century" w:cs="FrankRuehl" w:hint="cs"/>
          <w:spacing w:val="10"/>
          <w:sz w:val="22"/>
          <w:szCs w:val="28"/>
          <w:rtl/>
        </w:rPr>
        <w:t xml:space="preserve">, [...] </w:t>
      </w:r>
      <w:r w:rsidRPr="00632224">
        <w:rPr>
          <w:rFonts w:ascii="Century" w:hAnsi="Century" w:cs="FrankRuehl"/>
          <w:spacing w:val="10"/>
          <w:sz w:val="22"/>
          <w:szCs w:val="28"/>
          <w:rtl/>
        </w:rPr>
        <w:t>התחומים בין חריגה מסמכות מטעמי אי סבירות וחריגה מטעמים אחרים הם לעתים קרובות מטושטשים וקשה להבדיל ביניהם</w:t>
      </w:r>
      <w:r w:rsidRPr="00632224">
        <w:rPr>
          <w:rFonts w:ascii="Century" w:hAnsi="Century" w:cs="FrankRuehl" w:hint="cs"/>
          <w:spacing w:val="10"/>
          <w:sz w:val="22"/>
          <w:szCs w:val="28"/>
          <w:rtl/>
        </w:rPr>
        <w:t xml:space="preserve"> [...] </w:t>
      </w:r>
      <w:r w:rsidRPr="00632224">
        <w:rPr>
          <w:rFonts w:ascii="Century" w:hAnsi="Century" w:cs="FrankRuehl"/>
          <w:spacing w:val="10"/>
          <w:sz w:val="22"/>
          <w:szCs w:val="28"/>
          <w:rtl/>
        </w:rPr>
        <w:t xml:space="preserve">ייתכן שהשם המשותף היאה לכל הסוגים האלה של חריגה מסמכות הוא </w:t>
      </w:r>
      <w:r w:rsidRPr="00632224">
        <w:rPr>
          <w:rFonts w:ascii="Century" w:hAnsi="Century" w:cs="FrankRuehl" w:hint="cs"/>
          <w:spacing w:val="10"/>
          <w:sz w:val="22"/>
          <w:szCs w:val="28"/>
          <w:rtl/>
        </w:rPr>
        <w:t>'</w:t>
      </w:r>
      <w:r w:rsidRPr="00632224">
        <w:rPr>
          <w:rFonts w:ascii="Century" w:hAnsi="Century" w:cs="FrankRuehl"/>
          <w:spacing w:val="10"/>
          <w:sz w:val="22"/>
          <w:szCs w:val="28"/>
          <w:rtl/>
        </w:rPr>
        <w:t>עיוות הסמכות</w:t>
      </w:r>
      <w:r w:rsidRPr="00632224">
        <w:rPr>
          <w:rFonts w:ascii="Century" w:hAnsi="Century" w:cs="FrankRuehl" w:hint="cs"/>
          <w:spacing w:val="10"/>
          <w:sz w:val="22"/>
          <w:szCs w:val="28"/>
          <w:rtl/>
        </w:rPr>
        <w:t>'</w:t>
      </w:r>
      <w:r w:rsidRPr="00632224">
        <w:rPr>
          <w:rFonts w:ascii="Century" w:hAnsi="Century" w:cs="FrankRuehl"/>
          <w:spacing w:val="10"/>
          <w:sz w:val="22"/>
          <w:szCs w:val="28"/>
          <w:rtl/>
        </w:rPr>
        <w:t xml:space="preserve">, מה שנקרא בפי הצרפתים </w:t>
      </w: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 xml:space="preserve">ובפי האנגלים </w:t>
      </w:r>
      <w:r w:rsidRPr="00632224">
        <w:rPr>
          <w:rFonts w:cs="FrankRuehl"/>
          <w:spacing w:val="10"/>
          <w:sz w:val="22"/>
          <w:szCs w:val="22"/>
        </w:rPr>
        <w:t>abuse of power</w:t>
      </w:r>
      <w:r w:rsidRPr="00632224">
        <w:rPr>
          <w:rFonts w:ascii="Century" w:hAnsi="Century" w:cs="FrankRuehl" w:hint="cs"/>
          <w:spacing w:val="10"/>
          <w:sz w:val="22"/>
          <w:szCs w:val="28"/>
          <w:rtl/>
        </w:rPr>
        <w:t xml:space="preserve">" (ע"א 311/57 </w:t>
      </w:r>
      <w:r w:rsidRPr="00632224">
        <w:rPr>
          <w:rFonts w:ascii="Century" w:hAnsi="Century" w:cs="Miriam" w:hint="cs"/>
          <w:b/>
          <w:sz w:val="22"/>
          <w:rtl/>
        </w:rPr>
        <w:t>היועץ המשפטי לממשלה נ' מ. דיזינגוף ושות (שיט) בע"מ</w:t>
      </w:r>
      <w:r w:rsidRPr="00632224">
        <w:rPr>
          <w:rFonts w:ascii="Century" w:hAnsi="Century" w:cs="FrankRuehl" w:hint="cs"/>
          <w:spacing w:val="10"/>
          <w:sz w:val="22"/>
          <w:szCs w:val="28"/>
          <w:rtl/>
        </w:rPr>
        <w:t xml:space="preserve">, פ"ד יג 1026, 1038-1037 (1959)). </w:t>
      </w:r>
    </w:p>
    <w:p w:rsidR="00244560" w:rsidRPr="00632224" w:rsidRDefault="00244560" w:rsidP="00244560">
      <w:pPr>
        <w:ind w:left="1644" w:right="1276"/>
        <w:jc w:val="both"/>
        <w:rPr>
          <w:rFonts w:ascii="Century" w:eastAsia="MS Mincho" w:hAnsi="Century" w:cs="FrankRuehl"/>
          <w:spacing w:val="10"/>
          <w:sz w:val="22"/>
          <w:szCs w:val="28"/>
          <w:rtl/>
        </w:rPr>
      </w:pPr>
    </w:p>
    <w:p w:rsidR="00244560" w:rsidRPr="00632224" w:rsidRDefault="00244560" w:rsidP="00244560">
      <w:pPr>
        <w:ind w:left="1644" w:right="1276"/>
        <w:jc w:val="both"/>
        <w:rPr>
          <w:rFonts w:ascii="Century" w:eastAsia="MS Mincho" w:hAnsi="Century" w:cs="FrankRuehl"/>
          <w:spacing w:val="10"/>
          <w:sz w:val="22"/>
          <w:szCs w:val="28"/>
          <w:rtl/>
        </w:rPr>
      </w:pPr>
      <w:r w:rsidRPr="00632224">
        <w:rPr>
          <w:rFonts w:ascii="Century" w:eastAsia="MS Mincho" w:hAnsi="Century" w:cs="FrankRuehl" w:hint="cs"/>
          <w:spacing w:val="10"/>
          <w:sz w:val="22"/>
          <w:szCs w:val="28"/>
          <w:rtl/>
        </w:rPr>
        <w:t>"</w:t>
      </w:r>
      <w:r w:rsidRPr="00632224">
        <w:rPr>
          <w:rFonts w:ascii="Century" w:eastAsia="MS Mincho" w:hAnsi="Century" w:cs="FrankRuehl"/>
          <w:spacing w:val="10"/>
          <w:sz w:val="22"/>
          <w:szCs w:val="28"/>
          <w:rtl/>
        </w:rPr>
        <w:t xml:space="preserve">תקנה אשר דבקה בה אי-סבירות היורדת לשרשו של ענין, רואים אותה כחורגת מסמכותו של מי שהתקינה ובשל כך תיחשב כבטלה ומבוטלת </w:t>
      </w:r>
      <w:r w:rsidRPr="00632224">
        <w:rPr>
          <w:rFonts w:ascii="Century" w:eastAsia="MS Mincho" w:hAnsi="Century" w:cs="FrankRuehl" w:hint="cs"/>
          <w:spacing w:val="10"/>
          <w:sz w:val="22"/>
          <w:szCs w:val="28"/>
          <w:rtl/>
        </w:rPr>
        <w:t>[...].</w:t>
      </w:r>
      <w:r w:rsidRPr="00632224">
        <w:rPr>
          <w:rFonts w:ascii="Century" w:eastAsia="MS Mincho" w:hAnsi="Century" w:cs="FrankRuehl"/>
          <w:spacing w:val="10"/>
          <w:sz w:val="22"/>
          <w:szCs w:val="28"/>
          <w:rtl/>
        </w:rPr>
        <w:t xml:space="preserve"> חריגה מהותית מסמכות בכגון דא יכול שתתבטא בהתקנת</w:t>
      </w:r>
      <w:r w:rsidRPr="00632224">
        <w:rPr>
          <w:rFonts w:ascii="Century" w:eastAsia="MS Mincho" w:hAnsi="Century" w:cs="FrankRuehl" w:hint="cs"/>
          <w:spacing w:val="10"/>
          <w:sz w:val="22"/>
          <w:szCs w:val="28"/>
          <w:rtl/>
        </w:rPr>
        <w:t xml:space="preserve"> </w:t>
      </w:r>
      <w:r w:rsidRPr="00632224">
        <w:rPr>
          <w:rFonts w:ascii="Century" w:eastAsia="MS Mincho" w:hAnsi="Century" w:cs="FrankRuehl"/>
          <w:spacing w:val="10"/>
          <w:sz w:val="22"/>
          <w:szCs w:val="28"/>
          <w:rtl/>
        </w:rPr>
        <w:t xml:space="preserve">תקנה שהוראותיה אינן במסגרת ד' האמות, כפשוטן, של הסעיף </w:t>
      </w:r>
      <w:r w:rsidRPr="00632224">
        <w:rPr>
          <w:rFonts w:ascii="Century" w:eastAsia="MS Mincho" w:hAnsi="Century" w:cs="FrankRuehl"/>
          <w:spacing w:val="10"/>
          <w:sz w:val="22"/>
          <w:szCs w:val="28"/>
          <w:rtl/>
        </w:rPr>
        <w:lastRenderedPageBreak/>
        <w:t>המסמיך בחוק החרות ויכול שהחריגה מסמכות תתבטא באי-סבירותו של התוכן, כי הרי הנחה היא שהמחוקק לא נתכוון להעניק סמכות להתקין תקנות שהן בלתי-סבירות</w:t>
      </w:r>
      <w:r w:rsidRPr="00632224">
        <w:rPr>
          <w:rFonts w:ascii="Century" w:eastAsia="MS Mincho" w:hAnsi="Century" w:cs="FrankRuehl" w:hint="cs"/>
          <w:spacing w:val="10"/>
          <w:sz w:val="22"/>
          <w:szCs w:val="28"/>
          <w:rtl/>
        </w:rPr>
        <w:t xml:space="preserve">" (בג"ץ 156/75 </w:t>
      </w:r>
      <w:r w:rsidRPr="00632224">
        <w:rPr>
          <w:rFonts w:ascii="Century" w:eastAsia="MS Mincho" w:hAnsi="Century" w:cs="Miriam" w:hint="cs"/>
          <w:b/>
          <w:sz w:val="22"/>
          <w:rtl/>
        </w:rPr>
        <w:t>דקה נ' שר התחבורה</w:t>
      </w:r>
      <w:r w:rsidRPr="00632224">
        <w:rPr>
          <w:rFonts w:ascii="Century" w:eastAsia="MS Mincho" w:hAnsi="Century" w:cs="FrankRuehl" w:hint="cs"/>
          <w:spacing w:val="10"/>
          <w:sz w:val="22"/>
          <w:szCs w:val="28"/>
          <w:rtl/>
        </w:rPr>
        <w:t>, פ"ד ל(2) 94, 102-101 (1976))</w:t>
      </w:r>
      <w:r w:rsidRPr="00632224">
        <w:rPr>
          <w:rFonts w:ascii="Century" w:eastAsia="MS Mincho" w:hAnsi="Century" w:cs="FrankRuehl"/>
          <w:spacing w:val="10"/>
          <w:sz w:val="22"/>
          <w:szCs w:val="28"/>
          <w:rtl/>
        </w:rPr>
        <w:t xml:space="preserve">. </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משמע, כאשר בית המשפט מתערב וקובע כי החלטה מסוימת </w:t>
      </w:r>
      <w:r w:rsidRPr="00632224">
        <w:rPr>
          <w:rFonts w:ascii="Arial TUR" w:hAnsi="Arial TUR" w:cs="FrankRuehl" w:hint="cs"/>
          <w:spacing w:val="10"/>
          <w:sz w:val="22"/>
          <w:szCs w:val="28"/>
          <w:rtl/>
        </w:rPr>
        <w:t>של שר חרגה ממתחם הסבירות ודינה להתבטל</w:t>
      </w:r>
      <w:r w:rsidRPr="00632224" w:rsidDel="00F21439">
        <w:rPr>
          <w:rFonts w:ascii="Arial TUR" w:hAnsi="Arial TUR" w:cs="FrankRuehl" w:hint="cs"/>
          <w:spacing w:val="10"/>
          <w:sz w:val="22"/>
          <w:szCs w:val="28"/>
          <w:rtl/>
        </w:rPr>
        <w:t xml:space="preserve"> </w:t>
      </w:r>
      <w:r w:rsidRPr="00632224">
        <w:rPr>
          <w:rFonts w:ascii="Arial TUR" w:hAnsi="Arial TUR" w:cs="FrankRuehl" w:hint="cs"/>
          <w:spacing w:val="10"/>
          <w:sz w:val="22"/>
          <w:szCs w:val="28"/>
          <w:rtl/>
        </w:rPr>
        <w:t xml:space="preserve">בשל חוסר סבירות קיצוני או מהותי, הוא אומר למעשה, כי השר חרג מסמכותו על פי החוק המסמיך וכי המחוקק לא התכוון לתת בידי השר סמכות לקבל החלטה בלתי סבירה באופן קיצוני.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41.</w:t>
      </w: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פסק דינו של השופט </w:t>
      </w:r>
      <w:r w:rsidRPr="00632224">
        <w:rPr>
          <w:rFonts w:ascii="Century" w:hAnsi="Century" w:cs="Miriam" w:hint="eastAsia"/>
          <w:b/>
          <w:sz w:val="22"/>
          <w:rtl/>
        </w:rPr>
        <w:t>ברק</w:t>
      </w:r>
      <w:r w:rsidRPr="00632224">
        <w:rPr>
          <w:rFonts w:ascii="Arial TUR" w:hAnsi="Arial TUR" w:cs="FrankRuehl" w:hint="cs"/>
          <w:spacing w:val="10"/>
          <w:sz w:val="22"/>
          <w:szCs w:val="28"/>
          <w:rtl/>
        </w:rPr>
        <w:t xml:space="preserve"> בבג"ץ 389/80 </w:t>
      </w:r>
      <w:r w:rsidRPr="00632224">
        <w:rPr>
          <w:rFonts w:ascii="Century" w:hAnsi="Century" w:cs="Miriam" w:hint="cs"/>
          <w:b/>
          <w:sz w:val="22"/>
          <w:rtl/>
        </w:rPr>
        <w:t>דפי זהב בע"מ נ' רשות השידור</w:t>
      </w:r>
      <w:r w:rsidRPr="00632224">
        <w:rPr>
          <w:rFonts w:ascii="Arial TUR" w:hAnsi="Arial TUR" w:cs="FrankRuehl" w:hint="cs"/>
          <w:spacing w:val="10"/>
          <w:sz w:val="22"/>
          <w:szCs w:val="28"/>
          <w:rtl/>
        </w:rPr>
        <w:t xml:space="preserve">, פ"ד לה(1) 421, 437 (1980) (להלן: עניין </w:t>
      </w:r>
      <w:r w:rsidRPr="00632224">
        <w:rPr>
          <w:rFonts w:ascii="Century" w:hAnsi="Century" w:cs="Miriam" w:hint="cs"/>
          <w:b/>
          <w:sz w:val="22"/>
          <w:rtl/>
        </w:rPr>
        <w:t>דפי זהב</w:t>
      </w:r>
      <w:r w:rsidRPr="00632224">
        <w:rPr>
          <w:rFonts w:ascii="Century" w:hAnsi="Century" w:cs="FrankRuehl"/>
          <w:spacing w:val="10"/>
          <w:sz w:val="22"/>
          <w:szCs w:val="28"/>
          <w:rtl/>
        </w:rPr>
        <w:t>)</w:t>
      </w:r>
      <w:r w:rsidRPr="00632224">
        <w:rPr>
          <w:rFonts w:ascii="Arial TUR" w:hAnsi="Arial TUR" w:cs="FrankRuehl" w:hint="cs"/>
          <w:spacing w:val="10"/>
          <w:sz w:val="22"/>
          <w:szCs w:val="28"/>
          <w:rtl/>
        </w:rPr>
        <w:t xml:space="preserve"> נחשב על ידי מלומדי משפט כפסק דין תקדימי שיצר קטיגורית סבירות חדשה (ראו בפסקה 13 לפסק דינה של השופטת </w:t>
      </w:r>
      <w:r w:rsidRPr="00632224">
        <w:rPr>
          <w:rFonts w:ascii="Century" w:hAnsi="Century" w:cs="Miriam" w:hint="eastAsia"/>
          <w:b/>
          <w:sz w:val="22"/>
          <w:rtl/>
        </w:rPr>
        <w:t>וילנר</w:t>
      </w:r>
      <w:r w:rsidRPr="00632224">
        <w:rPr>
          <w:rFonts w:ascii="Arial TUR" w:hAnsi="Arial TUR" w:cs="FrankRuehl" w:hint="cs"/>
          <w:spacing w:val="10"/>
          <w:sz w:val="22"/>
          <w:szCs w:val="28"/>
          <w:rtl/>
        </w:rPr>
        <w:t xml:space="preserve">). מנגד, יש הגורסים כי פסק הדין בעניין </w:t>
      </w:r>
      <w:r w:rsidRPr="00632224">
        <w:rPr>
          <w:rFonts w:ascii="Century" w:hAnsi="Century" w:cs="Miriam" w:hint="eastAsia"/>
          <w:b/>
          <w:sz w:val="22"/>
          <w:rtl/>
        </w:rPr>
        <w:t>דפי</w:t>
      </w:r>
      <w:r w:rsidRPr="00632224">
        <w:rPr>
          <w:rFonts w:ascii="Century" w:hAnsi="Century" w:cs="Miriam"/>
          <w:b/>
          <w:sz w:val="22"/>
          <w:rtl/>
        </w:rPr>
        <w:t xml:space="preserve"> </w:t>
      </w:r>
      <w:r w:rsidRPr="00632224">
        <w:rPr>
          <w:rFonts w:ascii="Century" w:hAnsi="Century" w:cs="Miriam" w:hint="eastAsia"/>
          <w:b/>
          <w:sz w:val="22"/>
          <w:rtl/>
        </w:rPr>
        <w:t>זהב</w:t>
      </w:r>
      <w:r w:rsidRPr="00632224">
        <w:rPr>
          <w:rFonts w:ascii="Arial TUR" w:hAnsi="Arial TUR" w:cs="FrankRuehl" w:hint="cs"/>
          <w:spacing w:val="10"/>
          <w:sz w:val="22"/>
          <w:szCs w:val="28"/>
          <w:rtl/>
        </w:rPr>
        <w:t xml:space="preserve"> לא יצר עילת סבירות חדשה יש מאין, אלא אך שכלל את המתודולוגיה של בדיקת הסבירות, כאשר הסבירות האיזונית משמעה: "</w:t>
      </w:r>
      <w:r w:rsidRPr="00632224">
        <w:rPr>
          <w:rFonts w:ascii="Arial TUR" w:hAnsi="Arial TUR" w:cs="FrankRuehl"/>
          <w:spacing w:val="10"/>
          <w:sz w:val="22"/>
          <w:szCs w:val="28"/>
          <w:rtl/>
        </w:rPr>
        <w:t>איזון זה הוא סביר, אם הרשות המוסמכת נותנת את המשקל הראוי, כלומר, המשקל המתבקש על-פי פירושה של הנורמה החקיקתית אותה מבצעת הרשות המינהלית, לאינטרסים השונים הבאים בחשבון</w:t>
      </w:r>
      <w:r w:rsidRPr="00632224">
        <w:rPr>
          <w:rFonts w:ascii="Arial TUR" w:hAnsi="Arial TUR" w:cs="FrankRuehl" w:hint="cs"/>
          <w:spacing w:val="10"/>
          <w:sz w:val="22"/>
          <w:szCs w:val="28"/>
          <w:rtl/>
        </w:rPr>
        <w:t>" (</w:t>
      </w:r>
      <w:r w:rsidRPr="00632224">
        <w:rPr>
          <w:rFonts w:ascii="Century" w:hAnsi="Century" w:cs="Miriam" w:hint="eastAsia"/>
          <w:b/>
          <w:sz w:val="22"/>
          <w:rtl/>
        </w:rPr>
        <w:t>שם</w:t>
      </w:r>
      <w:r w:rsidRPr="00632224">
        <w:rPr>
          <w:rFonts w:ascii="Arial TUR" w:hAnsi="Arial TUR" w:cs="FrankRuehl" w:hint="cs"/>
          <w:spacing w:val="10"/>
          <w:sz w:val="22"/>
          <w:szCs w:val="28"/>
          <w:rtl/>
        </w:rPr>
        <w:t xml:space="preserve">, בעמ' 445). </w:t>
      </w:r>
      <w:r w:rsidRPr="00632224">
        <w:rPr>
          <w:rFonts w:ascii="Century" w:hAnsi="Century" w:cs="FrankRuehl" w:hint="cs"/>
          <w:spacing w:val="10"/>
          <w:sz w:val="22"/>
          <w:szCs w:val="28"/>
          <w:rtl/>
        </w:rPr>
        <w:t xml:space="preserve">למיצער, ניתן לומר כי הלכת </w:t>
      </w:r>
      <w:r w:rsidRPr="00632224">
        <w:rPr>
          <w:rFonts w:ascii="Century" w:hAnsi="Century" w:cs="Miriam" w:hint="cs"/>
          <w:b/>
          <w:sz w:val="22"/>
          <w:rtl/>
        </w:rPr>
        <w:t>דפי זהב</w:t>
      </w:r>
      <w:r w:rsidRPr="00632224">
        <w:rPr>
          <w:rFonts w:ascii="Century" w:hAnsi="Century" w:cs="FrankRuehl" w:hint="cs"/>
          <w:spacing w:val="10"/>
          <w:sz w:val="22"/>
          <w:szCs w:val="28"/>
          <w:rtl/>
        </w:rPr>
        <w:t xml:space="preserve"> העמידה את עילת הסבירות כעילה מרכזית ועצמאית העומדת על רגליה שלה, וזו הסיבה שבגינה רואים אותה כאבן דרך. וכלשונו של השופט </w:t>
      </w:r>
      <w:r w:rsidRPr="00632224">
        <w:rPr>
          <w:rFonts w:ascii="Century" w:hAnsi="Century" w:cs="Miriam" w:hint="eastAsia"/>
          <w:b/>
          <w:sz w:val="22"/>
          <w:rtl/>
        </w:rPr>
        <w:t>חשין</w:t>
      </w:r>
      <w:r w:rsidRPr="00632224">
        <w:rPr>
          <w:rFonts w:ascii="Century" w:hAnsi="Century" w:cs="FrankRuehl" w:hint="cs"/>
          <w:spacing w:val="10"/>
          <w:sz w:val="22"/>
          <w:szCs w:val="28"/>
          <w:rtl/>
        </w:rPr>
        <w:t>: "</w:t>
      </w:r>
      <w:r w:rsidRPr="00632224">
        <w:rPr>
          <w:rFonts w:ascii="Arial TUR" w:hAnsi="Arial TUR" w:cs="FrankRuehl"/>
          <w:spacing w:val="10"/>
          <w:sz w:val="22"/>
          <w:szCs w:val="28"/>
          <w:rtl/>
        </w:rPr>
        <w:t>לימים, משבאה לאוויר העולם כעילה כוללת</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כול, השתלטה עילת הסבירות – כמוה כעוולת הרשלנות בזמנה ובמקומה – על כל סביבותיה, ואבותיה הקדמונים באו לחסות בצלה. עילת הסבירות הפכה בתחום המשפט המינהלי</w:t>
      </w:r>
      <w:r w:rsidRPr="00632224">
        <w:rPr>
          <w:rFonts w:ascii="Arial TUR" w:hAnsi="Arial TUR" w:cs="FrankRuehl" w:hint="cs"/>
          <w:spacing w:val="10"/>
          <w:sz w:val="22"/>
          <w:szCs w:val="28"/>
          <w:rtl/>
        </w:rPr>
        <w:t xml:space="preserve"> [...] </w:t>
      </w:r>
      <w:r w:rsidRPr="00632224">
        <w:rPr>
          <w:rFonts w:ascii="Arial TUR" w:hAnsi="Arial TUR" w:cs="FrankRuehl"/>
          <w:spacing w:val="10"/>
          <w:sz w:val="22"/>
          <w:szCs w:val="28"/>
          <w:rtl/>
        </w:rPr>
        <w:t>ל</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עילת מסגרת</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שתכניה יכולים שישתנו מעניין לעניין ומתקופה לתקופה, על</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פי תנאי המקום והזמן</w:t>
      </w:r>
      <w:r w:rsidRPr="00632224">
        <w:rPr>
          <w:rFonts w:ascii="Arial TUR" w:hAnsi="Arial TUR" w:cs="FrankRuehl" w:hint="cs"/>
          <w:spacing w:val="10"/>
          <w:sz w:val="22"/>
          <w:szCs w:val="28"/>
          <w:rtl/>
        </w:rPr>
        <w:t>" (</w:t>
      </w:r>
      <w:r w:rsidRPr="00632224">
        <w:rPr>
          <w:rFonts w:ascii="Century" w:hAnsi="Century" w:cs="FrankRuehl" w:hint="eastAsia"/>
          <w:spacing w:val="10"/>
          <w:sz w:val="22"/>
          <w:szCs w:val="28"/>
          <w:rtl/>
        </w:rPr>
        <w:t>בג</w:t>
      </w:r>
      <w:r w:rsidRPr="00632224">
        <w:rPr>
          <w:rFonts w:ascii="Century" w:hAnsi="Century" w:cs="FrankRuehl"/>
          <w:spacing w:val="10"/>
          <w:sz w:val="22"/>
          <w:szCs w:val="28"/>
          <w:rtl/>
        </w:rPr>
        <w:t>"ץ 3648/97</w:t>
      </w:r>
      <w:r w:rsidRPr="00632224">
        <w:rPr>
          <w:rFonts w:ascii="Century" w:hAnsi="Century" w:cs="FrankRuehl" w:hint="cs"/>
          <w:spacing w:val="10"/>
          <w:sz w:val="22"/>
          <w:szCs w:val="28"/>
          <w:rtl/>
        </w:rPr>
        <w:t xml:space="preserve"> </w:t>
      </w:r>
      <w:r w:rsidRPr="00632224">
        <w:rPr>
          <w:rFonts w:ascii="Century" w:hAnsi="Century" w:cs="Miriam" w:hint="cs"/>
          <w:b/>
          <w:sz w:val="22"/>
          <w:rtl/>
        </w:rPr>
        <w:t>סטמקה נ' שר הפנים</w:t>
      </w:r>
      <w:r w:rsidRPr="00632224">
        <w:rPr>
          <w:rFonts w:ascii="Century" w:hAnsi="Century" w:cs="FrankRuehl" w:hint="cs"/>
          <w:spacing w:val="10"/>
          <w:sz w:val="22"/>
          <w:szCs w:val="28"/>
          <w:rtl/>
        </w:rPr>
        <w:t>, פ"ד נג(2) 728, 777 (1999)</w:t>
      </w:r>
      <w:r w:rsidRPr="00632224">
        <w:rPr>
          <w:rFonts w:ascii="Arial TUR" w:hAnsi="Arial TUR" w:cs="FrankRuehl" w:hint="cs"/>
          <w:spacing w:val="10"/>
          <w:sz w:val="22"/>
          <w:szCs w:val="28"/>
          <w:rtl/>
        </w:rPr>
        <w:t xml:space="preserve"> (להלן: עניין</w:t>
      </w:r>
      <w:r w:rsidRPr="00632224">
        <w:rPr>
          <w:rFonts w:ascii="Century" w:hAnsi="Century" w:cs="Miriam" w:hint="cs"/>
          <w:b/>
          <w:sz w:val="22"/>
          <w:rtl/>
        </w:rPr>
        <w:t xml:space="preserve"> סטמקה</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Arial TUR" w:hAnsi="Arial TUR" w:cs="FrankRuehl"/>
          <w:spacing w:val="10"/>
          <w:sz w:val="22"/>
          <w:szCs w:val="28"/>
          <w:rtl/>
        </w:rPr>
        <w:tab/>
      </w:r>
      <w:r w:rsidRPr="00632224">
        <w:rPr>
          <w:rFonts w:ascii="Century" w:hAnsi="Century" w:cs="FrankRuehl" w:hint="cs"/>
          <w:spacing w:val="10"/>
          <w:sz w:val="22"/>
          <w:szCs w:val="28"/>
          <w:rtl/>
        </w:rPr>
        <w:t>הפסיקה חזרה ושנתה פעמים רבות על אודות חשיבותה של עילת הסבירות ככלי ביקורת על מעשי המינהל:</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w:t>
      </w:r>
      <w:r w:rsidRPr="00632224">
        <w:rPr>
          <w:rFonts w:ascii="FrankRuehl" w:hAnsi="FrankRuehl" w:cs="FrankRuehl"/>
          <w:color w:val="000000"/>
          <w:spacing w:val="10"/>
          <w:sz w:val="28"/>
          <w:szCs w:val="28"/>
          <w:rtl/>
        </w:rPr>
        <w:t>אף אני סבורה כ</w:t>
      </w:r>
      <w:r w:rsidRPr="00632224">
        <w:rPr>
          <w:rFonts w:ascii="FrankRuehl" w:hAnsi="FrankRuehl" w:cs="FrankRuehl" w:hint="cs"/>
          <w:color w:val="000000"/>
          <w:spacing w:val="10"/>
          <w:sz w:val="28"/>
          <w:szCs w:val="28"/>
          <w:rtl/>
        </w:rPr>
        <w:t xml:space="preserve">י </w:t>
      </w:r>
      <w:r w:rsidRPr="00632224">
        <w:rPr>
          <w:rFonts w:ascii="Arial TUR" w:hAnsi="Arial TUR" w:cs="FrankRuehl" w:hint="cs"/>
          <w:spacing w:val="10"/>
          <w:sz w:val="22"/>
          <w:szCs w:val="28"/>
          <w:rtl/>
        </w:rPr>
        <w:t xml:space="preserve">עילת הסבירות היא מכשיר מרכזי וחיוני להפעלת ביקורת שיפוטית על המינהל, וכי ממילא לאורך השנים השתרשו בפסיקתנו כללים מנחים להפעלתה ויישומה תוך הקפדה על שמירת מרחב שיקול הדעת הנתון לרשות בדין" (דנג"ץ 3660/17 </w:t>
      </w:r>
      <w:r w:rsidRPr="00632224">
        <w:rPr>
          <w:rFonts w:ascii="Century" w:hAnsi="Century" w:cs="Miriam" w:hint="cs"/>
          <w:b/>
          <w:sz w:val="22"/>
          <w:rtl/>
        </w:rPr>
        <w:t>התאחדות הסוחרים והעצמאיים הכללית נ' שר התחבורה</w:t>
      </w:r>
      <w:r w:rsidRPr="00632224">
        <w:rPr>
          <w:rFonts w:ascii="Arial TUR" w:hAnsi="Arial TUR" w:cs="FrankRuehl" w:hint="cs"/>
          <w:spacing w:val="10"/>
          <w:sz w:val="22"/>
          <w:szCs w:val="28"/>
          <w:rtl/>
        </w:rPr>
        <w:t xml:space="preserve">, פסקה 37 לפסק דינה של השופטת </w:t>
      </w:r>
      <w:r w:rsidRPr="00632224">
        <w:rPr>
          <w:rFonts w:ascii="Century" w:hAnsi="Century" w:cs="Miriam" w:hint="cs"/>
          <w:b/>
          <w:sz w:val="22"/>
          <w:rtl/>
        </w:rPr>
        <w:t>ברק-ארז</w:t>
      </w:r>
      <w:r w:rsidRPr="00632224">
        <w:rPr>
          <w:rFonts w:ascii="Arial TUR" w:hAnsi="Arial TUR" w:cs="FrankRuehl" w:hint="cs"/>
          <w:spacing w:val="10"/>
          <w:sz w:val="22"/>
          <w:szCs w:val="28"/>
          <w:rtl/>
        </w:rPr>
        <w:t xml:space="preserve"> (26.10.2017) (להלן: עניין</w:t>
      </w:r>
      <w:r w:rsidRPr="00632224">
        <w:rPr>
          <w:rFonts w:ascii="Century" w:hAnsi="Century" w:cs="Miriam" w:hint="cs"/>
          <w:b/>
          <w:sz w:val="22"/>
          <w:rtl/>
        </w:rPr>
        <w:t xml:space="preserve"> התאחדות הסוחרים</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42.</w:t>
      </w:r>
      <w:r w:rsidRPr="00632224">
        <w:rPr>
          <w:rFonts w:ascii="Century" w:hAnsi="Century" w:cs="FrankRuehl" w:hint="cs"/>
          <w:spacing w:val="10"/>
          <w:sz w:val="22"/>
          <w:szCs w:val="28"/>
          <w:rtl/>
        </w:rPr>
        <w:tab/>
        <w:t>בניגוד לטענה רווחת, כאשר בית המשפט קובע כי החלטה מינהלית מסוימת נגועה באי סבירות קיצונית, הוא אינו מתיימר להחליף את שיקול דעתו בשיקול דעתה של הרשות:</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"הביקורת השיפוטית המתבצעת בגדר עילת הסבירות אינה מיועדת לקבוע מהי ההחלטה שעל הרשות לקבל, אלא רק להגדיר מתחם של החלטות אפשריות, קרי של נקודות איזון אפשריות בין השיקולים השונים, אשר כל אחת מהן עשויה לעמוד במבחן הסבירות" </w:t>
      </w:r>
      <w:r w:rsidRPr="00632224">
        <w:rPr>
          <w:rFonts w:ascii="Century" w:hAnsi="Century" w:cs="FrankRuehl"/>
          <w:spacing w:val="10"/>
          <w:sz w:val="22"/>
          <w:szCs w:val="28"/>
          <w:rtl/>
        </w:rPr>
        <w:t>(</w:t>
      </w:r>
      <w:hyperlink r:id="rId16" w:history="1">
        <w:r w:rsidRPr="00632224">
          <w:rPr>
            <w:rFonts w:ascii="Century" w:hAnsi="Century" w:cs="FrankRuehl" w:hint="eastAsia"/>
            <w:spacing w:val="10"/>
            <w:sz w:val="22"/>
            <w:szCs w:val="28"/>
            <w:rtl/>
          </w:rPr>
          <w:t>בג</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ץ</w:t>
        </w:r>
        <w:r w:rsidRPr="00632224">
          <w:rPr>
            <w:rFonts w:ascii="Century" w:hAnsi="Century" w:cs="FrankRuehl"/>
            <w:spacing w:val="10"/>
            <w:sz w:val="22"/>
            <w:szCs w:val="28"/>
            <w:rtl/>
          </w:rPr>
          <w:t xml:space="preserve"> 8371/09</w:t>
        </w:r>
      </w:hyperlink>
      <w:r w:rsidRPr="00632224">
        <w:rPr>
          <w:rFonts w:ascii="Arial TUR" w:hAnsi="Arial TUR" w:cs="FrankRuehl"/>
          <w:spacing w:val="10"/>
          <w:sz w:val="22"/>
          <w:szCs w:val="28"/>
          <w:rtl/>
        </w:rPr>
        <w:t xml:space="preserve"> </w:t>
      </w:r>
      <w:r w:rsidRPr="00632224">
        <w:rPr>
          <w:rFonts w:cs="Miriam" w:hint="cs"/>
          <w:sz w:val="28"/>
          <w:rtl/>
        </w:rPr>
        <w:t>דורון נ' שר הפנים</w:t>
      </w:r>
      <w:r w:rsidRPr="00632224">
        <w:rPr>
          <w:rFonts w:ascii="Arial TUR" w:hAnsi="Arial TUR" w:cs="FrankRuehl" w:hint="cs"/>
          <w:spacing w:val="10"/>
          <w:sz w:val="22"/>
          <w:szCs w:val="28"/>
          <w:rtl/>
        </w:rPr>
        <w:t xml:space="preserve">, פסקה 22 לפסק דינו של השופט </w:t>
      </w:r>
      <w:r w:rsidRPr="00632224">
        <w:rPr>
          <w:rFonts w:ascii="Century" w:hAnsi="Century" w:cs="Miriam" w:hint="eastAsia"/>
          <w:b/>
          <w:sz w:val="22"/>
          <w:rtl/>
        </w:rPr>
        <w:t>פוגלמן</w:t>
      </w:r>
      <w:r w:rsidRPr="00632224">
        <w:rPr>
          <w:rFonts w:ascii="Arial TUR" w:hAnsi="Arial TUR" w:cs="FrankRuehl" w:hint="cs"/>
          <w:spacing w:val="10"/>
          <w:sz w:val="22"/>
          <w:szCs w:val="28"/>
          <w:rtl/>
        </w:rPr>
        <w:t xml:space="preserve"> (7.7.2010)).</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spacing w:val="10"/>
          <w:sz w:val="22"/>
          <w:szCs w:val="28"/>
          <w:rtl/>
        </w:rPr>
        <w:tab/>
      </w:r>
      <w:r w:rsidRPr="00632224">
        <w:rPr>
          <w:rFonts w:ascii="Arial TUR" w:hAnsi="Arial TUR" w:cs="FrankRuehl" w:hint="cs"/>
          <w:spacing w:val="10"/>
          <w:sz w:val="22"/>
          <w:szCs w:val="28"/>
          <w:rtl/>
        </w:rPr>
        <w:t xml:space="preserve">בבוא בית המשפט לבחון אם החלטה מינהלית חרגה ממתחם הסבירות, בית המשפט מתחשב בשורה של נתונים: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השאלה אם החלטה מינהלית לוקה בחוסר סבירות קיצוני תלויה בגבולות של מיתחם הסבירות, הוא המיתחם שבו הרשות המינהלית רשאית להחליט לפי שיקול דעתה. מיתחם הסבירות של כל סמכות מינהלית תלוי במאפיינים של הסמכות: מה הלשון והתכלית של החוק המסמיך; מי הרשות המוסמכת; מהו העניין המוסדר על</w:t>
      </w:r>
      <w:r w:rsidRPr="00632224">
        <w:rPr>
          <w:rFonts w:ascii="Arial TUR" w:hAnsi="Arial TUR" w:cs="FrankRuehl" w:hint="cs"/>
          <w:spacing w:val="10"/>
          <w:position w:val="4"/>
          <w:sz w:val="22"/>
          <w:szCs w:val="28"/>
          <w:rtl/>
        </w:rPr>
        <w:t>-</w:t>
      </w:r>
      <w:r w:rsidRPr="00632224">
        <w:rPr>
          <w:rFonts w:ascii="Arial TUR" w:hAnsi="Arial TUR" w:cs="FrankRuehl"/>
          <w:spacing w:val="10"/>
          <w:sz w:val="22"/>
          <w:szCs w:val="28"/>
          <w:rtl/>
        </w:rPr>
        <w:t xml:space="preserve">ידי הסמכות; האם הסמכות מופעלת בעיקר על יסוד מימצאים עובדתיים, על יסוד שיקולים של מדיניות, או על יסוד מבחנים מקצועיים, כגון: מבחנים רפואיים או הנדסיים; וכיוצא באלה. בהתאם למאפיינים אלה משתנה מיתחם הסבירות: יש שהוא צר ויש שהוא רחב" </w:t>
      </w:r>
      <w:r w:rsidRPr="00632224">
        <w:rPr>
          <w:rFonts w:ascii="Arial TUR" w:hAnsi="Arial TUR" w:cs="FrankRuehl" w:hint="cs"/>
          <w:spacing w:val="10"/>
          <w:sz w:val="22"/>
          <w:szCs w:val="28"/>
          <w:rtl/>
        </w:rPr>
        <w:t xml:space="preserve">(דברי השופט </w:t>
      </w:r>
      <w:r w:rsidRPr="00632224">
        <w:rPr>
          <w:rFonts w:ascii="Century" w:hAnsi="Century" w:cs="Miriam" w:hint="cs"/>
          <w:b/>
          <w:sz w:val="22"/>
          <w:rtl/>
        </w:rPr>
        <w:t>זמיר</w:t>
      </w:r>
      <w:r w:rsidRPr="00632224">
        <w:rPr>
          <w:rFonts w:ascii="Arial TUR" w:hAnsi="Arial TUR" w:cs="FrankRuehl" w:hint="cs"/>
          <w:spacing w:val="10"/>
          <w:sz w:val="22"/>
          <w:szCs w:val="28"/>
          <w:rtl/>
        </w:rPr>
        <w:t xml:space="preserve"> ב</w:t>
      </w:r>
      <w:r w:rsidRPr="00632224">
        <w:rPr>
          <w:rFonts w:ascii="Century" w:hAnsi="Century" w:cs="FrankRuehl"/>
          <w:spacing w:val="10"/>
          <w:sz w:val="22"/>
          <w:szCs w:val="28"/>
          <w:rtl/>
        </w:rPr>
        <w:t xml:space="preserve">בג"ץ 2533/97 </w:t>
      </w:r>
      <w:r w:rsidRPr="00632224">
        <w:rPr>
          <w:rFonts w:ascii="Century" w:hAnsi="Century" w:cs="Miriam"/>
          <w:b/>
          <w:sz w:val="22"/>
          <w:rtl/>
        </w:rPr>
        <w:t>התנועה למען איכות השלטון בישראל נ' ממשלת ישראל</w:t>
      </w:r>
      <w:r w:rsidRPr="00632224">
        <w:rPr>
          <w:rFonts w:ascii="Century" w:hAnsi="Century" w:cs="FrankRuehl"/>
          <w:spacing w:val="10"/>
          <w:sz w:val="22"/>
          <w:szCs w:val="28"/>
          <w:rtl/>
        </w:rPr>
        <w:t>, פ"ד נא</w:t>
      </w:r>
      <w:r w:rsidRPr="00632224">
        <w:rPr>
          <w:rFonts w:ascii="Century" w:hAnsi="Century" w:cs="FrankRuehl" w:hint="cs"/>
          <w:spacing w:val="10"/>
          <w:sz w:val="22"/>
          <w:szCs w:val="28"/>
          <w:rtl/>
        </w:rPr>
        <w:t xml:space="preserve">(3) 46, 57 (1997)). </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(עוד על מתחם הסבירות ראו יצחק </w:t>
      </w:r>
      <w:r w:rsidRPr="00632224">
        <w:rPr>
          <w:rFonts w:ascii="Century" w:hAnsi="Century" w:cs="FrankRuehl" w:hint="eastAsia"/>
          <w:spacing w:val="10"/>
          <w:sz w:val="22"/>
          <w:szCs w:val="28"/>
          <w:rtl/>
        </w:rPr>
        <w:t>זמיר</w:t>
      </w:r>
      <w:r w:rsidRPr="00632224">
        <w:rPr>
          <w:rFonts w:ascii="Century" w:hAnsi="Century" w:cs="Miriam"/>
          <w:b/>
          <w:sz w:val="22"/>
          <w:rtl/>
        </w:rPr>
        <w:t xml:space="preserve"> </w:t>
      </w:r>
      <w:r w:rsidRPr="00632224">
        <w:rPr>
          <w:rFonts w:ascii="Century" w:hAnsi="Century" w:cs="Miriam" w:hint="eastAsia"/>
          <w:b/>
          <w:sz w:val="22"/>
          <w:rtl/>
        </w:rPr>
        <w:t>הסמכו</w:t>
      </w:r>
      <w:r w:rsidRPr="00632224">
        <w:rPr>
          <w:rFonts w:ascii="Century" w:hAnsi="Century" w:cs="Miriam" w:hint="cs"/>
          <w:b/>
          <w:sz w:val="22"/>
          <w:rtl/>
        </w:rPr>
        <w:t>ת</w:t>
      </w:r>
      <w:r w:rsidRPr="00632224">
        <w:rPr>
          <w:rFonts w:ascii="Century" w:hAnsi="Century" w:cs="Miriam"/>
          <w:b/>
          <w:sz w:val="22"/>
          <w:rtl/>
        </w:rPr>
        <w:t xml:space="preserve"> </w:t>
      </w:r>
      <w:r w:rsidRPr="00632224">
        <w:rPr>
          <w:rFonts w:ascii="Century" w:hAnsi="Century" w:cs="Miriam" w:hint="eastAsia"/>
          <w:b/>
          <w:sz w:val="22"/>
          <w:rtl/>
        </w:rPr>
        <w:t>המינהלית</w:t>
      </w:r>
      <w:r w:rsidRPr="00632224">
        <w:rPr>
          <w:rFonts w:ascii="Century" w:hAnsi="Century" w:cs="FrankRuehl" w:hint="cs"/>
          <w:spacing w:val="10"/>
          <w:sz w:val="22"/>
          <w:szCs w:val="28"/>
          <w:rtl/>
        </w:rPr>
        <w:t xml:space="preserve"> כרך ה 3586-3581 </w:t>
      </w:r>
      <w:r w:rsidRPr="00632224">
        <w:rPr>
          <w:rFonts w:ascii="Arial TUR" w:hAnsi="Arial TUR" w:cs="FrankRuehl" w:hint="cs"/>
          <w:spacing w:val="10"/>
          <w:sz w:val="22"/>
          <w:szCs w:val="28"/>
          <w:rtl/>
        </w:rPr>
        <w:t xml:space="preserve">(2020) (להלן: </w:t>
      </w:r>
      <w:r w:rsidRPr="00632224">
        <w:rPr>
          <w:rFonts w:ascii="Century" w:hAnsi="Century" w:cs="Miriam" w:hint="eastAsia"/>
          <w:b/>
          <w:sz w:val="22"/>
          <w:rtl/>
        </w:rPr>
        <w:t>זמיר</w:t>
      </w:r>
      <w:r w:rsidRPr="00632224">
        <w:rPr>
          <w:rFonts w:ascii="Century" w:hAnsi="Century" w:cs="Miriam"/>
          <w:b/>
          <w:sz w:val="22"/>
          <w:rtl/>
        </w:rPr>
        <w:t xml:space="preserve"> </w:t>
      </w:r>
      <w:r w:rsidRPr="00632224">
        <w:rPr>
          <w:rFonts w:ascii="Century" w:hAnsi="Century" w:cs="Miriam" w:hint="eastAsia"/>
          <w:b/>
          <w:sz w:val="22"/>
          <w:rtl/>
        </w:rPr>
        <w:t>הסמכות</w:t>
      </w:r>
      <w:r w:rsidRPr="00632224">
        <w:rPr>
          <w:rFonts w:ascii="Century" w:hAnsi="Century" w:cs="Miriam"/>
          <w:b/>
          <w:sz w:val="22"/>
          <w:rtl/>
        </w:rPr>
        <w:t xml:space="preserve"> </w:t>
      </w:r>
      <w:r w:rsidRPr="00632224">
        <w:rPr>
          <w:rFonts w:ascii="Century" w:hAnsi="Century" w:cs="Miriam" w:hint="eastAsia"/>
          <w:b/>
          <w:sz w:val="22"/>
          <w:rtl/>
        </w:rPr>
        <w:t>המינהלית</w:t>
      </w:r>
      <w:r w:rsidRPr="00632224">
        <w:rPr>
          <w:rFonts w:ascii="Arial TUR" w:hAnsi="Arial TUR" w:cs="FrankRuehl" w:hint="cs"/>
          <w:spacing w:val="10"/>
          <w:sz w:val="22"/>
          <w:szCs w:val="28"/>
          <w:rtl/>
        </w:rPr>
        <w:t>))</w:t>
      </w:r>
      <w:r w:rsidRPr="00632224">
        <w:rPr>
          <w:rFonts w:ascii="Century" w:hAnsi="Century" w:cs="FrankRuehl" w:hint="cs"/>
          <w:spacing w:val="10"/>
          <w:sz w:val="22"/>
          <w:szCs w:val="28"/>
          <w:rtl/>
        </w:rPr>
        <w:t>.</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43.</w:t>
      </w: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מאז ומתמיד בית משפט זה נקט ריסון עצמי בבואו לבקר את מעשי הרשות. </w:t>
      </w:r>
      <w:r w:rsidRPr="00632224">
        <w:rPr>
          <w:rFonts w:ascii="Arial TUR" w:hAnsi="Arial TUR" w:cs="FrankRuehl" w:hint="cs"/>
          <w:spacing w:val="10"/>
          <w:sz w:val="22"/>
          <w:szCs w:val="28"/>
          <w:rtl/>
        </w:rPr>
        <w:t>מכאן "חזקת התקינות המינהלית"; מכאן הכלל שלפיו אין בית</w:t>
      </w:r>
      <w:r w:rsidRPr="00632224">
        <w:rPr>
          <w:rFonts w:ascii="Arial TUR" w:hAnsi="Arial TUR" w:cs="FrankRuehl" w:hint="cs"/>
          <w:spacing w:val="10"/>
          <w:position w:val="4"/>
          <w:sz w:val="22"/>
          <w:szCs w:val="28"/>
          <w:rtl/>
        </w:rPr>
        <w:t xml:space="preserve"> </w:t>
      </w:r>
      <w:r w:rsidRPr="00632224">
        <w:rPr>
          <w:rFonts w:ascii="Arial TUR" w:hAnsi="Arial TUR" w:cs="FrankRuehl" w:hint="cs"/>
          <w:spacing w:val="10"/>
          <w:sz w:val="22"/>
          <w:szCs w:val="28"/>
          <w:rtl/>
        </w:rPr>
        <w:t>המשפט מחליף את שיקול</w:t>
      </w:r>
      <w:r w:rsidRPr="00632224">
        <w:rPr>
          <w:rFonts w:ascii="Arial TUR" w:hAnsi="Arial TUR" w:cs="FrankRuehl" w:hint="cs"/>
          <w:spacing w:val="10"/>
          <w:position w:val="4"/>
          <w:sz w:val="22"/>
          <w:szCs w:val="28"/>
          <w:rtl/>
        </w:rPr>
        <w:t xml:space="preserve"> </w:t>
      </w:r>
      <w:r w:rsidRPr="00632224">
        <w:rPr>
          <w:rFonts w:ascii="Arial TUR" w:hAnsi="Arial TUR" w:cs="FrankRuehl" w:hint="cs"/>
          <w:spacing w:val="10"/>
          <w:sz w:val="22"/>
          <w:szCs w:val="28"/>
          <w:rtl/>
        </w:rPr>
        <w:t>דעתה של הרשות בשיקול</w:t>
      </w:r>
      <w:r w:rsidRPr="00632224">
        <w:rPr>
          <w:rFonts w:ascii="Arial TUR" w:hAnsi="Arial TUR" w:cs="FrankRuehl" w:hint="cs"/>
          <w:spacing w:val="10"/>
          <w:position w:val="4"/>
          <w:sz w:val="22"/>
          <w:szCs w:val="28"/>
          <w:rtl/>
        </w:rPr>
        <w:t xml:space="preserve"> </w:t>
      </w:r>
      <w:r w:rsidRPr="00632224">
        <w:rPr>
          <w:rFonts w:ascii="Arial TUR" w:hAnsi="Arial TUR" w:cs="FrankRuehl" w:hint="cs"/>
          <w:spacing w:val="10"/>
          <w:sz w:val="22"/>
          <w:szCs w:val="28"/>
          <w:rtl/>
        </w:rPr>
        <w:t>דעתו שלו; ומכאן עילות הסף הרבות של המשפט המינהלי</w:t>
      </w:r>
      <w:r w:rsidRPr="00632224">
        <w:rPr>
          <w:rFonts w:ascii="Century" w:hAnsi="Century" w:cs="FrankRuehl" w:hint="cs"/>
          <w:spacing w:val="10"/>
          <w:sz w:val="22"/>
          <w:szCs w:val="28"/>
          <w:rtl/>
        </w:rPr>
        <w:t xml:space="preserve">. כך במיוחד בכל הנוגע לעילת הסבירות, </w:t>
      </w:r>
      <w:r w:rsidRPr="00632224">
        <w:rPr>
          <w:rFonts w:ascii="Arial TUR" w:hAnsi="Arial TUR" w:cs="FrankRuehl" w:hint="cs"/>
          <w:spacing w:val="10"/>
          <w:sz w:val="22"/>
          <w:szCs w:val="28"/>
          <w:rtl/>
        </w:rPr>
        <w:t xml:space="preserve">ויעידו על כך המונחים "אי סבירות קיצונית", </w:t>
      </w:r>
      <w:r w:rsidRPr="00632224">
        <w:rPr>
          <w:rFonts w:ascii="Century" w:hAnsi="Century" w:cs="FrankRuehl" w:hint="cs"/>
          <w:spacing w:val="10"/>
          <w:szCs w:val="28"/>
          <w:rtl/>
        </w:rPr>
        <w:t xml:space="preserve">"אי סבירות מהותית היורדת לשורש העניין", </w:t>
      </w:r>
      <w:r w:rsidRPr="00632224">
        <w:rPr>
          <w:rFonts w:ascii="Arial TUR" w:hAnsi="Arial TUR" w:cs="FrankRuehl" w:hint="cs"/>
          <w:spacing w:val="10"/>
          <w:sz w:val="22"/>
          <w:szCs w:val="28"/>
          <w:rtl/>
        </w:rPr>
        <w:t>"מתחם הסבירות" ו</w:t>
      </w:r>
      <w:r w:rsidRPr="00632224">
        <w:rPr>
          <w:rFonts w:ascii="Century" w:hAnsi="Century" w:cs="FrankRuehl" w:hint="cs"/>
          <w:spacing w:val="10"/>
          <w:szCs w:val="28"/>
          <w:rtl/>
        </w:rPr>
        <w:t xml:space="preserve">כיוצא באלה ביטויים (לדעה לפיה אין צורך בדרישה לחריגה "קיצונית" ראו </w:t>
      </w:r>
      <w:r w:rsidRPr="00632224">
        <w:rPr>
          <w:rFonts w:ascii="Century" w:hAnsi="Century" w:cs="Miriam" w:hint="eastAsia"/>
          <w:b/>
          <w:sz w:val="22"/>
          <w:rtl/>
        </w:rPr>
        <w:t>זמיר</w:t>
      </w:r>
      <w:r w:rsidRPr="00632224">
        <w:rPr>
          <w:rFonts w:ascii="Arial TUR" w:hAnsi="Arial TUR" w:cs="FrankRuehl"/>
          <w:spacing w:val="10"/>
          <w:sz w:val="22"/>
          <w:szCs w:val="28"/>
          <w:rtl/>
        </w:rPr>
        <w:t xml:space="preserve"> </w:t>
      </w:r>
      <w:r w:rsidRPr="00632224">
        <w:rPr>
          <w:rFonts w:ascii="Century" w:hAnsi="Century" w:cs="Miriam" w:hint="cs"/>
          <w:b/>
          <w:sz w:val="22"/>
          <w:rtl/>
        </w:rPr>
        <w:t>הסמכות המינהלית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בעמ</w:t>
      </w:r>
      <w:r w:rsidRPr="00632224">
        <w:rPr>
          <w:rFonts w:ascii="Century" w:hAnsi="Century" w:cs="FrankRuehl"/>
          <w:spacing w:val="10"/>
          <w:sz w:val="22"/>
          <w:szCs w:val="28"/>
          <w:rtl/>
        </w:rPr>
        <w:t>'</w:t>
      </w:r>
      <w:r w:rsidRPr="00632224">
        <w:rPr>
          <w:rFonts w:ascii="Century" w:hAnsi="Century" w:cs="Miriam"/>
          <w:b/>
          <w:sz w:val="22"/>
          <w:rtl/>
        </w:rPr>
        <w:t xml:space="preserve"> </w:t>
      </w:r>
      <w:r w:rsidRPr="00632224">
        <w:rPr>
          <w:rFonts w:ascii="Arial TUR" w:hAnsi="Arial TUR" w:cs="FrankRuehl" w:hint="cs"/>
          <w:spacing w:val="10"/>
          <w:sz w:val="22"/>
          <w:szCs w:val="28"/>
          <w:rtl/>
        </w:rPr>
        <w:lastRenderedPageBreak/>
        <w:t xml:space="preserve">3590-3587). מתחם הסבירות הנתון לרשות רחב יותר </w:t>
      </w:r>
      <w:r w:rsidRPr="00632224">
        <w:rPr>
          <w:rFonts w:ascii="Century" w:hAnsi="Century" w:cs="FrankRuehl" w:hint="cs"/>
          <w:spacing w:val="10"/>
          <w:sz w:val="22"/>
          <w:szCs w:val="28"/>
          <w:rtl/>
        </w:rPr>
        <w:t xml:space="preserve">מקום שבו מדובר בסוגיה מורכבת "רב-קודקודית" המערבת מספר רב של שיקולים (בג"ץ 7487/15 </w:t>
      </w:r>
      <w:r w:rsidRPr="00632224">
        <w:rPr>
          <w:rFonts w:ascii="Century" w:hAnsi="Century" w:cs="Miriam" w:hint="cs"/>
          <w:b/>
          <w:sz w:val="22"/>
          <w:rtl/>
        </w:rPr>
        <w:t>ארקיע נ' מנכ"ל משרד ראש הממשלה</w:t>
      </w:r>
      <w:r w:rsidRPr="00632224">
        <w:rPr>
          <w:rFonts w:ascii="Century" w:hAnsi="Century" w:cs="FrankRuehl" w:hint="cs"/>
          <w:spacing w:val="10"/>
          <w:sz w:val="22"/>
          <w:szCs w:val="28"/>
          <w:rtl/>
        </w:rPr>
        <w:t xml:space="preserve"> (25.1.2016)). </w:t>
      </w:r>
      <w:r w:rsidRPr="00632224">
        <w:rPr>
          <w:rFonts w:ascii="Arial TUR" w:hAnsi="Arial TUR" w:cs="FrankRuehl" w:hint="cs"/>
          <w:spacing w:val="10"/>
          <w:sz w:val="22"/>
          <w:szCs w:val="28"/>
          <w:rtl/>
        </w:rPr>
        <w:t>מתחם הסבירות רחב במיוחד בהחלטות מדיניות העוסקות בסוגיות של בטחון והגנה, בהן "סמכות הממשלה רחבה עד מאד. דרכי הפעלת סמכות זו עומדות בעיקרן לפיקוח הכנסת והציבור. ממילא, התערבות שיפוטית בתחום פעילות זה הינה מצומצמת ביותר" (</w:t>
      </w:r>
      <w:r w:rsidRPr="00632224">
        <w:rPr>
          <w:rFonts w:ascii="Century" w:hAnsi="Century" w:cs="FrankRuehl" w:hint="cs"/>
          <w:spacing w:val="10"/>
          <w:sz w:val="22"/>
          <w:szCs w:val="28"/>
          <w:shd w:val="clear" w:color="auto" w:fill="FFFFFF"/>
          <w:rtl/>
        </w:rPr>
        <w:t xml:space="preserve">בג"ץ 7844/07 </w:t>
      </w:r>
      <w:r w:rsidRPr="00632224">
        <w:rPr>
          <w:rFonts w:ascii="Century" w:hAnsi="Century" w:cs="Miriam" w:hint="cs"/>
          <w:b/>
          <w:sz w:val="22"/>
          <w:shd w:val="clear" w:color="auto" w:fill="FFFFFF"/>
          <w:rtl/>
        </w:rPr>
        <w:t>כהן נ' ממשלת ישראל</w:t>
      </w:r>
      <w:r w:rsidRPr="00632224">
        <w:rPr>
          <w:rFonts w:ascii="Century" w:hAnsi="Century" w:cs="FrankRuehl" w:hint="cs"/>
          <w:spacing w:val="10"/>
          <w:sz w:val="22"/>
          <w:szCs w:val="28"/>
          <w:shd w:val="clear" w:color="auto" w:fill="FFFFFF"/>
          <w:rtl/>
        </w:rPr>
        <w:t xml:space="preserve">, פסקה 22 לפסק דינה של השופטת </w:t>
      </w:r>
      <w:r w:rsidRPr="00632224">
        <w:rPr>
          <w:rFonts w:ascii="Century" w:hAnsi="Century" w:cs="Miriam" w:hint="eastAsia"/>
          <w:b/>
          <w:sz w:val="22"/>
          <w:shd w:val="clear" w:color="auto" w:fill="FFFFFF"/>
          <w:rtl/>
        </w:rPr>
        <w:t>פרוקצ</w:t>
      </w:r>
      <w:r w:rsidRPr="00632224">
        <w:rPr>
          <w:rFonts w:ascii="Century" w:hAnsi="Century" w:cs="Miriam"/>
          <w:b/>
          <w:sz w:val="22"/>
          <w:shd w:val="clear" w:color="auto" w:fill="FFFFFF"/>
          <w:rtl/>
        </w:rPr>
        <w:t>'</w:t>
      </w:r>
      <w:r w:rsidRPr="00632224">
        <w:rPr>
          <w:rFonts w:ascii="Century" w:hAnsi="Century" w:cs="Miriam" w:hint="eastAsia"/>
          <w:b/>
          <w:sz w:val="22"/>
          <w:shd w:val="clear" w:color="auto" w:fill="FFFFFF"/>
          <w:rtl/>
        </w:rPr>
        <w:t>יה</w:t>
      </w:r>
      <w:r w:rsidRPr="00632224">
        <w:rPr>
          <w:rFonts w:ascii="Century" w:hAnsi="Century" w:cs="FrankRuehl"/>
          <w:spacing w:val="10"/>
          <w:sz w:val="22"/>
          <w:szCs w:val="28"/>
          <w:shd w:val="clear" w:color="auto" w:fill="FFFFFF"/>
          <w:rtl/>
        </w:rPr>
        <w:t xml:space="preserve"> </w:t>
      </w:r>
      <w:r w:rsidRPr="00632224">
        <w:rPr>
          <w:rFonts w:ascii="Century" w:hAnsi="Century" w:cs="FrankRuehl" w:hint="cs"/>
          <w:spacing w:val="10"/>
          <w:sz w:val="22"/>
          <w:szCs w:val="28"/>
          <w:shd w:val="clear" w:color="auto" w:fill="FFFFFF"/>
          <w:rtl/>
        </w:rPr>
        <w:t>והאסמכתאות שם (14.4.2008)).</w:t>
      </w:r>
      <w:r w:rsidRPr="00632224">
        <w:rPr>
          <w:rFonts w:ascii="Arial TUR" w:hAnsi="Arial TUR" w:cs="FrankRuehl" w:hint="cs"/>
          <w:spacing w:val="10"/>
          <w:sz w:val="22"/>
          <w:szCs w:val="28"/>
          <w:rtl/>
        </w:rPr>
        <w:t xml:space="preserve"> מתחם הסבירות רחב יותר </w:t>
      </w:r>
      <w:r w:rsidRPr="00632224">
        <w:rPr>
          <w:rFonts w:ascii="Century" w:hAnsi="Century" w:cs="FrankRuehl" w:hint="cs"/>
          <w:spacing w:val="10"/>
          <w:sz w:val="22"/>
          <w:szCs w:val="28"/>
          <w:rtl/>
        </w:rPr>
        <w:t>מקום שבו ההחלטה קיבלה אישור פרלמנטרי של הכנסת או של אחת מוועדותיה או כ</w:t>
      </w:r>
      <w:r w:rsidRPr="00632224">
        <w:rPr>
          <w:rFonts w:ascii="Century" w:hAnsi="Century" w:cs="FrankRuehl"/>
          <w:spacing w:val="10"/>
          <w:sz w:val="22"/>
          <w:szCs w:val="28"/>
          <w:rtl/>
        </w:rPr>
        <w:t>אשר מדובר בשאלות של מדיניות, המערבות שיקולים של מקצועיות ומומחיות</w:t>
      </w:r>
      <w:r w:rsidRPr="00632224">
        <w:rPr>
          <w:rFonts w:ascii="Century" w:hAnsi="Century" w:cs="FrankRuehl" w:hint="cs"/>
          <w:spacing w:val="10"/>
          <w:sz w:val="22"/>
          <w:szCs w:val="28"/>
          <w:rtl/>
        </w:rPr>
        <w:t xml:space="preserve"> (בג"ץ 7198/21 </w:t>
      </w:r>
      <w:r w:rsidRPr="00632224">
        <w:rPr>
          <w:rFonts w:ascii="Century" w:hAnsi="Century" w:cs="Miriam" w:hint="cs"/>
          <w:b/>
          <w:sz w:val="22"/>
          <w:rtl/>
        </w:rPr>
        <w:t>איגוד נותני שירותים פיננסיים נ' ממשלת ישראל</w:t>
      </w:r>
      <w:r w:rsidRPr="00632224">
        <w:rPr>
          <w:rFonts w:ascii="Century" w:hAnsi="Century" w:cs="FrankRuehl" w:hint="cs"/>
          <w:spacing w:val="10"/>
          <w:sz w:val="22"/>
          <w:szCs w:val="28"/>
          <w:rtl/>
        </w:rPr>
        <w:t xml:space="preserve">, פסקה 22 לפסק דינו של השופט </w:t>
      </w:r>
      <w:r w:rsidRPr="00632224">
        <w:rPr>
          <w:rFonts w:ascii="Century" w:hAnsi="Century" w:cs="Miriam" w:hint="eastAsia"/>
          <w:b/>
          <w:sz w:val="22"/>
          <w:rtl/>
        </w:rPr>
        <w:t>גרוסקופף</w:t>
      </w:r>
      <w:r w:rsidRPr="00632224">
        <w:rPr>
          <w:rFonts w:ascii="Century" w:hAnsi="Century" w:cs="FrankRuehl" w:hint="cs"/>
          <w:spacing w:val="10"/>
          <w:sz w:val="22"/>
          <w:szCs w:val="28"/>
          <w:rtl/>
        </w:rPr>
        <w:t xml:space="preserve"> (2021)). ביחס לממשלה, בית המשפט מתחשב בכך שזו פועלת גם מכוח שיקולים פוליטיים, ו</w:t>
      </w:r>
      <w:r w:rsidRPr="00632224">
        <w:rPr>
          <w:rFonts w:ascii="Arial TUR" w:hAnsi="Arial TUR" w:cs="FrankRuehl" w:hint="cs"/>
          <w:spacing w:val="10"/>
          <w:sz w:val="22"/>
          <w:szCs w:val="28"/>
          <w:rtl/>
        </w:rPr>
        <w:t xml:space="preserve">נוקט </w:t>
      </w:r>
      <w:r w:rsidRPr="00632224">
        <w:rPr>
          <w:rFonts w:ascii="Century" w:hAnsi="Century" w:cs="FrankRuehl" w:hint="cs"/>
          <w:spacing w:val="10"/>
          <w:sz w:val="22"/>
          <w:szCs w:val="28"/>
          <w:rtl/>
        </w:rPr>
        <w:t xml:space="preserve">עוד יותר זהירות וריסון עצמי בבואו לבקר את החלטותיה, </w:t>
      </w:r>
      <w:r w:rsidRPr="00632224">
        <w:rPr>
          <w:rFonts w:ascii="Arial TUR" w:hAnsi="Arial TUR" w:cs="FrankRuehl" w:hint="cs"/>
          <w:spacing w:val="10"/>
          <w:sz w:val="22"/>
          <w:szCs w:val="28"/>
          <w:rtl/>
        </w:rPr>
        <w:t>נוכח מעמדה הרם כמי שעומדת בנדבך העליון של הרשות המבצעת:</w:t>
      </w:r>
      <w:r w:rsidRPr="00632224">
        <w:rPr>
          <w:rFonts w:ascii="Century" w:hAnsi="Century" w:cs="FrankRuehl" w:hint="cs"/>
          <w:spacing w:val="10"/>
          <w:sz w:val="22"/>
          <w:szCs w:val="28"/>
          <w:rtl/>
        </w:rPr>
        <w:t xml:space="preserve"> "</w:t>
      </w:r>
      <w:r w:rsidRPr="00632224">
        <w:rPr>
          <w:rFonts w:ascii="Century" w:hAnsi="Century" w:cs="FrankRuehl" w:hint="eastAsia"/>
          <w:spacing w:val="10"/>
          <w:sz w:val="22"/>
          <w:szCs w:val="28"/>
          <w:rtl/>
        </w:rPr>
        <w:t>מעמדה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הממשלה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כרשות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המבצעת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המדינה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רם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ומיוחד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הוא</w:t>
      </w:r>
      <w:r w:rsidRPr="00632224">
        <w:rPr>
          <w:rFonts w:ascii="Century" w:hAnsi="Century" w:cs="FrankRuehl" w:hint="cs"/>
          <w:spacing w:val="10"/>
          <w:sz w:val="22"/>
          <w:szCs w:val="28"/>
          <w:rtl/>
        </w:rPr>
        <w:t xml:space="preserve">, </w:t>
      </w:r>
      <w:r w:rsidRPr="00632224">
        <w:rPr>
          <w:rFonts w:ascii="Century" w:hAnsi="Century" w:cs="FrankRuehl" w:hint="eastAsia"/>
          <w:spacing w:val="10"/>
          <w:sz w:val="22"/>
          <w:szCs w:val="28"/>
          <w:rtl/>
        </w:rPr>
        <w:t>בהיותה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הרשות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המבצעת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המדינה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כאמור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בסעיף</w:t>
      </w:r>
      <w:r w:rsidRPr="00632224">
        <w:rPr>
          <w:rFonts w:ascii="Century" w:hAnsi="Century" w:cs="FrankRuehl"/>
          <w:spacing w:val="10"/>
          <w:sz w:val="22"/>
          <w:szCs w:val="28"/>
          <w:rtl/>
        </w:rPr>
        <w:t xml:space="preserve"> 1 </w:t>
      </w:r>
      <w:r w:rsidRPr="00632224">
        <w:rPr>
          <w:rFonts w:ascii="Century" w:hAnsi="Century" w:cs="FrankRuehl" w:hint="eastAsia"/>
          <w:spacing w:val="10"/>
          <w:sz w:val="22"/>
          <w:szCs w:val="28"/>
          <w:rtl/>
        </w:rPr>
        <w:t>לחוק</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יסוד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הממשל</w:t>
      </w:r>
      <w:r w:rsidRPr="00632224">
        <w:rPr>
          <w:rFonts w:ascii="Century" w:hAnsi="Century" w:cs="FrankRuehl" w:hint="cs"/>
          <w:spacing w:val="10"/>
          <w:sz w:val="22"/>
          <w:szCs w:val="28"/>
          <w:rtl/>
        </w:rPr>
        <w:t>ה" (</w:t>
      </w:r>
      <w:r w:rsidRPr="00632224">
        <w:rPr>
          <w:rFonts w:ascii="Arial TUR" w:hAnsi="Arial TUR" w:cs="FrankRuehl" w:hint="eastAsia"/>
          <w:spacing w:val="10"/>
          <w:sz w:val="22"/>
          <w:szCs w:val="28"/>
          <w:rtl/>
        </w:rPr>
        <w:t>בג</w:t>
      </w:r>
      <w:r w:rsidRPr="00632224">
        <w:rPr>
          <w:rFonts w:ascii="Arial TUR" w:hAnsi="Arial TUR" w:cs="FrankRuehl"/>
          <w:spacing w:val="10"/>
          <w:sz w:val="22"/>
          <w:szCs w:val="28"/>
          <w:rtl/>
        </w:rPr>
        <w:t>"</w:t>
      </w:r>
      <w:r w:rsidRPr="00632224">
        <w:rPr>
          <w:rFonts w:ascii="Arial TUR" w:hAnsi="Arial TUR" w:cs="FrankRuehl" w:hint="eastAsia"/>
          <w:spacing w:val="10"/>
          <w:sz w:val="22"/>
          <w:szCs w:val="28"/>
          <w:rtl/>
        </w:rPr>
        <w:t>ץ</w:t>
      </w:r>
      <w:r w:rsidRPr="00632224">
        <w:rPr>
          <w:rFonts w:ascii="Arial TUR" w:hAnsi="Arial TUR" w:cs="FrankRuehl"/>
          <w:spacing w:val="10"/>
          <w:sz w:val="22"/>
          <w:szCs w:val="28"/>
          <w:rtl/>
        </w:rPr>
        <w:t xml:space="preserve"> 3872/93</w:t>
      </w:r>
      <w:r w:rsidRPr="00632224">
        <w:rPr>
          <w:rFonts w:ascii="Century" w:hAnsi="Century" w:cs="FrankRuehl" w:hint="cs"/>
          <w:spacing w:val="10"/>
          <w:sz w:val="22"/>
          <w:szCs w:val="28"/>
          <w:rtl/>
        </w:rPr>
        <w:t xml:space="preserve"> </w:t>
      </w:r>
      <w:r w:rsidRPr="00632224">
        <w:rPr>
          <w:rFonts w:ascii="Century" w:hAnsi="Century" w:cs="Miriam" w:hint="cs"/>
          <w:b/>
          <w:sz w:val="22"/>
          <w:rtl/>
        </w:rPr>
        <w:t>מיטראל בע"מ נ' ראש הממשלה ושר הדתות</w:t>
      </w:r>
      <w:r w:rsidRPr="00632224">
        <w:rPr>
          <w:rFonts w:ascii="Century" w:hAnsi="Century" w:cs="FrankRuehl" w:hint="cs"/>
          <w:spacing w:val="10"/>
          <w:sz w:val="22"/>
          <w:szCs w:val="28"/>
          <w:rtl/>
        </w:rPr>
        <w:t xml:space="preserve">, פ"ד מז(5) 485, 498 (1993) (להלן: עניין </w:t>
      </w:r>
      <w:r w:rsidRPr="00632224">
        <w:rPr>
          <w:rFonts w:ascii="Century" w:hAnsi="Century" w:cs="Miriam" w:hint="eastAsia"/>
          <w:b/>
          <w:sz w:val="22"/>
          <w:rtl/>
        </w:rPr>
        <w:t>מיטראל</w:t>
      </w: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 xml:space="preserve">בג"ץ 1993/03 </w:t>
      </w:r>
      <w:r w:rsidRPr="00632224">
        <w:rPr>
          <w:rFonts w:ascii="Century" w:hAnsi="Century" w:cs="Miriam"/>
          <w:b/>
          <w:sz w:val="22"/>
          <w:rtl/>
        </w:rPr>
        <w:t>התנועה למען איכות השלטון בישראל נ' ראש הממשלה</w:t>
      </w:r>
      <w:r w:rsidRPr="00632224">
        <w:rPr>
          <w:rFonts w:ascii="Century" w:hAnsi="Century" w:cs="FrankRuehl"/>
          <w:spacing w:val="10"/>
          <w:sz w:val="22"/>
          <w:szCs w:val="28"/>
          <w:rtl/>
        </w:rPr>
        <w:t>, פ"ד נז</w:t>
      </w:r>
      <w:r w:rsidRPr="00632224">
        <w:rPr>
          <w:rFonts w:ascii="Arial TUR" w:hAnsi="Arial TUR" w:cs="FrankRuehl" w:hint="cs"/>
          <w:spacing w:val="10"/>
          <w:sz w:val="22"/>
          <w:szCs w:val="28"/>
          <w:rtl/>
        </w:rPr>
        <w:t xml:space="preserve">(6) 817, 841 (2003) (להלן: </w:t>
      </w:r>
      <w:r w:rsidRPr="00632224">
        <w:rPr>
          <w:rFonts w:ascii="Century" w:hAnsi="Century" w:cs="FrankRuehl" w:hint="eastAsia"/>
          <w:spacing w:val="10"/>
          <w:sz w:val="22"/>
          <w:szCs w:val="28"/>
          <w:rtl/>
        </w:rPr>
        <w:t>עניין</w:t>
      </w:r>
      <w:r w:rsidRPr="00632224">
        <w:rPr>
          <w:rFonts w:ascii="Century" w:hAnsi="Century" w:cs="Miriam"/>
          <w:b/>
          <w:sz w:val="22"/>
          <w:rtl/>
        </w:rPr>
        <w:t xml:space="preserve"> </w:t>
      </w:r>
      <w:r w:rsidRPr="00632224">
        <w:rPr>
          <w:rFonts w:ascii="Century" w:hAnsi="Century" w:cs="Miriam" w:hint="eastAsia"/>
          <w:b/>
          <w:sz w:val="22"/>
          <w:rtl/>
        </w:rPr>
        <w:t>הנגבי</w:t>
      </w:r>
      <w:r w:rsidRPr="00632224">
        <w:rPr>
          <w:rFonts w:ascii="Arial TUR" w:hAnsi="Arial TUR" w:cs="FrankRuehl" w:hint="cs"/>
          <w:spacing w:val="10"/>
          <w:sz w:val="22"/>
          <w:szCs w:val="28"/>
          <w:rtl/>
        </w:rPr>
        <w:t>)).</w:t>
      </w:r>
      <w:r w:rsidRPr="00632224">
        <w:rPr>
          <w:rFonts w:ascii="Century" w:hAnsi="Century" w:cs="FrankRuehl" w:hint="cs"/>
          <w:spacing w:val="10"/>
          <w:sz w:val="22"/>
          <w:szCs w:val="28"/>
          <w:rtl/>
        </w:rPr>
        <w:t xml:space="preserve"> </w:t>
      </w:r>
      <w:r w:rsidRPr="00632224">
        <w:rPr>
          <w:rFonts w:ascii="Arial TUR" w:hAnsi="Arial TUR" w:cs="FrankRuehl" w:hint="cs"/>
          <w:spacing w:val="10"/>
          <w:sz w:val="22"/>
          <w:szCs w:val="28"/>
          <w:rtl/>
        </w:rPr>
        <w:t xml:space="preserve">ולבסוף, </w:t>
      </w:r>
      <w:r w:rsidRPr="00632224">
        <w:rPr>
          <w:rFonts w:ascii="Century" w:hAnsi="Century" w:cs="FrankRuehl" w:hint="cs"/>
          <w:spacing w:val="10"/>
          <w:sz w:val="22"/>
          <w:szCs w:val="28"/>
          <w:rtl/>
        </w:rPr>
        <w:t xml:space="preserve">גם כאשר בית המשפט מוצא חריגה ממתחם הסבירות הוא מורה לעיתים על החזרת הסוגיה לדיון אל הרשות על מנת שזו תקבל החלטה חדשה (ראו, לדוגמה, עע"מ 4821/21 </w:t>
      </w:r>
      <w:r w:rsidRPr="00632224">
        <w:rPr>
          <w:rFonts w:ascii="Century" w:hAnsi="Century" w:cs="Miriam" w:hint="cs"/>
          <w:b/>
          <w:sz w:val="22"/>
          <w:rtl/>
        </w:rPr>
        <w:t>פלונית נ' שר הפנים</w:t>
      </w:r>
      <w:r w:rsidRPr="00632224">
        <w:rPr>
          <w:rFonts w:ascii="Century" w:hAnsi="Century" w:cs="FrankRuehl" w:hint="cs"/>
          <w:spacing w:val="10"/>
          <w:sz w:val="22"/>
          <w:szCs w:val="28"/>
          <w:rtl/>
        </w:rPr>
        <w:t xml:space="preserve"> (29.11.2022)).</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shd w:val="clear" w:color="auto" w:fill="FFFFFF"/>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אכן, "[...] עתירות רבות, מהן שהתבססו על עילת הסבירות, תרמו לשיפור המינהל הציבורי בישראל, לעתים בפסקי דין מלומדים ולעתים ב'שמרטפות' עיקשת ונחושה על-ידי בית המשפט" (בג"ץ 3997/14 </w:t>
      </w:r>
      <w:r w:rsidRPr="00632224">
        <w:rPr>
          <w:rFonts w:ascii="Century" w:hAnsi="Century" w:cs="Miriam" w:hint="cs"/>
          <w:b/>
          <w:sz w:val="22"/>
          <w:rtl/>
        </w:rPr>
        <w:t>התנועה למען איכות השלטון בישראל נ' שר החוץ</w:t>
      </w:r>
      <w:r w:rsidRPr="00632224">
        <w:rPr>
          <w:rFonts w:ascii="Arial TUR" w:hAnsi="Arial TUR" w:cs="FrankRuehl" w:hint="cs"/>
          <w:spacing w:val="10"/>
          <w:sz w:val="22"/>
          <w:szCs w:val="28"/>
          <w:rtl/>
        </w:rPr>
        <w:t xml:space="preserve">, פסקה ג לפסק דינו של המשנה לנשיאה </w:t>
      </w:r>
      <w:r w:rsidRPr="00632224">
        <w:rPr>
          <w:rFonts w:ascii="Century" w:hAnsi="Century" w:cs="Miriam" w:hint="eastAsia"/>
          <w:b/>
          <w:sz w:val="22"/>
          <w:rtl/>
        </w:rPr>
        <w:t>רובינשטיין</w:t>
      </w:r>
      <w:r w:rsidRPr="00632224">
        <w:rPr>
          <w:rFonts w:ascii="Arial TUR" w:hAnsi="Arial TUR" w:cs="FrankRuehl" w:hint="cs"/>
          <w:spacing w:val="10"/>
          <w:sz w:val="22"/>
          <w:szCs w:val="28"/>
          <w:rtl/>
        </w:rPr>
        <w:t xml:space="preserve"> (12.2.2015) (להלן: </w:t>
      </w:r>
      <w:r w:rsidRPr="00632224">
        <w:rPr>
          <w:rFonts w:ascii="Century" w:hAnsi="Century" w:cs="FrankRuehl" w:hint="eastAsia"/>
          <w:spacing w:val="10"/>
          <w:sz w:val="22"/>
          <w:szCs w:val="28"/>
          <w:rtl/>
        </w:rPr>
        <w:t>עניין</w:t>
      </w:r>
      <w:r w:rsidRPr="00632224">
        <w:rPr>
          <w:rFonts w:ascii="Century" w:hAnsi="Century" w:cs="Miriam" w:hint="cs"/>
          <w:b/>
          <w:sz w:val="22"/>
          <w:rtl/>
        </w:rPr>
        <w:t xml:space="preserve"> הנגבי השני</w:t>
      </w:r>
      <w:r w:rsidRPr="00632224">
        <w:rPr>
          <w:rFonts w:ascii="Arial TUR" w:hAnsi="Arial TUR" w:cs="FrankRuehl" w:hint="cs"/>
          <w:spacing w:val="10"/>
          <w:sz w:val="22"/>
          <w:szCs w:val="28"/>
          <w:rtl/>
        </w:rPr>
        <w:t>)). אך בפועל, התערבות בית המשפט בהחלטות הממשלה ושריה בעילת הסבירות היא ממילא מצומצמת ועל כך יעידו גם הנתונים. בין השנים 2022-2003 הוגשו 64 עתירות בנושא מינויים, 12 עתירות התקבלו ומתוכן רק שבע על בסיס עילת הסבירות. עתירה אחת בלבד מתוך 22 עתירות שהוגשו נגד מינויים שבסמכות הממשלה התקבלה, ובארבעה מקרים התקבלו עתירות כנגד החלטות שרים למנות את פלוני לתפקיד בכיר (</w:t>
      </w:r>
      <w:r w:rsidRPr="00632224">
        <w:rPr>
          <w:rFonts w:ascii="Century" w:hAnsi="Century" w:cs="FrankRuehl" w:hint="cs"/>
          <w:spacing w:val="10"/>
          <w:sz w:val="22"/>
          <w:szCs w:val="28"/>
          <w:shd w:val="clear" w:color="auto" w:fill="FFFFFF"/>
          <w:rtl/>
        </w:rPr>
        <w:t>א</w:t>
      </w:r>
      <w:r w:rsidRPr="00632224">
        <w:rPr>
          <w:rFonts w:ascii="Century" w:hAnsi="Century" w:cs="FrankRuehl"/>
          <w:spacing w:val="10"/>
          <w:sz w:val="22"/>
          <w:szCs w:val="28"/>
          <w:shd w:val="clear" w:color="auto" w:fill="FFFFFF"/>
          <w:rtl/>
        </w:rPr>
        <w:t xml:space="preserve">לעד גיל ובל יוסף </w:t>
      </w:r>
      <w:r w:rsidRPr="00632224">
        <w:rPr>
          <w:rFonts w:ascii="Century" w:hAnsi="Century" w:cs="Miriam"/>
          <w:b/>
          <w:sz w:val="22"/>
          <w:shd w:val="clear" w:color="auto" w:fill="FFFFFF"/>
          <w:rtl/>
        </w:rPr>
        <w:t>השימ</w:t>
      </w:r>
      <w:r w:rsidRPr="00632224">
        <w:rPr>
          <w:rFonts w:ascii="Century" w:hAnsi="Century" w:cs="Miriam" w:hint="cs"/>
          <w:b/>
          <w:sz w:val="22"/>
          <w:shd w:val="clear" w:color="auto" w:fill="FFFFFF"/>
          <w:rtl/>
        </w:rPr>
        <w:t>ו</w:t>
      </w:r>
      <w:r w:rsidRPr="00632224">
        <w:rPr>
          <w:rFonts w:ascii="Century" w:hAnsi="Century" w:cs="Miriam"/>
          <w:b/>
          <w:sz w:val="22"/>
          <w:shd w:val="clear" w:color="auto" w:fill="FFFFFF"/>
          <w:rtl/>
        </w:rPr>
        <w:t>ש בעילת הסבירות בפיקוח על מינויים ציבוריים</w:t>
      </w:r>
      <w:r w:rsidRPr="00632224">
        <w:rPr>
          <w:rFonts w:ascii="Century" w:hAnsi="Century" w:cs="FrankRuehl"/>
          <w:spacing w:val="10"/>
          <w:sz w:val="22"/>
          <w:szCs w:val="28"/>
          <w:shd w:val="clear" w:color="auto" w:fill="FFFFFF"/>
          <w:rtl/>
        </w:rPr>
        <w:t xml:space="preserve"> (תכלית – המכון למדיניות ישראלית</w:t>
      </w:r>
      <w:r w:rsidRPr="00632224">
        <w:rPr>
          <w:rFonts w:ascii="Century" w:hAnsi="Century" w:cs="FrankRuehl" w:hint="cs"/>
          <w:spacing w:val="10"/>
          <w:sz w:val="22"/>
          <w:szCs w:val="28"/>
          <w:shd w:val="clear" w:color="auto" w:fill="FFFFFF"/>
          <w:rtl/>
        </w:rPr>
        <w:t xml:space="preserve">, </w:t>
      </w:r>
      <w:r w:rsidRPr="00632224">
        <w:rPr>
          <w:rFonts w:ascii="Century" w:hAnsi="Century" w:cs="FrankRuehl"/>
          <w:spacing w:val="10"/>
          <w:sz w:val="22"/>
          <w:szCs w:val="28"/>
          <w:shd w:val="clear" w:color="auto" w:fill="FFFFFF"/>
          <w:rtl/>
        </w:rPr>
        <w:t>2023)</w:t>
      </w:r>
      <w:r w:rsidRPr="00632224">
        <w:rPr>
          <w:rFonts w:ascii="Century" w:hAnsi="Century" w:cs="FrankRuehl" w:hint="cs"/>
          <w:spacing w:val="10"/>
          <w:sz w:val="22"/>
          <w:szCs w:val="28"/>
          <w:shd w:val="clear" w:color="auto" w:fill="FFFFFF"/>
          <w:rtl/>
        </w:rPr>
        <w:t>). בניגוד לדעה הרווחת, "</w:t>
      </w:r>
      <w:r w:rsidRPr="00632224">
        <w:rPr>
          <w:rFonts w:ascii="Arial TUR" w:hAnsi="Arial TUR" w:cs="FrankRuehl"/>
          <w:spacing w:val="10"/>
          <w:sz w:val="22"/>
          <w:szCs w:val="28"/>
          <w:rtl/>
        </w:rPr>
        <w:t>סקירות אמפיריות של השימוש השיפוטי בעילת אי־הסבירות בישראל אינן מובילות למסקנה כי בג"ץ התיר כל רסן. נהפוך הוא, גישה זהירה ובצידה התערבות במקרים ספורים בלבד</w:t>
      </w:r>
      <w:r w:rsidRPr="00632224">
        <w:rPr>
          <w:rFonts w:ascii="Arial TUR" w:hAnsi="Arial TUR" w:cs="FrankRuehl" w:hint="cs"/>
          <w:spacing w:val="10"/>
          <w:sz w:val="22"/>
          <w:szCs w:val="28"/>
          <w:rtl/>
        </w:rPr>
        <w:t xml:space="preserve"> [...] ה</w:t>
      </w:r>
      <w:r w:rsidRPr="00632224">
        <w:rPr>
          <w:rFonts w:ascii="Arial TUR" w:hAnsi="Arial TUR" w:cs="FrankRuehl"/>
          <w:spacing w:val="10"/>
          <w:sz w:val="22"/>
          <w:szCs w:val="28"/>
          <w:rtl/>
        </w:rPr>
        <w:t xml:space="preserve">יא השולטת </w:t>
      </w:r>
      <w:r w:rsidRPr="00632224">
        <w:rPr>
          <w:rFonts w:ascii="Arial TUR" w:hAnsi="Arial TUR" w:cs="FrankRuehl"/>
          <w:spacing w:val="10"/>
          <w:sz w:val="22"/>
          <w:szCs w:val="28"/>
          <w:rtl/>
        </w:rPr>
        <w:lastRenderedPageBreak/>
        <w:t>בפסיקה הישראלי</w:t>
      </w:r>
      <w:r w:rsidRPr="00632224">
        <w:rPr>
          <w:rFonts w:ascii="Arial TUR" w:hAnsi="Arial TUR" w:cs="FrankRuehl" w:hint="cs"/>
          <w:spacing w:val="10"/>
          <w:sz w:val="22"/>
          <w:szCs w:val="28"/>
          <w:rtl/>
        </w:rPr>
        <w:t>ת" (</w:t>
      </w:r>
      <w:r w:rsidRPr="00632224">
        <w:rPr>
          <w:rFonts w:ascii="Arial TUR" w:hAnsi="Arial TUR" w:cs="FrankRuehl"/>
          <w:spacing w:val="10"/>
          <w:sz w:val="22"/>
          <w:szCs w:val="28"/>
          <w:rtl/>
        </w:rPr>
        <w:t xml:space="preserve">מרגית כהן "עילת הסבירות במשפט המנהלי: היבטים השוואתיים והערות נורמטיביות אחדות" </w:t>
      </w:r>
      <w:r w:rsidRPr="00632224">
        <w:rPr>
          <w:rFonts w:ascii="Century" w:hAnsi="Century" w:cs="Miriam"/>
          <w:b/>
          <w:sz w:val="22"/>
          <w:rtl/>
        </w:rPr>
        <w:t>ספר אור: קובץ מאמרים לכבודו של השופט תיאודור אור</w:t>
      </w:r>
      <w:r w:rsidRPr="00632224">
        <w:rPr>
          <w:rFonts w:ascii="Arial TUR" w:hAnsi="Arial TUR" w:cs="FrankRuehl"/>
          <w:spacing w:val="10"/>
          <w:sz w:val="22"/>
          <w:szCs w:val="28"/>
          <w:rtl/>
        </w:rPr>
        <w:t xml:space="preserve"> 773,</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 xml:space="preserve">816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2013</w:t>
      </w:r>
      <w:r w:rsidRPr="00632224">
        <w:rPr>
          <w:rFonts w:ascii="Century" w:hAnsi="Century" w:cs="FrankRuehl" w:hint="cs"/>
          <w:spacing w:val="10"/>
          <w:sz w:val="22"/>
          <w:szCs w:val="28"/>
          <w:shd w:val="clear" w:color="auto" w:fill="FFFFFF"/>
          <w:rtl/>
        </w:rPr>
        <w:t>)).</w:t>
      </w:r>
    </w:p>
    <w:p w:rsidR="00244560" w:rsidRPr="00632224" w:rsidRDefault="00244560" w:rsidP="00244560">
      <w:pPr>
        <w:tabs>
          <w:tab w:val="left" w:pos="800"/>
        </w:tabs>
        <w:spacing w:line="360" w:lineRule="auto"/>
        <w:jc w:val="both"/>
        <w:rPr>
          <w:rFonts w:ascii="Century" w:hAnsi="Century" w:cs="FrankRuehl"/>
          <w:spacing w:val="10"/>
          <w:sz w:val="22"/>
          <w:szCs w:val="28"/>
          <w:shd w:val="clear" w:color="auto" w:fill="FFFFFF"/>
          <w:rtl/>
        </w:rPr>
      </w:pPr>
      <w:r w:rsidRPr="00632224">
        <w:rPr>
          <w:rFonts w:ascii="Century" w:hAnsi="Century" w:cs="FrankRuehl"/>
          <w:spacing w:val="10"/>
          <w:sz w:val="22"/>
          <w:szCs w:val="28"/>
          <w:shd w:val="clear" w:color="auto" w:fill="FFFFFF"/>
          <w:rtl/>
        </w:rPr>
        <w:tab/>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spacing w:val="10"/>
          <w:sz w:val="22"/>
          <w:szCs w:val="28"/>
          <w:shd w:val="clear" w:color="auto" w:fill="FFFFFF"/>
          <w:rtl/>
        </w:rPr>
        <w:tab/>
      </w:r>
      <w:r w:rsidRPr="00632224">
        <w:rPr>
          <w:rFonts w:ascii="Century" w:hAnsi="Century" w:cs="FrankRuehl" w:hint="cs"/>
          <w:spacing w:val="10"/>
          <w:sz w:val="22"/>
          <w:szCs w:val="28"/>
          <w:shd w:val="clear" w:color="auto" w:fill="FFFFFF"/>
          <w:rtl/>
        </w:rPr>
        <w:t xml:space="preserve">על פי המסמך שהונח בפני ועדת החוקה (מש/6 לתשובת הכנסת), עולה כי בעשור האחרון התקבלו 44 עתירות בעילת הסבירות, אך רק ב-16 מקרים היה מדובר בהחלטות של הממשלה או של שרי הממשלה (ראו גם בפסקה 172 לפסק דינה של הנשיאה). אל מול פסקי דין בודדים אלה ניתן להעמיד מאות פסקי דין שבהם נדחו עתירות מן הטעם שבית המשפט אינו ממיר את שיקול דעתה של הרשות המינהלית בשיקול דעתו-שלו. אל מול פסקי דין בודדים אלה ניתן להעמיד עשרות אלפי החלטות שהרשות המבצעת קיבלה או נמנעה מלקבל ולא הגיעו כלל לפתחם של בתי המשפט. </w:t>
      </w:r>
      <w:r w:rsidRPr="00632224">
        <w:rPr>
          <w:rFonts w:ascii="Arial TUR" w:hAnsi="Arial TUR" w:cs="FrankRuehl" w:hint="cs"/>
          <w:spacing w:val="10"/>
          <w:sz w:val="22"/>
          <w:szCs w:val="28"/>
          <w:rtl/>
        </w:rPr>
        <w:t xml:space="preserve">מכאן, שעיקר כוחה ופועלה של עילת הסבירות אינו בבחינה של ההחלטה המינהלית </w:t>
      </w:r>
      <w:r w:rsidRPr="00632224">
        <w:rPr>
          <w:rFonts w:ascii="Century" w:hAnsi="Century" w:cs="Miriam" w:hint="cs"/>
          <w:b/>
          <w:sz w:val="22"/>
          <w:rtl/>
        </w:rPr>
        <w:t>בדיעבד</w:t>
      </w:r>
      <w:r w:rsidRPr="00632224">
        <w:rPr>
          <w:rFonts w:ascii="Arial TUR" w:hAnsi="Arial TUR" w:cs="FrankRuehl" w:hint="cs"/>
          <w:spacing w:val="10"/>
          <w:sz w:val="22"/>
          <w:szCs w:val="28"/>
          <w:rtl/>
        </w:rPr>
        <w:t xml:space="preserve"> בזירה של בית המשפט, אלא בבחינתה </w:t>
      </w:r>
      <w:r w:rsidRPr="00632224">
        <w:rPr>
          <w:rFonts w:ascii="Century" w:hAnsi="Century" w:cs="Miriam" w:hint="cs"/>
          <w:b/>
          <w:sz w:val="22"/>
          <w:rtl/>
        </w:rPr>
        <w:t>מלכתחילה</w:t>
      </w:r>
      <w:r w:rsidRPr="00632224">
        <w:rPr>
          <w:rFonts w:ascii="Arial TUR" w:hAnsi="Arial TUR" w:cs="FrankRuehl" w:hint="cs"/>
          <w:spacing w:val="10"/>
          <w:sz w:val="22"/>
          <w:szCs w:val="28"/>
          <w:rtl/>
        </w:rPr>
        <w:t xml:space="preserve"> בתוך המנגנון המינהלי עוד בשלב גיבוש ועיצוב ההחלטה, מתוך ידיעה כי הפרה של חובת הסבירות תיבחן על פי עילת הסבירות: "יש להעריך את תרומתה של עילת הסבירות לא רק בהתייחס למקרים שנדונו בבתי המשפט, אלא גם מהיבט השפעתה של עיצוב החלטותיהן של רשויות המינהל [...]" (</w:t>
      </w:r>
      <w:r w:rsidRPr="00632224">
        <w:rPr>
          <w:rFonts w:ascii="Century" w:hAnsi="Century" w:cs="Miriam" w:hint="eastAsia"/>
          <w:b/>
          <w:sz w:val="22"/>
          <w:rtl/>
        </w:rPr>
        <w:t>ברק</w:t>
      </w:r>
      <w:r w:rsidRPr="00632224">
        <w:rPr>
          <w:rFonts w:ascii="Century" w:hAnsi="Century" w:cs="Miriam"/>
          <w:b/>
          <w:sz w:val="22"/>
          <w:rtl/>
        </w:rPr>
        <w:t xml:space="preserve">-ארז משפט </w:t>
      </w:r>
      <w:r w:rsidRPr="00632224">
        <w:rPr>
          <w:rFonts w:ascii="Century" w:hAnsi="Century" w:cs="Miriam" w:hint="eastAsia"/>
          <w:b/>
          <w:sz w:val="22"/>
          <w:rtl/>
        </w:rPr>
        <w:t>מינהלי</w:t>
      </w:r>
      <w:r w:rsidRPr="00632224">
        <w:rPr>
          <w:rFonts w:ascii="Arial TUR" w:hAnsi="Arial TUR" w:cs="FrankRuehl" w:hint="cs"/>
          <w:spacing w:val="10"/>
          <w:sz w:val="22"/>
          <w:szCs w:val="28"/>
          <w:rtl/>
        </w:rPr>
        <w:t xml:space="preserve">, כרך ב בעמ' 769).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לביטול עילת הסבירות יש אפוא פגיעה הסמויה מן העין, שממדיה ילכו ויתבררו ככל שיחלוף הזמן, פגיעה בציבור ככלל ופגיעה בענייניהם הפרטניים של מי שההחלטות בענייניהם יובאו בפני השרים.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44.</w:t>
      </w:r>
      <w:r w:rsidRPr="00632224">
        <w:rPr>
          <w:rFonts w:ascii="Arial TUR" w:hAnsi="Arial TUR" w:cs="FrankRuehl"/>
          <w:spacing w:val="10"/>
          <w:sz w:val="22"/>
          <w:szCs w:val="28"/>
          <w:rtl/>
        </w:rPr>
        <w:tab/>
      </w:r>
      <w:r w:rsidRPr="00632224">
        <w:rPr>
          <w:rFonts w:ascii="Arial TUR" w:hAnsi="Arial TUR" w:cs="FrankRuehl" w:hint="cs"/>
          <w:spacing w:val="10"/>
          <w:sz w:val="22"/>
          <w:szCs w:val="28"/>
          <w:rtl/>
        </w:rPr>
        <w:t>אחת הטענות הרווחות כנגד השימוש בעילת הסבירות היא היותה עמומה. על כך כבר השיבה הפסיקה:</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"עילת הסבירות אינה נפגמת מעצם היותה נורמה מופשטת או מושג שסתום. אדרבא, 'עובדה זו מאפשרת לסבירות להיות 'הגשר שבאמצעותו המשפט עשוי לתת פתרונות מודרניים לבעיות החברתיות החדשות' [...]. עוקץ עמימותה ממילא קהה לאחר שנים ארוכות שבהן עוצבה מקרה אחר מקרה במשפט המקובל נוסח ישראל, שהעמיד בידינו גוף מקיף של כללים ליישומה" (עניין </w:t>
      </w:r>
      <w:r w:rsidRPr="00632224">
        <w:rPr>
          <w:rFonts w:ascii="Century" w:hAnsi="Century" w:cs="Miriam" w:hint="cs"/>
          <w:b/>
          <w:sz w:val="22"/>
          <w:rtl/>
        </w:rPr>
        <w:t>התאחדות הסוחרים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w:t>
      </w:r>
      <w:r w:rsidRPr="00632224">
        <w:rPr>
          <w:rFonts w:ascii="Arial TUR" w:hAnsi="Arial TUR" w:cs="FrankRuehl" w:hint="cs"/>
          <w:spacing w:val="10"/>
          <w:sz w:val="22"/>
          <w:szCs w:val="28"/>
          <w:rtl/>
        </w:rPr>
        <w:t xml:space="preserve">פסקה 57 לפסק דינה של הנשיאה </w:t>
      </w:r>
      <w:r w:rsidRPr="00632224">
        <w:rPr>
          <w:rFonts w:ascii="Century" w:hAnsi="Century" w:cs="Miriam" w:hint="cs"/>
          <w:b/>
          <w:sz w:val="22"/>
          <w:rtl/>
        </w:rPr>
        <w:t>נאור</w:t>
      </w:r>
      <w:r w:rsidRPr="00632224">
        <w:rPr>
          <w:rFonts w:ascii="Arial TUR" w:hAnsi="Arial TUR" w:cs="FrankRuehl" w:hint="cs"/>
          <w:spacing w:val="10"/>
          <w:sz w:val="22"/>
          <w:szCs w:val="28"/>
          <w:rtl/>
        </w:rPr>
        <w:t xml:space="preserve">). </w:t>
      </w:r>
    </w:p>
    <w:p w:rsidR="00244560" w:rsidRPr="00632224" w:rsidRDefault="00244560" w:rsidP="00244560">
      <w:pPr>
        <w:ind w:left="1644" w:right="1276"/>
        <w:jc w:val="both"/>
        <w:rPr>
          <w:rFonts w:ascii="Arial TUR" w:hAnsi="Arial TUR" w:cs="FrankRuehl"/>
          <w:spacing w:val="10"/>
          <w:sz w:val="30"/>
          <w:szCs w:val="28"/>
          <w:rtl/>
        </w:rPr>
      </w:pPr>
    </w:p>
    <w:p w:rsidR="00244560" w:rsidRPr="00632224" w:rsidRDefault="00244560" w:rsidP="00244560">
      <w:pPr>
        <w:ind w:left="1644" w:right="1276"/>
        <w:jc w:val="both"/>
        <w:rPr>
          <w:rFonts w:ascii="Arial TUR" w:hAnsi="Arial TUR" w:cs="FrankRuehl"/>
          <w:spacing w:val="10"/>
          <w:sz w:val="30"/>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ובכלל, בעולם המשפט אנו מוצאים ביטויים שהם עמומים מטבעם, ובעמום בית המשפט מחפש את הצלול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מונחי שסתום שהמחוקק בחר להותירם כ"רקמה פתוחה" </w:t>
      </w:r>
      <w:r w:rsidRPr="00632224">
        <w:rPr>
          <w:rFonts w:ascii="Arial TUR" w:hAnsi="Arial TUR" w:cs="FrankRuehl" w:hint="cs"/>
          <w:spacing w:val="10"/>
          <w:sz w:val="22"/>
          <w:szCs w:val="28"/>
          <w:rtl/>
        </w:rPr>
        <w:lastRenderedPageBreak/>
        <w:t xml:space="preserve">כמו תום לב, תקנת הציבור, תנאי מקפח, רשלנות, התנהגות בלתי הולמת וכיוצא באלה. עמדה על כך הנשיאה </w:t>
      </w:r>
      <w:r w:rsidRPr="00632224">
        <w:rPr>
          <w:rFonts w:ascii="Century" w:hAnsi="Century" w:cs="Miriam" w:hint="cs"/>
          <w:b/>
          <w:sz w:val="22"/>
          <w:rtl/>
        </w:rPr>
        <w:t>חיות</w:t>
      </w:r>
      <w:r w:rsidRPr="00632224">
        <w:rPr>
          <w:rFonts w:ascii="Arial TUR" w:hAnsi="Arial TUR" w:cs="FrankRuehl" w:hint="cs"/>
          <w:spacing w:val="10"/>
          <w:sz w:val="22"/>
          <w:szCs w:val="28"/>
          <w:rtl/>
        </w:rPr>
        <w:t xml:space="preserve"> בפסק דינה בעניין </w:t>
      </w:r>
      <w:r w:rsidRPr="00632224">
        <w:rPr>
          <w:rFonts w:ascii="Century" w:hAnsi="Century" w:cs="Miriam" w:hint="cs"/>
          <w:b/>
          <w:sz w:val="22"/>
          <w:rtl/>
        </w:rPr>
        <w:t>הנגבי השני</w:t>
      </w:r>
      <w:r w:rsidRPr="00632224">
        <w:rPr>
          <w:rFonts w:ascii="Arial TUR" w:hAnsi="Arial TUR" w:cs="FrankRuehl" w:hint="cs"/>
          <w:spacing w:val="10"/>
          <w:sz w:val="22"/>
          <w:szCs w:val="28"/>
          <w:rtl/>
        </w:rPr>
        <w:t xml:space="preserve">: "אילו ביקשנו לראות בכך מאפיין הפוגם בעילת הסבירות כנורמה משפטית, היה עלינו לצרף אליה כנורמות פגומות, על פי אותה גישה, גם שורה ארוכה ונכבדה של נורמות משפטיות בעלות מאפיינים דומים כמו עקרון תום הלב ותקנת הציבור למשל" (בפסקה 3 לפסק דינה).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ביטוי עמום במיוחד הוא "צדק" שאותו אנו מוצאים בסעיף 15(ג) לחוק יסוד: השפיטה:</w:t>
      </w:r>
    </w:p>
    <w:p w:rsidR="00244560" w:rsidRPr="00632224" w:rsidRDefault="00244560" w:rsidP="00244560">
      <w:pPr>
        <w:keepNext/>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Century" w:hAnsi="Century" w:cs="FrankRuehl" w:hint="eastAsia"/>
          <w:spacing w:val="10"/>
          <w:sz w:val="22"/>
          <w:szCs w:val="28"/>
          <w:rtl/>
        </w:rPr>
        <w:t>בית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המשפט</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העליון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ישב</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גם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כבית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משפט</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גבוה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לצדק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בשבתו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כאמור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ידון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בענינים</w:t>
      </w:r>
      <w:r w:rsidRPr="00632224">
        <w:rPr>
          <w:rFonts w:ascii="Century" w:hAnsi="Century" w:cs="FrankRuehl"/>
          <w:spacing w:val="10"/>
          <w:sz w:val="22"/>
          <w:szCs w:val="28"/>
          <w:rtl/>
        </w:rPr>
        <w:t xml:space="preserve"> </w:t>
      </w:r>
      <w:r w:rsidRPr="00632224">
        <w:rPr>
          <w:rFonts w:ascii="Century" w:hAnsi="Century" w:cs="Miriam" w:hint="eastAsia"/>
          <w:b/>
          <w:sz w:val="22"/>
          <w:rtl/>
        </w:rPr>
        <w:t>אשר</w:t>
      </w:r>
      <w:r w:rsidRPr="00632224">
        <w:rPr>
          <w:rFonts w:ascii="Century" w:hAnsi="Century" w:cs="Miriam"/>
          <w:b/>
          <w:sz w:val="22"/>
          <w:rtl/>
        </w:rPr>
        <w:t xml:space="preserve"> </w:t>
      </w:r>
      <w:r w:rsidRPr="00632224">
        <w:rPr>
          <w:rFonts w:ascii="Century" w:hAnsi="Century" w:cs="Miriam" w:hint="eastAsia"/>
          <w:b/>
          <w:sz w:val="22"/>
          <w:rtl/>
        </w:rPr>
        <w:t>הוא</w:t>
      </w:r>
      <w:r w:rsidRPr="00632224">
        <w:rPr>
          <w:rFonts w:ascii="Century" w:hAnsi="Century" w:cs="Miriam"/>
          <w:b/>
          <w:sz w:val="22"/>
          <w:rtl/>
        </w:rPr>
        <w:t xml:space="preserve"> </w:t>
      </w:r>
      <w:r w:rsidRPr="00632224">
        <w:rPr>
          <w:rFonts w:ascii="Century" w:hAnsi="Century" w:cs="Miriam" w:hint="eastAsia"/>
          <w:b/>
          <w:sz w:val="22"/>
          <w:rtl/>
        </w:rPr>
        <w:t>רואה</w:t>
      </w:r>
      <w:r w:rsidRPr="00632224">
        <w:rPr>
          <w:rFonts w:ascii="Century" w:hAnsi="Century" w:cs="Miriam"/>
          <w:b/>
          <w:sz w:val="22"/>
          <w:rtl/>
        </w:rPr>
        <w:t xml:space="preserve"> </w:t>
      </w:r>
      <w:r w:rsidRPr="00632224">
        <w:rPr>
          <w:rFonts w:ascii="Century" w:hAnsi="Century" w:cs="Miriam" w:hint="eastAsia"/>
          <w:b/>
          <w:sz w:val="22"/>
          <w:rtl/>
        </w:rPr>
        <w:t>צורך</w:t>
      </w:r>
      <w:r w:rsidRPr="00632224">
        <w:rPr>
          <w:rFonts w:ascii="Century" w:hAnsi="Century" w:cs="Miriam"/>
          <w:b/>
          <w:sz w:val="22"/>
          <w:rtl/>
        </w:rPr>
        <w:t xml:space="preserve"> </w:t>
      </w:r>
      <w:r w:rsidRPr="00632224">
        <w:rPr>
          <w:rFonts w:ascii="Century" w:hAnsi="Century" w:cs="Miriam" w:hint="eastAsia"/>
          <w:b/>
          <w:sz w:val="22"/>
          <w:rtl/>
        </w:rPr>
        <w:t>לתת</w:t>
      </w:r>
      <w:r w:rsidRPr="00632224">
        <w:rPr>
          <w:rFonts w:ascii="Century" w:hAnsi="Century" w:cs="Miriam"/>
          <w:b/>
          <w:sz w:val="22"/>
          <w:rtl/>
        </w:rPr>
        <w:t xml:space="preserve"> </w:t>
      </w:r>
      <w:r w:rsidRPr="00632224">
        <w:rPr>
          <w:rFonts w:ascii="Century" w:hAnsi="Century" w:cs="Miriam" w:hint="eastAsia"/>
          <w:b/>
          <w:sz w:val="22"/>
          <w:rtl/>
        </w:rPr>
        <w:t>בהם</w:t>
      </w:r>
      <w:r w:rsidRPr="00632224">
        <w:rPr>
          <w:rFonts w:ascii="Century" w:hAnsi="Century" w:cs="Miriam"/>
          <w:b/>
          <w:sz w:val="22"/>
          <w:rtl/>
        </w:rPr>
        <w:t xml:space="preserve"> </w:t>
      </w:r>
      <w:r w:rsidRPr="00632224">
        <w:rPr>
          <w:rFonts w:ascii="Century" w:hAnsi="Century" w:cs="Miriam" w:hint="eastAsia"/>
          <w:b/>
          <w:sz w:val="22"/>
          <w:rtl/>
        </w:rPr>
        <w:t>סעד</w:t>
      </w:r>
      <w:r w:rsidRPr="00632224">
        <w:rPr>
          <w:rFonts w:ascii="Century" w:hAnsi="Century" w:cs="Miriam"/>
          <w:b/>
          <w:sz w:val="22"/>
          <w:rtl/>
        </w:rPr>
        <w:t xml:space="preserve"> </w:t>
      </w:r>
      <w:r w:rsidRPr="00632224">
        <w:rPr>
          <w:rFonts w:ascii="Century" w:hAnsi="Century" w:cs="Miriam" w:hint="eastAsia"/>
          <w:b/>
          <w:sz w:val="22"/>
          <w:rtl/>
        </w:rPr>
        <w:t>למען</w:t>
      </w:r>
      <w:r w:rsidRPr="00632224">
        <w:rPr>
          <w:rFonts w:ascii="Century" w:hAnsi="Century" w:cs="Miriam"/>
          <w:b/>
          <w:sz w:val="22"/>
          <w:rtl/>
        </w:rPr>
        <w:t xml:space="preserve"> </w:t>
      </w:r>
      <w:r w:rsidRPr="00632224">
        <w:rPr>
          <w:rFonts w:ascii="Century" w:hAnsi="Century" w:cs="Miriam" w:hint="eastAsia"/>
          <w:b/>
          <w:sz w:val="22"/>
          <w:rtl/>
        </w:rPr>
        <w:t>הצדק</w:t>
      </w:r>
      <w:r w:rsidRPr="00632224">
        <w:rPr>
          <w:rFonts w:ascii="Century" w:hAnsi="Century" w:cs="Miriam"/>
          <w:b/>
          <w:sz w:val="22"/>
          <w:rtl/>
        </w:rPr>
        <w:t xml:space="preserve"> </w:t>
      </w:r>
      <w:r w:rsidRPr="00632224">
        <w:rPr>
          <w:rFonts w:ascii="Century" w:hAnsi="Century" w:cs="FrankRuehl" w:hint="eastAsia"/>
          <w:spacing w:val="10"/>
          <w:sz w:val="22"/>
          <w:szCs w:val="28"/>
          <w:rtl/>
        </w:rPr>
        <w:t>ואשר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אינם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בסמכותו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משפט</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דין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אחר</w:t>
      </w:r>
      <w:r w:rsidRPr="00632224">
        <w:rPr>
          <w:rFonts w:ascii="Century" w:hAnsi="Century" w:cs="FrankRuehl"/>
          <w:spacing w:val="10"/>
          <w:sz w:val="22"/>
          <w:szCs w:val="28"/>
          <w:rtl/>
        </w:rPr>
        <w:t xml:space="preserve">. </w:t>
      </w:r>
    </w:p>
    <w:p w:rsidR="00244560" w:rsidRPr="00632224" w:rsidRDefault="00244560" w:rsidP="00244560">
      <w:pPr>
        <w:ind w:left="1644" w:right="1276"/>
        <w:jc w:val="both"/>
        <w:rPr>
          <w:rFonts w:cs="FrankRuehl"/>
          <w:spacing w:val="10"/>
          <w:sz w:val="24"/>
          <w:szCs w:val="28"/>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הזכרנו ביטוי עמום זה של "צדק", מאחר שטענה רווחת נגד עילת הסבירות היא ש"מה שנתפס בעיני האחד כבלתי-סביר באופן קיצוני, נחזה בעיני חברו כסביר וראוי" (עניין </w:t>
      </w:r>
      <w:r w:rsidRPr="00632224">
        <w:rPr>
          <w:rFonts w:ascii="Century" w:hAnsi="Century" w:cs="Miriam" w:hint="cs"/>
          <w:b/>
          <w:sz w:val="22"/>
          <w:rtl/>
        </w:rPr>
        <w:t>התאחדות הסוחרים</w:t>
      </w:r>
      <w:r w:rsidRPr="00632224">
        <w:rPr>
          <w:rFonts w:ascii="Arial TUR" w:hAnsi="Arial TUR" w:cs="FrankRuehl" w:hint="cs"/>
          <w:spacing w:val="10"/>
          <w:sz w:val="22"/>
          <w:szCs w:val="28"/>
          <w:rtl/>
        </w:rPr>
        <w:t xml:space="preserve">, בפסקה 36 לפסק דינו של השופט </w:t>
      </w:r>
      <w:r w:rsidRPr="00632224">
        <w:rPr>
          <w:rFonts w:ascii="Century" w:hAnsi="Century" w:cs="Miriam" w:hint="cs"/>
          <w:b/>
          <w:sz w:val="22"/>
          <w:rtl/>
        </w:rPr>
        <w:t>סולברג</w:t>
      </w:r>
      <w:r w:rsidRPr="00632224">
        <w:rPr>
          <w:rFonts w:ascii="Arial TUR" w:hAnsi="Arial TUR" w:cs="FrankRuehl" w:hint="cs"/>
          <w:spacing w:val="10"/>
          <w:sz w:val="22"/>
          <w:szCs w:val="28"/>
          <w:rtl/>
        </w:rPr>
        <w:t>). והנה, כך בדיוק נאמר לגבי אותה עילה עמומה של "צדק": "</w:t>
      </w:r>
      <w:r w:rsidRPr="00632224">
        <w:rPr>
          <w:rFonts w:ascii="Arial TUR" w:hAnsi="Arial TUR" w:cs="FrankRuehl"/>
          <w:spacing w:val="10"/>
          <w:sz w:val="22"/>
          <w:szCs w:val="28"/>
          <w:rtl/>
        </w:rPr>
        <w:t>צדק לאחד הוא עוול לאח</w:t>
      </w:r>
      <w:r w:rsidRPr="00632224">
        <w:rPr>
          <w:rFonts w:ascii="Arial TUR" w:hAnsi="Arial TUR" w:cs="FrankRuehl" w:hint="cs"/>
          <w:spacing w:val="10"/>
          <w:sz w:val="22"/>
          <w:szCs w:val="28"/>
          <w:rtl/>
        </w:rPr>
        <w:t xml:space="preserve">ר" </w:t>
      </w:r>
      <w:r w:rsidRPr="00632224">
        <w:rPr>
          <w:rFonts w:ascii="Century" w:hAnsi="Century" w:cs="FrankRuehl" w:hint="cs"/>
          <w:spacing w:val="10"/>
          <w:sz w:val="22"/>
          <w:szCs w:val="28"/>
          <w:rtl/>
        </w:rPr>
        <w:t>(</w:t>
      </w:r>
      <w:r w:rsidRPr="00632224">
        <w:rPr>
          <w:rFonts w:ascii="Century" w:hAnsi="Century" w:cs="FrankRuehl"/>
          <w:spacing w:val="10"/>
          <w:sz w:val="22"/>
          <w:szCs w:val="28"/>
          <w:rtl/>
        </w:rPr>
        <w:t xml:space="preserve">דנ"א 2401/95 </w:t>
      </w:r>
      <w:r w:rsidRPr="00632224">
        <w:rPr>
          <w:rFonts w:ascii="Century" w:hAnsi="Century" w:cs="Miriam" w:hint="eastAsia"/>
          <w:b/>
          <w:sz w:val="22"/>
          <w:rtl/>
        </w:rPr>
        <w:t>נחמני</w:t>
      </w:r>
      <w:r w:rsidRPr="00632224">
        <w:rPr>
          <w:rFonts w:ascii="Century" w:hAnsi="Century" w:cs="Miriam"/>
          <w:b/>
          <w:sz w:val="22"/>
          <w:rtl/>
        </w:rPr>
        <w:t xml:space="preserve"> נ</w:t>
      </w:r>
      <w:r w:rsidRPr="00632224">
        <w:rPr>
          <w:rFonts w:ascii="Century" w:hAnsi="Century" w:cs="Miriam" w:hint="cs"/>
          <w:b/>
          <w:sz w:val="22"/>
          <w:rtl/>
        </w:rPr>
        <w:t>'</w:t>
      </w:r>
      <w:r w:rsidRPr="00632224">
        <w:rPr>
          <w:rFonts w:ascii="Century" w:hAnsi="Century" w:cs="Miriam"/>
          <w:b/>
          <w:sz w:val="22"/>
          <w:rtl/>
        </w:rPr>
        <w:t xml:space="preserve"> נחמני</w:t>
      </w:r>
      <w:r w:rsidRPr="00632224">
        <w:rPr>
          <w:rFonts w:ascii="Century" w:hAnsi="Century" w:cs="FrankRuehl"/>
          <w:spacing w:val="10"/>
          <w:sz w:val="22"/>
          <w:szCs w:val="28"/>
          <w:rtl/>
        </w:rPr>
        <w:t xml:space="preserve">, פ"ד נ(4) 661, </w:t>
      </w:r>
      <w:r w:rsidRPr="00632224">
        <w:rPr>
          <w:rFonts w:ascii="Century" w:hAnsi="Century" w:cs="FrankRuehl" w:hint="cs"/>
          <w:spacing w:val="10"/>
          <w:sz w:val="22"/>
          <w:szCs w:val="28"/>
          <w:rtl/>
        </w:rPr>
        <w:t xml:space="preserve">781 (1996)). </w:t>
      </w:r>
      <w:r w:rsidRPr="00632224">
        <w:rPr>
          <w:rFonts w:ascii="Arial TUR" w:hAnsi="Arial TUR" w:cs="FrankRuehl" w:hint="cs"/>
          <w:spacing w:val="10"/>
          <w:sz w:val="22"/>
          <w:szCs w:val="28"/>
          <w:rtl/>
        </w:rPr>
        <w:t>שבעים וחמש שנה פסק בית משפט זה והעניק סעד למען הצדק ועשרות בשנים פסק על פי עילת הסבירות, הגם שמדובר במונחים עמומים הנושאים על גבם מטען כבד. אין אפוא כל סיבה לבהלה ממונח שסתום כמו "צדק" או "סבירות".</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עדיפה אפוא "עמימותה" של עילת הסבירות שהופקדה בידי בתי המשפט, אשר מזה שנות דור שוקלים אותה במאזניים של משפט תוך ריסון עצמי-שיפוטי, על פני הכחדתה של עילה זו ביחס להחלטות הממשלה ושריה. "למרות שהמשקל והאיזון הם מושגים גמישים, תמיד הם מושגים אובייקטיביים שכן בכל הנסיבות, יהיו אשר יהיו, </w:t>
      </w:r>
      <w:r w:rsidRPr="00632224">
        <w:rPr>
          <w:rFonts w:ascii="Arial TUR" w:hAnsi="Arial TUR" w:cs="FrankRuehl"/>
          <w:spacing w:val="10"/>
          <w:sz w:val="22"/>
          <w:szCs w:val="28"/>
          <w:rtl/>
        </w:rPr>
        <w:t>הרשות המוסמכת המפעילה את הסמכות</w:t>
      </w:r>
      <w:r w:rsidRPr="00632224">
        <w:rPr>
          <w:rFonts w:ascii="Arial TUR" w:hAnsi="Arial TUR" w:cs="FrankRuehl" w:hint="cs"/>
          <w:spacing w:val="10"/>
          <w:sz w:val="22"/>
          <w:szCs w:val="28"/>
          <w:rtl/>
        </w:rPr>
        <w:t>, ובית המשפט המפעיל ביקורת על החלטת הרשות, חייבים להדריך את עצמם, בקביעת המשקל והאיזון, לא על פי השקפה חברתית או נטייה אישית, אלא על פי התכליות של החוק המסמיך ונסיבות המקרה הנדון" (</w:t>
      </w:r>
      <w:r w:rsidRPr="00632224">
        <w:rPr>
          <w:rFonts w:ascii="Century" w:hAnsi="Century" w:cs="Miriam" w:hint="eastAsia"/>
          <w:b/>
          <w:sz w:val="22"/>
          <w:rtl/>
        </w:rPr>
        <w:t>זמיר</w:t>
      </w:r>
      <w:r w:rsidRPr="00632224">
        <w:rPr>
          <w:rFonts w:ascii="Arial TUR" w:hAnsi="Arial TUR" w:cs="FrankRuehl"/>
          <w:spacing w:val="10"/>
          <w:sz w:val="22"/>
          <w:szCs w:val="28"/>
          <w:rtl/>
        </w:rPr>
        <w:t xml:space="preserve"> </w:t>
      </w:r>
      <w:r w:rsidRPr="00632224">
        <w:rPr>
          <w:rFonts w:ascii="Century" w:hAnsi="Century" w:cs="Miriam" w:hint="cs"/>
          <w:b/>
          <w:sz w:val="22"/>
          <w:rtl/>
        </w:rPr>
        <w:t>הסמכות המינהלית</w:t>
      </w:r>
      <w:r w:rsidRPr="00632224">
        <w:rPr>
          <w:rFonts w:ascii="Arial TUR" w:hAnsi="Arial TUR" w:cs="FrankRuehl" w:hint="cs"/>
          <w:spacing w:val="10"/>
          <w:sz w:val="22"/>
          <w:szCs w:val="28"/>
          <w:rtl/>
        </w:rPr>
        <w:t xml:space="preserve">, בעמ' 3579). ובכלל, מערכת משפט מודרנית נדרשת לסטנדרטים, לנורמות כלליות-עקרוניות-מופשטות ולביטויי שסתום כמו "סבירות", "צדק", "מידתיות", "תקנת הציבור", "תום לב" וכיוצא בזה, חלף ניסוח של כללים קזואיסטיים, מאחר שלא ניתן אף פעם לחזות את כל המצבים והתרחישים האפשריים (לניסוח קזואיסטי במשפט העברי ראו משה זילברג </w:t>
      </w:r>
      <w:r w:rsidRPr="00632224">
        <w:rPr>
          <w:rFonts w:ascii="Century" w:hAnsi="Century" w:cs="Miriam"/>
          <w:b/>
          <w:sz w:val="22"/>
          <w:rtl/>
        </w:rPr>
        <w:t>כך דרכו של תלמוד</w:t>
      </w:r>
      <w:r w:rsidRPr="00632224">
        <w:rPr>
          <w:rFonts w:ascii="Century" w:hAnsi="Century" w:cs="FrankRuehl" w:hint="cs"/>
          <w:spacing w:val="10"/>
          <w:sz w:val="22"/>
          <w:szCs w:val="28"/>
          <w:rtl/>
        </w:rPr>
        <w:t xml:space="preserve"> (מהדורה שניה, 1984); </w:t>
      </w:r>
      <w:r w:rsidRPr="00632224">
        <w:rPr>
          <w:rFonts w:ascii="Century" w:hAnsi="Century" w:cs="FrankRuehl" w:hint="cs"/>
          <w:spacing w:val="10"/>
          <w:sz w:val="22"/>
          <w:szCs w:val="28"/>
          <w:rtl/>
        </w:rPr>
        <w:lastRenderedPageBreak/>
        <w:t>יצחק עמית "</w:t>
      </w:r>
      <w:r w:rsidRPr="00632224">
        <w:rPr>
          <w:rFonts w:ascii="Arial TUR" w:hAnsi="Arial TUR" w:cs="FrankRuehl" w:hint="cs"/>
          <w:spacing w:val="10"/>
          <w:sz w:val="22"/>
          <w:szCs w:val="28"/>
          <w:rtl/>
        </w:rPr>
        <w:t>'</w:t>
      </w:r>
      <w:r w:rsidRPr="00632224">
        <w:rPr>
          <w:rFonts w:ascii="Century" w:hAnsi="Century" w:cs="FrankRuehl" w:hint="eastAsia"/>
          <w:spacing w:val="10"/>
          <w:sz w:val="22"/>
          <w:szCs w:val="28"/>
          <w:rtl/>
        </w:rPr>
        <w:t>ועשית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מעקה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לגגֶך</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ולא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תשים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דמים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בביתֶך</w:t>
      </w:r>
      <w:r w:rsidRPr="00632224">
        <w:rPr>
          <w:rFonts w:ascii="Century" w:hAnsi="Century" w:cs="FrankRuehl" w:hint="cs"/>
          <w:spacing w:val="10"/>
          <w:sz w:val="22"/>
          <w:szCs w:val="28"/>
          <w:rtl/>
        </w:rPr>
        <w:t xml:space="preserve">': על חובת הזהירות של המחזיק במקרקעין" </w:t>
      </w:r>
      <w:r w:rsidRPr="00632224">
        <w:rPr>
          <w:rFonts w:ascii="Century" w:hAnsi="Century" w:cs="Miriam" w:hint="eastAsia"/>
          <w:b/>
          <w:sz w:val="22"/>
          <w:rtl/>
        </w:rPr>
        <w:t>פרשת</w:t>
      </w:r>
      <w:r w:rsidRPr="00632224">
        <w:rPr>
          <w:rFonts w:ascii="Century" w:hAnsi="Century" w:cs="Miriam"/>
          <w:b/>
          <w:sz w:val="22"/>
          <w:rtl/>
        </w:rPr>
        <w:t xml:space="preserve"> </w:t>
      </w:r>
      <w:r w:rsidRPr="00632224">
        <w:rPr>
          <w:rFonts w:ascii="Century" w:hAnsi="Century" w:cs="Miriam" w:hint="eastAsia"/>
          <w:b/>
          <w:sz w:val="22"/>
          <w:rtl/>
        </w:rPr>
        <w:t>השבוע</w:t>
      </w:r>
      <w:r w:rsidRPr="00632224">
        <w:rPr>
          <w:rFonts w:ascii="Century" w:hAnsi="Century" w:cs="Miriam"/>
          <w:b/>
          <w:sz w:val="22"/>
          <w:rtl/>
        </w:rPr>
        <w:t xml:space="preserve"> </w:t>
      </w:r>
      <w:r w:rsidRPr="00632224">
        <w:rPr>
          <w:rFonts w:ascii="Century" w:hAnsi="Century" w:cs="Miriam" w:hint="eastAsia"/>
          <w:b/>
          <w:sz w:val="22"/>
          <w:rtl/>
        </w:rPr>
        <w:t>עיונים</w:t>
      </w:r>
      <w:r w:rsidRPr="00632224">
        <w:rPr>
          <w:rFonts w:ascii="Century" w:hAnsi="Century" w:cs="Miriam"/>
          <w:b/>
          <w:sz w:val="22"/>
          <w:rtl/>
        </w:rPr>
        <w:t xml:space="preserve"> </w:t>
      </w:r>
      <w:r w:rsidRPr="00632224">
        <w:rPr>
          <w:rFonts w:ascii="Century" w:hAnsi="Century" w:cs="Miriam" w:hint="eastAsia"/>
          <w:b/>
          <w:sz w:val="22"/>
          <w:rtl/>
        </w:rPr>
        <w:t>משפטיים</w:t>
      </w:r>
      <w:r w:rsidRPr="00632224">
        <w:rPr>
          <w:rFonts w:ascii="Century" w:hAnsi="Century" w:cs="Miriam"/>
          <w:b/>
          <w:sz w:val="22"/>
          <w:rtl/>
        </w:rPr>
        <w:t xml:space="preserve"> </w:t>
      </w:r>
      <w:r w:rsidRPr="00632224">
        <w:rPr>
          <w:rFonts w:ascii="Century" w:hAnsi="Century" w:cs="Miriam" w:hint="eastAsia"/>
          <w:b/>
          <w:sz w:val="22"/>
          <w:rtl/>
        </w:rPr>
        <w:t>בפרשיות</w:t>
      </w:r>
      <w:r w:rsidRPr="00632224">
        <w:rPr>
          <w:rFonts w:ascii="Century" w:hAnsi="Century" w:cs="Miriam"/>
          <w:b/>
          <w:sz w:val="22"/>
          <w:rtl/>
        </w:rPr>
        <w:t xml:space="preserve"> </w:t>
      </w:r>
      <w:r w:rsidRPr="00632224">
        <w:rPr>
          <w:rFonts w:ascii="Century" w:hAnsi="Century" w:cs="Miriam" w:hint="eastAsia"/>
          <w:b/>
          <w:sz w:val="22"/>
          <w:rtl/>
        </w:rPr>
        <w:t>התורה</w:t>
      </w:r>
      <w:r w:rsidRPr="00632224">
        <w:rPr>
          <w:rFonts w:ascii="Century" w:hAnsi="Century" w:cs="FrankRuehl" w:hint="cs"/>
          <w:spacing w:val="10"/>
          <w:sz w:val="22"/>
          <w:szCs w:val="28"/>
          <w:rtl/>
        </w:rPr>
        <w:t xml:space="preserve"> 185 (אביעד הכהן ומיכאל ויגודה עורכים, התשס"א)).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45.</w:t>
      </w:r>
      <w:r w:rsidRPr="00632224">
        <w:rPr>
          <w:rFonts w:ascii="Century" w:hAnsi="Century" w:cs="FrankRuehl" w:hint="cs"/>
          <w:spacing w:val="10"/>
          <w:sz w:val="22"/>
          <w:szCs w:val="28"/>
          <w:rtl/>
        </w:rPr>
        <w:tab/>
        <w:t>הזכרנו את חשיבותה של עילת הסבירות, ונחזור שוב על מרכזיותה וחיוניותה כעילת ביקורת במשפט המינהלי:</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"על פי תפיסת המשפט המינהלי בדורות האחרונים משמשת עילת הסבירות מכשיר מרכזי וחיוני של הביקורת השיפוטית על המינהל, והיא ניצבת במוקד ההגנה על הפרט והציבור מפני שרירות השלטון" (בג"ץ 5853/07 </w:t>
      </w:r>
      <w:r w:rsidRPr="00632224">
        <w:rPr>
          <w:rFonts w:ascii="Century" w:hAnsi="Century" w:cs="Miriam" w:hint="cs"/>
          <w:b/>
          <w:sz w:val="22"/>
          <w:rtl/>
        </w:rPr>
        <w:t>אמונה תנועת האישה הדתית לאומית נ' ראש הממשלה אהוד אולמרט</w:t>
      </w:r>
      <w:r w:rsidRPr="00632224">
        <w:rPr>
          <w:rFonts w:ascii="Arial TUR" w:hAnsi="Arial TUR" w:cs="FrankRuehl" w:hint="cs"/>
          <w:spacing w:val="10"/>
          <w:sz w:val="22"/>
          <w:szCs w:val="28"/>
          <w:rtl/>
        </w:rPr>
        <w:t xml:space="preserve">, פ"ד סב(3) 445, 486 (6.12.2007) (להלן: </w:t>
      </w:r>
      <w:r w:rsidRPr="00632224">
        <w:rPr>
          <w:rFonts w:ascii="Century" w:hAnsi="Century" w:cs="FrankRuehl" w:hint="eastAsia"/>
          <w:spacing w:val="10"/>
          <w:sz w:val="22"/>
          <w:szCs w:val="28"/>
          <w:rtl/>
        </w:rPr>
        <w:t>עניין</w:t>
      </w:r>
      <w:r w:rsidRPr="00632224">
        <w:rPr>
          <w:rFonts w:ascii="Century" w:hAnsi="Century" w:cs="Miriam" w:hint="cs"/>
          <w:b/>
          <w:sz w:val="22"/>
          <w:rtl/>
        </w:rPr>
        <w:t xml:space="preserve"> אמונה</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Arial TUR" w:hAnsi="Arial TUR" w:cs="Miriam"/>
          <w:b/>
          <w:sz w:val="22"/>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"עילת הסבירות היא מאבני היסוד של המשפט המינהלי" (דנ"פ 5387/20 </w:t>
      </w:r>
      <w:r w:rsidRPr="00632224">
        <w:rPr>
          <w:rFonts w:ascii="Arial TUR" w:hAnsi="Arial TUR" w:cs="Miriam" w:hint="cs"/>
          <w:b/>
          <w:sz w:val="22"/>
          <w:rtl/>
        </w:rPr>
        <w:t>רותם נ' מדינת ישראל</w:t>
      </w:r>
      <w:r w:rsidRPr="00632224">
        <w:rPr>
          <w:rFonts w:ascii="Arial TUR" w:hAnsi="Arial TUR" w:cs="FrankRuehl" w:hint="cs"/>
          <w:spacing w:val="10"/>
          <w:sz w:val="22"/>
          <w:szCs w:val="28"/>
          <w:rtl/>
        </w:rPr>
        <w:t xml:space="preserve">, פסקה 105 לפסק דינו של השופט </w:t>
      </w:r>
      <w:r w:rsidRPr="00632224">
        <w:rPr>
          <w:rFonts w:ascii="Century" w:hAnsi="Century" w:cs="Miriam" w:hint="cs"/>
          <w:b/>
          <w:sz w:val="22"/>
          <w:rtl/>
        </w:rPr>
        <w:t>פוגלמן</w:t>
      </w:r>
      <w:r w:rsidRPr="00632224">
        <w:rPr>
          <w:rFonts w:ascii="Arial TUR" w:hAnsi="Arial TUR" w:cs="FrankRuehl" w:hint="cs"/>
          <w:spacing w:val="10"/>
          <w:sz w:val="22"/>
          <w:szCs w:val="28"/>
          <w:rtl/>
        </w:rPr>
        <w:t xml:space="preserve"> (15.12.2021) (להלן: עניין </w:t>
      </w:r>
      <w:r w:rsidRPr="00632224">
        <w:rPr>
          <w:rFonts w:ascii="Century" w:hAnsi="Century" w:cs="Miriam" w:hint="eastAsia"/>
          <w:b/>
          <w:sz w:val="22"/>
          <w:rtl/>
        </w:rPr>
        <w:t>רותם</w:t>
      </w:r>
      <w:r w:rsidRPr="00632224">
        <w:rPr>
          <w:rFonts w:ascii="Arial TUR" w:hAnsi="Arial TUR" w:cs="FrankRuehl" w:hint="cs"/>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עילת הסבירות העומדת ביסוד העתירות שלפנינו נטועה עמוק בקרקע המשפט המינהלי, ותחולתה במשפט הישראלי אינה מוטלת בספק</w:t>
      </w:r>
      <w:r w:rsidRPr="00632224">
        <w:rPr>
          <w:rFonts w:ascii="Arial TUR" w:hAnsi="Arial TUR" w:cs="FrankRuehl" w:hint="cs"/>
          <w:spacing w:val="10"/>
          <w:sz w:val="22"/>
          <w:szCs w:val="28"/>
          <w:rtl/>
        </w:rPr>
        <w:t xml:space="preserve">" (עניין </w:t>
      </w:r>
      <w:r w:rsidRPr="00632224">
        <w:rPr>
          <w:rFonts w:ascii="Century" w:hAnsi="Century" w:cs="Miriam" w:hint="cs"/>
          <w:b/>
          <w:sz w:val="22"/>
          <w:rtl/>
        </w:rPr>
        <w:t>דרעי הרביעי</w:t>
      </w:r>
      <w:r w:rsidRPr="00632224">
        <w:rPr>
          <w:rFonts w:ascii="Arial TUR" w:hAnsi="Arial TUR" w:cs="FrankRuehl" w:hint="cs"/>
          <w:spacing w:val="10"/>
          <w:sz w:val="22"/>
          <w:szCs w:val="28"/>
          <w:rtl/>
        </w:rPr>
        <w:t xml:space="preserve">, בפסקה 5 לפסק דינה של השופטת </w:t>
      </w:r>
      <w:r w:rsidRPr="00632224">
        <w:rPr>
          <w:rFonts w:ascii="Century" w:hAnsi="Century" w:cs="Miriam" w:hint="cs"/>
          <w:b/>
          <w:sz w:val="22"/>
          <w:rtl/>
        </w:rPr>
        <w:t>ברון</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בהינתן תפקידו של בית המשפט העליון כמוסד המשמש כבלם וכממתן כוח של הרשויות האחרות, ובהינתן שעילת הסבירות היא העילה המרכזית שמכוחה פועל בית המשפט בשדה המינהלי, הרי שלביטול הביקורת השיפוטית על הממשלה ושריה באמצעות עילה זו עלולות להיות השלכות מרחיקות לכת: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"הצרת אמצעי הביקורת השיפוטית שנועד לבחינת הרציונליות של ההחלטה המינהלית, כמוצע על ידי חברי, עלולה להביא למהפכה בתפיסת עקרון חוקיות המינהל, ולפגוע במאגר הכלים המשפטיים הנתונים בידי המשפט לצורך בחינת פעולת הרשות הציבורית במסגרת ההגנה השיפוטית הנתונה לפרט מפני שרירות השלטון. צמצומה של עילת הסבירות עלול ליצור חלל ריק במיתחם הביקורת השיפוטית שעילות ביקורת אחרות לא תמלאנה, ולהצר עד למאד את נכונותו של בית המשפט להתערב במצבים בהם הרשות המינהלית בהחלטתה לא שקלה את מלוא השיקולים הרלבנטיים ואותם בלבד, או שקלה אותם, אך לא ייחסה להם את המשקלות היחסיים המתאימים. קל לשער את הנזק הצפוי מתהליך כזה לרעיון חוקיות המינהל ולתכלית ההגנה על האזרח ביחסו אל הממשל, העומד ביסוד הגדרתן של עילות הביקורת </w:t>
      </w:r>
      <w:r w:rsidRPr="00632224">
        <w:rPr>
          <w:rFonts w:ascii="Arial TUR" w:hAnsi="Arial TUR" w:cs="FrankRuehl" w:hint="cs"/>
          <w:spacing w:val="10"/>
          <w:sz w:val="22"/>
          <w:szCs w:val="28"/>
          <w:rtl/>
        </w:rPr>
        <w:lastRenderedPageBreak/>
        <w:t xml:space="preserve">השיפוטית על המינהל" (עניין </w:t>
      </w:r>
      <w:r w:rsidRPr="00632224">
        <w:rPr>
          <w:rFonts w:ascii="Century" w:hAnsi="Century" w:cs="Miriam" w:hint="cs"/>
          <w:b/>
          <w:sz w:val="22"/>
          <w:rtl/>
        </w:rPr>
        <w:t>אמונה</w:t>
      </w:r>
      <w:r w:rsidRPr="00632224">
        <w:rPr>
          <w:rFonts w:ascii="Arial TUR" w:hAnsi="Arial TUR" w:cs="FrankRuehl" w:hint="cs"/>
          <w:spacing w:val="10"/>
          <w:sz w:val="22"/>
          <w:szCs w:val="28"/>
          <w:rtl/>
        </w:rPr>
        <w:t xml:space="preserve">, בפסקה 33 לפסק דינה של השופטת </w:t>
      </w:r>
      <w:r w:rsidRPr="00632224">
        <w:rPr>
          <w:rFonts w:ascii="Century" w:hAnsi="Century" w:cs="Miriam" w:hint="eastAsia"/>
          <w:b/>
          <w:sz w:val="22"/>
          <w:rtl/>
        </w:rPr>
        <w:t>פרוקצ</w:t>
      </w:r>
      <w:r w:rsidRPr="00632224">
        <w:rPr>
          <w:rFonts w:ascii="Century" w:hAnsi="Century" w:cs="Miriam"/>
          <w:b/>
          <w:sz w:val="22"/>
          <w:rtl/>
        </w:rPr>
        <w:t>'יה</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Century" w:hAnsi="Century" w:cs="FrankRuehl"/>
          <w:spacing w:val="10"/>
          <w:sz w:val="22"/>
          <w:szCs w:val="28"/>
          <w:shd w:val="clear" w:color="auto" w:fill="FFFFFF"/>
          <w:rtl/>
        </w:rPr>
        <w:t>"שלילה כמעט מוחלטת של עילת הסבירות מותיר לטעמי את הציבור 'חשוף בצריח', שכן הוא שיישא במחיר אותן החלטות המצויות מחוץ לגדרי מתחם הסבירו</w:t>
      </w:r>
      <w:r w:rsidRPr="00632224">
        <w:rPr>
          <w:rFonts w:ascii="Century" w:hAnsi="Century" w:cs="FrankRuehl" w:hint="cs"/>
          <w:spacing w:val="10"/>
          <w:sz w:val="22"/>
          <w:szCs w:val="28"/>
          <w:rtl/>
        </w:rPr>
        <w:t>ת" (</w:t>
      </w:r>
      <w:r w:rsidRPr="00632224">
        <w:rPr>
          <w:rFonts w:ascii="Century" w:hAnsi="Century" w:cs="FrankRuehl" w:hint="eastAsia"/>
          <w:spacing w:val="10"/>
          <w:sz w:val="22"/>
          <w:szCs w:val="28"/>
          <w:rtl/>
        </w:rPr>
        <w:t>עניין</w:t>
      </w:r>
      <w:r w:rsidRPr="00632224">
        <w:rPr>
          <w:rFonts w:ascii="Century" w:hAnsi="Century" w:cs="Miriam"/>
          <w:b/>
          <w:sz w:val="22"/>
          <w:rtl/>
        </w:rPr>
        <w:t xml:space="preserve"> </w:t>
      </w:r>
      <w:r w:rsidRPr="00632224">
        <w:rPr>
          <w:rFonts w:ascii="Century" w:hAnsi="Century" w:cs="Miriam" w:hint="cs"/>
          <w:b/>
          <w:sz w:val="22"/>
          <w:rtl/>
        </w:rPr>
        <w:t>אמונה</w:t>
      </w:r>
      <w:r w:rsidRPr="00632224">
        <w:rPr>
          <w:rFonts w:ascii="Century" w:hAnsi="Century" w:cs="FrankRuehl" w:hint="cs"/>
          <w:spacing w:val="10"/>
          <w:sz w:val="22"/>
          <w:szCs w:val="28"/>
          <w:rtl/>
        </w:rPr>
        <w:t xml:space="preserve">, בפסקה 19א לפסק דינה של השופטת </w:t>
      </w:r>
      <w:r w:rsidRPr="00632224">
        <w:rPr>
          <w:rFonts w:ascii="Century" w:hAnsi="Century" w:cs="Miriam" w:hint="cs"/>
          <w:b/>
          <w:sz w:val="22"/>
          <w:rtl/>
        </w:rPr>
        <w:t>ארבל</w:t>
      </w:r>
      <w:r w:rsidRPr="00632224">
        <w:rPr>
          <w:rFonts w:ascii="Century" w:hAnsi="Century"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46.</w:t>
      </w:r>
      <w:r w:rsidRPr="00632224">
        <w:rPr>
          <w:rFonts w:ascii="Arial TUR" w:hAnsi="Arial TUR" w:cs="FrankRuehl" w:hint="cs"/>
          <w:spacing w:val="10"/>
          <w:sz w:val="22"/>
          <w:szCs w:val="28"/>
          <w:rtl/>
        </w:rPr>
        <w:tab/>
        <w:t xml:space="preserve">דיברנו בשבחה של עילת הסבירות, וניתן לומר כי יותר מששמרו הממשלה והשרים ונבחרי הציבור את הסבירות, שמרה הסבירות אותם ואת ישראל, שאילולא הסבירות פניו של השירות הציבורי היו אחרים. הסבירות היא למעשה תקן איכות, מעין </w:t>
      </w:r>
      <w:r w:rsidRPr="00632224">
        <w:rPr>
          <w:rFonts w:cs="FrankRuehl" w:hint="cs"/>
          <w:spacing w:val="10"/>
          <w:sz w:val="24"/>
          <w:szCs w:val="28"/>
        </w:rPr>
        <w:t>ISO 9001</w:t>
      </w:r>
      <w:r w:rsidRPr="00632224">
        <w:rPr>
          <w:rFonts w:ascii="Century" w:hAnsi="Century" w:cs="FrankRuehl" w:hint="cs"/>
          <w:spacing w:val="10"/>
          <w:sz w:val="22"/>
          <w:szCs w:val="28"/>
          <w:rtl/>
        </w:rPr>
        <w:t xml:space="preserve"> </w:t>
      </w:r>
      <w:r w:rsidRPr="00632224">
        <w:rPr>
          <w:rFonts w:ascii="Arial TUR" w:hAnsi="Arial TUR" w:cs="FrankRuehl" w:hint="cs"/>
          <w:spacing w:val="10"/>
          <w:sz w:val="22"/>
          <w:szCs w:val="28"/>
          <w:rtl/>
        </w:rPr>
        <w:t>של הליך קבלת החלטה: בחינה של כלל השיקולים הרלוונטיים, סילוק השיקולים הלא רלוונטיים, איסוף נתונים רלוונטיים לשם יצירת תשתית עובדתית, איזון בין השיקולים השונים וקבלת החלטה רציונלית תוך זמן סביר. ואכן, לסבירות המינהלית יש מספר מופעים, וארחיב על כך כעת.</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 xml:space="preserve">מהי ה"סבירות" שאליה התכוון המכונן? </w:t>
      </w:r>
    </w:p>
    <w:p w:rsidR="00244560" w:rsidRPr="00632224" w:rsidRDefault="00244560" w:rsidP="009B0AFF">
      <w:pPr>
        <w:tabs>
          <w:tab w:val="left" w:pos="800"/>
        </w:tabs>
        <w:spacing w:line="276" w:lineRule="auto"/>
        <w:jc w:val="both"/>
        <w:rPr>
          <w:rFonts w:ascii="Century" w:hAnsi="Century" w:cs="FrankRuehl"/>
          <w:spacing w:val="10"/>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47.</w:t>
      </w:r>
      <w:r w:rsidRPr="00632224">
        <w:rPr>
          <w:rFonts w:ascii="Arial TUR" w:hAnsi="Arial TUR" w:cs="FrankRuehl" w:hint="cs"/>
          <w:spacing w:val="10"/>
          <w:sz w:val="22"/>
          <w:szCs w:val="28"/>
          <w:rtl/>
        </w:rPr>
        <w:tab/>
        <w:t xml:space="preserve">המשפט המינהלי אינו חרות עלי ספר החוקים. הוא כולו פרי פסיקה ועילות הביקורת השיפוטית נכרכות לעיתים זו בזו. חסרים אנו חוק סדרי מינהל שבו יפורטו עילות הביקורת השיפוטית. כך נוצר מצב לפיו המכונן רתם את העגלה לפני הסוס ונחפז לשלול ממערכת המשפט את עילת הסבירות, עוד קודם שהבהיר מהי אותה סבירות שאליה התכוון ומה היא כוללת. דומה כי בכך לא מתיישב התיקון עם מבחן </w:t>
      </w:r>
      <w:r w:rsidRPr="00632224">
        <w:rPr>
          <w:rFonts w:ascii="Century" w:hAnsi="Century" w:cs="Miriam" w:hint="cs"/>
          <w:b/>
          <w:sz w:val="22"/>
          <w:rtl/>
        </w:rPr>
        <w:t>ההתאמה למארג החוקתי</w:t>
      </w:r>
      <w:r w:rsidRPr="00632224">
        <w:rPr>
          <w:rFonts w:ascii="Arial TUR" w:hAnsi="Arial TUR" w:cs="FrankRuehl" w:hint="cs"/>
          <w:spacing w:val="10"/>
          <w:sz w:val="22"/>
          <w:szCs w:val="28"/>
          <w:rtl/>
        </w:rPr>
        <w:t xml:space="preserve"> וניתן היה לפסול אותו גם במסגרת הדוקטרינה של שימוש לרעה בסמכות המכוננת. איני רואה להידרש לנושא זה לאור התוצאה אליה הגעתי באמצעות הדוקטרינה של התיקון החוקתי הבלתי חוקתי, ומשהרחיבה הנשיאה בנושא (פסקאות 192-185 לפסק דינה), אין לי אלא להצטרף לדבריה.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סתם המכונן ולא פירט אלו מופעים של עילת הסבירות נכללים בתיקון, והאם לשיטתו העילה כוללת:</w:t>
      </w: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אי שקילת כלל השיקולים הרלוונטיים;</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w:t>
      </w:r>
      <w:r w:rsidRPr="00632224">
        <w:rPr>
          <w:rFonts w:cs="FrankRuehl" w:hint="cs"/>
          <w:spacing w:val="10"/>
          <w:sz w:val="24"/>
          <w:szCs w:val="28"/>
          <w:rtl/>
        </w:rPr>
        <w:t xml:space="preserve"> </w:t>
      </w:r>
      <w:r w:rsidRPr="00632224">
        <w:rPr>
          <w:rFonts w:ascii="Arial TUR" w:hAnsi="Arial TUR" w:cs="FrankRuehl" w:hint="cs"/>
          <w:spacing w:val="10"/>
          <w:sz w:val="22"/>
          <w:szCs w:val="28"/>
          <w:rtl/>
        </w:rPr>
        <w:t>אי מתן משקל ראוי לשיקולים השונים;</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אי שקילה של חריגים;</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קבלת החלטה מופרכת, לא רציונלית;</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 קבלת החלטה ללא תשתית עובדתית ראויה (סבירות הליכית)*; </w:t>
      </w:r>
    </w:p>
    <w:p w:rsidR="00244560" w:rsidRPr="00632224" w:rsidRDefault="00244560" w:rsidP="00244560">
      <w:pPr>
        <w:tabs>
          <w:tab w:val="left" w:pos="800"/>
        </w:tabs>
        <w:spacing w:line="360" w:lineRule="auto"/>
        <w:ind w:left="720"/>
        <w:jc w:val="both"/>
        <w:rPr>
          <w:rFonts w:ascii="Arial TUR" w:hAnsi="Arial TUR" w:cs="FrankRuehl"/>
          <w:spacing w:val="10"/>
          <w:sz w:val="22"/>
          <w:szCs w:val="28"/>
          <w:rtl/>
        </w:rPr>
      </w:pPr>
      <w:r w:rsidRPr="00632224">
        <w:rPr>
          <w:rFonts w:ascii="Arial TUR" w:hAnsi="Arial TUR" w:cs="FrankRuehl"/>
          <w:spacing w:val="10"/>
          <w:sz w:val="22"/>
          <w:szCs w:val="28"/>
          <w:rtl/>
        </w:rPr>
        <w:lastRenderedPageBreak/>
        <w:tab/>
      </w:r>
      <w:r w:rsidRPr="00632224">
        <w:rPr>
          <w:rFonts w:ascii="Arial TUR" w:hAnsi="Arial TUR" w:cs="FrankRuehl" w:hint="cs"/>
          <w:spacing w:val="10"/>
          <w:sz w:val="22"/>
          <w:szCs w:val="28"/>
          <w:rtl/>
        </w:rPr>
        <w:t>(-) קבלת החלטה על בסיס ראיות, נתונים ועובדות שאין להתחשב בהם או אי מתן משקל הולם להם;</w:t>
      </w:r>
    </w:p>
    <w:p w:rsidR="00244560" w:rsidRPr="00632224" w:rsidRDefault="00244560" w:rsidP="00244560">
      <w:pPr>
        <w:tabs>
          <w:tab w:val="left" w:pos="800"/>
        </w:tabs>
        <w:spacing w:line="360" w:lineRule="auto"/>
        <w:ind w:left="720"/>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w:t>
      </w:r>
      <w:r w:rsidRPr="00632224">
        <w:rPr>
          <w:rFonts w:ascii="Century" w:hAnsi="Century" w:cs="FrankRuehl" w:hint="cs"/>
          <w:spacing w:val="10"/>
          <w:sz w:val="22"/>
          <w:szCs w:val="28"/>
          <w:rtl/>
        </w:rPr>
        <w:t xml:space="preserve"> קבלת החלטה להימנע מלהחליט;</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שיהוי בקבלת החלטה או זריזות יתר בקבלתה (סבירות הליכית).*</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*להבחנה בין סבירות הליכית לבין סבירות תוכנית-מהותית, ראו יואב דותן "שני מושגים של סבירות" </w:t>
      </w:r>
      <w:r w:rsidRPr="00632224">
        <w:rPr>
          <w:rFonts w:ascii="Century" w:hAnsi="Century" w:cs="Miriam" w:hint="cs"/>
          <w:b/>
          <w:sz w:val="22"/>
          <w:rtl/>
        </w:rPr>
        <w:t>ספר שמגר א</w:t>
      </w:r>
      <w:r w:rsidRPr="00632224">
        <w:rPr>
          <w:rFonts w:ascii="Century" w:hAnsi="Century" w:cs="FrankRuehl" w:hint="cs"/>
          <w:spacing w:val="10"/>
          <w:sz w:val="22"/>
          <w:szCs w:val="28"/>
          <w:rtl/>
        </w:rPr>
        <w:t xml:space="preserve"> 417 (2003)</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כל אחד מהמופעים דלעיל נזכר בפסיקה כנכלל בעילת הסבירות, דבר שמלמד על המורכבות של עילה זו, אשר כאמור משמשת מזה עשרות בשנים במשפט המינהלי. נעמוד להלן ובאופן פרטני על המופעים השונים של עילת הסבירות בפסיקה.</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48.</w:t>
      </w:r>
      <w:r w:rsidRPr="00632224">
        <w:rPr>
          <w:rFonts w:ascii="Arial TUR" w:hAnsi="Arial TUR" w:cs="FrankRuehl" w:hint="cs"/>
          <w:spacing w:val="10"/>
          <w:sz w:val="22"/>
          <w:szCs w:val="28"/>
          <w:rtl/>
        </w:rPr>
        <w:tab/>
      </w:r>
      <w:r w:rsidRPr="00632224">
        <w:rPr>
          <w:rFonts w:ascii="Century" w:hAnsi="Century" w:cs="Miriam" w:hint="cs"/>
          <w:b/>
          <w:sz w:val="22"/>
          <w:rtl/>
        </w:rPr>
        <w:t>הסבירות האיזונית</w:t>
      </w:r>
      <w:r w:rsidRPr="00632224">
        <w:rPr>
          <w:rFonts w:ascii="Century" w:hAnsi="Century" w:cs="Miriam"/>
          <w:b/>
          <w:sz w:val="22"/>
          <w:rtl/>
        </w:rPr>
        <w:t>:</w:t>
      </w:r>
      <w:r w:rsidRPr="00632224">
        <w:rPr>
          <w:rFonts w:ascii="Arial TUR" w:hAnsi="Arial TUR" w:cs="FrankRuehl" w:hint="cs"/>
          <w:spacing w:val="10"/>
          <w:sz w:val="22"/>
          <w:szCs w:val="28"/>
          <w:rtl/>
        </w:rPr>
        <w:t xml:space="preserve"> לאור הנוסח הגורף של התיקון לחוק היסוד, הוא כולל לכאורה את כל המופעים. עם זאת, בדברי ההסבר הקצרים לתיקון לחוק היסוד, אנו מוצאים התייחסות רק למופע זה של עילת הסבירות, תוך התייחסות להלכת </w:t>
      </w:r>
      <w:r w:rsidRPr="00632224">
        <w:rPr>
          <w:rFonts w:ascii="Century" w:hAnsi="Century" w:cs="Miriam" w:hint="eastAsia"/>
          <w:b/>
          <w:sz w:val="22"/>
          <w:rtl/>
        </w:rPr>
        <w:t>דפי</w:t>
      </w:r>
      <w:r w:rsidRPr="00632224">
        <w:rPr>
          <w:rFonts w:ascii="Century" w:hAnsi="Century" w:cs="Miriam"/>
          <w:b/>
          <w:sz w:val="22"/>
          <w:rtl/>
        </w:rPr>
        <w:t xml:space="preserve"> </w:t>
      </w:r>
      <w:r w:rsidRPr="00632224">
        <w:rPr>
          <w:rFonts w:ascii="Century" w:hAnsi="Century" w:cs="Miriam" w:hint="eastAsia"/>
          <w:b/>
          <w:sz w:val="22"/>
          <w:rtl/>
        </w:rPr>
        <w:t>זהב</w:t>
      </w:r>
      <w:r w:rsidRPr="00632224">
        <w:rPr>
          <w:rFonts w:ascii="Arial TUR" w:hAnsi="Arial TUR" w:cs="FrankRuehl" w:hint="cs"/>
          <w:spacing w:val="10"/>
          <w:sz w:val="22"/>
          <w:szCs w:val="28"/>
          <w:rtl/>
        </w:rPr>
        <w:t>.</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על האיזון הפנימי במערך השיקולים במסגרת עילת הסבירות עמד בית משפט זה: </w:t>
      </w:r>
    </w:p>
    <w:p w:rsidR="00244560" w:rsidRPr="00632224" w:rsidRDefault="00244560" w:rsidP="00244560">
      <w:pPr>
        <w:keepNext/>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noProof/>
          <w:spacing w:val="10"/>
          <w:sz w:val="22"/>
          <w:szCs w:val="28"/>
          <w:rtl/>
        </w:rPr>
      </w:pPr>
      <w:r w:rsidRPr="00632224">
        <w:rPr>
          <w:rFonts w:ascii="Arial TUR" w:hAnsi="Arial TUR" w:cs="FrankRuehl" w:hint="cs"/>
          <w:spacing w:val="10"/>
          <w:sz w:val="22"/>
          <w:szCs w:val="28"/>
          <w:rtl/>
        </w:rPr>
        <w:t xml:space="preserve">"כידוע, במסגרת הביקורת השיפוטית נבחן, בין היתר, </w:t>
      </w:r>
      <w:r w:rsidRPr="00632224">
        <w:rPr>
          <w:rFonts w:ascii="Century" w:hAnsi="Century" w:cs="Miriam" w:hint="cs"/>
          <w:b/>
          <w:sz w:val="22"/>
          <w:rtl/>
        </w:rPr>
        <w:t>האיזון הפנימי</w:t>
      </w:r>
      <w:r w:rsidRPr="00632224">
        <w:rPr>
          <w:rFonts w:ascii="Arial TUR" w:hAnsi="Arial TUR" w:cs="FrankRuehl" w:hint="cs"/>
          <w:spacing w:val="10"/>
          <w:sz w:val="22"/>
          <w:szCs w:val="28"/>
          <w:rtl/>
        </w:rPr>
        <w:t xml:space="preserve"> בין השיקולים שהפעילה הרשות המנהלית. שיקול-דעת מנהלי 'אשר אינו נותן משקל ראוי לאינטרסים השונים שעל הרשות המינהלית להתחשב בהם בהחלטתה' ייפסל בשל חוסר סבירות </w:t>
      </w:r>
      <w:r w:rsidRPr="00632224">
        <w:rPr>
          <w:rFonts w:ascii="Century" w:hAnsi="Century" w:cs="FrankRuehl" w:hint="cs"/>
          <w:spacing w:val="10"/>
          <w:sz w:val="22"/>
          <w:szCs w:val="28"/>
          <w:rtl/>
        </w:rPr>
        <w:t xml:space="preserve">[...]. </w:t>
      </w:r>
      <w:r w:rsidRPr="00632224">
        <w:rPr>
          <w:rFonts w:ascii="Arial TUR" w:hAnsi="Arial TUR" w:cs="FrankRuehl" w:hint="cs"/>
          <w:noProof/>
          <w:spacing w:val="10"/>
          <w:sz w:val="22"/>
          <w:szCs w:val="28"/>
          <w:rtl/>
        </w:rPr>
        <w:t xml:space="preserve">החלטה מינהלית תוחזק, אפוא, כהחלטה סבירה 'אם היא תוצאה של איזון בין </w:t>
      </w:r>
      <w:r w:rsidRPr="00632224">
        <w:rPr>
          <w:rFonts w:ascii="Arial TUR" w:hAnsi="Arial TUR" w:cs="FrankRuehl" w:hint="cs"/>
          <w:spacing w:val="10"/>
          <w:sz w:val="22"/>
          <w:szCs w:val="28"/>
          <w:rtl/>
        </w:rPr>
        <w:t>שיקולים</w:t>
      </w:r>
      <w:r w:rsidRPr="00632224">
        <w:rPr>
          <w:rFonts w:ascii="Arial TUR" w:hAnsi="Arial TUR" w:cs="FrankRuehl" w:hint="cs"/>
          <w:noProof/>
          <w:spacing w:val="10"/>
          <w:sz w:val="22"/>
          <w:szCs w:val="28"/>
          <w:rtl/>
        </w:rPr>
        <w:t xml:space="preserve"> שונים שהינם רלוונטיים לעניין, </w:t>
      </w:r>
      <w:r w:rsidRPr="00632224">
        <w:rPr>
          <w:rFonts w:ascii="Century" w:hAnsi="Century" w:cs="Miriam" w:hint="cs"/>
          <w:b/>
          <w:noProof/>
          <w:sz w:val="22"/>
          <w:rtl/>
        </w:rPr>
        <w:t>ואם ניתן לשיקולים אלה משקל הולם בנסיבות העניין</w:t>
      </w:r>
      <w:r w:rsidRPr="00632224">
        <w:rPr>
          <w:rFonts w:ascii="Arial TUR" w:hAnsi="Arial TUR" w:cs="FrankRuehl" w:hint="cs"/>
          <w:noProof/>
          <w:spacing w:val="10"/>
          <w:sz w:val="22"/>
          <w:szCs w:val="28"/>
          <w:rtl/>
        </w:rPr>
        <w:t xml:space="preserve">. החלטתה של הרשות עשויה להיות פגומה, גם אם שקלה שיקולים ענייניים בלבד, </w:t>
      </w:r>
      <w:r w:rsidRPr="00632224">
        <w:rPr>
          <w:rFonts w:ascii="Century" w:hAnsi="Century" w:cs="Miriam" w:hint="cs"/>
          <w:b/>
          <w:noProof/>
          <w:sz w:val="22"/>
          <w:rtl/>
        </w:rPr>
        <w:t>אם האיזון הפנימי</w:t>
      </w:r>
      <w:r w:rsidRPr="00632224">
        <w:rPr>
          <w:rFonts w:ascii="Arial TUR" w:hAnsi="Arial TUR" w:cs="FrankRuehl" w:hint="cs"/>
          <w:noProof/>
          <w:spacing w:val="10"/>
          <w:sz w:val="22"/>
          <w:szCs w:val="28"/>
          <w:rtl/>
        </w:rPr>
        <w:t xml:space="preserve"> בין השיקולים היה מעוות" (בג"ץ 1905/03 </w:t>
      </w:r>
      <w:r w:rsidRPr="00632224">
        <w:rPr>
          <w:rFonts w:ascii="Century" w:hAnsi="Century" w:cs="Miriam" w:hint="cs"/>
          <w:b/>
          <w:noProof/>
          <w:sz w:val="22"/>
          <w:rtl/>
        </w:rPr>
        <w:t>עכל נ' מדינת ישראל-שר הפנים</w:t>
      </w:r>
      <w:r w:rsidRPr="00632224">
        <w:rPr>
          <w:rFonts w:ascii="Arial TUR" w:hAnsi="Arial TUR" w:cs="FrankRuehl" w:hint="cs"/>
          <w:noProof/>
          <w:spacing w:val="10"/>
          <w:sz w:val="22"/>
          <w:szCs w:val="28"/>
          <w:rtl/>
        </w:rPr>
        <w:t xml:space="preserve">, פסקה 17 לפסק דינו של השופט </w:t>
      </w:r>
      <w:r w:rsidRPr="00632224">
        <w:rPr>
          <w:rFonts w:ascii="Century" w:hAnsi="Century" w:cs="Miriam" w:hint="eastAsia"/>
          <w:b/>
          <w:noProof/>
          <w:sz w:val="22"/>
          <w:rtl/>
        </w:rPr>
        <w:t>פוגלמן</w:t>
      </w:r>
      <w:r w:rsidRPr="00632224">
        <w:rPr>
          <w:rFonts w:ascii="Arial TUR" w:hAnsi="Arial TUR" w:cs="FrankRuehl" w:hint="cs"/>
          <w:noProof/>
          <w:spacing w:val="10"/>
          <w:sz w:val="22"/>
          <w:szCs w:val="28"/>
          <w:rtl/>
        </w:rPr>
        <w:t xml:space="preserve"> (5.12.2020) (הדגשות הוספו </w:t>
      </w:r>
      <w:r w:rsidRPr="00632224">
        <w:rPr>
          <w:rFonts w:ascii="Arial TUR" w:hAnsi="Arial TUR" w:cs="FrankRuehl"/>
          <w:noProof/>
          <w:spacing w:val="10"/>
          <w:sz w:val="22"/>
          <w:szCs w:val="28"/>
          <w:rtl/>
        </w:rPr>
        <w:t>–</w:t>
      </w:r>
      <w:r w:rsidRPr="00632224">
        <w:rPr>
          <w:rFonts w:ascii="Arial TUR" w:hAnsi="Arial TUR" w:cs="FrankRuehl" w:hint="cs"/>
          <w:noProof/>
          <w:spacing w:val="10"/>
          <w:sz w:val="22"/>
          <w:szCs w:val="28"/>
          <w:rtl/>
        </w:rPr>
        <w:t xml:space="preserve"> י"ע)).</w:t>
      </w:r>
    </w:p>
    <w:p w:rsidR="00244560" w:rsidRPr="00632224" w:rsidRDefault="00244560" w:rsidP="00244560">
      <w:pPr>
        <w:ind w:left="1644" w:right="1276"/>
        <w:jc w:val="both"/>
        <w:rPr>
          <w:rFonts w:ascii="Arial TUR" w:hAnsi="Arial TUR" w:cs="FrankRuehl"/>
          <w:noProof/>
          <w:spacing w:val="10"/>
          <w:sz w:val="22"/>
          <w:szCs w:val="28"/>
          <w:rtl/>
        </w:rPr>
      </w:pPr>
    </w:p>
    <w:p w:rsidR="00244560" w:rsidRPr="00632224" w:rsidRDefault="00244560" w:rsidP="00244560">
      <w:pPr>
        <w:ind w:left="1644" w:right="1276"/>
        <w:jc w:val="both"/>
        <w:rPr>
          <w:rFonts w:ascii="Arial TUR" w:hAnsi="Arial TUR" w:cs="FrankRuehl"/>
          <w:noProof/>
          <w:spacing w:val="10"/>
          <w:sz w:val="22"/>
          <w:szCs w:val="28"/>
          <w:rtl/>
        </w:rPr>
      </w:pPr>
      <w:r w:rsidRPr="00632224">
        <w:rPr>
          <w:rFonts w:ascii="Arial TUR" w:hAnsi="Arial TUR" w:cs="FrankRuehl" w:hint="cs"/>
          <w:noProof/>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Century" w:hAnsi="Century" w:cs="FrankRuehl" w:hint="eastAsia"/>
          <w:spacing w:val="10"/>
          <w:sz w:val="22"/>
          <w:szCs w:val="28"/>
          <w:rtl/>
        </w:rPr>
        <w:t>וראו</w:t>
      </w:r>
      <w:r w:rsidRPr="00632224">
        <w:rPr>
          <w:rFonts w:ascii="Century" w:hAnsi="Century" w:cs="FrankRuehl"/>
          <w:spacing w:val="10"/>
          <w:sz w:val="22"/>
          <w:szCs w:val="28"/>
          <w:rtl/>
        </w:rPr>
        <w:t xml:space="preserve"> גם </w:t>
      </w:r>
      <w:r w:rsidRPr="00632224">
        <w:rPr>
          <w:rFonts w:ascii="Century" w:hAnsi="Century" w:cs="FrankRuehl"/>
          <w:spacing w:val="10"/>
          <w:sz w:val="22"/>
          <w:szCs w:val="28"/>
          <w:shd w:val="clear" w:color="auto" w:fill="FFFFFF"/>
          <w:rtl/>
        </w:rPr>
        <w:t xml:space="preserve">בג״ץ 5657/09 </w:t>
      </w:r>
      <w:r w:rsidRPr="00632224">
        <w:rPr>
          <w:rFonts w:ascii="Century" w:hAnsi="Century" w:cs="Miriam"/>
          <w:b/>
          <w:sz w:val="22"/>
          <w:shd w:val="clear" w:color="auto" w:fill="FFFFFF"/>
          <w:rtl/>
        </w:rPr>
        <w:t>התנועה למען איכות השלטון בישראל נ׳ ממשלת ישראל</w:t>
      </w:r>
      <w:r w:rsidRPr="00632224">
        <w:rPr>
          <w:rFonts w:ascii="Century" w:hAnsi="Century" w:cs="FrankRuehl"/>
          <w:spacing w:val="10"/>
          <w:sz w:val="22"/>
          <w:szCs w:val="28"/>
          <w:shd w:val="clear" w:color="auto" w:fill="FFFFFF"/>
          <w:rtl/>
        </w:rPr>
        <w:t xml:space="preserve"> </w:t>
      </w:r>
      <w:r w:rsidRPr="00632224">
        <w:rPr>
          <w:rFonts w:ascii="Arial TUR" w:hAnsi="Arial TUR" w:cs="FrankRuehl" w:hint="eastAsia"/>
          <w:spacing w:val="10"/>
          <w:sz w:val="22"/>
          <w:szCs w:val="28"/>
          <w:rtl/>
        </w:rPr>
        <w:t>פסקה</w:t>
      </w:r>
      <w:r w:rsidRPr="00632224">
        <w:rPr>
          <w:rFonts w:ascii="Arial TUR" w:hAnsi="Arial TUR" w:cs="FrankRuehl"/>
          <w:spacing w:val="10"/>
          <w:sz w:val="22"/>
          <w:szCs w:val="28"/>
          <w:rtl/>
        </w:rPr>
        <w:t xml:space="preserve"> 39 </w:t>
      </w:r>
      <w:r w:rsidRPr="00632224">
        <w:rPr>
          <w:rFonts w:ascii="Arial TUR" w:hAnsi="Arial TUR" w:cs="FrankRuehl" w:hint="eastAsia"/>
          <w:spacing w:val="10"/>
          <w:sz w:val="22"/>
          <w:szCs w:val="28"/>
          <w:rtl/>
        </w:rPr>
        <w:t>והאסמכתאות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שם</w:t>
      </w:r>
      <w:r w:rsidRPr="00632224">
        <w:rPr>
          <w:rFonts w:ascii="Century" w:hAnsi="Century" w:cs="FrankRuehl" w:hint="cs"/>
          <w:spacing w:val="10"/>
          <w:sz w:val="22"/>
          <w:szCs w:val="28"/>
          <w:shd w:val="clear" w:color="auto" w:fill="FFFFFF"/>
          <w:rtl/>
        </w:rPr>
        <w:t xml:space="preserve"> (4.11.2009) (להלן: עניין</w:t>
      </w:r>
      <w:r w:rsidRPr="00632224">
        <w:rPr>
          <w:rFonts w:ascii="Century" w:hAnsi="Century" w:cs="Miriam" w:hint="cs"/>
          <w:b/>
          <w:sz w:val="22"/>
          <w:shd w:val="clear" w:color="auto" w:fill="FFFFFF"/>
          <w:rtl/>
        </w:rPr>
        <w:t xml:space="preserve"> מנכ"ל משרד המדע</w:t>
      </w:r>
      <w:r w:rsidRPr="00632224">
        <w:rPr>
          <w:rFonts w:ascii="Century" w:hAnsi="Century" w:cs="FrankRuehl" w:hint="cs"/>
          <w:spacing w:val="10"/>
          <w:sz w:val="22"/>
          <w:szCs w:val="28"/>
          <w:shd w:val="clear" w:color="auto" w:fill="FFFFFF"/>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אין חולק אפוא כי "סבירות איזונית", קרי, אי מתן משקל ראוי לשיקולים השונים, או מתן משקל יתר לאחד השיקולים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הוא מסוג הפגמים שנכללים בעילת </w:t>
      </w:r>
      <w:r w:rsidRPr="00632224">
        <w:rPr>
          <w:rFonts w:ascii="Arial TUR" w:hAnsi="Arial TUR" w:cs="FrankRuehl" w:hint="cs"/>
          <w:spacing w:val="10"/>
          <w:sz w:val="22"/>
          <w:szCs w:val="28"/>
          <w:rtl/>
        </w:rPr>
        <w:lastRenderedPageBreak/>
        <w:t xml:space="preserve">הסבירות. בהקשר זה ידועה המטפורה של חברתי, השופטת </w:t>
      </w:r>
      <w:r w:rsidRPr="00632224">
        <w:rPr>
          <w:rFonts w:ascii="Century" w:hAnsi="Century" w:cs="Miriam" w:hint="eastAsia"/>
          <w:b/>
          <w:sz w:val="22"/>
          <w:rtl/>
        </w:rPr>
        <w:t>ברק</w:t>
      </w:r>
      <w:r w:rsidRPr="00632224">
        <w:rPr>
          <w:rFonts w:ascii="Century" w:hAnsi="Century" w:cs="Miriam"/>
          <w:b/>
          <w:sz w:val="22"/>
          <w:rtl/>
        </w:rPr>
        <w:t>-ארז</w:t>
      </w:r>
      <w:r w:rsidRPr="00632224">
        <w:rPr>
          <w:rFonts w:ascii="Arial TUR" w:hAnsi="Arial TUR" w:cs="FrankRuehl" w:hint="cs"/>
          <w:spacing w:val="10"/>
          <w:sz w:val="22"/>
          <w:szCs w:val="28"/>
          <w:rtl/>
        </w:rPr>
        <w:t xml:space="preserve"> ולפיה "על דרך ההשאלה, ניתן לומר כי אפשר להקדיח את התבשיל גם כאשר שמים בו את כל המרכיבים הנכונים, אך בכמויות החורגות מן הנדרש במידה ניכרת" (</w:t>
      </w:r>
      <w:r w:rsidRPr="00632224">
        <w:rPr>
          <w:rFonts w:ascii="Century" w:hAnsi="Century" w:cs="Miriam" w:hint="cs"/>
          <w:b/>
          <w:sz w:val="22"/>
          <w:rtl/>
        </w:rPr>
        <w:t>ברק-ארז משפט מינהלי</w:t>
      </w:r>
      <w:r w:rsidRPr="00632224">
        <w:rPr>
          <w:rFonts w:ascii="Arial TUR" w:hAnsi="Arial TUR" w:cs="FrankRuehl" w:hint="cs"/>
          <w:spacing w:val="10"/>
          <w:sz w:val="22"/>
          <w:szCs w:val="28"/>
          <w:rtl/>
        </w:rPr>
        <w:t>, כרך ב בעמ' 725). דוגמאות לשימוש בסבירות האיזונית אנו מוצאים ב</w:t>
      </w:r>
      <w:r w:rsidRPr="00632224">
        <w:rPr>
          <w:rFonts w:ascii="Century" w:hAnsi="Century" w:cs="FrankRuehl"/>
          <w:spacing w:val="10"/>
          <w:sz w:val="22"/>
          <w:szCs w:val="28"/>
          <w:rtl/>
        </w:rPr>
        <w:t xml:space="preserve">בג"ץ 3842/18 </w:t>
      </w:r>
      <w:r w:rsidRPr="00632224">
        <w:rPr>
          <w:rFonts w:ascii="Century" w:hAnsi="Century" w:cs="Miriam"/>
          <w:b/>
          <w:sz w:val="22"/>
          <w:rtl/>
        </w:rPr>
        <w:t>מכלוף נ' השר לביטחון פנים</w:t>
      </w:r>
      <w:r w:rsidRPr="00632224">
        <w:rPr>
          <w:rFonts w:ascii="Century" w:hAnsi="Century" w:cs="FrankRuehl" w:hint="cs"/>
          <w:spacing w:val="10"/>
          <w:sz w:val="22"/>
          <w:szCs w:val="28"/>
          <w:rtl/>
        </w:rPr>
        <w:t xml:space="preserve">, פסקאות 41-40 לפסק דינו של המשנה לנשיאה </w:t>
      </w:r>
      <w:r w:rsidRPr="00632224">
        <w:rPr>
          <w:rFonts w:ascii="Century" w:hAnsi="Century" w:cs="Miriam" w:hint="eastAsia"/>
          <w:b/>
          <w:sz w:val="22"/>
          <w:rtl/>
        </w:rPr>
        <w:t>מלצר</w:t>
      </w:r>
      <w:r w:rsidRPr="00632224">
        <w:rPr>
          <w:rFonts w:ascii="Century" w:hAnsi="Century" w:cs="FrankRuehl"/>
          <w:spacing w:val="10"/>
          <w:sz w:val="22"/>
          <w:szCs w:val="28"/>
          <w:rtl/>
        </w:rPr>
        <w:t xml:space="preserve"> (19.2.2020)</w:t>
      </w: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באותו מקרה התערב בית המשפט בהחלטת שר המשפטים והשר לבטחון פנים לדחות את בקשת העותר לאשר את העברתו מתאילנד לישראל לשם נשיאת עונש המאסר שהושת עליו בתאילנד מכוח ה</w:t>
      </w:r>
      <w:hyperlink r:id="rId17" w:history="1">
        <w:r w:rsidRPr="00632224">
          <w:rPr>
            <w:rFonts w:ascii="Century" w:hAnsi="Century" w:cs="FrankRuehl" w:hint="eastAsia"/>
            <w:spacing w:val="10"/>
            <w:sz w:val="22"/>
            <w:szCs w:val="28"/>
            <w:rtl/>
          </w:rPr>
          <w:t>חוק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לנשיאת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עונש</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מאסר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במדינת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אזרחותו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האסיר</w:t>
        </w:r>
      </w:hyperlink>
      <w:r w:rsidRPr="00632224">
        <w:rPr>
          <w:rFonts w:ascii="Century" w:hAnsi="Century" w:cs="FrankRuehl" w:hint="cs"/>
          <w:spacing w:val="10"/>
          <w:sz w:val="22"/>
          <w:szCs w:val="28"/>
          <w:rtl/>
        </w:rPr>
        <w:t xml:space="preserve">, התשנ"ז-1996. דוגמה נוספת היא </w:t>
      </w:r>
      <w:r w:rsidRPr="00632224">
        <w:rPr>
          <w:rFonts w:ascii="Century" w:hAnsi="Century" w:cs="FrankRuehl"/>
          <w:spacing w:val="10"/>
          <w:sz w:val="22"/>
          <w:szCs w:val="28"/>
          <w:rtl/>
        </w:rPr>
        <w:t xml:space="preserve">בג"ץ 244/00 </w:t>
      </w:r>
      <w:r w:rsidRPr="00632224">
        <w:rPr>
          <w:rFonts w:ascii="Century" w:hAnsi="Century" w:cs="Miriam"/>
          <w:b/>
          <w:sz w:val="22"/>
          <w:rtl/>
        </w:rPr>
        <w:t>עמותת שיח חדש, למען השיח הדמוקרטי בישראל נ' שר התשתיות הלאומיות</w:t>
      </w:r>
      <w:r w:rsidRPr="00632224">
        <w:rPr>
          <w:rFonts w:ascii="Century" w:hAnsi="Century" w:cs="FrankRuehl"/>
          <w:spacing w:val="10"/>
          <w:sz w:val="22"/>
          <w:szCs w:val="28"/>
          <w:rtl/>
        </w:rPr>
        <w:t>, פ"ד נו(6) 25</w:t>
      </w:r>
      <w:r w:rsidRPr="00632224">
        <w:rPr>
          <w:rFonts w:ascii="Century" w:hAnsi="Century" w:cs="FrankRuehl" w:hint="cs"/>
          <w:spacing w:val="10"/>
          <w:sz w:val="22"/>
          <w:szCs w:val="28"/>
          <w:rtl/>
        </w:rPr>
        <w:t xml:space="preserve"> (2002</w:t>
      </w:r>
      <w:r w:rsidRPr="00632224">
        <w:rPr>
          <w:rFonts w:ascii="Century" w:hAnsi="Century" w:cs="FrankRuehl"/>
          <w:spacing w:val="10"/>
          <w:sz w:val="22"/>
          <w:szCs w:val="28"/>
          <w:rtl/>
        </w:rPr>
        <w:t>)</w:t>
      </w:r>
      <w:r w:rsidRPr="00632224">
        <w:rPr>
          <w:rFonts w:ascii="Arial TUR" w:hAnsi="Arial TUR" w:hint="cs"/>
          <w:spacing w:val="10"/>
          <w:sz w:val="22"/>
          <w:szCs w:val="20"/>
          <w:rtl/>
        </w:rPr>
        <w:t xml:space="preserve"> </w:t>
      </w:r>
      <w:r w:rsidRPr="00632224">
        <w:rPr>
          <w:rFonts w:ascii="Century" w:hAnsi="Century" w:cs="FrankRuehl" w:hint="cs"/>
          <w:spacing w:val="10"/>
          <w:sz w:val="22"/>
          <w:szCs w:val="28"/>
          <w:rtl/>
        </w:rPr>
        <w:t xml:space="preserve">(להלן: </w:t>
      </w:r>
      <w:r w:rsidRPr="00632224">
        <w:rPr>
          <w:rFonts w:ascii="Century" w:hAnsi="Century" w:cs="FrankRuehl" w:hint="eastAsia"/>
          <w:spacing w:val="10"/>
          <w:sz w:val="22"/>
          <w:szCs w:val="28"/>
          <w:rtl/>
        </w:rPr>
        <w:t>עניין</w:t>
      </w:r>
      <w:r w:rsidRPr="00632224">
        <w:rPr>
          <w:rFonts w:ascii="Century" w:hAnsi="Century" w:cs="Miriam" w:hint="cs"/>
          <w:b/>
          <w:sz w:val="22"/>
          <w:rtl/>
        </w:rPr>
        <w:t xml:space="preserve"> שיח חדש</w:t>
      </w:r>
      <w:r w:rsidRPr="00632224">
        <w:rPr>
          <w:rFonts w:ascii="Century" w:hAnsi="Century" w:cs="FrankRuehl" w:hint="cs"/>
          <w:spacing w:val="10"/>
          <w:sz w:val="22"/>
          <w:szCs w:val="28"/>
          <w:rtl/>
        </w:rPr>
        <w:t xml:space="preserve">), שם נפסק על פי העיקרון של "צדק חלוקתי" אך במסגרת עילת הסבירות שמחייבת לאזן בין כלל השיקולים.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49.</w:t>
      </w:r>
      <w:r w:rsidRPr="00632224">
        <w:rPr>
          <w:rFonts w:ascii="Arial TUR" w:hAnsi="Arial TUR" w:cs="FrankRuehl" w:hint="cs"/>
          <w:spacing w:val="10"/>
          <w:sz w:val="22"/>
          <w:szCs w:val="28"/>
          <w:rtl/>
        </w:rPr>
        <w:tab/>
        <w:t xml:space="preserve">על אף שדברי ההסבר הקצרים להצעת החוק מתייחסים רק למופע של סבירות איזונית, לשונו המפורשת של הסעיף מלמדת כי הוא חל על כל מופעי הסבירות. </w:t>
      </w:r>
      <w:r w:rsidRPr="00632224">
        <w:rPr>
          <w:rFonts w:ascii="Century" w:hAnsi="Century" w:cs="Miriam" w:hint="eastAsia"/>
          <w:b/>
          <w:sz w:val="22"/>
          <w:rtl/>
        </w:rPr>
        <w:t>ראשית</w:t>
      </w:r>
      <w:r w:rsidRPr="00632224">
        <w:rPr>
          <w:rFonts w:ascii="Arial TUR" w:hAnsi="Arial TUR" w:cs="FrankRuehl" w:hint="cs"/>
          <w:spacing w:val="10"/>
          <w:sz w:val="22"/>
          <w:szCs w:val="28"/>
          <w:rtl/>
        </w:rPr>
        <w:t xml:space="preserve">, הדבר נלמד מהנוסח הגורף והבלתי מסויג של הסעיף, שאינו מבחין בין סוגי סבירות, ומכך שנדחו הצעות למקד ולצמצם בהתאם את נוסח התיקון. </w:t>
      </w:r>
      <w:r w:rsidRPr="00632224">
        <w:rPr>
          <w:rFonts w:ascii="Century" w:hAnsi="Century" w:cs="Miriam" w:hint="eastAsia"/>
          <w:b/>
          <w:sz w:val="22"/>
          <w:rtl/>
        </w:rPr>
        <w:t>שנית</w:t>
      </w:r>
      <w:r w:rsidRPr="00632224">
        <w:rPr>
          <w:rFonts w:ascii="Arial TUR" w:hAnsi="Arial TUR" w:cs="FrankRuehl" w:hint="cs"/>
          <w:spacing w:val="10"/>
          <w:sz w:val="22"/>
          <w:szCs w:val="28"/>
          <w:rtl/>
        </w:rPr>
        <w:t>, הדברים אינם מתיישבים עם הסיפא של התיקון, שכן הימנעות מהפעלת סמכות אינה מעוררת על פי רוב שאלות ממופע הסבירות האיזונית, אלא ממופעים אחרים של סבירות (כמו הימנעות משקילת שיקולים רלוונטיים או חלוף זמן בלתי סביר עד מתן ההחלטה). מכאן, שלו היה המכונן מבקש להחיל את התיקון על הסבירות האיזונית בלבד, לא היה צורך בסיפא.</w:t>
      </w: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ab/>
      </w:r>
      <w:r w:rsidRPr="00632224">
        <w:rPr>
          <w:rFonts w:ascii="Arial TUR" w:hAnsi="Arial TUR" w:cs="FrankRuehl" w:hint="cs"/>
          <w:spacing w:val="10"/>
          <w:sz w:val="22"/>
          <w:szCs w:val="28"/>
          <w:rtl/>
        </w:rPr>
        <w:t>נעמוד להלן ובאופן פרטני על מופעים נוספים של עילת הסבירות בפסיקה.</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50.</w:t>
      </w:r>
      <w:r w:rsidRPr="00632224">
        <w:rPr>
          <w:rFonts w:ascii="Century" w:hAnsi="Century" w:cs="Miriam"/>
          <w:b/>
          <w:sz w:val="22"/>
          <w:rtl/>
        </w:rPr>
        <w:tab/>
      </w:r>
      <w:r w:rsidRPr="00632224">
        <w:rPr>
          <w:rFonts w:ascii="Century" w:hAnsi="Century" w:cs="Miriam" w:hint="cs"/>
          <w:b/>
          <w:sz w:val="22"/>
          <w:rtl/>
        </w:rPr>
        <w:t>אי שקילה של כלל השיקולים הרלוונטיים</w:t>
      </w:r>
      <w:r w:rsidRPr="00632224">
        <w:rPr>
          <w:rFonts w:ascii="Century" w:hAnsi="Century" w:cs="Miriam"/>
          <w:b/>
          <w:sz w:val="22"/>
          <w:rtl/>
        </w:rPr>
        <w:t>:</w:t>
      </w:r>
      <w:r w:rsidRPr="00632224">
        <w:rPr>
          <w:rFonts w:ascii="Century" w:hAnsi="Century" w:cs="Miriam" w:hint="cs"/>
          <w:b/>
          <w:sz w:val="22"/>
          <w:rtl/>
        </w:rPr>
        <w:t xml:space="preserve"> </w:t>
      </w:r>
      <w:r w:rsidRPr="00632224">
        <w:rPr>
          <w:rFonts w:ascii="Arial TUR" w:hAnsi="Arial TUR" w:cs="FrankRuehl" w:hint="cs"/>
          <w:spacing w:val="10"/>
          <w:sz w:val="22"/>
          <w:szCs w:val="28"/>
          <w:rtl/>
        </w:rPr>
        <w:t xml:space="preserve">דומה כי הפסיקה, בעיקרה, ראתה מופע זה כחלק מעילת הסבירות ולא כעילה עצמאית העומדת על רגליה שלה: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פסילת החלטתו של שר הביטחון נובעת מאי-התחשבותו, הלכה</w:t>
      </w:r>
      <w:r w:rsidRPr="00632224">
        <w:rPr>
          <w:rFonts w:cs="FrankRuehl"/>
          <w:spacing w:val="10"/>
          <w:sz w:val="24"/>
          <w:szCs w:val="28"/>
          <w:rtl/>
        </w:rPr>
        <w:t xml:space="preserve"> </w:t>
      </w:r>
      <w:r w:rsidRPr="00632224">
        <w:rPr>
          <w:rFonts w:ascii="Arial TUR" w:hAnsi="Arial TUR" w:cs="FrankRuehl"/>
          <w:spacing w:val="10"/>
          <w:sz w:val="22"/>
          <w:szCs w:val="28"/>
          <w:rtl/>
        </w:rPr>
        <w:t>למעשה, בשיקול שלעניין. במקרה זה ההתעלמות מן השיקול הרלוואנטי הפכה את ההחלטה אף לבלתי סבירה</w:t>
      </w:r>
      <w:r w:rsidRPr="00632224">
        <w:rPr>
          <w:rFonts w:ascii="Arial TUR" w:hAnsi="Arial TUR" w:cs="FrankRuehl" w:hint="cs"/>
          <w:spacing w:val="10"/>
          <w:sz w:val="22"/>
          <w:szCs w:val="28"/>
          <w:rtl/>
        </w:rPr>
        <w:t>" (</w:t>
      </w:r>
      <w:r w:rsidRPr="00632224">
        <w:rPr>
          <w:rFonts w:ascii="Century" w:hAnsi="Century" w:cs="FrankRuehl"/>
          <w:spacing w:val="10"/>
          <w:sz w:val="22"/>
          <w:szCs w:val="28"/>
          <w:rtl/>
        </w:rPr>
        <w:t xml:space="preserve">דנג"ץ 3299/93 </w:t>
      </w:r>
      <w:r w:rsidRPr="00632224">
        <w:rPr>
          <w:rFonts w:ascii="Century" w:hAnsi="Century" w:cs="Miriam"/>
          <w:b/>
          <w:sz w:val="22"/>
          <w:rtl/>
        </w:rPr>
        <w:t>ויכסלבאום נ' שר הביטחון</w:t>
      </w:r>
      <w:r w:rsidRPr="00632224">
        <w:rPr>
          <w:rFonts w:ascii="Century" w:hAnsi="Century" w:cs="FrankRuehl"/>
          <w:spacing w:val="10"/>
          <w:sz w:val="22"/>
          <w:szCs w:val="28"/>
          <w:rtl/>
        </w:rPr>
        <w:t>, פ"ד מט</w:t>
      </w:r>
      <w:r w:rsidRPr="00632224">
        <w:rPr>
          <w:rFonts w:ascii="Century" w:hAnsi="Century" w:cs="FrankRuehl" w:hint="cs"/>
          <w:spacing w:val="10"/>
          <w:sz w:val="22"/>
          <w:szCs w:val="28"/>
          <w:rtl/>
        </w:rPr>
        <w:t>(2) 195, 210 (1995) (</w:t>
      </w:r>
      <w:r w:rsidRPr="00632224">
        <w:rPr>
          <w:rFonts w:ascii="Arial TUR" w:hAnsi="Arial TUR" w:cs="FrankRuehl" w:hint="cs"/>
          <w:spacing w:val="10"/>
          <w:sz w:val="22"/>
          <w:szCs w:val="28"/>
          <w:rtl/>
        </w:rPr>
        <w:t>להלן: עניין</w:t>
      </w:r>
      <w:r w:rsidRPr="00632224">
        <w:rPr>
          <w:rFonts w:ascii="Arial TUR" w:hAnsi="Arial TUR" w:cs="FrankRuehl"/>
          <w:spacing w:val="10"/>
          <w:sz w:val="22"/>
          <w:szCs w:val="28"/>
          <w:rtl/>
        </w:rPr>
        <w:t> </w:t>
      </w:r>
      <w:r w:rsidRPr="00632224">
        <w:rPr>
          <w:rFonts w:ascii="Arial TUR" w:hAnsi="Arial TUR" w:cs="Miriam"/>
          <w:b/>
          <w:sz w:val="22"/>
          <w:rtl/>
        </w:rPr>
        <w:t>ויכסלבאום</w:t>
      </w:r>
      <w:r w:rsidRPr="00632224">
        <w:rPr>
          <w:rFonts w:ascii="Century" w:hAnsi="Century"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"עמדתו זו של שר הביטחון שמה את כל כובד המשקל על רגשותיהם של המשפחות השכולות ושל הציבור אשר הטקס המשותף יש בו כדי לפגוע ברגשותיהם, </w:t>
      </w:r>
      <w:r w:rsidRPr="00632224">
        <w:rPr>
          <w:rFonts w:ascii="Century" w:hAnsi="Century" w:cs="Miriam" w:hint="cs"/>
          <w:b/>
          <w:sz w:val="22"/>
          <w:rtl/>
        </w:rPr>
        <w:t xml:space="preserve">תוך </w:t>
      </w:r>
      <w:r w:rsidRPr="00632224">
        <w:rPr>
          <w:rFonts w:ascii="Century" w:hAnsi="Century" w:cs="Miriam" w:hint="cs"/>
          <w:b/>
          <w:sz w:val="22"/>
          <w:rtl/>
        </w:rPr>
        <w:lastRenderedPageBreak/>
        <w:t>התעלמות מוחלטת מן הפגיעה ברגשות המשפחות השכולות והציבור המבקשים לקיימו במתכונת שבו התקיים לאורך השנים עד כה. משכך החלטת השר לוקה בחוסר איזון ממשי ובחוסר סבירות</w:t>
      </w:r>
      <w:r w:rsidRPr="00632224">
        <w:rPr>
          <w:rFonts w:ascii="Arial TUR" w:hAnsi="Arial TUR" w:cs="FrankRuehl" w:hint="cs"/>
          <w:spacing w:val="10"/>
          <w:sz w:val="22"/>
          <w:szCs w:val="28"/>
          <w:rtl/>
        </w:rPr>
        <w:t xml:space="preserve"> במידה המצדיקה את התערבותנו" (בג"ץ 2964/18 </w:t>
      </w:r>
      <w:r w:rsidRPr="00632224">
        <w:rPr>
          <w:rFonts w:ascii="Century" w:hAnsi="Century" w:cs="Miriam" w:hint="cs"/>
          <w:b/>
          <w:sz w:val="22"/>
          <w:rtl/>
        </w:rPr>
        <w:t>חוג ההורים פורום המשפחות, משפחות שכולות למען שלום נ' שר הביטחון</w:t>
      </w:r>
      <w:r w:rsidRPr="00632224">
        <w:rPr>
          <w:rFonts w:ascii="Arial TUR" w:hAnsi="Arial TUR" w:cs="FrankRuehl" w:hint="cs"/>
          <w:spacing w:val="10"/>
          <w:sz w:val="22"/>
          <w:szCs w:val="28"/>
          <w:rtl/>
        </w:rPr>
        <w:t xml:space="preserve">, פסקה 10 לפסק דינה של הנשיאה </w:t>
      </w:r>
      <w:r w:rsidRPr="00632224">
        <w:rPr>
          <w:rFonts w:ascii="Century" w:hAnsi="Century" w:cs="Miriam" w:hint="eastAsia"/>
          <w:b/>
          <w:sz w:val="22"/>
          <w:rtl/>
        </w:rPr>
        <w:t>חיות</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(17.4.2018)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"אף אני סבורה כי עילת הסבירות היא מכשיר מרכזי וחיוני להפעלת ביקורת שיפוטית על המינהל [...]. הדברים מקבלים משקל רב אף יותר באותם מקרים שבהם הפסול שנפל בפעולתה של הרשות המינהלית עולה </w:t>
      </w:r>
      <w:r w:rsidRPr="00632224">
        <w:rPr>
          <w:rFonts w:ascii="Century" w:hAnsi="Century" w:cs="Miriam" w:hint="cs"/>
          <w:b/>
          <w:sz w:val="22"/>
          <w:rtl/>
        </w:rPr>
        <w:t>אף כדי התעלמות [של] ממש משיקול רלוונטי</w:t>
      </w:r>
      <w:r w:rsidRPr="00632224">
        <w:rPr>
          <w:rFonts w:ascii="Century" w:hAnsi="Century" w:cs="FrankRuehl"/>
          <w:spacing w:val="10"/>
          <w:sz w:val="22"/>
          <w:szCs w:val="28"/>
          <w:rtl/>
        </w:rPr>
        <w:t>"</w:t>
      </w:r>
      <w:r w:rsidRPr="00632224">
        <w:rPr>
          <w:rFonts w:ascii="Arial TUR" w:hAnsi="Arial TUR" w:cs="FrankRuehl" w:hint="cs"/>
          <w:spacing w:val="10"/>
          <w:sz w:val="22"/>
          <w:szCs w:val="28"/>
          <w:rtl/>
        </w:rPr>
        <w:t xml:space="preserve"> (עניין </w:t>
      </w:r>
      <w:r w:rsidRPr="00632224">
        <w:rPr>
          <w:rFonts w:ascii="Century" w:hAnsi="Century" w:cs="Miriam" w:hint="cs"/>
          <w:b/>
          <w:sz w:val="22"/>
          <w:rtl/>
        </w:rPr>
        <w:t>התאחדות הסוחרים</w:t>
      </w:r>
      <w:r w:rsidRPr="00632224">
        <w:rPr>
          <w:rFonts w:ascii="Arial TUR" w:hAnsi="Arial TUR" w:cs="FrankRuehl" w:hint="cs"/>
          <w:spacing w:val="10"/>
          <w:sz w:val="22"/>
          <w:szCs w:val="28"/>
          <w:rtl/>
        </w:rPr>
        <w:t xml:space="preserve">, בפסקה 36 לפסק דינה של השופטת </w:t>
      </w:r>
      <w:r w:rsidRPr="00632224">
        <w:rPr>
          <w:rFonts w:ascii="Century" w:hAnsi="Century" w:cs="Miriam" w:hint="cs"/>
          <w:b/>
          <w:sz w:val="22"/>
          <w:rtl/>
        </w:rPr>
        <w:t>ברק-ארז</w:t>
      </w:r>
      <w:r w:rsidRPr="00632224">
        <w:rPr>
          <w:rFonts w:ascii="Arial TUR" w:hAnsi="Arial TUR" w:cs="FrankRuehl" w:hint="cs"/>
          <w:spacing w:val="10"/>
          <w:sz w:val="22"/>
          <w:szCs w:val="28"/>
          <w:rtl/>
        </w:rPr>
        <w:t xml:space="preserve">, הדגשה והערה הוספו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מנגד, יש הסבורים כי אי שקילה של כל השיקולים הרלוונטיים היא עילה עצמאית. כך משתמע מבג"ץ 3823/22 </w:t>
      </w:r>
      <w:r w:rsidRPr="00632224">
        <w:rPr>
          <w:rFonts w:ascii="Century" w:hAnsi="Century" w:cs="Miriam" w:hint="cs"/>
          <w:b/>
          <w:sz w:val="22"/>
          <w:rtl/>
        </w:rPr>
        <w:t>נתניהו נ' היועצת המשפטית לממשלה</w:t>
      </w:r>
      <w:r w:rsidRPr="00632224">
        <w:rPr>
          <w:rFonts w:ascii="Arial TUR" w:hAnsi="Arial TUR" w:cs="FrankRuehl" w:hint="cs"/>
          <w:spacing w:val="10"/>
          <w:sz w:val="22"/>
          <w:szCs w:val="28"/>
          <w:rtl/>
        </w:rPr>
        <w:t xml:space="preserve">, פסקה 4 לפסק דינו של השופט </w:t>
      </w:r>
      <w:r w:rsidRPr="00632224">
        <w:rPr>
          <w:rFonts w:ascii="Century" w:hAnsi="Century" w:cs="Miriam" w:hint="cs"/>
          <w:b/>
          <w:sz w:val="22"/>
          <w:rtl/>
        </w:rPr>
        <w:t>סולברג</w:t>
      </w:r>
      <w:r w:rsidRPr="00632224">
        <w:rPr>
          <w:rFonts w:ascii="Arial TUR" w:hAnsi="Arial TUR" w:cs="FrankRuehl" w:hint="cs"/>
          <w:spacing w:val="10"/>
          <w:sz w:val="22"/>
          <w:szCs w:val="28"/>
          <w:rtl/>
        </w:rPr>
        <w:t xml:space="preserve"> (17.7.2023):</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spacing w:val="10"/>
          <w:sz w:val="22"/>
          <w:szCs w:val="28"/>
          <w:rtl/>
        </w:rPr>
        <w:t xml:space="preserve">"עדיין, </w:t>
      </w:r>
      <w:r w:rsidRPr="00632224">
        <w:rPr>
          <w:rFonts w:ascii="Arial TUR" w:hAnsi="Arial TUR" w:cs="FrankRuehl" w:hint="eastAsia"/>
          <w:spacing w:val="10"/>
          <w:sz w:val="22"/>
          <w:szCs w:val="28"/>
          <w:rtl/>
        </w:rPr>
        <w:t>עילה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זו</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w:t>
      </w:r>
      <w:r w:rsidRPr="00632224">
        <w:rPr>
          <w:rFonts w:ascii="Arial TUR" w:hAnsi="Arial TUR" w:cs="FrankRuehl" w:hint="eastAsia"/>
          <w:spacing w:val="10"/>
          <w:sz w:val="22"/>
          <w:szCs w:val="28"/>
          <w:rtl/>
        </w:rPr>
        <w:t>הסבירות</w:t>
      </w:r>
      <w:r w:rsidRPr="00632224">
        <w:rPr>
          <w:rFonts w:ascii="Arial TUR" w:hAnsi="Arial TUR" w:cs="FrankRuehl"/>
          <w:spacing w:val="10"/>
          <w:sz w:val="22"/>
          <w:szCs w:val="28"/>
          <w:rtl/>
        </w:rPr>
        <w:t xml:space="preserve"> – </w:t>
      </w:r>
      <w:r w:rsidRPr="00632224">
        <w:rPr>
          <w:rFonts w:ascii="Arial TUR" w:hAnsi="Arial TUR" w:cs="FrankRuehl" w:hint="eastAsia"/>
          <w:spacing w:val="10"/>
          <w:sz w:val="22"/>
          <w:szCs w:val="28"/>
          <w:rtl/>
        </w:rPr>
        <w:t>י</w:t>
      </w:r>
      <w:r w:rsidRPr="00632224">
        <w:rPr>
          <w:rFonts w:ascii="Arial TUR" w:hAnsi="Arial TUR" w:cs="FrankRuehl"/>
          <w:spacing w:val="10"/>
          <w:sz w:val="22"/>
          <w:szCs w:val="28"/>
          <w:rtl/>
        </w:rPr>
        <w:t>"ע</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 בעלת חשיבות, אך לוקה בבעייתיות – אינה חזות </w:t>
      </w:r>
      <w:r w:rsidRPr="00632224">
        <w:rPr>
          <w:rFonts w:ascii="Arial TUR" w:hAnsi="Arial TUR" w:cs="FrankRuehl" w:hint="eastAsia"/>
          <w:spacing w:val="10"/>
          <w:sz w:val="22"/>
          <w:szCs w:val="28"/>
          <w:rtl/>
        </w:rPr>
        <w:t>הכל</w:t>
      </w:r>
      <w:r w:rsidRPr="00632224">
        <w:rPr>
          <w:rFonts w:ascii="Arial TUR" w:hAnsi="Arial TUR" w:cs="FrankRuehl"/>
          <w:spacing w:val="10"/>
          <w:sz w:val="22"/>
          <w:szCs w:val="28"/>
          <w:rtl/>
        </w:rPr>
        <w:t xml:space="preserve">; לבטח אינה תנאי בלעדיו-איִן לתקומתן של עתירות מסוגהּ של העתירה שלפנינו. ביקורת שיפוטית על החלטת היועצת המשפטית לממשלה, בתחום אכיפת המשפט הפלילי </w:t>
      </w:r>
      <w:r w:rsidRPr="00632224">
        <w:rPr>
          <w:rFonts w:ascii="Arial TUR" w:hAnsi="Arial TUR" w:cs="FrankRuehl" w:hint="eastAsia"/>
          <w:spacing w:val="10"/>
          <w:sz w:val="22"/>
          <w:szCs w:val="28"/>
          <w:rtl/>
        </w:rPr>
        <w:t>ובכלל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איננה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תחוּמה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אך</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ורק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אמותיה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עילת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הסבירות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בכדי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גם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בעתירה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שלפנינו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נטען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בין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היתר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הימנעות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משקילת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שיקולים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רלבנטיים</w:t>
      </w:r>
      <w:r w:rsidRPr="00632224">
        <w:rPr>
          <w:rFonts w:ascii="Arial TUR" w:hAnsi="Arial TUR" w:cs="FrankRuehl"/>
          <w:spacing w:val="10"/>
          <w:sz w:val="22"/>
          <w:szCs w:val="28"/>
          <w:rtl/>
        </w:rPr>
        <w:t xml:space="preserve"> (סעיף 103 </w:t>
      </w:r>
      <w:r w:rsidRPr="00632224">
        <w:rPr>
          <w:rFonts w:ascii="Arial TUR" w:hAnsi="Arial TUR" w:cs="FrankRuehl" w:hint="eastAsia"/>
          <w:spacing w:val="10"/>
          <w:sz w:val="22"/>
          <w:szCs w:val="28"/>
          <w:rtl/>
        </w:rPr>
        <w:t>לעתירה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המתוקנת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ניגוד עניינים (פסקה 57 לחוות דעתו של חברי, השופט </w:t>
      </w:r>
      <w:r w:rsidRPr="00632224">
        <w:rPr>
          <w:rFonts w:ascii="Century" w:hAnsi="Century" w:cs="Miriam" w:hint="eastAsia"/>
          <w:b/>
          <w:sz w:val="22"/>
          <w:rtl/>
        </w:rPr>
        <w:t>ח</w:t>
      </w:r>
      <w:r w:rsidRPr="00632224">
        <w:rPr>
          <w:rFonts w:ascii="Century" w:hAnsi="Century" w:cs="Miriam"/>
          <w:b/>
          <w:sz w:val="22"/>
          <w:rtl/>
        </w:rPr>
        <w:t xml:space="preserve">' </w:t>
      </w:r>
      <w:r w:rsidRPr="00632224">
        <w:rPr>
          <w:rFonts w:ascii="Century" w:hAnsi="Century" w:cs="Miriam" w:hint="eastAsia"/>
          <w:b/>
          <w:sz w:val="22"/>
          <w:rtl/>
        </w:rPr>
        <w:t>כבוב</w:t>
      </w:r>
      <w:r w:rsidRPr="00632224">
        <w:rPr>
          <w:rFonts w:ascii="Arial TUR" w:hAnsi="Arial TUR" w:cs="FrankRuehl"/>
          <w:spacing w:val="10"/>
          <w:sz w:val="22"/>
          <w:szCs w:val="28"/>
          <w:rtl/>
        </w:rPr>
        <w:t xml:space="preserve">), וטענות נוספות. גם אלה אינן ממצות את ארסנל העילות </w:t>
      </w:r>
      <w:r w:rsidRPr="00632224">
        <w:rPr>
          <w:rFonts w:ascii="Arial TUR" w:hAnsi="Arial TUR" w:cs="FrankRuehl" w:hint="eastAsia"/>
          <w:spacing w:val="10"/>
          <w:sz w:val="22"/>
          <w:szCs w:val="28"/>
          <w:rtl/>
        </w:rPr>
        <w:t>המינהליות</w:t>
      </w:r>
      <w:r w:rsidRPr="00632224">
        <w:rPr>
          <w:rFonts w:ascii="Arial TUR" w:hAnsi="Arial TUR" w:cs="FrankRuehl"/>
          <w:spacing w:val="10"/>
          <w:sz w:val="22"/>
          <w:szCs w:val="28"/>
          <w:rtl/>
        </w:rPr>
        <w:t xml:space="preserve"> המסורתיות הנוהגות </w:t>
      </w:r>
      <w:r w:rsidRPr="00632224">
        <w:rPr>
          <w:rFonts w:ascii="Arial TUR" w:hAnsi="Arial TUR" w:cs="FrankRuehl" w:hint="eastAsia"/>
          <w:spacing w:val="10"/>
          <w:sz w:val="22"/>
          <w:szCs w:val="28"/>
          <w:rtl/>
        </w:rPr>
        <w:t>עימנו</w:t>
      </w:r>
      <w:r w:rsidRPr="00632224">
        <w:rPr>
          <w:rFonts w:ascii="Arial TUR" w:hAnsi="Arial TUR" w:cs="FrankRuehl"/>
          <w:spacing w:val="10"/>
          <w:sz w:val="22"/>
          <w:szCs w:val="28"/>
          <w:rtl/>
        </w:rPr>
        <w:t xml:space="preserve"> מימים ימימה, ובכולן ניתן לתקוע יתד נאמן"</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בכל מקרה, ההבחנה בין אי שקילת כל השיקולים הרלוונטיים לבין אי מתן משקל ראוי לשיקול פלוני, היא לעיתים הבחנה דקה מן הדק.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Miriam"/>
          <w:b/>
          <w:sz w:val="22"/>
          <w:rtl/>
        </w:rPr>
      </w:pPr>
      <w:r w:rsidRPr="00632224">
        <w:rPr>
          <w:rFonts w:ascii="Arial TUR" w:hAnsi="Arial TUR" w:cs="FrankRuehl" w:hint="cs"/>
          <w:spacing w:val="10"/>
          <w:sz w:val="22"/>
          <w:szCs w:val="28"/>
          <w:rtl/>
        </w:rPr>
        <w:t>51.</w:t>
      </w:r>
      <w:r w:rsidRPr="00632224">
        <w:rPr>
          <w:rFonts w:ascii="Arial TUR" w:hAnsi="Arial TUR" w:cs="FrankRuehl" w:hint="cs"/>
          <w:spacing w:val="10"/>
          <w:sz w:val="22"/>
          <w:szCs w:val="28"/>
          <w:rtl/>
        </w:rPr>
        <w:tab/>
      </w:r>
      <w:r w:rsidRPr="00632224">
        <w:rPr>
          <w:rFonts w:ascii="Century" w:hAnsi="Century" w:cs="Miriam" w:hint="eastAsia"/>
          <w:b/>
          <w:sz w:val="22"/>
          <w:rtl/>
        </w:rPr>
        <w:t>החלטה</w:t>
      </w:r>
      <w:r w:rsidRPr="00632224">
        <w:rPr>
          <w:rFonts w:ascii="Century" w:hAnsi="Century" w:cs="Miriam"/>
          <w:b/>
          <w:sz w:val="22"/>
          <w:rtl/>
        </w:rPr>
        <w:t xml:space="preserve"> </w:t>
      </w:r>
      <w:r w:rsidRPr="00632224">
        <w:rPr>
          <w:rFonts w:ascii="Century" w:hAnsi="Century" w:cs="Miriam" w:hint="eastAsia"/>
          <w:b/>
          <w:sz w:val="22"/>
          <w:rtl/>
        </w:rPr>
        <w:t>לא</w:t>
      </w:r>
      <w:r w:rsidRPr="00632224">
        <w:rPr>
          <w:rFonts w:ascii="Century" w:hAnsi="Century" w:cs="Miriam"/>
          <w:b/>
          <w:sz w:val="22"/>
          <w:rtl/>
        </w:rPr>
        <w:t xml:space="preserve"> </w:t>
      </w:r>
      <w:r w:rsidRPr="00632224">
        <w:rPr>
          <w:rFonts w:ascii="Century" w:hAnsi="Century" w:cs="Miriam" w:hint="eastAsia"/>
          <w:b/>
          <w:sz w:val="22"/>
          <w:rtl/>
        </w:rPr>
        <w:t>רציונאלית</w:t>
      </w:r>
      <w:r w:rsidRPr="00632224">
        <w:rPr>
          <w:rFonts w:ascii="Century" w:hAnsi="Century" w:cs="Miriam"/>
          <w:b/>
          <w:sz w:val="22"/>
          <w:rtl/>
        </w:rPr>
        <w:t>/מופרכת:</w:t>
      </w:r>
      <w:r w:rsidRPr="00632224">
        <w:rPr>
          <w:rFonts w:ascii="Arial TUR" w:hAnsi="Arial TUR" w:cs="FrankRuehl" w:hint="cs"/>
          <w:spacing w:val="10"/>
          <w:sz w:val="22"/>
          <w:szCs w:val="28"/>
          <w:rtl/>
        </w:rPr>
        <w:t xml:space="preserve"> על מופע חשוב זה של עילת הסבירות עמדה הנשיאה בפסק דינה (בפסקאות 128-126). משמעותה של הסבירות במופעה זה היא כי נאסר על איש המינהל הציבורי לקבל החלטות מופרכות, קרי מסקנותיו צריכות להיגזר מן השיקולים הרלוונטיים לעניין והתשתית העובדתית שהונחה בפניו. אם אין קשר בין ההחלטה האופרטיבית לבין המסד העובדתי והחוקי שממנו היא מתיימרת לנבוע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הרי שמדובר בהחלטה חסרת היגיון ומופרכת, והיא לא תוכל לעמוד (ראו לדוגמה </w:t>
      </w:r>
      <w:r w:rsidRPr="00632224">
        <w:rPr>
          <w:rFonts w:ascii="Arial TUR" w:hAnsi="Arial TUR" w:cs="FrankRuehl" w:hint="eastAsia"/>
          <w:spacing w:val="10"/>
          <w:sz w:val="22"/>
          <w:szCs w:val="28"/>
          <w:rtl/>
        </w:rPr>
        <w:t>בג</w:t>
      </w:r>
      <w:r w:rsidRPr="00632224">
        <w:rPr>
          <w:rFonts w:ascii="Arial TUR" w:hAnsi="Arial TUR" w:cs="FrankRuehl"/>
          <w:spacing w:val="10"/>
          <w:sz w:val="22"/>
          <w:szCs w:val="28"/>
          <w:rtl/>
        </w:rPr>
        <w:t>"</w:t>
      </w:r>
      <w:r w:rsidRPr="00632224">
        <w:rPr>
          <w:rFonts w:ascii="Arial TUR" w:hAnsi="Arial TUR" w:cs="FrankRuehl" w:hint="eastAsia"/>
          <w:spacing w:val="10"/>
          <w:sz w:val="22"/>
          <w:szCs w:val="28"/>
          <w:rtl/>
        </w:rPr>
        <w:t>ץ</w:t>
      </w:r>
      <w:r w:rsidRPr="00632224">
        <w:rPr>
          <w:rFonts w:ascii="Arial TUR" w:hAnsi="Arial TUR" w:cs="FrankRuehl"/>
          <w:spacing w:val="10"/>
          <w:sz w:val="22"/>
          <w:szCs w:val="28"/>
          <w:rtl/>
        </w:rPr>
        <w:t xml:space="preserve"> </w:t>
      </w:r>
      <w:r w:rsidRPr="00632224">
        <w:rPr>
          <w:rFonts w:ascii="Arial TUR" w:hAnsi="Arial TUR" w:cs="FrankRuehl"/>
          <w:spacing w:val="10"/>
          <w:sz w:val="22"/>
          <w:szCs w:val="28"/>
          <w:rtl/>
        </w:rPr>
        <w:lastRenderedPageBreak/>
        <w:t>8076</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21 </w:t>
      </w:r>
      <w:r w:rsidRPr="00632224">
        <w:rPr>
          <w:rFonts w:ascii="Century" w:hAnsi="Century" w:cs="Miriam" w:hint="eastAsia"/>
          <w:b/>
          <w:sz w:val="22"/>
          <w:rtl/>
        </w:rPr>
        <w:t>ועדת</w:t>
      </w:r>
      <w:r w:rsidRPr="00632224">
        <w:rPr>
          <w:rFonts w:ascii="Century" w:hAnsi="Century" w:cs="Miriam"/>
          <w:b/>
          <w:sz w:val="22"/>
          <w:rtl/>
        </w:rPr>
        <w:t xml:space="preserve"> </w:t>
      </w:r>
      <w:r w:rsidRPr="00632224">
        <w:rPr>
          <w:rFonts w:ascii="Century" w:hAnsi="Century" w:cs="Miriam" w:hint="eastAsia"/>
          <w:b/>
          <w:sz w:val="22"/>
          <w:rtl/>
        </w:rPr>
        <w:t>השופטים</w:t>
      </w:r>
      <w:r w:rsidRPr="00632224">
        <w:rPr>
          <w:rFonts w:ascii="Century" w:hAnsi="Century" w:cs="Miriam"/>
          <w:b/>
          <w:sz w:val="22"/>
          <w:rtl/>
        </w:rPr>
        <w:t xml:space="preserve"> </w:t>
      </w:r>
      <w:r w:rsidRPr="00632224">
        <w:rPr>
          <w:rFonts w:ascii="Century" w:hAnsi="Century" w:cs="Miriam" w:hint="eastAsia"/>
          <w:b/>
          <w:sz w:val="22"/>
          <w:rtl/>
        </w:rPr>
        <w:t>להענקת</w:t>
      </w:r>
      <w:r w:rsidRPr="00632224">
        <w:rPr>
          <w:rFonts w:ascii="Century" w:hAnsi="Century" w:cs="Miriam"/>
          <w:b/>
          <w:sz w:val="22"/>
          <w:rtl/>
        </w:rPr>
        <w:t xml:space="preserve"> </w:t>
      </w:r>
      <w:r w:rsidRPr="00632224">
        <w:rPr>
          <w:rFonts w:ascii="Century" w:hAnsi="Century" w:cs="Miriam" w:hint="eastAsia"/>
          <w:b/>
          <w:sz w:val="22"/>
          <w:rtl/>
        </w:rPr>
        <w:t>פרס</w:t>
      </w:r>
      <w:r w:rsidRPr="00632224">
        <w:rPr>
          <w:rFonts w:ascii="Century" w:hAnsi="Century" w:cs="Miriam"/>
          <w:b/>
          <w:sz w:val="22"/>
          <w:rtl/>
        </w:rPr>
        <w:t xml:space="preserve"> </w:t>
      </w:r>
      <w:r w:rsidRPr="00632224">
        <w:rPr>
          <w:rFonts w:ascii="Century" w:hAnsi="Century" w:cs="Miriam" w:hint="eastAsia"/>
          <w:b/>
          <w:sz w:val="22"/>
          <w:rtl/>
        </w:rPr>
        <w:t>ישראל</w:t>
      </w:r>
      <w:r w:rsidRPr="00632224">
        <w:rPr>
          <w:rFonts w:ascii="Century" w:hAnsi="Century" w:cs="Miriam"/>
          <w:b/>
          <w:sz w:val="22"/>
          <w:rtl/>
        </w:rPr>
        <w:t xml:space="preserve"> </w:t>
      </w:r>
      <w:r w:rsidRPr="00632224">
        <w:rPr>
          <w:rFonts w:ascii="Century" w:hAnsi="Century" w:cs="Miriam" w:hint="eastAsia"/>
          <w:b/>
          <w:sz w:val="22"/>
          <w:rtl/>
        </w:rPr>
        <w:t>לשנת</w:t>
      </w:r>
      <w:r w:rsidRPr="00632224">
        <w:rPr>
          <w:rFonts w:ascii="Century" w:hAnsi="Century" w:cs="Miriam"/>
          <w:b/>
          <w:sz w:val="22"/>
          <w:rtl/>
        </w:rPr>
        <w:t xml:space="preserve"> </w:t>
      </w:r>
      <w:r w:rsidRPr="00632224">
        <w:rPr>
          <w:rFonts w:ascii="Century" w:hAnsi="Century" w:cs="Miriam" w:hint="eastAsia"/>
          <w:b/>
          <w:sz w:val="22"/>
          <w:rtl/>
        </w:rPr>
        <w:t>תשפ</w:t>
      </w:r>
      <w:r w:rsidRPr="00632224">
        <w:rPr>
          <w:rFonts w:ascii="Century" w:hAnsi="Century" w:cs="Miriam"/>
          <w:b/>
          <w:sz w:val="22"/>
          <w:rtl/>
        </w:rPr>
        <w:t>"</w:t>
      </w:r>
      <w:r w:rsidRPr="00632224">
        <w:rPr>
          <w:rFonts w:ascii="Century" w:hAnsi="Century" w:cs="Miriam" w:hint="eastAsia"/>
          <w:b/>
          <w:sz w:val="22"/>
          <w:rtl/>
        </w:rPr>
        <w:t>א</w:t>
      </w:r>
      <w:r w:rsidRPr="00632224">
        <w:rPr>
          <w:rFonts w:ascii="Century" w:hAnsi="Century" w:cs="Miriam"/>
          <w:b/>
          <w:sz w:val="22"/>
          <w:rtl/>
        </w:rPr>
        <w:t xml:space="preserve"> </w:t>
      </w:r>
      <w:r w:rsidRPr="00632224">
        <w:rPr>
          <w:rFonts w:ascii="Century" w:hAnsi="Century" w:cs="Miriam" w:hint="eastAsia"/>
          <w:b/>
          <w:sz w:val="22"/>
          <w:rtl/>
        </w:rPr>
        <w:t>בתחום</w:t>
      </w:r>
      <w:r w:rsidRPr="00632224">
        <w:rPr>
          <w:rFonts w:ascii="Century" w:hAnsi="Century" w:cs="Miriam"/>
          <w:b/>
          <w:sz w:val="22"/>
          <w:rtl/>
        </w:rPr>
        <w:t xml:space="preserve"> </w:t>
      </w:r>
      <w:r w:rsidRPr="00632224">
        <w:rPr>
          <w:rFonts w:ascii="Century" w:hAnsi="Century" w:cs="Miriam" w:hint="eastAsia"/>
          <w:b/>
          <w:sz w:val="22"/>
          <w:rtl/>
        </w:rPr>
        <w:t>חקר</w:t>
      </w:r>
      <w:r w:rsidRPr="00632224">
        <w:rPr>
          <w:rFonts w:ascii="Century" w:hAnsi="Century" w:cs="Miriam"/>
          <w:b/>
          <w:sz w:val="22"/>
          <w:rtl/>
        </w:rPr>
        <w:t xml:space="preserve"> </w:t>
      </w:r>
      <w:r w:rsidRPr="00632224">
        <w:rPr>
          <w:rFonts w:ascii="Century" w:hAnsi="Century" w:cs="Miriam" w:hint="eastAsia"/>
          <w:b/>
          <w:sz w:val="22"/>
          <w:rtl/>
        </w:rPr>
        <w:t>מדעי</w:t>
      </w:r>
      <w:r w:rsidRPr="00632224">
        <w:rPr>
          <w:rFonts w:ascii="Century" w:hAnsi="Century" w:cs="Miriam"/>
          <w:b/>
          <w:sz w:val="22"/>
          <w:rtl/>
        </w:rPr>
        <w:t xml:space="preserve"> </w:t>
      </w:r>
      <w:r w:rsidRPr="00632224">
        <w:rPr>
          <w:rFonts w:ascii="Century" w:hAnsi="Century" w:cs="Miriam" w:hint="eastAsia"/>
          <w:b/>
          <w:sz w:val="22"/>
          <w:rtl/>
        </w:rPr>
        <w:t>המחשב</w:t>
      </w:r>
      <w:r w:rsidRPr="00632224">
        <w:rPr>
          <w:rFonts w:ascii="Century" w:hAnsi="Century" w:cs="Miriam"/>
          <w:b/>
          <w:sz w:val="22"/>
          <w:rtl/>
        </w:rPr>
        <w:t xml:space="preserve"> </w:t>
      </w:r>
      <w:r w:rsidRPr="00632224">
        <w:rPr>
          <w:rFonts w:ascii="Century" w:hAnsi="Century" w:cs="Miriam" w:hint="eastAsia"/>
          <w:b/>
          <w:sz w:val="22"/>
          <w:rtl/>
        </w:rPr>
        <w:t>נ</w:t>
      </w:r>
      <w:r w:rsidRPr="00632224">
        <w:rPr>
          <w:rFonts w:ascii="Century" w:hAnsi="Century" w:cs="Miriam"/>
          <w:b/>
          <w:sz w:val="22"/>
          <w:rtl/>
        </w:rPr>
        <w:t xml:space="preserve">' </w:t>
      </w:r>
      <w:r w:rsidRPr="00632224">
        <w:rPr>
          <w:rFonts w:ascii="Century" w:hAnsi="Century" w:cs="Miriam" w:hint="eastAsia"/>
          <w:b/>
          <w:sz w:val="22"/>
          <w:rtl/>
        </w:rPr>
        <w:t>שרת</w:t>
      </w:r>
      <w:r w:rsidRPr="00632224">
        <w:rPr>
          <w:rFonts w:ascii="Century" w:hAnsi="Century" w:cs="Miriam"/>
          <w:b/>
          <w:sz w:val="22"/>
          <w:rtl/>
        </w:rPr>
        <w:t xml:space="preserve"> </w:t>
      </w:r>
      <w:r w:rsidRPr="00632224">
        <w:rPr>
          <w:rFonts w:ascii="Century" w:hAnsi="Century" w:cs="Miriam" w:hint="eastAsia"/>
          <w:b/>
          <w:sz w:val="22"/>
          <w:rtl/>
        </w:rPr>
        <w:t>החינוך</w:t>
      </w:r>
      <w:r w:rsidRPr="00632224">
        <w:rPr>
          <w:rFonts w:ascii="Arial TUR" w:hAnsi="Arial TUR" w:cs="FrankRuehl" w:hint="cs"/>
          <w:spacing w:val="10"/>
          <w:sz w:val="22"/>
          <w:szCs w:val="28"/>
          <w:rtl/>
        </w:rPr>
        <w:t xml:space="preserve">, פסקה 53 לפסק דינה של השופטת </w:t>
      </w:r>
      <w:r w:rsidRPr="00632224">
        <w:rPr>
          <w:rFonts w:ascii="Century" w:hAnsi="Century" w:cs="Miriam" w:hint="eastAsia"/>
          <w:b/>
          <w:sz w:val="22"/>
          <w:rtl/>
        </w:rPr>
        <w:t>וילנר</w:t>
      </w:r>
      <w:r w:rsidRPr="00632224">
        <w:rPr>
          <w:rFonts w:ascii="Arial TUR" w:hAnsi="Arial TUR" w:cs="FrankRuehl" w:hint="cs"/>
          <w:spacing w:val="10"/>
          <w:sz w:val="22"/>
          <w:szCs w:val="28"/>
          <w:rtl/>
        </w:rPr>
        <w:t xml:space="preserve"> (29.3.2022); </w:t>
      </w:r>
      <w:r w:rsidRPr="00632224">
        <w:rPr>
          <w:rFonts w:ascii="Century" w:hAnsi="Century" w:cs="Miriam" w:hint="cs"/>
          <w:b/>
          <w:sz w:val="22"/>
          <w:rtl/>
        </w:rPr>
        <w:t>ברק-ארז משפט מינהלי</w:t>
      </w:r>
      <w:r w:rsidRPr="00632224">
        <w:rPr>
          <w:rFonts w:ascii="Arial TUR" w:hAnsi="Arial TUR" w:cs="FrankRuehl" w:hint="cs"/>
          <w:spacing w:val="10"/>
          <w:sz w:val="22"/>
          <w:szCs w:val="28"/>
          <w:rtl/>
        </w:rPr>
        <w:t>, כרך ב בעמ' 725-723).</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52.</w:t>
      </w:r>
      <w:r w:rsidRPr="00632224">
        <w:rPr>
          <w:rFonts w:ascii="Century" w:hAnsi="Century" w:cs="Miriam"/>
          <w:b/>
          <w:sz w:val="22"/>
          <w:rtl/>
        </w:rPr>
        <w:tab/>
      </w:r>
      <w:r w:rsidRPr="00632224">
        <w:rPr>
          <w:rFonts w:ascii="Century" w:hAnsi="Century" w:cs="Miriam" w:hint="cs"/>
          <w:b/>
          <w:sz w:val="22"/>
          <w:rtl/>
        </w:rPr>
        <w:t>העדר תשתית עובדתית:</w:t>
      </w:r>
      <w:r w:rsidRPr="00632224">
        <w:rPr>
          <w:rFonts w:ascii="Arial TUR" w:hAnsi="Arial TUR" w:cs="FrankRuehl" w:hint="cs"/>
          <w:spacing w:val="10"/>
          <w:sz w:val="22"/>
          <w:szCs w:val="28"/>
          <w:rtl/>
        </w:rPr>
        <w:t xml:space="preserve"> האם פסילת החלטה מינהלית מן הטעם שניתנה ללא תשתית עובדתית מספקת, היא עילה עצמאית או שהיא נכללת בעילת הסבירות? בפסיקה אנו מוצאים כי העדר תשתית עובדתית היא עילה עצמאית: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"כדי להגיע למסקנה שאין מקום להתערב בפסק דינו של בית המשפט קמא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די אם נתמקד בפגם העיקרי שנפל בהחלטת ההדחה. </w:t>
      </w:r>
      <w:r w:rsidRPr="00632224">
        <w:rPr>
          <w:rFonts w:ascii="Century" w:hAnsi="Century" w:cs="Miriam" w:hint="cs"/>
          <w:b/>
          <w:sz w:val="22"/>
          <w:rtl/>
        </w:rPr>
        <w:t>פגם זה נוגע להיעדרה של</w:t>
      </w:r>
      <w:r w:rsidRPr="00632224">
        <w:rPr>
          <w:rFonts w:ascii="Arial TUR" w:hAnsi="Arial TUR" w:cs="FrankRuehl" w:hint="cs"/>
          <w:spacing w:val="10"/>
          <w:sz w:val="22"/>
          <w:szCs w:val="28"/>
          <w:rtl/>
        </w:rPr>
        <w:t xml:space="preserve"> </w:t>
      </w:r>
      <w:r w:rsidRPr="00632224">
        <w:rPr>
          <w:rFonts w:ascii="Century" w:hAnsi="Century" w:cs="Miriam" w:hint="eastAsia"/>
          <w:b/>
          <w:sz w:val="22"/>
          <w:rtl/>
        </w:rPr>
        <w:t>תשתית</w:t>
      </w:r>
      <w:r w:rsidRPr="00632224">
        <w:rPr>
          <w:rFonts w:ascii="Century" w:hAnsi="Century" w:cs="Miriam"/>
          <w:b/>
          <w:sz w:val="22"/>
          <w:rtl/>
        </w:rPr>
        <w:t xml:space="preserve"> </w:t>
      </w:r>
      <w:r w:rsidRPr="00632224">
        <w:rPr>
          <w:rFonts w:ascii="Century" w:hAnsi="Century" w:cs="Miriam" w:hint="eastAsia"/>
          <w:b/>
          <w:sz w:val="22"/>
          <w:rtl/>
        </w:rPr>
        <w:t>עובדתית</w:t>
      </w:r>
      <w:r w:rsidRPr="00632224">
        <w:rPr>
          <w:rFonts w:ascii="Arial TUR" w:hAnsi="Arial TUR" w:cs="FrankRuehl" w:hint="cs"/>
          <w:spacing w:val="10"/>
          <w:sz w:val="22"/>
          <w:szCs w:val="28"/>
          <w:rtl/>
        </w:rPr>
        <w:t xml:space="preserve"> הנדרשת על פי כללי המשפט המינהלי לשם ביסוס החלטה של כל רשות מנהלית באשר היא [...]. אך אם בעל הסמכות המנהלית אינו נותן את דעתו למכלול הראיות הרלוונטיות שנאספו,</w:t>
      </w:r>
      <w:r w:rsidRPr="00632224">
        <w:rPr>
          <w:rFonts w:ascii="Century" w:hAnsi="Century" w:cs="FrankRuehl" w:hint="cs"/>
          <w:spacing w:val="10"/>
          <w:sz w:val="22"/>
          <w:szCs w:val="28"/>
          <w:rtl/>
        </w:rPr>
        <w:t xml:space="preserve"> אין מנוס מן הקביעה כי הופרה החובה המוטלת על הרשות לקבל החלטה המבוססת על כלל העובדות הרלוונטיות, וברי כי החלטה שכך התקבלה אינה יכולה לעמוד</w:t>
      </w:r>
      <w:r w:rsidRPr="00632224">
        <w:rPr>
          <w:rFonts w:ascii="Arial TUR" w:hAnsi="Arial TUR" w:cs="FrankRuehl" w:hint="cs"/>
          <w:spacing w:val="10"/>
          <w:sz w:val="22"/>
          <w:szCs w:val="28"/>
          <w:rtl/>
        </w:rPr>
        <w:t xml:space="preserve">. [...] </w:t>
      </w:r>
      <w:r w:rsidRPr="00632224">
        <w:rPr>
          <w:rFonts w:ascii="Arial TUR" w:hAnsi="Arial TUR" w:cs="FrankRuehl"/>
          <w:spacing w:val="10"/>
          <w:sz w:val="22"/>
          <w:szCs w:val="28"/>
          <w:rtl/>
        </w:rPr>
        <w:t>משהתברר כי מדובר בהחלטות מוקשות, מתפתחות, שנתקבלו מבלעדי תשתית עובדתית הולמת, ובניגוד להסדר המפורט, המיוחד, שנקבע בנוהל ההדחה של צה"ל – אין מנוס מהתערבות</w:t>
      </w:r>
      <w:r w:rsidRPr="00632224">
        <w:rPr>
          <w:rFonts w:ascii="Arial TUR" w:hAnsi="Arial TUR" w:cs="FrankRuehl" w:hint="cs"/>
          <w:spacing w:val="10"/>
          <w:sz w:val="22"/>
          <w:szCs w:val="28"/>
          <w:rtl/>
        </w:rPr>
        <w:t xml:space="preserve">" (בג"ץ 6745/19 </w:t>
      </w:r>
      <w:r w:rsidRPr="00632224">
        <w:rPr>
          <w:rFonts w:ascii="Century" w:hAnsi="Century" w:cs="Miriam" w:hint="cs"/>
          <w:b/>
          <w:sz w:val="22"/>
          <w:rtl/>
        </w:rPr>
        <w:t>לובטון נ' הפרקליט הצבאי הראשי</w:t>
      </w:r>
      <w:r w:rsidRPr="00632224">
        <w:rPr>
          <w:rFonts w:ascii="Arial TUR" w:hAnsi="Arial TUR" w:cs="FrankRuehl" w:hint="cs"/>
          <w:spacing w:val="10"/>
          <w:sz w:val="22"/>
          <w:szCs w:val="28"/>
          <w:rtl/>
        </w:rPr>
        <w:t xml:space="preserve">, פסקאות 63 ו-75 לפסק דינה של הנשיאה </w:t>
      </w:r>
      <w:r w:rsidRPr="00632224">
        <w:rPr>
          <w:rFonts w:ascii="Century" w:hAnsi="Century" w:cs="Miriam" w:hint="cs"/>
          <w:b/>
          <w:sz w:val="22"/>
          <w:rtl/>
        </w:rPr>
        <w:t>חיות</w:t>
      </w:r>
      <w:r w:rsidRPr="00632224">
        <w:rPr>
          <w:rFonts w:ascii="Arial TUR" w:hAnsi="Arial TUR" w:cs="FrankRuehl" w:hint="cs"/>
          <w:spacing w:val="10"/>
          <w:sz w:val="22"/>
          <w:szCs w:val="28"/>
          <w:rtl/>
        </w:rPr>
        <w:t xml:space="preserve"> (14.3.2022)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 (וכן ראו את פסק דינו של השופט </w:t>
      </w:r>
      <w:r w:rsidRPr="00632224">
        <w:rPr>
          <w:rFonts w:ascii="Century" w:hAnsi="Century" w:cs="Miriam" w:hint="cs"/>
          <w:b/>
          <w:sz w:val="22"/>
          <w:rtl/>
        </w:rPr>
        <w:t>סולברג</w:t>
      </w:r>
      <w:r w:rsidRPr="00632224">
        <w:rPr>
          <w:rFonts w:ascii="Arial TUR" w:hAnsi="Arial TUR" w:cs="FrankRuehl" w:hint="cs"/>
          <w:spacing w:val="10"/>
          <w:sz w:val="22"/>
          <w:szCs w:val="28"/>
          <w:rtl/>
        </w:rPr>
        <w:t xml:space="preserve">, </w:t>
      </w:r>
      <w:r w:rsidRPr="00632224">
        <w:rPr>
          <w:rFonts w:ascii="Century" w:hAnsi="Century" w:cs="Miriam" w:hint="eastAsia"/>
          <w:b/>
          <w:sz w:val="22"/>
          <w:rtl/>
        </w:rPr>
        <w:t>שם</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לכן, כשלעצמי, אני סבור כי על אף הלשון הגורפת שבה נקט המכונן, </w:t>
      </w:r>
      <w:r w:rsidRPr="00632224">
        <w:rPr>
          <w:rFonts w:ascii="Century" w:hAnsi="Century" w:cs="Miriam" w:hint="eastAsia"/>
          <w:b/>
          <w:sz w:val="22"/>
          <w:rtl/>
        </w:rPr>
        <w:t>אין</w:t>
      </w:r>
      <w:r w:rsidRPr="00632224">
        <w:rPr>
          <w:rFonts w:ascii="Arial TUR" w:hAnsi="Arial TUR" w:cs="FrankRuehl" w:hint="cs"/>
          <w:spacing w:val="10"/>
          <w:sz w:val="22"/>
          <w:szCs w:val="28"/>
          <w:rtl/>
        </w:rPr>
        <w:t xml:space="preserve"> לכלול מופע זה של סבירות בגדר התיקון לחוק היסוד. אולם ראוי לציין כי בפסיקה אנו מוצאים כי המופע של העדר תשתית עובדתית מהווה אף הוא חלק מעילת הסבירות:</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"לפיכך, החלטת שר הפנים צריכה להתקבל בהליך מינהלי תקין, ועליה להיות חפה משיקולים לא ענייניים, משרירות ומפגיעה בעקרונות צדק טבעי. עליה להיות החלטה סבירה. </w:t>
      </w:r>
      <w:r w:rsidRPr="00632224">
        <w:rPr>
          <w:rFonts w:ascii="Century" w:hAnsi="Century" w:cs="Miriam" w:hint="cs"/>
          <w:b/>
          <w:sz w:val="22"/>
          <w:rtl/>
        </w:rPr>
        <w:t>בגדר דרישת הסבירות, על ההחלטה להתבסס על תשתית עובדתית ראויה</w:t>
      </w:r>
      <w:r w:rsidRPr="00632224">
        <w:rPr>
          <w:rFonts w:ascii="Arial TUR" w:hAnsi="Arial TUR" w:cs="FrankRuehl" w:hint="cs"/>
          <w:spacing w:val="10"/>
          <w:sz w:val="22"/>
          <w:szCs w:val="28"/>
          <w:rtl/>
        </w:rPr>
        <w:t xml:space="preserve">, להישען על כלל השיקולים הרלוונטיים, ועליהם בלבד, ולהיקבע תוך איזון ראוי ביניהם במסגרת מיתחם הסבירות" (בג"ץ 7444/03 </w:t>
      </w:r>
      <w:r w:rsidRPr="00632224">
        <w:rPr>
          <w:rFonts w:ascii="Century" w:hAnsi="Century" w:cs="Miriam" w:hint="cs"/>
          <w:b/>
          <w:sz w:val="22"/>
          <w:rtl/>
        </w:rPr>
        <w:t>דקה נ' שר הפנים</w:t>
      </w:r>
      <w:r w:rsidRPr="00632224">
        <w:rPr>
          <w:rFonts w:ascii="Arial TUR" w:hAnsi="Arial TUR" w:cs="FrankRuehl" w:hint="cs"/>
          <w:spacing w:val="10"/>
          <w:sz w:val="22"/>
          <w:szCs w:val="28"/>
          <w:rtl/>
        </w:rPr>
        <w:t xml:space="preserve">, פסקה 32 לפסק דינה של השופטת </w:t>
      </w:r>
      <w:r w:rsidRPr="00632224">
        <w:rPr>
          <w:rFonts w:ascii="Century" w:hAnsi="Century" w:cs="Miriam" w:hint="eastAsia"/>
          <w:b/>
          <w:sz w:val="22"/>
          <w:rtl/>
        </w:rPr>
        <w:t>פרוקצ</w:t>
      </w:r>
      <w:r w:rsidRPr="00632224">
        <w:rPr>
          <w:rFonts w:ascii="Century" w:hAnsi="Century" w:cs="Miriam"/>
          <w:b/>
          <w:sz w:val="22"/>
          <w:rtl/>
        </w:rPr>
        <w:t>'יה</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(22.2.2010)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cs="FrankRuehl" w:hint="cs"/>
          <w:spacing w:val="10"/>
          <w:sz w:val="22"/>
          <w:szCs w:val="28"/>
          <w:rtl/>
        </w:rPr>
        <w:t xml:space="preserve">"משטרת ישראל, ככל רשות מנהלית, מחויבת לקבל את החלטותיה </w:t>
      </w:r>
      <w:r w:rsidRPr="00632224">
        <w:rPr>
          <w:rFonts w:ascii="Century" w:hAnsi="Century" w:cs="Miriam" w:hint="cs"/>
          <w:b/>
          <w:sz w:val="22"/>
          <w:rtl/>
        </w:rPr>
        <w:t>על סמך תשתית עובדתית מלאה, וזאת כערובה לקבלת החלטות סבירות וענייניות</w:t>
      </w:r>
      <w:r w:rsidRPr="00632224">
        <w:rPr>
          <w:rFonts w:cs="FrankRuehl" w:hint="cs"/>
          <w:spacing w:val="10"/>
          <w:sz w:val="22"/>
          <w:szCs w:val="28"/>
          <w:rtl/>
        </w:rPr>
        <w:t xml:space="preserve"> המושתתות על בדיקה שיטתית והוגנת של העובדות</w:t>
      </w:r>
      <w:r w:rsidRPr="00632224">
        <w:rPr>
          <w:rFonts w:ascii="Arial TUR" w:hAnsi="Arial TUR" w:cs="FrankRuehl" w:hint="cs"/>
          <w:spacing w:val="10"/>
          <w:sz w:val="22"/>
          <w:szCs w:val="28"/>
          <w:rtl/>
        </w:rPr>
        <w:t xml:space="preserve">" (בג"ץ 3798/09 </w:t>
      </w:r>
      <w:r w:rsidRPr="00632224">
        <w:rPr>
          <w:rFonts w:ascii="Century" w:hAnsi="Century" w:cs="Miriam" w:hint="cs"/>
          <w:b/>
          <w:sz w:val="22"/>
          <w:rtl/>
        </w:rPr>
        <w:t xml:space="preserve">גורוחוד נ' </w:t>
      </w:r>
      <w:r w:rsidRPr="00632224">
        <w:rPr>
          <w:rFonts w:ascii="Century" w:hAnsi="Century" w:cs="Miriam" w:hint="cs"/>
          <w:b/>
          <w:sz w:val="22"/>
          <w:rtl/>
        </w:rPr>
        <w:lastRenderedPageBreak/>
        <w:t>המפקח הכללי של משטרת ישראל</w:t>
      </w:r>
      <w:r w:rsidRPr="00632224">
        <w:rPr>
          <w:rFonts w:ascii="Arial TUR" w:hAnsi="Arial TUR" w:cs="FrankRuehl" w:hint="cs"/>
          <w:spacing w:val="10"/>
          <w:sz w:val="22"/>
          <w:szCs w:val="28"/>
          <w:rtl/>
        </w:rPr>
        <w:t xml:space="preserve">, פסקה 19 לפסק דינה של הנשיאה </w:t>
      </w:r>
      <w:r w:rsidRPr="00632224">
        <w:rPr>
          <w:rFonts w:ascii="Century" w:hAnsi="Century" w:cs="Miriam" w:hint="cs"/>
          <w:b/>
          <w:sz w:val="22"/>
          <w:rtl/>
        </w:rPr>
        <w:t>ביניש</w:t>
      </w:r>
      <w:r w:rsidRPr="00632224">
        <w:rPr>
          <w:rFonts w:ascii="Arial TUR" w:hAnsi="Arial TUR" w:cs="FrankRuehl" w:hint="cs"/>
          <w:spacing w:val="10"/>
          <w:sz w:val="22"/>
          <w:szCs w:val="28"/>
          <w:rtl/>
        </w:rPr>
        <w:t xml:space="preserve"> (7.12.2010) (להלן: </w:t>
      </w:r>
      <w:r w:rsidRPr="00632224">
        <w:rPr>
          <w:rFonts w:ascii="Arial TUR" w:hAnsi="Arial TUR" w:cs="FrankRuehl" w:hint="eastAsia"/>
          <w:spacing w:val="10"/>
          <w:sz w:val="22"/>
          <w:szCs w:val="28"/>
          <w:rtl/>
        </w:rPr>
        <w:t>עניין</w:t>
      </w:r>
      <w:r w:rsidRPr="00632224">
        <w:rPr>
          <w:rFonts w:ascii="Century" w:hAnsi="Century" w:cs="Miriam" w:hint="cs"/>
          <w:b/>
          <w:sz w:val="22"/>
          <w:rtl/>
        </w:rPr>
        <w:t xml:space="preserve"> גורוחוד</w:t>
      </w:r>
      <w:r w:rsidRPr="00632224">
        <w:rPr>
          <w:rFonts w:ascii="Arial TUR" w:hAnsi="Arial TUR" w:cs="FrankRuehl" w:hint="cs"/>
          <w:spacing w:val="10"/>
          <w:sz w:val="22"/>
          <w:szCs w:val="28"/>
          <w:rtl/>
        </w:rPr>
        <w:t xml:space="preserve">)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מכאן, שיכול הטוען לטעון כי גם מופע זה נכלל בגדר עילת הסבירות שנכרתה במסגרת התיקון לחוק היסוד.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53.</w:t>
      </w:r>
      <w:r w:rsidRPr="00632224">
        <w:rPr>
          <w:rFonts w:ascii="Arial TUR" w:hAnsi="Arial TUR" w:cs="FrankRuehl" w:hint="cs"/>
          <w:spacing w:val="10"/>
          <w:sz w:val="22"/>
          <w:szCs w:val="28"/>
          <w:rtl/>
        </w:rPr>
        <w:tab/>
      </w:r>
      <w:r w:rsidRPr="00632224">
        <w:rPr>
          <w:rFonts w:ascii="Century" w:hAnsi="Century" w:cs="Miriam" w:hint="cs"/>
          <w:b/>
          <w:sz w:val="22"/>
          <w:rtl/>
        </w:rPr>
        <w:t>קבלת החלטה על בסיס ראיות, נתונים ועובדות שאין להתחשב בהם או אי מתן משקל הולם להם</w:t>
      </w:r>
      <w:r w:rsidRPr="00632224">
        <w:rPr>
          <w:rFonts w:ascii="Century" w:hAnsi="Century" w:cs="Miriam"/>
          <w:b/>
          <w:sz w:val="22"/>
          <w:rtl/>
        </w:rPr>
        <w:t>:</w:t>
      </w:r>
      <w:r w:rsidRPr="00632224">
        <w:rPr>
          <w:rFonts w:ascii="Arial TUR" w:hAnsi="Arial TUR" w:cs="FrankRuehl" w:hint="cs"/>
          <w:spacing w:val="10"/>
          <w:sz w:val="22"/>
          <w:szCs w:val="28"/>
          <w:rtl/>
        </w:rPr>
        <w:t xml:space="preserve"> ניתן להצביע גם על עילה נוספת או תת-עילה, ולפיה הונחה תשתית עובדתית אך לא ניתן משקל הולם </w:t>
      </w:r>
      <w:r w:rsidRPr="00632224">
        <w:rPr>
          <w:rFonts w:ascii="Century" w:hAnsi="Century" w:cs="Miriam" w:hint="cs"/>
          <w:b/>
          <w:sz w:val="22"/>
          <w:rtl/>
        </w:rPr>
        <w:t>לראיות</w:t>
      </w:r>
      <w:r w:rsidRPr="00632224">
        <w:rPr>
          <w:rFonts w:ascii="Arial TUR" w:hAnsi="Arial TUR" w:cs="FrankRuehl" w:hint="cs"/>
          <w:spacing w:val="10"/>
          <w:sz w:val="22"/>
          <w:szCs w:val="28"/>
          <w:rtl/>
        </w:rPr>
        <w:t xml:space="preserve"> או </w:t>
      </w:r>
      <w:r w:rsidRPr="00632224">
        <w:rPr>
          <w:rFonts w:ascii="Century" w:hAnsi="Century" w:cs="Miriam" w:hint="cs"/>
          <w:b/>
          <w:sz w:val="22"/>
          <w:rtl/>
        </w:rPr>
        <w:t>לנתונים</w:t>
      </w:r>
      <w:r w:rsidRPr="00632224">
        <w:rPr>
          <w:rFonts w:ascii="Arial TUR" w:hAnsi="Arial TUR" w:cs="FrankRuehl" w:hint="cs"/>
          <w:spacing w:val="10"/>
          <w:sz w:val="22"/>
          <w:szCs w:val="28"/>
          <w:rtl/>
        </w:rPr>
        <w:t xml:space="preserve"> מסוימים (להבדיל מאי מתן משקל </w:t>
      </w:r>
      <w:r w:rsidRPr="00632224">
        <w:rPr>
          <w:rFonts w:ascii="Century" w:hAnsi="Century" w:cs="Miriam" w:hint="cs"/>
          <w:b/>
          <w:sz w:val="22"/>
          <w:rtl/>
        </w:rPr>
        <w:t>לשיקולים</w:t>
      </w:r>
      <w:r w:rsidRPr="00632224">
        <w:rPr>
          <w:rFonts w:ascii="Arial TUR" w:hAnsi="Arial TUR" w:cs="FrankRuehl" w:hint="cs"/>
          <w:spacing w:val="10"/>
          <w:sz w:val="22"/>
          <w:szCs w:val="28"/>
          <w:rtl/>
        </w:rPr>
        <w:t xml:space="preserve"> שונים): </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Century" w:hAnsi="Century" w:cs="FrankRuehl" w:hint="cs"/>
          <w:spacing w:val="10"/>
          <w:sz w:val="22"/>
          <w:szCs w:val="28"/>
          <w:rtl/>
        </w:rPr>
        <w:t>"</w:t>
      </w:r>
      <w:r w:rsidRPr="00632224">
        <w:rPr>
          <w:rFonts w:ascii="Century" w:hAnsi="Century" w:cs="FrankRuehl"/>
          <w:spacing w:val="10"/>
          <w:sz w:val="22"/>
          <w:szCs w:val="28"/>
          <w:rtl/>
        </w:rPr>
        <w:t xml:space="preserve">שאלת מסוכנותו של המשיב עמדה בפני הוועדה וזו שקלה אותה, </w:t>
      </w:r>
      <w:r w:rsidRPr="00632224">
        <w:rPr>
          <w:rFonts w:ascii="Century" w:hAnsi="Century" w:cs="FrankRuehl" w:hint="eastAsia"/>
          <w:spacing w:val="10"/>
          <w:sz w:val="22"/>
          <w:szCs w:val="28"/>
          <w:rtl/>
        </w:rPr>
        <w:t>אלא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שהיא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הגיעה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למסקנה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בלתי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סבירה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בעליל</w:t>
      </w:r>
      <w:r w:rsidRPr="00632224">
        <w:rPr>
          <w:rFonts w:ascii="Century" w:hAnsi="Century" w:cs="FrankRuehl"/>
          <w:spacing w:val="10"/>
          <w:sz w:val="22"/>
          <w:szCs w:val="28"/>
          <w:rtl/>
        </w:rPr>
        <w:t>,</w:t>
      </w:r>
      <w:r w:rsidRPr="00632224">
        <w:rPr>
          <w:rFonts w:ascii="Century" w:hAnsi="Century" w:cs="Miriam"/>
          <w:b/>
          <w:sz w:val="22"/>
          <w:rtl/>
        </w:rPr>
        <w:t xml:space="preserve"> תוך אי-מתן משקל הולם לראיות המינהליות אשר היו בפניה</w:t>
      </w:r>
      <w:r w:rsidRPr="00632224">
        <w:rPr>
          <w:rFonts w:ascii="Arial TUR" w:hAnsi="Arial TUR" w:cs="FrankRuehl"/>
          <w:spacing w:val="10"/>
          <w:sz w:val="22"/>
          <w:szCs w:val="28"/>
          <w:rtl/>
        </w:rPr>
        <w:t>,</w:t>
      </w:r>
      <w:r w:rsidRPr="00632224">
        <w:rPr>
          <w:rFonts w:ascii="Century" w:hAnsi="Century" w:cs="FrankRuehl"/>
          <w:spacing w:val="10"/>
          <w:sz w:val="22"/>
          <w:szCs w:val="28"/>
          <w:rtl/>
        </w:rPr>
        <w:t xml:space="preserve"> כמפורט לעיל, בדבר מסוכנותו של המשיב. בנסיבות אלה, ראוי שנעשה אנו את שהיה על הוועדה לעשות נוכח התשתית הראייתית אשר הייתה בפניה.</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 xml:space="preserve">התוצאה היא, שהואיל והחלטת הוועדה על שחרור המשיב </w:t>
      </w:r>
      <w:r w:rsidRPr="00632224">
        <w:rPr>
          <w:rFonts w:ascii="Century" w:hAnsi="Century" w:cs="Miriam"/>
          <w:b/>
          <w:sz w:val="22"/>
          <w:rtl/>
        </w:rPr>
        <w:t>חרגה ממיתחם הסבירות</w:t>
      </w:r>
      <w:r w:rsidRPr="00632224">
        <w:rPr>
          <w:rFonts w:ascii="Arial TUR" w:hAnsi="Arial TUR" w:cs="FrankRuehl"/>
          <w:spacing w:val="10"/>
          <w:sz w:val="22"/>
          <w:szCs w:val="28"/>
          <w:rtl/>
        </w:rPr>
        <w:t>, אציע לחבריי לבטלה</w:t>
      </w:r>
      <w:r w:rsidRPr="00632224">
        <w:rPr>
          <w:rFonts w:ascii="Arial TUR" w:hAnsi="Arial TUR" w:cs="FrankRuehl" w:hint="cs"/>
          <w:spacing w:val="10"/>
          <w:sz w:val="22"/>
          <w:szCs w:val="28"/>
          <w:rtl/>
        </w:rPr>
        <w:t xml:space="preserve">" (בג"ץ 1920/00 </w:t>
      </w:r>
      <w:r w:rsidRPr="00632224">
        <w:rPr>
          <w:rFonts w:ascii="Century" w:hAnsi="Century" w:cs="Miriam" w:hint="cs"/>
          <w:b/>
          <w:sz w:val="22"/>
          <w:rtl/>
        </w:rPr>
        <w:t>גלאון נ' ועדת השחרורים בית הסוהר מעשיהו</w:t>
      </w:r>
      <w:r w:rsidRPr="00632224">
        <w:rPr>
          <w:rFonts w:ascii="Arial TUR" w:hAnsi="Arial TUR" w:cs="FrankRuehl" w:hint="cs"/>
          <w:spacing w:val="10"/>
          <w:sz w:val="22"/>
          <w:szCs w:val="28"/>
          <w:rtl/>
        </w:rPr>
        <w:t xml:space="preserve">, פ"ד נד(2) 313, 328 (2000) (הדגשות הוספו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"מסקנתנו היא כי החלטת המשיבים בעניינה של העותרת אינה מבטאת איזון סביר של הנתונים הרלוונטיים" (עניין </w:t>
      </w:r>
      <w:r w:rsidRPr="00632224">
        <w:rPr>
          <w:rFonts w:ascii="Century" w:hAnsi="Century" w:cs="Miriam" w:hint="cs"/>
          <w:b/>
          <w:sz w:val="22"/>
          <w:rtl/>
        </w:rPr>
        <w:t>גורוחוד</w:t>
      </w:r>
      <w:r w:rsidRPr="00632224">
        <w:rPr>
          <w:rFonts w:ascii="Arial TUR" w:hAnsi="Arial TUR" w:cs="FrankRuehl" w:hint="cs"/>
          <w:spacing w:val="10"/>
          <w:sz w:val="22"/>
          <w:szCs w:val="28"/>
          <w:rtl/>
        </w:rPr>
        <w:t xml:space="preserve">, בפסקה 24 לפסק דינה של הנשיאה </w:t>
      </w:r>
      <w:r w:rsidRPr="00632224">
        <w:rPr>
          <w:rFonts w:ascii="Century" w:hAnsi="Century" w:cs="Miriam" w:hint="eastAsia"/>
          <w:b/>
          <w:sz w:val="22"/>
          <w:rtl/>
        </w:rPr>
        <w:t>ביניש</w:t>
      </w:r>
      <w:r w:rsidRPr="00632224">
        <w:rPr>
          <w:rFonts w:ascii="Arial TUR" w:hAnsi="Arial TUR" w:cs="FrankRuehl" w:hint="cs"/>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Garamond" w:hAnsi="Garamond" w:cs="FrankRuehl"/>
          <w:spacing w:val="10"/>
          <w:sz w:val="24"/>
          <w:szCs w:val="28"/>
          <w:rtl/>
        </w:rPr>
      </w:pPr>
      <w:r w:rsidRPr="00632224">
        <w:rPr>
          <w:rFonts w:ascii="Garamond" w:hAnsi="Garamond" w:cs="FrankRuehl"/>
          <w:spacing w:val="10"/>
          <w:sz w:val="24"/>
          <w:szCs w:val="28"/>
          <w:rtl/>
        </w:rPr>
        <w:tab/>
      </w:r>
      <w:r w:rsidRPr="00632224">
        <w:rPr>
          <w:rFonts w:ascii="Garamond" w:hAnsi="Garamond" w:cs="FrankRuehl" w:hint="cs"/>
          <w:spacing w:val="10"/>
          <w:sz w:val="24"/>
          <w:szCs w:val="28"/>
          <w:rtl/>
        </w:rPr>
        <w:t xml:space="preserve">ומזווית אחרת: </w:t>
      </w:r>
      <w:r w:rsidRPr="00632224">
        <w:rPr>
          <w:rFonts w:ascii="Century" w:hAnsi="Century" w:cs="FrankRuehl" w:hint="cs"/>
          <w:spacing w:val="10"/>
          <w:sz w:val="22"/>
          <w:szCs w:val="28"/>
          <w:rtl/>
        </w:rPr>
        <w:t xml:space="preserve">ככלל, על הרשות לדאוג כי תחת ידה יהיו כל העובדות והנתונים הרלוונטיים ועליה לוודא כי היא </w:t>
      </w:r>
      <w:r w:rsidRPr="00632224">
        <w:rPr>
          <w:rFonts w:ascii="Century" w:hAnsi="Century" w:cs="Miriam" w:hint="cs"/>
          <w:b/>
          <w:sz w:val="22"/>
          <w:rtl/>
        </w:rPr>
        <w:t>אינה</w:t>
      </w:r>
      <w:r w:rsidRPr="00632224">
        <w:rPr>
          <w:rFonts w:ascii="Century" w:hAnsi="Century" w:cs="FrankRuehl" w:hint="cs"/>
          <w:spacing w:val="10"/>
          <w:sz w:val="22"/>
          <w:szCs w:val="28"/>
          <w:rtl/>
        </w:rPr>
        <w:t xml:space="preserve"> מתחשבת בעובדות ובנתונים </w:t>
      </w:r>
      <w:r w:rsidRPr="00632224">
        <w:rPr>
          <w:rFonts w:ascii="Century" w:hAnsi="Century" w:cs="FrankRuehl" w:hint="eastAsia"/>
          <w:spacing w:val="10"/>
          <w:sz w:val="22"/>
          <w:szCs w:val="28"/>
          <w:rtl/>
        </w:rPr>
        <w:t>שאינם</w:t>
      </w:r>
      <w:r w:rsidRPr="00632224">
        <w:rPr>
          <w:rFonts w:ascii="Century" w:hAnsi="Century" w:cs="FrankRuehl" w:hint="cs"/>
          <w:spacing w:val="10"/>
          <w:sz w:val="22"/>
          <w:szCs w:val="28"/>
          <w:rtl/>
        </w:rPr>
        <w:t xml:space="preserve"> נוגעים לעניין (</w:t>
      </w:r>
      <w:r w:rsidRPr="00632224">
        <w:rPr>
          <w:rFonts w:ascii="Century" w:hAnsi="Century" w:cs="FrankRuehl" w:hint="eastAsia"/>
          <w:spacing w:val="10"/>
          <w:sz w:val="22"/>
          <w:szCs w:val="28"/>
          <w:rtl/>
        </w:rPr>
        <w:t>בג</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ץ</w:t>
      </w:r>
      <w:r w:rsidRPr="00632224">
        <w:rPr>
          <w:rFonts w:ascii="Century" w:hAnsi="Century" w:cs="FrankRuehl"/>
          <w:spacing w:val="10"/>
          <w:sz w:val="22"/>
          <w:szCs w:val="28"/>
          <w:rtl/>
        </w:rPr>
        <w:t xml:space="preserve"> 987/94</w:t>
      </w:r>
      <w:r w:rsidRPr="00632224">
        <w:rPr>
          <w:rFonts w:ascii="Century" w:hAnsi="Century" w:cs="FrankRuehl" w:hint="cs"/>
          <w:spacing w:val="10"/>
          <w:sz w:val="22"/>
          <w:szCs w:val="28"/>
          <w:rtl/>
        </w:rPr>
        <w:t xml:space="preserve"> </w:t>
      </w:r>
      <w:r w:rsidRPr="00632224">
        <w:rPr>
          <w:rFonts w:ascii="Century" w:hAnsi="Century" w:cs="Miriam" w:hint="cs"/>
          <w:b/>
          <w:sz w:val="22"/>
          <w:rtl/>
        </w:rPr>
        <w:t>יורונט קווי זהב בע"מ (1992) נ' שרת התקשורת</w:t>
      </w:r>
      <w:r w:rsidRPr="00632224">
        <w:rPr>
          <w:rFonts w:ascii="Century" w:hAnsi="Century" w:cs="FrankRuehl" w:hint="cs"/>
          <w:spacing w:val="10"/>
          <w:sz w:val="22"/>
          <w:szCs w:val="28"/>
          <w:rtl/>
        </w:rPr>
        <w:t>, פ"ד מח(5) 412, 425 (1994)).</w:t>
      </w:r>
      <w:r w:rsidRPr="00632224">
        <w:rPr>
          <w:rFonts w:ascii="Garamond" w:hAnsi="Garamond" w:cs="FrankRuehl" w:hint="cs"/>
          <w:spacing w:val="10"/>
          <w:sz w:val="24"/>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54.</w:t>
      </w:r>
      <w:r w:rsidRPr="00632224">
        <w:rPr>
          <w:rFonts w:ascii="Arial TUR" w:hAnsi="Arial TUR" w:cs="FrankRuehl" w:hint="cs"/>
          <w:spacing w:val="10"/>
          <w:sz w:val="22"/>
          <w:szCs w:val="28"/>
          <w:rtl/>
        </w:rPr>
        <w:tab/>
      </w:r>
      <w:r w:rsidRPr="00632224">
        <w:rPr>
          <w:rFonts w:ascii="Century" w:hAnsi="Century" w:cs="Miriam" w:hint="cs"/>
          <w:b/>
          <w:sz w:val="22"/>
          <w:rtl/>
        </w:rPr>
        <w:t>אי שקילה של חריגים</w:t>
      </w:r>
      <w:r w:rsidRPr="00632224">
        <w:rPr>
          <w:rFonts w:ascii="Century" w:hAnsi="Century" w:cs="Miriam"/>
          <w:b/>
          <w:sz w:val="22"/>
          <w:rtl/>
        </w:rPr>
        <w:t>:</w:t>
      </w:r>
      <w:r w:rsidRPr="00632224">
        <w:rPr>
          <w:rFonts w:ascii="Arial TUR" w:hAnsi="Arial TUR" w:cs="FrankRuehl" w:hint="cs"/>
          <w:spacing w:val="10"/>
          <w:sz w:val="22"/>
          <w:szCs w:val="28"/>
          <w:rtl/>
        </w:rPr>
        <w:t xml:space="preserve"> האם אי שקילה של חריגים נכללת בעילת הסבירות? כך, לדוגמה, מדיניות שר הביטחון למנוע מתן היתר כניסה לישראל מרצועת עזה גם לצורך קבלת טיפול רפואי. נקבע כי מדיניות זו בעינה עומדת, אך עם זאת, יש לאפשר הכנסת פצוע שרגלו נקטעה ונדרש טיפול רפואי דחוף על מנת להציל את רגלו השניה:</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"עם זאת, כידוע, על הרשות המינהלית מוטלת החובה לבחון האם נסיבותיו המיוחדות והחריגות של המקרה </w:t>
      </w:r>
      <w:r w:rsidRPr="00632224">
        <w:rPr>
          <w:rFonts w:ascii="Arial TUR" w:hAnsi="Arial TUR" w:cs="FrankRuehl" w:hint="cs"/>
          <w:spacing w:val="10"/>
          <w:sz w:val="22"/>
          <w:szCs w:val="28"/>
          <w:rtl/>
        </w:rPr>
        <w:lastRenderedPageBreak/>
        <w:t xml:space="preserve">הנדון, אינן מצדיקות סטייה מהנהלים וההנחיות הכלליות [...] בנוסף לכך, הפעלת שיקול דעת לצורך יישומו של נוהל מינהלי בעניינו של אדם צריכה להתבצע לאחר בחינת נסיבותיו הקונקרטיות והרלוונטיות לשם קבלת ההחלטה. אף במקרים בהם מגבשת הרשות המינהלית מדיניות כללית, עליה לבחון האם ראוי ליישם אותה בשים לב למערכת העובדות בכל מקרה" (בג"ץ 2777/18 </w:t>
      </w:r>
      <w:r w:rsidRPr="00632224">
        <w:rPr>
          <w:rFonts w:ascii="Century" w:hAnsi="Century" w:cs="Miriam" w:hint="cs"/>
          <w:b/>
          <w:sz w:val="22"/>
          <w:rtl/>
        </w:rPr>
        <w:t>כרנז נ' מפקד כוחות צה"ל בעזה</w:t>
      </w:r>
      <w:r w:rsidRPr="00632224">
        <w:rPr>
          <w:rFonts w:ascii="Arial TUR" w:hAnsi="Arial TUR" w:cs="FrankRuehl" w:hint="cs"/>
          <w:spacing w:val="10"/>
          <w:sz w:val="22"/>
          <w:szCs w:val="28"/>
          <w:rtl/>
        </w:rPr>
        <w:t xml:space="preserve">, פסקה 8 לפסק דינה של השופטת </w:t>
      </w:r>
      <w:r w:rsidRPr="00632224">
        <w:rPr>
          <w:rFonts w:ascii="Century" w:hAnsi="Century" w:cs="Miriam" w:hint="eastAsia"/>
          <w:b/>
          <w:sz w:val="22"/>
          <w:rtl/>
        </w:rPr>
        <w:t>וילנר</w:t>
      </w:r>
      <w:r w:rsidRPr="00632224">
        <w:rPr>
          <w:rFonts w:ascii="Arial TUR" w:hAnsi="Arial TUR" w:cs="FrankRuehl" w:hint="cs"/>
          <w:spacing w:val="10"/>
          <w:sz w:val="22"/>
          <w:szCs w:val="28"/>
          <w:rtl/>
        </w:rPr>
        <w:t xml:space="preserve"> (16.4.2018)).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55.</w:t>
      </w:r>
      <w:r w:rsidRPr="00632224">
        <w:rPr>
          <w:rFonts w:ascii="Arial TUR" w:hAnsi="Arial TUR" w:cs="FrankRuehl" w:hint="cs"/>
          <w:spacing w:val="10"/>
          <w:sz w:val="22"/>
          <w:szCs w:val="28"/>
          <w:rtl/>
        </w:rPr>
        <w:tab/>
      </w:r>
      <w:r w:rsidRPr="00632224">
        <w:rPr>
          <w:rFonts w:ascii="Century" w:hAnsi="Century" w:cs="Miriam" w:hint="cs"/>
          <w:b/>
          <w:sz w:val="22"/>
          <w:rtl/>
        </w:rPr>
        <w:t xml:space="preserve">שיהוי מינהלי-בירוקרטי ומהירות בלתי סבירה: </w:t>
      </w:r>
      <w:r w:rsidRPr="00632224">
        <w:rPr>
          <w:rFonts w:ascii="Arial TUR" w:hAnsi="Arial TUR" w:cs="FrankRuehl" w:hint="cs"/>
          <w:spacing w:val="10"/>
          <w:sz w:val="22"/>
          <w:szCs w:val="28"/>
          <w:rtl/>
        </w:rPr>
        <w:t>סעיף 11 לחוק הפרשנות, התשמ"א-1981 קובע כלהלן:</w:t>
      </w:r>
    </w:p>
    <w:p w:rsidR="00244560" w:rsidRPr="00632224" w:rsidRDefault="00244560" w:rsidP="00244560">
      <w:pPr>
        <w:ind w:left="1644" w:right="1276"/>
        <w:jc w:val="both"/>
        <w:rPr>
          <w:rFonts w:ascii="Century" w:hAnsi="Century" w:cs="Miriam"/>
          <w:b/>
          <w:sz w:val="22"/>
          <w:shd w:val="clear" w:color="auto" w:fill="FFFFFF"/>
          <w:rtl/>
        </w:rPr>
      </w:pPr>
    </w:p>
    <w:p w:rsidR="00244560" w:rsidRPr="00632224" w:rsidRDefault="00244560" w:rsidP="00244560">
      <w:pPr>
        <w:keepNext/>
        <w:ind w:left="1644" w:right="1276"/>
        <w:jc w:val="both"/>
        <w:rPr>
          <w:rFonts w:ascii="Century" w:hAnsi="Century" w:cs="Miriam"/>
          <w:b/>
          <w:sz w:val="22"/>
          <w:shd w:val="clear" w:color="auto" w:fill="FFFFFF"/>
          <w:rtl/>
        </w:rPr>
      </w:pPr>
      <w:r w:rsidRPr="00632224">
        <w:rPr>
          <w:rFonts w:ascii="Century" w:hAnsi="Century" w:cs="Miriam" w:hint="eastAsia"/>
          <w:b/>
          <w:sz w:val="22"/>
          <w:shd w:val="clear" w:color="auto" w:fill="FFFFFF"/>
          <w:rtl/>
        </w:rPr>
        <w:t>מקום</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שלא</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נקבע</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זמן</w:t>
      </w:r>
    </w:p>
    <w:p w:rsidR="00244560" w:rsidRPr="00632224" w:rsidRDefault="00244560" w:rsidP="00244560">
      <w:pPr>
        <w:ind w:left="1644" w:right="1276"/>
        <w:jc w:val="both"/>
        <w:rPr>
          <w:rFonts w:cs="FrankRuehl"/>
          <w:color w:val="000000"/>
          <w:spacing w:val="10"/>
          <w:sz w:val="24"/>
          <w:szCs w:val="21"/>
          <w:shd w:val="clear" w:color="auto" w:fill="FFFFFF"/>
          <w:rtl/>
        </w:rPr>
      </w:pPr>
      <w:r w:rsidRPr="00632224">
        <w:rPr>
          <w:rFonts w:ascii="Century" w:hAnsi="Century" w:cs="FrankRuehl" w:hint="cs"/>
          <w:spacing w:val="10"/>
          <w:sz w:val="22"/>
          <w:szCs w:val="28"/>
          <w:shd w:val="clear" w:color="auto" w:fill="FFFFFF"/>
          <w:rtl/>
        </w:rPr>
        <w:t>11. ה</w:t>
      </w:r>
      <w:r w:rsidRPr="00632224">
        <w:rPr>
          <w:rFonts w:ascii="Century" w:hAnsi="Century" w:cs="FrankRuehl"/>
          <w:spacing w:val="10"/>
          <w:sz w:val="22"/>
          <w:szCs w:val="28"/>
          <w:shd w:val="clear" w:color="auto" w:fill="FFFFFF"/>
          <w:rtl/>
        </w:rPr>
        <w:t>סמכה או חיוב לעשות דבר, בלי קביעת זמן לעשייתו – משמעם שיש סמכות או חובה לעשותו במהירות הראויה ולחזור ולעשותו מזמן לזמן ככל הנדרש לפי הנסיבות</w:t>
      </w:r>
      <w:r w:rsidRPr="00632224">
        <w:rPr>
          <w:rFonts w:cs="FrankRuehl"/>
          <w:color w:val="000000"/>
          <w:spacing w:val="10"/>
          <w:sz w:val="24"/>
          <w:szCs w:val="21"/>
          <w:shd w:val="clear" w:color="auto" w:fill="FFFFFF"/>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מכאן חובתה של הרשות להפעיל סמכויותיה תוך זמן סביר. ובכלל, "סבירות משמעה גם עמידה בלוח זמנים סביר" </w:t>
      </w:r>
      <w:r w:rsidRPr="00632224">
        <w:rPr>
          <w:rFonts w:ascii="Century" w:hAnsi="Century" w:cs="FrankRuehl" w:hint="cs"/>
          <w:spacing w:val="10"/>
          <w:sz w:val="22"/>
          <w:szCs w:val="28"/>
          <w:rtl/>
        </w:rPr>
        <w:t>(</w:t>
      </w:r>
      <w:r w:rsidRPr="00632224">
        <w:rPr>
          <w:rFonts w:ascii="Century" w:hAnsi="Century" w:cs="FrankRuehl" w:hint="eastAsia"/>
          <w:spacing w:val="10"/>
          <w:sz w:val="22"/>
          <w:szCs w:val="28"/>
          <w:rtl/>
        </w:rPr>
        <w:t>בג</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ץ</w:t>
      </w:r>
      <w:r w:rsidRPr="00632224">
        <w:rPr>
          <w:rFonts w:ascii="Century" w:hAnsi="Century" w:cs="FrankRuehl"/>
          <w:spacing w:val="10"/>
          <w:sz w:val="22"/>
          <w:szCs w:val="28"/>
          <w:rtl/>
        </w:rPr>
        <w:t xml:space="preserve"> 6300/93</w:t>
      </w:r>
      <w:r w:rsidRPr="00632224">
        <w:rPr>
          <w:rFonts w:ascii="Century" w:hAnsi="Century" w:cs="FrankRuehl" w:hint="cs"/>
          <w:spacing w:val="10"/>
          <w:sz w:val="22"/>
          <w:szCs w:val="28"/>
          <w:rtl/>
        </w:rPr>
        <w:t xml:space="preserve"> </w:t>
      </w:r>
      <w:r w:rsidRPr="00632224">
        <w:rPr>
          <w:rFonts w:ascii="Century" w:hAnsi="Century" w:cs="Miriam" w:hint="cs"/>
          <w:b/>
          <w:sz w:val="22"/>
          <w:rtl/>
        </w:rPr>
        <w:t>המכון להכשרת טוענות בית דין נ' השר לענייני דתות</w:t>
      </w:r>
      <w:r w:rsidRPr="00632224">
        <w:rPr>
          <w:rFonts w:ascii="Century" w:hAnsi="Century" w:cs="FrankRuehl" w:hint="cs"/>
          <w:spacing w:val="10"/>
          <w:sz w:val="22"/>
          <w:szCs w:val="28"/>
          <w:rtl/>
        </w:rPr>
        <w:t>,</w:t>
      </w:r>
      <w:r w:rsidRPr="00632224">
        <w:rPr>
          <w:rFonts w:ascii="Arial TUR" w:hAnsi="Arial TUR" w:cs="FrankRuehl" w:hint="cs"/>
          <w:spacing w:val="10"/>
          <w:sz w:val="22"/>
          <w:szCs w:val="28"/>
          <w:rtl/>
        </w:rPr>
        <w:t xml:space="preserve"> פ"ד מח(4) 441, 451 (1994)). החובה של הרשות מינהלית שלא לפעול בשיהוי היא "מן המושכלות הראשונים של מינהל תקין" והיא נובעת מחובת הנאמנות וההגינות של הרשות המינהלית כלפי הציבור (בג"ץ 4630/17 </w:t>
      </w:r>
      <w:r w:rsidRPr="00632224">
        <w:rPr>
          <w:rFonts w:cs="FrankRuehl"/>
          <w:spacing w:val="10"/>
          <w:sz w:val="22"/>
          <w:szCs w:val="22"/>
        </w:rPr>
        <w:t>TAGAL</w:t>
      </w:r>
      <w:r w:rsidRPr="00632224">
        <w:rPr>
          <w:rFonts w:ascii="Arial TUR" w:hAnsi="Arial TUR" w:cs="FrankRuehl" w:hint="cs"/>
          <w:spacing w:val="10"/>
          <w:sz w:val="22"/>
          <w:szCs w:val="28"/>
          <w:rtl/>
        </w:rPr>
        <w:t xml:space="preserve"> </w:t>
      </w:r>
      <w:r w:rsidRPr="00632224">
        <w:rPr>
          <w:rFonts w:ascii="Century" w:hAnsi="Century" w:cs="Miriam" w:hint="cs"/>
          <w:b/>
          <w:sz w:val="22"/>
          <w:rtl/>
        </w:rPr>
        <w:t>נ' שר הפנים</w:t>
      </w:r>
      <w:r w:rsidRPr="00632224">
        <w:rPr>
          <w:rFonts w:ascii="Arial TUR" w:hAnsi="Arial TUR" w:cs="FrankRuehl" w:hint="cs"/>
          <w:spacing w:val="10"/>
          <w:sz w:val="22"/>
          <w:szCs w:val="28"/>
          <w:rtl/>
        </w:rPr>
        <w:t xml:space="preserve">, פסקה 16 לפסק דינה של הנשיאה </w:t>
      </w:r>
      <w:r w:rsidRPr="00632224">
        <w:rPr>
          <w:rFonts w:ascii="Century" w:hAnsi="Century" w:cs="Miriam" w:hint="cs"/>
          <w:b/>
          <w:sz w:val="22"/>
          <w:rtl/>
        </w:rPr>
        <w:t>חיות</w:t>
      </w:r>
      <w:r w:rsidRPr="00632224">
        <w:rPr>
          <w:rFonts w:ascii="Arial TUR" w:hAnsi="Arial TUR" w:cs="FrankRuehl" w:hint="cs"/>
          <w:spacing w:val="10"/>
          <w:sz w:val="22"/>
          <w:szCs w:val="28"/>
          <w:rtl/>
        </w:rPr>
        <w:t xml:space="preserve"> והאסמכתאות שם (25.4.2021)): "ככלל, במסגרת הביקורת על ההחלטה המינהלית, בית המשפט נדרש גם למימד הזמן" (</w:t>
      </w:r>
      <w:r w:rsidRPr="00632224">
        <w:rPr>
          <w:rFonts w:ascii="Century" w:hAnsi="Century" w:cs="FrankRuehl" w:hint="cs"/>
          <w:spacing w:val="10"/>
          <w:sz w:val="22"/>
          <w:szCs w:val="28"/>
          <w:rtl/>
        </w:rPr>
        <w:t xml:space="preserve">בג"ץ </w:t>
      </w:r>
      <w:r w:rsidRPr="00632224">
        <w:rPr>
          <w:rFonts w:ascii="Arial TUR" w:hAnsi="Arial TUR" w:cs="FrankRuehl"/>
          <w:spacing w:val="10"/>
          <w:sz w:val="28"/>
          <w:szCs w:val="28"/>
          <w:rtl/>
        </w:rPr>
        <w:t>5419/23</w:t>
      </w:r>
      <w:r w:rsidRPr="00632224">
        <w:rPr>
          <w:rFonts w:ascii="Century" w:hAnsi="Century" w:cs="FrankRuehl" w:hint="cs"/>
          <w:spacing w:val="10"/>
          <w:sz w:val="22"/>
          <w:szCs w:val="28"/>
          <w:rtl/>
        </w:rPr>
        <w:t xml:space="preserve"> </w:t>
      </w:r>
      <w:r w:rsidRPr="00632224">
        <w:rPr>
          <w:rFonts w:ascii="Century" w:hAnsi="Century" w:cs="Miriam"/>
          <w:b/>
          <w:sz w:val="22"/>
          <w:rtl/>
        </w:rPr>
        <w:t>אלו"ט - אגודה לאומית לילדים ובוגרים עם אוטיזם</w:t>
      </w:r>
      <w:r w:rsidRPr="00632224">
        <w:rPr>
          <w:rFonts w:ascii="Century" w:hAnsi="Century" w:cs="Miriam" w:hint="cs"/>
          <w:b/>
          <w:sz w:val="22"/>
          <w:rtl/>
        </w:rPr>
        <w:t xml:space="preserve"> נ' מנכ</w:t>
      </w:r>
      <w:r w:rsidRPr="00632224">
        <w:rPr>
          <w:rFonts w:ascii="Century" w:hAnsi="Century" w:cs="Miriam"/>
          <w:b/>
          <w:sz w:val="22"/>
          <w:rtl/>
        </w:rPr>
        <w:t>"</w:t>
      </w:r>
      <w:r w:rsidRPr="00632224">
        <w:rPr>
          <w:rFonts w:ascii="Century" w:hAnsi="Century" w:cs="Miriam" w:hint="cs"/>
          <w:b/>
          <w:sz w:val="22"/>
          <w:rtl/>
        </w:rPr>
        <w:t>ל משרד החינוך</w:t>
      </w:r>
      <w:r w:rsidRPr="00632224">
        <w:rPr>
          <w:rFonts w:ascii="Arial TUR" w:hAnsi="Arial TUR" w:cs="FrankRuehl" w:hint="cs"/>
          <w:spacing w:val="10"/>
          <w:sz w:val="22"/>
          <w:szCs w:val="28"/>
          <w:rtl/>
        </w:rPr>
        <w:t xml:space="preserve">, פסקה 19 לפסק דיני (20.8.2023); עוד לעניין החובה לפעול במהירות ראו גם בג"ץ 2832/96 </w:t>
      </w:r>
      <w:r w:rsidRPr="00632224">
        <w:rPr>
          <w:rFonts w:ascii="Century" w:hAnsi="Century" w:cs="Miriam" w:hint="cs"/>
          <w:b/>
          <w:sz w:val="22"/>
          <w:rtl/>
        </w:rPr>
        <w:t>בנאי נ' המועצה הארצית של לשכת עורכי הדין</w:t>
      </w:r>
      <w:r w:rsidRPr="00632224">
        <w:rPr>
          <w:rFonts w:ascii="Century" w:hAnsi="Century" w:cs="FrankRuehl" w:hint="cs"/>
          <w:spacing w:val="10"/>
          <w:sz w:val="22"/>
          <w:szCs w:val="28"/>
          <w:rtl/>
        </w:rPr>
        <w:t>, פ</w:t>
      </w:r>
      <w:r w:rsidRPr="00632224">
        <w:rPr>
          <w:rFonts w:ascii="Century" w:hAnsi="Century" w:cs="FrankRuehl"/>
          <w:spacing w:val="10"/>
          <w:sz w:val="22"/>
          <w:szCs w:val="28"/>
          <w:rtl/>
        </w:rPr>
        <w:t>"</w:t>
      </w:r>
      <w:r w:rsidRPr="00632224">
        <w:rPr>
          <w:rFonts w:ascii="Century" w:hAnsi="Century" w:cs="FrankRuehl" w:hint="cs"/>
          <w:spacing w:val="10"/>
          <w:sz w:val="22"/>
          <w:szCs w:val="28"/>
          <w:rtl/>
        </w:rPr>
        <w:t>ד נ(2)</w:t>
      </w:r>
      <w:r w:rsidRPr="00632224">
        <w:rPr>
          <w:rFonts w:ascii="Century" w:hAnsi="Century" w:cs="FrankRuehl"/>
          <w:spacing w:val="10"/>
          <w:sz w:val="22"/>
          <w:szCs w:val="28"/>
          <w:rtl/>
        </w:rPr>
        <w:t xml:space="preserve"> 582, 593 (1996)</w:t>
      </w:r>
      <w:r w:rsidRPr="00632224">
        <w:rPr>
          <w:rFonts w:ascii="Century" w:hAnsi="Century" w:cs="FrankRuehl" w:hint="cs"/>
          <w:spacing w:val="10"/>
          <w:sz w:val="22"/>
          <w:szCs w:val="28"/>
          <w:rtl/>
        </w:rPr>
        <w:t xml:space="preserve">; וכן </w:t>
      </w:r>
      <w:r w:rsidRPr="00632224">
        <w:rPr>
          <w:rFonts w:ascii="Century" w:hAnsi="Century" w:cs="Miriam" w:hint="eastAsia"/>
          <w:b/>
          <w:sz w:val="22"/>
          <w:rtl/>
        </w:rPr>
        <w:t>ברק</w:t>
      </w:r>
      <w:r w:rsidRPr="00632224">
        <w:rPr>
          <w:rFonts w:ascii="Century" w:hAnsi="Century" w:cs="Miriam"/>
          <w:b/>
          <w:sz w:val="22"/>
          <w:rtl/>
        </w:rPr>
        <w:t xml:space="preserve">-ארז משפט </w:t>
      </w:r>
      <w:r w:rsidRPr="00632224">
        <w:rPr>
          <w:rFonts w:ascii="Century" w:hAnsi="Century" w:cs="Miriam" w:hint="eastAsia"/>
          <w:b/>
          <w:sz w:val="22"/>
          <w:rtl/>
        </w:rPr>
        <w:t>מינהלי</w:t>
      </w:r>
      <w:r w:rsidRPr="00632224">
        <w:rPr>
          <w:rFonts w:ascii="Century" w:hAnsi="Century" w:cs="FrankRuehl" w:hint="cs"/>
          <w:spacing w:val="10"/>
          <w:sz w:val="22"/>
          <w:szCs w:val="28"/>
          <w:rtl/>
        </w:rPr>
        <w:t>,</w:t>
      </w:r>
      <w:r w:rsidRPr="00632224">
        <w:rPr>
          <w:rFonts w:ascii="Century" w:hAnsi="Century" w:cs="Miriam"/>
          <w:b/>
          <w:sz w:val="22"/>
          <w:rtl/>
        </w:rPr>
        <w:t xml:space="preserve"> </w:t>
      </w:r>
      <w:r w:rsidRPr="00632224">
        <w:rPr>
          <w:rFonts w:ascii="Century" w:hAnsi="Century" w:cs="FrankRuehl" w:hint="eastAsia"/>
          <w:spacing w:val="10"/>
          <w:sz w:val="22"/>
          <w:szCs w:val="28"/>
          <w:rtl/>
        </w:rPr>
        <w:t>כרך</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w:t>
      </w:r>
      <w:r w:rsidRPr="00632224">
        <w:rPr>
          <w:rFonts w:ascii="Century" w:hAnsi="Century" w:cs="FrankRuehl" w:hint="cs"/>
          <w:spacing w:val="10"/>
          <w:sz w:val="22"/>
          <w:szCs w:val="28"/>
          <w:rtl/>
        </w:rPr>
        <w:t xml:space="preserve"> בעמ'</w:t>
      </w:r>
      <w:r w:rsidRPr="00632224">
        <w:rPr>
          <w:rFonts w:ascii="Century" w:hAnsi="Century" w:cs="FrankRuehl"/>
          <w:spacing w:val="10"/>
          <w:sz w:val="22"/>
          <w:szCs w:val="28"/>
          <w:rtl/>
        </w:rPr>
        <w:t xml:space="preserve"> 355 </w:t>
      </w:r>
      <w:r w:rsidRPr="00632224">
        <w:rPr>
          <w:rFonts w:ascii="Century" w:hAnsi="Century" w:cs="FrankRuehl" w:hint="eastAsia"/>
          <w:spacing w:val="10"/>
          <w:sz w:val="22"/>
          <w:szCs w:val="28"/>
          <w:rtl/>
        </w:rPr>
        <w:t>ואילך</w:t>
      </w:r>
      <w:r w:rsidRPr="00632224">
        <w:rPr>
          <w:rFonts w:ascii="Century" w:hAnsi="Century" w:cs="FrankRuehl"/>
          <w:spacing w:val="10"/>
          <w:sz w:val="22"/>
          <w:szCs w:val="28"/>
          <w:rtl/>
        </w:rPr>
        <w:t>).</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אי מתן החלטה תוך זמן סביר ושיהוי בירוקרטי נבחנו אף הם באספקלריה של עילת הסבירות. כך, </w:t>
      </w:r>
      <w:r w:rsidRPr="00632224">
        <w:rPr>
          <w:rFonts w:ascii="Century" w:hAnsi="Century" w:cs="FrankRuehl" w:hint="cs"/>
          <w:spacing w:val="10"/>
          <w:sz w:val="22"/>
          <w:szCs w:val="28"/>
          <w:rtl/>
        </w:rPr>
        <w:t xml:space="preserve">בעניין </w:t>
      </w:r>
      <w:r w:rsidRPr="00632224">
        <w:rPr>
          <w:rFonts w:ascii="Century" w:hAnsi="Century" w:cs="Miriam" w:hint="cs"/>
          <w:b/>
          <w:sz w:val="22"/>
          <w:rtl/>
        </w:rPr>
        <w:t xml:space="preserve">סטמקה </w:t>
      </w:r>
      <w:r w:rsidRPr="00632224">
        <w:rPr>
          <w:rFonts w:ascii="Arial TUR" w:hAnsi="Arial TUR" w:cs="FrankRuehl" w:hint="cs"/>
          <w:spacing w:val="10"/>
          <w:sz w:val="22"/>
          <w:szCs w:val="28"/>
          <w:rtl/>
        </w:rPr>
        <w:t xml:space="preserve">נקבע כי פרק הזמן הממושך שנקבע בנוהל משרד הפנים הוא ארוך מאוד וכי מדיניותו של שר הפנים אינה עומדת במבחן המידתיות והיא בלתי סבירה: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שר הפנים קנה שיקול</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 xml:space="preserve">דעת כיצד ואימתי יחליט, ואולם, קביעת מסגרת של שש שנים בקירוב – לא עוד אלא מסגרת נוקשה – עד שנכון הוא להתחיל ולדון בבקשת </w:t>
      </w:r>
      <w:r w:rsidRPr="00632224">
        <w:rPr>
          <w:rFonts w:ascii="Arial TUR" w:hAnsi="Arial TUR" w:cs="FrankRuehl"/>
          <w:spacing w:val="10"/>
          <w:sz w:val="22"/>
          <w:szCs w:val="28"/>
          <w:rtl/>
        </w:rPr>
        <w:lastRenderedPageBreak/>
        <w:t>ההתאזרחות של בן</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הזוג הזר, מעבירה את שיקול</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דעתו של שר הפנים אל</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מעבר לגבולות שהושמו לסמכותו. אכן, במסגרת שיקול</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הדעת מוסמך השר לקבוע פרק</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זמן מינימלי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פז"מ</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בלשון הבריות); זה דרכו של עולם, שרשות מוסמכת קובעת לעצמה הנחיות למקרה הממוצע. ואולם הנחיות שהשר קבע לעצמו </w:t>
      </w:r>
      <w:r w:rsidRPr="00632224">
        <w:rPr>
          <w:rFonts w:ascii="Century" w:hAnsi="Century" w:cs="Miriam"/>
          <w:b/>
          <w:sz w:val="22"/>
          <w:rtl/>
        </w:rPr>
        <w:t>אינן עומדות במבחן הסבירות</w:t>
      </w:r>
      <w:r w:rsidRPr="00632224">
        <w:rPr>
          <w:rFonts w:ascii="Arial TUR" w:hAnsi="Arial TUR" w:cs="FrankRuehl"/>
          <w:spacing w:val="10"/>
          <w:sz w:val="22"/>
          <w:szCs w:val="28"/>
          <w:rtl/>
        </w:rPr>
        <w:t xml:space="preserve"> והמידתיות</w:t>
      </w:r>
      <w:r w:rsidRPr="00632224">
        <w:rPr>
          <w:rFonts w:ascii="Arial TUR" w:hAnsi="Arial TUR" w:cs="FrankRuehl" w:hint="cs"/>
          <w:spacing w:val="10"/>
          <w:sz w:val="22"/>
          <w:szCs w:val="28"/>
          <w:rtl/>
        </w:rPr>
        <w:t>" (</w:t>
      </w:r>
      <w:r w:rsidRPr="00632224">
        <w:rPr>
          <w:rFonts w:ascii="Century" w:hAnsi="Century" w:cs="Miriam" w:hint="eastAsia"/>
          <w:b/>
          <w:sz w:val="22"/>
          <w:rtl/>
        </w:rPr>
        <w:t>שם</w:t>
      </w:r>
      <w:r w:rsidRPr="00632224">
        <w:rPr>
          <w:rFonts w:ascii="Arial TUR" w:hAnsi="Arial TUR" w:cs="FrankRuehl" w:hint="cs"/>
          <w:spacing w:val="10"/>
          <w:sz w:val="22"/>
          <w:szCs w:val="28"/>
          <w:rtl/>
        </w:rPr>
        <w:t xml:space="preserve">, בעמ' 794,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r w:rsidRPr="00632224">
        <w:rPr>
          <w:rFonts w:ascii="Arial TUR" w:hAnsi="Arial TUR" w:cs="FrankRuehl"/>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לכן, הורה בית המשפט שם כי:</w:t>
      </w:r>
    </w:p>
    <w:p w:rsidR="00244560" w:rsidRPr="00632224" w:rsidRDefault="00244560" w:rsidP="00244560">
      <w:pPr>
        <w:keepNext/>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אשר להתאזרחותו של בן</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הזוג הזר: שר הפנים מוסמך לקבוע מדיניות – אשר תפורסם – ולפיה יזכה בן</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 xml:space="preserve">הזוג הזר באזרחות </w:t>
      </w:r>
      <w:r w:rsidRPr="00632224">
        <w:rPr>
          <w:rFonts w:ascii="Century" w:hAnsi="Century" w:cs="Miriam"/>
          <w:b/>
          <w:sz w:val="22"/>
          <w:rtl/>
        </w:rPr>
        <w:t>בתום תקופת זמן סבירה</w:t>
      </w:r>
      <w:r w:rsidRPr="00632224">
        <w:rPr>
          <w:rFonts w:ascii="Arial TUR" w:hAnsi="Arial TUR" w:cs="FrankRuehl"/>
          <w:spacing w:val="10"/>
          <w:sz w:val="22"/>
          <w:szCs w:val="28"/>
          <w:rtl/>
        </w:rPr>
        <w:t xml:space="preserve"> שתיקבע ובהתמלא התנאים המוקדמים הנדרשים</w:t>
      </w:r>
      <w:r w:rsidRPr="00632224">
        <w:rPr>
          <w:rFonts w:ascii="Arial TUR" w:hAnsi="Arial TUR" w:cs="FrankRuehl" w:hint="cs"/>
          <w:spacing w:val="10"/>
          <w:sz w:val="22"/>
          <w:szCs w:val="28"/>
          <w:rtl/>
        </w:rPr>
        <w:t>" (</w:t>
      </w:r>
      <w:r w:rsidRPr="00632224">
        <w:rPr>
          <w:rFonts w:ascii="Century" w:hAnsi="Century" w:cs="Miriam" w:hint="eastAsia"/>
          <w:b/>
          <w:sz w:val="22"/>
          <w:rtl/>
        </w:rPr>
        <w:t>שם</w:t>
      </w:r>
      <w:r w:rsidRPr="00632224">
        <w:rPr>
          <w:rFonts w:ascii="Arial TUR" w:hAnsi="Arial TUR" w:cs="FrankRuehl" w:hint="cs"/>
          <w:spacing w:val="10"/>
          <w:sz w:val="22"/>
          <w:szCs w:val="28"/>
          <w:rtl/>
        </w:rPr>
        <w:t xml:space="preserve">, בעמ' </w:t>
      </w:r>
      <w:r w:rsidRPr="00632224">
        <w:rPr>
          <w:rFonts w:ascii="Arial TUR" w:hAnsi="Arial TUR" w:cs="FrankRuehl"/>
          <w:spacing w:val="10"/>
          <w:sz w:val="22"/>
          <w:szCs w:val="28"/>
          <w:rtl/>
        </w:rPr>
        <w:t xml:space="preserve">796, </w:t>
      </w:r>
      <w:r w:rsidRPr="00632224">
        <w:rPr>
          <w:rFonts w:ascii="Arial TUR" w:hAnsi="Arial TUR" w:cs="FrankRuehl" w:hint="eastAsia"/>
          <w:spacing w:val="10"/>
          <w:sz w:val="22"/>
          <w:szCs w:val="28"/>
          <w:rtl/>
        </w:rPr>
        <w:t>הדגשה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הוספה</w:t>
      </w:r>
      <w:r w:rsidRPr="00632224">
        <w:rPr>
          <w:rFonts w:ascii="Arial TUR" w:hAnsi="Arial TUR" w:cs="FrankRuehl"/>
          <w:spacing w:val="10"/>
          <w:sz w:val="22"/>
          <w:szCs w:val="28"/>
          <w:rtl/>
        </w:rPr>
        <w:t xml:space="preserve"> – </w:t>
      </w:r>
      <w:r w:rsidRPr="00632224">
        <w:rPr>
          <w:rFonts w:ascii="Arial TUR" w:hAnsi="Arial TUR" w:cs="FrankRuehl" w:hint="eastAsia"/>
          <w:spacing w:val="10"/>
          <w:sz w:val="22"/>
          <w:szCs w:val="28"/>
          <w:rtl/>
        </w:rPr>
        <w:t>י</w:t>
      </w:r>
      <w:r w:rsidRPr="00632224">
        <w:rPr>
          <w:rFonts w:ascii="Arial TUR" w:hAnsi="Arial TUR" w:cs="FrankRuehl"/>
          <w:spacing w:val="10"/>
          <w:sz w:val="22"/>
          <w:szCs w:val="28"/>
          <w:rtl/>
        </w:rPr>
        <w:t>"</w:t>
      </w:r>
      <w:r w:rsidRPr="00632224">
        <w:rPr>
          <w:rFonts w:ascii="Arial TUR" w:hAnsi="Arial TUR" w:cs="FrankRuehl" w:hint="eastAsia"/>
          <w:spacing w:val="10"/>
          <w:sz w:val="22"/>
          <w:szCs w:val="28"/>
          <w:rtl/>
        </w:rPr>
        <w:t>ע</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גם דרישות בירוקרטיות כמו חובת הצגת מסמכים שונים, היקף הבדיקה וזמן הבדיקה, נבחנים תחת עילת הסבירות (בג"ץ 7139/02 </w:t>
      </w:r>
      <w:r w:rsidRPr="00632224">
        <w:rPr>
          <w:rFonts w:ascii="Century" w:hAnsi="Century" w:cs="Miriam" w:hint="cs"/>
          <w:b/>
          <w:sz w:val="22"/>
          <w:rtl/>
        </w:rPr>
        <w:t>עבאס-בצה נ' שר הפנים</w:t>
      </w:r>
      <w:r w:rsidRPr="00632224">
        <w:rPr>
          <w:rFonts w:ascii="Arial TUR" w:hAnsi="Arial TUR" w:cs="FrankRuehl" w:hint="cs"/>
          <w:spacing w:val="10"/>
          <w:sz w:val="22"/>
          <w:szCs w:val="28"/>
          <w:rtl/>
        </w:rPr>
        <w:t>, פ"ד נז(3) 481, 489-488 (2003)), וכן:</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Century" w:hAnsi="Century" w:cs="FrankRuehl" w:hint="cs"/>
          <w:spacing w:val="10"/>
          <w:sz w:val="22"/>
          <w:szCs w:val="28"/>
          <w:rtl/>
        </w:rPr>
        <w:t xml:space="preserve">"אשר לפן העקרוני, </w:t>
      </w:r>
      <w:r w:rsidRPr="00632224">
        <w:rPr>
          <w:rFonts w:ascii="Century" w:hAnsi="Century" w:cs="Miriam" w:hint="cs"/>
          <w:b/>
          <w:sz w:val="22"/>
          <w:rtl/>
        </w:rPr>
        <w:t>אין אנו מוצאים כי מדיניות המשיב לוקה באי סבירות המצדיקה התערבותנו</w:t>
      </w:r>
      <w:r w:rsidRPr="00632224">
        <w:rPr>
          <w:rFonts w:ascii="Century" w:hAnsi="Century" w:cs="FrankRuehl" w:hint="cs"/>
          <w:spacing w:val="10"/>
          <w:sz w:val="22"/>
          <w:szCs w:val="28"/>
          <w:rtl/>
        </w:rPr>
        <w:t xml:space="preserve">. הזמן החולף מאז הגשת בקשה ועד לאישורה, דרוש כדי לקבל את המסמכים הנחוצים ולצבור את המידע המלא הדרוש כדי </w:t>
      </w:r>
      <w:r w:rsidRPr="00632224">
        <w:rPr>
          <w:rFonts w:ascii="Century" w:hAnsi="Century" w:cs="FrankRuehl" w:hint="eastAsia"/>
          <w:spacing w:val="10"/>
          <w:sz w:val="22"/>
          <w:szCs w:val="28"/>
          <w:rtl/>
        </w:rPr>
        <w:t>להחליט</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ליתן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האישור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לאו</w:t>
      </w:r>
      <w:r w:rsidRPr="00632224">
        <w:rPr>
          <w:rFonts w:ascii="Century" w:hAnsi="Century" w:cs="FrankRuehl" w:hint="cs"/>
          <w:spacing w:val="10"/>
          <w:sz w:val="22"/>
          <w:szCs w:val="28"/>
          <w:rtl/>
        </w:rPr>
        <w:t>"</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בג</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ץ</w:t>
      </w:r>
      <w:r w:rsidRPr="00632224">
        <w:rPr>
          <w:rFonts w:ascii="Century" w:hAnsi="Century" w:cs="FrankRuehl"/>
          <w:spacing w:val="10"/>
          <w:sz w:val="22"/>
          <w:szCs w:val="28"/>
          <w:rtl/>
        </w:rPr>
        <w:t xml:space="preserve"> 5315/02 </w:t>
      </w:r>
      <w:r w:rsidRPr="00632224">
        <w:rPr>
          <w:rFonts w:ascii="Century" w:hAnsi="Century" w:cs="Miriam" w:hint="eastAsia"/>
          <w:b/>
          <w:sz w:val="22"/>
          <w:rtl/>
        </w:rPr>
        <w:t>חתו</w:t>
      </w:r>
      <w:r w:rsidRPr="00632224">
        <w:rPr>
          <w:rFonts w:ascii="Century" w:hAnsi="Century" w:cs="Miriam"/>
          <w:b/>
          <w:sz w:val="22"/>
          <w:rtl/>
        </w:rPr>
        <w:t xml:space="preserve"> </w:t>
      </w:r>
      <w:r w:rsidRPr="00632224">
        <w:rPr>
          <w:rFonts w:ascii="Century" w:hAnsi="Century" w:cs="Miriam" w:hint="eastAsia"/>
          <w:b/>
          <w:sz w:val="22"/>
          <w:rtl/>
        </w:rPr>
        <w:t>נ</w:t>
      </w:r>
      <w:r w:rsidRPr="00632224">
        <w:rPr>
          <w:rFonts w:ascii="Century" w:hAnsi="Century" w:cs="Miriam"/>
          <w:b/>
          <w:sz w:val="22"/>
          <w:rtl/>
        </w:rPr>
        <w:t xml:space="preserve">' </w:t>
      </w:r>
      <w:r w:rsidRPr="00632224">
        <w:rPr>
          <w:rFonts w:ascii="Century" w:hAnsi="Century" w:cs="Miriam" w:hint="eastAsia"/>
          <w:b/>
          <w:sz w:val="22"/>
          <w:rtl/>
        </w:rPr>
        <w:t>שר</w:t>
      </w:r>
      <w:r w:rsidRPr="00632224">
        <w:rPr>
          <w:rFonts w:ascii="Century" w:hAnsi="Century" w:cs="Miriam"/>
          <w:b/>
          <w:sz w:val="22"/>
          <w:rtl/>
        </w:rPr>
        <w:t xml:space="preserve"> </w:t>
      </w:r>
      <w:r w:rsidRPr="00632224">
        <w:rPr>
          <w:rFonts w:ascii="Century" w:hAnsi="Century" w:cs="Miriam" w:hint="eastAsia"/>
          <w:b/>
          <w:sz w:val="22"/>
          <w:rtl/>
        </w:rPr>
        <w:t>הפנים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פסקה</w:t>
      </w:r>
      <w:r w:rsidRPr="00632224">
        <w:rPr>
          <w:rFonts w:ascii="Century" w:hAnsi="Century" w:cs="FrankRuehl"/>
          <w:spacing w:val="10"/>
          <w:sz w:val="22"/>
          <w:szCs w:val="28"/>
          <w:rtl/>
        </w:rPr>
        <w:t xml:space="preserve"> 2 (4.12.2002)</w:t>
      </w:r>
      <w:r w:rsidRPr="00632224">
        <w:rPr>
          <w:rFonts w:ascii="Century" w:hAnsi="Century" w:cs="FrankRuehl" w:hint="cs"/>
          <w:spacing w:val="10"/>
          <w:sz w:val="22"/>
          <w:szCs w:val="28"/>
          <w:rtl/>
        </w:rPr>
        <w:t xml:space="preserve"> (הדגשה הוספה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י"ע)</w:t>
      </w:r>
      <w:r w:rsidRPr="00632224">
        <w:rPr>
          <w:rFonts w:ascii="Century" w:hAnsi="Century" w:cs="FrankRuehl"/>
          <w:spacing w:val="10"/>
          <w:sz w:val="22"/>
          <w:szCs w:val="28"/>
          <w:rtl/>
        </w:rPr>
        <w:t>).</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Century" w:hAnsi="Century" w:cs="FrankRuehl"/>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eastAsia"/>
          <w:spacing w:val="10"/>
          <w:sz w:val="22"/>
          <w:szCs w:val="28"/>
          <w:rtl/>
        </w:rPr>
        <w:t>בניגוד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למופע</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hint="cs"/>
          <w:spacing w:val="10"/>
          <w:sz w:val="22"/>
          <w:szCs w:val="28"/>
          <w:rtl/>
        </w:rPr>
        <w:t xml:space="preserve"> שיהוי, אנו מוצאים גם תתי-מופעים של מהירות בלתי סבירה. כך, כאשר הרשות נועצת בגורם אחר, עליה "</w:t>
      </w:r>
      <w:r w:rsidRPr="00632224">
        <w:rPr>
          <w:rFonts w:ascii="Arial TUR" w:hAnsi="Arial TUR" w:cs="FrankRuehl"/>
          <w:spacing w:val="10"/>
          <w:sz w:val="22"/>
          <w:szCs w:val="28"/>
          <w:rtl/>
        </w:rPr>
        <w:t>ליתן לגוף המייעץ שהות ראויה למחשבה ולשיקול עד שיחויב ליתן את עצתו</w:t>
      </w:r>
      <w:r w:rsidRPr="00632224">
        <w:rPr>
          <w:rFonts w:ascii="Arial TUR" w:hAnsi="Arial TUR" w:cs="FrankRuehl" w:hint="cs"/>
          <w:spacing w:val="10"/>
          <w:sz w:val="22"/>
          <w:szCs w:val="28"/>
          <w:rtl/>
        </w:rPr>
        <w:t xml:space="preserve">" (בג"ץ 5933/98 </w:t>
      </w:r>
      <w:r w:rsidRPr="00632224">
        <w:rPr>
          <w:rFonts w:ascii="Century" w:hAnsi="Century" w:cs="Miriam" w:hint="cs"/>
          <w:b/>
          <w:sz w:val="22"/>
          <w:rtl/>
        </w:rPr>
        <w:t>פורום היוצרים הדוקומנטריים נ' נשיא המדינה</w:t>
      </w:r>
      <w:r w:rsidRPr="00632224">
        <w:rPr>
          <w:rFonts w:ascii="Arial TUR" w:hAnsi="Arial TUR" w:cs="FrankRuehl" w:hint="cs"/>
          <w:spacing w:val="10"/>
          <w:sz w:val="22"/>
          <w:szCs w:val="28"/>
          <w:rtl/>
        </w:rPr>
        <w:t xml:space="preserve">, פ"ד נד(3) 496, 520 (2000)). וכאשר בשימוע עסקינן, הרי שכחלק מעקרונות הצדק הטבעי, על הרשות ליתן זמן סביר על מנת לאפשר לבעל הזכות להיערך כדבעי: "חובתה של הרשות היא לתת למי שעלול להיפגע מהחלטתה הזדמנות הוגנת וסבירה להשמיע את טענותיו" (בג"ץ 3379/03 </w:t>
      </w:r>
      <w:r w:rsidRPr="00632224">
        <w:rPr>
          <w:rFonts w:ascii="Century" w:hAnsi="Century" w:cs="Miriam" w:hint="cs"/>
          <w:b/>
          <w:sz w:val="22"/>
          <w:rtl/>
        </w:rPr>
        <w:t>מוסטקי נ' פרקליטות המדינה</w:t>
      </w:r>
      <w:r w:rsidRPr="00632224">
        <w:rPr>
          <w:rFonts w:ascii="Arial TUR" w:hAnsi="Arial TUR" w:cs="FrankRuehl" w:hint="cs"/>
          <w:spacing w:val="10"/>
          <w:sz w:val="22"/>
          <w:szCs w:val="28"/>
          <w:rtl/>
        </w:rPr>
        <w:t>, פ"ד נח(3) 865, 890-</w:t>
      </w:r>
      <w:r w:rsidRPr="00632224">
        <w:rPr>
          <w:rFonts w:ascii="Arial TUR" w:hAnsi="Arial TUR" w:cs="FrankRuehl"/>
          <w:spacing w:val="10"/>
          <w:sz w:val="22"/>
          <w:szCs w:val="28"/>
          <w:rtl/>
        </w:rPr>
        <w:t xml:space="preserve">889 (2004)). </w:t>
      </w:r>
    </w:p>
    <w:p w:rsidR="00244560" w:rsidRPr="00632224" w:rsidRDefault="00244560" w:rsidP="00244560">
      <w:pPr>
        <w:tabs>
          <w:tab w:val="left" w:pos="800"/>
        </w:tabs>
        <w:spacing w:line="360" w:lineRule="auto"/>
        <w:jc w:val="both"/>
        <w:rPr>
          <w:rFonts w:cs="FrankRuehl"/>
          <w:spacing w:val="10"/>
          <w:sz w:val="24"/>
          <w:szCs w:val="28"/>
        </w:rPr>
      </w:pPr>
    </w:p>
    <w:p w:rsidR="00244560" w:rsidRPr="00632224" w:rsidRDefault="00244560" w:rsidP="00244560">
      <w:pPr>
        <w:keepNext/>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lastRenderedPageBreak/>
        <w:t>56.</w:t>
      </w:r>
      <w:r w:rsidRPr="00632224">
        <w:rPr>
          <w:rFonts w:ascii="Century" w:hAnsi="Century" w:cs="FrankRuehl" w:hint="cs"/>
          <w:spacing w:val="10"/>
          <w:sz w:val="22"/>
          <w:szCs w:val="28"/>
          <w:rtl/>
        </w:rPr>
        <w:tab/>
      </w:r>
      <w:r w:rsidRPr="00632224">
        <w:rPr>
          <w:rFonts w:ascii="Century" w:hAnsi="Century" w:cs="Miriam" w:hint="eastAsia"/>
          <w:b/>
          <w:sz w:val="22"/>
          <w:rtl/>
        </w:rPr>
        <w:t xml:space="preserve"> החלטה</w:t>
      </w:r>
      <w:r w:rsidRPr="00632224">
        <w:rPr>
          <w:rFonts w:ascii="Century" w:hAnsi="Century" w:cs="Miriam"/>
          <w:b/>
          <w:sz w:val="22"/>
          <w:rtl/>
        </w:rPr>
        <w:t xml:space="preserve"> </w:t>
      </w:r>
      <w:r w:rsidRPr="00632224">
        <w:rPr>
          <w:rFonts w:ascii="Century" w:hAnsi="Century" w:cs="Miriam" w:hint="eastAsia"/>
          <w:b/>
          <w:sz w:val="22"/>
          <w:rtl/>
        </w:rPr>
        <w:t>להימנע</w:t>
      </w:r>
      <w:r w:rsidRPr="00632224">
        <w:rPr>
          <w:rFonts w:ascii="Century" w:hAnsi="Century" w:cs="Miriam"/>
          <w:b/>
          <w:sz w:val="22"/>
          <w:rtl/>
        </w:rPr>
        <w:t xml:space="preserve"> </w:t>
      </w:r>
      <w:r w:rsidRPr="00632224">
        <w:rPr>
          <w:rFonts w:ascii="Century" w:hAnsi="Century" w:cs="Miriam" w:hint="eastAsia"/>
          <w:b/>
          <w:sz w:val="22"/>
          <w:rtl/>
        </w:rPr>
        <w:t>מלהחליט</w:t>
      </w:r>
      <w:r w:rsidRPr="00632224">
        <w:rPr>
          <w:rFonts w:ascii="Century" w:hAnsi="Century" w:cs="Miriam"/>
          <w:b/>
          <w:sz w:val="22"/>
          <w:rtl/>
        </w:rPr>
        <w:t>:</w:t>
      </w:r>
      <w:r w:rsidRPr="00632224">
        <w:rPr>
          <w:rFonts w:ascii="Century" w:hAnsi="Century" w:cs="FrankRuehl" w:hint="cs"/>
          <w:spacing w:val="10"/>
          <w:sz w:val="22"/>
          <w:szCs w:val="28"/>
          <w:rtl/>
        </w:rPr>
        <w:t xml:space="preserve"> </w:t>
      </w:r>
      <w:r w:rsidRPr="00632224">
        <w:rPr>
          <w:rFonts w:ascii="Arial TUR" w:hAnsi="Arial TUR" w:cs="FrankRuehl" w:hint="cs"/>
          <w:spacing w:val="10"/>
          <w:sz w:val="22"/>
          <w:szCs w:val="28"/>
          <w:rtl/>
        </w:rPr>
        <w:t>אי הפעלת סמכות נחשבה מאז ומתמיד כמופע שנכלל בעילת הסבירות:</w:t>
      </w:r>
    </w:p>
    <w:p w:rsidR="00244560" w:rsidRPr="00632224" w:rsidRDefault="00244560" w:rsidP="00244560">
      <w:pPr>
        <w:keepNext/>
        <w:tabs>
          <w:tab w:val="left" w:pos="800"/>
        </w:tabs>
        <w:ind w:left="1643" w:right="1276"/>
        <w:jc w:val="both"/>
        <w:rPr>
          <w:rFonts w:ascii="Arial TUR" w:hAnsi="Arial TUR" w:cs="FrankRuehl"/>
          <w:spacing w:val="10"/>
          <w:sz w:val="22"/>
          <w:szCs w:val="28"/>
          <w:rtl/>
        </w:rPr>
      </w:pPr>
    </w:p>
    <w:p w:rsidR="00244560" w:rsidRPr="00632224" w:rsidRDefault="00244560" w:rsidP="00244560">
      <w:pPr>
        <w:tabs>
          <w:tab w:val="left" w:pos="800"/>
        </w:tabs>
        <w:ind w:left="1643"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"חובתה של רשות לשרת את האינטרס הציבורי משמיעה לנו גם </w:t>
      </w:r>
      <w:r w:rsidRPr="00632224">
        <w:rPr>
          <w:rFonts w:ascii="Century" w:hAnsi="Century" w:cs="FrankRuehl" w:hint="cs"/>
          <w:spacing w:val="10"/>
          <w:sz w:val="22"/>
          <w:szCs w:val="28"/>
          <w:rtl/>
        </w:rPr>
        <w:t>את החובה לטפל בבקשותיהם של אזרחים בתוך זמן סביר</w:t>
      </w:r>
      <w:r w:rsidRPr="00632224">
        <w:rPr>
          <w:rFonts w:ascii="Arial TUR" w:hAnsi="Arial TUR" w:cs="FrankRuehl" w:hint="cs"/>
          <w:spacing w:val="10"/>
          <w:sz w:val="22"/>
          <w:szCs w:val="28"/>
          <w:rtl/>
        </w:rPr>
        <w:t xml:space="preserve"> [...]. עם זאת, שיקול הדעת הרחב המסור למדינה בקבלת ההחלטה אינו יכול לשמש תירוץ </w:t>
      </w:r>
      <w:r w:rsidRPr="00632224">
        <w:rPr>
          <w:rFonts w:ascii="Arial TUR" w:hAnsi="Arial TUR" w:cs="FrankRuehl" w:hint="eastAsia"/>
          <w:spacing w:val="10"/>
          <w:sz w:val="22"/>
          <w:szCs w:val="28"/>
          <w:rtl/>
        </w:rPr>
        <w:t>לאי</w:t>
      </w:r>
      <w:r w:rsidRPr="00632224">
        <w:rPr>
          <w:rFonts w:ascii="Arial TUR" w:hAnsi="Arial TUR" w:cs="FrankRuehl"/>
          <w:spacing w:val="10"/>
          <w:sz w:val="22"/>
          <w:szCs w:val="28"/>
          <w:rtl/>
        </w:rPr>
        <w:t>-</w:t>
      </w:r>
      <w:r w:rsidRPr="00632224">
        <w:rPr>
          <w:rFonts w:ascii="Arial TUR" w:hAnsi="Arial TUR" w:cs="FrankRuehl" w:hint="eastAsia"/>
          <w:spacing w:val="10"/>
          <w:sz w:val="22"/>
          <w:szCs w:val="28"/>
          <w:rtl/>
        </w:rPr>
        <w:t>הפעלת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שיקול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דעת</w:t>
      </w:r>
      <w:r w:rsidRPr="00632224">
        <w:rPr>
          <w:rFonts w:ascii="Arial TUR" w:hAnsi="Arial TUR" w:cs="FrankRuehl" w:hint="cs"/>
          <w:spacing w:val="10"/>
          <w:sz w:val="22"/>
          <w:szCs w:val="28"/>
          <w:rtl/>
        </w:rPr>
        <w:t xml:space="preserve">, ולהימנעות מקבלתה בפרק זמן סביר" (בג"ץ 5435/14 </w:t>
      </w:r>
      <w:r w:rsidRPr="00632224">
        <w:rPr>
          <w:rFonts w:ascii="Century" w:hAnsi="Century" w:cs="Miriam" w:hint="cs"/>
          <w:b/>
          <w:sz w:val="22"/>
          <w:rtl/>
        </w:rPr>
        <w:t>עמותת כפר דהמש נ' ממשלת ישראל</w:t>
      </w:r>
      <w:r w:rsidRPr="00632224">
        <w:rPr>
          <w:rFonts w:ascii="Arial TUR" w:hAnsi="Arial TUR" w:cs="FrankRuehl" w:hint="cs"/>
          <w:spacing w:val="10"/>
          <w:sz w:val="22"/>
          <w:szCs w:val="28"/>
          <w:rtl/>
        </w:rPr>
        <w:t xml:space="preserve">, פסקה 15 לפסק דינה של הנשיאה </w:t>
      </w:r>
      <w:r w:rsidRPr="00632224">
        <w:rPr>
          <w:rFonts w:ascii="Century" w:hAnsi="Century" w:cs="Miriam" w:hint="eastAsia"/>
          <w:b/>
          <w:sz w:val="22"/>
          <w:rtl/>
        </w:rPr>
        <w:t>חיות</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(28.4.2021)). </w:t>
      </w:r>
    </w:p>
    <w:p w:rsidR="00244560" w:rsidRPr="00632224" w:rsidRDefault="00244560" w:rsidP="00244560">
      <w:pPr>
        <w:keepNext/>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"ר</w:t>
      </w:r>
      <w:r w:rsidRPr="00632224">
        <w:rPr>
          <w:rFonts w:ascii="Arial TUR" w:hAnsi="Arial TUR" w:cs="FrankRuehl"/>
          <w:spacing w:val="10"/>
          <w:sz w:val="22"/>
          <w:szCs w:val="28"/>
          <w:rtl/>
        </w:rPr>
        <w:t>שות שנתונה בידה סמכות לשקול ולהחליט, הופקדה בידה לא רק זכות להפעיל את הסמכות, אלא גם החובה לשקול את הפעלתה ולהפעילה כשמוצדק הדבר</w:t>
      </w:r>
      <w:r w:rsidRPr="00632224">
        <w:rPr>
          <w:rFonts w:ascii="Arial TUR" w:hAnsi="Arial TUR" w:cs="FrankRuehl" w:hint="cs"/>
          <w:spacing w:val="10"/>
          <w:sz w:val="22"/>
          <w:szCs w:val="28"/>
          <w:rtl/>
        </w:rPr>
        <w:t xml:space="preserve">" (עניין </w:t>
      </w:r>
      <w:r w:rsidRPr="00632224">
        <w:rPr>
          <w:rFonts w:ascii="Century" w:hAnsi="Century" w:cs="Miriam" w:hint="eastAsia"/>
          <w:b/>
          <w:sz w:val="22"/>
          <w:rtl/>
        </w:rPr>
        <w:t>מיטראל</w:t>
      </w:r>
      <w:r w:rsidRPr="00632224">
        <w:rPr>
          <w:rFonts w:ascii="Century" w:hAnsi="Century" w:cs="FrankRuehl" w:hint="cs"/>
          <w:spacing w:val="10"/>
          <w:sz w:val="22"/>
          <w:szCs w:val="28"/>
          <w:rtl/>
        </w:rPr>
        <w:t>,</w:t>
      </w:r>
      <w:r w:rsidRPr="00632224">
        <w:rPr>
          <w:rFonts w:ascii="Century" w:hAnsi="Century" w:cs="Miriam"/>
          <w:b/>
          <w:sz w:val="22"/>
          <w:rtl/>
        </w:rPr>
        <w:t xml:space="preserve"> </w:t>
      </w:r>
      <w:r w:rsidRPr="00632224">
        <w:rPr>
          <w:rFonts w:ascii="Arial TUR" w:hAnsi="Arial TUR" w:cs="FrankRuehl" w:hint="cs"/>
          <w:spacing w:val="10"/>
          <w:sz w:val="22"/>
          <w:szCs w:val="28"/>
          <w:rtl/>
        </w:rPr>
        <w:t>בעמ' 497</w:t>
      </w:r>
      <w:r w:rsidRPr="00632224">
        <w:rPr>
          <w:rFonts w:ascii="Arial TUR" w:hAnsi="Arial TUR" w:cs="FrankRuehl"/>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8"/>
          <w:szCs w:val="28"/>
          <w:rtl/>
        </w:rPr>
        <w:t xml:space="preserve">"מכאן, כי גם אם הרשות ממאנת להפעיל סמכות שבשיקול דעת ניתן לבחון הימנעותה האמורה מפעולה לפי אמות המידה המקובלות בעת בחינתן של סמכויות סטטוטורית, </w:t>
      </w:r>
      <w:r w:rsidRPr="00632224">
        <w:rPr>
          <w:rFonts w:ascii="Century" w:hAnsi="Century" w:cs="Miriam" w:hint="cs"/>
          <w:b/>
          <w:sz w:val="22"/>
          <w:rtl/>
        </w:rPr>
        <w:t>היינו ניתן לבחון אם ההימנעות משימוש בסמכות נבעה משיקולים סבירים</w:t>
      </w:r>
      <w:r w:rsidRPr="00632224">
        <w:rPr>
          <w:rFonts w:ascii="Arial TUR" w:hAnsi="Arial TUR" w:cs="FrankRuehl" w:hint="cs"/>
          <w:spacing w:val="10"/>
          <w:sz w:val="28"/>
          <w:szCs w:val="28"/>
          <w:rtl/>
        </w:rPr>
        <w:t xml:space="preserve"> או שמא חייב מכלול הנסיבות את הפעלת הסמכות; </w:t>
      </w:r>
      <w:r w:rsidRPr="00632224">
        <w:rPr>
          <w:rFonts w:ascii="Century" w:hAnsi="Century" w:cs="Miriam" w:hint="cs"/>
          <w:b/>
          <w:sz w:val="22"/>
          <w:rtl/>
        </w:rPr>
        <w:t>כן נבחן אם ביסוד ההימנעות אינם מונחים חוסר סבירות</w:t>
      </w:r>
      <w:r w:rsidRPr="00632224">
        <w:rPr>
          <w:rFonts w:ascii="Arial TUR" w:hAnsi="Arial TUR" w:cs="FrankRuehl" w:hint="cs"/>
          <w:spacing w:val="10"/>
          <w:sz w:val="28"/>
          <w:szCs w:val="28"/>
          <w:rtl/>
        </w:rPr>
        <w:t>, שרירות או הפליה העלולות לפסול את מעשיה או מחדליה של הרשות.</w:t>
      </w:r>
      <w:r w:rsidRPr="00632224">
        <w:rPr>
          <w:rFonts w:ascii="Arial TUR" w:hAnsi="Arial TUR" w:cs="FrankRuehl" w:hint="cs"/>
          <w:spacing w:val="10"/>
          <w:sz w:val="22"/>
          <w:szCs w:val="28"/>
          <w:rtl/>
        </w:rPr>
        <w:t xml:space="preserve"> [...]</w:t>
      </w:r>
      <w:r w:rsidRPr="00632224">
        <w:rPr>
          <w:rFonts w:ascii="Arial TUR" w:hAnsi="Arial TUR" w:cs="FrankRuehl" w:hint="cs"/>
          <w:spacing w:val="10"/>
          <w:sz w:val="28"/>
          <w:szCs w:val="28"/>
          <w:rtl/>
        </w:rPr>
        <w:t xml:space="preserve"> משמע, לא רק הפעלת סמכות בנסיבות בהן הפעלתה אינה סבירה, אלא </w:t>
      </w:r>
      <w:r w:rsidRPr="00632224">
        <w:rPr>
          <w:rFonts w:ascii="Century" w:hAnsi="Century" w:cs="Miriam" w:hint="cs"/>
          <w:b/>
          <w:sz w:val="22"/>
          <w:rtl/>
        </w:rPr>
        <w:t>גם הימנעות מהפעלת סמכות שבשיקול דעת בשל טעמים בלתי סבירים, יכולים להוליך למסקנה כי ההימנעות מפעולה היא בטלה</w:t>
      </w:r>
      <w:r w:rsidRPr="00632224">
        <w:rPr>
          <w:rFonts w:ascii="Arial TUR" w:hAnsi="Arial TUR" w:cs="FrankRuehl" w:hint="cs"/>
          <w:spacing w:val="10"/>
          <w:sz w:val="22"/>
          <w:szCs w:val="28"/>
          <w:rtl/>
        </w:rPr>
        <w:t xml:space="preserve"> [...]. </w:t>
      </w:r>
      <w:r w:rsidRPr="00632224">
        <w:rPr>
          <w:rFonts w:ascii="Arial TUR" w:hAnsi="Arial TUR" w:cs="FrankRuehl"/>
          <w:spacing w:val="10"/>
          <w:sz w:val="22"/>
          <w:szCs w:val="28"/>
          <w:rtl/>
        </w:rPr>
        <w:t>משמע, יש נסיבות</w:t>
      </w:r>
      <w:r w:rsidRPr="00632224">
        <w:rPr>
          <w:rFonts w:cs="FrankRuehl"/>
          <w:spacing w:val="10"/>
          <w:sz w:val="24"/>
          <w:szCs w:val="28"/>
          <w:rtl/>
        </w:rPr>
        <w:t xml:space="preserve"> </w:t>
      </w:r>
      <w:r w:rsidRPr="00632224">
        <w:rPr>
          <w:rFonts w:ascii="Arial TUR" w:hAnsi="Arial TUR" w:cs="FrankRuehl"/>
          <w:spacing w:val="10"/>
          <w:sz w:val="22"/>
          <w:szCs w:val="28"/>
          <w:rtl/>
        </w:rPr>
        <w:t>שבהן עולה המסקנה - גם לגבי סמכות שבשיקול-דעת - כי הימנעות מהפעלת הסמכות היא בלתי סבירה במידה היורדת לשורשו של עניין</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w:t>
      </w:r>
      <w:r w:rsidRPr="00632224">
        <w:rPr>
          <w:rFonts w:ascii="Century" w:hAnsi="Century" w:cs="FrankRuehl" w:hint="cs"/>
          <w:spacing w:val="10"/>
          <w:sz w:val="22"/>
          <w:szCs w:val="28"/>
          <w:rtl/>
        </w:rPr>
        <w:t>(</w:t>
      </w:r>
      <w:r w:rsidRPr="00632224">
        <w:rPr>
          <w:rFonts w:ascii="Century" w:hAnsi="Century" w:cs="FrankRuehl" w:hint="eastAsia"/>
          <w:spacing w:val="10"/>
          <w:sz w:val="22"/>
          <w:szCs w:val="28"/>
          <w:rtl/>
        </w:rPr>
        <w:t>בג</w:t>
      </w:r>
      <w:r w:rsidRPr="00632224">
        <w:rPr>
          <w:rFonts w:ascii="Century" w:hAnsi="Century" w:cs="FrankRuehl"/>
          <w:spacing w:val="10"/>
          <w:sz w:val="22"/>
          <w:szCs w:val="28"/>
          <w:rtl/>
        </w:rPr>
        <w:t>"</w:t>
      </w:r>
      <w:r w:rsidRPr="00632224">
        <w:rPr>
          <w:rFonts w:ascii="Century" w:hAnsi="Century" w:cs="FrankRuehl" w:hint="cs"/>
          <w:spacing w:val="10"/>
          <w:sz w:val="22"/>
          <w:szCs w:val="28"/>
          <w:rtl/>
        </w:rPr>
        <w:t>ץ</w:t>
      </w:r>
      <w:r w:rsidRPr="00632224">
        <w:rPr>
          <w:rFonts w:ascii="Century" w:hAnsi="Century" w:cs="FrankRuehl"/>
          <w:spacing w:val="10"/>
          <w:sz w:val="22"/>
          <w:szCs w:val="28"/>
          <w:rtl/>
        </w:rPr>
        <w:t xml:space="preserve"> 3094/93 </w:t>
      </w:r>
      <w:r w:rsidRPr="00632224">
        <w:rPr>
          <w:rFonts w:ascii="Century" w:hAnsi="Century" w:cs="Miriam"/>
          <w:b/>
          <w:sz w:val="22"/>
          <w:rtl/>
        </w:rPr>
        <w:t>התנועה למען איכות השלטון נ' ממשלת ישראל</w:t>
      </w:r>
      <w:r w:rsidRPr="00632224">
        <w:rPr>
          <w:rFonts w:ascii="Century" w:hAnsi="Century" w:cs="FrankRuehl"/>
          <w:spacing w:val="10"/>
          <w:sz w:val="22"/>
          <w:szCs w:val="28"/>
          <w:rtl/>
        </w:rPr>
        <w:t>, פ"ד מז</w:t>
      </w:r>
      <w:r w:rsidRPr="00632224">
        <w:rPr>
          <w:rFonts w:ascii="Arial TUR" w:hAnsi="Arial TUR" w:cs="FrankRuehl" w:hint="cs"/>
          <w:spacing w:val="10"/>
          <w:sz w:val="28"/>
          <w:szCs w:val="28"/>
          <w:rtl/>
        </w:rPr>
        <w:t xml:space="preserve">(5), 404, 423, 425 (1993) (להלן: עניין </w:t>
      </w:r>
      <w:r w:rsidRPr="00632224">
        <w:rPr>
          <w:rFonts w:ascii="Century" w:hAnsi="Century" w:cs="Miriam" w:hint="eastAsia"/>
          <w:b/>
          <w:sz w:val="22"/>
          <w:rtl/>
        </w:rPr>
        <w:t>דרעי</w:t>
      </w:r>
      <w:r w:rsidRPr="00632224">
        <w:rPr>
          <w:rFonts w:ascii="Century" w:hAnsi="Century" w:cs="Miriam"/>
          <w:b/>
          <w:sz w:val="22"/>
          <w:rtl/>
        </w:rPr>
        <w:t>-פנחסי</w:t>
      </w:r>
      <w:r w:rsidRPr="00632224">
        <w:rPr>
          <w:rFonts w:ascii="Arial TUR" w:hAnsi="Arial TUR" w:cs="FrankRuehl" w:hint="cs"/>
          <w:spacing w:val="10"/>
          <w:sz w:val="28"/>
          <w:szCs w:val="28"/>
          <w:rtl/>
        </w:rPr>
        <w:t xml:space="preserve">) </w:t>
      </w:r>
      <w:r w:rsidRPr="00632224">
        <w:rPr>
          <w:rFonts w:ascii="Arial TUR" w:hAnsi="Arial TUR" w:cs="FrankRuehl" w:hint="cs"/>
          <w:spacing w:val="10"/>
          <w:sz w:val="22"/>
          <w:szCs w:val="28"/>
          <w:rtl/>
        </w:rPr>
        <w:t xml:space="preserve">(הדגשות הוספו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r w:rsidRPr="00632224">
        <w:rPr>
          <w:rFonts w:ascii="Arial TUR" w:hAnsi="Arial TUR" w:cs="FrankRuehl" w:hint="cs"/>
          <w:spacing w:val="10"/>
          <w:sz w:val="28"/>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8"/>
          <w:szCs w:val="28"/>
          <w:rtl/>
        </w:rPr>
      </w:pPr>
      <w:r w:rsidRPr="00632224">
        <w:rPr>
          <w:rFonts w:ascii="Arial TUR" w:hAnsi="Arial TUR" w:cs="FrankRuehl" w:hint="cs"/>
          <w:spacing w:val="10"/>
          <w:sz w:val="28"/>
          <w:szCs w:val="28"/>
          <w:rtl/>
        </w:rPr>
        <w:t xml:space="preserve">"השאלה עתה היא האם יש מקום להתערבות בשיקול דעתו של השר, שלא התקין כללים, בנימוק שהוא בלתי סביר באופן קיצוני [...]. </w:t>
      </w:r>
      <w:r w:rsidRPr="00632224">
        <w:rPr>
          <w:rFonts w:ascii="Century" w:hAnsi="Century" w:cs="Miriam" w:hint="cs"/>
          <w:b/>
          <w:sz w:val="22"/>
          <w:rtl/>
        </w:rPr>
        <w:t>איני סבור שהחלטתו של השר שלא להתקין לעת הזאת כללים מצדיקה התערבות בית משפט זה בגדרי אי סבירות קיצונית</w:t>
      </w:r>
      <w:r w:rsidRPr="00632224">
        <w:rPr>
          <w:rFonts w:ascii="Arial TUR" w:hAnsi="Arial TUR" w:cs="FrankRuehl" w:hint="cs"/>
          <w:spacing w:val="10"/>
          <w:sz w:val="28"/>
          <w:szCs w:val="28"/>
          <w:rtl/>
        </w:rPr>
        <w:t xml:space="preserve">" (בג"ץ 4540/00 </w:t>
      </w:r>
      <w:r w:rsidRPr="00632224">
        <w:rPr>
          <w:rFonts w:ascii="Century" w:hAnsi="Century" w:cs="Miriam" w:hint="cs"/>
          <w:b/>
          <w:sz w:val="22"/>
          <w:rtl/>
        </w:rPr>
        <w:t>עפאש נ' שר הבריאות</w:t>
      </w:r>
      <w:r w:rsidRPr="00632224">
        <w:rPr>
          <w:rFonts w:ascii="Arial TUR" w:hAnsi="Arial TUR" w:cs="FrankRuehl" w:hint="cs"/>
          <w:spacing w:val="10"/>
          <w:sz w:val="28"/>
          <w:szCs w:val="28"/>
          <w:rtl/>
        </w:rPr>
        <w:t xml:space="preserve">, פסקאות 4(ג) ו-6(ג) לפסק דינו של השופט </w:t>
      </w:r>
      <w:r w:rsidRPr="00632224">
        <w:rPr>
          <w:rFonts w:ascii="Century" w:hAnsi="Century" w:cs="Miriam" w:hint="eastAsia"/>
          <w:b/>
          <w:sz w:val="22"/>
          <w:rtl/>
        </w:rPr>
        <w:t>רובינשטיין</w:t>
      </w:r>
      <w:r w:rsidRPr="00632224">
        <w:rPr>
          <w:rFonts w:ascii="Arial TUR" w:hAnsi="Arial TUR" w:cs="FrankRuehl"/>
          <w:spacing w:val="10"/>
          <w:sz w:val="28"/>
          <w:szCs w:val="28"/>
          <w:rtl/>
        </w:rPr>
        <w:t xml:space="preserve"> </w:t>
      </w:r>
      <w:r w:rsidRPr="00632224">
        <w:rPr>
          <w:rFonts w:ascii="Arial TUR" w:hAnsi="Arial TUR" w:cs="FrankRuehl" w:hint="cs"/>
          <w:spacing w:val="10"/>
          <w:sz w:val="28"/>
          <w:szCs w:val="28"/>
          <w:rtl/>
        </w:rPr>
        <w:t xml:space="preserve">(14.5.2006) (הדגשה הוספה </w:t>
      </w:r>
      <w:r w:rsidRPr="00632224">
        <w:rPr>
          <w:rFonts w:ascii="Arial TUR" w:hAnsi="Arial TUR" w:cs="FrankRuehl"/>
          <w:spacing w:val="10"/>
          <w:sz w:val="28"/>
          <w:szCs w:val="28"/>
          <w:rtl/>
        </w:rPr>
        <w:t>–</w:t>
      </w:r>
      <w:r w:rsidRPr="00632224">
        <w:rPr>
          <w:rFonts w:ascii="Arial TUR" w:hAnsi="Arial TUR" w:cs="FrankRuehl" w:hint="cs"/>
          <w:spacing w:val="10"/>
          <w:sz w:val="28"/>
          <w:szCs w:val="28"/>
          <w:rtl/>
        </w:rPr>
        <w:t xml:space="preserve"> י"ע)).</w:t>
      </w:r>
    </w:p>
    <w:p w:rsidR="00244560" w:rsidRPr="00632224" w:rsidRDefault="00244560" w:rsidP="00244560">
      <w:pPr>
        <w:ind w:left="1644" w:right="1276"/>
        <w:jc w:val="both"/>
        <w:rPr>
          <w:rFonts w:ascii="Arial TUR" w:hAnsi="Arial TUR" w:cs="FrankRuehl"/>
          <w:spacing w:val="10"/>
          <w:sz w:val="28"/>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8"/>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57.</w:t>
      </w:r>
      <w:r w:rsidRPr="00632224">
        <w:rPr>
          <w:rFonts w:ascii="Arial TUR" w:hAnsi="Arial TUR" w:cs="FrankRuehl" w:hint="cs"/>
          <w:spacing w:val="10"/>
          <w:sz w:val="22"/>
          <w:szCs w:val="28"/>
          <w:rtl/>
        </w:rPr>
        <w:tab/>
        <w:t xml:space="preserve">הנה כי כן, לפנינו שורה של מופעים שונים שנכללו בפסיקה תחת עילת הסבירות. הנוסח הגורף של החוק, מעלה את הכורת בגסות על עילת הסבירות, לכאורה, על כל אחד </w:t>
      </w:r>
      <w:r w:rsidRPr="00632224">
        <w:rPr>
          <w:rFonts w:ascii="Arial TUR" w:hAnsi="Arial TUR" w:cs="FrankRuehl" w:hint="cs"/>
          <w:spacing w:val="10"/>
          <w:sz w:val="22"/>
          <w:szCs w:val="28"/>
          <w:rtl/>
        </w:rPr>
        <w:lastRenderedPageBreak/>
        <w:t xml:space="preserve">ואחד מענפיה, ועל כל אחד ואחד ממופעיה השונים מבלי להגדיר למה התכוון המכונן במילה "סבירות".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לעמדתי, נוסחו הגורף של התיקון לחוק היסוד לכאורה כונס תחת כנפיו את עילת הסבירות על כל מופעיה. ועדיין קיים החשש כי שופט פלוני יסבור כי אי שקילת כל השיקולים נכללת בעילת הסבירות ושופט אחר יסבור אחרת (למעשה, איננו צריכים להרחיק עדותנו, שכן דוגמה לפרשנויות שונות של משמעות המונח "סבירות" מצויה אף בפסקי דינם של חלק מחבריי). ובעמום תר המתדיין המבולבל אחר הוודאות. כידוע, מערכת המשפט מייחסת חשיבות רבה לשאלת הסמכות העניינית, על מנת שהמתדיין ידע על איזו דלת עליו להתדפק על מנת לקבל סעד מבית המשפט (וראו, לדוגמה, רע"א 2299/23 </w:t>
      </w:r>
      <w:r w:rsidRPr="00632224">
        <w:rPr>
          <w:rFonts w:ascii="Century" w:hAnsi="Century" w:cs="Miriam" w:hint="cs"/>
          <w:b/>
          <w:sz w:val="22"/>
          <w:rtl/>
        </w:rPr>
        <w:t>זילברברג נ' פרו</w:t>
      </w:r>
      <w:r w:rsidRPr="00632224">
        <w:rPr>
          <w:rFonts w:ascii="Arial TUR" w:hAnsi="Arial TUR" w:cs="FrankRuehl" w:hint="cs"/>
          <w:spacing w:val="10"/>
          <w:sz w:val="22"/>
          <w:szCs w:val="28"/>
          <w:rtl/>
        </w:rPr>
        <w:t xml:space="preserve"> (15.8.2023)). במקרה דנן, איננו עוסקים בשאלה על איזו דלת להתדפק אלא אם בכלל מותר למתדיין לדפוק על הדלת, שהרי המכונן אסר על מערכת המשפט אפילו "לדון" בנושא. ובכלל, כיצד נזהה עילה של חוסר סבירות? האם הסמכות לדון תיבחן על פי מבחן צורני-פורמלי של הופעת המילה "סבירות" בכתבי בי-דין, או שמא על פי מבחן מהותי?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58.</w:t>
      </w:r>
      <w:r w:rsidRPr="00632224">
        <w:rPr>
          <w:rFonts w:ascii="Century" w:hAnsi="Century" w:cs="Miriam" w:hint="cs"/>
          <w:b/>
          <w:sz w:val="22"/>
          <w:rtl/>
        </w:rPr>
        <w:tab/>
        <w:t>סיכום ביניים</w:t>
      </w:r>
      <w:r w:rsidRPr="00632224">
        <w:rPr>
          <w:rFonts w:ascii="Century" w:hAnsi="Century" w:cs="Miriam"/>
          <w:b/>
          <w:sz w:val="22"/>
          <w:rtl/>
        </w:rPr>
        <w:t>:</w:t>
      </w:r>
      <w:r w:rsidRPr="00632224">
        <w:rPr>
          <w:rFonts w:ascii="Arial TUR" w:hAnsi="Arial TUR" w:cs="FrankRuehl" w:hint="cs"/>
          <w:spacing w:val="10"/>
          <w:sz w:val="22"/>
          <w:szCs w:val="28"/>
          <w:rtl/>
        </w:rPr>
        <w:t xml:space="preserve"> התיקון לחוק היסוד אינו מגדיר מהי סבירות ואינו מבחין בין מופעים שונים של סבירות. אם ביקש המכונן להתמודד עם חוסר ודאות, התוצר </w:t>
      </w:r>
      <w:r w:rsidRPr="00632224">
        <w:rPr>
          <w:rFonts w:ascii="Arial TUR" w:hAnsi="Arial TUR" w:cs="FrankRuehl" w:hint="eastAsia"/>
          <w:spacing w:val="10"/>
          <w:sz w:val="22"/>
          <w:szCs w:val="28"/>
          <w:rtl/>
        </w:rPr>
        <w:t>שיצא</w:t>
      </w:r>
      <w:r w:rsidRPr="00632224">
        <w:rPr>
          <w:rFonts w:ascii="Arial TUR" w:hAnsi="Arial TUR" w:cs="FrankRuehl"/>
          <w:spacing w:val="10"/>
          <w:sz w:val="22"/>
          <w:szCs w:val="28"/>
          <w:rtl/>
        </w:rPr>
        <w:t xml:space="preserve"> תחת ידו </w:t>
      </w:r>
      <w:r w:rsidRPr="00632224">
        <w:rPr>
          <w:rFonts w:ascii="Arial TUR" w:hAnsi="Arial TUR" w:cs="FrankRuehl" w:hint="cs"/>
          <w:spacing w:val="10"/>
          <w:sz w:val="22"/>
          <w:szCs w:val="28"/>
          <w:rtl/>
        </w:rPr>
        <w:t>מביא לתוצאה הפוכה לחלוטין. אין לנו אלא לצטט מתשובת הכנסת (פסקה 295(ב)):</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r w:rsidRPr="00632224">
        <w:rPr>
          <w:rFonts w:ascii="Century" w:hAnsi="Century" w:cs="FrankRuehl" w:hint="cs"/>
          <w:spacing w:val="10"/>
          <w:sz w:val="22"/>
          <w:szCs w:val="28"/>
          <w:rtl/>
        </w:rPr>
        <w:t>פנים רבות לעילת הסבירות, והם שונים זה מזה. ביחס לכל פניה של עילת הסבירות, לא ברור כיצד חוק היסוד המתקן ישפיע על יישומם</w:t>
      </w:r>
      <w:r w:rsidRPr="00632224">
        <w:rPr>
          <w:rFonts w:ascii="Arial TUR" w:hAnsi="Arial TUR" w:cs="FrankRuehl" w:hint="cs"/>
          <w:spacing w:val="10"/>
          <w:sz w:val="22"/>
          <w:szCs w:val="28"/>
          <w:rtl/>
        </w:rPr>
        <w:t>. האם חוק היסוד המתקן ישנה את האופן שבו בוחנים בתי המשפט את הליך קבלת ההחלטה? האם יפתחו בתי המשפט עילות של 'מופרכות' 'שרירותיות' או 'גחמנות'? האם חוק היסוד המתקן יפורש כמתייחס לעילת הסבירות במובנה הרחב בלבד? האם חוק היסוד המתקן ישפיע על המשפט האזרחי והפלילי? כיצד ייושם חוק היסוד המתקן ביחס לחוקים הנוקטים במפורש במונח 'סבירות'? כל הקושיות הללו נותרות לעת הזאת בלא מענה, על אף שלתשובות שתינתנה להן יש חשיבות רבה בהערכת השפעתו של חוק היסוד המתקן".</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התיקון לחוק היסוד: היבטים נוספים</w:t>
      </w:r>
    </w:p>
    <w:p w:rsidR="00244560" w:rsidRPr="009B0AFF" w:rsidRDefault="00244560" w:rsidP="009B0AFF">
      <w:pPr>
        <w:tabs>
          <w:tab w:val="left" w:pos="800"/>
        </w:tabs>
        <w:spacing w:line="276" w:lineRule="auto"/>
        <w:jc w:val="both"/>
        <w:rPr>
          <w:rFonts w:ascii="Century" w:hAnsi="Century" w:cs="FrankRuehl"/>
          <w:spacing w:val="10"/>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59.</w:t>
      </w: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עמדנו על כך שלביטוי "סבירות" מופעים רבים וכי אחת הנפקויות ללשונו הגורפת של התיקון לחוק היסוד היא יצירת חוסר ודאות. אעמוד להלן על היבטים נוספים </w:t>
      </w:r>
      <w:r w:rsidRPr="00632224">
        <w:rPr>
          <w:rFonts w:ascii="Arial TUR" w:hAnsi="Arial TUR" w:cs="FrankRuehl" w:hint="cs"/>
          <w:spacing w:val="10"/>
          <w:sz w:val="22"/>
          <w:szCs w:val="28"/>
          <w:rtl/>
        </w:rPr>
        <w:lastRenderedPageBreak/>
        <w:t>הנובעים מהתיקון לחוק היסוד, היבטים שאין בהם כשלעצמם כדי להביא לביטולו של התיקון, אך יש בהם כדי להאיר השלכות שונות הנובעות ממנו.</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60.</w:t>
      </w:r>
      <w:r w:rsidRPr="00632224">
        <w:rPr>
          <w:rFonts w:ascii="Century" w:hAnsi="Century" w:cs="Miriam" w:hint="cs"/>
          <w:b/>
          <w:sz w:val="22"/>
          <w:rtl/>
        </w:rPr>
        <w:tab/>
        <w:t>היבט ראשון</w:t>
      </w:r>
      <w:r w:rsidRPr="00632224">
        <w:rPr>
          <w:rFonts w:ascii="Century" w:hAnsi="Century" w:cs="Miriam"/>
          <w:b/>
          <w:sz w:val="22"/>
          <w:rtl/>
        </w:rPr>
        <w:t>:</w:t>
      </w:r>
      <w:r w:rsidRPr="00632224">
        <w:rPr>
          <w:rFonts w:ascii="Century" w:hAnsi="Century" w:cs="FrankRuehl" w:hint="cs"/>
          <w:spacing w:val="10"/>
          <w:sz w:val="22"/>
          <w:szCs w:val="28"/>
          <w:rtl/>
        </w:rPr>
        <w:t xml:space="preserve"> הכנסת הדגישה בתשובתה כי התיקון לחוק היסוד אך צמצם את </w:t>
      </w:r>
      <w:r w:rsidRPr="00632224">
        <w:rPr>
          <w:rFonts w:ascii="Century" w:hAnsi="Century" w:cs="Miriam" w:hint="cs"/>
          <w:b/>
          <w:sz w:val="22"/>
          <w:rtl/>
        </w:rPr>
        <w:t>עילת</w:t>
      </w:r>
      <w:r w:rsidRPr="00632224">
        <w:rPr>
          <w:rFonts w:ascii="Century" w:hAnsi="Century" w:cs="FrankRuehl" w:hint="cs"/>
          <w:spacing w:val="10"/>
          <w:sz w:val="22"/>
          <w:szCs w:val="28"/>
          <w:rtl/>
        </w:rPr>
        <w:t xml:space="preserve"> הסבירות כמכשיר בידי בית המשפט, אך אינו נוגע כלל </w:t>
      </w:r>
      <w:r w:rsidRPr="00632224">
        <w:rPr>
          <w:rFonts w:ascii="Century" w:hAnsi="Century" w:cs="Miriam" w:hint="cs"/>
          <w:b/>
          <w:sz w:val="22"/>
          <w:rtl/>
        </w:rPr>
        <w:t>לחובת</w:t>
      </w:r>
      <w:r w:rsidRPr="00632224">
        <w:rPr>
          <w:rFonts w:ascii="Century" w:hAnsi="Century" w:cs="FrankRuehl" w:hint="cs"/>
          <w:spacing w:val="10"/>
          <w:sz w:val="22"/>
          <w:szCs w:val="28"/>
          <w:rtl/>
        </w:rPr>
        <w:t xml:space="preserve"> הסבירות, ואין בו כדי לצמצם את חובת הסבירות החלה על רשויות המינהל. לשיטתה של הכנסת, חובת הסבירות נותרה על כנה והיא שרירה וקיימת גם לאחר התיקון לחוק היסוד, הגם שלא ניתן יהיה לאכוף על הממשלה ושריה בדרך שיפוטית לעמוד בחובת הסבירות המוטלת עליהם.</w:t>
      </w:r>
      <w:r w:rsidRPr="00632224">
        <w:rPr>
          <w:rFonts w:ascii="Arial TUR" w:hAnsi="Arial TUR" w:cs="FrankRuehl" w:hint="cs"/>
          <w:spacing w:val="10"/>
          <w:sz w:val="22"/>
          <w:szCs w:val="28"/>
          <w:rtl/>
        </w:rPr>
        <w:t xml:space="preserve"> גם חבריי, השופטת </w:t>
      </w:r>
      <w:r w:rsidRPr="00632224">
        <w:rPr>
          <w:rFonts w:ascii="Century" w:hAnsi="Century" w:cs="Miriam" w:hint="eastAsia"/>
          <w:b/>
          <w:sz w:val="22"/>
          <w:rtl/>
        </w:rPr>
        <w:t>וילנר</w:t>
      </w:r>
      <w:r w:rsidRPr="00632224">
        <w:rPr>
          <w:rFonts w:ascii="Arial TUR" w:hAnsi="Arial TUR" w:cs="FrankRuehl" w:hint="cs"/>
          <w:spacing w:val="10"/>
          <w:sz w:val="22"/>
          <w:szCs w:val="28"/>
          <w:rtl/>
        </w:rPr>
        <w:t xml:space="preserve"> והשופט </w:t>
      </w:r>
      <w:r w:rsidRPr="00632224">
        <w:rPr>
          <w:rFonts w:ascii="Century" w:hAnsi="Century" w:cs="Miriam" w:hint="eastAsia"/>
          <w:b/>
          <w:sz w:val="22"/>
          <w:rtl/>
        </w:rPr>
        <w:t>אלרון</w:t>
      </w:r>
      <w:r w:rsidRPr="00632224">
        <w:rPr>
          <w:rFonts w:ascii="Arial TUR" w:hAnsi="Arial TUR" w:cs="FrankRuehl" w:hint="cs"/>
          <w:spacing w:val="10"/>
          <w:sz w:val="22"/>
          <w:szCs w:val="28"/>
          <w:rtl/>
        </w:rPr>
        <w:t xml:space="preserve">, סבורים כי חובת הסבירות נותרה בעינה גם לאחר התיקון לחוק היסוד.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על טיעון זה ניתן לומר "אשרי המאמין". עילת הסבירות מחייבת לנהוג בסבירות וחובת הסבירות מתרגמת עצמה לעילת הסבירות וקיים יחס ישיר בין העילה לבין החובה. הכל מכירים את הביטוי "</w:t>
      </w:r>
      <w:r w:rsidRPr="00632224">
        <w:rPr>
          <w:rFonts w:ascii="Century" w:hAnsi="Century" w:cs="FrankRuehl"/>
          <w:spacing w:val="10"/>
          <w:sz w:val="22"/>
          <w:szCs w:val="28"/>
          <w:shd w:val="clear" w:color="auto" w:fill="FFFFFF"/>
          <w:rtl/>
        </w:rPr>
        <w:t>לֵית דין ולֵית דַיין</w:t>
      </w:r>
      <w:r w:rsidRPr="00632224">
        <w:rPr>
          <w:rFonts w:ascii="Century" w:hAnsi="Century" w:cs="FrankRuehl" w:hint="cs"/>
          <w:spacing w:val="10"/>
          <w:sz w:val="22"/>
          <w:szCs w:val="28"/>
          <w:shd w:val="clear" w:color="auto" w:fill="FFFFFF"/>
          <w:rtl/>
        </w:rPr>
        <w:t>", אך גם ההיפך הוא הנכון ו"ב</w:t>
      </w:r>
      <w:r w:rsidRPr="00632224">
        <w:rPr>
          <w:rFonts w:ascii="Century" w:hAnsi="Century" w:cs="FrankRuehl"/>
          <w:spacing w:val="10"/>
          <w:sz w:val="22"/>
          <w:szCs w:val="28"/>
          <w:shd w:val="clear" w:color="auto" w:fill="FFFFFF"/>
          <w:rtl/>
        </w:rPr>
        <w:t>לֵית</w:t>
      </w:r>
      <w:r w:rsidRPr="00632224">
        <w:rPr>
          <w:rFonts w:ascii="Century" w:hAnsi="Century" w:cs="FrankRuehl" w:hint="cs"/>
          <w:spacing w:val="10"/>
          <w:sz w:val="22"/>
          <w:szCs w:val="28"/>
          <w:shd w:val="clear" w:color="auto" w:fill="FFFFFF"/>
          <w:rtl/>
        </w:rPr>
        <w:t xml:space="preserve"> </w:t>
      </w:r>
      <w:r w:rsidRPr="00632224">
        <w:rPr>
          <w:rFonts w:ascii="Century" w:hAnsi="Century" w:cs="FrankRuehl"/>
          <w:spacing w:val="10"/>
          <w:sz w:val="22"/>
          <w:szCs w:val="28"/>
          <w:shd w:val="clear" w:color="auto" w:fill="FFFFFF"/>
          <w:rtl/>
        </w:rPr>
        <w:t>דַיין</w:t>
      </w:r>
      <w:r w:rsidRPr="00632224">
        <w:rPr>
          <w:rFonts w:ascii="Century" w:hAnsi="Century" w:cs="FrankRuehl" w:hint="cs"/>
          <w:spacing w:val="10"/>
          <w:sz w:val="22"/>
          <w:szCs w:val="28"/>
          <w:shd w:val="clear" w:color="auto" w:fill="FFFFFF"/>
          <w:rtl/>
        </w:rPr>
        <w:t xml:space="preserve"> </w:t>
      </w:r>
      <w:r w:rsidRPr="00632224">
        <w:rPr>
          <w:rFonts w:ascii="Century" w:hAnsi="Century" w:cs="FrankRuehl"/>
          <w:spacing w:val="10"/>
          <w:sz w:val="22"/>
          <w:szCs w:val="28"/>
          <w:shd w:val="clear" w:color="auto" w:fill="FFFFFF"/>
          <w:rtl/>
        </w:rPr>
        <w:t>לֵית דין</w:t>
      </w:r>
      <w:r w:rsidRPr="00632224">
        <w:rPr>
          <w:rFonts w:ascii="Century" w:hAnsi="Century" w:cs="FrankRuehl" w:hint="cs"/>
          <w:spacing w:val="10"/>
          <w:sz w:val="22"/>
          <w:szCs w:val="28"/>
          <w:shd w:val="clear" w:color="auto" w:fill="FFFFFF"/>
          <w:rtl/>
        </w:rPr>
        <w:t xml:space="preserve">" (בג"ץ 2/80 </w:t>
      </w:r>
      <w:r w:rsidRPr="00632224">
        <w:rPr>
          <w:rFonts w:ascii="Century" w:hAnsi="Century" w:cs="Miriam" w:hint="cs"/>
          <w:b/>
          <w:sz w:val="22"/>
          <w:shd w:val="clear" w:color="auto" w:fill="FFFFFF"/>
          <w:rtl/>
        </w:rPr>
        <w:t>בט נ' שר הדתות</w:t>
      </w:r>
      <w:r w:rsidRPr="00632224">
        <w:rPr>
          <w:rFonts w:ascii="Century" w:hAnsi="Century" w:cs="FrankRuehl" w:hint="cs"/>
          <w:spacing w:val="10"/>
          <w:sz w:val="22"/>
          <w:szCs w:val="28"/>
          <w:shd w:val="clear" w:color="auto" w:fill="FFFFFF"/>
          <w:rtl/>
        </w:rPr>
        <w:t xml:space="preserve">, פ"ד לד(3) 144, 146 (1980)) "שכן בלא דיין אין דין" (בג"ץ 73/85 </w:t>
      </w:r>
      <w:r w:rsidRPr="00632224">
        <w:rPr>
          <w:rFonts w:ascii="Century" w:hAnsi="Century" w:cs="Miriam" w:hint="cs"/>
          <w:b/>
          <w:sz w:val="22"/>
          <w:shd w:val="clear" w:color="auto" w:fill="FFFFFF"/>
          <w:rtl/>
        </w:rPr>
        <w:t>סיעת "כך" נ' יושב ראש הכנסת</w:t>
      </w:r>
      <w:r w:rsidRPr="00632224">
        <w:rPr>
          <w:rFonts w:ascii="Century" w:hAnsi="Century" w:cs="FrankRuehl" w:hint="cs"/>
          <w:spacing w:val="10"/>
          <w:sz w:val="22"/>
          <w:szCs w:val="28"/>
          <w:shd w:val="clear" w:color="auto" w:fill="FFFFFF"/>
          <w:rtl/>
        </w:rPr>
        <w:t>, פ"ד לט(3) 141, 157 (1985)). במקום שבו אין שופט ואין בית משפט גם אין דין, ומקום שבו החלטה של ממשלה או שר חסינה למעשה מפני התערבות, הרי ש"</w:t>
      </w:r>
      <w:r w:rsidRPr="00632224">
        <w:rPr>
          <w:rFonts w:ascii="Arial TUR" w:hAnsi="Arial TUR" w:cs="FrankRuehl"/>
          <w:spacing w:val="10"/>
          <w:sz w:val="22"/>
          <w:szCs w:val="28"/>
          <w:rtl/>
        </w:rPr>
        <w:t>חסינות זו סופה להוליד אי-קיום החוק, שכן באין דיין אין דין</w:t>
      </w:r>
      <w:r w:rsidRPr="00632224">
        <w:rPr>
          <w:rFonts w:ascii="Arial TUR" w:hAnsi="Arial TUR" w:cs="FrankRuehl" w:hint="cs"/>
          <w:spacing w:val="10"/>
          <w:sz w:val="22"/>
          <w:szCs w:val="28"/>
          <w:rtl/>
        </w:rPr>
        <w:t xml:space="preserve">" (בג"ץ 680/88 </w:t>
      </w:r>
      <w:r w:rsidRPr="00632224">
        <w:rPr>
          <w:rFonts w:ascii="Century" w:hAnsi="Century" w:cs="Miriam" w:hint="eastAsia"/>
          <w:b/>
          <w:sz w:val="22"/>
          <w:rtl/>
        </w:rPr>
        <w:t>שניצר</w:t>
      </w:r>
      <w:r w:rsidRPr="00632224">
        <w:rPr>
          <w:rFonts w:ascii="Century" w:hAnsi="Century" w:cs="Miriam"/>
          <w:b/>
          <w:sz w:val="22"/>
          <w:rtl/>
        </w:rPr>
        <w:t xml:space="preserve"> </w:t>
      </w:r>
      <w:r w:rsidRPr="00632224">
        <w:rPr>
          <w:rFonts w:ascii="Century" w:hAnsi="Century" w:cs="Miriam" w:hint="eastAsia"/>
          <w:b/>
          <w:sz w:val="22"/>
          <w:rtl/>
        </w:rPr>
        <w:t>נ</w:t>
      </w:r>
      <w:r w:rsidRPr="00632224">
        <w:rPr>
          <w:rFonts w:ascii="Century" w:hAnsi="Century" w:cs="Miriam"/>
          <w:b/>
          <w:sz w:val="22"/>
          <w:rtl/>
        </w:rPr>
        <w:t xml:space="preserve">' </w:t>
      </w:r>
      <w:r w:rsidRPr="00632224">
        <w:rPr>
          <w:rFonts w:ascii="Century" w:hAnsi="Century" w:cs="Miriam" w:hint="eastAsia"/>
          <w:b/>
          <w:sz w:val="22"/>
          <w:rtl/>
        </w:rPr>
        <w:t>הצנזור</w:t>
      </w:r>
      <w:r w:rsidRPr="00632224">
        <w:rPr>
          <w:rFonts w:ascii="Century" w:hAnsi="Century" w:cs="Miriam"/>
          <w:b/>
          <w:sz w:val="22"/>
          <w:rtl/>
        </w:rPr>
        <w:t xml:space="preserve"> </w:t>
      </w:r>
      <w:r w:rsidRPr="00632224">
        <w:rPr>
          <w:rFonts w:ascii="Century" w:hAnsi="Century" w:cs="Miriam" w:hint="eastAsia"/>
          <w:b/>
          <w:sz w:val="22"/>
          <w:rtl/>
        </w:rPr>
        <w:t>הצבאי</w:t>
      </w:r>
      <w:r w:rsidRPr="00632224">
        <w:rPr>
          <w:rFonts w:ascii="Century" w:hAnsi="Century" w:cs="Miriam"/>
          <w:b/>
          <w:sz w:val="22"/>
          <w:rtl/>
        </w:rPr>
        <w:t xml:space="preserve"> </w:t>
      </w:r>
      <w:r w:rsidRPr="00632224">
        <w:rPr>
          <w:rFonts w:ascii="Century" w:hAnsi="Century" w:cs="Miriam" w:hint="eastAsia"/>
          <w:b/>
          <w:sz w:val="22"/>
          <w:rtl/>
        </w:rPr>
        <w:t>הראשי</w:t>
      </w:r>
      <w:r w:rsidRPr="00632224">
        <w:rPr>
          <w:rFonts w:ascii="Arial TUR" w:hAnsi="Arial TUR" w:cs="FrankRuehl" w:hint="cs"/>
          <w:spacing w:val="10"/>
          <w:sz w:val="22"/>
          <w:szCs w:val="28"/>
          <w:rtl/>
        </w:rPr>
        <w:t>, פ"ד מב(4) 617, 638 (1999))</w:t>
      </w:r>
      <w:r w:rsidRPr="00632224">
        <w:rPr>
          <w:rFonts w:ascii="Century" w:hAnsi="Century" w:cs="FrankRuehl" w:hint="cs"/>
          <w:spacing w:val="10"/>
          <w:sz w:val="22"/>
          <w:szCs w:val="28"/>
          <w:shd w:val="clear" w:color="auto" w:fill="FFFFFF"/>
          <w:rtl/>
        </w:rPr>
        <w:t xml:space="preserve">. עוד למדנו כי במקום </w:t>
      </w:r>
      <w:r w:rsidRPr="00632224">
        <w:rPr>
          <w:rFonts w:ascii="Arial TUR" w:hAnsi="Arial TUR" w:cs="FrankRuehl"/>
          <w:spacing w:val="10"/>
          <w:sz w:val="22"/>
          <w:szCs w:val="28"/>
          <w:rtl/>
        </w:rPr>
        <w:t xml:space="preserve">שיש זכות יש סעד: </w:t>
      </w:r>
      <w:r w:rsidRPr="00632224">
        <w:rPr>
          <w:rFonts w:cs="FrankRuehl"/>
          <w:i/>
          <w:iCs/>
          <w:spacing w:val="10"/>
          <w:sz w:val="24"/>
          <w:szCs w:val="28"/>
        </w:rPr>
        <w:t>ubi jus ibi</w:t>
      </w:r>
      <w:r w:rsidRPr="00632224">
        <w:rPr>
          <w:rFonts w:cs="FrankRuehl"/>
          <w:spacing w:val="10"/>
          <w:sz w:val="24"/>
          <w:szCs w:val="28"/>
        </w:rPr>
        <w:t xml:space="preserve"> </w:t>
      </w:r>
      <w:r w:rsidRPr="00632224">
        <w:rPr>
          <w:rFonts w:cs="FrankRuehl"/>
          <w:i/>
          <w:iCs/>
          <w:spacing w:val="10"/>
          <w:sz w:val="24"/>
          <w:szCs w:val="28"/>
        </w:rPr>
        <w:t>remedium</w:t>
      </w:r>
      <w:r w:rsidRPr="00632224">
        <w:rPr>
          <w:rFonts w:ascii="Century" w:hAnsi="Century" w:cs="FrankRuehl" w:hint="cs"/>
          <w:spacing w:val="10"/>
          <w:sz w:val="22"/>
          <w:szCs w:val="28"/>
          <w:shd w:val="clear" w:color="auto" w:fill="FFFFFF"/>
          <w:rtl/>
        </w:rPr>
        <w:t xml:space="preserve"> אך מקום שבו אין סעד גם אין זכות: "</w:t>
      </w:r>
      <w:r w:rsidRPr="00632224">
        <w:rPr>
          <w:rFonts w:ascii="Arial TUR" w:hAnsi="Arial TUR" w:cs="FrankRuehl" w:hint="cs"/>
          <w:spacing w:val="10"/>
          <w:sz w:val="22"/>
          <w:szCs w:val="28"/>
          <w:rtl/>
        </w:rPr>
        <w:t xml:space="preserve">הסעד שבית-משפט זה מושיט לעותר שהאינטרס שלו נפגע, הוא המוליד את הזכות [...]" (בג"ץ 840/79 </w:t>
      </w:r>
      <w:r w:rsidRPr="00632224">
        <w:rPr>
          <w:rFonts w:ascii="Century" w:hAnsi="Century" w:cs="Miriam" w:hint="cs"/>
          <w:b/>
          <w:sz w:val="22"/>
          <w:rtl/>
        </w:rPr>
        <w:t>מרכז הקבלנים והבונים נ' ממשלת ישראל</w:t>
      </w:r>
      <w:r w:rsidRPr="00632224">
        <w:rPr>
          <w:rFonts w:ascii="Arial TUR" w:hAnsi="Arial TUR" w:cs="FrankRuehl" w:hint="cs"/>
          <w:spacing w:val="10"/>
          <w:sz w:val="22"/>
          <w:szCs w:val="28"/>
          <w:rtl/>
        </w:rPr>
        <w:t xml:space="preserve">, פ"ד לד(3) 729, 745 (1980)). </w:t>
      </w:r>
      <w:r w:rsidRPr="00632224">
        <w:rPr>
          <w:rFonts w:ascii="Century" w:hAnsi="Century" w:cs="FrankRuehl" w:hint="cs"/>
          <w:spacing w:val="10"/>
          <w:sz w:val="22"/>
          <w:szCs w:val="28"/>
          <w:shd w:val="clear" w:color="auto" w:fill="FFFFFF"/>
          <w:rtl/>
        </w:rPr>
        <w:t>וכפי שלימדנו הפוזיטיביסט ג'ון אוסטין במודל הפקודה, חוק ללא סנקציה אינו חוק (</w:t>
      </w:r>
      <w:r w:rsidRPr="00632224">
        <w:rPr>
          <w:rFonts w:cs="FrankRuehl"/>
          <w:spacing w:val="10"/>
          <w:sz w:val="22"/>
          <w:szCs w:val="22"/>
        </w:rPr>
        <w:t>J</w:t>
      </w:r>
      <w:r w:rsidRPr="00632224">
        <w:rPr>
          <w:rFonts w:cs="FrankRuehl"/>
          <w:spacing w:val="10"/>
          <w:szCs w:val="20"/>
        </w:rPr>
        <w:t>OHN</w:t>
      </w:r>
      <w:r w:rsidRPr="00632224">
        <w:rPr>
          <w:rFonts w:cs="FrankRuehl"/>
          <w:spacing w:val="10"/>
          <w:sz w:val="24"/>
        </w:rPr>
        <w:t xml:space="preserve"> </w:t>
      </w:r>
      <w:r w:rsidRPr="00632224">
        <w:rPr>
          <w:rFonts w:cs="FrankRuehl"/>
          <w:spacing w:val="10"/>
          <w:sz w:val="22"/>
          <w:szCs w:val="22"/>
        </w:rPr>
        <w:t>A</w:t>
      </w:r>
      <w:r w:rsidRPr="00632224">
        <w:rPr>
          <w:rFonts w:cs="FrankRuehl"/>
          <w:spacing w:val="10"/>
          <w:szCs w:val="20"/>
        </w:rPr>
        <w:t>USTIN</w:t>
      </w:r>
      <w:r w:rsidRPr="00632224">
        <w:rPr>
          <w:rFonts w:cs="FrankRuehl"/>
          <w:spacing w:val="10"/>
          <w:sz w:val="24"/>
        </w:rPr>
        <w:t xml:space="preserve">, </w:t>
      </w:r>
      <w:r w:rsidRPr="00632224">
        <w:rPr>
          <w:rFonts w:cs="Times New Roman"/>
          <w:bCs/>
          <w:sz w:val="22"/>
          <w:szCs w:val="22"/>
        </w:rPr>
        <w:t>T</w:t>
      </w:r>
      <w:r w:rsidRPr="00632224">
        <w:rPr>
          <w:rFonts w:cs="Times New Roman"/>
          <w:bCs/>
          <w:smallCaps/>
          <w:szCs w:val="20"/>
        </w:rPr>
        <w:t>HE</w:t>
      </w:r>
      <w:r w:rsidRPr="00632224">
        <w:rPr>
          <w:rFonts w:cs="Times New Roman"/>
          <w:bCs/>
          <w:szCs w:val="20"/>
        </w:rPr>
        <w:t xml:space="preserve"> </w:t>
      </w:r>
      <w:r w:rsidRPr="00632224">
        <w:rPr>
          <w:rFonts w:cs="Times New Roman"/>
          <w:bCs/>
          <w:sz w:val="22"/>
          <w:szCs w:val="22"/>
        </w:rPr>
        <w:t>P</w:t>
      </w:r>
      <w:r w:rsidRPr="00632224">
        <w:rPr>
          <w:rFonts w:cs="Times New Roman"/>
          <w:bCs/>
          <w:smallCaps/>
          <w:szCs w:val="20"/>
        </w:rPr>
        <w:t>ROVINCE</w:t>
      </w:r>
      <w:r w:rsidRPr="00632224">
        <w:rPr>
          <w:rFonts w:cs="Times New Roman"/>
          <w:bCs/>
          <w:szCs w:val="20"/>
        </w:rPr>
        <w:t xml:space="preserve"> </w:t>
      </w:r>
      <w:r w:rsidRPr="00632224">
        <w:rPr>
          <w:rFonts w:cs="Times New Roman"/>
          <w:bCs/>
          <w:smallCaps/>
          <w:szCs w:val="20"/>
        </w:rPr>
        <w:t>OF</w:t>
      </w:r>
      <w:r w:rsidRPr="00632224">
        <w:rPr>
          <w:rFonts w:cs="Times New Roman"/>
          <w:bCs/>
          <w:szCs w:val="20"/>
        </w:rPr>
        <w:t xml:space="preserve"> </w:t>
      </w:r>
      <w:r w:rsidRPr="00632224">
        <w:rPr>
          <w:rFonts w:cs="Times New Roman"/>
          <w:bCs/>
          <w:sz w:val="22"/>
          <w:szCs w:val="22"/>
        </w:rPr>
        <w:t>J</w:t>
      </w:r>
      <w:r w:rsidRPr="00632224">
        <w:rPr>
          <w:rFonts w:cs="Times New Roman"/>
          <w:bCs/>
          <w:smallCaps/>
          <w:szCs w:val="20"/>
        </w:rPr>
        <w:t>URISPRUDENCE</w:t>
      </w:r>
      <w:r w:rsidRPr="00632224">
        <w:rPr>
          <w:rFonts w:cs="Times New Roman"/>
          <w:bCs/>
          <w:szCs w:val="20"/>
        </w:rPr>
        <w:t xml:space="preserve"> </w:t>
      </w:r>
      <w:r w:rsidRPr="00632224">
        <w:rPr>
          <w:rFonts w:cs="Times New Roman"/>
          <w:bCs/>
          <w:sz w:val="22"/>
          <w:szCs w:val="22"/>
        </w:rPr>
        <w:t>D</w:t>
      </w:r>
      <w:r w:rsidRPr="00632224">
        <w:rPr>
          <w:rFonts w:cs="Times New Roman"/>
          <w:bCs/>
          <w:smallCaps/>
          <w:szCs w:val="20"/>
        </w:rPr>
        <w:t>ETERMINED</w:t>
      </w:r>
      <w:r w:rsidRPr="00632224">
        <w:rPr>
          <w:rFonts w:cs="FrankRuehl"/>
          <w:spacing w:val="10"/>
          <w:sz w:val="18"/>
          <w:szCs w:val="18"/>
          <w:rtl/>
        </w:rPr>
        <w:t xml:space="preserve"> </w:t>
      </w:r>
      <w:r w:rsidRPr="00632224">
        <w:rPr>
          <w:rFonts w:cs="FrankRuehl"/>
          <w:spacing w:val="10"/>
          <w:sz w:val="28"/>
          <w:szCs w:val="28"/>
          <w:rtl/>
        </w:rPr>
        <w:t>(</w:t>
      </w:r>
      <w:r w:rsidRPr="00632224">
        <w:rPr>
          <w:rFonts w:ascii="Century" w:hAnsi="Century" w:cs="FrankRuehl"/>
          <w:spacing w:val="10"/>
          <w:sz w:val="22"/>
          <w:szCs w:val="28"/>
          <w:rtl/>
        </w:rPr>
        <w:t>1832</w:t>
      </w:r>
      <w:r w:rsidRPr="00632224">
        <w:rPr>
          <w:rFonts w:cs="FrankRuehl"/>
          <w:spacing w:val="10"/>
          <w:sz w:val="28"/>
          <w:szCs w:val="28"/>
          <w:rtl/>
        </w:rPr>
        <w:t>)</w:t>
      </w:r>
      <w:r w:rsidRPr="00632224">
        <w:rPr>
          <w:rFonts w:ascii="Century" w:hAnsi="Century" w:cs="FrankRuehl" w:hint="cs"/>
          <w:spacing w:val="10"/>
          <w:sz w:val="22"/>
          <w:szCs w:val="28"/>
          <w:shd w:val="clear" w:color="auto" w:fill="FFFFFF"/>
          <w:rtl/>
        </w:rPr>
        <w:t xml:space="preserve">; חיים שיין </w:t>
      </w:r>
      <w:r w:rsidRPr="00632224">
        <w:rPr>
          <w:rFonts w:ascii="Century" w:hAnsi="Century" w:cs="Miriam" w:hint="cs"/>
          <w:b/>
          <w:sz w:val="22"/>
          <w:shd w:val="clear" w:color="auto" w:fill="FFFFFF"/>
          <w:rtl/>
        </w:rPr>
        <w:t xml:space="preserve">הפילוסופיה של המשפט </w:t>
      </w:r>
      <w:r w:rsidRPr="00632224">
        <w:rPr>
          <w:rFonts w:ascii="Century" w:hAnsi="Century" w:cs="FrankRuehl"/>
          <w:spacing w:val="10"/>
          <w:sz w:val="22"/>
          <w:szCs w:val="28"/>
          <w:shd w:val="clear" w:color="auto" w:fill="FFFFFF"/>
          <w:rtl/>
        </w:rPr>
        <w:t>214</w:t>
      </w:r>
      <w:r w:rsidRPr="00632224">
        <w:rPr>
          <w:rFonts w:ascii="Century" w:hAnsi="Century" w:cs="FrankRuehl" w:hint="cs"/>
          <w:spacing w:val="10"/>
          <w:sz w:val="22"/>
          <w:szCs w:val="28"/>
          <w:shd w:val="clear" w:color="auto" w:fill="FFFFFF"/>
          <w:rtl/>
        </w:rPr>
        <w:t xml:space="preserve">-212 (2008)). לכן, </w:t>
      </w:r>
      <w:r w:rsidRPr="00632224">
        <w:rPr>
          <w:rFonts w:ascii="Arial TUR" w:hAnsi="Arial TUR" w:cs="FrankRuehl" w:hint="cs"/>
          <w:spacing w:val="10"/>
          <w:sz w:val="22"/>
          <w:szCs w:val="28"/>
          <w:rtl/>
        </w:rPr>
        <w:t xml:space="preserve">לדוגמה, כאשר שוללים את סמכותו של בית המשפט לדון בעבירות נשק מבלי לבטל את עבירות הנשק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הצד השני במשוואה הוא, </w:t>
      </w:r>
      <w:r w:rsidRPr="00632224">
        <w:rPr>
          <w:rFonts w:ascii="Century" w:hAnsi="Century" w:cs="Miriam" w:hint="cs"/>
          <w:b/>
          <w:sz w:val="22"/>
          <w:rtl/>
        </w:rPr>
        <w:t>שלמעשה</w:t>
      </w:r>
      <w:r w:rsidRPr="00632224">
        <w:rPr>
          <w:rFonts w:ascii="Arial TUR" w:hAnsi="Arial TUR" w:cs="FrankRuehl" w:hint="cs"/>
          <w:spacing w:val="10"/>
          <w:sz w:val="22"/>
          <w:szCs w:val="28"/>
          <w:rtl/>
        </w:rPr>
        <w:t xml:space="preserve">, ניתן להחזיק ולשאת נשק ולסחור בנשק באין מפריע, גם אם יש דין האוסר על כך. כאשר שוללים את סמכותו של בית המשפט לדון בעבירות תעבורה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הצד השני במשוואה הוא, </w:t>
      </w:r>
      <w:r w:rsidRPr="00632224">
        <w:rPr>
          <w:rFonts w:ascii="Century" w:hAnsi="Century" w:cs="Miriam" w:hint="eastAsia"/>
          <w:b/>
          <w:sz w:val="22"/>
          <w:rtl/>
        </w:rPr>
        <w:t>שלמעשה</w:t>
      </w:r>
      <w:r w:rsidRPr="00632224">
        <w:rPr>
          <w:rFonts w:ascii="Arial TUR" w:hAnsi="Arial TUR" w:cs="FrankRuehl" w:hint="cs"/>
          <w:spacing w:val="10"/>
          <w:sz w:val="22"/>
          <w:szCs w:val="28"/>
          <w:rtl/>
        </w:rPr>
        <w:t xml:space="preserve">, אין מניעה לנסוע במהירות מופרזת.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להבדיל מהדין הפלילי, המשפט המינהלי אינו חוק החרות עלי ספר החוקים, והוא כולו יציר הפסיקה, כך שהדברים נכונים ביתר שאת. כפי שהדגישה הכנסת בטיעוניה, מחובת הסבירות נגזרת עילת הסבירות. אך גם ההיפך הוא הנכון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w:t>
      </w:r>
      <w:r w:rsidRPr="00632224">
        <w:rPr>
          <w:rFonts w:ascii="Century" w:hAnsi="Century" w:cs="Miriam" w:hint="cs"/>
          <w:b/>
          <w:sz w:val="22"/>
          <w:rtl/>
        </w:rPr>
        <w:t>מעילת</w:t>
      </w:r>
      <w:r w:rsidRPr="00632224">
        <w:rPr>
          <w:rFonts w:ascii="Arial TUR" w:hAnsi="Arial TUR" w:cs="FrankRuehl" w:hint="cs"/>
          <w:spacing w:val="10"/>
          <w:sz w:val="22"/>
          <w:szCs w:val="28"/>
          <w:rtl/>
        </w:rPr>
        <w:t xml:space="preserve"> הסבירות נגזרת </w:t>
      </w:r>
      <w:r w:rsidRPr="00632224">
        <w:rPr>
          <w:rFonts w:ascii="Century" w:hAnsi="Century" w:cs="Miriam" w:hint="cs"/>
          <w:b/>
          <w:sz w:val="22"/>
          <w:rtl/>
        </w:rPr>
        <w:t>חובת</w:t>
      </w:r>
      <w:r w:rsidRPr="00632224">
        <w:rPr>
          <w:rFonts w:ascii="Arial TUR" w:hAnsi="Arial TUR" w:cs="FrankRuehl" w:hint="cs"/>
          <w:spacing w:val="10"/>
          <w:sz w:val="22"/>
          <w:szCs w:val="28"/>
          <w:rtl/>
        </w:rPr>
        <w:t xml:space="preserve"> הסבירות, ובהעדר עילת סבירות תידלדל חובת הסבירות ותיעלם. </w:t>
      </w:r>
      <w:r w:rsidRPr="00632224">
        <w:rPr>
          <w:rFonts w:ascii="Century" w:hAnsi="Century" w:cs="FrankRuehl" w:hint="cs"/>
          <w:spacing w:val="10"/>
          <w:sz w:val="22"/>
          <w:szCs w:val="28"/>
          <w:rtl/>
        </w:rPr>
        <w:lastRenderedPageBreak/>
        <w:t xml:space="preserve">בהעדר אפשרות לאכוף על הממשלה ושריה את החובה לנהוג בסבירות ובהיגיון (וכלשון החוק, בית המשפט "לא ידון"), המשמעות </w:t>
      </w:r>
      <w:r w:rsidRPr="00632224">
        <w:rPr>
          <w:rFonts w:ascii="Century" w:hAnsi="Century" w:cs="Miriam" w:hint="cs"/>
          <w:b/>
          <w:sz w:val="22"/>
          <w:rtl/>
        </w:rPr>
        <w:t xml:space="preserve">המעשית </w:t>
      </w:r>
      <w:r w:rsidRPr="00632224">
        <w:rPr>
          <w:rFonts w:ascii="Century" w:hAnsi="Century" w:cs="FrankRuehl" w:hint="cs"/>
          <w:spacing w:val="10"/>
          <w:sz w:val="22"/>
          <w:szCs w:val="28"/>
          <w:rtl/>
        </w:rPr>
        <w:t>היא שהממשלה ושריה פטורים מהחובה לנהוג בסבירות ובהיגיון: "רשות היודעת כי אם תפעל בחוסר סבירות קיצוני עשוי בית המשפט להתערב בפעולתה תבחן בעצמה, לפני מתן ההחלטה, את סבירותה" (</w:t>
      </w:r>
      <w:r w:rsidRPr="00632224">
        <w:rPr>
          <w:rFonts w:ascii="Century" w:hAnsi="Century" w:cs="FrankRuehl" w:hint="eastAsia"/>
          <w:spacing w:val="10"/>
          <w:sz w:val="22"/>
          <w:szCs w:val="28"/>
          <w:rtl/>
        </w:rPr>
        <w:t>עניין</w:t>
      </w:r>
      <w:r w:rsidRPr="00632224">
        <w:rPr>
          <w:rFonts w:ascii="Century" w:hAnsi="Century" w:cs="FrankRuehl"/>
          <w:spacing w:val="10"/>
          <w:sz w:val="22"/>
          <w:szCs w:val="28"/>
          <w:rtl/>
        </w:rPr>
        <w:t xml:space="preserve"> </w:t>
      </w:r>
      <w:r w:rsidRPr="00632224">
        <w:rPr>
          <w:rFonts w:ascii="Century" w:hAnsi="Century" w:cs="Miriam" w:hint="eastAsia"/>
          <w:b/>
          <w:sz w:val="22"/>
          <w:rtl/>
        </w:rPr>
        <w:t>הנגבי</w:t>
      </w:r>
      <w:r w:rsidRPr="00632224">
        <w:rPr>
          <w:rFonts w:ascii="Century" w:hAnsi="Century" w:cs="FrankRuehl" w:hint="cs"/>
          <w:spacing w:val="10"/>
          <w:sz w:val="22"/>
          <w:szCs w:val="28"/>
          <w:rtl/>
        </w:rPr>
        <w:t xml:space="preserve">, בפסקה 2 לפסק דינה של השופטת </w:t>
      </w:r>
      <w:r w:rsidRPr="00632224">
        <w:rPr>
          <w:rFonts w:ascii="Century" w:hAnsi="Century" w:cs="Miriam" w:hint="eastAsia"/>
          <w:b/>
          <w:sz w:val="22"/>
          <w:rtl/>
        </w:rPr>
        <w:t>נאור</w:t>
      </w:r>
      <w:r w:rsidRPr="00632224">
        <w:rPr>
          <w:rFonts w:ascii="Century" w:hAnsi="Century" w:cs="FrankRuehl" w:hint="cs"/>
          <w:spacing w:val="10"/>
          <w:sz w:val="22"/>
          <w:szCs w:val="28"/>
          <w:rtl/>
        </w:rPr>
        <w:t>). המשמעות המעשית של התיקון לחוק היסוד, מקבלת משנה תוקף לנוכח העובדה ש</w:t>
      </w:r>
      <w:r w:rsidRPr="00632224">
        <w:rPr>
          <w:rFonts w:ascii="Arial TUR" w:hAnsi="Arial TUR" w:cs="FrankRuehl" w:hint="cs"/>
          <w:spacing w:val="10"/>
          <w:sz w:val="22"/>
          <w:szCs w:val="28"/>
          <w:rtl/>
        </w:rPr>
        <w:t xml:space="preserve">במהלך ישיבות </w:t>
      </w:r>
      <w:r w:rsidRPr="00632224">
        <w:rPr>
          <w:rFonts w:ascii="Century" w:hAnsi="Century" w:cs="FrankRuehl" w:hint="cs"/>
          <w:spacing w:val="10"/>
          <w:sz w:val="22"/>
          <w:szCs w:val="28"/>
          <w:rtl/>
        </w:rPr>
        <w:t xml:space="preserve">ועדת החוקה, </w:t>
      </w:r>
      <w:r w:rsidRPr="00632224">
        <w:rPr>
          <w:rFonts w:ascii="Arial TUR" w:hAnsi="Arial TUR" w:cs="FrankRuehl" w:hint="cs"/>
          <w:spacing w:val="10"/>
          <w:sz w:val="22"/>
          <w:szCs w:val="28"/>
          <w:rtl/>
        </w:rPr>
        <w:t>הועלתה הצעה לקבוע במפורש שהשרים חייבים לפעול בסבירות, אך המכונן בחר שלא לכלול חובה זו, אפילו לא בממד ההצהרתי</w:t>
      </w:r>
      <w:r w:rsidRPr="00632224">
        <w:rPr>
          <w:rFonts w:ascii="Century" w:hAnsi="Century" w:cs="FrankRuehl" w:hint="cs"/>
          <w:spacing w:val="10"/>
          <w:sz w:val="22"/>
          <w:szCs w:val="28"/>
          <w:rtl/>
        </w:rPr>
        <w:t>.</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כאשר שוללים את סמכותו של בית המשפט לדון בעילת הסבירות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החלק השני במשוואה הוא שכל שר ונבחר ציבור עשוי לראות עצמו פטור מחובת הסבירות ויכול לנהוג בחוסר סבירות. האם זה המסר החינוכי-תדמיתי של החוקה בישראל? האם אלה הערכים שהחוקה אמורה להנחיל ולהשריש בתודעת הציבור? (על התפקיד החינוכי-תדמיתי של החוקה ראו </w:t>
      </w:r>
      <w:r w:rsidRPr="00632224">
        <w:rPr>
          <w:rFonts w:ascii="Century" w:hAnsi="Century" w:cs="Miriam" w:hint="cs"/>
          <w:b/>
          <w:sz w:val="22"/>
          <w:rtl/>
        </w:rPr>
        <w:t xml:space="preserve">דותן </w:t>
      </w:r>
      <w:r w:rsidRPr="00632224">
        <w:rPr>
          <w:rFonts w:ascii="Century" w:hAnsi="Century" w:cs="Miriam"/>
          <w:b/>
          <w:sz w:val="22"/>
          <w:rtl/>
        </w:rPr>
        <w:t>הדיאלוג הקונסטיטוציוני</w:t>
      </w:r>
      <w:r w:rsidRPr="00632224">
        <w:rPr>
          <w:rFonts w:ascii="Arial TUR" w:hAnsi="Arial TUR" w:cs="FrankRuehl" w:hint="cs"/>
          <w:spacing w:val="10"/>
          <w:sz w:val="22"/>
          <w:szCs w:val="28"/>
          <w:rtl/>
        </w:rPr>
        <w:t>, בעמ' 163-162).</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וכעת, צא ולמד: המכונן הישראלי הוא היחיד בעולם שכלל בחוקה פטור משתמע לממשלה, לראשיה ולשריה מלנהוג בסבירות ובהגיון.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61.</w:t>
      </w:r>
      <w:r w:rsidRPr="00632224">
        <w:rPr>
          <w:rFonts w:ascii="Century" w:hAnsi="Century" w:cs="Miriam"/>
          <w:b/>
          <w:sz w:val="22"/>
          <w:rtl/>
        </w:rPr>
        <w:tab/>
      </w:r>
      <w:r w:rsidRPr="00632224">
        <w:rPr>
          <w:rFonts w:ascii="Century" w:hAnsi="Century" w:cs="Miriam" w:hint="cs"/>
          <w:b/>
          <w:sz w:val="22"/>
          <w:rtl/>
        </w:rPr>
        <w:t>היבט שני</w:t>
      </w:r>
      <w:r w:rsidRPr="00632224">
        <w:rPr>
          <w:rFonts w:ascii="Century" w:hAnsi="Century" w:cs="Miriam"/>
          <w:b/>
          <w:sz w:val="22"/>
          <w:rtl/>
        </w:rPr>
        <w:t>:</w:t>
      </w:r>
      <w:r w:rsidRPr="00632224">
        <w:rPr>
          <w:rFonts w:ascii="Arial TUR" w:hAnsi="Arial TUR" w:cs="FrankRuehl" w:hint="cs"/>
          <w:spacing w:val="10"/>
          <w:sz w:val="22"/>
          <w:szCs w:val="28"/>
          <w:rtl/>
        </w:rPr>
        <w:t xml:space="preserve"> הכנסת העלתה טענה בנוסח "לא אלמן ישראל". ככל שתוגש עתירה ותעלה טענה להפרת חובה מינהלית, בית המשפט יוכל לבחון את הדברים על פי עילות ביקורת אחרות כמו שיקולים זרים. לשיטה זו, ביטול הביקורת על פי עילת הסבירות אינו צעד כה דרמטי, שהרי לבית המשפט יש ארסנל כלים שעומד לרשותו על מנת לפסול החלטות מינהליות, כמו שיקולים זרים.</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הפסיקה עמדה על כך ש</w:t>
      </w:r>
      <w:r w:rsidRPr="00632224">
        <w:rPr>
          <w:rFonts w:ascii="Century" w:hAnsi="Century" w:cs="FrankRuehl" w:hint="cs"/>
          <w:spacing w:val="10"/>
          <w:szCs w:val="28"/>
          <w:rtl/>
        </w:rPr>
        <w:t>על הטוען "'כי הרשות המינהלית שקלה שיקולים זרים מוטל נטל שאינו פשוט להוכחה, שכן מדובר במשימה קשה עבור בית המשפט המחייבת פענוח 'כליות ולב' של רשות מינהלית כדי לעמוד על טיב השיקולים שנשקלו' [...]. לפתחו של המבקש להוכיח כי רשות מנהלית שקלה שיקול סובייקטיבי זר רובץ אפוא נטל המחייב הנחת תשתית עובדתית מוצקה ומלאכה זו אינה פשוט</w:t>
      </w:r>
      <w:r>
        <w:rPr>
          <w:rFonts w:ascii="Century" w:hAnsi="Century" w:cs="FrankRuehl" w:hint="cs"/>
          <w:spacing w:val="10"/>
          <w:szCs w:val="28"/>
          <w:rtl/>
        </w:rPr>
        <w:t>ה</w:t>
      </w:r>
      <w:r w:rsidRPr="00632224">
        <w:rPr>
          <w:rFonts w:ascii="Century" w:hAnsi="Century" w:cs="FrankRuehl" w:hint="cs"/>
          <w:spacing w:val="10"/>
          <w:szCs w:val="28"/>
          <w:rtl/>
        </w:rPr>
        <w:t>"</w:t>
      </w:r>
      <w:r w:rsidRPr="00632224">
        <w:rPr>
          <w:rFonts w:ascii="Arial TUR" w:hAnsi="Arial TUR" w:cs="FrankRuehl" w:hint="cs"/>
          <w:spacing w:val="10"/>
          <w:sz w:val="22"/>
          <w:szCs w:val="28"/>
          <w:rtl/>
        </w:rPr>
        <w:t xml:space="preserve"> (בג"ץ 4790/14 </w:t>
      </w:r>
      <w:r w:rsidRPr="00632224">
        <w:rPr>
          <w:rFonts w:ascii="Century" w:hAnsi="Century" w:cs="Miriam" w:hint="cs"/>
          <w:b/>
          <w:sz w:val="22"/>
          <w:rtl/>
        </w:rPr>
        <w:t>יהדות התורה-אגודת ישראל-דגל התורה נ' השר לשירותי דת</w:t>
      </w:r>
      <w:r w:rsidRPr="00632224">
        <w:rPr>
          <w:rFonts w:ascii="Arial TUR" w:hAnsi="Arial TUR" w:cs="FrankRuehl" w:hint="cs"/>
          <w:spacing w:val="10"/>
          <w:sz w:val="22"/>
          <w:szCs w:val="28"/>
          <w:rtl/>
        </w:rPr>
        <w:t xml:space="preserve">, פסקה 50 והאסמכתאות שם (19.10.2014) (להלן: עניין </w:t>
      </w:r>
      <w:r w:rsidRPr="00632224">
        <w:rPr>
          <w:rFonts w:ascii="Century" w:hAnsi="Century" w:cs="Miriam" w:hint="cs"/>
          <w:b/>
          <w:sz w:val="22"/>
          <w:rtl/>
        </w:rPr>
        <w:t>יהדות התורה</w:t>
      </w:r>
      <w:r w:rsidRPr="00632224">
        <w:rPr>
          <w:rFonts w:ascii="Arial TUR" w:hAnsi="Arial TUR" w:cs="FrankRuehl" w:hint="cs"/>
          <w:spacing w:val="10"/>
          <w:sz w:val="22"/>
          <w:szCs w:val="28"/>
          <w:rtl/>
        </w:rPr>
        <w:t xml:space="preserve">); בג"ץ 446/12 </w:t>
      </w:r>
      <w:r w:rsidRPr="00632224">
        <w:rPr>
          <w:rFonts w:ascii="Century" w:hAnsi="Century" w:cs="Miriam" w:hint="cs"/>
          <w:b/>
          <w:sz w:val="22"/>
          <w:rtl/>
        </w:rPr>
        <w:t>האגודה לצדק חלוקתי בע"מ נ' מועצת מקרקעי ישראל</w:t>
      </w:r>
      <w:r w:rsidRPr="00632224">
        <w:rPr>
          <w:rFonts w:ascii="Arial TUR" w:hAnsi="Arial TUR" w:cs="FrankRuehl" w:hint="cs"/>
          <w:spacing w:val="10"/>
          <w:sz w:val="22"/>
          <w:szCs w:val="28"/>
          <w:rtl/>
        </w:rPr>
        <w:t xml:space="preserve">, פסקה 23 (26.8.2012)). מטבע הדברים בית המשפט אינו בוחן כליות ולב, </w:t>
      </w:r>
      <w:r w:rsidRPr="00632224">
        <w:rPr>
          <w:rFonts w:ascii="Century" w:hAnsi="Century" w:cs="FrankRuehl" w:hint="cs"/>
          <w:spacing w:val="10"/>
          <w:szCs w:val="28"/>
          <w:rtl/>
        </w:rPr>
        <w:t xml:space="preserve">ולכך יש להוסיף את </w:t>
      </w:r>
      <w:r w:rsidRPr="00632224">
        <w:rPr>
          <w:rFonts w:ascii="Arial TUR" w:hAnsi="Arial TUR" w:cs="FrankRuehl" w:hint="cs"/>
          <w:spacing w:val="10"/>
          <w:sz w:val="22"/>
          <w:szCs w:val="28"/>
          <w:rtl/>
        </w:rPr>
        <w:t xml:space="preserve">פערי המידע שבין האזרח-העותר לבין הרשות </w:t>
      </w:r>
      <w:r w:rsidRPr="00632224">
        <w:rPr>
          <w:rFonts w:ascii="Arial TUR" w:hAnsi="Arial TUR" w:cs="FrankRuehl" w:hint="cs"/>
          <w:spacing w:val="10"/>
          <w:sz w:val="22"/>
          <w:szCs w:val="28"/>
          <w:rtl/>
        </w:rPr>
        <w:lastRenderedPageBreak/>
        <w:t xml:space="preserve">המינהלית, שאינם מאפשרים להיכנס אל מאחורי הקלעים של קבלת ההחלטה, על מנת להוכיח שיקולים זרים.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shd w:val="clear" w:color="auto" w:fill="FFFFFF"/>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עילת הסבירות היא הכלי המאפשר לבית המשפט לחשוף שיקולים זרים או "מרעין בישין" אחרים שדבקו בהחלטה המינהלית, שקשה להוכיחם, ו"</w:t>
      </w:r>
      <w:r w:rsidRPr="00632224">
        <w:rPr>
          <w:rFonts w:ascii="Century" w:hAnsi="Century" w:cs="FrankRuehl"/>
          <w:spacing w:val="10"/>
          <w:sz w:val="22"/>
          <w:szCs w:val="28"/>
          <w:shd w:val="clear" w:color="auto" w:fill="FFFFFF"/>
          <w:rtl/>
        </w:rPr>
        <w:t>במקרים אלה, ניתן עדיין להצביע על האופי הבלתי מאוזן של ההחלטה, בהתחשב במניעיה הגלויים של הרשות</w:t>
      </w:r>
      <w:r w:rsidRPr="00632224">
        <w:rPr>
          <w:rFonts w:ascii="Century" w:hAnsi="Century" w:cs="FrankRuehl" w:hint="cs"/>
          <w:spacing w:val="10"/>
          <w:sz w:val="22"/>
          <w:szCs w:val="28"/>
          <w:rtl/>
        </w:rPr>
        <w:t>" (</w:t>
      </w:r>
      <w:r w:rsidRPr="00632224">
        <w:rPr>
          <w:rFonts w:ascii="Century" w:hAnsi="Century" w:cs="Miriam" w:hint="eastAsia"/>
          <w:b/>
          <w:sz w:val="22"/>
          <w:shd w:val="clear" w:color="auto" w:fill="FFFFFF"/>
          <w:rtl/>
        </w:rPr>
        <w:t>ברק</w:t>
      </w:r>
      <w:r w:rsidRPr="00632224">
        <w:rPr>
          <w:rFonts w:ascii="Century" w:hAnsi="Century" w:cs="Miriam"/>
          <w:b/>
          <w:sz w:val="22"/>
          <w:shd w:val="clear" w:color="auto" w:fill="FFFFFF"/>
          <w:rtl/>
        </w:rPr>
        <w:t>-</w:t>
      </w:r>
      <w:r w:rsidRPr="00632224">
        <w:rPr>
          <w:rFonts w:ascii="Century" w:hAnsi="Century" w:cs="Miriam" w:hint="eastAsia"/>
          <w:b/>
          <w:sz w:val="22"/>
          <w:shd w:val="clear" w:color="auto" w:fill="FFFFFF"/>
          <w:rtl/>
        </w:rPr>
        <w:t>ארז</w:t>
      </w:r>
      <w:r w:rsidRPr="00632224">
        <w:rPr>
          <w:rFonts w:ascii="Century" w:hAnsi="Century" w:cs="FrankRuehl"/>
          <w:spacing w:val="10"/>
          <w:sz w:val="22"/>
          <w:szCs w:val="28"/>
          <w:shd w:val="clear" w:color="auto" w:fill="FFFFFF"/>
          <w:rtl/>
        </w:rPr>
        <w:t> </w:t>
      </w:r>
      <w:r w:rsidRPr="00632224">
        <w:rPr>
          <w:rFonts w:ascii="Century" w:hAnsi="Century" w:cs="Miriam"/>
          <w:b/>
          <w:sz w:val="22"/>
          <w:shd w:val="clear" w:color="auto" w:fill="FFFFFF"/>
          <w:rtl/>
        </w:rPr>
        <w:t>משפט מ</w:t>
      </w:r>
      <w:r w:rsidRPr="00632224">
        <w:rPr>
          <w:rFonts w:ascii="Century" w:hAnsi="Century" w:cs="Miriam" w:hint="cs"/>
          <w:b/>
          <w:sz w:val="22"/>
          <w:shd w:val="clear" w:color="auto" w:fill="FFFFFF"/>
          <w:rtl/>
        </w:rPr>
        <w:t>י</w:t>
      </w:r>
      <w:r w:rsidRPr="00632224">
        <w:rPr>
          <w:rFonts w:ascii="Century" w:hAnsi="Century" w:cs="Miriam"/>
          <w:b/>
          <w:sz w:val="22"/>
          <w:shd w:val="clear" w:color="auto" w:fill="FFFFFF"/>
          <w:rtl/>
        </w:rPr>
        <w:t>נהלי</w:t>
      </w:r>
      <w:r w:rsidRPr="00632224">
        <w:rPr>
          <w:rFonts w:ascii="Century" w:hAnsi="Century" w:cs="FrankRuehl"/>
          <w:spacing w:val="10"/>
          <w:sz w:val="22"/>
          <w:szCs w:val="28"/>
          <w:shd w:val="clear" w:color="auto" w:fill="FFFFFF"/>
          <w:rtl/>
        </w:rPr>
        <w:t xml:space="preserve">, כרך ב </w:t>
      </w:r>
      <w:r w:rsidRPr="00632224">
        <w:rPr>
          <w:rFonts w:ascii="Century" w:hAnsi="Century" w:cs="FrankRuehl" w:hint="cs"/>
          <w:spacing w:val="10"/>
          <w:sz w:val="22"/>
          <w:szCs w:val="28"/>
          <w:shd w:val="clear" w:color="auto" w:fill="FFFFFF"/>
          <w:rtl/>
        </w:rPr>
        <w:t xml:space="preserve">בעמ' 726). או </w:t>
      </w:r>
      <w:r w:rsidRPr="00632224">
        <w:rPr>
          <w:rFonts w:ascii="Arial TUR" w:hAnsi="Arial TUR" w:cs="FrankRuehl" w:hint="cs"/>
          <w:spacing w:val="10"/>
          <w:sz w:val="22"/>
          <w:szCs w:val="28"/>
          <w:rtl/>
        </w:rPr>
        <w:t xml:space="preserve">כפי שציין חברי, השופט </w:t>
      </w:r>
      <w:r w:rsidRPr="00632224">
        <w:rPr>
          <w:rFonts w:ascii="Century" w:hAnsi="Century" w:cs="Miriam" w:hint="cs"/>
          <w:b/>
          <w:sz w:val="22"/>
          <w:rtl/>
        </w:rPr>
        <w:t>שטיין</w:t>
      </w:r>
      <w:r w:rsidRPr="00632224">
        <w:rPr>
          <w:rFonts w:ascii="Arial TUR" w:hAnsi="Arial TUR" w:cs="FrankRuehl" w:hint="cs"/>
          <w:spacing w:val="10"/>
          <w:sz w:val="22"/>
          <w:szCs w:val="28"/>
          <w:rtl/>
        </w:rPr>
        <w:t xml:space="preserve"> בעניין </w:t>
      </w:r>
      <w:r w:rsidRPr="00632224">
        <w:rPr>
          <w:rFonts w:ascii="Century" w:hAnsi="Century" w:cs="Miriam" w:hint="cs"/>
          <w:b/>
          <w:sz w:val="22"/>
          <w:rtl/>
        </w:rPr>
        <w:t>דרעי הרביעי</w:t>
      </w:r>
      <w:r w:rsidRPr="00632224">
        <w:rPr>
          <w:rFonts w:ascii="Arial TUR" w:hAnsi="Arial TUR" w:cs="FrankRuehl" w:hint="cs"/>
          <w:spacing w:val="10"/>
          <w:sz w:val="22"/>
          <w:szCs w:val="28"/>
          <w:rtl/>
        </w:rPr>
        <w:t>: "</w:t>
      </w:r>
      <w:r w:rsidRPr="00632224">
        <w:rPr>
          <w:rFonts w:ascii="Arial TUR" w:hAnsi="Arial TUR" w:cs="FrankRuehl" w:hint="eastAsia"/>
          <w:spacing w:val="10"/>
          <w:sz w:val="22"/>
          <w:szCs w:val="28"/>
          <w:rtl/>
        </w:rPr>
        <w:t>דוקטרינת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הסבירות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קובעת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החלטה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מינהלית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אשר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נראית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פניה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בלתי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סבירה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במידה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קיצונית</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w:t>
      </w:r>
      <w:r w:rsidRPr="00632224">
        <w:rPr>
          <w:rFonts w:ascii="Arial TUR" w:hAnsi="Arial TUR" w:cs="FrankRuehl" w:hint="eastAsia"/>
          <w:spacing w:val="10"/>
          <w:sz w:val="22"/>
          <w:szCs w:val="28"/>
          <w:rtl/>
        </w:rPr>
        <w:t>היא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החלטה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שלבטח</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לוקה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באחד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הפגמים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היסודיים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כדוגמת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שרירות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שיקולים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זרים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והפליה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וזאת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אף</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שקיומו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פגם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כגון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איננו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גלוי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לעין</w:t>
      </w:r>
      <w:r w:rsidRPr="00632224">
        <w:rPr>
          <w:rFonts w:ascii="Arial TUR" w:hAnsi="Arial TUR" w:cs="FrankRuehl" w:hint="cs"/>
          <w:spacing w:val="10"/>
          <w:sz w:val="22"/>
          <w:szCs w:val="28"/>
          <w:rtl/>
        </w:rPr>
        <w:t>' [...] מ</w:t>
      </w:r>
      <w:r w:rsidRPr="00632224">
        <w:rPr>
          <w:rFonts w:ascii="Arial TUR" w:hAnsi="Arial TUR" w:cs="FrankRuehl" w:hint="eastAsia"/>
          <w:spacing w:val="10"/>
          <w:sz w:val="22"/>
          <w:szCs w:val="28"/>
          <w:rtl/>
        </w:rPr>
        <w:t>ספקת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לבתי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המשפט</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כלי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יעיל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והכרחי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לביקורת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שיפוטית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תחת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חוסר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ודאות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ואינה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מאפשרת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לרשויות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השלטון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להסתיר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קלקלתן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ידי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ניצול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עמימות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המסד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העובדתי</w:t>
      </w:r>
      <w:r w:rsidRPr="00632224">
        <w:rPr>
          <w:rFonts w:ascii="Arial TUR" w:hAnsi="Arial TUR" w:cs="FrankRuehl" w:hint="cs"/>
          <w:spacing w:val="10"/>
          <w:sz w:val="22"/>
          <w:szCs w:val="28"/>
          <w:rtl/>
        </w:rPr>
        <w:t>" (</w:t>
      </w:r>
      <w:r w:rsidRPr="00632224">
        <w:rPr>
          <w:rFonts w:ascii="Century" w:hAnsi="Century" w:cs="Miriam" w:hint="eastAsia"/>
          <w:b/>
          <w:sz w:val="22"/>
          <w:rtl/>
        </w:rPr>
        <w:t>שם</w:t>
      </w:r>
      <w:r w:rsidRPr="00632224">
        <w:rPr>
          <w:rFonts w:ascii="Arial TUR" w:hAnsi="Arial TUR" w:cs="FrankRuehl" w:hint="cs"/>
          <w:spacing w:val="10"/>
          <w:sz w:val="22"/>
          <w:szCs w:val="28"/>
          <w:rtl/>
        </w:rPr>
        <w:t xml:space="preserve">, בפסקה 35 לפסק דינו). </w:t>
      </w:r>
      <w:r w:rsidRPr="00632224">
        <w:rPr>
          <w:rFonts w:ascii="Century" w:hAnsi="Century" w:cs="FrankRuehl" w:hint="cs"/>
          <w:spacing w:val="10"/>
          <w:sz w:val="22"/>
          <w:szCs w:val="28"/>
          <w:shd w:val="clear" w:color="auto" w:fill="FFFFFF"/>
          <w:rtl/>
        </w:rPr>
        <w:t>עילת הסבירות נועדה אפוא להתגבר על הקושי להוכיח מניעים זרים:</w:t>
      </w:r>
    </w:p>
    <w:p w:rsidR="00244560" w:rsidRPr="00632224" w:rsidRDefault="00244560" w:rsidP="00244560">
      <w:pPr>
        <w:ind w:left="1644" w:right="1276"/>
        <w:jc w:val="both"/>
        <w:rPr>
          <w:rFonts w:ascii="Arial TUR" w:hAnsi="Arial TUR" w:cs="FrankRuehl"/>
          <w:spacing w:val="10"/>
          <w:sz w:val="22"/>
          <w:szCs w:val="28"/>
          <w:shd w:val="clear" w:color="auto" w:fill="FFFFFF"/>
          <w:rtl/>
        </w:rPr>
      </w:pPr>
    </w:p>
    <w:p w:rsidR="00244560" w:rsidRPr="00632224" w:rsidRDefault="00244560" w:rsidP="00244560">
      <w:pPr>
        <w:ind w:left="1644" w:right="1276"/>
        <w:jc w:val="both"/>
        <w:rPr>
          <w:rFonts w:ascii="Century" w:hAnsi="Century" w:cs="FrankRuehl"/>
          <w:spacing w:val="10"/>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אכן, נטל קשה מוטל על עותר, החייב להוכיח שיקול סובייקטיבי פסול של רשות מוסמכת. מחשבות קשות הן להוכחה, ומחשבות שלא כדין על אחת כמה וכמה. מכאן המגמה המודרנית במשפט המינהלי לעבור ממבחנים סובייקטיביים באשר לפסלות שיקול הדעת (כגון שיקולים זרים)</w:t>
      </w:r>
      <w:r w:rsidRPr="00632224">
        <w:rPr>
          <w:rFonts w:cs="FrankRuehl"/>
          <w:spacing w:val="10"/>
          <w:sz w:val="24"/>
          <w:szCs w:val="28"/>
          <w:rtl/>
        </w:rPr>
        <w:t xml:space="preserve"> </w:t>
      </w:r>
      <w:r w:rsidRPr="00632224">
        <w:rPr>
          <w:rFonts w:ascii="Arial TUR" w:hAnsi="Arial TUR" w:cs="FrankRuehl"/>
          <w:spacing w:val="10"/>
          <w:sz w:val="22"/>
          <w:szCs w:val="28"/>
          <w:rtl/>
        </w:rPr>
        <w:t>לעבר מבחנים אובייקטיביים (כגון סבירות)</w:t>
      </w:r>
      <w:r w:rsidRPr="00632224">
        <w:rPr>
          <w:rFonts w:ascii="Arial TUR" w:hAnsi="Arial TUR" w:cs="FrankRuehl" w:hint="cs"/>
          <w:spacing w:val="10"/>
          <w:sz w:val="22"/>
          <w:szCs w:val="28"/>
          <w:rtl/>
        </w:rPr>
        <w:t xml:space="preserve">" </w:t>
      </w:r>
      <w:r w:rsidRPr="00632224">
        <w:rPr>
          <w:rFonts w:ascii="Century" w:hAnsi="Century" w:cs="FrankRuehl" w:hint="cs"/>
          <w:spacing w:val="10"/>
          <w:szCs w:val="28"/>
          <w:rtl/>
        </w:rPr>
        <w:t>(</w:t>
      </w:r>
      <w:r w:rsidRPr="00632224">
        <w:rPr>
          <w:rFonts w:ascii="Century" w:hAnsi="Century" w:cs="FrankRuehl" w:hint="eastAsia"/>
          <w:spacing w:val="10"/>
          <w:sz w:val="22"/>
          <w:szCs w:val="28"/>
          <w:rtl/>
        </w:rPr>
        <w:t>בג</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ץ</w:t>
      </w:r>
      <w:r w:rsidRPr="00632224">
        <w:rPr>
          <w:rFonts w:ascii="Century" w:hAnsi="Century" w:cs="FrankRuehl"/>
          <w:spacing w:val="10"/>
          <w:sz w:val="22"/>
          <w:szCs w:val="28"/>
          <w:rtl/>
        </w:rPr>
        <w:t xml:space="preserve"> 571/89 </w:t>
      </w:r>
      <w:r w:rsidRPr="00632224">
        <w:rPr>
          <w:rFonts w:ascii="Century" w:hAnsi="Century" w:cs="Miriam" w:hint="eastAsia"/>
          <w:b/>
          <w:sz w:val="22"/>
          <w:rtl/>
        </w:rPr>
        <w:t>מוסקוביץ</w:t>
      </w:r>
      <w:r w:rsidRPr="00632224">
        <w:rPr>
          <w:rFonts w:ascii="Century" w:hAnsi="Century" w:cs="Miriam"/>
          <w:b/>
          <w:sz w:val="22"/>
          <w:rtl/>
        </w:rPr>
        <w:t xml:space="preserve"> </w:t>
      </w:r>
      <w:r w:rsidRPr="00632224">
        <w:rPr>
          <w:rFonts w:ascii="Century" w:hAnsi="Century" w:cs="Miriam" w:hint="eastAsia"/>
          <w:b/>
          <w:sz w:val="22"/>
          <w:rtl/>
        </w:rPr>
        <w:t>נ</w:t>
      </w:r>
      <w:r w:rsidRPr="00632224">
        <w:rPr>
          <w:rFonts w:ascii="Century" w:hAnsi="Century" w:cs="Miriam"/>
          <w:b/>
          <w:sz w:val="22"/>
          <w:rtl/>
        </w:rPr>
        <w:t xml:space="preserve">' </w:t>
      </w:r>
      <w:r w:rsidRPr="00632224">
        <w:rPr>
          <w:rFonts w:ascii="Century" w:hAnsi="Century" w:cs="Miriam" w:hint="eastAsia"/>
          <w:b/>
          <w:sz w:val="22"/>
          <w:rtl/>
        </w:rPr>
        <w:t>מועצת</w:t>
      </w:r>
      <w:r w:rsidRPr="00632224">
        <w:rPr>
          <w:rFonts w:ascii="Century" w:hAnsi="Century" w:cs="Miriam"/>
          <w:b/>
          <w:sz w:val="22"/>
          <w:rtl/>
        </w:rPr>
        <w:t xml:space="preserve"> </w:t>
      </w:r>
      <w:r w:rsidRPr="00632224">
        <w:rPr>
          <w:rFonts w:ascii="Century" w:hAnsi="Century" w:cs="Miriam" w:hint="eastAsia"/>
          <w:b/>
          <w:sz w:val="22"/>
          <w:rtl/>
        </w:rPr>
        <w:t>השמאים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פ</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מד</w:t>
      </w:r>
      <w:r w:rsidRPr="00632224">
        <w:rPr>
          <w:rFonts w:ascii="Century" w:hAnsi="Century" w:cs="FrankRuehl" w:hint="cs"/>
          <w:spacing w:val="10"/>
          <w:szCs w:val="28"/>
          <w:rtl/>
        </w:rPr>
        <w:t>(2) 236, 246 (1990)).</w:t>
      </w:r>
    </w:p>
    <w:p w:rsidR="00244560" w:rsidRPr="00632224" w:rsidRDefault="00244560" w:rsidP="00244560">
      <w:pPr>
        <w:ind w:left="1644" w:right="1276"/>
        <w:jc w:val="both"/>
        <w:rPr>
          <w:rFonts w:ascii="Century" w:hAnsi="Century" w:cs="FrankRuehl"/>
          <w:spacing w:val="10"/>
          <w:sz w:val="22"/>
          <w:szCs w:val="28"/>
          <w:shd w:val="clear" w:color="auto" w:fill="FFFFFF"/>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62.</w:t>
      </w:r>
      <w:r w:rsidRPr="00632224">
        <w:rPr>
          <w:rFonts w:ascii="Arial TUR" w:hAnsi="Arial TUR" w:cs="FrankRuehl" w:hint="cs"/>
          <w:spacing w:val="10"/>
          <w:sz w:val="22"/>
          <w:szCs w:val="28"/>
          <w:rtl/>
        </w:rPr>
        <w:tab/>
      </w:r>
      <w:r w:rsidRPr="00632224">
        <w:rPr>
          <w:rFonts w:ascii="Arial TUR" w:hAnsi="Arial TUR" w:cs="FrankRuehl" w:hint="eastAsia"/>
          <w:spacing w:val="10"/>
          <w:sz w:val="22"/>
          <w:szCs w:val="28"/>
          <w:rtl/>
        </w:rPr>
        <w:t>ומזווית</w:t>
      </w:r>
      <w:r w:rsidRPr="00632224">
        <w:rPr>
          <w:rFonts w:ascii="Arial TUR" w:hAnsi="Arial TUR" w:cs="FrankRuehl"/>
          <w:spacing w:val="10"/>
          <w:sz w:val="22"/>
          <w:szCs w:val="28"/>
          <w:rtl/>
        </w:rPr>
        <w:t xml:space="preserve"> אחרת: </w:t>
      </w:r>
      <w:r w:rsidRPr="00632224">
        <w:rPr>
          <w:rFonts w:ascii="Arial TUR" w:hAnsi="Arial TUR" w:cs="FrankRuehl" w:hint="eastAsia"/>
          <w:spacing w:val="10"/>
          <w:sz w:val="22"/>
          <w:szCs w:val="28"/>
          <w:rtl/>
        </w:rPr>
        <w:t>אם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התיקון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לחוק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היסוד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יעמוד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כנו</w:t>
      </w:r>
      <w:r w:rsidRPr="00632224">
        <w:rPr>
          <w:rFonts w:ascii="Arial TUR" w:hAnsi="Arial TUR" w:cs="FrankRuehl"/>
          <w:spacing w:val="10"/>
          <w:sz w:val="22"/>
          <w:szCs w:val="28"/>
          <w:rtl/>
        </w:rPr>
        <w:t xml:space="preserve"> וייעשה שימוש חלופי בעילה של שיקולים זרים, </w:t>
      </w:r>
      <w:r w:rsidRPr="00632224">
        <w:rPr>
          <w:rFonts w:ascii="Arial TUR" w:hAnsi="Arial TUR" w:cs="FrankRuehl" w:hint="eastAsia"/>
          <w:spacing w:val="10"/>
          <w:sz w:val="22"/>
          <w:szCs w:val="28"/>
          <w:rtl/>
        </w:rPr>
        <w:t>כפי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שמציעים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חלק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מחבריי</w:t>
      </w:r>
      <w:r w:rsidRPr="00632224">
        <w:rPr>
          <w:rFonts w:ascii="Arial TUR" w:hAnsi="Arial TUR" w:cs="FrankRuehl"/>
          <w:spacing w:val="10"/>
          <w:sz w:val="22"/>
          <w:szCs w:val="28"/>
          <w:rtl/>
        </w:rPr>
        <w:t xml:space="preserve">, הדבר </w:t>
      </w:r>
      <w:r w:rsidRPr="00632224">
        <w:rPr>
          <w:rFonts w:ascii="Arial TUR" w:hAnsi="Arial TUR" w:cs="FrankRuehl" w:hint="eastAsia"/>
          <w:spacing w:val="10"/>
          <w:sz w:val="22"/>
          <w:szCs w:val="28"/>
          <w:rtl/>
        </w:rPr>
        <w:t>יביא</w:t>
      </w:r>
      <w:r w:rsidRPr="00632224">
        <w:rPr>
          <w:rFonts w:ascii="Arial TUR" w:hAnsi="Arial TUR" w:cs="FrankRuehl"/>
          <w:spacing w:val="10"/>
          <w:sz w:val="22"/>
          <w:szCs w:val="28"/>
          <w:rtl/>
        </w:rPr>
        <w:t xml:space="preserve"> מטבע הדברים לשימוש </w:t>
      </w:r>
      <w:r w:rsidRPr="00632224">
        <w:rPr>
          <w:rFonts w:ascii="Century" w:hAnsi="Century" w:cs="Miriam" w:hint="eastAsia"/>
          <w:b/>
          <w:sz w:val="22"/>
          <w:rtl/>
        </w:rPr>
        <w:t>מוגבר</w:t>
      </w:r>
      <w:r w:rsidRPr="00632224">
        <w:rPr>
          <w:rFonts w:ascii="Arial TUR" w:hAnsi="Arial TUR" w:cs="FrankRuehl"/>
          <w:spacing w:val="10"/>
          <w:sz w:val="22"/>
          <w:szCs w:val="28"/>
          <w:rtl/>
        </w:rPr>
        <w:t xml:space="preserve"> בעילה של שיקולים זרים, תוך </w:t>
      </w:r>
      <w:r w:rsidRPr="00632224">
        <w:rPr>
          <w:rFonts w:ascii="Century" w:hAnsi="Century" w:cs="Miriam" w:hint="eastAsia"/>
          <w:b/>
          <w:sz w:val="22"/>
          <w:rtl/>
        </w:rPr>
        <w:t>הנמכת</w:t>
      </w:r>
      <w:r w:rsidRPr="00632224">
        <w:rPr>
          <w:rFonts w:ascii="Arial TUR" w:hAnsi="Arial TUR" w:cs="FrankRuehl"/>
          <w:spacing w:val="10"/>
          <w:sz w:val="22"/>
          <w:szCs w:val="28"/>
          <w:rtl/>
        </w:rPr>
        <w:t xml:space="preserve"> הרף הראייתי להוכחת שיקולים אלה. ואכן, הכנסת ציינה בטיעוניה כי ייתכן שיהיה צורך להרחיב את עילת השיקולים הזרים "במובן המהותי או הראייתי" וכי "</w:t>
      </w:r>
      <w:r w:rsidRPr="00632224">
        <w:rPr>
          <w:rFonts w:ascii="Century" w:hAnsi="Century" w:cs="FrankRuehl" w:hint="eastAsia"/>
          <w:spacing w:val="10"/>
          <w:sz w:val="22"/>
          <w:szCs w:val="28"/>
          <w:rtl/>
        </w:rPr>
        <w:t>הדעת</w:t>
      </w:r>
      <w:r w:rsidRPr="00632224">
        <w:rPr>
          <w:rFonts w:cs="FrankRuehl"/>
          <w:spacing w:val="10"/>
          <w:sz w:val="24"/>
          <w:szCs w:val="28"/>
          <w:rtl/>
        </w:rPr>
        <w:t xml:space="preserve"> </w:t>
      </w:r>
      <w:r w:rsidRPr="00632224">
        <w:rPr>
          <w:rFonts w:ascii="Century" w:hAnsi="Century" w:cs="FrankRuehl" w:hint="eastAsia"/>
          <w:spacing w:val="10"/>
          <w:sz w:val="22"/>
          <w:szCs w:val="28"/>
          <w:rtl/>
        </w:rPr>
        <w:t>נותנת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שלאחר</w:t>
      </w:r>
      <w:r w:rsidRPr="00632224">
        <w:rPr>
          <w:rFonts w:cs="FrankRuehl"/>
          <w:spacing w:val="10"/>
          <w:sz w:val="24"/>
          <w:szCs w:val="28"/>
          <w:rtl/>
        </w:rPr>
        <w:t xml:space="preserve"> </w:t>
      </w:r>
      <w:r w:rsidRPr="00632224">
        <w:rPr>
          <w:rFonts w:ascii="Century" w:hAnsi="Century" w:cs="FrankRuehl" w:hint="eastAsia"/>
          <w:spacing w:val="10"/>
          <w:sz w:val="22"/>
          <w:szCs w:val="28"/>
          <w:rtl/>
        </w:rPr>
        <w:t>ביטול</w:t>
      </w:r>
      <w:r w:rsidRPr="00632224">
        <w:rPr>
          <w:rFonts w:cs="FrankRuehl"/>
          <w:spacing w:val="10"/>
          <w:sz w:val="24"/>
          <w:szCs w:val="28"/>
          <w:rtl/>
        </w:rPr>
        <w:t xml:space="preserve"> </w:t>
      </w:r>
      <w:r w:rsidRPr="00632224">
        <w:rPr>
          <w:rFonts w:ascii="Century" w:hAnsi="Century" w:cs="FrankRuehl" w:hint="eastAsia"/>
          <w:spacing w:val="10"/>
          <w:sz w:val="22"/>
          <w:szCs w:val="28"/>
          <w:rtl/>
        </w:rPr>
        <w:t>עילת</w:t>
      </w:r>
      <w:r w:rsidRPr="00632224">
        <w:rPr>
          <w:rFonts w:cs="FrankRuehl"/>
          <w:spacing w:val="10"/>
          <w:sz w:val="24"/>
          <w:szCs w:val="28"/>
          <w:rtl/>
        </w:rPr>
        <w:t xml:space="preserve"> </w:t>
      </w:r>
      <w:r w:rsidRPr="00632224">
        <w:rPr>
          <w:rFonts w:ascii="Century" w:hAnsi="Century" w:cs="FrankRuehl" w:hint="eastAsia"/>
          <w:spacing w:val="10"/>
          <w:sz w:val="22"/>
          <w:szCs w:val="28"/>
          <w:rtl/>
        </w:rPr>
        <w:t>הסבירות</w:t>
      </w:r>
      <w:r w:rsidRPr="00632224">
        <w:rPr>
          <w:rFonts w:cs="FrankRuehl"/>
          <w:spacing w:val="10"/>
          <w:sz w:val="24"/>
          <w:szCs w:val="28"/>
          <w:rtl/>
        </w:rPr>
        <w:t xml:space="preserve"> </w:t>
      </w:r>
      <w:r w:rsidRPr="00632224">
        <w:rPr>
          <w:rFonts w:ascii="Century" w:hAnsi="Century" w:cs="FrankRuehl" w:hint="eastAsia"/>
          <w:spacing w:val="10"/>
          <w:sz w:val="22"/>
          <w:szCs w:val="28"/>
          <w:rtl/>
        </w:rPr>
        <w:t>ביחס</w:t>
      </w:r>
      <w:r w:rsidRPr="00632224">
        <w:rPr>
          <w:rFonts w:cs="FrankRuehl"/>
          <w:spacing w:val="10"/>
          <w:sz w:val="24"/>
          <w:szCs w:val="28"/>
          <w:rtl/>
        </w:rPr>
        <w:t xml:space="preserve"> </w:t>
      </w:r>
      <w:r w:rsidRPr="00632224">
        <w:rPr>
          <w:rFonts w:ascii="Century" w:hAnsi="Century" w:cs="FrankRuehl" w:hint="eastAsia"/>
          <w:spacing w:val="10"/>
          <w:sz w:val="22"/>
          <w:szCs w:val="28"/>
          <w:rtl/>
        </w:rPr>
        <w:t>להחלטות</w:t>
      </w:r>
      <w:r w:rsidRPr="00632224">
        <w:rPr>
          <w:rFonts w:cs="FrankRuehl"/>
          <w:spacing w:val="10"/>
          <w:sz w:val="24"/>
          <w:szCs w:val="28"/>
          <w:rtl/>
        </w:rPr>
        <w:t xml:space="preserve"> </w:t>
      </w:r>
      <w:r w:rsidRPr="00632224">
        <w:rPr>
          <w:rFonts w:ascii="Century" w:hAnsi="Century" w:cs="FrankRuehl" w:hint="eastAsia"/>
          <w:spacing w:val="10"/>
          <w:sz w:val="22"/>
          <w:szCs w:val="28"/>
          <w:rtl/>
        </w:rPr>
        <w:t>הממשלה</w:t>
      </w:r>
      <w:r w:rsidRPr="00632224">
        <w:rPr>
          <w:rFonts w:cs="FrankRuehl"/>
          <w:spacing w:val="10"/>
          <w:sz w:val="24"/>
          <w:szCs w:val="28"/>
          <w:rtl/>
        </w:rPr>
        <w:t xml:space="preserve"> </w:t>
      </w:r>
      <w:r w:rsidRPr="00632224">
        <w:rPr>
          <w:rFonts w:ascii="Century" w:hAnsi="Century" w:cs="FrankRuehl" w:hint="eastAsia"/>
          <w:spacing w:val="10"/>
          <w:sz w:val="22"/>
          <w:szCs w:val="28"/>
          <w:rtl/>
        </w:rPr>
        <w:t>ושריה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יפתחו</w:t>
      </w:r>
      <w:r w:rsidRPr="00632224">
        <w:rPr>
          <w:rFonts w:cs="FrankRuehl"/>
          <w:spacing w:val="10"/>
          <w:sz w:val="24"/>
          <w:szCs w:val="28"/>
          <w:rtl/>
        </w:rPr>
        <w:t xml:space="preserve"> </w:t>
      </w:r>
      <w:r w:rsidRPr="00632224">
        <w:rPr>
          <w:rFonts w:ascii="Century" w:hAnsi="Century" w:cs="FrankRuehl" w:hint="eastAsia"/>
          <w:spacing w:val="10"/>
          <w:sz w:val="22"/>
          <w:szCs w:val="28"/>
          <w:rtl/>
        </w:rPr>
        <w:t>בתי</w:t>
      </w:r>
      <w:r w:rsidRPr="00632224">
        <w:rPr>
          <w:rFonts w:cs="FrankRuehl"/>
          <w:spacing w:val="10"/>
          <w:sz w:val="24"/>
          <w:szCs w:val="28"/>
          <w:rtl/>
        </w:rPr>
        <w:t xml:space="preserve"> </w:t>
      </w:r>
      <w:r w:rsidRPr="00632224">
        <w:rPr>
          <w:rFonts w:ascii="Century" w:hAnsi="Century" w:cs="FrankRuehl" w:hint="eastAsia"/>
          <w:spacing w:val="10"/>
          <w:sz w:val="22"/>
          <w:szCs w:val="28"/>
          <w:rtl/>
        </w:rPr>
        <w:t>המשפט</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כללים</w:t>
      </w:r>
      <w:r w:rsidRPr="00632224">
        <w:rPr>
          <w:rFonts w:cs="FrankRuehl"/>
          <w:spacing w:val="10"/>
          <w:sz w:val="24"/>
          <w:szCs w:val="28"/>
          <w:rtl/>
        </w:rPr>
        <w:t xml:space="preserve"> </w:t>
      </w:r>
      <w:r w:rsidRPr="00632224">
        <w:rPr>
          <w:rFonts w:ascii="Century" w:hAnsi="Century" w:cs="FrankRuehl" w:hint="eastAsia"/>
          <w:spacing w:val="10"/>
          <w:sz w:val="22"/>
          <w:szCs w:val="28"/>
          <w:rtl/>
        </w:rPr>
        <w:t>וחזקות</w:t>
      </w:r>
      <w:r w:rsidRPr="00632224">
        <w:rPr>
          <w:rFonts w:cs="FrankRuehl"/>
          <w:spacing w:val="10"/>
          <w:sz w:val="24"/>
          <w:szCs w:val="28"/>
          <w:rtl/>
        </w:rPr>
        <w:t xml:space="preserve"> </w:t>
      </w:r>
      <w:r w:rsidRPr="00632224">
        <w:rPr>
          <w:rFonts w:ascii="Century" w:hAnsi="Century" w:cs="FrankRuehl" w:hint="eastAsia"/>
          <w:spacing w:val="10"/>
          <w:sz w:val="22"/>
          <w:szCs w:val="28"/>
          <w:rtl/>
        </w:rPr>
        <w:t>הנוגעים</w:t>
      </w:r>
      <w:r w:rsidRPr="00632224">
        <w:rPr>
          <w:rFonts w:cs="FrankRuehl"/>
          <w:spacing w:val="10"/>
          <w:sz w:val="24"/>
          <w:szCs w:val="28"/>
          <w:rtl/>
        </w:rPr>
        <w:t xml:space="preserve"> </w:t>
      </w:r>
      <w:r w:rsidRPr="00632224">
        <w:rPr>
          <w:rFonts w:ascii="Century" w:hAnsi="Century" w:cs="FrankRuehl" w:hint="eastAsia"/>
          <w:spacing w:val="10"/>
          <w:sz w:val="22"/>
          <w:szCs w:val="28"/>
          <w:rtl/>
        </w:rPr>
        <w:t>לאופן</w:t>
      </w:r>
      <w:r w:rsidRPr="00632224">
        <w:rPr>
          <w:rFonts w:cs="FrankRuehl"/>
          <w:spacing w:val="10"/>
          <w:sz w:val="24"/>
          <w:szCs w:val="28"/>
          <w:rtl/>
        </w:rPr>
        <w:t xml:space="preserve"> </w:t>
      </w:r>
      <w:r w:rsidRPr="00632224">
        <w:rPr>
          <w:rFonts w:ascii="Century" w:hAnsi="Century" w:cs="FrankRuehl" w:hint="eastAsia"/>
          <w:spacing w:val="10"/>
          <w:sz w:val="22"/>
          <w:szCs w:val="28"/>
          <w:rtl/>
        </w:rPr>
        <w:t>בחינת</w:t>
      </w:r>
      <w:r w:rsidRPr="00632224">
        <w:rPr>
          <w:rFonts w:cs="FrankRuehl"/>
          <w:spacing w:val="10"/>
          <w:sz w:val="24"/>
          <w:szCs w:val="28"/>
          <w:rtl/>
        </w:rPr>
        <w:t xml:space="preserve"> </w:t>
      </w:r>
      <w:r w:rsidRPr="00632224">
        <w:rPr>
          <w:rFonts w:ascii="Century" w:hAnsi="Century" w:cs="FrankRuehl" w:hint="eastAsia"/>
          <w:spacing w:val="10"/>
          <w:sz w:val="22"/>
          <w:szCs w:val="28"/>
          <w:rtl/>
        </w:rPr>
        <w:t>חשד</w:t>
      </w:r>
      <w:r w:rsidRPr="00632224">
        <w:rPr>
          <w:rFonts w:cs="FrankRuehl"/>
          <w:spacing w:val="10"/>
          <w:sz w:val="24"/>
          <w:szCs w:val="28"/>
          <w:rtl/>
        </w:rPr>
        <w:t xml:space="preserve"> </w:t>
      </w:r>
      <w:r w:rsidRPr="00632224">
        <w:rPr>
          <w:rFonts w:ascii="Century" w:hAnsi="Century" w:cs="FrankRuehl" w:hint="eastAsia"/>
          <w:spacing w:val="10"/>
          <w:sz w:val="22"/>
          <w:szCs w:val="28"/>
          <w:rtl/>
        </w:rPr>
        <w:t>לשיקולים</w:t>
      </w:r>
      <w:r w:rsidRPr="00632224">
        <w:rPr>
          <w:rFonts w:cs="FrankRuehl"/>
          <w:spacing w:val="10"/>
          <w:sz w:val="24"/>
          <w:szCs w:val="28"/>
          <w:rtl/>
        </w:rPr>
        <w:t xml:space="preserve"> </w:t>
      </w:r>
      <w:r w:rsidRPr="00632224">
        <w:rPr>
          <w:rFonts w:ascii="Century" w:hAnsi="Century" w:cs="FrankRuehl" w:hint="eastAsia"/>
          <w:spacing w:val="10"/>
          <w:sz w:val="22"/>
          <w:szCs w:val="28"/>
          <w:rtl/>
        </w:rPr>
        <w:t>זרים</w:t>
      </w:r>
      <w:r w:rsidRPr="00632224">
        <w:rPr>
          <w:rFonts w:ascii="Century" w:hAnsi="Century" w:cs="FrankRuehl"/>
          <w:spacing w:val="10"/>
          <w:sz w:val="22"/>
          <w:szCs w:val="28"/>
          <w:rtl/>
        </w:rPr>
        <w:t>".</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צא ולמד: הצד השני של המשוואה הוא, שבמקום להשתמש בעילה "רכה" יחסית כמו חוסר סבירות, בית המשפט ייאלץ להשתמש ב"תותחים" כבדים בדמות עילות קשות ובוטות יותר כמו שרירות או שיקולים זרים </w:t>
      </w:r>
      <w:r w:rsidRPr="00632224">
        <w:rPr>
          <w:rFonts w:ascii="Arial TUR" w:hAnsi="Arial TUR" w:cs="FrankRuehl"/>
          <w:spacing w:val="10"/>
          <w:sz w:val="22"/>
          <w:szCs w:val="28"/>
          <w:rtl/>
        </w:rPr>
        <w:t xml:space="preserve">(וראו עניין </w:t>
      </w:r>
      <w:r w:rsidRPr="00632224">
        <w:rPr>
          <w:rFonts w:ascii="Century" w:hAnsi="Century" w:cs="Miriam" w:hint="eastAsia"/>
          <w:b/>
          <w:sz w:val="22"/>
          <w:rtl/>
        </w:rPr>
        <w:t>דרעי</w:t>
      </w:r>
      <w:r w:rsidRPr="00632224">
        <w:rPr>
          <w:rFonts w:ascii="Century" w:hAnsi="Century" w:cs="Miriam"/>
          <w:b/>
          <w:sz w:val="22"/>
          <w:rtl/>
        </w:rPr>
        <w:t xml:space="preserve"> </w:t>
      </w:r>
      <w:r w:rsidRPr="00632224">
        <w:rPr>
          <w:rFonts w:ascii="Century" w:hAnsi="Century" w:cs="Miriam" w:hint="eastAsia"/>
          <w:b/>
          <w:sz w:val="22"/>
          <w:rtl/>
        </w:rPr>
        <w:t>הרביעי</w:t>
      </w:r>
      <w:r w:rsidRPr="00632224">
        <w:rPr>
          <w:rFonts w:ascii="Arial TUR" w:hAnsi="Arial TUR" w:cs="FrankRuehl"/>
          <w:spacing w:val="10"/>
          <w:sz w:val="22"/>
          <w:szCs w:val="28"/>
          <w:rtl/>
        </w:rPr>
        <w:t xml:space="preserve">, שם חלק מחברי ההרכב פיתחו את עילת </w:t>
      </w:r>
      <w:r w:rsidRPr="00632224">
        <w:rPr>
          <w:rFonts w:ascii="Arial TUR" w:hAnsi="Arial TUR" w:cs="FrankRuehl" w:hint="eastAsia"/>
          <w:spacing w:val="10"/>
          <w:sz w:val="22"/>
          <w:szCs w:val="28"/>
          <w:rtl/>
        </w:rPr>
        <w:t>המניעות</w:t>
      </w:r>
      <w:r w:rsidRPr="00632224">
        <w:rPr>
          <w:rFonts w:ascii="Arial TUR" w:hAnsi="Arial TUR" w:cs="FrankRuehl"/>
          <w:spacing w:val="10"/>
          <w:sz w:val="22"/>
          <w:szCs w:val="28"/>
          <w:rtl/>
        </w:rPr>
        <w:t xml:space="preserve"> חלף עילת הסבירות)</w:t>
      </w:r>
      <w:r w:rsidRPr="00632224">
        <w:rPr>
          <w:rFonts w:ascii="Arial TUR" w:hAnsi="Arial TUR" w:cs="FrankRuehl" w:hint="cs"/>
          <w:spacing w:val="10"/>
          <w:sz w:val="22"/>
          <w:szCs w:val="28"/>
          <w:rtl/>
        </w:rPr>
        <w:t xml:space="preserve">. לא בכדי כמעט איננו </w:t>
      </w:r>
      <w:r w:rsidRPr="00632224">
        <w:rPr>
          <w:rFonts w:ascii="Arial TUR" w:hAnsi="Arial TUR" w:cs="FrankRuehl" w:hint="cs"/>
          <w:spacing w:val="10"/>
          <w:sz w:val="22"/>
          <w:szCs w:val="28"/>
          <w:rtl/>
        </w:rPr>
        <w:lastRenderedPageBreak/>
        <w:t xml:space="preserve">מוצאים בפסיקה פסילת החלטות בשל שיקולים זרים ולא הוצגה בפנינו על ידי הצדדים אסמכתא לפסיקה כזו. ברגיל בית המשפט אינו בוחן כליות ולב ועילה זו עלולה לעיתים, בצדק או שלא בצדק, להתפרש כהטלת דופי אישי במקבל ההחלטה. סיבה נוספת קשורה בטיבו של ההליך המינהלי, המבוסס על מסמכים ותצהירים בלבד ללא שמיעת ראיות, כך שמטבע הדברים המניע או התכלית הזרה והפסולה שבבסיס ההחלטה נותרים סמויים מן העין.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ואשר לעילת השרירות, שאף היא הוצעה כפתרון לביטול עילת הסבירות, נאמר בפסיקה כי "</w:t>
      </w:r>
      <w:r w:rsidRPr="00632224">
        <w:rPr>
          <w:rFonts w:ascii="Arial TUR" w:hAnsi="Arial TUR" w:cs="FrankRuehl"/>
          <w:spacing w:val="10"/>
          <w:sz w:val="22"/>
          <w:szCs w:val="28"/>
          <w:shd w:val="clear" w:color="auto" w:fill="FFFFFF"/>
          <w:rtl/>
        </w:rPr>
        <w:t xml:space="preserve">שרירות היא סוג של </w:t>
      </w:r>
      <w:r w:rsidRPr="00632224">
        <w:rPr>
          <w:rFonts w:ascii="Century" w:hAnsi="Century" w:cs="Miriam"/>
          <w:b/>
          <w:sz w:val="22"/>
          <w:shd w:val="clear" w:color="auto" w:fill="FFFFFF"/>
          <w:rtl/>
        </w:rPr>
        <w:t>שחיתות</w:t>
      </w:r>
      <w:r w:rsidRPr="00632224">
        <w:rPr>
          <w:rFonts w:ascii="Arial TUR" w:hAnsi="Arial TUR" w:cs="FrankRuehl"/>
          <w:spacing w:val="10"/>
          <w:sz w:val="22"/>
          <w:szCs w:val="28"/>
          <w:shd w:val="clear" w:color="auto" w:fill="FFFFFF"/>
          <w:rtl/>
        </w:rPr>
        <w:t>. יש בה חומרה קיצונית. היא עילה לפסול כל החלטה מינהלי</w:t>
      </w:r>
      <w:r w:rsidRPr="00632224">
        <w:rPr>
          <w:rFonts w:ascii="Arial TUR" w:hAnsi="Arial TUR" w:cs="FrankRuehl" w:hint="cs"/>
          <w:spacing w:val="10"/>
          <w:sz w:val="22"/>
          <w:szCs w:val="28"/>
          <w:shd w:val="clear" w:color="auto" w:fill="FFFFFF"/>
          <w:rtl/>
        </w:rPr>
        <w:t>ת" (</w:t>
      </w:r>
      <w:r w:rsidRPr="00632224">
        <w:rPr>
          <w:rFonts w:ascii="Century" w:hAnsi="Century" w:cs="FrankRuehl"/>
          <w:spacing w:val="10"/>
          <w:sz w:val="22"/>
          <w:szCs w:val="28"/>
          <w:rtl/>
        </w:rPr>
        <w:t>בג"ץ 986/05</w:t>
      </w:r>
      <w:r w:rsidRPr="00632224">
        <w:rPr>
          <w:rFonts w:ascii="Arial TUR" w:hAnsi="Arial TUR" w:cs="FrankRuehl"/>
          <w:spacing w:val="10"/>
          <w:sz w:val="22"/>
          <w:szCs w:val="28"/>
          <w:rtl/>
        </w:rPr>
        <w:t xml:space="preserve"> </w:t>
      </w:r>
      <w:r w:rsidRPr="00632224">
        <w:rPr>
          <w:rFonts w:ascii="Century" w:hAnsi="Century" w:cs="Miriam" w:hint="eastAsia"/>
          <w:b/>
          <w:sz w:val="22"/>
          <w:rtl/>
        </w:rPr>
        <w:t>פלד</w:t>
      </w:r>
      <w:r w:rsidRPr="00632224">
        <w:rPr>
          <w:rFonts w:ascii="Century" w:hAnsi="Century" w:cs="Miriam"/>
          <w:b/>
          <w:sz w:val="22"/>
          <w:rtl/>
        </w:rPr>
        <w:t xml:space="preserve"> </w:t>
      </w:r>
      <w:r w:rsidRPr="00632224">
        <w:rPr>
          <w:rFonts w:ascii="Century" w:hAnsi="Century" w:cs="Miriam" w:hint="eastAsia"/>
          <w:b/>
          <w:sz w:val="22"/>
          <w:rtl/>
        </w:rPr>
        <w:t>נ</w:t>
      </w:r>
      <w:r w:rsidRPr="00632224">
        <w:rPr>
          <w:rFonts w:ascii="Century" w:hAnsi="Century" w:cs="Miriam"/>
          <w:b/>
          <w:sz w:val="22"/>
          <w:rtl/>
        </w:rPr>
        <w:t xml:space="preserve">' </w:t>
      </w:r>
      <w:r w:rsidRPr="00632224">
        <w:rPr>
          <w:rFonts w:ascii="Century" w:hAnsi="Century" w:cs="Miriam" w:hint="eastAsia"/>
          <w:b/>
          <w:sz w:val="22"/>
          <w:rtl/>
        </w:rPr>
        <w:t>עיריית</w:t>
      </w:r>
      <w:r w:rsidRPr="00632224">
        <w:rPr>
          <w:rFonts w:ascii="Century" w:hAnsi="Century" w:cs="Miriam"/>
          <w:b/>
          <w:sz w:val="22"/>
          <w:rtl/>
        </w:rPr>
        <w:t xml:space="preserve"> </w:t>
      </w:r>
      <w:r w:rsidRPr="00632224">
        <w:rPr>
          <w:rFonts w:ascii="Century" w:hAnsi="Century" w:cs="Miriam" w:hint="eastAsia"/>
          <w:b/>
          <w:sz w:val="22"/>
          <w:rtl/>
        </w:rPr>
        <w:t>תל</w:t>
      </w:r>
      <w:r w:rsidRPr="00632224">
        <w:rPr>
          <w:rFonts w:ascii="Century" w:hAnsi="Century" w:cs="Miriam"/>
          <w:b/>
          <w:sz w:val="22"/>
          <w:rtl/>
        </w:rPr>
        <w:t xml:space="preserve"> </w:t>
      </w:r>
      <w:r w:rsidRPr="00632224">
        <w:rPr>
          <w:rFonts w:ascii="Century" w:hAnsi="Century" w:cs="Miriam" w:hint="eastAsia"/>
          <w:b/>
          <w:sz w:val="22"/>
          <w:rtl/>
        </w:rPr>
        <w:t>אביב</w:t>
      </w:r>
      <w:r w:rsidRPr="00632224">
        <w:rPr>
          <w:rFonts w:ascii="Century" w:hAnsi="Century" w:cs="Miriam"/>
          <w:b/>
          <w:sz w:val="22"/>
          <w:rtl/>
        </w:rPr>
        <w:t>-</w:t>
      </w:r>
      <w:r w:rsidRPr="00632224">
        <w:rPr>
          <w:rFonts w:ascii="Century" w:hAnsi="Century" w:cs="Miriam" w:hint="eastAsia"/>
          <w:b/>
          <w:sz w:val="22"/>
          <w:rtl/>
        </w:rPr>
        <w:t>יפו</w:t>
      </w:r>
      <w:r w:rsidRPr="00632224">
        <w:rPr>
          <w:rFonts w:ascii="Arial TUR" w:hAnsi="Arial TUR" w:cs="FrankRuehl" w:hint="cs"/>
          <w:spacing w:val="10"/>
          <w:sz w:val="22"/>
          <w:szCs w:val="28"/>
          <w:rtl/>
        </w:rPr>
        <w:t xml:space="preserve">, פסקה 14 </w:t>
      </w:r>
      <w:r w:rsidRPr="00632224">
        <w:rPr>
          <w:rFonts w:ascii="Arial TUR" w:hAnsi="Arial TUR" w:cs="FrankRuehl"/>
          <w:spacing w:val="10"/>
          <w:sz w:val="22"/>
          <w:szCs w:val="28"/>
          <w:rtl/>
        </w:rPr>
        <w:t>(13.4.2005)</w:t>
      </w:r>
      <w:r w:rsidRPr="00632224">
        <w:rPr>
          <w:rFonts w:ascii="Arial TUR" w:hAnsi="Arial TUR" w:cs="FrankRuehl" w:hint="cs"/>
          <w:spacing w:val="10"/>
          <w:sz w:val="22"/>
          <w:szCs w:val="28"/>
          <w:rtl/>
        </w:rPr>
        <w:t xml:space="preserve">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 שימוש בעילת השרירות חלף עילת הסבירות עלול אפוא להכתים את השר או הממשלה בשחיתות.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63.</w:t>
      </w:r>
      <w:r w:rsidRPr="00632224">
        <w:rPr>
          <w:rFonts w:ascii="Century" w:hAnsi="Century" w:cs="Miriam"/>
          <w:b/>
          <w:sz w:val="22"/>
          <w:rtl/>
        </w:rPr>
        <w:tab/>
      </w:r>
      <w:r w:rsidRPr="00632224">
        <w:rPr>
          <w:rFonts w:ascii="Century" w:hAnsi="Century" w:cs="Miriam" w:hint="cs"/>
          <w:b/>
          <w:sz w:val="22"/>
          <w:rtl/>
        </w:rPr>
        <w:t>היבט שלישי</w:t>
      </w:r>
      <w:r w:rsidRPr="00632224">
        <w:rPr>
          <w:rFonts w:ascii="Century" w:hAnsi="Century" w:cs="Miriam"/>
          <w:b/>
          <w:sz w:val="22"/>
          <w:rtl/>
        </w:rPr>
        <w:t>:</w:t>
      </w:r>
      <w:r w:rsidRPr="00632224">
        <w:rPr>
          <w:rFonts w:ascii="Arial TUR" w:hAnsi="Arial TUR" w:cs="FrankRuehl" w:hint="cs"/>
          <w:spacing w:val="10"/>
          <w:sz w:val="22"/>
          <w:szCs w:val="28"/>
          <w:rtl/>
        </w:rPr>
        <w:t xml:space="preserve"> נקודת המוצא של המשפט המינהלי היא "חזקת התקינות המינהלית". חזקה זו עומדת לצד השר והמשרד שהוא עומד בראשו, והיא שמביאה לכך שרובן המכריע של העתירות המוגשות לבית משפט זה נדחות. חזקת התקינות המינהלית היא חזקה נורמטיבית אך היא נוצרה על בסיס חזקה עובדתית שמקורה בהתנהלות של שנים רבות, ולפיה חזקה על השר, שקיבל ליווי וייעוץ משפטי ראוי, שבחן את כלל השיקולים הרלוונטיים והמשקל שיש ליתן להם (לחזקת התקינות ראו </w:t>
      </w:r>
      <w:r w:rsidRPr="00632224">
        <w:rPr>
          <w:rFonts w:ascii="Century" w:hAnsi="Century" w:cs="Miriam" w:hint="eastAsia"/>
          <w:b/>
          <w:sz w:val="22"/>
          <w:rtl/>
        </w:rPr>
        <w:t>ברק</w:t>
      </w:r>
      <w:r w:rsidRPr="00632224">
        <w:rPr>
          <w:rFonts w:ascii="Century" w:hAnsi="Century" w:cs="Miriam"/>
          <w:b/>
          <w:sz w:val="22"/>
          <w:rtl/>
        </w:rPr>
        <w:t>-ארז</w:t>
      </w:r>
      <w:r w:rsidRPr="00632224">
        <w:rPr>
          <w:rFonts w:ascii="Arial TUR" w:hAnsi="Arial TUR" w:cs="FrankRuehl"/>
          <w:spacing w:val="10"/>
          <w:sz w:val="22"/>
          <w:szCs w:val="28"/>
          <w:rtl/>
        </w:rPr>
        <w:t xml:space="preserve"> </w:t>
      </w:r>
      <w:r w:rsidRPr="00632224">
        <w:rPr>
          <w:rFonts w:ascii="Century" w:hAnsi="Century" w:cs="Miriam" w:hint="cs"/>
          <w:b/>
          <w:sz w:val="22"/>
          <w:rtl/>
        </w:rPr>
        <w:t>משפט מינהלי</w:t>
      </w:r>
      <w:r w:rsidRPr="00632224">
        <w:rPr>
          <w:rFonts w:ascii="Century" w:hAnsi="Century" w:cs="FrankRuehl"/>
          <w:spacing w:val="10"/>
          <w:sz w:val="22"/>
          <w:szCs w:val="28"/>
          <w:rtl/>
        </w:rPr>
        <w:t>,</w:t>
      </w:r>
      <w:r w:rsidRPr="00632224">
        <w:rPr>
          <w:rFonts w:ascii="Arial TUR" w:hAnsi="Arial TUR" w:cs="FrankRuehl" w:hint="cs"/>
          <w:spacing w:val="10"/>
          <w:sz w:val="22"/>
          <w:szCs w:val="28"/>
          <w:rtl/>
        </w:rPr>
        <w:t xml:space="preserve"> כרך ד בעמ' 47-24).</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צא ולמד: הצד השני של המשוואה של ביטול עילת הסבירות, הוא כרסום בחזקת התקינות המינהלית. באין עילת סבירות תדלדל ותיעלם חובת הסבירות ועמה גם תקינות המעשה המינהלי. ההשלכה של ביטול חזקת התקינות היא עצומה, מאחר שהיא עלולה לפרק את אחד הבסיסים של המשפט המינהלי.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64.</w:t>
      </w:r>
      <w:r w:rsidRPr="00632224">
        <w:rPr>
          <w:rFonts w:ascii="Century" w:hAnsi="Century" w:cs="Miriam"/>
          <w:b/>
          <w:sz w:val="22"/>
          <w:rtl/>
        </w:rPr>
        <w:tab/>
      </w:r>
      <w:r w:rsidRPr="00632224">
        <w:rPr>
          <w:rFonts w:ascii="Century" w:hAnsi="Century" w:cs="Miriam" w:hint="cs"/>
          <w:b/>
          <w:sz w:val="22"/>
          <w:rtl/>
        </w:rPr>
        <w:t>היבט רביעי:</w:t>
      </w:r>
      <w:r w:rsidRPr="00632224">
        <w:rPr>
          <w:rFonts w:ascii="Arial TUR" w:hAnsi="Arial TUR" w:cs="FrankRuehl" w:hint="cs"/>
          <w:spacing w:val="10"/>
          <w:sz w:val="22"/>
          <w:szCs w:val="28"/>
          <w:rtl/>
        </w:rPr>
        <w:t xml:space="preserve"> הכנסת טענה כי העתירה אינה בשלה לדיון ובמסגרת זו העלתה שורה של שאלות וביניהן </w:t>
      </w:r>
      <w:r w:rsidRPr="00632224">
        <w:rPr>
          <w:rFonts w:ascii="Century" w:hAnsi="Century" w:cs="FrankRuehl" w:hint="cs"/>
          <w:spacing w:val="10"/>
          <w:sz w:val="22"/>
          <w:szCs w:val="28"/>
          <w:rtl/>
        </w:rPr>
        <w:t>"</w:t>
      </w:r>
      <w:r w:rsidRPr="00632224">
        <w:rPr>
          <w:rFonts w:ascii="Century" w:hAnsi="Century" w:cs="FrankRuehl"/>
          <w:spacing w:val="10"/>
          <w:sz w:val="22"/>
          <w:szCs w:val="28"/>
          <w:rtl/>
        </w:rPr>
        <w:t>האם</w:t>
      </w:r>
      <w:r w:rsidRPr="00632224">
        <w:rPr>
          <w:rFonts w:cs="FrankRuehl"/>
          <w:spacing w:val="10"/>
          <w:sz w:val="24"/>
          <w:szCs w:val="28"/>
          <w:rtl/>
        </w:rPr>
        <w:t xml:space="preserve"> </w:t>
      </w:r>
      <w:r w:rsidRPr="00632224">
        <w:rPr>
          <w:rFonts w:ascii="Century" w:hAnsi="Century" w:cs="FrankRuehl"/>
          <w:spacing w:val="10"/>
          <w:sz w:val="22"/>
          <w:szCs w:val="28"/>
          <w:rtl/>
        </w:rPr>
        <w:t>חוק</w:t>
      </w:r>
      <w:r w:rsidRPr="00632224">
        <w:rPr>
          <w:rFonts w:cs="FrankRuehl"/>
          <w:spacing w:val="10"/>
          <w:sz w:val="24"/>
          <w:szCs w:val="28"/>
          <w:rtl/>
        </w:rPr>
        <w:t xml:space="preserve"> </w:t>
      </w:r>
      <w:r w:rsidRPr="00632224">
        <w:rPr>
          <w:rFonts w:ascii="Century" w:hAnsi="Century" w:cs="FrankRuehl"/>
          <w:spacing w:val="10"/>
          <w:sz w:val="22"/>
          <w:szCs w:val="28"/>
          <w:rtl/>
        </w:rPr>
        <w:t>היסוד</w:t>
      </w:r>
      <w:r w:rsidRPr="00632224">
        <w:rPr>
          <w:rFonts w:cs="FrankRuehl"/>
          <w:spacing w:val="10"/>
          <w:sz w:val="24"/>
          <w:szCs w:val="28"/>
          <w:rtl/>
        </w:rPr>
        <w:t xml:space="preserve"> </w:t>
      </w:r>
      <w:r w:rsidRPr="00632224">
        <w:rPr>
          <w:rFonts w:ascii="Century" w:hAnsi="Century" w:cs="FrankRuehl"/>
          <w:spacing w:val="10"/>
          <w:sz w:val="22"/>
          <w:szCs w:val="28"/>
          <w:rtl/>
        </w:rPr>
        <w:t>המתקן</w:t>
      </w:r>
      <w:r w:rsidRPr="00632224">
        <w:rPr>
          <w:rFonts w:cs="FrankRuehl"/>
          <w:spacing w:val="10"/>
          <w:sz w:val="24"/>
          <w:szCs w:val="28"/>
          <w:rtl/>
        </w:rPr>
        <w:t xml:space="preserve"> </w:t>
      </w:r>
      <w:r w:rsidRPr="00632224">
        <w:rPr>
          <w:rFonts w:ascii="Century" w:hAnsi="Century" w:cs="FrankRuehl"/>
          <w:spacing w:val="10"/>
          <w:sz w:val="22"/>
          <w:szCs w:val="28"/>
          <w:rtl/>
        </w:rPr>
        <w:t>ישפיע</w:t>
      </w:r>
      <w:r w:rsidRPr="00632224">
        <w:rPr>
          <w:rFonts w:cs="FrankRuehl"/>
          <w:spacing w:val="10"/>
          <w:sz w:val="24"/>
          <w:szCs w:val="28"/>
          <w:rtl/>
        </w:rPr>
        <w:t xml:space="preserve"> </w:t>
      </w:r>
      <w:r w:rsidRPr="00632224">
        <w:rPr>
          <w:rFonts w:ascii="Century" w:hAnsi="Century" w:cs="FrankRuehl"/>
          <w:spacing w:val="10"/>
          <w:sz w:val="22"/>
          <w:szCs w:val="28"/>
          <w:rtl/>
        </w:rPr>
        <w:t>על</w:t>
      </w:r>
      <w:r w:rsidRPr="00632224">
        <w:rPr>
          <w:rFonts w:cs="FrankRuehl"/>
          <w:spacing w:val="10"/>
          <w:sz w:val="24"/>
          <w:szCs w:val="28"/>
          <w:rtl/>
        </w:rPr>
        <w:t xml:space="preserve"> </w:t>
      </w:r>
      <w:r w:rsidRPr="00632224">
        <w:rPr>
          <w:rFonts w:ascii="Century" w:hAnsi="Century" w:cs="FrankRuehl"/>
          <w:spacing w:val="10"/>
          <w:sz w:val="22"/>
          <w:szCs w:val="28"/>
          <w:rtl/>
        </w:rPr>
        <w:t>המשפט</w:t>
      </w:r>
      <w:r w:rsidRPr="00632224">
        <w:rPr>
          <w:rFonts w:cs="FrankRuehl"/>
          <w:spacing w:val="10"/>
          <w:sz w:val="24"/>
          <w:szCs w:val="28"/>
          <w:rtl/>
        </w:rPr>
        <w:t xml:space="preserve"> </w:t>
      </w:r>
      <w:r w:rsidRPr="00632224">
        <w:rPr>
          <w:rFonts w:ascii="Century" w:hAnsi="Century" w:cs="FrankRuehl"/>
          <w:spacing w:val="10"/>
          <w:sz w:val="22"/>
          <w:szCs w:val="28"/>
          <w:rtl/>
        </w:rPr>
        <w:t>האזרחי</w:t>
      </w:r>
      <w:r w:rsidRPr="00632224">
        <w:rPr>
          <w:rFonts w:cs="FrankRuehl"/>
          <w:spacing w:val="10"/>
          <w:sz w:val="24"/>
          <w:szCs w:val="28"/>
          <w:rtl/>
        </w:rPr>
        <w:t xml:space="preserve"> </w:t>
      </w:r>
      <w:r w:rsidRPr="00632224">
        <w:rPr>
          <w:rFonts w:ascii="Century" w:hAnsi="Century" w:cs="FrankRuehl"/>
          <w:spacing w:val="10"/>
          <w:sz w:val="22"/>
          <w:szCs w:val="28"/>
          <w:rtl/>
        </w:rPr>
        <w:t>והפלילי</w:t>
      </w:r>
      <w:r w:rsidRPr="00632224">
        <w:rPr>
          <w:rFonts w:cs="FrankRuehl"/>
          <w:spacing w:val="10"/>
          <w:sz w:val="24"/>
          <w:szCs w:val="28"/>
          <w:rtl/>
        </w:rPr>
        <w:t>?</w:t>
      </w:r>
      <w:r w:rsidRPr="00632224">
        <w:rPr>
          <w:rFonts w:ascii="Century" w:hAnsi="Century" w:cs="FrankRuehl" w:hint="cs"/>
          <w:spacing w:val="10"/>
          <w:sz w:val="22"/>
          <w:szCs w:val="28"/>
          <w:rtl/>
        </w:rPr>
        <w:t>" (</w:t>
      </w:r>
      <w:r w:rsidRPr="00632224">
        <w:rPr>
          <w:rFonts w:ascii="Arial TUR" w:hAnsi="Arial TUR" w:cs="FrankRuehl" w:hint="cs"/>
          <w:spacing w:val="10"/>
          <w:sz w:val="22"/>
          <w:szCs w:val="28"/>
          <w:rtl/>
        </w:rPr>
        <w:t xml:space="preserve">סעיף 295(ב) לתגובת הכנסת). לדידי, לאור לשונו הגורפת של התיקון לחוק היסוד, ולנוכח הסיפא של התיקון לחוק היסוד, מתעוררת השאלה אם התיקון לחוק היסוד אינו משליך על האפשרות להגיש תובענה אזרחית-נזיקית בעילת הרשלנות נגד הרשות המינהלית שפעלה או חדלה מלפעול באופן בלתי סביר בשל החלטה של שר.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lastRenderedPageBreak/>
        <w:tab/>
      </w:r>
      <w:r w:rsidRPr="00632224">
        <w:rPr>
          <w:rFonts w:ascii="Arial TUR" w:hAnsi="Arial TUR" w:cs="FrankRuehl" w:hint="cs"/>
          <w:spacing w:val="10"/>
          <w:sz w:val="22"/>
          <w:szCs w:val="28"/>
          <w:rtl/>
        </w:rPr>
        <w:t xml:space="preserve">לדוגמה, סעיף 188 לפקודת העיריות [נוסח חדש] (להלן: </w:t>
      </w:r>
      <w:r w:rsidRPr="00632224">
        <w:rPr>
          <w:rFonts w:ascii="Century" w:hAnsi="Century" w:cs="Miriam" w:hint="cs"/>
          <w:b/>
          <w:sz w:val="22"/>
          <w:rtl/>
        </w:rPr>
        <w:t>פקודת העיריות</w:t>
      </w:r>
      <w:r w:rsidRPr="00632224">
        <w:rPr>
          <w:rFonts w:ascii="Arial TUR" w:hAnsi="Arial TUR" w:cs="FrankRuehl" w:hint="cs"/>
          <w:spacing w:val="10"/>
          <w:sz w:val="22"/>
          <w:szCs w:val="28"/>
          <w:rtl/>
        </w:rPr>
        <w:t xml:space="preserve">) קובע כי נדרש אישור של שר הפנים כמעט לכל פעולה במקרקעין של העירייה. כיצד ניתן יהיה לתבוע בגין נזק שנגרם עקב החלטת שר הפנים להימנע משך תקופה ארוכה ובלתי סבירה מליתן את אישורו לעסקת מקרקעין?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דוגמה נוספת: אחד מפסקי הדין הידועים בנושא אחריות המדינה בנזיקין הוא פסק הדין ב</w:t>
      </w:r>
      <w:r w:rsidRPr="00632224">
        <w:rPr>
          <w:rFonts w:ascii="Century" w:hAnsi="Century" w:cs="FrankRuehl" w:hint="cs"/>
          <w:spacing w:val="10"/>
          <w:sz w:val="22"/>
          <w:szCs w:val="28"/>
          <w:rtl/>
        </w:rPr>
        <w:t xml:space="preserve">ע"א 2906/01 </w:t>
      </w:r>
      <w:r w:rsidRPr="00632224">
        <w:rPr>
          <w:rFonts w:ascii="Century" w:hAnsi="Century" w:cs="Miriam"/>
          <w:b/>
          <w:sz w:val="22"/>
          <w:rtl/>
        </w:rPr>
        <w:t>ע</w:t>
      </w:r>
      <w:r w:rsidRPr="00632224">
        <w:rPr>
          <w:rFonts w:ascii="Century" w:hAnsi="Century" w:cs="Miriam" w:hint="cs"/>
          <w:b/>
          <w:sz w:val="22"/>
          <w:rtl/>
        </w:rPr>
        <w:t>ירית חיפה נ' מנורה חברה לביטוח בע"מ</w:t>
      </w:r>
      <w:r w:rsidRPr="00632224">
        <w:rPr>
          <w:rFonts w:ascii="Century" w:hAnsi="Century" w:cs="FrankRuehl" w:hint="cs"/>
          <w:spacing w:val="10"/>
          <w:sz w:val="22"/>
          <w:szCs w:val="28"/>
          <w:rtl/>
        </w:rPr>
        <w:t xml:space="preserve"> (25.5.2006) שעניינו באחריות רשויות הניקוז בגין נזקי הצפה. בפסק הדין נאמר כי "</w:t>
      </w:r>
      <w:r w:rsidRPr="00632224">
        <w:rPr>
          <w:rFonts w:ascii="Century" w:hAnsi="Century" w:cs="FrankRuehl"/>
          <w:spacing w:val="10"/>
          <w:sz w:val="22"/>
          <w:szCs w:val="28"/>
          <w:rtl/>
        </w:rPr>
        <w:t>אפילו היתה המדינה מאמצת באופן מודע מדיניות של אי התערבות כנטען על ידה, ספק אם ניתן היה לראות במדיניות כזו מדיניות סבירה השוללת אחריות בנזיקין</w:t>
      </w:r>
      <w:r w:rsidRPr="00632224">
        <w:rPr>
          <w:rFonts w:ascii="Century" w:hAnsi="Century" w:cs="FrankRuehl" w:hint="cs"/>
          <w:spacing w:val="10"/>
          <w:sz w:val="22"/>
          <w:szCs w:val="28"/>
          <w:rtl/>
        </w:rPr>
        <w:t xml:space="preserve">" (פסקה 43 לפסק דינה של השופטת </w:t>
      </w:r>
      <w:r w:rsidRPr="00632224">
        <w:rPr>
          <w:rFonts w:ascii="Century" w:hAnsi="Century" w:cs="Miriam" w:hint="eastAsia"/>
          <w:b/>
          <w:sz w:val="22"/>
          <w:rtl/>
        </w:rPr>
        <w:t>חיות</w:t>
      </w:r>
      <w:r w:rsidRPr="00632224">
        <w:rPr>
          <w:rFonts w:ascii="Century" w:hAnsi="Century" w:cs="FrankRuehl" w:hint="cs"/>
          <w:spacing w:val="10"/>
          <w:sz w:val="22"/>
          <w:szCs w:val="28"/>
          <w:rtl/>
        </w:rPr>
        <w:t xml:space="preserve">). מכאן, שאם שר מסוים יחליט כי המדיניות שלו היא להימנע מעשייה בתחום מסוים, מתוך שיקול שהסיכון להתרחשות הנזק אינו גדול לשיטתו, ספק אם ניתן יהיה לבחון את ההחלטה באספקלריה של דיני הנזיקין.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על אף שהסבירות הנזיקית אינה חופפת לסבירות המינהלית, יש ממשק רחב </w:t>
      </w:r>
      <w:r w:rsidRPr="00632224">
        <w:rPr>
          <w:rFonts w:ascii="Arial TUR" w:hAnsi="Arial TUR" w:cs="FrankRuehl" w:hint="cs"/>
          <w:spacing w:val="10"/>
          <w:sz w:val="28"/>
          <w:szCs w:val="28"/>
          <w:rtl/>
        </w:rPr>
        <w:t xml:space="preserve">בין דיני הנזיקין למשפט המינהלי (ראו, לדוגמה, פסק דיני </w:t>
      </w:r>
      <w:r w:rsidRPr="00632224">
        <w:rPr>
          <w:rFonts w:ascii="Century" w:hAnsi="Century" w:cs="FrankRuehl" w:hint="cs"/>
          <w:spacing w:val="10"/>
          <w:sz w:val="22"/>
          <w:szCs w:val="28"/>
          <w:rtl/>
        </w:rPr>
        <w:t>ב</w:t>
      </w:r>
      <w:r w:rsidRPr="00632224">
        <w:rPr>
          <w:rFonts w:ascii="Century" w:hAnsi="Century" w:cs="FrankRuehl" w:hint="eastAsia"/>
          <w:spacing w:val="10"/>
          <w:sz w:val="22"/>
          <w:szCs w:val="28"/>
          <w:rtl/>
        </w:rPr>
        <w:t>רע</w:t>
      </w:r>
      <w:r w:rsidRPr="00632224">
        <w:rPr>
          <w:rFonts w:ascii="Century" w:hAnsi="Century" w:cs="FrankRuehl"/>
          <w:spacing w:val="10"/>
          <w:sz w:val="22"/>
          <w:szCs w:val="28"/>
          <w:rtl/>
        </w:rPr>
        <w:t xml:space="preserve">"א 2063/16 </w:t>
      </w:r>
      <w:r w:rsidRPr="00632224">
        <w:rPr>
          <w:rFonts w:ascii="Century" w:hAnsi="Century" w:cs="Miriam" w:hint="eastAsia"/>
          <w:b/>
          <w:sz w:val="22"/>
          <w:rtl/>
        </w:rPr>
        <w:t>גליק</w:t>
      </w:r>
      <w:r w:rsidRPr="00632224">
        <w:rPr>
          <w:rFonts w:ascii="Century" w:hAnsi="Century" w:cs="Miriam"/>
          <w:b/>
          <w:sz w:val="22"/>
          <w:rtl/>
        </w:rPr>
        <w:t xml:space="preserve"> </w:t>
      </w:r>
      <w:r w:rsidRPr="00632224">
        <w:rPr>
          <w:rFonts w:ascii="Century" w:hAnsi="Century" w:cs="Miriam" w:hint="eastAsia"/>
          <w:b/>
          <w:sz w:val="22"/>
          <w:rtl/>
        </w:rPr>
        <w:t>נ</w:t>
      </w:r>
      <w:r w:rsidRPr="00632224">
        <w:rPr>
          <w:rFonts w:ascii="Century" w:hAnsi="Century" w:cs="Miriam"/>
          <w:b/>
          <w:sz w:val="22"/>
          <w:rtl/>
        </w:rPr>
        <w:t xml:space="preserve">' </w:t>
      </w:r>
      <w:r w:rsidRPr="00632224">
        <w:rPr>
          <w:rFonts w:ascii="Century" w:hAnsi="Century" w:cs="Miriam" w:hint="eastAsia"/>
          <w:b/>
          <w:sz w:val="22"/>
          <w:rtl/>
        </w:rPr>
        <w:t>משטרת</w:t>
      </w:r>
      <w:r w:rsidRPr="00632224">
        <w:rPr>
          <w:rFonts w:ascii="Century" w:hAnsi="Century" w:cs="Miriam"/>
          <w:b/>
          <w:sz w:val="22"/>
          <w:rtl/>
        </w:rPr>
        <w:t xml:space="preserve"> </w:t>
      </w:r>
      <w:r w:rsidRPr="00632224">
        <w:rPr>
          <w:rFonts w:ascii="Century" w:hAnsi="Century" w:cs="Miriam" w:hint="eastAsia"/>
          <w:b/>
          <w:sz w:val="22"/>
          <w:rtl/>
        </w:rPr>
        <w:t>ישראל</w:t>
      </w:r>
      <w:r w:rsidRPr="00632224">
        <w:rPr>
          <w:rFonts w:ascii="Century" w:hAnsi="Century" w:cs="FrankRuehl"/>
          <w:spacing w:val="10"/>
          <w:sz w:val="22"/>
          <w:szCs w:val="28"/>
          <w:rtl/>
        </w:rPr>
        <w:t xml:space="preserve"> (19.1.2017</w:t>
      </w:r>
      <w:r w:rsidRPr="00632224">
        <w:rPr>
          <w:rFonts w:ascii="Century" w:hAnsi="Century" w:cs="FrankRuehl" w:hint="cs"/>
          <w:spacing w:val="10"/>
          <w:sz w:val="22"/>
          <w:szCs w:val="28"/>
          <w:rtl/>
        </w:rPr>
        <w:t>)</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w:t>
      </w:r>
      <w:r w:rsidRPr="00632224">
        <w:rPr>
          <w:rFonts w:ascii="Arial TUR" w:hAnsi="Arial TUR" w:cs="FrankRuehl" w:hint="cs"/>
          <w:spacing w:val="10"/>
          <w:sz w:val="22"/>
          <w:szCs w:val="28"/>
          <w:rtl/>
        </w:rPr>
        <w:t xml:space="preserve">צא ולמד: הנוסח הגורף של החוק, יוצר עמימות ואי ודאות לגבי האפשרות של הגשת תביעה אזרחית המבוססת על עילת הרשלנות, בגין נזק שנגרם כתוצאה מהחלטה או הימנעות מהחלטה של שר. כתוצאה מהתיקון, שר בישראל יכול לעשות או לא לעשות פעולה, מבלי שיתאפשר לבית המשפט לבקר את המעשה או המחדל באספקלריה נזיקית. ובקיצור, התיקון עלול להחזיר אותנו לכלל האנכרוניסטי </w:t>
      </w:r>
      <w:r w:rsidRPr="00632224">
        <w:rPr>
          <w:rFonts w:ascii="Arial TUR" w:hAnsi="Arial TUR" w:cs="FrankRuehl" w:hint="cs"/>
          <w:spacing w:val="10"/>
          <w:sz w:val="28"/>
          <w:szCs w:val="28"/>
          <w:rtl/>
        </w:rPr>
        <w:t>של "</w:t>
      </w:r>
      <w:r w:rsidRPr="00632224">
        <w:rPr>
          <w:rFonts w:cs="FrankRuehl"/>
          <w:spacing w:val="10"/>
          <w:sz w:val="22"/>
          <w:szCs w:val="22"/>
        </w:rPr>
        <w:t>The king can do no wrong</w:t>
      </w:r>
      <w:r w:rsidRPr="00632224">
        <w:rPr>
          <w:rFonts w:ascii="Arial TUR" w:hAnsi="Arial TUR" w:cs="FrankRuehl" w:hint="cs"/>
          <w:spacing w:val="10"/>
          <w:sz w:val="28"/>
          <w:szCs w:val="28"/>
          <w:rtl/>
        </w:rPr>
        <w:t xml:space="preserve">" </w:t>
      </w:r>
      <w:r w:rsidRPr="00632224">
        <w:rPr>
          <w:rFonts w:ascii="Arial TUR" w:hAnsi="Arial TUR" w:cs="FrankRuehl" w:hint="cs"/>
          <w:spacing w:val="10"/>
          <w:sz w:val="22"/>
          <w:szCs w:val="28"/>
          <w:rtl/>
        </w:rPr>
        <w:t>בנזיקין.</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65.</w:t>
      </w:r>
      <w:r w:rsidRPr="00632224">
        <w:rPr>
          <w:rFonts w:ascii="Century" w:hAnsi="Century" w:cs="Miriam"/>
          <w:b/>
          <w:sz w:val="22"/>
          <w:rtl/>
        </w:rPr>
        <w:tab/>
      </w:r>
      <w:r w:rsidRPr="00632224">
        <w:rPr>
          <w:rFonts w:ascii="Century" w:hAnsi="Century" w:cs="Miriam" w:hint="cs"/>
          <w:b/>
          <w:sz w:val="22"/>
          <w:rtl/>
        </w:rPr>
        <w:t>היבט חמישי</w:t>
      </w:r>
      <w:r w:rsidRPr="00632224">
        <w:rPr>
          <w:rFonts w:ascii="Century" w:hAnsi="Century" w:cs="Miriam"/>
          <w:b/>
          <w:sz w:val="22"/>
          <w:rtl/>
        </w:rPr>
        <w:t>:</w:t>
      </w:r>
      <w:r w:rsidRPr="00632224">
        <w:rPr>
          <w:rFonts w:ascii="Arial TUR" w:hAnsi="Arial TUR" w:cs="FrankRuehl" w:hint="cs"/>
          <w:spacing w:val="10"/>
          <w:sz w:val="22"/>
          <w:szCs w:val="28"/>
          <w:rtl/>
        </w:rPr>
        <w:t xml:space="preserve"> נניח כי שר פלוני הדיח מתפקידו עובד בכיר במשרדו. האם יכול בית הדין לעבודה לדון בתביעת העובד הטוען כי החלטת השר אינה סבירה ולכן יש להחזירו לעבודה?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צא ולמד: מהנוסח הגורף של החוק, ולפיו בית משפט </w:t>
      </w:r>
      <w:r w:rsidRPr="00632224">
        <w:rPr>
          <w:rFonts w:ascii="Century" w:hAnsi="Century" w:cs="FrankRuehl" w:hint="cs"/>
          <w:spacing w:val="10"/>
          <w:sz w:val="22"/>
          <w:szCs w:val="28"/>
          <w:rtl/>
        </w:rPr>
        <w:t>"</w:t>
      </w:r>
      <w:r w:rsidRPr="00632224">
        <w:rPr>
          <w:rFonts w:ascii="Century" w:hAnsi="Century" w:cs="Miriam" w:hint="cs"/>
          <w:b/>
          <w:sz w:val="22"/>
          <w:rtl/>
        </w:rPr>
        <w:t>לא ידון</w:t>
      </w:r>
      <w:r w:rsidRPr="00632224">
        <w:rPr>
          <w:rFonts w:ascii="Century" w:hAnsi="Century" w:cs="FrankRuehl" w:hint="cs"/>
          <w:spacing w:val="10"/>
          <w:sz w:val="22"/>
          <w:szCs w:val="28"/>
          <w:rtl/>
        </w:rPr>
        <w:t>"</w:t>
      </w:r>
      <w:r w:rsidRPr="00632224">
        <w:rPr>
          <w:rFonts w:ascii="Arial TUR" w:hAnsi="Arial TUR" w:cs="FrankRuehl" w:hint="cs"/>
          <w:spacing w:val="10"/>
          <w:sz w:val="22"/>
          <w:szCs w:val="28"/>
          <w:rtl/>
        </w:rPr>
        <w:t xml:space="preserve"> ו</w:t>
      </w:r>
      <w:r w:rsidRPr="00632224">
        <w:rPr>
          <w:rFonts w:ascii="Century" w:hAnsi="Century" w:cs="FrankRuehl" w:hint="cs"/>
          <w:spacing w:val="10"/>
          <w:sz w:val="22"/>
          <w:szCs w:val="28"/>
          <w:rtl/>
        </w:rPr>
        <w:t>"</w:t>
      </w:r>
      <w:r w:rsidRPr="00632224">
        <w:rPr>
          <w:rFonts w:ascii="Century" w:hAnsi="Century" w:cs="Miriam" w:hint="cs"/>
          <w:b/>
          <w:sz w:val="22"/>
          <w:rtl/>
        </w:rPr>
        <w:t>לא ייתן צו</w:t>
      </w:r>
      <w:r w:rsidRPr="00632224">
        <w:rPr>
          <w:rFonts w:ascii="Century" w:hAnsi="Century" w:cs="FrankRuehl" w:hint="cs"/>
          <w:spacing w:val="10"/>
          <w:sz w:val="22"/>
          <w:szCs w:val="28"/>
          <w:rtl/>
        </w:rPr>
        <w:t>"</w:t>
      </w:r>
      <w:r w:rsidRPr="00632224">
        <w:rPr>
          <w:rFonts w:ascii="Arial TUR" w:hAnsi="Arial TUR" w:cs="FrankRuehl" w:hint="cs"/>
          <w:spacing w:val="10"/>
          <w:sz w:val="22"/>
          <w:szCs w:val="28"/>
          <w:rtl/>
        </w:rPr>
        <w:t xml:space="preserve"> עולה לכאורה כי המכונן הקנה חסינות גם מפני תביעות בתחום דיני עבודה. כך נטען גם במפורש בתשובה המשלימה של הממשלה (פסקה 47 סיפא).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66.</w:t>
      </w:r>
      <w:r w:rsidRPr="00632224">
        <w:rPr>
          <w:rFonts w:ascii="Century" w:hAnsi="Century" w:cs="Miriam" w:hint="cs"/>
          <w:b/>
          <w:sz w:val="22"/>
          <w:rtl/>
        </w:rPr>
        <w:tab/>
        <w:t>סיכום ביניים</w:t>
      </w:r>
      <w:r w:rsidRPr="00632224">
        <w:rPr>
          <w:rFonts w:ascii="Century" w:hAnsi="Century" w:cs="Miriam"/>
          <w:b/>
          <w:sz w:val="22"/>
          <w:rtl/>
        </w:rPr>
        <w:t>:</w:t>
      </w:r>
      <w:r w:rsidRPr="00632224">
        <w:rPr>
          <w:rFonts w:ascii="Arial TUR" w:hAnsi="Arial TUR" w:cs="FrankRuehl" w:hint="cs"/>
          <w:spacing w:val="10"/>
          <w:sz w:val="22"/>
          <w:szCs w:val="28"/>
          <w:rtl/>
        </w:rPr>
        <w:t xml:space="preserve"> לביטול עילת הסבירות יש צד שני למשוואה, ועמדנו על חמישה היבטים שונים של צד זה. הנה כי כן, משך שנים רבות, חרשה מחרשת הדין המינהלי, רגב אחר רגב, צעד אחר צעד. ביטול עילת הסבירות ביחס להחלטות הממשלה ושריה </w:t>
      </w:r>
      <w:r w:rsidRPr="00632224">
        <w:rPr>
          <w:rFonts w:ascii="Arial TUR" w:hAnsi="Arial TUR" w:cs="FrankRuehl" w:hint="cs"/>
          <w:spacing w:val="10"/>
          <w:sz w:val="22"/>
          <w:szCs w:val="28"/>
          <w:rtl/>
        </w:rPr>
        <w:lastRenderedPageBreak/>
        <w:t xml:space="preserve">עלול להביא לשינויים טקטוניים בשדה המינהלי ובתחומי משפט נוספים, שינויים שעלולים להביא לתוצאות שהמכונן כלל לא התכוון להן.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cs="FrankRuehl"/>
          <w:spacing w:val="10"/>
          <w:sz w:val="24"/>
          <w:szCs w:val="28"/>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ברם, בית משפט זה אינו בוחן את תבונתו של המחוקק, קל וחומר שלא את תבונתו של המכונן. כפי שנאמר פעמים רבות בפסיקה, בלשון כזו ואחרת, בית המשפט נדרש לבחון את חוקתיות החוק ולא את השאלה אם החוק הוא טוב, יעיל, מוצדק וכיוצא בזה (ראו, מבין רבים, עניין </w:t>
      </w:r>
      <w:r w:rsidRPr="00632224">
        <w:rPr>
          <w:rFonts w:ascii="Century" w:hAnsi="Century" w:cs="Miriam" w:hint="cs"/>
          <w:b/>
          <w:sz w:val="22"/>
          <w:rtl/>
        </w:rPr>
        <w:t>בנק המזרחי</w:t>
      </w:r>
      <w:r w:rsidRPr="00632224">
        <w:rPr>
          <w:rFonts w:ascii="Arial TUR" w:hAnsi="Arial TUR" w:cs="FrankRuehl" w:hint="cs"/>
          <w:spacing w:val="10"/>
          <w:sz w:val="22"/>
          <w:szCs w:val="28"/>
          <w:rtl/>
        </w:rPr>
        <w:t xml:space="preserve">, בעמ' 438; </w:t>
      </w:r>
      <w:r w:rsidRPr="00632224">
        <w:rPr>
          <w:rFonts w:ascii="Century" w:hAnsi="Century" w:cs="FrankRuehl"/>
          <w:spacing w:val="10"/>
          <w:sz w:val="22"/>
          <w:szCs w:val="28"/>
          <w:rtl/>
        </w:rPr>
        <w:t>בג"ץ 8425/13</w:t>
      </w:r>
      <w:r w:rsidRPr="00632224">
        <w:rPr>
          <w:rFonts w:ascii="Arial TUR" w:hAnsi="Arial TUR" w:cs="FrankRuehl" w:hint="cs"/>
          <w:spacing w:val="10"/>
          <w:sz w:val="22"/>
          <w:szCs w:val="28"/>
          <w:rtl/>
        </w:rPr>
        <w:t xml:space="preserve"> </w:t>
      </w:r>
      <w:r w:rsidRPr="00632224">
        <w:rPr>
          <w:rFonts w:ascii="Century" w:hAnsi="Century" w:cs="Miriam" w:hint="cs"/>
          <w:b/>
          <w:sz w:val="22"/>
          <w:rtl/>
        </w:rPr>
        <w:t>איתן מדיניות הגירה ישראלית נ' ממשלת ישראל</w:t>
      </w:r>
      <w:r w:rsidRPr="00632224">
        <w:rPr>
          <w:rFonts w:ascii="Arial TUR" w:hAnsi="Arial TUR" w:cs="FrankRuehl" w:hint="cs"/>
          <w:spacing w:val="10"/>
          <w:sz w:val="22"/>
          <w:szCs w:val="28"/>
          <w:rtl/>
        </w:rPr>
        <w:t xml:space="preserve">, בפסקה 1 לפסק דינו של הנשיא </w:t>
      </w:r>
      <w:r w:rsidRPr="00632224">
        <w:rPr>
          <w:rFonts w:ascii="Century" w:hAnsi="Century" w:cs="Miriam" w:hint="cs"/>
          <w:b/>
          <w:sz w:val="22"/>
          <w:rtl/>
        </w:rPr>
        <w:t>גרוניס</w:t>
      </w:r>
      <w:r w:rsidRPr="00632224">
        <w:rPr>
          <w:rFonts w:ascii="Arial TUR" w:hAnsi="Arial TUR" w:cs="FrankRuehl" w:hint="cs"/>
          <w:spacing w:val="10"/>
          <w:sz w:val="22"/>
          <w:szCs w:val="28"/>
          <w:rtl/>
        </w:rPr>
        <w:t xml:space="preserve"> (22.9.2014); בג"ץ 5239/11 </w:t>
      </w:r>
      <w:r w:rsidRPr="00632224">
        <w:rPr>
          <w:rFonts w:ascii="Century" w:hAnsi="Century" w:cs="Miriam" w:hint="cs"/>
          <w:b/>
          <w:sz w:val="22"/>
          <w:rtl/>
        </w:rPr>
        <w:t>אבנרי נ' הכנסת</w:t>
      </w:r>
      <w:r w:rsidRPr="00632224">
        <w:rPr>
          <w:rFonts w:ascii="Arial TUR" w:hAnsi="Arial TUR" w:cs="FrankRuehl" w:hint="cs"/>
          <w:spacing w:val="10"/>
          <w:sz w:val="22"/>
          <w:szCs w:val="28"/>
          <w:rtl/>
        </w:rPr>
        <w:t xml:space="preserve">, פסקה 14 לפסק דיני (15.4.2015)).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חוסר הוודאות שהתיקון לחוק היסוד מביא עמו וגם הקשיים הרבים שהוא מעורר כמפורט לעיל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כל אלה אינם עילה לפסילתו של חוק, על אחת כמה וכמה חוק יסוד. טרם אפנה לבחינת </w:t>
      </w:r>
      <w:r w:rsidRPr="00632224">
        <w:rPr>
          <w:rFonts w:ascii="Century" w:hAnsi="Century" w:cs="Miriam" w:hint="cs"/>
          <w:b/>
          <w:sz w:val="22"/>
          <w:rtl/>
        </w:rPr>
        <w:t>תוקפו</w:t>
      </w:r>
      <w:r w:rsidRPr="00632224">
        <w:rPr>
          <w:rFonts w:ascii="Arial TUR" w:hAnsi="Arial TUR" w:cs="FrankRuehl" w:hint="cs"/>
          <w:spacing w:val="10"/>
          <w:sz w:val="22"/>
          <w:szCs w:val="28"/>
          <w:rtl/>
        </w:rPr>
        <w:t xml:space="preserve"> של התיקון לחוק היסוד, באספקלריה של התיקון החוקתי הלא חוקתי, אעמוד על נושאים נוספים המתעוררים בענייננו.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על סבירות ומידתיות</w:t>
      </w:r>
    </w:p>
    <w:p w:rsidR="00244560" w:rsidRPr="00632224"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67.</w:t>
      </w:r>
      <w:r w:rsidRPr="00632224">
        <w:rPr>
          <w:rFonts w:ascii="Arial TUR" w:hAnsi="Arial TUR" w:cs="FrankRuehl" w:hint="cs"/>
          <w:spacing w:val="10"/>
          <w:sz w:val="22"/>
          <w:szCs w:val="28"/>
          <w:rtl/>
        </w:rPr>
        <w:tab/>
        <w:t xml:space="preserve">תומכי התיקון טוענים כי חלף עילת הסבירות תבוא עילת המידתיות. על טענה זו השיבה הנשיאה בפסקה 148 לפסק דינה, ואוסיף אף אני מבלי להאריך.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אכן, עילת המידתיות היא עילה מודרנית ומשוכללת הפורסת אברותיה גם על המשפט המינהלי (מידתיות מינהלית להבדיל ממידתיות חוקתית). אך עילת המידתיות אינה יכולה להחליף את עילת הסבירות. ככלל, נפקותה העיקרית של </w:t>
      </w:r>
      <w:r w:rsidRPr="00632224">
        <w:rPr>
          <w:rFonts w:ascii="Century" w:hAnsi="Century" w:cs="FrankRuehl"/>
          <w:spacing w:val="10"/>
          <w:sz w:val="22"/>
          <w:szCs w:val="28"/>
          <w:shd w:val="clear" w:color="auto" w:fill="FFFFFF"/>
          <w:rtl/>
        </w:rPr>
        <w:t xml:space="preserve">עילת המידתיות </w:t>
      </w:r>
      <w:r w:rsidRPr="00632224">
        <w:rPr>
          <w:rFonts w:ascii="Century" w:hAnsi="Century" w:cs="FrankRuehl" w:hint="cs"/>
          <w:spacing w:val="10"/>
          <w:sz w:val="22"/>
          <w:szCs w:val="28"/>
          <w:shd w:val="clear" w:color="auto" w:fill="FFFFFF"/>
          <w:rtl/>
        </w:rPr>
        <w:t xml:space="preserve">היא בתחום החוקתי, מקום שבו </w:t>
      </w:r>
      <w:r w:rsidRPr="00632224">
        <w:rPr>
          <w:rFonts w:ascii="Century" w:hAnsi="Century" w:cs="FrankRuehl"/>
          <w:spacing w:val="10"/>
          <w:sz w:val="22"/>
          <w:szCs w:val="28"/>
          <w:shd w:val="clear" w:color="auto" w:fill="FFFFFF"/>
          <w:rtl/>
        </w:rPr>
        <w:t>יש פגיעה בזכויות יסוד</w:t>
      </w:r>
      <w:r w:rsidRPr="00632224">
        <w:rPr>
          <w:rFonts w:ascii="Century" w:hAnsi="Century" w:cs="FrankRuehl" w:hint="cs"/>
          <w:spacing w:val="10"/>
          <w:sz w:val="22"/>
          <w:szCs w:val="28"/>
          <w:shd w:val="clear" w:color="auto" w:fill="FFFFFF"/>
          <w:rtl/>
        </w:rPr>
        <w:t xml:space="preserve">, בעוד שנפקותה העיקרית של עילת הסבירות היא בתחום המשפט המינהלי. לצד זאת, </w:t>
      </w:r>
      <w:r w:rsidRPr="00632224">
        <w:rPr>
          <w:rFonts w:ascii="Century" w:hAnsi="Century" w:cs="FrankRuehl" w:hint="cs"/>
          <w:spacing w:val="10"/>
          <w:sz w:val="22"/>
          <w:szCs w:val="28"/>
          <w:rtl/>
        </w:rPr>
        <w:t>המידתיות משמשת גם בתחום המשפט המינהלי ו</w:t>
      </w:r>
      <w:r w:rsidRPr="00632224">
        <w:rPr>
          <w:rFonts w:ascii="Arial TUR" w:hAnsi="Arial TUR" w:cs="FrankRuehl" w:hint="cs"/>
          <w:spacing w:val="10"/>
          <w:sz w:val="22"/>
          <w:szCs w:val="28"/>
          <w:rtl/>
        </w:rPr>
        <w:t xml:space="preserve">אין לכחד כי "לעיתים עשויה להיות חפיפה בין שתי העילות כך ש"החלטה שאינה מידתית תימצא גם כבלתי סבירה" (עניין </w:t>
      </w:r>
      <w:r w:rsidRPr="00632224">
        <w:rPr>
          <w:rFonts w:ascii="Century" w:hAnsi="Century" w:cs="Miriam" w:hint="cs"/>
          <w:b/>
          <w:sz w:val="22"/>
          <w:rtl/>
        </w:rPr>
        <w:t>גורוחוד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w:t>
      </w:r>
      <w:r w:rsidRPr="00632224">
        <w:rPr>
          <w:rFonts w:ascii="Arial TUR" w:hAnsi="Arial TUR" w:cs="FrankRuehl" w:hint="cs"/>
          <w:spacing w:val="10"/>
          <w:sz w:val="22"/>
          <w:szCs w:val="28"/>
          <w:rtl/>
        </w:rPr>
        <w:t xml:space="preserve">פסקה 16 לפסק דינה של הנשיאה </w:t>
      </w:r>
      <w:r w:rsidRPr="00632224">
        <w:rPr>
          <w:rFonts w:ascii="Century" w:hAnsi="Century" w:cs="Miriam" w:hint="eastAsia"/>
          <w:b/>
          <w:sz w:val="22"/>
          <w:rtl/>
        </w:rPr>
        <w:t>ביניש</w:t>
      </w:r>
      <w:r w:rsidRPr="00632224">
        <w:rPr>
          <w:rFonts w:ascii="Arial TUR" w:hAnsi="Arial TUR" w:cs="FrankRuehl" w:hint="cs"/>
          <w:spacing w:val="10"/>
          <w:sz w:val="22"/>
          <w:szCs w:val="28"/>
          <w:rtl/>
        </w:rPr>
        <w:t xml:space="preserve">). </w:t>
      </w:r>
      <w:r w:rsidRPr="00632224">
        <w:rPr>
          <w:rFonts w:ascii="Century" w:hAnsi="Century" w:cs="FrankRuehl" w:hint="cs"/>
          <w:spacing w:val="10"/>
          <w:sz w:val="22"/>
          <w:szCs w:val="28"/>
          <w:shd w:val="clear" w:color="auto" w:fill="FFFFFF"/>
          <w:rtl/>
        </w:rPr>
        <w:t>ברם, המדובר בשתי עילות שונות ו"חשוב להקדים ולהבהיר כי עילת המידתיות אינה מייתרת את עילת הסבירות [...]"</w:t>
      </w:r>
      <w:r w:rsidRPr="00632224">
        <w:rPr>
          <w:rFonts w:ascii="Helvetica" w:hAnsi="Helvetica" w:cs="FrankRuehl" w:hint="cs"/>
          <w:color w:val="000000"/>
          <w:spacing w:val="10"/>
          <w:sz w:val="26"/>
          <w:szCs w:val="26"/>
          <w:shd w:val="clear" w:color="auto" w:fill="FFFFFF"/>
          <w:rtl/>
        </w:rPr>
        <w:t xml:space="preserve"> (</w:t>
      </w:r>
      <w:r w:rsidRPr="00632224">
        <w:rPr>
          <w:rFonts w:ascii="Century" w:hAnsi="Century" w:cs="Miriam" w:hint="eastAsia"/>
          <w:b/>
          <w:sz w:val="22"/>
          <w:rtl/>
        </w:rPr>
        <w:t>ברק</w:t>
      </w:r>
      <w:r w:rsidRPr="00632224">
        <w:rPr>
          <w:rFonts w:ascii="Century" w:hAnsi="Century" w:cs="Miriam"/>
          <w:b/>
          <w:sz w:val="22"/>
          <w:rtl/>
        </w:rPr>
        <w:t>-ארז</w:t>
      </w:r>
      <w:r w:rsidRPr="00632224">
        <w:rPr>
          <w:rFonts w:ascii="Arial TUR" w:hAnsi="Arial TUR" w:cs="FrankRuehl" w:hint="cs"/>
          <w:spacing w:val="10"/>
          <w:sz w:val="22"/>
          <w:szCs w:val="28"/>
          <w:rtl/>
        </w:rPr>
        <w:t xml:space="preserve"> </w:t>
      </w:r>
      <w:r w:rsidRPr="00632224">
        <w:rPr>
          <w:rFonts w:ascii="Century" w:hAnsi="Century" w:cs="Miriam" w:hint="cs"/>
          <w:b/>
          <w:sz w:val="22"/>
          <w:rtl/>
        </w:rPr>
        <w:t>משפט מינהלי</w:t>
      </w:r>
      <w:r w:rsidRPr="00632224">
        <w:rPr>
          <w:rFonts w:ascii="Arial TUR" w:hAnsi="Arial TUR" w:cs="FrankRuehl" w:hint="cs"/>
          <w:spacing w:val="10"/>
          <w:sz w:val="22"/>
          <w:szCs w:val="28"/>
          <w:rtl/>
        </w:rPr>
        <w:t>, כרך ב בעמ' 784)</w:t>
      </w:r>
      <w:r w:rsidRPr="00632224">
        <w:rPr>
          <w:rFonts w:ascii="Helvetica" w:hAnsi="Helvetica" w:cs="FrankRuehl" w:hint="cs"/>
          <w:color w:val="000000"/>
          <w:spacing w:val="10"/>
          <w:sz w:val="26"/>
          <w:szCs w:val="26"/>
          <w:shd w:val="clear" w:color="auto" w:fill="FFFFFF"/>
          <w:rtl/>
        </w:rPr>
        <w:t>.</w:t>
      </w:r>
      <w:r w:rsidRPr="00632224">
        <w:rPr>
          <w:rFonts w:ascii="Arial TUR" w:hAnsi="Arial TUR" w:cs="FrankRuehl" w:hint="cs"/>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Helvetica" w:hAnsi="Helvetica" w:cs="FrankRuehl"/>
          <w:color w:val="000000"/>
          <w:spacing w:val="10"/>
          <w:sz w:val="26"/>
          <w:szCs w:val="26"/>
          <w:shd w:val="clear" w:color="auto" w:fill="FFFFFF"/>
          <w:rtl/>
        </w:rPr>
      </w:pPr>
      <w:r w:rsidRPr="00632224">
        <w:rPr>
          <w:rFonts w:ascii="Arial TUR" w:hAnsi="Arial TUR" w:cs="FrankRuehl" w:hint="cs"/>
          <w:spacing w:val="10"/>
          <w:sz w:val="22"/>
          <w:szCs w:val="28"/>
          <w:rtl/>
        </w:rPr>
        <w:t xml:space="preserve">"[...] העמדת עילות אלו, זו לצד זו, מלמדת על היחס המורכב ורב-הפנים שמתקיים בין עילת המידתיות במישור המשפט המנהלי לבין עילת הסבירות על צורותיה ומופעיה השונים בפסיקתו של בית משפט זה [...]. בענייננו, די אם נתמקד בהיבט אחד של יחס מורכב זה, </w:t>
      </w:r>
      <w:r w:rsidRPr="00632224">
        <w:rPr>
          <w:rFonts w:ascii="Arial TUR" w:hAnsi="Arial TUR" w:cs="FrankRuehl" w:hint="cs"/>
          <w:spacing w:val="10"/>
          <w:sz w:val="22"/>
          <w:szCs w:val="28"/>
          <w:rtl/>
        </w:rPr>
        <w:lastRenderedPageBreak/>
        <w:t xml:space="preserve">ונאמר כי </w:t>
      </w:r>
      <w:r w:rsidRPr="00632224">
        <w:rPr>
          <w:rFonts w:ascii="Century" w:hAnsi="Century" w:cs="Miriam" w:hint="cs"/>
          <w:b/>
          <w:sz w:val="22"/>
          <w:rtl/>
        </w:rPr>
        <w:t>בנסיבות מסוימות עשויה עילת הסבירות להיות עילת ביקורת רחבה יותר מעילת המידתיות המנהלית</w:t>
      </w:r>
      <w:r w:rsidRPr="00632224">
        <w:rPr>
          <w:rFonts w:ascii="Arial TUR" w:hAnsi="Arial TUR" w:cs="FrankRuehl" w:hint="cs"/>
          <w:spacing w:val="10"/>
          <w:sz w:val="22"/>
          <w:szCs w:val="28"/>
          <w:rtl/>
        </w:rPr>
        <w:t xml:space="preserve">, במובן זה שהיא מאפשרת לבחון את ההחלטה המנהלית הקונקרטית הן על-פי תקינות ההליך שקיימה הרשות והן על-פי התוצאה הסופית. ניתן לומר, אם כן, כי ייתכנו מצבים בהם </w:t>
      </w:r>
      <w:r w:rsidRPr="00632224">
        <w:rPr>
          <w:rFonts w:ascii="Century" w:hAnsi="Century" w:cs="Miriam" w:hint="eastAsia"/>
          <w:b/>
          <w:sz w:val="22"/>
          <w:rtl/>
        </w:rPr>
        <w:t>ה</w:t>
      </w:r>
      <w:r w:rsidRPr="00632224">
        <w:rPr>
          <w:rFonts w:cs="Miriam" w:hint="cs"/>
          <w:sz w:val="28"/>
          <w:rtl/>
        </w:rPr>
        <w:t>החלטה המנהלית</w:t>
      </w:r>
      <w:r w:rsidRPr="00632224">
        <w:rPr>
          <w:rFonts w:ascii="Arial TUR" w:hAnsi="Arial TUR" w:cs="FrankRuehl" w:hint="cs"/>
          <w:spacing w:val="10"/>
          <w:sz w:val="22"/>
          <w:szCs w:val="28"/>
          <w:rtl/>
        </w:rPr>
        <w:t xml:space="preserve"> תהא מידתית על-פי תוצאתה ותכליתה, אולם בד-בבד יימצא כי ב</w:t>
      </w:r>
      <w:r w:rsidRPr="00632224">
        <w:rPr>
          <w:rFonts w:cs="Miriam" w:hint="cs"/>
          <w:sz w:val="28"/>
          <w:rtl/>
        </w:rPr>
        <w:t>הליך המנהלי</w:t>
      </w:r>
      <w:r w:rsidRPr="00632224">
        <w:rPr>
          <w:rFonts w:ascii="Arial TUR" w:hAnsi="Arial TUR" w:cs="FrankRuehl" w:hint="cs"/>
          <w:spacing w:val="10"/>
          <w:sz w:val="22"/>
          <w:szCs w:val="28"/>
          <w:rtl/>
        </w:rPr>
        <w:t xml:space="preserve"> שקדם להחלטה נפל פגם המלמד על אי-סבירותה [...]" (עניין </w:t>
      </w:r>
      <w:r w:rsidRPr="00632224">
        <w:rPr>
          <w:rFonts w:ascii="Century" w:hAnsi="Century" w:cs="Miriam" w:hint="cs"/>
          <w:b/>
          <w:sz w:val="22"/>
          <w:rtl/>
        </w:rPr>
        <w:t>גורוחוד</w:t>
      </w:r>
      <w:r w:rsidRPr="00632224">
        <w:rPr>
          <w:rFonts w:ascii="Arial TUR" w:hAnsi="Arial TUR" w:cs="FrankRuehl" w:hint="cs"/>
          <w:spacing w:val="10"/>
          <w:sz w:val="22"/>
          <w:szCs w:val="28"/>
          <w:rtl/>
        </w:rPr>
        <w:t xml:space="preserve">, בפסקה 16 לפסק דינה של הנשיאה </w:t>
      </w:r>
      <w:r w:rsidRPr="00632224">
        <w:rPr>
          <w:rFonts w:ascii="Century" w:hAnsi="Century" w:cs="Miriam" w:hint="eastAsia"/>
          <w:b/>
          <w:sz w:val="22"/>
          <w:rtl/>
        </w:rPr>
        <w:t>ביניש</w:t>
      </w:r>
      <w:r w:rsidRPr="00632224">
        <w:rPr>
          <w:rFonts w:ascii="Arial TUR" w:hAnsi="Arial TUR" w:cs="FrankRuehl" w:hint="cs"/>
          <w:spacing w:val="10"/>
          <w:sz w:val="22"/>
          <w:szCs w:val="28"/>
          <w:rtl/>
        </w:rPr>
        <w:t xml:space="preserve">, הדגשות הוספו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p>
    <w:p w:rsidR="00244560" w:rsidRPr="00632224" w:rsidRDefault="00244560" w:rsidP="00244560">
      <w:pPr>
        <w:ind w:left="1644" w:right="1276"/>
        <w:jc w:val="both"/>
        <w:rPr>
          <w:rFonts w:ascii="Helvetica" w:hAnsi="Helvetica" w:cs="FrankRuehl"/>
          <w:color w:val="000000"/>
          <w:spacing w:val="10"/>
          <w:sz w:val="26"/>
          <w:szCs w:val="26"/>
          <w:shd w:val="clear" w:color="auto" w:fill="FFFFFF"/>
          <w:rtl/>
        </w:rPr>
      </w:pPr>
    </w:p>
    <w:p w:rsidR="00244560" w:rsidRPr="00632224" w:rsidRDefault="00244560" w:rsidP="00244560">
      <w:pPr>
        <w:ind w:left="1644" w:right="1276"/>
        <w:jc w:val="both"/>
        <w:rPr>
          <w:rFonts w:ascii="Helvetica" w:hAnsi="Helvetica" w:cs="FrankRuehl"/>
          <w:color w:val="000000"/>
          <w:spacing w:val="10"/>
          <w:sz w:val="26"/>
          <w:szCs w:val="26"/>
          <w:shd w:val="clear" w:color="auto" w:fill="FFFFFF"/>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spacing w:val="10"/>
          <w:sz w:val="22"/>
          <w:szCs w:val="28"/>
          <w:shd w:val="clear" w:color="auto" w:fill="FFFFFF"/>
          <w:rtl/>
        </w:rPr>
        <w:tab/>
      </w:r>
      <w:r w:rsidRPr="00632224">
        <w:rPr>
          <w:rFonts w:ascii="Century" w:hAnsi="Century" w:cs="FrankRuehl" w:hint="cs"/>
          <w:spacing w:val="10"/>
          <w:sz w:val="22"/>
          <w:szCs w:val="28"/>
          <w:shd w:val="clear" w:color="auto" w:fill="FFFFFF"/>
          <w:rtl/>
        </w:rPr>
        <w:t xml:space="preserve">(עוד </w:t>
      </w:r>
      <w:r w:rsidRPr="00632224">
        <w:rPr>
          <w:rFonts w:ascii="Century" w:hAnsi="Century" w:cs="FrankRuehl" w:hint="cs"/>
          <w:spacing w:val="10"/>
          <w:sz w:val="22"/>
          <w:szCs w:val="28"/>
          <w:rtl/>
        </w:rPr>
        <w:t>להבדלים בין עילת המידתיות</w:t>
      </w:r>
      <w:r w:rsidRPr="00632224">
        <w:rPr>
          <w:rFonts w:ascii="Arial TUR" w:hAnsi="Arial TUR" w:cs="FrankRuehl" w:hint="cs"/>
          <w:spacing w:val="10"/>
          <w:sz w:val="22"/>
          <w:szCs w:val="28"/>
          <w:rtl/>
        </w:rPr>
        <w:t xml:space="preserve"> לבין עילת הסבירות ראו, בין היתר, אהרן </w:t>
      </w:r>
      <w:r w:rsidRPr="00632224">
        <w:rPr>
          <w:rFonts w:ascii="Arial TUR" w:hAnsi="Arial TUR" w:cs="FrankRuehl"/>
          <w:spacing w:val="10"/>
          <w:sz w:val="22"/>
          <w:szCs w:val="28"/>
          <w:rtl/>
        </w:rPr>
        <w:t xml:space="preserve">ברק </w:t>
      </w:r>
      <w:hyperlink r:id="rId18" w:history="1">
        <w:r w:rsidRPr="00632224">
          <w:rPr>
            <w:rFonts w:ascii="Century" w:hAnsi="Century" w:cs="Miriam" w:hint="eastAsia"/>
            <w:b/>
            <w:sz w:val="22"/>
            <w:rtl/>
          </w:rPr>
          <w:t>מידתיות</w:t>
        </w:r>
        <w:r w:rsidRPr="00632224">
          <w:rPr>
            <w:rFonts w:ascii="Century" w:hAnsi="Century" w:cs="Miriam"/>
            <w:b/>
            <w:sz w:val="22"/>
            <w:rtl/>
          </w:rPr>
          <w:t xml:space="preserve"> </w:t>
        </w:r>
        <w:r w:rsidRPr="00632224">
          <w:rPr>
            <w:rFonts w:ascii="Century" w:hAnsi="Century" w:cs="Miriam" w:hint="eastAsia"/>
            <w:b/>
            <w:sz w:val="22"/>
            <w:rtl/>
          </w:rPr>
          <w:t>במשפט</w:t>
        </w:r>
      </w:hyperlink>
      <w:r w:rsidRPr="00632224">
        <w:rPr>
          <w:rFonts w:ascii="Century" w:hAnsi="Century" w:cs="Miriam" w:hint="cs"/>
          <w:b/>
          <w:sz w:val="22"/>
          <w:rtl/>
        </w:rPr>
        <w:t xml:space="preserve"> – הפגיעה בזכות החוקתית והגבלותיה</w:t>
      </w:r>
      <w:r w:rsidRPr="00632224">
        <w:rPr>
          <w:rFonts w:ascii="Arial TUR" w:hAnsi="Arial TUR" w:cs="FrankRuehl" w:hint="cs"/>
          <w:spacing w:val="10"/>
          <w:sz w:val="22"/>
          <w:szCs w:val="28"/>
          <w:rtl/>
        </w:rPr>
        <w:t xml:space="preserve"> </w:t>
      </w:r>
      <w:r w:rsidRPr="00632224">
        <w:rPr>
          <w:rFonts w:ascii="Arial TUR" w:eastAsia="SimSun" w:hAnsi="Arial TUR" w:cs="FrankRuehl" w:hint="cs"/>
          <w:spacing w:val="10"/>
          <w:sz w:val="22"/>
          <w:szCs w:val="28"/>
          <w:rtl/>
        </w:rPr>
        <w:t xml:space="preserve">465-455 (2010); </w:t>
      </w:r>
      <w:r w:rsidRPr="00632224">
        <w:rPr>
          <w:rFonts w:ascii="Arial TUR" w:hAnsi="Arial TUR" w:cs="FrankRuehl" w:hint="cs"/>
          <w:spacing w:val="10"/>
          <w:sz w:val="22"/>
          <w:szCs w:val="28"/>
          <w:rtl/>
        </w:rPr>
        <w:t xml:space="preserve">פסק דיני בעניין </w:t>
      </w:r>
      <w:r w:rsidRPr="00632224">
        <w:rPr>
          <w:rFonts w:ascii="Century" w:hAnsi="Century" w:cs="Miriam" w:hint="eastAsia"/>
          <w:b/>
          <w:sz w:val="22"/>
          <w:shd w:val="clear" w:color="auto" w:fill="FFFFFF"/>
          <w:rtl/>
        </w:rPr>
        <w:t>רותם</w:t>
      </w:r>
      <w:r w:rsidRPr="00632224">
        <w:rPr>
          <w:rFonts w:ascii="Century" w:hAnsi="Century" w:cs="FrankRuehl"/>
          <w:spacing w:val="10"/>
          <w:sz w:val="22"/>
          <w:szCs w:val="28"/>
          <w:shd w:val="clear" w:color="auto" w:fill="FFFFFF"/>
          <w:rtl/>
        </w:rPr>
        <w:t xml:space="preserve">, </w:t>
      </w:r>
      <w:r w:rsidRPr="00632224">
        <w:rPr>
          <w:rFonts w:ascii="Century" w:hAnsi="Century" w:cs="FrankRuehl" w:hint="cs"/>
          <w:spacing w:val="10"/>
          <w:sz w:val="22"/>
          <w:szCs w:val="28"/>
          <w:shd w:val="clear" w:color="auto" w:fill="FFFFFF"/>
          <w:rtl/>
        </w:rPr>
        <w:t>בפסקה</w:t>
      </w:r>
      <w:r w:rsidRPr="00632224">
        <w:rPr>
          <w:rFonts w:ascii="Helvetica" w:hAnsi="Helvetica" w:cs="FrankRuehl" w:hint="cs"/>
          <w:color w:val="000000"/>
          <w:spacing w:val="10"/>
          <w:sz w:val="26"/>
          <w:szCs w:val="26"/>
          <w:shd w:val="clear" w:color="auto" w:fill="FFFFFF"/>
          <w:rtl/>
        </w:rPr>
        <w:t xml:space="preserve"> 1; </w:t>
      </w:r>
      <w:r w:rsidRPr="00632224">
        <w:rPr>
          <w:rFonts w:ascii="Arial TUR" w:hAnsi="Arial TUR" w:cs="FrankRuehl" w:hint="cs"/>
          <w:spacing w:val="10"/>
          <w:sz w:val="22"/>
          <w:szCs w:val="28"/>
          <w:rtl/>
        </w:rPr>
        <w:t xml:space="preserve">גיא </w:t>
      </w:r>
      <w:r w:rsidRPr="00632224">
        <w:rPr>
          <w:rFonts w:ascii="Arial TUR" w:hAnsi="Arial TUR" w:cs="FrankRuehl" w:hint="eastAsia"/>
          <w:spacing w:val="10"/>
          <w:sz w:val="22"/>
          <w:szCs w:val="28"/>
          <w:rtl/>
        </w:rPr>
        <w:t>דוידוב</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ביקורת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חוקתית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בעניינים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בעלי</w:t>
      </w:r>
      <w:r w:rsidRPr="00632224">
        <w:rPr>
          <w:rFonts w:ascii="Arial TUR" w:hAnsi="Arial TUR" w:cs="FrankRuehl" w:hint="cs"/>
          <w:spacing w:val="10"/>
          <w:sz w:val="22"/>
          <w:szCs w:val="28"/>
          <w:rtl/>
        </w:rPr>
        <w:t xml:space="preserve"> השלכה תקציבית" </w:t>
      </w:r>
      <w:r w:rsidRPr="00632224">
        <w:rPr>
          <w:rFonts w:ascii="Century" w:hAnsi="Century" w:cs="Miriam" w:hint="cs"/>
          <w:b/>
          <w:sz w:val="22"/>
          <w:rtl/>
        </w:rPr>
        <w:t>הפרקליט</w:t>
      </w:r>
      <w:r w:rsidRPr="00632224">
        <w:rPr>
          <w:rFonts w:ascii="Arial TUR" w:hAnsi="Arial TUR" w:cs="FrankRuehl" w:hint="cs"/>
          <w:spacing w:val="10"/>
          <w:sz w:val="22"/>
          <w:szCs w:val="28"/>
          <w:rtl/>
        </w:rPr>
        <w:t xml:space="preserve"> מט 345, 366-364 (2008); נדב דגן "מידתיות חוקיות, סבירות מינהלית: הסדרה משפטית של שיקול דעת שלטוני בראי המשפט המקובל" </w:t>
      </w:r>
      <w:r w:rsidRPr="00632224">
        <w:rPr>
          <w:rFonts w:ascii="Century" w:hAnsi="Century" w:cs="Miriam" w:hint="cs"/>
          <w:b/>
          <w:sz w:val="22"/>
          <w:rtl/>
        </w:rPr>
        <w:t>דין ודברים</w:t>
      </w:r>
      <w:r w:rsidRPr="00632224">
        <w:rPr>
          <w:rFonts w:ascii="Arial TUR" w:hAnsi="Arial TUR" w:cs="FrankRuehl" w:hint="cs"/>
          <w:spacing w:val="10"/>
          <w:sz w:val="22"/>
          <w:szCs w:val="28"/>
          <w:rtl/>
        </w:rPr>
        <w:t xml:space="preserve"> טו 461 (2021)).</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כאמור, המדובר בשתי עילות שונות. כך, בעניין </w:t>
      </w:r>
      <w:r w:rsidRPr="00632224">
        <w:rPr>
          <w:rFonts w:ascii="Century" w:hAnsi="Century" w:cs="Miriam" w:hint="cs"/>
          <w:b/>
          <w:sz w:val="22"/>
          <w:rtl/>
        </w:rPr>
        <w:t>גורוחוד</w:t>
      </w:r>
      <w:r w:rsidRPr="00632224">
        <w:rPr>
          <w:rFonts w:ascii="Arial TUR" w:hAnsi="Arial TUR" w:cs="FrankRuehl" w:hint="cs"/>
          <w:spacing w:val="10"/>
          <w:sz w:val="22"/>
          <w:szCs w:val="28"/>
          <w:rtl/>
        </w:rPr>
        <w:t xml:space="preserve">, בחן בית המשפט את השאלה אם החלטת הפיטורים הייתה סבירה ובהמשך בחן את החלטת הפיטורים במשקפי המידתיות, לנוכח ההשלכות הדרסטיות של הפיטורים על חייו של אדם. המידתיות משמשת אותנו בבואנו לבחון פגיעה בזכות יסוד חוקתית בחוק או באקט מינהלי. אך לא כל החלטה מינהלית פוגעת בזכות יסוד חוקתית או בליבת הזכות החוקתית, ומכאן הצורך להיזקק לעילת הסבירות. כך, לדוגמה, המידתיות לא תצלח להתמודד עם נושאים כמו מינויים של </w:t>
      </w:r>
      <w:r w:rsidRPr="00632224">
        <w:rPr>
          <w:rFonts w:ascii="Century" w:hAnsi="Century" w:cs="FrankRuehl" w:hint="cs"/>
          <w:spacing w:val="10"/>
          <w:sz w:val="22"/>
          <w:szCs w:val="28"/>
          <w:shd w:val="clear" w:color="auto" w:fill="FFFFFF"/>
          <w:rtl/>
        </w:rPr>
        <w:t xml:space="preserve">בכירים בשירות הציבורי או </w:t>
      </w:r>
      <w:r w:rsidRPr="00632224">
        <w:rPr>
          <w:rFonts w:ascii="Century" w:hAnsi="Century" w:cs="FrankRuehl"/>
          <w:spacing w:val="10"/>
          <w:sz w:val="22"/>
          <w:szCs w:val="28"/>
          <w:shd w:val="clear" w:color="auto" w:fill="FFFFFF"/>
          <w:rtl/>
        </w:rPr>
        <w:t>פיטורי</w:t>
      </w:r>
      <w:r w:rsidRPr="00632224">
        <w:rPr>
          <w:rFonts w:ascii="Century" w:hAnsi="Century" w:cs="FrankRuehl" w:hint="cs"/>
          <w:spacing w:val="10"/>
          <w:sz w:val="22"/>
          <w:szCs w:val="28"/>
          <w:shd w:val="clear" w:color="auto" w:fill="FFFFFF"/>
          <w:rtl/>
        </w:rPr>
        <w:t xml:space="preserve">ם של </w:t>
      </w:r>
      <w:r w:rsidRPr="00632224">
        <w:rPr>
          <w:rFonts w:ascii="Century" w:hAnsi="Century" w:cs="FrankRuehl"/>
          <w:spacing w:val="10"/>
          <w:sz w:val="22"/>
          <w:szCs w:val="28"/>
          <w:shd w:val="clear" w:color="auto" w:fill="FFFFFF"/>
          <w:rtl/>
        </w:rPr>
        <w:t>שומרי סף</w:t>
      </w:r>
      <w:r w:rsidRPr="00632224">
        <w:rPr>
          <w:rFonts w:ascii="Century" w:hAnsi="Century" w:cs="FrankRuehl" w:hint="cs"/>
          <w:spacing w:val="10"/>
          <w:sz w:val="22"/>
          <w:szCs w:val="28"/>
          <w:shd w:val="clear" w:color="auto" w:fill="FFFFFF"/>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68.</w:t>
      </w:r>
      <w:r w:rsidRPr="00632224">
        <w:rPr>
          <w:rFonts w:ascii="Arial TUR" w:hAnsi="Arial TUR" w:cs="FrankRuehl" w:hint="cs"/>
          <w:spacing w:val="10"/>
          <w:sz w:val="22"/>
          <w:szCs w:val="28"/>
          <w:rtl/>
        </w:rPr>
        <w:tab/>
      </w:r>
      <w:r w:rsidRPr="00632224">
        <w:rPr>
          <w:rFonts w:ascii="Century" w:hAnsi="Century" w:cs="Miriam" w:hint="cs"/>
          <w:b/>
          <w:sz w:val="22"/>
          <w:rtl/>
        </w:rPr>
        <w:t>הערה</w:t>
      </w:r>
      <w:r w:rsidRPr="00632224">
        <w:rPr>
          <w:rFonts w:ascii="Century" w:hAnsi="Century" w:cs="Miriam"/>
          <w:b/>
          <w:sz w:val="22"/>
          <w:rtl/>
        </w:rPr>
        <w:t>:</w:t>
      </w:r>
      <w:r w:rsidRPr="00632224">
        <w:rPr>
          <w:rFonts w:ascii="Arial TUR" w:hAnsi="Arial TUR" w:cs="FrankRuehl" w:hint="cs"/>
          <w:spacing w:val="10"/>
          <w:sz w:val="22"/>
          <w:szCs w:val="28"/>
          <w:rtl/>
        </w:rPr>
        <w:t xml:space="preserve"> אילו בחנתי את התיקון לחוק היסוד באספקלריה של עילת המידתיות, התיקון היה נופל על נקלה תחת חרבו של מבחן המשנה השלישי. מתוך אלפי ההחלטות של הרשות המבצעת, רק פרומיל מובא לפתחו של בית המשפט ורק באחוז קטן מתוך אותו פרומיל נקבע כי ההחלטה אינה סבירה באופן קיצוני. ברי איפה כי הצר אינו שווה בנזק המלך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חסימת הביקורת השיפוטית בפרומיל של החלטות אל מול הנזק שייגרם לאינטרס הציבורי לאור החסינות והפטור למעשה שניתן לממשלה ולשריה מהחובה לפעול בסבירות.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 xml:space="preserve">בין דרג נבחר לדרג מקצועי </w:t>
      </w:r>
    </w:p>
    <w:p w:rsidR="00244560" w:rsidRPr="00632224"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lastRenderedPageBreak/>
        <w:t>69.</w:t>
      </w: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בדיון שהתנהל בפנינו, הרבה בא כוחה של הממשלה ובא כוחו של ח"כ רוטמן להסתמך על הדברים שנכתבו במאמרו של חברי, השופט </w:t>
      </w:r>
      <w:r w:rsidRPr="00632224">
        <w:rPr>
          <w:rFonts w:ascii="Century" w:hAnsi="Century" w:cs="Miriam" w:hint="eastAsia"/>
          <w:b/>
          <w:sz w:val="22"/>
          <w:rtl/>
        </w:rPr>
        <w:t>סולברג</w:t>
      </w:r>
      <w:r w:rsidRPr="00632224">
        <w:rPr>
          <w:rFonts w:ascii="Arial TUR" w:hAnsi="Arial TUR" w:cs="FrankRuehl" w:hint="cs"/>
          <w:spacing w:val="10"/>
          <w:sz w:val="22"/>
          <w:szCs w:val="28"/>
          <w:rtl/>
        </w:rPr>
        <w:t>, "</w:t>
      </w:r>
      <w:r w:rsidRPr="00632224">
        <w:rPr>
          <w:rFonts w:ascii="Century" w:hAnsi="Century" w:cs="FrankRuehl"/>
          <w:spacing w:val="10"/>
          <w:sz w:val="22"/>
          <w:szCs w:val="28"/>
          <w:shd w:val="clear" w:color="auto" w:fill="FFFFFF"/>
          <w:rtl/>
        </w:rPr>
        <w:t>על ערכים סובייקטיביים ושופטים אובייקטיביים״ </w:t>
      </w:r>
      <w:r w:rsidRPr="00632224">
        <w:rPr>
          <w:rFonts w:ascii="Century" w:hAnsi="Century" w:cs="Miriam"/>
          <w:b/>
          <w:sz w:val="22"/>
          <w:shd w:val="clear" w:color="auto" w:fill="FFFFFF"/>
          <w:rtl/>
        </w:rPr>
        <w:t>השילוח</w:t>
      </w:r>
      <w:r w:rsidRPr="00632224">
        <w:rPr>
          <w:rFonts w:ascii="Century" w:hAnsi="Century" w:cs="FrankRuehl"/>
          <w:spacing w:val="10"/>
          <w:sz w:val="22"/>
          <w:szCs w:val="28"/>
          <w:shd w:val="clear" w:color="auto" w:fill="FFFFFF"/>
          <w:rtl/>
        </w:rPr>
        <w:t> </w:t>
      </w:r>
      <w:r w:rsidRPr="00632224">
        <w:rPr>
          <w:rFonts w:ascii="Century" w:hAnsi="Century" w:cs="FrankRuehl" w:hint="cs"/>
          <w:spacing w:val="10"/>
          <w:sz w:val="22"/>
          <w:szCs w:val="28"/>
          <w:rtl/>
        </w:rPr>
        <w:t>18 (2020))</w:t>
      </w:r>
      <w:r w:rsidRPr="00632224">
        <w:rPr>
          <w:rFonts w:ascii="Arial TUR" w:hAnsi="Arial TUR" w:cs="FrankRuehl" w:hint="cs"/>
          <w:spacing w:val="10"/>
          <w:sz w:val="22"/>
          <w:szCs w:val="28"/>
          <w:rtl/>
        </w:rPr>
        <w:t xml:space="preserve">. כפי שציינה גם הכנסת בתשובתה: "חברי הכנסת שתמכו בחוק היסוד המתקן הציגו את התיקון ככזה הצועד בעקבות עמדתו של כב' השופט סולברג". אלא שחברי פרסם לאחר מאמרו זה מאמר נוסף שכותרתו "הלכת דרעי-פנחסי בראי עילת הסבירות" </w:t>
      </w:r>
      <w:r w:rsidRPr="00632224">
        <w:rPr>
          <w:rFonts w:ascii="Century" w:hAnsi="Century" w:cs="Miriam" w:hint="cs"/>
          <w:b/>
          <w:sz w:val="22"/>
          <w:rtl/>
        </w:rPr>
        <w:t>בלוג רשות הרבים</w:t>
      </w:r>
      <w:r w:rsidRPr="00632224">
        <w:rPr>
          <w:rFonts w:ascii="Arial TUR" w:hAnsi="Arial TUR" w:cs="FrankRuehl" w:hint="cs"/>
          <w:spacing w:val="10"/>
          <w:sz w:val="22"/>
          <w:szCs w:val="28"/>
          <w:rtl/>
        </w:rPr>
        <w:t xml:space="preserve"> (16.1.2022) שבו כתב: "אני לא סבור שהשעה כשרה לביטול עילת הסבירות לחלוטין, אבל המגמה צריכה להתהפך: לא שימוש גורף, כברירת מחדל, גם כשהדבר אינו מתחייב. הצמצום והמיקוד הכרחיים". בנוסף, חברי גם הסתייג כבר בפומבי מהשימוש שנעשה במאמרו ולא בכדי, שהרי במאמרו קרא אך </w:t>
      </w:r>
      <w:r w:rsidRPr="00632224">
        <w:rPr>
          <w:rFonts w:ascii="Century" w:hAnsi="Century" w:cs="Miriam" w:hint="cs"/>
          <w:b/>
          <w:sz w:val="22"/>
          <w:rtl/>
        </w:rPr>
        <w:t>לצמצום</w:t>
      </w:r>
      <w:r w:rsidRPr="00632224">
        <w:rPr>
          <w:rFonts w:ascii="Arial TUR" w:hAnsi="Arial TUR" w:cs="FrankRuehl" w:hint="cs"/>
          <w:spacing w:val="10"/>
          <w:sz w:val="22"/>
          <w:szCs w:val="28"/>
          <w:rtl/>
        </w:rPr>
        <w:t xml:space="preserve"> השימוש בעילת הסבירות אך לא </w:t>
      </w:r>
      <w:r w:rsidRPr="00632224">
        <w:rPr>
          <w:rFonts w:ascii="Century" w:hAnsi="Century" w:cs="Miriam" w:hint="cs"/>
          <w:b/>
          <w:sz w:val="22"/>
          <w:rtl/>
        </w:rPr>
        <w:t>לביטולה</w:t>
      </w:r>
      <w:r w:rsidRPr="00632224">
        <w:rPr>
          <w:rFonts w:ascii="Arial TUR" w:hAnsi="Arial TUR" w:cs="FrankRuehl" w:hint="cs"/>
          <w:spacing w:val="10"/>
          <w:sz w:val="22"/>
          <w:szCs w:val="28"/>
          <w:rtl/>
        </w:rPr>
        <w:t xml:space="preserve">, ולצמצום השימוש </w:t>
      </w:r>
      <w:r w:rsidRPr="00632224">
        <w:rPr>
          <w:rFonts w:ascii="Century" w:hAnsi="Century" w:cs="Miriam" w:hint="cs"/>
          <w:b/>
          <w:sz w:val="22"/>
          <w:rtl/>
        </w:rPr>
        <w:t xml:space="preserve">בפסיקת </w:t>
      </w:r>
      <w:r w:rsidRPr="00632224">
        <w:rPr>
          <w:rFonts w:ascii="Arial TUR" w:hAnsi="Arial TUR" w:cs="FrankRuehl" w:hint="cs"/>
          <w:spacing w:val="10"/>
          <w:sz w:val="22"/>
          <w:szCs w:val="28"/>
          <w:rtl/>
        </w:rPr>
        <w:t xml:space="preserve">בית המשפט העליון ולא לביטולו </w:t>
      </w:r>
      <w:r w:rsidRPr="00632224">
        <w:rPr>
          <w:rFonts w:ascii="Century" w:hAnsi="Century" w:cs="Miriam" w:hint="cs"/>
          <w:b/>
          <w:sz w:val="22"/>
          <w:rtl/>
        </w:rPr>
        <w:t>בחקיקה</w:t>
      </w:r>
      <w:r w:rsidRPr="00632224">
        <w:rPr>
          <w:rFonts w:ascii="Arial TUR" w:hAnsi="Arial TUR" w:cs="FrankRuehl" w:hint="cs"/>
          <w:spacing w:val="10"/>
          <w:sz w:val="22"/>
          <w:szCs w:val="28"/>
          <w:rtl/>
        </w:rPr>
        <w:t xml:space="preserve">, על אחת כמה וכמה שלא כתיקון לחוק יסוד.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אולם, מאחר שהדברים נכתבו ונטענו בפנינו, ומאחר שהתיקון לחוק היסוד "מתכתב" עם מאמרו של חברי ובעיקר עם הצעתו להבחין בין דרג נבחר לדרג ממונה, אתייחס בקצרה להבחנה זו.</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70.</w:t>
      </w:r>
      <w:r w:rsidRPr="00632224">
        <w:rPr>
          <w:rFonts w:ascii="Arial TUR" w:hAnsi="Arial TUR" w:cs="FrankRuehl" w:hint="cs"/>
          <w:spacing w:val="10"/>
          <w:sz w:val="22"/>
          <w:szCs w:val="28"/>
          <w:rtl/>
        </w:rPr>
        <w:tab/>
        <w:t>אומר חברי במאמרו כי:</w:t>
      </w:r>
    </w:p>
    <w:p w:rsidR="00244560" w:rsidRPr="00632224" w:rsidRDefault="00244560" w:rsidP="00244560">
      <w:pPr>
        <w:keepNext/>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"החלטות המתקבלות על ידי </w:t>
      </w:r>
      <w:r w:rsidRPr="00632224">
        <w:rPr>
          <w:rFonts w:ascii="Century" w:hAnsi="Century" w:cs="Miriam" w:hint="cs"/>
          <w:b/>
          <w:sz w:val="22"/>
          <w:rtl/>
        </w:rPr>
        <w:t xml:space="preserve">דרג נבחר </w:t>
      </w:r>
      <w:r w:rsidRPr="00632224">
        <w:rPr>
          <w:rFonts w:ascii="Century" w:hAnsi="Century" w:cs="Miriam"/>
          <w:b/>
          <w:sz w:val="22"/>
          <w:rtl/>
        </w:rPr>
        <w:t>–</w:t>
      </w:r>
      <w:r w:rsidRPr="00632224">
        <w:rPr>
          <w:rFonts w:ascii="Century" w:hAnsi="Century" w:cs="Miriam" w:hint="cs"/>
          <w:b/>
          <w:sz w:val="22"/>
          <w:rtl/>
        </w:rPr>
        <w:t xml:space="preserve"> ממשלה, שרים, ראשי ראשויות</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הן </w:t>
      </w:r>
      <w:r w:rsidRPr="00632224">
        <w:rPr>
          <w:rFonts w:ascii="Century" w:hAnsi="Century" w:cs="Miriam" w:hint="cs"/>
          <w:b/>
          <w:sz w:val="22"/>
          <w:rtl/>
        </w:rPr>
        <w:t>על פי רוב</w:t>
      </w:r>
      <w:r w:rsidRPr="00632224">
        <w:rPr>
          <w:rFonts w:ascii="Arial TUR" w:hAnsi="Arial TUR" w:cs="FrankRuehl" w:hint="cs"/>
          <w:spacing w:val="10"/>
          <w:sz w:val="22"/>
          <w:szCs w:val="28"/>
          <w:rtl/>
        </w:rPr>
        <w:t xml:space="preserve"> החלטות המשקפות תפיסת עולם: </w:t>
      </w:r>
      <w:r w:rsidRPr="00632224">
        <w:rPr>
          <w:rFonts w:ascii="Century" w:hAnsi="Century" w:cs="Miriam" w:hint="cs"/>
          <w:b/>
          <w:sz w:val="22"/>
          <w:rtl/>
        </w:rPr>
        <w:t>תפיסת עולם ערכית, תפיסת עולם מקצועית</w:t>
      </w:r>
      <w:r w:rsidRPr="00632224">
        <w:rPr>
          <w:rFonts w:ascii="Arial TUR" w:hAnsi="Arial TUR" w:cs="FrankRuehl" w:hint="cs"/>
          <w:spacing w:val="10"/>
          <w:sz w:val="22"/>
          <w:szCs w:val="28"/>
          <w:rtl/>
        </w:rPr>
        <w:t xml:space="preserve">. לעיתים ההחלטות עוסקות בסוגיה נקודתית, לרוב עניינן בהתווית מדיניות הנושאת עימה משמעויות רוחביות" (הדגשות במקור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ind w:firstLine="720"/>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אני נכון להסכים כי נבחרי ציבור מקבלים החלטות גם משיקולים ערכיים ומקצועיים. ברם, נבחרי ציבור מקבלים החלטות </w:t>
      </w:r>
      <w:r w:rsidRPr="00632224">
        <w:rPr>
          <w:rFonts w:ascii="Century" w:hAnsi="Century" w:cs="Miriam" w:hint="cs"/>
          <w:b/>
          <w:sz w:val="22"/>
          <w:rtl/>
        </w:rPr>
        <w:t>גם משיקולים פוליטיים</w:t>
      </w:r>
      <w:r w:rsidRPr="00632224">
        <w:rPr>
          <w:rFonts w:ascii="Arial TUR" w:hAnsi="Arial TUR" w:cs="FrankRuehl" w:hint="cs"/>
          <w:spacing w:val="10"/>
          <w:sz w:val="22"/>
          <w:szCs w:val="28"/>
          <w:rtl/>
        </w:rPr>
        <w:t xml:space="preserve">, שאינם ענייניים בהכרח, והם הראשונים שיעידו על כך. לדוגמה, פלוני התמנה לשר במשרד מסוים על אף שאין לו כל ניסיון בתחום; אגף נתלש ממשרד א' והועבר למשרד ב'; משרד מסוים פוצל לשניים; במשרד מסוים יכהנו שני שרים ברוטציה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כל אלה לא נעשים בהכרח מתוך שיקול מקצועי-ערכי, אלא כחלק מהמשחק הפוליטי ומשיקולים פוליטיים-קואליציוניים. ודוק: </w:t>
      </w:r>
      <w:r w:rsidRPr="00632224">
        <w:rPr>
          <w:rFonts w:ascii="Century" w:hAnsi="Century" w:cs="FrankRuehl" w:hint="cs"/>
          <w:spacing w:val="10"/>
          <w:szCs w:val="28"/>
          <w:rtl/>
        </w:rPr>
        <w:t>שיקולים פוליטיים הם לגיטימיים ואינם בהכרח שיקולים זרים, הכל על פי הקשר הדברים (</w:t>
      </w:r>
      <w:r w:rsidRPr="00632224">
        <w:rPr>
          <w:rFonts w:ascii="Century" w:hAnsi="Century" w:cs="Miriam" w:hint="eastAsia"/>
          <w:b/>
          <w:sz w:val="22"/>
          <w:rtl/>
        </w:rPr>
        <w:t>ברק</w:t>
      </w:r>
      <w:r w:rsidRPr="00632224">
        <w:rPr>
          <w:rFonts w:ascii="Century" w:hAnsi="Century" w:cs="Miriam"/>
          <w:b/>
          <w:sz w:val="22"/>
          <w:rtl/>
        </w:rPr>
        <w:t>-</w:t>
      </w:r>
      <w:r w:rsidRPr="00632224">
        <w:rPr>
          <w:rFonts w:ascii="Century" w:hAnsi="Century" w:cs="Miriam" w:hint="eastAsia"/>
          <w:b/>
          <w:sz w:val="22"/>
          <w:rtl/>
        </w:rPr>
        <w:t>ארז</w:t>
      </w:r>
      <w:r w:rsidRPr="00632224">
        <w:rPr>
          <w:rFonts w:ascii="Century" w:hAnsi="Century" w:cs="Miriam"/>
          <w:b/>
          <w:sz w:val="22"/>
          <w:rtl/>
        </w:rPr>
        <w:t xml:space="preserve"> </w:t>
      </w:r>
      <w:r w:rsidRPr="00632224">
        <w:rPr>
          <w:rFonts w:ascii="Century" w:hAnsi="Century" w:cs="Miriam" w:hint="eastAsia"/>
          <w:b/>
          <w:sz w:val="22"/>
          <w:rtl/>
        </w:rPr>
        <w:t>משפט</w:t>
      </w:r>
      <w:r w:rsidRPr="00632224">
        <w:rPr>
          <w:rFonts w:ascii="Century" w:hAnsi="Century" w:cs="Miriam"/>
          <w:b/>
          <w:sz w:val="22"/>
          <w:rtl/>
        </w:rPr>
        <w:t xml:space="preserve"> </w:t>
      </w:r>
      <w:r w:rsidRPr="00632224">
        <w:rPr>
          <w:rFonts w:ascii="Century" w:hAnsi="Century" w:cs="Miriam" w:hint="cs"/>
          <w:b/>
          <w:sz w:val="22"/>
          <w:rtl/>
        </w:rPr>
        <w:t>מינהלי</w:t>
      </w:r>
      <w:r w:rsidRPr="00632224">
        <w:rPr>
          <w:rFonts w:ascii="Century" w:hAnsi="Century" w:cs="FrankRuehl" w:hint="cs"/>
          <w:spacing w:val="10"/>
          <w:szCs w:val="28"/>
          <w:rtl/>
        </w:rPr>
        <w:t xml:space="preserve">, כרך ב בעמ' 654).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p>
    <w:p w:rsidR="00244560" w:rsidRPr="00632224" w:rsidRDefault="00244560" w:rsidP="00244560">
      <w:pPr>
        <w:spacing w:line="360" w:lineRule="auto"/>
        <w:jc w:val="both"/>
        <w:rPr>
          <w:rFonts w:ascii="Century" w:hAnsi="Century" w:cs="FrankRuehl"/>
          <w:spacing w:val="10"/>
          <w:szCs w:val="28"/>
          <w:rtl/>
        </w:rPr>
      </w:pPr>
      <w:r w:rsidRPr="00632224">
        <w:rPr>
          <w:rFonts w:ascii="Century" w:hAnsi="Century" w:cs="FrankRuehl" w:hint="cs"/>
          <w:spacing w:val="10"/>
          <w:szCs w:val="28"/>
          <w:rtl/>
        </w:rPr>
        <w:lastRenderedPageBreak/>
        <w:t>71.</w:t>
      </w:r>
      <w:r w:rsidRPr="00632224">
        <w:rPr>
          <w:rFonts w:ascii="Century" w:hAnsi="Century" w:cs="FrankRuehl" w:hint="cs"/>
          <w:spacing w:val="10"/>
          <w:szCs w:val="28"/>
          <w:rtl/>
        </w:rPr>
        <w:tab/>
        <w:t xml:space="preserve">המכונן הותיר את עילת הסבירות ביחס לדרג </w:t>
      </w:r>
      <w:r w:rsidRPr="00632224">
        <w:rPr>
          <w:rFonts w:ascii="Century" w:hAnsi="Century" w:cs="Miriam" w:hint="cs"/>
          <w:b/>
          <w:sz w:val="22"/>
          <w:rtl/>
        </w:rPr>
        <w:t>המקצועי</w:t>
      </w:r>
      <w:r w:rsidRPr="00632224">
        <w:rPr>
          <w:rFonts w:ascii="Century" w:hAnsi="Century" w:cs="FrankRuehl" w:hint="cs"/>
          <w:spacing w:val="10"/>
          <w:szCs w:val="28"/>
          <w:rtl/>
        </w:rPr>
        <w:t>, להבדיל מהדרג הנבחר. לדידי, ההמלצה לחסימת הביקורת על הדרג הנבחר והותרתה על הדרג המקצועי עומדת בסתירה-רבתי לפסיקתו של בית משפט זה. הפסיקה הדגישה פעם אחר פעם אחר פעם, במגוון רחב מאוד של תחומים, כי בית המשפט אינו מחליף את שיקול הדעת המקצועי-תכנוני של הפקיד המקצועי; כי בית המשפט "</w:t>
      </w:r>
      <w:r w:rsidRPr="00632224">
        <w:rPr>
          <w:rFonts w:ascii="FrankRuehl" w:hAnsi="FrankRuehl" w:cs="FrankRuehl"/>
          <w:spacing w:val="10"/>
          <w:sz w:val="28"/>
          <w:szCs w:val="28"/>
          <w:rtl/>
        </w:rPr>
        <w:t>אינו משמש ערכאה</w:t>
      </w:r>
      <w:r w:rsidRPr="00632224">
        <w:rPr>
          <w:rFonts w:ascii="FrankRuehl" w:hAnsi="FrankRuehl" w:cs="FrankRuehl" w:hint="cs"/>
          <w:spacing w:val="10"/>
          <w:sz w:val="28"/>
          <w:szCs w:val="28"/>
          <w:rtl/>
        </w:rPr>
        <w:t xml:space="preserve"> </w:t>
      </w:r>
      <w:r w:rsidRPr="00632224">
        <w:rPr>
          <w:rFonts w:ascii="FrankRuehl" w:hAnsi="FrankRuehl" w:cs="FrankRuehl"/>
          <w:spacing w:val="10"/>
          <w:sz w:val="28"/>
          <w:szCs w:val="28"/>
          <w:rtl/>
        </w:rPr>
        <w:t>המחליטה במקומה של הרשות בעניינים מקצועיים שבתחום סמכותה</w:t>
      </w:r>
      <w:r w:rsidRPr="00632224">
        <w:rPr>
          <w:rFonts w:ascii="FrankRuehl" w:hAnsi="FrankRuehl" w:cs="FrankRuehl" w:hint="cs"/>
          <w:spacing w:val="10"/>
          <w:sz w:val="28"/>
          <w:szCs w:val="28"/>
          <w:rtl/>
        </w:rPr>
        <w:t>" (בג"ץ 6924/22</w:t>
      </w:r>
      <w:r w:rsidRPr="00632224">
        <w:rPr>
          <w:rFonts w:ascii="Century" w:hAnsi="Century" w:cs="Miriam" w:hint="cs"/>
          <w:b/>
          <w:sz w:val="22"/>
          <w:rtl/>
        </w:rPr>
        <w:t xml:space="preserve"> ועד מקומי צור הדסה נ' שרת הפנים</w:t>
      </w:r>
      <w:r w:rsidRPr="00632224">
        <w:rPr>
          <w:rFonts w:ascii="FrankRuehl" w:hAnsi="FrankRuehl" w:cs="FrankRuehl" w:hint="cs"/>
          <w:spacing w:val="10"/>
          <w:sz w:val="28"/>
          <w:szCs w:val="28"/>
          <w:rtl/>
        </w:rPr>
        <w:t xml:space="preserve"> (21.5.2023); </w:t>
      </w:r>
      <w:r w:rsidRPr="00632224">
        <w:rPr>
          <w:rFonts w:ascii="Century" w:hAnsi="Century" w:cs="FrankRuehl" w:hint="cs"/>
          <w:spacing w:val="10"/>
          <w:szCs w:val="28"/>
          <w:rtl/>
        </w:rPr>
        <w:t>כי "</w:t>
      </w:r>
      <w:r w:rsidRPr="00632224">
        <w:rPr>
          <w:rFonts w:ascii="Century" w:hAnsi="Century" w:cs="FrankRuehl"/>
          <w:spacing w:val="10"/>
          <w:szCs w:val="28"/>
          <w:rtl/>
        </w:rPr>
        <w:t>‏כאשר מדובר בשאלה מקצועית רגולטורית הכרוכה בשיקולים מקצועיים מובהקים ששקילתם מצריכה מומחיות מיוחדת – מתחם שיקול הדעת המוקנה לרשות הוא רחב ביותר</w:t>
      </w:r>
      <w:r w:rsidRPr="00632224">
        <w:rPr>
          <w:rFonts w:ascii="Century" w:hAnsi="Century" w:cs="FrankRuehl" w:hint="cs"/>
          <w:spacing w:val="10"/>
          <w:szCs w:val="28"/>
          <w:rtl/>
        </w:rPr>
        <w:t xml:space="preserve">" (בג"ץ 8338/21 </w:t>
      </w:r>
      <w:r w:rsidRPr="00632224">
        <w:rPr>
          <w:rFonts w:cs="FrankRuehl"/>
          <w:spacing w:val="10"/>
          <w:sz w:val="22"/>
          <w:szCs w:val="22"/>
        </w:rPr>
        <w:t>The Lesser Group Limited</w:t>
      </w:r>
      <w:r w:rsidRPr="00632224">
        <w:rPr>
          <w:rFonts w:ascii="Century" w:hAnsi="Century" w:cs="FrankRuehl" w:hint="cs"/>
          <w:spacing w:val="10"/>
          <w:szCs w:val="28"/>
          <w:rtl/>
        </w:rPr>
        <w:t xml:space="preserve"> </w:t>
      </w:r>
      <w:r w:rsidRPr="00632224">
        <w:rPr>
          <w:rFonts w:ascii="Century" w:hAnsi="Century" w:cs="Miriam" w:hint="cs"/>
          <w:b/>
          <w:sz w:val="22"/>
          <w:rtl/>
        </w:rPr>
        <w:t>נ' רשות ניירות ערך</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פסקה</w:t>
      </w:r>
      <w:r w:rsidRPr="00632224">
        <w:rPr>
          <w:rFonts w:ascii="Century" w:hAnsi="Century" w:cs="FrankRuehl"/>
          <w:spacing w:val="10"/>
          <w:sz w:val="22"/>
          <w:szCs w:val="28"/>
          <w:rtl/>
        </w:rPr>
        <w:t xml:space="preserve"> 62 </w:t>
      </w:r>
      <w:r w:rsidRPr="00632224">
        <w:rPr>
          <w:rFonts w:ascii="Century" w:hAnsi="Century" w:cs="FrankRuehl" w:hint="eastAsia"/>
          <w:spacing w:val="10"/>
          <w:sz w:val="22"/>
          <w:szCs w:val="28"/>
          <w:rtl/>
        </w:rPr>
        <w:t>לפסק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דינו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השופט</w:t>
      </w:r>
      <w:r w:rsidRPr="00632224">
        <w:rPr>
          <w:rFonts w:ascii="Century" w:hAnsi="Century" w:cs="Miriam"/>
          <w:b/>
          <w:sz w:val="22"/>
          <w:rtl/>
        </w:rPr>
        <w:t xml:space="preserve"> </w:t>
      </w:r>
      <w:r w:rsidRPr="00632224">
        <w:rPr>
          <w:rFonts w:ascii="Century" w:hAnsi="Century" w:cs="Miriam" w:hint="cs"/>
          <w:b/>
          <w:sz w:val="22"/>
          <w:rtl/>
        </w:rPr>
        <w:t xml:space="preserve">אלרון </w:t>
      </w:r>
      <w:r w:rsidRPr="00632224">
        <w:rPr>
          <w:rFonts w:ascii="Century" w:hAnsi="Century" w:cs="FrankRuehl" w:hint="cs"/>
          <w:spacing w:val="10"/>
          <w:szCs w:val="28"/>
          <w:rtl/>
        </w:rPr>
        <w:t xml:space="preserve">(4.4.2023); עוד לנושא זה ראו, מבין רבים, בג"ץ 8939/22 </w:t>
      </w:r>
      <w:r w:rsidRPr="00632224">
        <w:rPr>
          <w:rFonts w:ascii="Century" w:hAnsi="Century" w:cs="Miriam" w:hint="cs"/>
          <w:b/>
          <w:sz w:val="22"/>
          <w:rtl/>
        </w:rPr>
        <w:t>קליין נ' מפקד מיטב</w:t>
      </w:r>
      <w:r w:rsidRPr="00632224">
        <w:rPr>
          <w:rFonts w:ascii="Century" w:hAnsi="Century" w:cs="FrankRuehl" w:hint="cs"/>
          <w:spacing w:val="10"/>
          <w:szCs w:val="28"/>
          <w:rtl/>
        </w:rPr>
        <w:t xml:space="preserve"> (6.6.2023); בג"ץ 2117/13 </w:t>
      </w:r>
      <w:r w:rsidRPr="00632224">
        <w:rPr>
          <w:rFonts w:ascii="Century" w:hAnsi="Century" w:cs="Miriam" w:hint="cs"/>
          <w:b/>
          <w:sz w:val="22"/>
          <w:rtl/>
        </w:rPr>
        <w:t>חדד נ' משרד החינוך התרבות</w:t>
      </w:r>
      <w:r w:rsidRPr="00632224">
        <w:rPr>
          <w:rFonts w:ascii="Century" w:hAnsi="Century" w:cs="FrankRuehl" w:hint="cs"/>
          <w:spacing w:val="10"/>
          <w:szCs w:val="28"/>
          <w:rtl/>
        </w:rPr>
        <w:t xml:space="preserve">, פסקה 4 (3.6.2013)). מתחם שיקול הדעת של מקבל ההחלטה הוא </w:t>
      </w:r>
      <w:r w:rsidRPr="00632224">
        <w:rPr>
          <w:rFonts w:ascii="Century" w:hAnsi="Century" w:cs="Miriam" w:hint="cs"/>
          <w:b/>
          <w:sz w:val="22"/>
          <w:rtl/>
        </w:rPr>
        <w:t>רחב</w:t>
      </w:r>
      <w:r w:rsidRPr="00632224">
        <w:rPr>
          <w:rFonts w:ascii="Century" w:hAnsi="Century" w:cs="FrankRuehl" w:hint="cs"/>
          <w:spacing w:val="10"/>
          <w:szCs w:val="28"/>
          <w:rtl/>
        </w:rPr>
        <w:t xml:space="preserve"> יותר דווקא כאשר מדובר בדרג פקידותי-מקצועי:</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8"/>
          <w:szCs w:val="28"/>
          <w:rtl/>
        </w:rPr>
        <w:t xml:space="preserve">"[...] ככלל, בית המשפט נמנע מהתערבות בשיקול דעת הרשות הציבורית, </w:t>
      </w:r>
      <w:r w:rsidRPr="00632224">
        <w:rPr>
          <w:rFonts w:ascii="Century" w:hAnsi="Century" w:cs="Miriam" w:hint="cs"/>
          <w:b/>
          <w:sz w:val="22"/>
          <w:rtl/>
        </w:rPr>
        <w:t>ונטיה זו גוברת ביתר שאת, מקום שבו ההחלטה הנבחנת מצויה בתחום מומחיותה המקצועית של הרשות</w:t>
      </w:r>
      <w:r w:rsidRPr="00632224">
        <w:rPr>
          <w:rFonts w:ascii="Century" w:hAnsi="Century" w:cs="Miriam"/>
          <w:b/>
          <w:sz w:val="22"/>
          <w:rtl/>
        </w:rPr>
        <w:t xml:space="preserve">, </w:t>
      </w:r>
      <w:r w:rsidRPr="00632224">
        <w:rPr>
          <w:rFonts w:ascii="Century" w:hAnsi="Century" w:cs="Miriam" w:hint="cs"/>
          <w:b/>
          <w:sz w:val="22"/>
          <w:rtl/>
        </w:rPr>
        <w:t>או שהיא מהווה בחירה בין מספר עמדות מקצועיות נוגדות</w:t>
      </w:r>
      <w:r w:rsidRPr="00632224">
        <w:rPr>
          <w:rFonts w:ascii="Arial TUR" w:hAnsi="Arial TUR" w:cs="FrankRuehl" w:hint="cs"/>
          <w:spacing w:val="10"/>
          <w:sz w:val="22"/>
          <w:szCs w:val="28"/>
          <w:rtl/>
        </w:rPr>
        <w:t xml:space="preserve">" (בג"ץ 3017/05 </w:t>
      </w:r>
      <w:r w:rsidRPr="00632224">
        <w:rPr>
          <w:rFonts w:ascii="Century" w:hAnsi="Century" w:cs="Miriam" w:hint="cs"/>
          <w:b/>
          <w:sz w:val="22"/>
          <w:rtl/>
        </w:rPr>
        <w:t>חברת הזרע (1939) בע"מ נ' המועצה ארצית לתכנון ובניה</w:t>
      </w:r>
      <w:r w:rsidRPr="00632224">
        <w:rPr>
          <w:rFonts w:ascii="Arial TUR" w:hAnsi="Arial TUR" w:cs="FrankRuehl" w:hint="cs"/>
          <w:spacing w:val="10"/>
          <w:sz w:val="22"/>
          <w:szCs w:val="28"/>
          <w:rtl/>
        </w:rPr>
        <w:t xml:space="preserve">, פסקה 38 לפסק דינה של השופטת </w:t>
      </w:r>
      <w:r w:rsidRPr="00632224">
        <w:rPr>
          <w:rFonts w:ascii="Century" w:hAnsi="Century" w:cs="Miriam" w:hint="eastAsia"/>
          <w:b/>
          <w:sz w:val="22"/>
          <w:rtl/>
        </w:rPr>
        <w:t>פרוקצ</w:t>
      </w:r>
      <w:r w:rsidRPr="00632224">
        <w:rPr>
          <w:rFonts w:ascii="Century" w:hAnsi="Century" w:cs="Miriam"/>
          <w:b/>
          <w:sz w:val="22"/>
          <w:rtl/>
        </w:rPr>
        <w:t>'יה</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(23.3.2011)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וככל שההחלטה מתקבלת בידי גורם מקצועי בעל מומחיות, מתחם הסבירות אף גדול יותר:</w:t>
      </w:r>
    </w:p>
    <w:p w:rsidR="00244560" w:rsidRPr="00632224" w:rsidRDefault="00244560" w:rsidP="00244560">
      <w:pPr>
        <w:keepNext/>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"כאשר מדובר בשאלה מקצועית רגולטורית - הכרוכה בשיקולים מקצועיים מובהקים ששקילתם מצריכה מומחיות מיוחדת והם מצויים בגרעין שיקול הדעת הרגולטורי המוקנה לרשות המוסמכת - מתחם שיקול הדעת המוקנה לרשות הוא רחב ביותר. ככל שמתחם הסבירות רחב יותר, נכונותו של בית המשפט להתערב במעשה המינהלי מצומצמת יותר. אכן, 'כרוחב הסמכות כן רוחבו של מתחם הסבירות'" </w:t>
      </w:r>
      <w:r w:rsidRPr="00632224">
        <w:rPr>
          <w:rFonts w:ascii="Century" w:hAnsi="Century" w:cs="FrankRuehl" w:hint="cs"/>
          <w:spacing w:val="10"/>
          <w:sz w:val="22"/>
          <w:szCs w:val="28"/>
          <w:rtl/>
        </w:rPr>
        <w:t>(</w:t>
      </w:r>
      <w:r w:rsidRPr="00632224">
        <w:rPr>
          <w:rFonts w:ascii="Century" w:hAnsi="Century" w:cs="FrankRuehl"/>
          <w:spacing w:val="10"/>
          <w:sz w:val="22"/>
          <w:szCs w:val="28"/>
          <w:rtl/>
        </w:rPr>
        <w:t>בג"ץ 6271/11</w:t>
      </w:r>
      <w:r w:rsidRPr="00632224">
        <w:rPr>
          <w:rFonts w:ascii="Arial TUR" w:hAnsi="Arial TUR" w:cs="FrankRuehl" w:hint="cs"/>
          <w:spacing w:val="10"/>
          <w:sz w:val="22"/>
          <w:szCs w:val="28"/>
          <w:rtl/>
        </w:rPr>
        <w:t xml:space="preserve"> </w:t>
      </w:r>
      <w:r w:rsidRPr="00632224">
        <w:rPr>
          <w:rFonts w:ascii="Century" w:hAnsi="Century" w:cs="Miriam" w:hint="cs"/>
          <w:b/>
          <w:sz w:val="22"/>
          <w:rtl/>
        </w:rPr>
        <w:t>דלק חברת הדלק הישראלית בע"מ נ' שר האוצר</w:t>
      </w:r>
      <w:r w:rsidRPr="00632224">
        <w:rPr>
          <w:rFonts w:ascii="Arial TUR" w:hAnsi="Arial TUR" w:cs="FrankRuehl" w:hint="cs"/>
          <w:spacing w:val="10"/>
          <w:sz w:val="22"/>
          <w:szCs w:val="28"/>
          <w:rtl/>
        </w:rPr>
        <w:t xml:space="preserve">, פסקה 11 </w:t>
      </w:r>
      <w:r w:rsidRPr="00632224">
        <w:rPr>
          <w:rFonts w:ascii="Arial TUR" w:hAnsi="Arial TUR" w:cs="FrankRuehl"/>
          <w:spacing w:val="10"/>
          <w:sz w:val="22"/>
          <w:szCs w:val="28"/>
          <w:rtl/>
        </w:rPr>
        <w:t>(‏26.11.2012</w:t>
      </w:r>
      <w:r w:rsidRPr="00632224">
        <w:rPr>
          <w:rFonts w:ascii="Arial TUR" w:hAnsi="Arial TUR" w:cs="FrankRuehl" w:hint="cs"/>
          <w:spacing w:val="10"/>
          <w:sz w:val="22"/>
          <w:szCs w:val="28"/>
          <w:rtl/>
        </w:rPr>
        <w:t xml:space="preserve">), כפי שצוטט בבג"ץ 5263/16 </w:t>
      </w:r>
      <w:r w:rsidRPr="00632224">
        <w:rPr>
          <w:rFonts w:ascii="Century" w:hAnsi="Century" w:cs="Miriam" w:hint="cs"/>
          <w:b/>
          <w:sz w:val="22"/>
          <w:rtl/>
        </w:rPr>
        <w:t>נשר מפעלי מלט ישראליים נ' המשרד להגנת הסביבה</w:t>
      </w:r>
      <w:r w:rsidRPr="00632224">
        <w:rPr>
          <w:rFonts w:ascii="Arial TUR" w:hAnsi="Arial TUR" w:cs="FrankRuehl" w:hint="cs"/>
          <w:spacing w:val="10"/>
          <w:sz w:val="22"/>
          <w:szCs w:val="28"/>
          <w:rtl/>
        </w:rPr>
        <w:t>, פסקה 11 והאסמכתאות שם (23.7.2018)).</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המשמעות שיש למומחיות מקצועית באה לידי ביטוי הן בהיקף ההתערבות המצומצם של בית המשפט והן בדיני הפרשנות:</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הנה</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כי</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כן, חוק שנושאו הוא נושא מקצועי או טכני, נוהגה של הרשות המוסמכת – רשות בעלת ידע מקצועי וטכני או רשות הנעזרת בבעלי</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ידע מקצועי או טכני – ראוי הוא שיזכה במשקל לעת הידרשותו של בית</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המשפט לפירוש החוק</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(עניין </w:t>
      </w:r>
      <w:r w:rsidRPr="00632224">
        <w:rPr>
          <w:rFonts w:ascii="Century" w:hAnsi="Century" w:cs="Miriam" w:hint="cs"/>
          <w:b/>
          <w:sz w:val="22"/>
          <w:rtl/>
        </w:rPr>
        <w:t>סטמקה</w:t>
      </w:r>
      <w:r w:rsidRPr="00632224">
        <w:rPr>
          <w:rFonts w:ascii="Arial TUR" w:hAnsi="Arial TUR" w:cs="FrankRuehl" w:hint="cs"/>
          <w:spacing w:val="10"/>
          <w:sz w:val="22"/>
          <w:szCs w:val="28"/>
          <w:rtl/>
        </w:rPr>
        <w:t>, בעמ' 746-745).</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הנטייה שלא להתערב בהחלטות מקצועיות של דרג מקצועי מושרשת במשפט המינהלי כדי כך, שבית המשפט אף שולל </w:t>
      </w:r>
      <w:r w:rsidRPr="00632224">
        <w:rPr>
          <w:rFonts w:ascii="Arial TUR" w:hAnsi="Arial TUR" w:cs="FrankRuehl" w:hint="eastAsia"/>
          <w:spacing w:val="10"/>
          <w:sz w:val="22"/>
          <w:szCs w:val="28"/>
          <w:rtl/>
        </w:rPr>
        <w:t>חוות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דעת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מומחה</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w:t>
      </w:r>
      <w:r w:rsidRPr="00632224">
        <w:rPr>
          <w:rFonts w:ascii="Arial TUR" w:hAnsi="Arial TUR" w:cs="FrankRuehl" w:hint="eastAsia"/>
          <w:spacing w:val="10"/>
          <w:sz w:val="22"/>
          <w:szCs w:val="28"/>
          <w:rtl/>
        </w:rPr>
        <w:t>חיצוני</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או 'פרטי'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פני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דעת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מקצועית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הרשות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המינהלית</w:t>
      </w:r>
      <w:r w:rsidRPr="00632224">
        <w:rPr>
          <w:rFonts w:ascii="Arial TUR" w:hAnsi="Arial TUR" w:cs="FrankRuehl" w:hint="cs"/>
          <w:spacing w:val="10"/>
          <w:sz w:val="22"/>
          <w:szCs w:val="28"/>
          <w:rtl/>
        </w:rPr>
        <w:t xml:space="preserve"> (ראו, לדוגמה, בג"ץ 4874/21 </w:t>
      </w:r>
      <w:r w:rsidRPr="00632224">
        <w:rPr>
          <w:rFonts w:ascii="Century" w:hAnsi="Century" w:cs="Miriam" w:hint="cs"/>
          <w:b/>
          <w:sz w:val="22"/>
          <w:rtl/>
        </w:rPr>
        <w:t>אליקים בן ארי בע"מ נ' רשות מקרקעי ישראל</w:t>
      </w:r>
      <w:r w:rsidRPr="00632224">
        <w:rPr>
          <w:rFonts w:ascii="Arial TUR" w:hAnsi="Arial TUR" w:cs="FrankRuehl" w:hint="cs"/>
          <w:spacing w:val="10"/>
          <w:sz w:val="22"/>
          <w:szCs w:val="28"/>
          <w:rtl/>
        </w:rPr>
        <w:t>, בפסקאות 33-29 והאסמכתאות שם (6.2.2022)).</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כדוגמה להבחנה בין דרג מקצועי לדרג נבחר, נניח כי ועדת גבולות שהוקמה על ידי שר הפנים, המליצה </w:t>
      </w:r>
      <w:r w:rsidRPr="00632224">
        <w:rPr>
          <w:rFonts w:ascii="Century" w:hAnsi="Century" w:cs="Miriam" w:hint="cs"/>
          <w:b/>
          <w:sz w:val="22"/>
          <w:rtl/>
        </w:rPr>
        <w:t>שלא</w:t>
      </w:r>
      <w:r w:rsidRPr="00632224">
        <w:rPr>
          <w:rFonts w:ascii="Arial TUR" w:hAnsi="Arial TUR" w:cs="FrankRuehl" w:hint="cs"/>
          <w:spacing w:val="10"/>
          <w:sz w:val="22"/>
          <w:szCs w:val="28"/>
          <w:rtl/>
        </w:rPr>
        <w:t xml:space="preserve"> לספח שטח לתחום השיפוט של עיר מסוימת; או ועדה של אנשי מקצוע במשרד הפנים המליצו לתקצב גוף או רשות מקומית בסכום מסוים; או ועדה של אנשי מקצוע המליצה לאשר חוק עזר מסוים (חקיקת חוקי עזר כפופה לסמכותו של שר הפנים </w:t>
      </w:r>
      <w:r w:rsidRPr="00632224">
        <w:rPr>
          <w:rFonts w:ascii="Century" w:hAnsi="Century" w:cs="FrankRuehl" w:hint="cs"/>
          <w:spacing w:val="10"/>
          <w:sz w:val="22"/>
          <w:szCs w:val="28"/>
          <w:rtl/>
        </w:rPr>
        <w:t xml:space="preserve">מכוח </w:t>
      </w:r>
      <w:r w:rsidRPr="00632224">
        <w:rPr>
          <w:rFonts w:ascii="Century" w:hAnsi="Century" w:cs="FrankRuehl"/>
          <w:spacing w:val="10"/>
          <w:sz w:val="22"/>
          <w:szCs w:val="28"/>
          <w:rtl/>
        </w:rPr>
        <w:t>סעיף 258</w:t>
      </w:r>
      <w:r w:rsidRPr="00632224">
        <w:rPr>
          <w:rFonts w:ascii="Century" w:hAnsi="Century" w:cs="FrankRuehl" w:hint="cs"/>
          <w:spacing w:val="10"/>
          <w:sz w:val="22"/>
          <w:szCs w:val="28"/>
          <w:rtl/>
        </w:rPr>
        <w:t xml:space="preserve"> ל</w:t>
      </w:r>
      <w:r w:rsidRPr="00632224">
        <w:rPr>
          <w:rFonts w:ascii="Century" w:hAnsi="Century" w:cs="FrankRuehl"/>
          <w:spacing w:val="10"/>
          <w:sz w:val="22"/>
          <w:szCs w:val="28"/>
          <w:rtl/>
        </w:rPr>
        <w:t>פקודת העיריות</w:t>
      </w:r>
      <w:r w:rsidRPr="00632224">
        <w:rPr>
          <w:rFonts w:ascii="Century" w:hAnsi="Century" w:cs="FrankRuehl" w:hint="cs"/>
          <w:spacing w:val="10"/>
          <w:sz w:val="22"/>
          <w:szCs w:val="28"/>
          <w:rtl/>
        </w:rPr>
        <w:t>).</w:t>
      </w:r>
      <w:r w:rsidRPr="00632224">
        <w:rPr>
          <w:rFonts w:ascii="Arial TUR" w:hAnsi="Arial TUR" w:cs="FrankRuehl" w:hint="cs"/>
          <w:spacing w:val="10"/>
          <w:sz w:val="22"/>
          <w:szCs w:val="28"/>
          <w:rtl/>
        </w:rPr>
        <w:t xml:space="preserve"> והנה, שר הפנים מחליט לדחות את המלצת הוועדה ולהורות על סיפוח השטח לתחום השיפוט של אותה עיר; מחליט שלא לתקצב את הגוף או הרשות המקומית למרות ההמלצה; מחליט שלא לאשר את חוק העזר למרות ההמלצה. לשיטת המצדדים בהבחנה בין דרג מקצועי לדרג נבחר, בית המשפט אינו רשאי להתערב בהחלטת השר, בהיותה החלטה של דרג נבחר, וכך נותר האזרח ללא הגנה אפקטיבית מפני החלטת השר העומדת בניגוד להחלטות של ועדות מקצועיות.</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72.</w:t>
      </w:r>
      <w:r w:rsidRPr="00632224">
        <w:rPr>
          <w:rFonts w:ascii="Arial TUR" w:hAnsi="Arial TUR" w:cs="FrankRuehl" w:hint="cs"/>
          <w:spacing w:val="10"/>
          <w:sz w:val="22"/>
          <w:szCs w:val="28"/>
          <w:rtl/>
        </w:rPr>
        <w:tab/>
        <w:t>כמו כן, ההנחה לפיה רוב ההחלטות של הדרג הנבחר עניינן בהתוויית מדיניות, ספק אם משקפת את הדברים כהווייתם.</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cs="FrankRuehl"/>
          <w:spacing w:val="10"/>
          <w:sz w:val="24"/>
          <w:szCs w:val="28"/>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החלטות רבות שמקבלים שרים הן החלטות יישומיות-פרטניות, ובדיקה שנערכה על ידי הייעוץ המשפטי לוועדת החוקה, העלתה שהחלטות רבות מתקבלות על ידי השרים (סעיף 138(ג) לתשובת הכנסת). בסעיף 190 לעתירת לשכת עורכי הדין הובאה טבלה עם מספר דוגמאות לסמכויות רגולטוריות-מקצועיות שאין בהן ממד "ערכי" או "מדיני" כמו מתן רישיונות, היתרים, אישורים, זיכיונות, מענקים וכיוצא באלה עניינים פרטניים, שעל פי החוק הסמכות לנתינתם מופקדת בידי שר כזה או אחר או מוענקת לממשלה (וראו גם בפסקה 144 לפסק דינה של הנשיאה). ניתן להצביע על עשרות ומאות החלטות מינהליות פרטניות ונקודתיות שמקבל השר. למי ליתן היתר או רישיון או זיכיון כזה או אחר בתחום האנרגיה או בתחום התחבורה או בתחום התקשורת; או על דרך </w:t>
      </w:r>
      <w:r w:rsidRPr="00632224">
        <w:rPr>
          <w:rFonts w:ascii="Arial TUR" w:hAnsi="Arial TUR" w:cs="FrankRuehl" w:hint="cs"/>
          <w:spacing w:val="10"/>
          <w:sz w:val="22"/>
          <w:szCs w:val="28"/>
          <w:rtl/>
        </w:rPr>
        <w:lastRenderedPageBreak/>
        <w:t xml:space="preserve">השלילה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למי לא לתת רישיון, היתר, זיכיון וכיוצא בזה; למי ליתן אשרת שהייה או אשרת כניסה לישראל או רישיון קבע; למי לשלול תעודת עולה על פי חוק השבות; לאיזו מחצבה לאפשר המשך פעילות; למי לאשר הקצאת קרקע ברשות מקומית; מה תוכנית הלימודים המאושרת של מוסד חינוך רשמי; האם לאשר שינוי של תוכנית מתאר מחוזית; האם לאפשר פעולה מסוימת בתקופת בחירות וכיוצא בזה. אביא מספר דוגמאות לפסיקה שבחנה החלטות נקודתיות-פרטניות באספקלריה של עילת הסבירות: </w:t>
      </w:r>
      <w:r w:rsidRPr="00632224">
        <w:rPr>
          <w:rFonts w:ascii="Century" w:hAnsi="Century" w:cs="FrankRuehl" w:hint="cs"/>
          <w:spacing w:val="10"/>
          <w:sz w:val="22"/>
          <w:szCs w:val="28"/>
          <w:rtl/>
        </w:rPr>
        <w:t xml:space="preserve">נקבע כי החלטת </w:t>
      </w:r>
      <w:r w:rsidRPr="00632224">
        <w:rPr>
          <w:rFonts w:ascii="Century" w:hAnsi="Century" w:cs="FrankRuehl"/>
          <w:spacing w:val="10"/>
          <w:sz w:val="22"/>
          <w:szCs w:val="28"/>
          <w:shd w:val="clear" w:color="auto" w:fill="FFFFFF"/>
          <w:rtl/>
        </w:rPr>
        <w:t>שרים להעניק למפעל מסוים מעמד של ״מפעל מאושר״ מהווה סטייה בלתי סבירה ממדיניותה העקבית בנושא</w:t>
      </w:r>
      <w:r w:rsidRPr="00632224">
        <w:rPr>
          <w:rFonts w:ascii="Century" w:hAnsi="Century" w:cs="FrankRuehl" w:hint="cs"/>
          <w:spacing w:val="10"/>
          <w:sz w:val="22"/>
          <w:szCs w:val="28"/>
          <w:shd w:val="clear" w:color="auto" w:fill="FFFFFF"/>
          <w:rtl/>
        </w:rPr>
        <w:t xml:space="preserve"> ועל כן דינה להתבטל</w:t>
      </w:r>
      <w:r w:rsidRPr="00632224">
        <w:rPr>
          <w:rFonts w:ascii="Century" w:hAnsi="Century" w:cs="FrankRuehl"/>
          <w:spacing w:val="10"/>
          <w:sz w:val="22"/>
          <w:szCs w:val="28"/>
          <w:shd w:val="clear" w:color="auto" w:fill="FFFFFF"/>
          <w:rtl/>
        </w:rPr>
        <w:t xml:space="preserve"> (בג״ץ 5277/96 </w:t>
      </w:r>
      <w:r w:rsidRPr="00632224">
        <w:rPr>
          <w:rFonts w:ascii="Century" w:hAnsi="Century" w:cs="Miriam"/>
          <w:b/>
          <w:sz w:val="22"/>
          <w:shd w:val="clear" w:color="auto" w:fill="FFFFFF"/>
          <w:rtl/>
        </w:rPr>
        <w:t>חוד נ׳ שר האוצ</w:t>
      </w:r>
      <w:r w:rsidRPr="00632224">
        <w:rPr>
          <w:rFonts w:ascii="Century" w:hAnsi="Century" w:cs="Miriam" w:hint="cs"/>
          <w:b/>
          <w:sz w:val="22"/>
          <w:shd w:val="clear" w:color="auto" w:fill="FFFFFF"/>
          <w:rtl/>
        </w:rPr>
        <w:t>ר</w:t>
      </w:r>
      <w:r w:rsidRPr="00632224">
        <w:rPr>
          <w:rFonts w:ascii="Century" w:hAnsi="Century" w:cs="FrankRuehl"/>
          <w:spacing w:val="10"/>
          <w:sz w:val="22"/>
          <w:szCs w:val="28"/>
          <w:shd w:val="clear" w:color="auto" w:fill="FFFFFF"/>
          <w:rtl/>
        </w:rPr>
        <w:t>,</w:t>
      </w:r>
      <w:r w:rsidRPr="00632224">
        <w:rPr>
          <w:rFonts w:ascii="Century" w:hAnsi="Century" w:cs="Miriam" w:hint="cs"/>
          <w:b/>
          <w:sz w:val="22"/>
          <w:shd w:val="clear" w:color="auto" w:fill="FFFFFF"/>
          <w:rtl/>
        </w:rPr>
        <w:t xml:space="preserve"> </w:t>
      </w:r>
      <w:r w:rsidRPr="00632224">
        <w:rPr>
          <w:rFonts w:ascii="Century" w:hAnsi="Century" w:cs="FrankRuehl"/>
          <w:spacing w:val="10"/>
          <w:sz w:val="22"/>
          <w:szCs w:val="28"/>
          <w:shd w:val="clear" w:color="auto" w:fill="FFFFFF"/>
          <w:rtl/>
        </w:rPr>
        <w:t xml:space="preserve">פ״ד נ(5) </w:t>
      </w:r>
      <w:r w:rsidRPr="00632224">
        <w:rPr>
          <w:rFonts w:ascii="Century" w:hAnsi="Century" w:cs="FrankRuehl" w:hint="cs"/>
          <w:spacing w:val="10"/>
          <w:sz w:val="22"/>
          <w:szCs w:val="28"/>
          <w:shd w:val="clear" w:color="auto" w:fill="FFFFFF"/>
          <w:rtl/>
        </w:rPr>
        <w:t xml:space="preserve">854 (1997)); נבחנה השאלה </w:t>
      </w:r>
      <w:r w:rsidRPr="00632224">
        <w:rPr>
          <w:rFonts w:ascii="Arial TUR" w:hAnsi="Arial TUR" w:cs="FrankRuehl" w:hint="cs"/>
          <w:spacing w:val="10"/>
          <w:sz w:val="22"/>
          <w:szCs w:val="28"/>
          <w:rtl/>
        </w:rPr>
        <w:t xml:space="preserve">אם לקבל או להימנע מלקבל החלטה אם להעמיד לדין משמעתי בשירות הציבורי (בג"ץ 7074/93 </w:t>
      </w:r>
      <w:r w:rsidRPr="00632224">
        <w:rPr>
          <w:rFonts w:ascii="Century" w:hAnsi="Century" w:cs="Miriam" w:hint="cs"/>
          <w:b/>
          <w:sz w:val="22"/>
          <w:rtl/>
        </w:rPr>
        <w:t>סויסא נ' היועץ המשפטי לממשלה</w:t>
      </w:r>
      <w:r w:rsidRPr="00632224">
        <w:rPr>
          <w:rFonts w:ascii="Arial TUR" w:hAnsi="Arial TUR" w:cs="FrankRuehl" w:hint="cs"/>
          <w:spacing w:val="10"/>
          <w:sz w:val="22"/>
          <w:szCs w:val="28"/>
          <w:rtl/>
        </w:rPr>
        <w:t xml:space="preserve">, פ"ד מח(2) 749 (1994) (לא למותר לציין כי בעניין אחרון זה נדון מושג שסתום "התנהגות שאינה הולמת", ולפנינו דוגמה נוספת למונח מעורפל שגם מצריך לקחת בחשבון שיקולים ערכיים)); נבחנה השאלה אם להעמיד לדין או להימנע מלהעמיד לדין רב עיר לפי סעיף 12א לחוק שרותי הדת היהודיים [נוסח משולב], התשל"א-1971 (ראו בג"ץ 7150/16 </w:t>
      </w:r>
      <w:r w:rsidRPr="00632224">
        <w:rPr>
          <w:rFonts w:ascii="Century" w:hAnsi="Century" w:cs="Miriam"/>
          <w:b/>
          <w:sz w:val="22"/>
          <w:shd w:val="clear" w:color="auto" w:fill="FFFFFF"/>
          <w:rtl/>
        </w:rPr>
        <w:t>המרכז הרפורמי לדת ומדינה נ׳ שרת המשפטים</w:t>
      </w:r>
      <w:r w:rsidRPr="00632224">
        <w:rPr>
          <w:rFonts w:ascii="Century" w:hAnsi="Century" w:cs="FrankRuehl"/>
          <w:spacing w:val="10"/>
          <w:sz w:val="22"/>
          <w:szCs w:val="28"/>
          <w:shd w:val="clear" w:color="auto" w:fill="FFFFFF"/>
          <w:rtl/>
        </w:rPr>
        <w:t xml:space="preserve">, </w:t>
      </w:r>
      <w:r w:rsidRPr="00632224">
        <w:rPr>
          <w:rFonts w:ascii="Century" w:hAnsi="Century" w:cs="FrankRuehl" w:hint="cs"/>
          <w:spacing w:val="10"/>
          <w:sz w:val="22"/>
          <w:szCs w:val="28"/>
          <w:shd w:val="clear" w:color="auto" w:fill="FFFFFF"/>
          <w:rtl/>
        </w:rPr>
        <w:t>פסקה 90</w:t>
      </w:r>
      <w:r w:rsidRPr="00632224">
        <w:rPr>
          <w:rFonts w:ascii="Century" w:hAnsi="Century" w:cs="FrankRuehl"/>
          <w:spacing w:val="10"/>
          <w:sz w:val="22"/>
          <w:szCs w:val="28"/>
          <w:shd w:val="clear" w:color="auto" w:fill="FFFFFF"/>
          <w:rtl/>
        </w:rPr>
        <w:t xml:space="preserve"> </w:t>
      </w:r>
      <w:r w:rsidRPr="00632224">
        <w:rPr>
          <w:rFonts w:ascii="Century" w:hAnsi="Century" w:cs="FrankRuehl" w:hint="cs"/>
          <w:spacing w:val="10"/>
          <w:sz w:val="22"/>
          <w:szCs w:val="28"/>
          <w:rtl/>
        </w:rPr>
        <w:t xml:space="preserve">(21.9.2020) </w:t>
      </w:r>
      <w:r w:rsidRPr="00632224">
        <w:rPr>
          <w:rFonts w:ascii="Arial TUR" w:hAnsi="Arial TUR" w:cs="FrankRuehl" w:hint="cs"/>
          <w:spacing w:val="10"/>
          <w:sz w:val="22"/>
          <w:szCs w:val="28"/>
          <w:rtl/>
        </w:rPr>
        <w:t>שם נקבע כי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אי</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העמדת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הרב</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אליהו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לדין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משמעתי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בגין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התבטאויות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אסורות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שדוגמאותיהן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הובאו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לעיל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ורק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בגין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התבטאויות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כאלה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לוקה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בחוסר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סבירות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קיצוני</w:t>
      </w:r>
      <w:r w:rsidRPr="00632224">
        <w:rPr>
          <w:rFonts w:ascii="Century" w:hAnsi="Century" w:cs="FrankRuehl"/>
          <w:spacing w:val="10"/>
          <w:sz w:val="22"/>
          <w:szCs w:val="28"/>
          <w:rtl/>
        </w:rPr>
        <w:t>"</w:t>
      </w:r>
      <w:r w:rsidRPr="00632224">
        <w:rPr>
          <w:rFonts w:ascii="Arial TUR" w:hAnsi="Arial TUR" w:cs="FrankRuehl" w:hint="cs"/>
          <w:spacing w:val="10"/>
          <w:sz w:val="22"/>
          <w:szCs w:val="28"/>
          <w:rtl/>
        </w:rPr>
        <w:t>).</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shd w:val="clear" w:color="auto" w:fill="FFFFFF"/>
          <w:rtl/>
        </w:rPr>
        <w:tab/>
      </w:r>
      <w:r w:rsidRPr="00632224">
        <w:rPr>
          <w:rFonts w:ascii="Arial TUR" w:hAnsi="Arial TUR" w:cs="FrankRuehl" w:hint="cs"/>
          <w:spacing w:val="10"/>
          <w:sz w:val="22"/>
          <w:szCs w:val="28"/>
          <w:rtl/>
        </w:rPr>
        <w:t>לשרים בישראל יש סמכויות משנה של ציווי, תיאום ופיקוח (</w:t>
      </w:r>
      <w:r w:rsidRPr="00632224">
        <w:rPr>
          <w:rFonts w:ascii="Century" w:hAnsi="Century" w:cs="Miriam" w:hint="eastAsia"/>
          <w:b/>
          <w:sz w:val="22"/>
          <w:rtl/>
        </w:rPr>
        <w:t>זמיר</w:t>
      </w:r>
      <w:r w:rsidRPr="00632224">
        <w:rPr>
          <w:rFonts w:ascii="Century" w:hAnsi="Century" w:cs="Miriam"/>
          <w:b/>
          <w:sz w:val="22"/>
          <w:rtl/>
        </w:rPr>
        <w:t xml:space="preserve"> </w:t>
      </w:r>
      <w:r w:rsidRPr="00632224">
        <w:rPr>
          <w:rFonts w:ascii="Century" w:hAnsi="Century" w:cs="Miriam" w:hint="cs"/>
          <w:b/>
          <w:sz w:val="22"/>
          <w:rtl/>
        </w:rPr>
        <w:t>הסמכות המנהלית</w:t>
      </w:r>
      <w:r w:rsidRPr="00632224">
        <w:rPr>
          <w:rFonts w:ascii="Arial TUR" w:hAnsi="Arial TUR" w:cs="FrankRuehl" w:hint="cs"/>
          <w:spacing w:val="10"/>
          <w:sz w:val="22"/>
          <w:szCs w:val="28"/>
          <w:rtl/>
        </w:rPr>
        <w:t xml:space="preserve">, כרך א בעמ' 434) והם מקבלים אינספור החלטות מינהליות מעשה שבשגרה. כעת, </w:t>
      </w:r>
      <w:r w:rsidRPr="00632224">
        <w:rPr>
          <w:rFonts w:ascii="Century" w:hAnsi="Century" w:cs="FrankRuehl" w:hint="cs"/>
          <w:spacing w:val="10"/>
          <w:sz w:val="22"/>
          <w:szCs w:val="28"/>
          <w:shd w:val="clear" w:color="auto" w:fill="FFFFFF"/>
          <w:rtl/>
        </w:rPr>
        <w:t xml:space="preserve">בעקבות התיקון לחוק היסוד, החלטות מעין אלה תהיינה חסינות מביקורת שיפוטית. ודוק: אין חולק כי שרים מתווים מדיניות, אך כאשר פורטים את המדיניות לחיי המעשה, </w:t>
      </w:r>
      <w:r w:rsidRPr="00632224">
        <w:rPr>
          <w:rFonts w:ascii="Arial TUR" w:hAnsi="Arial TUR" w:cs="FrankRuehl" w:hint="cs"/>
          <w:spacing w:val="10"/>
          <w:sz w:val="22"/>
          <w:szCs w:val="28"/>
          <w:rtl/>
        </w:rPr>
        <w:t>המדיניות מורכבת מעשרות ומאות החלטות נקודתיות-פרטניות של שרים אשר ברובן אין כרוכים בהן שיקולים ערכיים או מדיניים.</w:t>
      </w:r>
      <w:r w:rsidRPr="00632224">
        <w:rPr>
          <w:rFonts w:ascii="Century" w:hAnsi="Century" w:cs="FrankRuehl" w:hint="cs"/>
          <w:spacing w:val="10"/>
          <w:sz w:val="22"/>
          <w:szCs w:val="28"/>
          <w:rtl/>
        </w:rPr>
        <w:t xml:space="preserve"> מכאן, שעילת הסבירות אינה עוסקת רק </w:t>
      </w:r>
      <w:r w:rsidRPr="00632224">
        <w:rPr>
          <w:rFonts w:ascii="Century" w:hAnsi="Century" w:cs="FrankRuehl"/>
          <w:spacing w:val="10"/>
          <w:sz w:val="22"/>
          <w:szCs w:val="28"/>
          <w:rtl/>
        </w:rPr>
        <w:t xml:space="preserve">ב"פוליטיקה" </w:t>
      </w:r>
      <w:r w:rsidRPr="00632224">
        <w:rPr>
          <w:rFonts w:ascii="Century" w:hAnsi="Century" w:cs="FrankRuehl" w:hint="cs"/>
          <w:spacing w:val="10"/>
          <w:sz w:val="22"/>
          <w:szCs w:val="28"/>
          <w:rtl/>
        </w:rPr>
        <w:t xml:space="preserve">או ב"מדיניות" או ב"ערכים", </w:t>
      </w:r>
      <w:r w:rsidRPr="00632224">
        <w:rPr>
          <w:rFonts w:ascii="Century" w:hAnsi="Century" w:cs="FrankRuehl"/>
          <w:spacing w:val="10"/>
          <w:sz w:val="22"/>
          <w:szCs w:val="28"/>
          <w:rtl/>
        </w:rPr>
        <w:t xml:space="preserve">אלא </w:t>
      </w:r>
      <w:r w:rsidRPr="00632224">
        <w:rPr>
          <w:rFonts w:ascii="Century" w:hAnsi="Century" w:cs="FrankRuehl" w:hint="cs"/>
          <w:spacing w:val="10"/>
          <w:sz w:val="22"/>
          <w:szCs w:val="28"/>
          <w:rtl/>
        </w:rPr>
        <w:t xml:space="preserve">בחיי היום-יום של האזרח במדינתו. </w:t>
      </w:r>
    </w:p>
    <w:p w:rsidR="00244560" w:rsidRPr="00632224" w:rsidRDefault="00244560" w:rsidP="00244560">
      <w:pPr>
        <w:tabs>
          <w:tab w:val="left" w:pos="800"/>
        </w:tabs>
        <w:spacing w:line="360" w:lineRule="auto"/>
        <w:jc w:val="both"/>
        <w:rPr>
          <w:rFonts w:ascii="Century" w:hAnsi="Century" w:cs="Miriam"/>
          <w:b/>
          <w:sz w:val="22"/>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Miriam"/>
          <w:b/>
          <w:sz w:val="22"/>
          <w:rtl/>
        </w:rPr>
        <w:tab/>
      </w:r>
      <w:r w:rsidRPr="00632224">
        <w:rPr>
          <w:rFonts w:cs="FrankRuehl" w:hint="cs"/>
          <w:spacing w:val="10"/>
          <w:sz w:val="24"/>
          <w:szCs w:val="28"/>
          <w:rtl/>
        </w:rPr>
        <w:t xml:space="preserve"> </w:t>
      </w:r>
      <w:r w:rsidRPr="00632224">
        <w:rPr>
          <w:rFonts w:ascii="Arial TUR" w:hAnsi="Arial TUR" w:cs="FrankRuehl" w:hint="cs"/>
          <w:spacing w:val="10"/>
          <w:sz w:val="22"/>
          <w:szCs w:val="28"/>
          <w:rtl/>
        </w:rPr>
        <w:t xml:space="preserve">ואם לא די בכך, נזכור כי שר יכול ליטול לעצמו סמכות מהכפופים לו. כך ניתן לחסן כל החלטה פרטנית ונקודתית או אחרת, שבמצב הדברים הרגיל מתקבלת על ידי הדרג המקצועי, על ידי "משיכת" ההחלטה למעלה, אל השר, מכוח סמכותו לפי סעיף 34 לחוק יסוד: הממשלה. וכך, במקום החלטות שבמצב הדברים הרגיל היו מתקבלות על ידי הדרג הפקידותי-מקצועי במשרד, התיקון מתמרץ את השר לקבל בעצמו החלטות שאותן הוא מעוניין לחסן מפני ביקורת שיפוטית (וראו פסקה 174 לפסק דינה של הנשיאה).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lastRenderedPageBreak/>
        <w:tab/>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73.</w:t>
      </w:r>
      <w:r w:rsidRPr="00632224">
        <w:rPr>
          <w:rFonts w:ascii="Arial TUR" w:hAnsi="Arial TUR" w:cs="FrankRuehl"/>
          <w:spacing w:val="10"/>
          <w:sz w:val="22"/>
          <w:szCs w:val="28"/>
          <w:rtl/>
        </w:rPr>
        <w:tab/>
      </w:r>
      <w:r w:rsidRPr="00632224">
        <w:rPr>
          <w:rFonts w:ascii="Century" w:hAnsi="Century" w:cs="Miriam" w:hint="cs"/>
          <w:b/>
          <w:sz w:val="22"/>
          <w:rtl/>
        </w:rPr>
        <w:t>סיכום ביניים</w:t>
      </w:r>
      <w:r w:rsidRPr="00632224">
        <w:rPr>
          <w:rFonts w:ascii="Century" w:hAnsi="Century" w:cs="Miriam"/>
          <w:b/>
          <w:sz w:val="22"/>
          <w:rtl/>
        </w:rPr>
        <w:t>:</w:t>
      </w:r>
      <w:r w:rsidRPr="00632224">
        <w:rPr>
          <w:rFonts w:ascii="Arial TUR" w:hAnsi="Arial TUR" w:cs="FrankRuehl" w:hint="cs"/>
          <w:spacing w:val="10"/>
          <w:sz w:val="22"/>
          <w:szCs w:val="28"/>
          <w:rtl/>
        </w:rPr>
        <w:t xml:space="preserve"> הצבענו על הקשיים הניכרים בתזה שעומדת בבסיס התיקון לחוק היסוד, תיקון שביקש לעשות הבחנה גורפת בין דרג נבחר לדרג ממונה, תיקון שאינו מבחין בין הממשלה לשריה, שאינו מבחין בין החלטות מדיניות לבין החלטות נקודתיות-פרטניות, ושאינו מבחין בין המופעים השונים של עילת הסבירות. קודם לכן, עמדנו על העמימות ואי הבהירות של התיקון לחוק היסוד ועל היבטים נוספים המצביעים על התוצר הבעייתי, בלשון המעטה, של התיקון לחוק היסוד.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ועדיין לא הסברנו מדוע יש לפסול את התיקון לחוק היסוד, ולנושא זה אנו מגיעים כעת.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keepLines/>
        <w:spacing w:line="360" w:lineRule="auto"/>
        <w:outlineLvl w:val="0"/>
        <w:rPr>
          <w:rFonts w:ascii="Century" w:hAnsi="Century" w:cs="Miriam"/>
          <w:b/>
          <w:sz w:val="32"/>
          <w:rtl/>
        </w:rPr>
      </w:pPr>
      <w:r w:rsidRPr="00632224">
        <w:rPr>
          <w:rFonts w:ascii="Century" w:hAnsi="Century" w:cs="Miriam" w:hint="cs"/>
          <w:b/>
          <w:sz w:val="32"/>
          <w:rtl/>
        </w:rPr>
        <w:t>ביטול עילת הסבירות מהווה תיקון חוקתי שאינו חוקתי</w:t>
      </w:r>
    </w:p>
    <w:p w:rsidR="00244560" w:rsidRPr="00632224"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adjustRightInd/>
        <w:spacing w:line="360" w:lineRule="auto"/>
        <w:jc w:val="both"/>
        <w:textAlignment w:val="auto"/>
        <w:rPr>
          <w:rFonts w:ascii="Arial TUR" w:hAnsi="Arial TUR" w:cs="Arial TUR"/>
          <w:spacing w:val="10"/>
          <w:sz w:val="22"/>
          <w:szCs w:val="22"/>
          <w:rtl/>
          <w:lang w:eastAsia="he-IL"/>
        </w:rPr>
      </w:pPr>
      <w:r w:rsidRPr="00632224">
        <w:rPr>
          <w:rFonts w:ascii="Arial TUR" w:hAnsi="Arial TUR" w:cs="FrankRuehl" w:hint="cs"/>
          <w:spacing w:val="10"/>
          <w:sz w:val="28"/>
          <w:szCs w:val="28"/>
          <w:rtl/>
          <w:lang w:eastAsia="he-IL"/>
        </w:rPr>
        <w:t>74.</w:t>
      </w:r>
      <w:r w:rsidRPr="00632224">
        <w:rPr>
          <w:rFonts w:ascii="Arial TUR" w:hAnsi="Arial TUR" w:cs="FrankRuehl" w:hint="cs"/>
          <w:spacing w:val="10"/>
          <w:sz w:val="28"/>
          <w:szCs w:val="28"/>
          <w:rtl/>
          <w:lang w:eastAsia="he-IL"/>
        </w:rPr>
        <w:tab/>
        <w:t xml:space="preserve">מדינת ישראל מושתתת על שני עמודים </w:t>
      </w:r>
      <w:r w:rsidRPr="00632224">
        <w:rPr>
          <w:rFonts w:ascii="Arial TUR" w:hAnsi="Arial TUR" w:cs="FrankRuehl"/>
          <w:spacing w:val="10"/>
          <w:sz w:val="28"/>
          <w:szCs w:val="28"/>
          <w:rtl/>
          <w:lang w:eastAsia="he-IL"/>
        </w:rPr>
        <w:t>–</w:t>
      </w:r>
      <w:r w:rsidRPr="00632224">
        <w:rPr>
          <w:rFonts w:ascii="Arial TUR" w:hAnsi="Arial TUR" w:cs="FrankRuehl" w:hint="cs"/>
          <w:spacing w:val="10"/>
          <w:sz w:val="28"/>
          <w:szCs w:val="28"/>
          <w:rtl/>
          <w:lang w:eastAsia="he-IL"/>
        </w:rPr>
        <w:t xml:space="preserve"> "יהודית" ו"דמוקרטית". תחת אברותיו של המונח "דמוקרטית" מסתופפים שורה של עיקרים וערכים מכוננים שהם למעשה אבני היסוד של הדמוקרטיה המהותית, ובין היתר: </w:t>
      </w:r>
      <w:r w:rsidRPr="00632224">
        <w:rPr>
          <w:rFonts w:ascii="Century" w:hAnsi="Century" w:cs="FrankRuehl" w:hint="cs"/>
          <w:spacing w:val="10"/>
          <w:sz w:val="22"/>
          <w:szCs w:val="28"/>
          <w:rtl/>
          <w:lang w:eastAsia="he-IL"/>
        </w:rPr>
        <w:t xml:space="preserve">"[...] בחירות חופשיות ושוות; הכרה בגרעין של זכויות אדם, ובהן כבוד ושוויון, קיום הפרדת רשויות, שלטון החוק ורשות שופטת עצמאית" </w:t>
      </w:r>
      <w:r w:rsidRPr="00632224">
        <w:rPr>
          <w:rFonts w:ascii="Century" w:hAnsi="Century" w:cs="FrankRuehl"/>
          <w:spacing w:val="10"/>
          <w:sz w:val="22"/>
          <w:szCs w:val="28"/>
          <w:rtl/>
          <w:lang w:eastAsia="he-IL"/>
        </w:rPr>
        <w:t>(</w:t>
      </w:r>
      <w:r w:rsidRPr="00632224">
        <w:rPr>
          <w:rFonts w:ascii="Century" w:hAnsi="Century" w:cs="FrankRuehl" w:hint="eastAsia"/>
          <w:spacing w:val="10"/>
          <w:sz w:val="22"/>
          <w:szCs w:val="28"/>
          <w:rtl/>
          <w:lang w:eastAsia="he-IL"/>
        </w:rPr>
        <w:t>א</w:t>
      </w:r>
      <w:r w:rsidRPr="00632224">
        <w:rPr>
          <w:rFonts w:ascii="Century" w:hAnsi="Century" w:cs="FrankRuehl"/>
          <w:spacing w:val="10"/>
          <w:sz w:val="22"/>
          <w:szCs w:val="28"/>
          <w:rtl/>
          <w:lang w:eastAsia="he-IL"/>
        </w:rPr>
        <w:t>"</w:t>
      </w:r>
      <w:r w:rsidRPr="00632224">
        <w:rPr>
          <w:rFonts w:ascii="Century" w:hAnsi="Century" w:cs="FrankRuehl" w:hint="eastAsia"/>
          <w:spacing w:val="10"/>
          <w:sz w:val="22"/>
          <w:szCs w:val="28"/>
          <w:rtl/>
          <w:lang w:eastAsia="he-IL"/>
        </w:rPr>
        <w:t>ב</w:t>
      </w:r>
      <w:r w:rsidRPr="00632224">
        <w:rPr>
          <w:rFonts w:ascii="Century" w:hAnsi="Century" w:cs="FrankRuehl"/>
          <w:spacing w:val="10"/>
          <w:sz w:val="22"/>
          <w:szCs w:val="28"/>
          <w:rtl/>
          <w:lang w:eastAsia="he-IL"/>
        </w:rPr>
        <w:t xml:space="preserve"> 11280/02 </w:t>
      </w:r>
      <w:r w:rsidRPr="00632224">
        <w:rPr>
          <w:rFonts w:ascii="Century" w:hAnsi="Century" w:cs="Miriam" w:hint="eastAsia"/>
          <w:b/>
          <w:sz w:val="22"/>
          <w:rtl/>
          <w:lang w:eastAsia="he-IL"/>
        </w:rPr>
        <w:t>ועדת</w:t>
      </w:r>
      <w:r w:rsidRPr="00632224">
        <w:rPr>
          <w:rFonts w:ascii="Century" w:hAnsi="Century" w:cs="Miriam"/>
          <w:b/>
          <w:sz w:val="22"/>
          <w:rtl/>
          <w:lang w:eastAsia="he-IL"/>
        </w:rPr>
        <w:t xml:space="preserve"> </w:t>
      </w:r>
      <w:r w:rsidRPr="00632224">
        <w:rPr>
          <w:rFonts w:ascii="Century" w:hAnsi="Century" w:cs="Miriam" w:hint="eastAsia"/>
          <w:b/>
          <w:sz w:val="22"/>
          <w:rtl/>
          <w:lang w:eastAsia="he-IL"/>
        </w:rPr>
        <w:t>הבחירות</w:t>
      </w:r>
      <w:r w:rsidRPr="00632224">
        <w:rPr>
          <w:rFonts w:ascii="Century" w:hAnsi="Century" w:cs="Miriam"/>
          <w:b/>
          <w:sz w:val="22"/>
          <w:rtl/>
          <w:lang w:eastAsia="he-IL"/>
        </w:rPr>
        <w:t xml:space="preserve"> </w:t>
      </w:r>
      <w:r w:rsidRPr="00632224">
        <w:rPr>
          <w:rFonts w:ascii="Century" w:hAnsi="Century" w:cs="Miriam" w:hint="eastAsia"/>
          <w:b/>
          <w:sz w:val="22"/>
          <w:rtl/>
          <w:lang w:eastAsia="he-IL"/>
        </w:rPr>
        <w:t>המרכזית</w:t>
      </w:r>
      <w:r w:rsidRPr="00632224">
        <w:rPr>
          <w:rFonts w:ascii="Century" w:hAnsi="Century" w:cs="Miriam"/>
          <w:b/>
          <w:sz w:val="22"/>
          <w:rtl/>
          <w:lang w:eastAsia="he-IL"/>
        </w:rPr>
        <w:t xml:space="preserve"> </w:t>
      </w:r>
      <w:r w:rsidRPr="00632224">
        <w:rPr>
          <w:rFonts w:ascii="Century" w:hAnsi="Century" w:cs="Miriam" w:hint="eastAsia"/>
          <w:b/>
          <w:sz w:val="22"/>
          <w:rtl/>
          <w:lang w:eastAsia="he-IL"/>
        </w:rPr>
        <w:t>לכנסת</w:t>
      </w:r>
      <w:r w:rsidRPr="00632224">
        <w:rPr>
          <w:rFonts w:ascii="Century" w:hAnsi="Century" w:cs="Miriam"/>
          <w:b/>
          <w:sz w:val="22"/>
          <w:rtl/>
          <w:lang w:eastAsia="he-IL"/>
        </w:rPr>
        <w:t xml:space="preserve"> </w:t>
      </w:r>
      <w:r w:rsidRPr="00632224">
        <w:rPr>
          <w:rFonts w:ascii="Century" w:hAnsi="Century" w:cs="Miriam" w:hint="eastAsia"/>
          <w:b/>
          <w:sz w:val="22"/>
          <w:rtl/>
          <w:lang w:eastAsia="he-IL"/>
        </w:rPr>
        <w:t>השש</w:t>
      </w:r>
      <w:r w:rsidRPr="00632224">
        <w:rPr>
          <w:rFonts w:ascii="Century" w:hAnsi="Century" w:cs="Miriam"/>
          <w:b/>
          <w:sz w:val="22"/>
          <w:rtl/>
          <w:lang w:eastAsia="he-IL"/>
        </w:rPr>
        <w:t>-</w:t>
      </w:r>
      <w:r w:rsidRPr="00632224">
        <w:rPr>
          <w:rFonts w:ascii="Century" w:hAnsi="Century" w:cs="Miriam" w:hint="eastAsia"/>
          <w:b/>
          <w:sz w:val="22"/>
          <w:rtl/>
          <w:lang w:eastAsia="he-IL"/>
        </w:rPr>
        <w:t>עשרה</w:t>
      </w:r>
      <w:r w:rsidRPr="00632224">
        <w:rPr>
          <w:rFonts w:ascii="Century" w:hAnsi="Century" w:cs="Miriam"/>
          <w:b/>
          <w:sz w:val="22"/>
          <w:rtl/>
          <w:lang w:eastAsia="he-IL"/>
        </w:rPr>
        <w:t xml:space="preserve"> </w:t>
      </w:r>
      <w:r w:rsidRPr="00632224">
        <w:rPr>
          <w:rFonts w:ascii="Century" w:hAnsi="Century" w:cs="Miriam" w:hint="eastAsia"/>
          <w:b/>
          <w:sz w:val="22"/>
          <w:rtl/>
          <w:lang w:eastAsia="he-IL"/>
        </w:rPr>
        <w:t>נ</w:t>
      </w:r>
      <w:r w:rsidRPr="00632224">
        <w:rPr>
          <w:rFonts w:ascii="Century" w:hAnsi="Century" w:cs="Miriam"/>
          <w:b/>
          <w:sz w:val="22"/>
          <w:rtl/>
          <w:lang w:eastAsia="he-IL"/>
        </w:rPr>
        <w:t xml:space="preserve">' </w:t>
      </w:r>
      <w:r w:rsidRPr="00632224">
        <w:rPr>
          <w:rFonts w:ascii="Century" w:hAnsi="Century" w:cs="Miriam" w:hint="eastAsia"/>
          <w:b/>
          <w:sz w:val="22"/>
          <w:rtl/>
          <w:lang w:eastAsia="he-IL"/>
        </w:rPr>
        <w:t>טיבי</w:t>
      </w:r>
      <w:r w:rsidRPr="00632224">
        <w:rPr>
          <w:rFonts w:ascii="Century" w:hAnsi="Century" w:cs="FrankRuehl"/>
          <w:spacing w:val="10"/>
          <w:sz w:val="22"/>
          <w:szCs w:val="28"/>
          <w:rtl/>
          <w:lang w:eastAsia="he-IL"/>
        </w:rPr>
        <w:t xml:space="preserve">, </w:t>
      </w:r>
      <w:r w:rsidRPr="00632224">
        <w:rPr>
          <w:rFonts w:ascii="Century" w:hAnsi="Century" w:cs="FrankRuehl" w:hint="eastAsia"/>
          <w:spacing w:val="10"/>
          <w:sz w:val="22"/>
          <w:szCs w:val="28"/>
          <w:rtl/>
          <w:lang w:eastAsia="he-IL"/>
        </w:rPr>
        <w:t>פ</w:t>
      </w:r>
      <w:r w:rsidRPr="00632224">
        <w:rPr>
          <w:rFonts w:ascii="Century" w:hAnsi="Century" w:cs="FrankRuehl"/>
          <w:spacing w:val="10"/>
          <w:sz w:val="22"/>
          <w:szCs w:val="28"/>
          <w:rtl/>
          <w:lang w:eastAsia="he-IL"/>
        </w:rPr>
        <w:t>"</w:t>
      </w:r>
      <w:r w:rsidRPr="00632224">
        <w:rPr>
          <w:rFonts w:ascii="Century" w:hAnsi="Century" w:cs="FrankRuehl" w:hint="eastAsia"/>
          <w:spacing w:val="10"/>
          <w:sz w:val="22"/>
          <w:szCs w:val="28"/>
          <w:rtl/>
          <w:lang w:eastAsia="he-IL"/>
        </w:rPr>
        <w:t>ד</w:t>
      </w:r>
      <w:r w:rsidRPr="00632224">
        <w:rPr>
          <w:rFonts w:ascii="Century" w:hAnsi="Century" w:cs="FrankRuehl"/>
          <w:spacing w:val="10"/>
          <w:sz w:val="22"/>
          <w:szCs w:val="28"/>
          <w:rtl/>
          <w:lang w:eastAsia="he-IL"/>
        </w:rPr>
        <w:t xml:space="preserve"> </w:t>
      </w:r>
      <w:r w:rsidRPr="00632224">
        <w:rPr>
          <w:rFonts w:ascii="Century" w:hAnsi="Century" w:cs="FrankRuehl" w:hint="eastAsia"/>
          <w:spacing w:val="10"/>
          <w:sz w:val="22"/>
          <w:szCs w:val="28"/>
          <w:rtl/>
          <w:lang w:eastAsia="he-IL"/>
        </w:rPr>
        <w:t>נז</w:t>
      </w:r>
      <w:r w:rsidRPr="00632224">
        <w:rPr>
          <w:rFonts w:ascii="Century" w:hAnsi="Century" w:cs="FrankRuehl"/>
          <w:spacing w:val="10"/>
          <w:sz w:val="22"/>
          <w:szCs w:val="28"/>
          <w:rtl/>
          <w:lang w:eastAsia="he-IL"/>
        </w:rPr>
        <w:t xml:space="preserve">(4) 1, </w:t>
      </w:r>
      <w:r w:rsidRPr="00632224">
        <w:rPr>
          <w:rFonts w:ascii="Century" w:hAnsi="Century" w:cs="FrankRuehl" w:hint="cs"/>
          <w:spacing w:val="10"/>
          <w:sz w:val="22"/>
          <w:szCs w:val="28"/>
          <w:rtl/>
          <w:lang w:eastAsia="he-IL"/>
        </w:rPr>
        <w:t>23</w:t>
      </w:r>
      <w:r w:rsidRPr="00632224">
        <w:rPr>
          <w:rFonts w:ascii="Century" w:hAnsi="Century" w:cs="FrankRuehl"/>
          <w:spacing w:val="10"/>
          <w:sz w:val="22"/>
          <w:szCs w:val="28"/>
          <w:rtl/>
          <w:lang w:eastAsia="he-IL"/>
        </w:rPr>
        <w:t xml:space="preserve"> (2003)</w:t>
      </w:r>
      <w:r w:rsidRPr="00632224">
        <w:rPr>
          <w:rFonts w:ascii="Century" w:hAnsi="Century" w:cs="FrankRuehl" w:hint="cs"/>
          <w:spacing w:val="10"/>
          <w:sz w:val="22"/>
          <w:szCs w:val="28"/>
          <w:rtl/>
          <w:lang w:eastAsia="he-IL"/>
        </w:rPr>
        <w:t>). אקדים אחרית לראשית ואומר כי לטעמי, ביטול עילת הסבירות ביחס לממשלה ולשריה פוגע בעקרונות הליבה של הדמוקרטיה: פוגע בשלטון החוק; פוגע בזכות הגישה לערכאות; פוגע בהפרדת הרשויות; ופוגע בזכויות יסוד חוקתיות. בשל כל אחד מהטעמים האלה דינו של התיקון לחוק היסוד להיפסל כתיקון חוקתי לא חוקתי</w:t>
      </w:r>
      <w:r w:rsidRPr="00632224">
        <w:rPr>
          <w:rFonts w:ascii="Century" w:hAnsi="Century" w:cs="FrankRuehl"/>
          <w:spacing w:val="10"/>
          <w:sz w:val="22"/>
          <w:szCs w:val="28"/>
          <w:rtl/>
          <w:lang w:eastAsia="he-IL"/>
        </w:rPr>
        <w:t>.</w:t>
      </w:r>
      <w:r w:rsidRPr="00632224">
        <w:rPr>
          <w:rFonts w:ascii="Arial TUR" w:hAnsi="Arial TUR" w:cs="Arial TUR" w:hint="cs"/>
          <w:spacing w:val="10"/>
          <w:sz w:val="22"/>
          <w:szCs w:val="22"/>
          <w:rtl/>
          <w:lang w:eastAsia="he-IL"/>
        </w:rPr>
        <w:t xml:space="preserve"> </w:t>
      </w:r>
    </w:p>
    <w:p w:rsidR="00244560" w:rsidRPr="00632224" w:rsidRDefault="00244560" w:rsidP="00244560">
      <w:pPr>
        <w:overflowPunct/>
        <w:textAlignment w:val="auto"/>
        <w:rPr>
          <w:rFonts w:ascii="David" w:hAnsi="David"/>
          <w:sz w:val="24"/>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כל אחד ואחד מהיבטים אלה הוא מעקרונות המשטר הדמוקרטי שנזכרים בנשימה אחת עם עילת הסבירות: </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Century" w:hAnsi="Century" w:cs="FrankRuehl" w:hint="cs"/>
          <w:spacing w:val="10"/>
          <w:sz w:val="22"/>
          <w:szCs w:val="28"/>
          <w:rtl/>
        </w:rPr>
        <w:t>"</w:t>
      </w:r>
      <w:r w:rsidRPr="00632224">
        <w:rPr>
          <w:rFonts w:ascii="Century" w:hAnsi="Century" w:cs="Miriam" w:hint="cs"/>
          <w:b/>
          <w:sz w:val="22"/>
          <w:rtl/>
        </w:rPr>
        <w:t xml:space="preserve">עקרונות אלה כולם </w:t>
      </w:r>
      <w:r w:rsidRPr="00632224">
        <w:rPr>
          <w:rFonts w:ascii="Century" w:hAnsi="Century" w:cs="Miriam"/>
          <w:b/>
          <w:sz w:val="22"/>
          <w:rtl/>
        </w:rPr>
        <w:t>–</w:t>
      </w:r>
      <w:r w:rsidRPr="00632224">
        <w:rPr>
          <w:rFonts w:ascii="Century" w:hAnsi="Century" w:cs="Miriam" w:hint="cs"/>
          <w:b/>
          <w:sz w:val="22"/>
          <w:rtl/>
        </w:rPr>
        <w:t xml:space="preserve"> שלטון החוק, הפרדת הרשויות תוך איזונים ובלמים ביניהן, סמכות הביקורת השיפוטית וכן מנגנוני הביקורת הדמוקרטיים הנוספים </w:t>
      </w:r>
      <w:r w:rsidRPr="00632224">
        <w:rPr>
          <w:rFonts w:ascii="Century" w:hAnsi="Century" w:cs="Miriam"/>
          <w:b/>
          <w:sz w:val="22"/>
          <w:rtl/>
        </w:rPr>
        <w:t>–</w:t>
      </w:r>
      <w:r w:rsidRPr="00632224">
        <w:rPr>
          <w:rFonts w:ascii="Century" w:hAnsi="Century" w:cs="Miriam" w:hint="cs"/>
          <w:b/>
          <w:sz w:val="22"/>
          <w:rtl/>
        </w:rPr>
        <w:t xml:space="preserve"> ניצבים כעמודי תווך במשטר הדמוקרטי. הם תנאי-בלעדיו-אין לשמירת זכויות האדם, ואלה הן גרעין המשטר הדמוקרטי, החותר לקידום טובת האדם.</w:t>
      </w:r>
      <w:r w:rsidRPr="00632224">
        <w:rPr>
          <w:rFonts w:ascii="Century" w:hAnsi="Century" w:cs="FrankRuehl" w:hint="cs"/>
          <w:spacing w:val="10"/>
          <w:sz w:val="22"/>
          <w:szCs w:val="28"/>
          <w:rtl/>
        </w:rPr>
        <w:t xml:space="preserve"> בשל כל אלה נאמר, ולא פעם, כי בית-משפט זה מופקד על חוקיותה </w:t>
      </w:r>
      <w:r w:rsidRPr="00632224">
        <w:rPr>
          <w:rFonts w:ascii="Century" w:hAnsi="Century" w:cs="Miriam" w:hint="cs"/>
          <w:b/>
          <w:sz w:val="22"/>
          <w:rtl/>
        </w:rPr>
        <w:t xml:space="preserve">וסבירותה </w:t>
      </w:r>
      <w:r w:rsidRPr="00632224">
        <w:rPr>
          <w:rFonts w:ascii="Century" w:hAnsi="Century" w:cs="FrankRuehl" w:hint="cs"/>
          <w:spacing w:val="10"/>
          <w:sz w:val="22"/>
          <w:szCs w:val="28"/>
          <w:rtl/>
        </w:rPr>
        <w:t xml:space="preserve">של פעולתן של רשויות השלטון במדינה [...]. סמכות השיפוט והביקורת של בית-המשפט על מעשיהם של גופי השלטון היא 'חלק בלתי-נפרד של משטר דמוקרטי אמיתי, והחותר תחתיה עלול לקעקע אחד מעמודי התווך של בנין </w:t>
      </w:r>
      <w:r w:rsidRPr="00632224">
        <w:rPr>
          <w:rFonts w:ascii="Century" w:hAnsi="Century" w:cs="FrankRuehl" w:hint="cs"/>
          <w:spacing w:val="10"/>
          <w:sz w:val="22"/>
          <w:szCs w:val="28"/>
          <w:rtl/>
        </w:rPr>
        <w:lastRenderedPageBreak/>
        <w:t xml:space="preserve">המדינה'" (השופט </w:t>
      </w:r>
      <w:r w:rsidRPr="00632224">
        <w:rPr>
          <w:rFonts w:ascii="Century" w:hAnsi="Century" w:cs="Miriam" w:hint="cs"/>
          <w:b/>
          <w:sz w:val="22"/>
          <w:rtl/>
        </w:rPr>
        <w:t>ריבלין</w:t>
      </w:r>
      <w:r w:rsidRPr="00632224">
        <w:rPr>
          <w:rFonts w:ascii="Century" w:hAnsi="Century" w:cs="FrankRuehl" w:hint="cs"/>
          <w:spacing w:val="10"/>
          <w:sz w:val="22"/>
          <w:szCs w:val="28"/>
          <w:rtl/>
        </w:rPr>
        <w:t xml:space="preserve"> </w:t>
      </w:r>
      <w:r w:rsidRPr="00632224">
        <w:rPr>
          <w:rFonts w:ascii="Arial TUR" w:hAnsi="Arial TUR" w:cs="FrankRuehl" w:hint="cs"/>
          <w:spacing w:val="10"/>
          <w:sz w:val="22"/>
          <w:szCs w:val="28"/>
          <w:rtl/>
        </w:rPr>
        <w:t xml:space="preserve">בעניין </w:t>
      </w:r>
      <w:r w:rsidRPr="00632224">
        <w:rPr>
          <w:rFonts w:ascii="Century" w:hAnsi="Century" w:cs="Miriam" w:hint="eastAsia"/>
          <w:b/>
          <w:sz w:val="22"/>
          <w:rtl/>
        </w:rPr>
        <w:t>הנגבי</w:t>
      </w:r>
      <w:r w:rsidRPr="00632224">
        <w:rPr>
          <w:rFonts w:ascii="Arial TUR" w:hAnsi="Arial TUR" w:cs="FrankRuehl" w:hint="cs"/>
          <w:spacing w:val="10"/>
          <w:sz w:val="22"/>
          <w:szCs w:val="28"/>
          <w:rtl/>
        </w:rPr>
        <w:t xml:space="preserve">, בעמ' 835, הדגשות הוספו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שיקול הדעת המינהלי כפוף לפיקוח שיפוטי במספר עילות ביקורת תחומות ומגודרות – ובהן </w:t>
      </w:r>
      <w:r w:rsidRPr="00632224">
        <w:rPr>
          <w:rFonts w:ascii="Century" w:hAnsi="Century" w:cs="Miriam" w:hint="eastAsia"/>
          <w:b/>
          <w:sz w:val="22"/>
          <w:rtl/>
        </w:rPr>
        <w:t>עילת</w:t>
      </w:r>
      <w:r w:rsidRPr="00632224">
        <w:rPr>
          <w:rFonts w:ascii="Century" w:hAnsi="Century" w:cs="Miriam"/>
          <w:b/>
          <w:sz w:val="22"/>
          <w:rtl/>
        </w:rPr>
        <w:t xml:space="preserve"> </w:t>
      </w:r>
      <w:r w:rsidRPr="00632224">
        <w:rPr>
          <w:rFonts w:ascii="Century" w:hAnsi="Century" w:cs="Miriam" w:hint="eastAsia"/>
          <w:b/>
          <w:sz w:val="22"/>
          <w:rtl/>
        </w:rPr>
        <w:t>הסבירות</w:t>
      </w:r>
      <w:r w:rsidRPr="00632224">
        <w:rPr>
          <w:rFonts w:ascii="Arial TUR" w:hAnsi="Arial TUR" w:cs="FrankRuehl"/>
          <w:spacing w:val="10"/>
          <w:sz w:val="22"/>
          <w:szCs w:val="28"/>
          <w:rtl/>
        </w:rPr>
        <w:t xml:space="preserve">. </w:t>
      </w:r>
      <w:r w:rsidRPr="00632224">
        <w:rPr>
          <w:rFonts w:ascii="Century" w:hAnsi="Century" w:cs="Miriam"/>
          <w:b/>
          <w:sz w:val="22"/>
          <w:rtl/>
        </w:rPr>
        <w:t>הביקורת השיפוטית על מעשה המינהל נועדה להגן על זכויות אדם ועל ערכי יסוד מפני שימוש לרעה בכוח, ולהבטיח ממשל תקין, נקי כפיים והוגן</w:t>
      </w:r>
      <w:r w:rsidRPr="00632224">
        <w:rPr>
          <w:rFonts w:ascii="Arial TUR" w:hAnsi="Arial TUR" w:cs="FrankRuehl"/>
          <w:spacing w:val="10"/>
          <w:sz w:val="22"/>
          <w:szCs w:val="28"/>
          <w:rtl/>
        </w:rPr>
        <w:t xml:space="preserve">. בית המשפט </w:t>
      </w:r>
      <w:r w:rsidRPr="00632224">
        <w:rPr>
          <w:rFonts w:cs="FrankRuehl"/>
          <w:spacing w:val="10"/>
          <w:sz w:val="24"/>
          <w:szCs w:val="28"/>
          <w:rtl/>
        </w:rPr>
        <w:t>הוא המופקד על שמירת גבולות הסמכות של הרשות המינהלית ועל חוקיות הפעלת הסמכות</w:t>
      </w:r>
      <w:r w:rsidRPr="00632224">
        <w:rPr>
          <w:rFonts w:ascii="Arial TUR" w:hAnsi="Arial TUR" w:cs="FrankRuehl" w:hint="cs"/>
          <w:spacing w:val="10"/>
          <w:sz w:val="22"/>
          <w:szCs w:val="28"/>
          <w:rtl/>
        </w:rPr>
        <w:t xml:space="preserve"> [...] </w:t>
      </w:r>
      <w:r w:rsidRPr="00632224">
        <w:rPr>
          <w:rFonts w:ascii="Century" w:hAnsi="Century" w:cs="Miriam"/>
          <w:b/>
          <w:sz w:val="22"/>
          <w:rtl/>
        </w:rPr>
        <w:t>זאת תמציתה של דוקטרינת האיזונים והבלמים שביסוד עקרון הפרדת הרשויות; זאת מהותה של הדמוקרטיה</w:t>
      </w:r>
      <w:r w:rsidRPr="00632224">
        <w:rPr>
          <w:rFonts w:ascii="Arial TUR" w:hAnsi="Arial TUR" w:cs="FrankRuehl" w:hint="cs"/>
          <w:spacing w:val="10"/>
          <w:sz w:val="22"/>
          <w:szCs w:val="28"/>
          <w:rtl/>
        </w:rPr>
        <w:t>" (</w:t>
      </w:r>
      <w:r w:rsidRPr="00632224">
        <w:rPr>
          <w:rFonts w:ascii="Century" w:hAnsi="Century" w:cs="FrankRuehl" w:hint="eastAsia"/>
          <w:spacing w:val="10"/>
          <w:sz w:val="22"/>
          <w:szCs w:val="28"/>
          <w:rtl/>
        </w:rPr>
        <w:t>עניין</w:t>
      </w:r>
      <w:r w:rsidRPr="00632224">
        <w:rPr>
          <w:rFonts w:ascii="Century" w:hAnsi="Century" w:cs="Miriam" w:hint="cs"/>
          <w:b/>
          <w:sz w:val="22"/>
          <w:rtl/>
        </w:rPr>
        <w:t xml:space="preserve"> דרעי הרביעי</w:t>
      </w:r>
      <w:r w:rsidRPr="00632224">
        <w:rPr>
          <w:rFonts w:ascii="Arial TUR" w:hAnsi="Arial TUR" w:cs="FrankRuehl" w:hint="cs"/>
          <w:spacing w:val="10"/>
          <w:sz w:val="22"/>
          <w:szCs w:val="28"/>
          <w:rtl/>
        </w:rPr>
        <w:t xml:space="preserve"> בפסקה 4 לפסק דינה של השופטת </w:t>
      </w:r>
      <w:r w:rsidRPr="00632224">
        <w:rPr>
          <w:rFonts w:ascii="Century" w:hAnsi="Century" w:cs="Miriam" w:hint="cs"/>
          <w:b/>
          <w:sz w:val="22"/>
          <w:rtl/>
        </w:rPr>
        <w:t>ברון</w:t>
      </w:r>
      <w:r w:rsidRPr="00632224">
        <w:rPr>
          <w:rFonts w:ascii="Century" w:hAnsi="Century" w:cs="FrankRuehl" w:hint="cs"/>
          <w:spacing w:val="10"/>
          <w:sz w:val="22"/>
          <w:szCs w:val="28"/>
          <w:rtl/>
        </w:rPr>
        <w:t xml:space="preserve">, </w:t>
      </w:r>
      <w:r w:rsidRPr="00632224">
        <w:rPr>
          <w:rFonts w:ascii="Arial TUR" w:hAnsi="Arial TUR" w:cs="FrankRuehl" w:hint="cs"/>
          <w:spacing w:val="10"/>
          <w:sz w:val="22"/>
          <w:szCs w:val="28"/>
          <w:rtl/>
        </w:rPr>
        <w:t xml:space="preserve">הדגשות הוספו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אעמוד להלן על השלכות התיקון על כל אחד ואחד מהיבטים אלה, ומתוך הדברים יבין הקורא מדוע התיקון גורם למעשה לפגיעה בגרעין הקשה של היסוד הדמוקרטי במדינה. אך תחילה, </w:t>
      </w:r>
      <w:r w:rsidRPr="00632224">
        <w:rPr>
          <w:rFonts w:ascii="Century" w:hAnsi="Century" w:cs="Miriam" w:hint="eastAsia"/>
          <w:b/>
          <w:sz w:val="22"/>
          <w:rtl/>
        </w:rPr>
        <w:t>וכמקור</w:t>
      </w:r>
      <w:r w:rsidRPr="00632224">
        <w:rPr>
          <w:rFonts w:ascii="Century" w:hAnsi="Century" w:cs="Miriam"/>
          <w:b/>
          <w:sz w:val="22"/>
          <w:rtl/>
        </w:rPr>
        <w:t xml:space="preserve"> </w:t>
      </w:r>
      <w:r w:rsidRPr="00632224">
        <w:rPr>
          <w:rFonts w:ascii="Century" w:hAnsi="Century" w:cs="Miriam" w:hint="eastAsia"/>
          <w:b/>
          <w:sz w:val="22"/>
          <w:rtl/>
        </w:rPr>
        <w:t>השראה</w:t>
      </w:r>
      <w:r w:rsidRPr="00632224">
        <w:rPr>
          <w:rFonts w:ascii="Arial TUR" w:hAnsi="Arial TUR" w:cs="FrankRuehl" w:hint="cs"/>
          <w:spacing w:val="10"/>
          <w:sz w:val="22"/>
          <w:szCs w:val="28"/>
          <w:rtl/>
        </w:rPr>
        <w:t xml:space="preserve">, אחזור שנים רבות לאחור, עוד טרם המהפכה החוקתית.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 xml:space="preserve">בג"ץ ברגמן </w:t>
      </w:r>
      <w:r w:rsidRPr="00632224">
        <w:rPr>
          <w:rFonts w:ascii="Cambria" w:hAnsi="Cambria" w:cs="Miriam"/>
          <w:sz w:val="32"/>
          <w:rtl/>
        </w:rPr>
        <w:t>–</w:t>
      </w:r>
      <w:r w:rsidRPr="00632224">
        <w:rPr>
          <w:rFonts w:ascii="Cambria" w:hAnsi="Cambria" w:cs="Miriam" w:hint="cs"/>
          <w:sz w:val="32"/>
          <w:rtl/>
        </w:rPr>
        <w:t xml:space="preserve"> דוגמה לפגיעה בליבת הדמוקרטיה </w:t>
      </w:r>
    </w:p>
    <w:p w:rsidR="00244560" w:rsidRPr="00632224"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75.</w:t>
      </w: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בג"ץ 98/69 </w:t>
      </w:r>
      <w:r w:rsidRPr="00632224">
        <w:rPr>
          <w:rFonts w:ascii="Century" w:hAnsi="Century" w:cs="Miriam" w:hint="cs"/>
          <w:b/>
          <w:sz w:val="22"/>
          <w:rtl/>
        </w:rPr>
        <w:t>ברגמן נ' שר האוצר</w:t>
      </w:r>
      <w:r w:rsidRPr="00632224">
        <w:rPr>
          <w:rFonts w:ascii="Arial TUR" w:hAnsi="Arial TUR" w:cs="FrankRuehl" w:hint="cs"/>
          <w:spacing w:val="10"/>
          <w:sz w:val="22"/>
          <w:szCs w:val="28"/>
          <w:rtl/>
        </w:rPr>
        <w:t>, פ"ד כג(1) 693 (1969) (להלן: עניין</w:t>
      </w:r>
      <w:r w:rsidRPr="00632224">
        <w:rPr>
          <w:rFonts w:ascii="Century" w:hAnsi="Century" w:cs="Miriam" w:hint="cs"/>
          <w:b/>
          <w:sz w:val="22"/>
          <w:rtl/>
        </w:rPr>
        <w:t xml:space="preserve"> ברגמן</w:t>
      </w:r>
      <w:r w:rsidRPr="00632224">
        <w:rPr>
          <w:rFonts w:ascii="Century" w:hAnsi="Century" w:cs="FrankRuehl"/>
          <w:spacing w:val="10"/>
          <w:sz w:val="22"/>
          <w:szCs w:val="28"/>
          <w:rtl/>
        </w:rPr>
        <w:t xml:space="preserve">), </w:t>
      </w:r>
      <w:r w:rsidRPr="00632224">
        <w:rPr>
          <w:rFonts w:ascii="Arial TUR" w:hAnsi="Arial TUR" w:cs="FrankRuehl" w:hint="cs"/>
          <w:spacing w:val="10"/>
          <w:sz w:val="22"/>
          <w:szCs w:val="28"/>
          <w:rtl/>
        </w:rPr>
        <w:t xml:space="preserve">ניתן לפני למעלה מחמישים שנה, שנים רבות לפני שבאו לעולם שני חוקי היסוד שחוללו את המהפכה המשפטית, על פסקת ההגבלה שהעניקה לבית המשפט את הסמכות לפסול חקיקה ראשית. בפסק הדין בעניין </w:t>
      </w:r>
      <w:r w:rsidRPr="00632224">
        <w:rPr>
          <w:rFonts w:ascii="Century" w:hAnsi="Century" w:cs="Miriam" w:hint="cs"/>
          <w:b/>
          <w:sz w:val="22"/>
          <w:rtl/>
        </w:rPr>
        <w:t>ברגמן</w:t>
      </w:r>
      <w:r w:rsidRPr="00632224">
        <w:rPr>
          <w:rFonts w:ascii="Arial TUR" w:hAnsi="Arial TUR" w:cs="FrankRuehl" w:hint="cs"/>
          <w:spacing w:val="10"/>
          <w:sz w:val="22"/>
          <w:szCs w:val="28"/>
          <w:rtl/>
        </w:rPr>
        <w:t xml:space="preserve"> נדונה השאלה אם סעיף מסוים בחוק הבחירות לכנסת ולרשויות המקומית (מימון הגבלת הוצאות ובקורת), התשכ"ט-1969, פוגע בערך השוויון בבחירות הקבוע בסעיף 4 לחוק יסוד: הכנסת. סעיף זה קובע את ההוראה הכללית הבאה: "</w:t>
      </w:r>
      <w:r w:rsidRPr="00632224">
        <w:rPr>
          <w:rFonts w:ascii="Arial TUR" w:hAnsi="Arial TUR" w:cs="FrankRuehl"/>
          <w:spacing w:val="10"/>
          <w:sz w:val="22"/>
          <w:szCs w:val="28"/>
          <w:rtl/>
        </w:rPr>
        <w:t>ה</w:t>
      </w:r>
      <w:r w:rsidRPr="00632224">
        <w:rPr>
          <w:rFonts w:ascii="Arial TUR" w:hAnsi="Arial TUR" w:cs="FrankRuehl" w:hint="cs"/>
          <w:spacing w:val="10"/>
          <w:sz w:val="22"/>
          <w:szCs w:val="28"/>
          <w:rtl/>
        </w:rPr>
        <w:t xml:space="preserve">כנסת תיבחר בבחירות כלליות, ארציות, ישירות, </w:t>
      </w:r>
      <w:r w:rsidRPr="00632224">
        <w:rPr>
          <w:rFonts w:ascii="Century" w:hAnsi="Century" w:cs="Miriam" w:hint="cs"/>
          <w:b/>
          <w:sz w:val="22"/>
          <w:rtl/>
        </w:rPr>
        <w:t>שוות</w:t>
      </w:r>
      <w:r w:rsidRPr="00632224">
        <w:rPr>
          <w:rFonts w:ascii="Arial TUR" w:hAnsi="Arial TUR" w:cs="FrankRuehl" w:hint="cs"/>
          <w:spacing w:val="10"/>
          <w:sz w:val="22"/>
          <w:szCs w:val="28"/>
          <w:rtl/>
        </w:rPr>
        <w:t>, חשאיות, וי</w:t>
      </w:r>
      <w:r w:rsidRPr="00632224">
        <w:rPr>
          <w:rFonts w:ascii="Arial TUR" w:hAnsi="Arial TUR" w:cs="FrankRuehl"/>
          <w:spacing w:val="10"/>
          <w:sz w:val="22"/>
          <w:szCs w:val="28"/>
          <w:rtl/>
        </w:rPr>
        <w:t>ח</w:t>
      </w:r>
      <w:r w:rsidRPr="00632224">
        <w:rPr>
          <w:rFonts w:ascii="Arial TUR" w:hAnsi="Arial TUR" w:cs="FrankRuehl" w:hint="cs"/>
          <w:spacing w:val="10"/>
          <w:sz w:val="22"/>
          <w:szCs w:val="28"/>
          <w:rtl/>
        </w:rPr>
        <w:t xml:space="preserve">סיות, לפי חוק הבחירות לכנסת; אין לשנות סעיף זה, אלא ברוב של חברי הכנסת".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על פי הקשר הדברים והדבקם, השוויון בבחירות מתבטא בכך ש"</w:t>
      </w:r>
      <w:r w:rsidRPr="00632224">
        <w:rPr>
          <w:rFonts w:ascii="Century" w:hAnsi="Century" w:cs="FrankRuehl" w:hint="cs"/>
          <w:spacing w:val="10"/>
          <w:sz w:val="22"/>
          <w:szCs w:val="28"/>
          <w:rtl/>
        </w:rPr>
        <w:t xml:space="preserve">לכל קול יינתן קול" (בג"ץ 65/05 </w:t>
      </w:r>
      <w:r w:rsidRPr="00632224">
        <w:rPr>
          <w:rFonts w:ascii="Century" w:hAnsi="Century" w:cs="Miriam" w:hint="cs"/>
          <w:b/>
          <w:sz w:val="22"/>
          <w:rtl/>
        </w:rPr>
        <w:t>מוסלח נ' ראש ממשלת ישראל</w:t>
      </w:r>
      <w:r w:rsidRPr="00632224">
        <w:rPr>
          <w:rFonts w:ascii="Century" w:hAnsi="Century" w:cs="FrankRuehl" w:hint="cs"/>
          <w:spacing w:val="10"/>
          <w:sz w:val="22"/>
          <w:szCs w:val="28"/>
          <w:rtl/>
        </w:rPr>
        <w:t xml:space="preserve">, פ"ד נט(4) 553, 556 (2005)), וזו הפרשנות המילולית הסבירה של הסעיף. </w:t>
      </w:r>
      <w:r w:rsidRPr="00632224">
        <w:rPr>
          <w:rFonts w:ascii="Arial TUR" w:hAnsi="Arial TUR" w:cs="FrankRuehl" w:hint="cs"/>
          <w:spacing w:val="10"/>
          <w:sz w:val="22"/>
          <w:szCs w:val="28"/>
          <w:rtl/>
        </w:rPr>
        <w:t xml:space="preserve">הדבר היה כל כך מובן מאליו, שהיועץ המשפטי לממשלה דאז אפילו לא העלה על דעתו כי בית המשפט יראה את הוראת חוק המימון כפוגעת בגרעין הקשה של עקרון השוויון והודיע כי הוא </w:t>
      </w:r>
      <w:r w:rsidRPr="00632224">
        <w:rPr>
          <w:rFonts w:ascii="Century" w:hAnsi="Century" w:cs="FrankRuehl" w:hint="eastAsia"/>
          <w:spacing w:val="10"/>
          <w:sz w:val="22"/>
          <w:szCs w:val="28"/>
          <w:rtl/>
        </w:rPr>
        <w:t>סבור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לגופו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ענין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אין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לעתירה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שתסמוך</w:t>
      </w:r>
      <w:r w:rsidRPr="00632224">
        <w:rPr>
          <w:rFonts w:ascii="Century" w:hAnsi="Century" w:cs="FrankRuehl"/>
          <w:spacing w:val="10"/>
          <w:sz w:val="22"/>
          <w:szCs w:val="28"/>
          <w:rtl/>
        </w:rPr>
        <w:t>"</w:t>
      </w:r>
      <w:r w:rsidRPr="00632224">
        <w:rPr>
          <w:rFonts w:ascii="Century" w:hAnsi="Century" w:cs="Miriam" w:hint="cs"/>
          <w:b/>
          <w:sz w:val="22"/>
          <w:rtl/>
        </w:rPr>
        <w:t xml:space="preserve"> </w:t>
      </w:r>
      <w:r w:rsidRPr="00632224">
        <w:rPr>
          <w:rFonts w:ascii="Arial TUR" w:hAnsi="Arial TUR" w:cs="FrankRuehl" w:hint="cs"/>
          <w:spacing w:val="10"/>
          <w:sz w:val="22"/>
          <w:szCs w:val="28"/>
          <w:rtl/>
        </w:rPr>
        <w:t xml:space="preserve">(עניין </w:t>
      </w:r>
      <w:r w:rsidRPr="00632224">
        <w:rPr>
          <w:rFonts w:ascii="Century" w:hAnsi="Century" w:cs="Miriam" w:hint="cs"/>
          <w:b/>
          <w:sz w:val="22"/>
          <w:rtl/>
        </w:rPr>
        <w:t>ברגמן</w:t>
      </w:r>
      <w:r w:rsidRPr="00632224">
        <w:rPr>
          <w:rFonts w:ascii="Arial TUR" w:hAnsi="Arial TUR" w:cs="FrankRuehl" w:hint="cs"/>
          <w:spacing w:val="10"/>
          <w:sz w:val="22"/>
          <w:szCs w:val="28"/>
          <w:rtl/>
        </w:rPr>
        <w:t xml:space="preserve">, בעמ' 696).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lastRenderedPageBreak/>
        <w:tab/>
      </w:r>
      <w:r w:rsidRPr="00632224">
        <w:rPr>
          <w:rFonts w:ascii="Century" w:hAnsi="Century" w:cs="FrankRuehl" w:hint="cs"/>
          <w:spacing w:val="10"/>
          <w:sz w:val="22"/>
          <w:szCs w:val="28"/>
          <w:rtl/>
        </w:rPr>
        <w:t xml:space="preserve">אך בית המשפט סבר אחרת, וקבע כי הוראת חוק המימון פוגעת בערך השוויון המהותי </w:t>
      </w:r>
      <w:r w:rsidRPr="00632224">
        <w:rPr>
          <w:rFonts w:ascii="Arial TUR" w:hAnsi="Arial TUR" w:cs="FrankRuehl" w:hint="cs"/>
          <w:spacing w:val="10"/>
          <w:sz w:val="22"/>
          <w:szCs w:val="28"/>
          <w:rtl/>
        </w:rPr>
        <w:t xml:space="preserve">מבלי שהחוק התקבל בכנסת ברוב הנדרש. פסק הדין בעניין </w:t>
      </w:r>
      <w:r w:rsidRPr="00632224">
        <w:rPr>
          <w:rFonts w:ascii="Century" w:hAnsi="Century" w:cs="Miriam" w:hint="cs"/>
          <w:b/>
          <w:sz w:val="22"/>
          <w:rtl/>
        </w:rPr>
        <w:t>ברגמן</w:t>
      </w:r>
      <w:r w:rsidRPr="00632224">
        <w:rPr>
          <w:rFonts w:ascii="Arial TUR" w:hAnsi="Arial TUR" w:cs="FrankRuehl" w:hint="cs"/>
          <w:spacing w:val="10"/>
          <w:sz w:val="22"/>
          <w:szCs w:val="28"/>
          <w:rtl/>
        </w:rPr>
        <w:t xml:space="preserve"> "חולל מהפכה כיוון שנחת על הקהילה המשפטית בהפתעה מוחלטת ושינה סדרי בראשית" (השופט </w:t>
      </w:r>
      <w:r w:rsidRPr="00632224">
        <w:rPr>
          <w:rFonts w:ascii="Century" w:hAnsi="Century" w:cs="Miriam" w:hint="eastAsia"/>
          <w:b/>
          <w:sz w:val="22"/>
          <w:rtl/>
        </w:rPr>
        <w:t>זמיר</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בעניין </w:t>
      </w:r>
      <w:r w:rsidRPr="00632224">
        <w:rPr>
          <w:rFonts w:ascii="Century" w:hAnsi="Century" w:cs="Miriam" w:hint="cs"/>
          <w:b/>
          <w:sz w:val="22"/>
          <w:rtl/>
        </w:rPr>
        <w:t>בנק המזרחי</w:t>
      </w:r>
      <w:r w:rsidRPr="00632224">
        <w:rPr>
          <w:rFonts w:ascii="Arial TUR" w:hAnsi="Arial TUR" w:cs="FrankRuehl" w:hint="cs"/>
          <w:spacing w:val="10"/>
          <w:sz w:val="22"/>
          <w:szCs w:val="28"/>
          <w:rtl/>
        </w:rPr>
        <w:t xml:space="preserve">, בעמ' 468). וכפי שסיכם את הדברים השופט </w:t>
      </w:r>
      <w:r w:rsidRPr="00632224">
        <w:rPr>
          <w:rFonts w:ascii="Century" w:hAnsi="Century" w:cs="Miriam" w:hint="cs"/>
          <w:b/>
          <w:sz w:val="22"/>
          <w:rtl/>
        </w:rPr>
        <w:t>חשין</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 xml:space="preserve">בשכבר הימים סברו הסוברים כי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בחירות שוות</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משמיעות אותנו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קול אחד לכל אחד</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עד שבא בית המשפט העליון ולימדנו </w:t>
      </w:r>
      <w:r w:rsidRPr="00632224">
        <w:rPr>
          <w:rFonts w:ascii="Arial TUR" w:hAnsi="Arial TUR" w:cs="FrankRuehl"/>
          <w:spacing w:val="10"/>
          <w:sz w:val="22"/>
          <w:szCs w:val="28"/>
          <w:rtl/>
        </w:rPr>
        <w:softHyphen/>
        <w:t xml:space="preserve">מפי השופט </w:t>
      </w:r>
      <w:r w:rsidRPr="00632224">
        <w:rPr>
          <w:rFonts w:ascii="Century" w:hAnsi="Century" w:cs="Miriam"/>
          <w:b/>
          <w:sz w:val="22"/>
          <w:rtl/>
        </w:rPr>
        <w:t>לנדוי</w:t>
      </w:r>
      <w:r w:rsidRPr="00632224">
        <w:rPr>
          <w:rFonts w:ascii="Arial TUR" w:hAnsi="Arial TUR" w:cs="FrankRuehl"/>
          <w:spacing w:val="10"/>
          <w:sz w:val="22"/>
          <w:szCs w:val="28"/>
          <w:rtl/>
        </w:rPr>
        <w:t xml:space="preserve"> – כי עקרון השוויון תופס – ובחוזקה – בזכות להיבחר כשם שתופס הוא בזכות לבחור</w:t>
      </w:r>
      <w:r w:rsidRPr="00632224">
        <w:rPr>
          <w:rFonts w:ascii="Arial TUR" w:hAnsi="Arial TUR" w:cs="FrankRuehl" w:hint="cs"/>
          <w:spacing w:val="10"/>
          <w:sz w:val="22"/>
          <w:szCs w:val="28"/>
          <w:rtl/>
        </w:rPr>
        <w:t xml:space="preserve">" (בג"ץ 7111/95 </w:t>
      </w:r>
      <w:r w:rsidRPr="00632224">
        <w:rPr>
          <w:rFonts w:ascii="Century" w:hAnsi="Century" w:cs="Miriam" w:hint="cs"/>
          <w:b/>
          <w:sz w:val="22"/>
          <w:rtl/>
        </w:rPr>
        <w:t>מרכז השלטון המקומי נ' הכנסת</w:t>
      </w:r>
      <w:r w:rsidRPr="00632224">
        <w:rPr>
          <w:rFonts w:ascii="Arial TUR" w:hAnsi="Arial TUR" w:cs="FrankRuehl" w:hint="cs"/>
          <w:spacing w:val="10"/>
          <w:sz w:val="22"/>
          <w:szCs w:val="28"/>
          <w:rtl/>
        </w:rPr>
        <w:t xml:space="preserve">, פ"ד נ(3) 485, 500 (1996)). פרשנות נועזת זו למילה "שוויון" זכתה להמשך בבג"ץ 246/81 </w:t>
      </w:r>
      <w:r w:rsidRPr="00632224">
        <w:rPr>
          <w:rFonts w:ascii="Century" w:hAnsi="Century" w:cs="Miriam" w:hint="cs"/>
          <w:b/>
          <w:sz w:val="22"/>
          <w:rtl/>
        </w:rPr>
        <w:t>אגודת דרך ארץ נ' רשות השידור</w:t>
      </w:r>
      <w:r w:rsidRPr="00632224">
        <w:rPr>
          <w:rFonts w:ascii="Arial TUR" w:hAnsi="Arial TUR" w:cs="FrankRuehl" w:hint="cs"/>
          <w:spacing w:val="10"/>
          <w:sz w:val="22"/>
          <w:szCs w:val="28"/>
          <w:rtl/>
        </w:rPr>
        <w:t xml:space="preserve">, פ"ד לה(4) 1 (1984) בעניין הפחתת מכסות הזמן ברדיו ובטלוויזיה לרשימות חדשות; בבג"ץ 141/82 </w:t>
      </w:r>
      <w:r w:rsidRPr="00632224">
        <w:rPr>
          <w:rFonts w:ascii="Century" w:hAnsi="Century" w:cs="Miriam" w:hint="cs"/>
          <w:b/>
          <w:sz w:val="22"/>
          <w:rtl/>
        </w:rPr>
        <w:t>רובינשטיין נ' יו"ר הכנסת</w:t>
      </w:r>
      <w:r w:rsidRPr="00632224">
        <w:rPr>
          <w:rFonts w:ascii="Arial TUR" w:hAnsi="Arial TUR" w:cs="FrankRuehl" w:hint="cs"/>
          <w:spacing w:val="10"/>
          <w:sz w:val="22"/>
          <w:szCs w:val="28"/>
          <w:rtl/>
        </w:rPr>
        <w:t xml:space="preserve">, פ"ד לז(3) 141 (1983) </w:t>
      </w:r>
      <w:r w:rsidRPr="00632224">
        <w:rPr>
          <w:rFonts w:ascii="Century" w:hAnsi="Century" w:cs="FrankRuehl" w:hint="cs"/>
          <w:spacing w:val="10"/>
          <w:sz w:val="22"/>
          <w:szCs w:val="28"/>
          <w:rtl/>
        </w:rPr>
        <w:t xml:space="preserve">(להלן: </w:t>
      </w:r>
      <w:r w:rsidRPr="00632224">
        <w:rPr>
          <w:rFonts w:ascii="Century" w:hAnsi="Century" w:cs="FrankRuehl" w:hint="eastAsia"/>
          <w:spacing w:val="10"/>
          <w:sz w:val="22"/>
          <w:szCs w:val="28"/>
          <w:rtl/>
        </w:rPr>
        <w:t>עניין</w:t>
      </w:r>
      <w:r w:rsidRPr="00632224">
        <w:rPr>
          <w:rFonts w:ascii="Century" w:hAnsi="Century" w:cs="Miriam" w:hint="cs"/>
          <w:b/>
          <w:sz w:val="22"/>
          <w:rtl/>
        </w:rPr>
        <w:t xml:space="preserve"> רובינשטיין</w:t>
      </w:r>
      <w:r w:rsidRPr="00632224">
        <w:rPr>
          <w:rFonts w:ascii="Century" w:hAnsi="Century" w:cs="FrankRuehl" w:hint="cs"/>
          <w:spacing w:val="10"/>
          <w:sz w:val="22"/>
          <w:szCs w:val="28"/>
          <w:rtl/>
        </w:rPr>
        <w:t>)</w:t>
      </w:r>
      <w:r w:rsidRPr="00632224">
        <w:rPr>
          <w:rFonts w:ascii="Arial TUR" w:hAnsi="Arial TUR" w:cs="FrankRuehl" w:hint="cs"/>
          <w:b/>
          <w:bCs/>
          <w:spacing w:val="10"/>
          <w:sz w:val="22"/>
          <w:szCs w:val="28"/>
          <w:rtl/>
        </w:rPr>
        <w:t xml:space="preserve"> </w:t>
      </w:r>
      <w:r w:rsidRPr="00632224">
        <w:rPr>
          <w:rFonts w:ascii="Century" w:hAnsi="Century" w:cs="FrankRuehl" w:hint="cs"/>
          <w:spacing w:val="10"/>
          <w:sz w:val="22"/>
          <w:szCs w:val="28"/>
          <w:rtl/>
        </w:rPr>
        <w:t xml:space="preserve">בעניין </w:t>
      </w:r>
      <w:r w:rsidRPr="00632224">
        <w:rPr>
          <w:rFonts w:ascii="Arial TUR" w:hAnsi="Arial TUR" w:cs="FrankRuehl" w:hint="cs"/>
          <w:spacing w:val="10"/>
          <w:sz w:val="22"/>
          <w:szCs w:val="28"/>
          <w:rtl/>
        </w:rPr>
        <w:t xml:space="preserve">תחולה רטרואקטיבית של מימון למפלגות שחרגו בהוצאות המותרות שהוציאו המפלגות; בבג"ץ 142/89 </w:t>
      </w:r>
      <w:r w:rsidRPr="00632224">
        <w:rPr>
          <w:rFonts w:ascii="Century" w:hAnsi="Century" w:cs="Miriam" w:hint="cs"/>
          <w:b/>
          <w:sz w:val="22"/>
          <w:rtl/>
        </w:rPr>
        <w:t xml:space="preserve">תנועת לאו"ר </w:t>
      </w:r>
      <w:r w:rsidRPr="00632224">
        <w:rPr>
          <w:rFonts w:ascii="Century" w:hAnsi="Century" w:cs="Miriam"/>
          <w:b/>
          <w:sz w:val="22"/>
          <w:rtl/>
        </w:rPr>
        <w:t>–</w:t>
      </w:r>
      <w:r w:rsidRPr="00632224">
        <w:rPr>
          <w:rFonts w:ascii="Century" w:hAnsi="Century" w:cs="Miriam" w:hint="cs"/>
          <w:b/>
          <w:sz w:val="22"/>
          <w:rtl/>
        </w:rPr>
        <w:t xml:space="preserve"> לב אחד ורוח חדשה נ' יושב ראש הכנסת</w:t>
      </w:r>
      <w:r w:rsidRPr="00632224">
        <w:rPr>
          <w:rFonts w:ascii="Arial TUR" w:hAnsi="Arial TUR" w:cs="FrankRuehl" w:hint="cs"/>
          <w:spacing w:val="10"/>
          <w:sz w:val="22"/>
          <w:szCs w:val="28"/>
          <w:rtl/>
        </w:rPr>
        <w:t xml:space="preserve">, פ"ד מד(3) 529 (1990) (להלן: </w:t>
      </w:r>
      <w:r w:rsidRPr="00632224">
        <w:rPr>
          <w:rFonts w:ascii="Century" w:hAnsi="Century" w:cs="FrankRuehl" w:hint="eastAsia"/>
          <w:spacing w:val="10"/>
          <w:sz w:val="22"/>
          <w:szCs w:val="28"/>
          <w:rtl/>
        </w:rPr>
        <w:t>עניין</w:t>
      </w:r>
      <w:r w:rsidRPr="00632224">
        <w:rPr>
          <w:rFonts w:ascii="Century" w:hAnsi="Century" w:cs="Miriam" w:hint="cs"/>
          <w:b/>
          <w:sz w:val="22"/>
          <w:rtl/>
        </w:rPr>
        <w:t xml:space="preserve"> לאו"ר</w:t>
      </w:r>
      <w:r w:rsidRPr="00632224">
        <w:rPr>
          <w:rFonts w:ascii="Arial TUR" w:hAnsi="Arial TUR" w:cs="FrankRuehl" w:hint="cs"/>
          <w:spacing w:val="10"/>
          <w:sz w:val="22"/>
          <w:szCs w:val="28"/>
          <w:rtl/>
        </w:rPr>
        <w:t>) בעניין הגדלה למפרע של יחידת המימון. בכל פסקי הדין הנ"ל נפסק כי דברי החקיקה וההחלטות שנדונו בהם מביאים לפגיעה בשוויון המהותי לפי סעיף 4 לחוק יסוד: הכנסת, וכי "</w:t>
      </w:r>
      <w:r w:rsidRPr="00632224">
        <w:rPr>
          <w:rFonts w:ascii="Arial TUR" w:hAnsi="Arial TUR" w:cs="FrankRuehl"/>
          <w:spacing w:val="10"/>
          <w:sz w:val="22"/>
          <w:szCs w:val="28"/>
          <w:rtl/>
        </w:rPr>
        <w:t xml:space="preserve">אין אנו מדברים עוד על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קול אחד לכל אחד</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אלא על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שוויון הסיכויים</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של רשימות המועמדים</w:t>
      </w:r>
      <w:r w:rsidRPr="00632224">
        <w:rPr>
          <w:rFonts w:ascii="Arial TUR" w:hAnsi="Arial TUR" w:cs="FrankRuehl" w:hint="cs"/>
          <w:spacing w:val="10"/>
          <w:sz w:val="22"/>
          <w:szCs w:val="28"/>
          <w:rtl/>
        </w:rPr>
        <w:t xml:space="preserve">" (עניין </w:t>
      </w:r>
      <w:r w:rsidRPr="00632224">
        <w:rPr>
          <w:rFonts w:ascii="Century" w:hAnsi="Century" w:cs="Miriam" w:hint="cs"/>
          <w:b/>
          <w:sz w:val="22"/>
          <w:rtl/>
        </w:rPr>
        <w:t>רובינשטיין</w:t>
      </w:r>
      <w:r w:rsidRPr="00632224">
        <w:rPr>
          <w:rFonts w:ascii="Arial TUR" w:hAnsi="Arial TUR" w:cs="FrankRuehl" w:hint="cs"/>
          <w:spacing w:val="10"/>
          <w:sz w:val="22"/>
          <w:szCs w:val="28"/>
          <w:rtl/>
        </w:rPr>
        <w:t xml:space="preserve">, בעמ' 150).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לא בכדי הזכרתי את עניין </w:t>
      </w:r>
      <w:r w:rsidRPr="00632224">
        <w:rPr>
          <w:rFonts w:ascii="Century" w:hAnsi="Century" w:cs="Miriam" w:hint="cs"/>
          <w:b/>
          <w:sz w:val="22"/>
          <w:rtl/>
        </w:rPr>
        <w:t>ברגמן</w:t>
      </w:r>
      <w:r w:rsidRPr="00632224">
        <w:rPr>
          <w:rFonts w:ascii="Arial TUR" w:hAnsi="Arial TUR" w:cs="FrankRuehl" w:hint="cs"/>
          <w:spacing w:val="10"/>
          <w:sz w:val="22"/>
          <w:szCs w:val="28"/>
          <w:rtl/>
        </w:rPr>
        <w:t xml:space="preserve"> ופסקי הדין שבאו בעקבותיו. במבט ראשון ניתן היה לסבור כי באותם חוקים שנדונו בפסקי דין אלה, אין כדי לפגוע בגרעין של ערך השוויון שהוא "קול אחד לכל אחד". אך בית המשפט סבר כי בחוקים אלה יש פגיעה בליבו של ערך השוויון, קרי בליבה של הדמוקרטיה, כדי כך שהורה על בטלותם. כל זאת, עוד בימים שבהם טרם הוכרה סמכותו של בית המשפט לפסול חוקים. בדומה, במבט ראשון ניתן לסבור כי התיקון לחוק היסוד שעניינו "רק" בעילת הסבירות, אינו פוגע בגרעין ובליבה של עקרונות הדמוקרטיה, אך לא כך הדבר כפי שיפורט להלן.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 xml:space="preserve">התיקון לחוק היסוד </w:t>
      </w:r>
      <w:r w:rsidRPr="00632224">
        <w:rPr>
          <w:rFonts w:ascii="Cambria" w:hAnsi="Cambria" w:cs="Miriam"/>
          <w:sz w:val="32"/>
          <w:rtl/>
        </w:rPr>
        <w:t>–</w:t>
      </w:r>
      <w:r w:rsidRPr="00632224">
        <w:rPr>
          <w:rFonts w:ascii="Cambria" w:hAnsi="Cambria" w:cs="Miriam" w:hint="cs"/>
          <w:sz w:val="32"/>
          <w:rtl/>
        </w:rPr>
        <w:t xml:space="preserve"> פגיעה בגרעין הדמוקרטי </w:t>
      </w:r>
    </w:p>
    <w:p w:rsidR="00244560" w:rsidRPr="00632224"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76.</w:t>
      </w:r>
      <w:r w:rsidRPr="00632224">
        <w:rPr>
          <w:rFonts w:ascii="Arial TUR" w:hAnsi="Arial TUR" w:cs="FrankRuehl" w:hint="cs"/>
          <w:spacing w:val="10"/>
          <w:sz w:val="22"/>
          <w:szCs w:val="28"/>
          <w:rtl/>
        </w:rPr>
        <w:tab/>
        <w:t xml:space="preserve">שלילת הביקורת השיפוטית בעילת הסבירות באופן גורף על החלטות של הממשלה ושל שרי הממשלה, פוגעת בשורה של "ערכים שגם הרוב צריך להיות כפוף להם, </w:t>
      </w:r>
      <w:r w:rsidRPr="00632224">
        <w:rPr>
          <w:rFonts w:ascii="Century" w:hAnsi="Century" w:cs="FrankRuehl" w:hint="cs"/>
          <w:spacing w:val="10"/>
          <w:sz w:val="22"/>
          <w:szCs w:val="28"/>
          <w:rtl/>
        </w:rPr>
        <w:t>ובהם עצמאות הרשות השופטת, הפרדת רשויות, זכויות אדם ושלטון החוק המהותי</w:t>
      </w:r>
      <w:r w:rsidRPr="00632224">
        <w:rPr>
          <w:rFonts w:ascii="Arial TUR" w:hAnsi="Arial TUR" w:cs="FrankRuehl" w:hint="cs"/>
          <w:spacing w:val="10"/>
          <w:sz w:val="22"/>
          <w:szCs w:val="28"/>
          <w:rtl/>
        </w:rPr>
        <w:t>" (</w:t>
      </w:r>
      <w:r w:rsidRPr="00632224">
        <w:rPr>
          <w:rFonts w:ascii="Century" w:hAnsi="Century" w:cs="Miriam" w:hint="eastAsia"/>
          <w:b/>
          <w:sz w:val="22"/>
          <w:rtl/>
        </w:rPr>
        <w:t>ברק</w:t>
      </w:r>
      <w:r w:rsidRPr="00632224">
        <w:rPr>
          <w:rFonts w:ascii="Century" w:hAnsi="Century" w:cs="Miriam"/>
          <w:b/>
          <w:sz w:val="22"/>
          <w:rtl/>
        </w:rPr>
        <w:t xml:space="preserve"> </w:t>
      </w:r>
      <w:r w:rsidRPr="00632224">
        <w:rPr>
          <w:rFonts w:ascii="Century" w:hAnsi="Century" w:cs="Miriam" w:hint="eastAsia"/>
          <w:b/>
          <w:sz w:val="22"/>
          <w:rtl/>
        </w:rPr>
        <w:t>חוקי</w:t>
      </w:r>
      <w:r w:rsidRPr="00632224">
        <w:rPr>
          <w:rFonts w:ascii="Century" w:hAnsi="Century" w:cs="Miriam"/>
          <w:b/>
          <w:sz w:val="22"/>
          <w:rtl/>
        </w:rPr>
        <w:t xml:space="preserve"> </w:t>
      </w:r>
      <w:r w:rsidRPr="00632224">
        <w:rPr>
          <w:rFonts w:ascii="Century" w:hAnsi="Century" w:cs="Miriam" w:hint="eastAsia"/>
          <w:b/>
          <w:sz w:val="22"/>
          <w:rtl/>
        </w:rPr>
        <w:t>היסוד</w:t>
      </w:r>
      <w:r w:rsidRPr="00632224">
        <w:rPr>
          <w:rFonts w:ascii="Arial TUR" w:hAnsi="Arial TUR" w:cs="FrankRuehl" w:hint="cs"/>
          <w:spacing w:val="10"/>
          <w:sz w:val="22"/>
          <w:szCs w:val="28"/>
          <w:rtl/>
        </w:rPr>
        <w:t xml:space="preserve">, בעמ' 1747).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lastRenderedPageBreak/>
        <w:tab/>
      </w:r>
      <w:r w:rsidRPr="00632224">
        <w:rPr>
          <w:rFonts w:ascii="Arial TUR" w:hAnsi="Arial TUR" w:cs="FrankRuehl" w:hint="cs"/>
          <w:spacing w:val="10"/>
          <w:sz w:val="22"/>
          <w:szCs w:val="28"/>
          <w:rtl/>
        </w:rPr>
        <w:t>על כך שהביקורת השיפוטית על גורמי מינהל היא חלק בלתי נפרד מהדמוקרטיה כבר עמדו ראשונים:</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בית-משפט זה מופקד על שמירת חוקיות, תקינות וסבירות פעולתן של</w:t>
      </w:r>
      <w:r w:rsidRPr="00632224">
        <w:rPr>
          <w:rFonts w:cs="FrankRuehl"/>
          <w:spacing w:val="10"/>
          <w:sz w:val="24"/>
          <w:szCs w:val="28"/>
          <w:rtl/>
        </w:rPr>
        <w:t xml:space="preserve"> </w:t>
      </w:r>
      <w:r w:rsidRPr="00632224">
        <w:rPr>
          <w:rFonts w:ascii="Arial TUR" w:hAnsi="Arial TUR" w:cs="FrankRuehl"/>
          <w:spacing w:val="10"/>
          <w:sz w:val="22"/>
          <w:szCs w:val="28"/>
          <w:rtl/>
        </w:rPr>
        <w:t xml:space="preserve">הרשויות הציבוריות במדינה, ולתפקיד זה חשיבות חוקתית וציבורית ממדרגה ראשונה. </w:t>
      </w:r>
      <w:r w:rsidRPr="00632224">
        <w:rPr>
          <w:rFonts w:ascii="Century" w:hAnsi="Century" w:cs="Miriam"/>
          <w:b/>
          <w:sz w:val="22"/>
          <w:rtl/>
        </w:rPr>
        <w:t>פגיעה כל שהיא בו עשויה לערער את אחד היסודות של שלטון החוק בחיים הציבוריים של המדינה ולפגוע בציפור נפשה של הזרוע השיפוטית במדינה</w:t>
      </w:r>
      <w:r w:rsidRPr="00632224">
        <w:rPr>
          <w:rFonts w:ascii="Arial TUR" w:hAnsi="Arial TUR" w:cs="FrankRuehl"/>
          <w:spacing w:val="10"/>
          <w:sz w:val="22"/>
          <w:szCs w:val="28"/>
          <w:rtl/>
        </w:rPr>
        <w:t xml:space="preserve">" </w:t>
      </w:r>
      <w:r w:rsidRPr="00632224">
        <w:rPr>
          <w:rFonts w:ascii="Century" w:hAnsi="Century" w:cs="FrankRuehl" w:hint="cs"/>
          <w:spacing w:val="10"/>
          <w:sz w:val="22"/>
          <w:szCs w:val="28"/>
          <w:rtl/>
        </w:rPr>
        <w:t>(</w:t>
      </w:r>
      <w:r w:rsidRPr="00632224">
        <w:rPr>
          <w:rFonts w:ascii="Century" w:hAnsi="Century" w:cs="FrankRuehl"/>
          <w:spacing w:val="10"/>
          <w:sz w:val="22"/>
          <w:szCs w:val="28"/>
          <w:rtl/>
        </w:rPr>
        <w:t>בג"ץ 403/71</w:t>
      </w:r>
      <w:r w:rsidRPr="00632224">
        <w:rPr>
          <w:rFonts w:ascii="Century" w:hAnsi="Century" w:cs="FrankRuehl" w:hint="cs"/>
          <w:spacing w:val="10"/>
          <w:sz w:val="22"/>
          <w:szCs w:val="28"/>
          <w:rtl/>
        </w:rPr>
        <w:t xml:space="preserve"> </w:t>
      </w:r>
      <w:r w:rsidRPr="00632224">
        <w:rPr>
          <w:rFonts w:ascii="Century" w:hAnsi="Century" w:cs="Miriam" w:hint="cs"/>
          <w:b/>
          <w:sz w:val="22"/>
          <w:rtl/>
        </w:rPr>
        <w:t>אלכורדי נ' בית-הדין הארצי לעבודה</w:t>
      </w:r>
      <w:r w:rsidRPr="00632224">
        <w:rPr>
          <w:rFonts w:ascii="Century" w:hAnsi="Century" w:cs="FrankRuehl" w:hint="cs"/>
          <w:spacing w:val="10"/>
          <w:sz w:val="22"/>
          <w:szCs w:val="28"/>
          <w:rtl/>
        </w:rPr>
        <w:t xml:space="preserve">, פ"ד כו(2) 66, </w:t>
      </w:r>
      <w:r w:rsidRPr="00632224">
        <w:rPr>
          <w:rFonts w:ascii="Arial TUR" w:hAnsi="Arial TUR" w:cs="FrankRuehl" w:hint="cs"/>
          <w:spacing w:val="10"/>
          <w:sz w:val="22"/>
          <w:szCs w:val="28"/>
          <w:rtl/>
        </w:rPr>
        <w:t xml:space="preserve">73-72 (1972)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Century" w:hAnsi="Century" w:cs="Miriam"/>
          <w:b/>
          <w:sz w:val="22"/>
          <w:rtl/>
        </w:rPr>
      </w:pP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 xml:space="preserve">סמכויות אלו, לדון ולהכריע בסכסוכים המתעוררים בין פרטים או בין פרטים לרשויות השלטון </w:t>
      </w:r>
      <w:r w:rsidRPr="00632224">
        <w:rPr>
          <w:rFonts w:ascii="Century" w:hAnsi="Century" w:cs="Miriam"/>
          <w:b/>
          <w:sz w:val="22"/>
          <w:rtl/>
        </w:rPr>
        <w:t>וכן להפעיל ביקורת שיפוטית על תקינות פעולות המינהל ועל</w:t>
      </w:r>
      <w:r w:rsidRPr="00632224">
        <w:rPr>
          <w:rFonts w:cs="Miriam"/>
          <w:b/>
          <w:sz w:val="24"/>
          <w:rtl/>
        </w:rPr>
        <w:t xml:space="preserve"> </w:t>
      </w:r>
      <w:r w:rsidRPr="00632224">
        <w:rPr>
          <w:rFonts w:ascii="Century" w:hAnsi="Century" w:cs="Miriam"/>
          <w:b/>
          <w:sz w:val="22"/>
          <w:rtl/>
        </w:rPr>
        <w:t>חוקיותן, הן מאבני היסוד של משטר דמוקרטי תקין</w:t>
      </w:r>
      <w:r w:rsidRPr="00632224">
        <w:rPr>
          <w:rFonts w:ascii="Arial TUR" w:hAnsi="Arial TUR" w:cs="FrankRuehl" w:hint="cs"/>
          <w:spacing w:val="10"/>
          <w:sz w:val="22"/>
          <w:szCs w:val="28"/>
          <w:rtl/>
        </w:rPr>
        <w:t xml:space="preserve"> [...]. </w:t>
      </w:r>
      <w:r w:rsidRPr="00632224">
        <w:rPr>
          <w:rFonts w:ascii="Arial TUR" w:hAnsi="Arial TUR" w:cs="FrankRuehl"/>
          <w:spacing w:val="10"/>
          <w:sz w:val="22"/>
          <w:szCs w:val="28"/>
          <w:rtl/>
        </w:rPr>
        <w:t xml:space="preserve">אכן, קיום אפקטיבי של משפט מחייב קיומה של ביקורת שיפוטית אפקטיבית; </w:t>
      </w:r>
      <w:r w:rsidRPr="00632224">
        <w:rPr>
          <w:rFonts w:ascii="Century" w:hAnsi="Century" w:cs="Miriam"/>
          <w:b/>
          <w:sz w:val="22"/>
          <w:rtl/>
        </w:rPr>
        <w:t>ללא ביקורת שיפוטית על הרשות המבצעת מתערערת הפרדת הרשויות. עמה נפגמת חירות האדם, ונפגמים היסודות של משטר חופשי</w:t>
      </w:r>
      <w:r w:rsidRPr="00632224">
        <w:rPr>
          <w:rFonts w:ascii="Century" w:hAnsi="Century" w:cs="FrankRuehl"/>
          <w:spacing w:val="10"/>
          <w:sz w:val="22"/>
          <w:szCs w:val="28"/>
          <w:rtl/>
        </w:rPr>
        <w:t>"</w:t>
      </w:r>
      <w:r w:rsidRPr="00632224">
        <w:rPr>
          <w:rFonts w:ascii="Century" w:hAnsi="Century" w:cs="Miriam" w:hint="cs"/>
          <w:b/>
          <w:sz w:val="22"/>
          <w:rtl/>
        </w:rPr>
        <w:t xml:space="preserve"> </w:t>
      </w:r>
      <w:r w:rsidRPr="00632224">
        <w:rPr>
          <w:rFonts w:ascii="Century" w:hAnsi="Century" w:cs="FrankRuehl" w:hint="cs"/>
          <w:spacing w:val="10"/>
          <w:sz w:val="22"/>
          <w:szCs w:val="28"/>
          <w:rtl/>
        </w:rPr>
        <w:t xml:space="preserve">(בג"ץ 294/89 </w:t>
      </w:r>
      <w:r w:rsidRPr="00632224">
        <w:rPr>
          <w:rFonts w:ascii="Century" w:hAnsi="Century" w:cs="Miriam" w:hint="cs"/>
          <w:b/>
          <w:sz w:val="22"/>
          <w:rtl/>
        </w:rPr>
        <w:t>המוסד לביטוח לאומי נ' ועדת העררים על פי סעיף 11 לחוק התגמולים</w:t>
      </w:r>
      <w:r w:rsidRPr="00632224">
        <w:rPr>
          <w:rFonts w:ascii="Century" w:hAnsi="Century" w:cs="FrankRuehl" w:hint="cs"/>
          <w:spacing w:val="10"/>
          <w:sz w:val="22"/>
          <w:szCs w:val="28"/>
          <w:rtl/>
        </w:rPr>
        <w:t xml:space="preserve">, פ"ד מה(5) 445, 449 (1991) (הדגשות הוספו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י"ע))</w:t>
      </w:r>
      <w:r w:rsidRPr="00632224">
        <w:rPr>
          <w:rFonts w:ascii="Century" w:hAnsi="Century" w:cs="FrankRuehl"/>
          <w:spacing w:val="10"/>
          <w:sz w:val="22"/>
          <w:szCs w:val="28"/>
          <w:rtl/>
        </w:rPr>
        <w:t>.</w:t>
      </w:r>
    </w:p>
    <w:p w:rsidR="00244560" w:rsidRPr="00632224" w:rsidRDefault="00244560" w:rsidP="00244560">
      <w:pPr>
        <w:ind w:left="1644" w:right="1276"/>
        <w:jc w:val="both"/>
        <w:rPr>
          <w:rFonts w:ascii="Century" w:hAnsi="Century" w:cs="Miriam"/>
          <w:b/>
          <w:sz w:val="22"/>
          <w:rtl/>
        </w:rPr>
      </w:pPr>
    </w:p>
    <w:p w:rsidR="00244560" w:rsidRPr="00632224" w:rsidRDefault="00244560" w:rsidP="00244560">
      <w:pPr>
        <w:ind w:left="1644" w:right="1276"/>
        <w:jc w:val="both"/>
        <w:rPr>
          <w:rFonts w:ascii="Century" w:hAnsi="Century" w:cs="Miriam"/>
          <w:b/>
          <w:sz w:val="22"/>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גם כאשר נקבע בחקיקה ראשית כי החלטה מסוימת היא "סופית ואין אחריה ולא כלום" ונוסחים כיוצא בזה, נקבע בפסיקה כי אין בכוחה של חקיקה כזו לגבור על הוראת סעיף 15 לחוק יסוד: השפיטה. לדוגמה, נטען כי סעיף 137 לחוק הבחירות לכנסת [נוסח משולב], התשכ"ט-1969 (להלן: </w:t>
      </w:r>
      <w:r w:rsidRPr="00632224">
        <w:rPr>
          <w:rFonts w:ascii="Century" w:hAnsi="Century" w:cs="Miriam" w:hint="eastAsia"/>
          <w:b/>
          <w:sz w:val="22"/>
          <w:rtl/>
        </w:rPr>
        <w:t>חוק</w:t>
      </w:r>
      <w:r w:rsidRPr="00632224">
        <w:rPr>
          <w:rFonts w:ascii="Century" w:hAnsi="Century" w:cs="Miriam"/>
          <w:b/>
          <w:sz w:val="22"/>
          <w:rtl/>
        </w:rPr>
        <w:t xml:space="preserve"> </w:t>
      </w:r>
      <w:r w:rsidRPr="00632224">
        <w:rPr>
          <w:rFonts w:ascii="Century" w:hAnsi="Century" w:cs="Miriam" w:hint="eastAsia"/>
          <w:b/>
          <w:sz w:val="22"/>
          <w:rtl/>
        </w:rPr>
        <w:t>הבחירות</w:t>
      </w:r>
      <w:r w:rsidRPr="00632224">
        <w:rPr>
          <w:rFonts w:ascii="Century" w:hAnsi="Century" w:cs="Miriam"/>
          <w:b/>
          <w:sz w:val="22"/>
          <w:rtl/>
        </w:rPr>
        <w:t xml:space="preserve"> </w:t>
      </w:r>
      <w:r w:rsidRPr="00632224">
        <w:rPr>
          <w:rFonts w:ascii="Century" w:hAnsi="Century" w:cs="Miriam" w:hint="eastAsia"/>
          <w:b/>
          <w:sz w:val="22"/>
          <w:rtl/>
        </w:rPr>
        <w:t>לכנסת</w:t>
      </w:r>
      <w:r w:rsidRPr="00632224">
        <w:rPr>
          <w:rFonts w:ascii="Arial TUR" w:hAnsi="Arial TUR" w:cs="FrankRuehl" w:hint="cs"/>
          <w:spacing w:val="10"/>
          <w:sz w:val="22"/>
          <w:szCs w:val="28"/>
          <w:rtl/>
        </w:rPr>
        <w:t>) אינו מאפשר ביקורת שיפוטית לאור נוסח הסעיף: "[...] שום בית משפט לא ייזקק לבקשת סעד בקשר למעשה או למחדל כזה או בקשר להחלטה או להוראה של הועדה המרכזית [...]". טענה זו נדחתה על ידי בית משפט זה:</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"אין בידינו לקבל טיעון זה. סמכותו של בית</w:t>
      </w:r>
      <w:r w:rsidRPr="00632224">
        <w:rPr>
          <w:rFonts w:ascii="Arial TUR" w:hAnsi="Arial TUR" w:cs="FrankRuehl" w:hint="cs"/>
          <w:spacing w:val="10"/>
          <w:position w:val="4"/>
          <w:sz w:val="22"/>
          <w:szCs w:val="28"/>
          <w:rtl/>
        </w:rPr>
        <w:t>-</w:t>
      </w:r>
      <w:r w:rsidRPr="00632224">
        <w:rPr>
          <w:rFonts w:ascii="Arial TUR" w:hAnsi="Arial TUR" w:cs="FrankRuehl" w:hint="cs"/>
          <w:spacing w:val="10"/>
          <w:sz w:val="22"/>
          <w:szCs w:val="28"/>
          <w:rtl/>
        </w:rPr>
        <w:t xml:space="preserve">המשפט הגבוה לצדק יונקת חיותה מהוראות </w:t>
      </w:r>
      <w:r w:rsidRPr="00632224">
        <w:rPr>
          <w:rFonts w:ascii="Century" w:hAnsi="Century" w:cs="FrankRuehl"/>
          <w:spacing w:val="10"/>
          <w:sz w:val="22"/>
          <w:szCs w:val="28"/>
          <w:rtl/>
        </w:rPr>
        <w:t>חוק-יסוד: השפיטה</w:t>
      </w:r>
      <w:r w:rsidRPr="00632224">
        <w:rPr>
          <w:rFonts w:ascii="Century" w:hAnsi="Century" w:cs="FrankRuehl" w:hint="cs"/>
          <w:spacing w:val="10"/>
          <w:sz w:val="22"/>
          <w:szCs w:val="28"/>
          <w:rtl/>
        </w:rPr>
        <w:t xml:space="preserve"> (</w:t>
      </w:r>
      <w:hyperlink r:id="rId19" w:history="1">
        <w:r w:rsidRPr="00632224">
          <w:rPr>
            <w:rFonts w:ascii="Century" w:hAnsi="Century" w:cs="FrankRuehl" w:hint="eastAsia"/>
            <w:spacing w:val="10"/>
            <w:sz w:val="22"/>
            <w:szCs w:val="28"/>
            <w:rtl/>
          </w:rPr>
          <w:t>סעיף</w:t>
        </w:r>
        <w:r w:rsidRPr="00632224">
          <w:rPr>
            <w:rFonts w:ascii="Century" w:hAnsi="Century" w:cs="FrankRuehl"/>
            <w:spacing w:val="10"/>
            <w:sz w:val="22"/>
            <w:szCs w:val="28"/>
            <w:rtl/>
          </w:rPr>
          <w:t xml:space="preserve"> 15</w:t>
        </w:r>
      </w:hyperlink>
      <w:r w:rsidRPr="00632224">
        <w:rPr>
          <w:rFonts w:ascii="Century" w:hAnsi="Century" w:cs="FrankRuehl" w:hint="cs"/>
          <w:spacing w:val="10"/>
          <w:sz w:val="22"/>
          <w:szCs w:val="28"/>
          <w:rtl/>
        </w:rPr>
        <w:t>).</w:t>
      </w:r>
      <w:r w:rsidRPr="00632224">
        <w:rPr>
          <w:rFonts w:ascii="Arial TUR" w:hAnsi="Arial TUR" w:cs="FrankRuehl" w:hint="cs"/>
          <w:spacing w:val="10"/>
          <w:sz w:val="22"/>
          <w:szCs w:val="28"/>
          <w:rtl/>
        </w:rPr>
        <w:t xml:space="preserve"> היא מעוגנת אפוא בהוראה חוקתית</w:t>
      </w:r>
      <w:r w:rsidRPr="00632224">
        <w:rPr>
          <w:rFonts w:ascii="Arial TUR" w:hAnsi="Arial TUR" w:cs="FrankRuehl" w:hint="cs"/>
          <w:spacing w:val="10"/>
          <w:position w:val="4"/>
          <w:sz w:val="22"/>
          <w:szCs w:val="28"/>
          <w:rtl/>
        </w:rPr>
        <w:t>-</w:t>
      </w:r>
      <w:r w:rsidRPr="00632224">
        <w:rPr>
          <w:rFonts w:ascii="Arial TUR" w:hAnsi="Arial TUR" w:cs="FrankRuehl" w:hint="cs"/>
          <w:spacing w:val="10"/>
          <w:sz w:val="22"/>
          <w:szCs w:val="28"/>
          <w:rtl/>
        </w:rPr>
        <w:t>על</w:t>
      </w:r>
      <w:r w:rsidRPr="00632224">
        <w:rPr>
          <w:rFonts w:ascii="Arial TUR" w:hAnsi="Arial TUR" w:cs="FrankRuehl" w:hint="cs"/>
          <w:spacing w:val="10"/>
          <w:position w:val="4"/>
          <w:sz w:val="22"/>
          <w:szCs w:val="28"/>
          <w:rtl/>
        </w:rPr>
        <w:t>-</w:t>
      </w:r>
      <w:r w:rsidRPr="00632224">
        <w:rPr>
          <w:rFonts w:ascii="Arial TUR" w:hAnsi="Arial TUR" w:cs="FrankRuehl" w:hint="cs"/>
          <w:spacing w:val="10"/>
          <w:sz w:val="22"/>
          <w:szCs w:val="28"/>
          <w:rtl/>
        </w:rPr>
        <w:t xml:space="preserve">חוקית. אין בכוחה של הוראת חוק לשנות מהוראותיו של חוק יסוד" (בג"ץ 212/03 </w:t>
      </w:r>
      <w:r w:rsidRPr="00632224">
        <w:rPr>
          <w:rFonts w:ascii="Century" w:hAnsi="Century" w:cs="Miriam" w:hint="cs"/>
          <w:b/>
          <w:sz w:val="22"/>
          <w:rtl/>
        </w:rPr>
        <w:t>חרות התנועה הלאומית נ' יו"ר ועדת הבחירות המרכזית</w:t>
      </w:r>
      <w:r w:rsidRPr="00632224">
        <w:rPr>
          <w:rFonts w:ascii="Arial TUR" w:hAnsi="Arial TUR" w:cs="FrankRuehl" w:hint="cs"/>
          <w:spacing w:val="10"/>
          <w:sz w:val="22"/>
          <w:szCs w:val="28"/>
          <w:rtl/>
        </w:rPr>
        <w:t>, פ"ד נז(1) 750, 755 (2003)).</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(לדוגמאות נוספות למחסום סטטוטורי בדמות הוראת סופיות ראו </w:t>
      </w:r>
      <w:r w:rsidRPr="00632224">
        <w:rPr>
          <w:rFonts w:ascii="Arial TUR" w:hAnsi="Arial TUR" w:cs="FrankRuehl" w:hint="eastAsia"/>
          <w:spacing w:val="10"/>
          <w:sz w:val="22"/>
          <w:szCs w:val="28"/>
          <w:rtl/>
        </w:rPr>
        <w:t>יואב</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דותן</w:t>
      </w:r>
      <w:r w:rsidRPr="00632224">
        <w:rPr>
          <w:rFonts w:ascii="Arial TUR" w:hAnsi="Arial TUR" w:cs="FrankRuehl"/>
          <w:spacing w:val="10"/>
          <w:sz w:val="22"/>
          <w:szCs w:val="28"/>
          <w:rtl/>
        </w:rPr>
        <w:t xml:space="preserve"> </w:t>
      </w:r>
      <w:r w:rsidRPr="00632224">
        <w:rPr>
          <w:rFonts w:ascii="Century" w:hAnsi="Century" w:cs="Miriam" w:hint="eastAsia"/>
          <w:b/>
          <w:sz w:val="22"/>
          <w:rtl/>
        </w:rPr>
        <w:t>ביקורת</w:t>
      </w:r>
      <w:r w:rsidRPr="00632224">
        <w:rPr>
          <w:rFonts w:ascii="Century" w:hAnsi="Century" w:cs="Miriam"/>
          <w:b/>
          <w:sz w:val="22"/>
          <w:rtl/>
        </w:rPr>
        <w:t xml:space="preserve"> </w:t>
      </w:r>
      <w:r w:rsidRPr="00632224">
        <w:rPr>
          <w:rFonts w:ascii="Century" w:hAnsi="Century" w:cs="Miriam" w:hint="eastAsia"/>
          <w:b/>
          <w:sz w:val="22"/>
          <w:rtl/>
        </w:rPr>
        <w:t>שיפוטית</w:t>
      </w:r>
      <w:r w:rsidRPr="00632224">
        <w:rPr>
          <w:rFonts w:ascii="Century" w:hAnsi="Century" w:cs="Miriam"/>
          <w:b/>
          <w:sz w:val="22"/>
          <w:rtl/>
        </w:rPr>
        <w:t xml:space="preserve"> </w:t>
      </w:r>
      <w:r w:rsidRPr="00632224">
        <w:rPr>
          <w:rFonts w:ascii="Century" w:hAnsi="Century" w:cs="Miriam" w:hint="eastAsia"/>
          <w:b/>
          <w:sz w:val="22"/>
          <w:rtl/>
        </w:rPr>
        <w:t>על</w:t>
      </w:r>
      <w:r w:rsidRPr="00632224">
        <w:rPr>
          <w:rFonts w:ascii="Century" w:hAnsi="Century" w:cs="Miriam"/>
          <w:b/>
          <w:sz w:val="22"/>
          <w:rtl/>
        </w:rPr>
        <w:t xml:space="preserve"> </w:t>
      </w:r>
      <w:r w:rsidRPr="00632224">
        <w:rPr>
          <w:rFonts w:ascii="Century" w:hAnsi="Century" w:cs="Miriam" w:hint="eastAsia"/>
          <w:b/>
          <w:sz w:val="22"/>
          <w:rtl/>
        </w:rPr>
        <w:t>שיקול</w:t>
      </w:r>
      <w:r w:rsidRPr="00632224">
        <w:rPr>
          <w:rFonts w:ascii="Century" w:hAnsi="Century" w:cs="Miriam"/>
          <w:b/>
          <w:sz w:val="22"/>
          <w:rtl/>
        </w:rPr>
        <w:t xml:space="preserve"> </w:t>
      </w:r>
      <w:r w:rsidRPr="00632224">
        <w:rPr>
          <w:rFonts w:ascii="Century" w:hAnsi="Century" w:cs="Miriam" w:hint="eastAsia"/>
          <w:b/>
          <w:sz w:val="22"/>
          <w:rtl/>
        </w:rPr>
        <w:t>דעת</w:t>
      </w:r>
      <w:r w:rsidRPr="00632224">
        <w:rPr>
          <w:rFonts w:ascii="Century" w:hAnsi="Century" w:cs="Miriam"/>
          <w:b/>
          <w:sz w:val="22"/>
          <w:rtl/>
        </w:rPr>
        <w:t xml:space="preserve"> </w:t>
      </w:r>
      <w:r w:rsidRPr="00632224">
        <w:rPr>
          <w:rFonts w:ascii="Century" w:hAnsi="Century" w:cs="Miriam" w:hint="eastAsia"/>
          <w:b/>
          <w:sz w:val="22"/>
          <w:rtl/>
        </w:rPr>
        <w:t>מינהלי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כרך</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222 ואילך</w:t>
      </w:r>
      <w:r w:rsidRPr="00632224">
        <w:rPr>
          <w:rFonts w:ascii="Arial TUR" w:hAnsi="Arial TUR" w:cs="FrankRuehl"/>
          <w:spacing w:val="10"/>
          <w:sz w:val="22"/>
          <w:szCs w:val="28"/>
          <w:rtl/>
        </w:rPr>
        <w:t xml:space="preserve"> (2022) (</w:t>
      </w:r>
      <w:r w:rsidRPr="00632224">
        <w:rPr>
          <w:rFonts w:ascii="Arial TUR" w:hAnsi="Arial TUR" w:cs="FrankRuehl" w:hint="cs"/>
          <w:spacing w:val="10"/>
          <w:sz w:val="22"/>
          <w:szCs w:val="28"/>
          <w:rtl/>
        </w:rPr>
        <w:t xml:space="preserve">להלן: </w:t>
      </w:r>
      <w:r w:rsidRPr="00632224">
        <w:rPr>
          <w:rFonts w:ascii="Century" w:hAnsi="Century" w:cs="Miriam" w:hint="cs"/>
          <w:b/>
          <w:sz w:val="22"/>
          <w:rtl/>
        </w:rPr>
        <w:t>דותן ביקורת שיפוטית</w:t>
      </w:r>
      <w:r w:rsidRPr="00632224">
        <w:rPr>
          <w:rFonts w:ascii="Arial TUR" w:hAnsi="Arial TUR" w:cs="FrankRuehl" w:hint="cs"/>
          <w:spacing w:val="10"/>
          <w:sz w:val="22"/>
          <w:szCs w:val="28"/>
          <w:rtl/>
        </w:rPr>
        <w:t>)).</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lastRenderedPageBreak/>
        <w:tab/>
      </w:r>
      <w:r w:rsidRPr="00632224">
        <w:rPr>
          <w:rFonts w:ascii="Arial TUR" w:hAnsi="Arial TUR" w:cs="FrankRuehl" w:hint="cs"/>
          <w:spacing w:val="10"/>
          <w:sz w:val="22"/>
          <w:szCs w:val="28"/>
          <w:rtl/>
        </w:rPr>
        <w:t>ודוק: הדברים שם נאמרו לגבי חקיקה ראשית, בעוד ענייננו בתיקון לחוק יסוד. ברם, יש באמור לעיל כדי להדגיש את חשיבותה של הביקורת השיפוטית, כדי כך שהיא גוברת על הוראה מפורשת בחוק. ובכלל, ביטול של ביקורת שיפוטית על רשויות מינהליות, "גדיעת סמכות שיפוט" (</w:t>
      </w:r>
      <w:r w:rsidRPr="00632224">
        <w:rPr>
          <w:rFonts w:cs="Times New Roman"/>
          <w:color w:val="202122"/>
          <w:spacing w:val="10"/>
          <w:sz w:val="22"/>
          <w:szCs w:val="19"/>
          <w:shd w:val="clear" w:color="auto" w:fill="FFFFFF"/>
        </w:rPr>
        <w:t>ouster clause</w:t>
      </w:r>
      <w:r w:rsidRPr="00632224">
        <w:rPr>
          <w:rFonts w:ascii="Arial TUR" w:hAnsi="Arial TUR" w:cs="FrankRuehl" w:hint="cs"/>
          <w:spacing w:val="10"/>
          <w:sz w:val="22"/>
          <w:szCs w:val="28"/>
          <w:rtl/>
        </w:rPr>
        <w:t>) בישראל ובמשפט המקובל בכלל, נתפס כהוראה שיש להתייחס אליה בחשדנות ואף כהוראה הנוגדת את תקנת הציבור: "אילו כך היה עלינו לראות את המצב, היתה לנו כאן הפקעת סמכות בית המשפט (</w:t>
      </w:r>
      <w:r w:rsidRPr="00632224">
        <w:rPr>
          <w:rFonts w:cs="FrankRuehl"/>
          <w:spacing w:val="10"/>
          <w:sz w:val="22"/>
          <w:szCs w:val="22"/>
        </w:rPr>
        <w:t>ouster of jurisdiction</w:t>
      </w:r>
      <w:r w:rsidRPr="00632224">
        <w:rPr>
          <w:rFonts w:ascii="Arial TUR" w:hAnsi="Arial TUR" w:cs="FrankRuehl" w:hint="cs"/>
          <w:spacing w:val="10"/>
          <w:sz w:val="22"/>
          <w:szCs w:val="28"/>
          <w:rtl/>
        </w:rPr>
        <w:t xml:space="preserve">), דבר הנוגד את תקנת הציבור [...]" (בג"ץ 188/77 </w:t>
      </w:r>
      <w:r w:rsidRPr="00632224">
        <w:rPr>
          <w:rFonts w:ascii="Century" w:hAnsi="Century" w:cs="Miriam" w:hint="eastAsia"/>
          <w:b/>
          <w:sz w:val="22"/>
          <w:rtl/>
        </w:rPr>
        <w:t>המוטראן</w:t>
      </w:r>
      <w:r w:rsidRPr="00632224">
        <w:rPr>
          <w:rFonts w:ascii="Century" w:hAnsi="Century" w:cs="Miriam"/>
          <w:b/>
          <w:sz w:val="22"/>
          <w:rtl/>
        </w:rPr>
        <w:t xml:space="preserve"> </w:t>
      </w:r>
      <w:r w:rsidRPr="00632224">
        <w:rPr>
          <w:rFonts w:ascii="Century" w:hAnsi="Century" w:cs="Miriam" w:hint="eastAsia"/>
          <w:b/>
          <w:sz w:val="22"/>
          <w:rtl/>
        </w:rPr>
        <w:t>הקופטי</w:t>
      </w:r>
      <w:r w:rsidRPr="00632224">
        <w:rPr>
          <w:rFonts w:ascii="Century" w:hAnsi="Century" w:cs="Miriam"/>
          <w:b/>
          <w:sz w:val="22"/>
          <w:rtl/>
        </w:rPr>
        <w:t xml:space="preserve"> </w:t>
      </w:r>
      <w:r w:rsidRPr="00632224">
        <w:rPr>
          <w:rFonts w:ascii="Century" w:hAnsi="Century" w:cs="Miriam" w:hint="eastAsia"/>
          <w:b/>
          <w:sz w:val="22"/>
          <w:rtl/>
        </w:rPr>
        <w:t>האורתודוכסי</w:t>
      </w:r>
      <w:r w:rsidRPr="00632224">
        <w:rPr>
          <w:rFonts w:ascii="Century" w:hAnsi="Century" w:cs="Miriam"/>
          <w:b/>
          <w:sz w:val="22"/>
          <w:rtl/>
        </w:rPr>
        <w:t xml:space="preserve"> </w:t>
      </w:r>
      <w:r w:rsidRPr="00632224">
        <w:rPr>
          <w:rFonts w:ascii="Century" w:hAnsi="Century" w:cs="Miriam" w:hint="eastAsia"/>
          <w:b/>
          <w:sz w:val="22"/>
          <w:rtl/>
        </w:rPr>
        <w:t>של</w:t>
      </w:r>
      <w:r w:rsidRPr="00632224">
        <w:rPr>
          <w:rFonts w:ascii="Century" w:hAnsi="Century" w:cs="Miriam"/>
          <w:b/>
          <w:sz w:val="22"/>
          <w:rtl/>
        </w:rPr>
        <w:t xml:space="preserve"> </w:t>
      </w:r>
      <w:r w:rsidRPr="00632224">
        <w:rPr>
          <w:rFonts w:ascii="Century" w:hAnsi="Century" w:cs="Miriam" w:hint="eastAsia"/>
          <w:b/>
          <w:sz w:val="22"/>
          <w:rtl/>
        </w:rPr>
        <w:t>הכסא</w:t>
      </w:r>
      <w:r w:rsidRPr="00632224">
        <w:rPr>
          <w:rFonts w:ascii="Century" w:hAnsi="Century" w:cs="Miriam"/>
          <w:b/>
          <w:sz w:val="22"/>
          <w:rtl/>
        </w:rPr>
        <w:t xml:space="preserve"> </w:t>
      </w:r>
      <w:r w:rsidRPr="00632224">
        <w:rPr>
          <w:rFonts w:ascii="Century" w:hAnsi="Century" w:cs="Miriam" w:hint="eastAsia"/>
          <w:b/>
          <w:sz w:val="22"/>
          <w:rtl/>
        </w:rPr>
        <w:t>הקדוש</w:t>
      </w:r>
      <w:r w:rsidRPr="00632224">
        <w:rPr>
          <w:rFonts w:ascii="Century" w:hAnsi="Century" w:cs="Miriam"/>
          <w:b/>
          <w:sz w:val="22"/>
          <w:rtl/>
        </w:rPr>
        <w:t xml:space="preserve"> </w:t>
      </w:r>
      <w:r w:rsidRPr="00632224">
        <w:rPr>
          <w:rFonts w:ascii="Century" w:hAnsi="Century" w:cs="Miriam" w:hint="eastAsia"/>
          <w:b/>
          <w:sz w:val="22"/>
          <w:rtl/>
        </w:rPr>
        <w:t>בירושלים</w:t>
      </w:r>
      <w:r w:rsidRPr="00632224">
        <w:rPr>
          <w:rFonts w:ascii="Century" w:hAnsi="Century" w:cs="Miriam"/>
          <w:b/>
          <w:sz w:val="22"/>
          <w:rtl/>
        </w:rPr>
        <w:t xml:space="preserve"> </w:t>
      </w:r>
      <w:r w:rsidRPr="00632224">
        <w:rPr>
          <w:rFonts w:ascii="Century" w:hAnsi="Century" w:cs="Miriam" w:hint="eastAsia"/>
          <w:b/>
          <w:sz w:val="22"/>
          <w:rtl/>
        </w:rPr>
        <w:t>נ</w:t>
      </w:r>
      <w:r w:rsidRPr="00632224">
        <w:rPr>
          <w:rFonts w:ascii="Century" w:hAnsi="Century" w:cs="Miriam"/>
          <w:b/>
          <w:sz w:val="22"/>
          <w:rtl/>
        </w:rPr>
        <w:t xml:space="preserve">' </w:t>
      </w:r>
      <w:r w:rsidRPr="00632224">
        <w:rPr>
          <w:rFonts w:ascii="Century" w:hAnsi="Century" w:cs="Miriam" w:hint="eastAsia"/>
          <w:b/>
          <w:sz w:val="22"/>
          <w:rtl/>
        </w:rPr>
        <w:t>ממשלת</w:t>
      </w:r>
      <w:r w:rsidRPr="00632224">
        <w:rPr>
          <w:rFonts w:ascii="Century" w:hAnsi="Century" w:cs="Miriam"/>
          <w:b/>
          <w:sz w:val="22"/>
          <w:rtl/>
        </w:rPr>
        <w:t xml:space="preserve"> </w:t>
      </w:r>
      <w:r w:rsidRPr="00632224">
        <w:rPr>
          <w:rFonts w:ascii="Century" w:hAnsi="Century" w:cs="Miriam" w:hint="eastAsia"/>
          <w:b/>
          <w:sz w:val="22"/>
          <w:rtl/>
        </w:rPr>
        <w:t>ישראל</w:t>
      </w:r>
      <w:r w:rsidRPr="00632224">
        <w:rPr>
          <w:rFonts w:ascii="Arial TUR" w:hAnsi="Arial TUR" w:cs="FrankRuehl" w:hint="cs"/>
          <w:spacing w:val="10"/>
          <w:sz w:val="22"/>
          <w:szCs w:val="28"/>
          <w:rtl/>
        </w:rPr>
        <w:t xml:space="preserve">, פ"ד לג(1) 225, 248 (1979); </w:t>
      </w:r>
      <w:r w:rsidRPr="00632224">
        <w:rPr>
          <w:rFonts w:cs="Times New Roman"/>
          <w:color w:val="202122"/>
          <w:spacing w:val="10"/>
          <w:sz w:val="22"/>
          <w:szCs w:val="19"/>
          <w:shd w:val="clear" w:color="auto" w:fill="FFFFFF"/>
        </w:rPr>
        <w:t>M</w:t>
      </w:r>
      <w:r w:rsidRPr="00632224">
        <w:rPr>
          <w:rFonts w:cs="Times New Roman"/>
          <w:color w:val="202122"/>
          <w:spacing w:val="10"/>
          <w:szCs w:val="17"/>
          <w:shd w:val="clear" w:color="auto" w:fill="FFFFFF"/>
        </w:rPr>
        <w:t>ICHAEL</w:t>
      </w:r>
      <w:r w:rsidRPr="00632224">
        <w:rPr>
          <w:rFonts w:cs="Times New Roman"/>
          <w:color w:val="202122"/>
          <w:spacing w:val="10"/>
          <w:sz w:val="24"/>
          <w:szCs w:val="21"/>
          <w:shd w:val="clear" w:color="auto" w:fill="FFFFFF"/>
        </w:rPr>
        <w:t xml:space="preserve"> </w:t>
      </w:r>
      <w:r w:rsidRPr="00632224">
        <w:rPr>
          <w:rFonts w:cs="Times New Roman"/>
          <w:color w:val="202122"/>
          <w:spacing w:val="10"/>
          <w:sz w:val="22"/>
          <w:szCs w:val="19"/>
          <w:shd w:val="clear" w:color="auto" w:fill="FFFFFF"/>
        </w:rPr>
        <w:t>F</w:t>
      </w:r>
      <w:r w:rsidRPr="00632224">
        <w:rPr>
          <w:rFonts w:cs="Times New Roman"/>
          <w:color w:val="202122"/>
          <w:spacing w:val="10"/>
          <w:szCs w:val="17"/>
          <w:shd w:val="clear" w:color="auto" w:fill="FFFFFF"/>
        </w:rPr>
        <w:t xml:space="preserve">ORDHAM, </w:t>
      </w:r>
      <w:r w:rsidRPr="00632224">
        <w:rPr>
          <w:rFonts w:cs="Times New Roman"/>
          <w:color w:val="202122"/>
          <w:spacing w:val="10"/>
          <w:sz w:val="22"/>
          <w:szCs w:val="19"/>
          <w:shd w:val="clear" w:color="auto" w:fill="FFFFFF"/>
        </w:rPr>
        <w:t>J</w:t>
      </w:r>
      <w:r w:rsidRPr="00632224">
        <w:rPr>
          <w:rFonts w:cs="Times New Roman"/>
          <w:color w:val="202122"/>
          <w:spacing w:val="10"/>
          <w:szCs w:val="17"/>
          <w:shd w:val="clear" w:color="auto" w:fill="FFFFFF"/>
        </w:rPr>
        <w:t xml:space="preserve">UDICIAL </w:t>
      </w:r>
      <w:r w:rsidRPr="00632224">
        <w:rPr>
          <w:rFonts w:cs="Times New Roman"/>
          <w:color w:val="202122"/>
          <w:spacing w:val="10"/>
          <w:sz w:val="22"/>
          <w:szCs w:val="19"/>
          <w:shd w:val="clear" w:color="auto" w:fill="FFFFFF"/>
        </w:rPr>
        <w:t>R</w:t>
      </w:r>
      <w:r w:rsidRPr="00632224">
        <w:rPr>
          <w:rFonts w:cs="Times New Roman"/>
          <w:color w:val="202122"/>
          <w:spacing w:val="10"/>
          <w:szCs w:val="17"/>
          <w:shd w:val="clear" w:color="auto" w:fill="FFFFFF"/>
        </w:rPr>
        <w:t xml:space="preserve">EVIEW </w:t>
      </w:r>
      <w:r w:rsidRPr="00632224">
        <w:rPr>
          <w:rFonts w:cs="Times New Roman"/>
          <w:color w:val="202122"/>
          <w:spacing w:val="10"/>
          <w:sz w:val="22"/>
          <w:szCs w:val="19"/>
          <w:shd w:val="clear" w:color="auto" w:fill="FFFFFF"/>
        </w:rPr>
        <w:t>H</w:t>
      </w:r>
      <w:r w:rsidRPr="00632224">
        <w:rPr>
          <w:rFonts w:cs="Times New Roman"/>
          <w:color w:val="202122"/>
          <w:spacing w:val="10"/>
          <w:szCs w:val="17"/>
          <w:shd w:val="clear" w:color="auto" w:fill="FFFFFF"/>
        </w:rPr>
        <w:t xml:space="preserve">ANDBOOK </w:t>
      </w:r>
      <w:r w:rsidRPr="00632224">
        <w:rPr>
          <w:rFonts w:cs="FrankRuehl"/>
          <w:spacing w:val="10"/>
          <w:sz w:val="22"/>
          <w:szCs w:val="22"/>
        </w:rPr>
        <w:t>320-323 (6th ed. 2012)</w:t>
      </w:r>
      <w:r w:rsidRPr="00632224">
        <w:rPr>
          <w:rFonts w:ascii="Arial TUR" w:hAnsi="Arial TUR" w:cs="FrankRuehl" w:hint="cs"/>
          <w:spacing w:val="10"/>
          <w:sz w:val="22"/>
          <w:szCs w:val="28"/>
          <w:rtl/>
        </w:rPr>
        <w:t>). כך לגבי סעיף שמגביל חלקית ביקורת שיפוטית ועל דרך של קל וחומר לגבי ביטול גורף של עילת ביקורת שיפוטית מרכזית על כל פעולות הממשלה ושריה. לא בכדי לא מצאנו בשיטות המשפט האנגלו-אמריקאי כל מקבילה לביטול גורף חוקתי בנוסח הת</w:t>
      </w:r>
      <w:r w:rsidRPr="00632224">
        <w:rPr>
          <w:rFonts w:ascii="Arial TUR" w:hAnsi="Arial TUR" w:cs="FrankRuehl" w:hint="eastAsia"/>
          <w:spacing w:val="10"/>
          <w:sz w:val="22"/>
          <w:szCs w:val="28"/>
          <w:rtl/>
        </w:rPr>
        <w:t>יקון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לחוק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היסוד</w:t>
      </w:r>
      <w:r w:rsidRPr="00632224">
        <w:rPr>
          <w:rFonts w:ascii="Arial TUR" w:hAnsi="Arial TUR" w:cs="FrankRuehl"/>
          <w:spacing w:val="10"/>
          <w:sz w:val="22"/>
          <w:szCs w:val="28"/>
          <w:rtl/>
        </w:rPr>
        <w:t xml:space="preserve"> </w:t>
      </w:r>
      <w:r w:rsidRPr="00632224">
        <w:rPr>
          <w:rFonts w:ascii="Century" w:hAnsi="Century" w:cs="FrankRuehl"/>
          <w:spacing w:val="10"/>
          <w:sz w:val="22"/>
          <w:szCs w:val="28"/>
          <w:rtl/>
        </w:rPr>
        <w:t>(</w:t>
      </w:r>
      <w:r w:rsidRPr="00632224">
        <w:rPr>
          <w:rFonts w:ascii="Century" w:hAnsi="Century" w:cs="Miriam" w:hint="eastAsia"/>
          <w:b/>
          <w:sz w:val="22"/>
          <w:rtl/>
        </w:rPr>
        <w:t>דותן</w:t>
      </w:r>
      <w:r w:rsidRPr="00632224">
        <w:rPr>
          <w:rFonts w:ascii="Century" w:hAnsi="Century" w:cs="Miriam"/>
          <w:b/>
          <w:sz w:val="22"/>
          <w:rtl/>
        </w:rPr>
        <w:t xml:space="preserve"> </w:t>
      </w:r>
      <w:r w:rsidRPr="00632224">
        <w:rPr>
          <w:rFonts w:ascii="Century" w:hAnsi="Century" w:cs="Miriam" w:hint="eastAsia"/>
          <w:b/>
          <w:sz w:val="22"/>
          <w:rtl/>
        </w:rPr>
        <w:t>ביקורת</w:t>
      </w:r>
      <w:r w:rsidRPr="00632224">
        <w:rPr>
          <w:rFonts w:ascii="Century" w:hAnsi="Century" w:cs="Miriam"/>
          <w:b/>
          <w:sz w:val="22"/>
          <w:rtl/>
        </w:rPr>
        <w:t xml:space="preserve"> </w:t>
      </w:r>
      <w:r w:rsidRPr="00632224">
        <w:rPr>
          <w:rFonts w:ascii="Century" w:hAnsi="Century" w:cs="Miriam" w:hint="eastAsia"/>
          <w:b/>
          <w:sz w:val="22"/>
          <w:rtl/>
        </w:rPr>
        <w:t>שיפוטית</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ב</w:t>
      </w:r>
      <w:r w:rsidRPr="00632224">
        <w:rPr>
          <w:rFonts w:ascii="Arial TUR" w:hAnsi="Arial TUR" w:cs="FrankRuehl" w:hint="eastAsia"/>
          <w:spacing w:val="10"/>
          <w:sz w:val="22"/>
          <w:szCs w:val="28"/>
          <w:rtl/>
        </w:rPr>
        <w:t>עמ</w:t>
      </w:r>
      <w:r w:rsidRPr="00632224">
        <w:rPr>
          <w:rFonts w:ascii="Arial TUR" w:hAnsi="Arial TUR" w:cs="FrankRuehl"/>
          <w:spacing w:val="10"/>
          <w:sz w:val="22"/>
          <w:szCs w:val="28"/>
          <w:rtl/>
        </w:rPr>
        <w:t>' 236-232).</w:t>
      </w:r>
      <w:r w:rsidRPr="00632224">
        <w:rPr>
          <w:rFonts w:ascii="Arial TUR" w:hAnsi="Arial TUR" w:cs="FrankRuehl" w:hint="cs"/>
          <w:spacing w:val="10"/>
          <w:sz w:val="22"/>
          <w:szCs w:val="28"/>
          <w:rtl/>
        </w:rPr>
        <w:t xml:space="preserve"> </w:t>
      </w: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וכך נאמר בעבר על ניסיון המחוקק לחסום ביקורת שיפוטית על מעשי המינהל: </w:t>
      </w:r>
    </w:p>
    <w:p w:rsidR="00244560" w:rsidRPr="00632224" w:rsidRDefault="00244560" w:rsidP="00244560">
      <w:pPr>
        <w:keepNext/>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בימים שמכבר ניסה המחוקק לחסום דרכים</w:t>
      </w:r>
      <w:r w:rsidRPr="00632224">
        <w:rPr>
          <w:rFonts w:cs="FrankRuehl"/>
          <w:spacing w:val="10"/>
          <w:sz w:val="24"/>
          <w:szCs w:val="28"/>
          <w:rtl/>
        </w:rPr>
        <w:t xml:space="preserve"> </w:t>
      </w:r>
      <w:r w:rsidRPr="00632224">
        <w:rPr>
          <w:rFonts w:ascii="Arial TUR" w:hAnsi="Arial TUR" w:cs="FrankRuehl"/>
          <w:spacing w:val="10"/>
          <w:sz w:val="22"/>
          <w:szCs w:val="28"/>
          <w:rtl/>
        </w:rPr>
        <w:t>לביקורת שיפוטית על פעילות מינהלית, ולעניין זה עשה שימוש בנוסחאות מנוסחאות</w:t>
      </w:r>
      <w:r w:rsidRPr="00632224">
        <w:rPr>
          <w:rFonts w:cs="FrankRuehl"/>
          <w:spacing w:val="10"/>
          <w:sz w:val="24"/>
          <w:szCs w:val="28"/>
          <w:rtl/>
        </w:rPr>
        <w:t xml:space="preserve"> </w:t>
      </w:r>
      <w:r w:rsidRPr="00632224">
        <w:rPr>
          <w:rFonts w:ascii="Arial TUR" w:hAnsi="Arial TUR" w:cs="FrankRuehl"/>
          <w:spacing w:val="10"/>
          <w:sz w:val="22"/>
          <w:szCs w:val="28"/>
          <w:rtl/>
        </w:rPr>
        <w:t xml:space="preserve">שונות, ביניהן בשיקול דעת שהוא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מוחלט</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 xml:space="preserve">בתי המשפט עמדו במערכה זו – עמדו ויכלו. </w:t>
      </w:r>
      <w:r w:rsidRPr="00632224">
        <w:rPr>
          <w:rFonts w:ascii="Century" w:hAnsi="Century" w:cs="Miriam"/>
          <w:b/>
          <w:sz w:val="22"/>
          <w:rtl/>
        </w:rPr>
        <w:t>ימים אלה חלפו עברו, וקשה להניח שיחזרו אלינו</w:t>
      </w:r>
      <w:r w:rsidRPr="00632224">
        <w:rPr>
          <w:rFonts w:ascii="Arial TUR" w:hAnsi="Arial TUR" w:cs="FrankRuehl"/>
          <w:spacing w:val="10"/>
          <w:sz w:val="22"/>
          <w:szCs w:val="28"/>
          <w:rtl/>
        </w:rPr>
        <w:t>"</w:t>
      </w:r>
      <w:r w:rsidRPr="00632224">
        <w:rPr>
          <w:rFonts w:ascii="Century" w:hAnsi="Century" w:cs="Miriam" w:hint="cs"/>
          <w:b/>
          <w:sz w:val="22"/>
          <w:rtl/>
        </w:rPr>
        <w:t xml:space="preserve"> </w:t>
      </w:r>
      <w:r w:rsidRPr="00632224">
        <w:rPr>
          <w:rFonts w:ascii="Century" w:hAnsi="Century" w:cs="FrankRuehl"/>
          <w:spacing w:val="10"/>
          <w:sz w:val="22"/>
          <w:szCs w:val="28"/>
          <w:rtl/>
        </w:rPr>
        <w:t>(</w:t>
      </w:r>
      <w:r w:rsidRPr="00632224">
        <w:rPr>
          <w:rFonts w:ascii="Arial TUR" w:hAnsi="Arial TUR" w:cs="FrankRuehl" w:hint="cs"/>
          <w:spacing w:val="10"/>
          <w:sz w:val="22"/>
          <w:szCs w:val="28"/>
          <w:rtl/>
        </w:rPr>
        <w:t xml:space="preserve">דברי השופט </w:t>
      </w:r>
      <w:r w:rsidRPr="00632224">
        <w:rPr>
          <w:rFonts w:ascii="Century" w:hAnsi="Century" w:cs="Miriam" w:hint="cs"/>
          <w:b/>
          <w:sz w:val="22"/>
          <w:rtl/>
        </w:rPr>
        <w:t>חשין</w:t>
      </w:r>
      <w:r w:rsidRPr="00632224">
        <w:rPr>
          <w:rFonts w:ascii="Arial TUR" w:hAnsi="Arial TUR" w:cs="FrankRuehl" w:hint="cs"/>
          <w:spacing w:val="10"/>
          <w:sz w:val="22"/>
          <w:szCs w:val="28"/>
          <w:rtl/>
        </w:rPr>
        <w:t xml:space="preserve"> בבג"ץ 758/88 </w:t>
      </w:r>
      <w:r w:rsidRPr="00632224">
        <w:rPr>
          <w:rFonts w:ascii="Century" w:hAnsi="Century" w:cs="Miriam" w:hint="cs"/>
          <w:b/>
          <w:sz w:val="22"/>
          <w:rtl/>
        </w:rPr>
        <w:t>קנדל נ' שר הפנים</w:t>
      </w:r>
      <w:r w:rsidRPr="00632224">
        <w:rPr>
          <w:rFonts w:ascii="Arial TUR" w:hAnsi="Arial TUR" w:cs="FrankRuehl" w:hint="cs"/>
          <w:spacing w:val="10"/>
          <w:sz w:val="22"/>
          <w:szCs w:val="28"/>
          <w:rtl/>
        </w:rPr>
        <w:t xml:space="preserve">, פ"ד מו(4) 505, 528 (1992)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מי יגול עפר מעיני השופט </w:t>
      </w:r>
      <w:r w:rsidRPr="00632224">
        <w:rPr>
          <w:rFonts w:ascii="Century" w:hAnsi="Century" w:cs="Miriam" w:hint="cs"/>
          <w:b/>
          <w:sz w:val="22"/>
          <w:rtl/>
        </w:rPr>
        <w:t>חשין</w:t>
      </w:r>
      <w:r w:rsidRPr="00632224">
        <w:rPr>
          <w:rFonts w:ascii="Arial TUR" w:hAnsi="Arial TUR" w:cs="FrankRuehl" w:hint="cs"/>
          <w:spacing w:val="10"/>
          <w:sz w:val="22"/>
          <w:szCs w:val="28"/>
          <w:rtl/>
        </w:rPr>
        <w:t xml:space="preserve"> </w:t>
      </w:r>
      <w:r w:rsidRPr="00632224">
        <w:rPr>
          <w:rFonts w:ascii="Arial TUR" w:hAnsi="Arial TUR" w:cs="FrankRuehl" w:hint="eastAsia"/>
          <w:spacing w:val="10"/>
          <w:sz w:val="22"/>
          <w:szCs w:val="28"/>
          <w:rtl/>
        </w:rPr>
        <w:t>שסבר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ימים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אלה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חלפו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עברו</w:t>
      </w:r>
      <w:r w:rsidRPr="00632224">
        <w:rPr>
          <w:rFonts w:ascii="Arial TUR" w:hAnsi="Arial TUR" w:cs="FrankRuehl"/>
          <w:spacing w:val="10"/>
          <w:sz w:val="22"/>
          <w:szCs w:val="28"/>
          <w:rtl/>
        </w:rPr>
        <w:t>?</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77.</w:t>
      </w:r>
      <w:r w:rsidRPr="00632224">
        <w:rPr>
          <w:rFonts w:ascii="Arial TUR" w:hAnsi="Arial TUR" w:cs="FrankRuehl" w:hint="cs"/>
          <w:spacing w:val="10"/>
          <w:sz w:val="22"/>
          <w:szCs w:val="28"/>
          <w:rtl/>
        </w:rPr>
        <w:tab/>
        <w:t xml:space="preserve">עילת הסבירות היא כלי מרכזי באשפתה של הביקורת השיפוטית על הרשות המבצעת, והביקורת השיפוטית מגשימה את עקרונות שלטון החוק, הפרדת הרשויות והדמוקרטיה (עניין </w:t>
      </w:r>
      <w:r w:rsidRPr="00632224">
        <w:rPr>
          <w:rFonts w:ascii="Century" w:hAnsi="Century" w:cs="Miriam" w:hint="cs"/>
          <w:b/>
          <w:sz w:val="22"/>
          <w:rtl/>
        </w:rPr>
        <w:t>בנק המזרחי</w:t>
      </w:r>
      <w:r w:rsidRPr="00632224">
        <w:rPr>
          <w:rFonts w:ascii="Arial TUR" w:hAnsi="Arial TUR" w:cs="FrankRuehl" w:hint="cs"/>
          <w:spacing w:val="10"/>
          <w:sz w:val="22"/>
          <w:szCs w:val="28"/>
          <w:rtl/>
        </w:rPr>
        <w:t xml:space="preserve">, בעמ' 422-418). נראה להלן כיצד התיקון לחוק היסוד פוגע בערכים אלה בעצם שלילת הביקורת השיפוטית כפקטור ממתן כוח, שיש בו כדי לבלום ולאזן קמעא את הכוח העצום שיש בידי הרשות המבצעת בישראל. </w:t>
      </w: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פגיעה בזכות הגישה לערכאות</w:t>
      </w:r>
    </w:p>
    <w:p w:rsidR="00244560" w:rsidRPr="00632224"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78.</w:t>
      </w:r>
      <w:r w:rsidRPr="00632224">
        <w:rPr>
          <w:rFonts w:ascii="Arial TUR" w:hAnsi="Arial TUR" w:cs="FrankRuehl" w:hint="cs"/>
          <w:spacing w:val="10"/>
          <w:sz w:val="22"/>
          <w:szCs w:val="28"/>
          <w:rtl/>
        </w:rPr>
        <w:tab/>
        <w:t>עצמאות הרשות השופטת היא עקרון יסוד השזור בצופן הגנטי של מדינת ישראל כמדינה יהודית ודמוקרטית (</w:t>
      </w:r>
      <w:r w:rsidRPr="00632224">
        <w:rPr>
          <w:rFonts w:ascii="Century" w:hAnsi="Century" w:cs="Miriam" w:hint="eastAsia"/>
          <w:b/>
          <w:sz w:val="22"/>
          <w:rtl/>
        </w:rPr>
        <w:t>ברק</w:t>
      </w:r>
      <w:r w:rsidRPr="00632224">
        <w:rPr>
          <w:rFonts w:cs="FrankRuehl"/>
          <w:spacing w:val="10"/>
          <w:sz w:val="24"/>
          <w:szCs w:val="28"/>
          <w:rtl/>
        </w:rPr>
        <w:t xml:space="preserve"> </w:t>
      </w:r>
      <w:r w:rsidRPr="00632224">
        <w:rPr>
          <w:rFonts w:ascii="Century" w:hAnsi="Century" w:cs="Miriam" w:hint="cs"/>
          <w:b/>
          <w:sz w:val="22"/>
          <w:rtl/>
        </w:rPr>
        <w:t>שופט</w:t>
      </w:r>
      <w:r w:rsidRPr="00632224">
        <w:rPr>
          <w:rFonts w:cs="Miriam"/>
          <w:b/>
          <w:sz w:val="24"/>
          <w:rtl/>
        </w:rPr>
        <w:t xml:space="preserve"> </w:t>
      </w:r>
      <w:r w:rsidRPr="00632224">
        <w:rPr>
          <w:rFonts w:ascii="Century" w:hAnsi="Century" w:cs="Miriam" w:hint="cs"/>
          <w:b/>
          <w:sz w:val="22"/>
          <w:rtl/>
        </w:rPr>
        <w:t>בחברה</w:t>
      </w:r>
      <w:r w:rsidRPr="00632224">
        <w:rPr>
          <w:rFonts w:cs="Miriam"/>
          <w:b/>
          <w:sz w:val="24"/>
          <w:rtl/>
        </w:rPr>
        <w:t xml:space="preserve"> </w:t>
      </w:r>
      <w:r w:rsidRPr="00632224">
        <w:rPr>
          <w:rFonts w:ascii="Century" w:hAnsi="Century" w:cs="Miriam" w:hint="cs"/>
          <w:b/>
          <w:sz w:val="22"/>
          <w:rtl/>
        </w:rPr>
        <w:t>דמוקרטית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בעמ</w:t>
      </w:r>
      <w:r w:rsidRPr="00632224">
        <w:rPr>
          <w:rFonts w:ascii="Century" w:hAnsi="Century" w:cs="FrankRuehl"/>
          <w:spacing w:val="10"/>
          <w:sz w:val="22"/>
          <w:szCs w:val="28"/>
          <w:rtl/>
        </w:rPr>
        <w:t>'</w:t>
      </w:r>
      <w:r w:rsidRPr="00632224">
        <w:rPr>
          <w:rFonts w:ascii="Century" w:hAnsi="Century" w:cs="Miriam" w:hint="cs"/>
          <w:b/>
          <w:sz w:val="22"/>
          <w:rtl/>
        </w:rPr>
        <w:t xml:space="preserve"> </w:t>
      </w:r>
      <w:r w:rsidRPr="00632224">
        <w:rPr>
          <w:rFonts w:ascii="Century" w:hAnsi="Century" w:cs="FrankRuehl" w:hint="cs"/>
          <w:spacing w:val="10"/>
          <w:sz w:val="22"/>
          <w:szCs w:val="28"/>
          <w:rtl/>
        </w:rPr>
        <w:t>123-122).</w:t>
      </w:r>
      <w:r w:rsidRPr="00632224">
        <w:rPr>
          <w:rFonts w:ascii="Arial TUR" w:hAnsi="Arial TUR" w:cs="FrankRuehl" w:hint="cs"/>
          <w:spacing w:val="10"/>
          <w:sz w:val="22"/>
          <w:szCs w:val="28"/>
          <w:rtl/>
        </w:rPr>
        <w:t xml:space="preserve"> עקרון זה מצא את ביטויו בסעיף 2 לחוק יסוד: השפיטה, סעיף המופנה אל כל שופטת ושופט בישר</w:t>
      </w:r>
      <w:r w:rsidRPr="00632224">
        <w:rPr>
          <w:rFonts w:ascii="Century" w:hAnsi="Century" w:cs="FrankRuehl" w:hint="eastAsia"/>
          <w:spacing w:val="10"/>
          <w:sz w:val="22"/>
          <w:szCs w:val="28"/>
          <w:rtl/>
        </w:rPr>
        <w:t>אל</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lastRenderedPageBreak/>
        <w:t>"</w:t>
      </w:r>
      <w:r w:rsidRPr="00632224">
        <w:rPr>
          <w:rFonts w:ascii="Century" w:hAnsi="Century" w:cs="FrankRuehl" w:hint="eastAsia"/>
          <w:spacing w:val="10"/>
          <w:sz w:val="22"/>
          <w:szCs w:val="28"/>
          <w:shd w:val="clear" w:color="auto" w:fill="FFFFFF"/>
          <w:rtl/>
        </w:rPr>
        <w:t>ב</w:t>
      </w:r>
      <w:r w:rsidRPr="00632224">
        <w:rPr>
          <w:rFonts w:ascii="Century" w:hAnsi="Century" w:cs="FrankRuehl"/>
          <w:spacing w:val="10"/>
          <w:sz w:val="22"/>
          <w:szCs w:val="28"/>
          <w:shd w:val="clear" w:color="auto" w:fill="FFFFFF"/>
          <w:rtl/>
        </w:rPr>
        <w:t xml:space="preserve">עניני שפיטה אין מרות על </w:t>
      </w:r>
      <w:r w:rsidRPr="00632224">
        <w:rPr>
          <w:rFonts w:ascii="Arial TUR" w:hAnsi="Arial TUR" w:cs="FrankRuehl" w:hint="eastAsia"/>
          <w:spacing w:val="10"/>
          <w:sz w:val="22"/>
          <w:szCs w:val="28"/>
          <w:shd w:val="clear" w:color="auto" w:fill="FFFFFF"/>
          <w:rtl/>
        </w:rPr>
        <w:t>מי</w:t>
      </w:r>
      <w:r w:rsidRPr="00632224">
        <w:rPr>
          <w:rFonts w:ascii="Arial TUR" w:hAnsi="Arial TUR" w:cs="FrankRuehl"/>
          <w:spacing w:val="10"/>
          <w:sz w:val="22"/>
          <w:szCs w:val="28"/>
          <w:shd w:val="clear" w:color="auto" w:fill="FFFFFF"/>
          <w:rtl/>
        </w:rPr>
        <w:t xml:space="preserve"> </w:t>
      </w:r>
      <w:r w:rsidRPr="00632224">
        <w:rPr>
          <w:rFonts w:ascii="Arial TUR" w:hAnsi="Arial TUR" w:cs="FrankRuehl" w:hint="eastAsia"/>
          <w:spacing w:val="10"/>
          <w:sz w:val="22"/>
          <w:szCs w:val="28"/>
          <w:shd w:val="clear" w:color="auto" w:fill="FFFFFF"/>
          <w:rtl/>
        </w:rPr>
        <w:t>שבידו</w:t>
      </w:r>
      <w:r w:rsidRPr="00632224">
        <w:rPr>
          <w:rFonts w:ascii="Arial TUR" w:hAnsi="Arial TUR" w:cs="FrankRuehl"/>
          <w:spacing w:val="10"/>
          <w:sz w:val="22"/>
          <w:szCs w:val="28"/>
          <w:shd w:val="clear" w:color="auto" w:fill="FFFFFF"/>
          <w:rtl/>
        </w:rPr>
        <w:t xml:space="preserve"> </w:t>
      </w:r>
      <w:r w:rsidRPr="00632224">
        <w:rPr>
          <w:rFonts w:ascii="Arial TUR" w:hAnsi="Arial TUR" w:cs="FrankRuehl" w:hint="eastAsia"/>
          <w:spacing w:val="10"/>
          <w:sz w:val="22"/>
          <w:szCs w:val="28"/>
          <w:shd w:val="clear" w:color="auto" w:fill="FFFFFF"/>
          <w:rtl/>
        </w:rPr>
        <w:t>סמכות</w:t>
      </w:r>
      <w:r w:rsidRPr="00632224">
        <w:rPr>
          <w:rFonts w:ascii="Arial TUR" w:hAnsi="Arial TUR" w:cs="FrankRuehl"/>
          <w:spacing w:val="10"/>
          <w:sz w:val="22"/>
          <w:szCs w:val="28"/>
          <w:shd w:val="clear" w:color="auto" w:fill="FFFFFF"/>
          <w:rtl/>
        </w:rPr>
        <w:t xml:space="preserve"> </w:t>
      </w:r>
      <w:r w:rsidRPr="00632224">
        <w:rPr>
          <w:rFonts w:ascii="Arial TUR" w:hAnsi="Arial TUR" w:cs="FrankRuehl" w:hint="eastAsia"/>
          <w:spacing w:val="10"/>
          <w:sz w:val="22"/>
          <w:szCs w:val="28"/>
          <w:shd w:val="clear" w:color="auto" w:fill="FFFFFF"/>
          <w:rtl/>
        </w:rPr>
        <w:t>שפיטה</w:t>
      </w:r>
      <w:r w:rsidRPr="00632224">
        <w:rPr>
          <w:rFonts w:ascii="Century" w:hAnsi="Century" w:cs="FrankRuehl"/>
          <w:spacing w:val="10"/>
          <w:sz w:val="22"/>
          <w:szCs w:val="28"/>
          <w:shd w:val="clear" w:color="auto" w:fill="FFFFFF"/>
          <w:rtl/>
        </w:rPr>
        <w:t>, זולת מרותו של הדין</w:t>
      </w:r>
      <w:r w:rsidRPr="00632224">
        <w:rPr>
          <w:rFonts w:ascii="Century" w:hAnsi="Century" w:cs="FrankRuehl" w:hint="cs"/>
          <w:spacing w:val="10"/>
          <w:sz w:val="22"/>
          <w:szCs w:val="28"/>
          <w:shd w:val="clear" w:color="auto" w:fill="FFFFFF"/>
          <w:rtl/>
        </w:rPr>
        <w:t xml:space="preserve">". </w:t>
      </w:r>
      <w:r w:rsidRPr="00632224">
        <w:rPr>
          <w:rFonts w:ascii="Arial TUR" w:hAnsi="Arial TUR" w:cs="FrankRuehl" w:hint="cs"/>
          <w:spacing w:val="10"/>
          <w:sz w:val="22"/>
          <w:szCs w:val="28"/>
          <w:rtl/>
        </w:rPr>
        <w:t xml:space="preserve">אין לשופט אלא מרותו של הדין. השופט אינו כפוף לאף אחד, זולת החוק. נשיא בית המשפט העליון אינו יכול להורות לשופט בית משפט השלום בעפולה או לשופטת בית המשפט המחוזי בבאר שבע כיצד לפסוק במקרים שהובאו בפניהם, כי לכל שופט בישראל יש עצמאות שיפוטית מלאה. עד היום, התיבה </w:t>
      </w:r>
      <w:r w:rsidRPr="00632224">
        <w:rPr>
          <w:rFonts w:ascii="Century" w:hAnsi="Century" w:cs="Miriam"/>
          <w:b/>
          <w:sz w:val="22"/>
          <w:shd w:val="clear" w:color="auto" w:fill="FFFFFF"/>
          <w:rtl/>
        </w:rPr>
        <w:t>מי שבידו סמכות שפיטה</w:t>
      </w:r>
      <w:r w:rsidRPr="00632224">
        <w:rPr>
          <w:rFonts w:ascii="Arial TUR" w:hAnsi="Arial TUR" w:cs="FrankRuehl" w:hint="cs"/>
          <w:spacing w:val="10"/>
          <w:sz w:val="22"/>
          <w:szCs w:val="28"/>
          <w:rtl/>
        </w:rPr>
        <w:t xml:space="preserve"> הופיעה רק בסעיף 2 לחוק יסוד: השפיטה, כסמל וכדגל של עצמאות </w:t>
      </w:r>
      <w:r w:rsidRPr="00632224">
        <w:rPr>
          <w:rFonts w:ascii="Century" w:hAnsi="Century" w:cs="Miriam" w:hint="cs"/>
          <w:b/>
          <w:sz w:val="22"/>
          <w:rtl/>
        </w:rPr>
        <w:t>אישית</w:t>
      </w:r>
      <w:r w:rsidRPr="00632224">
        <w:rPr>
          <w:rFonts w:ascii="Arial TUR" w:hAnsi="Arial TUR" w:cs="FrankRuehl" w:hint="cs"/>
          <w:spacing w:val="10"/>
          <w:sz w:val="22"/>
          <w:szCs w:val="28"/>
          <w:rtl/>
        </w:rPr>
        <w:t xml:space="preserve"> מעל כסאם של כל שופטת ושופט בישראל. מה רבה הסמליות שהשימוש בנוסח </w:t>
      </w:r>
      <w:r w:rsidRPr="00632224">
        <w:rPr>
          <w:rFonts w:ascii="Century" w:hAnsi="Century" w:cs="FrankRuehl"/>
          <w:spacing w:val="10"/>
          <w:sz w:val="22"/>
          <w:szCs w:val="28"/>
          <w:shd w:val="clear" w:color="auto" w:fill="FFFFFF"/>
          <w:rtl/>
        </w:rPr>
        <w:t>"</w:t>
      </w:r>
      <w:r w:rsidRPr="00632224">
        <w:rPr>
          <w:rFonts w:ascii="Century" w:hAnsi="Century" w:cs="Miriam"/>
          <w:b/>
          <w:sz w:val="22"/>
          <w:shd w:val="clear" w:color="auto" w:fill="FFFFFF"/>
          <w:rtl/>
        </w:rPr>
        <w:t>מי שבידו סמכות שפיטה</w:t>
      </w:r>
      <w:r w:rsidRPr="00632224">
        <w:rPr>
          <w:rFonts w:ascii="Century" w:hAnsi="Century" w:cs="FrankRuehl"/>
          <w:spacing w:val="10"/>
          <w:sz w:val="22"/>
          <w:szCs w:val="28"/>
          <w:shd w:val="clear" w:color="auto" w:fill="FFFFFF"/>
          <w:rtl/>
        </w:rPr>
        <w:t xml:space="preserve">" </w:t>
      </w:r>
      <w:r w:rsidRPr="00632224">
        <w:rPr>
          <w:rFonts w:ascii="Century" w:hAnsi="Century" w:cs="FrankRuehl" w:hint="cs"/>
          <w:spacing w:val="10"/>
          <w:sz w:val="22"/>
          <w:szCs w:val="28"/>
          <w:shd w:val="clear" w:color="auto" w:fill="FFFFFF"/>
          <w:rtl/>
        </w:rPr>
        <w:t>נעשה דווקא בתיקון שלפנינו</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על שולחנו של השופט אנו מוצאים כלים של משפט אשר משמשים אותו בעבודתו. כאשר השופט דן בחוזה, עומדים לרשותו כלי עבודה בדמות האיזמלים הדקים והעדינים של פרשנות ותום לב וכלה בפטישים של החוזה האחיד ותקנת הציבור. כאשר השופט דן במשפט המינהלי עומדים לרשותו מגוון של כלים, החל באיזמל של עילת הסבירות וכלה בפטיש של שיקולים זרים. והנה, בא המכונן ונוטל מהשופט כלי עבודה מרכזי, משל דומה הדבר למנתח שייאסר עליו להשתמש בעת הניתוח באיזמל מנתחים (סקלפל) או במצבט למניעת דימום. התיקון שבו עסקינן מדלל אפוא את כוחו של הדין בכך שהוא שולל מהשופט את אחד מכלי המשפט החשובים שהוא עושה בו שימוש.</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עילת הסבירות היא עילת ביקורת המשמשת את בתי המשפט מזה עשרות שנים, והיא מאפשרת לבית המשפט ליתן לאזרח סעד אפקטיבי מפני החלטה החורגת ממתחם הסבירות. נחזור שוב לדברי השופט </w:t>
      </w:r>
      <w:r w:rsidRPr="00632224">
        <w:rPr>
          <w:rFonts w:ascii="Century" w:hAnsi="Century" w:cs="Miriam" w:hint="eastAsia"/>
          <w:b/>
          <w:sz w:val="22"/>
          <w:rtl/>
        </w:rPr>
        <w:t>חשין</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בעניין </w:t>
      </w:r>
      <w:r w:rsidRPr="00632224">
        <w:rPr>
          <w:rFonts w:ascii="Century" w:hAnsi="Century" w:cs="Miriam" w:hint="cs"/>
          <w:b/>
          <w:sz w:val="22"/>
          <w:rtl/>
        </w:rPr>
        <w:t>ארפל</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w:t>
      </w:r>
      <w:r w:rsidRPr="00632224">
        <w:rPr>
          <w:rFonts w:ascii="Century" w:hAnsi="Century" w:cs="Miriam"/>
          <w:b/>
          <w:sz w:val="22"/>
          <w:rtl/>
        </w:rPr>
        <w:t>זכות הגישה לבית-המשפט</w:t>
      </w:r>
      <w:r w:rsidRPr="00632224">
        <w:rPr>
          <w:rFonts w:ascii="Arial TUR" w:hAnsi="Arial TUR" w:cs="FrankRuehl"/>
          <w:spacing w:val="10"/>
          <w:sz w:val="22"/>
          <w:szCs w:val="28"/>
          <w:rtl/>
        </w:rPr>
        <w:t xml:space="preserve"> אין היא זכות</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יסוד במובנו הרגיל של המושג זכות</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 xml:space="preserve">יסוד. שייכת היא למסדר נורמות אחר בשיטת המשפט. ניתן לומר – וכך אומַר אני – כי </w:t>
      </w:r>
      <w:r w:rsidRPr="00632224">
        <w:rPr>
          <w:rFonts w:ascii="Century" w:hAnsi="Century" w:cs="Miriam"/>
          <w:b/>
          <w:sz w:val="22"/>
          <w:rtl/>
        </w:rPr>
        <w:t>נעלה היא על זכות-יסוד</w:t>
      </w:r>
      <w:r w:rsidRPr="00632224">
        <w:rPr>
          <w:rFonts w:ascii="Arial TUR" w:hAnsi="Arial TUR" w:cs="FrankRuehl"/>
          <w:spacing w:val="10"/>
          <w:sz w:val="22"/>
          <w:szCs w:val="28"/>
          <w:rtl/>
        </w:rPr>
        <w:t>. לא עוד, אלא שקיומה הינו תנאי הכרחי וחיוני לקיומן של שאר זכויות</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היסוד. זכות הגישה לבית</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המשפט הינה צינור החיים של בית</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המשפט. התשתית לקיומם של הרשות השופטת ושל שלטון החוק</w:t>
      </w:r>
      <w:r w:rsidRPr="00632224">
        <w:rPr>
          <w:rFonts w:ascii="Arial TUR" w:hAnsi="Arial TUR" w:cs="FrankRuehl" w:hint="cs"/>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r w:rsidRPr="00632224">
        <w:rPr>
          <w:rFonts w:ascii="Century" w:hAnsi="Century" w:cs="Miriam"/>
          <w:b/>
          <w:sz w:val="22"/>
          <w:rtl/>
        </w:rPr>
        <w:t>נדע מכאן, כי חסימת הדרך לבית-משפט – בין במישרין בין בעקיפין – ולו באורח חלקי, חותרת תחת ה-</w:t>
      </w:r>
      <w:r w:rsidRPr="00632224">
        <w:rPr>
          <w:rFonts w:cs="FrankRuehl"/>
          <w:spacing w:val="10"/>
          <w:sz w:val="22"/>
          <w:szCs w:val="22"/>
        </w:rPr>
        <w:t>raison d’etre</w:t>
      </w:r>
      <w:r w:rsidRPr="00632224">
        <w:rPr>
          <w:rFonts w:ascii="Century" w:hAnsi="Century" w:cs="Miriam"/>
          <w:b/>
          <w:sz w:val="22"/>
          <w:rtl/>
        </w:rPr>
        <w:t xml:space="preserve"> של הרשות השופטת. ופגיעה ברשות השופטת פירושה פגיעה ביסוד הדמוקרטי של המדינה</w:t>
      </w:r>
      <w:r w:rsidRPr="00632224">
        <w:rPr>
          <w:rFonts w:ascii="Arial TUR" w:hAnsi="Arial TUR" w:cs="FrankRuehl"/>
          <w:spacing w:val="10"/>
          <w:sz w:val="22"/>
          <w:szCs w:val="28"/>
          <w:rtl/>
        </w:rPr>
        <w:t>. באין רשות שופטת, באין ביקורת על מעשי הפרט</w:t>
      </w:r>
      <w:r w:rsidRPr="00632224">
        <w:rPr>
          <w:rFonts w:ascii="Arial TUR" w:hAnsi="Arial TUR" w:cs="FrankRuehl" w:hint="cs"/>
          <w:spacing w:val="10"/>
          <w:sz w:val="22"/>
          <w:szCs w:val="28"/>
          <w:rtl/>
        </w:rPr>
        <w:t xml:space="preserve"> והשלטון, ייפרע עם </w:t>
      </w:r>
      <w:r w:rsidRPr="00632224">
        <w:rPr>
          <w:rFonts w:ascii="Arial TUR" w:hAnsi="Arial TUR" w:cs="FrankRuehl"/>
          <w:spacing w:val="10"/>
          <w:sz w:val="22"/>
          <w:szCs w:val="28"/>
          <w:rtl/>
        </w:rPr>
        <w:t>ותאבד</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 xml:space="preserve">ממלכה. </w:t>
      </w:r>
      <w:r w:rsidRPr="00632224">
        <w:rPr>
          <w:rFonts w:ascii="Century" w:hAnsi="Century" w:cs="Miriam"/>
          <w:b/>
          <w:sz w:val="22"/>
          <w:rtl/>
        </w:rPr>
        <w:t>באין ביקורת שיפוטית יאבד שלטון החוק</w:t>
      </w:r>
      <w:r w:rsidRPr="00632224">
        <w:rPr>
          <w:rFonts w:ascii="Century" w:hAnsi="Century" w:cs="Miriam" w:hint="cs"/>
          <w:b/>
          <w:sz w:val="22"/>
          <w:rtl/>
        </w:rPr>
        <w:t xml:space="preserve"> ותיעלמנה זכויות-היסוד</w:t>
      </w:r>
      <w:r w:rsidRPr="00632224">
        <w:rPr>
          <w:rFonts w:ascii="Arial TUR" w:hAnsi="Arial TUR" w:cs="FrankRuehl" w:hint="cs"/>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מוחה של הדמוקרטיה עשוי שלוש אונות</w:t>
      </w:r>
      <w:r w:rsidRPr="00632224">
        <w:rPr>
          <w:rFonts w:ascii="Arial TUR" w:hAnsi="Arial TUR" w:cs="FrankRuehl"/>
          <w:spacing w:val="10"/>
          <w:sz w:val="24"/>
          <w:rtl/>
        </w:rPr>
        <w:t>:</w:t>
      </w:r>
      <w:r w:rsidRPr="00632224">
        <w:rPr>
          <w:rFonts w:ascii="Arial TUR" w:hAnsi="Arial TUR" w:cs="FrankRuehl"/>
          <w:spacing w:val="10"/>
          <w:sz w:val="22"/>
          <w:szCs w:val="28"/>
          <w:rtl/>
        </w:rPr>
        <w:t xml:space="preserve"> האונה המחוקקת, האונה המבצעת והאונה השופטת. שיתוק אחת </w:t>
      </w:r>
      <w:r w:rsidRPr="00632224">
        <w:rPr>
          <w:rFonts w:ascii="Arial TUR" w:hAnsi="Arial TUR" w:cs="FrankRuehl"/>
          <w:spacing w:val="10"/>
          <w:sz w:val="22"/>
          <w:szCs w:val="28"/>
          <w:rtl/>
        </w:rPr>
        <w:lastRenderedPageBreak/>
        <w:t xml:space="preserve">מהן יביא להיעלמות הדמוקרטיה. קיומה של רשות שופטת – כאונה חיונית בגופה של המדינה הדמוקרטית – </w:t>
      </w:r>
      <w:r w:rsidRPr="00632224">
        <w:rPr>
          <w:rFonts w:ascii="Century" w:hAnsi="Century" w:cs="Miriam"/>
          <w:b/>
          <w:sz w:val="22"/>
          <w:rtl/>
        </w:rPr>
        <w:t>משמיע מעצמו איסור חסימת צינורות הדם המוליכים אליה, איסור חסימת דרכו של אדם לבית-המשפט</w:t>
      </w:r>
      <w:r w:rsidRPr="00632224">
        <w:rPr>
          <w:rFonts w:ascii="Arial TUR" w:hAnsi="Arial TUR" w:cs="FrankRuehl" w:hint="cs"/>
          <w:spacing w:val="10"/>
          <w:sz w:val="22"/>
          <w:szCs w:val="28"/>
          <w:rtl/>
        </w:rPr>
        <w:t xml:space="preserve">" (בעמ' 630-629, הדגשות הוספו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דברים עוצמתיים אלה נאמרו בקשר לשאלה אם </w:t>
      </w:r>
      <w:r w:rsidRPr="00632224">
        <w:rPr>
          <w:rFonts w:ascii="Century" w:hAnsi="Century" w:cs="FrankRuehl"/>
          <w:spacing w:val="10"/>
          <w:sz w:val="22"/>
          <w:szCs w:val="28"/>
          <w:rtl/>
        </w:rPr>
        <w:t>מוסמך בית</w:t>
      </w: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המשפט המחוזי לדון</w:t>
      </w: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בבקשה לביטול מדגם שנרשם בפנקס המדגמים</w:t>
      </w:r>
      <w:r w:rsidRPr="00632224">
        <w:rPr>
          <w:rFonts w:ascii="Century" w:hAnsi="Century" w:cs="FrankRuehl" w:hint="cs"/>
          <w:spacing w:val="10"/>
          <w:sz w:val="22"/>
          <w:szCs w:val="28"/>
          <w:rtl/>
        </w:rPr>
        <w:t>. בענייננו-שלנו הדיון נסב על חסימה-רבתי של זכות הגישה האפקטיבית לערכאות בתחום המשפט המינהלי. על בית המשפט נאסר אפילו לדון בעתירה ובתובענה שעילתה בסבירות החלטות הממשלה ושריה ("לא ידון").</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79.</w:t>
      </w:r>
      <w:r w:rsidRPr="00632224">
        <w:rPr>
          <w:rFonts w:ascii="Arial TUR" w:hAnsi="Arial TUR" w:cs="FrankRuehl" w:hint="cs"/>
          <w:spacing w:val="10"/>
          <w:sz w:val="22"/>
          <w:szCs w:val="28"/>
          <w:rtl/>
        </w:rPr>
        <w:tab/>
        <w:t xml:space="preserve">הנפקות של התיקון היא שנחסמת דרכו של האזרח לקבל סעד אפקטיבי מול כוחה הבלתי מוגבל של הרשות המבצעת. </w:t>
      </w:r>
      <w:r w:rsidRPr="00632224">
        <w:rPr>
          <w:rFonts w:ascii="Century" w:hAnsi="Century" w:cs="FrankRuehl" w:hint="cs"/>
          <w:spacing w:val="10"/>
          <w:sz w:val="22"/>
          <w:szCs w:val="28"/>
          <w:rtl/>
        </w:rPr>
        <w:t xml:space="preserve">אין צורך להכביר מילים על חשיבות זכות הגישה לערכאות. המכונן היה ער לחשיבותה של זכות זו, כדי כך </w:t>
      </w:r>
      <w:r w:rsidRPr="00632224">
        <w:rPr>
          <w:rFonts w:ascii="Arial TUR" w:hAnsi="Arial TUR" w:cs="FrankRuehl" w:hint="cs"/>
          <w:spacing w:val="10"/>
          <w:sz w:val="22"/>
          <w:szCs w:val="28"/>
          <w:rtl/>
        </w:rPr>
        <w:t>שב</w:t>
      </w:r>
      <w:r w:rsidRPr="00632224">
        <w:rPr>
          <w:rFonts w:ascii="Arial TUR" w:hAnsi="Arial TUR" w:cs="FrankRuehl"/>
          <w:spacing w:val="10"/>
          <w:sz w:val="22"/>
          <w:szCs w:val="28"/>
          <w:rtl/>
        </w:rPr>
        <w:t>סעיף</w:t>
      </w:r>
      <w:r w:rsidRPr="00632224">
        <w:rPr>
          <w:rFonts w:ascii="Arial TUR" w:hAnsi="Arial TUR" w:cs="FrankRuehl" w:hint="cs"/>
          <w:spacing w:val="10"/>
          <w:sz w:val="22"/>
          <w:szCs w:val="28"/>
          <w:rtl/>
        </w:rPr>
        <w:t xml:space="preserve"> 39(ד) </w:t>
      </w:r>
      <w:r w:rsidRPr="00632224">
        <w:rPr>
          <w:rFonts w:ascii="Arial TUR" w:hAnsi="Arial TUR" w:cs="FrankRuehl"/>
          <w:spacing w:val="10"/>
          <w:sz w:val="22"/>
          <w:szCs w:val="28"/>
          <w:rtl/>
        </w:rPr>
        <w:t>לחוק</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 xml:space="preserve">יסוד: הממשלה </w:t>
      </w:r>
      <w:r w:rsidRPr="00632224">
        <w:rPr>
          <w:rFonts w:ascii="Arial TUR" w:hAnsi="Arial TUR" w:cs="FrankRuehl" w:hint="cs"/>
          <w:spacing w:val="10"/>
          <w:sz w:val="22"/>
          <w:szCs w:val="28"/>
          <w:rtl/>
        </w:rPr>
        <w:t>נקבע כי "</w:t>
      </w:r>
      <w:r w:rsidRPr="00632224">
        <w:rPr>
          <w:rFonts w:ascii="Arial TUR" w:hAnsi="Arial TUR" w:cs="FrankRuehl"/>
          <w:spacing w:val="10"/>
          <w:sz w:val="22"/>
          <w:szCs w:val="28"/>
          <w:rtl/>
        </w:rPr>
        <w:t>אין בכוחן של תקנות שעת חירום למנוע פניה לערכאות</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פגיעה בהפרדת הרשויות</w:t>
      </w:r>
    </w:p>
    <w:p w:rsidR="00244560" w:rsidRPr="00632224"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80</w:t>
      </w:r>
      <w:r w:rsidRPr="00632224">
        <w:rPr>
          <w:rFonts w:ascii="Century" w:hAnsi="Century" w:cs="FrankRuehl"/>
          <w:spacing w:val="10"/>
          <w:sz w:val="22"/>
          <w:szCs w:val="28"/>
          <w:rtl/>
        </w:rPr>
        <w:t>.</w:t>
      </w:r>
      <w:r w:rsidRPr="00632224">
        <w:rPr>
          <w:rFonts w:ascii="Arial TUR" w:hAnsi="Arial TUR" w:cs="FrankRuehl" w:hint="cs"/>
          <w:spacing w:val="10"/>
          <w:sz w:val="22"/>
          <w:szCs w:val="28"/>
          <w:rtl/>
        </w:rPr>
        <w:tab/>
        <w:t>עקרון הפרדת הרשויות נמצא בגרעין הקשה של כל משטר דמוקרטי ותכליתו היא ביזור הכוח ומניעת ריכוזו בידי גורם אחד. הדברים פשוטים וברורים, אך לעיתים רצוי לחזור על המובן מאליו:</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Century" w:hAnsi="Century" w:cs="FrankRuehl" w:hint="cs"/>
          <w:spacing w:val="10"/>
          <w:sz w:val="22"/>
          <w:szCs w:val="28"/>
          <w:rtl/>
        </w:rPr>
        <w:t xml:space="preserve">"תכליתו של עקרון הפרדת הרשויות וביזור הסמכויות גלויה על פניה: לבזר את כוחות השלטון בין גופים שונים ועל דרך זה למנוע 'ריכוז כוחות ביד אחת - ריכוז המאפיין משטר אוטוקרטי [...]. ליבתו של עקרון הפרדת הרשויות תימצא לנו, אפוא - בעיקרה - בביזור הכוחות </w:t>
      </w:r>
      <w:r w:rsidRPr="00632224">
        <w:rPr>
          <w:rFonts w:ascii="Century" w:hAnsi="Century" w:cs="FrankRuehl"/>
          <w:spacing w:val="10"/>
          <w:sz w:val="22"/>
          <w:szCs w:val="28"/>
          <w:rtl/>
        </w:rPr>
        <w:t>בין רשויות שונות;</w:t>
      </w:r>
      <w:r w:rsidRPr="00632224">
        <w:rPr>
          <w:rFonts w:ascii="Century" w:hAnsi="Century" w:cs="FrankRuehl" w:hint="cs"/>
          <w:spacing w:val="10"/>
          <w:sz w:val="22"/>
          <w:szCs w:val="28"/>
          <w:rtl/>
        </w:rPr>
        <w:t xml:space="preserve"> בהבטחה כי לא יהא זה גורם אחד ויחיד שירכז בידו סמכויות רבות יתר-על-המידה - ריכוז שיהפוך אותו גורם לשליט אוטוקרטי; ובקיום העיקרון כי הרשויות שתחזקנה בסמכויות תהיינה נפרדות זו-מזו" (דברי המשנה לנשיא (בדימ') </w:t>
      </w:r>
      <w:r w:rsidRPr="00632224">
        <w:rPr>
          <w:rFonts w:ascii="Arial TUR" w:hAnsi="Arial TUR" w:cs="Miriam" w:hint="eastAsia"/>
          <w:b/>
          <w:sz w:val="22"/>
          <w:rtl/>
        </w:rPr>
        <w:t>חשין</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 xml:space="preserve">בבג"ץ 11163/03 </w:t>
      </w:r>
      <w:r w:rsidRPr="00632224">
        <w:rPr>
          <w:rFonts w:ascii="Century" w:hAnsi="Century" w:cs="Miriam" w:hint="cs"/>
          <w:b/>
          <w:sz w:val="22"/>
          <w:rtl/>
        </w:rPr>
        <w:t>ועדת המעקב העליונה לענייני הערבים בישראל נ' ראש ממשלת ישראל</w:t>
      </w:r>
      <w:r w:rsidRPr="00632224">
        <w:rPr>
          <w:rFonts w:ascii="Century" w:hAnsi="Century" w:cs="FrankRuehl" w:hint="cs"/>
          <w:spacing w:val="10"/>
          <w:sz w:val="22"/>
          <w:szCs w:val="28"/>
          <w:rtl/>
        </w:rPr>
        <w:t xml:space="preserve">, פ"ד סא(1) 1, 56 (2006) (להלן: </w:t>
      </w:r>
      <w:r w:rsidRPr="00632224">
        <w:rPr>
          <w:rFonts w:ascii="Arial TUR" w:hAnsi="Arial TUR" w:cs="FrankRuehl" w:hint="eastAsia"/>
          <w:spacing w:val="10"/>
          <w:sz w:val="22"/>
          <w:szCs w:val="28"/>
          <w:rtl/>
        </w:rPr>
        <w:t>עניין</w:t>
      </w:r>
      <w:r w:rsidRPr="00632224">
        <w:rPr>
          <w:rFonts w:ascii="Century" w:hAnsi="Century" w:cs="Miriam" w:hint="cs"/>
          <w:b/>
          <w:sz w:val="22"/>
          <w:rtl/>
        </w:rPr>
        <w:t xml:space="preserve"> ועדת המעקב</w:t>
      </w:r>
      <w:r w:rsidRPr="00632224">
        <w:rPr>
          <w:rFonts w:ascii="Century" w:hAnsi="Century" w:cs="FrankRuehl" w:hint="cs"/>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"ביזור סמכויות – כיצד? לביזור סמכויות אופטימלי נבחרה הנוסחה – גם היא באה מניסיון החיים – של 'איזונים ובלמים' (</w:t>
      </w:r>
      <w:r w:rsidRPr="00632224">
        <w:rPr>
          <w:rFonts w:cs="FrankRuehl"/>
          <w:spacing w:val="10"/>
          <w:sz w:val="22"/>
          <w:szCs w:val="22"/>
        </w:rPr>
        <w:t>checks and balances</w:t>
      </w:r>
      <w:r w:rsidRPr="00632224">
        <w:rPr>
          <w:rFonts w:ascii="Arial TUR" w:hAnsi="Arial TUR" w:cs="FrankRuehl" w:hint="cs"/>
          <w:spacing w:val="10"/>
          <w:sz w:val="22"/>
          <w:szCs w:val="28"/>
          <w:rtl/>
        </w:rPr>
        <w:t>). וזה עיקרה של הנוסחה: לכל אחת משלוש הרשויות העושות שלטון מוקצית חלקה משלה, ובה היא שליטה בלבדית – חלקת</w:t>
      </w:r>
      <w:r w:rsidRPr="00632224">
        <w:rPr>
          <w:rFonts w:ascii="Arial TUR" w:hAnsi="Arial TUR" w:cs="FrankRuehl" w:hint="cs"/>
          <w:spacing w:val="10"/>
          <w:position w:val="4"/>
          <w:sz w:val="22"/>
          <w:szCs w:val="28"/>
          <w:rtl/>
        </w:rPr>
        <w:t>-</w:t>
      </w:r>
      <w:r w:rsidRPr="00632224">
        <w:rPr>
          <w:rFonts w:ascii="Arial TUR" w:hAnsi="Arial TUR" w:cs="FrankRuehl" w:hint="cs"/>
          <w:spacing w:val="10"/>
          <w:sz w:val="22"/>
          <w:szCs w:val="28"/>
          <w:rtl/>
        </w:rPr>
        <w:lastRenderedPageBreak/>
        <w:t>מחוקק, חלקת</w:t>
      </w:r>
      <w:r w:rsidRPr="00632224">
        <w:rPr>
          <w:rFonts w:ascii="Arial TUR" w:hAnsi="Arial TUR" w:cs="FrankRuehl" w:hint="cs"/>
          <w:spacing w:val="10"/>
          <w:position w:val="4"/>
          <w:sz w:val="22"/>
          <w:szCs w:val="28"/>
          <w:rtl/>
        </w:rPr>
        <w:t>-</w:t>
      </w:r>
      <w:r w:rsidRPr="00632224">
        <w:rPr>
          <w:rFonts w:ascii="Arial TUR" w:hAnsi="Arial TUR" w:cs="FrankRuehl" w:hint="cs"/>
          <w:spacing w:val="10"/>
          <w:sz w:val="22"/>
          <w:szCs w:val="28"/>
          <w:rtl/>
        </w:rPr>
        <w:t>מבצע, חלקת</w:t>
      </w:r>
      <w:r w:rsidRPr="00632224">
        <w:rPr>
          <w:rFonts w:ascii="Arial TUR" w:hAnsi="Arial TUR" w:cs="FrankRuehl" w:hint="cs"/>
          <w:spacing w:val="10"/>
          <w:position w:val="4"/>
          <w:sz w:val="22"/>
          <w:szCs w:val="28"/>
          <w:rtl/>
        </w:rPr>
        <w:t>-</w:t>
      </w:r>
      <w:r w:rsidRPr="00632224">
        <w:rPr>
          <w:rFonts w:ascii="Arial TUR" w:hAnsi="Arial TUR" w:cs="FrankRuehl" w:hint="cs"/>
          <w:spacing w:val="10"/>
          <w:sz w:val="22"/>
          <w:szCs w:val="28"/>
          <w:rtl/>
        </w:rPr>
        <w:t>שופט. [...] חוכמת המדינאות היא כי יישמר שיווי</w:t>
      </w:r>
      <w:r w:rsidRPr="00632224">
        <w:rPr>
          <w:rFonts w:ascii="Arial TUR" w:hAnsi="Arial TUR" w:cs="FrankRuehl" w:hint="cs"/>
          <w:spacing w:val="10"/>
          <w:position w:val="4"/>
          <w:sz w:val="22"/>
          <w:szCs w:val="28"/>
          <w:rtl/>
        </w:rPr>
        <w:t>-</w:t>
      </w:r>
      <w:r w:rsidRPr="00632224">
        <w:rPr>
          <w:rFonts w:ascii="Arial TUR" w:hAnsi="Arial TUR" w:cs="FrankRuehl" w:hint="cs"/>
          <w:spacing w:val="10"/>
          <w:sz w:val="22"/>
          <w:szCs w:val="28"/>
          <w:rtl/>
        </w:rPr>
        <w:t>משקל, והנדנדה תיסוב במתינות לרווחתם של הכול. ואולם, שעה שאחת מן הרשויות תטלטל את קרניה יתר</w:t>
      </w:r>
      <w:r w:rsidRPr="00632224">
        <w:rPr>
          <w:rFonts w:ascii="Arial TUR" w:hAnsi="Arial TUR" w:cs="FrankRuehl" w:hint="cs"/>
          <w:spacing w:val="10"/>
          <w:position w:val="4"/>
          <w:sz w:val="22"/>
          <w:szCs w:val="28"/>
          <w:rtl/>
        </w:rPr>
        <w:t>-</w:t>
      </w:r>
      <w:r w:rsidRPr="00632224">
        <w:rPr>
          <w:rFonts w:ascii="Arial TUR" w:hAnsi="Arial TUR" w:cs="FrankRuehl" w:hint="cs"/>
          <w:spacing w:val="10"/>
          <w:sz w:val="22"/>
          <w:szCs w:val="28"/>
          <w:rtl/>
        </w:rPr>
        <w:t>על</w:t>
      </w:r>
      <w:r w:rsidRPr="00632224">
        <w:rPr>
          <w:rFonts w:ascii="Arial TUR" w:hAnsi="Arial TUR" w:cs="FrankRuehl" w:hint="cs"/>
          <w:spacing w:val="10"/>
          <w:position w:val="4"/>
          <w:sz w:val="22"/>
          <w:szCs w:val="28"/>
          <w:rtl/>
        </w:rPr>
        <w:t>-</w:t>
      </w:r>
      <w:r w:rsidRPr="00632224">
        <w:rPr>
          <w:rFonts w:ascii="Arial TUR" w:hAnsi="Arial TUR" w:cs="FrankRuehl" w:hint="cs"/>
          <w:spacing w:val="10"/>
          <w:sz w:val="22"/>
          <w:szCs w:val="28"/>
          <w:rtl/>
        </w:rPr>
        <w:t>המידה, או מקום שאחת מן הרוכבות על כנף</w:t>
      </w:r>
      <w:r w:rsidRPr="00632224">
        <w:rPr>
          <w:rFonts w:ascii="Arial TUR" w:hAnsi="Arial TUR" w:cs="FrankRuehl" w:hint="cs"/>
          <w:spacing w:val="10"/>
          <w:position w:val="4"/>
          <w:sz w:val="22"/>
          <w:szCs w:val="28"/>
          <w:rtl/>
        </w:rPr>
        <w:t>-</w:t>
      </w:r>
      <w:r w:rsidRPr="00632224">
        <w:rPr>
          <w:rFonts w:ascii="Arial TUR" w:hAnsi="Arial TUR" w:cs="FrankRuehl" w:hint="cs"/>
          <w:spacing w:val="10"/>
          <w:sz w:val="22"/>
          <w:szCs w:val="28"/>
          <w:rtl/>
        </w:rPr>
        <w:t>הנדנדה תפר את שיווי</w:t>
      </w:r>
      <w:r w:rsidRPr="00632224">
        <w:rPr>
          <w:rFonts w:ascii="Arial TUR" w:hAnsi="Arial TUR" w:cs="FrankRuehl" w:hint="cs"/>
          <w:spacing w:val="10"/>
          <w:position w:val="4"/>
          <w:sz w:val="22"/>
          <w:szCs w:val="28"/>
          <w:rtl/>
        </w:rPr>
        <w:t>-</w:t>
      </w:r>
      <w:r w:rsidRPr="00632224">
        <w:rPr>
          <w:rFonts w:ascii="Arial TUR" w:hAnsi="Arial TUR" w:cs="FrankRuehl" w:hint="cs"/>
          <w:spacing w:val="10"/>
          <w:sz w:val="22"/>
          <w:szCs w:val="28"/>
          <w:rtl/>
        </w:rPr>
        <w:t xml:space="preserve">המשקל, ייפרעו הסדרים, וטלטלה תאחז בכל מערך השלטון" (דברי השופט </w:t>
      </w:r>
      <w:r w:rsidRPr="00632224">
        <w:rPr>
          <w:rFonts w:ascii="Century" w:hAnsi="Century" w:cs="Miriam" w:hint="eastAsia"/>
          <w:b/>
          <w:sz w:val="22"/>
          <w:rtl/>
        </w:rPr>
        <w:t>חשין</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בעניין </w:t>
      </w:r>
      <w:r w:rsidRPr="00632224">
        <w:rPr>
          <w:rFonts w:ascii="Century" w:hAnsi="Century" w:cs="Miriam" w:hint="eastAsia"/>
          <w:b/>
          <w:sz w:val="22"/>
          <w:rtl/>
        </w:rPr>
        <w:t>מגדלי</w:t>
      </w:r>
      <w:r w:rsidRPr="00632224">
        <w:rPr>
          <w:rFonts w:ascii="Century" w:hAnsi="Century" w:cs="Miriam"/>
          <w:b/>
          <w:sz w:val="22"/>
          <w:rtl/>
        </w:rPr>
        <w:t xml:space="preserve"> </w:t>
      </w:r>
      <w:r w:rsidRPr="00632224">
        <w:rPr>
          <w:rFonts w:ascii="Century" w:hAnsi="Century" w:cs="Miriam" w:hint="eastAsia"/>
          <w:b/>
          <w:sz w:val="22"/>
          <w:rtl/>
        </w:rPr>
        <w:t>העופות</w:t>
      </w:r>
      <w:r w:rsidRPr="00632224">
        <w:rPr>
          <w:rFonts w:ascii="Arial TUR" w:hAnsi="Arial TUR" w:cs="FrankRuehl" w:hint="cs"/>
          <w:spacing w:val="10"/>
          <w:sz w:val="22"/>
          <w:szCs w:val="28"/>
          <w:rtl/>
        </w:rPr>
        <w:t>, בעמ' 82).</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עוד על חשיבות הפרדת הרשויות ראו בפסק דינו של השופט </w:t>
      </w:r>
      <w:r w:rsidRPr="00632224">
        <w:rPr>
          <w:rFonts w:ascii="Century" w:hAnsi="Century" w:cs="Miriam" w:hint="eastAsia"/>
          <w:b/>
          <w:sz w:val="22"/>
          <w:rtl/>
        </w:rPr>
        <w:t>סולברג</w:t>
      </w:r>
      <w:r w:rsidRPr="00632224">
        <w:rPr>
          <w:rFonts w:ascii="Arial TUR" w:hAnsi="Arial TUR" w:cs="FrankRuehl" w:hint="cs"/>
          <w:spacing w:val="10"/>
          <w:sz w:val="22"/>
          <w:szCs w:val="28"/>
          <w:rtl/>
        </w:rPr>
        <w:t xml:space="preserve"> בעניין </w:t>
      </w:r>
      <w:r w:rsidRPr="00632224">
        <w:rPr>
          <w:rFonts w:ascii="Century" w:hAnsi="Century" w:cs="Miriam" w:hint="cs"/>
          <w:b/>
          <w:sz w:val="22"/>
          <w:rtl/>
        </w:rPr>
        <w:t>קוונטינסקי</w:t>
      </w:r>
      <w:r w:rsidRPr="00632224">
        <w:rPr>
          <w:rFonts w:ascii="Arial TUR" w:hAnsi="Arial TUR" w:cs="FrankRuehl" w:hint="cs"/>
          <w:spacing w:val="10"/>
          <w:sz w:val="22"/>
          <w:szCs w:val="28"/>
          <w:rtl/>
        </w:rPr>
        <w:t xml:space="preserve">, בפסקאות 36-35.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81.</w:t>
      </w:r>
      <w:r w:rsidRPr="00632224">
        <w:rPr>
          <w:rFonts w:ascii="Arial TUR" w:hAnsi="Arial TUR" w:cs="FrankRuehl" w:hint="cs"/>
          <w:spacing w:val="10"/>
          <w:sz w:val="22"/>
          <w:szCs w:val="28"/>
          <w:rtl/>
        </w:rPr>
        <w:tab/>
        <w:t xml:space="preserve">הרציונל מאחורי הפרדת הרשויות הוא מניעת עריצות הרוב והגנה על הפרט. רק על ידי "מניעת ריכוז היתר של הכוח באופן בלעדי בידי רשות אחת, מובטחת הדמוקרטיה ונשמרת חירותם של הפרט ושל הכלל" (בג"ץ 910/86 </w:t>
      </w:r>
      <w:r w:rsidRPr="00632224">
        <w:rPr>
          <w:rFonts w:ascii="Century" w:hAnsi="Century" w:cs="Miriam" w:hint="cs"/>
          <w:b/>
          <w:sz w:val="22"/>
          <w:rtl/>
        </w:rPr>
        <w:t>רסלר נ' שר הביטחון</w:t>
      </w:r>
      <w:r w:rsidRPr="00632224">
        <w:rPr>
          <w:rFonts w:ascii="Arial TUR" w:hAnsi="Arial TUR" w:cs="FrankRuehl" w:hint="cs"/>
          <w:spacing w:val="10"/>
          <w:sz w:val="22"/>
          <w:szCs w:val="28"/>
          <w:rtl/>
        </w:rPr>
        <w:t>, פ"ד מב(2) 441, 518 (1988)). אך הפרדת רשויות אין משמעה חיץ בין הרשויות אלא איזון ביניהן:</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cs="FrankRuehl"/>
          <w:spacing w:val="10"/>
          <w:sz w:val="24"/>
          <w:szCs w:val="28"/>
          <w:rtl/>
        </w:rPr>
        <w:t>"</w:t>
      </w:r>
      <w:r w:rsidRPr="00632224">
        <w:rPr>
          <w:rFonts w:ascii="Arial TUR" w:hAnsi="Arial TUR" w:cs="FrankRuehl"/>
          <w:spacing w:val="10"/>
          <w:sz w:val="22"/>
          <w:szCs w:val="28"/>
          <w:rtl/>
        </w:rPr>
        <w:t>ההפרדה בין הרשויות אין משמעותה דווקא יצירתו של חיץ, המונע החלטית כל קשר ומגע בין הרשויות, אלא ביטויה בעיקר בקיומו של איזון בין סמכויותיהן של הרשויות, להלכה ולמעשה, המאפשר אי-תלות תוך פיקוח הדדי מוגד</w:t>
      </w:r>
      <w:r w:rsidRPr="00632224">
        <w:rPr>
          <w:rFonts w:ascii="Arial TUR" w:hAnsi="Arial TUR" w:cs="FrankRuehl" w:hint="cs"/>
          <w:spacing w:val="10"/>
          <w:sz w:val="22"/>
          <w:szCs w:val="28"/>
          <w:rtl/>
        </w:rPr>
        <w:t xml:space="preserve">ר" </w:t>
      </w:r>
      <w:r w:rsidRPr="00632224">
        <w:rPr>
          <w:rFonts w:ascii="Century" w:hAnsi="Century" w:cs="FrankRuehl" w:hint="cs"/>
          <w:spacing w:val="10"/>
          <w:sz w:val="22"/>
          <w:szCs w:val="28"/>
          <w:rtl/>
        </w:rPr>
        <w:t>(</w:t>
      </w:r>
      <w:r w:rsidRPr="00632224">
        <w:rPr>
          <w:rFonts w:ascii="Century" w:hAnsi="Century" w:cs="FrankRuehl"/>
          <w:spacing w:val="10"/>
          <w:sz w:val="22"/>
          <w:szCs w:val="28"/>
          <w:rtl/>
        </w:rPr>
        <w:t>בג"</w:t>
      </w:r>
      <w:r w:rsidRPr="00632224">
        <w:rPr>
          <w:rFonts w:ascii="Century" w:hAnsi="Century" w:cs="FrankRuehl" w:hint="cs"/>
          <w:spacing w:val="10"/>
          <w:sz w:val="22"/>
          <w:szCs w:val="28"/>
          <w:rtl/>
        </w:rPr>
        <w:t>ץ</w:t>
      </w:r>
      <w:r w:rsidRPr="00632224">
        <w:rPr>
          <w:rFonts w:ascii="Century" w:hAnsi="Century" w:cs="FrankRuehl"/>
          <w:spacing w:val="10"/>
          <w:sz w:val="22"/>
          <w:szCs w:val="28"/>
          <w:rtl/>
        </w:rPr>
        <w:t xml:space="preserve"> 306/81 </w:t>
      </w:r>
      <w:r w:rsidRPr="00632224">
        <w:rPr>
          <w:rFonts w:ascii="Century" w:hAnsi="Century" w:cs="Miriam"/>
          <w:b/>
          <w:sz w:val="22"/>
          <w:rtl/>
        </w:rPr>
        <w:t>שרון נ' ועדת הכנסת</w:t>
      </w:r>
      <w:r w:rsidRPr="00632224">
        <w:rPr>
          <w:rFonts w:ascii="Century" w:hAnsi="Century" w:cs="FrankRuehl"/>
          <w:spacing w:val="10"/>
          <w:sz w:val="22"/>
          <w:szCs w:val="28"/>
          <w:rtl/>
        </w:rPr>
        <w:t>, פ"ד לה</w:t>
      </w:r>
      <w:r w:rsidRPr="00632224">
        <w:rPr>
          <w:rFonts w:ascii="Arial TUR" w:hAnsi="Arial TUR" w:cs="FrankRuehl"/>
          <w:spacing w:val="10"/>
          <w:sz w:val="22"/>
          <w:szCs w:val="28"/>
          <w:rtl/>
        </w:rPr>
        <w:t>(4)</w:t>
      </w:r>
      <w:r w:rsidRPr="00632224">
        <w:rPr>
          <w:rFonts w:ascii="Arial TUR" w:hAnsi="Arial TUR" w:cs="FrankRuehl" w:hint="cs"/>
          <w:spacing w:val="10"/>
          <w:sz w:val="22"/>
          <w:szCs w:val="28"/>
          <w:rtl/>
        </w:rPr>
        <w:t xml:space="preserve"> </w:t>
      </w:r>
      <w:r w:rsidRPr="00632224">
        <w:rPr>
          <w:rFonts w:ascii="Century" w:hAnsi="Century" w:cs="FrankRuehl" w:hint="cs"/>
          <w:spacing w:val="10"/>
          <w:sz w:val="22"/>
          <w:szCs w:val="28"/>
          <w:rtl/>
        </w:rPr>
        <w:t>141, 181</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(1981)).</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Arial TUR" w:hAnsi="Arial TUR" w:cs="FrankRuehl" w:hint="cs"/>
          <w:spacing w:val="10"/>
          <w:sz w:val="22"/>
          <w:szCs w:val="28"/>
          <w:rtl/>
        </w:rPr>
        <w:t xml:space="preserve">"סמכות הביקורת השיפוטית של בית משפט זה בשבתו כבית המשפט הגבוה לצדק נחשבת לאבן יסוד של מערך האיזונים בין הרשויות בישראל ועל כן מצאה את מקומה במסגרת הוראת חוק יסוד: השפיטה" (עניין </w:t>
      </w:r>
      <w:r w:rsidRPr="00632224">
        <w:rPr>
          <w:rFonts w:ascii="Century" w:hAnsi="Century" w:cs="Miriam" w:hint="cs"/>
          <w:b/>
          <w:sz w:val="22"/>
          <w:rtl/>
        </w:rPr>
        <w:t>שפיר</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בפסקה 8 לפסק דינו של השופט </w:t>
      </w:r>
      <w:r w:rsidRPr="00632224">
        <w:rPr>
          <w:rFonts w:ascii="Century" w:hAnsi="Century" w:cs="Miriam" w:hint="eastAsia"/>
          <w:b/>
          <w:sz w:val="22"/>
          <w:rtl/>
        </w:rPr>
        <w:t>מינץ</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הפרדת הרשויות נועדה אפוא ליצור משטר של איזונים ובלמים על מנת למנוע ריכוז הכוח. בהעדר בלמים, קצר המרחק לשלטון ללא מעצורים. ודוק: איננו באים לומר כי לרשות השופטת יש מונופול על עיצוב ההסדרים הנוגעים לביקורת שיפוטית וכי הגבלה על היקף הביקורת דינה להיפסל במישור החוקתי. ברם, יש להבחין בין הגבלה נקודתית-נושאית, לבין הגבלה גורפת כמו במקרה דנן. ביטול עילת הסבירות ביחס לממשלה ולכל אחד משריה משמעו ניטרול של אחד הכלים העיקריים המשמשים לפיקוח שיפוטי על החלטות הממשלה והשרים, ומתן כוח גדול עוד יותר מהכוח הרב הנתון כבר ממילא בידי הרשות המבצעת. נטלת מהמשפט המינהלי את עילת הסבירות, נמצאת </w:t>
      </w:r>
      <w:r w:rsidRPr="00632224">
        <w:rPr>
          <w:rFonts w:ascii="Arial TUR" w:hAnsi="Arial TUR" w:cs="FrankRuehl" w:hint="cs"/>
          <w:spacing w:val="10"/>
          <w:sz w:val="22"/>
          <w:szCs w:val="28"/>
          <w:rtl/>
        </w:rPr>
        <w:lastRenderedPageBreak/>
        <w:t xml:space="preserve">מחליש את הביקורת על החלטות </w:t>
      </w:r>
      <w:r w:rsidRPr="00632224">
        <w:rPr>
          <w:rFonts w:ascii="Arial TUR" w:hAnsi="Arial TUR" w:cs="FrankRuehl" w:hint="eastAsia"/>
          <w:spacing w:val="10"/>
          <w:sz w:val="22"/>
          <w:szCs w:val="28"/>
          <w:rtl/>
        </w:rPr>
        <w:t>הממשלה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ושריה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לכן</w:t>
      </w:r>
      <w:r w:rsidRPr="00632224">
        <w:rPr>
          <w:rFonts w:ascii="Arial TUR" w:hAnsi="Arial TUR" w:cs="FrankRuehl"/>
          <w:spacing w:val="10"/>
          <w:sz w:val="22"/>
          <w:szCs w:val="28"/>
          <w:rtl/>
        </w:rPr>
        <w:t xml:space="preserve">, הטענה כי </w:t>
      </w:r>
      <w:r w:rsidRPr="00632224">
        <w:rPr>
          <w:rFonts w:ascii="Arial TUR" w:hAnsi="Arial TUR" w:cs="FrankRuehl" w:hint="eastAsia"/>
          <w:spacing w:val="10"/>
          <w:sz w:val="22"/>
          <w:szCs w:val="28"/>
          <w:rtl/>
        </w:rPr>
        <w:t>יש</w:t>
      </w:r>
      <w:r w:rsidRPr="00632224">
        <w:rPr>
          <w:rFonts w:ascii="Arial TUR" w:hAnsi="Arial TUR" w:cs="FrankRuehl"/>
          <w:spacing w:val="10"/>
          <w:sz w:val="22"/>
          <w:szCs w:val="28"/>
          <w:rtl/>
        </w:rPr>
        <w:t xml:space="preserve"> בתיקון לחוק היסוד </w:t>
      </w:r>
      <w:r w:rsidRPr="00632224">
        <w:rPr>
          <w:rFonts w:ascii="Arial TUR" w:hAnsi="Arial TUR" w:cs="FrankRuehl" w:hint="eastAsia"/>
          <w:spacing w:val="10"/>
          <w:sz w:val="22"/>
          <w:szCs w:val="28"/>
          <w:rtl/>
        </w:rPr>
        <w:t>כדי</w:t>
      </w:r>
      <w:r w:rsidRPr="00632224">
        <w:rPr>
          <w:rFonts w:ascii="Arial TUR" w:hAnsi="Arial TUR" w:cs="FrankRuehl"/>
          <w:spacing w:val="10"/>
          <w:sz w:val="22"/>
          <w:szCs w:val="28"/>
          <w:rtl/>
        </w:rPr>
        <w:t xml:space="preserve"> "לחזק" </w:t>
      </w:r>
      <w:r w:rsidRPr="00632224">
        <w:rPr>
          <w:rFonts w:ascii="Arial TUR" w:hAnsi="Arial TUR" w:cs="FrankRuehl" w:hint="eastAsia"/>
          <w:spacing w:val="10"/>
          <w:sz w:val="22"/>
          <w:szCs w:val="28"/>
          <w:rtl/>
        </w:rPr>
        <w:t>את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הדמוקרטיה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אמירה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מטעה</w:t>
      </w:r>
      <w:r w:rsidRPr="00632224">
        <w:rPr>
          <w:rFonts w:ascii="Arial TUR" w:hAnsi="Arial TUR" w:cs="FrankRuehl"/>
          <w:spacing w:val="10"/>
          <w:sz w:val="22"/>
          <w:szCs w:val="28"/>
          <w:rtl/>
        </w:rPr>
        <w:t xml:space="preserve">, בלשון המעטה.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82.</w:t>
      </w: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הייתה זו דווקא הממשלה בתגובתה שציטטה את דברי השופט </w:t>
      </w:r>
      <w:r w:rsidRPr="00632224">
        <w:rPr>
          <w:rFonts w:ascii="Century" w:hAnsi="Century" w:cs="Miriam" w:hint="cs"/>
          <w:b/>
          <w:sz w:val="22"/>
          <w:rtl/>
        </w:rPr>
        <w:t>זילברג</w:t>
      </w:r>
      <w:r w:rsidRPr="00632224">
        <w:rPr>
          <w:rFonts w:ascii="Arial TUR" w:hAnsi="Arial TUR" w:cs="FrankRuehl" w:hint="cs"/>
          <w:spacing w:val="10"/>
          <w:sz w:val="22"/>
          <w:szCs w:val="28"/>
          <w:rtl/>
        </w:rPr>
        <w:t>:</w:t>
      </w:r>
    </w:p>
    <w:p w:rsidR="00244560" w:rsidRPr="00632224" w:rsidRDefault="00244560" w:rsidP="00244560">
      <w:pPr>
        <w:keepNext/>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"[ב]</w:t>
      </w:r>
      <w:r w:rsidRPr="00632224">
        <w:rPr>
          <w:rFonts w:ascii="Arial TUR" w:hAnsi="Arial TUR" w:cs="FrankRuehl"/>
          <w:spacing w:val="10"/>
          <w:sz w:val="22"/>
          <w:szCs w:val="28"/>
          <w:rtl/>
        </w:rPr>
        <w:t>משטר טוטליטרי מושך השליט אליו, או לנאמניו, את כל ענפי השלטון; במשטר דמוקרטי הסמכויות חלוקות, ו</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אין מלכות נוגעת בחברתה אפילו כמלוא נימה</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אפילו כמלוא נימה, כי הוויתור ב</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פכים קטנים</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שאדם דש בעקביו, גורר קמעא קמעא אחריו את ריכוז כל הסמכויות ביד אחת, או בידיים אחדות; והדברים עתיקים</w:t>
      </w:r>
      <w:r w:rsidRPr="00632224">
        <w:rPr>
          <w:rFonts w:ascii="Arial TUR" w:hAnsi="Arial TUR" w:cs="FrankRuehl" w:hint="cs"/>
          <w:spacing w:val="10"/>
          <w:sz w:val="22"/>
          <w:szCs w:val="28"/>
          <w:rtl/>
        </w:rPr>
        <w:t xml:space="preserve">" (בג"ץ 188/63 </w:t>
      </w:r>
      <w:r w:rsidRPr="00632224">
        <w:rPr>
          <w:rFonts w:ascii="Century" w:hAnsi="Century" w:cs="Miriam" w:hint="cs"/>
          <w:b/>
          <w:sz w:val="22"/>
          <w:rtl/>
        </w:rPr>
        <w:t>בצול נ' שר הפנים</w:t>
      </w:r>
      <w:r w:rsidRPr="00632224">
        <w:rPr>
          <w:rFonts w:ascii="Arial TUR" w:hAnsi="Arial TUR" w:cs="FrankRuehl" w:hint="cs"/>
          <w:spacing w:val="10"/>
          <w:sz w:val="22"/>
          <w:szCs w:val="28"/>
          <w:rtl/>
        </w:rPr>
        <w:t>, פ"ד יט(3) 337, 343 (1965)).</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ועל זה נאמר, היא הנותנת. ביטול עילת הסבירות ביחס לממשלה ושרי הממשלה הוא העצמת הכוח הריכוזי שמצוי ממילא בידי הרשות המבצעת ודילול חלקת השדה שבתחומי הרשות השופטת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w:t>
      </w:r>
      <w:r w:rsidRPr="00632224">
        <w:rPr>
          <w:rFonts w:ascii="Century" w:hAnsi="Century" w:cs="FrankRuehl" w:hint="cs"/>
          <w:spacing w:val="10"/>
          <w:sz w:val="22"/>
          <w:szCs w:val="28"/>
          <w:rtl/>
        </w:rPr>
        <w:t xml:space="preserve">כל רשות תפעל ותעשה אך-ורק בגידרי הסמכויות שניתנו לה בחוק (ובחוקה) ואסורה היא מֵחֲרוֹש בשדות שהוקצו לאחיותיה" (המשנה לנשיא (בדימ') </w:t>
      </w:r>
      <w:r w:rsidRPr="00632224">
        <w:rPr>
          <w:rFonts w:ascii="Century" w:hAnsi="Century" w:cs="Miriam" w:hint="eastAsia"/>
          <w:b/>
          <w:sz w:val="22"/>
          <w:rtl/>
        </w:rPr>
        <w:t>חשין</w:t>
      </w:r>
      <w:r w:rsidRPr="00632224">
        <w:rPr>
          <w:rFonts w:ascii="Century" w:hAnsi="Century" w:cs="FrankRuehl" w:hint="cs"/>
          <w:spacing w:val="10"/>
          <w:sz w:val="22"/>
          <w:szCs w:val="28"/>
          <w:rtl/>
        </w:rPr>
        <w:t xml:space="preserve"> </w:t>
      </w:r>
      <w:r w:rsidRPr="00632224">
        <w:rPr>
          <w:rFonts w:ascii="Century" w:hAnsi="Century" w:cs="FrankRuehl" w:hint="eastAsia"/>
          <w:spacing w:val="10"/>
          <w:sz w:val="22"/>
          <w:szCs w:val="28"/>
          <w:rtl/>
        </w:rPr>
        <w:t>בעניין</w:t>
      </w:r>
      <w:r w:rsidRPr="00632224">
        <w:rPr>
          <w:rFonts w:ascii="Century" w:hAnsi="Century" w:cs="Miriam" w:hint="cs"/>
          <w:b/>
          <w:sz w:val="22"/>
          <w:rtl/>
        </w:rPr>
        <w:t xml:space="preserve"> ועדת המעקב</w:t>
      </w:r>
      <w:r w:rsidRPr="00632224">
        <w:rPr>
          <w:rFonts w:ascii="Century" w:hAnsi="Century" w:cs="FrankRuehl" w:hint="cs"/>
          <w:spacing w:val="10"/>
          <w:sz w:val="22"/>
          <w:szCs w:val="28"/>
          <w:rtl/>
        </w:rPr>
        <w:t xml:space="preserve">, בעמ' 57).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ab/>
        <w:t xml:space="preserve"> </w:t>
      </w:r>
    </w:p>
    <w:p w:rsidR="00244560" w:rsidRPr="00632224" w:rsidRDefault="00244560" w:rsidP="00244560">
      <w:pPr>
        <w:keepNext/>
        <w:keepLines/>
        <w:spacing w:line="360" w:lineRule="auto"/>
        <w:outlineLvl w:val="0"/>
        <w:rPr>
          <w:rFonts w:ascii="Century" w:hAnsi="Century" w:cs="Miriam"/>
          <w:b/>
          <w:sz w:val="32"/>
          <w:rtl/>
        </w:rPr>
      </w:pPr>
      <w:r w:rsidRPr="00632224">
        <w:rPr>
          <w:rFonts w:ascii="Century" w:hAnsi="Century" w:cs="Miriam" w:hint="eastAsia"/>
          <w:b/>
          <w:sz w:val="22"/>
          <w:rtl/>
        </w:rPr>
        <w:t>פגיעה</w:t>
      </w:r>
      <w:r w:rsidRPr="00632224">
        <w:rPr>
          <w:rFonts w:ascii="Century" w:hAnsi="Century" w:cs="Miriam"/>
          <w:b/>
          <w:sz w:val="22"/>
          <w:rtl/>
        </w:rPr>
        <w:t xml:space="preserve"> </w:t>
      </w:r>
      <w:r w:rsidRPr="00632224">
        <w:rPr>
          <w:rFonts w:ascii="Century" w:hAnsi="Century" w:cs="Miriam" w:hint="eastAsia"/>
          <w:b/>
          <w:sz w:val="22"/>
          <w:rtl/>
        </w:rPr>
        <w:t>בשלטון</w:t>
      </w:r>
      <w:r w:rsidRPr="00632224">
        <w:rPr>
          <w:rFonts w:ascii="Century" w:hAnsi="Century" w:cs="Miriam"/>
          <w:b/>
          <w:sz w:val="22"/>
          <w:rtl/>
        </w:rPr>
        <w:t xml:space="preserve"> </w:t>
      </w:r>
      <w:r w:rsidRPr="00632224">
        <w:rPr>
          <w:rFonts w:ascii="Century" w:hAnsi="Century" w:cs="Miriam" w:hint="eastAsia"/>
          <w:b/>
          <w:sz w:val="22"/>
          <w:rtl/>
        </w:rPr>
        <w:t>החוק</w:t>
      </w:r>
      <w:r w:rsidRPr="00632224">
        <w:rPr>
          <w:rFonts w:ascii="Century" w:hAnsi="Century" w:cs="Miriam"/>
          <w:b/>
          <w:sz w:val="22"/>
          <w:rtl/>
        </w:rPr>
        <w:t xml:space="preserve"> </w:t>
      </w:r>
    </w:p>
    <w:p w:rsidR="00244560" w:rsidRPr="009B0AFF"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83.</w:t>
      </w: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אחד העקרונות החשובים בדמוקרטיה הוא הערך של שלטון החוק (על שלטון החוק בישראל ראו שורת המאמרים הנזכרים </w:t>
      </w:r>
      <w:r w:rsidRPr="00632224">
        <w:rPr>
          <w:rFonts w:ascii="Century" w:hAnsi="Century" w:cs="FrankRuehl" w:hint="eastAsia"/>
          <w:spacing w:val="10"/>
          <w:sz w:val="22"/>
          <w:szCs w:val="28"/>
          <w:rtl/>
        </w:rPr>
        <w:t>אצל</w:t>
      </w:r>
      <w:r w:rsidRPr="00632224">
        <w:rPr>
          <w:rFonts w:ascii="Century" w:hAnsi="Century" w:cs="FrankRuehl"/>
          <w:spacing w:val="10"/>
          <w:sz w:val="22"/>
          <w:szCs w:val="28"/>
          <w:rtl/>
        </w:rPr>
        <w:t xml:space="preserve"> </w:t>
      </w:r>
      <w:r w:rsidRPr="00632224">
        <w:rPr>
          <w:rFonts w:ascii="Century" w:hAnsi="Century" w:cs="Miriam" w:hint="eastAsia"/>
          <w:b/>
          <w:sz w:val="22"/>
          <w:rtl/>
        </w:rPr>
        <w:t>ברק</w:t>
      </w:r>
      <w:r w:rsidRPr="00632224">
        <w:rPr>
          <w:rFonts w:ascii="Century" w:hAnsi="Century" w:cs="Miriam"/>
          <w:b/>
          <w:sz w:val="22"/>
          <w:rtl/>
        </w:rPr>
        <w:t xml:space="preserve"> </w:t>
      </w:r>
      <w:r w:rsidRPr="00632224">
        <w:rPr>
          <w:rFonts w:ascii="Century" w:hAnsi="Century" w:cs="Miriam" w:hint="eastAsia"/>
          <w:b/>
          <w:sz w:val="22"/>
          <w:rtl/>
        </w:rPr>
        <w:t>חוקי</w:t>
      </w:r>
      <w:r w:rsidRPr="00632224">
        <w:rPr>
          <w:rFonts w:ascii="Century" w:hAnsi="Century" w:cs="Miriam"/>
          <w:b/>
          <w:sz w:val="22"/>
          <w:rtl/>
        </w:rPr>
        <w:t xml:space="preserve"> </w:t>
      </w:r>
      <w:r w:rsidRPr="00632224">
        <w:rPr>
          <w:rFonts w:ascii="Century" w:hAnsi="Century" w:cs="Miriam" w:hint="eastAsia"/>
          <w:b/>
          <w:sz w:val="22"/>
          <w:rtl/>
        </w:rPr>
        <w:t>היסוד</w:t>
      </w:r>
      <w:r w:rsidRPr="00632224">
        <w:rPr>
          <w:rFonts w:ascii="Century" w:hAnsi="Century" w:cs="FrankRuehl" w:hint="cs"/>
          <w:spacing w:val="10"/>
          <w:sz w:val="22"/>
          <w:szCs w:val="28"/>
          <w:rtl/>
        </w:rPr>
        <w:t>, בעמ' 1728 ה"ש 49) ומעמדו של שלטון החוק בישראל הוא כשל עיקרון חוקתי (</w:t>
      </w:r>
      <w:r w:rsidRPr="00632224">
        <w:rPr>
          <w:rFonts w:ascii="Century" w:hAnsi="Century" w:cs="Miriam" w:hint="eastAsia"/>
          <w:b/>
          <w:sz w:val="22"/>
          <w:rtl/>
        </w:rPr>
        <w:t>שם</w:t>
      </w:r>
      <w:r w:rsidRPr="00632224">
        <w:rPr>
          <w:rFonts w:ascii="Century" w:hAnsi="Century" w:cs="FrankRuehl" w:hint="cs"/>
          <w:spacing w:val="10"/>
          <w:sz w:val="22"/>
          <w:szCs w:val="28"/>
          <w:rtl/>
        </w:rPr>
        <w:t xml:space="preserve">, בעמ' 1731).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לביטול עילת הסבירות השלכה במספר מישורים על שלטון החוק.</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 xml:space="preserve">א. הצבת הממשלה ושריה מעל החוק </w:t>
      </w:r>
    </w:p>
    <w:p w:rsidR="00244560" w:rsidRPr="00632224" w:rsidRDefault="00244560" w:rsidP="009B0AFF">
      <w:pPr>
        <w:tabs>
          <w:tab w:val="left" w:pos="800"/>
        </w:tabs>
        <w:spacing w:line="276" w:lineRule="auto"/>
        <w:jc w:val="both"/>
        <w:rPr>
          <w:rFonts w:ascii="Century" w:hAnsi="Century" w:cs="Miriam"/>
          <w:sz w:val="32"/>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84.</w:t>
      </w:r>
      <w:r w:rsidRPr="00632224">
        <w:rPr>
          <w:rFonts w:ascii="Century" w:hAnsi="Century" w:cs="FrankRuehl"/>
          <w:spacing w:val="10"/>
          <w:sz w:val="22"/>
          <w:szCs w:val="28"/>
          <w:rtl/>
        </w:rPr>
        <w:tab/>
      </w:r>
      <w:r w:rsidRPr="00632224">
        <w:rPr>
          <w:rFonts w:ascii="Century" w:hAnsi="Century" w:cs="FrankRuehl" w:hint="cs"/>
          <w:spacing w:val="10"/>
          <w:sz w:val="22"/>
          <w:szCs w:val="28"/>
          <w:rtl/>
        </w:rPr>
        <w:t>ביקורת שיפוטית על כל הרשויות היא אבן פינה לשלטון החוק במדינה דמוקרטית:</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הביקורת השיפוטית</w:t>
      </w:r>
      <w:r w:rsidRPr="00632224">
        <w:rPr>
          <w:rFonts w:ascii="Arial TUR" w:hAnsi="Arial TUR" w:cs="FrankRuehl" w:hint="cs"/>
          <w:spacing w:val="10"/>
          <w:sz w:val="22"/>
          <w:szCs w:val="28"/>
          <w:rtl/>
        </w:rPr>
        <w:t>, כך שנינו,</w:t>
      </w:r>
      <w:r w:rsidRPr="00632224">
        <w:rPr>
          <w:rFonts w:ascii="Arial TUR" w:hAnsi="Arial TUR" w:cs="FrankRuehl"/>
          <w:spacing w:val="10"/>
          <w:sz w:val="22"/>
          <w:szCs w:val="28"/>
          <w:rtl/>
        </w:rPr>
        <w:t xml:space="preserve"> מש</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תרעת על כל רשויות השלטון</w:t>
      </w:r>
      <w:r w:rsidRPr="00632224">
        <w:rPr>
          <w:rFonts w:ascii="Arial TUR" w:hAnsi="Arial TUR" w:cs="FrankRuehl" w:hint="cs"/>
          <w:spacing w:val="10"/>
          <w:sz w:val="22"/>
          <w:szCs w:val="28"/>
          <w:rtl/>
        </w:rPr>
        <w:t xml:space="preserve"> [...]. </w:t>
      </w:r>
      <w:r w:rsidRPr="00632224">
        <w:rPr>
          <w:rFonts w:ascii="Century" w:hAnsi="Century" w:cs="Miriam" w:hint="cs"/>
          <w:b/>
          <w:sz w:val="22"/>
          <w:rtl/>
        </w:rPr>
        <w:t>סמכות הביקורת השיפוטית על החלטות הכנסת, הממשלה ויתר שדרות השלטון היא אבן פינה</w:t>
      </w:r>
      <w:r w:rsidRPr="00632224">
        <w:rPr>
          <w:rFonts w:ascii="Century" w:hAnsi="Century" w:cs="Miriam"/>
          <w:b/>
          <w:sz w:val="22"/>
          <w:rtl/>
        </w:rPr>
        <w:t xml:space="preserve"> </w:t>
      </w:r>
      <w:r w:rsidRPr="00632224">
        <w:rPr>
          <w:rFonts w:ascii="Century" w:hAnsi="Century" w:cs="Miriam" w:hint="cs"/>
          <w:b/>
          <w:sz w:val="22"/>
          <w:rtl/>
        </w:rPr>
        <w:t>ב</w:t>
      </w:r>
      <w:r w:rsidRPr="00632224">
        <w:rPr>
          <w:rFonts w:ascii="Century" w:hAnsi="Century" w:cs="Miriam"/>
          <w:b/>
          <w:sz w:val="22"/>
          <w:rtl/>
        </w:rPr>
        <w:t xml:space="preserve">דמוקרטיה המכבדת את שלטון החוק. </w:t>
      </w:r>
      <w:r w:rsidRPr="00632224">
        <w:rPr>
          <w:rFonts w:ascii="Century" w:hAnsi="Century" w:cs="Miriam" w:hint="cs"/>
          <w:b/>
          <w:sz w:val="22"/>
          <w:rtl/>
        </w:rPr>
        <w:t xml:space="preserve">היא משקפת את שלטון </w:t>
      </w:r>
      <w:r w:rsidRPr="00632224">
        <w:rPr>
          <w:rFonts w:ascii="Century" w:hAnsi="Century" w:cs="Miriam"/>
          <w:b/>
          <w:sz w:val="22"/>
          <w:rtl/>
        </w:rPr>
        <w:t>החוק הפורמ</w:t>
      </w:r>
      <w:r w:rsidRPr="00632224">
        <w:rPr>
          <w:rFonts w:ascii="Century" w:hAnsi="Century" w:cs="Miriam" w:hint="cs"/>
          <w:b/>
          <w:sz w:val="22"/>
          <w:rtl/>
        </w:rPr>
        <w:t>א</w:t>
      </w:r>
      <w:r w:rsidRPr="00632224">
        <w:rPr>
          <w:rFonts w:ascii="Century" w:hAnsi="Century" w:cs="Miriam"/>
          <w:b/>
          <w:sz w:val="22"/>
          <w:rtl/>
        </w:rPr>
        <w:t xml:space="preserve">לי, </w:t>
      </w:r>
      <w:r w:rsidRPr="00632224">
        <w:rPr>
          <w:rFonts w:ascii="Century" w:hAnsi="Century" w:cs="Miriam" w:hint="cs"/>
          <w:b/>
          <w:sz w:val="22"/>
          <w:rtl/>
        </w:rPr>
        <w:t>שמשמעותו כי</w:t>
      </w:r>
      <w:r w:rsidRPr="00632224">
        <w:rPr>
          <w:rFonts w:ascii="Century" w:hAnsi="Century" w:cs="Miriam"/>
          <w:b/>
          <w:sz w:val="22"/>
          <w:rtl/>
        </w:rPr>
        <w:t xml:space="preserve"> כל רשויות השלטו</w:t>
      </w:r>
      <w:r w:rsidRPr="00632224">
        <w:rPr>
          <w:rFonts w:ascii="Century" w:hAnsi="Century" w:cs="Miriam" w:hint="cs"/>
          <w:b/>
          <w:sz w:val="22"/>
          <w:rtl/>
        </w:rPr>
        <w:t>ן</w:t>
      </w:r>
      <w:r w:rsidRPr="00632224">
        <w:rPr>
          <w:rFonts w:ascii="Century" w:hAnsi="Century" w:cs="Miriam"/>
          <w:b/>
          <w:sz w:val="22"/>
          <w:rtl/>
        </w:rPr>
        <w:t xml:space="preserve"> כפופות לחוק</w:t>
      </w:r>
      <w:r w:rsidRPr="00632224">
        <w:rPr>
          <w:rFonts w:ascii="Century" w:hAnsi="Century" w:cs="Miriam" w:hint="cs"/>
          <w:b/>
          <w:sz w:val="22"/>
          <w:rtl/>
        </w:rPr>
        <w:t xml:space="preserve">, </w:t>
      </w:r>
      <w:r w:rsidRPr="00632224">
        <w:rPr>
          <w:rFonts w:ascii="Century" w:hAnsi="Century" w:cs="Miriam"/>
          <w:b/>
          <w:sz w:val="22"/>
          <w:rtl/>
        </w:rPr>
        <w:t xml:space="preserve">והכול כפופים לביקורת שיפוטית שנועדה להבטיח </w:t>
      </w:r>
      <w:r w:rsidRPr="00632224">
        <w:rPr>
          <w:rFonts w:ascii="Century" w:hAnsi="Century" w:cs="Miriam" w:hint="cs"/>
          <w:b/>
          <w:sz w:val="22"/>
          <w:rtl/>
        </w:rPr>
        <w:t xml:space="preserve">את </w:t>
      </w:r>
      <w:r w:rsidRPr="00632224">
        <w:rPr>
          <w:rFonts w:ascii="Century" w:hAnsi="Century" w:cs="Miriam"/>
          <w:b/>
          <w:sz w:val="22"/>
          <w:rtl/>
        </w:rPr>
        <w:t>כיבוד החוק</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 </w:t>
      </w:r>
      <w:r w:rsidRPr="00632224">
        <w:rPr>
          <w:rFonts w:ascii="Century" w:hAnsi="Century" w:cs="FrankRuehl" w:hint="cs"/>
          <w:spacing w:val="10"/>
          <w:sz w:val="22"/>
          <w:szCs w:val="28"/>
          <w:rtl/>
        </w:rPr>
        <w:t xml:space="preserve">הביקורת השיפוטית מבטאת גם את </w:t>
      </w:r>
      <w:r w:rsidRPr="00632224">
        <w:rPr>
          <w:rFonts w:ascii="Century" w:hAnsi="Century" w:cs="FrankRuehl"/>
          <w:spacing w:val="10"/>
          <w:sz w:val="22"/>
          <w:szCs w:val="28"/>
          <w:rtl/>
        </w:rPr>
        <w:t xml:space="preserve">שלטון החוק המהותי, </w:t>
      </w:r>
      <w:r w:rsidRPr="00632224">
        <w:rPr>
          <w:rFonts w:ascii="Century" w:hAnsi="Century" w:cs="FrankRuehl" w:hint="cs"/>
          <w:spacing w:val="10"/>
          <w:sz w:val="22"/>
          <w:szCs w:val="28"/>
          <w:rtl/>
        </w:rPr>
        <w:t>שממנו נובע כי</w:t>
      </w:r>
      <w:r w:rsidRPr="00632224">
        <w:rPr>
          <w:rFonts w:ascii="Century" w:hAnsi="Century" w:cs="FrankRuehl"/>
          <w:spacing w:val="10"/>
          <w:sz w:val="22"/>
          <w:szCs w:val="28"/>
          <w:rtl/>
        </w:rPr>
        <w:t xml:space="preserve"> יש לאזן בין </w:t>
      </w:r>
      <w:r w:rsidRPr="00632224">
        <w:rPr>
          <w:rFonts w:ascii="Century" w:hAnsi="Century" w:cs="FrankRuehl"/>
          <w:spacing w:val="10"/>
          <w:sz w:val="22"/>
          <w:szCs w:val="28"/>
          <w:rtl/>
        </w:rPr>
        <w:lastRenderedPageBreak/>
        <w:t>הערכים, העקרונות והאינטרסים של החברה הדמוקרטית תוך הסמכת השלטון להפעיל שיקול-דעת המאזן באופן ראוי בין השיקולים הראויים</w:t>
      </w:r>
      <w:r w:rsidRPr="00632224">
        <w:rPr>
          <w:rFonts w:ascii="Century" w:hAnsi="Century" w:cs="FrankRuehl" w:hint="cs"/>
          <w:spacing w:val="10"/>
          <w:sz w:val="22"/>
          <w:szCs w:val="28"/>
          <w:rtl/>
        </w:rPr>
        <w:t xml:space="preserve">" (דברי השופט </w:t>
      </w:r>
      <w:r w:rsidRPr="00632224">
        <w:rPr>
          <w:rFonts w:ascii="Century" w:hAnsi="Century" w:cs="Miriam" w:hint="eastAsia"/>
          <w:b/>
          <w:sz w:val="22"/>
          <w:rtl/>
        </w:rPr>
        <w:t>ריבלין</w:t>
      </w:r>
      <w:r w:rsidRPr="00632224">
        <w:rPr>
          <w:rFonts w:ascii="Century" w:hAnsi="Century" w:cs="FrankRuehl" w:hint="cs"/>
          <w:spacing w:val="10"/>
          <w:sz w:val="22"/>
          <w:szCs w:val="28"/>
          <w:rtl/>
        </w:rPr>
        <w:t xml:space="preserve"> בעניין </w:t>
      </w:r>
      <w:r w:rsidRPr="00632224">
        <w:rPr>
          <w:rFonts w:ascii="Century" w:hAnsi="Century" w:cs="Miriam" w:hint="eastAsia"/>
          <w:b/>
          <w:sz w:val="22"/>
          <w:rtl/>
        </w:rPr>
        <w:t>הנגבי</w:t>
      </w:r>
      <w:r w:rsidRPr="00632224">
        <w:rPr>
          <w:rFonts w:ascii="Century" w:hAnsi="Century" w:cs="FrankRuehl" w:hint="cs"/>
          <w:spacing w:val="10"/>
          <w:sz w:val="22"/>
          <w:szCs w:val="28"/>
          <w:rtl/>
        </w:rPr>
        <w:t>, בעמ'</w:t>
      </w:r>
      <w:r w:rsidRPr="00632224">
        <w:rPr>
          <w:rFonts w:ascii="Century" w:hAnsi="Century" w:cs="Miriam" w:hint="cs"/>
          <w:b/>
          <w:sz w:val="22"/>
          <w:rtl/>
        </w:rPr>
        <w:t xml:space="preserve"> </w:t>
      </w:r>
      <w:r w:rsidRPr="00632224">
        <w:rPr>
          <w:rFonts w:ascii="Arial TUR" w:hAnsi="Arial TUR" w:cs="FrankRuehl" w:hint="cs"/>
          <w:spacing w:val="10"/>
          <w:sz w:val="22"/>
          <w:szCs w:val="28"/>
          <w:rtl/>
        </w:rPr>
        <w:t xml:space="preserve">835-834,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p>
    <w:p w:rsidR="00244560" w:rsidRPr="00632224" w:rsidRDefault="00244560" w:rsidP="00244560">
      <w:pPr>
        <w:ind w:left="1644" w:right="1276"/>
        <w:jc w:val="both"/>
        <w:rPr>
          <w:rFonts w:ascii="Century" w:hAnsi="Century" w:cs="FrankRuehl"/>
          <w:spacing w:val="10"/>
          <w:sz w:val="22"/>
          <w:szCs w:val="28"/>
          <w:rtl/>
        </w:rPr>
      </w:pPr>
      <w:r w:rsidRPr="00632224">
        <w:rPr>
          <w:rFonts w:ascii="Century" w:hAnsi="Century" w:cs="FrankRuehl"/>
          <w:spacing w:val="10"/>
          <w:sz w:val="22"/>
          <w:szCs w:val="28"/>
          <w:rtl/>
        </w:rPr>
        <w:t xml:space="preserve"> </w:t>
      </w:r>
    </w:p>
    <w:p w:rsidR="00244560" w:rsidRPr="00632224" w:rsidRDefault="00244560" w:rsidP="00244560">
      <w:pPr>
        <w:ind w:left="1644" w:right="1276"/>
        <w:jc w:val="both"/>
        <w:rPr>
          <w:rFonts w:ascii="Century" w:hAnsi="Century"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קיומה של</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 xml:space="preserve">הביקורת </w:t>
      </w:r>
      <w:r w:rsidRPr="00632224">
        <w:rPr>
          <w:rFonts w:ascii="Century" w:hAnsi="Century" w:cs="Miriam"/>
          <w:b/>
          <w:sz w:val="22"/>
          <w:rtl/>
        </w:rPr>
        <w:t>השיפוטית על חוקיות פעולתה של כל רשות הוא תנאי יסוד לשלטון החוק,</w:t>
      </w:r>
      <w:r w:rsidRPr="00632224">
        <w:rPr>
          <w:rFonts w:ascii="Arial TUR" w:hAnsi="Arial TUR" w:cs="FrankRuehl"/>
          <w:spacing w:val="10"/>
          <w:sz w:val="22"/>
          <w:szCs w:val="28"/>
          <w:rtl/>
        </w:rPr>
        <w:t xml:space="preserve"> ואשר מבחינתן ההפרדה שבין הרשויות אינה מתבטאת בסגירת הדרך בפני הביקורת השיפוטית</w:t>
      </w:r>
      <w:r w:rsidRPr="00632224">
        <w:rPr>
          <w:rFonts w:ascii="Arial TUR" w:hAnsi="Arial TUR" w:cs="FrankRuehl" w:hint="cs"/>
          <w:spacing w:val="10"/>
          <w:sz w:val="22"/>
          <w:szCs w:val="28"/>
          <w:rtl/>
        </w:rPr>
        <w:t xml:space="preserve">" (בג"ץ 325/85 </w:t>
      </w:r>
      <w:r w:rsidRPr="00632224">
        <w:rPr>
          <w:rFonts w:ascii="Century" w:hAnsi="Century" w:cs="Miriam" w:hint="cs"/>
          <w:b/>
          <w:sz w:val="22"/>
          <w:rtl/>
        </w:rPr>
        <w:t>ח"כ מיערי נ' יו"ר הכנסת</w:t>
      </w:r>
      <w:r w:rsidRPr="00632224">
        <w:rPr>
          <w:rFonts w:ascii="Arial TUR" w:hAnsi="Arial TUR" w:cs="FrankRuehl" w:hint="cs"/>
          <w:spacing w:val="10"/>
          <w:sz w:val="22"/>
          <w:szCs w:val="28"/>
          <w:rtl/>
        </w:rPr>
        <w:t xml:space="preserve">, פ"ד לט(3) 122, 128 (1985)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r w:rsidRPr="00632224">
        <w:rPr>
          <w:rFonts w:ascii="Arial TUR" w:hAnsi="Arial TUR" w:cs="FrankRuehl"/>
          <w:spacing w:val="10"/>
          <w:sz w:val="22"/>
          <w:szCs w:val="28"/>
          <w:rtl/>
        </w:rPr>
        <w:t>.</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שלטון החוק חל על כל הרשויות, לרבות הממשלה ושריה, ולא בכדי אנו מוצאים בארצות הברית את הביטוי </w:t>
      </w:r>
      <w:r w:rsidRPr="00632224">
        <w:rPr>
          <w:rFonts w:cs="FrankRuehl"/>
          <w:spacing w:val="10"/>
          <w:sz w:val="22"/>
          <w:szCs w:val="22"/>
        </w:rPr>
        <w:t>Government under law</w:t>
      </w:r>
      <w:r w:rsidRPr="00632224">
        <w:rPr>
          <w:rFonts w:ascii="Century" w:hAnsi="Century" w:cs="FrankRuehl" w:hint="cs"/>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שלטון החוק, במובן זה</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משמעותו כפולה: חוקיות השלטון והשלטת החוק. </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בכל הנוגע לרשות המבצעת, שלטון החוק משמעו חוקיות המינהל. הרשות המבצעת כפופה לחוק. ליחידיה אין זכויות, כוחות או חסינויות, אלא אם כן החוק מעניק זאת להם. מכאן שלאיש השלטון, בתור שכזה, אין יתר זכויות, כוחות או חסינויות מאשר לכל אדם אחר במדינה, ועל-כן יש לו אותה אחריות למעשיו כמו לכל אדם אחר</w:t>
      </w:r>
      <w:r w:rsidRPr="00632224">
        <w:rPr>
          <w:rFonts w:ascii="Arial TUR" w:hAnsi="Arial TUR" w:cs="FrankRuehl" w:hint="cs"/>
          <w:spacing w:val="10"/>
          <w:sz w:val="22"/>
          <w:szCs w:val="28"/>
          <w:rtl/>
        </w:rPr>
        <w:t xml:space="preserve">" (עניין </w:t>
      </w:r>
      <w:r w:rsidRPr="00632224">
        <w:rPr>
          <w:rFonts w:ascii="Century" w:hAnsi="Century" w:cs="Miriam" w:hint="cs"/>
          <w:b/>
          <w:sz w:val="22"/>
          <w:rtl/>
        </w:rPr>
        <w:t>ברזילי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w:t>
      </w:r>
      <w:r w:rsidRPr="00632224">
        <w:rPr>
          <w:rFonts w:ascii="Arial TUR" w:hAnsi="Arial TUR" w:cs="FrankRuehl" w:hint="cs"/>
          <w:spacing w:val="10"/>
          <w:sz w:val="22"/>
          <w:szCs w:val="28"/>
          <w:rtl/>
        </w:rPr>
        <w:t>עמ' 621).</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כנבחרי הציבור, אין לשרים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ולא</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כלום. כל שיש להם, למען הציבור יש להם</w:t>
      </w:r>
      <w:r w:rsidRPr="00632224">
        <w:rPr>
          <w:rFonts w:ascii="Century" w:hAnsi="Century" w:cs="FrankRuehl" w:hint="cs"/>
          <w:spacing w:val="10"/>
          <w:sz w:val="22"/>
          <w:szCs w:val="28"/>
          <w:rtl/>
        </w:rPr>
        <w:t xml:space="preserve"> ולא כלום משל עצמם" (בג"ץ 4287/93 </w:t>
      </w:r>
      <w:r w:rsidRPr="00632224">
        <w:rPr>
          <w:rFonts w:ascii="Century" w:hAnsi="Century" w:cs="Miriam" w:hint="cs"/>
          <w:b/>
          <w:sz w:val="22"/>
          <w:rtl/>
        </w:rPr>
        <w:t>אמיתי-אזרחים למען מינהל תקין וטוהר המידות נ' ראש ממשלת ישראל</w:t>
      </w:r>
      <w:r w:rsidRPr="00632224">
        <w:rPr>
          <w:rFonts w:ascii="Century" w:hAnsi="Century" w:cs="FrankRuehl" w:hint="cs"/>
          <w:spacing w:val="10"/>
          <w:sz w:val="22"/>
          <w:szCs w:val="28"/>
          <w:rtl/>
        </w:rPr>
        <w:t>, פ"ד מז(5) 441, 463 (1993)). הרשות הציבורית "</w:t>
      </w:r>
      <w:r w:rsidRPr="00632224">
        <w:rPr>
          <w:rFonts w:ascii="Arial TUR" w:hAnsi="Arial TUR" w:cs="FrankRuehl" w:hint="cs"/>
          <w:spacing w:val="10"/>
          <w:sz w:val="22"/>
          <w:szCs w:val="28"/>
          <w:rtl/>
        </w:rPr>
        <w:t xml:space="preserve">כל כולה לא נוצרה כי אם לשרת את הכלל, ומשלה אין לה ולא כלום: כל אשר יש לה מופקד בידיה כנאמן" </w:t>
      </w:r>
      <w:r w:rsidRPr="00632224">
        <w:rPr>
          <w:rFonts w:ascii="Century" w:hAnsi="Century" w:cs="FrankRuehl" w:hint="cs"/>
          <w:spacing w:val="10"/>
          <w:sz w:val="22"/>
          <w:szCs w:val="28"/>
          <w:rtl/>
        </w:rPr>
        <w:t>(</w:t>
      </w:r>
      <w:r w:rsidRPr="00632224">
        <w:rPr>
          <w:rFonts w:ascii="Century" w:hAnsi="Century" w:cs="FrankRuehl" w:hint="eastAsia"/>
          <w:spacing w:val="10"/>
          <w:sz w:val="22"/>
          <w:szCs w:val="28"/>
          <w:rtl/>
        </w:rPr>
        <w:t>בג</w:t>
      </w:r>
      <w:r w:rsidRPr="00632224">
        <w:rPr>
          <w:rFonts w:ascii="Century" w:hAnsi="Century" w:cs="FrankRuehl"/>
          <w:spacing w:val="10"/>
          <w:sz w:val="22"/>
          <w:szCs w:val="28"/>
          <w:rtl/>
        </w:rPr>
        <w:t xml:space="preserve">"ץ 142/70 </w:t>
      </w:r>
      <w:r w:rsidRPr="00632224">
        <w:rPr>
          <w:rFonts w:ascii="Century" w:hAnsi="Century" w:cs="Miriam"/>
          <w:b/>
          <w:sz w:val="22"/>
          <w:rtl/>
        </w:rPr>
        <w:t xml:space="preserve">שפירא </w:t>
      </w:r>
      <w:r w:rsidRPr="00632224">
        <w:rPr>
          <w:rFonts w:ascii="Century" w:hAnsi="Century" w:cs="Miriam" w:hint="cs"/>
          <w:b/>
          <w:sz w:val="22"/>
          <w:rtl/>
        </w:rPr>
        <w:t>נ'</w:t>
      </w:r>
      <w:r w:rsidRPr="00632224">
        <w:rPr>
          <w:rFonts w:ascii="Century" w:hAnsi="Century" w:cs="Miriam"/>
          <w:b/>
          <w:sz w:val="22"/>
          <w:rtl/>
        </w:rPr>
        <w:t xml:space="preserve"> הוועד המחוזי של לשכת עורכי-הדין</w:t>
      </w:r>
      <w:r w:rsidRPr="00632224">
        <w:rPr>
          <w:rFonts w:ascii="Century" w:hAnsi="Century" w:cs="FrankRuehl"/>
          <w:spacing w:val="10"/>
          <w:sz w:val="22"/>
          <w:szCs w:val="28"/>
          <w:rtl/>
        </w:rPr>
        <w:t>,</w:t>
      </w:r>
      <w:r w:rsidRPr="00632224">
        <w:rPr>
          <w:rFonts w:ascii="Century" w:hAnsi="Century" w:cs="Miriam"/>
          <w:b/>
          <w:sz w:val="22"/>
          <w:rtl/>
        </w:rPr>
        <w:t xml:space="preserve"> ירושלים</w:t>
      </w:r>
      <w:r w:rsidRPr="00632224">
        <w:rPr>
          <w:rFonts w:ascii="Century" w:hAnsi="Century" w:cs="FrankRuehl"/>
          <w:spacing w:val="10"/>
          <w:sz w:val="22"/>
          <w:szCs w:val="28"/>
          <w:rtl/>
        </w:rPr>
        <w:t>, פ"ד כה</w:t>
      </w:r>
      <w:r w:rsidRPr="00632224">
        <w:rPr>
          <w:rFonts w:ascii="Century" w:hAnsi="Century" w:cs="FrankRuehl" w:hint="cs"/>
          <w:spacing w:val="10"/>
          <w:sz w:val="22"/>
          <w:szCs w:val="28"/>
          <w:rtl/>
        </w:rPr>
        <w:t>(1)</w:t>
      </w:r>
      <w:r w:rsidRPr="00632224">
        <w:rPr>
          <w:rFonts w:ascii="Arial TUR" w:hAnsi="Arial TUR" w:cs="FrankRuehl" w:hint="cs"/>
          <w:spacing w:val="10"/>
          <w:sz w:val="22"/>
          <w:szCs w:val="28"/>
          <w:rtl/>
        </w:rPr>
        <w:t xml:space="preserve"> 325, 331 (1971)). </w:t>
      </w:r>
      <w:r w:rsidRPr="00632224">
        <w:rPr>
          <w:rFonts w:ascii="Century" w:hAnsi="Century" w:cs="FrankRuehl" w:hint="cs"/>
          <w:spacing w:val="10"/>
          <w:sz w:val="22"/>
          <w:szCs w:val="28"/>
          <w:rtl/>
        </w:rPr>
        <w:t>השרים הם שלוחיו של הציבור ומשרתיו, וכל סמכויותיהם נועדו למען הציבור כי "איש הציבור הוא נאמן הציבור</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לא לעצמו הוא פועל, אלא למען</w:t>
      </w:r>
      <w:r w:rsidRPr="00632224">
        <w:rPr>
          <w:rFonts w:ascii="Arial TUR" w:hAnsi="Arial TUR" w:cs="FrankRuehl" w:hint="cs"/>
          <w:spacing w:val="10"/>
          <w:sz w:val="22"/>
          <w:szCs w:val="28"/>
          <w:rtl/>
        </w:rPr>
        <w:t xml:space="preserve"> ה</w:t>
      </w:r>
      <w:r w:rsidRPr="00632224">
        <w:rPr>
          <w:rFonts w:ascii="Arial TUR" w:hAnsi="Arial TUR" w:cs="FrankRuehl"/>
          <w:spacing w:val="10"/>
          <w:sz w:val="22"/>
          <w:szCs w:val="28"/>
          <w:rtl/>
        </w:rPr>
        <w:t>אינטרס הציבורי הוא פועל</w:t>
      </w:r>
      <w:r w:rsidRPr="00632224">
        <w:rPr>
          <w:rFonts w:ascii="Century" w:hAnsi="Century" w:cs="FrankRuehl" w:hint="cs"/>
          <w:spacing w:val="10"/>
          <w:sz w:val="22"/>
          <w:szCs w:val="28"/>
          <w:rtl/>
        </w:rPr>
        <w:t xml:space="preserve">" (בג"ץ 1635/90 </w:t>
      </w:r>
      <w:r w:rsidRPr="00632224">
        <w:rPr>
          <w:rFonts w:ascii="Century" w:hAnsi="Century" w:cs="Miriam" w:hint="cs"/>
          <w:b/>
          <w:sz w:val="22"/>
          <w:rtl/>
        </w:rPr>
        <w:t>ז'רז'בסקי נ' ראש הממשלה</w:t>
      </w:r>
      <w:r w:rsidRPr="00632224">
        <w:rPr>
          <w:rFonts w:ascii="Century" w:hAnsi="Century" w:cs="FrankRuehl" w:hint="cs"/>
          <w:spacing w:val="10"/>
          <w:sz w:val="22"/>
          <w:szCs w:val="28"/>
          <w:rtl/>
        </w:rPr>
        <w:t xml:space="preserve">, פ"ד מה(1) 749, 778-777 (1991)). זו מהותה של חובת הנאמנות של נבחר הציבור כלפי הציבור, ו"מחובת </w:t>
      </w:r>
      <w:r w:rsidRPr="00632224">
        <w:rPr>
          <w:rFonts w:ascii="Arial TUR" w:hAnsi="Arial TUR" w:cs="FrankRuehl"/>
          <w:spacing w:val="10"/>
          <w:sz w:val="22"/>
          <w:szCs w:val="28"/>
          <w:rtl/>
        </w:rPr>
        <w:t xml:space="preserve">נאמנות זו נגזרת חובתו להפעיל את שיקול דעתו </w:t>
      </w:r>
      <w:r w:rsidRPr="00632224">
        <w:rPr>
          <w:rFonts w:ascii="Century" w:hAnsi="Century" w:cs="Miriam"/>
          <w:b/>
          <w:sz w:val="22"/>
          <w:rtl/>
        </w:rPr>
        <w:t>בסבירות</w:t>
      </w:r>
      <w:r w:rsidRPr="00632224">
        <w:rPr>
          <w:rFonts w:ascii="Arial TUR" w:hAnsi="Arial TUR" w:cs="FrankRuehl"/>
          <w:spacing w:val="10"/>
          <w:sz w:val="22"/>
          <w:szCs w:val="28"/>
          <w:rtl/>
        </w:rPr>
        <w:t xml:space="preserve">, בתום לב, </w:t>
      </w:r>
      <w:r w:rsidRPr="00632224">
        <w:rPr>
          <w:rFonts w:ascii="Arial TUR" w:hAnsi="Arial TUR" w:cs="FrankRuehl" w:hint="eastAsia"/>
          <w:spacing w:val="10"/>
          <w:sz w:val="22"/>
          <w:szCs w:val="28"/>
          <w:rtl/>
        </w:rPr>
        <w:t>ללא</w:t>
      </w:r>
      <w:r w:rsidRPr="00632224">
        <w:rPr>
          <w:rFonts w:ascii="Arial TUR" w:hAnsi="Arial TUR" w:cs="FrankRuehl"/>
          <w:spacing w:val="10"/>
          <w:sz w:val="22"/>
          <w:szCs w:val="28"/>
          <w:rtl/>
        </w:rPr>
        <w:t xml:space="preserve"> שרירות, ומתוך התחשבות בכל הנתונים הרלבנטיים</w:t>
      </w:r>
      <w:r w:rsidRPr="00632224">
        <w:rPr>
          <w:rFonts w:ascii="Arial TUR" w:hAnsi="Arial TUR" w:cs="FrankRuehl" w:hint="cs"/>
          <w:spacing w:val="10"/>
          <w:sz w:val="22"/>
          <w:szCs w:val="28"/>
          <w:rtl/>
        </w:rPr>
        <w:t xml:space="preserve">" </w:t>
      </w:r>
      <w:r w:rsidRPr="00632224">
        <w:rPr>
          <w:rFonts w:ascii="Century" w:hAnsi="Century" w:cs="FrankRuehl" w:hint="cs"/>
          <w:spacing w:val="10"/>
          <w:sz w:val="22"/>
          <w:szCs w:val="28"/>
          <w:rtl/>
        </w:rPr>
        <w:t xml:space="preserve">(בג"ץ 6840/01 </w:t>
      </w:r>
      <w:r w:rsidRPr="00632224">
        <w:rPr>
          <w:rFonts w:ascii="Century" w:hAnsi="Century" w:cs="Miriam" w:hint="cs"/>
          <w:b/>
          <w:sz w:val="22"/>
          <w:rtl/>
        </w:rPr>
        <w:t>פלצמן נ' הרמטכ"ל</w:t>
      </w:r>
      <w:r w:rsidRPr="00632224">
        <w:rPr>
          <w:rFonts w:ascii="Century" w:hAnsi="Century" w:cs="FrankRuehl" w:hint="cs"/>
          <w:spacing w:val="10"/>
          <w:sz w:val="22"/>
          <w:szCs w:val="28"/>
          <w:rtl/>
        </w:rPr>
        <w:t>, פ"ד ס(3) 121, 134 (2005)).</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85.</w:t>
      </w: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לסבירות יש מספר מופעים במשפט, בהקשרים שונים ובענפי משפט שונים, כאשר החוט המקשר ביניהם הוא שעל כל אדם לנהוג כפי שהיה נוהג אדם סביר או בעל </w:t>
      </w:r>
      <w:r w:rsidRPr="00632224">
        <w:rPr>
          <w:rFonts w:ascii="Century" w:hAnsi="Century" w:cs="FrankRuehl" w:hint="cs"/>
          <w:spacing w:val="10"/>
          <w:sz w:val="22"/>
          <w:szCs w:val="28"/>
          <w:rtl/>
        </w:rPr>
        <w:lastRenderedPageBreak/>
        <w:t xml:space="preserve">תפקיד סביר באותן נסיבות. מהנדס שסטה מרף הזהירות הנדרש ולא פעל כמהנדס סביר, עלול להביא להתמוטטות של בניין. רופא שסטה מרף הזהירות הנדרש ולא פעל כרופא סביר, עלול להביא למותו של החולה. ואילו במשפט המינהלי, לית אתר ולית רשות הפטורים מעילת הסבירות. גם שומר סף מובהק כמו היועץ המשפטי לממשלה כפוף לחובה זו בכל הקשור לשורה של החלטות אותן הוא מקבל לאורך כל שלבי ההליך הפלילי, כמו העמדה לדין או אי העמדה לדין, קביעת העילה לסגירת תיק, בחירה בעבירה כזו או אחרת בכתב האישום, חתימת הסכם עד מדינה וכיוצא בזה (ראו, מני רבים, </w:t>
      </w:r>
      <w:r w:rsidRPr="00632224">
        <w:rPr>
          <w:rFonts w:ascii="Century" w:hAnsi="Century" w:cs="FrankRuehl"/>
          <w:spacing w:val="10"/>
          <w:sz w:val="22"/>
          <w:szCs w:val="28"/>
          <w:rtl/>
        </w:rPr>
        <w:t>בג"ץ 8814/18</w:t>
      </w:r>
      <w:r w:rsidRPr="00632224">
        <w:rPr>
          <w:rFonts w:ascii="Arial TUR" w:hAnsi="Arial TUR" w:cs="FrankRuehl"/>
          <w:spacing w:val="10"/>
          <w:sz w:val="22"/>
          <w:szCs w:val="28"/>
          <w:rtl/>
        </w:rPr>
        <w:t xml:space="preserve"> </w:t>
      </w:r>
      <w:r w:rsidRPr="00632224">
        <w:rPr>
          <w:rFonts w:ascii="Century" w:hAnsi="Century" w:cs="Miriam"/>
          <w:b/>
          <w:sz w:val="22"/>
          <w:rtl/>
        </w:rPr>
        <w:t>שלו נ' מדינת ישראל – פרקליטות מחוז תל אביב</w:t>
      </w:r>
      <w:r w:rsidRPr="00632224">
        <w:rPr>
          <w:rFonts w:ascii="Arial TUR" w:hAnsi="Arial TUR" w:cs="FrankRuehl"/>
          <w:spacing w:val="10"/>
          <w:sz w:val="22"/>
          <w:szCs w:val="28"/>
          <w:rtl/>
        </w:rPr>
        <w:t>, פסקה 8 (27.1.2019)</w:t>
      </w:r>
      <w:r w:rsidRPr="00632224">
        <w:rPr>
          <w:rFonts w:ascii="Century" w:hAnsi="Century" w:cs="FrankRuehl" w:hint="cs"/>
          <w:spacing w:val="10"/>
          <w:sz w:val="22"/>
          <w:szCs w:val="28"/>
          <w:rtl/>
        </w:rPr>
        <w:t>; בג</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ץ 4308/21 </w:t>
      </w:r>
      <w:r w:rsidRPr="00632224">
        <w:rPr>
          <w:rFonts w:ascii="Century" w:hAnsi="Century" w:cs="Miriam" w:hint="cs"/>
          <w:b/>
          <w:sz w:val="22"/>
          <w:rtl/>
        </w:rPr>
        <w:t>עזבון אבו נאב נ</w:t>
      </w:r>
      <w:r w:rsidRPr="00632224">
        <w:rPr>
          <w:rFonts w:ascii="Century" w:hAnsi="Century" w:cs="Miriam"/>
          <w:b/>
          <w:sz w:val="22"/>
          <w:rtl/>
        </w:rPr>
        <w:t xml:space="preserve">' </w:t>
      </w:r>
      <w:r w:rsidRPr="00632224">
        <w:rPr>
          <w:rFonts w:ascii="Century" w:hAnsi="Century" w:cs="Miriam" w:hint="cs"/>
          <w:b/>
          <w:sz w:val="22"/>
          <w:rtl/>
        </w:rPr>
        <w:t xml:space="preserve">ראש המחלקה לחקירות שוטרים במשרד המשפטים </w:t>
      </w:r>
      <w:r w:rsidRPr="00632224">
        <w:rPr>
          <w:rFonts w:ascii="Century" w:hAnsi="Century" w:cs="FrankRuehl" w:hint="cs"/>
          <w:spacing w:val="10"/>
          <w:sz w:val="22"/>
          <w:szCs w:val="28"/>
          <w:rtl/>
        </w:rPr>
        <w:t>(18.4.2022)).</w:t>
      </w:r>
      <w:r w:rsidRPr="00632224">
        <w:rPr>
          <w:rFonts w:ascii="Century" w:hAnsi="Century" w:cs="Miriam" w:hint="cs"/>
          <w:b/>
          <w:sz w:val="22"/>
          <w:rtl/>
        </w:rPr>
        <w:t xml:space="preserve">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הנה כי כן, הכל חייבים לפעול בסבירות, בהתאם לאופן שבו בית המשפט מפרש את החוק ויוצק תוכן למונח זה: "אין רשות שהיא מעל לחוק, אין רשות הרשאית לפעול מתוך חוסר סבירות. </w:t>
      </w:r>
      <w:r w:rsidRPr="00632224">
        <w:rPr>
          <w:rFonts w:ascii="Century" w:hAnsi="Century" w:cs="Miriam" w:hint="cs"/>
          <w:b/>
          <w:sz w:val="22"/>
          <w:rtl/>
        </w:rPr>
        <w:t>זהו גם שלטון החוק המהותי</w:t>
      </w:r>
      <w:r w:rsidRPr="00632224">
        <w:rPr>
          <w:rFonts w:ascii="Century" w:hAnsi="Century" w:cs="FrankRuehl" w:hint="cs"/>
          <w:spacing w:val="10"/>
          <w:sz w:val="22"/>
          <w:szCs w:val="28"/>
          <w:rtl/>
        </w:rPr>
        <w:t xml:space="preserve">" (בג"ץ 6163/92 </w:t>
      </w:r>
      <w:r w:rsidRPr="00632224">
        <w:rPr>
          <w:rFonts w:ascii="Century" w:hAnsi="Century" w:cs="Miriam" w:hint="cs"/>
          <w:b/>
          <w:sz w:val="22"/>
          <w:rtl/>
        </w:rPr>
        <w:t>אייזנברג נ' שר הבינוי והשיכון</w:t>
      </w:r>
      <w:r w:rsidRPr="00632224">
        <w:rPr>
          <w:rFonts w:ascii="Century" w:hAnsi="Century" w:cs="FrankRuehl" w:hint="cs"/>
          <w:spacing w:val="10"/>
          <w:sz w:val="22"/>
          <w:szCs w:val="28"/>
          <w:rtl/>
        </w:rPr>
        <w:t xml:space="preserve">, פ"ד מז(2) 229, 277 (1993) (להלן: </w:t>
      </w:r>
      <w:r w:rsidRPr="00632224">
        <w:rPr>
          <w:rFonts w:ascii="Century" w:hAnsi="Century" w:cs="FrankRuehl" w:hint="eastAsia"/>
          <w:spacing w:val="10"/>
          <w:sz w:val="22"/>
          <w:szCs w:val="28"/>
          <w:rtl/>
        </w:rPr>
        <w:t>עניין</w:t>
      </w:r>
      <w:r w:rsidRPr="00632224">
        <w:rPr>
          <w:rFonts w:ascii="Century" w:hAnsi="Century" w:cs="Miriam" w:hint="cs"/>
          <w:b/>
          <w:sz w:val="22"/>
          <w:rtl/>
        </w:rPr>
        <w:t xml:space="preserve"> אייזנברג</w:t>
      </w:r>
      <w:r w:rsidRPr="00632224">
        <w:rPr>
          <w:rFonts w:ascii="Century" w:hAnsi="Century" w:cs="FrankRuehl" w:hint="cs"/>
          <w:spacing w:val="10"/>
          <w:sz w:val="22"/>
          <w:szCs w:val="28"/>
          <w:rtl/>
        </w:rPr>
        <w:t>)</w:t>
      </w:r>
      <w:r w:rsidRPr="00632224">
        <w:rPr>
          <w:rFonts w:ascii="Century" w:hAnsi="Century" w:cs="FrankRuehl"/>
          <w:spacing w:val="10"/>
          <w:szCs w:val="28"/>
          <w:rtl/>
        </w:rPr>
        <w:t xml:space="preserve"> </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הדגשה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הוספה</w:t>
      </w:r>
      <w:r w:rsidRPr="00632224">
        <w:rPr>
          <w:rFonts w:ascii="Century" w:hAnsi="Century" w:cs="FrankRuehl"/>
          <w:spacing w:val="10"/>
          <w:sz w:val="22"/>
          <w:szCs w:val="28"/>
          <w:rtl/>
        </w:rPr>
        <w:t xml:space="preserve"> – </w:t>
      </w:r>
      <w:r w:rsidRPr="00632224">
        <w:rPr>
          <w:rFonts w:ascii="Century" w:hAnsi="Century" w:cs="FrankRuehl" w:hint="eastAsia"/>
          <w:spacing w:val="10"/>
          <w:sz w:val="22"/>
          <w:szCs w:val="28"/>
          <w:rtl/>
        </w:rPr>
        <w:t>י</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ע</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אך על פי התיקון נושא דיוננו, שרי הממשלה אינם שווים בפני החוק בהיותם פטורים למעשה מעולה של חובת הסבירות עקב ביטול עילת הסבירות. המדובר בפגיעה בשלטון החוק, בחובה להשתמש בכוח השלטון לטובת הציבור ולמען הציבור. זו הליבה של התיקון לחוק היסוד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לחסום ולמנוע ביקורת שיפוטית על הממשלה ושריה.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Arial TUR" w:hAnsi="Arial TUR" w:cs="FrankRuehl" w:hint="cs"/>
          <w:spacing w:val="10"/>
          <w:sz w:val="22"/>
          <w:szCs w:val="28"/>
          <w:rtl/>
        </w:rPr>
        <w:t>86.</w:t>
      </w:r>
      <w:r w:rsidRPr="00632224">
        <w:rPr>
          <w:rFonts w:ascii="Arial TUR" w:hAnsi="Arial TUR" w:cs="FrankRuehl" w:hint="cs"/>
          <w:spacing w:val="10"/>
          <w:sz w:val="22"/>
          <w:szCs w:val="28"/>
          <w:rtl/>
        </w:rPr>
        <w:tab/>
        <w:t xml:space="preserve">הכל כפופים לחוק, אך </w:t>
      </w:r>
      <w:r w:rsidRPr="00632224">
        <w:rPr>
          <w:rFonts w:ascii="Arial TUR" w:hAnsi="Arial TUR" w:cs="FrankRuehl"/>
          <w:spacing w:val="10"/>
          <w:sz w:val="22"/>
          <w:szCs w:val="28"/>
          <w:rtl/>
        </w:rPr>
        <w:t>אין טעם ב</w:t>
      </w:r>
      <w:r w:rsidRPr="00632224">
        <w:rPr>
          <w:rFonts w:ascii="Arial TUR" w:hAnsi="Arial TUR" w:cs="FrankRuehl" w:hint="cs"/>
          <w:spacing w:val="10"/>
          <w:sz w:val="22"/>
          <w:szCs w:val="28"/>
          <w:rtl/>
        </w:rPr>
        <w:t xml:space="preserve">אמירה שהרשות המבצעת כפופה </w:t>
      </w:r>
      <w:r w:rsidRPr="00632224">
        <w:rPr>
          <w:rFonts w:ascii="Arial TUR" w:hAnsi="Arial TUR" w:cs="FrankRuehl"/>
          <w:spacing w:val="10"/>
          <w:sz w:val="22"/>
          <w:szCs w:val="28"/>
          <w:rtl/>
        </w:rPr>
        <w:t xml:space="preserve">לשלטון החוק </w:t>
      </w:r>
      <w:r w:rsidRPr="00632224">
        <w:rPr>
          <w:rFonts w:ascii="Arial TUR" w:hAnsi="Arial TUR" w:cs="FrankRuehl" w:hint="cs"/>
          <w:spacing w:val="10"/>
          <w:sz w:val="22"/>
          <w:szCs w:val="28"/>
          <w:rtl/>
        </w:rPr>
        <w:t xml:space="preserve">ללא </w:t>
      </w:r>
      <w:r w:rsidRPr="00632224">
        <w:rPr>
          <w:rFonts w:ascii="Arial TUR" w:hAnsi="Arial TUR" w:cs="FrankRuehl"/>
          <w:spacing w:val="10"/>
          <w:sz w:val="22"/>
          <w:szCs w:val="28"/>
          <w:rtl/>
        </w:rPr>
        <w:t xml:space="preserve">דרכי </w:t>
      </w:r>
      <w:r w:rsidRPr="00632224">
        <w:rPr>
          <w:rFonts w:ascii="Arial TUR" w:hAnsi="Arial TUR" w:cs="FrankRuehl" w:hint="cs"/>
          <w:spacing w:val="10"/>
          <w:sz w:val="22"/>
          <w:szCs w:val="28"/>
          <w:rtl/>
        </w:rPr>
        <w:t>בקרה ו</w:t>
      </w:r>
      <w:r w:rsidRPr="00632224">
        <w:rPr>
          <w:rFonts w:ascii="Arial TUR" w:hAnsi="Arial TUR" w:cs="FrankRuehl"/>
          <w:spacing w:val="10"/>
          <w:sz w:val="22"/>
          <w:szCs w:val="28"/>
          <w:rtl/>
        </w:rPr>
        <w:t>פיקוח</w:t>
      </w:r>
      <w:r w:rsidRPr="00632224">
        <w:rPr>
          <w:rFonts w:ascii="Century" w:hAnsi="Century" w:cs="FrankRuehl" w:hint="cs"/>
          <w:spacing w:val="10"/>
          <w:sz w:val="22"/>
          <w:szCs w:val="28"/>
          <w:rtl/>
        </w:rPr>
        <w:t xml:space="preserve"> אפקטיביים. בנקודה זו, אנו נדרשים לקולו הזך של הפיקולו שיתריע בפנינו:</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Arial TUR" w:hAnsi="Arial TUR" w:cs="FrankRuehl" w:hint="cs"/>
          <w:spacing w:val="10"/>
          <w:sz w:val="22"/>
          <w:szCs w:val="28"/>
          <w:rtl/>
        </w:rPr>
        <w:t xml:space="preserve">"אין רִיק בעולם המשפט. אין רִיק במערכות השלטון. </w:t>
      </w:r>
      <w:r w:rsidRPr="00632224">
        <w:rPr>
          <w:rFonts w:ascii="Century" w:hAnsi="Century" w:cs="Miriam" w:hint="cs"/>
          <w:b/>
          <w:sz w:val="22"/>
          <w:rtl/>
        </w:rPr>
        <w:t>בהיווצר רִיק במערכות השלטון, ולו לחלקיק שנייה, להרף-עין, יִימלא החלל כמו-מעצמו ברשות זו או אחרת ובנורמות שאותה רשות תשליט באותה שדה. וכך, בהיסוג המשפט אחור ייתפש מקומו לאלתר בידי נורמות אחרות, אפשר נורמות שאינן ראויות</w:t>
      </w:r>
      <w:r w:rsidRPr="00632224">
        <w:rPr>
          <w:rFonts w:ascii="Century" w:hAnsi="Century" w:cs="Miriam"/>
          <w:b/>
          <w:sz w:val="22"/>
          <w:rtl/>
        </w:rPr>
        <w:t>.</w:t>
      </w:r>
      <w:r w:rsidRPr="00632224">
        <w:rPr>
          <w:rFonts w:ascii="Arial TUR" w:hAnsi="Arial TUR" w:cs="FrankRuehl" w:hint="cs"/>
          <w:spacing w:val="10"/>
          <w:sz w:val="22"/>
          <w:szCs w:val="28"/>
          <w:rtl/>
        </w:rPr>
        <w:t xml:space="preserve"> [...] </w:t>
      </w:r>
      <w:r w:rsidRPr="00632224">
        <w:rPr>
          <w:rFonts w:ascii="Century" w:hAnsi="Century" w:cs="Miriam" w:hint="cs"/>
          <w:b/>
          <w:sz w:val="22"/>
          <w:rtl/>
        </w:rPr>
        <w:t>הותרת ענייננו אך לרשות המבצעת, לממשלה, מביאה לדעתי להזערתם ולהנמכת קומתם של אותם עיקרי-יסוד שהם כה חשובים לאיכות חיינו כחברה שטוב וראוי לחיות בה</w:t>
      </w:r>
      <w:r w:rsidRPr="00632224">
        <w:rPr>
          <w:rFonts w:ascii="Arial TUR" w:hAnsi="Arial TUR" w:cs="FrankRuehl" w:hint="cs"/>
          <w:spacing w:val="10"/>
          <w:sz w:val="22"/>
          <w:szCs w:val="28"/>
          <w:rtl/>
        </w:rPr>
        <w:t>. משלמדנו כי תרבות ה'לא ייעשה כן במקומנו' נחלשה, ואנו דלונו עד</w:t>
      </w:r>
      <w:r w:rsidRPr="00632224">
        <w:rPr>
          <w:rFonts w:ascii="Arial TUR" w:hAnsi="Arial TUR" w:cs="FrankRuehl" w:hint="cs"/>
          <w:spacing w:val="10"/>
          <w:position w:val="4"/>
          <w:sz w:val="22"/>
          <w:szCs w:val="28"/>
          <w:rtl/>
        </w:rPr>
        <w:t>-</w:t>
      </w:r>
      <w:r w:rsidRPr="00632224">
        <w:rPr>
          <w:rFonts w:ascii="Arial TUR" w:hAnsi="Arial TUR" w:cs="FrankRuehl" w:hint="cs"/>
          <w:spacing w:val="10"/>
          <w:sz w:val="22"/>
          <w:szCs w:val="28"/>
          <w:rtl/>
        </w:rPr>
        <w:t xml:space="preserve">מאוד, האם לא ראוי היה כי המשפט ישמיע את קולו ברמה? כי קולו לא יהא אך כקולו של הפיקולו, 'זך וטהור אך נבלע בהמולה'?" (בג"ץ 8192/04 </w:t>
      </w:r>
      <w:r w:rsidRPr="00632224">
        <w:rPr>
          <w:rFonts w:ascii="Century" w:hAnsi="Century" w:cs="Miriam" w:hint="cs"/>
          <w:b/>
          <w:sz w:val="22"/>
          <w:rtl/>
        </w:rPr>
        <w:t>התנועה למען איכות השלטון בישראל נ' ראש הממשלה</w:t>
      </w:r>
      <w:r w:rsidRPr="00632224">
        <w:rPr>
          <w:rFonts w:ascii="Arial TUR" w:hAnsi="Arial TUR" w:cs="FrankRuehl" w:hint="cs"/>
          <w:spacing w:val="10"/>
          <w:sz w:val="22"/>
          <w:szCs w:val="28"/>
          <w:rtl/>
        </w:rPr>
        <w:t xml:space="preserve">, פ"ד נט(3) 145, 177-176 (2004)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 xml:space="preserve">ב. מינויים ופיטורים של שומרי סף </w:t>
      </w:r>
    </w:p>
    <w:p w:rsidR="00244560" w:rsidRPr="009B0AFF" w:rsidRDefault="00244560" w:rsidP="009B0AFF">
      <w:pPr>
        <w:tabs>
          <w:tab w:val="left" w:pos="800"/>
        </w:tabs>
        <w:spacing w:line="276" w:lineRule="auto"/>
        <w:jc w:val="both"/>
        <w:rPr>
          <w:rFonts w:ascii="Century" w:hAnsi="Century" w:cs="Miriam"/>
          <w:sz w:val="32"/>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87.</w:t>
      </w:r>
      <w:r w:rsidRPr="00632224">
        <w:rPr>
          <w:rFonts w:ascii="Century" w:hAnsi="Century" w:cs="FrankRuehl" w:hint="cs"/>
          <w:spacing w:val="10"/>
          <w:sz w:val="22"/>
          <w:szCs w:val="28"/>
          <w:rtl/>
        </w:rPr>
        <w:tab/>
        <w:t xml:space="preserve">אין להתעלם מהמשמעות של ביטול עילת הסבירות בכל הקשור למינויים או לפיטורים של שומרי הסף. </w:t>
      </w:r>
      <w:r w:rsidRPr="00632224">
        <w:rPr>
          <w:rFonts w:ascii="Arial TUR" w:hAnsi="Arial TUR" w:cs="FrankRuehl" w:hint="cs"/>
          <w:spacing w:val="10"/>
          <w:sz w:val="22"/>
          <w:szCs w:val="28"/>
          <w:rtl/>
        </w:rPr>
        <w:t xml:space="preserve">ביטול עילת הסבירות </w:t>
      </w:r>
      <w:r w:rsidRPr="00632224">
        <w:rPr>
          <w:rFonts w:ascii="Century" w:hAnsi="Century" w:cs="FrankRuehl" w:hint="cs"/>
          <w:spacing w:val="10"/>
          <w:sz w:val="22"/>
          <w:szCs w:val="28"/>
          <w:rtl/>
        </w:rPr>
        <w:t xml:space="preserve">מעניק לדרג הפוליטי שליטה ללא מיצרים על </w:t>
      </w:r>
      <w:r w:rsidRPr="00632224">
        <w:rPr>
          <w:rFonts w:ascii="Arial TUR" w:hAnsi="Arial TUR" w:cs="FrankRuehl" w:hint="cs"/>
          <w:spacing w:val="10"/>
          <w:sz w:val="22"/>
          <w:szCs w:val="28"/>
          <w:rtl/>
        </w:rPr>
        <w:t xml:space="preserve">המינוי או על סיום התפקיד של שומרי הסף, אותם בעלי תפקיד שעצמאותם היא הבסיס למילוי תפקידם.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Arial TUR" w:hAnsi="Arial TUR" w:cs="FrankRuehl" w:hint="eastAsia"/>
          <w:spacing w:val="10"/>
          <w:sz w:val="22"/>
          <w:szCs w:val="28"/>
          <w:rtl/>
        </w:rPr>
        <w:t>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ניתן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להפריז</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בחשיבותם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שומרי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הסף</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במשרדי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הממשלה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כמו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חשב</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המשרד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המבקר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הפנימי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המשרד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ומעל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כולם</w:t>
      </w:r>
      <w:r w:rsidRPr="00632224">
        <w:rPr>
          <w:rFonts w:ascii="Arial TUR" w:hAnsi="Arial TUR" w:cs="FrankRuehl"/>
          <w:spacing w:val="10"/>
          <w:sz w:val="22"/>
          <w:szCs w:val="28"/>
          <w:rtl/>
        </w:rPr>
        <w:t xml:space="preserve"> – </w:t>
      </w:r>
      <w:r w:rsidRPr="00632224">
        <w:rPr>
          <w:rFonts w:ascii="Arial TUR" w:hAnsi="Arial TUR" w:cs="FrankRuehl" w:hint="eastAsia"/>
          <w:spacing w:val="10"/>
          <w:sz w:val="22"/>
          <w:szCs w:val="28"/>
          <w:rtl/>
        </w:rPr>
        <w:t>הייעוץ</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המשפטי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המשרד</w:t>
      </w:r>
      <w:r w:rsidRPr="00632224">
        <w:rPr>
          <w:rFonts w:ascii="Century" w:hAnsi="Century" w:cs="FrankRuehl" w:hint="cs"/>
          <w:spacing w:val="10"/>
          <w:sz w:val="22"/>
          <w:szCs w:val="28"/>
          <w:rtl/>
        </w:rPr>
        <w:t xml:space="preserve">. הרשות המבצעת על משרדיה ושריה ורשויותיה, מקבלת מדי יום מאות החלטות בנושאים רבים ומגוונים כמו </w:t>
      </w:r>
      <w:r w:rsidRPr="00632224">
        <w:rPr>
          <w:rFonts w:ascii="Century" w:hAnsi="Century" w:cs="FrankRuehl"/>
          <w:spacing w:val="10"/>
          <w:sz w:val="22"/>
          <w:szCs w:val="28"/>
          <w:shd w:val="clear" w:color="auto" w:fill="FFFFFF"/>
          <w:rtl/>
        </w:rPr>
        <w:t xml:space="preserve">כוח האדם הממשלתי, מכרזים, התקנת </w:t>
      </w:r>
      <w:r w:rsidRPr="00632224">
        <w:rPr>
          <w:rFonts w:ascii="Century" w:hAnsi="Century" w:cs="FrankRuehl" w:hint="cs"/>
          <w:spacing w:val="10"/>
          <w:sz w:val="22"/>
          <w:szCs w:val="28"/>
          <w:shd w:val="clear" w:color="auto" w:fill="FFFFFF"/>
          <w:rtl/>
        </w:rPr>
        <w:t xml:space="preserve">תקנות, </w:t>
      </w:r>
      <w:r w:rsidRPr="00632224">
        <w:rPr>
          <w:rFonts w:ascii="Century" w:hAnsi="Century" w:cs="FrankRuehl"/>
          <w:spacing w:val="10"/>
          <w:sz w:val="22"/>
          <w:szCs w:val="28"/>
          <w:shd w:val="clear" w:color="auto" w:fill="FFFFFF"/>
          <w:rtl/>
        </w:rPr>
        <w:t>רישיונות</w:t>
      </w:r>
      <w:r w:rsidRPr="00632224">
        <w:rPr>
          <w:rFonts w:ascii="Century" w:hAnsi="Century" w:cs="FrankRuehl" w:hint="cs"/>
          <w:spacing w:val="10"/>
          <w:sz w:val="22"/>
          <w:szCs w:val="28"/>
          <w:shd w:val="clear" w:color="auto" w:fill="FFFFFF"/>
          <w:rtl/>
        </w:rPr>
        <w:t xml:space="preserve">, </w:t>
      </w:r>
      <w:r w:rsidRPr="00632224">
        <w:rPr>
          <w:rFonts w:ascii="Century" w:hAnsi="Century" w:cs="FrankRuehl"/>
          <w:spacing w:val="10"/>
          <w:sz w:val="22"/>
          <w:szCs w:val="28"/>
          <w:shd w:val="clear" w:color="auto" w:fill="FFFFFF"/>
          <w:rtl/>
        </w:rPr>
        <w:t xml:space="preserve">זיכיונות, </w:t>
      </w:r>
      <w:r w:rsidRPr="00632224">
        <w:rPr>
          <w:rFonts w:ascii="Century" w:hAnsi="Century" w:cs="FrankRuehl" w:hint="cs"/>
          <w:spacing w:val="10"/>
          <w:sz w:val="22"/>
          <w:szCs w:val="28"/>
          <w:shd w:val="clear" w:color="auto" w:fill="FFFFFF"/>
          <w:rtl/>
        </w:rPr>
        <w:t xml:space="preserve">היתרים למיניהם ועוד. כאמור, חלק הארי של החלטות הרשות המבצעת אינו בידיעת הציבור ואינו מגיע אל כתלי בית המשפט. הבלם הראשון והיומיומי שיש בו כדי לרסן ולבקר את החלטות השרים הוא </w:t>
      </w:r>
      <w:r w:rsidRPr="00632224">
        <w:rPr>
          <w:rFonts w:ascii="Century" w:hAnsi="Century" w:cs="FrankRuehl"/>
          <w:spacing w:val="10"/>
          <w:sz w:val="22"/>
          <w:szCs w:val="28"/>
          <w:shd w:val="clear" w:color="auto" w:fill="FFFFFF"/>
          <w:rtl/>
        </w:rPr>
        <w:t xml:space="preserve">מערך הייעוץ המשפטי </w:t>
      </w:r>
      <w:r w:rsidRPr="00632224">
        <w:rPr>
          <w:rFonts w:ascii="Century" w:hAnsi="Century" w:cs="FrankRuehl" w:hint="cs"/>
          <w:spacing w:val="10"/>
          <w:sz w:val="22"/>
          <w:szCs w:val="28"/>
          <w:shd w:val="clear" w:color="auto" w:fill="FFFFFF"/>
          <w:rtl/>
        </w:rPr>
        <w:t xml:space="preserve">במשרדי הממשלה השונים. הייעוץ המשפטי העצמאי והבלתי תלוי מהווה מנגנון נוסף של </w:t>
      </w:r>
      <w:r w:rsidRPr="00632224">
        <w:rPr>
          <w:rFonts w:ascii="Century" w:hAnsi="Century" w:cs="FrankRuehl"/>
          <w:spacing w:val="10"/>
          <w:sz w:val="22"/>
          <w:szCs w:val="28"/>
          <w:shd w:val="clear" w:color="auto" w:fill="FFFFFF"/>
          <w:rtl/>
        </w:rPr>
        <w:t xml:space="preserve">איזונים ובלמים </w:t>
      </w:r>
      <w:r w:rsidRPr="00632224">
        <w:rPr>
          <w:rFonts w:ascii="Century" w:hAnsi="Century" w:cs="FrankRuehl" w:hint="cs"/>
          <w:spacing w:val="10"/>
          <w:sz w:val="22"/>
          <w:szCs w:val="28"/>
          <w:shd w:val="clear" w:color="auto" w:fill="FFFFFF"/>
          <w:rtl/>
        </w:rPr>
        <w:t xml:space="preserve">מול </w:t>
      </w:r>
      <w:r w:rsidRPr="00632224">
        <w:rPr>
          <w:rFonts w:ascii="Century" w:hAnsi="Century" w:cs="FrankRuehl"/>
          <w:spacing w:val="10"/>
          <w:sz w:val="22"/>
          <w:szCs w:val="28"/>
          <w:shd w:val="clear" w:color="auto" w:fill="FFFFFF"/>
          <w:rtl/>
        </w:rPr>
        <w:t xml:space="preserve">הכוח השלטוני </w:t>
      </w:r>
      <w:r w:rsidRPr="00632224">
        <w:rPr>
          <w:rFonts w:ascii="Century" w:hAnsi="Century" w:cs="FrankRuehl" w:hint="cs"/>
          <w:spacing w:val="10"/>
          <w:sz w:val="22"/>
          <w:szCs w:val="28"/>
          <w:shd w:val="clear" w:color="auto" w:fill="FFFFFF"/>
          <w:rtl/>
        </w:rPr>
        <w:t>של ה</w:t>
      </w:r>
      <w:r w:rsidRPr="00632224">
        <w:rPr>
          <w:rFonts w:ascii="Century" w:hAnsi="Century" w:cs="FrankRuehl"/>
          <w:spacing w:val="10"/>
          <w:sz w:val="22"/>
          <w:szCs w:val="28"/>
          <w:shd w:val="clear" w:color="auto" w:fill="FFFFFF"/>
          <w:rtl/>
        </w:rPr>
        <w:t>רשות המבצעת</w:t>
      </w:r>
      <w:r w:rsidRPr="00632224">
        <w:rPr>
          <w:rFonts w:ascii="Century" w:hAnsi="Century" w:cs="FrankRuehl" w:hint="cs"/>
          <w:spacing w:val="10"/>
          <w:sz w:val="22"/>
          <w:szCs w:val="28"/>
          <w:shd w:val="clear" w:color="auto" w:fill="FFFFFF"/>
          <w:rtl/>
        </w:rPr>
        <w:t>. חשיבותו של מערך הייעוץ המשפטי היא כה רבה, ש</w:t>
      </w:r>
      <w:r w:rsidRPr="00632224">
        <w:rPr>
          <w:rFonts w:ascii="Century" w:hAnsi="Century" w:cs="FrankRuehl" w:hint="cs"/>
          <w:spacing w:val="10"/>
          <w:sz w:val="22"/>
          <w:szCs w:val="28"/>
          <w:rtl/>
        </w:rPr>
        <w:t xml:space="preserve">יש הגורסים כי </w:t>
      </w:r>
      <w:r w:rsidRPr="00632224">
        <w:rPr>
          <w:rFonts w:ascii="Century" w:hAnsi="Century" w:cs="FrankRuehl" w:hint="eastAsia"/>
          <w:spacing w:val="10"/>
          <w:sz w:val="22"/>
          <w:szCs w:val="28"/>
          <w:shd w:val="clear" w:color="auto" w:fill="FFFFFF"/>
          <w:rtl/>
        </w:rPr>
        <w:t>במשך</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השנים</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התגבש</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במשפט</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הישראלי</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נוהג</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חוקתי</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בדבר</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עצמאות</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מערך</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הייעוץ</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המשפטי</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ברשות</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המבצעת</w:t>
      </w:r>
      <w:r w:rsidRPr="00632224">
        <w:rPr>
          <w:rFonts w:ascii="Century" w:hAnsi="Century" w:cs="FrankRuehl" w:hint="cs"/>
          <w:b/>
          <w:bCs/>
          <w:spacing w:val="10"/>
          <w:sz w:val="22"/>
          <w:szCs w:val="28"/>
          <w:shd w:val="clear" w:color="auto" w:fill="FFFFFF"/>
          <w:rtl/>
        </w:rPr>
        <w:t xml:space="preserve"> </w:t>
      </w:r>
      <w:r w:rsidRPr="00632224">
        <w:rPr>
          <w:rFonts w:ascii="Century" w:hAnsi="Century" w:cs="FrankRuehl"/>
          <w:spacing w:val="10"/>
          <w:sz w:val="22"/>
          <w:szCs w:val="28"/>
          <w:shd w:val="clear" w:color="auto" w:fill="FFFFFF"/>
          <w:rtl/>
        </w:rPr>
        <w:t>(מתן גוטמן "</w:t>
      </w:r>
      <w:r w:rsidRPr="00632224">
        <w:rPr>
          <w:rFonts w:ascii="Century" w:hAnsi="Century" w:cs="FrankRuehl" w:hint="cs"/>
          <w:spacing w:val="10"/>
          <w:sz w:val="22"/>
          <w:szCs w:val="28"/>
          <w:shd w:val="clear" w:color="auto" w:fill="FFFFFF"/>
          <w:rtl/>
        </w:rPr>
        <w:t>'</w:t>
      </w:r>
      <w:r w:rsidRPr="00632224">
        <w:rPr>
          <w:rFonts w:ascii="Century" w:hAnsi="Century" w:cs="Miriam"/>
          <w:b/>
          <w:sz w:val="22"/>
          <w:shd w:val="clear" w:color="auto" w:fill="FFFFFF"/>
          <w:rtl/>
        </w:rPr>
        <w:t>הבו לנו יועמ"שים צייתנים!' על המעמד החוקתי של עקרון עצמאות הייעוץ המשפטי ברשות המבצע</w:t>
      </w:r>
      <w:r w:rsidRPr="00632224">
        <w:rPr>
          <w:rFonts w:ascii="Century" w:hAnsi="Century" w:cs="Miriam" w:hint="cs"/>
          <w:b/>
          <w:sz w:val="22"/>
          <w:shd w:val="clear" w:color="auto" w:fill="FFFFFF"/>
          <w:rtl/>
        </w:rPr>
        <w:t>ת</w:t>
      </w:r>
      <w:r w:rsidRPr="00632224">
        <w:rPr>
          <w:rFonts w:ascii="Century" w:hAnsi="Century" w:cs="FrankRuehl" w:hint="cs"/>
          <w:spacing w:val="10"/>
          <w:sz w:val="22"/>
          <w:szCs w:val="28"/>
          <w:shd w:val="clear" w:color="auto" w:fill="FFFFFF"/>
          <w:rtl/>
        </w:rPr>
        <w:t xml:space="preserve">" </w:t>
      </w:r>
      <w:r w:rsidRPr="00632224">
        <w:rPr>
          <w:rFonts w:cs="FrankRuehl"/>
          <w:spacing w:val="10"/>
          <w:sz w:val="22"/>
          <w:szCs w:val="26"/>
          <w:shd w:val="clear" w:color="auto" w:fill="FFFFFF"/>
        </w:rPr>
        <w:t>ICON-S-IL Blog</w:t>
      </w:r>
      <w:r w:rsidRPr="00632224">
        <w:rPr>
          <w:rFonts w:cs="FrankRuehl" w:hint="cs"/>
          <w:spacing w:val="10"/>
          <w:sz w:val="24"/>
          <w:szCs w:val="28"/>
          <w:shd w:val="clear" w:color="auto" w:fill="FFFFFF"/>
          <w:rtl/>
        </w:rPr>
        <w:t xml:space="preserve"> </w:t>
      </w:r>
      <w:r w:rsidRPr="00632224">
        <w:rPr>
          <w:rFonts w:ascii="Century" w:hAnsi="Century" w:cs="FrankRuehl" w:hint="cs"/>
          <w:spacing w:val="10"/>
          <w:sz w:val="22"/>
          <w:szCs w:val="28"/>
          <w:shd w:val="clear" w:color="auto" w:fill="FFFFFF"/>
          <w:rtl/>
        </w:rPr>
        <w:t>(27.11.2018)</w:t>
      </w:r>
      <w:r w:rsidRPr="00632224">
        <w:rPr>
          <w:rFonts w:ascii="Century" w:hAnsi="Century" w:cs="FrankRuehl" w:hint="cs"/>
          <w:spacing w:val="10"/>
          <w:sz w:val="22"/>
          <w:szCs w:val="28"/>
          <w:rtl/>
        </w:rPr>
        <w:t xml:space="preserve">). אך גם בלי להידרש לתזה של נוהג חוקתי, ייעוץ משפטי עצמאי ואפקטיבי, שעומד מאחורי חזקת התקינות המינהלית, הוא </w:t>
      </w:r>
      <w:r w:rsidRPr="00632224">
        <w:rPr>
          <w:rFonts w:ascii="Century" w:hAnsi="Century" w:cs="FrankRuehl" w:hint="cs"/>
          <w:spacing w:val="10"/>
          <w:sz w:val="22"/>
          <w:szCs w:val="28"/>
          <w:shd w:val="clear" w:color="auto" w:fill="FFFFFF"/>
          <w:rtl/>
        </w:rPr>
        <w:t>קו ההגנה הקדמי והפנימי של שלטון החוק</w:t>
      </w:r>
      <w:r w:rsidRPr="00632224">
        <w:rPr>
          <w:rFonts w:ascii="Century" w:hAnsi="Century" w:cs="FrankRuehl" w:hint="cs"/>
          <w:spacing w:val="10"/>
          <w:sz w:val="22"/>
          <w:szCs w:val="28"/>
          <w:rtl/>
        </w:rPr>
        <w:t xml:space="preserve">. הדבר שמאפשר לייעוץ המשפטי ברשות המבצעת לעמוד איתן על רגליו הוא הידיעה כי החלטה שאינה סבירה באופן קיצוני תיפסל על ידי בית המשפט. </w:t>
      </w:r>
      <w:r w:rsidRPr="00632224">
        <w:rPr>
          <w:rFonts w:ascii="Century" w:hAnsi="Century" w:cs="FrankRuehl"/>
          <w:spacing w:val="10"/>
          <w:sz w:val="22"/>
          <w:szCs w:val="28"/>
          <w:shd w:val="clear" w:color="auto" w:fill="FFFFFF"/>
          <w:rtl/>
        </w:rPr>
        <w:t xml:space="preserve">הייעוץ המשפטי </w:t>
      </w:r>
      <w:r w:rsidRPr="00632224">
        <w:rPr>
          <w:rFonts w:ascii="Century" w:hAnsi="Century" w:cs="FrankRuehl" w:hint="cs"/>
          <w:spacing w:val="10"/>
          <w:sz w:val="22"/>
          <w:szCs w:val="28"/>
          <w:shd w:val="clear" w:color="auto" w:fill="FFFFFF"/>
          <w:rtl/>
        </w:rPr>
        <w:t xml:space="preserve">העצמאי כשומר סף, הוא שמבטיח כי החלטות משרדי הממשלה </w:t>
      </w:r>
      <w:r w:rsidRPr="00632224">
        <w:rPr>
          <w:rFonts w:ascii="Century" w:hAnsi="Century" w:cs="FrankRuehl"/>
          <w:spacing w:val="10"/>
          <w:sz w:val="22"/>
          <w:szCs w:val="28"/>
          <w:shd w:val="clear" w:color="auto" w:fill="FFFFFF"/>
          <w:rtl/>
        </w:rPr>
        <w:t>מתקבלות בסמכות, בהליך מ</w:t>
      </w:r>
      <w:r w:rsidRPr="00632224">
        <w:rPr>
          <w:rFonts w:ascii="Century" w:hAnsi="Century" w:cs="FrankRuehl" w:hint="cs"/>
          <w:spacing w:val="10"/>
          <w:sz w:val="22"/>
          <w:szCs w:val="28"/>
          <w:shd w:val="clear" w:color="auto" w:fill="FFFFFF"/>
          <w:rtl/>
        </w:rPr>
        <w:t>י</w:t>
      </w:r>
      <w:r w:rsidRPr="00632224">
        <w:rPr>
          <w:rFonts w:ascii="Century" w:hAnsi="Century" w:cs="FrankRuehl"/>
          <w:spacing w:val="10"/>
          <w:sz w:val="22"/>
          <w:szCs w:val="28"/>
          <w:shd w:val="clear" w:color="auto" w:fill="FFFFFF"/>
          <w:rtl/>
        </w:rPr>
        <w:t xml:space="preserve">נהלי תקין, תוך שמירה על </w:t>
      </w:r>
      <w:r w:rsidRPr="00632224">
        <w:rPr>
          <w:rFonts w:ascii="Century" w:hAnsi="Century" w:cs="FrankRuehl" w:hint="cs"/>
          <w:spacing w:val="10"/>
          <w:sz w:val="22"/>
          <w:szCs w:val="28"/>
          <w:shd w:val="clear" w:color="auto" w:fill="FFFFFF"/>
          <w:rtl/>
        </w:rPr>
        <w:t xml:space="preserve">עקרונות המשפט המינהלי. פיטורים של שומרי הסף במשרדי הממשלה או מינויים לא ראויים של אחרים כשומרי סף, עלולים לגרום לקריסה של אחת הערובות החשובות </w:t>
      </w:r>
      <w:r w:rsidRPr="00632224">
        <w:rPr>
          <w:rFonts w:ascii="Century" w:hAnsi="Century" w:cs="FrankRuehl"/>
          <w:spacing w:val="10"/>
          <w:sz w:val="22"/>
          <w:szCs w:val="28"/>
          <w:shd w:val="clear" w:color="auto" w:fill="FFFFFF"/>
          <w:rtl/>
        </w:rPr>
        <w:t>לשמירה על שלטון החוק בפעולתם של משרדי הממשל</w:t>
      </w:r>
      <w:r w:rsidRPr="00632224">
        <w:rPr>
          <w:rFonts w:ascii="Century" w:hAnsi="Century" w:cs="FrankRuehl" w:hint="cs"/>
          <w:spacing w:val="10"/>
          <w:sz w:val="22"/>
          <w:szCs w:val="28"/>
          <w:shd w:val="clear" w:color="auto" w:fill="FFFFFF"/>
          <w:rtl/>
        </w:rPr>
        <w:t xml:space="preserve">ה.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ביטול עילת הסבירות עלול לשמוט את הקרקע תחת רגלי מערך הייעוץ המשפטי ושומרי הסף האחרים במשרדי הממשלה. בהינתן שמתוך מאות החלטות שמתקבלות על ידי השרים, רק חלק מזערי מגיע אל פתחו של בית המשפט, הרי שפגיעה זו אף חמורה יותר בהשלכותיה מהצד הגלוי של ביטול עילת הסבירות.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lastRenderedPageBreak/>
        <w:t>88.</w:t>
      </w:r>
      <w:r w:rsidRPr="00632224">
        <w:rPr>
          <w:rFonts w:ascii="Century" w:hAnsi="Century" w:cs="FrankRuehl" w:hint="cs"/>
          <w:spacing w:val="10"/>
          <w:sz w:val="22"/>
          <w:szCs w:val="28"/>
          <w:rtl/>
        </w:rPr>
        <w:tab/>
        <w:t>עילת הסבירות היא אפוא מכשיר עיקרי לבחינת פיטורים או מינויים במערך הייעוץ המשפטי ובמערך של שומרי הסף במשרדי הממשלה. עילת הסבירות היא גם המחסום מפני פיטורים או מינויים של גורמים אחרים, ועל כך להלן.</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ג. מינויים ופיטורים לא ראויים ובלתי סבירים</w:t>
      </w:r>
    </w:p>
    <w:p w:rsidR="00244560" w:rsidRPr="009B0AFF" w:rsidRDefault="00244560" w:rsidP="009B0AFF">
      <w:pPr>
        <w:tabs>
          <w:tab w:val="left" w:pos="800"/>
        </w:tabs>
        <w:spacing w:line="276" w:lineRule="auto"/>
        <w:jc w:val="both"/>
        <w:rPr>
          <w:rFonts w:ascii="Century" w:hAnsi="Century" w:cs="Miriam"/>
          <w:sz w:val="32"/>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89.</w:t>
      </w:r>
      <w:r w:rsidRPr="00632224">
        <w:rPr>
          <w:rFonts w:ascii="Century" w:hAnsi="Century" w:cs="Miriam"/>
          <w:b/>
          <w:sz w:val="22"/>
          <w:rtl/>
        </w:rPr>
        <w:tab/>
      </w:r>
      <w:r w:rsidRPr="00632224">
        <w:rPr>
          <w:rFonts w:ascii="Century" w:hAnsi="Century" w:cs="FrankRuehl" w:hint="cs"/>
          <w:spacing w:val="10"/>
          <w:sz w:val="22"/>
          <w:szCs w:val="28"/>
          <w:rtl/>
        </w:rPr>
        <w:t>עילת הסבירות היא המגן הכמעט יחיד על הציבור מפני מינויים ופיטורים בלתי סבירים ולהבטחת טוהר המידות בשירות הציבורי (וראו פסקאות 166-162 לפסק דינה של הנשיאה). נביא, לדוגמה, אך מקצת הדברים שנאמרו בנושא זה ב</w:t>
      </w:r>
      <w:r w:rsidRPr="00632224">
        <w:rPr>
          <w:rFonts w:ascii="Arial TUR" w:hAnsi="Arial TUR" w:cs="FrankRuehl" w:hint="cs"/>
          <w:spacing w:val="10"/>
          <w:sz w:val="22"/>
          <w:szCs w:val="28"/>
          <w:rtl/>
        </w:rPr>
        <w:t xml:space="preserve">עניין </w:t>
      </w:r>
      <w:r w:rsidRPr="00632224">
        <w:rPr>
          <w:rFonts w:ascii="Century" w:hAnsi="Century" w:cs="Miriam" w:hint="eastAsia"/>
          <w:b/>
          <w:sz w:val="22"/>
          <w:rtl/>
        </w:rPr>
        <w:t>הנגבי</w:t>
      </w:r>
      <w:r w:rsidRPr="00632224">
        <w:rPr>
          <w:rFonts w:ascii="Century" w:hAnsi="Century" w:cs="Miriam"/>
          <w:b/>
          <w:sz w:val="22"/>
          <w:rtl/>
        </w:rPr>
        <w:t xml:space="preserve"> </w:t>
      </w:r>
      <w:r w:rsidRPr="00632224">
        <w:rPr>
          <w:rFonts w:ascii="Century" w:hAnsi="Century" w:cs="Miriam" w:hint="eastAsia"/>
          <w:b/>
          <w:sz w:val="22"/>
          <w:rtl/>
        </w:rPr>
        <w:t>השני</w:t>
      </w:r>
      <w:r w:rsidRPr="00632224">
        <w:rPr>
          <w:rFonts w:ascii="Century" w:hAnsi="Century"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"אם במינויים עסקינן, תולדות המינהל הציבורי בישראל עמוסות מקרים, לא אחד ולא שניים, שבהם ניתן היה למנוע מינויים לא ראויים בעליל רק בגדרי סבירות, כיון שבצד ה'פורמלי' היה הציון 'עובר'. למיטב הבנתי, גם הנשיא לנדוי, שהסתייג מעילת הסבירות (ראו מאמרו 'על שפיטות וסבירות בדין המינהלי', </w:t>
      </w:r>
      <w:r w:rsidRPr="00632224">
        <w:rPr>
          <w:rFonts w:cs="Miriam" w:hint="cs"/>
          <w:sz w:val="28"/>
          <w:rtl/>
        </w:rPr>
        <w:t>עיוני משפט</w:t>
      </w:r>
      <w:r w:rsidRPr="00632224">
        <w:rPr>
          <w:rFonts w:ascii="Arial TUR" w:hAnsi="Arial TUR" w:cs="FrankRuehl" w:hint="cs"/>
          <w:spacing w:val="10"/>
          <w:sz w:val="22"/>
          <w:szCs w:val="28"/>
          <w:rtl/>
        </w:rPr>
        <w:t xml:space="preserve"> יד, 5 (1984), שאיזכר חברי), היה מודה, מתוך יושרתו והקפדתו היתרה על טוהר המינהל הציבורי, כי יש מקרים שבהם עילה זו היא הדרך היחידה למניעת מינוי פסול. עילת הסבירות, ושוב – בכל הזהירות – מאפשרת לבית המשפט לשמש כמה שקרוי בלשון עידננו 'המבוגר האחראי', ולא אחטא לאמת אם אניח כי לא מעטים בין ראשי הממנים עצמם מייחלים בסתר ליבם להתערבות הבג"צית, כדי למנוע מינוי שנולד מלחצים כאלה ואחרים" (</w:t>
      </w:r>
      <w:r w:rsidRPr="00632224">
        <w:rPr>
          <w:rFonts w:ascii="Century" w:hAnsi="Century" w:cs="Miriam" w:hint="eastAsia"/>
          <w:b/>
          <w:sz w:val="22"/>
          <w:rtl/>
        </w:rPr>
        <w:t>שם</w:t>
      </w:r>
      <w:r w:rsidRPr="00632224">
        <w:rPr>
          <w:rFonts w:ascii="Arial TUR" w:hAnsi="Arial TUR" w:cs="FrankRuehl" w:hint="cs"/>
          <w:spacing w:val="10"/>
          <w:sz w:val="22"/>
          <w:szCs w:val="28"/>
          <w:rtl/>
        </w:rPr>
        <w:t xml:space="preserve">, בפסקה ב' לפסק דינו של המשנה לנשיאה </w:t>
      </w:r>
      <w:r w:rsidRPr="00632224">
        <w:rPr>
          <w:rFonts w:ascii="Century" w:hAnsi="Century" w:cs="Miriam" w:hint="eastAsia"/>
          <w:b/>
          <w:sz w:val="22"/>
          <w:rtl/>
        </w:rPr>
        <w:t>רובינשטיין</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"אכן, כפי שציין חברי המשנה לנשיאה </w:t>
      </w:r>
      <w:r w:rsidRPr="00632224">
        <w:rPr>
          <w:rFonts w:cs="Miriam" w:hint="cs"/>
          <w:sz w:val="28"/>
          <w:rtl/>
        </w:rPr>
        <w:t>א' רובינשטיין</w:t>
      </w:r>
      <w:r w:rsidRPr="00632224">
        <w:rPr>
          <w:rFonts w:ascii="Arial TUR" w:hAnsi="Arial TUR" w:cs="FrankRuehl" w:hint="cs"/>
          <w:spacing w:val="10"/>
          <w:sz w:val="22"/>
          <w:szCs w:val="28"/>
          <w:rtl/>
        </w:rPr>
        <w:t xml:space="preserve"> (פסקה ב), לא אחת עילת הסבירות היא עילת ההתערבות היחידה שבאמצעותה ניתן למנוע מינוי פסול" (</w:t>
      </w:r>
      <w:r w:rsidRPr="00632224">
        <w:rPr>
          <w:rFonts w:ascii="Century" w:hAnsi="Century" w:cs="Miriam" w:hint="eastAsia"/>
          <w:b/>
          <w:sz w:val="22"/>
          <w:rtl/>
        </w:rPr>
        <w:t>שם</w:t>
      </w:r>
      <w:r w:rsidRPr="00632224">
        <w:rPr>
          <w:rFonts w:ascii="Arial TUR" w:hAnsi="Arial TUR" w:cs="FrankRuehl" w:hint="cs"/>
          <w:spacing w:val="10"/>
          <w:sz w:val="22"/>
          <w:szCs w:val="28"/>
          <w:rtl/>
        </w:rPr>
        <w:t xml:space="preserve">, בפסקה 2 לפסק דינה של הנשיאה </w:t>
      </w:r>
      <w:r w:rsidRPr="00632224">
        <w:rPr>
          <w:rFonts w:ascii="Century" w:hAnsi="Century" w:cs="Miriam" w:hint="eastAsia"/>
          <w:b/>
          <w:sz w:val="22"/>
          <w:rtl/>
        </w:rPr>
        <w:t>נאור</w:t>
      </w:r>
      <w:r w:rsidRPr="00632224">
        <w:rPr>
          <w:rFonts w:ascii="Arial TUR" w:hAnsi="Arial TUR" w:cs="FrankRuehl" w:hint="cs"/>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"עילת הסבירות פורסת אברותיה על כל מעשי המינהל ויש בה לחזק ולהטמיע נורמות של אתיקה ציבורית ולהגן על האינטרס של ניקיון כפיים בשירות הציבורי" (</w:t>
      </w:r>
      <w:r w:rsidRPr="00632224">
        <w:rPr>
          <w:rFonts w:ascii="Century" w:hAnsi="Century" w:cs="Miriam" w:hint="eastAsia"/>
          <w:b/>
          <w:sz w:val="22"/>
          <w:rtl/>
        </w:rPr>
        <w:t>שם</w:t>
      </w:r>
      <w:r w:rsidRPr="00632224">
        <w:rPr>
          <w:rFonts w:ascii="Arial TUR" w:hAnsi="Arial TUR" w:cs="FrankRuehl" w:hint="cs"/>
          <w:spacing w:val="10"/>
          <w:sz w:val="22"/>
          <w:szCs w:val="28"/>
          <w:rtl/>
        </w:rPr>
        <w:t>, בפסקה 1 לפסק דיני).</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Cs w:val="28"/>
          <w:rtl/>
        </w:rPr>
      </w:pPr>
    </w:p>
    <w:p w:rsidR="00244560" w:rsidRPr="00632224" w:rsidRDefault="00244560" w:rsidP="00244560">
      <w:pPr>
        <w:keepNext/>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ונזדמן לי להתייחס לחשיבותה של עילת הסבירות בנושא זה במקום אחר:</w:t>
      </w:r>
    </w:p>
    <w:p w:rsidR="00244560" w:rsidRPr="00632224" w:rsidRDefault="00244560" w:rsidP="00244560">
      <w:pPr>
        <w:keepNext/>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Century" w:hAnsi="Century" w:cs="FrankRuehl" w:hint="cs"/>
          <w:spacing w:val="10"/>
          <w:sz w:val="22"/>
          <w:szCs w:val="28"/>
          <w:rtl/>
        </w:rPr>
        <w:t>"</w:t>
      </w:r>
      <w:r w:rsidRPr="00632224">
        <w:rPr>
          <w:rFonts w:ascii="Arial TUR" w:hAnsi="Arial TUR" w:cs="FrankRuehl" w:hint="cs"/>
          <w:spacing w:val="10"/>
          <w:sz w:val="22"/>
          <w:szCs w:val="28"/>
          <w:rtl/>
        </w:rPr>
        <w:t xml:space="preserve">אין חולק כי על בית המשפט להפעיל את עילת הסבירות במתינות ובזהירות, כך בכלל, וכך בסוגיה של מינויי בכירים בשירות הציבורי. עם זאת, כשירות לחוד וסבירות לחוד, </w:t>
      </w:r>
      <w:r w:rsidRPr="00632224">
        <w:rPr>
          <w:rFonts w:ascii="Century" w:hAnsi="Century" w:cs="Miriam" w:hint="cs"/>
          <w:b/>
          <w:sz w:val="22"/>
          <w:rtl/>
        </w:rPr>
        <w:t>ואם יש בעילת הסבירות המרחפת ממעל כדי למנוע מינויים שאינם ראויים – דיינו</w:t>
      </w:r>
      <w:r w:rsidRPr="00632224">
        <w:rPr>
          <w:rFonts w:ascii="Century" w:hAnsi="Century" w:cs="FrankRuehl"/>
          <w:spacing w:val="10"/>
          <w:sz w:val="22"/>
          <w:szCs w:val="28"/>
          <w:rtl/>
        </w:rPr>
        <w:t>"</w:t>
      </w:r>
      <w:r w:rsidRPr="00632224">
        <w:rPr>
          <w:rFonts w:ascii="Arial TUR" w:hAnsi="Arial TUR" w:cs="FrankRuehl" w:hint="cs"/>
          <w:spacing w:val="10"/>
          <w:sz w:val="22"/>
          <w:szCs w:val="28"/>
          <w:rtl/>
        </w:rPr>
        <w:t xml:space="preserve"> (בג"ץ 43/16 </w:t>
      </w:r>
      <w:r w:rsidRPr="00632224">
        <w:rPr>
          <w:rFonts w:ascii="Century" w:hAnsi="Century" w:cs="Miriam" w:hint="cs"/>
          <w:b/>
          <w:sz w:val="22"/>
          <w:rtl/>
        </w:rPr>
        <w:t xml:space="preserve">תנועת אומ"ץ אזרחים למען מינהל תקין וצדק חברתי ומשפטי נ' ממשלת </w:t>
      </w:r>
      <w:r w:rsidRPr="00632224">
        <w:rPr>
          <w:rFonts w:ascii="Century" w:hAnsi="Century" w:cs="Miriam" w:hint="cs"/>
          <w:b/>
          <w:sz w:val="22"/>
          <w:rtl/>
        </w:rPr>
        <w:lastRenderedPageBreak/>
        <w:t>ישראל</w:t>
      </w:r>
      <w:r w:rsidRPr="00632224">
        <w:rPr>
          <w:rFonts w:ascii="Arial TUR" w:hAnsi="Arial TUR" w:cs="FrankRuehl" w:hint="cs"/>
          <w:spacing w:val="10"/>
          <w:sz w:val="22"/>
          <w:szCs w:val="28"/>
          <w:rtl/>
        </w:rPr>
        <w:t xml:space="preserve">, פסקה 1 לפסק דיני (1.3.2016) (להלן: עניין </w:t>
      </w:r>
      <w:r w:rsidRPr="00632224">
        <w:rPr>
          <w:rFonts w:ascii="Century" w:hAnsi="Century" w:cs="Miriam" w:hint="eastAsia"/>
          <w:b/>
          <w:sz w:val="22"/>
          <w:rtl/>
        </w:rPr>
        <w:t>אומ</w:t>
      </w:r>
      <w:r w:rsidRPr="00632224">
        <w:rPr>
          <w:rFonts w:ascii="Century" w:hAnsi="Century" w:cs="Miriam" w:hint="cs"/>
          <w:b/>
          <w:sz w:val="22"/>
          <w:rtl/>
        </w:rPr>
        <w:t>"</w:t>
      </w:r>
      <w:r w:rsidRPr="00632224">
        <w:rPr>
          <w:rFonts w:ascii="Century" w:hAnsi="Century" w:cs="Miriam" w:hint="eastAsia"/>
          <w:b/>
          <w:sz w:val="22"/>
          <w:rtl/>
        </w:rPr>
        <w:t>ץ</w:t>
      </w:r>
      <w:r w:rsidRPr="00632224">
        <w:rPr>
          <w:rFonts w:ascii="Arial TUR" w:hAnsi="Arial TUR" w:cs="FrankRuehl" w:hint="cs"/>
          <w:spacing w:val="10"/>
          <w:sz w:val="22"/>
          <w:szCs w:val="28"/>
          <w:rtl/>
        </w:rPr>
        <w:t>)</w:t>
      </w:r>
      <w:r w:rsidRPr="00632224">
        <w:rPr>
          <w:rFonts w:ascii="Century" w:hAnsi="Century" w:cs="FrankRuehl"/>
          <w:spacing w:val="10"/>
          <w:szCs w:val="28"/>
          <w:rtl/>
        </w:rPr>
        <w:t xml:space="preserve"> </w:t>
      </w:r>
      <w:r w:rsidRPr="00632224">
        <w:rPr>
          <w:rFonts w:ascii="Arial TUR" w:hAnsi="Arial TUR" w:cs="FrankRuehl"/>
          <w:spacing w:val="10"/>
          <w:sz w:val="22"/>
          <w:szCs w:val="28"/>
          <w:rtl/>
        </w:rPr>
        <w:t>(</w:t>
      </w:r>
      <w:r w:rsidRPr="00632224">
        <w:rPr>
          <w:rFonts w:ascii="Arial TUR" w:hAnsi="Arial TUR" w:cs="FrankRuehl" w:hint="eastAsia"/>
          <w:spacing w:val="10"/>
          <w:sz w:val="22"/>
          <w:szCs w:val="28"/>
          <w:rtl/>
        </w:rPr>
        <w:t>הדגשה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הוספה</w:t>
      </w:r>
      <w:r w:rsidRPr="00632224">
        <w:rPr>
          <w:rFonts w:ascii="Arial TUR" w:hAnsi="Arial TUR" w:cs="FrankRuehl"/>
          <w:spacing w:val="10"/>
          <w:sz w:val="22"/>
          <w:szCs w:val="28"/>
          <w:rtl/>
        </w:rPr>
        <w:t xml:space="preserve"> – </w:t>
      </w:r>
      <w:r w:rsidRPr="00632224">
        <w:rPr>
          <w:rFonts w:ascii="Arial TUR" w:hAnsi="Arial TUR" w:cs="FrankRuehl" w:hint="eastAsia"/>
          <w:spacing w:val="10"/>
          <w:sz w:val="22"/>
          <w:szCs w:val="28"/>
          <w:rtl/>
        </w:rPr>
        <w:t>י</w:t>
      </w:r>
      <w:r w:rsidRPr="00632224">
        <w:rPr>
          <w:rFonts w:ascii="Arial TUR" w:hAnsi="Arial TUR" w:cs="FrankRuehl"/>
          <w:spacing w:val="10"/>
          <w:sz w:val="22"/>
          <w:szCs w:val="28"/>
          <w:rtl/>
        </w:rPr>
        <w:t>"</w:t>
      </w:r>
      <w:r w:rsidRPr="00632224">
        <w:rPr>
          <w:rFonts w:ascii="Arial TUR" w:hAnsi="Arial TUR" w:cs="FrankRuehl" w:hint="eastAsia"/>
          <w:spacing w:val="10"/>
          <w:sz w:val="22"/>
          <w:szCs w:val="28"/>
          <w:rtl/>
        </w:rPr>
        <w:t>ע</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עילת הסבירות היא אפוא שחקן מרכזי בבחינה של מינויים לתפקידים שונים: "מתוקף מעמדה של הרשות הציבורית כנאמנה של הציבור, מוטלת עליה חובה להפעיל את סמכויותיה, </w:t>
      </w:r>
      <w:r w:rsidRPr="00632224">
        <w:rPr>
          <w:rFonts w:ascii="Century" w:hAnsi="Century" w:cs="Miriam" w:hint="cs"/>
          <w:b/>
          <w:sz w:val="22"/>
          <w:rtl/>
        </w:rPr>
        <w:t>ובתוכן סמכות המינויים</w:t>
      </w:r>
      <w:r w:rsidRPr="00632224">
        <w:rPr>
          <w:rFonts w:ascii="Arial TUR" w:hAnsi="Arial TUR" w:cs="FrankRuehl" w:hint="cs"/>
          <w:spacing w:val="10"/>
          <w:sz w:val="22"/>
          <w:szCs w:val="28"/>
          <w:rtl/>
        </w:rPr>
        <w:t xml:space="preserve">, בהגינות וביושר, לשקול שיקולים ענייניים בלבד, ולפעול </w:t>
      </w:r>
      <w:r w:rsidRPr="00632224">
        <w:rPr>
          <w:rFonts w:ascii="Century" w:hAnsi="Century" w:cs="Miriam" w:hint="cs"/>
          <w:b/>
          <w:sz w:val="22"/>
          <w:rtl/>
        </w:rPr>
        <w:t>בסבירות</w:t>
      </w:r>
      <w:r w:rsidRPr="00632224">
        <w:rPr>
          <w:rFonts w:ascii="Arial TUR" w:hAnsi="Arial TUR" w:cs="FrankRuehl" w:hint="cs"/>
          <w:spacing w:val="10"/>
          <w:sz w:val="22"/>
          <w:szCs w:val="28"/>
          <w:rtl/>
        </w:rPr>
        <w:t xml:space="preserve"> בהתאם לאמות המידה של המשפט המינהלי" (עניין </w:t>
      </w:r>
      <w:r w:rsidRPr="00632224">
        <w:rPr>
          <w:rFonts w:ascii="Century" w:hAnsi="Century" w:cs="Miriam" w:hint="eastAsia"/>
          <w:sz w:val="22"/>
          <w:shd w:val="clear" w:color="auto" w:fill="FFFFFF"/>
          <w:rtl/>
        </w:rPr>
        <w:t>מנכ</w:t>
      </w:r>
      <w:r w:rsidRPr="00632224">
        <w:rPr>
          <w:rFonts w:ascii="Century" w:hAnsi="Century" w:cs="Miriam"/>
          <w:sz w:val="22"/>
          <w:shd w:val="clear" w:color="auto" w:fill="FFFFFF"/>
          <w:rtl/>
        </w:rPr>
        <w:t>"</w:t>
      </w:r>
      <w:r w:rsidRPr="00632224">
        <w:rPr>
          <w:rFonts w:ascii="Century" w:hAnsi="Century" w:cs="Miriam" w:hint="eastAsia"/>
          <w:sz w:val="22"/>
          <w:shd w:val="clear" w:color="auto" w:fill="FFFFFF"/>
          <w:rtl/>
        </w:rPr>
        <w:t>ל</w:t>
      </w:r>
      <w:r w:rsidRPr="00632224">
        <w:rPr>
          <w:rFonts w:ascii="Century" w:hAnsi="Century" w:cs="Miriam"/>
          <w:sz w:val="22"/>
          <w:shd w:val="clear" w:color="auto" w:fill="FFFFFF"/>
          <w:rtl/>
        </w:rPr>
        <w:t xml:space="preserve"> </w:t>
      </w:r>
      <w:r w:rsidRPr="00632224">
        <w:rPr>
          <w:rFonts w:ascii="Century" w:hAnsi="Century" w:cs="Miriam" w:hint="eastAsia"/>
          <w:sz w:val="22"/>
          <w:shd w:val="clear" w:color="auto" w:fill="FFFFFF"/>
          <w:rtl/>
        </w:rPr>
        <w:t>משרד</w:t>
      </w:r>
      <w:r w:rsidRPr="00632224">
        <w:rPr>
          <w:rFonts w:ascii="Century" w:hAnsi="Century" w:cs="Miriam"/>
          <w:sz w:val="22"/>
          <w:shd w:val="clear" w:color="auto" w:fill="FFFFFF"/>
          <w:rtl/>
        </w:rPr>
        <w:t xml:space="preserve"> </w:t>
      </w:r>
      <w:r w:rsidRPr="00632224">
        <w:rPr>
          <w:rFonts w:ascii="Century" w:hAnsi="Century" w:cs="Miriam" w:hint="eastAsia"/>
          <w:sz w:val="22"/>
          <w:shd w:val="clear" w:color="auto" w:fill="FFFFFF"/>
          <w:rtl/>
        </w:rPr>
        <w:t>המדע</w:t>
      </w:r>
      <w:r w:rsidRPr="00632224">
        <w:rPr>
          <w:rFonts w:ascii="Arial TUR" w:hAnsi="Arial TUR" w:cs="FrankRuehl" w:hint="cs"/>
          <w:spacing w:val="10"/>
          <w:sz w:val="22"/>
          <w:szCs w:val="28"/>
          <w:rtl/>
        </w:rPr>
        <w:t xml:space="preserve">, בפסקה 39 והאסמכתאות שם, הדגשות הוספו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 על כך שהחובה להימנע </w:t>
      </w:r>
      <w:r w:rsidRPr="00632224">
        <w:rPr>
          <w:rFonts w:ascii="Century" w:hAnsi="Century" w:cs="FrankRuehl" w:hint="cs"/>
          <w:spacing w:val="10"/>
          <w:szCs w:val="28"/>
          <w:rtl/>
        </w:rPr>
        <w:t xml:space="preserve">ממינויים פוליטיים בשירות המדינה נגזרת ממעמדה של הרשות הציבורית כנאמן הציבור ראו </w:t>
      </w:r>
      <w:r w:rsidRPr="00632224">
        <w:rPr>
          <w:rFonts w:ascii="Century" w:hAnsi="Century" w:cs="FrankRuehl" w:hint="cs"/>
          <w:spacing w:val="10"/>
          <w:sz w:val="22"/>
          <w:szCs w:val="28"/>
          <w:rtl/>
        </w:rPr>
        <w:t xml:space="preserve">עניין </w:t>
      </w:r>
      <w:r w:rsidRPr="00632224">
        <w:rPr>
          <w:rFonts w:ascii="Century" w:hAnsi="Century" w:cs="Miriam" w:hint="cs"/>
          <w:b/>
          <w:sz w:val="22"/>
          <w:rtl/>
        </w:rPr>
        <w:t>יהדות התורה</w:t>
      </w:r>
      <w:r w:rsidRPr="00632224">
        <w:rPr>
          <w:rFonts w:ascii="Century" w:hAnsi="Century" w:cs="FrankRuehl" w:hint="cs"/>
          <w:spacing w:val="10"/>
          <w:sz w:val="22"/>
          <w:szCs w:val="28"/>
          <w:rtl/>
        </w:rPr>
        <w:t xml:space="preserve">, בפסקה 51 והאסמכתאות שם; </w:t>
      </w:r>
      <w:r w:rsidRPr="00632224">
        <w:rPr>
          <w:rFonts w:ascii="Century" w:hAnsi="Century" w:cs="FrankRuehl" w:hint="eastAsia"/>
          <w:spacing w:val="10"/>
          <w:sz w:val="22"/>
          <w:szCs w:val="28"/>
          <w:rtl/>
        </w:rPr>
        <w:t>בג</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ץ</w:t>
      </w:r>
      <w:r w:rsidRPr="00632224">
        <w:rPr>
          <w:rFonts w:ascii="Century" w:hAnsi="Century" w:cs="FrankRuehl"/>
          <w:spacing w:val="10"/>
          <w:sz w:val="22"/>
          <w:szCs w:val="28"/>
          <w:rtl/>
        </w:rPr>
        <w:t xml:space="preserve"> 154/98 </w:t>
      </w:r>
      <w:r w:rsidRPr="00632224">
        <w:rPr>
          <w:rFonts w:ascii="Century" w:hAnsi="Century" w:cs="Miriam" w:hint="eastAsia"/>
          <w:b/>
          <w:sz w:val="22"/>
          <w:rtl/>
        </w:rPr>
        <w:t>הסתדרות</w:t>
      </w:r>
      <w:r w:rsidRPr="00632224">
        <w:rPr>
          <w:rFonts w:ascii="Century" w:hAnsi="Century" w:cs="Miriam"/>
          <w:b/>
          <w:sz w:val="22"/>
          <w:rtl/>
        </w:rPr>
        <w:t xml:space="preserve"> </w:t>
      </w:r>
      <w:r w:rsidRPr="00632224">
        <w:rPr>
          <w:rFonts w:ascii="Century" w:hAnsi="Century" w:cs="Miriam" w:hint="eastAsia"/>
          <w:b/>
          <w:sz w:val="22"/>
          <w:rtl/>
        </w:rPr>
        <w:t>העובדים</w:t>
      </w:r>
      <w:r w:rsidRPr="00632224">
        <w:rPr>
          <w:rFonts w:ascii="Century" w:hAnsi="Century" w:cs="Miriam"/>
          <w:b/>
          <w:sz w:val="22"/>
          <w:rtl/>
        </w:rPr>
        <w:t xml:space="preserve"> </w:t>
      </w:r>
      <w:r w:rsidRPr="00632224">
        <w:rPr>
          <w:rFonts w:ascii="Century" w:hAnsi="Century" w:cs="Miriam" w:hint="eastAsia"/>
          <w:b/>
          <w:sz w:val="22"/>
          <w:rtl/>
        </w:rPr>
        <w:t>הכללית</w:t>
      </w:r>
      <w:r w:rsidRPr="00632224">
        <w:rPr>
          <w:rFonts w:ascii="Century" w:hAnsi="Century" w:cs="Miriam"/>
          <w:b/>
          <w:sz w:val="22"/>
          <w:rtl/>
        </w:rPr>
        <w:t xml:space="preserve"> </w:t>
      </w:r>
      <w:r w:rsidRPr="00632224">
        <w:rPr>
          <w:rFonts w:ascii="Century" w:hAnsi="Century" w:cs="Miriam" w:hint="eastAsia"/>
          <w:b/>
          <w:sz w:val="22"/>
          <w:rtl/>
        </w:rPr>
        <w:t>החדשה</w:t>
      </w:r>
      <w:r w:rsidRPr="00632224">
        <w:rPr>
          <w:rFonts w:ascii="Century" w:hAnsi="Century" w:cs="Miriam"/>
          <w:b/>
          <w:sz w:val="22"/>
          <w:rtl/>
        </w:rPr>
        <w:t xml:space="preserve"> </w:t>
      </w:r>
      <w:r w:rsidRPr="00632224">
        <w:rPr>
          <w:rFonts w:ascii="Century" w:hAnsi="Century" w:cs="Miriam" w:hint="eastAsia"/>
          <w:b/>
          <w:sz w:val="22"/>
          <w:rtl/>
        </w:rPr>
        <w:t>נ</w:t>
      </w:r>
      <w:r w:rsidRPr="00632224">
        <w:rPr>
          <w:rFonts w:ascii="Century" w:hAnsi="Century" w:cs="Miriam"/>
          <w:b/>
          <w:sz w:val="22"/>
          <w:rtl/>
        </w:rPr>
        <w:t xml:space="preserve">' </w:t>
      </w:r>
      <w:r w:rsidRPr="00632224">
        <w:rPr>
          <w:rFonts w:ascii="Century" w:hAnsi="Century" w:cs="Miriam" w:hint="eastAsia"/>
          <w:b/>
          <w:sz w:val="22"/>
          <w:rtl/>
        </w:rPr>
        <w:t>מדינת</w:t>
      </w:r>
      <w:r w:rsidRPr="00632224">
        <w:rPr>
          <w:rFonts w:ascii="Century" w:hAnsi="Century" w:cs="Miriam"/>
          <w:b/>
          <w:sz w:val="22"/>
          <w:rtl/>
        </w:rPr>
        <w:t xml:space="preserve"> </w:t>
      </w:r>
      <w:r w:rsidRPr="00632224">
        <w:rPr>
          <w:rFonts w:ascii="Century" w:hAnsi="Century" w:cs="Miriam" w:hint="eastAsia"/>
          <w:b/>
          <w:sz w:val="22"/>
          <w:rtl/>
        </w:rPr>
        <w:t>ישראל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פ</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נב</w:t>
      </w:r>
      <w:r w:rsidRPr="00632224">
        <w:rPr>
          <w:rFonts w:ascii="Century" w:hAnsi="Century" w:cs="FrankRuehl" w:hint="cs"/>
          <w:spacing w:val="10"/>
          <w:sz w:val="22"/>
          <w:szCs w:val="28"/>
          <w:rtl/>
        </w:rPr>
        <w:t>(5)</w:t>
      </w:r>
      <w:r w:rsidRPr="00632224">
        <w:rPr>
          <w:rFonts w:ascii="Century" w:hAnsi="Century" w:cs="FrankRuehl" w:hint="cs"/>
          <w:spacing w:val="10"/>
          <w:szCs w:val="28"/>
          <w:rtl/>
        </w:rPr>
        <w:t xml:space="preserve"> 111, 122-118 (1998)).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ככלל, </w:t>
      </w:r>
      <w:r w:rsidRPr="00632224">
        <w:rPr>
          <w:rFonts w:ascii="Arial TUR" w:hAnsi="Arial TUR" w:cs="FrankRuehl" w:hint="cs"/>
          <w:spacing w:val="10"/>
          <w:sz w:val="28"/>
          <w:szCs w:val="28"/>
          <w:rtl/>
        </w:rPr>
        <w:t>בהפעילו ביקורת שיפוטית על החלטת המינוי, בית המשפט אינו שם את עצמו בנעליו של הגורם הממנה ואינו מחליף את שיקול דעתו בשיקול דעתו שלו (</w:t>
      </w:r>
      <w:r w:rsidRPr="00632224">
        <w:rPr>
          <w:rFonts w:ascii="Century" w:hAnsi="Century" w:cs="FrankRuehl" w:hint="eastAsia"/>
          <w:spacing w:val="10"/>
          <w:sz w:val="22"/>
          <w:szCs w:val="28"/>
          <w:rtl/>
        </w:rPr>
        <w:t>בג</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ץ</w:t>
      </w:r>
      <w:r w:rsidRPr="00632224">
        <w:rPr>
          <w:rFonts w:ascii="Century" w:hAnsi="Century" w:cs="FrankRuehl"/>
          <w:spacing w:val="10"/>
          <w:sz w:val="22"/>
          <w:szCs w:val="28"/>
          <w:rtl/>
        </w:rPr>
        <w:t xml:space="preserve"> 8134/11</w:t>
      </w:r>
      <w:r w:rsidRPr="00632224">
        <w:rPr>
          <w:rFonts w:ascii="Arial TUR" w:hAnsi="Arial TUR" w:cs="FrankRuehl" w:hint="cs"/>
          <w:spacing w:val="10"/>
          <w:sz w:val="28"/>
          <w:szCs w:val="28"/>
          <w:rtl/>
        </w:rPr>
        <w:t xml:space="preserve"> </w:t>
      </w:r>
      <w:r w:rsidRPr="00632224">
        <w:rPr>
          <w:rFonts w:ascii="Century" w:hAnsi="Century" w:cs="Miriam" w:hint="cs"/>
          <w:b/>
          <w:sz w:val="22"/>
          <w:rtl/>
        </w:rPr>
        <w:t>אשר נ' שר האוצר</w:t>
      </w:r>
      <w:r w:rsidRPr="00632224">
        <w:rPr>
          <w:rFonts w:ascii="Arial TUR" w:hAnsi="Arial TUR" w:cs="FrankRuehl" w:hint="cs"/>
          <w:spacing w:val="10"/>
          <w:sz w:val="28"/>
          <w:szCs w:val="28"/>
          <w:rtl/>
        </w:rPr>
        <w:t xml:space="preserve">, פסקה 11 לפסק דינו של המשנה לנשיאה </w:t>
      </w:r>
      <w:r w:rsidRPr="00632224">
        <w:rPr>
          <w:rFonts w:ascii="Century" w:hAnsi="Century" w:cs="Miriam" w:hint="cs"/>
          <w:b/>
          <w:sz w:val="22"/>
          <w:rtl/>
        </w:rPr>
        <w:t>ריבלין</w:t>
      </w:r>
      <w:r w:rsidRPr="00632224">
        <w:rPr>
          <w:rFonts w:ascii="Arial TUR" w:hAnsi="Arial TUR" w:cs="FrankRuehl" w:hint="cs"/>
          <w:spacing w:val="10"/>
          <w:sz w:val="28"/>
          <w:szCs w:val="28"/>
          <w:rtl/>
        </w:rPr>
        <w:t xml:space="preserve"> (29.1.2012)). עם זאת</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"לרשות השופטת תפקיד חיוני במיגור תופעות פסולות של שימוש לרעה בכוח המסור לנבחרי ציבור ולעובדי השירות הציבורי. הדבר בא לידי ביטוי הן באפיק הפלילי, הן באפיק המינהלי, על כלל שלוחותיו, בין היתר במסגרת הביקורת השיפוטית על מינויים בשירות הציבורי" (עניין</w:t>
      </w:r>
      <w:r w:rsidRPr="00632224">
        <w:rPr>
          <w:rFonts w:ascii="Century" w:hAnsi="Century" w:cs="Miriam" w:hint="cs"/>
          <w:b/>
          <w:sz w:val="22"/>
          <w:rtl/>
        </w:rPr>
        <w:t xml:space="preserve"> אומ"ץ</w:t>
      </w:r>
      <w:r w:rsidRPr="00632224">
        <w:rPr>
          <w:rFonts w:ascii="Arial TUR" w:hAnsi="Arial TUR" w:cs="FrankRuehl" w:hint="cs"/>
          <w:spacing w:val="10"/>
          <w:sz w:val="22"/>
          <w:szCs w:val="28"/>
          <w:rtl/>
        </w:rPr>
        <w:t xml:space="preserve">, בפסקה 13 לפסק דינו של השופט </w:t>
      </w:r>
      <w:r w:rsidRPr="00632224">
        <w:rPr>
          <w:rFonts w:ascii="Century" w:hAnsi="Century" w:cs="Miriam" w:hint="eastAsia"/>
          <w:b/>
          <w:sz w:val="22"/>
          <w:rtl/>
        </w:rPr>
        <w:t>סולברג</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shd w:val="clear" w:color="auto" w:fill="FFFFFF"/>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עילת הסבירות משמשת בעיקר לפסילת מינויים שנעשו משיקולים פוליטיים-אישיים או כאשר המינוי לוקה בפגם ערכי-נורמטיבי (בג"ץ 4646/08 </w:t>
      </w:r>
      <w:r w:rsidRPr="00632224">
        <w:rPr>
          <w:rFonts w:ascii="Century" w:hAnsi="Century" w:cs="Miriam" w:hint="cs"/>
          <w:b/>
          <w:sz w:val="22"/>
          <w:rtl/>
        </w:rPr>
        <w:t>לביא נ' ראש הממשלה</w:t>
      </w:r>
      <w:r w:rsidRPr="00632224">
        <w:rPr>
          <w:rFonts w:ascii="Century" w:hAnsi="Century" w:cs="FrankRuehl" w:hint="cs"/>
          <w:spacing w:val="10"/>
          <w:sz w:val="22"/>
          <w:szCs w:val="28"/>
          <w:rtl/>
        </w:rPr>
        <w:t xml:space="preserve">, פסקה 20 לפסק דינה של הנשיאה </w:t>
      </w:r>
      <w:r w:rsidRPr="00632224">
        <w:rPr>
          <w:rFonts w:ascii="Century" w:hAnsi="Century" w:cs="Miriam" w:hint="eastAsia"/>
          <w:b/>
          <w:sz w:val="22"/>
          <w:rtl/>
        </w:rPr>
        <w:t>ביניש</w:t>
      </w: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12.10.2008</w:t>
      </w:r>
      <w:r w:rsidRPr="00632224">
        <w:rPr>
          <w:rFonts w:ascii="Century" w:hAnsi="Century" w:cs="FrankRuehl" w:hint="cs"/>
          <w:spacing w:val="10"/>
          <w:sz w:val="22"/>
          <w:szCs w:val="28"/>
          <w:rtl/>
        </w:rPr>
        <w:t xml:space="preserve">)). כך, </w:t>
      </w:r>
      <w:r w:rsidRPr="00632224">
        <w:rPr>
          <w:rFonts w:ascii="Arial TUR" w:hAnsi="Arial TUR" w:cs="FrankRuehl" w:hint="cs"/>
          <w:spacing w:val="10"/>
          <w:sz w:val="22"/>
          <w:szCs w:val="28"/>
          <w:rtl/>
        </w:rPr>
        <w:t>בג"ץ פסל בעילה של חוסר סבירות קיצונית מינוי מנכ"ל למשרד ממשלתי מן הטעם שהמועמד שיבש חקירה ומסר עדות שקר בבית המשפט</w:t>
      </w:r>
      <w:r w:rsidRPr="00632224">
        <w:rPr>
          <w:rFonts w:ascii="Century" w:hAnsi="Century" w:cs="FrankRuehl" w:hint="cs"/>
          <w:spacing w:val="10"/>
          <w:sz w:val="22"/>
          <w:szCs w:val="28"/>
          <w:rtl/>
        </w:rPr>
        <w:t xml:space="preserve"> (עניין </w:t>
      </w:r>
      <w:r w:rsidRPr="00632224">
        <w:rPr>
          <w:rFonts w:ascii="Century" w:hAnsi="Century" w:cs="Miriam"/>
          <w:b/>
          <w:sz w:val="22"/>
          <w:rtl/>
        </w:rPr>
        <w:t>אייזנברג</w:t>
      </w:r>
      <w:r w:rsidRPr="00632224">
        <w:rPr>
          <w:rFonts w:ascii="Century" w:hAnsi="Century" w:cs="FrankRuehl" w:hint="cs"/>
          <w:spacing w:val="10"/>
          <w:sz w:val="22"/>
          <w:szCs w:val="28"/>
          <w:rtl/>
        </w:rPr>
        <w:t xml:space="preserve">). </w:t>
      </w:r>
      <w:r w:rsidRPr="00632224">
        <w:rPr>
          <w:rFonts w:ascii="Arial TUR" w:hAnsi="Arial TUR" w:cs="FrankRuehl" w:hint="cs"/>
          <w:spacing w:val="10"/>
          <w:sz w:val="22"/>
          <w:szCs w:val="28"/>
          <w:rtl/>
        </w:rPr>
        <w:t>בג"ץ פסל בעילה של חוסר סבירות קיצונית מינוי של אדם לתפקיד מנכ"ל עמידר, מאחר שהלה מסר תצהיר כוזב, במסגרת תביעת פיצויים על נזקי גוף שבה טען כי איבד את כושר עבודתו. זאת, מאחר ש"</w:t>
      </w:r>
      <w:r w:rsidRPr="00632224">
        <w:rPr>
          <w:rFonts w:ascii="Arial TUR" w:hAnsi="Arial TUR" w:cs="FrankRuehl"/>
          <w:spacing w:val="10"/>
          <w:sz w:val="22"/>
          <w:szCs w:val="28"/>
          <w:rtl/>
        </w:rPr>
        <w:t>חתימה על מסמכים אשר תוכנם אינו אמת, על</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מנת להשיג טובת הנאה אישית, היא מסוג המעשים המטילים צל כבד על אישיותו של אדם</w:t>
      </w:r>
      <w:r w:rsidRPr="00632224">
        <w:rPr>
          <w:rFonts w:ascii="Arial TUR" w:hAnsi="Arial TUR" w:cs="FrankRuehl" w:hint="cs"/>
          <w:spacing w:val="10"/>
          <w:sz w:val="22"/>
          <w:szCs w:val="28"/>
          <w:rtl/>
        </w:rPr>
        <w:t xml:space="preserve"> [...]. </w:t>
      </w:r>
      <w:r w:rsidRPr="00632224">
        <w:rPr>
          <w:rFonts w:ascii="Arial TUR" w:hAnsi="Arial TUR" w:cs="FrankRuehl"/>
          <w:spacing w:val="10"/>
          <w:sz w:val="22"/>
          <w:szCs w:val="28"/>
          <w:rtl/>
        </w:rPr>
        <w:t>אופי התפקיד של מנהל כללי בחברה מחייב מינויו של מועמד ישר דרך</w:t>
      </w:r>
      <w:r w:rsidRPr="00632224">
        <w:rPr>
          <w:rFonts w:ascii="Arial TUR" w:hAnsi="Arial TUR" w:cs="FrankRuehl" w:hint="cs"/>
          <w:spacing w:val="10"/>
          <w:sz w:val="22"/>
          <w:szCs w:val="28"/>
          <w:rtl/>
        </w:rPr>
        <w:t>" (</w:t>
      </w:r>
      <w:r w:rsidRPr="00632224">
        <w:rPr>
          <w:rFonts w:ascii="Century" w:hAnsi="Century" w:cs="FrankRuehl"/>
          <w:spacing w:val="10"/>
          <w:sz w:val="22"/>
          <w:szCs w:val="28"/>
          <w:shd w:val="clear" w:color="auto" w:fill="FFFFFF"/>
          <w:rtl/>
        </w:rPr>
        <w:t>בג״ץ 932/99 </w:t>
      </w:r>
      <w:r w:rsidRPr="00632224">
        <w:rPr>
          <w:rFonts w:ascii="Century" w:hAnsi="Century" w:cs="Miriam" w:hint="eastAsia"/>
          <w:b/>
          <w:sz w:val="22"/>
          <w:shd w:val="clear" w:color="auto" w:fill="FFFFFF"/>
          <w:rtl/>
        </w:rPr>
        <w:t>התנועה</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למען</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איכות</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השלטון</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בישראל</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נ׳</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יושב</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ראש</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הוועדה</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לבדיקת</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מינויים</w:t>
      </w:r>
      <w:r w:rsidRPr="00632224">
        <w:rPr>
          <w:rFonts w:ascii="Century" w:hAnsi="Century" w:cs="FrankRuehl"/>
          <w:spacing w:val="10"/>
          <w:sz w:val="22"/>
          <w:szCs w:val="28"/>
          <w:shd w:val="clear" w:color="auto" w:fill="FFFFFF"/>
          <w:rtl/>
        </w:rPr>
        <w:t>, פ״ד נג(3) 769</w:t>
      </w:r>
      <w:r w:rsidRPr="00632224">
        <w:rPr>
          <w:rFonts w:ascii="Century" w:hAnsi="Century" w:cs="FrankRuehl" w:hint="cs"/>
          <w:spacing w:val="10"/>
          <w:sz w:val="22"/>
          <w:szCs w:val="28"/>
          <w:shd w:val="clear" w:color="auto" w:fill="FFFFFF"/>
          <w:rtl/>
        </w:rPr>
        <w:t xml:space="preserve">, 790-789 (1999)).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shd w:val="clear" w:color="auto" w:fill="FFFFFF"/>
          <w:rtl/>
        </w:rPr>
        <w:lastRenderedPageBreak/>
        <w:t>90.</w:t>
      </w:r>
      <w:r w:rsidRPr="00632224">
        <w:rPr>
          <w:rFonts w:ascii="Century" w:hAnsi="Century" w:cs="FrankRuehl" w:hint="cs"/>
          <w:spacing w:val="10"/>
          <w:sz w:val="22"/>
          <w:szCs w:val="28"/>
          <w:shd w:val="clear" w:color="auto" w:fill="FFFFFF"/>
          <w:rtl/>
        </w:rPr>
        <w:tab/>
      </w:r>
      <w:r w:rsidRPr="00632224">
        <w:rPr>
          <w:rFonts w:ascii="Century" w:hAnsi="Century" w:cs="FrankRuehl" w:hint="cs"/>
          <w:spacing w:val="10"/>
          <w:sz w:val="22"/>
          <w:szCs w:val="28"/>
          <w:rtl/>
        </w:rPr>
        <w:t xml:space="preserve">ביטול עילת הסבירות עלול להביא לפגיעה רבתי בטוהר המידות, להשחתת השירות הציבורי ולמינוי של אנשים בלתי ראויים למשרות שאינן הולמות את מידותיהם וכישוריהם. </w:t>
      </w:r>
      <w:r w:rsidRPr="00632224">
        <w:rPr>
          <w:rFonts w:ascii="Arial TUR" w:hAnsi="Arial TUR" w:cs="FrankRuehl" w:hint="cs"/>
          <w:spacing w:val="10"/>
          <w:sz w:val="22"/>
          <w:szCs w:val="28"/>
          <w:rtl/>
        </w:rPr>
        <w:t xml:space="preserve">קליגולה התכוון למנות את סוסו כקונסול, ויש המצביעים על כך כדוגמה להחלטה בלתי סבירה. כשלעצמי, איני חושש ממינוי סוסים למשרות ציבוריות בישראל, מן הטעם ש"אין סוסים שמדברים עברית". אך לא רק מינוי של סוס יכול להיחשב כמינוי בלתי סביר. ללא עילת הסבירות, מה ימנע מינוי של מי שהורשע בעבירת מין כמנכ"ל המשרד לקידום מעמד האשה; מינוי של מי שהורשע בהעלמת מס לתפקיד מנהל רשות המיסים; מינוי של </w:t>
      </w:r>
      <w:r w:rsidRPr="00632224">
        <w:rPr>
          <w:rFonts w:ascii="Arial TUR" w:hAnsi="Arial TUR" w:cs="FrankRuehl" w:hint="eastAsia"/>
          <w:spacing w:val="10"/>
          <w:sz w:val="22"/>
          <w:szCs w:val="28"/>
          <w:rtl/>
        </w:rPr>
        <w:t>אדם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עבר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פלילי</w:t>
      </w:r>
      <w:r w:rsidRPr="00632224">
        <w:rPr>
          <w:rFonts w:ascii="Arial TUR" w:hAnsi="Arial TUR" w:cs="FrankRuehl"/>
          <w:spacing w:val="10"/>
          <w:sz w:val="22"/>
          <w:szCs w:val="28"/>
          <w:rtl/>
        </w:rPr>
        <w:t xml:space="preserve"> רלוונטי </w:t>
      </w:r>
      <w:r w:rsidRPr="00632224">
        <w:rPr>
          <w:rFonts w:ascii="Arial TUR" w:hAnsi="Arial TUR" w:cs="FrankRuehl" w:hint="eastAsia"/>
          <w:spacing w:val="10"/>
          <w:sz w:val="22"/>
          <w:szCs w:val="28"/>
          <w:rtl/>
        </w:rPr>
        <w:t>או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מקורב</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למשפחת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פשע</w:t>
      </w:r>
      <w:r w:rsidRPr="00632224">
        <w:rPr>
          <w:rFonts w:ascii="Arial TUR" w:hAnsi="Arial TUR" w:cs="FrankRuehl" w:hint="cs"/>
          <w:spacing w:val="10"/>
          <w:sz w:val="22"/>
          <w:szCs w:val="28"/>
          <w:rtl/>
        </w:rPr>
        <w:t xml:space="preserve">; מינוי של מי שאינו בעל כישורים מקצועיים רלוונטיים לתפקיד מנכ"ל המשרד. </w:t>
      </w:r>
      <w:r w:rsidRPr="00632224">
        <w:rPr>
          <w:rFonts w:ascii="Century" w:hAnsi="Century" w:cs="FrankRuehl" w:hint="cs"/>
          <w:spacing w:val="10"/>
          <w:sz w:val="22"/>
          <w:szCs w:val="28"/>
          <w:shd w:val="clear" w:color="auto" w:fill="FFFFFF"/>
          <w:rtl/>
        </w:rPr>
        <w:t>ב</w:t>
      </w:r>
      <w:r w:rsidRPr="00632224">
        <w:rPr>
          <w:rFonts w:ascii="Century" w:hAnsi="Century" w:cs="FrankRuehl" w:hint="eastAsia"/>
          <w:spacing w:val="10"/>
          <w:sz w:val="22"/>
          <w:szCs w:val="28"/>
          <w:shd w:val="clear" w:color="auto" w:fill="FFFFFF"/>
          <w:rtl/>
        </w:rPr>
        <w:t>עניין</w:t>
      </w:r>
      <w:r w:rsidRPr="00632224">
        <w:rPr>
          <w:rFonts w:ascii="Century" w:hAnsi="Century" w:cs="Miriam"/>
          <w:sz w:val="22"/>
          <w:shd w:val="clear" w:color="auto" w:fill="FFFFFF"/>
          <w:rtl/>
        </w:rPr>
        <w:t xml:space="preserve"> </w:t>
      </w:r>
      <w:r w:rsidRPr="00632224">
        <w:rPr>
          <w:rFonts w:ascii="Century" w:hAnsi="Century" w:cs="Miriam" w:hint="eastAsia"/>
          <w:sz w:val="22"/>
          <w:shd w:val="clear" w:color="auto" w:fill="FFFFFF"/>
          <w:rtl/>
        </w:rPr>
        <w:t>מנכ</w:t>
      </w:r>
      <w:r w:rsidRPr="00632224">
        <w:rPr>
          <w:rFonts w:ascii="Century" w:hAnsi="Century" w:cs="Miriam"/>
          <w:sz w:val="22"/>
          <w:shd w:val="clear" w:color="auto" w:fill="FFFFFF"/>
          <w:rtl/>
        </w:rPr>
        <w:t>"</w:t>
      </w:r>
      <w:r w:rsidRPr="00632224">
        <w:rPr>
          <w:rFonts w:ascii="Century" w:hAnsi="Century" w:cs="Miriam" w:hint="eastAsia"/>
          <w:sz w:val="22"/>
          <w:shd w:val="clear" w:color="auto" w:fill="FFFFFF"/>
          <w:rtl/>
        </w:rPr>
        <w:t>ל</w:t>
      </w:r>
      <w:r w:rsidRPr="00632224">
        <w:rPr>
          <w:rFonts w:ascii="Century" w:hAnsi="Century" w:cs="Miriam"/>
          <w:sz w:val="22"/>
          <w:shd w:val="clear" w:color="auto" w:fill="FFFFFF"/>
          <w:rtl/>
        </w:rPr>
        <w:t xml:space="preserve"> </w:t>
      </w:r>
      <w:r w:rsidRPr="00632224">
        <w:rPr>
          <w:rFonts w:ascii="Century" w:hAnsi="Century" w:cs="Miriam" w:hint="eastAsia"/>
          <w:sz w:val="22"/>
          <w:shd w:val="clear" w:color="auto" w:fill="FFFFFF"/>
          <w:rtl/>
        </w:rPr>
        <w:t>משרד</w:t>
      </w:r>
      <w:r w:rsidRPr="00632224">
        <w:rPr>
          <w:rFonts w:ascii="Century" w:hAnsi="Century" w:cs="Miriam"/>
          <w:sz w:val="22"/>
          <w:shd w:val="clear" w:color="auto" w:fill="FFFFFF"/>
          <w:rtl/>
        </w:rPr>
        <w:t xml:space="preserve"> </w:t>
      </w:r>
      <w:r w:rsidRPr="00632224">
        <w:rPr>
          <w:rFonts w:ascii="Century" w:hAnsi="Century" w:cs="Miriam" w:hint="eastAsia"/>
          <w:sz w:val="22"/>
          <w:shd w:val="clear" w:color="auto" w:fill="FFFFFF"/>
          <w:rtl/>
        </w:rPr>
        <w:t>המדע</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פסל</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בית</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המשפט</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מינויו</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של</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מועמד</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לאחר</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שהלה</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נבחר</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לתפקידו</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על</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ידי</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שר</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המדע</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והטכנ</w:t>
      </w:r>
      <w:r w:rsidRPr="00632224">
        <w:rPr>
          <w:rFonts w:ascii="Century" w:hAnsi="Century" w:cs="FrankRuehl" w:hint="cs"/>
          <w:spacing w:val="10"/>
          <w:sz w:val="22"/>
          <w:szCs w:val="28"/>
          <w:shd w:val="clear" w:color="auto" w:fill="FFFFFF"/>
          <w:rtl/>
        </w:rPr>
        <w:t>ו</w:t>
      </w:r>
      <w:r w:rsidRPr="00632224">
        <w:rPr>
          <w:rFonts w:ascii="Century" w:hAnsi="Century" w:cs="FrankRuehl" w:hint="eastAsia"/>
          <w:spacing w:val="10"/>
          <w:sz w:val="22"/>
          <w:szCs w:val="28"/>
          <w:shd w:val="clear" w:color="auto" w:fill="FFFFFF"/>
          <w:rtl/>
        </w:rPr>
        <w:t>לוגיה</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בית</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המשפט</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דחה</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גם</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את</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האפשרות</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למנותו</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כמנכ</w:t>
      </w:r>
      <w:r w:rsidRPr="00632224">
        <w:rPr>
          <w:rFonts w:ascii="Century" w:hAnsi="Century" w:cs="FrankRuehl"/>
          <w:spacing w:val="10"/>
          <w:sz w:val="22"/>
          <w:szCs w:val="28"/>
          <w:shd w:val="clear" w:color="auto" w:fill="FFFFFF"/>
          <w:rtl/>
        </w:rPr>
        <w:t>"</w:t>
      </w:r>
      <w:r w:rsidRPr="00632224">
        <w:rPr>
          <w:rFonts w:ascii="Century" w:hAnsi="Century" w:cs="FrankRuehl" w:hint="eastAsia"/>
          <w:spacing w:val="10"/>
          <w:sz w:val="22"/>
          <w:szCs w:val="28"/>
          <w:shd w:val="clear" w:color="auto" w:fill="FFFFFF"/>
          <w:rtl/>
        </w:rPr>
        <w:t>ל</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זמני</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על</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מנת</w:t>
      </w:r>
      <w:r w:rsidRPr="00632224">
        <w:rPr>
          <w:rFonts w:ascii="Century" w:hAnsi="Century" w:cs="FrankRuehl" w:hint="cs"/>
          <w:b/>
          <w:bCs/>
          <w:spacing w:val="10"/>
          <w:sz w:val="22"/>
          <w:szCs w:val="28"/>
          <w:shd w:val="clear" w:color="auto" w:fill="FFFFFF"/>
          <w:rtl/>
        </w:rPr>
        <w:t xml:space="preserve"> </w:t>
      </w:r>
      <w:r w:rsidRPr="00632224">
        <w:rPr>
          <w:rFonts w:ascii="Arial TUR" w:hAnsi="Arial TUR" w:cs="FrankRuehl" w:hint="cs"/>
          <w:spacing w:val="10"/>
          <w:sz w:val="22"/>
          <w:szCs w:val="28"/>
          <w:rtl/>
        </w:rPr>
        <w:t>לאפשר בחינה מעשית אם יכולותיו מספקות לצורך מינוי קבע לתפקיד, בציינו כי "משרות הנהגה בשירות הציבורי אינן אמורות להינתן בתור נסיון בידי מי שיש ספק בדבר כשירותם לעמוד בדרישות התפקיד. [...] קשה להתגבר על הרושם שנוצר לפיו תקופת הנסיון בת שישה חודשים של המועמד נועדה לשמש שלב מסייע בהכשרת מינויו בעתיד, תוך עקיפת תנאי הכשירות הבסיסיים שהוא אינו עומד בהם"</w:t>
      </w:r>
      <w:r w:rsidRPr="00632224">
        <w:rPr>
          <w:rFonts w:ascii="Century" w:hAnsi="Century" w:cs="FrankRuehl" w:hint="cs"/>
          <w:spacing w:val="10"/>
          <w:sz w:val="22"/>
          <w:szCs w:val="28"/>
          <w:rtl/>
        </w:rPr>
        <w:t xml:space="preserve"> </w:t>
      </w:r>
      <w:r w:rsidRPr="00632224">
        <w:rPr>
          <w:rFonts w:ascii="Arial TUR" w:hAnsi="Arial TUR" w:cs="FrankRuehl" w:hint="cs"/>
          <w:spacing w:val="10"/>
          <w:sz w:val="22"/>
          <w:szCs w:val="28"/>
          <w:rtl/>
        </w:rPr>
        <w:t>(</w:t>
      </w:r>
      <w:r w:rsidRPr="00632224">
        <w:rPr>
          <w:rFonts w:ascii="Century" w:hAnsi="Century" w:cs="Miriam" w:hint="eastAsia"/>
          <w:b/>
          <w:sz w:val="22"/>
          <w:rtl/>
        </w:rPr>
        <w:t>שם</w:t>
      </w:r>
      <w:r w:rsidRPr="00632224">
        <w:rPr>
          <w:rFonts w:ascii="Arial TUR" w:hAnsi="Arial TUR" w:cs="FrankRuehl" w:hint="cs"/>
          <w:spacing w:val="10"/>
          <w:sz w:val="22"/>
          <w:szCs w:val="28"/>
          <w:rtl/>
        </w:rPr>
        <w:t>, בפסקה 62).</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על החשש מפני מינויים בלתי ראויים, השיבה הכנסת בתשובתה המשלימה כי חזקה על שר שלא ימנה במודע אנשים שאין להם את הכישורים המתאימים להצליח בתפקידם. ובקיצור, לפנינו שוב תשובה בנוסח "סמוך על</w:t>
      </w:r>
      <w:r>
        <w:rPr>
          <w:rFonts w:ascii="Arial TUR" w:hAnsi="Arial TUR" w:cs="FrankRuehl" w:hint="cs"/>
          <w:spacing w:val="10"/>
          <w:sz w:val="22"/>
          <w:szCs w:val="28"/>
          <w:rtl/>
        </w:rPr>
        <w:t>ינו</w:t>
      </w:r>
      <w:r w:rsidRPr="00632224">
        <w:rPr>
          <w:rFonts w:ascii="Arial TUR" w:hAnsi="Arial TUR" w:cs="FrankRuehl" w:hint="cs"/>
          <w:spacing w:val="10"/>
          <w:sz w:val="22"/>
          <w:szCs w:val="28"/>
          <w:rtl/>
        </w:rPr>
        <w:t xml:space="preserve">", אך כפי שהבהרתי לעיל, במדינה דמוקרטית אין לקבל תשובה בנוסח זה אלא יש צורך במנגנונים שימנעו את הצורך לסמוך באופן עיוור על הרשות המבצעת.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91.</w:t>
      </w: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תשובה נוספת של הכנסת היא כי בכל הנוגע למינוי בכירים "קיים שיח ציבורי ותקשורתי ער", כך שמן הסתם שיח זה ירתיע מפני מינויים בלתי ראויים. צר לי לקבוע, כי המציאות מוכיחה כי לא סגי ב"שיח ציבורי ער" או בביקורת ציבורית כדי למנוע מינוי בלתי ראוי. התופעה של מינויים בלתי ראויים בשל קרבה פוליטית או אישית "[...] </w:t>
      </w:r>
      <w:r w:rsidRPr="00632224">
        <w:rPr>
          <w:rFonts w:ascii="Arial TUR" w:hAnsi="Arial TUR" w:cs="FrankRuehl"/>
          <w:spacing w:val="10"/>
          <w:sz w:val="22"/>
          <w:szCs w:val="28"/>
          <w:rtl/>
        </w:rPr>
        <w:t>איננה מצטמצמת למשרות בכירות, הכרוכות בקביעת מדיניות, אלא מתפשטת ויורדת עד לדרגות הנמוכות ביותר. היא חלה בשירות הממשלתי, ברשויות המקומיות ובתאגידים הציבוריים, כמו המוסד לביטוח לאומי, שירות</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התע</w:t>
      </w:r>
      <w:r w:rsidRPr="00632224">
        <w:rPr>
          <w:rFonts w:ascii="Arial TUR" w:hAnsi="Arial TUR" w:cs="FrankRuehl" w:hint="cs"/>
          <w:spacing w:val="10"/>
          <w:sz w:val="22"/>
          <w:szCs w:val="28"/>
          <w:rtl/>
        </w:rPr>
        <w:t>סוקה</w:t>
      </w:r>
      <w:r w:rsidRPr="00632224">
        <w:rPr>
          <w:rFonts w:ascii="Arial TUR" w:hAnsi="Arial TUR" w:cs="FrankRuehl"/>
          <w:spacing w:val="10"/>
          <w:sz w:val="22"/>
          <w:szCs w:val="28"/>
          <w:rtl/>
        </w:rPr>
        <w:t xml:space="preserve"> ורשות</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השידו</w:t>
      </w:r>
      <w:r w:rsidRPr="00632224">
        <w:rPr>
          <w:rFonts w:ascii="Arial TUR" w:hAnsi="Arial TUR" w:cs="FrankRuehl" w:hint="cs"/>
          <w:spacing w:val="10"/>
          <w:sz w:val="22"/>
          <w:szCs w:val="28"/>
          <w:rtl/>
        </w:rPr>
        <w:t xml:space="preserve">ר. </w:t>
      </w:r>
      <w:r w:rsidRPr="00632224">
        <w:rPr>
          <w:rFonts w:ascii="Arial TUR" w:hAnsi="Arial TUR" w:cs="FrankRuehl"/>
          <w:spacing w:val="10"/>
          <w:sz w:val="22"/>
          <w:szCs w:val="28"/>
          <w:rtl/>
        </w:rPr>
        <w:t>במיוחד פשה הנגע בחברות</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הממשלתיות, שחובה עליהן לפעול לפי שיקולים עסקיים, ואילו למעשה השרים הממונים עליהן נוהגים בהן לעתים קרובות כאילו הן אחוזות פרטיות של השרי</w:t>
      </w:r>
      <w:r w:rsidRPr="00632224">
        <w:rPr>
          <w:rFonts w:ascii="Arial TUR" w:hAnsi="Arial TUR" w:cs="FrankRuehl" w:hint="cs"/>
          <w:spacing w:val="10"/>
          <w:sz w:val="22"/>
          <w:szCs w:val="28"/>
          <w:rtl/>
        </w:rPr>
        <w:t xml:space="preserve">ם [...]" (יצחק </w:t>
      </w:r>
      <w:r w:rsidRPr="00632224">
        <w:rPr>
          <w:rFonts w:ascii="Century" w:hAnsi="Century" w:cs="FrankRuehl"/>
          <w:spacing w:val="10"/>
          <w:sz w:val="22"/>
          <w:szCs w:val="28"/>
          <w:rtl/>
        </w:rPr>
        <w:t>זמיר "מינויים פוליטיים"</w:t>
      </w:r>
      <w:r w:rsidRPr="00632224">
        <w:rPr>
          <w:rFonts w:ascii="Arial TUR" w:hAnsi="Arial TUR" w:cs="FrankRuehl"/>
          <w:color w:val="000000"/>
          <w:spacing w:val="10"/>
          <w:sz w:val="22"/>
          <w:szCs w:val="28"/>
          <w:rtl/>
        </w:rPr>
        <w:t xml:space="preserve"> </w:t>
      </w:r>
      <w:r w:rsidRPr="00632224">
        <w:rPr>
          <w:rFonts w:ascii="Century" w:hAnsi="Century" w:cs="Miriam"/>
          <w:b/>
          <w:sz w:val="22"/>
          <w:rtl/>
        </w:rPr>
        <w:t>משפטים</w:t>
      </w:r>
      <w:r w:rsidRPr="00632224">
        <w:rPr>
          <w:rFonts w:ascii="Arial TUR" w:hAnsi="Arial TUR" w:cs="FrankRuehl"/>
          <w:color w:val="000000"/>
          <w:spacing w:val="10"/>
          <w:sz w:val="22"/>
          <w:szCs w:val="28"/>
          <w:rtl/>
        </w:rPr>
        <w:t xml:space="preserve"> כ 19, </w:t>
      </w:r>
      <w:r w:rsidRPr="00632224">
        <w:rPr>
          <w:rFonts w:ascii="Arial TUR" w:hAnsi="Arial TUR" w:cs="FrankRuehl" w:hint="cs"/>
          <w:color w:val="000000"/>
          <w:spacing w:val="10"/>
          <w:sz w:val="22"/>
          <w:szCs w:val="28"/>
          <w:rtl/>
        </w:rPr>
        <w:t>22-21</w:t>
      </w:r>
      <w:r w:rsidRPr="00632224">
        <w:rPr>
          <w:rFonts w:ascii="Arial TUR" w:hAnsi="Arial TUR" w:cs="FrankRuehl"/>
          <w:color w:val="000000"/>
          <w:spacing w:val="10"/>
          <w:sz w:val="22"/>
          <w:szCs w:val="28"/>
          <w:rtl/>
        </w:rPr>
        <w:t xml:space="preserve"> (1990)</w:t>
      </w:r>
      <w:r w:rsidRPr="00632224">
        <w:rPr>
          <w:rFonts w:ascii="Arial TUR" w:hAnsi="Arial TUR" w:cs="FrankRuehl" w:hint="cs"/>
          <w:color w:val="000000"/>
          <w:spacing w:val="10"/>
          <w:sz w:val="22"/>
          <w:szCs w:val="28"/>
          <w:rtl/>
        </w:rPr>
        <w:t xml:space="preserve"> (להלן: </w:t>
      </w:r>
      <w:r w:rsidRPr="00632224">
        <w:rPr>
          <w:rFonts w:ascii="Century" w:hAnsi="Century" w:cs="Miriam" w:hint="eastAsia"/>
          <w:b/>
          <w:sz w:val="22"/>
          <w:rtl/>
        </w:rPr>
        <w:t>זמיר</w:t>
      </w:r>
      <w:r w:rsidRPr="00632224">
        <w:rPr>
          <w:rFonts w:ascii="Century" w:hAnsi="Century" w:cs="Miriam"/>
          <w:b/>
          <w:sz w:val="22"/>
          <w:rtl/>
        </w:rPr>
        <w:t xml:space="preserve"> </w:t>
      </w:r>
      <w:r w:rsidRPr="00632224">
        <w:rPr>
          <w:rFonts w:ascii="Century" w:hAnsi="Century" w:cs="Miriam" w:hint="eastAsia"/>
          <w:b/>
          <w:sz w:val="22"/>
          <w:rtl/>
        </w:rPr>
        <w:t>מינויים</w:t>
      </w:r>
      <w:r w:rsidRPr="00632224">
        <w:rPr>
          <w:rFonts w:ascii="Century" w:hAnsi="Century" w:cs="Miriam"/>
          <w:b/>
          <w:sz w:val="22"/>
          <w:rtl/>
        </w:rPr>
        <w:t xml:space="preserve"> </w:t>
      </w:r>
      <w:r w:rsidRPr="00632224">
        <w:rPr>
          <w:rFonts w:ascii="Century" w:hAnsi="Century" w:cs="Miriam" w:hint="eastAsia"/>
          <w:b/>
          <w:sz w:val="22"/>
          <w:rtl/>
        </w:rPr>
        <w:t>פוליטיים</w:t>
      </w:r>
      <w:r w:rsidRPr="00632224">
        <w:rPr>
          <w:rFonts w:ascii="Arial TUR" w:hAnsi="Arial TUR" w:cs="FrankRuehl" w:hint="cs"/>
          <w:color w:val="000000"/>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דברים שנכתבו לפני למעלה משלושים שנה, כוחם יפה גם היום, הן לגבי מינויים בחברות ממשלתיות והן לגבי מינויים בתחום התקשורת (ראו, לדוגמה, בג"ץ 1257/20 </w:t>
      </w:r>
      <w:r w:rsidRPr="00632224">
        <w:rPr>
          <w:rFonts w:ascii="Century" w:hAnsi="Century" w:cs="Miriam" w:hint="cs"/>
          <w:b/>
          <w:sz w:val="22"/>
          <w:rtl/>
        </w:rPr>
        <w:t>הצלחה לקידום חברה הוגנת נ' שר התקשורת</w:t>
      </w:r>
      <w:r w:rsidRPr="00632224">
        <w:rPr>
          <w:rFonts w:ascii="Arial TUR" w:hAnsi="Arial TUR" w:cs="FrankRuehl" w:hint="cs"/>
          <w:spacing w:val="10"/>
          <w:sz w:val="22"/>
          <w:szCs w:val="28"/>
          <w:rtl/>
        </w:rPr>
        <w:t xml:space="preserve"> (13.1.2021), בגדרו הורה בית המשפט לאשר מינויים לתפקידים בתחום זה לנוכח הימנעות הממשלה, משיקולים השמורים עמה, לאייש משך שנים תפקידים אלה). לא למותר לציין כי השתלטות פוליטית על מוסדות ומנגנונים בתחום התקשורת היא פגיעה ישירה ומיידית בדמוקרטיה.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92.</w:t>
      </w:r>
      <w:r w:rsidRPr="00632224">
        <w:rPr>
          <w:rFonts w:ascii="Arial TUR" w:hAnsi="Arial TUR" w:cs="FrankRuehl" w:hint="cs"/>
          <w:spacing w:val="10"/>
          <w:sz w:val="22"/>
          <w:szCs w:val="28"/>
          <w:rtl/>
        </w:rPr>
        <w:tab/>
        <w:t xml:space="preserve">מדוע נושא המינויים הוא כל כך חשוב? </w:t>
      </w: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עובדי הציבור, שבשנים האחרונות מכונים לעתים "פקידים", הם עמוד השדרה של השירות הציבורי. בלעדי אותם "פקידים" לא ניתן לקיים שירות ציבורי תקין ברמה ההולמת מדינה מודרנית, ולמעשה, "חיי הפרט והכלל בישראל תלויים בשירות הציבורי, ברמתו ובדרך תפקודו" (עניין </w:t>
      </w:r>
      <w:r w:rsidRPr="00632224">
        <w:rPr>
          <w:rFonts w:ascii="Century" w:hAnsi="Century" w:cs="Miriam" w:hint="cs"/>
          <w:sz w:val="22"/>
          <w:shd w:val="clear" w:color="auto" w:fill="FFFFFF"/>
          <w:rtl/>
        </w:rPr>
        <w:t>מנכ"ל משרד המדע</w:t>
      </w:r>
      <w:r w:rsidRPr="00632224">
        <w:rPr>
          <w:rFonts w:ascii="Arial TUR" w:hAnsi="Arial TUR" w:cs="FrankRuehl" w:hint="cs"/>
          <w:spacing w:val="10"/>
          <w:sz w:val="22"/>
          <w:szCs w:val="28"/>
          <w:rtl/>
        </w:rPr>
        <w:t>, בפסקה 13). בלעדי אותם "פקידים", בלעדי אותם משרתי ציבור (</w:t>
      </w:r>
      <w:r w:rsidRPr="00632224">
        <w:rPr>
          <w:rFonts w:cs="Times New Roman"/>
          <w:color w:val="333333"/>
          <w:spacing w:val="10"/>
          <w:sz w:val="22"/>
          <w:szCs w:val="22"/>
          <w:shd w:val="clear" w:color="auto" w:fill="FFFFFF"/>
        </w:rPr>
        <w:t>civil servants</w:t>
      </w:r>
      <w:r w:rsidRPr="00632224">
        <w:rPr>
          <w:rFonts w:ascii="Arial TUR" w:hAnsi="Arial TUR" w:cs="FrankRuehl" w:hint="cs"/>
          <w:spacing w:val="10"/>
          <w:sz w:val="22"/>
          <w:szCs w:val="28"/>
          <w:rtl/>
        </w:rPr>
        <w:t xml:space="preserve">), לא היה בלם בפני החלטות בעלות אופי פוליטי-סקטוריאלי שאינן מיטיבות עם כלל הציבור. התפקוד היעיל של הרשות המבצעת ויכולתם של שרי הממשלה למלא את המשימות שבאחריות משרדיהם, תלויים בתפקודם של אותם עובדי ציבור. הדבר נכון במיוחד על רקע אי היציבות הפוליטית בישראל, דבר שמביא לכך שמשך הכהונה הממוצע של שר בישראל אינו עומד אפילו על שנתיים.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textAlignment w:val="auto"/>
        <w:rPr>
          <w:rFonts w:ascii="Arial TUR" w:hAnsi="Arial TUR" w:cs="FrankRuehl"/>
          <w:spacing w:val="10"/>
          <w:sz w:val="22"/>
          <w:szCs w:val="28"/>
          <w:rtl/>
        </w:rPr>
      </w:pPr>
      <w:r w:rsidRPr="00632224">
        <w:rPr>
          <w:rFonts w:ascii="Garamond" w:hAnsi="Garamond" w:cs="FrankRuehl"/>
          <w:spacing w:val="10"/>
          <w:sz w:val="24"/>
          <w:szCs w:val="28"/>
          <w:rtl/>
        </w:rPr>
        <w:tab/>
      </w:r>
      <w:r w:rsidRPr="00632224">
        <w:rPr>
          <w:rFonts w:ascii="Garamond" w:hAnsi="Garamond" w:cs="FrankRuehl" w:hint="cs"/>
          <w:spacing w:val="10"/>
          <w:sz w:val="24"/>
          <w:szCs w:val="28"/>
          <w:rtl/>
        </w:rPr>
        <w:t xml:space="preserve">עובד הציבור נדרש להיות נקי כפיים ובר-לבב, ממלכתי, </w:t>
      </w:r>
      <w:r w:rsidRPr="00632224">
        <w:rPr>
          <w:rFonts w:cs="FrankRuehl" w:hint="cs"/>
          <w:spacing w:val="10"/>
          <w:sz w:val="24"/>
          <w:szCs w:val="28"/>
          <w:rtl/>
        </w:rPr>
        <w:t xml:space="preserve">מקצועי, א-פוליטי, </w:t>
      </w:r>
      <w:r w:rsidRPr="00632224">
        <w:rPr>
          <w:rFonts w:ascii="Garamond" w:hAnsi="Garamond" w:cs="FrankRuehl" w:hint="cs"/>
          <w:spacing w:val="10"/>
          <w:sz w:val="24"/>
          <w:szCs w:val="28"/>
          <w:rtl/>
        </w:rPr>
        <w:t>שנתוניו האישיים, השכלתו וניסיונו המקצועי מתאימים לתפקיד שאותו הוא ממלא במערכת. זו דמותו של הפקיד המקצועי, ומשידענו זאת, איננו רואים פחיתות כבוד בתואר "פקיד", ובלבד שיהיה פקיד מקצועי ולא לבלר שתורתו-אומנותו היא בנאמנותו ובקרבתו הפוליטית או האישית לשר הממנה. מינוי לתפקיד שלא על פי הכישורים המקצועיים הטובים ביותר, הוא מרשם בדוק לממשל לא אפקטיבי. המתאם בין רמתו של השירות הציבורי ויעילות תפקודו לבין רמתם המקצועית של עובדי הציבור הוא מן המפורסמות</w:t>
      </w:r>
      <w:r w:rsidRPr="00632224">
        <w:rPr>
          <w:rFonts w:ascii="Century" w:hAnsi="Century" w:cs="FrankRuehl" w:hint="cs"/>
          <w:spacing w:val="10"/>
          <w:sz w:val="24"/>
          <w:szCs w:val="28"/>
          <w:rtl/>
        </w:rPr>
        <w:t>:</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Century" w:hAnsi="Century" w:cs="FrankRuehl" w:hint="cs"/>
          <w:spacing w:val="10"/>
          <w:sz w:val="22"/>
          <w:szCs w:val="28"/>
          <w:rtl/>
        </w:rPr>
        <w:t xml:space="preserve">"רמתו של השירות הציבורי הינה גורם חיוני לתיפקודו התקין. [...] בין טיבו ואיכותו של השירות הציבורי לבין אימון הציבור בו מתקיים קשר גומלין הדוק. [...] הליך המינויים והבחירה לתפקידים בשירות הציבורי הוא גורם בעל משקל מיוחד בקביעת רמתו ואיכותו של השירות, ובגיבוש מידת האימון הציבורי בו. [...] </w:t>
      </w:r>
      <w:r w:rsidRPr="00632224">
        <w:rPr>
          <w:rFonts w:ascii="Arial TUR" w:hAnsi="Arial TUR" w:cs="FrankRuehl" w:hint="cs"/>
          <w:spacing w:val="10"/>
          <w:sz w:val="22"/>
          <w:szCs w:val="28"/>
          <w:rtl/>
        </w:rPr>
        <w:t xml:space="preserve">בית המשפט הגבוה לצדק נדרש כבר מקדמת דנא, ועל דרך השיגרה, לבחינת תקינותם של מינויים בשירות הציבורי ולפיקוח </w:t>
      </w:r>
      <w:r w:rsidRPr="00632224">
        <w:rPr>
          <w:rFonts w:ascii="Arial TUR" w:hAnsi="Arial TUR" w:cs="FrankRuehl" w:hint="cs"/>
          <w:spacing w:val="10"/>
          <w:sz w:val="22"/>
          <w:szCs w:val="28"/>
          <w:rtl/>
        </w:rPr>
        <w:lastRenderedPageBreak/>
        <w:t xml:space="preserve">הדוק על פעולתן של רשויות השלטון בתחום זה. פיקוח זה הוא ערובה חשובה לאיושם של תפקידים ציבוריים בידי אנשים כשירים לכך מבחינת רמתם המקצועית והאישית" (בג"ץ 8815/05 </w:t>
      </w:r>
      <w:r w:rsidRPr="00632224">
        <w:rPr>
          <w:rFonts w:ascii="Century" w:hAnsi="Century" w:cs="Miriam" w:hint="cs"/>
          <w:b/>
          <w:sz w:val="22"/>
          <w:rtl/>
        </w:rPr>
        <w:t>לנדשטיין נ' שפיגלר</w:t>
      </w:r>
      <w:r w:rsidRPr="00632224">
        <w:rPr>
          <w:rFonts w:ascii="Arial TUR" w:hAnsi="Arial TUR" w:cs="FrankRuehl" w:hint="cs"/>
          <w:spacing w:val="10"/>
          <w:sz w:val="22"/>
          <w:szCs w:val="28"/>
          <w:rtl/>
        </w:rPr>
        <w:t xml:space="preserve">, פסקה 8 לפסק דינה של השופטת </w:t>
      </w:r>
      <w:r w:rsidRPr="00632224">
        <w:rPr>
          <w:rFonts w:ascii="Century" w:hAnsi="Century" w:cs="Miriam" w:hint="eastAsia"/>
          <w:b/>
          <w:sz w:val="22"/>
          <w:rtl/>
        </w:rPr>
        <w:t>פרוקצ</w:t>
      </w:r>
      <w:r w:rsidRPr="00632224">
        <w:rPr>
          <w:rFonts w:ascii="Century" w:hAnsi="Century" w:cs="Miriam"/>
          <w:b/>
          <w:sz w:val="22"/>
          <w:rtl/>
        </w:rPr>
        <w:t>'</w:t>
      </w:r>
      <w:r w:rsidRPr="00632224">
        <w:rPr>
          <w:rFonts w:ascii="Century" w:hAnsi="Century" w:cs="Miriam" w:hint="eastAsia"/>
          <w:b/>
          <w:sz w:val="22"/>
          <w:rtl/>
        </w:rPr>
        <w:t>יה</w:t>
      </w:r>
      <w:r w:rsidRPr="00632224">
        <w:rPr>
          <w:rFonts w:ascii="Arial TUR" w:hAnsi="Arial TUR" w:cs="FrankRuehl" w:hint="cs"/>
          <w:spacing w:val="10"/>
          <w:sz w:val="22"/>
          <w:szCs w:val="28"/>
          <w:rtl/>
        </w:rPr>
        <w:t xml:space="preserve"> (26.12.2005) (להלן: עניין</w:t>
      </w:r>
      <w:r w:rsidRPr="00632224">
        <w:rPr>
          <w:rFonts w:ascii="Century" w:hAnsi="Century" w:cs="Miriam" w:hint="cs"/>
          <w:b/>
          <w:sz w:val="22"/>
          <w:rtl/>
        </w:rPr>
        <w:t xml:space="preserve"> ממשלת המעבר</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מינויים בלתי ראויים יוצרים אפקט-דומינו. כאשר עובדי ציבור נוכחים לדעת כי הקידום למשרה בכירה אינו משקף כישורים אלא קשרים, מטבע הדברים יש בכך כדי לכרסם במוטיבציה ולדחוק עובדי ציבור נאמנים מהשירות הציבורי אל השוק הפרטי, ואת מקומם יתפסו אחרים, מקושרים, שאינם בהכרח בעלי כישורים </w:t>
      </w:r>
      <w:r w:rsidRPr="00632224">
        <w:rPr>
          <w:rFonts w:ascii="Garamond" w:hAnsi="Garamond" w:cs="FrankRuehl" w:hint="cs"/>
          <w:spacing w:val="10"/>
          <w:sz w:val="24"/>
          <w:szCs w:val="28"/>
          <w:rtl/>
        </w:rPr>
        <w:t>(</w:t>
      </w:r>
      <w:r w:rsidRPr="00632224">
        <w:rPr>
          <w:rFonts w:ascii="Century" w:hAnsi="Century" w:cs="Miriam" w:hint="eastAsia"/>
          <w:b/>
          <w:sz w:val="22"/>
          <w:rtl/>
        </w:rPr>
        <w:t>זמיר</w:t>
      </w:r>
      <w:r w:rsidRPr="00632224">
        <w:rPr>
          <w:rFonts w:ascii="Century" w:hAnsi="Century" w:cs="Miriam"/>
          <w:b/>
          <w:sz w:val="22"/>
          <w:rtl/>
        </w:rPr>
        <w:t xml:space="preserve"> </w:t>
      </w:r>
      <w:r w:rsidRPr="00632224">
        <w:rPr>
          <w:rFonts w:ascii="Century" w:hAnsi="Century" w:cs="Miriam" w:hint="eastAsia"/>
          <w:b/>
          <w:sz w:val="22"/>
          <w:rtl/>
        </w:rPr>
        <w:t>מינויים</w:t>
      </w:r>
      <w:r w:rsidRPr="00632224">
        <w:rPr>
          <w:rFonts w:ascii="Century" w:hAnsi="Century" w:cs="Miriam"/>
          <w:b/>
          <w:sz w:val="22"/>
          <w:rtl/>
        </w:rPr>
        <w:t xml:space="preserve"> </w:t>
      </w:r>
      <w:r w:rsidRPr="00632224">
        <w:rPr>
          <w:rFonts w:ascii="Century" w:hAnsi="Century" w:cs="Miriam" w:hint="eastAsia"/>
          <w:b/>
          <w:sz w:val="22"/>
          <w:rtl/>
        </w:rPr>
        <w:t>פוליטיים</w:t>
      </w:r>
      <w:r w:rsidRPr="00632224">
        <w:rPr>
          <w:rFonts w:ascii="Century" w:hAnsi="Century" w:cs="FrankRuehl" w:hint="cs"/>
          <w:spacing w:val="10"/>
          <w:sz w:val="24"/>
          <w:szCs w:val="28"/>
          <w:rtl/>
        </w:rPr>
        <w:t>, בעמ' 25)</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Cs w:val="28"/>
          <w:rtl/>
        </w:rPr>
      </w:pPr>
      <w:r w:rsidRPr="00632224">
        <w:rPr>
          <w:rFonts w:ascii="Arial TUR" w:hAnsi="Arial TUR" w:cs="FrankRuehl" w:hint="cs"/>
          <w:spacing w:val="10"/>
          <w:sz w:val="22"/>
          <w:szCs w:val="28"/>
          <w:rtl/>
        </w:rPr>
        <w:t>93.</w:t>
      </w:r>
      <w:r w:rsidRPr="00632224">
        <w:rPr>
          <w:rFonts w:ascii="Arial TUR" w:hAnsi="Arial TUR" w:cs="FrankRuehl" w:hint="cs"/>
          <w:spacing w:val="10"/>
          <w:sz w:val="22"/>
          <w:szCs w:val="28"/>
          <w:rtl/>
        </w:rPr>
        <w:tab/>
        <w:t>משהרחבנו מעט בענייני מינויים לא נלאה מלחזור ולהזכיר כי ביטול עילת הסבירות הוא הסיבה לדיון זה, באשר זו העילה המרכזית להבטחת טוהר המידות ופסילת מינויים בלתי ראויים שבבסיסם קשרים ולא כישורים והתאמה לתפקיד. זאת, משום הקושי להסתמך על שיקולים זרים: "</w:t>
      </w:r>
      <w:r w:rsidRPr="00632224">
        <w:rPr>
          <w:rFonts w:ascii="Arial TUR" w:hAnsi="Arial TUR" w:cs="FrankRuehl"/>
          <w:spacing w:val="10"/>
          <w:sz w:val="22"/>
          <w:szCs w:val="28"/>
          <w:rtl/>
        </w:rPr>
        <w:t xml:space="preserve">הצורך להתגבר על חזקת החוקיות יוצר נטל כבד </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 xml:space="preserve">זה המצב הרגיל במינויים פוליטיים. </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המינוי של חבר</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המפלגה נעשה פסול אם הממנה הושפע מכך שהממונה משתייך לאותה מפלגה. הפגם נעוץ אפוא במחשבה, ולא במעשה. אולם כיוון שאין אדם משים עצמו רשע, אין שר שיודה במחשבה כזאת, שברור כי היא פסולה ופוסל</w:t>
      </w:r>
      <w:r w:rsidRPr="00632224">
        <w:rPr>
          <w:rFonts w:ascii="Arial TUR" w:hAnsi="Arial TUR" w:cs="FrankRuehl" w:hint="cs"/>
          <w:spacing w:val="10"/>
          <w:sz w:val="22"/>
          <w:szCs w:val="28"/>
          <w:rtl/>
        </w:rPr>
        <w:t xml:space="preserve">ת" </w:t>
      </w:r>
      <w:r w:rsidRPr="00632224">
        <w:rPr>
          <w:rFonts w:ascii="Century" w:hAnsi="Century" w:cs="FrankRuehl" w:hint="cs"/>
          <w:spacing w:val="10"/>
          <w:szCs w:val="28"/>
          <w:rtl/>
        </w:rPr>
        <w:t xml:space="preserve">(יצחק </w:t>
      </w:r>
      <w:r w:rsidRPr="00632224">
        <w:rPr>
          <w:rFonts w:ascii="Century" w:hAnsi="Century" w:cs="FrankRuehl" w:hint="eastAsia"/>
          <w:spacing w:val="10"/>
          <w:sz w:val="22"/>
          <w:szCs w:val="28"/>
          <w:rtl/>
        </w:rPr>
        <w:t>זמיר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מינויים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פוליטיים</w:t>
      </w:r>
      <w:r w:rsidRPr="00632224">
        <w:rPr>
          <w:rFonts w:ascii="Century" w:hAnsi="Century" w:cs="FrankRuehl"/>
          <w:spacing w:val="10"/>
          <w:sz w:val="22"/>
          <w:szCs w:val="28"/>
          <w:rtl/>
        </w:rPr>
        <w:t xml:space="preserve"> </w:t>
      </w:r>
      <w:r w:rsidRPr="00632224">
        <w:rPr>
          <w:rFonts w:ascii="Century" w:hAnsi="Century" w:cs="FrankRuehl" w:hint="cs"/>
          <w:spacing w:val="10"/>
          <w:szCs w:val="28"/>
          <w:rtl/>
        </w:rPr>
        <w:t xml:space="preserve">בביקורת שיפוטית" </w:t>
      </w:r>
      <w:r w:rsidRPr="00632224">
        <w:rPr>
          <w:rFonts w:cs="Miriam" w:hint="cs"/>
          <w:sz w:val="28"/>
          <w:rtl/>
        </w:rPr>
        <w:t>משפטים</w:t>
      </w:r>
      <w:r w:rsidRPr="00632224">
        <w:rPr>
          <w:rFonts w:ascii="Arial TUR" w:hAnsi="Arial TUR" w:cs="FrankRuehl"/>
          <w:spacing w:val="10"/>
          <w:sz w:val="22"/>
          <w:szCs w:val="28"/>
          <w:rtl/>
        </w:rPr>
        <w:t xml:space="preserve"> </w:t>
      </w:r>
      <w:r w:rsidRPr="00632224">
        <w:rPr>
          <w:rFonts w:ascii="Century" w:hAnsi="Century" w:cs="FrankRuehl" w:hint="cs"/>
          <w:spacing w:val="10"/>
          <w:szCs w:val="28"/>
          <w:rtl/>
        </w:rPr>
        <w:t xml:space="preserve">כא 145, 149 (1991)).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ביטול עילת הסבירות משמעו מתן חסינות לשרי הממשלה ולממשלה בתחום המינויים. הסיכוי, וליתר הדיוק, </w:t>
      </w:r>
      <w:r w:rsidRPr="00632224">
        <w:rPr>
          <w:rFonts w:ascii="Century" w:hAnsi="Century" w:cs="Miriam" w:hint="cs"/>
          <w:b/>
          <w:sz w:val="22"/>
          <w:rtl/>
        </w:rPr>
        <w:t>הסיכון להשחתת השירות הציבורי ולפגיעה בטוהר המידות</w:t>
      </w:r>
      <w:r w:rsidRPr="00632224">
        <w:rPr>
          <w:rFonts w:ascii="Arial TUR" w:hAnsi="Arial TUR" w:cs="FrankRuehl" w:hint="cs"/>
          <w:spacing w:val="10"/>
          <w:sz w:val="22"/>
          <w:szCs w:val="28"/>
          <w:rtl/>
        </w:rPr>
        <w:t xml:space="preserve">, כתוצאה מפוליטיזציה של הדרג המקצועי במשרדים השונים היא תוצאה בלתי נמנעת מביטול עילת הסבירות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והתוצאה היא מרשם בטוח לדרדור השירות הציבורי המקצועי ולהשחתתו.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94.</w:t>
      </w:r>
      <w:r w:rsidRPr="00632224">
        <w:rPr>
          <w:rFonts w:ascii="Century" w:hAnsi="Century" w:cs="FrankRuehl" w:hint="cs"/>
          <w:spacing w:val="10"/>
          <w:sz w:val="22"/>
          <w:szCs w:val="28"/>
          <w:rtl/>
        </w:rPr>
        <w:tab/>
      </w:r>
      <w:r w:rsidRPr="00632224">
        <w:rPr>
          <w:rFonts w:ascii="Arial TUR" w:hAnsi="Arial TUR" w:cs="FrankRuehl" w:hint="cs"/>
          <w:spacing w:val="10"/>
          <w:sz w:val="22"/>
          <w:szCs w:val="28"/>
          <w:rtl/>
        </w:rPr>
        <w:t xml:space="preserve">הביקורת של בית המשפט חיונית לא רק בהיבט של </w:t>
      </w:r>
      <w:r w:rsidRPr="00632224">
        <w:rPr>
          <w:rFonts w:ascii="Century" w:hAnsi="Century" w:cs="Miriam" w:hint="cs"/>
          <w:b/>
          <w:sz w:val="22"/>
          <w:rtl/>
        </w:rPr>
        <w:t>מינויו</w:t>
      </w:r>
      <w:r w:rsidRPr="00632224">
        <w:rPr>
          <w:rFonts w:ascii="Arial TUR" w:hAnsi="Arial TUR" w:cs="FrankRuehl" w:hint="cs"/>
          <w:spacing w:val="10"/>
          <w:sz w:val="22"/>
          <w:szCs w:val="28"/>
          <w:rtl/>
        </w:rPr>
        <w:t xml:space="preserve"> של פלוני אלא גם בהיבט פיטוריו של אלמוני או ביטול מינוי: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"כשם שבהליך המינוי פועל השר כנאמן הציבור, כך על הליך ביטולו של המינוי להיעשות מתוך נאמנות לציבור ומטעמים ענייניים בלבד הקשורים בטובתה וביעילותה של המערכת הציבורית. מחובת הנאמנות בהליך המינוי וביטולו נגזרת חובתו של הגורם המוסמך להפעיל את </w:t>
      </w:r>
      <w:r w:rsidRPr="00632224">
        <w:rPr>
          <w:rFonts w:ascii="Arial TUR" w:hAnsi="Arial TUR" w:cs="FrankRuehl" w:hint="cs"/>
          <w:spacing w:val="10"/>
          <w:sz w:val="22"/>
          <w:szCs w:val="28"/>
          <w:rtl/>
        </w:rPr>
        <w:lastRenderedPageBreak/>
        <w:t>שיקול</w:t>
      </w:r>
      <w:r w:rsidRPr="00632224">
        <w:rPr>
          <w:rFonts w:cs="FrankRuehl" w:hint="cs"/>
          <w:b/>
          <w:spacing w:val="10"/>
          <w:position w:val="4"/>
          <w:sz w:val="24"/>
          <w:szCs w:val="28"/>
          <w:rtl/>
        </w:rPr>
        <w:t>-</w:t>
      </w:r>
      <w:r w:rsidRPr="00632224">
        <w:rPr>
          <w:rFonts w:ascii="Arial TUR" w:hAnsi="Arial TUR" w:cs="FrankRuehl" w:hint="cs"/>
          <w:spacing w:val="10"/>
          <w:sz w:val="22"/>
          <w:szCs w:val="28"/>
          <w:rtl/>
        </w:rPr>
        <w:t>דעתו בהגינות, ביושר ובסבירות" (</w:t>
      </w:r>
      <w:r w:rsidRPr="00632224">
        <w:rPr>
          <w:rFonts w:ascii="Century" w:hAnsi="Century" w:cs="FrankRuehl" w:hint="eastAsia"/>
          <w:spacing w:val="10"/>
          <w:sz w:val="22"/>
          <w:szCs w:val="28"/>
          <w:rtl/>
        </w:rPr>
        <w:t>בג</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ץ</w:t>
      </w:r>
      <w:r w:rsidRPr="00632224">
        <w:rPr>
          <w:rFonts w:ascii="Century" w:hAnsi="Century" w:cs="FrankRuehl"/>
          <w:spacing w:val="10"/>
          <w:sz w:val="22"/>
          <w:szCs w:val="28"/>
          <w:rtl/>
        </w:rPr>
        <w:t xml:space="preserve"> 5464/04 </w:t>
      </w:r>
      <w:r w:rsidRPr="00632224">
        <w:rPr>
          <w:rFonts w:ascii="Century" w:hAnsi="Century" w:cs="Miriam" w:hint="eastAsia"/>
          <w:b/>
          <w:sz w:val="22"/>
          <w:rtl/>
        </w:rPr>
        <w:t>זריפי</w:t>
      </w:r>
      <w:r w:rsidRPr="00632224">
        <w:rPr>
          <w:rFonts w:ascii="Century" w:hAnsi="Century" w:cs="Miriam"/>
          <w:b/>
          <w:sz w:val="22"/>
          <w:rtl/>
        </w:rPr>
        <w:t xml:space="preserve"> </w:t>
      </w:r>
      <w:r w:rsidRPr="00632224">
        <w:rPr>
          <w:rFonts w:ascii="Century" w:hAnsi="Century" w:cs="Miriam" w:hint="eastAsia"/>
          <w:b/>
          <w:sz w:val="22"/>
          <w:rtl/>
        </w:rPr>
        <w:t>נ</w:t>
      </w:r>
      <w:r w:rsidRPr="00632224">
        <w:rPr>
          <w:rFonts w:ascii="Century" w:hAnsi="Century" w:cs="Miriam"/>
          <w:b/>
          <w:sz w:val="22"/>
          <w:rtl/>
        </w:rPr>
        <w:t xml:space="preserve">' </w:t>
      </w:r>
      <w:r w:rsidRPr="00632224">
        <w:rPr>
          <w:rFonts w:ascii="Century" w:hAnsi="Century" w:cs="Miriam" w:hint="eastAsia"/>
          <w:b/>
          <w:sz w:val="22"/>
          <w:rtl/>
        </w:rPr>
        <w:t>שר</w:t>
      </w:r>
      <w:r w:rsidRPr="00632224">
        <w:rPr>
          <w:rFonts w:ascii="Century" w:hAnsi="Century" w:cs="Miriam"/>
          <w:b/>
          <w:sz w:val="22"/>
          <w:rtl/>
        </w:rPr>
        <w:t xml:space="preserve"> </w:t>
      </w:r>
      <w:r w:rsidRPr="00632224">
        <w:rPr>
          <w:rFonts w:ascii="Century" w:hAnsi="Century" w:cs="Miriam" w:hint="eastAsia"/>
          <w:b/>
          <w:sz w:val="22"/>
          <w:rtl/>
        </w:rPr>
        <w:t>המשפטים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פ</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נט</w:t>
      </w:r>
      <w:r w:rsidRPr="00632224">
        <w:rPr>
          <w:rFonts w:ascii="Century" w:hAnsi="Century" w:cs="FrankRuehl" w:hint="cs"/>
          <w:spacing w:val="10"/>
          <w:sz w:val="22"/>
          <w:szCs w:val="28"/>
          <w:rtl/>
        </w:rPr>
        <w:t>(5</w:t>
      </w:r>
      <w:r w:rsidRPr="00632224">
        <w:rPr>
          <w:rFonts w:ascii="Century" w:hAnsi="Century" w:cs="FrankRuehl" w:hint="cs"/>
          <w:spacing w:val="10"/>
          <w:szCs w:val="28"/>
          <w:rtl/>
        </w:rPr>
        <w:t xml:space="preserve">) 721, 732-731 (2005)). </w:t>
      </w:r>
    </w:p>
    <w:p w:rsidR="00244560" w:rsidRPr="00632224" w:rsidRDefault="00244560" w:rsidP="00244560">
      <w:pPr>
        <w:ind w:left="1644" w:right="1276"/>
        <w:jc w:val="both"/>
        <w:rPr>
          <w:rFonts w:cs="FrankRuehl"/>
          <w:spacing w:val="10"/>
          <w:sz w:val="24"/>
          <w:szCs w:val="28"/>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לא פחות חשוב מנושא המינויים הוא נושא הפיטורים. ניתן רק לשער איך ייראה השירות הציבורי אם הפקידים ידעו כי כל החלטה עצמאית שלהם, שאינה נושאת חן בעיני השר, עלולה להביא לפיטוריהם. ואם בעת מינוי תיתכן האפשרות להוכיח קיומו של שיקול זר, הרי שבהחלטה על פיטורים הדבר מורכב בהרבה, שכן שר המחליט על פיטוריו של פקיד לא יצהיר כי הדבר נעשה משיקולים זרים, ויעשה מאמץ לתלות את החלטתו בכשלים נטענים כאלו ואחרים שנפלו בעבודת הפקיד.</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חובת הנאמנות בכל הנוגע למינויים משתרעת גם על אי איוש תפקידים נדרשים. </w:t>
      </w:r>
      <w:r w:rsidRPr="00632224">
        <w:rPr>
          <w:rFonts w:ascii="Century" w:hAnsi="Century" w:cs="FrankRuehl" w:hint="cs"/>
          <w:spacing w:val="10"/>
          <w:sz w:val="22"/>
          <w:szCs w:val="28"/>
          <w:rtl/>
        </w:rPr>
        <w:t xml:space="preserve">אחזור ואדגיש את הסיפא לתיקון לחוק היסוד. על פי התיקון נושא דיוננו, גם </w:t>
      </w:r>
      <w:r w:rsidRPr="00632224">
        <w:rPr>
          <w:rFonts w:ascii="Century" w:hAnsi="Century" w:cs="FrankRuehl" w:hint="eastAsia"/>
          <w:spacing w:val="10"/>
          <w:sz w:val="22"/>
          <w:szCs w:val="28"/>
          <w:rtl/>
        </w:rPr>
        <w:t>החלטה</w:t>
      </w:r>
      <w:r w:rsidRPr="00632224">
        <w:rPr>
          <w:rFonts w:ascii="Century" w:hAnsi="Century" w:cs="FrankRuehl"/>
          <w:spacing w:val="10"/>
          <w:sz w:val="22"/>
          <w:szCs w:val="28"/>
          <w:rtl/>
        </w:rPr>
        <w:t xml:space="preserve"> </w:t>
      </w:r>
      <w:r w:rsidRPr="00632224">
        <w:rPr>
          <w:rFonts w:ascii="Century" w:hAnsi="Century" w:cs="Miriam" w:hint="eastAsia"/>
          <w:b/>
          <w:sz w:val="22"/>
          <w:rtl/>
        </w:rPr>
        <w:t>ל</w:t>
      </w:r>
      <w:r w:rsidRPr="00632224">
        <w:rPr>
          <w:rFonts w:ascii="Century" w:hAnsi="Century" w:cs="Miriam" w:hint="cs"/>
          <w:b/>
          <w:sz w:val="22"/>
          <w:rtl/>
        </w:rPr>
        <w:t>הימנע</w:t>
      </w:r>
      <w:r w:rsidRPr="00632224">
        <w:rPr>
          <w:rFonts w:ascii="Century" w:hAnsi="Century" w:cs="FrankRuehl" w:hint="cs"/>
          <w:spacing w:val="10"/>
          <w:sz w:val="22"/>
          <w:szCs w:val="28"/>
          <w:rtl/>
        </w:rPr>
        <w:t xml:space="preserve"> ממינוי חסינה מפני ביקורת שיפוטית בעילת הסבירות, שהיא העילה המרכזית לבחינת מחדל של אי מינוי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רמטכ"ל, ראשי השב"כ והמוסד, מפכ"ל, מנכ"ל, חשכ"ל, ראש אגף תקציבים, מנהל הלשכה המרכזית לסטטיסטיקה, מנכ"ל הרשות השניה, ראש הרשות להגנת הפרטיות, נציב שוויון זכויות לאנשים עם מוגבלות, יושב ראש המועצה הארצית לתכנון ובניה, פרקליט מדינה, יועץ משפטי, דיינים, שופטים, </w:t>
      </w:r>
      <w:r w:rsidRPr="00632224">
        <w:rPr>
          <w:rFonts w:ascii="Arial TUR" w:hAnsi="Arial TUR" w:cs="FrankRuehl" w:hint="cs"/>
          <w:spacing w:val="10"/>
          <w:sz w:val="22"/>
          <w:szCs w:val="28"/>
          <w:rtl/>
        </w:rPr>
        <w:t xml:space="preserve">עשרות ומאות דירקטורים בחברות ממשלתיות </w:t>
      </w:r>
      <w:r w:rsidRPr="00632224">
        <w:rPr>
          <w:rFonts w:ascii="Century" w:hAnsi="Century" w:cs="FrankRuehl" w:hint="cs"/>
          <w:spacing w:val="10"/>
          <w:sz w:val="22"/>
          <w:szCs w:val="28"/>
          <w:rtl/>
        </w:rPr>
        <w:t xml:space="preserve">ועוד תפקידי מפתח. </w:t>
      </w:r>
      <w:r w:rsidRPr="00632224">
        <w:rPr>
          <w:rFonts w:ascii="Arial TUR" w:hAnsi="Arial TUR" w:cs="FrankRuehl" w:hint="cs"/>
          <w:spacing w:val="10"/>
          <w:sz w:val="22"/>
          <w:szCs w:val="28"/>
          <w:rtl/>
        </w:rPr>
        <w:t xml:space="preserve">במהלך חמש מערכות הבחירות שהתרגשו עלינו, בית משפט זה דחק בממשלה לבצע שורה של מינויים, כמו מינוי פרקליט מדינה ומינוי מפכ"ל, אחרי כשנתיים שבמהלכן לא היה מפכ"ל למשטרת ישראל.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ההימנעות ממינוי בעלי תפקידים מביאה אותנו להשלכה נוספת של התיקון.</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ד. אי הפעלת הסמכות המינהלית</w:t>
      </w:r>
    </w:p>
    <w:p w:rsidR="00244560" w:rsidRPr="00632224"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keepNext/>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95.</w:t>
      </w:r>
      <w:r w:rsidRPr="00632224">
        <w:rPr>
          <w:rFonts w:ascii="Century" w:hAnsi="Century" w:cs="FrankRuehl"/>
          <w:spacing w:val="10"/>
          <w:sz w:val="22"/>
          <w:szCs w:val="28"/>
          <w:rtl/>
        </w:rPr>
        <w:tab/>
      </w:r>
      <w:r w:rsidRPr="00632224">
        <w:rPr>
          <w:rFonts w:ascii="Century" w:hAnsi="Century" w:cs="FrankRuehl" w:hint="cs"/>
          <w:spacing w:val="10"/>
          <w:sz w:val="22"/>
          <w:szCs w:val="28"/>
          <w:rtl/>
        </w:rPr>
        <w:t>עילת הסבירות חלה על מעשה אך גם על מחדל של הימנעות מקבלת החלטה:</w:t>
      </w:r>
    </w:p>
    <w:p w:rsidR="00244560" w:rsidRPr="00632224" w:rsidRDefault="00244560" w:rsidP="00244560">
      <w:pPr>
        <w:keepNext/>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אכן, אם חוסר סבירות בהתקנתה של תקנה יש בו כדי להביא לבטלותה של התקנה, </w:t>
      </w:r>
      <w:r w:rsidRPr="00632224">
        <w:rPr>
          <w:rFonts w:ascii="Century" w:hAnsi="Century" w:cs="Miriam"/>
          <w:b/>
          <w:sz w:val="22"/>
          <w:rtl/>
        </w:rPr>
        <w:t xml:space="preserve">הרי גם חוסר סבירות באי-התקנתה יש בו כדי להביא לבטלות ההחלטה שלא להתקינה. </w:t>
      </w:r>
      <w:r w:rsidRPr="00632224">
        <w:rPr>
          <w:rFonts w:ascii="Arial TUR" w:hAnsi="Arial TUR" w:cs="FrankRuehl"/>
          <w:spacing w:val="10"/>
          <w:sz w:val="22"/>
          <w:szCs w:val="28"/>
          <w:rtl/>
        </w:rPr>
        <w:t>איני רואה כל יסוד ראציונאלי להבחנה משפטית - להבדיל מהבחנה באשר למרחב השיקולים - בין שני סוגי ההחלטות</w:t>
      </w:r>
      <w:r w:rsidRPr="00632224">
        <w:rPr>
          <w:rFonts w:ascii="Century" w:hAnsi="Century" w:cs="FrankRuehl" w:hint="cs"/>
          <w:spacing w:val="10"/>
          <w:sz w:val="22"/>
          <w:szCs w:val="28"/>
          <w:rtl/>
        </w:rPr>
        <w:t xml:space="preserve">" (בג"ץ 297/82 </w:t>
      </w:r>
      <w:r w:rsidRPr="00632224">
        <w:rPr>
          <w:rFonts w:ascii="Century" w:hAnsi="Century" w:cs="Miriam" w:hint="cs"/>
          <w:b/>
          <w:sz w:val="22"/>
          <w:rtl/>
        </w:rPr>
        <w:t>ברגר נ' שר הפנים</w:t>
      </w:r>
      <w:r w:rsidRPr="00632224">
        <w:rPr>
          <w:rFonts w:ascii="Century" w:hAnsi="Century" w:cs="FrankRuehl" w:hint="cs"/>
          <w:spacing w:val="10"/>
          <w:sz w:val="22"/>
          <w:szCs w:val="28"/>
          <w:rtl/>
        </w:rPr>
        <w:t xml:space="preserve">, פ"ד לז(3) 29, 35 (1983) (הדגשה הוספה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י"ע)). </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w:t>
      </w:r>
      <w:r w:rsidRPr="00632224">
        <w:rPr>
          <w:rFonts w:ascii="Century" w:hAnsi="Century" w:cs="Miriam"/>
          <w:b/>
          <w:sz w:val="22"/>
          <w:rtl/>
        </w:rPr>
        <w:t>גם הימנעות מהפעלת סמכות שבשיקול דעת בשל טעמים בלתי סבירים</w:t>
      </w:r>
      <w:r w:rsidRPr="00632224">
        <w:rPr>
          <w:rFonts w:ascii="Arial TUR" w:hAnsi="Arial TUR" w:cs="FrankRuehl"/>
          <w:spacing w:val="10"/>
          <w:sz w:val="22"/>
          <w:szCs w:val="28"/>
          <w:rtl/>
        </w:rPr>
        <w:t xml:space="preserve">, יכולה להוליך למסקנה כי ההימנעות </w:t>
      </w:r>
      <w:r w:rsidRPr="00632224">
        <w:rPr>
          <w:rFonts w:ascii="Arial TUR" w:hAnsi="Arial TUR" w:cs="FrankRuehl"/>
          <w:spacing w:val="10"/>
          <w:sz w:val="22"/>
          <w:szCs w:val="28"/>
          <w:rtl/>
        </w:rPr>
        <w:lastRenderedPageBreak/>
        <w:t>מפעולה היא בטלה</w:t>
      </w:r>
      <w:r w:rsidRPr="00632224">
        <w:rPr>
          <w:rFonts w:ascii="Arial TUR" w:hAnsi="Arial TUR" w:cs="FrankRuehl" w:hint="cs"/>
          <w:spacing w:val="10"/>
          <w:sz w:val="22"/>
          <w:szCs w:val="28"/>
          <w:rtl/>
        </w:rPr>
        <w:t xml:space="preserve">" (דברי הנשיא </w:t>
      </w:r>
      <w:r w:rsidRPr="00632224">
        <w:rPr>
          <w:rFonts w:ascii="Century" w:hAnsi="Century" w:cs="Miriam" w:hint="cs"/>
          <w:b/>
          <w:sz w:val="22"/>
          <w:rtl/>
        </w:rPr>
        <w:t>שמגר</w:t>
      </w:r>
      <w:r w:rsidRPr="00632224">
        <w:rPr>
          <w:rFonts w:ascii="Arial TUR" w:hAnsi="Arial TUR" w:cs="FrankRuehl" w:hint="cs"/>
          <w:spacing w:val="10"/>
          <w:sz w:val="22"/>
          <w:szCs w:val="28"/>
          <w:rtl/>
        </w:rPr>
        <w:t xml:space="preserve"> בעניין </w:t>
      </w:r>
      <w:r w:rsidRPr="00632224">
        <w:rPr>
          <w:rFonts w:ascii="Century" w:hAnsi="Century" w:cs="Miriam" w:hint="cs"/>
          <w:b/>
          <w:sz w:val="22"/>
          <w:rtl/>
        </w:rPr>
        <w:t>דרעי-פנחסי</w:t>
      </w:r>
      <w:r w:rsidRPr="00632224">
        <w:rPr>
          <w:rFonts w:ascii="Arial TUR" w:hAnsi="Arial TUR" w:cs="FrankRuehl" w:hint="cs"/>
          <w:spacing w:val="10"/>
          <w:sz w:val="22"/>
          <w:szCs w:val="28"/>
          <w:rtl/>
        </w:rPr>
        <w:t xml:space="preserve">, בעמ' 423, </w:t>
      </w:r>
      <w:r w:rsidRPr="00632224">
        <w:rPr>
          <w:rFonts w:ascii="Century" w:hAnsi="Century" w:cs="FrankRuehl" w:hint="cs"/>
          <w:spacing w:val="10"/>
          <w:sz w:val="22"/>
          <w:szCs w:val="28"/>
          <w:rtl/>
        </w:rPr>
        <w:t xml:space="preserve">הדגשה הוספה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י"ע).</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הנוסח הגורף של התיקון לחוק היסוד, כולל גם אי שפיטות ביחס להחלטה </w:t>
      </w:r>
      <w:r w:rsidRPr="00632224">
        <w:rPr>
          <w:rFonts w:ascii="Century" w:hAnsi="Century" w:cs="Miriam" w:hint="cs"/>
          <w:b/>
          <w:sz w:val="22"/>
          <w:rtl/>
        </w:rPr>
        <w:t>להימנע</w:t>
      </w:r>
      <w:r w:rsidRPr="00632224">
        <w:rPr>
          <w:rFonts w:ascii="Century" w:hAnsi="Century" w:cs="FrankRuehl" w:hint="cs"/>
          <w:spacing w:val="10"/>
          <w:sz w:val="22"/>
          <w:szCs w:val="28"/>
          <w:rtl/>
        </w:rPr>
        <w:t xml:space="preserve"> מהפעלת כל סמכות בעילת הסבירות. לא ניתן להפריז בחשיבותה של הוראה זו, שהתקבלה "ברגע האחרון" כלאחר יד, וללא כל עבודת הכנה לגבי המשמעויות מרחיקות הלכת שלה. המדובר בפגיעה ישירה בליבת המשפט המינהלי והתפרקות מוחלטת מביקורת שיפוטית על הממשלה ושריה, מקום שבו הללו החליטו להימנע מהפעלת סמכויות חובה ורשות שהוקנו להם על פי חוק. הדבר בא לידי ביטוי, לדוגמה, בחוקים רבים </w:t>
      </w:r>
      <w:r>
        <w:rPr>
          <w:rFonts w:ascii="Century" w:hAnsi="Century" w:cs="FrankRuehl" w:hint="cs"/>
          <w:spacing w:val="10"/>
          <w:sz w:val="22"/>
          <w:szCs w:val="28"/>
          <w:rtl/>
        </w:rPr>
        <w:t xml:space="preserve">בהם </w:t>
      </w:r>
      <w:r w:rsidRPr="00632224">
        <w:rPr>
          <w:rFonts w:ascii="Century" w:hAnsi="Century" w:cs="FrankRuehl" w:hint="cs"/>
          <w:spacing w:val="10"/>
          <w:sz w:val="22"/>
          <w:szCs w:val="28"/>
          <w:rtl/>
        </w:rPr>
        <w:t>אנו מוצאים הוראה לפיה השר יתקין תקנות לביצוע החוק. הימנעות מדעת ובמכוון של השר מלעשות כן, למשך פרק זמן בלתי סביר, מתאימה לביקורת בעילת הסבירות. כך, כאשר שר הבריאות ושר הרווחה נמנעו מלהתקין תקנות הנוגעות לזכויות עובדים זרים, נקבע כי "</w:t>
      </w:r>
      <w:r w:rsidRPr="00632224">
        <w:rPr>
          <w:rFonts w:ascii="Arial TUR" w:hAnsi="Arial TUR" w:cs="FrankRuehl" w:hint="cs"/>
          <w:spacing w:val="10"/>
          <w:sz w:val="22"/>
          <w:szCs w:val="28"/>
          <w:rtl/>
        </w:rPr>
        <w:t xml:space="preserve">החלטת המשיבים שלא לעשות כל שימוש בסמכותם לפי </w:t>
      </w:r>
      <w:r w:rsidRPr="00632224">
        <w:rPr>
          <w:rFonts w:ascii="Century" w:hAnsi="Century" w:cs="FrankRuehl" w:hint="eastAsia"/>
          <w:spacing w:val="10"/>
          <w:sz w:val="22"/>
          <w:szCs w:val="28"/>
          <w:rtl/>
        </w:rPr>
        <w:t>סעיף</w:t>
      </w:r>
      <w:r w:rsidRPr="00632224">
        <w:rPr>
          <w:rFonts w:ascii="Century" w:hAnsi="Century" w:cs="FrankRuehl"/>
          <w:spacing w:val="10"/>
          <w:sz w:val="22"/>
          <w:szCs w:val="28"/>
          <w:rtl/>
        </w:rPr>
        <w:t xml:space="preserve"> 56</w:t>
      </w:r>
      <w:r w:rsidRPr="00632224">
        <w:rPr>
          <w:rFonts w:ascii="Century" w:hAnsi="Century" w:cs="FrankRuehl" w:hint="cs"/>
          <w:spacing w:val="10"/>
          <w:sz w:val="22"/>
          <w:szCs w:val="28"/>
          <w:rtl/>
        </w:rPr>
        <w:t xml:space="preserve"> ל</w:t>
      </w:r>
      <w:r w:rsidRPr="00632224">
        <w:rPr>
          <w:rFonts w:ascii="Century" w:hAnsi="Century" w:cs="FrankRuehl"/>
          <w:spacing w:val="10"/>
          <w:sz w:val="22"/>
          <w:szCs w:val="28"/>
          <w:rtl/>
        </w:rPr>
        <w:t>חוק ביטוח בריאות ממלכתי</w:t>
      </w:r>
      <w:r w:rsidRPr="00632224">
        <w:rPr>
          <w:rFonts w:ascii="Century" w:hAnsi="Century" w:cs="FrankRuehl" w:hint="cs"/>
          <w:spacing w:val="10"/>
          <w:sz w:val="22"/>
          <w:szCs w:val="28"/>
          <w:rtl/>
        </w:rPr>
        <w:t>, בנוגע לעובדי סיעוד בעלי זיקה חזקה לישראל, אינה מצויה במתחם הסבירות" (בג"ץ 1105/06</w:t>
      </w:r>
      <w:r w:rsidRPr="00632224">
        <w:rPr>
          <w:rFonts w:ascii="Century" w:hAnsi="Century" w:cs="Miriam" w:hint="cs"/>
          <w:b/>
          <w:sz w:val="22"/>
          <w:rtl/>
        </w:rPr>
        <w:t xml:space="preserve"> קו לעובד נ' שר הרווחה</w:t>
      </w:r>
      <w:r w:rsidRPr="00632224">
        <w:rPr>
          <w:rFonts w:ascii="Century" w:hAnsi="Century" w:cs="FrankRuehl" w:hint="cs"/>
          <w:spacing w:val="10"/>
          <w:sz w:val="22"/>
          <w:szCs w:val="28"/>
          <w:rtl/>
        </w:rPr>
        <w:t xml:space="preserve">, פסקה 83 לפסק דינה של השופטת </w:t>
      </w:r>
      <w:r w:rsidRPr="00632224">
        <w:rPr>
          <w:rFonts w:ascii="Century" w:hAnsi="Century" w:cs="Miriam" w:hint="eastAsia"/>
          <w:b/>
          <w:sz w:val="22"/>
          <w:rtl/>
        </w:rPr>
        <w:t>ארבל</w:t>
      </w:r>
      <w:r w:rsidRPr="00632224">
        <w:rPr>
          <w:rFonts w:ascii="Century" w:hAnsi="Century" w:cs="FrankRuehl" w:hint="cs"/>
          <w:spacing w:val="10"/>
          <w:sz w:val="22"/>
          <w:szCs w:val="28"/>
          <w:rtl/>
        </w:rPr>
        <w:t xml:space="preserve"> (18.11.2013) (להלן: </w:t>
      </w:r>
      <w:r w:rsidRPr="00632224">
        <w:rPr>
          <w:rFonts w:ascii="Century" w:hAnsi="Century" w:cs="FrankRuehl" w:hint="eastAsia"/>
          <w:spacing w:val="10"/>
          <w:sz w:val="22"/>
          <w:szCs w:val="28"/>
          <w:rtl/>
        </w:rPr>
        <w:t>עניין</w:t>
      </w:r>
      <w:r w:rsidRPr="00632224">
        <w:rPr>
          <w:rFonts w:ascii="Century" w:hAnsi="Century" w:cs="Miriam" w:hint="cs"/>
          <w:b/>
          <w:sz w:val="22"/>
          <w:rtl/>
        </w:rPr>
        <w:t xml:space="preserve"> קו לעובד</w:t>
      </w:r>
      <w:r w:rsidRPr="00632224">
        <w:rPr>
          <w:rFonts w:ascii="Century" w:hAnsi="Century" w:cs="FrankRuehl" w:hint="cs"/>
          <w:spacing w:val="10"/>
          <w:sz w:val="22"/>
          <w:szCs w:val="28"/>
          <w:rtl/>
        </w:rPr>
        <w:t>)). כעת יידרש בית המשפט שלא לדון בכך</w:t>
      </w:r>
      <w:r>
        <w:rPr>
          <w:rFonts w:ascii="Century" w:hAnsi="Century" w:cs="FrankRuehl" w:hint="cs"/>
          <w:spacing w:val="10"/>
          <w:sz w:val="22"/>
          <w:szCs w:val="28"/>
          <w:rtl/>
        </w:rPr>
        <w:t>.</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ה. התעלמות משיקולים מקצועיים</w:t>
      </w:r>
    </w:p>
    <w:p w:rsidR="00244560" w:rsidRPr="00632224"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96.</w:t>
      </w: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כאמור, אחד המופעים של עילת הסבירות הוא מתן משקל ראוי לכלל השיקולים הרלוונטיים להחלטה. הדברים באים לידי ביטוי בנושאים מקצועיים שונים כגון בריאות, איכות הסביבה ותכנון ובניה (ראו, לדוגמה, דנ"מ 4753/19 </w:t>
      </w:r>
      <w:r w:rsidRPr="00632224">
        <w:rPr>
          <w:rFonts w:ascii="Century" w:hAnsi="Century" w:cs="Miriam" w:hint="cs"/>
          <w:b/>
          <w:sz w:val="22"/>
          <w:rtl/>
        </w:rPr>
        <w:t>עיריית הרצליה נ' הוועדה לתכנון מתחמים מועדפים לדיור</w:t>
      </w:r>
      <w:r w:rsidRPr="00632224">
        <w:rPr>
          <w:rFonts w:ascii="Century" w:hAnsi="Century" w:cs="FrankRuehl" w:hint="cs"/>
          <w:spacing w:val="10"/>
          <w:sz w:val="22"/>
          <w:szCs w:val="28"/>
          <w:rtl/>
        </w:rPr>
        <w:t xml:space="preserve"> (6.5.2021)). ביטול עילת הסבירות יאפשר לממשלה ולכל שר בממשלה לקבל החלטות שהשיקול שבבסיסן אינו מקצועי, ובמקרה הטוב, תוך אמירה לפרוטוקול, כדי לצאת ידי חובה, כי לא נעלם מעיניו השיקול המקצועי. לא ניתן להפריז בחשיבות ההשלכות שיש להיבט זה על הדרגים המקצועיים בכל משרדי הממשלה. </w:t>
      </w: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ו. ממשלת מעבר</w:t>
      </w:r>
    </w:p>
    <w:p w:rsidR="00244560" w:rsidRPr="00632224"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97.</w:t>
      </w: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הגרעון הדמוקרטי המתמיד שבו נמצאת ישראל, מגיע לשיא בתקופה של ממשלת מעבר, ואיני רואה להרחיב בנושא זה שבו דנה גם הנשיאה בפסקאות 168-167 לפסק דינה (ראו, לדוגמה, עניין </w:t>
      </w:r>
      <w:r w:rsidRPr="00632224">
        <w:rPr>
          <w:rFonts w:ascii="Century" w:hAnsi="Century" w:cs="Miriam" w:hint="eastAsia"/>
          <w:b/>
          <w:sz w:val="22"/>
          <w:rtl/>
        </w:rPr>
        <w:t>ממשלת</w:t>
      </w:r>
      <w:r w:rsidRPr="00632224">
        <w:rPr>
          <w:rFonts w:ascii="Century" w:hAnsi="Century" w:cs="Miriam"/>
          <w:b/>
          <w:sz w:val="22"/>
          <w:rtl/>
        </w:rPr>
        <w:t xml:space="preserve"> </w:t>
      </w:r>
      <w:r w:rsidRPr="00632224">
        <w:rPr>
          <w:rFonts w:ascii="Century" w:hAnsi="Century" w:cs="Miriam" w:hint="eastAsia"/>
          <w:b/>
          <w:sz w:val="22"/>
          <w:rtl/>
        </w:rPr>
        <w:t>המעבר</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עניין</w:t>
      </w:r>
      <w:r w:rsidRPr="00632224">
        <w:rPr>
          <w:rFonts w:ascii="Century" w:hAnsi="Century" w:cs="FrankRuehl"/>
          <w:b/>
          <w:spacing w:val="10"/>
          <w:sz w:val="22"/>
          <w:szCs w:val="28"/>
          <w:rtl/>
        </w:rPr>
        <w:t xml:space="preserve"> </w:t>
      </w:r>
      <w:r w:rsidRPr="00632224">
        <w:rPr>
          <w:rFonts w:ascii="Century" w:hAnsi="Century" w:cs="Miriam" w:hint="eastAsia"/>
          <w:b/>
          <w:sz w:val="22"/>
          <w:rtl/>
        </w:rPr>
        <w:t>מתווה</w:t>
      </w:r>
      <w:r w:rsidRPr="00632224">
        <w:rPr>
          <w:rFonts w:ascii="Century" w:hAnsi="Century" w:cs="Miriam"/>
          <w:b/>
          <w:sz w:val="22"/>
          <w:rtl/>
        </w:rPr>
        <w:t xml:space="preserve"> </w:t>
      </w:r>
      <w:r w:rsidRPr="00632224">
        <w:rPr>
          <w:rFonts w:ascii="Century" w:hAnsi="Century" w:cs="Miriam" w:hint="eastAsia"/>
          <w:b/>
          <w:sz w:val="22"/>
          <w:rtl/>
        </w:rPr>
        <w:t>הגז</w:t>
      </w:r>
      <w:r w:rsidRPr="00632224">
        <w:rPr>
          <w:rFonts w:ascii="Century" w:hAnsi="Century" w:cs="FrankRuehl" w:hint="cs"/>
          <w:b/>
          <w:spacing w:val="10"/>
          <w:sz w:val="22"/>
          <w:szCs w:val="28"/>
          <w:rtl/>
        </w:rPr>
        <w:t>,</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בפסקה</w:t>
      </w:r>
      <w:r w:rsidRPr="00632224">
        <w:rPr>
          <w:rFonts w:ascii="Century" w:hAnsi="Century" w:cs="FrankRuehl"/>
          <w:b/>
          <w:spacing w:val="10"/>
          <w:sz w:val="22"/>
          <w:szCs w:val="28"/>
          <w:rtl/>
        </w:rPr>
        <w:t xml:space="preserve"> 2 </w:t>
      </w:r>
      <w:r w:rsidRPr="00632224">
        <w:rPr>
          <w:rFonts w:ascii="Century" w:hAnsi="Century" w:cs="FrankRuehl" w:hint="eastAsia"/>
          <w:b/>
          <w:spacing w:val="10"/>
          <w:sz w:val="22"/>
          <w:szCs w:val="28"/>
          <w:rtl/>
        </w:rPr>
        <w:t>לפסק</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דינה</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של</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השופטת</w:t>
      </w:r>
      <w:r w:rsidRPr="00632224">
        <w:rPr>
          <w:rFonts w:ascii="Century" w:hAnsi="Century" w:cs="FrankRuehl"/>
          <w:b/>
          <w:spacing w:val="10"/>
          <w:sz w:val="22"/>
          <w:szCs w:val="28"/>
          <w:rtl/>
        </w:rPr>
        <w:t xml:space="preserve"> </w:t>
      </w:r>
      <w:r w:rsidRPr="00632224">
        <w:rPr>
          <w:rFonts w:ascii="Century" w:hAnsi="Century" w:cs="Miriam" w:hint="eastAsia"/>
          <w:b/>
          <w:sz w:val="22"/>
          <w:rtl/>
        </w:rPr>
        <w:t>חיות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shd w:val="clear" w:color="auto" w:fill="FFFFFF"/>
          <w:rtl/>
        </w:rPr>
        <w:t>בג</w:t>
      </w:r>
      <w:r w:rsidRPr="00632224">
        <w:rPr>
          <w:rFonts w:ascii="Century" w:hAnsi="Century" w:cs="FrankRuehl"/>
          <w:b/>
          <w:spacing w:val="10"/>
          <w:sz w:val="22"/>
          <w:szCs w:val="28"/>
          <w:shd w:val="clear" w:color="auto" w:fill="FFFFFF"/>
          <w:rtl/>
        </w:rPr>
        <w:t>"</w:t>
      </w:r>
      <w:r w:rsidRPr="00632224">
        <w:rPr>
          <w:rFonts w:ascii="Century" w:hAnsi="Century" w:cs="FrankRuehl" w:hint="eastAsia"/>
          <w:b/>
          <w:spacing w:val="10"/>
          <w:sz w:val="22"/>
          <w:szCs w:val="28"/>
          <w:shd w:val="clear" w:color="auto" w:fill="FFFFFF"/>
          <w:rtl/>
        </w:rPr>
        <w:t>ץ</w:t>
      </w:r>
      <w:r w:rsidRPr="00632224">
        <w:rPr>
          <w:rFonts w:ascii="Century" w:hAnsi="Century" w:cs="FrankRuehl"/>
          <w:b/>
          <w:spacing w:val="10"/>
          <w:sz w:val="22"/>
          <w:szCs w:val="28"/>
          <w:shd w:val="clear" w:color="auto" w:fill="FFFFFF"/>
          <w:rtl/>
        </w:rPr>
        <w:t xml:space="preserve"> 9577/02 </w:t>
      </w:r>
      <w:r w:rsidRPr="00632224">
        <w:rPr>
          <w:rFonts w:ascii="Century" w:hAnsi="Century" w:cs="Miriam" w:hint="eastAsia"/>
          <w:b/>
          <w:sz w:val="22"/>
          <w:shd w:val="clear" w:color="auto" w:fill="FFFFFF"/>
          <w:rtl/>
        </w:rPr>
        <w:t>סיעת</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המפד</w:t>
      </w:r>
      <w:r w:rsidRPr="00632224">
        <w:rPr>
          <w:rFonts w:ascii="Century" w:hAnsi="Century" w:cs="Miriam"/>
          <w:b/>
          <w:sz w:val="22"/>
          <w:shd w:val="clear" w:color="auto" w:fill="FFFFFF"/>
          <w:rtl/>
        </w:rPr>
        <w:t>"</w:t>
      </w:r>
      <w:r w:rsidRPr="00632224">
        <w:rPr>
          <w:rFonts w:ascii="Century" w:hAnsi="Century" w:cs="Miriam" w:hint="eastAsia"/>
          <w:b/>
          <w:sz w:val="22"/>
          <w:shd w:val="clear" w:color="auto" w:fill="FFFFFF"/>
          <w:rtl/>
        </w:rPr>
        <w:t>ל</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הדתית</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לאומית</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המזרחי</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נ</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יו</w:t>
      </w:r>
      <w:r w:rsidRPr="00632224">
        <w:rPr>
          <w:rFonts w:ascii="Century" w:hAnsi="Century" w:cs="Miriam"/>
          <w:b/>
          <w:sz w:val="22"/>
          <w:shd w:val="clear" w:color="auto" w:fill="FFFFFF"/>
          <w:rtl/>
        </w:rPr>
        <w:t>"</w:t>
      </w:r>
      <w:r w:rsidRPr="00632224">
        <w:rPr>
          <w:rFonts w:ascii="Century" w:hAnsi="Century" w:cs="Miriam" w:hint="eastAsia"/>
          <w:b/>
          <w:sz w:val="22"/>
          <w:shd w:val="clear" w:color="auto" w:fill="FFFFFF"/>
          <w:rtl/>
        </w:rPr>
        <w:t>ר</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lastRenderedPageBreak/>
        <w:t>הכנסת</w:t>
      </w:r>
      <w:r w:rsidRPr="00632224">
        <w:rPr>
          <w:rFonts w:ascii="Century" w:hAnsi="Century" w:cs="FrankRuehl"/>
          <w:b/>
          <w:spacing w:val="10"/>
          <w:sz w:val="22"/>
          <w:szCs w:val="28"/>
          <w:shd w:val="clear" w:color="auto" w:fill="FFFFFF"/>
          <w:rtl/>
        </w:rPr>
        <w:t>, </w:t>
      </w:r>
      <w:r w:rsidRPr="00632224">
        <w:rPr>
          <w:rFonts w:ascii="Century" w:hAnsi="Century" w:cs="FrankRuehl" w:hint="eastAsia"/>
          <w:b/>
          <w:spacing w:val="10"/>
          <w:sz w:val="22"/>
          <w:szCs w:val="28"/>
          <w:shd w:val="clear" w:color="auto" w:fill="FFFFFF"/>
          <w:rtl/>
        </w:rPr>
        <w:t>פ</w:t>
      </w:r>
      <w:r w:rsidRPr="00632224">
        <w:rPr>
          <w:rFonts w:ascii="Century" w:hAnsi="Century" w:cs="FrankRuehl"/>
          <w:b/>
          <w:spacing w:val="10"/>
          <w:sz w:val="22"/>
          <w:szCs w:val="28"/>
          <w:shd w:val="clear" w:color="auto" w:fill="FFFFFF"/>
          <w:rtl/>
        </w:rPr>
        <w:t>"</w:t>
      </w:r>
      <w:r w:rsidRPr="00632224">
        <w:rPr>
          <w:rFonts w:ascii="Century" w:hAnsi="Century" w:cs="FrankRuehl" w:hint="eastAsia"/>
          <w:b/>
          <w:spacing w:val="10"/>
          <w:sz w:val="22"/>
          <w:szCs w:val="28"/>
          <w:shd w:val="clear" w:color="auto" w:fill="FFFFFF"/>
          <w:rtl/>
        </w:rPr>
        <w:t>ד</w:t>
      </w:r>
      <w:r w:rsidRPr="00632224">
        <w:rPr>
          <w:rFonts w:ascii="Century" w:hAnsi="Century" w:cs="FrankRuehl"/>
          <w:b/>
          <w:spacing w:val="10"/>
          <w:sz w:val="22"/>
          <w:szCs w:val="28"/>
          <w:shd w:val="clear" w:color="auto" w:fill="FFFFFF"/>
          <w:rtl/>
        </w:rPr>
        <w:t xml:space="preserve"> </w:t>
      </w:r>
      <w:r w:rsidRPr="00632224">
        <w:rPr>
          <w:rFonts w:ascii="Century" w:hAnsi="Century" w:cs="FrankRuehl" w:hint="eastAsia"/>
          <w:b/>
          <w:spacing w:val="10"/>
          <w:sz w:val="22"/>
          <w:szCs w:val="28"/>
          <w:shd w:val="clear" w:color="auto" w:fill="FFFFFF"/>
          <w:rtl/>
        </w:rPr>
        <w:t>נז</w:t>
      </w:r>
      <w:r w:rsidRPr="00632224">
        <w:rPr>
          <w:rFonts w:ascii="Century" w:hAnsi="Century" w:cs="FrankRuehl"/>
          <w:b/>
          <w:spacing w:val="10"/>
          <w:sz w:val="22"/>
          <w:szCs w:val="28"/>
          <w:shd w:val="clear" w:color="auto" w:fill="FFFFFF"/>
          <w:rtl/>
        </w:rPr>
        <w:t xml:space="preserve">(1) 710 (2002), </w:t>
      </w:r>
      <w:r w:rsidRPr="00632224">
        <w:rPr>
          <w:rFonts w:ascii="Century" w:hAnsi="Century" w:cs="FrankRuehl" w:hint="eastAsia"/>
          <w:b/>
          <w:spacing w:val="10"/>
          <w:sz w:val="22"/>
          <w:szCs w:val="28"/>
          <w:shd w:val="clear" w:color="auto" w:fill="FFFFFF"/>
          <w:rtl/>
        </w:rPr>
        <w:t>שם</w:t>
      </w:r>
      <w:r w:rsidRPr="00632224">
        <w:rPr>
          <w:rFonts w:ascii="Century" w:hAnsi="Century" w:cs="FrankRuehl"/>
          <w:b/>
          <w:spacing w:val="10"/>
          <w:sz w:val="22"/>
          <w:szCs w:val="28"/>
          <w:shd w:val="clear" w:color="auto" w:fill="FFFFFF"/>
          <w:rtl/>
        </w:rPr>
        <w:t xml:space="preserve"> </w:t>
      </w:r>
      <w:r w:rsidRPr="00632224">
        <w:rPr>
          <w:rFonts w:ascii="Century" w:hAnsi="Century" w:cs="FrankRuehl" w:hint="eastAsia"/>
          <w:b/>
          <w:spacing w:val="10"/>
          <w:sz w:val="22"/>
          <w:szCs w:val="28"/>
          <w:shd w:val="clear" w:color="auto" w:fill="FFFFFF"/>
          <w:rtl/>
        </w:rPr>
        <w:t>נדו</w:t>
      </w:r>
      <w:r w:rsidRPr="00632224">
        <w:rPr>
          <w:rFonts w:ascii="Century" w:hAnsi="Century" w:cs="FrankRuehl" w:hint="cs"/>
          <w:b/>
          <w:spacing w:val="10"/>
          <w:sz w:val="22"/>
          <w:szCs w:val="28"/>
          <w:shd w:val="clear" w:color="auto" w:fill="FFFFFF"/>
          <w:rtl/>
        </w:rPr>
        <w:t>נו</w:t>
      </w:r>
      <w:r w:rsidRPr="00632224">
        <w:rPr>
          <w:rFonts w:ascii="Century" w:hAnsi="Century" w:cs="FrankRuehl"/>
          <w:b/>
          <w:spacing w:val="10"/>
          <w:sz w:val="22"/>
          <w:szCs w:val="28"/>
          <w:shd w:val="clear" w:color="auto" w:fill="FFFFFF"/>
          <w:rtl/>
        </w:rPr>
        <w:t xml:space="preserve"> </w:t>
      </w:r>
      <w:r w:rsidRPr="00632224">
        <w:rPr>
          <w:rFonts w:ascii="Century" w:hAnsi="Century" w:cs="FrankRuehl" w:hint="eastAsia"/>
          <w:b/>
          <w:spacing w:val="10"/>
          <w:sz w:val="22"/>
          <w:szCs w:val="28"/>
          <w:shd w:val="clear" w:color="auto" w:fill="FFFFFF"/>
          <w:rtl/>
        </w:rPr>
        <w:t>מינויים</w:t>
      </w:r>
      <w:r w:rsidRPr="00632224">
        <w:rPr>
          <w:rFonts w:ascii="Century" w:hAnsi="Century" w:cs="FrankRuehl"/>
          <w:b/>
          <w:spacing w:val="10"/>
          <w:sz w:val="22"/>
          <w:szCs w:val="28"/>
          <w:shd w:val="clear" w:color="auto" w:fill="FFFFFF"/>
          <w:rtl/>
        </w:rPr>
        <w:t xml:space="preserve"> </w:t>
      </w:r>
      <w:r w:rsidRPr="00632224">
        <w:rPr>
          <w:rFonts w:ascii="Century" w:hAnsi="Century" w:cs="FrankRuehl" w:hint="eastAsia"/>
          <w:b/>
          <w:spacing w:val="10"/>
          <w:sz w:val="22"/>
          <w:szCs w:val="28"/>
          <w:shd w:val="clear" w:color="auto" w:fill="FFFFFF"/>
          <w:rtl/>
        </w:rPr>
        <w:t>של</w:t>
      </w:r>
      <w:r w:rsidRPr="00632224">
        <w:rPr>
          <w:rFonts w:ascii="Century" w:hAnsi="Century" w:cs="FrankRuehl"/>
          <w:b/>
          <w:spacing w:val="10"/>
          <w:sz w:val="22"/>
          <w:szCs w:val="28"/>
          <w:shd w:val="clear" w:color="auto" w:fill="FFFFFF"/>
          <w:rtl/>
        </w:rPr>
        <w:t xml:space="preserve"> </w:t>
      </w:r>
      <w:r w:rsidRPr="00632224">
        <w:rPr>
          <w:rFonts w:ascii="Century" w:hAnsi="Century" w:cs="FrankRuehl" w:hint="eastAsia"/>
          <w:b/>
          <w:spacing w:val="10"/>
          <w:sz w:val="22"/>
          <w:szCs w:val="28"/>
          <w:shd w:val="clear" w:color="auto" w:fill="FFFFFF"/>
          <w:rtl/>
        </w:rPr>
        <w:t>רבנים</w:t>
      </w:r>
      <w:r w:rsidRPr="00632224">
        <w:rPr>
          <w:rFonts w:ascii="Century" w:hAnsi="Century" w:cs="FrankRuehl"/>
          <w:b/>
          <w:spacing w:val="10"/>
          <w:sz w:val="22"/>
          <w:szCs w:val="28"/>
          <w:shd w:val="clear" w:color="auto" w:fill="FFFFFF"/>
          <w:rtl/>
        </w:rPr>
        <w:t xml:space="preserve"> </w:t>
      </w:r>
      <w:r w:rsidRPr="00632224">
        <w:rPr>
          <w:rFonts w:ascii="Century" w:hAnsi="Century" w:cs="FrankRuehl" w:hint="eastAsia"/>
          <w:b/>
          <w:spacing w:val="10"/>
          <w:sz w:val="22"/>
          <w:szCs w:val="28"/>
          <w:shd w:val="clear" w:color="auto" w:fill="FFFFFF"/>
          <w:rtl/>
        </w:rPr>
        <w:t>ראשיים</w:t>
      </w:r>
      <w:r w:rsidRPr="00632224">
        <w:rPr>
          <w:rFonts w:ascii="Century" w:hAnsi="Century" w:cs="FrankRuehl"/>
          <w:b/>
          <w:spacing w:val="10"/>
          <w:sz w:val="22"/>
          <w:szCs w:val="28"/>
          <w:shd w:val="clear" w:color="auto" w:fill="FFFFFF"/>
          <w:rtl/>
        </w:rPr>
        <w:t xml:space="preserve"> </w:t>
      </w:r>
      <w:r w:rsidRPr="00632224">
        <w:rPr>
          <w:rFonts w:ascii="Century" w:hAnsi="Century" w:cs="FrankRuehl" w:hint="eastAsia"/>
          <w:b/>
          <w:spacing w:val="10"/>
          <w:sz w:val="22"/>
          <w:szCs w:val="28"/>
          <w:shd w:val="clear" w:color="auto" w:fill="FFFFFF"/>
          <w:rtl/>
        </w:rPr>
        <w:t>בממשלת</w:t>
      </w:r>
      <w:r w:rsidRPr="00632224">
        <w:rPr>
          <w:rFonts w:ascii="Century" w:hAnsi="Century" w:cs="FrankRuehl"/>
          <w:b/>
          <w:spacing w:val="10"/>
          <w:sz w:val="22"/>
          <w:szCs w:val="28"/>
          <w:shd w:val="clear" w:color="auto" w:fill="FFFFFF"/>
          <w:rtl/>
        </w:rPr>
        <w:t xml:space="preserve"> </w:t>
      </w:r>
      <w:r w:rsidRPr="00632224">
        <w:rPr>
          <w:rFonts w:ascii="Century" w:hAnsi="Century" w:cs="FrankRuehl" w:hint="eastAsia"/>
          <w:b/>
          <w:spacing w:val="10"/>
          <w:sz w:val="22"/>
          <w:szCs w:val="28"/>
          <w:shd w:val="clear" w:color="auto" w:fill="FFFFFF"/>
          <w:rtl/>
        </w:rPr>
        <w:t>מעבר</w:t>
      </w:r>
      <w:r w:rsidRPr="00632224">
        <w:rPr>
          <w:rFonts w:ascii="Century" w:hAnsi="Century" w:cs="FrankRuehl"/>
          <w:b/>
          <w:spacing w:val="10"/>
          <w:sz w:val="22"/>
          <w:szCs w:val="28"/>
          <w:shd w:val="clear" w:color="auto" w:fill="FFFFFF"/>
          <w:rtl/>
        </w:rPr>
        <w:t xml:space="preserve">; </w:t>
      </w:r>
      <w:r w:rsidRPr="00632224">
        <w:rPr>
          <w:rFonts w:ascii="Century" w:hAnsi="Century" w:cs="FrankRuehl" w:hint="eastAsia"/>
          <w:b/>
          <w:spacing w:val="10"/>
          <w:sz w:val="22"/>
          <w:szCs w:val="28"/>
          <w:rtl/>
        </w:rPr>
        <w:t>רבקה</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וייל</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תקופת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בין</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השמשות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על</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סמכויותיה</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של</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ממשל</w:t>
      </w:r>
      <w:r w:rsidRPr="00632224">
        <w:rPr>
          <w:rFonts w:ascii="Century" w:hAnsi="Century" w:cs="FrankRuehl"/>
          <w:b/>
          <w:spacing w:val="10"/>
          <w:sz w:val="22"/>
          <w:szCs w:val="28"/>
          <w:rtl/>
        </w:rPr>
        <w:t>-</w:t>
      </w:r>
      <w:r w:rsidRPr="00632224">
        <w:rPr>
          <w:rFonts w:ascii="Century" w:hAnsi="Century" w:cs="FrankRuehl" w:hint="eastAsia"/>
          <w:b/>
          <w:spacing w:val="10"/>
          <w:sz w:val="22"/>
          <w:szCs w:val="28"/>
          <w:rtl/>
        </w:rPr>
        <w:t>מעבר</w:t>
      </w:r>
      <w:r w:rsidRPr="00632224">
        <w:rPr>
          <w:rFonts w:ascii="Century" w:hAnsi="Century" w:cs="FrankRuehl"/>
          <w:b/>
          <w:spacing w:val="10"/>
          <w:sz w:val="22"/>
          <w:szCs w:val="28"/>
          <w:rtl/>
        </w:rPr>
        <w:t xml:space="preserve">" </w:t>
      </w:r>
      <w:r w:rsidRPr="00632224">
        <w:rPr>
          <w:rFonts w:ascii="Century" w:hAnsi="Century" w:cs="Miriam" w:hint="eastAsia"/>
          <w:b/>
          <w:sz w:val="22"/>
          <w:rtl/>
        </w:rPr>
        <w:t>משפט</w:t>
      </w:r>
      <w:r w:rsidRPr="00632224">
        <w:rPr>
          <w:rFonts w:ascii="Century" w:hAnsi="Century" w:cs="Miriam"/>
          <w:b/>
          <w:sz w:val="22"/>
          <w:rtl/>
        </w:rPr>
        <w:t xml:space="preserve"> </w:t>
      </w:r>
      <w:r w:rsidRPr="00632224">
        <w:rPr>
          <w:rFonts w:ascii="Century" w:hAnsi="Century" w:cs="Miriam" w:hint="eastAsia"/>
          <w:b/>
          <w:sz w:val="22"/>
          <w:rtl/>
        </w:rPr>
        <w:t>וממשל</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יג</w:t>
      </w:r>
      <w:r w:rsidRPr="00632224">
        <w:rPr>
          <w:rFonts w:ascii="Century" w:hAnsi="Century" w:cs="FrankRuehl"/>
          <w:b/>
          <w:spacing w:val="10"/>
          <w:sz w:val="22"/>
          <w:szCs w:val="28"/>
          <w:rtl/>
        </w:rPr>
        <w:t xml:space="preserve"> 167 (</w:t>
      </w:r>
      <w:r w:rsidRPr="00632224">
        <w:rPr>
          <w:rFonts w:ascii="Century" w:hAnsi="Century" w:cs="FrankRuehl" w:hint="cs"/>
          <w:b/>
          <w:spacing w:val="10"/>
          <w:sz w:val="22"/>
          <w:szCs w:val="28"/>
          <w:rtl/>
        </w:rPr>
        <w:t>2010</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עילת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הסבירות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משמשת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כלי</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מרכזי</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בהפעלת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הביקורת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השיפוטית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על</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פעולות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ועל</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מינויים</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בממשלת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מעבר</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וראו</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הנחיות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היועץ</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המשפטי</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לממשלה</w:t>
      </w:r>
      <w:r w:rsidRPr="00632224">
        <w:rPr>
          <w:rFonts w:ascii="Century" w:hAnsi="Century" w:cs="FrankRuehl"/>
          <w:b/>
          <w:spacing w:val="10"/>
          <w:sz w:val="22"/>
          <w:szCs w:val="28"/>
          <w:rtl/>
        </w:rPr>
        <w:t xml:space="preserve"> 1.1501 </w:t>
      </w:r>
      <w:r w:rsidRPr="00632224">
        <w:rPr>
          <w:rFonts w:ascii="Century" w:hAnsi="Century" w:cs="FrankRuehl" w:hint="eastAsia"/>
          <w:b/>
          <w:spacing w:val="10"/>
          <w:sz w:val="22"/>
          <w:szCs w:val="28"/>
          <w:rtl/>
        </w:rPr>
        <w:t>בנושא</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מינויים</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בתקופת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בחירות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הנחייה</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שכל</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כולה</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מבוססת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על</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פסיקת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בית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המשפט</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לפיה</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מתחם</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הסבירות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של</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ממשלת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מעבר</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מצומצם</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יותר</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shd w:val="clear" w:color="auto" w:fill="FFFFFF"/>
          <w:rtl/>
        </w:rPr>
        <w:t>בג</w:t>
      </w:r>
      <w:r w:rsidRPr="00632224">
        <w:rPr>
          <w:rFonts w:ascii="Century" w:hAnsi="Century" w:cs="FrankRuehl"/>
          <w:b/>
          <w:spacing w:val="10"/>
          <w:sz w:val="22"/>
          <w:szCs w:val="28"/>
          <w:shd w:val="clear" w:color="auto" w:fill="FFFFFF"/>
          <w:rtl/>
        </w:rPr>
        <w:t>"</w:t>
      </w:r>
      <w:r w:rsidRPr="00632224">
        <w:rPr>
          <w:rFonts w:ascii="Century" w:hAnsi="Century" w:cs="FrankRuehl" w:hint="eastAsia"/>
          <w:b/>
          <w:spacing w:val="10"/>
          <w:sz w:val="22"/>
          <w:szCs w:val="28"/>
          <w:shd w:val="clear" w:color="auto" w:fill="FFFFFF"/>
          <w:rtl/>
        </w:rPr>
        <w:t>ץ</w:t>
      </w:r>
      <w:r w:rsidRPr="00632224">
        <w:rPr>
          <w:rFonts w:ascii="Century" w:hAnsi="Century" w:cs="FrankRuehl"/>
          <w:b/>
          <w:spacing w:val="10"/>
          <w:sz w:val="22"/>
          <w:szCs w:val="28"/>
          <w:shd w:val="clear" w:color="auto" w:fill="FFFFFF"/>
          <w:rtl/>
        </w:rPr>
        <w:t xml:space="preserve"> 5403/22</w:t>
      </w:r>
      <w:r w:rsidRPr="00632224">
        <w:rPr>
          <w:rFonts w:ascii="Century" w:hAnsi="Century" w:cs="Miriam"/>
          <w:b/>
          <w:sz w:val="24"/>
          <w:shd w:val="clear" w:color="auto" w:fill="FFFFFF"/>
          <w:rtl/>
        </w:rPr>
        <w:t> </w:t>
      </w:r>
      <w:r w:rsidRPr="00632224">
        <w:rPr>
          <w:rFonts w:ascii="Century" w:hAnsi="Century" w:cs="Miriam" w:hint="eastAsia"/>
          <w:b/>
          <w:sz w:val="24"/>
          <w:shd w:val="clear" w:color="auto" w:fill="FFFFFF"/>
          <w:rtl/>
        </w:rPr>
        <w:t>לביא</w:t>
      </w:r>
      <w:r w:rsidRPr="00632224">
        <w:rPr>
          <w:rFonts w:ascii="Century" w:hAnsi="Century" w:cs="Miriam"/>
          <w:b/>
          <w:sz w:val="24"/>
          <w:shd w:val="clear" w:color="auto" w:fill="FFFFFF"/>
          <w:rtl/>
        </w:rPr>
        <w:t xml:space="preserve">, </w:t>
      </w:r>
      <w:r w:rsidRPr="00632224">
        <w:rPr>
          <w:rFonts w:ascii="Century" w:hAnsi="Century" w:cs="Miriam" w:hint="eastAsia"/>
          <w:b/>
          <w:sz w:val="24"/>
          <w:shd w:val="clear" w:color="auto" w:fill="FFFFFF"/>
          <w:rtl/>
        </w:rPr>
        <w:t>זכויות</w:t>
      </w:r>
      <w:r w:rsidRPr="00632224">
        <w:rPr>
          <w:rFonts w:ascii="Century" w:hAnsi="Century" w:cs="Miriam"/>
          <w:b/>
          <w:sz w:val="24"/>
          <w:shd w:val="clear" w:color="auto" w:fill="FFFFFF"/>
          <w:rtl/>
        </w:rPr>
        <w:t xml:space="preserve"> </w:t>
      </w:r>
      <w:r w:rsidRPr="00632224">
        <w:rPr>
          <w:rFonts w:ascii="Century" w:hAnsi="Century" w:cs="Miriam" w:hint="eastAsia"/>
          <w:b/>
          <w:sz w:val="24"/>
          <w:shd w:val="clear" w:color="auto" w:fill="FFFFFF"/>
          <w:rtl/>
        </w:rPr>
        <w:t>אזרח</w:t>
      </w:r>
      <w:r w:rsidRPr="00632224">
        <w:rPr>
          <w:rFonts w:ascii="Century" w:hAnsi="Century" w:cs="Miriam"/>
          <w:b/>
          <w:sz w:val="24"/>
          <w:shd w:val="clear" w:color="auto" w:fill="FFFFFF"/>
          <w:rtl/>
        </w:rPr>
        <w:t xml:space="preserve">, </w:t>
      </w:r>
      <w:r w:rsidRPr="00632224">
        <w:rPr>
          <w:rFonts w:ascii="Century" w:hAnsi="Century" w:cs="Miriam" w:hint="eastAsia"/>
          <w:b/>
          <w:sz w:val="24"/>
          <w:shd w:val="clear" w:color="auto" w:fill="FFFFFF"/>
          <w:rtl/>
        </w:rPr>
        <w:t>מנהל</w:t>
      </w:r>
      <w:r w:rsidRPr="00632224">
        <w:rPr>
          <w:rFonts w:ascii="Century" w:hAnsi="Century" w:cs="Miriam"/>
          <w:b/>
          <w:sz w:val="24"/>
          <w:shd w:val="clear" w:color="auto" w:fill="FFFFFF"/>
          <w:rtl/>
        </w:rPr>
        <w:t xml:space="preserve"> </w:t>
      </w:r>
      <w:r w:rsidRPr="00632224">
        <w:rPr>
          <w:rFonts w:ascii="Century" w:hAnsi="Century" w:cs="Miriam" w:hint="eastAsia"/>
          <w:b/>
          <w:sz w:val="24"/>
          <w:shd w:val="clear" w:color="auto" w:fill="FFFFFF"/>
          <w:rtl/>
        </w:rPr>
        <w:t>תקין</w:t>
      </w:r>
      <w:r w:rsidRPr="00632224">
        <w:rPr>
          <w:rFonts w:ascii="Century" w:hAnsi="Century" w:cs="Miriam"/>
          <w:b/>
          <w:sz w:val="24"/>
          <w:shd w:val="clear" w:color="auto" w:fill="FFFFFF"/>
          <w:rtl/>
        </w:rPr>
        <w:t xml:space="preserve"> </w:t>
      </w:r>
      <w:r w:rsidRPr="00632224">
        <w:rPr>
          <w:rFonts w:ascii="Century" w:hAnsi="Century" w:cs="Miriam" w:hint="eastAsia"/>
          <w:b/>
          <w:sz w:val="24"/>
          <w:shd w:val="clear" w:color="auto" w:fill="FFFFFF"/>
          <w:rtl/>
        </w:rPr>
        <w:t>ועידוד</w:t>
      </w:r>
      <w:r w:rsidRPr="00632224">
        <w:rPr>
          <w:rFonts w:ascii="Century" w:hAnsi="Century" w:cs="Miriam"/>
          <w:b/>
          <w:sz w:val="24"/>
          <w:shd w:val="clear" w:color="auto" w:fill="FFFFFF"/>
          <w:rtl/>
        </w:rPr>
        <w:t xml:space="preserve"> </w:t>
      </w:r>
      <w:r w:rsidRPr="00632224">
        <w:rPr>
          <w:rFonts w:ascii="Century" w:hAnsi="Century" w:cs="Miriam" w:hint="eastAsia"/>
          <w:b/>
          <w:sz w:val="24"/>
          <w:shd w:val="clear" w:color="auto" w:fill="FFFFFF"/>
          <w:rtl/>
        </w:rPr>
        <w:t>ההתיישבות</w:t>
      </w:r>
      <w:r w:rsidRPr="00632224">
        <w:rPr>
          <w:rFonts w:ascii="Century" w:hAnsi="Century" w:cs="Miriam"/>
          <w:b/>
          <w:sz w:val="24"/>
          <w:shd w:val="clear" w:color="auto" w:fill="FFFFFF"/>
          <w:rtl/>
        </w:rPr>
        <w:t xml:space="preserve"> </w:t>
      </w:r>
      <w:r w:rsidRPr="00632224">
        <w:rPr>
          <w:rFonts w:ascii="Century" w:hAnsi="Century" w:cs="Miriam" w:hint="eastAsia"/>
          <w:b/>
          <w:sz w:val="24"/>
          <w:shd w:val="clear" w:color="auto" w:fill="FFFFFF"/>
          <w:rtl/>
        </w:rPr>
        <w:t>נ</w:t>
      </w:r>
      <w:r w:rsidRPr="00632224">
        <w:rPr>
          <w:rFonts w:ascii="Century" w:hAnsi="Century" w:cs="Miriam"/>
          <w:b/>
          <w:sz w:val="24"/>
          <w:shd w:val="clear" w:color="auto" w:fill="FFFFFF"/>
          <w:rtl/>
        </w:rPr>
        <w:t xml:space="preserve">' </w:t>
      </w:r>
      <w:r w:rsidRPr="00632224">
        <w:rPr>
          <w:rFonts w:ascii="Century" w:hAnsi="Century" w:cs="Miriam" w:hint="eastAsia"/>
          <w:b/>
          <w:sz w:val="24"/>
          <w:shd w:val="clear" w:color="auto" w:fill="FFFFFF"/>
          <w:rtl/>
        </w:rPr>
        <w:t>ראש</w:t>
      </w:r>
      <w:r w:rsidRPr="00632224">
        <w:rPr>
          <w:rFonts w:ascii="Century" w:hAnsi="Century" w:cs="Miriam"/>
          <w:b/>
          <w:sz w:val="24"/>
          <w:shd w:val="clear" w:color="auto" w:fill="FFFFFF"/>
          <w:rtl/>
        </w:rPr>
        <w:t xml:space="preserve"> </w:t>
      </w:r>
      <w:r w:rsidRPr="00632224">
        <w:rPr>
          <w:rFonts w:ascii="Century" w:hAnsi="Century" w:cs="Miriam" w:hint="eastAsia"/>
          <w:b/>
          <w:sz w:val="24"/>
          <w:shd w:val="clear" w:color="auto" w:fill="FFFFFF"/>
          <w:rtl/>
        </w:rPr>
        <w:t>הממשלה</w:t>
      </w:r>
      <w:r w:rsidRPr="00632224">
        <w:rPr>
          <w:rFonts w:ascii="Century" w:hAnsi="Century" w:cs="Miriam"/>
          <w:b/>
          <w:sz w:val="24"/>
          <w:shd w:val="clear" w:color="auto" w:fill="FFFFFF"/>
          <w:rtl/>
        </w:rPr>
        <w:t xml:space="preserve"> </w:t>
      </w:r>
      <w:r w:rsidRPr="00632224">
        <w:rPr>
          <w:rFonts w:ascii="Century" w:hAnsi="Century" w:cs="FrankRuehl"/>
          <w:b/>
          <w:spacing w:val="10"/>
          <w:sz w:val="22"/>
          <w:szCs w:val="28"/>
          <w:shd w:val="clear" w:color="auto" w:fill="FFFFFF"/>
          <w:rtl/>
        </w:rPr>
        <w:t>(22.9.2022)</w:t>
      </w:r>
      <w:r w:rsidRPr="00632224">
        <w:rPr>
          <w:rFonts w:ascii="Century" w:hAnsi="Century" w:cs="FrankRuehl"/>
          <w:b/>
          <w:spacing w:val="10"/>
          <w:sz w:val="22"/>
          <w:szCs w:val="28"/>
          <w:rtl/>
        </w:rPr>
        <w:t>).</w:t>
      </w:r>
      <w:r w:rsidRPr="00632224">
        <w:rPr>
          <w:rFonts w:ascii="Century" w:hAnsi="Century" w:cs="FrankRuehl" w:hint="cs"/>
          <w:spacing w:val="10"/>
          <w:sz w:val="22"/>
          <w:szCs w:val="28"/>
          <w:rtl/>
        </w:rPr>
        <w:t xml:space="preserve"> ביטול עילת הסבירות על פעולות הממשלה ושריה עלול לצמצם באופן משמעותי את הביקורת על פעולות ממשלת מעבר.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ממשלת מעבר, כשמה כן היא, מכהנת עד לבחירות הקרובות, ובנקודה זו אני מגיע לסכנה מיידית ומוחשית נוספת שנובעת מהתיקון לחוק היסוד.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 xml:space="preserve">ז. טוהר הבחירות </w:t>
      </w:r>
    </w:p>
    <w:p w:rsidR="00244560" w:rsidRPr="00632224"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98.</w:t>
      </w:r>
      <w:r w:rsidRPr="00632224">
        <w:rPr>
          <w:rFonts w:ascii="Century" w:hAnsi="Century" w:cs="FrankRuehl" w:hint="cs"/>
          <w:spacing w:val="10"/>
          <w:sz w:val="22"/>
          <w:szCs w:val="28"/>
          <w:rtl/>
        </w:rPr>
        <w:tab/>
        <w:t xml:space="preserve">אחד המנגנונים החשובים ביותר בישראל להבטחת טוהר הבחירות הוא ועדת הבחירות המרכזית הפועלת כיום כגוף </w:t>
      </w:r>
      <w:r w:rsidRPr="00632224">
        <w:rPr>
          <w:rFonts w:ascii="Century" w:hAnsi="Century" w:cs="Miriam" w:hint="cs"/>
          <w:b/>
          <w:sz w:val="22"/>
          <w:rtl/>
        </w:rPr>
        <w:t>עצמאי</w:t>
      </w:r>
      <w:r w:rsidRPr="00632224">
        <w:rPr>
          <w:rFonts w:ascii="Century" w:hAnsi="Century" w:cs="FrankRuehl" w:hint="cs"/>
          <w:spacing w:val="10"/>
          <w:sz w:val="22"/>
          <w:szCs w:val="28"/>
          <w:rtl/>
        </w:rPr>
        <w:t xml:space="preserve"> בראשות שופט בית משפט עליון. כמי שכיהן כיו"ר הוועדה לכנסת ה-25, כאשר מסרתי את תוצאות הבחירות לנשיא המדינה, הדגשתי בנאומי כי "</w:t>
      </w:r>
      <w:r w:rsidRPr="00632224">
        <w:rPr>
          <w:rFonts w:ascii="Century" w:hAnsi="Century" w:cs="FrankRuehl"/>
          <w:spacing w:val="10"/>
          <w:sz w:val="22"/>
          <w:szCs w:val="28"/>
          <w:rtl/>
        </w:rPr>
        <w:t>הליך הבחירות ניצב ממש בליבת הדמוקרטיה הישראלית ומכאן החובה לשמור מכל משמר על עצמאותה של ועדת הבחירות המרכזית ועל אי תלותה</w:t>
      </w:r>
      <w:r w:rsidRPr="00632224">
        <w:rPr>
          <w:rFonts w:ascii="Century" w:hAnsi="Century" w:cs="FrankRuehl" w:hint="cs"/>
          <w:spacing w:val="10"/>
          <w:sz w:val="22"/>
          <w:szCs w:val="28"/>
          <w:rtl/>
        </w:rPr>
        <w:t>". למרבה הצער, ביני לביני, כבר הועלו מספר הצעות חוק פרטיות שיש בהן כדי לפגוע בעצמאות ועדת הבחירות המרכזית.</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על אף עצמאותה, ועדת הבחירות המרכזית אינה יכולה לבדה להתמודד עם החלטות ממשלה או שרי ממשלה, שיכולות להשפיע במישרין או בעקיפין על אופן ניהול הבחירות. איני רואה לפרט דוגמאות לנושאים ולהחלטות שיש בהן כדי להשפיע על הליך הבחירות, ואסתפק בהפניה לסמכויות הרבות המוענקות לשר הפנים בסעיף 145 לחוק הבחירות לכנסת, לרבות בכל הקשור ל"הכנת הבחירות, הנהלתן וקביעת תוצאותיהן". כשלעצמי, איני סבור כי יש מקום לחשש מפני מפלגת רוב שתודיע על ביטול הבחירות, צעד שלא נעשה גם במשטרים פופוליסטיים-סמכותניים-רודניים. אך כפי שהזכרנו, דמוקרטיות לא מתות באבחה אחת ואין צורך להיזקק לצעד קיצוני של ביטול הבחירות, באשר ניתן להשפיע בתשעים ותשע דרכים על קיומן של בחירות שוויוניות וחופשיות. </w:t>
      </w: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lastRenderedPageBreak/>
        <w:t xml:space="preserve">פגיעה בזכויות יסוד חוקתיות </w:t>
      </w:r>
    </w:p>
    <w:p w:rsidR="00244560" w:rsidRPr="00632224"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99.</w:t>
      </w:r>
      <w:r w:rsidRPr="00632224">
        <w:rPr>
          <w:rFonts w:ascii="Century" w:hAnsi="Century" w:cs="FrankRuehl" w:hint="cs"/>
          <w:spacing w:val="10"/>
          <w:sz w:val="22"/>
          <w:szCs w:val="28"/>
          <w:rtl/>
        </w:rPr>
        <w:tab/>
      </w:r>
      <w:r w:rsidRPr="00632224">
        <w:rPr>
          <w:rFonts w:ascii="Century" w:hAnsi="Century" w:cs="FrankRuehl" w:hint="eastAsia"/>
          <w:spacing w:val="10"/>
          <w:sz w:val="22"/>
          <w:szCs w:val="28"/>
          <w:rtl/>
        </w:rPr>
        <w:t>עילת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הסבירות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נהוגה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במשפט</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המינהלי</w:t>
      </w:r>
      <w:r w:rsidRPr="00632224">
        <w:rPr>
          <w:rFonts w:ascii="Century" w:hAnsi="Century" w:cs="FrankRuehl" w:hint="cs"/>
          <w:spacing w:val="10"/>
          <w:sz w:val="22"/>
          <w:szCs w:val="28"/>
          <w:rtl/>
        </w:rPr>
        <w:t xml:space="preserve">. יכול הטוען לטעון כי אין המשפט המינהלי נוגע במשפט החוקתי, ולכן, גם אם בוטלה עילת הסבירות ביחס לממשלה ולשריה, אין זה עניין למשפט החוקתי ולזכויות יסוד.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ולא היא. בין המשפט המינהלי לבין הזכויות החוקתיות יש קשר בל יינתק, באשר החלטות מינהליות משפיעות על זכויות אדם חוקתיות. איסור הפלייה נבחן על פי אמות מידה</w:t>
      </w:r>
      <w:r w:rsidRPr="00632224">
        <w:rPr>
          <w:rFonts w:cs="FrankRuehl" w:hint="cs"/>
          <w:spacing w:val="10"/>
          <w:sz w:val="28"/>
          <w:szCs w:val="28"/>
          <w:rtl/>
        </w:rPr>
        <w:t xml:space="preserve"> המחייבות את הרשויות "לנהוג בחלוקת תקציביהן בשוויון </w:t>
      </w:r>
      <w:r w:rsidRPr="00632224">
        <w:rPr>
          <w:rFonts w:ascii="Century" w:hAnsi="Century" w:cs="Miriam" w:hint="eastAsia"/>
          <w:b/>
          <w:sz w:val="22"/>
          <w:rtl/>
        </w:rPr>
        <w:t>ובסבירות</w:t>
      </w:r>
      <w:r w:rsidRPr="00632224">
        <w:rPr>
          <w:rFonts w:cs="FrankRuehl" w:hint="cs"/>
          <w:spacing w:val="10"/>
          <w:sz w:val="28"/>
          <w:szCs w:val="28"/>
          <w:rtl/>
        </w:rPr>
        <w:t xml:space="preserve">, והכול תוך יצירת תבחינים ברורים, שקופים וענייניים המקיימים את ערכים אלו" (עע"מ 343/09 </w:t>
      </w:r>
      <w:r w:rsidRPr="00632224">
        <w:rPr>
          <w:rFonts w:ascii="Century" w:hAnsi="Century" w:cs="Miriam" w:hint="cs"/>
          <w:b/>
          <w:sz w:val="22"/>
          <w:rtl/>
        </w:rPr>
        <w:t>הבית הפתוח בירושלים לגאווה וסובלנות נ' עיריית ירושלים</w:t>
      </w:r>
      <w:r w:rsidRPr="00632224">
        <w:rPr>
          <w:rFonts w:ascii="Century" w:hAnsi="Century" w:cs="FrankRuehl" w:hint="cs"/>
          <w:spacing w:val="10"/>
          <w:sz w:val="22"/>
          <w:szCs w:val="28"/>
          <w:rtl/>
        </w:rPr>
        <w:t xml:space="preserve">, פ"ד סד(2) 1, פסקה 34 (2010) (הדגשה הוספה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י"ע)). לעילת הסבירות יש זיקה הדוקה לעקרון השוויון כמסגרת לאיזון בין אינטרסים של קבוצות שונות (</w:t>
      </w:r>
      <w:r w:rsidRPr="00632224">
        <w:rPr>
          <w:rFonts w:ascii="Century" w:hAnsi="Century" w:cs="FrankRuehl" w:hint="eastAsia"/>
          <w:spacing w:val="10"/>
          <w:sz w:val="22"/>
          <w:szCs w:val="28"/>
          <w:rtl/>
        </w:rPr>
        <w:t>עניין</w:t>
      </w:r>
      <w:r w:rsidRPr="00632224">
        <w:rPr>
          <w:rFonts w:ascii="Century" w:hAnsi="Century" w:cs="Miriam" w:hint="cs"/>
          <w:b/>
          <w:sz w:val="22"/>
          <w:rtl/>
        </w:rPr>
        <w:t xml:space="preserve"> שיח חדש</w:t>
      </w:r>
      <w:r w:rsidRPr="00632224">
        <w:rPr>
          <w:rFonts w:ascii="Century" w:hAnsi="Century" w:cs="FrankRuehl" w:hint="cs"/>
          <w:spacing w:val="10"/>
          <w:sz w:val="22"/>
          <w:szCs w:val="28"/>
          <w:rtl/>
        </w:rPr>
        <w:t xml:space="preserve">; </w:t>
      </w:r>
      <w:r w:rsidRPr="00632224">
        <w:rPr>
          <w:rFonts w:ascii="Century" w:hAnsi="Century" w:cs="Miriam" w:hint="eastAsia"/>
          <w:b/>
          <w:sz w:val="22"/>
          <w:rtl/>
        </w:rPr>
        <w:t>ברק</w:t>
      </w:r>
      <w:r w:rsidRPr="00632224">
        <w:rPr>
          <w:rFonts w:ascii="Century" w:hAnsi="Century" w:cs="Miriam"/>
          <w:b/>
          <w:sz w:val="22"/>
          <w:rtl/>
        </w:rPr>
        <w:t>-</w:t>
      </w:r>
      <w:r w:rsidRPr="00632224">
        <w:rPr>
          <w:rFonts w:ascii="Century" w:hAnsi="Century" w:cs="Miriam" w:hint="eastAsia"/>
          <w:b/>
          <w:sz w:val="22"/>
          <w:rtl/>
        </w:rPr>
        <w:t>ארז</w:t>
      </w:r>
      <w:r w:rsidRPr="00632224">
        <w:rPr>
          <w:rFonts w:ascii="Century" w:hAnsi="Century" w:cs="FrankRuehl"/>
          <w:spacing w:val="10"/>
          <w:sz w:val="22"/>
          <w:szCs w:val="28"/>
          <w:rtl/>
        </w:rPr>
        <w:t xml:space="preserve"> </w:t>
      </w:r>
      <w:r w:rsidRPr="00632224">
        <w:rPr>
          <w:rFonts w:ascii="Century" w:hAnsi="Century" w:cs="Miriam" w:hint="cs"/>
          <w:b/>
          <w:sz w:val="22"/>
          <w:rtl/>
        </w:rPr>
        <w:t>משפט מינהלי</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כרך ב בעמ' 735). בית משפט זה התערב מכוח עילת הסבירות בהחלטת שר הביטחון למנוע כיתוב נוסף על מצבת חללי צה"ל בבתי קברות צבאיים תוך מתן משקל לעקרון כבוד האדם (עניין</w:t>
      </w:r>
      <w:r w:rsidRPr="00632224">
        <w:rPr>
          <w:rFonts w:ascii="Century" w:hAnsi="Century" w:cs="FrankRuehl"/>
          <w:spacing w:val="10"/>
          <w:sz w:val="22"/>
          <w:szCs w:val="28"/>
          <w:rtl/>
        </w:rPr>
        <w:t> </w:t>
      </w:r>
      <w:r w:rsidRPr="00632224">
        <w:rPr>
          <w:rFonts w:ascii="Century" w:hAnsi="Century" w:cs="Miriam"/>
          <w:b/>
          <w:sz w:val="22"/>
          <w:rtl/>
        </w:rPr>
        <w:t>ויכסלבאום</w:t>
      </w:r>
      <w:r w:rsidRPr="00632224">
        <w:rPr>
          <w:rFonts w:ascii="Century" w:hAnsi="Century" w:cs="FrankRuehl" w:hint="cs"/>
          <w:spacing w:val="10"/>
          <w:sz w:val="22"/>
          <w:szCs w:val="28"/>
          <w:rtl/>
        </w:rPr>
        <w:t xml:space="preserve">); כאשר הרגולטור קיבל החלטה מינהלית לפיה ניתן לנתק מים וחשמל על פי אמות מידה שנקבעו על ידו, נקבע כי יש בכך כדי להשפיע על הזכות לקיום בכבוד (וראו, לעניין ניתוק חשמל, בג"ץ 4988/19 </w:t>
      </w:r>
      <w:r w:rsidRPr="00632224">
        <w:rPr>
          <w:rFonts w:ascii="Century" w:hAnsi="Century" w:cs="Miriam" w:hint="cs"/>
          <w:b/>
          <w:sz w:val="22"/>
          <w:rtl/>
        </w:rPr>
        <w:t>רוזנצוויג מויסה נ' הרשות לשירותים ציבוריים חשמל</w:t>
      </w:r>
      <w:r w:rsidRPr="00632224">
        <w:rPr>
          <w:rFonts w:ascii="Century" w:hAnsi="Century" w:cs="FrankRuehl" w:hint="cs"/>
          <w:spacing w:val="10"/>
          <w:sz w:val="22"/>
          <w:szCs w:val="28"/>
          <w:rtl/>
        </w:rPr>
        <w:t xml:space="preserve"> (20.1.2022)); כאשר השרים הרלוונטיים לא התקינו תקנות הנוגעות לזכויות עובדים זרים, נקבע כי זהו מחדל שאינו מצוי במתחם הסבירות, וכי יש בכך כדי לפגוע בזכויות יסוד של אותם עובדים (עניין </w:t>
      </w:r>
      <w:r w:rsidRPr="00632224">
        <w:rPr>
          <w:rFonts w:ascii="Century" w:hAnsi="Century" w:cs="Miriam" w:hint="eastAsia"/>
          <w:b/>
          <w:sz w:val="22"/>
          <w:rtl/>
        </w:rPr>
        <w:t>קו</w:t>
      </w:r>
      <w:r w:rsidRPr="00632224">
        <w:rPr>
          <w:rFonts w:ascii="Century" w:hAnsi="Century" w:cs="Miriam"/>
          <w:b/>
          <w:sz w:val="22"/>
          <w:rtl/>
        </w:rPr>
        <w:t xml:space="preserve"> </w:t>
      </w:r>
      <w:r w:rsidRPr="00632224">
        <w:rPr>
          <w:rFonts w:ascii="Century" w:hAnsi="Century" w:cs="Miriam" w:hint="eastAsia"/>
          <w:b/>
          <w:sz w:val="22"/>
          <w:rtl/>
        </w:rPr>
        <w:t>לעובד</w:t>
      </w:r>
      <w:r w:rsidRPr="00632224">
        <w:rPr>
          <w:rFonts w:ascii="Century" w:hAnsi="Century" w:cs="FrankRuehl" w:hint="cs"/>
          <w:spacing w:val="10"/>
          <w:sz w:val="22"/>
          <w:szCs w:val="28"/>
          <w:rtl/>
        </w:rPr>
        <w:t xml:space="preserve">); כאשר שר הדתות החליט על שינוי מבחני התמיכה של המשרד למפרע, וללא תקופת הסתגלות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נקבע כי מדובר בהחלטה בלתי סבירה (בג"ץ 5290/97 </w:t>
      </w:r>
      <w:r w:rsidRPr="00632224">
        <w:rPr>
          <w:rFonts w:ascii="Century" w:hAnsi="Century" w:cs="Miriam" w:hint="eastAsia"/>
          <w:b/>
          <w:sz w:val="22"/>
          <w:rtl/>
        </w:rPr>
        <w:t>עזרא</w:t>
      </w:r>
      <w:r w:rsidRPr="00632224">
        <w:rPr>
          <w:rFonts w:ascii="Century" w:hAnsi="Century" w:cs="Miriam"/>
          <w:b/>
          <w:sz w:val="22"/>
          <w:rtl/>
        </w:rPr>
        <w:t>-</w:t>
      </w:r>
      <w:r w:rsidRPr="00632224">
        <w:rPr>
          <w:rFonts w:ascii="Century" w:hAnsi="Century" w:cs="Miriam" w:hint="eastAsia"/>
          <w:b/>
          <w:sz w:val="22"/>
          <w:rtl/>
        </w:rPr>
        <w:t>תנועת</w:t>
      </w:r>
      <w:r w:rsidRPr="00632224">
        <w:rPr>
          <w:rFonts w:ascii="Century" w:hAnsi="Century" w:cs="Miriam"/>
          <w:b/>
          <w:sz w:val="22"/>
          <w:rtl/>
        </w:rPr>
        <w:t xml:space="preserve"> </w:t>
      </w:r>
      <w:r w:rsidRPr="00632224">
        <w:rPr>
          <w:rFonts w:ascii="Century" w:hAnsi="Century" w:cs="Miriam" w:hint="eastAsia"/>
          <w:b/>
          <w:sz w:val="22"/>
          <w:rtl/>
        </w:rPr>
        <w:t>הנוער</w:t>
      </w:r>
      <w:r w:rsidRPr="00632224">
        <w:rPr>
          <w:rFonts w:ascii="Century" w:hAnsi="Century" w:cs="Miriam"/>
          <w:b/>
          <w:sz w:val="22"/>
          <w:rtl/>
        </w:rPr>
        <w:t xml:space="preserve"> </w:t>
      </w:r>
      <w:r w:rsidRPr="00632224">
        <w:rPr>
          <w:rFonts w:ascii="Century" w:hAnsi="Century" w:cs="Miriam" w:hint="eastAsia"/>
          <w:b/>
          <w:sz w:val="22"/>
          <w:rtl/>
        </w:rPr>
        <w:t>החרדי</w:t>
      </w:r>
      <w:r w:rsidRPr="00632224">
        <w:rPr>
          <w:rFonts w:ascii="Century" w:hAnsi="Century" w:cs="Miriam"/>
          <w:b/>
          <w:sz w:val="22"/>
          <w:rtl/>
        </w:rPr>
        <w:t xml:space="preserve"> </w:t>
      </w:r>
      <w:r w:rsidRPr="00632224">
        <w:rPr>
          <w:rFonts w:ascii="Century" w:hAnsi="Century" w:cs="Miriam" w:hint="eastAsia"/>
          <w:b/>
          <w:sz w:val="22"/>
          <w:rtl/>
        </w:rPr>
        <w:t>לאומי</w:t>
      </w:r>
      <w:r w:rsidRPr="00632224">
        <w:rPr>
          <w:rFonts w:ascii="Century" w:hAnsi="Century" w:cs="Miriam"/>
          <w:b/>
          <w:sz w:val="22"/>
          <w:rtl/>
        </w:rPr>
        <w:t xml:space="preserve"> </w:t>
      </w:r>
      <w:r w:rsidRPr="00632224">
        <w:rPr>
          <w:rFonts w:ascii="Century" w:hAnsi="Century" w:cs="Miriam" w:hint="eastAsia"/>
          <w:b/>
          <w:sz w:val="22"/>
          <w:rtl/>
        </w:rPr>
        <w:t>בא</w:t>
      </w:r>
      <w:r w:rsidRPr="00632224">
        <w:rPr>
          <w:rFonts w:ascii="Century" w:hAnsi="Century" w:cs="Miriam"/>
          <w:b/>
          <w:sz w:val="22"/>
          <w:rtl/>
        </w:rPr>
        <w:t>"</w:t>
      </w:r>
      <w:r w:rsidRPr="00632224">
        <w:rPr>
          <w:rFonts w:ascii="Century" w:hAnsi="Century" w:cs="Miriam" w:hint="eastAsia"/>
          <w:b/>
          <w:sz w:val="22"/>
          <w:rtl/>
        </w:rPr>
        <w:t>י</w:t>
      </w:r>
      <w:r w:rsidRPr="00632224">
        <w:rPr>
          <w:rFonts w:ascii="Century" w:hAnsi="Century" w:cs="Miriam"/>
          <w:b/>
          <w:sz w:val="22"/>
          <w:rtl/>
        </w:rPr>
        <w:t xml:space="preserve"> </w:t>
      </w:r>
      <w:r w:rsidRPr="00632224">
        <w:rPr>
          <w:rFonts w:ascii="Century" w:hAnsi="Century" w:cs="Miriam" w:hint="eastAsia"/>
          <w:b/>
          <w:sz w:val="22"/>
          <w:rtl/>
        </w:rPr>
        <w:t>נ</w:t>
      </w:r>
      <w:r w:rsidRPr="00632224">
        <w:rPr>
          <w:rFonts w:ascii="Century" w:hAnsi="Century" w:cs="Miriam"/>
          <w:b/>
          <w:sz w:val="22"/>
          <w:rtl/>
        </w:rPr>
        <w:t xml:space="preserve">' </w:t>
      </w:r>
      <w:r w:rsidRPr="00632224">
        <w:rPr>
          <w:rFonts w:ascii="Century" w:hAnsi="Century" w:cs="Miriam" w:hint="eastAsia"/>
          <w:b/>
          <w:sz w:val="22"/>
          <w:rtl/>
        </w:rPr>
        <w:t>השר</w:t>
      </w:r>
      <w:r w:rsidRPr="00632224">
        <w:rPr>
          <w:rFonts w:ascii="Century" w:hAnsi="Century" w:cs="Miriam"/>
          <w:b/>
          <w:sz w:val="22"/>
          <w:rtl/>
        </w:rPr>
        <w:t xml:space="preserve"> </w:t>
      </w:r>
      <w:r w:rsidRPr="00632224">
        <w:rPr>
          <w:rFonts w:ascii="Century" w:hAnsi="Century" w:cs="Miriam" w:hint="eastAsia"/>
          <w:b/>
          <w:sz w:val="22"/>
          <w:rtl/>
        </w:rPr>
        <w:t>לענייני</w:t>
      </w:r>
      <w:r w:rsidRPr="00632224">
        <w:rPr>
          <w:rFonts w:ascii="Century" w:hAnsi="Century" w:cs="Miriam"/>
          <w:b/>
          <w:sz w:val="22"/>
          <w:rtl/>
        </w:rPr>
        <w:t xml:space="preserve"> </w:t>
      </w:r>
      <w:r w:rsidRPr="00632224">
        <w:rPr>
          <w:rFonts w:ascii="Century" w:hAnsi="Century" w:cs="Miriam" w:hint="eastAsia"/>
          <w:b/>
          <w:sz w:val="22"/>
          <w:rtl/>
        </w:rPr>
        <w:t>דתות</w:t>
      </w:r>
      <w:r w:rsidRPr="00632224">
        <w:rPr>
          <w:rFonts w:ascii="Century" w:hAnsi="Century" w:cs="FrankRuehl" w:hint="cs"/>
          <w:spacing w:val="10"/>
          <w:sz w:val="22"/>
          <w:szCs w:val="28"/>
          <w:rtl/>
        </w:rPr>
        <w:t xml:space="preserve">, פ"ד נא(5) 410 (1997)); כאשר שר האוצר החליט להפסיק לאלתר את הסבסוד לאברכים שילדיהם נמצאים במעונות יום לפעוטות, נקבע כי החלטה זו אינה נופלת במתחם הסבירות בהעדר תקופת מעבר, וכי הסבסוד יימשך עד סוף השנה (בג"ץ 5782/21 </w:t>
      </w:r>
      <w:r w:rsidRPr="00632224">
        <w:rPr>
          <w:rFonts w:ascii="Century" w:hAnsi="Century" w:cs="Miriam" w:hint="cs"/>
          <w:b/>
          <w:sz w:val="22"/>
          <w:rtl/>
        </w:rPr>
        <w:t>זילבר נ' שר האוצר</w:t>
      </w:r>
      <w:r w:rsidRPr="00632224">
        <w:rPr>
          <w:rFonts w:ascii="Century" w:hAnsi="Century" w:cs="FrankRuehl" w:hint="cs"/>
          <w:spacing w:val="10"/>
          <w:sz w:val="22"/>
          <w:szCs w:val="28"/>
          <w:rtl/>
        </w:rPr>
        <w:t xml:space="preserve"> (12.2.2021)); מדיניות של שר הפנים בכל הנוגע לכניסה לישראל או יציאה ממנה יכולה לפגוע בזכויות חוקתיות של חופש התנועה; החלטה של שר השיכון בקביעת קריטריונים לזכאים לדיור ציבורי או החלטה של שר בקביעת קריטריונים לחלוקת תלושי מזון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אלה החלטות שיכולות לפגוע בשוויון או בזכות לדיור ולמזון, זכויות שהן חלק מהזכות לקיום בכבוד. כאשר הממשלה מקבלת החלטה על הפעלת שב"כ לשם ביצוע מעקבים אחר אזרחיה בתקופת הקורונה, יש בכך כדי להשפיע על הזכות לפרטיות (בג"ץ 6732/20 </w:t>
      </w:r>
      <w:r w:rsidRPr="00632224">
        <w:rPr>
          <w:rFonts w:ascii="Century" w:hAnsi="Century" w:cs="Miriam" w:hint="cs"/>
          <w:b/>
          <w:sz w:val="22"/>
          <w:rtl/>
        </w:rPr>
        <w:t>האגודה לזכויות האזרח בישראל נ' הכנסת</w:t>
      </w:r>
      <w:r w:rsidRPr="00632224">
        <w:rPr>
          <w:rFonts w:ascii="Century" w:hAnsi="Century" w:cs="FrankRuehl" w:hint="cs"/>
          <w:spacing w:val="10"/>
          <w:sz w:val="22"/>
          <w:szCs w:val="28"/>
          <w:rtl/>
        </w:rPr>
        <w:t xml:space="preserve"> (1.3.2021)). ואם הזכרנו את שב"כ, הרי שסעיף 7 לחוק שירות הביטחון הכללי, </w:t>
      </w:r>
      <w:r w:rsidRPr="00632224">
        <w:rPr>
          <w:rFonts w:ascii="Century" w:hAnsi="Century" w:cs="FrankRuehl" w:hint="eastAsia"/>
          <w:spacing w:val="10"/>
          <w:sz w:val="22"/>
          <w:szCs w:val="28"/>
          <w:rtl/>
        </w:rPr>
        <w:lastRenderedPageBreak/>
        <w:t>ה</w:t>
      </w:r>
      <w:r w:rsidRPr="00632224">
        <w:rPr>
          <w:rFonts w:ascii="Century" w:hAnsi="Century" w:cs="FrankRuehl"/>
          <w:spacing w:val="10"/>
          <w:sz w:val="22"/>
          <w:szCs w:val="28"/>
          <w:rtl/>
        </w:rPr>
        <w:t>תשס"ב-2002</w:t>
      </w:r>
      <w:r w:rsidRPr="00632224">
        <w:rPr>
          <w:rFonts w:ascii="Century" w:hAnsi="Century" w:cs="FrankRuehl" w:hint="cs"/>
          <w:spacing w:val="10"/>
          <w:sz w:val="22"/>
          <w:szCs w:val="28"/>
          <w:rtl/>
        </w:rPr>
        <w:t xml:space="preserve"> קובע מה ייעוד השירות ומה הם תפקידיו, וסעיף 7(ב)(6) לחוק קובע כי בנוסף לכל התפקידים המפורטים בסעיף, הממשלה יכולה להפעילו בתחומים נוספים: "</w:t>
      </w:r>
      <w:r w:rsidRPr="00632224">
        <w:rPr>
          <w:rFonts w:ascii="Century" w:hAnsi="Century" w:cs="FrankRuehl"/>
          <w:spacing w:val="10"/>
          <w:sz w:val="22"/>
          <w:szCs w:val="28"/>
          <w:rtl/>
        </w:rPr>
        <w:t>פ</w:t>
      </w:r>
      <w:r w:rsidRPr="00632224">
        <w:rPr>
          <w:rFonts w:ascii="Century" w:hAnsi="Century" w:cs="FrankRuehl" w:hint="cs"/>
          <w:spacing w:val="10"/>
          <w:sz w:val="22"/>
          <w:szCs w:val="28"/>
          <w:rtl/>
        </w:rPr>
        <w:t>עילות בתחום אחר שקבעה הממשלה, באישור ועדת הכנסת לעניני ה</w:t>
      </w:r>
      <w:r w:rsidRPr="00632224">
        <w:rPr>
          <w:rFonts w:ascii="Century" w:hAnsi="Century" w:cs="FrankRuehl"/>
          <w:spacing w:val="10"/>
          <w:sz w:val="22"/>
          <w:szCs w:val="28"/>
          <w:rtl/>
        </w:rPr>
        <w:t>ש</w:t>
      </w:r>
      <w:r w:rsidRPr="00632224">
        <w:rPr>
          <w:rFonts w:ascii="Century" w:hAnsi="Century" w:cs="FrankRuehl" w:hint="cs"/>
          <w:spacing w:val="10"/>
          <w:sz w:val="22"/>
          <w:szCs w:val="28"/>
          <w:rtl/>
        </w:rPr>
        <w:t>ירות, שנועדה</w:t>
      </w:r>
      <w:r w:rsidRPr="00632224">
        <w:rPr>
          <w:rFonts w:ascii="Century" w:hAnsi="Century" w:cs="FrankRuehl"/>
          <w:spacing w:val="10"/>
          <w:sz w:val="22"/>
          <w:szCs w:val="28"/>
          <w:rtl/>
        </w:rPr>
        <w:t xml:space="preserve"> ל</w:t>
      </w:r>
      <w:r w:rsidRPr="00632224">
        <w:rPr>
          <w:rFonts w:ascii="Century" w:hAnsi="Century" w:cs="FrankRuehl" w:hint="cs"/>
          <w:spacing w:val="10"/>
          <w:sz w:val="22"/>
          <w:szCs w:val="28"/>
          <w:rtl/>
        </w:rPr>
        <w:t>שמור ולקדם אינטרסים ממלכתיים חיוניים לביטחון הלאומי של המדינה". נותיר לקורא להעלות בדמיונו סוגי פעילויות שמבצעים שירותי ביטחון במשטרים שאיננו רוצים לחיות בהם. האם אנו מוכנים כי הממשלה תפעיל את שירות הביטחון ללא כל ביקורת אפקטיבית על סבירות פעולתה (וכבר הזכרנו כי הכנסת וועדות הכנסת הן בשליטת הממשלה)?</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פסק הדין בעניין </w:t>
      </w:r>
      <w:r w:rsidRPr="00632224">
        <w:rPr>
          <w:rFonts w:ascii="Century" w:hAnsi="Century" w:cs="Miriam" w:hint="cs"/>
          <w:b/>
          <w:sz w:val="22"/>
          <w:rtl/>
        </w:rPr>
        <w:t>קול העם</w:t>
      </w:r>
      <w:r w:rsidRPr="00632224">
        <w:rPr>
          <w:rFonts w:ascii="Century" w:hAnsi="Century" w:cs="FrankRuehl" w:hint="cs"/>
          <w:spacing w:val="10"/>
          <w:sz w:val="22"/>
          <w:szCs w:val="28"/>
          <w:rtl/>
        </w:rPr>
        <w:t xml:space="preserve"> הוא המגדלור של הפסיקה בעניין חופש הביטוי. הפוך והפוך בפסק הדין ולא תמצא בו את המילה סבירות. אך למעשה, בית המשפט איזן באופן שונה בין האינטרס של בטחון המדינה לבין חופש הביטוי. החלטה של שר יכולה לבטא הכרעה בין אינטרסים וזכויות יסוד המתנגשים ביניהם, והמשקל שניתן לכל אינטרס ולכל זכות הוא ליבתה של עילת הסבירות: "</w:t>
      </w:r>
      <w:r w:rsidRPr="00632224">
        <w:rPr>
          <w:rFonts w:ascii="Century" w:hAnsi="Century" w:cs="FrankRuehl" w:hint="eastAsia"/>
          <w:spacing w:val="10"/>
          <w:sz w:val="22"/>
          <w:szCs w:val="28"/>
          <w:rtl/>
        </w:rPr>
        <w:t>לבה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הבחינה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הוא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באיזון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בין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הזכויות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המתנגשות</w:t>
      </w:r>
      <w:r w:rsidRPr="00632224">
        <w:rPr>
          <w:rFonts w:ascii="Century" w:hAnsi="Century" w:cs="FrankRuehl" w:hint="cs"/>
          <w:spacing w:val="10"/>
          <w:sz w:val="22"/>
          <w:szCs w:val="28"/>
          <w:rtl/>
        </w:rPr>
        <w:t>" (</w:t>
      </w:r>
      <w:r w:rsidRPr="00632224">
        <w:rPr>
          <w:rFonts w:ascii="Century" w:hAnsi="Century" w:cs="FrankRuehl" w:hint="eastAsia"/>
          <w:spacing w:val="10"/>
          <w:sz w:val="22"/>
          <w:szCs w:val="28"/>
          <w:rtl/>
        </w:rPr>
        <w:t>עניין</w:t>
      </w:r>
      <w:r w:rsidRPr="00632224">
        <w:rPr>
          <w:rFonts w:ascii="Century" w:hAnsi="Century" w:cs="FrankRuehl"/>
          <w:spacing w:val="10"/>
          <w:sz w:val="22"/>
          <w:szCs w:val="28"/>
          <w:rtl/>
        </w:rPr>
        <w:t xml:space="preserve"> </w:t>
      </w:r>
      <w:r w:rsidRPr="00632224">
        <w:rPr>
          <w:rFonts w:ascii="Century" w:hAnsi="Century" w:cs="Miriam" w:hint="cs"/>
          <w:b/>
          <w:sz w:val="22"/>
          <w:rtl/>
        </w:rPr>
        <w:t>התאחדות הסוחרים</w:t>
      </w:r>
      <w:r w:rsidRPr="00632224">
        <w:rPr>
          <w:rFonts w:ascii="Century" w:hAnsi="Century" w:cs="FrankRuehl" w:hint="cs"/>
          <w:spacing w:val="10"/>
          <w:sz w:val="22"/>
          <w:szCs w:val="28"/>
          <w:rtl/>
        </w:rPr>
        <w:t xml:space="preserve">, בפסקה 48 לפסק דינה של הנשיאה </w:t>
      </w:r>
      <w:r w:rsidRPr="00632224">
        <w:rPr>
          <w:rFonts w:ascii="Century" w:hAnsi="Century" w:cs="Miriam" w:hint="cs"/>
          <w:b/>
          <w:sz w:val="22"/>
          <w:rtl/>
        </w:rPr>
        <w:t>נאור</w:t>
      </w:r>
      <w:r w:rsidRPr="00632224">
        <w:rPr>
          <w:rFonts w:ascii="Century" w:hAnsi="Century" w:cs="FrankRuehl" w:hint="cs"/>
          <w:spacing w:val="10"/>
          <w:sz w:val="22"/>
          <w:szCs w:val="28"/>
          <w:rtl/>
        </w:rPr>
        <w:t xml:space="preserve">) ועילת הסבירות היא שמאפשרת להתערב בהחלטת השר מקום שבו האיזון בין הזכויות והאינטרסים השונים לא נעשה כהלכה. ואכן, בעניין </w:t>
      </w:r>
      <w:r w:rsidRPr="00632224">
        <w:rPr>
          <w:rFonts w:ascii="Century" w:hAnsi="Century" w:cs="Miriam" w:hint="cs"/>
          <w:b/>
          <w:sz w:val="22"/>
          <w:rtl/>
        </w:rPr>
        <w:t>התאחדות הסוחרים</w:t>
      </w:r>
      <w:r w:rsidRPr="00632224">
        <w:rPr>
          <w:rFonts w:ascii="Century" w:hAnsi="Century" w:cs="FrankRuehl" w:hint="cs"/>
          <w:spacing w:val="10"/>
          <w:sz w:val="22"/>
          <w:szCs w:val="28"/>
          <w:rtl/>
        </w:rPr>
        <w:t xml:space="preserve">, נקבע כי החלטת שר הפנים נגועה בחוסר סבירות קיצוני מאחר שלא ניתן בה משקל הולם לאוטונומיה של הרשות המקומית.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100.</w:t>
      </w:r>
      <w:r w:rsidRPr="00632224">
        <w:rPr>
          <w:rFonts w:ascii="Century" w:hAnsi="Century" w:cs="FrankRuehl" w:hint="cs"/>
          <w:spacing w:val="10"/>
          <w:sz w:val="22"/>
          <w:szCs w:val="28"/>
          <w:rtl/>
        </w:rPr>
        <w:tab/>
        <w:t xml:space="preserve">לאחר שסקרנו את כל אלה ואת חשיבותה של עילת הסבירות, אין לי אלא להסכים עם עמדת היועצת המשפטית לממשלה כי ביטול עילת הסבירות משמעותה יצירת חור שחור נורמטיבי, כזה שכוח הכבידה העוצמתי שלו שואב אליו שורה ארוכה של ערכים ונושאים עד שלא נודע כי באו אל קרבו. </w:t>
      </w: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Cs w:val="28"/>
          <w:rtl/>
        </w:rPr>
        <w:tab/>
      </w:r>
    </w:p>
    <w:p w:rsidR="00244560" w:rsidRDefault="00244560" w:rsidP="00583A9D">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101.</w:t>
      </w:r>
      <w:r w:rsidRPr="00632224">
        <w:rPr>
          <w:rFonts w:ascii="Century" w:hAnsi="Century" w:cs="FrankRuehl" w:hint="cs"/>
          <w:spacing w:val="10"/>
          <w:sz w:val="22"/>
          <w:szCs w:val="28"/>
          <w:rtl/>
        </w:rPr>
        <w:tab/>
      </w:r>
      <w:r w:rsidRPr="00632224">
        <w:rPr>
          <w:rFonts w:ascii="Century" w:hAnsi="Century" w:cs="Miriam" w:hint="cs"/>
          <w:b/>
          <w:sz w:val="22"/>
          <w:rtl/>
        </w:rPr>
        <w:t>סיכום ביניים</w:t>
      </w:r>
      <w:r w:rsidRPr="00632224">
        <w:rPr>
          <w:rFonts w:ascii="Century" w:hAnsi="Century" w:cs="Miriam"/>
          <w:b/>
          <w:sz w:val="22"/>
          <w:rtl/>
        </w:rPr>
        <w:t>:</w:t>
      </w:r>
      <w:r w:rsidRPr="00632224">
        <w:rPr>
          <w:rFonts w:ascii="Century" w:hAnsi="Century" w:cs="FrankRuehl" w:hint="cs"/>
          <w:spacing w:val="10"/>
          <w:sz w:val="22"/>
          <w:szCs w:val="28"/>
          <w:rtl/>
        </w:rPr>
        <w:t xml:space="preserve"> עמדנו על שורה של נימוקים שבגינם יש מקום לביטול התיקון לחוק היסוד כתיקון חוקתי לא חוקתי, בהיותו פוגע בגרעין הקשה של מספר ערכים דמוקרטיים: שלטון החוק על היבטיו השונים; זכות הגישה לערכאות; הפרדת הרשויות; וזכויות יסוד חוקתיות. </w:t>
      </w:r>
    </w:p>
    <w:p w:rsidR="00A52899" w:rsidRPr="00632224" w:rsidRDefault="00A52899" w:rsidP="00583A9D">
      <w:pPr>
        <w:tabs>
          <w:tab w:val="left" w:pos="800"/>
        </w:tabs>
        <w:spacing w:line="360" w:lineRule="auto"/>
        <w:jc w:val="both"/>
        <w:rPr>
          <w:rFonts w:ascii="Century" w:hAnsi="Century"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 xml:space="preserve">פגמים בחקיקת החוק </w:t>
      </w:r>
    </w:p>
    <w:p w:rsidR="00244560" w:rsidRPr="00632224"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keepNext/>
        <w:spacing w:line="360" w:lineRule="auto"/>
        <w:rPr>
          <w:rFonts w:ascii="Century" w:hAnsi="Century" w:cs="FrankRuehl"/>
          <w:spacing w:val="10"/>
          <w:szCs w:val="28"/>
          <w:rtl/>
        </w:rPr>
      </w:pPr>
      <w:r w:rsidRPr="00632224">
        <w:rPr>
          <w:rFonts w:ascii="Century" w:hAnsi="Century" w:cs="FrankRuehl"/>
          <w:spacing w:val="10"/>
          <w:szCs w:val="28"/>
          <w:rtl/>
        </w:rPr>
        <w:lastRenderedPageBreak/>
        <w:tab/>
      </w:r>
      <w:r w:rsidRPr="00632224">
        <w:rPr>
          <w:rFonts w:ascii="Century" w:hAnsi="Century" w:cs="FrankRuehl" w:hint="cs"/>
          <w:spacing w:val="10"/>
          <w:szCs w:val="28"/>
          <w:rtl/>
        </w:rPr>
        <w:t>בנוסף להיות התיקון לחוק היסוד תיקון לא חוקתי, נפלו בהליך חקיקתו פגמים:</w:t>
      </w:r>
    </w:p>
    <w:p w:rsidR="00244560" w:rsidRPr="00632224" w:rsidRDefault="00244560" w:rsidP="00244560">
      <w:pPr>
        <w:keepNext/>
        <w:spacing w:line="360" w:lineRule="auto"/>
        <w:rPr>
          <w:rFonts w:ascii="Century" w:hAnsi="Century" w:cs="FrankRuehl"/>
          <w:spacing w:val="10"/>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102.</w:t>
      </w:r>
      <w:r w:rsidRPr="00632224">
        <w:rPr>
          <w:rFonts w:ascii="Arial TUR" w:hAnsi="Arial TUR" w:cs="FrankRuehl" w:hint="cs"/>
          <w:spacing w:val="10"/>
          <w:sz w:val="22"/>
          <w:szCs w:val="28"/>
          <w:rtl/>
        </w:rPr>
        <w:tab/>
      </w:r>
      <w:r w:rsidRPr="00632224">
        <w:rPr>
          <w:rFonts w:ascii="Century" w:hAnsi="Century" w:cs="Miriam" w:hint="eastAsia"/>
          <w:b/>
          <w:sz w:val="22"/>
          <w:rtl/>
        </w:rPr>
        <w:t>השימוש</w:t>
      </w:r>
      <w:r w:rsidRPr="00632224">
        <w:rPr>
          <w:rFonts w:ascii="Century" w:hAnsi="Century" w:cs="Miriam"/>
          <w:b/>
          <w:sz w:val="22"/>
          <w:rtl/>
        </w:rPr>
        <w:t xml:space="preserve"> </w:t>
      </w:r>
      <w:r w:rsidRPr="00632224">
        <w:rPr>
          <w:rFonts w:ascii="Century" w:hAnsi="Century" w:cs="Miriam" w:hint="eastAsia"/>
          <w:b/>
          <w:sz w:val="22"/>
          <w:rtl/>
        </w:rPr>
        <w:t>במסלול</w:t>
      </w:r>
      <w:r w:rsidRPr="00632224">
        <w:rPr>
          <w:rFonts w:ascii="Century" w:hAnsi="Century" w:cs="Miriam"/>
          <w:b/>
          <w:sz w:val="22"/>
          <w:rtl/>
        </w:rPr>
        <w:t xml:space="preserve"> </w:t>
      </w:r>
      <w:r w:rsidRPr="00632224">
        <w:rPr>
          <w:rFonts w:ascii="Century" w:hAnsi="Century" w:cs="Miriam" w:hint="eastAsia"/>
          <w:b/>
          <w:sz w:val="22"/>
          <w:rtl/>
        </w:rPr>
        <w:t>של</w:t>
      </w:r>
      <w:r w:rsidRPr="00632224">
        <w:rPr>
          <w:rFonts w:ascii="Century" w:hAnsi="Century" w:cs="Miriam"/>
          <w:b/>
          <w:sz w:val="22"/>
          <w:rtl/>
        </w:rPr>
        <w:t xml:space="preserve"> </w:t>
      </w:r>
      <w:r w:rsidRPr="00632224">
        <w:rPr>
          <w:rFonts w:ascii="Century" w:hAnsi="Century" w:cs="Miriam" w:hint="eastAsia"/>
          <w:b/>
          <w:sz w:val="22"/>
          <w:rtl/>
        </w:rPr>
        <w:t>הצעת</w:t>
      </w:r>
      <w:r w:rsidRPr="00632224">
        <w:rPr>
          <w:rFonts w:ascii="Century" w:hAnsi="Century" w:cs="Miriam"/>
          <w:b/>
          <w:sz w:val="22"/>
          <w:rtl/>
        </w:rPr>
        <w:t xml:space="preserve"> </w:t>
      </w:r>
      <w:r w:rsidRPr="00632224">
        <w:rPr>
          <w:rFonts w:ascii="Century" w:hAnsi="Century" w:cs="Miriam" w:hint="eastAsia"/>
          <w:b/>
          <w:sz w:val="22"/>
          <w:rtl/>
        </w:rPr>
        <w:t>חוק</w:t>
      </w:r>
      <w:r w:rsidRPr="00632224">
        <w:rPr>
          <w:rFonts w:ascii="Century" w:hAnsi="Century" w:cs="Miriam"/>
          <w:b/>
          <w:sz w:val="22"/>
          <w:rtl/>
        </w:rPr>
        <w:t xml:space="preserve"> </w:t>
      </w:r>
      <w:r w:rsidRPr="00632224">
        <w:rPr>
          <w:rFonts w:ascii="Century" w:hAnsi="Century" w:cs="Miriam" w:hint="eastAsia"/>
          <w:b/>
          <w:sz w:val="22"/>
          <w:rtl/>
        </w:rPr>
        <w:t>מטעם</w:t>
      </w:r>
      <w:r w:rsidRPr="00632224">
        <w:rPr>
          <w:rFonts w:ascii="Century" w:hAnsi="Century" w:cs="Miriam"/>
          <w:b/>
          <w:sz w:val="22"/>
          <w:rtl/>
        </w:rPr>
        <w:t xml:space="preserve"> </w:t>
      </w:r>
      <w:r w:rsidRPr="00632224">
        <w:rPr>
          <w:rFonts w:ascii="Century" w:hAnsi="Century" w:cs="Miriam" w:hint="eastAsia"/>
          <w:b/>
          <w:sz w:val="22"/>
          <w:rtl/>
        </w:rPr>
        <w:t>ועדת</w:t>
      </w:r>
      <w:r w:rsidRPr="00632224">
        <w:rPr>
          <w:rFonts w:ascii="Century" w:hAnsi="Century" w:cs="Miriam"/>
          <w:b/>
          <w:sz w:val="22"/>
          <w:rtl/>
        </w:rPr>
        <w:t xml:space="preserve"> </w:t>
      </w:r>
      <w:r w:rsidRPr="00632224">
        <w:rPr>
          <w:rFonts w:ascii="Century" w:hAnsi="Century" w:cs="Miriam" w:hint="eastAsia"/>
          <w:b/>
          <w:sz w:val="22"/>
          <w:rtl/>
        </w:rPr>
        <w:t>החוקה</w:t>
      </w:r>
      <w:r w:rsidRPr="00632224">
        <w:rPr>
          <w:rFonts w:ascii="Century" w:hAnsi="Century" w:cs="Miriam"/>
          <w:b/>
          <w:sz w:val="22"/>
          <w:rtl/>
        </w:rPr>
        <w:t>:</w:t>
      </w:r>
      <w:r w:rsidRPr="00632224">
        <w:rPr>
          <w:rFonts w:ascii="Arial TUR" w:hAnsi="Arial TUR" w:cs="FrankRuehl" w:hint="cs"/>
          <w:spacing w:val="10"/>
          <w:sz w:val="22"/>
          <w:szCs w:val="28"/>
          <w:rtl/>
        </w:rPr>
        <w:t xml:space="preserve"> הנשיאה עמדה בפסק דינה על השימוש שנעשה בסעיף 80 לתקנון הכנסת (פסקאות 203-193) ועל כן אקצר בדברים.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Default="00244560" w:rsidP="00244560">
      <w:pPr>
        <w:pStyle w:val="Ruller41"/>
        <w:rPr>
          <w:rtl/>
        </w:rPr>
      </w:pPr>
      <w:r w:rsidRPr="00632224">
        <w:rPr>
          <w:rtl/>
        </w:rPr>
        <w:tab/>
      </w:r>
      <w:r w:rsidRPr="00632224">
        <w:rPr>
          <w:rFonts w:hint="cs"/>
          <w:rtl/>
        </w:rPr>
        <w:t xml:space="preserve">גם הייעוץ המשפטי של הכנסת סבר מלכתחילה כי ההליך לא היה מיטבי. </w:t>
      </w:r>
      <w:r w:rsidRPr="00632224">
        <w:rPr>
          <w:rFonts w:hint="eastAsia"/>
          <w:rtl/>
        </w:rPr>
        <w:t>לא</w:t>
      </w:r>
      <w:r w:rsidRPr="00632224">
        <w:rPr>
          <w:rtl/>
        </w:rPr>
        <w:t xml:space="preserve"> </w:t>
      </w:r>
      <w:r w:rsidRPr="00632224">
        <w:rPr>
          <w:rFonts w:hint="eastAsia"/>
          <w:rtl/>
        </w:rPr>
        <w:t>רק</w:t>
      </w:r>
      <w:r w:rsidRPr="00632224">
        <w:rPr>
          <w:rtl/>
        </w:rPr>
        <w:t xml:space="preserve"> </w:t>
      </w:r>
      <w:r w:rsidRPr="00632224">
        <w:rPr>
          <w:rFonts w:hint="eastAsia"/>
          <w:rtl/>
        </w:rPr>
        <w:t>שהתיקון</w:t>
      </w:r>
      <w:r w:rsidRPr="00632224">
        <w:rPr>
          <w:rtl/>
        </w:rPr>
        <w:t xml:space="preserve"> </w:t>
      </w:r>
      <w:r w:rsidRPr="00632224">
        <w:rPr>
          <w:rFonts w:hint="eastAsia"/>
          <w:rtl/>
        </w:rPr>
        <w:t>לחוק</w:t>
      </w:r>
      <w:r w:rsidRPr="00632224">
        <w:rPr>
          <w:rtl/>
        </w:rPr>
        <w:t xml:space="preserve"> </w:t>
      </w:r>
      <w:r w:rsidRPr="00632224">
        <w:rPr>
          <w:rFonts w:hint="eastAsia"/>
          <w:rtl/>
        </w:rPr>
        <w:t>היסוד</w:t>
      </w:r>
      <w:r w:rsidRPr="00632224">
        <w:rPr>
          <w:rtl/>
        </w:rPr>
        <w:t xml:space="preserve"> </w:t>
      </w:r>
      <w:r w:rsidRPr="00632224">
        <w:rPr>
          <w:rFonts w:hint="eastAsia"/>
          <w:rtl/>
        </w:rPr>
        <w:t>התקבל</w:t>
      </w:r>
      <w:r w:rsidRPr="00632224">
        <w:rPr>
          <w:rtl/>
        </w:rPr>
        <w:t xml:space="preserve"> </w:t>
      </w:r>
      <w:r w:rsidRPr="00632224">
        <w:rPr>
          <w:rFonts w:hint="eastAsia"/>
          <w:rtl/>
        </w:rPr>
        <w:t>בתוך</w:t>
      </w:r>
      <w:r w:rsidRPr="00632224">
        <w:rPr>
          <w:rtl/>
        </w:rPr>
        <w:t xml:space="preserve"> '</w:t>
      </w:r>
      <w:r w:rsidRPr="00632224">
        <w:rPr>
          <w:rFonts w:hint="eastAsia"/>
          <w:rtl/>
        </w:rPr>
        <w:t>ואקום</w:t>
      </w:r>
      <w:r w:rsidRPr="00632224">
        <w:rPr>
          <w:rtl/>
        </w:rPr>
        <w:t xml:space="preserve">' </w:t>
      </w:r>
      <w:r w:rsidRPr="00632224">
        <w:rPr>
          <w:rFonts w:hint="eastAsia"/>
          <w:rtl/>
        </w:rPr>
        <w:t>של</w:t>
      </w:r>
      <w:r w:rsidRPr="00632224">
        <w:rPr>
          <w:rtl/>
        </w:rPr>
        <w:t xml:space="preserve"> </w:t>
      </w:r>
      <w:r w:rsidRPr="00632224">
        <w:rPr>
          <w:rFonts w:hint="eastAsia"/>
          <w:rtl/>
        </w:rPr>
        <w:t>כללי</w:t>
      </w:r>
      <w:r w:rsidRPr="00632224">
        <w:rPr>
          <w:rtl/>
        </w:rPr>
        <w:t xml:space="preserve"> </w:t>
      </w:r>
      <w:r w:rsidRPr="00632224">
        <w:rPr>
          <w:rFonts w:hint="eastAsia"/>
          <w:rtl/>
        </w:rPr>
        <w:t>משחק</w:t>
      </w:r>
      <w:r w:rsidRPr="00632224">
        <w:rPr>
          <w:rtl/>
        </w:rPr>
        <w:t xml:space="preserve"> </w:t>
      </w:r>
      <w:r w:rsidRPr="00632224">
        <w:rPr>
          <w:rFonts w:hint="eastAsia"/>
          <w:rtl/>
        </w:rPr>
        <w:t>חוקתיים</w:t>
      </w:r>
      <w:r w:rsidRPr="00632224">
        <w:rPr>
          <w:rtl/>
        </w:rPr>
        <w:t xml:space="preserve">, </w:t>
      </w:r>
      <w:r w:rsidRPr="00632224">
        <w:rPr>
          <w:rFonts w:hint="eastAsia"/>
          <w:rtl/>
        </w:rPr>
        <w:t>אלא</w:t>
      </w:r>
      <w:r w:rsidRPr="00632224">
        <w:rPr>
          <w:rtl/>
        </w:rPr>
        <w:t xml:space="preserve"> </w:t>
      </w:r>
      <w:r w:rsidRPr="00632224">
        <w:rPr>
          <w:rFonts w:hint="eastAsia"/>
          <w:rtl/>
        </w:rPr>
        <w:t>שאפילו</w:t>
      </w:r>
      <w:r w:rsidRPr="00632224">
        <w:rPr>
          <w:rtl/>
        </w:rPr>
        <w:t xml:space="preserve"> </w:t>
      </w:r>
      <w:r w:rsidRPr="00632224">
        <w:rPr>
          <w:rFonts w:hint="eastAsia"/>
          <w:rtl/>
        </w:rPr>
        <w:t>הנוהג</w:t>
      </w:r>
      <w:r w:rsidRPr="00632224">
        <w:rPr>
          <w:rtl/>
        </w:rPr>
        <w:t xml:space="preserve"> </w:t>
      </w:r>
      <w:r w:rsidRPr="00632224">
        <w:rPr>
          <w:rFonts w:hint="eastAsia"/>
          <w:rtl/>
        </w:rPr>
        <w:t>הרגיל</w:t>
      </w:r>
      <w:r w:rsidRPr="00632224">
        <w:rPr>
          <w:rtl/>
        </w:rPr>
        <w:t xml:space="preserve"> </w:t>
      </w:r>
      <w:r w:rsidRPr="00632224">
        <w:rPr>
          <w:rFonts w:hint="eastAsia"/>
          <w:rtl/>
        </w:rPr>
        <w:t>נעקף</w:t>
      </w:r>
      <w:r w:rsidRPr="00632224">
        <w:rPr>
          <w:rtl/>
        </w:rPr>
        <w:t xml:space="preserve"> </w:t>
      </w:r>
      <w:r w:rsidRPr="00632224">
        <w:rPr>
          <w:rFonts w:hint="eastAsia"/>
          <w:rtl/>
        </w:rPr>
        <w:t>והתיקון</w:t>
      </w:r>
      <w:r w:rsidRPr="00632224">
        <w:rPr>
          <w:rtl/>
        </w:rPr>
        <w:t xml:space="preserve"> </w:t>
      </w:r>
      <w:r w:rsidRPr="00632224">
        <w:rPr>
          <w:rFonts w:hint="eastAsia"/>
          <w:rtl/>
        </w:rPr>
        <w:t>הוגש</w:t>
      </w:r>
      <w:r w:rsidRPr="00632224">
        <w:rPr>
          <w:rtl/>
        </w:rPr>
        <w:t xml:space="preserve"> </w:t>
      </w:r>
      <w:r w:rsidRPr="00632224">
        <w:rPr>
          <w:rFonts w:hint="eastAsia"/>
          <w:rtl/>
        </w:rPr>
        <w:t>מטעם</w:t>
      </w:r>
      <w:r w:rsidRPr="00632224">
        <w:rPr>
          <w:rtl/>
        </w:rPr>
        <w:t xml:space="preserve"> </w:t>
      </w:r>
      <w:r w:rsidRPr="00632224">
        <w:rPr>
          <w:rFonts w:hint="eastAsia"/>
          <w:rtl/>
        </w:rPr>
        <w:t>ועדת</w:t>
      </w:r>
      <w:r w:rsidRPr="00632224">
        <w:rPr>
          <w:rtl/>
        </w:rPr>
        <w:t xml:space="preserve"> </w:t>
      </w:r>
      <w:r w:rsidRPr="00632224">
        <w:rPr>
          <w:rFonts w:hint="eastAsia"/>
          <w:rtl/>
        </w:rPr>
        <w:t>החוק</w:t>
      </w:r>
      <w:r w:rsidRPr="00632224">
        <w:rPr>
          <w:rFonts w:hint="cs"/>
          <w:rtl/>
        </w:rPr>
        <w:t xml:space="preserve">ה. למעשה, זו הפעם </w:t>
      </w:r>
      <w:r w:rsidRPr="00794C22">
        <w:rPr>
          <w:rFonts w:ascii="Century" w:hAnsi="Century" w:cs="Miriam" w:hint="eastAsia"/>
          <w:b/>
          <w:spacing w:val="0"/>
          <w:szCs w:val="24"/>
          <w:rtl/>
        </w:rPr>
        <w:t>היחידה</w:t>
      </w:r>
      <w:r w:rsidRPr="00632224">
        <w:rPr>
          <w:rFonts w:hint="cs"/>
          <w:rtl/>
        </w:rPr>
        <w:t xml:space="preserve"> שבה קודמה הצעת חוק מטעם הוועדה, שלא בהסכמה רחבה או שלא בעניין הקשור בענייניה של הכנסת. </w:t>
      </w:r>
      <w:r>
        <w:rPr>
          <w:rFonts w:hint="cs"/>
          <w:rtl/>
        </w:rPr>
        <w:t xml:space="preserve">ובקיצור, עד היום הליך חקיקה מטעם ועדת חוקה היה מהלך ייחודי שנועד לחיזוק הכנסת </w:t>
      </w:r>
      <w:r w:rsidRPr="00F47BC9">
        <w:rPr>
          <w:rFonts w:ascii="Century" w:hAnsi="Century" w:cs="Miriam" w:hint="eastAsia"/>
          <w:b/>
          <w:spacing w:val="0"/>
          <w:szCs w:val="24"/>
          <w:rtl/>
        </w:rPr>
        <w:t>כגוף</w:t>
      </w:r>
      <w:r>
        <w:rPr>
          <w:rFonts w:hint="cs"/>
          <w:rtl/>
        </w:rPr>
        <w:t xml:space="preserve">, והנוהג היה ליזום חוקי יסוד במסגרת הוועדה בהסכמה בין-גושית של קואליציה ואופוזיציה (ראו בהרחבה </w:t>
      </w:r>
      <w:r w:rsidRPr="00F1538B">
        <w:rPr>
          <w:rFonts w:ascii="Century" w:hAnsi="Century" w:cs="Miriam" w:hint="cs"/>
          <w:b/>
          <w:spacing w:val="0"/>
          <w:szCs w:val="24"/>
          <w:rtl/>
        </w:rPr>
        <w:t xml:space="preserve">אהרונסון </w:t>
      </w:r>
      <w:r>
        <w:rPr>
          <w:rFonts w:ascii="Century" w:hAnsi="Century" w:cs="Miriam" w:hint="cs"/>
          <w:b/>
          <w:spacing w:val="0"/>
          <w:szCs w:val="24"/>
          <w:rtl/>
        </w:rPr>
        <w:t xml:space="preserve">ואח' </w:t>
      </w:r>
      <w:r w:rsidRPr="00F1538B">
        <w:rPr>
          <w:rFonts w:ascii="Century" w:hAnsi="Century" w:cs="Miriam" w:hint="cs"/>
          <w:b/>
          <w:spacing w:val="0"/>
          <w:szCs w:val="24"/>
          <w:rtl/>
        </w:rPr>
        <w:t>נורמות הליכיות</w:t>
      </w:r>
      <w:r>
        <w:rPr>
          <w:rFonts w:hint="cs"/>
          <w:rtl/>
        </w:rPr>
        <w:t xml:space="preserve">). </w:t>
      </w:r>
    </w:p>
    <w:p w:rsidR="00244560"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Pr>
          <w:rFonts w:ascii="Arial TUR" w:hAnsi="Arial TUR" w:cs="FrankRuehl"/>
          <w:spacing w:val="10"/>
          <w:sz w:val="22"/>
          <w:szCs w:val="28"/>
          <w:rtl/>
        </w:rPr>
        <w:tab/>
      </w:r>
      <w:r w:rsidRPr="00632224">
        <w:rPr>
          <w:rFonts w:ascii="Arial TUR" w:hAnsi="Arial TUR" w:cs="FrankRuehl" w:hint="cs"/>
          <w:spacing w:val="10"/>
          <w:sz w:val="22"/>
          <w:szCs w:val="28"/>
          <w:rtl/>
        </w:rPr>
        <w:t xml:space="preserve">גם אם אין בפגם </w:t>
      </w:r>
      <w:r>
        <w:rPr>
          <w:rFonts w:ascii="Arial TUR" w:hAnsi="Arial TUR" w:cs="FrankRuehl" w:hint="cs"/>
          <w:spacing w:val="10"/>
          <w:sz w:val="22"/>
          <w:szCs w:val="28"/>
          <w:rtl/>
        </w:rPr>
        <w:t xml:space="preserve">הליכי </w:t>
      </w:r>
      <w:r w:rsidRPr="00632224">
        <w:rPr>
          <w:rFonts w:ascii="Arial TUR" w:hAnsi="Arial TUR" w:cs="FrankRuehl" w:hint="cs"/>
          <w:spacing w:val="10"/>
          <w:sz w:val="22"/>
          <w:szCs w:val="28"/>
          <w:rtl/>
        </w:rPr>
        <w:t xml:space="preserve">זה, כשלעצמו, כדי לפגוע בתוקפו של התיקון, הוא מצטבר לכשלים המהותיים שבבסיס התיקון לחוק היסוד. לא בכדי ננקטה דרך עקלקלה זו. הדבר נעשה כדי לחמוק מבחינה סדורה ומעמיקה של השלכות התיקון כפי שנעשה ברגיל בהצעת חוק ממשלתית, ועל מנת לחמוק מהצורך לגבש עמדה ממשלתית כפי שנעשה ביחס להצעת חוק פרטית. בהקשר זה אזכיר כי כאשר הנושא הועלה על ידי שר המשפטים במסגרת "הרפורמה המשפטית" כטיוטת תזכיר חוק-יסוד: השפיטה (תיקון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רפורמה במשפט), היועצת המשפטית לממשלה שללה את התיקון בחוות דעתה מיום 2.2.2023. למעשה, התיקון לחוק היסוד נעשה מבלי שהוצגה עמדת הממשלה, מאחר שהצעת החוק לא עברה בדרך המלך של הצעות חוק ממשלתיות. יש בכך מן האבסורד, בהינתן שכל התיקון לחוק היסוד נועד עבור הממשלה ויש בו כדי להשפיע על עבודת הממשלה.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shd w:val="clear" w:color="auto" w:fill="FFFFFF"/>
          <w:rtl/>
        </w:rPr>
      </w:pPr>
      <w:r w:rsidRPr="00632224">
        <w:rPr>
          <w:rFonts w:ascii="Arial TUR" w:hAnsi="Arial TUR" w:cs="FrankRuehl" w:hint="cs"/>
          <w:spacing w:val="10"/>
          <w:sz w:val="22"/>
          <w:szCs w:val="28"/>
          <w:rtl/>
        </w:rPr>
        <w:t>103.</w:t>
      </w:r>
      <w:r w:rsidRPr="00632224">
        <w:rPr>
          <w:rFonts w:ascii="Arial TUR" w:hAnsi="Arial TUR" w:cs="FrankRuehl" w:hint="cs"/>
          <w:spacing w:val="10"/>
          <w:sz w:val="22"/>
          <w:szCs w:val="28"/>
          <w:rtl/>
        </w:rPr>
        <w:tab/>
      </w:r>
      <w:r w:rsidRPr="00632224">
        <w:rPr>
          <w:rFonts w:ascii="Century" w:hAnsi="Century" w:cs="Miriam" w:hint="eastAsia"/>
          <w:b/>
          <w:sz w:val="22"/>
          <w:rtl/>
        </w:rPr>
        <w:t>הבהילות</w:t>
      </w:r>
      <w:r w:rsidRPr="00632224">
        <w:rPr>
          <w:rFonts w:ascii="Century" w:hAnsi="Century" w:cs="Miriam"/>
          <w:b/>
          <w:sz w:val="22"/>
          <w:rtl/>
        </w:rPr>
        <w:t xml:space="preserve"> </w:t>
      </w:r>
      <w:r w:rsidRPr="00632224">
        <w:rPr>
          <w:rFonts w:ascii="Century" w:hAnsi="Century" w:cs="Miriam" w:hint="eastAsia"/>
          <w:b/>
          <w:sz w:val="22"/>
          <w:rtl/>
        </w:rPr>
        <w:t>בהליכי</w:t>
      </w:r>
      <w:r w:rsidRPr="00632224">
        <w:rPr>
          <w:rFonts w:ascii="Century" w:hAnsi="Century" w:cs="Miriam"/>
          <w:b/>
          <w:sz w:val="22"/>
          <w:rtl/>
        </w:rPr>
        <w:t xml:space="preserve"> </w:t>
      </w:r>
      <w:r w:rsidRPr="00632224">
        <w:rPr>
          <w:rFonts w:ascii="Century" w:hAnsi="Century" w:cs="Miriam" w:hint="eastAsia"/>
          <w:b/>
          <w:sz w:val="22"/>
          <w:rtl/>
        </w:rPr>
        <w:t>החקיקה</w:t>
      </w:r>
      <w:r w:rsidRPr="00632224">
        <w:rPr>
          <w:rFonts w:ascii="Century" w:hAnsi="Century" w:cs="Miriam"/>
          <w:b/>
          <w:sz w:val="22"/>
          <w:rtl/>
        </w:rPr>
        <w:t xml:space="preserve"> </w:t>
      </w:r>
      <w:r w:rsidRPr="00632224">
        <w:rPr>
          <w:rFonts w:ascii="Century" w:hAnsi="Century" w:cs="Miriam" w:hint="eastAsia"/>
          <w:b/>
          <w:sz w:val="22"/>
          <w:rtl/>
        </w:rPr>
        <w:t>של</w:t>
      </w:r>
      <w:r w:rsidRPr="00632224">
        <w:rPr>
          <w:rFonts w:ascii="Century" w:hAnsi="Century" w:cs="Miriam"/>
          <w:b/>
          <w:sz w:val="22"/>
          <w:rtl/>
        </w:rPr>
        <w:t xml:space="preserve"> </w:t>
      </w:r>
      <w:r w:rsidRPr="00632224">
        <w:rPr>
          <w:rFonts w:ascii="Century" w:hAnsi="Century" w:cs="Miriam" w:hint="eastAsia"/>
          <w:b/>
          <w:sz w:val="22"/>
          <w:rtl/>
        </w:rPr>
        <w:t>התיקון</w:t>
      </w:r>
      <w:r w:rsidRPr="00632224">
        <w:rPr>
          <w:rFonts w:ascii="Century" w:hAnsi="Century" w:cs="Miriam"/>
          <w:b/>
          <w:sz w:val="22"/>
          <w:rtl/>
        </w:rPr>
        <w:t>:</w:t>
      </w:r>
      <w:r w:rsidRPr="00632224">
        <w:rPr>
          <w:rFonts w:ascii="Arial TUR" w:hAnsi="Arial TUR" w:cs="FrankRuehl" w:hint="cs"/>
          <w:spacing w:val="10"/>
          <w:sz w:val="22"/>
          <w:szCs w:val="28"/>
          <w:rtl/>
        </w:rPr>
        <w:t xml:space="preserve"> חוק יסוד: השפיטה התגבש במשך שש שנים והתקבל ללא כל מתנגדים מקרב חברי הכנסת. התיקון לחוק היסוד נושא דיוננו התקבל תוך כחודש, אך ורק בקולות חברי הקואליציה. ודוק: איני סבור כי ההליך המזורז בענייננו מביא כשלעצמו לתוצאה של בטלות התיקון לחוק היסוד מכוח ההלכה שנקבעה בעניין </w:t>
      </w:r>
      <w:r w:rsidRPr="00632224">
        <w:rPr>
          <w:rFonts w:ascii="Century" w:hAnsi="Century" w:cs="Miriam" w:hint="cs"/>
          <w:b/>
          <w:sz w:val="22"/>
          <w:rtl/>
        </w:rPr>
        <w:t>קוונטינסקי</w:t>
      </w:r>
      <w:r>
        <w:rPr>
          <w:rFonts w:ascii="Century" w:hAnsi="Century" w:cs="Miriam" w:hint="cs"/>
          <w:b/>
          <w:sz w:val="22"/>
          <w:rtl/>
        </w:rPr>
        <w:t xml:space="preserve"> </w:t>
      </w:r>
      <w:r w:rsidRPr="00794C22">
        <w:rPr>
          <w:rFonts w:ascii="Century" w:hAnsi="Century" w:cs="FrankRuehl"/>
          <w:spacing w:val="10"/>
          <w:sz w:val="22"/>
          <w:szCs w:val="28"/>
          <w:rtl/>
        </w:rPr>
        <w:t>(</w:t>
      </w:r>
      <w:r w:rsidRPr="00F47BC9">
        <w:rPr>
          <w:rFonts w:cs="FrankRuehl" w:hint="eastAsia"/>
          <w:spacing w:val="10"/>
          <w:sz w:val="22"/>
          <w:szCs w:val="28"/>
          <w:rtl/>
        </w:rPr>
        <w:t>לדעה</w:t>
      </w:r>
      <w:r w:rsidRPr="00F47BC9">
        <w:rPr>
          <w:rFonts w:cs="FrankRuehl"/>
          <w:spacing w:val="10"/>
          <w:sz w:val="22"/>
          <w:szCs w:val="28"/>
          <w:rtl/>
        </w:rPr>
        <w:t xml:space="preserve"> </w:t>
      </w:r>
      <w:r w:rsidRPr="00F47BC9">
        <w:rPr>
          <w:rFonts w:cs="FrankRuehl" w:hint="eastAsia"/>
          <w:spacing w:val="10"/>
          <w:sz w:val="22"/>
          <w:szCs w:val="28"/>
          <w:rtl/>
        </w:rPr>
        <w:t>לפיה</w:t>
      </w:r>
      <w:r w:rsidRPr="00F47BC9">
        <w:rPr>
          <w:rFonts w:cs="FrankRuehl"/>
          <w:spacing w:val="10"/>
          <w:sz w:val="22"/>
          <w:szCs w:val="28"/>
          <w:rtl/>
        </w:rPr>
        <w:t xml:space="preserve"> </w:t>
      </w:r>
      <w:r w:rsidRPr="00F47BC9">
        <w:rPr>
          <w:rFonts w:cs="FrankRuehl" w:hint="eastAsia"/>
          <w:spacing w:val="10"/>
          <w:sz w:val="22"/>
          <w:szCs w:val="28"/>
          <w:rtl/>
        </w:rPr>
        <w:t>יש</w:t>
      </w:r>
      <w:r w:rsidRPr="00F47BC9">
        <w:rPr>
          <w:rFonts w:cs="FrankRuehl"/>
          <w:spacing w:val="10"/>
          <w:sz w:val="22"/>
          <w:szCs w:val="28"/>
          <w:rtl/>
        </w:rPr>
        <w:t xml:space="preserve"> </w:t>
      </w:r>
      <w:r w:rsidRPr="00F47BC9">
        <w:rPr>
          <w:rFonts w:cs="FrankRuehl" w:hint="eastAsia"/>
          <w:spacing w:val="10"/>
          <w:sz w:val="22"/>
          <w:szCs w:val="28"/>
          <w:rtl/>
        </w:rPr>
        <w:t>לבחון</w:t>
      </w:r>
      <w:r w:rsidRPr="00F47BC9">
        <w:rPr>
          <w:rFonts w:cs="FrankRuehl"/>
          <w:spacing w:val="10"/>
          <w:sz w:val="22"/>
          <w:szCs w:val="28"/>
          <w:rtl/>
        </w:rPr>
        <w:t xml:space="preserve"> </w:t>
      </w:r>
      <w:r w:rsidRPr="00F47BC9">
        <w:rPr>
          <w:rFonts w:cs="FrankRuehl" w:hint="eastAsia"/>
          <w:spacing w:val="10"/>
          <w:sz w:val="22"/>
          <w:szCs w:val="28"/>
          <w:rtl/>
        </w:rPr>
        <w:t>את</w:t>
      </w:r>
      <w:r w:rsidRPr="00F47BC9">
        <w:rPr>
          <w:rFonts w:cs="FrankRuehl"/>
          <w:spacing w:val="10"/>
          <w:sz w:val="22"/>
          <w:szCs w:val="28"/>
          <w:rtl/>
        </w:rPr>
        <w:t xml:space="preserve"> </w:t>
      </w:r>
      <w:r w:rsidRPr="00F47BC9">
        <w:rPr>
          <w:rFonts w:cs="FrankRuehl" w:hint="eastAsia"/>
          <w:spacing w:val="10"/>
          <w:sz w:val="22"/>
          <w:szCs w:val="28"/>
          <w:rtl/>
        </w:rPr>
        <w:t>איכות</w:t>
      </w:r>
      <w:r w:rsidRPr="00F47BC9">
        <w:rPr>
          <w:rFonts w:cs="FrankRuehl"/>
          <w:spacing w:val="10"/>
          <w:sz w:val="22"/>
          <w:szCs w:val="28"/>
          <w:rtl/>
        </w:rPr>
        <w:t xml:space="preserve"> </w:t>
      </w:r>
      <w:r w:rsidRPr="00F47BC9">
        <w:rPr>
          <w:rFonts w:cs="FrankRuehl" w:hint="eastAsia"/>
          <w:spacing w:val="10"/>
          <w:sz w:val="22"/>
          <w:szCs w:val="28"/>
          <w:rtl/>
        </w:rPr>
        <w:t>ההליך</w:t>
      </w:r>
      <w:r w:rsidRPr="00F47BC9">
        <w:rPr>
          <w:rFonts w:cs="FrankRuehl"/>
          <w:spacing w:val="10"/>
          <w:sz w:val="22"/>
          <w:szCs w:val="28"/>
          <w:rtl/>
        </w:rPr>
        <w:t xml:space="preserve"> </w:t>
      </w:r>
      <w:r w:rsidRPr="00F47BC9">
        <w:rPr>
          <w:rFonts w:cs="FrankRuehl" w:hint="eastAsia"/>
          <w:spacing w:val="10"/>
          <w:sz w:val="22"/>
          <w:szCs w:val="28"/>
          <w:rtl/>
        </w:rPr>
        <w:t>החקיקתי</w:t>
      </w:r>
      <w:r w:rsidRPr="00F47BC9">
        <w:rPr>
          <w:rFonts w:cs="FrankRuehl"/>
          <w:spacing w:val="10"/>
          <w:sz w:val="22"/>
          <w:szCs w:val="28"/>
          <w:rtl/>
        </w:rPr>
        <w:t xml:space="preserve"> </w:t>
      </w:r>
      <w:r w:rsidRPr="00F47BC9">
        <w:rPr>
          <w:rFonts w:cs="FrankRuehl" w:hint="eastAsia"/>
          <w:spacing w:val="10"/>
          <w:sz w:val="22"/>
          <w:szCs w:val="28"/>
          <w:rtl/>
        </w:rPr>
        <w:t>של</w:t>
      </w:r>
      <w:r w:rsidRPr="00F47BC9">
        <w:rPr>
          <w:rFonts w:cs="FrankRuehl"/>
          <w:spacing w:val="10"/>
          <w:sz w:val="22"/>
          <w:szCs w:val="28"/>
          <w:rtl/>
        </w:rPr>
        <w:t xml:space="preserve"> </w:t>
      </w:r>
      <w:r w:rsidRPr="00F47BC9">
        <w:rPr>
          <w:rFonts w:cs="FrankRuehl" w:hint="eastAsia"/>
          <w:spacing w:val="10"/>
          <w:sz w:val="22"/>
          <w:szCs w:val="28"/>
          <w:rtl/>
        </w:rPr>
        <w:t>חוקי</w:t>
      </w:r>
      <w:r w:rsidRPr="00F47BC9">
        <w:rPr>
          <w:rFonts w:cs="FrankRuehl"/>
          <w:spacing w:val="10"/>
          <w:sz w:val="22"/>
          <w:szCs w:val="28"/>
          <w:rtl/>
        </w:rPr>
        <w:t xml:space="preserve"> </w:t>
      </w:r>
      <w:r w:rsidRPr="00F47BC9">
        <w:rPr>
          <w:rFonts w:cs="FrankRuehl" w:hint="eastAsia"/>
          <w:spacing w:val="10"/>
          <w:sz w:val="22"/>
          <w:szCs w:val="28"/>
          <w:rtl/>
        </w:rPr>
        <w:t>יסוד</w:t>
      </w:r>
      <w:r w:rsidRPr="00F47BC9">
        <w:rPr>
          <w:rFonts w:cs="FrankRuehl"/>
          <w:spacing w:val="10"/>
          <w:sz w:val="22"/>
          <w:szCs w:val="28"/>
          <w:rtl/>
        </w:rPr>
        <w:t xml:space="preserve"> </w:t>
      </w:r>
      <w:r w:rsidRPr="00F47BC9">
        <w:rPr>
          <w:rFonts w:cs="FrankRuehl" w:hint="eastAsia"/>
          <w:spacing w:val="10"/>
          <w:sz w:val="22"/>
          <w:szCs w:val="28"/>
          <w:rtl/>
        </w:rPr>
        <w:t>במבחן</w:t>
      </w:r>
      <w:r w:rsidRPr="00F47BC9">
        <w:rPr>
          <w:rFonts w:cs="FrankRuehl"/>
          <w:spacing w:val="10"/>
          <w:sz w:val="22"/>
          <w:szCs w:val="28"/>
          <w:rtl/>
        </w:rPr>
        <w:t xml:space="preserve"> </w:t>
      </w:r>
      <w:r w:rsidRPr="00F47BC9">
        <w:rPr>
          <w:rFonts w:cs="FrankRuehl" w:hint="eastAsia"/>
          <w:spacing w:val="10"/>
          <w:sz w:val="22"/>
          <w:szCs w:val="28"/>
          <w:rtl/>
        </w:rPr>
        <w:t>מחמיר</w:t>
      </w:r>
      <w:r w:rsidRPr="00F47BC9">
        <w:rPr>
          <w:rFonts w:cs="FrankRuehl"/>
          <w:spacing w:val="10"/>
          <w:sz w:val="22"/>
          <w:szCs w:val="28"/>
          <w:rtl/>
        </w:rPr>
        <w:t xml:space="preserve"> </w:t>
      </w:r>
      <w:r w:rsidRPr="00F47BC9">
        <w:rPr>
          <w:rFonts w:cs="FrankRuehl" w:hint="eastAsia"/>
          <w:spacing w:val="10"/>
          <w:sz w:val="22"/>
          <w:szCs w:val="28"/>
          <w:rtl/>
        </w:rPr>
        <w:t>מזה</w:t>
      </w:r>
      <w:r w:rsidRPr="00F47BC9">
        <w:rPr>
          <w:rFonts w:cs="FrankRuehl"/>
          <w:spacing w:val="10"/>
          <w:sz w:val="22"/>
          <w:szCs w:val="28"/>
          <w:rtl/>
        </w:rPr>
        <w:t xml:space="preserve"> </w:t>
      </w:r>
      <w:r w:rsidRPr="00F47BC9">
        <w:rPr>
          <w:rFonts w:cs="FrankRuehl" w:hint="eastAsia"/>
          <w:spacing w:val="10"/>
          <w:sz w:val="22"/>
          <w:szCs w:val="28"/>
          <w:rtl/>
        </w:rPr>
        <w:t>שנקבע</w:t>
      </w:r>
      <w:r w:rsidRPr="00F47BC9">
        <w:rPr>
          <w:rFonts w:cs="FrankRuehl"/>
          <w:spacing w:val="10"/>
          <w:sz w:val="22"/>
          <w:szCs w:val="28"/>
          <w:rtl/>
        </w:rPr>
        <w:t xml:space="preserve"> </w:t>
      </w:r>
      <w:r w:rsidRPr="00F47BC9">
        <w:rPr>
          <w:rFonts w:cs="FrankRuehl" w:hint="eastAsia"/>
          <w:spacing w:val="10"/>
          <w:sz w:val="22"/>
          <w:szCs w:val="28"/>
          <w:rtl/>
        </w:rPr>
        <w:t>בהלכת</w:t>
      </w:r>
      <w:r w:rsidRPr="00F47BC9">
        <w:rPr>
          <w:rFonts w:cs="FrankRuehl"/>
          <w:spacing w:val="10"/>
          <w:sz w:val="22"/>
          <w:szCs w:val="28"/>
          <w:rtl/>
        </w:rPr>
        <w:t xml:space="preserve"> </w:t>
      </w:r>
      <w:r w:rsidRPr="00622C70">
        <w:rPr>
          <w:rFonts w:cs="Miriam" w:hint="cs"/>
          <w:b/>
          <w:sz w:val="22"/>
          <w:rtl/>
        </w:rPr>
        <w:t>קוונטינסקי</w:t>
      </w:r>
      <w:r w:rsidRPr="00F47BC9">
        <w:rPr>
          <w:rFonts w:cs="FrankRuehl"/>
          <w:spacing w:val="10"/>
          <w:sz w:val="22"/>
          <w:szCs w:val="28"/>
          <w:rtl/>
        </w:rPr>
        <w:t xml:space="preserve"> </w:t>
      </w:r>
      <w:r w:rsidRPr="00F47BC9">
        <w:rPr>
          <w:rFonts w:cs="FrankRuehl" w:hint="eastAsia"/>
          <w:spacing w:val="10"/>
          <w:sz w:val="22"/>
          <w:szCs w:val="28"/>
          <w:rtl/>
        </w:rPr>
        <w:t>ראו</w:t>
      </w:r>
      <w:r w:rsidRPr="00622C70">
        <w:rPr>
          <w:rFonts w:cs="Miriam" w:hint="cs"/>
          <w:b/>
          <w:sz w:val="22"/>
          <w:rtl/>
        </w:rPr>
        <w:t xml:space="preserve"> </w:t>
      </w:r>
      <w:r w:rsidRPr="00F1538B">
        <w:rPr>
          <w:rFonts w:cs="Miriam" w:hint="cs"/>
          <w:b/>
          <w:sz w:val="22"/>
          <w:rtl/>
        </w:rPr>
        <w:t xml:space="preserve">אהרונסון </w:t>
      </w:r>
      <w:r>
        <w:rPr>
          <w:rFonts w:cs="Miriam" w:hint="cs"/>
          <w:b/>
          <w:sz w:val="22"/>
          <w:rtl/>
        </w:rPr>
        <w:t xml:space="preserve">ואח' </w:t>
      </w:r>
      <w:r w:rsidRPr="00F1538B">
        <w:rPr>
          <w:rFonts w:cs="Miriam" w:hint="cs"/>
          <w:b/>
          <w:sz w:val="22"/>
          <w:rtl/>
        </w:rPr>
        <w:t>נורמות הליכיות</w:t>
      </w:r>
      <w:r w:rsidRPr="00794C22">
        <w:rPr>
          <w:rFonts w:ascii="Century" w:hAnsi="Century" w:cs="FrankRuehl"/>
          <w:spacing w:val="10"/>
          <w:sz w:val="22"/>
          <w:szCs w:val="28"/>
          <w:rtl/>
        </w:rPr>
        <w:t>)</w:t>
      </w:r>
      <w:r w:rsidRPr="00632224">
        <w:rPr>
          <w:rFonts w:ascii="Century" w:hAnsi="Century" w:cs="FrankRuehl"/>
          <w:spacing w:val="10"/>
          <w:sz w:val="22"/>
          <w:szCs w:val="28"/>
          <w:rtl/>
        </w:rPr>
        <w:t>.</w:t>
      </w:r>
      <w:r w:rsidRPr="00632224">
        <w:rPr>
          <w:rFonts w:ascii="Century" w:hAnsi="Century" w:cs="Miriam" w:hint="cs"/>
          <w:b/>
          <w:sz w:val="22"/>
          <w:rtl/>
        </w:rPr>
        <w:t xml:space="preserve"> </w:t>
      </w:r>
      <w:r w:rsidRPr="00632224">
        <w:rPr>
          <w:rFonts w:ascii="Arial TUR" w:hAnsi="Arial TUR" w:cs="FrankRuehl" w:hint="cs"/>
          <w:spacing w:val="10"/>
          <w:sz w:val="22"/>
          <w:szCs w:val="28"/>
          <w:rtl/>
        </w:rPr>
        <w:t>עם זאת, יש בכל אלה כדי ללמד על החיפזון והבהילות שבהם נעשה התיקון, ביחס הפוך לחלוטין להשלכותיו מרחיקות הלכת. התיקון נכנס לוועדה ויצא מהוועדה כמעט כפי שנכנס, בבחינת "כבולעו כן פולטו</w:t>
      </w:r>
      <w:r>
        <w:rPr>
          <w:rFonts w:ascii="Arial TUR" w:hAnsi="Arial TUR" w:cs="FrankRuehl" w:hint="cs"/>
          <w:spacing w:val="10"/>
          <w:sz w:val="22"/>
          <w:szCs w:val="28"/>
          <w:rtl/>
        </w:rPr>
        <w:t xml:space="preserve">". </w:t>
      </w:r>
      <w:r w:rsidRPr="00632224">
        <w:rPr>
          <w:rFonts w:ascii="Arial TUR" w:hAnsi="Arial TUR" w:cs="FrankRuehl" w:hint="cs"/>
          <w:spacing w:val="10"/>
          <w:sz w:val="22"/>
          <w:szCs w:val="28"/>
          <w:rtl/>
        </w:rPr>
        <w:t xml:space="preserve">עובדה זו, כשלעצמה, מצביעה לכאורה על כך </w:t>
      </w:r>
      <w:r w:rsidRPr="00632224">
        <w:rPr>
          <w:rFonts w:ascii="Arial TUR" w:hAnsi="Arial TUR" w:cs="FrankRuehl" w:hint="cs"/>
          <w:spacing w:val="10"/>
          <w:sz w:val="22"/>
          <w:szCs w:val="28"/>
          <w:rtl/>
        </w:rPr>
        <w:lastRenderedPageBreak/>
        <w:t xml:space="preserve">שהוועדה לא הייתה קשובה לקולות ולדעות שנשמעו במהלך הדיונים, ואף התעלמה לחלוטין מעמדת הייעוץ המשפטי של הוועדה.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spacing w:val="10"/>
          <w:sz w:val="22"/>
          <w:szCs w:val="28"/>
          <w:shd w:val="clear" w:color="auto" w:fill="FFFFFF"/>
          <w:rtl/>
        </w:rPr>
        <w:tab/>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104.</w:t>
      </w:r>
      <w:r w:rsidRPr="00632224">
        <w:rPr>
          <w:rFonts w:ascii="Arial TUR" w:hAnsi="Arial TUR" w:cs="FrankRuehl" w:hint="cs"/>
          <w:spacing w:val="10"/>
          <w:sz w:val="22"/>
          <w:szCs w:val="28"/>
          <w:rtl/>
        </w:rPr>
        <w:tab/>
        <w:t xml:space="preserve">שבעים וחמש שנה מדינת ישראל תפקדה כהלכה עם עילת הסבירות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הכלכלה פרחה, ישראל הפכה למעצמה צבאית, למעצמת היי-טק בתחומים שונים, לאקדמיה הישראלית יצאו מוניטין בתחומים שונים ועוד. על מה ולמה הבהילות והחיפזון? ומדוע נעשה </w:t>
      </w:r>
      <w:r w:rsidRPr="00632224">
        <w:rPr>
          <w:rFonts w:ascii="Century" w:hAnsi="Century" w:cs="Miriam" w:hint="cs"/>
          <w:b/>
          <w:sz w:val="22"/>
          <w:rtl/>
        </w:rPr>
        <w:t>לראשונה</w:t>
      </w:r>
      <w:r w:rsidRPr="00632224">
        <w:rPr>
          <w:rFonts w:ascii="Arial TUR" w:hAnsi="Arial TUR" w:cs="FrankRuehl" w:hint="cs"/>
          <w:spacing w:val="10"/>
          <w:sz w:val="22"/>
          <w:szCs w:val="28"/>
          <w:rtl/>
        </w:rPr>
        <w:t xml:space="preserve"> שימוש במנגנון של סעיף 80 לתקנון בנסיבות של אי הסכמה ושל הצעה שאינה נוגעת לכנסת, לצורך חקיקה כה כבדת משקל ושנויה במחלוקת של חוק יסוד? על מה ולמה לא נעשתה עבודת מטה הכוללת את הגורמים הממשלתיים הרלוונטיים? מדוע אפילו לא התקיים דיון כלשהו באחד ממשרדי הממשלה לגבי השלכות החוק? כל אלה מצביעים על כך שהתיקון לחוק היסוד לא נולד בדרך הטבע.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כאמור, פגמים אלה, בבדידותם, אינם פוגעים בתקפותו של התיקון לחוק היסוד, אך משקלם עמם, בהצטרף למסקנתנו בדבר בטלות התיקון בשל היותו תיקון חוקתי שאינו חוקתי.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keepNext/>
        <w:keepLines/>
        <w:spacing w:line="360" w:lineRule="auto"/>
        <w:outlineLvl w:val="0"/>
        <w:rPr>
          <w:rFonts w:ascii="Century" w:hAnsi="Century" w:cs="FrankRuehl"/>
          <w:spacing w:val="10"/>
          <w:szCs w:val="28"/>
          <w:rtl/>
        </w:rPr>
      </w:pPr>
      <w:r w:rsidRPr="00632224">
        <w:rPr>
          <w:rFonts w:ascii="Cambria" w:hAnsi="Cambria" w:cs="Miriam" w:hint="eastAsia"/>
          <w:sz w:val="32"/>
          <w:rtl/>
        </w:rPr>
        <w:t>הערות</w:t>
      </w:r>
      <w:r w:rsidRPr="00632224">
        <w:rPr>
          <w:rFonts w:ascii="Cambria" w:hAnsi="Cambria" w:cs="Miriam"/>
          <w:sz w:val="32"/>
          <w:rtl/>
        </w:rPr>
        <w:t xml:space="preserve"> </w:t>
      </w:r>
      <w:r w:rsidRPr="00632224">
        <w:rPr>
          <w:rFonts w:ascii="Cambria" w:hAnsi="Cambria" w:cs="Miriam" w:hint="eastAsia"/>
          <w:sz w:val="32"/>
          <w:rtl/>
        </w:rPr>
        <w:t>לעמדת</w:t>
      </w:r>
      <w:r w:rsidRPr="00632224">
        <w:rPr>
          <w:rFonts w:ascii="Cambria" w:hAnsi="Cambria" w:cs="Miriam"/>
          <w:sz w:val="32"/>
          <w:rtl/>
        </w:rPr>
        <w:t xml:space="preserve"> </w:t>
      </w:r>
      <w:r w:rsidRPr="00632224">
        <w:rPr>
          <w:rFonts w:ascii="Cambria" w:hAnsi="Cambria" w:cs="Miriam" w:hint="eastAsia"/>
          <w:sz w:val="32"/>
          <w:rtl/>
        </w:rPr>
        <w:t>היועצת</w:t>
      </w:r>
      <w:r w:rsidRPr="00632224">
        <w:rPr>
          <w:rFonts w:ascii="Cambria" w:hAnsi="Cambria" w:cs="Miriam"/>
          <w:sz w:val="32"/>
          <w:rtl/>
        </w:rPr>
        <w:t xml:space="preserve"> </w:t>
      </w:r>
      <w:r w:rsidRPr="00632224">
        <w:rPr>
          <w:rFonts w:ascii="Cambria" w:hAnsi="Cambria" w:cs="Miriam" w:hint="eastAsia"/>
          <w:sz w:val="32"/>
          <w:rtl/>
        </w:rPr>
        <w:t>המשפטית</w:t>
      </w:r>
      <w:r w:rsidRPr="00632224">
        <w:rPr>
          <w:rFonts w:ascii="Cambria" w:hAnsi="Cambria" w:cs="Miriam"/>
          <w:sz w:val="32"/>
          <w:rtl/>
        </w:rPr>
        <w:t xml:space="preserve"> </w:t>
      </w:r>
      <w:r w:rsidRPr="00632224">
        <w:rPr>
          <w:rFonts w:ascii="Cambria" w:hAnsi="Cambria" w:cs="Miriam" w:hint="eastAsia"/>
          <w:sz w:val="32"/>
          <w:rtl/>
        </w:rPr>
        <w:t>לממשלה</w:t>
      </w:r>
      <w:r w:rsidRPr="00632224">
        <w:rPr>
          <w:rFonts w:ascii="Cambria" w:hAnsi="Cambria" w:cs="Miriam"/>
          <w:sz w:val="32"/>
          <w:rtl/>
        </w:rPr>
        <w:t xml:space="preserve"> </w:t>
      </w:r>
    </w:p>
    <w:p w:rsidR="00244560" w:rsidRPr="00632224"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Arial TUR" w:hAnsi="Arial TUR" w:cs="FrankRuehl" w:hint="cs"/>
          <w:spacing w:val="10"/>
          <w:sz w:val="22"/>
          <w:szCs w:val="28"/>
          <w:rtl/>
        </w:rPr>
        <w:t>105.</w:t>
      </w:r>
      <w:r w:rsidRPr="00632224">
        <w:rPr>
          <w:rFonts w:ascii="Arial TUR" w:hAnsi="Arial TUR" w:cs="FrankRuehl" w:hint="cs"/>
          <w:spacing w:val="10"/>
          <w:sz w:val="22"/>
          <w:szCs w:val="28"/>
          <w:rtl/>
        </w:rPr>
        <w:tab/>
      </w:r>
      <w:r w:rsidRPr="00632224">
        <w:rPr>
          <w:rFonts w:ascii="Century" w:hAnsi="Century" w:cs="FrankRuehl" w:hint="eastAsia"/>
          <w:spacing w:val="10"/>
          <w:sz w:val="22"/>
          <w:szCs w:val="28"/>
          <w:shd w:val="clear" w:color="auto" w:fill="FFFFFF"/>
          <w:rtl/>
        </w:rPr>
        <w:t>בעתירה</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התלויה</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ועומדת</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לגבי</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תיקון</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פקודת</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המשטרה</w:t>
      </w:r>
      <w:r w:rsidRPr="00632224">
        <w:rPr>
          <w:rFonts w:ascii="Century" w:hAnsi="Century" w:cs="FrankRuehl" w:hint="cs"/>
          <w:spacing w:val="10"/>
          <w:sz w:val="22"/>
          <w:szCs w:val="28"/>
          <w:shd w:val="clear" w:color="auto" w:fill="FFFFFF"/>
          <w:rtl/>
        </w:rPr>
        <w:t xml:space="preserve"> [נוסח חדש], התשל"א-1971</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המאפשר</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לשר</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לקבוע</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מדיניות</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בג</w:t>
      </w:r>
      <w:r w:rsidRPr="00632224">
        <w:rPr>
          <w:rFonts w:ascii="Century" w:hAnsi="Century" w:cs="FrankRuehl"/>
          <w:spacing w:val="10"/>
          <w:sz w:val="22"/>
          <w:szCs w:val="28"/>
          <w:shd w:val="clear" w:color="auto" w:fill="FFFFFF"/>
          <w:rtl/>
        </w:rPr>
        <w:t>"</w:t>
      </w:r>
      <w:r w:rsidRPr="00632224">
        <w:rPr>
          <w:rFonts w:ascii="Century" w:hAnsi="Century" w:cs="FrankRuehl" w:hint="eastAsia"/>
          <w:spacing w:val="10"/>
          <w:sz w:val="22"/>
          <w:szCs w:val="28"/>
          <w:shd w:val="clear" w:color="auto" w:fill="FFFFFF"/>
          <w:rtl/>
        </w:rPr>
        <w:t>ץ</w:t>
      </w:r>
      <w:r w:rsidRPr="00632224">
        <w:rPr>
          <w:rFonts w:ascii="Century" w:hAnsi="Century" w:cs="FrankRuehl"/>
          <w:spacing w:val="10"/>
          <w:sz w:val="22"/>
          <w:szCs w:val="28"/>
          <w:shd w:val="clear" w:color="auto" w:fill="FFFFFF"/>
          <w:rtl/>
        </w:rPr>
        <w:t xml:space="preserve"> 8987/22</w:t>
      </w:r>
      <w:r w:rsidRPr="00632224">
        <w:rPr>
          <w:rFonts w:ascii="Century" w:hAnsi="Century" w:cs="Miriam"/>
          <w:b/>
          <w:sz w:val="22"/>
          <w:shd w:val="clear" w:color="auto" w:fill="FFFFFF"/>
          <w:rtl/>
        </w:rPr>
        <w:t xml:space="preserve"> </w:t>
      </w:r>
      <w:r w:rsidRPr="00632224">
        <w:rPr>
          <w:rFonts w:ascii="Century" w:hAnsi="Century" w:cs="Miriam"/>
          <w:b/>
          <w:sz w:val="22"/>
          <w:rtl/>
        </w:rPr>
        <w:t>התנועה למען איכות השלטון בישראל נ' הכנסת</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הביעה</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היועצת</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המשפטית</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לממשלה</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עמדתה</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כי</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יש</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לבחון</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את</w:t>
      </w:r>
      <w:r w:rsidRPr="00632224">
        <w:rPr>
          <w:rFonts w:ascii="Century" w:hAnsi="Century" w:cs="FrankRuehl"/>
          <w:spacing w:val="10"/>
          <w:sz w:val="22"/>
          <w:szCs w:val="28"/>
          <w:shd w:val="clear" w:color="auto" w:fill="FFFFFF"/>
          <w:rtl/>
        </w:rPr>
        <w:t xml:space="preserve"> </w:t>
      </w:r>
      <w:r w:rsidRPr="00632224">
        <w:rPr>
          <w:rFonts w:ascii="Century" w:hAnsi="Century" w:cs="FrankRuehl" w:hint="cs"/>
          <w:spacing w:val="10"/>
          <w:sz w:val="22"/>
          <w:szCs w:val="28"/>
          <w:shd w:val="clear" w:color="auto" w:fill="FFFFFF"/>
          <w:rtl/>
        </w:rPr>
        <w:t xml:space="preserve">אותו </w:t>
      </w:r>
      <w:r w:rsidRPr="00632224">
        <w:rPr>
          <w:rFonts w:ascii="Century" w:hAnsi="Century" w:cs="FrankRuehl" w:hint="eastAsia"/>
          <w:spacing w:val="10"/>
          <w:sz w:val="22"/>
          <w:szCs w:val="28"/>
          <w:shd w:val="clear" w:color="auto" w:fill="FFFFFF"/>
          <w:rtl/>
        </w:rPr>
        <w:t>תיקון</w:t>
      </w:r>
      <w:r w:rsidRPr="00632224">
        <w:rPr>
          <w:rFonts w:ascii="Century" w:hAnsi="Century" w:cs="FrankRuehl"/>
          <w:spacing w:val="10"/>
          <w:sz w:val="22"/>
          <w:szCs w:val="28"/>
          <w:shd w:val="clear" w:color="auto" w:fill="FFFFFF"/>
          <w:rtl/>
        </w:rPr>
        <w:t xml:space="preserve"> </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בהינתן</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המצב</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המשפטי</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הקיים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בכללותו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הערובות</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הנוספות</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המעוגנות</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במשטרנו</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להבטחת</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ההגנה</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זכויות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היסוד</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ושלטון</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החוק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ובתוך</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כך</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קיומה</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ביקורת</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שיפוטית</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אפקטיבית</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פעולות</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המינהל</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וחובתה</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הרשות</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המינהלית</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לפעול</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בסבירות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בהתאם</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לכללי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המשפט</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המינהלי</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בכך קשרה היועצת המשפטית לממשלה את התיקון שם, במצב המשפטי בכללותו. בדומה, גם כאן נטען על ידי היועצת המשפטית כי אין לנתק בין התיקון לחוק היסוד לבין מכלול החקיקה המוצעת במסגרת "הרפורמה המשפטית".</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הכנסת ציינה בתשובתה המשלימה, כי אין תקדים לבחינת חוקיות של חוק או של חוק יסוד על רקע מכלול הכולל טיוטות תזכירים והצעות חוק שהליך חקיקתם לא הסתיים. לשיטה זו, בית המשפט נדרש אך ורק לסוגיה שמונחת על שולחנו מבלי להביט שמאלה או ימינה. כך סברו גם הנשיאה </w:t>
      </w:r>
      <w:r w:rsidRPr="00632224">
        <w:rPr>
          <w:rFonts w:ascii="Century" w:hAnsi="Century" w:cs="Miriam" w:hint="eastAsia"/>
          <w:b/>
          <w:sz w:val="22"/>
          <w:rtl/>
        </w:rPr>
        <w:t>חיות</w:t>
      </w:r>
      <w:r w:rsidRPr="00632224">
        <w:rPr>
          <w:rFonts w:ascii="Arial TUR" w:hAnsi="Arial TUR" w:cs="FrankRuehl" w:hint="cs"/>
          <w:spacing w:val="10"/>
          <w:sz w:val="22"/>
          <w:szCs w:val="28"/>
          <w:rtl/>
        </w:rPr>
        <w:t xml:space="preserve"> והשופטת </w:t>
      </w:r>
      <w:r w:rsidRPr="00632224">
        <w:rPr>
          <w:rFonts w:ascii="Century" w:hAnsi="Century" w:cs="Miriam" w:hint="eastAsia"/>
          <w:b/>
          <w:sz w:val="22"/>
          <w:rtl/>
        </w:rPr>
        <w:t>וילנר</w:t>
      </w:r>
      <w:r w:rsidRPr="00632224">
        <w:rPr>
          <w:rFonts w:ascii="Arial TUR" w:hAnsi="Arial TUR" w:cs="FrankRuehl" w:hint="cs"/>
          <w:spacing w:val="10"/>
          <w:sz w:val="22"/>
          <w:szCs w:val="28"/>
          <w:rtl/>
        </w:rPr>
        <w:t xml:space="preserve"> בפסק דינן.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Cs w:val="28"/>
          <w:rtl/>
        </w:rPr>
      </w:pPr>
      <w:r w:rsidRPr="00632224">
        <w:rPr>
          <w:rFonts w:ascii="Arial TUR" w:hAnsi="Arial TUR" w:cs="FrankRuehl" w:hint="cs"/>
          <w:spacing w:val="10"/>
          <w:sz w:val="22"/>
          <w:szCs w:val="28"/>
          <w:rtl/>
        </w:rPr>
        <w:lastRenderedPageBreak/>
        <w:t>106.</w:t>
      </w:r>
      <w:r w:rsidRPr="00632224">
        <w:rPr>
          <w:rFonts w:ascii="Arial TUR" w:hAnsi="Arial TUR" w:cs="FrankRuehl"/>
          <w:spacing w:val="10"/>
          <w:sz w:val="22"/>
          <w:szCs w:val="28"/>
          <w:rtl/>
        </w:rPr>
        <w:tab/>
      </w:r>
      <w:r w:rsidRPr="00632224">
        <w:rPr>
          <w:rFonts w:ascii="Century" w:hAnsi="Century" w:cs="FrankRuehl" w:hint="cs"/>
          <w:spacing w:val="10"/>
          <w:sz w:val="22"/>
          <w:szCs w:val="28"/>
          <w:rtl/>
        </w:rPr>
        <w:t xml:space="preserve">התיקון שלפנינו הוא תיקון בודד ש"נגזר" מתוך הטיוטה הראשונה של הצעת חוק יסוד: השפיטה (תיקון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חיזוק הפרדת הרשויות). טיוטה זו עסקה במכלול תיקונים נוספים כמו שינוי הרכב הוועדה לבחירת שופטים וסמכות בית המשפט לערוך ביקורת שיפוטית על חוקי היסוד וחקיקה ראשית רגילה. ניתן להבין את העמדה הגורסת כי די בכך כדי להצדיק ראיה הוליסטית של מכלול התיקונים המוצעים, חלף מתיחת "קו כחול" והתמקדות אך ורק בתיקון שלפנינו. שכן, היה זה עניין של החלטה "לפצל" את התיקונים השונים למהלכי חקיקה נפרדים ולא לבצעם במסגרת מהלך חקיקה שלם (שאז לא היה ספק כי יש לבחון את המכלול). </w:t>
      </w:r>
      <w:r w:rsidRPr="00632224">
        <w:rPr>
          <w:rFonts w:ascii="Arial TUR" w:hAnsi="Arial TUR" w:cs="FrankRuehl" w:hint="cs"/>
          <w:spacing w:val="10"/>
          <w:sz w:val="22"/>
          <w:szCs w:val="28"/>
          <w:rtl/>
        </w:rPr>
        <w:t xml:space="preserve">ככל שבוחנים את התיקון לחוק גם על רקע מכלול התיקונים המוצעים, כעמדת היועצת המשפטית, הרי שמשקלו הסגולי של התיקון על הסכנות הכרוכות בו, עולה עשרת מונים. זאת, מאחר שבראייה כזו התמונה המתקבלת מבהירה כי מדובר אך בצעד אחד מתוך מארג חקיקה שלם אשר משנה באופן מרחיק לכת (ושמא בלתי הפיך) את מערך האיזונים והבלמים של שיטתנו. לשיטה זו, בחירתם של המשיבים לערוך את השינויים תיקון אחד בכל פעם מעוררת את החשש כי יש כוונה לילך בדרכן של מדינות אחרות שבהן הדמוקרטיה הוחלשה וכובתה בסדרה של תהליכים ושינוי של נורמות משטריות ודמוקרטיות </w:t>
      </w:r>
      <w:r w:rsidRPr="00632224">
        <w:rPr>
          <w:rFonts w:ascii="Century" w:hAnsi="Century" w:cs="FrankRuehl" w:hint="cs"/>
          <w:spacing w:val="10"/>
          <w:sz w:val="22"/>
          <w:szCs w:val="28"/>
          <w:rtl/>
        </w:rPr>
        <w:t xml:space="preserve">(לשימוש בחוק עצמו על מנת לפרק מוסדות שלטון דמוקרטיים ראו קים ליין שפלי </w:t>
      </w:r>
      <w:r w:rsidRPr="00632224">
        <w:rPr>
          <w:rFonts w:ascii="Century" w:hAnsi="Century" w:cs="Miriam" w:hint="cs"/>
          <w:b/>
          <w:sz w:val="22"/>
          <w:rtl/>
        </w:rPr>
        <w:t>רודנות בחסות החוק</w:t>
      </w:r>
      <w:r w:rsidRPr="00632224">
        <w:rPr>
          <w:rFonts w:ascii="Century" w:hAnsi="Century" w:cs="FrankRuehl" w:hint="cs"/>
          <w:spacing w:val="10"/>
          <w:sz w:val="22"/>
          <w:szCs w:val="28"/>
          <w:rtl/>
        </w:rPr>
        <w:t xml:space="preserve"> (2023)).</w:t>
      </w: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shd w:val="clear" w:color="auto" w:fill="FFFFFF"/>
          <w:rtl/>
        </w:rPr>
        <w:tab/>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107.</w:t>
      </w:r>
      <w:r w:rsidRPr="00632224">
        <w:rPr>
          <w:rFonts w:ascii="Arial TUR" w:hAnsi="Arial TUR" w:cs="FrankRuehl"/>
          <w:spacing w:val="10"/>
          <w:sz w:val="22"/>
          <w:szCs w:val="28"/>
          <w:rtl/>
        </w:rPr>
        <w:tab/>
      </w:r>
      <w:r w:rsidRPr="00632224">
        <w:rPr>
          <w:rFonts w:ascii="Arial TUR" w:hAnsi="Arial TUR" w:cs="FrankRuehl" w:hint="cs"/>
          <w:spacing w:val="10"/>
          <w:sz w:val="22"/>
          <w:szCs w:val="28"/>
          <w:rtl/>
        </w:rPr>
        <w:t>העתירות שלפנינו אינן עתירות של יום-ביומו והן מעוררות את השאלה אם התייחסות אך ורק לתיקון בחוק היסוד, כמוה כחוקר מעבדה שמצמיד את עינו למיקרוסקופ על מנת לבחון צלחת-</w:t>
      </w:r>
      <w:r w:rsidRPr="00632224">
        <w:rPr>
          <w:rFonts w:ascii="Century" w:hAnsi="Century" w:cs="FrankRuehl"/>
          <w:spacing w:val="10"/>
          <w:sz w:val="22"/>
          <w:szCs w:val="28"/>
          <w:shd w:val="clear" w:color="auto" w:fill="FFFFFF"/>
          <w:rtl/>
        </w:rPr>
        <w:t>פֶּטְרִי</w:t>
      </w:r>
      <w:r w:rsidRPr="00632224">
        <w:rPr>
          <w:rFonts w:ascii="Century" w:hAnsi="Century" w:cs="FrankRuehl"/>
          <w:spacing w:val="10"/>
          <w:sz w:val="22"/>
          <w:szCs w:val="28"/>
          <w:rtl/>
        </w:rPr>
        <w:t> </w:t>
      </w:r>
      <w:r w:rsidRPr="00632224">
        <w:rPr>
          <w:rFonts w:ascii="Century" w:hAnsi="Century" w:cs="FrankRuehl" w:hint="cs"/>
          <w:spacing w:val="10"/>
          <w:sz w:val="22"/>
          <w:szCs w:val="28"/>
          <w:rtl/>
        </w:rPr>
        <w:t xml:space="preserve">המונחת תחת המיקרוסקופ. זאת, </w:t>
      </w:r>
      <w:r w:rsidRPr="00632224">
        <w:rPr>
          <w:rFonts w:ascii="Arial TUR" w:hAnsi="Arial TUR" w:cs="FrankRuehl" w:hint="cs"/>
          <w:spacing w:val="10"/>
          <w:sz w:val="22"/>
          <w:szCs w:val="28"/>
          <w:rtl/>
        </w:rPr>
        <w:t>בהתעלם מצלחות הפטרי הרבות שכבר בדרכן אל השולחן. כאמור, לעמדת היועצת המשפטית לממשלה, התמקדות בצלחת פטרי אחת תחת המיקרוסקופ המשפטי כמוה כעיוור הממשש את חדק הפיל והיא עלולה להחמיץ את התמונה הכוללת. ודוק: לעמדה זו, איננו מדברים ב"מדרון חלקלק" אלא בחקיקה של צעד אחר צעד, כאשר לגבי כל צעד, כשלעצמו, ניתן לטעון כי אינו קץ הדמוקרטיה (על ההבחנה בין השניים ראו דוד אנוך "</w:t>
      </w:r>
      <w:r w:rsidRPr="00632224">
        <w:rPr>
          <w:rFonts w:ascii="Century" w:hAnsi="Century" w:cs="FrankRuehl"/>
          <w:spacing w:val="10"/>
          <w:sz w:val="22"/>
          <w:szCs w:val="28"/>
          <w:bdr w:val="none" w:sz="0" w:space="0" w:color="auto" w:frame="1"/>
          <w:rtl/>
        </w:rPr>
        <w:t>על מדרונות חלקלקים ונקניקי סלמי</w:t>
      </w:r>
      <w:r w:rsidRPr="00632224">
        <w:rPr>
          <w:rFonts w:ascii="Century" w:hAnsi="Century" w:cs="FrankRuehl" w:hint="cs"/>
          <w:spacing w:val="10"/>
          <w:sz w:val="22"/>
          <w:szCs w:val="28"/>
          <w:bdr w:val="none" w:sz="0" w:space="0" w:color="auto" w:frame="1"/>
          <w:rtl/>
        </w:rPr>
        <w:t xml:space="preserve">" </w:t>
      </w:r>
      <w:r w:rsidRPr="00632224">
        <w:rPr>
          <w:rFonts w:cs="FrankRuehl" w:hint="cs"/>
          <w:spacing w:val="10"/>
          <w:sz w:val="22"/>
          <w:szCs w:val="26"/>
        </w:rPr>
        <w:t>ICO</w:t>
      </w:r>
      <w:r w:rsidRPr="00632224">
        <w:rPr>
          <w:rFonts w:cs="FrankRuehl"/>
          <w:spacing w:val="10"/>
          <w:sz w:val="22"/>
          <w:szCs w:val="26"/>
        </w:rPr>
        <w:t>N-S-IL Blog</w:t>
      </w:r>
      <w:r w:rsidRPr="00632224">
        <w:rPr>
          <w:rFonts w:ascii="Century" w:hAnsi="Century" w:cs="FrankRuehl" w:hint="cs"/>
          <w:spacing w:val="10"/>
          <w:sz w:val="22"/>
          <w:szCs w:val="28"/>
          <w:bdr w:val="none" w:sz="0" w:space="0" w:color="auto" w:frame="1"/>
          <w:rtl/>
        </w:rPr>
        <w:t xml:space="preserve"> (27.8.2023)</w:t>
      </w:r>
      <w:r w:rsidRPr="00632224">
        <w:rPr>
          <w:rFonts w:ascii="Century" w:hAnsi="Century"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Cs w:val="28"/>
          <w:shd w:val="clear" w:color="auto" w:fill="FFFFFF"/>
          <w:rtl/>
        </w:rPr>
      </w:pPr>
      <w:r w:rsidRPr="00632224">
        <w:rPr>
          <w:rFonts w:ascii="Arial TUR" w:hAnsi="Arial TUR" w:cs="FrankRuehl" w:hint="cs"/>
          <w:spacing w:val="10"/>
          <w:sz w:val="22"/>
          <w:szCs w:val="28"/>
          <w:rtl/>
        </w:rPr>
        <w:t>108.</w:t>
      </w: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 עמדת היועצת המשפטית לפיה יש לראות את המכלול, מעוגנת בהכרזות של גורמים רמי דרג כמו ראש הממשלה ושר המשפטים; בהכרזות חוזרות ונשנות של שרים וחברי כנסת; בחוקים שחלקם כבר עברו הליכי חקיקה </w:t>
      </w:r>
      <w:r w:rsidRPr="00632224">
        <w:rPr>
          <w:rFonts w:ascii="Century" w:hAnsi="Century" w:cs="FrankRuehl" w:hint="cs"/>
          <w:spacing w:val="10"/>
          <w:szCs w:val="28"/>
          <w:rtl/>
        </w:rPr>
        <w:t>וכבר מתחממים על הקווים</w:t>
      </w:r>
      <w:r w:rsidRPr="00632224">
        <w:rPr>
          <w:rFonts w:ascii="Arial TUR" w:hAnsi="Arial TUR" w:cs="FrankRuehl" w:hint="cs"/>
          <w:spacing w:val="10"/>
          <w:sz w:val="22"/>
          <w:szCs w:val="28"/>
          <w:rtl/>
        </w:rPr>
        <w:t xml:space="preserve">; בחוקים בדמות הצעות חוק, ובין היתר, כאלה הנוגעות לשינוי הרכב הוועדה לבחירות שופטים, לצמצום הביקורת השיפוטית על חקיקה ראשית ושלילתה לחלוטין ביחס לחוקי יסוד, לחקיקת "פסקת התגברות", ולהחלשת מעמדם של היועצים המשפטיים במשרדי הממשלה ומשקל חוות דעתם; ובהתחייבויות שעוגנו במפורש בהסכמים קואליציוניים. </w:t>
      </w:r>
      <w:r w:rsidRPr="00632224">
        <w:rPr>
          <w:rFonts w:ascii="Arial TUR" w:hAnsi="Arial TUR" w:cs="FrankRuehl" w:hint="cs"/>
          <w:spacing w:val="10"/>
          <w:sz w:val="22"/>
          <w:szCs w:val="28"/>
          <w:rtl/>
        </w:rPr>
        <w:lastRenderedPageBreak/>
        <w:t xml:space="preserve">בהסכמים אלה, </w:t>
      </w:r>
      <w:r w:rsidRPr="00632224">
        <w:rPr>
          <w:rFonts w:ascii="Century" w:hAnsi="Century" w:cs="FrankRuehl"/>
          <w:spacing w:val="10"/>
          <w:sz w:val="22"/>
          <w:szCs w:val="28"/>
          <w:shd w:val="clear" w:color="auto" w:fill="FFFFFF"/>
          <w:rtl/>
        </w:rPr>
        <w:t xml:space="preserve">כל סיעות הקואליציה </w:t>
      </w:r>
      <w:r w:rsidRPr="00632224">
        <w:rPr>
          <w:rFonts w:ascii="Century" w:hAnsi="Century" w:cs="FrankRuehl" w:hint="cs"/>
          <w:spacing w:val="10"/>
          <w:sz w:val="22"/>
          <w:szCs w:val="28"/>
          <w:shd w:val="clear" w:color="auto" w:fill="FFFFFF"/>
          <w:rtl/>
        </w:rPr>
        <w:t xml:space="preserve">חתמו "בלנקו" על התחייבות לתמוך </w:t>
      </w:r>
      <w:r w:rsidRPr="00632224">
        <w:rPr>
          <w:rFonts w:ascii="Century" w:hAnsi="Century" w:cs="FrankRuehl"/>
          <w:spacing w:val="10"/>
          <w:sz w:val="22"/>
          <w:szCs w:val="28"/>
          <w:shd w:val="clear" w:color="auto" w:fill="FFFFFF"/>
          <w:rtl/>
        </w:rPr>
        <w:t>בכל הצעות חוק כפי שיוצעו על ידי שר המשפטים</w:t>
      </w:r>
      <w:r w:rsidRPr="00632224">
        <w:rPr>
          <w:rFonts w:ascii="Century" w:hAnsi="Century" w:cs="FrankRuehl" w:hint="cs"/>
          <w:spacing w:val="10"/>
          <w:sz w:val="22"/>
          <w:szCs w:val="28"/>
          <w:shd w:val="clear" w:color="auto" w:fill="FFFFFF"/>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"כל סיעות הקואליציה יתמכו בכל הצעות החוק, לרבות בחוקי יסוד ובתיקונים לחוקי יסוד, כפי שיוצעו על ידי שר המשפטים, ושיעסקו, בין היתר, בהסדר מערכת היחסים שבין הרשויות ובסמכויותיהן, ובפרט במערכת היחסים שבין הכנסת והממשלה לבין מערכת המשפט ובית המשפט העליון ובשיטת בחירת השופטים. כל זאת לשם השבת האיזון הראוי בין הרשויות. החקיקה כאמור תכלול גם חקיקת חוק יסוד: החקיקה ופסקת התגברות. כל הצעות החוק שעניינן הנושאים הנזכרים בסעיף זה תקבלנה עדיפות מוחלטת ומלאה, בכל מקרה ונסיבות, על פני כל חקיקה אחרת, לרבות בכל הקשור לקדימות ראשונה בהעלאת הצעות למליאה מיד עם הנחתן בכנסת ובהשלמת הטיפול בהן בוועדת החוקה חוק ומשפט של הכנסת לפני כל דיון בכל הצעת חוק אחרת המונחת על שולחן הוועדה. האמור יחול בכל הקריאות.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הממשלה וסיעות הקואליציה יתמכו בהצעת החוק מטעם הליכוד שתקבע כי מינוי היועץ המשפטי למשרדים הממשלתיים וכן ליחידות הסמך יבוצע כמשרת אמון על ידי מנכ"ל אותו המשרד הממשלתי".</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shd w:val="clear" w:color="auto" w:fill="FFFFFF"/>
          <w:rtl/>
        </w:rPr>
      </w:pPr>
      <w:r w:rsidRPr="00632224">
        <w:rPr>
          <w:rFonts w:ascii="Century" w:hAnsi="Century" w:cs="FrankRuehl"/>
          <w:spacing w:val="10"/>
          <w:sz w:val="22"/>
          <w:szCs w:val="28"/>
          <w:shd w:val="clear" w:color="auto" w:fill="FFFFFF"/>
          <w:rtl/>
        </w:rPr>
        <w:tab/>
      </w:r>
      <w:r w:rsidRPr="00632224">
        <w:rPr>
          <w:rFonts w:ascii="Century" w:hAnsi="Century" w:cs="FrankRuehl" w:hint="cs"/>
          <w:spacing w:val="10"/>
          <w:sz w:val="22"/>
          <w:szCs w:val="28"/>
          <w:shd w:val="clear" w:color="auto" w:fill="FFFFFF"/>
          <w:rtl/>
        </w:rPr>
        <w:t xml:space="preserve">לא למותר להזכיר כי בהקשר של הסכם קואליציוני אחר אמר בית משפט זה כי </w:t>
      </w:r>
    </w:p>
    <w:p w:rsidR="00244560" w:rsidRPr="00632224" w:rsidRDefault="00244560" w:rsidP="00244560">
      <w:pPr>
        <w:tabs>
          <w:tab w:val="left" w:pos="800"/>
        </w:tabs>
        <w:spacing w:line="360" w:lineRule="auto"/>
        <w:jc w:val="both"/>
        <w:rPr>
          <w:rFonts w:cs="FrankRuehl"/>
          <w:spacing w:val="10"/>
          <w:sz w:val="22"/>
          <w:szCs w:val="28"/>
          <w:rtl/>
        </w:rPr>
      </w:pPr>
      <w:r w:rsidRPr="00632224">
        <w:rPr>
          <w:rFonts w:ascii="Century" w:hAnsi="Century" w:cs="FrankRuehl" w:hint="cs"/>
          <w:spacing w:val="10"/>
          <w:sz w:val="22"/>
          <w:szCs w:val="28"/>
          <w:shd w:val="clear" w:color="auto" w:fill="FFFFFF"/>
          <w:rtl/>
        </w:rPr>
        <w:t>"</w:t>
      </w:r>
      <w:r w:rsidRPr="00632224">
        <w:rPr>
          <w:rFonts w:ascii="Arial TUR" w:hAnsi="Arial TUR" w:cs="FrankRuehl" w:hint="cs"/>
          <w:spacing w:val="10"/>
          <w:sz w:val="22"/>
          <w:szCs w:val="28"/>
          <w:rtl/>
        </w:rPr>
        <w:t xml:space="preserve">ברי כי יהא אשר יהא ההסכם הקואליציוני, שהוא הסכם פוליטי המשקף את מאויי חותמיו ומשדר אי נחת פוליטית מחוות הדעת המשפטית, </w:t>
      </w:r>
      <w:r w:rsidRPr="00632224">
        <w:rPr>
          <w:rFonts w:ascii="Century" w:hAnsi="Century" w:cs="Miriam" w:hint="eastAsia"/>
          <w:b/>
          <w:sz w:val="22"/>
          <w:rtl/>
        </w:rPr>
        <w:t>אין</w:t>
      </w:r>
      <w:r w:rsidRPr="00632224">
        <w:rPr>
          <w:rFonts w:ascii="Century" w:hAnsi="Century" w:cs="Miriam"/>
          <w:b/>
          <w:sz w:val="22"/>
          <w:rtl/>
        </w:rPr>
        <w:t xml:space="preserve"> </w:t>
      </w:r>
      <w:r w:rsidRPr="00632224">
        <w:rPr>
          <w:rFonts w:ascii="Century" w:hAnsi="Century" w:cs="Miriam" w:hint="eastAsia"/>
          <w:b/>
          <w:sz w:val="22"/>
          <w:rtl/>
        </w:rPr>
        <w:t>ספק</w:t>
      </w:r>
      <w:r w:rsidRPr="00632224">
        <w:rPr>
          <w:rFonts w:ascii="Century" w:hAnsi="Century" w:cs="Miriam"/>
          <w:b/>
          <w:sz w:val="22"/>
          <w:rtl/>
        </w:rPr>
        <w:t xml:space="preserve"> </w:t>
      </w:r>
      <w:r w:rsidRPr="00632224">
        <w:rPr>
          <w:rFonts w:ascii="Century" w:hAnsi="Century" w:cs="Miriam" w:hint="eastAsia"/>
          <w:b/>
          <w:sz w:val="22"/>
          <w:rtl/>
        </w:rPr>
        <w:t>בעינינו</w:t>
      </w:r>
      <w:r w:rsidRPr="00632224">
        <w:rPr>
          <w:rFonts w:ascii="Century" w:hAnsi="Century" w:cs="Miriam"/>
          <w:b/>
          <w:sz w:val="22"/>
          <w:rtl/>
        </w:rPr>
        <w:t xml:space="preserve"> </w:t>
      </w:r>
      <w:r w:rsidRPr="00632224">
        <w:rPr>
          <w:rFonts w:ascii="Century" w:hAnsi="Century" w:cs="Miriam" w:hint="eastAsia"/>
          <w:b/>
          <w:sz w:val="22"/>
          <w:rtl/>
        </w:rPr>
        <w:t>כי</w:t>
      </w:r>
      <w:r w:rsidRPr="00632224">
        <w:rPr>
          <w:rFonts w:ascii="Century" w:hAnsi="Century" w:cs="Miriam"/>
          <w:b/>
          <w:sz w:val="22"/>
          <w:rtl/>
        </w:rPr>
        <w:t xml:space="preserve"> </w:t>
      </w:r>
      <w:r w:rsidRPr="00632224">
        <w:rPr>
          <w:rFonts w:ascii="Century" w:hAnsi="Century" w:cs="Miriam" w:hint="eastAsia"/>
          <w:b/>
          <w:sz w:val="22"/>
          <w:rtl/>
        </w:rPr>
        <w:t>הממשלה</w:t>
      </w:r>
      <w:r w:rsidRPr="00632224">
        <w:rPr>
          <w:rFonts w:ascii="Century" w:hAnsi="Century" w:cs="Miriam"/>
          <w:b/>
          <w:sz w:val="22"/>
          <w:rtl/>
        </w:rPr>
        <w:t xml:space="preserve"> </w:t>
      </w:r>
      <w:r w:rsidRPr="00632224">
        <w:rPr>
          <w:rFonts w:ascii="Century" w:hAnsi="Century" w:cs="Miriam" w:hint="eastAsia"/>
          <w:b/>
          <w:sz w:val="22"/>
          <w:rtl/>
        </w:rPr>
        <w:t>לא</w:t>
      </w:r>
      <w:r w:rsidRPr="00632224">
        <w:rPr>
          <w:rFonts w:ascii="Century" w:hAnsi="Century" w:cs="Miriam"/>
          <w:b/>
          <w:sz w:val="22"/>
          <w:rtl/>
        </w:rPr>
        <w:t xml:space="preserve"> </w:t>
      </w:r>
      <w:r w:rsidRPr="00632224">
        <w:rPr>
          <w:rFonts w:ascii="Century" w:hAnsi="Century" w:cs="Miriam" w:hint="eastAsia"/>
          <w:b/>
          <w:sz w:val="22"/>
          <w:rtl/>
        </w:rPr>
        <w:t>תעשה</w:t>
      </w:r>
      <w:r w:rsidRPr="00632224">
        <w:rPr>
          <w:rFonts w:ascii="Century" w:hAnsi="Century" w:cs="Miriam"/>
          <w:b/>
          <w:sz w:val="22"/>
          <w:rtl/>
        </w:rPr>
        <w:t xml:space="preserve"> </w:t>
      </w:r>
      <w:r w:rsidRPr="00632224">
        <w:rPr>
          <w:rFonts w:ascii="Century" w:hAnsi="Century" w:cs="Miriam" w:hint="eastAsia"/>
          <w:b/>
          <w:sz w:val="22"/>
          <w:rtl/>
        </w:rPr>
        <w:t>כל</w:t>
      </w:r>
      <w:r w:rsidRPr="00632224">
        <w:rPr>
          <w:rFonts w:ascii="Century" w:hAnsi="Century" w:cs="Miriam"/>
          <w:b/>
          <w:sz w:val="22"/>
          <w:rtl/>
        </w:rPr>
        <w:t xml:space="preserve"> </w:t>
      </w:r>
      <w:r w:rsidRPr="00632224">
        <w:rPr>
          <w:rFonts w:ascii="Century" w:hAnsi="Century" w:cs="Miriam" w:hint="eastAsia"/>
          <w:b/>
          <w:sz w:val="22"/>
          <w:rtl/>
        </w:rPr>
        <w:t>עיקר</w:t>
      </w:r>
      <w:r w:rsidRPr="00632224">
        <w:rPr>
          <w:rFonts w:ascii="Century" w:hAnsi="Century" w:cs="Miriam"/>
          <w:b/>
          <w:sz w:val="22"/>
          <w:rtl/>
        </w:rPr>
        <w:t xml:space="preserve"> </w:t>
      </w:r>
      <w:r w:rsidRPr="00632224">
        <w:rPr>
          <w:rFonts w:ascii="Century" w:hAnsi="Century" w:cs="Miriam" w:hint="eastAsia"/>
          <w:b/>
          <w:sz w:val="22"/>
          <w:rtl/>
        </w:rPr>
        <w:t>מעשה</w:t>
      </w:r>
      <w:r w:rsidRPr="00632224">
        <w:rPr>
          <w:rFonts w:ascii="Century" w:hAnsi="Century" w:cs="Miriam"/>
          <w:b/>
          <w:sz w:val="22"/>
          <w:rtl/>
        </w:rPr>
        <w:t xml:space="preserve"> </w:t>
      </w:r>
      <w:r w:rsidRPr="00632224">
        <w:rPr>
          <w:rFonts w:ascii="Century" w:hAnsi="Century" w:cs="Miriam" w:hint="eastAsia"/>
          <w:b/>
          <w:sz w:val="22"/>
          <w:rtl/>
        </w:rPr>
        <w:t>שהיועץ</w:t>
      </w:r>
      <w:r w:rsidRPr="00632224">
        <w:rPr>
          <w:rFonts w:ascii="Century" w:hAnsi="Century" w:cs="Miriam"/>
          <w:b/>
          <w:sz w:val="22"/>
          <w:rtl/>
        </w:rPr>
        <w:t xml:space="preserve"> </w:t>
      </w:r>
      <w:r w:rsidRPr="00632224">
        <w:rPr>
          <w:rFonts w:ascii="Century" w:hAnsi="Century" w:cs="Miriam" w:hint="eastAsia"/>
          <w:b/>
          <w:sz w:val="22"/>
          <w:rtl/>
        </w:rPr>
        <w:t>המשפטי</w:t>
      </w:r>
      <w:r w:rsidRPr="00632224">
        <w:rPr>
          <w:rFonts w:ascii="Century" w:hAnsi="Century" w:cs="Miriam"/>
          <w:b/>
          <w:sz w:val="22"/>
          <w:rtl/>
        </w:rPr>
        <w:t xml:space="preserve"> </w:t>
      </w:r>
      <w:r w:rsidRPr="00632224">
        <w:rPr>
          <w:rFonts w:ascii="Century" w:hAnsi="Century" w:cs="Miriam" w:hint="eastAsia"/>
          <w:b/>
          <w:sz w:val="22"/>
          <w:rtl/>
        </w:rPr>
        <w:t>יכריז</w:t>
      </w:r>
      <w:r w:rsidRPr="00632224">
        <w:rPr>
          <w:rFonts w:ascii="Century" w:hAnsi="Century" w:cs="Miriam"/>
          <w:b/>
          <w:sz w:val="22"/>
          <w:rtl/>
        </w:rPr>
        <w:t xml:space="preserve"> </w:t>
      </w:r>
      <w:r w:rsidRPr="00632224">
        <w:rPr>
          <w:rFonts w:ascii="Century" w:hAnsi="Century" w:cs="Miriam" w:hint="eastAsia"/>
          <w:b/>
          <w:sz w:val="22"/>
          <w:rtl/>
        </w:rPr>
        <w:t>עליו</w:t>
      </w:r>
      <w:r w:rsidRPr="00632224">
        <w:rPr>
          <w:rFonts w:ascii="Century" w:hAnsi="Century" w:cs="Miriam"/>
          <w:b/>
          <w:sz w:val="22"/>
          <w:rtl/>
        </w:rPr>
        <w:t xml:space="preserve"> </w:t>
      </w:r>
      <w:r w:rsidRPr="00632224">
        <w:rPr>
          <w:rFonts w:ascii="Century" w:hAnsi="Century" w:cs="Miriam" w:hint="eastAsia"/>
          <w:b/>
          <w:sz w:val="22"/>
          <w:rtl/>
        </w:rPr>
        <w:t>כבלתי</w:t>
      </w:r>
      <w:r w:rsidRPr="00632224">
        <w:rPr>
          <w:rFonts w:ascii="Century" w:hAnsi="Century" w:cs="Miriam"/>
          <w:b/>
          <w:sz w:val="22"/>
          <w:rtl/>
        </w:rPr>
        <w:t xml:space="preserve"> </w:t>
      </w:r>
      <w:r w:rsidRPr="00632224">
        <w:rPr>
          <w:rFonts w:ascii="Century" w:hAnsi="Century" w:cs="Miriam" w:hint="eastAsia"/>
          <w:b/>
          <w:sz w:val="22"/>
          <w:rtl/>
        </w:rPr>
        <w:t>חוקי</w:t>
      </w:r>
      <w:r w:rsidRPr="00632224">
        <w:rPr>
          <w:rFonts w:ascii="Arial TUR" w:hAnsi="Arial TUR" w:cs="FrankRuehl" w:hint="cs"/>
          <w:spacing w:val="10"/>
          <w:sz w:val="22"/>
          <w:szCs w:val="28"/>
          <w:rtl/>
        </w:rPr>
        <w:t xml:space="preserve">" (בג"ץ 3301/15 </w:t>
      </w:r>
      <w:r w:rsidRPr="00632224">
        <w:rPr>
          <w:rFonts w:cs="Miriam" w:hint="cs"/>
          <w:sz w:val="28"/>
          <w:rtl/>
        </w:rPr>
        <w:t>גלאון נ' סיעת הליכוד</w:t>
      </w:r>
      <w:r w:rsidRPr="00632224">
        <w:rPr>
          <w:rFonts w:ascii="Century" w:hAnsi="Century" w:cs="FrankRuehl"/>
          <w:spacing w:val="10"/>
          <w:sz w:val="22"/>
          <w:szCs w:val="28"/>
          <w:rtl/>
        </w:rPr>
        <w:t>,</w:t>
      </w:r>
      <w:r w:rsidRPr="00632224">
        <w:rPr>
          <w:rFonts w:cs="Miriam" w:hint="cs"/>
          <w:sz w:val="28"/>
          <w:rtl/>
        </w:rPr>
        <w:t xml:space="preserve"> </w:t>
      </w:r>
      <w:r w:rsidRPr="00632224">
        <w:rPr>
          <w:rFonts w:ascii="Century" w:hAnsi="Century" w:cs="FrankRuehl" w:hint="eastAsia"/>
          <w:spacing w:val="10"/>
          <w:sz w:val="22"/>
          <w:szCs w:val="28"/>
          <w:rtl/>
        </w:rPr>
        <w:t>פסקה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w:t>
      </w:r>
      <w:r w:rsidRPr="00632224">
        <w:rPr>
          <w:rFonts w:ascii="Century" w:hAnsi="Century" w:cs="FrankRuehl"/>
          <w:spacing w:val="10"/>
          <w:sz w:val="22"/>
          <w:szCs w:val="28"/>
          <w:rtl/>
        </w:rPr>
        <w:t xml:space="preserve">"ד </w:t>
      </w:r>
      <w:r w:rsidRPr="00632224">
        <w:rPr>
          <w:rFonts w:ascii="Century" w:hAnsi="Century" w:cs="FrankRuehl" w:hint="eastAsia"/>
          <w:spacing w:val="10"/>
          <w:sz w:val="22"/>
          <w:szCs w:val="28"/>
          <w:rtl/>
        </w:rPr>
        <w:t>לפסק</w:t>
      </w:r>
      <w:r w:rsidRPr="00632224">
        <w:rPr>
          <w:rFonts w:ascii="Century" w:hAnsi="Century" w:cs="FrankRuehl"/>
          <w:spacing w:val="10"/>
          <w:sz w:val="22"/>
          <w:szCs w:val="28"/>
          <w:rtl/>
        </w:rPr>
        <w:t xml:space="preserve"> דינו של </w:t>
      </w:r>
      <w:r w:rsidRPr="00632224">
        <w:rPr>
          <w:rFonts w:ascii="Century" w:hAnsi="Century" w:cs="FrankRuehl" w:hint="cs"/>
          <w:spacing w:val="10"/>
          <w:sz w:val="22"/>
          <w:szCs w:val="28"/>
          <w:rtl/>
        </w:rPr>
        <w:t xml:space="preserve">המשנה לנשיאה </w:t>
      </w:r>
      <w:r w:rsidRPr="00632224">
        <w:rPr>
          <w:rFonts w:cs="Miriam" w:hint="cs"/>
          <w:sz w:val="28"/>
          <w:rtl/>
        </w:rPr>
        <w:t xml:space="preserve">רובינשטיין </w:t>
      </w:r>
      <w:r w:rsidRPr="00632224">
        <w:rPr>
          <w:rFonts w:cs="FrankRuehl" w:hint="cs"/>
          <w:spacing w:val="10"/>
          <w:sz w:val="22"/>
          <w:szCs w:val="28"/>
          <w:rtl/>
        </w:rPr>
        <w:t xml:space="preserve">(29.6.2015) (הדגשה הוספה </w:t>
      </w:r>
      <w:r w:rsidRPr="00632224">
        <w:rPr>
          <w:rFonts w:cs="FrankRuehl"/>
          <w:spacing w:val="10"/>
          <w:sz w:val="22"/>
          <w:szCs w:val="28"/>
          <w:rtl/>
        </w:rPr>
        <w:t>–</w:t>
      </w:r>
      <w:r w:rsidRPr="00632224">
        <w:rPr>
          <w:rFonts w:cs="FrankRuehl" w:hint="cs"/>
          <w:spacing w:val="10"/>
          <w:sz w:val="22"/>
          <w:szCs w:val="28"/>
          <w:rtl/>
        </w:rPr>
        <w:t xml:space="preserve"> י"ע)). מה שהיה בעבר בגדר "אין ספק" התבדה, והתיקון לחוק היסוד נעשה בניגוד לעמדתה של היועצת המשפטית לממשלה. </w:t>
      </w:r>
    </w:p>
    <w:p w:rsidR="00244560" w:rsidRPr="00632224" w:rsidRDefault="00244560" w:rsidP="00244560">
      <w:pPr>
        <w:tabs>
          <w:tab w:val="left" w:pos="800"/>
        </w:tabs>
        <w:spacing w:line="360" w:lineRule="auto"/>
        <w:jc w:val="both"/>
        <w:rPr>
          <w:rFonts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109.</w:t>
      </w: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ונחזור לשאלה שלפנינו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האם יש לבחון את התיקון לחוק היסוד על רקע מכלול החקיקה שנמצאת "בצנרת" כעמדת היועצת המשפטית לממשלה? לדידי, החוק דנן, כשלעצמו ובבדידותו, כבר פוגע במספר גרעינים דמוקרטיים כפי שפורט לעיל. לכן, אותיר את עמדת היועצת המשפטית בצריך עיון.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bookmarkStart w:id="33" w:name="_Toc151478752"/>
      <w:r w:rsidRPr="00632224">
        <w:rPr>
          <w:rFonts w:ascii="Cambria" w:hAnsi="Cambria" w:cs="Miriam" w:hint="cs"/>
          <w:sz w:val="32"/>
          <w:rtl/>
        </w:rPr>
        <w:t>הערות לעמדת הממשלה</w:t>
      </w:r>
      <w:bookmarkEnd w:id="33"/>
    </w:p>
    <w:p w:rsidR="00244560" w:rsidRPr="00632224"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tabs>
          <w:tab w:val="left" w:pos="800"/>
        </w:tabs>
        <w:spacing w:line="360" w:lineRule="auto"/>
        <w:jc w:val="both"/>
        <w:rPr>
          <w:rFonts w:ascii="Arial TUR" w:hAnsi="Arial TUR" w:cs="FrankRuehl"/>
          <w:spacing w:val="10"/>
          <w:sz w:val="28"/>
          <w:szCs w:val="28"/>
          <w:rtl/>
        </w:rPr>
      </w:pPr>
      <w:r w:rsidRPr="00632224">
        <w:rPr>
          <w:rFonts w:ascii="Century" w:hAnsi="Century" w:cs="FrankRuehl" w:hint="cs"/>
          <w:spacing w:val="10"/>
          <w:sz w:val="22"/>
          <w:szCs w:val="28"/>
          <w:rtl/>
        </w:rPr>
        <w:t>110.</w:t>
      </w:r>
      <w:r w:rsidRPr="00632224">
        <w:rPr>
          <w:rFonts w:ascii="Century" w:hAnsi="Century" w:cs="FrankRuehl" w:hint="cs"/>
          <w:spacing w:val="10"/>
          <w:sz w:val="22"/>
          <w:szCs w:val="28"/>
          <w:rtl/>
        </w:rPr>
        <w:tab/>
        <w:t xml:space="preserve">מתשובת הממשלה עשויה להשתמע תפיסה פשטנית של </w:t>
      </w:r>
      <w:r w:rsidRPr="00632224">
        <w:rPr>
          <w:rFonts w:ascii="Arial TUR" w:hAnsi="Arial TUR" w:cs="FrankRuehl" w:hint="cs"/>
          <w:spacing w:val="10"/>
          <w:sz w:val="22"/>
          <w:szCs w:val="28"/>
          <w:rtl/>
        </w:rPr>
        <w:t xml:space="preserve">דמוקרטיה פורמלית-רובנית, </w:t>
      </w:r>
      <w:r w:rsidRPr="00632224">
        <w:rPr>
          <w:rFonts w:ascii="Century" w:hAnsi="Century" w:cs="FrankRuehl" w:hint="cs"/>
          <w:spacing w:val="10"/>
          <w:sz w:val="22"/>
          <w:szCs w:val="28"/>
          <w:rtl/>
        </w:rPr>
        <w:t xml:space="preserve">שלפיה הרוב יכול לקבוע </w:t>
      </w:r>
      <w:r w:rsidRPr="00632224">
        <w:rPr>
          <w:rFonts w:ascii="Century" w:hAnsi="Century" w:cs="Miriam" w:hint="cs"/>
          <w:b/>
          <w:sz w:val="22"/>
          <w:rtl/>
        </w:rPr>
        <w:t>ה-כ-ל</w:t>
      </w:r>
      <w:r w:rsidRPr="00632224">
        <w:rPr>
          <w:rFonts w:ascii="Century" w:hAnsi="Century" w:cs="FrankRuehl" w:hint="cs"/>
          <w:spacing w:val="10"/>
          <w:sz w:val="22"/>
          <w:szCs w:val="28"/>
          <w:rtl/>
        </w:rPr>
        <w:t xml:space="preserve">, וזאת כפועל יוצא מכך שהרוב הוא הריבון וככזה </w:t>
      </w:r>
      <w:r w:rsidRPr="00632224">
        <w:rPr>
          <w:rFonts w:ascii="Century" w:hAnsi="Century" w:cs="FrankRuehl" w:hint="cs"/>
          <w:spacing w:val="10"/>
          <w:sz w:val="22"/>
          <w:szCs w:val="28"/>
          <w:rtl/>
        </w:rPr>
        <w:lastRenderedPageBreak/>
        <w:t>הוא שמבטא את "רצון העם" (או שמא רצון ההמון) או את ריבונות העם (</w:t>
      </w:r>
      <w:r w:rsidRPr="00632224">
        <w:rPr>
          <w:rFonts w:cs="Times New Roman"/>
          <w:spacing w:val="10"/>
          <w:sz w:val="22"/>
          <w:szCs w:val="28"/>
        </w:rPr>
        <w:t>popular sovereignty</w:t>
      </w:r>
      <w:r w:rsidRPr="00632224">
        <w:rPr>
          <w:rFonts w:ascii="Arial TUR" w:hAnsi="Arial TUR" w:cs="FrankRuehl" w:hint="cs"/>
          <w:spacing w:val="10"/>
          <w:sz w:val="22"/>
          <w:szCs w:val="28"/>
          <w:rtl/>
        </w:rPr>
        <w:t>)</w:t>
      </w:r>
      <w:r w:rsidRPr="00632224">
        <w:rPr>
          <w:rFonts w:ascii="Century" w:hAnsi="Century" w:cs="FrankRuehl" w:hint="cs"/>
          <w:spacing w:val="10"/>
          <w:sz w:val="22"/>
          <w:szCs w:val="28"/>
          <w:rtl/>
        </w:rPr>
        <w:t xml:space="preserve"> [במאמר מוסגר אציין כי </w:t>
      </w:r>
      <w:r w:rsidRPr="00632224">
        <w:rPr>
          <w:rFonts w:ascii="Arial TUR" w:hAnsi="Arial TUR" w:cs="FrankRuehl" w:hint="cs"/>
          <w:spacing w:val="10"/>
          <w:sz w:val="28"/>
          <w:szCs w:val="28"/>
          <w:rtl/>
        </w:rPr>
        <w:t xml:space="preserve">ניתן גם לפקפק באקסיומה לפיה כל החלטה של שר משקפת בהכרח את "רצון העם". כך בעידן הפריימריז, וכך במציאות הקואליציונית, כאשר מפלגה קטנה כופה את רצונה על הרוב. לכן, בנקודה זו, אני מסכים עם חברי, השופט </w:t>
      </w:r>
      <w:r w:rsidRPr="00632224">
        <w:rPr>
          <w:rFonts w:ascii="Century" w:hAnsi="Century" w:cs="Miriam" w:hint="eastAsia"/>
          <w:b/>
          <w:sz w:val="22"/>
          <w:rtl/>
        </w:rPr>
        <w:t>שטיין</w:t>
      </w:r>
      <w:r w:rsidRPr="00632224">
        <w:rPr>
          <w:rFonts w:ascii="Arial TUR" w:hAnsi="Arial TUR" w:cs="FrankRuehl" w:hint="cs"/>
          <w:spacing w:val="10"/>
          <w:sz w:val="28"/>
          <w:szCs w:val="28"/>
          <w:rtl/>
        </w:rPr>
        <w:t xml:space="preserve">, כי המושג "רצון העם" הוא מושג אמורפי].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תפיסה פשטנית זו מתעלמת מכך ש</w:t>
      </w:r>
      <w:r w:rsidRPr="00632224">
        <w:rPr>
          <w:rFonts w:ascii="Arial TUR" w:hAnsi="Arial TUR" w:cs="FrankRuehl" w:hint="cs"/>
          <w:spacing w:val="10"/>
          <w:sz w:val="22"/>
          <w:szCs w:val="28"/>
          <w:rtl/>
        </w:rPr>
        <w:t xml:space="preserve">השיח החוקתי נועד מלכתחילה להגן על המיעוט מפני </w:t>
      </w:r>
      <w:r w:rsidRPr="00632224">
        <w:rPr>
          <w:rFonts w:ascii="Arial TUR" w:hAnsi="Arial TUR" w:cs="FrankRuehl" w:hint="cs"/>
          <w:spacing w:val="10"/>
          <w:sz w:val="28"/>
          <w:szCs w:val="28"/>
          <w:rtl/>
        </w:rPr>
        <w:t>"עריצות הרוב" (</w:t>
      </w:r>
      <w:r w:rsidRPr="00632224">
        <w:rPr>
          <w:rFonts w:cs="Times New Roman"/>
          <w:spacing w:val="10"/>
          <w:sz w:val="22"/>
          <w:szCs w:val="28"/>
        </w:rPr>
        <w:t>tyranny of the majority</w:t>
      </w:r>
      <w:r w:rsidRPr="00632224">
        <w:rPr>
          <w:rFonts w:ascii="Arial TUR" w:hAnsi="Arial TUR" w:cs="FrankRuehl" w:hint="cs"/>
          <w:spacing w:val="10"/>
          <w:sz w:val="28"/>
          <w:szCs w:val="28"/>
          <w:rtl/>
        </w:rPr>
        <w:t>), ומכך שמטרת התיקון היא לחזק עוד יותר את כוחה הרב ממילא של הרשות המבצעת בישראל. אין לי אלא להזכיר את המימרות הידועות לפיהן "כוח משחית, וכוח מוחלט משחית באופן מוחלט", וכידוע "</w:t>
      </w:r>
      <w:r w:rsidRPr="00632224">
        <w:rPr>
          <w:rFonts w:ascii="Arial TUR" w:hAnsi="Arial TUR" w:cs="FrankRuehl"/>
          <w:spacing w:val="10"/>
          <w:sz w:val="22"/>
          <w:szCs w:val="28"/>
          <w:rtl/>
        </w:rPr>
        <w:t>סמכויות בלתי מוגבלות של רשויות השלטון נוגדות את האופי הדמוקרטי של המשטר</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בצדק ציין השופט ד</w:t>
      </w:r>
      <w:r w:rsidRPr="00632224">
        <w:rPr>
          <w:rFonts w:ascii="Arial TUR" w:hAnsi="Arial TUR" w:cs="FrankRuehl" w:hint="cs"/>
          <w:spacing w:val="10"/>
          <w:sz w:val="22"/>
          <w:szCs w:val="28"/>
          <w:rtl/>
        </w:rPr>
        <w:t>א</w:t>
      </w:r>
      <w:r w:rsidRPr="00632224">
        <w:rPr>
          <w:rFonts w:ascii="Arial TUR" w:hAnsi="Arial TUR" w:cs="FrankRuehl"/>
          <w:spacing w:val="10"/>
          <w:sz w:val="22"/>
          <w:szCs w:val="28"/>
          <w:rtl/>
        </w:rPr>
        <w:t>גלס (</w:t>
      </w:r>
      <w:r w:rsidRPr="00632224">
        <w:rPr>
          <w:rFonts w:cs="Times New Roman"/>
          <w:spacing w:val="10"/>
          <w:sz w:val="22"/>
          <w:szCs w:val="28"/>
        </w:rPr>
        <w:t>Douglas</w:t>
      </w:r>
      <w:r w:rsidRPr="00632224">
        <w:rPr>
          <w:rFonts w:ascii="Arial TUR" w:hAnsi="Arial TUR" w:cs="FrankRuehl"/>
          <w:spacing w:val="10"/>
          <w:sz w:val="22"/>
          <w:szCs w:val="28"/>
          <w:rtl/>
        </w:rPr>
        <w:t xml:space="preserve">) כי סמכויות מוחלטות הן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תחילה סופה של החירו</w:t>
      </w:r>
      <w:r w:rsidRPr="00632224">
        <w:rPr>
          <w:rFonts w:ascii="Arial TUR" w:hAnsi="Arial TUR" w:cs="FrankRuehl" w:hint="cs"/>
          <w:spacing w:val="10"/>
          <w:sz w:val="22"/>
          <w:szCs w:val="28"/>
          <w:rtl/>
        </w:rPr>
        <w:t xml:space="preserve">ת" (וראו עניין </w:t>
      </w:r>
      <w:r w:rsidRPr="00632224">
        <w:rPr>
          <w:rFonts w:ascii="Century" w:hAnsi="Century" w:cs="Miriam" w:hint="cs"/>
          <w:b/>
          <w:sz w:val="22"/>
          <w:rtl/>
        </w:rPr>
        <w:t>ברזילי</w:t>
      </w:r>
      <w:r w:rsidRPr="00632224">
        <w:rPr>
          <w:rFonts w:ascii="Century" w:hAnsi="Century" w:cs="FrankRuehl"/>
          <w:spacing w:val="10"/>
          <w:sz w:val="22"/>
          <w:szCs w:val="28"/>
          <w:rtl/>
        </w:rPr>
        <w:t>,</w:t>
      </w:r>
      <w:r w:rsidRPr="00632224">
        <w:rPr>
          <w:rFonts w:ascii="Century" w:hAnsi="Century" w:cs="Miriam" w:hint="cs"/>
          <w:b/>
          <w:sz w:val="22"/>
          <w:rtl/>
        </w:rPr>
        <w:t xml:space="preserve"> </w:t>
      </w:r>
      <w:r w:rsidRPr="00632224">
        <w:rPr>
          <w:rFonts w:ascii="Century" w:hAnsi="Century" w:cs="FrankRuehl" w:hint="eastAsia"/>
          <w:spacing w:val="10"/>
          <w:sz w:val="22"/>
          <w:szCs w:val="28"/>
          <w:rtl/>
        </w:rPr>
        <w:t>ב</w:t>
      </w:r>
      <w:r w:rsidRPr="00632224">
        <w:rPr>
          <w:rFonts w:ascii="Century" w:hAnsi="Century" w:cs="FrankRuehl" w:hint="cs"/>
          <w:spacing w:val="10"/>
          <w:sz w:val="22"/>
          <w:szCs w:val="28"/>
          <w:rtl/>
        </w:rPr>
        <w:t>עמ'</w:t>
      </w:r>
      <w:r w:rsidRPr="00632224">
        <w:rPr>
          <w:rFonts w:ascii="Arial TUR" w:hAnsi="Arial TUR" w:cs="FrankRuehl" w:hint="cs"/>
          <w:spacing w:val="10"/>
          <w:sz w:val="22"/>
          <w:szCs w:val="28"/>
          <w:rtl/>
        </w:rPr>
        <w:t xml:space="preserve"> 588). </w:t>
      </w:r>
      <w:r w:rsidRPr="00632224">
        <w:rPr>
          <w:rFonts w:ascii="Century" w:hAnsi="Century" w:cs="FrankRuehl" w:hint="cs"/>
          <w:spacing w:val="10"/>
          <w:sz w:val="22"/>
          <w:szCs w:val="28"/>
          <w:rtl/>
        </w:rPr>
        <w:t xml:space="preserve">הכשל בתפיסה פשטנית מומחש באלגוריה הבאה: </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תסמכי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עלינו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אומרים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ארבעה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זאבים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לכבשה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בבואם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לבחור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בשיטת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הרוב</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קובע</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המנה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העיקרית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לארוחת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הערב</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שהרי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חזקה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הזאבים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יפגינו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עניין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אמיתי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באיכות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חייה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ואריכות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ימיה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ושלומה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הכבשה</w:t>
      </w:r>
      <w:r w:rsidRPr="00632224">
        <w:rPr>
          <w:rFonts w:ascii="Arial TUR" w:hAnsi="Arial TUR" w:cs="FrankRuehl"/>
          <w:spacing w:val="10"/>
          <w:sz w:val="22"/>
          <w:szCs w:val="28"/>
          <w:rtl/>
        </w:rPr>
        <w:t>.</w:t>
      </w:r>
    </w:p>
    <w:p w:rsidR="00244560" w:rsidRPr="00632224" w:rsidRDefault="00244560" w:rsidP="00244560">
      <w:pPr>
        <w:tabs>
          <w:tab w:val="left" w:pos="800"/>
        </w:tabs>
        <w:spacing w:line="360" w:lineRule="auto"/>
        <w:jc w:val="both"/>
        <w:rPr>
          <w:rFonts w:ascii="Arial TUR" w:hAnsi="Arial TUR" w:cs="FrankRuehl"/>
          <w:spacing w:val="10"/>
          <w:sz w:val="28"/>
          <w:szCs w:val="28"/>
          <w:rtl/>
        </w:rPr>
      </w:pPr>
    </w:p>
    <w:p w:rsidR="00244560" w:rsidRPr="00632224" w:rsidRDefault="00244560" w:rsidP="00244560">
      <w:pPr>
        <w:tabs>
          <w:tab w:val="left" w:pos="800"/>
        </w:tabs>
        <w:spacing w:line="360" w:lineRule="auto"/>
        <w:jc w:val="both"/>
        <w:rPr>
          <w:rFonts w:ascii="Arial TUR" w:hAnsi="Arial TUR" w:cs="Miriam"/>
          <w:b/>
          <w:sz w:val="22"/>
          <w:rtl/>
        </w:rPr>
      </w:pPr>
      <w:r w:rsidRPr="00632224">
        <w:rPr>
          <w:rFonts w:ascii="Arial TUR" w:hAnsi="Arial TUR" w:cs="FrankRuehl"/>
          <w:spacing w:val="10"/>
          <w:sz w:val="28"/>
          <w:szCs w:val="28"/>
          <w:rtl/>
        </w:rPr>
        <w:tab/>
      </w:r>
      <w:r w:rsidRPr="00632224">
        <w:rPr>
          <w:rFonts w:ascii="Century" w:hAnsi="Century" w:cs="FrankRuehl" w:hint="cs"/>
          <w:spacing w:val="10"/>
          <w:sz w:val="22"/>
          <w:szCs w:val="28"/>
          <w:rtl/>
        </w:rPr>
        <w:t>התזה שנבחרי הציבור שהם נציגי הרוב יכולים לעשות ה-כ-ל, ובלבד שיעשו כן בחוק יסוד, משמעה חריגה מיפוי הכוח ומהמנדט שניתן להם. יפוי הכוח שניתן לנבחרי הציבור מאפשר להם במסגרת כללי המשחק לעשות כמעט הכל</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 xml:space="preserve">אך אינו מאפשר להם להשתחרר מכל מגבלה על כוחם.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8"/>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כפי שהסברתי בהרחבה לעיל, התיקון לחוק מסיר את אחת המגבלות המעטות שעוד קיימות על כוחה של הרשות המבצעת.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Cs w:val="28"/>
          <w:rtl/>
        </w:rPr>
      </w:pPr>
      <w:r w:rsidRPr="00632224">
        <w:rPr>
          <w:rFonts w:ascii="Century" w:hAnsi="Century" w:cs="FrankRuehl" w:hint="cs"/>
          <w:spacing w:val="10"/>
          <w:sz w:val="22"/>
          <w:szCs w:val="28"/>
          <w:rtl/>
        </w:rPr>
        <w:t>111.</w:t>
      </w:r>
      <w:r w:rsidRPr="00632224">
        <w:rPr>
          <w:rFonts w:ascii="Century" w:hAnsi="Century" w:cs="FrankRuehl" w:hint="cs"/>
          <w:spacing w:val="10"/>
          <w:sz w:val="22"/>
          <w:szCs w:val="28"/>
          <w:rtl/>
        </w:rPr>
        <w:tab/>
        <w:t>בתשובת הממשלה אנו מוצאים את הציטוט הבא, שאותו הפנתה הממשלה כלפי בית משפט זה: "</w:t>
      </w:r>
      <w:r w:rsidRPr="00632224">
        <w:rPr>
          <w:rFonts w:ascii="Arial TUR" w:hAnsi="Arial TUR" w:cs="FrankRuehl" w:hint="cs"/>
          <w:spacing w:val="10"/>
          <w:sz w:val="28"/>
          <w:szCs w:val="28"/>
          <w:rtl/>
        </w:rPr>
        <w:t>הֲיִתְפָּאֵר הַגַּרְזֶן עַל הַחֹצֵב בּוֹ אִם-יִתְגַּדֵּל הַמַּשּׂוֹר עַל מְנִיפוֹ"</w:t>
      </w:r>
      <w:r w:rsidRPr="00632224">
        <w:rPr>
          <w:rFonts w:ascii="Arial TUR" w:hAnsi="Arial TUR" w:cs="FrankRuehl" w:hint="cs"/>
          <w:spacing w:val="10"/>
          <w:sz w:val="22"/>
          <w:szCs w:val="28"/>
          <w:rtl/>
        </w:rPr>
        <w:t xml:space="preserve"> (</w:t>
      </w:r>
      <w:r w:rsidRPr="00632224">
        <w:rPr>
          <w:rFonts w:ascii="Arial TUR" w:hAnsi="Arial TUR" w:cs="FrankRuehl" w:hint="cs"/>
          <w:spacing w:val="10"/>
          <w:sz w:val="28"/>
          <w:szCs w:val="28"/>
          <w:rtl/>
        </w:rPr>
        <w:t>ישעיהו י, טו). אין לי אלא להחזיר ציטוט זה אל פתחה של הממשלה:</w:t>
      </w:r>
    </w:p>
    <w:p w:rsidR="00244560" w:rsidRPr="00632224" w:rsidRDefault="00244560" w:rsidP="00244560">
      <w:pPr>
        <w:ind w:left="1644" w:right="1276"/>
        <w:jc w:val="both"/>
        <w:rPr>
          <w:rFonts w:ascii="Arial TUR" w:hAnsi="Arial TUR" w:cs="FrankRuehl"/>
          <w:spacing w:val="10"/>
          <w:sz w:val="28"/>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Arial TUR" w:hAnsi="Arial TUR" w:cs="FrankRuehl" w:hint="cs"/>
          <w:spacing w:val="10"/>
          <w:sz w:val="28"/>
          <w:szCs w:val="28"/>
          <w:rtl/>
        </w:rPr>
        <w:t xml:space="preserve">"המישטר </w:t>
      </w:r>
      <w:r w:rsidRPr="00632224">
        <w:rPr>
          <w:rFonts w:ascii="Arial TUR" w:hAnsi="Arial TUR" w:cs="FrankRuehl" w:hint="cs"/>
          <w:spacing w:val="10"/>
          <w:sz w:val="22"/>
          <w:szCs w:val="28"/>
          <w:rtl/>
        </w:rPr>
        <w:t>הדמוקרטי (וכמותו עקרון יהודיותה של המדינה) הוא המעטפת שבתוכה ועל פי כלליה פועלות כל רשויות השלטון [...]: '</w:t>
      </w:r>
      <w:r w:rsidRPr="00632224">
        <w:rPr>
          <w:rFonts w:ascii="Century" w:hAnsi="Century" w:cs="Miriam" w:hint="cs"/>
          <w:b/>
          <w:sz w:val="22"/>
          <w:rtl/>
        </w:rPr>
        <w:t>הֲיִתְפָּאֵר הַגַּרְזֶן עַל הַחֹצֵב בּוֹ אִם-יִתְגַּדֵּל הַמַּשּׂוֹר עַל מְנִיפו</w:t>
      </w:r>
      <w:r w:rsidRPr="00632224">
        <w:rPr>
          <w:rFonts w:ascii="Century" w:hAnsi="Century" w:cs="FrankRuehl"/>
          <w:spacing w:val="10"/>
          <w:sz w:val="22"/>
          <w:szCs w:val="28"/>
          <w:rtl/>
        </w:rPr>
        <w:t>'</w:t>
      </w:r>
      <w:r w:rsidRPr="00632224">
        <w:rPr>
          <w:rFonts w:ascii="Arial TUR" w:hAnsi="Arial TUR" w:cs="FrankRuehl" w:hint="cs"/>
          <w:spacing w:val="10"/>
          <w:sz w:val="28"/>
          <w:szCs w:val="28"/>
          <w:rtl/>
        </w:rPr>
        <w:t xml:space="preserve">[.] </w:t>
      </w:r>
      <w:r w:rsidRPr="00632224">
        <w:rPr>
          <w:rFonts w:ascii="Century" w:hAnsi="Century" w:cs="FrankRuehl" w:hint="eastAsia"/>
          <w:spacing w:val="10"/>
          <w:sz w:val="22"/>
          <w:szCs w:val="28"/>
          <w:rtl/>
        </w:rPr>
        <w:t>היחס</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בין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המעטפת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לבין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חוקי</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היסוד</w:t>
      </w:r>
      <w:r w:rsidRPr="00632224">
        <w:rPr>
          <w:rFonts w:ascii="Arial TUR" w:hAnsi="Arial TUR" w:cs="FrankRuehl" w:hint="cs"/>
          <w:spacing w:val="10"/>
          <w:sz w:val="22"/>
          <w:szCs w:val="28"/>
          <w:rtl/>
        </w:rPr>
        <w:t xml:space="preserve"> והחוקים מן-המניין הוא, בהתאמה, כיחס בין החוצב לבין הגרזן או כיחס שבין מניף המשור לבין המשור. ואמנם, </w:t>
      </w:r>
      <w:r w:rsidRPr="00632224">
        <w:rPr>
          <w:rFonts w:ascii="Century" w:hAnsi="Century" w:cs="Miriam" w:hint="cs"/>
          <w:b/>
          <w:sz w:val="22"/>
          <w:rtl/>
        </w:rPr>
        <w:t xml:space="preserve">אין זה מסמכותן ואף אין זה מדרכן של רשויות השילטון - ובהן הכנסת - לפגוע בעיקר מאותם </w:t>
      </w:r>
      <w:r w:rsidRPr="00632224">
        <w:rPr>
          <w:rFonts w:ascii="Century" w:hAnsi="Century" w:cs="Miriam" w:hint="cs"/>
          <w:b/>
          <w:sz w:val="22"/>
          <w:rtl/>
        </w:rPr>
        <w:lastRenderedPageBreak/>
        <w:t>עיקרים המהווים תשתית לחיי המדינה, לפגום בעיקר מעיקרי הדמוקרטיה</w:t>
      </w:r>
      <w:r w:rsidRPr="00632224">
        <w:rPr>
          <w:rFonts w:ascii="Arial TUR" w:hAnsi="Arial TUR" w:cs="FrankRuehl" w:hint="cs"/>
          <w:spacing w:val="10"/>
          <w:sz w:val="22"/>
          <w:szCs w:val="28"/>
          <w:rtl/>
        </w:rPr>
        <w:t xml:space="preserve">. ואם עברה הכנסת את קו הגבול התוחם את סמכויותיה, חובה היא המוטלת על בית-המשפט להעמיד דברים על מכונם, קרא, להורות על היותה של חקיקה פלונית חקיקה בטלה מעיקרה" (עניין </w:t>
      </w:r>
      <w:r w:rsidRPr="00632224">
        <w:rPr>
          <w:rFonts w:ascii="Century" w:hAnsi="Century" w:cs="Miriam" w:hint="cs"/>
          <w:b/>
          <w:sz w:val="22"/>
          <w:rtl/>
        </w:rPr>
        <w:t>גיוס בני הישיבות</w:t>
      </w:r>
      <w:r w:rsidRPr="00632224">
        <w:rPr>
          <w:rFonts w:ascii="Century" w:hAnsi="Century" w:cs="FrankRuehl"/>
          <w:spacing w:val="10"/>
          <w:sz w:val="22"/>
          <w:szCs w:val="28"/>
          <w:rtl/>
        </w:rPr>
        <w:t>,</w:t>
      </w:r>
      <w:r w:rsidRPr="00632224">
        <w:rPr>
          <w:rFonts w:ascii="Arial TUR" w:hAnsi="Arial TUR" w:cs="FrankRuehl" w:hint="cs"/>
          <w:spacing w:val="10"/>
          <w:sz w:val="22"/>
          <w:szCs w:val="28"/>
          <w:rtl/>
        </w:rPr>
        <w:t xml:space="preserve"> בפסקה 51 לפסק דינו של המשנה לנשיא (בדימ') </w:t>
      </w:r>
      <w:r w:rsidRPr="00632224">
        <w:rPr>
          <w:rFonts w:ascii="Century" w:hAnsi="Century" w:cs="Miriam" w:hint="eastAsia"/>
          <w:b/>
          <w:sz w:val="22"/>
          <w:rtl/>
        </w:rPr>
        <w:t>חשין</w:t>
      </w:r>
      <w:r w:rsidRPr="00632224">
        <w:rPr>
          <w:rFonts w:ascii="Arial TUR" w:hAnsi="Arial TUR" w:cs="FrankRuehl" w:hint="cs"/>
          <w:spacing w:val="10"/>
          <w:sz w:val="22"/>
          <w:szCs w:val="28"/>
          <w:rtl/>
        </w:rPr>
        <w:t xml:space="preserve">, הדגשות הוספו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 </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ברי כי שלטון הרוב הוא התנאי והבסיס למשטר דמוקרטי, תנאי הכרחי אך לא תנאי מספיק. </w:t>
      </w:r>
      <w:r w:rsidRPr="00632224">
        <w:rPr>
          <w:rFonts w:ascii="Century" w:hAnsi="Century" w:cs="FrankRuehl" w:hint="eastAsia"/>
          <w:spacing w:val="10"/>
          <w:sz w:val="22"/>
          <w:szCs w:val="28"/>
          <w:rtl/>
        </w:rPr>
        <w:t>אין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אלא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לצטט</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דבריו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הנשיא</w:t>
      </w:r>
      <w:r w:rsidRPr="00632224">
        <w:rPr>
          <w:rFonts w:ascii="Century" w:hAnsi="Century" w:cs="FrankRuehl"/>
          <w:spacing w:val="10"/>
          <w:sz w:val="22"/>
          <w:szCs w:val="28"/>
          <w:rtl/>
        </w:rPr>
        <w:t xml:space="preserve"> </w:t>
      </w:r>
      <w:r w:rsidRPr="00632224">
        <w:rPr>
          <w:rFonts w:ascii="Century" w:hAnsi="Century" w:cs="Miriam" w:hint="eastAsia"/>
          <w:b/>
          <w:sz w:val="22"/>
          <w:rtl/>
        </w:rPr>
        <w:t>ברק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בעניין</w:t>
      </w:r>
      <w:r w:rsidRPr="00632224">
        <w:rPr>
          <w:rFonts w:ascii="Century" w:hAnsi="Century" w:cs="FrankRuehl"/>
          <w:spacing w:val="10"/>
          <w:sz w:val="22"/>
          <w:szCs w:val="28"/>
          <w:rtl/>
        </w:rPr>
        <w:t xml:space="preserve"> </w:t>
      </w:r>
      <w:r w:rsidRPr="00632224">
        <w:rPr>
          <w:rFonts w:ascii="Century" w:hAnsi="Century" w:cs="Miriam" w:hint="eastAsia"/>
          <w:b/>
          <w:sz w:val="22"/>
          <w:rtl/>
        </w:rPr>
        <w:t>בנק</w:t>
      </w:r>
      <w:r w:rsidRPr="00632224">
        <w:rPr>
          <w:rFonts w:ascii="Century" w:hAnsi="Century" w:cs="Miriam"/>
          <w:b/>
          <w:sz w:val="22"/>
          <w:rtl/>
        </w:rPr>
        <w:t xml:space="preserve"> </w:t>
      </w:r>
      <w:r w:rsidRPr="00632224">
        <w:rPr>
          <w:rFonts w:ascii="Century" w:hAnsi="Century" w:cs="Miriam" w:hint="eastAsia"/>
          <w:b/>
          <w:sz w:val="22"/>
          <w:rtl/>
        </w:rPr>
        <w:t>המזרחי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יימצא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יושב</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בבית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זה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שיחלוק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עליהם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בעמ</w:t>
      </w:r>
      <w:r w:rsidRPr="00632224">
        <w:rPr>
          <w:rFonts w:ascii="Century" w:hAnsi="Century" w:cs="FrankRuehl"/>
          <w:spacing w:val="10"/>
          <w:sz w:val="22"/>
          <w:szCs w:val="28"/>
          <w:rtl/>
        </w:rPr>
        <w:t>' 424-423):</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spacing w:val="10"/>
          <w:sz w:val="22"/>
          <w:szCs w:val="28"/>
          <w:rtl/>
        </w:rPr>
        <w:t>"</w:t>
      </w:r>
      <w:r w:rsidRPr="00632224">
        <w:rPr>
          <w:rFonts w:ascii="Arial TUR" w:hAnsi="Arial TUR" w:cs="FrankRuehl" w:hint="eastAsia"/>
          <w:spacing w:val="10"/>
          <w:sz w:val="22"/>
          <w:szCs w:val="28"/>
          <w:rtl/>
        </w:rPr>
        <w:t>דמוקרטיה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אינה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רק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שלטון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הרוב</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דמוקרטיה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גם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שלטונם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ערכי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היסוד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וזכויות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האדם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כפי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שנתגבשו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בחוקה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דמוקרטיה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איזון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עדין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בין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שלטון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הרוב</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לבין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ערכי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היסוד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החברה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השולטים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הרוב</w:t>
      </w:r>
      <w:r w:rsidRPr="00632224">
        <w:rPr>
          <w:rFonts w:ascii="Arial TUR" w:hAnsi="Arial TUR" w:cs="FrankRuehl"/>
          <w:spacing w:val="10"/>
          <w:sz w:val="22"/>
          <w:szCs w:val="28"/>
          <w:rtl/>
        </w:rPr>
        <w:t xml:space="preserve">. [...] </w:t>
      </w:r>
      <w:r w:rsidRPr="00632224">
        <w:rPr>
          <w:rFonts w:ascii="Arial TUR" w:hAnsi="Arial TUR" w:cs="FrankRuehl" w:hint="eastAsia"/>
          <w:spacing w:val="10"/>
          <w:sz w:val="22"/>
          <w:szCs w:val="28"/>
          <w:rtl/>
        </w:rPr>
        <w:t>טול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מהדמוקרטיה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החוקתית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שלטון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הרוב</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ופגעת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בעצם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מהותה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טול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מהדמוקרטיה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החוקתית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שלטונם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ערכי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היסוד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ופגעת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בעצם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קיומה</w:t>
      </w:r>
      <w:r w:rsidRPr="00632224">
        <w:rPr>
          <w:rFonts w:ascii="Arial TUR" w:hAnsi="Arial TUR" w:cs="FrankRuehl"/>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Cs w:val="28"/>
          <w:rtl/>
        </w:rPr>
      </w:pPr>
    </w:p>
    <w:p w:rsidR="00244560" w:rsidRPr="00632224" w:rsidRDefault="00244560" w:rsidP="00244560">
      <w:pPr>
        <w:tabs>
          <w:tab w:val="left" w:pos="800"/>
        </w:tabs>
        <w:spacing w:line="360" w:lineRule="auto"/>
        <w:jc w:val="both"/>
        <w:rPr>
          <w:rFonts w:ascii="Century" w:hAnsi="Century" w:cs="FrankRuehl"/>
          <w:spacing w:val="10"/>
          <w:szCs w:val="28"/>
          <w:rtl/>
        </w:rPr>
      </w:pPr>
      <w:r w:rsidRPr="00632224">
        <w:rPr>
          <w:rFonts w:ascii="Century" w:hAnsi="Century" w:cs="FrankRuehl" w:hint="cs"/>
          <w:spacing w:val="10"/>
          <w:sz w:val="22"/>
          <w:szCs w:val="28"/>
          <w:rtl/>
        </w:rPr>
        <w:t>112.</w:t>
      </w:r>
      <w:r w:rsidRPr="00632224">
        <w:rPr>
          <w:rFonts w:ascii="Century" w:hAnsi="Century" w:cs="FrankRuehl" w:hint="cs"/>
          <w:spacing w:val="10"/>
          <w:sz w:val="22"/>
          <w:szCs w:val="28"/>
          <w:rtl/>
        </w:rPr>
        <w:tab/>
        <w:t xml:space="preserve">בתשובת הממשלה </w:t>
      </w:r>
      <w:r w:rsidRPr="00632224">
        <w:rPr>
          <w:rFonts w:ascii="Century" w:hAnsi="Century" w:cs="FrankRuehl" w:hint="cs"/>
          <w:spacing w:val="10"/>
          <w:szCs w:val="28"/>
          <w:rtl/>
        </w:rPr>
        <w:t xml:space="preserve">אנו מוצאים אמירות בנוסח "אין כל סיבה להניח שהפרלמנט יהיה זה שיפגע קשות בזכויות או במשטר הדמוקרטי, יותר מאשר בית המשפט" (בפסקה 282); "העברת הריבונות לידי מי שאומנותו משפט" (פסקה 29 לתשובה המשלימה של הממשלה); וכן את השאלה מי ישלוט </w:t>
      </w:r>
      <w:r w:rsidRPr="00632224">
        <w:rPr>
          <w:rFonts w:ascii="Century" w:hAnsi="Century" w:cs="FrankRuehl"/>
          <w:spacing w:val="10"/>
          <w:szCs w:val="28"/>
          <w:rtl/>
        </w:rPr>
        <w:t>–</w:t>
      </w:r>
      <w:r w:rsidRPr="00632224">
        <w:rPr>
          <w:rFonts w:ascii="Century" w:hAnsi="Century" w:cs="FrankRuehl" w:hint="cs"/>
          <w:spacing w:val="10"/>
          <w:szCs w:val="28"/>
          <w:rtl/>
        </w:rPr>
        <w:t xml:space="preserve"> האם הרשות המבצעת או בג"ץ.</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העמדת בג"ץ מול הממשלה כשני גופים שכביכול נאבקים ביניהם על הריבונות ועל השליטה, והעמדת ה"סיכון" ו"החשש" מפני הרשות המבצעת אל מול "הסיכון" ו"החשש" מפני הרשות השופטת (פסקה 2 ופסקה 36 לתשובה המשלימה של הממשלה), היא הצגת תמונה מעוותת של יחסי הכוחות בין הרשות השופטת לרשות המבצעת. </w:t>
      </w:r>
      <w:r w:rsidRPr="00632224">
        <w:rPr>
          <w:rFonts w:ascii="Century" w:hAnsi="Century" w:cs="FrankRuehl" w:hint="cs"/>
          <w:spacing w:val="10"/>
          <w:sz w:val="22"/>
          <w:szCs w:val="28"/>
          <w:rtl/>
        </w:rPr>
        <w:t>עמדנו על כך שהסמכויות של הרשות המבצעת בישראל הן עצומות בהשוואה לדמוקרטיות מערביות אחרות, בהינתן שליטתה על הכנסת מכוח הרוב הקואליציוני:</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אצלנו, הגם שיש עיקרון פורמלי של עליונות הרשות המחוקקת, </w:t>
      </w:r>
      <w:r w:rsidRPr="00632224">
        <w:rPr>
          <w:rFonts w:ascii="Century" w:hAnsi="Century" w:cs="Miriam"/>
          <w:b/>
          <w:sz w:val="22"/>
          <w:rtl/>
        </w:rPr>
        <w:t>אין ספק בלבו של כל מתבונן כי העליונות היא דווקא בידי הממשל</w:t>
      </w:r>
      <w:r w:rsidRPr="00632224">
        <w:rPr>
          <w:rFonts w:ascii="Century" w:hAnsi="Century" w:cs="Miriam" w:hint="eastAsia"/>
          <w:b/>
          <w:sz w:val="22"/>
          <w:rtl/>
        </w:rPr>
        <w:t>ה</w:t>
      </w:r>
      <w:r w:rsidRPr="00632224">
        <w:rPr>
          <w:rFonts w:ascii="Arial TUR" w:hAnsi="Arial TUR" w:cs="FrankRuehl" w:hint="cs"/>
          <w:spacing w:val="10"/>
          <w:sz w:val="22"/>
          <w:szCs w:val="28"/>
          <w:rtl/>
        </w:rPr>
        <w:t>" (</w:t>
      </w:r>
      <w:r w:rsidRPr="00632224">
        <w:rPr>
          <w:rFonts w:ascii="Arial TUR" w:hAnsi="Arial TUR" w:cs="FrankRuehl"/>
          <w:spacing w:val="10"/>
          <w:sz w:val="22"/>
          <w:szCs w:val="28"/>
          <w:rtl/>
        </w:rPr>
        <w:t xml:space="preserve">רות גביזון "ארבעים שנה למשפט החוקתי" </w:t>
      </w:r>
      <w:r w:rsidRPr="00632224">
        <w:rPr>
          <w:rFonts w:ascii="Century" w:hAnsi="Century" w:cs="Miriam"/>
          <w:b/>
          <w:sz w:val="22"/>
          <w:rtl/>
        </w:rPr>
        <w:t>משפטים</w:t>
      </w:r>
      <w:r w:rsidRPr="00632224">
        <w:rPr>
          <w:rFonts w:ascii="Arial TUR" w:hAnsi="Arial TUR" w:cs="FrankRuehl"/>
          <w:spacing w:val="10"/>
          <w:sz w:val="22"/>
          <w:szCs w:val="28"/>
          <w:rtl/>
        </w:rPr>
        <w:t xml:space="preserve"> יט</w:t>
      </w:r>
      <w:r w:rsidRPr="00632224">
        <w:rPr>
          <w:rFonts w:ascii="Arial TUR" w:hAnsi="Arial TUR" w:cs="FrankRuehl" w:hint="cs"/>
          <w:spacing w:val="10"/>
          <w:sz w:val="22"/>
          <w:szCs w:val="28"/>
          <w:rtl/>
        </w:rPr>
        <w:t xml:space="preserve"> 617, 621 (1990)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Arial TUR" w:hAnsi="Arial TUR" w:cs="Miriam"/>
          <w:b/>
          <w:sz w:val="22"/>
          <w:rtl/>
        </w:rPr>
        <w:tab/>
      </w:r>
      <w:r w:rsidRPr="00632224">
        <w:rPr>
          <w:rFonts w:ascii="Arial TUR" w:hAnsi="Arial TUR" w:cs="FrankRuehl" w:hint="cs"/>
          <w:spacing w:val="10"/>
          <w:sz w:val="22"/>
          <w:szCs w:val="28"/>
          <w:rtl/>
        </w:rPr>
        <w:t xml:space="preserve">הרשות המבצעת מחזיקה בכל הכלים של הפעלת הכוח השלטוני: היא יכולה לעצור ולאסור אדם, להיכנס לביתו ולחצריו, להטיל מיסים, להקצות ולנתב כספים </w:t>
      </w:r>
      <w:r w:rsidRPr="00632224">
        <w:rPr>
          <w:rFonts w:ascii="Arial TUR" w:hAnsi="Arial TUR" w:cs="FrankRuehl" w:hint="cs"/>
          <w:spacing w:val="10"/>
          <w:sz w:val="22"/>
          <w:szCs w:val="28"/>
          <w:rtl/>
        </w:rPr>
        <w:lastRenderedPageBreak/>
        <w:t xml:space="preserve">לגופים כאלה ואחרים, להפקיע רכוש, לצאת למלחמה או לכרות הסכמי שלום, להורות לאזרחיה לסכן את חייהם, וכיוצא באלה. מאות החלטות מתקבלות מדי שבוע ומדי חודש על ידי הרשות המבצעת, ורק מעטות מהן מובאות לפתחם של בתי המשפט. מכאן הביטוי שאין לרשות השופטת לא חרב ולא ארנק, ודומה אפוא כי נכון הוא ש"המיתוס בנוגע לכוחו של בית המשפט 'גדול בכמה מידות' על המציאות" (דפנה ברק-ארז </w:t>
      </w:r>
      <w:r w:rsidRPr="00632224">
        <w:rPr>
          <w:rFonts w:cs="Miriam" w:hint="cs"/>
          <w:sz w:val="28"/>
          <w:rtl/>
        </w:rPr>
        <w:t>אזרח-נתין-צרכן: משפט ושלטון במדינה משתנה</w:t>
      </w:r>
      <w:r w:rsidRPr="00632224">
        <w:rPr>
          <w:rFonts w:ascii="Arial TUR" w:hAnsi="Arial TUR" w:cs="FrankRuehl" w:hint="cs"/>
          <w:spacing w:val="10"/>
          <w:sz w:val="22"/>
          <w:szCs w:val="28"/>
          <w:rtl/>
        </w:rPr>
        <w:t>, 270 (מיכל שוורץ עורכת, 2012) (הדבר נאמר ביחס ליכולתם המוגבלת של בתי המשפט ליצור שינוי באתיקה של מינויים פוליטיים בלתי ראויים, אך הוא נכון גם באופן רחב יותר)). החולשה האינהרנטית של הרשות השופטת היא הסיבה לכך שאף בית משפט בעולם, אף לא בית משפט "חזק", לא הפך משטר דמוקרטי לדיקטטורה או לרודנות. ההיפך הוא הנכון, ההיסטוריה מלמדת אותנו כי בית משפט חלש הוא ערובה להתחזקות מגמות של רודנות וסמכותנות. כאשר הכיוון אינו "מערבה מכאן" כפי שציינתי בתחילת פסק דיני, אלא להיפך, אזי הצעד הראשון שבו נקטו שליטים שביקשו להעצים את כוחם היה החלשה של הרשות השופטת במגוון של צעדים (</w:t>
      </w:r>
      <w:r w:rsidRPr="00632224">
        <w:rPr>
          <w:rFonts w:ascii="Arial TUR" w:hAnsi="Arial TUR" w:cs="Miriam" w:hint="cs"/>
          <w:b/>
          <w:sz w:val="22"/>
          <w:rtl/>
        </w:rPr>
        <w:t>כהן ורוזנאי</w:t>
      </w:r>
      <w:r w:rsidRPr="00632224">
        <w:rPr>
          <w:rFonts w:ascii="Arial TUR" w:hAnsi="Arial TUR" w:cs="FrankRuehl" w:hint="cs"/>
          <w:spacing w:val="10"/>
          <w:sz w:val="22"/>
          <w:szCs w:val="28"/>
          <w:rtl/>
        </w:rPr>
        <w:t>, בעמ' 98).</w:t>
      </w: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p>
    <w:p w:rsidR="00244560" w:rsidRPr="00632224" w:rsidRDefault="00244560" w:rsidP="00244560">
      <w:pPr>
        <w:keepNext/>
        <w:keepLines/>
        <w:spacing w:line="360" w:lineRule="auto"/>
        <w:outlineLvl w:val="0"/>
        <w:rPr>
          <w:rFonts w:ascii="Cambria" w:hAnsi="Cambria" w:cs="Miriam"/>
          <w:sz w:val="32"/>
          <w:rtl/>
        </w:rPr>
      </w:pPr>
      <w:bookmarkStart w:id="34" w:name="_Toc151478753"/>
      <w:r w:rsidRPr="00632224">
        <w:rPr>
          <w:rFonts w:ascii="Cambria" w:hAnsi="Cambria" w:cs="Miriam" w:hint="cs"/>
          <w:sz w:val="32"/>
          <w:rtl/>
        </w:rPr>
        <w:t>הערות לעמדת הכנסת</w:t>
      </w:r>
      <w:bookmarkEnd w:id="34"/>
    </w:p>
    <w:p w:rsidR="00244560" w:rsidRPr="009B0AFF"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113.</w:t>
      </w:r>
      <w:r w:rsidRPr="00632224">
        <w:rPr>
          <w:rFonts w:ascii="Century" w:hAnsi="Century" w:cs="FrankRuehl" w:hint="cs"/>
          <w:spacing w:val="10"/>
          <w:sz w:val="22"/>
          <w:szCs w:val="28"/>
          <w:rtl/>
        </w:rPr>
        <w:tab/>
        <w:t xml:space="preserve">את הביקורת השיפוטית על חוקי היסוד אין לראות חלילה כמאבק בין הרשות השופטת לבין הכנסת בכובעה כרשות מכוננת. נהפוך הוא. בשל שליטתה של הרשות המבצעת בכנסת, יש בדוקטרינות ההתערבות בחוקי היסוד כדי </w:t>
      </w:r>
      <w:r w:rsidRPr="00632224">
        <w:rPr>
          <w:rFonts w:ascii="Century" w:hAnsi="Century" w:cs="Miriam" w:hint="cs"/>
          <w:b/>
          <w:sz w:val="22"/>
          <w:rtl/>
        </w:rPr>
        <w:t>להגן</w:t>
      </w:r>
      <w:r w:rsidRPr="00632224">
        <w:rPr>
          <w:rFonts w:ascii="Century" w:hAnsi="Century" w:cs="FrankRuehl" w:hint="cs"/>
          <w:spacing w:val="10"/>
          <w:sz w:val="22"/>
          <w:szCs w:val="28"/>
          <w:rtl/>
        </w:rPr>
        <w:t xml:space="preserve"> על עצמאותה של הכנסת:</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Century" w:hAnsi="Century" w:cs="FrankRuehl"/>
          <w:spacing w:val="10"/>
          <w:sz w:val="22"/>
          <w:szCs w:val="28"/>
          <w:rtl/>
        </w:rPr>
        <w:t>"</w:t>
      </w:r>
      <w:r w:rsidRPr="00632224">
        <w:rPr>
          <w:rFonts w:ascii="Arial TUR" w:hAnsi="Arial TUR" w:cs="Miriam" w:hint="cs"/>
          <w:b/>
          <w:sz w:val="22"/>
          <w:rtl/>
        </w:rPr>
        <w:t>בדוקטרינת השימוש לרעה בסמכות המכוננת</w:t>
      </w:r>
      <w:r w:rsidRPr="00632224">
        <w:rPr>
          <w:rFonts w:ascii="Arial TUR" w:hAnsi="Arial TUR" w:cs="FrankRuehl" w:hint="cs"/>
          <w:spacing w:val="10"/>
          <w:sz w:val="22"/>
          <w:szCs w:val="28"/>
          <w:rtl/>
        </w:rPr>
        <w:t>, כפי שיושמה ב</w:t>
      </w:r>
      <w:r w:rsidRPr="00632224">
        <w:rPr>
          <w:rFonts w:ascii="Century" w:hAnsi="Century" w:cs="Miriam" w:hint="eastAsia"/>
          <w:b/>
          <w:sz w:val="22"/>
          <w:rtl/>
        </w:rPr>
        <w:t>עניין</w:t>
      </w:r>
      <w:r w:rsidRPr="00632224">
        <w:rPr>
          <w:rFonts w:ascii="Century" w:hAnsi="Century" w:cs="Miriam"/>
          <w:b/>
          <w:sz w:val="22"/>
          <w:rtl/>
        </w:rPr>
        <w:t xml:space="preserve"> </w:t>
      </w:r>
      <w:r w:rsidRPr="00632224">
        <w:rPr>
          <w:rFonts w:ascii="Century" w:hAnsi="Century" w:cs="Miriam" w:hint="eastAsia"/>
          <w:b/>
          <w:sz w:val="22"/>
          <w:rtl/>
        </w:rPr>
        <w:t>המרכז</w:t>
      </w:r>
      <w:r w:rsidRPr="00632224">
        <w:rPr>
          <w:rFonts w:ascii="Century" w:hAnsi="Century" w:cs="Miriam"/>
          <w:b/>
          <w:sz w:val="22"/>
          <w:rtl/>
        </w:rPr>
        <w:t xml:space="preserve"> </w:t>
      </w:r>
      <w:r w:rsidRPr="00632224">
        <w:rPr>
          <w:rFonts w:ascii="Century" w:hAnsi="Century" w:cs="Miriam" w:hint="eastAsia"/>
          <w:b/>
          <w:sz w:val="22"/>
          <w:rtl/>
        </w:rPr>
        <w:t>האקדמי</w:t>
      </w:r>
      <w:r w:rsidRPr="00632224">
        <w:rPr>
          <w:rFonts w:ascii="Arial TUR" w:hAnsi="Arial TUR" w:cs="FrankRuehl" w:hint="cs"/>
          <w:spacing w:val="10"/>
          <w:sz w:val="22"/>
          <w:szCs w:val="28"/>
          <w:rtl/>
        </w:rPr>
        <w:t xml:space="preserve">, ניתן לראות אם כן ביטוי לתפקידו של בית המשפט </w:t>
      </w:r>
      <w:r w:rsidRPr="00632224">
        <w:rPr>
          <w:rFonts w:ascii="Arial TUR" w:hAnsi="Arial TUR" w:cs="Miriam" w:hint="cs"/>
          <w:b/>
          <w:sz w:val="22"/>
          <w:rtl/>
        </w:rPr>
        <w:t>כמגן על הכנסת</w:t>
      </w:r>
      <w:r w:rsidRPr="00632224">
        <w:rPr>
          <w:rFonts w:ascii="Arial TUR" w:hAnsi="Arial TUR" w:cs="FrankRuehl" w:hint="cs"/>
          <w:spacing w:val="10"/>
          <w:sz w:val="22"/>
          <w:szCs w:val="28"/>
          <w:rtl/>
        </w:rPr>
        <w:t>, במעמדה כרשות מכוננת וכרשות המפקחת על הממשלה. דוקטרינת התערבות זו אמורה לחזק את מעמדה המוסדי של הכנסת אל מול כרסום בו מצד הרשות המבצעת, וזאת על ידי החזרה למקומו של האיזון החוקתי העומד בבסיס עיקרון הפרדת הרשויות (</w:t>
      </w:r>
      <w:r w:rsidRPr="00632224">
        <w:rPr>
          <w:rFonts w:ascii="Arial TUR" w:hAnsi="Arial TUR" w:cs="Miriam" w:hint="cs"/>
          <w:b/>
          <w:sz w:val="22"/>
          <w:rtl/>
        </w:rPr>
        <w:t>רוזנאי, שימוש לרעה</w:t>
      </w:r>
      <w:r w:rsidRPr="00632224">
        <w:rPr>
          <w:rFonts w:ascii="Arial TUR" w:hAnsi="Arial TUR" w:cs="FrankRuehl" w:hint="cs"/>
          <w:spacing w:val="10"/>
          <w:sz w:val="22"/>
          <w:szCs w:val="28"/>
          <w:rtl/>
        </w:rPr>
        <w:t xml:space="preserve">, בעמ' 1374)" (עניין </w:t>
      </w:r>
      <w:r w:rsidRPr="00632224">
        <w:rPr>
          <w:rFonts w:ascii="Century" w:hAnsi="Century" w:cs="Miriam" w:hint="cs"/>
          <w:b/>
          <w:sz w:val="22"/>
          <w:rtl/>
        </w:rPr>
        <w:t>ממשלת החילופים</w:t>
      </w:r>
      <w:r w:rsidRPr="00632224">
        <w:rPr>
          <w:rFonts w:ascii="Century" w:hAnsi="Century" w:cs="FrankRuehl"/>
          <w:spacing w:val="10"/>
          <w:sz w:val="22"/>
          <w:szCs w:val="28"/>
          <w:rtl/>
        </w:rPr>
        <w:t>,</w:t>
      </w:r>
      <w:r w:rsidRPr="00632224">
        <w:rPr>
          <w:rFonts w:ascii="Arial TUR" w:hAnsi="Arial TUR" w:cs="FrankRuehl" w:hint="cs"/>
          <w:spacing w:val="10"/>
          <w:sz w:val="22"/>
          <w:szCs w:val="28"/>
          <w:rtl/>
        </w:rPr>
        <w:t xml:space="preserve"> בפסקה 93 לפסק דינו של </w:t>
      </w:r>
      <w:r w:rsidRPr="00632224">
        <w:rPr>
          <w:rFonts w:ascii="Arial TUR" w:hAnsi="Arial TUR" w:cs="FrankRuehl" w:hint="eastAsia"/>
          <w:spacing w:val="10"/>
          <w:sz w:val="22"/>
          <w:szCs w:val="28"/>
          <w:rtl/>
        </w:rPr>
        <w:t>המשנה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לנשיאה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בדימ</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w:t>
      </w:r>
      <w:r w:rsidRPr="00632224">
        <w:rPr>
          <w:rFonts w:ascii="Century" w:hAnsi="Century" w:cs="Miriam" w:hint="eastAsia"/>
          <w:b/>
          <w:sz w:val="22"/>
          <w:rtl/>
        </w:rPr>
        <w:t>מלצר</w:t>
      </w:r>
      <w:r w:rsidRPr="00632224">
        <w:rPr>
          <w:rFonts w:ascii="Arial TUR" w:hAnsi="Arial TUR" w:cs="FrankRuehl" w:hint="cs"/>
          <w:spacing w:val="10"/>
          <w:sz w:val="22"/>
          <w:szCs w:val="28"/>
          <w:rtl/>
        </w:rPr>
        <w:t xml:space="preserve">, הדגשות במקור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114.</w:t>
      </w:r>
      <w:r w:rsidRPr="00632224">
        <w:rPr>
          <w:rFonts w:ascii="Century" w:hAnsi="Century" w:cs="FrankRuehl" w:hint="cs"/>
          <w:spacing w:val="10"/>
          <w:sz w:val="22"/>
          <w:szCs w:val="28"/>
          <w:rtl/>
        </w:rPr>
        <w:tab/>
        <w:t xml:space="preserve">הכנסת טענה לחוסר בשלות של העתירות ואין לי אלא להצטרף לאמור בפסקאות 102-98 לפסק דינה של הנשיאה שדחתה טענה זו. כאמור, טענה זו מוקשית על פניה, שהרי </w:t>
      </w:r>
      <w:r w:rsidRPr="00632224">
        <w:rPr>
          <w:rFonts w:ascii="Century" w:hAnsi="Century" w:cs="Miriam" w:hint="cs"/>
          <w:b/>
          <w:sz w:val="22"/>
          <w:rtl/>
        </w:rPr>
        <w:t>בשלילת סמכות</w:t>
      </w:r>
      <w:r w:rsidRPr="00632224">
        <w:rPr>
          <w:rFonts w:ascii="Century" w:hAnsi="Century" w:cs="FrankRuehl" w:hint="cs"/>
          <w:spacing w:val="10"/>
          <w:sz w:val="22"/>
          <w:szCs w:val="28"/>
          <w:rtl/>
        </w:rPr>
        <w:t xml:space="preserve"> של בתי המשפט עסקינן, אשר השלכותיה הן מיידיות ("לא ידון"). בענייני סמכות, על המתדיינים לדעת מראש אם הם יכולים בכלל להתדפק על דלתו של </w:t>
      </w:r>
      <w:r w:rsidRPr="00632224">
        <w:rPr>
          <w:rFonts w:ascii="Century" w:hAnsi="Century" w:cs="FrankRuehl" w:hint="cs"/>
          <w:spacing w:val="10"/>
          <w:sz w:val="22"/>
          <w:szCs w:val="28"/>
          <w:rtl/>
        </w:rPr>
        <w:lastRenderedPageBreak/>
        <w:t xml:space="preserve">בית המשפט, ועל דלתו של איזה בית משפט: </w:t>
      </w:r>
      <w:r w:rsidRPr="00632224">
        <w:rPr>
          <w:rFonts w:ascii="Arial TUR" w:hAnsi="Arial TUR" w:cs="FrankRuehl" w:hint="cs"/>
          <w:spacing w:val="10"/>
          <w:sz w:val="22"/>
          <w:szCs w:val="28"/>
          <w:rtl/>
        </w:rPr>
        <w:t xml:space="preserve">"אל לנו להגיע למצב בו ציבור המתדיינים המתדפק על דלתות בתי המשפט, יהיה נתון במצב של חוסר ודאות, בכל הנוגע לזהותה של הדלת אשר דרכה ניתן להיכנס" (רע"א 3749/12 </w:t>
      </w:r>
      <w:r w:rsidRPr="00632224">
        <w:rPr>
          <w:rFonts w:ascii="Century" w:hAnsi="Century" w:cs="Miriam" w:hint="cs"/>
          <w:b/>
          <w:sz w:val="22"/>
          <w:rtl/>
        </w:rPr>
        <w:t>בר-עוז נ' סטר</w:t>
      </w:r>
      <w:r w:rsidRPr="00632224">
        <w:rPr>
          <w:rFonts w:ascii="Arial TUR" w:hAnsi="Arial TUR" w:cs="FrankRuehl" w:hint="cs"/>
          <w:spacing w:val="10"/>
          <w:sz w:val="22"/>
          <w:szCs w:val="28"/>
          <w:rtl/>
        </w:rPr>
        <w:t xml:space="preserve">, פ"ד סו(1) 678, </w:t>
      </w:r>
      <w:r w:rsidRPr="00632224">
        <w:rPr>
          <w:rFonts w:ascii="Century" w:hAnsi="Century" w:cs="FrankRuehl" w:hint="cs"/>
          <w:spacing w:val="10"/>
          <w:sz w:val="22"/>
          <w:szCs w:val="28"/>
          <w:rtl/>
        </w:rPr>
        <w:t>714 (2013)).</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הנושא בשל עד מאוד לדיון ואיננו צריכים להרחיק עדותנו. במספר עתירות </w:t>
      </w:r>
      <w:r w:rsidRPr="00632224">
        <w:rPr>
          <w:rFonts w:ascii="Arial TUR" w:hAnsi="Arial TUR" w:cs="FrankRuehl" w:hint="eastAsia"/>
          <w:spacing w:val="10"/>
          <w:sz w:val="22"/>
          <w:szCs w:val="28"/>
          <w:rtl/>
        </w:rPr>
        <w:t>התלויות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ועומדות</w:t>
      </w:r>
      <w:r w:rsidRPr="00632224">
        <w:rPr>
          <w:rFonts w:ascii="Arial TUR" w:hAnsi="Arial TUR" w:cs="FrankRuehl" w:hint="cs"/>
          <w:spacing w:val="10"/>
          <w:sz w:val="22"/>
          <w:szCs w:val="28"/>
          <w:rtl/>
        </w:rPr>
        <w:t xml:space="preserve"> בבית משפט זה, שמבוססות על עילת הסבירות, ביקשה המדינה </w:t>
      </w:r>
      <w:r w:rsidRPr="00632224">
        <w:rPr>
          <w:rFonts w:ascii="Arial TUR" w:hAnsi="Arial TUR" w:cs="Miriam" w:hint="eastAsia"/>
          <w:b/>
          <w:sz w:val="22"/>
          <w:rtl/>
        </w:rPr>
        <w:t>להתלות</w:t>
      </w:r>
      <w:r w:rsidRPr="00632224">
        <w:rPr>
          <w:rFonts w:ascii="Arial TUR" w:hAnsi="Arial TUR" w:cs="FrankRuehl" w:hint="cs"/>
          <w:spacing w:val="10"/>
          <w:sz w:val="22"/>
          <w:szCs w:val="28"/>
          <w:rtl/>
        </w:rPr>
        <w:t xml:space="preserve"> את הדיונים עד אשר יינתן פסק הדין בעתירות שלפנינו (לדוגמה: בג"ץ 8910/22 </w:t>
      </w:r>
      <w:r w:rsidRPr="00632224">
        <w:rPr>
          <w:rFonts w:ascii="Arial TUR" w:hAnsi="Arial TUR" w:cs="FrankRuehl" w:hint="eastAsia"/>
          <w:spacing w:val="10"/>
          <w:sz w:val="22"/>
          <w:szCs w:val="28"/>
          <w:rtl/>
        </w:rPr>
        <w:t>שעניינו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בסבירות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המינוי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חבר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הכנסת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איתמר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בן</w:t>
      </w:r>
      <w:r w:rsidRPr="00632224">
        <w:rPr>
          <w:rFonts w:ascii="Arial TUR" w:hAnsi="Arial TUR" w:cs="FrankRuehl"/>
          <w:spacing w:val="10"/>
          <w:sz w:val="22"/>
          <w:szCs w:val="28"/>
          <w:rtl/>
        </w:rPr>
        <w:t>-</w:t>
      </w:r>
      <w:r w:rsidRPr="00632224">
        <w:rPr>
          <w:rFonts w:ascii="Arial TUR" w:hAnsi="Arial TUR" w:cs="FrankRuehl" w:hint="eastAsia"/>
          <w:spacing w:val="10"/>
          <w:sz w:val="22"/>
          <w:szCs w:val="28"/>
          <w:rtl/>
        </w:rPr>
        <w:t>גביר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לתפקיד</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ה</w:t>
      </w:r>
      <w:r w:rsidRPr="00632224">
        <w:rPr>
          <w:rFonts w:ascii="Arial TUR" w:hAnsi="Arial TUR" w:cs="FrankRuehl" w:hint="eastAsia"/>
          <w:spacing w:val="10"/>
          <w:sz w:val="22"/>
          <w:szCs w:val="28"/>
          <w:rtl/>
        </w:rPr>
        <w:t>שר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לביטחון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לאומי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בג</w:t>
      </w:r>
      <w:r w:rsidRPr="00632224">
        <w:rPr>
          <w:rFonts w:ascii="Arial TUR" w:hAnsi="Arial TUR" w:cs="FrankRuehl"/>
          <w:spacing w:val="10"/>
          <w:sz w:val="22"/>
          <w:szCs w:val="28"/>
          <w:rtl/>
        </w:rPr>
        <w:t>"</w:t>
      </w:r>
      <w:r w:rsidRPr="00632224">
        <w:rPr>
          <w:rFonts w:ascii="Arial TUR" w:hAnsi="Arial TUR" w:cs="FrankRuehl" w:hint="eastAsia"/>
          <w:spacing w:val="10"/>
          <w:sz w:val="22"/>
          <w:szCs w:val="28"/>
          <w:rtl/>
        </w:rPr>
        <w:t>ץ</w:t>
      </w:r>
      <w:r w:rsidRPr="00632224">
        <w:rPr>
          <w:rFonts w:ascii="Arial TUR" w:hAnsi="Arial TUR" w:cs="FrankRuehl"/>
          <w:spacing w:val="10"/>
          <w:sz w:val="22"/>
          <w:szCs w:val="28"/>
          <w:rtl/>
        </w:rPr>
        <w:t xml:space="preserve"> 7305/22 </w:t>
      </w:r>
      <w:r w:rsidRPr="00632224">
        <w:rPr>
          <w:rFonts w:ascii="Arial TUR" w:hAnsi="Arial TUR" w:cs="FrankRuehl" w:hint="eastAsia"/>
          <w:spacing w:val="10"/>
          <w:sz w:val="22"/>
          <w:szCs w:val="28"/>
          <w:rtl/>
        </w:rPr>
        <w:t>שעניינו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בהפחתה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מדורגת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מכסי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מגן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ייבוא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דגים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מסוימים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לישראל</w:t>
      </w:r>
      <w:r w:rsidRPr="00632224">
        <w:rPr>
          <w:rFonts w:ascii="Arial TUR" w:hAnsi="Arial TUR" w:cs="FrankRuehl" w:hint="cs"/>
          <w:spacing w:val="10"/>
          <w:sz w:val="22"/>
          <w:szCs w:val="28"/>
          <w:rtl/>
        </w:rPr>
        <w:t>. בדומה, התבקשה התלייה בבג"ץ 8907/22</w:t>
      </w:r>
      <w:r>
        <w:rPr>
          <w:rFonts w:ascii="Arial TUR" w:hAnsi="Arial TUR" w:cs="FrankRuehl" w:hint="cs"/>
          <w:spacing w:val="10"/>
          <w:sz w:val="22"/>
          <w:szCs w:val="28"/>
          <w:rtl/>
        </w:rPr>
        <w:t>;</w:t>
      </w:r>
      <w:r w:rsidRPr="00632224">
        <w:rPr>
          <w:rFonts w:ascii="Arial TUR" w:hAnsi="Arial TUR" w:cs="FrankRuehl" w:hint="cs"/>
          <w:spacing w:val="10"/>
          <w:sz w:val="22"/>
          <w:szCs w:val="28"/>
          <w:rtl/>
        </w:rPr>
        <w:t xml:space="preserve"> </w:t>
      </w:r>
      <w:r>
        <w:rPr>
          <w:rFonts w:ascii="Arial TUR" w:hAnsi="Arial TUR" w:cs="FrankRuehl" w:hint="cs"/>
          <w:spacing w:val="10"/>
          <w:sz w:val="22"/>
          <w:szCs w:val="28"/>
          <w:rtl/>
        </w:rPr>
        <w:t xml:space="preserve">בג"ץ 5626/22 ו-1932/23; </w:t>
      </w:r>
      <w:r w:rsidRPr="00632224">
        <w:rPr>
          <w:rFonts w:ascii="Arial TUR" w:hAnsi="Arial TUR" w:cs="FrankRuehl" w:hint="cs"/>
          <w:spacing w:val="10"/>
          <w:sz w:val="22"/>
          <w:szCs w:val="28"/>
          <w:rtl/>
        </w:rPr>
        <w:t>עע"מ 1814/23</w:t>
      </w:r>
      <w:r>
        <w:rPr>
          <w:rFonts w:ascii="Arial TUR" w:hAnsi="Arial TUR" w:cs="FrankRuehl" w:hint="cs"/>
          <w:spacing w:val="10"/>
          <w:sz w:val="22"/>
          <w:szCs w:val="28"/>
          <w:rtl/>
        </w:rPr>
        <w:t>;</w:t>
      </w:r>
      <w:r w:rsidRPr="00632224">
        <w:rPr>
          <w:rFonts w:ascii="Arial TUR" w:hAnsi="Arial TUR" w:cs="FrankRuehl" w:hint="cs"/>
          <w:spacing w:val="10"/>
          <w:sz w:val="22"/>
          <w:szCs w:val="28"/>
          <w:rtl/>
        </w:rPr>
        <w:t xml:space="preserve"> ועע"מ 8151/22)</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w:t>
      </w:r>
      <w:r w:rsidRPr="00632224">
        <w:rPr>
          <w:rFonts w:ascii="Century" w:hAnsi="Century" w:cs="FrankRuehl" w:hint="cs"/>
          <w:spacing w:val="10"/>
          <w:sz w:val="22"/>
          <w:szCs w:val="28"/>
          <w:rtl/>
        </w:rPr>
        <w:t>מכאן, שטענת אי הבשלות מתנפצת אל מול העתירות התלויות ועומדות בבית משפט זה.</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Cs w:val="28"/>
          <w:rtl/>
        </w:rPr>
        <w:t>115.</w:t>
      </w:r>
      <w:r w:rsidRPr="00632224">
        <w:rPr>
          <w:rFonts w:ascii="Century" w:hAnsi="Century" w:cs="FrankRuehl" w:hint="cs"/>
          <w:spacing w:val="10"/>
          <w:szCs w:val="28"/>
          <w:rtl/>
        </w:rPr>
        <w:tab/>
        <w:t xml:space="preserve">הכנסת ביקשה להקיש לענייננו מהוראת סעיף 7א לחוק יסוד: הכנסת, וכך גם חברתי, השופטת </w:t>
      </w:r>
      <w:r w:rsidRPr="00632224">
        <w:rPr>
          <w:rFonts w:ascii="Century" w:hAnsi="Century" w:cs="Miriam" w:hint="eastAsia"/>
          <w:b/>
          <w:rtl/>
        </w:rPr>
        <w:t>וילנר</w:t>
      </w:r>
      <w:r w:rsidRPr="00632224">
        <w:rPr>
          <w:rFonts w:ascii="Century" w:hAnsi="Century" w:cs="FrankRuehl" w:hint="cs"/>
          <w:spacing w:val="10"/>
          <w:szCs w:val="28"/>
          <w:rtl/>
        </w:rPr>
        <w:t xml:space="preserve"> (</w:t>
      </w:r>
      <w:r w:rsidRPr="00632224">
        <w:rPr>
          <w:rFonts w:ascii="Century" w:hAnsi="Century" w:cs="FrankRuehl" w:hint="cs"/>
          <w:spacing w:val="10"/>
          <w:sz w:val="22"/>
          <w:szCs w:val="28"/>
          <w:rtl/>
        </w:rPr>
        <w:t xml:space="preserve">פסקה 84 לפסק דינה). לפי טיעון זה, יש לבחון את ביטול עילת הסבירות במשקפי סעיף 7א לחוק היסוד: הכנסת ואמות המידה הקבועות בו, וכפי שלא יעלה על הדעת כי נמנע ממפלגה שתציע במצעה לבטל את עילת הסבירות להתמודד בכנסת, כך אין לראות בביטול עילת הסבירות משום פגיעה בגרעין של "יהודית ודמוקרטית" במסגרת דוקטרינת התיקון החוקתי שאינו חוקתי.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על טיעון זה כבר השיבה הנשיאה בפסק דינה </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פסקה</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107</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ואוסיף אף אני ואומר כי אין הנדון דומה לראיה. מושכלת יסוד היא </w:t>
      </w:r>
      <w:r w:rsidRPr="00632224">
        <w:rPr>
          <w:rFonts w:ascii="Century" w:hAnsi="Century" w:cs="FrankRuehl" w:hint="eastAsia"/>
          <w:spacing w:val="10"/>
          <w:sz w:val="22"/>
          <w:szCs w:val="28"/>
          <w:rtl/>
        </w:rPr>
        <w:t>ש</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דיבור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שבחיקוק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הוא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יצור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החי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בסביבתו</w:t>
      </w:r>
      <w:r w:rsidRPr="00632224">
        <w:rPr>
          <w:rFonts w:ascii="Century" w:hAnsi="Century" w:cs="FrankRuehl" w:hint="cs"/>
          <w:spacing w:val="10"/>
          <w:sz w:val="22"/>
          <w:szCs w:val="28"/>
          <w:rtl/>
        </w:rPr>
        <w:t xml:space="preserve">. </w:t>
      </w:r>
      <w:r w:rsidRPr="00632224">
        <w:rPr>
          <w:rFonts w:cs="FrankRuehl"/>
          <w:spacing w:val="6"/>
          <w:sz w:val="22"/>
          <w:szCs w:val="28"/>
          <w:rtl/>
        </w:rPr>
        <w:t>הוא מקבל צביונו מהקשר הדברים</w:t>
      </w:r>
      <w:r w:rsidRPr="00632224">
        <w:rPr>
          <w:rFonts w:cs="FrankRuehl" w:hint="cs"/>
          <w:spacing w:val="6"/>
          <w:sz w:val="22"/>
          <w:szCs w:val="28"/>
          <w:rtl/>
        </w:rPr>
        <w:t xml:space="preserve"> [...]</w:t>
      </w:r>
      <w:r w:rsidRPr="00632224">
        <w:rPr>
          <w:rFonts w:cs="FrankRuehl"/>
          <w:spacing w:val="10"/>
          <w:sz w:val="22"/>
          <w:szCs w:val="28"/>
          <w:rtl/>
        </w:rPr>
        <w:t xml:space="preserve">" </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בג</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ץ</w:t>
      </w:r>
      <w:r w:rsidRPr="00632224">
        <w:rPr>
          <w:rFonts w:ascii="Century" w:hAnsi="Century" w:cs="FrankRuehl"/>
          <w:spacing w:val="10"/>
          <w:sz w:val="22"/>
          <w:szCs w:val="28"/>
          <w:rtl/>
        </w:rPr>
        <w:t xml:space="preserve"> 58/68 </w:t>
      </w:r>
      <w:r w:rsidRPr="00632224">
        <w:rPr>
          <w:rFonts w:ascii="Century" w:hAnsi="Century" w:cs="Miriam" w:hint="eastAsia"/>
          <w:b/>
          <w:sz w:val="22"/>
          <w:rtl/>
        </w:rPr>
        <w:t>שליט</w:t>
      </w:r>
      <w:r w:rsidRPr="00632224">
        <w:rPr>
          <w:rFonts w:ascii="Century" w:hAnsi="Century" w:cs="Miriam"/>
          <w:b/>
          <w:sz w:val="22"/>
          <w:rtl/>
        </w:rPr>
        <w:t xml:space="preserve"> </w:t>
      </w:r>
      <w:r w:rsidRPr="00632224">
        <w:rPr>
          <w:rFonts w:ascii="Century" w:hAnsi="Century" w:cs="Miriam" w:hint="eastAsia"/>
          <w:b/>
          <w:sz w:val="22"/>
          <w:rtl/>
        </w:rPr>
        <w:t>נ</w:t>
      </w:r>
      <w:r w:rsidRPr="00632224">
        <w:rPr>
          <w:rFonts w:ascii="Century" w:hAnsi="Century" w:cs="Miriam"/>
          <w:b/>
          <w:sz w:val="22"/>
          <w:rtl/>
        </w:rPr>
        <w:t xml:space="preserve">' </w:t>
      </w:r>
      <w:r w:rsidRPr="00632224">
        <w:rPr>
          <w:rFonts w:ascii="Century" w:hAnsi="Century" w:cs="Miriam" w:hint="eastAsia"/>
          <w:b/>
          <w:sz w:val="22"/>
          <w:rtl/>
        </w:rPr>
        <w:t>שר</w:t>
      </w:r>
      <w:r w:rsidRPr="00632224">
        <w:rPr>
          <w:rFonts w:ascii="Century" w:hAnsi="Century" w:cs="Miriam"/>
          <w:b/>
          <w:sz w:val="22"/>
          <w:rtl/>
        </w:rPr>
        <w:t xml:space="preserve"> </w:t>
      </w:r>
      <w:r w:rsidRPr="00632224">
        <w:rPr>
          <w:rFonts w:ascii="Century" w:hAnsi="Century" w:cs="Miriam" w:hint="eastAsia"/>
          <w:b/>
          <w:sz w:val="22"/>
          <w:rtl/>
        </w:rPr>
        <w:t>הפנים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פ</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ג</w:t>
      </w:r>
      <w:r w:rsidRPr="00632224">
        <w:rPr>
          <w:rFonts w:ascii="Century" w:hAnsi="Century" w:cs="FrankRuehl"/>
          <w:spacing w:val="10"/>
          <w:sz w:val="22"/>
          <w:szCs w:val="28"/>
          <w:rtl/>
        </w:rPr>
        <w:t xml:space="preserve"> (2) 477, 513 (1970)</w:t>
      </w:r>
      <w:r w:rsidRPr="00632224">
        <w:rPr>
          <w:rFonts w:ascii="Century" w:hAnsi="Century" w:cs="FrankRuehl" w:hint="cs"/>
          <w:spacing w:val="10"/>
          <w:sz w:val="22"/>
          <w:szCs w:val="28"/>
          <w:rtl/>
        </w:rPr>
        <w:t xml:space="preserve">). התכליות של חוק יסוד: הכנסת שבבסיסן, בין היתר, הזכות לבחור ולהיבחר, אינן התכליות של חוק יסוד: השפיטה, כך שאין מקום להיקש הנטען.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eastAsia"/>
          <w:spacing w:val="10"/>
          <w:sz w:val="22"/>
          <w:szCs w:val="28"/>
          <w:rtl/>
        </w:rPr>
        <w:t>מכל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מקום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משהוזכר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טיעון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זה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אומר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כי</w:t>
      </w:r>
      <w:r w:rsidRPr="00632224">
        <w:rPr>
          <w:rFonts w:ascii="Century" w:hAnsi="Century" w:cs="FrankRuehl" w:hint="cs"/>
          <w:spacing w:val="10"/>
          <w:sz w:val="22"/>
          <w:szCs w:val="28"/>
          <w:rtl/>
        </w:rPr>
        <w:t xml:space="preserve"> </w:t>
      </w:r>
      <w:r w:rsidRPr="00632224">
        <w:rPr>
          <w:rFonts w:ascii="Century" w:hAnsi="Century" w:cs="FrankRuehl" w:hint="eastAsia"/>
          <w:spacing w:val="10"/>
          <w:sz w:val="22"/>
          <w:szCs w:val="28"/>
          <w:rtl/>
        </w:rPr>
        <w:t>הוא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דווקא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תומך</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בתוצאה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אליה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הגענו</w:t>
      </w:r>
      <w:r w:rsidRPr="00632224">
        <w:rPr>
          <w:rFonts w:ascii="Century" w:hAnsi="Century" w:cs="FrankRuehl" w:hint="cs"/>
          <w:spacing w:val="10"/>
          <w:sz w:val="22"/>
          <w:szCs w:val="28"/>
          <w:rtl/>
        </w:rPr>
        <w:t>, באשר שתי התכליות באות להגן על ערכי יסוד בשיטתנו הדמוקרטית.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פי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החוק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והפסיקה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בנקל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תהא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הצדקה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למנוע</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ממפלגה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מאדם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זכות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היסוד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הדמוקרטית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לבחור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ולהיבחר</w:t>
      </w:r>
      <w:r w:rsidRPr="00632224">
        <w:rPr>
          <w:rFonts w:ascii="Century" w:hAnsi="Century" w:cs="FrankRuehl" w:hint="cs"/>
          <w:spacing w:val="10"/>
          <w:sz w:val="22"/>
          <w:szCs w:val="28"/>
          <w:rtl/>
        </w:rPr>
        <w:t>;</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בדומה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בנקל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תהא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הצדקה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לפגוע</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בשורה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עקרונות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יסוד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בדמוקרטיה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שעליהם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עמדנו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לעיל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כמו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הפרדת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רשויות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שלטון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החוק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היבטיו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וזכות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הגישה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לערכאות</w:t>
      </w:r>
      <w:r w:rsidRPr="00632224">
        <w:rPr>
          <w:rFonts w:ascii="Century" w:hAnsi="Century" w:cs="FrankRuehl"/>
          <w:spacing w:val="10"/>
          <w:sz w:val="22"/>
          <w:szCs w:val="28"/>
          <w:rtl/>
        </w:rPr>
        <w:t>.</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lastRenderedPageBreak/>
        <w:t>116.</w:t>
      </w:r>
      <w:r w:rsidRPr="00632224">
        <w:rPr>
          <w:rFonts w:ascii="Century" w:hAnsi="Century" w:cs="FrankRuehl" w:hint="cs"/>
          <w:spacing w:val="10"/>
          <w:sz w:val="22"/>
          <w:szCs w:val="28"/>
          <w:rtl/>
        </w:rPr>
        <w:tab/>
        <w:t xml:space="preserve">הכנסת הציעה בתשובתה דרכי הימלטות מהמצב המשפטי שנוצר בעקבות תיקון חוק היסוד, תוך העלאת ספקולציות, תחזיות, והערכות כיצד ישכיל בית המשפט לנהוג בעתיד. כך, היא העלתה אפשרות כי בית המשפט יפתח וירחיב במשפט המינהלי עילות שיחליפו את עילת הסבירות בביקורת על החלטות הממשלה ושריה; אפשרות שבית המשפט יצמצם את תחולתו של התיקון לחוק היסוד כך שלא יחול על החלטות של שרים שנטלו לעצמם סמכות של פקיד במשרדם, ולא יחול על החלטות של פקידים שהואצלה להם סמכות מאת השר; אפשרות כי בית המשפט יפתח כללים וחזקות הנוגעים לאופן בחינת חשד לשיקולים זרים ויעצב מחדש את הדינים הקשורים לנטל הראייתי הקשור לעילה זו; אפשרות כי בית המשפט יפעיל את עילת ה"מופרכות" או "השרירות"; אפשרות כי בית המשפט יפרש את התיקון כלא חל על סבירות הליכית; אפשרות כי בית המשפט יפתח כלים חלופיים לעילת הסבירות כדי לכפות על הממשלה לעמוד בהוראות הדין הקשור למינויים; אפשרות כי בית המשפט יפתח דוקטרינות כמו חובת הנאמנות של הממשלה לציבור, או חובת השוויון בבחירות המעוגנת בסעיף 4 לחוק יסוד: הכנסת, או יתן פרשנות מרחיבה לסעיף 3 לחוק יסוד: הממשלה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והכל על מנת להתמודד עם הסוגיה של ממשלת מעבר; אפשרות שבית המשפט ישתמש בדיני הגירעון הדמוקרטי; בחופש העיסוק; בעילת איסור ההפלייה; בעקרון הפרדת הרשויות; במידתיות ובעילות נוספות מתחום המשפט המינהלי; והאפשרות כי הכנסת תשכיל בעתיד להדק את הפיקוח על עבודת הממשלה.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eastAsia"/>
          <w:spacing w:val="10"/>
          <w:sz w:val="22"/>
          <w:szCs w:val="28"/>
          <w:rtl/>
        </w:rPr>
        <w:t>לטעמי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דווקא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מגוון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הדרכים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שהוצעו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ידי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הכנסת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מעיד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ההרס</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שהתיקון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לחוק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היסוד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להמיט</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המשפט</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המינהלי</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שאם לא כן, לא היינו נזקקים לתקווה ששרי הממשלה יפעלו באופן סביר גם בהעדר ביקורת שיפוטית על סבירות החלטתם; לא היה צורך בדוקטרינות ובדרכים עוקפות כדי לנטרל את פועלו של החוק; ולא היינו נדרשים להבטחה המעורפלת של הכנסת כי "תרים את הכפפה שהיא עצמה פשטה מידיה של הרשות השופטת" ותפתח בעתיד את הכלים שברשותה "כדי להתאימם לפיקוח על החלטות פרטניות של הממשלה ושריה". עמדנו על כך שהכנסת נשלטת על ידי הממשלה מכוח הרוב הקואליציוני, כך שהאפשרות שהכנסת תיכנס לנעלי בית המשפט ותעשה את תפקידו של בית המשפט אינה מסתברת, בלשון המעטה. מה עוד, שלכנסת אין "שיניים פורמליות", כלשונה-שלה, כדי לאכוף את מלאכת הפיקוח ואת מסקנות הפיקוח על החלטות הממשלה ושריה (כאנקדוטה אציין כי יו"ר הוועדה לביטחון לאומי בכנסת כיום משתייך לאותה מפלגה של השר לביטחון לאומי, והוא אמור בתפקידו זה לפקח על יו"ר המפלגה שלו). הסיכוי לביקורת פרלמנטרית אפקטיבית הוא אפוא קטן, ואין בו כדי למלא את החלל. נהפוך הוא, יש בכך כדי לחזק את הצורך בביקורת שיפוטית: "</w:t>
      </w:r>
      <w:r w:rsidRPr="00632224">
        <w:rPr>
          <w:rFonts w:ascii="Arial TUR" w:hAnsi="Arial TUR" w:cs="FrankRuehl"/>
          <w:spacing w:val="10"/>
          <w:sz w:val="22"/>
          <w:szCs w:val="28"/>
          <w:rtl/>
        </w:rPr>
        <w:t>בהקשר הישראלי חברי</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הכנסת נבחרים ברשימה כללית</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ארצית, ולא באזורי</w:t>
      </w:r>
      <w:r w:rsidRPr="00632224">
        <w:rPr>
          <w:rFonts w:ascii="Arial TUR" w:hAnsi="Arial TUR" w:cs="FrankRuehl" w:hint="cs"/>
          <w:spacing w:val="10"/>
          <w:sz w:val="22"/>
          <w:szCs w:val="28"/>
          <w:rtl/>
        </w:rPr>
        <w:t>ם</w:t>
      </w:r>
      <w:r w:rsidRPr="00632224">
        <w:rPr>
          <w:rFonts w:ascii="Arial TUR" w:hAnsi="Arial TUR" w:cs="FrankRuehl"/>
          <w:spacing w:val="10"/>
          <w:sz w:val="22"/>
          <w:szCs w:val="28"/>
          <w:rtl/>
        </w:rPr>
        <w:t xml:space="preserve">. נוסף על כך, </w:t>
      </w:r>
      <w:r w:rsidRPr="00632224">
        <w:rPr>
          <w:rFonts w:ascii="Arial TUR" w:hAnsi="Arial TUR" w:cs="FrankRuehl"/>
          <w:spacing w:val="10"/>
          <w:sz w:val="22"/>
          <w:szCs w:val="28"/>
          <w:rtl/>
        </w:rPr>
        <w:lastRenderedPageBreak/>
        <w:t>הממשלה נשענת על בסיס קואליציוני בכנסת. בנסיבות אלה הסיכוי</w:t>
      </w:r>
      <w:r w:rsidRPr="00632224">
        <w:rPr>
          <w:rFonts w:ascii="Century" w:hAnsi="Century" w:cs="FrankRuehl" w:hint="cs"/>
          <w:spacing w:val="10"/>
          <w:sz w:val="22"/>
          <w:szCs w:val="28"/>
          <w:rtl/>
        </w:rPr>
        <w:t xml:space="preserve"> </w:t>
      </w:r>
      <w:r w:rsidRPr="00632224">
        <w:rPr>
          <w:rFonts w:ascii="Arial TUR" w:hAnsi="Arial TUR" w:cs="FrankRuehl"/>
          <w:spacing w:val="10"/>
          <w:sz w:val="22"/>
          <w:szCs w:val="28"/>
          <w:rtl/>
        </w:rPr>
        <w:t>לביקורת פרלמנטרית משמעותית על פעילות הממשלה יורד, וממילא מתחזקת הלגיטימיות</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של הפעלת ביקורת שיפוטית על החלטות שלטוניות</w:t>
      </w:r>
      <w:r w:rsidRPr="00632224">
        <w:rPr>
          <w:rFonts w:ascii="Arial TUR" w:hAnsi="Arial TUR" w:cs="FrankRuehl" w:hint="cs"/>
          <w:spacing w:val="10"/>
          <w:sz w:val="22"/>
          <w:szCs w:val="28"/>
          <w:rtl/>
        </w:rPr>
        <w:t>" (</w:t>
      </w:r>
      <w:r w:rsidRPr="00632224">
        <w:rPr>
          <w:rFonts w:ascii="Arial TUR" w:hAnsi="Arial TUR" w:cs="FrankRuehl"/>
          <w:spacing w:val="10"/>
          <w:sz w:val="22"/>
          <w:szCs w:val="28"/>
          <w:rtl/>
        </w:rPr>
        <w:t xml:space="preserve">דפנה ברק־ארז "לקראת דיני דמוקרטיה בישראל" </w:t>
      </w:r>
      <w:r w:rsidRPr="00632224">
        <w:rPr>
          <w:rFonts w:ascii="Century" w:hAnsi="Century" w:cs="Miriam"/>
          <w:b/>
          <w:sz w:val="22"/>
          <w:rtl/>
        </w:rPr>
        <w:t>עיוני משפט</w:t>
      </w:r>
      <w:r w:rsidRPr="00632224">
        <w:rPr>
          <w:rFonts w:ascii="Arial TUR" w:hAnsi="Arial TUR" w:cs="FrankRuehl"/>
          <w:spacing w:val="10"/>
          <w:sz w:val="22"/>
          <w:szCs w:val="28"/>
          <w:rtl/>
        </w:rPr>
        <w:t xml:space="preserve"> לג,</w:t>
      </w:r>
      <w:r w:rsidRPr="00632224">
        <w:rPr>
          <w:rFonts w:ascii="Arial TUR" w:hAnsi="Arial TUR" w:cs="FrankRuehl" w:hint="cs"/>
          <w:spacing w:val="10"/>
          <w:sz w:val="22"/>
          <w:szCs w:val="28"/>
          <w:rtl/>
        </w:rPr>
        <w:t xml:space="preserve"> 527, 552 (2011)).</w:t>
      </w:r>
      <w:r w:rsidRPr="00632224" w:rsidDel="005B0215">
        <w:rPr>
          <w:rFonts w:ascii="Arial TUR" w:hAnsi="Arial TUR" w:cs="FrankRuehl"/>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117.</w:t>
      </w:r>
      <w:r w:rsidRPr="00632224">
        <w:rPr>
          <w:rFonts w:ascii="Arial TUR" w:hAnsi="Arial TUR" w:cs="FrankRuehl" w:hint="cs"/>
          <w:spacing w:val="10"/>
          <w:sz w:val="22"/>
          <w:szCs w:val="28"/>
          <w:rtl/>
        </w:rPr>
        <w:tab/>
        <w:t>הכנסת טענה בתשובתה כי החלטות הדרג הנבחר עומדות לבחינה וביקורת של האזרח, שיכול להביע את תמיכתו או הסתייגותו בקלפי, מעין תחליף לביקורת השיפוטית.</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טענה זו אין לה על מה שתסמוך, </w:t>
      </w:r>
      <w:r w:rsidRPr="00632224">
        <w:rPr>
          <w:rFonts w:ascii="Century" w:hAnsi="Century" w:cs="FrankRuehl" w:hint="cs"/>
          <w:spacing w:val="10"/>
          <w:sz w:val="22"/>
          <w:szCs w:val="28"/>
          <w:rtl/>
        </w:rPr>
        <w:t xml:space="preserve">בין היתר, מהסיבות הבאות: </w:t>
      </w:r>
      <w:r w:rsidRPr="00632224">
        <w:rPr>
          <w:rFonts w:ascii="Century" w:hAnsi="Century" w:cs="Miriam" w:hint="cs"/>
          <w:b/>
          <w:sz w:val="22"/>
          <w:rtl/>
        </w:rPr>
        <w:t>ראשית</w:t>
      </w:r>
      <w:r w:rsidRPr="00632224">
        <w:rPr>
          <w:rFonts w:ascii="Arial TUR" w:hAnsi="Arial TUR" w:cs="FrankRuehl" w:hint="cs"/>
          <w:spacing w:val="10"/>
          <w:sz w:val="22"/>
          <w:szCs w:val="28"/>
          <w:rtl/>
        </w:rPr>
        <w:t xml:space="preserve">, המדובר בעשרות ומאות החלטות שמקבלים שרים במהלך כהונתם, בעוד שלאזרח יש רק פתק אחד שהוא משלשל לתיבה פעם אחת בארבע שנים. </w:t>
      </w:r>
      <w:r w:rsidRPr="00632224">
        <w:rPr>
          <w:rFonts w:ascii="Century" w:hAnsi="Century" w:cs="Miriam" w:hint="cs"/>
          <w:b/>
          <w:sz w:val="22"/>
          <w:rtl/>
        </w:rPr>
        <w:t>שנית</w:t>
      </w:r>
      <w:r w:rsidRPr="00632224">
        <w:rPr>
          <w:rFonts w:ascii="Arial TUR" w:hAnsi="Arial TUR" w:cs="FrankRuehl" w:hint="cs"/>
          <w:spacing w:val="10"/>
          <w:sz w:val="22"/>
          <w:szCs w:val="28"/>
          <w:rtl/>
        </w:rPr>
        <w:t xml:space="preserve">, חלק הארי של ההחלטות הרבות שמתקבלות על ידי הממשלה ושריה, סמוי מעיני הציבור. </w:t>
      </w:r>
      <w:r w:rsidRPr="00632224">
        <w:rPr>
          <w:rFonts w:ascii="Century" w:hAnsi="Century" w:cs="Miriam" w:hint="cs"/>
          <w:b/>
          <w:sz w:val="22"/>
          <w:rtl/>
        </w:rPr>
        <w:t>שלישית</w:t>
      </w:r>
      <w:r w:rsidRPr="00632224">
        <w:rPr>
          <w:rFonts w:ascii="Arial TUR" w:hAnsi="Arial TUR" w:cs="FrankRuehl" w:hint="cs"/>
          <w:spacing w:val="10"/>
          <w:sz w:val="22"/>
          <w:szCs w:val="28"/>
          <w:rtl/>
        </w:rPr>
        <w:t>, הטענה כי חזקה על הבוחר שיעניש בבחירות את המפלגה על החלטה פלונית של שר פלוני, מהדהדת את התזה של "היד הנעלמה" בשוק החופשי, עקרון שמקורו בכתבי אדם סמית במאה ה-18. אלא שכיום יודעים אנו כי יש צורך ברגולטור על מנת להבטיח תחרות חופשית וכי ההנחה שבפני האזרח עומדים כל הנתונים והמידע לצורך קבלת החלטה אינה הנחה נכונה.</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מכאן, שהביקורת הציבורית אינה יכולה להיות תחליף נאות לביקורת השיפוטית.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118.</w:t>
      </w:r>
      <w:r w:rsidRPr="00632224">
        <w:rPr>
          <w:rFonts w:ascii="Century" w:hAnsi="Century" w:cs="FrankRuehl" w:hint="cs"/>
          <w:spacing w:val="10"/>
          <w:sz w:val="22"/>
          <w:szCs w:val="28"/>
          <w:rtl/>
        </w:rPr>
        <w:tab/>
        <w:t>הכנסת מודה כי ייתכן שבהצעות שהעלתה לא יהיה מענה מושלם ל"חור השחור" שנוצר בביקורת שיפוטית על החלטות הממשלה ושריה, וכי קיימת אפשרות שהחוק "</w:t>
      </w:r>
      <w:r w:rsidRPr="00632224">
        <w:rPr>
          <w:rFonts w:ascii="Century" w:hAnsi="Century" w:cs="Miriam" w:hint="cs"/>
          <w:b/>
          <w:sz w:val="22"/>
          <w:rtl/>
        </w:rPr>
        <w:t>אכן יוביל (כפי שהעותרים חוששים) למבול החלטות בלתי-סבירות של שרי הממשלה</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ויתברר שהפיקוח הציבורי והפרלמנטרי על החלטות הממשלה לוקה בחסר וכי בתי המשפט מתקשים למצוא עילות חלופיות שיאפשרו להם לקיים ביקורת שיפוטית במקרים המתאימים על החלטות אלה" (</w:t>
      </w:r>
      <w:r w:rsidRPr="00632224">
        <w:rPr>
          <w:rFonts w:ascii="Century" w:hAnsi="Century" w:cs="Miriam" w:hint="eastAsia"/>
          <w:b/>
          <w:sz w:val="22"/>
          <w:rtl/>
        </w:rPr>
        <w:t>שם</w:t>
      </w:r>
      <w:r w:rsidRPr="00632224">
        <w:rPr>
          <w:rFonts w:ascii="Century" w:hAnsi="Century" w:cs="FrankRuehl" w:hint="cs"/>
          <w:spacing w:val="10"/>
          <w:sz w:val="22"/>
          <w:szCs w:val="28"/>
          <w:rtl/>
        </w:rPr>
        <w:t xml:space="preserve">, בפסקה 297, הדגשה הוספה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י"ע). הכנסת הציעה אפוא להמתין ולראות כיצד יפעלו שרי הממשלה לאחר השינוי וכיצד ינהגו ביחס לחובתם לפעול בסבירות.</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איני רואה כל סיבה להמתין לראות אם החשש אכן יתגשם במהלך השנים הקרובות, עד שאותן החלטות בלתי סבירות יצטברו לכדי מבול. לשם כך נועדה דוקטרינת התיקון החוקתי שאינו חוקתי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לחסום את דרכו של המבול, שאם לא נעשה </w:t>
      </w:r>
      <w:r w:rsidRPr="00632224">
        <w:rPr>
          <w:rFonts w:ascii="Century" w:hAnsi="Century" w:cs="FrankRuehl" w:hint="cs"/>
          <w:spacing w:val="10"/>
          <w:sz w:val="22"/>
          <w:szCs w:val="28"/>
          <w:rtl/>
        </w:rPr>
        <w:lastRenderedPageBreak/>
        <w:t>כן, אזי "אחרינו המבול" ואז כבר יהיה מאוחר מדי, והיונה שיצאה במעופה לדרכה כבר לא תמצא מנוח לרגלה בדרכה חזרה.</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119.</w:t>
      </w:r>
      <w:r w:rsidRPr="00632224">
        <w:rPr>
          <w:rFonts w:ascii="Century" w:hAnsi="Century" w:cs="FrankRuehl" w:hint="cs"/>
          <w:spacing w:val="10"/>
          <w:sz w:val="22"/>
          <w:szCs w:val="28"/>
          <w:rtl/>
        </w:rPr>
        <w:tab/>
      </w:r>
      <w:r w:rsidRPr="00632224">
        <w:rPr>
          <w:rFonts w:ascii="Century" w:hAnsi="Century" w:cs="Miriam" w:hint="cs"/>
          <w:b/>
          <w:sz w:val="22"/>
          <w:rtl/>
        </w:rPr>
        <w:t>לסיכום</w:t>
      </w:r>
      <w:r w:rsidRPr="00632224">
        <w:rPr>
          <w:rFonts w:ascii="Century" w:hAnsi="Century" w:cs="FrankRuehl" w:hint="cs"/>
          <w:spacing w:val="10"/>
          <w:sz w:val="22"/>
          <w:szCs w:val="28"/>
          <w:rtl/>
        </w:rPr>
        <w:t>, לשיטת הכנסת, בעקבות התיקון לחוק היסוד, עתירה שמבוססת על עילת הסבירות תידחה "והאפשרות לבקר את ההחלטה תיוותר לציבור ולנציגיו בלבד באמצעות כלי הביקורת הפרלמנטריים או באמצעות לחץ ציבורי" (</w:t>
      </w:r>
      <w:r w:rsidRPr="00632224">
        <w:rPr>
          <w:rFonts w:ascii="Century" w:hAnsi="Century" w:cs="Miriam" w:hint="eastAsia"/>
          <w:b/>
          <w:sz w:val="22"/>
          <w:rtl/>
        </w:rPr>
        <w:t>שם</w:t>
      </w:r>
      <w:r w:rsidRPr="00632224">
        <w:rPr>
          <w:rFonts w:ascii="Century" w:hAnsi="Century" w:cs="FrankRuehl" w:hint="cs"/>
          <w:spacing w:val="10"/>
          <w:sz w:val="22"/>
          <w:szCs w:val="28"/>
          <w:rtl/>
        </w:rPr>
        <w:t xml:space="preserve">, בפסקה 313). אומר בקול ברור וצלול כי ההסתמכות על שני כלים אלה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הבטחה מעורפלת לביקורת פרלמנטרית בעתיד ולחץ ציבורי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אינה יכולה להוות תחליף של ממש לביקורת שיפוטית אפקטיבית.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bookmarkStart w:id="35" w:name="_Toc151478754"/>
      <w:r w:rsidRPr="00632224">
        <w:rPr>
          <w:rFonts w:ascii="Cambria" w:hAnsi="Cambria" w:cs="Miriam" w:hint="cs"/>
          <w:sz w:val="32"/>
          <w:rtl/>
        </w:rPr>
        <w:t>הערה לפסק דינם של חבריי שנקטו בדרך של פרשנות מקיימת</w:t>
      </w:r>
      <w:bookmarkEnd w:id="35"/>
    </w:p>
    <w:p w:rsidR="00244560" w:rsidRPr="00632224"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120.</w:t>
      </w:r>
      <w:r w:rsidRPr="00632224">
        <w:rPr>
          <w:rFonts w:ascii="Century" w:hAnsi="Century" w:cs="FrankRuehl" w:hint="cs"/>
          <w:spacing w:val="10"/>
          <w:sz w:val="22"/>
          <w:szCs w:val="28"/>
          <w:rtl/>
        </w:rPr>
        <w:tab/>
        <w:t xml:space="preserve">הכלל הוא שביטול חוק הוא המוצא האחרון, ולכן, על דרך העיקרון, יש להעדיף פרשנות מקיימת של חוק על פני ביטולו. כל זאת, ובלבד שפרשנות מקיימת היא אפשרית וסבירה. כך עשה בית משפט זה בעניין </w:t>
      </w:r>
      <w:r w:rsidRPr="00632224">
        <w:rPr>
          <w:rFonts w:ascii="Century" w:hAnsi="Century" w:cs="Miriam" w:hint="cs"/>
          <w:b/>
          <w:sz w:val="22"/>
          <w:rtl/>
        </w:rPr>
        <w:t>חוק הלאום</w:t>
      </w:r>
      <w:r w:rsidRPr="00632224">
        <w:rPr>
          <w:rFonts w:ascii="Century" w:hAnsi="Century" w:cs="FrankRuehl" w:hint="cs"/>
          <w:spacing w:val="10"/>
          <w:sz w:val="22"/>
          <w:szCs w:val="28"/>
          <w:rtl/>
        </w:rPr>
        <w:t>, שם ניתנה פרשנות מקיימת, ניתן לומר אף "</w:t>
      </w:r>
      <w:r w:rsidRPr="00632224">
        <w:rPr>
          <w:rFonts w:ascii="Century" w:hAnsi="Century" w:cs="FrankRuehl" w:hint="eastAsia"/>
          <w:spacing w:val="10"/>
          <w:sz w:val="22"/>
          <w:szCs w:val="28"/>
          <w:rtl/>
        </w:rPr>
        <w:t>מפייסת</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מגשרת</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מרככת</w:t>
      </w:r>
      <w:r w:rsidRPr="00632224">
        <w:rPr>
          <w:rFonts w:ascii="Century" w:hAnsi="Century" w:cs="FrankRuehl" w:hint="cs"/>
          <w:spacing w:val="10"/>
          <w:sz w:val="22"/>
          <w:szCs w:val="28"/>
          <w:rtl/>
        </w:rPr>
        <w:t xml:space="preserve">" כלפי אזרחי המדינה הלא יהודים (פסקה 3 לפסק דיני בעניין </w:t>
      </w:r>
      <w:r w:rsidRPr="00632224">
        <w:rPr>
          <w:rFonts w:ascii="Century" w:hAnsi="Century" w:cs="Miriam" w:hint="cs"/>
          <w:b/>
          <w:sz w:val="22"/>
          <w:rtl/>
        </w:rPr>
        <w:t>חוק הלאום</w:t>
      </w:r>
      <w:r w:rsidRPr="00632224">
        <w:rPr>
          <w:rFonts w:ascii="Century" w:hAnsi="Century" w:cs="FrankRuehl" w:hint="cs"/>
          <w:spacing w:val="10"/>
          <w:sz w:val="22"/>
          <w:szCs w:val="28"/>
          <w:rtl/>
        </w:rPr>
        <w:t>). מכאן מאמציהם של חבריי למצוא בתיקון לחוק היסוד פנים אחרות, פנים שוחקות יותר.</w:t>
      </w: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 xml:space="preserve"> </w:t>
      </w: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על כך השיבה הנשיאה בהרחבה בפסקאות 136-118 לפסק דינה ואין לי אלא להצטרף לדברים. נשים לנגד עיננו שוב את נוסח התיקון לחוק היסוד:</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Miriam"/>
          <w:b/>
          <w:sz w:val="22"/>
        </w:rPr>
      </w:pPr>
      <w:r w:rsidRPr="00632224" w:rsidDel="00987DB6">
        <w:rPr>
          <w:rFonts w:ascii="FrankRuehl" w:hAnsi="FrankRuehl" w:cs="FrankRuehl"/>
          <w:spacing w:val="10"/>
          <w:sz w:val="28"/>
          <w:szCs w:val="28"/>
          <w:rtl/>
        </w:rPr>
        <w:t xml:space="preserve"> </w:t>
      </w:r>
      <w:r w:rsidRPr="00632224">
        <w:rPr>
          <w:rFonts w:ascii="FrankRuehl" w:hAnsi="FrankRuehl" w:cs="FrankRuehl"/>
          <w:spacing w:val="10"/>
          <w:sz w:val="28"/>
          <w:szCs w:val="28"/>
          <w:rtl/>
        </w:rPr>
        <w:t xml:space="preserve">(ד1) על אף האמור בחוק-יסוד זה, מי שבידו סמכות שפיטה על פי דין, לרבות בית המשפט העליון בשבתו כבית משפט גבוה לצדק, </w:t>
      </w:r>
      <w:r w:rsidRPr="00632224">
        <w:rPr>
          <w:rFonts w:ascii="Century" w:hAnsi="Century" w:cs="Miriam"/>
          <w:b/>
          <w:sz w:val="22"/>
          <w:rtl/>
        </w:rPr>
        <w:t>לא ידון</w:t>
      </w:r>
      <w:r w:rsidRPr="00632224">
        <w:rPr>
          <w:rFonts w:ascii="FrankRuehl" w:hAnsi="FrankRuehl" w:cs="FrankRuehl"/>
          <w:spacing w:val="10"/>
          <w:sz w:val="28"/>
          <w:szCs w:val="28"/>
          <w:rtl/>
        </w:rPr>
        <w:t xml:space="preserve"> </w:t>
      </w:r>
      <w:r w:rsidRPr="00632224">
        <w:rPr>
          <w:rFonts w:ascii="Century" w:hAnsi="Century" w:cs="Miriam"/>
          <w:b/>
          <w:sz w:val="22"/>
          <w:rtl/>
        </w:rPr>
        <w:t>בעניין סבירות ההחלטה</w:t>
      </w:r>
      <w:r w:rsidRPr="00632224">
        <w:rPr>
          <w:rFonts w:ascii="FrankRuehl" w:hAnsi="FrankRuehl" w:cs="FrankRuehl"/>
          <w:spacing w:val="10"/>
          <w:sz w:val="28"/>
          <w:szCs w:val="28"/>
          <w:rtl/>
        </w:rPr>
        <w:t xml:space="preserve"> של הממשלה, של ראש הממשלה או של שר אחר, </w:t>
      </w:r>
      <w:r w:rsidRPr="00632224">
        <w:rPr>
          <w:rFonts w:ascii="Century" w:hAnsi="Century" w:cs="Miriam"/>
          <w:b/>
          <w:sz w:val="22"/>
          <w:rtl/>
        </w:rPr>
        <w:t>ולא ייתן</w:t>
      </w:r>
      <w:r w:rsidRPr="00632224">
        <w:rPr>
          <w:rFonts w:ascii="FrankRuehl" w:hAnsi="FrankRuehl" w:cs="FrankRuehl"/>
          <w:spacing w:val="10"/>
          <w:sz w:val="28"/>
          <w:szCs w:val="28"/>
          <w:rtl/>
        </w:rPr>
        <w:t xml:space="preserve"> צו בעניין כאמור; בסעיף זה, "ההחלטה" – </w:t>
      </w:r>
      <w:r w:rsidRPr="00632224">
        <w:rPr>
          <w:rFonts w:ascii="Century" w:hAnsi="Century" w:cs="Miriam"/>
          <w:b/>
          <w:sz w:val="22"/>
          <w:rtl/>
        </w:rPr>
        <w:t>כל החלטה, לרבות בענייני מינויים או החלטה להימנע מהפעלת כל סמכות</w:t>
      </w:r>
      <w:r w:rsidRPr="00632224">
        <w:rPr>
          <w:rFonts w:ascii="Century" w:hAnsi="Century" w:cs="FrankRuehl"/>
          <w:spacing w:val="10"/>
          <w:sz w:val="22"/>
          <w:szCs w:val="28"/>
          <w:rtl/>
        </w:rPr>
        <w:t>.</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חבריי מתעלמים מהלשון </w:t>
      </w:r>
      <w:r w:rsidRPr="00632224">
        <w:rPr>
          <w:rFonts w:ascii="Century" w:hAnsi="Century" w:cs="Miriam" w:hint="cs"/>
          <w:b/>
          <w:sz w:val="22"/>
          <w:rtl/>
        </w:rPr>
        <w:t>המפורשת</w:t>
      </w:r>
      <w:r w:rsidRPr="00632224">
        <w:rPr>
          <w:rFonts w:ascii="Century" w:hAnsi="Century" w:cs="FrankRuehl" w:hint="cs"/>
          <w:spacing w:val="10"/>
          <w:sz w:val="22"/>
          <w:szCs w:val="28"/>
          <w:rtl/>
        </w:rPr>
        <w:t xml:space="preserve"> </w:t>
      </w:r>
      <w:r w:rsidRPr="00632224">
        <w:rPr>
          <w:rFonts w:ascii="Century" w:hAnsi="Century" w:cs="Miriam" w:hint="cs"/>
          <w:b/>
          <w:sz w:val="22"/>
          <w:rtl/>
        </w:rPr>
        <w:t>הגורפת והבלתי-מסויגת</w:t>
      </w:r>
      <w:r w:rsidRPr="00632224">
        <w:rPr>
          <w:rFonts w:ascii="Century" w:hAnsi="Century" w:cs="FrankRuehl" w:hint="cs"/>
          <w:spacing w:val="10"/>
          <w:sz w:val="22"/>
          <w:szCs w:val="28"/>
          <w:rtl/>
        </w:rPr>
        <w:t xml:space="preserve"> שבה נקט המכונן; וגם מהכוונה הסובייקטיבית המפורשת של המכוננים, כפי שבאה לידי ביטוי לכל אורך הליך החקיקה, וגם בדיון בפנינו ובתשובה המשלימה של הממשלה. חברי, השופט </w:t>
      </w:r>
      <w:r w:rsidRPr="00632224">
        <w:rPr>
          <w:rFonts w:ascii="Century" w:hAnsi="Century" w:cs="Miriam" w:hint="eastAsia"/>
          <w:b/>
          <w:sz w:val="22"/>
          <w:rtl/>
        </w:rPr>
        <w:t>שטיין</w:t>
      </w:r>
      <w:r w:rsidRPr="00632224">
        <w:rPr>
          <w:rFonts w:ascii="Century" w:hAnsi="Century" w:cs="FrankRuehl" w:hint="cs"/>
          <w:spacing w:val="10"/>
          <w:sz w:val="22"/>
          <w:szCs w:val="28"/>
          <w:rtl/>
        </w:rPr>
        <w:t>, נתן משקל רב לדברי ההסבר, ומאלף בהקשר זה להפנות לדבריו של ח"כ רוטמן, שבמהלך הדיון בפנינו שלל את ההסתמכות על דברי ההסבר (עמ' 38 לפרוטוקול):</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spacing w:val="10"/>
          <w:sz w:val="22"/>
          <w:szCs w:val="28"/>
          <w:rtl/>
        </w:rPr>
        <w:lastRenderedPageBreak/>
        <w:t>"</w:t>
      </w:r>
      <w:r w:rsidRPr="00632224">
        <w:rPr>
          <w:rFonts w:ascii="Arial TUR" w:hAnsi="Arial TUR" w:cs="FrankRuehl" w:hint="eastAsia"/>
          <w:spacing w:val="10"/>
          <w:sz w:val="22"/>
          <w:szCs w:val="28"/>
          <w:rtl/>
        </w:rPr>
        <w:t>דברי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הסבר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וזה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באמת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עובדה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ידועה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לרבים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ותודה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לכבודו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השאלה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דברי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הסבר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אינם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נכתבים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מטעם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הועדה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דברי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הסבר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נכתבים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ידי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היעוץ</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המשפטי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לוועדה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לא</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בהחלטת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חברי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הוועדה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ואף</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בהחלטת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יושב</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ראש</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הוועדה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ידי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היעוץ</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המשפטי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לוועדה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המעורבות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בכתיבתם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קיימת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דלה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קיימת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בכלל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מצד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חברי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הכנסת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ולכן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בוודאי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בהצעת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שבאה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מטעם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ועדה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בניגוד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להצעת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פרטית</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[שבה]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שכותב</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דברי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ההסבר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בגדול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הוא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חבר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הכנסת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המציע</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ועם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קצת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סיוע</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ועזרה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מהמחלקה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המשפטית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הכנסת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אבל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הוא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חתום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עליהם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בהצעות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מטעם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וועדה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שחתום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דברי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ההסבר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זה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היעוץ</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המשפטי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משקפים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עמדתם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תפיסתם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בנוגע</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לחוק</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אינני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מציע</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לכבודכם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כיצד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לפרש</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אבל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שואלים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אותי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בדברי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הסבר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בהצעות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מטעם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ועדה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הייתי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מסתמך</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יותר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כדי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לזהות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כוונת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המחוקק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הייתי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מסתמך</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יותר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הפרוטוקולים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והדיונים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ופחות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דברי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ההסבר</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(הערות הוספו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כפי שציינה גם הכנסת בתשובתה המשלימה, </w:t>
      </w:r>
      <w:r w:rsidRPr="00632224">
        <w:rPr>
          <w:rFonts w:ascii="Century" w:hAnsi="Century" w:cs="Miriam" w:hint="eastAsia"/>
          <w:b/>
          <w:sz w:val="22"/>
          <w:rtl/>
        </w:rPr>
        <w:t>מלשון</w:t>
      </w:r>
      <w:r w:rsidRPr="00632224">
        <w:rPr>
          <w:rFonts w:ascii="Century" w:hAnsi="Century" w:cs="FrankRuehl" w:hint="cs"/>
          <w:spacing w:val="10"/>
          <w:sz w:val="22"/>
          <w:szCs w:val="28"/>
          <w:rtl/>
        </w:rPr>
        <w:t xml:space="preserve"> התיקון לחוק היסוד, נראה שהתיקון חל על עילת הסבירות בכל היבטיה, מבלי להבחין בין עילת הסבירות המסורתית לבין עילת הסבירות החדשה כפי שפותחה בהלכת </w:t>
      </w:r>
      <w:r w:rsidRPr="00632224">
        <w:rPr>
          <w:rFonts w:ascii="Century" w:hAnsi="Century" w:cs="Miriam" w:hint="cs"/>
          <w:b/>
          <w:sz w:val="22"/>
          <w:rtl/>
        </w:rPr>
        <w:t>דפי זהב</w:t>
      </w:r>
      <w:r w:rsidRPr="00632224">
        <w:rPr>
          <w:rFonts w:ascii="Century" w:hAnsi="Century" w:cs="FrankRuehl" w:hint="cs"/>
          <w:spacing w:val="10"/>
          <w:sz w:val="22"/>
          <w:szCs w:val="28"/>
          <w:rtl/>
        </w:rPr>
        <w:t xml:space="preserve">. אכן, פרשנות חוקתית היא פרשנות על פי התכלית האובייקטיבית, אך גם בהתעלם מהלשון המפורשת, גם בהתעלם מהלשון הגורפת, גם בהתעלם מהכוונה הסובייקטיבית של המכוננים שהצהירו על כך בריש גלי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המעוות לא יכול לתקון והעקוב לא יהפוך למישור באמצעות פרשנות מקיימת. התיקון שלפנינו, במכלול היבטיו השונים כפי שפורט בהרחבה לעיל, נקוב ככברה "</w:t>
      </w:r>
      <w:r w:rsidRPr="00632224">
        <w:rPr>
          <w:rFonts w:ascii="Century" w:hAnsi="Century" w:cs="FrankRuehl" w:hint="cs"/>
          <w:spacing w:val="10"/>
          <w:sz w:val="22"/>
          <w:szCs w:val="28"/>
          <w:shd w:val="clear" w:color="auto" w:fill="FFFFFF"/>
          <w:rtl/>
        </w:rPr>
        <w:t>מִכַּף רֶגֶל וְעַד רֹאשׁ אֵין בּוֹ מְתֹם, פֶּצַע וְחַבּוּרָה וּמַכָּה טְרִיָּה" (ישעיהו א, ו)</w:t>
      </w:r>
      <w:r w:rsidRPr="00632224">
        <w:rPr>
          <w:rFonts w:ascii="Century" w:hAnsi="Century" w:cs="FrankRuehl" w:hint="cs"/>
          <w:spacing w:val="10"/>
          <w:sz w:val="22"/>
          <w:szCs w:val="28"/>
          <w:rtl/>
        </w:rPr>
        <w:t xml:space="preserve">. לדרך הפרשנות המקיימת אין כל עיגון ויתד בחוק היסוד עצמו. זו הנקודה היחידה שבה מצאתי עצמי מסכים עם טענת הממשלה, לפיה פרשנות כזו משמעותה חקיקה מחדש.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Arial TUR" w:hAnsi="Arial TUR" w:cs="FrankRuehl" w:hint="cs"/>
          <w:spacing w:val="10"/>
          <w:sz w:val="22"/>
          <w:szCs w:val="28"/>
          <w:rtl/>
        </w:rPr>
        <w:t>121.</w:t>
      </w:r>
      <w:r w:rsidRPr="00632224">
        <w:rPr>
          <w:rFonts w:ascii="Arial TUR" w:hAnsi="Arial TUR" w:cs="FrankRuehl" w:hint="cs"/>
          <w:spacing w:val="10"/>
          <w:sz w:val="22"/>
          <w:szCs w:val="28"/>
          <w:rtl/>
        </w:rPr>
        <w:tab/>
      </w:r>
      <w:r w:rsidRPr="00632224">
        <w:rPr>
          <w:rFonts w:ascii="Century" w:hAnsi="Century" w:cs="FrankRuehl" w:hint="cs"/>
          <w:spacing w:val="10"/>
          <w:szCs w:val="28"/>
          <w:rtl/>
        </w:rPr>
        <w:t xml:space="preserve">חברי השופט </w:t>
      </w:r>
      <w:r w:rsidRPr="00632224">
        <w:rPr>
          <w:rFonts w:ascii="Century" w:hAnsi="Century" w:cs="Miriam" w:hint="eastAsia"/>
          <w:b/>
          <w:sz w:val="22"/>
          <w:rtl/>
        </w:rPr>
        <w:t>שטיין</w:t>
      </w:r>
      <w:r w:rsidRPr="00632224">
        <w:rPr>
          <w:rFonts w:ascii="Century" w:hAnsi="Century" w:cs="FrankRuehl" w:hint="cs"/>
          <w:spacing w:val="10"/>
          <w:szCs w:val="28"/>
          <w:rtl/>
        </w:rPr>
        <w:t xml:space="preserve"> מסכים כי התיקון לחוק היסוד סובל מכשל פרוצדורלי בהעדר חוק יסוד: החקיקה, אך לשיטתו עלינו להקפיד על דרכי הכינון של חוק יסוד "רק מכאן ואילך" (פסקה 83 לפסק דינו). לטעמי, מכאן ואילך הוא כאן ועכשיו, בתיקון שלפנינו.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122.</w:t>
      </w: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חברתי השופטת </w:t>
      </w:r>
      <w:r w:rsidRPr="00632224">
        <w:rPr>
          <w:rFonts w:ascii="Century" w:hAnsi="Century" w:cs="Miriam" w:hint="eastAsia"/>
          <w:b/>
          <w:sz w:val="22"/>
          <w:rtl/>
        </w:rPr>
        <w:t>וילנר</w:t>
      </w:r>
      <w:r w:rsidRPr="00632224">
        <w:rPr>
          <w:rFonts w:ascii="Century" w:hAnsi="Century" w:cs="FrankRuehl" w:hint="cs"/>
          <w:spacing w:val="10"/>
          <w:sz w:val="22"/>
          <w:szCs w:val="28"/>
          <w:rtl/>
        </w:rPr>
        <w:t xml:space="preserve"> ציטטה בפסקה 74 לפסק דינה מתוך ספרו של המלומד </w:t>
      </w:r>
      <w:r w:rsidRPr="00632224">
        <w:rPr>
          <w:rFonts w:ascii="Century" w:hAnsi="Century" w:cs="Miriam" w:hint="eastAsia"/>
          <w:b/>
          <w:sz w:val="22"/>
          <w:rtl/>
        </w:rPr>
        <w:t>דותן</w:t>
      </w:r>
      <w:r w:rsidRPr="00632224">
        <w:rPr>
          <w:rFonts w:ascii="Century" w:hAnsi="Century" w:cs="FrankRuehl" w:hint="cs"/>
          <w:spacing w:val="10"/>
          <w:sz w:val="22"/>
          <w:szCs w:val="28"/>
          <w:rtl/>
        </w:rPr>
        <w:t xml:space="preserve"> על מנת להראות כי המחוקק והמכונן רשאים להתוות את גבולות הביקורת השיפוטית. כשלעצמי, הייתי מדגיש דווקא קטע אחר מתוך הרישא של הציטוט:</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hint="eastAsia"/>
          <w:spacing w:val="10"/>
          <w:sz w:val="22"/>
          <w:szCs w:val="28"/>
          <w:rtl/>
        </w:rPr>
        <w:t>הגישה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שלפיה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קביעה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המחוקק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בנוגע</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להיקף</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הביקורת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השיפוטית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החלטות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מינהליות</w:t>
      </w:r>
      <w:r w:rsidRPr="00632224">
        <w:rPr>
          <w:rFonts w:ascii="Arial TUR" w:hAnsi="Arial TUR" w:cs="FrankRuehl"/>
          <w:spacing w:val="10"/>
          <w:sz w:val="22"/>
          <w:szCs w:val="28"/>
          <w:rtl/>
        </w:rPr>
        <w:t xml:space="preserve"> </w:t>
      </w:r>
      <w:r w:rsidRPr="00632224">
        <w:rPr>
          <w:rFonts w:ascii="Century" w:hAnsi="Century" w:cs="Miriam" w:hint="eastAsia"/>
          <w:b/>
          <w:sz w:val="22"/>
          <w:rtl/>
        </w:rPr>
        <w:t>בהקשר</w:t>
      </w:r>
      <w:r w:rsidRPr="00632224">
        <w:rPr>
          <w:rFonts w:ascii="Century" w:hAnsi="Century" w:cs="Miriam"/>
          <w:b/>
          <w:sz w:val="22"/>
          <w:rtl/>
        </w:rPr>
        <w:t xml:space="preserve"> </w:t>
      </w:r>
      <w:r w:rsidRPr="00632224">
        <w:rPr>
          <w:rFonts w:ascii="Century" w:hAnsi="Century" w:cs="Miriam" w:hint="eastAsia"/>
          <w:b/>
          <w:sz w:val="22"/>
          <w:rtl/>
        </w:rPr>
        <w:t>נושאי</w:t>
      </w:r>
      <w:r w:rsidRPr="00632224">
        <w:rPr>
          <w:rFonts w:ascii="Century" w:hAnsi="Century" w:cs="Miriam"/>
          <w:b/>
          <w:sz w:val="22"/>
          <w:rtl/>
        </w:rPr>
        <w:t xml:space="preserve"> </w:t>
      </w:r>
      <w:r w:rsidRPr="00632224">
        <w:rPr>
          <w:rFonts w:ascii="Century" w:hAnsi="Century" w:cs="Miriam" w:hint="eastAsia"/>
          <w:b/>
          <w:sz w:val="22"/>
          <w:rtl/>
        </w:rPr>
        <w:t>מסוים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סותרת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בהכרח</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סעיף</w:t>
      </w:r>
      <w:r w:rsidRPr="00632224">
        <w:rPr>
          <w:rFonts w:ascii="Arial TUR" w:hAnsi="Arial TUR" w:cs="FrankRuehl"/>
          <w:spacing w:val="10"/>
          <w:sz w:val="22"/>
          <w:szCs w:val="28"/>
          <w:rtl/>
        </w:rPr>
        <w:t xml:space="preserve"> 15(</w:t>
      </w:r>
      <w:r w:rsidRPr="00632224">
        <w:rPr>
          <w:rFonts w:ascii="Arial TUR" w:hAnsi="Arial TUR" w:cs="FrankRuehl" w:hint="eastAsia"/>
          <w:spacing w:val="10"/>
          <w:sz w:val="22"/>
          <w:szCs w:val="28"/>
          <w:rtl/>
        </w:rPr>
        <w:t>ג</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משום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שהיא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מסיגה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גבולו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בג</w:t>
      </w:r>
      <w:r w:rsidRPr="00632224">
        <w:rPr>
          <w:rFonts w:ascii="Arial TUR" w:hAnsi="Arial TUR" w:cs="FrankRuehl"/>
          <w:spacing w:val="10"/>
          <w:sz w:val="22"/>
          <w:szCs w:val="28"/>
          <w:rtl/>
        </w:rPr>
        <w:t>"</w:t>
      </w:r>
      <w:r w:rsidRPr="00632224">
        <w:rPr>
          <w:rFonts w:ascii="Arial TUR" w:hAnsi="Arial TUR" w:cs="FrankRuehl" w:hint="eastAsia"/>
          <w:spacing w:val="10"/>
          <w:sz w:val="22"/>
          <w:szCs w:val="28"/>
          <w:rtl/>
        </w:rPr>
        <w:t>ץ</w:t>
      </w:r>
      <w:r w:rsidRPr="00632224">
        <w:rPr>
          <w:rFonts w:ascii="Arial TUR" w:hAnsi="Arial TUR" w:cs="FrankRuehl"/>
          <w:spacing w:val="10"/>
          <w:sz w:val="22"/>
          <w:szCs w:val="28"/>
          <w:rtl/>
        </w:rPr>
        <w:t xml:space="preserve"> – </w:t>
      </w:r>
      <w:r w:rsidRPr="00632224">
        <w:rPr>
          <w:rFonts w:ascii="Arial TUR" w:hAnsi="Arial TUR" w:cs="FrankRuehl" w:hint="eastAsia"/>
          <w:spacing w:val="10"/>
          <w:sz w:val="22"/>
          <w:szCs w:val="28"/>
          <w:rtl/>
        </w:rPr>
        <w:t>מבטאת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עמדה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פרשנ</w:t>
      </w:r>
      <w:r w:rsidRPr="00632224">
        <w:rPr>
          <w:rFonts w:ascii="Arial TUR" w:hAnsi="Arial TUR" w:cs="FrankRuehl" w:hint="cs"/>
          <w:spacing w:val="10"/>
          <w:sz w:val="22"/>
          <w:szCs w:val="28"/>
          <w:rtl/>
        </w:rPr>
        <w:t>י</w:t>
      </w:r>
      <w:r w:rsidRPr="00632224">
        <w:rPr>
          <w:rFonts w:ascii="Arial TUR" w:hAnsi="Arial TUR" w:cs="FrankRuehl" w:hint="eastAsia"/>
          <w:spacing w:val="10"/>
          <w:sz w:val="22"/>
          <w:szCs w:val="28"/>
          <w:rtl/>
        </w:rPr>
        <w:t>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חוקתית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שלפיה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הסעיף</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נועד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להעניק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לבג</w:t>
      </w:r>
      <w:r w:rsidRPr="00632224">
        <w:rPr>
          <w:rFonts w:ascii="Arial TUR" w:hAnsi="Arial TUR" w:cs="FrankRuehl"/>
          <w:spacing w:val="10"/>
          <w:sz w:val="22"/>
          <w:szCs w:val="28"/>
          <w:rtl/>
        </w:rPr>
        <w:t>"</w:t>
      </w:r>
      <w:r w:rsidRPr="00632224">
        <w:rPr>
          <w:rFonts w:ascii="Arial TUR" w:hAnsi="Arial TUR" w:cs="FrankRuehl" w:hint="eastAsia"/>
          <w:spacing w:val="10"/>
          <w:sz w:val="22"/>
          <w:szCs w:val="28"/>
          <w:rtl/>
        </w:rPr>
        <w:t>ץ</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מונופול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מוחלט</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קביעת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היקף</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הביקורת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השיפוטית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המינהלית</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w:t>
      </w:r>
      <w:r w:rsidRPr="00632224">
        <w:rPr>
          <w:rFonts w:ascii="Century" w:hAnsi="Century" w:cs="Miriam" w:hint="eastAsia"/>
          <w:b/>
          <w:sz w:val="22"/>
          <w:rtl/>
        </w:rPr>
        <w:t>דותן</w:t>
      </w:r>
      <w:r w:rsidRPr="00632224">
        <w:rPr>
          <w:rFonts w:ascii="Arial TUR" w:hAnsi="Arial TUR" w:cs="FrankRuehl"/>
          <w:spacing w:val="10"/>
          <w:sz w:val="22"/>
          <w:szCs w:val="28"/>
          <w:rtl/>
        </w:rPr>
        <w:t xml:space="preserve"> </w:t>
      </w:r>
      <w:r w:rsidRPr="00632224">
        <w:rPr>
          <w:rFonts w:ascii="Century" w:hAnsi="Century" w:cs="Miriam" w:hint="eastAsia"/>
          <w:b/>
          <w:sz w:val="22"/>
          <w:rtl/>
        </w:rPr>
        <w:t>ביקורת</w:t>
      </w:r>
      <w:r w:rsidRPr="00632224">
        <w:rPr>
          <w:rFonts w:ascii="Century" w:hAnsi="Century" w:cs="Miriam"/>
          <w:b/>
          <w:sz w:val="22"/>
          <w:rtl/>
        </w:rPr>
        <w:t xml:space="preserve"> </w:t>
      </w:r>
      <w:r w:rsidRPr="00632224">
        <w:rPr>
          <w:rFonts w:ascii="Century" w:hAnsi="Century" w:cs="Miriam" w:hint="eastAsia"/>
          <w:b/>
          <w:sz w:val="22"/>
          <w:rtl/>
        </w:rPr>
        <w:t>שיפוטית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בעמ</w:t>
      </w:r>
      <w:r w:rsidRPr="00632224">
        <w:rPr>
          <w:rFonts w:ascii="Century" w:hAnsi="Century" w:cs="FrankRuehl"/>
          <w:spacing w:val="10"/>
          <w:sz w:val="22"/>
          <w:szCs w:val="28"/>
          <w:rtl/>
        </w:rPr>
        <w:t>' 237</w:t>
      </w:r>
      <w:r w:rsidRPr="00632224">
        <w:rPr>
          <w:rFonts w:ascii="Century" w:hAnsi="Century" w:cs="FrankRuehl" w:hint="cs"/>
          <w:spacing w:val="10"/>
          <w:sz w:val="22"/>
          <w:szCs w:val="28"/>
          <w:rtl/>
        </w:rPr>
        <w:t xml:space="preserve">, </w:t>
      </w:r>
      <w:r w:rsidRPr="00632224">
        <w:rPr>
          <w:rFonts w:ascii="Arial TUR" w:hAnsi="Arial TUR" w:cs="FrankRuehl" w:hint="eastAsia"/>
          <w:spacing w:val="10"/>
          <w:sz w:val="22"/>
          <w:szCs w:val="28"/>
          <w:rtl/>
        </w:rPr>
        <w:t>הדגשה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הוספה</w:t>
      </w:r>
      <w:r w:rsidRPr="00632224">
        <w:rPr>
          <w:rFonts w:ascii="Arial TUR" w:hAnsi="Arial TUR" w:cs="FrankRuehl"/>
          <w:spacing w:val="10"/>
          <w:sz w:val="22"/>
          <w:szCs w:val="28"/>
          <w:rtl/>
        </w:rPr>
        <w:t xml:space="preserve"> – </w:t>
      </w:r>
      <w:r w:rsidRPr="00632224">
        <w:rPr>
          <w:rFonts w:ascii="Arial TUR" w:hAnsi="Arial TUR" w:cs="FrankRuehl" w:hint="eastAsia"/>
          <w:spacing w:val="10"/>
          <w:sz w:val="22"/>
          <w:szCs w:val="28"/>
          <w:rtl/>
        </w:rPr>
        <w:t>י</w:t>
      </w:r>
      <w:r w:rsidRPr="00632224">
        <w:rPr>
          <w:rFonts w:ascii="Arial TUR" w:hAnsi="Arial TUR" w:cs="FrankRuehl"/>
          <w:spacing w:val="10"/>
          <w:sz w:val="22"/>
          <w:szCs w:val="28"/>
          <w:rtl/>
        </w:rPr>
        <w:t>"</w:t>
      </w:r>
      <w:r w:rsidRPr="00632224">
        <w:rPr>
          <w:rFonts w:ascii="Arial TUR" w:hAnsi="Arial TUR" w:cs="FrankRuehl" w:hint="eastAsia"/>
          <w:spacing w:val="10"/>
          <w:sz w:val="22"/>
          <w:szCs w:val="28"/>
          <w:rtl/>
        </w:rPr>
        <w:t>ע</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אילו ביקש המכונן להוציא נושא נקודתי מסוים מתחום עילת הסבירות (כגון מינוי שרים שאושר בכנסת) היינו במקום אחר, ועל כך עמדתי כבר בראשית דברי (לעיל פסקה 3). אך התיקון לחוק היסוד שולל באופן </w:t>
      </w:r>
      <w:r w:rsidRPr="00632224">
        <w:rPr>
          <w:rFonts w:ascii="Century" w:hAnsi="Century" w:cs="Miriam" w:hint="eastAsia"/>
          <w:b/>
          <w:sz w:val="22"/>
          <w:rtl/>
        </w:rPr>
        <w:t>גורף</w:t>
      </w:r>
      <w:r w:rsidRPr="00632224">
        <w:rPr>
          <w:rFonts w:ascii="Century" w:hAnsi="Century" w:cs="FrankRuehl" w:hint="cs"/>
          <w:spacing w:val="10"/>
          <w:sz w:val="22"/>
          <w:szCs w:val="28"/>
          <w:rtl/>
        </w:rPr>
        <w:t xml:space="preserve"> את הביקורת השיפוטית בעילת הסבירות, על </w:t>
      </w:r>
      <w:r w:rsidRPr="00632224">
        <w:rPr>
          <w:rFonts w:ascii="Century" w:hAnsi="Century" w:cs="FrankRuehl"/>
          <w:spacing w:val="10"/>
          <w:sz w:val="22"/>
          <w:szCs w:val="28"/>
          <w:rtl/>
        </w:rPr>
        <w:t>"</w:t>
      </w:r>
      <w:r w:rsidRPr="00632224">
        <w:rPr>
          <w:rFonts w:ascii="Century" w:hAnsi="Century" w:cs="Miriam" w:hint="eastAsia"/>
          <w:b/>
          <w:sz w:val="22"/>
          <w:rtl/>
        </w:rPr>
        <w:t>כל</w:t>
      </w:r>
      <w:r w:rsidRPr="00632224">
        <w:rPr>
          <w:rFonts w:ascii="Century" w:hAnsi="Century" w:cs="Miriam"/>
          <w:b/>
          <w:sz w:val="22"/>
          <w:rtl/>
        </w:rPr>
        <w:t xml:space="preserve"> </w:t>
      </w:r>
      <w:r w:rsidRPr="00632224">
        <w:rPr>
          <w:rFonts w:ascii="Century" w:hAnsi="Century" w:cs="Miriam" w:hint="eastAsia"/>
          <w:b/>
          <w:sz w:val="22"/>
          <w:rtl/>
        </w:rPr>
        <w:t>החלטה</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של הממשלה ושריה. ואכן, לא בכדי, המלומד </w:t>
      </w:r>
      <w:r w:rsidRPr="00632224">
        <w:rPr>
          <w:rFonts w:ascii="Century" w:hAnsi="Century" w:cs="FrankRuehl" w:hint="eastAsia"/>
          <w:spacing w:val="10"/>
          <w:sz w:val="22"/>
          <w:szCs w:val="28"/>
          <w:rtl/>
        </w:rPr>
        <w:t>דותן</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 xml:space="preserve">הביע בדיוני ועדת החוקה את התנגדותו לתיקון חוק היסוד.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123.</w:t>
      </w:r>
      <w:r w:rsidRPr="00632224">
        <w:rPr>
          <w:rFonts w:ascii="Century" w:hAnsi="Century" w:cs="FrankRuehl" w:hint="cs"/>
          <w:spacing w:val="10"/>
          <w:sz w:val="22"/>
          <w:szCs w:val="28"/>
          <w:rtl/>
        </w:rPr>
        <w:tab/>
        <w:t>ולבסוף, ושמא עיקרו של דבר. הפרשנות המקיימת שהוצעה על ידי חבריי, מתעלמת מההשלכות הקשות הנובעות גם מהליכה בדרך זו. עקירתה של "הסבירות האיזונית" מתוך כלל המופעים של עילת הסבירות, אם בכלל אפשרית, כורתת ענף מרכזי חשוב של ביקורת מינהלית; מתעלמת מכוחה לחשוף או להתגבר על פגמים אחרים כמו שיקולים זרים; מאפשרת לממשלה ולכל אחד משריה לחסן את החלטתו מפני ביקורת שיפוטית תוך שימוש בנוסח כמו "</w:t>
      </w:r>
      <w:r w:rsidRPr="00632224">
        <w:rPr>
          <w:rFonts w:ascii="Century" w:hAnsi="Century" w:cs="FrankRuehl" w:hint="cs"/>
          <w:spacing w:val="10"/>
          <w:szCs w:val="28"/>
          <w:rtl/>
        </w:rPr>
        <w:t xml:space="preserve">שקלתי גם את השיקולים הבאים..." </w:t>
      </w:r>
      <w:r w:rsidRPr="00632224">
        <w:rPr>
          <w:rFonts w:ascii="Century" w:hAnsi="Century" w:cs="FrankRuehl" w:hint="cs"/>
          <w:spacing w:val="10"/>
          <w:sz w:val="22"/>
          <w:szCs w:val="28"/>
          <w:rtl/>
        </w:rPr>
        <w:t>ובכך למנוע מבית המשפט לבחון את ההחלטה; אין בה מרפא של ממש לפגיעה הקשה בעקרונות היסוד שעליהם עמדנו לעיל; והיא מותירה "חורים שחורים" של ממש בתחומים השונים שעליהם עמדנו לעיל, כמו מינויים, ממשלת מעבר, טוהר הבחירות וכיוצא בזה.</w:t>
      </w: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sidDel="00722514">
        <w:rPr>
          <w:rFonts w:ascii="Century" w:hAnsi="Century" w:cs="FrankRuehl"/>
          <w:spacing w:val="10"/>
          <w:sz w:val="22"/>
          <w:szCs w:val="28"/>
          <w:rtl/>
        </w:rPr>
        <w:t xml:space="preserve"> </w:t>
      </w:r>
    </w:p>
    <w:p w:rsidR="00244560" w:rsidRPr="00632224" w:rsidRDefault="00244560" w:rsidP="00244560">
      <w:pPr>
        <w:keepNext/>
        <w:keepLines/>
        <w:tabs>
          <w:tab w:val="left" w:pos="800"/>
        </w:tabs>
        <w:spacing w:line="360" w:lineRule="auto"/>
        <w:jc w:val="both"/>
        <w:rPr>
          <w:rFonts w:ascii="Century" w:hAnsi="Century" w:cs="Miriam"/>
          <w:b/>
          <w:sz w:val="22"/>
          <w:shd w:val="clear" w:color="auto" w:fill="FFFFFF"/>
          <w:rtl/>
        </w:rPr>
      </w:pPr>
      <w:bookmarkStart w:id="36" w:name="_Toc151478757"/>
      <w:r w:rsidRPr="00632224">
        <w:rPr>
          <w:rFonts w:ascii="Century" w:hAnsi="Century" w:cs="Miriam" w:hint="cs"/>
          <w:b/>
          <w:sz w:val="22"/>
          <w:shd w:val="clear" w:color="auto" w:fill="FFFFFF"/>
          <w:rtl/>
        </w:rPr>
        <w:t xml:space="preserve">סיכום </w:t>
      </w: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spacing w:val="10"/>
          <w:sz w:val="22"/>
          <w:szCs w:val="28"/>
          <w:rtl/>
        </w:rPr>
        <w:t>124.</w:t>
      </w:r>
      <w:r w:rsidRPr="00632224">
        <w:rPr>
          <w:rFonts w:ascii="Century" w:hAnsi="Century" w:cs="FrankRuehl"/>
          <w:spacing w:val="10"/>
          <w:sz w:val="22"/>
          <w:szCs w:val="28"/>
          <w:rtl/>
        </w:rPr>
        <w:tab/>
      </w:r>
      <w:r w:rsidRPr="00632224">
        <w:rPr>
          <w:rFonts w:ascii="Century" w:hAnsi="Century" w:cs="FrankRuehl" w:hint="eastAsia"/>
          <w:spacing w:val="10"/>
          <w:sz w:val="22"/>
          <w:szCs w:val="28"/>
          <w:rtl/>
        </w:rPr>
        <w:t>מדינת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ישראל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היא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מדינה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יהודית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ודמוקרטית</w:t>
      </w:r>
      <w:r w:rsidRPr="00632224">
        <w:rPr>
          <w:rFonts w:ascii="Century" w:hAnsi="Century" w:cs="FrankRuehl"/>
          <w:spacing w:val="10"/>
          <w:sz w:val="22"/>
          <w:szCs w:val="28"/>
          <w:rtl/>
        </w:rPr>
        <w:t>. זוהי תמצית ה</w:t>
      </w:r>
      <w:r w:rsidRPr="00632224">
        <w:rPr>
          <w:rFonts w:ascii="Century" w:hAnsi="Century" w:cs="FrankRuehl" w:hint="eastAsia"/>
          <w:spacing w:val="10"/>
          <w:sz w:val="22"/>
          <w:szCs w:val="28"/>
          <w:rtl/>
        </w:rPr>
        <w:t>ווייתה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שילוב</w:t>
      </w:r>
      <w:r w:rsidRPr="00632224">
        <w:rPr>
          <w:rFonts w:ascii="Century" w:hAnsi="Century" w:cs="FrankRuehl"/>
          <w:spacing w:val="10"/>
          <w:sz w:val="22"/>
          <w:szCs w:val="28"/>
          <w:rtl/>
        </w:rPr>
        <w:t xml:space="preserve"> זה </w:t>
      </w:r>
      <w:r w:rsidRPr="00632224">
        <w:rPr>
          <w:rFonts w:ascii="Arial TUR" w:hAnsi="Arial TUR" w:cs="FrankRuehl" w:hint="cs"/>
          <w:spacing w:val="10"/>
          <w:sz w:val="22"/>
          <w:szCs w:val="28"/>
          <w:rtl/>
        </w:rPr>
        <w:t>בין "יהודית" ל"דמוקרטית" הוא המצפן הערכי שמוביל את מדינת ישראל בנתיבי אבק וזמן, עמוד האש שלאורו מדינת ישראל צועדת בכל אשר תלך. יסודות אלו, "יהודית ודמוקרטית", נטועים אפוא עמוק בצופן הגנטי של מדינתנו. ברם, יסודות אלו אינם חסינים מפני רעשי אדמה שעלולים לכרסם ביציבותם. יסודות אלו טעונים שימור, טיפוח ותחזוק, לבל יתערערו חלילה ויעמידו את הבניין כולו בסכנה. כמו כל מבנה של חומר ולבנים, גם מבנה משטרי נדרש לערוך "בדק בית" מדי זמן, והעובדה שמדינת ישראל היא מדינה יהודית ודמוקרטית אין פירושה כי המערכת החיסונית של המדינה אינה טעונה הגנה וחיזוק.</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ענייננו שלנו מתמקד ביסוד הדמוקרטי של מדינת ישראל, ונקודת המוצא של מסענו היא הגרעון הדמוקרטי שבו נמצאת המדינה, אשר חסרה "מנועי דמוקרטיה" שקיימים במדינות רבות בעולם</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ו</w:t>
      </w:r>
      <w:r w:rsidRPr="00632224">
        <w:rPr>
          <w:rFonts w:ascii="Arial TUR" w:hAnsi="Arial TUR" w:cs="FrankRuehl"/>
          <w:spacing w:val="10"/>
          <w:sz w:val="22"/>
          <w:szCs w:val="28"/>
          <w:rtl/>
        </w:rPr>
        <w:t>שתורמים לביצורו של היסוד הדמוקרטי</w:t>
      </w:r>
      <w:r w:rsidRPr="00632224">
        <w:rPr>
          <w:rFonts w:ascii="Arial TUR" w:hAnsi="Arial TUR" w:cs="FrankRuehl" w:hint="cs"/>
          <w:spacing w:val="10"/>
          <w:sz w:val="22"/>
          <w:szCs w:val="28"/>
          <w:rtl/>
        </w:rPr>
        <w:t xml:space="preserve">. "תמונת הראי" המתקבלת מהעדרם של "מנועים" כאמור היא כי בישראל יש לרשות המבצעת עוצמה מיוחדת בהשוואה למדינות אחרות, וזאת בהינתן שורה של מאפיינים, ובראשם היותה של הכנסת נשלטת על ידי הממשלה. המסקנה המתבקשת היא שמדינת ישראל זקוקה </w:t>
      </w:r>
      <w:r w:rsidRPr="00632224">
        <w:rPr>
          <w:rFonts w:ascii="Century" w:hAnsi="Century" w:cs="Miriam" w:hint="eastAsia"/>
          <w:b/>
          <w:sz w:val="22"/>
          <w:rtl/>
        </w:rPr>
        <w:t>לתוספת</w:t>
      </w:r>
      <w:r w:rsidRPr="00632224">
        <w:rPr>
          <w:rFonts w:ascii="Arial TUR" w:hAnsi="Arial TUR" w:cs="FrankRuehl" w:hint="cs"/>
          <w:spacing w:val="10"/>
          <w:sz w:val="22"/>
          <w:szCs w:val="28"/>
          <w:rtl/>
        </w:rPr>
        <w:t xml:space="preserve"> של מנועים המחזקים את המשטר הדמוקרטי. ואולם, התיקון לחוק היסוד שבגדרו בוטלה עילת הסבירות בכל הנוגע להחלטות הממשלה ושריה, צועד בכיוון ההפוך ומעצים עוד יותר את כוחה של הרשות המבצעת. לנוכח הגרעון הדמוקרטי במדינת ישראל, ובהינתן שעילת הסבירות היא מקור מרכזי לביקורת שיפוטית על הרשות המבצעת, לשלילה כה גורפת של עילת הסבירות יש משקל סגולי גבוה הרבה יותר מאשר במדינות אחרות.</w:t>
      </w:r>
      <w:r w:rsidRPr="00632224">
        <w:rPr>
          <w:rFonts w:ascii="Century" w:hAnsi="Century" w:cs="FrankRuehl" w:hint="cs"/>
          <w:spacing w:val="10"/>
          <w:sz w:val="22"/>
          <w:szCs w:val="28"/>
          <w:rtl/>
        </w:rPr>
        <w:t xml:space="preserve">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keepNext/>
        <w:keepLines/>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על רקע נקודת מוצא זו, ומשעומדות רגלינו בסופו של מסע, נסכם בקצרה את התחנות העיקריות שחלפנו על פניהן בדרך אל מסקנתנו.</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Century" w:hAnsi="Century" w:cs="Miriam" w:hint="cs"/>
          <w:b/>
          <w:sz w:val="22"/>
          <w:rtl/>
        </w:rPr>
        <w:t xml:space="preserve">א. הסמכות לערוך ביקורת שיפוטית על חקיקת יסוד: </w:t>
      </w:r>
      <w:r w:rsidRPr="00632224">
        <w:rPr>
          <w:rFonts w:ascii="Century" w:hAnsi="Century" w:cs="FrankRuehl" w:hint="cs"/>
          <w:spacing w:val="10"/>
          <w:sz w:val="22"/>
          <w:szCs w:val="28"/>
          <w:rtl/>
        </w:rPr>
        <w:t xml:space="preserve">מעמדם של חוקי היסוד הוא כשל חוקה, אך במצב החוקתי הקיים, אין דבר המבטיח כי הכותרת "חוק יסוד" תשמש לכינון הוראות חוקתיות באופיין; אין כל מגבלה על האופן שבו מחוקקים חוקי יסוד ועל דרך הכלל אף אין מגבלה על שינויים; </w:t>
      </w:r>
      <w:r w:rsidRPr="00632224">
        <w:rPr>
          <w:rFonts w:ascii="Arial TUR" w:hAnsi="Arial TUR" w:cs="FrankRuehl" w:hint="cs"/>
          <w:spacing w:val="10"/>
          <w:sz w:val="22"/>
          <w:szCs w:val="28"/>
          <w:rtl/>
        </w:rPr>
        <w:t xml:space="preserve">הליכי חקיקתם זהים לאלה של חוק רגיל; הם לא בהכרח מתקבלים בהסכמה רחבה; לא בהכרח מתקבלים מאחורי 'מסך בערות'; לא בהכרח משתלבים במארג החקיקתי; ולא בהכרח נערכת לגביהם עבודת מטה סדורה כפי שנעשה על פי רוב בחקיקה רגילה. כל אלה, לצד אי השלמת המפעל החוקתי, ובמיוחד אי קביעת 'כללי משחק' בדמות חוק יסוד: החקיקה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מובילים למסקנה כי חיוני להכיר בסמכות לערוך ביקורת שיפוטית על חקיקת יסוד. סמכות זו שאובה מ</w:t>
      </w:r>
      <w:r w:rsidRPr="00632224">
        <w:rPr>
          <w:rFonts w:ascii="Century" w:hAnsi="Century" w:cs="FrankRuehl" w:hint="cs"/>
          <w:spacing w:val="10"/>
          <w:sz w:val="22"/>
          <w:szCs w:val="28"/>
          <w:rtl/>
        </w:rPr>
        <w:t xml:space="preserve">הנתונים החוקתיים של מדינת ישראל כמדינה יהודית ודמוקרטית, מהכרזת העצמאות או מערכי היסוד של שיטתנו המשפטית, </w:t>
      </w:r>
      <w:r w:rsidRPr="00632224">
        <w:rPr>
          <w:rFonts w:ascii="Arial TUR" w:hAnsi="Arial TUR" w:cs="FrankRuehl" w:hint="cs"/>
          <w:spacing w:val="10"/>
          <w:sz w:val="28"/>
          <w:szCs w:val="28"/>
          <w:rtl/>
        </w:rPr>
        <w:t>שחוקי היסוד יונקים מהם</w:t>
      </w:r>
      <w:r w:rsidRPr="00632224">
        <w:rPr>
          <w:rFonts w:ascii="Arial TUR" w:hAnsi="Arial TUR" w:cs="FrankRuehl" w:hint="cs"/>
          <w:spacing w:val="10"/>
          <w:sz w:val="22"/>
          <w:szCs w:val="28"/>
          <w:rtl/>
        </w:rPr>
        <w:t>.</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Century" w:hAnsi="Century" w:cs="Miriam" w:hint="cs"/>
          <w:b/>
          <w:sz w:val="22"/>
          <w:rtl/>
        </w:rPr>
        <w:t>ב</w:t>
      </w:r>
      <w:r w:rsidRPr="00632224">
        <w:rPr>
          <w:rFonts w:ascii="Century" w:hAnsi="Century" w:cs="Miriam"/>
          <w:b/>
          <w:sz w:val="22"/>
          <w:rtl/>
        </w:rPr>
        <w:t xml:space="preserve">. </w:t>
      </w:r>
      <w:r w:rsidRPr="00632224">
        <w:rPr>
          <w:rFonts w:ascii="Century" w:hAnsi="Century" w:cs="Miriam" w:hint="cs"/>
          <w:b/>
          <w:sz w:val="22"/>
          <w:rtl/>
        </w:rPr>
        <w:t>ביטולה הגורף של עילת הסבירות</w:t>
      </w:r>
      <w:r w:rsidRPr="00632224">
        <w:rPr>
          <w:rFonts w:ascii="Century" w:hAnsi="Century" w:cs="Miriam"/>
          <w:b/>
          <w:sz w:val="22"/>
          <w:rtl/>
        </w:rPr>
        <w:t>:</w:t>
      </w: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התיקון לחוק היסוד גורף עד מאוד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הוא חל על </w:t>
      </w:r>
      <w:r w:rsidRPr="00632224">
        <w:rPr>
          <w:rFonts w:ascii="Century" w:hAnsi="Century" w:cs="Miriam" w:hint="cs"/>
          <w:b/>
          <w:sz w:val="22"/>
          <w:rtl/>
        </w:rPr>
        <w:t>כל</w:t>
      </w:r>
      <w:r w:rsidRPr="00632224">
        <w:rPr>
          <w:rFonts w:ascii="Arial TUR" w:hAnsi="Arial TUR" w:cs="FrankRuehl" w:hint="cs"/>
          <w:spacing w:val="10"/>
          <w:sz w:val="22"/>
          <w:szCs w:val="28"/>
          <w:rtl/>
        </w:rPr>
        <w:t xml:space="preserve"> בתי המשפט ועל </w:t>
      </w:r>
      <w:r w:rsidRPr="00632224">
        <w:rPr>
          <w:rFonts w:ascii="Century" w:hAnsi="Century" w:cs="Miriam" w:hint="cs"/>
          <w:b/>
          <w:sz w:val="22"/>
          <w:rtl/>
        </w:rPr>
        <w:t>כל</w:t>
      </w:r>
      <w:r w:rsidRPr="00632224">
        <w:rPr>
          <w:rFonts w:ascii="Arial TUR" w:hAnsi="Arial TUR" w:cs="FrankRuehl" w:hint="cs"/>
          <w:spacing w:val="10"/>
          <w:sz w:val="22"/>
          <w:szCs w:val="28"/>
          <w:rtl/>
        </w:rPr>
        <w:t xml:space="preserve"> החלטה, הן </w:t>
      </w:r>
      <w:r w:rsidRPr="00632224">
        <w:rPr>
          <w:rFonts w:ascii="Century" w:hAnsi="Century" w:cs="Miriam" w:hint="cs"/>
          <w:b/>
          <w:sz w:val="22"/>
          <w:rtl/>
        </w:rPr>
        <w:t>במעשה</w:t>
      </w:r>
      <w:r w:rsidRPr="00632224">
        <w:rPr>
          <w:rFonts w:ascii="Arial TUR" w:hAnsi="Arial TUR" w:cs="FrankRuehl" w:hint="cs"/>
          <w:spacing w:val="10"/>
          <w:sz w:val="22"/>
          <w:szCs w:val="28"/>
          <w:rtl/>
        </w:rPr>
        <w:t xml:space="preserve"> והן </w:t>
      </w:r>
      <w:r w:rsidRPr="00632224">
        <w:rPr>
          <w:rFonts w:ascii="Century" w:hAnsi="Century" w:cs="Miriam" w:hint="cs"/>
          <w:b/>
          <w:sz w:val="22"/>
          <w:rtl/>
        </w:rPr>
        <w:t>בהימנעות ממעשה</w:t>
      </w:r>
      <w:r w:rsidRPr="00632224">
        <w:rPr>
          <w:rFonts w:ascii="Arial TUR" w:hAnsi="Arial TUR" w:cs="FrankRuehl" w:hint="cs"/>
          <w:spacing w:val="10"/>
          <w:sz w:val="22"/>
          <w:szCs w:val="28"/>
          <w:rtl/>
        </w:rPr>
        <w:t>. התיקון מורה לבתי המשפט שלא לדון על פי עילת הסבירות מבלי להבחין בין סוגי החלטות, בין סוגים של אי סבירות ובין החלטות בדרג הממשלה לבין החלטות בדרג של שרים.</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lastRenderedPageBreak/>
        <w:tab/>
      </w:r>
      <w:r w:rsidRPr="00632224">
        <w:rPr>
          <w:rFonts w:ascii="Arial TUR" w:hAnsi="Arial TUR" w:cs="FrankRuehl" w:hint="cs"/>
          <w:spacing w:val="10"/>
          <w:sz w:val="22"/>
          <w:szCs w:val="28"/>
          <w:rtl/>
        </w:rPr>
        <w:t xml:space="preserve">לעילת הסבירות מופעים רבים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אי שקילת כלל השיקולים הרלוונטיים; אי מתן משקל ראוי לשיקולים השונים (סבירות איזונית); אי שקילה של חריגים; קבלת החלטה מופרכת או לא רציונלית; קבלת החלטה ללא תשתית עובדתית ראויה (סבירות הליכית); קבלת החלטה על בסיס ראיות, נתונים ועובדות שאין להתחשב בהם או אי מתן משקל הולם להם; </w:t>
      </w:r>
      <w:r w:rsidRPr="00632224">
        <w:rPr>
          <w:rFonts w:ascii="Century" w:hAnsi="Century" w:cs="FrankRuehl" w:hint="cs"/>
          <w:spacing w:val="10"/>
          <w:sz w:val="22"/>
          <w:szCs w:val="28"/>
          <w:rtl/>
        </w:rPr>
        <w:t>קבלת החלטה להימנע מלהחליט;</w:t>
      </w:r>
      <w:r w:rsidRPr="00632224">
        <w:rPr>
          <w:rFonts w:ascii="Arial TUR" w:hAnsi="Arial TUR" w:cs="FrankRuehl" w:hint="cs"/>
          <w:spacing w:val="10"/>
          <w:sz w:val="22"/>
          <w:szCs w:val="28"/>
          <w:rtl/>
        </w:rPr>
        <w:t xml:space="preserve"> שיהוי בקבלת החלטה או זריזות יתר בקבלתה (סבירות הליכית). הנוסח הגורף של התיקון כונס לכאורה תחת כנפיו את כל המופעים, ומביא לחוסר ודאות בעניין סמכותו של בית המשפט לתת סעד במקרים המובאים לפתחו.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eastAsia"/>
          <w:spacing w:val="10"/>
          <w:sz w:val="22"/>
          <w:szCs w:val="28"/>
          <w:rtl/>
        </w:rPr>
        <w:t>חלק</w:t>
      </w:r>
      <w:r w:rsidRPr="00632224">
        <w:rPr>
          <w:rFonts w:ascii="Arial TUR" w:hAnsi="Arial TUR" w:cs="FrankRuehl"/>
          <w:spacing w:val="10"/>
          <w:sz w:val="22"/>
          <w:szCs w:val="28"/>
          <w:rtl/>
        </w:rPr>
        <w:t xml:space="preserve"> מרכזי </w:t>
      </w:r>
      <w:r w:rsidRPr="00632224">
        <w:rPr>
          <w:rFonts w:ascii="Arial TUR" w:hAnsi="Arial TUR" w:cs="FrankRuehl" w:hint="eastAsia"/>
          <w:spacing w:val="10"/>
          <w:sz w:val="22"/>
          <w:szCs w:val="28"/>
          <w:rtl/>
        </w:rPr>
        <w:t>מכוחה</w:t>
      </w:r>
      <w:r w:rsidRPr="00632224">
        <w:rPr>
          <w:rFonts w:ascii="Arial TUR" w:hAnsi="Arial TUR" w:cs="FrankRuehl"/>
          <w:spacing w:val="10"/>
          <w:sz w:val="22"/>
          <w:szCs w:val="28"/>
          <w:rtl/>
        </w:rPr>
        <w:t xml:space="preserve"> ופועלה של עילת הסבירות אינו בבחינה של ההחלטה המינהלית </w:t>
      </w:r>
      <w:r w:rsidRPr="00632224">
        <w:rPr>
          <w:rFonts w:ascii="Century" w:hAnsi="Century" w:cs="Miriam" w:hint="eastAsia"/>
          <w:b/>
          <w:sz w:val="22"/>
          <w:rtl/>
        </w:rPr>
        <w:t>בדיעבד</w:t>
      </w:r>
      <w:r w:rsidRPr="00632224">
        <w:rPr>
          <w:rFonts w:ascii="Arial TUR" w:hAnsi="Arial TUR" w:cs="FrankRuehl"/>
          <w:spacing w:val="10"/>
          <w:sz w:val="22"/>
          <w:szCs w:val="28"/>
          <w:rtl/>
        </w:rPr>
        <w:t xml:space="preserve"> בזירה של בית המשפט, אלא בבחינתה </w:t>
      </w:r>
      <w:r w:rsidRPr="00632224">
        <w:rPr>
          <w:rFonts w:ascii="Century" w:hAnsi="Century" w:cs="Miriam" w:hint="eastAsia"/>
          <w:b/>
          <w:sz w:val="22"/>
          <w:rtl/>
        </w:rPr>
        <w:t>מלכתחילה</w:t>
      </w:r>
      <w:r w:rsidRPr="00632224">
        <w:rPr>
          <w:rFonts w:ascii="Arial TUR" w:hAnsi="Arial TUR" w:cs="FrankRuehl"/>
          <w:spacing w:val="10"/>
          <w:sz w:val="22"/>
          <w:szCs w:val="28"/>
          <w:rtl/>
        </w:rPr>
        <w:t xml:space="preserve"> בתוך המנגנון המינהלי עוד בשלב גיבוש </w:t>
      </w:r>
      <w:r w:rsidRPr="00632224">
        <w:rPr>
          <w:rFonts w:ascii="Arial TUR" w:hAnsi="Arial TUR" w:cs="FrankRuehl" w:hint="eastAsia"/>
          <w:spacing w:val="10"/>
          <w:sz w:val="22"/>
          <w:szCs w:val="28"/>
          <w:rtl/>
        </w:rPr>
        <w:t>ההחלטה</w:t>
      </w:r>
      <w:r w:rsidRPr="00632224">
        <w:rPr>
          <w:rFonts w:ascii="Arial TUR" w:hAnsi="Arial TUR" w:cs="FrankRuehl"/>
          <w:spacing w:val="10"/>
          <w:sz w:val="22"/>
          <w:szCs w:val="28"/>
          <w:rtl/>
        </w:rPr>
        <w:t xml:space="preserve"> ועיצובה, </w:t>
      </w:r>
      <w:r w:rsidRPr="00632224">
        <w:rPr>
          <w:rFonts w:ascii="Arial TUR" w:hAnsi="Arial TUR" w:cs="FrankRuehl" w:hint="eastAsia"/>
          <w:spacing w:val="10"/>
          <w:sz w:val="22"/>
          <w:szCs w:val="28"/>
          <w:rtl/>
        </w:rPr>
        <w:t>מתוך</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ידיעה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הפרה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חובת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הסבירות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תיבחן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פי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עילת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הסבירות</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בהעדר עילת סבירות, תידלדל חובת הסבירות ותיעלם, </w:t>
      </w:r>
      <w:r w:rsidRPr="00632224">
        <w:rPr>
          <w:rFonts w:ascii="Century" w:hAnsi="Century" w:cs="FrankRuehl" w:hint="cs"/>
          <w:spacing w:val="10"/>
          <w:sz w:val="22"/>
          <w:szCs w:val="28"/>
          <w:shd w:val="clear" w:color="auto" w:fill="FFFFFF"/>
          <w:rtl/>
        </w:rPr>
        <w:t xml:space="preserve">מה שיותיר </w:t>
      </w:r>
      <w:r w:rsidRPr="00632224">
        <w:rPr>
          <w:rFonts w:ascii="Century" w:hAnsi="Century" w:cs="FrankRuehl"/>
          <w:spacing w:val="10"/>
          <w:sz w:val="22"/>
          <w:szCs w:val="28"/>
          <w:shd w:val="clear" w:color="auto" w:fill="FFFFFF"/>
          <w:rtl/>
        </w:rPr>
        <w:t xml:space="preserve">את הציבור 'חשוף בצריח', </w:t>
      </w:r>
      <w:r w:rsidRPr="00632224">
        <w:rPr>
          <w:rFonts w:ascii="Century" w:hAnsi="Century" w:cs="FrankRuehl" w:hint="cs"/>
          <w:spacing w:val="10"/>
          <w:sz w:val="22"/>
          <w:szCs w:val="28"/>
          <w:shd w:val="clear" w:color="auto" w:fill="FFFFFF"/>
          <w:rtl/>
        </w:rPr>
        <w:t xml:space="preserve">כמי </w:t>
      </w:r>
      <w:r w:rsidRPr="00632224">
        <w:rPr>
          <w:rFonts w:ascii="Century" w:hAnsi="Century" w:cs="FrankRuehl"/>
          <w:spacing w:val="10"/>
          <w:sz w:val="22"/>
          <w:szCs w:val="28"/>
          <w:shd w:val="clear" w:color="auto" w:fill="FFFFFF"/>
          <w:rtl/>
        </w:rPr>
        <w:t xml:space="preserve">שיישא במחיר </w:t>
      </w:r>
      <w:r w:rsidRPr="00632224">
        <w:rPr>
          <w:rFonts w:ascii="Century" w:hAnsi="Century" w:cs="FrankRuehl" w:hint="cs"/>
          <w:spacing w:val="10"/>
          <w:sz w:val="22"/>
          <w:szCs w:val="28"/>
          <w:shd w:val="clear" w:color="auto" w:fill="FFFFFF"/>
          <w:rtl/>
        </w:rPr>
        <w:t xml:space="preserve">של </w:t>
      </w:r>
      <w:r w:rsidRPr="00632224">
        <w:rPr>
          <w:rFonts w:ascii="Century" w:hAnsi="Century" w:cs="FrankRuehl"/>
          <w:spacing w:val="10"/>
          <w:sz w:val="22"/>
          <w:szCs w:val="28"/>
          <w:shd w:val="clear" w:color="auto" w:fill="FFFFFF"/>
          <w:rtl/>
        </w:rPr>
        <w:t>אותן החלטות המצויות מחוץ לגדרי מתחם הסבירו</w:t>
      </w:r>
      <w:r w:rsidRPr="00632224">
        <w:rPr>
          <w:rFonts w:ascii="Century" w:hAnsi="Century" w:cs="FrankRuehl" w:hint="cs"/>
          <w:spacing w:val="10"/>
          <w:sz w:val="22"/>
          <w:szCs w:val="28"/>
          <w:rtl/>
        </w:rPr>
        <w:t>ת</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Century" w:hAnsi="Century" w:cs="Miriam" w:hint="cs"/>
          <w:b/>
          <w:sz w:val="22"/>
          <w:rtl/>
        </w:rPr>
        <w:t>ג</w:t>
      </w:r>
      <w:r w:rsidRPr="00632224">
        <w:rPr>
          <w:rFonts w:ascii="Century" w:hAnsi="Century" w:cs="Miriam"/>
          <w:b/>
          <w:sz w:val="22"/>
          <w:rtl/>
        </w:rPr>
        <w:t xml:space="preserve">. </w:t>
      </w:r>
      <w:r w:rsidRPr="00632224">
        <w:rPr>
          <w:rFonts w:ascii="Century" w:hAnsi="Century" w:cs="Miriam" w:hint="eastAsia"/>
          <w:b/>
          <w:sz w:val="22"/>
          <w:rtl/>
        </w:rPr>
        <w:t>פגיעה</w:t>
      </w:r>
      <w:r w:rsidRPr="00632224">
        <w:rPr>
          <w:rFonts w:ascii="Century" w:hAnsi="Century" w:cs="Miriam"/>
          <w:b/>
          <w:sz w:val="22"/>
          <w:rtl/>
        </w:rPr>
        <w:t xml:space="preserve"> </w:t>
      </w:r>
      <w:r w:rsidRPr="00632224">
        <w:rPr>
          <w:rFonts w:ascii="Century" w:hAnsi="Century" w:cs="Miriam" w:hint="eastAsia"/>
          <w:b/>
          <w:sz w:val="22"/>
          <w:rtl/>
        </w:rPr>
        <w:t>בגרעין</w:t>
      </w:r>
      <w:r w:rsidRPr="00632224">
        <w:rPr>
          <w:rFonts w:ascii="Century" w:hAnsi="Century" w:cs="Miriam"/>
          <w:b/>
          <w:sz w:val="22"/>
          <w:rtl/>
        </w:rPr>
        <w:t xml:space="preserve"> </w:t>
      </w:r>
      <w:r w:rsidRPr="00632224">
        <w:rPr>
          <w:rFonts w:ascii="Century" w:hAnsi="Century" w:cs="Miriam" w:hint="eastAsia"/>
          <w:b/>
          <w:sz w:val="22"/>
          <w:rtl/>
        </w:rPr>
        <w:t>הדמוקרטי</w:t>
      </w:r>
      <w:r w:rsidRPr="00632224">
        <w:rPr>
          <w:rFonts w:ascii="Century" w:hAnsi="Century" w:cs="Miriam"/>
          <w:b/>
          <w:sz w:val="22"/>
          <w:rtl/>
        </w:rPr>
        <w:t>:</w:t>
      </w:r>
      <w:r w:rsidRPr="00632224">
        <w:rPr>
          <w:rFonts w:ascii="Arial TUR" w:hAnsi="Arial TUR" w:cs="FrankRuehl" w:hint="cs"/>
          <w:spacing w:val="10"/>
          <w:sz w:val="22"/>
          <w:szCs w:val="28"/>
          <w:rtl/>
        </w:rPr>
        <w:t xml:space="preserve"> המסקנה כי לפנינו תיקון חוקתי שאינו חוקתי נובעת משורה של סיבות שעניינן פגיעה בגרעין הדמוקרטי. פגיעה זו באה לידי ביטוי במספר אופנים: פגיעה </w:t>
      </w:r>
      <w:r w:rsidRPr="00632224">
        <w:rPr>
          <w:rFonts w:ascii="Century" w:hAnsi="Century" w:cs="FrankRuehl" w:hint="cs"/>
          <w:spacing w:val="10"/>
          <w:sz w:val="22"/>
          <w:szCs w:val="28"/>
          <w:rtl/>
        </w:rPr>
        <w:t xml:space="preserve">בזכות הגישה לערכאות לשם קבלת סעד אפקטיבי; פגיעה בהפרדת הרשויות ובעקרון של ביזור הכוח שעומד ביסודה; פגיעה בזכויות יסוד חוקתיות לנוכח הקשר ההדוק </w:t>
      </w:r>
      <w:r w:rsidRPr="00632224">
        <w:rPr>
          <w:rFonts w:ascii="Arial TUR" w:hAnsi="Arial TUR" w:cs="FrankRuehl" w:hint="cs"/>
          <w:spacing w:val="10"/>
          <w:sz w:val="22"/>
          <w:szCs w:val="28"/>
          <w:rtl/>
        </w:rPr>
        <w:t xml:space="preserve">בין המשפט המינהלי לבין הזכויות החוקתיות; </w:t>
      </w:r>
      <w:r w:rsidRPr="00632224">
        <w:rPr>
          <w:rFonts w:ascii="Century" w:hAnsi="Century" w:cs="FrankRuehl" w:hint="cs"/>
          <w:spacing w:val="10"/>
          <w:sz w:val="22"/>
          <w:szCs w:val="28"/>
          <w:rtl/>
        </w:rPr>
        <w:t xml:space="preserve">ופגיעה בשלטון החוק שבאה לידי ביטוי בשורה של היבטים: ביטול עילת הסבירות מציב את הממשלה ושריה מעל החוק כמי שפטורים מעילת הסבירות וכפועל יוצא מחובת הסבירות; </w:t>
      </w:r>
      <w:r w:rsidRPr="00632224">
        <w:rPr>
          <w:rFonts w:ascii="Arial TUR" w:hAnsi="Arial TUR" w:cs="FrankRuehl" w:hint="cs"/>
          <w:spacing w:val="10"/>
          <w:sz w:val="22"/>
          <w:szCs w:val="28"/>
          <w:rtl/>
        </w:rPr>
        <w:t>ביטול עילת הסבירות מעניק לדרג הפוליטי שליטה ללא מיצרים על מינוי או על סיום תפקיד של שומרי סף</w:t>
      </w:r>
      <w:r w:rsidRPr="00632224">
        <w:rPr>
          <w:rFonts w:ascii="Century" w:hAnsi="Century" w:cs="FrankRuehl" w:hint="cs"/>
          <w:spacing w:val="10"/>
          <w:sz w:val="22"/>
          <w:szCs w:val="28"/>
          <w:rtl/>
        </w:rPr>
        <w:t xml:space="preserve">; </w:t>
      </w:r>
      <w:r w:rsidRPr="00632224">
        <w:rPr>
          <w:rFonts w:ascii="Arial TUR" w:hAnsi="Arial TUR" w:cs="FrankRuehl" w:hint="cs"/>
          <w:spacing w:val="10"/>
          <w:sz w:val="22"/>
          <w:szCs w:val="28"/>
          <w:rtl/>
        </w:rPr>
        <w:t xml:space="preserve">עילת הסבירות היא המגן הכמעט יחיד על הציבור מפני מינויים או פיטורים שנעשו משיקולים פוליטיים-אישיים או כאלה הלוקים בפגם ערכי-נורמטיבי; </w:t>
      </w:r>
      <w:r w:rsidRPr="00632224">
        <w:rPr>
          <w:rFonts w:ascii="Century" w:hAnsi="Century" w:cs="FrankRuehl" w:hint="cs"/>
          <w:spacing w:val="10"/>
          <w:sz w:val="22"/>
          <w:szCs w:val="28"/>
          <w:rtl/>
        </w:rPr>
        <w:t xml:space="preserve">ביטול עילת הסבירות משמעו הענקת חסינות מפני אי הפעלת הסמכות המינהלית; הוא מאפשר התעלמות משיקולים מקצועיים; פוגע באפשרות לקיים ביקורת שיפוטית אפקטיבית על ממשלת מעבר; ועלול לפגוע גם </w:t>
      </w:r>
      <w:r w:rsidRPr="00632224">
        <w:rPr>
          <w:rFonts w:ascii="Arial TUR" w:hAnsi="Arial TUR" w:cs="FrankRuehl" w:hint="cs"/>
          <w:spacing w:val="10"/>
          <w:sz w:val="22"/>
          <w:szCs w:val="28"/>
          <w:rtl/>
        </w:rPr>
        <w:t>בקיומן של בחירות שוויוניות וחופשיות לנוכח הסמכויות הרבות המוענקות לשר הפנים בכל הקשור ל"הכנת הבחירות, הנהלתן וקביעת תוצאותיהן".</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Cs w:val="28"/>
          <w:rtl/>
        </w:rPr>
      </w:pPr>
      <w:r w:rsidRPr="00632224">
        <w:rPr>
          <w:rFonts w:ascii="Century" w:hAnsi="Century" w:cs="FrankRuehl" w:hint="cs"/>
          <w:spacing w:val="10"/>
          <w:szCs w:val="28"/>
          <w:rtl/>
        </w:rPr>
        <w:t>125.</w:t>
      </w:r>
      <w:r w:rsidRPr="00632224">
        <w:rPr>
          <w:rFonts w:ascii="Century" w:hAnsi="Century" w:cs="FrankRuehl"/>
          <w:spacing w:val="10"/>
          <w:szCs w:val="28"/>
          <w:rtl/>
        </w:rPr>
        <w:tab/>
      </w:r>
      <w:r w:rsidRPr="00632224">
        <w:rPr>
          <w:rFonts w:ascii="Century" w:hAnsi="Century" w:cs="FrankRuehl" w:hint="cs"/>
          <w:spacing w:val="10"/>
          <w:szCs w:val="28"/>
          <w:rtl/>
        </w:rPr>
        <w:t xml:space="preserve">לנוכח כל האמור לעיל, איני רואה מנוס מן המסקנה כי תיקון מס' 3 לחוק יסוד: השפיטה אינו חוקתי, ומשכך דינו בטלות. </w:t>
      </w:r>
    </w:p>
    <w:p w:rsidR="00244560" w:rsidRPr="00632224" w:rsidRDefault="00244560" w:rsidP="00244560">
      <w:pPr>
        <w:tabs>
          <w:tab w:val="left" w:pos="800"/>
        </w:tabs>
        <w:spacing w:line="360" w:lineRule="auto"/>
        <w:jc w:val="both"/>
        <w:rPr>
          <w:rFonts w:ascii="Century" w:hAnsi="Century" w:cs="FrankRuehl"/>
          <w:spacing w:val="10"/>
          <w:szCs w:val="28"/>
          <w:rtl/>
        </w:rPr>
      </w:pPr>
    </w:p>
    <w:p w:rsidR="00244560"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Cs w:val="28"/>
          <w:rtl/>
        </w:rPr>
        <w:tab/>
      </w:r>
      <w:r w:rsidRPr="00632224">
        <w:rPr>
          <w:rFonts w:ascii="Century" w:hAnsi="Century" w:cs="FrankRuehl" w:hint="cs"/>
          <w:spacing w:val="10"/>
          <w:szCs w:val="28"/>
          <w:rtl/>
        </w:rPr>
        <w:t>עם זאת, אדגיש כי הוצאת "הכרטיס האדום" ביחס לתיקון לחוק היסוד צריכה להתפר</w:t>
      </w:r>
      <w:r w:rsidRPr="00632224">
        <w:rPr>
          <w:rFonts w:ascii="FrankRuehl" w:hAnsi="FrankRuehl" w:cs="FrankRuehl"/>
          <w:spacing w:val="10"/>
          <w:szCs w:val="28"/>
          <w:rtl/>
        </w:rPr>
        <w:t>שׁ</w:t>
      </w:r>
      <w:r w:rsidRPr="00632224">
        <w:rPr>
          <w:rFonts w:ascii="Century" w:hAnsi="Century" w:cs="FrankRuehl" w:hint="cs"/>
          <w:spacing w:val="10"/>
          <w:szCs w:val="28"/>
          <w:rtl/>
        </w:rPr>
        <w:t xml:space="preserve"> על רקע המבנה המשטרי החוקתי הקיים בישראל על הקשיים הגלומים בו. הוספתם של איזונים ובלמים שחסרים כיום בשיטתנו, כגון באמצעות חקיקת חוק יסוד: החקיקה או בדרכים אחרות, יכולה להביא עמה שקילה מחדש של היקף סמכותו של בית המשפט העליון להתערב בחוקי יסוד.</w:t>
      </w:r>
    </w:p>
    <w:p w:rsidR="00244560" w:rsidRDefault="00244560" w:rsidP="00244560">
      <w:pPr>
        <w:tabs>
          <w:tab w:val="left" w:pos="800"/>
        </w:tabs>
        <w:spacing w:line="360" w:lineRule="auto"/>
        <w:jc w:val="both"/>
        <w:rPr>
          <w:rFonts w:ascii="Century" w:hAnsi="Century" w:cs="FrankRuehl"/>
          <w:spacing w:val="10"/>
          <w:sz w:val="22"/>
          <w:szCs w:val="28"/>
          <w:rtl/>
        </w:rPr>
      </w:pPr>
    </w:p>
    <w:p w:rsidR="00244560" w:rsidRPr="00794C22" w:rsidRDefault="00244560" w:rsidP="00244560">
      <w:pPr>
        <w:keepNext/>
        <w:keepLines/>
        <w:spacing w:line="360" w:lineRule="auto"/>
        <w:outlineLvl w:val="0"/>
        <w:rPr>
          <w:rFonts w:ascii="Cambria" w:hAnsi="Cambria" w:cs="Miriam"/>
          <w:sz w:val="32"/>
          <w:rtl/>
        </w:rPr>
      </w:pPr>
      <w:r w:rsidRPr="00794C22">
        <w:rPr>
          <w:rFonts w:ascii="Cambria" w:hAnsi="Cambria" w:cs="Miriam" w:hint="eastAsia"/>
          <w:sz w:val="32"/>
          <w:rtl/>
        </w:rPr>
        <w:t>לאחר</w:t>
      </w:r>
      <w:r w:rsidRPr="00794C22">
        <w:rPr>
          <w:rFonts w:ascii="Cambria" w:hAnsi="Cambria" w:cs="Miriam"/>
          <w:sz w:val="32"/>
          <w:rtl/>
        </w:rPr>
        <w:t xml:space="preserve"> </w:t>
      </w:r>
      <w:r w:rsidRPr="00794C22">
        <w:rPr>
          <w:rFonts w:ascii="Cambria" w:hAnsi="Cambria" w:cs="Miriam" w:hint="eastAsia"/>
          <w:sz w:val="32"/>
          <w:rtl/>
        </w:rPr>
        <w:t>הדברים</w:t>
      </w:r>
      <w:r w:rsidRPr="00794C22">
        <w:rPr>
          <w:rFonts w:ascii="Cambria" w:hAnsi="Cambria" w:cs="Miriam"/>
          <w:sz w:val="32"/>
          <w:rtl/>
        </w:rPr>
        <w:t xml:space="preserve"> </w:t>
      </w:r>
      <w:r w:rsidRPr="00794C22">
        <w:rPr>
          <w:rFonts w:ascii="Cambria" w:hAnsi="Cambria" w:cs="Miriam" w:hint="eastAsia"/>
          <w:sz w:val="32"/>
          <w:rtl/>
        </w:rPr>
        <w:t>האלה</w:t>
      </w:r>
      <w:r w:rsidRPr="00794C22">
        <w:rPr>
          <w:rFonts w:ascii="Cambria" w:hAnsi="Cambria" w:cs="Miriam"/>
          <w:sz w:val="32"/>
          <w:rtl/>
        </w:rPr>
        <w:t xml:space="preserve"> </w:t>
      </w:r>
    </w:p>
    <w:p w:rsidR="00244560" w:rsidRDefault="00244560" w:rsidP="009B0AFF">
      <w:pPr>
        <w:tabs>
          <w:tab w:val="left" w:pos="800"/>
        </w:tabs>
        <w:spacing w:line="276" w:lineRule="auto"/>
        <w:jc w:val="both"/>
        <w:rPr>
          <w:rFonts w:ascii="Century" w:hAnsi="Century" w:cs="FrankRuehl"/>
          <w:spacing w:val="10"/>
          <w:sz w:val="22"/>
          <w:szCs w:val="28"/>
          <w:rtl/>
        </w:rPr>
      </w:pPr>
    </w:p>
    <w:p w:rsidR="00244560" w:rsidRDefault="00244560" w:rsidP="00244560">
      <w:pPr>
        <w:keepNext/>
        <w:tabs>
          <w:tab w:val="left" w:pos="800"/>
        </w:tabs>
        <w:spacing w:line="360" w:lineRule="auto"/>
        <w:jc w:val="both"/>
        <w:rPr>
          <w:rFonts w:ascii="Century" w:hAnsi="Century" w:cs="FrankRuehl"/>
          <w:spacing w:val="10"/>
          <w:szCs w:val="28"/>
          <w:rtl/>
        </w:rPr>
      </w:pPr>
      <w:r>
        <w:rPr>
          <w:rFonts w:ascii="Century" w:hAnsi="Century" w:cs="FrankRuehl" w:hint="cs"/>
          <w:spacing w:val="10"/>
          <w:sz w:val="22"/>
          <w:szCs w:val="28"/>
          <w:rtl/>
        </w:rPr>
        <w:t>126.</w:t>
      </w:r>
      <w:r>
        <w:rPr>
          <w:rFonts w:ascii="Century" w:hAnsi="Century" w:cs="FrankRuehl" w:hint="cs"/>
          <w:spacing w:val="10"/>
          <w:sz w:val="22"/>
          <w:szCs w:val="28"/>
          <w:rtl/>
        </w:rPr>
        <w:tab/>
        <w:t>מש</w:t>
      </w:r>
      <w:r w:rsidRPr="00CA5963">
        <w:rPr>
          <w:rFonts w:ascii="Century" w:hAnsi="Century" w:cs="FrankRuehl" w:hint="cs"/>
          <w:spacing w:val="10"/>
          <w:sz w:val="22"/>
          <w:szCs w:val="28"/>
          <w:rtl/>
        </w:rPr>
        <w:t xml:space="preserve">הובאו בפני חוות דעתם של חבריי, השופטים </w:t>
      </w:r>
      <w:r w:rsidRPr="00CA5963">
        <w:rPr>
          <w:rFonts w:ascii="Century" w:hAnsi="Century" w:cs="Miriam" w:hint="eastAsia"/>
          <w:b/>
          <w:sz w:val="22"/>
          <w:rtl/>
        </w:rPr>
        <w:t>מינץ</w:t>
      </w:r>
      <w:r w:rsidRPr="00CA5963">
        <w:rPr>
          <w:rFonts w:ascii="Century" w:hAnsi="Century" w:cs="Miriam"/>
          <w:b/>
          <w:sz w:val="22"/>
          <w:rtl/>
        </w:rPr>
        <w:t xml:space="preserve"> </w:t>
      </w:r>
      <w:r w:rsidRPr="00CA5963">
        <w:rPr>
          <w:rFonts w:ascii="Century" w:hAnsi="Century" w:cs="Miriam" w:hint="eastAsia"/>
          <w:b/>
          <w:sz w:val="22"/>
          <w:rtl/>
        </w:rPr>
        <w:t>וסולברג</w:t>
      </w:r>
      <w:r>
        <w:rPr>
          <w:rFonts w:ascii="Century" w:hAnsi="Century" w:cs="FrankRuehl" w:hint="cs"/>
          <w:spacing w:val="10"/>
          <w:sz w:val="22"/>
          <w:szCs w:val="28"/>
          <w:rtl/>
        </w:rPr>
        <w:t xml:space="preserve"> אוסיף מילים מספר. </w:t>
      </w:r>
    </w:p>
    <w:p w:rsidR="00244560" w:rsidRDefault="00244560" w:rsidP="00244560">
      <w:pPr>
        <w:keepNext/>
        <w:tabs>
          <w:tab w:val="left" w:pos="800"/>
        </w:tabs>
        <w:spacing w:line="360" w:lineRule="auto"/>
        <w:jc w:val="both"/>
        <w:rPr>
          <w:rFonts w:ascii="Century" w:hAnsi="Century" w:cs="FrankRuehl"/>
          <w:spacing w:val="10"/>
          <w:szCs w:val="28"/>
          <w:rtl/>
        </w:rPr>
      </w:pPr>
    </w:p>
    <w:p w:rsidR="00244560" w:rsidRPr="00CA5963" w:rsidRDefault="00244560" w:rsidP="00244560">
      <w:pPr>
        <w:keepNext/>
        <w:tabs>
          <w:tab w:val="left" w:pos="800"/>
        </w:tabs>
        <w:spacing w:line="360" w:lineRule="auto"/>
        <w:jc w:val="both"/>
        <w:rPr>
          <w:rFonts w:ascii="Century" w:hAnsi="Century" w:cs="FrankRuehl"/>
          <w:spacing w:val="10"/>
          <w:sz w:val="22"/>
          <w:szCs w:val="28"/>
          <w:rtl/>
        </w:rPr>
      </w:pPr>
      <w:r>
        <w:rPr>
          <w:rFonts w:ascii="Century" w:hAnsi="Century" w:cs="FrankRuehl"/>
          <w:spacing w:val="10"/>
          <w:szCs w:val="28"/>
          <w:rtl/>
        </w:rPr>
        <w:tab/>
      </w:r>
      <w:r w:rsidRPr="00CA5963">
        <w:rPr>
          <w:rFonts w:ascii="Century" w:hAnsi="Century" w:cs="FrankRuehl" w:hint="cs"/>
          <w:spacing w:val="10"/>
          <w:szCs w:val="28"/>
          <w:rtl/>
        </w:rPr>
        <w:t xml:space="preserve">לא מצאתי בפסק דינם של חבריי התייחסות לשחיקה בהליכי חקיקת חוקי יסוד ולנפקות של מתן כוח </w:t>
      </w:r>
      <w:r w:rsidRPr="00CA5963">
        <w:rPr>
          <w:rFonts w:ascii="Century" w:hAnsi="Century" w:cs="Miriam" w:hint="eastAsia"/>
          <w:b/>
          <w:sz w:val="22"/>
          <w:rtl/>
        </w:rPr>
        <w:t>בלתי</w:t>
      </w:r>
      <w:r w:rsidRPr="00CA5963">
        <w:rPr>
          <w:rFonts w:ascii="Century" w:hAnsi="Century" w:cs="Miriam"/>
          <w:b/>
          <w:sz w:val="22"/>
          <w:rtl/>
        </w:rPr>
        <w:t xml:space="preserve"> </w:t>
      </w:r>
      <w:r w:rsidRPr="00CA5963">
        <w:rPr>
          <w:rFonts w:ascii="Century" w:hAnsi="Century" w:cs="Miriam" w:hint="eastAsia"/>
          <w:b/>
          <w:sz w:val="22"/>
          <w:rtl/>
        </w:rPr>
        <w:t>מוגבל</w:t>
      </w:r>
      <w:r w:rsidRPr="00CA5963">
        <w:rPr>
          <w:rFonts w:ascii="Century" w:hAnsi="Century" w:cs="FrankRuehl" w:hint="cs"/>
          <w:spacing w:val="10"/>
          <w:szCs w:val="28"/>
          <w:rtl/>
        </w:rPr>
        <w:t xml:space="preserve"> לרשות המכוננת, על כל הסכנות הנובעות מכך, כפי שהרחבתי בפסק דיני. מנגד, </w:t>
      </w:r>
      <w:r w:rsidRPr="00CA5963">
        <w:rPr>
          <w:rFonts w:ascii="Century" w:hAnsi="Century" w:cs="FrankRuehl" w:hint="cs"/>
          <w:spacing w:val="10"/>
          <w:sz w:val="22"/>
          <w:szCs w:val="28"/>
          <w:rtl/>
        </w:rPr>
        <w:t>לכל אורך הדרך, חבריי מביעים את החשש מפני פעולתו של בית המשפט. כפי שציינתי,</w:t>
      </w:r>
      <w:r w:rsidRPr="00CA5963">
        <w:rPr>
          <w:rFonts w:ascii="Arial TUR" w:hAnsi="Arial TUR" w:cs="FrankRuehl" w:hint="cs"/>
          <w:spacing w:val="10"/>
          <w:sz w:val="22"/>
          <w:szCs w:val="28"/>
          <w:rtl/>
        </w:rPr>
        <w:t xml:space="preserve"> מדינת ישראל חסרה "מנועי דמוקרטיה" שקיימים במדינות רבות בעולם</w:t>
      </w:r>
      <w:r w:rsidRPr="00CA5963">
        <w:rPr>
          <w:rFonts w:ascii="Arial TUR" w:hAnsi="Arial TUR" w:cs="FrankRuehl"/>
          <w:spacing w:val="10"/>
          <w:sz w:val="22"/>
          <w:szCs w:val="28"/>
          <w:rtl/>
        </w:rPr>
        <w:t xml:space="preserve"> </w:t>
      </w:r>
      <w:r w:rsidRPr="00CA5963">
        <w:rPr>
          <w:rFonts w:ascii="Arial TUR" w:hAnsi="Arial TUR" w:cs="FrankRuehl" w:hint="cs"/>
          <w:spacing w:val="10"/>
          <w:sz w:val="22"/>
          <w:szCs w:val="28"/>
          <w:rtl/>
        </w:rPr>
        <w:t>ו</w:t>
      </w:r>
      <w:r w:rsidRPr="00CA5963">
        <w:rPr>
          <w:rFonts w:ascii="Century" w:hAnsi="Century" w:cs="FrankRuehl" w:hint="cs"/>
          <w:spacing w:val="10"/>
          <w:sz w:val="22"/>
          <w:szCs w:val="28"/>
          <w:rtl/>
        </w:rPr>
        <w:t>הרשות המבצעת בישראל היא מהחזקות במדינות הדמוקרטיות. הניסיון להציב מולה את הרשות השופטת כבעלת כוח דומה חוטא למציאות הדברים, ואין לומר כי הסכנה האמיתית לשורשי הדמוקרטיה נובעת מבית המשפט (וראו בהרחבה בפסקה 112 לעיל).</w:t>
      </w:r>
    </w:p>
    <w:p w:rsidR="00244560" w:rsidRPr="00CA5963" w:rsidRDefault="00244560" w:rsidP="00244560">
      <w:pPr>
        <w:keepNext/>
        <w:tabs>
          <w:tab w:val="left" w:pos="800"/>
        </w:tabs>
        <w:spacing w:line="360" w:lineRule="auto"/>
        <w:jc w:val="both"/>
        <w:rPr>
          <w:rFonts w:ascii="Century" w:hAnsi="Century" w:cs="FrankRuehl"/>
          <w:spacing w:val="10"/>
          <w:szCs w:val="28"/>
          <w:rtl/>
        </w:rPr>
      </w:pPr>
    </w:p>
    <w:p w:rsidR="00244560" w:rsidRPr="00CA5963" w:rsidRDefault="00244560" w:rsidP="00244560">
      <w:pPr>
        <w:keepNext/>
        <w:tabs>
          <w:tab w:val="left" w:pos="800"/>
        </w:tabs>
        <w:spacing w:line="360" w:lineRule="auto"/>
        <w:jc w:val="both"/>
        <w:rPr>
          <w:rFonts w:ascii="Century" w:hAnsi="Century" w:cs="FrankRuehl"/>
          <w:spacing w:val="10"/>
          <w:sz w:val="22"/>
          <w:szCs w:val="28"/>
          <w:rtl/>
        </w:rPr>
      </w:pPr>
      <w:r w:rsidRPr="00CA5963">
        <w:rPr>
          <w:rFonts w:ascii="Century" w:hAnsi="Century" w:cs="FrankRuehl" w:hint="cs"/>
          <w:spacing w:val="10"/>
          <w:sz w:val="22"/>
          <w:szCs w:val="28"/>
          <w:rtl/>
        </w:rPr>
        <w:tab/>
        <w:t>איני רואה להידרש לכל תג ותג בפסקי דינם של חבריי, ואעיר אך מספר הערות כלליות ו"טלגרפיות" ככל שניתן</w:t>
      </w:r>
      <w:r>
        <w:rPr>
          <w:rFonts w:ascii="Century" w:hAnsi="Century" w:cs="FrankRuehl" w:hint="cs"/>
          <w:spacing w:val="10"/>
          <w:sz w:val="22"/>
          <w:szCs w:val="28"/>
          <w:rtl/>
        </w:rPr>
        <w:t>.</w:t>
      </w:r>
    </w:p>
    <w:p w:rsidR="00244560" w:rsidRPr="00CA5963" w:rsidRDefault="00244560" w:rsidP="00244560">
      <w:pPr>
        <w:keepNext/>
        <w:tabs>
          <w:tab w:val="left" w:pos="800"/>
        </w:tabs>
        <w:spacing w:line="360" w:lineRule="auto"/>
        <w:jc w:val="both"/>
        <w:rPr>
          <w:rFonts w:ascii="Century" w:hAnsi="Century" w:cs="FrankRuehl"/>
          <w:spacing w:val="10"/>
          <w:szCs w:val="28"/>
          <w:rtl/>
        </w:rPr>
      </w:pPr>
    </w:p>
    <w:p w:rsidR="00244560" w:rsidRPr="00CA5963" w:rsidRDefault="00244560" w:rsidP="00244560">
      <w:pPr>
        <w:keepNext/>
        <w:tabs>
          <w:tab w:val="left" w:pos="800"/>
        </w:tabs>
        <w:spacing w:line="360" w:lineRule="auto"/>
        <w:jc w:val="both"/>
        <w:rPr>
          <w:rFonts w:ascii="Century" w:hAnsi="Century" w:cs="FrankRuehl"/>
          <w:spacing w:val="10"/>
          <w:szCs w:val="28"/>
          <w:rtl/>
        </w:rPr>
      </w:pPr>
      <w:r>
        <w:rPr>
          <w:rFonts w:ascii="Century" w:hAnsi="Century" w:cs="FrankRuehl" w:hint="cs"/>
          <w:spacing w:val="10"/>
          <w:szCs w:val="28"/>
          <w:rtl/>
        </w:rPr>
        <w:t>127.</w:t>
      </w:r>
      <w:r w:rsidRPr="00CA5963">
        <w:rPr>
          <w:rFonts w:ascii="Century" w:hAnsi="Century" w:cs="FrankRuehl"/>
          <w:spacing w:val="10"/>
          <w:szCs w:val="28"/>
          <w:rtl/>
        </w:rPr>
        <w:tab/>
      </w:r>
      <w:r w:rsidRPr="00CA5963">
        <w:rPr>
          <w:rFonts w:ascii="Century" w:hAnsi="Century" w:cs="FrankRuehl" w:hint="cs"/>
          <w:spacing w:val="10"/>
          <w:szCs w:val="28"/>
          <w:rtl/>
        </w:rPr>
        <w:t xml:space="preserve">לפסק דינו של חברי השופט </w:t>
      </w:r>
      <w:r w:rsidRPr="00CA5963">
        <w:rPr>
          <w:rFonts w:ascii="Century" w:hAnsi="Century" w:cs="Miriam" w:hint="cs"/>
          <w:b/>
          <w:sz w:val="22"/>
          <w:rtl/>
        </w:rPr>
        <w:t>מינץ</w:t>
      </w:r>
      <w:r w:rsidRPr="00CA5963">
        <w:rPr>
          <w:rFonts w:ascii="Century" w:hAnsi="Century" w:cs="FrankRuehl" w:hint="cs"/>
          <w:spacing w:val="10"/>
          <w:szCs w:val="28"/>
          <w:rtl/>
        </w:rPr>
        <w:t xml:space="preserve">: כאשר בית המשפט פוסל חוק, הוא אינו אומר לכנסת כיצד לחוקק ומה תוכן החוק, אלא מותיר מלאכה זו למחוקק: </w:t>
      </w:r>
      <w:r w:rsidRPr="00CA5963">
        <w:rPr>
          <w:rFonts w:ascii="FrankRuehl" w:hAnsi="FrankRuehl" w:cs="FrankRuehl"/>
          <w:color w:val="000000"/>
          <w:spacing w:val="10"/>
          <w:sz w:val="28"/>
          <w:szCs w:val="28"/>
          <w:shd w:val="clear" w:color="auto" w:fill="FFFFFF"/>
          <w:rtl/>
        </w:rPr>
        <w:t xml:space="preserve">"אין זה תפקידו של בית המשפט להתוות הסדר חקיקתי עתידי. על כך מופקדות הממשלה והכנסת" (בג"ץ 1877/14 </w:t>
      </w:r>
      <w:r w:rsidRPr="00CA5963">
        <w:rPr>
          <w:rFonts w:ascii="Century" w:hAnsi="Century" w:cs="Miriam"/>
          <w:b/>
          <w:sz w:val="22"/>
          <w:shd w:val="clear" w:color="auto" w:fill="FFFFFF"/>
          <w:rtl/>
        </w:rPr>
        <w:t>התנועה למען איכות השלטון בישראל נ' הכנסת</w:t>
      </w:r>
      <w:r w:rsidRPr="00CA5963">
        <w:rPr>
          <w:rFonts w:ascii="FrankRuehl" w:hAnsi="FrankRuehl" w:cs="FrankRuehl"/>
          <w:color w:val="000000"/>
          <w:spacing w:val="10"/>
          <w:sz w:val="28"/>
          <w:szCs w:val="28"/>
          <w:shd w:val="clear" w:color="auto" w:fill="FFFFFF"/>
          <w:rtl/>
        </w:rPr>
        <w:t xml:space="preserve">, פסקה 4 לפסק דינו של השופט </w:t>
      </w:r>
      <w:r w:rsidRPr="00CA5963">
        <w:rPr>
          <w:rFonts w:ascii="Century" w:hAnsi="Century" w:cs="Miriam"/>
          <w:b/>
          <w:sz w:val="22"/>
          <w:shd w:val="clear" w:color="auto" w:fill="FFFFFF"/>
          <w:rtl/>
        </w:rPr>
        <w:lastRenderedPageBreak/>
        <w:t>פוגלמן</w:t>
      </w:r>
      <w:r w:rsidRPr="00CA5963">
        <w:rPr>
          <w:rFonts w:ascii="FrankRuehl" w:hAnsi="FrankRuehl" w:cs="FrankRuehl"/>
          <w:color w:val="000000"/>
          <w:spacing w:val="10"/>
          <w:sz w:val="28"/>
          <w:szCs w:val="28"/>
          <w:shd w:val="clear" w:color="auto" w:fill="FFFFFF"/>
          <w:rtl/>
        </w:rPr>
        <w:t xml:space="preserve"> (12.9.2017))</w:t>
      </w:r>
      <w:r w:rsidRPr="00CA5963">
        <w:rPr>
          <w:rFonts w:ascii="FrankRuehl" w:hAnsi="FrankRuehl" w:cs="FrankRuehl" w:hint="cs"/>
          <w:color w:val="000000"/>
          <w:spacing w:val="10"/>
          <w:sz w:val="28"/>
          <w:szCs w:val="28"/>
          <w:shd w:val="clear" w:color="auto" w:fill="FFFFFF"/>
          <w:rtl/>
        </w:rPr>
        <w:t>.</w:t>
      </w:r>
      <w:r w:rsidRPr="00CA5963">
        <w:rPr>
          <w:rFonts w:ascii="Century" w:hAnsi="Century" w:cs="FrankRuehl" w:hint="cs"/>
          <w:spacing w:val="10"/>
          <w:szCs w:val="28"/>
          <w:rtl/>
        </w:rPr>
        <w:t xml:space="preserve"> מכאן שאין לייחס לדבריי יומרה כלשהי "לקחת את המושכות" ולקבוע ישירות את תכני החוקה (פסקה 59 לפסק דינו של חברי). </w:t>
      </w:r>
    </w:p>
    <w:p w:rsidR="00244560" w:rsidRPr="00CA5963" w:rsidRDefault="00244560" w:rsidP="00244560">
      <w:pPr>
        <w:keepNext/>
        <w:tabs>
          <w:tab w:val="left" w:pos="800"/>
        </w:tabs>
        <w:spacing w:line="360" w:lineRule="auto"/>
        <w:jc w:val="both"/>
        <w:rPr>
          <w:rFonts w:ascii="Century" w:hAnsi="Century" w:cs="FrankRuehl"/>
          <w:spacing w:val="10"/>
          <w:szCs w:val="28"/>
          <w:rtl/>
        </w:rPr>
      </w:pPr>
    </w:p>
    <w:p w:rsidR="00244560" w:rsidRPr="00CA5963" w:rsidRDefault="00244560" w:rsidP="00244560">
      <w:pPr>
        <w:keepNext/>
        <w:tabs>
          <w:tab w:val="left" w:pos="800"/>
        </w:tabs>
        <w:spacing w:line="360" w:lineRule="auto"/>
        <w:jc w:val="both"/>
        <w:rPr>
          <w:rFonts w:ascii="Century" w:hAnsi="Century" w:cs="FrankRuehl"/>
          <w:spacing w:val="10"/>
          <w:szCs w:val="28"/>
          <w:rtl/>
        </w:rPr>
      </w:pPr>
      <w:r w:rsidRPr="00CA5963">
        <w:rPr>
          <w:rFonts w:ascii="Century" w:hAnsi="Century" w:cs="FrankRuehl"/>
          <w:spacing w:val="10"/>
          <w:szCs w:val="28"/>
          <w:rtl/>
        </w:rPr>
        <w:tab/>
      </w:r>
      <w:r w:rsidRPr="00CA5963">
        <w:rPr>
          <w:rFonts w:ascii="Century" w:hAnsi="Century" w:cs="FrankRuehl" w:hint="cs"/>
          <w:spacing w:val="10"/>
          <w:szCs w:val="28"/>
          <w:rtl/>
        </w:rPr>
        <w:t xml:space="preserve">חברי מדמה עצמו לאותו נער הקורא בקול צלול "המלך הוא ערום". אך אם באגדות עם עסקינן, מעדיף אני את האגדה על הילד ההולנדי שסתם באצבעו את החור שבסכר. </w:t>
      </w:r>
    </w:p>
    <w:p w:rsidR="00244560" w:rsidRPr="00CA5963" w:rsidRDefault="00244560" w:rsidP="00244560">
      <w:pPr>
        <w:keepNext/>
        <w:tabs>
          <w:tab w:val="left" w:pos="800"/>
        </w:tabs>
        <w:spacing w:line="360" w:lineRule="auto"/>
        <w:jc w:val="both"/>
        <w:rPr>
          <w:rFonts w:ascii="Century" w:hAnsi="Century" w:cs="FrankRuehl"/>
          <w:spacing w:val="10"/>
          <w:sz w:val="22"/>
          <w:szCs w:val="28"/>
          <w:rtl/>
        </w:rPr>
      </w:pPr>
    </w:p>
    <w:p w:rsidR="00244560" w:rsidRPr="00CA5963" w:rsidRDefault="00244560" w:rsidP="00244560">
      <w:pPr>
        <w:keepNext/>
        <w:tabs>
          <w:tab w:val="left" w:pos="800"/>
        </w:tabs>
        <w:spacing w:line="360" w:lineRule="auto"/>
        <w:jc w:val="both"/>
        <w:rPr>
          <w:rFonts w:ascii="Century" w:hAnsi="Century" w:cs="FrankRuehl"/>
          <w:spacing w:val="10"/>
          <w:sz w:val="22"/>
          <w:szCs w:val="28"/>
          <w:rtl/>
        </w:rPr>
      </w:pPr>
      <w:r w:rsidRPr="00CA5963">
        <w:rPr>
          <w:rFonts w:ascii="Century" w:hAnsi="Century" w:cs="FrankRuehl" w:hint="cs"/>
          <w:spacing w:val="10"/>
          <w:sz w:val="22"/>
          <w:szCs w:val="28"/>
          <w:rtl/>
        </w:rPr>
        <w:t>128.</w:t>
      </w:r>
      <w:r w:rsidRPr="00CA5963">
        <w:rPr>
          <w:rFonts w:ascii="Century" w:hAnsi="Century" w:cs="FrankRuehl" w:hint="cs"/>
          <w:spacing w:val="10"/>
          <w:sz w:val="22"/>
          <w:szCs w:val="28"/>
          <w:rtl/>
        </w:rPr>
        <w:tab/>
        <w:t xml:space="preserve">לפסק דינו של חברי השופט </w:t>
      </w:r>
      <w:r w:rsidRPr="00CA5963">
        <w:rPr>
          <w:rFonts w:ascii="Century" w:hAnsi="Century" w:cs="Miriam" w:hint="cs"/>
          <w:b/>
          <w:sz w:val="22"/>
          <w:rtl/>
        </w:rPr>
        <w:t>סולברג</w:t>
      </w:r>
      <w:r w:rsidRPr="00CA5963">
        <w:rPr>
          <w:rFonts w:ascii="Century" w:hAnsi="Century" w:cs="FrankRuehl" w:hint="cs"/>
          <w:spacing w:val="10"/>
          <w:sz w:val="22"/>
          <w:szCs w:val="28"/>
          <w:rtl/>
        </w:rPr>
        <w:t xml:space="preserve">: כאשר בית המשפט העליון פוסל חקיקה ראשית וחקיקת יסוד, אין משמעות הדבר כי נתונה לו "המילה האחרונה". הכדור חוזר למגרשה של הכנסת, בכובעה כרשות מחוקקת או מכוננת, והיא רשאית לקבוע את תוכנה, בכפוף לאותה מגבלה ספציפית שנקבעה על ידי בית המשפט, כך שהמילה האחרונה בנושא נתונה לכנסת. כפי שכתבתי, אילולא הנוסח הקיצוני והגורף של התיקון, ייתכן שלא היינו נדרשים לסוגיות שבפנינו. </w:t>
      </w:r>
    </w:p>
    <w:p w:rsidR="00244560" w:rsidRPr="00CA5963" w:rsidRDefault="00244560" w:rsidP="00244560">
      <w:pPr>
        <w:keepNext/>
        <w:tabs>
          <w:tab w:val="left" w:pos="800"/>
        </w:tabs>
        <w:spacing w:line="360" w:lineRule="auto"/>
        <w:jc w:val="both"/>
        <w:rPr>
          <w:rFonts w:ascii="Century" w:hAnsi="Century" w:cs="FrankRuehl"/>
          <w:spacing w:val="10"/>
          <w:sz w:val="22"/>
          <w:szCs w:val="28"/>
          <w:rtl/>
        </w:rPr>
      </w:pPr>
    </w:p>
    <w:p w:rsidR="00244560" w:rsidRPr="00CA5963" w:rsidRDefault="00244560" w:rsidP="00A712AD">
      <w:pPr>
        <w:keepNext/>
        <w:tabs>
          <w:tab w:val="left" w:pos="800"/>
        </w:tabs>
        <w:spacing w:line="360" w:lineRule="auto"/>
        <w:jc w:val="both"/>
        <w:rPr>
          <w:rFonts w:ascii="Century" w:hAnsi="Century" w:cs="FrankRuehl"/>
          <w:spacing w:val="10"/>
          <w:szCs w:val="28"/>
          <w:rtl/>
        </w:rPr>
      </w:pPr>
      <w:r w:rsidRPr="00CA5963">
        <w:rPr>
          <w:rFonts w:ascii="Century" w:hAnsi="Century" w:cs="FrankRuehl"/>
          <w:spacing w:val="10"/>
          <w:sz w:val="22"/>
          <w:szCs w:val="28"/>
          <w:rtl/>
        </w:rPr>
        <w:tab/>
      </w:r>
      <w:r w:rsidRPr="00CA5963">
        <w:rPr>
          <w:rFonts w:ascii="Century" w:hAnsi="Century" w:cs="FrankRuehl" w:hint="cs"/>
          <w:spacing w:val="10"/>
          <w:sz w:val="22"/>
          <w:szCs w:val="28"/>
          <w:rtl/>
        </w:rPr>
        <w:t xml:space="preserve">חברי מכיר בכך שהממשלה מקבלת החלטות </w:t>
      </w:r>
      <w:r w:rsidRPr="00CA5963">
        <w:rPr>
          <w:rFonts w:ascii="Century" w:hAnsi="Century" w:cs="FrankRuehl" w:hint="eastAsia"/>
          <w:spacing w:val="10"/>
          <w:sz w:val="22"/>
          <w:szCs w:val="28"/>
          <w:rtl/>
        </w:rPr>
        <w:t>מ</w:t>
      </w:r>
      <w:r w:rsidRPr="00CA5963">
        <w:rPr>
          <w:rFonts w:ascii="Century" w:hAnsi="Century" w:cs="FrankRuehl" w:hint="cs"/>
          <w:spacing w:val="10"/>
          <w:sz w:val="22"/>
          <w:szCs w:val="28"/>
          <w:rtl/>
        </w:rPr>
        <w:t xml:space="preserve">שיקולים פוליטיים-ערכיים (פסקאות </w:t>
      </w:r>
      <w:r w:rsidR="00A712AD">
        <w:rPr>
          <w:rFonts w:ascii="Century" w:hAnsi="Century" w:cs="FrankRuehl" w:hint="cs"/>
          <w:spacing w:val="10"/>
          <w:sz w:val="22"/>
          <w:szCs w:val="28"/>
          <w:rtl/>
        </w:rPr>
        <w:t>193-191</w:t>
      </w:r>
      <w:r w:rsidRPr="00CA5963">
        <w:rPr>
          <w:rFonts w:ascii="Century" w:hAnsi="Century" w:cs="FrankRuehl" w:hint="cs"/>
          <w:spacing w:val="10"/>
          <w:sz w:val="22"/>
          <w:szCs w:val="28"/>
          <w:rtl/>
        </w:rPr>
        <w:t xml:space="preserve">). אולם, המציאות מלמדת כי שיקול פוליטי עשוי אמנם להיות ערכי, אך הוא עשוי גם להיות בלתי ענייני ובלתי סביר. </w:t>
      </w:r>
      <w:r w:rsidRPr="00CA5963">
        <w:rPr>
          <w:rFonts w:ascii="Century" w:hAnsi="Century" w:cs="FrankRuehl" w:hint="cs"/>
          <w:spacing w:val="10"/>
          <w:szCs w:val="28"/>
          <w:rtl/>
        </w:rPr>
        <w:t xml:space="preserve">סולם הערכים של הממשלה בא לידי ביטוי גם בסדרי העדיפויות שלה, שבהם בית המשפט אינו נוהג להתערב: "מושכלות יסוד אלו מקבלים משנה תוקף כאשר מדובר בהחלטות הקובעות מדיניות כלכלית ערכית וסדרי עדיפויות חברתיים" (בג"ץ 7318/22 </w:t>
      </w:r>
      <w:r w:rsidRPr="00CA5963">
        <w:rPr>
          <w:rFonts w:ascii="Century" w:hAnsi="Century" w:cs="Miriam" w:hint="eastAsia"/>
          <w:b/>
          <w:sz w:val="22"/>
          <w:rtl/>
        </w:rPr>
        <w:t>אשכול</w:t>
      </w:r>
      <w:r w:rsidRPr="00CA5963">
        <w:rPr>
          <w:rFonts w:ascii="Century" w:hAnsi="Century" w:cs="Miriam"/>
          <w:b/>
          <w:sz w:val="22"/>
          <w:rtl/>
        </w:rPr>
        <w:t xml:space="preserve"> </w:t>
      </w:r>
      <w:r w:rsidRPr="00CA5963">
        <w:rPr>
          <w:rFonts w:ascii="Century" w:hAnsi="Century" w:cs="Miriam" w:hint="eastAsia"/>
          <w:b/>
          <w:sz w:val="22"/>
          <w:rtl/>
        </w:rPr>
        <w:t>רשויות</w:t>
      </w:r>
      <w:r w:rsidRPr="00CA5963">
        <w:rPr>
          <w:rFonts w:ascii="Century" w:hAnsi="Century" w:cs="Miriam"/>
          <w:b/>
          <w:sz w:val="22"/>
          <w:rtl/>
        </w:rPr>
        <w:t xml:space="preserve"> </w:t>
      </w:r>
      <w:r w:rsidRPr="00CA5963">
        <w:rPr>
          <w:rFonts w:ascii="Century" w:hAnsi="Century" w:cs="Miriam" w:hint="eastAsia"/>
          <w:b/>
          <w:sz w:val="22"/>
          <w:rtl/>
        </w:rPr>
        <w:t>יהודה</w:t>
      </w:r>
      <w:r w:rsidRPr="00CA5963">
        <w:rPr>
          <w:rFonts w:ascii="Century" w:hAnsi="Century" w:cs="Miriam"/>
          <w:b/>
          <w:sz w:val="22"/>
          <w:rtl/>
        </w:rPr>
        <w:t xml:space="preserve"> </w:t>
      </w:r>
      <w:r w:rsidRPr="00CA5963">
        <w:rPr>
          <w:rFonts w:ascii="Century" w:hAnsi="Century" w:cs="Miriam" w:hint="eastAsia"/>
          <w:b/>
          <w:sz w:val="22"/>
          <w:rtl/>
        </w:rPr>
        <w:t>ושומרון</w:t>
      </w:r>
      <w:r w:rsidRPr="00CA5963">
        <w:rPr>
          <w:rFonts w:ascii="Century" w:hAnsi="Century" w:cs="Miriam"/>
          <w:b/>
          <w:sz w:val="22"/>
          <w:rtl/>
        </w:rPr>
        <w:t xml:space="preserve"> </w:t>
      </w:r>
      <w:r w:rsidRPr="00CA5963">
        <w:rPr>
          <w:rFonts w:ascii="Century" w:hAnsi="Century" w:cs="Miriam" w:hint="eastAsia"/>
          <w:b/>
          <w:sz w:val="22"/>
          <w:rtl/>
        </w:rPr>
        <w:t>נ</w:t>
      </w:r>
      <w:r w:rsidRPr="00CA5963">
        <w:rPr>
          <w:rFonts w:ascii="Century" w:hAnsi="Century" w:cs="Miriam"/>
          <w:b/>
          <w:sz w:val="22"/>
          <w:rtl/>
        </w:rPr>
        <w:t xml:space="preserve">' </w:t>
      </w:r>
      <w:r w:rsidRPr="00CA5963">
        <w:rPr>
          <w:rFonts w:ascii="Century" w:hAnsi="Century" w:cs="Miriam" w:hint="eastAsia"/>
          <w:b/>
          <w:sz w:val="22"/>
          <w:rtl/>
        </w:rPr>
        <w:t>שרת</w:t>
      </w:r>
      <w:r w:rsidRPr="00CA5963">
        <w:rPr>
          <w:rFonts w:ascii="Century" w:hAnsi="Century" w:cs="Miriam"/>
          <w:b/>
          <w:sz w:val="22"/>
          <w:rtl/>
        </w:rPr>
        <w:t xml:space="preserve"> </w:t>
      </w:r>
      <w:r w:rsidRPr="00CA5963">
        <w:rPr>
          <w:rFonts w:ascii="Century" w:hAnsi="Century" w:cs="Miriam" w:hint="eastAsia"/>
          <w:b/>
          <w:sz w:val="22"/>
          <w:rtl/>
        </w:rPr>
        <w:t>התחבורה</w:t>
      </w:r>
      <w:r w:rsidRPr="00CA5963">
        <w:rPr>
          <w:rFonts w:ascii="Century" w:hAnsi="Century" w:cs="FrankRuehl" w:hint="cs"/>
          <w:spacing w:val="10"/>
          <w:szCs w:val="28"/>
          <w:rtl/>
        </w:rPr>
        <w:t xml:space="preserve">, פסקה 13 (3.11.2022); </w:t>
      </w:r>
      <w:r w:rsidRPr="00CA5963">
        <w:rPr>
          <w:rFonts w:ascii="Century" w:hAnsi="Century" w:cs="FrankRuehl" w:hint="eastAsia"/>
          <w:spacing w:val="10"/>
          <w:szCs w:val="28"/>
          <w:rtl/>
        </w:rPr>
        <w:t>בג</w:t>
      </w:r>
      <w:r w:rsidRPr="00CA5963">
        <w:rPr>
          <w:rFonts w:ascii="Century" w:hAnsi="Century" w:cs="FrankRuehl"/>
          <w:spacing w:val="10"/>
          <w:szCs w:val="28"/>
          <w:rtl/>
        </w:rPr>
        <w:t>"</w:t>
      </w:r>
      <w:r w:rsidRPr="00CA5963">
        <w:rPr>
          <w:rFonts w:ascii="Century" w:hAnsi="Century" w:cs="FrankRuehl" w:hint="eastAsia"/>
          <w:spacing w:val="10"/>
          <w:szCs w:val="28"/>
          <w:rtl/>
        </w:rPr>
        <w:t>ץ</w:t>
      </w:r>
      <w:r w:rsidRPr="00CA5963">
        <w:rPr>
          <w:rFonts w:ascii="Century" w:hAnsi="Century" w:cs="FrankRuehl"/>
          <w:spacing w:val="10"/>
          <w:szCs w:val="28"/>
          <w:rtl/>
        </w:rPr>
        <w:t xml:space="preserve"> 1053/21</w:t>
      </w:r>
      <w:r w:rsidRPr="00CA5963">
        <w:rPr>
          <w:rFonts w:ascii="Century" w:hAnsi="Century" w:cs="FrankRuehl" w:hint="cs"/>
          <w:spacing w:val="10"/>
          <w:szCs w:val="28"/>
          <w:rtl/>
        </w:rPr>
        <w:t xml:space="preserve"> </w:t>
      </w:r>
      <w:r w:rsidRPr="00CA5963">
        <w:rPr>
          <w:rFonts w:ascii="Century" w:hAnsi="Century" w:cs="Miriam" w:hint="cs"/>
          <w:b/>
          <w:rtl/>
        </w:rPr>
        <w:t>עיריית רהט נ' רשות מקרקעי ישראל</w:t>
      </w:r>
      <w:r w:rsidRPr="00CA5963">
        <w:rPr>
          <w:rFonts w:ascii="Century" w:hAnsi="Century" w:cs="FrankRuehl" w:hint="cs"/>
          <w:spacing w:val="10"/>
          <w:szCs w:val="28"/>
          <w:rtl/>
        </w:rPr>
        <w:t xml:space="preserve">, פסקה 17 (8.6.2022)). בית המשפט לא מורה לממשלה אלו סכומים יש להקצות לחיזוק מנגנוני הרווחה או לרפואת הנפש, בית המשפט לא מורה לממשלה היכן לסלול כביש או להרחיב כביש, איזה ענף לעודד או להסדיר או ליתן סובסידיה וכיו"ב </w:t>
      </w:r>
      <w:r w:rsidRPr="00CA5963">
        <w:rPr>
          <w:rFonts w:ascii="Century" w:hAnsi="Century" w:cs="FrankRuehl"/>
          <w:spacing w:val="10"/>
          <w:szCs w:val="28"/>
          <w:rtl/>
        </w:rPr>
        <w:t>–</w:t>
      </w:r>
      <w:r w:rsidRPr="00CA5963">
        <w:rPr>
          <w:rFonts w:ascii="Century" w:hAnsi="Century" w:cs="FrankRuehl" w:hint="cs"/>
          <w:spacing w:val="10"/>
          <w:szCs w:val="28"/>
          <w:rtl/>
        </w:rPr>
        <w:t xml:space="preserve"> על כך מחליטה ומבצעת הממשלה על פי סדרי העדיפויות שלה, המשקפים את סולם הערכים שלה. </w:t>
      </w:r>
    </w:p>
    <w:p w:rsidR="00244560" w:rsidRPr="00CA5963" w:rsidRDefault="00244560" w:rsidP="00244560">
      <w:pPr>
        <w:keepNext/>
        <w:tabs>
          <w:tab w:val="left" w:pos="800"/>
        </w:tabs>
        <w:spacing w:line="360" w:lineRule="auto"/>
        <w:jc w:val="both"/>
        <w:rPr>
          <w:rFonts w:ascii="Century" w:hAnsi="Century" w:cs="FrankRuehl"/>
          <w:spacing w:val="10"/>
          <w:sz w:val="22"/>
          <w:szCs w:val="28"/>
          <w:rtl/>
        </w:rPr>
      </w:pPr>
    </w:p>
    <w:p w:rsidR="00244560" w:rsidRPr="00CA5963" w:rsidRDefault="00244560" w:rsidP="008A0EDE">
      <w:pPr>
        <w:keepNext/>
        <w:tabs>
          <w:tab w:val="left" w:pos="800"/>
        </w:tabs>
        <w:spacing w:line="360" w:lineRule="auto"/>
        <w:jc w:val="both"/>
        <w:rPr>
          <w:rFonts w:ascii="FrankRuehl" w:hAnsi="FrankRuehl" w:cs="FrankRuehl"/>
          <w:color w:val="000000"/>
          <w:spacing w:val="10"/>
          <w:sz w:val="28"/>
          <w:szCs w:val="28"/>
          <w:shd w:val="clear" w:color="auto" w:fill="FFFFFF"/>
          <w:rtl/>
        </w:rPr>
      </w:pPr>
      <w:r w:rsidRPr="00CA5963">
        <w:rPr>
          <w:rFonts w:ascii="Century" w:hAnsi="Century" w:cs="FrankRuehl"/>
          <w:spacing w:val="10"/>
          <w:sz w:val="22"/>
          <w:szCs w:val="28"/>
          <w:rtl/>
        </w:rPr>
        <w:tab/>
      </w:r>
      <w:r w:rsidRPr="00CA5963">
        <w:rPr>
          <w:rFonts w:ascii="Century" w:hAnsi="Century" w:cs="FrankRuehl" w:hint="cs"/>
          <w:spacing w:val="10"/>
          <w:sz w:val="22"/>
          <w:szCs w:val="28"/>
          <w:rtl/>
        </w:rPr>
        <w:t xml:space="preserve">חברי </w:t>
      </w:r>
      <w:r>
        <w:rPr>
          <w:rFonts w:ascii="Century" w:hAnsi="Century" w:cs="FrankRuehl" w:hint="cs"/>
          <w:spacing w:val="10"/>
          <w:sz w:val="22"/>
          <w:szCs w:val="28"/>
          <w:rtl/>
        </w:rPr>
        <w:t xml:space="preserve">העלה הצעה לפיה </w:t>
      </w:r>
      <w:r w:rsidRPr="00CA5963">
        <w:rPr>
          <w:rFonts w:ascii="Century" w:hAnsi="Century" w:cs="FrankRuehl" w:hint="cs"/>
          <w:spacing w:val="10"/>
          <w:sz w:val="22"/>
          <w:szCs w:val="28"/>
          <w:rtl/>
        </w:rPr>
        <w:t xml:space="preserve">כדי לפסול החלטה של שר, בית המשפט יידרש לקבל החלטה פה אחד בהרכב מורחב (פסקאות </w:t>
      </w:r>
      <w:r w:rsidR="008A0EDE">
        <w:rPr>
          <w:rFonts w:ascii="Century" w:hAnsi="Century" w:cs="FrankRuehl" w:hint="cs"/>
          <w:spacing w:val="10"/>
          <w:sz w:val="22"/>
          <w:szCs w:val="28"/>
          <w:rtl/>
        </w:rPr>
        <w:t>210-207</w:t>
      </w:r>
      <w:r w:rsidRPr="00CA5963">
        <w:rPr>
          <w:rFonts w:ascii="Century" w:hAnsi="Century" w:cs="FrankRuehl" w:hint="cs"/>
          <w:spacing w:val="10"/>
          <w:sz w:val="22"/>
          <w:szCs w:val="28"/>
          <w:rtl/>
        </w:rPr>
        <w:t>). "ע</w:t>
      </w:r>
      <w:r w:rsidRPr="00CA5963">
        <w:rPr>
          <w:rFonts w:ascii="Century" w:hAnsi="Century" w:cs="FrankRuehl"/>
          <w:spacing w:val="10"/>
          <w:sz w:val="22"/>
          <w:szCs w:val="28"/>
          <w:rtl/>
        </w:rPr>
        <w:t>ל הראשונים אנו מצטערים ואת</w:t>
      </w:r>
      <w:r>
        <w:rPr>
          <w:rFonts w:ascii="Century" w:hAnsi="Century" w:cs="FrankRuehl" w:hint="cs"/>
          <w:spacing w:val="10"/>
          <w:sz w:val="22"/>
          <w:szCs w:val="28"/>
          <w:rtl/>
        </w:rPr>
        <w:t>ה</w:t>
      </w:r>
      <w:r w:rsidRPr="00CA5963">
        <w:rPr>
          <w:rFonts w:ascii="Century" w:hAnsi="Century" w:cs="FrankRuehl"/>
          <w:spacing w:val="10"/>
          <w:sz w:val="22"/>
          <w:szCs w:val="28"/>
          <w:rtl/>
        </w:rPr>
        <w:t xml:space="preserve"> בא </w:t>
      </w:r>
      <w:r>
        <w:rPr>
          <w:rFonts w:ascii="Century" w:hAnsi="Century" w:cs="FrankRuehl" w:hint="cs"/>
          <w:spacing w:val="10"/>
          <w:sz w:val="22"/>
          <w:szCs w:val="28"/>
          <w:rtl/>
        </w:rPr>
        <w:t>להוסיף</w:t>
      </w:r>
      <w:r w:rsidRPr="00CA5963">
        <w:rPr>
          <w:rFonts w:ascii="Century" w:hAnsi="Century" w:cs="FrankRuehl"/>
          <w:spacing w:val="10"/>
          <w:sz w:val="22"/>
          <w:szCs w:val="28"/>
          <w:rtl/>
        </w:rPr>
        <w:t xml:space="preserve"> עליה</w:t>
      </w:r>
      <w:r w:rsidRPr="00CA5963">
        <w:rPr>
          <w:rFonts w:ascii="Century" w:hAnsi="Century" w:cs="FrankRuehl" w:hint="cs"/>
          <w:spacing w:val="10"/>
          <w:sz w:val="22"/>
          <w:szCs w:val="28"/>
          <w:rtl/>
        </w:rPr>
        <w:t>ם" (</w:t>
      </w:r>
      <w:r>
        <w:rPr>
          <w:rFonts w:ascii="Century" w:hAnsi="Century" w:cs="FrankRuehl" w:hint="cs"/>
          <w:spacing w:val="10"/>
          <w:sz w:val="22"/>
          <w:szCs w:val="28"/>
          <w:rtl/>
        </w:rPr>
        <w:t>פירוש רש"י ל</w:t>
      </w:r>
      <w:r w:rsidRPr="00CA5963">
        <w:rPr>
          <w:rFonts w:ascii="Century" w:hAnsi="Century" w:cs="FrankRuehl" w:hint="cs"/>
          <w:spacing w:val="10"/>
          <w:sz w:val="22"/>
          <w:szCs w:val="28"/>
          <w:rtl/>
        </w:rPr>
        <w:t>שמות י"ח, ב). כפי שציטטתי לעיל, "</w:t>
      </w:r>
      <w:r w:rsidRPr="00CA5963">
        <w:rPr>
          <w:rFonts w:ascii="FrankRuehl" w:hAnsi="FrankRuehl" w:cs="FrankRuehl"/>
          <w:color w:val="000000"/>
          <w:spacing w:val="10"/>
          <w:sz w:val="28"/>
          <w:szCs w:val="28"/>
          <w:shd w:val="clear" w:color="auto" w:fill="FFFFFF"/>
          <w:rtl/>
        </w:rPr>
        <w:t>אין זה תפקידו של בית המשפט להתוות הסדר חקיקתי עתידי</w:t>
      </w:r>
      <w:r w:rsidRPr="00CA5963">
        <w:rPr>
          <w:rFonts w:ascii="FrankRuehl" w:hAnsi="FrankRuehl" w:cs="FrankRuehl" w:hint="cs"/>
          <w:color w:val="000000"/>
          <w:spacing w:val="10"/>
          <w:sz w:val="28"/>
          <w:szCs w:val="28"/>
          <w:shd w:val="clear" w:color="auto" w:fill="FFFFFF"/>
          <w:rtl/>
        </w:rPr>
        <w:t xml:space="preserve">". </w:t>
      </w:r>
    </w:p>
    <w:p w:rsidR="00244560" w:rsidRPr="00CA5963" w:rsidRDefault="00244560" w:rsidP="00244560">
      <w:pPr>
        <w:keepNext/>
        <w:tabs>
          <w:tab w:val="left" w:pos="800"/>
        </w:tabs>
        <w:spacing w:line="360" w:lineRule="auto"/>
        <w:jc w:val="both"/>
        <w:rPr>
          <w:rFonts w:ascii="Century" w:hAnsi="Century" w:cs="FrankRuehl"/>
          <w:spacing w:val="10"/>
          <w:sz w:val="22"/>
          <w:szCs w:val="28"/>
          <w:rtl/>
        </w:rPr>
      </w:pPr>
    </w:p>
    <w:p w:rsidR="00244560" w:rsidRPr="00CA5963" w:rsidRDefault="00244560" w:rsidP="00244560">
      <w:pPr>
        <w:keepNext/>
        <w:tabs>
          <w:tab w:val="left" w:pos="800"/>
        </w:tabs>
        <w:spacing w:line="360" w:lineRule="auto"/>
        <w:jc w:val="both"/>
        <w:rPr>
          <w:rFonts w:ascii="Century" w:hAnsi="Century" w:cs="FrankRuehl"/>
          <w:spacing w:val="10"/>
          <w:szCs w:val="28"/>
          <w:rtl/>
        </w:rPr>
      </w:pPr>
      <w:r w:rsidRPr="00CA5963">
        <w:rPr>
          <w:rFonts w:ascii="Century" w:hAnsi="Century" w:cs="FrankRuehl"/>
          <w:spacing w:val="10"/>
          <w:szCs w:val="28"/>
          <w:rtl/>
        </w:rPr>
        <w:tab/>
      </w:r>
      <w:r w:rsidRPr="00CA5963">
        <w:rPr>
          <w:rFonts w:ascii="Century" w:hAnsi="Century" w:cs="FrankRuehl" w:hint="cs"/>
          <w:spacing w:val="10"/>
          <w:szCs w:val="28"/>
          <w:rtl/>
        </w:rPr>
        <w:t>חברי הזכיר את הכלל "</w:t>
      </w:r>
      <w:r w:rsidRPr="00CA5963">
        <w:rPr>
          <w:rFonts w:ascii="Century" w:hAnsi="Century" w:cs="FrankRuehl" w:hint="eastAsia"/>
          <w:spacing w:val="10"/>
          <w:sz w:val="22"/>
          <w:szCs w:val="28"/>
          <w:rtl/>
        </w:rPr>
        <w:t>כ</w:t>
      </w:r>
      <w:r w:rsidRPr="00CA5963">
        <w:rPr>
          <w:rFonts w:ascii="Century" w:hAnsi="Century" w:cs="FrankRuehl"/>
          <w:spacing w:val="10"/>
          <w:sz w:val="22"/>
          <w:szCs w:val="28"/>
          <w:shd w:val="clear" w:color="auto" w:fill="FFFFFF"/>
          <w:rtl/>
        </w:rPr>
        <w:t>ל המשנה, ידו על התחתונה. וכל החוזר בו, ידו על התחתונה</w:t>
      </w:r>
      <w:r w:rsidRPr="00CA5963">
        <w:rPr>
          <w:rFonts w:ascii="Century" w:hAnsi="Century" w:cs="FrankRuehl" w:hint="cs"/>
          <w:spacing w:val="10"/>
          <w:szCs w:val="28"/>
          <w:rtl/>
        </w:rPr>
        <w:t xml:space="preserve">" (בבא מציעא ו, ב). כשלעצמי אני סבור כי יש לתהות </w:t>
      </w:r>
      <w:r w:rsidRPr="00CA5963">
        <w:rPr>
          <w:rFonts w:ascii="Century" w:hAnsi="Century" w:cs="FrankRuehl" w:hint="eastAsia"/>
          <w:spacing w:val="10"/>
          <w:szCs w:val="28"/>
          <w:rtl/>
        </w:rPr>
        <w:t>כיצד</w:t>
      </w:r>
      <w:r w:rsidRPr="00CA5963">
        <w:rPr>
          <w:rFonts w:ascii="Century" w:hAnsi="Century" w:cs="FrankRuehl"/>
          <w:spacing w:val="10"/>
          <w:szCs w:val="28"/>
          <w:rtl/>
        </w:rPr>
        <w:t xml:space="preserve"> </w:t>
      </w:r>
      <w:r w:rsidRPr="00CA5963">
        <w:rPr>
          <w:rFonts w:ascii="Century" w:hAnsi="Century" w:cs="FrankRuehl" w:hint="eastAsia"/>
          <w:spacing w:val="10"/>
          <w:szCs w:val="28"/>
          <w:rtl/>
        </w:rPr>
        <w:t>הגענו</w:t>
      </w:r>
      <w:r w:rsidRPr="00CA5963">
        <w:rPr>
          <w:rFonts w:ascii="Century" w:hAnsi="Century" w:cs="FrankRuehl"/>
          <w:spacing w:val="10"/>
          <w:szCs w:val="28"/>
          <w:rtl/>
        </w:rPr>
        <w:t xml:space="preserve"> </w:t>
      </w:r>
      <w:r w:rsidRPr="00CA5963">
        <w:rPr>
          <w:rFonts w:ascii="Century" w:hAnsi="Century" w:cs="FrankRuehl" w:hint="eastAsia"/>
          <w:spacing w:val="10"/>
          <w:szCs w:val="28"/>
          <w:rtl/>
        </w:rPr>
        <w:t>למצב</w:t>
      </w:r>
      <w:r w:rsidRPr="00CA5963">
        <w:rPr>
          <w:rFonts w:ascii="Century" w:hAnsi="Century" w:cs="FrankRuehl"/>
          <w:spacing w:val="10"/>
          <w:szCs w:val="28"/>
          <w:rtl/>
        </w:rPr>
        <w:t xml:space="preserve"> </w:t>
      </w:r>
      <w:r w:rsidRPr="00CA5963">
        <w:rPr>
          <w:rFonts w:ascii="Century" w:hAnsi="Century" w:cs="FrankRuehl" w:hint="eastAsia"/>
          <w:spacing w:val="10"/>
          <w:szCs w:val="28"/>
          <w:rtl/>
        </w:rPr>
        <w:t>שבו</w:t>
      </w:r>
      <w:r w:rsidRPr="00CA5963">
        <w:rPr>
          <w:rFonts w:ascii="Century" w:hAnsi="Century" w:cs="FrankRuehl"/>
          <w:spacing w:val="10"/>
          <w:szCs w:val="28"/>
          <w:rtl/>
        </w:rPr>
        <w:t xml:space="preserve">, </w:t>
      </w:r>
      <w:r w:rsidRPr="00CA5963">
        <w:rPr>
          <w:rFonts w:ascii="Century" w:hAnsi="Century" w:cs="FrankRuehl" w:hint="eastAsia"/>
          <w:spacing w:val="10"/>
          <w:szCs w:val="28"/>
          <w:rtl/>
        </w:rPr>
        <w:lastRenderedPageBreak/>
        <w:t>לראשונה</w:t>
      </w:r>
      <w:r w:rsidRPr="00CA5963">
        <w:rPr>
          <w:rFonts w:ascii="Century" w:hAnsi="Century" w:cs="FrankRuehl"/>
          <w:spacing w:val="10"/>
          <w:szCs w:val="28"/>
          <w:rtl/>
        </w:rPr>
        <w:t xml:space="preserve"> </w:t>
      </w:r>
      <w:r w:rsidRPr="00CA5963">
        <w:rPr>
          <w:rFonts w:ascii="Century" w:hAnsi="Century" w:cs="FrankRuehl" w:hint="eastAsia"/>
          <w:spacing w:val="10"/>
          <w:szCs w:val="28"/>
          <w:rtl/>
        </w:rPr>
        <w:t>בתולדות</w:t>
      </w:r>
      <w:r w:rsidRPr="00CA5963">
        <w:rPr>
          <w:rFonts w:ascii="Century" w:hAnsi="Century" w:cs="FrankRuehl"/>
          <w:spacing w:val="10"/>
          <w:szCs w:val="28"/>
          <w:rtl/>
        </w:rPr>
        <w:t xml:space="preserve"> </w:t>
      </w:r>
      <w:r w:rsidRPr="00CA5963">
        <w:rPr>
          <w:rFonts w:ascii="Century" w:hAnsi="Century" w:cs="FrankRuehl" w:hint="eastAsia"/>
          <w:spacing w:val="10"/>
          <w:szCs w:val="28"/>
          <w:rtl/>
        </w:rPr>
        <w:t>המדינה</w:t>
      </w:r>
      <w:r w:rsidRPr="00CA5963">
        <w:rPr>
          <w:rFonts w:ascii="Century" w:hAnsi="Century" w:cs="FrankRuehl"/>
          <w:spacing w:val="10"/>
          <w:szCs w:val="28"/>
          <w:rtl/>
        </w:rPr>
        <w:t xml:space="preserve">, </w:t>
      </w:r>
      <w:r w:rsidRPr="00CA5963">
        <w:rPr>
          <w:rFonts w:ascii="Century" w:hAnsi="Century" w:cs="FrankRuehl" w:hint="eastAsia"/>
          <w:spacing w:val="10"/>
          <w:szCs w:val="28"/>
          <w:rtl/>
        </w:rPr>
        <w:t>בית</w:t>
      </w:r>
      <w:r w:rsidRPr="00CA5963">
        <w:rPr>
          <w:rFonts w:ascii="Century" w:hAnsi="Century" w:cs="FrankRuehl"/>
          <w:spacing w:val="10"/>
          <w:szCs w:val="28"/>
          <w:rtl/>
        </w:rPr>
        <w:t xml:space="preserve"> </w:t>
      </w:r>
      <w:r w:rsidRPr="00CA5963">
        <w:rPr>
          <w:rFonts w:ascii="Century" w:hAnsi="Century" w:cs="FrankRuehl" w:hint="eastAsia"/>
          <w:spacing w:val="10"/>
          <w:szCs w:val="28"/>
          <w:rtl/>
        </w:rPr>
        <w:t>המשפט</w:t>
      </w:r>
      <w:r w:rsidRPr="00CA5963">
        <w:rPr>
          <w:rFonts w:ascii="Century" w:hAnsi="Century" w:cs="FrankRuehl"/>
          <w:spacing w:val="10"/>
          <w:szCs w:val="28"/>
          <w:rtl/>
        </w:rPr>
        <w:t xml:space="preserve"> </w:t>
      </w:r>
      <w:r w:rsidRPr="00CA5963">
        <w:rPr>
          <w:rFonts w:ascii="Century" w:hAnsi="Century" w:cs="FrankRuehl" w:hint="eastAsia"/>
          <w:spacing w:val="10"/>
          <w:szCs w:val="28"/>
          <w:rtl/>
        </w:rPr>
        <w:t>העליון</w:t>
      </w:r>
      <w:r w:rsidRPr="00CA5963">
        <w:rPr>
          <w:rFonts w:ascii="Century" w:hAnsi="Century" w:cs="FrankRuehl"/>
          <w:spacing w:val="10"/>
          <w:szCs w:val="28"/>
          <w:rtl/>
        </w:rPr>
        <w:t xml:space="preserve"> </w:t>
      </w:r>
      <w:r w:rsidRPr="00CA5963">
        <w:rPr>
          <w:rFonts w:ascii="Century" w:hAnsi="Century" w:cs="FrankRuehl" w:hint="eastAsia"/>
          <w:spacing w:val="10"/>
          <w:szCs w:val="28"/>
          <w:rtl/>
        </w:rPr>
        <w:t>נדרש</w:t>
      </w:r>
      <w:r w:rsidRPr="00CA5963">
        <w:rPr>
          <w:rFonts w:ascii="Century" w:hAnsi="Century" w:cs="FrankRuehl"/>
          <w:spacing w:val="10"/>
          <w:szCs w:val="28"/>
          <w:rtl/>
        </w:rPr>
        <w:t xml:space="preserve"> </w:t>
      </w:r>
      <w:r w:rsidRPr="00CA5963">
        <w:rPr>
          <w:rFonts w:ascii="Century" w:hAnsi="Century" w:cs="FrankRuehl" w:hint="eastAsia"/>
          <w:spacing w:val="10"/>
          <w:szCs w:val="28"/>
          <w:rtl/>
        </w:rPr>
        <w:t>לשאלת</w:t>
      </w:r>
      <w:r w:rsidRPr="00CA5963">
        <w:rPr>
          <w:rFonts w:ascii="Century" w:hAnsi="Century" w:cs="FrankRuehl"/>
          <w:spacing w:val="10"/>
          <w:szCs w:val="28"/>
          <w:rtl/>
        </w:rPr>
        <w:t xml:space="preserve"> </w:t>
      </w:r>
      <w:r w:rsidRPr="00CA5963">
        <w:rPr>
          <w:rFonts w:ascii="Century" w:hAnsi="Century" w:cs="FrankRuehl" w:hint="eastAsia"/>
          <w:spacing w:val="10"/>
          <w:szCs w:val="28"/>
          <w:rtl/>
        </w:rPr>
        <w:t>תקפותו</w:t>
      </w:r>
      <w:r w:rsidRPr="00CA5963">
        <w:rPr>
          <w:rFonts w:ascii="Century" w:hAnsi="Century" w:cs="FrankRuehl"/>
          <w:spacing w:val="10"/>
          <w:szCs w:val="28"/>
          <w:rtl/>
        </w:rPr>
        <w:t xml:space="preserve"> </w:t>
      </w:r>
      <w:r w:rsidRPr="00CA5963">
        <w:rPr>
          <w:rFonts w:ascii="Century" w:hAnsi="Century" w:cs="FrankRuehl" w:hint="eastAsia"/>
          <w:spacing w:val="10"/>
          <w:szCs w:val="28"/>
          <w:rtl/>
        </w:rPr>
        <w:t>של</w:t>
      </w:r>
      <w:r w:rsidRPr="00CA5963">
        <w:rPr>
          <w:rFonts w:ascii="Century" w:hAnsi="Century" w:cs="FrankRuehl"/>
          <w:spacing w:val="10"/>
          <w:szCs w:val="28"/>
          <w:rtl/>
        </w:rPr>
        <w:t xml:space="preserve"> </w:t>
      </w:r>
      <w:r w:rsidRPr="00CA5963">
        <w:rPr>
          <w:rFonts w:ascii="Century" w:hAnsi="Century" w:cs="FrankRuehl" w:hint="eastAsia"/>
          <w:spacing w:val="10"/>
          <w:szCs w:val="28"/>
          <w:rtl/>
        </w:rPr>
        <w:t>חוק</w:t>
      </w:r>
      <w:r w:rsidRPr="00CA5963">
        <w:rPr>
          <w:rFonts w:ascii="Century" w:hAnsi="Century" w:cs="FrankRuehl"/>
          <w:spacing w:val="10"/>
          <w:szCs w:val="28"/>
          <w:rtl/>
        </w:rPr>
        <w:t xml:space="preserve"> </w:t>
      </w:r>
      <w:r w:rsidRPr="00CA5963">
        <w:rPr>
          <w:rFonts w:ascii="Century" w:hAnsi="Century" w:cs="FrankRuehl" w:hint="eastAsia"/>
          <w:spacing w:val="10"/>
          <w:szCs w:val="28"/>
          <w:rtl/>
        </w:rPr>
        <w:t>יסוד</w:t>
      </w:r>
      <w:r w:rsidRPr="00CA5963">
        <w:rPr>
          <w:rFonts w:ascii="Century" w:hAnsi="Century" w:cs="FrankRuehl" w:hint="cs"/>
          <w:spacing w:val="10"/>
          <w:szCs w:val="28"/>
          <w:rtl/>
        </w:rPr>
        <w:t>,</w:t>
      </w:r>
      <w:r w:rsidRPr="00CA5963">
        <w:rPr>
          <w:rFonts w:ascii="Century" w:hAnsi="Century" w:cs="FrankRuehl"/>
          <w:spacing w:val="10"/>
          <w:szCs w:val="28"/>
          <w:rtl/>
        </w:rPr>
        <w:t xml:space="preserve"> </w:t>
      </w:r>
      <w:r w:rsidRPr="00CA5963">
        <w:rPr>
          <w:rFonts w:ascii="Century" w:hAnsi="Century" w:cs="FrankRuehl" w:hint="eastAsia"/>
          <w:spacing w:val="10"/>
          <w:szCs w:val="28"/>
          <w:rtl/>
        </w:rPr>
        <w:t>שמא</w:t>
      </w:r>
      <w:r w:rsidRPr="00CA5963">
        <w:rPr>
          <w:rFonts w:ascii="Century" w:hAnsi="Century" w:cs="FrankRuehl"/>
          <w:spacing w:val="10"/>
          <w:szCs w:val="28"/>
          <w:rtl/>
        </w:rPr>
        <w:t xml:space="preserve"> </w:t>
      </w:r>
      <w:r w:rsidRPr="00CA5963">
        <w:rPr>
          <w:rFonts w:ascii="Century" w:hAnsi="Century" w:cs="FrankRuehl" w:hint="eastAsia"/>
          <w:spacing w:val="10"/>
          <w:szCs w:val="28"/>
          <w:rtl/>
        </w:rPr>
        <w:t>הבעיה</w:t>
      </w:r>
      <w:r w:rsidRPr="00CA5963">
        <w:rPr>
          <w:rFonts w:ascii="Century" w:hAnsi="Century" w:cs="FrankRuehl"/>
          <w:spacing w:val="10"/>
          <w:szCs w:val="28"/>
          <w:rtl/>
        </w:rPr>
        <w:t xml:space="preserve"> </w:t>
      </w:r>
      <w:r w:rsidRPr="00CA5963">
        <w:rPr>
          <w:rFonts w:ascii="Century" w:hAnsi="Century" w:cs="FrankRuehl" w:hint="eastAsia"/>
          <w:spacing w:val="10"/>
          <w:szCs w:val="28"/>
          <w:rtl/>
        </w:rPr>
        <w:t>אינה</w:t>
      </w:r>
      <w:r w:rsidRPr="00CA5963">
        <w:rPr>
          <w:rFonts w:ascii="Century" w:hAnsi="Century" w:cs="FrankRuehl"/>
          <w:spacing w:val="10"/>
          <w:szCs w:val="28"/>
          <w:rtl/>
        </w:rPr>
        <w:t xml:space="preserve"> </w:t>
      </w:r>
      <w:r w:rsidRPr="00CA5963">
        <w:rPr>
          <w:rFonts w:ascii="Century" w:hAnsi="Century" w:cs="FrankRuehl" w:hint="eastAsia"/>
          <w:spacing w:val="10"/>
          <w:szCs w:val="28"/>
          <w:rtl/>
        </w:rPr>
        <w:t>רובצת</w:t>
      </w:r>
      <w:r w:rsidRPr="00CA5963">
        <w:rPr>
          <w:rFonts w:ascii="Century" w:hAnsi="Century" w:cs="FrankRuehl"/>
          <w:spacing w:val="10"/>
          <w:szCs w:val="28"/>
          <w:rtl/>
        </w:rPr>
        <w:t xml:space="preserve"> </w:t>
      </w:r>
      <w:r w:rsidRPr="00CA5963">
        <w:rPr>
          <w:rFonts w:ascii="Century" w:hAnsi="Century" w:cs="FrankRuehl" w:hint="eastAsia"/>
          <w:spacing w:val="10"/>
          <w:szCs w:val="28"/>
          <w:rtl/>
        </w:rPr>
        <w:t>לפתחם</w:t>
      </w:r>
      <w:r w:rsidRPr="00CA5963">
        <w:rPr>
          <w:rFonts w:ascii="Century" w:hAnsi="Century" w:cs="FrankRuehl"/>
          <w:spacing w:val="10"/>
          <w:szCs w:val="28"/>
          <w:rtl/>
        </w:rPr>
        <w:t xml:space="preserve"> </w:t>
      </w:r>
      <w:r w:rsidRPr="00CA5963">
        <w:rPr>
          <w:rFonts w:ascii="Century" w:hAnsi="Century" w:cs="FrankRuehl" w:hint="eastAsia"/>
          <w:spacing w:val="10"/>
          <w:szCs w:val="28"/>
          <w:rtl/>
        </w:rPr>
        <w:t>של</w:t>
      </w:r>
      <w:r w:rsidRPr="00CA5963">
        <w:rPr>
          <w:rFonts w:ascii="Century" w:hAnsi="Century" w:cs="FrankRuehl"/>
          <w:spacing w:val="10"/>
          <w:szCs w:val="28"/>
          <w:rtl/>
        </w:rPr>
        <w:t xml:space="preserve"> </w:t>
      </w:r>
      <w:r w:rsidRPr="00CA5963">
        <w:rPr>
          <w:rFonts w:ascii="Century" w:hAnsi="Century" w:cs="FrankRuehl" w:hint="eastAsia"/>
          <w:spacing w:val="10"/>
          <w:szCs w:val="28"/>
          <w:rtl/>
        </w:rPr>
        <w:t>שופטי</w:t>
      </w:r>
      <w:r w:rsidRPr="00CA5963">
        <w:rPr>
          <w:rFonts w:ascii="Century" w:hAnsi="Century" w:cs="FrankRuehl"/>
          <w:spacing w:val="10"/>
          <w:szCs w:val="28"/>
          <w:rtl/>
        </w:rPr>
        <w:t xml:space="preserve"> </w:t>
      </w:r>
      <w:r w:rsidRPr="00CA5963">
        <w:rPr>
          <w:rFonts w:ascii="Century" w:hAnsi="Century" w:cs="FrankRuehl" w:hint="eastAsia"/>
          <w:spacing w:val="10"/>
          <w:szCs w:val="28"/>
          <w:rtl/>
        </w:rPr>
        <w:t>בית</w:t>
      </w:r>
      <w:r w:rsidRPr="00CA5963">
        <w:rPr>
          <w:rFonts w:ascii="Century" w:hAnsi="Century" w:cs="FrankRuehl"/>
          <w:spacing w:val="10"/>
          <w:szCs w:val="28"/>
          <w:rtl/>
        </w:rPr>
        <w:t xml:space="preserve"> </w:t>
      </w:r>
      <w:r w:rsidRPr="00CA5963">
        <w:rPr>
          <w:rFonts w:ascii="Century" w:hAnsi="Century" w:cs="FrankRuehl" w:hint="eastAsia"/>
          <w:spacing w:val="10"/>
          <w:szCs w:val="28"/>
          <w:rtl/>
        </w:rPr>
        <w:t>משפט</w:t>
      </w:r>
      <w:r w:rsidRPr="00CA5963">
        <w:rPr>
          <w:rFonts w:ascii="Century" w:hAnsi="Century" w:cs="FrankRuehl"/>
          <w:spacing w:val="10"/>
          <w:szCs w:val="28"/>
          <w:rtl/>
        </w:rPr>
        <w:t xml:space="preserve"> </w:t>
      </w:r>
      <w:r w:rsidRPr="00CA5963">
        <w:rPr>
          <w:rFonts w:ascii="Century" w:hAnsi="Century" w:cs="FrankRuehl" w:hint="eastAsia"/>
          <w:spacing w:val="10"/>
          <w:szCs w:val="28"/>
          <w:rtl/>
        </w:rPr>
        <w:t>זה</w:t>
      </w:r>
      <w:r w:rsidRPr="00CA5963">
        <w:rPr>
          <w:rFonts w:ascii="Century" w:hAnsi="Century" w:cs="FrankRuehl" w:hint="cs"/>
          <w:spacing w:val="10"/>
          <w:szCs w:val="28"/>
          <w:rtl/>
        </w:rPr>
        <w:t>.</w:t>
      </w:r>
      <w:r w:rsidRPr="00CA5963">
        <w:rPr>
          <w:rFonts w:ascii="Century" w:hAnsi="Century" w:cs="FrankRuehl"/>
          <w:spacing w:val="10"/>
          <w:szCs w:val="28"/>
          <w:rtl/>
        </w:rPr>
        <w:t xml:space="preserve"> </w:t>
      </w:r>
    </w:p>
    <w:p w:rsidR="00244560" w:rsidRPr="00CA5963" w:rsidRDefault="00244560" w:rsidP="00244560">
      <w:pPr>
        <w:keepNext/>
        <w:tabs>
          <w:tab w:val="left" w:pos="800"/>
        </w:tabs>
        <w:spacing w:line="360" w:lineRule="auto"/>
        <w:jc w:val="both"/>
        <w:rPr>
          <w:rFonts w:ascii="Century" w:hAnsi="Century" w:cs="FrankRuehl"/>
          <w:spacing w:val="10"/>
          <w:szCs w:val="28"/>
          <w:highlight w:val="cyan"/>
          <w:rtl/>
        </w:rPr>
      </w:pPr>
    </w:p>
    <w:p w:rsidR="00244560" w:rsidRPr="00CA5963" w:rsidRDefault="00244560" w:rsidP="00244560">
      <w:pPr>
        <w:keepNext/>
        <w:tabs>
          <w:tab w:val="left" w:pos="800"/>
        </w:tabs>
        <w:spacing w:line="360" w:lineRule="auto"/>
        <w:jc w:val="both"/>
        <w:rPr>
          <w:rFonts w:ascii="Century" w:hAnsi="Century" w:cs="FrankRuehl"/>
          <w:spacing w:val="10"/>
          <w:sz w:val="22"/>
          <w:szCs w:val="28"/>
          <w:rtl/>
        </w:rPr>
      </w:pPr>
      <w:r w:rsidRPr="00CA5963">
        <w:rPr>
          <w:rFonts w:ascii="Century" w:hAnsi="Century" w:cs="FrankRuehl"/>
          <w:spacing w:val="10"/>
          <w:szCs w:val="28"/>
          <w:rtl/>
        </w:rPr>
        <w:tab/>
      </w:r>
      <w:r w:rsidRPr="00CA5963">
        <w:rPr>
          <w:rFonts w:ascii="Century" w:hAnsi="Century" w:cs="FrankRuehl" w:hint="cs"/>
          <w:spacing w:val="10"/>
          <w:szCs w:val="28"/>
          <w:rtl/>
        </w:rPr>
        <w:t xml:space="preserve">חברי הפליא בסקירתו ההיסטורית והוא ניצב בפסק דינו על כתפי ענקים בשרשרת הדורות של בית משפט זה. אלא שהמשפט אינו קופא על שמריו ואינו פועל ב'ואקום', אלא מגיב למציאות המשתנה. מה היו אותם ענקי משפט אומרים כיום? </w:t>
      </w:r>
      <w:r w:rsidRPr="00CA5963">
        <w:rPr>
          <w:rFonts w:ascii="Century" w:hAnsi="Century" w:cs="FrankRuehl" w:hint="cs"/>
          <w:spacing w:val="10"/>
          <w:sz w:val="22"/>
          <w:szCs w:val="28"/>
          <w:rtl/>
        </w:rPr>
        <w:t xml:space="preserve">מי יגלה עפר מעיני ענקי המשפט של פעם, שלא נאלצו לעמוד בניסיון שבו אנו עומדים. </w:t>
      </w:r>
    </w:p>
    <w:p w:rsidR="00244560" w:rsidRPr="00632224" w:rsidRDefault="00244560" w:rsidP="009B0AFF">
      <w:pPr>
        <w:tabs>
          <w:tab w:val="left" w:pos="800"/>
        </w:tabs>
        <w:spacing w:line="276" w:lineRule="auto"/>
        <w:jc w:val="both"/>
        <w:rPr>
          <w:rFonts w:ascii="Cambria" w:hAnsi="Cambria" w:cs="Miriam"/>
          <w:sz w:val="32"/>
          <w:rtl/>
        </w:rPr>
      </w:pPr>
    </w:p>
    <w:p w:rsidR="000B7D4B" w:rsidRDefault="00244560" w:rsidP="000B7D4B">
      <w:pPr>
        <w:keepNext/>
        <w:keepLines/>
        <w:spacing w:line="360" w:lineRule="auto"/>
        <w:outlineLvl w:val="0"/>
        <w:rPr>
          <w:rFonts w:ascii="Century" w:hAnsi="Century" w:cs="FrankRuehl"/>
          <w:spacing w:val="10"/>
          <w:szCs w:val="28"/>
          <w:rtl/>
        </w:rPr>
      </w:pPr>
      <w:r w:rsidRPr="00632224">
        <w:rPr>
          <w:rFonts w:ascii="Cambria" w:hAnsi="Cambria" w:cs="Miriam" w:hint="cs"/>
          <w:sz w:val="32"/>
          <w:rtl/>
        </w:rPr>
        <w:t>לפני סיום</w:t>
      </w:r>
      <w:r w:rsidRPr="00632224">
        <w:rPr>
          <w:rFonts w:ascii="Cambria" w:hAnsi="Cambria" w:cs="Miriam"/>
          <w:sz w:val="32"/>
          <w:rtl/>
        </w:rPr>
        <w:t xml:space="preserve"> </w:t>
      </w:r>
    </w:p>
    <w:p w:rsidR="000B7D4B" w:rsidRPr="009B0AFF" w:rsidRDefault="000B7D4B" w:rsidP="009B0AFF">
      <w:pPr>
        <w:tabs>
          <w:tab w:val="left" w:pos="800"/>
        </w:tabs>
        <w:spacing w:line="276" w:lineRule="auto"/>
        <w:jc w:val="both"/>
        <w:rPr>
          <w:rFonts w:ascii="Arial TUR" w:hAnsi="Arial TUR" w:cs="FrankRuehl"/>
          <w:spacing w:val="10"/>
          <w:szCs w:val="28"/>
          <w:rtl/>
        </w:rPr>
      </w:pPr>
    </w:p>
    <w:p w:rsidR="00E02B95" w:rsidRPr="00632224" w:rsidRDefault="00E02B95" w:rsidP="00E02B95">
      <w:pPr>
        <w:tabs>
          <w:tab w:val="left" w:pos="800"/>
        </w:tabs>
        <w:spacing w:line="360" w:lineRule="auto"/>
        <w:jc w:val="both"/>
        <w:rPr>
          <w:rFonts w:ascii="Century" w:hAnsi="Century" w:cs="FrankRuehl"/>
          <w:spacing w:val="10"/>
          <w:sz w:val="22"/>
          <w:szCs w:val="28"/>
          <w:rtl/>
        </w:rPr>
      </w:pPr>
      <w:r w:rsidRPr="00632224">
        <w:rPr>
          <w:rFonts w:ascii="Arial TUR" w:hAnsi="Arial TUR" w:cs="FrankRuehl" w:hint="cs"/>
          <w:spacing w:val="10"/>
          <w:sz w:val="22"/>
          <w:szCs w:val="28"/>
          <w:rtl/>
        </w:rPr>
        <w:t>12</w:t>
      </w:r>
      <w:r>
        <w:rPr>
          <w:rFonts w:ascii="Arial TUR" w:hAnsi="Arial TUR" w:cs="FrankRuehl" w:hint="cs"/>
          <w:spacing w:val="10"/>
          <w:sz w:val="22"/>
          <w:szCs w:val="28"/>
          <w:rtl/>
        </w:rPr>
        <w:t>9</w:t>
      </w:r>
      <w:r w:rsidRPr="00632224">
        <w:rPr>
          <w:rFonts w:ascii="Arial TUR" w:hAnsi="Arial TUR" w:cs="FrankRuehl" w:hint="cs"/>
          <w:spacing w:val="10"/>
          <w:sz w:val="22"/>
          <w:szCs w:val="28"/>
          <w:rtl/>
        </w:rPr>
        <w:t>.</w:t>
      </w:r>
      <w:r w:rsidRPr="00632224">
        <w:rPr>
          <w:rFonts w:ascii="Arial TUR" w:hAnsi="Arial TUR" w:cs="FrankRuehl" w:hint="cs"/>
          <w:spacing w:val="10"/>
          <w:sz w:val="22"/>
          <w:szCs w:val="28"/>
          <w:rtl/>
        </w:rPr>
        <w:tab/>
        <w:t xml:space="preserve">פסק דיננו ניתן בשל צעד שננקט לראשונה בתולדות המדינה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שלילת סמכות </w:t>
      </w:r>
      <w:r w:rsidRPr="00632224">
        <w:rPr>
          <w:rFonts w:ascii="Century" w:hAnsi="Century" w:cs="FrankRuehl" w:hint="cs"/>
          <w:spacing w:val="10"/>
          <w:sz w:val="22"/>
          <w:szCs w:val="28"/>
          <w:rtl/>
        </w:rPr>
        <w:t xml:space="preserve">גורפת באופן שלא יתאפשר לבתי המשפט בישראל להושיט סעד אפקטיבי בתחום רגיש וחיוני של ביקורת שיפוטית על הרשות המבצעת. בספרו </w:t>
      </w:r>
      <w:r w:rsidRPr="00632224">
        <w:rPr>
          <w:rFonts w:ascii="Century" w:hAnsi="Century" w:cs="Miriam" w:hint="cs"/>
          <w:b/>
          <w:sz w:val="22"/>
          <w:rtl/>
        </w:rPr>
        <w:t>חוקי היסוד</w:t>
      </w:r>
      <w:r w:rsidRPr="00632224">
        <w:rPr>
          <w:rFonts w:ascii="Century" w:hAnsi="Century" w:cs="FrankRuehl" w:hint="cs"/>
          <w:spacing w:val="10"/>
          <w:sz w:val="22"/>
          <w:szCs w:val="28"/>
          <w:rtl/>
        </w:rPr>
        <w:t xml:space="preserve">, מספר השופט </w:t>
      </w:r>
      <w:r w:rsidRPr="00632224">
        <w:rPr>
          <w:rFonts w:ascii="Century" w:hAnsi="Century" w:cs="Miriam" w:hint="eastAsia"/>
          <w:b/>
          <w:sz w:val="22"/>
          <w:rtl/>
        </w:rPr>
        <w:t>ברק</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 xml:space="preserve">כי כאשר כתב את פסק הדין בעניין </w:t>
      </w:r>
      <w:r w:rsidRPr="00632224">
        <w:rPr>
          <w:rFonts w:ascii="Century" w:hAnsi="Century" w:cs="Miriam" w:hint="cs"/>
          <w:b/>
          <w:sz w:val="22"/>
          <w:rtl/>
        </w:rPr>
        <w:t>בנק המזרחי</w:t>
      </w:r>
      <w:r w:rsidRPr="00632224">
        <w:rPr>
          <w:rFonts w:ascii="Century" w:hAnsi="Century" w:cs="FrankRuehl" w:hint="cs"/>
          <w:spacing w:val="10"/>
          <w:sz w:val="22"/>
          <w:szCs w:val="28"/>
          <w:rtl/>
        </w:rPr>
        <w:t xml:space="preserve"> הוא הרגיש את משק כנפי ההיסטוריה (כרך ד, בעמ' 1716). לא זו הייתה תחושתי בכתיבת פסק דין זה. לכל אורך הכתיבה ליוותה אותי תחושת אכזבה וצער עמוק על כך, שבמקום לעסוק בתפקידו הקלאסי של בית משפט זה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הגנה על זכויות אדם ואזרח, אנו נדרשים להגן על הבסיס עצמו, על העמוד הדמוקרטי של המדינה היהודית והדמוקרטית. על כך יש להצר.</w:t>
      </w:r>
    </w:p>
    <w:p w:rsidR="00E02B95" w:rsidRPr="009B0AFF" w:rsidRDefault="00E02B95" w:rsidP="009B0AFF">
      <w:pPr>
        <w:pStyle w:val="Ruller41"/>
        <w:rPr>
          <w:rtl/>
        </w:rPr>
      </w:pPr>
    </w:p>
    <w:p w:rsidR="00E02B95" w:rsidRPr="006932A1" w:rsidRDefault="00E02B95" w:rsidP="009B0AFF">
      <w:pPr>
        <w:pStyle w:val="Ruller41"/>
        <w:rPr>
          <w:rFonts w:ascii="Century" w:hAnsi="Century"/>
          <w:rtl/>
        </w:rPr>
      </w:pPr>
      <w:r>
        <w:rPr>
          <w:rFonts w:ascii="Century" w:hAnsi="Century"/>
          <w:rtl/>
        </w:rPr>
        <w:tab/>
      </w:r>
      <w:r w:rsidRPr="006932A1">
        <w:rPr>
          <w:rFonts w:ascii="Century" w:hAnsi="Century" w:hint="cs"/>
          <w:rtl/>
        </w:rPr>
        <w:t>ביני לביני נכפתה עלינו מלחמה קשה על מוראותיה ועל מחיריה הכבדים. ליבנו ותפילותינו עם החטופים והלוחמים ומי יתן שישובו כו</w:t>
      </w:r>
      <w:r>
        <w:rPr>
          <w:rFonts w:ascii="Century" w:hAnsi="Century" w:hint="cs"/>
          <w:rtl/>
        </w:rPr>
        <w:t xml:space="preserve">לם לביתם בריאים ושלמים </w:t>
      </w:r>
      <w:r w:rsidRPr="009B0AFF">
        <w:rPr>
          <w:rFonts w:hint="cs"/>
          <w:rtl/>
        </w:rPr>
        <w:t>במהרה</w:t>
      </w:r>
      <w:r>
        <w:rPr>
          <w:rFonts w:ascii="Century" w:hAnsi="Century" w:hint="cs"/>
          <w:rtl/>
        </w:rPr>
        <w:t>.</w:t>
      </w:r>
    </w:p>
    <w:p w:rsidR="00244560" w:rsidRPr="009B0AFF" w:rsidRDefault="00244560" w:rsidP="009B0AFF">
      <w:pPr>
        <w:pStyle w:val="Ruller41"/>
        <w:rPr>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סוף דבר</w:t>
      </w:r>
      <w:bookmarkEnd w:id="36"/>
    </w:p>
    <w:p w:rsidR="00244560" w:rsidRPr="00632224" w:rsidRDefault="00244560" w:rsidP="009B0AFF">
      <w:pPr>
        <w:pStyle w:val="Ruller41"/>
        <w:spacing w:line="276" w:lineRule="auto"/>
        <w:rPr>
          <w:rFonts w:ascii="Century" w:hAnsi="Century"/>
          <w:rtl/>
        </w:rPr>
      </w:pPr>
    </w:p>
    <w:p w:rsidR="00EC32E0" w:rsidRDefault="00244560" w:rsidP="00244560">
      <w:pPr>
        <w:keepNext/>
        <w:tabs>
          <w:tab w:val="left" w:pos="800"/>
        </w:tabs>
        <w:spacing w:line="360" w:lineRule="auto"/>
        <w:jc w:val="both"/>
        <w:rPr>
          <w:rFonts w:ascii="Century" w:hAnsi="Century" w:cs="FrankRuehl"/>
          <w:spacing w:val="10"/>
          <w:sz w:val="22"/>
          <w:szCs w:val="28"/>
          <w:rtl/>
        </w:rPr>
      </w:pPr>
      <w:r>
        <w:rPr>
          <w:rFonts w:ascii="Century" w:hAnsi="Century" w:cs="FrankRuehl" w:hint="cs"/>
          <w:spacing w:val="10"/>
          <w:sz w:val="22"/>
          <w:szCs w:val="28"/>
          <w:rtl/>
        </w:rPr>
        <w:t>130</w:t>
      </w:r>
      <w:r w:rsidRPr="00632224">
        <w:rPr>
          <w:rFonts w:ascii="Century" w:hAnsi="Century" w:cs="FrankRuehl" w:hint="cs"/>
          <w:spacing w:val="10"/>
          <w:sz w:val="22"/>
          <w:szCs w:val="28"/>
          <w:rtl/>
        </w:rPr>
        <w:t>.</w:t>
      </w: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אשר על כן, אני מצטרף לדעתה של הנשיאה לפיה דין התיקון לחוק היסוד בנוסחו הגורף </w:t>
      </w:r>
      <w:r w:rsidRPr="00A33C5E">
        <w:rPr>
          <w:rFonts w:ascii="Century" w:hAnsi="Century" w:cs="FrankRuehl" w:hint="cs"/>
          <w:spacing w:val="10"/>
          <w:sz w:val="22"/>
          <w:szCs w:val="28"/>
          <w:rtl/>
        </w:rPr>
        <w:t>להיפסל</w:t>
      </w:r>
      <w:r w:rsidRPr="00794C22">
        <w:rPr>
          <w:rFonts w:ascii="Century" w:hAnsi="Century" w:cs="FrankRuehl"/>
          <w:spacing w:val="10"/>
          <w:sz w:val="22"/>
          <w:szCs w:val="28"/>
          <w:rtl/>
        </w:rPr>
        <w:t>.</w:t>
      </w:r>
    </w:p>
    <w:p w:rsidR="00763EAB" w:rsidRDefault="00763EAB" w:rsidP="00EC32E0">
      <w:pPr>
        <w:pStyle w:val="Ruller41"/>
        <w:rPr>
          <w:rtl/>
        </w:rPr>
      </w:pPr>
    </w:p>
    <w:p w:rsidR="00E942B3" w:rsidRDefault="00E942B3" w:rsidP="00EC32E0">
      <w:pPr>
        <w:pStyle w:val="Ruller41"/>
        <w:rPr>
          <w:rtl/>
        </w:rPr>
      </w:pPr>
    </w:p>
    <w:tbl>
      <w:tblPr>
        <w:bidiVisual/>
        <w:tblW w:w="8363" w:type="dxa"/>
        <w:tblLook w:val="01E0" w:firstRow="1" w:lastRow="1" w:firstColumn="1" w:lastColumn="1" w:noHBand="0" w:noVBand="0"/>
      </w:tblPr>
      <w:tblGrid>
        <w:gridCol w:w="2786"/>
        <w:gridCol w:w="2787"/>
        <w:gridCol w:w="2790"/>
      </w:tblGrid>
      <w:tr w:rsidR="00EC32E0" w:rsidTr="00DD4ADA">
        <w:tc>
          <w:tcPr>
            <w:tcW w:w="2842" w:type="dxa"/>
            <w:shd w:val="clear" w:color="auto" w:fill="auto"/>
          </w:tcPr>
          <w:p w:rsidR="00EC32E0" w:rsidRDefault="00EC32E0" w:rsidP="00DD4ADA">
            <w:pPr>
              <w:pStyle w:val="Ruller41"/>
              <w:rPr>
                <w:rtl/>
              </w:rPr>
            </w:pPr>
          </w:p>
        </w:tc>
        <w:tc>
          <w:tcPr>
            <w:tcW w:w="2843" w:type="dxa"/>
            <w:shd w:val="clear" w:color="auto" w:fill="auto"/>
          </w:tcPr>
          <w:p w:rsidR="00EC32E0" w:rsidRDefault="00EC32E0" w:rsidP="00DD4ADA">
            <w:pPr>
              <w:pStyle w:val="Ruller41"/>
              <w:jc w:val="center"/>
              <w:rPr>
                <w:rtl/>
              </w:rPr>
            </w:pPr>
          </w:p>
        </w:tc>
        <w:tc>
          <w:tcPr>
            <w:tcW w:w="2843" w:type="dxa"/>
            <w:shd w:val="clear" w:color="auto" w:fill="auto"/>
          </w:tcPr>
          <w:p w:rsidR="00EC32E0" w:rsidRDefault="00EC32E0" w:rsidP="00DD4ADA">
            <w:pPr>
              <w:pStyle w:val="Ruller41"/>
              <w:jc w:val="center"/>
              <w:rPr>
                <w:rtl/>
              </w:rPr>
            </w:pPr>
            <w:r>
              <w:rPr>
                <w:rtl/>
              </w:rPr>
              <w:t>ש ו פ ט</w:t>
            </w:r>
          </w:p>
        </w:tc>
      </w:tr>
    </w:tbl>
    <w:p w:rsidR="0092013A" w:rsidRDefault="0092013A" w:rsidP="00FF17DB">
      <w:pPr>
        <w:pStyle w:val="BODYVERDICT"/>
      </w:pPr>
    </w:p>
    <w:p w:rsidR="00FF17DB" w:rsidRDefault="00FF17DB" w:rsidP="00FF17DB">
      <w:pPr>
        <w:pStyle w:val="BODYVERDICT"/>
        <w:outlineLvl w:val="0"/>
        <w:rPr>
          <w:rFonts w:cs="Miriam"/>
          <w:sz w:val="24"/>
          <w:szCs w:val="24"/>
          <w:u w:val="single"/>
          <w:rtl/>
        </w:rPr>
      </w:pPr>
      <w:r w:rsidRPr="00462789">
        <w:rPr>
          <w:rFonts w:cs="Miriam" w:hint="cs"/>
          <w:sz w:val="24"/>
          <w:szCs w:val="24"/>
          <w:u w:val="single"/>
          <w:rtl/>
        </w:rPr>
        <w:t>השופטת ג' כנפי-שטייניץ</w:t>
      </w:r>
      <w:r w:rsidRPr="00462789">
        <w:rPr>
          <w:rFonts w:cs="Miriam"/>
          <w:sz w:val="24"/>
          <w:szCs w:val="24"/>
          <w:rtl/>
        </w:rPr>
        <w:t>:</w:t>
      </w:r>
    </w:p>
    <w:p w:rsidR="00BB56BB" w:rsidRPr="007C3B90" w:rsidRDefault="00BB56BB" w:rsidP="00BB56BB">
      <w:pPr>
        <w:pStyle w:val="Ruller41"/>
      </w:pPr>
    </w:p>
    <w:p w:rsidR="00BB56BB" w:rsidRPr="007C3B90" w:rsidRDefault="00BB56BB" w:rsidP="00BB56BB">
      <w:pPr>
        <w:pStyle w:val="Ruller4"/>
        <w:numPr>
          <w:ilvl w:val="0"/>
          <w:numId w:val="0"/>
        </w:numPr>
        <w:rPr>
          <w:rtl/>
        </w:rPr>
      </w:pPr>
      <w:r w:rsidRPr="007C3B90">
        <w:rPr>
          <w:rtl/>
        </w:rPr>
        <w:tab/>
      </w:r>
      <w:r w:rsidRPr="007C3B90">
        <w:rPr>
          <w:rFonts w:hint="cs"/>
          <w:rtl/>
        </w:rPr>
        <w:t xml:space="preserve">אין בידי להצטרף למסקנה שלפיה יש להכריז על בטלותו של חוק-יסוד: השפיטה (תיקון מס' 3) (להלן: </w:t>
      </w:r>
      <w:r w:rsidRPr="007C3B90">
        <w:rPr>
          <w:rFonts w:ascii="Century" w:hAnsi="Century" w:cs="Miriam" w:hint="cs"/>
          <w:b/>
          <w:spacing w:val="0"/>
          <w:szCs w:val="24"/>
          <w:rtl/>
        </w:rPr>
        <w:t>התיקון</w:t>
      </w:r>
      <w:r w:rsidRPr="007C3B90">
        <w:rPr>
          <w:rFonts w:hint="cs"/>
          <w:rtl/>
        </w:rPr>
        <w:t xml:space="preserve">), ולטעמי דין העתירות כולן להידחות. אף שאני </w:t>
      </w:r>
      <w:r w:rsidRPr="007C3B90">
        <w:rPr>
          <w:rFonts w:hint="cs"/>
          <w:rtl/>
        </w:rPr>
        <w:lastRenderedPageBreak/>
        <w:t xml:space="preserve">מסכימה עקרונית לעמדת חברתי הנשיאה </w:t>
      </w:r>
      <w:r w:rsidRPr="007C3B90">
        <w:rPr>
          <w:rFonts w:ascii="Century" w:hAnsi="Century" w:cs="Miriam" w:hint="eastAsia"/>
          <w:b/>
          <w:spacing w:val="0"/>
          <w:szCs w:val="24"/>
          <w:rtl/>
        </w:rPr>
        <w:t>א</w:t>
      </w:r>
      <w:r w:rsidRPr="007C3B90">
        <w:rPr>
          <w:rFonts w:ascii="Century" w:hAnsi="Century" w:cs="Miriam"/>
          <w:b/>
          <w:spacing w:val="0"/>
          <w:szCs w:val="24"/>
          <w:rtl/>
        </w:rPr>
        <w:t xml:space="preserve">' </w:t>
      </w:r>
      <w:r w:rsidRPr="007C3B90">
        <w:rPr>
          <w:rFonts w:ascii="Century" w:hAnsi="Century" w:cs="Miriam" w:hint="eastAsia"/>
          <w:b/>
          <w:spacing w:val="0"/>
          <w:szCs w:val="24"/>
          <w:rtl/>
        </w:rPr>
        <w:t>חיות</w:t>
      </w:r>
      <w:r w:rsidRPr="007C3B90">
        <w:rPr>
          <w:rFonts w:hint="cs"/>
          <w:rtl/>
        </w:rPr>
        <w:t xml:space="preserve"> כי נתונה לבית משפט זה סמכות לקיים ביקורת שיפוטית על חקיקת יסוד </w:t>
      </w:r>
      <w:r w:rsidRPr="007C3B90">
        <w:rPr>
          <w:rtl/>
        </w:rPr>
        <w:t>–</w:t>
      </w:r>
      <w:r w:rsidRPr="007C3B90">
        <w:rPr>
          <w:rFonts w:hint="cs"/>
          <w:rtl/>
        </w:rPr>
        <w:t xml:space="preserve"> בחינתו של התיקון, על פי פרשנותו הראויה, מובילה לטעמי למסקנה כי זה אינו עומד באמות המידה הצרות ביותר המצדיקות פסילתו של חוק</w:t>
      </w:r>
      <w:r>
        <w:rPr>
          <w:rFonts w:hint="cs"/>
          <w:rtl/>
        </w:rPr>
        <w:t xml:space="preserve"> </w:t>
      </w:r>
      <w:r w:rsidRPr="007C3B90">
        <w:rPr>
          <w:rFonts w:hint="cs"/>
          <w:rtl/>
        </w:rPr>
        <w:t xml:space="preserve">יסוד, אף לא בקירוב. </w:t>
      </w:r>
    </w:p>
    <w:p w:rsidR="00BB56BB" w:rsidRPr="007C3B90" w:rsidRDefault="00BB56BB" w:rsidP="00BB56BB">
      <w:pPr>
        <w:pStyle w:val="Ruller4"/>
        <w:numPr>
          <w:ilvl w:val="0"/>
          <w:numId w:val="0"/>
        </w:numPr>
        <w:rPr>
          <w:rtl/>
        </w:rPr>
      </w:pPr>
    </w:p>
    <w:p w:rsidR="00BB56BB" w:rsidRPr="007C3B90" w:rsidRDefault="00BB56BB" w:rsidP="00BB56BB">
      <w:pPr>
        <w:pStyle w:val="Ruller4"/>
        <w:numPr>
          <w:ilvl w:val="0"/>
          <w:numId w:val="0"/>
        </w:numPr>
        <w:rPr>
          <w:rtl/>
        </w:rPr>
      </w:pPr>
      <w:r w:rsidRPr="007C3B90">
        <w:rPr>
          <w:rtl/>
        </w:rPr>
        <w:tab/>
      </w:r>
      <w:r w:rsidRPr="007C3B90">
        <w:rPr>
          <w:rFonts w:hint="cs"/>
          <w:rtl/>
        </w:rPr>
        <w:t>אציג אפוא את עמדתי בסוגיות המרכזיות שבמוקד הדיון שלפנינו. סדר הדיון יהיה כדלקמן: אפתח בדיון במקור הסמכות לקיים ביקורת שיפוטית על חקיקת יסוד ובאמות המידה החלות בעניין זה; לאחר מכן אעמוד בקצרה על מושכלות יסוד בכל הנוגע לתמורה שעברה עילת הסבירות העומדת במוקד התיקון; בהמשך לכך אדרש לאופן שבו יש, לדעתי, לפרש את התיקון; ולבסוף, אבחן את תוקפו של התיקון.</w:t>
      </w:r>
    </w:p>
    <w:p w:rsidR="00BB56BB" w:rsidRPr="007C3B90" w:rsidRDefault="00BB56BB" w:rsidP="00BB56BB">
      <w:pPr>
        <w:pStyle w:val="Ruller4"/>
        <w:numPr>
          <w:ilvl w:val="0"/>
          <w:numId w:val="0"/>
        </w:numPr>
        <w:rPr>
          <w:rtl/>
        </w:rPr>
      </w:pPr>
    </w:p>
    <w:p w:rsidR="00BB56BB" w:rsidRPr="007C3B90" w:rsidRDefault="00BB56BB" w:rsidP="00715D85">
      <w:pPr>
        <w:pStyle w:val="Ruller4"/>
        <w:numPr>
          <w:ilvl w:val="0"/>
          <w:numId w:val="0"/>
        </w:numPr>
        <w:spacing w:line="276" w:lineRule="auto"/>
        <w:rPr>
          <w:rtl/>
        </w:rPr>
      </w:pPr>
      <w:r w:rsidRPr="007C3B90">
        <w:rPr>
          <w:rFonts w:ascii="Century" w:hAnsi="Century" w:cs="Miriam" w:hint="cs"/>
          <w:b/>
          <w:spacing w:val="0"/>
          <w:szCs w:val="24"/>
          <w:rtl/>
        </w:rPr>
        <w:t>ביקורת על חוקי יסוד</w:t>
      </w:r>
      <w:r w:rsidRPr="007C3B90">
        <w:rPr>
          <w:rFonts w:ascii="Century" w:hAnsi="Century" w:cs="Miriam"/>
          <w:b/>
          <w:spacing w:val="0"/>
          <w:szCs w:val="24"/>
          <w:rtl/>
        </w:rPr>
        <w:br/>
      </w:r>
      <w:r w:rsidRPr="007C3B90">
        <w:rPr>
          <w:rtl/>
        </w:rPr>
        <w:tab/>
      </w:r>
    </w:p>
    <w:p w:rsidR="00BB56BB" w:rsidRPr="007C3B90" w:rsidRDefault="00BB56BB" w:rsidP="00996F19">
      <w:pPr>
        <w:pStyle w:val="Ruller4"/>
        <w:numPr>
          <w:ilvl w:val="0"/>
          <w:numId w:val="40"/>
        </w:numPr>
        <w:rPr>
          <w:rtl/>
        </w:rPr>
      </w:pPr>
      <w:r w:rsidRPr="007C3B90">
        <w:rPr>
          <w:rFonts w:hint="eastAsia"/>
          <w:rtl/>
        </w:rPr>
        <w:t>ההכרה</w:t>
      </w:r>
      <w:r w:rsidRPr="007C3B90">
        <w:rPr>
          <w:rtl/>
        </w:rPr>
        <w:t xml:space="preserve"> </w:t>
      </w:r>
      <w:r w:rsidRPr="007C3B90">
        <w:rPr>
          <w:rFonts w:hint="eastAsia"/>
          <w:rtl/>
        </w:rPr>
        <w:t>בקיומם</w:t>
      </w:r>
      <w:r w:rsidRPr="007C3B90">
        <w:rPr>
          <w:rtl/>
        </w:rPr>
        <w:t xml:space="preserve"> </w:t>
      </w:r>
      <w:r w:rsidRPr="007C3B90">
        <w:rPr>
          <w:rFonts w:hint="eastAsia"/>
          <w:rtl/>
        </w:rPr>
        <w:t>של</w:t>
      </w:r>
      <w:r w:rsidRPr="007C3B90">
        <w:rPr>
          <w:rtl/>
        </w:rPr>
        <w:t xml:space="preserve"> </w:t>
      </w:r>
      <w:r w:rsidRPr="007C3B90">
        <w:rPr>
          <w:rFonts w:hint="eastAsia"/>
          <w:rtl/>
        </w:rPr>
        <w:t>עקרונות</w:t>
      </w:r>
      <w:r w:rsidRPr="007C3B90">
        <w:rPr>
          <w:rtl/>
        </w:rPr>
        <w:t xml:space="preserve"> </w:t>
      </w:r>
      <w:r w:rsidRPr="007C3B90">
        <w:rPr>
          <w:rFonts w:hint="eastAsia"/>
          <w:rtl/>
        </w:rPr>
        <w:t>יסוד</w:t>
      </w:r>
      <w:r w:rsidRPr="007C3B90">
        <w:rPr>
          <w:rtl/>
        </w:rPr>
        <w:t xml:space="preserve"> </w:t>
      </w:r>
      <w:r w:rsidRPr="007C3B90">
        <w:rPr>
          <w:rFonts w:hint="eastAsia"/>
          <w:rtl/>
        </w:rPr>
        <w:t>העומדים</w:t>
      </w:r>
      <w:r w:rsidRPr="007C3B90">
        <w:rPr>
          <w:rtl/>
        </w:rPr>
        <w:t xml:space="preserve"> </w:t>
      </w:r>
      <w:r w:rsidRPr="007C3B90">
        <w:rPr>
          <w:rFonts w:hint="eastAsia"/>
          <w:rtl/>
        </w:rPr>
        <w:t>בבסיס</w:t>
      </w:r>
      <w:r w:rsidRPr="007C3B90">
        <w:rPr>
          <w:rtl/>
        </w:rPr>
        <w:t xml:space="preserve"> </w:t>
      </w:r>
      <w:r w:rsidRPr="007C3B90">
        <w:rPr>
          <w:rFonts w:hint="eastAsia"/>
          <w:rtl/>
        </w:rPr>
        <w:t>קיומה</w:t>
      </w:r>
      <w:r w:rsidRPr="007C3B90">
        <w:rPr>
          <w:rtl/>
        </w:rPr>
        <w:t xml:space="preserve"> </w:t>
      </w:r>
      <w:r w:rsidRPr="007C3B90">
        <w:rPr>
          <w:rFonts w:hint="eastAsia"/>
          <w:rtl/>
        </w:rPr>
        <w:t>של</w:t>
      </w:r>
      <w:r w:rsidRPr="007C3B90">
        <w:rPr>
          <w:rtl/>
        </w:rPr>
        <w:t xml:space="preserve"> </w:t>
      </w:r>
      <w:r w:rsidRPr="007C3B90">
        <w:rPr>
          <w:rFonts w:hint="eastAsia"/>
          <w:rtl/>
        </w:rPr>
        <w:t>מדינת</w:t>
      </w:r>
      <w:r w:rsidRPr="007C3B90">
        <w:rPr>
          <w:rtl/>
        </w:rPr>
        <w:t xml:space="preserve"> </w:t>
      </w:r>
      <w:r w:rsidRPr="007C3B90">
        <w:rPr>
          <w:rFonts w:hint="eastAsia"/>
          <w:rtl/>
        </w:rPr>
        <w:t>ישראל</w:t>
      </w:r>
      <w:r w:rsidRPr="007C3B90">
        <w:rPr>
          <w:rtl/>
        </w:rPr>
        <w:t xml:space="preserve"> – </w:t>
      </w:r>
      <w:r w:rsidRPr="007C3B90">
        <w:rPr>
          <w:rFonts w:hint="eastAsia"/>
          <w:rtl/>
        </w:rPr>
        <w:t>היותה</w:t>
      </w:r>
      <w:r w:rsidRPr="007C3B90">
        <w:rPr>
          <w:rtl/>
        </w:rPr>
        <w:t xml:space="preserve"> </w:t>
      </w:r>
      <w:r w:rsidRPr="007C3B90">
        <w:rPr>
          <w:rFonts w:hint="eastAsia"/>
          <w:rtl/>
        </w:rPr>
        <w:t>מדינה</w:t>
      </w:r>
      <w:r w:rsidRPr="007C3B90">
        <w:rPr>
          <w:rtl/>
        </w:rPr>
        <w:t xml:space="preserve"> </w:t>
      </w:r>
      <w:r w:rsidRPr="007C3B90">
        <w:rPr>
          <w:rFonts w:hint="eastAsia"/>
          <w:rtl/>
        </w:rPr>
        <w:t>יהודית</w:t>
      </w:r>
      <w:r w:rsidRPr="007C3B90">
        <w:rPr>
          <w:rtl/>
        </w:rPr>
        <w:t xml:space="preserve"> </w:t>
      </w:r>
      <w:r w:rsidRPr="007C3B90">
        <w:rPr>
          <w:rFonts w:hint="eastAsia"/>
          <w:rtl/>
        </w:rPr>
        <w:t>ודמוקרטית</w:t>
      </w:r>
      <w:r w:rsidRPr="007C3B90">
        <w:rPr>
          <w:rtl/>
        </w:rPr>
        <w:t xml:space="preserve"> – </w:t>
      </w:r>
      <w:r w:rsidRPr="007C3B90">
        <w:rPr>
          <w:rFonts w:hint="eastAsia"/>
          <w:rtl/>
        </w:rPr>
        <w:t>וככאלה</w:t>
      </w:r>
      <w:r w:rsidRPr="007C3B90">
        <w:rPr>
          <w:rtl/>
        </w:rPr>
        <w:t xml:space="preserve"> </w:t>
      </w:r>
      <w:r w:rsidRPr="007C3B90">
        <w:rPr>
          <w:rFonts w:hint="eastAsia"/>
          <w:rtl/>
        </w:rPr>
        <w:t>עומדים</w:t>
      </w:r>
      <w:r w:rsidRPr="007C3B90">
        <w:rPr>
          <w:rtl/>
        </w:rPr>
        <w:t xml:space="preserve"> </w:t>
      </w:r>
      <w:r w:rsidRPr="007C3B90">
        <w:rPr>
          <w:rFonts w:hint="eastAsia"/>
          <w:rtl/>
        </w:rPr>
        <w:t>גם</w:t>
      </w:r>
      <w:r w:rsidRPr="007C3B90">
        <w:rPr>
          <w:rtl/>
        </w:rPr>
        <w:t xml:space="preserve"> </w:t>
      </w:r>
      <w:r w:rsidRPr="007C3B90">
        <w:rPr>
          <w:rFonts w:hint="eastAsia"/>
          <w:rtl/>
        </w:rPr>
        <w:t>בבסיס</w:t>
      </w:r>
      <w:r w:rsidRPr="007C3B90">
        <w:rPr>
          <w:rtl/>
        </w:rPr>
        <w:t xml:space="preserve"> </w:t>
      </w:r>
      <w:r w:rsidRPr="007C3B90">
        <w:rPr>
          <w:rFonts w:hint="eastAsia"/>
          <w:rtl/>
        </w:rPr>
        <w:t>שיטתה</w:t>
      </w:r>
      <w:r w:rsidRPr="007C3B90">
        <w:rPr>
          <w:rtl/>
        </w:rPr>
        <w:t xml:space="preserve"> </w:t>
      </w:r>
      <w:r w:rsidRPr="007C3B90">
        <w:rPr>
          <w:rFonts w:hint="eastAsia"/>
          <w:rtl/>
        </w:rPr>
        <w:t>המשפטית</w:t>
      </w:r>
      <w:r w:rsidRPr="007C3B90">
        <w:rPr>
          <w:rtl/>
        </w:rPr>
        <w:t xml:space="preserve">, </w:t>
      </w:r>
      <w:r w:rsidRPr="007C3B90">
        <w:rPr>
          <w:rFonts w:hint="eastAsia"/>
          <w:rtl/>
        </w:rPr>
        <w:t>מצויה</w:t>
      </w:r>
      <w:r w:rsidRPr="007C3B90">
        <w:rPr>
          <w:rtl/>
        </w:rPr>
        <w:t xml:space="preserve"> </w:t>
      </w:r>
      <w:r w:rsidRPr="007C3B90">
        <w:rPr>
          <w:rFonts w:hint="eastAsia"/>
          <w:rtl/>
        </w:rPr>
        <w:t>עמנו</w:t>
      </w:r>
      <w:r w:rsidRPr="007C3B90">
        <w:rPr>
          <w:rtl/>
        </w:rPr>
        <w:t xml:space="preserve"> </w:t>
      </w:r>
      <w:r w:rsidRPr="007C3B90">
        <w:rPr>
          <w:rFonts w:hint="eastAsia"/>
          <w:rtl/>
        </w:rPr>
        <w:t>מראשית</w:t>
      </w:r>
      <w:r w:rsidRPr="007C3B90">
        <w:rPr>
          <w:rtl/>
        </w:rPr>
        <w:t xml:space="preserve"> </w:t>
      </w:r>
      <w:r w:rsidRPr="007C3B90">
        <w:rPr>
          <w:rFonts w:hint="eastAsia"/>
          <w:rtl/>
        </w:rPr>
        <w:t>ימי</w:t>
      </w:r>
      <w:r w:rsidRPr="007C3B90">
        <w:rPr>
          <w:rtl/>
        </w:rPr>
        <w:t xml:space="preserve"> </w:t>
      </w:r>
      <w:r w:rsidRPr="007C3B90">
        <w:rPr>
          <w:rFonts w:hint="eastAsia"/>
          <w:rtl/>
        </w:rPr>
        <w:t>המדינה</w:t>
      </w:r>
      <w:r w:rsidRPr="007C3B90">
        <w:rPr>
          <w:rFonts w:hint="cs"/>
          <w:rtl/>
        </w:rPr>
        <w:t xml:space="preserve">. בפסק הדין שניתן בפרשת </w:t>
      </w:r>
      <w:r w:rsidRPr="00996F19">
        <w:rPr>
          <w:rFonts w:ascii="Century" w:hAnsi="Century" w:cs="Miriam" w:hint="cs"/>
          <w:b/>
          <w:spacing w:val="0"/>
          <w:sz w:val="22"/>
          <w:szCs w:val="24"/>
          <w:rtl/>
        </w:rPr>
        <w:t>ירדור</w:t>
      </w:r>
      <w:r w:rsidRPr="007C3B90">
        <w:rPr>
          <w:rtl/>
        </w:rPr>
        <w:t xml:space="preserve">, </w:t>
      </w:r>
      <w:r w:rsidRPr="007C3B90">
        <w:rPr>
          <w:rFonts w:hint="eastAsia"/>
          <w:rtl/>
        </w:rPr>
        <w:t>כבר</w:t>
      </w:r>
      <w:r w:rsidRPr="007C3B90">
        <w:rPr>
          <w:rtl/>
        </w:rPr>
        <w:t xml:space="preserve"> </w:t>
      </w:r>
      <w:r w:rsidRPr="007C3B90">
        <w:rPr>
          <w:rFonts w:hint="eastAsia"/>
          <w:rtl/>
        </w:rPr>
        <w:t>בשנות</w:t>
      </w:r>
      <w:r w:rsidRPr="007C3B90">
        <w:rPr>
          <w:rtl/>
        </w:rPr>
        <w:t xml:space="preserve"> </w:t>
      </w:r>
      <w:r w:rsidRPr="007C3B90">
        <w:rPr>
          <w:rFonts w:hint="eastAsia"/>
          <w:rtl/>
        </w:rPr>
        <w:t>השישים</w:t>
      </w:r>
      <w:r w:rsidRPr="007C3B90">
        <w:rPr>
          <w:rtl/>
        </w:rPr>
        <w:t xml:space="preserve"> </w:t>
      </w:r>
      <w:r w:rsidRPr="007C3B90">
        <w:rPr>
          <w:rFonts w:hint="eastAsia"/>
          <w:rtl/>
        </w:rPr>
        <w:t>של</w:t>
      </w:r>
      <w:r w:rsidRPr="007C3B90">
        <w:rPr>
          <w:rtl/>
        </w:rPr>
        <w:t xml:space="preserve"> </w:t>
      </w:r>
      <w:r w:rsidRPr="007C3B90">
        <w:rPr>
          <w:rFonts w:hint="eastAsia"/>
          <w:rtl/>
        </w:rPr>
        <w:t>המאה</w:t>
      </w:r>
      <w:r w:rsidRPr="007C3B90">
        <w:rPr>
          <w:rtl/>
        </w:rPr>
        <w:t xml:space="preserve"> </w:t>
      </w:r>
      <w:r w:rsidRPr="007C3B90">
        <w:rPr>
          <w:rFonts w:hint="eastAsia"/>
          <w:rtl/>
        </w:rPr>
        <w:t>הקודמת</w:t>
      </w:r>
      <w:r w:rsidRPr="007C3B90">
        <w:rPr>
          <w:rtl/>
        </w:rPr>
        <w:t xml:space="preserve">, </w:t>
      </w:r>
      <w:r w:rsidRPr="007C3B90">
        <w:rPr>
          <w:rFonts w:hint="eastAsia"/>
          <w:rtl/>
        </w:rPr>
        <w:t>אישר</w:t>
      </w:r>
      <w:r w:rsidRPr="007C3B90">
        <w:rPr>
          <w:rtl/>
        </w:rPr>
        <w:t xml:space="preserve"> </w:t>
      </w:r>
      <w:r w:rsidRPr="007C3B90">
        <w:rPr>
          <w:rFonts w:hint="eastAsia"/>
          <w:rtl/>
        </w:rPr>
        <w:t>בית</w:t>
      </w:r>
      <w:r w:rsidRPr="007C3B90">
        <w:rPr>
          <w:rtl/>
        </w:rPr>
        <w:t xml:space="preserve"> </w:t>
      </w:r>
      <w:r w:rsidRPr="007C3B90">
        <w:rPr>
          <w:rFonts w:hint="eastAsia"/>
          <w:rtl/>
        </w:rPr>
        <w:t>המשפט</w:t>
      </w:r>
      <w:r w:rsidRPr="007C3B90">
        <w:rPr>
          <w:rtl/>
        </w:rPr>
        <w:t>,</w:t>
      </w:r>
      <w:r w:rsidRPr="007C3B90">
        <w:rPr>
          <w:rFonts w:hint="cs"/>
          <w:rtl/>
        </w:rPr>
        <w:t xml:space="preserve"> עוד בטרם עוגן הדבר בהוראת חוק, את פסילתה של רשימת מועמדים מהתמודדות לבחירות לכנסת, לאחר שנמצא כי מטרותיה שוללות את קיומה של המדינה. השופט </w:t>
      </w:r>
      <w:r w:rsidRPr="00996F19">
        <w:rPr>
          <w:rFonts w:ascii="Century" w:hAnsi="Century" w:cs="Miriam" w:hint="eastAsia"/>
          <w:b/>
          <w:spacing w:val="0"/>
          <w:sz w:val="22"/>
          <w:szCs w:val="24"/>
          <w:rtl/>
        </w:rPr>
        <w:t>י</w:t>
      </w:r>
      <w:r w:rsidRPr="00996F19">
        <w:rPr>
          <w:rFonts w:ascii="Century" w:hAnsi="Century" w:cs="Miriam"/>
          <w:b/>
          <w:spacing w:val="0"/>
          <w:sz w:val="22"/>
          <w:szCs w:val="24"/>
          <w:rtl/>
        </w:rPr>
        <w:t>'</w:t>
      </w:r>
      <w:r w:rsidRPr="007C3B90">
        <w:rPr>
          <w:rFonts w:hint="cs"/>
          <w:rtl/>
        </w:rPr>
        <w:t xml:space="preserve"> </w:t>
      </w:r>
      <w:r w:rsidRPr="00996F19">
        <w:rPr>
          <w:rFonts w:ascii="Century" w:hAnsi="Century" w:cs="Miriam" w:hint="cs"/>
          <w:b/>
          <w:spacing w:val="0"/>
          <w:sz w:val="22"/>
          <w:szCs w:val="24"/>
          <w:rtl/>
        </w:rPr>
        <w:t>זוסמן</w:t>
      </w:r>
      <w:r w:rsidRPr="007C3B90">
        <w:rPr>
          <w:rFonts w:hint="cs"/>
          <w:rtl/>
        </w:rPr>
        <w:t xml:space="preserve"> עמד בפסק דינו על קיומם של עקרונות יסוד על-חוקיים, ואף על-חוקתיים, שהם כה יסודיים עד שיש בהם כדי לכבול את ידי המחוקק עצמו ולמנוע שינוי השיטה "מתוכה". בעמדתו זו ראה השופט זוסמן משום הגשמת העיקרון של "דמוקרטיה מתגוננת" אשר אינו מאפשר לחתור תחת עקרונותיה </w:t>
      </w:r>
      <w:r w:rsidRPr="00996F19">
        <w:rPr>
          <w:rFonts w:ascii="Century" w:hAnsi="Century" w:cs="Miriam" w:hint="cs"/>
          <w:b/>
          <w:spacing w:val="0"/>
          <w:sz w:val="22"/>
          <w:szCs w:val="24"/>
          <w:rtl/>
        </w:rPr>
        <w:t>"במסווה של פעילות פרלמנטרית לגיטימית"</w:t>
      </w:r>
      <w:r w:rsidRPr="007C3B90">
        <w:rPr>
          <w:rFonts w:hint="cs"/>
          <w:rtl/>
        </w:rPr>
        <w:t xml:space="preserve"> (ע"ב 1/65 </w:t>
      </w:r>
      <w:r w:rsidRPr="00996F19">
        <w:rPr>
          <w:rFonts w:ascii="Century" w:hAnsi="Century" w:cs="Miriam" w:hint="cs"/>
          <w:b/>
          <w:spacing w:val="0"/>
          <w:sz w:val="22"/>
          <w:szCs w:val="24"/>
          <w:rtl/>
        </w:rPr>
        <w:t>ירדור נ' יושב-ראש ועדת הבחירות המרכזית לכנסת השישית</w:t>
      </w:r>
      <w:r w:rsidRPr="007C3B90">
        <w:rPr>
          <w:rtl/>
        </w:rPr>
        <w:t>,</w:t>
      </w:r>
      <w:r w:rsidRPr="007C3B90">
        <w:rPr>
          <w:rFonts w:hint="cs"/>
          <w:rtl/>
        </w:rPr>
        <w:t xml:space="preserve"> פ"ד יט(3) 365, 390-389 (196</w:t>
      </w:r>
      <w:r>
        <w:rPr>
          <w:rFonts w:hint="cs"/>
          <w:rtl/>
        </w:rPr>
        <w:t>5</w:t>
      </w:r>
      <w:r w:rsidRPr="007C3B90">
        <w:rPr>
          <w:rFonts w:hint="cs"/>
          <w:rtl/>
        </w:rPr>
        <w:t>); ולהשקפה כי השימוש שנעשה בפסק דין זה בעקרונות היסוד הוא שימוש פרשני, ראו:</w:t>
      </w:r>
      <w:r w:rsidRPr="00996F19">
        <w:rPr>
          <w:rFonts w:ascii="Century" w:hAnsi="Century" w:hint="cs"/>
          <w:rtl/>
        </w:rPr>
        <w:t xml:space="preserve"> אמנון רובינשטיין וברק מדינה "החוקה של מדינת ישראל"</w:t>
      </w:r>
      <w:r w:rsidRPr="007C3B90">
        <w:rPr>
          <w:rFonts w:hint="cs"/>
          <w:rtl/>
        </w:rPr>
        <w:t xml:space="preserve"> </w:t>
      </w:r>
      <w:r w:rsidRPr="00996F19">
        <w:rPr>
          <w:rFonts w:ascii="Century" w:hAnsi="Century" w:cs="Miriam" w:hint="cs"/>
          <w:b/>
          <w:szCs w:val="24"/>
          <w:rtl/>
        </w:rPr>
        <w:t>המשפט</w:t>
      </w:r>
      <w:r w:rsidRPr="007C3B90">
        <w:rPr>
          <w:rFonts w:hint="cs"/>
          <w:rtl/>
        </w:rPr>
        <w:t xml:space="preserve"> ח 291, 352 וכן ה"ש 219 (התשס"ג) (להלן: </w:t>
      </w:r>
      <w:r w:rsidRPr="00996F19">
        <w:rPr>
          <w:rFonts w:ascii="Century" w:hAnsi="Century" w:cs="Miriam" w:hint="cs"/>
          <w:b/>
          <w:spacing w:val="0"/>
          <w:sz w:val="22"/>
          <w:szCs w:val="24"/>
          <w:rtl/>
        </w:rPr>
        <w:t>רובינשטיין ומדינה</w:t>
      </w:r>
      <w:r w:rsidRPr="007C3B90">
        <w:rPr>
          <w:rFonts w:hint="cs"/>
          <w:rtl/>
        </w:rPr>
        <w:t xml:space="preserve">)). </w:t>
      </w:r>
      <w:r w:rsidRPr="007C3B90">
        <w:rPr>
          <w:rtl/>
        </w:rPr>
        <w:br/>
      </w:r>
    </w:p>
    <w:p w:rsidR="00BB56BB" w:rsidRPr="007C3B90" w:rsidRDefault="00BB56BB" w:rsidP="00BB56BB">
      <w:pPr>
        <w:pStyle w:val="Ruller4"/>
        <w:rPr>
          <w:rtl/>
        </w:rPr>
      </w:pPr>
      <w:r w:rsidRPr="007C3B90">
        <w:rPr>
          <w:rFonts w:hint="cs"/>
          <w:rtl/>
        </w:rPr>
        <w:t xml:space="preserve">התפיסה כי אופייה של מדינת ישראל כמדינה יהודית ודמוקרטית מהווה עקרון יסוד העומד גם בבסיס השיטה המשפטית, </w:t>
      </w:r>
      <w:r w:rsidRPr="007C3B90">
        <w:rPr>
          <w:rFonts w:cs="Miriam" w:hint="cs"/>
          <w:b/>
          <w:spacing w:val="0"/>
          <w:szCs w:val="24"/>
          <w:rtl/>
        </w:rPr>
        <w:t>כאמת מידה פרשנית</w:t>
      </w:r>
      <w:r w:rsidRPr="007C3B90">
        <w:rPr>
          <w:rFonts w:hint="cs"/>
          <w:rtl/>
        </w:rPr>
        <w:t>, זכתה להתייחסויות רבות בפסיקת בית המשפט לאורך השנים (רע"א 7504/95</w:t>
      </w:r>
      <w:r w:rsidRPr="007C3B90">
        <w:rPr>
          <w:rFonts w:cs="Miriam" w:hint="cs"/>
          <w:b/>
          <w:spacing w:val="0"/>
          <w:szCs w:val="24"/>
          <w:rtl/>
        </w:rPr>
        <w:t xml:space="preserve"> יאסין נ' רשם המפלגות</w:t>
      </w:r>
      <w:r w:rsidRPr="007C3B90">
        <w:rPr>
          <w:rFonts w:hint="cs"/>
          <w:rtl/>
        </w:rPr>
        <w:t xml:space="preserve">, פ"ד נ(2) 45, בעמ' 62 ו-70 (1996) (להלן: עניין </w:t>
      </w:r>
      <w:r w:rsidRPr="007C3B90">
        <w:rPr>
          <w:rFonts w:ascii="Miriam" w:hAnsi="Miriam" w:cs="Miriam" w:hint="cs"/>
          <w:szCs w:val="24"/>
          <w:rtl/>
        </w:rPr>
        <w:t>יאסין</w:t>
      </w:r>
      <w:r w:rsidRPr="007C3B90">
        <w:rPr>
          <w:rFonts w:hint="cs"/>
          <w:rtl/>
        </w:rPr>
        <w:t xml:space="preserve">); </w:t>
      </w:r>
      <w:r w:rsidRPr="007C3B90">
        <w:rPr>
          <w:rFonts w:ascii="FrankRuehl" w:hAnsi="FrankRuehl" w:hint="cs"/>
          <w:sz w:val="28"/>
          <w:rtl/>
        </w:rPr>
        <w:t xml:space="preserve">א"ב 11280/02 </w:t>
      </w:r>
      <w:r w:rsidRPr="007C3B90">
        <w:rPr>
          <w:rFonts w:cs="Miriam" w:hint="cs"/>
          <w:b/>
          <w:spacing w:val="0"/>
          <w:szCs w:val="24"/>
          <w:rtl/>
        </w:rPr>
        <w:t>ועדת הבחירות המרכזית לכנסת השש עשרה נ' טיבי</w:t>
      </w:r>
      <w:r w:rsidRPr="007C3B90">
        <w:rPr>
          <w:rtl/>
        </w:rPr>
        <w:t>,</w:t>
      </w:r>
      <w:r w:rsidRPr="007C3B90">
        <w:rPr>
          <w:rFonts w:ascii="FrankRuehl" w:hAnsi="FrankRuehl" w:hint="cs"/>
          <w:sz w:val="28"/>
          <w:rtl/>
        </w:rPr>
        <w:t xml:space="preserve"> פ"ד נז(4) 1, בעמ' 14 ו-66 (2003) (להלן: עניין</w:t>
      </w:r>
      <w:r w:rsidRPr="007C3B90">
        <w:rPr>
          <w:rFonts w:ascii="Miriam" w:hAnsi="Miriam" w:cs="Miriam" w:hint="cs"/>
          <w:szCs w:val="24"/>
          <w:rtl/>
        </w:rPr>
        <w:t xml:space="preserve"> טיבי</w:t>
      </w:r>
      <w:r w:rsidRPr="007C3B90">
        <w:rPr>
          <w:rFonts w:ascii="FrankRuehl" w:hAnsi="FrankRuehl" w:hint="cs"/>
          <w:sz w:val="28"/>
          <w:rtl/>
        </w:rPr>
        <w:t>);</w:t>
      </w:r>
      <w:r w:rsidRPr="007C3B90">
        <w:rPr>
          <w:rFonts w:ascii="FrankRuehl" w:hAnsi="FrankRuehl" w:hint="cs"/>
          <w:sz w:val="28"/>
        </w:rPr>
        <w:t xml:space="preserve"> </w:t>
      </w:r>
      <w:r w:rsidRPr="007C3B90">
        <w:rPr>
          <w:rFonts w:ascii="FrankRuehl" w:hAnsi="FrankRuehl" w:hint="cs"/>
          <w:sz w:val="28"/>
          <w:rtl/>
        </w:rPr>
        <w:t xml:space="preserve">א"ב 1095/15 </w:t>
      </w:r>
      <w:r w:rsidRPr="007C3B90">
        <w:rPr>
          <w:rFonts w:cs="Miriam" w:hint="cs"/>
          <w:b/>
          <w:spacing w:val="0"/>
          <w:szCs w:val="24"/>
          <w:rtl/>
        </w:rPr>
        <w:t>ועדת הבחירות המרכזית לכנסת העשרים נ' זועבי</w:t>
      </w:r>
      <w:r w:rsidRPr="007C3B90">
        <w:rPr>
          <w:rFonts w:ascii="FrankRuehl" w:hAnsi="FrankRuehl" w:hint="cs"/>
          <w:sz w:val="28"/>
          <w:rtl/>
        </w:rPr>
        <w:t xml:space="preserve">, פסקאות 7-6 לפסק דינה של </w:t>
      </w:r>
      <w:r w:rsidRPr="007C3B90">
        <w:rPr>
          <w:rFonts w:ascii="FrankRuehl" w:hAnsi="FrankRuehl" w:hint="cs"/>
          <w:sz w:val="28"/>
          <w:rtl/>
        </w:rPr>
        <w:lastRenderedPageBreak/>
        <w:t xml:space="preserve">הנשיאה </w:t>
      </w:r>
      <w:r w:rsidRPr="007C3B90">
        <w:rPr>
          <w:rFonts w:cs="Miriam" w:hint="cs"/>
          <w:b/>
          <w:spacing w:val="0"/>
          <w:szCs w:val="24"/>
          <w:rtl/>
        </w:rPr>
        <w:t>מ' נאור</w:t>
      </w:r>
      <w:r w:rsidRPr="007C3B90">
        <w:rPr>
          <w:rFonts w:ascii="FrankRuehl" w:hAnsi="FrankRuehl" w:hint="cs"/>
          <w:sz w:val="28"/>
          <w:rtl/>
        </w:rPr>
        <w:t xml:space="preserve"> (10.12.2015) (להלן: עניין </w:t>
      </w:r>
      <w:r w:rsidRPr="007C3B90">
        <w:rPr>
          <w:rFonts w:cs="Miriam" w:hint="cs"/>
          <w:b/>
          <w:spacing w:val="0"/>
          <w:szCs w:val="24"/>
          <w:rtl/>
        </w:rPr>
        <w:t>זועבי</w:t>
      </w:r>
      <w:r w:rsidRPr="007C3B90">
        <w:rPr>
          <w:rFonts w:ascii="FrankRuehl" w:hAnsi="FrankRuehl" w:hint="cs"/>
          <w:sz w:val="28"/>
          <w:rtl/>
        </w:rPr>
        <w:t xml:space="preserve">)). לתפיסה זו שמור </w:t>
      </w:r>
      <w:r w:rsidRPr="007C3B90">
        <w:rPr>
          <w:rFonts w:hint="cs"/>
          <w:rtl/>
        </w:rPr>
        <w:t xml:space="preserve">מקום מיוחד בפרשנות דברי חקיקה, לרבות חקיקת יסוד. </w:t>
      </w:r>
      <w:r w:rsidRPr="007C3B90">
        <w:rPr>
          <w:rtl/>
        </w:rPr>
        <w:t xml:space="preserve">ביטוי </w:t>
      </w:r>
      <w:r w:rsidRPr="007C3B90">
        <w:rPr>
          <w:rFonts w:hint="cs"/>
          <w:rtl/>
        </w:rPr>
        <w:t xml:space="preserve">לכך </w:t>
      </w:r>
      <w:r w:rsidRPr="007C3B90">
        <w:rPr>
          <w:rtl/>
        </w:rPr>
        <w:t>ניתן למצוא בתורת הפרשנות התכליתית</w:t>
      </w:r>
      <w:r w:rsidRPr="007C3B90">
        <w:rPr>
          <w:rFonts w:hint="cs"/>
          <w:rtl/>
        </w:rPr>
        <w:t>,</w:t>
      </w:r>
      <w:r w:rsidRPr="007C3B90">
        <w:rPr>
          <w:rtl/>
        </w:rPr>
        <w:t xml:space="preserve"> החולשת על שיטת המשפט הישראלית</w:t>
      </w:r>
      <w:r w:rsidRPr="007C3B90">
        <w:rPr>
          <w:rFonts w:hint="cs"/>
          <w:rtl/>
        </w:rPr>
        <w:t>, בגדרה</w:t>
      </w:r>
      <w:r w:rsidRPr="007C3B90">
        <w:rPr>
          <w:rtl/>
        </w:rPr>
        <w:t xml:space="preserve"> </w:t>
      </w:r>
      <w:r w:rsidRPr="007C3B90">
        <w:rPr>
          <w:rFonts w:hint="cs"/>
          <w:rtl/>
        </w:rPr>
        <w:t xml:space="preserve">נבחנת </w:t>
      </w:r>
      <w:r w:rsidRPr="007C3B90">
        <w:rPr>
          <w:rtl/>
        </w:rPr>
        <w:t>תכלית</w:t>
      </w:r>
      <w:r w:rsidRPr="007C3B90">
        <w:rPr>
          <w:rFonts w:hint="cs"/>
          <w:rtl/>
        </w:rPr>
        <w:t>ו</w:t>
      </w:r>
      <w:r w:rsidRPr="007C3B90">
        <w:rPr>
          <w:rtl/>
        </w:rPr>
        <w:t xml:space="preserve"> האובייקטיבית</w:t>
      </w:r>
      <w:r w:rsidRPr="007C3B90">
        <w:rPr>
          <w:rFonts w:hint="cs"/>
          <w:rtl/>
        </w:rPr>
        <w:t xml:space="preserve"> של החוק</w:t>
      </w:r>
      <w:r w:rsidRPr="007C3B90">
        <w:rPr>
          <w:rtl/>
        </w:rPr>
        <w:t xml:space="preserve">, </w:t>
      </w:r>
      <w:r w:rsidRPr="007C3B90">
        <w:rPr>
          <w:rFonts w:hint="cs"/>
          <w:rtl/>
        </w:rPr>
        <w:t>ובין היתר,</w:t>
      </w:r>
      <w:r w:rsidRPr="007C3B90">
        <w:rPr>
          <w:rtl/>
        </w:rPr>
        <w:t xml:space="preserve"> </w:t>
      </w:r>
      <w:r w:rsidRPr="007C3B90">
        <w:rPr>
          <w:rFonts w:hint="cs"/>
          <w:rtl/>
        </w:rPr>
        <w:t xml:space="preserve">מידת </w:t>
      </w:r>
      <w:r w:rsidRPr="007C3B90">
        <w:rPr>
          <w:rtl/>
        </w:rPr>
        <w:t>השתלבות</w:t>
      </w:r>
      <w:r w:rsidRPr="007C3B90">
        <w:rPr>
          <w:rFonts w:hint="cs"/>
          <w:rtl/>
        </w:rPr>
        <w:t>ו</w:t>
      </w:r>
      <w:r w:rsidRPr="007C3B90">
        <w:rPr>
          <w:rtl/>
        </w:rPr>
        <w:t xml:space="preserve"> עם עקרונות היסוד של השיטה</w:t>
      </w:r>
      <w:r w:rsidRPr="007C3B90">
        <w:rPr>
          <w:rFonts w:hint="cs"/>
          <w:rtl/>
        </w:rPr>
        <w:t xml:space="preserve">. זאת, מתוך הכרה במעמדם המיוחד </w:t>
      </w:r>
      <w:r w:rsidRPr="007C3B90">
        <w:rPr>
          <w:rtl/>
        </w:rPr>
        <w:t xml:space="preserve">של עקרונות </w:t>
      </w:r>
      <w:r w:rsidRPr="007C3B90">
        <w:rPr>
          <w:rFonts w:hint="cs"/>
          <w:rtl/>
        </w:rPr>
        <w:t xml:space="preserve">יסוד אלה </w:t>
      </w:r>
      <w:r w:rsidRPr="007C3B90">
        <w:rPr>
          <w:rtl/>
        </w:rPr>
        <w:t xml:space="preserve">בשיטת המשפט הישראלית (בג"ץ 5119/23 </w:t>
      </w:r>
      <w:r w:rsidRPr="007C3B90">
        <w:rPr>
          <w:rFonts w:ascii="Century" w:hAnsi="Century" w:cs="Miriam"/>
          <w:b/>
          <w:spacing w:val="0"/>
          <w:szCs w:val="24"/>
          <w:rtl/>
        </w:rPr>
        <w:t>התנועה לטוהר המידות נ' הכנסת</w:t>
      </w:r>
      <w:r w:rsidRPr="007C3B90">
        <w:rPr>
          <w:rtl/>
        </w:rPr>
        <w:t xml:space="preserve">, פסקה 44 לפסק דינו של ממלא מקום הנשיא </w:t>
      </w:r>
      <w:r w:rsidRPr="007C3B90">
        <w:rPr>
          <w:rFonts w:ascii="Century" w:hAnsi="Century" w:cs="Miriam"/>
          <w:b/>
          <w:spacing w:val="0"/>
          <w:szCs w:val="24"/>
          <w:rtl/>
        </w:rPr>
        <w:t xml:space="preserve">ע' פוגלמן </w:t>
      </w:r>
      <w:r w:rsidRPr="007C3B90">
        <w:rPr>
          <w:rtl/>
        </w:rPr>
        <w:t>(26.10.2023)</w:t>
      </w:r>
      <w:r w:rsidRPr="007C3B90">
        <w:rPr>
          <w:rFonts w:hint="cs"/>
          <w:rtl/>
        </w:rPr>
        <w:t xml:space="preserve"> (להלן: עניין </w:t>
      </w:r>
      <w:r w:rsidRPr="007C3B90">
        <w:rPr>
          <w:rFonts w:ascii="Century" w:hAnsi="Century" w:cs="Miriam" w:hint="cs"/>
          <w:b/>
          <w:spacing w:val="0"/>
          <w:szCs w:val="24"/>
          <w:rtl/>
        </w:rPr>
        <w:t>התנועה ל</w:t>
      </w:r>
      <w:r w:rsidRPr="007C3B90">
        <w:rPr>
          <w:rFonts w:ascii="Century" w:hAnsi="Century" w:cs="Miriam" w:hint="eastAsia"/>
          <w:b/>
          <w:spacing w:val="0"/>
          <w:szCs w:val="24"/>
          <w:rtl/>
        </w:rPr>
        <w:t>טוהר</w:t>
      </w:r>
      <w:r w:rsidRPr="007C3B90">
        <w:rPr>
          <w:rFonts w:ascii="Century" w:hAnsi="Century" w:cs="Miriam"/>
          <w:b/>
          <w:spacing w:val="0"/>
          <w:szCs w:val="24"/>
          <w:rtl/>
        </w:rPr>
        <w:t xml:space="preserve"> </w:t>
      </w:r>
      <w:r w:rsidRPr="007C3B90">
        <w:rPr>
          <w:rFonts w:ascii="Century" w:hAnsi="Century" w:cs="Miriam" w:hint="eastAsia"/>
          <w:b/>
          <w:spacing w:val="0"/>
          <w:szCs w:val="24"/>
          <w:rtl/>
        </w:rPr>
        <w:t>המידות</w:t>
      </w:r>
      <w:r w:rsidRPr="007C3B90">
        <w:rPr>
          <w:rFonts w:hint="cs"/>
          <w:rtl/>
        </w:rPr>
        <w:t>)</w:t>
      </w:r>
      <w:r w:rsidRPr="007C3B90">
        <w:rPr>
          <w:rtl/>
        </w:rPr>
        <w:t>; בג"ץ 273/10 </w:t>
      </w:r>
      <w:r w:rsidRPr="007C3B90">
        <w:rPr>
          <w:rFonts w:ascii="Century" w:hAnsi="Century" w:cs="Miriam"/>
          <w:b/>
          <w:spacing w:val="0"/>
          <w:szCs w:val="24"/>
          <w:rtl/>
        </w:rPr>
        <w:t>אלמיזרק נ' בית הדין הארצי לעבודה ירושלים</w:t>
      </w:r>
      <w:r w:rsidRPr="007C3B90">
        <w:rPr>
          <w:rtl/>
        </w:rPr>
        <w:t xml:space="preserve">, פסקה 13 (2.9.2011); רע"פ 1553/15 </w:t>
      </w:r>
      <w:r w:rsidRPr="007C3B90">
        <w:rPr>
          <w:rFonts w:ascii="Century" w:hAnsi="Century" w:cs="Miriam"/>
          <w:b/>
          <w:spacing w:val="0"/>
          <w:szCs w:val="24"/>
          <w:rtl/>
        </w:rPr>
        <w:t>עיסא נ' הועדה המקומית לתכנון ובניה "השומרון"</w:t>
      </w:r>
      <w:r w:rsidRPr="007C3B90">
        <w:rPr>
          <w:rtl/>
        </w:rPr>
        <w:t xml:space="preserve">, פסקה 14 לפסק דינו של המשנה לנשיאה </w:t>
      </w:r>
      <w:r w:rsidRPr="007C3B90">
        <w:rPr>
          <w:rFonts w:ascii="Century" w:hAnsi="Century" w:cs="Miriam"/>
          <w:b/>
          <w:spacing w:val="0"/>
          <w:szCs w:val="24"/>
          <w:rtl/>
        </w:rPr>
        <w:t>ס' ג'ובראן</w:t>
      </w:r>
      <w:r w:rsidRPr="007C3B90">
        <w:rPr>
          <w:rtl/>
        </w:rPr>
        <w:t xml:space="preserve"> (31.10.2017)</w:t>
      </w:r>
      <w:r w:rsidRPr="007C3B90">
        <w:rPr>
          <w:rFonts w:hint="cs"/>
          <w:rtl/>
        </w:rPr>
        <w:t xml:space="preserve">; ורבים אחרים). </w:t>
      </w:r>
      <w:r w:rsidRPr="007C3B90">
        <w:rPr>
          <w:rtl/>
        </w:rPr>
        <w:t>ה</w:t>
      </w:r>
      <w:r w:rsidRPr="007C3B90">
        <w:rPr>
          <w:rFonts w:hint="cs"/>
          <w:rtl/>
        </w:rPr>
        <w:t>בסיס המשפטי ל</w:t>
      </w:r>
      <w:r w:rsidRPr="007C3B90">
        <w:rPr>
          <w:rtl/>
        </w:rPr>
        <w:t>תפיסה זו ה</w:t>
      </w:r>
      <w:r w:rsidRPr="007C3B90">
        <w:rPr>
          <w:rFonts w:hint="cs"/>
          <w:rtl/>
        </w:rPr>
        <w:t xml:space="preserve">וא </w:t>
      </w:r>
      <w:r w:rsidRPr="007C3B90">
        <w:rPr>
          <w:rtl/>
        </w:rPr>
        <w:t>–</w:t>
      </w:r>
      <w:r w:rsidRPr="007C3B90">
        <w:rPr>
          <w:rFonts w:hint="cs"/>
          <w:rtl/>
        </w:rPr>
        <w:t xml:space="preserve"> שחזקה על המחוקק שאין </w:t>
      </w:r>
      <w:r w:rsidRPr="007C3B90">
        <w:rPr>
          <w:rtl/>
        </w:rPr>
        <w:t>ה</w:t>
      </w:r>
      <w:r w:rsidRPr="007C3B90">
        <w:rPr>
          <w:rFonts w:hint="cs"/>
          <w:rtl/>
        </w:rPr>
        <w:t>וא</w:t>
      </w:r>
      <w:r w:rsidRPr="007C3B90">
        <w:rPr>
          <w:rtl/>
        </w:rPr>
        <w:t xml:space="preserve"> מבקש ל</w:t>
      </w:r>
      <w:r w:rsidRPr="007C3B90">
        <w:rPr>
          <w:rFonts w:hint="cs"/>
          <w:rtl/>
        </w:rPr>
        <w:t>פגוע ב</w:t>
      </w:r>
      <w:r w:rsidRPr="007C3B90">
        <w:rPr>
          <w:rtl/>
        </w:rPr>
        <w:t xml:space="preserve">עקרונות היסוד </w:t>
      </w:r>
      <w:r w:rsidRPr="007C3B90">
        <w:rPr>
          <w:rFonts w:hint="cs"/>
          <w:rtl/>
        </w:rPr>
        <w:t xml:space="preserve">הבסיסיים ביותר </w:t>
      </w:r>
      <w:r w:rsidRPr="007C3B90">
        <w:rPr>
          <w:rtl/>
        </w:rPr>
        <w:t xml:space="preserve">של השיטה עת שהוא </w:t>
      </w:r>
      <w:r w:rsidRPr="007C3B90">
        <w:rPr>
          <w:rFonts w:hint="cs"/>
          <w:rtl/>
        </w:rPr>
        <w:t xml:space="preserve">עושה </w:t>
      </w:r>
      <w:r w:rsidRPr="007C3B90">
        <w:rPr>
          <w:rtl/>
        </w:rPr>
        <w:t>שימוש בסמכותו</w:t>
      </w:r>
      <w:r w:rsidRPr="007C3B90">
        <w:rPr>
          <w:rFonts w:hint="cs"/>
          <w:rtl/>
        </w:rPr>
        <w:t xml:space="preserve">: </w:t>
      </w:r>
      <w:r w:rsidRPr="007C3B90">
        <w:rPr>
          <w:rFonts w:ascii="Century" w:hAnsi="Century" w:cs="Miriam" w:hint="cs"/>
          <w:b/>
          <w:spacing w:val="0"/>
          <w:szCs w:val="24"/>
          <w:rtl/>
        </w:rPr>
        <w:t>"מן הדין הוא להניח גם שהמחוקק הריבוני לא התכוון לפגוע בעקרונות כלליים שהם בבחינת יסוד מוסד של מערכת המשפט שלנו כולה"</w:t>
      </w:r>
      <w:r w:rsidRPr="007C3B90">
        <w:rPr>
          <w:rFonts w:hint="cs"/>
          <w:rtl/>
        </w:rPr>
        <w:t xml:space="preserve"> (ד"נ 13/58 </w:t>
      </w:r>
      <w:r w:rsidRPr="007C3B90">
        <w:rPr>
          <w:rFonts w:ascii="Century" w:hAnsi="Century" w:cs="Miriam" w:hint="cs"/>
          <w:b/>
          <w:spacing w:val="0"/>
          <w:szCs w:val="24"/>
          <w:rtl/>
        </w:rPr>
        <w:t>עירית תל-אביב-יפו נ' לובין</w:t>
      </w:r>
      <w:r w:rsidRPr="007C3B90">
        <w:rPr>
          <w:rFonts w:hint="cs"/>
          <w:rtl/>
        </w:rPr>
        <w:t xml:space="preserve">, פ"ד יג 118, 122 (1959); </w:t>
      </w:r>
      <w:r w:rsidRPr="007C3B90">
        <w:rPr>
          <w:rFonts w:hint="eastAsia"/>
          <w:rtl/>
        </w:rPr>
        <w:t>אהרן</w:t>
      </w:r>
      <w:r w:rsidRPr="007C3B90">
        <w:rPr>
          <w:rtl/>
        </w:rPr>
        <w:t xml:space="preserve"> </w:t>
      </w:r>
      <w:r w:rsidRPr="007C3B90">
        <w:rPr>
          <w:rFonts w:hint="eastAsia"/>
          <w:rtl/>
        </w:rPr>
        <w:t>ברק</w:t>
      </w:r>
      <w:r w:rsidRPr="007C3B90">
        <w:rPr>
          <w:rtl/>
        </w:rPr>
        <w:t xml:space="preserve"> </w:t>
      </w:r>
      <w:r w:rsidRPr="007C3B90">
        <w:rPr>
          <w:rFonts w:ascii="Century" w:hAnsi="Century" w:cs="Miriam" w:hint="eastAsia"/>
          <w:b/>
          <w:spacing w:val="0"/>
          <w:szCs w:val="24"/>
          <w:rtl/>
        </w:rPr>
        <w:t>פרשנות</w:t>
      </w:r>
      <w:r w:rsidRPr="007C3B90">
        <w:rPr>
          <w:rFonts w:ascii="Century" w:hAnsi="Century" w:cs="Miriam"/>
          <w:b/>
          <w:spacing w:val="0"/>
          <w:szCs w:val="24"/>
          <w:rtl/>
        </w:rPr>
        <w:t xml:space="preserve"> </w:t>
      </w:r>
      <w:r w:rsidRPr="007C3B90">
        <w:rPr>
          <w:rFonts w:ascii="Century" w:hAnsi="Century" w:cs="Miriam" w:hint="eastAsia"/>
          <w:b/>
          <w:spacing w:val="0"/>
          <w:szCs w:val="24"/>
          <w:rtl/>
        </w:rPr>
        <w:t>במשפט</w:t>
      </w:r>
      <w:r w:rsidRPr="007C3B90">
        <w:rPr>
          <w:rFonts w:ascii="Century" w:hAnsi="Century" w:cs="Miriam"/>
          <w:b/>
          <w:spacing w:val="0"/>
          <w:szCs w:val="24"/>
          <w:rtl/>
        </w:rPr>
        <w:t xml:space="preserve"> - </w:t>
      </w:r>
      <w:r w:rsidRPr="007C3B90">
        <w:rPr>
          <w:rFonts w:ascii="Century" w:hAnsi="Century" w:cs="Miriam" w:hint="eastAsia"/>
          <w:b/>
          <w:spacing w:val="0"/>
          <w:szCs w:val="24"/>
          <w:rtl/>
        </w:rPr>
        <w:t>פרשנות</w:t>
      </w:r>
      <w:r w:rsidRPr="007C3B90">
        <w:rPr>
          <w:rFonts w:ascii="Century" w:hAnsi="Century" w:cs="Miriam"/>
          <w:b/>
          <w:spacing w:val="0"/>
          <w:szCs w:val="24"/>
          <w:rtl/>
        </w:rPr>
        <w:t xml:space="preserve"> </w:t>
      </w:r>
      <w:r w:rsidRPr="007C3B90">
        <w:rPr>
          <w:rFonts w:ascii="Century" w:hAnsi="Century" w:cs="Miriam" w:hint="eastAsia"/>
          <w:b/>
          <w:spacing w:val="0"/>
          <w:szCs w:val="24"/>
          <w:rtl/>
        </w:rPr>
        <w:t>החקיקה</w:t>
      </w:r>
      <w:r w:rsidRPr="007C3B90">
        <w:rPr>
          <w:rFonts w:ascii="Century" w:hAnsi="Century" w:cs="Miriam" w:hint="cs"/>
          <w:b/>
          <w:spacing w:val="0"/>
          <w:szCs w:val="24"/>
          <w:rtl/>
        </w:rPr>
        <w:t xml:space="preserve"> </w:t>
      </w:r>
      <w:r>
        <w:rPr>
          <w:rFonts w:hint="cs"/>
          <w:rtl/>
        </w:rPr>
        <w:t>419-418</w:t>
      </w:r>
      <w:r w:rsidRPr="007C3B90">
        <w:rPr>
          <w:rFonts w:ascii="Century" w:hAnsi="Century" w:cs="Miriam"/>
          <w:b/>
          <w:spacing w:val="0"/>
          <w:szCs w:val="24"/>
          <w:rtl/>
        </w:rPr>
        <w:t xml:space="preserve"> </w:t>
      </w:r>
      <w:r w:rsidRPr="007C3B90">
        <w:rPr>
          <w:rtl/>
        </w:rPr>
        <w:t>(</w:t>
      </w:r>
      <w:r w:rsidRPr="007C3B90">
        <w:rPr>
          <w:rFonts w:hint="cs"/>
          <w:rtl/>
        </w:rPr>
        <w:t>ה</w:t>
      </w:r>
      <w:r w:rsidRPr="007C3B90">
        <w:rPr>
          <w:rFonts w:hint="eastAsia"/>
          <w:rtl/>
        </w:rPr>
        <w:t>תשנ</w:t>
      </w:r>
      <w:r w:rsidRPr="007C3B90">
        <w:rPr>
          <w:rtl/>
        </w:rPr>
        <w:t>"</w:t>
      </w:r>
      <w:r w:rsidRPr="007C3B90">
        <w:rPr>
          <w:rFonts w:hint="eastAsia"/>
          <w:rtl/>
        </w:rPr>
        <w:t>ג</w:t>
      </w:r>
      <w:r w:rsidRPr="007C3B90">
        <w:rPr>
          <w:rtl/>
        </w:rPr>
        <w:t>)</w:t>
      </w:r>
      <w:r w:rsidRPr="007C3B90">
        <w:rPr>
          <w:rFonts w:hint="cs"/>
          <w:rtl/>
        </w:rPr>
        <w:t xml:space="preserve"> (להלן: </w:t>
      </w:r>
      <w:r w:rsidRPr="007C3B90">
        <w:rPr>
          <w:rFonts w:ascii="Century" w:hAnsi="Century" w:cs="Miriam" w:hint="eastAsia"/>
          <w:b/>
          <w:spacing w:val="0"/>
          <w:szCs w:val="24"/>
          <w:rtl/>
        </w:rPr>
        <w:t>פרשנות</w:t>
      </w:r>
      <w:r w:rsidRPr="007C3B90">
        <w:rPr>
          <w:rFonts w:ascii="Century" w:hAnsi="Century" w:cs="Miriam"/>
          <w:b/>
          <w:spacing w:val="0"/>
          <w:szCs w:val="24"/>
          <w:rtl/>
        </w:rPr>
        <w:t xml:space="preserve"> </w:t>
      </w:r>
      <w:r w:rsidRPr="007C3B90">
        <w:rPr>
          <w:rFonts w:ascii="Century" w:hAnsi="Century" w:cs="Miriam" w:hint="eastAsia"/>
          <w:b/>
          <w:spacing w:val="0"/>
          <w:szCs w:val="24"/>
          <w:rtl/>
        </w:rPr>
        <w:t>במשפט</w:t>
      </w:r>
      <w:r w:rsidRPr="007C3B90">
        <w:rPr>
          <w:rFonts w:hint="cs"/>
          <w:rtl/>
        </w:rPr>
        <w:t xml:space="preserve">)). </w:t>
      </w:r>
    </w:p>
    <w:p w:rsidR="00BB56BB" w:rsidRPr="007C3B90" w:rsidRDefault="00BB56BB" w:rsidP="00BB56BB">
      <w:pPr>
        <w:pStyle w:val="Ruller4"/>
        <w:numPr>
          <w:ilvl w:val="0"/>
          <w:numId w:val="0"/>
        </w:numPr>
        <w:rPr>
          <w:rtl/>
        </w:rPr>
      </w:pPr>
    </w:p>
    <w:p w:rsidR="00BB56BB" w:rsidRPr="007C3B90" w:rsidRDefault="00BB56BB" w:rsidP="00BB56BB">
      <w:pPr>
        <w:pStyle w:val="Ruller4"/>
        <w:rPr>
          <w:rtl/>
        </w:rPr>
      </w:pPr>
      <w:r w:rsidRPr="007C3B90">
        <w:rPr>
          <w:rFonts w:hint="cs"/>
          <w:rtl/>
        </w:rPr>
        <w:t xml:space="preserve">בעניין </w:t>
      </w:r>
      <w:r w:rsidRPr="007C3B90">
        <w:rPr>
          <w:rFonts w:ascii="Century" w:hAnsi="Century" w:cs="Miriam" w:hint="cs"/>
          <w:b/>
          <w:spacing w:val="0"/>
          <w:sz w:val="22"/>
          <w:szCs w:val="24"/>
          <w:rtl/>
        </w:rPr>
        <w:t>חוק הלאום</w:t>
      </w:r>
      <w:r w:rsidRPr="007C3B90">
        <w:rPr>
          <w:rFonts w:hint="cs"/>
          <w:rtl/>
        </w:rPr>
        <w:t xml:space="preserve"> נעשה צעד נוסף, וזהותה של מדינת ישראל כמדינה יהודית ודמוקרטית זכתה להכרה מפורשת כעקרון-על המעמיד מגבלות מהותיות על סמכותה המכוננת של הכנסת בבואה לקבוע נורמות חוקתיות או לתקנן (</w:t>
      </w:r>
      <w:r w:rsidRPr="007C3B90">
        <w:rPr>
          <w:rtl/>
        </w:rPr>
        <w:t>בג</w:t>
      </w:r>
      <w:r w:rsidRPr="007C3B90">
        <w:rPr>
          <w:rFonts w:hint="cs"/>
          <w:rtl/>
        </w:rPr>
        <w:t>"</w:t>
      </w:r>
      <w:r w:rsidRPr="007C3B90">
        <w:rPr>
          <w:rtl/>
        </w:rPr>
        <w:t>ץ 5555/18</w:t>
      </w:r>
      <w:r w:rsidRPr="007C3B90">
        <w:rPr>
          <w:rFonts w:hint="cs"/>
          <w:rtl/>
        </w:rPr>
        <w:t xml:space="preserve"> </w:t>
      </w:r>
      <w:r w:rsidRPr="007C3B90">
        <w:rPr>
          <w:rFonts w:ascii="Century" w:hAnsi="Century" w:cs="Miriam"/>
          <w:b/>
          <w:spacing w:val="0"/>
          <w:sz w:val="22"/>
          <w:szCs w:val="24"/>
          <w:rtl/>
        </w:rPr>
        <w:t>חסון</w:t>
      </w:r>
      <w:r w:rsidRPr="007C3B90">
        <w:rPr>
          <w:rFonts w:ascii="Century" w:hAnsi="Century" w:cs="Miriam" w:hint="cs"/>
          <w:b/>
          <w:spacing w:val="0"/>
          <w:sz w:val="22"/>
          <w:szCs w:val="24"/>
          <w:rtl/>
        </w:rPr>
        <w:t xml:space="preserve"> </w:t>
      </w:r>
      <w:r w:rsidRPr="007C3B90">
        <w:rPr>
          <w:rFonts w:ascii="Century" w:hAnsi="Century" w:cs="Miriam"/>
          <w:b/>
          <w:spacing w:val="0"/>
          <w:sz w:val="22"/>
          <w:szCs w:val="24"/>
          <w:rtl/>
        </w:rPr>
        <w:t>נ' כנסת ישראל</w:t>
      </w:r>
      <w:r w:rsidRPr="007C3B90">
        <w:rPr>
          <w:rFonts w:hint="cs"/>
          <w:rtl/>
        </w:rPr>
        <w:t xml:space="preserve"> (8.7.2021) (להלן: עניין </w:t>
      </w:r>
      <w:r w:rsidRPr="007C3B90">
        <w:rPr>
          <w:rFonts w:ascii="Century" w:hAnsi="Century" w:cs="Miriam" w:hint="cs"/>
          <w:b/>
          <w:spacing w:val="0"/>
          <w:sz w:val="22"/>
          <w:szCs w:val="24"/>
          <w:rtl/>
        </w:rPr>
        <w:t>חוק הלאום</w:t>
      </w:r>
      <w:r w:rsidRPr="007C3B90">
        <w:rPr>
          <w:rFonts w:hint="cs"/>
          <w:rtl/>
        </w:rPr>
        <w:t xml:space="preserve">). וראו גם: בג"ץ 6427/02 </w:t>
      </w:r>
      <w:r w:rsidRPr="007C3B90">
        <w:rPr>
          <w:rFonts w:ascii="Century" w:hAnsi="Century" w:cs="Miriam"/>
          <w:b/>
          <w:spacing w:val="0"/>
          <w:sz w:val="22"/>
          <w:szCs w:val="24"/>
          <w:rtl/>
        </w:rPr>
        <w:t>התנועה לאיכות השלטון בישראל נ' הכנס</w:t>
      </w:r>
      <w:r w:rsidRPr="007C3B90">
        <w:rPr>
          <w:rFonts w:ascii="Century" w:hAnsi="Century" w:cs="Miriam" w:hint="cs"/>
          <w:b/>
          <w:spacing w:val="0"/>
          <w:sz w:val="22"/>
          <w:szCs w:val="24"/>
          <w:rtl/>
        </w:rPr>
        <w:t>ת</w:t>
      </w:r>
      <w:r w:rsidRPr="007C3B90">
        <w:rPr>
          <w:rFonts w:hint="cs"/>
          <w:rtl/>
        </w:rPr>
        <w:t>,</w:t>
      </w:r>
      <w:r w:rsidRPr="007C3B90">
        <w:rPr>
          <w:rFonts w:ascii="Century" w:hAnsi="Century" w:cs="Miriam" w:hint="cs"/>
          <w:b/>
          <w:spacing w:val="0"/>
          <w:sz w:val="22"/>
          <w:szCs w:val="24"/>
          <w:rtl/>
        </w:rPr>
        <w:t xml:space="preserve"> </w:t>
      </w:r>
      <w:r w:rsidRPr="007C3B90">
        <w:rPr>
          <w:rFonts w:hint="eastAsia"/>
          <w:rtl/>
        </w:rPr>
        <w:t>פ</w:t>
      </w:r>
      <w:r w:rsidRPr="007C3B90">
        <w:rPr>
          <w:rtl/>
        </w:rPr>
        <w:t>"</w:t>
      </w:r>
      <w:r w:rsidRPr="007C3B90">
        <w:rPr>
          <w:rFonts w:hint="eastAsia"/>
          <w:rtl/>
        </w:rPr>
        <w:t>ד</w:t>
      </w:r>
      <w:r w:rsidRPr="007C3B90">
        <w:rPr>
          <w:rtl/>
        </w:rPr>
        <w:t xml:space="preserve"> </w:t>
      </w:r>
      <w:r w:rsidRPr="007C3B90">
        <w:rPr>
          <w:rFonts w:hint="eastAsia"/>
          <w:rtl/>
        </w:rPr>
        <w:t>סא</w:t>
      </w:r>
      <w:r w:rsidRPr="007C3B90">
        <w:rPr>
          <w:rtl/>
        </w:rPr>
        <w:t>(1) 619</w:t>
      </w:r>
      <w:r w:rsidRPr="007C3B90">
        <w:rPr>
          <w:rFonts w:hint="cs"/>
          <w:rtl/>
        </w:rPr>
        <w:t xml:space="preserve"> (2006) (להלן: עניין </w:t>
      </w:r>
      <w:r w:rsidRPr="007C3B90">
        <w:rPr>
          <w:rFonts w:ascii="Century" w:hAnsi="Century" w:cs="Miriam" w:hint="eastAsia"/>
          <w:b/>
          <w:spacing w:val="0"/>
          <w:sz w:val="22"/>
          <w:szCs w:val="24"/>
          <w:rtl/>
        </w:rPr>
        <w:t>התנועה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לאיכות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השלטון</w:t>
      </w:r>
      <w:r w:rsidRPr="007C3B90">
        <w:rPr>
          <w:rFonts w:hint="cs"/>
          <w:rtl/>
        </w:rPr>
        <w:t xml:space="preserve">); </w:t>
      </w:r>
      <w:r w:rsidRPr="007C3B90">
        <w:rPr>
          <w:rtl/>
        </w:rPr>
        <w:t>בג</w:t>
      </w:r>
      <w:r w:rsidRPr="007C3B90">
        <w:rPr>
          <w:rFonts w:hint="cs"/>
          <w:rtl/>
        </w:rPr>
        <w:t>"</w:t>
      </w:r>
      <w:r w:rsidRPr="007C3B90">
        <w:rPr>
          <w:rtl/>
        </w:rPr>
        <w:t xml:space="preserve">ץ 4908/10 </w:t>
      </w:r>
      <w:r w:rsidRPr="007C3B90">
        <w:rPr>
          <w:rFonts w:ascii="Century" w:hAnsi="Century" w:cs="Miriam"/>
          <w:b/>
          <w:spacing w:val="0"/>
          <w:sz w:val="22"/>
          <w:szCs w:val="24"/>
          <w:rtl/>
        </w:rPr>
        <w:t>בר-און נ' כנסת ישראל</w:t>
      </w:r>
      <w:r w:rsidRPr="007C3B90">
        <w:rPr>
          <w:rFonts w:hint="cs"/>
          <w:rtl/>
        </w:rPr>
        <w:t xml:space="preserve">, פ"ד סד(3) 275, פסקה 34 לפסק דינה של הנשיאה </w:t>
      </w:r>
      <w:r w:rsidRPr="007C3B90">
        <w:rPr>
          <w:rFonts w:ascii="Century" w:hAnsi="Century" w:cs="Miriam" w:hint="eastAsia"/>
          <w:b/>
          <w:spacing w:val="0"/>
          <w:sz w:val="22"/>
          <w:szCs w:val="24"/>
          <w:rtl/>
        </w:rPr>
        <w:t>ד</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ביניש</w:t>
      </w:r>
      <w:r w:rsidRPr="007C3B90">
        <w:rPr>
          <w:rFonts w:hint="cs"/>
          <w:rtl/>
        </w:rPr>
        <w:t xml:space="preserve"> (2011) (להלן: עניין </w:t>
      </w:r>
      <w:r w:rsidRPr="007C3B90">
        <w:rPr>
          <w:rFonts w:ascii="Century" w:hAnsi="Century" w:cs="Miriam" w:hint="cs"/>
          <w:b/>
          <w:spacing w:val="0"/>
          <w:sz w:val="22"/>
          <w:szCs w:val="24"/>
          <w:rtl/>
        </w:rPr>
        <w:t>בר-און</w:t>
      </w:r>
      <w:r w:rsidRPr="007C3B90">
        <w:rPr>
          <w:rFonts w:hint="cs"/>
          <w:rtl/>
        </w:rPr>
        <w:t xml:space="preserve">); </w:t>
      </w:r>
      <w:r w:rsidRPr="007C3B90">
        <w:rPr>
          <w:rtl/>
        </w:rPr>
        <w:t>בג</w:t>
      </w:r>
      <w:r w:rsidRPr="007C3B90">
        <w:rPr>
          <w:rFonts w:hint="cs"/>
          <w:rtl/>
        </w:rPr>
        <w:t>"</w:t>
      </w:r>
      <w:r w:rsidRPr="007C3B90">
        <w:rPr>
          <w:rtl/>
        </w:rPr>
        <w:t>ץ 5744/16</w:t>
      </w:r>
      <w:r w:rsidRPr="007C3B90">
        <w:rPr>
          <w:rFonts w:hint="cs"/>
          <w:rtl/>
        </w:rPr>
        <w:t xml:space="preserve"> </w:t>
      </w:r>
      <w:r w:rsidRPr="007C3B90">
        <w:rPr>
          <w:rFonts w:ascii="Century" w:hAnsi="Century" w:cs="Miriam"/>
          <w:b/>
          <w:spacing w:val="0"/>
          <w:sz w:val="22"/>
          <w:szCs w:val="24"/>
          <w:rtl/>
        </w:rPr>
        <w:t>בן מאיר נ' הכנסת</w:t>
      </w:r>
      <w:r w:rsidRPr="007C3B90">
        <w:rPr>
          <w:rFonts w:hint="cs"/>
          <w:rtl/>
        </w:rPr>
        <w:t xml:space="preserve"> (27.5.2018) (להלן: עניין </w:t>
      </w:r>
      <w:r w:rsidRPr="007C3B90">
        <w:rPr>
          <w:rFonts w:ascii="Century" w:hAnsi="Century" w:cs="Miriam" w:hint="eastAsia"/>
          <w:b/>
          <w:spacing w:val="0"/>
          <w:sz w:val="22"/>
          <w:szCs w:val="24"/>
          <w:rtl/>
        </w:rPr>
        <w:t>בן</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מאיר</w:t>
      </w:r>
      <w:r w:rsidRPr="007C3B90">
        <w:rPr>
          <w:rFonts w:hint="cs"/>
          <w:rtl/>
        </w:rPr>
        <w:t xml:space="preserve">)). בפרשה זו נדחתה הטענה לפיה </w:t>
      </w:r>
      <w:r w:rsidRPr="007C3B90">
        <w:rPr>
          <w:rFonts w:ascii="Century" w:hAnsi="Century" w:hint="eastAsia"/>
          <w:sz w:val="22"/>
          <w:rtl/>
        </w:rPr>
        <w:t>חוק</w:t>
      </w:r>
      <w:r w:rsidRPr="007C3B90">
        <w:rPr>
          <w:rFonts w:ascii="Century" w:hAnsi="Century" w:hint="cs"/>
          <w:sz w:val="22"/>
          <w:rtl/>
        </w:rPr>
        <w:t>-</w:t>
      </w:r>
      <w:r w:rsidRPr="007C3B90">
        <w:rPr>
          <w:rFonts w:ascii="Century" w:hAnsi="Century" w:hint="eastAsia"/>
          <w:sz w:val="22"/>
          <w:rtl/>
        </w:rPr>
        <w:t>יסוד</w:t>
      </w:r>
      <w:r w:rsidRPr="007C3B90">
        <w:rPr>
          <w:rFonts w:ascii="Century" w:hAnsi="Century"/>
          <w:sz w:val="22"/>
          <w:rtl/>
        </w:rPr>
        <w:t xml:space="preserve">: </w:t>
      </w:r>
      <w:r w:rsidRPr="007C3B90">
        <w:rPr>
          <w:rFonts w:ascii="Century" w:hAnsi="Century" w:hint="eastAsia"/>
          <w:sz w:val="22"/>
          <w:rtl/>
        </w:rPr>
        <w:t>ישראל</w:t>
      </w:r>
      <w:r w:rsidRPr="007C3B90">
        <w:rPr>
          <w:rFonts w:ascii="Century" w:hAnsi="Century"/>
          <w:sz w:val="22"/>
          <w:rtl/>
        </w:rPr>
        <w:t xml:space="preserve"> – </w:t>
      </w:r>
      <w:r w:rsidRPr="007C3B90">
        <w:rPr>
          <w:rFonts w:ascii="Century" w:hAnsi="Century" w:hint="eastAsia"/>
          <w:sz w:val="22"/>
          <w:rtl/>
        </w:rPr>
        <w:t>מדינת</w:t>
      </w:r>
      <w:r w:rsidRPr="007C3B90">
        <w:rPr>
          <w:rFonts w:ascii="Century" w:hAnsi="Century"/>
          <w:sz w:val="22"/>
          <w:rtl/>
        </w:rPr>
        <w:t xml:space="preserve"> </w:t>
      </w:r>
      <w:r w:rsidRPr="007C3B90">
        <w:rPr>
          <w:rFonts w:ascii="Century" w:hAnsi="Century" w:hint="eastAsia"/>
          <w:sz w:val="22"/>
          <w:rtl/>
        </w:rPr>
        <w:t>הלאום</w:t>
      </w:r>
      <w:r w:rsidRPr="007C3B90">
        <w:rPr>
          <w:rFonts w:ascii="Century" w:hAnsi="Century"/>
          <w:sz w:val="22"/>
          <w:rtl/>
        </w:rPr>
        <w:t xml:space="preserve"> </w:t>
      </w:r>
      <w:r w:rsidRPr="007C3B90">
        <w:rPr>
          <w:rFonts w:ascii="Century" w:hAnsi="Century" w:hint="eastAsia"/>
          <w:sz w:val="22"/>
          <w:rtl/>
        </w:rPr>
        <w:t>של</w:t>
      </w:r>
      <w:r w:rsidRPr="007C3B90">
        <w:rPr>
          <w:rFonts w:ascii="Century" w:hAnsi="Century"/>
          <w:sz w:val="22"/>
          <w:rtl/>
        </w:rPr>
        <w:t xml:space="preserve"> </w:t>
      </w:r>
      <w:r w:rsidRPr="007C3B90">
        <w:rPr>
          <w:rFonts w:ascii="Century" w:hAnsi="Century" w:hint="eastAsia"/>
          <w:sz w:val="22"/>
          <w:rtl/>
        </w:rPr>
        <w:t>העם</w:t>
      </w:r>
      <w:r w:rsidRPr="007C3B90">
        <w:rPr>
          <w:rFonts w:ascii="Century" w:hAnsi="Century"/>
          <w:sz w:val="22"/>
          <w:rtl/>
        </w:rPr>
        <w:t xml:space="preserve"> </w:t>
      </w:r>
      <w:r w:rsidRPr="007C3B90">
        <w:rPr>
          <w:rFonts w:ascii="Century" w:hAnsi="Century" w:hint="eastAsia"/>
          <w:sz w:val="22"/>
          <w:rtl/>
        </w:rPr>
        <w:t>היהודי</w:t>
      </w:r>
      <w:r w:rsidRPr="007C3B90">
        <w:rPr>
          <w:rFonts w:ascii="Century" w:hAnsi="Century" w:hint="cs"/>
          <w:sz w:val="22"/>
          <w:rtl/>
        </w:rPr>
        <w:t xml:space="preserve"> (להלן: </w:t>
      </w:r>
      <w:r w:rsidRPr="007C3B90">
        <w:rPr>
          <w:rFonts w:ascii="Century" w:hAnsi="Century" w:cs="Miriam" w:hint="cs"/>
          <w:b/>
          <w:spacing w:val="0"/>
          <w:sz w:val="22"/>
          <w:szCs w:val="24"/>
          <w:rtl/>
        </w:rPr>
        <w:t>חוק הלאום</w:t>
      </w:r>
      <w:r w:rsidRPr="007C3B90">
        <w:rPr>
          <w:rFonts w:ascii="Century" w:hAnsi="Century" w:hint="cs"/>
          <w:sz w:val="22"/>
          <w:rtl/>
        </w:rPr>
        <w:t>)</w:t>
      </w:r>
      <w:r w:rsidRPr="007C3B90">
        <w:rPr>
          <w:rFonts w:hint="cs"/>
          <w:rtl/>
        </w:rPr>
        <w:t xml:space="preserve">, עולה כדי תיקון חוקתי שאינו חוקתי המצדיק את בטלותו, תוך שנקבע כי אין לאמץ את דוקטרינת התיקון החוקתי שאינו חוקתי במלוא היקפה, בטרם הושלם תהליך כינון החוקה. בצד האמור, הביעה הנשיאה </w:t>
      </w:r>
      <w:r w:rsidRPr="007C3B90">
        <w:rPr>
          <w:rFonts w:ascii="Century" w:hAnsi="Century" w:cs="Miriam" w:hint="cs"/>
          <w:b/>
          <w:spacing w:val="0"/>
          <w:sz w:val="22"/>
          <w:szCs w:val="24"/>
          <w:rtl/>
        </w:rPr>
        <w:t xml:space="preserve">א' חיות </w:t>
      </w:r>
      <w:r w:rsidRPr="007C3B90">
        <w:rPr>
          <w:rFonts w:hint="cs"/>
          <w:rtl/>
        </w:rPr>
        <w:t xml:space="preserve">עמדתה כי </w:t>
      </w:r>
      <w:r w:rsidRPr="007C3B90">
        <w:rPr>
          <w:rFonts w:ascii="Century" w:hAnsi="Century" w:cs="Miriam"/>
          <w:b/>
          <w:spacing w:val="0"/>
          <w:sz w:val="22"/>
          <w:szCs w:val="24"/>
          <w:rtl/>
        </w:rPr>
        <w:t>"</w:t>
      </w:r>
      <w:r w:rsidRPr="007C3B90">
        <w:rPr>
          <w:rFonts w:ascii="Century" w:hAnsi="Century" w:cs="Miriam" w:hint="eastAsia"/>
          <w:b/>
          <w:spacing w:val="0"/>
          <w:sz w:val="22"/>
          <w:szCs w:val="24"/>
          <w:rtl/>
        </w:rPr>
        <w:t>בשלב</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זה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המפעל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החוקתי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הישראלי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קיימת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מגבלה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אחת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צרה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ביותר</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החלה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על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הכנסת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בכובעה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כרשות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מכוננת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והיא</w:t>
      </w:r>
      <w:r w:rsidRPr="007C3B90">
        <w:rPr>
          <w:rFonts w:ascii="Century" w:hAnsi="Century" w:cs="Miriam"/>
          <w:b/>
          <w:spacing w:val="0"/>
          <w:sz w:val="22"/>
          <w:szCs w:val="24"/>
          <w:rtl/>
        </w:rPr>
        <w:t xml:space="preserve"> </w:t>
      </w:r>
      <w:r w:rsidRPr="007C3B90">
        <w:rPr>
          <w:rFonts w:ascii="Century" w:hAnsi="Century" w:cs="Miriam" w:hint="eastAsia"/>
          <w:b/>
          <w:bCs/>
          <w:spacing w:val="0"/>
          <w:sz w:val="22"/>
          <w:szCs w:val="24"/>
          <w:rtl/>
        </w:rPr>
        <w:t>כי</w:t>
      </w:r>
      <w:r w:rsidRPr="007C3B90">
        <w:rPr>
          <w:rFonts w:ascii="Century" w:hAnsi="Century" w:cs="Miriam"/>
          <w:b/>
          <w:bCs/>
          <w:spacing w:val="0"/>
          <w:sz w:val="22"/>
          <w:szCs w:val="24"/>
          <w:rtl/>
        </w:rPr>
        <w:t xml:space="preserve"> </w:t>
      </w:r>
      <w:r w:rsidRPr="007C3B90">
        <w:rPr>
          <w:rFonts w:ascii="Century" w:hAnsi="Century" w:cs="Miriam" w:hint="eastAsia"/>
          <w:b/>
          <w:bCs/>
          <w:spacing w:val="0"/>
          <w:sz w:val="22"/>
          <w:szCs w:val="24"/>
          <w:rtl/>
        </w:rPr>
        <w:t>אין</w:t>
      </w:r>
      <w:r w:rsidRPr="007C3B90">
        <w:rPr>
          <w:rFonts w:ascii="Century" w:hAnsi="Century" w:cs="Miriam"/>
          <w:b/>
          <w:bCs/>
          <w:spacing w:val="0"/>
          <w:sz w:val="22"/>
          <w:szCs w:val="24"/>
          <w:rtl/>
        </w:rPr>
        <w:t xml:space="preserve"> </w:t>
      </w:r>
      <w:r w:rsidRPr="007C3B90">
        <w:rPr>
          <w:rFonts w:ascii="Century" w:hAnsi="Century" w:cs="Miriam" w:hint="eastAsia"/>
          <w:b/>
          <w:bCs/>
          <w:spacing w:val="0"/>
          <w:sz w:val="22"/>
          <w:szCs w:val="24"/>
          <w:rtl/>
        </w:rPr>
        <w:t>ביכולתה</w:t>
      </w:r>
      <w:r w:rsidRPr="007C3B90">
        <w:rPr>
          <w:rFonts w:ascii="Century" w:hAnsi="Century" w:cs="Miriam"/>
          <w:b/>
          <w:bCs/>
          <w:spacing w:val="0"/>
          <w:sz w:val="22"/>
          <w:szCs w:val="24"/>
          <w:rtl/>
        </w:rPr>
        <w:t xml:space="preserve"> </w:t>
      </w:r>
      <w:r w:rsidRPr="007C3B90">
        <w:rPr>
          <w:rFonts w:ascii="Century" w:hAnsi="Century" w:cs="Miriam" w:hint="eastAsia"/>
          <w:b/>
          <w:bCs/>
          <w:spacing w:val="0"/>
          <w:sz w:val="22"/>
          <w:szCs w:val="24"/>
          <w:rtl/>
        </w:rPr>
        <w:t>לשלול</w:t>
      </w:r>
      <w:r w:rsidRPr="007C3B90">
        <w:rPr>
          <w:rFonts w:ascii="Century" w:hAnsi="Century" w:cs="Miriam"/>
          <w:b/>
          <w:bCs/>
          <w:spacing w:val="0"/>
          <w:sz w:val="22"/>
          <w:szCs w:val="24"/>
          <w:rtl/>
        </w:rPr>
        <w:t xml:space="preserve"> </w:t>
      </w:r>
      <w:r w:rsidRPr="007C3B90">
        <w:rPr>
          <w:rFonts w:ascii="Century" w:hAnsi="Century" w:cs="Miriam" w:hint="eastAsia"/>
          <w:b/>
          <w:bCs/>
          <w:spacing w:val="0"/>
          <w:sz w:val="22"/>
          <w:szCs w:val="24"/>
          <w:rtl/>
        </w:rPr>
        <w:t>בחוק</w:t>
      </w:r>
      <w:r w:rsidRPr="007C3B90">
        <w:rPr>
          <w:rFonts w:ascii="Century" w:hAnsi="Century" w:cs="Miriam"/>
          <w:b/>
          <w:bCs/>
          <w:spacing w:val="0"/>
          <w:sz w:val="22"/>
          <w:szCs w:val="24"/>
          <w:rtl/>
        </w:rPr>
        <w:t xml:space="preserve"> </w:t>
      </w:r>
      <w:r w:rsidRPr="007C3B90">
        <w:rPr>
          <w:rFonts w:ascii="Century" w:hAnsi="Century" w:cs="Miriam" w:hint="eastAsia"/>
          <w:b/>
          <w:bCs/>
          <w:spacing w:val="0"/>
          <w:sz w:val="22"/>
          <w:szCs w:val="24"/>
          <w:rtl/>
        </w:rPr>
        <w:t>יסוד</w:t>
      </w:r>
      <w:r w:rsidRPr="007C3B90">
        <w:rPr>
          <w:rFonts w:ascii="Century" w:hAnsi="Century" w:cs="Miriam"/>
          <w:b/>
          <w:bCs/>
          <w:spacing w:val="0"/>
          <w:sz w:val="22"/>
          <w:szCs w:val="24"/>
          <w:rtl/>
        </w:rPr>
        <w:t xml:space="preserve"> </w:t>
      </w:r>
      <w:r w:rsidRPr="007C3B90">
        <w:rPr>
          <w:rFonts w:ascii="Century" w:hAnsi="Century" w:cs="Miriam" w:hint="eastAsia"/>
          <w:b/>
          <w:bCs/>
          <w:spacing w:val="0"/>
          <w:sz w:val="22"/>
          <w:szCs w:val="24"/>
          <w:rtl/>
        </w:rPr>
        <w:t>את</w:t>
      </w:r>
      <w:r w:rsidRPr="007C3B90">
        <w:rPr>
          <w:rFonts w:ascii="Century" w:hAnsi="Century" w:cs="Miriam"/>
          <w:b/>
          <w:bCs/>
          <w:spacing w:val="0"/>
          <w:sz w:val="22"/>
          <w:szCs w:val="24"/>
          <w:rtl/>
        </w:rPr>
        <w:t xml:space="preserve"> </w:t>
      </w:r>
      <w:r w:rsidRPr="007C3B90">
        <w:rPr>
          <w:rFonts w:ascii="Century" w:hAnsi="Century" w:cs="Miriam" w:hint="eastAsia"/>
          <w:b/>
          <w:bCs/>
          <w:spacing w:val="0"/>
          <w:sz w:val="22"/>
          <w:szCs w:val="24"/>
          <w:rtl/>
        </w:rPr>
        <w:t>עצם</w:t>
      </w:r>
      <w:r w:rsidRPr="007C3B90">
        <w:rPr>
          <w:rFonts w:ascii="Century" w:hAnsi="Century" w:cs="Miriam"/>
          <w:b/>
          <w:bCs/>
          <w:spacing w:val="0"/>
          <w:sz w:val="22"/>
          <w:szCs w:val="24"/>
          <w:rtl/>
        </w:rPr>
        <w:t xml:space="preserve"> </w:t>
      </w:r>
      <w:r w:rsidRPr="007C3B90">
        <w:rPr>
          <w:rFonts w:ascii="Century" w:hAnsi="Century" w:cs="Miriam" w:hint="eastAsia"/>
          <w:b/>
          <w:bCs/>
          <w:spacing w:val="0"/>
          <w:sz w:val="22"/>
          <w:szCs w:val="24"/>
          <w:rtl/>
        </w:rPr>
        <w:t>היותה</w:t>
      </w:r>
      <w:r w:rsidRPr="007C3B90">
        <w:rPr>
          <w:rFonts w:ascii="Century" w:hAnsi="Century" w:cs="Miriam"/>
          <w:b/>
          <w:bCs/>
          <w:spacing w:val="0"/>
          <w:sz w:val="22"/>
          <w:szCs w:val="24"/>
          <w:rtl/>
        </w:rPr>
        <w:t xml:space="preserve"> </w:t>
      </w:r>
      <w:r w:rsidRPr="007C3B90">
        <w:rPr>
          <w:rFonts w:ascii="Century" w:hAnsi="Century" w:cs="Miriam" w:hint="eastAsia"/>
          <w:b/>
          <w:bCs/>
          <w:spacing w:val="0"/>
          <w:sz w:val="22"/>
          <w:szCs w:val="24"/>
          <w:rtl/>
        </w:rPr>
        <w:t>של</w:t>
      </w:r>
      <w:r w:rsidRPr="007C3B90">
        <w:rPr>
          <w:rFonts w:ascii="Century" w:hAnsi="Century" w:cs="Miriam"/>
          <w:b/>
          <w:bCs/>
          <w:spacing w:val="0"/>
          <w:sz w:val="22"/>
          <w:szCs w:val="24"/>
          <w:rtl/>
        </w:rPr>
        <w:t xml:space="preserve"> </w:t>
      </w:r>
      <w:r w:rsidRPr="007C3B90">
        <w:rPr>
          <w:rFonts w:ascii="Century" w:hAnsi="Century" w:cs="Miriam" w:hint="eastAsia"/>
          <w:b/>
          <w:bCs/>
          <w:spacing w:val="0"/>
          <w:sz w:val="22"/>
          <w:szCs w:val="24"/>
          <w:rtl/>
        </w:rPr>
        <w:t>ישראל</w:t>
      </w:r>
      <w:r w:rsidRPr="007C3B90">
        <w:rPr>
          <w:rFonts w:ascii="Century" w:hAnsi="Century" w:cs="Miriam"/>
          <w:b/>
          <w:bCs/>
          <w:spacing w:val="0"/>
          <w:sz w:val="22"/>
          <w:szCs w:val="24"/>
          <w:rtl/>
        </w:rPr>
        <w:t xml:space="preserve"> </w:t>
      </w:r>
      <w:r w:rsidRPr="007C3B90">
        <w:rPr>
          <w:rFonts w:ascii="Century" w:hAnsi="Century" w:cs="Miriam" w:hint="eastAsia"/>
          <w:b/>
          <w:bCs/>
          <w:spacing w:val="0"/>
          <w:sz w:val="22"/>
          <w:szCs w:val="24"/>
          <w:rtl/>
        </w:rPr>
        <w:t>מדינה</w:t>
      </w:r>
      <w:r w:rsidRPr="007C3B90">
        <w:rPr>
          <w:rFonts w:ascii="Century" w:hAnsi="Century" w:cs="Miriam"/>
          <w:b/>
          <w:bCs/>
          <w:spacing w:val="0"/>
          <w:sz w:val="22"/>
          <w:szCs w:val="24"/>
          <w:rtl/>
        </w:rPr>
        <w:t xml:space="preserve"> </w:t>
      </w:r>
      <w:r w:rsidRPr="007C3B90">
        <w:rPr>
          <w:rFonts w:ascii="Century" w:hAnsi="Century" w:cs="Miriam" w:hint="eastAsia"/>
          <w:b/>
          <w:bCs/>
          <w:spacing w:val="0"/>
          <w:sz w:val="22"/>
          <w:szCs w:val="24"/>
          <w:rtl/>
        </w:rPr>
        <w:t>יהודית</w:t>
      </w:r>
      <w:r w:rsidRPr="007C3B90">
        <w:rPr>
          <w:rFonts w:ascii="Century" w:hAnsi="Century" w:cs="Miriam"/>
          <w:b/>
          <w:bCs/>
          <w:spacing w:val="0"/>
          <w:sz w:val="22"/>
          <w:szCs w:val="24"/>
          <w:rtl/>
        </w:rPr>
        <w:t xml:space="preserve"> </w:t>
      </w:r>
      <w:r w:rsidRPr="007C3B90">
        <w:rPr>
          <w:rFonts w:ascii="Century" w:hAnsi="Century" w:cs="Miriam" w:hint="eastAsia"/>
          <w:b/>
          <w:bCs/>
          <w:spacing w:val="0"/>
          <w:sz w:val="22"/>
          <w:szCs w:val="24"/>
          <w:rtl/>
        </w:rPr>
        <w:t>ודמוקרטית</w:t>
      </w:r>
      <w:r w:rsidRPr="007C3B90">
        <w:rPr>
          <w:rFonts w:ascii="Century" w:hAnsi="Century" w:cs="Miriam"/>
          <w:spacing w:val="0"/>
          <w:sz w:val="22"/>
          <w:szCs w:val="24"/>
          <w:rtl/>
        </w:rPr>
        <w:t>"</w:t>
      </w:r>
      <w:r w:rsidRPr="007C3B90">
        <w:rPr>
          <w:rFonts w:hint="cs"/>
          <w:rtl/>
        </w:rPr>
        <w:t xml:space="preserve"> (</w:t>
      </w:r>
      <w:r w:rsidRPr="007C3B90">
        <w:rPr>
          <w:rFonts w:ascii="Century" w:hAnsi="Century" w:cs="Miriam" w:hint="cs"/>
          <w:b/>
          <w:spacing w:val="0"/>
          <w:sz w:val="22"/>
          <w:szCs w:val="24"/>
          <w:rtl/>
        </w:rPr>
        <w:t>שם</w:t>
      </w:r>
      <w:r w:rsidRPr="007C3B90">
        <w:rPr>
          <w:rFonts w:hint="cs"/>
          <w:rtl/>
        </w:rPr>
        <w:t>, בפסק</w:t>
      </w:r>
      <w:r>
        <w:rPr>
          <w:rFonts w:hint="cs"/>
          <w:rtl/>
        </w:rPr>
        <w:t>ה</w:t>
      </w:r>
      <w:r w:rsidRPr="007C3B90">
        <w:rPr>
          <w:rFonts w:hint="cs"/>
          <w:rtl/>
        </w:rPr>
        <w:t xml:space="preserve"> 1</w:t>
      </w:r>
      <w:r>
        <w:rPr>
          <w:rFonts w:hint="cs"/>
          <w:rtl/>
        </w:rPr>
        <w:t>6</w:t>
      </w:r>
      <w:r w:rsidRPr="007C3B90">
        <w:rPr>
          <w:rFonts w:hint="cs"/>
          <w:rtl/>
        </w:rPr>
        <w:t xml:space="preserve"> לפסק דינה של הנשיאה </w:t>
      </w:r>
      <w:r w:rsidRPr="007C3B90">
        <w:rPr>
          <w:rFonts w:ascii="Century" w:hAnsi="Century" w:cs="Miriam" w:hint="cs"/>
          <w:b/>
          <w:spacing w:val="0"/>
          <w:sz w:val="22"/>
          <w:szCs w:val="24"/>
          <w:rtl/>
        </w:rPr>
        <w:t>א' חיות</w:t>
      </w:r>
      <w:r>
        <w:rPr>
          <w:rFonts w:hint="cs"/>
          <w:rtl/>
        </w:rPr>
        <w:t>.</w:t>
      </w:r>
      <w:r w:rsidRPr="007C3B90">
        <w:rPr>
          <w:rFonts w:hint="cs"/>
          <w:rtl/>
        </w:rPr>
        <w:t xml:space="preserve"> ההדגשה במקור). על פי השקפה זו, דמותה של מדינת ישראל כמדינה יהודית ודמוקרטית מהווה עיקרון כה יסודי במבנה החוקתי של שיטתנו המשפטית עד כי זה אינו ניתן לשינוי </w:t>
      </w:r>
      <w:r w:rsidRPr="007C3B90">
        <w:rPr>
          <w:rtl/>
        </w:rPr>
        <w:t>–</w:t>
      </w:r>
      <w:r w:rsidRPr="007C3B90">
        <w:rPr>
          <w:rFonts w:hint="cs"/>
          <w:rtl/>
        </w:rPr>
        <w:t xml:space="preserve"> גם לא על-ידי הרשות המכוננת. </w:t>
      </w:r>
      <w:r w:rsidRPr="007C3B90" w:rsidDel="00D26710">
        <w:rPr>
          <w:rFonts w:hint="cs"/>
          <w:rtl/>
        </w:rPr>
        <w:t>ההנחה המובלעת בה היא, ששני הפרמטרים, "יהודית" ו"דמוקרטית"</w:t>
      </w:r>
      <w:r>
        <w:rPr>
          <w:rFonts w:hint="cs"/>
          <w:rtl/>
        </w:rPr>
        <w:t>,</w:t>
      </w:r>
      <w:r w:rsidRPr="007C3B90" w:rsidDel="00D26710">
        <w:rPr>
          <w:rFonts w:hint="cs"/>
          <w:rtl/>
        </w:rPr>
        <w:t xml:space="preserve"> מהווים מרכיבים </w:t>
      </w:r>
      <w:r w:rsidRPr="007C3B90">
        <w:rPr>
          <w:rFonts w:hint="cs"/>
          <w:rtl/>
        </w:rPr>
        <w:t xml:space="preserve">כה יסודיים </w:t>
      </w:r>
      <w:r w:rsidRPr="007C3B90" w:rsidDel="00D26710">
        <w:rPr>
          <w:rFonts w:hint="cs"/>
          <w:rtl/>
        </w:rPr>
        <w:t xml:space="preserve">בהגדרת זהותה של </w:t>
      </w:r>
      <w:r w:rsidRPr="007C3B90" w:rsidDel="00D26710">
        <w:rPr>
          <w:rFonts w:hint="cs"/>
          <w:rtl/>
        </w:rPr>
        <w:lastRenderedPageBreak/>
        <w:t xml:space="preserve">מדינת ישראל, </w:t>
      </w:r>
      <w:r w:rsidRPr="007C3B90">
        <w:rPr>
          <w:rFonts w:hint="cs"/>
          <w:rtl/>
        </w:rPr>
        <w:t>עד</w:t>
      </w:r>
      <w:r w:rsidRPr="007C3B90" w:rsidDel="00D26710">
        <w:rPr>
          <w:rFonts w:hint="cs"/>
          <w:rtl/>
        </w:rPr>
        <w:t xml:space="preserve"> </w:t>
      </w:r>
      <w:r w:rsidRPr="007C3B90">
        <w:rPr>
          <w:rFonts w:hint="cs"/>
          <w:rtl/>
        </w:rPr>
        <w:t xml:space="preserve">כי </w:t>
      </w:r>
      <w:r w:rsidRPr="007C3B90" w:rsidDel="00D26710">
        <w:rPr>
          <w:rFonts w:hint="cs"/>
          <w:rtl/>
        </w:rPr>
        <w:t>שלילתו של אחד מהם פירושה שלילת זהותה של המדינה, המשולה ל</w:t>
      </w:r>
      <w:r w:rsidRPr="007C3B90">
        <w:rPr>
          <w:rFonts w:hint="cs"/>
          <w:rtl/>
        </w:rPr>
        <w:t>"</w:t>
      </w:r>
      <w:r w:rsidRPr="007C3B90" w:rsidDel="00D26710">
        <w:rPr>
          <w:rFonts w:hint="cs"/>
          <w:rtl/>
        </w:rPr>
        <w:t>ביטולה</w:t>
      </w:r>
      <w:r w:rsidRPr="007C3B90">
        <w:rPr>
          <w:rFonts w:hint="cs"/>
          <w:rtl/>
        </w:rPr>
        <w:t>"</w:t>
      </w:r>
      <w:r w:rsidRPr="007C3B90" w:rsidDel="00D26710">
        <w:rPr>
          <w:rFonts w:hint="cs"/>
          <w:rtl/>
        </w:rPr>
        <w:t>.</w:t>
      </w:r>
      <w:r w:rsidRPr="007C3B90" w:rsidDel="00670DA2">
        <w:rPr>
          <w:rFonts w:hint="cs"/>
          <w:rtl/>
        </w:rPr>
        <w:t xml:space="preserve"> </w:t>
      </w:r>
    </w:p>
    <w:p w:rsidR="00BB56BB" w:rsidRPr="007C3B90" w:rsidRDefault="00BB56BB" w:rsidP="00BB56BB">
      <w:pPr>
        <w:pStyle w:val="Ruller4"/>
        <w:numPr>
          <w:ilvl w:val="0"/>
          <w:numId w:val="0"/>
        </w:numPr>
        <w:rPr>
          <w:rtl/>
        </w:rPr>
      </w:pPr>
    </w:p>
    <w:p w:rsidR="00BB56BB" w:rsidRPr="007C3B90" w:rsidRDefault="00BB56BB" w:rsidP="00BB56BB">
      <w:pPr>
        <w:pStyle w:val="Ruller4"/>
        <w:rPr>
          <w:rtl/>
        </w:rPr>
      </w:pPr>
      <w:r w:rsidRPr="007C3B90">
        <w:rPr>
          <w:rFonts w:hint="cs"/>
          <w:rtl/>
        </w:rPr>
        <w:t xml:space="preserve">למרות שעמדה זו לא נדרשה </w:t>
      </w:r>
      <w:r w:rsidRPr="007C3B90">
        <w:rPr>
          <w:rFonts w:ascii="FrankRuehl" w:hAnsi="FrankRuehl" w:hint="cs"/>
          <w:sz w:val="28"/>
          <w:rtl/>
        </w:rPr>
        <w:t xml:space="preserve">לתוצאת פסק הדין משנמצא, בדעת רוב, כי חוק הלאום אינו שולל את אופייה של מדינת ישראל כיהודית ודמוקרטית </w:t>
      </w:r>
      <w:r w:rsidRPr="007C3B90">
        <w:rPr>
          <w:rtl/>
        </w:rPr>
        <w:t>–</w:t>
      </w:r>
      <w:r w:rsidRPr="007C3B90">
        <w:rPr>
          <w:rFonts w:hint="cs"/>
          <w:rtl/>
        </w:rPr>
        <w:t xml:space="preserve"> </w:t>
      </w:r>
      <w:r w:rsidRPr="007C3B90">
        <w:rPr>
          <w:rFonts w:ascii="FrankRuehl" w:hAnsi="FrankRuehl" w:hint="cs"/>
          <w:sz w:val="28"/>
          <w:rtl/>
        </w:rPr>
        <w:t xml:space="preserve">פסק הדין מגלה הסכמה רחבה באשר לעצם קיומן של מגבלות על כוחה של הרשות המכוננת לקבוע נורמות חוקתיות העומדות בסתירה למאפייני הליבה של המדינה כיהודית ודמוקרטית. עם זאת, בפסק הדין </w:t>
      </w:r>
      <w:r w:rsidRPr="007C3B90">
        <w:rPr>
          <w:rFonts w:hint="cs"/>
          <w:rtl/>
        </w:rPr>
        <w:t xml:space="preserve">לא הוכרעה השאלה, </w:t>
      </w:r>
      <w:r w:rsidRPr="007C3B90">
        <w:rPr>
          <w:rFonts w:ascii="FrankRuehl" w:hAnsi="FrankRuehl" w:hint="cs"/>
          <w:sz w:val="28"/>
          <w:rtl/>
        </w:rPr>
        <w:t xml:space="preserve">האם לצד מגבלות אלה, נתונה לבית משפט זה סמכות לקיים ביקורת שיפוטית על תוכנם של חוקי יסוד ומהו העוגן הנורמטיבי לכך. זהו, אפוא, אחד ממוקדי הדיון שלפנינו. </w:t>
      </w:r>
    </w:p>
    <w:p w:rsidR="00BB56BB" w:rsidRPr="007C3B90" w:rsidRDefault="00BB56BB" w:rsidP="00BB56BB">
      <w:pPr>
        <w:pStyle w:val="Ruller4"/>
        <w:numPr>
          <w:ilvl w:val="0"/>
          <w:numId w:val="0"/>
        </w:numPr>
        <w:rPr>
          <w:rtl/>
        </w:rPr>
      </w:pPr>
    </w:p>
    <w:p w:rsidR="00BB56BB" w:rsidRPr="007C3B90" w:rsidRDefault="00BB56BB" w:rsidP="00BB56BB">
      <w:pPr>
        <w:pStyle w:val="Ruller4"/>
        <w:rPr>
          <w:rtl/>
        </w:rPr>
      </w:pPr>
      <w:r w:rsidRPr="007C3B90">
        <w:rPr>
          <w:rFonts w:hint="cs"/>
          <w:rtl/>
        </w:rPr>
        <w:t xml:space="preserve">אף שלעמדתי העתירות המונחות לפנינו אינן מחייבות הכרעה בשאלה זו, בשל הדיון הנרחב בסוגיה זו בחוות דעתם של חבריי, ראיתי להידרש לה אף אני. לגופם של דברים, ראיתי לצרף דעתי למסקנתה של חברתי הנשיאה </w:t>
      </w:r>
      <w:r w:rsidRPr="007C3B90">
        <w:rPr>
          <w:rFonts w:ascii="Century" w:hAnsi="Century" w:cs="Miriam" w:hint="eastAsia"/>
          <w:b/>
          <w:spacing w:val="0"/>
          <w:szCs w:val="24"/>
          <w:rtl/>
        </w:rPr>
        <w:t>א</w:t>
      </w:r>
      <w:r w:rsidRPr="007C3B90">
        <w:rPr>
          <w:rFonts w:ascii="Century" w:hAnsi="Century" w:cs="Miriam"/>
          <w:b/>
          <w:spacing w:val="0"/>
          <w:szCs w:val="24"/>
          <w:rtl/>
        </w:rPr>
        <w:t xml:space="preserve">' </w:t>
      </w:r>
      <w:r w:rsidRPr="007C3B90">
        <w:rPr>
          <w:rFonts w:ascii="Century" w:hAnsi="Century" w:cs="Miriam" w:hint="eastAsia"/>
          <w:b/>
          <w:spacing w:val="0"/>
          <w:szCs w:val="24"/>
          <w:rtl/>
        </w:rPr>
        <w:t>חיות</w:t>
      </w:r>
      <w:r w:rsidRPr="007C3B90">
        <w:rPr>
          <w:rFonts w:hint="cs"/>
          <w:rtl/>
        </w:rPr>
        <w:t xml:space="preserve">, ולפיה קיימת לבית משפט זה סמכות לקיים ביקורת שיפוטית על חקיקת יסוד. דרכי למסקנה זו שונה במקצת מזו של חברתי </w:t>
      </w:r>
      <w:r w:rsidRPr="007C3B90">
        <w:rPr>
          <w:rtl/>
        </w:rPr>
        <w:t>–</w:t>
      </w:r>
      <w:r w:rsidRPr="007C3B90">
        <w:rPr>
          <w:rFonts w:hint="cs"/>
          <w:rtl/>
        </w:rPr>
        <w:t xml:space="preserve"> כפי שאפרט להלן. </w:t>
      </w:r>
    </w:p>
    <w:p w:rsidR="00BB56BB" w:rsidRPr="007C3B90" w:rsidRDefault="00BB56BB" w:rsidP="00BB56BB">
      <w:pPr>
        <w:pStyle w:val="Ruller4"/>
        <w:numPr>
          <w:ilvl w:val="0"/>
          <w:numId w:val="0"/>
        </w:numPr>
        <w:rPr>
          <w:rtl/>
        </w:rPr>
      </w:pPr>
    </w:p>
    <w:p w:rsidR="00BB56BB" w:rsidRPr="007C3B90" w:rsidRDefault="00BB56BB" w:rsidP="00BB56BB">
      <w:pPr>
        <w:pStyle w:val="Ruller4"/>
        <w:rPr>
          <w:rtl/>
        </w:rPr>
      </w:pPr>
      <w:r w:rsidRPr="007C3B90">
        <w:rPr>
          <w:rFonts w:hint="cs"/>
          <w:rtl/>
        </w:rPr>
        <w:t xml:space="preserve">סוגיית קיומה של ביקורת שיפוטית על סמכותה המכוננת של הכנסת, מעלה שאלות מורכבות ביותר, שמוטב היה לו, לבית המשפט, שלא היה צריך להידרש להן. מדובר בסוגיה כבדת משקל היורדת לשורש היחסים שבין הרשויות, ומשליכה גם על מעמדו של בית המשפט בחברה הישראלית. התערבות שיפוטית בחקיקת יסוד עשויה להיחשב כפגיעה בעיקרון הפרדת הרשויות ובעצמאותה של הכנסת, כמייצגת את הריבון, הוא העם </w:t>
      </w:r>
      <w:r w:rsidRPr="007C3B90">
        <w:rPr>
          <w:rtl/>
        </w:rPr>
        <w:t>–</w:t>
      </w:r>
      <w:r w:rsidRPr="007C3B90">
        <w:rPr>
          <w:rFonts w:hint="cs"/>
          <w:rtl/>
        </w:rPr>
        <w:t xml:space="preserve"> ולגלגל לפתחו של בית המשפט מחלוקות ערכיות שעדיף שיוכרעו בזירה הציבורית. סוגיה זו אף מעלה שאלות סבוכות באשר לבסיס העיוני לקיום ביקורת שיפוטית על חוקי יסוד בטרם התגבשה דמותה החוקתית של מדינת ישראל. זאת בפרט, לנוכח אי-הבהירות שנותרה, גם לאחר פסק הדין בעניין </w:t>
      </w:r>
      <w:r w:rsidRPr="007C3B90">
        <w:rPr>
          <w:rFonts w:ascii="Century" w:hAnsi="Century" w:cs="Miriam" w:hint="cs"/>
          <w:b/>
          <w:spacing w:val="0"/>
          <w:sz w:val="22"/>
          <w:szCs w:val="24"/>
          <w:rtl/>
        </w:rPr>
        <w:t>בנק המזרחי</w:t>
      </w:r>
      <w:r w:rsidRPr="007C3B90">
        <w:rPr>
          <w:rFonts w:hint="cs"/>
          <w:rtl/>
        </w:rPr>
        <w:t xml:space="preserve">, באשר לאופייה וסמכותה של הכנסת כרשות מכוננת במדינת ישראל </w:t>
      </w:r>
      <w:r w:rsidRPr="007C3B90">
        <w:rPr>
          <w:rtl/>
        </w:rPr>
        <w:t>–</w:t>
      </w:r>
      <w:r w:rsidRPr="007C3B90">
        <w:rPr>
          <w:rFonts w:hint="cs"/>
          <w:rtl/>
        </w:rPr>
        <w:t xml:space="preserve"> האם סמכות מכוננת מקורית (ראשונית) או סמכות נגזרת (משנית), או שתיהן יחדיו (ע"א 6821/93 </w:t>
      </w:r>
      <w:r w:rsidRPr="007C3B90">
        <w:rPr>
          <w:rFonts w:ascii="Century" w:hAnsi="Century" w:cs="Miriam" w:hint="cs"/>
          <w:b/>
          <w:spacing w:val="0"/>
          <w:sz w:val="22"/>
          <w:szCs w:val="24"/>
          <w:rtl/>
        </w:rPr>
        <w:t>בנק המזרחי המאוחד בע"מ נ' מגדל כפר שיתופי</w:t>
      </w:r>
      <w:r w:rsidRPr="007C3B90">
        <w:rPr>
          <w:rtl/>
        </w:rPr>
        <w:t>,</w:t>
      </w:r>
      <w:r w:rsidRPr="007C3B90">
        <w:rPr>
          <w:rFonts w:hint="cs"/>
          <w:rtl/>
        </w:rPr>
        <w:t xml:space="preserve"> פ"ד מט(4) 221 (1995) (להלן: עניין </w:t>
      </w:r>
      <w:r w:rsidRPr="007C3B90">
        <w:rPr>
          <w:rFonts w:ascii="Century" w:hAnsi="Century" w:cs="Miriam" w:hint="cs"/>
          <w:b/>
          <w:spacing w:val="0"/>
          <w:sz w:val="22"/>
          <w:szCs w:val="24"/>
          <w:rtl/>
        </w:rPr>
        <w:t>בנק המזרחי</w:t>
      </w:r>
      <w:r w:rsidRPr="007C3B90">
        <w:rPr>
          <w:rFonts w:hint="cs"/>
          <w:rtl/>
        </w:rPr>
        <w:t>). ראו: יניב רוזנאי "</w:t>
      </w:r>
      <w:r w:rsidRPr="007C3B90">
        <w:rPr>
          <w:rFonts w:hint="eastAsia"/>
          <w:rtl/>
        </w:rPr>
        <w:t>שימוש</w:t>
      </w:r>
      <w:r w:rsidRPr="007C3B90">
        <w:rPr>
          <w:rtl/>
        </w:rPr>
        <w:t xml:space="preserve"> </w:t>
      </w:r>
      <w:r w:rsidRPr="007C3B90">
        <w:rPr>
          <w:rFonts w:hint="eastAsia"/>
          <w:rtl/>
        </w:rPr>
        <w:t>לרעה</w:t>
      </w:r>
      <w:r w:rsidRPr="007C3B90">
        <w:rPr>
          <w:rtl/>
        </w:rPr>
        <w:t xml:space="preserve"> </w:t>
      </w:r>
      <w:r w:rsidRPr="007C3B90">
        <w:rPr>
          <w:rFonts w:hint="eastAsia"/>
          <w:rtl/>
        </w:rPr>
        <w:t>בחוק</w:t>
      </w:r>
      <w:r w:rsidRPr="007C3B90">
        <w:rPr>
          <w:rtl/>
        </w:rPr>
        <w:t xml:space="preserve"> </w:t>
      </w:r>
      <w:r w:rsidRPr="007C3B90">
        <w:rPr>
          <w:rFonts w:hint="eastAsia"/>
          <w:rtl/>
        </w:rPr>
        <w:t>יסוד</w:t>
      </w:r>
      <w:r w:rsidRPr="007C3B90">
        <w:rPr>
          <w:rFonts w:hint="cs"/>
          <w:rtl/>
        </w:rPr>
        <w:t xml:space="preserve">" </w:t>
      </w:r>
      <w:r w:rsidRPr="007C3B90">
        <w:rPr>
          <w:rFonts w:ascii="Century" w:hAnsi="Century" w:cs="Miriam" w:hint="eastAsia"/>
          <w:b/>
          <w:spacing w:val="0"/>
          <w:sz w:val="22"/>
          <w:szCs w:val="24"/>
          <w:rtl/>
        </w:rPr>
        <w:t>ספר</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אליקים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רובינשטיין</w:t>
      </w:r>
      <w:r w:rsidRPr="007C3B90">
        <w:rPr>
          <w:rFonts w:hint="cs"/>
          <w:rtl/>
        </w:rPr>
        <w:t xml:space="preserve"> 1349, 1351 (</w:t>
      </w:r>
      <w:r w:rsidRPr="007C3B90">
        <w:rPr>
          <w:rtl/>
        </w:rPr>
        <w:t>אהרן ברק</w:t>
      </w:r>
      <w:r w:rsidRPr="007C3B90">
        <w:rPr>
          <w:rFonts w:hint="cs"/>
          <w:rtl/>
        </w:rPr>
        <w:t xml:space="preserve"> ואח'</w:t>
      </w:r>
      <w:r w:rsidRPr="007C3B90">
        <w:rPr>
          <w:rtl/>
        </w:rPr>
        <w:t xml:space="preserve"> עורכים 2021</w:t>
      </w:r>
      <w:r w:rsidRPr="007C3B90">
        <w:rPr>
          <w:rFonts w:hint="cs"/>
          <w:rtl/>
        </w:rPr>
        <w:t xml:space="preserve">); כן ראו דעות שונות לעניין סמכותה המכוננת של הכנסת והשלכותיה: </w:t>
      </w:r>
      <w:r w:rsidRPr="007C3B90">
        <w:rPr>
          <w:rFonts w:hint="eastAsia"/>
          <w:rtl/>
        </w:rPr>
        <w:t>קלוד</w:t>
      </w:r>
      <w:r w:rsidRPr="007C3B90">
        <w:rPr>
          <w:rtl/>
        </w:rPr>
        <w:t xml:space="preserve"> </w:t>
      </w:r>
      <w:r w:rsidRPr="007C3B90">
        <w:rPr>
          <w:rFonts w:hint="eastAsia"/>
          <w:rtl/>
        </w:rPr>
        <w:t>קליין</w:t>
      </w:r>
      <w:r w:rsidRPr="007C3B90">
        <w:rPr>
          <w:rtl/>
        </w:rPr>
        <w:t xml:space="preserve"> </w:t>
      </w:r>
      <w:r w:rsidRPr="007C3B90">
        <w:rPr>
          <w:rFonts w:hint="cs"/>
          <w:rtl/>
        </w:rPr>
        <w:t>"</w:t>
      </w:r>
      <w:r w:rsidRPr="007C3B90">
        <w:rPr>
          <w:rFonts w:hint="eastAsia"/>
          <w:rtl/>
        </w:rPr>
        <w:t>בעקבות</w:t>
      </w:r>
      <w:r w:rsidRPr="007C3B90">
        <w:rPr>
          <w:rtl/>
        </w:rPr>
        <w:t xml:space="preserve"> </w:t>
      </w:r>
      <w:r w:rsidRPr="007C3B90">
        <w:rPr>
          <w:rFonts w:hint="eastAsia"/>
          <w:rtl/>
        </w:rPr>
        <w:t>פסק</w:t>
      </w:r>
      <w:r>
        <w:rPr>
          <w:rFonts w:hint="cs"/>
          <w:rtl/>
        </w:rPr>
        <w:t>-</w:t>
      </w:r>
      <w:r w:rsidRPr="007C3B90">
        <w:rPr>
          <w:rFonts w:hint="eastAsia"/>
          <w:rtl/>
        </w:rPr>
        <w:t>הדין</w:t>
      </w:r>
      <w:r w:rsidRPr="007C3B90">
        <w:rPr>
          <w:rtl/>
        </w:rPr>
        <w:t xml:space="preserve"> </w:t>
      </w:r>
      <w:r w:rsidRPr="007C3B90">
        <w:rPr>
          <w:rFonts w:hint="eastAsia"/>
          <w:rtl/>
        </w:rPr>
        <w:t>בנק</w:t>
      </w:r>
      <w:r w:rsidRPr="007C3B90">
        <w:rPr>
          <w:rtl/>
        </w:rPr>
        <w:t xml:space="preserve"> </w:t>
      </w:r>
      <w:r w:rsidRPr="007C3B90">
        <w:rPr>
          <w:rFonts w:hint="eastAsia"/>
          <w:rtl/>
        </w:rPr>
        <w:t>המזרחי</w:t>
      </w:r>
      <w:r w:rsidRPr="007C3B90">
        <w:rPr>
          <w:rtl/>
        </w:rPr>
        <w:t xml:space="preserve"> –</w:t>
      </w:r>
      <w:r w:rsidRPr="007C3B90">
        <w:rPr>
          <w:rFonts w:hint="eastAsia"/>
          <w:rtl/>
        </w:rPr>
        <w:t>הסמכות</w:t>
      </w:r>
      <w:r w:rsidRPr="007C3B90">
        <w:rPr>
          <w:rtl/>
        </w:rPr>
        <w:t xml:space="preserve"> </w:t>
      </w:r>
      <w:r w:rsidRPr="007C3B90">
        <w:rPr>
          <w:rFonts w:hint="eastAsia"/>
          <w:rtl/>
        </w:rPr>
        <w:t>המכוננת</w:t>
      </w:r>
      <w:r w:rsidRPr="007C3B90">
        <w:rPr>
          <w:rtl/>
        </w:rPr>
        <w:t xml:space="preserve"> </w:t>
      </w:r>
      <w:r w:rsidRPr="007C3B90">
        <w:rPr>
          <w:rFonts w:hint="eastAsia"/>
          <w:rtl/>
        </w:rPr>
        <w:t>בראי</w:t>
      </w:r>
      <w:r w:rsidRPr="007C3B90">
        <w:rPr>
          <w:rtl/>
        </w:rPr>
        <w:t xml:space="preserve"> </w:t>
      </w:r>
      <w:r w:rsidRPr="007C3B90">
        <w:rPr>
          <w:rFonts w:hint="eastAsia"/>
          <w:rtl/>
        </w:rPr>
        <w:t>בית</w:t>
      </w:r>
      <w:r>
        <w:rPr>
          <w:rFonts w:hint="cs"/>
          <w:rtl/>
        </w:rPr>
        <w:t>-</w:t>
      </w:r>
      <w:r w:rsidRPr="007C3B90">
        <w:rPr>
          <w:rFonts w:hint="eastAsia"/>
          <w:rtl/>
        </w:rPr>
        <w:t>המשפט</w:t>
      </w:r>
      <w:r w:rsidRPr="007C3B90">
        <w:rPr>
          <w:rtl/>
        </w:rPr>
        <w:t xml:space="preserve"> </w:t>
      </w:r>
      <w:r w:rsidRPr="007C3B90">
        <w:rPr>
          <w:rFonts w:hint="eastAsia"/>
          <w:rtl/>
        </w:rPr>
        <w:t>העליון</w:t>
      </w:r>
      <w:r w:rsidRPr="007C3B90">
        <w:rPr>
          <w:rFonts w:hint="cs"/>
          <w:rtl/>
        </w:rPr>
        <w:t>"</w:t>
      </w:r>
      <w:r w:rsidRPr="007C3B90">
        <w:rPr>
          <w:rtl/>
        </w:rPr>
        <w:t xml:space="preserve"> </w:t>
      </w:r>
      <w:r w:rsidRPr="007C3B90">
        <w:rPr>
          <w:rFonts w:ascii="Century" w:hAnsi="Century" w:cs="Miriam" w:hint="eastAsia"/>
          <w:b/>
          <w:spacing w:val="0"/>
          <w:sz w:val="22"/>
          <w:szCs w:val="24"/>
          <w:rtl/>
        </w:rPr>
        <w:t>משפטים</w:t>
      </w:r>
      <w:r w:rsidRPr="007C3B90">
        <w:rPr>
          <w:rtl/>
        </w:rPr>
        <w:t xml:space="preserve"> </w:t>
      </w:r>
      <w:r w:rsidRPr="007C3B90">
        <w:rPr>
          <w:rFonts w:hint="eastAsia"/>
          <w:rtl/>
        </w:rPr>
        <w:t>כח</w:t>
      </w:r>
      <w:r w:rsidRPr="007C3B90">
        <w:rPr>
          <w:rtl/>
        </w:rPr>
        <w:t xml:space="preserve"> 341, 357-356 (</w:t>
      </w:r>
      <w:r w:rsidRPr="007C3B90">
        <w:rPr>
          <w:rFonts w:hint="cs"/>
          <w:rtl/>
        </w:rPr>
        <w:t>ה</w:t>
      </w:r>
      <w:r w:rsidRPr="007C3B90">
        <w:rPr>
          <w:rFonts w:hint="eastAsia"/>
          <w:rtl/>
        </w:rPr>
        <w:t>תשנ</w:t>
      </w:r>
      <w:r w:rsidRPr="007C3B90">
        <w:rPr>
          <w:rtl/>
        </w:rPr>
        <w:t>"</w:t>
      </w:r>
      <w:r w:rsidRPr="007C3B90">
        <w:rPr>
          <w:rFonts w:hint="eastAsia"/>
          <w:rtl/>
        </w:rPr>
        <w:t>ז</w:t>
      </w:r>
      <w:r w:rsidRPr="007C3B90">
        <w:rPr>
          <w:rtl/>
        </w:rPr>
        <w:t>)</w:t>
      </w:r>
      <w:r w:rsidRPr="007C3B90">
        <w:rPr>
          <w:rFonts w:hint="cs"/>
          <w:rtl/>
        </w:rPr>
        <w:t xml:space="preserve"> (להלן: </w:t>
      </w:r>
      <w:r w:rsidRPr="001C4EB4">
        <w:rPr>
          <w:rFonts w:ascii="Century" w:hAnsi="Century" w:cs="Miriam" w:hint="cs"/>
          <w:b/>
          <w:spacing w:val="0"/>
          <w:sz w:val="22"/>
          <w:szCs w:val="24"/>
          <w:rtl/>
        </w:rPr>
        <w:t xml:space="preserve">קליין, בעקבות פסק-הדין </w:t>
      </w:r>
      <w:r w:rsidRPr="001C4EB4">
        <w:rPr>
          <w:rFonts w:ascii="Century" w:hAnsi="Century" w:cs="Miriam" w:hint="cs"/>
          <w:b/>
          <w:spacing w:val="0"/>
          <w:sz w:val="22"/>
          <w:szCs w:val="24"/>
          <w:rtl/>
        </w:rPr>
        <w:lastRenderedPageBreak/>
        <w:t>בנק המזרחי</w:t>
      </w:r>
      <w:r w:rsidRPr="007C3B90">
        <w:rPr>
          <w:rFonts w:ascii="Century" w:hAnsi="Century" w:hint="cs"/>
          <w:sz w:val="22"/>
          <w:rtl/>
        </w:rPr>
        <w:t>)</w:t>
      </w:r>
      <w:r w:rsidRPr="007C3B90">
        <w:rPr>
          <w:rtl/>
        </w:rPr>
        <w:t xml:space="preserve">; </w:t>
      </w:r>
      <w:r w:rsidRPr="007C3B90">
        <w:rPr>
          <w:rFonts w:hint="eastAsia"/>
          <w:rtl/>
        </w:rPr>
        <w:t>אהרן</w:t>
      </w:r>
      <w:r w:rsidRPr="007C3B90">
        <w:rPr>
          <w:rtl/>
        </w:rPr>
        <w:t xml:space="preserve"> </w:t>
      </w:r>
      <w:r w:rsidRPr="007C3B90">
        <w:rPr>
          <w:rFonts w:hint="eastAsia"/>
          <w:rtl/>
        </w:rPr>
        <w:t>ברק</w:t>
      </w:r>
      <w:r w:rsidRPr="007C3B90">
        <w:rPr>
          <w:rtl/>
        </w:rPr>
        <w:t xml:space="preserve"> </w:t>
      </w:r>
      <w:r w:rsidRPr="007C3B90">
        <w:rPr>
          <w:rFonts w:hint="cs"/>
          <w:rtl/>
        </w:rPr>
        <w:t>"</w:t>
      </w:r>
      <w:r w:rsidRPr="007C3B90">
        <w:rPr>
          <w:rFonts w:hint="eastAsia"/>
          <w:rtl/>
        </w:rPr>
        <w:t>הסמכות</w:t>
      </w:r>
      <w:r w:rsidRPr="007C3B90">
        <w:rPr>
          <w:rtl/>
        </w:rPr>
        <w:t xml:space="preserve"> </w:t>
      </w:r>
      <w:r w:rsidRPr="007C3B90">
        <w:rPr>
          <w:rFonts w:hint="eastAsia"/>
          <w:rtl/>
        </w:rPr>
        <w:t>המכוננת</w:t>
      </w:r>
      <w:r w:rsidRPr="007C3B90">
        <w:rPr>
          <w:rtl/>
        </w:rPr>
        <w:t xml:space="preserve"> </w:t>
      </w:r>
      <w:r w:rsidRPr="007C3B90">
        <w:rPr>
          <w:rFonts w:hint="eastAsia"/>
          <w:rtl/>
        </w:rPr>
        <w:t>הראשונית</w:t>
      </w:r>
      <w:r w:rsidRPr="007C3B90">
        <w:rPr>
          <w:rtl/>
        </w:rPr>
        <w:t xml:space="preserve"> </w:t>
      </w:r>
      <w:r w:rsidRPr="007C3B90">
        <w:rPr>
          <w:rFonts w:hint="eastAsia"/>
          <w:rtl/>
        </w:rPr>
        <w:t>וההגבלות</w:t>
      </w:r>
      <w:r w:rsidRPr="007C3B90">
        <w:rPr>
          <w:rtl/>
        </w:rPr>
        <w:t xml:space="preserve"> </w:t>
      </w:r>
      <w:r w:rsidRPr="007C3B90">
        <w:rPr>
          <w:rFonts w:hint="eastAsia"/>
          <w:rtl/>
        </w:rPr>
        <w:t>המוטלות</w:t>
      </w:r>
      <w:r w:rsidRPr="007C3B90">
        <w:rPr>
          <w:rtl/>
        </w:rPr>
        <w:t xml:space="preserve"> </w:t>
      </w:r>
      <w:r w:rsidRPr="007C3B90">
        <w:rPr>
          <w:rFonts w:hint="eastAsia"/>
          <w:rtl/>
        </w:rPr>
        <w:t>עליה</w:t>
      </w:r>
      <w:r w:rsidRPr="007C3B90">
        <w:rPr>
          <w:rFonts w:hint="cs"/>
          <w:rtl/>
        </w:rPr>
        <w:t>"</w:t>
      </w:r>
      <w:r w:rsidRPr="007C3B90">
        <w:rPr>
          <w:rtl/>
        </w:rPr>
        <w:t xml:space="preserve"> </w:t>
      </w:r>
      <w:r w:rsidRPr="007C3B90">
        <w:rPr>
          <w:rFonts w:ascii="Century" w:hAnsi="Century" w:cs="Miriam" w:hint="eastAsia"/>
          <w:b/>
          <w:spacing w:val="0"/>
          <w:sz w:val="22"/>
          <w:szCs w:val="24"/>
          <w:rtl/>
        </w:rPr>
        <w:t>משפט</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ועסקים</w:t>
      </w:r>
      <w:r w:rsidRPr="007C3B90">
        <w:rPr>
          <w:rtl/>
        </w:rPr>
        <w:t xml:space="preserve"> </w:t>
      </w:r>
      <w:r w:rsidRPr="007C3B90">
        <w:rPr>
          <w:rFonts w:hint="eastAsia"/>
          <w:rtl/>
        </w:rPr>
        <w:t>כח</w:t>
      </w:r>
      <w:r w:rsidRPr="007C3B90">
        <w:rPr>
          <w:rtl/>
        </w:rPr>
        <w:t xml:space="preserve"> 123 (</w:t>
      </w:r>
      <w:r w:rsidRPr="007C3B90">
        <w:rPr>
          <w:rFonts w:hint="cs"/>
          <w:rtl/>
        </w:rPr>
        <w:t>ה</w:t>
      </w:r>
      <w:r w:rsidRPr="007C3B90">
        <w:rPr>
          <w:rFonts w:hint="eastAsia"/>
          <w:rtl/>
        </w:rPr>
        <w:t>תשפ</w:t>
      </w:r>
      <w:r w:rsidRPr="007C3B90">
        <w:rPr>
          <w:rtl/>
        </w:rPr>
        <w:t>"</w:t>
      </w:r>
      <w:r w:rsidRPr="007C3B90">
        <w:rPr>
          <w:rFonts w:hint="eastAsia"/>
          <w:rtl/>
        </w:rPr>
        <w:t>ג</w:t>
      </w:r>
      <w:r w:rsidRPr="007C3B90">
        <w:rPr>
          <w:rtl/>
        </w:rPr>
        <w:t>)</w:t>
      </w:r>
      <w:r w:rsidRPr="007C3B90">
        <w:rPr>
          <w:rFonts w:hint="cs"/>
          <w:rtl/>
        </w:rPr>
        <w:t xml:space="preserve"> (להלן: </w:t>
      </w:r>
      <w:r w:rsidRPr="007C3B90">
        <w:rPr>
          <w:rFonts w:ascii="Century" w:hAnsi="Century" w:cs="Miriam" w:hint="cs"/>
          <w:b/>
          <w:spacing w:val="0"/>
          <w:sz w:val="22"/>
          <w:szCs w:val="24"/>
          <w:rtl/>
        </w:rPr>
        <w:t>ברק,</w:t>
      </w:r>
      <w:r w:rsidRPr="007C3B90">
        <w:rPr>
          <w:rFonts w:hint="cs"/>
          <w:rtl/>
        </w:rPr>
        <w:t xml:space="preserve"> </w:t>
      </w:r>
      <w:r w:rsidRPr="007C3B90">
        <w:rPr>
          <w:rFonts w:ascii="Century" w:hAnsi="Century" w:cs="Miriam" w:hint="cs"/>
          <w:b/>
          <w:spacing w:val="0"/>
          <w:sz w:val="22"/>
          <w:szCs w:val="24"/>
          <w:rtl/>
        </w:rPr>
        <w:t>הסמכות המכוננת הראשונית</w:t>
      </w:r>
      <w:r w:rsidRPr="007C3B90">
        <w:rPr>
          <w:rFonts w:hint="cs"/>
          <w:rtl/>
        </w:rPr>
        <w:t xml:space="preserve">)). </w:t>
      </w:r>
    </w:p>
    <w:p w:rsidR="00BB56BB" w:rsidRPr="007C3B90" w:rsidRDefault="00BB56BB" w:rsidP="00BB56BB">
      <w:pPr>
        <w:pStyle w:val="Ruller4"/>
        <w:numPr>
          <w:ilvl w:val="0"/>
          <w:numId w:val="0"/>
        </w:numPr>
        <w:rPr>
          <w:rtl/>
        </w:rPr>
      </w:pPr>
    </w:p>
    <w:p w:rsidR="00BB56BB" w:rsidRPr="007C3B90" w:rsidRDefault="00BB56BB" w:rsidP="00BB56BB">
      <w:pPr>
        <w:pStyle w:val="Ruller4"/>
        <w:rPr>
          <w:rtl/>
        </w:rPr>
      </w:pPr>
      <w:r w:rsidRPr="007C3B90">
        <w:rPr>
          <w:rFonts w:hint="cs"/>
          <w:rtl/>
        </w:rPr>
        <w:t xml:space="preserve">הנחת היסוד של שיטת המשפט הישראלית היא, כי הכנסת היא-היא הרשות המכוננת, וחקיקת היסוד היא הביטוי לריבונותה ולריבונות העם לעצב לעצמו הסדרים חוקתיים. המחוקק הוא מקור הסמכות העליון בתחום החקיקה, הוא המוסמך לחוקק חקיקה רגילה, והוא המוסמך לחוקק חקיקה חוקתית (עניין </w:t>
      </w:r>
      <w:r w:rsidRPr="007C3B90">
        <w:rPr>
          <w:rFonts w:ascii="Century" w:hAnsi="Century" w:cs="Miriam" w:hint="cs"/>
          <w:b/>
          <w:spacing w:val="0"/>
          <w:szCs w:val="24"/>
          <w:rtl/>
        </w:rPr>
        <w:t>בנק המזרחי</w:t>
      </w:r>
      <w:r w:rsidRPr="007C3B90">
        <w:rPr>
          <w:rFonts w:hint="cs"/>
          <w:rtl/>
        </w:rPr>
        <w:t>, בעמ' 271-270)</w:t>
      </w:r>
      <w:r w:rsidRPr="007C3B90">
        <w:rPr>
          <w:rtl/>
        </w:rPr>
        <w:t>.</w:t>
      </w:r>
      <w:r w:rsidRPr="007C3B90">
        <w:rPr>
          <w:rFonts w:hint="cs"/>
          <w:rtl/>
        </w:rPr>
        <w:t xml:space="preserve"> לצד האמור, למחוקק שמור הכוח לכבול את עצמו ולהגן על ערכי יסוד באמצעות שריונן של הוראות חוקי-היסוד מפני שינויין. יכולת הכבילה של המחוקק היא חלק מריבונותו. כבילה זו עוסקת ביחסים שבין מכונן החוקה לבין מתקן החוקה, ועניינה בשאלה כיצד מתקן החוקה מוסמך לשנותה (</w:t>
      </w:r>
      <w:r w:rsidRPr="007C3B90">
        <w:rPr>
          <w:rFonts w:hint="eastAsia"/>
          <w:rtl/>
        </w:rPr>
        <w:t>רבקה</w:t>
      </w:r>
      <w:r w:rsidRPr="007C3B90">
        <w:rPr>
          <w:rtl/>
        </w:rPr>
        <w:t xml:space="preserve"> </w:t>
      </w:r>
      <w:r w:rsidRPr="007C3B90">
        <w:rPr>
          <w:rFonts w:hint="eastAsia"/>
          <w:rtl/>
        </w:rPr>
        <w:t>ווייל</w:t>
      </w:r>
      <w:r w:rsidRPr="007C3B90">
        <w:rPr>
          <w:rtl/>
        </w:rPr>
        <w:t xml:space="preserve"> "</w:t>
      </w:r>
      <w:r w:rsidRPr="007C3B90">
        <w:rPr>
          <w:rFonts w:hint="eastAsia"/>
          <w:rtl/>
        </w:rPr>
        <w:t>עשרים</w:t>
      </w:r>
      <w:r w:rsidRPr="007C3B90">
        <w:rPr>
          <w:rtl/>
        </w:rPr>
        <w:t xml:space="preserve"> </w:t>
      </w:r>
      <w:r w:rsidRPr="007C3B90">
        <w:rPr>
          <w:rFonts w:hint="eastAsia"/>
          <w:rtl/>
        </w:rPr>
        <w:t>שנה</w:t>
      </w:r>
      <w:r w:rsidRPr="007C3B90">
        <w:rPr>
          <w:rtl/>
        </w:rPr>
        <w:t xml:space="preserve"> </w:t>
      </w:r>
      <w:r w:rsidRPr="007C3B90">
        <w:rPr>
          <w:rFonts w:hint="eastAsia"/>
          <w:rtl/>
        </w:rPr>
        <w:t>לבנק</w:t>
      </w:r>
      <w:r w:rsidRPr="007C3B90">
        <w:rPr>
          <w:rtl/>
        </w:rPr>
        <w:t xml:space="preserve"> </w:t>
      </w:r>
      <w:r w:rsidRPr="007C3B90">
        <w:rPr>
          <w:rFonts w:hint="eastAsia"/>
          <w:rtl/>
        </w:rPr>
        <w:t>המזרחי</w:t>
      </w:r>
      <w:r w:rsidRPr="007C3B90">
        <w:rPr>
          <w:rtl/>
        </w:rPr>
        <w:t xml:space="preserve">: </w:t>
      </w:r>
      <w:r w:rsidRPr="007C3B90">
        <w:rPr>
          <w:rFonts w:hint="eastAsia"/>
          <w:rtl/>
        </w:rPr>
        <w:t>סיפורה</w:t>
      </w:r>
      <w:r w:rsidRPr="007C3B90">
        <w:rPr>
          <w:rtl/>
        </w:rPr>
        <w:t xml:space="preserve"> </w:t>
      </w:r>
      <w:r w:rsidRPr="007C3B90">
        <w:rPr>
          <w:rFonts w:hint="eastAsia"/>
          <w:rtl/>
        </w:rPr>
        <w:t>הפיקנטי</w:t>
      </w:r>
      <w:r w:rsidRPr="007C3B90">
        <w:rPr>
          <w:rtl/>
        </w:rPr>
        <w:t xml:space="preserve"> </w:t>
      </w:r>
      <w:r w:rsidRPr="007C3B90">
        <w:rPr>
          <w:rFonts w:hint="eastAsia"/>
          <w:rtl/>
        </w:rPr>
        <w:t>של</w:t>
      </w:r>
      <w:r w:rsidRPr="007C3B90">
        <w:rPr>
          <w:rtl/>
        </w:rPr>
        <w:t xml:space="preserve"> </w:t>
      </w:r>
      <w:r w:rsidRPr="007C3B90">
        <w:rPr>
          <w:rFonts w:hint="eastAsia"/>
          <w:rtl/>
        </w:rPr>
        <w:t>חוקת</w:t>
      </w:r>
      <w:r w:rsidRPr="007C3B90">
        <w:rPr>
          <w:rtl/>
        </w:rPr>
        <w:t xml:space="preserve"> </w:t>
      </w:r>
      <w:r w:rsidRPr="007C3B90">
        <w:rPr>
          <w:rFonts w:hint="eastAsia"/>
          <w:rtl/>
        </w:rPr>
        <w:t>הכלאיים</w:t>
      </w:r>
      <w:r w:rsidRPr="007C3B90">
        <w:rPr>
          <w:rtl/>
        </w:rPr>
        <w:t xml:space="preserve"> </w:t>
      </w:r>
      <w:r w:rsidRPr="007C3B90">
        <w:rPr>
          <w:rFonts w:hint="eastAsia"/>
          <w:rtl/>
        </w:rPr>
        <w:t>הישראלית</w:t>
      </w:r>
      <w:r w:rsidRPr="007C3B90">
        <w:rPr>
          <w:rtl/>
        </w:rPr>
        <w:t>"</w:t>
      </w:r>
      <w:r w:rsidRPr="007C3B90">
        <w:rPr>
          <w:rFonts w:hint="cs"/>
          <w:rtl/>
        </w:rPr>
        <w:t xml:space="preserve"> </w:t>
      </w:r>
      <w:r w:rsidRPr="007C3B90">
        <w:rPr>
          <w:rFonts w:ascii="Century" w:hAnsi="Century" w:cs="Miriam" w:hint="eastAsia"/>
          <w:b/>
          <w:spacing w:val="0"/>
          <w:szCs w:val="24"/>
          <w:rtl/>
        </w:rPr>
        <w:t>עיוני</w:t>
      </w:r>
      <w:r w:rsidRPr="007C3B90">
        <w:rPr>
          <w:rFonts w:ascii="Century" w:hAnsi="Century" w:cs="Miriam"/>
          <w:b/>
          <w:spacing w:val="0"/>
          <w:szCs w:val="24"/>
          <w:rtl/>
        </w:rPr>
        <w:t xml:space="preserve"> </w:t>
      </w:r>
      <w:r w:rsidRPr="007C3B90">
        <w:rPr>
          <w:rFonts w:ascii="Century" w:hAnsi="Century" w:cs="Miriam" w:hint="eastAsia"/>
          <w:b/>
          <w:spacing w:val="0"/>
          <w:szCs w:val="24"/>
          <w:rtl/>
        </w:rPr>
        <w:t>משפט</w:t>
      </w:r>
      <w:r w:rsidRPr="007C3B90">
        <w:rPr>
          <w:rtl/>
        </w:rPr>
        <w:t xml:space="preserve"> </w:t>
      </w:r>
      <w:r w:rsidRPr="007C3B90">
        <w:rPr>
          <w:rFonts w:hint="eastAsia"/>
          <w:rtl/>
        </w:rPr>
        <w:t>לח</w:t>
      </w:r>
      <w:r w:rsidRPr="007C3B90">
        <w:rPr>
          <w:rtl/>
        </w:rPr>
        <w:t xml:space="preserve"> 501, </w:t>
      </w:r>
      <w:r w:rsidRPr="007C3B90">
        <w:rPr>
          <w:rFonts w:hint="cs"/>
          <w:rtl/>
        </w:rPr>
        <w:t>519</w:t>
      </w:r>
      <w:r w:rsidRPr="007C3B90">
        <w:rPr>
          <w:rtl/>
        </w:rPr>
        <w:t xml:space="preserve"> (2016)</w:t>
      </w:r>
      <w:r w:rsidRPr="007C3B90">
        <w:rPr>
          <w:rFonts w:hint="cs"/>
          <w:rtl/>
        </w:rPr>
        <w:t xml:space="preserve"> (להלן: </w:t>
      </w:r>
      <w:r w:rsidRPr="007C3B90">
        <w:rPr>
          <w:rFonts w:ascii="Century" w:hAnsi="Century" w:cs="Miriam" w:hint="cs"/>
          <w:b/>
          <w:spacing w:val="0"/>
          <w:szCs w:val="24"/>
          <w:rtl/>
        </w:rPr>
        <w:t>ווייל</w:t>
      </w:r>
      <w:r w:rsidRPr="007C3B90">
        <w:rPr>
          <w:rtl/>
        </w:rPr>
        <w:t>)</w:t>
      </w:r>
      <w:r w:rsidRPr="007C3B90">
        <w:rPr>
          <w:rFonts w:hint="cs"/>
          <w:rtl/>
        </w:rPr>
        <w:t xml:space="preserve">). בהתאם לתפיסה זו, רשאי המחוקק לכלול בחוקה הוראות שריון המטילות מגבלות על כוחה של הרשות המכוננת לשנות מהוראות החוקה, בין אם אלה מגבלות דיוניות-צורניות (למשל, דרישה לרוב מיוחס), ובין אם אלה מגבלות מהותיות (למשל, "הוראת נצחיות"). בכלל זה הוא מוסמך לקבוע כי נורמה חוקתית לא תשונה אלא בהליך מיוחד, או לא תשונה כלל. הגבלה זו של יכולת החקיקה נובעת מן המחוקק-מכונן עצמו, ואין בה כדי לפגוע בריבונותו או עליונותו (ראו: רות גביזון "המהפכה החוקתית </w:t>
      </w:r>
      <w:r w:rsidRPr="007C3B90">
        <w:rPr>
          <w:rtl/>
        </w:rPr>
        <w:t>–</w:t>
      </w:r>
      <w:r w:rsidRPr="007C3B90">
        <w:rPr>
          <w:rFonts w:hint="cs"/>
          <w:rtl/>
        </w:rPr>
        <w:t xml:space="preserve"> תיאור מציאות או נבואה המגשימה את עצמה?" </w:t>
      </w:r>
      <w:r w:rsidRPr="007C3B90">
        <w:rPr>
          <w:rFonts w:ascii="Century" w:hAnsi="Century" w:cs="Miriam" w:hint="cs"/>
          <w:b/>
          <w:spacing w:val="0"/>
          <w:szCs w:val="24"/>
          <w:rtl/>
        </w:rPr>
        <w:t>משפטים</w:t>
      </w:r>
      <w:r w:rsidRPr="007C3B90">
        <w:rPr>
          <w:rFonts w:hint="cs"/>
          <w:rtl/>
        </w:rPr>
        <w:t xml:space="preserve"> כח 21, 35 ו-51-47 (1997); קלוד קליין "הסמכות המכוננת במדינת ישראל" </w:t>
      </w:r>
      <w:r w:rsidRPr="007C3B90">
        <w:rPr>
          <w:rFonts w:ascii="Century" w:hAnsi="Century" w:cs="Miriam" w:hint="cs"/>
          <w:b/>
          <w:spacing w:val="0"/>
          <w:szCs w:val="24"/>
          <w:rtl/>
        </w:rPr>
        <w:t>משפטים</w:t>
      </w:r>
      <w:r w:rsidRPr="007C3B90">
        <w:rPr>
          <w:rFonts w:hint="cs"/>
          <w:rtl/>
        </w:rPr>
        <w:t xml:space="preserve"> ב 51, 54 (התש"ל); </w:t>
      </w:r>
      <w:r w:rsidRPr="007C3B90">
        <w:rPr>
          <w:rFonts w:ascii="Century" w:hAnsi="Century" w:cs="Miriam" w:hint="cs"/>
          <w:b/>
          <w:spacing w:val="0"/>
          <w:szCs w:val="24"/>
          <w:rtl/>
        </w:rPr>
        <w:t>רובינשטיין ומדינה</w:t>
      </w:r>
      <w:r w:rsidRPr="007C3B90">
        <w:rPr>
          <w:rFonts w:hint="cs"/>
          <w:rtl/>
        </w:rPr>
        <w:t>,</w:t>
      </w:r>
      <w:r>
        <w:rPr>
          <w:rFonts w:hint="cs"/>
          <w:rtl/>
        </w:rPr>
        <w:t xml:space="preserve"> בעמ'</w:t>
      </w:r>
      <w:r w:rsidRPr="007C3B90">
        <w:rPr>
          <w:rFonts w:hint="cs"/>
          <w:rtl/>
        </w:rPr>
        <w:t xml:space="preserve"> 313-311; עניין </w:t>
      </w:r>
      <w:r w:rsidRPr="007C3B90">
        <w:rPr>
          <w:rFonts w:ascii="Century" w:hAnsi="Century" w:cs="Miriam" w:hint="cs"/>
          <w:b/>
          <w:spacing w:val="0"/>
          <w:szCs w:val="24"/>
          <w:rtl/>
        </w:rPr>
        <w:t>בן מאיר</w:t>
      </w:r>
      <w:r w:rsidRPr="007C3B90">
        <w:rPr>
          <w:rFonts w:ascii="Century" w:hAnsi="Century" w:hint="cs"/>
          <w:sz w:val="22"/>
          <w:rtl/>
        </w:rPr>
        <w:t>,</w:t>
      </w:r>
      <w:r w:rsidRPr="007C3B90">
        <w:rPr>
          <w:rFonts w:ascii="Century" w:hAnsi="Century" w:cs="Miriam" w:hint="cs"/>
          <w:b/>
          <w:spacing w:val="0"/>
          <w:szCs w:val="24"/>
          <w:rtl/>
        </w:rPr>
        <w:t xml:space="preserve"> </w:t>
      </w:r>
      <w:r w:rsidRPr="007C3B90">
        <w:rPr>
          <w:rFonts w:hint="cs"/>
          <w:rtl/>
        </w:rPr>
        <w:t xml:space="preserve">בפסקאות 10-9 לפסק דינו של השופט </w:t>
      </w:r>
      <w:r w:rsidRPr="007C3B90">
        <w:rPr>
          <w:rFonts w:ascii="Century" w:hAnsi="Century" w:cs="Miriam" w:hint="cs"/>
          <w:b/>
          <w:spacing w:val="0"/>
          <w:szCs w:val="24"/>
          <w:rtl/>
        </w:rPr>
        <w:t>מ' מזוז</w:t>
      </w:r>
      <w:r w:rsidRPr="007C3B90">
        <w:rPr>
          <w:rFonts w:hint="cs"/>
          <w:rtl/>
        </w:rPr>
        <w:t xml:space="preserve">). עמד על כך הנשיא </w:t>
      </w:r>
      <w:r w:rsidRPr="007C3B90">
        <w:rPr>
          <w:rFonts w:ascii="Century" w:hAnsi="Century" w:cs="Miriam" w:hint="cs"/>
          <w:b/>
          <w:spacing w:val="0"/>
          <w:szCs w:val="24"/>
          <w:rtl/>
        </w:rPr>
        <w:t>שמגר</w:t>
      </w:r>
      <w:r w:rsidRPr="007C3B90">
        <w:rPr>
          <w:rFonts w:hint="cs"/>
          <w:rtl/>
        </w:rPr>
        <w:t xml:space="preserve"> בעניין </w:t>
      </w:r>
      <w:r w:rsidRPr="007C3B90">
        <w:rPr>
          <w:rFonts w:ascii="Century" w:hAnsi="Century" w:cs="Miriam" w:hint="cs"/>
          <w:b/>
          <w:spacing w:val="0"/>
          <w:szCs w:val="24"/>
          <w:rtl/>
        </w:rPr>
        <w:t>בנק המזרחי</w:t>
      </w:r>
      <w:r w:rsidRPr="007C3B90">
        <w:rPr>
          <w:rFonts w:hint="cs"/>
          <w:rtl/>
        </w:rPr>
        <w:t xml:space="preserve">: </w:t>
      </w:r>
      <w:r w:rsidRPr="007C3B90">
        <w:rPr>
          <w:rtl/>
        </w:rPr>
        <w:br/>
      </w:r>
    </w:p>
    <w:p w:rsidR="00BB56BB" w:rsidRPr="007C3B90" w:rsidRDefault="00BB56BB" w:rsidP="00BB56BB">
      <w:pPr>
        <w:pStyle w:val="Ruller5"/>
        <w:rPr>
          <w:rFonts w:ascii="FrankRuehl" w:hAnsi="FrankRuehl"/>
          <w:color w:val="000000"/>
          <w:spacing w:val="0"/>
          <w:sz w:val="27"/>
          <w:szCs w:val="27"/>
          <w:rtl/>
        </w:rPr>
      </w:pPr>
      <w:r w:rsidRPr="007C3B90">
        <w:rPr>
          <w:rFonts w:hint="cs"/>
          <w:rtl/>
        </w:rPr>
        <w:t>"</w:t>
      </w:r>
      <w:r w:rsidRPr="007C3B90">
        <w:rPr>
          <w:rtl/>
        </w:rPr>
        <w:t xml:space="preserve">כוחה של הכנסת – כבית המחוקקים הריבוני לחוקק הוראות חוק מכל סוג ומכל תוכן, ובכלל זה לשריין בחקיקה (בהיבט הצורני או התוכני) ערכי יסוד של מדינת ישראל ולכבול בכך את עצמה וכל כנסת שאחריה, וזאת בכפיפות לסמכות שינוי או ביטול הכבילה בדרך הנקבעת על-ידי הכנסת. ערכים אלו הם ערכים אשר מתאפיינים בקונצנזוס חברתי רחב. לכאורה, יש אכן בתיזה זו כדי להפחית מכוחה החקיקתי העתידי הכל-יכול של הכנסת, כי כנסת אחת כובלת, כאמור, במעשה החוקתי את כוח החקיקה של עצמה ושל </w:t>
      </w:r>
      <w:r w:rsidRPr="007C3B90">
        <w:rPr>
          <w:rFonts w:hint="eastAsia"/>
          <w:rtl/>
        </w:rPr>
        <w:t>כנסת</w:t>
      </w:r>
      <w:r w:rsidRPr="007C3B90">
        <w:rPr>
          <w:rtl/>
        </w:rPr>
        <w:t xml:space="preserve"> </w:t>
      </w:r>
      <w:r w:rsidRPr="007C3B90">
        <w:rPr>
          <w:rFonts w:hint="eastAsia"/>
          <w:rtl/>
        </w:rPr>
        <w:t>אחרת</w:t>
      </w:r>
      <w:r w:rsidRPr="007C3B90">
        <w:rPr>
          <w:rtl/>
        </w:rPr>
        <w:t xml:space="preserve">. </w:t>
      </w:r>
      <w:r w:rsidRPr="007C3B90">
        <w:rPr>
          <w:rFonts w:hint="eastAsia"/>
          <w:rtl/>
        </w:rPr>
        <w:t>אולם</w:t>
      </w:r>
      <w:r w:rsidRPr="007C3B90">
        <w:rPr>
          <w:rtl/>
        </w:rPr>
        <w:t xml:space="preserve"> </w:t>
      </w:r>
      <w:r w:rsidRPr="007C3B90">
        <w:rPr>
          <w:rFonts w:hint="eastAsia"/>
          <w:rtl/>
        </w:rPr>
        <w:t>זהו</w:t>
      </w:r>
      <w:r w:rsidRPr="007C3B90">
        <w:rPr>
          <w:rtl/>
        </w:rPr>
        <w:t xml:space="preserve"> </w:t>
      </w:r>
      <w:r w:rsidRPr="007C3B90">
        <w:rPr>
          <w:rFonts w:hint="eastAsia"/>
          <w:rtl/>
        </w:rPr>
        <w:t>מעין</w:t>
      </w:r>
      <w:r w:rsidRPr="007C3B90">
        <w:rPr>
          <w:rtl/>
        </w:rPr>
        <w:t xml:space="preserve"> </w:t>
      </w:r>
      <w:r w:rsidRPr="007C3B90">
        <w:rPr>
          <w:rFonts w:hint="eastAsia"/>
          <w:rtl/>
        </w:rPr>
        <w:t>פרדוקס</w:t>
      </w:r>
      <w:r w:rsidRPr="007C3B90">
        <w:rPr>
          <w:rtl/>
        </w:rPr>
        <w:t xml:space="preserve"> </w:t>
      </w:r>
      <w:r w:rsidRPr="007C3B90">
        <w:rPr>
          <w:rFonts w:hint="eastAsia"/>
          <w:rtl/>
        </w:rPr>
        <w:t>חוקתי</w:t>
      </w:r>
      <w:r w:rsidRPr="007C3B90">
        <w:rPr>
          <w:rtl/>
        </w:rPr>
        <w:t xml:space="preserve"> </w:t>
      </w:r>
      <w:r w:rsidRPr="007C3B90">
        <w:rPr>
          <w:rFonts w:hint="eastAsia"/>
          <w:rtl/>
        </w:rPr>
        <w:t>קלאסי</w:t>
      </w:r>
      <w:r w:rsidRPr="007C3B90">
        <w:rPr>
          <w:rtl/>
        </w:rPr>
        <w:t xml:space="preserve"> </w:t>
      </w:r>
      <w:r w:rsidRPr="007C3B90">
        <w:rPr>
          <w:rFonts w:hint="eastAsia"/>
          <w:rtl/>
        </w:rPr>
        <w:t>של</w:t>
      </w:r>
      <w:r w:rsidRPr="007C3B90">
        <w:rPr>
          <w:rtl/>
        </w:rPr>
        <w:t xml:space="preserve"> </w:t>
      </w:r>
      <w:r w:rsidRPr="007C3B90">
        <w:rPr>
          <w:rFonts w:hint="eastAsia"/>
          <w:rtl/>
        </w:rPr>
        <w:t>ריבונות</w:t>
      </w:r>
      <w:r w:rsidRPr="007C3B90">
        <w:rPr>
          <w:rtl/>
        </w:rPr>
        <w:t xml:space="preserve"> </w:t>
      </w:r>
      <w:r w:rsidRPr="007C3B90">
        <w:rPr>
          <w:rFonts w:hint="eastAsia"/>
          <w:rtl/>
        </w:rPr>
        <w:t>המחוקק</w:t>
      </w:r>
      <w:r w:rsidRPr="007C3B90">
        <w:rPr>
          <w:rtl/>
        </w:rPr>
        <w:t xml:space="preserve">: </w:t>
      </w:r>
      <w:r w:rsidRPr="007C3B90">
        <w:rPr>
          <w:rFonts w:hint="eastAsia"/>
          <w:rtl/>
        </w:rPr>
        <w:t>בהנחה</w:t>
      </w:r>
      <w:r w:rsidRPr="007C3B90">
        <w:rPr>
          <w:rtl/>
        </w:rPr>
        <w:t xml:space="preserve"> </w:t>
      </w:r>
      <w:r w:rsidRPr="007C3B90">
        <w:rPr>
          <w:rFonts w:hint="eastAsia"/>
          <w:rtl/>
        </w:rPr>
        <w:t>שהכנסת</w:t>
      </w:r>
      <w:r w:rsidRPr="007C3B90">
        <w:rPr>
          <w:rtl/>
        </w:rPr>
        <w:t xml:space="preserve"> </w:t>
      </w:r>
      <w:r w:rsidRPr="007C3B90">
        <w:rPr>
          <w:rFonts w:hint="eastAsia"/>
          <w:rtl/>
        </w:rPr>
        <w:t>היא</w:t>
      </w:r>
      <w:r w:rsidRPr="007C3B90">
        <w:rPr>
          <w:rtl/>
        </w:rPr>
        <w:t xml:space="preserve"> </w:t>
      </w:r>
      <w:r w:rsidRPr="007C3B90">
        <w:rPr>
          <w:rFonts w:hint="eastAsia"/>
          <w:rtl/>
        </w:rPr>
        <w:t>ריבונית</w:t>
      </w:r>
      <w:r w:rsidRPr="007C3B90">
        <w:rPr>
          <w:rtl/>
        </w:rPr>
        <w:t xml:space="preserve">, </w:t>
      </w:r>
      <w:r w:rsidRPr="007C3B90">
        <w:rPr>
          <w:rFonts w:hint="eastAsia"/>
          <w:rtl/>
        </w:rPr>
        <w:t>הרי</w:t>
      </w:r>
      <w:r w:rsidRPr="007C3B90">
        <w:rPr>
          <w:rtl/>
        </w:rPr>
        <w:t xml:space="preserve"> </w:t>
      </w:r>
      <w:r w:rsidRPr="007C3B90">
        <w:rPr>
          <w:rFonts w:hint="eastAsia"/>
          <w:rtl/>
        </w:rPr>
        <w:t>שהיא</w:t>
      </w:r>
      <w:r w:rsidRPr="007C3B90">
        <w:rPr>
          <w:rtl/>
        </w:rPr>
        <w:t xml:space="preserve"> </w:t>
      </w:r>
      <w:r w:rsidRPr="007C3B90">
        <w:rPr>
          <w:rFonts w:hint="eastAsia"/>
          <w:rtl/>
        </w:rPr>
        <w:t>רשאית</w:t>
      </w:r>
      <w:r w:rsidRPr="007C3B90">
        <w:rPr>
          <w:rtl/>
        </w:rPr>
        <w:t xml:space="preserve"> </w:t>
      </w:r>
      <w:r w:rsidRPr="007C3B90">
        <w:rPr>
          <w:rFonts w:hint="eastAsia"/>
          <w:rtl/>
        </w:rPr>
        <w:t>לעשות</w:t>
      </w:r>
      <w:r w:rsidRPr="007C3B90">
        <w:rPr>
          <w:rtl/>
        </w:rPr>
        <w:t xml:space="preserve"> </w:t>
      </w:r>
      <w:r w:rsidRPr="007C3B90">
        <w:rPr>
          <w:rFonts w:hint="eastAsia"/>
          <w:rtl/>
        </w:rPr>
        <w:t>כל</w:t>
      </w:r>
      <w:r w:rsidRPr="007C3B90">
        <w:rPr>
          <w:rtl/>
        </w:rPr>
        <w:t xml:space="preserve"> </w:t>
      </w:r>
      <w:r w:rsidRPr="007C3B90">
        <w:rPr>
          <w:rFonts w:hint="eastAsia"/>
          <w:rtl/>
        </w:rPr>
        <w:t>פעולה</w:t>
      </w:r>
      <w:r w:rsidRPr="007C3B90">
        <w:rPr>
          <w:rtl/>
        </w:rPr>
        <w:t xml:space="preserve">, </w:t>
      </w:r>
      <w:r w:rsidRPr="007C3B90">
        <w:rPr>
          <w:rFonts w:hint="eastAsia"/>
          <w:rtl/>
        </w:rPr>
        <w:t>לרבות</w:t>
      </w:r>
      <w:r w:rsidRPr="007C3B90">
        <w:rPr>
          <w:rtl/>
        </w:rPr>
        <w:t xml:space="preserve"> </w:t>
      </w:r>
      <w:r w:rsidRPr="007C3B90">
        <w:rPr>
          <w:rFonts w:hint="eastAsia"/>
          <w:rtl/>
        </w:rPr>
        <w:t>כבילתה</w:t>
      </w:r>
      <w:r w:rsidRPr="007C3B90">
        <w:rPr>
          <w:rtl/>
        </w:rPr>
        <w:t xml:space="preserve"> </w:t>
      </w:r>
      <w:r w:rsidRPr="007C3B90">
        <w:rPr>
          <w:rFonts w:hint="eastAsia"/>
          <w:rtl/>
        </w:rPr>
        <w:t>של</w:t>
      </w:r>
      <w:r w:rsidRPr="007C3B90">
        <w:rPr>
          <w:rtl/>
        </w:rPr>
        <w:t xml:space="preserve"> </w:t>
      </w:r>
      <w:r w:rsidRPr="007C3B90">
        <w:rPr>
          <w:rFonts w:hint="eastAsia"/>
          <w:rtl/>
        </w:rPr>
        <w:t>הכנסת</w:t>
      </w:r>
      <w:r w:rsidRPr="007C3B90">
        <w:rPr>
          <w:rtl/>
        </w:rPr>
        <w:t xml:space="preserve">. </w:t>
      </w:r>
      <w:r w:rsidRPr="007C3B90">
        <w:rPr>
          <w:rFonts w:hint="eastAsia"/>
          <w:rtl/>
        </w:rPr>
        <w:t>במילים</w:t>
      </w:r>
      <w:r w:rsidRPr="007C3B90">
        <w:rPr>
          <w:rtl/>
        </w:rPr>
        <w:t xml:space="preserve"> </w:t>
      </w:r>
      <w:r w:rsidRPr="007C3B90">
        <w:rPr>
          <w:rFonts w:hint="eastAsia"/>
          <w:rtl/>
        </w:rPr>
        <w:t>אחרות</w:t>
      </w:r>
      <w:r w:rsidRPr="007C3B90">
        <w:rPr>
          <w:rtl/>
        </w:rPr>
        <w:t xml:space="preserve">, </w:t>
      </w:r>
      <w:r w:rsidRPr="007C3B90">
        <w:rPr>
          <w:rFonts w:hint="eastAsia"/>
          <w:rtl/>
        </w:rPr>
        <w:t>כבילת</w:t>
      </w:r>
      <w:r w:rsidRPr="007C3B90">
        <w:rPr>
          <w:rtl/>
        </w:rPr>
        <w:t xml:space="preserve"> </w:t>
      </w:r>
      <w:r w:rsidRPr="007C3B90">
        <w:rPr>
          <w:rFonts w:hint="eastAsia"/>
          <w:rtl/>
        </w:rPr>
        <w:t>הכנסת</w:t>
      </w:r>
      <w:r w:rsidRPr="007C3B90">
        <w:rPr>
          <w:rtl/>
        </w:rPr>
        <w:t xml:space="preserve"> </w:t>
      </w:r>
      <w:r w:rsidRPr="007C3B90">
        <w:rPr>
          <w:rFonts w:hint="eastAsia"/>
          <w:rtl/>
        </w:rPr>
        <w:t>מכרסמת</w:t>
      </w:r>
      <w:r w:rsidRPr="007C3B90">
        <w:rPr>
          <w:rtl/>
        </w:rPr>
        <w:t xml:space="preserve"> </w:t>
      </w:r>
      <w:r w:rsidRPr="007C3B90">
        <w:rPr>
          <w:rFonts w:hint="eastAsia"/>
          <w:rtl/>
        </w:rPr>
        <w:t>בריבונות</w:t>
      </w:r>
      <w:r w:rsidRPr="007C3B90">
        <w:rPr>
          <w:rtl/>
        </w:rPr>
        <w:t xml:space="preserve"> </w:t>
      </w:r>
      <w:r w:rsidRPr="007C3B90">
        <w:rPr>
          <w:rFonts w:hint="eastAsia"/>
          <w:rtl/>
        </w:rPr>
        <w:t>הכנסת</w:t>
      </w:r>
      <w:r w:rsidRPr="007C3B90">
        <w:rPr>
          <w:rtl/>
        </w:rPr>
        <w:t xml:space="preserve">. </w:t>
      </w:r>
      <w:r w:rsidRPr="007C3B90">
        <w:rPr>
          <w:rFonts w:hint="eastAsia"/>
          <w:rtl/>
        </w:rPr>
        <w:t>אולם</w:t>
      </w:r>
      <w:r w:rsidRPr="007C3B90">
        <w:rPr>
          <w:rtl/>
        </w:rPr>
        <w:t xml:space="preserve"> </w:t>
      </w:r>
      <w:r w:rsidRPr="007C3B90">
        <w:rPr>
          <w:rFonts w:hint="eastAsia"/>
          <w:rtl/>
        </w:rPr>
        <w:t>תוצאה</w:t>
      </w:r>
      <w:r w:rsidRPr="007C3B90">
        <w:rPr>
          <w:rtl/>
        </w:rPr>
        <w:t xml:space="preserve"> </w:t>
      </w:r>
      <w:r w:rsidRPr="007C3B90">
        <w:rPr>
          <w:rFonts w:hint="eastAsia"/>
          <w:rtl/>
        </w:rPr>
        <w:t>זו</w:t>
      </w:r>
      <w:r w:rsidRPr="007C3B90">
        <w:rPr>
          <w:rtl/>
        </w:rPr>
        <w:t xml:space="preserve"> </w:t>
      </w:r>
      <w:r w:rsidRPr="007C3B90">
        <w:rPr>
          <w:rFonts w:hint="eastAsia"/>
          <w:rtl/>
        </w:rPr>
        <w:t>היא</w:t>
      </w:r>
      <w:r w:rsidRPr="007C3B90">
        <w:rPr>
          <w:rtl/>
        </w:rPr>
        <w:t xml:space="preserve"> </w:t>
      </w:r>
      <w:r w:rsidRPr="007C3B90">
        <w:rPr>
          <w:rFonts w:hint="eastAsia"/>
          <w:rtl/>
        </w:rPr>
        <w:t>פרי</w:t>
      </w:r>
      <w:r w:rsidRPr="007C3B90">
        <w:rPr>
          <w:rtl/>
        </w:rPr>
        <w:t xml:space="preserve"> </w:t>
      </w:r>
      <w:r w:rsidRPr="007C3B90">
        <w:rPr>
          <w:rFonts w:hint="eastAsia"/>
          <w:rtl/>
        </w:rPr>
        <w:t>מעשיה</w:t>
      </w:r>
      <w:r w:rsidRPr="007C3B90">
        <w:rPr>
          <w:rtl/>
        </w:rPr>
        <w:t xml:space="preserve"> </w:t>
      </w:r>
      <w:r w:rsidRPr="007C3B90">
        <w:rPr>
          <w:rFonts w:hint="eastAsia"/>
          <w:rtl/>
        </w:rPr>
        <w:t>של</w:t>
      </w:r>
      <w:r w:rsidRPr="007C3B90">
        <w:rPr>
          <w:rtl/>
        </w:rPr>
        <w:t xml:space="preserve"> </w:t>
      </w:r>
      <w:r w:rsidRPr="007C3B90">
        <w:rPr>
          <w:rFonts w:hint="eastAsia"/>
          <w:rtl/>
        </w:rPr>
        <w:t>הכנסת</w:t>
      </w:r>
      <w:r w:rsidRPr="007C3B90">
        <w:rPr>
          <w:rtl/>
        </w:rPr>
        <w:t xml:space="preserve"> </w:t>
      </w:r>
      <w:r w:rsidRPr="007C3B90">
        <w:rPr>
          <w:rFonts w:hint="eastAsia"/>
          <w:rtl/>
        </w:rPr>
        <w:t>עצמה</w:t>
      </w:r>
      <w:r w:rsidRPr="007C3B90">
        <w:rPr>
          <w:rtl/>
        </w:rPr>
        <w:t xml:space="preserve">. </w:t>
      </w:r>
      <w:r w:rsidRPr="007C3B90">
        <w:rPr>
          <w:rFonts w:hint="eastAsia"/>
          <w:rtl/>
        </w:rPr>
        <w:t>היא</w:t>
      </w:r>
      <w:r w:rsidRPr="007C3B90">
        <w:rPr>
          <w:rtl/>
        </w:rPr>
        <w:t xml:space="preserve"> </w:t>
      </w:r>
      <w:r w:rsidRPr="007C3B90">
        <w:rPr>
          <w:rFonts w:hint="eastAsia"/>
          <w:rtl/>
        </w:rPr>
        <w:t>המחוקקת</w:t>
      </w:r>
      <w:r w:rsidRPr="007C3B90">
        <w:rPr>
          <w:rtl/>
        </w:rPr>
        <w:t xml:space="preserve"> </w:t>
      </w:r>
      <w:r w:rsidRPr="007C3B90">
        <w:rPr>
          <w:rFonts w:hint="eastAsia"/>
          <w:rtl/>
        </w:rPr>
        <w:t>והיא</w:t>
      </w:r>
      <w:r w:rsidRPr="007C3B90">
        <w:rPr>
          <w:rtl/>
        </w:rPr>
        <w:t xml:space="preserve"> </w:t>
      </w:r>
      <w:r w:rsidRPr="007C3B90">
        <w:rPr>
          <w:rFonts w:hint="eastAsia"/>
          <w:rtl/>
        </w:rPr>
        <w:lastRenderedPageBreak/>
        <w:t>הכובלת</w:t>
      </w:r>
      <w:r w:rsidRPr="007C3B90">
        <w:rPr>
          <w:rtl/>
        </w:rPr>
        <w:t xml:space="preserve"> </w:t>
      </w:r>
      <w:r w:rsidRPr="007C3B90">
        <w:rPr>
          <w:rFonts w:hint="eastAsia"/>
          <w:rtl/>
        </w:rPr>
        <w:t>תוך</w:t>
      </w:r>
      <w:r w:rsidRPr="007C3B90">
        <w:rPr>
          <w:rtl/>
        </w:rPr>
        <w:t xml:space="preserve"> </w:t>
      </w:r>
      <w:r w:rsidRPr="007C3B90">
        <w:rPr>
          <w:rFonts w:hint="eastAsia"/>
          <w:rtl/>
        </w:rPr>
        <w:t>כדי</w:t>
      </w:r>
      <w:r w:rsidRPr="007C3B90">
        <w:rPr>
          <w:rtl/>
        </w:rPr>
        <w:t xml:space="preserve"> </w:t>
      </w:r>
      <w:r w:rsidRPr="007C3B90">
        <w:rPr>
          <w:rFonts w:hint="eastAsia"/>
          <w:rtl/>
        </w:rPr>
        <w:t>כך</w:t>
      </w:r>
      <w:r w:rsidRPr="007C3B90">
        <w:rPr>
          <w:rtl/>
        </w:rPr>
        <w:t xml:space="preserve">, </w:t>
      </w:r>
      <w:r w:rsidRPr="007C3B90">
        <w:rPr>
          <w:rFonts w:hint="eastAsia"/>
          <w:rtl/>
        </w:rPr>
        <w:t>והיא</w:t>
      </w:r>
      <w:r w:rsidRPr="007C3B90">
        <w:rPr>
          <w:rtl/>
        </w:rPr>
        <w:t xml:space="preserve"> </w:t>
      </w:r>
      <w:r w:rsidRPr="007C3B90">
        <w:rPr>
          <w:rFonts w:hint="eastAsia"/>
          <w:rtl/>
        </w:rPr>
        <w:t>המוסמכת</w:t>
      </w:r>
      <w:r w:rsidRPr="007C3B90">
        <w:rPr>
          <w:rtl/>
        </w:rPr>
        <w:t xml:space="preserve"> </w:t>
      </w:r>
      <w:r w:rsidRPr="007C3B90">
        <w:rPr>
          <w:rFonts w:hint="eastAsia"/>
          <w:rtl/>
        </w:rPr>
        <w:t>להסיר</w:t>
      </w:r>
      <w:r w:rsidRPr="007C3B90">
        <w:rPr>
          <w:rtl/>
        </w:rPr>
        <w:t xml:space="preserve"> </w:t>
      </w:r>
      <w:r w:rsidRPr="007C3B90">
        <w:rPr>
          <w:rFonts w:hint="eastAsia"/>
          <w:rtl/>
        </w:rPr>
        <w:t>את</w:t>
      </w:r>
      <w:r w:rsidRPr="007C3B90">
        <w:rPr>
          <w:rtl/>
        </w:rPr>
        <w:t xml:space="preserve"> </w:t>
      </w:r>
      <w:r w:rsidRPr="007C3B90">
        <w:rPr>
          <w:rFonts w:hint="eastAsia"/>
          <w:rtl/>
        </w:rPr>
        <w:t>הכבלים</w:t>
      </w:r>
      <w:r w:rsidRPr="007C3B90">
        <w:rPr>
          <w:rtl/>
        </w:rPr>
        <w:t xml:space="preserve"> </w:t>
      </w:r>
      <w:r w:rsidRPr="007C3B90">
        <w:rPr>
          <w:rFonts w:hint="eastAsia"/>
          <w:rtl/>
        </w:rPr>
        <w:t>בדרכים</w:t>
      </w:r>
      <w:r w:rsidRPr="007C3B90">
        <w:rPr>
          <w:rtl/>
        </w:rPr>
        <w:t xml:space="preserve"> </w:t>
      </w:r>
      <w:r w:rsidRPr="007C3B90">
        <w:rPr>
          <w:rFonts w:hint="eastAsia"/>
          <w:rtl/>
        </w:rPr>
        <w:t>שקבעה</w:t>
      </w:r>
      <w:r w:rsidRPr="007C3B90">
        <w:rPr>
          <w:rtl/>
        </w:rPr>
        <w:t xml:space="preserve"> </w:t>
      </w:r>
      <w:r w:rsidRPr="007C3B90">
        <w:rPr>
          <w:rFonts w:hint="eastAsia"/>
          <w:rtl/>
        </w:rPr>
        <w:t>לעצמה</w:t>
      </w:r>
      <w:r w:rsidRPr="007C3B90">
        <w:rPr>
          <w:rtl/>
        </w:rPr>
        <w:t>" (</w:t>
      </w:r>
      <w:r w:rsidRPr="007C3B90">
        <w:rPr>
          <w:rFonts w:ascii="Century" w:hAnsi="Century" w:cs="Miriam" w:hint="cs"/>
          <w:b/>
          <w:spacing w:val="0"/>
          <w:szCs w:val="24"/>
          <w:rtl/>
        </w:rPr>
        <w:t>עניין בנק המזרחי</w:t>
      </w:r>
      <w:r w:rsidRPr="007C3B90">
        <w:rPr>
          <w:rtl/>
        </w:rPr>
        <w:t xml:space="preserve">, </w:t>
      </w:r>
      <w:r w:rsidRPr="007C3B90">
        <w:rPr>
          <w:rFonts w:hint="eastAsia"/>
          <w:rtl/>
        </w:rPr>
        <w:t>בעמ</w:t>
      </w:r>
      <w:r w:rsidRPr="007C3B90">
        <w:rPr>
          <w:rtl/>
        </w:rPr>
        <w:t>' 289).</w:t>
      </w:r>
    </w:p>
    <w:p w:rsidR="00BB56BB" w:rsidRPr="007C3B90" w:rsidRDefault="00BB56BB" w:rsidP="00BB56BB">
      <w:pPr>
        <w:pStyle w:val="Ruller4"/>
        <w:numPr>
          <w:ilvl w:val="0"/>
          <w:numId w:val="0"/>
        </w:numPr>
        <w:rPr>
          <w:rtl/>
        </w:rPr>
      </w:pPr>
    </w:p>
    <w:p w:rsidR="00BB56BB" w:rsidRPr="007C3B90" w:rsidRDefault="00BB56BB" w:rsidP="00BB56BB">
      <w:pPr>
        <w:pStyle w:val="Ruller4"/>
        <w:numPr>
          <w:ilvl w:val="0"/>
          <w:numId w:val="0"/>
        </w:numPr>
        <w:rPr>
          <w:rtl/>
        </w:rPr>
      </w:pPr>
      <w:r w:rsidRPr="007C3B90">
        <w:rPr>
          <w:rtl/>
        </w:rPr>
        <w:tab/>
      </w:r>
      <w:r w:rsidRPr="007C3B90">
        <w:rPr>
          <w:rFonts w:hint="cs"/>
          <w:rtl/>
        </w:rPr>
        <w:t xml:space="preserve">הגבלות אלה עשויות לחול הן על חקיקה רגילה והן על חקיקת יסוד: </w:t>
      </w:r>
    </w:p>
    <w:p w:rsidR="00BB56BB" w:rsidRPr="007C3B90" w:rsidRDefault="00BB56BB" w:rsidP="00BB56BB">
      <w:pPr>
        <w:pStyle w:val="Ruller4"/>
        <w:numPr>
          <w:ilvl w:val="0"/>
          <w:numId w:val="0"/>
        </w:numPr>
        <w:rPr>
          <w:rtl/>
        </w:rPr>
      </w:pPr>
    </w:p>
    <w:p w:rsidR="00BB56BB" w:rsidRPr="007C3B90" w:rsidRDefault="00BB56BB" w:rsidP="00BB56BB">
      <w:pPr>
        <w:pStyle w:val="Ruller5"/>
        <w:rPr>
          <w:rFonts w:ascii="Times New Roman" w:hAnsi="Times New Roman" w:cs="Times New Roman"/>
          <w:color w:val="000000"/>
          <w:spacing w:val="0"/>
          <w:sz w:val="28"/>
          <w:rtl/>
        </w:rPr>
      </w:pPr>
      <w:r w:rsidRPr="007C3B90">
        <w:rPr>
          <w:rFonts w:hint="cs"/>
          <w:rtl/>
        </w:rPr>
        <w:t>"</w:t>
      </w:r>
      <w:r w:rsidRPr="007C3B90">
        <w:rPr>
          <w:rFonts w:hint="eastAsia"/>
          <w:rtl/>
        </w:rPr>
        <w:t>הכנסת</w:t>
      </w:r>
      <w:r w:rsidRPr="007C3B90">
        <w:rPr>
          <w:rtl/>
        </w:rPr>
        <w:t xml:space="preserve"> </w:t>
      </w:r>
      <w:r w:rsidRPr="007C3B90">
        <w:rPr>
          <w:rFonts w:hint="eastAsia"/>
          <w:rtl/>
        </w:rPr>
        <w:t>מוסמכת</w:t>
      </w:r>
      <w:r w:rsidRPr="007C3B90">
        <w:rPr>
          <w:rtl/>
        </w:rPr>
        <w:t xml:space="preserve"> </w:t>
      </w:r>
      <w:r w:rsidRPr="007C3B90">
        <w:rPr>
          <w:rFonts w:hint="eastAsia"/>
          <w:rtl/>
        </w:rPr>
        <w:t>לחוקק</w:t>
      </w:r>
      <w:r w:rsidRPr="007C3B90">
        <w:rPr>
          <w:rtl/>
        </w:rPr>
        <w:t xml:space="preserve"> </w:t>
      </w:r>
      <w:r w:rsidRPr="007C3B90">
        <w:rPr>
          <w:rFonts w:hint="eastAsia"/>
          <w:rtl/>
        </w:rPr>
        <w:t>בשני</w:t>
      </w:r>
      <w:r w:rsidRPr="007C3B90">
        <w:rPr>
          <w:rtl/>
        </w:rPr>
        <w:t xml:space="preserve"> </w:t>
      </w:r>
      <w:r w:rsidRPr="007C3B90">
        <w:rPr>
          <w:rFonts w:hint="eastAsia"/>
          <w:rtl/>
        </w:rPr>
        <w:t>מידרגים</w:t>
      </w:r>
      <w:r w:rsidRPr="007C3B90">
        <w:rPr>
          <w:rtl/>
        </w:rPr>
        <w:t xml:space="preserve"> </w:t>
      </w:r>
      <w:r w:rsidRPr="007C3B90">
        <w:rPr>
          <w:rFonts w:hint="eastAsia"/>
          <w:rtl/>
        </w:rPr>
        <w:t>חקיקתיים</w:t>
      </w:r>
      <w:r w:rsidRPr="007C3B90">
        <w:rPr>
          <w:rtl/>
        </w:rPr>
        <w:t xml:space="preserve">, </w:t>
      </w:r>
      <w:r w:rsidRPr="007C3B90">
        <w:rPr>
          <w:rFonts w:hint="eastAsia"/>
          <w:rtl/>
        </w:rPr>
        <w:t>בין</w:t>
      </w:r>
      <w:r w:rsidRPr="007C3B90">
        <w:rPr>
          <w:rtl/>
        </w:rPr>
        <w:t xml:space="preserve"> </w:t>
      </w:r>
      <w:r w:rsidRPr="007C3B90">
        <w:rPr>
          <w:rFonts w:hint="eastAsia"/>
          <w:rtl/>
        </w:rPr>
        <w:t>זה</w:t>
      </w:r>
      <w:r w:rsidRPr="007C3B90">
        <w:rPr>
          <w:rtl/>
        </w:rPr>
        <w:t xml:space="preserve"> </w:t>
      </w:r>
      <w:r w:rsidRPr="007C3B90">
        <w:rPr>
          <w:rFonts w:hint="eastAsia"/>
          <w:rtl/>
        </w:rPr>
        <w:t>החוקתי</w:t>
      </w:r>
      <w:r w:rsidRPr="007C3B90">
        <w:rPr>
          <w:rtl/>
        </w:rPr>
        <w:t xml:space="preserve"> (</w:t>
      </w:r>
      <w:r w:rsidRPr="007C3B90">
        <w:rPr>
          <w:rFonts w:hint="eastAsia"/>
          <w:rtl/>
        </w:rPr>
        <w:t>חוקה</w:t>
      </w:r>
      <w:r w:rsidRPr="007C3B90">
        <w:rPr>
          <w:rtl/>
        </w:rPr>
        <w:t xml:space="preserve"> </w:t>
      </w:r>
      <w:r w:rsidRPr="007C3B90">
        <w:rPr>
          <w:rFonts w:hint="eastAsia"/>
          <w:rtl/>
        </w:rPr>
        <w:t>שלמה</w:t>
      </w:r>
      <w:r w:rsidRPr="007C3B90">
        <w:rPr>
          <w:rtl/>
        </w:rPr>
        <w:t xml:space="preserve"> </w:t>
      </w:r>
      <w:r w:rsidRPr="007C3B90">
        <w:rPr>
          <w:rFonts w:hint="eastAsia"/>
          <w:rtl/>
        </w:rPr>
        <w:t>או</w:t>
      </w:r>
      <w:r w:rsidRPr="007C3B90">
        <w:rPr>
          <w:rtl/>
        </w:rPr>
        <w:t xml:space="preserve"> </w:t>
      </w:r>
      <w:r w:rsidRPr="007C3B90">
        <w:rPr>
          <w:rFonts w:hint="eastAsia"/>
          <w:rtl/>
        </w:rPr>
        <w:t>חוקי</w:t>
      </w:r>
      <w:r w:rsidRPr="007C3B90">
        <w:rPr>
          <w:rtl/>
        </w:rPr>
        <w:t xml:space="preserve"> </w:t>
      </w:r>
      <w:r w:rsidRPr="007C3B90">
        <w:rPr>
          <w:rFonts w:hint="eastAsia"/>
          <w:rtl/>
        </w:rPr>
        <w:t>יסוד</w:t>
      </w:r>
      <w:r w:rsidRPr="007C3B90">
        <w:rPr>
          <w:rtl/>
        </w:rPr>
        <w:t xml:space="preserve">) </w:t>
      </w:r>
      <w:r w:rsidRPr="007C3B90">
        <w:rPr>
          <w:rFonts w:hint="eastAsia"/>
          <w:rtl/>
        </w:rPr>
        <w:t>ובין</w:t>
      </w:r>
      <w:r w:rsidRPr="007C3B90">
        <w:rPr>
          <w:rtl/>
        </w:rPr>
        <w:t xml:space="preserve"> </w:t>
      </w:r>
      <w:r w:rsidRPr="007C3B90">
        <w:rPr>
          <w:rFonts w:hint="eastAsia"/>
          <w:rtl/>
        </w:rPr>
        <w:t>זה</w:t>
      </w:r>
      <w:r w:rsidRPr="007C3B90">
        <w:rPr>
          <w:rtl/>
        </w:rPr>
        <w:t xml:space="preserve"> </w:t>
      </w:r>
      <w:r w:rsidRPr="007C3B90">
        <w:rPr>
          <w:rFonts w:hint="eastAsia"/>
          <w:rtl/>
        </w:rPr>
        <w:t>של</w:t>
      </w:r>
      <w:r w:rsidRPr="007C3B90">
        <w:rPr>
          <w:rtl/>
        </w:rPr>
        <w:t xml:space="preserve"> </w:t>
      </w:r>
      <w:r w:rsidRPr="007C3B90">
        <w:rPr>
          <w:rFonts w:hint="eastAsia"/>
          <w:rtl/>
        </w:rPr>
        <w:t>החקיקה</w:t>
      </w:r>
      <w:r w:rsidRPr="007C3B90">
        <w:rPr>
          <w:rtl/>
        </w:rPr>
        <w:t xml:space="preserve"> </w:t>
      </w:r>
      <w:r w:rsidRPr="007C3B90">
        <w:rPr>
          <w:rFonts w:hint="eastAsia"/>
          <w:rtl/>
        </w:rPr>
        <w:t>הרגילה</w:t>
      </w:r>
      <w:r w:rsidRPr="007C3B90">
        <w:rPr>
          <w:rFonts w:hint="cs"/>
          <w:rtl/>
        </w:rPr>
        <w:t xml:space="preserve"> [</w:t>
      </w:r>
      <w:r w:rsidRPr="007C3B90">
        <w:rPr>
          <w:rtl/>
        </w:rPr>
        <w:t>.</w:t>
      </w:r>
      <w:r w:rsidRPr="007C3B90">
        <w:rPr>
          <w:rFonts w:hint="cs"/>
          <w:rtl/>
        </w:rPr>
        <w:t xml:space="preserve">..] </w:t>
      </w:r>
      <w:r w:rsidRPr="007C3B90">
        <w:rPr>
          <w:rFonts w:hint="eastAsia"/>
          <w:rtl/>
        </w:rPr>
        <w:t>במסגרת</w:t>
      </w:r>
      <w:r w:rsidRPr="007C3B90">
        <w:rPr>
          <w:rtl/>
        </w:rPr>
        <w:t xml:space="preserve"> </w:t>
      </w:r>
      <w:r w:rsidRPr="007C3B90">
        <w:rPr>
          <w:rFonts w:hint="eastAsia"/>
          <w:rtl/>
        </w:rPr>
        <w:t>סמכותה</w:t>
      </w:r>
      <w:r w:rsidRPr="007C3B90">
        <w:rPr>
          <w:rtl/>
        </w:rPr>
        <w:t xml:space="preserve"> </w:t>
      </w:r>
      <w:r w:rsidRPr="007C3B90">
        <w:rPr>
          <w:rFonts w:hint="cs"/>
          <w:rtl/>
        </w:rPr>
        <w:t>ה</w:t>
      </w:r>
      <w:r w:rsidRPr="007C3B90">
        <w:rPr>
          <w:rFonts w:hint="eastAsia"/>
          <w:rtl/>
        </w:rPr>
        <w:t>בלתי</w:t>
      </w:r>
      <w:r w:rsidRPr="007C3B90">
        <w:rPr>
          <w:rtl/>
        </w:rPr>
        <w:t xml:space="preserve"> </w:t>
      </w:r>
      <w:r w:rsidRPr="007C3B90">
        <w:rPr>
          <w:rFonts w:hint="eastAsia"/>
          <w:rtl/>
        </w:rPr>
        <w:t>מוגבלת</w:t>
      </w:r>
      <w:r w:rsidRPr="007C3B90">
        <w:rPr>
          <w:rtl/>
        </w:rPr>
        <w:t xml:space="preserve"> </w:t>
      </w:r>
      <w:r w:rsidRPr="007C3B90">
        <w:rPr>
          <w:rFonts w:hint="eastAsia"/>
          <w:rtl/>
        </w:rPr>
        <w:t>יכולה</w:t>
      </w:r>
      <w:r w:rsidRPr="007C3B90">
        <w:rPr>
          <w:rtl/>
        </w:rPr>
        <w:t xml:space="preserve"> </w:t>
      </w:r>
      <w:r w:rsidRPr="007C3B90">
        <w:rPr>
          <w:rFonts w:hint="eastAsia"/>
          <w:rtl/>
        </w:rPr>
        <w:t>הכנסת</w:t>
      </w:r>
      <w:r w:rsidRPr="007C3B90">
        <w:rPr>
          <w:rtl/>
        </w:rPr>
        <w:t xml:space="preserve"> </w:t>
      </w:r>
      <w:r w:rsidRPr="007C3B90">
        <w:rPr>
          <w:rFonts w:hint="eastAsia"/>
          <w:rtl/>
        </w:rPr>
        <w:t>לקבוע</w:t>
      </w:r>
      <w:r w:rsidRPr="007C3B90">
        <w:t xml:space="preserve"> </w:t>
      </w:r>
      <w:r w:rsidRPr="007C3B90">
        <w:rPr>
          <w:rFonts w:hint="eastAsia"/>
          <w:rtl/>
        </w:rPr>
        <w:t>תנאים</w:t>
      </w:r>
      <w:r w:rsidRPr="007C3B90">
        <w:rPr>
          <w:rtl/>
        </w:rPr>
        <w:t xml:space="preserve"> </w:t>
      </w:r>
      <w:r w:rsidRPr="007C3B90">
        <w:rPr>
          <w:rFonts w:hint="eastAsia"/>
          <w:rtl/>
        </w:rPr>
        <w:t>וסייגים</w:t>
      </w:r>
      <w:r w:rsidRPr="007C3B90">
        <w:rPr>
          <w:rtl/>
        </w:rPr>
        <w:t xml:space="preserve"> </w:t>
      </w:r>
      <w:r w:rsidRPr="007C3B90">
        <w:rPr>
          <w:rFonts w:hint="eastAsia"/>
          <w:rtl/>
        </w:rPr>
        <w:t>שיחולו</w:t>
      </w:r>
      <w:r w:rsidRPr="007C3B90">
        <w:rPr>
          <w:rtl/>
        </w:rPr>
        <w:t xml:space="preserve"> </w:t>
      </w:r>
      <w:r w:rsidRPr="007C3B90">
        <w:rPr>
          <w:rFonts w:hint="eastAsia"/>
          <w:rtl/>
        </w:rPr>
        <w:t>על</w:t>
      </w:r>
      <w:r w:rsidRPr="007C3B90">
        <w:rPr>
          <w:rtl/>
        </w:rPr>
        <w:t xml:space="preserve"> </w:t>
      </w:r>
      <w:r w:rsidRPr="007C3B90">
        <w:rPr>
          <w:rFonts w:hint="eastAsia"/>
          <w:rtl/>
        </w:rPr>
        <w:t>חקיקה</w:t>
      </w:r>
      <w:r w:rsidRPr="007C3B90">
        <w:rPr>
          <w:rtl/>
        </w:rPr>
        <w:t xml:space="preserve"> </w:t>
      </w:r>
      <w:r w:rsidRPr="007C3B90">
        <w:rPr>
          <w:rFonts w:hint="eastAsia"/>
          <w:rtl/>
        </w:rPr>
        <w:t>עתידית</w:t>
      </w:r>
      <w:r w:rsidRPr="007C3B90">
        <w:rPr>
          <w:rtl/>
        </w:rPr>
        <w:t xml:space="preserve">, </w:t>
      </w:r>
      <w:r w:rsidRPr="007C3B90">
        <w:rPr>
          <w:rFonts w:hint="eastAsia"/>
          <w:rtl/>
        </w:rPr>
        <w:t>בין</w:t>
      </w:r>
      <w:r w:rsidRPr="007C3B90">
        <w:rPr>
          <w:rtl/>
        </w:rPr>
        <w:t xml:space="preserve"> </w:t>
      </w:r>
      <w:r w:rsidRPr="007C3B90">
        <w:rPr>
          <w:rFonts w:hint="eastAsia"/>
          <w:rtl/>
        </w:rPr>
        <w:t>חוקתית</w:t>
      </w:r>
      <w:r w:rsidRPr="007C3B90">
        <w:rPr>
          <w:rtl/>
        </w:rPr>
        <w:t xml:space="preserve"> </w:t>
      </w:r>
      <w:r w:rsidRPr="007C3B90">
        <w:rPr>
          <w:rFonts w:hint="eastAsia"/>
          <w:rtl/>
        </w:rPr>
        <w:t>ובין</w:t>
      </w:r>
      <w:r w:rsidRPr="007C3B90">
        <w:rPr>
          <w:rtl/>
        </w:rPr>
        <w:t xml:space="preserve"> </w:t>
      </w:r>
      <w:r w:rsidRPr="007C3B90">
        <w:rPr>
          <w:rFonts w:hint="eastAsia"/>
          <w:rtl/>
        </w:rPr>
        <w:t>רגילה</w:t>
      </w:r>
      <w:r w:rsidRPr="007C3B90">
        <w:rPr>
          <w:rFonts w:hint="cs"/>
          <w:rtl/>
        </w:rPr>
        <w:t>" (</w:t>
      </w:r>
      <w:r w:rsidRPr="007C3B90">
        <w:rPr>
          <w:rFonts w:ascii="Century" w:hAnsi="Century" w:cs="Miriam" w:hint="eastAsia"/>
          <w:b/>
          <w:spacing w:val="0"/>
          <w:szCs w:val="24"/>
          <w:rtl/>
        </w:rPr>
        <w:t>שם</w:t>
      </w:r>
      <w:r w:rsidRPr="007C3B90">
        <w:rPr>
          <w:rFonts w:ascii="Century" w:hAnsi="Century"/>
          <w:rtl/>
        </w:rPr>
        <w:t>,</w:t>
      </w:r>
      <w:r w:rsidRPr="007C3B90">
        <w:rPr>
          <w:rFonts w:hint="cs"/>
          <w:rtl/>
        </w:rPr>
        <w:t xml:space="preserve"> בעמ' 285).</w:t>
      </w:r>
    </w:p>
    <w:p w:rsidR="00BB56BB" w:rsidRPr="007C3B90" w:rsidRDefault="00BB56BB" w:rsidP="00BB56BB">
      <w:pPr>
        <w:pStyle w:val="Ruller4"/>
        <w:numPr>
          <w:ilvl w:val="0"/>
          <w:numId w:val="0"/>
        </w:numPr>
        <w:rPr>
          <w:rtl/>
        </w:rPr>
      </w:pPr>
    </w:p>
    <w:p w:rsidR="00BB56BB" w:rsidRPr="007C3B90" w:rsidRDefault="00BB56BB" w:rsidP="00BB56BB">
      <w:pPr>
        <w:pStyle w:val="Ruller4"/>
        <w:rPr>
          <w:rtl/>
        </w:rPr>
      </w:pPr>
      <w:r w:rsidRPr="007C3B90">
        <w:rPr>
          <w:rFonts w:hint="cs"/>
          <w:rtl/>
        </w:rPr>
        <w:t>כבילה עצמית של המחוקק יכולה להוות בסיס להפעלת ביקורת שיפוטית מקום בו תיקון החוקה עומד בניגוד למגבלות ש</w:t>
      </w:r>
      <w:r>
        <w:rPr>
          <w:rFonts w:hint="cs"/>
          <w:rtl/>
        </w:rPr>
        <w:t>קבע</w:t>
      </w:r>
      <w:r w:rsidRPr="007C3B90">
        <w:rPr>
          <w:rFonts w:hint="cs"/>
          <w:rtl/>
        </w:rPr>
        <w:t xml:space="preserve">, </w:t>
      </w:r>
      <w:r>
        <w:rPr>
          <w:rFonts w:hint="cs"/>
          <w:rtl/>
        </w:rPr>
        <w:t>באופן שעשוי להוביל לביטול התיקון</w:t>
      </w:r>
      <w:r w:rsidRPr="007C3B90">
        <w:rPr>
          <w:rFonts w:hint="cs"/>
          <w:rtl/>
        </w:rPr>
        <w:t xml:space="preserve">. כך נקבע על-ידי השופט </w:t>
      </w:r>
      <w:r w:rsidRPr="007C3B90">
        <w:rPr>
          <w:rFonts w:ascii="Century" w:hAnsi="Century" w:cs="Miriam" w:hint="eastAsia"/>
          <w:b/>
          <w:spacing w:val="0"/>
          <w:szCs w:val="24"/>
          <w:rtl/>
        </w:rPr>
        <w:t>ברק</w:t>
      </w:r>
      <w:r w:rsidRPr="007C3B90">
        <w:rPr>
          <w:rFonts w:hint="cs"/>
          <w:rtl/>
        </w:rPr>
        <w:t xml:space="preserve">, לעניין הפעלת ביקורת שיפוטית על חקיקת יסוד המפרה מגבלה דיונית-צורנית (דרישה לרוב מיוחד בחקיקת יסוד): </w:t>
      </w:r>
      <w:r w:rsidRPr="007C3B90">
        <w:rPr>
          <w:rFonts w:ascii="Century" w:hAnsi="Century" w:cs="Miriam" w:hint="cs"/>
          <w:b/>
          <w:spacing w:val="0"/>
          <w:szCs w:val="24"/>
          <w:rtl/>
        </w:rPr>
        <w:t xml:space="preserve">"עצם קביעתה של הוראת שריון מניחה ביקורת על ידי בית המשפט, שהוא גוף עצמאי ובלתי תלוי, באשר לתוקף המשפטי של חקיקה המבקשת לשנות את הוראת השריון </w:t>
      </w:r>
      <w:r w:rsidRPr="007C3B90">
        <w:rPr>
          <w:rFonts w:ascii="Century" w:hAnsi="Century" w:cs="Miriam"/>
          <w:b/>
          <w:spacing w:val="0"/>
          <w:szCs w:val="24"/>
          <w:rtl/>
        </w:rPr>
        <w:t>בלא לקיים את הרוב המיוחד שהוראת השריון דורשת</w:t>
      </w:r>
      <w:r w:rsidRPr="007C3B90">
        <w:rPr>
          <w:rFonts w:ascii="Century" w:hAnsi="Century" w:cs="Miriam" w:hint="cs"/>
          <w:b/>
          <w:spacing w:val="0"/>
          <w:szCs w:val="24"/>
          <w:rtl/>
        </w:rPr>
        <w:t xml:space="preserve">. [...] </w:t>
      </w:r>
      <w:r w:rsidRPr="007C3B90">
        <w:rPr>
          <w:rFonts w:ascii="Century" w:hAnsi="Century" w:cs="Miriam"/>
          <w:b/>
          <w:spacing w:val="0"/>
          <w:szCs w:val="24"/>
          <w:rtl/>
        </w:rPr>
        <w:t xml:space="preserve">קיומה של הוראת שריון מניח ביקורת שיפוטית, וביקורת שיפוטית זו בכוחה לקבוע, כי הוראת חוק - בין חוק "רגיל" ובין חוק-יסוד - שנתקבלה על-ידי רוב </w:t>
      </w:r>
      <w:r w:rsidRPr="007C3B90">
        <w:rPr>
          <w:rFonts w:ascii="Century" w:hAnsi="Century" w:cs="Miriam" w:hint="cs"/>
          <w:b/>
          <w:spacing w:val="0"/>
          <w:szCs w:val="24"/>
          <w:rtl/>
        </w:rPr>
        <w:t>'</w:t>
      </w:r>
      <w:r w:rsidRPr="007C3B90">
        <w:rPr>
          <w:rFonts w:ascii="Century" w:hAnsi="Century" w:cs="Miriam"/>
          <w:b/>
          <w:spacing w:val="0"/>
          <w:szCs w:val="24"/>
          <w:rtl/>
        </w:rPr>
        <w:t>רגיל</w:t>
      </w:r>
      <w:r w:rsidRPr="007C3B90">
        <w:rPr>
          <w:rFonts w:ascii="Century" w:hAnsi="Century" w:cs="Miriam" w:hint="cs"/>
          <w:b/>
          <w:spacing w:val="0"/>
          <w:szCs w:val="24"/>
          <w:rtl/>
        </w:rPr>
        <w:t>'</w:t>
      </w:r>
      <w:r w:rsidRPr="007C3B90">
        <w:rPr>
          <w:rFonts w:ascii="Century" w:hAnsi="Century" w:cs="Miriam"/>
          <w:b/>
          <w:spacing w:val="0"/>
          <w:szCs w:val="24"/>
          <w:rtl/>
        </w:rPr>
        <w:t>, ולא על-ידי הרוב המיוחד הנדרש בהוראת השריון, בטלה היא ומבוטל</w:t>
      </w:r>
      <w:r w:rsidRPr="007C3B90">
        <w:rPr>
          <w:rFonts w:ascii="Century" w:hAnsi="Century" w:cs="Miriam" w:hint="cs"/>
          <w:b/>
          <w:spacing w:val="0"/>
          <w:szCs w:val="24"/>
          <w:rtl/>
        </w:rPr>
        <w:t xml:space="preserve">ת" </w:t>
      </w:r>
      <w:r w:rsidRPr="007C3B90">
        <w:rPr>
          <w:rFonts w:hint="cs"/>
          <w:rtl/>
        </w:rPr>
        <w:t xml:space="preserve">(בג"ץ </w:t>
      </w:r>
      <w:r w:rsidRPr="007C3B90">
        <w:rPr>
          <w:rFonts w:hAnsi="FrankRuehl"/>
          <w:rtl/>
        </w:rPr>
        <w:t>142/89</w:t>
      </w:r>
      <w:r w:rsidRPr="007C3B90">
        <w:rPr>
          <w:rFonts w:hAnsi="FrankRuehl" w:hint="cs"/>
          <w:rtl/>
        </w:rPr>
        <w:t xml:space="preserve"> </w:t>
      </w:r>
      <w:r w:rsidRPr="007C3B90">
        <w:rPr>
          <w:rFonts w:ascii="Century" w:hAnsi="Century" w:cs="Miriam"/>
          <w:b/>
          <w:spacing w:val="0"/>
          <w:szCs w:val="24"/>
          <w:rtl/>
        </w:rPr>
        <w:t>תנועת לאו"ר - לב אחד ורוח חדשה</w:t>
      </w:r>
      <w:r w:rsidRPr="007C3B90">
        <w:rPr>
          <w:rFonts w:ascii="Century" w:hAnsi="Century" w:cs="Miriam"/>
          <w:b/>
          <w:spacing w:val="0"/>
          <w:szCs w:val="24"/>
        </w:rPr>
        <w:t xml:space="preserve"> </w:t>
      </w:r>
      <w:r w:rsidRPr="007C3B90">
        <w:rPr>
          <w:rFonts w:ascii="Century" w:hAnsi="Century" w:cs="Miriam"/>
          <w:b/>
          <w:spacing w:val="0"/>
          <w:szCs w:val="24"/>
          <w:rtl/>
        </w:rPr>
        <w:t>נ' יושב-ראש הכנסת</w:t>
      </w:r>
      <w:r w:rsidRPr="007C3B90">
        <w:rPr>
          <w:rFonts w:hint="cs"/>
          <w:rtl/>
        </w:rPr>
        <w:t xml:space="preserve">, </w:t>
      </w:r>
      <w:r w:rsidRPr="007C3B90">
        <w:rPr>
          <w:rtl/>
        </w:rPr>
        <w:t>פ"ד מד(3) 529</w:t>
      </w:r>
      <w:r w:rsidRPr="007C3B90">
        <w:rPr>
          <w:rFonts w:hint="cs"/>
          <w:rtl/>
        </w:rPr>
        <w:t xml:space="preserve">, </w:t>
      </w:r>
      <w:r>
        <w:rPr>
          <w:rFonts w:hint="cs"/>
          <w:rtl/>
        </w:rPr>
        <w:t xml:space="preserve">539 </w:t>
      </w:r>
      <w:r w:rsidRPr="007C3B90">
        <w:rPr>
          <w:rFonts w:hint="cs"/>
          <w:rtl/>
        </w:rPr>
        <w:t xml:space="preserve">(1990)). דברים דומים נאמרו על-ידי הנשיא </w:t>
      </w:r>
      <w:r w:rsidRPr="007C3B90">
        <w:rPr>
          <w:rFonts w:ascii="Century" w:hAnsi="Century" w:cs="Miriam" w:hint="cs"/>
          <w:b/>
          <w:spacing w:val="0"/>
          <w:szCs w:val="24"/>
          <w:rtl/>
        </w:rPr>
        <w:t>מ' ש</w:t>
      </w:r>
      <w:r w:rsidRPr="007C3B90">
        <w:rPr>
          <w:rFonts w:ascii="Century" w:hAnsi="Century" w:cs="Miriam" w:hint="eastAsia"/>
          <w:b/>
          <w:spacing w:val="0"/>
          <w:szCs w:val="24"/>
          <w:rtl/>
        </w:rPr>
        <w:t>מגר</w:t>
      </w:r>
      <w:r w:rsidRPr="007C3B90">
        <w:rPr>
          <w:rFonts w:hint="cs"/>
          <w:rtl/>
        </w:rPr>
        <w:t xml:space="preserve"> לעניין הפעלת ביקורת שיפוטית על חקיקת יסוד המפרה מגבלות צורניות או מגבלות מהותיות</w:t>
      </w:r>
      <w:r w:rsidRPr="007C3B90">
        <w:rPr>
          <w:rFonts w:ascii="Century" w:hAnsi="Century" w:hint="cs"/>
          <w:sz w:val="22"/>
          <w:rtl/>
        </w:rPr>
        <w:t>:</w:t>
      </w:r>
      <w:r w:rsidRPr="007C3B90">
        <w:rPr>
          <w:rFonts w:ascii="Century" w:hAnsi="Century" w:cs="Miriam" w:hint="cs"/>
          <w:b/>
          <w:spacing w:val="0"/>
          <w:szCs w:val="24"/>
          <w:rtl/>
        </w:rPr>
        <w:t xml:space="preserve"> "</w:t>
      </w:r>
      <w:r w:rsidRPr="007C3B90">
        <w:rPr>
          <w:rFonts w:ascii="Century" w:hAnsi="Century" w:cs="Miriam"/>
          <w:b/>
          <w:spacing w:val="0"/>
          <w:szCs w:val="24"/>
          <w:rtl/>
        </w:rPr>
        <w:t>הכנסת רשאית להגביל את צורת החקיקה והיא רשאית להגביל את תוכן החקיקה. הרשות השופטת נותנת תוקף לרצונה של הכנסת להגביל את כוחה</w:t>
      </w:r>
      <w:r w:rsidRPr="007C3B90">
        <w:rPr>
          <w:rFonts w:ascii="Century" w:hAnsi="Century" w:cs="Miriam" w:hint="cs"/>
          <w:b/>
          <w:spacing w:val="0"/>
          <w:szCs w:val="24"/>
          <w:rtl/>
        </w:rPr>
        <w:t>"</w:t>
      </w:r>
      <w:r w:rsidRPr="007C3B90">
        <w:rPr>
          <w:rFonts w:hint="cs"/>
          <w:rtl/>
        </w:rPr>
        <w:t xml:space="preserve"> (עניין </w:t>
      </w:r>
      <w:r w:rsidRPr="007C3B90">
        <w:rPr>
          <w:rFonts w:ascii="Century" w:hAnsi="Century" w:cs="Miriam" w:hint="cs"/>
          <w:b/>
          <w:spacing w:val="0"/>
          <w:szCs w:val="24"/>
          <w:rtl/>
        </w:rPr>
        <w:t>בנק המזרחי</w:t>
      </w:r>
      <w:r w:rsidRPr="007C3B90">
        <w:rPr>
          <w:rFonts w:hint="cs"/>
          <w:rtl/>
        </w:rPr>
        <w:t xml:space="preserve">, בעמ' 291. וראו גם </w:t>
      </w:r>
      <w:r w:rsidRPr="007C3B90">
        <w:rPr>
          <w:rFonts w:ascii="Century" w:hAnsi="Century" w:cs="Miriam" w:hint="eastAsia"/>
          <w:b/>
          <w:spacing w:val="0"/>
          <w:szCs w:val="24"/>
          <w:rtl/>
        </w:rPr>
        <w:t>שם</w:t>
      </w:r>
      <w:r w:rsidRPr="007C3B90">
        <w:rPr>
          <w:rFonts w:ascii="Century" w:hAnsi="Century"/>
          <w:sz w:val="22"/>
          <w:rtl/>
        </w:rPr>
        <w:t>,</w:t>
      </w:r>
      <w:r w:rsidRPr="007C3B90">
        <w:rPr>
          <w:rFonts w:hint="cs"/>
          <w:rtl/>
        </w:rPr>
        <w:t xml:space="preserve"> בעמ' 292; כן ראו: </w:t>
      </w:r>
      <w:r w:rsidRPr="007C3B90">
        <w:rPr>
          <w:rFonts w:hint="eastAsia"/>
          <w:rtl/>
        </w:rPr>
        <w:t>אהרן</w:t>
      </w:r>
      <w:r w:rsidRPr="007C3B90">
        <w:rPr>
          <w:rtl/>
        </w:rPr>
        <w:t xml:space="preserve"> </w:t>
      </w:r>
      <w:r w:rsidRPr="007C3B90">
        <w:rPr>
          <w:rFonts w:hint="eastAsia"/>
          <w:rtl/>
        </w:rPr>
        <w:t>ברק</w:t>
      </w:r>
      <w:r w:rsidRPr="007C3B90">
        <w:rPr>
          <w:rtl/>
        </w:rPr>
        <w:t xml:space="preserve"> "</w:t>
      </w:r>
      <w:r w:rsidRPr="007C3B90">
        <w:rPr>
          <w:rFonts w:hint="eastAsia"/>
          <w:rtl/>
        </w:rPr>
        <w:t>תיקון</w:t>
      </w:r>
      <w:r w:rsidRPr="007C3B90">
        <w:rPr>
          <w:rtl/>
        </w:rPr>
        <w:t xml:space="preserve"> </w:t>
      </w:r>
      <w:r w:rsidRPr="007C3B90">
        <w:rPr>
          <w:rFonts w:hint="eastAsia"/>
          <w:rtl/>
        </w:rPr>
        <w:t>של</w:t>
      </w:r>
      <w:r w:rsidRPr="007C3B90">
        <w:rPr>
          <w:rtl/>
        </w:rPr>
        <w:t xml:space="preserve"> </w:t>
      </w:r>
      <w:r w:rsidRPr="007C3B90">
        <w:rPr>
          <w:rFonts w:hint="eastAsia"/>
          <w:rtl/>
        </w:rPr>
        <w:t>חוקה</w:t>
      </w:r>
      <w:r w:rsidRPr="007C3B90">
        <w:rPr>
          <w:rtl/>
        </w:rPr>
        <w:t xml:space="preserve"> </w:t>
      </w:r>
      <w:r w:rsidRPr="007C3B90">
        <w:rPr>
          <w:rFonts w:hint="eastAsia"/>
          <w:rtl/>
        </w:rPr>
        <w:t>שאינו</w:t>
      </w:r>
      <w:r w:rsidRPr="007C3B90">
        <w:rPr>
          <w:rtl/>
        </w:rPr>
        <w:t xml:space="preserve"> </w:t>
      </w:r>
      <w:r w:rsidRPr="007C3B90">
        <w:rPr>
          <w:rFonts w:hint="eastAsia"/>
          <w:rtl/>
        </w:rPr>
        <w:t>חוקתי</w:t>
      </w:r>
      <w:r w:rsidRPr="007C3B90">
        <w:rPr>
          <w:rtl/>
        </w:rPr>
        <w:t xml:space="preserve">" </w:t>
      </w:r>
      <w:r w:rsidRPr="007C3B90">
        <w:rPr>
          <w:rFonts w:ascii="Century" w:hAnsi="Century" w:cs="Miriam" w:hint="eastAsia"/>
          <w:b/>
          <w:spacing w:val="0"/>
          <w:szCs w:val="24"/>
          <w:rtl/>
        </w:rPr>
        <w:t>ספר</w:t>
      </w:r>
      <w:r w:rsidRPr="007C3B90">
        <w:rPr>
          <w:rFonts w:ascii="Century" w:hAnsi="Century" w:cs="Miriam"/>
          <w:b/>
          <w:spacing w:val="0"/>
          <w:szCs w:val="24"/>
          <w:rtl/>
        </w:rPr>
        <w:t xml:space="preserve"> </w:t>
      </w:r>
      <w:r w:rsidRPr="007C3B90">
        <w:rPr>
          <w:rFonts w:ascii="Century" w:hAnsi="Century" w:cs="Miriam" w:hint="eastAsia"/>
          <w:b/>
          <w:spacing w:val="0"/>
          <w:szCs w:val="24"/>
          <w:rtl/>
        </w:rPr>
        <w:t>גבריאל</w:t>
      </w:r>
      <w:r w:rsidRPr="007C3B90">
        <w:rPr>
          <w:rFonts w:ascii="Century" w:hAnsi="Century" w:cs="Miriam"/>
          <w:b/>
          <w:spacing w:val="0"/>
          <w:szCs w:val="24"/>
          <w:rtl/>
        </w:rPr>
        <w:t xml:space="preserve"> </w:t>
      </w:r>
      <w:r w:rsidRPr="007C3B90">
        <w:rPr>
          <w:rFonts w:ascii="Century" w:hAnsi="Century" w:cs="Miriam" w:hint="eastAsia"/>
          <w:b/>
          <w:spacing w:val="0"/>
          <w:szCs w:val="24"/>
          <w:rtl/>
        </w:rPr>
        <w:t>בך</w:t>
      </w:r>
      <w:r w:rsidRPr="007C3B90">
        <w:rPr>
          <w:b/>
          <w:rtl/>
        </w:rPr>
        <w:t xml:space="preserve"> </w:t>
      </w:r>
      <w:r w:rsidRPr="007C3B90">
        <w:rPr>
          <w:rtl/>
        </w:rPr>
        <w:t>361</w:t>
      </w:r>
      <w:r w:rsidRPr="007C3B90">
        <w:rPr>
          <w:rFonts w:hint="cs"/>
          <w:rtl/>
        </w:rPr>
        <w:t xml:space="preserve">, 375-374 </w:t>
      </w:r>
      <w:r w:rsidRPr="007C3B90">
        <w:rPr>
          <w:rtl/>
        </w:rPr>
        <w:t>(</w:t>
      </w:r>
      <w:r w:rsidRPr="007C3B90">
        <w:rPr>
          <w:rFonts w:hint="eastAsia"/>
          <w:rtl/>
        </w:rPr>
        <w:t>דוד</w:t>
      </w:r>
      <w:r w:rsidRPr="007C3B90">
        <w:rPr>
          <w:rtl/>
        </w:rPr>
        <w:t xml:space="preserve"> </w:t>
      </w:r>
      <w:r w:rsidRPr="007C3B90">
        <w:rPr>
          <w:rFonts w:hint="eastAsia"/>
          <w:rtl/>
        </w:rPr>
        <w:t>האן</w:t>
      </w:r>
      <w:r w:rsidRPr="007C3B90">
        <w:rPr>
          <w:rtl/>
        </w:rPr>
        <w:t xml:space="preserve"> </w:t>
      </w:r>
      <w:r w:rsidRPr="007C3B90">
        <w:rPr>
          <w:rFonts w:hint="eastAsia"/>
          <w:rtl/>
        </w:rPr>
        <w:t>ואח</w:t>
      </w:r>
      <w:r w:rsidRPr="007C3B90">
        <w:rPr>
          <w:rtl/>
        </w:rPr>
        <w:t xml:space="preserve">' </w:t>
      </w:r>
      <w:r w:rsidRPr="007C3B90">
        <w:rPr>
          <w:rFonts w:hint="eastAsia"/>
          <w:rtl/>
        </w:rPr>
        <w:t>עורכים</w:t>
      </w:r>
      <w:r w:rsidRPr="007C3B90">
        <w:rPr>
          <w:rtl/>
        </w:rPr>
        <w:t xml:space="preserve"> 2011)</w:t>
      </w:r>
      <w:r w:rsidRPr="007C3B90">
        <w:rPr>
          <w:rFonts w:hint="cs"/>
          <w:rtl/>
        </w:rPr>
        <w:t xml:space="preserve"> (להלן</w:t>
      </w:r>
      <w:r w:rsidRPr="007C3B90">
        <w:rPr>
          <w:rFonts w:ascii="Century" w:hAnsi="Century" w:hint="cs"/>
          <w:sz w:val="22"/>
          <w:rtl/>
        </w:rPr>
        <w:t>:</w:t>
      </w:r>
      <w:r w:rsidRPr="007C3B90">
        <w:rPr>
          <w:rFonts w:ascii="Century" w:hAnsi="Century" w:cs="Miriam" w:hint="cs"/>
          <w:b/>
          <w:spacing w:val="0"/>
          <w:szCs w:val="24"/>
          <w:rtl/>
        </w:rPr>
        <w:t xml:space="preserve"> ברק, תיקון של חוקה</w:t>
      </w:r>
      <w:r w:rsidRPr="007C3B90">
        <w:rPr>
          <w:rFonts w:ascii="Century" w:hAnsi="Century" w:hint="cs"/>
          <w:sz w:val="22"/>
          <w:rtl/>
        </w:rPr>
        <w:t>)</w:t>
      </w:r>
      <w:r w:rsidRPr="007C3B90">
        <w:rPr>
          <w:rFonts w:hint="cs"/>
          <w:rtl/>
        </w:rPr>
        <w:t xml:space="preserve">). לפי גישה זו, סמכות הביקורת השיפוטית נגזרת מעצם קיומן של מגבלות צורניות או מהותיות על סמכותה של הרשות המכוננת, וניתן להפעילה מקום בו חרג המחוקק ממגבלות אלה. </w:t>
      </w:r>
    </w:p>
    <w:p w:rsidR="00BB56BB" w:rsidRPr="007C3B90" w:rsidRDefault="00BB56BB" w:rsidP="00BB56BB">
      <w:pPr>
        <w:pStyle w:val="Ruller4"/>
        <w:numPr>
          <w:ilvl w:val="0"/>
          <w:numId w:val="0"/>
        </w:numPr>
        <w:rPr>
          <w:rtl/>
        </w:rPr>
      </w:pPr>
    </w:p>
    <w:p w:rsidR="00BB56BB" w:rsidRPr="007C3B90" w:rsidRDefault="00BB56BB" w:rsidP="00BB56BB">
      <w:pPr>
        <w:pStyle w:val="Ruller4"/>
        <w:rPr>
          <w:rtl/>
        </w:rPr>
      </w:pPr>
      <w:r w:rsidRPr="007C3B90">
        <w:rPr>
          <w:rFonts w:hint="cs"/>
          <w:rtl/>
        </w:rPr>
        <w:t xml:space="preserve">בשיטתנו המשפטית לא עוגנו בחוקי היסוד פסקאות </w:t>
      </w:r>
      <w:r w:rsidRPr="007C3B90">
        <w:rPr>
          <w:rFonts w:ascii="Century" w:hAnsi="Century" w:cs="Miriam" w:hint="eastAsia"/>
          <w:b/>
          <w:spacing w:val="0"/>
          <w:szCs w:val="24"/>
          <w:rtl/>
        </w:rPr>
        <w:t>מפורשות</w:t>
      </w:r>
      <w:r w:rsidRPr="007C3B90">
        <w:rPr>
          <w:rFonts w:hint="cs"/>
          <w:rtl/>
        </w:rPr>
        <w:t xml:space="preserve"> המטילות מגבלות מהותיות על כוחה של הרשות המכוננת לתקן את חוקי היסוד. זאת, בשונה ממגבלות צורניות אותן ניתן למצוא במספר חוקי יסוד (ראו למשל, סעיף 7 לחוק-יסוד: חופש העיסוק; וסעיפים 4 ו-45 לחוק-יסוד: הכנסת). משטרם נחקק חוק-יסוד: החקיקה, אף טרם הותוו באופן מפורש גבולות סמכותו של בית המשפט להפעיל ביקורת שיפוטית על תוכנה של חקיקת יסוד. מצב דברים זה מקשה לכאורה על קיום ביקורת שיפוטית על </w:t>
      </w:r>
      <w:r w:rsidRPr="007C3B90">
        <w:rPr>
          <w:rFonts w:hint="cs"/>
          <w:rtl/>
        </w:rPr>
        <w:lastRenderedPageBreak/>
        <w:t>חוקי יסוד, ללא תשתית נורמטיבית מתאימה בחוקה הקיימת.</w:t>
      </w:r>
      <w:r w:rsidRPr="007C3B90">
        <w:rPr>
          <w:rFonts w:ascii="David" w:hAnsi="David" w:cs="David"/>
          <w:color w:val="000000"/>
          <w:spacing w:val="0"/>
          <w:szCs w:val="22"/>
          <w:rtl/>
        </w:rPr>
        <w:t xml:space="preserve"> </w:t>
      </w:r>
      <w:r w:rsidRPr="007C3B90">
        <w:rPr>
          <w:rFonts w:hint="cs"/>
          <w:rtl/>
        </w:rPr>
        <w:t xml:space="preserve">קושי זה מתחדד לנוכח קביעותיו של בית משפט זה בעניין </w:t>
      </w:r>
      <w:r w:rsidRPr="007C3B90">
        <w:rPr>
          <w:rFonts w:ascii="Century" w:hAnsi="Century" w:cs="Miriam" w:hint="cs"/>
          <w:b/>
          <w:spacing w:val="0"/>
          <w:szCs w:val="24"/>
          <w:rtl/>
        </w:rPr>
        <w:t>בנק המזרחי</w:t>
      </w:r>
      <w:r w:rsidRPr="007C3B90">
        <w:rPr>
          <w:rFonts w:hint="cs"/>
          <w:rtl/>
        </w:rPr>
        <w:t xml:space="preserve">, אשר העניקו לחוקי היסוד מעמד נורמטיבי חוקתי על-חוקי תוך שימת הדגש על הטקסט החוקתי (ראו: </w:t>
      </w:r>
      <w:r w:rsidRPr="007C3B90">
        <w:rPr>
          <w:rFonts w:hint="eastAsia"/>
          <w:rtl/>
        </w:rPr>
        <w:t>יואב</w:t>
      </w:r>
      <w:r w:rsidRPr="007C3B90">
        <w:rPr>
          <w:rtl/>
        </w:rPr>
        <w:t xml:space="preserve"> </w:t>
      </w:r>
      <w:r w:rsidRPr="007C3B90">
        <w:rPr>
          <w:rFonts w:hint="eastAsia"/>
          <w:rtl/>
        </w:rPr>
        <w:t>דותן</w:t>
      </w:r>
      <w:r w:rsidRPr="007C3B90">
        <w:rPr>
          <w:rtl/>
        </w:rPr>
        <w:t xml:space="preserve"> "</w:t>
      </w:r>
      <w:r w:rsidRPr="007C3B90">
        <w:rPr>
          <w:rFonts w:hint="eastAsia"/>
          <w:rtl/>
        </w:rPr>
        <w:t>חצי</w:t>
      </w:r>
      <w:r w:rsidRPr="007C3B90">
        <w:rPr>
          <w:rtl/>
        </w:rPr>
        <w:t xml:space="preserve"> </w:t>
      </w:r>
      <w:r w:rsidRPr="007C3B90">
        <w:rPr>
          <w:rFonts w:hint="eastAsia"/>
          <w:rtl/>
        </w:rPr>
        <w:t>יובל</w:t>
      </w:r>
      <w:r w:rsidRPr="007C3B90">
        <w:rPr>
          <w:rtl/>
        </w:rPr>
        <w:t xml:space="preserve"> </w:t>
      </w:r>
      <w:r w:rsidRPr="007C3B90">
        <w:rPr>
          <w:rFonts w:hint="eastAsia"/>
          <w:rtl/>
        </w:rPr>
        <w:t>לפסק</w:t>
      </w:r>
      <w:r w:rsidRPr="007C3B90">
        <w:rPr>
          <w:rtl/>
        </w:rPr>
        <w:t xml:space="preserve"> </w:t>
      </w:r>
      <w:r w:rsidRPr="007C3B90">
        <w:rPr>
          <w:rFonts w:hint="eastAsia"/>
          <w:rtl/>
        </w:rPr>
        <w:t>דין</w:t>
      </w:r>
      <w:r w:rsidRPr="007C3B90">
        <w:rPr>
          <w:rtl/>
        </w:rPr>
        <w:t xml:space="preserve"> </w:t>
      </w:r>
      <w:r w:rsidRPr="007C3B90">
        <w:rPr>
          <w:rFonts w:hint="eastAsia"/>
          <w:rtl/>
        </w:rPr>
        <w:t>בנק</w:t>
      </w:r>
      <w:r w:rsidRPr="007C3B90">
        <w:rPr>
          <w:rtl/>
        </w:rPr>
        <w:t xml:space="preserve"> </w:t>
      </w:r>
      <w:r w:rsidRPr="007C3B90">
        <w:rPr>
          <w:rFonts w:hint="eastAsia"/>
          <w:rtl/>
        </w:rPr>
        <w:t>המזרחי</w:t>
      </w:r>
      <w:r w:rsidRPr="007C3B90">
        <w:rPr>
          <w:rtl/>
        </w:rPr>
        <w:t xml:space="preserve">: </w:t>
      </w:r>
      <w:r w:rsidRPr="007C3B90">
        <w:rPr>
          <w:rFonts w:hint="eastAsia"/>
          <w:rtl/>
        </w:rPr>
        <w:t>שאון</w:t>
      </w:r>
      <w:r w:rsidRPr="007C3B90">
        <w:rPr>
          <w:rtl/>
        </w:rPr>
        <w:t xml:space="preserve"> </w:t>
      </w:r>
      <w:r w:rsidRPr="007C3B90">
        <w:rPr>
          <w:rFonts w:hint="eastAsia"/>
          <w:rtl/>
        </w:rPr>
        <w:t>תופי</w:t>
      </w:r>
      <w:r w:rsidRPr="007C3B90">
        <w:rPr>
          <w:rtl/>
        </w:rPr>
        <w:t xml:space="preserve"> </w:t>
      </w:r>
      <w:r w:rsidRPr="007C3B90">
        <w:rPr>
          <w:rFonts w:hint="eastAsia"/>
          <w:rtl/>
        </w:rPr>
        <w:t>המהפכה</w:t>
      </w:r>
      <w:r w:rsidRPr="007C3B90">
        <w:rPr>
          <w:rtl/>
        </w:rPr>
        <w:t xml:space="preserve"> </w:t>
      </w:r>
      <w:r w:rsidRPr="007C3B90">
        <w:rPr>
          <w:rFonts w:hint="eastAsia"/>
          <w:rtl/>
        </w:rPr>
        <w:t>וקולו</w:t>
      </w:r>
      <w:r w:rsidRPr="007C3B90">
        <w:rPr>
          <w:rtl/>
        </w:rPr>
        <w:t xml:space="preserve"> </w:t>
      </w:r>
      <w:r w:rsidRPr="007C3B90">
        <w:rPr>
          <w:rFonts w:hint="eastAsia"/>
          <w:rtl/>
        </w:rPr>
        <w:t>של</w:t>
      </w:r>
      <w:r w:rsidRPr="007C3B90">
        <w:rPr>
          <w:rtl/>
        </w:rPr>
        <w:t xml:space="preserve"> </w:t>
      </w:r>
      <w:r w:rsidRPr="007C3B90">
        <w:rPr>
          <w:rFonts w:hint="eastAsia"/>
          <w:rtl/>
        </w:rPr>
        <w:t>הפיקולו</w:t>
      </w:r>
      <w:r w:rsidRPr="007C3B90">
        <w:rPr>
          <w:rtl/>
        </w:rPr>
        <w:t xml:space="preserve"> – </w:t>
      </w:r>
      <w:r w:rsidRPr="007C3B90">
        <w:rPr>
          <w:rFonts w:hint="eastAsia"/>
          <w:rtl/>
        </w:rPr>
        <w:t>מורשתו</w:t>
      </w:r>
      <w:r w:rsidRPr="007C3B90">
        <w:rPr>
          <w:rtl/>
        </w:rPr>
        <w:t xml:space="preserve"> </w:t>
      </w:r>
      <w:r w:rsidRPr="007C3B90">
        <w:rPr>
          <w:rFonts w:hint="eastAsia"/>
          <w:rtl/>
        </w:rPr>
        <w:t>החוקתית</w:t>
      </w:r>
      <w:r w:rsidRPr="007C3B90">
        <w:rPr>
          <w:rtl/>
        </w:rPr>
        <w:t xml:space="preserve"> </w:t>
      </w:r>
      <w:r w:rsidRPr="007C3B90">
        <w:rPr>
          <w:rFonts w:hint="eastAsia"/>
          <w:rtl/>
        </w:rPr>
        <w:t>של</w:t>
      </w:r>
      <w:r w:rsidRPr="007C3B90">
        <w:rPr>
          <w:rtl/>
        </w:rPr>
        <w:t xml:space="preserve"> </w:t>
      </w:r>
      <w:r w:rsidRPr="007C3B90">
        <w:rPr>
          <w:rFonts w:hint="eastAsia"/>
          <w:rtl/>
        </w:rPr>
        <w:t>השופט</w:t>
      </w:r>
      <w:r w:rsidRPr="007C3B90">
        <w:rPr>
          <w:rtl/>
        </w:rPr>
        <w:t xml:space="preserve"> </w:t>
      </w:r>
      <w:r w:rsidRPr="007C3B90">
        <w:rPr>
          <w:rFonts w:hint="eastAsia"/>
          <w:rtl/>
        </w:rPr>
        <w:t>מישאל</w:t>
      </w:r>
      <w:r w:rsidRPr="007C3B90">
        <w:rPr>
          <w:rtl/>
        </w:rPr>
        <w:t xml:space="preserve"> </w:t>
      </w:r>
      <w:r w:rsidRPr="007C3B90">
        <w:rPr>
          <w:rFonts w:hint="eastAsia"/>
          <w:rtl/>
        </w:rPr>
        <w:t>חשין</w:t>
      </w:r>
      <w:r w:rsidRPr="007C3B90">
        <w:rPr>
          <w:rtl/>
        </w:rPr>
        <w:t xml:space="preserve">" </w:t>
      </w:r>
      <w:r w:rsidRPr="007C3B90">
        <w:rPr>
          <w:rFonts w:ascii="Century" w:hAnsi="Century" w:cs="Miriam" w:hint="eastAsia"/>
          <w:b/>
          <w:spacing w:val="0"/>
          <w:szCs w:val="24"/>
          <w:rtl/>
        </w:rPr>
        <w:t>משפט</w:t>
      </w:r>
      <w:r w:rsidRPr="007C3B90">
        <w:rPr>
          <w:rFonts w:ascii="Century" w:hAnsi="Century" w:cs="Miriam"/>
          <w:b/>
          <w:spacing w:val="0"/>
          <w:szCs w:val="24"/>
          <w:rtl/>
        </w:rPr>
        <w:t xml:space="preserve"> </w:t>
      </w:r>
      <w:r w:rsidRPr="007C3B90">
        <w:rPr>
          <w:rFonts w:ascii="Century" w:hAnsi="Century" w:cs="Miriam" w:hint="eastAsia"/>
          <w:b/>
          <w:spacing w:val="0"/>
          <w:szCs w:val="24"/>
          <w:rtl/>
        </w:rPr>
        <w:t>ועסקים</w:t>
      </w:r>
      <w:r w:rsidRPr="007C3B90">
        <w:rPr>
          <w:rtl/>
        </w:rPr>
        <w:t xml:space="preserve"> </w:t>
      </w:r>
      <w:r w:rsidRPr="007C3B90">
        <w:rPr>
          <w:rFonts w:hint="eastAsia"/>
          <w:rtl/>
        </w:rPr>
        <w:t>כו</w:t>
      </w:r>
      <w:r w:rsidRPr="007C3B90">
        <w:rPr>
          <w:rFonts w:hint="cs"/>
          <w:rtl/>
        </w:rPr>
        <w:t xml:space="preserve"> 1,</w:t>
      </w:r>
      <w:r w:rsidRPr="007C3B90">
        <w:rPr>
          <w:rtl/>
        </w:rPr>
        <w:t xml:space="preserve"> </w:t>
      </w:r>
      <w:r w:rsidRPr="007C3B90">
        <w:rPr>
          <w:rFonts w:hint="cs"/>
          <w:rtl/>
        </w:rPr>
        <w:t xml:space="preserve">10-9 </w:t>
      </w:r>
      <w:r w:rsidRPr="007C3B90">
        <w:rPr>
          <w:rtl/>
        </w:rPr>
        <w:t>(</w:t>
      </w:r>
      <w:r w:rsidRPr="007C3B90">
        <w:rPr>
          <w:rFonts w:hint="cs"/>
          <w:rtl/>
        </w:rPr>
        <w:t>2022</w:t>
      </w:r>
      <w:r w:rsidRPr="007C3B90">
        <w:rPr>
          <w:rtl/>
        </w:rPr>
        <w:t>)</w:t>
      </w:r>
      <w:r w:rsidRPr="007C3B90">
        <w:rPr>
          <w:rFonts w:hint="cs"/>
          <w:rtl/>
        </w:rPr>
        <w:t xml:space="preserve">). </w:t>
      </w:r>
    </w:p>
    <w:p w:rsidR="00BB56BB" w:rsidRPr="007C3B90" w:rsidRDefault="00BB56BB" w:rsidP="00BB56BB">
      <w:pPr>
        <w:pStyle w:val="Ruller4"/>
        <w:numPr>
          <w:ilvl w:val="0"/>
          <w:numId w:val="0"/>
        </w:numPr>
        <w:rPr>
          <w:rtl/>
        </w:rPr>
      </w:pPr>
    </w:p>
    <w:p w:rsidR="00BB56BB" w:rsidRPr="007C3B90" w:rsidRDefault="00BB56BB" w:rsidP="00BB56BB">
      <w:pPr>
        <w:pStyle w:val="Ruller4"/>
        <w:rPr>
          <w:rtl/>
        </w:rPr>
      </w:pPr>
      <w:r w:rsidRPr="007C3B90">
        <w:rPr>
          <w:rFonts w:hint="cs"/>
          <w:rtl/>
        </w:rPr>
        <w:t xml:space="preserve">חרף הקשיים האמורים, קיימת לגישתי בחקיקת היסוד תשתית טקסטואלית מספקת, גם אם לא מפורשת, לקיומה של מגבלה מהותית שנטלה הכנסת על עצמה </w:t>
      </w:r>
      <w:r w:rsidRPr="007C3B90">
        <w:rPr>
          <w:rtl/>
        </w:rPr>
        <w:t>–</w:t>
      </w:r>
      <w:r w:rsidRPr="007C3B90">
        <w:rPr>
          <w:rFonts w:hint="cs"/>
          <w:rtl/>
        </w:rPr>
        <w:t xml:space="preserve"> המכפיפה את כוחה המכונן לעקרונות היסוד של "מדינה יהודית ודמוקרטית". כבר בעניין </w:t>
      </w:r>
      <w:r w:rsidRPr="007C3B90">
        <w:rPr>
          <w:rFonts w:ascii="Century" w:hAnsi="Century" w:cs="Miriam" w:hint="cs"/>
          <w:b/>
          <w:spacing w:val="0"/>
          <w:szCs w:val="24"/>
          <w:rtl/>
        </w:rPr>
        <w:t>בנק המזרחי</w:t>
      </w:r>
      <w:r w:rsidRPr="007C3B90">
        <w:rPr>
          <w:rFonts w:hint="cs"/>
          <w:rtl/>
        </w:rPr>
        <w:t xml:space="preserve"> היה מוכן הנשיא </w:t>
      </w:r>
      <w:r w:rsidRPr="007C3B90">
        <w:rPr>
          <w:rFonts w:ascii="Century" w:hAnsi="Century" w:cs="Miriam" w:hint="cs"/>
          <w:b/>
          <w:spacing w:val="0"/>
          <w:szCs w:val="24"/>
          <w:rtl/>
        </w:rPr>
        <w:t>שמגר</w:t>
      </w:r>
      <w:r w:rsidRPr="007C3B90">
        <w:rPr>
          <w:rFonts w:hint="cs"/>
          <w:rtl/>
        </w:rPr>
        <w:t xml:space="preserve"> לראות בעקרונות היסוד של מדינת ישראל כיהודית ודמוקרטית, ככבילה אפשרית על כוחה המכונן של הכנסת במישור המהותי (עניין </w:t>
      </w:r>
      <w:r w:rsidRPr="007C3B90">
        <w:rPr>
          <w:rFonts w:ascii="Century" w:hAnsi="Century" w:cs="Miriam" w:hint="eastAsia"/>
          <w:b/>
          <w:spacing w:val="0"/>
          <w:sz w:val="22"/>
          <w:szCs w:val="24"/>
          <w:rtl/>
        </w:rPr>
        <w:t>בנק</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המזרחי</w:t>
      </w:r>
      <w:r w:rsidRPr="007C3B90">
        <w:rPr>
          <w:rFonts w:ascii="Century" w:hAnsi="Century"/>
          <w:sz w:val="22"/>
          <w:rtl/>
        </w:rPr>
        <w:t>,</w:t>
      </w:r>
      <w:r w:rsidRPr="007C3B90">
        <w:rPr>
          <w:rFonts w:hint="cs"/>
          <w:rtl/>
        </w:rPr>
        <w:t xml:space="preserve"> בעמ' 293-292; </w:t>
      </w:r>
      <w:r w:rsidRPr="007C3B90">
        <w:rPr>
          <w:rFonts w:ascii="Century" w:hAnsi="Century" w:cs="Miriam" w:hint="cs"/>
          <w:b/>
          <w:spacing w:val="0"/>
          <w:szCs w:val="24"/>
          <w:rtl/>
        </w:rPr>
        <w:t>רובינשטיין ומדינה</w:t>
      </w:r>
      <w:r w:rsidRPr="007C3B90">
        <w:rPr>
          <w:rFonts w:hint="cs"/>
          <w:rtl/>
        </w:rPr>
        <w:t xml:space="preserve">, בעמ' 343). ואכן, עקרונות יסוד אלה מעוגנים היטב בחוקי-היסוד הקיימים, כבר בשלב זה של המפעל החוקתי הישראלי. כך, סעיף 1א לחוק-יסוד: כבוד האדם וחירותו, קובע כי </w:t>
      </w:r>
      <w:r w:rsidRPr="007C3B90">
        <w:rPr>
          <w:rFonts w:ascii="Century" w:hAnsi="Century" w:cs="Miriam"/>
          <w:b/>
          <w:spacing w:val="0"/>
          <w:szCs w:val="24"/>
          <w:rtl/>
        </w:rPr>
        <w:t>"</w:t>
      </w:r>
      <w:r w:rsidRPr="007C3B90">
        <w:rPr>
          <w:rFonts w:ascii="Century" w:hAnsi="Century" w:cs="Miriam" w:hint="eastAsia"/>
          <w:b/>
          <w:spacing w:val="0"/>
          <w:szCs w:val="24"/>
          <w:rtl/>
        </w:rPr>
        <w:t>חוק</w:t>
      </w:r>
      <w:r w:rsidRPr="007C3B90">
        <w:rPr>
          <w:rFonts w:ascii="Century" w:hAnsi="Century" w:cs="Miriam"/>
          <w:b/>
          <w:spacing w:val="0"/>
          <w:szCs w:val="24"/>
          <w:rtl/>
        </w:rPr>
        <w:t>-</w:t>
      </w:r>
      <w:r w:rsidRPr="007C3B90">
        <w:rPr>
          <w:rFonts w:ascii="Century" w:hAnsi="Century" w:cs="Miriam" w:hint="eastAsia"/>
          <w:b/>
          <w:spacing w:val="0"/>
          <w:szCs w:val="24"/>
          <w:rtl/>
        </w:rPr>
        <w:t>יסוד</w:t>
      </w:r>
      <w:r w:rsidRPr="007C3B90">
        <w:rPr>
          <w:rFonts w:ascii="Century" w:hAnsi="Century" w:cs="Miriam"/>
          <w:b/>
          <w:spacing w:val="0"/>
          <w:szCs w:val="24"/>
          <w:rtl/>
        </w:rPr>
        <w:t xml:space="preserve"> </w:t>
      </w:r>
      <w:r w:rsidRPr="007C3B90">
        <w:rPr>
          <w:rFonts w:ascii="Century" w:hAnsi="Century" w:cs="Miriam" w:hint="eastAsia"/>
          <w:b/>
          <w:spacing w:val="0"/>
          <w:szCs w:val="24"/>
          <w:rtl/>
        </w:rPr>
        <w:t>זה</w:t>
      </w:r>
      <w:r w:rsidRPr="007C3B90">
        <w:rPr>
          <w:rFonts w:ascii="Century" w:hAnsi="Century" w:cs="Miriam"/>
          <w:b/>
          <w:spacing w:val="0"/>
          <w:szCs w:val="24"/>
          <w:rtl/>
        </w:rPr>
        <w:t xml:space="preserve">, </w:t>
      </w:r>
      <w:r w:rsidRPr="007C3B90">
        <w:rPr>
          <w:rFonts w:ascii="Century" w:hAnsi="Century" w:cs="Miriam" w:hint="eastAsia"/>
          <w:b/>
          <w:spacing w:val="0"/>
          <w:szCs w:val="24"/>
          <w:rtl/>
        </w:rPr>
        <w:t>מטרתו</w:t>
      </w:r>
      <w:r w:rsidRPr="007C3B90">
        <w:rPr>
          <w:rFonts w:ascii="Century" w:hAnsi="Century" w:cs="Miriam"/>
          <w:b/>
          <w:spacing w:val="0"/>
          <w:szCs w:val="24"/>
          <w:rtl/>
        </w:rPr>
        <w:t xml:space="preserve"> </w:t>
      </w:r>
      <w:r w:rsidRPr="007C3B90">
        <w:rPr>
          <w:rFonts w:ascii="Century" w:hAnsi="Century" w:cs="Miriam" w:hint="eastAsia"/>
          <w:b/>
          <w:spacing w:val="0"/>
          <w:szCs w:val="24"/>
          <w:rtl/>
        </w:rPr>
        <w:t>להגן</w:t>
      </w:r>
      <w:r w:rsidRPr="007C3B90">
        <w:rPr>
          <w:rFonts w:ascii="Century" w:hAnsi="Century" w:cs="Miriam"/>
          <w:b/>
          <w:spacing w:val="0"/>
          <w:szCs w:val="24"/>
          <w:rtl/>
        </w:rPr>
        <w:t xml:space="preserve"> </w:t>
      </w:r>
      <w:r w:rsidRPr="007C3B90">
        <w:rPr>
          <w:rFonts w:ascii="Century" w:hAnsi="Century" w:cs="Miriam" w:hint="eastAsia"/>
          <w:b/>
          <w:spacing w:val="0"/>
          <w:szCs w:val="24"/>
          <w:rtl/>
        </w:rPr>
        <w:t>על</w:t>
      </w:r>
      <w:r w:rsidRPr="007C3B90">
        <w:rPr>
          <w:rFonts w:ascii="Century" w:hAnsi="Century" w:cs="Miriam"/>
          <w:b/>
          <w:spacing w:val="0"/>
          <w:szCs w:val="24"/>
          <w:rtl/>
        </w:rPr>
        <w:t xml:space="preserve"> </w:t>
      </w:r>
      <w:r w:rsidRPr="007C3B90">
        <w:rPr>
          <w:rFonts w:ascii="Century" w:hAnsi="Century" w:cs="Miriam" w:hint="eastAsia"/>
          <w:b/>
          <w:spacing w:val="0"/>
          <w:szCs w:val="24"/>
          <w:rtl/>
        </w:rPr>
        <w:t>כבוד</w:t>
      </w:r>
      <w:r w:rsidRPr="007C3B90">
        <w:rPr>
          <w:rFonts w:ascii="Century" w:hAnsi="Century" w:cs="Miriam"/>
          <w:b/>
          <w:spacing w:val="0"/>
          <w:szCs w:val="24"/>
          <w:rtl/>
        </w:rPr>
        <w:t xml:space="preserve"> </w:t>
      </w:r>
      <w:r w:rsidRPr="007C3B90">
        <w:rPr>
          <w:rFonts w:ascii="Century" w:hAnsi="Century" w:cs="Miriam" w:hint="eastAsia"/>
          <w:b/>
          <w:spacing w:val="0"/>
          <w:szCs w:val="24"/>
          <w:rtl/>
        </w:rPr>
        <w:t>האדם</w:t>
      </w:r>
      <w:r w:rsidRPr="007C3B90">
        <w:rPr>
          <w:rFonts w:ascii="Century" w:hAnsi="Century" w:cs="Miriam"/>
          <w:b/>
          <w:spacing w:val="0"/>
          <w:szCs w:val="24"/>
          <w:rtl/>
        </w:rPr>
        <w:t xml:space="preserve"> </w:t>
      </w:r>
      <w:r w:rsidRPr="007C3B90">
        <w:rPr>
          <w:rFonts w:ascii="Century" w:hAnsi="Century" w:cs="Miriam" w:hint="eastAsia"/>
          <w:b/>
          <w:spacing w:val="0"/>
          <w:szCs w:val="24"/>
          <w:rtl/>
        </w:rPr>
        <w:t>וחירותו</w:t>
      </w:r>
      <w:r w:rsidRPr="007C3B90">
        <w:rPr>
          <w:rFonts w:ascii="Century" w:hAnsi="Century" w:cs="Miriam"/>
          <w:b/>
          <w:spacing w:val="0"/>
          <w:szCs w:val="24"/>
          <w:rtl/>
        </w:rPr>
        <w:t xml:space="preserve">, </w:t>
      </w:r>
      <w:r w:rsidRPr="007C3B90">
        <w:rPr>
          <w:rFonts w:ascii="Century" w:hAnsi="Century" w:cs="Miriam" w:hint="eastAsia"/>
          <w:b/>
          <w:spacing w:val="0"/>
          <w:szCs w:val="24"/>
          <w:rtl/>
        </w:rPr>
        <w:t>כדי</w:t>
      </w:r>
      <w:r w:rsidRPr="007C3B90">
        <w:rPr>
          <w:rFonts w:ascii="Century" w:hAnsi="Century" w:cs="Miriam"/>
          <w:b/>
          <w:spacing w:val="0"/>
          <w:szCs w:val="24"/>
          <w:rtl/>
        </w:rPr>
        <w:t xml:space="preserve"> </w:t>
      </w:r>
      <w:r w:rsidRPr="007C3B90">
        <w:rPr>
          <w:rFonts w:ascii="Century" w:hAnsi="Century" w:cs="Miriam" w:hint="eastAsia"/>
          <w:b/>
          <w:spacing w:val="0"/>
          <w:szCs w:val="24"/>
          <w:rtl/>
        </w:rPr>
        <w:t>לעגן</w:t>
      </w:r>
      <w:r w:rsidRPr="007C3B90">
        <w:rPr>
          <w:rFonts w:ascii="Century" w:hAnsi="Century" w:cs="Miriam"/>
          <w:b/>
          <w:spacing w:val="0"/>
          <w:szCs w:val="24"/>
          <w:rtl/>
        </w:rPr>
        <w:t xml:space="preserve"> </w:t>
      </w:r>
      <w:r w:rsidRPr="007C3B90">
        <w:rPr>
          <w:rFonts w:ascii="Century" w:hAnsi="Century" w:cs="Miriam" w:hint="eastAsia"/>
          <w:b/>
          <w:spacing w:val="0"/>
          <w:szCs w:val="24"/>
          <w:rtl/>
        </w:rPr>
        <w:t>בחוק</w:t>
      </w:r>
      <w:r w:rsidRPr="007C3B90">
        <w:rPr>
          <w:rFonts w:ascii="Century" w:hAnsi="Century" w:cs="Miriam"/>
          <w:b/>
          <w:spacing w:val="0"/>
          <w:szCs w:val="24"/>
          <w:rtl/>
        </w:rPr>
        <w:t>-</w:t>
      </w:r>
      <w:r w:rsidRPr="007C3B90">
        <w:rPr>
          <w:rFonts w:ascii="Century" w:hAnsi="Century" w:cs="Miriam" w:hint="eastAsia"/>
          <w:b/>
          <w:spacing w:val="0"/>
          <w:szCs w:val="24"/>
          <w:rtl/>
        </w:rPr>
        <w:t>יסוד</w:t>
      </w:r>
      <w:r w:rsidRPr="007C3B90">
        <w:rPr>
          <w:rFonts w:ascii="Century" w:hAnsi="Century" w:cs="Miriam"/>
          <w:b/>
          <w:spacing w:val="0"/>
          <w:szCs w:val="24"/>
          <w:rtl/>
        </w:rPr>
        <w:t xml:space="preserve"> </w:t>
      </w:r>
      <w:r w:rsidRPr="007C3B90">
        <w:rPr>
          <w:rFonts w:ascii="Century" w:hAnsi="Century" w:cs="Miriam" w:hint="eastAsia"/>
          <w:b/>
          <w:spacing w:val="0"/>
          <w:szCs w:val="24"/>
          <w:rtl/>
        </w:rPr>
        <w:t>את</w:t>
      </w:r>
      <w:r w:rsidRPr="007C3B90">
        <w:rPr>
          <w:rFonts w:ascii="Century" w:hAnsi="Century" w:cs="Miriam"/>
          <w:b/>
          <w:spacing w:val="0"/>
          <w:szCs w:val="24"/>
          <w:rtl/>
        </w:rPr>
        <w:t xml:space="preserve"> </w:t>
      </w:r>
      <w:r w:rsidRPr="007C3B90">
        <w:rPr>
          <w:rFonts w:ascii="Century" w:hAnsi="Century" w:cs="Miriam" w:hint="eastAsia"/>
          <w:b/>
          <w:spacing w:val="0"/>
          <w:szCs w:val="24"/>
          <w:rtl/>
        </w:rPr>
        <w:t>ערכיה</w:t>
      </w:r>
      <w:r w:rsidRPr="007C3B90">
        <w:rPr>
          <w:rFonts w:ascii="Century" w:hAnsi="Century" w:cs="Miriam"/>
          <w:b/>
          <w:spacing w:val="0"/>
          <w:szCs w:val="24"/>
          <w:rtl/>
        </w:rPr>
        <w:t xml:space="preserve"> </w:t>
      </w:r>
      <w:r w:rsidRPr="007C3B90">
        <w:rPr>
          <w:rFonts w:ascii="Century" w:hAnsi="Century" w:cs="Miriam" w:hint="eastAsia"/>
          <w:b/>
          <w:spacing w:val="0"/>
          <w:szCs w:val="24"/>
          <w:rtl/>
        </w:rPr>
        <w:t>של</w:t>
      </w:r>
      <w:r w:rsidRPr="007C3B90">
        <w:rPr>
          <w:rFonts w:ascii="Century" w:hAnsi="Century" w:cs="Miriam"/>
          <w:b/>
          <w:spacing w:val="0"/>
          <w:szCs w:val="24"/>
          <w:rtl/>
        </w:rPr>
        <w:t xml:space="preserve"> </w:t>
      </w:r>
      <w:r w:rsidRPr="007C3B90">
        <w:rPr>
          <w:rFonts w:ascii="Century" w:hAnsi="Century" w:cs="Miriam" w:hint="eastAsia"/>
          <w:b/>
          <w:spacing w:val="0"/>
          <w:szCs w:val="24"/>
          <w:rtl/>
        </w:rPr>
        <w:t>מדינת</w:t>
      </w:r>
      <w:r w:rsidRPr="007C3B90">
        <w:rPr>
          <w:rFonts w:ascii="Century" w:hAnsi="Century" w:cs="Miriam"/>
          <w:b/>
          <w:spacing w:val="0"/>
          <w:szCs w:val="24"/>
          <w:rtl/>
        </w:rPr>
        <w:t xml:space="preserve"> </w:t>
      </w:r>
      <w:r w:rsidRPr="007C3B90">
        <w:rPr>
          <w:rFonts w:ascii="Century" w:hAnsi="Century" w:cs="Miriam" w:hint="eastAsia"/>
          <w:b/>
          <w:spacing w:val="0"/>
          <w:szCs w:val="24"/>
          <w:rtl/>
        </w:rPr>
        <w:t>ישראל</w:t>
      </w:r>
      <w:r w:rsidRPr="007C3B90">
        <w:rPr>
          <w:rFonts w:ascii="Century" w:hAnsi="Century" w:cs="Miriam"/>
          <w:b/>
          <w:spacing w:val="0"/>
          <w:szCs w:val="24"/>
          <w:rtl/>
        </w:rPr>
        <w:t xml:space="preserve"> </w:t>
      </w:r>
      <w:r w:rsidRPr="007C3B90">
        <w:rPr>
          <w:rFonts w:ascii="Century" w:hAnsi="Century" w:cs="Miriam" w:hint="eastAsia"/>
          <w:b/>
          <w:spacing w:val="0"/>
          <w:szCs w:val="24"/>
          <w:rtl/>
        </w:rPr>
        <w:t>כמדינה</w:t>
      </w:r>
      <w:r w:rsidRPr="007C3B90">
        <w:rPr>
          <w:rFonts w:ascii="Century" w:hAnsi="Century" w:cs="Miriam"/>
          <w:b/>
          <w:spacing w:val="0"/>
          <w:szCs w:val="24"/>
          <w:rtl/>
        </w:rPr>
        <w:t xml:space="preserve"> </w:t>
      </w:r>
      <w:r w:rsidRPr="007C3B90">
        <w:rPr>
          <w:rFonts w:ascii="Century" w:hAnsi="Century" w:cs="Miriam" w:hint="eastAsia"/>
          <w:b/>
          <w:spacing w:val="0"/>
          <w:szCs w:val="24"/>
          <w:rtl/>
        </w:rPr>
        <w:t>יהודית</w:t>
      </w:r>
      <w:r w:rsidRPr="007C3B90">
        <w:rPr>
          <w:rFonts w:ascii="Century" w:hAnsi="Century" w:cs="Miriam"/>
          <w:b/>
          <w:spacing w:val="0"/>
          <w:szCs w:val="24"/>
          <w:rtl/>
        </w:rPr>
        <w:t xml:space="preserve"> </w:t>
      </w:r>
      <w:r w:rsidRPr="007C3B90">
        <w:rPr>
          <w:rFonts w:ascii="Century" w:hAnsi="Century" w:cs="Miriam" w:hint="eastAsia"/>
          <w:b/>
          <w:spacing w:val="0"/>
          <w:szCs w:val="24"/>
          <w:rtl/>
        </w:rPr>
        <w:t>ודמוקרטית</w:t>
      </w:r>
      <w:r w:rsidRPr="007C3B90">
        <w:rPr>
          <w:rFonts w:ascii="Century" w:hAnsi="Century" w:cs="Miriam"/>
          <w:b/>
          <w:spacing w:val="0"/>
          <w:szCs w:val="24"/>
          <w:rtl/>
        </w:rPr>
        <w:t>"</w:t>
      </w:r>
      <w:r w:rsidRPr="007C3B90">
        <w:rPr>
          <w:rtl/>
        </w:rPr>
        <w:t>.</w:t>
      </w:r>
      <w:r w:rsidRPr="007C3B90">
        <w:rPr>
          <w:rFonts w:hint="cs"/>
          <w:rtl/>
        </w:rPr>
        <w:t xml:space="preserve"> הוראה דומה נקבעה גם בסעיף 2 לחוק-יסוד: חופש העיסוק, ולפיה </w:t>
      </w:r>
      <w:r w:rsidRPr="007C3B90">
        <w:rPr>
          <w:rFonts w:ascii="Century" w:hAnsi="Century" w:cs="Miriam"/>
          <w:b/>
          <w:spacing w:val="0"/>
          <w:szCs w:val="24"/>
          <w:rtl/>
        </w:rPr>
        <w:t>"</w:t>
      </w:r>
      <w:r w:rsidRPr="007C3B90">
        <w:rPr>
          <w:rFonts w:ascii="Century" w:hAnsi="Century" w:cs="Miriam" w:hint="eastAsia"/>
          <w:b/>
          <w:spacing w:val="0"/>
          <w:szCs w:val="24"/>
          <w:rtl/>
        </w:rPr>
        <w:t>חוק</w:t>
      </w:r>
      <w:r w:rsidRPr="007C3B90">
        <w:rPr>
          <w:rFonts w:ascii="Century" w:hAnsi="Century" w:cs="Miriam"/>
          <w:b/>
          <w:spacing w:val="0"/>
          <w:szCs w:val="24"/>
          <w:rtl/>
        </w:rPr>
        <w:t>-</w:t>
      </w:r>
      <w:r w:rsidRPr="007C3B90">
        <w:rPr>
          <w:rFonts w:ascii="Century" w:hAnsi="Century" w:cs="Miriam" w:hint="eastAsia"/>
          <w:b/>
          <w:spacing w:val="0"/>
          <w:szCs w:val="24"/>
          <w:rtl/>
        </w:rPr>
        <w:t>יסוד</w:t>
      </w:r>
      <w:r w:rsidRPr="007C3B90">
        <w:rPr>
          <w:rFonts w:ascii="Century" w:hAnsi="Century" w:cs="Miriam"/>
          <w:b/>
          <w:spacing w:val="0"/>
          <w:szCs w:val="24"/>
          <w:rtl/>
        </w:rPr>
        <w:t xml:space="preserve"> </w:t>
      </w:r>
      <w:r w:rsidRPr="007C3B90">
        <w:rPr>
          <w:rFonts w:ascii="Century" w:hAnsi="Century" w:cs="Miriam" w:hint="eastAsia"/>
          <w:b/>
          <w:spacing w:val="0"/>
          <w:szCs w:val="24"/>
          <w:rtl/>
        </w:rPr>
        <w:t>זה</w:t>
      </w:r>
      <w:r w:rsidRPr="007C3B90">
        <w:rPr>
          <w:rFonts w:ascii="Century" w:hAnsi="Century" w:cs="Miriam"/>
          <w:b/>
          <w:spacing w:val="0"/>
          <w:szCs w:val="24"/>
          <w:rtl/>
        </w:rPr>
        <w:t xml:space="preserve"> </w:t>
      </w:r>
      <w:r w:rsidRPr="007C3B90">
        <w:rPr>
          <w:rFonts w:ascii="Century" w:hAnsi="Century" w:cs="Miriam" w:hint="eastAsia"/>
          <w:b/>
          <w:spacing w:val="0"/>
          <w:szCs w:val="24"/>
          <w:rtl/>
        </w:rPr>
        <w:t>מטרתו</w:t>
      </w:r>
      <w:r w:rsidRPr="007C3B90">
        <w:rPr>
          <w:rFonts w:ascii="Century" w:hAnsi="Century" w:cs="Miriam"/>
          <w:b/>
          <w:spacing w:val="0"/>
          <w:szCs w:val="24"/>
          <w:rtl/>
        </w:rPr>
        <w:t xml:space="preserve"> </w:t>
      </w:r>
      <w:r w:rsidRPr="007C3B90">
        <w:rPr>
          <w:rFonts w:ascii="Century" w:hAnsi="Century" w:cs="Miriam" w:hint="eastAsia"/>
          <w:b/>
          <w:spacing w:val="0"/>
          <w:szCs w:val="24"/>
          <w:rtl/>
        </w:rPr>
        <w:t>להגן</w:t>
      </w:r>
      <w:r w:rsidRPr="007C3B90">
        <w:rPr>
          <w:rFonts w:ascii="Century" w:hAnsi="Century" w:cs="Miriam"/>
          <w:b/>
          <w:spacing w:val="0"/>
          <w:szCs w:val="24"/>
          <w:rtl/>
        </w:rPr>
        <w:t xml:space="preserve"> </w:t>
      </w:r>
      <w:r w:rsidRPr="007C3B90">
        <w:rPr>
          <w:rFonts w:ascii="Century" w:hAnsi="Century" w:cs="Miriam" w:hint="eastAsia"/>
          <w:b/>
          <w:spacing w:val="0"/>
          <w:szCs w:val="24"/>
          <w:rtl/>
        </w:rPr>
        <w:t>על</w:t>
      </w:r>
      <w:r w:rsidRPr="007C3B90">
        <w:rPr>
          <w:rFonts w:ascii="Century" w:hAnsi="Century" w:cs="Miriam"/>
          <w:b/>
          <w:spacing w:val="0"/>
          <w:szCs w:val="24"/>
          <w:rtl/>
        </w:rPr>
        <w:t xml:space="preserve"> </w:t>
      </w:r>
      <w:r w:rsidRPr="007C3B90">
        <w:rPr>
          <w:rFonts w:ascii="Century" w:hAnsi="Century" w:cs="Miriam" w:hint="eastAsia"/>
          <w:b/>
          <w:spacing w:val="0"/>
          <w:szCs w:val="24"/>
          <w:rtl/>
        </w:rPr>
        <w:t>חופש</w:t>
      </w:r>
      <w:r w:rsidRPr="007C3B90">
        <w:rPr>
          <w:rFonts w:ascii="Century" w:hAnsi="Century" w:cs="Miriam"/>
          <w:b/>
          <w:spacing w:val="0"/>
          <w:szCs w:val="24"/>
          <w:rtl/>
        </w:rPr>
        <w:t xml:space="preserve"> </w:t>
      </w:r>
      <w:r w:rsidRPr="007C3B90">
        <w:rPr>
          <w:rFonts w:ascii="Century" w:hAnsi="Century" w:cs="Miriam" w:hint="eastAsia"/>
          <w:b/>
          <w:spacing w:val="0"/>
          <w:szCs w:val="24"/>
          <w:rtl/>
        </w:rPr>
        <w:t>העיסוק</w:t>
      </w:r>
      <w:r w:rsidRPr="007C3B90">
        <w:rPr>
          <w:rFonts w:ascii="Century" w:hAnsi="Century" w:cs="Miriam"/>
          <w:b/>
          <w:spacing w:val="0"/>
          <w:szCs w:val="24"/>
          <w:rtl/>
        </w:rPr>
        <w:t xml:space="preserve"> </w:t>
      </w:r>
      <w:r w:rsidRPr="007C3B90">
        <w:rPr>
          <w:rFonts w:ascii="Century" w:hAnsi="Century" w:cs="Miriam" w:hint="eastAsia"/>
          <w:b/>
          <w:spacing w:val="0"/>
          <w:szCs w:val="24"/>
          <w:rtl/>
        </w:rPr>
        <w:t>כדי</w:t>
      </w:r>
      <w:r w:rsidRPr="007C3B90">
        <w:rPr>
          <w:rFonts w:ascii="Century" w:hAnsi="Century" w:cs="Miriam"/>
          <w:b/>
          <w:spacing w:val="0"/>
          <w:szCs w:val="24"/>
          <w:rtl/>
        </w:rPr>
        <w:t xml:space="preserve"> </w:t>
      </w:r>
      <w:r w:rsidRPr="007C3B90">
        <w:rPr>
          <w:rFonts w:ascii="Century" w:hAnsi="Century" w:cs="Miriam" w:hint="eastAsia"/>
          <w:b/>
          <w:spacing w:val="0"/>
          <w:szCs w:val="24"/>
          <w:rtl/>
        </w:rPr>
        <w:t>לעגן</w:t>
      </w:r>
      <w:r w:rsidRPr="007C3B90">
        <w:rPr>
          <w:rFonts w:ascii="Century" w:hAnsi="Century" w:cs="Miriam"/>
          <w:b/>
          <w:spacing w:val="0"/>
          <w:szCs w:val="24"/>
          <w:rtl/>
        </w:rPr>
        <w:t xml:space="preserve"> </w:t>
      </w:r>
      <w:r w:rsidRPr="007C3B90">
        <w:rPr>
          <w:rFonts w:ascii="Century" w:hAnsi="Century" w:cs="Miriam" w:hint="eastAsia"/>
          <w:b/>
          <w:spacing w:val="0"/>
          <w:szCs w:val="24"/>
          <w:rtl/>
        </w:rPr>
        <w:t>בחוק</w:t>
      </w:r>
      <w:r w:rsidRPr="007C3B90">
        <w:rPr>
          <w:rFonts w:ascii="Century" w:hAnsi="Century" w:cs="Miriam"/>
          <w:b/>
          <w:spacing w:val="0"/>
          <w:szCs w:val="24"/>
          <w:rtl/>
        </w:rPr>
        <w:t>-</w:t>
      </w:r>
      <w:r w:rsidRPr="007C3B90">
        <w:rPr>
          <w:rFonts w:ascii="Century" w:hAnsi="Century" w:cs="Miriam" w:hint="eastAsia"/>
          <w:b/>
          <w:spacing w:val="0"/>
          <w:szCs w:val="24"/>
          <w:rtl/>
        </w:rPr>
        <w:t>יסוד</w:t>
      </w:r>
      <w:r w:rsidRPr="007C3B90">
        <w:rPr>
          <w:rFonts w:ascii="Century" w:hAnsi="Century" w:cs="Miriam"/>
          <w:b/>
          <w:spacing w:val="0"/>
          <w:szCs w:val="24"/>
          <w:rtl/>
        </w:rPr>
        <w:t xml:space="preserve"> </w:t>
      </w:r>
      <w:r w:rsidRPr="007C3B90">
        <w:rPr>
          <w:rFonts w:ascii="Century" w:hAnsi="Century" w:cs="Miriam" w:hint="eastAsia"/>
          <w:b/>
          <w:spacing w:val="0"/>
          <w:szCs w:val="24"/>
          <w:rtl/>
        </w:rPr>
        <w:t>את</w:t>
      </w:r>
      <w:r w:rsidRPr="007C3B90">
        <w:rPr>
          <w:rFonts w:ascii="Century" w:hAnsi="Century" w:cs="Miriam"/>
          <w:b/>
          <w:spacing w:val="0"/>
          <w:szCs w:val="24"/>
          <w:rtl/>
        </w:rPr>
        <w:t xml:space="preserve"> </w:t>
      </w:r>
      <w:r w:rsidRPr="007C3B90">
        <w:rPr>
          <w:rFonts w:ascii="Century" w:hAnsi="Century" w:cs="Miriam" w:hint="eastAsia"/>
          <w:b/>
          <w:spacing w:val="0"/>
          <w:szCs w:val="24"/>
          <w:rtl/>
        </w:rPr>
        <w:t>ערכיה</w:t>
      </w:r>
      <w:r w:rsidRPr="007C3B90">
        <w:rPr>
          <w:rFonts w:ascii="Century" w:hAnsi="Century" w:cs="Miriam"/>
          <w:b/>
          <w:spacing w:val="0"/>
          <w:szCs w:val="24"/>
          <w:rtl/>
        </w:rPr>
        <w:t xml:space="preserve"> </w:t>
      </w:r>
      <w:r w:rsidRPr="007C3B90">
        <w:rPr>
          <w:rFonts w:ascii="Century" w:hAnsi="Century" w:cs="Miriam" w:hint="eastAsia"/>
          <w:b/>
          <w:spacing w:val="0"/>
          <w:szCs w:val="24"/>
          <w:rtl/>
        </w:rPr>
        <w:t>של</w:t>
      </w:r>
      <w:r w:rsidRPr="007C3B90">
        <w:rPr>
          <w:rFonts w:ascii="Century" w:hAnsi="Century" w:cs="Miriam"/>
          <w:b/>
          <w:spacing w:val="0"/>
          <w:szCs w:val="24"/>
          <w:rtl/>
        </w:rPr>
        <w:t xml:space="preserve"> </w:t>
      </w:r>
      <w:r w:rsidRPr="007C3B90">
        <w:rPr>
          <w:rFonts w:ascii="Century" w:hAnsi="Century" w:cs="Miriam" w:hint="eastAsia"/>
          <w:b/>
          <w:spacing w:val="0"/>
          <w:szCs w:val="24"/>
          <w:rtl/>
        </w:rPr>
        <w:t>מדינת</w:t>
      </w:r>
      <w:r w:rsidRPr="007C3B90">
        <w:rPr>
          <w:rFonts w:ascii="Century" w:hAnsi="Century" w:cs="Miriam"/>
          <w:b/>
          <w:spacing w:val="0"/>
          <w:szCs w:val="24"/>
          <w:rtl/>
        </w:rPr>
        <w:t xml:space="preserve"> </w:t>
      </w:r>
      <w:r w:rsidRPr="007C3B90">
        <w:rPr>
          <w:rFonts w:ascii="Century" w:hAnsi="Century" w:cs="Miriam" w:hint="eastAsia"/>
          <w:b/>
          <w:spacing w:val="0"/>
          <w:szCs w:val="24"/>
          <w:rtl/>
        </w:rPr>
        <w:t>ישראל</w:t>
      </w:r>
      <w:r w:rsidRPr="007C3B90">
        <w:rPr>
          <w:rFonts w:ascii="Century" w:hAnsi="Century" w:cs="Miriam"/>
          <w:b/>
          <w:spacing w:val="0"/>
          <w:szCs w:val="24"/>
          <w:rtl/>
        </w:rPr>
        <w:t xml:space="preserve"> </w:t>
      </w:r>
      <w:r w:rsidRPr="007C3B90">
        <w:rPr>
          <w:rFonts w:ascii="Century" w:hAnsi="Century" w:cs="Miriam" w:hint="eastAsia"/>
          <w:b/>
          <w:spacing w:val="0"/>
          <w:szCs w:val="24"/>
          <w:rtl/>
        </w:rPr>
        <w:t>כמדינה</w:t>
      </w:r>
      <w:r w:rsidRPr="007C3B90">
        <w:rPr>
          <w:rFonts w:ascii="Century" w:hAnsi="Century" w:cs="Miriam"/>
          <w:b/>
          <w:spacing w:val="0"/>
          <w:szCs w:val="24"/>
          <w:rtl/>
        </w:rPr>
        <w:t xml:space="preserve"> </w:t>
      </w:r>
      <w:r w:rsidRPr="007C3B90">
        <w:rPr>
          <w:rFonts w:ascii="Century" w:hAnsi="Century" w:cs="Miriam" w:hint="eastAsia"/>
          <w:b/>
          <w:spacing w:val="0"/>
          <w:szCs w:val="24"/>
          <w:rtl/>
        </w:rPr>
        <w:t>יהודית</w:t>
      </w:r>
      <w:r w:rsidRPr="007C3B90">
        <w:rPr>
          <w:rFonts w:ascii="Century" w:hAnsi="Century" w:cs="Miriam"/>
          <w:b/>
          <w:spacing w:val="0"/>
          <w:szCs w:val="24"/>
          <w:rtl/>
        </w:rPr>
        <w:t xml:space="preserve"> </w:t>
      </w:r>
      <w:r w:rsidRPr="007C3B90">
        <w:rPr>
          <w:rFonts w:ascii="Century" w:hAnsi="Century" w:cs="Miriam" w:hint="eastAsia"/>
          <w:b/>
          <w:spacing w:val="0"/>
          <w:szCs w:val="24"/>
          <w:rtl/>
        </w:rPr>
        <w:t>ודמוקרטית</w:t>
      </w:r>
      <w:r w:rsidRPr="007C3B90">
        <w:rPr>
          <w:rFonts w:ascii="Century" w:hAnsi="Century" w:cs="Miriam" w:hint="cs"/>
          <w:b/>
          <w:spacing w:val="0"/>
          <w:szCs w:val="24"/>
          <w:rtl/>
        </w:rPr>
        <w:t>"</w:t>
      </w:r>
      <w:r w:rsidRPr="007C3B90">
        <w:rPr>
          <w:rtl/>
        </w:rPr>
        <w:t>.</w:t>
      </w:r>
      <w:r w:rsidRPr="007C3B90">
        <w:rPr>
          <w:rFonts w:hint="cs"/>
          <w:rtl/>
        </w:rPr>
        <w:t xml:space="preserve"> </w:t>
      </w:r>
    </w:p>
    <w:p w:rsidR="00BB56BB" w:rsidRPr="007C3B90" w:rsidRDefault="00BB56BB" w:rsidP="00BB56BB">
      <w:pPr>
        <w:pStyle w:val="Ruller4"/>
        <w:numPr>
          <w:ilvl w:val="0"/>
          <w:numId w:val="0"/>
        </w:numPr>
        <w:rPr>
          <w:rtl/>
        </w:rPr>
      </w:pPr>
    </w:p>
    <w:p w:rsidR="00BB56BB" w:rsidRPr="007C3B90" w:rsidRDefault="00BB56BB" w:rsidP="00BB56BB">
      <w:pPr>
        <w:pStyle w:val="Ruller4"/>
        <w:rPr>
          <w:rtl/>
        </w:rPr>
      </w:pPr>
      <w:r w:rsidRPr="007C3B90">
        <w:rPr>
          <w:rFonts w:hint="cs"/>
          <w:rtl/>
        </w:rPr>
        <w:t xml:space="preserve">עיגון טקסטואלי מפורש יותר למגבלה מהותית שנטלה הכנסת על עצמה, בכל הנוגע לשימור מאפייני המדינה כיהודית ודמוקרטית, ניתן למצוא בהוראת סעיף 7א(א)(1) לחוק-יסוד: הכנסת, המורה כי: </w:t>
      </w:r>
      <w:r w:rsidRPr="007C3B90">
        <w:rPr>
          <w:rFonts w:ascii="Century" w:hAnsi="Century" w:cs="Miriam"/>
          <w:b/>
          <w:spacing w:val="0"/>
          <w:sz w:val="22"/>
          <w:szCs w:val="24"/>
          <w:rtl/>
        </w:rPr>
        <w:t>"</w:t>
      </w:r>
      <w:r w:rsidRPr="007C3B90">
        <w:rPr>
          <w:rFonts w:ascii="Century" w:hAnsi="Century" w:cs="Miriam" w:hint="eastAsia"/>
          <w:b/>
          <w:spacing w:val="0"/>
          <w:sz w:val="22"/>
          <w:szCs w:val="24"/>
          <w:rtl/>
        </w:rPr>
        <w:t>רשימת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מועמדים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לא</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תשתתף</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בבחירות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לכנסת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ולא</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יהיה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אדם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מועמד</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בבחירות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לכנסת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יש</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במטרותיה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או</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במעשיה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הרשימה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או</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במעשיו</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האדם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לרבות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בהתבטאויותיו</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לפי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הענין</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במפורש</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או</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במשתמע</w:t>
      </w:r>
      <w:r w:rsidRPr="007C3B90">
        <w:rPr>
          <w:rFonts w:ascii="Century" w:hAnsi="Century" w:cs="Miriam"/>
          <w:b/>
          <w:spacing w:val="0"/>
          <w:sz w:val="22"/>
          <w:szCs w:val="24"/>
          <w:rtl/>
        </w:rPr>
        <w:t xml:space="preserve"> [...] </w:t>
      </w:r>
      <w:r w:rsidRPr="007C3B90">
        <w:rPr>
          <w:rFonts w:ascii="Century" w:hAnsi="Century" w:cs="Miriam" w:hint="eastAsia"/>
          <w:b/>
          <w:spacing w:val="0"/>
          <w:sz w:val="22"/>
          <w:szCs w:val="24"/>
          <w:rtl/>
        </w:rPr>
        <w:t>שלילת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קיומה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מדינת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ישראל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כמדינה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יהודית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ודמוקרטית</w:t>
      </w:r>
      <w:r w:rsidRPr="007C3B90">
        <w:rPr>
          <w:rFonts w:ascii="Century" w:hAnsi="Century" w:cs="Miriam"/>
          <w:b/>
          <w:spacing w:val="0"/>
          <w:sz w:val="22"/>
          <w:szCs w:val="24"/>
          <w:rtl/>
        </w:rPr>
        <w:t>"</w:t>
      </w:r>
      <w:r w:rsidRPr="007C3B90">
        <w:rPr>
          <w:rStyle w:val="default"/>
          <w:rFonts w:hint="cs"/>
          <w:sz w:val="28"/>
          <w:rtl/>
        </w:rPr>
        <w:t xml:space="preserve">. </w:t>
      </w:r>
      <w:r w:rsidRPr="007C3B90">
        <w:rPr>
          <w:rFonts w:hint="cs"/>
          <w:rtl/>
        </w:rPr>
        <w:t xml:space="preserve">הוראה זו נועדה לשים סייגים לזכות לבחור ולהיבחר, באופן השולל השתתפות במוסד המחוקק מאלה שפעילותם עלולה לפגוע בערכיה של מדינת ישראל כמדינה יהודית ודמוקרטית (וראו הוראה משלימה בסעיף 1(א1) לחוק חסינות חברי הכנסת, זכויותיהם וחובותיהם, התשי"א-1951, המוציאה מכלל החסינות מעשים של חבר כנסת שיש בהם משום </w:t>
      </w:r>
      <w:r w:rsidRPr="007C3B90">
        <w:rPr>
          <w:rFonts w:ascii="Century" w:hAnsi="Century" w:cs="Miriam"/>
          <w:b/>
          <w:spacing w:val="0"/>
          <w:sz w:val="22"/>
          <w:szCs w:val="24"/>
          <w:rtl/>
        </w:rPr>
        <w:t>"</w:t>
      </w:r>
      <w:r w:rsidRPr="007C3B90">
        <w:rPr>
          <w:rFonts w:ascii="Century" w:hAnsi="Century" w:cs="Miriam" w:hint="eastAsia"/>
          <w:b/>
          <w:spacing w:val="0"/>
          <w:sz w:val="22"/>
          <w:szCs w:val="24"/>
          <w:rtl/>
        </w:rPr>
        <w:t>שלילת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קיומה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מדינת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ישראל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כמדינתו</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העם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היהודי</w:t>
      </w:r>
      <w:r w:rsidRPr="007C3B90">
        <w:rPr>
          <w:rFonts w:ascii="Century" w:hAnsi="Century" w:cs="Miriam"/>
          <w:b/>
          <w:spacing w:val="0"/>
          <w:sz w:val="22"/>
          <w:szCs w:val="24"/>
          <w:rtl/>
        </w:rPr>
        <w:t xml:space="preserve">" </w:t>
      </w:r>
      <w:r w:rsidRPr="007C3B90">
        <w:rPr>
          <w:rFonts w:hint="cs"/>
          <w:rtl/>
        </w:rPr>
        <w:t xml:space="preserve">או </w:t>
      </w:r>
      <w:r w:rsidRPr="007C3B90">
        <w:rPr>
          <w:rFonts w:ascii="Century" w:hAnsi="Century" w:cs="Miriam"/>
          <w:b/>
          <w:spacing w:val="0"/>
          <w:sz w:val="22"/>
          <w:szCs w:val="24"/>
          <w:rtl/>
        </w:rPr>
        <w:t>"</w:t>
      </w:r>
      <w:r w:rsidRPr="007C3B90">
        <w:rPr>
          <w:rFonts w:ascii="Century" w:hAnsi="Century" w:cs="Miriam" w:hint="eastAsia"/>
          <w:b/>
          <w:spacing w:val="0"/>
          <w:sz w:val="22"/>
          <w:szCs w:val="24"/>
          <w:rtl/>
        </w:rPr>
        <w:t>שלילת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אופייה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הדמוקרטי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המדינה</w:t>
      </w:r>
      <w:r w:rsidRPr="007C3B90">
        <w:rPr>
          <w:rFonts w:ascii="Century" w:hAnsi="Century" w:cs="Miriam"/>
          <w:b/>
          <w:spacing w:val="0"/>
          <w:sz w:val="22"/>
          <w:szCs w:val="24"/>
          <w:rtl/>
        </w:rPr>
        <w:t>"</w:t>
      </w:r>
      <w:r w:rsidRPr="007C3B90">
        <w:rPr>
          <w:rFonts w:hint="cs"/>
          <w:rtl/>
        </w:rPr>
        <w:t>. כן ראו הוראת סעיף 5(1) ל</w:t>
      </w:r>
      <w:r w:rsidRPr="007C3B90">
        <w:rPr>
          <w:rtl/>
        </w:rPr>
        <w:t xml:space="preserve">חוק המפלגות, </w:t>
      </w:r>
      <w:r w:rsidRPr="007C3B90">
        <w:rPr>
          <w:rFonts w:hint="cs"/>
          <w:rtl/>
        </w:rPr>
        <w:t>ה</w:t>
      </w:r>
      <w:r w:rsidRPr="007C3B90">
        <w:rPr>
          <w:rtl/>
        </w:rPr>
        <w:t>תשנ"ב-1992</w:t>
      </w:r>
      <w:r w:rsidRPr="007C3B90">
        <w:rPr>
          <w:rFonts w:hint="cs"/>
          <w:rtl/>
        </w:rPr>
        <w:t xml:space="preserve">). תכליתה לשמור על אופייה היסודי של המדינה ולמנוע ניצול הכלים הדמוקרטיים לשם שינוי השיטה מתוכה: </w:t>
      </w:r>
      <w:r w:rsidRPr="007C3B90">
        <w:rPr>
          <w:rFonts w:ascii="Century" w:hAnsi="Century" w:cs="Miriam"/>
          <w:b/>
          <w:spacing w:val="0"/>
          <w:sz w:val="22"/>
          <w:szCs w:val="24"/>
          <w:rtl/>
        </w:rPr>
        <w:t>"</w:t>
      </w:r>
      <w:r w:rsidRPr="007C3B90">
        <w:rPr>
          <w:rFonts w:ascii="Century" w:hAnsi="Century" w:cs="Miriam" w:hint="eastAsia"/>
          <w:b/>
          <w:spacing w:val="0"/>
          <w:sz w:val="22"/>
          <w:szCs w:val="24"/>
          <w:rtl/>
        </w:rPr>
        <w:t>סעיף</w:t>
      </w:r>
      <w:r w:rsidRPr="007C3B90">
        <w:rPr>
          <w:rFonts w:ascii="Century" w:hAnsi="Century" w:cs="Miriam"/>
          <w:b/>
          <w:spacing w:val="0"/>
          <w:sz w:val="22"/>
          <w:szCs w:val="24"/>
          <w:rtl/>
        </w:rPr>
        <w:t xml:space="preserve"> 7</w:t>
      </w:r>
      <w:r w:rsidRPr="007C3B90">
        <w:rPr>
          <w:rFonts w:ascii="Century" w:hAnsi="Century" w:cs="Miriam" w:hint="eastAsia"/>
          <w:b/>
          <w:spacing w:val="0"/>
          <w:sz w:val="22"/>
          <w:szCs w:val="24"/>
          <w:rtl/>
        </w:rPr>
        <w:t>א</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לחוק</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יסוד</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הכנסת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מבוסס</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על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התפיסה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כי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דמוקרטיה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רשאית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להגן</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על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עצמה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מפני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כוחות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לא</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דמוקרטיים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המבקשים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לעשות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שימוש</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בדרכים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דמוקרטיות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לשם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שלילת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הדמוקרטיה</w:t>
      </w:r>
      <w:r w:rsidRPr="007C3B90">
        <w:rPr>
          <w:rFonts w:ascii="Century" w:hAnsi="Century" w:cs="Miriam"/>
          <w:b/>
          <w:spacing w:val="0"/>
          <w:sz w:val="22"/>
          <w:szCs w:val="24"/>
          <w:rtl/>
        </w:rPr>
        <w:t>'"</w:t>
      </w:r>
      <w:r w:rsidRPr="007C3B90">
        <w:rPr>
          <w:rFonts w:ascii="FrankRuehl" w:hAnsi="FrankRuehl"/>
          <w:sz w:val="28"/>
          <w:rtl/>
        </w:rPr>
        <w:t xml:space="preserve"> </w:t>
      </w:r>
      <w:r w:rsidRPr="007C3B90">
        <w:rPr>
          <w:rFonts w:hint="cs"/>
          <w:rtl/>
        </w:rPr>
        <w:t xml:space="preserve">(עניין </w:t>
      </w:r>
      <w:r w:rsidRPr="007C3B90">
        <w:rPr>
          <w:rFonts w:ascii="Century" w:hAnsi="Century" w:cs="Miriam" w:hint="eastAsia"/>
          <w:b/>
          <w:spacing w:val="0"/>
          <w:sz w:val="22"/>
          <w:szCs w:val="24"/>
          <w:rtl/>
        </w:rPr>
        <w:lastRenderedPageBreak/>
        <w:t>טיבי</w:t>
      </w:r>
      <w:r w:rsidRPr="007C3B90">
        <w:rPr>
          <w:rFonts w:hint="cs"/>
          <w:rtl/>
        </w:rPr>
        <w:t xml:space="preserve">, בפסקה 5 לפסק דינו של הנשיא </w:t>
      </w:r>
      <w:r w:rsidRPr="007C3B90">
        <w:rPr>
          <w:rFonts w:ascii="Century" w:hAnsi="Century" w:cs="Miriam" w:hint="cs"/>
          <w:b/>
          <w:spacing w:val="0"/>
          <w:szCs w:val="24"/>
          <w:rtl/>
        </w:rPr>
        <w:t>א' ברק</w:t>
      </w:r>
      <w:r w:rsidRPr="007C3B90">
        <w:rPr>
          <w:rFonts w:ascii="FrankRuehl" w:hAnsi="FrankRuehl" w:hint="cs"/>
          <w:sz w:val="28"/>
          <w:rtl/>
        </w:rPr>
        <w:t xml:space="preserve">; עניין </w:t>
      </w:r>
      <w:r w:rsidRPr="007C3B90">
        <w:rPr>
          <w:rFonts w:ascii="Century" w:hAnsi="Century" w:cs="Miriam" w:hint="cs"/>
          <w:b/>
          <w:spacing w:val="0"/>
          <w:szCs w:val="24"/>
          <w:rtl/>
        </w:rPr>
        <w:t>זועבי</w:t>
      </w:r>
      <w:r w:rsidRPr="007C3B90">
        <w:rPr>
          <w:rFonts w:ascii="FrankRuehl" w:hAnsi="FrankRuehl" w:hint="cs"/>
          <w:sz w:val="28"/>
          <w:rtl/>
        </w:rPr>
        <w:t xml:space="preserve">, בפסקה 6 לפסק דינה של הנשיאה </w:t>
      </w:r>
      <w:r w:rsidRPr="007C3B90">
        <w:rPr>
          <w:rFonts w:ascii="Century" w:hAnsi="Century" w:cs="Miriam" w:hint="cs"/>
          <w:b/>
          <w:spacing w:val="0"/>
          <w:szCs w:val="24"/>
          <w:rtl/>
        </w:rPr>
        <w:t>מ' נאור</w:t>
      </w:r>
      <w:r w:rsidRPr="007C3B90">
        <w:rPr>
          <w:rFonts w:ascii="FrankRuehl" w:hAnsi="FrankRuehl" w:hint="cs"/>
          <w:sz w:val="28"/>
          <w:rtl/>
        </w:rPr>
        <w:t>)</w:t>
      </w:r>
      <w:r w:rsidRPr="007C3B90">
        <w:rPr>
          <w:rFonts w:hint="cs"/>
          <w:rtl/>
        </w:rPr>
        <w:t xml:space="preserve">. בהוראה זו הביע אפוא המחוקק את עמדתו בשאלה מה ייחשב </w:t>
      </w:r>
      <w:r w:rsidRPr="007C3B90">
        <w:rPr>
          <w:rFonts w:ascii="Century" w:hAnsi="Century" w:cs="Miriam"/>
          <w:b/>
          <w:spacing w:val="0"/>
          <w:sz w:val="22"/>
          <w:szCs w:val="24"/>
          <w:rtl/>
        </w:rPr>
        <w:t>"</w:t>
      </w:r>
      <w:r w:rsidRPr="007C3B90">
        <w:rPr>
          <w:rFonts w:ascii="Century" w:hAnsi="Century" w:cs="Miriam" w:hint="eastAsia"/>
          <w:b/>
          <w:spacing w:val="0"/>
          <w:sz w:val="22"/>
          <w:szCs w:val="24"/>
          <w:rtl/>
        </w:rPr>
        <w:t>על</w:t>
      </w:r>
      <w:r w:rsidRPr="007C3B90">
        <w:rPr>
          <w:rFonts w:ascii="Century" w:hAnsi="Century" w:cs="Miriam"/>
          <w:b/>
          <w:spacing w:val="0"/>
          <w:sz w:val="22"/>
          <w:szCs w:val="24"/>
          <w:rtl/>
        </w:rPr>
        <w:t>-</w:t>
      </w:r>
      <w:r w:rsidRPr="007C3B90">
        <w:rPr>
          <w:rFonts w:ascii="Century" w:hAnsi="Century" w:cs="Miriam" w:hint="eastAsia"/>
          <w:b/>
          <w:spacing w:val="0"/>
          <w:sz w:val="22"/>
          <w:szCs w:val="24"/>
          <w:rtl/>
        </w:rPr>
        <w:t>פי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תפיסותינו</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החוקתיות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כמעשה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מותר</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או</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אסור</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בתחום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הפרלמנטרי</w:t>
      </w:r>
      <w:r w:rsidRPr="007C3B90">
        <w:rPr>
          <w:rFonts w:ascii="Century" w:hAnsi="Century" w:cs="Miriam"/>
          <w:b/>
          <w:spacing w:val="0"/>
          <w:sz w:val="22"/>
          <w:szCs w:val="24"/>
          <w:rtl/>
        </w:rPr>
        <w:t>"</w:t>
      </w:r>
      <w:r w:rsidRPr="007C3B90">
        <w:rPr>
          <w:rFonts w:hint="cs"/>
          <w:rtl/>
        </w:rPr>
        <w:t xml:space="preserve">, תוך התייחסות למאפייניו של המשטר החוקתי בישראל (בג"ץ 620/85 </w:t>
      </w:r>
      <w:r w:rsidRPr="007C3B90">
        <w:rPr>
          <w:rFonts w:ascii="Century" w:hAnsi="Century" w:cs="Miriam" w:hint="cs"/>
          <w:b/>
          <w:spacing w:val="0"/>
          <w:szCs w:val="24"/>
          <w:rtl/>
        </w:rPr>
        <w:t>מיעארי נ' יו"ר הכנסת</w:t>
      </w:r>
      <w:r w:rsidRPr="007C3B90">
        <w:rPr>
          <w:rFonts w:hint="cs"/>
          <w:rtl/>
        </w:rPr>
        <w:t xml:space="preserve">, פ"ד מא(4) 169, 210 (1987)). </w:t>
      </w:r>
    </w:p>
    <w:p w:rsidR="00BB56BB" w:rsidRPr="007C3B90" w:rsidRDefault="00BB56BB" w:rsidP="00BB56BB">
      <w:pPr>
        <w:pStyle w:val="Ruller4"/>
        <w:numPr>
          <w:ilvl w:val="0"/>
          <w:numId w:val="0"/>
        </w:numPr>
        <w:rPr>
          <w:rtl/>
        </w:rPr>
      </w:pPr>
    </w:p>
    <w:p w:rsidR="00BB56BB" w:rsidRPr="007C3B90" w:rsidRDefault="00BB56BB" w:rsidP="00BB56BB">
      <w:pPr>
        <w:pStyle w:val="Ruller4"/>
        <w:rPr>
          <w:rtl/>
        </w:rPr>
      </w:pPr>
      <w:r w:rsidRPr="007C3B90">
        <w:rPr>
          <w:rFonts w:hint="cs"/>
          <w:rtl/>
        </w:rPr>
        <w:t xml:space="preserve">נורמה זו, בהצטרפה לנורמות החוקתיות הנוספות שתוארו, מהווה אפוא משום עיגון, ולמצער עיגון משתמע, </w:t>
      </w:r>
      <w:r>
        <w:rPr>
          <w:rFonts w:hint="cs"/>
          <w:rtl/>
        </w:rPr>
        <w:t>למגבלה מהותית</w:t>
      </w:r>
      <w:r w:rsidRPr="007C3B90">
        <w:rPr>
          <w:rFonts w:hint="cs"/>
          <w:rtl/>
        </w:rPr>
        <w:t xml:space="preserve"> שנטלה הרשות המכוננת על עצמה, המחייבת את הכנסת לפעול בתוך דל"ת אמות של עקרונות היסוד של המשטר, והמכפיפה את כוחה המכונן לשמירת אופייה של מדינת ישראל כמדינה יהודית ודמוקרטית (וראו: </w:t>
      </w:r>
      <w:r w:rsidRPr="007C3B90">
        <w:rPr>
          <w:rFonts w:ascii="Century" w:hAnsi="Century" w:cs="Miriam" w:hint="cs"/>
          <w:b/>
          <w:spacing w:val="0"/>
          <w:szCs w:val="24"/>
          <w:rtl/>
        </w:rPr>
        <w:t>ווייל</w:t>
      </w:r>
      <w:r w:rsidRPr="007C3B90">
        <w:rPr>
          <w:rFonts w:hint="cs"/>
          <w:rtl/>
        </w:rPr>
        <w:t xml:space="preserve">, בעמ' 567-566; </w:t>
      </w:r>
      <w:r w:rsidRPr="007C3B90">
        <w:rPr>
          <w:rFonts w:ascii="Century" w:hAnsi="Century" w:cs="Miriam" w:hint="cs"/>
          <w:b/>
          <w:spacing w:val="0"/>
          <w:szCs w:val="24"/>
          <w:rtl/>
        </w:rPr>
        <w:t>רוזנאי</w:t>
      </w:r>
      <w:r w:rsidRPr="007C3B90">
        <w:rPr>
          <w:rFonts w:ascii="Century" w:hAnsi="Century" w:hint="cs"/>
          <w:sz w:val="22"/>
          <w:rtl/>
        </w:rPr>
        <w:t>,</w:t>
      </w:r>
      <w:r w:rsidRPr="007C3B90">
        <w:rPr>
          <w:rFonts w:hint="cs"/>
          <w:rtl/>
        </w:rPr>
        <w:t xml:space="preserve"> בעמ' 1354 וכן ה"ש 12; </w:t>
      </w:r>
      <w:r w:rsidRPr="007C3B90">
        <w:rPr>
          <w:rtl/>
        </w:rPr>
        <w:t xml:space="preserve">שרון וינטל </w:t>
      </w:r>
      <w:r w:rsidRPr="007C3B90">
        <w:rPr>
          <w:rFonts w:ascii="Century" w:hAnsi="Century" w:cs="Miriam"/>
          <w:b/>
          <w:spacing w:val="0"/>
          <w:szCs w:val="24"/>
          <w:rtl/>
        </w:rPr>
        <w:t>"פסקאות נצחיות" בחוקה: הסטנדרט הנורמטיבי המחמיר בכינון סדר חוקתי חדש</w:t>
      </w:r>
      <w:r w:rsidRPr="007C3B90">
        <w:rPr>
          <w:rtl/>
        </w:rPr>
        <w:t xml:space="preserve"> </w:t>
      </w:r>
      <w:r w:rsidRPr="007C3B90">
        <w:rPr>
          <w:rFonts w:hint="cs"/>
          <w:rtl/>
        </w:rPr>
        <w:t xml:space="preserve">פרק ראשון 40-37 </w:t>
      </w:r>
      <w:r w:rsidRPr="007C3B90">
        <w:rPr>
          <w:rtl/>
        </w:rPr>
        <w:t>(עבודה לקבלת תואר דוקטור, האוניברסיטה העברית בירושלים 2007)</w:t>
      </w:r>
      <w:r w:rsidRPr="007C3B90">
        <w:rPr>
          <w:rFonts w:hint="cs"/>
          <w:rtl/>
        </w:rPr>
        <w:t xml:space="preserve"> (להלן: </w:t>
      </w:r>
      <w:r w:rsidRPr="007C3B90">
        <w:rPr>
          <w:rFonts w:ascii="Century" w:hAnsi="Century" w:cs="Miriam" w:hint="eastAsia"/>
          <w:b/>
          <w:spacing w:val="0"/>
          <w:szCs w:val="24"/>
          <w:rtl/>
        </w:rPr>
        <w:t>וינטל</w:t>
      </w:r>
      <w:r w:rsidRPr="007C3B90">
        <w:rPr>
          <w:rFonts w:hint="cs"/>
          <w:rtl/>
        </w:rPr>
        <w:t xml:space="preserve">). כן ראו עניין </w:t>
      </w:r>
      <w:r w:rsidRPr="007C3B90">
        <w:rPr>
          <w:rFonts w:ascii="Century" w:hAnsi="Century" w:cs="Miriam" w:hint="eastAsia"/>
          <w:b/>
          <w:spacing w:val="0"/>
          <w:szCs w:val="24"/>
          <w:rtl/>
        </w:rPr>
        <w:t>חוק</w:t>
      </w:r>
      <w:r w:rsidRPr="007C3B90">
        <w:rPr>
          <w:rFonts w:ascii="Century" w:hAnsi="Century" w:cs="Miriam"/>
          <w:b/>
          <w:spacing w:val="0"/>
          <w:szCs w:val="24"/>
          <w:rtl/>
        </w:rPr>
        <w:t xml:space="preserve"> </w:t>
      </w:r>
      <w:r w:rsidRPr="007C3B90">
        <w:rPr>
          <w:rFonts w:ascii="Century" w:hAnsi="Century" w:cs="Miriam" w:hint="eastAsia"/>
          <w:b/>
          <w:spacing w:val="0"/>
          <w:szCs w:val="24"/>
          <w:rtl/>
        </w:rPr>
        <w:t>הלאום</w:t>
      </w:r>
      <w:r w:rsidRPr="007C3B90">
        <w:rPr>
          <w:rFonts w:hint="cs"/>
          <w:rtl/>
        </w:rPr>
        <w:t xml:space="preserve">, בפסקה 19 לפסק דינה של הנשיאה </w:t>
      </w:r>
      <w:r w:rsidRPr="007C3B90">
        <w:rPr>
          <w:rFonts w:ascii="Century" w:hAnsi="Century" w:cs="Miriam" w:hint="cs"/>
          <w:b/>
          <w:spacing w:val="0"/>
          <w:szCs w:val="24"/>
          <w:rtl/>
        </w:rPr>
        <w:t xml:space="preserve">א' </w:t>
      </w:r>
      <w:r w:rsidRPr="007C3B90">
        <w:rPr>
          <w:rFonts w:ascii="Century" w:hAnsi="Century" w:cs="Miriam" w:hint="eastAsia"/>
          <w:b/>
          <w:spacing w:val="0"/>
          <w:szCs w:val="24"/>
          <w:rtl/>
        </w:rPr>
        <w:t>חיות</w:t>
      </w:r>
      <w:r w:rsidRPr="007C3B90">
        <w:rPr>
          <w:rFonts w:hint="cs"/>
          <w:rtl/>
        </w:rPr>
        <w:t xml:space="preserve">). </w:t>
      </w:r>
      <w:r w:rsidRPr="007C3B90" w:rsidDel="00B47BE3">
        <w:rPr>
          <w:rFonts w:hint="cs"/>
          <w:rtl/>
        </w:rPr>
        <w:t xml:space="preserve">אם הכנסת </w:t>
      </w:r>
      <w:r w:rsidRPr="007C3B90">
        <w:rPr>
          <w:rFonts w:hint="cs"/>
          <w:rtl/>
        </w:rPr>
        <w:t xml:space="preserve">מבקשת למנוע </w:t>
      </w:r>
      <w:r w:rsidRPr="007C3B90" w:rsidDel="00B47BE3">
        <w:rPr>
          <w:rFonts w:hint="cs"/>
          <w:rtl/>
        </w:rPr>
        <w:t xml:space="preserve">ממי שמתנגד לקיומה של </w:t>
      </w:r>
      <w:r>
        <w:rPr>
          <w:rFonts w:hint="cs"/>
          <w:rtl/>
        </w:rPr>
        <w:t xml:space="preserve">מדינת </w:t>
      </w:r>
      <w:r w:rsidRPr="007C3B90">
        <w:rPr>
          <w:rFonts w:hint="cs"/>
          <w:rtl/>
        </w:rPr>
        <w:t>ישראל</w:t>
      </w:r>
      <w:r w:rsidRPr="007C3B90" w:rsidDel="00B47BE3">
        <w:rPr>
          <w:rFonts w:hint="cs"/>
          <w:rtl/>
        </w:rPr>
        <w:t xml:space="preserve"> כ</w:t>
      </w:r>
      <w:r w:rsidRPr="007C3B90">
        <w:rPr>
          <w:rFonts w:hint="cs"/>
          <w:rtl/>
        </w:rPr>
        <w:t xml:space="preserve">"מדינה </w:t>
      </w:r>
      <w:r w:rsidRPr="007C3B90" w:rsidDel="00B47BE3">
        <w:rPr>
          <w:rFonts w:hint="cs"/>
          <w:rtl/>
        </w:rPr>
        <w:t>יהודית ודמוקרטית</w:t>
      </w:r>
      <w:r w:rsidRPr="007C3B90">
        <w:rPr>
          <w:rFonts w:hint="cs"/>
          <w:rtl/>
        </w:rPr>
        <w:t>"</w:t>
      </w:r>
      <w:r w:rsidRPr="007C3B90" w:rsidDel="00B47BE3">
        <w:rPr>
          <w:rFonts w:hint="cs"/>
          <w:rtl/>
        </w:rPr>
        <w:t xml:space="preserve"> להיכנס בשעריה, על מנת למנוע פוטנציאל לשינוי מאפייניה </w:t>
      </w:r>
      <w:r>
        <w:rPr>
          <w:rFonts w:hint="cs"/>
          <w:rtl/>
        </w:rPr>
        <w:t xml:space="preserve">היסודיים של המדינה </w:t>
      </w:r>
      <w:r>
        <w:rPr>
          <w:rtl/>
        </w:rPr>
        <w:t>–</w:t>
      </w:r>
      <w:r w:rsidRPr="007C3B90" w:rsidDel="00B47BE3">
        <w:rPr>
          <w:rFonts w:hint="cs"/>
          <w:rtl/>
        </w:rPr>
        <w:t xml:space="preserve"> קל וחומר שהיא מבקשת למנוע חקיקה קונקרטית ואקטואלית השוללת </w:t>
      </w:r>
      <w:r>
        <w:rPr>
          <w:rFonts w:hint="cs"/>
          <w:rtl/>
        </w:rPr>
        <w:t>מאפיינים אלה</w:t>
      </w:r>
      <w:r w:rsidRPr="007C3B90" w:rsidDel="00B47BE3">
        <w:rPr>
          <w:rFonts w:hint="cs"/>
          <w:rtl/>
        </w:rPr>
        <w:t xml:space="preserve">. </w:t>
      </w:r>
      <w:r w:rsidRPr="007C3B90">
        <w:rPr>
          <w:rFonts w:hint="cs"/>
          <w:rtl/>
        </w:rPr>
        <w:t>אמנם, אין מדובר בהוראת שריון או כבילה מפורשת כפי שניתן למצוא בחוקות אחרות בעולם (</w:t>
      </w:r>
      <w:r w:rsidRPr="007C3B90">
        <w:rPr>
          <w:rFonts w:ascii="Century" w:hAnsi="Century" w:cs="Miriam" w:hint="cs"/>
          <w:b/>
          <w:spacing w:val="0"/>
          <w:szCs w:val="24"/>
          <w:rtl/>
        </w:rPr>
        <w:t>וינטל</w:t>
      </w:r>
      <w:r w:rsidRPr="007C3B90">
        <w:rPr>
          <w:rFonts w:hint="cs"/>
          <w:rtl/>
        </w:rPr>
        <w:t xml:space="preserve">, בעמ' 20-10), אך ניתן לראות בה כאמור הוראת כבילה מהותית, המעוגנת בטקסט החוקתי, המקימה שני מנגנוני הגנה על זהותה </w:t>
      </w:r>
      <w:r>
        <w:rPr>
          <w:rFonts w:hint="cs"/>
          <w:rtl/>
        </w:rPr>
        <w:t xml:space="preserve">החוקתית </w:t>
      </w:r>
      <w:r w:rsidRPr="007C3B90">
        <w:rPr>
          <w:rFonts w:hint="cs"/>
          <w:rtl/>
        </w:rPr>
        <w:t>של המדינה המשלימים זה את זה: מנגנון אחד, מפורש, בבחינת קו הגנה ראשון</w:t>
      </w:r>
      <w:r>
        <w:rPr>
          <w:rFonts w:hint="cs"/>
          <w:rtl/>
        </w:rPr>
        <w:t xml:space="preserve"> </w:t>
      </w:r>
      <w:r w:rsidRPr="007C3B90">
        <w:rPr>
          <w:rtl/>
        </w:rPr>
        <w:t>–</w:t>
      </w:r>
      <w:r>
        <w:rPr>
          <w:rFonts w:hint="cs"/>
          <w:rtl/>
        </w:rPr>
        <w:t xml:space="preserve"> ש</w:t>
      </w:r>
      <w:r w:rsidRPr="007C3B90">
        <w:rPr>
          <w:rFonts w:hint="cs"/>
          <w:rtl/>
        </w:rPr>
        <w:t xml:space="preserve">עניינו שלילת ההשתתפות בהליך הדמוקרטי ממי שמבקש לחתור תחת אופייה של המדינה כיהודית ודמוקרטית (עניין </w:t>
      </w:r>
      <w:r w:rsidRPr="007C3B90">
        <w:rPr>
          <w:rFonts w:ascii="Century" w:hAnsi="Century" w:cs="Miriam" w:hint="cs"/>
          <w:b/>
          <w:spacing w:val="0"/>
          <w:szCs w:val="24"/>
          <w:rtl/>
        </w:rPr>
        <w:t>יאסין</w:t>
      </w:r>
      <w:r w:rsidRPr="007C3B90">
        <w:rPr>
          <w:rFonts w:hint="cs"/>
          <w:rtl/>
        </w:rPr>
        <w:t xml:space="preserve"> בעמ' 70; עניין </w:t>
      </w:r>
      <w:r w:rsidRPr="007C3B90">
        <w:rPr>
          <w:rFonts w:ascii="Century" w:hAnsi="Century" w:cs="Miriam" w:hint="cs"/>
          <w:b/>
          <w:spacing w:val="0"/>
          <w:szCs w:val="24"/>
          <w:rtl/>
        </w:rPr>
        <w:t>טיבי</w:t>
      </w:r>
      <w:r w:rsidRPr="007C3B90">
        <w:rPr>
          <w:rFonts w:hint="cs"/>
          <w:rtl/>
        </w:rPr>
        <w:t xml:space="preserve"> בפסקה 2 לפסק דינו של הנשיא </w:t>
      </w:r>
      <w:r w:rsidRPr="007C3B90">
        <w:rPr>
          <w:rFonts w:ascii="Century" w:hAnsi="Century" w:cs="Miriam" w:hint="eastAsia"/>
          <w:b/>
          <w:spacing w:val="0"/>
          <w:szCs w:val="24"/>
          <w:rtl/>
        </w:rPr>
        <w:t>א</w:t>
      </w:r>
      <w:r w:rsidRPr="007C3B90">
        <w:rPr>
          <w:rFonts w:ascii="Century" w:hAnsi="Century" w:cs="Miriam"/>
          <w:b/>
          <w:spacing w:val="0"/>
          <w:szCs w:val="24"/>
          <w:rtl/>
        </w:rPr>
        <w:t xml:space="preserve">' </w:t>
      </w:r>
      <w:r w:rsidRPr="007C3B90">
        <w:rPr>
          <w:rFonts w:ascii="Century" w:hAnsi="Century" w:cs="Miriam" w:hint="eastAsia"/>
          <w:b/>
          <w:spacing w:val="0"/>
          <w:szCs w:val="24"/>
          <w:rtl/>
        </w:rPr>
        <w:t>ברק</w:t>
      </w:r>
      <w:r w:rsidRPr="007C3B90">
        <w:rPr>
          <w:rFonts w:hint="cs"/>
          <w:rtl/>
        </w:rPr>
        <w:t xml:space="preserve">); ומנגנון שני, משתמע, בבחינת קו הגנה אחורי </w:t>
      </w:r>
      <w:r w:rsidRPr="007C3B90">
        <w:rPr>
          <w:rtl/>
        </w:rPr>
        <w:t>–</w:t>
      </w:r>
      <w:r w:rsidRPr="007C3B90">
        <w:rPr>
          <w:rFonts w:hint="cs"/>
          <w:rtl/>
        </w:rPr>
        <w:t xml:space="preserve"> שנועד למנוע מן המחוקק לפעול לקידום חקיקה שאינה מתיישבת עם אופייה זה של המדינה ולשנות את השיטה "מתוכה" (כך סבורה המלומדת </w:t>
      </w:r>
      <w:r w:rsidRPr="007C3B90">
        <w:rPr>
          <w:rFonts w:ascii="Century" w:hAnsi="Century" w:cs="Miriam" w:hint="eastAsia"/>
          <w:b/>
          <w:spacing w:val="0"/>
          <w:szCs w:val="24"/>
          <w:rtl/>
        </w:rPr>
        <w:t>ו</w:t>
      </w:r>
      <w:r w:rsidRPr="007C3B90">
        <w:rPr>
          <w:rFonts w:ascii="Century" w:hAnsi="Century" w:cs="Miriam" w:hint="cs"/>
          <w:b/>
          <w:spacing w:val="0"/>
          <w:szCs w:val="24"/>
          <w:rtl/>
        </w:rPr>
        <w:t>וייל</w:t>
      </w:r>
      <w:r w:rsidRPr="007C3B90">
        <w:rPr>
          <w:rFonts w:hint="cs"/>
          <w:rtl/>
        </w:rPr>
        <w:t xml:space="preserve">, ראו: </w:t>
      </w:r>
      <w:r w:rsidRPr="00AE1C9F">
        <w:rPr>
          <w:rFonts w:ascii="Century" w:hAnsi="Century" w:cs="Miriam" w:hint="cs"/>
          <w:b/>
          <w:spacing w:val="0"/>
          <w:sz w:val="22"/>
          <w:szCs w:val="24"/>
          <w:rtl/>
        </w:rPr>
        <w:t>שם</w:t>
      </w:r>
      <w:r w:rsidRPr="007C3B90">
        <w:rPr>
          <w:rFonts w:hint="cs"/>
          <w:rtl/>
        </w:rPr>
        <w:t>,</w:t>
      </w:r>
      <w:r>
        <w:rPr>
          <w:rFonts w:hint="cs"/>
          <w:rtl/>
        </w:rPr>
        <w:t xml:space="preserve"> בעמ'</w:t>
      </w:r>
      <w:r w:rsidRPr="007C3B90">
        <w:rPr>
          <w:rFonts w:hint="cs"/>
          <w:rtl/>
        </w:rPr>
        <w:t xml:space="preserve"> 567</w:t>
      </w:r>
      <w:r w:rsidRPr="007C3B90">
        <w:rPr>
          <w:rtl/>
        </w:rPr>
        <w:t xml:space="preserve">). </w:t>
      </w:r>
      <w:r w:rsidRPr="007C3B90">
        <w:rPr>
          <w:rFonts w:hint="eastAsia"/>
          <w:rtl/>
        </w:rPr>
        <w:t>שני</w:t>
      </w:r>
      <w:r w:rsidRPr="007C3B90">
        <w:rPr>
          <w:rtl/>
        </w:rPr>
        <w:t xml:space="preserve"> מנגנונים אלה </w:t>
      </w:r>
      <w:r w:rsidRPr="007C3B90">
        <w:rPr>
          <w:rFonts w:hint="cs"/>
          <w:rtl/>
        </w:rPr>
        <w:t xml:space="preserve">יחדיו </w:t>
      </w:r>
      <w:r w:rsidRPr="007C3B90">
        <w:rPr>
          <w:rFonts w:hint="eastAsia"/>
          <w:rtl/>
        </w:rPr>
        <w:t>מבקשים</w:t>
      </w:r>
      <w:r w:rsidRPr="007C3B90">
        <w:rPr>
          <w:rtl/>
        </w:rPr>
        <w:t xml:space="preserve"> </w:t>
      </w:r>
      <w:r w:rsidRPr="007C3B90">
        <w:rPr>
          <w:rFonts w:hint="eastAsia"/>
          <w:rtl/>
        </w:rPr>
        <w:t>למנוע</w:t>
      </w:r>
      <w:r w:rsidRPr="007C3B90">
        <w:rPr>
          <w:rtl/>
        </w:rPr>
        <w:t xml:space="preserve"> </w:t>
      </w:r>
      <w:r w:rsidRPr="007C3B90">
        <w:rPr>
          <w:rFonts w:hint="eastAsia"/>
          <w:rtl/>
        </w:rPr>
        <w:t>מן</w:t>
      </w:r>
      <w:r w:rsidRPr="007C3B90">
        <w:rPr>
          <w:rtl/>
        </w:rPr>
        <w:t xml:space="preserve"> </w:t>
      </w:r>
      <w:r w:rsidRPr="007C3B90">
        <w:rPr>
          <w:rFonts w:hint="eastAsia"/>
          <w:rtl/>
        </w:rPr>
        <w:t>הרשות</w:t>
      </w:r>
      <w:r w:rsidRPr="007C3B90">
        <w:rPr>
          <w:rtl/>
        </w:rPr>
        <w:t xml:space="preserve"> </w:t>
      </w:r>
      <w:r w:rsidRPr="007C3B90">
        <w:rPr>
          <w:rFonts w:hint="eastAsia"/>
          <w:rtl/>
        </w:rPr>
        <w:t>המחוקקת</w:t>
      </w:r>
      <w:r w:rsidRPr="007C3B90">
        <w:rPr>
          <w:rtl/>
        </w:rPr>
        <w:t xml:space="preserve">, </w:t>
      </w:r>
      <w:r w:rsidRPr="007C3B90">
        <w:rPr>
          <w:rFonts w:hint="eastAsia"/>
          <w:rtl/>
        </w:rPr>
        <w:t>שסמכותה</w:t>
      </w:r>
      <w:r w:rsidRPr="007C3B90">
        <w:rPr>
          <w:rtl/>
        </w:rPr>
        <w:t xml:space="preserve"> </w:t>
      </w:r>
      <w:r w:rsidRPr="007C3B90">
        <w:rPr>
          <w:rFonts w:hint="eastAsia"/>
          <w:rtl/>
        </w:rPr>
        <w:t>יונקת</w:t>
      </w:r>
      <w:r w:rsidRPr="007C3B90">
        <w:rPr>
          <w:rtl/>
        </w:rPr>
        <w:t xml:space="preserve"> </w:t>
      </w:r>
      <w:r w:rsidRPr="007C3B90">
        <w:rPr>
          <w:rFonts w:hint="eastAsia"/>
          <w:rtl/>
        </w:rPr>
        <w:t>משורשיה</w:t>
      </w:r>
      <w:r w:rsidRPr="007C3B90">
        <w:rPr>
          <w:rtl/>
        </w:rPr>
        <w:t xml:space="preserve"> </w:t>
      </w:r>
      <w:r w:rsidRPr="007C3B90">
        <w:rPr>
          <w:rFonts w:hint="eastAsia"/>
          <w:rtl/>
        </w:rPr>
        <w:t>הדמוקרטיים</w:t>
      </w:r>
      <w:r w:rsidRPr="007C3B90">
        <w:rPr>
          <w:rtl/>
        </w:rPr>
        <w:t xml:space="preserve"> </w:t>
      </w:r>
      <w:r w:rsidRPr="007C3B90">
        <w:rPr>
          <w:rFonts w:hint="eastAsia"/>
          <w:rtl/>
        </w:rPr>
        <w:t>של</w:t>
      </w:r>
      <w:r w:rsidRPr="007C3B90">
        <w:rPr>
          <w:rtl/>
        </w:rPr>
        <w:t xml:space="preserve"> </w:t>
      </w:r>
      <w:r w:rsidRPr="007C3B90">
        <w:rPr>
          <w:rFonts w:hint="eastAsia"/>
          <w:rtl/>
        </w:rPr>
        <w:t>המדינה</w:t>
      </w:r>
      <w:r w:rsidRPr="007C3B90">
        <w:rPr>
          <w:rtl/>
        </w:rPr>
        <w:t xml:space="preserve">, </w:t>
      </w:r>
      <w:r w:rsidRPr="007C3B90">
        <w:rPr>
          <w:rFonts w:hint="eastAsia"/>
          <w:rtl/>
        </w:rPr>
        <w:t>לפעול</w:t>
      </w:r>
      <w:r w:rsidRPr="007C3B90">
        <w:rPr>
          <w:rtl/>
        </w:rPr>
        <w:t xml:space="preserve"> </w:t>
      </w:r>
      <w:r w:rsidRPr="007C3B90">
        <w:rPr>
          <w:rFonts w:hint="eastAsia"/>
          <w:rtl/>
        </w:rPr>
        <w:t>באופן</w:t>
      </w:r>
      <w:r w:rsidRPr="007C3B90">
        <w:rPr>
          <w:rtl/>
        </w:rPr>
        <w:t xml:space="preserve"> </w:t>
      </w:r>
      <w:r w:rsidRPr="007C3B90">
        <w:rPr>
          <w:rFonts w:hint="eastAsia"/>
          <w:rtl/>
        </w:rPr>
        <w:t>מנוגד</w:t>
      </w:r>
      <w:r w:rsidRPr="007C3B90">
        <w:rPr>
          <w:rtl/>
        </w:rPr>
        <w:t xml:space="preserve"> </w:t>
      </w:r>
      <w:r w:rsidRPr="007C3B90">
        <w:rPr>
          <w:rFonts w:hint="eastAsia"/>
          <w:rtl/>
        </w:rPr>
        <w:t>לכללי</w:t>
      </w:r>
      <w:r w:rsidRPr="007C3B90">
        <w:rPr>
          <w:rtl/>
        </w:rPr>
        <w:t xml:space="preserve"> </w:t>
      </w:r>
      <w:r w:rsidRPr="007C3B90">
        <w:rPr>
          <w:rFonts w:hint="eastAsia"/>
          <w:rtl/>
        </w:rPr>
        <w:t>המסגרת</w:t>
      </w:r>
      <w:r w:rsidRPr="007C3B90">
        <w:rPr>
          <w:rtl/>
        </w:rPr>
        <w:t xml:space="preserve"> </w:t>
      </w:r>
      <w:r w:rsidRPr="007C3B90">
        <w:rPr>
          <w:rFonts w:hint="eastAsia"/>
          <w:rtl/>
        </w:rPr>
        <w:t>של</w:t>
      </w:r>
      <w:r w:rsidRPr="007C3B90">
        <w:rPr>
          <w:rtl/>
        </w:rPr>
        <w:t xml:space="preserve"> </w:t>
      </w:r>
      <w:r w:rsidRPr="007C3B90">
        <w:rPr>
          <w:rFonts w:hint="eastAsia"/>
          <w:rtl/>
        </w:rPr>
        <w:t>המשטר</w:t>
      </w:r>
      <w:r w:rsidRPr="007C3B90">
        <w:rPr>
          <w:rtl/>
        </w:rPr>
        <w:t xml:space="preserve"> </w:t>
      </w:r>
      <w:r w:rsidRPr="007C3B90">
        <w:rPr>
          <w:rFonts w:hint="eastAsia"/>
          <w:rtl/>
        </w:rPr>
        <w:t>הדמוקרטי</w:t>
      </w:r>
      <w:r w:rsidRPr="007C3B90">
        <w:rPr>
          <w:rtl/>
        </w:rPr>
        <w:t xml:space="preserve"> </w:t>
      </w:r>
      <w:r w:rsidRPr="007C3B90">
        <w:rPr>
          <w:rFonts w:hint="eastAsia"/>
          <w:rtl/>
        </w:rPr>
        <w:t>שבחסות</w:t>
      </w:r>
      <w:r w:rsidRPr="007C3B90">
        <w:rPr>
          <w:rFonts w:hint="cs"/>
          <w:rtl/>
        </w:rPr>
        <w:t>ם</w:t>
      </w:r>
      <w:r w:rsidRPr="007C3B90">
        <w:rPr>
          <w:rtl/>
        </w:rPr>
        <w:t xml:space="preserve"> נבחרה. מטרתם להבטיח הגנה ויציבות לעקרונות היסוד של מדינת ישראל ולמנוע שינויים על-ידי רוב מזדמן (והשוו: </w:t>
      </w:r>
      <w:r w:rsidRPr="007C3B90">
        <w:rPr>
          <w:rFonts w:ascii="Century" w:hAnsi="Century" w:cs="Miriam" w:hint="eastAsia"/>
          <w:b/>
          <w:spacing w:val="0"/>
          <w:szCs w:val="24"/>
          <w:rtl/>
        </w:rPr>
        <w:t>רוזנאי</w:t>
      </w:r>
      <w:r w:rsidRPr="007C3B90">
        <w:rPr>
          <w:rtl/>
        </w:rPr>
        <w:t xml:space="preserve">, </w:t>
      </w:r>
      <w:r w:rsidRPr="007C3B90">
        <w:rPr>
          <w:rFonts w:hint="eastAsia"/>
          <w:rtl/>
        </w:rPr>
        <w:t>בעמ</w:t>
      </w:r>
      <w:r w:rsidRPr="007C3B90">
        <w:rPr>
          <w:rtl/>
        </w:rPr>
        <w:t>' 1376).</w:t>
      </w:r>
      <w:r w:rsidRPr="007C3B90">
        <w:rPr>
          <w:rFonts w:hint="cs"/>
          <w:rtl/>
        </w:rPr>
        <w:t xml:space="preserve"> ההגבלה האמורה משתלבת היטב עם המערך החוקתי במדינת ישראל בכללותו, כפי שתואר בחוות דעתה של חברתי הנשיאה. חקיקת היסוד משמיעה לנו, אפוא, כי </w:t>
      </w:r>
      <w:r w:rsidRPr="007C3B90">
        <w:rPr>
          <w:rFonts w:hint="eastAsia"/>
          <w:rtl/>
        </w:rPr>
        <w:t>על</w:t>
      </w:r>
      <w:r w:rsidRPr="007C3B90">
        <w:rPr>
          <w:rtl/>
        </w:rPr>
        <w:t xml:space="preserve"> </w:t>
      </w:r>
      <w:r w:rsidRPr="007C3B90">
        <w:rPr>
          <w:rFonts w:hint="eastAsia"/>
          <w:rtl/>
        </w:rPr>
        <w:t>אף</w:t>
      </w:r>
      <w:r w:rsidRPr="007C3B90">
        <w:rPr>
          <w:rtl/>
        </w:rPr>
        <w:t xml:space="preserve"> </w:t>
      </w:r>
      <w:r w:rsidRPr="007C3B90">
        <w:rPr>
          <w:rFonts w:hint="eastAsia"/>
          <w:rtl/>
        </w:rPr>
        <w:t>עליונותה</w:t>
      </w:r>
      <w:r w:rsidRPr="007C3B90">
        <w:rPr>
          <w:rtl/>
        </w:rPr>
        <w:t xml:space="preserve"> </w:t>
      </w:r>
      <w:r w:rsidRPr="007C3B90">
        <w:rPr>
          <w:rFonts w:hint="eastAsia"/>
          <w:rtl/>
        </w:rPr>
        <w:t>המוסדית</w:t>
      </w:r>
      <w:r w:rsidRPr="007C3B90">
        <w:rPr>
          <w:rtl/>
        </w:rPr>
        <w:t xml:space="preserve"> </w:t>
      </w:r>
      <w:r w:rsidRPr="007C3B90">
        <w:rPr>
          <w:rFonts w:hint="eastAsia"/>
          <w:rtl/>
        </w:rPr>
        <w:t>של</w:t>
      </w:r>
      <w:r w:rsidRPr="007C3B90">
        <w:rPr>
          <w:rtl/>
        </w:rPr>
        <w:t xml:space="preserve"> </w:t>
      </w:r>
      <w:r w:rsidRPr="007C3B90">
        <w:rPr>
          <w:rFonts w:hint="eastAsia"/>
          <w:rtl/>
        </w:rPr>
        <w:t>הכנסת</w:t>
      </w:r>
      <w:r w:rsidRPr="007C3B90">
        <w:rPr>
          <w:rtl/>
        </w:rPr>
        <w:t xml:space="preserve"> </w:t>
      </w:r>
      <w:r w:rsidRPr="007C3B90">
        <w:rPr>
          <w:rFonts w:hint="eastAsia"/>
          <w:rtl/>
        </w:rPr>
        <w:t>כרשות</w:t>
      </w:r>
      <w:r w:rsidRPr="007C3B90">
        <w:rPr>
          <w:rtl/>
        </w:rPr>
        <w:t xml:space="preserve"> </w:t>
      </w:r>
      <w:r w:rsidRPr="007C3B90">
        <w:rPr>
          <w:rFonts w:hint="eastAsia"/>
          <w:rtl/>
        </w:rPr>
        <w:t>מחוקקת</w:t>
      </w:r>
      <w:r w:rsidRPr="007C3B90">
        <w:rPr>
          <w:rtl/>
        </w:rPr>
        <w:t xml:space="preserve">, </w:t>
      </w:r>
      <w:r w:rsidRPr="007C3B90">
        <w:rPr>
          <w:rFonts w:hint="eastAsia"/>
          <w:rtl/>
        </w:rPr>
        <w:t>אין</w:t>
      </w:r>
      <w:r w:rsidRPr="007C3B90">
        <w:rPr>
          <w:rtl/>
        </w:rPr>
        <w:t xml:space="preserve"> </w:t>
      </w:r>
      <w:r w:rsidRPr="007C3B90">
        <w:rPr>
          <w:rFonts w:hint="eastAsia"/>
          <w:rtl/>
        </w:rPr>
        <w:t>היא</w:t>
      </w:r>
      <w:r w:rsidRPr="007C3B90">
        <w:rPr>
          <w:rtl/>
        </w:rPr>
        <w:t xml:space="preserve"> </w:t>
      </w:r>
      <w:r w:rsidRPr="007C3B90">
        <w:rPr>
          <w:rFonts w:hint="eastAsia"/>
          <w:rtl/>
        </w:rPr>
        <w:t>מוסמכת</w:t>
      </w:r>
      <w:r w:rsidRPr="007C3B90">
        <w:rPr>
          <w:rtl/>
        </w:rPr>
        <w:t xml:space="preserve"> </w:t>
      </w:r>
      <w:r w:rsidRPr="007C3B90">
        <w:rPr>
          <w:rFonts w:hint="eastAsia"/>
          <w:rtl/>
        </w:rPr>
        <w:t>לשלול</w:t>
      </w:r>
      <w:r w:rsidRPr="007C3B90">
        <w:rPr>
          <w:rtl/>
        </w:rPr>
        <w:t xml:space="preserve"> </w:t>
      </w:r>
      <w:r w:rsidRPr="007C3B90">
        <w:rPr>
          <w:rFonts w:hint="eastAsia"/>
          <w:rtl/>
        </w:rPr>
        <w:t>את</w:t>
      </w:r>
      <w:r w:rsidRPr="007C3B90">
        <w:rPr>
          <w:rtl/>
        </w:rPr>
        <w:t xml:space="preserve"> </w:t>
      </w:r>
      <w:r w:rsidRPr="007C3B90">
        <w:rPr>
          <w:rFonts w:hint="eastAsia"/>
          <w:rtl/>
        </w:rPr>
        <w:t>קיומה</w:t>
      </w:r>
      <w:r w:rsidRPr="007C3B90">
        <w:rPr>
          <w:rtl/>
        </w:rPr>
        <w:t xml:space="preserve"> </w:t>
      </w:r>
      <w:r w:rsidRPr="007C3B90">
        <w:rPr>
          <w:rFonts w:hint="eastAsia"/>
          <w:rtl/>
        </w:rPr>
        <w:t>של</w:t>
      </w:r>
      <w:r w:rsidRPr="007C3B90">
        <w:rPr>
          <w:rtl/>
        </w:rPr>
        <w:t xml:space="preserve"> </w:t>
      </w:r>
      <w:r w:rsidRPr="007C3B90">
        <w:rPr>
          <w:rFonts w:hint="cs"/>
          <w:rtl/>
        </w:rPr>
        <w:t>המדינה</w:t>
      </w:r>
      <w:r w:rsidRPr="007C3B90">
        <w:rPr>
          <w:rtl/>
        </w:rPr>
        <w:t xml:space="preserve"> </w:t>
      </w:r>
      <w:r w:rsidRPr="007C3B90">
        <w:rPr>
          <w:rFonts w:hint="eastAsia"/>
          <w:rtl/>
        </w:rPr>
        <w:t>כ</w:t>
      </w:r>
      <w:r w:rsidRPr="007C3B90">
        <w:rPr>
          <w:rFonts w:hint="cs"/>
          <w:rtl/>
        </w:rPr>
        <w:t xml:space="preserve">מדינה </w:t>
      </w:r>
      <w:r w:rsidRPr="007C3B90">
        <w:rPr>
          <w:rFonts w:hint="eastAsia"/>
          <w:rtl/>
        </w:rPr>
        <w:t>יהודית</w:t>
      </w:r>
      <w:r w:rsidRPr="007C3B90">
        <w:rPr>
          <w:rtl/>
        </w:rPr>
        <w:t xml:space="preserve"> </w:t>
      </w:r>
      <w:r w:rsidRPr="007C3B90">
        <w:rPr>
          <w:rFonts w:hint="eastAsia"/>
          <w:rtl/>
        </w:rPr>
        <w:t>ודמוקרטית</w:t>
      </w:r>
      <w:r w:rsidRPr="007C3B90">
        <w:rPr>
          <w:rtl/>
        </w:rPr>
        <w:t xml:space="preserve"> </w:t>
      </w:r>
      <w:r w:rsidRPr="007C3B90">
        <w:rPr>
          <w:rFonts w:hint="eastAsia"/>
          <w:rtl/>
        </w:rPr>
        <w:t>או</w:t>
      </w:r>
      <w:r w:rsidRPr="007C3B90">
        <w:rPr>
          <w:rtl/>
        </w:rPr>
        <w:t xml:space="preserve"> </w:t>
      </w:r>
      <w:r w:rsidRPr="007C3B90">
        <w:rPr>
          <w:rFonts w:hint="eastAsia"/>
          <w:rtl/>
        </w:rPr>
        <w:t>לרוקן</w:t>
      </w:r>
      <w:r w:rsidRPr="007C3B90">
        <w:rPr>
          <w:rtl/>
        </w:rPr>
        <w:t xml:space="preserve"> </w:t>
      </w:r>
      <w:r w:rsidRPr="007C3B90">
        <w:rPr>
          <w:rFonts w:hint="eastAsia"/>
          <w:rtl/>
        </w:rPr>
        <w:t>עקרונות</w:t>
      </w:r>
      <w:r w:rsidRPr="007C3B90">
        <w:rPr>
          <w:rtl/>
        </w:rPr>
        <w:t xml:space="preserve"> </w:t>
      </w:r>
      <w:r w:rsidRPr="007C3B90">
        <w:rPr>
          <w:rFonts w:hint="eastAsia"/>
          <w:rtl/>
        </w:rPr>
        <w:t>אלה</w:t>
      </w:r>
      <w:r w:rsidRPr="007C3B90">
        <w:rPr>
          <w:rtl/>
        </w:rPr>
        <w:t xml:space="preserve"> </w:t>
      </w:r>
      <w:r w:rsidRPr="007C3B90">
        <w:rPr>
          <w:rFonts w:hint="eastAsia"/>
          <w:rtl/>
        </w:rPr>
        <w:t>מתוכנם</w:t>
      </w:r>
      <w:r w:rsidRPr="007C3B90">
        <w:rPr>
          <w:rtl/>
        </w:rPr>
        <w:t xml:space="preserve">. </w:t>
      </w:r>
    </w:p>
    <w:p w:rsidR="00BB56BB" w:rsidRPr="007C3B90" w:rsidRDefault="00BB56BB" w:rsidP="00BB56BB">
      <w:pPr>
        <w:pStyle w:val="Ruller41"/>
        <w:rPr>
          <w:rtl/>
        </w:rPr>
      </w:pPr>
    </w:p>
    <w:p w:rsidR="00BB56BB" w:rsidRPr="007C3B90" w:rsidRDefault="00BB56BB" w:rsidP="00BB56BB">
      <w:pPr>
        <w:pStyle w:val="Ruller41"/>
        <w:rPr>
          <w:rtl/>
        </w:rPr>
      </w:pPr>
      <w:r w:rsidRPr="007C3B90">
        <w:rPr>
          <w:rtl/>
        </w:rPr>
        <w:lastRenderedPageBreak/>
        <w:tab/>
      </w:r>
      <w:r w:rsidRPr="007C3B90">
        <w:rPr>
          <w:rFonts w:hint="cs"/>
          <w:rtl/>
        </w:rPr>
        <w:t xml:space="preserve">ואבהיר, כי מגישתי </w:t>
      </w:r>
      <w:r>
        <w:rPr>
          <w:rFonts w:hint="cs"/>
          <w:rtl/>
        </w:rPr>
        <w:t xml:space="preserve">זו </w:t>
      </w:r>
      <w:r w:rsidRPr="007C3B90">
        <w:rPr>
          <w:rFonts w:hint="cs"/>
          <w:rtl/>
        </w:rPr>
        <w:t>לא מתחייב</w:t>
      </w:r>
      <w:r>
        <w:rPr>
          <w:rFonts w:hint="cs"/>
          <w:rtl/>
        </w:rPr>
        <w:t>ת המסקנה</w:t>
      </w:r>
      <w:r w:rsidRPr="007C3B90">
        <w:rPr>
          <w:rFonts w:hint="cs"/>
          <w:rtl/>
        </w:rPr>
        <w:t xml:space="preserve"> כי עובר לחקיקת חוקי היסוד האמורים, לא חלה כל מגבלה על כוחה המכונן של הכנסת. עמדתי היא, כי בשלב זה של המפעל החוקתי הישראלי, ראוי לגזור מגבלה זו מתוך הטקסט החוקתי הקיים </w:t>
      </w:r>
      <w:r w:rsidRPr="007C3B90">
        <w:rPr>
          <w:rtl/>
        </w:rPr>
        <w:t>–</w:t>
      </w:r>
      <w:r w:rsidRPr="007C3B90">
        <w:rPr>
          <w:rFonts w:hint="cs"/>
          <w:rtl/>
        </w:rPr>
        <w:t xml:space="preserve"> באופן המכבד את </w:t>
      </w:r>
      <w:r>
        <w:rPr>
          <w:rFonts w:hint="cs"/>
          <w:rtl/>
        </w:rPr>
        <w:t>ריבונותה של הכנסת ואת כוחה הכובל</w:t>
      </w:r>
      <w:r w:rsidRPr="007C3B90">
        <w:rPr>
          <w:rFonts w:hint="cs"/>
          <w:rtl/>
        </w:rPr>
        <w:t xml:space="preserve">. </w:t>
      </w:r>
    </w:p>
    <w:p w:rsidR="00BB56BB" w:rsidRPr="007C3B90" w:rsidRDefault="00BB56BB" w:rsidP="00BB56BB">
      <w:pPr>
        <w:pStyle w:val="Ruller41"/>
        <w:rPr>
          <w:rtl/>
        </w:rPr>
      </w:pPr>
    </w:p>
    <w:p w:rsidR="00BB56BB" w:rsidRPr="007C3B90" w:rsidRDefault="00BB56BB" w:rsidP="00BB56BB">
      <w:pPr>
        <w:pStyle w:val="Ruller4"/>
        <w:rPr>
          <w:rtl/>
        </w:rPr>
      </w:pPr>
      <w:r w:rsidRPr="007C3B90">
        <w:rPr>
          <w:rFonts w:hint="cs"/>
          <w:rtl/>
        </w:rPr>
        <w:t xml:space="preserve">סמכותו של בית המשפט לקיים ביקורת שיפוטית על חקיקת יסוד נגזרת, אם כן, מן המגבלות שהטילה הרשות המכוננת </w:t>
      </w:r>
      <w:r>
        <w:rPr>
          <w:rFonts w:hint="cs"/>
          <w:rtl/>
        </w:rPr>
        <w:t xml:space="preserve">בחוקי היסוד, </w:t>
      </w:r>
      <w:r w:rsidRPr="007C3B90">
        <w:rPr>
          <w:rFonts w:hint="cs"/>
          <w:rtl/>
        </w:rPr>
        <w:t>על סמכותה לקבוע נורמות חוקתיות או לתקנן. סמכות זו מתחייבת, כבר בשלב זה של המפעל החוקתי הישראלי שטרם הסתיים, על מנת לוודא שהמגבלות המהותיות המוטלות על הכנסת, לא יהפכו ל"אות מתה". בכך, אין משום כרסום בריבונותה של הכנסת, אלא</w:t>
      </w:r>
      <w:r>
        <w:rPr>
          <w:rFonts w:hint="cs"/>
          <w:rtl/>
        </w:rPr>
        <w:t>, כאמור,</w:t>
      </w:r>
      <w:r w:rsidRPr="007C3B90">
        <w:rPr>
          <w:rFonts w:hint="cs"/>
          <w:rtl/>
        </w:rPr>
        <w:t xml:space="preserve"> משום כיבוד של כוחה הכובל, כפי שמצא ביטויו במסד החוקתי הקיים (עניין </w:t>
      </w:r>
      <w:r w:rsidRPr="007C3B90">
        <w:rPr>
          <w:rFonts w:ascii="Century" w:hAnsi="Century" w:cs="Miriam" w:hint="eastAsia"/>
          <w:b/>
          <w:spacing w:val="0"/>
          <w:szCs w:val="24"/>
          <w:rtl/>
        </w:rPr>
        <w:t>בנק</w:t>
      </w:r>
      <w:r w:rsidRPr="007C3B90">
        <w:rPr>
          <w:rFonts w:ascii="Century" w:hAnsi="Century" w:cs="Miriam"/>
          <w:b/>
          <w:spacing w:val="0"/>
          <w:szCs w:val="24"/>
          <w:rtl/>
        </w:rPr>
        <w:t xml:space="preserve"> </w:t>
      </w:r>
      <w:r w:rsidRPr="007C3B90">
        <w:rPr>
          <w:rFonts w:ascii="Century" w:hAnsi="Century" w:cs="Miriam" w:hint="eastAsia"/>
          <w:b/>
          <w:spacing w:val="0"/>
          <w:szCs w:val="24"/>
          <w:rtl/>
        </w:rPr>
        <w:t>המזרחי</w:t>
      </w:r>
      <w:r w:rsidRPr="007C3B90">
        <w:rPr>
          <w:rFonts w:ascii="Century" w:hAnsi="Century"/>
          <w:sz w:val="22"/>
          <w:rtl/>
        </w:rPr>
        <w:t>,</w:t>
      </w:r>
      <w:r w:rsidRPr="007C3B90">
        <w:rPr>
          <w:rFonts w:hint="cs"/>
          <w:rtl/>
        </w:rPr>
        <w:t xml:space="preserve"> בעמ' 289). </w:t>
      </w:r>
      <w:r w:rsidRPr="007C3B90">
        <w:rPr>
          <w:rFonts w:hint="eastAsia"/>
          <w:rtl/>
        </w:rPr>
        <w:t>ככל</w:t>
      </w:r>
      <w:r w:rsidRPr="007C3B90">
        <w:rPr>
          <w:rtl/>
        </w:rPr>
        <w:t xml:space="preserve"> </w:t>
      </w:r>
      <w:r w:rsidRPr="007C3B90">
        <w:rPr>
          <w:rFonts w:hint="eastAsia"/>
          <w:rtl/>
        </w:rPr>
        <w:t>שעברה</w:t>
      </w:r>
      <w:r w:rsidRPr="007C3B90">
        <w:rPr>
          <w:rtl/>
        </w:rPr>
        <w:t xml:space="preserve"> </w:t>
      </w:r>
      <w:r w:rsidRPr="007C3B90">
        <w:rPr>
          <w:rFonts w:hint="eastAsia"/>
          <w:rtl/>
        </w:rPr>
        <w:t>הכנסת</w:t>
      </w:r>
      <w:r w:rsidRPr="007C3B90">
        <w:rPr>
          <w:rtl/>
        </w:rPr>
        <w:t xml:space="preserve"> </w:t>
      </w:r>
      <w:r w:rsidRPr="007C3B90">
        <w:rPr>
          <w:rFonts w:hint="eastAsia"/>
          <w:rtl/>
        </w:rPr>
        <w:t>את</w:t>
      </w:r>
      <w:r w:rsidRPr="007C3B90">
        <w:rPr>
          <w:rtl/>
        </w:rPr>
        <w:t xml:space="preserve"> </w:t>
      </w:r>
      <w:r w:rsidRPr="007C3B90">
        <w:rPr>
          <w:rFonts w:hint="eastAsia"/>
          <w:rtl/>
        </w:rPr>
        <w:t>קו</w:t>
      </w:r>
      <w:r w:rsidRPr="007C3B90">
        <w:rPr>
          <w:rtl/>
        </w:rPr>
        <w:t xml:space="preserve"> </w:t>
      </w:r>
      <w:r w:rsidRPr="007C3B90">
        <w:rPr>
          <w:rFonts w:hint="eastAsia"/>
          <w:rtl/>
        </w:rPr>
        <w:t>הגבול</w:t>
      </w:r>
      <w:r w:rsidRPr="007C3B90">
        <w:rPr>
          <w:rtl/>
        </w:rPr>
        <w:t xml:space="preserve"> </w:t>
      </w:r>
      <w:r w:rsidRPr="007C3B90">
        <w:rPr>
          <w:rFonts w:hint="eastAsia"/>
          <w:rtl/>
        </w:rPr>
        <w:t>התוחם</w:t>
      </w:r>
      <w:r w:rsidRPr="007C3B90">
        <w:rPr>
          <w:rtl/>
        </w:rPr>
        <w:t xml:space="preserve"> </w:t>
      </w:r>
      <w:r w:rsidRPr="007C3B90">
        <w:rPr>
          <w:rFonts w:hint="eastAsia"/>
          <w:rtl/>
        </w:rPr>
        <w:t>את</w:t>
      </w:r>
      <w:r w:rsidRPr="007C3B90">
        <w:rPr>
          <w:rtl/>
        </w:rPr>
        <w:t xml:space="preserve"> </w:t>
      </w:r>
      <w:r w:rsidRPr="007C3B90">
        <w:rPr>
          <w:rFonts w:hint="eastAsia"/>
          <w:rtl/>
        </w:rPr>
        <w:t>סמכויותיה</w:t>
      </w:r>
      <w:r w:rsidRPr="007C3B90">
        <w:rPr>
          <w:rtl/>
        </w:rPr>
        <w:t xml:space="preserve">, </w:t>
      </w:r>
      <w:r w:rsidRPr="007C3B90">
        <w:rPr>
          <w:rFonts w:hint="eastAsia"/>
          <w:rtl/>
        </w:rPr>
        <w:t>נתונה</w:t>
      </w:r>
      <w:r w:rsidRPr="007C3B90">
        <w:rPr>
          <w:rtl/>
        </w:rPr>
        <w:t xml:space="preserve"> </w:t>
      </w:r>
      <w:r w:rsidRPr="007C3B90">
        <w:rPr>
          <w:rFonts w:hint="eastAsia"/>
          <w:rtl/>
        </w:rPr>
        <w:t>לבית</w:t>
      </w:r>
      <w:r w:rsidRPr="007C3B90">
        <w:rPr>
          <w:rtl/>
        </w:rPr>
        <w:t xml:space="preserve"> </w:t>
      </w:r>
      <w:r w:rsidRPr="007C3B90">
        <w:rPr>
          <w:rFonts w:hint="eastAsia"/>
          <w:rtl/>
        </w:rPr>
        <w:t>המשפט</w:t>
      </w:r>
      <w:r w:rsidRPr="007C3B90">
        <w:rPr>
          <w:rtl/>
        </w:rPr>
        <w:t xml:space="preserve"> </w:t>
      </w:r>
      <w:r w:rsidRPr="007C3B90">
        <w:rPr>
          <w:rFonts w:hint="eastAsia"/>
          <w:rtl/>
        </w:rPr>
        <w:t>הסמכות</w:t>
      </w:r>
      <w:r w:rsidRPr="007C3B90">
        <w:rPr>
          <w:rFonts w:hint="cs"/>
          <w:rtl/>
        </w:rPr>
        <w:t xml:space="preserve"> </w:t>
      </w:r>
      <w:r w:rsidRPr="007C3B90">
        <w:rPr>
          <w:rFonts w:hint="eastAsia"/>
          <w:rtl/>
        </w:rPr>
        <w:t>להשיב</w:t>
      </w:r>
      <w:r w:rsidRPr="007C3B90">
        <w:rPr>
          <w:rtl/>
        </w:rPr>
        <w:t xml:space="preserve"> </w:t>
      </w:r>
      <w:r w:rsidRPr="007C3B90">
        <w:rPr>
          <w:rFonts w:hint="eastAsia"/>
          <w:rtl/>
        </w:rPr>
        <w:t>דברים</w:t>
      </w:r>
      <w:r w:rsidRPr="007C3B90">
        <w:rPr>
          <w:rtl/>
        </w:rPr>
        <w:t xml:space="preserve"> </w:t>
      </w:r>
      <w:r w:rsidRPr="007C3B90">
        <w:rPr>
          <w:rFonts w:hint="eastAsia"/>
          <w:rtl/>
        </w:rPr>
        <w:t>לגבולם</w:t>
      </w:r>
      <w:r w:rsidRPr="007C3B90">
        <w:rPr>
          <w:rtl/>
        </w:rPr>
        <w:t xml:space="preserve">, </w:t>
      </w:r>
      <w:r w:rsidRPr="007C3B90">
        <w:rPr>
          <w:rFonts w:hint="eastAsia"/>
          <w:rtl/>
        </w:rPr>
        <w:t>לרבות</w:t>
      </w:r>
      <w:r w:rsidRPr="007C3B90">
        <w:rPr>
          <w:rtl/>
        </w:rPr>
        <w:t xml:space="preserve"> </w:t>
      </w:r>
      <w:r w:rsidRPr="007C3B90">
        <w:rPr>
          <w:rFonts w:hint="eastAsia"/>
          <w:rtl/>
        </w:rPr>
        <w:t>ביטול</w:t>
      </w:r>
      <w:r w:rsidRPr="007C3B90">
        <w:rPr>
          <w:rtl/>
        </w:rPr>
        <w:t xml:space="preserve"> חקיקה העומדת בניגוד למגבלות</w:t>
      </w:r>
      <w:r w:rsidRPr="007C3B90">
        <w:rPr>
          <w:rFonts w:hint="eastAsia"/>
          <w:rtl/>
        </w:rPr>
        <w:t>יה</w:t>
      </w:r>
      <w:r w:rsidRPr="007C3B90">
        <w:rPr>
          <w:rtl/>
        </w:rPr>
        <w:t>.</w:t>
      </w:r>
      <w:r w:rsidRPr="007C3B90">
        <w:rPr>
          <w:rFonts w:hint="cs"/>
          <w:rtl/>
        </w:rPr>
        <w:t xml:space="preserve"> בנקודה זו, אבקש להצטרף לעמדת חברי השופט </w:t>
      </w:r>
      <w:r w:rsidRPr="007C3B90">
        <w:rPr>
          <w:rFonts w:ascii="Century" w:hAnsi="Century" w:cs="Miriam" w:hint="eastAsia"/>
          <w:b/>
          <w:spacing w:val="0"/>
          <w:szCs w:val="24"/>
          <w:rtl/>
        </w:rPr>
        <w:t>י</w:t>
      </w:r>
      <w:r w:rsidRPr="007C3B90">
        <w:rPr>
          <w:rFonts w:ascii="Century" w:hAnsi="Century" w:cs="Miriam"/>
          <w:b/>
          <w:spacing w:val="0"/>
          <w:szCs w:val="24"/>
          <w:rtl/>
        </w:rPr>
        <w:t xml:space="preserve">' </w:t>
      </w:r>
      <w:r w:rsidRPr="007C3B90">
        <w:rPr>
          <w:rFonts w:ascii="Century" w:hAnsi="Century" w:cs="Miriam" w:hint="eastAsia"/>
          <w:b/>
          <w:spacing w:val="0"/>
          <w:szCs w:val="24"/>
          <w:rtl/>
        </w:rPr>
        <w:t>עמית</w:t>
      </w:r>
      <w:r w:rsidRPr="007C3B90">
        <w:rPr>
          <w:rFonts w:hint="cs"/>
          <w:rtl/>
        </w:rPr>
        <w:t xml:space="preserve">, ולפיה אי-השלמת המפעל החוקתי הישראלי, אינה מקשה על החלת ביקורת שיפוטית על חוקי יסוד, אלא להיפך </w:t>
      </w:r>
      <w:r w:rsidRPr="007C3B90">
        <w:rPr>
          <w:rtl/>
        </w:rPr>
        <w:t>–</w:t>
      </w:r>
      <w:r w:rsidRPr="007C3B90">
        <w:rPr>
          <w:rFonts w:hint="cs"/>
          <w:rtl/>
        </w:rPr>
        <w:t xml:space="preserve"> מהווה טעם נוסף להחלתה (פסקה 33 לחוות דעתו). </w:t>
      </w:r>
    </w:p>
    <w:p w:rsidR="00BB56BB" w:rsidRPr="007C3B90" w:rsidRDefault="00BB56BB" w:rsidP="00BB56BB">
      <w:pPr>
        <w:pStyle w:val="Ruller4"/>
        <w:numPr>
          <w:ilvl w:val="0"/>
          <w:numId w:val="0"/>
        </w:numPr>
        <w:rPr>
          <w:rtl/>
        </w:rPr>
      </w:pPr>
    </w:p>
    <w:p w:rsidR="00BB56BB" w:rsidRPr="007C3B90" w:rsidRDefault="00BB56BB" w:rsidP="00BB56BB">
      <w:pPr>
        <w:pStyle w:val="Ruller4"/>
        <w:rPr>
          <w:rtl/>
        </w:rPr>
      </w:pPr>
      <w:r w:rsidRPr="007C3B90">
        <w:rPr>
          <w:rFonts w:hint="cs"/>
          <w:rtl/>
        </w:rPr>
        <w:t xml:space="preserve">ואולם בקיומה של סמכות אין די, והעיקר הוא </w:t>
      </w:r>
      <w:r w:rsidRPr="007C3B90">
        <w:rPr>
          <w:rFonts w:hint="eastAsia"/>
          <w:rtl/>
        </w:rPr>
        <w:t>אמות</w:t>
      </w:r>
      <w:r w:rsidRPr="007C3B90">
        <w:rPr>
          <w:rtl/>
        </w:rPr>
        <w:t xml:space="preserve"> המידה להפעלתה. </w:t>
      </w:r>
      <w:r w:rsidRPr="007C3B90">
        <w:rPr>
          <w:rFonts w:hint="eastAsia"/>
          <w:rtl/>
        </w:rPr>
        <w:t>לגישתי</w:t>
      </w:r>
      <w:r w:rsidRPr="007C3B90">
        <w:rPr>
          <w:rFonts w:hint="cs"/>
          <w:rtl/>
        </w:rPr>
        <w:t xml:space="preserve">, אף שקיימת לבית משפט זה סמכות לבקר חקיקת יסוד, סמכות זו צרה ביותר בהיקפה, ורוחבה כ"קוף המחט". הדבר מתחייב מייחודן של הנורמות החוקתיות ככאלה העוסקות בנושאי הליבה של החברה הישראלית, וממעמדן הרם כנורמות העומדות בפסגת פירמידת הנורמות. אלה מחייבים את בית המשפט לנקוט גישה זהירה ומרוסנת בהפעילו את הסמכות לביקורת שיפוטית, עד כדי השתדלות של ממש להימנע מהפעלתה אלא כשאין מנוס מכך. ריסון שיפוטי כאמור מחייב בראש ובראשונה הפעלת מאמץ פרשני שנועד לתת לתיקון החוקתי העומד לבחינה פרשנות העולה בקנה אחד עם עקרונות היסוד של החוקה (עניין </w:t>
      </w:r>
      <w:r w:rsidRPr="007C3B90">
        <w:rPr>
          <w:rFonts w:ascii="Century" w:hAnsi="Century" w:cs="Miriam" w:hint="cs"/>
          <w:b/>
          <w:spacing w:val="0"/>
          <w:szCs w:val="24"/>
          <w:rtl/>
        </w:rPr>
        <w:t>חוק הלאום</w:t>
      </w:r>
      <w:r w:rsidRPr="007C3B90">
        <w:rPr>
          <w:rFonts w:hint="cs"/>
          <w:rtl/>
        </w:rPr>
        <w:t xml:space="preserve">, בפסקה 59 לפסק דינה של הנשיאה </w:t>
      </w:r>
      <w:r w:rsidRPr="007C3B90">
        <w:rPr>
          <w:rFonts w:ascii="Century" w:hAnsi="Century" w:cs="Miriam" w:hint="cs"/>
          <w:b/>
          <w:spacing w:val="0"/>
          <w:szCs w:val="24"/>
          <w:rtl/>
        </w:rPr>
        <w:t>א' חיות</w:t>
      </w:r>
      <w:r w:rsidRPr="007C3B90">
        <w:rPr>
          <w:rFonts w:hint="cs"/>
          <w:rtl/>
        </w:rPr>
        <w:t>; ב</w:t>
      </w:r>
      <w:r w:rsidRPr="007C3B90">
        <w:rPr>
          <w:rtl/>
        </w:rPr>
        <w:t>ג</w:t>
      </w:r>
      <w:r w:rsidRPr="007C3B90">
        <w:rPr>
          <w:rFonts w:hint="cs"/>
          <w:rtl/>
        </w:rPr>
        <w:t>"</w:t>
      </w:r>
      <w:r w:rsidRPr="007C3B90">
        <w:rPr>
          <w:rtl/>
        </w:rPr>
        <w:t>ץ 4676/94</w:t>
      </w:r>
      <w:r w:rsidRPr="007C3B90">
        <w:t xml:space="preserve"> </w:t>
      </w:r>
      <w:r w:rsidRPr="007C3B90">
        <w:rPr>
          <w:rFonts w:ascii="Century" w:hAnsi="Century" w:cs="Miriam"/>
          <w:b/>
          <w:spacing w:val="0"/>
          <w:szCs w:val="24"/>
          <w:rtl/>
        </w:rPr>
        <w:t>מיטראל בע"מ</w:t>
      </w:r>
      <w:r w:rsidRPr="007C3B90">
        <w:rPr>
          <w:rFonts w:ascii="Century" w:hAnsi="Century" w:cs="Miriam"/>
          <w:b/>
          <w:spacing w:val="0"/>
          <w:szCs w:val="24"/>
        </w:rPr>
        <w:t xml:space="preserve"> </w:t>
      </w:r>
      <w:r w:rsidRPr="007C3B90">
        <w:rPr>
          <w:rFonts w:ascii="Century" w:hAnsi="Century" w:cs="Miriam"/>
          <w:b/>
          <w:spacing w:val="0"/>
          <w:szCs w:val="24"/>
          <w:rtl/>
        </w:rPr>
        <w:t>נ' כנסת ישראל</w:t>
      </w:r>
      <w:r w:rsidRPr="007C3B90">
        <w:rPr>
          <w:rFonts w:hint="cs"/>
          <w:rtl/>
        </w:rPr>
        <w:t xml:space="preserve">, </w:t>
      </w:r>
      <w:r w:rsidRPr="007C3B90">
        <w:rPr>
          <w:rtl/>
        </w:rPr>
        <w:t>פ"ד נ(5) 15</w:t>
      </w:r>
      <w:r w:rsidRPr="007C3B90">
        <w:rPr>
          <w:rFonts w:hint="cs"/>
          <w:rtl/>
        </w:rPr>
        <w:t xml:space="preserve">, 28 (1996); </w:t>
      </w:r>
      <w:r w:rsidRPr="007C3B90">
        <w:rPr>
          <w:rtl/>
        </w:rPr>
        <w:t>יניב רוזנאי "שמרנות רדיקלית ודוקטרינת התיקון החוקתי הלא־חוקתי</w:t>
      </w:r>
      <w:r w:rsidRPr="007C3B90">
        <w:rPr>
          <w:rFonts w:hint="cs"/>
          <w:rtl/>
        </w:rPr>
        <w:t>"</w:t>
      </w:r>
      <w:r w:rsidRPr="007C3B90">
        <w:rPr>
          <w:rFonts w:ascii="Century" w:hAnsi="Century" w:cs="Miriam"/>
          <w:b/>
          <w:spacing w:val="0"/>
          <w:sz w:val="22"/>
          <w:szCs w:val="24"/>
        </w:rPr>
        <w:t xml:space="preserve"> </w:t>
      </w:r>
      <w:r w:rsidRPr="007C3B90">
        <w:rPr>
          <w:rFonts w:ascii="Century" w:hAnsi="Century" w:cs="Miriam"/>
          <w:bCs/>
          <w:spacing w:val="0"/>
          <w:sz w:val="22"/>
          <w:szCs w:val="24"/>
        </w:rPr>
        <w:t>:S-ICON Essays</w:t>
      </w:r>
      <w:r w:rsidRPr="007C3B90">
        <w:rPr>
          <w:rFonts w:ascii="Century" w:hAnsi="Century" w:cs="Miriam"/>
          <w:b/>
          <w:spacing w:val="0"/>
          <w:sz w:val="22"/>
          <w:szCs w:val="24"/>
        </w:rPr>
        <w:t xml:space="preserve"> </w:t>
      </w:r>
      <w:r w:rsidRPr="007C3B90">
        <w:rPr>
          <w:rFonts w:ascii="Century" w:hAnsi="Century" w:cs="Miriam"/>
          <w:b/>
          <w:spacing w:val="0"/>
          <w:sz w:val="22"/>
          <w:szCs w:val="24"/>
          <w:rtl/>
        </w:rPr>
        <w:t>חיבורים במשפט הציבורי</w:t>
      </w:r>
      <w:r w:rsidRPr="007C3B90">
        <w:rPr>
          <w:rtl/>
        </w:rPr>
        <w:t xml:space="preserve"> א</w:t>
      </w:r>
      <w:r w:rsidRPr="007C3B90">
        <w:rPr>
          <w:rFonts w:hint="cs"/>
          <w:rtl/>
        </w:rPr>
        <w:t xml:space="preserve"> 1 (2022) (להלן: </w:t>
      </w:r>
      <w:r w:rsidRPr="007C3B90">
        <w:rPr>
          <w:rFonts w:ascii="Century" w:hAnsi="Century" w:cs="Miriam" w:hint="cs"/>
          <w:b/>
          <w:spacing w:val="0"/>
          <w:szCs w:val="24"/>
          <w:rtl/>
        </w:rPr>
        <w:t>רוזנאי, שמרנות רדיקלית</w:t>
      </w:r>
      <w:r w:rsidRPr="007C3B90">
        <w:rPr>
          <w:rFonts w:hint="cs"/>
          <w:rtl/>
        </w:rPr>
        <w:t xml:space="preserve">)). עמדה זו אף עולה בקנה אחד עם הקו המנחה ששורטט בפסיקתו של בית משפט זה במהלך השנים, הרואה בפסילתו של חוק שחוקקה הכנסת משום "מוצא אחרון" (עניין </w:t>
      </w:r>
      <w:r w:rsidRPr="007C3B90">
        <w:rPr>
          <w:rFonts w:ascii="Century" w:hAnsi="Century" w:cs="Miriam" w:hint="cs"/>
          <w:b/>
          <w:spacing w:val="0"/>
          <w:szCs w:val="24"/>
          <w:rtl/>
        </w:rPr>
        <w:t>התנועה לטוהר המידות</w:t>
      </w:r>
      <w:r w:rsidRPr="007C3B90">
        <w:rPr>
          <w:rFonts w:ascii="Century" w:hAnsi="Century"/>
          <w:sz w:val="22"/>
          <w:rtl/>
        </w:rPr>
        <w:t>,</w:t>
      </w:r>
      <w:r w:rsidRPr="007C3B90">
        <w:rPr>
          <w:rFonts w:ascii="Century" w:hAnsi="Century" w:hint="cs"/>
          <w:sz w:val="22"/>
          <w:rtl/>
        </w:rPr>
        <w:t xml:space="preserve"> בפסקה</w:t>
      </w:r>
      <w:r w:rsidRPr="007C3B90">
        <w:rPr>
          <w:rFonts w:hint="cs"/>
          <w:rtl/>
        </w:rPr>
        <w:t xml:space="preserve"> 31 לפסק דינו של ממלא מקום הנשיא </w:t>
      </w:r>
      <w:r w:rsidRPr="007C3B90">
        <w:rPr>
          <w:rFonts w:ascii="Century" w:hAnsi="Century" w:cs="Miriam" w:hint="cs"/>
          <w:b/>
          <w:spacing w:val="0"/>
          <w:szCs w:val="24"/>
          <w:rtl/>
        </w:rPr>
        <w:t>ע' פוגלמן</w:t>
      </w:r>
      <w:r w:rsidRPr="007C3B90">
        <w:rPr>
          <w:rFonts w:hint="cs"/>
          <w:rtl/>
        </w:rPr>
        <w:t xml:space="preserve"> והאסמכתאות הנזכרות שם; </w:t>
      </w:r>
      <w:r w:rsidRPr="007C3B90">
        <w:rPr>
          <w:rFonts w:hint="eastAsia"/>
          <w:rtl/>
        </w:rPr>
        <w:t>בג</w:t>
      </w:r>
      <w:r w:rsidRPr="007C3B90">
        <w:rPr>
          <w:rtl/>
        </w:rPr>
        <w:t>"</w:t>
      </w:r>
      <w:r w:rsidRPr="007C3B90">
        <w:rPr>
          <w:rFonts w:hint="eastAsia"/>
          <w:rtl/>
        </w:rPr>
        <w:t>ץ</w:t>
      </w:r>
      <w:r w:rsidRPr="007C3B90">
        <w:rPr>
          <w:rtl/>
        </w:rPr>
        <w:t xml:space="preserve"> 4562/92 </w:t>
      </w:r>
      <w:r w:rsidRPr="007C3B90">
        <w:rPr>
          <w:rFonts w:ascii="Century" w:hAnsi="Century" w:cs="Miriam" w:hint="eastAsia"/>
          <w:b/>
          <w:spacing w:val="0"/>
          <w:szCs w:val="24"/>
          <w:rtl/>
        </w:rPr>
        <w:t>זנדברג</w:t>
      </w:r>
      <w:r w:rsidRPr="007C3B90">
        <w:rPr>
          <w:rFonts w:ascii="Century" w:hAnsi="Century" w:cs="Miriam"/>
          <w:b/>
          <w:spacing w:val="0"/>
          <w:szCs w:val="24"/>
          <w:rtl/>
        </w:rPr>
        <w:t xml:space="preserve"> </w:t>
      </w:r>
      <w:r w:rsidRPr="007C3B90">
        <w:rPr>
          <w:rFonts w:ascii="Century" w:hAnsi="Century" w:cs="Miriam" w:hint="eastAsia"/>
          <w:b/>
          <w:spacing w:val="0"/>
          <w:szCs w:val="24"/>
          <w:rtl/>
        </w:rPr>
        <w:t>נ</w:t>
      </w:r>
      <w:r w:rsidRPr="007C3B90">
        <w:rPr>
          <w:rFonts w:ascii="Century" w:hAnsi="Century" w:cs="Miriam"/>
          <w:b/>
          <w:spacing w:val="0"/>
          <w:szCs w:val="24"/>
          <w:rtl/>
        </w:rPr>
        <w:t xml:space="preserve">' </w:t>
      </w:r>
      <w:r w:rsidRPr="007C3B90">
        <w:rPr>
          <w:rFonts w:ascii="Century" w:hAnsi="Century" w:cs="Miriam" w:hint="eastAsia"/>
          <w:b/>
          <w:spacing w:val="0"/>
          <w:szCs w:val="24"/>
          <w:rtl/>
        </w:rPr>
        <w:t>רשות</w:t>
      </w:r>
      <w:r w:rsidRPr="007C3B90">
        <w:rPr>
          <w:rFonts w:ascii="Century" w:hAnsi="Century" w:cs="Miriam"/>
          <w:b/>
          <w:spacing w:val="0"/>
          <w:szCs w:val="24"/>
          <w:rtl/>
        </w:rPr>
        <w:t xml:space="preserve"> </w:t>
      </w:r>
      <w:r w:rsidRPr="007C3B90">
        <w:rPr>
          <w:rFonts w:ascii="Century" w:hAnsi="Century" w:cs="Miriam" w:hint="eastAsia"/>
          <w:b/>
          <w:spacing w:val="0"/>
          <w:szCs w:val="24"/>
          <w:rtl/>
        </w:rPr>
        <w:t>השידור</w:t>
      </w:r>
      <w:r w:rsidRPr="007C3B90">
        <w:rPr>
          <w:rtl/>
        </w:rPr>
        <w:t xml:space="preserve">, </w:t>
      </w:r>
      <w:r w:rsidRPr="007C3B90">
        <w:rPr>
          <w:rFonts w:hint="eastAsia"/>
          <w:rtl/>
        </w:rPr>
        <w:t>פ</w:t>
      </w:r>
      <w:r w:rsidRPr="007C3B90">
        <w:rPr>
          <w:rtl/>
        </w:rPr>
        <w:t>"</w:t>
      </w:r>
      <w:r w:rsidRPr="007C3B90">
        <w:rPr>
          <w:rFonts w:hint="eastAsia"/>
          <w:rtl/>
        </w:rPr>
        <w:t>ד</w:t>
      </w:r>
      <w:r w:rsidRPr="007C3B90">
        <w:rPr>
          <w:rtl/>
        </w:rPr>
        <w:t xml:space="preserve"> </w:t>
      </w:r>
      <w:r w:rsidRPr="007C3B90">
        <w:rPr>
          <w:rFonts w:hint="eastAsia"/>
          <w:rtl/>
        </w:rPr>
        <w:t>נ</w:t>
      </w:r>
      <w:r w:rsidRPr="007C3B90">
        <w:rPr>
          <w:rtl/>
        </w:rPr>
        <w:t xml:space="preserve">(2) 793, </w:t>
      </w:r>
      <w:r w:rsidRPr="007C3B90">
        <w:rPr>
          <w:rFonts w:hint="cs"/>
          <w:rtl/>
        </w:rPr>
        <w:t>813-812</w:t>
      </w:r>
      <w:r w:rsidRPr="007C3B90">
        <w:rPr>
          <w:rtl/>
        </w:rPr>
        <w:t xml:space="preserve"> (1996)</w:t>
      </w:r>
      <w:r w:rsidRPr="007C3B90">
        <w:rPr>
          <w:rFonts w:hint="cs"/>
          <w:rtl/>
        </w:rPr>
        <w:t xml:space="preserve">; </w:t>
      </w:r>
      <w:r w:rsidRPr="007C3B90">
        <w:rPr>
          <w:rFonts w:hint="eastAsia"/>
          <w:rtl/>
        </w:rPr>
        <w:t>בג</w:t>
      </w:r>
      <w:r w:rsidRPr="007C3B90">
        <w:rPr>
          <w:rtl/>
        </w:rPr>
        <w:t>"</w:t>
      </w:r>
      <w:r w:rsidRPr="007C3B90">
        <w:rPr>
          <w:rFonts w:hint="eastAsia"/>
          <w:rtl/>
        </w:rPr>
        <w:t>ץ</w:t>
      </w:r>
      <w:r w:rsidRPr="007C3B90">
        <w:rPr>
          <w:rtl/>
        </w:rPr>
        <w:t xml:space="preserve"> 5469/20 ‏</w:t>
      </w:r>
      <w:r w:rsidRPr="007C3B90">
        <w:rPr>
          <w:rFonts w:ascii="Century" w:hAnsi="Century" w:cs="Miriam" w:hint="eastAsia"/>
          <w:b/>
          <w:spacing w:val="0"/>
          <w:szCs w:val="24"/>
          <w:rtl/>
        </w:rPr>
        <w:t>אחריות</w:t>
      </w:r>
      <w:r w:rsidRPr="007C3B90">
        <w:rPr>
          <w:rFonts w:ascii="Century" w:hAnsi="Century" w:cs="Miriam"/>
          <w:b/>
          <w:spacing w:val="0"/>
          <w:szCs w:val="24"/>
          <w:rtl/>
        </w:rPr>
        <w:t xml:space="preserve"> </w:t>
      </w:r>
      <w:r w:rsidRPr="007C3B90">
        <w:rPr>
          <w:rFonts w:ascii="Century" w:hAnsi="Century" w:cs="Miriam" w:hint="eastAsia"/>
          <w:b/>
          <w:spacing w:val="0"/>
          <w:szCs w:val="24"/>
          <w:rtl/>
        </w:rPr>
        <w:t>לאומית</w:t>
      </w:r>
      <w:r w:rsidRPr="007C3B90">
        <w:rPr>
          <w:rFonts w:ascii="Century" w:hAnsi="Century" w:cs="Miriam"/>
          <w:b/>
          <w:spacing w:val="0"/>
          <w:szCs w:val="24"/>
          <w:rtl/>
        </w:rPr>
        <w:t xml:space="preserve"> </w:t>
      </w:r>
      <w:r w:rsidRPr="007C3B90">
        <w:rPr>
          <w:rFonts w:ascii="Century" w:hAnsi="Century" w:cs="Miriam"/>
          <w:b/>
          <w:spacing w:val="0"/>
          <w:szCs w:val="24"/>
          <w:rtl/>
        </w:rPr>
        <w:lastRenderedPageBreak/>
        <w:t xml:space="preserve">– </w:t>
      </w:r>
      <w:r w:rsidRPr="007C3B90">
        <w:rPr>
          <w:rFonts w:ascii="Century" w:hAnsi="Century" w:cs="Miriam" w:hint="eastAsia"/>
          <w:b/>
          <w:spacing w:val="0"/>
          <w:szCs w:val="24"/>
          <w:rtl/>
        </w:rPr>
        <w:t>ישראל</w:t>
      </w:r>
      <w:r w:rsidRPr="007C3B90">
        <w:rPr>
          <w:rFonts w:ascii="Century" w:hAnsi="Century" w:cs="Miriam"/>
          <w:b/>
          <w:spacing w:val="0"/>
          <w:szCs w:val="24"/>
          <w:rtl/>
        </w:rPr>
        <w:t xml:space="preserve"> </w:t>
      </w:r>
      <w:r w:rsidRPr="007C3B90">
        <w:rPr>
          <w:rFonts w:ascii="Century" w:hAnsi="Century" w:cs="Miriam" w:hint="eastAsia"/>
          <w:b/>
          <w:spacing w:val="0"/>
          <w:szCs w:val="24"/>
          <w:rtl/>
        </w:rPr>
        <w:t>הבית</w:t>
      </w:r>
      <w:r w:rsidRPr="007C3B90">
        <w:rPr>
          <w:rFonts w:ascii="Century" w:hAnsi="Century" w:cs="Miriam"/>
          <w:b/>
          <w:spacing w:val="0"/>
          <w:szCs w:val="24"/>
          <w:rtl/>
        </w:rPr>
        <w:t xml:space="preserve"> </w:t>
      </w:r>
      <w:r w:rsidRPr="007C3B90">
        <w:rPr>
          <w:rFonts w:ascii="Century" w:hAnsi="Century" w:cs="Miriam" w:hint="eastAsia"/>
          <w:b/>
          <w:spacing w:val="0"/>
          <w:szCs w:val="24"/>
          <w:rtl/>
        </w:rPr>
        <w:t>שלי</w:t>
      </w:r>
      <w:r w:rsidRPr="007C3B90">
        <w:rPr>
          <w:rFonts w:ascii="Century" w:hAnsi="Century" w:cs="Miriam"/>
          <w:b/>
          <w:spacing w:val="0"/>
          <w:szCs w:val="24"/>
          <w:rtl/>
        </w:rPr>
        <w:t xml:space="preserve"> </w:t>
      </w:r>
      <w:r w:rsidRPr="007C3B90">
        <w:rPr>
          <w:rFonts w:ascii="Century" w:hAnsi="Century" w:cs="Miriam" w:hint="eastAsia"/>
          <w:b/>
          <w:spacing w:val="0"/>
          <w:szCs w:val="24"/>
          <w:rtl/>
        </w:rPr>
        <w:t>נ</w:t>
      </w:r>
      <w:r w:rsidRPr="007C3B90">
        <w:rPr>
          <w:rFonts w:ascii="Century" w:hAnsi="Century" w:cs="Miriam"/>
          <w:b/>
          <w:spacing w:val="0"/>
          <w:szCs w:val="24"/>
          <w:rtl/>
        </w:rPr>
        <w:t xml:space="preserve">' </w:t>
      </w:r>
      <w:r w:rsidRPr="007C3B90">
        <w:rPr>
          <w:rFonts w:ascii="Century" w:hAnsi="Century" w:cs="Miriam" w:hint="eastAsia"/>
          <w:b/>
          <w:spacing w:val="0"/>
          <w:szCs w:val="24"/>
          <w:rtl/>
        </w:rPr>
        <w:t>ממשלת</w:t>
      </w:r>
      <w:r w:rsidRPr="007C3B90">
        <w:rPr>
          <w:rFonts w:ascii="Century" w:hAnsi="Century" w:cs="Miriam"/>
          <w:b/>
          <w:spacing w:val="0"/>
          <w:szCs w:val="24"/>
          <w:rtl/>
        </w:rPr>
        <w:t xml:space="preserve"> </w:t>
      </w:r>
      <w:r w:rsidRPr="007C3B90">
        <w:rPr>
          <w:rFonts w:ascii="Century" w:hAnsi="Century" w:cs="Miriam" w:hint="eastAsia"/>
          <w:b/>
          <w:spacing w:val="0"/>
          <w:szCs w:val="24"/>
          <w:rtl/>
        </w:rPr>
        <w:t>ישראל</w:t>
      </w:r>
      <w:r w:rsidRPr="007C3B90">
        <w:rPr>
          <w:rtl/>
        </w:rPr>
        <w:t xml:space="preserve">, </w:t>
      </w:r>
      <w:r w:rsidRPr="007C3B90">
        <w:rPr>
          <w:rFonts w:hint="eastAsia"/>
          <w:rtl/>
        </w:rPr>
        <w:t>פסקה</w:t>
      </w:r>
      <w:r w:rsidRPr="007C3B90">
        <w:rPr>
          <w:rtl/>
        </w:rPr>
        <w:t xml:space="preserve"> 39 </w:t>
      </w:r>
      <w:r w:rsidRPr="007C3B90">
        <w:rPr>
          <w:rFonts w:hint="cs"/>
          <w:rtl/>
        </w:rPr>
        <w:t xml:space="preserve">לפסק דינה של הנשיאה </w:t>
      </w:r>
      <w:r w:rsidRPr="007C3B90">
        <w:rPr>
          <w:rFonts w:ascii="Century" w:hAnsi="Century" w:cs="Miriam" w:hint="cs"/>
          <w:b/>
          <w:spacing w:val="0"/>
          <w:szCs w:val="24"/>
          <w:rtl/>
        </w:rPr>
        <w:t>א' חיות</w:t>
      </w:r>
      <w:r w:rsidRPr="007C3B90">
        <w:rPr>
          <w:rtl/>
        </w:rPr>
        <w:t xml:space="preserve"> (4.4.2021)</w:t>
      </w:r>
      <w:r w:rsidRPr="007C3B90">
        <w:rPr>
          <w:rFonts w:hint="cs"/>
          <w:rtl/>
        </w:rPr>
        <w:t xml:space="preserve">). </w:t>
      </w:r>
    </w:p>
    <w:p w:rsidR="00BB56BB" w:rsidRPr="007C3B90" w:rsidRDefault="00BB56BB" w:rsidP="00BB56BB">
      <w:pPr>
        <w:pStyle w:val="Ruller4"/>
        <w:numPr>
          <w:ilvl w:val="0"/>
          <w:numId w:val="0"/>
        </w:numPr>
        <w:rPr>
          <w:rtl/>
        </w:rPr>
      </w:pPr>
    </w:p>
    <w:p w:rsidR="00BB56BB" w:rsidRPr="007C3B90" w:rsidRDefault="00BB56BB" w:rsidP="00BB56BB">
      <w:pPr>
        <w:pStyle w:val="Ruller4"/>
      </w:pPr>
      <w:r w:rsidRPr="007C3B90">
        <w:rPr>
          <w:rFonts w:hint="cs"/>
          <w:rtl/>
        </w:rPr>
        <w:t xml:space="preserve">גבולותיה הצרים של הביקורת השיפוטית על נורמות חוקתיות הותוו כבר בעניין </w:t>
      </w:r>
      <w:r w:rsidRPr="007C3B90">
        <w:rPr>
          <w:rFonts w:ascii="Century" w:hAnsi="Century" w:cs="Miriam" w:hint="eastAsia"/>
          <w:b/>
          <w:spacing w:val="0"/>
          <w:sz w:val="22"/>
          <w:szCs w:val="24"/>
          <w:rtl/>
        </w:rPr>
        <w:t>חוק</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הלאום</w:t>
      </w:r>
      <w:r w:rsidRPr="007C3B90">
        <w:rPr>
          <w:rtl/>
        </w:rPr>
        <w:t>.</w:t>
      </w:r>
      <w:r w:rsidRPr="007C3B90">
        <w:rPr>
          <w:rFonts w:ascii="Century" w:hAnsi="Century" w:cs="Miriam" w:hint="cs"/>
          <w:b/>
          <w:spacing w:val="0"/>
          <w:sz w:val="22"/>
          <w:szCs w:val="24"/>
          <w:rtl/>
        </w:rPr>
        <w:t xml:space="preserve"> </w:t>
      </w:r>
      <w:r w:rsidRPr="007C3B90">
        <w:rPr>
          <w:rFonts w:hint="eastAsia"/>
          <w:rtl/>
        </w:rPr>
        <w:t>זאת</w:t>
      </w:r>
      <w:r w:rsidRPr="007C3B90">
        <w:rPr>
          <w:rFonts w:hint="cs"/>
          <w:rtl/>
        </w:rPr>
        <w:t xml:space="preserve">, בשים לב לשלב הביניים בו מצוי מפעל כינון חוקי היסוד, ומשטרם נקבעו בחקיקת היסוד ההליכים הנדרשים לתיקון החוקה (עניין </w:t>
      </w:r>
      <w:r w:rsidRPr="007C3B90">
        <w:rPr>
          <w:rFonts w:ascii="Century" w:hAnsi="Century" w:cs="Miriam" w:hint="eastAsia"/>
          <w:b/>
          <w:spacing w:val="0"/>
          <w:sz w:val="22"/>
          <w:szCs w:val="24"/>
          <w:rtl/>
        </w:rPr>
        <w:t>חוק</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הלאום</w:t>
      </w:r>
      <w:r w:rsidRPr="007C3B90">
        <w:rPr>
          <w:rFonts w:hint="cs"/>
          <w:rtl/>
        </w:rPr>
        <w:t xml:space="preserve">, בפסקאות 16-15 לפסק דינה של הנשיאה </w:t>
      </w:r>
      <w:r w:rsidRPr="007C3B90">
        <w:rPr>
          <w:rFonts w:ascii="Century" w:hAnsi="Century" w:cs="Miriam" w:hint="eastAsia"/>
          <w:b/>
          <w:spacing w:val="0"/>
          <w:sz w:val="22"/>
          <w:szCs w:val="24"/>
          <w:rtl/>
        </w:rPr>
        <w:t>חיות</w:t>
      </w:r>
      <w:r w:rsidRPr="007C3B90">
        <w:rPr>
          <w:rFonts w:hint="cs"/>
          <w:rtl/>
        </w:rPr>
        <w:t xml:space="preserve">). גבולות אלה נגזרים הן מהיקפן הצר של המגבלות המוטלות על הכנסת כרשות מכוננת, והן מעוצמת הפגיעה המצדיקה התערבות בחקיקת יסוד. באשר להיקפן של המגבלות, תחם בית משפט זה את </w:t>
      </w:r>
      <w:r w:rsidRPr="007C3B90">
        <w:rPr>
          <w:rFonts w:ascii="Arial TUR" w:hAnsi="Arial TUR"/>
          <w:rtl/>
        </w:rPr>
        <w:t>גבולותיהן ככאלה שהן "</w:t>
      </w:r>
      <w:r w:rsidRPr="007C3B90">
        <w:rPr>
          <w:rFonts w:ascii="Arial TUR" w:hAnsi="Arial TUR" w:hint="eastAsia"/>
          <w:rtl/>
        </w:rPr>
        <w:t>צרות</w:t>
      </w:r>
      <w:r w:rsidRPr="007C3B90">
        <w:rPr>
          <w:rFonts w:ascii="Arial TUR" w:hAnsi="Arial TUR"/>
          <w:rtl/>
        </w:rPr>
        <w:t xml:space="preserve"> </w:t>
      </w:r>
      <w:r w:rsidRPr="007C3B90">
        <w:rPr>
          <w:rFonts w:ascii="Arial TUR" w:hAnsi="Arial TUR" w:hint="eastAsia"/>
          <w:rtl/>
        </w:rPr>
        <w:t>ביותר</w:t>
      </w:r>
      <w:r w:rsidRPr="007C3B90">
        <w:rPr>
          <w:rFonts w:ascii="Arial TUR" w:hAnsi="Arial TUR"/>
          <w:rtl/>
        </w:rPr>
        <w:t xml:space="preserve">, </w:t>
      </w:r>
      <w:r w:rsidRPr="007C3B90">
        <w:rPr>
          <w:rFonts w:ascii="Arial TUR" w:hAnsi="Arial TUR" w:hint="eastAsia"/>
          <w:rtl/>
        </w:rPr>
        <w:t>ונוגעות</w:t>
      </w:r>
      <w:r w:rsidRPr="007C3B90">
        <w:rPr>
          <w:rFonts w:ascii="Arial TUR" w:hAnsi="Arial TUR"/>
          <w:rtl/>
        </w:rPr>
        <w:t xml:space="preserve"> </w:t>
      </w:r>
      <w:r w:rsidRPr="007C3B90">
        <w:rPr>
          <w:rFonts w:ascii="Arial TUR" w:hAnsi="Arial TUR" w:hint="eastAsia"/>
          <w:rtl/>
        </w:rPr>
        <w:t>למצבים</w:t>
      </w:r>
      <w:r w:rsidRPr="007C3B90">
        <w:rPr>
          <w:rFonts w:ascii="Arial TUR" w:hAnsi="Arial TUR"/>
          <w:rtl/>
        </w:rPr>
        <w:t xml:space="preserve"> חריגים של </w:t>
      </w:r>
      <w:r w:rsidRPr="007C3B90">
        <w:rPr>
          <w:rFonts w:ascii="Century" w:hAnsi="Century" w:cs="Miriam" w:hint="cs"/>
          <w:b/>
          <w:spacing w:val="0"/>
          <w:szCs w:val="24"/>
          <w:rtl/>
        </w:rPr>
        <w:t xml:space="preserve">שינוי חוקתי השולל את ליבת הזהות היהודית או </w:t>
      </w:r>
      <w:r w:rsidRPr="007C3B90">
        <w:rPr>
          <w:rFonts w:ascii="Century" w:hAnsi="Century" w:cs="Miriam" w:hint="eastAsia"/>
          <w:b/>
          <w:spacing w:val="0"/>
          <w:szCs w:val="24"/>
          <w:rtl/>
        </w:rPr>
        <w:t>הדמוקרטית</w:t>
      </w:r>
      <w:r w:rsidRPr="007C3B90">
        <w:rPr>
          <w:rFonts w:ascii="Century" w:hAnsi="Century" w:cs="Miriam"/>
          <w:b/>
          <w:spacing w:val="0"/>
          <w:szCs w:val="24"/>
          <w:rtl/>
        </w:rPr>
        <w:t xml:space="preserve"> </w:t>
      </w:r>
      <w:r w:rsidRPr="007C3B90">
        <w:rPr>
          <w:rFonts w:ascii="Century" w:hAnsi="Century" w:cs="Miriam" w:hint="eastAsia"/>
          <w:b/>
          <w:spacing w:val="0"/>
          <w:szCs w:val="24"/>
          <w:rtl/>
        </w:rPr>
        <w:t>של</w:t>
      </w:r>
      <w:r w:rsidRPr="007C3B90">
        <w:rPr>
          <w:rFonts w:ascii="Century" w:hAnsi="Century" w:cs="Miriam"/>
          <w:b/>
          <w:spacing w:val="0"/>
          <w:szCs w:val="24"/>
          <w:rtl/>
        </w:rPr>
        <w:t xml:space="preserve"> </w:t>
      </w:r>
      <w:r w:rsidRPr="007C3B90">
        <w:rPr>
          <w:rFonts w:ascii="Century" w:hAnsi="Century" w:cs="Miriam" w:hint="eastAsia"/>
          <w:b/>
          <w:spacing w:val="0"/>
          <w:szCs w:val="24"/>
          <w:rtl/>
        </w:rPr>
        <w:t>המדינה</w:t>
      </w:r>
      <w:r w:rsidRPr="006103F0">
        <w:rPr>
          <w:rFonts w:ascii="Century" w:hAnsi="Century"/>
          <w:sz w:val="22"/>
          <w:rtl/>
        </w:rPr>
        <w:t>"</w:t>
      </w:r>
      <w:r w:rsidRPr="007C3B90">
        <w:rPr>
          <w:rFonts w:hint="cs"/>
          <w:rtl/>
        </w:rPr>
        <w:t xml:space="preserve"> (</w:t>
      </w:r>
      <w:r w:rsidRPr="007C3B90">
        <w:rPr>
          <w:rFonts w:ascii="Century" w:hAnsi="Century" w:cs="Miriam" w:hint="eastAsia"/>
          <w:b/>
          <w:spacing w:val="0"/>
          <w:sz w:val="22"/>
          <w:szCs w:val="24"/>
          <w:rtl/>
        </w:rPr>
        <w:t>שם</w:t>
      </w:r>
      <w:r w:rsidRPr="008E64CC">
        <w:rPr>
          <w:rFonts w:ascii="Century" w:hAnsi="Century"/>
          <w:sz w:val="22"/>
          <w:rtl/>
        </w:rPr>
        <w:t>,</w:t>
      </w:r>
      <w:r w:rsidRPr="008E64CC">
        <w:rPr>
          <w:rFonts w:ascii="Century" w:hAnsi="Century" w:hint="cs"/>
          <w:sz w:val="22"/>
          <w:rtl/>
        </w:rPr>
        <w:t xml:space="preserve"> </w:t>
      </w:r>
      <w:r w:rsidRPr="007C3B90">
        <w:rPr>
          <w:rFonts w:hint="cs"/>
          <w:rtl/>
        </w:rPr>
        <w:t xml:space="preserve">בפסקה 28 לפסק דינה של הנשיאה </w:t>
      </w:r>
      <w:r w:rsidRPr="007C3B90">
        <w:rPr>
          <w:rFonts w:ascii="Century" w:hAnsi="Century" w:cs="Miriam" w:hint="cs"/>
          <w:b/>
          <w:spacing w:val="0"/>
          <w:sz w:val="22"/>
          <w:szCs w:val="24"/>
          <w:rtl/>
        </w:rPr>
        <w:t>א' חיות</w:t>
      </w:r>
      <w:r>
        <w:rPr>
          <w:rFonts w:hint="cs"/>
          <w:rtl/>
        </w:rPr>
        <w:t>. ההדגשות במקור</w:t>
      </w:r>
      <w:r w:rsidRPr="007C3B90">
        <w:rPr>
          <w:rFonts w:hint="cs"/>
          <w:rtl/>
        </w:rPr>
        <w:t xml:space="preserve">; </w:t>
      </w:r>
      <w:r w:rsidRPr="007C3B90">
        <w:rPr>
          <w:rFonts w:ascii="Century" w:hAnsi="Century" w:cs="Miriam" w:hint="cs"/>
          <w:b/>
          <w:spacing w:val="0"/>
          <w:sz w:val="22"/>
          <w:szCs w:val="24"/>
          <w:rtl/>
        </w:rPr>
        <w:t>ברק, תיקון של חוקה</w:t>
      </w:r>
      <w:r w:rsidRPr="007C3B90">
        <w:rPr>
          <w:rFonts w:hint="cs"/>
          <w:rtl/>
        </w:rPr>
        <w:t xml:space="preserve">, בעמ' 380). באשר לעוצמת הפגיעה, עמד בית המשפט על כך שאין מדובר בפגיעה סתם, אלא כי </w:t>
      </w:r>
      <w:r w:rsidRPr="007C3B90">
        <w:rPr>
          <w:rFonts w:ascii="Century" w:hAnsi="Century" w:cs="Miriam"/>
          <w:b/>
          <w:spacing w:val="0"/>
          <w:sz w:val="22"/>
          <w:szCs w:val="24"/>
          <w:rtl/>
        </w:rPr>
        <w:t>"</w:t>
      </w:r>
      <w:r w:rsidRPr="007C3B90">
        <w:rPr>
          <w:rFonts w:ascii="Century" w:hAnsi="Century" w:cs="Miriam" w:hint="eastAsia"/>
          <w:b/>
          <w:spacing w:val="0"/>
          <w:sz w:val="22"/>
          <w:szCs w:val="24"/>
          <w:rtl/>
        </w:rPr>
        <w:t>מדובר</w:t>
      </w:r>
      <w:r w:rsidRPr="007C3B90">
        <w:rPr>
          <w:rFonts w:ascii="Century" w:hAnsi="Century" w:cs="Miriam"/>
          <w:b/>
          <w:spacing w:val="0"/>
          <w:sz w:val="22"/>
          <w:szCs w:val="24"/>
          <w:rtl/>
        </w:rPr>
        <w:t xml:space="preserve"> במצבים שבהם הוראה חוקתית פוגעת </w:t>
      </w:r>
      <w:r w:rsidRPr="007C3B90">
        <w:rPr>
          <w:rFonts w:ascii="Century" w:hAnsi="Century" w:cs="Miriam" w:hint="eastAsia"/>
          <w:bCs/>
          <w:spacing w:val="0"/>
          <w:sz w:val="22"/>
          <w:szCs w:val="24"/>
          <w:rtl/>
        </w:rPr>
        <w:t>פגיעה</w:t>
      </w:r>
      <w:r w:rsidRPr="007C3B90">
        <w:rPr>
          <w:rFonts w:ascii="Century" w:hAnsi="Century" w:cs="Miriam"/>
          <w:bCs/>
          <w:spacing w:val="0"/>
          <w:sz w:val="22"/>
          <w:szCs w:val="24"/>
          <w:rtl/>
        </w:rPr>
        <w:t xml:space="preserve"> </w:t>
      </w:r>
      <w:r w:rsidRPr="007C3B90">
        <w:rPr>
          <w:rFonts w:ascii="Century" w:hAnsi="Century" w:cs="Miriam" w:hint="eastAsia"/>
          <w:bCs/>
          <w:spacing w:val="0"/>
          <w:sz w:val="22"/>
          <w:szCs w:val="24"/>
          <w:rtl/>
        </w:rPr>
        <w:t>אנושה</w:t>
      </w:r>
      <w:r w:rsidRPr="007C3B90">
        <w:rPr>
          <w:rFonts w:ascii="Century" w:hAnsi="Century" w:cs="Miriam"/>
          <w:b/>
          <w:spacing w:val="0"/>
          <w:sz w:val="22"/>
          <w:szCs w:val="24"/>
          <w:rtl/>
        </w:rPr>
        <w:t xml:space="preserve"> באופייה היהודי או הדמוקרטי של המדינה, עד כי אין כל דרך ליישב מבחינה מושגית ופרקטית בין הוראה זו ובין מרכיביה אלה של זהות המדינה"</w:t>
      </w:r>
      <w:r w:rsidRPr="007C3B90">
        <w:rPr>
          <w:rFonts w:hint="cs"/>
          <w:rtl/>
        </w:rPr>
        <w:t xml:space="preserve"> (עניין </w:t>
      </w:r>
      <w:r w:rsidRPr="007C3B90">
        <w:rPr>
          <w:rFonts w:ascii="Century" w:hAnsi="Century" w:cs="Miriam" w:hint="eastAsia"/>
          <w:b/>
          <w:spacing w:val="0"/>
          <w:sz w:val="22"/>
          <w:szCs w:val="24"/>
          <w:rtl/>
        </w:rPr>
        <w:t>חוק</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הלאום</w:t>
      </w:r>
      <w:r w:rsidRPr="007C3B90">
        <w:rPr>
          <w:rFonts w:hint="cs"/>
          <w:rtl/>
        </w:rPr>
        <w:t xml:space="preserve">, בפסקה 29 לפסק דינה של הנשיאה </w:t>
      </w:r>
      <w:r w:rsidRPr="007C3B90">
        <w:rPr>
          <w:rFonts w:ascii="Century" w:hAnsi="Century" w:cs="Miriam" w:hint="eastAsia"/>
          <w:b/>
          <w:spacing w:val="0"/>
          <w:sz w:val="22"/>
          <w:szCs w:val="24"/>
          <w:rtl/>
        </w:rPr>
        <w:t>א</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חיות</w:t>
      </w:r>
      <w:r>
        <w:rPr>
          <w:rFonts w:hint="cs"/>
          <w:rtl/>
        </w:rPr>
        <w:t>.</w:t>
      </w:r>
      <w:r w:rsidRPr="007C3B90">
        <w:rPr>
          <w:rtl/>
        </w:rPr>
        <w:t xml:space="preserve"> </w:t>
      </w:r>
      <w:r w:rsidRPr="007C3B90">
        <w:rPr>
          <w:rFonts w:hint="cs"/>
          <w:rtl/>
        </w:rPr>
        <w:t xml:space="preserve">ההדגשות במקור). חברתי השופטת </w:t>
      </w:r>
      <w:r w:rsidRPr="007C3B90">
        <w:rPr>
          <w:rFonts w:ascii="Century" w:hAnsi="Century" w:cs="Miriam" w:hint="eastAsia"/>
          <w:b/>
          <w:spacing w:val="0"/>
          <w:sz w:val="22"/>
          <w:szCs w:val="24"/>
          <w:rtl/>
        </w:rPr>
        <w:t>ד</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ברק</w:t>
      </w:r>
      <w:r w:rsidRPr="007C3B90">
        <w:rPr>
          <w:rFonts w:ascii="Century" w:hAnsi="Century" w:cs="Miriam"/>
          <w:b/>
          <w:spacing w:val="0"/>
          <w:sz w:val="22"/>
          <w:szCs w:val="24"/>
          <w:rtl/>
        </w:rPr>
        <w:t>-</w:t>
      </w:r>
      <w:r w:rsidRPr="007C3B90">
        <w:rPr>
          <w:rFonts w:ascii="Century" w:hAnsi="Century" w:cs="Miriam" w:hint="eastAsia"/>
          <w:b/>
          <w:spacing w:val="0"/>
          <w:sz w:val="22"/>
          <w:szCs w:val="24"/>
          <w:rtl/>
        </w:rPr>
        <w:t>ארז</w:t>
      </w:r>
      <w:r w:rsidRPr="007C3B90">
        <w:rPr>
          <w:rFonts w:hint="cs"/>
          <w:rtl/>
        </w:rPr>
        <w:t xml:space="preserve">, הציעה בעניין </w:t>
      </w:r>
      <w:r w:rsidRPr="007C3B90">
        <w:rPr>
          <w:rFonts w:ascii="Century" w:hAnsi="Century" w:cs="Miriam" w:hint="eastAsia"/>
          <w:b/>
          <w:spacing w:val="0"/>
          <w:sz w:val="22"/>
          <w:szCs w:val="24"/>
          <w:rtl/>
        </w:rPr>
        <w:t>חוק</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הלאום</w:t>
      </w:r>
      <w:r w:rsidRPr="007C3B90">
        <w:rPr>
          <w:rFonts w:hint="cs"/>
          <w:rtl/>
        </w:rPr>
        <w:t xml:space="preserve"> לצמצם את גבולות הביקורת השיפוטית אף מעבר לכך, ולעשות בה שימוש רק לגבי </w:t>
      </w:r>
      <w:r w:rsidRPr="007C3B90">
        <w:rPr>
          <w:rFonts w:ascii="Century" w:hAnsi="Century" w:cs="Miriam"/>
          <w:b/>
          <w:spacing w:val="0"/>
          <w:sz w:val="22"/>
          <w:szCs w:val="24"/>
          <w:rtl/>
        </w:rPr>
        <w:t>"</w:t>
      </w:r>
      <w:r w:rsidRPr="007C3B90">
        <w:rPr>
          <w:rFonts w:ascii="Century" w:hAnsi="Century" w:cs="Miriam" w:hint="eastAsia"/>
          <w:b/>
          <w:spacing w:val="0"/>
          <w:sz w:val="22"/>
          <w:szCs w:val="24"/>
          <w:rtl/>
        </w:rPr>
        <w:t>חוק</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יסוד</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שמהווה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שבירת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כלים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במובן</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הרס</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בלתי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הפיך</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השיטה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החוקתית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כך</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למשל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ככל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שחוק</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יסוד</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יבקש</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לשלול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מאפייניו</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השוויוניים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הליך</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הבחירות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הוא</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ישמוט</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הקרקע</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מתחת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לחקיקתו</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משום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שעם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הפגיעה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בהשתתפות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השוויונית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בבחירות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לא</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ניתן</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יהיה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להשיב</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לאחור</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שנעשה</w:t>
      </w:r>
      <w:r w:rsidRPr="007C3B90">
        <w:rPr>
          <w:rFonts w:ascii="Century" w:hAnsi="Century" w:cs="Miriam"/>
          <w:b/>
          <w:spacing w:val="0"/>
          <w:sz w:val="22"/>
          <w:szCs w:val="24"/>
          <w:rtl/>
        </w:rPr>
        <w:t>"</w:t>
      </w:r>
      <w:r w:rsidRPr="007C3B90">
        <w:rPr>
          <w:rFonts w:hint="cs"/>
          <w:rtl/>
        </w:rPr>
        <w:t xml:space="preserve"> (</w:t>
      </w:r>
      <w:r w:rsidRPr="007C3B90">
        <w:rPr>
          <w:rFonts w:ascii="Century" w:hAnsi="Century" w:cs="Miriam" w:hint="eastAsia"/>
          <w:b/>
          <w:spacing w:val="0"/>
          <w:sz w:val="22"/>
          <w:szCs w:val="24"/>
          <w:rtl/>
        </w:rPr>
        <w:t>שם</w:t>
      </w:r>
      <w:r w:rsidRPr="007C3B90">
        <w:rPr>
          <w:rFonts w:ascii="Century" w:hAnsi="Century"/>
          <w:sz w:val="22"/>
          <w:rtl/>
        </w:rPr>
        <w:t>,</w:t>
      </w:r>
      <w:r w:rsidRPr="007C3B90">
        <w:rPr>
          <w:rFonts w:hint="cs"/>
          <w:rtl/>
        </w:rPr>
        <w:t xml:space="preserve"> בפסקה 16 לחוות דעתה). כשלעצמי אני סבורה כי עשויים להיות מצבים נדירים בהם יהיה מקום לביקורת שיפוטית גם אם מדובר בחוק שהשלכותיו הפיכות. עם זאת, מקובלת עליי השקפתה כי ביקורת שיפוטית על חוק</w:t>
      </w:r>
      <w:r>
        <w:rPr>
          <w:rFonts w:hint="cs"/>
          <w:rtl/>
        </w:rPr>
        <w:t xml:space="preserve"> </w:t>
      </w:r>
      <w:r w:rsidRPr="007C3B90">
        <w:rPr>
          <w:rFonts w:hint="cs"/>
          <w:rtl/>
        </w:rPr>
        <w:t xml:space="preserve">יסוד צריכה להיות שמורה אך ורק למקרי קיצון, וכי אין מקום </w:t>
      </w:r>
      <w:r w:rsidRPr="007C3B90">
        <w:rPr>
          <w:rFonts w:ascii="Century" w:hAnsi="Century" w:cs="Miriam"/>
          <w:b/>
          <w:spacing w:val="0"/>
          <w:sz w:val="22"/>
          <w:szCs w:val="24"/>
          <w:rtl/>
        </w:rPr>
        <w:t xml:space="preserve">"ליצור 'מדרון </w:t>
      </w:r>
      <w:r w:rsidRPr="007C3B90">
        <w:rPr>
          <w:rFonts w:ascii="Century" w:hAnsi="Century" w:cs="Miriam" w:hint="eastAsia"/>
          <w:b/>
          <w:spacing w:val="0"/>
          <w:sz w:val="22"/>
          <w:szCs w:val="24"/>
          <w:rtl/>
        </w:rPr>
        <w:t>חלקלק</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שיפתח</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הדלת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להתייחסות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לחוקי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יסוד</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כאל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חוקים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רגילים</w:t>
      </w:r>
      <w:r w:rsidRPr="007C3B90">
        <w:rPr>
          <w:rFonts w:ascii="Century" w:hAnsi="Century" w:cs="Miriam"/>
          <w:b/>
          <w:spacing w:val="0"/>
          <w:sz w:val="22"/>
          <w:szCs w:val="24"/>
          <w:rtl/>
        </w:rPr>
        <w:t>"</w:t>
      </w:r>
      <w:r w:rsidRPr="007C3B90">
        <w:rPr>
          <w:rFonts w:hint="cs"/>
          <w:rtl/>
        </w:rPr>
        <w:t xml:space="preserve"> (</w:t>
      </w:r>
      <w:r w:rsidRPr="007C3B90">
        <w:rPr>
          <w:rFonts w:ascii="Century" w:hAnsi="Century" w:cs="Miriam" w:hint="cs"/>
          <w:b/>
          <w:spacing w:val="0"/>
          <w:sz w:val="22"/>
          <w:szCs w:val="24"/>
          <w:rtl/>
        </w:rPr>
        <w:t>שם</w:t>
      </w:r>
      <w:r>
        <w:rPr>
          <w:rFonts w:hint="cs"/>
          <w:rtl/>
        </w:rPr>
        <w:t>, בפסקה 17</w:t>
      </w:r>
      <w:r w:rsidRPr="007C3B90">
        <w:rPr>
          <w:rFonts w:hint="cs"/>
          <w:rtl/>
        </w:rPr>
        <w:t>).</w:t>
      </w:r>
      <w:r w:rsidRPr="007C3B90">
        <w:rPr>
          <w:rtl/>
        </w:rPr>
        <w:br/>
      </w:r>
    </w:p>
    <w:p w:rsidR="00BB56BB" w:rsidRPr="007C3B90" w:rsidRDefault="00BB56BB" w:rsidP="00BB56BB">
      <w:pPr>
        <w:pStyle w:val="Ruller4"/>
        <w:rPr>
          <w:rtl/>
        </w:rPr>
      </w:pPr>
      <w:r w:rsidRPr="007C3B90" w:rsidDel="009B15A0">
        <w:rPr>
          <w:rFonts w:hint="cs"/>
          <w:rtl/>
        </w:rPr>
        <w:t xml:space="preserve">טעם נוסף לצמצום גבולות הביקורת השיפוטית נעוץ באופיין הבלתי מוגדר, בבחינת "רקמה פתוחה", של עקרונות הליבה של הזהות היהודית והדמוקרטית של המדינה, המקשה על מתן הגנה רחבה לעקרונות העשויים להיות נתונים למחלוקות מושגיות רחבות (והשוו: </w:t>
      </w:r>
      <w:r w:rsidRPr="007C3B90">
        <w:rPr>
          <w:rFonts w:hint="cs"/>
          <w:rtl/>
        </w:rPr>
        <w:t>יצחק זמיר "</w:t>
      </w:r>
      <w:r w:rsidRPr="007C3B90" w:rsidDel="009B15A0">
        <w:rPr>
          <w:rFonts w:hint="cs"/>
          <w:rtl/>
        </w:rPr>
        <w:t>הביקורת השיפוטית על חוקיות חוקים</w:t>
      </w:r>
      <w:r w:rsidRPr="007C3B90">
        <w:rPr>
          <w:rFonts w:hint="cs"/>
          <w:rtl/>
        </w:rPr>
        <w:t>"</w:t>
      </w:r>
      <w:r w:rsidRPr="007C3B90" w:rsidDel="009B15A0">
        <w:rPr>
          <w:rFonts w:hint="cs"/>
          <w:rtl/>
        </w:rPr>
        <w:t xml:space="preserve"> </w:t>
      </w:r>
      <w:r w:rsidRPr="007C3B90" w:rsidDel="009B15A0">
        <w:rPr>
          <w:rFonts w:ascii="Century" w:hAnsi="Century" w:cs="Miriam" w:hint="cs"/>
          <w:b/>
          <w:spacing w:val="0"/>
          <w:szCs w:val="24"/>
          <w:rtl/>
        </w:rPr>
        <w:t>משפט וממשל</w:t>
      </w:r>
      <w:r w:rsidRPr="007C3B90">
        <w:rPr>
          <w:rFonts w:hint="cs"/>
          <w:rtl/>
        </w:rPr>
        <w:t xml:space="preserve"> א 395</w:t>
      </w:r>
      <w:r w:rsidRPr="007C3B90" w:rsidDel="009B15A0">
        <w:rPr>
          <w:rFonts w:hint="cs"/>
          <w:rtl/>
        </w:rPr>
        <w:t>, 407-406 (</w:t>
      </w:r>
      <w:r w:rsidRPr="007C3B90">
        <w:rPr>
          <w:rFonts w:hint="cs"/>
          <w:rtl/>
        </w:rPr>
        <w:t>ה</w:t>
      </w:r>
      <w:r w:rsidRPr="007C3B90" w:rsidDel="009B15A0">
        <w:rPr>
          <w:rFonts w:hint="cs"/>
          <w:rtl/>
        </w:rPr>
        <w:t>תשנ"ג)</w:t>
      </w:r>
      <w:r w:rsidRPr="007C3B90">
        <w:rPr>
          <w:rFonts w:hint="cs"/>
          <w:rtl/>
        </w:rPr>
        <w:t xml:space="preserve">; </w:t>
      </w:r>
      <w:r w:rsidRPr="007C3B90">
        <w:rPr>
          <w:rFonts w:ascii="Century" w:hAnsi="Century" w:cs="Miriam" w:hint="cs"/>
          <w:b/>
          <w:spacing w:val="0"/>
          <w:szCs w:val="24"/>
          <w:rtl/>
        </w:rPr>
        <w:t>רובינשטיין ומדינה</w:t>
      </w:r>
      <w:r w:rsidRPr="007C3B90">
        <w:rPr>
          <w:rFonts w:hint="cs"/>
          <w:rtl/>
        </w:rPr>
        <w:t xml:space="preserve">, </w:t>
      </w:r>
      <w:r>
        <w:rPr>
          <w:rFonts w:hint="cs"/>
          <w:rtl/>
        </w:rPr>
        <w:t xml:space="preserve">בעמ' </w:t>
      </w:r>
      <w:r w:rsidRPr="007C3B90">
        <w:rPr>
          <w:rFonts w:hint="cs"/>
          <w:rtl/>
        </w:rPr>
        <w:t>300</w:t>
      </w:r>
      <w:r w:rsidRPr="007C3B90" w:rsidDel="009B15A0">
        <w:rPr>
          <w:rFonts w:hint="cs"/>
          <w:rtl/>
        </w:rPr>
        <w:t>).</w:t>
      </w:r>
      <w:r w:rsidRPr="007C3B90">
        <w:rPr>
          <w:rFonts w:hint="cs"/>
          <w:rtl/>
        </w:rPr>
        <w:t xml:space="preserve"> אף </w:t>
      </w:r>
      <w:r w:rsidRPr="007C3B90" w:rsidDel="009B15A0">
        <w:rPr>
          <w:rFonts w:hint="cs"/>
          <w:rtl/>
        </w:rPr>
        <w:t xml:space="preserve">שקיימת הסכמה רחבה על דמותה של המדינה כיהודית ודמוקרטית, השקפה שהיא בעלת שורשים עמוקים בהיסטוריה החוקתית והחברתית של מדינת ישראל </w:t>
      </w:r>
      <w:r w:rsidRPr="007C3B90" w:rsidDel="009B15A0">
        <w:rPr>
          <w:rtl/>
        </w:rPr>
        <w:t>–</w:t>
      </w:r>
      <w:r w:rsidRPr="007C3B90" w:rsidDel="009B15A0">
        <w:rPr>
          <w:rFonts w:hint="cs"/>
          <w:rtl/>
        </w:rPr>
        <w:t xml:space="preserve"> ספק אם קיימת הכרעה מוסכמת על </w:t>
      </w:r>
      <w:r w:rsidRPr="007C3B90" w:rsidDel="009B15A0">
        <w:rPr>
          <w:rFonts w:hint="cs"/>
          <w:rtl/>
        </w:rPr>
        <w:lastRenderedPageBreak/>
        <w:t>תוכנם הקונקרטי של מאפייני הליבה של שני מרכיבי זהותה של המדינה (ולדמותה רבת הפנים של זהות המדינה כיהודית ודמוקרטית</w:t>
      </w:r>
      <w:r w:rsidRPr="007C3B90">
        <w:rPr>
          <w:rFonts w:hint="cs"/>
          <w:rtl/>
        </w:rPr>
        <w:t>,</w:t>
      </w:r>
      <w:r w:rsidRPr="007C3B90" w:rsidDel="009B15A0">
        <w:rPr>
          <w:rFonts w:hint="cs"/>
          <w:rtl/>
        </w:rPr>
        <w:t xml:space="preserve"> ראו למשל: רות גביזון ופניה עוז-זלצברגר "ישראל כמדינה לאומית וליברלית" </w:t>
      </w:r>
      <w:r w:rsidRPr="007C3B90" w:rsidDel="009B15A0">
        <w:rPr>
          <w:rFonts w:ascii="Century" w:hAnsi="Century" w:cs="Miriam" w:hint="eastAsia"/>
          <w:b/>
          <w:spacing w:val="0"/>
          <w:szCs w:val="24"/>
          <w:rtl/>
        </w:rPr>
        <w:t>משפט</w:t>
      </w:r>
      <w:r w:rsidRPr="007C3B90" w:rsidDel="009B15A0">
        <w:rPr>
          <w:rFonts w:ascii="Century" w:hAnsi="Century" w:cs="Miriam"/>
          <w:b/>
          <w:spacing w:val="0"/>
          <w:szCs w:val="24"/>
          <w:rtl/>
        </w:rPr>
        <w:t xml:space="preserve"> </w:t>
      </w:r>
      <w:r w:rsidRPr="007C3B90" w:rsidDel="009B15A0">
        <w:rPr>
          <w:rFonts w:ascii="Century" w:hAnsi="Century" w:cs="Miriam" w:hint="eastAsia"/>
          <w:b/>
          <w:spacing w:val="0"/>
          <w:szCs w:val="24"/>
          <w:rtl/>
        </w:rPr>
        <w:t>ועסקים</w:t>
      </w:r>
      <w:r w:rsidRPr="007C3B90" w:rsidDel="009B15A0">
        <w:rPr>
          <w:rtl/>
        </w:rPr>
        <w:t xml:space="preserve"> </w:t>
      </w:r>
      <w:r w:rsidRPr="007C3B90" w:rsidDel="009B15A0">
        <w:rPr>
          <w:rFonts w:hint="cs"/>
          <w:rtl/>
        </w:rPr>
        <w:t xml:space="preserve">יד 293 (התשע"ב); </w:t>
      </w:r>
      <w:r w:rsidRPr="007C3B90" w:rsidDel="009B15A0">
        <w:rPr>
          <w:rFonts w:hint="eastAsia"/>
          <w:rtl/>
        </w:rPr>
        <w:t>מנחם</w:t>
      </w:r>
      <w:r w:rsidRPr="007C3B90" w:rsidDel="009B15A0">
        <w:rPr>
          <w:rtl/>
        </w:rPr>
        <w:t xml:space="preserve"> אלון "דרך חוק בחוקה: ערכיה של מדינה יהודית ודמוקרטית</w:t>
      </w:r>
      <w:r>
        <w:rPr>
          <w:rFonts w:hint="cs"/>
          <w:rtl/>
        </w:rPr>
        <w:t xml:space="preserve"> לאור חוק יסוד: כבוד האדם וחירותו</w:t>
      </w:r>
      <w:r w:rsidRPr="007C3B90" w:rsidDel="009B15A0">
        <w:rPr>
          <w:rtl/>
        </w:rPr>
        <w:t xml:space="preserve">" </w:t>
      </w:r>
      <w:r w:rsidRPr="007C3B90" w:rsidDel="009B15A0">
        <w:rPr>
          <w:rFonts w:ascii="Century" w:hAnsi="Century" w:cs="Miriam" w:hint="eastAsia"/>
          <w:b/>
          <w:spacing w:val="0"/>
          <w:szCs w:val="24"/>
          <w:rtl/>
        </w:rPr>
        <w:t>עיוני</w:t>
      </w:r>
      <w:r w:rsidRPr="007C3B90" w:rsidDel="009B15A0">
        <w:rPr>
          <w:rFonts w:ascii="Century" w:hAnsi="Century" w:cs="Miriam"/>
          <w:b/>
          <w:spacing w:val="0"/>
          <w:szCs w:val="24"/>
          <w:rtl/>
        </w:rPr>
        <w:t xml:space="preserve"> </w:t>
      </w:r>
      <w:r w:rsidRPr="007C3B90" w:rsidDel="009B15A0">
        <w:rPr>
          <w:rFonts w:ascii="Century" w:hAnsi="Century" w:cs="Miriam" w:hint="eastAsia"/>
          <w:b/>
          <w:spacing w:val="0"/>
          <w:szCs w:val="24"/>
          <w:rtl/>
        </w:rPr>
        <w:t>משפט</w:t>
      </w:r>
      <w:r w:rsidRPr="007C3B90" w:rsidDel="009B15A0">
        <w:rPr>
          <w:rtl/>
        </w:rPr>
        <w:t xml:space="preserve"> </w:t>
      </w:r>
      <w:r w:rsidRPr="007C3B90" w:rsidDel="009B15A0">
        <w:rPr>
          <w:rFonts w:hint="eastAsia"/>
          <w:rtl/>
        </w:rPr>
        <w:t>יז</w:t>
      </w:r>
      <w:r w:rsidRPr="007C3B90">
        <w:rPr>
          <w:rtl/>
        </w:rPr>
        <w:t>(3) 659</w:t>
      </w:r>
      <w:r w:rsidRPr="007C3B90" w:rsidDel="009B15A0">
        <w:rPr>
          <w:rtl/>
        </w:rPr>
        <w:t xml:space="preserve"> (</w:t>
      </w:r>
      <w:r w:rsidRPr="007C3B90" w:rsidDel="009B15A0">
        <w:rPr>
          <w:rFonts w:hint="eastAsia"/>
          <w:rtl/>
        </w:rPr>
        <w:t>התשנ</w:t>
      </w:r>
      <w:r w:rsidRPr="007C3B90" w:rsidDel="009B15A0">
        <w:rPr>
          <w:rtl/>
        </w:rPr>
        <w:t>"ג)</w:t>
      </w:r>
      <w:r w:rsidRPr="007C3B90">
        <w:rPr>
          <w:rFonts w:hint="cs"/>
          <w:rtl/>
        </w:rPr>
        <w:t xml:space="preserve">). </w:t>
      </w:r>
      <w:r w:rsidRPr="007C3B90">
        <w:rPr>
          <w:rtl/>
        </w:rPr>
        <w:br/>
      </w:r>
    </w:p>
    <w:p w:rsidR="00BB56BB" w:rsidRPr="007C3B90" w:rsidRDefault="00BB56BB" w:rsidP="00BB56BB">
      <w:pPr>
        <w:pStyle w:val="Ruller4"/>
        <w:rPr>
          <w:rtl/>
        </w:rPr>
      </w:pPr>
      <w:r w:rsidRPr="007C3B90">
        <w:rPr>
          <w:rFonts w:hint="cs"/>
          <w:rtl/>
        </w:rPr>
        <w:t xml:space="preserve">מכל מקום, המתח העשוי להתקיים בין כיבוד הרשות המכוננת כמייצגת את ריבונות העם לבין שמירה על ערכי היסוד של מדינת ישראל, מחייב לבחון חקיקה הנחשדת כבלתי דמוקרטית בחרדת קודש, על מנת שלא נימצא פוגעים בערכי היסוד של השיטה הדמוקרטית בעת שאנו באים להגן עליהם. אם סמכות בית המשפט לפסול חוק של הכנסת תוארה כ"נשק בלתי קונבנציונאלי" </w:t>
      </w:r>
      <w:r w:rsidRPr="007C3B90">
        <w:rPr>
          <w:rtl/>
        </w:rPr>
        <w:t>–</w:t>
      </w:r>
      <w:r w:rsidRPr="007C3B90">
        <w:rPr>
          <w:rFonts w:hint="cs"/>
          <w:rtl/>
        </w:rPr>
        <w:t xml:space="preserve"> פסילת חוק</w:t>
      </w:r>
      <w:r>
        <w:rPr>
          <w:rFonts w:hint="cs"/>
          <w:rtl/>
        </w:rPr>
        <w:t xml:space="preserve"> </w:t>
      </w:r>
      <w:r w:rsidRPr="007C3B90">
        <w:rPr>
          <w:rFonts w:hint="cs"/>
          <w:rtl/>
        </w:rPr>
        <w:t xml:space="preserve">יסוד על אחת כמה וכמה. השאלה שעלינו להציב לפנינו, בענייננו אנו, היא </w:t>
      </w:r>
      <w:r w:rsidRPr="007C3B90">
        <w:rPr>
          <w:rtl/>
        </w:rPr>
        <w:t>–</w:t>
      </w:r>
      <w:r w:rsidRPr="007C3B90">
        <w:rPr>
          <w:rFonts w:hint="cs"/>
          <w:rtl/>
        </w:rPr>
        <w:t xml:space="preserve"> האם מדובר בחקיקת יסוד הפוגעת באופן כה חמור באופייה הדמוקרטי של המדינה, עד שדגל שחור לזהות המדינה מתנוסס מעליה, ולאחריה נתקשה עוד לראות במדינת ישראל מדינה דמוקרטית. </w:t>
      </w:r>
    </w:p>
    <w:p w:rsidR="00BB56BB" w:rsidRPr="007C3B90" w:rsidRDefault="00BB56BB" w:rsidP="00BB56BB">
      <w:pPr>
        <w:pStyle w:val="Ruller4"/>
        <w:numPr>
          <w:ilvl w:val="0"/>
          <w:numId w:val="0"/>
        </w:numPr>
        <w:rPr>
          <w:rtl/>
        </w:rPr>
      </w:pPr>
    </w:p>
    <w:p w:rsidR="00BB56BB" w:rsidRPr="007C3B90" w:rsidRDefault="00BB56BB" w:rsidP="00BB56BB">
      <w:pPr>
        <w:pStyle w:val="Ruller4"/>
        <w:numPr>
          <w:ilvl w:val="0"/>
          <w:numId w:val="0"/>
        </w:numPr>
        <w:rPr>
          <w:rtl/>
        </w:rPr>
      </w:pPr>
      <w:r w:rsidRPr="007C3B90">
        <w:rPr>
          <w:rtl/>
        </w:rPr>
        <w:tab/>
      </w:r>
      <w:r w:rsidRPr="007C3B90">
        <w:rPr>
          <w:rFonts w:hint="cs"/>
          <w:rtl/>
        </w:rPr>
        <w:t>כפי שאפרט להלן, אף שהתיקון מעלה קשיים, עמדתי היא כי ניתן למתן קשיים אלה בדרך של פרשנות מצמצמת, ומכל מקום, התיקון, בפרשנותו זו, אינו פוגע אנושות באופייה הדמוקרטי של מדינת ישראל באופן המצדיק את פסילתו, אף לא בקירוב.</w:t>
      </w:r>
    </w:p>
    <w:p w:rsidR="00BB56BB" w:rsidRPr="007C3B90" w:rsidRDefault="00BB56BB" w:rsidP="00BB56BB">
      <w:pPr>
        <w:pStyle w:val="Ruller4"/>
        <w:numPr>
          <w:ilvl w:val="0"/>
          <w:numId w:val="0"/>
        </w:numPr>
        <w:rPr>
          <w:rtl/>
        </w:rPr>
      </w:pPr>
    </w:p>
    <w:p w:rsidR="00BB56BB" w:rsidRPr="007C3B90" w:rsidRDefault="00BB56BB" w:rsidP="00BB56BB">
      <w:pPr>
        <w:pStyle w:val="Ruller4"/>
        <w:numPr>
          <w:ilvl w:val="0"/>
          <w:numId w:val="0"/>
        </w:numPr>
        <w:rPr>
          <w:rtl/>
        </w:rPr>
      </w:pPr>
      <w:r w:rsidRPr="007C3B90">
        <w:rPr>
          <w:rFonts w:ascii="Century" w:hAnsi="Century" w:cs="Miriam" w:hint="cs"/>
          <w:b/>
          <w:spacing w:val="0"/>
          <w:szCs w:val="24"/>
          <w:rtl/>
        </w:rPr>
        <w:t>עילת הסבירות</w:t>
      </w:r>
      <w:r w:rsidRPr="007C3B90">
        <w:rPr>
          <w:rFonts w:ascii="Century" w:hAnsi="Century" w:cs="Miriam"/>
          <w:b/>
          <w:spacing w:val="0"/>
          <w:szCs w:val="24"/>
          <w:rtl/>
        </w:rPr>
        <w:br/>
      </w:r>
    </w:p>
    <w:p w:rsidR="00BB56BB" w:rsidRPr="007C3B90" w:rsidRDefault="00BB56BB" w:rsidP="00BB56BB">
      <w:pPr>
        <w:pStyle w:val="Ruller4"/>
      </w:pPr>
      <w:r w:rsidRPr="007C3B90">
        <w:rPr>
          <w:rFonts w:hint="cs"/>
          <w:rtl/>
        </w:rPr>
        <w:t xml:space="preserve">בפתח הדיון בעילת הסבירות יש לומר את המובן מאליו </w:t>
      </w:r>
      <w:r w:rsidRPr="007C3B90">
        <w:rPr>
          <w:rtl/>
        </w:rPr>
        <w:t>–</w:t>
      </w:r>
      <w:r w:rsidRPr="007C3B90">
        <w:rPr>
          <w:rFonts w:hint="cs"/>
          <w:rtl/>
        </w:rPr>
        <w:t xml:space="preserve"> על רשות שלטונית לפעול בסבירות. רשות שלטונית פועלת כנאמן הציבור, וככזו היא אמורה להפעיל את סמכותה בתום לב, על יסוד שיקולים ענייניים, בשוויון, בסבירות ובמידתיות (ראו: דפנה ברק-ארז </w:t>
      </w:r>
      <w:r w:rsidRPr="007C3B90">
        <w:rPr>
          <w:rFonts w:ascii="Century" w:hAnsi="Century" w:cs="Miriam" w:hint="cs"/>
          <w:b/>
          <w:spacing w:val="0"/>
          <w:szCs w:val="24"/>
          <w:rtl/>
        </w:rPr>
        <w:t>משפט מינהלי</w:t>
      </w:r>
      <w:r w:rsidRPr="007C3B90">
        <w:rPr>
          <w:rFonts w:hint="cs"/>
          <w:rtl/>
        </w:rPr>
        <w:t xml:space="preserve"> כרך ב 619 (2010) (להלן: </w:t>
      </w:r>
      <w:r w:rsidRPr="007C3B90">
        <w:rPr>
          <w:rFonts w:ascii="Century" w:hAnsi="Century" w:cs="Miriam" w:hint="cs"/>
          <w:b/>
          <w:spacing w:val="0"/>
          <w:szCs w:val="24"/>
          <w:rtl/>
        </w:rPr>
        <w:t>ברק-ארז</w:t>
      </w:r>
      <w:r w:rsidRPr="007C3B90">
        <w:rPr>
          <w:rFonts w:hint="cs"/>
          <w:rtl/>
        </w:rPr>
        <w:t xml:space="preserve">)). כלל זה, העוסק באופן הפעלתו של שיקול הדעת השלטוני, אינו שנוי במחלוקת. התפיסה העומדת בבסיסו, כפי שגובשה במשפט האנגלי, היא כי </w:t>
      </w:r>
      <w:r w:rsidRPr="007C3B90">
        <w:rPr>
          <w:rFonts w:ascii="Century" w:hAnsi="Century" w:cs="Miriam"/>
          <w:b/>
          <w:spacing w:val="0"/>
          <w:szCs w:val="24"/>
          <w:rtl/>
        </w:rPr>
        <w:t>"שיקול הדעת שהחוק מקנה לרשות המינהלית לא נועד להסמיך את הרשות לקבל החלטה שהיא באופן ברור ובולט בלתי סבירה"</w:t>
      </w:r>
      <w:r w:rsidRPr="007C3B90">
        <w:rPr>
          <w:rFonts w:hint="cs"/>
          <w:rtl/>
        </w:rPr>
        <w:t xml:space="preserve"> (יצחק זמיר</w:t>
      </w:r>
      <w:r w:rsidRPr="007C3B90">
        <w:rPr>
          <w:rtl/>
        </w:rPr>
        <w:t xml:space="preserve"> </w:t>
      </w:r>
      <w:r w:rsidRPr="007C3B90">
        <w:rPr>
          <w:rFonts w:ascii="Century" w:hAnsi="Century" w:cs="Miriam" w:hint="eastAsia"/>
          <w:b/>
          <w:spacing w:val="0"/>
          <w:sz w:val="22"/>
          <w:szCs w:val="24"/>
          <w:rtl/>
        </w:rPr>
        <w:t>הסמכות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המינהלית</w:t>
      </w:r>
      <w:r w:rsidRPr="007C3B90">
        <w:rPr>
          <w:rFonts w:ascii="Century" w:hAnsi="Century" w:cs="Miriam"/>
          <w:b/>
          <w:spacing w:val="0"/>
          <w:sz w:val="22"/>
          <w:szCs w:val="24"/>
          <w:rtl/>
        </w:rPr>
        <w:t xml:space="preserve"> </w:t>
      </w:r>
      <w:r w:rsidRPr="007C3B90">
        <w:rPr>
          <w:rFonts w:ascii="Century" w:hAnsi="Century" w:hint="eastAsia"/>
          <w:sz w:val="22"/>
          <w:rtl/>
        </w:rPr>
        <w:t>כרך</w:t>
      </w:r>
      <w:r w:rsidRPr="007C3B90">
        <w:rPr>
          <w:rFonts w:ascii="Century" w:hAnsi="Century"/>
          <w:sz w:val="22"/>
          <w:rtl/>
        </w:rPr>
        <w:t xml:space="preserve"> </w:t>
      </w:r>
      <w:r w:rsidRPr="007C3B90">
        <w:rPr>
          <w:rFonts w:ascii="Century" w:hAnsi="Century" w:hint="eastAsia"/>
          <w:sz w:val="22"/>
          <w:rtl/>
        </w:rPr>
        <w:t>ה</w:t>
      </w:r>
      <w:r w:rsidRPr="007C3B90">
        <w:rPr>
          <w:rFonts w:hint="cs"/>
          <w:rtl/>
        </w:rPr>
        <w:t xml:space="preserve"> </w:t>
      </w:r>
      <w:r w:rsidRPr="007C3B90">
        <w:rPr>
          <w:rtl/>
        </w:rPr>
        <w:t>3849 (2020)</w:t>
      </w:r>
      <w:r w:rsidRPr="007C3B90">
        <w:rPr>
          <w:rFonts w:hint="cs"/>
          <w:rtl/>
        </w:rPr>
        <w:t xml:space="preserve"> (להלן: </w:t>
      </w:r>
      <w:r w:rsidRPr="007C3B90">
        <w:rPr>
          <w:rFonts w:ascii="Century" w:hAnsi="Century" w:cs="Miriam" w:hint="eastAsia"/>
          <w:b/>
          <w:spacing w:val="0"/>
          <w:sz w:val="22"/>
          <w:szCs w:val="24"/>
          <w:rtl/>
        </w:rPr>
        <w:t>זמיר</w:t>
      </w:r>
      <w:r w:rsidRPr="007C3B90">
        <w:rPr>
          <w:rFonts w:hint="cs"/>
          <w:rtl/>
        </w:rPr>
        <w:t xml:space="preserve">)). ואולם הדיון שבענייננו אינו עוסק </w:t>
      </w:r>
      <w:r w:rsidRPr="007C3B90">
        <w:rPr>
          <w:rFonts w:ascii="Century" w:hAnsi="Century" w:cs="Miriam" w:hint="eastAsia"/>
          <w:b/>
          <w:spacing w:val="0"/>
          <w:sz w:val="22"/>
          <w:szCs w:val="24"/>
          <w:rtl/>
        </w:rPr>
        <w:t>בחובת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הסבירות</w:t>
      </w:r>
      <w:r w:rsidRPr="007C3B90">
        <w:rPr>
          <w:rFonts w:ascii="Century" w:hAnsi="Century"/>
          <w:sz w:val="22"/>
          <w:rtl/>
        </w:rPr>
        <w:t xml:space="preserve">, </w:t>
      </w:r>
      <w:r w:rsidRPr="007C3B90">
        <w:rPr>
          <w:rFonts w:hint="cs"/>
          <w:rtl/>
        </w:rPr>
        <w:t xml:space="preserve">שעליה אין חולק, אלא </w:t>
      </w:r>
      <w:r w:rsidRPr="007C3B90">
        <w:rPr>
          <w:rFonts w:ascii="Century" w:hAnsi="Century" w:cs="Miriam" w:hint="cs"/>
          <w:b/>
          <w:spacing w:val="0"/>
          <w:szCs w:val="24"/>
          <w:rtl/>
        </w:rPr>
        <w:t>בעילת הסבירות</w:t>
      </w:r>
      <w:r w:rsidRPr="007C3B90">
        <w:rPr>
          <w:rFonts w:hint="cs"/>
          <w:rtl/>
        </w:rPr>
        <w:t xml:space="preserve">, שעניינה בהיקף הביקורת השיפוטית על סבירות הפעלתו של שיקול הדעת המינהלי על-ידי הרשות. </w:t>
      </w:r>
      <w:r w:rsidRPr="007C3B90">
        <w:rPr>
          <w:rtl/>
        </w:rPr>
        <w:br/>
      </w:r>
    </w:p>
    <w:p w:rsidR="00BB56BB" w:rsidRPr="007C3B90" w:rsidRDefault="00BB56BB" w:rsidP="00BB56BB">
      <w:pPr>
        <w:pStyle w:val="Ruller4"/>
        <w:rPr>
          <w:rtl/>
        </w:rPr>
      </w:pPr>
      <w:r w:rsidRPr="007C3B90">
        <w:rPr>
          <w:rFonts w:hint="cs"/>
          <w:rtl/>
        </w:rPr>
        <w:lastRenderedPageBreak/>
        <w:t xml:space="preserve">כפי שציינו חבריי, עילת הסבירות כעילה לביקורת שיפוטית על החלטות מינהליות קיימת עמנו עוד מראשית שנות ה-50 של המאה הקודמת. עם זאת, בחלוף השנים חלה תמורה באופייה ובדמותה, כאשר מקובל להעביר בהקשר זה את קו פרשת המים בפסק הדין בעניין </w:t>
      </w:r>
      <w:r w:rsidRPr="007C3B90">
        <w:rPr>
          <w:rFonts w:ascii="Century" w:hAnsi="Century" w:cs="Miriam" w:hint="cs"/>
          <w:b/>
          <w:spacing w:val="0"/>
          <w:szCs w:val="24"/>
          <w:rtl/>
        </w:rPr>
        <w:t>דפי זהב</w:t>
      </w:r>
      <w:r w:rsidRPr="007C3B90">
        <w:rPr>
          <w:rFonts w:hint="cs"/>
          <w:rtl/>
        </w:rPr>
        <w:t>, שניתן בשנת 1980 (</w:t>
      </w:r>
      <w:r w:rsidRPr="007C3B90">
        <w:rPr>
          <w:rFonts w:hint="eastAsia"/>
          <w:rtl/>
        </w:rPr>
        <w:t>בג</w:t>
      </w:r>
      <w:r w:rsidRPr="007C3B90">
        <w:rPr>
          <w:rtl/>
        </w:rPr>
        <w:t>"</w:t>
      </w:r>
      <w:r w:rsidRPr="007C3B90">
        <w:rPr>
          <w:rFonts w:hint="eastAsia"/>
          <w:rtl/>
        </w:rPr>
        <w:t>ץ</w:t>
      </w:r>
      <w:r w:rsidRPr="007C3B90">
        <w:rPr>
          <w:rtl/>
        </w:rPr>
        <w:t xml:space="preserve"> 389/80 </w:t>
      </w:r>
      <w:r w:rsidRPr="007C3B90">
        <w:rPr>
          <w:rFonts w:ascii="Century" w:hAnsi="Century" w:cs="Miriam" w:hint="eastAsia"/>
          <w:b/>
          <w:spacing w:val="0"/>
          <w:szCs w:val="24"/>
          <w:rtl/>
        </w:rPr>
        <w:t>דפי</w:t>
      </w:r>
      <w:r w:rsidRPr="007C3B90">
        <w:rPr>
          <w:rFonts w:ascii="Century" w:hAnsi="Century" w:cs="Miriam"/>
          <w:b/>
          <w:spacing w:val="0"/>
          <w:szCs w:val="24"/>
          <w:rtl/>
        </w:rPr>
        <w:t xml:space="preserve"> </w:t>
      </w:r>
      <w:r w:rsidRPr="007C3B90">
        <w:rPr>
          <w:rFonts w:ascii="Century" w:hAnsi="Century" w:cs="Miriam" w:hint="eastAsia"/>
          <w:b/>
          <w:spacing w:val="0"/>
          <w:szCs w:val="24"/>
          <w:rtl/>
        </w:rPr>
        <w:t>זהב</w:t>
      </w:r>
      <w:r w:rsidRPr="007C3B90">
        <w:rPr>
          <w:rFonts w:ascii="Century" w:hAnsi="Century" w:cs="Miriam" w:hint="cs"/>
          <w:b/>
          <w:spacing w:val="0"/>
          <w:szCs w:val="24"/>
          <w:rtl/>
        </w:rPr>
        <w:t xml:space="preserve"> בע"מ</w:t>
      </w:r>
      <w:r w:rsidRPr="007C3B90">
        <w:rPr>
          <w:rFonts w:ascii="Century" w:hAnsi="Century" w:cs="Miriam"/>
          <w:b/>
          <w:spacing w:val="0"/>
          <w:szCs w:val="24"/>
          <w:rtl/>
        </w:rPr>
        <w:t xml:space="preserve"> </w:t>
      </w:r>
      <w:r w:rsidRPr="007C3B90">
        <w:rPr>
          <w:rFonts w:ascii="Century" w:hAnsi="Century" w:cs="Miriam" w:hint="eastAsia"/>
          <w:b/>
          <w:spacing w:val="0"/>
          <w:szCs w:val="24"/>
          <w:rtl/>
        </w:rPr>
        <w:t>נ</w:t>
      </w:r>
      <w:r w:rsidRPr="007C3B90">
        <w:rPr>
          <w:rFonts w:ascii="Century" w:hAnsi="Century" w:cs="Miriam"/>
          <w:b/>
          <w:spacing w:val="0"/>
          <w:szCs w:val="24"/>
          <w:rtl/>
        </w:rPr>
        <w:t xml:space="preserve">' </w:t>
      </w:r>
      <w:r w:rsidRPr="007C3B90">
        <w:rPr>
          <w:rFonts w:ascii="Century" w:hAnsi="Century" w:cs="Miriam" w:hint="eastAsia"/>
          <w:b/>
          <w:spacing w:val="0"/>
          <w:szCs w:val="24"/>
          <w:rtl/>
        </w:rPr>
        <w:t>רשות</w:t>
      </w:r>
      <w:r w:rsidRPr="007C3B90">
        <w:rPr>
          <w:rFonts w:ascii="Century" w:hAnsi="Century" w:cs="Miriam"/>
          <w:b/>
          <w:spacing w:val="0"/>
          <w:szCs w:val="24"/>
          <w:rtl/>
        </w:rPr>
        <w:t xml:space="preserve"> </w:t>
      </w:r>
      <w:r w:rsidRPr="007C3B90">
        <w:rPr>
          <w:rFonts w:ascii="Century" w:hAnsi="Century" w:cs="Miriam" w:hint="eastAsia"/>
          <w:b/>
          <w:spacing w:val="0"/>
          <w:szCs w:val="24"/>
          <w:rtl/>
        </w:rPr>
        <w:t>השידור</w:t>
      </w:r>
      <w:r w:rsidRPr="007C3B90">
        <w:rPr>
          <w:rFonts w:hint="cs"/>
          <w:rtl/>
        </w:rPr>
        <w:t>, פ"ד לה(1) 421</w:t>
      </w:r>
      <w:r w:rsidRPr="007C3B90">
        <w:rPr>
          <w:rtl/>
        </w:rPr>
        <w:t xml:space="preserve"> (1980)</w:t>
      </w:r>
      <w:r w:rsidRPr="007C3B90">
        <w:rPr>
          <w:rFonts w:hint="cs"/>
          <w:rtl/>
        </w:rPr>
        <w:t xml:space="preserve"> (להלן: עניין </w:t>
      </w:r>
      <w:r w:rsidRPr="007C3B90">
        <w:rPr>
          <w:rFonts w:ascii="Century" w:hAnsi="Century" w:cs="Miriam" w:hint="cs"/>
          <w:b/>
          <w:spacing w:val="0"/>
          <w:szCs w:val="24"/>
          <w:rtl/>
        </w:rPr>
        <w:t>דפי זהב</w:t>
      </w:r>
      <w:r w:rsidRPr="007C3B90">
        <w:rPr>
          <w:rFonts w:hint="cs"/>
          <w:rtl/>
        </w:rPr>
        <w:t xml:space="preserve">)). בתמצית יוזכר, כי בתקופה שקדמה לפסק הדין בעניין </w:t>
      </w:r>
      <w:r w:rsidRPr="007C3B90">
        <w:rPr>
          <w:rFonts w:ascii="Century" w:hAnsi="Century" w:cs="Miriam" w:hint="cs"/>
          <w:b/>
          <w:spacing w:val="0"/>
          <w:szCs w:val="24"/>
          <w:rtl/>
        </w:rPr>
        <w:t>דפי זהב</w:t>
      </w:r>
      <w:r w:rsidRPr="007C3B90">
        <w:rPr>
          <w:rFonts w:hint="cs"/>
          <w:rtl/>
        </w:rPr>
        <w:t xml:space="preserve">, השימוש בעילת הסבירות </w:t>
      </w:r>
      <w:r w:rsidRPr="007C3B90">
        <w:rPr>
          <w:rtl/>
        </w:rPr>
        <w:t>–</w:t>
      </w:r>
      <w:r w:rsidRPr="007C3B90">
        <w:rPr>
          <w:rFonts w:hint="cs"/>
          <w:rtl/>
        </w:rPr>
        <w:t xml:space="preserve"> לעיתים לא בשמה המפורש </w:t>
      </w:r>
      <w:r w:rsidRPr="007C3B90">
        <w:rPr>
          <w:rtl/>
        </w:rPr>
        <w:t>–</w:t>
      </w:r>
      <w:r w:rsidRPr="007C3B90">
        <w:rPr>
          <w:rFonts w:hint="cs"/>
          <w:rtl/>
        </w:rPr>
        <w:t xml:space="preserve"> התייחס לפסילת החלטה מינהלית (לרוב חקיקת-עזר וחקיקת משנה) שהיא "בלתי הגיונית", "בלתי מתקבלת על הדעת", "אבסורדית", "מופרכת מעיקרה", מביאה ל"עוול ואי-צדק בולט", ועוד תיאורים מעין אלה (ראו למשל: </w:t>
      </w:r>
      <w:r w:rsidRPr="007C3B90">
        <w:rPr>
          <w:rFonts w:hint="eastAsia"/>
          <w:rtl/>
        </w:rPr>
        <w:t>בג</w:t>
      </w:r>
      <w:r w:rsidRPr="007C3B90">
        <w:rPr>
          <w:rtl/>
        </w:rPr>
        <w:t>"</w:t>
      </w:r>
      <w:r w:rsidRPr="007C3B90">
        <w:rPr>
          <w:rFonts w:hint="eastAsia"/>
          <w:rtl/>
        </w:rPr>
        <w:t>ץ</w:t>
      </w:r>
      <w:r w:rsidRPr="007C3B90">
        <w:rPr>
          <w:rtl/>
        </w:rPr>
        <w:t xml:space="preserve"> 21/51 </w:t>
      </w:r>
      <w:r w:rsidRPr="007C3B90">
        <w:rPr>
          <w:rFonts w:ascii="Century" w:hAnsi="Century" w:cs="Miriam" w:hint="eastAsia"/>
          <w:b/>
          <w:spacing w:val="0"/>
          <w:szCs w:val="24"/>
          <w:rtl/>
        </w:rPr>
        <w:t>ביננבוים</w:t>
      </w:r>
      <w:r w:rsidRPr="007C3B90">
        <w:rPr>
          <w:rFonts w:ascii="Century" w:hAnsi="Century" w:cs="Miriam"/>
          <w:b/>
          <w:spacing w:val="0"/>
          <w:szCs w:val="24"/>
          <w:rtl/>
        </w:rPr>
        <w:t xml:space="preserve"> </w:t>
      </w:r>
      <w:r w:rsidRPr="007C3B90">
        <w:rPr>
          <w:rFonts w:ascii="Century" w:hAnsi="Century" w:cs="Miriam" w:hint="eastAsia"/>
          <w:b/>
          <w:spacing w:val="0"/>
          <w:szCs w:val="24"/>
          <w:rtl/>
        </w:rPr>
        <w:t>נ</w:t>
      </w:r>
      <w:r w:rsidRPr="007C3B90">
        <w:rPr>
          <w:rFonts w:ascii="Century" w:hAnsi="Century" w:cs="Miriam"/>
          <w:b/>
          <w:spacing w:val="0"/>
          <w:szCs w:val="24"/>
          <w:rtl/>
        </w:rPr>
        <w:t xml:space="preserve">' </w:t>
      </w:r>
      <w:r w:rsidRPr="007C3B90">
        <w:rPr>
          <w:rFonts w:ascii="Century" w:hAnsi="Century" w:cs="Miriam" w:hint="eastAsia"/>
          <w:b/>
          <w:spacing w:val="0"/>
          <w:szCs w:val="24"/>
          <w:rtl/>
        </w:rPr>
        <w:t>עיריית</w:t>
      </w:r>
      <w:r w:rsidRPr="007C3B90">
        <w:rPr>
          <w:rFonts w:ascii="Century" w:hAnsi="Century" w:cs="Miriam"/>
          <w:b/>
          <w:spacing w:val="0"/>
          <w:szCs w:val="24"/>
          <w:rtl/>
        </w:rPr>
        <w:t xml:space="preserve"> </w:t>
      </w:r>
      <w:r w:rsidRPr="007C3B90">
        <w:rPr>
          <w:rFonts w:ascii="Century" w:hAnsi="Century" w:cs="Miriam" w:hint="eastAsia"/>
          <w:b/>
          <w:spacing w:val="0"/>
          <w:szCs w:val="24"/>
          <w:rtl/>
        </w:rPr>
        <w:t>תל</w:t>
      </w:r>
      <w:r w:rsidRPr="007C3B90">
        <w:rPr>
          <w:rFonts w:ascii="Century" w:hAnsi="Century" w:cs="Miriam"/>
          <w:b/>
          <w:spacing w:val="0"/>
          <w:szCs w:val="24"/>
          <w:rtl/>
        </w:rPr>
        <w:t xml:space="preserve"> </w:t>
      </w:r>
      <w:r w:rsidRPr="007C3B90">
        <w:rPr>
          <w:rFonts w:ascii="Century" w:hAnsi="Century" w:cs="Miriam" w:hint="eastAsia"/>
          <w:b/>
          <w:spacing w:val="0"/>
          <w:szCs w:val="24"/>
          <w:rtl/>
        </w:rPr>
        <w:t>אביב</w:t>
      </w:r>
      <w:r w:rsidRPr="007C3B90">
        <w:rPr>
          <w:rFonts w:hint="cs"/>
          <w:rtl/>
        </w:rPr>
        <w:t xml:space="preserve">, פ"ד ו 375, 386 </w:t>
      </w:r>
      <w:r w:rsidRPr="007C3B90">
        <w:rPr>
          <w:rtl/>
        </w:rPr>
        <w:t>(1952)</w:t>
      </w:r>
      <w:r w:rsidRPr="007C3B90">
        <w:rPr>
          <w:rFonts w:hint="cs"/>
          <w:rtl/>
        </w:rPr>
        <w:t xml:space="preserve">; </w:t>
      </w:r>
      <w:r w:rsidRPr="007C3B90">
        <w:rPr>
          <w:rFonts w:hint="eastAsia"/>
          <w:rtl/>
        </w:rPr>
        <w:t>בג</w:t>
      </w:r>
      <w:r w:rsidRPr="007C3B90">
        <w:rPr>
          <w:rtl/>
        </w:rPr>
        <w:t>"</w:t>
      </w:r>
      <w:r w:rsidRPr="007C3B90">
        <w:rPr>
          <w:rFonts w:hint="eastAsia"/>
          <w:rtl/>
        </w:rPr>
        <w:t>ץ</w:t>
      </w:r>
      <w:r w:rsidRPr="007C3B90">
        <w:rPr>
          <w:rtl/>
        </w:rPr>
        <w:t xml:space="preserve"> 321/60 </w:t>
      </w:r>
      <w:r w:rsidRPr="007C3B90">
        <w:rPr>
          <w:rFonts w:ascii="Century" w:hAnsi="Century" w:cs="Miriam" w:hint="eastAsia"/>
          <w:b/>
          <w:spacing w:val="0"/>
          <w:szCs w:val="24"/>
          <w:rtl/>
        </w:rPr>
        <w:t>לחם</w:t>
      </w:r>
      <w:r w:rsidRPr="007C3B90">
        <w:rPr>
          <w:rFonts w:ascii="Century" w:hAnsi="Century" w:cs="Miriam"/>
          <w:b/>
          <w:spacing w:val="0"/>
          <w:szCs w:val="24"/>
          <w:rtl/>
        </w:rPr>
        <w:t xml:space="preserve"> </w:t>
      </w:r>
      <w:r w:rsidRPr="007C3B90">
        <w:rPr>
          <w:rFonts w:ascii="Century" w:hAnsi="Century" w:cs="Miriam" w:hint="eastAsia"/>
          <w:b/>
          <w:spacing w:val="0"/>
          <w:szCs w:val="24"/>
          <w:rtl/>
        </w:rPr>
        <w:t>חי</w:t>
      </w:r>
      <w:r w:rsidRPr="007C3B90">
        <w:rPr>
          <w:rFonts w:ascii="Century" w:hAnsi="Century" w:cs="Miriam" w:hint="cs"/>
          <w:b/>
          <w:spacing w:val="0"/>
          <w:szCs w:val="24"/>
          <w:rtl/>
        </w:rPr>
        <w:t xml:space="preserve"> בע"מ</w:t>
      </w:r>
      <w:r w:rsidRPr="007C3B90">
        <w:rPr>
          <w:rFonts w:ascii="Century" w:hAnsi="Century" w:cs="Miriam"/>
          <w:b/>
          <w:spacing w:val="0"/>
          <w:szCs w:val="24"/>
          <w:rtl/>
        </w:rPr>
        <w:t xml:space="preserve"> </w:t>
      </w:r>
      <w:r w:rsidRPr="007C3B90">
        <w:rPr>
          <w:rFonts w:ascii="Century" w:hAnsi="Century" w:cs="Miriam" w:hint="eastAsia"/>
          <w:b/>
          <w:spacing w:val="0"/>
          <w:szCs w:val="24"/>
          <w:rtl/>
        </w:rPr>
        <w:t>נ</w:t>
      </w:r>
      <w:r w:rsidRPr="007C3B90">
        <w:rPr>
          <w:rFonts w:ascii="Century" w:hAnsi="Century" w:cs="Miriam"/>
          <w:b/>
          <w:spacing w:val="0"/>
          <w:szCs w:val="24"/>
          <w:rtl/>
        </w:rPr>
        <w:t xml:space="preserve">' </w:t>
      </w:r>
      <w:r w:rsidRPr="007C3B90">
        <w:rPr>
          <w:rFonts w:ascii="Century" w:hAnsi="Century" w:cs="Miriam" w:hint="eastAsia"/>
          <w:b/>
          <w:spacing w:val="0"/>
          <w:szCs w:val="24"/>
          <w:rtl/>
        </w:rPr>
        <w:t>שר</w:t>
      </w:r>
      <w:r w:rsidRPr="007C3B90">
        <w:rPr>
          <w:rFonts w:ascii="Century" w:hAnsi="Century" w:cs="Miriam"/>
          <w:b/>
          <w:spacing w:val="0"/>
          <w:szCs w:val="24"/>
          <w:rtl/>
        </w:rPr>
        <w:t xml:space="preserve"> </w:t>
      </w:r>
      <w:r w:rsidRPr="007C3B90">
        <w:rPr>
          <w:rFonts w:ascii="Century" w:hAnsi="Century" w:cs="Miriam" w:hint="eastAsia"/>
          <w:b/>
          <w:spacing w:val="0"/>
          <w:szCs w:val="24"/>
          <w:rtl/>
        </w:rPr>
        <w:t>המסחר</w:t>
      </w:r>
      <w:r w:rsidRPr="007C3B90">
        <w:rPr>
          <w:rFonts w:ascii="Century" w:hAnsi="Century" w:cs="Miriam"/>
          <w:b/>
          <w:spacing w:val="0"/>
          <w:szCs w:val="24"/>
          <w:rtl/>
        </w:rPr>
        <w:t xml:space="preserve"> </w:t>
      </w:r>
      <w:r w:rsidRPr="007C3B90">
        <w:rPr>
          <w:rFonts w:ascii="Century" w:hAnsi="Century" w:cs="Miriam" w:hint="eastAsia"/>
          <w:b/>
          <w:spacing w:val="0"/>
          <w:szCs w:val="24"/>
          <w:rtl/>
        </w:rPr>
        <w:t>והתעשייה</w:t>
      </w:r>
      <w:r>
        <w:rPr>
          <w:rFonts w:hint="cs"/>
          <w:rtl/>
        </w:rPr>
        <w:t>,</w:t>
      </w:r>
      <w:r w:rsidRPr="007C3B90">
        <w:rPr>
          <w:rtl/>
        </w:rPr>
        <w:t xml:space="preserve"> </w:t>
      </w:r>
      <w:r w:rsidRPr="007C3B90">
        <w:rPr>
          <w:rFonts w:hint="cs"/>
          <w:rtl/>
        </w:rPr>
        <w:t xml:space="preserve">פ"ד טו 197, 209 </w:t>
      </w:r>
      <w:r w:rsidRPr="007C3B90">
        <w:rPr>
          <w:rtl/>
        </w:rPr>
        <w:t>(1961)</w:t>
      </w:r>
      <w:r w:rsidRPr="007C3B90">
        <w:rPr>
          <w:rFonts w:hint="cs"/>
          <w:rtl/>
        </w:rPr>
        <w:t xml:space="preserve"> (להלן: עניין </w:t>
      </w:r>
      <w:r w:rsidRPr="007C3B90">
        <w:rPr>
          <w:rFonts w:ascii="Century" w:hAnsi="Century" w:cs="Miriam" w:hint="cs"/>
          <w:b/>
          <w:spacing w:val="0"/>
          <w:szCs w:val="24"/>
          <w:rtl/>
        </w:rPr>
        <w:t>לחם חי</w:t>
      </w:r>
      <w:r w:rsidRPr="007C3B90">
        <w:rPr>
          <w:rFonts w:hint="cs"/>
          <w:rtl/>
        </w:rPr>
        <w:t xml:space="preserve">); </w:t>
      </w:r>
      <w:r w:rsidRPr="007C3B90">
        <w:rPr>
          <w:rFonts w:hint="eastAsia"/>
          <w:rtl/>
        </w:rPr>
        <w:t>ע</w:t>
      </w:r>
      <w:r w:rsidRPr="007C3B90">
        <w:rPr>
          <w:rtl/>
        </w:rPr>
        <w:t>"</w:t>
      </w:r>
      <w:r w:rsidRPr="007C3B90">
        <w:rPr>
          <w:rFonts w:hint="eastAsia"/>
          <w:rtl/>
        </w:rPr>
        <w:t>א</w:t>
      </w:r>
      <w:r w:rsidRPr="007C3B90">
        <w:rPr>
          <w:rtl/>
        </w:rPr>
        <w:t xml:space="preserve"> 311/57 </w:t>
      </w:r>
      <w:r w:rsidRPr="007C3B90">
        <w:rPr>
          <w:rFonts w:ascii="Century" w:hAnsi="Century" w:cs="Miriam" w:hint="eastAsia"/>
          <w:b/>
          <w:spacing w:val="0"/>
          <w:szCs w:val="24"/>
          <w:rtl/>
        </w:rPr>
        <w:t>היועץ</w:t>
      </w:r>
      <w:r w:rsidRPr="007C3B90">
        <w:rPr>
          <w:rFonts w:ascii="Century" w:hAnsi="Century" w:cs="Miriam"/>
          <w:b/>
          <w:spacing w:val="0"/>
          <w:szCs w:val="24"/>
          <w:rtl/>
        </w:rPr>
        <w:t xml:space="preserve"> </w:t>
      </w:r>
      <w:r w:rsidRPr="007C3B90">
        <w:rPr>
          <w:rFonts w:ascii="Century" w:hAnsi="Century" w:cs="Miriam" w:hint="eastAsia"/>
          <w:b/>
          <w:spacing w:val="0"/>
          <w:szCs w:val="24"/>
          <w:rtl/>
        </w:rPr>
        <w:t>המשפטי</w:t>
      </w:r>
      <w:r w:rsidRPr="007C3B90">
        <w:rPr>
          <w:rFonts w:ascii="Century" w:hAnsi="Century" w:cs="Miriam"/>
          <w:b/>
          <w:spacing w:val="0"/>
          <w:szCs w:val="24"/>
          <w:rtl/>
        </w:rPr>
        <w:t xml:space="preserve"> </w:t>
      </w:r>
      <w:r w:rsidRPr="007C3B90">
        <w:rPr>
          <w:rFonts w:ascii="Century" w:hAnsi="Century" w:cs="Miriam" w:hint="eastAsia"/>
          <w:b/>
          <w:spacing w:val="0"/>
          <w:szCs w:val="24"/>
          <w:rtl/>
        </w:rPr>
        <w:t>לממשלה</w:t>
      </w:r>
      <w:r w:rsidRPr="007C3B90">
        <w:rPr>
          <w:rFonts w:ascii="Century" w:hAnsi="Century" w:cs="Miriam"/>
          <w:b/>
          <w:spacing w:val="0"/>
          <w:szCs w:val="24"/>
          <w:rtl/>
        </w:rPr>
        <w:t xml:space="preserve"> </w:t>
      </w:r>
      <w:r w:rsidRPr="007C3B90">
        <w:rPr>
          <w:rFonts w:ascii="Century" w:hAnsi="Century" w:cs="Miriam" w:hint="cs"/>
          <w:b/>
          <w:spacing w:val="0"/>
          <w:szCs w:val="24"/>
          <w:rtl/>
        </w:rPr>
        <w:t>נ'</w:t>
      </w:r>
      <w:r w:rsidRPr="007C3B90">
        <w:rPr>
          <w:rFonts w:ascii="Century" w:hAnsi="Century" w:cs="Miriam"/>
          <w:b/>
          <w:spacing w:val="0"/>
          <w:szCs w:val="24"/>
          <w:rtl/>
        </w:rPr>
        <w:t xml:space="preserve"> </w:t>
      </w:r>
      <w:r w:rsidRPr="007C3B90">
        <w:rPr>
          <w:rFonts w:ascii="Century" w:hAnsi="Century" w:cs="Miriam" w:hint="eastAsia"/>
          <w:b/>
          <w:spacing w:val="0"/>
          <w:szCs w:val="24"/>
          <w:rtl/>
        </w:rPr>
        <w:t>דיזנגוף</w:t>
      </w:r>
      <w:r w:rsidRPr="007C3B90">
        <w:rPr>
          <w:rFonts w:ascii="Century" w:hAnsi="Century" w:cs="Miriam"/>
          <w:b/>
          <w:spacing w:val="0"/>
          <w:szCs w:val="24"/>
          <w:rtl/>
        </w:rPr>
        <w:t xml:space="preserve"> </w:t>
      </w:r>
      <w:r w:rsidRPr="007C3B90">
        <w:rPr>
          <w:rFonts w:ascii="Century" w:hAnsi="Century" w:cs="Miriam" w:hint="eastAsia"/>
          <w:b/>
          <w:spacing w:val="0"/>
          <w:szCs w:val="24"/>
          <w:rtl/>
        </w:rPr>
        <w:t>ושות</w:t>
      </w:r>
      <w:r w:rsidRPr="007C3B90">
        <w:rPr>
          <w:rFonts w:ascii="Century" w:hAnsi="Century" w:cs="Miriam"/>
          <w:b/>
          <w:spacing w:val="0"/>
          <w:szCs w:val="24"/>
          <w:rtl/>
        </w:rPr>
        <w:t>'</w:t>
      </w:r>
      <w:r w:rsidRPr="007C3B90">
        <w:rPr>
          <w:rFonts w:ascii="Century" w:hAnsi="Century" w:cs="Miriam" w:hint="cs"/>
          <w:b/>
          <w:spacing w:val="0"/>
          <w:szCs w:val="24"/>
          <w:rtl/>
        </w:rPr>
        <w:t xml:space="preserve"> (</w:t>
      </w:r>
      <w:r w:rsidRPr="007C3B90">
        <w:rPr>
          <w:rFonts w:ascii="Century" w:hAnsi="Century" w:cs="Miriam" w:hint="eastAsia"/>
          <w:b/>
          <w:spacing w:val="0"/>
          <w:szCs w:val="24"/>
          <w:rtl/>
        </w:rPr>
        <w:t>שיט</w:t>
      </w:r>
      <w:r w:rsidRPr="007C3B90">
        <w:rPr>
          <w:rFonts w:ascii="Century" w:hAnsi="Century" w:cs="Miriam" w:hint="cs"/>
          <w:b/>
          <w:spacing w:val="0"/>
          <w:szCs w:val="24"/>
          <w:rtl/>
        </w:rPr>
        <w:t>)</w:t>
      </w:r>
      <w:r w:rsidRPr="007C3B90">
        <w:rPr>
          <w:rFonts w:ascii="Century" w:hAnsi="Century" w:cs="Miriam"/>
          <w:b/>
          <w:spacing w:val="0"/>
          <w:szCs w:val="24"/>
          <w:rtl/>
        </w:rPr>
        <w:t xml:space="preserve"> </w:t>
      </w:r>
      <w:r w:rsidRPr="007C3B90">
        <w:rPr>
          <w:rFonts w:ascii="Century" w:hAnsi="Century" w:cs="Miriam" w:hint="eastAsia"/>
          <w:b/>
          <w:spacing w:val="0"/>
          <w:szCs w:val="24"/>
          <w:rtl/>
        </w:rPr>
        <w:t>בע</w:t>
      </w:r>
      <w:r w:rsidRPr="007C3B90">
        <w:rPr>
          <w:rFonts w:ascii="Century" w:hAnsi="Century" w:cs="Miriam"/>
          <w:b/>
          <w:spacing w:val="0"/>
          <w:szCs w:val="24"/>
          <w:rtl/>
        </w:rPr>
        <w:t>"</w:t>
      </w:r>
      <w:r w:rsidRPr="007C3B90">
        <w:rPr>
          <w:rFonts w:ascii="Century" w:hAnsi="Century" w:cs="Miriam" w:hint="eastAsia"/>
          <w:b/>
          <w:spacing w:val="0"/>
          <w:szCs w:val="24"/>
          <w:rtl/>
        </w:rPr>
        <w:t>מ</w:t>
      </w:r>
      <w:r w:rsidRPr="007C3B90">
        <w:rPr>
          <w:rFonts w:ascii="Century" w:hAnsi="Century" w:hint="cs"/>
          <w:rtl/>
        </w:rPr>
        <w:t>,</w:t>
      </w:r>
      <w:r w:rsidRPr="007C3B90">
        <w:rPr>
          <w:rFonts w:ascii="Century" w:hAnsi="Century" w:cs="Miriam"/>
          <w:b/>
          <w:spacing w:val="0"/>
          <w:szCs w:val="24"/>
          <w:rtl/>
        </w:rPr>
        <w:t xml:space="preserve"> </w:t>
      </w:r>
      <w:r w:rsidRPr="007C3B90">
        <w:rPr>
          <w:rFonts w:hint="cs"/>
          <w:rtl/>
        </w:rPr>
        <w:t xml:space="preserve">פ"ד יג 1026, 1040 </w:t>
      </w:r>
      <w:r w:rsidRPr="007C3B90">
        <w:rPr>
          <w:rtl/>
        </w:rPr>
        <w:t>(1959)</w:t>
      </w:r>
      <w:r w:rsidRPr="007C3B90">
        <w:rPr>
          <w:rFonts w:hint="cs"/>
          <w:rtl/>
        </w:rPr>
        <w:t xml:space="preserve"> (להלן: עניין </w:t>
      </w:r>
      <w:r w:rsidRPr="007C3B90">
        <w:rPr>
          <w:rFonts w:ascii="Century" w:hAnsi="Century" w:cs="Miriam" w:hint="cs"/>
          <w:b/>
          <w:spacing w:val="0"/>
          <w:szCs w:val="24"/>
          <w:rtl/>
        </w:rPr>
        <w:t>דיזנגוף</w:t>
      </w:r>
      <w:r w:rsidRPr="007C3B90">
        <w:rPr>
          <w:rFonts w:hint="cs"/>
          <w:rtl/>
        </w:rPr>
        <w:t xml:space="preserve">); </w:t>
      </w:r>
      <w:r w:rsidRPr="007C3B90">
        <w:rPr>
          <w:rFonts w:hint="eastAsia"/>
          <w:rtl/>
        </w:rPr>
        <w:t>בג</w:t>
      </w:r>
      <w:r w:rsidRPr="007C3B90">
        <w:rPr>
          <w:rtl/>
        </w:rPr>
        <w:t>"</w:t>
      </w:r>
      <w:r w:rsidRPr="007C3B90">
        <w:rPr>
          <w:rFonts w:hint="eastAsia"/>
          <w:rtl/>
        </w:rPr>
        <w:t>ץ</w:t>
      </w:r>
      <w:r w:rsidRPr="007C3B90">
        <w:rPr>
          <w:rtl/>
        </w:rPr>
        <w:t xml:space="preserve"> 156/75 </w:t>
      </w:r>
      <w:r w:rsidRPr="007C3B90">
        <w:rPr>
          <w:rFonts w:ascii="Century" w:hAnsi="Century" w:cs="Miriam" w:hint="eastAsia"/>
          <w:b/>
          <w:spacing w:val="0"/>
          <w:szCs w:val="24"/>
          <w:rtl/>
        </w:rPr>
        <w:t>דקה</w:t>
      </w:r>
      <w:r w:rsidRPr="007C3B90">
        <w:rPr>
          <w:rFonts w:ascii="Century" w:hAnsi="Century" w:cs="Miriam"/>
          <w:b/>
          <w:spacing w:val="0"/>
          <w:szCs w:val="24"/>
          <w:rtl/>
        </w:rPr>
        <w:t xml:space="preserve"> </w:t>
      </w:r>
      <w:r w:rsidRPr="007C3B90">
        <w:rPr>
          <w:rFonts w:ascii="Century" w:hAnsi="Century" w:cs="Miriam" w:hint="eastAsia"/>
          <w:b/>
          <w:spacing w:val="0"/>
          <w:szCs w:val="24"/>
          <w:rtl/>
        </w:rPr>
        <w:t>נ</w:t>
      </w:r>
      <w:r w:rsidRPr="007C3B90">
        <w:rPr>
          <w:rFonts w:ascii="Century" w:hAnsi="Century" w:cs="Miriam"/>
          <w:b/>
          <w:spacing w:val="0"/>
          <w:szCs w:val="24"/>
          <w:rtl/>
        </w:rPr>
        <w:t xml:space="preserve">' </w:t>
      </w:r>
      <w:r w:rsidRPr="007C3B90">
        <w:rPr>
          <w:rFonts w:ascii="Century" w:hAnsi="Century" w:cs="Miriam" w:hint="eastAsia"/>
          <w:b/>
          <w:spacing w:val="0"/>
          <w:szCs w:val="24"/>
          <w:rtl/>
        </w:rPr>
        <w:t>שר</w:t>
      </w:r>
      <w:r w:rsidRPr="007C3B90">
        <w:rPr>
          <w:rFonts w:ascii="Century" w:hAnsi="Century" w:cs="Miriam"/>
          <w:b/>
          <w:spacing w:val="0"/>
          <w:szCs w:val="24"/>
          <w:rtl/>
        </w:rPr>
        <w:t xml:space="preserve"> </w:t>
      </w:r>
      <w:r w:rsidRPr="007C3B90">
        <w:rPr>
          <w:rFonts w:ascii="Century" w:hAnsi="Century" w:cs="Miriam" w:hint="eastAsia"/>
          <w:b/>
          <w:spacing w:val="0"/>
          <w:szCs w:val="24"/>
          <w:rtl/>
        </w:rPr>
        <w:t>התחבורה</w:t>
      </w:r>
      <w:r w:rsidRPr="007C3B90">
        <w:rPr>
          <w:rFonts w:hint="cs"/>
          <w:rtl/>
        </w:rPr>
        <w:t>, פ"ד ל(2), 94, 105</w:t>
      </w:r>
      <w:r w:rsidRPr="007C3B90">
        <w:rPr>
          <w:rtl/>
        </w:rPr>
        <w:t xml:space="preserve"> (1976)</w:t>
      </w:r>
      <w:r w:rsidRPr="007C3B90">
        <w:rPr>
          <w:rFonts w:hint="cs"/>
          <w:rtl/>
        </w:rPr>
        <w:t xml:space="preserve"> (להלן: </w:t>
      </w:r>
      <w:r w:rsidRPr="007C3B90">
        <w:rPr>
          <w:rFonts w:ascii="Century" w:hAnsi="Century" w:hint="cs"/>
          <w:rtl/>
        </w:rPr>
        <w:t>עניין</w:t>
      </w:r>
      <w:r w:rsidRPr="007C3B90">
        <w:rPr>
          <w:rFonts w:ascii="Century" w:hAnsi="Century" w:cs="Miriam" w:hint="cs"/>
          <w:b/>
          <w:spacing w:val="0"/>
          <w:szCs w:val="24"/>
          <w:rtl/>
        </w:rPr>
        <w:t xml:space="preserve"> דקה</w:t>
      </w:r>
      <w:r w:rsidRPr="007C3B90">
        <w:rPr>
          <w:rFonts w:hint="cs"/>
          <w:rtl/>
        </w:rPr>
        <w:t xml:space="preserve">)). הבסיס הרעיוני לפסילת החלטה מינהלית שלקתה בפגם חמור כזה של חוסר סבירות, היה דוקטרינת חוסר הסמכות </w:t>
      </w:r>
      <w:r w:rsidRPr="007C3B90">
        <w:rPr>
          <w:rtl/>
        </w:rPr>
        <w:t>–</w:t>
      </w:r>
      <w:r w:rsidRPr="007C3B90">
        <w:rPr>
          <w:rFonts w:hint="cs"/>
          <w:rtl/>
        </w:rPr>
        <w:t xml:space="preserve"> ובפרט, ההנחה המשוערת ולפיה הגורם שהעניק לרשות המינהלית את הסמכות שמכוחה פעלה, לא התכוון כי זו תופעל בצורה שאינה הגיונית ואינה מתקבלת על הדעת (עניין </w:t>
      </w:r>
      <w:r w:rsidRPr="007C3B90">
        <w:rPr>
          <w:rFonts w:cs="Miriam" w:hint="eastAsia"/>
          <w:b/>
          <w:spacing w:val="0"/>
          <w:szCs w:val="24"/>
          <w:rtl/>
        </w:rPr>
        <w:t>דקה</w:t>
      </w:r>
      <w:r w:rsidRPr="007C3B90">
        <w:rPr>
          <w:rFonts w:ascii="Century" w:hAnsi="Century"/>
          <w:rtl/>
        </w:rPr>
        <w:t>,</w:t>
      </w:r>
      <w:r w:rsidRPr="007C3B90">
        <w:rPr>
          <w:rFonts w:hint="cs"/>
          <w:rtl/>
        </w:rPr>
        <w:t xml:space="preserve"> בעמ' 102; עניין </w:t>
      </w:r>
      <w:r w:rsidRPr="007C3B90">
        <w:rPr>
          <w:rFonts w:ascii="Century" w:hAnsi="Century" w:cs="Miriam" w:hint="eastAsia"/>
          <w:b/>
          <w:spacing w:val="0"/>
          <w:szCs w:val="24"/>
          <w:rtl/>
        </w:rPr>
        <w:t>דיזנגוף</w:t>
      </w:r>
      <w:r w:rsidRPr="007C3B90">
        <w:rPr>
          <w:rFonts w:ascii="Century" w:hAnsi="Century"/>
          <w:rtl/>
        </w:rPr>
        <w:t>,</w:t>
      </w:r>
      <w:r w:rsidRPr="007C3B90">
        <w:rPr>
          <w:rFonts w:hint="cs"/>
          <w:rtl/>
        </w:rPr>
        <w:t xml:space="preserve"> בעמ' 1037; ע"א</w:t>
      </w:r>
      <w:r w:rsidRPr="007C3B90">
        <w:rPr>
          <w:rtl/>
        </w:rPr>
        <w:t xml:space="preserve"> 6/66 </w:t>
      </w:r>
      <w:r w:rsidRPr="007C3B90">
        <w:rPr>
          <w:rFonts w:ascii="Century" w:hAnsi="Century" w:cs="Miriam" w:hint="eastAsia"/>
          <w:b/>
          <w:spacing w:val="0"/>
          <w:szCs w:val="24"/>
          <w:rtl/>
        </w:rPr>
        <w:t>קלו</w:t>
      </w:r>
      <w:r w:rsidRPr="007C3B90">
        <w:rPr>
          <w:rFonts w:ascii="Century" w:hAnsi="Century" w:cs="Miriam"/>
          <w:b/>
          <w:spacing w:val="0"/>
          <w:szCs w:val="24"/>
          <w:rtl/>
        </w:rPr>
        <w:t xml:space="preserve"> </w:t>
      </w:r>
      <w:r w:rsidRPr="007C3B90">
        <w:rPr>
          <w:rFonts w:ascii="Century" w:hAnsi="Century" w:cs="Miriam" w:hint="eastAsia"/>
          <w:b/>
          <w:spacing w:val="0"/>
          <w:szCs w:val="24"/>
          <w:rtl/>
        </w:rPr>
        <w:t>נ</w:t>
      </w:r>
      <w:r w:rsidRPr="007C3B90">
        <w:rPr>
          <w:rFonts w:ascii="Century" w:hAnsi="Century" w:cs="Miriam"/>
          <w:b/>
          <w:spacing w:val="0"/>
          <w:szCs w:val="24"/>
          <w:rtl/>
        </w:rPr>
        <w:t xml:space="preserve">' </w:t>
      </w:r>
      <w:r w:rsidRPr="007C3B90">
        <w:rPr>
          <w:rFonts w:ascii="Century" w:hAnsi="Century" w:cs="Miriam" w:hint="eastAsia"/>
          <w:b/>
          <w:spacing w:val="0"/>
          <w:szCs w:val="24"/>
          <w:rtl/>
        </w:rPr>
        <w:t>עיריית</w:t>
      </w:r>
      <w:r w:rsidRPr="007C3B90">
        <w:rPr>
          <w:rFonts w:ascii="Century" w:hAnsi="Century" w:cs="Miriam"/>
          <w:b/>
          <w:spacing w:val="0"/>
          <w:szCs w:val="24"/>
          <w:rtl/>
        </w:rPr>
        <w:t xml:space="preserve"> </w:t>
      </w:r>
      <w:r w:rsidRPr="007C3B90">
        <w:rPr>
          <w:rFonts w:ascii="Century" w:hAnsi="Century" w:cs="Miriam" w:hint="eastAsia"/>
          <w:b/>
          <w:spacing w:val="0"/>
          <w:szCs w:val="24"/>
          <w:rtl/>
        </w:rPr>
        <w:t>בת</w:t>
      </w:r>
      <w:r w:rsidRPr="007C3B90">
        <w:rPr>
          <w:rFonts w:ascii="Century" w:hAnsi="Century" w:cs="Miriam"/>
          <w:b/>
          <w:spacing w:val="0"/>
          <w:szCs w:val="24"/>
          <w:rtl/>
        </w:rPr>
        <w:t xml:space="preserve"> </w:t>
      </w:r>
      <w:r w:rsidRPr="007C3B90">
        <w:rPr>
          <w:rFonts w:ascii="Century" w:hAnsi="Century" w:cs="Miriam" w:hint="eastAsia"/>
          <w:b/>
          <w:spacing w:val="0"/>
          <w:szCs w:val="24"/>
          <w:rtl/>
        </w:rPr>
        <w:t>ים</w:t>
      </w:r>
      <w:r w:rsidRPr="007C3B90">
        <w:rPr>
          <w:rFonts w:ascii="Century" w:hAnsi="Century"/>
          <w:rtl/>
        </w:rPr>
        <w:t>,</w:t>
      </w:r>
      <w:r w:rsidRPr="007C3B90">
        <w:rPr>
          <w:rtl/>
        </w:rPr>
        <w:t xml:space="preserve"> </w:t>
      </w:r>
      <w:r w:rsidRPr="007C3B90">
        <w:rPr>
          <w:rFonts w:hint="eastAsia"/>
          <w:rtl/>
        </w:rPr>
        <w:t>פ</w:t>
      </w:r>
      <w:r w:rsidRPr="007C3B90">
        <w:rPr>
          <w:rtl/>
        </w:rPr>
        <w:t>"</w:t>
      </w:r>
      <w:r w:rsidRPr="007C3B90">
        <w:rPr>
          <w:rFonts w:hint="eastAsia"/>
          <w:rtl/>
        </w:rPr>
        <w:t>ד</w:t>
      </w:r>
      <w:r w:rsidRPr="007C3B90">
        <w:rPr>
          <w:rtl/>
        </w:rPr>
        <w:t xml:space="preserve"> </w:t>
      </w:r>
      <w:r w:rsidRPr="007C3B90">
        <w:rPr>
          <w:rFonts w:hint="eastAsia"/>
          <w:rtl/>
        </w:rPr>
        <w:t>כ</w:t>
      </w:r>
      <w:r w:rsidRPr="007C3B90">
        <w:rPr>
          <w:rtl/>
        </w:rPr>
        <w:t>(2) 327, 332-331 (1966)</w:t>
      </w:r>
      <w:r w:rsidRPr="007C3B90">
        <w:rPr>
          <w:rFonts w:hint="cs"/>
          <w:rtl/>
        </w:rPr>
        <w:t xml:space="preserve"> (להלן: עניין </w:t>
      </w:r>
      <w:r w:rsidRPr="007C3B90">
        <w:rPr>
          <w:rFonts w:ascii="Century" w:hAnsi="Century" w:cs="Miriam" w:hint="cs"/>
          <w:b/>
          <w:spacing w:val="0"/>
          <w:szCs w:val="24"/>
          <w:rtl/>
        </w:rPr>
        <w:t>קלו</w:t>
      </w:r>
      <w:r w:rsidRPr="007C3B90">
        <w:rPr>
          <w:rFonts w:hint="cs"/>
          <w:rtl/>
        </w:rPr>
        <w:t>)</w:t>
      </w:r>
      <w:r w:rsidRPr="007C3B90">
        <w:rPr>
          <w:rtl/>
        </w:rPr>
        <w:t xml:space="preserve">; </w:t>
      </w:r>
      <w:r w:rsidRPr="007C3B90">
        <w:rPr>
          <w:rFonts w:hint="cs"/>
          <w:rtl/>
        </w:rPr>
        <w:t xml:space="preserve">ע"א </w:t>
      </w:r>
      <w:r w:rsidRPr="007C3B90">
        <w:rPr>
          <w:rtl/>
        </w:rPr>
        <w:t xml:space="preserve">780/70 </w:t>
      </w:r>
      <w:r w:rsidRPr="007C3B90">
        <w:rPr>
          <w:rFonts w:ascii="Century" w:hAnsi="Century" w:cs="Miriam" w:hint="eastAsia"/>
          <w:b/>
          <w:spacing w:val="0"/>
          <w:szCs w:val="24"/>
          <w:rtl/>
        </w:rPr>
        <w:t>עיריית</w:t>
      </w:r>
      <w:r w:rsidRPr="007C3B90">
        <w:rPr>
          <w:rFonts w:ascii="Century" w:hAnsi="Century" w:cs="Miriam"/>
          <w:b/>
          <w:spacing w:val="0"/>
          <w:szCs w:val="24"/>
          <w:rtl/>
        </w:rPr>
        <w:t xml:space="preserve"> </w:t>
      </w:r>
      <w:r w:rsidRPr="007C3B90">
        <w:rPr>
          <w:rFonts w:ascii="Century" w:hAnsi="Century" w:cs="Miriam" w:hint="eastAsia"/>
          <w:b/>
          <w:spacing w:val="0"/>
          <w:szCs w:val="24"/>
          <w:rtl/>
        </w:rPr>
        <w:t>תל</w:t>
      </w:r>
      <w:r w:rsidRPr="007C3B90">
        <w:rPr>
          <w:rFonts w:ascii="Century" w:hAnsi="Century" w:cs="Miriam"/>
          <w:b/>
          <w:spacing w:val="0"/>
          <w:szCs w:val="24"/>
          <w:rtl/>
        </w:rPr>
        <w:t xml:space="preserve"> </w:t>
      </w:r>
      <w:r w:rsidRPr="007C3B90">
        <w:rPr>
          <w:rFonts w:ascii="Century" w:hAnsi="Century" w:cs="Miriam" w:hint="eastAsia"/>
          <w:b/>
          <w:spacing w:val="0"/>
          <w:szCs w:val="24"/>
          <w:rtl/>
        </w:rPr>
        <w:t>אביב</w:t>
      </w:r>
      <w:r w:rsidRPr="007C3B90">
        <w:rPr>
          <w:rFonts w:ascii="Century" w:hAnsi="Century" w:cs="Miriam"/>
          <w:b/>
          <w:spacing w:val="0"/>
          <w:szCs w:val="24"/>
          <w:rtl/>
        </w:rPr>
        <w:t xml:space="preserve"> </w:t>
      </w:r>
      <w:r w:rsidRPr="007C3B90">
        <w:rPr>
          <w:rFonts w:ascii="Century" w:hAnsi="Century" w:cs="Miriam" w:hint="eastAsia"/>
          <w:b/>
          <w:spacing w:val="0"/>
          <w:szCs w:val="24"/>
          <w:rtl/>
        </w:rPr>
        <w:t>יפו</w:t>
      </w:r>
      <w:r w:rsidRPr="007C3B90">
        <w:rPr>
          <w:rFonts w:ascii="Century" w:hAnsi="Century" w:cs="Miriam"/>
          <w:b/>
          <w:spacing w:val="0"/>
          <w:szCs w:val="24"/>
          <w:rtl/>
        </w:rPr>
        <w:t xml:space="preserve"> </w:t>
      </w:r>
      <w:r w:rsidRPr="007C3B90">
        <w:rPr>
          <w:rFonts w:ascii="Century" w:hAnsi="Century" w:cs="Miriam" w:hint="eastAsia"/>
          <w:b/>
          <w:spacing w:val="0"/>
          <w:szCs w:val="24"/>
          <w:rtl/>
        </w:rPr>
        <w:t>נ</w:t>
      </w:r>
      <w:r w:rsidRPr="007C3B90">
        <w:rPr>
          <w:rFonts w:ascii="Century" w:hAnsi="Century" w:cs="Miriam"/>
          <w:b/>
          <w:spacing w:val="0"/>
          <w:szCs w:val="24"/>
          <w:rtl/>
        </w:rPr>
        <w:t xml:space="preserve">' </w:t>
      </w:r>
      <w:r w:rsidRPr="007C3B90">
        <w:rPr>
          <w:rFonts w:ascii="Century" w:hAnsi="Century" w:cs="Miriam" w:hint="eastAsia"/>
          <w:b/>
          <w:spacing w:val="0"/>
          <w:szCs w:val="24"/>
          <w:rtl/>
        </w:rPr>
        <w:t>ספיר</w:t>
      </w:r>
      <w:r w:rsidRPr="007C3B90">
        <w:rPr>
          <w:rFonts w:ascii="Century" w:hAnsi="Century"/>
          <w:rtl/>
        </w:rPr>
        <w:t>,</w:t>
      </w:r>
      <w:r w:rsidRPr="007C3B90">
        <w:rPr>
          <w:rFonts w:hint="cs"/>
          <w:rtl/>
        </w:rPr>
        <w:t xml:space="preserve"> פ"ד כה(2) 486, 497 </w:t>
      </w:r>
      <w:r w:rsidRPr="007C3B90">
        <w:rPr>
          <w:rtl/>
        </w:rPr>
        <w:t>(1971)</w:t>
      </w:r>
      <w:r w:rsidRPr="007C3B90">
        <w:rPr>
          <w:rFonts w:hint="cs"/>
          <w:rtl/>
        </w:rPr>
        <w:t xml:space="preserve">; יואב דותן "שני מושגים של ריסון </w:t>
      </w:r>
      <w:r w:rsidRPr="007C3B90">
        <w:rPr>
          <w:rtl/>
        </w:rPr>
        <w:t>–</w:t>
      </w:r>
      <w:r w:rsidRPr="007C3B90">
        <w:rPr>
          <w:rFonts w:hint="cs"/>
          <w:rtl/>
        </w:rPr>
        <w:t xml:space="preserve"> וסבירות" </w:t>
      </w:r>
      <w:r w:rsidRPr="007C3B90">
        <w:rPr>
          <w:rFonts w:ascii="Century" w:hAnsi="Century" w:cs="Miriam" w:hint="cs"/>
          <w:b/>
          <w:spacing w:val="0"/>
          <w:szCs w:val="24"/>
          <w:rtl/>
        </w:rPr>
        <w:t>משפטים</w:t>
      </w:r>
      <w:r w:rsidRPr="007C3B90">
        <w:rPr>
          <w:rFonts w:hint="cs"/>
          <w:rtl/>
        </w:rPr>
        <w:t xml:space="preserve"> נא 673, 678 (2022) (להלן: </w:t>
      </w:r>
      <w:r w:rsidRPr="007C3B90">
        <w:rPr>
          <w:rFonts w:ascii="Century" w:hAnsi="Century" w:cs="Miriam" w:hint="cs"/>
          <w:b/>
          <w:spacing w:val="0"/>
          <w:szCs w:val="24"/>
          <w:rtl/>
        </w:rPr>
        <w:t>דותן, שני מושגים</w:t>
      </w:r>
      <w:r w:rsidRPr="007C3B90">
        <w:rPr>
          <w:rFonts w:hint="cs"/>
          <w:rtl/>
        </w:rPr>
        <w:t xml:space="preserve">)). </w:t>
      </w:r>
    </w:p>
    <w:p w:rsidR="00BB56BB" w:rsidRPr="007C3B90" w:rsidRDefault="00BB56BB" w:rsidP="00BB56BB">
      <w:pPr>
        <w:pStyle w:val="Ruller4"/>
        <w:numPr>
          <w:ilvl w:val="0"/>
          <w:numId w:val="0"/>
        </w:numPr>
        <w:rPr>
          <w:rtl/>
        </w:rPr>
      </w:pPr>
    </w:p>
    <w:p w:rsidR="00BB56BB" w:rsidRPr="007C3B90" w:rsidRDefault="00BB56BB" w:rsidP="00BB56BB">
      <w:pPr>
        <w:pStyle w:val="Ruller4"/>
        <w:rPr>
          <w:rtl/>
        </w:rPr>
      </w:pPr>
      <w:r w:rsidRPr="007C3B90">
        <w:rPr>
          <w:rFonts w:hint="cs"/>
          <w:rtl/>
        </w:rPr>
        <w:t xml:space="preserve">פגם זה של חוסר סמכות נלווה לרוב, בפסיקת בית המשפט באותה תקופה, לפגמים מינהליים אחרים, כגון שקילת שיקולים זרים ואפליה (וראו למשל: עניין </w:t>
      </w:r>
      <w:r w:rsidRPr="007C3B90">
        <w:rPr>
          <w:rFonts w:ascii="Century" w:hAnsi="Century" w:cs="Miriam" w:hint="cs"/>
          <w:b/>
          <w:spacing w:val="0"/>
          <w:sz w:val="22"/>
          <w:szCs w:val="24"/>
          <w:rtl/>
        </w:rPr>
        <w:t>קלו</w:t>
      </w:r>
      <w:r w:rsidRPr="007C3B90">
        <w:rPr>
          <w:rFonts w:hint="cs"/>
          <w:rtl/>
        </w:rPr>
        <w:t xml:space="preserve">, בעמ' 333 (פסילה של חוק עזר המטיל מס עירוני גבוה יותר על בעלי איטליז שמוכרים בשר לא כשר, הן מטעמי חוסר סבירות והן מטעמי הפליה ועירוב מטרה זרה); עניין </w:t>
      </w:r>
      <w:r w:rsidRPr="007C3B90">
        <w:rPr>
          <w:rFonts w:ascii="Century" w:hAnsi="Century" w:cs="Miriam" w:hint="cs"/>
          <w:b/>
          <w:spacing w:val="0"/>
          <w:szCs w:val="24"/>
          <w:rtl/>
        </w:rPr>
        <w:t>דיזנגוף</w:t>
      </w:r>
      <w:r w:rsidRPr="007C3B90">
        <w:rPr>
          <w:rFonts w:hint="cs"/>
          <w:rtl/>
        </w:rPr>
        <w:t xml:space="preserve">, בעמ' 1041-1038 (פסילת תחולה למפרע של צו שקבע תעריפים מוגדלים לדמי סוורות בנמלי הארץ, לתקופה של כשנה וחצי טרם פרסום הצו, הן מטעמי חוסר סבירות והן בנימוק של מטרה בלתי רלבנטית). ולדוגמאות נוספות של פסילת החלטות מינהליות בעילה זו, ראו: </w:t>
      </w:r>
      <w:r w:rsidRPr="007C3B90">
        <w:rPr>
          <w:rFonts w:ascii="Century" w:hAnsi="Century" w:cs="Miriam" w:hint="cs"/>
          <w:b/>
          <w:spacing w:val="0"/>
          <w:sz w:val="22"/>
          <w:szCs w:val="24"/>
          <w:rtl/>
        </w:rPr>
        <w:t>זמיר</w:t>
      </w:r>
      <w:r w:rsidRPr="007C3B90">
        <w:rPr>
          <w:rFonts w:ascii="Century" w:hAnsi="Century"/>
          <w:sz w:val="22"/>
          <w:rtl/>
        </w:rPr>
        <w:t>,</w:t>
      </w:r>
      <w:r w:rsidRPr="007C3B90">
        <w:rPr>
          <w:rFonts w:ascii="Century" w:hAnsi="Century" w:cs="Miriam" w:hint="cs"/>
          <w:b/>
          <w:spacing w:val="0"/>
          <w:sz w:val="22"/>
          <w:szCs w:val="24"/>
          <w:rtl/>
        </w:rPr>
        <w:t xml:space="preserve"> </w:t>
      </w:r>
      <w:r w:rsidRPr="007C3B90">
        <w:rPr>
          <w:rFonts w:ascii="Century" w:hAnsi="Century" w:hint="eastAsia"/>
          <w:sz w:val="22"/>
          <w:rtl/>
        </w:rPr>
        <w:t>בעמ</w:t>
      </w:r>
      <w:r w:rsidRPr="007C3B90">
        <w:rPr>
          <w:rFonts w:ascii="Century" w:hAnsi="Century"/>
          <w:sz w:val="22"/>
          <w:rtl/>
        </w:rPr>
        <w:t>' 3863-3861</w:t>
      </w:r>
      <w:r w:rsidRPr="007C3B90">
        <w:rPr>
          <w:rFonts w:hint="cs"/>
          <w:rtl/>
        </w:rPr>
        <w:t xml:space="preserve">). עילת הסבירות במובנה האמור, כונתה בספרות המשפטית, בין היתר, בשם "סבירות של מופרכות", על שם סטנדרט הפסילה הנוקשה שהעמידה: החלטה כה מופרכת, עד שאף אדם הגיוני לא יעלה על דעתו שהיא מצויה בתחומי הסמכות (להלן גם: </w:t>
      </w:r>
      <w:r w:rsidRPr="007C3B90">
        <w:rPr>
          <w:rFonts w:ascii="Century" w:hAnsi="Century" w:cs="Miriam" w:hint="cs"/>
          <w:b/>
          <w:spacing w:val="0"/>
          <w:szCs w:val="24"/>
          <w:rtl/>
        </w:rPr>
        <w:t>סבירות צרה</w:t>
      </w:r>
      <w:r w:rsidRPr="007C3B90">
        <w:rPr>
          <w:rFonts w:hint="cs"/>
          <w:rtl/>
        </w:rPr>
        <w:t xml:space="preserve">; ראו: </w:t>
      </w:r>
      <w:r w:rsidRPr="007C3B90">
        <w:rPr>
          <w:rFonts w:ascii="Century" w:hAnsi="Century" w:cs="Miriam" w:hint="cs"/>
          <w:b/>
          <w:spacing w:val="0"/>
          <w:szCs w:val="24"/>
          <w:rtl/>
        </w:rPr>
        <w:t>דותן, שני מושגים</w:t>
      </w:r>
      <w:r w:rsidRPr="007C3B90">
        <w:rPr>
          <w:rFonts w:hint="cs"/>
          <w:rtl/>
        </w:rPr>
        <w:t>, בעמ' 680-679).</w:t>
      </w:r>
    </w:p>
    <w:p w:rsidR="00BB56BB" w:rsidRPr="007C3B90" w:rsidRDefault="00BB56BB" w:rsidP="00BB56BB">
      <w:pPr>
        <w:pStyle w:val="Ruller4"/>
        <w:numPr>
          <w:ilvl w:val="0"/>
          <w:numId w:val="0"/>
        </w:numPr>
      </w:pPr>
    </w:p>
    <w:p w:rsidR="00BB56BB" w:rsidRPr="007C3B90" w:rsidRDefault="00BB56BB" w:rsidP="00BB56BB">
      <w:pPr>
        <w:pStyle w:val="Ruller4"/>
      </w:pPr>
      <w:r w:rsidRPr="007C3B90">
        <w:rPr>
          <w:rFonts w:hint="cs"/>
          <w:rtl/>
        </w:rPr>
        <w:lastRenderedPageBreak/>
        <w:t xml:space="preserve">החל מראשית שנות ה-80, השתרש בפסיקה הישראלית מודל חדש של סבירות, רחב יותר, שעיקריו הוצגו לראשונה בפירוט בפסק דינו של השופט </w:t>
      </w:r>
      <w:r w:rsidRPr="007C3B90">
        <w:rPr>
          <w:rFonts w:ascii="Century" w:hAnsi="Century" w:cs="Miriam" w:hint="cs"/>
          <w:b/>
          <w:spacing w:val="0"/>
          <w:sz w:val="22"/>
          <w:szCs w:val="24"/>
          <w:rtl/>
        </w:rPr>
        <w:t>א' ברק</w:t>
      </w:r>
      <w:r w:rsidRPr="007C3B90">
        <w:rPr>
          <w:rFonts w:hint="cs"/>
          <w:rtl/>
        </w:rPr>
        <w:t xml:space="preserve"> בעניין </w:t>
      </w:r>
      <w:r w:rsidRPr="007C3B90">
        <w:rPr>
          <w:rFonts w:ascii="Century" w:hAnsi="Century" w:cs="Miriam" w:hint="cs"/>
          <w:b/>
          <w:spacing w:val="0"/>
          <w:sz w:val="22"/>
          <w:szCs w:val="24"/>
          <w:rtl/>
        </w:rPr>
        <w:t>דפי זהב</w:t>
      </w:r>
      <w:r w:rsidRPr="007C3B90">
        <w:rPr>
          <w:rFonts w:hint="cs"/>
          <w:rtl/>
        </w:rPr>
        <w:t>. על פי מודל זה,</w:t>
      </w:r>
      <w:r w:rsidRPr="007C3B90">
        <w:rPr>
          <w:rtl/>
        </w:rPr>
        <w:t xml:space="preserve"> </w:t>
      </w:r>
      <w:r w:rsidRPr="007C3B90">
        <w:rPr>
          <w:rFonts w:hint="cs"/>
          <w:rtl/>
        </w:rPr>
        <w:t xml:space="preserve">בית המשפט יפסול החלטה מינהלית מחמת חוסר סבירות, כאשר </w:t>
      </w:r>
      <w:r w:rsidRPr="007C3B90">
        <w:rPr>
          <w:rFonts w:ascii="Century" w:hAnsi="Century" w:hint="cs"/>
          <w:sz w:val="22"/>
          <w:rtl/>
        </w:rPr>
        <w:t>הרשות המוסמכת לא איזנה באופן סביר בין האינטרסים השונים הראויים להישקל</w:t>
      </w:r>
      <w:r w:rsidRPr="007C3B90">
        <w:rPr>
          <w:rFonts w:hint="cs"/>
          <w:rtl/>
        </w:rPr>
        <w:t xml:space="preserve"> במסגרת ההחלטה </w:t>
      </w:r>
      <w:r w:rsidRPr="007C3B90">
        <w:rPr>
          <w:rtl/>
        </w:rPr>
        <w:t>–</w:t>
      </w:r>
      <w:r w:rsidRPr="007C3B90">
        <w:rPr>
          <w:rFonts w:hint="cs"/>
          <w:rtl/>
        </w:rPr>
        <w:t xml:space="preserve"> במובן זה שלא ניתן להם המשקל הראוי, בהתחשב בתכלית הנורמה המסמיכה (להלן: </w:t>
      </w:r>
      <w:r w:rsidRPr="007C3B90">
        <w:rPr>
          <w:rFonts w:ascii="Century" w:hAnsi="Century" w:cs="Miriam" w:hint="cs"/>
          <w:b/>
          <w:spacing w:val="0"/>
          <w:sz w:val="22"/>
          <w:szCs w:val="24"/>
          <w:rtl/>
        </w:rPr>
        <w:t>נוסחת איזון האינטרסים</w:t>
      </w:r>
      <w:r w:rsidRPr="007C3B90">
        <w:rPr>
          <w:rFonts w:hint="cs"/>
          <w:rtl/>
        </w:rPr>
        <w:t xml:space="preserve">. עניין </w:t>
      </w:r>
      <w:r w:rsidRPr="007C3B90">
        <w:rPr>
          <w:rFonts w:ascii="Century" w:hAnsi="Century" w:cs="Miriam" w:hint="cs"/>
          <w:b/>
          <w:spacing w:val="0"/>
          <w:sz w:val="22"/>
          <w:szCs w:val="24"/>
          <w:rtl/>
        </w:rPr>
        <w:t>דפי זהב</w:t>
      </w:r>
      <w:r w:rsidRPr="007C3B90">
        <w:rPr>
          <w:rFonts w:ascii="Century" w:hAnsi="Century" w:hint="cs"/>
          <w:sz w:val="22"/>
          <w:rtl/>
        </w:rPr>
        <w:t>,</w:t>
      </w:r>
      <w:r w:rsidRPr="007C3B90">
        <w:rPr>
          <w:rFonts w:hint="cs"/>
          <w:rtl/>
        </w:rPr>
        <w:t xml:space="preserve"> בעמ' 445-444; </w:t>
      </w:r>
      <w:r w:rsidRPr="007C3B90">
        <w:rPr>
          <w:rFonts w:ascii="Century" w:hAnsi="Century" w:cs="Miriam" w:hint="cs"/>
          <w:b/>
          <w:spacing w:val="0"/>
          <w:sz w:val="22"/>
          <w:szCs w:val="24"/>
          <w:rtl/>
        </w:rPr>
        <w:t>ברק-ארז</w:t>
      </w:r>
      <w:r w:rsidRPr="007C3B90">
        <w:rPr>
          <w:rFonts w:hint="cs"/>
          <w:rtl/>
        </w:rPr>
        <w:t xml:space="preserve">, בעמ' 725. נוסחה זו הוצגה על-ידי השופט </w:t>
      </w:r>
      <w:r w:rsidRPr="007C3B90">
        <w:rPr>
          <w:rFonts w:ascii="Century" w:hAnsi="Century" w:cs="Miriam" w:hint="cs"/>
          <w:b/>
          <w:spacing w:val="0"/>
          <w:sz w:val="22"/>
          <w:szCs w:val="24"/>
          <w:rtl/>
        </w:rPr>
        <w:t>ברק</w:t>
      </w:r>
      <w:r w:rsidRPr="007C3B90">
        <w:rPr>
          <w:rFonts w:hint="cs"/>
          <w:rtl/>
        </w:rPr>
        <w:t xml:space="preserve"> קודם לכן, בקצרה, בבג"ץ 840/79 </w:t>
      </w:r>
      <w:r w:rsidRPr="007C3B90">
        <w:rPr>
          <w:rFonts w:ascii="Century" w:hAnsi="Century" w:cs="Miriam" w:hint="cs"/>
          <w:b/>
          <w:spacing w:val="0"/>
          <w:sz w:val="22"/>
          <w:szCs w:val="24"/>
          <w:rtl/>
        </w:rPr>
        <w:t>מרכז הקבלנים והבונים בישראל נ' ממשלת ישראל</w:t>
      </w:r>
      <w:r w:rsidRPr="007C3B90">
        <w:rPr>
          <w:rFonts w:ascii="Century" w:hAnsi="Century" w:hint="cs"/>
          <w:sz w:val="22"/>
          <w:rtl/>
        </w:rPr>
        <w:t>,</w:t>
      </w:r>
      <w:r w:rsidRPr="007C3B90">
        <w:rPr>
          <w:rFonts w:hint="cs"/>
          <w:rtl/>
        </w:rPr>
        <w:t xml:space="preserve"> פ"ד לד(3) 729, 742 (1980) (להלן: עניין </w:t>
      </w:r>
      <w:r w:rsidRPr="007C3B90">
        <w:rPr>
          <w:rFonts w:ascii="Century" w:hAnsi="Century" w:cs="Miriam" w:hint="cs"/>
          <w:b/>
          <w:spacing w:val="0"/>
          <w:sz w:val="22"/>
          <w:szCs w:val="24"/>
          <w:rtl/>
        </w:rPr>
        <w:t>מרכז הקבלנים</w:t>
      </w:r>
      <w:r w:rsidRPr="007C3B90">
        <w:rPr>
          <w:rFonts w:hint="cs"/>
          <w:rtl/>
        </w:rPr>
        <w:t xml:space="preserve">), תוך התבססות על דברי השופט </w:t>
      </w:r>
      <w:r w:rsidRPr="007C3B90">
        <w:rPr>
          <w:rFonts w:ascii="Century" w:hAnsi="Century" w:cs="Miriam" w:hint="cs"/>
          <w:b/>
          <w:spacing w:val="0"/>
          <w:sz w:val="22"/>
          <w:szCs w:val="24"/>
          <w:rtl/>
        </w:rPr>
        <w:t>מ' שמגר</w:t>
      </w:r>
      <w:r w:rsidRPr="007C3B90">
        <w:rPr>
          <w:rFonts w:hint="cs"/>
          <w:rtl/>
        </w:rPr>
        <w:t xml:space="preserve"> בעניין </w:t>
      </w:r>
      <w:r w:rsidRPr="007C3B90">
        <w:rPr>
          <w:rFonts w:ascii="Century" w:hAnsi="Century" w:cs="Miriam" w:hint="cs"/>
          <w:b/>
          <w:spacing w:val="0"/>
          <w:sz w:val="22"/>
          <w:szCs w:val="24"/>
          <w:rtl/>
        </w:rPr>
        <w:t>דקה</w:t>
      </w:r>
      <w:r w:rsidRPr="007C3B90">
        <w:rPr>
          <w:rFonts w:hint="cs"/>
          <w:rtl/>
        </w:rPr>
        <w:t xml:space="preserve">, בעמ' 105). ביסוס למודל הסבירות החדש, מצא השופט </w:t>
      </w:r>
      <w:r w:rsidRPr="007C3B90">
        <w:rPr>
          <w:rFonts w:ascii="Century" w:hAnsi="Century" w:cs="Miriam" w:hint="cs"/>
          <w:b/>
          <w:spacing w:val="0"/>
          <w:sz w:val="22"/>
          <w:szCs w:val="24"/>
          <w:rtl/>
        </w:rPr>
        <w:t>ברק</w:t>
      </w:r>
      <w:r w:rsidRPr="007C3B90">
        <w:rPr>
          <w:rFonts w:hint="cs"/>
          <w:rtl/>
        </w:rPr>
        <w:t xml:space="preserve"> במקרים קודמים שנדונו בפסיקה, אשר ברובם לא הוזכרה עילת הסבירות בשמה המפורש, אך לגישתו ההכרעה בהם נעשתה תוך שימוש בנוסחת איזון האינטרסים (</w:t>
      </w:r>
      <w:r w:rsidRPr="006103F0">
        <w:rPr>
          <w:rFonts w:hint="cs"/>
          <w:rtl/>
        </w:rPr>
        <w:t>ראו:</w:t>
      </w:r>
      <w:r w:rsidRPr="007C3B90">
        <w:rPr>
          <w:rFonts w:hint="cs"/>
          <w:rtl/>
        </w:rPr>
        <w:t xml:space="preserve"> </w:t>
      </w:r>
      <w:r w:rsidRPr="007C3B90">
        <w:rPr>
          <w:rFonts w:hint="eastAsia"/>
          <w:rtl/>
        </w:rPr>
        <w:t>בג</w:t>
      </w:r>
      <w:r w:rsidRPr="007C3B90">
        <w:rPr>
          <w:rtl/>
        </w:rPr>
        <w:t>"</w:t>
      </w:r>
      <w:r w:rsidRPr="007C3B90">
        <w:rPr>
          <w:rFonts w:hint="eastAsia"/>
          <w:rtl/>
        </w:rPr>
        <w:t>ץ</w:t>
      </w:r>
      <w:r w:rsidRPr="007C3B90">
        <w:rPr>
          <w:rtl/>
        </w:rPr>
        <w:t xml:space="preserve"> 73/53 </w:t>
      </w:r>
      <w:r w:rsidRPr="007C3B90">
        <w:rPr>
          <w:rFonts w:ascii="Century" w:hAnsi="Century" w:cs="Miriam" w:hint="eastAsia"/>
          <w:b/>
          <w:spacing w:val="0"/>
          <w:sz w:val="22"/>
          <w:szCs w:val="24"/>
          <w:rtl/>
        </w:rPr>
        <w:t>חברת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קול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העם</w:t>
      </w:r>
      <w:r w:rsidRPr="007C3B90">
        <w:rPr>
          <w:rFonts w:ascii="Century" w:hAnsi="Century" w:cs="Miriam" w:hint="cs"/>
          <w:b/>
          <w:spacing w:val="0"/>
          <w:sz w:val="22"/>
          <w:szCs w:val="24"/>
          <w:rtl/>
        </w:rPr>
        <w:t xml:space="preserve"> בע"מ</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נ</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שר</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הפנים</w:t>
      </w:r>
      <w:r w:rsidRPr="007C3B90">
        <w:rPr>
          <w:rFonts w:ascii="Century" w:hAnsi="Century" w:hint="cs"/>
          <w:sz w:val="22"/>
          <w:rtl/>
        </w:rPr>
        <w:t>,</w:t>
      </w:r>
      <w:r w:rsidRPr="007C3B90">
        <w:rPr>
          <w:rFonts w:hint="cs"/>
          <w:rtl/>
        </w:rPr>
        <w:t xml:space="preserve"> פ"ד ז 871</w:t>
      </w:r>
      <w:r w:rsidRPr="007C3B90">
        <w:rPr>
          <w:rtl/>
        </w:rPr>
        <w:t xml:space="preserve"> (1953)</w:t>
      </w:r>
      <w:r w:rsidRPr="007C3B90">
        <w:rPr>
          <w:rFonts w:hint="cs"/>
          <w:rtl/>
        </w:rPr>
        <w:t xml:space="preserve"> (להלן: עניין </w:t>
      </w:r>
      <w:r w:rsidRPr="007C3B90">
        <w:rPr>
          <w:rFonts w:ascii="Century" w:hAnsi="Century" w:cs="Miriam" w:hint="cs"/>
          <w:b/>
          <w:spacing w:val="0"/>
          <w:sz w:val="22"/>
          <w:szCs w:val="24"/>
          <w:rtl/>
        </w:rPr>
        <w:t>קול העם</w:t>
      </w:r>
      <w:r w:rsidRPr="007C3B90">
        <w:rPr>
          <w:rFonts w:hint="cs"/>
          <w:rtl/>
        </w:rPr>
        <w:t xml:space="preserve">); </w:t>
      </w:r>
      <w:r w:rsidRPr="007C3B90">
        <w:rPr>
          <w:rFonts w:hint="eastAsia"/>
          <w:rtl/>
        </w:rPr>
        <w:t>בג</w:t>
      </w:r>
      <w:r w:rsidRPr="007C3B90">
        <w:rPr>
          <w:rtl/>
        </w:rPr>
        <w:t>"</w:t>
      </w:r>
      <w:r w:rsidRPr="007C3B90">
        <w:rPr>
          <w:rFonts w:hint="eastAsia"/>
          <w:rtl/>
        </w:rPr>
        <w:t>ץ</w:t>
      </w:r>
      <w:r w:rsidRPr="007C3B90">
        <w:rPr>
          <w:rtl/>
        </w:rPr>
        <w:t xml:space="preserve"> 243/62 </w:t>
      </w:r>
      <w:r w:rsidRPr="007C3B90">
        <w:rPr>
          <w:rFonts w:ascii="Century" w:hAnsi="Century" w:cs="Miriam" w:hint="eastAsia"/>
          <w:b/>
          <w:spacing w:val="0"/>
          <w:sz w:val="22"/>
          <w:szCs w:val="24"/>
          <w:rtl/>
        </w:rPr>
        <w:t>אולפני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הסרטה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בישראל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בע״מ</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נ</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לוי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גרי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והמועצה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לביקורת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סרטים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ומחזות</w:t>
      </w:r>
      <w:r w:rsidRPr="007C3B90">
        <w:rPr>
          <w:rFonts w:ascii="Century" w:hAnsi="Century" w:hint="cs"/>
          <w:sz w:val="22"/>
          <w:rtl/>
        </w:rPr>
        <w:t>,</w:t>
      </w:r>
      <w:r w:rsidRPr="007C3B90">
        <w:rPr>
          <w:rFonts w:hint="cs"/>
          <w:rtl/>
        </w:rPr>
        <w:t xml:space="preserve"> פ"ד טז 2408, 2412</w:t>
      </w:r>
      <w:r w:rsidRPr="007C3B90">
        <w:rPr>
          <w:rtl/>
        </w:rPr>
        <w:t xml:space="preserve"> (1962)</w:t>
      </w:r>
      <w:r w:rsidRPr="007C3B90">
        <w:rPr>
          <w:rFonts w:hint="cs"/>
          <w:rtl/>
        </w:rPr>
        <w:t xml:space="preserve"> (להלן: עניין </w:t>
      </w:r>
      <w:r w:rsidRPr="007C3B90">
        <w:rPr>
          <w:rFonts w:ascii="Century" w:hAnsi="Century" w:cs="Miriam" w:hint="cs"/>
          <w:b/>
          <w:spacing w:val="0"/>
          <w:sz w:val="22"/>
          <w:szCs w:val="24"/>
          <w:rtl/>
        </w:rPr>
        <w:t>אולפני הסרטה</w:t>
      </w:r>
      <w:r w:rsidRPr="007C3B90">
        <w:rPr>
          <w:rFonts w:hint="cs"/>
          <w:rtl/>
        </w:rPr>
        <w:t xml:space="preserve">); </w:t>
      </w:r>
      <w:r w:rsidRPr="007C3B90">
        <w:rPr>
          <w:rFonts w:hint="eastAsia"/>
          <w:rtl/>
        </w:rPr>
        <w:t>בג</w:t>
      </w:r>
      <w:r w:rsidRPr="007C3B90">
        <w:rPr>
          <w:rtl/>
        </w:rPr>
        <w:t>"</w:t>
      </w:r>
      <w:r w:rsidRPr="007C3B90">
        <w:rPr>
          <w:rFonts w:hint="eastAsia"/>
          <w:rtl/>
        </w:rPr>
        <w:t>ץ</w:t>
      </w:r>
      <w:r w:rsidRPr="007C3B90">
        <w:rPr>
          <w:rtl/>
        </w:rPr>
        <w:t xml:space="preserve"> 144/74 </w:t>
      </w:r>
      <w:r w:rsidRPr="007C3B90">
        <w:rPr>
          <w:rFonts w:ascii="Century" w:hAnsi="Century" w:cs="Miriam" w:hint="eastAsia"/>
          <w:b/>
          <w:spacing w:val="0"/>
          <w:sz w:val="22"/>
          <w:szCs w:val="24"/>
          <w:rtl/>
        </w:rPr>
        <w:t>לבנה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נ</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נציבות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שירות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בתי</w:t>
      </w:r>
      <w:r w:rsidRPr="007C3B90">
        <w:rPr>
          <w:rFonts w:ascii="Century" w:hAnsi="Century" w:cs="Miriam"/>
          <w:b/>
          <w:spacing w:val="0"/>
          <w:sz w:val="22"/>
          <w:szCs w:val="24"/>
          <w:rtl/>
        </w:rPr>
        <w:t>-</w:t>
      </w:r>
      <w:r w:rsidRPr="007C3B90">
        <w:rPr>
          <w:rFonts w:ascii="Century" w:hAnsi="Century" w:cs="Miriam" w:hint="eastAsia"/>
          <w:b/>
          <w:spacing w:val="0"/>
          <w:sz w:val="22"/>
          <w:szCs w:val="24"/>
          <w:rtl/>
        </w:rPr>
        <w:t>הסוהר</w:t>
      </w:r>
      <w:r w:rsidRPr="007C3B90">
        <w:rPr>
          <w:rFonts w:ascii="Century" w:hAnsi="Century" w:hint="cs"/>
          <w:sz w:val="22"/>
          <w:rtl/>
        </w:rPr>
        <w:t>,</w:t>
      </w:r>
      <w:r w:rsidRPr="007C3B90">
        <w:rPr>
          <w:rFonts w:hint="cs"/>
          <w:rtl/>
        </w:rPr>
        <w:t xml:space="preserve"> פ"ד כח(2) 686 (1974);</w:t>
      </w:r>
      <w:r w:rsidRPr="007C3B90">
        <w:rPr>
          <w:rFonts w:hint="eastAsia"/>
          <w:rtl/>
        </w:rPr>
        <w:t xml:space="preserve"> בג</w:t>
      </w:r>
      <w:r w:rsidRPr="007C3B90">
        <w:rPr>
          <w:rtl/>
        </w:rPr>
        <w:t>"</w:t>
      </w:r>
      <w:r w:rsidRPr="007C3B90">
        <w:rPr>
          <w:rFonts w:hint="eastAsia"/>
          <w:rtl/>
        </w:rPr>
        <w:t>ץ</w:t>
      </w:r>
      <w:r w:rsidRPr="007C3B90">
        <w:rPr>
          <w:rtl/>
        </w:rPr>
        <w:t xml:space="preserve"> 148/79 </w:t>
      </w:r>
      <w:r w:rsidRPr="007C3B90">
        <w:rPr>
          <w:rFonts w:ascii="Century" w:hAnsi="Century" w:cs="Miriam" w:hint="eastAsia"/>
          <w:b/>
          <w:spacing w:val="0"/>
          <w:sz w:val="22"/>
          <w:szCs w:val="24"/>
          <w:rtl/>
        </w:rPr>
        <w:t>סער</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נ</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שר</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הפנים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והמשטרה</w:t>
      </w:r>
      <w:r w:rsidRPr="007C3B90">
        <w:rPr>
          <w:rFonts w:ascii="Century" w:hAnsi="Century" w:hint="cs"/>
          <w:sz w:val="22"/>
          <w:rtl/>
        </w:rPr>
        <w:t>,</w:t>
      </w:r>
      <w:r w:rsidRPr="007C3B90">
        <w:rPr>
          <w:rFonts w:hint="cs"/>
          <w:rtl/>
        </w:rPr>
        <w:t xml:space="preserve"> פ"ד לד(2) 169, פסקה 8</w:t>
      </w:r>
      <w:r w:rsidRPr="007C3B90">
        <w:rPr>
          <w:rtl/>
        </w:rPr>
        <w:t xml:space="preserve"> (1979)</w:t>
      </w:r>
      <w:r w:rsidRPr="007C3B90">
        <w:rPr>
          <w:rFonts w:hint="cs"/>
          <w:rtl/>
        </w:rPr>
        <w:t xml:space="preserve">. יושם אל לב, כי כל המקרים הללו עסקו, בצורות שונות, בהגנה על חופש הביטוי </w:t>
      </w:r>
      <w:r w:rsidRPr="007C3B90">
        <w:rPr>
          <w:rtl/>
        </w:rPr>
        <w:t>–</w:t>
      </w:r>
      <w:r w:rsidRPr="007C3B90">
        <w:rPr>
          <w:rFonts w:hint="cs"/>
          <w:rtl/>
        </w:rPr>
        <w:t xml:space="preserve"> וראו </w:t>
      </w:r>
      <w:r w:rsidRPr="007C3B90">
        <w:rPr>
          <w:rFonts w:ascii="Century" w:hAnsi="Century" w:cs="Miriam" w:hint="cs"/>
          <w:b/>
          <w:spacing w:val="0"/>
          <w:sz w:val="22"/>
          <w:szCs w:val="24"/>
          <w:rtl/>
        </w:rPr>
        <w:t>ברק-ארז</w:t>
      </w:r>
      <w:r w:rsidRPr="007C3B90">
        <w:rPr>
          <w:rFonts w:ascii="Century" w:hAnsi="Century" w:hint="cs"/>
          <w:sz w:val="22"/>
          <w:rtl/>
        </w:rPr>
        <w:t>,</w:t>
      </w:r>
      <w:r w:rsidRPr="007C3B90">
        <w:rPr>
          <w:rFonts w:hint="cs"/>
          <w:rtl/>
        </w:rPr>
        <w:t xml:space="preserve"> בעמ' 731). השופט </w:t>
      </w:r>
      <w:r w:rsidRPr="007C3B90">
        <w:rPr>
          <w:rFonts w:ascii="Century" w:hAnsi="Century" w:cs="Miriam" w:hint="cs"/>
          <w:b/>
          <w:spacing w:val="0"/>
          <w:sz w:val="22"/>
          <w:szCs w:val="24"/>
          <w:rtl/>
        </w:rPr>
        <w:t xml:space="preserve">ברק </w:t>
      </w:r>
      <w:r w:rsidRPr="007C3B90">
        <w:rPr>
          <w:rFonts w:hint="cs"/>
          <w:rtl/>
        </w:rPr>
        <w:t xml:space="preserve">ציין כי: </w:t>
      </w:r>
    </w:p>
    <w:p w:rsidR="00BB56BB" w:rsidRPr="007C3B90" w:rsidRDefault="00BB56BB" w:rsidP="00BB56BB">
      <w:pPr>
        <w:pStyle w:val="Ruller5"/>
        <w:rPr>
          <w:rtl/>
        </w:rPr>
      </w:pPr>
      <w:r w:rsidRPr="007C3B90">
        <w:rPr>
          <w:rtl/>
        </w:rPr>
        <w:br/>
      </w:r>
      <w:r w:rsidRPr="007C3B90">
        <w:rPr>
          <w:rFonts w:hint="cs"/>
          <w:rtl/>
        </w:rPr>
        <w:t xml:space="preserve">"במקרים אלה </w:t>
      </w:r>
      <w:r w:rsidRPr="007C3B90">
        <w:rPr>
          <w:rtl/>
        </w:rPr>
        <w:t>פעלה הרשות המינהלית בתום-לב, שלא מתוך שרירות, שקלה הגורמים הרלבנטיים, ונמנעה מלשקול גורמים שאינם רלבנטיים. הפגם העיקרי שנמצא בהחלטתה הוא איזון בצורה בלתי ראויה בין הגורמים הרלבנטיים בינם לבין עצמם. זהו פגם של חוסר סבירות מינהלית. רשות סבירה במקומה של הרשות המינהלית בדוגמאות אלה, הנותנת דעתה למטרה החקיקתית הניצבת לפניה, הייתה נותנת משקל שונה לאינטרסים השונים, ובית המשפט פסל את ההחלטה, רק מהטעם שמשקל ראוי זה לא ניתן</w:t>
      </w:r>
      <w:r w:rsidRPr="007C3B90">
        <w:rPr>
          <w:rFonts w:hint="cs"/>
          <w:rtl/>
        </w:rPr>
        <w:t xml:space="preserve">" (עניין </w:t>
      </w:r>
      <w:r w:rsidRPr="007C3B90">
        <w:rPr>
          <w:rFonts w:ascii="Century" w:hAnsi="Century" w:cs="Miriam" w:hint="cs"/>
          <w:b/>
          <w:spacing w:val="0"/>
          <w:szCs w:val="24"/>
          <w:rtl/>
        </w:rPr>
        <w:t>דפי זהב</w:t>
      </w:r>
      <w:r w:rsidRPr="007C3B90">
        <w:rPr>
          <w:rFonts w:ascii="Century" w:hAnsi="Century" w:hint="cs"/>
          <w:rtl/>
        </w:rPr>
        <w:t>,</w:t>
      </w:r>
      <w:r w:rsidRPr="007C3B90">
        <w:rPr>
          <w:rFonts w:ascii="Century" w:hAnsi="Century" w:cs="Miriam" w:hint="cs"/>
          <w:b/>
          <w:spacing w:val="0"/>
          <w:szCs w:val="24"/>
          <w:rtl/>
        </w:rPr>
        <w:t xml:space="preserve"> </w:t>
      </w:r>
      <w:r w:rsidRPr="007C3B90">
        <w:rPr>
          <w:rFonts w:hint="cs"/>
          <w:rtl/>
        </w:rPr>
        <w:t xml:space="preserve">בעמ' 446). </w:t>
      </w:r>
    </w:p>
    <w:p w:rsidR="00BB56BB" w:rsidRPr="007C3B90" w:rsidRDefault="00BB56BB" w:rsidP="00BB56BB">
      <w:pPr>
        <w:pStyle w:val="Ruller4"/>
        <w:numPr>
          <w:ilvl w:val="0"/>
          <w:numId w:val="0"/>
        </w:numPr>
        <w:rPr>
          <w:rtl/>
        </w:rPr>
      </w:pPr>
    </w:p>
    <w:p w:rsidR="00BB56BB" w:rsidRPr="007C3B90" w:rsidRDefault="00BB56BB" w:rsidP="00BB56BB">
      <w:pPr>
        <w:pStyle w:val="Ruller4"/>
      </w:pPr>
      <w:r w:rsidRPr="007C3B90">
        <w:rPr>
          <w:rFonts w:hint="cs"/>
          <w:rtl/>
        </w:rPr>
        <w:t xml:space="preserve">על שם נוסחת האיזון האמורה, כונתה עילת הסבירות החדשה בספרות המשפטית, בין היתר, בשם "סבירות איזונית" (להלן גם: </w:t>
      </w:r>
      <w:r w:rsidRPr="007C3B90">
        <w:rPr>
          <w:rFonts w:ascii="Century" w:hAnsi="Century" w:cs="Miriam" w:hint="cs"/>
          <w:b/>
          <w:spacing w:val="0"/>
          <w:sz w:val="22"/>
          <w:szCs w:val="24"/>
          <w:rtl/>
        </w:rPr>
        <w:t>סבירות רחבה</w:t>
      </w:r>
      <w:r w:rsidRPr="007C3B90">
        <w:rPr>
          <w:rFonts w:ascii="Century" w:hAnsi="Century" w:hint="cs"/>
          <w:sz w:val="22"/>
          <w:rtl/>
        </w:rPr>
        <w:t>;</w:t>
      </w:r>
      <w:r w:rsidRPr="007C3B90">
        <w:rPr>
          <w:rFonts w:hint="cs"/>
          <w:rtl/>
        </w:rPr>
        <w:t xml:space="preserve"> ראו </w:t>
      </w:r>
      <w:r w:rsidRPr="007C3B90">
        <w:rPr>
          <w:rFonts w:ascii="Century" w:hAnsi="Century" w:cs="Miriam" w:hint="cs"/>
          <w:b/>
          <w:spacing w:val="0"/>
          <w:sz w:val="22"/>
          <w:szCs w:val="24"/>
          <w:rtl/>
        </w:rPr>
        <w:t>דותן, שני מושגים</w:t>
      </w:r>
      <w:r w:rsidRPr="007C3B90">
        <w:rPr>
          <w:rFonts w:hint="cs"/>
          <w:rtl/>
        </w:rPr>
        <w:t xml:space="preserve">, בעמ' 685-681). לצד מבחן איזון האינטרסים, נקבעו בפסיקה עקרונות נוספים להפעלתה של עילת הסבירות החדשה: נקבע, כי סבירות ההחלטה נבחנת לפי מבחן אובייקטיבי של רשות מינהלית סבירה, כאשר עקרון הסבירות מכתיב "מתחם סבירות", הכולל מספר אפשרויות מהן יכולה הרשות לבחור באופן סביר. רק אם ההחלטה נופלת מחוץ לגדרי מתחם זה, באופן המשקף סטייה מהותית או קיצונית מסטנדרט ההתנהגות </w:t>
      </w:r>
      <w:r w:rsidRPr="007C3B90">
        <w:rPr>
          <w:rFonts w:hint="cs"/>
          <w:rtl/>
        </w:rPr>
        <w:lastRenderedPageBreak/>
        <w:t xml:space="preserve">של רשות מינהלית סבירה, יתערב בית המשפט ויפסול את ההחלטה (עניין </w:t>
      </w:r>
      <w:r w:rsidRPr="007C3B90">
        <w:rPr>
          <w:rFonts w:ascii="Century" w:hAnsi="Century" w:cs="Miriam" w:hint="cs"/>
          <w:b/>
          <w:spacing w:val="0"/>
          <w:szCs w:val="24"/>
          <w:rtl/>
        </w:rPr>
        <w:t>דפי זהב</w:t>
      </w:r>
      <w:r w:rsidRPr="007C3B90">
        <w:rPr>
          <w:rFonts w:ascii="Century" w:hAnsi="Century" w:hint="cs"/>
          <w:sz w:val="22"/>
          <w:rtl/>
        </w:rPr>
        <w:t>,</w:t>
      </w:r>
      <w:r w:rsidRPr="007C3B90">
        <w:rPr>
          <w:rFonts w:ascii="Century" w:hAnsi="Century" w:cs="Miriam" w:hint="cs"/>
          <w:b/>
          <w:spacing w:val="0"/>
          <w:sz w:val="22"/>
          <w:szCs w:val="24"/>
          <w:rtl/>
        </w:rPr>
        <w:t xml:space="preserve"> </w:t>
      </w:r>
      <w:r w:rsidRPr="007C3B90">
        <w:rPr>
          <w:rFonts w:hint="cs"/>
          <w:rtl/>
        </w:rPr>
        <w:t xml:space="preserve">בעמ' 444-439; מרגית כהן "עילת אי-הסבירות במשפט המנהלי: היבטים השוואתיים והערות נורמטיביות אחדות" </w:t>
      </w:r>
      <w:r w:rsidRPr="007C3B90">
        <w:rPr>
          <w:rFonts w:ascii="Century" w:hAnsi="Century" w:cs="Miriam" w:hint="cs"/>
          <w:b/>
          <w:spacing w:val="0"/>
          <w:sz w:val="22"/>
          <w:szCs w:val="24"/>
          <w:rtl/>
        </w:rPr>
        <w:t xml:space="preserve">ספר אור </w:t>
      </w:r>
      <w:r w:rsidRPr="007C3B90">
        <w:rPr>
          <w:rFonts w:ascii="Century" w:hAnsi="Century" w:cs="Miriam"/>
          <w:b/>
          <w:spacing w:val="0"/>
          <w:sz w:val="22"/>
          <w:szCs w:val="24"/>
          <w:rtl/>
        </w:rPr>
        <w:t>–</w:t>
      </w:r>
      <w:r w:rsidRPr="007C3B90">
        <w:rPr>
          <w:rFonts w:ascii="Century" w:hAnsi="Century" w:cs="Miriam" w:hint="cs"/>
          <w:b/>
          <w:spacing w:val="0"/>
          <w:sz w:val="22"/>
          <w:szCs w:val="24"/>
          <w:rtl/>
        </w:rPr>
        <w:t xml:space="preserve"> קובץ מאמרים לכבודו של השופט תיאודור אור</w:t>
      </w:r>
      <w:r w:rsidRPr="007C3B90">
        <w:rPr>
          <w:rFonts w:hint="cs"/>
          <w:rtl/>
        </w:rPr>
        <w:t xml:space="preserve"> 773, 798-797 (אהרן ברק, רון סוקול ועודד שחם עורכים 2013)). מעבר לכך נקבע, כי עילת הסבירות היא עילה עצמאית, אשר יכולה לשמש לפסילת החלטה מינהלית גם מבלי שנתגלו בהחלטה עילות פסלות נוספות (עניין </w:t>
      </w:r>
      <w:r w:rsidRPr="007C3B90">
        <w:rPr>
          <w:rFonts w:ascii="Century" w:hAnsi="Century" w:cs="Miriam" w:hint="cs"/>
          <w:b/>
          <w:spacing w:val="0"/>
          <w:sz w:val="22"/>
          <w:szCs w:val="24"/>
          <w:rtl/>
        </w:rPr>
        <w:t>דפי זהב</w:t>
      </w:r>
      <w:r w:rsidRPr="007C3B90">
        <w:rPr>
          <w:rFonts w:ascii="Century" w:hAnsi="Century" w:hint="cs"/>
          <w:sz w:val="22"/>
          <w:rtl/>
        </w:rPr>
        <w:t>,</w:t>
      </w:r>
      <w:r w:rsidRPr="007C3B90">
        <w:rPr>
          <w:rFonts w:hint="cs"/>
          <w:rtl/>
        </w:rPr>
        <w:t xml:space="preserve"> בעמ' 439-437). </w:t>
      </w:r>
      <w:r w:rsidRPr="007C3B90">
        <w:rPr>
          <w:rtl/>
        </w:rPr>
        <w:br/>
      </w:r>
    </w:p>
    <w:p w:rsidR="00BB56BB" w:rsidRPr="007C3B90" w:rsidRDefault="00BB56BB" w:rsidP="00BB56BB">
      <w:pPr>
        <w:pStyle w:val="Ruller4"/>
      </w:pPr>
      <w:r w:rsidRPr="007C3B90">
        <w:rPr>
          <w:rFonts w:hint="cs"/>
          <w:rtl/>
        </w:rPr>
        <w:t xml:space="preserve">מאז שניתן פסק הדין בעניין </w:t>
      </w:r>
      <w:r w:rsidRPr="007C3B90">
        <w:rPr>
          <w:rFonts w:ascii="Century" w:hAnsi="Century" w:cs="Miriam" w:hint="cs"/>
          <w:b/>
          <w:spacing w:val="0"/>
          <w:sz w:val="22"/>
          <w:szCs w:val="24"/>
          <w:rtl/>
        </w:rPr>
        <w:t>דפי זהב</w:t>
      </w:r>
      <w:r w:rsidRPr="007C3B90">
        <w:rPr>
          <w:rFonts w:hint="cs"/>
          <w:rtl/>
        </w:rPr>
        <w:t>, קנתה לה עילת הסבירות האיזונית אחיזה איתנה בפסיקה, כעילת פסלות עצמאית העומדת על רגליה שלה, המחליפה את סטנדרט הסבירות של מופרכות שנהג קודם לכן. בתוך כך, אף התנתקה עילה זו, מבחינה רעיונית, מדוקטרינת חוסר הסמכות (</w:t>
      </w:r>
      <w:r w:rsidRPr="007C3B90">
        <w:rPr>
          <w:rFonts w:ascii="Century" w:hAnsi="Century" w:cs="Miriam" w:hint="cs"/>
          <w:b/>
          <w:spacing w:val="0"/>
          <w:sz w:val="22"/>
          <w:szCs w:val="24"/>
          <w:rtl/>
        </w:rPr>
        <w:t>דותן, שני מושגים</w:t>
      </w:r>
      <w:r w:rsidRPr="007C3B90">
        <w:rPr>
          <w:rFonts w:ascii="Century" w:hAnsi="Century" w:hint="cs"/>
          <w:sz w:val="22"/>
          <w:rtl/>
        </w:rPr>
        <w:t>,</w:t>
      </w:r>
      <w:r w:rsidRPr="007C3B90">
        <w:rPr>
          <w:rFonts w:hint="cs"/>
          <w:rtl/>
        </w:rPr>
        <w:t xml:space="preserve"> בעמ' 684). על השינוי שחל בהקשר זה עמד השופט </w:t>
      </w:r>
      <w:r w:rsidRPr="007C3B90">
        <w:rPr>
          <w:rFonts w:ascii="Century" w:hAnsi="Century" w:cs="Miriam" w:hint="cs"/>
          <w:b/>
          <w:spacing w:val="0"/>
          <w:sz w:val="22"/>
          <w:szCs w:val="24"/>
          <w:rtl/>
        </w:rPr>
        <w:t>ברק</w:t>
      </w:r>
      <w:r w:rsidRPr="007C3B90">
        <w:rPr>
          <w:rFonts w:hint="cs"/>
          <w:rtl/>
        </w:rPr>
        <w:t xml:space="preserve"> בעניין </w:t>
      </w:r>
      <w:r w:rsidRPr="007C3B90">
        <w:rPr>
          <w:rFonts w:ascii="Century" w:hAnsi="Century" w:cs="Miriam" w:hint="cs"/>
          <w:b/>
          <w:spacing w:val="0"/>
          <w:sz w:val="22"/>
          <w:szCs w:val="24"/>
          <w:rtl/>
        </w:rPr>
        <w:t>שניצר</w:t>
      </w:r>
      <w:r w:rsidRPr="007C3B90">
        <w:rPr>
          <w:rFonts w:hint="cs"/>
          <w:rtl/>
        </w:rPr>
        <w:t xml:space="preserve">, עת שציין, בהתייחס להלכה המאפשרת התערבות בהחלטה "מופרכת או אבסורדית", כי: </w:t>
      </w:r>
    </w:p>
    <w:p w:rsidR="00BB56BB" w:rsidRPr="007C3B90" w:rsidRDefault="00BB56BB" w:rsidP="00BB56BB">
      <w:pPr>
        <w:pStyle w:val="Ruller5"/>
      </w:pPr>
      <w:r w:rsidRPr="007C3B90">
        <w:rPr>
          <w:rtl/>
        </w:rPr>
        <w:br/>
      </w:r>
      <w:r w:rsidRPr="007C3B90">
        <w:rPr>
          <w:rFonts w:hint="cs"/>
          <w:rtl/>
        </w:rPr>
        <w:t>"נ</w:t>
      </w:r>
      <w:r w:rsidRPr="007C3B90">
        <w:rPr>
          <w:rtl/>
        </w:rPr>
        <w:t>יסוח זה תאם יפה את התפתחותם של דיני שיקול הדעת המינהלי לפני למעלה משלושים שנה. בינתיים פותחה תורת שיקול הדעת. נקבע, בין השאר, כי החלטה בלתי סבירה - גם אם אינה מופרכת או אבסורדית - אינה החלטה חוקי</w:t>
      </w:r>
      <w:r w:rsidRPr="007C3B90">
        <w:rPr>
          <w:rFonts w:hint="cs"/>
          <w:rtl/>
        </w:rPr>
        <w:t xml:space="preserve">ת" (בג"ץ 680/88 </w:t>
      </w:r>
      <w:r w:rsidRPr="007C3B90">
        <w:rPr>
          <w:rFonts w:ascii="Century" w:hAnsi="Century" w:cs="Miriam" w:hint="cs"/>
          <w:b/>
          <w:spacing w:val="0"/>
          <w:szCs w:val="24"/>
          <w:rtl/>
        </w:rPr>
        <w:t>שניצר נ' הצנזור הצבאי הראשי</w:t>
      </w:r>
      <w:r w:rsidRPr="007C3B90">
        <w:rPr>
          <w:rFonts w:ascii="Century" w:hAnsi="Century" w:hint="cs"/>
          <w:rtl/>
        </w:rPr>
        <w:t>,</w:t>
      </w:r>
      <w:r w:rsidRPr="007C3B90">
        <w:rPr>
          <w:rFonts w:ascii="Century" w:hAnsi="Century" w:cs="Miriam" w:hint="cs"/>
          <w:b/>
          <w:spacing w:val="0"/>
          <w:szCs w:val="24"/>
          <w:rtl/>
        </w:rPr>
        <w:t xml:space="preserve"> </w:t>
      </w:r>
      <w:r w:rsidRPr="007C3B90">
        <w:rPr>
          <w:rFonts w:hint="cs"/>
          <w:rtl/>
        </w:rPr>
        <w:t xml:space="preserve">פ"ד מב(4) 617, 639 (1989)). </w:t>
      </w:r>
      <w:r w:rsidRPr="007C3B90">
        <w:rPr>
          <w:rtl/>
        </w:rPr>
        <w:br/>
      </w:r>
    </w:p>
    <w:p w:rsidR="00BB56BB" w:rsidRPr="007C3B90" w:rsidRDefault="00BB56BB" w:rsidP="00715D85">
      <w:pPr>
        <w:pStyle w:val="Ruller4"/>
        <w:numPr>
          <w:ilvl w:val="0"/>
          <w:numId w:val="0"/>
        </w:numPr>
        <w:spacing w:line="276" w:lineRule="auto"/>
        <w:rPr>
          <w:rtl/>
        </w:rPr>
      </w:pPr>
    </w:p>
    <w:p w:rsidR="00BB56BB" w:rsidRPr="007C3B90" w:rsidRDefault="00BB56BB" w:rsidP="00BB56BB">
      <w:pPr>
        <w:pStyle w:val="Ruller4"/>
        <w:numPr>
          <w:ilvl w:val="0"/>
          <w:numId w:val="0"/>
        </w:numPr>
      </w:pPr>
      <w:r w:rsidRPr="007C3B90">
        <w:rPr>
          <w:rtl/>
        </w:rPr>
        <w:tab/>
      </w:r>
      <w:r w:rsidRPr="007C3B90">
        <w:rPr>
          <w:rFonts w:hint="cs"/>
          <w:rtl/>
        </w:rPr>
        <w:t xml:space="preserve">בלבושה החדש, הפכה עילת הסבירות לכלי מרכזי ועיקרי לביקורת שיפוטית על החלטות מינהליות. עילה זו שימשה לבחינת החלטות בתחומים שונים, ביניהם, ומבלי למצות </w:t>
      </w:r>
      <w:r w:rsidRPr="007C3B90">
        <w:rPr>
          <w:rtl/>
        </w:rPr>
        <w:t>–</w:t>
      </w:r>
      <w:r w:rsidRPr="007C3B90">
        <w:rPr>
          <w:rFonts w:hint="cs"/>
          <w:rtl/>
        </w:rPr>
        <w:t xml:space="preserve"> ענייני מינויים ופיטורים; העמדה לדין; כניסה ויציאה מישראל; הסכמים פוליטיים; ניהול משא ומתן מדיני; החלטות תכנוניות: הקמת ועדת חקירה ממלכתית; קביעת מדיניות פיסקלית; הענקת פרס ישראל; כיתוב על קברי חללי צה"ל; מיגון כיתות לימוד; ועוד רבים אחרים (ראו את הסקירה אצל </w:t>
      </w:r>
      <w:r w:rsidRPr="007C3B90">
        <w:rPr>
          <w:rFonts w:ascii="Century" w:hAnsi="Century" w:cs="Miriam" w:hint="cs"/>
          <w:b/>
          <w:spacing w:val="0"/>
          <w:szCs w:val="24"/>
          <w:rtl/>
        </w:rPr>
        <w:t>ברק-ארז</w:t>
      </w:r>
      <w:r w:rsidRPr="007C3B90">
        <w:rPr>
          <w:rFonts w:hint="cs"/>
          <w:rtl/>
        </w:rPr>
        <w:t xml:space="preserve">, בעמ' 761-733. כן ראו את הסקירה בסעיף א.3 לתשובת הכנסת לעתירות). בשל תחולתה הרחבה של עילה זו, היו שהתייחסו אליה כאל "עילת סל" או "עילת מסגרת" במשפט המינהלי, בדומה לעוולת הרשלנות בדיני הנזיקין (בג"ץ 3648/97 </w:t>
      </w:r>
      <w:r w:rsidRPr="007C3B90">
        <w:rPr>
          <w:rFonts w:ascii="Century" w:hAnsi="Century" w:cs="Miriam" w:hint="cs"/>
          <w:b/>
          <w:spacing w:val="0"/>
          <w:szCs w:val="24"/>
          <w:rtl/>
        </w:rPr>
        <w:t>סטמקה נ' שר הפנים</w:t>
      </w:r>
      <w:r w:rsidRPr="007C3B90">
        <w:rPr>
          <w:rFonts w:ascii="Century" w:hAnsi="Century" w:hint="cs"/>
          <w:rtl/>
        </w:rPr>
        <w:t>,</w:t>
      </w:r>
      <w:r w:rsidRPr="007C3B90">
        <w:rPr>
          <w:rFonts w:hint="cs"/>
          <w:rtl/>
        </w:rPr>
        <w:t xml:space="preserve"> פ"ד נג(2) 728, 778 (1999); מיכל שקד "הערות על ביקורת הסבירות במשפט המינהלי" </w:t>
      </w:r>
      <w:r w:rsidRPr="007C3B90">
        <w:rPr>
          <w:rFonts w:ascii="Century" w:hAnsi="Century" w:cs="Miriam" w:hint="cs"/>
          <w:b/>
          <w:spacing w:val="0"/>
          <w:szCs w:val="24"/>
          <w:rtl/>
        </w:rPr>
        <w:t xml:space="preserve">משפטים </w:t>
      </w:r>
      <w:r w:rsidRPr="007C3B90">
        <w:rPr>
          <w:rFonts w:hint="cs"/>
          <w:rtl/>
        </w:rPr>
        <w:t xml:space="preserve">יב 102, 123 (התשמ"ב) (להלן: </w:t>
      </w:r>
      <w:r w:rsidRPr="007C3B90">
        <w:rPr>
          <w:rFonts w:ascii="Century" w:hAnsi="Century" w:cs="Miriam" w:hint="cs"/>
          <w:b/>
          <w:spacing w:val="0"/>
          <w:szCs w:val="24"/>
          <w:rtl/>
        </w:rPr>
        <w:t>שקד</w:t>
      </w:r>
      <w:r w:rsidRPr="007C3B90">
        <w:rPr>
          <w:rFonts w:hint="cs"/>
          <w:rtl/>
        </w:rPr>
        <w:t xml:space="preserve">)). היקפה הרחב של העילה, אף שימש להרחבת דוקטרינת השפיטות </w:t>
      </w:r>
      <w:r w:rsidRPr="007C3B90">
        <w:rPr>
          <w:rtl/>
        </w:rPr>
        <w:t>–</w:t>
      </w:r>
      <w:r w:rsidRPr="007C3B90">
        <w:rPr>
          <w:rFonts w:hint="cs"/>
          <w:rtl/>
        </w:rPr>
        <w:t xml:space="preserve"> מקום שעילה זו סיפקה אמות מידה משפטיות לבחינת מקרים אשר לא הוסדרו על-ידי נורמה משפטית אחרת (בג"ץ 910/86 </w:t>
      </w:r>
      <w:r w:rsidRPr="007C3B90">
        <w:rPr>
          <w:rFonts w:ascii="Century" w:hAnsi="Century" w:cs="Miriam" w:hint="cs"/>
          <w:b/>
          <w:spacing w:val="0"/>
          <w:szCs w:val="24"/>
          <w:rtl/>
        </w:rPr>
        <w:t>רסלר נ' שר הביטחון</w:t>
      </w:r>
      <w:r w:rsidRPr="007C3B90">
        <w:rPr>
          <w:rFonts w:ascii="Century" w:hAnsi="Century" w:hint="cs"/>
          <w:rtl/>
        </w:rPr>
        <w:t>,</w:t>
      </w:r>
      <w:r w:rsidRPr="007C3B90">
        <w:rPr>
          <w:rFonts w:hint="cs"/>
          <w:rtl/>
        </w:rPr>
        <w:t xml:space="preserve"> פ"ד מב(2) 441, 482-478 (1988); </w:t>
      </w:r>
      <w:r w:rsidRPr="007C3B90">
        <w:rPr>
          <w:rFonts w:ascii="Century" w:hAnsi="Century" w:cs="Miriam" w:hint="cs"/>
          <w:b/>
          <w:spacing w:val="0"/>
          <w:szCs w:val="24"/>
          <w:rtl/>
        </w:rPr>
        <w:t>ברק ארז</w:t>
      </w:r>
      <w:r w:rsidRPr="007C3B90">
        <w:rPr>
          <w:rFonts w:ascii="Century" w:hAnsi="Century" w:hint="cs"/>
          <w:rtl/>
        </w:rPr>
        <w:t xml:space="preserve">, </w:t>
      </w:r>
      <w:r w:rsidRPr="007C3B90">
        <w:rPr>
          <w:rFonts w:hint="cs"/>
          <w:rtl/>
        </w:rPr>
        <w:t xml:space="preserve">בעמ' 763-762; משה לנדוי "על שפיטות וסבירות בדין </w:t>
      </w:r>
      <w:r w:rsidRPr="007C3B90">
        <w:rPr>
          <w:rFonts w:hint="cs"/>
          <w:rtl/>
        </w:rPr>
        <w:lastRenderedPageBreak/>
        <w:t xml:space="preserve">המינהלי" </w:t>
      </w:r>
      <w:r w:rsidRPr="007C3B90">
        <w:rPr>
          <w:rFonts w:ascii="Century" w:hAnsi="Century" w:cs="Miriam" w:hint="cs"/>
          <w:b/>
          <w:spacing w:val="0"/>
          <w:szCs w:val="24"/>
          <w:rtl/>
        </w:rPr>
        <w:t>עיוני משפט</w:t>
      </w:r>
      <w:r w:rsidRPr="007C3B90">
        <w:rPr>
          <w:rFonts w:hint="cs"/>
          <w:rtl/>
        </w:rPr>
        <w:t xml:space="preserve"> יד 5 (1989)). ניתן לומר, כי </w:t>
      </w:r>
      <w:r w:rsidRPr="007C3B90">
        <w:rPr>
          <w:rFonts w:hint="eastAsia"/>
          <w:rtl/>
        </w:rPr>
        <w:t>רוב</w:t>
      </w:r>
      <w:r w:rsidRPr="007C3B90">
        <w:rPr>
          <w:rtl/>
        </w:rPr>
        <w:t xml:space="preserve"> </w:t>
      </w:r>
      <w:r w:rsidRPr="007C3B90">
        <w:rPr>
          <w:rFonts w:hint="eastAsia"/>
          <w:rtl/>
        </w:rPr>
        <w:t>מלומדי</w:t>
      </w:r>
      <w:r w:rsidRPr="007C3B90">
        <w:rPr>
          <w:rtl/>
        </w:rPr>
        <w:t xml:space="preserve"> </w:t>
      </w:r>
      <w:r w:rsidRPr="007C3B90">
        <w:rPr>
          <w:rFonts w:hint="eastAsia"/>
          <w:rtl/>
        </w:rPr>
        <w:t>המשפט</w:t>
      </w:r>
      <w:r w:rsidRPr="007C3B90">
        <w:rPr>
          <w:rtl/>
        </w:rPr>
        <w:t xml:space="preserve"> </w:t>
      </w:r>
      <w:r w:rsidRPr="007C3B90">
        <w:rPr>
          <w:rFonts w:hint="eastAsia"/>
          <w:rtl/>
        </w:rPr>
        <w:t>רא</w:t>
      </w:r>
      <w:r w:rsidRPr="007C3B90">
        <w:rPr>
          <w:rFonts w:hint="cs"/>
          <w:rtl/>
        </w:rPr>
        <w:t>ו</w:t>
      </w:r>
      <w:r w:rsidRPr="007C3B90">
        <w:rPr>
          <w:rtl/>
        </w:rPr>
        <w:t xml:space="preserve"> </w:t>
      </w:r>
      <w:r w:rsidRPr="007C3B90">
        <w:rPr>
          <w:rFonts w:hint="cs"/>
          <w:rtl/>
        </w:rPr>
        <w:t xml:space="preserve">בעילת הסבירות החדשה </w:t>
      </w:r>
      <w:r w:rsidRPr="007C3B90">
        <w:rPr>
          <w:rFonts w:hint="eastAsia"/>
          <w:rtl/>
        </w:rPr>
        <w:t>ציון</w:t>
      </w:r>
      <w:r w:rsidRPr="007C3B90">
        <w:rPr>
          <w:rtl/>
        </w:rPr>
        <w:t xml:space="preserve"> דרך, אם לא מהפכה של ממש, מבחינת הרחבת </w:t>
      </w:r>
      <w:r w:rsidRPr="007C3B90">
        <w:rPr>
          <w:rFonts w:hint="eastAsia"/>
          <w:rtl/>
        </w:rPr>
        <w:t>היקף</w:t>
      </w:r>
      <w:r w:rsidRPr="007C3B90">
        <w:rPr>
          <w:rtl/>
        </w:rPr>
        <w:t xml:space="preserve"> </w:t>
      </w:r>
      <w:r w:rsidRPr="007C3B90">
        <w:rPr>
          <w:rFonts w:hint="eastAsia"/>
          <w:rtl/>
        </w:rPr>
        <w:t>הביקורת</w:t>
      </w:r>
      <w:r w:rsidRPr="007C3B90">
        <w:rPr>
          <w:rtl/>
        </w:rPr>
        <w:t xml:space="preserve"> השיפוטית על פעולות הרשות</w:t>
      </w:r>
      <w:r w:rsidRPr="007C3B90">
        <w:rPr>
          <w:rFonts w:hint="cs"/>
          <w:rtl/>
        </w:rPr>
        <w:t xml:space="preserve"> </w:t>
      </w:r>
      <w:r w:rsidRPr="007C3B90">
        <w:rPr>
          <w:rtl/>
        </w:rPr>
        <w:t>–</w:t>
      </w:r>
      <w:r w:rsidRPr="007C3B90">
        <w:rPr>
          <w:rFonts w:hint="cs"/>
          <w:rtl/>
        </w:rPr>
        <w:t xml:space="preserve"> במובן זו שמכוחה</w:t>
      </w:r>
      <w:r w:rsidRPr="007C3B90">
        <w:rPr>
          <w:rtl/>
        </w:rPr>
        <w:t xml:space="preserve"> </w:t>
      </w:r>
      <w:r w:rsidRPr="007C3B90">
        <w:rPr>
          <w:rFonts w:hint="eastAsia"/>
          <w:rtl/>
        </w:rPr>
        <w:t>ניתן</w:t>
      </w:r>
      <w:r w:rsidRPr="007C3B90">
        <w:rPr>
          <w:rtl/>
        </w:rPr>
        <w:t xml:space="preserve"> לפסול </w:t>
      </w:r>
      <w:r w:rsidRPr="007C3B90">
        <w:rPr>
          <w:rFonts w:hint="eastAsia"/>
          <w:rtl/>
        </w:rPr>
        <w:t>החלטה</w:t>
      </w:r>
      <w:r w:rsidRPr="007C3B90">
        <w:rPr>
          <w:rtl/>
        </w:rPr>
        <w:t xml:space="preserve"> </w:t>
      </w:r>
      <w:r w:rsidRPr="007C3B90">
        <w:rPr>
          <w:rFonts w:hint="eastAsia"/>
          <w:rtl/>
        </w:rPr>
        <w:t>מינהלית</w:t>
      </w:r>
      <w:r w:rsidRPr="007C3B90">
        <w:rPr>
          <w:rtl/>
        </w:rPr>
        <w:t xml:space="preserve"> </w:t>
      </w:r>
      <w:r w:rsidRPr="007C3B90">
        <w:rPr>
          <w:rFonts w:hint="eastAsia"/>
          <w:rtl/>
        </w:rPr>
        <w:t>למרות</w:t>
      </w:r>
      <w:r w:rsidRPr="007C3B90">
        <w:rPr>
          <w:rtl/>
        </w:rPr>
        <w:t xml:space="preserve"> </w:t>
      </w:r>
      <w:r w:rsidRPr="007C3B90">
        <w:rPr>
          <w:rFonts w:hint="eastAsia"/>
          <w:rtl/>
        </w:rPr>
        <w:t>שזו</w:t>
      </w:r>
      <w:r w:rsidRPr="007C3B90">
        <w:rPr>
          <w:rtl/>
        </w:rPr>
        <w:t xml:space="preserve"> </w:t>
      </w:r>
      <w:r w:rsidRPr="007C3B90">
        <w:rPr>
          <w:rFonts w:hint="eastAsia"/>
          <w:rtl/>
        </w:rPr>
        <w:t>התקבלה</w:t>
      </w:r>
      <w:r w:rsidRPr="007C3B90">
        <w:rPr>
          <w:rFonts w:hint="cs"/>
          <w:rtl/>
        </w:rPr>
        <w:t xml:space="preserve"> </w:t>
      </w:r>
      <w:r w:rsidRPr="007C3B90">
        <w:rPr>
          <w:rtl/>
        </w:rPr>
        <w:t>בסמכות, בתום לב, בהליך מינהלי תקין ו</w:t>
      </w:r>
      <w:r w:rsidRPr="007C3B90">
        <w:rPr>
          <w:rFonts w:hint="eastAsia"/>
          <w:rtl/>
        </w:rPr>
        <w:t>תוך</w:t>
      </w:r>
      <w:r w:rsidRPr="007C3B90">
        <w:rPr>
          <w:rtl/>
        </w:rPr>
        <w:t xml:space="preserve"> </w:t>
      </w:r>
      <w:r w:rsidRPr="007C3B90">
        <w:rPr>
          <w:rFonts w:hint="eastAsia"/>
          <w:rtl/>
        </w:rPr>
        <w:t>שקילת</w:t>
      </w:r>
      <w:r w:rsidRPr="007C3B90">
        <w:rPr>
          <w:rtl/>
        </w:rPr>
        <w:t xml:space="preserve"> </w:t>
      </w:r>
      <w:r w:rsidRPr="007C3B90">
        <w:rPr>
          <w:rFonts w:hint="eastAsia"/>
          <w:rtl/>
        </w:rPr>
        <w:t>כל</w:t>
      </w:r>
      <w:r w:rsidRPr="007C3B90">
        <w:rPr>
          <w:rtl/>
        </w:rPr>
        <w:t xml:space="preserve"> </w:t>
      </w:r>
      <w:r w:rsidRPr="007C3B90">
        <w:rPr>
          <w:rFonts w:hint="eastAsia"/>
          <w:rtl/>
        </w:rPr>
        <w:t>השיקולים</w:t>
      </w:r>
      <w:r w:rsidRPr="007C3B90">
        <w:rPr>
          <w:rtl/>
        </w:rPr>
        <w:t xml:space="preserve"> </w:t>
      </w:r>
      <w:r w:rsidRPr="007C3B90">
        <w:rPr>
          <w:rFonts w:hint="eastAsia"/>
          <w:rtl/>
        </w:rPr>
        <w:t>הנוגעים</w:t>
      </w:r>
      <w:r w:rsidRPr="007C3B90">
        <w:rPr>
          <w:rtl/>
        </w:rPr>
        <w:t xml:space="preserve"> </w:t>
      </w:r>
      <w:r w:rsidRPr="007C3B90">
        <w:rPr>
          <w:rFonts w:hint="eastAsia"/>
          <w:rtl/>
        </w:rPr>
        <w:t>לענ</w:t>
      </w:r>
      <w:r w:rsidRPr="007C3B90">
        <w:rPr>
          <w:rFonts w:hint="cs"/>
          <w:rtl/>
        </w:rPr>
        <w:t>י</w:t>
      </w:r>
      <w:r w:rsidRPr="007C3B90">
        <w:rPr>
          <w:rFonts w:hint="eastAsia"/>
          <w:rtl/>
        </w:rPr>
        <w:t>ין</w:t>
      </w:r>
      <w:r w:rsidRPr="007C3B90">
        <w:rPr>
          <w:rtl/>
        </w:rPr>
        <w:t xml:space="preserve">, </w:t>
      </w:r>
      <w:r w:rsidRPr="007C3B90">
        <w:rPr>
          <w:rFonts w:hint="eastAsia"/>
          <w:rtl/>
        </w:rPr>
        <w:t>והם</w:t>
      </w:r>
      <w:r w:rsidRPr="007C3B90">
        <w:rPr>
          <w:rtl/>
        </w:rPr>
        <w:t xml:space="preserve"> </w:t>
      </w:r>
      <w:r w:rsidRPr="007C3B90">
        <w:rPr>
          <w:rFonts w:hint="eastAsia"/>
          <w:rtl/>
        </w:rPr>
        <w:t>בלבד</w:t>
      </w:r>
      <w:r w:rsidRPr="007C3B90">
        <w:rPr>
          <w:rtl/>
        </w:rPr>
        <w:t xml:space="preserve"> (</w:t>
      </w:r>
      <w:r w:rsidRPr="007C3B90">
        <w:rPr>
          <w:rFonts w:hint="cs"/>
          <w:rtl/>
        </w:rPr>
        <w:t xml:space="preserve">ראו: </w:t>
      </w:r>
      <w:r w:rsidRPr="007C3B90">
        <w:rPr>
          <w:rFonts w:ascii="Century" w:hAnsi="Century" w:cs="Miriam" w:hint="eastAsia"/>
          <w:b/>
          <w:spacing w:val="0"/>
          <w:szCs w:val="24"/>
          <w:rtl/>
        </w:rPr>
        <w:t>ברק</w:t>
      </w:r>
      <w:r w:rsidRPr="007C3B90">
        <w:rPr>
          <w:rFonts w:ascii="Century" w:hAnsi="Century" w:cs="Miriam"/>
          <w:b/>
          <w:spacing w:val="0"/>
          <w:szCs w:val="24"/>
          <w:rtl/>
        </w:rPr>
        <w:t>-</w:t>
      </w:r>
      <w:r w:rsidRPr="007C3B90">
        <w:rPr>
          <w:rFonts w:ascii="Century" w:hAnsi="Century" w:cs="Miriam" w:hint="eastAsia"/>
          <w:b/>
          <w:spacing w:val="0"/>
          <w:szCs w:val="24"/>
          <w:rtl/>
        </w:rPr>
        <w:t>ארז</w:t>
      </w:r>
      <w:r w:rsidRPr="007C3B90">
        <w:rPr>
          <w:rtl/>
        </w:rPr>
        <w:t xml:space="preserve">, בעמ' 725; </w:t>
      </w:r>
      <w:r w:rsidRPr="007C3B90">
        <w:rPr>
          <w:rFonts w:ascii="Century" w:hAnsi="Century" w:cs="Miriam" w:hint="eastAsia"/>
          <w:b/>
          <w:spacing w:val="0"/>
          <w:szCs w:val="24"/>
          <w:rtl/>
        </w:rPr>
        <w:t>דותן</w:t>
      </w:r>
      <w:r w:rsidRPr="007C3B90">
        <w:rPr>
          <w:rFonts w:ascii="Century" w:hAnsi="Century" w:cs="Miriam"/>
          <w:b/>
          <w:spacing w:val="0"/>
          <w:szCs w:val="24"/>
          <w:rtl/>
        </w:rPr>
        <w:t xml:space="preserve">, </w:t>
      </w:r>
      <w:r w:rsidRPr="007C3B90">
        <w:rPr>
          <w:rFonts w:ascii="Century" w:hAnsi="Century" w:cs="Miriam" w:hint="eastAsia"/>
          <w:b/>
          <w:spacing w:val="0"/>
          <w:szCs w:val="24"/>
          <w:rtl/>
        </w:rPr>
        <w:t>שני</w:t>
      </w:r>
      <w:r w:rsidRPr="007C3B90">
        <w:rPr>
          <w:rFonts w:ascii="Century" w:hAnsi="Century" w:cs="Miriam"/>
          <w:b/>
          <w:spacing w:val="0"/>
          <w:szCs w:val="24"/>
          <w:rtl/>
        </w:rPr>
        <w:t xml:space="preserve"> </w:t>
      </w:r>
      <w:r w:rsidRPr="007C3B90">
        <w:rPr>
          <w:rFonts w:ascii="Century" w:hAnsi="Century" w:cs="Miriam" w:hint="eastAsia"/>
          <w:b/>
          <w:spacing w:val="0"/>
          <w:szCs w:val="24"/>
          <w:rtl/>
        </w:rPr>
        <w:t>מושגים</w:t>
      </w:r>
      <w:r w:rsidRPr="007C3B90">
        <w:rPr>
          <w:rFonts w:ascii="Century" w:hAnsi="Century"/>
          <w:rtl/>
        </w:rPr>
        <w:t>,</w:t>
      </w:r>
      <w:r w:rsidRPr="007C3B90">
        <w:rPr>
          <w:rFonts w:hint="cs"/>
          <w:rtl/>
        </w:rPr>
        <w:t xml:space="preserve"> בעמ'</w:t>
      </w:r>
      <w:r w:rsidRPr="007C3B90">
        <w:rPr>
          <w:rtl/>
        </w:rPr>
        <w:t xml:space="preserve"> 674).</w:t>
      </w:r>
    </w:p>
    <w:p w:rsidR="00BB56BB" w:rsidRPr="007C3B90" w:rsidRDefault="00BB56BB" w:rsidP="00BB56BB">
      <w:pPr>
        <w:pStyle w:val="Ruller4"/>
        <w:numPr>
          <w:ilvl w:val="0"/>
          <w:numId w:val="0"/>
        </w:numPr>
        <w:rPr>
          <w:rtl/>
        </w:rPr>
      </w:pPr>
      <w:r w:rsidRPr="007C3B90">
        <w:rPr>
          <w:rFonts w:hint="cs"/>
          <w:rtl/>
        </w:rPr>
        <w:t xml:space="preserve"> </w:t>
      </w:r>
    </w:p>
    <w:p w:rsidR="00BB56BB" w:rsidRPr="007C3B90" w:rsidRDefault="00BB56BB" w:rsidP="00BB56BB">
      <w:pPr>
        <w:pStyle w:val="Ruller4"/>
        <w:rPr>
          <w:rtl/>
        </w:rPr>
      </w:pPr>
      <w:r w:rsidRPr="007C3B90">
        <w:rPr>
          <w:rFonts w:hint="eastAsia"/>
          <w:rtl/>
        </w:rPr>
        <w:t>על</w:t>
      </w:r>
      <w:r w:rsidRPr="007C3B90">
        <w:rPr>
          <w:rtl/>
        </w:rPr>
        <w:t xml:space="preserve"> </w:t>
      </w:r>
      <w:r w:rsidRPr="007C3B90">
        <w:rPr>
          <w:rFonts w:hint="eastAsia"/>
          <w:rtl/>
        </w:rPr>
        <w:t>התמורה</w:t>
      </w:r>
      <w:r w:rsidRPr="007C3B90">
        <w:rPr>
          <w:rtl/>
        </w:rPr>
        <w:t xml:space="preserve"> </w:t>
      </w:r>
      <w:r w:rsidRPr="007C3B90">
        <w:rPr>
          <w:rFonts w:hint="eastAsia"/>
          <w:rtl/>
        </w:rPr>
        <w:t>שחלה</w:t>
      </w:r>
      <w:r w:rsidRPr="007C3B90">
        <w:rPr>
          <w:rtl/>
        </w:rPr>
        <w:t xml:space="preserve"> </w:t>
      </w:r>
      <w:r w:rsidRPr="007C3B90">
        <w:rPr>
          <w:rFonts w:hint="eastAsia"/>
          <w:rtl/>
        </w:rPr>
        <w:t>בדמותה</w:t>
      </w:r>
      <w:r w:rsidRPr="007C3B90">
        <w:rPr>
          <w:rtl/>
        </w:rPr>
        <w:t xml:space="preserve"> </w:t>
      </w:r>
      <w:r w:rsidRPr="007C3B90">
        <w:rPr>
          <w:rFonts w:hint="eastAsia"/>
          <w:rtl/>
        </w:rPr>
        <w:t>של</w:t>
      </w:r>
      <w:r w:rsidRPr="007C3B90">
        <w:rPr>
          <w:rtl/>
        </w:rPr>
        <w:t xml:space="preserve"> </w:t>
      </w:r>
      <w:r w:rsidRPr="007C3B90">
        <w:rPr>
          <w:rFonts w:hint="eastAsia"/>
          <w:rtl/>
        </w:rPr>
        <w:t>עילת</w:t>
      </w:r>
      <w:r w:rsidRPr="007C3B90">
        <w:rPr>
          <w:rtl/>
        </w:rPr>
        <w:t xml:space="preserve"> </w:t>
      </w:r>
      <w:r w:rsidRPr="007C3B90">
        <w:rPr>
          <w:rFonts w:hint="eastAsia"/>
          <w:rtl/>
        </w:rPr>
        <w:t>הסבירות</w:t>
      </w:r>
      <w:r w:rsidRPr="007C3B90">
        <w:rPr>
          <w:rFonts w:hint="cs"/>
          <w:rtl/>
        </w:rPr>
        <w:t>,</w:t>
      </w:r>
      <w:r w:rsidRPr="007C3B90">
        <w:rPr>
          <w:rtl/>
        </w:rPr>
        <w:t xml:space="preserve"> </w:t>
      </w:r>
      <w:r w:rsidRPr="007C3B90">
        <w:rPr>
          <w:rFonts w:hint="eastAsia"/>
          <w:rtl/>
        </w:rPr>
        <w:t>והשימוש</w:t>
      </w:r>
      <w:r w:rsidRPr="007C3B90">
        <w:rPr>
          <w:rtl/>
        </w:rPr>
        <w:t xml:space="preserve"> </w:t>
      </w:r>
      <w:r w:rsidRPr="007C3B90">
        <w:rPr>
          <w:rFonts w:hint="eastAsia"/>
          <w:rtl/>
        </w:rPr>
        <w:t>שנעשה</w:t>
      </w:r>
      <w:r w:rsidRPr="007C3B90">
        <w:rPr>
          <w:rtl/>
        </w:rPr>
        <w:t xml:space="preserve"> </w:t>
      </w:r>
      <w:r w:rsidRPr="007C3B90">
        <w:rPr>
          <w:rFonts w:hint="eastAsia"/>
          <w:rtl/>
        </w:rPr>
        <w:t>בה</w:t>
      </w:r>
      <w:r w:rsidRPr="007C3B90">
        <w:rPr>
          <w:rtl/>
        </w:rPr>
        <w:t xml:space="preserve"> </w:t>
      </w:r>
      <w:r w:rsidRPr="007C3B90">
        <w:rPr>
          <w:rFonts w:hint="eastAsia"/>
          <w:rtl/>
        </w:rPr>
        <w:t>במובנה</w:t>
      </w:r>
      <w:r w:rsidRPr="007C3B90">
        <w:rPr>
          <w:rtl/>
        </w:rPr>
        <w:t xml:space="preserve"> </w:t>
      </w:r>
      <w:r w:rsidRPr="007C3B90">
        <w:rPr>
          <w:rFonts w:hint="eastAsia"/>
          <w:rtl/>
        </w:rPr>
        <w:t>הרחב</w:t>
      </w:r>
      <w:r w:rsidRPr="007C3B90">
        <w:rPr>
          <w:rtl/>
        </w:rPr>
        <w:t xml:space="preserve">, </w:t>
      </w:r>
      <w:r w:rsidRPr="007C3B90">
        <w:rPr>
          <w:rFonts w:hint="eastAsia"/>
          <w:rtl/>
        </w:rPr>
        <w:t>נמתחה</w:t>
      </w:r>
      <w:r w:rsidRPr="007C3B90">
        <w:rPr>
          <w:rtl/>
        </w:rPr>
        <w:t xml:space="preserve"> </w:t>
      </w:r>
      <w:r w:rsidRPr="007C3B90">
        <w:rPr>
          <w:rFonts w:hint="eastAsia"/>
          <w:rtl/>
        </w:rPr>
        <w:t>במהלך</w:t>
      </w:r>
      <w:r w:rsidRPr="007C3B90">
        <w:rPr>
          <w:rtl/>
        </w:rPr>
        <w:t xml:space="preserve"> </w:t>
      </w:r>
      <w:r w:rsidRPr="007C3B90">
        <w:rPr>
          <w:rFonts w:hint="eastAsia"/>
          <w:rtl/>
        </w:rPr>
        <w:t>השנים</w:t>
      </w:r>
      <w:r w:rsidRPr="007C3B90">
        <w:rPr>
          <w:rtl/>
        </w:rPr>
        <w:t xml:space="preserve"> </w:t>
      </w:r>
      <w:r w:rsidRPr="007C3B90">
        <w:rPr>
          <w:rFonts w:hint="eastAsia"/>
          <w:rtl/>
        </w:rPr>
        <w:t>ביקורת</w:t>
      </w:r>
      <w:r w:rsidRPr="007C3B90">
        <w:rPr>
          <w:rFonts w:hint="cs"/>
          <w:rtl/>
        </w:rPr>
        <w:t>, לעיתים</w:t>
      </w:r>
      <w:r w:rsidRPr="007C3B90">
        <w:rPr>
          <w:rtl/>
        </w:rPr>
        <w:t xml:space="preserve"> </w:t>
      </w:r>
      <w:r w:rsidRPr="007C3B90">
        <w:rPr>
          <w:rFonts w:hint="eastAsia"/>
          <w:rtl/>
        </w:rPr>
        <w:t>נוקבת</w:t>
      </w:r>
      <w:r w:rsidRPr="007C3B90">
        <w:rPr>
          <w:rFonts w:hint="cs"/>
          <w:rtl/>
        </w:rPr>
        <w:t>,</w:t>
      </w:r>
      <w:r w:rsidRPr="007C3B90">
        <w:rPr>
          <w:rtl/>
        </w:rPr>
        <w:t xml:space="preserve"> </w:t>
      </w:r>
      <w:r w:rsidRPr="007C3B90">
        <w:rPr>
          <w:rFonts w:hint="eastAsia"/>
          <w:rtl/>
        </w:rPr>
        <w:t>מצד</w:t>
      </w:r>
      <w:r w:rsidRPr="007C3B90">
        <w:rPr>
          <w:rtl/>
        </w:rPr>
        <w:t xml:space="preserve"> </w:t>
      </w:r>
      <w:r w:rsidRPr="007C3B90">
        <w:rPr>
          <w:rFonts w:hint="eastAsia"/>
          <w:rtl/>
        </w:rPr>
        <w:t>שופטי</w:t>
      </w:r>
      <w:r w:rsidRPr="007C3B90">
        <w:rPr>
          <w:rtl/>
        </w:rPr>
        <w:t xml:space="preserve"> </w:t>
      </w:r>
      <w:r w:rsidRPr="007C3B90">
        <w:rPr>
          <w:rFonts w:hint="eastAsia"/>
          <w:rtl/>
        </w:rPr>
        <w:t>בית</w:t>
      </w:r>
      <w:r w:rsidRPr="007C3B90">
        <w:rPr>
          <w:rtl/>
        </w:rPr>
        <w:t xml:space="preserve"> </w:t>
      </w:r>
      <w:r w:rsidRPr="007C3B90">
        <w:rPr>
          <w:rFonts w:hint="eastAsia"/>
          <w:rtl/>
        </w:rPr>
        <w:t>משפט</w:t>
      </w:r>
      <w:r w:rsidRPr="007C3B90">
        <w:rPr>
          <w:rtl/>
        </w:rPr>
        <w:t xml:space="preserve"> </w:t>
      </w:r>
      <w:r w:rsidRPr="007C3B90">
        <w:rPr>
          <w:rFonts w:hint="eastAsia"/>
          <w:rtl/>
        </w:rPr>
        <w:t>זה</w:t>
      </w:r>
      <w:r w:rsidRPr="007C3B90">
        <w:rPr>
          <w:rtl/>
        </w:rPr>
        <w:t xml:space="preserve">, </w:t>
      </w:r>
      <w:r w:rsidRPr="007C3B90">
        <w:rPr>
          <w:rFonts w:hint="eastAsia"/>
          <w:rtl/>
        </w:rPr>
        <w:t>מצד</w:t>
      </w:r>
      <w:r w:rsidRPr="007C3B90">
        <w:rPr>
          <w:rtl/>
        </w:rPr>
        <w:t xml:space="preserve"> </w:t>
      </w:r>
      <w:r w:rsidRPr="007C3B90">
        <w:rPr>
          <w:rFonts w:hint="eastAsia"/>
          <w:rtl/>
        </w:rPr>
        <w:t>מלומדי</w:t>
      </w:r>
      <w:r w:rsidRPr="007C3B90">
        <w:rPr>
          <w:rtl/>
        </w:rPr>
        <w:t xml:space="preserve"> </w:t>
      </w:r>
      <w:r w:rsidRPr="007C3B90">
        <w:rPr>
          <w:rFonts w:hint="eastAsia"/>
          <w:rtl/>
        </w:rPr>
        <w:t>משפט</w:t>
      </w:r>
      <w:r w:rsidRPr="007C3B90">
        <w:rPr>
          <w:rtl/>
        </w:rPr>
        <w:t xml:space="preserve"> </w:t>
      </w:r>
      <w:r w:rsidRPr="007C3B90">
        <w:rPr>
          <w:rFonts w:hint="eastAsia"/>
          <w:rtl/>
        </w:rPr>
        <w:t>ומצד</w:t>
      </w:r>
      <w:r w:rsidRPr="007C3B90">
        <w:rPr>
          <w:rtl/>
        </w:rPr>
        <w:t xml:space="preserve"> </w:t>
      </w:r>
      <w:r w:rsidRPr="007C3B90">
        <w:rPr>
          <w:rFonts w:hint="eastAsia"/>
          <w:rtl/>
        </w:rPr>
        <w:t>הממסד</w:t>
      </w:r>
      <w:r w:rsidRPr="007C3B90">
        <w:rPr>
          <w:rtl/>
        </w:rPr>
        <w:t xml:space="preserve"> </w:t>
      </w:r>
      <w:r w:rsidRPr="007C3B90">
        <w:rPr>
          <w:rFonts w:hint="eastAsia"/>
          <w:rtl/>
        </w:rPr>
        <w:t>הפוליטי</w:t>
      </w:r>
      <w:r w:rsidRPr="007C3B90">
        <w:rPr>
          <w:rtl/>
        </w:rPr>
        <w:t xml:space="preserve">. </w:t>
      </w:r>
      <w:r w:rsidRPr="007C3B90">
        <w:rPr>
          <w:rFonts w:hint="eastAsia"/>
          <w:rtl/>
        </w:rPr>
        <w:t>אשר</w:t>
      </w:r>
      <w:r w:rsidRPr="007C3B90">
        <w:rPr>
          <w:rtl/>
        </w:rPr>
        <w:t xml:space="preserve"> </w:t>
      </w:r>
      <w:r w:rsidRPr="007C3B90">
        <w:rPr>
          <w:rFonts w:hint="eastAsia"/>
          <w:rtl/>
        </w:rPr>
        <w:t>לביקורת</w:t>
      </w:r>
      <w:r w:rsidRPr="007C3B90">
        <w:rPr>
          <w:rtl/>
        </w:rPr>
        <w:t xml:space="preserve"> </w:t>
      </w:r>
      <w:r w:rsidRPr="007C3B90">
        <w:rPr>
          <w:rFonts w:hint="cs"/>
          <w:rtl/>
        </w:rPr>
        <w:t xml:space="preserve">בשדה </w:t>
      </w:r>
      <w:r w:rsidRPr="007C3B90">
        <w:rPr>
          <w:rFonts w:hint="eastAsia"/>
          <w:rtl/>
        </w:rPr>
        <w:t>המשפט</w:t>
      </w:r>
      <w:r w:rsidRPr="007C3B90">
        <w:rPr>
          <w:rFonts w:hint="cs"/>
          <w:rtl/>
        </w:rPr>
        <w:t>י</w:t>
      </w:r>
      <w:r w:rsidRPr="007C3B90">
        <w:rPr>
          <w:rtl/>
        </w:rPr>
        <w:t xml:space="preserve">, </w:t>
      </w:r>
      <w:r w:rsidRPr="007C3B90">
        <w:rPr>
          <w:rFonts w:hint="eastAsia"/>
          <w:rtl/>
        </w:rPr>
        <w:t>כפי</w:t>
      </w:r>
      <w:r w:rsidRPr="007C3B90">
        <w:rPr>
          <w:rtl/>
        </w:rPr>
        <w:t xml:space="preserve"> </w:t>
      </w:r>
      <w:r w:rsidRPr="007C3B90">
        <w:rPr>
          <w:rFonts w:hint="eastAsia"/>
          <w:rtl/>
        </w:rPr>
        <w:t>שציינה</w:t>
      </w:r>
      <w:r w:rsidRPr="007C3B90">
        <w:rPr>
          <w:rtl/>
        </w:rPr>
        <w:t xml:space="preserve"> </w:t>
      </w:r>
      <w:r w:rsidRPr="007C3B90">
        <w:rPr>
          <w:rFonts w:hint="eastAsia"/>
          <w:rtl/>
        </w:rPr>
        <w:t>חברתי</w:t>
      </w:r>
      <w:r w:rsidRPr="007C3B90">
        <w:rPr>
          <w:rtl/>
        </w:rPr>
        <w:t xml:space="preserve"> </w:t>
      </w:r>
      <w:r w:rsidRPr="007C3B90">
        <w:rPr>
          <w:rFonts w:hint="eastAsia"/>
          <w:rtl/>
        </w:rPr>
        <w:t>השופטת</w:t>
      </w:r>
      <w:r w:rsidRPr="007C3B90">
        <w:rPr>
          <w:rtl/>
        </w:rPr>
        <w:t xml:space="preserve"> </w:t>
      </w:r>
      <w:r w:rsidRPr="007C3B90">
        <w:rPr>
          <w:rFonts w:cs="Miriam" w:hint="eastAsia"/>
          <w:b/>
          <w:spacing w:val="0"/>
          <w:sz w:val="22"/>
          <w:szCs w:val="24"/>
          <w:rtl/>
        </w:rPr>
        <w:t>י</w:t>
      </w:r>
      <w:r w:rsidRPr="007C3B90">
        <w:rPr>
          <w:rFonts w:cs="Miriam"/>
          <w:b/>
          <w:spacing w:val="0"/>
          <w:sz w:val="22"/>
          <w:szCs w:val="24"/>
          <w:rtl/>
        </w:rPr>
        <w:t xml:space="preserve">' </w:t>
      </w:r>
      <w:r w:rsidRPr="007C3B90">
        <w:rPr>
          <w:rFonts w:cs="Miriam" w:hint="eastAsia"/>
          <w:b/>
          <w:spacing w:val="0"/>
          <w:sz w:val="22"/>
          <w:szCs w:val="24"/>
          <w:rtl/>
        </w:rPr>
        <w:t>וילנר</w:t>
      </w:r>
      <w:r w:rsidRPr="007C3B90">
        <w:rPr>
          <w:rtl/>
        </w:rPr>
        <w:t xml:space="preserve">, </w:t>
      </w:r>
      <w:r w:rsidRPr="007C3B90">
        <w:rPr>
          <w:rFonts w:hint="eastAsia"/>
          <w:rtl/>
        </w:rPr>
        <w:t>זו</w:t>
      </w:r>
      <w:r w:rsidRPr="007C3B90">
        <w:rPr>
          <w:rtl/>
        </w:rPr>
        <w:t xml:space="preserve"> </w:t>
      </w:r>
      <w:r w:rsidRPr="007C3B90">
        <w:rPr>
          <w:rFonts w:hint="eastAsia"/>
          <w:rtl/>
        </w:rPr>
        <w:t>החלה</w:t>
      </w:r>
      <w:r w:rsidRPr="007C3B90">
        <w:rPr>
          <w:rtl/>
        </w:rPr>
        <w:t xml:space="preserve"> </w:t>
      </w:r>
      <w:r w:rsidRPr="007C3B90">
        <w:rPr>
          <w:rFonts w:hint="eastAsia"/>
          <w:rtl/>
        </w:rPr>
        <w:t>כבר</w:t>
      </w:r>
      <w:r w:rsidRPr="007C3B90">
        <w:rPr>
          <w:rtl/>
        </w:rPr>
        <w:t xml:space="preserve"> </w:t>
      </w:r>
      <w:r w:rsidRPr="007C3B90">
        <w:rPr>
          <w:rFonts w:hint="eastAsia"/>
          <w:rtl/>
        </w:rPr>
        <w:t>במועד</w:t>
      </w:r>
      <w:r w:rsidRPr="007C3B90">
        <w:rPr>
          <w:rtl/>
        </w:rPr>
        <w:t xml:space="preserve"> "</w:t>
      </w:r>
      <w:r w:rsidRPr="007C3B90">
        <w:rPr>
          <w:rFonts w:hint="eastAsia"/>
          <w:rtl/>
        </w:rPr>
        <w:t>הולדתה</w:t>
      </w:r>
      <w:r w:rsidRPr="007C3B90">
        <w:rPr>
          <w:rtl/>
        </w:rPr>
        <w:t xml:space="preserve">" </w:t>
      </w:r>
      <w:r w:rsidRPr="007C3B90">
        <w:rPr>
          <w:rFonts w:hint="eastAsia"/>
          <w:rtl/>
        </w:rPr>
        <w:t>של</w:t>
      </w:r>
      <w:r w:rsidRPr="007C3B90">
        <w:rPr>
          <w:rtl/>
        </w:rPr>
        <w:t xml:space="preserve"> </w:t>
      </w:r>
      <w:r w:rsidRPr="007C3B90">
        <w:rPr>
          <w:rFonts w:hint="eastAsia"/>
          <w:rtl/>
        </w:rPr>
        <w:t>עילת</w:t>
      </w:r>
      <w:r w:rsidRPr="007C3B90">
        <w:rPr>
          <w:rtl/>
        </w:rPr>
        <w:t xml:space="preserve"> </w:t>
      </w:r>
      <w:r w:rsidRPr="007C3B90">
        <w:rPr>
          <w:rFonts w:hint="eastAsia"/>
          <w:rtl/>
        </w:rPr>
        <w:t>הסבירות</w:t>
      </w:r>
      <w:r w:rsidRPr="007C3B90">
        <w:rPr>
          <w:rtl/>
        </w:rPr>
        <w:t xml:space="preserve"> </w:t>
      </w:r>
      <w:r w:rsidRPr="007C3B90">
        <w:rPr>
          <w:rFonts w:hint="eastAsia"/>
          <w:rtl/>
        </w:rPr>
        <w:t>החדשה</w:t>
      </w:r>
      <w:r w:rsidRPr="007C3B90">
        <w:rPr>
          <w:rtl/>
        </w:rPr>
        <w:t xml:space="preserve">, </w:t>
      </w:r>
      <w:r w:rsidRPr="007C3B90">
        <w:rPr>
          <w:rFonts w:hint="eastAsia"/>
          <w:rtl/>
        </w:rPr>
        <w:t>בפסק</w:t>
      </w:r>
      <w:r w:rsidRPr="007C3B90">
        <w:rPr>
          <w:rtl/>
        </w:rPr>
        <w:t xml:space="preserve"> </w:t>
      </w:r>
      <w:r w:rsidRPr="007C3B90">
        <w:rPr>
          <w:rFonts w:hint="eastAsia"/>
          <w:rtl/>
        </w:rPr>
        <w:t>דינו</w:t>
      </w:r>
      <w:r w:rsidRPr="007C3B90">
        <w:rPr>
          <w:rtl/>
        </w:rPr>
        <w:t xml:space="preserve"> </w:t>
      </w:r>
      <w:r w:rsidRPr="007C3B90">
        <w:rPr>
          <w:rFonts w:hint="eastAsia"/>
          <w:rtl/>
        </w:rPr>
        <w:t>של</w:t>
      </w:r>
      <w:r w:rsidRPr="007C3B90">
        <w:rPr>
          <w:rtl/>
        </w:rPr>
        <w:t xml:space="preserve"> </w:t>
      </w:r>
      <w:r w:rsidRPr="007C3B90">
        <w:rPr>
          <w:rFonts w:hint="eastAsia"/>
          <w:rtl/>
        </w:rPr>
        <w:t>הנשיא</w:t>
      </w:r>
      <w:r w:rsidRPr="007C3B90">
        <w:rPr>
          <w:rtl/>
        </w:rPr>
        <w:t xml:space="preserve"> </w:t>
      </w:r>
      <w:r w:rsidRPr="007C3B90">
        <w:rPr>
          <w:rFonts w:ascii="Century" w:hAnsi="Century" w:cs="Miriam" w:hint="eastAsia"/>
          <w:b/>
          <w:spacing w:val="0"/>
          <w:sz w:val="22"/>
          <w:szCs w:val="24"/>
          <w:rtl/>
        </w:rPr>
        <w:t>מ</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לנדוי</w:t>
      </w:r>
      <w:r w:rsidRPr="007C3B90">
        <w:rPr>
          <w:rtl/>
        </w:rPr>
        <w:t xml:space="preserve"> </w:t>
      </w:r>
      <w:r w:rsidRPr="007C3B90">
        <w:rPr>
          <w:rFonts w:hint="eastAsia"/>
          <w:rtl/>
        </w:rPr>
        <w:t>בעניין</w:t>
      </w:r>
      <w:r w:rsidRPr="007C3B90">
        <w:rPr>
          <w:rtl/>
        </w:rPr>
        <w:t xml:space="preserve"> </w:t>
      </w:r>
      <w:r w:rsidRPr="007C3B90">
        <w:rPr>
          <w:rFonts w:cs="Miriam" w:hint="eastAsia"/>
          <w:b/>
          <w:spacing w:val="0"/>
          <w:sz w:val="22"/>
          <w:szCs w:val="24"/>
          <w:rtl/>
        </w:rPr>
        <w:t>דפי</w:t>
      </w:r>
      <w:r w:rsidRPr="007C3B90">
        <w:rPr>
          <w:rFonts w:cs="Miriam"/>
          <w:b/>
          <w:spacing w:val="0"/>
          <w:sz w:val="22"/>
          <w:szCs w:val="24"/>
          <w:rtl/>
        </w:rPr>
        <w:t xml:space="preserve"> </w:t>
      </w:r>
      <w:r w:rsidRPr="007C3B90">
        <w:rPr>
          <w:rFonts w:cs="Miriam" w:hint="eastAsia"/>
          <w:b/>
          <w:spacing w:val="0"/>
          <w:sz w:val="22"/>
          <w:szCs w:val="24"/>
          <w:rtl/>
        </w:rPr>
        <w:t>זהב</w:t>
      </w:r>
      <w:r w:rsidRPr="007C3B90">
        <w:rPr>
          <w:rtl/>
        </w:rPr>
        <w:t xml:space="preserve">. </w:t>
      </w:r>
      <w:r w:rsidRPr="007C3B90">
        <w:rPr>
          <w:rFonts w:hint="cs"/>
          <w:rtl/>
        </w:rPr>
        <w:t>הביקורת על עילת הסבירות</w:t>
      </w:r>
      <w:r w:rsidRPr="007C3B90">
        <w:rPr>
          <w:rtl/>
        </w:rPr>
        <w:t xml:space="preserve"> </w:t>
      </w:r>
      <w:r w:rsidRPr="007C3B90">
        <w:rPr>
          <w:rFonts w:hint="eastAsia"/>
          <w:rtl/>
        </w:rPr>
        <w:t>התמקדה</w:t>
      </w:r>
      <w:r w:rsidRPr="007C3B90">
        <w:rPr>
          <w:rtl/>
        </w:rPr>
        <w:t xml:space="preserve"> </w:t>
      </w:r>
      <w:r w:rsidRPr="007C3B90">
        <w:rPr>
          <w:rFonts w:hint="eastAsia"/>
          <w:rtl/>
        </w:rPr>
        <w:t>במרוצת</w:t>
      </w:r>
      <w:r w:rsidRPr="007C3B90">
        <w:rPr>
          <w:rtl/>
        </w:rPr>
        <w:t xml:space="preserve"> </w:t>
      </w:r>
      <w:r w:rsidRPr="007C3B90">
        <w:rPr>
          <w:rFonts w:hint="eastAsia"/>
          <w:rtl/>
        </w:rPr>
        <w:t>השנים</w:t>
      </w:r>
      <w:r w:rsidRPr="007C3B90">
        <w:rPr>
          <w:rtl/>
        </w:rPr>
        <w:t xml:space="preserve"> </w:t>
      </w:r>
      <w:r w:rsidRPr="007C3B90">
        <w:rPr>
          <w:rFonts w:hint="eastAsia"/>
          <w:rtl/>
        </w:rPr>
        <w:t>ב</w:t>
      </w:r>
      <w:r w:rsidRPr="007C3B90">
        <w:rPr>
          <w:rFonts w:hint="cs"/>
          <w:rtl/>
        </w:rPr>
        <w:t>רמת ההפשטה הגבוהה וב</w:t>
      </w:r>
      <w:r w:rsidRPr="007C3B90">
        <w:rPr>
          <w:rFonts w:hint="eastAsia"/>
          <w:rtl/>
        </w:rPr>
        <w:t>עמימותה</w:t>
      </w:r>
      <w:r w:rsidRPr="007C3B90">
        <w:rPr>
          <w:rtl/>
        </w:rPr>
        <w:t xml:space="preserve"> </w:t>
      </w:r>
      <w:r w:rsidRPr="007C3B90">
        <w:rPr>
          <w:rFonts w:hint="eastAsia"/>
          <w:rtl/>
        </w:rPr>
        <w:t>הנטענת</w:t>
      </w:r>
      <w:r w:rsidRPr="007C3B90">
        <w:rPr>
          <w:rtl/>
        </w:rPr>
        <w:t xml:space="preserve"> </w:t>
      </w:r>
      <w:r w:rsidRPr="007C3B90">
        <w:rPr>
          <w:rFonts w:hint="eastAsia"/>
          <w:rtl/>
        </w:rPr>
        <w:t>של</w:t>
      </w:r>
      <w:r w:rsidRPr="007C3B90">
        <w:rPr>
          <w:rtl/>
        </w:rPr>
        <w:t xml:space="preserve"> </w:t>
      </w:r>
      <w:r w:rsidRPr="007C3B90">
        <w:rPr>
          <w:rFonts w:hint="eastAsia"/>
          <w:rtl/>
        </w:rPr>
        <w:t>נוסחת</w:t>
      </w:r>
      <w:r w:rsidRPr="007C3B90">
        <w:rPr>
          <w:rtl/>
        </w:rPr>
        <w:t xml:space="preserve"> </w:t>
      </w:r>
      <w:r w:rsidRPr="007C3B90">
        <w:rPr>
          <w:rFonts w:hint="eastAsia"/>
          <w:rtl/>
        </w:rPr>
        <w:t>איזון</w:t>
      </w:r>
      <w:r w:rsidRPr="007C3B90">
        <w:rPr>
          <w:rtl/>
        </w:rPr>
        <w:t xml:space="preserve"> </w:t>
      </w:r>
      <w:r w:rsidRPr="007C3B90">
        <w:rPr>
          <w:rFonts w:hint="eastAsia"/>
          <w:rtl/>
        </w:rPr>
        <w:t>האינטרסים</w:t>
      </w:r>
      <w:r w:rsidRPr="007C3B90">
        <w:rPr>
          <w:rtl/>
        </w:rPr>
        <w:t xml:space="preserve">, </w:t>
      </w:r>
      <w:r w:rsidRPr="007C3B90">
        <w:rPr>
          <w:rFonts w:hint="eastAsia"/>
          <w:rtl/>
        </w:rPr>
        <w:t>ובהשלכות</w:t>
      </w:r>
      <w:r w:rsidRPr="007C3B90">
        <w:rPr>
          <w:rtl/>
        </w:rPr>
        <w:t xml:space="preserve"> </w:t>
      </w:r>
      <w:r w:rsidRPr="007C3B90">
        <w:rPr>
          <w:rFonts w:hint="cs"/>
          <w:rtl/>
        </w:rPr>
        <w:t>הלא-</w:t>
      </w:r>
      <w:r w:rsidRPr="007C3B90">
        <w:rPr>
          <w:rFonts w:hint="eastAsia"/>
          <w:rtl/>
        </w:rPr>
        <w:t>רצויות</w:t>
      </w:r>
      <w:r w:rsidRPr="007C3B90">
        <w:rPr>
          <w:rtl/>
        </w:rPr>
        <w:t xml:space="preserve"> </w:t>
      </w:r>
      <w:r w:rsidRPr="007C3B90">
        <w:rPr>
          <w:rFonts w:hint="eastAsia"/>
          <w:rtl/>
        </w:rPr>
        <w:t>של</w:t>
      </w:r>
      <w:r w:rsidRPr="007C3B90">
        <w:rPr>
          <w:rtl/>
        </w:rPr>
        <w:t xml:space="preserve"> </w:t>
      </w:r>
      <w:r w:rsidRPr="007C3B90">
        <w:rPr>
          <w:rFonts w:hint="eastAsia"/>
          <w:rtl/>
        </w:rPr>
        <w:t>השימוש</w:t>
      </w:r>
      <w:r w:rsidRPr="007C3B90">
        <w:rPr>
          <w:rtl/>
        </w:rPr>
        <w:t xml:space="preserve"> </w:t>
      </w:r>
      <w:r w:rsidRPr="007C3B90">
        <w:rPr>
          <w:rFonts w:hint="eastAsia"/>
          <w:rtl/>
        </w:rPr>
        <w:t>בה</w:t>
      </w:r>
      <w:r w:rsidRPr="007C3B90">
        <w:rPr>
          <w:rtl/>
        </w:rPr>
        <w:t xml:space="preserve">. </w:t>
      </w:r>
    </w:p>
    <w:p w:rsidR="00BB56BB" w:rsidRPr="007C3B90" w:rsidRDefault="00BB56BB" w:rsidP="00BB56BB">
      <w:pPr>
        <w:pStyle w:val="Ruller4"/>
        <w:numPr>
          <w:ilvl w:val="0"/>
          <w:numId w:val="0"/>
        </w:numPr>
        <w:rPr>
          <w:rtl/>
        </w:rPr>
      </w:pPr>
    </w:p>
    <w:p w:rsidR="00BB56BB" w:rsidRPr="007C3B90" w:rsidRDefault="00BB56BB" w:rsidP="00BB56BB">
      <w:pPr>
        <w:pStyle w:val="Ruller4"/>
        <w:numPr>
          <w:ilvl w:val="0"/>
          <w:numId w:val="0"/>
        </w:numPr>
        <w:rPr>
          <w:rtl/>
        </w:rPr>
      </w:pPr>
      <w:r w:rsidRPr="007C3B90">
        <w:rPr>
          <w:rtl/>
        </w:rPr>
        <w:tab/>
      </w:r>
      <w:r w:rsidRPr="007C3B90">
        <w:rPr>
          <w:rFonts w:hint="cs"/>
          <w:rtl/>
        </w:rPr>
        <w:t xml:space="preserve">כך, בין היתר, </w:t>
      </w:r>
      <w:r w:rsidRPr="007C3B90">
        <w:rPr>
          <w:rFonts w:hint="eastAsia"/>
          <w:rtl/>
        </w:rPr>
        <w:t>נטען</w:t>
      </w:r>
      <w:r w:rsidRPr="007C3B90">
        <w:rPr>
          <w:rtl/>
        </w:rPr>
        <w:t xml:space="preserve"> </w:t>
      </w:r>
      <w:r w:rsidRPr="007C3B90">
        <w:rPr>
          <w:rFonts w:hint="eastAsia"/>
          <w:rtl/>
        </w:rPr>
        <w:t>כי</w:t>
      </w:r>
      <w:r w:rsidRPr="007C3B90">
        <w:rPr>
          <w:rtl/>
        </w:rPr>
        <w:t xml:space="preserve"> </w:t>
      </w:r>
      <w:r w:rsidRPr="007C3B90">
        <w:rPr>
          <w:rFonts w:hint="eastAsia"/>
          <w:rtl/>
        </w:rPr>
        <w:t>נוסחה</w:t>
      </w:r>
      <w:r w:rsidRPr="007C3B90">
        <w:rPr>
          <w:rtl/>
        </w:rPr>
        <w:t xml:space="preserve"> </w:t>
      </w:r>
      <w:r w:rsidRPr="007C3B90">
        <w:rPr>
          <w:rFonts w:hint="eastAsia"/>
          <w:rtl/>
        </w:rPr>
        <w:t>זו</w:t>
      </w:r>
      <w:r w:rsidRPr="007C3B90">
        <w:rPr>
          <w:rFonts w:hint="cs"/>
          <w:rtl/>
        </w:rPr>
        <w:t xml:space="preserve">, שאינה מתווה אמות מידה ברורות, מהווה </w:t>
      </w:r>
      <w:r w:rsidRPr="007C3B90">
        <w:rPr>
          <w:rtl/>
        </w:rPr>
        <w:t>צינור להכנסת שיקולים שלא נמנו בהוראה המסמיכה</w:t>
      </w:r>
      <w:r w:rsidRPr="007C3B90">
        <w:rPr>
          <w:rFonts w:hint="cs"/>
          <w:rtl/>
        </w:rPr>
        <w:t xml:space="preserve">, </w:t>
      </w:r>
      <w:r w:rsidRPr="007C3B90">
        <w:rPr>
          <w:rtl/>
        </w:rPr>
        <w:t>פרי יצירתו של בית המשפט</w:t>
      </w:r>
      <w:r w:rsidRPr="007C3B90">
        <w:rPr>
          <w:rFonts w:hint="cs"/>
          <w:rtl/>
        </w:rPr>
        <w:t xml:space="preserve">; וכי ההכרעה השיפוטית מכוחה מתרחקת מנורמות משפטיות פוזיטיביות, ומסתמכת על תכנים ערכיים במהותם, המוצאים ביטוי ב"משקל הראוי" שלדעת בית המשפט יש לייחס לכל שיקול. באופן זה, כך נטען, נוסחה זו מאפשרת לבית המשפט לאכוף את השקפותיו ואת העדפותיו האישיות על רשויות השלטון, באופן המביא, הלכה למעשה, להחלפת שיקול דעתה של הרשות המוסמכת בשיקול דעתו של בית המשפט. עוד נטען, כי לבית המשפט אין את המיומנות והכלים הדרושים לבחון את סבירותו של איזון בין שיקולים שונים בתחומי מדיניות ובתחומים מקצועיים; וכי גם מבחינת ההכשר הדמוקרטי, עליו למשוך ידיו מביקורת על החלטות מינהליות בנושאים אלה, בפרט כאלה המתקבלות על-ידי דרג נבחר. כן נטען כי השימוש בעילת הסבירות מערב את בית המשפט בבחינת תבונתה של ההחלטה המינהלית; מגביר את חוסר הוודאות המשפטית; ופוגע יתר על המידה בחירות הפעולה של רשויות המינהל בניהול ענייני המדינה שבתחומי סמכותן (ראו: עניין </w:t>
      </w:r>
      <w:r w:rsidRPr="007C3B90">
        <w:rPr>
          <w:rFonts w:ascii="Century" w:hAnsi="Century" w:cs="Miriam" w:hint="eastAsia"/>
          <w:b/>
          <w:spacing w:val="0"/>
          <w:sz w:val="22"/>
          <w:szCs w:val="24"/>
          <w:rtl/>
        </w:rPr>
        <w:t>דפי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זהב</w:t>
      </w:r>
      <w:r w:rsidRPr="007C3B90">
        <w:rPr>
          <w:rFonts w:ascii="Century" w:hAnsi="Century"/>
          <w:sz w:val="22"/>
          <w:rtl/>
        </w:rPr>
        <w:t>,</w:t>
      </w:r>
      <w:r w:rsidRPr="007C3B90">
        <w:rPr>
          <w:rFonts w:hint="cs"/>
          <w:rtl/>
        </w:rPr>
        <w:t xml:space="preserve"> בעמ' 432-431; בג"ץ 1635/90 </w:t>
      </w:r>
      <w:r w:rsidRPr="007C3B90">
        <w:rPr>
          <w:rFonts w:ascii="Century" w:hAnsi="Century" w:cs="Miriam" w:hint="cs"/>
          <w:b/>
          <w:spacing w:val="0"/>
          <w:sz w:val="22"/>
          <w:szCs w:val="24"/>
          <w:rtl/>
        </w:rPr>
        <w:t>ז'רז'בסקי נ' ראש הממשלה</w:t>
      </w:r>
      <w:r w:rsidRPr="007C3B90">
        <w:rPr>
          <w:rFonts w:ascii="Century" w:hAnsi="Century" w:hint="cs"/>
          <w:sz w:val="22"/>
          <w:rtl/>
        </w:rPr>
        <w:t>,</w:t>
      </w:r>
      <w:r w:rsidRPr="007C3B90">
        <w:rPr>
          <w:rFonts w:hint="cs"/>
          <w:rtl/>
        </w:rPr>
        <w:t xml:space="preserve"> פ"ד מה(1) 749, 771-770 (1991) (להלן: עניין </w:t>
      </w:r>
      <w:r w:rsidRPr="007C3B90">
        <w:rPr>
          <w:rFonts w:ascii="Century" w:hAnsi="Century" w:cs="Miriam" w:hint="cs"/>
          <w:b/>
          <w:spacing w:val="0"/>
          <w:sz w:val="22"/>
          <w:szCs w:val="24"/>
          <w:rtl/>
        </w:rPr>
        <w:t>ז'רז'בסקי</w:t>
      </w:r>
      <w:r w:rsidRPr="007C3B90">
        <w:rPr>
          <w:rFonts w:hint="cs"/>
          <w:rtl/>
        </w:rPr>
        <w:t xml:space="preserve">); בג"ץ 5853/07 </w:t>
      </w:r>
      <w:r w:rsidRPr="007C3B90">
        <w:rPr>
          <w:rFonts w:ascii="Century" w:hAnsi="Century" w:cs="Miriam" w:hint="cs"/>
          <w:b/>
          <w:spacing w:val="0"/>
          <w:sz w:val="22"/>
          <w:szCs w:val="24"/>
          <w:rtl/>
        </w:rPr>
        <w:t>אמונה תנועת האישה הדתית לאומית נ' ראש הממשלה</w:t>
      </w:r>
      <w:r w:rsidRPr="007C3B90">
        <w:rPr>
          <w:rFonts w:hint="cs"/>
          <w:rtl/>
        </w:rPr>
        <w:t xml:space="preserve">, פ"ד סב(3) 445, 524-521 (2007) (להלן: עניין </w:t>
      </w:r>
      <w:r w:rsidRPr="007C3B90">
        <w:rPr>
          <w:rFonts w:ascii="Century" w:hAnsi="Century" w:cs="Miriam" w:hint="cs"/>
          <w:b/>
          <w:spacing w:val="0"/>
          <w:sz w:val="22"/>
          <w:szCs w:val="24"/>
          <w:rtl/>
        </w:rPr>
        <w:t>אמונה</w:t>
      </w:r>
      <w:r w:rsidRPr="007C3B90">
        <w:rPr>
          <w:rFonts w:hint="cs"/>
          <w:rtl/>
        </w:rPr>
        <w:t xml:space="preserve">); דנ"פ 5387/20 </w:t>
      </w:r>
      <w:r w:rsidRPr="007C3B90">
        <w:rPr>
          <w:rFonts w:ascii="Century" w:hAnsi="Century" w:cs="Miriam" w:hint="cs"/>
          <w:b/>
          <w:spacing w:val="0"/>
          <w:sz w:val="22"/>
          <w:szCs w:val="24"/>
          <w:rtl/>
        </w:rPr>
        <w:t>רותם נ' מדינת ישראל</w:t>
      </w:r>
      <w:r w:rsidRPr="007C3B90">
        <w:rPr>
          <w:rFonts w:hint="cs"/>
          <w:rtl/>
        </w:rPr>
        <w:t xml:space="preserve">, פסקה 7 לפסק דינו של השופט </w:t>
      </w:r>
      <w:r w:rsidRPr="007C3B90">
        <w:rPr>
          <w:rFonts w:ascii="Century" w:hAnsi="Century" w:cs="Miriam" w:hint="cs"/>
          <w:b/>
          <w:spacing w:val="0"/>
          <w:sz w:val="22"/>
          <w:szCs w:val="24"/>
          <w:rtl/>
        </w:rPr>
        <w:t>א' שטיין</w:t>
      </w:r>
      <w:r w:rsidRPr="007C3B90">
        <w:rPr>
          <w:rFonts w:hint="cs"/>
          <w:rtl/>
        </w:rPr>
        <w:t xml:space="preserve"> (2021); נעם סולברג "על ערכים סובייקטיביים ושופטים אובייקטיביים" </w:t>
      </w:r>
      <w:r w:rsidRPr="007C3B90">
        <w:rPr>
          <w:rFonts w:ascii="Century" w:hAnsi="Century" w:cs="Miriam" w:hint="cs"/>
          <w:b/>
          <w:spacing w:val="0"/>
          <w:sz w:val="22"/>
          <w:szCs w:val="24"/>
          <w:rtl/>
        </w:rPr>
        <w:t>השילוח</w:t>
      </w:r>
      <w:r w:rsidRPr="007C3B90">
        <w:rPr>
          <w:rFonts w:hint="cs"/>
          <w:rtl/>
        </w:rPr>
        <w:t xml:space="preserve"> 18, 53-46 (20</w:t>
      </w:r>
      <w:r>
        <w:rPr>
          <w:rFonts w:hint="cs"/>
          <w:rtl/>
        </w:rPr>
        <w:t>20</w:t>
      </w:r>
      <w:r w:rsidRPr="007C3B90">
        <w:rPr>
          <w:rFonts w:hint="cs"/>
          <w:rtl/>
        </w:rPr>
        <w:t xml:space="preserve">) (להלן: </w:t>
      </w:r>
      <w:r w:rsidRPr="007C3B90">
        <w:rPr>
          <w:rFonts w:ascii="Century" w:hAnsi="Century" w:cs="Miriam" w:hint="cs"/>
          <w:b/>
          <w:spacing w:val="0"/>
          <w:sz w:val="22"/>
          <w:szCs w:val="24"/>
          <w:rtl/>
        </w:rPr>
        <w:t>סולברג</w:t>
      </w:r>
      <w:r w:rsidRPr="007C3B90">
        <w:rPr>
          <w:rFonts w:hint="cs"/>
          <w:rtl/>
        </w:rPr>
        <w:t xml:space="preserve">); </w:t>
      </w:r>
      <w:r w:rsidRPr="007C3B90">
        <w:rPr>
          <w:rFonts w:ascii="Century" w:hAnsi="Century" w:cs="Miriam" w:hint="cs"/>
          <w:b/>
          <w:spacing w:val="0"/>
          <w:szCs w:val="24"/>
          <w:rtl/>
        </w:rPr>
        <w:t>שקד</w:t>
      </w:r>
      <w:r w:rsidRPr="007C3B90">
        <w:rPr>
          <w:rFonts w:hint="cs"/>
          <w:rtl/>
        </w:rPr>
        <w:t>, בעמ' 121;</w:t>
      </w:r>
      <w:r w:rsidRPr="007C3B90">
        <w:rPr>
          <w:rFonts w:ascii="Century" w:hAnsi="Century" w:cs="Miriam" w:hint="cs"/>
          <w:b/>
          <w:spacing w:val="0"/>
          <w:szCs w:val="24"/>
          <w:rtl/>
        </w:rPr>
        <w:t xml:space="preserve"> </w:t>
      </w:r>
      <w:r w:rsidRPr="007C3B90">
        <w:rPr>
          <w:rFonts w:hint="eastAsia"/>
          <w:rtl/>
        </w:rPr>
        <w:t>דניאל</w:t>
      </w:r>
      <w:r w:rsidRPr="007C3B90">
        <w:rPr>
          <w:rtl/>
        </w:rPr>
        <w:t xml:space="preserve"> </w:t>
      </w:r>
      <w:r w:rsidRPr="007C3B90">
        <w:rPr>
          <w:rFonts w:hint="eastAsia"/>
          <w:rtl/>
        </w:rPr>
        <w:t>פרידמן</w:t>
      </w:r>
      <w:r w:rsidRPr="007C3B90">
        <w:rPr>
          <w:rtl/>
        </w:rPr>
        <w:t xml:space="preserve"> </w:t>
      </w:r>
      <w:r w:rsidRPr="007C3B90">
        <w:rPr>
          <w:rFonts w:cs="Miriam" w:hint="eastAsia"/>
          <w:b/>
          <w:spacing w:val="0"/>
          <w:sz w:val="22"/>
          <w:szCs w:val="24"/>
          <w:rtl/>
        </w:rPr>
        <w:t>הארנק</w:t>
      </w:r>
      <w:r w:rsidRPr="007C3B90">
        <w:rPr>
          <w:rFonts w:cs="Miriam"/>
          <w:b/>
          <w:spacing w:val="0"/>
          <w:sz w:val="22"/>
          <w:szCs w:val="24"/>
          <w:rtl/>
        </w:rPr>
        <w:t xml:space="preserve"> </w:t>
      </w:r>
      <w:r w:rsidRPr="007C3B90">
        <w:rPr>
          <w:rFonts w:cs="Miriam" w:hint="eastAsia"/>
          <w:b/>
          <w:spacing w:val="0"/>
          <w:sz w:val="22"/>
          <w:szCs w:val="24"/>
          <w:rtl/>
        </w:rPr>
        <w:t>והחרב</w:t>
      </w:r>
      <w:r w:rsidRPr="007C3B90">
        <w:rPr>
          <w:rFonts w:cs="Miriam"/>
          <w:b/>
          <w:spacing w:val="0"/>
          <w:sz w:val="22"/>
          <w:szCs w:val="24"/>
          <w:rtl/>
        </w:rPr>
        <w:t xml:space="preserve"> – </w:t>
      </w:r>
      <w:r w:rsidRPr="007C3B90">
        <w:rPr>
          <w:rFonts w:cs="Miriam" w:hint="eastAsia"/>
          <w:b/>
          <w:spacing w:val="0"/>
          <w:sz w:val="22"/>
          <w:szCs w:val="24"/>
          <w:rtl/>
        </w:rPr>
        <w:t>המהפכה</w:t>
      </w:r>
      <w:r w:rsidRPr="007C3B90">
        <w:rPr>
          <w:rFonts w:cs="Miriam"/>
          <w:b/>
          <w:spacing w:val="0"/>
          <w:sz w:val="22"/>
          <w:szCs w:val="24"/>
          <w:rtl/>
        </w:rPr>
        <w:t xml:space="preserve"> </w:t>
      </w:r>
      <w:r w:rsidRPr="007C3B90">
        <w:rPr>
          <w:rFonts w:cs="Miriam" w:hint="eastAsia"/>
          <w:b/>
          <w:spacing w:val="0"/>
          <w:sz w:val="22"/>
          <w:szCs w:val="24"/>
          <w:rtl/>
        </w:rPr>
        <w:t>המשפטית</w:t>
      </w:r>
      <w:r w:rsidRPr="007C3B90">
        <w:rPr>
          <w:rFonts w:cs="Miriam"/>
          <w:b/>
          <w:spacing w:val="0"/>
          <w:sz w:val="22"/>
          <w:szCs w:val="24"/>
          <w:rtl/>
        </w:rPr>
        <w:t xml:space="preserve"> </w:t>
      </w:r>
      <w:r w:rsidRPr="007C3B90">
        <w:rPr>
          <w:rFonts w:cs="Miriam" w:hint="eastAsia"/>
          <w:b/>
          <w:spacing w:val="0"/>
          <w:sz w:val="22"/>
          <w:szCs w:val="24"/>
          <w:rtl/>
        </w:rPr>
        <w:t>ושברה</w:t>
      </w:r>
      <w:r w:rsidRPr="007C3B90">
        <w:rPr>
          <w:rFonts w:cs="Miriam"/>
          <w:b/>
          <w:spacing w:val="0"/>
          <w:sz w:val="22"/>
          <w:szCs w:val="24"/>
          <w:rtl/>
        </w:rPr>
        <w:t xml:space="preserve"> </w:t>
      </w:r>
      <w:r w:rsidRPr="007C3B90">
        <w:rPr>
          <w:rtl/>
        </w:rPr>
        <w:t>136-135 (2013)</w:t>
      </w:r>
      <w:r w:rsidRPr="007C3B90">
        <w:rPr>
          <w:rFonts w:hint="cs"/>
          <w:rtl/>
        </w:rPr>
        <w:t>; מנחם מאוטנר "</w:t>
      </w:r>
      <w:r w:rsidRPr="007C3B90">
        <w:rPr>
          <w:rFonts w:ascii="Century" w:hAnsi="Century" w:hint="eastAsia"/>
          <w:sz w:val="22"/>
          <w:rtl/>
        </w:rPr>
        <w:t>בין</w:t>
      </w:r>
      <w:r w:rsidRPr="007C3B90">
        <w:rPr>
          <w:rFonts w:ascii="Century" w:hAnsi="Century"/>
          <w:sz w:val="22"/>
          <w:rtl/>
        </w:rPr>
        <w:t xml:space="preserve"> </w:t>
      </w:r>
      <w:r w:rsidRPr="007C3B90">
        <w:rPr>
          <w:rFonts w:ascii="Century" w:hAnsi="Century" w:hint="eastAsia"/>
          <w:sz w:val="22"/>
          <w:rtl/>
        </w:rPr>
        <w:t>כשירות</w:t>
      </w:r>
      <w:r w:rsidRPr="007C3B90">
        <w:rPr>
          <w:rFonts w:ascii="Century" w:hAnsi="Century"/>
          <w:sz w:val="22"/>
          <w:rtl/>
        </w:rPr>
        <w:t xml:space="preserve"> </w:t>
      </w:r>
      <w:r w:rsidRPr="007C3B90">
        <w:rPr>
          <w:rFonts w:ascii="Century" w:hAnsi="Century" w:hint="eastAsia"/>
          <w:sz w:val="22"/>
          <w:rtl/>
        </w:rPr>
        <w:t>לסבירות</w:t>
      </w:r>
      <w:r w:rsidRPr="007C3B90">
        <w:rPr>
          <w:rFonts w:ascii="Century" w:hAnsi="Century" w:hint="cs"/>
          <w:sz w:val="22"/>
          <w:rtl/>
        </w:rPr>
        <w:t xml:space="preserve"> </w:t>
      </w:r>
      <w:r w:rsidRPr="007C3B90">
        <w:rPr>
          <w:rFonts w:ascii="Century" w:hAnsi="Century"/>
          <w:sz w:val="22"/>
          <w:rtl/>
        </w:rPr>
        <w:t xml:space="preserve">– </w:t>
      </w:r>
      <w:r w:rsidRPr="007C3B90">
        <w:rPr>
          <w:rFonts w:ascii="Century" w:hAnsi="Century" w:hint="eastAsia"/>
          <w:sz w:val="22"/>
          <w:rtl/>
        </w:rPr>
        <w:t>בעקבות</w:t>
      </w:r>
      <w:r w:rsidRPr="007C3B90">
        <w:rPr>
          <w:rFonts w:ascii="Century" w:hAnsi="Century"/>
          <w:sz w:val="22"/>
          <w:rtl/>
        </w:rPr>
        <w:t xml:space="preserve"> </w:t>
      </w:r>
      <w:r w:rsidRPr="007C3B90">
        <w:rPr>
          <w:rFonts w:ascii="Century" w:hAnsi="Century" w:hint="eastAsia"/>
          <w:sz w:val="22"/>
          <w:rtl/>
        </w:rPr>
        <w:lastRenderedPageBreak/>
        <w:t>בג</w:t>
      </w:r>
      <w:r w:rsidRPr="007C3B90">
        <w:rPr>
          <w:rFonts w:ascii="Century" w:hAnsi="Century"/>
          <w:sz w:val="22"/>
          <w:rtl/>
        </w:rPr>
        <w:t>"</w:t>
      </w:r>
      <w:r w:rsidRPr="007C3B90">
        <w:rPr>
          <w:rFonts w:ascii="Century" w:hAnsi="Century" w:hint="eastAsia"/>
          <w:sz w:val="22"/>
          <w:rtl/>
        </w:rPr>
        <w:t>ץ</w:t>
      </w:r>
      <w:r w:rsidRPr="007C3B90">
        <w:rPr>
          <w:rFonts w:ascii="Century" w:hAnsi="Century"/>
          <w:sz w:val="22"/>
          <w:rtl/>
        </w:rPr>
        <w:t xml:space="preserve"> 5853/07 </w:t>
      </w:r>
      <w:r w:rsidRPr="007C3B90">
        <w:rPr>
          <w:rFonts w:ascii="Century" w:hAnsi="Century" w:hint="eastAsia"/>
          <w:sz w:val="22"/>
          <w:rtl/>
        </w:rPr>
        <w:t>אמונה</w:t>
      </w:r>
      <w:r w:rsidRPr="007C3B90">
        <w:rPr>
          <w:rFonts w:ascii="Century" w:hAnsi="Century"/>
          <w:sz w:val="22"/>
          <w:rtl/>
        </w:rPr>
        <w:t xml:space="preserve"> – </w:t>
      </w:r>
      <w:r w:rsidRPr="007C3B90">
        <w:rPr>
          <w:rFonts w:ascii="Century" w:hAnsi="Century" w:hint="eastAsia"/>
          <w:sz w:val="22"/>
          <w:rtl/>
        </w:rPr>
        <w:t>תנועת</w:t>
      </w:r>
      <w:r w:rsidRPr="007C3B90">
        <w:rPr>
          <w:rFonts w:ascii="Century" w:hAnsi="Century"/>
          <w:sz w:val="22"/>
          <w:rtl/>
        </w:rPr>
        <w:t xml:space="preserve"> </w:t>
      </w:r>
      <w:r w:rsidRPr="007C3B90">
        <w:rPr>
          <w:rFonts w:ascii="Century" w:hAnsi="Century" w:hint="eastAsia"/>
          <w:sz w:val="22"/>
          <w:rtl/>
        </w:rPr>
        <w:t>האישה</w:t>
      </w:r>
      <w:r w:rsidRPr="007C3B90">
        <w:rPr>
          <w:rFonts w:ascii="Century" w:hAnsi="Century"/>
          <w:sz w:val="22"/>
          <w:rtl/>
        </w:rPr>
        <w:t xml:space="preserve"> </w:t>
      </w:r>
      <w:r w:rsidRPr="007C3B90">
        <w:rPr>
          <w:rFonts w:hint="eastAsia"/>
          <w:sz w:val="22"/>
          <w:rtl/>
        </w:rPr>
        <w:t>הדתית</w:t>
      </w:r>
      <w:r w:rsidRPr="007C3B90">
        <w:rPr>
          <w:sz w:val="22"/>
          <w:rtl/>
        </w:rPr>
        <w:t xml:space="preserve"> </w:t>
      </w:r>
      <w:r w:rsidRPr="007C3B90">
        <w:rPr>
          <w:rFonts w:hint="eastAsia"/>
          <w:sz w:val="22"/>
          <w:rtl/>
        </w:rPr>
        <w:t>לאומית</w:t>
      </w:r>
      <w:r w:rsidRPr="007C3B90">
        <w:rPr>
          <w:sz w:val="22"/>
          <w:rtl/>
        </w:rPr>
        <w:t xml:space="preserve"> </w:t>
      </w:r>
      <w:r w:rsidRPr="007C3B90">
        <w:rPr>
          <w:rFonts w:hint="eastAsia"/>
          <w:sz w:val="22"/>
          <w:rtl/>
        </w:rPr>
        <w:t>נ</w:t>
      </w:r>
      <w:r w:rsidRPr="007C3B90">
        <w:rPr>
          <w:sz w:val="22"/>
          <w:rtl/>
        </w:rPr>
        <w:t xml:space="preserve">' </w:t>
      </w:r>
      <w:r w:rsidRPr="007C3B90">
        <w:rPr>
          <w:rFonts w:hint="eastAsia"/>
          <w:sz w:val="22"/>
          <w:rtl/>
        </w:rPr>
        <w:t>ראש</w:t>
      </w:r>
      <w:r w:rsidRPr="007C3B90">
        <w:rPr>
          <w:sz w:val="22"/>
          <w:rtl/>
        </w:rPr>
        <w:t xml:space="preserve"> </w:t>
      </w:r>
      <w:r w:rsidRPr="007C3B90">
        <w:rPr>
          <w:rFonts w:hint="eastAsia"/>
          <w:sz w:val="22"/>
          <w:rtl/>
        </w:rPr>
        <w:t>הממשלה</w:t>
      </w:r>
      <w:r w:rsidRPr="007C3B90">
        <w:rPr>
          <w:sz w:val="22"/>
          <w:rtl/>
        </w:rPr>
        <w:t xml:space="preserve">, </w:t>
      </w:r>
      <w:r w:rsidRPr="007C3B90">
        <w:rPr>
          <w:rFonts w:hint="eastAsia"/>
          <w:sz w:val="22"/>
          <w:rtl/>
        </w:rPr>
        <w:t>מר</w:t>
      </w:r>
      <w:r w:rsidRPr="007C3B90">
        <w:rPr>
          <w:sz w:val="22"/>
          <w:rtl/>
        </w:rPr>
        <w:t xml:space="preserve"> </w:t>
      </w:r>
      <w:r w:rsidRPr="007C3B90">
        <w:rPr>
          <w:rFonts w:hint="eastAsia"/>
          <w:sz w:val="22"/>
          <w:rtl/>
        </w:rPr>
        <w:t>אהוד</w:t>
      </w:r>
      <w:r w:rsidRPr="007C3B90">
        <w:rPr>
          <w:sz w:val="22"/>
          <w:rtl/>
        </w:rPr>
        <w:t xml:space="preserve"> </w:t>
      </w:r>
      <w:r w:rsidRPr="007C3B90">
        <w:rPr>
          <w:rFonts w:hint="eastAsia"/>
          <w:sz w:val="22"/>
          <w:rtl/>
        </w:rPr>
        <w:t>אולמרט</w:t>
      </w:r>
      <w:r w:rsidRPr="007C3B90">
        <w:rPr>
          <w:rtl/>
        </w:rPr>
        <w:t xml:space="preserve">" </w:t>
      </w:r>
      <w:r w:rsidRPr="007C3B90">
        <w:rPr>
          <w:rFonts w:cs="Miriam" w:hint="eastAsia"/>
          <w:b/>
          <w:spacing w:val="0"/>
          <w:sz w:val="22"/>
          <w:szCs w:val="24"/>
          <w:rtl/>
        </w:rPr>
        <w:t>המשפט</w:t>
      </w:r>
      <w:r w:rsidRPr="007C3B90">
        <w:rPr>
          <w:rFonts w:hint="cs"/>
          <w:rtl/>
        </w:rPr>
        <w:t xml:space="preserve"> יד 403, 412-413 (התשע"א)</w:t>
      </w:r>
      <w:r w:rsidRPr="007C3B90">
        <w:rPr>
          <w:rFonts w:ascii="Century" w:hAnsi="Century" w:cs="Miriam" w:hint="cs"/>
          <w:b/>
          <w:spacing w:val="0"/>
          <w:sz w:val="22"/>
          <w:szCs w:val="24"/>
          <w:rtl/>
        </w:rPr>
        <w:t xml:space="preserve"> </w:t>
      </w:r>
      <w:r w:rsidRPr="007C3B90">
        <w:rPr>
          <w:rtl/>
        </w:rPr>
        <w:t>(</w:t>
      </w:r>
      <w:r w:rsidRPr="007C3B90">
        <w:rPr>
          <w:rFonts w:hint="eastAsia"/>
          <w:rtl/>
        </w:rPr>
        <w:t>להלן</w:t>
      </w:r>
      <w:r w:rsidRPr="007C3B90">
        <w:rPr>
          <w:rtl/>
        </w:rPr>
        <w:t>:</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מאוטנר</w:t>
      </w:r>
      <w:r w:rsidRPr="007C3B90">
        <w:rPr>
          <w:rtl/>
        </w:rPr>
        <w:t>)</w:t>
      </w:r>
      <w:r w:rsidRPr="007C3B90">
        <w:rPr>
          <w:rFonts w:hint="cs"/>
          <w:rtl/>
        </w:rPr>
        <w:t xml:space="preserve">). </w:t>
      </w:r>
      <w:r w:rsidRPr="007C3B90">
        <w:rPr>
          <w:rtl/>
        </w:rPr>
        <w:br/>
      </w:r>
    </w:p>
    <w:p w:rsidR="00BB56BB" w:rsidRPr="007C3B90" w:rsidRDefault="00BB56BB" w:rsidP="00BB56BB">
      <w:pPr>
        <w:pStyle w:val="Ruller4"/>
        <w:rPr>
          <w:rtl/>
        </w:rPr>
      </w:pPr>
      <w:r w:rsidRPr="007C3B90">
        <w:rPr>
          <w:rFonts w:hint="cs"/>
          <w:rtl/>
        </w:rPr>
        <w:t xml:space="preserve">הביקורת שנמתחה על עילת הסבירות האיזונית מצד הממסד הפוליטי הייתה דומה. נטען כי באמצעות עילה זו הפך בית המשפט לגוף המכריע בשאלות שאינן בתחום מומחיותו המשפטית, תוך שהוא מעמיד את שיקול דעתו תחת שיקול דעתה של הרשות, לרבות בשאלות של קביעת מדיניות. בכך, כך נטען, פלש בית המשפט לגדרי סמכותן של הרשויות האחרות והפך לפוסק האחרון בשאלות פוליטיות, כלכליות, חברתיות ומדיניות </w:t>
      </w:r>
      <w:r w:rsidRPr="007C3B90">
        <w:rPr>
          <w:rtl/>
        </w:rPr>
        <w:t>–</w:t>
      </w:r>
      <w:r w:rsidRPr="007C3B90">
        <w:rPr>
          <w:rFonts w:hint="cs"/>
          <w:rtl/>
        </w:rPr>
        <w:t xml:space="preserve"> חלקן שאלות הנתונות במחלוקת ציבורית </w:t>
      </w:r>
      <w:r w:rsidRPr="007C3B90">
        <w:rPr>
          <w:rtl/>
        </w:rPr>
        <w:t>–</w:t>
      </w:r>
      <w:r w:rsidRPr="007C3B90">
        <w:rPr>
          <w:rFonts w:hint="cs"/>
          <w:rtl/>
        </w:rPr>
        <w:t xml:space="preserve"> גם כאשר אלה אינן מתאימות לבירור משפטי, וגם כאשר מדובר בהחלטות שעל פי טיבן ראוי היה להותירן להחלטת הרשות. על החלטות מן הסוג האחרון, בהקשר לבחינתם של נושאים פוליטיים, צבאיים ומדיניים, ציין המשנה לנשיא </w:t>
      </w:r>
      <w:r w:rsidRPr="007C3B90">
        <w:rPr>
          <w:rFonts w:ascii="Century" w:hAnsi="Century" w:cs="Miriam" w:hint="eastAsia"/>
          <w:b/>
          <w:spacing w:val="0"/>
          <w:sz w:val="22"/>
          <w:szCs w:val="24"/>
          <w:rtl/>
        </w:rPr>
        <w:t>מ</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אלון</w:t>
      </w:r>
      <w:r w:rsidRPr="007C3B90">
        <w:rPr>
          <w:rFonts w:hint="cs"/>
          <w:rtl/>
        </w:rPr>
        <w:t xml:space="preserve"> בלשון הומור: </w:t>
      </w:r>
      <w:r w:rsidRPr="007C3B90">
        <w:rPr>
          <w:rFonts w:ascii="Century" w:hAnsi="Century" w:cs="Miriam" w:hint="cs"/>
          <w:b/>
          <w:spacing w:val="0"/>
          <w:szCs w:val="24"/>
          <w:rtl/>
        </w:rPr>
        <w:t>"לדעתי, בלתי סביר לחלוטין הוא לצפות באופן סביר, כי בית-משפט יבדוק סבירותם של נושאים מעין אלה"</w:t>
      </w:r>
      <w:r w:rsidRPr="007C3B90">
        <w:rPr>
          <w:rFonts w:hint="cs"/>
          <w:rtl/>
        </w:rPr>
        <w:t xml:space="preserve"> (עניין </w:t>
      </w:r>
      <w:r w:rsidRPr="007C3B90">
        <w:rPr>
          <w:rFonts w:ascii="Century" w:hAnsi="Century" w:cs="Miriam" w:hint="cs"/>
          <w:b/>
          <w:spacing w:val="0"/>
          <w:szCs w:val="24"/>
          <w:rtl/>
        </w:rPr>
        <w:t>ז'רז'בסקי</w:t>
      </w:r>
      <w:r w:rsidRPr="007C3B90">
        <w:rPr>
          <w:rFonts w:hint="cs"/>
          <w:rtl/>
        </w:rPr>
        <w:t xml:space="preserve">, בעמ' 771). </w:t>
      </w:r>
    </w:p>
    <w:p w:rsidR="00BB56BB" w:rsidRPr="007C3B90" w:rsidRDefault="00BB56BB" w:rsidP="00BB56BB">
      <w:pPr>
        <w:pStyle w:val="Ruller4"/>
        <w:numPr>
          <w:ilvl w:val="0"/>
          <w:numId w:val="0"/>
        </w:numPr>
        <w:rPr>
          <w:rtl/>
        </w:rPr>
      </w:pPr>
    </w:p>
    <w:p w:rsidR="00BB56BB" w:rsidRPr="007C3B90" w:rsidRDefault="00BB56BB" w:rsidP="00BB56BB">
      <w:pPr>
        <w:pStyle w:val="Ruller4"/>
      </w:pPr>
      <w:r w:rsidRPr="007C3B90">
        <w:rPr>
          <w:rFonts w:hint="cs"/>
          <w:rtl/>
        </w:rPr>
        <w:t>כאן המקום להעיר, כי מרבית מבקריה של עילת הסבירות בשדה המשפט, לא ראו בה בהכרח משום התפתחות שלילית של המשפט המינהלי, ועיקר המחלוקת נסב על גבולות השימוש בעילה. בהקשר זה נטען, כי יש לנקוט ריסון בשימוש בה, תוך הותרתה כעילת ביקורת שיורית השמורה למקרים קיצוניים ולאחר מיצויין של עילות ביקורת מדויקות יותר. כך למשל, קראו מבקריה לנקוט יתר-זהירות בשימוש בעילה זו, במיוחד בכל הנוגע להחלטות בענייני מדיניות, המתקבלות על-ידי דרג נבחר (</w:t>
      </w:r>
      <w:r w:rsidRPr="007C3B90">
        <w:rPr>
          <w:rFonts w:ascii="Century" w:hAnsi="Century" w:cs="Miriam" w:hint="cs"/>
          <w:b/>
          <w:spacing w:val="0"/>
          <w:sz w:val="22"/>
          <w:szCs w:val="24"/>
          <w:rtl/>
        </w:rPr>
        <w:t>דותן, שני מושגים</w:t>
      </w:r>
      <w:r w:rsidRPr="007C3B90">
        <w:rPr>
          <w:rFonts w:hint="cs"/>
          <w:rtl/>
        </w:rPr>
        <w:t xml:space="preserve">, בעמ' 711-710; </w:t>
      </w:r>
      <w:r w:rsidRPr="007C3B90">
        <w:rPr>
          <w:rFonts w:ascii="Century" w:hAnsi="Century" w:cs="Miriam" w:hint="cs"/>
          <w:b/>
          <w:spacing w:val="0"/>
          <w:sz w:val="22"/>
          <w:szCs w:val="24"/>
          <w:rtl/>
        </w:rPr>
        <w:t>סולברג</w:t>
      </w:r>
      <w:r w:rsidRPr="007C3B90">
        <w:rPr>
          <w:rFonts w:ascii="Century" w:hAnsi="Century" w:hint="cs"/>
          <w:sz w:val="22"/>
          <w:rtl/>
        </w:rPr>
        <w:t>,</w:t>
      </w:r>
      <w:r w:rsidRPr="007C3B90">
        <w:rPr>
          <w:rFonts w:hint="cs"/>
          <w:rtl/>
        </w:rPr>
        <w:t xml:space="preserve"> בעמ' 54-53); להקפיד להשתמש בה במקרים קיצוניים בלבד (עניין </w:t>
      </w:r>
      <w:r w:rsidRPr="007C3B90">
        <w:rPr>
          <w:rFonts w:ascii="Century" w:hAnsi="Century" w:cs="Miriam" w:hint="cs"/>
          <w:b/>
          <w:spacing w:val="0"/>
          <w:sz w:val="22"/>
          <w:szCs w:val="24"/>
          <w:rtl/>
        </w:rPr>
        <w:t>אמונה</w:t>
      </w:r>
      <w:r w:rsidRPr="007C3B90">
        <w:rPr>
          <w:rFonts w:hint="cs"/>
          <w:rtl/>
        </w:rPr>
        <w:t xml:space="preserve">, בעמ' 525; בג"ץ 8948/22 </w:t>
      </w:r>
      <w:r w:rsidRPr="007C3B90">
        <w:rPr>
          <w:rFonts w:ascii="Century" w:hAnsi="Century" w:cs="Miriam" w:hint="cs"/>
          <w:b/>
          <w:spacing w:val="0"/>
          <w:sz w:val="22"/>
          <w:szCs w:val="24"/>
          <w:rtl/>
        </w:rPr>
        <w:t>שיינפלד נ' הכנסת</w:t>
      </w:r>
      <w:r w:rsidRPr="007C3B90">
        <w:rPr>
          <w:rFonts w:ascii="Century" w:hAnsi="Century" w:hint="cs"/>
          <w:sz w:val="22"/>
          <w:rtl/>
        </w:rPr>
        <w:t>,</w:t>
      </w:r>
      <w:r w:rsidRPr="007C3B90">
        <w:rPr>
          <w:rFonts w:ascii="Century" w:hAnsi="Century" w:cs="Miriam" w:hint="cs"/>
          <w:b/>
          <w:spacing w:val="0"/>
          <w:sz w:val="22"/>
          <w:szCs w:val="24"/>
          <w:rtl/>
        </w:rPr>
        <w:t xml:space="preserve"> </w:t>
      </w:r>
      <w:r w:rsidRPr="007C3B90">
        <w:rPr>
          <w:rFonts w:hint="cs"/>
          <w:rtl/>
        </w:rPr>
        <w:t xml:space="preserve">פסקה 35 לפסק דינו של השופט </w:t>
      </w:r>
      <w:r w:rsidRPr="007C3B90">
        <w:rPr>
          <w:rFonts w:ascii="Century" w:hAnsi="Century" w:cs="Miriam" w:hint="cs"/>
          <w:b/>
          <w:spacing w:val="0"/>
          <w:sz w:val="22"/>
          <w:szCs w:val="24"/>
          <w:rtl/>
        </w:rPr>
        <w:t>א' שטיין</w:t>
      </w:r>
      <w:r w:rsidRPr="007C3B90">
        <w:rPr>
          <w:rFonts w:hint="cs"/>
          <w:rtl/>
        </w:rPr>
        <w:t xml:space="preserve"> (</w:t>
      </w:r>
      <w:r>
        <w:rPr>
          <w:rFonts w:hint="cs"/>
          <w:rtl/>
        </w:rPr>
        <w:t>18</w:t>
      </w:r>
      <w:r w:rsidRPr="007C3B90">
        <w:rPr>
          <w:rFonts w:hint="cs"/>
          <w:rtl/>
        </w:rPr>
        <w:t xml:space="preserve">.1.2023) (להלן: עניין </w:t>
      </w:r>
      <w:r w:rsidRPr="007C3B90">
        <w:rPr>
          <w:rFonts w:ascii="Century" w:hAnsi="Century" w:cs="Miriam" w:hint="cs"/>
          <w:b/>
          <w:spacing w:val="0"/>
          <w:sz w:val="22"/>
          <w:szCs w:val="24"/>
          <w:rtl/>
        </w:rPr>
        <w:t>שיינפלד</w:t>
      </w:r>
      <w:r w:rsidRPr="007C3B90">
        <w:rPr>
          <w:rFonts w:hint="cs"/>
          <w:rtl/>
        </w:rPr>
        <w:t>)); לבכר שימוש בעילות ביקורת פרטיקולריות בעלות פרישה מצומצמת יותר (</w:t>
      </w:r>
      <w:r w:rsidRPr="007C3B90">
        <w:rPr>
          <w:rFonts w:ascii="Century" w:hAnsi="Century" w:hint="cs"/>
          <w:sz w:val="22"/>
          <w:rtl/>
        </w:rPr>
        <w:t xml:space="preserve">עניין </w:t>
      </w:r>
      <w:r w:rsidRPr="007C3B90">
        <w:rPr>
          <w:rFonts w:ascii="Century" w:hAnsi="Century" w:cs="Miriam" w:hint="cs"/>
          <w:b/>
          <w:spacing w:val="0"/>
          <w:sz w:val="22"/>
          <w:szCs w:val="24"/>
          <w:rtl/>
        </w:rPr>
        <w:t>אמונה</w:t>
      </w:r>
      <w:r w:rsidRPr="007C3B90">
        <w:rPr>
          <w:rFonts w:hint="cs"/>
          <w:rtl/>
        </w:rPr>
        <w:t xml:space="preserve">, בעמ' 524); ואף להסתפק בעילת הסבירות במובנה הקודם, של סבירות של מופרכות (עניין </w:t>
      </w:r>
      <w:r w:rsidRPr="007C3B90">
        <w:rPr>
          <w:rFonts w:ascii="Century" w:hAnsi="Century" w:cs="Miriam" w:hint="cs"/>
          <w:b/>
          <w:spacing w:val="0"/>
          <w:sz w:val="22"/>
          <w:szCs w:val="24"/>
          <w:rtl/>
        </w:rPr>
        <w:t>דפי זהב</w:t>
      </w:r>
      <w:r w:rsidRPr="007C3B90">
        <w:rPr>
          <w:rFonts w:hint="cs"/>
          <w:rtl/>
        </w:rPr>
        <w:t>, בעמ' 432).</w:t>
      </w:r>
      <w:r w:rsidRPr="007C3B90">
        <w:rPr>
          <w:rtl/>
        </w:rPr>
        <w:br/>
      </w:r>
    </w:p>
    <w:p w:rsidR="00BB56BB" w:rsidRPr="007C3B90" w:rsidRDefault="00BB56BB" w:rsidP="00BB56BB">
      <w:pPr>
        <w:pStyle w:val="Ruller4"/>
        <w:rPr>
          <w:rtl/>
        </w:rPr>
      </w:pPr>
      <w:r w:rsidRPr="007C3B90">
        <w:rPr>
          <w:rFonts w:hint="cs"/>
          <w:rtl/>
        </w:rPr>
        <w:t xml:space="preserve">מנגד, המצדדים בעילת הסבירות הרחבה, טענו, בין היתר, כי השימוש בעילה זו מהווה כלי חשוב להגברת הפיקוח של בית המשפט על פעולותיה של הרשות המבצעת, לשם הגנה על זכויות הפרט ולשם קידום נורמות של ניקיון כפיים והגינות שלטונית </w:t>
      </w:r>
      <w:r w:rsidRPr="007C3B90">
        <w:rPr>
          <w:rtl/>
        </w:rPr>
        <w:t>–</w:t>
      </w:r>
      <w:r w:rsidRPr="007C3B90">
        <w:rPr>
          <w:rFonts w:hint="cs"/>
          <w:rtl/>
        </w:rPr>
        <w:t xml:space="preserve"> וכי צמצום העילה יפגע בהגנה השיפוטית הנתונה לפרט מפני שרירות השלטון. הודגש, כי עילת הסבירות מהווה לעיתים אמצעי יחיד להתמודדות עם מקרים בהם נשקלו רק שיקולים רלבנטיים, אך לא ניתן להם משקל הולם </w:t>
      </w:r>
      <w:r w:rsidRPr="007C3B90">
        <w:rPr>
          <w:rtl/>
        </w:rPr>
        <w:t>–</w:t>
      </w:r>
      <w:r w:rsidRPr="007C3B90">
        <w:rPr>
          <w:rFonts w:hint="cs"/>
          <w:rtl/>
        </w:rPr>
        <w:t xml:space="preserve"> ובנוסף, כי יש לעילה זו חשיבות במקרים בהם נשקלו למעשה שיקולים זרים, אך קיים קושי ראייתי להוכיחם. בהקשר זה </w:t>
      </w:r>
      <w:r w:rsidRPr="007C3B90">
        <w:rPr>
          <w:rFonts w:hint="cs"/>
          <w:rtl/>
        </w:rPr>
        <w:lastRenderedPageBreak/>
        <w:t xml:space="preserve">נטען גם, כי תרומתה של עילת הסבירות מתבטאת, לא רק במקרים שנדונו בפועל בבתי המשפט, אלא גם בהשפעותיה על עיצוב החלטותיהן של רשויות המינהל מראש. עוד נטען, כי המומחיות הנדרשת מבית המשפט בבואו לבקר את רשויות השלטון בעילה זו, אינה שונה מן המומחיות הנדרשת ממנו בבואו לבקר גורמי מקצוע אחרים בעילות דומות בתחומי משפט שונים; כי בית המשפט נזהר מלהחליף את שיקול דעתה של הרשות בשיקול דעתו שלו, והתערבותו נעשית רק במקרים קיצוניים; וכי לאחר שניתנו מאות פסקי דין שיישמו את עילת הסבירות, התגבשו כללים ואמות מידה ליישומה והיא אינה עוד עמומה כבעבר (ראו: </w:t>
      </w:r>
      <w:r w:rsidRPr="007C3B90">
        <w:rPr>
          <w:rFonts w:hint="eastAsia"/>
          <w:rtl/>
        </w:rPr>
        <w:t>בג</w:t>
      </w:r>
      <w:r w:rsidRPr="007C3B90">
        <w:rPr>
          <w:rtl/>
        </w:rPr>
        <w:t>"</w:t>
      </w:r>
      <w:r w:rsidRPr="007C3B90">
        <w:rPr>
          <w:rFonts w:hint="eastAsia"/>
          <w:rtl/>
        </w:rPr>
        <w:t>ץ</w:t>
      </w:r>
      <w:r w:rsidRPr="007C3B90">
        <w:rPr>
          <w:rtl/>
        </w:rPr>
        <w:t xml:space="preserve"> 3997/14 </w:t>
      </w:r>
      <w:r w:rsidRPr="007C3B90">
        <w:rPr>
          <w:rFonts w:ascii="Century" w:hAnsi="Century" w:cs="Miriam" w:hint="eastAsia"/>
          <w:b/>
          <w:spacing w:val="0"/>
          <w:sz w:val="22"/>
          <w:szCs w:val="24"/>
          <w:rtl/>
        </w:rPr>
        <w:t>התנועה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למען</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איכות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השלטון</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בישראל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נ</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שר</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החוץ</w:t>
      </w:r>
      <w:r w:rsidRPr="007C3B90">
        <w:rPr>
          <w:rFonts w:ascii="Century" w:hAnsi="Century" w:hint="cs"/>
          <w:sz w:val="22"/>
          <w:rtl/>
        </w:rPr>
        <w:t>,</w:t>
      </w:r>
      <w:r w:rsidRPr="007C3B90">
        <w:rPr>
          <w:rFonts w:hint="cs"/>
          <w:rtl/>
        </w:rPr>
        <w:t xml:space="preserve"> פסקה ג' לפסק דינו של המשנה לנשיאה </w:t>
      </w:r>
      <w:r w:rsidRPr="007C3B90">
        <w:rPr>
          <w:rFonts w:ascii="Century" w:hAnsi="Century" w:cs="Miriam" w:hint="cs"/>
          <w:b/>
          <w:spacing w:val="0"/>
          <w:sz w:val="22"/>
          <w:szCs w:val="24"/>
          <w:rtl/>
        </w:rPr>
        <w:t>א' רובינשטיין</w:t>
      </w:r>
      <w:r w:rsidRPr="007C3B90">
        <w:rPr>
          <w:rFonts w:hint="cs"/>
          <w:rtl/>
        </w:rPr>
        <w:t xml:space="preserve">, פסקה 2 לפסק דינה של הנשיאה </w:t>
      </w:r>
      <w:r w:rsidRPr="007C3B90">
        <w:rPr>
          <w:rFonts w:ascii="Century" w:hAnsi="Century" w:cs="Miriam" w:hint="cs"/>
          <w:b/>
          <w:spacing w:val="0"/>
          <w:sz w:val="22"/>
          <w:szCs w:val="24"/>
          <w:rtl/>
        </w:rPr>
        <w:t>מ' נאור</w:t>
      </w:r>
      <w:r w:rsidRPr="007C3B90">
        <w:rPr>
          <w:rFonts w:hint="cs"/>
          <w:rtl/>
        </w:rPr>
        <w:t xml:space="preserve"> ופסקה 3 לפסק דינה של השופט</w:t>
      </w:r>
      <w:r>
        <w:rPr>
          <w:rFonts w:hint="cs"/>
          <w:rtl/>
        </w:rPr>
        <w:t>ת</w:t>
      </w:r>
      <w:r w:rsidRPr="007C3B90">
        <w:rPr>
          <w:rFonts w:hint="cs"/>
          <w:rtl/>
        </w:rPr>
        <w:t xml:space="preserve"> </w:t>
      </w:r>
      <w:r w:rsidRPr="007C3B90">
        <w:rPr>
          <w:rFonts w:ascii="Century" w:hAnsi="Century" w:cs="Miriam" w:hint="eastAsia"/>
          <w:b/>
          <w:spacing w:val="0"/>
          <w:sz w:val="22"/>
          <w:szCs w:val="24"/>
          <w:rtl/>
        </w:rPr>
        <w:t>א</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חיות</w:t>
      </w:r>
      <w:r w:rsidRPr="007C3B90">
        <w:rPr>
          <w:rFonts w:hint="cs"/>
          <w:rtl/>
        </w:rPr>
        <w:t xml:space="preserve"> (12.2.2015) (להלן: עניין </w:t>
      </w:r>
      <w:r w:rsidRPr="007C3B90">
        <w:rPr>
          <w:rFonts w:ascii="Century" w:hAnsi="Century" w:cs="Miriam" w:hint="cs"/>
          <w:b/>
          <w:spacing w:val="0"/>
          <w:sz w:val="22"/>
          <w:szCs w:val="24"/>
          <w:rtl/>
        </w:rPr>
        <w:t>הנגבי</w:t>
      </w:r>
      <w:r w:rsidRPr="007C3B90">
        <w:rPr>
          <w:rFonts w:hint="cs"/>
          <w:rtl/>
        </w:rPr>
        <w:t xml:space="preserve">); בג"ץ 4921/13 </w:t>
      </w:r>
      <w:r w:rsidRPr="007C3B90">
        <w:rPr>
          <w:rFonts w:ascii="Century" w:hAnsi="Century" w:cs="Miriam" w:hint="cs"/>
          <w:b/>
          <w:spacing w:val="0"/>
          <w:sz w:val="22"/>
          <w:szCs w:val="24"/>
          <w:rtl/>
        </w:rPr>
        <w:t xml:space="preserve">אומ"ץ </w:t>
      </w:r>
      <w:r w:rsidRPr="007C3B90">
        <w:rPr>
          <w:rFonts w:ascii="Century" w:hAnsi="Century" w:cs="Miriam"/>
          <w:b/>
          <w:spacing w:val="0"/>
          <w:sz w:val="22"/>
          <w:szCs w:val="24"/>
          <w:rtl/>
        </w:rPr>
        <w:t>–</w:t>
      </w:r>
      <w:r w:rsidRPr="007C3B90">
        <w:rPr>
          <w:rFonts w:ascii="Century" w:hAnsi="Century" w:cs="Miriam" w:hint="cs"/>
          <w:b/>
          <w:spacing w:val="0"/>
          <w:sz w:val="22"/>
          <w:szCs w:val="24"/>
          <w:rtl/>
        </w:rPr>
        <w:t xml:space="preserve"> אזרחים למען מנהל תקין וצדק חברתי ומשפטי נ' ראש עיריית רמת השרון</w:t>
      </w:r>
      <w:r w:rsidRPr="007C3B90">
        <w:rPr>
          <w:rFonts w:ascii="Century" w:hAnsi="Century" w:hint="cs"/>
          <w:sz w:val="22"/>
          <w:rtl/>
        </w:rPr>
        <w:t>,</w:t>
      </w:r>
      <w:r w:rsidRPr="007C3B90">
        <w:rPr>
          <w:rFonts w:hint="cs"/>
          <w:rtl/>
        </w:rPr>
        <w:t xml:space="preserve"> פ"ד סו(3) 135, 226 (2013); עניין </w:t>
      </w:r>
      <w:r w:rsidRPr="007C3B90">
        <w:rPr>
          <w:rFonts w:ascii="Century" w:hAnsi="Century" w:cs="Miriam" w:hint="cs"/>
          <w:b/>
          <w:spacing w:val="0"/>
          <w:sz w:val="22"/>
          <w:szCs w:val="24"/>
          <w:rtl/>
        </w:rPr>
        <w:t>אמונה</w:t>
      </w:r>
      <w:r w:rsidRPr="007C3B90">
        <w:rPr>
          <w:rFonts w:hint="cs"/>
          <w:rtl/>
        </w:rPr>
        <w:t xml:space="preserve">, בעמ' 487 ו-511; </w:t>
      </w:r>
      <w:r w:rsidRPr="009A38A5">
        <w:rPr>
          <w:rFonts w:ascii="Century" w:hAnsi="Century" w:hint="cs"/>
          <w:sz w:val="22"/>
          <w:rtl/>
        </w:rPr>
        <w:t>עניין</w:t>
      </w:r>
      <w:r w:rsidRPr="009A38A5">
        <w:rPr>
          <w:rFonts w:ascii="Century" w:hAnsi="Century" w:cs="Miriam" w:hint="cs"/>
          <w:b/>
          <w:spacing w:val="0"/>
          <w:sz w:val="22"/>
          <w:szCs w:val="24"/>
          <w:rtl/>
        </w:rPr>
        <w:t xml:space="preserve"> </w:t>
      </w:r>
      <w:r w:rsidRPr="007C3B90">
        <w:rPr>
          <w:rFonts w:ascii="Century" w:hAnsi="Century" w:cs="Miriam" w:hint="cs"/>
          <w:b/>
          <w:spacing w:val="0"/>
          <w:sz w:val="22"/>
          <w:szCs w:val="24"/>
          <w:rtl/>
        </w:rPr>
        <w:t>ז'רז'בסקי</w:t>
      </w:r>
      <w:r w:rsidRPr="007C3B90">
        <w:rPr>
          <w:rFonts w:ascii="Century" w:hAnsi="Century" w:hint="cs"/>
          <w:sz w:val="22"/>
          <w:rtl/>
        </w:rPr>
        <w:t xml:space="preserve">, </w:t>
      </w:r>
      <w:r w:rsidRPr="007C3B90">
        <w:rPr>
          <w:rFonts w:hint="cs"/>
          <w:rtl/>
        </w:rPr>
        <w:t xml:space="preserve">בעמ' 858-857; עניין </w:t>
      </w:r>
      <w:r w:rsidRPr="007C3B90">
        <w:rPr>
          <w:rFonts w:ascii="Century" w:hAnsi="Century" w:cs="Miriam" w:hint="cs"/>
          <w:b/>
          <w:spacing w:val="0"/>
          <w:sz w:val="22"/>
          <w:szCs w:val="24"/>
          <w:rtl/>
        </w:rPr>
        <w:t>שיינפלד</w:t>
      </w:r>
      <w:r w:rsidRPr="007C3B90">
        <w:rPr>
          <w:rFonts w:ascii="Century" w:hAnsi="Century" w:hint="cs"/>
          <w:sz w:val="22"/>
          <w:rtl/>
        </w:rPr>
        <w:t xml:space="preserve">, </w:t>
      </w:r>
      <w:r w:rsidRPr="007C3B90">
        <w:rPr>
          <w:rFonts w:hint="cs"/>
          <w:rtl/>
        </w:rPr>
        <w:t xml:space="preserve">בפסקאות 6-5 לפסק דינה של השופטת </w:t>
      </w:r>
      <w:r w:rsidRPr="007C3B90">
        <w:rPr>
          <w:rFonts w:ascii="Century" w:hAnsi="Century" w:cs="Miriam" w:hint="cs"/>
          <w:b/>
          <w:spacing w:val="0"/>
          <w:sz w:val="22"/>
          <w:szCs w:val="24"/>
          <w:rtl/>
        </w:rPr>
        <w:t>ע' ברון</w:t>
      </w:r>
      <w:r w:rsidRPr="007C3B90">
        <w:rPr>
          <w:rFonts w:hint="cs"/>
          <w:rtl/>
        </w:rPr>
        <w:t>;</w:t>
      </w:r>
      <w:r w:rsidRPr="007C3B90">
        <w:rPr>
          <w:rFonts w:ascii="Century" w:hAnsi="Century" w:cs="Miriam" w:hint="cs"/>
          <w:b/>
          <w:spacing w:val="0"/>
          <w:sz w:val="22"/>
          <w:szCs w:val="24"/>
          <w:rtl/>
        </w:rPr>
        <w:t xml:space="preserve"> ברק-ארז</w:t>
      </w:r>
      <w:r w:rsidRPr="007C3B90">
        <w:rPr>
          <w:rFonts w:ascii="Century" w:hAnsi="Century" w:hint="cs"/>
          <w:sz w:val="22"/>
          <w:rtl/>
        </w:rPr>
        <w:t>,</w:t>
      </w:r>
      <w:r w:rsidRPr="007C3B90">
        <w:rPr>
          <w:rFonts w:hint="cs"/>
          <w:rtl/>
        </w:rPr>
        <w:t xml:space="preserve"> בעמ' 769). </w:t>
      </w:r>
      <w:r w:rsidRPr="007C3B90">
        <w:rPr>
          <w:rtl/>
        </w:rPr>
        <w:br/>
      </w:r>
    </w:p>
    <w:p w:rsidR="00BB56BB" w:rsidRPr="007C3B90" w:rsidRDefault="00BB56BB" w:rsidP="00BB56BB">
      <w:pPr>
        <w:pStyle w:val="Ruller4"/>
        <w:rPr>
          <w:rtl/>
        </w:rPr>
      </w:pPr>
      <w:r w:rsidRPr="007C3B90">
        <w:rPr>
          <w:rFonts w:hint="cs"/>
          <w:rtl/>
        </w:rPr>
        <w:t xml:space="preserve">סיכום </w:t>
      </w:r>
      <w:r w:rsidRPr="007C3B90">
        <w:rPr>
          <w:rFonts w:ascii="Century" w:hAnsi="Century" w:hint="cs"/>
          <w:sz w:val="22"/>
          <w:rtl/>
        </w:rPr>
        <w:t xml:space="preserve">הדברים הוא, כי בעוד שאין מחלוקת כי פעולות המנהל כפופות לחובת הסבירות </w:t>
      </w:r>
      <w:r w:rsidRPr="007C3B90">
        <w:rPr>
          <w:rFonts w:ascii="Century" w:hAnsi="Century"/>
          <w:sz w:val="22"/>
          <w:rtl/>
        </w:rPr>
        <w:t>–</w:t>
      </w:r>
      <w:r w:rsidRPr="007C3B90">
        <w:rPr>
          <w:rFonts w:ascii="Century" w:hAnsi="Century" w:hint="cs"/>
          <w:sz w:val="22"/>
          <w:rtl/>
        </w:rPr>
        <w:t xml:space="preserve"> מזה עשרות שנים קיימת מחלוקת חריפה על "רוחבה" של עילת הסבירות,</w:t>
      </w:r>
      <w:r w:rsidRPr="007C3B90">
        <w:rPr>
          <w:rFonts w:hint="cs"/>
          <w:rtl/>
        </w:rPr>
        <w:t xml:space="preserve"> ולמעשה על היקפה וגבולותיה הראויים של הביקורת השיפוטית על מעשי המנהל, על תפקידו הראוי של בית המשפט, ועל "חלוקת העבודה" בין הרשות המינהלית לבין הרשות השופטת. מחלוקת זו משקפת את המתח הקיים בין הגברת הביקורת השיפוטית על מעשי המנהל, לשם קידום נורמות של ניקיון כפיים, הגינות שלטונית והגנה על זכויות הפרט; ובין שמירה על חופש הפעולה של רשויות המנהל בניהול ענייני המדינה שבתחומי סמכותן, מתוך כיבוד עיקרון הפרדת הרשויות במדינה דמוקרטית.</w:t>
      </w:r>
    </w:p>
    <w:p w:rsidR="00BB56BB" w:rsidRPr="007C3B90" w:rsidRDefault="00BB56BB" w:rsidP="00BB56BB">
      <w:pPr>
        <w:pStyle w:val="Ruller4"/>
        <w:numPr>
          <w:ilvl w:val="0"/>
          <w:numId w:val="0"/>
        </w:numPr>
        <w:rPr>
          <w:rtl/>
        </w:rPr>
      </w:pPr>
    </w:p>
    <w:p w:rsidR="00BB56BB" w:rsidRPr="007C3B90" w:rsidRDefault="00BB56BB" w:rsidP="00BB56BB">
      <w:pPr>
        <w:pStyle w:val="Ruller4"/>
        <w:numPr>
          <w:ilvl w:val="0"/>
          <w:numId w:val="0"/>
        </w:numPr>
        <w:rPr>
          <w:rtl/>
        </w:rPr>
      </w:pPr>
      <w:r w:rsidRPr="007C3B90">
        <w:rPr>
          <w:rtl/>
        </w:rPr>
        <w:tab/>
      </w:r>
      <w:r w:rsidRPr="007C3B90">
        <w:rPr>
          <w:rFonts w:hint="cs"/>
          <w:rtl/>
        </w:rPr>
        <w:t xml:space="preserve">על רקע מחלוקת ארוכת שנים זו, נחקק חוק-יסוד: השפיטה (תיקון מס' 3), הוא התיקון מושא הדיון שלפנינו. </w:t>
      </w:r>
    </w:p>
    <w:p w:rsidR="00BB56BB" w:rsidRPr="007C3B90" w:rsidRDefault="00BB56BB" w:rsidP="00BB56BB">
      <w:pPr>
        <w:pStyle w:val="Ruller4"/>
        <w:numPr>
          <w:ilvl w:val="0"/>
          <w:numId w:val="0"/>
        </w:numPr>
        <w:rPr>
          <w:rFonts w:ascii="Century" w:hAnsi="Century" w:cs="Miriam"/>
          <w:b/>
          <w:spacing w:val="0"/>
          <w:szCs w:val="24"/>
          <w:rtl/>
        </w:rPr>
      </w:pPr>
    </w:p>
    <w:p w:rsidR="00BB56BB" w:rsidRPr="007C3B90" w:rsidRDefault="00BB56BB" w:rsidP="00BB56BB">
      <w:pPr>
        <w:pStyle w:val="Ruller4"/>
        <w:numPr>
          <w:ilvl w:val="0"/>
          <w:numId w:val="0"/>
        </w:numPr>
        <w:rPr>
          <w:rtl/>
        </w:rPr>
      </w:pPr>
      <w:r w:rsidRPr="007C3B90">
        <w:rPr>
          <w:rFonts w:ascii="Century" w:hAnsi="Century" w:cs="Miriam" w:hint="cs"/>
          <w:b/>
          <w:spacing w:val="0"/>
          <w:szCs w:val="24"/>
          <w:rtl/>
        </w:rPr>
        <w:t>פרשנותו של התיקון</w:t>
      </w:r>
    </w:p>
    <w:p w:rsidR="00BB56BB" w:rsidRPr="007C3B90" w:rsidRDefault="00BB56BB" w:rsidP="00BB56BB">
      <w:pPr>
        <w:pStyle w:val="Ruller4"/>
        <w:numPr>
          <w:ilvl w:val="0"/>
          <w:numId w:val="0"/>
        </w:numPr>
        <w:rPr>
          <w:rtl/>
        </w:rPr>
      </w:pPr>
    </w:p>
    <w:p w:rsidR="00BB56BB" w:rsidRPr="007C3B90" w:rsidRDefault="00BB56BB" w:rsidP="00BB56BB">
      <w:pPr>
        <w:pStyle w:val="Ruller4"/>
      </w:pPr>
      <w:r w:rsidRPr="007C3B90">
        <w:rPr>
          <w:rFonts w:hint="cs"/>
          <w:rtl/>
        </w:rPr>
        <w:t xml:space="preserve">סעיף 15 לחוק-יסוד: השפיטה קובע את מקום מושבו של בית המשפט העליון ואת סמכויות השיפוט הנתונות לו, לרבות בשבתו כבית משפט גבוה לצדק. במסגרת התיקון לחוק נוסף סעיף-קטן 15(ד1), הקובע בזו הלשון: </w:t>
      </w:r>
    </w:p>
    <w:p w:rsidR="00BB56BB" w:rsidRPr="007C3B90" w:rsidRDefault="00BB56BB" w:rsidP="00BB56BB">
      <w:pPr>
        <w:pStyle w:val="Ruller5"/>
        <w:rPr>
          <w:rtl/>
        </w:rPr>
      </w:pPr>
      <w:r w:rsidRPr="007C3B90">
        <w:rPr>
          <w:rtl/>
        </w:rPr>
        <w:br/>
      </w:r>
      <w:r w:rsidRPr="007C3B90">
        <w:rPr>
          <w:rFonts w:hint="cs"/>
          <w:rtl/>
        </w:rPr>
        <w:t xml:space="preserve">"על אף האמור בחוק-יסוד זה, מי שבידו סמכות שפיטה </w:t>
      </w:r>
      <w:r w:rsidRPr="007C3B90">
        <w:rPr>
          <w:rFonts w:hint="cs"/>
          <w:rtl/>
        </w:rPr>
        <w:lastRenderedPageBreak/>
        <w:t xml:space="preserve">על פי דין, לרבות בית המשפט העליון בשבתו </w:t>
      </w:r>
      <w:r w:rsidRPr="007C3B90">
        <w:rPr>
          <w:rtl/>
        </w:rPr>
        <w:t>בית משפט גבוה לצדק, לא ידון בעניין סבירות ההחלטה של הממשלה, של ראש הממשלה או של שר אחר, ולא ייתן צו בעניין כאמו</w:t>
      </w:r>
      <w:r w:rsidRPr="007C3B90">
        <w:rPr>
          <w:rFonts w:hint="cs"/>
          <w:rtl/>
        </w:rPr>
        <w:t xml:space="preserve">ר; </w:t>
      </w:r>
      <w:r w:rsidRPr="007C3B90">
        <w:rPr>
          <w:rtl/>
        </w:rPr>
        <w:t>בסעיף ז</w:t>
      </w:r>
      <w:r w:rsidRPr="007C3B90">
        <w:rPr>
          <w:rFonts w:hint="cs"/>
          <w:rtl/>
        </w:rPr>
        <w:t>ה,</w:t>
      </w:r>
      <w:r w:rsidRPr="007C3B90">
        <w:t xml:space="preserve"> </w:t>
      </w:r>
      <w:r w:rsidRPr="007C3B90">
        <w:rPr>
          <w:rFonts w:hint="cs"/>
          <w:rtl/>
        </w:rPr>
        <w:t xml:space="preserve">'החלטה' </w:t>
      </w:r>
      <w:r w:rsidRPr="007C3B90">
        <w:rPr>
          <w:rtl/>
        </w:rPr>
        <w:t>–</w:t>
      </w:r>
      <w:r w:rsidRPr="007C3B90">
        <w:rPr>
          <w:rFonts w:hint="cs"/>
          <w:rtl/>
        </w:rPr>
        <w:t xml:space="preserve"> </w:t>
      </w:r>
      <w:r w:rsidRPr="007C3B90">
        <w:rPr>
          <w:rtl/>
        </w:rPr>
        <w:t>כל החלטה, לרבות בענייני מינויים או החלטה להימנע מהפעלת כל סמכות</w:t>
      </w:r>
      <w:r w:rsidRPr="007C3B90">
        <w:rPr>
          <w:rFonts w:hint="cs"/>
          <w:rtl/>
        </w:rPr>
        <w:t>".</w:t>
      </w:r>
    </w:p>
    <w:p w:rsidR="00BB56BB" w:rsidRPr="007C3B90" w:rsidRDefault="00BB56BB" w:rsidP="00EE65B9">
      <w:pPr>
        <w:pStyle w:val="Ruller4"/>
        <w:numPr>
          <w:ilvl w:val="0"/>
          <w:numId w:val="0"/>
        </w:numPr>
        <w:spacing w:line="240" w:lineRule="auto"/>
        <w:rPr>
          <w:rtl/>
        </w:rPr>
      </w:pPr>
    </w:p>
    <w:p w:rsidR="00BB56BB" w:rsidRPr="007C3B90" w:rsidRDefault="00BB56BB" w:rsidP="00BB56BB">
      <w:pPr>
        <w:pStyle w:val="Ruller4"/>
        <w:numPr>
          <w:ilvl w:val="0"/>
          <w:numId w:val="0"/>
        </w:numPr>
        <w:rPr>
          <w:rtl/>
        </w:rPr>
      </w:pPr>
    </w:p>
    <w:p w:rsidR="00BB56BB" w:rsidRPr="007C3B90" w:rsidRDefault="00BB56BB" w:rsidP="00BB56BB">
      <w:pPr>
        <w:pStyle w:val="Ruller4"/>
        <w:numPr>
          <w:ilvl w:val="0"/>
          <w:numId w:val="0"/>
        </w:numPr>
        <w:rPr>
          <w:rtl/>
        </w:rPr>
      </w:pPr>
      <w:r w:rsidRPr="007C3B90">
        <w:rPr>
          <w:rtl/>
        </w:rPr>
        <w:tab/>
      </w:r>
      <w:r w:rsidRPr="007C3B90">
        <w:rPr>
          <w:rFonts w:hint="eastAsia"/>
          <w:rtl/>
        </w:rPr>
        <w:t>התיק</w:t>
      </w:r>
      <w:r w:rsidRPr="007C3B90">
        <w:rPr>
          <w:rFonts w:hint="cs"/>
          <w:rtl/>
        </w:rPr>
        <w:t>ון לחוק,</w:t>
      </w:r>
      <w:r w:rsidRPr="007C3B90">
        <w:rPr>
          <w:rtl/>
        </w:rPr>
        <w:t xml:space="preserve"> </w:t>
      </w:r>
      <w:r w:rsidRPr="007C3B90">
        <w:rPr>
          <w:rFonts w:hint="eastAsia"/>
          <w:rtl/>
        </w:rPr>
        <w:t>על</w:t>
      </w:r>
      <w:r w:rsidRPr="007C3B90">
        <w:rPr>
          <w:rtl/>
        </w:rPr>
        <w:t xml:space="preserve"> </w:t>
      </w:r>
      <w:r w:rsidRPr="007C3B90">
        <w:rPr>
          <w:rFonts w:hint="eastAsia"/>
          <w:rtl/>
        </w:rPr>
        <w:t>פי</w:t>
      </w:r>
      <w:r w:rsidRPr="007C3B90">
        <w:rPr>
          <w:rtl/>
        </w:rPr>
        <w:t xml:space="preserve"> </w:t>
      </w:r>
      <w:r w:rsidRPr="007C3B90">
        <w:rPr>
          <w:rFonts w:hint="eastAsia"/>
          <w:rtl/>
        </w:rPr>
        <w:t>נוסחו</w:t>
      </w:r>
      <w:r w:rsidRPr="007C3B90">
        <w:rPr>
          <w:rtl/>
        </w:rPr>
        <w:t xml:space="preserve">, </w:t>
      </w:r>
      <w:r w:rsidRPr="007C3B90">
        <w:rPr>
          <w:rFonts w:hint="eastAsia"/>
          <w:rtl/>
        </w:rPr>
        <w:t>שולל</w:t>
      </w:r>
      <w:r w:rsidRPr="007C3B90">
        <w:rPr>
          <w:rtl/>
        </w:rPr>
        <w:t xml:space="preserve"> </w:t>
      </w:r>
      <w:r w:rsidRPr="007C3B90">
        <w:rPr>
          <w:rFonts w:hint="eastAsia"/>
          <w:rtl/>
        </w:rPr>
        <w:t>דיון</w:t>
      </w:r>
      <w:r w:rsidRPr="007C3B90">
        <w:rPr>
          <w:rtl/>
        </w:rPr>
        <w:t xml:space="preserve">, </w:t>
      </w:r>
      <w:r w:rsidRPr="007C3B90">
        <w:rPr>
          <w:rFonts w:hint="eastAsia"/>
          <w:rtl/>
        </w:rPr>
        <w:t>וכפועל</w:t>
      </w:r>
      <w:r w:rsidRPr="007C3B90">
        <w:rPr>
          <w:rtl/>
        </w:rPr>
        <w:t xml:space="preserve"> </w:t>
      </w:r>
      <w:r w:rsidRPr="007C3B90">
        <w:rPr>
          <w:rFonts w:hint="eastAsia"/>
          <w:rtl/>
        </w:rPr>
        <w:t>יוצא</w:t>
      </w:r>
      <w:r w:rsidRPr="007C3B90">
        <w:rPr>
          <w:rtl/>
        </w:rPr>
        <w:t xml:space="preserve"> </w:t>
      </w:r>
      <w:r w:rsidRPr="007C3B90">
        <w:rPr>
          <w:rFonts w:hint="eastAsia"/>
          <w:rtl/>
        </w:rPr>
        <w:t>מכך</w:t>
      </w:r>
      <w:r w:rsidRPr="007C3B90">
        <w:rPr>
          <w:rtl/>
        </w:rPr>
        <w:t xml:space="preserve"> </w:t>
      </w:r>
      <w:r w:rsidRPr="007C3B90">
        <w:rPr>
          <w:rFonts w:hint="eastAsia"/>
          <w:rtl/>
        </w:rPr>
        <w:t>שולל</w:t>
      </w:r>
      <w:r w:rsidRPr="007C3B90">
        <w:rPr>
          <w:rtl/>
        </w:rPr>
        <w:t xml:space="preserve"> </w:t>
      </w:r>
      <w:r w:rsidRPr="007C3B90">
        <w:rPr>
          <w:rFonts w:hint="eastAsia"/>
          <w:rtl/>
        </w:rPr>
        <w:t>ביקורת</w:t>
      </w:r>
      <w:r w:rsidRPr="007C3B90">
        <w:rPr>
          <w:rtl/>
        </w:rPr>
        <w:t xml:space="preserve"> </w:t>
      </w:r>
      <w:r w:rsidRPr="007C3B90">
        <w:rPr>
          <w:rFonts w:hint="eastAsia"/>
          <w:rtl/>
        </w:rPr>
        <w:t>שיפוטית</w:t>
      </w:r>
      <w:r w:rsidRPr="007C3B90">
        <w:rPr>
          <w:rtl/>
        </w:rPr>
        <w:t xml:space="preserve">, </w:t>
      </w:r>
      <w:r w:rsidRPr="007C3B90">
        <w:rPr>
          <w:rFonts w:hint="eastAsia"/>
          <w:rtl/>
        </w:rPr>
        <w:t>על</w:t>
      </w:r>
      <w:r w:rsidRPr="007C3B90">
        <w:rPr>
          <w:rtl/>
        </w:rPr>
        <w:t xml:space="preserve"> </w:t>
      </w:r>
      <w:r w:rsidRPr="007C3B90">
        <w:rPr>
          <w:rFonts w:hint="eastAsia"/>
          <w:rtl/>
        </w:rPr>
        <w:t>החלטות</w:t>
      </w:r>
      <w:r w:rsidRPr="007C3B90">
        <w:rPr>
          <w:rtl/>
        </w:rPr>
        <w:t xml:space="preserve"> </w:t>
      </w:r>
      <w:r w:rsidRPr="007C3B90">
        <w:rPr>
          <w:rFonts w:hint="eastAsia"/>
          <w:rtl/>
        </w:rPr>
        <w:t>הממשלה</w:t>
      </w:r>
      <w:r w:rsidRPr="007C3B90">
        <w:rPr>
          <w:rtl/>
        </w:rPr>
        <w:t xml:space="preserve">, </w:t>
      </w:r>
      <w:r w:rsidRPr="007C3B90">
        <w:rPr>
          <w:rFonts w:hint="eastAsia"/>
          <w:rtl/>
        </w:rPr>
        <w:t>ראש</w:t>
      </w:r>
      <w:r w:rsidRPr="007C3B90">
        <w:rPr>
          <w:rtl/>
        </w:rPr>
        <w:t xml:space="preserve"> </w:t>
      </w:r>
      <w:r w:rsidRPr="007C3B90">
        <w:rPr>
          <w:rFonts w:hint="eastAsia"/>
          <w:rtl/>
        </w:rPr>
        <w:t>הממשלה</w:t>
      </w:r>
      <w:r w:rsidRPr="007C3B90">
        <w:rPr>
          <w:rtl/>
        </w:rPr>
        <w:t xml:space="preserve"> </w:t>
      </w:r>
      <w:r w:rsidRPr="007C3B90">
        <w:rPr>
          <w:rFonts w:hint="eastAsia"/>
          <w:rtl/>
        </w:rPr>
        <w:t>והשרים</w:t>
      </w:r>
      <w:r w:rsidRPr="007C3B90">
        <w:rPr>
          <w:rtl/>
        </w:rPr>
        <w:t>, הנסמכ</w:t>
      </w:r>
      <w:r>
        <w:rPr>
          <w:rFonts w:hint="cs"/>
          <w:rtl/>
        </w:rPr>
        <w:t>ו</w:t>
      </w:r>
      <w:r w:rsidRPr="007C3B90">
        <w:rPr>
          <w:rtl/>
        </w:rPr>
        <w:t>ת על "סבירות ההחלטה"</w:t>
      </w:r>
      <w:r w:rsidRPr="007C3B90">
        <w:rPr>
          <w:rFonts w:hint="cs"/>
          <w:rtl/>
        </w:rPr>
        <w:t xml:space="preserve">. </w:t>
      </w:r>
      <w:r w:rsidRPr="007C3B90">
        <w:rPr>
          <w:rtl/>
        </w:rPr>
        <w:t>לעני</w:t>
      </w:r>
      <w:r w:rsidRPr="007C3B90">
        <w:rPr>
          <w:rFonts w:hint="cs"/>
          <w:rtl/>
        </w:rPr>
        <w:t>י</w:t>
      </w:r>
      <w:r w:rsidRPr="007C3B90">
        <w:rPr>
          <w:rFonts w:hint="eastAsia"/>
          <w:rtl/>
        </w:rPr>
        <w:t>ן</w:t>
      </w:r>
      <w:r w:rsidRPr="007C3B90">
        <w:rPr>
          <w:rtl/>
        </w:rPr>
        <w:t xml:space="preserve"> זה קובע החוק כי "החלטה" משמעה הן החלטה בה הופעלה הסמכות ו</w:t>
      </w:r>
      <w:r w:rsidRPr="007C3B90">
        <w:rPr>
          <w:rFonts w:hint="cs"/>
          <w:rtl/>
        </w:rPr>
        <w:t>ה</w:t>
      </w:r>
      <w:r w:rsidRPr="007C3B90">
        <w:rPr>
          <w:rtl/>
        </w:rPr>
        <w:t xml:space="preserve">ן החלטה על הימנעות מהפעלת הסמכות. </w:t>
      </w:r>
      <w:r w:rsidRPr="007C3B90">
        <w:rPr>
          <w:rFonts w:hint="eastAsia"/>
          <w:rtl/>
        </w:rPr>
        <w:t>החוק</w:t>
      </w:r>
      <w:r w:rsidRPr="007C3B90">
        <w:rPr>
          <w:rtl/>
        </w:rPr>
        <w:t xml:space="preserve"> </w:t>
      </w:r>
      <w:r w:rsidRPr="007C3B90">
        <w:rPr>
          <w:rFonts w:hint="eastAsia"/>
          <w:rtl/>
        </w:rPr>
        <w:t>אינו</w:t>
      </w:r>
      <w:r w:rsidRPr="007C3B90">
        <w:rPr>
          <w:rtl/>
        </w:rPr>
        <w:t xml:space="preserve"> </w:t>
      </w:r>
      <w:r w:rsidRPr="007C3B90">
        <w:rPr>
          <w:rFonts w:hint="eastAsia"/>
          <w:rtl/>
        </w:rPr>
        <w:t>מגדיר</w:t>
      </w:r>
      <w:r w:rsidRPr="007C3B90">
        <w:rPr>
          <w:rtl/>
        </w:rPr>
        <w:t xml:space="preserve"> את המושג "סבירות" ההחלטה.</w:t>
      </w:r>
      <w:r w:rsidRPr="007C3B90">
        <w:rPr>
          <w:rFonts w:hint="cs"/>
          <w:rtl/>
        </w:rPr>
        <w:t xml:space="preserve"> </w:t>
      </w:r>
    </w:p>
    <w:p w:rsidR="00BB56BB" w:rsidRPr="007C3B90" w:rsidRDefault="00BB56BB" w:rsidP="00BB56BB">
      <w:pPr>
        <w:pStyle w:val="Ruller4"/>
        <w:numPr>
          <w:ilvl w:val="0"/>
          <w:numId w:val="0"/>
        </w:numPr>
      </w:pPr>
    </w:p>
    <w:p w:rsidR="00BB56BB" w:rsidRPr="007C3B90" w:rsidRDefault="00BB56BB" w:rsidP="00BB56BB">
      <w:pPr>
        <w:pStyle w:val="Ruller4"/>
      </w:pPr>
      <w:r w:rsidRPr="007C3B90">
        <w:rPr>
          <w:rFonts w:hint="cs"/>
          <w:rtl/>
        </w:rPr>
        <w:t xml:space="preserve">השאלה העומדת במוקד הדיון שלפנינו היא, האם הוראת התיקון היא בלתי חוקתית בעוצמה המחייבת את ביטולה, כלומר, האם היא מתנגשת עם עקרון היסוד של "מדינה דמוקרטית" באופן ברור, קיצוני וחריף, עד כדי </w:t>
      </w:r>
      <w:r w:rsidRPr="007C3B90">
        <w:rPr>
          <w:rFonts w:hint="eastAsia"/>
          <w:rtl/>
        </w:rPr>
        <w:t>מיטוטה</w:t>
      </w:r>
      <w:r w:rsidRPr="007C3B90">
        <w:rPr>
          <w:rtl/>
        </w:rPr>
        <w:t xml:space="preserve"> </w:t>
      </w:r>
      <w:r w:rsidRPr="007C3B90">
        <w:rPr>
          <w:rFonts w:hint="cs"/>
          <w:rtl/>
        </w:rPr>
        <w:t xml:space="preserve">או אפשרות מיטוטה </w:t>
      </w:r>
      <w:r w:rsidRPr="007C3B90">
        <w:rPr>
          <w:rFonts w:hint="eastAsia"/>
          <w:rtl/>
        </w:rPr>
        <w:t>של</w:t>
      </w:r>
      <w:r w:rsidRPr="007C3B90">
        <w:rPr>
          <w:rtl/>
        </w:rPr>
        <w:t xml:space="preserve"> </w:t>
      </w:r>
      <w:r w:rsidRPr="007C3B90">
        <w:rPr>
          <w:rFonts w:hint="eastAsia"/>
          <w:rtl/>
        </w:rPr>
        <w:t>זהות</w:t>
      </w:r>
      <w:r w:rsidRPr="007C3B90">
        <w:rPr>
          <w:rtl/>
        </w:rPr>
        <w:t xml:space="preserve"> </w:t>
      </w:r>
      <w:r w:rsidRPr="007C3B90">
        <w:rPr>
          <w:rFonts w:hint="eastAsia"/>
          <w:rtl/>
        </w:rPr>
        <w:t>יסוד</w:t>
      </w:r>
      <w:r w:rsidRPr="007C3B90">
        <w:rPr>
          <w:rtl/>
        </w:rPr>
        <w:t xml:space="preserve"> </w:t>
      </w:r>
      <w:r w:rsidRPr="007C3B90">
        <w:rPr>
          <w:rFonts w:hint="eastAsia"/>
          <w:rtl/>
        </w:rPr>
        <w:t>זו</w:t>
      </w:r>
      <w:r w:rsidRPr="007C3B90">
        <w:rPr>
          <w:rFonts w:hint="cs"/>
          <w:rtl/>
        </w:rPr>
        <w:t>. על מנת שניתן יהיה להשיב לשאלה זו, יש להידרש תחילה לסוגיית פרשנותו של התיקון. יוער, כי התיקון שנוסחו תמציתי ו'רזה' מעורר שאלות פרשניות לא מעטות, אשר אין מקום למצות את הדיון בהן</w:t>
      </w:r>
      <w:r w:rsidRPr="007C3B90" w:rsidDel="00E433C4">
        <w:rPr>
          <w:rFonts w:hint="cs"/>
          <w:rtl/>
        </w:rPr>
        <w:t xml:space="preserve"> </w:t>
      </w:r>
      <w:r w:rsidRPr="007C3B90">
        <w:rPr>
          <w:rFonts w:hint="cs"/>
          <w:rtl/>
        </w:rPr>
        <w:t xml:space="preserve">במסגרת העתירות שלפנינו, ויש להותירן לעתיד לבוא. עם זאת, מבין השאלות הפרשניות שעל המדוכה, יש מקום לדון בשאלה המרכזית הנוגעת להיקף התפרשותו של התיקון, המשליכה לטעמי על הדיון החוקתי </w:t>
      </w:r>
      <w:r w:rsidRPr="007C3B90">
        <w:rPr>
          <w:rtl/>
        </w:rPr>
        <w:t>–</w:t>
      </w:r>
      <w:r w:rsidRPr="007C3B90">
        <w:rPr>
          <w:rFonts w:hint="cs"/>
          <w:rtl/>
        </w:rPr>
        <w:t xml:space="preserve"> והיא: האם יש לפרש את התיקון בצורה מצמצמת, באופן השולל ביקורת שיפוטית רק בעילת הסבירות האיזונית ולא בעילת הסבירות הצרה, "סבירות של מופרכות" אשר הייתה נהוגה </w:t>
      </w:r>
      <w:r w:rsidRPr="007C3B90">
        <w:rPr>
          <w:rFonts w:hint="eastAsia"/>
          <w:rtl/>
        </w:rPr>
        <w:t>בעבר</w:t>
      </w:r>
      <w:r w:rsidRPr="007C3B90">
        <w:rPr>
          <w:rtl/>
        </w:rPr>
        <w:t xml:space="preserve"> (</w:t>
      </w:r>
      <w:r w:rsidRPr="007C3B90">
        <w:rPr>
          <w:rFonts w:hint="eastAsia"/>
          <w:rtl/>
        </w:rPr>
        <w:t>להלן</w:t>
      </w:r>
      <w:r w:rsidRPr="007C3B90">
        <w:rPr>
          <w:rtl/>
        </w:rPr>
        <w:t xml:space="preserve">: </w:t>
      </w:r>
      <w:r w:rsidRPr="007C3B90">
        <w:rPr>
          <w:rFonts w:cs="Miriam" w:hint="eastAsia"/>
          <w:b/>
          <w:spacing w:val="0"/>
          <w:sz w:val="22"/>
          <w:szCs w:val="24"/>
          <w:rtl/>
        </w:rPr>
        <w:t>פרשנות</w:t>
      </w:r>
      <w:r w:rsidRPr="007C3B90">
        <w:rPr>
          <w:rFonts w:cs="Miriam"/>
          <w:b/>
          <w:spacing w:val="0"/>
          <w:sz w:val="22"/>
          <w:szCs w:val="24"/>
          <w:rtl/>
        </w:rPr>
        <w:t xml:space="preserve"> </w:t>
      </w:r>
      <w:r w:rsidRPr="007C3B90">
        <w:rPr>
          <w:rFonts w:cs="Miriam" w:hint="eastAsia"/>
          <w:b/>
          <w:spacing w:val="0"/>
          <w:sz w:val="22"/>
          <w:szCs w:val="24"/>
          <w:rtl/>
        </w:rPr>
        <w:t>מצמצמת</w:t>
      </w:r>
      <w:r w:rsidRPr="007C3B90">
        <w:rPr>
          <w:rtl/>
        </w:rPr>
        <w:t xml:space="preserve">); </w:t>
      </w:r>
      <w:r w:rsidRPr="007C3B90">
        <w:rPr>
          <w:rFonts w:hint="eastAsia"/>
          <w:rtl/>
        </w:rPr>
        <w:t>או</w:t>
      </w:r>
      <w:r w:rsidRPr="007C3B90">
        <w:rPr>
          <w:rFonts w:hint="cs"/>
          <w:rtl/>
        </w:rPr>
        <w:t xml:space="preserve"> שמא יש לפרש את התיקון בצורה </w:t>
      </w:r>
      <w:r w:rsidRPr="007C3B90">
        <w:rPr>
          <w:rFonts w:hint="eastAsia"/>
          <w:rtl/>
        </w:rPr>
        <w:t>מרחיבה</w:t>
      </w:r>
      <w:r w:rsidRPr="007C3B90">
        <w:rPr>
          <w:rtl/>
        </w:rPr>
        <w:t xml:space="preserve">, </w:t>
      </w:r>
      <w:r w:rsidRPr="007C3B90">
        <w:rPr>
          <w:rFonts w:hint="eastAsia"/>
          <w:rtl/>
        </w:rPr>
        <w:t>באופן</w:t>
      </w:r>
      <w:r w:rsidRPr="007C3B90">
        <w:rPr>
          <w:rtl/>
        </w:rPr>
        <w:t xml:space="preserve"> </w:t>
      </w:r>
      <w:r w:rsidRPr="007C3B90">
        <w:rPr>
          <w:rFonts w:hint="eastAsia"/>
          <w:rtl/>
        </w:rPr>
        <w:t>החוסם</w:t>
      </w:r>
      <w:r w:rsidRPr="007C3B90">
        <w:rPr>
          <w:rtl/>
        </w:rPr>
        <w:t xml:space="preserve"> </w:t>
      </w:r>
      <w:r w:rsidRPr="007C3B90">
        <w:rPr>
          <w:rFonts w:hint="eastAsia"/>
          <w:rtl/>
        </w:rPr>
        <w:t>כל</w:t>
      </w:r>
      <w:r w:rsidRPr="007C3B90">
        <w:rPr>
          <w:rtl/>
        </w:rPr>
        <w:t xml:space="preserve"> </w:t>
      </w:r>
      <w:r w:rsidRPr="007C3B90">
        <w:rPr>
          <w:rFonts w:hint="eastAsia"/>
          <w:rtl/>
        </w:rPr>
        <w:t>ביקורת</w:t>
      </w:r>
      <w:r w:rsidRPr="007C3B90">
        <w:rPr>
          <w:rtl/>
        </w:rPr>
        <w:t xml:space="preserve"> </w:t>
      </w:r>
      <w:r w:rsidRPr="007C3B90">
        <w:rPr>
          <w:rFonts w:hint="eastAsia"/>
          <w:rtl/>
        </w:rPr>
        <w:t>שיפוטית</w:t>
      </w:r>
      <w:r w:rsidRPr="007C3B90">
        <w:rPr>
          <w:rtl/>
        </w:rPr>
        <w:t xml:space="preserve"> </w:t>
      </w:r>
      <w:r w:rsidRPr="007C3B90">
        <w:rPr>
          <w:rFonts w:hint="eastAsia"/>
          <w:rtl/>
        </w:rPr>
        <w:t>בעילת</w:t>
      </w:r>
      <w:r w:rsidRPr="007C3B90">
        <w:rPr>
          <w:rtl/>
        </w:rPr>
        <w:t xml:space="preserve"> </w:t>
      </w:r>
      <w:r w:rsidRPr="007C3B90">
        <w:rPr>
          <w:rFonts w:hint="eastAsia"/>
          <w:rtl/>
        </w:rPr>
        <w:t>הסבירות</w:t>
      </w:r>
      <w:r w:rsidRPr="007C3B90">
        <w:rPr>
          <w:rtl/>
        </w:rPr>
        <w:t xml:space="preserve"> (</w:t>
      </w:r>
      <w:r w:rsidRPr="007C3B90">
        <w:rPr>
          <w:rFonts w:hint="eastAsia"/>
          <w:rtl/>
        </w:rPr>
        <w:t>להלן</w:t>
      </w:r>
      <w:r w:rsidRPr="007C3B90">
        <w:rPr>
          <w:rtl/>
        </w:rPr>
        <w:t xml:space="preserve">: </w:t>
      </w:r>
      <w:r w:rsidRPr="007C3B90">
        <w:rPr>
          <w:rFonts w:cs="Miriam" w:hint="eastAsia"/>
          <w:b/>
          <w:spacing w:val="0"/>
          <w:sz w:val="22"/>
          <w:szCs w:val="24"/>
          <w:rtl/>
        </w:rPr>
        <w:t>פרשנות</w:t>
      </w:r>
      <w:r w:rsidRPr="007C3B90">
        <w:rPr>
          <w:rFonts w:cs="Miriam"/>
          <w:b/>
          <w:spacing w:val="0"/>
          <w:sz w:val="22"/>
          <w:szCs w:val="24"/>
          <w:rtl/>
        </w:rPr>
        <w:t xml:space="preserve"> </w:t>
      </w:r>
      <w:r w:rsidRPr="007C3B90">
        <w:rPr>
          <w:rFonts w:cs="Miriam" w:hint="eastAsia"/>
          <w:b/>
          <w:spacing w:val="0"/>
          <w:sz w:val="22"/>
          <w:szCs w:val="24"/>
          <w:rtl/>
        </w:rPr>
        <w:t>מרחיבה</w:t>
      </w:r>
      <w:r w:rsidRPr="007C3B90">
        <w:rPr>
          <w:rtl/>
        </w:rPr>
        <w:t>)</w:t>
      </w:r>
      <w:r w:rsidRPr="007C3B90">
        <w:rPr>
          <w:rFonts w:hint="cs"/>
          <w:rtl/>
        </w:rPr>
        <w:t xml:space="preserve">. שאלה זו עולה, בין היתר, לנוכח הפער בין נוסחו הגורף של התיקון התומך לכאורה באפשרות השנייה, לבין דברי ההסבר של החוק, התומכים לכאורה באפשרות הראשונה. בהקשר זה, ראיתי להצטרף לעמדתם של השופטים </w:t>
      </w:r>
      <w:r w:rsidRPr="007C3B90">
        <w:rPr>
          <w:rFonts w:ascii="Century" w:hAnsi="Century" w:cs="Miriam" w:hint="cs"/>
          <w:b/>
          <w:spacing w:val="0"/>
          <w:sz w:val="22"/>
          <w:szCs w:val="24"/>
          <w:rtl/>
        </w:rPr>
        <w:t>י' וילנר</w:t>
      </w:r>
      <w:r w:rsidRPr="007C3B90">
        <w:rPr>
          <w:rFonts w:hint="cs"/>
          <w:rtl/>
        </w:rPr>
        <w:t xml:space="preserve"> ו-</w:t>
      </w:r>
      <w:r w:rsidRPr="007C3B90">
        <w:rPr>
          <w:rFonts w:ascii="Century" w:hAnsi="Century" w:cs="Miriam" w:hint="cs"/>
          <w:b/>
          <w:spacing w:val="0"/>
          <w:sz w:val="22"/>
          <w:szCs w:val="24"/>
          <w:rtl/>
        </w:rPr>
        <w:t>א' שטיין</w:t>
      </w:r>
      <w:r w:rsidRPr="007C3B90">
        <w:rPr>
          <w:rFonts w:hint="cs"/>
          <w:rtl/>
        </w:rPr>
        <w:t>, ולפיה יש להעניק לתיקון פרשנות מצמצמת. להלן אפרט את טעמיי.</w:t>
      </w:r>
    </w:p>
    <w:p w:rsidR="00BB56BB" w:rsidRPr="007C3B90" w:rsidRDefault="00BB56BB" w:rsidP="00BB56BB">
      <w:pPr>
        <w:pStyle w:val="Ruller4"/>
        <w:numPr>
          <w:ilvl w:val="0"/>
          <w:numId w:val="0"/>
        </w:numPr>
      </w:pPr>
    </w:p>
    <w:p w:rsidR="00BB56BB" w:rsidRPr="007C3B90" w:rsidRDefault="00BB56BB" w:rsidP="00BB56BB">
      <w:pPr>
        <w:pStyle w:val="Ruller4"/>
        <w:rPr>
          <w:rtl/>
        </w:rPr>
      </w:pPr>
      <w:r w:rsidRPr="007C3B90">
        <w:rPr>
          <w:rFonts w:hint="cs"/>
          <w:rtl/>
        </w:rPr>
        <w:t>נקודת המוצא לפרשנותו של חוק, לרבות חוק</w:t>
      </w:r>
      <w:r>
        <w:rPr>
          <w:rFonts w:hint="cs"/>
          <w:rtl/>
        </w:rPr>
        <w:t xml:space="preserve"> </w:t>
      </w:r>
      <w:r w:rsidRPr="007C3B90">
        <w:rPr>
          <w:rFonts w:hint="cs"/>
          <w:rtl/>
        </w:rPr>
        <w:t xml:space="preserve">יסוד, היא לשון החוק. היא מכתיבה את מתחם האפשרויות הלשוניות, מתוכן יש לאתר את הפירוש המגשים בצורה הטובה ביותר את תכלית החקיקה (בג"ץ 3897/21 </w:t>
      </w:r>
      <w:r w:rsidRPr="007C3B90">
        <w:rPr>
          <w:rFonts w:ascii="Century" w:hAnsi="Century" w:cs="Miriam" w:hint="cs"/>
          <w:b/>
          <w:spacing w:val="0"/>
          <w:sz w:val="22"/>
          <w:szCs w:val="24"/>
          <w:rtl/>
        </w:rPr>
        <w:t>פוקס נ' לפיד</w:t>
      </w:r>
      <w:r w:rsidRPr="007C3B90">
        <w:rPr>
          <w:rFonts w:ascii="Century" w:hAnsi="Century" w:hint="cs"/>
          <w:sz w:val="22"/>
          <w:rtl/>
        </w:rPr>
        <w:t>,</w:t>
      </w:r>
      <w:r w:rsidRPr="007C3B90">
        <w:rPr>
          <w:rFonts w:hint="cs"/>
          <w:rtl/>
        </w:rPr>
        <w:t xml:space="preserve"> פסקאות 23-22 (7.6.2021)). כאמור בענייננו, במבט ראשון, נוסחו המילולי הגורף של התיקון אינו מעמיד מספר אופציות לשוניות, אלא תומך בפרשנות מרחיבה של התיקון. ואולם, מבט </w:t>
      </w:r>
      <w:r w:rsidRPr="007C3B90">
        <w:rPr>
          <w:rFonts w:hint="cs"/>
          <w:rtl/>
        </w:rPr>
        <w:lastRenderedPageBreak/>
        <w:t xml:space="preserve">שני מגלה שהדברים אינם כה פשוטים. בעוד שהתיקון קובע כי מי שבידו סמכות שפיטה "לא ידון בעניין סבירות ההחלטה" של הממשלה ושל שריה </w:t>
      </w:r>
      <w:r w:rsidRPr="007C3B90">
        <w:rPr>
          <w:rtl/>
        </w:rPr>
        <w:t>–</w:t>
      </w:r>
      <w:r w:rsidRPr="007C3B90">
        <w:rPr>
          <w:rFonts w:hint="cs"/>
          <w:rtl/>
        </w:rPr>
        <w:t xml:space="preserve"> הוא סותם ואינו מפרש מהי אותה "סבירות" (וראו את דברי הנשיא </w:t>
      </w:r>
      <w:r w:rsidRPr="007C3B90">
        <w:rPr>
          <w:rFonts w:ascii="Century" w:hAnsi="Century" w:cs="Miriam" w:hint="cs"/>
          <w:b/>
          <w:spacing w:val="0"/>
          <w:sz w:val="22"/>
          <w:szCs w:val="24"/>
          <w:rtl/>
        </w:rPr>
        <w:t>לנדוי</w:t>
      </w:r>
      <w:r w:rsidRPr="007C3B90">
        <w:rPr>
          <w:rFonts w:hint="cs"/>
          <w:rtl/>
        </w:rPr>
        <w:t xml:space="preserve"> בעניין </w:t>
      </w:r>
      <w:r w:rsidRPr="007C3B90">
        <w:rPr>
          <w:rFonts w:ascii="Century" w:hAnsi="Century" w:cs="Miriam" w:hint="cs"/>
          <w:b/>
          <w:spacing w:val="0"/>
          <w:szCs w:val="24"/>
          <w:rtl/>
        </w:rPr>
        <w:t>דפי זהב</w:t>
      </w:r>
      <w:r w:rsidRPr="007C3B90">
        <w:rPr>
          <w:rFonts w:hint="cs"/>
          <w:rtl/>
        </w:rPr>
        <w:t xml:space="preserve">, בעמ' 431, ולפיהם: </w:t>
      </w:r>
      <w:r w:rsidRPr="007C3B90">
        <w:rPr>
          <w:rFonts w:ascii="Century" w:hAnsi="Century" w:cs="Miriam" w:hint="cs"/>
          <w:b/>
          <w:spacing w:val="0"/>
          <w:sz w:val="22"/>
          <w:szCs w:val="24"/>
          <w:rtl/>
        </w:rPr>
        <w:t>"הכל תלוי במה שמתכוונים לבטא במילה סבירות"</w:t>
      </w:r>
      <w:r w:rsidRPr="007C3B90">
        <w:rPr>
          <w:rFonts w:hint="cs"/>
          <w:rtl/>
        </w:rPr>
        <w:t xml:space="preserve">). המושג "סבירות ההחלטה" עשוי לכלול, על פניו, לא רק סבירות של מופרכות וסבירות איזונית, אלא גם, בין היתר, </w:t>
      </w:r>
      <w:r w:rsidRPr="007C3B90">
        <w:rPr>
          <w:rFonts w:hint="eastAsia"/>
          <w:rtl/>
        </w:rPr>
        <w:t>סבירות</w:t>
      </w:r>
      <w:r w:rsidRPr="007C3B90">
        <w:rPr>
          <w:rtl/>
        </w:rPr>
        <w:t xml:space="preserve"> </w:t>
      </w:r>
      <w:r w:rsidRPr="007C3B90">
        <w:rPr>
          <w:rFonts w:hint="eastAsia"/>
          <w:rtl/>
        </w:rPr>
        <w:t>הליכית</w:t>
      </w:r>
      <w:r w:rsidRPr="007C3B90">
        <w:rPr>
          <w:rtl/>
        </w:rPr>
        <w:t xml:space="preserve"> </w:t>
      </w:r>
      <w:r w:rsidRPr="007C3B90">
        <w:rPr>
          <w:rFonts w:hint="eastAsia"/>
          <w:rtl/>
        </w:rPr>
        <w:t>וסבירות</w:t>
      </w:r>
      <w:r w:rsidRPr="007C3B90">
        <w:rPr>
          <w:rtl/>
        </w:rPr>
        <w:t xml:space="preserve"> </w:t>
      </w:r>
      <w:r w:rsidRPr="007C3B90">
        <w:rPr>
          <w:rFonts w:hint="eastAsia"/>
          <w:rtl/>
        </w:rPr>
        <w:t>מהותית</w:t>
      </w:r>
      <w:r w:rsidRPr="007C3B90">
        <w:rPr>
          <w:rtl/>
        </w:rPr>
        <w:t xml:space="preserve"> (</w:t>
      </w:r>
      <w:r w:rsidRPr="007C3B90">
        <w:rPr>
          <w:rFonts w:hint="eastAsia"/>
          <w:rtl/>
        </w:rPr>
        <w:t>להבחנה</w:t>
      </w:r>
      <w:r w:rsidRPr="007C3B90">
        <w:rPr>
          <w:rtl/>
        </w:rPr>
        <w:t xml:space="preserve"> </w:t>
      </w:r>
      <w:r w:rsidRPr="007C3B90">
        <w:rPr>
          <w:rFonts w:hint="cs"/>
          <w:rtl/>
        </w:rPr>
        <w:t>זו</w:t>
      </w:r>
      <w:r w:rsidRPr="007C3B90">
        <w:rPr>
          <w:rtl/>
        </w:rPr>
        <w:t xml:space="preserve"> </w:t>
      </w:r>
      <w:r w:rsidRPr="007C3B90">
        <w:rPr>
          <w:rFonts w:hint="eastAsia"/>
          <w:rtl/>
        </w:rPr>
        <w:t>ראו</w:t>
      </w:r>
      <w:r w:rsidRPr="007C3B90">
        <w:rPr>
          <w:rtl/>
        </w:rPr>
        <w:t xml:space="preserve"> </w:t>
      </w:r>
      <w:r w:rsidRPr="007C3B90">
        <w:rPr>
          <w:rFonts w:hint="eastAsia"/>
          <w:rtl/>
        </w:rPr>
        <w:t>יואב</w:t>
      </w:r>
      <w:r w:rsidRPr="007C3B90">
        <w:rPr>
          <w:rtl/>
        </w:rPr>
        <w:t xml:space="preserve"> </w:t>
      </w:r>
      <w:r w:rsidRPr="007C3B90">
        <w:rPr>
          <w:rFonts w:hint="eastAsia"/>
          <w:rtl/>
        </w:rPr>
        <w:t>דותן</w:t>
      </w:r>
      <w:r w:rsidRPr="007C3B90">
        <w:rPr>
          <w:rtl/>
        </w:rPr>
        <w:t xml:space="preserve"> "</w:t>
      </w:r>
      <w:r w:rsidRPr="007C3B90">
        <w:rPr>
          <w:rFonts w:hint="eastAsia"/>
          <w:rtl/>
        </w:rPr>
        <w:t>שני</w:t>
      </w:r>
      <w:r w:rsidRPr="007C3B90">
        <w:rPr>
          <w:rtl/>
        </w:rPr>
        <w:t xml:space="preserve"> </w:t>
      </w:r>
      <w:r w:rsidRPr="007C3B90">
        <w:rPr>
          <w:rFonts w:hint="eastAsia"/>
          <w:rtl/>
        </w:rPr>
        <w:t>מושגים</w:t>
      </w:r>
      <w:r w:rsidRPr="007C3B90">
        <w:rPr>
          <w:rtl/>
        </w:rPr>
        <w:t xml:space="preserve"> </w:t>
      </w:r>
      <w:r w:rsidRPr="007C3B90">
        <w:rPr>
          <w:rFonts w:hint="eastAsia"/>
          <w:rtl/>
        </w:rPr>
        <w:t>של</w:t>
      </w:r>
      <w:r w:rsidRPr="007C3B90">
        <w:rPr>
          <w:rtl/>
        </w:rPr>
        <w:t xml:space="preserve"> </w:t>
      </w:r>
      <w:r w:rsidRPr="007C3B90">
        <w:rPr>
          <w:rFonts w:hint="eastAsia"/>
          <w:rtl/>
        </w:rPr>
        <w:t>סבירות</w:t>
      </w:r>
      <w:r w:rsidRPr="007C3B90">
        <w:rPr>
          <w:rtl/>
        </w:rPr>
        <w:t xml:space="preserve">" </w:t>
      </w:r>
      <w:r w:rsidRPr="007C3B90">
        <w:rPr>
          <w:rFonts w:ascii="Century" w:hAnsi="Century" w:cs="Miriam" w:hint="eastAsia"/>
          <w:b/>
          <w:spacing w:val="0"/>
          <w:szCs w:val="24"/>
          <w:rtl/>
        </w:rPr>
        <w:t>ספר</w:t>
      </w:r>
      <w:r w:rsidRPr="007C3B90">
        <w:rPr>
          <w:rFonts w:ascii="Century" w:hAnsi="Century" w:cs="Miriam"/>
          <w:b/>
          <w:spacing w:val="0"/>
          <w:szCs w:val="24"/>
          <w:rtl/>
        </w:rPr>
        <w:t xml:space="preserve"> </w:t>
      </w:r>
      <w:r w:rsidRPr="007C3B90">
        <w:rPr>
          <w:rFonts w:ascii="Century" w:hAnsi="Century" w:cs="Miriam" w:hint="eastAsia"/>
          <w:b/>
          <w:spacing w:val="0"/>
          <w:szCs w:val="24"/>
          <w:rtl/>
        </w:rPr>
        <w:t>שמגר</w:t>
      </w:r>
      <w:r w:rsidRPr="007C3B90">
        <w:rPr>
          <w:rFonts w:ascii="Century" w:hAnsi="Century" w:cs="Miriam"/>
          <w:b/>
          <w:spacing w:val="0"/>
          <w:szCs w:val="24"/>
          <w:rtl/>
        </w:rPr>
        <w:t xml:space="preserve"> – </w:t>
      </w:r>
      <w:r w:rsidRPr="007C3B90">
        <w:rPr>
          <w:rFonts w:ascii="Century" w:hAnsi="Century" w:cs="Miriam" w:hint="eastAsia"/>
          <w:b/>
          <w:spacing w:val="0"/>
          <w:szCs w:val="24"/>
          <w:rtl/>
        </w:rPr>
        <w:t>מאמרים</w:t>
      </w:r>
      <w:r w:rsidRPr="007C3B90">
        <w:rPr>
          <w:rFonts w:ascii="Century" w:hAnsi="Century" w:cs="Miriam"/>
          <w:b/>
          <w:spacing w:val="0"/>
          <w:szCs w:val="24"/>
          <w:rtl/>
        </w:rPr>
        <w:t xml:space="preserve"> </w:t>
      </w:r>
      <w:r w:rsidRPr="007C3B90">
        <w:rPr>
          <w:rFonts w:ascii="Century" w:hAnsi="Century" w:hint="eastAsia"/>
          <w:rtl/>
        </w:rPr>
        <w:t>חלק</w:t>
      </w:r>
      <w:r w:rsidRPr="007C3B90">
        <w:rPr>
          <w:rFonts w:ascii="Century" w:hAnsi="Century"/>
          <w:rtl/>
        </w:rPr>
        <w:t xml:space="preserve"> </w:t>
      </w:r>
      <w:r w:rsidRPr="007C3B90">
        <w:rPr>
          <w:rFonts w:ascii="Century" w:hAnsi="Century" w:hint="eastAsia"/>
          <w:rtl/>
        </w:rPr>
        <w:t>א</w:t>
      </w:r>
      <w:r w:rsidRPr="007C3B90">
        <w:rPr>
          <w:rtl/>
        </w:rPr>
        <w:t xml:space="preserve"> 417 (</w:t>
      </w:r>
      <w:r w:rsidRPr="007C3B90">
        <w:rPr>
          <w:rFonts w:hint="eastAsia"/>
          <w:rtl/>
        </w:rPr>
        <w:t>אהרן</w:t>
      </w:r>
      <w:r w:rsidRPr="007C3B90">
        <w:rPr>
          <w:rtl/>
        </w:rPr>
        <w:t xml:space="preserve"> </w:t>
      </w:r>
      <w:r w:rsidRPr="007C3B90">
        <w:rPr>
          <w:rFonts w:hint="eastAsia"/>
          <w:rtl/>
        </w:rPr>
        <w:t>ברק</w:t>
      </w:r>
      <w:r w:rsidRPr="007C3B90">
        <w:rPr>
          <w:rtl/>
        </w:rPr>
        <w:t xml:space="preserve"> </w:t>
      </w:r>
      <w:r w:rsidRPr="007C3B90">
        <w:rPr>
          <w:rFonts w:hint="eastAsia"/>
          <w:rtl/>
        </w:rPr>
        <w:t>ואח</w:t>
      </w:r>
      <w:r w:rsidRPr="007C3B90">
        <w:rPr>
          <w:rtl/>
        </w:rPr>
        <w:t xml:space="preserve">' </w:t>
      </w:r>
      <w:r w:rsidRPr="007C3B90">
        <w:rPr>
          <w:rFonts w:hint="eastAsia"/>
          <w:rtl/>
        </w:rPr>
        <w:t>עורכים</w:t>
      </w:r>
      <w:r w:rsidRPr="007C3B90">
        <w:rPr>
          <w:rtl/>
        </w:rPr>
        <w:t xml:space="preserve"> 2003))</w:t>
      </w:r>
      <w:r w:rsidRPr="007C3B90">
        <w:rPr>
          <w:rFonts w:hint="cs"/>
          <w:rtl/>
        </w:rPr>
        <w:t xml:space="preserve">; סבירות המעוגנת בחוקים פרטניים שונים כתנאי להפעלת סמכות </w:t>
      </w:r>
      <w:r w:rsidRPr="007C3B90">
        <w:rPr>
          <w:rFonts w:hint="eastAsia"/>
          <w:rtl/>
        </w:rPr>
        <w:t>מינהלית</w:t>
      </w:r>
      <w:r w:rsidRPr="007C3B90">
        <w:rPr>
          <w:rtl/>
        </w:rPr>
        <w:t xml:space="preserve"> (</w:t>
      </w:r>
      <w:r w:rsidRPr="007C3B90">
        <w:rPr>
          <w:rFonts w:hint="eastAsia"/>
          <w:rtl/>
        </w:rPr>
        <w:t>ראו</w:t>
      </w:r>
      <w:r w:rsidRPr="007C3B90">
        <w:rPr>
          <w:rtl/>
        </w:rPr>
        <w:t xml:space="preserve"> </w:t>
      </w:r>
      <w:r w:rsidRPr="007C3B90">
        <w:rPr>
          <w:rFonts w:hint="eastAsia"/>
          <w:rtl/>
        </w:rPr>
        <w:t>בפרוטוקול</w:t>
      </w:r>
      <w:r w:rsidRPr="007C3B90">
        <w:rPr>
          <w:rtl/>
        </w:rPr>
        <w:t xml:space="preserve"> </w:t>
      </w:r>
      <w:r w:rsidRPr="007C3B90">
        <w:rPr>
          <w:rFonts w:hint="eastAsia"/>
          <w:rtl/>
        </w:rPr>
        <w:t>ישיבת</w:t>
      </w:r>
      <w:r w:rsidRPr="007C3B90">
        <w:rPr>
          <w:rtl/>
        </w:rPr>
        <w:t xml:space="preserve"> </w:t>
      </w:r>
      <w:r w:rsidRPr="007C3B90">
        <w:rPr>
          <w:rFonts w:hint="eastAsia"/>
          <w:rtl/>
        </w:rPr>
        <w:t>ועדת</w:t>
      </w:r>
      <w:r w:rsidRPr="007C3B90">
        <w:rPr>
          <w:rtl/>
        </w:rPr>
        <w:t xml:space="preserve"> </w:t>
      </w:r>
      <w:r w:rsidRPr="007C3B90">
        <w:rPr>
          <w:rFonts w:hint="eastAsia"/>
          <w:rtl/>
        </w:rPr>
        <w:t>חוק</w:t>
      </w:r>
      <w:r w:rsidRPr="007C3B90">
        <w:rPr>
          <w:rFonts w:hint="cs"/>
          <w:rtl/>
        </w:rPr>
        <w:t>ה</w:t>
      </w:r>
      <w:r w:rsidRPr="007C3B90">
        <w:rPr>
          <w:rtl/>
        </w:rPr>
        <w:t xml:space="preserve">, </w:t>
      </w:r>
      <w:r w:rsidRPr="007C3B90">
        <w:rPr>
          <w:rFonts w:hint="eastAsia"/>
          <w:rtl/>
        </w:rPr>
        <w:t>חוק</w:t>
      </w:r>
      <w:r w:rsidRPr="007C3B90">
        <w:rPr>
          <w:rtl/>
        </w:rPr>
        <w:t xml:space="preserve"> </w:t>
      </w:r>
      <w:r w:rsidRPr="007C3B90">
        <w:rPr>
          <w:rFonts w:hint="eastAsia"/>
          <w:rtl/>
        </w:rPr>
        <w:t>ומשפט</w:t>
      </w:r>
      <w:r w:rsidRPr="007C3B90">
        <w:rPr>
          <w:rtl/>
        </w:rPr>
        <w:t xml:space="preserve"> </w:t>
      </w:r>
      <w:r w:rsidRPr="007C3B90">
        <w:rPr>
          <w:rFonts w:hint="cs"/>
          <w:rtl/>
        </w:rPr>
        <w:t xml:space="preserve">(להלן: </w:t>
      </w:r>
      <w:r w:rsidRPr="007C3B90">
        <w:rPr>
          <w:rFonts w:ascii="Century" w:hAnsi="Century" w:cs="Miriam" w:hint="eastAsia"/>
          <w:b/>
          <w:spacing w:val="0"/>
          <w:sz w:val="22"/>
          <w:szCs w:val="24"/>
          <w:rtl/>
        </w:rPr>
        <w:t>ועדת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החוקה</w:t>
      </w:r>
      <w:r w:rsidRPr="007C3B90">
        <w:rPr>
          <w:rFonts w:hint="cs"/>
          <w:rtl/>
        </w:rPr>
        <w:t xml:space="preserve">) </w:t>
      </w:r>
      <w:r w:rsidRPr="007C3B90">
        <w:rPr>
          <w:rFonts w:hint="eastAsia"/>
          <w:rtl/>
        </w:rPr>
        <w:t>מיום</w:t>
      </w:r>
      <w:r w:rsidRPr="007C3B90">
        <w:rPr>
          <w:rtl/>
        </w:rPr>
        <w:t xml:space="preserve"> 4.7.2023, </w:t>
      </w:r>
      <w:r w:rsidRPr="007C3B90">
        <w:rPr>
          <w:rFonts w:hint="eastAsia"/>
          <w:rtl/>
        </w:rPr>
        <w:t>בעמ</w:t>
      </w:r>
      <w:r w:rsidRPr="007C3B90">
        <w:rPr>
          <w:rtl/>
        </w:rPr>
        <w:t>' 69</w:t>
      </w:r>
      <w:r w:rsidRPr="007C3B90">
        <w:rPr>
          <w:rFonts w:hint="cs"/>
          <w:rtl/>
        </w:rPr>
        <w:t>); ועוד</w:t>
      </w:r>
      <w:r w:rsidRPr="007C3B90">
        <w:rPr>
          <w:rtl/>
        </w:rPr>
        <w:t xml:space="preserve">. </w:t>
      </w:r>
      <w:r w:rsidRPr="007C3B90">
        <w:rPr>
          <w:rFonts w:hint="eastAsia"/>
          <w:rtl/>
        </w:rPr>
        <w:t>עם</w:t>
      </w:r>
      <w:r w:rsidRPr="007C3B90">
        <w:rPr>
          <w:rtl/>
        </w:rPr>
        <w:t xml:space="preserve"> </w:t>
      </w:r>
      <w:r w:rsidRPr="007C3B90">
        <w:rPr>
          <w:rFonts w:hint="eastAsia"/>
          <w:rtl/>
        </w:rPr>
        <w:t>זאת</w:t>
      </w:r>
      <w:r w:rsidRPr="007C3B90">
        <w:rPr>
          <w:rtl/>
        </w:rPr>
        <w:t xml:space="preserve">, </w:t>
      </w:r>
      <w:r w:rsidRPr="007C3B90">
        <w:rPr>
          <w:rFonts w:hint="eastAsia"/>
          <w:rtl/>
        </w:rPr>
        <w:t>דומה</w:t>
      </w:r>
      <w:r w:rsidRPr="007C3B90">
        <w:rPr>
          <w:rtl/>
        </w:rPr>
        <w:t xml:space="preserve"> </w:t>
      </w:r>
      <w:r w:rsidRPr="007C3B90">
        <w:rPr>
          <w:rFonts w:hint="eastAsia"/>
          <w:rtl/>
        </w:rPr>
        <w:t>כי</w:t>
      </w:r>
      <w:r w:rsidRPr="007C3B90">
        <w:rPr>
          <w:rtl/>
        </w:rPr>
        <w:t xml:space="preserve"> </w:t>
      </w:r>
      <w:r w:rsidRPr="007C3B90">
        <w:rPr>
          <w:rFonts w:hint="eastAsia"/>
          <w:rtl/>
        </w:rPr>
        <w:t>לפחות</w:t>
      </w:r>
      <w:r w:rsidRPr="007C3B90">
        <w:rPr>
          <w:rtl/>
        </w:rPr>
        <w:t xml:space="preserve"> </w:t>
      </w:r>
      <w:r w:rsidRPr="007C3B90">
        <w:rPr>
          <w:rFonts w:hint="eastAsia"/>
          <w:rtl/>
        </w:rPr>
        <w:t>חלק</w:t>
      </w:r>
      <w:r w:rsidRPr="007C3B90">
        <w:rPr>
          <w:rtl/>
        </w:rPr>
        <w:t xml:space="preserve"> </w:t>
      </w:r>
      <w:r w:rsidRPr="007C3B90">
        <w:rPr>
          <w:rFonts w:hint="eastAsia"/>
          <w:rtl/>
        </w:rPr>
        <w:t>מהמובנים</w:t>
      </w:r>
      <w:r w:rsidRPr="007C3B90">
        <w:rPr>
          <w:rtl/>
        </w:rPr>
        <w:t xml:space="preserve"> </w:t>
      </w:r>
      <w:r w:rsidRPr="007C3B90">
        <w:rPr>
          <w:rFonts w:hint="eastAsia"/>
          <w:rtl/>
        </w:rPr>
        <w:t>האפשריים</w:t>
      </w:r>
      <w:r w:rsidRPr="007C3B90">
        <w:rPr>
          <w:rtl/>
        </w:rPr>
        <w:t xml:space="preserve"> </w:t>
      </w:r>
      <w:r w:rsidRPr="007C3B90">
        <w:rPr>
          <w:rFonts w:hint="eastAsia"/>
          <w:rtl/>
        </w:rPr>
        <w:t>הללו</w:t>
      </w:r>
      <w:r w:rsidRPr="007C3B90">
        <w:rPr>
          <w:rtl/>
        </w:rPr>
        <w:t xml:space="preserve"> </w:t>
      </w:r>
      <w:r w:rsidRPr="007C3B90">
        <w:rPr>
          <w:rFonts w:hint="eastAsia"/>
          <w:rtl/>
        </w:rPr>
        <w:t>של</w:t>
      </w:r>
      <w:r w:rsidRPr="007C3B90">
        <w:rPr>
          <w:rtl/>
        </w:rPr>
        <w:t xml:space="preserve"> "</w:t>
      </w:r>
      <w:r w:rsidRPr="007C3B90">
        <w:rPr>
          <w:rFonts w:hint="eastAsia"/>
          <w:rtl/>
        </w:rPr>
        <w:t>סבירות</w:t>
      </w:r>
      <w:r w:rsidRPr="007C3B90">
        <w:rPr>
          <w:rtl/>
        </w:rPr>
        <w:t xml:space="preserve"> </w:t>
      </w:r>
      <w:r w:rsidRPr="007C3B90">
        <w:rPr>
          <w:rFonts w:hint="eastAsia"/>
          <w:rtl/>
        </w:rPr>
        <w:t>ההחלטה</w:t>
      </w:r>
      <w:r w:rsidRPr="007C3B90">
        <w:rPr>
          <w:rtl/>
        </w:rPr>
        <w:t xml:space="preserve">", </w:t>
      </w:r>
      <w:r w:rsidRPr="007C3B90">
        <w:rPr>
          <w:rFonts w:hint="eastAsia"/>
          <w:rtl/>
        </w:rPr>
        <w:t>לא</w:t>
      </w:r>
      <w:r w:rsidRPr="007C3B90">
        <w:rPr>
          <w:rtl/>
        </w:rPr>
        <w:t xml:space="preserve"> </w:t>
      </w:r>
      <w:r w:rsidRPr="007C3B90">
        <w:rPr>
          <w:rFonts w:hint="eastAsia"/>
          <w:rtl/>
        </w:rPr>
        <w:t>נועדו</w:t>
      </w:r>
      <w:r w:rsidRPr="007C3B90">
        <w:rPr>
          <w:rtl/>
        </w:rPr>
        <w:t xml:space="preserve"> </w:t>
      </w:r>
      <w:r w:rsidRPr="007C3B90">
        <w:rPr>
          <w:rFonts w:hint="eastAsia"/>
          <w:rtl/>
        </w:rPr>
        <w:t>להיכלל</w:t>
      </w:r>
      <w:r w:rsidRPr="007C3B90">
        <w:rPr>
          <w:rtl/>
        </w:rPr>
        <w:t xml:space="preserve"> </w:t>
      </w:r>
      <w:r w:rsidRPr="007C3B90">
        <w:rPr>
          <w:rFonts w:hint="eastAsia"/>
          <w:rtl/>
        </w:rPr>
        <w:t>במסגרת</w:t>
      </w:r>
      <w:r w:rsidRPr="007C3B90">
        <w:rPr>
          <w:rtl/>
        </w:rPr>
        <w:t xml:space="preserve"> </w:t>
      </w:r>
      <w:r w:rsidRPr="007C3B90">
        <w:rPr>
          <w:rFonts w:hint="eastAsia"/>
          <w:rtl/>
        </w:rPr>
        <w:t>התיקון</w:t>
      </w:r>
      <w:r w:rsidRPr="007C3B90">
        <w:rPr>
          <w:rtl/>
        </w:rPr>
        <w:t xml:space="preserve"> (</w:t>
      </w:r>
      <w:r w:rsidRPr="007C3B90">
        <w:rPr>
          <w:rFonts w:hint="eastAsia"/>
          <w:rtl/>
        </w:rPr>
        <w:t>וראו</w:t>
      </w:r>
      <w:r w:rsidRPr="007C3B90">
        <w:rPr>
          <w:rFonts w:hint="cs"/>
          <w:rtl/>
        </w:rPr>
        <w:t xml:space="preserve"> את דברי יו"ר ועדת החוקה לגבי סבירות המעוגנת בחוקים פרטניים </w:t>
      </w:r>
      <w:r w:rsidRPr="007C3B90">
        <w:rPr>
          <w:rtl/>
        </w:rPr>
        <w:t xml:space="preserve">– </w:t>
      </w:r>
      <w:r w:rsidRPr="007C3B90">
        <w:rPr>
          <w:rFonts w:ascii="Century" w:hAnsi="Century" w:cs="Miriam" w:hint="cs"/>
          <w:b/>
          <w:spacing w:val="0"/>
          <w:szCs w:val="24"/>
          <w:rtl/>
        </w:rPr>
        <w:t>שם</w:t>
      </w:r>
      <w:r w:rsidRPr="007C3B90">
        <w:rPr>
          <w:rFonts w:ascii="Century" w:hAnsi="Century"/>
          <w:sz w:val="22"/>
          <w:rtl/>
        </w:rPr>
        <w:t xml:space="preserve">, </w:t>
      </w:r>
      <w:r w:rsidRPr="007C3B90">
        <w:rPr>
          <w:rFonts w:hint="eastAsia"/>
          <w:rtl/>
        </w:rPr>
        <w:t>בעמ</w:t>
      </w:r>
      <w:r w:rsidRPr="007C3B90">
        <w:rPr>
          <w:rtl/>
        </w:rPr>
        <w:t>' 68</w:t>
      </w:r>
      <w:r w:rsidRPr="007C3B90">
        <w:rPr>
          <w:rFonts w:hint="cs"/>
          <w:rtl/>
        </w:rPr>
        <w:t>)</w:t>
      </w:r>
      <w:r w:rsidRPr="007C3B90">
        <w:rPr>
          <w:rtl/>
        </w:rPr>
        <w:t xml:space="preserve">. </w:t>
      </w:r>
      <w:r w:rsidRPr="007C3B90">
        <w:rPr>
          <w:rFonts w:hint="eastAsia"/>
          <w:rtl/>
        </w:rPr>
        <w:t>לטעמי</w:t>
      </w:r>
      <w:r w:rsidRPr="007C3B90">
        <w:rPr>
          <w:rFonts w:hint="cs"/>
          <w:rtl/>
        </w:rPr>
        <w:t xml:space="preserve">, העדר ההגדרה של המונח "סבירות" בלשון התיקון, אינו משמיע בהכרח בחירה של המחוקק לשלול בחינה של "סבירות ההחלטה" בכל מובניה האפשריים </w:t>
      </w:r>
      <w:r w:rsidRPr="007C3B90">
        <w:rPr>
          <w:rtl/>
        </w:rPr>
        <w:t>–</w:t>
      </w:r>
      <w:r w:rsidRPr="007C3B90">
        <w:rPr>
          <w:rFonts w:hint="cs"/>
          <w:rtl/>
        </w:rPr>
        <w:t xml:space="preserve"> כך במיוחד, מקום שההתייחסות המקובלת בפסיקתנו לסבירות מינהלית בעשורים האחרונים, היא במובן של סבירות איזונית. יתר על כן, וכפי שיוסבר בהמשך, ספק אם הסטנדרט שמעמידה הסבירות הצרה, נכלל מלכתחילה תחת קטגוריה של "סבירות", במובחן מקטגורי</w:t>
      </w:r>
      <w:r>
        <w:rPr>
          <w:rFonts w:hint="cs"/>
          <w:rtl/>
        </w:rPr>
        <w:t>ות</w:t>
      </w:r>
      <w:r w:rsidRPr="007C3B90">
        <w:rPr>
          <w:rFonts w:hint="cs"/>
          <w:rtl/>
        </w:rPr>
        <w:t xml:space="preserve"> של "חוסר סמכות" או "שרירות" </w:t>
      </w:r>
      <w:r w:rsidRPr="007C3B90">
        <w:rPr>
          <w:rtl/>
        </w:rPr>
        <w:t>–</w:t>
      </w:r>
      <w:r w:rsidRPr="007C3B90">
        <w:rPr>
          <w:rFonts w:hint="cs"/>
          <w:rtl/>
        </w:rPr>
        <w:t xml:space="preserve"> אשר אין חולק כי התיקון אינו בא לשלול ביקורת שיפוטית בעניינן. לפיכך, מתחם האפשרויות הלשוניות מותיר עמנו את שתי האפשרויות הפרשניות העומדות לבחינתנו. </w:t>
      </w:r>
    </w:p>
    <w:p w:rsidR="00BB56BB" w:rsidRPr="007C3B90" w:rsidRDefault="00BB56BB" w:rsidP="00BB56BB">
      <w:pPr>
        <w:pStyle w:val="Ruller4"/>
        <w:numPr>
          <w:ilvl w:val="0"/>
          <w:numId w:val="0"/>
        </w:numPr>
        <w:rPr>
          <w:rtl/>
        </w:rPr>
      </w:pPr>
    </w:p>
    <w:p w:rsidR="00BB56BB" w:rsidRPr="007C3B90" w:rsidRDefault="00BB56BB" w:rsidP="00BB56BB">
      <w:pPr>
        <w:pStyle w:val="Ruller4"/>
        <w:rPr>
          <w:rtl/>
        </w:rPr>
      </w:pPr>
      <w:r w:rsidRPr="007C3B90">
        <w:rPr>
          <w:rFonts w:hint="cs"/>
          <w:rtl/>
        </w:rPr>
        <w:t xml:space="preserve">אשר לתכלית הסובייקטיבית של התיקון, זו מציגה פנים לכאן ולכאן. עיון בהיסטוריה החקיקתית מעלה כי במהלך הדיון החקיקתי נדחו הצעות לחדד במסגרת התיקון את ההבחנה בין סבירות איזונית ובין סבירות של מופרכות, באופן המעיד, לכאורה, על כוונה לשלול ביקורת שיפוטית גם על פי סטנדרט הסבירות הצרה. כך גם טען לפנינו יו"ר ועדת החוקה. מנגד, כוונת יוצרי התיקון, כפי שהיא משתקפת מדברי ההסבר שקדמו לחקיקתו ושימשו מצע לדיון החקיקתי, תומכת דווקא בהענקת פרשנות מצמצמת לתיקון. כפי שציינו גם חבריי, בדברי ההסבר מתואר כי </w:t>
      </w:r>
      <w:r w:rsidRPr="007C3B90">
        <w:rPr>
          <w:rFonts w:ascii="Century" w:hAnsi="Century" w:cs="Miriam" w:hint="cs"/>
          <w:b/>
          <w:spacing w:val="0"/>
          <w:sz w:val="22"/>
          <w:szCs w:val="24"/>
          <w:rtl/>
        </w:rPr>
        <w:t>"כיום עילה זו מאפשרת לבית המשפט לפסול החלטה מינהלית הלוקה בחוסר סבירות במובן זה שהיא אינה נותנת 'משקל ראוי לאינטרסים השונים שעל הרשות המינהלית להתחשב בהם בהחלטתה'"</w:t>
      </w:r>
      <w:r w:rsidRPr="007C3B90">
        <w:rPr>
          <w:rFonts w:hint="cs"/>
          <w:rtl/>
        </w:rPr>
        <w:t xml:space="preserve">, תוך הפניה לפסק הדין בעניין </w:t>
      </w:r>
      <w:r w:rsidRPr="007C3B90">
        <w:rPr>
          <w:rFonts w:ascii="Century" w:hAnsi="Century" w:cs="Miriam" w:hint="cs"/>
          <w:b/>
          <w:spacing w:val="0"/>
          <w:sz w:val="22"/>
          <w:szCs w:val="24"/>
          <w:rtl/>
        </w:rPr>
        <w:t>דפי זהב</w:t>
      </w:r>
      <w:r w:rsidRPr="007C3B90">
        <w:rPr>
          <w:rFonts w:hint="cs"/>
          <w:rtl/>
        </w:rPr>
        <w:t xml:space="preserve"> (</w:t>
      </w:r>
      <w:r w:rsidRPr="007C3B90">
        <w:rPr>
          <w:rFonts w:hint="eastAsia"/>
          <w:rtl/>
        </w:rPr>
        <w:t>דברי</w:t>
      </w:r>
      <w:r w:rsidRPr="007C3B90">
        <w:rPr>
          <w:rtl/>
        </w:rPr>
        <w:t xml:space="preserve"> </w:t>
      </w:r>
      <w:r w:rsidRPr="007C3B90">
        <w:rPr>
          <w:rFonts w:hint="eastAsia"/>
          <w:rtl/>
        </w:rPr>
        <w:t>ההסבר</w:t>
      </w:r>
      <w:r w:rsidRPr="007C3B90">
        <w:rPr>
          <w:rtl/>
        </w:rPr>
        <w:t xml:space="preserve"> </w:t>
      </w:r>
      <w:r w:rsidRPr="007C3B90">
        <w:rPr>
          <w:rFonts w:hint="eastAsia"/>
          <w:rtl/>
        </w:rPr>
        <w:t>להצעת</w:t>
      </w:r>
      <w:r w:rsidRPr="007C3B90">
        <w:rPr>
          <w:rtl/>
        </w:rPr>
        <w:t xml:space="preserve"> </w:t>
      </w:r>
      <w:r w:rsidRPr="007C3B90">
        <w:rPr>
          <w:rFonts w:hint="eastAsia"/>
          <w:rtl/>
        </w:rPr>
        <w:t>חוק</w:t>
      </w:r>
      <w:r w:rsidRPr="007C3B90">
        <w:rPr>
          <w:rtl/>
        </w:rPr>
        <w:t>-</w:t>
      </w:r>
      <w:r w:rsidRPr="007C3B90">
        <w:rPr>
          <w:rFonts w:hint="eastAsia"/>
          <w:rtl/>
        </w:rPr>
        <w:t>יסוד</w:t>
      </w:r>
      <w:r w:rsidRPr="007C3B90">
        <w:rPr>
          <w:rtl/>
        </w:rPr>
        <w:t xml:space="preserve">: </w:t>
      </w:r>
      <w:r w:rsidRPr="007C3B90">
        <w:rPr>
          <w:rFonts w:hint="eastAsia"/>
          <w:rtl/>
        </w:rPr>
        <w:t>השפיטה</w:t>
      </w:r>
      <w:r w:rsidRPr="007C3B90">
        <w:rPr>
          <w:rtl/>
        </w:rPr>
        <w:t xml:space="preserve"> (</w:t>
      </w:r>
      <w:r w:rsidRPr="007C3B90">
        <w:rPr>
          <w:rFonts w:hint="eastAsia"/>
          <w:rtl/>
        </w:rPr>
        <w:t>תיקון</w:t>
      </w:r>
      <w:r w:rsidRPr="007C3B90">
        <w:rPr>
          <w:rtl/>
        </w:rPr>
        <w:t xml:space="preserve"> </w:t>
      </w:r>
      <w:r w:rsidRPr="007C3B90">
        <w:rPr>
          <w:rFonts w:hint="eastAsia"/>
          <w:rtl/>
        </w:rPr>
        <w:t>מ</w:t>
      </w:r>
      <w:r w:rsidRPr="007C3B90">
        <w:rPr>
          <w:rFonts w:hint="cs"/>
          <w:rtl/>
        </w:rPr>
        <w:t>ס</w:t>
      </w:r>
      <w:r w:rsidRPr="007C3B90">
        <w:rPr>
          <w:rtl/>
        </w:rPr>
        <w:t>' 5) (</w:t>
      </w:r>
      <w:r w:rsidRPr="007C3B90">
        <w:rPr>
          <w:rFonts w:hint="eastAsia"/>
          <w:rtl/>
        </w:rPr>
        <w:t>עילת</w:t>
      </w:r>
      <w:r w:rsidRPr="007C3B90">
        <w:rPr>
          <w:rtl/>
        </w:rPr>
        <w:t xml:space="preserve"> </w:t>
      </w:r>
      <w:r w:rsidRPr="007C3B90">
        <w:rPr>
          <w:rFonts w:hint="eastAsia"/>
          <w:rtl/>
        </w:rPr>
        <w:t>הסבירות</w:t>
      </w:r>
      <w:r w:rsidRPr="007C3B90">
        <w:rPr>
          <w:rtl/>
        </w:rPr>
        <w:t xml:space="preserve">), </w:t>
      </w:r>
      <w:r w:rsidRPr="007C3B90">
        <w:rPr>
          <w:rFonts w:hint="eastAsia"/>
          <w:rtl/>
        </w:rPr>
        <w:t>ה</w:t>
      </w:r>
      <w:r w:rsidRPr="007C3B90">
        <w:rPr>
          <w:rtl/>
        </w:rPr>
        <w:t>"</w:t>
      </w:r>
      <w:r w:rsidRPr="007C3B90">
        <w:rPr>
          <w:rFonts w:hint="eastAsia"/>
          <w:rtl/>
        </w:rPr>
        <w:t>ח</w:t>
      </w:r>
      <w:r w:rsidRPr="007C3B90">
        <w:rPr>
          <w:rtl/>
        </w:rPr>
        <w:t xml:space="preserve"> 968, 110 (5.7.2023)</w:t>
      </w:r>
      <w:r w:rsidRPr="007C3B90">
        <w:rPr>
          <w:rFonts w:hint="cs"/>
          <w:rtl/>
        </w:rPr>
        <w:t xml:space="preserve"> (להלן: </w:t>
      </w:r>
      <w:r w:rsidRPr="007C3B90">
        <w:rPr>
          <w:rFonts w:ascii="Century" w:hAnsi="Century" w:cs="Miriam" w:hint="cs"/>
          <w:b/>
          <w:spacing w:val="0"/>
          <w:sz w:val="22"/>
          <w:szCs w:val="24"/>
          <w:rtl/>
        </w:rPr>
        <w:t>דברי ההסבר</w:t>
      </w:r>
      <w:r w:rsidRPr="007C3B90">
        <w:rPr>
          <w:rFonts w:hint="cs"/>
          <w:rtl/>
        </w:rPr>
        <w:t xml:space="preserve">)). עוד מצוין כי התיקון המוצע, השולל ביקורת שיפוטית על החלטותיהם של הממשלה ושריה, מגיע בעקבות הביקורת </w:t>
      </w:r>
      <w:r w:rsidRPr="007C3B90">
        <w:rPr>
          <w:rFonts w:ascii="Century" w:hAnsi="Century" w:cs="Miriam" w:hint="cs"/>
          <w:b/>
          <w:spacing w:val="0"/>
          <w:sz w:val="22"/>
          <w:szCs w:val="24"/>
          <w:rtl/>
        </w:rPr>
        <w:t xml:space="preserve">"על השימוש בעילת הסבירות </w:t>
      </w:r>
      <w:r w:rsidRPr="007C3B90">
        <w:rPr>
          <w:rFonts w:ascii="Century" w:hAnsi="Century" w:cs="Miriam" w:hint="eastAsia"/>
          <w:bCs/>
          <w:spacing w:val="0"/>
          <w:sz w:val="22"/>
          <w:szCs w:val="24"/>
          <w:rtl/>
        </w:rPr>
        <w:t>במובנה</w:t>
      </w:r>
      <w:r w:rsidRPr="007C3B90">
        <w:rPr>
          <w:rFonts w:ascii="Century" w:hAnsi="Century" w:cs="Miriam"/>
          <w:bCs/>
          <w:spacing w:val="0"/>
          <w:sz w:val="22"/>
          <w:szCs w:val="24"/>
          <w:rtl/>
        </w:rPr>
        <w:t xml:space="preserve"> </w:t>
      </w:r>
      <w:r w:rsidRPr="007C3B90">
        <w:rPr>
          <w:rFonts w:ascii="Century" w:hAnsi="Century" w:cs="Miriam" w:hint="eastAsia"/>
          <w:bCs/>
          <w:spacing w:val="0"/>
          <w:sz w:val="22"/>
          <w:szCs w:val="24"/>
          <w:rtl/>
        </w:rPr>
        <w:t>זה</w:t>
      </w:r>
      <w:r w:rsidRPr="007C3B90">
        <w:rPr>
          <w:rFonts w:ascii="Century" w:hAnsi="Century" w:cs="Miriam" w:hint="cs"/>
          <w:b/>
          <w:spacing w:val="0"/>
          <w:sz w:val="22"/>
          <w:szCs w:val="24"/>
          <w:rtl/>
        </w:rPr>
        <w:t>"</w:t>
      </w:r>
      <w:r w:rsidRPr="007C3B90">
        <w:rPr>
          <w:rFonts w:hint="cs"/>
          <w:rtl/>
        </w:rPr>
        <w:t xml:space="preserve"> </w:t>
      </w:r>
      <w:r w:rsidRPr="007C3B90">
        <w:rPr>
          <w:rtl/>
        </w:rPr>
        <w:t>–</w:t>
      </w:r>
      <w:r w:rsidRPr="007C3B90">
        <w:rPr>
          <w:rFonts w:hint="cs"/>
          <w:rtl/>
        </w:rPr>
        <w:t xml:space="preserve"> כלומר, במובנה כסבירות איזונית (</w:t>
      </w:r>
      <w:r w:rsidRPr="007C3B90">
        <w:rPr>
          <w:rFonts w:ascii="Century" w:hAnsi="Century" w:cs="Miriam" w:hint="cs"/>
          <w:b/>
          <w:spacing w:val="0"/>
          <w:sz w:val="22"/>
          <w:szCs w:val="24"/>
          <w:rtl/>
        </w:rPr>
        <w:t>שם</w:t>
      </w:r>
      <w:r>
        <w:rPr>
          <w:rFonts w:hint="cs"/>
          <w:rtl/>
        </w:rPr>
        <w:t>.</w:t>
      </w:r>
      <w:r w:rsidRPr="007C3B90">
        <w:rPr>
          <w:rFonts w:hint="cs"/>
          <w:rtl/>
        </w:rPr>
        <w:t xml:space="preserve"> ההדגשה נוספה). זאת, מבלי שנזכר כלל סטנדרט הסבירות הצרה (ולדברי </w:t>
      </w:r>
      <w:r w:rsidRPr="007C3B90">
        <w:rPr>
          <w:rFonts w:hint="cs"/>
          <w:rtl/>
        </w:rPr>
        <w:lastRenderedPageBreak/>
        <w:t xml:space="preserve">ההסבר להצעת חוק ככלי עזר לאיתור תכלית החקיקה, ראו: רע"א 10011/17 </w:t>
      </w:r>
      <w:r w:rsidRPr="007C3B90">
        <w:rPr>
          <w:rFonts w:ascii="Century" w:hAnsi="Century" w:cs="Miriam" w:hint="cs"/>
          <w:b/>
          <w:spacing w:val="0"/>
          <w:sz w:val="22"/>
          <w:szCs w:val="24"/>
          <w:rtl/>
        </w:rPr>
        <w:t>מי-טל הנדסה ושירותים בע"מ נ' סלמאן</w:t>
      </w:r>
      <w:r w:rsidRPr="007C3B90">
        <w:rPr>
          <w:rFonts w:ascii="Century" w:hAnsi="Century" w:hint="cs"/>
          <w:sz w:val="22"/>
          <w:rtl/>
        </w:rPr>
        <w:t>,</w:t>
      </w:r>
      <w:r w:rsidRPr="007C3B90">
        <w:rPr>
          <w:rFonts w:hint="cs"/>
          <w:rtl/>
        </w:rPr>
        <w:t xml:space="preserve"> פסקה 33 (19.8.2019); </w:t>
      </w:r>
      <w:r w:rsidRPr="007C3B90">
        <w:rPr>
          <w:rFonts w:ascii="Century" w:hAnsi="Century" w:cs="Miriam" w:hint="cs"/>
          <w:b/>
          <w:spacing w:val="0"/>
          <w:sz w:val="22"/>
          <w:szCs w:val="24"/>
          <w:rtl/>
        </w:rPr>
        <w:t>פרשנות במשפט</w:t>
      </w:r>
      <w:r w:rsidRPr="007C3B90">
        <w:rPr>
          <w:rFonts w:ascii="Century" w:hAnsi="Century" w:hint="cs"/>
          <w:sz w:val="22"/>
          <w:rtl/>
        </w:rPr>
        <w:t>,</w:t>
      </w:r>
      <w:r w:rsidRPr="007C3B90">
        <w:rPr>
          <w:rFonts w:hint="cs"/>
          <w:rtl/>
        </w:rPr>
        <w:t xml:space="preserve"> בעמ' 378-370). כמו חבריי השופטים </w:t>
      </w:r>
      <w:r w:rsidRPr="007C3B90">
        <w:rPr>
          <w:rFonts w:ascii="Century" w:hAnsi="Century" w:cs="Miriam" w:hint="eastAsia"/>
          <w:b/>
          <w:spacing w:val="0"/>
          <w:sz w:val="22"/>
          <w:szCs w:val="24"/>
          <w:rtl/>
        </w:rPr>
        <w:t>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וילנר</w:t>
      </w:r>
      <w:r w:rsidRPr="007C3B90">
        <w:rPr>
          <w:rFonts w:hint="cs"/>
          <w:rtl/>
        </w:rPr>
        <w:t xml:space="preserve"> ו-</w:t>
      </w:r>
      <w:r w:rsidRPr="007C3B90">
        <w:rPr>
          <w:rFonts w:ascii="Century" w:hAnsi="Century" w:cs="Miriam" w:hint="eastAsia"/>
          <w:b/>
          <w:spacing w:val="0"/>
          <w:sz w:val="22"/>
          <w:szCs w:val="24"/>
          <w:rtl/>
        </w:rPr>
        <w:t>א</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שטיין</w:t>
      </w:r>
      <w:r w:rsidRPr="007C3B90">
        <w:rPr>
          <w:rFonts w:hint="cs"/>
          <w:rtl/>
        </w:rPr>
        <w:t>, אני סבורה כי ניתן למצוא בדברים אלה משום עוגן משמעותי למסקנה כי התיקון נועד להגביל, מבחינת תכליתו הסובייקטיבית, את השימוש בעילת הסבירות במובנה האיזוני הרחב, הנהוגה היום בפסיקה. פרשנות כזו מתיישבת, כאמור בדברי ההסבר, גם עם הרקע לחקיקת התיקון ועם המניעים לחקיקתו, שעה שהביקורת על עילת הסבירות התמקדה מראשיתה בסבירות האיזונית ובקשיים שהיא מעוררת, מבלי שנמתחה ביקורת דומה על עילת הסבירות הצרה.</w:t>
      </w:r>
    </w:p>
    <w:p w:rsidR="00BB56BB" w:rsidRPr="007C3B90" w:rsidRDefault="00BB56BB" w:rsidP="00BB56BB">
      <w:pPr>
        <w:pStyle w:val="Ruller4"/>
        <w:numPr>
          <w:ilvl w:val="0"/>
          <w:numId w:val="0"/>
        </w:numPr>
      </w:pPr>
    </w:p>
    <w:p w:rsidR="00BB56BB" w:rsidRPr="007C3B90" w:rsidRDefault="00BB56BB" w:rsidP="00BB56BB">
      <w:pPr>
        <w:pStyle w:val="Ruller4"/>
        <w:rPr>
          <w:rtl/>
        </w:rPr>
      </w:pPr>
      <w:r w:rsidRPr="007C3B90">
        <w:rPr>
          <w:rFonts w:hint="cs"/>
          <w:rtl/>
        </w:rPr>
        <w:t xml:space="preserve">מכל מקום, למדנו ושנינו כי אין די בתכליתו הסובייקטיבית של החוק כדי להכריע בפרשנותו הראויה, והדברים ידועים. בהקשר זה נקבע לא אחת בפסיקה, כי </w:t>
      </w:r>
      <w:r w:rsidRPr="007C3B90">
        <w:rPr>
          <w:rFonts w:ascii="Century" w:hAnsi="Century" w:cs="Miriam"/>
          <w:b/>
          <w:spacing w:val="0"/>
          <w:sz w:val="22"/>
          <w:szCs w:val="24"/>
          <w:rtl/>
        </w:rPr>
        <w:t>"</w:t>
      </w:r>
      <w:r w:rsidRPr="007C3B90">
        <w:rPr>
          <w:rFonts w:ascii="Century" w:hAnsi="Century" w:cs="Miriam" w:hint="eastAsia"/>
          <w:b/>
          <w:spacing w:val="0"/>
          <w:sz w:val="22"/>
          <w:szCs w:val="24"/>
          <w:rtl/>
        </w:rPr>
        <w:t>כל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דבר</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חקיקה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מתפרש</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על</w:t>
      </w:r>
      <w:r w:rsidRPr="007C3B90">
        <w:rPr>
          <w:rFonts w:ascii="Century" w:hAnsi="Century" w:cs="Miriam"/>
          <w:b/>
          <w:spacing w:val="0"/>
          <w:sz w:val="22"/>
          <w:szCs w:val="24"/>
          <w:rtl/>
        </w:rPr>
        <w:t>-</w:t>
      </w:r>
      <w:r w:rsidRPr="007C3B90">
        <w:rPr>
          <w:rFonts w:ascii="Century" w:hAnsi="Century" w:cs="Miriam" w:hint="eastAsia"/>
          <w:b/>
          <w:spacing w:val="0"/>
          <w:sz w:val="22"/>
          <w:szCs w:val="24"/>
          <w:rtl/>
        </w:rPr>
        <w:t>פי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נוסחו</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ותכליתו</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ולא</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כוונתם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הסובייקטיבית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מחוקקיו</w:t>
      </w:r>
      <w:r w:rsidRPr="007C3B90">
        <w:rPr>
          <w:rFonts w:ascii="Century" w:hAnsi="Century" w:cs="Miriam"/>
          <w:b/>
          <w:spacing w:val="0"/>
          <w:sz w:val="22"/>
          <w:szCs w:val="24"/>
          <w:rtl/>
        </w:rPr>
        <w:t xml:space="preserve"> [...] </w:t>
      </w:r>
      <w:r w:rsidRPr="007C3B90">
        <w:rPr>
          <w:rFonts w:ascii="Century" w:hAnsi="Century" w:cs="Miriam" w:hint="eastAsia"/>
          <w:b/>
          <w:spacing w:val="0"/>
          <w:sz w:val="22"/>
          <w:szCs w:val="24"/>
          <w:rtl/>
        </w:rPr>
        <w:t>תקבע</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פרשנותו</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הראויה</w:t>
      </w:r>
      <w:r w:rsidRPr="007C3B90">
        <w:rPr>
          <w:rFonts w:ascii="Century" w:hAnsi="Century" w:cs="Miriam"/>
          <w:b/>
          <w:spacing w:val="0"/>
          <w:sz w:val="22"/>
          <w:szCs w:val="24"/>
          <w:rtl/>
        </w:rPr>
        <w:t>"</w:t>
      </w:r>
      <w:r w:rsidRPr="007C3B90">
        <w:rPr>
          <w:rFonts w:hint="cs"/>
          <w:rtl/>
        </w:rPr>
        <w:t xml:space="preserve"> (</w:t>
      </w:r>
      <w:r w:rsidRPr="007C3B90">
        <w:rPr>
          <w:rFonts w:hint="eastAsia"/>
          <w:rtl/>
        </w:rPr>
        <w:t>בג</w:t>
      </w:r>
      <w:r w:rsidRPr="007C3B90">
        <w:rPr>
          <w:rtl/>
        </w:rPr>
        <w:t>"</w:t>
      </w:r>
      <w:r w:rsidRPr="007C3B90">
        <w:rPr>
          <w:rFonts w:hint="eastAsia"/>
          <w:rtl/>
        </w:rPr>
        <w:t>ץ</w:t>
      </w:r>
      <w:r w:rsidRPr="007C3B90">
        <w:rPr>
          <w:rtl/>
        </w:rPr>
        <w:t xml:space="preserve"> 3262/95 </w:t>
      </w:r>
      <w:r w:rsidRPr="007C3B90">
        <w:rPr>
          <w:rFonts w:cs="Miriam" w:hint="eastAsia"/>
          <w:b/>
          <w:spacing w:val="0"/>
          <w:szCs w:val="24"/>
          <w:rtl/>
        </w:rPr>
        <w:t>פורז</w:t>
      </w:r>
      <w:r w:rsidRPr="007C3B90">
        <w:rPr>
          <w:rFonts w:cs="Miriam"/>
          <w:b/>
          <w:spacing w:val="0"/>
          <w:szCs w:val="24"/>
          <w:rtl/>
        </w:rPr>
        <w:t xml:space="preserve"> </w:t>
      </w:r>
      <w:r w:rsidRPr="007C3B90">
        <w:rPr>
          <w:rFonts w:cs="Miriam" w:hint="eastAsia"/>
          <w:b/>
          <w:spacing w:val="0"/>
          <w:szCs w:val="24"/>
          <w:rtl/>
        </w:rPr>
        <w:t>נ</w:t>
      </w:r>
      <w:r w:rsidRPr="007C3B90">
        <w:rPr>
          <w:rFonts w:cs="Miriam"/>
          <w:b/>
          <w:spacing w:val="0"/>
          <w:szCs w:val="24"/>
          <w:rtl/>
        </w:rPr>
        <w:t xml:space="preserve">' </w:t>
      </w:r>
      <w:r w:rsidRPr="007C3B90">
        <w:rPr>
          <w:rFonts w:cs="Miriam" w:hint="eastAsia"/>
          <w:b/>
          <w:spacing w:val="0"/>
          <w:szCs w:val="24"/>
          <w:rtl/>
        </w:rPr>
        <w:t>ממשלת</w:t>
      </w:r>
      <w:r w:rsidRPr="007C3B90">
        <w:rPr>
          <w:rFonts w:cs="Miriam"/>
          <w:b/>
          <w:spacing w:val="0"/>
          <w:szCs w:val="24"/>
          <w:rtl/>
        </w:rPr>
        <w:t xml:space="preserve"> </w:t>
      </w:r>
      <w:r w:rsidRPr="007C3B90">
        <w:rPr>
          <w:rFonts w:cs="Miriam" w:hint="eastAsia"/>
          <w:b/>
          <w:spacing w:val="0"/>
          <w:szCs w:val="24"/>
          <w:rtl/>
        </w:rPr>
        <w:t>ישראל</w:t>
      </w:r>
      <w:r w:rsidRPr="007C3B90">
        <w:rPr>
          <w:rFonts w:ascii="Century" w:hAnsi="Century"/>
          <w:sz w:val="22"/>
          <w:rtl/>
        </w:rPr>
        <w:t>,</w:t>
      </w:r>
      <w:r w:rsidRPr="007C3B90">
        <w:rPr>
          <w:rFonts w:cs="Miriam"/>
          <w:b/>
          <w:spacing w:val="0"/>
          <w:szCs w:val="24"/>
          <w:rtl/>
        </w:rPr>
        <w:t xml:space="preserve"> </w:t>
      </w:r>
      <w:r w:rsidRPr="007C3B90">
        <w:rPr>
          <w:rFonts w:hint="eastAsia"/>
          <w:rtl/>
        </w:rPr>
        <w:t>פ</w:t>
      </w:r>
      <w:r w:rsidRPr="007C3B90">
        <w:rPr>
          <w:rtl/>
        </w:rPr>
        <w:t>"</w:t>
      </w:r>
      <w:r w:rsidRPr="007C3B90">
        <w:rPr>
          <w:rFonts w:hint="eastAsia"/>
          <w:rtl/>
        </w:rPr>
        <w:t>ד</w:t>
      </w:r>
      <w:r w:rsidRPr="007C3B90">
        <w:rPr>
          <w:rtl/>
        </w:rPr>
        <w:t xml:space="preserve"> </w:t>
      </w:r>
      <w:r w:rsidRPr="007C3B90">
        <w:rPr>
          <w:rFonts w:hint="eastAsia"/>
          <w:rtl/>
        </w:rPr>
        <w:t>מט</w:t>
      </w:r>
      <w:r w:rsidRPr="007C3B90">
        <w:rPr>
          <w:rtl/>
        </w:rPr>
        <w:t xml:space="preserve">(3) 153, 158 (1995); </w:t>
      </w:r>
      <w:r w:rsidRPr="007C3B90">
        <w:rPr>
          <w:rFonts w:hint="eastAsia"/>
          <w:rtl/>
        </w:rPr>
        <w:t>דנג</w:t>
      </w:r>
      <w:r w:rsidRPr="007C3B90">
        <w:rPr>
          <w:rtl/>
        </w:rPr>
        <w:t xml:space="preserve">"ץ 5026/16 </w:t>
      </w:r>
      <w:r w:rsidRPr="007C3B90">
        <w:rPr>
          <w:rFonts w:cs="Miriam" w:hint="eastAsia"/>
          <w:b/>
          <w:spacing w:val="0"/>
          <w:szCs w:val="24"/>
          <w:rtl/>
        </w:rPr>
        <w:t>גיני</w:t>
      </w:r>
      <w:r w:rsidRPr="007C3B90">
        <w:rPr>
          <w:rFonts w:cs="Miriam"/>
          <w:b/>
          <w:spacing w:val="0"/>
          <w:szCs w:val="24"/>
          <w:rtl/>
        </w:rPr>
        <w:t xml:space="preserve"> </w:t>
      </w:r>
      <w:r w:rsidRPr="007C3B90">
        <w:rPr>
          <w:rFonts w:cs="Miriam" w:hint="eastAsia"/>
          <w:b/>
          <w:spacing w:val="0"/>
          <w:szCs w:val="24"/>
          <w:rtl/>
        </w:rPr>
        <w:t>נ</w:t>
      </w:r>
      <w:r w:rsidRPr="007C3B90">
        <w:rPr>
          <w:rFonts w:cs="Miriam"/>
          <w:b/>
          <w:spacing w:val="0"/>
          <w:szCs w:val="24"/>
          <w:rtl/>
        </w:rPr>
        <w:t xml:space="preserve">' </w:t>
      </w:r>
      <w:r w:rsidRPr="007C3B90">
        <w:rPr>
          <w:rFonts w:cs="Miriam" w:hint="eastAsia"/>
          <w:b/>
          <w:spacing w:val="0"/>
          <w:szCs w:val="24"/>
          <w:rtl/>
        </w:rPr>
        <w:t>הרבנות</w:t>
      </w:r>
      <w:r w:rsidRPr="007C3B90">
        <w:rPr>
          <w:rFonts w:cs="Miriam"/>
          <w:b/>
          <w:spacing w:val="0"/>
          <w:szCs w:val="24"/>
          <w:rtl/>
        </w:rPr>
        <w:t xml:space="preserve"> </w:t>
      </w:r>
      <w:r w:rsidRPr="007C3B90">
        <w:rPr>
          <w:rFonts w:cs="Miriam" w:hint="eastAsia"/>
          <w:b/>
          <w:spacing w:val="0"/>
          <w:szCs w:val="24"/>
          <w:rtl/>
        </w:rPr>
        <w:t>הראשית</w:t>
      </w:r>
      <w:r w:rsidRPr="007C3B90">
        <w:rPr>
          <w:rFonts w:cs="Miriam"/>
          <w:b/>
          <w:spacing w:val="0"/>
          <w:szCs w:val="24"/>
          <w:rtl/>
        </w:rPr>
        <w:t xml:space="preserve"> </w:t>
      </w:r>
      <w:r w:rsidRPr="007C3B90">
        <w:rPr>
          <w:rFonts w:cs="Miriam" w:hint="eastAsia"/>
          <w:b/>
          <w:spacing w:val="0"/>
          <w:szCs w:val="24"/>
          <w:rtl/>
        </w:rPr>
        <w:t>לישראל</w:t>
      </w:r>
      <w:r w:rsidRPr="007C3B90">
        <w:rPr>
          <w:rtl/>
        </w:rPr>
        <w:t xml:space="preserve">, פסקה 25 לפסק דינה של הנשיאה </w:t>
      </w:r>
      <w:r w:rsidRPr="007C3B90">
        <w:rPr>
          <w:rFonts w:cs="Miriam" w:hint="eastAsia"/>
          <w:b/>
          <w:spacing w:val="0"/>
          <w:szCs w:val="24"/>
          <w:rtl/>
        </w:rPr>
        <w:t>מ</w:t>
      </w:r>
      <w:r w:rsidRPr="007C3B90">
        <w:rPr>
          <w:rFonts w:cs="Miriam"/>
          <w:b/>
          <w:spacing w:val="0"/>
          <w:szCs w:val="24"/>
          <w:rtl/>
        </w:rPr>
        <w:t xml:space="preserve">' </w:t>
      </w:r>
      <w:r w:rsidRPr="007C3B90">
        <w:rPr>
          <w:rFonts w:cs="Miriam" w:hint="eastAsia"/>
          <w:b/>
          <w:spacing w:val="0"/>
          <w:szCs w:val="24"/>
          <w:rtl/>
        </w:rPr>
        <w:t>נאור</w:t>
      </w:r>
      <w:r w:rsidRPr="007C3B90">
        <w:rPr>
          <w:rtl/>
        </w:rPr>
        <w:t xml:space="preserve"> (12.9.2017)).</w:t>
      </w:r>
      <w:r w:rsidRPr="007C3B90">
        <w:rPr>
          <w:rFonts w:hint="cs"/>
          <w:rtl/>
        </w:rPr>
        <w:t xml:space="preserve"> לדברים אלה משנה תוקף שעה שאנו עוסקים בפרשנות חוקי יסוד, המתייחדת במתן הבכורה לתכלית האובייקטיבית, ולא לכוונתם הסובייקטיבית של יוצרי החוקה (ראו: </w:t>
      </w:r>
      <w:r w:rsidRPr="007C3B90">
        <w:rPr>
          <w:rFonts w:ascii="Century" w:hAnsi="Century" w:cs="Miriam" w:hint="cs"/>
          <w:b/>
          <w:spacing w:val="0"/>
          <w:szCs w:val="24"/>
          <w:rtl/>
        </w:rPr>
        <w:t>פרשנות תכליתית</w:t>
      </w:r>
      <w:r w:rsidRPr="007C3B90">
        <w:rPr>
          <w:rFonts w:ascii="Century" w:hAnsi="Century" w:hint="cs"/>
          <w:sz w:val="22"/>
          <w:rtl/>
        </w:rPr>
        <w:t>,</w:t>
      </w:r>
      <w:r w:rsidRPr="007C3B90">
        <w:rPr>
          <w:rFonts w:ascii="Century" w:hAnsi="Century" w:cs="Miriam" w:hint="cs"/>
          <w:b/>
          <w:spacing w:val="0"/>
          <w:szCs w:val="24"/>
          <w:rtl/>
        </w:rPr>
        <w:t xml:space="preserve"> </w:t>
      </w:r>
      <w:r w:rsidRPr="007C3B90">
        <w:rPr>
          <w:rFonts w:hint="cs"/>
          <w:rtl/>
        </w:rPr>
        <w:t xml:space="preserve">בעמ' 459-455; בג"ץ 3132/15 </w:t>
      </w:r>
      <w:r w:rsidRPr="007C3B90">
        <w:rPr>
          <w:rFonts w:ascii="Century" w:hAnsi="Century" w:cs="Miriam" w:hint="cs"/>
          <w:b/>
          <w:spacing w:val="0"/>
          <w:szCs w:val="24"/>
          <w:rtl/>
        </w:rPr>
        <w:t>מפלגת יש עתיד נ' ראש ממשלת ישראל</w:t>
      </w:r>
      <w:r w:rsidRPr="007C3B90">
        <w:rPr>
          <w:rFonts w:ascii="Century" w:hAnsi="Century" w:hint="cs"/>
          <w:sz w:val="22"/>
          <w:rtl/>
        </w:rPr>
        <w:t>,</w:t>
      </w:r>
      <w:r w:rsidRPr="007C3B90">
        <w:rPr>
          <w:rFonts w:ascii="Century" w:hAnsi="Century" w:cs="Miriam" w:hint="cs"/>
          <w:b/>
          <w:spacing w:val="0"/>
          <w:szCs w:val="24"/>
          <w:rtl/>
        </w:rPr>
        <w:t xml:space="preserve"> </w:t>
      </w:r>
      <w:r w:rsidRPr="007C3B90">
        <w:rPr>
          <w:rFonts w:hint="cs"/>
          <w:rtl/>
        </w:rPr>
        <w:t xml:space="preserve">פסקה 15 לפסק דינה של הנשיאה </w:t>
      </w:r>
      <w:r w:rsidRPr="007C3B90">
        <w:rPr>
          <w:rFonts w:ascii="Century" w:hAnsi="Century" w:cs="Miriam" w:hint="cs"/>
          <w:b/>
          <w:spacing w:val="0"/>
          <w:szCs w:val="24"/>
          <w:rtl/>
        </w:rPr>
        <w:t>מ' נאור</w:t>
      </w:r>
      <w:r w:rsidRPr="007C3B90">
        <w:rPr>
          <w:rFonts w:hint="cs"/>
          <w:rtl/>
        </w:rPr>
        <w:t xml:space="preserve"> (13.4.2016)). כידוע, חוקי-היסוד מפ</w:t>
      </w:r>
      <w:r>
        <w:rPr>
          <w:rFonts w:hint="cs"/>
          <w:rtl/>
        </w:rPr>
        <w:t>ו</w:t>
      </w:r>
      <w:r w:rsidRPr="007C3B90">
        <w:rPr>
          <w:rFonts w:hint="cs"/>
          <w:rtl/>
        </w:rPr>
        <w:t>רשים על רקע מבנה השיטה המשפטית כולה, מתוך מגמה שיעלו בקנה אחד זה עם זה, וכן עם עקרונות היסוד של השיטה. כללים אלה נגזרים מייעודה המיוחד של החוקה, לקבוע לאורך זמן את מסגרות השלטון ואת אורחות החיים במדינה; וכן מעצם היותו של כל חוק</w:t>
      </w:r>
      <w:r>
        <w:rPr>
          <w:rFonts w:hint="cs"/>
          <w:rtl/>
        </w:rPr>
        <w:t xml:space="preserve"> </w:t>
      </w:r>
      <w:r w:rsidRPr="007C3B90">
        <w:rPr>
          <w:rFonts w:hint="cs"/>
          <w:rtl/>
        </w:rPr>
        <w:t xml:space="preserve">יסוד לבנה אחת מתוך מבנה חוקתי כולל (ראו: בג"ץ 428/86 </w:t>
      </w:r>
      <w:r w:rsidRPr="007C3B90">
        <w:rPr>
          <w:rFonts w:ascii="Century" w:hAnsi="Century" w:cs="Miriam" w:hint="cs"/>
          <w:b/>
          <w:spacing w:val="0"/>
          <w:sz w:val="22"/>
          <w:szCs w:val="24"/>
          <w:rtl/>
        </w:rPr>
        <w:t>ברזילי נ' ממשלת ישראל</w:t>
      </w:r>
      <w:r w:rsidRPr="007C3B90">
        <w:rPr>
          <w:rFonts w:hint="cs"/>
          <w:rtl/>
        </w:rPr>
        <w:t xml:space="preserve">, פ"ד מ(3) 505, 595 (1986); </w:t>
      </w:r>
      <w:r w:rsidRPr="007C3B90">
        <w:rPr>
          <w:rFonts w:hint="eastAsia"/>
          <w:rtl/>
        </w:rPr>
        <w:t>בג</w:t>
      </w:r>
      <w:r w:rsidRPr="007C3B90">
        <w:rPr>
          <w:rtl/>
        </w:rPr>
        <w:t>"</w:t>
      </w:r>
      <w:r w:rsidRPr="007C3B90">
        <w:rPr>
          <w:rFonts w:hint="eastAsia"/>
          <w:rtl/>
        </w:rPr>
        <w:t>ץ</w:t>
      </w:r>
      <w:r w:rsidRPr="007C3B90">
        <w:rPr>
          <w:rtl/>
        </w:rPr>
        <w:t xml:space="preserve"> 7510/19 </w:t>
      </w:r>
      <w:r w:rsidRPr="007C3B90">
        <w:rPr>
          <w:rFonts w:ascii="Century" w:hAnsi="Century" w:cs="Miriam" w:hint="eastAsia"/>
          <w:b/>
          <w:spacing w:val="0"/>
          <w:sz w:val="22"/>
          <w:szCs w:val="24"/>
          <w:rtl/>
        </w:rPr>
        <w:t>אור</w:t>
      </w:r>
      <w:r w:rsidRPr="007C3B90">
        <w:rPr>
          <w:rFonts w:ascii="Century" w:hAnsi="Century" w:cs="Miriam" w:hint="cs"/>
          <w:b/>
          <w:spacing w:val="0"/>
          <w:sz w:val="22"/>
          <w:szCs w:val="24"/>
          <w:rtl/>
        </w:rPr>
        <w:t>-</w:t>
      </w:r>
      <w:r w:rsidRPr="007C3B90">
        <w:rPr>
          <w:rFonts w:ascii="Century" w:hAnsi="Century" w:cs="Miriam" w:hint="eastAsia"/>
          <w:b/>
          <w:spacing w:val="0"/>
          <w:sz w:val="22"/>
          <w:szCs w:val="24"/>
          <w:rtl/>
        </w:rPr>
        <w:t>הכהן</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נ</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ראש</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הממשלה</w:t>
      </w:r>
      <w:r w:rsidRPr="007C3B90">
        <w:rPr>
          <w:rFonts w:ascii="Century" w:hAnsi="Century"/>
          <w:sz w:val="22"/>
          <w:rtl/>
        </w:rPr>
        <w:t>,</w:t>
      </w:r>
      <w:r w:rsidRPr="007C3B90">
        <w:rPr>
          <w:rtl/>
        </w:rPr>
        <w:t xml:space="preserve"> </w:t>
      </w:r>
      <w:r w:rsidRPr="007C3B90">
        <w:rPr>
          <w:rFonts w:hint="eastAsia"/>
          <w:rtl/>
        </w:rPr>
        <w:t>פסקה</w:t>
      </w:r>
      <w:r w:rsidRPr="007C3B90">
        <w:rPr>
          <w:rtl/>
        </w:rPr>
        <w:t xml:space="preserve"> 11 (9.1.2020)</w:t>
      </w:r>
      <w:r w:rsidRPr="007C3B90">
        <w:rPr>
          <w:rFonts w:hint="cs"/>
          <w:rtl/>
        </w:rPr>
        <w:t xml:space="preserve"> (להלן: עניין </w:t>
      </w:r>
      <w:r w:rsidRPr="007C3B90">
        <w:rPr>
          <w:rFonts w:ascii="Century" w:hAnsi="Century" w:cs="Miriam" w:hint="cs"/>
          <w:b/>
          <w:spacing w:val="0"/>
          <w:sz w:val="22"/>
          <w:szCs w:val="24"/>
          <w:rtl/>
        </w:rPr>
        <w:t>אור-הכהן</w:t>
      </w:r>
      <w:r w:rsidRPr="007C3B90">
        <w:rPr>
          <w:rFonts w:hint="cs"/>
          <w:rtl/>
        </w:rPr>
        <w:t xml:space="preserve">); עניין </w:t>
      </w:r>
      <w:r w:rsidRPr="007C3B90">
        <w:rPr>
          <w:rFonts w:ascii="Century" w:hAnsi="Century" w:cs="Miriam" w:hint="cs"/>
          <w:b/>
          <w:spacing w:val="0"/>
          <w:sz w:val="22"/>
          <w:szCs w:val="24"/>
          <w:rtl/>
        </w:rPr>
        <w:t>חוק הלאום</w:t>
      </w:r>
      <w:r w:rsidRPr="007C3B90">
        <w:rPr>
          <w:rFonts w:hint="cs"/>
          <w:rtl/>
        </w:rPr>
        <w:t xml:space="preserve">, בפסקה 59). </w:t>
      </w:r>
    </w:p>
    <w:p w:rsidR="00BB56BB" w:rsidRPr="007C3B90" w:rsidRDefault="00BB56BB" w:rsidP="00BB56BB">
      <w:pPr>
        <w:pStyle w:val="Ruller4"/>
        <w:numPr>
          <w:ilvl w:val="0"/>
          <w:numId w:val="0"/>
        </w:numPr>
        <w:rPr>
          <w:rtl/>
        </w:rPr>
      </w:pPr>
    </w:p>
    <w:p w:rsidR="00BB56BB" w:rsidRPr="007C3B90" w:rsidRDefault="00BB56BB" w:rsidP="00BB56BB">
      <w:pPr>
        <w:pStyle w:val="Ruller4"/>
      </w:pPr>
      <w:r w:rsidRPr="007C3B90">
        <w:rPr>
          <w:rFonts w:hint="cs"/>
          <w:rtl/>
        </w:rPr>
        <w:t xml:space="preserve">בענייננו, תכליתו האובייקטיבית של התיקון </w:t>
      </w:r>
      <w:r w:rsidRPr="007C3B90">
        <w:rPr>
          <w:rtl/>
        </w:rPr>
        <w:t>–</w:t>
      </w:r>
      <w:r w:rsidRPr="007C3B90">
        <w:rPr>
          <w:rFonts w:hint="cs"/>
          <w:rtl/>
        </w:rPr>
        <w:t xml:space="preserve"> המגלמת את המטרה שאותה הוא נועד להגשים במארג החוקתי הכולל, בדרך המקיימת את עקרונות היסוד של השיטה </w:t>
      </w:r>
      <w:r w:rsidRPr="007C3B90">
        <w:rPr>
          <w:rtl/>
        </w:rPr>
        <w:t>–</w:t>
      </w:r>
      <w:r w:rsidRPr="007C3B90">
        <w:rPr>
          <w:rFonts w:hint="cs"/>
          <w:rtl/>
        </w:rPr>
        <w:t xml:space="preserve"> תומכת במתן פרשנות מצמצמת לתיקון. תכלית זו מהווה פרי איזון של שתי תכליות וערכים מרכזיים אותם נועד התיקון להגשים: מחד, קיומה של ביקורת שיפוטית על מעשי המינהל לשם אכיפתן של נורמות החלות על הרשות המינהלית; ומאידך, שמירה על חופש הפעולה של הממשלה ושריה בניהול ענייני המדינה שבתחום סמכותם, כמתבקש מעיקרון הפרדת הרשויות. </w:t>
      </w:r>
      <w:r w:rsidRPr="007C3B90">
        <w:rPr>
          <w:rFonts w:hint="eastAsia"/>
          <w:rtl/>
        </w:rPr>
        <w:t>פרשנות</w:t>
      </w:r>
      <w:r w:rsidRPr="007C3B90">
        <w:rPr>
          <w:rtl/>
        </w:rPr>
        <w:t xml:space="preserve"> </w:t>
      </w:r>
      <w:r w:rsidRPr="007C3B90">
        <w:rPr>
          <w:rFonts w:hint="eastAsia"/>
          <w:rtl/>
        </w:rPr>
        <w:t>מרחיבה</w:t>
      </w:r>
      <w:r w:rsidRPr="007C3B90">
        <w:rPr>
          <w:rtl/>
        </w:rPr>
        <w:t xml:space="preserve"> </w:t>
      </w:r>
      <w:r w:rsidRPr="007C3B90">
        <w:rPr>
          <w:rFonts w:hint="eastAsia"/>
          <w:rtl/>
        </w:rPr>
        <w:t>לתיקון</w:t>
      </w:r>
      <w:r w:rsidRPr="007C3B90">
        <w:rPr>
          <w:rtl/>
        </w:rPr>
        <w:t xml:space="preserve">, </w:t>
      </w:r>
      <w:r w:rsidRPr="007C3B90">
        <w:rPr>
          <w:rFonts w:hint="eastAsia"/>
          <w:rtl/>
        </w:rPr>
        <w:t>המונעת</w:t>
      </w:r>
      <w:r w:rsidRPr="007C3B90">
        <w:rPr>
          <w:rtl/>
        </w:rPr>
        <w:t xml:space="preserve"> </w:t>
      </w:r>
      <w:r w:rsidRPr="007C3B90">
        <w:rPr>
          <w:rFonts w:hint="eastAsia"/>
          <w:rtl/>
        </w:rPr>
        <w:t>באופן</w:t>
      </w:r>
      <w:r w:rsidRPr="007C3B90">
        <w:rPr>
          <w:rtl/>
        </w:rPr>
        <w:t xml:space="preserve"> </w:t>
      </w:r>
      <w:r w:rsidRPr="007C3B90">
        <w:rPr>
          <w:rFonts w:hint="eastAsia"/>
          <w:rtl/>
        </w:rPr>
        <w:t>גורף</w:t>
      </w:r>
      <w:r w:rsidRPr="007C3B90">
        <w:rPr>
          <w:rtl/>
        </w:rPr>
        <w:t xml:space="preserve"> </w:t>
      </w:r>
      <w:r w:rsidRPr="007C3B90">
        <w:rPr>
          <w:rFonts w:hint="eastAsia"/>
          <w:rtl/>
        </w:rPr>
        <w:t>כל</w:t>
      </w:r>
      <w:r w:rsidRPr="007C3B90">
        <w:rPr>
          <w:rtl/>
        </w:rPr>
        <w:t xml:space="preserve"> </w:t>
      </w:r>
      <w:r w:rsidRPr="007C3B90">
        <w:rPr>
          <w:rFonts w:hint="eastAsia"/>
          <w:rtl/>
        </w:rPr>
        <w:t>ביקורת</w:t>
      </w:r>
      <w:r w:rsidRPr="007C3B90">
        <w:rPr>
          <w:rtl/>
        </w:rPr>
        <w:t xml:space="preserve"> </w:t>
      </w:r>
      <w:r w:rsidRPr="007C3B90">
        <w:rPr>
          <w:rFonts w:hint="eastAsia"/>
          <w:rtl/>
        </w:rPr>
        <w:t>שיפוטית</w:t>
      </w:r>
      <w:r w:rsidRPr="007C3B90">
        <w:rPr>
          <w:rtl/>
        </w:rPr>
        <w:t xml:space="preserve"> </w:t>
      </w:r>
      <w:r w:rsidRPr="007C3B90">
        <w:rPr>
          <w:rFonts w:hint="eastAsia"/>
          <w:rtl/>
        </w:rPr>
        <w:t>על</w:t>
      </w:r>
      <w:r w:rsidRPr="007C3B90">
        <w:rPr>
          <w:rtl/>
        </w:rPr>
        <w:t xml:space="preserve"> </w:t>
      </w:r>
      <w:r w:rsidRPr="007C3B90">
        <w:rPr>
          <w:rFonts w:hint="eastAsia"/>
          <w:rtl/>
        </w:rPr>
        <w:t>סבירותן</w:t>
      </w:r>
      <w:r w:rsidRPr="007C3B90">
        <w:rPr>
          <w:rtl/>
        </w:rPr>
        <w:t xml:space="preserve"> </w:t>
      </w:r>
      <w:r w:rsidRPr="007C3B90">
        <w:rPr>
          <w:rFonts w:hint="eastAsia"/>
          <w:rtl/>
        </w:rPr>
        <w:t>של</w:t>
      </w:r>
      <w:r w:rsidRPr="007C3B90">
        <w:rPr>
          <w:rtl/>
        </w:rPr>
        <w:t xml:space="preserve"> </w:t>
      </w:r>
      <w:r w:rsidRPr="007C3B90">
        <w:rPr>
          <w:rFonts w:hint="eastAsia"/>
          <w:rtl/>
        </w:rPr>
        <w:t>החלטות</w:t>
      </w:r>
      <w:r w:rsidRPr="007C3B90">
        <w:rPr>
          <w:rtl/>
        </w:rPr>
        <w:t xml:space="preserve"> </w:t>
      </w:r>
      <w:r w:rsidRPr="007C3B90">
        <w:rPr>
          <w:rFonts w:hint="eastAsia"/>
          <w:rtl/>
        </w:rPr>
        <w:t>הממשלה</w:t>
      </w:r>
      <w:r w:rsidRPr="007C3B90">
        <w:rPr>
          <w:rtl/>
        </w:rPr>
        <w:t xml:space="preserve"> </w:t>
      </w:r>
      <w:r w:rsidRPr="007C3B90">
        <w:rPr>
          <w:rFonts w:hint="eastAsia"/>
          <w:rtl/>
        </w:rPr>
        <w:t>והשרים</w:t>
      </w:r>
      <w:r w:rsidRPr="007C3B90">
        <w:rPr>
          <w:rtl/>
        </w:rPr>
        <w:t>,</w:t>
      </w:r>
      <w:r w:rsidRPr="007C3B90">
        <w:rPr>
          <w:rFonts w:hint="cs"/>
          <w:rtl/>
        </w:rPr>
        <w:t xml:space="preserve"> גם בעילה של סבירות צרה </w:t>
      </w:r>
      <w:r w:rsidRPr="007C3B90">
        <w:rPr>
          <w:rtl/>
        </w:rPr>
        <w:t xml:space="preserve">– </w:t>
      </w:r>
      <w:r w:rsidRPr="007C3B90">
        <w:rPr>
          <w:rFonts w:hint="eastAsia"/>
          <w:rtl/>
        </w:rPr>
        <w:t>אינה</w:t>
      </w:r>
      <w:r w:rsidRPr="007C3B90">
        <w:rPr>
          <w:rtl/>
        </w:rPr>
        <w:t xml:space="preserve"> </w:t>
      </w:r>
      <w:r w:rsidRPr="007C3B90">
        <w:rPr>
          <w:rFonts w:hint="eastAsia"/>
          <w:rtl/>
        </w:rPr>
        <w:lastRenderedPageBreak/>
        <w:t>מבטאת</w:t>
      </w:r>
      <w:r w:rsidRPr="007C3B90">
        <w:rPr>
          <w:rtl/>
        </w:rPr>
        <w:t xml:space="preserve"> </w:t>
      </w:r>
      <w:r w:rsidRPr="007C3B90">
        <w:rPr>
          <w:rFonts w:hint="eastAsia"/>
          <w:rtl/>
        </w:rPr>
        <w:t>איזון</w:t>
      </w:r>
      <w:r w:rsidRPr="007C3B90">
        <w:rPr>
          <w:rtl/>
        </w:rPr>
        <w:t xml:space="preserve"> </w:t>
      </w:r>
      <w:r w:rsidRPr="007C3B90">
        <w:rPr>
          <w:rFonts w:hint="eastAsia"/>
          <w:rtl/>
        </w:rPr>
        <w:t>ראוי</w:t>
      </w:r>
      <w:r w:rsidRPr="007C3B90">
        <w:rPr>
          <w:rtl/>
        </w:rPr>
        <w:t xml:space="preserve"> </w:t>
      </w:r>
      <w:r w:rsidRPr="007C3B90">
        <w:rPr>
          <w:rFonts w:hint="eastAsia"/>
          <w:rtl/>
        </w:rPr>
        <w:t>בין</w:t>
      </w:r>
      <w:r w:rsidRPr="007C3B90">
        <w:rPr>
          <w:rtl/>
        </w:rPr>
        <w:t xml:space="preserve"> </w:t>
      </w:r>
      <w:r w:rsidRPr="007C3B90">
        <w:rPr>
          <w:rFonts w:hint="eastAsia"/>
          <w:rtl/>
        </w:rPr>
        <w:t>שני</w:t>
      </w:r>
      <w:r w:rsidRPr="007C3B90">
        <w:rPr>
          <w:rtl/>
        </w:rPr>
        <w:t xml:space="preserve"> </w:t>
      </w:r>
      <w:r w:rsidRPr="007C3B90">
        <w:rPr>
          <w:rFonts w:hint="eastAsia"/>
          <w:rtl/>
        </w:rPr>
        <w:t>ערכים</w:t>
      </w:r>
      <w:r w:rsidRPr="007C3B90">
        <w:rPr>
          <w:rtl/>
        </w:rPr>
        <w:t xml:space="preserve"> </w:t>
      </w:r>
      <w:r w:rsidRPr="007C3B90">
        <w:rPr>
          <w:rFonts w:hint="eastAsia"/>
          <w:rtl/>
        </w:rPr>
        <w:t>אלה</w:t>
      </w:r>
      <w:r w:rsidRPr="007C3B90">
        <w:rPr>
          <w:rtl/>
        </w:rPr>
        <w:t xml:space="preserve">. </w:t>
      </w:r>
      <w:r w:rsidRPr="007C3B90">
        <w:rPr>
          <w:rFonts w:hint="eastAsia"/>
          <w:rtl/>
        </w:rPr>
        <w:t>היא</w:t>
      </w:r>
      <w:r w:rsidRPr="007C3B90">
        <w:rPr>
          <w:rtl/>
        </w:rPr>
        <w:t xml:space="preserve"> </w:t>
      </w:r>
      <w:r w:rsidRPr="007C3B90">
        <w:rPr>
          <w:rFonts w:hint="cs"/>
          <w:rtl/>
        </w:rPr>
        <w:t xml:space="preserve">נותנת </w:t>
      </w:r>
      <w:r w:rsidRPr="007C3B90">
        <w:rPr>
          <w:rFonts w:hint="eastAsia"/>
          <w:rtl/>
        </w:rPr>
        <w:t>בכורה</w:t>
      </w:r>
      <w:r w:rsidRPr="007C3B90">
        <w:rPr>
          <w:rtl/>
        </w:rPr>
        <w:t xml:space="preserve"> </w:t>
      </w:r>
      <w:r w:rsidRPr="007C3B90">
        <w:rPr>
          <w:rFonts w:hint="eastAsia"/>
          <w:rtl/>
        </w:rPr>
        <w:t>לתכלית</w:t>
      </w:r>
      <w:r w:rsidRPr="007C3B90">
        <w:rPr>
          <w:rtl/>
        </w:rPr>
        <w:t xml:space="preserve"> </w:t>
      </w:r>
      <w:r w:rsidRPr="007C3B90">
        <w:rPr>
          <w:rFonts w:hint="cs"/>
          <w:rtl/>
        </w:rPr>
        <w:t>ה</w:t>
      </w:r>
      <w:r w:rsidRPr="007C3B90">
        <w:rPr>
          <w:rFonts w:hint="eastAsia"/>
          <w:rtl/>
        </w:rPr>
        <w:t>שמירה</w:t>
      </w:r>
      <w:r w:rsidRPr="007C3B90">
        <w:rPr>
          <w:rtl/>
        </w:rPr>
        <w:t xml:space="preserve"> </w:t>
      </w:r>
      <w:r w:rsidRPr="007C3B90">
        <w:rPr>
          <w:rFonts w:hint="eastAsia"/>
          <w:rtl/>
        </w:rPr>
        <w:t>על</w:t>
      </w:r>
      <w:r w:rsidRPr="007C3B90">
        <w:rPr>
          <w:rtl/>
        </w:rPr>
        <w:t xml:space="preserve"> </w:t>
      </w:r>
      <w:r w:rsidRPr="007C3B90">
        <w:rPr>
          <w:rFonts w:hint="eastAsia"/>
          <w:rtl/>
        </w:rPr>
        <w:t>חופש</w:t>
      </w:r>
      <w:r w:rsidRPr="007C3B90">
        <w:rPr>
          <w:rtl/>
        </w:rPr>
        <w:t xml:space="preserve"> </w:t>
      </w:r>
      <w:r w:rsidRPr="007C3B90">
        <w:rPr>
          <w:rFonts w:hint="eastAsia"/>
          <w:rtl/>
        </w:rPr>
        <w:t>הפעולה</w:t>
      </w:r>
      <w:r w:rsidRPr="007C3B90">
        <w:rPr>
          <w:rtl/>
        </w:rPr>
        <w:t xml:space="preserve"> </w:t>
      </w:r>
      <w:r w:rsidRPr="007C3B90">
        <w:rPr>
          <w:rFonts w:hint="eastAsia"/>
          <w:rtl/>
        </w:rPr>
        <w:t>של</w:t>
      </w:r>
      <w:r w:rsidRPr="007C3B90">
        <w:rPr>
          <w:rtl/>
        </w:rPr>
        <w:t xml:space="preserve"> </w:t>
      </w:r>
      <w:r w:rsidRPr="007C3B90">
        <w:rPr>
          <w:rFonts w:hint="cs"/>
          <w:rtl/>
        </w:rPr>
        <w:t>הרשות</w:t>
      </w:r>
      <w:r w:rsidRPr="007C3B90">
        <w:rPr>
          <w:rtl/>
        </w:rPr>
        <w:t xml:space="preserve">, </w:t>
      </w:r>
      <w:r w:rsidRPr="007C3B90">
        <w:rPr>
          <w:rFonts w:hint="eastAsia"/>
          <w:rtl/>
        </w:rPr>
        <w:t>במחיר</w:t>
      </w:r>
      <w:r w:rsidRPr="007C3B90">
        <w:rPr>
          <w:rtl/>
        </w:rPr>
        <w:t xml:space="preserve"> </w:t>
      </w:r>
      <w:r w:rsidRPr="007C3B90">
        <w:rPr>
          <w:rFonts w:hint="eastAsia"/>
          <w:rtl/>
        </w:rPr>
        <w:t>של</w:t>
      </w:r>
      <w:r w:rsidRPr="007C3B90">
        <w:rPr>
          <w:rtl/>
        </w:rPr>
        <w:t xml:space="preserve"> </w:t>
      </w:r>
      <w:r w:rsidRPr="007C3B90">
        <w:rPr>
          <w:rFonts w:hint="eastAsia"/>
          <w:rtl/>
        </w:rPr>
        <w:t>פגיע</w:t>
      </w:r>
      <w:r w:rsidRPr="007C3B90">
        <w:rPr>
          <w:rFonts w:hint="cs"/>
          <w:rtl/>
        </w:rPr>
        <w:t xml:space="preserve">ה קשה בביקורת השיפוטית על החלטותיה. המשמעות של ביטול עילת הסבירות הצרה היא, כמתואר לעיל, כי לא ניתן לבקר החלטות מינהליות שהן כה </w:t>
      </w:r>
      <w:r w:rsidRPr="007C3B90">
        <w:rPr>
          <w:rFonts w:hint="eastAsia"/>
          <w:rtl/>
        </w:rPr>
        <w:t>מופרכות</w:t>
      </w:r>
      <w:r w:rsidRPr="007C3B90">
        <w:rPr>
          <w:rFonts w:hint="cs"/>
          <w:rtl/>
        </w:rPr>
        <w:t>,</w:t>
      </w:r>
      <w:r w:rsidRPr="007C3B90">
        <w:rPr>
          <w:rtl/>
        </w:rPr>
        <w:t xml:space="preserve"> </w:t>
      </w:r>
      <w:r w:rsidRPr="007C3B90">
        <w:rPr>
          <w:rFonts w:hint="eastAsia"/>
          <w:rtl/>
        </w:rPr>
        <w:t>עד</w:t>
      </w:r>
      <w:r w:rsidRPr="007C3B90">
        <w:rPr>
          <w:rtl/>
        </w:rPr>
        <w:t xml:space="preserve"> </w:t>
      </w:r>
      <w:r w:rsidRPr="007C3B90">
        <w:rPr>
          <w:rFonts w:hint="cs"/>
          <w:rtl/>
        </w:rPr>
        <w:t xml:space="preserve">שיש לראותן כחורגות מגדרי הסמכות </w:t>
      </w:r>
      <w:r w:rsidRPr="007C3B90">
        <w:rPr>
          <w:rFonts w:hint="eastAsia"/>
          <w:rtl/>
        </w:rPr>
        <w:t>המוענקת</w:t>
      </w:r>
      <w:r w:rsidRPr="007C3B90">
        <w:rPr>
          <w:rtl/>
        </w:rPr>
        <w:t xml:space="preserve"> </w:t>
      </w:r>
      <w:r w:rsidRPr="007C3B90">
        <w:rPr>
          <w:rFonts w:hint="eastAsia"/>
          <w:rtl/>
        </w:rPr>
        <w:t>לרשות</w:t>
      </w:r>
      <w:r w:rsidRPr="007C3B90">
        <w:rPr>
          <w:rFonts w:hint="cs"/>
          <w:rtl/>
        </w:rPr>
        <w:t>. פרשנות כזו חותרת תחת עקרון שלטון החוק, הגוזר על</w:t>
      </w:r>
      <w:r w:rsidRPr="007C3B90">
        <w:rPr>
          <w:rtl/>
        </w:rPr>
        <w:t xml:space="preserve"> </w:t>
      </w:r>
      <w:r w:rsidRPr="007C3B90">
        <w:rPr>
          <w:rFonts w:hint="eastAsia"/>
          <w:rtl/>
        </w:rPr>
        <w:t>הרשות</w:t>
      </w:r>
      <w:r w:rsidRPr="007C3B90">
        <w:rPr>
          <w:rtl/>
        </w:rPr>
        <w:t xml:space="preserve"> </w:t>
      </w:r>
      <w:r w:rsidRPr="007C3B90">
        <w:rPr>
          <w:rFonts w:hint="cs"/>
          <w:rtl/>
        </w:rPr>
        <w:t>פעולה</w:t>
      </w:r>
      <w:r w:rsidRPr="007C3B90">
        <w:rPr>
          <w:rtl/>
        </w:rPr>
        <w:t xml:space="preserve"> </w:t>
      </w:r>
      <w:r w:rsidRPr="007C3B90">
        <w:rPr>
          <w:rFonts w:hint="eastAsia"/>
          <w:rtl/>
        </w:rPr>
        <w:t>רק</w:t>
      </w:r>
      <w:r w:rsidRPr="007C3B90">
        <w:rPr>
          <w:rtl/>
        </w:rPr>
        <w:t xml:space="preserve"> </w:t>
      </w:r>
      <w:r w:rsidRPr="007C3B90">
        <w:rPr>
          <w:rFonts w:hint="cs"/>
          <w:rtl/>
        </w:rPr>
        <w:t>במסגרת</w:t>
      </w:r>
      <w:r w:rsidRPr="007C3B90">
        <w:rPr>
          <w:rtl/>
        </w:rPr>
        <w:t xml:space="preserve"> </w:t>
      </w:r>
      <w:r w:rsidRPr="007C3B90">
        <w:rPr>
          <w:rFonts w:hint="eastAsia"/>
          <w:rtl/>
        </w:rPr>
        <w:t>סמכות</w:t>
      </w:r>
      <w:r w:rsidRPr="007C3B90">
        <w:rPr>
          <w:rFonts w:hint="cs"/>
          <w:rtl/>
        </w:rPr>
        <w:t xml:space="preserve"> חוקית שהוקנתה לה</w:t>
      </w:r>
      <w:r w:rsidRPr="007C3B90">
        <w:rPr>
          <w:rtl/>
        </w:rPr>
        <w:t xml:space="preserve">. </w:t>
      </w:r>
      <w:r w:rsidRPr="007C3B90">
        <w:rPr>
          <w:rFonts w:hint="eastAsia"/>
          <w:rtl/>
        </w:rPr>
        <w:t>מנגד</w:t>
      </w:r>
      <w:r w:rsidRPr="007C3B90">
        <w:rPr>
          <w:rtl/>
        </w:rPr>
        <w:t xml:space="preserve">, </w:t>
      </w:r>
      <w:r w:rsidRPr="007C3B90">
        <w:rPr>
          <w:rFonts w:hint="eastAsia"/>
          <w:rtl/>
        </w:rPr>
        <w:t>הפרשנות</w:t>
      </w:r>
      <w:r w:rsidRPr="007C3B90">
        <w:rPr>
          <w:rtl/>
        </w:rPr>
        <w:t xml:space="preserve"> </w:t>
      </w:r>
      <w:r w:rsidRPr="007C3B90">
        <w:rPr>
          <w:rFonts w:hint="eastAsia"/>
          <w:rtl/>
        </w:rPr>
        <w:t>המצמצמת</w:t>
      </w:r>
      <w:r w:rsidRPr="007C3B90">
        <w:rPr>
          <w:rtl/>
        </w:rPr>
        <w:t xml:space="preserve"> </w:t>
      </w:r>
      <w:r w:rsidRPr="007C3B90">
        <w:rPr>
          <w:rFonts w:hint="eastAsia"/>
          <w:rtl/>
        </w:rPr>
        <w:t>לתיקון</w:t>
      </w:r>
      <w:r w:rsidRPr="007C3B90">
        <w:rPr>
          <w:rtl/>
        </w:rPr>
        <w:t xml:space="preserve"> </w:t>
      </w:r>
      <w:r w:rsidRPr="007C3B90">
        <w:rPr>
          <w:rFonts w:hint="eastAsia"/>
          <w:rtl/>
        </w:rPr>
        <w:t>מאזנת</w:t>
      </w:r>
      <w:r w:rsidRPr="007C3B90">
        <w:rPr>
          <w:rtl/>
        </w:rPr>
        <w:t xml:space="preserve"> </w:t>
      </w:r>
      <w:r w:rsidRPr="007C3B90">
        <w:rPr>
          <w:rFonts w:hint="eastAsia"/>
          <w:rtl/>
        </w:rPr>
        <w:t>באופן</w:t>
      </w:r>
      <w:r w:rsidRPr="007C3B90">
        <w:rPr>
          <w:rtl/>
        </w:rPr>
        <w:t xml:space="preserve"> </w:t>
      </w:r>
      <w:r w:rsidRPr="007C3B90">
        <w:rPr>
          <w:rFonts w:hint="eastAsia"/>
          <w:rtl/>
        </w:rPr>
        <w:t>ראוי</w:t>
      </w:r>
      <w:r w:rsidRPr="007C3B90">
        <w:rPr>
          <w:rFonts w:hint="cs"/>
          <w:rtl/>
        </w:rPr>
        <w:t xml:space="preserve"> יותר</w:t>
      </w:r>
      <w:r w:rsidRPr="007C3B90">
        <w:rPr>
          <w:rtl/>
        </w:rPr>
        <w:t xml:space="preserve"> </w:t>
      </w:r>
      <w:r w:rsidRPr="007C3B90">
        <w:rPr>
          <w:rFonts w:hint="eastAsia"/>
          <w:rtl/>
        </w:rPr>
        <w:t>בין</w:t>
      </w:r>
      <w:r w:rsidRPr="007C3B90">
        <w:rPr>
          <w:rtl/>
        </w:rPr>
        <w:t xml:space="preserve"> </w:t>
      </w:r>
      <w:r w:rsidRPr="007C3B90">
        <w:rPr>
          <w:rFonts w:hint="eastAsia"/>
          <w:rtl/>
        </w:rPr>
        <w:t>התכליות</w:t>
      </w:r>
      <w:r w:rsidRPr="007C3B90">
        <w:rPr>
          <w:rtl/>
        </w:rPr>
        <w:t xml:space="preserve"> </w:t>
      </w:r>
      <w:r w:rsidRPr="007C3B90">
        <w:rPr>
          <w:rFonts w:hint="eastAsia"/>
          <w:rtl/>
        </w:rPr>
        <w:t>המתמודדות</w:t>
      </w:r>
      <w:r w:rsidRPr="007C3B90">
        <w:rPr>
          <w:rtl/>
        </w:rPr>
        <w:t xml:space="preserve">, </w:t>
      </w:r>
      <w:r w:rsidRPr="007C3B90">
        <w:rPr>
          <w:rFonts w:hint="eastAsia"/>
          <w:rtl/>
        </w:rPr>
        <w:t>תוך</w:t>
      </w:r>
      <w:r w:rsidRPr="007C3B90">
        <w:rPr>
          <w:rtl/>
        </w:rPr>
        <w:t xml:space="preserve"> </w:t>
      </w:r>
      <w:r w:rsidRPr="007C3B90">
        <w:rPr>
          <w:rFonts w:hint="eastAsia"/>
          <w:rtl/>
        </w:rPr>
        <w:t>שהיא</w:t>
      </w:r>
      <w:r w:rsidRPr="007C3B90">
        <w:rPr>
          <w:rtl/>
        </w:rPr>
        <w:t xml:space="preserve"> </w:t>
      </w:r>
      <w:r w:rsidRPr="007C3B90">
        <w:rPr>
          <w:rFonts w:hint="eastAsia"/>
          <w:rtl/>
        </w:rPr>
        <w:t>נמנעת</w:t>
      </w:r>
      <w:r w:rsidRPr="007C3B90">
        <w:rPr>
          <w:rtl/>
        </w:rPr>
        <w:t xml:space="preserve"> </w:t>
      </w:r>
      <w:r w:rsidRPr="007C3B90">
        <w:rPr>
          <w:rFonts w:hint="eastAsia"/>
          <w:rtl/>
        </w:rPr>
        <w:t>מפגיעה</w:t>
      </w:r>
      <w:r w:rsidRPr="007C3B90">
        <w:rPr>
          <w:rtl/>
        </w:rPr>
        <w:t xml:space="preserve"> </w:t>
      </w:r>
      <w:r w:rsidRPr="007C3B90">
        <w:rPr>
          <w:rFonts w:hint="eastAsia"/>
          <w:rtl/>
        </w:rPr>
        <w:t>דומה</w:t>
      </w:r>
      <w:r w:rsidRPr="007C3B90">
        <w:rPr>
          <w:rtl/>
        </w:rPr>
        <w:t xml:space="preserve"> </w:t>
      </w:r>
      <w:r w:rsidRPr="007C3B90">
        <w:rPr>
          <w:rFonts w:hint="eastAsia"/>
          <w:rtl/>
        </w:rPr>
        <w:t>ב</w:t>
      </w:r>
      <w:r w:rsidRPr="007C3B90">
        <w:rPr>
          <w:rFonts w:hint="cs"/>
          <w:rtl/>
        </w:rPr>
        <w:t xml:space="preserve">עקרון </w:t>
      </w:r>
      <w:r w:rsidRPr="007C3B90">
        <w:rPr>
          <w:rFonts w:hint="eastAsia"/>
          <w:rtl/>
        </w:rPr>
        <w:t>שלטון</w:t>
      </w:r>
      <w:r w:rsidRPr="007C3B90">
        <w:rPr>
          <w:rtl/>
        </w:rPr>
        <w:t xml:space="preserve"> </w:t>
      </w:r>
      <w:r w:rsidRPr="007C3B90">
        <w:rPr>
          <w:rFonts w:hint="eastAsia"/>
          <w:rtl/>
        </w:rPr>
        <w:t>החוק</w:t>
      </w:r>
      <w:r w:rsidRPr="007C3B90">
        <w:rPr>
          <w:rtl/>
        </w:rPr>
        <w:t>.</w:t>
      </w:r>
      <w:r w:rsidRPr="007C3B90">
        <w:rPr>
          <w:rFonts w:hint="cs"/>
          <w:rtl/>
        </w:rPr>
        <w:t xml:space="preserve"> היא מרחיבה את חופש הפעולה הנתון לממשלה ולשרים בניהול ענייני המדינה שבתחום סמכותם, אך גם משמרת עילה לביקורת שיפוטית על סבירות החלטותיהם, אף אם הפתח שהיא מותירה להתערבות שיפוטית, צר יותר. </w:t>
      </w:r>
      <w:r w:rsidRPr="007C3B90">
        <w:rPr>
          <w:rtl/>
        </w:rPr>
        <w:br/>
      </w:r>
    </w:p>
    <w:p w:rsidR="00BB56BB" w:rsidRPr="007C3B90" w:rsidRDefault="00BB56BB" w:rsidP="00BB56BB">
      <w:pPr>
        <w:pStyle w:val="Ruller4"/>
        <w:rPr>
          <w:rtl/>
        </w:rPr>
      </w:pPr>
      <w:r w:rsidRPr="007C3B90">
        <w:rPr>
          <w:rFonts w:hint="cs"/>
          <w:rtl/>
        </w:rPr>
        <w:t xml:space="preserve">פרשנות זו מתבקשת גם מכוח ההלכה הפרשנית שלפיה דברי חקיקה המבקשים לשלול או להגביל ביקורת שיפוטית, יפורשו בצמצום ובדווקנות. מקורה של הלכה זו בהכרה בחשיבות תפקידם של בתי המשפט לקיומו של משטר דמוקרטי, בשמירה על עקרון שלטון החוק, עקרון הפרדת הרשויות, שמירה על זכויות אדם ועוד (ראו: בג"ץ 294/89 </w:t>
      </w:r>
      <w:r w:rsidRPr="007C3B90">
        <w:rPr>
          <w:rFonts w:ascii="Century" w:hAnsi="Century" w:cs="Miriam" w:hint="cs"/>
          <w:b/>
          <w:spacing w:val="0"/>
          <w:sz w:val="22"/>
          <w:szCs w:val="24"/>
          <w:rtl/>
        </w:rPr>
        <w:t>המוסד לביטוח לאומי נ' ועדת העררים לפי סעיף 11 לחוק התגמולים לנפגעי פעולות איבה</w:t>
      </w:r>
      <w:r w:rsidRPr="007C3B90">
        <w:rPr>
          <w:rFonts w:hint="cs"/>
          <w:rtl/>
        </w:rPr>
        <w:t xml:space="preserve">, פ"ד מה(5) 445, פסקאות 6-4 (1991) (להלן: עניין </w:t>
      </w:r>
      <w:r w:rsidRPr="007C3B90">
        <w:rPr>
          <w:rFonts w:ascii="Century" w:hAnsi="Century" w:cs="Miriam" w:hint="cs"/>
          <w:b/>
          <w:spacing w:val="0"/>
          <w:sz w:val="22"/>
          <w:szCs w:val="24"/>
          <w:rtl/>
        </w:rPr>
        <w:t>ועדת העררים</w:t>
      </w:r>
      <w:r w:rsidRPr="007C3B90">
        <w:rPr>
          <w:rFonts w:hint="cs"/>
          <w:rtl/>
        </w:rPr>
        <w:t xml:space="preserve">); יואב דותן </w:t>
      </w:r>
      <w:r w:rsidRPr="007C3B90">
        <w:rPr>
          <w:rFonts w:ascii="Century" w:hAnsi="Century" w:cs="Miriam" w:hint="cs"/>
          <w:b/>
          <w:spacing w:val="0"/>
          <w:sz w:val="22"/>
          <w:szCs w:val="24"/>
          <w:rtl/>
        </w:rPr>
        <w:t xml:space="preserve">ביקורת שיפוטית על שיקול דעת מינהלי </w:t>
      </w:r>
      <w:r w:rsidRPr="007C3B90">
        <w:rPr>
          <w:rFonts w:ascii="Century" w:hAnsi="Century" w:cs="Miriam"/>
          <w:b/>
          <w:spacing w:val="0"/>
          <w:sz w:val="22"/>
          <w:szCs w:val="24"/>
          <w:rtl/>
        </w:rPr>
        <w:t>–</w:t>
      </w:r>
      <w:r w:rsidRPr="007C3B90">
        <w:rPr>
          <w:rFonts w:ascii="Century" w:hAnsi="Century" w:cs="Miriam" w:hint="cs"/>
          <w:b/>
          <w:spacing w:val="0"/>
          <w:sz w:val="22"/>
          <w:szCs w:val="24"/>
          <w:rtl/>
        </w:rPr>
        <w:t xml:space="preserve"> כרך א'</w:t>
      </w:r>
      <w:r w:rsidRPr="007C3B90">
        <w:rPr>
          <w:rFonts w:hint="cs"/>
          <w:rtl/>
        </w:rPr>
        <w:t xml:space="preserve"> 232-225 (2022); </w:t>
      </w:r>
      <w:r w:rsidRPr="007C3B90">
        <w:rPr>
          <w:rFonts w:ascii="Century" w:hAnsi="Century" w:cs="Miriam" w:hint="eastAsia"/>
          <w:b/>
          <w:spacing w:val="0"/>
          <w:szCs w:val="24"/>
          <w:rtl/>
        </w:rPr>
        <w:t>פרשנות</w:t>
      </w:r>
      <w:r w:rsidRPr="007C3B90">
        <w:rPr>
          <w:rFonts w:ascii="Century" w:hAnsi="Century" w:cs="Miriam"/>
          <w:b/>
          <w:spacing w:val="0"/>
          <w:szCs w:val="24"/>
          <w:rtl/>
        </w:rPr>
        <w:t xml:space="preserve"> </w:t>
      </w:r>
      <w:r w:rsidRPr="007C3B90">
        <w:rPr>
          <w:rFonts w:ascii="Century" w:hAnsi="Century" w:cs="Miriam" w:hint="eastAsia"/>
          <w:b/>
          <w:spacing w:val="0"/>
          <w:szCs w:val="24"/>
          <w:rtl/>
        </w:rPr>
        <w:t>במשפט</w:t>
      </w:r>
      <w:r w:rsidRPr="007C3B90">
        <w:rPr>
          <w:rFonts w:hint="cs"/>
          <w:rtl/>
        </w:rPr>
        <w:t>,</w:t>
      </w:r>
      <w:r w:rsidRPr="007C3B90" w:rsidDel="00370C89">
        <w:rPr>
          <w:rFonts w:hint="cs"/>
          <w:rtl/>
        </w:rPr>
        <w:t xml:space="preserve"> </w:t>
      </w:r>
      <w:r w:rsidRPr="007C3B90">
        <w:rPr>
          <w:rFonts w:hint="cs"/>
          <w:rtl/>
        </w:rPr>
        <w:t xml:space="preserve">בעמ' 536-530). המחוקק אמנם רשאי לשלול או להגביל את סמכויות השיפוט של בתי-המשפט, אך עליו לעשות כן בלשון ברורה ומפורשת, שאינה משתמעת לשתי פנים. כך במיוחד, מקום שעל הפרק שלילת ביקורת שיפוטית על החלטותיהם של גופים שלטוניים. בהקשר זה נפסק: </w:t>
      </w:r>
    </w:p>
    <w:p w:rsidR="00BB56BB" w:rsidRPr="007C3B90" w:rsidRDefault="00BB56BB" w:rsidP="00BB56BB">
      <w:pPr>
        <w:pStyle w:val="Ruller5"/>
        <w:rPr>
          <w:rtl/>
        </w:rPr>
      </w:pPr>
      <w:r w:rsidRPr="007C3B90">
        <w:rPr>
          <w:rtl/>
        </w:rPr>
        <w:br/>
      </w:r>
      <w:r w:rsidRPr="007C3B90">
        <w:rPr>
          <w:rFonts w:hint="cs"/>
          <w:rtl/>
        </w:rPr>
        <w:t>"</w:t>
      </w:r>
      <w:r w:rsidRPr="007C3B90">
        <w:rPr>
          <w:rtl/>
        </w:rPr>
        <w:t>חשיבות חוקתית וציבורית ממדרגה ראשונה נודעת לכך, ששום גוף או איש במדינה, הממלא תפקיד שיפוטי או מינהלי על-פי דין, לא יעשה שבת לעצמו ולא יהיה פטור מבקורת שיפוטית עליונה על פעולותיו ומחדליו האפשריים. הכנסת יכולה, כמובן, ל</w:t>
      </w:r>
      <w:r w:rsidRPr="007C3B90">
        <w:rPr>
          <w:rFonts w:hint="cs"/>
          <w:rtl/>
        </w:rPr>
        <w:t>ה</w:t>
      </w:r>
      <w:r w:rsidRPr="007C3B90">
        <w:rPr>
          <w:rtl/>
        </w:rPr>
        <w:t xml:space="preserve">ורות אחרת. אבל אין להניח קיומה של כוונה כזאת, אלא אם הכוונה מובעת בלשון מפורשת וחד-משמעית שאינה משאירה מקום לשום ספק. </w:t>
      </w:r>
      <w:r w:rsidRPr="007C3B90">
        <w:rPr>
          <w:rFonts w:hint="cs"/>
          <w:rtl/>
        </w:rPr>
        <w:t>[...]</w:t>
      </w:r>
      <w:r w:rsidRPr="007C3B90">
        <w:rPr>
          <w:rtl/>
        </w:rPr>
        <w:t xml:space="preserve"> בית-משפט זה מופקד על שמירת חוקיות, תקינות וסבירות פעולתן של הרשויות הציבוריות במדינה, ולתפקיד זה חשיבות חוקתית וציבורית ממדרגה ראשונה. פגיעה כל-שהיא בו עשויה לערער אחד היסודות של שלטון החוק בחיים הציבוריים של המדינה ולפגוע בציפור נפשה של הזרוע השיפוטית במדי</w:t>
      </w:r>
      <w:r w:rsidRPr="007C3B90">
        <w:rPr>
          <w:rFonts w:hint="cs"/>
          <w:rtl/>
        </w:rPr>
        <w:t xml:space="preserve">נה. </w:t>
      </w:r>
      <w:r w:rsidRPr="007C3B90">
        <w:rPr>
          <w:rFonts w:ascii="FrankRuehl" w:hAnsi="FrankRuehl"/>
          <w:color w:val="000000"/>
          <w:rtl/>
        </w:rPr>
        <w:t xml:space="preserve">אשר-על-כן, עלינו לקבוע כי כל שלילה או הגבלה על סמכות הבקורת השיפוטית של בית-המשפט הגבוה לצדק אפשרית רק על-ידי אמירה ברורה ומפורשת הבאה מפי המחוקק הריבוני </w:t>
      </w:r>
      <w:r w:rsidRPr="007C3B90">
        <w:rPr>
          <w:rFonts w:ascii="FrankRuehl" w:hAnsi="FrankRuehl"/>
          <w:color w:val="000000"/>
          <w:rtl/>
        </w:rPr>
        <w:lastRenderedPageBreak/>
        <w:t>של המדינה</w:t>
      </w:r>
      <w:r w:rsidRPr="007C3B90">
        <w:rPr>
          <w:rFonts w:hint="cs"/>
          <w:rtl/>
        </w:rPr>
        <w:t xml:space="preserve">" (בג"ץ 403/71 </w:t>
      </w:r>
      <w:r w:rsidRPr="007C3B90">
        <w:rPr>
          <w:rFonts w:ascii="Century" w:hAnsi="Century" w:cs="Miriam" w:hint="cs"/>
          <w:b/>
          <w:spacing w:val="0"/>
          <w:szCs w:val="24"/>
          <w:rtl/>
        </w:rPr>
        <w:t>אלכורדי נ' בית-הדין הארצי לעבודה</w:t>
      </w:r>
      <w:r w:rsidRPr="007C3B90">
        <w:rPr>
          <w:rFonts w:ascii="Century" w:hAnsi="Century" w:hint="cs"/>
          <w:rtl/>
        </w:rPr>
        <w:t>,</w:t>
      </w:r>
      <w:r w:rsidRPr="007C3B90">
        <w:rPr>
          <w:rFonts w:hint="cs"/>
          <w:rtl/>
        </w:rPr>
        <w:t xml:space="preserve"> פ"ד כו(2) 66, 74-73 (1972). וראו גם: עניין </w:t>
      </w:r>
      <w:r w:rsidRPr="007C3B90">
        <w:rPr>
          <w:rFonts w:ascii="Century" w:hAnsi="Century" w:cs="Miriam" w:hint="cs"/>
          <w:b/>
          <w:spacing w:val="0"/>
          <w:szCs w:val="24"/>
          <w:rtl/>
        </w:rPr>
        <w:t>הנגבי</w:t>
      </w:r>
      <w:r w:rsidRPr="007C3B90">
        <w:rPr>
          <w:rFonts w:hint="cs"/>
          <w:rtl/>
        </w:rPr>
        <w:t xml:space="preserve">, בפסקה 9 לפסק דינו של השופט </w:t>
      </w:r>
      <w:r w:rsidRPr="007C3B90">
        <w:rPr>
          <w:rFonts w:ascii="Century" w:hAnsi="Century" w:cs="Miriam" w:hint="cs"/>
          <w:b/>
          <w:spacing w:val="0"/>
          <w:szCs w:val="24"/>
          <w:rtl/>
        </w:rPr>
        <w:t>א' ריבלין</w:t>
      </w:r>
      <w:r w:rsidRPr="007C3B90">
        <w:rPr>
          <w:rFonts w:hint="cs"/>
          <w:rtl/>
        </w:rPr>
        <w:t xml:space="preserve">). </w:t>
      </w:r>
      <w:r w:rsidRPr="007C3B90">
        <w:rPr>
          <w:rtl/>
        </w:rPr>
        <w:br/>
      </w:r>
    </w:p>
    <w:p w:rsidR="00BB56BB" w:rsidRPr="007C3B90" w:rsidRDefault="00BB56BB" w:rsidP="00BB56BB">
      <w:pPr>
        <w:pStyle w:val="Ruller4"/>
        <w:numPr>
          <w:ilvl w:val="0"/>
          <w:numId w:val="0"/>
        </w:numPr>
        <w:rPr>
          <w:rtl/>
        </w:rPr>
      </w:pPr>
    </w:p>
    <w:p w:rsidR="00BB56BB" w:rsidRPr="007C3B90" w:rsidRDefault="00BB56BB" w:rsidP="00BB56BB">
      <w:pPr>
        <w:pStyle w:val="Ruller4"/>
        <w:numPr>
          <w:ilvl w:val="0"/>
          <w:numId w:val="0"/>
        </w:numPr>
      </w:pPr>
      <w:r w:rsidRPr="007C3B90">
        <w:rPr>
          <w:rtl/>
        </w:rPr>
        <w:tab/>
      </w:r>
      <w:r w:rsidRPr="007C3B90">
        <w:rPr>
          <w:rFonts w:hint="eastAsia"/>
          <w:rtl/>
        </w:rPr>
        <w:t>בענייננו</w:t>
      </w:r>
      <w:r w:rsidRPr="007C3B90">
        <w:rPr>
          <w:rFonts w:hint="cs"/>
          <w:rtl/>
        </w:rPr>
        <w:t>,</w:t>
      </w:r>
      <w:r w:rsidRPr="007C3B90">
        <w:rPr>
          <w:rtl/>
        </w:rPr>
        <w:t xml:space="preserve"> </w:t>
      </w:r>
      <w:r w:rsidRPr="007C3B90">
        <w:rPr>
          <w:rFonts w:hint="eastAsia"/>
          <w:rtl/>
        </w:rPr>
        <w:t>חזקה</w:t>
      </w:r>
      <w:r w:rsidRPr="007C3B90">
        <w:rPr>
          <w:rtl/>
        </w:rPr>
        <w:t xml:space="preserve"> </w:t>
      </w:r>
      <w:r w:rsidRPr="007C3B90">
        <w:rPr>
          <w:rFonts w:hint="eastAsia"/>
          <w:rtl/>
        </w:rPr>
        <w:t>על</w:t>
      </w:r>
      <w:r w:rsidRPr="007C3B90">
        <w:rPr>
          <w:rtl/>
        </w:rPr>
        <w:t xml:space="preserve"> </w:t>
      </w:r>
      <w:r w:rsidRPr="007C3B90">
        <w:rPr>
          <w:rFonts w:hint="eastAsia"/>
          <w:rtl/>
        </w:rPr>
        <w:t>המחוקק</w:t>
      </w:r>
      <w:r w:rsidRPr="007C3B90">
        <w:rPr>
          <w:rtl/>
        </w:rPr>
        <w:t xml:space="preserve"> </w:t>
      </w:r>
      <w:r w:rsidRPr="007C3B90">
        <w:rPr>
          <w:rFonts w:hint="eastAsia"/>
          <w:rtl/>
        </w:rPr>
        <w:t>כי</w:t>
      </w:r>
      <w:r w:rsidRPr="007C3B90">
        <w:rPr>
          <w:rtl/>
        </w:rPr>
        <w:t xml:space="preserve"> </w:t>
      </w:r>
      <w:r w:rsidRPr="007C3B90">
        <w:rPr>
          <w:rFonts w:hint="eastAsia"/>
          <w:rtl/>
        </w:rPr>
        <w:t>לא</w:t>
      </w:r>
      <w:r w:rsidRPr="007C3B90">
        <w:rPr>
          <w:rtl/>
        </w:rPr>
        <w:t xml:space="preserve"> </w:t>
      </w:r>
      <w:r w:rsidRPr="007C3B90">
        <w:rPr>
          <w:rFonts w:hint="eastAsia"/>
          <w:rtl/>
        </w:rPr>
        <w:t>נתכוון</w:t>
      </w:r>
      <w:r w:rsidRPr="007C3B90">
        <w:rPr>
          <w:rtl/>
        </w:rPr>
        <w:t xml:space="preserve"> </w:t>
      </w:r>
      <w:r w:rsidRPr="007C3B90">
        <w:rPr>
          <w:rFonts w:hint="eastAsia"/>
          <w:rtl/>
        </w:rPr>
        <w:t>לשלול</w:t>
      </w:r>
      <w:r w:rsidRPr="007C3B90">
        <w:rPr>
          <w:rtl/>
        </w:rPr>
        <w:t xml:space="preserve"> </w:t>
      </w:r>
      <w:r w:rsidRPr="007C3B90">
        <w:rPr>
          <w:rFonts w:hint="cs"/>
          <w:rtl/>
        </w:rPr>
        <w:t>מבית המשפט</w:t>
      </w:r>
      <w:r w:rsidRPr="007C3B90">
        <w:rPr>
          <w:rtl/>
        </w:rPr>
        <w:t xml:space="preserve"> </w:t>
      </w:r>
      <w:r w:rsidRPr="007C3B90">
        <w:rPr>
          <w:rFonts w:hint="eastAsia"/>
          <w:rtl/>
        </w:rPr>
        <w:t>את</w:t>
      </w:r>
      <w:r w:rsidRPr="007C3B90">
        <w:rPr>
          <w:rtl/>
        </w:rPr>
        <w:t xml:space="preserve"> </w:t>
      </w:r>
      <w:r w:rsidRPr="007C3B90">
        <w:rPr>
          <w:rFonts w:hint="eastAsia"/>
          <w:rtl/>
        </w:rPr>
        <w:t>הסמכות</w:t>
      </w:r>
      <w:r w:rsidRPr="007C3B90">
        <w:rPr>
          <w:rtl/>
        </w:rPr>
        <w:t xml:space="preserve"> </w:t>
      </w:r>
      <w:r w:rsidRPr="007C3B90">
        <w:rPr>
          <w:rFonts w:hint="eastAsia"/>
          <w:rtl/>
        </w:rPr>
        <w:t>לבקר</w:t>
      </w:r>
      <w:r w:rsidRPr="007C3B90">
        <w:rPr>
          <w:rtl/>
        </w:rPr>
        <w:t xml:space="preserve"> </w:t>
      </w:r>
      <w:r w:rsidRPr="007C3B90">
        <w:rPr>
          <w:rFonts w:hint="eastAsia"/>
          <w:rtl/>
        </w:rPr>
        <w:t>את</w:t>
      </w:r>
      <w:r w:rsidRPr="007C3B90">
        <w:rPr>
          <w:rtl/>
        </w:rPr>
        <w:t xml:space="preserve"> </w:t>
      </w:r>
      <w:r w:rsidRPr="007C3B90">
        <w:rPr>
          <w:rFonts w:hint="eastAsia"/>
          <w:rtl/>
        </w:rPr>
        <w:t>החלטות</w:t>
      </w:r>
      <w:r w:rsidRPr="007C3B90">
        <w:rPr>
          <w:rtl/>
        </w:rPr>
        <w:t xml:space="preserve"> </w:t>
      </w:r>
      <w:r w:rsidRPr="007C3B90">
        <w:rPr>
          <w:rFonts w:hint="eastAsia"/>
          <w:rtl/>
        </w:rPr>
        <w:t>הממשלה</w:t>
      </w:r>
      <w:r w:rsidRPr="007C3B90">
        <w:rPr>
          <w:rtl/>
        </w:rPr>
        <w:t xml:space="preserve"> </w:t>
      </w:r>
      <w:r w:rsidRPr="007C3B90">
        <w:rPr>
          <w:rFonts w:hint="eastAsia"/>
          <w:rtl/>
        </w:rPr>
        <w:t>ושריה</w:t>
      </w:r>
      <w:r w:rsidRPr="007C3B90">
        <w:rPr>
          <w:rtl/>
        </w:rPr>
        <w:t xml:space="preserve"> </w:t>
      </w:r>
      <w:r w:rsidRPr="007C3B90">
        <w:rPr>
          <w:rFonts w:hint="cs"/>
          <w:rtl/>
        </w:rPr>
        <w:t>מכוח</w:t>
      </w:r>
      <w:r w:rsidRPr="007C3B90">
        <w:rPr>
          <w:rtl/>
        </w:rPr>
        <w:t xml:space="preserve"> </w:t>
      </w:r>
      <w:r w:rsidRPr="007C3B90">
        <w:rPr>
          <w:rFonts w:hint="eastAsia"/>
          <w:rtl/>
        </w:rPr>
        <w:t>עילת</w:t>
      </w:r>
      <w:r w:rsidRPr="007C3B90">
        <w:rPr>
          <w:rtl/>
        </w:rPr>
        <w:t xml:space="preserve"> </w:t>
      </w:r>
      <w:r w:rsidRPr="007C3B90">
        <w:rPr>
          <w:rFonts w:hint="eastAsia"/>
          <w:rtl/>
        </w:rPr>
        <w:t>הסבירות</w:t>
      </w:r>
      <w:r w:rsidRPr="007C3B90">
        <w:rPr>
          <w:rtl/>
        </w:rPr>
        <w:t xml:space="preserve"> </w:t>
      </w:r>
      <w:r w:rsidRPr="007C3B90">
        <w:rPr>
          <w:rFonts w:hint="eastAsia"/>
          <w:rtl/>
        </w:rPr>
        <w:t>הצרה</w:t>
      </w:r>
      <w:r w:rsidRPr="007C3B90">
        <w:rPr>
          <w:rFonts w:hint="cs"/>
          <w:rtl/>
        </w:rPr>
        <w:t>, באופן המערער את יסוד שלטון החוק</w:t>
      </w:r>
      <w:r w:rsidRPr="007C3B90">
        <w:rPr>
          <w:rtl/>
        </w:rPr>
        <w:t xml:space="preserve">. </w:t>
      </w:r>
      <w:r w:rsidRPr="007C3B90">
        <w:rPr>
          <w:rFonts w:hint="eastAsia"/>
          <w:rtl/>
        </w:rPr>
        <w:t>חזקה</w:t>
      </w:r>
      <w:r w:rsidRPr="007C3B90">
        <w:rPr>
          <w:rtl/>
        </w:rPr>
        <w:t xml:space="preserve"> </w:t>
      </w:r>
      <w:r w:rsidRPr="007C3B90">
        <w:rPr>
          <w:rFonts w:hint="eastAsia"/>
          <w:rtl/>
        </w:rPr>
        <w:t>זו</w:t>
      </w:r>
      <w:r w:rsidRPr="007C3B90">
        <w:rPr>
          <w:rtl/>
        </w:rPr>
        <w:t xml:space="preserve"> </w:t>
      </w:r>
      <w:r w:rsidRPr="007C3B90">
        <w:rPr>
          <w:rFonts w:hint="eastAsia"/>
          <w:rtl/>
        </w:rPr>
        <w:t>ניתנת</w:t>
      </w:r>
      <w:r w:rsidRPr="007C3B90">
        <w:rPr>
          <w:rtl/>
        </w:rPr>
        <w:t xml:space="preserve"> </w:t>
      </w:r>
      <w:r w:rsidRPr="007C3B90">
        <w:rPr>
          <w:rFonts w:hint="eastAsia"/>
          <w:rtl/>
        </w:rPr>
        <w:t>לסתירה</w:t>
      </w:r>
      <w:r w:rsidRPr="007C3B90">
        <w:rPr>
          <w:rFonts w:hint="cs"/>
          <w:rtl/>
        </w:rPr>
        <w:t>, כאמור,</w:t>
      </w:r>
      <w:r w:rsidRPr="007C3B90">
        <w:rPr>
          <w:rtl/>
        </w:rPr>
        <w:t xml:space="preserve"> </w:t>
      </w:r>
      <w:r w:rsidRPr="007C3B90">
        <w:rPr>
          <w:rFonts w:hint="eastAsia"/>
          <w:rtl/>
        </w:rPr>
        <w:t>רק</w:t>
      </w:r>
      <w:r w:rsidRPr="007C3B90">
        <w:rPr>
          <w:rtl/>
        </w:rPr>
        <w:t xml:space="preserve"> </w:t>
      </w:r>
      <w:r w:rsidRPr="007C3B90">
        <w:rPr>
          <w:rFonts w:ascii="Century" w:hAnsi="Century" w:hint="eastAsia"/>
          <w:rtl/>
        </w:rPr>
        <w:t>בלשון</w:t>
      </w:r>
      <w:r w:rsidRPr="007C3B90">
        <w:rPr>
          <w:rFonts w:ascii="Century" w:hAnsi="Century"/>
          <w:rtl/>
        </w:rPr>
        <w:t xml:space="preserve"> </w:t>
      </w:r>
      <w:r w:rsidRPr="007C3B90">
        <w:rPr>
          <w:rFonts w:ascii="Century" w:hAnsi="Century" w:hint="eastAsia"/>
          <w:rtl/>
        </w:rPr>
        <w:t>מפורש</w:t>
      </w:r>
      <w:r w:rsidRPr="007C3B90">
        <w:rPr>
          <w:rFonts w:ascii="Century" w:hAnsi="Century" w:hint="cs"/>
          <w:rtl/>
        </w:rPr>
        <w:t>ת</w:t>
      </w:r>
      <w:r w:rsidRPr="007C3B90">
        <w:rPr>
          <w:rFonts w:ascii="Century" w:hAnsi="Century"/>
          <w:rtl/>
        </w:rPr>
        <w:t xml:space="preserve"> </w:t>
      </w:r>
      <w:r w:rsidRPr="007C3B90">
        <w:rPr>
          <w:rFonts w:ascii="Century" w:hAnsi="Century" w:hint="cs"/>
          <w:rtl/>
        </w:rPr>
        <w:t xml:space="preserve">וחד-משמעית, </w:t>
      </w:r>
      <w:r w:rsidRPr="007C3B90">
        <w:rPr>
          <w:rFonts w:ascii="Century" w:hAnsi="Century" w:hint="eastAsia"/>
          <w:rtl/>
        </w:rPr>
        <w:t>שאינה</w:t>
      </w:r>
      <w:r w:rsidRPr="007C3B90">
        <w:rPr>
          <w:rFonts w:ascii="Century" w:hAnsi="Century"/>
          <w:rtl/>
        </w:rPr>
        <w:t xml:space="preserve"> </w:t>
      </w:r>
      <w:r w:rsidRPr="007C3B90">
        <w:rPr>
          <w:rFonts w:ascii="Century" w:hAnsi="Century" w:hint="eastAsia"/>
          <w:rtl/>
        </w:rPr>
        <w:t>משאירה</w:t>
      </w:r>
      <w:r w:rsidRPr="007C3B90">
        <w:rPr>
          <w:rFonts w:ascii="Century" w:hAnsi="Century"/>
          <w:rtl/>
        </w:rPr>
        <w:t xml:space="preserve"> </w:t>
      </w:r>
      <w:r w:rsidRPr="007C3B90">
        <w:rPr>
          <w:rFonts w:ascii="Century" w:hAnsi="Century" w:hint="eastAsia"/>
          <w:rtl/>
        </w:rPr>
        <w:t>מקום</w:t>
      </w:r>
      <w:r w:rsidRPr="007C3B90">
        <w:rPr>
          <w:rFonts w:ascii="Century" w:hAnsi="Century"/>
          <w:rtl/>
        </w:rPr>
        <w:t xml:space="preserve"> </w:t>
      </w:r>
      <w:r w:rsidRPr="007C3B90">
        <w:rPr>
          <w:rFonts w:ascii="Century" w:hAnsi="Century" w:hint="eastAsia"/>
          <w:rtl/>
        </w:rPr>
        <w:t>ל</w:t>
      </w:r>
      <w:r w:rsidRPr="007C3B90">
        <w:rPr>
          <w:rFonts w:ascii="Century" w:hAnsi="Century" w:hint="cs"/>
          <w:rtl/>
        </w:rPr>
        <w:t xml:space="preserve">שום </w:t>
      </w:r>
      <w:r w:rsidRPr="007C3B90">
        <w:rPr>
          <w:rFonts w:ascii="Century" w:hAnsi="Century" w:hint="eastAsia"/>
          <w:rtl/>
        </w:rPr>
        <w:t>ספק</w:t>
      </w:r>
      <w:r w:rsidRPr="007C3B90">
        <w:rPr>
          <w:rtl/>
        </w:rPr>
        <w:t xml:space="preserve">. </w:t>
      </w:r>
      <w:r w:rsidRPr="007C3B90">
        <w:rPr>
          <w:rFonts w:hint="eastAsia"/>
          <w:rtl/>
        </w:rPr>
        <w:t>לטעמי</w:t>
      </w:r>
      <w:r w:rsidRPr="007C3B90">
        <w:rPr>
          <w:rtl/>
        </w:rPr>
        <w:t xml:space="preserve">, </w:t>
      </w:r>
      <w:r w:rsidRPr="007C3B90">
        <w:rPr>
          <w:rFonts w:hint="eastAsia"/>
          <w:rtl/>
        </w:rPr>
        <w:t>לשון</w:t>
      </w:r>
      <w:r w:rsidRPr="007C3B90">
        <w:rPr>
          <w:rtl/>
        </w:rPr>
        <w:t xml:space="preserve"> </w:t>
      </w:r>
      <w:r w:rsidRPr="007C3B90">
        <w:rPr>
          <w:rFonts w:hint="eastAsia"/>
          <w:rtl/>
        </w:rPr>
        <w:t>התיקון</w:t>
      </w:r>
      <w:r w:rsidRPr="007C3B90">
        <w:rPr>
          <w:rtl/>
        </w:rPr>
        <w:t xml:space="preserve"> </w:t>
      </w:r>
      <w:r w:rsidRPr="007C3B90">
        <w:rPr>
          <w:rFonts w:hint="eastAsia"/>
          <w:rtl/>
        </w:rPr>
        <w:t>המתייחסת</w:t>
      </w:r>
      <w:r w:rsidRPr="007C3B90">
        <w:rPr>
          <w:rtl/>
        </w:rPr>
        <w:t xml:space="preserve"> </w:t>
      </w:r>
      <w:r w:rsidRPr="007C3B90">
        <w:rPr>
          <w:rFonts w:hint="eastAsia"/>
          <w:rtl/>
        </w:rPr>
        <w:t>באופן</w:t>
      </w:r>
      <w:r w:rsidRPr="007C3B90">
        <w:rPr>
          <w:rtl/>
        </w:rPr>
        <w:t xml:space="preserve"> </w:t>
      </w:r>
      <w:r w:rsidRPr="007C3B90">
        <w:rPr>
          <w:rFonts w:hint="eastAsia"/>
          <w:rtl/>
        </w:rPr>
        <w:t>כללי</w:t>
      </w:r>
      <w:r w:rsidRPr="007C3B90">
        <w:rPr>
          <w:rtl/>
        </w:rPr>
        <w:t xml:space="preserve"> </w:t>
      </w:r>
      <w:r w:rsidRPr="007C3B90">
        <w:rPr>
          <w:rFonts w:hint="eastAsia"/>
          <w:rtl/>
        </w:rPr>
        <w:t>ל</w:t>
      </w:r>
      <w:r w:rsidRPr="007C3B90">
        <w:rPr>
          <w:rtl/>
        </w:rPr>
        <w:t>"</w:t>
      </w:r>
      <w:r w:rsidRPr="007C3B90">
        <w:rPr>
          <w:rFonts w:hint="eastAsia"/>
          <w:rtl/>
        </w:rPr>
        <w:t>סבירות</w:t>
      </w:r>
      <w:r w:rsidRPr="007C3B90">
        <w:rPr>
          <w:rtl/>
        </w:rPr>
        <w:t xml:space="preserve"> </w:t>
      </w:r>
      <w:r w:rsidRPr="007C3B90">
        <w:rPr>
          <w:rFonts w:hint="eastAsia"/>
          <w:rtl/>
        </w:rPr>
        <w:t>ההחלטה</w:t>
      </w:r>
      <w:r w:rsidRPr="007C3B90">
        <w:rPr>
          <w:rtl/>
        </w:rPr>
        <w:t xml:space="preserve">" </w:t>
      </w:r>
      <w:r w:rsidRPr="007C3B90">
        <w:rPr>
          <w:rFonts w:hint="eastAsia"/>
          <w:rtl/>
        </w:rPr>
        <w:t>מבלי</w:t>
      </w:r>
      <w:r w:rsidRPr="007C3B90">
        <w:rPr>
          <w:rtl/>
        </w:rPr>
        <w:t xml:space="preserve"> </w:t>
      </w:r>
      <w:r w:rsidRPr="007C3B90">
        <w:rPr>
          <w:rFonts w:hint="eastAsia"/>
          <w:rtl/>
        </w:rPr>
        <w:t>להגדירה</w:t>
      </w:r>
      <w:r w:rsidRPr="007C3B90">
        <w:rPr>
          <w:rtl/>
        </w:rPr>
        <w:t xml:space="preserve">, </w:t>
      </w:r>
      <w:r w:rsidRPr="007C3B90">
        <w:rPr>
          <w:rFonts w:hint="eastAsia"/>
          <w:rtl/>
        </w:rPr>
        <w:t>אינה</w:t>
      </w:r>
      <w:r w:rsidRPr="007C3B90">
        <w:rPr>
          <w:rtl/>
        </w:rPr>
        <w:t xml:space="preserve"> </w:t>
      </w:r>
      <w:r w:rsidRPr="007C3B90">
        <w:rPr>
          <w:rFonts w:hint="eastAsia"/>
          <w:rtl/>
        </w:rPr>
        <w:t>עונה</w:t>
      </w:r>
      <w:r w:rsidRPr="007C3B90">
        <w:rPr>
          <w:rtl/>
        </w:rPr>
        <w:t xml:space="preserve"> </w:t>
      </w:r>
      <w:r w:rsidRPr="007C3B90">
        <w:rPr>
          <w:rFonts w:hint="eastAsia"/>
          <w:rtl/>
        </w:rPr>
        <w:t>על</w:t>
      </w:r>
      <w:r w:rsidRPr="007C3B90">
        <w:rPr>
          <w:rtl/>
        </w:rPr>
        <w:t xml:space="preserve"> </w:t>
      </w:r>
      <w:r w:rsidRPr="007C3B90">
        <w:rPr>
          <w:rFonts w:hint="cs"/>
          <w:rtl/>
        </w:rPr>
        <w:t xml:space="preserve">דרישה זו. </w:t>
      </w:r>
      <w:r w:rsidRPr="007C3B90">
        <w:rPr>
          <w:rtl/>
        </w:rPr>
        <w:br/>
      </w:r>
    </w:p>
    <w:p w:rsidR="00BB56BB" w:rsidRPr="007C3B90" w:rsidRDefault="00BB56BB" w:rsidP="00BB56BB">
      <w:pPr>
        <w:pStyle w:val="Ruller4"/>
        <w:rPr>
          <w:rtl/>
        </w:rPr>
      </w:pPr>
      <w:r w:rsidRPr="007C3B90">
        <w:rPr>
          <w:rFonts w:hint="cs"/>
          <w:rtl/>
        </w:rPr>
        <w:t xml:space="preserve">המסקנה שלפיה יש לפרש את התיקון באופן מצמצם, יכולה להיגזר גם מן הכלל הפרשני בדבר פרשנות מקיימת. כלל זה, שנקבע לגבי חקיקה "רגילה", קובע כי עדיפה פרשנות מקיימת, ככל שזו אפשרית וסבירה, על פני פרשנות שמתחייבת ממנה מסקנה בדבר אי-חוקתיות החוק העשויה להביא לביטולו (עניין </w:t>
      </w:r>
      <w:r w:rsidRPr="007C3B90">
        <w:rPr>
          <w:rFonts w:ascii="Century" w:hAnsi="Century" w:cs="Miriam" w:hint="cs"/>
          <w:b/>
          <w:spacing w:val="0"/>
          <w:szCs w:val="24"/>
          <w:rtl/>
        </w:rPr>
        <w:t>חוק הלאום</w:t>
      </w:r>
      <w:r w:rsidRPr="007C3B90">
        <w:rPr>
          <w:rFonts w:hint="cs"/>
          <w:rtl/>
        </w:rPr>
        <w:t xml:space="preserve">, בפסקה 9 לפסק דינו של השופט </w:t>
      </w:r>
      <w:r w:rsidRPr="007C3B90">
        <w:rPr>
          <w:rFonts w:ascii="Century" w:hAnsi="Century" w:cs="Miriam" w:hint="eastAsia"/>
          <w:b/>
          <w:spacing w:val="0"/>
          <w:szCs w:val="24"/>
          <w:rtl/>
        </w:rPr>
        <w:t>ע</w:t>
      </w:r>
      <w:r w:rsidRPr="007C3B90">
        <w:rPr>
          <w:rFonts w:ascii="Century" w:hAnsi="Century" w:cs="Miriam"/>
          <w:b/>
          <w:spacing w:val="0"/>
          <w:szCs w:val="24"/>
          <w:rtl/>
        </w:rPr>
        <w:t xml:space="preserve">' </w:t>
      </w:r>
      <w:r w:rsidRPr="007C3B90">
        <w:rPr>
          <w:rFonts w:ascii="Century" w:hAnsi="Century" w:cs="Miriam" w:hint="eastAsia"/>
          <w:b/>
          <w:spacing w:val="0"/>
          <w:szCs w:val="24"/>
          <w:rtl/>
        </w:rPr>
        <w:t>פוגלמן</w:t>
      </w:r>
      <w:r w:rsidRPr="007C3B90">
        <w:rPr>
          <w:rFonts w:hint="cs"/>
          <w:rtl/>
        </w:rPr>
        <w:t>, והאסמכתאות שם). הכלל האמור חל, בשינויים המחויבים, גם לגבי חוקי יסוד (</w:t>
      </w:r>
      <w:r w:rsidRPr="007C3B90">
        <w:rPr>
          <w:rFonts w:ascii="Century" w:hAnsi="Century" w:cs="Miriam" w:hint="cs"/>
          <w:b/>
          <w:spacing w:val="0"/>
          <w:szCs w:val="24"/>
          <w:rtl/>
        </w:rPr>
        <w:t>שם</w:t>
      </w:r>
      <w:r w:rsidRPr="007C3B90">
        <w:rPr>
          <w:rFonts w:ascii="Century" w:hAnsi="Century" w:hint="cs"/>
          <w:rtl/>
        </w:rPr>
        <w:t>,</w:t>
      </w:r>
      <w:r w:rsidRPr="007C3B90">
        <w:rPr>
          <w:rFonts w:hint="cs"/>
          <w:rtl/>
        </w:rPr>
        <w:t xml:space="preserve"> בפסקה 59 לפסק דינה של הנשיאה </w:t>
      </w:r>
      <w:r w:rsidRPr="007C3B90">
        <w:rPr>
          <w:rFonts w:ascii="Century" w:hAnsi="Century" w:cs="Miriam" w:hint="cs"/>
          <w:b/>
          <w:spacing w:val="0"/>
          <w:szCs w:val="24"/>
          <w:rtl/>
        </w:rPr>
        <w:t>א' חיות</w:t>
      </w:r>
      <w:r w:rsidRPr="007C3B90">
        <w:rPr>
          <w:rFonts w:hint="cs"/>
          <w:rtl/>
        </w:rPr>
        <w:t>), ואף חל ביתר שאת, בשים לב לחריגותו הקיצונית של סעד המורה על ביטול חוק</w:t>
      </w:r>
      <w:r>
        <w:rPr>
          <w:rFonts w:hint="cs"/>
          <w:rtl/>
        </w:rPr>
        <w:t xml:space="preserve"> </w:t>
      </w:r>
      <w:r w:rsidRPr="007C3B90">
        <w:rPr>
          <w:rFonts w:hint="cs"/>
          <w:rtl/>
        </w:rPr>
        <w:t xml:space="preserve">יסוד. בהקשר זה, משנמצא כי הפרשנות המרחיבה, ולפיה התיקון מונע ביקורת שיפוטית גם בעילה של סבירות צרה, מעורר קשיים חוקתיים בהיבט של עקרון שלטון החוק </w:t>
      </w:r>
      <w:r w:rsidRPr="007C3B90">
        <w:rPr>
          <w:rtl/>
        </w:rPr>
        <w:t>–</w:t>
      </w:r>
      <w:r w:rsidRPr="007C3B90">
        <w:rPr>
          <w:rFonts w:hint="cs"/>
          <w:rtl/>
        </w:rPr>
        <w:t xml:space="preserve"> ומבלי צורך להכריע בשאלה אם דינו של התיקון, בפרשנותו המרחיבה, היה בטלות </w:t>
      </w:r>
      <w:r w:rsidRPr="007C3B90">
        <w:rPr>
          <w:rtl/>
        </w:rPr>
        <w:t>–</w:t>
      </w:r>
      <w:r w:rsidRPr="007C3B90">
        <w:rPr>
          <w:rFonts w:hint="cs"/>
          <w:rtl/>
        </w:rPr>
        <w:t xml:space="preserve"> יש בכך, לטעמי, משום טעם נוסף להעדפתה של הפרשנות המצמצמת. </w:t>
      </w:r>
      <w:r w:rsidRPr="007C3B90">
        <w:rPr>
          <w:rFonts w:hint="eastAsia"/>
          <w:rtl/>
        </w:rPr>
        <w:t>להשקפתי</w:t>
      </w:r>
      <w:r w:rsidRPr="007C3B90">
        <w:rPr>
          <w:rtl/>
        </w:rPr>
        <w:t xml:space="preserve">, </w:t>
      </w:r>
      <w:r w:rsidRPr="007C3B90">
        <w:rPr>
          <w:rFonts w:hint="eastAsia"/>
          <w:rtl/>
        </w:rPr>
        <w:t>פרשנות</w:t>
      </w:r>
      <w:r w:rsidRPr="007C3B90">
        <w:rPr>
          <w:rtl/>
        </w:rPr>
        <w:t xml:space="preserve"> </w:t>
      </w:r>
      <w:r w:rsidRPr="007C3B90">
        <w:rPr>
          <w:rFonts w:hint="eastAsia"/>
          <w:rtl/>
        </w:rPr>
        <w:t>מצמצמת</w:t>
      </w:r>
      <w:r w:rsidRPr="007C3B90">
        <w:rPr>
          <w:rtl/>
        </w:rPr>
        <w:t xml:space="preserve"> </w:t>
      </w:r>
      <w:r w:rsidRPr="007C3B90">
        <w:rPr>
          <w:rFonts w:hint="eastAsia"/>
          <w:rtl/>
        </w:rPr>
        <w:t>כזו</w:t>
      </w:r>
      <w:r w:rsidRPr="007C3B90">
        <w:rPr>
          <w:rFonts w:hint="cs"/>
          <w:rtl/>
        </w:rPr>
        <w:t xml:space="preserve">, </w:t>
      </w:r>
      <w:r w:rsidRPr="007C3B90">
        <w:rPr>
          <w:rFonts w:hint="eastAsia"/>
          <w:rtl/>
        </w:rPr>
        <w:t>המונעת</w:t>
      </w:r>
      <w:r w:rsidRPr="007C3B90">
        <w:rPr>
          <w:rtl/>
        </w:rPr>
        <w:t xml:space="preserve"> </w:t>
      </w:r>
      <w:r w:rsidRPr="007C3B90">
        <w:rPr>
          <w:rFonts w:hint="eastAsia"/>
          <w:rtl/>
        </w:rPr>
        <w:t>שימוש</w:t>
      </w:r>
      <w:r w:rsidRPr="007C3B90">
        <w:rPr>
          <w:rtl/>
        </w:rPr>
        <w:t xml:space="preserve"> </w:t>
      </w:r>
      <w:r w:rsidRPr="007C3B90">
        <w:rPr>
          <w:rFonts w:hint="eastAsia"/>
          <w:rtl/>
        </w:rPr>
        <w:t>אפשרי</w:t>
      </w:r>
      <w:r w:rsidRPr="007C3B90">
        <w:rPr>
          <w:rtl/>
        </w:rPr>
        <w:t xml:space="preserve"> </w:t>
      </w:r>
      <w:r w:rsidRPr="007C3B90">
        <w:rPr>
          <w:rFonts w:hint="eastAsia"/>
          <w:rtl/>
        </w:rPr>
        <w:t>ב</w:t>
      </w:r>
      <w:r w:rsidRPr="007C3B90">
        <w:rPr>
          <w:rtl/>
        </w:rPr>
        <w:t>"</w:t>
      </w:r>
      <w:r w:rsidRPr="007C3B90">
        <w:rPr>
          <w:rFonts w:hint="eastAsia"/>
          <w:rtl/>
        </w:rPr>
        <w:t>נשק</w:t>
      </w:r>
      <w:r w:rsidRPr="007C3B90">
        <w:rPr>
          <w:rtl/>
        </w:rPr>
        <w:t xml:space="preserve"> </w:t>
      </w:r>
      <w:r w:rsidRPr="007C3B90">
        <w:rPr>
          <w:rFonts w:hint="eastAsia"/>
          <w:rtl/>
        </w:rPr>
        <w:t>יום</w:t>
      </w:r>
      <w:r w:rsidRPr="007C3B90">
        <w:rPr>
          <w:rtl/>
        </w:rPr>
        <w:t xml:space="preserve"> </w:t>
      </w:r>
      <w:r w:rsidRPr="007C3B90">
        <w:rPr>
          <w:rFonts w:hint="eastAsia"/>
          <w:rtl/>
        </w:rPr>
        <w:t>הדין</w:t>
      </w:r>
      <w:r w:rsidRPr="007C3B90">
        <w:rPr>
          <w:rtl/>
        </w:rPr>
        <w:t xml:space="preserve">" </w:t>
      </w:r>
      <w:r w:rsidRPr="007C3B90">
        <w:rPr>
          <w:rFonts w:hint="eastAsia"/>
          <w:rtl/>
        </w:rPr>
        <w:t>של</w:t>
      </w:r>
      <w:r w:rsidRPr="007C3B90">
        <w:rPr>
          <w:rtl/>
        </w:rPr>
        <w:t xml:space="preserve"> </w:t>
      </w:r>
      <w:r w:rsidRPr="007C3B90">
        <w:rPr>
          <w:rFonts w:hint="eastAsia"/>
          <w:rtl/>
        </w:rPr>
        <w:t>פסילת</w:t>
      </w:r>
      <w:r w:rsidRPr="007C3B90">
        <w:rPr>
          <w:rtl/>
        </w:rPr>
        <w:t xml:space="preserve"> </w:t>
      </w:r>
      <w:r w:rsidRPr="007C3B90">
        <w:rPr>
          <w:rFonts w:hint="eastAsia"/>
          <w:rtl/>
        </w:rPr>
        <w:t>חוק</w:t>
      </w:r>
      <w:r w:rsidRPr="007C3B90">
        <w:rPr>
          <w:rtl/>
        </w:rPr>
        <w:t xml:space="preserve"> </w:t>
      </w:r>
      <w:r w:rsidRPr="007C3B90">
        <w:rPr>
          <w:rFonts w:hint="eastAsia"/>
          <w:rtl/>
        </w:rPr>
        <w:t>יסוד</w:t>
      </w:r>
      <w:r w:rsidRPr="007C3B90">
        <w:rPr>
          <w:rtl/>
        </w:rPr>
        <w:t xml:space="preserve">, </w:t>
      </w:r>
      <w:r w:rsidRPr="007C3B90">
        <w:rPr>
          <w:rFonts w:hint="eastAsia"/>
          <w:rtl/>
        </w:rPr>
        <w:t>מכבדת</w:t>
      </w:r>
      <w:r w:rsidRPr="007C3B90">
        <w:rPr>
          <w:rtl/>
        </w:rPr>
        <w:t xml:space="preserve"> </w:t>
      </w:r>
      <w:r w:rsidRPr="007C3B90">
        <w:rPr>
          <w:rFonts w:hint="cs"/>
          <w:rtl/>
        </w:rPr>
        <w:t xml:space="preserve">יותר </w:t>
      </w:r>
      <w:r w:rsidRPr="007C3B90">
        <w:rPr>
          <w:rFonts w:hint="eastAsia"/>
          <w:rtl/>
        </w:rPr>
        <w:t>את</w:t>
      </w:r>
      <w:r w:rsidRPr="007C3B90">
        <w:rPr>
          <w:rtl/>
        </w:rPr>
        <w:t xml:space="preserve"> </w:t>
      </w:r>
      <w:r w:rsidRPr="007C3B90">
        <w:rPr>
          <w:rFonts w:hint="eastAsia"/>
          <w:rtl/>
        </w:rPr>
        <w:t>ריבונותה</w:t>
      </w:r>
      <w:r w:rsidRPr="007C3B90">
        <w:rPr>
          <w:rtl/>
        </w:rPr>
        <w:t xml:space="preserve"> </w:t>
      </w:r>
      <w:r w:rsidRPr="007C3B90">
        <w:rPr>
          <w:rFonts w:hint="eastAsia"/>
          <w:rtl/>
        </w:rPr>
        <w:t>של</w:t>
      </w:r>
      <w:r w:rsidRPr="007C3B90">
        <w:rPr>
          <w:rtl/>
        </w:rPr>
        <w:t xml:space="preserve"> </w:t>
      </w:r>
      <w:r w:rsidRPr="007C3B90">
        <w:rPr>
          <w:rFonts w:hint="eastAsia"/>
          <w:rtl/>
        </w:rPr>
        <w:t>הכנסת</w:t>
      </w:r>
      <w:r w:rsidRPr="007C3B90">
        <w:rPr>
          <w:rFonts w:hint="cs"/>
          <w:rtl/>
        </w:rPr>
        <w:t>,</w:t>
      </w:r>
      <w:r w:rsidRPr="007C3B90">
        <w:rPr>
          <w:rtl/>
        </w:rPr>
        <w:t xml:space="preserve"> </w:t>
      </w:r>
      <w:r w:rsidRPr="007C3B90">
        <w:rPr>
          <w:rFonts w:hint="eastAsia"/>
          <w:rtl/>
        </w:rPr>
        <w:t>מ</w:t>
      </w:r>
      <w:r>
        <w:rPr>
          <w:rFonts w:hint="cs"/>
          <w:rtl/>
        </w:rPr>
        <w:t xml:space="preserve">אשר </w:t>
      </w:r>
      <w:r w:rsidRPr="007C3B90">
        <w:rPr>
          <w:rFonts w:hint="eastAsia"/>
          <w:rtl/>
        </w:rPr>
        <w:t>היצמדות</w:t>
      </w:r>
      <w:r w:rsidRPr="007C3B90">
        <w:rPr>
          <w:rtl/>
        </w:rPr>
        <w:t xml:space="preserve"> </w:t>
      </w:r>
      <w:r w:rsidRPr="007C3B90">
        <w:rPr>
          <w:rFonts w:hint="eastAsia"/>
          <w:rtl/>
        </w:rPr>
        <w:t>לתכלית</w:t>
      </w:r>
      <w:r w:rsidRPr="007C3B90">
        <w:rPr>
          <w:rFonts w:hint="cs"/>
          <w:rtl/>
        </w:rPr>
        <w:t>ו ה</w:t>
      </w:r>
      <w:r w:rsidRPr="007C3B90">
        <w:rPr>
          <w:rFonts w:hint="eastAsia"/>
          <w:rtl/>
        </w:rPr>
        <w:t>סובייקטיבי</w:t>
      </w:r>
      <w:r w:rsidRPr="007C3B90">
        <w:rPr>
          <w:rFonts w:hint="cs"/>
          <w:rtl/>
        </w:rPr>
        <w:t xml:space="preserve">ת </w:t>
      </w:r>
      <w:r w:rsidRPr="007C3B90">
        <w:rPr>
          <w:rFonts w:hint="eastAsia"/>
          <w:rtl/>
        </w:rPr>
        <w:t>של</w:t>
      </w:r>
      <w:r w:rsidRPr="007C3B90">
        <w:rPr>
          <w:rtl/>
        </w:rPr>
        <w:t xml:space="preserve"> </w:t>
      </w:r>
      <w:r w:rsidRPr="007C3B90">
        <w:rPr>
          <w:rFonts w:hint="eastAsia"/>
          <w:rtl/>
        </w:rPr>
        <w:t>החוק</w:t>
      </w:r>
      <w:r w:rsidRPr="007C3B90">
        <w:rPr>
          <w:rFonts w:hint="cs"/>
          <w:rtl/>
        </w:rPr>
        <w:t>,</w:t>
      </w:r>
      <w:r w:rsidRPr="007C3B90">
        <w:rPr>
          <w:rtl/>
        </w:rPr>
        <w:t xml:space="preserve"> </w:t>
      </w:r>
      <w:r w:rsidRPr="007C3B90">
        <w:rPr>
          <w:rFonts w:hint="cs"/>
          <w:rtl/>
        </w:rPr>
        <w:t>ה</w:t>
      </w:r>
      <w:r w:rsidRPr="007C3B90">
        <w:rPr>
          <w:rFonts w:hint="eastAsia"/>
          <w:rtl/>
        </w:rPr>
        <w:t>עשויה</w:t>
      </w:r>
      <w:r w:rsidRPr="007C3B90">
        <w:rPr>
          <w:rtl/>
        </w:rPr>
        <w:t xml:space="preserve"> </w:t>
      </w:r>
      <w:r w:rsidRPr="007C3B90">
        <w:rPr>
          <w:rFonts w:hint="eastAsia"/>
          <w:rtl/>
        </w:rPr>
        <w:t>לה</w:t>
      </w:r>
      <w:r w:rsidRPr="007C3B90">
        <w:rPr>
          <w:rFonts w:hint="cs"/>
          <w:rtl/>
        </w:rPr>
        <w:t>וביל</w:t>
      </w:r>
      <w:r w:rsidRPr="007C3B90">
        <w:rPr>
          <w:rtl/>
        </w:rPr>
        <w:t xml:space="preserve"> </w:t>
      </w:r>
      <w:r w:rsidRPr="007C3B90">
        <w:rPr>
          <w:rFonts w:hint="eastAsia"/>
          <w:rtl/>
        </w:rPr>
        <w:t>לביטול</w:t>
      </w:r>
      <w:r w:rsidRPr="007C3B90">
        <w:rPr>
          <w:rFonts w:hint="cs"/>
          <w:rtl/>
        </w:rPr>
        <w:t xml:space="preserve"> מעשי חקיקה שיצאו מלפניה</w:t>
      </w:r>
      <w:r w:rsidRPr="007C3B90">
        <w:rPr>
          <w:rtl/>
        </w:rPr>
        <w:t>.</w:t>
      </w:r>
      <w:r w:rsidRPr="007C3B90">
        <w:rPr>
          <w:rFonts w:hint="cs"/>
          <w:rtl/>
        </w:rPr>
        <w:t xml:space="preserve"> </w:t>
      </w:r>
    </w:p>
    <w:p w:rsidR="00BB56BB" w:rsidRPr="007C3B90" w:rsidRDefault="00BB56BB" w:rsidP="00BB56BB">
      <w:pPr>
        <w:pStyle w:val="Ruller4"/>
        <w:numPr>
          <w:ilvl w:val="0"/>
          <w:numId w:val="0"/>
        </w:numPr>
      </w:pPr>
    </w:p>
    <w:p w:rsidR="00BB56BB" w:rsidRPr="007C3B90" w:rsidRDefault="00BB56BB" w:rsidP="00BB56BB">
      <w:pPr>
        <w:pStyle w:val="Ruller4"/>
      </w:pPr>
      <w:r w:rsidRPr="007C3B90">
        <w:rPr>
          <w:rFonts w:hint="cs"/>
          <w:rtl/>
        </w:rPr>
        <w:t xml:space="preserve">ולבסוף, בסיס נוסף ושונה התומך בפרשנות מצמצמת, מצוי לגישתי באפשרות הרואה בסטנדרט הסבירות של מופרכות, כפי שנהג קודם לעניין </w:t>
      </w:r>
      <w:r w:rsidRPr="007C3B90">
        <w:rPr>
          <w:rFonts w:ascii="Century" w:hAnsi="Century" w:cs="Miriam" w:hint="cs"/>
          <w:b/>
          <w:spacing w:val="0"/>
          <w:sz w:val="22"/>
          <w:szCs w:val="24"/>
          <w:rtl/>
        </w:rPr>
        <w:t>דפי זהב</w:t>
      </w:r>
      <w:r w:rsidRPr="007C3B90">
        <w:rPr>
          <w:rFonts w:hint="cs"/>
          <w:rtl/>
        </w:rPr>
        <w:t xml:space="preserve">, נגזרת של עילת חוסר הסמכות או עילת השרירות </w:t>
      </w:r>
      <w:r w:rsidRPr="007C3B90">
        <w:rPr>
          <w:rtl/>
        </w:rPr>
        <w:t>–</w:t>
      </w:r>
      <w:r w:rsidRPr="007C3B90">
        <w:rPr>
          <w:rFonts w:hint="cs"/>
          <w:rtl/>
        </w:rPr>
        <w:t xml:space="preserve"> ולא חלק מעילת הסבירות כמובנה בארבעת העשורים האחרונים. כזכור, השימוש בסטנדרט המופרכות נקשר עוד מראשיתו בעילת חוסר הסמכות, במובן זה שהחלטה שענתה על סטנדרט קיצוני זה, נחשבה להחלטה שניתנה בחוסר סמכות. כך, ציין השופט </w:t>
      </w:r>
      <w:r w:rsidRPr="007C3B90">
        <w:rPr>
          <w:rFonts w:ascii="Century" w:hAnsi="Century" w:cs="Miriam" w:hint="cs"/>
          <w:b/>
          <w:spacing w:val="0"/>
          <w:sz w:val="22"/>
          <w:szCs w:val="24"/>
          <w:rtl/>
        </w:rPr>
        <w:t>צ' ברנזון</w:t>
      </w:r>
      <w:r w:rsidRPr="007C3B90">
        <w:rPr>
          <w:rFonts w:hint="cs"/>
          <w:rtl/>
        </w:rPr>
        <w:t xml:space="preserve"> בפסק הדין המנחה בעניין </w:t>
      </w:r>
      <w:r w:rsidRPr="007C3B90">
        <w:rPr>
          <w:rFonts w:ascii="Century" w:hAnsi="Century" w:cs="Miriam" w:hint="cs"/>
          <w:b/>
          <w:spacing w:val="0"/>
          <w:sz w:val="22"/>
          <w:szCs w:val="24"/>
          <w:rtl/>
        </w:rPr>
        <w:t>דיזנגוף</w:t>
      </w:r>
      <w:r w:rsidRPr="007C3B90">
        <w:rPr>
          <w:rFonts w:hint="cs"/>
          <w:rtl/>
        </w:rPr>
        <w:t xml:space="preserve"> כי </w:t>
      </w:r>
      <w:r w:rsidRPr="007C3B90">
        <w:rPr>
          <w:rFonts w:ascii="Century" w:hAnsi="Century" w:cs="Miriam"/>
          <w:b/>
          <w:spacing w:val="0"/>
          <w:sz w:val="22"/>
          <w:szCs w:val="24"/>
          <w:rtl/>
        </w:rPr>
        <w:t>"</w:t>
      </w:r>
      <w:r w:rsidRPr="007C3B90">
        <w:rPr>
          <w:rFonts w:ascii="Century" w:hAnsi="Century" w:cs="Miriam" w:hint="eastAsia"/>
          <w:b/>
          <w:spacing w:val="0"/>
          <w:sz w:val="22"/>
          <w:szCs w:val="24"/>
          <w:rtl/>
        </w:rPr>
        <w:t>ענין</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הסבירות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אינו</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בעצם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אלא</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אחת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הצורות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חריגה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מסמכות</w:t>
      </w:r>
      <w:r w:rsidRPr="007C3B90">
        <w:rPr>
          <w:rFonts w:ascii="Century" w:hAnsi="Century" w:cs="Miriam"/>
          <w:b/>
          <w:spacing w:val="0"/>
          <w:sz w:val="22"/>
          <w:szCs w:val="24"/>
          <w:rtl/>
        </w:rPr>
        <w:t xml:space="preserve">" </w:t>
      </w:r>
      <w:r w:rsidRPr="007C3B90">
        <w:rPr>
          <w:rFonts w:hint="cs"/>
          <w:rtl/>
        </w:rPr>
        <w:t>ו</w:t>
      </w:r>
      <w:r w:rsidRPr="007C3B90">
        <w:rPr>
          <w:rFonts w:ascii="Century" w:hAnsi="Century" w:cs="Miriam"/>
          <w:b/>
          <w:spacing w:val="0"/>
          <w:sz w:val="22"/>
          <w:szCs w:val="24"/>
          <w:rtl/>
        </w:rPr>
        <w:t>"</w:t>
      </w:r>
      <w:r w:rsidRPr="007C3B90">
        <w:rPr>
          <w:rFonts w:ascii="Century" w:hAnsi="Century" w:cs="Miriam" w:hint="eastAsia"/>
          <w:b/>
          <w:spacing w:val="0"/>
          <w:sz w:val="22"/>
          <w:szCs w:val="24"/>
          <w:rtl/>
        </w:rPr>
        <w:t>עניני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הסבירות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והחריגה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מהסמכות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כרוכים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איפוא</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זה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אחר</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זה</w:t>
      </w:r>
      <w:r w:rsidRPr="007C3B90">
        <w:rPr>
          <w:rFonts w:ascii="Century" w:hAnsi="Century" w:cs="Miriam"/>
          <w:b/>
          <w:spacing w:val="0"/>
          <w:sz w:val="22"/>
          <w:szCs w:val="24"/>
          <w:rtl/>
        </w:rPr>
        <w:t>"</w:t>
      </w:r>
      <w:r w:rsidRPr="007C3B90">
        <w:rPr>
          <w:rFonts w:hint="cs"/>
          <w:rtl/>
        </w:rPr>
        <w:t>,</w:t>
      </w:r>
      <w:r w:rsidRPr="007C3B90">
        <w:rPr>
          <w:rFonts w:ascii="Century" w:hAnsi="Century" w:hint="cs"/>
          <w:sz w:val="22"/>
          <w:rtl/>
        </w:rPr>
        <w:t xml:space="preserve"> ש</w:t>
      </w:r>
      <w:r w:rsidRPr="007C3B90">
        <w:rPr>
          <w:rFonts w:hint="cs"/>
          <w:rtl/>
        </w:rPr>
        <w:t>כן משמעותו של מבחן הסבירות היא:</w:t>
      </w:r>
    </w:p>
    <w:p w:rsidR="00BB56BB" w:rsidRPr="007C3B90" w:rsidRDefault="00BB56BB" w:rsidP="00BB56BB">
      <w:pPr>
        <w:pStyle w:val="Ruller4"/>
        <w:numPr>
          <w:ilvl w:val="0"/>
          <w:numId w:val="0"/>
        </w:numPr>
        <w:rPr>
          <w:rtl/>
        </w:rPr>
      </w:pPr>
    </w:p>
    <w:p w:rsidR="00BB56BB" w:rsidRPr="007C3B90" w:rsidRDefault="00BB56BB" w:rsidP="00BB56BB">
      <w:pPr>
        <w:pStyle w:val="Ruller5"/>
        <w:rPr>
          <w:rtl/>
        </w:rPr>
      </w:pPr>
      <w:r w:rsidRPr="007C3B90">
        <w:rPr>
          <w:rtl/>
        </w:rPr>
        <w:lastRenderedPageBreak/>
        <w:t xml:space="preserve">"שאם ימצא בית המשפט כי חקיקת המשנה היא כה בלתי הגיונית ובלתי נסבלת עד שאדם בר-דעת לא יעלה על דעתו ששר סביר היה מסוגל לעשותה, כי אז יצטרך לאמור שעולם לא נתכוון המחוקק לתת כוח זה בידי השר. חקיקת המשנה אינה מתקבלת על הדעת </w:t>
      </w:r>
      <w:r w:rsidRPr="007C3B90">
        <w:rPr>
          <w:rFonts w:ascii="Century" w:hAnsi="Century"/>
          <w:rtl/>
        </w:rPr>
        <w:t xml:space="preserve">והיא מחוץ לתחום הסמכות" </w:t>
      </w:r>
      <w:r w:rsidRPr="007C3B90">
        <w:rPr>
          <w:rFonts w:hint="cs"/>
          <w:rtl/>
        </w:rPr>
        <w:t xml:space="preserve">(עניין </w:t>
      </w:r>
      <w:r w:rsidRPr="007C3B90">
        <w:rPr>
          <w:rFonts w:ascii="Century" w:hAnsi="Century" w:cs="Miriam" w:hint="cs"/>
          <w:b/>
          <w:spacing w:val="0"/>
          <w:szCs w:val="24"/>
          <w:rtl/>
        </w:rPr>
        <w:t>דיזנגוף</w:t>
      </w:r>
      <w:r w:rsidRPr="007C3B90">
        <w:rPr>
          <w:rFonts w:hint="cs"/>
          <w:rtl/>
        </w:rPr>
        <w:t>, בעמ' 1037).</w:t>
      </w:r>
    </w:p>
    <w:p w:rsidR="00BB56BB" w:rsidRPr="007C3B90" w:rsidRDefault="00BB56BB" w:rsidP="00BB56BB">
      <w:pPr>
        <w:pStyle w:val="Ruller4"/>
        <w:numPr>
          <w:ilvl w:val="0"/>
          <w:numId w:val="0"/>
        </w:numPr>
        <w:rPr>
          <w:rtl/>
        </w:rPr>
      </w:pPr>
    </w:p>
    <w:p w:rsidR="00BB56BB" w:rsidRPr="007C3B90" w:rsidRDefault="00BB56BB" w:rsidP="00BB56BB">
      <w:pPr>
        <w:pStyle w:val="Ruller4"/>
        <w:numPr>
          <w:ilvl w:val="0"/>
          <w:numId w:val="0"/>
        </w:numPr>
        <w:rPr>
          <w:rtl/>
        </w:rPr>
      </w:pPr>
      <w:r w:rsidRPr="007C3B90">
        <w:rPr>
          <w:rtl/>
        </w:rPr>
        <w:tab/>
      </w:r>
      <w:r w:rsidRPr="007C3B90">
        <w:rPr>
          <w:rFonts w:hint="cs"/>
          <w:rtl/>
        </w:rPr>
        <w:t xml:space="preserve">עוד נעשה בפסיקה חיבור בין סטנדרט המופרכות ובין עילת השרירות. כך, ציין הנשיא </w:t>
      </w:r>
      <w:r w:rsidRPr="007C3B90">
        <w:rPr>
          <w:rFonts w:ascii="Century" w:hAnsi="Century" w:cs="Miriam" w:hint="cs"/>
          <w:b/>
          <w:spacing w:val="0"/>
          <w:sz w:val="22"/>
          <w:szCs w:val="24"/>
          <w:rtl/>
        </w:rPr>
        <w:t xml:space="preserve">לנדוי </w:t>
      </w:r>
      <w:r w:rsidRPr="007C3B90">
        <w:rPr>
          <w:rFonts w:hint="cs"/>
          <w:rtl/>
        </w:rPr>
        <w:t xml:space="preserve">בעניין </w:t>
      </w:r>
      <w:r w:rsidRPr="007C3B90">
        <w:rPr>
          <w:rFonts w:ascii="Century" w:hAnsi="Century" w:cs="Miriam" w:hint="cs"/>
          <w:b/>
          <w:spacing w:val="0"/>
          <w:sz w:val="22"/>
          <w:szCs w:val="24"/>
          <w:rtl/>
        </w:rPr>
        <w:t>דפי זהב</w:t>
      </w:r>
      <w:r w:rsidRPr="007C3B90">
        <w:rPr>
          <w:rFonts w:hint="cs"/>
          <w:rtl/>
        </w:rPr>
        <w:t>, בהת</w:t>
      </w:r>
      <w:r w:rsidRPr="007C3B90">
        <w:rPr>
          <w:rFonts w:ascii="Century" w:hAnsi="Century" w:hint="cs"/>
          <w:sz w:val="22"/>
          <w:rtl/>
        </w:rPr>
        <w:t>ייחס להחלטה "מופרכת מעיקרה ובשל כך בלתי-סבירה לחלוטין", כי:</w:t>
      </w:r>
    </w:p>
    <w:p w:rsidR="00BB56BB" w:rsidRPr="007C3B90" w:rsidRDefault="00BB56BB" w:rsidP="00BB56BB">
      <w:pPr>
        <w:pStyle w:val="Ruller5"/>
        <w:rPr>
          <w:rtl/>
        </w:rPr>
      </w:pPr>
      <w:r w:rsidRPr="007C3B90">
        <w:rPr>
          <w:rtl/>
        </w:rPr>
        <w:br/>
      </w:r>
      <w:r w:rsidRPr="007C3B90">
        <w:rPr>
          <w:rFonts w:hint="cs"/>
          <w:rtl/>
        </w:rPr>
        <w:t xml:space="preserve">"על </w:t>
      </w:r>
      <w:r w:rsidRPr="007C3B90">
        <w:rPr>
          <w:rtl/>
        </w:rPr>
        <w:t>החלטה כזאת ניתן לומר, ששום פקיד סביר לא היה יכול לקבלה, ועל-כן היא פסולה, משום שרירות שבה, והחלטה שרירותית לא תוכל לעמוד, על-פי אחת מעילות הפסלות שבית-משפט זה הכיר בהן מאז ומתמיד</w:t>
      </w:r>
      <w:r w:rsidRPr="007C3B90">
        <w:rPr>
          <w:rFonts w:hint="cs"/>
          <w:rtl/>
        </w:rPr>
        <w:t xml:space="preserve">" (עניין </w:t>
      </w:r>
      <w:r w:rsidRPr="007C3B90">
        <w:rPr>
          <w:rFonts w:ascii="Century" w:hAnsi="Century" w:cs="Miriam" w:hint="cs"/>
          <w:b/>
          <w:spacing w:val="0"/>
          <w:szCs w:val="24"/>
          <w:rtl/>
        </w:rPr>
        <w:t>דפי זהב</w:t>
      </w:r>
      <w:r w:rsidRPr="007C3B90">
        <w:rPr>
          <w:rFonts w:hint="cs"/>
          <w:rtl/>
        </w:rPr>
        <w:t xml:space="preserve">, בעמ' 432. ולאזכור עילת השרירות כאחת מעילות הביקורת המינהליות, ראו מבין רבים: עניין </w:t>
      </w:r>
      <w:r w:rsidRPr="007C3B90">
        <w:rPr>
          <w:rFonts w:ascii="Century" w:hAnsi="Century" w:cs="Miriam" w:hint="cs"/>
          <w:b/>
          <w:spacing w:val="0"/>
          <w:szCs w:val="24"/>
          <w:rtl/>
        </w:rPr>
        <w:t>לחם חי</w:t>
      </w:r>
      <w:r w:rsidRPr="007C3B90">
        <w:rPr>
          <w:rFonts w:ascii="Century" w:hAnsi="Century" w:hint="cs"/>
          <w:rtl/>
        </w:rPr>
        <w:t>,</w:t>
      </w:r>
      <w:r w:rsidRPr="007C3B90">
        <w:rPr>
          <w:rFonts w:ascii="Century" w:hAnsi="Century" w:cs="Miriam" w:hint="cs"/>
          <w:b/>
          <w:spacing w:val="0"/>
          <w:szCs w:val="24"/>
          <w:rtl/>
        </w:rPr>
        <w:t xml:space="preserve"> </w:t>
      </w:r>
      <w:r w:rsidRPr="007C3B90">
        <w:rPr>
          <w:rFonts w:hint="cs"/>
          <w:rtl/>
        </w:rPr>
        <w:t xml:space="preserve">בעמ' 208; </w:t>
      </w:r>
      <w:r w:rsidRPr="007C3B90">
        <w:rPr>
          <w:rFonts w:ascii="Century" w:hAnsi="Century" w:cs="Miriam" w:hint="cs"/>
          <w:b/>
          <w:spacing w:val="0"/>
          <w:szCs w:val="24"/>
          <w:rtl/>
        </w:rPr>
        <w:t>עניין מרכז הקבלנים</w:t>
      </w:r>
      <w:r w:rsidRPr="007C3B90">
        <w:rPr>
          <w:rFonts w:ascii="Century" w:hAnsi="Century" w:hint="cs"/>
          <w:rtl/>
        </w:rPr>
        <w:t xml:space="preserve">, </w:t>
      </w:r>
      <w:r w:rsidRPr="007C3B90">
        <w:rPr>
          <w:rFonts w:hint="cs"/>
          <w:rtl/>
        </w:rPr>
        <w:t xml:space="preserve">בפסקה 2 לפסק דינו של השופט </w:t>
      </w:r>
      <w:r w:rsidRPr="007C3B90">
        <w:rPr>
          <w:rFonts w:ascii="Century" w:hAnsi="Century" w:cs="Miriam" w:hint="cs"/>
          <w:b/>
          <w:spacing w:val="0"/>
          <w:szCs w:val="24"/>
          <w:rtl/>
        </w:rPr>
        <w:t>א' ברק</w:t>
      </w:r>
      <w:r w:rsidRPr="007C3B90">
        <w:rPr>
          <w:rFonts w:ascii="Century" w:hAnsi="Century" w:hint="cs"/>
          <w:rtl/>
        </w:rPr>
        <w:t>.</w:t>
      </w:r>
      <w:r w:rsidRPr="007C3B90">
        <w:rPr>
          <w:rFonts w:hint="cs"/>
          <w:rtl/>
        </w:rPr>
        <w:t xml:space="preserve"> וראו גם: </w:t>
      </w:r>
      <w:r w:rsidRPr="007C3B90">
        <w:rPr>
          <w:rFonts w:ascii="Century" w:hAnsi="Century" w:cs="Miriam" w:hint="cs"/>
          <w:b/>
          <w:spacing w:val="0"/>
          <w:szCs w:val="24"/>
          <w:rtl/>
        </w:rPr>
        <w:t>ברק-ארז</w:t>
      </w:r>
      <w:r w:rsidRPr="007C3B90">
        <w:rPr>
          <w:rFonts w:hint="cs"/>
          <w:rtl/>
        </w:rPr>
        <w:t xml:space="preserve">, בעמ' 724-723). </w:t>
      </w:r>
      <w:r w:rsidRPr="007C3B90">
        <w:rPr>
          <w:rtl/>
        </w:rPr>
        <w:br/>
      </w:r>
      <w:r w:rsidRPr="007C3B90">
        <w:rPr>
          <w:rtl/>
        </w:rPr>
        <w:br/>
      </w:r>
    </w:p>
    <w:p w:rsidR="00BB56BB" w:rsidRPr="007C3B90" w:rsidRDefault="00BB56BB" w:rsidP="00BB56BB">
      <w:pPr>
        <w:pStyle w:val="Ruller4"/>
        <w:numPr>
          <w:ilvl w:val="0"/>
          <w:numId w:val="0"/>
        </w:numPr>
        <w:rPr>
          <w:rtl/>
        </w:rPr>
      </w:pPr>
      <w:r w:rsidRPr="007C3B90">
        <w:rPr>
          <w:rtl/>
        </w:rPr>
        <w:tab/>
      </w:r>
      <w:r w:rsidRPr="007C3B90">
        <w:rPr>
          <w:rFonts w:hint="cs"/>
          <w:rtl/>
        </w:rPr>
        <w:t xml:space="preserve">האפשרות לפסול החלטות לא-סבירות בעליל על בסיס עילה של שרירות, עלתה גם בדיוני ועדת החוקה שקדמו לחקיקת התיקון, תוך שצוין כי התיקון לא נועד להתערב בעילה זו </w:t>
      </w:r>
      <w:r w:rsidRPr="007C3B90">
        <w:rPr>
          <w:rtl/>
        </w:rPr>
        <w:t>(</w:t>
      </w:r>
      <w:r w:rsidRPr="007C3B90">
        <w:rPr>
          <w:rFonts w:hint="eastAsia"/>
          <w:rtl/>
        </w:rPr>
        <w:t>ראו</w:t>
      </w:r>
      <w:r w:rsidRPr="007C3B90">
        <w:rPr>
          <w:rtl/>
        </w:rPr>
        <w:t xml:space="preserve"> </w:t>
      </w:r>
      <w:r w:rsidRPr="007C3B90">
        <w:rPr>
          <w:rFonts w:hint="eastAsia"/>
          <w:rtl/>
        </w:rPr>
        <w:t>בפרוטוקול</w:t>
      </w:r>
      <w:r w:rsidRPr="007C3B90">
        <w:rPr>
          <w:rtl/>
        </w:rPr>
        <w:t xml:space="preserve"> </w:t>
      </w:r>
      <w:r w:rsidRPr="007C3B90">
        <w:rPr>
          <w:rFonts w:hint="eastAsia"/>
          <w:rtl/>
        </w:rPr>
        <w:t>הדיון</w:t>
      </w:r>
      <w:r w:rsidRPr="007C3B90">
        <w:rPr>
          <w:rtl/>
        </w:rPr>
        <w:t xml:space="preserve"> </w:t>
      </w:r>
      <w:r w:rsidRPr="007C3B90">
        <w:rPr>
          <w:rFonts w:hint="eastAsia"/>
          <w:rtl/>
        </w:rPr>
        <w:t>בוועדה</w:t>
      </w:r>
      <w:r w:rsidRPr="007C3B90">
        <w:rPr>
          <w:rtl/>
        </w:rPr>
        <w:t xml:space="preserve"> </w:t>
      </w:r>
      <w:r w:rsidRPr="007C3B90">
        <w:rPr>
          <w:rFonts w:hint="eastAsia"/>
          <w:rtl/>
        </w:rPr>
        <w:t>מיום</w:t>
      </w:r>
      <w:r w:rsidRPr="007C3B90">
        <w:rPr>
          <w:rtl/>
        </w:rPr>
        <w:t xml:space="preserve"> 27.6.2023, </w:t>
      </w:r>
      <w:r w:rsidRPr="007C3B90">
        <w:rPr>
          <w:rFonts w:hint="eastAsia"/>
          <w:rtl/>
        </w:rPr>
        <w:t>בעמ</w:t>
      </w:r>
      <w:r w:rsidRPr="007C3B90">
        <w:rPr>
          <w:rtl/>
        </w:rPr>
        <w:t xml:space="preserve">' 34, </w:t>
      </w:r>
      <w:r w:rsidRPr="007C3B90">
        <w:rPr>
          <w:rFonts w:hint="eastAsia"/>
          <w:rtl/>
        </w:rPr>
        <w:t>וכן</w:t>
      </w:r>
      <w:r w:rsidRPr="007C3B90">
        <w:rPr>
          <w:rtl/>
        </w:rPr>
        <w:t xml:space="preserve"> </w:t>
      </w:r>
      <w:r w:rsidRPr="007C3B90">
        <w:rPr>
          <w:rFonts w:hint="eastAsia"/>
          <w:rtl/>
        </w:rPr>
        <w:t>בעמ</w:t>
      </w:r>
      <w:r w:rsidRPr="007C3B90">
        <w:rPr>
          <w:rtl/>
        </w:rPr>
        <w:t>' 48-42).</w:t>
      </w:r>
      <w:r w:rsidRPr="007C3B90">
        <w:rPr>
          <w:rFonts w:hint="cs"/>
          <w:rtl/>
        </w:rPr>
        <w:t xml:space="preserve"> גם אם נראה, אם כן, בביקורת השיפוטית על החלטות מופרכות מעיקרן חלק מעילת חוסר הסמכות או מעילת השרירות, הרי שהתיקון לא נועד לפגוע בעילות אלה. בדברי ההסבר לתיקון צוין במפורש כי </w:t>
      </w:r>
      <w:r w:rsidRPr="006103F0">
        <w:rPr>
          <w:rFonts w:ascii="Century" w:hAnsi="Century" w:cs="Miriam" w:hint="cs"/>
          <w:b/>
          <w:spacing w:val="0"/>
          <w:sz w:val="22"/>
          <w:szCs w:val="24"/>
          <w:rtl/>
        </w:rPr>
        <w:t>"אין באמור כדי להגביל את סמכותו של בית המשפט לדון או להוציא צו בשל עילות אחרות של ביקורת מינהלית"</w:t>
      </w:r>
      <w:r w:rsidRPr="006103F0">
        <w:rPr>
          <w:rFonts w:hint="cs"/>
          <w:rtl/>
        </w:rPr>
        <w:t xml:space="preserve"> </w:t>
      </w:r>
      <w:r w:rsidRPr="007C3B90">
        <w:rPr>
          <w:rtl/>
        </w:rPr>
        <w:t>–</w:t>
      </w:r>
      <w:r w:rsidRPr="007C3B90">
        <w:rPr>
          <w:rFonts w:hint="cs"/>
          <w:rtl/>
        </w:rPr>
        <w:t xml:space="preserve"> ודומה כי עניין זה אינו שנוי במחלוקת. בתשובת הכנסת לעתירות אף צוינה האפשרות לפרש בצורה רחבה יותר עילות אחרות של ביקורת מינהלית, כדרך למלא חלק מן "הריק" שייווצר לאחר ביטול עילת הסבירות בנוגע להחלטות הדרג הממשלתי. פרשנות רחבה של עילת חוסר הסמכות או עילת השרירות, יכולה אפוא לשמש בסיס לעיגונה של עילת הסבירות בתצורתה הצרה. </w:t>
      </w:r>
    </w:p>
    <w:p w:rsidR="00BB56BB" w:rsidRPr="007C3B90" w:rsidRDefault="00BB56BB" w:rsidP="00BB56BB">
      <w:pPr>
        <w:pStyle w:val="Ruller4"/>
        <w:numPr>
          <w:ilvl w:val="0"/>
          <w:numId w:val="0"/>
        </w:numPr>
        <w:rPr>
          <w:rtl/>
        </w:rPr>
      </w:pPr>
    </w:p>
    <w:p w:rsidR="00BB56BB" w:rsidRPr="007C3B90" w:rsidRDefault="00BB56BB" w:rsidP="00BB56BB">
      <w:pPr>
        <w:pStyle w:val="Ruller4"/>
        <w:rPr>
          <w:rtl/>
        </w:rPr>
      </w:pPr>
      <w:r w:rsidRPr="007C3B90">
        <w:rPr>
          <w:rFonts w:ascii="Century" w:hAnsi="Century" w:cs="Miriam" w:hint="cs"/>
          <w:b/>
          <w:spacing w:val="0"/>
          <w:sz w:val="22"/>
          <w:szCs w:val="24"/>
          <w:rtl/>
        </w:rPr>
        <w:t>לסיכום חלק זה</w:t>
      </w:r>
      <w:r w:rsidRPr="007C3B90">
        <w:rPr>
          <w:rFonts w:ascii="Century" w:hAnsi="Century" w:hint="cs"/>
          <w:sz w:val="22"/>
          <w:rtl/>
        </w:rPr>
        <w:t>:</w:t>
      </w:r>
      <w:r w:rsidRPr="007C3B90">
        <w:rPr>
          <w:rFonts w:hint="cs"/>
          <w:rtl/>
        </w:rPr>
        <w:t xml:space="preserve"> יש לפרש את התיקון בצורה מצמצמת, כך שהוא מונע ביקורת שיפוטית רק בעילה של סבירות רחבה "איזונית", ולא בעילה של סבירות צרה שעניינה במופרכות ההחלטה. כך מתחייב מתכליתו האובייקטיבית של התיקון; מן החזקה הפרשנית המורה לפרש בצמצום דברי חקיקה המגבילים סמכות שיפוט של בתי המשפט; וכן מן הכלל הפרשני המבכר פרשנות מקיימת</w:t>
      </w:r>
      <w:r w:rsidRPr="007C3B90">
        <w:rPr>
          <w:rtl/>
        </w:rPr>
        <w:t>.</w:t>
      </w:r>
      <w:r w:rsidRPr="007C3B90">
        <w:rPr>
          <w:rFonts w:hint="cs"/>
          <w:rtl/>
        </w:rPr>
        <w:t xml:space="preserve"> הפירוש האמור מתבקש גם מדברי ההסבר לתיקון, והוא אף מתיישב עם הרקע לתיקון ועם המניעים לחקיקתו. לבסוף, פרשנות </w:t>
      </w:r>
      <w:r w:rsidRPr="007C3B90">
        <w:rPr>
          <w:rFonts w:hint="cs"/>
          <w:rtl/>
        </w:rPr>
        <w:lastRenderedPageBreak/>
        <w:t>מצמצמת כאמור יכולה להישען גם על האפשרות להשקיף על עילת הסבירות הצרה כעל נגזרת של עילת חוסר הסמכות או עילת השרירות, שבהן אין התיקון מתערב.</w:t>
      </w:r>
    </w:p>
    <w:p w:rsidR="00BB56BB" w:rsidRPr="007C3B90" w:rsidRDefault="00BB56BB" w:rsidP="00BB56BB">
      <w:pPr>
        <w:pStyle w:val="Ruller4"/>
        <w:numPr>
          <w:ilvl w:val="0"/>
          <w:numId w:val="0"/>
        </w:numPr>
        <w:rPr>
          <w:rtl/>
        </w:rPr>
      </w:pPr>
    </w:p>
    <w:p w:rsidR="00BB56BB" w:rsidRPr="007C3B90" w:rsidRDefault="00BB56BB" w:rsidP="00BB56BB">
      <w:pPr>
        <w:pStyle w:val="Ruller4"/>
        <w:numPr>
          <w:ilvl w:val="0"/>
          <w:numId w:val="0"/>
        </w:numPr>
      </w:pPr>
      <w:r w:rsidRPr="007C3B90">
        <w:rPr>
          <w:rtl/>
        </w:rPr>
        <w:tab/>
      </w:r>
      <w:r w:rsidRPr="007C3B90">
        <w:rPr>
          <w:rFonts w:hint="cs"/>
          <w:rtl/>
        </w:rPr>
        <w:t xml:space="preserve">ומכאן, לבחינת התיקון, בפרשנותו האמורה, על פי המבחנים להתערבות בחקיקת חוקי יסוד. </w:t>
      </w:r>
    </w:p>
    <w:p w:rsidR="00BB56BB" w:rsidRPr="007C3B90" w:rsidRDefault="00BB56BB" w:rsidP="00BB56BB">
      <w:pPr>
        <w:pStyle w:val="Ruller4"/>
        <w:numPr>
          <w:ilvl w:val="0"/>
          <w:numId w:val="0"/>
        </w:numPr>
        <w:rPr>
          <w:rtl/>
        </w:rPr>
      </w:pPr>
    </w:p>
    <w:p w:rsidR="00BB56BB" w:rsidRPr="007C3B90" w:rsidRDefault="00BB56BB" w:rsidP="00BB56BB">
      <w:pPr>
        <w:pStyle w:val="Ruller4"/>
        <w:numPr>
          <w:ilvl w:val="0"/>
          <w:numId w:val="0"/>
        </w:numPr>
        <w:rPr>
          <w:rFonts w:ascii="Century" w:hAnsi="Century" w:cs="Miriam"/>
          <w:b/>
          <w:spacing w:val="0"/>
          <w:sz w:val="22"/>
          <w:szCs w:val="24"/>
        </w:rPr>
      </w:pPr>
      <w:r w:rsidRPr="007C3B90">
        <w:rPr>
          <w:rFonts w:ascii="Century" w:hAnsi="Century" w:cs="Miriam"/>
          <w:b/>
          <w:spacing w:val="0"/>
          <w:sz w:val="22"/>
          <w:szCs w:val="24"/>
          <w:rtl/>
        </w:rPr>
        <w:t>תוקפו של התיקון</w:t>
      </w:r>
    </w:p>
    <w:p w:rsidR="00BB56BB" w:rsidRPr="007C3B90" w:rsidRDefault="00BB56BB" w:rsidP="00BB56BB">
      <w:pPr>
        <w:pStyle w:val="Ruller4"/>
        <w:numPr>
          <w:ilvl w:val="0"/>
          <w:numId w:val="0"/>
        </w:numPr>
        <w:rPr>
          <w:rFonts w:ascii="Century" w:hAnsi="Century" w:cs="Miriam"/>
          <w:b/>
          <w:spacing w:val="0"/>
          <w:sz w:val="22"/>
          <w:szCs w:val="24"/>
          <w:rtl/>
        </w:rPr>
      </w:pPr>
    </w:p>
    <w:p w:rsidR="00BB56BB" w:rsidRPr="007C3B90" w:rsidRDefault="00BB56BB" w:rsidP="00BB56BB">
      <w:pPr>
        <w:pStyle w:val="Ruller4"/>
        <w:rPr>
          <w:rtl/>
        </w:rPr>
      </w:pPr>
      <w:r w:rsidRPr="007C3B90">
        <w:rPr>
          <w:rFonts w:hint="eastAsia"/>
          <w:rtl/>
        </w:rPr>
        <w:t>אין</w:t>
      </w:r>
      <w:r w:rsidRPr="007C3B90">
        <w:rPr>
          <w:rtl/>
        </w:rPr>
        <w:t xml:space="preserve"> </w:t>
      </w:r>
      <w:r w:rsidRPr="007C3B90">
        <w:rPr>
          <w:rFonts w:hint="eastAsia"/>
          <w:rtl/>
        </w:rPr>
        <w:t>מנוס</w:t>
      </w:r>
      <w:r w:rsidRPr="007C3B90">
        <w:rPr>
          <w:rtl/>
        </w:rPr>
        <w:t xml:space="preserve"> </w:t>
      </w:r>
      <w:r w:rsidRPr="007C3B90">
        <w:rPr>
          <w:rFonts w:hint="eastAsia"/>
          <w:rtl/>
        </w:rPr>
        <w:t>מלומר</w:t>
      </w:r>
      <w:r w:rsidRPr="007C3B90">
        <w:rPr>
          <w:rFonts w:hint="cs"/>
          <w:rtl/>
        </w:rPr>
        <w:t>:</w:t>
      </w:r>
      <w:r w:rsidRPr="007C3B90">
        <w:rPr>
          <w:rtl/>
        </w:rPr>
        <w:t xml:space="preserve"> </w:t>
      </w:r>
      <w:r w:rsidRPr="007C3B90">
        <w:rPr>
          <w:rFonts w:hint="eastAsia"/>
          <w:rtl/>
        </w:rPr>
        <w:t>דיון</w:t>
      </w:r>
      <w:r w:rsidRPr="007C3B90">
        <w:rPr>
          <w:rtl/>
        </w:rPr>
        <w:t xml:space="preserve"> לגיטימי, ואולי נחוץ, על היקפה וגדריה של עילת הסבירות</w:t>
      </w:r>
      <w:r w:rsidRPr="007C3B90">
        <w:rPr>
          <w:rFonts w:hint="cs"/>
          <w:rtl/>
        </w:rPr>
        <w:t xml:space="preserve"> </w:t>
      </w:r>
      <w:r w:rsidRPr="007C3B90">
        <w:rPr>
          <w:rtl/>
        </w:rPr>
        <w:t xml:space="preserve">– הוליד חוק </w:t>
      </w:r>
      <w:r w:rsidRPr="007C3B90">
        <w:rPr>
          <w:rFonts w:hint="cs"/>
          <w:rtl/>
        </w:rPr>
        <w:t xml:space="preserve">חפוז, </w:t>
      </w:r>
      <w:r w:rsidRPr="007C3B90">
        <w:rPr>
          <w:rtl/>
        </w:rPr>
        <w:t>רחב וגורף</w:t>
      </w:r>
      <w:r w:rsidRPr="007C3B90">
        <w:rPr>
          <w:rFonts w:hint="cs"/>
          <w:rtl/>
        </w:rPr>
        <w:t>,</w:t>
      </w:r>
      <w:r w:rsidRPr="007C3B90">
        <w:rPr>
          <w:rtl/>
        </w:rPr>
        <w:t xml:space="preserve"> </w:t>
      </w:r>
      <w:r w:rsidRPr="007C3B90">
        <w:rPr>
          <w:rFonts w:hint="cs"/>
          <w:rtl/>
        </w:rPr>
        <w:t xml:space="preserve">שנגזר במגזריים גסים. החוק, במתכונתו הקיימת, </w:t>
      </w:r>
      <w:r w:rsidRPr="007C3B90">
        <w:rPr>
          <w:rtl/>
        </w:rPr>
        <w:t xml:space="preserve">מעלה שורה של קשיים </w:t>
      </w:r>
      <w:r w:rsidRPr="007C3B90">
        <w:rPr>
          <w:rFonts w:hint="cs"/>
          <w:rtl/>
        </w:rPr>
        <w:t>ש</w:t>
      </w:r>
      <w:r w:rsidRPr="007C3B90">
        <w:rPr>
          <w:rtl/>
        </w:rPr>
        <w:t xml:space="preserve">הועלו כולם על-ידי גורמי הייעוץ המשפטי במהלך הליך חקיקתו של התיקון, ואף על פי כן לא ניתן להם מענה בחוק. כך, ובאופן שאינו ממצה, התיקון אינו מגדיר </w:t>
      </w:r>
      <w:r w:rsidRPr="007C3B90">
        <w:rPr>
          <w:rFonts w:hint="cs"/>
          <w:rtl/>
        </w:rPr>
        <w:t xml:space="preserve">כאמור </w:t>
      </w:r>
      <w:r w:rsidRPr="007C3B90">
        <w:rPr>
          <w:rtl/>
        </w:rPr>
        <w:t xml:space="preserve">את המושג "סבירות" ואינו מבחין בין מובניו השונים של מושג זה; הוא אינו מבחין בין החלטות מינהליות שונות אשר נטען כי ראוי </w:t>
      </w:r>
      <w:r w:rsidRPr="007C3B90">
        <w:rPr>
          <w:rFonts w:hint="cs"/>
          <w:rtl/>
        </w:rPr>
        <w:t xml:space="preserve">היה </w:t>
      </w:r>
      <w:r w:rsidRPr="007C3B90">
        <w:rPr>
          <w:rtl/>
        </w:rPr>
        <w:t xml:space="preserve">להבחין ביניהן, ובפרט, בין החלטות כלליות בנושאי מדיניות ובין החלטות אינדיבידואליות הנוגעות לאינטרסים של הפרט; הוא אינו מתייחס לתחולתו </w:t>
      </w:r>
      <w:r w:rsidRPr="007C3B90">
        <w:rPr>
          <w:rFonts w:hint="cs"/>
          <w:rtl/>
        </w:rPr>
        <w:t xml:space="preserve">של התיקון </w:t>
      </w:r>
      <w:r w:rsidRPr="007C3B90">
        <w:rPr>
          <w:rtl/>
        </w:rPr>
        <w:t>על החלטות שנתקבלו על-ידי שר מכוח סמכות שניטלה לפי סעיף 34 לחוק-יסוד: הממשלה</w:t>
      </w:r>
      <w:r w:rsidRPr="007C3B90">
        <w:rPr>
          <w:rFonts w:hint="cs"/>
          <w:rtl/>
        </w:rPr>
        <w:t>;</w:t>
      </w:r>
      <w:r w:rsidRPr="007C3B90">
        <w:rPr>
          <w:rtl/>
        </w:rPr>
        <w:t xml:space="preserve"> ועוד. תוצאת הדברים היא, שחלף צמצום גבולות העילה בצורה מאוזנת, תוך הבחנה בין סוגי החלטות והגדרת סטנדרט ביקורת מדויק יותר שייתן מענה לשאלות שעלו במהלך הליך החקיקה – נוּסח התיקון בלשון כוללנית וגורפת, אשר אינה רגישה להבחנות חשובות שנעשו גם על-ידי מבקריה של עילת הסבירות. פרופ' </w:t>
      </w:r>
      <w:r w:rsidRPr="007C3B90">
        <w:rPr>
          <w:rFonts w:hint="eastAsia"/>
          <w:rtl/>
        </w:rPr>
        <w:t>יואב</w:t>
      </w:r>
      <w:r w:rsidRPr="007C3B90">
        <w:rPr>
          <w:rtl/>
        </w:rPr>
        <w:t xml:space="preserve"> </w:t>
      </w:r>
      <w:r w:rsidRPr="007C3B90">
        <w:rPr>
          <w:rFonts w:hint="eastAsia"/>
          <w:rtl/>
        </w:rPr>
        <w:t>דותן</w:t>
      </w:r>
      <w:r w:rsidRPr="007C3B90">
        <w:rPr>
          <w:rtl/>
        </w:rPr>
        <w:t xml:space="preserve"> </w:t>
      </w:r>
      <w:r w:rsidRPr="007C3B90">
        <w:rPr>
          <w:rFonts w:hint="eastAsia"/>
          <w:rtl/>
        </w:rPr>
        <w:t>תיאר</w:t>
      </w:r>
      <w:r w:rsidRPr="007C3B90">
        <w:rPr>
          <w:rtl/>
        </w:rPr>
        <w:t xml:space="preserve"> </w:t>
      </w:r>
      <w:r w:rsidRPr="007C3B90">
        <w:rPr>
          <w:rFonts w:hint="eastAsia"/>
          <w:rtl/>
        </w:rPr>
        <w:t>זאת</w:t>
      </w:r>
      <w:r w:rsidRPr="007C3B90">
        <w:rPr>
          <w:rtl/>
        </w:rPr>
        <w:t xml:space="preserve"> </w:t>
      </w:r>
      <w:r w:rsidRPr="007C3B90">
        <w:rPr>
          <w:rFonts w:hint="eastAsia"/>
          <w:rtl/>
        </w:rPr>
        <w:t>בצורה</w:t>
      </w:r>
      <w:r w:rsidRPr="007C3B90">
        <w:rPr>
          <w:rtl/>
        </w:rPr>
        <w:t xml:space="preserve"> </w:t>
      </w:r>
      <w:r w:rsidRPr="007C3B90">
        <w:rPr>
          <w:rFonts w:hint="eastAsia"/>
          <w:rtl/>
        </w:rPr>
        <w:t>קולעת</w:t>
      </w:r>
      <w:r w:rsidRPr="007C3B90">
        <w:rPr>
          <w:rtl/>
        </w:rPr>
        <w:t xml:space="preserve">, </w:t>
      </w:r>
      <w:r w:rsidRPr="007C3B90">
        <w:rPr>
          <w:rFonts w:hint="eastAsia"/>
          <w:rtl/>
        </w:rPr>
        <w:t>בציינו</w:t>
      </w:r>
      <w:r w:rsidRPr="007C3B90">
        <w:rPr>
          <w:rtl/>
        </w:rPr>
        <w:t xml:space="preserve"> </w:t>
      </w:r>
      <w:r w:rsidRPr="007C3B90">
        <w:rPr>
          <w:rFonts w:hint="eastAsia"/>
          <w:rtl/>
        </w:rPr>
        <w:t>שהתיקון</w:t>
      </w:r>
      <w:r w:rsidRPr="007C3B90">
        <w:rPr>
          <w:rtl/>
        </w:rPr>
        <w:t xml:space="preserve"> '</w:t>
      </w:r>
      <w:r w:rsidRPr="007C3B90">
        <w:rPr>
          <w:rFonts w:hint="eastAsia"/>
          <w:rtl/>
        </w:rPr>
        <w:t>שופך</w:t>
      </w:r>
      <w:r w:rsidRPr="007C3B90">
        <w:rPr>
          <w:rtl/>
        </w:rPr>
        <w:t xml:space="preserve"> </w:t>
      </w:r>
      <w:r w:rsidRPr="007C3B90">
        <w:rPr>
          <w:rFonts w:hint="eastAsia"/>
          <w:rtl/>
        </w:rPr>
        <w:t>את</w:t>
      </w:r>
      <w:r w:rsidRPr="007C3B90">
        <w:rPr>
          <w:rtl/>
        </w:rPr>
        <w:t xml:space="preserve"> </w:t>
      </w:r>
      <w:r w:rsidRPr="007C3B90">
        <w:rPr>
          <w:rFonts w:hint="eastAsia"/>
          <w:rtl/>
        </w:rPr>
        <w:t>התינוק</w:t>
      </w:r>
      <w:r w:rsidRPr="007C3B90">
        <w:rPr>
          <w:rtl/>
        </w:rPr>
        <w:t xml:space="preserve"> </w:t>
      </w:r>
      <w:r w:rsidRPr="007C3B90">
        <w:rPr>
          <w:rFonts w:hint="eastAsia"/>
          <w:rtl/>
        </w:rPr>
        <w:t>עם</w:t>
      </w:r>
      <w:r w:rsidRPr="007C3B90">
        <w:rPr>
          <w:rtl/>
        </w:rPr>
        <w:t xml:space="preserve"> </w:t>
      </w:r>
      <w:r w:rsidRPr="007C3B90">
        <w:rPr>
          <w:rFonts w:hint="eastAsia"/>
          <w:rtl/>
        </w:rPr>
        <w:t>מי</w:t>
      </w:r>
      <w:r w:rsidRPr="007C3B90">
        <w:rPr>
          <w:rtl/>
        </w:rPr>
        <w:t xml:space="preserve"> </w:t>
      </w:r>
      <w:r w:rsidRPr="007C3B90">
        <w:rPr>
          <w:rFonts w:hint="eastAsia"/>
          <w:rtl/>
        </w:rPr>
        <w:t>האמבט</w:t>
      </w:r>
      <w:r w:rsidRPr="007C3B90">
        <w:rPr>
          <w:rtl/>
        </w:rPr>
        <w:t>' (</w:t>
      </w:r>
      <w:r w:rsidRPr="007C3B90">
        <w:rPr>
          <w:rFonts w:hint="eastAsia"/>
          <w:rtl/>
        </w:rPr>
        <w:t>פרוטוקול</w:t>
      </w:r>
      <w:r w:rsidRPr="007C3B90">
        <w:rPr>
          <w:rtl/>
        </w:rPr>
        <w:t xml:space="preserve"> </w:t>
      </w:r>
      <w:r w:rsidRPr="007C3B90">
        <w:rPr>
          <w:rFonts w:hint="eastAsia"/>
          <w:rtl/>
        </w:rPr>
        <w:t>ישיבת</w:t>
      </w:r>
      <w:r w:rsidRPr="007C3B90">
        <w:rPr>
          <w:rtl/>
        </w:rPr>
        <w:t xml:space="preserve"> </w:t>
      </w:r>
      <w:r w:rsidRPr="007C3B90">
        <w:rPr>
          <w:rFonts w:hint="eastAsia"/>
          <w:rtl/>
        </w:rPr>
        <w:t>ועדת</w:t>
      </w:r>
      <w:r w:rsidRPr="007C3B90">
        <w:rPr>
          <w:rtl/>
        </w:rPr>
        <w:t xml:space="preserve"> </w:t>
      </w:r>
      <w:r w:rsidRPr="007C3B90">
        <w:rPr>
          <w:rFonts w:hint="eastAsia"/>
          <w:rtl/>
        </w:rPr>
        <w:t>החוקה</w:t>
      </w:r>
      <w:r w:rsidRPr="007C3B90">
        <w:rPr>
          <w:rtl/>
        </w:rPr>
        <w:t xml:space="preserve"> </w:t>
      </w:r>
      <w:r w:rsidRPr="007C3B90">
        <w:rPr>
          <w:rFonts w:hint="eastAsia"/>
          <w:rtl/>
        </w:rPr>
        <w:t>מיום</w:t>
      </w:r>
      <w:r w:rsidRPr="007C3B90">
        <w:rPr>
          <w:rtl/>
        </w:rPr>
        <w:t xml:space="preserve"> 4.7.2023, </w:t>
      </w:r>
      <w:r w:rsidRPr="007C3B90">
        <w:rPr>
          <w:rFonts w:hint="eastAsia"/>
          <w:rtl/>
        </w:rPr>
        <w:t>בעמ</w:t>
      </w:r>
      <w:r w:rsidRPr="007C3B90">
        <w:rPr>
          <w:rtl/>
        </w:rPr>
        <w:t xml:space="preserve">' 42-41). </w:t>
      </w:r>
      <w:r w:rsidRPr="007C3B90">
        <w:rPr>
          <w:rFonts w:hint="eastAsia"/>
          <w:rtl/>
        </w:rPr>
        <w:t>אוסיף</w:t>
      </w:r>
      <w:r w:rsidRPr="007C3B90">
        <w:rPr>
          <w:rtl/>
        </w:rPr>
        <w:t xml:space="preserve">, </w:t>
      </w:r>
      <w:r w:rsidRPr="007C3B90">
        <w:rPr>
          <w:rFonts w:hint="eastAsia"/>
          <w:rtl/>
        </w:rPr>
        <w:t>כפי</w:t>
      </w:r>
      <w:r w:rsidRPr="007C3B90">
        <w:rPr>
          <w:rtl/>
        </w:rPr>
        <w:t xml:space="preserve"> </w:t>
      </w:r>
      <w:r w:rsidRPr="007C3B90">
        <w:rPr>
          <w:rFonts w:hint="eastAsia"/>
          <w:rtl/>
        </w:rPr>
        <w:t>שכבר</w:t>
      </w:r>
      <w:r w:rsidRPr="007C3B90">
        <w:rPr>
          <w:rtl/>
        </w:rPr>
        <w:t xml:space="preserve"> </w:t>
      </w:r>
      <w:r w:rsidRPr="007C3B90">
        <w:rPr>
          <w:rFonts w:hint="eastAsia"/>
          <w:rtl/>
        </w:rPr>
        <w:t>צוין</w:t>
      </w:r>
      <w:r w:rsidRPr="007C3B90">
        <w:rPr>
          <w:rtl/>
        </w:rPr>
        <w:t xml:space="preserve">, </w:t>
      </w:r>
      <w:r w:rsidRPr="007C3B90">
        <w:rPr>
          <w:rFonts w:hint="eastAsia"/>
          <w:rtl/>
        </w:rPr>
        <w:t>כי</w:t>
      </w:r>
      <w:r w:rsidRPr="007C3B90">
        <w:rPr>
          <w:rtl/>
        </w:rPr>
        <w:t xml:space="preserve"> </w:t>
      </w:r>
      <w:r w:rsidRPr="007C3B90">
        <w:rPr>
          <w:rFonts w:hint="eastAsia"/>
          <w:rtl/>
        </w:rPr>
        <w:t>גם</w:t>
      </w:r>
      <w:r w:rsidRPr="007C3B90">
        <w:rPr>
          <w:rtl/>
        </w:rPr>
        <w:t xml:space="preserve"> </w:t>
      </w:r>
      <w:r w:rsidRPr="007C3B90">
        <w:rPr>
          <w:rFonts w:hint="eastAsia"/>
          <w:rtl/>
        </w:rPr>
        <w:t>מבקריה</w:t>
      </w:r>
      <w:r w:rsidRPr="007C3B90">
        <w:rPr>
          <w:rtl/>
        </w:rPr>
        <w:t xml:space="preserve"> </w:t>
      </w:r>
      <w:r w:rsidRPr="007C3B90">
        <w:rPr>
          <w:rFonts w:hint="eastAsia"/>
          <w:rtl/>
        </w:rPr>
        <w:t>החריפים</w:t>
      </w:r>
      <w:r w:rsidRPr="007C3B90">
        <w:rPr>
          <w:rtl/>
        </w:rPr>
        <w:t xml:space="preserve"> </w:t>
      </w:r>
      <w:r w:rsidRPr="007C3B90">
        <w:rPr>
          <w:rFonts w:hint="eastAsia"/>
          <w:rtl/>
        </w:rPr>
        <w:t>של</w:t>
      </w:r>
      <w:r w:rsidRPr="007C3B90">
        <w:rPr>
          <w:rtl/>
        </w:rPr>
        <w:t xml:space="preserve"> </w:t>
      </w:r>
      <w:r w:rsidRPr="007C3B90">
        <w:rPr>
          <w:rFonts w:hint="eastAsia"/>
          <w:rtl/>
        </w:rPr>
        <w:t>עילת</w:t>
      </w:r>
      <w:r w:rsidRPr="007C3B90">
        <w:rPr>
          <w:rtl/>
        </w:rPr>
        <w:t xml:space="preserve"> </w:t>
      </w:r>
      <w:r w:rsidRPr="007C3B90">
        <w:rPr>
          <w:rFonts w:hint="eastAsia"/>
          <w:rtl/>
        </w:rPr>
        <w:t>הסבירות</w:t>
      </w:r>
      <w:r w:rsidRPr="007C3B90">
        <w:rPr>
          <w:rtl/>
        </w:rPr>
        <w:t xml:space="preserve"> </w:t>
      </w:r>
      <w:r w:rsidRPr="007C3B90">
        <w:rPr>
          <w:rFonts w:hint="eastAsia"/>
          <w:rtl/>
        </w:rPr>
        <w:t>מבין</w:t>
      </w:r>
      <w:r w:rsidRPr="007C3B90">
        <w:rPr>
          <w:rtl/>
        </w:rPr>
        <w:t xml:space="preserve"> </w:t>
      </w:r>
      <w:r w:rsidRPr="007C3B90">
        <w:rPr>
          <w:rFonts w:hint="eastAsia"/>
          <w:rtl/>
        </w:rPr>
        <w:t>מלומדי</w:t>
      </w:r>
      <w:r w:rsidRPr="007C3B90">
        <w:rPr>
          <w:rtl/>
        </w:rPr>
        <w:t xml:space="preserve"> </w:t>
      </w:r>
      <w:r w:rsidRPr="007C3B90">
        <w:rPr>
          <w:rFonts w:hint="eastAsia"/>
          <w:rtl/>
        </w:rPr>
        <w:t>המשפט</w:t>
      </w:r>
      <w:r w:rsidRPr="007C3B90">
        <w:rPr>
          <w:rtl/>
        </w:rPr>
        <w:t xml:space="preserve">, </w:t>
      </w:r>
      <w:r w:rsidRPr="007C3B90">
        <w:rPr>
          <w:rFonts w:hint="eastAsia"/>
          <w:rtl/>
        </w:rPr>
        <w:t>סברו</w:t>
      </w:r>
      <w:r w:rsidRPr="007C3B90">
        <w:rPr>
          <w:rtl/>
        </w:rPr>
        <w:t xml:space="preserve"> </w:t>
      </w:r>
      <w:r w:rsidRPr="007C3B90">
        <w:rPr>
          <w:rFonts w:hint="eastAsia"/>
          <w:rtl/>
        </w:rPr>
        <w:t>כי</w:t>
      </w:r>
      <w:r w:rsidRPr="007C3B90">
        <w:rPr>
          <w:rtl/>
        </w:rPr>
        <w:t xml:space="preserve"> </w:t>
      </w:r>
      <w:r w:rsidRPr="007C3B90">
        <w:rPr>
          <w:rFonts w:hint="eastAsia"/>
          <w:rtl/>
        </w:rPr>
        <w:t>גדרי</w:t>
      </w:r>
      <w:r w:rsidRPr="007C3B90">
        <w:rPr>
          <w:rtl/>
        </w:rPr>
        <w:t xml:space="preserve"> </w:t>
      </w:r>
      <w:r w:rsidRPr="007C3B90">
        <w:rPr>
          <w:rFonts w:hint="eastAsia"/>
          <w:rtl/>
        </w:rPr>
        <w:t>השימוש</w:t>
      </w:r>
      <w:r w:rsidRPr="007C3B90">
        <w:rPr>
          <w:rtl/>
        </w:rPr>
        <w:t xml:space="preserve"> </w:t>
      </w:r>
      <w:r w:rsidRPr="007C3B90">
        <w:rPr>
          <w:rFonts w:hint="eastAsia"/>
          <w:rtl/>
        </w:rPr>
        <w:t>בעילה</w:t>
      </w:r>
      <w:r w:rsidRPr="007C3B90">
        <w:rPr>
          <w:rtl/>
        </w:rPr>
        <w:t xml:space="preserve"> </w:t>
      </w:r>
      <w:r w:rsidRPr="007C3B90">
        <w:rPr>
          <w:rFonts w:hint="eastAsia"/>
          <w:rtl/>
        </w:rPr>
        <w:t>זו</w:t>
      </w:r>
      <w:r w:rsidRPr="007C3B90">
        <w:rPr>
          <w:rtl/>
        </w:rPr>
        <w:t xml:space="preserve"> </w:t>
      </w:r>
      <w:r w:rsidRPr="007C3B90">
        <w:rPr>
          <w:rFonts w:hint="eastAsia"/>
          <w:rtl/>
        </w:rPr>
        <w:t>הם</w:t>
      </w:r>
      <w:r w:rsidRPr="007C3B90">
        <w:rPr>
          <w:rtl/>
        </w:rPr>
        <w:t xml:space="preserve"> </w:t>
      </w:r>
      <w:r w:rsidRPr="007C3B90">
        <w:rPr>
          <w:rFonts w:hint="eastAsia"/>
          <w:rtl/>
        </w:rPr>
        <w:t>עניין</w:t>
      </w:r>
      <w:r w:rsidRPr="007C3B90">
        <w:rPr>
          <w:rtl/>
        </w:rPr>
        <w:t xml:space="preserve"> </w:t>
      </w:r>
      <w:r w:rsidRPr="007C3B90">
        <w:rPr>
          <w:rFonts w:hint="eastAsia"/>
          <w:rtl/>
        </w:rPr>
        <w:t>לפסיקה</w:t>
      </w:r>
      <w:r w:rsidRPr="007C3B90">
        <w:rPr>
          <w:rtl/>
        </w:rPr>
        <w:t xml:space="preserve"> </w:t>
      </w:r>
      <w:r w:rsidRPr="007C3B90">
        <w:rPr>
          <w:rFonts w:hint="eastAsia"/>
          <w:rtl/>
        </w:rPr>
        <w:t>לענות</w:t>
      </w:r>
      <w:r w:rsidRPr="007C3B90">
        <w:rPr>
          <w:rtl/>
        </w:rPr>
        <w:t xml:space="preserve"> </w:t>
      </w:r>
      <w:r w:rsidRPr="007C3B90">
        <w:rPr>
          <w:rFonts w:hint="eastAsia"/>
          <w:rtl/>
        </w:rPr>
        <w:t>בו</w:t>
      </w:r>
      <w:r w:rsidRPr="007C3B90">
        <w:rPr>
          <w:rtl/>
        </w:rPr>
        <w:t xml:space="preserve">, </w:t>
      </w:r>
      <w:r w:rsidRPr="007C3B90">
        <w:rPr>
          <w:rFonts w:hint="eastAsia"/>
          <w:rtl/>
        </w:rPr>
        <w:t>ולא</w:t>
      </w:r>
      <w:r w:rsidRPr="007C3B90">
        <w:rPr>
          <w:rtl/>
        </w:rPr>
        <w:t xml:space="preserve"> </w:t>
      </w:r>
      <w:r w:rsidRPr="007C3B90">
        <w:rPr>
          <w:rFonts w:hint="eastAsia"/>
          <w:rtl/>
        </w:rPr>
        <w:t>נושא</w:t>
      </w:r>
      <w:r w:rsidRPr="007C3B90">
        <w:rPr>
          <w:rtl/>
        </w:rPr>
        <w:t xml:space="preserve"> </w:t>
      </w:r>
      <w:r w:rsidRPr="007C3B90">
        <w:rPr>
          <w:rFonts w:hint="eastAsia"/>
          <w:rtl/>
        </w:rPr>
        <w:t>להתערבות</w:t>
      </w:r>
      <w:r w:rsidRPr="007C3B90">
        <w:rPr>
          <w:rtl/>
        </w:rPr>
        <w:t xml:space="preserve"> </w:t>
      </w:r>
      <w:r w:rsidRPr="007C3B90">
        <w:rPr>
          <w:rFonts w:hint="eastAsia"/>
          <w:rtl/>
        </w:rPr>
        <w:t>חקיקתית</w:t>
      </w:r>
      <w:r w:rsidRPr="007C3B90">
        <w:rPr>
          <w:rtl/>
        </w:rPr>
        <w:t xml:space="preserve">. </w:t>
      </w:r>
      <w:r w:rsidRPr="007C3B90">
        <w:rPr>
          <w:rFonts w:hint="eastAsia"/>
          <w:rtl/>
        </w:rPr>
        <w:t>עמדתם</w:t>
      </w:r>
      <w:r w:rsidRPr="007C3B90">
        <w:rPr>
          <w:rtl/>
        </w:rPr>
        <w:t xml:space="preserve"> </w:t>
      </w:r>
      <w:r w:rsidRPr="007C3B90">
        <w:rPr>
          <w:rFonts w:hint="eastAsia"/>
          <w:rtl/>
        </w:rPr>
        <w:t>הייתה</w:t>
      </w:r>
      <w:r w:rsidRPr="007C3B90">
        <w:rPr>
          <w:rFonts w:hint="cs"/>
          <w:rtl/>
        </w:rPr>
        <w:t xml:space="preserve"> כאמור</w:t>
      </w:r>
      <w:r w:rsidRPr="007C3B90">
        <w:rPr>
          <w:rtl/>
        </w:rPr>
        <w:t xml:space="preserve">, </w:t>
      </w:r>
      <w:r w:rsidRPr="007C3B90">
        <w:rPr>
          <w:rFonts w:hint="eastAsia"/>
          <w:rtl/>
        </w:rPr>
        <w:t>באופן</w:t>
      </w:r>
      <w:r w:rsidRPr="007C3B90">
        <w:rPr>
          <w:rtl/>
        </w:rPr>
        <w:t xml:space="preserve"> </w:t>
      </w:r>
      <w:r w:rsidRPr="007C3B90">
        <w:rPr>
          <w:rFonts w:hint="eastAsia"/>
          <w:rtl/>
        </w:rPr>
        <w:t>מסורתי</w:t>
      </w:r>
      <w:r w:rsidRPr="007C3B90">
        <w:rPr>
          <w:rtl/>
        </w:rPr>
        <w:t xml:space="preserve">, </w:t>
      </w:r>
      <w:r w:rsidRPr="007C3B90">
        <w:rPr>
          <w:rFonts w:hint="eastAsia"/>
          <w:rtl/>
        </w:rPr>
        <w:t>כי</w:t>
      </w:r>
      <w:r w:rsidRPr="007C3B90">
        <w:rPr>
          <w:rtl/>
        </w:rPr>
        <w:t xml:space="preserve"> </w:t>
      </w:r>
      <w:r w:rsidRPr="007C3B90">
        <w:rPr>
          <w:rFonts w:hint="eastAsia"/>
          <w:rtl/>
        </w:rPr>
        <w:t>בשל</w:t>
      </w:r>
      <w:r w:rsidRPr="007C3B90">
        <w:rPr>
          <w:rtl/>
        </w:rPr>
        <w:t xml:space="preserve"> </w:t>
      </w:r>
      <w:r w:rsidRPr="007C3B90">
        <w:rPr>
          <w:rFonts w:hint="eastAsia"/>
          <w:rtl/>
        </w:rPr>
        <w:t>הקשיים</w:t>
      </w:r>
      <w:r w:rsidRPr="007C3B90">
        <w:rPr>
          <w:rtl/>
        </w:rPr>
        <w:t xml:space="preserve"> </w:t>
      </w:r>
      <w:r w:rsidRPr="007C3B90">
        <w:rPr>
          <w:rFonts w:hint="eastAsia"/>
          <w:rtl/>
        </w:rPr>
        <w:t>שמעוררת</w:t>
      </w:r>
      <w:r w:rsidRPr="007C3B90">
        <w:rPr>
          <w:rtl/>
        </w:rPr>
        <w:t xml:space="preserve"> </w:t>
      </w:r>
      <w:r w:rsidRPr="007C3B90">
        <w:rPr>
          <w:rFonts w:hint="eastAsia"/>
          <w:rtl/>
        </w:rPr>
        <w:t>עילת</w:t>
      </w:r>
      <w:r w:rsidRPr="007C3B90">
        <w:rPr>
          <w:rtl/>
        </w:rPr>
        <w:t xml:space="preserve"> </w:t>
      </w:r>
      <w:r w:rsidRPr="007C3B90">
        <w:rPr>
          <w:rFonts w:hint="eastAsia"/>
          <w:rtl/>
        </w:rPr>
        <w:t>הסבירות</w:t>
      </w:r>
      <w:r w:rsidRPr="007C3B90">
        <w:rPr>
          <w:rtl/>
        </w:rPr>
        <w:t xml:space="preserve">, </w:t>
      </w:r>
      <w:r w:rsidRPr="007C3B90">
        <w:rPr>
          <w:rFonts w:hint="eastAsia"/>
          <w:rtl/>
        </w:rPr>
        <w:t>יש</w:t>
      </w:r>
      <w:r w:rsidRPr="007C3B90">
        <w:rPr>
          <w:rtl/>
        </w:rPr>
        <w:t xml:space="preserve"> </w:t>
      </w:r>
      <w:r w:rsidRPr="007C3B90">
        <w:rPr>
          <w:rFonts w:hint="eastAsia"/>
          <w:rtl/>
        </w:rPr>
        <w:t>לנקוט</w:t>
      </w:r>
      <w:r w:rsidRPr="007C3B90">
        <w:rPr>
          <w:rtl/>
        </w:rPr>
        <w:t xml:space="preserve"> </w:t>
      </w:r>
      <w:r w:rsidRPr="007C3B90">
        <w:rPr>
          <w:rFonts w:hint="eastAsia"/>
          <w:rtl/>
        </w:rPr>
        <w:t>יתר</w:t>
      </w:r>
      <w:r w:rsidRPr="007C3B90">
        <w:rPr>
          <w:rtl/>
        </w:rPr>
        <w:t xml:space="preserve"> </w:t>
      </w:r>
      <w:r w:rsidRPr="007C3B90">
        <w:rPr>
          <w:rFonts w:hint="eastAsia"/>
          <w:rtl/>
        </w:rPr>
        <w:t>זהירות</w:t>
      </w:r>
      <w:r w:rsidRPr="007C3B90">
        <w:rPr>
          <w:rtl/>
        </w:rPr>
        <w:t xml:space="preserve"> </w:t>
      </w:r>
      <w:r w:rsidRPr="007C3B90">
        <w:rPr>
          <w:rFonts w:hint="eastAsia"/>
          <w:rtl/>
        </w:rPr>
        <w:t>וריסון</w:t>
      </w:r>
      <w:r w:rsidRPr="007C3B90">
        <w:rPr>
          <w:rtl/>
        </w:rPr>
        <w:t xml:space="preserve"> </w:t>
      </w:r>
      <w:r w:rsidRPr="007C3B90">
        <w:rPr>
          <w:rFonts w:hint="eastAsia"/>
          <w:rtl/>
        </w:rPr>
        <w:t>בשימוש</w:t>
      </w:r>
      <w:r w:rsidRPr="007C3B90">
        <w:rPr>
          <w:rtl/>
        </w:rPr>
        <w:t xml:space="preserve"> </w:t>
      </w:r>
      <w:r w:rsidRPr="007C3B90">
        <w:rPr>
          <w:rFonts w:hint="eastAsia"/>
          <w:rtl/>
        </w:rPr>
        <w:t>בה</w:t>
      </w:r>
      <w:r w:rsidRPr="007C3B90">
        <w:rPr>
          <w:rtl/>
        </w:rPr>
        <w:t xml:space="preserve">, </w:t>
      </w:r>
      <w:r w:rsidRPr="007C3B90">
        <w:rPr>
          <w:rFonts w:hint="eastAsia"/>
          <w:rtl/>
        </w:rPr>
        <w:t>או</w:t>
      </w:r>
      <w:r w:rsidRPr="007C3B90">
        <w:rPr>
          <w:rtl/>
        </w:rPr>
        <w:t xml:space="preserve"> </w:t>
      </w:r>
      <w:r w:rsidRPr="007C3B90">
        <w:rPr>
          <w:rFonts w:hint="eastAsia"/>
          <w:rtl/>
        </w:rPr>
        <w:t>לצמצמה</w:t>
      </w:r>
      <w:r w:rsidRPr="007C3B90">
        <w:rPr>
          <w:rtl/>
        </w:rPr>
        <w:t xml:space="preserve"> </w:t>
      </w:r>
      <w:r w:rsidRPr="007C3B90">
        <w:rPr>
          <w:rFonts w:hint="eastAsia"/>
          <w:rtl/>
        </w:rPr>
        <w:t>באמצעים</w:t>
      </w:r>
      <w:r w:rsidRPr="007C3B90">
        <w:rPr>
          <w:rtl/>
        </w:rPr>
        <w:t xml:space="preserve"> </w:t>
      </w:r>
      <w:r w:rsidRPr="007C3B90">
        <w:rPr>
          <w:rFonts w:hint="eastAsia"/>
          <w:rtl/>
        </w:rPr>
        <w:t>פסיקתיים</w:t>
      </w:r>
      <w:r w:rsidRPr="007C3B90">
        <w:rPr>
          <w:rtl/>
        </w:rPr>
        <w:t xml:space="preserve">. </w:t>
      </w:r>
      <w:r w:rsidRPr="007C3B90">
        <w:rPr>
          <w:rFonts w:hint="eastAsia"/>
          <w:rtl/>
        </w:rPr>
        <w:t>במובן</w:t>
      </w:r>
      <w:r w:rsidRPr="007C3B90">
        <w:rPr>
          <w:rtl/>
        </w:rPr>
        <w:t xml:space="preserve"> </w:t>
      </w:r>
      <w:r w:rsidRPr="007C3B90">
        <w:rPr>
          <w:rFonts w:hint="eastAsia"/>
          <w:rtl/>
        </w:rPr>
        <w:t>זה</w:t>
      </w:r>
      <w:r w:rsidRPr="007C3B90">
        <w:rPr>
          <w:rtl/>
        </w:rPr>
        <w:t xml:space="preserve">, </w:t>
      </w:r>
      <w:r w:rsidRPr="007C3B90">
        <w:rPr>
          <w:rFonts w:hint="eastAsia"/>
          <w:rtl/>
        </w:rPr>
        <w:t>אף</w:t>
      </w:r>
      <w:r w:rsidRPr="007C3B90">
        <w:rPr>
          <w:rtl/>
        </w:rPr>
        <w:t xml:space="preserve"> </w:t>
      </w:r>
      <w:r w:rsidRPr="007C3B90">
        <w:rPr>
          <w:rFonts w:hint="eastAsia"/>
          <w:rtl/>
        </w:rPr>
        <w:t>שהתיקון</w:t>
      </w:r>
      <w:r w:rsidRPr="007C3B90">
        <w:rPr>
          <w:rtl/>
        </w:rPr>
        <w:t xml:space="preserve"> </w:t>
      </w:r>
      <w:r w:rsidRPr="007C3B90">
        <w:rPr>
          <w:rFonts w:hint="eastAsia"/>
          <w:rtl/>
        </w:rPr>
        <w:t>מבקש</w:t>
      </w:r>
      <w:r w:rsidRPr="007C3B90">
        <w:rPr>
          <w:rtl/>
        </w:rPr>
        <w:t xml:space="preserve"> </w:t>
      </w:r>
      <w:r w:rsidRPr="007C3B90">
        <w:rPr>
          <w:rFonts w:hint="eastAsia"/>
          <w:rtl/>
        </w:rPr>
        <w:t>להיתלות</w:t>
      </w:r>
      <w:r w:rsidRPr="007C3B90">
        <w:rPr>
          <w:rtl/>
        </w:rPr>
        <w:t xml:space="preserve"> </w:t>
      </w:r>
      <w:r w:rsidRPr="007C3B90">
        <w:rPr>
          <w:rFonts w:hint="eastAsia"/>
          <w:rtl/>
        </w:rPr>
        <w:t>ב</w:t>
      </w:r>
      <w:r w:rsidRPr="007C3B90">
        <w:rPr>
          <w:rtl/>
        </w:rPr>
        <w:t>'</w:t>
      </w:r>
      <w:r w:rsidRPr="007C3B90">
        <w:rPr>
          <w:rFonts w:hint="eastAsia"/>
          <w:rtl/>
        </w:rPr>
        <w:t>אילנות</w:t>
      </w:r>
      <w:r w:rsidRPr="007C3B90">
        <w:rPr>
          <w:rtl/>
        </w:rPr>
        <w:t xml:space="preserve">' </w:t>
      </w:r>
      <w:r w:rsidRPr="007C3B90">
        <w:rPr>
          <w:rFonts w:hint="eastAsia"/>
          <w:rtl/>
        </w:rPr>
        <w:t>הביקורת</w:t>
      </w:r>
      <w:r w:rsidRPr="007C3B90">
        <w:rPr>
          <w:rtl/>
        </w:rPr>
        <w:t xml:space="preserve"> </w:t>
      </w:r>
      <w:r w:rsidRPr="007C3B90">
        <w:rPr>
          <w:rFonts w:hint="eastAsia"/>
          <w:rtl/>
        </w:rPr>
        <w:t>על</w:t>
      </w:r>
      <w:r w:rsidRPr="007C3B90">
        <w:rPr>
          <w:rtl/>
        </w:rPr>
        <w:t xml:space="preserve"> </w:t>
      </w:r>
      <w:r w:rsidRPr="007C3B90">
        <w:rPr>
          <w:rFonts w:hint="eastAsia"/>
          <w:rtl/>
        </w:rPr>
        <w:t>עילת</w:t>
      </w:r>
      <w:r w:rsidRPr="007C3B90">
        <w:rPr>
          <w:rtl/>
        </w:rPr>
        <w:t xml:space="preserve"> </w:t>
      </w:r>
      <w:r w:rsidRPr="007C3B90">
        <w:rPr>
          <w:rFonts w:hint="eastAsia"/>
          <w:rtl/>
        </w:rPr>
        <w:t>הסבירות</w:t>
      </w:r>
      <w:r w:rsidRPr="007C3B90">
        <w:rPr>
          <w:rtl/>
        </w:rPr>
        <w:t xml:space="preserve">, </w:t>
      </w:r>
      <w:r w:rsidRPr="007C3B90">
        <w:rPr>
          <w:rFonts w:hint="eastAsia"/>
          <w:rtl/>
        </w:rPr>
        <w:t>בפועל</w:t>
      </w:r>
      <w:r w:rsidRPr="007C3B90">
        <w:rPr>
          <w:rtl/>
        </w:rPr>
        <w:t xml:space="preserve"> </w:t>
      </w:r>
      <w:r w:rsidRPr="007C3B90">
        <w:rPr>
          <w:rFonts w:hint="eastAsia"/>
          <w:rtl/>
        </w:rPr>
        <w:t>אין</w:t>
      </w:r>
      <w:r w:rsidRPr="007C3B90">
        <w:rPr>
          <w:rtl/>
        </w:rPr>
        <w:t xml:space="preserve"> </w:t>
      </w:r>
      <w:r w:rsidRPr="007C3B90">
        <w:rPr>
          <w:rFonts w:hint="eastAsia"/>
          <w:rtl/>
        </w:rPr>
        <w:t>הוא</w:t>
      </w:r>
      <w:r w:rsidRPr="007C3B90">
        <w:rPr>
          <w:rtl/>
        </w:rPr>
        <w:t xml:space="preserve"> </w:t>
      </w:r>
      <w:r w:rsidRPr="007C3B90">
        <w:rPr>
          <w:rFonts w:hint="eastAsia"/>
          <w:rtl/>
        </w:rPr>
        <w:t>תוצאה</w:t>
      </w:r>
      <w:r w:rsidRPr="007C3B90">
        <w:rPr>
          <w:rtl/>
        </w:rPr>
        <w:t xml:space="preserve"> </w:t>
      </w:r>
      <w:r w:rsidRPr="007C3B90">
        <w:rPr>
          <w:rFonts w:hint="eastAsia"/>
          <w:rtl/>
        </w:rPr>
        <w:t>טבעית</w:t>
      </w:r>
      <w:r w:rsidRPr="007C3B90">
        <w:rPr>
          <w:rtl/>
        </w:rPr>
        <w:t xml:space="preserve"> </w:t>
      </w:r>
      <w:r w:rsidRPr="007C3B90">
        <w:rPr>
          <w:rFonts w:hint="eastAsia"/>
          <w:rtl/>
        </w:rPr>
        <w:t>של</w:t>
      </w:r>
      <w:r w:rsidRPr="007C3B90">
        <w:rPr>
          <w:rtl/>
        </w:rPr>
        <w:t xml:space="preserve"> </w:t>
      </w:r>
      <w:r w:rsidRPr="007C3B90">
        <w:rPr>
          <w:rFonts w:hint="eastAsia"/>
          <w:rtl/>
        </w:rPr>
        <w:t>ביקורת</w:t>
      </w:r>
      <w:r w:rsidRPr="007C3B90">
        <w:rPr>
          <w:rtl/>
        </w:rPr>
        <w:t xml:space="preserve"> </w:t>
      </w:r>
      <w:r w:rsidRPr="007C3B90">
        <w:rPr>
          <w:rFonts w:hint="eastAsia"/>
          <w:rtl/>
        </w:rPr>
        <w:t>זו</w:t>
      </w:r>
      <w:r w:rsidRPr="007C3B90">
        <w:rPr>
          <w:rtl/>
        </w:rPr>
        <w:t xml:space="preserve">. </w:t>
      </w:r>
    </w:p>
    <w:p w:rsidR="00BB56BB" w:rsidRPr="007C3B90" w:rsidRDefault="00BB56BB" w:rsidP="00BB56BB">
      <w:pPr>
        <w:pStyle w:val="Ruller4"/>
        <w:numPr>
          <w:ilvl w:val="0"/>
          <w:numId w:val="0"/>
        </w:numPr>
        <w:rPr>
          <w:rtl/>
        </w:rPr>
      </w:pPr>
    </w:p>
    <w:p w:rsidR="00BB56BB" w:rsidRPr="007C3B90" w:rsidRDefault="00BB56BB" w:rsidP="00BB56BB">
      <w:pPr>
        <w:pStyle w:val="Ruller4"/>
      </w:pPr>
      <w:r w:rsidRPr="007C3B90">
        <w:rPr>
          <w:rFonts w:hint="eastAsia"/>
          <w:rtl/>
        </w:rPr>
        <w:t>לאור</w:t>
      </w:r>
      <w:r w:rsidRPr="007C3B90">
        <w:rPr>
          <w:rtl/>
        </w:rPr>
        <w:t xml:space="preserve"> </w:t>
      </w:r>
      <w:r w:rsidRPr="007C3B90">
        <w:rPr>
          <w:rFonts w:hint="eastAsia"/>
          <w:rtl/>
        </w:rPr>
        <w:t>האמור</w:t>
      </w:r>
      <w:r w:rsidRPr="007C3B90">
        <w:rPr>
          <w:rtl/>
        </w:rPr>
        <w:t xml:space="preserve">, </w:t>
      </w:r>
      <w:r w:rsidRPr="007C3B90">
        <w:rPr>
          <w:rFonts w:hint="cs"/>
          <w:rtl/>
        </w:rPr>
        <w:t>ייתכן ש</w:t>
      </w:r>
      <w:r w:rsidRPr="007C3B90">
        <w:rPr>
          <w:rFonts w:hint="eastAsia"/>
          <w:rtl/>
        </w:rPr>
        <w:t>טוב</w:t>
      </w:r>
      <w:r w:rsidRPr="007C3B90">
        <w:rPr>
          <w:rtl/>
        </w:rPr>
        <w:t xml:space="preserve"> </w:t>
      </w:r>
      <w:r w:rsidRPr="007C3B90">
        <w:rPr>
          <w:rFonts w:hint="eastAsia"/>
          <w:rtl/>
        </w:rPr>
        <w:t>היה</w:t>
      </w:r>
      <w:r w:rsidRPr="007C3B90">
        <w:rPr>
          <w:rFonts w:hint="cs"/>
          <w:rtl/>
        </w:rPr>
        <w:t>,</w:t>
      </w:r>
      <w:r w:rsidRPr="007C3B90">
        <w:rPr>
          <w:rtl/>
        </w:rPr>
        <w:t xml:space="preserve"> </w:t>
      </w:r>
      <w:r w:rsidRPr="007C3B90">
        <w:rPr>
          <w:rFonts w:hint="eastAsia"/>
          <w:rtl/>
        </w:rPr>
        <w:t>אילו</w:t>
      </w:r>
      <w:r w:rsidRPr="007C3B90">
        <w:rPr>
          <w:rtl/>
        </w:rPr>
        <w:t xml:space="preserve"> </w:t>
      </w:r>
      <w:r w:rsidRPr="007C3B90">
        <w:rPr>
          <w:rFonts w:hint="eastAsia"/>
          <w:rtl/>
        </w:rPr>
        <w:t>חוק</w:t>
      </w:r>
      <w:r w:rsidRPr="007C3B90">
        <w:rPr>
          <w:rFonts w:hint="cs"/>
          <w:rtl/>
        </w:rPr>
        <w:t xml:space="preserve"> </w:t>
      </w:r>
      <w:r w:rsidRPr="007C3B90">
        <w:rPr>
          <w:rFonts w:hint="eastAsia"/>
          <w:rtl/>
        </w:rPr>
        <w:t>היסוד</w:t>
      </w:r>
      <w:r w:rsidRPr="007C3B90">
        <w:rPr>
          <w:rtl/>
        </w:rPr>
        <w:t xml:space="preserve"> </w:t>
      </w:r>
      <w:r w:rsidRPr="007C3B90">
        <w:rPr>
          <w:rFonts w:hint="eastAsia"/>
          <w:rtl/>
        </w:rPr>
        <w:t>המתקן</w:t>
      </w:r>
      <w:r w:rsidRPr="007C3B90">
        <w:rPr>
          <w:rtl/>
        </w:rPr>
        <w:t xml:space="preserve">, </w:t>
      </w:r>
      <w:r w:rsidRPr="007C3B90">
        <w:rPr>
          <w:rFonts w:hint="eastAsia"/>
          <w:rtl/>
        </w:rPr>
        <w:t>במתכונתו</w:t>
      </w:r>
      <w:r w:rsidRPr="007C3B90">
        <w:rPr>
          <w:rtl/>
        </w:rPr>
        <w:t xml:space="preserve"> </w:t>
      </w:r>
      <w:r w:rsidRPr="007C3B90">
        <w:rPr>
          <w:rFonts w:hint="eastAsia"/>
          <w:rtl/>
        </w:rPr>
        <w:t>הנוכחית</w:t>
      </w:r>
      <w:r w:rsidRPr="007C3B90">
        <w:rPr>
          <w:rtl/>
        </w:rPr>
        <w:t xml:space="preserve">, </w:t>
      </w:r>
      <w:r w:rsidRPr="007C3B90">
        <w:rPr>
          <w:rFonts w:hint="eastAsia"/>
          <w:rtl/>
        </w:rPr>
        <w:t>לא</w:t>
      </w:r>
      <w:r w:rsidRPr="007C3B90">
        <w:rPr>
          <w:rtl/>
        </w:rPr>
        <w:t xml:space="preserve"> </w:t>
      </w:r>
      <w:r w:rsidRPr="007C3B90">
        <w:rPr>
          <w:rFonts w:hint="eastAsia"/>
          <w:rtl/>
        </w:rPr>
        <w:t>היה</w:t>
      </w:r>
      <w:r w:rsidRPr="007C3B90">
        <w:rPr>
          <w:rtl/>
        </w:rPr>
        <w:t xml:space="preserve"> </w:t>
      </w:r>
      <w:r w:rsidRPr="007C3B90">
        <w:rPr>
          <w:rFonts w:hint="eastAsia"/>
          <w:rtl/>
        </w:rPr>
        <w:t>בא</w:t>
      </w:r>
      <w:r w:rsidRPr="007C3B90">
        <w:rPr>
          <w:rtl/>
        </w:rPr>
        <w:t xml:space="preserve"> </w:t>
      </w:r>
      <w:r w:rsidRPr="007C3B90">
        <w:rPr>
          <w:rFonts w:hint="eastAsia"/>
          <w:rtl/>
        </w:rPr>
        <w:t>לעולם</w:t>
      </w:r>
      <w:r w:rsidRPr="007C3B90">
        <w:rPr>
          <w:rtl/>
        </w:rPr>
        <w:t xml:space="preserve">. </w:t>
      </w:r>
      <w:r w:rsidRPr="007C3B90">
        <w:rPr>
          <w:rFonts w:hint="eastAsia"/>
          <w:rtl/>
        </w:rPr>
        <w:t>עם</w:t>
      </w:r>
      <w:r w:rsidRPr="007C3B90">
        <w:rPr>
          <w:rtl/>
        </w:rPr>
        <w:t xml:space="preserve"> </w:t>
      </w:r>
      <w:r w:rsidRPr="007C3B90">
        <w:rPr>
          <w:rFonts w:hint="eastAsia"/>
          <w:rtl/>
        </w:rPr>
        <w:t>זאת</w:t>
      </w:r>
      <w:r w:rsidRPr="007C3B90">
        <w:rPr>
          <w:rtl/>
        </w:rPr>
        <w:t xml:space="preserve">, </w:t>
      </w:r>
      <w:r w:rsidRPr="007C3B90">
        <w:rPr>
          <w:rFonts w:hint="eastAsia"/>
          <w:rtl/>
        </w:rPr>
        <w:t>ו</w:t>
      </w:r>
      <w:r w:rsidRPr="007C3B90">
        <w:rPr>
          <w:rFonts w:hint="cs"/>
          <w:rtl/>
        </w:rPr>
        <w:t>זה ה</w:t>
      </w:r>
      <w:r w:rsidRPr="007C3B90">
        <w:rPr>
          <w:rtl/>
        </w:rPr>
        <w:t>עיקר – משעה שמצא התיקון את מקומו בספר החוקים, אין זה מתפקידנו להרהר אחרי מידת צדקתו או תבונתו. גם חוק</w:t>
      </w:r>
      <w:r w:rsidRPr="007C3B90">
        <w:rPr>
          <w:rFonts w:hint="cs"/>
          <w:rtl/>
        </w:rPr>
        <w:t xml:space="preserve"> שאינו ראוי, ואף חוק</w:t>
      </w:r>
      <w:r w:rsidRPr="007C3B90">
        <w:rPr>
          <w:rtl/>
        </w:rPr>
        <w:t xml:space="preserve"> "רע-לתפארת"</w:t>
      </w:r>
      <w:r w:rsidRPr="007C3B90">
        <w:rPr>
          <w:rFonts w:hint="cs"/>
          <w:rtl/>
        </w:rPr>
        <w:t>,</w:t>
      </w:r>
      <w:r w:rsidRPr="007C3B90">
        <w:rPr>
          <w:rtl/>
        </w:rPr>
        <w:t xml:space="preserve"> אינו בהכרח חוק בלתי חוקתי (בג"ץ 3752/10 </w:t>
      </w:r>
      <w:r w:rsidRPr="007C3B90">
        <w:rPr>
          <w:rFonts w:ascii="Century" w:hAnsi="Century" w:cs="Miriam"/>
          <w:b/>
          <w:spacing w:val="0"/>
          <w:szCs w:val="24"/>
          <w:rtl/>
        </w:rPr>
        <w:t>רובינשטיין נ' הכנסת</w:t>
      </w:r>
      <w:r w:rsidRPr="007C3B90">
        <w:rPr>
          <w:rFonts w:ascii="Century" w:hAnsi="Century"/>
          <w:sz w:val="22"/>
          <w:rtl/>
        </w:rPr>
        <w:t>,</w:t>
      </w:r>
      <w:r w:rsidRPr="007C3B90">
        <w:rPr>
          <w:rtl/>
        </w:rPr>
        <w:t xml:space="preserve"> פסקה 38 לפסק דינו של השופט </w:t>
      </w:r>
      <w:r w:rsidRPr="007C3B90">
        <w:rPr>
          <w:rFonts w:ascii="Century" w:hAnsi="Century" w:cs="Miriam"/>
          <w:b/>
          <w:spacing w:val="0"/>
          <w:szCs w:val="24"/>
          <w:rtl/>
        </w:rPr>
        <w:t>י' עמית</w:t>
      </w:r>
      <w:r w:rsidRPr="007C3B90">
        <w:rPr>
          <w:rtl/>
        </w:rPr>
        <w:t xml:space="preserve"> (17.9.2014)</w:t>
      </w:r>
      <w:r w:rsidRPr="007C3B90">
        <w:rPr>
          <w:rFonts w:hint="cs"/>
          <w:rtl/>
        </w:rPr>
        <w:t xml:space="preserve">; עניין </w:t>
      </w:r>
      <w:r w:rsidRPr="007C3B90">
        <w:rPr>
          <w:rFonts w:ascii="Century" w:hAnsi="Century" w:cs="Miriam" w:hint="cs"/>
          <w:b/>
          <w:spacing w:val="0"/>
          <w:szCs w:val="24"/>
          <w:rtl/>
        </w:rPr>
        <w:t>בנק המזרחי</w:t>
      </w:r>
      <w:r w:rsidRPr="007C3B90">
        <w:rPr>
          <w:rFonts w:hint="cs"/>
          <w:rtl/>
        </w:rPr>
        <w:t>, בעמ' 438</w:t>
      </w:r>
      <w:r w:rsidRPr="007C3B90">
        <w:rPr>
          <w:rtl/>
        </w:rPr>
        <w:t xml:space="preserve">). </w:t>
      </w:r>
      <w:r w:rsidRPr="007C3B90">
        <w:rPr>
          <w:rFonts w:hint="cs"/>
          <w:rtl/>
        </w:rPr>
        <w:lastRenderedPageBreak/>
        <w:t xml:space="preserve">השאלה </w:t>
      </w:r>
      <w:r w:rsidRPr="007C3B90">
        <w:rPr>
          <w:rtl/>
        </w:rPr>
        <w:t>אם התיקון מוצדק, אם חוקק בהליך מיטבי</w:t>
      </w:r>
      <w:r w:rsidRPr="007C3B90">
        <w:rPr>
          <w:rFonts w:hint="cs"/>
          <w:rtl/>
        </w:rPr>
        <w:t xml:space="preserve"> ו</w:t>
      </w:r>
      <w:r w:rsidRPr="007C3B90">
        <w:rPr>
          <w:rtl/>
        </w:rPr>
        <w:t>אם נוסחו נבון</w:t>
      </w:r>
      <w:r w:rsidRPr="007C3B90">
        <w:rPr>
          <w:rFonts w:hint="cs"/>
          <w:rtl/>
        </w:rPr>
        <w:t>,</w:t>
      </w:r>
      <w:r w:rsidRPr="007C3B90">
        <w:rPr>
          <w:rtl/>
        </w:rPr>
        <w:t xml:space="preserve"> ה</w:t>
      </w:r>
      <w:r w:rsidRPr="007C3B90">
        <w:rPr>
          <w:rFonts w:hint="cs"/>
          <w:rtl/>
        </w:rPr>
        <w:t>יא בעלת</w:t>
      </w:r>
      <w:r w:rsidRPr="007C3B90">
        <w:rPr>
          <w:rtl/>
        </w:rPr>
        <w:t xml:space="preserve"> חשיבות, בוודאי במישור הציבורי – אך ה</w:t>
      </w:r>
      <w:r w:rsidRPr="007C3B90">
        <w:rPr>
          <w:rFonts w:hint="cs"/>
          <w:rtl/>
        </w:rPr>
        <w:t xml:space="preserve">יא אינה נתונה </w:t>
      </w:r>
      <w:r w:rsidRPr="007C3B90">
        <w:rPr>
          <w:rtl/>
        </w:rPr>
        <w:t>להכרעתו המשפטית של בית משפט זה.</w:t>
      </w:r>
      <w:r w:rsidRPr="007C3B90">
        <w:rPr>
          <w:rFonts w:hint="cs"/>
          <w:rtl/>
        </w:rPr>
        <w:t xml:space="preserve"> מקום שהמחוקק עשה את בחירתו בהוציאו את התיקון תחת ידיו,</w:t>
      </w:r>
      <w:r w:rsidRPr="007C3B90">
        <w:rPr>
          <w:rtl/>
        </w:rPr>
        <w:t xml:space="preserve"> השאלה שעלינו להציב לעצמנו</w:t>
      </w:r>
      <w:r w:rsidRPr="007C3B90">
        <w:rPr>
          <w:rFonts w:hint="cs"/>
          <w:rtl/>
        </w:rPr>
        <w:t>, כמי שאמונים על שמירת הדין</w:t>
      </w:r>
      <w:r w:rsidRPr="007C3B90">
        <w:rPr>
          <w:rtl/>
        </w:rPr>
        <w:t>, היא – האם מתקיימות במקרה שלפנינו אמות המידה המשפטיות לפסילת חוק</w:t>
      </w:r>
      <w:r>
        <w:rPr>
          <w:rFonts w:hint="cs"/>
          <w:rtl/>
        </w:rPr>
        <w:t xml:space="preserve"> </w:t>
      </w:r>
      <w:r w:rsidRPr="007C3B90">
        <w:rPr>
          <w:rtl/>
        </w:rPr>
        <w:t>יסוד</w:t>
      </w:r>
      <w:r w:rsidRPr="007C3B90">
        <w:rPr>
          <w:rFonts w:hint="cs"/>
          <w:rtl/>
        </w:rPr>
        <w:t>,</w:t>
      </w:r>
      <w:r w:rsidRPr="007C3B90">
        <w:rPr>
          <w:rtl/>
        </w:rPr>
        <w:t xml:space="preserve"> </w:t>
      </w:r>
      <w:r w:rsidRPr="007C3B90">
        <w:rPr>
          <w:rFonts w:hint="eastAsia"/>
          <w:rtl/>
        </w:rPr>
        <w:t>לאמור</w:t>
      </w:r>
      <w:r w:rsidRPr="007C3B90">
        <w:rPr>
          <w:rtl/>
        </w:rPr>
        <w:t xml:space="preserve">: </w:t>
      </w:r>
      <w:r w:rsidRPr="007C3B90">
        <w:rPr>
          <w:rFonts w:hint="eastAsia"/>
          <w:rtl/>
        </w:rPr>
        <w:t>האם</w:t>
      </w:r>
      <w:r w:rsidRPr="007C3B90">
        <w:rPr>
          <w:rtl/>
        </w:rPr>
        <w:t xml:space="preserve"> </w:t>
      </w:r>
      <w:r w:rsidRPr="007C3B90">
        <w:rPr>
          <w:rFonts w:hint="eastAsia"/>
          <w:rtl/>
        </w:rPr>
        <w:t>התיקון</w:t>
      </w:r>
      <w:r w:rsidRPr="007C3B90">
        <w:rPr>
          <w:rtl/>
        </w:rPr>
        <w:t xml:space="preserve"> </w:t>
      </w:r>
      <w:r w:rsidRPr="007C3B90">
        <w:rPr>
          <w:rFonts w:hint="eastAsia"/>
          <w:rtl/>
        </w:rPr>
        <w:t>פוגע</w:t>
      </w:r>
      <w:r w:rsidRPr="007C3B90">
        <w:rPr>
          <w:rtl/>
        </w:rPr>
        <w:t xml:space="preserve"> </w:t>
      </w:r>
      <w:r w:rsidRPr="007C3B90">
        <w:rPr>
          <w:rFonts w:hint="eastAsia"/>
          <w:rtl/>
        </w:rPr>
        <w:t>בצורה</w:t>
      </w:r>
      <w:r w:rsidRPr="007C3B90">
        <w:rPr>
          <w:rtl/>
        </w:rPr>
        <w:t xml:space="preserve"> </w:t>
      </w:r>
      <w:r w:rsidRPr="007C3B90">
        <w:rPr>
          <w:rFonts w:hint="eastAsia"/>
          <w:rtl/>
        </w:rPr>
        <w:t>אנושה</w:t>
      </w:r>
      <w:r w:rsidRPr="007C3B90">
        <w:rPr>
          <w:rtl/>
        </w:rPr>
        <w:t xml:space="preserve"> </w:t>
      </w:r>
      <w:r w:rsidRPr="007C3B90">
        <w:rPr>
          <w:rFonts w:hint="eastAsia"/>
          <w:rtl/>
        </w:rPr>
        <w:t>בליבת</w:t>
      </w:r>
      <w:r w:rsidRPr="007C3B90">
        <w:rPr>
          <w:rtl/>
        </w:rPr>
        <w:t xml:space="preserve"> </w:t>
      </w:r>
      <w:r w:rsidRPr="007C3B90">
        <w:rPr>
          <w:rFonts w:hint="eastAsia"/>
          <w:rtl/>
        </w:rPr>
        <w:t>זהותה</w:t>
      </w:r>
      <w:r w:rsidRPr="007C3B90">
        <w:rPr>
          <w:rtl/>
        </w:rPr>
        <w:t xml:space="preserve"> </w:t>
      </w:r>
      <w:r w:rsidRPr="007C3B90">
        <w:rPr>
          <w:rFonts w:hint="eastAsia"/>
          <w:rtl/>
        </w:rPr>
        <w:t>הדמוקרטית</w:t>
      </w:r>
      <w:r w:rsidRPr="007C3B90">
        <w:rPr>
          <w:rtl/>
        </w:rPr>
        <w:t xml:space="preserve"> </w:t>
      </w:r>
      <w:r w:rsidRPr="007C3B90">
        <w:rPr>
          <w:rFonts w:hint="eastAsia"/>
          <w:rtl/>
        </w:rPr>
        <w:t>של</w:t>
      </w:r>
      <w:r w:rsidRPr="007C3B90">
        <w:rPr>
          <w:rtl/>
        </w:rPr>
        <w:t xml:space="preserve"> </w:t>
      </w:r>
      <w:r w:rsidRPr="007C3B90">
        <w:rPr>
          <w:rFonts w:hint="eastAsia"/>
          <w:rtl/>
        </w:rPr>
        <w:t>מדינת</w:t>
      </w:r>
      <w:r w:rsidRPr="007C3B90">
        <w:rPr>
          <w:rtl/>
        </w:rPr>
        <w:t xml:space="preserve"> </w:t>
      </w:r>
      <w:r w:rsidRPr="007C3B90">
        <w:rPr>
          <w:rFonts w:hint="eastAsia"/>
          <w:rtl/>
        </w:rPr>
        <w:t>ישראל</w:t>
      </w:r>
      <w:r w:rsidRPr="007C3B90">
        <w:rPr>
          <w:rtl/>
        </w:rPr>
        <w:t xml:space="preserve">. </w:t>
      </w:r>
      <w:r w:rsidRPr="007C3B90">
        <w:rPr>
          <w:rFonts w:hint="eastAsia"/>
          <w:rtl/>
        </w:rPr>
        <w:t>הא</w:t>
      </w:r>
      <w:r w:rsidRPr="007C3B90">
        <w:rPr>
          <w:rtl/>
        </w:rPr>
        <w:t xml:space="preserve">, </w:t>
      </w:r>
      <w:r w:rsidRPr="007C3B90">
        <w:rPr>
          <w:rFonts w:hint="eastAsia"/>
          <w:rtl/>
        </w:rPr>
        <w:t>ותו</w:t>
      </w:r>
      <w:r w:rsidRPr="007C3B90">
        <w:rPr>
          <w:rtl/>
        </w:rPr>
        <w:t xml:space="preserve"> </w:t>
      </w:r>
      <w:r w:rsidRPr="007C3B90">
        <w:rPr>
          <w:rFonts w:hint="eastAsia"/>
          <w:rtl/>
        </w:rPr>
        <w:t>לא</w:t>
      </w:r>
      <w:r w:rsidRPr="007C3B90">
        <w:rPr>
          <w:rtl/>
        </w:rPr>
        <w:t xml:space="preserve">. </w:t>
      </w:r>
      <w:r w:rsidRPr="007C3B90">
        <w:rPr>
          <w:rFonts w:hint="eastAsia"/>
          <w:rtl/>
        </w:rPr>
        <w:t>בהעמידי</w:t>
      </w:r>
      <w:r w:rsidRPr="007C3B90">
        <w:rPr>
          <w:rtl/>
        </w:rPr>
        <w:t xml:space="preserve"> </w:t>
      </w:r>
      <w:r w:rsidRPr="007C3B90">
        <w:rPr>
          <w:rFonts w:hint="eastAsia"/>
          <w:rtl/>
        </w:rPr>
        <w:t>שאלה</w:t>
      </w:r>
      <w:r w:rsidRPr="007C3B90">
        <w:rPr>
          <w:rtl/>
        </w:rPr>
        <w:t xml:space="preserve"> </w:t>
      </w:r>
      <w:r w:rsidRPr="007C3B90">
        <w:rPr>
          <w:rFonts w:hint="eastAsia"/>
          <w:rtl/>
        </w:rPr>
        <w:t>זו</w:t>
      </w:r>
      <w:r w:rsidRPr="007C3B90">
        <w:rPr>
          <w:rtl/>
        </w:rPr>
        <w:t xml:space="preserve"> </w:t>
      </w:r>
      <w:r w:rsidRPr="007C3B90">
        <w:rPr>
          <w:rFonts w:hint="eastAsia"/>
          <w:rtl/>
        </w:rPr>
        <w:t>לפניי</w:t>
      </w:r>
      <w:r w:rsidRPr="007C3B90">
        <w:rPr>
          <w:rtl/>
        </w:rPr>
        <w:t xml:space="preserve">, </w:t>
      </w:r>
      <w:r w:rsidRPr="007C3B90">
        <w:rPr>
          <w:rFonts w:hint="eastAsia"/>
          <w:rtl/>
        </w:rPr>
        <w:t>אני</w:t>
      </w:r>
      <w:r w:rsidRPr="007C3B90">
        <w:rPr>
          <w:rtl/>
        </w:rPr>
        <w:t xml:space="preserve"> </w:t>
      </w:r>
      <w:r w:rsidRPr="007C3B90">
        <w:rPr>
          <w:rFonts w:hint="eastAsia"/>
          <w:rtl/>
        </w:rPr>
        <w:t>סבורה</w:t>
      </w:r>
      <w:r w:rsidRPr="007C3B90">
        <w:rPr>
          <w:rtl/>
        </w:rPr>
        <w:t xml:space="preserve"> </w:t>
      </w:r>
      <w:r w:rsidRPr="007C3B90">
        <w:rPr>
          <w:rFonts w:hint="eastAsia"/>
          <w:rtl/>
        </w:rPr>
        <w:t>כי</w:t>
      </w:r>
      <w:r w:rsidRPr="007C3B90">
        <w:rPr>
          <w:rtl/>
        </w:rPr>
        <w:t xml:space="preserve"> </w:t>
      </w:r>
      <w:r w:rsidRPr="007C3B90">
        <w:rPr>
          <w:rFonts w:hint="eastAsia"/>
          <w:rtl/>
        </w:rPr>
        <w:t>יש</w:t>
      </w:r>
      <w:r w:rsidRPr="007C3B90">
        <w:rPr>
          <w:rtl/>
        </w:rPr>
        <w:t xml:space="preserve"> </w:t>
      </w:r>
      <w:r w:rsidRPr="007C3B90">
        <w:rPr>
          <w:rFonts w:hint="eastAsia"/>
          <w:rtl/>
        </w:rPr>
        <w:t>להשיב</w:t>
      </w:r>
      <w:r w:rsidRPr="007C3B90">
        <w:rPr>
          <w:rtl/>
        </w:rPr>
        <w:t xml:space="preserve"> </w:t>
      </w:r>
      <w:r w:rsidRPr="007C3B90">
        <w:rPr>
          <w:rFonts w:hint="eastAsia"/>
          <w:rtl/>
        </w:rPr>
        <w:t>עליה</w:t>
      </w:r>
      <w:r w:rsidRPr="007C3B90">
        <w:rPr>
          <w:rtl/>
        </w:rPr>
        <w:t xml:space="preserve"> </w:t>
      </w:r>
      <w:r w:rsidRPr="007C3B90">
        <w:rPr>
          <w:rFonts w:hint="eastAsia"/>
          <w:rtl/>
        </w:rPr>
        <w:t>בשלילה</w:t>
      </w:r>
      <w:r w:rsidRPr="007C3B90">
        <w:rPr>
          <w:rtl/>
        </w:rPr>
        <w:t xml:space="preserve">. </w:t>
      </w:r>
      <w:r w:rsidRPr="007C3B90">
        <w:rPr>
          <w:rFonts w:hint="eastAsia"/>
          <w:rtl/>
        </w:rPr>
        <w:t>להלן</w:t>
      </w:r>
      <w:r w:rsidRPr="007C3B90">
        <w:rPr>
          <w:rtl/>
        </w:rPr>
        <w:t xml:space="preserve"> </w:t>
      </w:r>
      <w:r w:rsidRPr="007C3B90">
        <w:rPr>
          <w:rFonts w:hint="eastAsia"/>
          <w:rtl/>
        </w:rPr>
        <w:t>אפרט</w:t>
      </w:r>
      <w:r w:rsidRPr="007C3B90">
        <w:rPr>
          <w:rtl/>
        </w:rPr>
        <w:t xml:space="preserve"> </w:t>
      </w:r>
      <w:r w:rsidRPr="007C3B90">
        <w:rPr>
          <w:rFonts w:hint="eastAsia"/>
          <w:rtl/>
        </w:rPr>
        <w:t>את</w:t>
      </w:r>
      <w:r w:rsidRPr="007C3B90">
        <w:rPr>
          <w:rtl/>
        </w:rPr>
        <w:t xml:space="preserve"> </w:t>
      </w:r>
      <w:r w:rsidRPr="007C3B90">
        <w:rPr>
          <w:rFonts w:hint="eastAsia"/>
          <w:rtl/>
        </w:rPr>
        <w:t>טעמיי</w:t>
      </w:r>
      <w:r w:rsidRPr="007C3B90">
        <w:rPr>
          <w:rtl/>
        </w:rPr>
        <w:t>.</w:t>
      </w:r>
      <w:r w:rsidRPr="007C3B90">
        <w:rPr>
          <w:rtl/>
        </w:rPr>
        <w:br/>
      </w:r>
    </w:p>
    <w:p w:rsidR="00BB56BB" w:rsidRPr="007C3B90" w:rsidRDefault="00BB56BB" w:rsidP="00BB56BB">
      <w:pPr>
        <w:pStyle w:val="Ruller4"/>
      </w:pPr>
      <w:r w:rsidRPr="007C3B90">
        <w:rPr>
          <w:rFonts w:hint="eastAsia"/>
          <w:rtl/>
        </w:rPr>
        <w:t>חוק</w:t>
      </w:r>
      <w:r>
        <w:rPr>
          <w:rFonts w:hint="cs"/>
          <w:rtl/>
        </w:rPr>
        <w:t xml:space="preserve"> </w:t>
      </w:r>
      <w:r w:rsidRPr="007C3B90">
        <w:rPr>
          <w:rFonts w:hint="eastAsia"/>
          <w:rtl/>
        </w:rPr>
        <w:t>יסוד</w:t>
      </w:r>
      <w:r w:rsidRPr="007C3B90">
        <w:rPr>
          <w:rtl/>
        </w:rPr>
        <w:t xml:space="preserve"> </w:t>
      </w:r>
      <w:r w:rsidRPr="007C3B90">
        <w:rPr>
          <w:rFonts w:hint="eastAsia"/>
          <w:rtl/>
        </w:rPr>
        <w:t>המבקש</w:t>
      </w:r>
      <w:r w:rsidRPr="007C3B90">
        <w:rPr>
          <w:rtl/>
        </w:rPr>
        <w:t xml:space="preserve"> </w:t>
      </w:r>
      <w:r w:rsidRPr="007C3B90">
        <w:rPr>
          <w:rFonts w:hint="eastAsia"/>
          <w:rtl/>
        </w:rPr>
        <w:t>לשלול</w:t>
      </w:r>
      <w:r w:rsidRPr="007C3B90">
        <w:rPr>
          <w:rtl/>
        </w:rPr>
        <w:t xml:space="preserve"> </w:t>
      </w:r>
      <w:r w:rsidRPr="007C3B90">
        <w:rPr>
          <w:rFonts w:hint="eastAsia"/>
          <w:rtl/>
        </w:rPr>
        <w:t>ביקורת</w:t>
      </w:r>
      <w:r w:rsidRPr="007C3B90">
        <w:rPr>
          <w:rtl/>
        </w:rPr>
        <w:t xml:space="preserve"> </w:t>
      </w:r>
      <w:r w:rsidRPr="007C3B90">
        <w:rPr>
          <w:rFonts w:hint="eastAsia"/>
          <w:rtl/>
        </w:rPr>
        <w:t>שיפוטית</w:t>
      </w:r>
      <w:r w:rsidRPr="007C3B90">
        <w:rPr>
          <w:rtl/>
        </w:rPr>
        <w:t xml:space="preserve"> </w:t>
      </w:r>
      <w:r w:rsidRPr="007C3B90">
        <w:rPr>
          <w:rFonts w:hint="eastAsia"/>
          <w:rtl/>
        </w:rPr>
        <w:t>עלול</w:t>
      </w:r>
      <w:r w:rsidRPr="007C3B90">
        <w:rPr>
          <w:rtl/>
        </w:rPr>
        <w:t xml:space="preserve">, </w:t>
      </w:r>
      <w:r w:rsidRPr="007C3B90">
        <w:rPr>
          <w:rFonts w:hint="eastAsia"/>
          <w:rtl/>
        </w:rPr>
        <w:t>במקרים</w:t>
      </w:r>
      <w:r w:rsidRPr="007C3B90">
        <w:rPr>
          <w:rtl/>
        </w:rPr>
        <w:t xml:space="preserve"> </w:t>
      </w:r>
      <w:r w:rsidRPr="007C3B90">
        <w:rPr>
          <w:rFonts w:hint="eastAsia"/>
          <w:rtl/>
        </w:rPr>
        <w:t>קיצוניים</w:t>
      </w:r>
      <w:r w:rsidRPr="007C3B90">
        <w:rPr>
          <w:rtl/>
        </w:rPr>
        <w:t xml:space="preserve">, </w:t>
      </w:r>
      <w:r w:rsidRPr="007C3B90">
        <w:rPr>
          <w:rFonts w:hint="eastAsia"/>
          <w:rtl/>
        </w:rPr>
        <w:t>לפגוע</w:t>
      </w:r>
      <w:r w:rsidRPr="007C3B90">
        <w:rPr>
          <w:rtl/>
        </w:rPr>
        <w:t xml:space="preserve"> </w:t>
      </w:r>
      <w:r w:rsidRPr="007C3B90">
        <w:rPr>
          <w:rFonts w:hint="eastAsia"/>
          <w:rtl/>
        </w:rPr>
        <w:t>בצורה</w:t>
      </w:r>
      <w:r w:rsidRPr="007C3B90">
        <w:rPr>
          <w:rtl/>
        </w:rPr>
        <w:t xml:space="preserve"> </w:t>
      </w:r>
      <w:r w:rsidRPr="007C3B90">
        <w:rPr>
          <w:rFonts w:hint="eastAsia"/>
          <w:rtl/>
        </w:rPr>
        <w:t>אנושה</w:t>
      </w:r>
      <w:r w:rsidRPr="007C3B90">
        <w:rPr>
          <w:rtl/>
        </w:rPr>
        <w:t xml:space="preserve"> </w:t>
      </w:r>
      <w:r w:rsidRPr="007C3B90">
        <w:rPr>
          <w:rFonts w:hint="eastAsia"/>
          <w:rtl/>
        </w:rPr>
        <w:t>באושיות</w:t>
      </w:r>
      <w:r w:rsidRPr="007C3B90">
        <w:rPr>
          <w:rtl/>
        </w:rPr>
        <w:t xml:space="preserve"> </w:t>
      </w:r>
      <w:r w:rsidRPr="007C3B90">
        <w:rPr>
          <w:rFonts w:hint="eastAsia"/>
          <w:rtl/>
        </w:rPr>
        <w:t>הדמוקרטיה</w:t>
      </w:r>
      <w:r w:rsidRPr="007C3B90">
        <w:rPr>
          <w:rtl/>
        </w:rPr>
        <w:t xml:space="preserve">. </w:t>
      </w:r>
      <w:r w:rsidRPr="007C3B90">
        <w:rPr>
          <w:rFonts w:hint="eastAsia"/>
          <w:rtl/>
        </w:rPr>
        <w:t>כך</w:t>
      </w:r>
      <w:r w:rsidRPr="007C3B90">
        <w:rPr>
          <w:rtl/>
        </w:rPr>
        <w:t xml:space="preserve"> </w:t>
      </w:r>
      <w:r w:rsidRPr="007C3B90">
        <w:rPr>
          <w:rFonts w:hint="eastAsia"/>
          <w:rtl/>
        </w:rPr>
        <w:t>למשל</w:t>
      </w:r>
      <w:r w:rsidRPr="007C3B90">
        <w:rPr>
          <w:rtl/>
        </w:rPr>
        <w:t xml:space="preserve">, </w:t>
      </w:r>
      <w:r w:rsidRPr="007C3B90">
        <w:rPr>
          <w:rFonts w:hint="cs"/>
          <w:rtl/>
        </w:rPr>
        <w:t>לו</w:t>
      </w:r>
      <w:r>
        <w:rPr>
          <w:rFonts w:hint="cs"/>
          <w:rtl/>
        </w:rPr>
        <w:t>ּ</w:t>
      </w:r>
      <w:r w:rsidRPr="007C3B90">
        <w:rPr>
          <w:rFonts w:hint="cs"/>
          <w:rtl/>
        </w:rPr>
        <w:t xml:space="preserve"> </w:t>
      </w:r>
      <w:r w:rsidRPr="007C3B90">
        <w:rPr>
          <w:rFonts w:hint="eastAsia"/>
          <w:rtl/>
        </w:rPr>
        <w:t>חוק</w:t>
      </w:r>
      <w:r w:rsidRPr="007C3B90">
        <w:rPr>
          <w:rFonts w:hint="cs"/>
          <w:rtl/>
        </w:rPr>
        <w:t xml:space="preserve"> ה</w:t>
      </w:r>
      <w:r w:rsidRPr="007C3B90">
        <w:rPr>
          <w:rFonts w:hint="eastAsia"/>
          <w:rtl/>
        </w:rPr>
        <w:t>יסוד</w:t>
      </w:r>
      <w:r w:rsidRPr="007C3B90">
        <w:rPr>
          <w:rtl/>
        </w:rPr>
        <w:t xml:space="preserve"> </w:t>
      </w:r>
      <w:r w:rsidRPr="007C3B90">
        <w:rPr>
          <w:rFonts w:hint="cs"/>
          <w:rtl/>
        </w:rPr>
        <w:t xml:space="preserve">היה </w:t>
      </w:r>
      <w:r w:rsidRPr="007C3B90">
        <w:rPr>
          <w:rFonts w:hint="eastAsia"/>
          <w:rtl/>
        </w:rPr>
        <w:t>חוסם</w:t>
      </w:r>
      <w:r w:rsidRPr="007C3B90">
        <w:rPr>
          <w:rtl/>
        </w:rPr>
        <w:t xml:space="preserve"> </w:t>
      </w:r>
      <w:r w:rsidRPr="007C3B90">
        <w:rPr>
          <w:rFonts w:ascii="Century" w:hAnsi="Century" w:cs="Miriam" w:hint="eastAsia"/>
          <w:b/>
          <w:spacing w:val="0"/>
          <w:sz w:val="22"/>
          <w:szCs w:val="24"/>
          <w:rtl/>
        </w:rPr>
        <w:t>כל</w:t>
      </w:r>
      <w:r w:rsidRPr="007C3B90">
        <w:rPr>
          <w:rtl/>
        </w:rPr>
        <w:t xml:space="preserve"> </w:t>
      </w:r>
      <w:r w:rsidRPr="007C3B90">
        <w:rPr>
          <w:rFonts w:hint="eastAsia"/>
          <w:rtl/>
        </w:rPr>
        <w:t>ביקורת</w:t>
      </w:r>
      <w:r w:rsidRPr="007C3B90">
        <w:rPr>
          <w:rtl/>
        </w:rPr>
        <w:t xml:space="preserve"> </w:t>
      </w:r>
      <w:r w:rsidRPr="007C3B90">
        <w:rPr>
          <w:rFonts w:hint="eastAsia"/>
          <w:rtl/>
        </w:rPr>
        <w:t>שיפוטית</w:t>
      </w:r>
      <w:r w:rsidRPr="007C3B90">
        <w:rPr>
          <w:rtl/>
        </w:rPr>
        <w:t xml:space="preserve"> </w:t>
      </w:r>
      <w:r w:rsidRPr="007C3B90">
        <w:rPr>
          <w:rFonts w:hint="eastAsia"/>
          <w:rtl/>
        </w:rPr>
        <w:t>על</w:t>
      </w:r>
      <w:r w:rsidRPr="007C3B90">
        <w:rPr>
          <w:rtl/>
        </w:rPr>
        <w:t xml:space="preserve"> </w:t>
      </w:r>
      <w:r w:rsidRPr="007C3B90">
        <w:rPr>
          <w:rFonts w:hint="eastAsia"/>
          <w:rtl/>
        </w:rPr>
        <w:t>החלטותי</w:t>
      </w:r>
      <w:r w:rsidRPr="007C3B90">
        <w:rPr>
          <w:rFonts w:hint="cs"/>
          <w:rtl/>
        </w:rPr>
        <w:t>ו של הדרג המיניסטריאלי</w:t>
      </w:r>
      <w:r w:rsidRPr="007C3B90">
        <w:rPr>
          <w:rtl/>
        </w:rPr>
        <w:t xml:space="preserve">, </w:t>
      </w:r>
      <w:r w:rsidRPr="007C3B90">
        <w:rPr>
          <w:rFonts w:hint="eastAsia"/>
          <w:rtl/>
        </w:rPr>
        <w:t>היה</w:t>
      </w:r>
      <w:r w:rsidRPr="007C3B90">
        <w:rPr>
          <w:rtl/>
        </w:rPr>
        <w:t xml:space="preserve"> </w:t>
      </w:r>
      <w:r w:rsidRPr="007C3B90">
        <w:rPr>
          <w:rFonts w:hint="cs"/>
          <w:rtl/>
        </w:rPr>
        <w:t xml:space="preserve">בו כדי לפגוע </w:t>
      </w:r>
      <w:r w:rsidRPr="007C3B90">
        <w:rPr>
          <w:rFonts w:hint="eastAsia"/>
          <w:rtl/>
        </w:rPr>
        <w:t>בצורה</w:t>
      </w:r>
      <w:r w:rsidRPr="007C3B90">
        <w:rPr>
          <w:rtl/>
        </w:rPr>
        <w:t xml:space="preserve"> </w:t>
      </w:r>
      <w:r w:rsidRPr="007C3B90">
        <w:rPr>
          <w:rFonts w:hint="eastAsia"/>
          <w:rtl/>
        </w:rPr>
        <w:t>אנושה</w:t>
      </w:r>
      <w:r w:rsidRPr="007C3B90">
        <w:rPr>
          <w:rtl/>
        </w:rPr>
        <w:t xml:space="preserve"> </w:t>
      </w:r>
      <w:r w:rsidRPr="007C3B90">
        <w:rPr>
          <w:rFonts w:hint="cs"/>
          <w:rtl/>
        </w:rPr>
        <w:t>ב</w:t>
      </w:r>
      <w:r w:rsidRPr="007C3B90">
        <w:rPr>
          <w:rFonts w:hint="eastAsia"/>
          <w:rtl/>
        </w:rPr>
        <w:t>שלטון</w:t>
      </w:r>
      <w:r w:rsidRPr="007C3B90">
        <w:rPr>
          <w:rtl/>
        </w:rPr>
        <w:t xml:space="preserve"> </w:t>
      </w:r>
      <w:r w:rsidRPr="007C3B90">
        <w:rPr>
          <w:rFonts w:hint="eastAsia"/>
          <w:rtl/>
        </w:rPr>
        <w:t>החוק</w:t>
      </w:r>
      <w:r w:rsidRPr="007C3B90">
        <w:rPr>
          <w:rtl/>
        </w:rPr>
        <w:t xml:space="preserve"> </w:t>
      </w:r>
      <w:r w:rsidRPr="007C3B90">
        <w:rPr>
          <w:rFonts w:hint="eastAsia"/>
          <w:rtl/>
        </w:rPr>
        <w:t>ובעקרון</w:t>
      </w:r>
      <w:r w:rsidRPr="007C3B90">
        <w:rPr>
          <w:rtl/>
        </w:rPr>
        <w:t xml:space="preserve"> </w:t>
      </w:r>
      <w:r w:rsidRPr="007C3B90">
        <w:rPr>
          <w:rFonts w:hint="eastAsia"/>
          <w:rtl/>
        </w:rPr>
        <w:t>הפרדת</w:t>
      </w:r>
      <w:r w:rsidRPr="007C3B90">
        <w:rPr>
          <w:rtl/>
        </w:rPr>
        <w:t xml:space="preserve"> </w:t>
      </w:r>
      <w:r w:rsidRPr="007C3B90">
        <w:rPr>
          <w:rFonts w:hint="eastAsia"/>
          <w:rtl/>
        </w:rPr>
        <w:t>הרשויות</w:t>
      </w:r>
      <w:r w:rsidRPr="007C3B90">
        <w:rPr>
          <w:rFonts w:hint="cs"/>
          <w:rtl/>
        </w:rPr>
        <w:t>, ולפיכך גם באופייה הדמוקרטי של מדינת ישראל</w:t>
      </w:r>
      <w:r w:rsidRPr="007C3B90">
        <w:rPr>
          <w:rtl/>
        </w:rPr>
        <w:t xml:space="preserve">. </w:t>
      </w:r>
      <w:r w:rsidRPr="007C3B90">
        <w:rPr>
          <w:rFonts w:hint="cs"/>
          <w:rtl/>
        </w:rPr>
        <w:t xml:space="preserve">זה אינו המצב בענייננו. </w:t>
      </w:r>
      <w:r w:rsidRPr="007C3B90">
        <w:rPr>
          <w:rFonts w:hint="eastAsia"/>
          <w:rtl/>
        </w:rPr>
        <w:t>הגם</w:t>
      </w:r>
      <w:r w:rsidRPr="007C3B90">
        <w:rPr>
          <w:rtl/>
        </w:rPr>
        <w:t xml:space="preserve"> </w:t>
      </w:r>
      <w:r w:rsidRPr="007C3B90">
        <w:rPr>
          <w:rFonts w:hint="eastAsia"/>
          <w:rtl/>
        </w:rPr>
        <w:t>שהתיקון</w:t>
      </w:r>
      <w:r w:rsidRPr="007C3B90">
        <w:rPr>
          <w:rtl/>
        </w:rPr>
        <w:t xml:space="preserve"> </w:t>
      </w:r>
      <w:r w:rsidRPr="007C3B90">
        <w:rPr>
          <w:rFonts w:hint="eastAsia"/>
          <w:rtl/>
        </w:rPr>
        <w:t>שולל</w:t>
      </w:r>
      <w:r w:rsidRPr="007C3B90">
        <w:rPr>
          <w:rtl/>
        </w:rPr>
        <w:t xml:space="preserve"> </w:t>
      </w:r>
      <w:r w:rsidRPr="007C3B90">
        <w:rPr>
          <w:rFonts w:hint="eastAsia"/>
          <w:rtl/>
        </w:rPr>
        <w:t>באופן</w:t>
      </w:r>
      <w:r w:rsidRPr="007C3B90">
        <w:rPr>
          <w:rtl/>
        </w:rPr>
        <w:t xml:space="preserve"> </w:t>
      </w:r>
      <w:r w:rsidRPr="007C3B90">
        <w:rPr>
          <w:rFonts w:hint="eastAsia"/>
          <w:rtl/>
        </w:rPr>
        <w:t>גורף</w:t>
      </w:r>
      <w:r w:rsidRPr="007C3B90">
        <w:rPr>
          <w:rtl/>
        </w:rPr>
        <w:t xml:space="preserve"> </w:t>
      </w:r>
      <w:r w:rsidRPr="007C3B90">
        <w:rPr>
          <w:rFonts w:hint="eastAsia"/>
          <w:rtl/>
        </w:rPr>
        <w:t>את</w:t>
      </w:r>
      <w:r w:rsidRPr="007C3B90">
        <w:rPr>
          <w:rtl/>
        </w:rPr>
        <w:t xml:space="preserve"> </w:t>
      </w:r>
      <w:r w:rsidRPr="007C3B90">
        <w:rPr>
          <w:rFonts w:hint="eastAsia"/>
          <w:rtl/>
        </w:rPr>
        <w:t>השימוש</w:t>
      </w:r>
      <w:r w:rsidRPr="007C3B90">
        <w:rPr>
          <w:rtl/>
        </w:rPr>
        <w:t xml:space="preserve"> </w:t>
      </w:r>
      <w:r w:rsidRPr="007C3B90">
        <w:rPr>
          <w:rFonts w:hint="eastAsia"/>
          <w:rtl/>
        </w:rPr>
        <w:t>בעילת</w:t>
      </w:r>
      <w:r w:rsidRPr="007C3B90">
        <w:rPr>
          <w:rtl/>
        </w:rPr>
        <w:t xml:space="preserve"> </w:t>
      </w:r>
      <w:r w:rsidRPr="007C3B90">
        <w:rPr>
          <w:rFonts w:hint="eastAsia"/>
          <w:rtl/>
        </w:rPr>
        <w:t>הסבירות</w:t>
      </w:r>
      <w:r w:rsidRPr="007C3B90">
        <w:rPr>
          <w:rFonts w:hint="cs"/>
          <w:rtl/>
        </w:rPr>
        <w:t xml:space="preserve"> האיזונית</w:t>
      </w:r>
      <w:r w:rsidRPr="007C3B90">
        <w:rPr>
          <w:rtl/>
        </w:rPr>
        <w:t xml:space="preserve">, </w:t>
      </w:r>
      <w:r w:rsidRPr="007C3B90">
        <w:rPr>
          <w:rFonts w:hint="eastAsia"/>
          <w:rtl/>
        </w:rPr>
        <w:t>בסופו</w:t>
      </w:r>
      <w:r w:rsidRPr="007C3B90">
        <w:rPr>
          <w:rtl/>
        </w:rPr>
        <w:t xml:space="preserve"> </w:t>
      </w:r>
      <w:r w:rsidRPr="007C3B90">
        <w:rPr>
          <w:rFonts w:hint="eastAsia"/>
          <w:rtl/>
        </w:rPr>
        <w:t>של</w:t>
      </w:r>
      <w:r w:rsidRPr="007C3B90">
        <w:rPr>
          <w:rtl/>
        </w:rPr>
        <w:t xml:space="preserve"> </w:t>
      </w:r>
      <w:r w:rsidRPr="007C3B90">
        <w:rPr>
          <w:rFonts w:hint="eastAsia"/>
          <w:rtl/>
        </w:rPr>
        <w:t>יום</w:t>
      </w:r>
      <w:r w:rsidRPr="007C3B90">
        <w:rPr>
          <w:rtl/>
        </w:rPr>
        <w:t xml:space="preserve"> </w:t>
      </w:r>
      <w:r w:rsidRPr="007C3B90">
        <w:rPr>
          <w:rFonts w:hint="eastAsia"/>
          <w:rtl/>
        </w:rPr>
        <w:t>הוא</w:t>
      </w:r>
      <w:r w:rsidRPr="007C3B90">
        <w:rPr>
          <w:rtl/>
        </w:rPr>
        <w:t xml:space="preserve"> </w:t>
      </w:r>
      <w:r w:rsidRPr="007C3B90">
        <w:rPr>
          <w:rFonts w:hint="eastAsia"/>
          <w:rtl/>
        </w:rPr>
        <w:t>עוסק</w:t>
      </w:r>
      <w:r w:rsidRPr="007C3B90">
        <w:rPr>
          <w:rtl/>
        </w:rPr>
        <w:t xml:space="preserve"> </w:t>
      </w:r>
      <w:r w:rsidRPr="007C3B90">
        <w:rPr>
          <w:rFonts w:hint="eastAsia"/>
          <w:rtl/>
        </w:rPr>
        <w:t>בעילת</w:t>
      </w:r>
      <w:r w:rsidRPr="007C3B90">
        <w:rPr>
          <w:rtl/>
        </w:rPr>
        <w:t xml:space="preserve"> </w:t>
      </w:r>
      <w:r w:rsidRPr="007C3B90">
        <w:rPr>
          <w:rFonts w:hint="eastAsia"/>
          <w:rtl/>
        </w:rPr>
        <w:t>ביקורת</w:t>
      </w:r>
      <w:r w:rsidRPr="007C3B90">
        <w:rPr>
          <w:rtl/>
        </w:rPr>
        <w:t xml:space="preserve"> </w:t>
      </w:r>
      <w:r w:rsidRPr="007C3B90">
        <w:rPr>
          <w:rFonts w:hint="eastAsia"/>
          <w:rtl/>
        </w:rPr>
        <w:t>אחת</w:t>
      </w:r>
      <w:r w:rsidRPr="007C3B90">
        <w:rPr>
          <w:rtl/>
        </w:rPr>
        <w:t xml:space="preserve">, </w:t>
      </w:r>
      <w:r w:rsidRPr="007C3B90">
        <w:rPr>
          <w:rFonts w:hint="eastAsia"/>
          <w:rtl/>
        </w:rPr>
        <w:t>מתוך</w:t>
      </w:r>
      <w:r w:rsidRPr="007C3B90">
        <w:rPr>
          <w:rtl/>
        </w:rPr>
        <w:t xml:space="preserve"> </w:t>
      </w:r>
      <w:r w:rsidRPr="007C3B90">
        <w:rPr>
          <w:rFonts w:hint="eastAsia"/>
          <w:rtl/>
        </w:rPr>
        <w:t>שורה</w:t>
      </w:r>
      <w:r w:rsidRPr="007C3B90">
        <w:rPr>
          <w:rtl/>
        </w:rPr>
        <w:t xml:space="preserve"> </w:t>
      </w:r>
      <w:r w:rsidRPr="007C3B90">
        <w:rPr>
          <w:rFonts w:hint="eastAsia"/>
          <w:rtl/>
        </w:rPr>
        <w:t>ארוכה</w:t>
      </w:r>
      <w:r w:rsidRPr="007C3B90">
        <w:rPr>
          <w:rtl/>
        </w:rPr>
        <w:t xml:space="preserve"> </w:t>
      </w:r>
      <w:r w:rsidRPr="007C3B90">
        <w:rPr>
          <w:rFonts w:hint="eastAsia"/>
          <w:rtl/>
        </w:rPr>
        <w:t>של</w:t>
      </w:r>
      <w:r w:rsidRPr="007C3B90">
        <w:rPr>
          <w:rtl/>
        </w:rPr>
        <w:t xml:space="preserve"> </w:t>
      </w:r>
      <w:r w:rsidRPr="007C3B90">
        <w:rPr>
          <w:rFonts w:hint="eastAsia"/>
          <w:rtl/>
        </w:rPr>
        <w:t>עילות</w:t>
      </w:r>
      <w:r w:rsidRPr="007C3B90">
        <w:rPr>
          <w:rtl/>
        </w:rPr>
        <w:t xml:space="preserve"> </w:t>
      </w:r>
      <w:r w:rsidRPr="007C3B90">
        <w:rPr>
          <w:rFonts w:hint="eastAsia"/>
          <w:rtl/>
        </w:rPr>
        <w:t>הקיימות</w:t>
      </w:r>
      <w:r w:rsidRPr="007C3B90">
        <w:rPr>
          <w:rtl/>
        </w:rPr>
        <w:t xml:space="preserve"> </w:t>
      </w:r>
      <w:r w:rsidRPr="007C3B90">
        <w:rPr>
          <w:rFonts w:hint="eastAsia"/>
          <w:rtl/>
        </w:rPr>
        <w:t>במשפט</w:t>
      </w:r>
      <w:r w:rsidRPr="007C3B90">
        <w:rPr>
          <w:rtl/>
        </w:rPr>
        <w:t xml:space="preserve"> המינהלי, שמהן הוא לא בא לגרוע. משמעות הדברים היא, שהביקורת השיפוטית על החלטות הממשלה ושריה תישמר בכל העילות המוכרות – ביניהן עילת השיקולים הזרים, תום לב, הפליה, מידתיות, חוסר סמכות, טעות בפירוש הדין, פגמים שנפלו בהליך קבלת ההחלטה, ועוד. כן ישמר השימוש בעילת הסבירות הרחבה בכל המתייחס להחלטות רשויות המינהל שאינן החלטות הממשלה ושריה. </w:t>
      </w:r>
      <w:r w:rsidRPr="007C3B90">
        <w:rPr>
          <w:rtl/>
        </w:rPr>
        <w:br/>
      </w:r>
    </w:p>
    <w:p w:rsidR="00BB56BB" w:rsidRPr="007C3B90" w:rsidRDefault="00BB56BB" w:rsidP="00BB56BB">
      <w:pPr>
        <w:pStyle w:val="Ruller4"/>
      </w:pPr>
      <w:r w:rsidRPr="007C3B90">
        <w:rPr>
          <w:rtl/>
        </w:rPr>
        <w:t>אכן, גם פגיעה מתוחמת יותר בסמכויות השיפוט של בית המשפט, עשויה להיחשב ככזו הפוגעת בליבת זהותה הדמוקרטית של מדינת ישראל</w:t>
      </w:r>
      <w:r w:rsidRPr="007C3B90">
        <w:rPr>
          <w:rFonts w:hint="cs"/>
          <w:rtl/>
        </w:rPr>
        <w:t xml:space="preserve">. זאת, </w:t>
      </w:r>
      <w:r w:rsidRPr="007C3B90">
        <w:rPr>
          <w:rtl/>
        </w:rPr>
        <w:t>ככל שיש בה כדי לאיין או לפגוע בצורה אנושה ביכולתו של בית המשפט לשמור על שלטון החוק, לבקר את מעשי המנהל או להגן על גרעין זכויות האדם. כך היה, למשל, לוּ חסם חוק</w:t>
      </w:r>
      <w:r w:rsidRPr="007C3B90">
        <w:rPr>
          <w:rFonts w:hint="cs"/>
          <w:rtl/>
        </w:rPr>
        <w:t xml:space="preserve"> ה</w:t>
      </w:r>
      <w:r w:rsidRPr="007C3B90">
        <w:rPr>
          <w:rtl/>
        </w:rPr>
        <w:t xml:space="preserve">יסוד ביקורת שיפוטית בשאלת הסמכות </w:t>
      </w:r>
      <w:r w:rsidRPr="007C3B90">
        <w:rPr>
          <w:rFonts w:hint="cs"/>
          <w:rtl/>
        </w:rPr>
        <w:t>ש</w:t>
      </w:r>
      <w:r w:rsidRPr="007C3B90">
        <w:rPr>
          <w:rtl/>
        </w:rPr>
        <w:t xml:space="preserve">מכוחה התקבלה </w:t>
      </w:r>
      <w:r w:rsidRPr="007C3B90">
        <w:rPr>
          <w:rFonts w:hint="cs"/>
          <w:rtl/>
        </w:rPr>
        <w:t>ה</w:t>
      </w:r>
      <w:r w:rsidRPr="007C3B90">
        <w:rPr>
          <w:rtl/>
        </w:rPr>
        <w:t xml:space="preserve">החלטה </w:t>
      </w:r>
      <w:r w:rsidRPr="007C3B90">
        <w:rPr>
          <w:rFonts w:hint="cs"/>
          <w:rtl/>
        </w:rPr>
        <w:t>ה</w:t>
      </w:r>
      <w:r w:rsidRPr="007C3B90">
        <w:rPr>
          <w:rtl/>
        </w:rPr>
        <w:t>מינהלית; וכך</w:t>
      </w:r>
      <w:r w:rsidRPr="007C3B90">
        <w:rPr>
          <w:rFonts w:hint="cs"/>
          <w:rtl/>
        </w:rPr>
        <w:t xml:space="preserve"> גם לו</w:t>
      </w:r>
      <w:r>
        <w:rPr>
          <w:rFonts w:hint="cs"/>
          <w:rtl/>
        </w:rPr>
        <w:t>ּ</w:t>
      </w:r>
      <w:r w:rsidRPr="007C3B90">
        <w:rPr>
          <w:rFonts w:hint="cs"/>
          <w:rtl/>
        </w:rPr>
        <w:t xml:space="preserve"> שלל </w:t>
      </w:r>
      <w:r w:rsidRPr="007C3B90">
        <w:rPr>
          <w:rtl/>
        </w:rPr>
        <w:t xml:space="preserve">דיון במידתיות הפגיעה של החלטה </w:t>
      </w:r>
      <w:r w:rsidRPr="007C3B90">
        <w:rPr>
          <w:rFonts w:hint="cs"/>
          <w:rtl/>
        </w:rPr>
        <w:t>כזו</w:t>
      </w:r>
      <w:r w:rsidRPr="007C3B90">
        <w:rPr>
          <w:rtl/>
        </w:rPr>
        <w:t xml:space="preserve"> בזכויות אדם מוגנות. בשונה מכך, האיסור לדון בסבירות החלטותיהם של הממשלה והשרים, בעילת הסבירות האיזונית – אינו עולה</w:t>
      </w:r>
      <w:r w:rsidRPr="007C3B90">
        <w:rPr>
          <w:rFonts w:hint="cs"/>
          <w:rtl/>
        </w:rPr>
        <w:t>, להשקפתי,</w:t>
      </w:r>
      <w:r w:rsidRPr="007C3B90">
        <w:rPr>
          <w:rtl/>
        </w:rPr>
        <w:t xml:space="preserve"> כדי פגיעה אנושה בליבת זהותה הדמוקרטית של המדינה. רחוק מכך. את מסקנתי זו ניתן להעמיד על שני טעמים מרכזיים ומצטברים: </w:t>
      </w:r>
    </w:p>
    <w:p w:rsidR="00BB56BB" w:rsidRPr="007C3B90" w:rsidRDefault="00BB56BB" w:rsidP="00BB56BB">
      <w:pPr>
        <w:pStyle w:val="Ruller4"/>
        <w:numPr>
          <w:ilvl w:val="0"/>
          <w:numId w:val="0"/>
        </w:numPr>
      </w:pPr>
    </w:p>
    <w:p w:rsidR="00BB56BB" w:rsidRPr="007C3B90" w:rsidRDefault="00BB56BB" w:rsidP="00BB56BB">
      <w:pPr>
        <w:pStyle w:val="Ruller4"/>
        <w:numPr>
          <w:ilvl w:val="0"/>
          <w:numId w:val="0"/>
        </w:numPr>
        <w:rPr>
          <w:rtl/>
        </w:rPr>
      </w:pPr>
      <w:r w:rsidRPr="007C3B90">
        <w:rPr>
          <w:rtl/>
        </w:rPr>
        <w:tab/>
        <w:t>האחד,</w:t>
      </w:r>
      <w:r w:rsidRPr="007C3B90">
        <w:rPr>
          <w:rFonts w:ascii="Century" w:hAnsi="Century" w:cs="Miriam"/>
          <w:b/>
          <w:spacing w:val="0"/>
          <w:sz w:val="22"/>
          <w:szCs w:val="24"/>
          <w:rtl/>
        </w:rPr>
        <w:t xml:space="preserve"> טעם מעשי</w:t>
      </w:r>
      <w:r w:rsidRPr="007C3B90">
        <w:rPr>
          <w:rtl/>
        </w:rPr>
        <w:t>, שעניינו בהיקף המצומצם יחסית של השלכות ביטול עילת הסבירות ה</w:t>
      </w:r>
      <w:r w:rsidRPr="007C3B90">
        <w:rPr>
          <w:rFonts w:hint="cs"/>
          <w:rtl/>
        </w:rPr>
        <w:t>איזונית</w:t>
      </w:r>
      <w:r w:rsidRPr="007C3B90">
        <w:rPr>
          <w:rtl/>
        </w:rPr>
        <w:t xml:space="preserve"> על חיי המעשה, בשל היכולת להחליפה בעילות ביקורת אחרות, קונקרטיות יותר, מן המשפט המינהלי. טעם זה מסביר מדוע התיקון אינו פוגע בצורה </w:t>
      </w:r>
      <w:r w:rsidRPr="007C3B90">
        <w:rPr>
          <w:rtl/>
        </w:rPr>
        <w:lastRenderedPageBreak/>
        <w:t xml:space="preserve">אנושה ביכולתו של בית המשפט לבקר את החלטות הממשלה ושריה, כמתחייב מעקרון הפרדת הרשויות. </w:t>
      </w:r>
    </w:p>
    <w:p w:rsidR="00BB56BB" w:rsidRPr="007C3B90" w:rsidRDefault="00BB56BB" w:rsidP="00BB56BB">
      <w:pPr>
        <w:pStyle w:val="Ruller4"/>
        <w:numPr>
          <w:ilvl w:val="0"/>
          <w:numId w:val="0"/>
        </w:numPr>
        <w:rPr>
          <w:rtl/>
        </w:rPr>
      </w:pPr>
    </w:p>
    <w:p w:rsidR="00BB56BB" w:rsidRPr="007C3B90" w:rsidRDefault="00BB56BB" w:rsidP="00BB56BB">
      <w:pPr>
        <w:pStyle w:val="Ruller4"/>
        <w:numPr>
          <w:ilvl w:val="0"/>
          <w:numId w:val="0"/>
        </w:numPr>
        <w:rPr>
          <w:rtl/>
        </w:rPr>
      </w:pPr>
      <w:r w:rsidRPr="007C3B90">
        <w:rPr>
          <w:rtl/>
        </w:rPr>
        <w:tab/>
        <w:t xml:space="preserve">השני, </w:t>
      </w:r>
      <w:r w:rsidRPr="007C3B90">
        <w:rPr>
          <w:rFonts w:ascii="Century" w:hAnsi="Century" w:cs="Miriam"/>
          <w:b/>
          <w:spacing w:val="0"/>
          <w:sz w:val="22"/>
          <w:szCs w:val="24"/>
          <w:rtl/>
        </w:rPr>
        <w:t>טעם נורמטיבי</w:t>
      </w:r>
      <w:r w:rsidRPr="007C3B90">
        <w:rPr>
          <w:rtl/>
        </w:rPr>
        <w:t>, המתמקד באותם מקרים שבהם אין תחליף לעילת הסבירות ה</w:t>
      </w:r>
      <w:r w:rsidRPr="007C3B90">
        <w:rPr>
          <w:rFonts w:hint="cs"/>
          <w:rtl/>
        </w:rPr>
        <w:t>איזונית</w:t>
      </w:r>
      <w:r w:rsidRPr="007C3B90">
        <w:rPr>
          <w:rtl/>
        </w:rPr>
        <w:t xml:space="preserve"> –</w:t>
      </w:r>
      <w:r w:rsidRPr="007C3B90">
        <w:rPr>
          <w:rFonts w:hint="cs"/>
          <w:rtl/>
        </w:rPr>
        <w:t xml:space="preserve"> </w:t>
      </w:r>
      <w:r w:rsidRPr="007C3B90">
        <w:rPr>
          <w:rFonts w:hint="eastAsia"/>
          <w:rtl/>
        </w:rPr>
        <w:t>מתייחס</w:t>
      </w:r>
      <w:r w:rsidRPr="007C3B90">
        <w:rPr>
          <w:rtl/>
        </w:rPr>
        <w:t xml:space="preserve"> </w:t>
      </w:r>
      <w:r w:rsidRPr="007C3B90">
        <w:rPr>
          <w:rFonts w:hint="eastAsia"/>
          <w:rtl/>
        </w:rPr>
        <w:t>ללגיטימיות</w:t>
      </w:r>
      <w:r w:rsidRPr="007C3B90">
        <w:rPr>
          <w:rtl/>
        </w:rPr>
        <w:t xml:space="preserve"> </w:t>
      </w:r>
      <w:r w:rsidRPr="007C3B90">
        <w:rPr>
          <w:rFonts w:hint="eastAsia"/>
          <w:rtl/>
        </w:rPr>
        <w:t>העמדה</w:t>
      </w:r>
      <w:r w:rsidRPr="007C3B90">
        <w:rPr>
          <w:rtl/>
        </w:rPr>
        <w:t xml:space="preserve"> </w:t>
      </w:r>
      <w:r w:rsidRPr="007C3B90">
        <w:rPr>
          <w:rFonts w:hint="eastAsia"/>
          <w:rtl/>
        </w:rPr>
        <w:t>ה</w:t>
      </w:r>
      <w:r w:rsidRPr="007C3B90">
        <w:rPr>
          <w:rFonts w:hint="cs"/>
          <w:rtl/>
        </w:rPr>
        <w:t xml:space="preserve">מסתייגת מביקורת שיפוטית על </w:t>
      </w:r>
      <w:r w:rsidRPr="007C3B90">
        <w:rPr>
          <w:rFonts w:hint="eastAsia"/>
          <w:rtl/>
        </w:rPr>
        <w:t>החלטותיהם</w:t>
      </w:r>
      <w:r w:rsidRPr="007C3B90">
        <w:rPr>
          <w:rtl/>
        </w:rPr>
        <w:t xml:space="preserve"> </w:t>
      </w:r>
      <w:r w:rsidRPr="007C3B90">
        <w:rPr>
          <w:rFonts w:hint="eastAsia"/>
          <w:rtl/>
        </w:rPr>
        <w:t>של</w:t>
      </w:r>
      <w:r w:rsidRPr="007C3B90">
        <w:rPr>
          <w:rtl/>
        </w:rPr>
        <w:t xml:space="preserve"> </w:t>
      </w:r>
      <w:r w:rsidRPr="007C3B90">
        <w:rPr>
          <w:rFonts w:hint="eastAsia"/>
          <w:rtl/>
        </w:rPr>
        <w:t>הממשלה</w:t>
      </w:r>
      <w:r w:rsidRPr="007C3B90">
        <w:rPr>
          <w:rtl/>
        </w:rPr>
        <w:t xml:space="preserve"> </w:t>
      </w:r>
      <w:r w:rsidRPr="007C3B90">
        <w:rPr>
          <w:rFonts w:hint="eastAsia"/>
          <w:rtl/>
        </w:rPr>
        <w:t>ושריה</w:t>
      </w:r>
      <w:r w:rsidRPr="007C3B90">
        <w:rPr>
          <w:rFonts w:hint="cs"/>
          <w:rtl/>
        </w:rPr>
        <w:t xml:space="preserve"> </w:t>
      </w:r>
      <w:r w:rsidRPr="007C3B90">
        <w:rPr>
          <w:rFonts w:hint="eastAsia"/>
          <w:rtl/>
        </w:rPr>
        <w:t>באמצעות</w:t>
      </w:r>
      <w:r w:rsidRPr="007C3B90">
        <w:rPr>
          <w:rtl/>
        </w:rPr>
        <w:t xml:space="preserve"> </w:t>
      </w:r>
      <w:r w:rsidRPr="007C3B90">
        <w:rPr>
          <w:rFonts w:hint="eastAsia"/>
          <w:rtl/>
        </w:rPr>
        <w:t>נוסחת</w:t>
      </w:r>
      <w:r w:rsidRPr="007C3B90">
        <w:rPr>
          <w:rtl/>
        </w:rPr>
        <w:t xml:space="preserve"> </w:t>
      </w:r>
      <w:r w:rsidRPr="007C3B90">
        <w:rPr>
          <w:rFonts w:hint="cs"/>
          <w:rtl/>
        </w:rPr>
        <w:t>הסבירות האיזונית</w:t>
      </w:r>
      <w:r w:rsidRPr="007C3B90">
        <w:rPr>
          <w:rtl/>
        </w:rPr>
        <w:t xml:space="preserve">. </w:t>
      </w:r>
      <w:r w:rsidRPr="007C3B90">
        <w:rPr>
          <w:rFonts w:hint="eastAsia"/>
          <w:rtl/>
        </w:rPr>
        <w:t>טעם</w:t>
      </w:r>
      <w:r w:rsidRPr="007C3B90">
        <w:rPr>
          <w:rtl/>
        </w:rPr>
        <w:t xml:space="preserve"> </w:t>
      </w:r>
      <w:r w:rsidRPr="007C3B90">
        <w:rPr>
          <w:rFonts w:hint="eastAsia"/>
          <w:rtl/>
        </w:rPr>
        <w:t>זה</w:t>
      </w:r>
      <w:r w:rsidRPr="007C3B90">
        <w:rPr>
          <w:rtl/>
        </w:rPr>
        <w:t xml:space="preserve"> </w:t>
      </w:r>
      <w:r w:rsidRPr="007C3B90">
        <w:rPr>
          <w:rFonts w:hint="eastAsia"/>
          <w:rtl/>
        </w:rPr>
        <w:t>מסביר</w:t>
      </w:r>
      <w:r w:rsidRPr="007C3B90">
        <w:rPr>
          <w:rtl/>
        </w:rPr>
        <w:t xml:space="preserve">, </w:t>
      </w:r>
      <w:r w:rsidRPr="007C3B90">
        <w:rPr>
          <w:rFonts w:hint="eastAsia"/>
          <w:rtl/>
        </w:rPr>
        <w:t>בין</w:t>
      </w:r>
      <w:r w:rsidRPr="007C3B90">
        <w:rPr>
          <w:rtl/>
        </w:rPr>
        <w:t xml:space="preserve"> </w:t>
      </w:r>
      <w:r w:rsidRPr="007C3B90">
        <w:rPr>
          <w:rFonts w:hint="eastAsia"/>
          <w:rtl/>
        </w:rPr>
        <w:t>היתר</w:t>
      </w:r>
      <w:r w:rsidRPr="007C3B90">
        <w:rPr>
          <w:rtl/>
        </w:rPr>
        <w:t xml:space="preserve">, </w:t>
      </w:r>
      <w:r w:rsidRPr="007C3B90">
        <w:rPr>
          <w:rFonts w:hint="eastAsia"/>
          <w:rtl/>
        </w:rPr>
        <w:t>מדוע</w:t>
      </w:r>
      <w:r w:rsidRPr="007C3B90">
        <w:rPr>
          <w:rtl/>
        </w:rPr>
        <w:t xml:space="preserve"> </w:t>
      </w:r>
      <w:r w:rsidRPr="007C3B90">
        <w:rPr>
          <w:rFonts w:hint="eastAsia"/>
          <w:rtl/>
        </w:rPr>
        <w:t>התיקון</w:t>
      </w:r>
      <w:r w:rsidRPr="007C3B90">
        <w:rPr>
          <w:rtl/>
        </w:rPr>
        <w:t xml:space="preserve"> </w:t>
      </w:r>
      <w:r w:rsidRPr="007C3B90">
        <w:rPr>
          <w:rFonts w:hint="eastAsia"/>
          <w:rtl/>
        </w:rPr>
        <w:t>אינו</w:t>
      </w:r>
      <w:r w:rsidRPr="007C3B90">
        <w:rPr>
          <w:rtl/>
        </w:rPr>
        <w:t xml:space="preserve"> </w:t>
      </w:r>
      <w:r w:rsidRPr="007C3B90">
        <w:rPr>
          <w:rFonts w:hint="eastAsia"/>
          <w:rtl/>
        </w:rPr>
        <w:t>פוגע</w:t>
      </w:r>
      <w:r w:rsidRPr="007C3B90">
        <w:rPr>
          <w:rtl/>
        </w:rPr>
        <w:t xml:space="preserve"> </w:t>
      </w:r>
      <w:r w:rsidRPr="007C3B90">
        <w:rPr>
          <w:rFonts w:hint="eastAsia"/>
          <w:rtl/>
        </w:rPr>
        <w:t>בצורה</w:t>
      </w:r>
      <w:r w:rsidRPr="007C3B90">
        <w:rPr>
          <w:rtl/>
        </w:rPr>
        <w:t xml:space="preserve"> </w:t>
      </w:r>
      <w:r w:rsidRPr="007C3B90">
        <w:rPr>
          <w:rFonts w:hint="eastAsia"/>
          <w:rtl/>
        </w:rPr>
        <w:t>אנושה</w:t>
      </w:r>
      <w:r w:rsidRPr="007C3B90">
        <w:rPr>
          <w:rtl/>
        </w:rPr>
        <w:t xml:space="preserve"> </w:t>
      </w:r>
      <w:r w:rsidRPr="007C3B90">
        <w:rPr>
          <w:rFonts w:hint="eastAsia"/>
          <w:rtl/>
        </w:rPr>
        <w:t>בעקרון</w:t>
      </w:r>
      <w:r w:rsidRPr="007C3B90">
        <w:rPr>
          <w:rtl/>
        </w:rPr>
        <w:t xml:space="preserve"> </w:t>
      </w:r>
      <w:r w:rsidRPr="007C3B90">
        <w:rPr>
          <w:rFonts w:hint="eastAsia"/>
          <w:rtl/>
        </w:rPr>
        <w:t>שלטון</w:t>
      </w:r>
      <w:r w:rsidRPr="007C3B90">
        <w:rPr>
          <w:rtl/>
        </w:rPr>
        <w:t xml:space="preserve"> </w:t>
      </w:r>
      <w:r w:rsidRPr="007C3B90">
        <w:rPr>
          <w:rFonts w:hint="eastAsia"/>
          <w:rtl/>
        </w:rPr>
        <w:t>החוק</w:t>
      </w:r>
      <w:r w:rsidRPr="007C3B90">
        <w:rPr>
          <w:rtl/>
        </w:rPr>
        <w:t xml:space="preserve">. </w:t>
      </w:r>
      <w:r w:rsidRPr="007C3B90">
        <w:rPr>
          <w:rFonts w:hint="eastAsia"/>
          <w:rtl/>
        </w:rPr>
        <w:t>אפרט</w:t>
      </w:r>
      <w:r w:rsidRPr="007C3B90">
        <w:rPr>
          <w:rtl/>
        </w:rPr>
        <w:t xml:space="preserve">. </w:t>
      </w:r>
    </w:p>
    <w:p w:rsidR="00BB56BB" w:rsidRPr="007C3B90" w:rsidRDefault="00BB56BB" w:rsidP="00BB56BB">
      <w:pPr>
        <w:pStyle w:val="Ruller4"/>
        <w:numPr>
          <w:ilvl w:val="0"/>
          <w:numId w:val="0"/>
        </w:numPr>
        <w:rPr>
          <w:rtl/>
        </w:rPr>
      </w:pPr>
      <w:r w:rsidRPr="007C3B90">
        <w:rPr>
          <w:rtl/>
        </w:rPr>
        <w:br/>
      </w:r>
      <w:r w:rsidRPr="007C3B90">
        <w:rPr>
          <w:rFonts w:ascii="Century" w:hAnsi="Century" w:cs="Miriam"/>
          <w:b/>
          <w:spacing w:val="0"/>
          <w:sz w:val="22"/>
          <w:szCs w:val="24"/>
          <w:rtl/>
        </w:rPr>
        <w:t>הטעם המעשי</w:t>
      </w:r>
      <w:r w:rsidRPr="007C3B90">
        <w:rPr>
          <w:rFonts w:ascii="Century" w:hAnsi="Century" w:cs="Miriam"/>
          <w:b/>
          <w:spacing w:val="0"/>
          <w:sz w:val="22"/>
          <w:szCs w:val="24"/>
          <w:rtl/>
        </w:rPr>
        <w:br/>
      </w:r>
    </w:p>
    <w:p w:rsidR="00BB56BB" w:rsidRPr="007C3B90" w:rsidRDefault="00BB56BB" w:rsidP="00BB56BB">
      <w:pPr>
        <w:pStyle w:val="Ruller4"/>
      </w:pPr>
      <w:r w:rsidRPr="007C3B90">
        <w:rPr>
          <w:rtl/>
        </w:rPr>
        <w:t>טענתם המרכזית של העותרים ושל היועצת המשפטית לממשלה היא, כי התיקון יוצר "חור שחור נורמטיבי" של החלטות מינהליות בתחומים שונים, אשר הביקורת השיפוטית בעניינן התקיימה עד כה בעיקר באמצעות עילת הסבירות – ולאחר התיקון, כך על פי הנטען, לא תהיה לבית המשפט, וכנגזרת מכך לייעוץ המשפטי לממשלה ושריה</w:t>
      </w:r>
      <w:r w:rsidRPr="007C3B90">
        <w:rPr>
          <w:rFonts w:hint="cs"/>
          <w:rtl/>
        </w:rPr>
        <w:t>,</w:t>
      </w:r>
      <w:r w:rsidRPr="007C3B90">
        <w:rPr>
          <w:rtl/>
        </w:rPr>
        <w:t xml:space="preserve"> </w:t>
      </w:r>
      <w:r w:rsidRPr="007C3B90">
        <w:rPr>
          <w:rFonts w:hint="eastAsia"/>
          <w:rtl/>
        </w:rPr>
        <w:t>יכולת</w:t>
      </w:r>
      <w:r w:rsidRPr="007C3B90">
        <w:rPr>
          <w:rtl/>
        </w:rPr>
        <w:t xml:space="preserve"> אפקטיבית לפקח עליהן. בהקשר זה הוזכרו, במיוחד, החלטות הנוגעות למינויי בכירים ופיטורים של שומרי סף; החלטות של ממשלת מעבר; והחלטות פרטניות שאינן כרוכות בזכויות מוגנות, כדוגמת החלטות בנושא מתן רישיונות והיתרים. נטען, כי היעדר היכולת של בית המשפט להתערב בהחלטות אלה, פוגע בצורה אנושה במערכת האיזונים והבלמים הראויה בין הרשות השופטת והרשות המבצעת, הנגזרת מעקרון הפרדת הרשויות. </w:t>
      </w:r>
      <w:r w:rsidRPr="007C3B90">
        <w:rPr>
          <w:rFonts w:hint="cs"/>
          <w:rtl/>
        </w:rPr>
        <w:t>אינני מקבלת טענות אלה.</w:t>
      </w:r>
      <w:r w:rsidRPr="007C3B90">
        <w:rPr>
          <w:rtl/>
        </w:rPr>
        <w:t xml:space="preserve"> </w:t>
      </w:r>
      <w:r w:rsidRPr="007C3B90">
        <w:rPr>
          <w:rFonts w:hint="eastAsia"/>
          <w:rtl/>
        </w:rPr>
        <w:t>חרף</w:t>
      </w:r>
      <w:r w:rsidRPr="007C3B90">
        <w:rPr>
          <w:rtl/>
        </w:rPr>
        <w:t xml:space="preserve"> </w:t>
      </w:r>
      <w:r w:rsidRPr="007C3B90">
        <w:rPr>
          <w:rFonts w:hint="eastAsia"/>
          <w:rtl/>
        </w:rPr>
        <w:t>המאמץ</w:t>
      </w:r>
      <w:r w:rsidRPr="007C3B90">
        <w:rPr>
          <w:rtl/>
        </w:rPr>
        <w:t xml:space="preserve"> </w:t>
      </w:r>
      <w:r w:rsidRPr="007C3B90">
        <w:rPr>
          <w:rFonts w:hint="eastAsia"/>
          <w:rtl/>
        </w:rPr>
        <w:t>שנעשה</w:t>
      </w:r>
      <w:r w:rsidRPr="007C3B90">
        <w:rPr>
          <w:rtl/>
        </w:rPr>
        <w:t xml:space="preserve"> </w:t>
      </w:r>
      <w:r w:rsidRPr="007C3B90">
        <w:rPr>
          <w:rFonts w:hint="eastAsia"/>
          <w:rtl/>
        </w:rPr>
        <w:t>לבסס</w:t>
      </w:r>
      <w:r w:rsidRPr="007C3B90">
        <w:rPr>
          <w:rtl/>
        </w:rPr>
        <w:t xml:space="preserve"> </w:t>
      </w:r>
      <w:r w:rsidRPr="007C3B90">
        <w:rPr>
          <w:rFonts w:hint="cs"/>
          <w:rtl/>
        </w:rPr>
        <w:t>טענה זו</w:t>
      </w:r>
      <w:r w:rsidRPr="007C3B90">
        <w:rPr>
          <w:rtl/>
        </w:rPr>
        <w:t xml:space="preserve">, </w:t>
      </w:r>
      <w:r w:rsidRPr="007C3B90">
        <w:rPr>
          <w:rFonts w:hint="cs"/>
          <w:rtl/>
        </w:rPr>
        <w:t xml:space="preserve">וכפי שציין חברי השופט </w:t>
      </w:r>
      <w:r w:rsidRPr="007C3B90">
        <w:rPr>
          <w:rFonts w:ascii="Century" w:hAnsi="Century" w:cs="Miriam" w:hint="cs"/>
          <w:b/>
          <w:spacing w:val="0"/>
          <w:sz w:val="22"/>
          <w:szCs w:val="24"/>
          <w:rtl/>
        </w:rPr>
        <w:t>י' אלרון</w:t>
      </w:r>
      <w:r w:rsidRPr="007C3B90">
        <w:rPr>
          <w:rFonts w:hint="cs"/>
          <w:rtl/>
        </w:rPr>
        <w:t xml:space="preserve">, </w:t>
      </w:r>
      <w:r w:rsidRPr="007C3B90">
        <w:rPr>
          <w:rFonts w:hint="eastAsia"/>
          <w:rtl/>
        </w:rPr>
        <w:t>כלל</w:t>
      </w:r>
      <w:r w:rsidRPr="007C3B90">
        <w:rPr>
          <w:rtl/>
        </w:rPr>
        <w:t xml:space="preserve"> </w:t>
      </w:r>
      <w:r w:rsidRPr="007C3B90">
        <w:rPr>
          <w:rFonts w:hint="eastAsia"/>
          <w:rtl/>
        </w:rPr>
        <w:t>לא</w:t>
      </w:r>
      <w:r w:rsidRPr="007C3B90">
        <w:rPr>
          <w:rtl/>
        </w:rPr>
        <w:t xml:space="preserve"> </w:t>
      </w:r>
      <w:r w:rsidRPr="007C3B90">
        <w:rPr>
          <w:rFonts w:hint="eastAsia"/>
          <w:rtl/>
        </w:rPr>
        <w:t>ברור</w:t>
      </w:r>
      <w:r w:rsidRPr="007C3B90">
        <w:rPr>
          <w:rtl/>
        </w:rPr>
        <w:t xml:space="preserve"> </w:t>
      </w:r>
      <w:r w:rsidRPr="007C3B90">
        <w:rPr>
          <w:rFonts w:hint="eastAsia"/>
          <w:rtl/>
        </w:rPr>
        <w:t>באיזו</w:t>
      </w:r>
      <w:r w:rsidRPr="007C3B90">
        <w:rPr>
          <w:rtl/>
        </w:rPr>
        <w:t xml:space="preserve"> </w:t>
      </w:r>
      <w:r w:rsidRPr="007C3B90">
        <w:rPr>
          <w:rFonts w:hint="eastAsia"/>
          <w:rtl/>
        </w:rPr>
        <w:t>מידה</w:t>
      </w:r>
      <w:r w:rsidRPr="007C3B90">
        <w:rPr>
          <w:rtl/>
        </w:rPr>
        <w:t xml:space="preserve"> </w:t>
      </w:r>
      <w:r w:rsidRPr="007C3B90">
        <w:rPr>
          <w:rFonts w:hint="eastAsia"/>
          <w:rtl/>
        </w:rPr>
        <w:t>יימצאו</w:t>
      </w:r>
      <w:r w:rsidRPr="007C3B90">
        <w:rPr>
          <w:rtl/>
        </w:rPr>
        <w:t xml:space="preserve"> </w:t>
      </w:r>
      <w:r w:rsidRPr="007C3B90">
        <w:rPr>
          <w:rFonts w:hint="eastAsia"/>
          <w:rtl/>
        </w:rPr>
        <w:t>לאחר</w:t>
      </w:r>
      <w:r w:rsidRPr="007C3B90">
        <w:rPr>
          <w:rtl/>
        </w:rPr>
        <w:t xml:space="preserve"> </w:t>
      </w:r>
      <w:r w:rsidRPr="007C3B90">
        <w:rPr>
          <w:rFonts w:hint="eastAsia"/>
          <w:rtl/>
        </w:rPr>
        <w:t>התיקון</w:t>
      </w:r>
      <w:r w:rsidRPr="007C3B90">
        <w:rPr>
          <w:rtl/>
        </w:rPr>
        <w:t xml:space="preserve"> </w:t>
      </w:r>
      <w:r w:rsidRPr="007C3B90">
        <w:rPr>
          <w:rFonts w:hint="eastAsia"/>
          <w:rtl/>
        </w:rPr>
        <w:t>החלטות</w:t>
      </w:r>
      <w:r w:rsidRPr="007C3B90">
        <w:rPr>
          <w:rtl/>
        </w:rPr>
        <w:t xml:space="preserve"> </w:t>
      </w:r>
      <w:r w:rsidRPr="007C3B90">
        <w:rPr>
          <w:rFonts w:hint="eastAsia"/>
          <w:rtl/>
        </w:rPr>
        <w:t>אשר</w:t>
      </w:r>
      <w:r w:rsidRPr="007C3B90">
        <w:rPr>
          <w:rtl/>
        </w:rPr>
        <w:t xml:space="preserve"> </w:t>
      </w:r>
      <w:r w:rsidRPr="007C3B90">
        <w:rPr>
          <w:rFonts w:hint="eastAsia"/>
          <w:rtl/>
        </w:rPr>
        <w:t>קודם</w:t>
      </w:r>
      <w:r w:rsidRPr="007C3B90">
        <w:rPr>
          <w:rtl/>
        </w:rPr>
        <w:t xml:space="preserve"> </w:t>
      </w:r>
      <w:r w:rsidRPr="007C3B90">
        <w:rPr>
          <w:rFonts w:hint="eastAsia"/>
          <w:rtl/>
        </w:rPr>
        <w:t>לתיקון</w:t>
      </w:r>
      <w:r w:rsidRPr="007C3B90">
        <w:rPr>
          <w:rtl/>
        </w:rPr>
        <w:t xml:space="preserve"> </w:t>
      </w:r>
      <w:r w:rsidRPr="007C3B90">
        <w:rPr>
          <w:rFonts w:hint="eastAsia"/>
          <w:rtl/>
        </w:rPr>
        <w:t>היו</w:t>
      </w:r>
      <w:r w:rsidRPr="007C3B90">
        <w:rPr>
          <w:rtl/>
        </w:rPr>
        <w:t xml:space="preserve"> </w:t>
      </w:r>
      <w:r w:rsidRPr="007C3B90">
        <w:rPr>
          <w:rFonts w:hint="eastAsia"/>
          <w:rtl/>
        </w:rPr>
        <w:t>נפסלות</w:t>
      </w:r>
      <w:r w:rsidRPr="007C3B90">
        <w:rPr>
          <w:rtl/>
        </w:rPr>
        <w:t xml:space="preserve"> </w:t>
      </w:r>
      <w:r w:rsidRPr="007C3B90">
        <w:rPr>
          <w:rFonts w:hint="eastAsia"/>
          <w:rtl/>
        </w:rPr>
        <w:t>מחמת</w:t>
      </w:r>
      <w:r w:rsidRPr="007C3B90">
        <w:rPr>
          <w:rtl/>
        </w:rPr>
        <w:t xml:space="preserve"> </w:t>
      </w:r>
      <w:r w:rsidRPr="007C3B90">
        <w:rPr>
          <w:rFonts w:hint="eastAsia"/>
          <w:rtl/>
        </w:rPr>
        <w:t>חוסר</w:t>
      </w:r>
      <w:r w:rsidRPr="007C3B90">
        <w:rPr>
          <w:rtl/>
        </w:rPr>
        <w:t xml:space="preserve"> </w:t>
      </w:r>
      <w:r w:rsidRPr="007C3B90">
        <w:rPr>
          <w:rFonts w:hint="eastAsia"/>
          <w:rtl/>
        </w:rPr>
        <w:t>סבירות</w:t>
      </w:r>
      <w:r w:rsidRPr="007C3B90">
        <w:rPr>
          <w:rtl/>
        </w:rPr>
        <w:t xml:space="preserve">, </w:t>
      </w:r>
      <w:r w:rsidRPr="007C3B90">
        <w:rPr>
          <w:rFonts w:hint="eastAsia"/>
          <w:rtl/>
        </w:rPr>
        <w:t>ולאחר</w:t>
      </w:r>
      <w:r w:rsidRPr="007C3B90">
        <w:rPr>
          <w:rtl/>
        </w:rPr>
        <w:t xml:space="preserve"> </w:t>
      </w:r>
      <w:r w:rsidRPr="007C3B90">
        <w:rPr>
          <w:rFonts w:hint="eastAsia"/>
          <w:rtl/>
        </w:rPr>
        <w:t>התיקון</w:t>
      </w:r>
      <w:r w:rsidRPr="007C3B90">
        <w:rPr>
          <w:rtl/>
        </w:rPr>
        <w:t xml:space="preserve"> </w:t>
      </w:r>
      <w:r w:rsidRPr="007C3B90">
        <w:rPr>
          <w:rFonts w:hint="eastAsia"/>
          <w:rtl/>
        </w:rPr>
        <w:t>לא</w:t>
      </w:r>
      <w:r w:rsidRPr="007C3B90">
        <w:rPr>
          <w:rtl/>
        </w:rPr>
        <w:t xml:space="preserve"> </w:t>
      </w:r>
      <w:r w:rsidRPr="007C3B90">
        <w:rPr>
          <w:rFonts w:hint="eastAsia"/>
          <w:rtl/>
        </w:rPr>
        <w:t>תהיה</w:t>
      </w:r>
      <w:r w:rsidRPr="007C3B90">
        <w:rPr>
          <w:rtl/>
        </w:rPr>
        <w:t xml:space="preserve"> </w:t>
      </w:r>
      <w:r w:rsidRPr="007C3B90">
        <w:rPr>
          <w:rFonts w:hint="eastAsia"/>
          <w:rtl/>
        </w:rPr>
        <w:t>לבית</w:t>
      </w:r>
      <w:r w:rsidRPr="007C3B90">
        <w:rPr>
          <w:rtl/>
        </w:rPr>
        <w:t xml:space="preserve"> </w:t>
      </w:r>
      <w:r w:rsidRPr="007C3B90">
        <w:rPr>
          <w:rFonts w:hint="eastAsia"/>
          <w:rtl/>
        </w:rPr>
        <w:t>המשפט</w:t>
      </w:r>
      <w:r w:rsidRPr="007C3B90">
        <w:rPr>
          <w:rtl/>
        </w:rPr>
        <w:t xml:space="preserve"> </w:t>
      </w:r>
      <w:r w:rsidRPr="007C3B90">
        <w:rPr>
          <w:rFonts w:hint="eastAsia"/>
          <w:rtl/>
        </w:rPr>
        <w:t>יכולת</w:t>
      </w:r>
      <w:r w:rsidRPr="007C3B90">
        <w:rPr>
          <w:rtl/>
        </w:rPr>
        <w:t xml:space="preserve"> </w:t>
      </w:r>
      <w:r w:rsidRPr="007C3B90">
        <w:rPr>
          <w:rFonts w:hint="eastAsia"/>
          <w:rtl/>
        </w:rPr>
        <w:t>להתערב</w:t>
      </w:r>
      <w:r w:rsidRPr="007C3B90">
        <w:rPr>
          <w:rtl/>
        </w:rPr>
        <w:t xml:space="preserve"> </w:t>
      </w:r>
      <w:r w:rsidRPr="007C3B90">
        <w:rPr>
          <w:rFonts w:hint="eastAsia"/>
          <w:rtl/>
        </w:rPr>
        <w:t>בהן</w:t>
      </w:r>
      <w:r w:rsidRPr="007C3B90">
        <w:rPr>
          <w:rtl/>
        </w:rPr>
        <w:t>. כפי שי</w:t>
      </w:r>
      <w:r w:rsidRPr="007C3B90">
        <w:rPr>
          <w:rFonts w:hint="cs"/>
          <w:rtl/>
        </w:rPr>
        <w:t>פורט</w:t>
      </w:r>
      <w:r w:rsidRPr="007C3B90">
        <w:rPr>
          <w:rtl/>
        </w:rPr>
        <w:t xml:space="preserve"> להלן, יש טעם טוב לסבור כי מדובר, אם בכלל, במספר מקרים מצומצם למדי – באופן שאין בו כדי לפגוע בצורה אנושה במערכת האיזונים והבלמים </w:t>
      </w:r>
      <w:r w:rsidRPr="007C3B90">
        <w:rPr>
          <w:rFonts w:hint="cs"/>
          <w:rtl/>
        </w:rPr>
        <w:t>ש</w:t>
      </w:r>
      <w:r w:rsidRPr="007C3B90">
        <w:rPr>
          <w:rtl/>
        </w:rPr>
        <w:t xml:space="preserve">בין הרשויות. </w:t>
      </w:r>
      <w:r w:rsidRPr="007C3B90">
        <w:rPr>
          <w:rtl/>
        </w:rPr>
        <w:br/>
      </w:r>
    </w:p>
    <w:p w:rsidR="00BB56BB" w:rsidRPr="007C3B90" w:rsidRDefault="00BB56BB" w:rsidP="00BB56BB">
      <w:pPr>
        <w:pStyle w:val="Ruller4"/>
        <w:rPr>
          <w:rtl/>
        </w:rPr>
      </w:pPr>
      <w:r w:rsidRPr="007C3B90">
        <w:rPr>
          <w:rFonts w:hint="cs"/>
          <w:rtl/>
        </w:rPr>
        <w:t xml:space="preserve">כפי שתואר, </w:t>
      </w:r>
      <w:r w:rsidRPr="007C3B90">
        <w:rPr>
          <w:rtl/>
        </w:rPr>
        <w:t>עילת הסבירות האיזונית</w:t>
      </w:r>
      <w:r w:rsidRPr="007C3B90">
        <w:rPr>
          <w:rFonts w:hint="cs"/>
          <w:rtl/>
        </w:rPr>
        <w:t xml:space="preserve"> </w:t>
      </w:r>
      <w:r w:rsidRPr="007C3B90">
        <w:rPr>
          <w:rtl/>
        </w:rPr>
        <w:t xml:space="preserve">– שעניינה במתן משקל הולם לשיקולים </w:t>
      </w:r>
      <w:r w:rsidRPr="007C3B90">
        <w:rPr>
          <w:rFonts w:hint="cs"/>
          <w:rtl/>
        </w:rPr>
        <w:t>הרלבנטיים להחלטה ו</w:t>
      </w:r>
      <w:r w:rsidRPr="007C3B90">
        <w:rPr>
          <w:rtl/>
        </w:rPr>
        <w:t>באיזון ראוי בין השיקולים</w:t>
      </w:r>
      <w:r w:rsidRPr="007C3B90">
        <w:rPr>
          <w:rFonts w:hint="cs"/>
          <w:rtl/>
        </w:rPr>
        <w:t xml:space="preserve"> </w:t>
      </w:r>
      <w:r w:rsidRPr="007C3B90">
        <w:rPr>
          <w:rtl/>
        </w:rPr>
        <w:t xml:space="preserve">– מתייחדת בהיותה נורמה כללית, מופשטת יחסית, ובעלת פרישה רחבה. בכך היא נבדלת מעילות ביקורת קונקרטיות, מדויקות יותר ובעלות פרישה מצומצמת יותר, כגון </w:t>
      </w:r>
      <w:r w:rsidRPr="007C3B90">
        <w:rPr>
          <w:rFonts w:hint="eastAsia"/>
          <w:rtl/>
        </w:rPr>
        <w:t>היעדר</w:t>
      </w:r>
      <w:r w:rsidRPr="007C3B90">
        <w:rPr>
          <w:rtl/>
        </w:rPr>
        <w:t xml:space="preserve"> </w:t>
      </w:r>
      <w:r w:rsidRPr="007C3B90">
        <w:rPr>
          <w:rFonts w:hint="eastAsia"/>
          <w:rtl/>
        </w:rPr>
        <w:t>תשתית</w:t>
      </w:r>
      <w:r w:rsidRPr="007C3B90">
        <w:rPr>
          <w:rtl/>
        </w:rPr>
        <w:t xml:space="preserve"> </w:t>
      </w:r>
      <w:r w:rsidRPr="007C3B90">
        <w:rPr>
          <w:rFonts w:hint="eastAsia"/>
          <w:rtl/>
        </w:rPr>
        <w:t>עובדתית</w:t>
      </w:r>
      <w:r w:rsidRPr="007C3B90">
        <w:rPr>
          <w:rtl/>
        </w:rPr>
        <w:t xml:space="preserve"> </w:t>
      </w:r>
      <w:r w:rsidRPr="007C3B90">
        <w:rPr>
          <w:rFonts w:hint="eastAsia"/>
          <w:rtl/>
        </w:rPr>
        <w:t>או</w:t>
      </w:r>
      <w:r w:rsidRPr="007C3B90">
        <w:rPr>
          <w:rtl/>
        </w:rPr>
        <w:t xml:space="preserve"> </w:t>
      </w:r>
      <w:r w:rsidRPr="007C3B90">
        <w:rPr>
          <w:rFonts w:hint="eastAsia"/>
          <w:rtl/>
        </w:rPr>
        <w:t>הפליה</w:t>
      </w:r>
      <w:r w:rsidRPr="007C3B90">
        <w:rPr>
          <w:rtl/>
        </w:rPr>
        <w:t xml:space="preserve"> – </w:t>
      </w:r>
      <w:r w:rsidRPr="007C3B90">
        <w:rPr>
          <w:rFonts w:hint="eastAsia"/>
          <w:rtl/>
        </w:rPr>
        <w:t>הטעונות</w:t>
      </w:r>
      <w:r w:rsidRPr="007C3B90">
        <w:rPr>
          <w:rtl/>
        </w:rPr>
        <w:t xml:space="preserve">, </w:t>
      </w:r>
      <w:r w:rsidRPr="007C3B90">
        <w:rPr>
          <w:rFonts w:hint="eastAsia"/>
          <w:rtl/>
        </w:rPr>
        <w:t>לרוב</w:t>
      </w:r>
      <w:r w:rsidRPr="007C3B90">
        <w:rPr>
          <w:rtl/>
        </w:rPr>
        <w:t xml:space="preserve">, </w:t>
      </w:r>
      <w:r w:rsidRPr="007C3B90">
        <w:rPr>
          <w:rFonts w:hint="eastAsia"/>
          <w:rtl/>
        </w:rPr>
        <w:t>הוכחה</w:t>
      </w:r>
      <w:r w:rsidRPr="007C3B90">
        <w:rPr>
          <w:rtl/>
        </w:rPr>
        <w:t xml:space="preserve"> </w:t>
      </w:r>
      <w:r w:rsidRPr="007C3B90">
        <w:rPr>
          <w:rFonts w:hint="eastAsia"/>
          <w:rtl/>
        </w:rPr>
        <w:t>של</w:t>
      </w:r>
      <w:r w:rsidRPr="007C3B90">
        <w:rPr>
          <w:rtl/>
        </w:rPr>
        <w:t xml:space="preserve"> </w:t>
      </w:r>
      <w:r w:rsidRPr="007C3B90">
        <w:rPr>
          <w:rFonts w:hint="eastAsia"/>
          <w:rtl/>
        </w:rPr>
        <w:t>עובדות</w:t>
      </w:r>
      <w:r w:rsidRPr="007C3B90">
        <w:rPr>
          <w:rtl/>
        </w:rPr>
        <w:t xml:space="preserve"> </w:t>
      </w:r>
      <w:r w:rsidRPr="007C3B90">
        <w:rPr>
          <w:rFonts w:hint="eastAsia"/>
          <w:rtl/>
        </w:rPr>
        <w:t>מסוימות</w:t>
      </w:r>
      <w:r w:rsidRPr="007C3B90">
        <w:rPr>
          <w:rtl/>
        </w:rPr>
        <w:t xml:space="preserve"> (</w:t>
      </w:r>
      <w:r w:rsidRPr="007C3B90">
        <w:rPr>
          <w:rFonts w:hint="eastAsia"/>
          <w:rtl/>
        </w:rPr>
        <w:t>למשל</w:t>
      </w:r>
      <w:r w:rsidRPr="007C3B90">
        <w:rPr>
          <w:rtl/>
        </w:rPr>
        <w:t xml:space="preserve">, </w:t>
      </w:r>
      <w:r w:rsidRPr="007C3B90">
        <w:rPr>
          <w:rFonts w:hint="eastAsia"/>
          <w:rtl/>
        </w:rPr>
        <w:t>חומר</w:t>
      </w:r>
      <w:r w:rsidRPr="007C3B90">
        <w:rPr>
          <w:rtl/>
        </w:rPr>
        <w:t xml:space="preserve"> </w:t>
      </w:r>
      <w:r w:rsidRPr="007C3B90">
        <w:rPr>
          <w:rFonts w:hint="eastAsia"/>
          <w:rtl/>
        </w:rPr>
        <w:t>רלבנטי</w:t>
      </w:r>
      <w:r w:rsidRPr="007C3B90">
        <w:rPr>
          <w:rtl/>
        </w:rPr>
        <w:t xml:space="preserve"> </w:t>
      </w:r>
      <w:r w:rsidRPr="007C3B90">
        <w:rPr>
          <w:rFonts w:hint="eastAsia"/>
          <w:rtl/>
        </w:rPr>
        <w:t>שלא</w:t>
      </w:r>
      <w:r w:rsidRPr="007C3B90">
        <w:rPr>
          <w:rtl/>
        </w:rPr>
        <w:t xml:space="preserve"> </w:t>
      </w:r>
      <w:r w:rsidRPr="007C3B90">
        <w:rPr>
          <w:rFonts w:hint="eastAsia"/>
          <w:rtl/>
        </w:rPr>
        <w:t>עמד</w:t>
      </w:r>
      <w:r w:rsidRPr="007C3B90">
        <w:rPr>
          <w:rtl/>
        </w:rPr>
        <w:t xml:space="preserve"> </w:t>
      </w:r>
      <w:r w:rsidRPr="007C3B90">
        <w:rPr>
          <w:rFonts w:hint="eastAsia"/>
          <w:rtl/>
        </w:rPr>
        <w:t>בפני</w:t>
      </w:r>
      <w:r w:rsidRPr="007C3B90">
        <w:rPr>
          <w:rtl/>
        </w:rPr>
        <w:t xml:space="preserve"> </w:t>
      </w:r>
      <w:r w:rsidRPr="007C3B90">
        <w:rPr>
          <w:rFonts w:hint="eastAsia"/>
          <w:rtl/>
        </w:rPr>
        <w:t>הרשות</w:t>
      </w:r>
      <w:r w:rsidRPr="007C3B90">
        <w:rPr>
          <w:rtl/>
        </w:rPr>
        <w:t xml:space="preserve"> </w:t>
      </w:r>
      <w:r w:rsidRPr="007C3B90">
        <w:rPr>
          <w:rFonts w:hint="eastAsia"/>
          <w:rtl/>
        </w:rPr>
        <w:t>בעת</w:t>
      </w:r>
      <w:r w:rsidRPr="007C3B90">
        <w:rPr>
          <w:rtl/>
        </w:rPr>
        <w:t xml:space="preserve"> </w:t>
      </w:r>
      <w:r w:rsidRPr="007C3B90">
        <w:rPr>
          <w:rFonts w:hint="eastAsia"/>
          <w:rtl/>
        </w:rPr>
        <w:t>קבלת</w:t>
      </w:r>
      <w:r w:rsidRPr="007C3B90">
        <w:rPr>
          <w:rtl/>
        </w:rPr>
        <w:t xml:space="preserve"> </w:t>
      </w:r>
      <w:r w:rsidRPr="007C3B90">
        <w:rPr>
          <w:rFonts w:hint="eastAsia"/>
          <w:rtl/>
        </w:rPr>
        <w:t>ההחלטה</w:t>
      </w:r>
      <w:r w:rsidRPr="007C3B90">
        <w:rPr>
          <w:rtl/>
        </w:rPr>
        <w:t xml:space="preserve">), </w:t>
      </w:r>
      <w:r w:rsidRPr="007C3B90">
        <w:rPr>
          <w:rFonts w:hint="eastAsia"/>
          <w:rtl/>
        </w:rPr>
        <w:t>או</w:t>
      </w:r>
      <w:r w:rsidRPr="007C3B90">
        <w:rPr>
          <w:rtl/>
        </w:rPr>
        <w:t xml:space="preserve"> </w:t>
      </w:r>
      <w:r w:rsidRPr="007C3B90">
        <w:rPr>
          <w:rFonts w:hint="eastAsia"/>
          <w:rtl/>
        </w:rPr>
        <w:t>התקיימות</w:t>
      </w:r>
      <w:r w:rsidRPr="007C3B90">
        <w:rPr>
          <w:rtl/>
        </w:rPr>
        <w:t xml:space="preserve"> </w:t>
      </w:r>
      <w:r w:rsidRPr="007C3B90">
        <w:rPr>
          <w:rFonts w:hint="eastAsia"/>
          <w:rtl/>
        </w:rPr>
        <w:t>רכיבים</w:t>
      </w:r>
      <w:r w:rsidRPr="007C3B90">
        <w:rPr>
          <w:rtl/>
        </w:rPr>
        <w:t xml:space="preserve"> </w:t>
      </w:r>
      <w:r w:rsidRPr="007C3B90">
        <w:rPr>
          <w:rFonts w:hint="eastAsia"/>
          <w:rtl/>
        </w:rPr>
        <w:t>ייחודיים</w:t>
      </w:r>
      <w:r w:rsidRPr="007C3B90">
        <w:rPr>
          <w:rtl/>
        </w:rPr>
        <w:t xml:space="preserve"> (</w:t>
      </w:r>
      <w:r w:rsidRPr="007C3B90">
        <w:rPr>
          <w:rFonts w:hint="eastAsia"/>
          <w:rtl/>
        </w:rPr>
        <w:t>למשל</w:t>
      </w:r>
      <w:r w:rsidRPr="007C3B90">
        <w:rPr>
          <w:rtl/>
        </w:rPr>
        <w:t xml:space="preserve">, </w:t>
      </w:r>
      <w:r w:rsidRPr="007C3B90">
        <w:rPr>
          <w:rFonts w:hint="eastAsia"/>
          <w:rtl/>
        </w:rPr>
        <w:t>טובת</w:t>
      </w:r>
      <w:r w:rsidRPr="007C3B90">
        <w:rPr>
          <w:rtl/>
        </w:rPr>
        <w:t xml:space="preserve"> </w:t>
      </w:r>
      <w:r w:rsidRPr="007C3B90">
        <w:rPr>
          <w:rFonts w:hint="eastAsia"/>
          <w:rtl/>
        </w:rPr>
        <w:t>הנאה</w:t>
      </w:r>
      <w:r w:rsidRPr="007C3B90">
        <w:rPr>
          <w:rtl/>
        </w:rPr>
        <w:t xml:space="preserve"> </w:t>
      </w:r>
      <w:r w:rsidRPr="007C3B90">
        <w:rPr>
          <w:rFonts w:hint="eastAsia"/>
          <w:rtl/>
        </w:rPr>
        <w:t>שניתנה</w:t>
      </w:r>
      <w:r w:rsidRPr="007C3B90">
        <w:rPr>
          <w:rtl/>
        </w:rPr>
        <w:t xml:space="preserve"> </w:t>
      </w:r>
      <w:r w:rsidRPr="007C3B90">
        <w:rPr>
          <w:rFonts w:hint="eastAsia"/>
          <w:rtl/>
        </w:rPr>
        <w:t>לאחר</w:t>
      </w:r>
      <w:r w:rsidRPr="007C3B90">
        <w:rPr>
          <w:rtl/>
        </w:rPr>
        <w:t xml:space="preserve"> </w:t>
      </w:r>
      <w:r w:rsidRPr="007C3B90">
        <w:rPr>
          <w:rFonts w:hint="eastAsia"/>
          <w:rtl/>
        </w:rPr>
        <w:t>דומה</w:t>
      </w:r>
      <w:r w:rsidRPr="007C3B90">
        <w:rPr>
          <w:rtl/>
        </w:rPr>
        <w:t xml:space="preserve">). </w:t>
      </w:r>
      <w:r w:rsidRPr="007C3B90">
        <w:rPr>
          <w:rFonts w:hint="eastAsia"/>
          <w:rtl/>
        </w:rPr>
        <w:t>מאפיין</w:t>
      </w:r>
      <w:r w:rsidRPr="007C3B90">
        <w:rPr>
          <w:rtl/>
        </w:rPr>
        <w:t xml:space="preserve"> </w:t>
      </w:r>
      <w:r w:rsidRPr="007C3B90">
        <w:rPr>
          <w:rFonts w:hint="eastAsia"/>
          <w:rtl/>
        </w:rPr>
        <w:t>זה</w:t>
      </w:r>
      <w:r w:rsidRPr="007C3B90">
        <w:rPr>
          <w:rtl/>
        </w:rPr>
        <w:t xml:space="preserve"> </w:t>
      </w:r>
      <w:r w:rsidRPr="007C3B90">
        <w:rPr>
          <w:rFonts w:hint="eastAsia"/>
          <w:rtl/>
        </w:rPr>
        <w:t>של</w:t>
      </w:r>
      <w:r w:rsidRPr="007C3B90">
        <w:rPr>
          <w:rtl/>
        </w:rPr>
        <w:t xml:space="preserve"> עילת הסבירות, </w:t>
      </w:r>
      <w:r w:rsidRPr="007C3B90">
        <w:rPr>
          <w:rFonts w:hint="cs"/>
          <w:rtl/>
        </w:rPr>
        <w:t xml:space="preserve">מוביל פעמים רבות </w:t>
      </w:r>
      <w:r w:rsidRPr="007C3B90">
        <w:rPr>
          <w:rtl/>
        </w:rPr>
        <w:t xml:space="preserve">לכך שעילה זו תופסת ברשתה מקרים הנתפסים ברשתותיהן של עילות אחרות – כך, לשם המחשה, ניתן </w:t>
      </w:r>
      <w:r w:rsidRPr="007C3B90">
        <w:rPr>
          <w:rtl/>
        </w:rPr>
        <w:lastRenderedPageBreak/>
        <w:t xml:space="preserve">לומר </w:t>
      </w:r>
      <w:r w:rsidRPr="007C3B90">
        <w:rPr>
          <w:rFonts w:hint="cs"/>
          <w:rtl/>
        </w:rPr>
        <w:t>ש</w:t>
      </w:r>
      <w:r w:rsidRPr="007C3B90">
        <w:rPr>
          <w:rtl/>
        </w:rPr>
        <w:t>החלטה שהיא מפלה, היא גם בלתי סבירה – מאחר שאין היא נותנ</w:t>
      </w:r>
      <w:r w:rsidRPr="007C3B90">
        <w:rPr>
          <w:rFonts w:hint="cs"/>
          <w:rtl/>
        </w:rPr>
        <w:t>ת</w:t>
      </w:r>
      <w:r w:rsidRPr="007C3B90">
        <w:rPr>
          <w:rtl/>
        </w:rPr>
        <w:t xml:space="preserve"> משקל הולם לעקרון השוויון. לחפיפה הרבה המתקיימת בין עילות הביקורת השונות, התייחס השופט </w:t>
      </w:r>
      <w:r w:rsidRPr="007C3B90">
        <w:rPr>
          <w:rFonts w:ascii="Century" w:hAnsi="Century" w:cs="Miriam"/>
          <w:b/>
          <w:spacing w:val="0"/>
          <w:sz w:val="22"/>
          <w:szCs w:val="24"/>
          <w:rtl/>
        </w:rPr>
        <w:t>א' ברק</w:t>
      </w:r>
      <w:r w:rsidRPr="007C3B90">
        <w:rPr>
          <w:rtl/>
        </w:rPr>
        <w:t xml:space="preserve"> בעניין </w:t>
      </w:r>
      <w:r w:rsidRPr="007C3B90">
        <w:rPr>
          <w:rFonts w:ascii="Century" w:hAnsi="Century" w:cs="Miriam"/>
          <w:b/>
          <w:spacing w:val="0"/>
          <w:sz w:val="22"/>
          <w:szCs w:val="24"/>
          <w:rtl/>
        </w:rPr>
        <w:t>מרכז הקבלנים</w:t>
      </w:r>
      <w:r w:rsidRPr="007C3B90">
        <w:rPr>
          <w:rtl/>
        </w:rPr>
        <w:t xml:space="preserve">, תוך שציין כי </w:t>
      </w:r>
      <w:r w:rsidRPr="007C3B90">
        <w:rPr>
          <w:rFonts w:ascii="Century" w:hAnsi="Century" w:cs="Miriam"/>
          <w:b/>
          <w:spacing w:val="0"/>
          <w:sz w:val="22"/>
          <w:szCs w:val="24"/>
          <w:rtl/>
        </w:rPr>
        <w:t>"כשלעצמי הייתי כולל את כולן תחת הכותרת של חוסר סבירות"</w:t>
      </w:r>
      <w:r w:rsidRPr="007C3B90">
        <w:rPr>
          <w:rtl/>
        </w:rPr>
        <w:t xml:space="preserve"> (</w:t>
      </w:r>
      <w:r w:rsidRPr="007C3B90">
        <w:rPr>
          <w:rFonts w:ascii="Century" w:hAnsi="Century" w:cs="Miriam"/>
          <w:b/>
          <w:spacing w:val="0"/>
          <w:sz w:val="22"/>
          <w:szCs w:val="24"/>
          <w:rtl/>
        </w:rPr>
        <w:t>שם</w:t>
      </w:r>
      <w:r w:rsidRPr="007C3B90">
        <w:rPr>
          <w:rFonts w:ascii="Century" w:hAnsi="Century"/>
          <w:sz w:val="22"/>
          <w:rtl/>
        </w:rPr>
        <w:t>,</w:t>
      </w:r>
      <w:r w:rsidRPr="007C3B90">
        <w:rPr>
          <w:rtl/>
        </w:rPr>
        <w:t xml:space="preserve"> בעמ' 743). אמירה זו</w:t>
      </w:r>
      <w:r w:rsidRPr="007C3B90">
        <w:rPr>
          <w:rFonts w:hint="cs"/>
          <w:rtl/>
        </w:rPr>
        <w:t xml:space="preserve"> </w:t>
      </w:r>
      <w:r w:rsidRPr="007C3B90">
        <w:rPr>
          <w:rtl/>
        </w:rPr>
        <w:t>מדגימה היטב את אופייה חובק-</w:t>
      </w:r>
      <w:r w:rsidRPr="007C3B90">
        <w:rPr>
          <w:rFonts w:hint="cs"/>
          <w:rtl/>
        </w:rPr>
        <w:t>ה</w:t>
      </w:r>
      <w:r w:rsidRPr="007C3B90">
        <w:rPr>
          <w:rtl/>
        </w:rPr>
        <w:t xml:space="preserve">כל של עילה זו. אופי זה יכול להסביר בתורו את הביקורת שנשמעה לגבי עילת הסבירות, ולפיה המרכזיות שצברה בפסיקה, מאז פסק הדין בעניין </w:t>
      </w:r>
      <w:r w:rsidRPr="007C3B90">
        <w:rPr>
          <w:rFonts w:ascii="Century" w:hAnsi="Century" w:cs="Miriam"/>
          <w:b/>
          <w:spacing w:val="0"/>
          <w:sz w:val="22"/>
          <w:szCs w:val="24"/>
          <w:rtl/>
        </w:rPr>
        <w:t>דפי זהב</w:t>
      </w:r>
      <w:r w:rsidRPr="007C3B90">
        <w:rPr>
          <w:rFonts w:ascii="Century" w:hAnsi="Century"/>
          <w:sz w:val="22"/>
          <w:rtl/>
        </w:rPr>
        <w:t>,</w:t>
      </w:r>
      <w:r w:rsidRPr="007C3B90">
        <w:rPr>
          <w:rtl/>
        </w:rPr>
        <w:t xml:space="preserve"> באה לה על חשבון עילות אחרות </w:t>
      </w:r>
      <w:r w:rsidRPr="007C3B90">
        <w:rPr>
          <w:rFonts w:hint="cs"/>
          <w:rtl/>
        </w:rPr>
        <w:t xml:space="preserve">שנדחקו לקרן זווית </w:t>
      </w:r>
      <w:r w:rsidRPr="007C3B90">
        <w:rPr>
          <w:rtl/>
        </w:rPr>
        <w:t>– במובן זה שתוך כדי התפתחותה</w:t>
      </w:r>
      <w:r w:rsidRPr="007C3B90">
        <w:rPr>
          <w:rFonts w:hint="cs"/>
          <w:rtl/>
        </w:rPr>
        <w:t xml:space="preserve"> של עילה זו,</w:t>
      </w:r>
      <w:r w:rsidRPr="007C3B90">
        <w:rPr>
          <w:rtl/>
        </w:rPr>
        <w:t xml:space="preserve"> </w:t>
      </w:r>
      <w:r w:rsidRPr="007C3B90">
        <w:rPr>
          <w:rFonts w:ascii="Century" w:hAnsi="Century" w:cs="Miriam"/>
          <w:b/>
          <w:spacing w:val="0"/>
          <w:sz w:val="22"/>
          <w:szCs w:val="24"/>
          <w:rtl/>
        </w:rPr>
        <w:t>"היא בלעה לתוכה, כאדם שאינו יודע שובע, עילות פרטיקולריות שהוכרו בעבר"</w:t>
      </w:r>
      <w:r w:rsidRPr="007C3B90">
        <w:rPr>
          <w:rtl/>
        </w:rPr>
        <w:t xml:space="preserve"> (עניין </w:t>
      </w:r>
      <w:r w:rsidRPr="007C3B90">
        <w:rPr>
          <w:rFonts w:ascii="Century" w:hAnsi="Century" w:cs="Miriam"/>
          <w:b/>
          <w:spacing w:val="0"/>
          <w:sz w:val="22"/>
          <w:szCs w:val="24"/>
          <w:rtl/>
        </w:rPr>
        <w:t>אמונה</w:t>
      </w:r>
      <w:r w:rsidRPr="007C3B90">
        <w:rPr>
          <w:rFonts w:ascii="Century" w:hAnsi="Century"/>
          <w:sz w:val="22"/>
          <w:rtl/>
        </w:rPr>
        <w:t>,</w:t>
      </w:r>
      <w:r w:rsidRPr="007C3B90">
        <w:rPr>
          <w:rtl/>
        </w:rPr>
        <w:t xml:space="preserve"> בעמ' 522). ואכן, הפנייה לעילת הסבירות היא נוחה יותר, בהשוואה לעילות קונקרטיות הקשות יותר להוכחה (ולגבי פנייה לדוקטרינות כלליות חלף כללים מיוחדים בדין האזרחי, ראו והשוו: חגי ויניצקי "</w:t>
      </w:r>
      <w:r w:rsidRPr="007C3B90">
        <w:rPr>
          <w:rFonts w:hint="eastAsia"/>
          <w:rtl/>
        </w:rPr>
        <w:t>ייחוד</w:t>
      </w:r>
      <w:r w:rsidRPr="007C3B90">
        <w:rPr>
          <w:rtl/>
        </w:rPr>
        <w:t xml:space="preserve"> </w:t>
      </w:r>
      <w:r w:rsidRPr="007C3B90">
        <w:rPr>
          <w:rFonts w:hint="eastAsia"/>
          <w:rtl/>
        </w:rPr>
        <w:t>עילה</w:t>
      </w:r>
      <w:r w:rsidRPr="007C3B90">
        <w:rPr>
          <w:rtl/>
        </w:rPr>
        <w:t xml:space="preserve"> </w:t>
      </w:r>
      <w:r w:rsidRPr="007C3B90">
        <w:rPr>
          <w:rFonts w:hint="eastAsia"/>
          <w:rtl/>
        </w:rPr>
        <w:t>בדיני</w:t>
      </w:r>
      <w:r w:rsidRPr="007C3B90">
        <w:rPr>
          <w:rtl/>
        </w:rPr>
        <w:t xml:space="preserve"> </w:t>
      </w:r>
      <w:r w:rsidRPr="007C3B90">
        <w:rPr>
          <w:rFonts w:hint="eastAsia"/>
          <w:rtl/>
        </w:rPr>
        <w:t>הפגמים</w:t>
      </w:r>
      <w:r w:rsidRPr="007C3B90">
        <w:rPr>
          <w:rtl/>
        </w:rPr>
        <w:t xml:space="preserve"> </w:t>
      </w:r>
      <w:r w:rsidRPr="007C3B90">
        <w:rPr>
          <w:rFonts w:hint="eastAsia"/>
          <w:rtl/>
        </w:rPr>
        <w:t>בכריתה</w:t>
      </w:r>
      <w:r w:rsidRPr="007C3B90">
        <w:rPr>
          <w:rtl/>
        </w:rPr>
        <w:t xml:space="preserve">: </w:t>
      </w:r>
      <w:r w:rsidRPr="007C3B90">
        <w:rPr>
          <w:rFonts w:hint="eastAsia"/>
          <w:rtl/>
        </w:rPr>
        <w:t>ניתוח</w:t>
      </w:r>
      <w:r w:rsidRPr="007C3B90">
        <w:rPr>
          <w:rtl/>
        </w:rPr>
        <w:t xml:space="preserve"> </w:t>
      </w:r>
      <w:r w:rsidRPr="007C3B90">
        <w:rPr>
          <w:rFonts w:hint="eastAsia"/>
          <w:rtl/>
        </w:rPr>
        <w:t>עיוני</w:t>
      </w:r>
      <w:r w:rsidRPr="007C3B90">
        <w:rPr>
          <w:rtl/>
        </w:rPr>
        <w:t xml:space="preserve"> </w:t>
      </w:r>
      <w:r w:rsidRPr="007C3B90">
        <w:rPr>
          <w:rFonts w:hint="eastAsia"/>
          <w:rtl/>
        </w:rPr>
        <w:t>ונורמטיבי</w:t>
      </w:r>
      <w:r w:rsidRPr="007C3B90">
        <w:rPr>
          <w:rtl/>
        </w:rPr>
        <w:t xml:space="preserve">" </w:t>
      </w:r>
      <w:r w:rsidRPr="007C3B90">
        <w:rPr>
          <w:rFonts w:ascii="Century" w:hAnsi="Century" w:cs="Miriam" w:hint="eastAsia"/>
          <w:b/>
          <w:spacing w:val="0"/>
          <w:sz w:val="22"/>
          <w:szCs w:val="24"/>
          <w:rtl/>
        </w:rPr>
        <w:t>דין</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ודברים</w:t>
      </w:r>
      <w:r w:rsidRPr="007C3B90">
        <w:rPr>
          <w:rtl/>
        </w:rPr>
        <w:t xml:space="preserve"> </w:t>
      </w:r>
      <w:r w:rsidRPr="007C3B90">
        <w:rPr>
          <w:rFonts w:hint="eastAsia"/>
          <w:rtl/>
        </w:rPr>
        <w:t>י</w:t>
      </w:r>
      <w:r w:rsidRPr="007C3B90">
        <w:rPr>
          <w:rtl/>
        </w:rPr>
        <w:t xml:space="preserve"> 137 (2018)). </w:t>
      </w:r>
      <w:r w:rsidRPr="007C3B90">
        <w:rPr>
          <w:rFonts w:hint="eastAsia"/>
          <w:rtl/>
        </w:rPr>
        <w:t>תימוכין</w:t>
      </w:r>
      <w:r w:rsidRPr="007C3B90">
        <w:rPr>
          <w:rtl/>
        </w:rPr>
        <w:t xml:space="preserve"> </w:t>
      </w:r>
      <w:r w:rsidRPr="007C3B90">
        <w:rPr>
          <w:rFonts w:hint="eastAsia"/>
          <w:rtl/>
        </w:rPr>
        <w:t>לעניין</w:t>
      </w:r>
      <w:r w:rsidRPr="007C3B90">
        <w:rPr>
          <w:rtl/>
        </w:rPr>
        <w:t xml:space="preserve"> </w:t>
      </w:r>
      <w:r w:rsidRPr="007C3B90">
        <w:rPr>
          <w:rFonts w:hint="eastAsia"/>
          <w:rtl/>
        </w:rPr>
        <w:t>זה</w:t>
      </w:r>
      <w:r w:rsidRPr="007C3B90">
        <w:rPr>
          <w:rtl/>
        </w:rPr>
        <w:t xml:space="preserve">, </w:t>
      </w:r>
      <w:r w:rsidRPr="007C3B90">
        <w:rPr>
          <w:rFonts w:hint="eastAsia"/>
          <w:rtl/>
        </w:rPr>
        <w:t>ניתן</w:t>
      </w:r>
      <w:r w:rsidRPr="007C3B90">
        <w:rPr>
          <w:rtl/>
        </w:rPr>
        <w:t xml:space="preserve"> </w:t>
      </w:r>
      <w:r w:rsidRPr="007C3B90">
        <w:rPr>
          <w:rFonts w:hint="eastAsia"/>
          <w:rtl/>
        </w:rPr>
        <w:t>למצוא</w:t>
      </w:r>
      <w:r w:rsidRPr="007C3B90">
        <w:rPr>
          <w:rtl/>
        </w:rPr>
        <w:t xml:space="preserve"> </w:t>
      </w:r>
      <w:r w:rsidRPr="007C3B90">
        <w:rPr>
          <w:rFonts w:hint="eastAsia"/>
          <w:rtl/>
        </w:rPr>
        <w:t>בטענה</w:t>
      </w:r>
      <w:r w:rsidRPr="007C3B90">
        <w:rPr>
          <w:rtl/>
        </w:rPr>
        <w:t xml:space="preserve"> </w:t>
      </w:r>
      <w:r w:rsidRPr="007C3B90">
        <w:rPr>
          <w:rFonts w:hint="eastAsia"/>
          <w:rtl/>
        </w:rPr>
        <w:t>המועלית</w:t>
      </w:r>
      <w:r w:rsidRPr="007C3B90">
        <w:rPr>
          <w:rtl/>
        </w:rPr>
        <w:t xml:space="preserve"> </w:t>
      </w:r>
      <w:r w:rsidRPr="007C3B90">
        <w:rPr>
          <w:rFonts w:hint="eastAsia"/>
          <w:rtl/>
        </w:rPr>
        <w:t>תדיר</w:t>
      </w:r>
      <w:r w:rsidRPr="007C3B90">
        <w:rPr>
          <w:rtl/>
        </w:rPr>
        <w:t xml:space="preserve"> </w:t>
      </w:r>
      <w:r w:rsidRPr="007C3B90">
        <w:rPr>
          <w:rFonts w:hint="eastAsia"/>
          <w:rtl/>
        </w:rPr>
        <w:t>על</w:t>
      </w:r>
      <w:r w:rsidRPr="007C3B90">
        <w:rPr>
          <w:rtl/>
        </w:rPr>
        <w:t>-</w:t>
      </w:r>
      <w:r w:rsidRPr="007C3B90">
        <w:rPr>
          <w:rFonts w:hint="eastAsia"/>
          <w:rtl/>
        </w:rPr>
        <w:t>ידי</w:t>
      </w:r>
      <w:r w:rsidRPr="007C3B90">
        <w:rPr>
          <w:rtl/>
        </w:rPr>
        <w:t xml:space="preserve"> '</w:t>
      </w:r>
      <w:r w:rsidRPr="007C3B90">
        <w:rPr>
          <w:rFonts w:hint="eastAsia"/>
          <w:rtl/>
        </w:rPr>
        <w:t>מצדדיה</w:t>
      </w:r>
      <w:r w:rsidRPr="007C3B90">
        <w:rPr>
          <w:rtl/>
        </w:rPr>
        <w:t xml:space="preserve">' </w:t>
      </w:r>
      <w:r w:rsidRPr="007C3B90">
        <w:rPr>
          <w:rFonts w:hint="eastAsia"/>
          <w:rtl/>
        </w:rPr>
        <w:t>של</w:t>
      </w:r>
      <w:r w:rsidRPr="007C3B90">
        <w:rPr>
          <w:rtl/>
        </w:rPr>
        <w:t xml:space="preserve"> </w:t>
      </w:r>
      <w:r w:rsidRPr="007C3B90">
        <w:rPr>
          <w:rFonts w:hint="eastAsia"/>
          <w:rtl/>
        </w:rPr>
        <w:t>עילת</w:t>
      </w:r>
      <w:r w:rsidRPr="007C3B90">
        <w:rPr>
          <w:rtl/>
        </w:rPr>
        <w:t xml:space="preserve"> </w:t>
      </w:r>
      <w:r w:rsidRPr="007C3B90">
        <w:rPr>
          <w:rFonts w:hint="eastAsia"/>
          <w:rtl/>
        </w:rPr>
        <w:t>הסבירות</w:t>
      </w:r>
      <w:r w:rsidRPr="007C3B90">
        <w:rPr>
          <w:rtl/>
        </w:rPr>
        <w:t xml:space="preserve"> </w:t>
      </w:r>
      <w:r w:rsidRPr="007C3B90">
        <w:rPr>
          <w:rFonts w:hint="eastAsia"/>
          <w:rtl/>
        </w:rPr>
        <w:t>הרחבה</w:t>
      </w:r>
      <w:r w:rsidRPr="007C3B90">
        <w:rPr>
          <w:rtl/>
        </w:rPr>
        <w:t xml:space="preserve"> – </w:t>
      </w:r>
      <w:r w:rsidRPr="007C3B90">
        <w:rPr>
          <w:rFonts w:hint="eastAsia"/>
          <w:rtl/>
        </w:rPr>
        <w:t>ולפיה</w:t>
      </w:r>
      <w:r w:rsidRPr="007C3B90">
        <w:rPr>
          <w:rtl/>
        </w:rPr>
        <w:t xml:space="preserve"> </w:t>
      </w:r>
      <w:r w:rsidRPr="007C3B90">
        <w:rPr>
          <w:rFonts w:hint="eastAsia"/>
          <w:rtl/>
        </w:rPr>
        <w:t>עילה</w:t>
      </w:r>
      <w:r w:rsidRPr="007C3B90">
        <w:rPr>
          <w:rtl/>
        </w:rPr>
        <w:t xml:space="preserve"> </w:t>
      </w:r>
      <w:r w:rsidRPr="007C3B90">
        <w:rPr>
          <w:rFonts w:hint="eastAsia"/>
          <w:rtl/>
        </w:rPr>
        <w:t>זו</w:t>
      </w:r>
      <w:r w:rsidRPr="007C3B90">
        <w:rPr>
          <w:rtl/>
        </w:rPr>
        <w:t xml:space="preserve"> </w:t>
      </w:r>
      <w:r w:rsidRPr="007C3B90">
        <w:rPr>
          <w:rFonts w:hint="eastAsia"/>
          <w:rtl/>
        </w:rPr>
        <w:t>משמשת</w:t>
      </w:r>
      <w:r w:rsidRPr="007C3B90">
        <w:rPr>
          <w:rtl/>
        </w:rPr>
        <w:t xml:space="preserve"> </w:t>
      </w:r>
      <w:r w:rsidRPr="007C3B90">
        <w:rPr>
          <w:rFonts w:hint="eastAsia"/>
          <w:rtl/>
        </w:rPr>
        <w:t>גם</w:t>
      </w:r>
      <w:r w:rsidRPr="007C3B90">
        <w:rPr>
          <w:rtl/>
        </w:rPr>
        <w:t xml:space="preserve"> </w:t>
      </w:r>
      <w:r w:rsidRPr="007C3B90">
        <w:rPr>
          <w:rFonts w:hint="eastAsia"/>
          <w:rtl/>
        </w:rPr>
        <w:t>לפסילת</w:t>
      </w:r>
      <w:r w:rsidRPr="007C3B90">
        <w:rPr>
          <w:rtl/>
        </w:rPr>
        <w:t xml:space="preserve"> </w:t>
      </w:r>
      <w:r w:rsidRPr="007C3B90">
        <w:rPr>
          <w:rFonts w:hint="eastAsia"/>
          <w:rtl/>
        </w:rPr>
        <w:t>החלטות</w:t>
      </w:r>
      <w:r w:rsidRPr="007C3B90">
        <w:rPr>
          <w:rtl/>
        </w:rPr>
        <w:t xml:space="preserve"> </w:t>
      </w:r>
      <w:r w:rsidRPr="007C3B90">
        <w:rPr>
          <w:rFonts w:hint="eastAsia"/>
          <w:rtl/>
        </w:rPr>
        <w:t>שמתקיים</w:t>
      </w:r>
      <w:r w:rsidRPr="007C3B90">
        <w:rPr>
          <w:rtl/>
        </w:rPr>
        <w:t xml:space="preserve"> </w:t>
      </w:r>
      <w:r w:rsidRPr="007C3B90">
        <w:rPr>
          <w:rFonts w:hint="eastAsia"/>
          <w:rtl/>
        </w:rPr>
        <w:t>בעניינן</w:t>
      </w:r>
      <w:r w:rsidRPr="007C3B90">
        <w:rPr>
          <w:rtl/>
        </w:rPr>
        <w:t xml:space="preserve"> </w:t>
      </w:r>
      <w:r w:rsidRPr="007C3B90">
        <w:rPr>
          <w:rFonts w:hint="eastAsia"/>
          <w:rtl/>
        </w:rPr>
        <w:t>פגם</w:t>
      </w:r>
      <w:r w:rsidRPr="007C3B90">
        <w:rPr>
          <w:rtl/>
        </w:rPr>
        <w:t xml:space="preserve"> </w:t>
      </w:r>
      <w:r w:rsidRPr="007C3B90">
        <w:rPr>
          <w:rFonts w:hint="eastAsia"/>
          <w:rtl/>
        </w:rPr>
        <w:t>קונקרטי</w:t>
      </w:r>
      <w:r w:rsidRPr="007C3B90">
        <w:rPr>
          <w:rtl/>
        </w:rPr>
        <w:t xml:space="preserve"> </w:t>
      </w:r>
      <w:r w:rsidRPr="007C3B90">
        <w:rPr>
          <w:rFonts w:hint="eastAsia"/>
          <w:rtl/>
        </w:rPr>
        <w:t>של</w:t>
      </w:r>
      <w:r w:rsidRPr="007C3B90">
        <w:rPr>
          <w:rtl/>
        </w:rPr>
        <w:t xml:space="preserve"> </w:t>
      </w:r>
      <w:r w:rsidRPr="007C3B90">
        <w:rPr>
          <w:rFonts w:hint="eastAsia"/>
          <w:rtl/>
        </w:rPr>
        <w:t>שקילת</w:t>
      </w:r>
      <w:r w:rsidRPr="007C3B90">
        <w:rPr>
          <w:rtl/>
        </w:rPr>
        <w:t xml:space="preserve"> </w:t>
      </w:r>
      <w:r w:rsidRPr="007C3B90">
        <w:rPr>
          <w:rFonts w:hint="eastAsia"/>
          <w:rtl/>
        </w:rPr>
        <w:t>שיקולים</w:t>
      </w:r>
      <w:r w:rsidRPr="007C3B90">
        <w:rPr>
          <w:rtl/>
        </w:rPr>
        <w:t xml:space="preserve"> </w:t>
      </w:r>
      <w:r w:rsidRPr="007C3B90">
        <w:rPr>
          <w:rFonts w:hint="eastAsia"/>
          <w:rtl/>
        </w:rPr>
        <w:t>זרים</w:t>
      </w:r>
      <w:r w:rsidRPr="007C3B90">
        <w:rPr>
          <w:rtl/>
        </w:rPr>
        <w:t xml:space="preserve">, </w:t>
      </w:r>
      <w:r w:rsidRPr="007C3B90">
        <w:rPr>
          <w:rFonts w:hint="eastAsia"/>
          <w:rtl/>
        </w:rPr>
        <w:t>אשר</w:t>
      </w:r>
      <w:r w:rsidRPr="007C3B90">
        <w:rPr>
          <w:rtl/>
        </w:rPr>
        <w:t xml:space="preserve"> </w:t>
      </w:r>
      <w:r w:rsidRPr="007C3B90">
        <w:rPr>
          <w:rFonts w:hint="eastAsia"/>
          <w:rtl/>
        </w:rPr>
        <w:t>יש</w:t>
      </w:r>
      <w:r w:rsidRPr="007C3B90">
        <w:rPr>
          <w:rtl/>
        </w:rPr>
        <w:t xml:space="preserve"> </w:t>
      </w:r>
      <w:r w:rsidRPr="007C3B90">
        <w:rPr>
          <w:rFonts w:hint="eastAsia"/>
          <w:rtl/>
        </w:rPr>
        <w:t>קושי</w:t>
      </w:r>
      <w:r w:rsidRPr="007C3B90">
        <w:rPr>
          <w:rtl/>
        </w:rPr>
        <w:t xml:space="preserve"> </w:t>
      </w:r>
      <w:r w:rsidRPr="007C3B90">
        <w:rPr>
          <w:rFonts w:hint="eastAsia"/>
          <w:rtl/>
        </w:rPr>
        <w:t>בהוכחתו</w:t>
      </w:r>
      <w:r w:rsidRPr="007C3B90">
        <w:rPr>
          <w:rtl/>
        </w:rPr>
        <w:t xml:space="preserve"> (</w:t>
      </w:r>
      <w:r w:rsidRPr="007C3B90">
        <w:rPr>
          <w:rFonts w:hint="eastAsia"/>
          <w:rtl/>
        </w:rPr>
        <w:t>ראו</w:t>
      </w:r>
      <w:r w:rsidRPr="007C3B90">
        <w:rPr>
          <w:rtl/>
        </w:rPr>
        <w:t xml:space="preserve"> </w:t>
      </w:r>
      <w:r w:rsidRPr="007C3B90">
        <w:rPr>
          <w:rFonts w:hint="eastAsia"/>
          <w:rtl/>
        </w:rPr>
        <w:t>למשל</w:t>
      </w:r>
      <w:r w:rsidRPr="007C3B90">
        <w:rPr>
          <w:rtl/>
        </w:rPr>
        <w:t xml:space="preserve"> </w:t>
      </w:r>
      <w:r w:rsidRPr="007C3B90">
        <w:rPr>
          <w:rFonts w:hint="eastAsia"/>
          <w:rtl/>
        </w:rPr>
        <w:t>בעניין</w:t>
      </w:r>
      <w:r w:rsidRPr="007C3B90">
        <w:rPr>
          <w:rtl/>
        </w:rPr>
        <w:t xml:space="preserve"> </w:t>
      </w:r>
      <w:r w:rsidRPr="007C3B90">
        <w:rPr>
          <w:rFonts w:ascii="Century" w:hAnsi="Century" w:cs="Miriam" w:hint="eastAsia"/>
          <w:b/>
          <w:spacing w:val="0"/>
          <w:sz w:val="22"/>
          <w:szCs w:val="24"/>
          <w:rtl/>
        </w:rPr>
        <w:t>הנגבי</w:t>
      </w:r>
      <w:r w:rsidRPr="007C3B90">
        <w:rPr>
          <w:rFonts w:ascii="Century" w:hAnsi="Century"/>
          <w:sz w:val="22"/>
          <w:rtl/>
        </w:rPr>
        <w:t>,</w:t>
      </w:r>
      <w:r w:rsidRPr="007C3B90">
        <w:rPr>
          <w:rtl/>
        </w:rPr>
        <w:t xml:space="preserve"> </w:t>
      </w:r>
      <w:r w:rsidRPr="007C3B90">
        <w:rPr>
          <w:rFonts w:hint="eastAsia"/>
          <w:rtl/>
        </w:rPr>
        <w:t>בפסקה</w:t>
      </w:r>
      <w:r w:rsidRPr="007C3B90">
        <w:rPr>
          <w:rtl/>
        </w:rPr>
        <w:t xml:space="preserve"> 2 </w:t>
      </w:r>
      <w:r w:rsidRPr="007C3B90">
        <w:rPr>
          <w:rFonts w:hint="eastAsia"/>
          <w:rtl/>
        </w:rPr>
        <w:t>לפסק</w:t>
      </w:r>
      <w:r w:rsidRPr="007C3B90">
        <w:rPr>
          <w:rtl/>
        </w:rPr>
        <w:t xml:space="preserve"> </w:t>
      </w:r>
      <w:r w:rsidRPr="007C3B90">
        <w:rPr>
          <w:rFonts w:hint="eastAsia"/>
          <w:rtl/>
        </w:rPr>
        <w:t>דינה</w:t>
      </w:r>
      <w:r w:rsidRPr="007C3B90">
        <w:rPr>
          <w:rtl/>
        </w:rPr>
        <w:t xml:space="preserve"> </w:t>
      </w:r>
      <w:r w:rsidRPr="007C3B90">
        <w:rPr>
          <w:rFonts w:hint="eastAsia"/>
          <w:rtl/>
        </w:rPr>
        <w:t>של</w:t>
      </w:r>
      <w:r w:rsidRPr="007C3B90">
        <w:rPr>
          <w:rtl/>
        </w:rPr>
        <w:t xml:space="preserve"> </w:t>
      </w:r>
      <w:r w:rsidRPr="007C3B90">
        <w:rPr>
          <w:rFonts w:hint="eastAsia"/>
          <w:rtl/>
        </w:rPr>
        <w:t>הנשיאה</w:t>
      </w:r>
      <w:r w:rsidRPr="007C3B90">
        <w:rPr>
          <w:rtl/>
        </w:rPr>
        <w:t xml:space="preserve"> </w:t>
      </w:r>
      <w:r w:rsidRPr="007C3B90">
        <w:rPr>
          <w:rFonts w:ascii="Century" w:hAnsi="Century" w:cs="Miriam" w:hint="eastAsia"/>
          <w:b/>
          <w:spacing w:val="0"/>
          <w:sz w:val="22"/>
          <w:szCs w:val="24"/>
          <w:rtl/>
        </w:rPr>
        <w:t>מ</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נאור</w:t>
      </w:r>
      <w:r w:rsidRPr="007C3B90">
        <w:rPr>
          <w:rtl/>
        </w:rPr>
        <w:t>).</w:t>
      </w:r>
    </w:p>
    <w:p w:rsidR="00BB56BB" w:rsidRPr="007C3B90" w:rsidRDefault="00BB56BB" w:rsidP="00BB56BB">
      <w:pPr>
        <w:pStyle w:val="Ruller4"/>
        <w:numPr>
          <w:ilvl w:val="0"/>
          <w:numId w:val="0"/>
        </w:numPr>
        <w:rPr>
          <w:rtl/>
        </w:rPr>
      </w:pPr>
    </w:p>
    <w:p w:rsidR="00BB56BB" w:rsidRPr="007C3B90" w:rsidRDefault="00BB56BB" w:rsidP="00BB56BB">
      <w:pPr>
        <w:pStyle w:val="Ruller4"/>
      </w:pPr>
      <w:r w:rsidRPr="007C3B90">
        <w:rPr>
          <w:rFonts w:hint="eastAsia"/>
          <w:rtl/>
        </w:rPr>
        <w:t>על</w:t>
      </w:r>
      <w:r w:rsidRPr="007C3B90">
        <w:rPr>
          <w:rtl/>
        </w:rPr>
        <w:t xml:space="preserve"> </w:t>
      </w:r>
      <w:r w:rsidRPr="007C3B90">
        <w:rPr>
          <w:rFonts w:hint="eastAsia"/>
          <w:rtl/>
        </w:rPr>
        <w:t>רקע</w:t>
      </w:r>
      <w:r w:rsidRPr="007C3B90">
        <w:rPr>
          <w:rtl/>
        </w:rPr>
        <w:t xml:space="preserve"> </w:t>
      </w:r>
      <w:r w:rsidRPr="007C3B90">
        <w:rPr>
          <w:rFonts w:hint="eastAsia"/>
          <w:rtl/>
        </w:rPr>
        <w:t>מאפיינים</w:t>
      </w:r>
      <w:r w:rsidRPr="007C3B90">
        <w:rPr>
          <w:rtl/>
        </w:rPr>
        <w:t xml:space="preserve"> </w:t>
      </w:r>
      <w:r w:rsidRPr="007C3B90">
        <w:rPr>
          <w:rFonts w:hint="eastAsia"/>
          <w:rtl/>
        </w:rPr>
        <w:t>אלה</w:t>
      </w:r>
      <w:r w:rsidRPr="007C3B90">
        <w:rPr>
          <w:rtl/>
        </w:rPr>
        <w:t xml:space="preserve"> </w:t>
      </w:r>
      <w:r w:rsidRPr="007C3B90">
        <w:rPr>
          <w:rFonts w:hint="eastAsia"/>
          <w:rtl/>
        </w:rPr>
        <w:t>של</w:t>
      </w:r>
      <w:r w:rsidRPr="007C3B90">
        <w:rPr>
          <w:rtl/>
        </w:rPr>
        <w:t xml:space="preserve"> </w:t>
      </w:r>
      <w:r w:rsidRPr="007C3B90">
        <w:rPr>
          <w:rFonts w:hint="eastAsia"/>
          <w:rtl/>
        </w:rPr>
        <w:t>עילת</w:t>
      </w:r>
      <w:r w:rsidRPr="007C3B90">
        <w:rPr>
          <w:rtl/>
        </w:rPr>
        <w:t xml:space="preserve"> </w:t>
      </w:r>
      <w:r w:rsidRPr="007C3B90">
        <w:rPr>
          <w:rFonts w:hint="eastAsia"/>
          <w:rtl/>
        </w:rPr>
        <w:t>הסבירות</w:t>
      </w:r>
      <w:r w:rsidRPr="007C3B90">
        <w:rPr>
          <w:rtl/>
        </w:rPr>
        <w:t xml:space="preserve"> </w:t>
      </w:r>
      <w:r w:rsidRPr="007C3B90">
        <w:rPr>
          <w:rFonts w:hint="eastAsia"/>
          <w:rtl/>
        </w:rPr>
        <w:t>הרחבה</w:t>
      </w:r>
      <w:r w:rsidRPr="007C3B90">
        <w:rPr>
          <w:rtl/>
        </w:rPr>
        <w:t xml:space="preserve">, </w:t>
      </w:r>
      <w:r w:rsidRPr="007C3B90">
        <w:rPr>
          <w:rFonts w:hint="eastAsia"/>
          <w:rtl/>
        </w:rPr>
        <w:t>מתחזקת</w:t>
      </w:r>
      <w:r w:rsidRPr="007C3B90">
        <w:rPr>
          <w:rtl/>
        </w:rPr>
        <w:t xml:space="preserve"> </w:t>
      </w:r>
      <w:r w:rsidRPr="007C3B90">
        <w:rPr>
          <w:rFonts w:hint="eastAsia"/>
          <w:rtl/>
        </w:rPr>
        <w:t>המסקנה</w:t>
      </w:r>
      <w:r w:rsidRPr="007C3B90">
        <w:rPr>
          <w:rtl/>
        </w:rPr>
        <w:t xml:space="preserve"> </w:t>
      </w:r>
      <w:r w:rsidRPr="007C3B90">
        <w:rPr>
          <w:rFonts w:hint="eastAsia"/>
          <w:rtl/>
        </w:rPr>
        <w:t>כי</w:t>
      </w:r>
      <w:r w:rsidRPr="007C3B90">
        <w:rPr>
          <w:rtl/>
        </w:rPr>
        <w:t xml:space="preserve"> </w:t>
      </w:r>
      <w:r w:rsidRPr="007C3B90">
        <w:rPr>
          <w:rFonts w:hint="eastAsia"/>
          <w:rtl/>
        </w:rPr>
        <w:t>עילות</w:t>
      </w:r>
      <w:r w:rsidRPr="007C3B90">
        <w:rPr>
          <w:rtl/>
        </w:rPr>
        <w:t xml:space="preserve"> </w:t>
      </w:r>
      <w:r w:rsidRPr="007C3B90">
        <w:rPr>
          <w:rFonts w:hint="eastAsia"/>
          <w:rtl/>
        </w:rPr>
        <w:t>הביקורת</w:t>
      </w:r>
      <w:r w:rsidRPr="007C3B90">
        <w:rPr>
          <w:rtl/>
        </w:rPr>
        <w:t xml:space="preserve"> </w:t>
      </w:r>
      <w:r w:rsidRPr="007C3B90">
        <w:rPr>
          <w:rFonts w:hint="eastAsia"/>
          <w:rtl/>
        </w:rPr>
        <w:t>הקיימות</w:t>
      </w:r>
      <w:r w:rsidRPr="007C3B90">
        <w:rPr>
          <w:rtl/>
        </w:rPr>
        <w:t xml:space="preserve"> – </w:t>
      </w:r>
      <w:r w:rsidRPr="007C3B90">
        <w:rPr>
          <w:rFonts w:hint="eastAsia"/>
          <w:rtl/>
        </w:rPr>
        <w:t>חוסר</w:t>
      </w:r>
      <w:r w:rsidRPr="007C3B90">
        <w:rPr>
          <w:rtl/>
        </w:rPr>
        <w:t xml:space="preserve"> </w:t>
      </w:r>
      <w:r w:rsidRPr="007C3B90">
        <w:rPr>
          <w:rFonts w:hint="eastAsia"/>
          <w:rtl/>
        </w:rPr>
        <w:t>סמכות</w:t>
      </w:r>
      <w:r w:rsidRPr="007C3B90">
        <w:rPr>
          <w:rtl/>
        </w:rPr>
        <w:t xml:space="preserve">, </w:t>
      </w:r>
      <w:r w:rsidRPr="007C3B90">
        <w:rPr>
          <w:rFonts w:hint="eastAsia"/>
          <w:rtl/>
        </w:rPr>
        <w:t>הפליה</w:t>
      </w:r>
      <w:r w:rsidRPr="007C3B90">
        <w:rPr>
          <w:rtl/>
        </w:rPr>
        <w:t xml:space="preserve">, </w:t>
      </w:r>
      <w:r w:rsidRPr="007C3B90">
        <w:rPr>
          <w:rFonts w:hint="eastAsia"/>
          <w:rtl/>
        </w:rPr>
        <w:t>מטרה</w:t>
      </w:r>
      <w:r w:rsidRPr="007C3B90">
        <w:rPr>
          <w:rtl/>
        </w:rPr>
        <w:t xml:space="preserve"> </w:t>
      </w:r>
      <w:r w:rsidRPr="007C3B90">
        <w:rPr>
          <w:rFonts w:hint="eastAsia"/>
          <w:rtl/>
        </w:rPr>
        <w:t>זרה</w:t>
      </w:r>
      <w:r w:rsidRPr="007C3B90">
        <w:rPr>
          <w:rtl/>
        </w:rPr>
        <w:t xml:space="preserve">, </w:t>
      </w:r>
      <w:r w:rsidRPr="007C3B90">
        <w:rPr>
          <w:rFonts w:hint="eastAsia"/>
          <w:rtl/>
        </w:rPr>
        <w:t>מידתיות</w:t>
      </w:r>
      <w:r w:rsidRPr="007C3B90">
        <w:rPr>
          <w:rtl/>
        </w:rPr>
        <w:t xml:space="preserve">, </w:t>
      </w:r>
      <w:r w:rsidRPr="007C3B90">
        <w:rPr>
          <w:rFonts w:hint="eastAsia"/>
          <w:rtl/>
        </w:rPr>
        <w:t>חוסר</w:t>
      </w:r>
      <w:r w:rsidRPr="007C3B90">
        <w:rPr>
          <w:rtl/>
        </w:rPr>
        <w:t xml:space="preserve"> </w:t>
      </w:r>
      <w:r w:rsidRPr="007C3B90">
        <w:rPr>
          <w:rFonts w:hint="eastAsia"/>
          <w:rtl/>
        </w:rPr>
        <w:t>תום</w:t>
      </w:r>
      <w:r w:rsidRPr="007C3B90">
        <w:rPr>
          <w:rtl/>
        </w:rPr>
        <w:t xml:space="preserve"> </w:t>
      </w:r>
      <w:r w:rsidRPr="007C3B90">
        <w:rPr>
          <w:rFonts w:hint="eastAsia"/>
          <w:rtl/>
        </w:rPr>
        <w:t>לב</w:t>
      </w:r>
      <w:r w:rsidRPr="007C3B90">
        <w:rPr>
          <w:rtl/>
        </w:rPr>
        <w:t xml:space="preserve">, </w:t>
      </w:r>
      <w:r w:rsidRPr="007C3B90">
        <w:rPr>
          <w:rFonts w:hint="eastAsia"/>
          <w:rtl/>
        </w:rPr>
        <w:t>פגמים</w:t>
      </w:r>
      <w:r w:rsidRPr="007C3B90">
        <w:rPr>
          <w:rtl/>
        </w:rPr>
        <w:t xml:space="preserve"> </w:t>
      </w:r>
      <w:r w:rsidRPr="007C3B90">
        <w:rPr>
          <w:rFonts w:hint="eastAsia"/>
          <w:rtl/>
        </w:rPr>
        <w:t>הליכיים</w:t>
      </w:r>
      <w:r w:rsidRPr="007C3B90">
        <w:rPr>
          <w:rtl/>
        </w:rPr>
        <w:t xml:space="preserve"> </w:t>
      </w:r>
      <w:r w:rsidRPr="007C3B90">
        <w:rPr>
          <w:rFonts w:hint="eastAsia"/>
          <w:rtl/>
        </w:rPr>
        <w:t>ועוד</w:t>
      </w:r>
      <w:r w:rsidRPr="007C3B90">
        <w:rPr>
          <w:rtl/>
        </w:rPr>
        <w:t xml:space="preserve"> – </w:t>
      </w:r>
      <w:r w:rsidRPr="007C3B90">
        <w:rPr>
          <w:rFonts w:hint="eastAsia"/>
          <w:rtl/>
        </w:rPr>
        <w:t>יוכלו</w:t>
      </w:r>
      <w:r w:rsidRPr="007C3B90">
        <w:rPr>
          <w:rtl/>
        </w:rPr>
        <w:t xml:space="preserve"> </w:t>
      </w:r>
      <w:r w:rsidRPr="007C3B90">
        <w:rPr>
          <w:rFonts w:hint="eastAsia"/>
          <w:rtl/>
        </w:rPr>
        <w:t>למלא</w:t>
      </w:r>
      <w:r w:rsidRPr="007C3B90">
        <w:rPr>
          <w:rtl/>
        </w:rPr>
        <w:t xml:space="preserve"> </w:t>
      </w:r>
      <w:r w:rsidRPr="007C3B90">
        <w:rPr>
          <w:rFonts w:hint="eastAsia"/>
          <w:rtl/>
        </w:rPr>
        <w:t>במידה</w:t>
      </w:r>
      <w:r w:rsidRPr="007C3B90">
        <w:rPr>
          <w:rtl/>
        </w:rPr>
        <w:t xml:space="preserve"> </w:t>
      </w:r>
      <w:r w:rsidRPr="007C3B90">
        <w:rPr>
          <w:rFonts w:hint="eastAsia"/>
          <w:rtl/>
        </w:rPr>
        <w:t>רבה</w:t>
      </w:r>
      <w:r w:rsidRPr="007C3B90">
        <w:rPr>
          <w:rtl/>
        </w:rPr>
        <w:t xml:space="preserve"> </w:t>
      </w:r>
      <w:r w:rsidRPr="007C3B90">
        <w:rPr>
          <w:rFonts w:hint="eastAsia"/>
          <w:rtl/>
        </w:rPr>
        <w:t>חלק</w:t>
      </w:r>
      <w:r w:rsidRPr="007C3B90">
        <w:rPr>
          <w:rtl/>
        </w:rPr>
        <w:t xml:space="preserve"> </w:t>
      </w:r>
      <w:r w:rsidRPr="007C3B90">
        <w:rPr>
          <w:rFonts w:hint="eastAsia"/>
          <w:rtl/>
        </w:rPr>
        <w:t>מן</w:t>
      </w:r>
      <w:r w:rsidRPr="007C3B90">
        <w:rPr>
          <w:rtl/>
        </w:rPr>
        <w:t xml:space="preserve"> "</w:t>
      </w:r>
      <w:r w:rsidRPr="007C3B90">
        <w:rPr>
          <w:rFonts w:hint="eastAsia"/>
          <w:rtl/>
        </w:rPr>
        <w:t>הריק</w:t>
      </w:r>
      <w:r w:rsidRPr="007C3B90">
        <w:rPr>
          <w:rtl/>
        </w:rPr>
        <w:t xml:space="preserve">" </w:t>
      </w:r>
      <w:r w:rsidRPr="007C3B90">
        <w:rPr>
          <w:rFonts w:hint="eastAsia"/>
          <w:rtl/>
        </w:rPr>
        <w:t>שיותיר</w:t>
      </w:r>
      <w:r w:rsidRPr="007C3B90">
        <w:rPr>
          <w:rtl/>
        </w:rPr>
        <w:t xml:space="preserve"> </w:t>
      </w:r>
      <w:r w:rsidRPr="007C3B90">
        <w:rPr>
          <w:rFonts w:hint="eastAsia"/>
          <w:rtl/>
        </w:rPr>
        <w:t>צמצומה</w:t>
      </w:r>
      <w:r w:rsidRPr="007C3B90">
        <w:rPr>
          <w:rtl/>
        </w:rPr>
        <w:t xml:space="preserve"> </w:t>
      </w:r>
      <w:r w:rsidRPr="007C3B90">
        <w:rPr>
          <w:rFonts w:hint="eastAsia"/>
          <w:rtl/>
        </w:rPr>
        <w:t>של</w:t>
      </w:r>
      <w:r w:rsidRPr="007C3B90">
        <w:rPr>
          <w:rtl/>
        </w:rPr>
        <w:t xml:space="preserve"> </w:t>
      </w:r>
      <w:r w:rsidRPr="007C3B90">
        <w:rPr>
          <w:rFonts w:hint="eastAsia"/>
          <w:rtl/>
        </w:rPr>
        <w:t>העילה</w:t>
      </w:r>
      <w:r w:rsidRPr="007C3B90">
        <w:rPr>
          <w:rtl/>
        </w:rPr>
        <w:t xml:space="preserve">. </w:t>
      </w:r>
      <w:r w:rsidRPr="007C3B90">
        <w:rPr>
          <w:rFonts w:hint="eastAsia"/>
          <w:rtl/>
        </w:rPr>
        <w:t>זוהי</w:t>
      </w:r>
      <w:r w:rsidRPr="007C3B90">
        <w:rPr>
          <w:rtl/>
        </w:rPr>
        <w:t xml:space="preserve"> </w:t>
      </w:r>
      <w:r w:rsidRPr="007C3B90">
        <w:rPr>
          <w:rFonts w:hint="eastAsia"/>
          <w:rtl/>
        </w:rPr>
        <w:t>הייתה</w:t>
      </w:r>
      <w:r w:rsidRPr="007C3B90">
        <w:rPr>
          <w:rtl/>
        </w:rPr>
        <w:t xml:space="preserve">, </w:t>
      </w:r>
      <w:r w:rsidRPr="007C3B90">
        <w:rPr>
          <w:rFonts w:hint="eastAsia"/>
          <w:rtl/>
        </w:rPr>
        <w:t>למעשה</w:t>
      </w:r>
      <w:r w:rsidRPr="007C3B90">
        <w:rPr>
          <w:rtl/>
        </w:rPr>
        <w:t xml:space="preserve">, </w:t>
      </w:r>
      <w:r w:rsidRPr="007C3B90">
        <w:rPr>
          <w:rFonts w:hint="eastAsia"/>
          <w:rtl/>
        </w:rPr>
        <w:t>אחת</w:t>
      </w:r>
      <w:r w:rsidRPr="007C3B90">
        <w:rPr>
          <w:rtl/>
        </w:rPr>
        <w:t xml:space="preserve"> </w:t>
      </w:r>
      <w:r w:rsidRPr="007C3B90">
        <w:rPr>
          <w:rFonts w:hint="eastAsia"/>
          <w:rtl/>
        </w:rPr>
        <w:t>ממטרותיו</w:t>
      </w:r>
      <w:r w:rsidRPr="007C3B90">
        <w:rPr>
          <w:rtl/>
        </w:rPr>
        <w:t xml:space="preserve"> </w:t>
      </w:r>
      <w:r w:rsidRPr="007C3B90">
        <w:rPr>
          <w:rFonts w:hint="eastAsia"/>
          <w:rtl/>
        </w:rPr>
        <w:t>של</w:t>
      </w:r>
      <w:r w:rsidRPr="007C3B90">
        <w:rPr>
          <w:rtl/>
        </w:rPr>
        <w:t xml:space="preserve"> </w:t>
      </w:r>
      <w:r w:rsidRPr="007C3B90">
        <w:rPr>
          <w:rFonts w:hint="eastAsia"/>
          <w:rtl/>
        </w:rPr>
        <w:t>המחוקק</w:t>
      </w:r>
      <w:r w:rsidRPr="007C3B90">
        <w:rPr>
          <w:rtl/>
        </w:rPr>
        <w:t xml:space="preserve"> </w:t>
      </w:r>
      <w:r w:rsidRPr="007C3B90">
        <w:rPr>
          <w:rFonts w:hint="eastAsia"/>
          <w:rtl/>
        </w:rPr>
        <w:t>עת</w:t>
      </w:r>
      <w:r w:rsidRPr="007C3B90">
        <w:rPr>
          <w:rtl/>
        </w:rPr>
        <w:t xml:space="preserve"> </w:t>
      </w:r>
      <w:r w:rsidRPr="007C3B90">
        <w:rPr>
          <w:rFonts w:hint="eastAsia"/>
          <w:rtl/>
        </w:rPr>
        <w:t>תיקן</w:t>
      </w:r>
      <w:r w:rsidRPr="007C3B90">
        <w:rPr>
          <w:rtl/>
        </w:rPr>
        <w:t xml:space="preserve"> </w:t>
      </w:r>
      <w:r w:rsidRPr="007C3B90">
        <w:rPr>
          <w:rFonts w:hint="eastAsia"/>
          <w:rtl/>
        </w:rPr>
        <w:t>את</w:t>
      </w:r>
      <w:r w:rsidRPr="007C3B90">
        <w:rPr>
          <w:rtl/>
        </w:rPr>
        <w:t xml:space="preserve"> </w:t>
      </w:r>
      <w:r w:rsidRPr="007C3B90">
        <w:rPr>
          <w:rFonts w:hint="eastAsia"/>
          <w:rtl/>
        </w:rPr>
        <w:t>חוק</w:t>
      </w:r>
      <w:r w:rsidRPr="007C3B90">
        <w:rPr>
          <w:rtl/>
        </w:rPr>
        <w:t xml:space="preserve"> </w:t>
      </w:r>
      <w:r w:rsidRPr="007C3B90">
        <w:rPr>
          <w:rFonts w:hint="eastAsia"/>
          <w:rtl/>
        </w:rPr>
        <w:t>היסוד</w:t>
      </w:r>
      <w:r w:rsidRPr="007C3B90">
        <w:rPr>
          <w:rtl/>
        </w:rPr>
        <w:t xml:space="preserve"> – </w:t>
      </w:r>
      <w:r w:rsidRPr="007C3B90">
        <w:rPr>
          <w:rFonts w:hint="eastAsia"/>
          <w:rtl/>
        </w:rPr>
        <w:t>להשיב</w:t>
      </w:r>
      <w:r w:rsidRPr="007C3B90">
        <w:rPr>
          <w:rtl/>
        </w:rPr>
        <w:t xml:space="preserve"> </w:t>
      </w:r>
      <w:r w:rsidRPr="007C3B90">
        <w:rPr>
          <w:rFonts w:hint="eastAsia"/>
          <w:rtl/>
        </w:rPr>
        <w:t>למימדיהן</w:t>
      </w:r>
      <w:r w:rsidRPr="007C3B90">
        <w:rPr>
          <w:rtl/>
        </w:rPr>
        <w:t xml:space="preserve"> </w:t>
      </w:r>
      <w:r w:rsidRPr="007C3B90">
        <w:rPr>
          <w:rFonts w:hint="eastAsia"/>
          <w:rtl/>
        </w:rPr>
        <w:t>המקוריים</w:t>
      </w:r>
      <w:r w:rsidRPr="007C3B90">
        <w:rPr>
          <w:rtl/>
        </w:rPr>
        <w:t xml:space="preserve"> </w:t>
      </w:r>
      <w:r w:rsidRPr="007C3B90">
        <w:rPr>
          <w:rFonts w:hint="eastAsia"/>
          <w:rtl/>
        </w:rPr>
        <w:t>את</w:t>
      </w:r>
      <w:r w:rsidRPr="007C3B90">
        <w:rPr>
          <w:rtl/>
        </w:rPr>
        <w:t xml:space="preserve"> </w:t>
      </w:r>
      <w:r w:rsidRPr="007C3B90">
        <w:rPr>
          <w:rFonts w:hint="eastAsia"/>
          <w:rtl/>
        </w:rPr>
        <w:t>עילות</w:t>
      </w:r>
      <w:r w:rsidRPr="007C3B90">
        <w:rPr>
          <w:rtl/>
        </w:rPr>
        <w:t xml:space="preserve"> </w:t>
      </w:r>
      <w:r w:rsidRPr="007C3B90">
        <w:rPr>
          <w:rFonts w:hint="eastAsia"/>
          <w:rtl/>
        </w:rPr>
        <w:t>הביקורת</w:t>
      </w:r>
      <w:r w:rsidRPr="007C3B90">
        <w:rPr>
          <w:rtl/>
        </w:rPr>
        <w:t xml:space="preserve"> </w:t>
      </w:r>
      <w:r w:rsidRPr="007C3B90">
        <w:rPr>
          <w:rFonts w:hint="eastAsia"/>
          <w:rtl/>
        </w:rPr>
        <w:t>הפרטיקולריות</w:t>
      </w:r>
      <w:r w:rsidRPr="007C3B90">
        <w:rPr>
          <w:rtl/>
        </w:rPr>
        <w:t xml:space="preserve"> </w:t>
      </w:r>
      <w:r w:rsidRPr="007C3B90">
        <w:rPr>
          <w:rFonts w:hint="eastAsia"/>
          <w:rtl/>
        </w:rPr>
        <w:t>אשר</w:t>
      </w:r>
      <w:r w:rsidRPr="007C3B90">
        <w:rPr>
          <w:rtl/>
        </w:rPr>
        <w:t xml:space="preserve"> </w:t>
      </w:r>
      <w:r w:rsidRPr="007C3B90">
        <w:rPr>
          <w:rFonts w:hint="cs"/>
          <w:rtl/>
        </w:rPr>
        <w:t>"</w:t>
      </w:r>
      <w:r w:rsidRPr="007C3B90">
        <w:rPr>
          <w:rFonts w:hint="eastAsia"/>
          <w:rtl/>
        </w:rPr>
        <w:t>נבלעו</w:t>
      </w:r>
      <w:r w:rsidRPr="007C3B90">
        <w:rPr>
          <w:rFonts w:hint="cs"/>
          <w:rtl/>
        </w:rPr>
        <w:t>"</w:t>
      </w:r>
      <w:r w:rsidRPr="007C3B90">
        <w:rPr>
          <w:rtl/>
        </w:rPr>
        <w:t xml:space="preserve">, </w:t>
      </w:r>
      <w:r w:rsidRPr="007C3B90">
        <w:rPr>
          <w:rFonts w:hint="eastAsia"/>
          <w:rtl/>
        </w:rPr>
        <w:t>כך</w:t>
      </w:r>
      <w:r w:rsidRPr="007C3B90">
        <w:rPr>
          <w:rtl/>
        </w:rPr>
        <w:t xml:space="preserve"> </w:t>
      </w:r>
      <w:r w:rsidRPr="007C3B90">
        <w:rPr>
          <w:rFonts w:hint="eastAsia"/>
          <w:rtl/>
        </w:rPr>
        <w:t>לפי</w:t>
      </w:r>
      <w:r w:rsidRPr="007C3B90">
        <w:rPr>
          <w:rtl/>
        </w:rPr>
        <w:t xml:space="preserve"> </w:t>
      </w:r>
      <w:r w:rsidRPr="007C3B90">
        <w:rPr>
          <w:rFonts w:hint="eastAsia"/>
          <w:rtl/>
        </w:rPr>
        <w:t>הטענה</w:t>
      </w:r>
      <w:r w:rsidRPr="007C3B90">
        <w:rPr>
          <w:rtl/>
        </w:rPr>
        <w:t xml:space="preserve">, </w:t>
      </w:r>
      <w:r w:rsidRPr="007C3B90">
        <w:rPr>
          <w:rFonts w:hint="eastAsia"/>
          <w:rtl/>
        </w:rPr>
        <w:t>בצילה</w:t>
      </w:r>
      <w:r w:rsidRPr="007C3B90">
        <w:rPr>
          <w:rtl/>
        </w:rPr>
        <w:t xml:space="preserve"> </w:t>
      </w:r>
      <w:r w:rsidRPr="007C3B90">
        <w:rPr>
          <w:rFonts w:hint="eastAsia"/>
          <w:rtl/>
        </w:rPr>
        <w:t>של</w:t>
      </w:r>
      <w:r w:rsidRPr="007C3B90">
        <w:rPr>
          <w:rtl/>
        </w:rPr>
        <w:t xml:space="preserve"> </w:t>
      </w:r>
      <w:r w:rsidRPr="007C3B90">
        <w:rPr>
          <w:rFonts w:hint="eastAsia"/>
          <w:rtl/>
        </w:rPr>
        <w:t>עילת</w:t>
      </w:r>
      <w:r w:rsidRPr="007C3B90">
        <w:rPr>
          <w:rtl/>
        </w:rPr>
        <w:t xml:space="preserve"> </w:t>
      </w:r>
      <w:r w:rsidRPr="007C3B90">
        <w:rPr>
          <w:rFonts w:hint="eastAsia"/>
          <w:rtl/>
        </w:rPr>
        <w:t>הסבירות</w:t>
      </w:r>
      <w:r w:rsidRPr="007C3B90">
        <w:rPr>
          <w:rtl/>
        </w:rPr>
        <w:t xml:space="preserve">, </w:t>
      </w:r>
      <w:r w:rsidRPr="007C3B90">
        <w:rPr>
          <w:rFonts w:hint="eastAsia"/>
          <w:rtl/>
        </w:rPr>
        <w:t>באופן</w:t>
      </w:r>
      <w:r w:rsidRPr="007C3B90">
        <w:rPr>
          <w:rtl/>
        </w:rPr>
        <w:t xml:space="preserve"> </w:t>
      </w:r>
      <w:r w:rsidRPr="007C3B90">
        <w:rPr>
          <w:rFonts w:hint="eastAsia"/>
          <w:rtl/>
        </w:rPr>
        <w:t>שידייק</w:t>
      </w:r>
      <w:r w:rsidRPr="007C3B90">
        <w:rPr>
          <w:rtl/>
        </w:rPr>
        <w:t xml:space="preserve"> </w:t>
      </w:r>
      <w:r w:rsidRPr="007C3B90">
        <w:rPr>
          <w:rFonts w:hint="eastAsia"/>
          <w:rtl/>
        </w:rPr>
        <w:t>את</w:t>
      </w:r>
      <w:r w:rsidRPr="007C3B90">
        <w:rPr>
          <w:rtl/>
        </w:rPr>
        <w:t xml:space="preserve"> </w:t>
      </w:r>
      <w:r w:rsidRPr="007C3B90">
        <w:rPr>
          <w:rFonts w:hint="eastAsia"/>
          <w:rtl/>
        </w:rPr>
        <w:t>הביקורת</w:t>
      </w:r>
      <w:r w:rsidRPr="007C3B90">
        <w:rPr>
          <w:rtl/>
        </w:rPr>
        <w:t xml:space="preserve"> </w:t>
      </w:r>
      <w:r w:rsidRPr="007C3B90">
        <w:rPr>
          <w:rFonts w:hint="eastAsia"/>
          <w:rtl/>
        </w:rPr>
        <w:t>השיפוטית</w:t>
      </w:r>
      <w:r w:rsidRPr="007C3B90">
        <w:rPr>
          <w:rtl/>
        </w:rPr>
        <w:t xml:space="preserve"> </w:t>
      </w:r>
      <w:r w:rsidRPr="007C3B90">
        <w:rPr>
          <w:rFonts w:hint="eastAsia"/>
          <w:rtl/>
        </w:rPr>
        <w:t>ויגביר</w:t>
      </w:r>
      <w:r w:rsidRPr="007C3B90">
        <w:rPr>
          <w:rtl/>
        </w:rPr>
        <w:t xml:space="preserve"> </w:t>
      </w:r>
      <w:r w:rsidRPr="007C3B90">
        <w:rPr>
          <w:rFonts w:hint="eastAsia"/>
          <w:rtl/>
        </w:rPr>
        <w:t>את</w:t>
      </w:r>
      <w:r w:rsidRPr="007C3B90">
        <w:rPr>
          <w:rtl/>
        </w:rPr>
        <w:t xml:space="preserve"> </w:t>
      </w:r>
      <w:r w:rsidRPr="007C3B90">
        <w:rPr>
          <w:rFonts w:hint="eastAsia"/>
          <w:rtl/>
        </w:rPr>
        <w:t>הוודאות</w:t>
      </w:r>
      <w:r w:rsidRPr="007C3B90">
        <w:rPr>
          <w:rtl/>
        </w:rPr>
        <w:t xml:space="preserve"> </w:t>
      </w:r>
      <w:r w:rsidRPr="007C3B90">
        <w:rPr>
          <w:rFonts w:hint="eastAsia"/>
          <w:rtl/>
        </w:rPr>
        <w:t>המשפטית</w:t>
      </w:r>
      <w:r w:rsidRPr="007C3B90">
        <w:rPr>
          <w:rtl/>
        </w:rPr>
        <w:t xml:space="preserve"> (</w:t>
      </w:r>
      <w:r w:rsidRPr="007C3B90">
        <w:rPr>
          <w:rFonts w:hint="eastAsia"/>
          <w:rtl/>
        </w:rPr>
        <w:t>ולגבי</w:t>
      </w:r>
      <w:r w:rsidRPr="007C3B90">
        <w:rPr>
          <w:rtl/>
        </w:rPr>
        <w:t xml:space="preserve"> </w:t>
      </w:r>
      <w:r w:rsidRPr="007C3B90">
        <w:rPr>
          <w:rFonts w:hint="eastAsia"/>
          <w:rtl/>
        </w:rPr>
        <w:t>יתרונה</w:t>
      </w:r>
      <w:r w:rsidRPr="007C3B90">
        <w:rPr>
          <w:rtl/>
        </w:rPr>
        <w:t xml:space="preserve"> </w:t>
      </w:r>
      <w:r w:rsidRPr="007C3B90">
        <w:rPr>
          <w:rFonts w:hint="eastAsia"/>
          <w:rtl/>
        </w:rPr>
        <w:t>של</w:t>
      </w:r>
      <w:r w:rsidRPr="007C3B90">
        <w:rPr>
          <w:rtl/>
        </w:rPr>
        <w:t xml:space="preserve"> </w:t>
      </w:r>
      <w:r w:rsidRPr="007C3B90">
        <w:rPr>
          <w:rFonts w:hint="eastAsia"/>
          <w:rtl/>
        </w:rPr>
        <w:t>עילת</w:t>
      </w:r>
      <w:r w:rsidRPr="007C3B90">
        <w:rPr>
          <w:rtl/>
        </w:rPr>
        <w:t xml:space="preserve"> </w:t>
      </w:r>
      <w:r w:rsidRPr="007C3B90">
        <w:rPr>
          <w:rFonts w:hint="eastAsia"/>
          <w:rtl/>
        </w:rPr>
        <w:t>המידתיות</w:t>
      </w:r>
      <w:r w:rsidRPr="007C3B90">
        <w:rPr>
          <w:rtl/>
        </w:rPr>
        <w:t xml:space="preserve"> </w:t>
      </w:r>
      <w:r w:rsidRPr="007C3B90">
        <w:rPr>
          <w:rFonts w:hint="eastAsia"/>
          <w:rtl/>
        </w:rPr>
        <w:t>בהקשר</w:t>
      </w:r>
      <w:r w:rsidRPr="007C3B90">
        <w:rPr>
          <w:rtl/>
        </w:rPr>
        <w:t xml:space="preserve"> </w:t>
      </w:r>
      <w:r w:rsidRPr="007C3B90">
        <w:rPr>
          <w:rFonts w:hint="eastAsia"/>
          <w:rtl/>
        </w:rPr>
        <w:t>זה</w:t>
      </w:r>
      <w:r w:rsidRPr="007C3B90">
        <w:rPr>
          <w:rtl/>
        </w:rPr>
        <w:t xml:space="preserve">, </w:t>
      </w:r>
      <w:r w:rsidRPr="007C3B90">
        <w:rPr>
          <w:rFonts w:hint="eastAsia"/>
          <w:rtl/>
        </w:rPr>
        <w:t>בהשוואה</w:t>
      </w:r>
      <w:r w:rsidRPr="007C3B90">
        <w:rPr>
          <w:rtl/>
        </w:rPr>
        <w:t xml:space="preserve"> </w:t>
      </w:r>
      <w:r w:rsidRPr="007C3B90">
        <w:rPr>
          <w:rFonts w:hint="eastAsia"/>
          <w:rtl/>
        </w:rPr>
        <w:t>לעילת</w:t>
      </w:r>
      <w:r w:rsidRPr="007C3B90">
        <w:rPr>
          <w:rtl/>
        </w:rPr>
        <w:t xml:space="preserve"> </w:t>
      </w:r>
      <w:r w:rsidRPr="007C3B90">
        <w:rPr>
          <w:rFonts w:hint="eastAsia"/>
          <w:rtl/>
        </w:rPr>
        <w:t>הסבירות</w:t>
      </w:r>
      <w:r w:rsidRPr="007C3B90">
        <w:rPr>
          <w:rtl/>
        </w:rPr>
        <w:t xml:space="preserve">, </w:t>
      </w:r>
      <w:r w:rsidRPr="007C3B90">
        <w:rPr>
          <w:rFonts w:hint="eastAsia"/>
          <w:rtl/>
        </w:rPr>
        <w:t>ראו</w:t>
      </w:r>
      <w:r w:rsidRPr="007C3B90">
        <w:rPr>
          <w:rtl/>
        </w:rPr>
        <w:t xml:space="preserve"> </w:t>
      </w:r>
      <w:r w:rsidRPr="007C3B90">
        <w:rPr>
          <w:rFonts w:ascii="Century" w:hAnsi="Century" w:cs="Miriam" w:hint="eastAsia"/>
          <w:b/>
          <w:spacing w:val="0"/>
          <w:sz w:val="22"/>
          <w:szCs w:val="24"/>
          <w:rtl/>
        </w:rPr>
        <w:t>סולברג</w:t>
      </w:r>
      <w:r w:rsidRPr="007C3B90">
        <w:rPr>
          <w:rFonts w:ascii="Century" w:hAnsi="Century"/>
          <w:sz w:val="22"/>
          <w:rtl/>
        </w:rPr>
        <w:t>,</w:t>
      </w:r>
      <w:r w:rsidRPr="007C3B90">
        <w:rPr>
          <w:rtl/>
        </w:rPr>
        <w:t xml:space="preserve"> </w:t>
      </w:r>
      <w:r w:rsidRPr="007C3B90">
        <w:rPr>
          <w:rFonts w:hint="eastAsia"/>
          <w:rtl/>
        </w:rPr>
        <w:t>בעמ</w:t>
      </w:r>
      <w:r w:rsidRPr="007C3B90">
        <w:rPr>
          <w:rtl/>
        </w:rPr>
        <w:t xml:space="preserve">' 55-54). </w:t>
      </w:r>
      <w:r w:rsidRPr="007C3B90">
        <w:rPr>
          <w:rFonts w:hint="eastAsia"/>
          <w:rtl/>
        </w:rPr>
        <w:t>בהקשר</w:t>
      </w:r>
      <w:r w:rsidRPr="007C3B90">
        <w:rPr>
          <w:rtl/>
        </w:rPr>
        <w:t xml:space="preserve"> </w:t>
      </w:r>
      <w:r w:rsidRPr="007C3B90">
        <w:rPr>
          <w:rFonts w:hint="eastAsia"/>
          <w:rtl/>
        </w:rPr>
        <w:t>זה</w:t>
      </w:r>
      <w:r w:rsidRPr="007C3B90">
        <w:rPr>
          <w:rtl/>
        </w:rPr>
        <w:t xml:space="preserve">, </w:t>
      </w:r>
      <w:r w:rsidRPr="007C3B90">
        <w:rPr>
          <w:rFonts w:hint="eastAsia"/>
          <w:rtl/>
        </w:rPr>
        <w:t>איני</w:t>
      </w:r>
      <w:r w:rsidRPr="007C3B90">
        <w:rPr>
          <w:rtl/>
        </w:rPr>
        <w:t xml:space="preserve"> </w:t>
      </w:r>
      <w:r w:rsidRPr="007C3B90">
        <w:rPr>
          <w:rFonts w:hint="eastAsia"/>
          <w:rtl/>
        </w:rPr>
        <w:t>רואה</w:t>
      </w:r>
      <w:r w:rsidRPr="007C3B90">
        <w:rPr>
          <w:rtl/>
        </w:rPr>
        <w:t xml:space="preserve"> </w:t>
      </w:r>
      <w:r w:rsidRPr="007C3B90">
        <w:rPr>
          <w:rFonts w:hint="eastAsia"/>
          <w:rtl/>
        </w:rPr>
        <w:t>בסיס</w:t>
      </w:r>
      <w:r w:rsidRPr="007C3B90">
        <w:rPr>
          <w:rtl/>
        </w:rPr>
        <w:t xml:space="preserve"> </w:t>
      </w:r>
      <w:r w:rsidRPr="007C3B90">
        <w:rPr>
          <w:rFonts w:hint="eastAsia"/>
          <w:rtl/>
        </w:rPr>
        <w:t>מבורר</w:t>
      </w:r>
      <w:r w:rsidRPr="007C3B90">
        <w:rPr>
          <w:rtl/>
        </w:rPr>
        <w:t xml:space="preserve"> </w:t>
      </w:r>
      <w:r w:rsidRPr="007C3B90">
        <w:rPr>
          <w:rFonts w:hint="eastAsia"/>
          <w:rtl/>
        </w:rPr>
        <w:t>להבחין</w:t>
      </w:r>
      <w:r w:rsidRPr="007C3B90">
        <w:rPr>
          <w:rtl/>
        </w:rPr>
        <w:t xml:space="preserve"> </w:t>
      </w:r>
      <w:r w:rsidRPr="007C3B90">
        <w:rPr>
          <w:rFonts w:hint="eastAsia"/>
          <w:rtl/>
        </w:rPr>
        <w:t>בין</w:t>
      </w:r>
      <w:r w:rsidRPr="007C3B90">
        <w:rPr>
          <w:rtl/>
        </w:rPr>
        <w:t xml:space="preserve"> </w:t>
      </w:r>
      <w:r w:rsidRPr="007C3B90">
        <w:rPr>
          <w:rFonts w:hint="eastAsia"/>
          <w:rtl/>
        </w:rPr>
        <w:t>החלטות</w:t>
      </w:r>
      <w:r w:rsidRPr="007C3B90">
        <w:rPr>
          <w:rtl/>
        </w:rPr>
        <w:t xml:space="preserve"> </w:t>
      </w:r>
      <w:r w:rsidRPr="007C3B90">
        <w:rPr>
          <w:rFonts w:hint="eastAsia"/>
          <w:rtl/>
        </w:rPr>
        <w:t>בנושאי</w:t>
      </w:r>
      <w:r w:rsidRPr="007C3B90">
        <w:rPr>
          <w:rtl/>
        </w:rPr>
        <w:t xml:space="preserve"> </w:t>
      </w:r>
      <w:r w:rsidRPr="007C3B90">
        <w:rPr>
          <w:rFonts w:hint="eastAsia"/>
          <w:rtl/>
        </w:rPr>
        <w:t>מינויים</w:t>
      </w:r>
      <w:r w:rsidRPr="007C3B90">
        <w:rPr>
          <w:rtl/>
        </w:rPr>
        <w:t xml:space="preserve">, </w:t>
      </w:r>
      <w:r w:rsidRPr="007C3B90">
        <w:rPr>
          <w:rFonts w:hint="eastAsia"/>
          <w:rtl/>
        </w:rPr>
        <w:t>ממשלות</w:t>
      </w:r>
      <w:r w:rsidRPr="007C3B90">
        <w:rPr>
          <w:rtl/>
        </w:rPr>
        <w:t xml:space="preserve"> </w:t>
      </w:r>
      <w:r w:rsidRPr="007C3B90">
        <w:rPr>
          <w:rFonts w:hint="eastAsia"/>
          <w:rtl/>
        </w:rPr>
        <w:t>מעבר</w:t>
      </w:r>
      <w:r w:rsidRPr="007C3B90">
        <w:rPr>
          <w:rtl/>
        </w:rPr>
        <w:t xml:space="preserve">, </w:t>
      </w:r>
      <w:r w:rsidRPr="007C3B90">
        <w:rPr>
          <w:rFonts w:hint="eastAsia"/>
          <w:rtl/>
        </w:rPr>
        <w:t>ופגיעה</w:t>
      </w:r>
      <w:r w:rsidRPr="007C3B90">
        <w:rPr>
          <w:rtl/>
        </w:rPr>
        <w:t xml:space="preserve"> </w:t>
      </w:r>
      <w:r w:rsidRPr="007C3B90">
        <w:rPr>
          <w:rFonts w:hint="eastAsia"/>
          <w:rtl/>
        </w:rPr>
        <w:t>באינטרסים</w:t>
      </w:r>
      <w:r w:rsidRPr="007C3B90">
        <w:rPr>
          <w:rtl/>
        </w:rPr>
        <w:t xml:space="preserve"> </w:t>
      </w:r>
      <w:r w:rsidRPr="007C3B90">
        <w:rPr>
          <w:rFonts w:hint="eastAsia"/>
          <w:rtl/>
        </w:rPr>
        <w:t>של</w:t>
      </w:r>
      <w:r w:rsidRPr="007C3B90">
        <w:rPr>
          <w:rtl/>
        </w:rPr>
        <w:t xml:space="preserve"> </w:t>
      </w:r>
      <w:r w:rsidRPr="007C3B90">
        <w:rPr>
          <w:rFonts w:hint="eastAsia"/>
          <w:rtl/>
        </w:rPr>
        <w:t>הפרט</w:t>
      </w:r>
      <w:r w:rsidRPr="007C3B90">
        <w:rPr>
          <w:rtl/>
        </w:rPr>
        <w:t xml:space="preserve">, </w:t>
      </w:r>
      <w:r w:rsidRPr="007C3B90">
        <w:rPr>
          <w:rFonts w:hint="eastAsia"/>
          <w:rtl/>
        </w:rPr>
        <w:t>ובין</w:t>
      </w:r>
      <w:r w:rsidRPr="007C3B90">
        <w:rPr>
          <w:rtl/>
        </w:rPr>
        <w:t xml:space="preserve"> </w:t>
      </w:r>
      <w:r w:rsidRPr="007C3B90">
        <w:rPr>
          <w:rFonts w:hint="eastAsia"/>
          <w:rtl/>
        </w:rPr>
        <w:t>החלטות</w:t>
      </w:r>
      <w:r w:rsidRPr="007C3B90">
        <w:rPr>
          <w:rtl/>
        </w:rPr>
        <w:t xml:space="preserve"> </w:t>
      </w:r>
      <w:r w:rsidRPr="007C3B90">
        <w:rPr>
          <w:rFonts w:hint="eastAsia"/>
          <w:rtl/>
        </w:rPr>
        <w:t>בנושאים</w:t>
      </w:r>
      <w:r w:rsidRPr="007C3B90">
        <w:rPr>
          <w:rtl/>
        </w:rPr>
        <w:t xml:space="preserve"> </w:t>
      </w:r>
      <w:r w:rsidRPr="007C3B90">
        <w:rPr>
          <w:rFonts w:hint="eastAsia"/>
          <w:rtl/>
        </w:rPr>
        <w:t>אחרים</w:t>
      </w:r>
      <w:r w:rsidRPr="007C3B90">
        <w:rPr>
          <w:rtl/>
        </w:rPr>
        <w:t xml:space="preserve"> – </w:t>
      </w:r>
      <w:r w:rsidRPr="007C3B90">
        <w:rPr>
          <w:rFonts w:hint="eastAsia"/>
          <w:rtl/>
        </w:rPr>
        <w:t>שלגבי</w:t>
      </w:r>
      <w:r w:rsidRPr="007C3B90">
        <w:rPr>
          <w:rtl/>
        </w:rPr>
        <w:t xml:space="preserve"> </w:t>
      </w:r>
      <w:r w:rsidRPr="007C3B90">
        <w:rPr>
          <w:rFonts w:hint="eastAsia"/>
          <w:rtl/>
        </w:rPr>
        <w:t>כולן</w:t>
      </w:r>
      <w:r w:rsidRPr="007C3B90">
        <w:rPr>
          <w:rtl/>
        </w:rPr>
        <w:t xml:space="preserve"> </w:t>
      </w:r>
      <w:r w:rsidRPr="007C3B90">
        <w:rPr>
          <w:rFonts w:hint="eastAsia"/>
          <w:rtl/>
        </w:rPr>
        <w:t>לא</w:t>
      </w:r>
      <w:r w:rsidRPr="007C3B90">
        <w:rPr>
          <w:rtl/>
        </w:rPr>
        <w:t xml:space="preserve"> </w:t>
      </w:r>
      <w:r w:rsidRPr="007C3B90">
        <w:rPr>
          <w:rFonts w:hint="eastAsia"/>
          <w:rtl/>
        </w:rPr>
        <w:t>קיימת</w:t>
      </w:r>
      <w:r w:rsidRPr="007C3B90">
        <w:rPr>
          <w:rtl/>
        </w:rPr>
        <w:t xml:space="preserve"> </w:t>
      </w:r>
      <w:r w:rsidRPr="007C3B90">
        <w:rPr>
          <w:rFonts w:hint="eastAsia"/>
          <w:rtl/>
        </w:rPr>
        <w:t>מניעה</w:t>
      </w:r>
      <w:r w:rsidRPr="007C3B90">
        <w:rPr>
          <w:rtl/>
        </w:rPr>
        <w:t xml:space="preserve"> </w:t>
      </w:r>
      <w:r w:rsidRPr="007C3B90">
        <w:rPr>
          <w:rFonts w:hint="eastAsia"/>
          <w:rtl/>
        </w:rPr>
        <w:t>להשתמש</w:t>
      </w:r>
      <w:r w:rsidRPr="007C3B90">
        <w:rPr>
          <w:rtl/>
        </w:rPr>
        <w:t xml:space="preserve"> </w:t>
      </w:r>
      <w:r w:rsidRPr="007C3B90">
        <w:rPr>
          <w:rFonts w:hint="eastAsia"/>
          <w:rtl/>
        </w:rPr>
        <w:t>בעילות</w:t>
      </w:r>
      <w:r w:rsidRPr="007C3B90">
        <w:rPr>
          <w:rtl/>
        </w:rPr>
        <w:t xml:space="preserve"> </w:t>
      </w:r>
      <w:r w:rsidRPr="007C3B90">
        <w:rPr>
          <w:rFonts w:hint="eastAsia"/>
          <w:rtl/>
        </w:rPr>
        <w:t>הביקורת</w:t>
      </w:r>
      <w:r w:rsidRPr="007C3B90">
        <w:rPr>
          <w:rtl/>
        </w:rPr>
        <w:t xml:space="preserve"> </w:t>
      </w:r>
      <w:r w:rsidRPr="007C3B90">
        <w:rPr>
          <w:rFonts w:hint="eastAsia"/>
          <w:rtl/>
        </w:rPr>
        <w:t>הקיימות</w:t>
      </w:r>
      <w:r w:rsidRPr="007C3B90">
        <w:rPr>
          <w:rtl/>
        </w:rPr>
        <w:t xml:space="preserve">, </w:t>
      </w:r>
      <w:r w:rsidRPr="007C3B90">
        <w:rPr>
          <w:rFonts w:hint="eastAsia"/>
          <w:rtl/>
        </w:rPr>
        <w:t>במקרים</w:t>
      </w:r>
      <w:r w:rsidRPr="007C3B90">
        <w:rPr>
          <w:rtl/>
        </w:rPr>
        <w:t xml:space="preserve"> </w:t>
      </w:r>
      <w:r w:rsidRPr="007C3B90">
        <w:rPr>
          <w:rFonts w:hint="eastAsia"/>
          <w:rtl/>
        </w:rPr>
        <w:t>המתאימים</w:t>
      </w:r>
      <w:r w:rsidRPr="007C3B90">
        <w:rPr>
          <w:rtl/>
        </w:rPr>
        <w:t xml:space="preserve">, </w:t>
      </w:r>
      <w:r w:rsidRPr="007C3B90">
        <w:rPr>
          <w:rFonts w:hint="eastAsia"/>
          <w:rtl/>
        </w:rPr>
        <w:t>חלף</w:t>
      </w:r>
      <w:r w:rsidRPr="007C3B90">
        <w:rPr>
          <w:rtl/>
        </w:rPr>
        <w:t xml:space="preserve"> </w:t>
      </w:r>
      <w:r w:rsidRPr="007C3B90">
        <w:rPr>
          <w:rFonts w:hint="eastAsia"/>
          <w:rtl/>
        </w:rPr>
        <w:t>השימוש</w:t>
      </w:r>
      <w:r w:rsidRPr="007C3B90">
        <w:rPr>
          <w:rtl/>
        </w:rPr>
        <w:t xml:space="preserve"> </w:t>
      </w:r>
      <w:r w:rsidRPr="007C3B90">
        <w:rPr>
          <w:rFonts w:hint="eastAsia"/>
          <w:rtl/>
        </w:rPr>
        <w:t>שנעשה</w:t>
      </w:r>
      <w:r w:rsidRPr="007C3B90">
        <w:rPr>
          <w:rtl/>
        </w:rPr>
        <w:t xml:space="preserve"> </w:t>
      </w:r>
      <w:r w:rsidRPr="007C3B90">
        <w:rPr>
          <w:rFonts w:hint="eastAsia"/>
          <w:rtl/>
        </w:rPr>
        <w:t>עד</w:t>
      </w:r>
      <w:r w:rsidRPr="007C3B90">
        <w:rPr>
          <w:rtl/>
        </w:rPr>
        <w:t xml:space="preserve"> </w:t>
      </w:r>
      <w:r w:rsidRPr="007C3B90">
        <w:rPr>
          <w:rFonts w:hint="eastAsia"/>
          <w:rtl/>
        </w:rPr>
        <w:t>כה</w:t>
      </w:r>
      <w:r w:rsidRPr="007C3B90">
        <w:rPr>
          <w:rtl/>
        </w:rPr>
        <w:t xml:space="preserve"> </w:t>
      </w:r>
      <w:r w:rsidRPr="007C3B90">
        <w:rPr>
          <w:rFonts w:hint="eastAsia"/>
          <w:rtl/>
        </w:rPr>
        <w:t>בעילת</w:t>
      </w:r>
      <w:r w:rsidRPr="007C3B90">
        <w:rPr>
          <w:rtl/>
        </w:rPr>
        <w:t xml:space="preserve"> </w:t>
      </w:r>
      <w:r w:rsidRPr="007C3B90">
        <w:rPr>
          <w:rFonts w:hint="eastAsia"/>
          <w:rtl/>
        </w:rPr>
        <w:t>הסבירות</w:t>
      </w:r>
      <w:r w:rsidRPr="007C3B90">
        <w:rPr>
          <w:rtl/>
        </w:rPr>
        <w:t xml:space="preserve"> </w:t>
      </w:r>
      <w:r w:rsidRPr="007C3B90">
        <w:rPr>
          <w:rFonts w:hint="eastAsia"/>
          <w:rtl/>
        </w:rPr>
        <w:t>האיזונית</w:t>
      </w:r>
      <w:r w:rsidRPr="007C3B90">
        <w:rPr>
          <w:rtl/>
        </w:rPr>
        <w:t xml:space="preserve"> (</w:t>
      </w:r>
      <w:r w:rsidRPr="007C3B90">
        <w:rPr>
          <w:rFonts w:hint="eastAsia"/>
          <w:rtl/>
        </w:rPr>
        <w:t>וראו</w:t>
      </w:r>
      <w:r w:rsidRPr="007C3B90">
        <w:rPr>
          <w:rtl/>
        </w:rPr>
        <w:t xml:space="preserve"> </w:t>
      </w:r>
      <w:r w:rsidRPr="007C3B90">
        <w:rPr>
          <w:rFonts w:hint="eastAsia"/>
          <w:rtl/>
        </w:rPr>
        <w:t>למשל</w:t>
      </w:r>
      <w:r w:rsidRPr="007C3B90">
        <w:rPr>
          <w:rtl/>
        </w:rPr>
        <w:t xml:space="preserve"> </w:t>
      </w:r>
      <w:r w:rsidRPr="007C3B90">
        <w:rPr>
          <w:rFonts w:hint="eastAsia"/>
          <w:rtl/>
        </w:rPr>
        <w:t>את</w:t>
      </w:r>
      <w:r w:rsidRPr="007C3B90">
        <w:rPr>
          <w:rtl/>
        </w:rPr>
        <w:t xml:space="preserve"> </w:t>
      </w:r>
      <w:r w:rsidRPr="007C3B90">
        <w:rPr>
          <w:rFonts w:hint="eastAsia"/>
          <w:rtl/>
        </w:rPr>
        <w:t>השימוש</w:t>
      </w:r>
      <w:r w:rsidRPr="007C3B90">
        <w:rPr>
          <w:rtl/>
        </w:rPr>
        <w:t xml:space="preserve"> </w:t>
      </w:r>
      <w:r w:rsidRPr="007C3B90">
        <w:rPr>
          <w:rFonts w:hint="eastAsia"/>
          <w:rtl/>
        </w:rPr>
        <w:t>בעילת</w:t>
      </w:r>
      <w:r w:rsidRPr="007C3B90">
        <w:rPr>
          <w:rtl/>
        </w:rPr>
        <w:t xml:space="preserve"> </w:t>
      </w:r>
      <w:r w:rsidRPr="007C3B90">
        <w:rPr>
          <w:rFonts w:hint="eastAsia"/>
          <w:rtl/>
        </w:rPr>
        <w:t>המניעות</w:t>
      </w:r>
      <w:r w:rsidRPr="007C3B90">
        <w:rPr>
          <w:rtl/>
        </w:rPr>
        <w:t xml:space="preserve"> </w:t>
      </w:r>
      <w:r w:rsidRPr="007C3B90">
        <w:rPr>
          <w:rFonts w:hint="eastAsia"/>
          <w:rtl/>
        </w:rPr>
        <w:t>או</w:t>
      </w:r>
      <w:r w:rsidRPr="007C3B90">
        <w:rPr>
          <w:rtl/>
        </w:rPr>
        <w:t xml:space="preserve"> </w:t>
      </w:r>
      <w:r w:rsidRPr="007C3B90">
        <w:rPr>
          <w:rFonts w:hint="eastAsia"/>
          <w:rtl/>
        </w:rPr>
        <w:t>ההשתק</w:t>
      </w:r>
      <w:r w:rsidRPr="007C3B90">
        <w:rPr>
          <w:rtl/>
        </w:rPr>
        <w:t xml:space="preserve"> </w:t>
      </w:r>
      <w:r w:rsidRPr="007C3B90">
        <w:rPr>
          <w:rFonts w:hint="eastAsia"/>
          <w:rtl/>
        </w:rPr>
        <w:t>תחת</w:t>
      </w:r>
      <w:r w:rsidRPr="007C3B90">
        <w:rPr>
          <w:rtl/>
        </w:rPr>
        <w:t xml:space="preserve"> </w:t>
      </w:r>
      <w:r w:rsidRPr="007C3B90">
        <w:rPr>
          <w:rFonts w:hint="eastAsia"/>
          <w:rtl/>
        </w:rPr>
        <w:t>עילת</w:t>
      </w:r>
      <w:r w:rsidRPr="007C3B90">
        <w:rPr>
          <w:rtl/>
        </w:rPr>
        <w:t xml:space="preserve"> </w:t>
      </w:r>
      <w:r w:rsidRPr="007C3B90">
        <w:rPr>
          <w:rFonts w:hint="eastAsia"/>
          <w:rtl/>
        </w:rPr>
        <w:t>הסבירות</w:t>
      </w:r>
      <w:r w:rsidRPr="007C3B90">
        <w:rPr>
          <w:rtl/>
        </w:rPr>
        <w:t xml:space="preserve">, </w:t>
      </w:r>
      <w:r w:rsidRPr="007C3B90">
        <w:rPr>
          <w:rFonts w:hint="eastAsia"/>
          <w:rtl/>
        </w:rPr>
        <w:t>בפסקי</w:t>
      </w:r>
      <w:r w:rsidRPr="007C3B90">
        <w:rPr>
          <w:rtl/>
        </w:rPr>
        <w:t xml:space="preserve"> </w:t>
      </w:r>
      <w:r w:rsidRPr="007C3B90">
        <w:rPr>
          <w:rFonts w:hint="eastAsia"/>
          <w:rtl/>
        </w:rPr>
        <w:t>הדין</w:t>
      </w:r>
      <w:r w:rsidRPr="007C3B90">
        <w:rPr>
          <w:rtl/>
        </w:rPr>
        <w:t xml:space="preserve"> </w:t>
      </w:r>
      <w:r w:rsidRPr="007C3B90">
        <w:rPr>
          <w:rFonts w:hint="eastAsia"/>
          <w:rtl/>
        </w:rPr>
        <w:t>של</w:t>
      </w:r>
      <w:r w:rsidRPr="007C3B90">
        <w:rPr>
          <w:rtl/>
        </w:rPr>
        <w:t xml:space="preserve"> </w:t>
      </w:r>
      <w:r w:rsidRPr="007C3B90">
        <w:rPr>
          <w:rFonts w:hint="eastAsia"/>
          <w:rtl/>
        </w:rPr>
        <w:t>השופטים</w:t>
      </w:r>
      <w:r w:rsidRPr="007C3B90">
        <w:rPr>
          <w:rtl/>
        </w:rPr>
        <w:t xml:space="preserve"> </w:t>
      </w:r>
      <w:r w:rsidRPr="007C3B90">
        <w:rPr>
          <w:rFonts w:ascii="Century" w:hAnsi="Century" w:cs="Miriam" w:hint="eastAsia"/>
          <w:b/>
          <w:spacing w:val="0"/>
          <w:sz w:val="22"/>
          <w:szCs w:val="24"/>
          <w:rtl/>
        </w:rPr>
        <w:t>ד</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ברק</w:t>
      </w:r>
      <w:r w:rsidRPr="007C3B90">
        <w:rPr>
          <w:rFonts w:ascii="Century" w:hAnsi="Century" w:cs="Miriam"/>
          <w:b/>
          <w:spacing w:val="0"/>
          <w:sz w:val="22"/>
          <w:szCs w:val="24"/>
          <w:rtl/>
        </w:rPr>
        <w:t>-</w:t>
      </w:r>
      <w:r w:rsidRPr="007C3B90">
        <w:rPr>
          <w:rFonts w:ascii="Century" w:hAnsi="Century" w:cs="Miriam" w:hint="eastAsia"/>
          <w:b/>
          <w:spacing w:val="0"/>
          <w:sz w:val="22"/>
          <w:szCs w:val="24"/>
          <w:rtl/>
        </w:rPr>
        <w:t>ארז</w:t>
      </w:r>
      <w:r w:rsidRPr="007C3B90">
        <w:rPr>
          <w:rFonts w:ascii="Century" w:hAnsi="Century" w:cs="Miriam"/>
          <w:b/>
          <w:spacing w:val="0"/>
          <w:sz w:val="22"/>
          <w:szCs w:val="24"/>
          <w:rtl/>
        </w:rPr>
        <w:t xml:space="preserve"> </w:t>
      </w:r>
      <w:r w:rsidRPr="007C3B90">
        <w:rPr>
          <w:rFonts w:hint="eastAsia"/>
          <w:rtl/>
        </w:rPr>
        <w:t>ו</w:t>
      </w:r>
      <w:r w:rsidRPr="007C3B90">
        <w:rPr>
          <w:rtl/>
        </w:rPr>
        <w:t>-</w:t>
      </w:r>
      <w:r w:rsidRPr="007C3B90">
        <w:rPr>
          <w:rFonts w:ascii="Century" w:hAnsi="Century" w:cs="Miriam" w:hint="eastAsia"/>
          <w:b/>
          <w:spacing w:val="0"/>
          <w:sz w:val="22"/>
          <w:szCs w:val="24"/>
          <w:rtl/>
        </w:rPr>
        <w:t>א</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שטיין</w:t>
      </w:r>
      <w:r w:rsidRPr="007C3B90">
        <w:rPr>
          <w:rFonts w:ascii="Century" w:hAnsi="Century" w:cs="Miriam"/>
          <w:b/>
          <w:spacing w:val="0"/>
          <w:sz w:val="22"/>
          <w:szCs w:val="24"/>
          <w:rtl/>
        </w:rPr>
        <w:t xml:space="preserve"> </w:t>
      </w:r>
      <w:r w:rsidRPr="007C3B90">
        <w:rPr>
          <w:rFonts w:hint="eastAsia"/>
          <w:rtl/>
        </w:rPr>
        <w:t>בעניין</w:t>
      </w:r>
      <w:r w:rsidRPr="007C3B90">
        <w:rPr>
          <w:rtl/>
        </w:rPr>
        <w:t xml:space="preserve"> </w:t>
      </w:r>
      <w:r w:rsidRPr="007C3B90">
        <w:rPr>
          <w:rFonts w:ascii="Century" w:hAnsi="Century" w:cs="Miriam" w:hint="eastAsia"/>
          <w:b/>
          <w:spacing w:val="0"/>
          <w:sz w:val="22"/>
          <w:szCs w:val="24"/>
          <w:rtl/>
        </w:rPr>
        <w:t>שיינפלד</w:t>
      </w:r>
      <w:r w:rsidRPr="007C3B90">
        <w:rPr>
          <w:rFonts w:ascii="Century" w:hAnsi="Century"/>
          <w:sz w:val="22"/>
          <w:rtl/>
        </w:rPr>
        <w:t>,</w:t>
      </w:r>
      <w:r w:rsidRPr="007C3B90">
        <w:rPr>
          <w:rtl/>
        </w:rPr>
        <w:t xml:space="preserve"> </w:t>
      </w:r>
      <w:r w:rsidRPr="007C3B90">
        <w:rPr>
          <w:rFonts w:hint="eastAsia"/>
          <w:rtl/>
        </w:rPr>
        <w:t>שעסק</w:t>
      </w:r>
      <w:r w:rsidRPr="007C3B90">
        <w:rPr>
          <w:rtl/>
        </w:rPr>
        <w:t xml:space="preserve"> </w:t>
      </w:r>
      <w:r w:rsidRPr="007C3B90">
        <w:rPr>
          <w:rFonts w:hint="eastAsia"/>
          <w:rtl/>
        </w:rPr>
        <w:t>במינויי</w:t>
      </w:r>
      <w:r w:rsidRPr="007C3B90">
        <w:rPr>
          <w:rtl/>
        </w:rPr>
        <w:t xml:space="preserve"> </w:t>
      </w:r>
      <w:r w:rsidRPr="007C3B90">
        <w:rPr>
          <w:rFonts w:hint="eastAsia"/>
          <w:rtl/>
        </w:rPr>
        <w:t>בכירים</w:t>
      </w:r>
      <w:r w:rsidRPr="007C3B90">
        <w:rPr>
          <w:rtl/>
        </w:rPr>
        <w:t xml:space="preserve">; </w:t>
      </w:r>
      <w:r w:rsidRPr="007C3B90">
        <w:rPr>
          <w:rFonts w:hint="eastAsia"/>
          <w:rtl/>
        </w:rPr>
        <w:t>ואת</w:t>
      </w:r>
      <w:r w:rsidRPr="007C3B90">
        <w:rPr>
          <w:rtl/>
        </w:rPr>
        <w:t xml:space="preserve"> </w:t>
      </w:r>
      <w:r w:rsidRPr="007C3B90">
        <w:rPr>
          <w:rFonts w:hint="eastAsia"/>
          <w:rtl/>
        </w:rPr>
        <w:t>השימוש</w:t>
      </w:r>
      <w:r w:rsidRPr="007C3B90">
        <w:rPr>
          <w:rtl/>
        </w:rPr>
        <w:t xml:space="preserve"> </w:t>
      </w:r>
      <w:r w:rsidRPr="007C3B90">
        <w:rPr>
          <w:rFonts w:hint="eastAsia"/>
          <w:rtl/>
        </w:rPr>
        <w:t>בפגמים</w:t>
      </w:r>
      <w:r w:rsidRPr="007C3B90">
        <w:rPr>
          <w:rtl/>
        </w:rPr>
        <w:t xml:space="preserve"> </w:t>
      </w:r>
      <w:r w:rsidRPr="007C3B90">
        <w:rPr>
          <w:rFonts w:hint="eastAsia"/>
          <w:rtl/>
        </w:rPr>
        <w:t>הליכיים</w:t>
      </w:r>
      <w:r w:rsidRPr="007C3B90">
        <w:rPr>
          <w:rtl/>
        </w:rPr>
        <w:t xml:space="preserve"> </w:t>
      </w:r>
      <w:r w:rsidRPr="007C3B90">
        <w:rPr>
          <w:rFonts w:hint="eastAsia"/>
          <w:rtl/>
        </w:rPr>
        <w:t>ואחרים</w:t>
      </w:r>
      <w:r w:rsidRPr="007C3B90">
        <w:rPr>
          <w:rtl/>
        </w:rPr>
        <w:t xml:space="preserve"> </w:t>
      </w:r>
      <w:r w:rsidRPr="007C3B90">
        <w:rPr>
          <w:rFonts w:hint="eastAsia"/>
          <w:rtl/>
        </w:rPr>
        <w:t>בפסק</w:t>
      </w:r>
      <w:r w:rsidRPr="007C3B90">
        <w:rPr>
          <w:rtl/>
        </w:rPr>
        <w:t xml:space="preserve"> </w:t>
      </w:r>
      <w:r w:rsidRPr="007C3B90">
        <w:rPr>
          <w:rFonts w:hint="eastAsia"/>
          <w:rtl/>
        </w:rPr>
        <w:t>הדין</w:t>
      </w:r>
      <w:r w:rsidRPr="007C3B90">
        <w:rPr>
          <w:rtl/>
        </w:rPr>
        <w:t xml:space="preserve"> </w:t>
      </w:r>
      <w:r w:rsidRPr="007C3B90">
        <w:rPr>
          <w:rFonts w:hint="eastAsia"/>
          <w:rtl/>
        </w:rPr>
        <w:t>בבג</w:t>
      </w:r>
      <w:r w:rsidRPr="007C3B90">
        <w:rPr>
          <w:rtl/>
        </w:rPr>
        <w:t>"</w:t>
      </w:r>
      <w:r w:rsidRPr="007C3B90">
        <w:rPr>
          <w:rFonts w:hint="eastAsia"/>
          <w:rtl/>
        </w:rPr>
        <w:t>ץ</w:t>
      </w:r>
      <w:r w:rsidRPr="007C3B90">
        <w:rPr>
          <w:rtl/>
        </w:rPr>
        <w:t xml:space="preserve"> 5419/23 </w:t>
      </w:r>
      <w:r w:rsidRPr="007C3B90">
        <w:rPr>
          <w:rFonts w:ascii="Century" w:hAnsi="Century" w:cs="Miriam" w:hint="eastAsia"/>
          <w:b/>
          <w:spacing w:val="0"/>
          <w:sz w:val="22"/>
          <w:szCs w:val="24"/>
          <w:rtl/>
        </w:rPr>
        <w:t>אלו</w:t>
      </w:r>
      <w:r w:rsidRPr="007C3B90">
        <w:rPr>
          <w:rFonts w:ascii="Century" w:hAnsi="Century" w:cs="Miriam"/>
          <w:b/>
          <w:spacing w:val="0"/>
          <w:sz w:val="22"/>
          <w:szCs w:val="24"/>
          <w:rtl/>
        </w:rPr>
        <w:t>"</w:t>
      </w:r>
      <w:r w:rsidRPr="007C3B90">
        <w:rPr>
          <w:rFonts w:ascii="Century" w:hAnsi="Century" w:cs="Miriam" w:hint="eastAsia"/>
          <w:b/>
          <w:spacing w:val="0"/>
          <w:sz w:val="22"/>
          <w:szCs w:val="24"/>
          <w:rtl/>
        </w:rPr>
        <w:t>ט</w:t>
      </w:r>
      <w:r w:rsidRPr="007C3B90">
        <w:rPr>
          <w:rFonts w:ascii="Century" w:hAnsi="Century" w:cs="Miriam"/>
          <w:b/>
          <w:spacing w:val="0"/>
          <w:sz w:val="22"/>
          <w:szCs w:val="24"/>
          <w:rtl/>
        </w:rPr>
        <w:t xml:space="preserve"> – </w:t>
      </w:r>
      <w:r w:rsidRPr="007C3B90">
        <w:rPr>
          <w:rFonts w:ascii="Century" w:hAnsi="Century" w:cs="Miriam" w:hint="eastAsia"/>
          <w:b/>
          <w:spacing w:val="0"/>
          <w:sz w:val="22"/>
          <w:szCs w:val="24"/>
          <w:rtl/>
        </w:rPr>
        <w:t>אגודה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לאומית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לילדים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ובוגרים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עם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אוטיזם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נ</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מנכ</w:t>
      </w:r>
      <w:r w:rsidRPr="007C3B90">
        <w:rPr>
          <w:rFonts w:ascii="Century" w:hAnsi="Century" w:cs="Miriam"/>
          <w:b/>
          <w:spacing w:val="0"/>
          <w:sz w:val="22"/>
          <w:szCs w:val="24"/>
          <w:rtl/>
        </w:rPr>
        <w:t>"</w:t>
      </w:r>
      <w:r w:rsidRPr="007C3B90">
        <w:rPr>
          <w:rFonts w:ascii="Century" w:hAnsi="Century" w:cs="Miriam" w:hint="eastAsia"/>
          <w:b/>
          <w:spacing w:val="0"/>
          <w:sz w:val="22"/>
          <w:szCs w:val="24"/>
          <w:rtl/>
        </w:rPr>
        <w:t>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משרד</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החינוך</w:t>
      </w:r>
      <w:r w:rsidRPr="007C3B90">
        <w:rPr>
          <w:rtl/>
        </w:rPr>
        <w:t xml:space="preserve"> (20.8.2023), </w:t>
      </w:r>
      <w:r w:rsidRPr="007C3B90">
        <w:rPr>
          <w:rFonts w:hint="eastAsia"/>
          <w:rtl/>
        </w:rPr>
        <w:t>שעסק</w:t>
      </w:r>
      <w:r w:rsidRPr="007C3B90">
        <w:rPr>
          <w:rtl/>
        </w:rPr>
        <w:t xml:space="preserve"> </w:t>
      </w:r>
      <w:r w:rsidRPr="007C3B90">
        <w:rPr>
          <w:rFonts w:hint="eastAsia"/>
          <w:rtl/>
        </w:rPr>
        <w:t>בפגיעה</w:t>
      </w:r>
      <w:r w:rsidRPr="007C3B90">
        <w:rPr>
          <w:rtl/>
        </w:rPr>
        <w:t xml:space="preserve"> </w:t>
      </w:r>
      <w:r w:rsidRPr="007C3B90">
        <w:rPr>
          <w:rFonts w:hint="eastAsia"/>
          <w:rtl/>
        </w:rPr>
        <w:t>באינטרסים</w:t>
      </w:r>
      <w:r w:rsidRPr="007C3B90">
        <w:rPr>
          <w:rtl/>
        </w:rPr>
        <w:t xml:space="preserve"> </w:t>
      </w:r>
      <w:r w:rsidRPr="007C3B90">
        <w:rPr>
          <w:rFonts w:hint="eastAsia"/>
          <w:rtl/>
        </w:rPr>
        <w:t>של</w:t>
      </w:r>
      <w:r w:rsidRPr="007C3B90">
        <w:rPr>
          <w:rtl/>
        </w:rPr>
        <w:t xml:space="preserve"> </w:t>
      </w:r>
      <w:r w:rsidRPr="007C3B90">
        <w:rPr>
          <w:rFonts w:hint="cs"/>
          <w:rtl/>
        </w:rPr>
        <w:t>הפרט</w:t>
      </w:r>
      <w:r w:rsidRPr="007C3B90">
        <w:rPr>
          <w:rtl/>
        </w:rPr>
        <w:t xml:space="preserve">, </w:t>
      </w:r>
      <w:r w:rsidRPr="007C3B90">
        <w:rPr>
          <w:rFonts w:hint="eastAsia"/>
          <w:rtl/>
        </w:rPr>
        <w:t>וניתן</w:t>
      </w:r>
      <w:r w:rsidRPr="007C3B90">
        <w:rPr>
          <w:rtl/>
        </w:rPr>
        <w:t xml:space="preserve"> </w:t>
      </w:r>
      <w:r w:rsidRPr="007C3B90">
        <w:rPr>
          <w:rFonts w:hint="eastAsia"/>
          <w:rtl/>
        </w:rPr>
        <w:t>לאחר</w:t>
      </w:r>
      <w:r w:rsidRPr="007C3B90">
        <w:rPr>
          <w:rtl/>
        </w:rPr>
        <w:t xml:space="preserve"> </w:t>
      </w:r>
      <w:r w:rsidRPr="007C3B90">
        <w:rPr>
          <w:rFonts w:hint="eastAsia"/>
          <w:rtl/>
        </w:rPr>
        <w:t>שחוקק</w:t>
      </w:r>
      <w:r w:rsidRPr="007C3B90">
        <w:rPr>
          <w:rtl/>
        </w:rPr>
        <w:t xml:space="preserve"> </w:t>
      </w:r>
      <w:r w:rsidRPr="007C3B90">
        <w:rPr>
          <w:rFonts w:hint="eastAsia"/>
          <w:rtl/>
        </w:rPr>
        <w:t>התיקון</w:t>
      </w:r>
      <w:r w:rsidRPr="007C3B90">
        <w:rPr>
          <w:rtl/>
        </w:rPr>
        <w:t xml:space="preserve"> </w:t>
      </w:r>
      <w:r w:rsidRPr="007C3B90">
        <w:rPr>
          <w:rFonts w:hint="eastAsia"/>
          <w:rtl/>
        </w:rPr>
        <w:t>מושא</w:t>
      </w:r>
      <w:r w:rsidRPr="007C3B90">
        <w:rPr>
          <w:rtl/>
        </w:rPr>
        <w:t xml:space="preserve"> </w:t>
      </w:r>
      <w:r w:rsidRPr="007C3B90">
        <w:rPr>
          <w:rFonts w:hint="eastAsia"/>
          <w:rtl/>
        </w:rPr>
        <w:t>העתירות</w:t>
      </w:r>
      <w:r w:rsidRPr="007C3B90">
        <w:rPr>
          <w:rtl/>
        </w:rPr>
        <w:t xml:space="preserve"> </w:t>
      </w:r>
      <w:r w:rsidRPr="007C3B90">
        <w:rPr>
          <w:rFonts w:hint="eastAsia"/>
          <w:rtl/>
        </w:rPr>
        <w:t>לפנינו</w:t>
      </w:r>
      <w:r w:rsidRPr="007C3B90">
        <w:rPr>
          <w:rtl/>
        </w:rPr>
        <w:t xml:space="preserve">). </w:t>
      </w:r>
    </w:p>
    <w:p w:rsidR="00BB56BB" w:rsidRPr="007C3B90" w:rsidRDefault="00BB56BB" w:rsidP="00BB56BB">
      <w:pPr>
        <w:pStyle w:val="Ruller4"/>
        <w:numPr>
          <w:ilvl w:val="0"/>
          <w:numId w:val="0"/>
        </w:numPr>
        <w:rPr>
          <w:rtl/>
        </w:rPr>
      </w:pPr>
    </w:p>
    <w:p w:rsidR="00BB56BB" w:rsidRPr="007C3B90" w:rsidRDefault="00BB56BB" w:rsidP="00BB56BB">
      <w:pPr>
        <w:pStyle w:val="Ruller4"/>
      </w:pPr>
      <w:r w:rsidRPr="007C3B90">
        <w:rPr>
          <w:rFonts w:hint="eastAsia"/>
          <w:rtl/>
        </w:rPr>
        <w:lastRenderedPageBreak/>
        <w:t>כלי</w:t>
      </w:r>
      <w:r w:rsidRPr="007C3B90">
        <w:rPr>
          <w:rtl/>
        </w:rPr>
        <w:t xml:space="preserve"> </w:t>
      </w:r>
      <w:r w:rsidRPr="007C3B90">
        <w:rPr>
          <w:rFonts w:hint="eastAsia"/>
          <w:rtl/>
        </w:rPr>
        <w:t>משמעותי</w:t>
      </w:r>
      <w:r w:rsidRPr="007C3B90">
        <w:rPr>
          <w:rtl/>
        </w:rPr>
        <w:t xml:space="preserve"> </w:t>
      </w:r>
      <w:r w:rsidRPr="007C3B90">
        <w:rPr>
          <w:rFonts w:hint="eastAsia"/>
          <w:rtl/>
        </w:rPr>
        <w:t>נוסף</w:t>
      </w:r>
      <w:r w:rsidRPr="007C3B90">
        <w:rPr>
          <w:rtl/>
        </w:rPr>
        <w:t xml:space="preserve"> </w:t>
      </w:r>
      <w:r w:rsidRPr="007C3B90">
        <w:rPr>
          <w:rFonts w:hint="eastAsia"/>
          <w:rtl/>
        </w:rPr>
        <w:t>המשמש</w:t>
      </w:r>
      <w:r w:rsidRPr="007C3B90">
        <w:rPr>
          <w:rtl/>
        </w:rPr>
        <w:t xml:space="preserve"> </w:t>
      </w:r>
      <w:r w:rsidRPr="007C3B90">
        <w:rPr>
          <w:rFonts w:hint="eastAsia"/>
          <w:rtl/>
        </w:rPr>
        <w:t>לביקורת</w:t>
      </w:r>
      <w:r w:rsidRPr="007C3B90">
        <w:rPr>
          <w:rtl/>
        </w:rPr>
        <w:t xml:space="preserve"> </w:t>
      </w:r>
      <w:r w:rsidRPr="007C3B90">
        <w:rPr>
          <w:rFonts w:hint="eastAsia"/>
          <w:rtl/>
        </w:rPr>
        <w:t>שיפוטית</w:t>
      </w:r>
      <w:r w:rsidRPr="007C3B90">
        <w:rPr>
          <w:rtl/>
        </w:rPr>
        <w:t xml:space="preserve"> </w:t>
      </w:r>
      <w:r w:rsidRPr="007C3B90">
        <w:rPr>
          <w:rFonts w:hint="eastAsia"/>
          <w:rtl/>
        </w:rPr>
        <w:t>על</w:t>
      </w:r>
      <w:r w:rsidRPr="007C3B90">
        <w:rPr>
          <w:rtl/>
        </w:rPr>
        <w:t xml:space="preserve"> </w:t>
      </w:r>
      <w:r w:rsidRPr="007C3B90">
        <w:rPr>
          <w:rFonts w:hint="eastAsia"/>
          <w:rtl/>
        </w:rPr>
        <w:t>החלטות</w:t>
      </w:r>
      <w:r w:rsidRPr="007C3B90">
        <w:rPr>
          <w:rtl/>
        </w:rPr>
        <w:t xml:space="preserve"> </w:t>
      </w:r>
      <w:r w:rsidRPr="007C3B90">
        <w:rPr>
          <w:rFonts w:hint="eastAsia"/>
          <w:rtl/>
        </w:rPr>
        <w:t>מינהליות</w:t>
      </w:r>
      <w:r w:rsidRPr="007C3B90">
        <w:rPr>
          <w:rtl/>
        </w:rPr>
        <w:t xml:space="preserve">, </w:t>
      </w:r>
      <w:r w:rsidRPr="007C3B90">
        <w:rPr>
          <w:rFonts w:hint="eastAsia"/>
          <w:rtl/>
        </w:rPr>
        <w:t>ונמצא</w:t>
      </w:r>
      <w:r w:rsidRPr="007C3B90">
        <w:rPr>
          <w:rtl/>
        </w:rPr>
        <w:t xml:space="preserve"> </w:t>
      </w:r>
      <w:r w:rsidRPr="007C3B90">
        <w:rPr>
          <w:rFonts w:hint="eastAsia"/>
          <w:rtl/>
        </w:rPr>
        <w:t>אף</w:t>
      </w:r>
      <w:r w:rsidRPr="007C3B90">
        <w:rPr>
          <w:rtl/>
        </w:rPr>
        <w:t xml:space="preserve"> </w:t>
      </w:r>
      <w:r w:rsidRPr="007C3B90">
        <w:rPr>
          <w:rFonts w:hint="eastAsia"/>
          <w:rtl/>
        </w:rPr>
        <w:t>הוא</w:t>
      </w:r>
      <w:r w:rsidRPr="007C3B90">
        <w:rPr>
          <w:rtl/>
        </w:rPr>
        <w:t xml:space="preserve"> </w:t>
      </w:r>
      <w:r w:rsidRPr="007C3B90">
        <w:rPr>
          <w:rFonts w:hint="eastAsia"/>
          <w:rtl/>
        </w:rPr>
        <w:t>ב</w:t>
      </w:r>
      <w:r w:rsidRPr="007C3B90">
        <w:rPr>
          <w:rFonts w:hint="cs"/>
          <w:rtl/>
        </w:rPr>
        <w:t>"</w:t>
      </w:r>
      <w:r w:rsidRPr="007C3B90">
        <w:rPr>
          <w:rFonts w:hint="eastAsia"/>
          <w:rtl/>
        </w:rPr>
        <w:t>ארגז</w:t>
      </w:r>
      <w:r w:rsidRPr="007C3B90">
        <w:rPr>
          <w:rtl/>
        </w:rPr>
        <w:t xml:space="preserve"> </w:t>
      </w:r>
      <w:r w:rsidRPr="007C3B90">
        <w:rPr>
          <w:rFonts w:hint="eastAsia"/>
          <w:rtl/>
        </w:rPr>
        <w:t>הכלים</w:t>
      </w:r>
      <w:r w:rsidRPr="007C3B90">
        <w:rPr>
          <w:rFonts w:hint="cs"/>
          <w:rtl/>
        </w:rPr>
        <w:t>"</w:t>
      </w:r>
      <w:r w:rsidRPr="007C3B90">
        <w:rPr>
          <w:rtl/>
        </w:rPr>
        <w:t xml:space="preserve"> </w:t>
      </w:r>
      <w:r w:rsidRPr="007C3B90">
        <w:rPr>
          <w:rFonts w:hint="eastAsia"/>
          <w:rtl/>
        </w:rPr>
        <w:t>הנתון</w:t>
      </w:r>
      <w:r w:rsidRPr="007C3B90">
        <w:rPr>
          <w:rtl/>
        </w:rPr>
        <w:t xml:space="preserve"> </w:t>
      </w:r>
      <w:r w:rsidRPr="007C3B90">
        <w:rPr>
          <w:rFonts w:hint="eastAsia"/>
          <w:rtl/>
        </w:rPr>
        <w:t>לבית</w:t>
      </w:r>
      <w:r w:rsidRPr="007C3B90">
        <w:rPr>
          <w:rtl/>
        </w:rPr>
        <w:t xml:space="preserve"> </w:t>
      </w:r>
      <w:r w:rsidRPr="007C3B90">
        <w:rPr>
          <w:rFonts w:hint="eastAsia"/>
          <w:rtl/>
        </w:rPr>
        <w:t>המשפט</w:t>
      </w:r>
      <w:r w:rsidRPr="007C3B90">
        <w:rPr>
          <w:rtl/>
        </w:rPr>
        <w:t xml:space="preserve"> </w:t>
      </w:r>
      <w:r w:rsidRPr="007C3B90">
        <w:rPr>
          <w:rFonts w:hint="eastAsia"/>
          <w:rtl/>
        </w:rPr>
        <w:t>מאז</w:t>
      </w:r>
      <w:r w:rsidRPr="007C3B90">
        <w:rPr>
          <w:rtl/>
        </w:rPr>
        <w:t xml:space="preserve"> </w:t>
      </w:r>
      <w:r w:rsidRPr="007C3B90">
        <w:rPr>
          <w:rFonts w:hint="eastAsia"/>
          <w:rtl/>
        </w:rPr>
        <w:t>ומתמיד</w:t>
      </w:r>
      <w:r w:rsidRPr="007C3B90">
        <w:rPr>
          <w:rtl/>
        </w:rPr>
        <w:t xml:space="preserve">, </w:t>
      </w:r>
      <w:r w:rsidRPr="007C3B90">
        <w:rPr>
          <w:rFonts w:hint="eastAsia"/>
          <w:rtl/>
        </w:rPr>
        <w:t>גם</w:t>
      </w:r>
      <w:r w:rsidRPr="007C3B90">
        <w:rPr>
          <w:rtl/>
        </w:rPr>
        <w:t xml:space="preserve"> </w:t>
      </w:r>
      <w:r w:rsidRPr="007C3B90">
        <w:rPr>
          <w:rFonts w:hint="eastAsia"/>
          <w:rtl/>
        </w:rPr>
        <w:t>לגבי</w:t>
      </w:r>
      <w:r w:rsidRPr="007C3B90">
        <w:rPr>
          <w:rtl/>
        </w:rPr>
        <w:t xml:space="preserve"> </w:t>
      </w:r>
      <w:r w:rsidRPr="007C3B90">
        <w:rPr>
          <w:rFonts w:hint="eastAsia"/>
          <w:rtl/>
        </w:rPr>
        <w:t>החלטות</w:t>
      </w:r>
      <w:r w:rsidRPr="007C3B90">
        <w:rPr>
          <w:rtl/>
        </w:rPr>
        <w:t xml:space="preserve"> </w:t>
      </w:r>
      <w:r w:rsidRPr="007C3B90">
        <w:rPr>
          <w:rFonts w:hint="eastAsia"/>
          <w:rtl/>
        </w:rPr>
        <w:t>מן</w:t>
      </w:r>
      <w:r w:rsidRPr="007C3B90">
        <w:rPr>
          <w:rtl/>
        </w:rPr>
        <w:t xml:space="preserve"> </w:t>
      </w:r>
      <w:r w:rsidRPr="007C3B90">
        <w:rPr>
          <w:rFonts w:hint="eastAsia"/>
          <w:rtl/>
        </w:rPr>
        <w:t>הסוג</w:t>
      </w:r>
      <w:r w:rsidRPr="007C3B90">
        <w:rPr>
          <w:rtl/>
        </w:rPr>
        <w:t xml:space="preserve"> </w:t>
      </w:r>
      <w:r w:rsidRPr="007C3B90">
        <w:rPr>
          <w:rFonts w:hint="eastAsia"/>
          <w:rtl/>
        </w:rPr>
        <w:t>האמור</w:t>
      </w:r>
      <w:r w:rsidRPr="007C3B90">
        <w:rPr>
          <w:rtl/>
        </w:rPr>
        <w:t xml:space="preserve"> </w:t>
      </w:r>
      <w:r w:rsidRPr="007C3B90">
        <w:rPr>
          <w:rFonts w:hint="eastAsia"/>
          <w:rtl/>
        </w:rPr>
        <w:t>–</w:t>
      </w:r>
      <w:r w:rsidRPr="007C3B90">
        <w:rPr>
          <w:rtl/>
        </w:rPr>
        <w:t xml:space="preserve"> </w:t>
      </w:r>
      <w:r w:rsidRPr="007C3B90">
        <w:rPr>
          <w:rFonts w:hint="eastAsia"/>
          <w:rtl/>
        </w:rPr>
        <w:t>הוא</w:t>
      </w:r>
      <w:r w:rsidRPr="007C3B90">
        <w:rPr>
          <w:rtl/>
        </w:rPr>
        <w:t xml:space="preserve"> </w:t>
      </w:r>
      <w:r w:rsidRPr="007C3B90">
        <w:rPr>
          <w:rFonts w:hint="eastAsia"/>
          <w:rtl/>
        </w:rPr>
        <w:t>פרשנות</w:t>
      </w:r>
      <w:r w:rsidRPr="007C3B90">
        <w:rPr>
          <w:rtl/>
        </w:rPr>
        <w:t xml:space="preserve"> </w:t>
      </w:r>
      <w:r w:rsidRPr="007C3B90">
        <w:rPr>
          <w:rFonts w:hint="eastAsia"/>
          <w:rtl/>
        </w:rPr>
        <w:t>הנורמה</w:t>
      </w:r>
      <w:r w:rsidRPr="007C3B90">
        <w:rPr>
          <w:rtl/>
        </w:rPr>
        <w:t xml:space="preserve"> </w:t>
      </w:r>
      <w:r w:rsidRPr="007C3B90">
        <w:rPr>
          <w:rFonts w:hint="eastAsia"/>
          <w:rtl/>
        </w:rPr>
        <w:t>המסמיכה</w:t>
      </w:r>
      <w:r w:rsidRPr="007C3B90">
        <w:rPr>
          <w:rtl/>
        </w:rPr>
        <w:t xml:space="preserve">. </w:t>
      </w:r>
      <w:r w:rsidRPr="007C3B90">
        <w:rPr>
          <w:rFonts w:hint="eastAsia"/>
          <w:rtl/>
        </w:rPr>
        <w:t>רשות</w:t>
      </w:r>
      <w:r w:rsidRPr="007C3B90">
        <w:rPr>
          <w:rtl/>
        </w:rPr>
        <w:t xml:space="preserve"> </w:t>
      </w:r>
      <w:r w:rsidRPr="007C3B90">
        <w:rPr>
          <w:rFonts w:hint="eastAsia"/>
          <w:rtl/>
        </w:rPr>
        <w:t>מינהלית</w:t>
      </w:r>
      <w:r w:rsidRPr="007C3B90">
        <w:rPr>
          <w:rtl/>
        </w:rPr>
        <w:t xml:space="preserve"> </w:t>
      </w:r>
      <w:r w:rsidRPr="007C3B90">
        <w:rPr>
          <w:rFonts w:hint="eastAsia"/>
          <w:rtl/>
        </w:rPr>
        <w:t>חייבת</w:t>
      </w:r>
      <w:r w:rsidRPr="007C3B90">
        <w:rPr>
          <w:rtl/>
        </w:rPr>
        <w:t xml:space="preserve"> </w:t>
      </w:r>
      <w:r w:rsidRPr="007C3B90">
        <w:rPr>
          <w:rFonts w:hint="eastAsia"/>
          <w:rtl/>
        </w:rPr>
        <w:t>לפעול</w:t>
      </w:r>
      <w:r w:rsidRPr="007C3B90">
        <w:rPr>
          <w:rtl/>
        </w:rPr>
        <w:t xml:space="preserve"> </w:t>
      </w:r>
      <w:r w:rsidRPr="007C3B90">
        <w:rPr>
          <w:rFonts w:hint="eastAsia"/>
          <w:rtl/>
        </w:rPr>
        <w:t>בגבולות</w:t>
      </w:r>
      <w:r w:rsidRPr="007C3B90">
        <w:rPr>
          <w:rtl/>
        </w:rPr>
        <w:t xml:space="preserve"> </w:t>
      </w:r>
      <w:r w:rsidRPr="007C3B90">
        <w:rPr>
          <w:rFonts w:hint="eastAsia"/>
          <w:rtl/>
        </w:rPr>
        <w:t>החוק</w:t>
      </w:r>
      <w:r w:rsidRPr="007C3B90">
        <w:rPr>
          <w:rtl/>
        </w:rPr>
        <w:t xml:space="preserve"> </w:t>
      </w:r>
      <w:r w:rsidRPr="007C3B90">
        <w:rPr>
          <w:rFonts w:hint="eastAsia"/>
          <w:rtl/>
        </w:rPr>
        <w:t>המסמיך</w:t>
      </w:r>
      <w:r w:rsidRPr="007C3B90">
        <w:rPr>
          <w:rtl/>
        </w:rPr>
        <w:t xml:space="preserve">, </w:t>
      </w:r>
      <w:r w:rsidRPr="007C3B90">
        <w:rPr>
          <w:rFonts w:hint="eastAsia"/>
          <w:rtl/>
        </w:rPr>
        <w:t>על</w:t>
      </w:r>
      <w:r w:rsidRPr="007C3B90">
        <w:rPr>
          <w:rtl/>
        </w:rPr>
        <w:t xml:space="preserve"> </w:t>
      </w:r>
      <w:r w:rsidRPr="007C3B90">
        <w:rPr>
          <w:rFonts w:hint="eastAsia"/>
          <w:rtl/>
        </w:rPr>
        <w:t>פי</w:t>
      </w:r>
      <w:r w:rsidRPr="007C3B90">
        <w:rPr>
          <w:rtl/>
        </w:rPr>
        <w:t xml:space="preserve"> </w:t>
      </w:r>
      <w:r w:rsidRPr="007C3B90">
        <w:rPr>
          <w:rFonts w:hint="eastAsia"/>
          <w:rtl/>
        </w:rPr>
        <w:t>לשונו</w:t>
      </w:r>
      <w:r w:rsidRPr="007C3B90">
        <w:rPr>
          <w:rtl/>
        </w:rPr>
        <w:t xml:space="preserve"> </w:t>
      </w:r>
      <w:r w:rsidRPr="007C3B90">
        <w:rPr>
          <w:rFonts w:hint="eastAsia"/>
          <w:rtl/>
        </w:rPr>
        <w:t>ותכליתו</w:t>
      </w:r>
      <w:r w:rsidRPr="007C3B90">
        <w:rPr>
          <w:rtl/>
        </w:rPr>
        <w:t xml:space="preserve">. </w:t>
      </w:r>
      <w:r w:rsidRPr="007C3B90">
        <w:rPr>
          <w:rFonts w:hint="eastAsia"/>
          <w:rtl/>
        </w:rPr>
        <w:t>מקום</w:t>
      </w:r>
      <w:r w:rsidRPr="007C3B90">
        <w:rPr>
          <w:rtl/>
        </w:rPr>
        <w:t xml:space="preserve"> </w:t>
      </w:r>
      <w:r w:rsidRPr="007C3B90">
        <w:rPr>
          <w:rFonts w:hint="eastAsia"/>
          <w:rtl/>
        </w:rPr>
        <w:t>בו</w:t>
      </w:r>
      <w:r w:rsidRPr="007C3B90">
        <w:rPr>
          <w:rtl/>
        </w:rPr>
        <w:t xml:space="preserve"> </w:t>
      </w:r>
      <w:r w:rsidRPr="007C3B90">
        <w:rPr>
          <w:rFonts w:hint="eastAsia"/>
          <w:rtl/>
        </w:rPr>
        <w:t>הרשות</w:t>
      </w:r>
      <w:r w:rsidRPr="007C3B90">
        <w:rPr>
          <w:rtl/>
        </w:rPr>
        <w:t xml:space="preserve"> </w:t>
      </w:r>
      <w:r w:rsidRPr="007C3B90">
        <w:rPr>
          <w:rFonts w:hint="eastAsia"/>
          <w:rtl/>
        </w:rPr>
        <w:t>הפעילה</w:t>
      </w:r>
      <w:r w:rsidRPr="007C3B90">
        <w:rPr>
          <w:rtl/>
        </w:rPr>
        <w:t xml:space="preserve"> </w:t>
      </w:r>
      <w:r w:rsidRPr="007C3B90">
        <w:rPr>
          <w:rFonts w:hint="eastAsia"/>
          <w:rtl/>
        </w:rPr>
        <w:t>את</w:t>
      </w:r>
      <w:r w:rsidRPr="007C3B90">
        <w:rPr>
          <w:rtl/>
        </w:rPr>
        <w:t xml:space="preserve"> </w:t>
      </w:r>
      <w:r w:rsidRPr="007C3B90">
        <w:rPr>
          <w:rFonts w:hint="eastAsia"/>
          <w:rtl/>
        </w:rPr>
        <w:t>סמכותה</w:t>
      </w:r>
      <w:r w:rsidRPr="007C3B90">
        <w:rPr>
          <w:rtl/>
        </w:rPr>
        <w:t xml:space="preserve"> </w:t>
      </w:r>
      <w:r w:rsidRPr="007C3B90">
        <w:rPr>
          <w:rFonts w:hint="eastAsia"/>
          <w:rtl/>
        </w:rPr>
        <w:t>שלא</w:t>
      </w:r>
      <w:r w:rsidRPr="007C3B90">
        <w:rPr>
          <w:rtl/>
        </w:rPr>
        <w:t xml:space="preserve"> </w:t>
      </w:r>
      <w:r w:rsidRPr="007C3B90">
        <w:rPr>
          <w:rFonts w:hint="eastAsia"/>
          <w:rtl/>
        </w:rPr>
        <w:t>על</w:t>
      </w:r>
      <w:r w:rsidRPr="007C3B90">
        <w:rPr>
          <w:rtl/>
        </w:rPr>
        <w:t xml:space="preserve"> </w:t>
      </w:r>
      <w:r w:rsidRPr="007C3B90">
        <w:rPr>
          <w:rFonts w:hint="eastAsia"/>
          <w:rtl/>
        </w:rPr>
        <w:t>פי</w:t>
      </w:r>
      <w:r w:rsidRPr="007C3B90">
        <w:rPr>
          <w:rtl/>
        </w:rPr>
        <w:t xml:space="preserve"> </w:t>
      </w:r>
      <w:r w:rsidRPr="007C3B90">
        <w:rPr>
          <w:rFonts w:hint="eastAsia"/>
          <w:rtl/>
        </w:rPr>
        <w:t>השיקולים</w:t>
      </w:r>
      <w:r w:rsidRPr="007C3B90">
        <w:rPr>
          <w:rtl/>
        </w:rPr>
        <w:t xml:space="preserve"> </w:t>
      </w:r>
      <w:r w:rsidRPr="007C3B90">
        <w:rPr>
          <w:rFonts w:hint="eastAsia"/>
          <w:rtl/>
        </w:rPr>
        <w:t>או</w:t>
      </w:r>
      <w:r w:rsidRPr="007C3B90">
        <w:rPr>
          <w:rtl/>
        </w:rPr>
        <w:t xml:space="preserve"> </w:t>
      </w:r>
      <w:r w:rsidRPr="007C3B90">
        <w:rPr>
          <w:rFonts w:hint="eastAsia"/>
          <w:rtl/>
        </w:rPr>
        <w:t>על</w:t>
      </w:r>
      <w:r w:rsidRPr="007C3B90">
        <w:rPr>
          <w:rtl/>
        </w:rPr>
        <w:t xml:space="preserve"> </w:t>
      </w:r>
      <w:r w:rsidRPr="007C3B90">
        <w:rPr>
          <w:rFonts w:hint="eastAsia"/>
          <w:rtl/>
        </w:rPr>
        <w:t>פי</w:t>
      </w:r>
      <w:r w:rsidRPr="007C3B90">
        <w:rPr>
          <w:rtl/>
        </w:rPr>
        <w:t xml:space="preserve"> </w:t>
      </w:r>
      <w:r w:rsidRPr="007C3B90">
        <w:rPr>
          <w:rFonts w:hint="eastAsia"/>
          <w:rtl/>
        </w:rPr>
        <w:t>נוסחת</w:t>
      </w:r>
      <w:r w:rsidRPr="007C3B90">
        <w:rPr>
          <w:rtl/>
        </w:rPr>
        <w:t xml:space="preserve"> </w:t>
      </w:r>
      <w:r w:rsidRPr="007C3B90">
        <w:rPr>
          <w:rFonts w:hint="eastAsia"/>
          <w:rtl/>
        </w:rPr>
        <w:t>האיזון</w:t>
      </w:r>
      <w:r w:rsidRPr="007C3B90">
        <w:rPr>
          <w:rtl/>
        </w:rPr>
        <w:t xml:space="preserve"> </w:t>
      </w:r>
      <w:r w:rsidRPr="007C3B90">
        <w:rPr>
          <w:rFonts w:hint="eastAsia"/>
          <w:rtl/>
        </w:rPr>
        <w:t>המתחייבים</w:t>
      </w:r>
      <w:r w:rsidRPr="007C3B90">
        <w:rPr>
          <w:rtl/>
        </w:rPr>
        <w:t xml:space="preserve"> </w:t>
      </w:r>
      <w:r w:rsidRPr="007C3B90">
        <w:rPr>
          <w:rFonts w:hint="eastAsia"/>
          <w:rtl/>
        </w:rPr>
        <w:t>מן</w:t>
      </w:r>
      <w:r w:rsidRPr="007C3B90">
        <w:rPr>
          <w:rtl/>
        </w:rPr>
        <w:t xml:space="preserve"> </w:t>
      </w:r>
      <w:r w:rsidRPr="007C3B90">
        <w:rPr>
          <w:rFonts w:hint="eastAsia"/>
          <w:rtl/>
        </w:rPr>
        <w:t>הנורמה</w:t>
      </w:r>
      <w:r w:rsidRPr="007C3B90">
        <w:rPr>
          <w:rtl/>
        </w:rPr>
        <w:t xml:space="preserve"> </w:t>
      </w:r>
      <w:r w:rsidRPr="007C3B90">
        <w:rPr>
          <w:rFonts w:hint="eastAsia"/>
          <w:rtl/>
        </w:rPr>
        <w:t>המסמיכה</w:t>
      </w:r>
      <w:r w:rsidRPr="007C3B90">
        <w:rPr>
          <w:rtl/>
        </w:rPr>
        <w:t xml:space="preserve">, </w:t>
      </w:r>
      <w:r w:rsidRPr="007C3B90">
        <w:rPr>
          <w:rFonts w:hint="eastAsia"/>
          <w:rtl/>
        </w:rPr>
        <w:t>מדובר</w:t>
      </w:r>
      <w:r w:rsidRPr="007C3B90">
        <w:rPr>
          <w:rtl/>
        </w:rPr>
        <w:t xml:space="preserve"> </w:t>
      </w:r>
      <w:r w:rsidRPr="007C3B90">
        <w:rPr>
          <w:rFonts w:hint="eastAsia"/>
          <w:rtl/>
        </w:rPr>
        <w:t>בטעות</w:t>
      </w:r>
      <w:r w:rsidRPr="007C3B90">
        <w:rPr>
          <w:rtl/>
        </w:rPr>
        <w:t xml:space="preserve"> </w:t>
      </w:r>
      <w:r w:rsidRPr="007C3B90">
        <w:rPr>
          <w:rFonts w:hint="eastAsia"/>
          <w:rtl/>
        </w:rPr>
        <w:t>שבחוק</w:t>
      </w:r>
      <w:r w:rsidRPr="007C3B90">
        <w:rPr>
          <w:rtl/>
        </w:rPr>
        <w:t xml:space="preserve">. </w:t>
      </w:r>
      <w:r w:rsidRPr="007C3B90">
        <w:rPr>
          <w:rFonts w:hint="eastAsia"/>
          <w:rtl/>
        </w:rPr>
        <w:t>בפסילת</w:t>
      </w:r>
      <w:r w:rsidRPr="007C3B90">
        <w:rPr>
          <w:rtl/>
        </w:rPr>
        <w:t xml:space="preserve"> </w:t>
      </w:r>
      <w:r w:rsidRPr="007C3B90">
        <w:rPr>
          <w:rFonts w:hint="eastAsia"/>
          <w:rtl/>
        </w:rPr>
        <w:t>החלטה</w:t>
      </w:r>
      <w:r w:rsidRPr="007C3B90">
        <w:rPr>
          <w:rtl/>
        </w:rPr>
        <w:t xml:space="preserve"> </w:t>
      </w:r>
      <w:r w:rsidRPr="007C3B90">
        <w:rPr>
          <w:rFonts w:hint="eastAsia"/>
          <w:rtl/>
        </w:rPr>
        <w:t>כזו</w:t>
      </w:r>
      <w:r w:rsidRPr="007C3B90">
        <w:rPr>
          <w:rtl/>
        </w:rPr>
        <w:t xml:space="preserve"> </w:t>
      </w:r>
      <w:r w:rsidRPr="007C3B90">
        <w:rPr>
          <w:rFonts w:hint="eastAsia"/>
          <w:rtl/>
        </w:rPr>
        <w:t>פועל</w:t>
      </w:r>
      <w:r w:rsidRPr="007C3B90">
        <w:rPr>
          <w:rtl/>
        </w:rPr>
        <w:t xml:space="preserve"> </w:t>
      </w:r>
      <w:r w:rsidRPr="007C3B90">
        <w:rPr>
          <w:rFonts w:hint="eastAsia"/>
          <w:rtl/>
        </w:rPr>
        <w:t>בית</w:t>
      </w:r>
      <w:r w:rsidRPr="007C3B90">
        <w:rPr>
          <w:rtl/>
        </w:rPr>
        <w:t xml:space="preserve"> </w:t>
      </w:r>
      <w:r w:rsidRPr="007C3B90">
        <w:rPr>
          <w:rFonts w:hint="eastAsia"/>
          <w:rtl/>
        </w:rPr>
        <w:t>המשפט</w:t>
      </w:r>
      <w:r w:rsidRPr="007C3B90">
        <w:rPr>
          <w:rtl/>
        </w:rPr>
        <w:t xml:space="preserve"> </w:t>
      </w:r>
      <w:r w:rsidRPr="007C3B90">
        <w:rPr>
          <w:rFonts w:hint="eastAsia"/>
          <w:rtl/>
        </w:rPr>
        <w:t>בתפקידו</w:t>
      </w:r>
      <w:r w:rsidRPr="007C3B90">
        <w:rPr>
          <w:rtl/>
        </w:rPr>
        <w:t xml:space="preserve"> </w:t>
      </w:r>
      <w:r w:rsidRPr="007C3B90">
        <w:rPr>
          <w:rFonts w:hint="eastAsia"/>
          <w:rtl/>
        </w:rPr>
        <w:t>המסורתי</w:t>
      </w:r>
      <w:r w:rsidRPr="007C3B90">
        <w:rPr>
          <w:rtl/>
        </w:rPr>
        <w:t xml:space="preserve"> </w:t>
      </w:r>
      <w:r w:rsidRPr="007C3B90">
        <w:rPr>
          <w:rFonts w:hint="eastAsia"/>
          <w:rtl/>
        </w:rPr>
        <w:t>כפרשן</w:t>
      </w:r>
      <w:r w:rsidRPr="007C3B90">
        <w:rPr>
          <w:rtl/>
        </w:rPr>
        <w:t xml:space="preserve"> </w:t>
      </w:r>
      <w:r w:rsidRPr="007C3B90">
        <w:rPr>
          <w:rFonts w:hint="eastAsia"/>
          <w:rtl/>
        </w:rPr>
        <w:t>המוסמך</w:t>
      </w:r>
      <w:r w:rsidRPr="007C3B90">
        <w:rPr>
          <w:rtl/>
        </w:rPr>
        <w:t xml:space="preserve"> </w:t>
      </w:r>
      <w:r w:rsidRPr="007C3B90">
        <w:rPr>
          <w:rFonts w:hint="eastAsia"/>
          <w:rtl/>
        </w:rPr>
        <w:t>של</w:t>
      </w:r>
      <w:r w:rsidRPr="007C3B90">
        <w:rPr>
          <w:rtl/>
        </w:rPr>
        <w:t xml:space="preserve"> </w:t>
      </w:r>
      <w:r w:rsidRPr="007C3B90">
        <w:rPr>
          <w:rFonts w:hint="eastAsia"/>
          <w:rtl/>
        </w:rPr>
        <w:t>החוק</w:t>
      </w:r>
      <w:r w:rsidRPr="007C3B90">
        <w:rPr>
          <w:rtl/>
        </w:rPr>
        <w:t xml:space="preserve"> </w:t>
      </w:r>
      <w:r w:rsidRPr="007C3B90">
        <w:rPr>
          <w:rFonts w:hint="eastAsia"/>
          <w:rtl/>
        </w:rPr>
        <w:t>ולא</w:t>
      </w:r>
      <w:r w:rsidRPr="007C3B90">
        <w:rPr>
          <w:rtl/>
        </w:rPr>
        <w:t xml:space="preserve"> </w:t>
      </w:r>
      <w:r w:rsidRPr="007C3B90">
        <w:rPr>
          <w:rFonts w:hint="eastAsia"/>
          <w:rtl/>
        </w:rPr>
        <w:t>מכוחה</w:t>
      </w:r>
      <w:r w:rsidRPr="007C3B90">
        <w:rPr>
          <w:rtl/>
        </w:rPr>
        <w:t xml:space="preserve"> </w:t>
      </w:r>
      <w:r w:rsidRPr="007C3B90">
        <w:rPr>
          <w:rFonts w:hint="eastAsia"/>
          <w:rtl/>
        </w:rPr>
        <w:t>של</w:t>
      </w:r>
      <w:r w:rsidRPr="007C3B90">
        <w:rPr>
          <w:rtl/>
        </w:rPr>
        <w:t xml:space="preserve"> </w:t>
      </w:r>
      <w:r w:rsidRPr="007C3B90">
        <w:rPr>
          <w:rFonts w:hint="eastAsia"/>
          <w:rtl/>
        </w:rPr>
        <w:t>עילת</w:t>
      </w:r>
      <w:r w:rsidRPr="007C3B90">
        <w:rPr>
          <w:rtl/>
        </w:rPr>
        <w:t xml:space="preserve"> </w:t>
      </w:r>
      <w:r w:rsidRPr="007C3B90">
        <w:rPr>
          <w:rFonts w:hint="eastAsia"/>
          <w:rtl/>
        </w:rPr>
        <w:t>הסבירות</w:t>
      </w:r>
      <w:r w:rsidRPr="007C3B90">
        <w:rPr>
          <w:rtl/>
        </w:rPr>
        <w:t xml:space="preserve">. </w:t>
      </w:r>
      <w:r w:rsidRPr="007C3B90">
        <w:rPr>
          <w:rFonts w:hint="eastAsia"/>
          <w:rtl/>
        </w:rPr>
        <w:t>מלאכת</w:t>
      </w:r>
      <w:r w:rsidRPr="007C3B90">
        <w:rPr>
          <w:rtl/>
        </w:rPr>
        <w:t xml:space="preserve"> </w:t>
      </w:r>
      <w:r w:rsidRPr="007C3B90">
        <w:rPr>
          <w:rFonts w:hint="eastAsia"/>
          <w:rtl/>
        </w:rPr>
        <w:t>פרשנות</w:t>
      </w:r>
      <w:r w:rsidRPr="007C3B90">
        <w:rPr>
          <w:rtl/>
        </w:rPr>
        <w:t xml:space="preserve"> </w:t>
      </w:r>
      <w:r w:rsidRPr="007C3B90">
        <w:rPr>
          <w:rFonts w:hint="eastAsia"/>
          <w:rtl/>
        </w:rPr>
        <w:t>החקיקה</w:t>
      </w:r>
      <w:r w:rsidRPr="007C3B90">
        <w:rPr>
          <w:rtl/>
        </w:rPr>
        <w:t xml:space="preserve"> </w:t>
      </w:r>
      <w:r w:rsidRPr="007C3B90">
        <w:rPr>
          <w:rFonts w:hint="eastAsia"/>
          <w:rtl/>
        </w:rPr>
        <w:t>היא</w:t>
      </w:r>
      <w:r w:rsidRPr="007C3B90">
        <w:rPr>
          <w:rtl/>
        </w:rPr>
        <w:t xml:space="preserve"> </w:t>
      </w:r>
      <w:r w:rsidRPr="007C3B90">
        <w:rPr>
          <w:rFonts w:hint="cs"/>
          <w:rtl/>
        </w:rPr>
        <w:t>"</w:t>
      </w:r>
      <w:r w:rsidRPr="007C3B90">
        <w:rPr>
          <w:rFonts w:hint="eastAsia"/>
          <w:rtl/>
        </w:rPr>
        <w:t>מגרשו</w:t>
      </w:r>
      <w:r w:rsidRPr="007C3B90">
        <w:rPr>
          <w:rtl/>
        </w:rPr>
        <w:t xml:space="preserve"> </w:t>
      </w:r>
      <w:r w:rsidRPr="007C3B90">
        <w:rPr>
          <w:rFonts w:hint="eastAsia"/>
          <w:rtl/>
        </w:rPr>
        <w:t>הטבעי</w:t>
      </w:r>
      <w:r w:rsidRPr="007C3B90">
        <w:rPr>
          <w:rFonts w:hint="cs"/>
          <w:rtl/>
        </w:rPr>
        <w:t>"</w:t>
      </w:r>
      <w:r w:rsidRPr="007C3B90">
        <w:rPr>
          <w:rtl/>
        </w:rPr>
        <w:t xml:space="preserve"> </w:t>
      </w:r>
      <w:r w:rsidRPr="007C3B90">
        <w:rPr>
          <w:rFonts w:hint="eastAsia"/>
          <w:rtl/>
        </w:rPr>
        <w:t>של</w:t>
      </w:r>
      <w:r w:rsidRPr="007C3B90">
        <w:rPr>
          <w:rtl/>
        </w:rPr>
        <w:t xml:space="preserve"> </w:t>
      </w:r>
      <w:r w:rsidRPr="007C3B90">
        <w:rPr>
          <w:rFonts w:hint="eastAsia"/>
          <w:rtl/>
        </w:rPr>
        <w:t>בית</w:t>
      </w:r>
      <w:r w:rsidRPr="007C3B90">
        <w:rPr>
          <w:rtl/>
        </w:rPr>
        <w:t xml:space="preserve"> </w:t>
      </w:r>
      <w:r w:rsidRPr="007C3B90">
        <w:rPr>
          <w:rFonts w:hint="eastAsia"/>
          <w:rtl/>
        </w:rPr>
        <w:t>המשפט</w:t>
      </w:r>
      <w:r w:rsidRPr="007C3B90">
        <w:rPr>
          <w:rtl/>
        </w:rPr>
        <w:t xml:space="preserve">, </w:t>
      </w:r>
      <w:r w:rsidRPr="007C3B90">
        <w:rPr>
          <w:rFonts w:hint="eastAsia"/>
          <w:rtl/>
        </w:rPr>
        <w:t>היא</w:t>
      </w:r>
      <w:r w:rsidRPr="007C3B90">
        <w:rPr>
          <w:rtl/>
        </w:rPr>
        <w:t xml:space="preserve"> </w:t>
      </w:r>
      <w:r w:rsidRPr="007C3B90">
        <w:rPr>
          <w:rFonts w:hint="eastAsia"/>
          <w:rtl/>
        </w:rPr>
        <w:t>מונחית</w:t>
      </w:r>
      <w:r w:rsidRPr="007C3B90">
        <w:rPr>
          <w:rtl/>
        </w:rPr>
        <w:t xml:space="preserve"> </w:t>
      </w:r>
      <w:r w:rsidRPr="007C3B90">
        <w:rPr>
          <w:rFonts w:hint="eastAsia"/>
          <w:rtl/>
        </w:rPr>
        <w:t>על</w:t>
      </w:r>
      <w:r w:rsidRPr="007C3B90">
        <w:rPr>
          <w:rtl/>
        </w:rPr>
        <w:t>-</w:t>
      </w:r>
      <w:r w:rsidRPr="007C3B90">
        <w:rPr>
          <w:rFonts w:hint="eastAsia"/>
          <w:rtl/>
        </w:rPr>
        <w:t>פי</w:t>
      </w:r>
      <w:r w:rsidRPr="007C3B90">
        <w:rPr>
          <w:rtl/>
        </w:rPr>
        <w:t xml:space="preserve"> </w:t>
      </w:r>
      <w:r w:rsidRPr="007C3B90">
        <w:rPr>
          <w:rFonts w:hint="eastAsia"/>
          <w:rtl/>
        </w:rPr>
        <w:t>אמות</w:t>
      </w:r>
      <w:r w:rsidRPr="007C3B90">
        <w:rPr>
          <w:rtl/>
        </w:rPr>
        <w:t xml:space="preserve"> </w:t>
      </w:r>
      <w:r w:rsidRPr="007C3B90">
        <w:rPr>
          <w:rFonts w:hint="eastAsia"/>
          <w:rtl/>
        </w:rPr>
        <w:t>מידה</w:t>
      </w:r>
      <w:r w:rsidRPr="007C3B90">
        <w:rPr>
          <w:rtl/>
        </w:rPr>
        <w:t xml:space="preserve"> </w:t>
      </w:r>
      <w:r w:rsidRPr="007C3B90">
        <w:rPr>
          <w:rFonts w:hint="eastAsia"/>
          <w:rtl/>
        </w:rPr>
        <w:t>ברורות</w:t>
      </w:r>
      <w:r w:rsidRPr="007C3B90">
        <w:rPr>
          <w:rtl/>
        </w:rPr>
        <w:t xml:space="preserve">, </w:t>
      </w:r>
      <w:r w:rsidRPr="007C3B90">
        <w:rPr>
          <w:rFonts w:hint="eastAsia"/>
          <w:rtl/>
        </w:rPr>
        <w:t>שהותוו</w:t>
      </w:r>
      <w:r w:rsidRPr="007C3B90">
        <w:rPr>
          <w:rtl/>
        </w:rPr>
        <w:t xml:space="preserve"> </w:t>
      </w:r>
      <w:r w:rsidRPr="007C3B90">
        <w:rPr>
          <w:rFonts w:hint="eastAsia"/>
          <w:rtl/>
        </w:rPr>
        <w:t>בפסיקה</w:t>
      </w:r>
      <w:r w:rsidRPr="007C3B90">
        <w:rPr>
          <w:rtl/>
        </w:rPr>
        <w:t xml:space="preserve"> </w:t>
      </w:r>
      <w:r w:rsidRPr="007C3B90">
        <w:rPr>
          <w:rFonts w:hint="eastAsia"/>
          <w:rtl/>
        </w:rPr>
        <w:t>ארוכת</w:t>
      </w:r>
      <w:r w:rsidRPr="007C3B90">
        <w:rPr>
          <w:rtl/>
        </w:rPr>
        <w:t xml:space="preserve"> </w:t>
      </w:r>
      <w:r w:rsidRPr="007C3B90">
        <w:rPr>
          <w:rFonts w:hint="eastAsia"/>
          <w:rtl/>
        </w:rPr>
        <w:t>שנים</w:t>
      </w:r>
      <w:r w:rsidRPr="007C3B90">
        <w:rPr>
          <w:rFonts w:hint="cs"/>
          <w:rtl/>
        </w:rPr>
        <w:t xml:space="preserve"> </w:t>
      </w:r>
      <w:r w:rsidRPr="007C3B90">
        <w:rPr>
          <w:rtl/>
        </w:rPr>
        <w:t>–</w:t>
      </w:r>
      <w:r w:rsidRPr="007C3B90">
        <w:rPr>
          <w:rFonts w:hint="cs"/>
          <w:rtl/>
        </w:rPr>
        <w:t xml:space="preserve"> ואין בצמצום עילת הסבירות כדי לפגוע בכך</w:t>
      </w:r>
      <w:r w:rsidRPr="007C3B90">
        <w:rPr>
          <w:rtl/>
        </w:rPr>
        <w:t xml:space="preserve"> (</w:t>
      </w:r>
      <w:r w:rsidRPr="007C3B90">
        <w:rPr>
          <w:rFonts w:hint="eastAsia"/>
          <w:rtl/>
        </w:rPr>
        <w:t>וראו</w:t>
      </w:r>
      <w:r w:rsidRPr="007C3B90">
        <w:rPr>
          <w:rtl/>
        </w:rPr>
        <w:t xml:space="preserve"> </w:t>
      </w:r>
      <w:r w:rsidRPr="007C3B90">
        <w:rPr>
          <w:rFonts w:hint="eastAsia"/>
          <w:rtl/>
        </w:rPr>
        <w:t>למשל</w:t>
      </w:r>
      <w:r w:rsidRPr="007C3B90">
        <w:rPr>
          <w:rtl/>
        </w:rPr>
        <w:t xml:space="preserve"> </w:t>
      </w:r>
      <w:r w:rsidRPr="007C3B90">
        <w:rPr>
          <w:rFonts w:hint="eastAsia"/>
          <w:rtl/>
        </w:rPr>
        <w:t>את</w:t>
      </w:r>
      <w:r w:rsidRPr="007C3B90">
        <w:rPr>
          <w:rtl/>
        </w:rPr>
        <w:t xml:space="preserve"> </w:t>
      </w:r>
      <w:r w:rsidRPr="007C3B90">
        <w:rPr>
          <w:rFonts w:hint="eastAsia"/>
          <w:rtl/>
        </w:rPr>
        <w:t>השימוש</w:t>
      </w:r>
      <w:r w:rsidRPr="007C3B90">
        <w:rPr>
          <w:rtl/>
        </w:rPr>
        <w:t xml:space="preserve"> </w:t>
      </w:r>
      <w:r w:rsidRPr="007C3B90">
        <w:rPr>
          <w:rFonts w:hint="eastAsia"/>
          <w:rtl/>
        </w:rPr>
        <w:t>שעשתה</w:t>
      </w:r>
      <w:r w:rsidRPr="007C3B90">
        <w:rPr>
          <w:rtl/>
        </w:rPr>
        <w:t xml:space="preserve"> </w:t>
      </w:r>
      <w:r w:rsidRPr="007C3B90">
        <w:rPr>
          <w:rFonts w:hint="eastAsia"/>
          <w:rtl/>
        </w:rPr>
        <w:t>הנשיאה</w:t>
      </w:r>
      <w:r w:rsidRPr="007C3B90">
        <w:rPr>
          <w:rtl/>
        </w:rPr>
        <w:t xml:space="preserve"> </w:t>
      </w:r>
      <w:r w:rsidRPr="007C3B90">
        <w:rPr>
          <w:rFonts w:ascii="Century" w:hAnsi="Century" w:cs="Miriam" w:hint="eastAsia"/>
          <w:b/>
          <w:spacing w:val="0"/>
          <w:sz w:val="22"/>
          <w:szCs w:val="24"/>
          <w:rtl/>
        </w:rPr>
        <w:t>א</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חיות</w:t>
      </w:r>
      <w:r w:rsidRPr="007C3B90">
        <w:rPr>
          <w:rtl/>
        </w:rPr>
        <w:t xml:space="preserve"> </w:t>
      </w:r>
      <w:r w:rsidRPr="007C3B90">
        <w:rPr>
          <w:rFonts w:hint="eastAsia"/>
          <w:rtl/>
        </w:rPr>
        <w:t>בכלי</w:t>
      </w:r>
      <w:r w:rsidRPr="007C3B90">
        <w:rPr>
          <w:rtl/>
        </w:rPr>
        <w:t xml:space="preserve"> </w:t>
      </w:r>
      <w:r w:rsidRPr="007C3B90">
        <w:rPr>
          <w:rFonts w:hint="eastAsia"/>
          <w:rtl/>
        </w:rPr>
        <w:t>זה</w:t>
      </w:r>
      <w:r w:rsidRPr="007C3B90">
        <w:rPr>
          <w:rtl/>
        </w:rPr>
        <w:t xml:space="preserve">, </w:t>
      </w:r>
      <w:r w:rsidRPr="007C3B90">
        <w:rPr>
          <w:rFonts w:hint="eastAsia"/>
          <w:rtl/>
        </w:rPr>
        <w:t>עת</w:t>
      </w:r>
      <w:r w:rsidRPr="007C3B90">
        <w:rPr>
          <w:rtl/>
        </w:rPr>
        <w:t xml:space="preserve"> </w:t>
      </w:r>
      <w:r w:rsidRPr="007C3B90">
        <w:rPr>
          <w:rFonts w:hint="eastAsia"/>
          <w:rtl/>
        </w:rPr>
        <w:t>פירשה</w:t>
      </w:r>
      <w:r w:rsidRPr="007C3B90">
        <w:rPr>
          <w:rtl/>
        </w:rPr>
        <w:t xml:space="preserve"> </w:t>
      </w:r>
      <w:r w:rsidRPr="007C3B90">
        <w:rPr>
          <w:rFonts w:hint="eastAsia"/>
          <w:rtl/>
        </w:rPr>
        <w:t>את</w:t>
      </w:r>
      <w:r w:rsidRPr="007C3B90">
        <w:rPr>
          <w:rtl/>
        </w:rPr>
        <w:t xml:space="preserve"> </w:t>
      </w:r>
      <w:r w:rsidRPr="007C3B90">
        <w:rPr>
          <w:rFonts w:hint="eastAsia"/>
          <w:rtl/>
        </w:rPr>
        <w:t>סעיף</w:t>
      </w:r>
      <w:r w:rsidRPr="007C3B90">
        <w:rPr>
          <w:rtl/>
        </w:rPr>
        <w:t xml:space="preserve"> 30(</w:t>
      </w:r>
      <w:r w:rsidRPr="007C3B90">
        <w:rPr>
          <w:rFonts w:hint="eastAsia"/>
          <w:rtl/>
        </w:rPr>
        <w:t>ד</w:t>
      </w:r>
      <w:r w:rsidRPr="007C3B90">
        <w:rPr>
          <w:rtl/>
        </w:rPr>
        <w:t xml:space="preserve">) </w:t>
      </w:r>
      <w:r w:rsidRPr="007C3B90">
        <w:rPr>
          <w:rFonts w:hint="eastAsia"/>
          <w:rtl/>
        </w:rPr>
        <w:t>לחוק</w:t>
      </w:r>
      <w:r w:rsidRPr="007C3B90">
        <w:rPr>
          <w:rtl/>
        </w:rPr>
        <w:t>-</w:t>
      </w:r>
      <w:r w:rsidRPr="007C3B90">
        <w:rPr>
          <w:rFonts w:hint="eastAsia"/>
          <w:rtl/>
        </w:rPr>
        <w:t>יסוד</w:t>
      </w:r>
      <w:r w:rsidRPr="007C3B90">
        <w:rPr>
          <w:rtl/>
        </w:rPr>
        <w:t xml:space="preserve">: </w:t>
      </w:r>
      <w:r w:rsidRPr="007C3B90">
        <w:rPr>
          <w:rFonts w:hint="eastAsia"/>
          <w:rtl/>
        </w:rPr>
        <w:t>הממשלה</w:t>
      </w:r>
      <w:r w:rsidRPr="007C3B90">
        <w:rPr>
          <w:rtl/>
        </w:rPr>
        <w:t xml:space="preserve"> </w:t>
      </w:r>
      <w:r w:rsidRPr="007C3B90">
        <w:rPr>
          <w:rFonts w:hint="eastAsia"/>
          <w:rtl/>
        </w:rPr>
        <w:t>כך</w:t>
      </w:r>
      <w:r w:rsidRPr="007C3B90">
        <w:rPr>
          <w:rtl/>
        </w:rPr>
        <w:t xml:space="preserve"> </w:t>
      </w:r>
      <w:r w:rsidRPr="007C3B90">
        <w:rPr>
          <w:rFonts w:hint="eastAsia"/>
          <w:rtl/>
        </w:rPr>
        <w:t>שהוא</w:t>
      </w:r>
      <w:r w:rsidRPr="007C3B90">
        <w:rPr>
          <w:rtl/>
        </w:rPr>
        <w:t xml:space="preserve"> </w:t>
      </w:r>
      <w:r w:rsidRPr="007C3B90">
        <w:rPr>
          <w:rFonts w:hint="eastAsia"/>
          <w:rtl/>
        </w:rPr>
        <w:t>אוסר</w:t>
      </w:r>
      <w:r w:rsidRPr="007C3B90">
        <w:rPr>
          <w:rtl/>
        </w:rPr>
        <w:t xml:space="preserve"> </w:t>
      </w:r>
      <w:r w:rsidRPr="007C3B90">
        <w:rPr>
          <w:rFonts w:hint="eastAsia"/>
          <w:rtl/>
        </w:rPr>
        <w:t>על</w:t>
      </w:r>
      <w:r w:rsidRPr="007C3B90">
        <w:rPr>
          <w:rtl/>
        </w:rPr>
        <w:t xml:space="preserve"> </w:t>
      </w:r>
      <w:r w:rsidRPr="007C3B90">
        <w:rPr>
          <w:rFonts w:hint="eastAsia"/>
          <w:rtl/>
        </w:rPr>
        <w:t>ממשלת</w:t>
      </w:r>
      <w:r w:rsidRPr="007C3B90">
        <w:rPr>
          <w:rtl/>
        </w:rPr>
        <w:t xml:space="preserve"> </w:t>
      </w:r>
      <w:r w:rsidRPr="007C3B90">
        <w:rPr>
          <w:rFonts w:hint="eastAsia"/>
          <w:rtl/>
        </w:rPr>
        <w:t>מעבר</w:t>
      </w:r>
      <w:r w:rsidRPr="007C3B90">
        <w:rPr>
          <w:rtl/>
        </w:rPr>
        <w:t xml:space="preserve"> </w:t>
      </w:r>
      <w:r w:rsidRPr="007C3B90">
        <w:rPr>
          <w:rFonts w:hint="eastAsia"/>
          <w:rtl/>
        </w:rPr>
        <w:t>לבצע</w:t>
      </w:r>
      <w:r w:rsidRPr="007C3B90">
        <w:rPr>
          <w:rtl/>
        </w:rPr>
        <w:t xml:space="preserve"> </w:t>
      </w:r>
      <w:r w:rsidRPr="007C3B90">
        <w:rPr>
          <w:rFonts w:hint="eastAsia"/>
          <w:rtl/>
        </w:rPr>
        <w:t>שינויים</w:t>
      </w:r>
      <w:r w:rsidRPr="007C3B90">
        <w:rPr>
          <w:rtl/>
        </w:rPr>
        <w:t xml:space="preserve"> </w:t>
      </w:r>
      <w:r w:rsidRPr="007C3B90">
        <w:rPr>
          <w:rFonts w:hint="eastAsia"/>
          <w:rtl/>
        </w:rPr>
        <w:t>בהרכבה</w:t>
      </w:r>
      <w:r w:rsidRPr="007C3B90">
        <w:rPr>
          <w:rtl/>
        </w:rPr>
        <w:t xml:space="preserve"> </w:t>
      </w:r>
      <w:r w:rsidRPr="007C3B90">
        <w:rPr>
          <w:rFonts w:hint="eastAsia"/>
          <w:rtl/>
        </w:rPr>
        <w:t>מקום</w:t>
      </w:r>
      <w:r w:rsidRPr="007C3B90">
        <w:rPr>
          <w:rtl/>
        </w:rPr>
        <w:t xml:space="preserve"> </w:t>
      </w:r>
      <w:r w:rsidRPr="007C3B90">
        <w:rPr>
          <w:rFonts w:hint="eastAsia"/>
          <w:rtl/>
        </w:rPr>
        <w:t>שהדבר</w:t>
      </w:r>
      <w:r w:rsidRPr="007C3B90">
        <w:rPr>
          <w:rtl/>
        </w:rPr>
        <w:t xml:space="preserve"> </w:t>
      </w:r>
      <w:r w:rsidRPr="007C3B90">
        <w:rPr>
          <w:rFonts w:hint="eastAsia"/>
          <w:rtl/>
        </w:rPr>
        <w:t>אינו</w:t>
      </w:r>
      <w:r w:rsidRPr="007C3B90">
        <w:rPr>
          <w:rtl/>
        </w:rPr>
        <w:t xml:space="preserve"> </w:t>
      </w:r>
      <w:r w:rsidRPr="007C3B90">
        <w:rPr>
          <w:rFonts w:hint="eastAsia"/>
          <w:rtl/>
        </w:rPr>
        <w:t>דרוש</w:t>
      </w:r>
      <w:r w:rsidRPr="007C3B90">
        <w:rPr>
          <w:rtl/>
        </w:rPr>
        <w:t xml:space="preserve"> </w:t>
      </w:r>
      <w:r w:rsidRPr="007C3B90">
        <w:rPr>
          <w:rFonts w:hint="eastAsia"/>
          <w:rtl/>
        </w:rPr>
        <w:t>לשם</w:t>
      </w:r>
      <w:r w:rsidRPr="007C3B90">
        <w:rPr>
          <w:rtl/>
        </w:rPr>
        <w:t xml:space="preserve"> </w:t>
      </w:r>
      <w:r w:rsidRPr="007C3B90">
        <w:rPr>
          <w:rFonts w:hint="eastAsia"/>
          <w:rtl/>
        </w:rPr>
        <w:t>הבטחת</w:t>
      </w:r>
      <w:r w:rsidRPr="007C3B90">
        <w:rPr>
          <w:rtl/>
        </w:rPr>
        <w:t xml:space="preserve"> </w:t>
      </w:r>
      <w:r w:rsidRPr="007C3B90">
        <w:rPr>
          <w:rFonts w:hint="eastAsia"/>
          <w:rtl/>
        </w:rPr>
        <w:t>תפקודה</w:t>
      </w:r>
      <w:r w:rsidRPr="007C3B90">
        <w:rPr>
          <w:rtl/>
        </w:rPr>
        <w:t xml:space="preserve"> </w:t>
      </w:r>
      <w:r w:rsidRPr="007C3B90">
        <w:rPr>
          <w:rFonts w:hint="eastAsia"/>
          <w:rtl/>
        </w:rPr>
        <w:t>התקין</w:t>
      </w:r>
      <w:r w:rsidRPr="007C3B90">
        <w:rPr>
          <w:rtl/>
        </w:rPr>
        <w:t xml:space="preserve"> – </w:t>
      </w:r>
      <w:r w:rsidRPr="007C3B90">
        <w:rPr>
          <w:rFonts w:hint="eastAsia"/>
          <w:rtl/>
        </w:rPr>
        <w:t>עניין</w:t>
      </w:r>
      <w:r w:rsidRPr="007C3B90">
        <w:rPr>
          <w:rtl/>
        </w:rPr>
        <w:t xml:space="preserve"> </w:t>
      </w:r>
      <w:r w:rsidRPr="007C3B90">
        <w:rPr>
          <w:rFonts w:ascii="Century" w:hAnsi="Century" w:cs="Miriam" w:hint="eastAsia"/>
          <w:b/>
          <w:spacing w:val="0"/>
          <w:sz w:val="22"/>
          <w:szCs w:val="24"/>
          <w:rtl/>
        </w:rPr>
        <w:t>אור</w:t>
      </w:r>
      <w:r w:rsidRPr="007C3B90">
        <w:rPr>
          <w:rFonts w:ascii="Century" w:hAnsi="Century" w:cs="Miriam"/>
          <w:b/>
          <w:spacing w:val="0"/>
          <w:sz w:val="22"/>
          <w:szCs w:val="24"/>
          <w:rtl/>
        </w:rPr>
        <w:t>-</w:t>
      </w:r>
      <w:r w:rsidRPr="007C3B90">
        <w:rPr>
          <w:rFonts w:ascii="Century" w:hAnsi="Century" w:cs="Miriam" w:hint="eastAsia"/>
          <w:b/>
          <w:spacing w:val="0"/>
          <w:sz w:val="22"/>
          <w:szCs w:val="24"/>
          <w:rtl/>
        </w:rPr>
        <w:t>הכהן</w:t>
      </w:r>
      <w:r w:rsidRPr="007C3B90">
        <w:rPr>
          <w:rtl/>
        </w:rPr>
        <w:t xml:space="preserve">, </w:t>
      </w:r>
      <w:r w:rsidRPr="007C3B90">
        <w:rPr>
          <w:rFonts w:hint="eastAsia"/>
          <w:rtl/>
        </w:rPr>
        <w:t>בפסקה</w:t>
      </w:r>
      <w:r w:rsidRPr="007C3B90">
        <w:rPr>
          <w:rtl/>
        </w:rPr>
        <w:t xml:space="preserve"> 15; </w:t>
      </w:r>
      <w:r w:rsidRPr="007C3B90">
        <w:rPr>
          <w:rFonts w:hint="eastAsia"/>
          <w:rtl/>
        </w:rPr>
        <w:t>כן</w:t>
      </w:r>
      <w:r w:rsidRPr="007C3B90">
        <w:rPr>
          <w:rtl/>
        </w:rPr>
        <w:t xml:space="preserve"> </w:t>
      </w:r>
      <w:r w:rsidRPr="007C3B90">
        <w:rPr>
          <w:rFonts w:hint="eastAsia"/>
          <w:rtl/>
        </w:rPr>
        <w:t>ראו</w:t>
      </w:r>
      <w:r w:rsidRPr="007C3B90">
        <w:rPr>
          <w:rtl/>
        </w:rPr>
        <w:t xml:space="preserve"> </w:t>
      </w:r>
      <w:r w:rsidRPr="007C3B90">
        <w:rPr>
          <w:rFonts w:hint="eastAsia"/>
          <w:rtl/>
        </w:rPr>
        <w:t>בהקשר</w:t>
      </w:r>
      <w:r w:rsidRPr="007C3B90">
        <w:rPr>
          <w:rtl/>
        </w:rPr>
        <w:t xml:space="preserve"> </w:t>
      </w:r>
      <w:r w:rsidRPr="007C3B90">
        <w:rPr>
          <w:rFonts w:hint="eastAsia"/>
          <w:rtl/>
        </w:rPr>
        <w:t>זה</w:t>
      </w:r>
      <w:r w:rsidRPr="007C3B90">
        <w:rPr>
          <w:rFonts w:hint="cs"/>
          <w:rtl/>
        </w:rPr>
        <w:t xml:space="preserve"> ההבחנה בין "סבירות משפטית" ל"סבירות מקצועית"</w:t>
      </w:r>
      <w:r>
        <w:rPr>
          <w:rFonts w:hint="cs"/>
          <w:rtl/>
        </w:rPr>
        <w:t xml:space="preserve"> אצל</w:t>
      </w:r>
      <w:r w:rsidRPr="007C3B90">
        <w:rPr>
          <w:rtl/>
        </w:rPr>
        <w:t xml:space="preserve"> </w:t>
      </w:r>
      <w:r w:rsidRPr="007C3B90">
        <w:rPr>
          <w:rFonts w:ascii="Century" w:hAnsi="Century" w:cs="Miriam" w:hint="eastAsia"/>
          <w:b/>
          <w:spacing w:val="0"/>
          <w:sz w:val="22"/>
          <w:szCs w:val="24"/>
          <w:rtl/>
        </w:rPr>
        <w:t>מאוטנר</w:t>
      </w:r>
      <w:r w:rsidRPr="007C3B90">
        <w:rPr>
          <w:rFonts w:ascii="Century" w:hAnsi="Century"/>
          <w:sz w:val="22"/>
          <w:rtl/>
        </w:rPr>
        <w:t>,</w:t>
      </w:r>
      <w:r w:rsidRPr="007C3B90">
        <w:rPr>
          <w:rFonts w:ascii="Century" w:hAnsi="Century" w:cs="Miriam"/>
          <w:b/>
          <w:spacing w:val="0"/>
          <w:sz w:val="22"/>
          <w:szCs w:val="24"/>
          <w:rtl/>
        </w:rPr>
        <w:t xml:space="preserve"> </w:t>
      </w:r>
      <w:r w:rsidRPr="007C3B90">
        <w:rPr>
          <w:rFonts w:ascii="Century" w:hAnsi="Century" w:hint="eastAsia"/>
          <w:sz w:val="22"/>
          <w:rtl/>
        </w:rPr>
        <w:t>בעמ</w:t>
      </w:r>
      <w:r w:rsidRPr="007C3B90">
        <w:rPr>
          <w:rFonts w:ascii="Century" w:hAnsi="Century"/>
          <w:sz w:val="22"/>
          <w:rtl/>
        </w:rPr>
        <w:t>'</w:t>
      </w:r>
      <w:r w:rsidRPr="007C3B90">
        <w:rPr>
          <w:rtl/>
        </w:rPr>
        <w:t xml:space="preserve"> 413-412). </w:t>
      </w:r>
    </w:p>
    <w:p w:rsidR="00BB56BB" w:rsidRPr="007C3B90" w:rsidRDefault="00BB56BB" w:rsidP="00BB56BB">
      <w:pPr>
        <w:pStyle w:val="Ruller4"/>
        <w:numPr>
          <w:ilvl w:val="0"/>
          <w:numId w:val="0"/>
        </w:numPr>
        <w:rPr>
          <w:rtl/>
        </w:rPr>
      </w:pPr>
    </w:p>
    <w:p w:rsidR="00BB56BB" w:rsidRPr="007C3B90" w:rsidRDefault="00BB56BB" w:rsidP="00BB56BB">
      <w:pPr>
        <w:pStyle w:val="Ruller4"/>
      </w:pPr>
      <w:r w:rsidRPr="007C3B90">
        <w:rPr>
          <w:rFonts w:hint="eastAsia"/>
          <w:rtl/>
        </w:rPr>
        <w:t>דרך</w:t>
      </w:r>
      <w:r w:rsidRPr="007C3B90">
        <w:rPr>
          <w:rtl/>
        </w:rPr>
        <w:t xml:space="preserve"> </w:t>
      </w:r>
      <w:r w:rsidRPr="007C3B90">
        <w:rPr>
          <w:rFonts w:hint="eastAsia"/>
          <w:rtl/>
        </w:rPr>
        <w:t>נוספת</w:t>
      </w:r>
      <w:r w:rsidRPr="007C3B90">
        <w:rPr>
          <w:rtl/>
        </w:rPr>
        <w:t xml:space="preserve"> </w:t>
      </w:r>
      <w:r w:rsidRPr="007C3B90">
        <w:rPr>
          <w:rFonts w:hint="eastAsia"/>
          <w:rtl/>
        </w:rPr>
        <w:t>שיכולה</w:t>
      </w:r>
      <w:r w:rsidRPr="007C3B90">
        <w:rPr>
          <w:rtl/>
        </w:rPr>
        <w:t xml:space="preserve"> </w:t>
      </w:r>
      <w:r w:rsidRPr="007C3B90">
        <w:rPr>
          <w:rFonts w:hint="eastAsia"/>
          <w:rtl/>
        </w:rPr>
        <w:t>לסייע</w:t>
      </w:r>
      <w:r w:rsidRPr="007C3B90">
        <w:rPr>
          <w:rtl/>
        </w:rPr>
        <w:t xml:space="preserve"> </w:t>
      </w:r>
      <w:r w:rsidRPr="007C3B90">
        <w:rPr>
          <w:rFonts w:hint="eastAsia"/>
          <w:rtl/>
        </w:rPr>
        <w:t>ביד</w:t>
      </w:r>
      <w:r w:rsidRPr="007C3B90">
        <w:rPr>
          <w:rFonts w:hint="cs"/>
          <w:rtl/>
        </w:rPr>
        <w:t>י</w:t>
      </w:r>
      <w:r w:rsidRPr="007C3B90">
        <w:rPr>
          <w:rFonts w:hint="eastAsia"/>
          <w:rtl/>
        </w:rPr>
        <w:t>נו</w:t>
      </w:r>
      <w:r w:rsidRPr="007C3B90">
        <w:rPr>
          <w:rtl/>
        </w:rPr>
        <w:t xml:space="preserve"> </w:t>
      </w:r>
      <w:r w:rsidRPr="007C3B90">
        <w:rPr>
          <w:rFonts w:hint="eastAsia"/>
          <w:rtl/>
        </w:rPr>
        <w:t>בביקורת</w:t>
      </w:r>
      <w:r w:rsidRPr="007C3B90">
        <w:rPr>
          <w:rtl/>
        </w:rPr>
        <w:t xml:space="preserve"> </w:t>
      </w:r>
      <w:r w:rsidRPr="007C3B90">
        <w:rPr>
          <w:rFonts w:hint="eastAsia"/>
          <w:rtl/>
        </w:rPr>
        <w:t>שיפוטית</w:t>
      </w:r>
      <w:r w:rsidRPr="007C3B90">
        <w:rPr>
          <w:rtl/>
        </w:rPr>
        <w:t xml:space="preserve"> </w:t>
      </w:r>
      <w:r w:rsidRPr="007C3B90">
        <w:rPr>
          <w:rFonts w:hint="eastAsia"/>
          <w:rtl/>
        </w:rPr>
        <w:t>על</w:t>
      </w:r>
      <w:r w:rsidRPr="007C3B90">
        <w:rPr>
          <w:rtl/>
        </w:rPr>
        <w:t xml:space="preserve"> </w:t>
      </w:r>
      <w:r w:rsidRPr="007C3B90">
        <w:rPr>
          <w:rFonts w:hint="eastAsia"/>
          <w:rtl/>
        </w:rPr>
        <w:t>החלטות</w:t>
      </w:r>
      <w:r w:rsidRPr="007C3B90">
        <w:rPr>
          <w:rtl/>
        </w:rPr>
        <w:t xml:space="preserve"> </w:t>
      </w:r>
      <w:r w:rsidRPr="007C3B90">
        <w:rPr>
          <w:rFonts w:hint="eastAsia"/>
          <w:rtl/>
        </w:rPr>
        <w:t>מינהליות</w:t>
      </w:r>
      <w:r w:rsidRPr="007C3B90">
        <w:rPr>
          <w:rtl/>
        </w:rPr>
        <w:t xml:space="preserve">, </w:t>
      </w:r>
      <w:r w:rsidRPr="007C3B90">
        <w:rPr>
          <w:rFonts w:hint="eastAsia"/>
          <w:rtl/>
        </w:rPr>
        <w:t>כפי</w:t>
      </w:r>
      <w:r w:rsidRPr="007C3B90">
        <w:rPr>
          <w:rtl/>
        </w:rPr>
        <w:t xml:space="preserve"> </w:t>
      </w:r>
      <w:r w:rsidRPr="007C3B90">
        <w:rPr>
          <w:rFonts w:hint="eastAsia"/>
          <w:rtl/>
        </w:rPr>
        <w:t>שציינה</w:t>
      </w:r>
      <w:r w:rsidRPr="007C3B90">
        <w:rPr>
          <w:rtl/>
        </w:rPr>
        <w:t xml:space="preserve"> </w:t>
      </w:r>
      <w:r w:rsidRPr="007C3B90">
        <w:rPr>
          <w:rFonts w:hint="eastAsia"/>
          <w:rtl/>
        </w:rPr>
        <w:t>חברתי</w:t>
      </w:r>
      <w:r w:rsidRPr="007C3B90">
        <w:rPr>
          <w:rtl/>
        </w:rPr>
        <w:t xml:space="preserve"> </w:t>
      </w:r>
      <w:r w:rsidRPr="007C3B90">
        <w:rPr>
          <w:rFonts w:hint="eastAsia"/>
          <w:rtl/>
        </w:rPr>
        <w:t>השופטת</w:t>
      </w:r>
      <w:r w:rsidRPr="007C3B90">
        <w:rPr>
          <w:rtl/>
        </w:rPr>
        <w:t xml:space="preserve"> </w:t>
      </w:r>
      <w:r w:rsidRPr="007C3B90">
        <w:rPr>
          <w:rFonts w:ascii="Century" w:hAnsi="Century" w:cs="Miriam" w:hint="eastAsia"/>
          <w:b/>
          <w:spacing w:val="0"/>
          <w:sz w:val="22"/>
          <w:szCs w:val="24"/>
          <w:rtl/>
        </w:rPr>
        <w:t>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וילנר</w:t>
      </w:r>
      <w:r w:rsidRPr="007C3B90">
        <w:rPr>
          <w:rtl/>
        </w:rPr>
        <w:t xml:space="preserve">, </w:t>
      </w:r>
      <w:r w:rsidRPr="007C3B90">
        <w:rPr>
          <w:rFonts w:hint="cs"/>
          <w:rtl/>
        </w:rPr>
        <w:t>מצויה ב</w:t>
      </w:r>
      <w:r w:rsidRPr="007C3B90">
        <w:rPr>
          <w:rFonts w:hint="eastAsia"/>
          <w:rtl/>
        </w:rPr>
        <w:t>פיתוח</w:t>
      </w:r>
      <w:r w:rsidRPr="007C3B90">
        <w:rPr>
          <w:rtl/>
        </w:rPr>
        <w:t xml:space="preserve"> </w:t>
      </w:r>
      <w:r w:rsidRPr="007C3B90">
        <w:rPr>
          <w:rFonts w:hint="eastAsia"/>
          <w:rtl/>
        </w:rPr>
        <w:t>פרשני</w:t>
      </w:r>
      <w:r w:rsidRPr="007C3B90">
        <w:rPr>
          <w:rtl/>
        </w:rPr>
        <w:t xml:space="preserve"> </w:t>
      </w:r>
      <w:r w:rsidRPr="007C3B90">
        <w:rPr>
          <w:rFonts w:hint="eastAsia"/>
          <w:rtl/>
        </w:rPr>
        <w:t>של</w:t>
      </w:r>
      <w:r w:rsidRPr="007C3B90">
        <w:rPr>
          <w:rtl/>
        </w:rPr>
        <w:t xml:space="preserve"> </w:t>
      </w:r>
      <w:r w:rsidRPr="007C3B90">
        <w:rPr>
          <w:rFonts w:hint="eastAsia"/>
          <w:rtl/>
        </w:rPr>
        <w:t>עילות</w:t>
      </w:r>
      <w:r w:rsidRPr="007C3B90">
        <w:rPr>
          <w:rtl/>
        </w:rPr>
        <w:t xml:space="preserve"> </w:t>
      </w:r>
      <w:r w:rsidRPr="007C3B90">
        <w:rPr>
          <w:rFonts w:hint="eastAsia"/>
          <w:rtl/>
        </w:rPr>
        <w:t>ביקורת</w:t>
      </w:r>
      <w:r w:rsidRPr="007C3B90">
        <w:rPr>
          <w:rtl/>
        </w:rPr>
        <w:t xml:space="preserve"> </w:t>
      </w:r>
      <w:r w:rsidRPr="007C3B90">
        <w:rPr>
          <w:rFonts w:hint="eastAsia"/>
          <w:rtl/>
        </w:rPr>
        <w:t>קיימות</w:t>
      </w:r>
      <w:r w:rsidRPr="007C3B90">
        <w:rPr>
          <w:rtl/>
        </w:rPr>
        <w:t xml:space="preserve"> (</w:t>
      </w:r>
      <w:r w:rsidRPr="007C3B90">
        <w:rPr>
          <w:rFonts w:hint="eastAsia"/>
          <w:rtl/>
        </w:rPr>
        <w:t>וראו</w:t>
      </w:r>
      <w:r w:rsidRPr="007C3B90">
        <w:rPr>
          <w:rtl/>
        </w:rPr>
        <w:t xml:space="preserve"> </w:t>
      </w:r>
      <w:r w:rsidRPr="007C3B90">
        <w:rPr>
          <w:rFonts w:hint="eastAsia"/>
          <w:rtl/>
        </w:rPr>
        <w:t>למשל</w:t>
      </w:r>
      <w:r w:rsidRPr="007C3B90">
        <w:rPr>
          <w:rtl/>
        </w:rPr>
        <w:t xml:space="preserve"> </w:t>
      </w:r>
      <w:r w:rsidRPr="007C3B90">
        <w:rPr>
          <w:rFonts w:hint="eastAsia"/>
          <w:rtl/>
        </w:rPr>
        <w:t>את</w:t>
      </w:r>
      <w:r w:rsidRPr="007C3B90">
        <w:rPr>
          <w:rtl/>
        </w:rPr>
        <w:t xml:space="preserve"> </w:t>
      </w:r>
      <w:r w:rsidRPr="007C3B90">
        <w:rPr>
          <w:rFonts w:hint="eastAsia"/>
          <w:rtl/>
        </w:rPr>
        <w:t>האפשרויות</w:t>
      </w:r>
      <w:r w:rsidRPr="007C3B90">
        <w:rPr>
          <w:rtl/>
        </w:rPr>
        <w:t xml:space="preserve"> </w:t>
      </w:r>
      <w:r w:rsidRPr="007C3B90">
        <w:rPr>
          <w:rFonts w:hint="eastAsia"/>
          <w:rtl/>
        </w:rPr>
        <w:t>המוזכרות</w:t>
      </w:r>
      <w:r w:rsidRPr="007C3B90">
        <w:rPr>
          <w:rtl/>
        </w:rPr>
        <w:t xml:space="preserve"> </w:t>
      </w:r>
      <w:r w:rsidRPr="007C3B90">
        <w:rPr>
          <w:rFonts w:hint="eastAsia"/>
          <w:rtl/>
        </w:rPr>
        <w:t>בעמ</w:t>
      </w:r>
      <w:r w:rsidRPr="007C3B90">
        <w:rPr>
          <w:rtl/>
        </w:rPr>
        <w:t xml:space="preserve">' 105 </w:t>
      </w:r>
      <w:r w:rsidRPr="007C3B90">
        <w:rPr>
          <w:rFonts w:hint="eastAsia"/>
          <w:rtl/>
        </w:rPr>
        <w:t>ו</w:t>
      </w:r>
      <w:r w:rsidRPr="007C3B90">
        <w:rPr>
          <w:rtl/>
        </w:rPr>
        <w:t xml:space="preserve">-113-111 </w:t>
      </w:r>
      <w:r w:rsidRPr="007C3B90">
        <w:rPr>
          <w:rFonts w:hint="eastAsia"/>
          <w:rtl/>
        </w:rPr>
        <w:t>לתשובת</w:t>
      </w:r>
      <w:r w:rsidRPr="007C3B90">
        <w:rPr>
          <w:rtl/>
        </w:rPr>
        <w:t xml:space="preserve"> </w:t>
      </w:r>
      <w:r w:rsidRPr="007C3B90">
        <w:rPr>
          <w:rFonts w:hint="eastAsia"/>
          <w:rtl/>
        </w:rPr>
        <w:t>הכנסת</w:t>
      </w:r>
      <w:r w:rsidRPr="007C3B90">
        <w:rPr>
          <w:rtl/>
        </w:rPr>
        <w:t xml:space="preserve"> </w:t>
      </w:r>
      <w:r w:rsidRPr="007C3B90">
        <w:rPr>
          <w:rFonts w:hint="eastAsia"/>
          <w:rtl/>
        </w:rPr>
        <w:t>לעתירות</w:t>
      </w:r>
      <w:r w:rsidRPr="007C3B90">
        <w:rPr>
          <w:rtl/>
        </w:rPr>
        <w:t xml:space="preserve">). </w:t>
      </w:r>
      <w:r w:rsidRPr="007C3B90">
        <w:rPr>
          <w:rFonts w:hint="eastAsia"/>
          <w:rtl/>
        </w:rPr>
        <w:t>כן</w:t>
      </w:r>
      <w:r w:rsidRPr="007C3B90">
        <w:rPr>
          <w:rtl/>
        </w:rPr>
        <w:t xml:space="preserve"> </w:t>
      </w:r>
      <w:r w:rsidRPr="007C3B90">
        <w:rPr>
          <w:rFonts w:hint="eastAsia"/>
          <w:rtl/>
        </w:rPr>
        <w:t>ניתן</w:t>
      </w:r>
      <w:r w:rsidRPr="007C3B90">
        <w:rPr>
          <w:rtl/>
        </w:rPr>
        <w:t xml:space="preserve"> </w:t>
      </w:r>
      <w:r w:rsidRPr="007C3B90">
        <w:rPr>
          <w:rFonts w:hint="eastAsia"/>
          <w:rtl/>
        </w:rPr>
        <w:t>יהיה</w:t>
      </w:r>
      <w:r w:rsidRPr="007C3B90">
        <w:rPr>
          <w:rFonts w:hint="cs"/>
          <w:rtl/>
        </w:rPr>
        <w:t xml:space="preserve"> </w:t>
      </w:r>
      <w:r w:rsidRPr="007C3B90">
        <w:rPr>
          <w:rFonts w:hint="eastAsia"/>
          <w:rtl/>
        </w:rPr>
        <w:t>לעשות</w:t>
      </w:r>
      <w:r w:rsidRPr="007C3B90">
        <w:rPr>
          <w:rtl/>
        </w:rPr>
        <w:t xml:space="preserve"> </w:t>
      </w:r>
      <w:r w:rsidRPr="007C3B90">
        <w:rPr>
          <w:rFonts w:hint="eastAsia"/>
          <w:rtl/>
        </w:rPr>
        <w:t>שימוש</w:t>
      </w:r>
      <w:r w:rsidRPr="007C3B90">
        <w:rPr>
          <w:rtl/>
        </w:rPr>
        <w:t xml:space="preserve">, </w:t>
      </w:r>
      <w:r w:rsidRPr="007C3B90">
        <w:rPr>
          <w:rFonts w:hint="eastAsia"/>
          <w:rtl/>
        </w:rPr>
        <w:t>במקרים</w:t>
      </w:r>
      <w:r w:rsidRPr="007C3B90">
        <w:rPr>
          <w:rtl/>
        </w:rPr>
        <w:t xml:space="preserve"> </w:t>
      </w:r>
      <w:r w:rsidRPr="007C3B90">
        <w:rPr>
          <w:rFonts w:hint="eastAsia"/>
          <w:rtl/>
        </w:rPr>
        <w:t>המתאימים</w:t>
      </w:r>
      <w:r w:rsidRPr="007C3B90">
        <w:rPr>
          <w:rtl/>
        </w:rPr>
        <w:t xml:space="preserve"> </w:t>
      </w:r>
      <w:r w:rsidRPr="007C3B90">
        <w:rPr>
          <w:rFonts w:hint="eastAsia"/>
          <w:rtl/>
        </w:rPr>
        <w:t>לכך</w:t>
      </w:r>
      <w:r w:rsidRPr="007C3B90">
        <w:rPr>
          <w:rtl/>
        </w:rPr>
        <w:t xml:space="preserve">, </w:t>
      </w:r>
      <w:r w:rsidRPr="007C3B90">
        <w:rPr>
          <w:rFonts w:hint="eastAsia"/>
          <w:rtl/>
        </w:rPr>
        <w:t>בעילת</w:t>
      </w:r>
      <w:r w:rsidRPr="007C3B90">
        <w:rPr>
          <w:rtl/>
        </w:rPr>
        <w:t xml:space="preserve"> </w:t>
      </w:r>
      <w:r w:rsidRPr="007C3B90">
        <w:rPr>
          <w:rFonts w:hint="eastAsia"/>
          <w:rtl/>
        </w:rPr>
        <w:t>הסבירות</w:t>
      </w:r>
      <w:r w:rsidRPr="007C3B90">
        <w:rPr>
          <w:rtl/>
        </w:rPr>
        <w:t xml:space="preserve"> </w:t>
      </w:r>
      <w:r w:rsidRPr="007C3B90">
        <w:rPr>
          <w:rFonts w:hint="eastAsia"/>
          <w:rtl/>
        </w:rPr>
        <w:t>הצרה</w:t>
      </w:r>
      <w:r w:rsidRPr="007C3B90">
        <w:rPr>
          <w:rtl/>
        </w:rPr>
        <w:t xml:space="preserve">, </w:t>
      </w:r>
      <w:r w:rsidRPr="007C3B90">
        <w:rPr>
          <w:rFonts w:hint="eastAsia"/>
          <w:rtl/>
        </w:rPr>
        <w:t>תוך</w:t>
      </w:r>
      <w:r w:rsidRPr="007C3B90">
        <w:rPr>
          <w:rtl/>
        </w:rPr>
        <w:t xml:space="preserve"> </w:t>
      </w:r>
      <w:r w:rsidRPr="007C3B90">
        <w:rPr>
          <w:rFonts w:hint="eastAsia"/>
          <w:rtl/>
        </w:rPr>
        <w:t>פיתוח</w:t>
      </w:r>
      <w:r w:rsidRPr="007C3B90">
        <w:rPr>
          <w:rtl/>
        </w:rPr>
        <w:t xml:space="preserve"> </w:t>
      </w:r>
      <w:r w:rsidRPr="007C3B90">
        <w:rPr>
          <w:rFonts w:hint="eastAsia"/>
          <w:rtl/>
        </w:rPr>
        <w:t>אמות</w:t>
      </w:r>
      <w:r w:rsidRPr="007C3B90">
        <w:rPr>
          <w:rtl/>
        </w:rPr>
        <w:t xml:space="preserve"> </w:t>
      </w:r>
      <w:r w:rsidRPr="007C3B90">
        <w:rPr>
          <w:rFonts w:hint="eastAsia"/>
          <w:rtl/>
        </w:rPr>
        <w:t>מידה</w:t>
      </w:r>
      <w:r w:rsidRPr="007C3B90">
        <w:rPr>
          <w:rtl/>
        </w:rPr>
        <w:t xml:space="preserve"> </w:t>
      </w:r>
      <w:r w:rsidRPr="007C3B90">
        <w:rPr>
          <w:rFonts w:hint="eastAsia"/>
          <w:rtl/>
        </w:rPr>
        <w:t>להפעלתה</w:t>
      </w:r>
      <w:r w:rsidRPr="007C3B90">
        <w:rPr>
          <w:rtl/>
        </w:rPr>
        <w:t xml:space="preserve">. </w:t>
      </w:r>
      <w:r w:rsidRPr="007C3B90">
        <w:rPr>
          <w:rFonts w:hint="eastAsia"/>
          <w:rtl/>
        </w:rPr>
        <w:t>קשה</w:t>
      </w:r>
      <w:r w:rsidRPr="007C3B90">
        <w:rPr>
          <w:rtl/>
        </w:rPr>
        <w:t xml:space="preserve"> </w:t>
      </w:r>
      <w:r w:rsidRPr="007C3B90">
        <w:rPr>
          <w:rFonts w:hint="eastAsia"/>
          <w:rtl/>
        </w:rPr>
        <w:t>לצפות</w:t>
      </w:r>
      <w:r w:rsidRPr="007C3B90">
        <w:rPr>
          <w:rtl/>
        </w:rPr>
        <w:t xml:space="preserve"> </w:t>
      </w:r>
      <w:r w:rsidRPr="007C3B90">
        <w:rPr>
          <w:rFonts w:hint="eastAsia"/>
          <w:rtl/>
        </w:rPr>
        <w:t>כיצד</w:t>
      </w:r>
      <w:r w:rsidRPr="007C3B90">
        <w:rPr>
          <w:rtl/>
        </w:rPr>
        <w:t xml:space="preserve"> </w:t>
      </w:r>
      <w:r w:rsidRPr="007C3B90">
        <w:rPr>
          <w:rFonts w:hint="eastAsia"/>
          <w:rtl/>
        </w:rPr>
        <w:t>יתפתח</w:t>
      </w:r>
      <w:r w:rsidRPr="007C3B90">
        <w:rPr>
          <w:rtl/>
        </w:rPr>
        <w:t xml:space="preserve"> </w:t>
      </w:r>
      <w:r w:rsidRPr="007C3B90">
        <w:rPr>
          <w:rFonts w:hint="eastAsia"/>
          <w:rtl/>
        </w:rPr>
        <w:t>הדין</w:t>
      </w:r>
      <w:r w:rsidRPr="007C3B90">
        <w:rPr>
          <w:rtl/>
        </w:rPr>
        <w:t xml:space="preserve">, </w:t>
      </w:r>
      <w:r w:rsidRPr="007C3B90">
        <w:rPr>
          <w:rFonts w:hint="eastAsia"/>
          <w:rtl/>
        </w:rPr>
        <w:t>ומובן</w:t>
      </w:r>
      <w:r w:rsidRPr="007C3B90">
        <w:rPr>
          <w:rtl/>
        </w:rPr>
        <w:t xml:space="preserve"> </w:t>
      </w:r>
      <w:r w:rsidRPr="007C3B90">
        <w:rPr>
          <w:rFonts w:hint="eastAsia"/>
          <w:rtl/>
        </w:rPr>
        <w:t>כי</w:t>
      </w:r>
      <w:r w:rsidRPr="007C3B90">
        <w:rPr>
          <w:rtl/>
        </w:rPr>
        <w:t xml:space="preserve"> </w:t>
      </w:r>
      <w:r w:rsidRPr="007C3B90">
        <w:rPr>
          <w:rFonts w:hint="eastAsia"/>
          <w:rtl/>
        </w:rPr>
        <w:t>השימוש</w:t>
      </w:r>
      <w:r w:rsidRPr="007C3B90">
        <w:rPr>
          <w:rtl/>
        </w:rPr>
        <w:t xml:space="preserve"> </w:t>
      </w:r>
      <w:r w:rsidRPr="007C3B90">
        <w:rPr>
          <w:rFonts w:hint="eastAsia"/>
          <w:rtl/>
        </w:rPr>
        <w:t>בכלים</w:t>
      </w:r>
      <w:r w:rsidRPr="007C3B90">
        <w:rPr>
          <w:rtl/>
        </w:rPr>
        <w:t xml:space="preserve"> </w:t>
      </w:r>
      <w:r w:rsidRPr="007C3B90">
        <w:rPr>
          <w:rFonts w:hint="eastAsia"/>
          <w:rtl/>
        </w:rPr>
        <w:t>אלה</w:t>
      </w:r>
      <w:r w:rsidRPr="007C3B90">
        <w:rPr>
          <w:rtl/>
        </w:rPr>
        <w:t xml:space="preserve">, </w:t>
      </w:r>
      <w:r w:rsidRPr="007C3B90">
        <w:rPr>
          <w:rFonts w:hint="eastAsia"/>
          <w:rtl/>
        </w:rPr>
        <w:t>ככל</w:t>
      </w:r>
      <w:r w:rsidRPr="007C3B90">
        <w:rPr>
          <w:rtl/>
        </w:rPr>
        <w:t xml:space="preserve"> </w:t>
      </w:r>
      <w:r w:rsidRPr="007C3B90">
        <w:rPr>
          <w:rFonts w:hint="eastAsia"/>
          <w:rtl/>
        </w:rPr>
        <w:t>שייעשה</w:t>
      </w:r>
      <w:r w:rsidRPr="007C3B90">
        <w:rPr>
          <w:rtl/>
        </w:rPr>
        <w:t xml:space="preserve">, </w:t>
      </w:r>
      <w:r w:rsidRPr="007C3B90">
        <w:rPr>
          <w:rFonts w:hint="eastAsia"/>
          <w:rtl/>
        </w:rPr>
        <w:t>צריך</w:t>
      </w:r>
      <w:r w:rsidRPr="007C3B90">
        <w:rPr>
          <w:rtl/>
        </w:rPr>
        <w:t xml:space="preserve"> </w:t>
      </w:r>
      <w:r w:rsidRPr="007C3B90">
        <w:rPr>
          <w:rFonts w:hint="eastAsia"/>
          <w:rtl/>
        </w:rPr>
        <w:t>להיות</w:t>
      </w:r>
      <w:r w:rsidRPr="007C3B90">
        <w:rPr>
          <w:rtl/>
        </w:rPr>
        <w:t xml:space="preserve"> </w:t>
      </w:r>
      <w:r w:rsidRPr="007C3B90">
        <w:rPr>
          <w:rFonts w:hint="eastAsia"/>
          <w:rtl/>
        </w:rPr>
        <w:t>זהיר</w:t>
      </w:r>
      <w:r w:rsidRPr="007C3B90">
        <w:rPr>
          <w:rtl/>
        </w:rPr>
        <w:t xml:space="preserve"> </w:t>
      </w:r>
      <w:r w:rsidRPr="007C3B90">
        <w:rPr>
          <w:rFonts w:hint="eastAsia"/>
          <w:rtl/>
        </w:rPr>
        <w:t>ומותאם</w:t>
      </w:r>
      <w:r w:rsidRPr="007C3B90">
        <w:rPr>
          <w:rtl/>
        </w:rPr>
        <w:t xml:space="preserve"> </w:t>
      </w:r>
      <w:r w:rsidRPr="007C3B90">
        <w:rPr>
          <w:rFonts w:hint="eastAsia"/>
          <w:rtl/>
        </w:rPr>
        <w:t>לנסיבות</w:t>
      </w:r>
      <w:r w:rsidRPr="007C3B90">
        <w:rPr>
          <w:rtl/>
        </w:rPr>
        <w:t xml:space="preserve">. </w:t>
      </w:r>
      <w:r w:rsidRPr="007C3B90">
        <w:rPr>
          <w:rFonts w:hint="eastAsia"/>
          <w:rtl/>
        </w:rPr>
        <w:t>מכל</w:t>
      </w:r>
      <w:r w:rsidRPr="007C3B90">
        <w:rPr>
          <w:rtl/>
        </w:rPr>
        <w:t xml:space="preserve"> </w:t>
      </w:r>
      <w:r w:rsidRPr="007C3B90">
        <w:rPr>
          <w:rFonts w:hint="eastAsia"/>
          <w:rtl/>
        </w:rPr>
        <w:t>מקום</w:t>
      </w:r>
      <w:r w:rsidRPr="007C3B90">
        <w:rPr>
          <w:rtl/>
        </w:rPr>
        <w:t xml:space="preserve">, </w:t>
      </w:r>
      <w:r w:rsidRPr="007C3B90">
        <w:rPr>
          <w:rFonts w:hint="eastAsia"/>
          <w:rtl/>
        </w:rPr>
        <w:t>הניסיון</w:t>
      </w:r>
      <w:r w:rsidRPr="007C3B90">
        <w:rPr>
          <w:rtl/>
        </w:rPr>
        <w:t xml:space="preserve"> </w:t>
      </w:r>
      <w:r w:rsidRPr="007C3B90">
        <w:rPr>
          <w:rFonts w:hint="eastAsia"/>
          <w:rtl/>
        </w:rPr>
        <w:t>השיפוטי</w:t>
      </w:r>
      <w:r w:rsidRPr="007C3B90">
        <w:rPr>
          <w:rtl/>
        </w:rPr>
        <w:t xml:space="preserve"> </w:t>
      </w:r>
      <w:r w:rsidRPr="007C3B90">
        <w:rPr>
          <w:rFonts w:hint="eastAsia"/>
          <w:rtl/>
        </w:rPr>
        <w:t>מלמדנו</w:t>
      </w:r>
      <w:r w:rsidRPr="007C3B90">
        <w:rPr>
          <w:rtl/>
        </w:rPr>
        <w:t xml:space="preserve"> </w:t>
      </w:r>
      <w:r w:rsidRPr="007C3B90">
        <w:rPr>
          <w:rFonts w:hint="eastAsia"/>
          <w:rtl/>
        </w:rPr>
        <w:t>כי</w:t>
      </w:r>
      <w:r w:rsidRPr="007C3B90">
        <w:rPr>
          <w:rtl/>
        </w:rPr>
        <w:t xml:space="preserve"> </w:t>
      </w:r>
      <w:r w:rsidRPr="007C3B90">
        <w:rPr>
          <w:rFonts w:hint="eastAsia"/>
          <w:rtl/>
        </w:rPr>
        <w:t>גם</w:t>
      </w:r>
      <w:r w:rsidRPr="007C3B90">
        <w:rPr>
          <w:rtl/>
        </w:rPr>
        <w:t xml:space="preserve"> </w:t>
      </w:r>
      <w:r w:rsidRPr="007C3B90">
        <w:rPr>
          <w:rFonts w:hint="eastAsia"/>
          <w:rtl/>
        </w:rPr>
        <w:t>במקרים</w:t>
      </w:r>
      <w:r w:rsidRPr="007C3B90">
        <w:rPr>
          <w:rtl/>
        </w:rPr>
        <w:t xml:space="preserve"> </w:t>
      </w:r>
      <w:r w:rsidRPr="007C3B90">
        <w:rPr>
          <w:rFonts w:hint="eastAsia"/>
          <w:rtl/>
        </w:rPr>
        <w:t>מורכבים</w:t>
      </w:r>
      <w:r w:rsidRPr="007C3B90">
        <w:rPr>
          <w:rtl/>
        </w:rPr>
        <w:t xml:space="preserve">, </w:t>
      </w:r>
      <w:r w:rsidRPr="007C3B90">
        <w:rPr>
          <w:rFonts w:hint="eastAsia"/>
          <w:rtl/>
        </w:rPr>
        <w:t>מוצא</w:t>
      </w:r>
      <w:r w:rsidRPr="007C3B90">
        <w:rPr>
          <w:rtl/>
        </w:rPr>
        <w:t xml:space="preserve"> </w:t>
      </w:r>
      <w:r w:rsidRPr="007C3B90">
        <w:rPr>
          <w:rFonts w:hint="eastAsia"/>
          <w:rtl/>
        </w:rPr>
        <w:t>בית</w:t>
      </w:r>
      <w:r w:rsidRPr="007C3B90">
        <w:rPr>
          <w:rtl/>
        </w:rPr>
        <w:t xml:space="preserve"> </w:t>
      </w:r>
      <w:r w:rsidRPr="007C3B90">
        <w:rPr>
          <w:rFonts w:hint="eastAsia"/>
          <w:rtl/>
        </w:rPr>
        <w:t>המשפט</w:t>
      </w:r>
      <w:r w:rsidRPr="007C3B90">
        <w:rPr>
          <w:rtl/>
        </w:rPr>
        <w:t xml:space="preserve"> </w:t>
      </w:r>
      <w:r w:rsidRPr="007C3B90">
        <w:rPr>
          <w:rFonts w:hint="eastAsia"/>
          <w:rtl/>
        </w:rPr>
        <w:t>את</w:t>
      </w:r>
      <w:r w:rsidRPr="007C3B90">
        <w:rPr>
          <w:rtl/>
        </w:rPr>
        <w:t xml:space="preserve"> </w:t>
      </w:r>
      <w:r w:rsidRPr="007C3B90">
        <w:rPr>
          <w:rFonts w:hint="eastAsia"/>
          <w:rtl/>
        </w:rPr>
        <w:t>הדרך</w:t>
      </w:r>
      <w:r w:rsidRPr="007C3B90">
        <w:rPr>
          <w:rtl/>
        </w:rPr>
        <w:t xml:space="preserve"> </w:t>
      </w:r>
      <w:r w:rsidRPr="007C3B90">
        <w:rPr>
          <w:rFonts w:hint="eastAsia"/>
          <w:rtl/>
        </w:rPr>
        <w:t>להעניק</w:t>
      </w:r>
      <w:r w:rsidRPr="007C3B90">
        <w:rPr>
          <w:rtl/>
        </w:rPr>
        <w:t xml:space="preserve"> </w:t>
      </w:r>
      <w:r w:rsidRPr="007C3B90">
        <w:rPr>
          <w:rFonts w:hint="eastAsia"/>
          <w:rtl/>
        </w:rPr>
        <w:t>לפונים</w:t>
      </w:r>
      <w:r w:rsidRPr="007C3B90">
        <w:rPr>
          <w:rtl/>
        </w:rPr>
        <w:t xml:space="preserve"> </w:t>
      </w:r>
      <w:r w:rsidRPr="007C3B90">
        <w:rPr>
          <w:rFonts w:hint="eastAsia"/>
          <w:rtl/>
        </w:rPr>
        <w:t>אליו</w:t>
      </w:r>
      <w:r w:rsidRPr="007C3B90">
        <w:rPr>
          <w:rtl/>
        </w:rPr>
        <w:t xml:space="preserve"> </w:t>
      </w:r>
      <w:r w:rsidRPr="007C3B90">
        <w:rPr>
          <w:rFonts w:hint="eastAsia"/>
          <w:rtl/>
        </w:rPr>
        <w:t>סעד</w:t>
      </w:r>
      <w:r w:rsidRPr="007C3B90">
        <w:rPr>
          <w:rtl/>
        </w:rPr>
        <w:t xml:space="preserve"> </w:t>
      </w:r>
      <w:r w:rsidRPr="007C3B90">
        <w:rPr>
          <w:rFonts w:hint="eastAsia"/>
          <w:rtl/>
        </w:rPr>
        <w:t>מכוח</w:t>
      </w:r>
      <w:r w:rsidRPr="007C3B90">
        <w:rPr>
          <w:rtl/>
        </w:rPr>
        <w:t xml:space="preserve"> </w:t>
      </w:r>
      <w:r w:rsidRPr="007C3B90">
        <w:rPr>
          <w:rFonts w:hint="eastAsia"/>
          <w:rtl/>
        </w:rPr>
        <w:t>הדין</w:t>
      </w:r>
      <w:r w:rsidRPr="007C3B90">
        <w:rPr>
          <w:rtl/>
        </w:rPr>
        <w:t xml:space="preserve">, </w:t>
      </w:r>
      <w:r w:rsidRPr="007C3B90">
        <w:rPr>
          <w:rFonts w:hint="eastAsia"/>
          <w:rtl/>
        </w:rPr>
        <w:t>ככל</w:t>
      </w:r>
      <w:r w:rsidRPr="007C3B90">
        <w:rPr>
          <w:rtl/>
        </w:rPr>
        <w:t xml:space="preserve"> </w:t>
      </w:r>
      <w:r w:rsidRPr="007C3B90">
        <w:rPr>
          <w:rFonts w:hint="eastAsia"/>
          <w:rtl/>
        </w:rPr>
        <w:t>שהדבר</w:t>
      </w:r>
      <w:r w:rsidRPr="007C3B90">
        <w:rPr>
          <w:rtl/>
        </w:rPr>
        <w:t xml:space="preserve"> </w:t>
      </w:r>
      <w:r w:rsidRPr="007C3B90">
        <w:rPr>
          <w:rFonts w:hint="eastAsia"/>
          <w:rtl/>
        </w:rPr>
        <w:t>נדרש</w:t>
      </w:r>
      <w:r w:rsidRPr="007C3B90">
        <w:rPr>
          <w:rtl/>
        </w:rPr>
        <w:t xml:space="preserve"> </w:t>
      </w:r>
      <w:r w:rsidRPr="007C3B90">
        <w:rPr>
          <w:rFonts w:hint="eastAsia"/>
          <w:rtl/>
        </w:rPr>
        <w:t>ומתבקש</w:t>
      </w:r>
      <w:r w:rsidRPr="007C3B90">
        <w:rPr>
          <w:rtl/>
        </w:rPr>
        <w:t xml:space="preserve"> </w:t>
      </w:r>
      <w:r w:rsidRPr="007C3B90">
        <w:rPr>
          <w:rFonts w:hint="eastAsia"/>
          <w:rtl/>
        </w:rPr>
        <w:t>בנסיבות</w:t>
      </w:r>
      <w:r w:rsidRPr="007C3B90">
        <w:rPr>
          <w:rtl/>
        </w:rPr>
        <w:t xml:space="preserve"> </w:t>
      </w:r>
      <w:r w:rsidRPr="007C3B90">
        <w:rPr>
          <w:rFonts w:hint="eastAsia"/>
          <w:rtl/>
        </w:rPr>
        <w:t>המקרה</w:t>
      </w:r>
      <w:r w:rsidRPr="007C3B90">
        <w:rPr>
          <w:rtl/>
        </w:rPr>
        <w:t xml:space="preserve">. </w:t>
      </w:r>
      <w:r w:rsidRPr="007C3B90">
        <w:rPr>
          <w:rtl/>
        </w:rPr>
        <w:br/>
      </w:r>
    </w:p>
    <w:p w:rsidR="00BB56BB" w:rsidRPr="007C3B90" w:rsidRDefault="00BB56BB" w:rsidP="00BB56BB">
      <w:pPr>
        <w:pStyle w:val="Ruller4"/>
      </w:pPr>
      <w:r w:rsidRPr="007C3B90">
        <w:rPr>
          <w:rFonts w:hint="eastAsia"/>
          <w:rtl/>
        </w:rPr>
        <w:t>על</w:t>
      </w:r>
      <w:r w:rsidRPr="007C3B90">
        <w:rPr>
          <w:rtl/>
        </w:rPr>
        <w:t xml:space="preserve"> רקע האמור, אין לקבל את הטענה ולפיה התיקון פוגע ביכולתו של בית המשפט לבקר את החלטות הממשלה והשרים עד כדי פגיעה אנושה בעקרונות יסוד של הדמוקרטיה. טענה זו, המדמה את הסבירות האיזונית לעמוד תווך אשר אם יוסר, לגבי החלטות הממשלה והשרים, תתמוטט או תיטה ליפול מערכת האיזונים המחזיקה את המבנה הדמוקרטי כולו – נראית מוגזמת במידה רבה, </w:t>
      </w:r>
      <w:r w:rsidRPr="007C3B90">
        <w:rPr>
          <w:rFonts w:hint="cs"/>
          <w:rtl/>
        </w:rPr>
        <w:t>ו</w:t>
      </w:r>
      <w:r w:rsidRPr="007C3B90">
        <w:rPr>
          <w:rtl/>
        </w:rPr>
        <w:t xml:space="preserve">מתעלמת </w:t>
      </w:r>
      <w:r w:rsidRPr="007C3B90">
        <w:rPr>
          <w:rFonts w:hint="cs"/>
          <w:rtl/>
        </w:rPr>
        <w:t>מאופייה של הסבירות האיזונית ו</w:t>
      </w:r>
      <w:r w:rsidRPr="007C3B90">
        <w:rPr>
          <w:rtl/>
        </w:rPr>
        <w:t xml:space="preserve">משלל הכלים המצויים בצקלוננו. </w:t>
      </w:r>
      <w:r w:rsidRPr="007C3B90">
        <w:rPr>
          <w:rFonts w:hint="eastAsia"/>
          <w:rtl/>
        </w:rPr>
        <w:t>אין</w:t>
      </w:r>
      <w:r w:rsidRPr="007C3B90">
        <w:rPr>
          <w:rtl/>
        </w:rPr>
        <w:t xml:space="preserve"> </w:t>
      </w:r>
      <w:r w:rsidRPr="007C3B90">
        <w:rPr>
          <w:rFonts w:hint="eastAsia"/>
          <w:rtl/>
        </w:rPr>
        <w:t>לכחד</w:t>
      </w:r>
      <w:r w:rsidRPr="007C3B90">
        <w:rPr>
          <w:rtl/>
        </w:rPr>
        <w:t xml:space="preserve">, </w:t>
      </w:r>
      <w:r w:rsidRPr="007C3B90">
        <w:rPr>
          <w:rFonts w:hint="eastAsia"/>
          <w:rtl/>
        </w:rPr>
        <w:t>בעשורים</w:t>
      </w:r>
      <w:r w:rsidRPr="007C3B90">
        <w:rPr>
          <w:rtl/>
        </w:rPr>
        <w:t xml:space="preserve"> </w:t>
      </w:r>
      <w:r w:rsidRPr="007C3B90">
        <w:rPr>
          <w:rFonts w:hint="eastAsia"/>
          <w:rtl/>
        </w:rPr>
        <w:t>האחרונים</w:t>
      </w:r>
      <w:r w:rsidRPr="007C3B90">
        <w:rPr>
          <w:rtl/>
        </w:rPr>
        <w:t xml:space="preserve"> </w:t>
      </w:r>
      <w:r w:rsidRPr="007C3B90">
        <w:rPr>
          <w:rFonts w:hint="eastAsia"/>
          <w:rtl/>
        </w:rPr>
        <w:t>התבסס</w:t>
      </w:r>
      <w:r w:rsidRPr="007C3B90">
        <w:rPr>
          <w:rtl/>
        </w:rPr>
        <w:t xml:space="preserve"> "</w:t>
      </w:r>
      <w:r w:rsidRPr="007C3B90">
        <w:rPr>
          <w:rFonts w:hint="eastAsia"/>
          <w:rtl/>
        </w:rPr>
        <w:t>עמוד</w:t>
      </w:r>
      <w:r w:rsidRPr="007C3B90">
        <w:rPr>
          <w:rFonts w:hint="cs"/>
          <w:rtl/>
        </w:rPr>
        <w:t>"</w:t>
      </w:r>
      <w:r w:rsidRPr="007C3B90">
        <w:rPr>
          <w:rtl/>
        </w:rPr>
        <w:t xml:space="preserve"> </w:t>
      </w:r>
      <w:r w:rsidRPr="007C3B90">
        <w:rPr>
          <w:rFonts w:hint="eastAsia"/>
          <w:rtl/>
        </w:rPr>
        <w:t>הסבירות</w:t>
      </w:r>
      <w:r w:rsidRPr="007C3B90">
        <w:rPr>
          <w:rtl/>
        </w:rPr>
        <w:t xml:space="preserve"> </w:t>
      </w:r>
      <w:r w:rsidRPr="007C3B90">
        <w:rPr>
          <w:rFonts w:hint="eastAsia"/>
          <w:rtl/>
        </w:rPr>
        <w:t>האיזונית</w:t>
      </w:r>
      <w:r w:rsidRPr="007C3B90">
        <w:rPr>
          <w:rtl/>
        </w:rPr>
        <w:t xml:space="preserve"> </w:t>
      </w:r>
      <w:r w:rsidRPr="007C3B90">
        <w:rPr>
          <w:rFonts w:hint="eastAsia"/>
          <w:rtl/>
        </w:rPr>
        <w:t>והכה</w:t>
      </w:r>
      <w:r w:rsidRPr="007C3B90">
        <w:rPr>
          <w:rtl/>
        </w:rPr>
        <w:t xml:space="preserve"> </w:t>
      </w:r>
      <w:r w:rsidRPr="007C3B90">
        <w:rPr>
          <w:rFonts w:hint="eastAsia"/>
          <w:rtl/>
        </w:rPr>
        <w:t>שורשים</w:t>
      </w:r>
      <w:r w:rsidRPr="007C3B90">
        <w:rPr>
          <w:rtl/>
        </w:rPr>
        <w:t xml:space="preserve"> </w:t>
      </w:r>
      <w:r w:rsidRPr="007C3B90">
        <w:rPr>
          <w:rFonts w:hint="eastAsia"/>
          <w:rtl/>
        </w:rPr>
        <w:t>בשיטתנו</w:t>
      </w:r>
      <w:r w:rsidRPr="007C3B90">
        <w:rPr>
          <w:rtl/>
        </w:rPr>
        <w:t xml:space="preserve">, </w:t>
      </w:r>
      <w:r w:rsidRPr="007C3B90">
        <w:rPr>
          <w:rFonts w:hint="eastAsia"/>
          <w:rtl/>
        </w:rPr>
        <w:t>עד</w:t>
      </w:r>
      <w:r w:rsidRPr="007C3B90">
        <w:rPr>
          <w:rtl/>
        </w:rPr>
        <w:t xml:space="preserve"> </w:t>
      </w:r>
      <w:r w:rsidRPr="007C3B90">
        <w:rPr>
          <w:rFonts w:hint="eastAsia"/>
          <w:rtl/>
        </w:rPr>
        <w:t>כי</w:t>
      </w:r>
      <w:r w:rsidRPr="007C3B90">
        <w:rPr>
          <w:rtl/>
        </w:rPr>
        <w:t xml:space="preserve"> </w:t>
      </w:r>
      <w:r w:rsidRPr="007C3B90">
        <w:rPr>
          <w:rFonts w:hint="eastAsia"/>
          <w:rtl/>
        </w:rPr>
        <w:t>הסרתו</w:t>
      </w:r>
      <w:r w:rsidRPr="007C3B90">
        <w:rPr>
          <w:rtl/>
        </w:rPr>
        <w:t xml:space="preserve"> </w:t>
      </w:r>
      <w:r w:rsidRPr="007C3B90">
        <w:rPr>
          <w:rFonts w:hint="eastAsia"/>
          <w:rtl/>
        </w:rPr>
        <w:t>לגבי</w:t>
      </w:r>
      <w:r w:rsidRPr="007C3B90">
        <w:rPr>
          <w:rtl/>
        </w:rPr>
        <w:t xml:space="preserve"> </w:t>
      </w:r>
      <w:r w:rsidRPr="007C3B90">
        <w:rPr>
          <w:rFonts w:hint="eastAsia"/>
          <w:rtl/>
        </w:rPr>
        <w:t>החלטות</w:t>
      </w:r>
      <w:r w:rsidRPr="007C3B90">
        <w:rPr>
          <w:rtl/>
        </w:rPr>
        <w:t xml:space="preserve"> </w:t>
      </w:r>
      <w:r w:rsidRPr="007C3B90">
        <w:rPr>
          <w:rFonts w:hint="eastAsia"/>
          <w:rtl/>
        </w:rPr>
        <w:t>אלה</w:t>
      </w:r>
      <w:r w:rsidRPr="007C3B90">
        <w:rPr>
          <w:rtl/>
        </w:rPr>
        <w:t xml:space="preserve">, </w:t>
      </w:r>
      <w:r w:rsidRPr="007C3B90">
        <w:rPr>
          <w:rFonts w:hint="eastAsia"/>
          <w:rtl/>
        </w:rPr>
        <w:t>תביא</w:t>
      </w:r>
      <w:r w:rsidRPr="007C3B90">
        <w:rPr>
          <w:rtl/>
        </w:rPr>
        <w:t xml:space="preserve"> </w:t>
      </w:r>
      <w:r w:rsidRPr="007C3B90">
        <w:rPr>
          <w:rFonts w:hint="eastAsia"/>
          <w:rtl/>
        </w:rPr>
        <w:t>עמה</w:t>
      </w:r>
      <w:r w:rsidRPr="007C3B90">
        <w:rPr>
          <w:rtl/>
        </w:rPr>
        <w:t xml:space="preserve"> </w:t>
      </w:r>
      <w:r w:rsidRPr="007C3B90">
        <w:rPr>
          <w:rFonts w:hint="eastAsia"/>
          <w:rtl/>
        </w:rPr>
        <w:t>שינוי</w:t>
      </w:r>
      <w:r w:rsidRPr="007C3B90">
        <w:rPr>
          <w:rtl/>
        </w:rPr>
        <w:t xml:space="preserve"> </w:t>
      </w:r>
      <w:r w:rsidRPr="007C3B90">
        <w:rPr>
          <w:rFonts w:hint="cs"/>
          <w:rtl/>
        </w:rPr>
        <w:t>מסוים</w:t>
      </w:r>
      <w:r w:rsidRPr="007C3B90">
        <w:rPr>
          <w:rtl/>
        </w:rPr>
        <w:t xml:space="preserve"> </w:t>
      </w:r>
      <w:r w:rsidRPr="007C3B90">
        <w:rPr>
          <w:rFonts w:hint="eastAsia"/>
          <w:rtl/>
        </w:rPr>
        <w:t>של</w:t>
      </w:r>
      <w:r w:rsidRPr="007C3B90">
        <w:rPr>
          <w:rtl/>
        </w:rPr>
        <w:t xml:space="preserve"> </w:t>
      </w:r>
      <w:r w:rsidRPr="007C3B90">
        <w:rPr>
          <w:rFonts w:hint="eastAsia"/>
          <w:rtl/>
        </w:rPr>
        <w:t>פני</w:t>
      </w:r>
      <w:r w:rsidRPr="007C3B90">
        <w:rPr>
          <w:rtl/>
        </w:rPr>
        <w:t xml:space="preserve"> </w:t>
      </w:r>
      <w:r w:rsidRPr="007C3B90">
        <w:rPr>
          <w:rFonts w:hint="eastAsia"/>
          <w:rtl/>
        </w:rPr>
        <w:t>המשפט</w:t>
      </w:r>
      <w:r w:rsidRPr="007C3B90">
        <w:rPr>
          <w:rtl/>
        </w:rPr>
        <w:t xml:space="preserve"> </w:t>
      </w:r>
      <w:r w:rsidRPr="007C3B90">
        <w:rPr>
          <w:rFonts w:hint="eastAsia"/>
          <w:rtl/>
        </w:rPr>
        <w:t>המינהלי</w:t>
      </w:r>
      <w:r w:rsidRPr="007C3B90">
        <w:rPr>
          <w:rtl/>
        </w:rPr>
        <w:t xml:space="preserve">. </w:t>
      </w:r>
      <w:r w:rsidRPr="007C3B90">
        <w:rPr>
          <w:rFonts w:hint="eastAsia"/>
          <w:rtl/>
        </w:rPr>
        <w:t>עם</w:t>
      </w:r>
      <w:r w:rsidRPr="007C3B90">
        <w:rPr>
          <w:rtl/>
        </w:rPr>
        <w:t xml:space="preserve"> </w:t>
      </w:r>
      <w:r w:rsidRPr="007C3B90">
        <w:rPr>
          <w:rFonts w:hint="eastAsia"/>
          <w:rtl/>
        </w:rPr>
        <w:t>זאת</w:t>
      </w:r>
      <w:r w:rsidRPr="007C3B90">
        <w:rPr>
          <w:rtl/>
        </w:rPr>
        <w:t xml:space="preserve">, </w:t>
      </w:r>
      <w:r w:rsidRPr="007C3B90">
        <w:rPr>
          <w:rFonts w:hint="eastAsia"/>
          <w:rtl/>
        </w:rPr>
        <w:t>שינוי</w:t>
      </w:r>
      <w:r w:rsidRPr="007C3B90">
        <w:rPr>
          <w:rtl/>
        </w:rPr>
        <w:t xml:space="preserve"> </w:t>
      </w:r>
      <w:r w:rsidRPr="007C3B90">
        <w:rPr>
          <w:rFonts w:hint="eastAsia"/>
          <w:rtl/>
        </w:rPr>
        <w:t>של</w:t>
      </w:r>
      <w:r w:rsidRPr="007C3B90">
        <w:rPr>
          <w:rtl/>
        </w:rPr>
        <w:t xml:space="preserve"> </w:t>
      </w:r>
      <w:r w:rsidRPr="007C3B90">
        <w:rPr>
          <w:rFonts w:hint="eastAsia"/>
          <w:rtl/>
        </w:rPr>
        <w:t>הדין</w:t>
      </w:r>
      <w:r w:rsidRPr="007C3B90">
        <w:rPr>
          <w:rFonts w:hint="cs"/>
          <w:rtl/>
        </w:rPr>
        <w:t>,</w:t>
      </w:r>
      <w:r w:rsidRPr="007C3B90">
        <w:rPr>
          <w:rtl/>
        </w:rPr>
        <w:t xml:space="preserve"> </w:t>
      </w:r>
      <w:r w:rsidRPr="007C3B90">
        <w:rPr>
          <w:rFonts w:hint="cs"/>
          <w:rtl/>
        </w:rPr>
        <w:t xml:space="preserve">גם אם יסודי, </w:t>
      </w:r>
      <w:r w:rsidRPr="007C3B90">
        <w:rPr>
          <w:rFonts w:hint="eastAsia"/>
          <w:rtl/>
        </w:rPr>
        <w:t>אינ</w:t>
      </w:r>
      <w:r w:rsidRPr="007C3B90">
        <w:rPr>
          <w:rFonts w:hint="cs"/>
          <w:rtl/>
        </w:rPr>
        <w:t>ו</w:t>
      </w:r>
      <w:r w:rsidRPr="007C3B90">
        <w:rPr>
          <w:rtl/>
        </w:rPr>
        <w:t xml:space="preserve"> </w:t>
      </w:r>
      <w:r w:rsidRPr="007C3B90">
        <w:rPr>
          <w:rFonts w:hint="eastAsia"/>
          <w:rtl/>
        </w:rPr>
        <w:t>גורר</w:t>
      </w:r>
      <w:r w:rsidRPr="007C3B90">
        <w:rPr>
          <w:rtl/>
        </w:rPr>
        <w:t xml:space="preserve"> </w:t>
      </w:r>
      <w:r w:rsidRPr="007C3B90">
        <w:rPr>
          <w:rFonts w:hint="eastAsia"/>
          <w:rtl/>
        </w:rPr>
        <w:t>בהכרח</w:t>
      </w:r>
      <w:r w:rsidRPr="007C3B90">
        <w:rPr>
          <w:rtl/>
        </w:rPr>
        <w:t xml:space="preserve"> </w:t>
      </w:r>
      <w:r w:rsidRPr="007C3B90">
        <w:rPr>
          <w:rFonts w:hint="eastAsia"/>
          <w:rtl/>
        </w:rPr>
        <w:t>פגיעה</w:t>
      </w:r>
      <w:r w:rsidRPr="007C3B90">
        <w:rPr>
          <w:rtl/>
        </w:rPr>
        <w:t xml:space="preserve"> </w:t>
      </w:r>
      <w:r w:rsidRPr="007C3B90">
        <w:rPr>
          <w:rFonts w:hint="eastAsia"/>
          <w:rtl/>
        </w:rPr>
        <w:t>באושיות</w:t>
      </w:r>
      <w:r w:rsidRPr="007C3B90">
        <w:rPr>
          <w:rtl/>
        </w:rPr>
        <w:t xml:space="preserve"> </w:t>
      </w:r>
      <w:r w:rsidRPr="007C3B90">
        <w:rPr>
          <w:rFonts w:hint="eastAsia"/>
          <w:rtl/>
        </w:rPr>
        <w:t>הדמוקרטיה</w:t>
      </w:r>
      <w:r w:rsidRPr="007C3B90">
        <w:rPr>
          <w:rtl/>
        </w:rPr>
        <w:t>.</w:t>
      </w:r>
      <w:r w:rsidRPr="007C3B90">
        <w:rPr>
          <w:rFonts w:hint="cs"/>
          <w:rtl/>
        </w:rPr>
        <w:t xml:space="preserve"> </w:t>
      </w:r>
      <w:r w:rsidRPr="007C3B90">
        <w:rPr>
          <w:rtl/>
        </w:rPr>
        <w:t>ויודגש: עקרון הפרדת הרשויות מחייב אותנו לעצב את הפרמטרים להתערבות שיפוטית בחקיקת</w:t>
      </w:r>
      <w:r w:rsidRPr="007C3B90">
        <w:rPr>
          <w:rFonts w:hint="cs"/>
          <w:rtl/>
        </w:rPr>
        <w:t xml:space="preserve"> </w:t>
      </w:r>
      <w:r w:rsidRPr="007C3B90">
        <w:rPr>
          <w:rtl/>
        </w:rPr>
        <w:t>יסוד, כך שתידרש ל</w:t>
      </w:r>
      <w:r w:rsidRPr="007C3B90">
        <w:rPr>
          <w:rFonts w:hint="cs"/>
          <w:rtl/>
        </w:rPr>
        <w:t>שם כך</w:t>
      </w:r>
      <w:r w:rsidRPr="007C3B90">
        <w:rPr>
          <w:rtl/>
        </w:rPr>
        <w:t xml:space="preserve"> </w:t>
      </w:r>
      <w:r w:rsidRPr="007C3B90">
        <w:rPr>
          <w:rtl/>
        </w:rPr>
        <w:lastRenderedPageBreak/>
        <w:t>פגיעה בליבת עקרונות הדמוקרטיה שהיא כה קיצונית</w:t>
      </w:r>
      <w:r w:rsidRPr="007C3B90">
        <w:rPr>
          <w:rFonts w:hint="cs"/>
          <w:rtl/>
        </w:rPr>
        <w:t xml:space="preserve"> וחריגה</w:t>
      </w:r>
      <w:r w:rsidRPr="007C3B90">
        <w:rPr>
          <w:rtl/>
        </w:rPr>
        <w:t xml:space="preserve">, עד שהיא </w:t>
      </w:r>
      <w:r w:rsidRPr="007C3B90">
        <w:rPr>
          <w:rFonts w:hint="cs"/>
          <w:rtl/>
        </w:rPr>
        <w:t>"</w:t>
      </w:r>
      <w:r w:rsidRPr="007C3B90">
        <w:rPr>
          <w:rtl/>
        </w:rPr>
        <w:t>מעידה על עצמה</w:t>
      </w:r>
      <w:r w:rsidRPr="007C3B90">
        <w:rPr>
          <w:rFonts w:hint="cs"/>
          <w:rtl/>
        </w:rPr>
        <w:t>"</w:t>
      </w:r>
      <w:r w:rsidRPr="007C3B90">
        <w:rPr>
          <w:rtl/>
        </w:rPr>
        <w:t>.</w:t>
      </w:r>
      <w:r w:rsidRPr="007C3B90">
        <w:rPr>
          <w:rFonts w:hint="cs"/>
          <w:rtl/>
        </w:rPr>
        <w:t xml:space="preserve"> </w:t>
      </w:r>
      <w:r w:rsidRPr="007C3B90">
        <w:rPr>
          <w:rtl/>
        </w:rPr>
        <w:t xml:space="preserve">בענייננו, הפגיעה המוגבלת של התיקון ביכולת לבקר את החלטות הממשלה והשרים, אינה עומדת באמות מידה אלה. טענות העותרים ביחס לעוצמת הפגיעה הן ספקולטיביות בעיקרן, בעוד שהנתונים המשפטיים הקיימים, מורים לנו </w:t>
      </w:r>
      <w:r w:rsidRPr="007C3B90">
        <w:rPr>
          <w:rFonts w:hint="cs"/>
          <w:rtl/>
        </w:rPr>
        <w:t xml:space="preserve">כאמור </w:t>
      </w:r>
      <w:r w:rsidRPr="007C3B90">
        <w:rPr>
          <w:rtl/>
        </w:rPr>
        <w:t>כי מדובר בפגיעה מתוחמת ביותר.</w:t>
      </w:r>
    </w:p>
    <w:p w:rsidR="00BB56BB" w:rsidRPr="007C3B90" w:rsidRDefault="00BB56BB" w:rsidP="00BB56BB">
      <w:pPr>
        <w:pStyle w:val="Ruller4"/>
        <w:numPr>
          <w:ilvl w:val="0"/>
          <w:numId w:val="0"/>
        </w:numPr>
        <w:rPr>
          <w:rtl/>
        </w:rPr>
      </w:pPr>
    </w:p>
    <w:p w:rsidR="00BB56BB" w:rsidRPr="007C3B90" w:rsidRDefault="00BB56BB" w:rsidP="00BB56BB">
      <w:pPr>
        <w:pStyle w:val="Ruller4"/>
        <w:numPr>
          <w:ilvl w:val="0"/>
          <w:numId w:val="0"/>
        </w:numPr>
        <w:rPr>
          <w:rFonts w:ascii="Century" w:hAnsi="Century" w:cs="Miriam"/>
          <w:b/>
          <w:spacing w:val="0"/>
          <w:sz w:val="22"/>
          <w:szCs w:val="24"/>
          <w:rtl/>
        </w:rPr>
      </w:pPr>
      <w:r w:rsidRPr="007C3B90">
        <w:rPr>
          <w:rFonts w:ascii="Century" w:hAnsi="Century" w:cs="Miriam"/>
          <w:b/>
          <w:spacing w:val="0"/>
          <w:sz w:val="22"/>
          <w:szCs w:val="24"/>
          <w:rtl/>
        </w:rPr>
        <w:t>הטעם הנורמטיבי</w:t>
      </w:r>
    </w:p>
    <w:p w:rsidR="00BB56BB" w:rsidRPr="007C3B90" w:rsidRDefault="00BB56BB" w:rsidP="00BB56BB">
      <w:pPr>
        <w:pStyle w:val="Ruller4"/>
        <w:numPr>
          <w:ilvl w:val="0"/>
          <w:numId w:val="0"/>
        </w:numPr>
        <w:rPr>
          <w:rtl/>
        </w:rPr>
      </w:pPr>
    </w:p>
    <w:p w:rsidR="00BB56BB" w:rsidRPr="007C3B90" w:rsidRDefault="00BB56BB" w:rsidP="00BB56BB">
      <w:pPr>
        <w:pStyle w:val="Ruller4"/>
      </w:pPr>
      <w:r w:rsidRPr="007C3B90">
        <w:rPr>
          <w:rtl/>
        </w:rPr>
        <w:t xml:space="preserve">ואולם, אך מובן כי מטרת התיקון, לא הייתה למלא את ה'חלל' שיוותר עם ביטול עילת הסבירות </w:t>
      </w:r>
      <w:r w:rsidRPr="007C3B90">
        <w:rPr>
          <w:rFonts w:hint="cs"/>
          <w:rtl/>
        </w:rPr>
        <w:t xml:space="preserve">האיזונית </w:t>
      </w:r>
      <w:r w:rsidRPr="007C3B90">
        <w:rPr>
          <w:rtl/>
        </w:rPr>
        <w:t xml:space="preserve">באשר להחלטות הממשלה והשרים, עד אפס מקום. </w:t>
      </w:r>
      <w:r w:rsidRPr="007C3B90">
        <w:rPr>
          <w:rFonts w:hint="cs"/>
          <w:rtl/>
        </w:rPr>
        <w:t xml:space="preserve">אמנם, התיקון נועד </w:t>
      </w:r>
      <w:r w:rsidRPr="007C3B90">
        <w:rPr>
          <w:rtl/>
        </w:rPr>
        <w:t xml:space="preserve">לבכר שימוש בעילות ביקורת קונקרטיות, אך הוא נועד </w:t>
      </w:r>
      <w:r w:rsidRPr="007C3B90">
        <w:rPr>
          <w:rFonts w:hint="cs"/>
          <w:rtl/>
        </w:rPr>
        <w:t>גם לצמצם את היקף הביקורת השיפוטית ו</w:t>
      </w:r>
      <w:r w:rsidRPr="007C3B90">
        <w:rPr>
          <w:rtl/>
        </w:rPr>
        <w:t>להותיר החלטות מסוימות ללא התערבות שיפוטית. אני סבורה, כי היעדר היכולת לבקר את אותן החלטות, לגביהן לא קמה עילת ביקורת אחרת להוציא עילת הסבירות האיזונית – אינו פוגע בצורה אנושה באושיות הדמוקרטיה, לא רק בשל היקפן המצומצם של החלטות אלה, אלא גם בשים לב לטיבן של אותן החלטות</w:t>
      </w:r>
      <w:r w:rsidRPr="007C3B90">
        <w:rPr>
          <w:rFonts w:hint="cs"/>
          <w:rtl/>
        </w:rPr>
        <w:t>.</w:t>
      </w:r>
      <w:r w:rsidRPr="007C3B90">
        <w:rPr>
          <w:rtl/>
        </w:rPr>
        <w:t xml:space="preserve"> </w:t>
      </w:r>
      <w:r w:rsidRPr="007C3B90">
        <w:rPr>
          <w:rFonts w:hint="cs"/>
          <w:rtl/>
        </w:rPr>
        <w:t xml:space="preserve">כאמור, </w:t>
      </w:r>
      <w:r w:rsidRPr="007C3B90">
        <w:rPr>
          <w:rFonts w:ascii="Century" w:hAnsi="Century"/>
          <w:sz w:val="22"/>
          <w:rtl/>
        </w:rPr>
        <w:t xml:space="preserve">מדובר </w:t>
      </w:r>
      <w:r w:rsidRPr="007C3B90">
        <w:rPr>
          <w:rFonts w:ascii="Century" w:hAnsi="Century" w:hint="eastAsia"/>
          <w:sz w:val="22"/>
          <w:rtl/>
        </w:rPr>
        <w:t>בהחלטות</w:t>
      </w:r>
      <w:r w:rsidRPr="007C3B90">
        <w:rPr>
          <w:rFonts w:ascii="Century" w:hAnsi="Century"/>
          <w:sz w:val="22"/>
          <w:rtl/>
        </w:rPr>
        <w:t xml:space="preserve"> </w:t>
      </w:r>
      <w:r w:rsidRPr="007C3B90">
        <w:rPr>
          <w:rFonts w:ascii="Century" w:hAnsi="Century" w:hint="eastAsia"/>
          <w:sz w:val="22"/>
          <w:rtl/>
        </w:rPr>
        <w:t>שהממשלה</w:t>
      </w:r>
      <w:r w:rsidRPr="007C3B90">
        <w:rPr>
          <w:rFonts w:ascii="Century" w:hAnsi="Century"/>
          <w:sz w:val="22"/>
          <w:rtl/>
        </w:rPr>
        <w:t xml:space="preserve"> </w:t>
      </w:r>
      <w:r w:rsidRPr="007C3B90">
        <w:rPr>
          <w:rFonts w:ascii="Century" w:hAnsi="Century" w:hint="eastAsia"/>
          <w:sz w:val="22"/>
          <w:rtl/>
        </w:rPr>
        <w:t>ושריה</w:t>
      </w:r>
      <w:r w:rsidRPr="007C3B90">
        <w:rPr>
          <w:rFonts w:ascii="Century" w:hAnsi="Century"/>
          <w:sz w:val="22"/>
          <w:rtl/>
        </w:rPr>
        <w:t xml:space="preserve"> </w:t>
      </w:r>
      <w:r w:rsidRPr="007C3B90">
        <w:rPr>
          <w:rFonts w:ascii="Century" w:hAnsi="Century" w:hint="eastAsia"/>
          <w:sz w:val="22"/>
          <w:rtl/>
        </w:rPr>
        <w:t>היו</w:t>
      </w:r>
      <w:r w:rsidRPr="007C3B90">
        <w:rPr>
          <w:rFonts w:ascii="Century" w:hAnsi="Century"/>
          <w:sz w:val="22"/>
          <w:rtl/>
        </w:rPr>
        <w:t xml:space="preserve"> </w:t>
      </w:r>
      <w:r w:rsidRPr="007C3B90">
        <w:rPr>
          <w:rFonts w:ascii="Century" w:hAnsi="Century" w:hint="eastAsia"/>
          <w:sz w:val="22"/>
          <w:rtl/>
        </w:rPr>
        <w:t>מוסמכים</w:t>
      </w:r>
      <w:r w:rsidRPr="007C3B90">
        <w:rPr>
          <w:rFonts w:ascii="Century" w:hAnsi="Century"/>
          <w:sz w:val="22"/>
          <w:rtl/>
        </w:rPr>
        <w:t xml:space="preserve"> </w:t>
      </w:r>
      <w:r w:rsidRPr="007C3B90">
        <w:rPr>
          <w:rFonts w:ascii="Century" w:hAnsi="Century" w:hint="eastAsia"/>
          <w:sz w:val="22"/>
          <w:rtl/>
        </w:rPr>
        <w:t>לקבל</w:t>
      </w:r>
      <w:r w:rsidRPr="007C3B90">
        <w:rPr>
          <w:rFonts w:ascii="Century" w:hAnsi="Century"/>
          <w:sz w:val="22"/>
          <w:rtl/>
        </w:rPr>
        <w:t xml:space="preserve">, </w:t>
      </w:r>
      <w:r w:rsidRPr="007C3B90">
        <w:rPr>
          <w:rFonts w:ascii="Century" w:hAnsi="Century" w:hint="eastAsia"/>
          <w:sz w:val="22"/>
          <w:rtl/>
        </w:rPr>
        <w:t>שהתקבלו</w:t>
      </w:r>
      <w:r w:rsidRPr="007C3B90">
        <w:rPr>
          <w:rFonts w:ascii="Century" w:hAnsi="Century"/>
          <w:sz w:val="22"/>
          <w:rtl/>
        </w:rPr>
        <w:t xml:space="preserve"> </w:t>
      </w:r>
      <w:r w:rsidRPr="007C3B90">
        <w:rPr>
          <w:rFonts w:ascii="Century" w:hAnsi="Century" w:hint="eastAsia"/>
          <w:sz w:val="22"/>
          <w:rtl/>
        </w:rPr>
        <w:t>על</w:t>
      </w:r>
      <w:r w:rsidRPr="007C3B90">
        <w:rPr>
          <w:rFonts w:ascii="Century" w:hAnsi="Century"/>
          <w:sz w:val="22"/>
          <w:rtl/>
        </w:rPr>
        <w:t xml:space="preserve"> </w:t>
      </w:r>
      <w:r w:rsidRPr="007C3B90">
        <w:rPr>
          <w:rFonts w:ascii="Century" w:hAnsi="Century" w:hint="eastAsia"/>
          <w:sz w:val="22"/>
          <w:rtl/>
        </w:rPr>
        <w:t>בסיס</w:t>
      </w:r>
      <w:r w:rsidRPr="007C3B90">
        <w:rPr>
          <w:rFonts w:ascii="Century" w:hAnsi="Century"/>
          <w:sz w:val="22"/>
          <w:rtl/>
        </w:rPr>
        <w:t xml:space="preserve"> </w:t>
      </w:r>
      <w:r w:rsidRPr="007C3B90">
        <w:rPr>
          <w:rFonts w:ascii="Century" w:hAnsi="Century" w:hint="eastAsia"/>
          <w:sz w:val="22"/>
          <w:rtl/>
        </w:rPr>
        <w:t>תשתית</w:t>
      </w:r>
      <w:r w:rsidRPr="007C3B90">
        <w:rPr>
          <w:rFonts w:ascii="Century" w:hAnsi="Century"/>
          <w:sz w:val="22"/>
          <w:rtl/>
        </w:rPr>
        <w:t xml:space="preserve"> </w:t>
      </w:r>
      <w:r w:rsidRPr="007C3B90">
        <w:rPr>
          <w:rFonts w:ascii="Century" w:hAnsi="Century" w:hint="eastAsia"/>
          <w:sz w:val="22"/>
          <w:rtl/>
        </w:rPr>
        <w:t>עובדתית</w:t>
      </w:r>
      <w:r w:rsidRPr="007C3B90">
        <w:rPr>
          <w:rFonts w:ascii="Century" w:hAnsi="Century"/>
          <w:sz w:val="22"/>
          <w:rtl/>
        </w:rPr>
        <w:t xml:space="preserve"> </w:t>
      </w:r>
      <w:r w:rsidRPr="007C3B90">
        <w:rPr>
          <w:rFonts w:ascii="Century" w:hAnsi="Century" w:hint="eastAsia"/>
          <w:sz w:val="22"/>
          <w:rtl/>
        </w:rPr>
        <w:t>ראויה</w:t>
      </w:r>
      <w:r w:rsidRPr="007C3B90">
        <w:rPr>
          <w:rFonts w:ascii="Century" w:hAnsi="Century"/>
          <w:sz w:val="22"/>
          <w:rtl/>
        </w:rPr>
        <w:t xml:space="preserve"> </w:t>
      </w:r>
      <w:r w:rsidRPr="007C3B90">
        <w:rPr>
          <w:rFonts w:ascii="Century" w:hAnsi="Century" w:hint="eastAsia"/>
          <w:sz w:val="22"/>
          <w:rtl/>
        </w:rPr>
        <w:t>ולאחר</w:t>
      </w:r>
      <w:r w:rsidRPr="007C3B90">
        <w:rPr>
          <w:rFonts w:ascii="Century" w:hAnsi="Century"/>
          <w:sz w:val="22"/>
          <w:rtl/>
        </w:rPr>
        <w:t xml:space="preserve"> </w:t>
      </w:r>
      <w:r w:rsidRPr="007C3B90">
        <w:rPr>
          <w:rFonts w:ascii="Century" w:hAnsi="Century" w:hint="eastAsia"/>
          <w:sz w:val="22"/>
          <w:rtl/>
        </w:rPr>
        <w:t>הליך</w:t>
      </w:r>
      <w:r w:rsidRPr="007C3B90">
        <w:rPr>
          <w:rFonts w:ascii="Century" w:hAnsi="Century"/>
          <w:sz w:val="22"/>
          <w:rtl/>
        </w:rPr>
        <w:t xml:space="preserve"> </w:t>
      </w:r>
      <w:r w:rsidRPr="007C3B90">
        <w:rPr>
          <w:rFonts w:ascii="Century" w:hAnsi="Century" w:hint="eastAsia"/>
          <w:sz w:val="22"/>
          <w:rtl/>
        </w:rPr>
        <w:t>מינהלי</w:t>
      </w:r>
      <w:r w:rsidRPr="007C3B90">
        <w:rPr>
          <w:rFonts w:ascii="Century" w:hAnsi="Century"/>
          <w:sz w:val="22"/>
          <w:rtl/>
        </w:rPr>
        <w:t xml:space="preserve"> </w:t>
      </w:r>
      <w:r w:rsidRPr="007C3B90">
        <w:rPr>
          <w:rFonts w:ascii="Century" w:hAnsi="Century" w:hint="eastAsia"/>
          <w:sz w:val="22"/>
          <w:rtl/>
        </w:rPr>
        <w:t>תקין</w:t>
      </w:r>
      <w:r w:rsidRPr="007C3B90">
        <w:rPr>
          <w:rFonts w:ascii="Century" w:hAnsi="Century"/>
          <w:sz w:val="22"/>
          <w:rtl/>
        </w:rPr>
        <w:t xml:space="preserve">, </w:t>
      </w:r>
      <w:r w:rsidRPr="007C3B90">
        <w:rPr>
          <w:rFonts w:ascii="Century" w:hAnsi="Century" w:hint="eastAsia"/>
          <w:sz w:val="22"/>
          <w:rtl/>
        </w:rPr>
        <w:t>תוך</w:t>
      </w:r>
      <w:r w:rsidRPr="007C3B90">
        <w:rPr>
          <w:rFonts w:ascii="Century" w:hAnsi="Century"/>
          <w:sz w:val="22"/>
          <w:rtl/>
        </w:rPr>
        <w:t xml:space="preserve"> </w:t>
      </w:r>
      <w:r w:rsidRPr="007C3B90">
        <w:rPr>
          <w:rFonts w:ascii="Century" w:hAnsi="Century" w:hint="eastAsia"/>
          <w:sz w:val="22"/>
          <w:rtl/>
        </w:rPr>
        <w:t>שהממשלה</w:t>
      </w:r>
      <w:r w:rsidRPr="007C3B90">
        <w:rPr>
          <w:rFonts w:ascii="Century" w:hAnsi="Century"/>
          <w:sz w:val="22"/>
          <w:rtl/>
        </w:rPr>
        <w:t xml:space="preserve"> </w:t>
      </w:r>
      <w:r w:rsidRPr="007C3B90">
        <w:rPr>
          <w:rFonts w:ascii="Century" w:hAnsi="Century" w:hint="eastAsia"/>
          <w:sz w:val="22"/>
          <w:rtl/>
        </w:rPr>
        <w:t>ושריה</w:t>
      </w:r>
      <w:r w:rsidRPr="007C3B90">
        <w:rPr>
          <w:rFonts w:ascii="Century" w:hAnsi="Century"/>
          <w:sz w:val="22"/>
          <w:rtl/>
        </w:rPr>
        <w:t xml:space="preserve"> </w:t>
      </w:r>
      <w:r w:rsidRPr="007C3B90">
        <w:rPr>
          <w:rFonts w:ascii="Century" w:hAnsi="Century" w:hint="eastAsia"/>
          <w:sz w:val="22"/>
          <w:rtl/>
        </w:rPr>
        <w:t>פעלו</w:t>
      </w:r>
      <w:r w:rsidRPr="007C3B90">
        <w:rPr>
          <w:rFonts w:ascii="Century" w:hAnsi="Century"/>
          <w:sz w:val="22"/>
          <w:rtl/>
        </w:rPr>
        <w:t xml:space="preserve"> </w:t>
      </w:r>
      <w:r w:rsidRPr="007C3B90">
        <w:rPr>
          <w:rFonts w:ascii="Century" w:hAnsi="Century" w:hint="eastAsia"/>
          <w:sz w:val="22"/>
          <w:rtl/>
        </w:rPr>
        <w:t>בתום</w:t>
      </w:r>
      <w:r w:rsidRPr="007C3B90">
        <w:rPr>
          <w:rFonts w:ascii="Century" w:hAnsi="Century"/>
          <w:sz w:val="22"/>
          <w:rtl/>
        </w:rPr>
        <w:t xml:space="preserve"> </w:t>
      </w:r>
      <w:r w:rsidRPr="007C3B90">
        <w:rPr>
          <w:rFonts w:ascii="Century" w:hAnsi="Century" w:hint="eastAsia"/>
          <w:sz w:val="22"/>
          <w:rtl/>
        </w:rPr>
        <w:t>לב</w:t>
      </w:r>
      <w:r w:rsidRPr="007C3B90">
        <w:rPr>
          <w:rFonts w:ascii="Century" w:hAnsi="Century"/>
          <w:sz w:val="22"/>
          <w:rtl/>
        </w:rPr>
        <w:t xml:space="preserve">, </w:t>
      </w:r>
      <w:r w:rsidRPr="007C3B90">
        <w:rPr>
          <w:rFonts w:ascii="Century" w:hAnsi="Century" w:hint="eastAsia"/>
          <w:sz w:val="22"/>
          <w:rtl/>
        </w:rPr>
        <w:t>שלא</w:t>
      </w:r>
      <w:r w:rsidRPr="007C3B90">
        <w:rPr>
          <w:rFonts w:ascii="Century" w:hAnsi="Century"/>
          <w:sz w:val="22"/>
          <w:rtl/>
        </w:rPr>
        <w:t xml:space="preserve"> </w:t>
      </w:r>
      <w:r w:rsidRPr="007C3B90">
        <w:rPr>
          <w:rFonts w:ascii="Century" w:hAnsi="Century" w:hint="eastAsia"/>
          <w:sz w:val="22"/>
          <w:rtl/>
        </w:rPr>
        <w:t>מתוך</w:t>
      </w:r>
      <w:r w:rsidRPr="007C3B90">
        <w:rPr>
          <w:rFonts w:ascii="Century" w:hAnsi="Century"/>
          <w:sz w:val="22"/>
          <w:rtl/>
        </w:rPr>
        <w:t xml:space="preserve"> </w:t>
      </w:r>
      <w:r w:rsidRPr="007C3B90">
        <w:rPr>
          <w:rFonts w:ascii="Century" w:hAnsi="Century" w:hint="eastAsia"/>
          <w:sz w:val="22"/>
          <w:rtl/>
        </w:rPr>
        <w:t>שרירות</w:t>
      </w:r>
      <w:r w:rsidRPr="007C3B90">
        <w:rPr>
          <w:rFonts w:ascii="Century" w:hAnsi="Century"/>
          <w:sz w:val="22"/>
          <w:rtl/>
        </w:rPr>
        <w:t xml:space="preserve">, </w:t>
      </w:r>
      <w:r w:rsidRPr="007C3B90">
        <w:rPr>
          <w:rFonts w:ascii="Century" w:hAnsi="Century" w:hint="eastAsia"/>
          <w:sz w:val="22"/>
          <w:rtl/>
        </w:rPr>
        <w:t>שקלו</w:t>
      </w:r>
      <w:r w:rsidRPr="007C3B90">
        <w:rPr>
          <w:rFonts w:ascii="Century" w:hAnsi="Century"/>
          <w:sz w:val="22"/>
          <w:rtl/>
        </w:rPr>
        <w:t xml:space="preserve"> </w:t>
      </w:r>
      <w:r w:rsidRPr="007C3B90">
        <w:rPr>
          <w:rFonts w:ascii="Century" w:hAnsi="Century" w:hint="eastAsia"/>
          <w:sz w:val="22"/>
          <w:rtl/>
        </w:rPr>
        <w:t>את</w:t>
      </w:r>
      <w:r w:rsidRPr="007C3B90">
        <w:rPr>
          <w:rFonts w:ascii="Century" w:hAnsi="Century"/>
          <w:sz w:val="22"/>
          <w:rtl/>
        </w:rPr>
        <w:t xml:space="preserve"> </w:t>
      </w:r>
      <w:r w:rsidRPr="007C3B90">
        <w:rPr>
          <w:rFonts w:ascii="Century" w:hAnsi="Century" w:hint="eastAsia"/>
          <w:sz w:val="22"/>
          <w:rtl/>
        </w:rPr>
        <w:t>כלל</w:t>
      </w:r>
      <w:r w:rsidRPr="007C3B90">
        <w:rPr>
          <w:rFonts w:ascii="Century" w:hAnsi="Century"/>
          <w:sz w:val="22"/>
          <w:rtl/>
        </w:rPr>
        <w:t xml:space="preserve"> </w:t>
      </w:r>
      <w:r w:rsidRPr="007C3B90">
        <w:rPr>
          <w:rFonts w:ascii="Century" w:hAnsi="Century" w:hint="eastAsia"/>
          <w:sz w:val="22"/>
          <w:rtl/>
        </w:rPr>
        <w:t>השיקולים</w:t>
      </w:r>
      <w:r w:rsidRPr="007C3B90">
        <w:rPr>
          <w:rFonts w:ascii="Century" w:hAnsi="Century"/>
          <w:sz w:val="22"/>
          <w:rtl/>
        </w:rPr>
        <w:t xml:space="preserve"> </w:t>
      </w:r>
      <w:r w:rsidRPr="007C3B90">
        <w:rPr>
          <w:rFonts w:ascii="Century" w:hAnsi="Century" w:hint="eastAsia"/>
          <w:sz w:val="22"/>
          <w:rtl/>
        </w:rPr>
        <w:t>הרלבנטיים</w:t>
      </w:r>
      <w:r>
        <w:rPr>
          <w:rFonts w:ascii="Century" w:hAnsi="Century" w:hint="cs"/>
          <w:sz w:val="22"/>
          <w:rtl/>
        </w:rPr>
        <w:t xml:space="preserve">, </w:t>
      </w:r>
      <w:r w:rsidRPr="007C3B90">
        <w:rPr>
          <w:rFonts w:ascii="Century" w:hAnsi="Century" w:hint="eastAsia"/>
          <w:sz w:val="22"/>
          <w:rtl/>
        </w:rPr>
        <w:t>נמנעו</w:t>
      </w:r>
      <w:r w:rsidRPr="007C3B90">
        <w:rPr>
          <w:rFonts w:ascii="Century" w:hAnsi="Century"/>
          <w:sz w:val="22"/>
          <w:rtl/>
        </w:rPr>
        <w:t xml:space="preserve"> </w:t>
      </w:r>
      <w:r w:rsidRPr="007C3B90">
        <w:rPr>
          <w:rFonts w:ascii="Century" w:hAnsi="Century" w:hint="eastAsia"/>
          <w:sz w:val="22"/>
          <w:rtl/>
        </w:rPr>
        <w:t>מלשקול</w:t>
      </w:r>
      <w:r w:rsidRPr="007C3B90">
        <w:rPr>
          <w:rFonts w:ascii="Century" w:hAnsi="Century"/>
          <w:sz w:val="22"/>
          <w:rtl/>
        </w:rPr>
        <w:t xml:space="preserve"> </w:t>
      </w:r>
      <w:r w:rsidRPr="007C3B90">
        <w:rPr>
          <w:rFonts w:ascii="Century" w:hAnsi="Century" w:hint="eastAsia"/>
          <w:sz w:val="22"/>
          <w:rtl/>
        </w:rPr>
        <w:t>שיקולים</w:t>
      </w:r>
      <w:r w:rsidRPr="007C3B90">
        <w:rPr>
          <w:rFonts w:ascii="Century" w:hAnsi="Century"/>
          <w:sz w:val="22"/>
          <w:rtl/>
        </w:rPr>
        <w:t xml:space="preserve"> </w:t>
      </w:r>
      <w:r w:rsidRPr="007C3B90">
        <w:rPr>
          <w:rFonts w:ascii="Century" w:hAnsi="Century" w:hint="eastAsia"/>
          <w:sz w:val="22"/>
          <w:rtl/>
        </w:rPr>
        <w:t>שאינם</w:t>
      </w:r>
      <w:r w:rsidRPr="007C3B90">
        <w:rPr>
          <w:rFonts w:ascii="Century" w:hAnsi="Century"/>
          <w:sz w:val="22"/>
          <w:rtl/>
        </w:rPr>
        <w:t xml:space="preserve"> </w:t>
      </w:r>
      <w:r w:rsidRPr="007C3B90">
        <w:rPr>
          <w:rFonts w:ascii="Century" w:hAnsi="Century" w:hint="eastAsia"/>
          <w:sz w:val="22"/>
          <w:rtl/>
        </w:rPr>
        <w:t>רלבנטיים</w:t>
      </w:r>
      <w:r w:rsidRPr="007C3B90">
        <w:rPr>
          <w:rFonts w:ascii="Century" w:hAnsi="Century"/>
          <w:sz w:val="22"/>
          <w:rtl/>
        </w:rPr>
        <w:t xml:space="preserve">, </w:t>
      </w:r>
      <w:r w:rsidRPr="007C3B90">
        <w:rPr>
          <w:rFonts w:ascii="Century" w:hAnsi="Century" w:hint="eastAsia"/>
          <w:sz w:val="22"/>
          <w:rtl/>
        </w:rPr>
        <w:t>ולא</w:t>
      </w:r>
      <w:r w:rsidRPr="007C3B90">
        <w:rPr>
          <w:rFonts w:ascii="Century" w:hAnsi="Century"/>
          <w:sz w:val="22"/>
          <w:rtl/>
        </w:rPr>
        <w:t xml:space="preserve"> </w:t>
      </w:r>
      <w:r w:rsidRPr="007C3B90">
        <w:rPr>
          <w:rFonts w:ascii="Century" w:hAnsi="Century" w:hint="eastAsia"/>
          <w:sz w:val="22"/>
          <w:rtl/>
        </w:rPr>
        <w:t>פגעו</w:t>
      </w:r>
      <w:r w:rsidRPr="007C3B90">
        <w:rPr>
          <w:rFonts w:ascii="Century" w:hAnsi="Century"/>
          <w:sz w:val="22"/>
          <w:rtl/>
        </w:rPr>
        <w:t xml:space="preserve"> </w:t>
      </w:r>
      <w:r w:rsidRPr="007C3B90">
        <w:rPr>
          <w:rFonts w:ascii="Century" w:hAnsi="Century" w:hint="eastAsia"/>
          <w:sz w:val="22"/>
          <w:rtl/>
        </w:rPr>
        <w:t>בהחלטתם</w:t>
      </w:r>
      <w:r w:rsidRPr="007C3B90">
        <w:rPr>
          <w:rFonts w:ascii="Century" w:hAnsi="Century"/>
          <w:sz w:val="22"/>
          <w:rtl/>
        </w:rPr>
        <w:t xml:space="preserve"> </w:t>
      </w:r>
      <w:r w:rsidRPr="007C3B90">
        <w:rPr>
          <w:rFonts w:ascii="Century" w:hAnsi="Century" w:hint="eastAsia"/>
          <w:sz w:val="22"/>
          <w:rtl/>
        </w:rPr>
        <w:t>באופן</w:t>
      </w:r>
      <w:r w:rsidRPr="007C3B90">
        <w:rPr>
          <w:rFonts w:ascii="Century" w:hAnsi="Century"/>
          <w:sz w:val="22"/>
          <w:rtl/>
        </w:rPr>
        <w:t xml:space="preserve"> </w:t>
      </w:r>
      <w:r w:rsidRPr="007C3B90">
        <w:rPr>
          <w:rFonts w:ascii="Century" w:hAnsi="Century" w:hint="eastAsia"/>
          <w:sz w:val="22"/>
          <w:rtl/>
        </w:rPr>
        <w:t>בלתי</w:t>
      </w:r>
      <w:r w:rsidRPr="007C3B90">
        <w:rPr>
          <w:rFonts w:ascii="Century" w:hAnsi="Century"/>
          <w:sz w:val="22"/>
          <w:rtl/>
        </w:rPr>
        <w:t xml:space="preserve"> </w:t>
      </w:r>
      <w:r w:rsidRPr="007C3B90">
        <w:rPr>
          <w:rFonts w:ascii="Century" w:hAnsi="Century" w:hint="eastAsia"/>
          <w:sz w:val="22"/>
          <w:rtl/>
        </w:rPr>
        <w:t>מידתי</w:t>
      </w:r>
      <w:r w:rsidRPr="007C3B90">
        <w:rPr>
          <w:rFonts w:ascii="Century" w:hAnsi="Century"/>
          <w:sz w:val="22"/>
          <w:rtl/>
        </w:rPr>
        <w:t xml:space="preserve"> </w:t>
      </w:r>
      <w:r w:rsidRPr="007C3B90">
        <w:rPr>
          <w:rFonts w:ascii="Century" w:hAnsi="Century" w:hint="eastAsia"/>
          <w:sz w:val="22"/>
          <w:rtl/>
        </w:rPr>
        <w:t>בזכויות</w:t>
      </w:r>
      <w:r w:rsidRPr="007C3B90">
        <w:rPr>
          <w:rFonts w:ascii="Century" w:hAnsi="Century"/>
          <w:sz w:val="22"/>
          <w:rtl/>
        </w:rPr>
        <w:t xml:space="preserve"> </w:t>
      </w:r>
      <w:r w:rsidRPr="007C3B90">
        <w:rPr>
          <w:rFonts w:ascii="Century" w:hAnsi="Century" w:hint="eastAsia"/>
          <w:sz w:val="22"/>
          <w:rtl/>
        </w:rPr>
        <w:t>אדם</w:t>
      </w:r>
      <w:r w:rsidRPr="007C3B90">
        <w:rPr>
          <w:rFonts w:ascii="Century" w:hAnsi="Century"/>
          <w:sz w:val="22"/>
          <w:rtl/>
        </w:rPr>
        <w:t>.</w:t>
      </w:r>
      <w:r w:rsidRPr="007C3B90">
        <w:rPr>
          <w:rtl/>
        </w:rPr>
        <w:t xml:space="preserve"> הפגם היחיד שנמצא בהחלטות אלה הוא איזון בלתי סביר בין השיקולים הרלבנטיים, בינם לבין עצמם (ראו בעניין </w:t>
      </w:r>
      <w:r w:rsidRPr="007C3B90">
        <w:rPr>
          <w:rFonts w:ascii="Century" w:hAnsi="Century" w:cs="Miriam"/>
          <w:b/>
          <w:spacing w:val="0"/>
          <w:sz w:val="22"/>
          <w:szCs w:val="24"/>
          <w:rtl/>
        </w:rPr>
        <w:t>דפי זהב</w:t>
      </w:r>
      <w:r w:rsidRPr="007C3B90">
        <w:rPr>
          <w:rFonts w:ascii="Century" w:hAnsi="Century"/>
          <w:sz w:val="22"/>
          <w:rtl/>
        </w:rPr>
        <w:t>,</w:t>
      </w:r>
      <w:r w:rsidRPr="007C3B90">
        <w:rPr>
          <w:rtl/>
        </w:rPr>
        <w:t xml:space="preserve"> בעמ' 446) – ואף זאת, באופן שאינו מופרך על פי סטנדרט הסבירות הצרה. הלגיטימציה של בית המשפט להתערב בהחלטות אלה – להבדיל, למשל, מהלגיטימציה להתערב בהחלטות דומות בהן נמצא פגם מינהלי </w:t>
      </w:r>
      <w:r w:rsidRPr="007C3B90">
        <w:rPr>
          <w:rFonts w:hint="cs"/>
          <w:rtl/>
        </w:rPr>
        <w:t>'</w:t>
      </w:r>
      <w:r w:rsidRPr="007C3B90">
        <w:rPr>
          <w:rtl/>
        </w:rPr>
        <w:t>מסורתי</w:t>
      </w:r>
      <w:r w:rsidRPr="007C3B90">
        <w:rPr>
          <w:rFonts w:hint="cs"/>
          <w:rtl/>
        </w:rPr>
        <w:t>',</w:t>
      </w:r>
      <w:r w:rsidRPr="007C3B90">
        <w:rPr>
          <w:rtl/>
        </w:rPr>
        <w:t xml:space="preserve"> </w:t>
      </w:r>
      <w:r w:rsidRPr="007C3B90">
        <w:rPr>
          <w:rFonts w:hint="cs"/>
          <w:rtl/>
        </w:rPr>
        <w:t>כ</w:t>
      </w:r>
      <w:r w:rsidRPr="007C3B90">
        <w:rPr>
          <w:rtl/>
        </w:rPr>
        <w:t>דוגמת חוסר סמכות או מטרה זרה – מצויה</w:t>
      </w:r>
      <w:r w:rsidRPr="007C3B90">
        <w:rPr>
          <w:rFonts w:hint="cs"/>
          <w:rtl/>
        </w:rPr>
        <w:t>,</w:t>
      </w:r>
      <w:r w:rsidRPr="007C3B90">
        <w:rPr>
          <w:rtl/>
        </w:rPr>
        <w:t xml:space="preserve"> </w:t>
      </w:r>
      <w:r w:rsidRPr="007C3B90">
        <w:rPr>
          <w:rFonts w:hint="cs"/>
          <w:rtl/>
        </w:rPr>
        <w:t xml:space="preserve">כפי שפורט לעיל, </w:t>
      </w:r>
      <w:r w:rsidRPr="007C3B90">
        <w:rPr>
          <w:rtl/>
        </w:rPr>
        <w:t xml:space="preserve">במחלוקת משפטית וציבורית ארוכת שנים. </w:t>
      </w:r>
      <w:r w:rsidRPr="007C3B90">
        <w:rPr>
          <w:rtl/>
        </w:rPr>
        <w:br/>
      </w:r>
    </w:p>
    <w:p w:rsidR="00BB56BB" w:rsidRPr="007C3B90" w:rsidRDefault="00BB56BB" w:rsidP="00BB56BB">
      <w:pPr>
        <w:pStyle w:val="Ruller4"/>
        <w:rPr>
          <w:rtl/>
        </w:rPr>
      </w:pPr>
      <w:r w:rsidRPr="007C3B90">
        <w:rPr>
          <w:rFonts w:hint="eastAsia"/>
          <w:rtl/>
        </w:rPr>
        <w:t>בכינון</w:t>
      </w:r>
      <w:r w:rsidRPr="007C3B90">
        <w:rPr>
          <w:rtl/>
        </w:rPr>
        <w:t xml:space="preserve"> </w:t>
      </w:r>
      <w:r w:rsidRPr="007C3B90">
        <w:rPr>
          <w:rFonts w:hint="eastAsia"/>
          <w:rtl/>
        </w:rPr>
        <w:t>חוק</w:t>
      </w:r>
      <w:r w:rsidRPr="007C3B90">
        <w:rPr>
          <w:rFonts w:hint="cs"/>
          <w:rtl/>
        </w:rPr>
        <w:t xml:space="preserve"> </w:t>
      </w:r>
      <w:r w:rsidRPr="007C3B90">
        <w:rPr>
          <w:rFonts w:hint="eastAsia"/>
          <w:rtl/>
        </w:rPr>
        <w:t>היסוד</w:t>
      </w:r>
      <w:r w:rsidRPr="007C3B90">
        <w:rPr>
          <w:rtl/>
        </w:rPr>
        <w:t xml:space="preserve"> </w:t>
      </w:r>
      <w:r w:rsidRPr="007C3B90">
        <w:rPr>
          <w:rFonts w:hint="eastAsia"/>
          <w:rtl/>
        </w:rPr>
        <w:t>המתקן</w:t>
      </w:r>
      <w:r w:rsidRPr="007C3B90">
        <w:rPr>
          <w:rtl/>
        </w:rPr>
        <w:t xml:space="preserve">, </w:t>
      </w:r>
      <w:r w:rsidRPr="007C3B90">
        <w:rPr>
          <w:rFonts w:hint="eastAsia"/>
          <w:rtl/>
        </w:rPr>
        <w:t>אימצה</w:t>
      </w:r>
      <w:r w:rsidRPr="007C3B90">
        <w:rPr>
          <w:rtl/>
        </w:rPr>
        <w:t xml:space="preserve"> </w:t>
      </w:r>
      <w:r w:rsidRPr="007C3B90">
        <w:rPr>
          <w:rFonts w:hint="eastAsia"/>
          <w:rtl/>
        </w:rPr>
        <w:t>הכנסת</w:t>
      </w:r>
      <w:r w:rsidRPr="007C3B90">
        <w:rPr>
          <w:rtl/>
        </w:rPr>
        <w:t xml:space="preserve">, </w:t>
      </w:r>
      <w:r w:rsidRPr="007C3B90">
        <w:rPr>
          <w:rFonts w:hint="eastAsia"/>
          <w:rtl/>
        </w:rPr>
        <w:t>בכובעה</w:t>
      </w:r>
      <w:r w:rsidRPr="007C3B90">
        <w:rPr>
          <w:rtl/>
        </w:rPr>
        <w:t xml:space="preserve"> </w:t>
      </w:r>
      <w:r w:rsidRPr="007C3B90">
        <w:rPr>
          <w:rFonts w:hint="eastAsia"/>
          <w:rtl/>
        </w:rPr>
        <w:t>כרשות</w:t>
      </w:r>
      <w:r w:rsidRPr="007C3B90">
        <w:rPr>
          <w:rtl/>
        </w:rPr>
        <w:t xml:space="preserve"> </w:t>
      </w:r>
      <w:r w:rsidRPr="007C3B90">
        <w:rPr>
          <w:rFonts w:hint="eastAsia"/>
          <w:rtl/>
        </w:rPr>
        <w:t>מכוננת</w:t>
      </w:r>
      <w:r w:rsidRPr="007C3B90">
        <w:rPr>
          <w:rtl/>
        </w:rPr>
        <w:t xml:space="preserve">, </w:t>
      </w:r>
      <w:r w:rsidRPr="007C3B90">
        <w:rPr>
          <w:rFonts w:hint="eastAsia"/>
          <w:rtl/>
        </w:rPr>
        <w:t>את</w:t>
      </w:r>
      <w:r w:rsidRPr="007C3B90">
        <w:rPr>
          <w:rtl/>
        </w:rPr>
        <w:t xml:space="preserve"> </w:t>
      </w:r>
      <w:r w:rsidRPr="007C3B90">
        <w:rPr>
          <w:rFonts w:hint="eastAsia"/>
          <w:rtl/>
        </w:rPr>
        <w:t>העמדה</w:t>
      </w:r>
      <w:r w:rsidRPr="007C3B90">
        <w:rPr>
          <w:rtl/>
        </w:rPr>
        <w:t xml:space="preserve"> </w:t>
      </w:r>
      <w:r w:rsidRPr="007C3B90">
        <w:rPr>
          <w:rFonts w:hint="eastAsia"/>
          <w:rtl/>
        </w:rPr>
        <w:t>שלפיה</w:t>
      </w:r>
      <w:r w:rsidRPr="007C3B90">
        <w:rPr>
          <w:rtl/>
        </w:rPr>
        <w:t xml:space="preserve"> </w:t>
      </w:r>
      <w:r w:rsidRPr="007C3B90">
        <w:rPr>
          <w:rFonts w:hint="eastAsia"/>
          <w:rtl/>
        </w:rPr>
        <w:t>אין</w:t>
      </w:r>
      <w:r w:rsidRPr="007C3B90">
        <w:rPr>
          <w:rtl/>
        </w:rPr>
        <w:t xml:space="preserve"> </w:t>
      </w:r>
      <w:r w:rsidRPr="007C3B90">
        <w:rPr>
          <w:rFonts w:hint="eastAsia"/>
          <w:rtl/>
        </w:rPr>
        <w:t>זה</w:t>
      </w:r>
      <w:r w:rsidRPr="007C3B90">
        <w:rPr>
          <w:rtl/>
        </w:rPr>
        <w:t xml:space="preserve"> </w:t>
      </w:r>
      <w:r w:rsidRPr="007C3B90">
        <w:rPr>
          <w:rFonts w:hint="eastAsia"/>
          <w:rtl/>
        </w:rPr>
        <w:t>ראוי</w:t>
      </w:r>
      <w:r w:rsidRPr="007C3B90">
        <w:rPr>
          <w:rtl/>
        </w:rPr>
        <w:t xml:space="preserve"> </w:t>
      </w:r>
      <w:r w:rsidRPr="007C3B90">
        <w:rPr>
          <w:rFonts w:hint="eastAsia"/>
          <w:rtl/>
        </w:rPr>
        <w:t>כי</w:t>
      </w:r>
      <w:r w:rsidRPr="007C3B90">
        <w:rPr>
          <w:rtl/>
        </w:rPr>
        <w:t xml:space="preserve"> </w:t>
      </w:r>
      <w:r w:rsidRPr="007C3B90">
        <w:rPr>
          <w:rFonts w:hint="eastAsia"/>
          <w:rtl/>
        </w:rPr>
        <w:t>בית</w:t>
      </w:r>
      <w:r w:rsidRPr="007C3B90">
        <w:rPr>
          <w:rtl/>
        </w:rPr>
        <w:t xml:space="preserve"> </w:t>
      </w:r>
      <w:r w:rsidRPr="007C3B90">
        <w:rPr>
          <w:rFonts w:hint="eastAsia"/>
          <w:rtl/>
        </w:rPr>
        <w:t>המשפט</w:t>
      </w:r>
      <w:r w:rsidRPr="007C3B90">
        <w:rPr>
          <w:rtl/>
        </w:rPr>
        <w:t xml:space="preserve"> </w:t>
      </w:r>
      <w:r w:rsidRPr="007C3B90">
        <w:rPr>
          <w:rFonts w:hint="eastAsia"/>
          <w:rtl/>
        </w:rPr>
        <w:t>ידון</w:t>
      </w:r>
      <w:r w:rsidRPr="007C3B90">
        <w:rPr>
          <w:rtl/>
        </w:rPr>
        <w:t xml:space="preserve"> </w:t>
      </w:r>
      <w:r w:rsidRPr="007C3B90">
        <w:rPr>
          <w:rFonts w:hint="eastAsia"/>
          <w:rtl/>
        </w:rPr>
        <w:t>בסבירות</w:t>
      </w:r>
      <w:r w:rsidRPr="007C3B90">
        <w:rPr>
          <w:rtl/>
        </w:rPr>
        <w:t xml:space="preserve"> </w:t>
      </w:r>
      <w:r w:rsidRPr="007C3B90">
        <w:rPr>
          <w:rFonts w:hint="eastAsia"/>
          <w:rtl/>
        </w:rPr>
        <w:t>החלטותיהם</w:t>
      </w:r>
      <w:r w:rsidRPr="007C3B90">
        <w:rPr>
          <w:rtl/>
        </w:rPr>
        <w:t xml:space="preserve"> </w:t>
      </w:r>
      <w:r w:rsidRPr="007C3B90">
        <w:rPr>
          <w:rFonts w:hint="eastAsia"/>
          <w:rtl/>
        </w:rPr>
        <w:t>של</w:t>
      </w:r>
      <w:r w:rsidRPr="007C3B90">
        <w:rPr>
          <w:rtl/>
        </w:rPr>
        <w:t xml:space="preserve"> </w:t>
      </w:r>
      <w:r w:rsidRPr="007C3B90">
        <w:rPr>
          <w:rFonts w:hint="eastAsia"/>
          <w:rtl/>
        </w:rPr>
        <w:t>הממשלה</w:t>
      </w:r>
      <w:r w:rsidRPr="007C3B90">
        <w:rPr>
          <w:rtl/>
        </w:rPr>
        <w:t xml:space="preserve"> </w:t>
      </w:r>
      <w:r w:rsidRPr="007C3B90">
        <w:rPr>
          <w:rFonts w:hint="eastAsia"/>
          <w:rtl/>
        </w:rPr>
        <w:t>ושריה</w:t>
      </w:r>
      <w:r w:rsidRPr="007C3B90">
        <w:rPr>
          <w:rtl/>
        </w:rPr>
        <w:t xml:space="preserve">, </w:t>
      </w:r>
      <w:r w:rsidRPr="007C3B90">
        <w:rPr>
          <w:rFonts w:hint="eastAsia"/>
          <w:rtl/>
        </w:rPr>
        <w:t>במובן</w:t>
      </w:r>
      <w:r w:rsidRPr="007C3B90">
        <w:rPr>
          <w:rtl/>
        </w:rPr>
        <w:t xml:space="preserve"> </w:t>
      </w:r>
      <w:r w:rsidRPr="007C3B90">
        <w:rPr>
          <w:rFonts w:hint="eastAsia"/>
          <w:rtl/>
        </w:rPr>
        <w:t>של</w:t>
      </w:r>
      <w:r w:rsidRPr="007C3B90">
        <w:rPr>
          <w:rtl/>
        </w:rPr>
        <w:t xml:space="preserve"> </w:t>
      </w:r>
      <w:r w:rsidRPr="007C3B90">
        <w:rPr>
          <w:rFonts w:hint="eastAsia"/>
          <w:rtl/>
        </w:rPr>
        <w:t>סבירות</w:t>
      </w:r>
      <w:r w:rsidRPr="007C3B90">
        <w:rPr>
          <w:rtl/>
        </w:rPr>
        <w:t xml:space="preserve"> </w:t>
      </w:r>
      <w:r w:rsidRPr="007C3B90">
        <w:rPr>
          <w:rFonts w:hint="eastAsia"/>
          <w:rtl/>
        </w:rPr>
        <w:t>איזונית</w:t>
      </w:r>
      <w:r w:rsidRPr="007C3B90">
        <w:rPr>
          <w:rtl/>
        </w:rPr>
        <w:t xml:space="preserve">. </w:t>
      </w:r>
      <w:r w:rsidRPr="007C3B90">
        <w:rPr>
          <w:rFonts w:hint="eastAsia"/>
          <w:rtl/>
        </w:rPr>
        <w:t>בעמדה</w:t>
      </w:r>
      <w:r w:rsidRPr="007C3B90">
        <w:rPr>
          <w:rtl/>
        </w:rPr>
        <w:t xml:space="preserve"> </w:t>
      </w:r>
      <w:r w:rsidRPr="007C3B90">
        <w:rPr>
          <w:rFonts w:hint="eastAsia"/>
          <w:rtl/>
        </w:rPr>
        <w:t>זו</w:t>
      </w:r>
      <w:r w:rsidRPr="007C3B90">
        <w:rPr>
          <w:rtl/>
        </w:rPr>
        <w:t xml:space="preserve">, </w:t>
      </w:r>
      <w:r w:rsidRPr="007C3B90">
        <w:rPr>
          <w:rFonts w:hint="eastAsia"/>
          <w:rtl/>
        </w:rPr>
        <w:t>המבוססת</w:t>
      </w:r>
      <w:r w:rsidRPr="007C3B90">
        <w:rPr>
          <w:rtl/>
        </w:rPr>
        <w:t xml:space="preserve"> </w:t>
      </w:r>
      <w:r w:rsidRPr="007C3B90">
        <w:rPr>
          <w:rFonts w:hint="cs"/>
          <w:rtl/>
        </w:rPr>
        <w:t xml:space="preserve">כאמור </w:t>
      </w:r>
      <w:r w:rsidRPr="007C3B90">
        <w:rPr>
          <w:rFonts w:hint="eastAsia"/>
          <w:rtl/>
        </w:rPr>
        <w:t>על</w:t>
      </w:r>
      <w:r w:rsidRPr="007C3B90">
        <w:rPr>
          <w:rtl/>
        </w:rPr>
        <w:t xml:space="preserve"> </w:t>
      </w:r>
      <w:r w:rsidRPr="007C3B90">
        <w:rPr>
          <w:rFonts w:hint="eastAsia"/>
          <w:rtl/>
        </w:rPr>
        <w:t>טענות</w:t>
      </w:r>
      <w:r w:rsidRPr="007C3B90">
        <w:rPr>
          <w:rtl/>
        </w:rPr>
        <w:t xml:space="preserve"> </w:t>
      </w:r>
      <w:r w:rsidRPr="007C3B90">
        <w:rPr>
          <w:rFonts w:hint="eastAsia"/>
          <w:rtl/>
        </w:rPr>
        <w:t>בדבר</w:t>
      </w:r>
      <w:r w:rsidRPr="007C3B90">
        <w:rPr>
          <w:rtl/>
        </w:rPr>
        <w:t xml:space="preserve"> </w:t>
      </w:r>
      <w:r w:rsidRPr="007C3B90">
        <w:rPr>
          <w:rFonts w:hint="eastAsia"/>
          <w:rtl/>
        </w:rPr>
        <w:t>עמימותה</w:t>
      </w:r>
      <w:r w:rsidRPr="007C3B90">
        <w:rPr>
          <w:rtl/>
        </w:rPr>
        <w:t xml:space="preserve"> </w:t>
      </w:r>
      <w:r w:rsidRPr="007C3B90">
        <w:rPr>
          <w:rFonts w:hint="eastAsia"/>
          <w:rtl/>
        </w:rPr>
        <w:t>של</w:t>
      </w:r>
      <w:r w:rsidRPr="007C3B90">
        <w:rPr>
          <w:rtl/>
        </w:rPr>
        <w:t xml:space="preserve"> </w:t>
      </w:r>
      <w:r w:rsidRPr="007C3B90">
        <w:rPr>
          <w:rFonts w:hint="eastAsia"/>
          <w:rtl/>
        </w:rPr>
        <w:t>נוסחת</w:t>
      </w:r>
      <w:r w:rsidRPr="007C3B90">
        <w:rPr>
          <w:rtl/>
        </w:rPr>
        <w:t xml:space="preserve"> </w:t>
      </w:r>
      <w:r w:rsidRPr="007C3B90">
        <w:rPr>
          <w:rFonts w:hint="eastAsia"/>
          <w:rtl/>
        </w:rPr>
        <w:t>איזון</w:t>
      </w:r>
      <w:r w:rsidRPr="007C3B90">
        <w:rPr>
          <w:rtl/>
        </w:rPr>
        <w:t xml:space="preserve"> </w:t>
      </w:r>
      <w:r w:rsidRPr="007C3B90">
        <w:rPr>
          <w:rFonts w:hint="eastAsia"/>
          <w:rtl/>
        </w:rPr>
        <w:t>האינטרסים</w:t>
      </w:r>
      <w:r w:rsidRPr="007C3B90">
        <w:rPr>
          <w:rtl/>
        </w:rPr>
        <w:t xml:space="preserve"> ובדבר השלכותיו הלא-רצויות של השימוש בנוסחה זו – אחזו במשך השנים מלומדי משפט וחלק משופטי בית משפט זה. גם אם שינוי חקיקתי של עילת הסבירות הוא לצנינים בעינינו, </w:t>
      </w:r>
      <w:r w:rsidRPr="007C3B90">
        <w:rPr>
          <w:rFonts w:hint="cs"/>
          <w:rtl/>
        </w:rPr>
        <w:t xml:space="preserve">עדיין </w:t>
      </w:r>
      <w:r w:rsidRPr="007C3B90">
        <w:rPr>
          <w:rtl/>
        </w:rPr>
        <w:t>התיקון לחוק משקף עמדה לגיטימית ומנומקת,</w:t>
      </w:r>
      <w:r w:rsidRPr="007C3B90">
        <w:rPr>
          <w:rFonts w:hint="cs"/>
          <w:rtl/>
        </w:rPr>
        <w:t xml:space="preserve"> </w:t>
      </w:r>
      <w:r w:rsidRPr="007C3B90">
        <w:rPr>
          <w:rtl/>
        </w:rPr>
        <w:t xml:space="preserve">אשר אין בה כדי לשלול או לפגוע בצורה אנושה באושיות הדמוקרטיה. </w:t>
      </w:r>
      <w:r w:rsidRPr="007C3B90">
        <w:rPr>
          <w:rFonts w:hint="eastAsia"/>
          <w:rtl/>
        </w:rPr>
        <w:t>אילו</w:t>
      </w:r>
      <w:r w:rsidRPr="007C3B90">
        <w:rPr>
          <w:rtl/>
        </w:rPr>
        <w:t xml:space="preserve"> </w:t>
      </w:r>
      <w:r w:rsidRPr="007C3B90">
        <w:rPr>
          <w:rFonts w:hint="eastAsia"/>
          <w:rtl/>
        </w:rPr>
        <w:t>עמדה</w:t>
      </w:r>
      <w:r w:rsidRPr="007C3B90">
        <w:rPr>
          <w:rtl/>
        </w:rPr>
        <w:t xml:space="preserve"> </w:t>
      </w:r>
      <w:r w:rsidRPr="007C3B90">
        <w:rPr>
          <w:rFonts w:hint="eastAsia"/>
          <w:rtl/>
        </w:rPr>
        <w:t>זו</w:t>
      </w:r>
      <w:r w:rsidRPr="007C3B90">
        <w:rPr>
          <w:rtl/>
        </w:rPr>
        <w:t xml:space="preserve"> </w:t>
      </w:r>
      <w:r w:rsidRPr="007C3B90">
        <w:rPr>
          <w:rFonts w:hint="eastAsia"/>
          <w:rtl/>
        </w:rPr>
        <w:t>הי</w:t>
      </w:r>
      <w:r w:rsidRPr="007C3B90">
        <w:rPr>
          <w:rFonts w:hint="cs"/>
          <w:rtl/>
        </w:rPr>
        <w:t>י</w:t>
      </w:r>
      <w:r w:rsidRPr="007C3B90">
        <w:rPr>
          <w:rFonts w:hint="eastAsia"/>
          <w:rtl/>
        </w:rPr>
        <w:t>תה</w:t>
      </w:r>
      <w:r w:rsidRPr="007C3B90">
        <w:rPr>
          <w:rtl/>
        </w:rPr>
        <w:t xml:space="preserve"> </w:t>
      </w:r>
      <w:r w:rsidRPr="007C3B90">
        <w:rPr>
          <w:rFonts w:hint="eastAsia"/>
          <w:rtl/>
        </w:rPr>
        <w:t>נושאת</w:t>
      </w:r>
      <w:r w:rsidRPr="007C3B90">
        <w:rPr>
          <w:rtl/>
        </w:rPr>
        <w:t xml:space="preserve"> </w:t>
      </w:r>
      <w:r w:rsidRPr="007C3B90">
        <w:rPr>
          <w:rFonts w:hint="eastAsia"/>
          <w:rtl/>
        </w:rPr>
        <w:t>עמה</w:t>
      </w:r>
      <w:r w:rsidRPr="007C3B90">
        <w:rPr>
          <w:rtl/>
        </w:rPr>
        <w:t xml:space="preserve"> </w:t>
      </w:r>
      <w:r w:rsidRPr="007C3B90">
        <w:rPr>
          <w:rFonts w:hint="eastAsia"/>
          <w:rtl/>
        </w:rPr>
        <w:t>פגיעה</w:t>
      </w:r>
      <w:r w:rsidRPr="007C3B90">
        <w:rPr>
          <w:rtl/>
        </w:rPr>
        <w:t xml:space="preserve"> </w:t>
      </w:r>
      <w:r w:rsidRPr="007C3B90">
        <w:rPr>
          <w:rFonts w:hint="eastAsia"/>
          <w:rtl/>
        </w:rPr>
        <w:t>כאמור</w:t>
      </w:r>
      <w:r w:rsidRPr="007C3B90">
        <w:rPr>
          <w:rFonts w:hint="cs"/>
          <w:rtl/>
        </w:rPr>
        <w:t xml:space="preserve"> באופייה הדמוקרטי של המדינה</w:t>
      </w:r>
      <w:r w:rsidRPr="007C3B90">
        <w:rPr>
          <w:rtl/>
        </w:rPr>
        <w:t xml:space="preserve">, </w:t>
      </w:r>
      <w:r w:rsidRPr="007C3B90">
        <w:rPr>
          <w:rFonts w:hint="cs"/>
          <w:rtl/>
        </w:rPr>
        <w:t>היה</w:t>
      </w:r>
      <w:r w:rsidRPr="007C3B90">
        <w:rPr>
          <w:rtl/>
        </w:rPr>
        <w:t xml:space="preserve"> מקום</w:t>
      </w:r>
      <w:r w:rsidRPr="007C3B90">
        <w:rPr>
          <w:rFonts w:hint="cs"/>
          <w:rtl/>
        </w:rPr>
        <w:t>,</w:t>
      </w:r>
      <w:r w:rsidRPr="007C3B90">
        <w:rPr>
          <w:rtl/>
        </w:rPr>
        <w:t xml:space="preserve"> </w:t>
      </w:r>
      <w:r w:rsidRPr="007C3B90">
        <w:rPr>
          <w:rFonts w:hint="eastAsia"/>
          <w:rtl/>
        </w:rPr>
        <w:lastRenderedPageBreak/>
        <w:t>לכאורה</w:t>
      </w:r>
      <w:r w:rsidRPr="007C3B90">
        <w:rPr>
          <w:rtl/>
        </w:rPr>
        <w:t xml:space="preserve">, </w:t>
      </w:r>
      <w:r w:rsidRPr="007C3B90">
        <w:rPr>
          <w:rFonts w:hint="eastAsia"/>
          <w:rtl/>
        </w:rPr>
        <w:t>לחסום</w:t>
      </w:r>
      <w:r w:rsidRPr="007C3B90">
        <w:rPr>
          <w:rtl/>
        </w:rPr>
        <w:t xml:space="preserve"> </w:t>
      </w:r>
      <w:r w:rsidRPr="007C3B90">
        <w:rPr>
          <w:rFonts w:hint="eastAsia"/>
          <w:rtl/>
        </w:rPr>
        <w:t>מהתמודדות</w:t>
      </w:r>
      <w:r w:rsidRPr="007C3B90">
        <w:rPr>
          <w:rtl/>
        </w:rPr>
        <w:t xml:space="preserve"> </w:t>
      </w:r>
      <w:r w:rsidRPr="007C3B90">
        <w:rPr>
          <w:rFonts w:hint="eastAsia"/>
          <w:rtl/>
        </w:rPr>
        <w:t>לכנסת</w:t>
      </w:r>
      <w:r w:rsidRPr="007C3B90">
        <w:rPr>
          <w:rtl/>
        </w:rPr>
        <w:t xml:space="preserve"> </w:t>
      </w:r>
      <w:r w:rsidRPr="007C3B90">
        <w:rPr>
          <w:rFonts w:hint="eastAsia"/>
          <w:rtl/>
        </w:rPr>
        <w:t>רשימות</w:t>
      </w:r>
      <w:r w:rsidRPr="007C3B90">
        <w:rPr>
          <w:rtl/>
        </w:rPr>
        <w:t xml:space="preserve"> </w:t>
      </w:r>
      <w:r w:rsidRPr="007C3B90">
        <w:rPr>
          <w:rFonts w:hint="eastAsia"/>
          <w:rtl/>
        </w:rPr>
        <w:t>ומועמדים</w:t>
      </w:r>
      <w:r w:rsidRPr="007C3B90">
        <w:rPr>
          <w:rtl/>
        </w:rPr>
        <w:t xml:space="preserve"> </w:t>
      </w:r>
      <w:r w:rsidRPr="007C3B90">
        <w:rPr>
          <w:rFonts w:hint="eastAsia"/>
          <w:rtl/>
        </w:rPr>
        <w:t>אשר</w:t>
      </w:r>
      <w:r w:rsidRPr="007C3B90">
        <w:rPr>
          <w:rtl/>
        </w:rPr>
        <w:t xml:space="preserve"> </w:t>
      </w:r>
      <w:r w:rsidRPr="007C3B90">
        <w:rPr>
          <w:rFonts w:hint="eastAsia"/>
          <w:rtl/>
        </w:rPr>
        <w:t>קראו</w:t>
      </w:r>
      <w:r w:rsidRPr="007C3B90">
        <w:rPr>
          <w:rtl/>
        </w:rPr>
        <w:t xml:space="preserve"> </w:t>
      </w:r>
      <w:r w:rsidRPr="007C3B90">
        <w:rPr>
          <w:rFonts w:hint="eastAsia"/>
          <w:rtl/>
        </w:rPr>
        <w:t>לצמצ</w:t>
      </w:r>
      <w:r w:rsidRPr="007C3B90">
        <w:rPr>
          <w:rFonts w:hint="cs"/>
          <w:rtl/>
        </w:rPr>
        <w:t>ום</w:t>
      </w:r>
      <w:r w:rsidRPr="007C3B90">
        <w:rPr>
          <w:rtl/>
        </w:rPr>
        <w:t xml:space="preserve"> עיל</w:t>
      </w:r>
      <w:r w:rsidRPr="007C3B90">
        <w:rPr>
          <w:rFonts w:hint="cs"/>
          <w:rtl/>
        </w:rPr>
        <w:t>ת הסבירות. זאת לא קרה, ודומה שאין חולק כי חסימה מעין זו אינה מתקבלת על הדעת</w:t>
      </w:r>
      <w:r w:rsidRPr="007C3B90">
        <w:rPr>
          <w:rtl/>
        </w:rPr>
        <w:t xml:space="preserve">. כפי שציינה הכנסת בתשובתה לעתירות, המחלוקת על גבולות עילת הסבירות מתנהלת מזה עשרות שנים בשדה האקדמי, המשפטי והציבורי, ומעולם לא נטען כי עמדתו של אחד מהצדדים במחלוקת זו, היא פסולה עד כדי חריגה מיסודות הדמוקרטיה. </w:t>
      </w:r>
      <w:r w:rsidRPr="007C3B90">
        <w:rPr>
          <w:rtl/>
        </w:rPr>
        <w:br/>
      </w:r>
    </w:p>
    <w:p w:rsidR="00BB56BB" w:rsidRPr="007C3B90" w:rsidRDefault="00BB56BB" w:rsidP="00BB56BB">
      <w:pPr>
        <w:pStyle w:val="Ruller4"/>
        <w:rPr>
          <w:rtl/>
        </w:rPr>
      </w:pPr>
      <w:r w:rsidRPr="007C3B90">
        <w:rPr>
          <w:rFonts w:hint="eastAsia"/>
          <w:rtl/>
        </w:rPr>
        <w:t>ויו</w:t>
      </w:r>
      <w:r w:rsidRPr="007C3B90">
        <w:rPr>
          <w:rFonts w:hint="cs"/>
          <w:rtl/>
        </w:rPr>
        <w:t>דגש</w:t>
      </w:r>
      <w:r w:rsidRPr="007C3B90">
        <w:rPr>
          <w:rtl/>
        </w:rPr>
        <w:t xml:space="preserve">, </w:t>
      </w:r>
      <w:r w:rsidRPr="007C3B90">
        <w:rPr>
          <w:rFonts w:hint="eastAsia"/>
          <w:rtl/>
        </w:rPr>
        <w:t>במשך</w:t>
      </w:r>
      <w:r w:rsidRPr="007C3B90">
        <w:rPr>
          <w:rtl/>
        </w:rPr>
        <w:t xml:space="preserve"> </w:t>
      </w:r>
      <w:r w:rsidRPr="007C3B90">
        <w:rPr>
          <w:rFonts w:hint="eastAsia"/>
          <w:rtl/>
        </w:rPr>
        <w:t>שלושה</w:t>
      </w:r>
      <w:r w:rsidRPr="007C3B90">
        <w:rPr>
          <w:rtl/>
        </w:rPr>
        <w:t xml:space="preserve"> </w:t>
      </w:r>
      <w:r w:rsidRPr="007C3B90">
        <w:rPr>
          <w:rFonts w:hint="eastAsia"/>
          <w:rtl/>
        </w:rPr>
        <w:t>עשורים</w:t>
      </w:r>
      <w:r w:rsidRPr="007C3B90">
        <w:rPr>
          <w:rtl/>
        </w:rPr>
        <w:t xml:space="preserve">, </w:t>
      </w:r>
      <w:r w:rsidRPr="007C3B90">
        <w:rPr>
          <w:rFonts w:hint="eastAsia"/>
          <w:rtl/>
        </w:rPr>
        <w:t>מאז</w:t>
      </w:r>
      <w:r w:rsidRPr="007C3B90">
        <w:rPr>
          <w:rtl/>
        </w:rPr>
        <w:t xml:space="preserve"> </w:t>
      </w:r>
      <w:r w:rsidRPr="007C3B90">
        <w:rPr>
          <w:rFonts w:hint="eastAsia"/>
          <w:rtl/>
        </w:rPr>
        <w:t>קום</w:t>
      </w:r>
      <w:r w:rsidRPr="007C3B90">
        <w:rPr>
          <w:rtl/>
        </w:rPr>
        <w:t xml:space="preserve"> </w:t>
      </w:r>
      <w:r w:rsidRPr="007C3B90">
        <w:rPr>
          <w:rFonts w:hint="eastAsia"/>
          <w:rtl/>
        </w:rPr>
        <w:t>המדינה</w:t>
      </w:r>
      <w:r w:rsidRPr="007C3B90">
        <w:rPr>
          <w:rtl/>
        </w:rPr>
        <w:t xml:space="preserve"> </w:t>
      </w:r>
      <w:r w:rsidRPr="007C3B90">
        <w:rPr>
          <w:rFonts w:hint="eastAsia"/>
          <w:rtl/>
        </w:rPr>
        <w:t>ועד</w:t>
      </w:r>
      <w:r w:rsidRPr="007C3B90">
        <w:rPr>
          <w:rtl/>
        </w:rPr>
        <w:t xml:space="preserve"> </w:t>
      </w:r>
      <w:r w:rsidRPr="007C3B90">
        <w:rPr>
          <w:rFonts w:hint="eastAsia"/>
          <w:rtl/>
        </w:rPr>
        <w:t>שנות</w:t>
      </w:r>
      <w:r w:rsidRPr="007C3B90">
        <w:rPr>
          <w:rtl/>
        </w:rPr>
        <w:t xml:space="preserve"> </w:t>
      </w:r>
      <w:r w:rsidRPr="007C3B90">
        <w:rPr>
          <w:rFonts w:hint="eastAsia"/>
          <w:rtl/>
        </w:rPr>
        <w:t>השמונים</w:t>
      </w:r>
      <w:r w:rsidRPr="007C3B90">
        <w:rPr>
          <w:rtl/>
        </w:rPr>
        <w:t xml:space="preserve">, </w:t>
      </w:r>
      <w:r w:rsidRPr="007C3B90">
        <w:rPr>
          <w:rFonts w:hint="eastAsia"/>
          <w:rtl/>
        </w:rPr>
        <w:t>עילת</w:t>
      </w:r>
      <w:r w:rsidRPr="007C3B90">
        <w:rPr>
          <w:rtl/>
        </w:rPr>
        <w:t xml:space="preserve"> </w:t>
      </w:r>
      <w:r w:rsidRPr="007C3B90">
        <w:rPr>
          <w:rFonts w:hint="eastAsia"/>
          <w:rtl/>
        </w:rPr>
        <w:t>הסבירות</w:t>
      </w:r>
      <w:r w:rsidRPr="007C3B90">
        <w:rPr>
          <w:rtl/>
        </w:rPr>
        <w:t xml:space="preserve"> </w:t>
      </w:r>
      <w:r w:rsidRPr="007C3B90">
        <w:rPr>
          <w:rFonts w:hint="eastAsia"/>
          <w:rtl/>
        </w:rPr>
        <w:t>הרחבה</w:t>
      </w:r>
      <w:r w:rsidRPr="007C3B90">
        <w:rPr>
          <w:rtl/>
        </w:rPr>
        <w:t xml:space="preserve"> </w:t>
      </w:r>
      <w:r w:rsidRPr="007C3B90">
        <w:rPr>
          <w:rFonts w:hint="eastAsia"/>
          <w:rtl/>
        </w:rPr>
        <w:t>לא</w:t>
      </w:r>
      <w:r w:rsidRPr="007C3B90">
        <w:rPr>
          <w:rtl/>
        </w:rPr>
        <w:t xml:space="preserve"> </w:t>
      </w:r>
      <w:r w:rsidRPr="007C3B90">
        <w:rPr>
          <w:rFonts w:hint="eastAsia"/>
          <w:rtl/>
        </w:rPr>
        <w:t>נהגה</w:t>
      </w:r>
      <w:r w:rsidRPr="007C3B90">
        <w:rPr>
          <w:rtl/>
        </w:rPr>
        <w:t xml:space="preserve"> </w:t>
      </w:r>
      <w:r w:rsidRPr="007C3B90">
        <w:rPr>
          <w:rFonts w:hint="eastAsia"/>
          <w:rtl/>
        </w:rPr>
        <w:t>בפסיקת</w:t>
      </w:r>
      <w:r w:rsidRPr="007C3B90">
        <w:rPr>
          <w:rtl/>
        </w:rPr>
        <w:t xml:space="preserve"> </w:t>
      </w:r>
      <w:r w:rsidRPr="007C3B90">
        <w:rPr>
          <w:rFonts w:hint="eastAsia"/>
          <w:rtl/>
        </w:rPr>
        <w:t>בתי</w:t>
      </w:r>
      <w:r w:rsidRPr="007C3B90">
        <w:rPr>
          <w:rtl/>
        </w:rPr>
        <w:t xml:space="preserve"> </w:t>
      </w:r>
      <w:r w:rsidRPr="007C3B90">
        <w:rPr>
          <w:rFonts w:hint="eastAsia"/>
          <w:rtl/>
        </w:rPr>
        <w:t>המשפט</w:t>
      </w:r>
      <w:r w:rsidRPr="007C3B90">
        <w:rPr>
          <w:rtl/>
        </w:rPr>
        <w:t xml:space="preserve">, </w:t>
      </w:r>
      <w:r w:rsidRPr="007C3B90">
        <w:rPr>
          <w:rFonts w:hint="eastAsia"/>
          <w:rtl/>
        </w:rPr>
        <w:t>ודאי</w:t>
      </w:r>
      <w:r w:rsidRPr="007C3B90">
        <w:rPr>
          <w:rtl/>
        </w:rPr>
        <w:t xml:space="preserve"> </w:t>
      </w:r>
      <w:r w:rsidRPr="007C3B90">
        <w:rPr>
          <w:rFonts w:hint="eastAsia"/>
          <w:rtl/>
        </w:rPr>
        <w:t>לא</w:t>
      </w:r>
      <w:r w:rsidRPr="007C3B90">
        <w:rPr>
          <w:rtl/>
        </w:rPr>
        <w:t xml:space="preserve"> </w:t>
      </w:r>
      <w:r w:rsidRPr="007C3B90">
        <w:rPr>
          <w:rFonts w:hint="eastAsia"/>
          <w:rtl/>
        </w:rPr>
        <w:t>בהיקפה</w:t>
      </w:r>
      <w:r w:rsidRPr="007C3B90">
        <w:rPr>
          <w:rtl/>
        </w:rPr>
        <w:t xml:space="preserve"> </w:t>
      </w:r>
      <w:r w:rsidRPr="007C3B90">
        <w:rPr>
          <w:rFonts w:hint="eastAsia"/>
          <w:rtl/>
        </w:rPr>
        <w:t>כיום</w:t>
      </w:r>
      <w:r w:rsidRPr="007C3B90">
        <w:rPr>
          <w:rtl/>
        </w:rPr>
        <w:t xml:space="preserve"> </w:t>
      </w:r>
      <w:r w:rsidRPr="007C3B90">
        <w:rPr>
          <w:rFonts w:hint="eastAsia"/>
          <w:rtl/>
        </w:rPr>
        <w:t>–</w:t>
      </w:r>
      <w:r w:rsidRPr="007C3B90">
        <w:rPr>
          <w:rtl/>
        </w:rPr>
        <w:t xml:space="preserve"> </w:t>
      </w:r>
      <w:r w:rsidRPr="007C3B90">
        <w:rPr>
          <w:rFonts w:hint="eastAsia"/>
          <w:rtl/>
        </w:rPr>
        <w:t>וזאת</w:t>
      </w:r>
      <w:r w:rsidRPr="007C3B90">
        <w:rPr>
          <w:rtl/>
        </w:rPr>
        <w:t xml:space="preserve">, </w:t>
      </w:r>
      <w:r w:rsidRPr="007C3B90">
        <w:rPr>
          <w:rFonts w:hint="eastAsia"/>
          <w:rtl/>
        </w:rPr>
        <w:t>מבלי</w:t>
      </w:r>
      <w:r w:rsidRPr="007C3B90">
        <w:rPr>
          <w:rtl/>
        </w:rPr>
        <w:t xml:space="preserve"> </w:t>
      </w:r>
      <w:r w:rsidRPr="007C3B90">
        <w:rPr>
          <w:rFonts w:hint="eastAsia"/>
          <w:rtl/>
        </w:rPr>
        <w:t>שנטען</w:t>
      </w:r>
      <w:r w:rsidRPr="007C3B90">
        <w:rPr>
          <w:rtl/>
        </w:rPr>
        <w:t xml:space="preserve"> </w:t>
      </w:r>
      <w:r w:rsidRPr="007C3B90">
        <w:rPr>
          <w:rFonts w:hint="cs"/>
          <w:rtl/>
        </w:rPr>
        <w:t xml:space="preserve">כי נפל </w:t>
      </w:r>
      <w:r w:rsidRPr="007C3B90">
        <w:rPr>
          <w:rFonts w:hint="eastAsia"/>
          <w:rtl/>
        </w:rPr>
        <w:t>פגם</w:t>
      </w:r>
      <w:r w:rsidRPr="007C3B90">
        <w:rPr>
          <w:rtl/>
        </w:rPr>
        <w:t xml:space="preserve"> </w:t>
      </w:r>
      <w:r w:rsidRPr="007C3B90">
        <w:rPr>
          <w:rFonts w:hint="eastAsia"/>
          <w:rtl/>
        </w:rPr>
        <w:t>בזהותה</w:t>
      </w:r>
      <w:r w:rsidRPr="007C3B90">
        <w:rPr>
          <w:rtl/>
        </w:rPr>
        <w:t xml:space="preserve"> </w:t>
      </w:r>
      <w:r w:rsidRPr="007C3B90">
        <w:rPr>
          <w:rFonts w:hint="eastAsia"/>
          <w:rtl/>
        </w:rPr>
        <w:t>הדמוקרטית</w:t>
      </w:r>
      <w:r w:rsidRPr="007C3B90">
        <w:rPr>
          <w:rtl/>
        </w:rPr>
        <w:t xml:space="preserve"> </w:t>
      </w:r>
      <w:r w:rsidRPr="007C3B90">
        <w:rPr>
          <w:rFonts w:hint="eastAsia"/>
          <w:rtl/>
        </w:rPr>
        <w:t>של</w:t>
      </w:r>
      <w:r w:rsidRPr="007C3B90">
        <w:rPr>
          <w:rtl/>
        </w:rPr>
        <w:t xml:space="preserve"> </w:t>
      </w:r>
      <w:r w:rsidRPr="007C3B90">
        <w:rPr>
          <w:rFonts w:hint="eastAsia"/>
          <w:rtl/>
        </w:rPr>
        <w:t>מדינת</w:t>
      </w:r>
      <w:r w:rsidRPr="007C3B90">
        <w:rPr>
          <w:rtl/>
        </w:rPr>
        <w:t xml:space="preserve"> </w:t>
      </w:r>
      <w:r w:rsidRPr="007C3B90">
        <w:rPr>
          <w:rFonts w:hint="eastAsia"/>
          <w:rtl/>
        </w:rPr>
        <w:t>ישראל</w:t>
      </w:r>
      <w:r w:rsidRPr="007C3B90">
        <w:rPr>
          <w:rFonts w:hint="cs"/>
          <w:rtl/>
        </w:rPr>
        <w:t xml:space="preserve"> בכל אות</w:t>
      </w:r>
      <w:r>
        <w:rPr>
          <w:rFonts w:hint="cs"/>
          <w:rtl/>
        </w:rPr>
        <w:t>ן</w:t>
      </w:r>
      <w:r w:rsidRPr="007C3B90">
        <w:rPr>
          <w:rFonts w:hint="cs"/>
          <w:rtl/>
        </w:rPr>
        <w:t xml:space="preserve"> שנים. </w:t>
      </w:r>
      <w:r w:rsidRPr="007C3B90">
        <w:rPr>
          <w:rFonts w:hint="eastAsia"/>
          <w:rtl/>
        </w:rPr>
        <w:t>מצב</w:t>
      </w:r>
      <w:r w:rsidRPr="007C3B90">
        <w:rPr>
          <w:rtl/>
        </w:rPr>
        <w:t xml:space="preserve"> </w:t>
      </w:r>
      <w:r w:rsidRPr="007C3B90">
        <w:rPr>
          <w:rFonts w:hint="eastAsia"/>
          <w:rtl/>
        </w:rPr>
        <w:t>דברים</w:t>
      </w:r>
      <w:r w:rsidRPr="007C3B90">
        <w:rPr>
          <w:rtl/>
        </w:rPr>
        <w:t xml:space="preserve"> </w:t>
      </w:r>
      <w:r w:rsidRPr="007C3B90">
        <w:rPr>
          <w:rFonts w:hint="eastAsia"/>
          <w:rtl/>
        </w:rPr>
        <w:t>זה</w:t>
      </w:r>
      <w:r w:rsidRPr="007C3B90">
        <w:rPr>
          <w:rtl/>
        </w:rPr>
        <w:t xml:space="preserve">, </w:t>
      </w:r>
      <w:r w:rsidRPr="007C3B90">
        <w:rPr>
          <w:rFonts w:hint="eastAsia"/>
          <w:rtl/>
        </w:rPr>
        <w:t>אם</w:t>
      </w:r>
      <w:r w:rsidRPr="007C3B90">
        <w:rPr>
          <w:rtl/>
        </w:rPr>
        <w:t xml:space="preserve"> </w:t>
      </w:r>
      <w:r w:rsidRPr="007C3B90">
        <w:rPr>
          <w:rFonts w:hint="eastAsia"/>
          <w:rtl/>
        </w:rPr>
        <w:t>תרצו</w:t>
      </w:r>
      <w:r w:rsidRPr="007C3B90">
        <w:rPr>
          <w:rtl/>
        </w:rPr>
        <w:t xml:space="preserve"> – </w:t>
      </w:r>
      <w:r w:rsidRPr="007C3B90">
        <w:rPr>
          <w:rFonts w:hint="eastAsia"/>
          <w:rtl/>
        </w:rPr>
        <w:t>טעם</w:t>
      </w:r>
      <w:r w:rsidRPr="007C3B90">
        <w:rPr>
          <w:rtl/>
        </w:rPr>
        <w:t xml:space="preserve"> </w:t>
      </w:r>
      <w:r w:rsidRPr="007C3B90">
        <w:rPr>
          <w:rFonts w:hint="eastAsia"/>
          <w:rtl/>
        </w:rPr>
        <w:t>היסטורי</w:t>
      </w:r>
      <w:r w:rsidRPr="007C3B90">
        <w:rPr>
          <w:rtl/>
        </w:rPr>
        <w:t xml:space="preserve"> </w:t>
      </w:r>
      <w:r w:rsidRPr="007C3B90">
        <w:rPr>
          <w:rFonts w:hint="eastAsia"/>
          <w:rtl/>
        </w:rPr>
        <w:t>זה</w:t>
      </w:r>
      <w:r w:rsidRPr="007C3B90">
        <w:rPr>
          <w:rtl/>
        </w:rPr>
        <w:t xml:space="preserve">, </w:t>
      </w:r>
      <w:r w:rsidRPr="007C3B90">
        <w:rPr>
          <w:rFonts w:hint="eastAsia"/>
          <w:rtl/>
        </w:rPr>
        <w:t>מקשה</w:t>
      </w:r>
      <w:r w:rsidRPr="007C3B90">
        <w:rPr>
          <w:rtl/>
        </w:rPr>
        <w:t xml:space="preserve"> </w:t>
      </w:r>
      <w:r w:rsidRPr="007C3B90">
        <w:rPr>
          <w:rFonts w:hint="eastAsia"/>
          <w:rtl/>
        </w:rPr>
        <w:t>לראות</w:t>
      </w:r>
      <w:r w:rsidRPr="007C3B90">
        <w:rPr>
          <w:rtl/>
        </w:rPr>
        <w:t xml:space="preserve"> </w:t>
      </w:r>
      <w:r w:rsidRPr="007C3B90">
        <w:rPr>
          <w:rFonts w:hint="eastAsia"/>
          <w:rtl/>
        </w:rPr>
        <w:t>בעילת</w:t>
      </w:r>
      <w:r w:rsidRPr="007C3B90">
        <w:rPr>
          <w:rtl/>
        </w:rPr>
        <w:t xml:space="preserve"> </w:t>
      </w:r>
      <w:r w:rsidRPr="007C3B90">
        <w:rPr>
          <w:rFonts w:hint="eastAsia"/>
          <w:rtl/>
        </w:rPr>
        <w:t>הסבירות</w:t>
      </w:r>
      <w:r w:rsidRPr="007C3B90">
        <w:rPr>
          <w:rtl/>
        </w:rPr>
        <w:t xml:space="preserve"> </w:t>
      </w:r>
      <w:r w:rsidRPr="007C3B90">
        <w:rPr>
          <w:rFonts w:hint="eastAsia"/>
          <w:rtl/>
        </w:rPr>
        <w:t>האיזונית</w:t>
      </w:r>
      <w:r w:rsidRPr="007C3B90">
        <w:rPr>
          <w:rtl/>
        </w:rPr>
        <w:t xml:space="preserve"> </w:t>
      </w:r>
      <w:r w:rsidRPr="007C3B90">
        <w:rPr>
          <w:rFonts w:hint="eastAsia"/>
          <w:rtl/>
        </w:rPr>
        <w:t>משום</w:t>
      </w:r>
      <w:r w:rsidRPr="007C3B90">
        <w:rPr>
          <w:rtl/>
        </w:rPr>
        <w:t xml:space="preserve"> </w:t>
      </w:r>
      <w:r w:rsidRPr="007C3B90">
        <w:rPr>
          <w:rFonts w:hint="eastAsia"/>
          <w:rtl/>
        </w:rPr>
        <w:t>תנאי</w:t>
      </w:r>
      <w:r w:rsidRPr="007C3B90">
        <w:rPr>
          <w:rtl/>
        </w:rPr>
        <w:t xml:space="preserve"> </w:t>
      </w:r>
      <w:r w:rsidRPr="007C3B90">
        <w:rPr>
          <w:rFonts w:hint="eastAsia"/>
          <w:rtl/>
        </w:rPr>
        <w:t>יסוד</w:t>
      </w:r>
      <w:r w:rsidRPr="007C3B90">
        <w:rPr>
          <w:rtl/>
        </w:rPr>
        <w:t xml:space="preserve"> </w:t>
      </w:r>
      <w:r w:rsidRPr="007C3B90">
        <w:rPr>
          <w:rFonts w:hint="eastAsia"/>
          <w:rtl/>
        </w:rPr>
        <w:t>לדמוקרטיה</w:t>
      </w:r>
      <w:r w:rsidRPr="007C3B90">
        <w:rPr>
          <w:rtl/>
        </w:rPr>
        <w:t xml:space="preserve"> </w:t>
      </w:r>
      <w:r w:rsidRPr="007C3B90">
        <w:rPr>
          <w:rFonts w:hint="eastAsia"/>
          <w:rtl/>
        </w:rPr>
        <w:t>הישראלית</w:t>
      </w:r>
      <w:r w:rsidRPr="007C3B90">
        <w:rPr>
          <w:rtl/>
        </w:rPr>
        <w:t>.</w:t>
      </w:r>
      <w:r w:rsidRPr="007C3B90">
        <w:rPr>
          <w:rFonts w:hint="cs"/>
          <w:rtl/>
        </w:rPr>
        <w:t xml:space="preserve"> כפי שציינה חברתי השופטת </w:t>
      </w:r>
      <w:r w:rsidRPr="007C3B90">
        <w:rPr>
          <w:rFonts w:ascii="Century" w:hAnsi="Century" w:cs="Miriam" w:hint="eastAsia"/>
          <w:b/>
          <w:spacing w:val="0"/>
          <w:sz w:val="22"/>
          <w:szCs w:val="24"/>
          <w:rtl/>
        </w:rPr>
        <w:t>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וילנר</w:t>
      </w:r>
      <w:r w:rsidRPr="007C3B90">
        <w:rPr>
          <w:rtl/>
        </w:rPr>
        <w:t xml:space="preserve">, קבלת העמדה הגורסת כי ביטול עילת הסבירות הרחבה לגבי החלטות הממשלה והשרים, הוא בגדר פגיעה אנושה במשטרנו הדמוקרטי – משמעותו לרומם את עקרון הסבירות, בתצורתו האיזונית, למעמד על-חוקתי שלא ברור מהיכן בא לו (ראו והשוו: </w:t>
      </w:r>
      <w:r w:rsidRPr="007C3B90">
        <w:rPr>
          <w:rFonts w:ascii="Century" w:hAnsi="Century" w:cs="Miriam"/>
          <w:b/>
          <w:spacing w:val="0"/>
          <w:sz w:val="22"/>
          <w:szCs w:val="24"/>
          <w:rtl/>
        </w:rPr>
        <w:t>דותן, ביקורת שיפוטית</w:t>
      </w:r>
      <w:r w:rsidRPr="007C3B90">
        <w:rPr>
          <w:rFonts w:ascii="Century" w:hAnsi="Century"/>
          <w:sz w:val="22"/>
          <w:rtl/>
        </w:rPr>
        <w:t>,</w:t>
      </w:r>
      <w:r w:rsidRPr="007C3B90">
        <w:rPr>
          <w:rtl/>
        </w:rPr>
        <w:t xml:space="preserve"> בעמ' 239). מעמד זה אינו יכול להתבסס, כפי שהוסבר, על טענה לפגיעה אנושה של התיקון בעקרון הפרדת הרשויות; והוא גם אינו יכול להתבסס,</w:t>
      </w:r>
      <w:r w:rsidRPr="007C3B90">
        <w:rPr>
          <w:rFonts w:hint="cs"/>
          <w:rtl/>
        </w:rPr>
        <w:t xml:space="preserve"> לעמדתי,</w:t>
      </w:r>
      <w:r w:rsidRPr="007C3B90">
        <w:rPr>
          <w:rtl/>
        </w:rPr>
        <w:t xml:space="preserve"> על טענה לפגיעה אנושה בעקרון שלטון החוק. </w:t>
      </w:r>
    </w:p>
    <w:p w:rsidR="00BB56BB" w:rsidRPr="007C3B90" w:rsidRDefault="00BB56BB" w:rsidP="00BB56BB">
      <w:pPr>
        <w:pStyle w:val="Ruller4"/>
        <w:numPr>
          <w:ilvl w:val="0"/>
          <w:numId w:val="0"/>
        </w:numPr>
      </w:pPr>
    </w:p>
    <w:p w:rsidR="00BB56BB" w:rsidRPr="007C3B90" w:rsidRDefault="00BB56BB" w:rsidP="00BB56BB">
      <w:pPr>
        <w:pStyle w:val="Ruller4"/>
      </w:pPr>
      <w:r w:rsidRPr="007C3B90">
        <w:rPr>
          <w:rtl/>
        </w:rPr>
        <w:t xml:space="preserve">בהקשר אחרון זה, טוענים העותרים והיועצת המשפטית לממשלה כי התיקון מותיר את החובה המוטלת על הרשות לפעול בסבירות, </w:t>
      </w:r>
      <w:r w:rsidRPr="007C3B90">
        <w:rPr>
          <w:rFonts w:hint="cs"/>
          <w:rtl/>
        </w:rPr>
        <w:t>ללא</w:t>
      </w:r>
      <w:r w:rsidRPr="007C3B90">
        <w:rPr>
          <w:rtl/>
        </w:rPr>
        <w:t xml:space="preserve"> כל ביקורת שיפוטית – באופן ש</w:t>
      </w:r>
      <w:r w:rsidRPr="007C3B90">
        <w:rPr>
          <w:rFonts w:hint="cs"/>
          <w:rtl/>
        </w:rPr>
        <w:t>"יש</w:t>
      </w:r>
      <w:r w:rsidRPr="007C3B90">
        <w:rPr>
          <w:rtl/>
        </w:rPr>
        <w:t xml:space="preserve"> דין</w:t>
      </w:r>
      <w:r w:rsidRPr="007C3B90">
        <w:rPr>
          <w:rFonts w:hint="cs"/>
          <w:rtl/>
        </w:rPr>
        <w:t>,</w:t>
      </w:r>
      <w:r w:rsidRPr="007C3B90">
        <w:rPr>
          <w:rtl/>
        </w:rPr>
        <w:t xml:space="preserve"> אך אין דיין</w:t>
      </w:r>
      <w:r w:rsidRPr="007C3B90">
        <w:rPr>
          <w:rFonts w:hint="cs"/>
          <w:rtl/>
        </w:rPr>
        <w:t>"</w:t>
      </w:r>
      <w:r w:rsidRPr="007C3B90">
        <w:rPr>
          <w:rtl/>
        </w:rPr>
        <w:t xml:space="preserve">. </w:t>
      </w:r>
      <w:r w:rsidRPr="007C3B90">
        <w:rPr>
          <w:rFonts w:hint="cs"/>
          <w:rtl/>
        </w:rPr>
        <w:t>אין בידי לקבל טענה זו</w:t>
      </w:r>
      <w:r w:rsidRPr="007C3B90">
        <w:rPr>
          <w:rtl/>
        </w:rPr>
        <w:t>, משתי סיבות</w:t>
      </w:r>
      <w:r w:rsidRPr="007C3B90">
        <w:rPr>
          <w:rFonts w:hint="cs"/>
          <w:rtl/>
        </w:rPr>
        <w:t>:</w:t>
      </w:r>
      <w:r w:rsidRPr="007C3B90">
        <w:rPr>
          <w:rtl/>
        </w:rPr>
        <w:t xml:space="preserve"> </w:t>
      </w:r>
    </w:p>
    <w:p w:rsidR="00BB56BB" w:rsidRPr="006103F0" w:rsidRDefault="00BB56BB" w:rsidP="00BB56BB">
      <w:pPr>
        <w:pStyle w:val="Ruller4"/>
        <w:numPr>
          <w:ilvl w:val="0"/>
          <w:numId w:val="0"/>
        </w:numPr>
        <w:rPr>
          <w:rFonts w:ascii="Century" w:hAnsi="Century" w:cs="Miriam"/>
          <w:b/>
          <w:spacing w:val="0"/>
          <w:sz w:val="22"/>
          <w:szCs w:val="24"/>
        </w:rPr>
      </w:pPr>
    </w:p>
    <w:p w:rsidR="00BB56BB" w:rsidRPr="007C3B90" w:rsidRDefault="00BB56BB" w:rsidP="00BB56BB">
      <w:pPr>
        <w:pStyle w:val="Ruller4"/>
        <w:numPr>
          <w:ilvl w:val="0"/>
          <w:numId w:val="0"/>
        </w:numPr>
        <w:rPr>
          <w:rtl/>
        </w:rPr>
      </w:pPr>
      <w:r w:rsidRPr="007C3B90">
        <w:rPr>
          <w:rFonts w:ascii="Century" w:hAnsi="Century" w:cs="Miriam"/>
          <w:b/>
          <w:spacing w:val="0"/>
          <w:sz w:val="22"/>
          <w:szCs w:val="24"/>
          <w:rtl/>
        </w:rPr>
        <w:tab/>
        <w:t>ראשית</w:t>
      </w:r>
      <w:r w:rsidRPr="007C3B90">
        <w:rPr>
          <w:rFonts w:ascii="Century" w:hAnsi="Century"/>
          <w:sz w:val="22"/>
          <w:rtl/>
        </w:rPr>
        <w:t>,</w:t>
      </w:r>
      <w:r w:rsidRPr="007C3B90">
        <w:rPr>
          <w:rtl/>
        </w:rPr>
        <w:t xml:space="preserve"> בהתאם לפרשנותנו המצמצמת לתיקון, נותרת בארגז הכלים של בית המשפט האפשרות לביקורת שיפוטית על החובה לפעול בסבירות, מכוח עילת הסבירות הצרה. </w:t>
      </w:r>
      <w:r w:rsidRPr="007C3B90">
        <w:rPr>
          <w:rFonts w:hint="cs"/>
          <w:rtl/>
        </w:rPr>
        <w:t>ה</w:t>
      </w:r>
      <w:r w:rsidRPr="007C3B90">
        <w:rPr>
          <w:rtl/>
        </w:rPr>
        <w:t xml:space="preserve">משמעות היא, למעשה, שינוי של חובת הסבירות מן החובה האיזונית הקודמת, לחובה חדשה-ישנה, ולפיה על הרשות לפעול בצורה שאינה מופרכת וחסרת הגיון. שינוי זה נחזה, על פניו, כהנמכה של "רף הסבירות" שבאמצעותו נבחנות החלטות הממשלה והשרים. ואולם יש לזכור, כי הטענה לגבי הרף שמציבה עילת הסבירות הרחבה, רף שגבולותיו הותוו </w:t>
      </w:r>
      <w:r w:rsidRPr="007C3B90">
        <w:rPr>
          <w:rFonts w:hint="cs"/>
          <w:rtl/>
        </w:rPr>
        <w:t xml:space="preserve">כאמור </w:t>
      </w:r>
      <w:r w:rsidRPr="007C3B90">
        <w:rPr>
          <w:rtl/>
        </w:rPr>
        <w:t xml:space="preserve">לראשונה בפסיקה בראשית שנות השמונים – היא לא כי הוא מוצב גבוה מדי, אלא כי הוא מנוסח בצורה עמומה מדי, באופן שמוביל בפועל לבחינת תבונתה של ההחלטה, בהתאם לעמדותיו האישיות של השופט היושב בדין. במובן זה, החזרה אל סטנדרט הסבירות הצרה, לא נועדה להנמיך את רף הסבירות, אלא להפוך אותו לקונקרטי וברור יותר. אמנם, גם הסטנדרט הצר של "מופרכות" ההחלטה, מנוסח בעיקרו </w:t>
      </w:r>
      <w:r w:rsidRPr="007C3B90">
        <w:rPr>
          <w:rtl/>
        </w:rPr>
        <w:lastRenderedPageBreak/>
        <w:t xml:space="preserve">של דבר בצורה של רקמה פתוחה, המעניקה לבית המשפט שיקול דעת רחב – ועדיין, מדובר בשינוי האמור לצמצם את חוסר הוודאות הקיים בעניין זה. </w:t>
      </w:r>
      <w:r w:rsidRPr="007C3B90">
        <w:rPr>
          <w:rtl/>
        </w:rPr>
        <w:br/>
      </w:r>
    </w:p>
    <w:p w:rsidR="00BB56BB" w:rsidRPr="007C3B90" w:rsidRDefault="00BB56BB" w:rsidP="00BB56BB">
      <w:pPr>
        <w:pStyle w:val="Ruller4"/>
        <w:numPr>
          <w:ilvl w:val="0"/>
          <w:numId w:val="0"/>
        </w:numPr>
        <w:rPr>
          <w:rtl/>
        </w:rPr>
      </w:pPr>
      <w:r w:rsidRPr="007C3B90">
        <w:rPr>
          <w:rFonts w:ascii="Century" w:hAnsi="Century" w:cs="Miriam"/>
          <w:b/>
          <w:spacing w:val="0"/>
          <w:sz w:val="22"/>
          <w:szCs w:val="24"/>
          <w:rtl/>
        </w:rPr>
        <w:tab/>
        <w:t>שנית</w:t>
      </w:r>
      <w:r w:rsidRPr="007C3B90">
        <w:rPr>
          <w:rFonts w:ascii="Century" w:hAnsi="Century"/>
          <w:sz w:val="22"/>
          <w:rtl/>
        </w:rPr>
        <w:t>,</w:t>
      </w:r>
      <w:r w:rsidRPr="007C3B90">
        <w:rPr>
          <w:rtl/>
        </w:rPr>
        <w:t xml:space="preserve"> ונימוק זה אינו קשור לשימור עילת הסבירות הצרה – התיקון בענייננו אינו יוצר מצב של דין ללא דיין, שכן החובה לאזן </w:t>
      </w:r>
      <w:r w:rsidRPr="007C3B90">
        <w:rPr>
          <w:rFonts w:hint="cs"/>
          <w:rtl/>
        </w:rPr>
        <w:t xml:space="preserve">באופן סביר </w:t>
      </w:r>
      <w:r w:rsidRPr="007C3B90">
        <w:rPr>
          <w:rtl/>
        </w:rPr>
        <w:t xml:space="preserve">בין השיקולים השונים נשמרת אמנם, אך לא כחובה שבדין. אסביר. התיקון אינו קובע כי הממשלה ושריה פטורים מלאזן באופן סביר בין השיקולים הרלבנטיים להחלטותיהם. הוא קובע, כי בית המשפט אינו מוסמך לבחון, ולא ראוי שיבחן, את סבירות האיזון האמור. במובן זה, התיקון מעמיד את הסבירות האיזונית בשורה אחת עם 'מעלות' כמו תבונה, יעילות או מוסריות, שהיינו רוצים שיהיו נחלתן של החלטות הרשות – אך לא מושא לביקורת שיפוטית, שכן בנושאים אלה אין לבית המשפט מומחיות מיוחדת או יתרון ברור על פני יתר הבריות (ראו: </w:t>
      </w:r>
      <w:r w:rsidRPr="007C3B90">
        <w:rPr>
          <w:rFonts w:hint="cs"/>
          <w:rtl/>
        </w:rPr>
        <w:t xml:space="preserve">בג"ץ 311/60 </w:t>
      </w:r>
      <w:r w:rsidRPr="007C3B90">
        <w:rPr>
          <w:rFonts w:ascii="Century" w:hAnsi="Century" w:cs="Miriam" w:hint="eastAsia"/>
          <w:b/>
          <w:spacing w:val="0"/>
          <w:sz w:val="22"/>
          <w:szCs w:val="24"/>
          <w:rtl/>
        </w:rPr>
        <w:t>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מילר</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מהנדס</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סוכנות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ויבוא</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בע</w:t>
      </w:r>
      <w:r w:rsidRPr="007C3B90">
        <w:rPr>
          <w:rFonts w:ascii="Century" w:hAnsi="Century" w:cs="Miriam"/>
          <w:b/>
          <w:spacing w:val="0"/>
          <w:sz w:val="22"/>
          <w:szCs w:val="24"/>
          <w:rtl/>
        </w:rPr>
        <w:t>"</w:t>
      </w:r>
      <w:r w:rsidRPr="007C3B90">
        <w:rPr>
          <w:rFonts w:ascii="Century" w:hAnsi="Century" w:cs="Miriam" w:hint="eastAsia"/>
          <w:b/>
          <w:spacing w:val="0"/>
          <w:sz w:val="22"/>
          <w:szCs w:val="24"/>
          <w:rtl/>
        </w:rPr>
        <w:t>מ</w:t>
      </w:r>
      <w:r w:rsidRPr="007C3B90">
        <w:rPr>
          <w:rFonts w:ascii="Century" w:hAnsi="Century" w:cs="Miriam" w:hint="cs"/>
          <w:b/>
          <w:spacing w:val="0"/>
          <w:sz w:val="22"/>
          <w:szCs w:val="24"/>
          <w:rtl/>
        </w:rPr>
        <w:t xml:space="preserve"> נ' שר התחבורה</w:t>
      </w:r>
      <w:r w:rsidRPr="007C3B90">
        <w:rPr>
          <w:rFonts w:hint="cs"/>
          <w:rtl/>
        </w:rPr>
        <w:t xml:space="preserve">, פ"ד טו 1989, 1996 (1961); </w:t>
      </w:r>
      <w:r w:rsidRPr="007C3B90">
        <w:rPr>
          <w:rtl/>
        </w:rPr>
        <w:t xml:space="preserve">בג"ץ 43/16 </w:t>
      </w:r>
      <w:r w:rsidRPr="007C3B90">
        <w:rPr>
          <w:rFonts w:ascii="Century" w:hAnsi="Century" w:cs="Miriam"/>
          <w:b/>
          <w:spacing w:val="0"/>
          <w:sz w:val="22"/>
          <w:szCs w:val="24"/>
          <w:rtl/>
        </w:rPr>
        <w:t>תנועת אומ"ץ אזרחים למען מינהל תקין וצדק חברתי ומשפטי נ' ממשלת ישראל</w:t>
      </w:r>
      <w:r w:rsidRPr="007C3B90">
        <w:rPr>
          <w:rFonts w:ascii="Century" w:hAnsi="Century"/>
          <w:sz w:val="22"/>
          <w:rtl/>
        </w:rPr>
        <w:t>,</w:t>
      </w:r>
      <w:r w:rsidRPr="007C3B90">
        <w:rPr>
          <w:rtl/>
        </w:rPr>
        <w:t xml:space="preserve"> פסקה 15 לפסק דינו של השופט </w:t>
      </w:r>
      <w:r w:rsidRPr="007C3B90">
        <w:rPr>
          <w:rFonts w:ascii="Century" w:hAnsi="Century" w:cs="Miriam"/>
          <w:b/>
          <w:spacing w:val="0"/>
          <w:sz w:val="22"/>
          <w:szCs w:val="24"/>
          <w:rtl/>
        </w:rPr>
        <w:t>נ' סולברג</w:t>
      </w:r>
      <w:r w:rsidRPr="007C3B90">
        <w:rPr>
          <w:rtl/>
        </w:rPr>
        <w:t xml:space="preserve"> (1.3.2016)). אין זאת אומרת, כי בהיעדר עילת "נבונוּת" או "מוסריוּת", לא חלה על הרשות חובה לקבל החלטה נבונה ומוסרית. ואולם, חובות אלה אינן עוטות לבוש משפטי-אכיף, אלא נותרות בספרה הציבורית, במובן זה שהביקורת על קיומן נתונה לציבור ולנציגיו – מבלי שהדבר מעורר קושי</w:t>
      </w:r>
      <w:r w:rsidRPr="007C3B90">
        <w:rPr>
          <w:rFonts w:hint="cs"/>
          <w:rtl/>
        </w:rPr>
        <w:t xml:space="preserve"> חוקתי</w:t>
      </w:r>
      <w:r w:rsidRPr="007C3B90">
        <w:rPr>
          <w:rtl/>
        </w:rPr>
        <w:t xml:space="preserve">. כך למשל, כפי שציינה הממשלה בהשלמת הטיעון מטעמה, אין חולק כי חלה על הכנסת </w:t>
      </w:r>
      <w:r w:rsidRPr="007C3B90">
        <w:rPr>
          <w:rFonts w:hint="cs"/>
          <w:rtl/>
        </w:rPr>
        <w:t>ה</w:t>
      </w:r>
      <w:r w:rsidRPr="007C3B90">
        <w:rPr>
          <w:rtl/>
        </w:rPr>
        <w:t>חובה לחוקק חוקים סבירים, אך חובה זו אינה מיתרגמת לעילה משפטית המאפשרת לפסול חוקים מן הטעם שאינם סבירים, אלא היא נתונה ל</w:t>
      </w:r>
      <w:r w:rsidRPr="007C3B90">
        <w:rPr>
          <w:rFonts w:hint="cs"/>
          <w:rtl/>
        </w:rPr>
        <w:t xml:space="preserve">משפט </w:t>
      </w:r>
      <w:r w:rsidRPr="007C3B90">
        <w:rPr>
          <w:rtl/>
        </w:rPr>
        <w:t xml:space="preserve">הציבור, </w:t>
      </w:r>
      <w:r w:rsidRPr="007C3B90">
        <w:rPr>
          <w:rFonts w:hint="cs"/>
          <w:rtl/>
        </w:rPr>
        <w:t xml:space="preserve">עת שזה </w:t>
      </w:r>
      <w:r w:rsidRPr="007C3B90">
        <w:rPr>
          <w:rtl/>
        </w:rPr>
        <w:t>ב</w:t>
      </w:r>
      <w:r w:rsidRPr="007C3B90">
        <w:rPr>
          <w:rFonts w:hint="cs"/>
          <w:rtl/>
        </w:rPr>
        <w:t>א לבחור</w:t>
      </w:r>
      <w:r w:rsidRPr="007C3B90">
        <w:rPr>
          <w:rtl/>
        </w:rPr>
        <w:t xml:space="preserve"> את נציגיו. </w:t>
      </w:r>
    </w:p>
    <w:p w:rsidR="00BB56BB" w:rsidRPr="007C3B90" w:rsidRDefault="00BB56BB" w:rsidP="00BB56BB">
      <w:pPr>
        <w:pStyle w:val="Ruller4"/>
        <w:numPr>
          <w:ilvl w:val="0"/>
          <w:numId w:val="0"/>
        </w:numPr>
        <w:rPr>
          <w:rtl/>
        </w:rPr>
      </w:pPr>
    </w:p>
    <w:p w:rsidR="00BB56BB" w:rsidRPr="007C3B90" w:rsidRDefault="00BB56BB" w:rsidP="00BB56BB">
      <w:pPr>
        <w:pStyle w:val="Ruller4"/>
        <w:numPr>
          <w:ilvl w:val="0"/>
          <w:numId w:val="0"/>
        </w:numPr>
      </w:pPr>
      <w:r w:rsidRPr="007C3B90">
        <w:rPr>
          <w:rtl/>
        </w:rPr>
        <w:tab/>
        <w:t>התיקון בענייננו מעגן אפוא את העמדה, כי גם חובת הסבירות האיזונית המוטלת על הממשלה ושריה, נמנית עם אותן חובות 'ציבוריות'. זו הסיבה, שנדמה שהתיקון מותיר את החובה לאזן באופן סביר בין השיקולים השונים, ללא ביקורת שיפוטית: משום שאכן נותרת חובה כזו, ואולם היא אינה עוד חובה משפטית, אלא חובה ציבורית. במבט ראשון אולי קשה לקבל הבחנה זאת, שכן המושג "סבירות" נשמע משפטי ו'ארצי' יותר, בהשוואה למושג</w:t>
      </w:r>
      <w:r w:rsidRPr="007C3B90">
        <w:rPr>
          <w:rFonts w:hint="cs"/>
          <w:rtl/>
        </w:rPr>
        <w:t xml:space="preserve"> </w:t>
      </w:r>
      <w:r w:rsidRPr="007C3B90">
        <w:rPr>
          <w:rtl/>
        </w:rPr>
        <w:t>"תבונה" – ואכן, הסבירות, בשונה מן התבונה, נבחנת תדיר בענפי משפט אחרים. עם זאת, כבר אמרנו, כי הסבירות המשפטית בתחום המינהלי אינה נעלמת, אלא</w:t>
      </w:r>
      <w:r w:rsidRPr="007C3B90">
        <w:rPr>
          <w:rFonts w:hint="cs"/>
          <w:rtl/>
        </w:rPr>
        <w:t xml:space="preserve"> </w:t>
      </w:r>
      <w:r w:rsidRPr="007C3B90">
        <w:rPr>
          <w:rtl/>
        </w:rPr>
        <w:t>הופכת צרה יותר. עוד יש לזכור, כי הביקורת שבעקבותיה חוקק התיקון גורסת, כי עילת הסבירות הרחבה, כפי שהיא מיושמת בפסיקה – מודדת ל</w:t>
      </w:r>
      <w:r w:rsidRPr="007C3B90">
        <w:rPr>
          <w:rFonts w:hint="cs"/>
          <w:rtl/>
        </w:rPr>
        <w:t>עיתים</w:t>
      </w:r>
      <w:r w:rsidRPr="007C3B90">
        <w:rPr>
          <w:rtl/>
        </w:rPr>
        <w:t xml:space="preserve"> תבונה ב</w:t>
      </w:r>
      <w:r w:rsidRPr="007C3B90">
        <w:rPr>
          <w:rFonts w:hint="cs"/>
          <w:rtl/>
        </w:rPr>
        <w:t>"מעטה"</w:t>
      </w:r>
      <w:r w:rsidRPr="007C3B90">
        <w:rPr>
          <w:rtl/>
        </w:rPr>
        <w:t xml:space="preserve"> של סבירות. </w:t>
      </w:r>
      <w:r w:rsidRPr="007C3B90">
        <w:rPr>
          <w:rFonts w:hint="cs"/>
          <w:rtl/>
        </w:rPr>
        <w:t>מכל הטעמים הללו,</w:t>
      </w:r>
      <w:r w:rsidRPr="007C3B90">
        <w:rPr>
          <w:rtl/>
        </w:rPr>
        <w:t xml:space="preserve"> אני סבורה כי אין בתיקון משום פגיעה אנושה בשלטון החוק, כי אם שינוי של סטנדרט הסבירות הנוהג, תוך עיגון עמדה </w:t>
      </w:r>
      <w:r w:rsidRPr="007C3B90">
        <w:rPr>
          <w:rFonts w:hint="cs"/>
          <w:rtl/>
        </w:rPr>
        <w:t>אפשרית</w:t>
      </w:r>
      <w:r w:rsidRPr="007C3B90">
        <w:rPr>
          <w:rtl/>
        </w:rPr>
        <w:t xml:space="preserve"> לגבי גבולותיה </w:t>
      </w:r>
      <w:r w:rsidRPr="007C3B90">
        <w:rPr>
          <w:rtl/>
        </w:rPr>
        <w:lastRenderedPageBreak/>
        <w:t xml:space="preserve">הראויים של הביקורת השיפוטית. </w:t>
      </w:r>
      <w:r w:rsidRPr="007C3B90">
        <w:rPr>
          <w:rtl/>
        </w:rPr>
        <w:br/>
      </w:r>
    </w:p>
    <w:p w:rsidR="00BB56BB" w:rsidRPr="007C3B90" w:rsidRDefault="00BB56BB" w:rsidP="00BB56BB">
      <w:pPr>
        <w:pStyle w:val="Ruller4"/>
        <w:rPr>
          <w:rtl/>
        </w:rPr>
      </w:pPr>
      <w:r w:rsidRPr="007C3B90">
        <w:rPr>
          <w:rtl/>
        </w:rPr>
        <w:t xml:space="preserve">ונזכיר מושכלות יסוד. בעוד שבית המשפט אמון על יישום החוק, על הכנסת מוטלת האחריות ליצור את החוק – ובכלל זה להתוות בחקיקה את גבולות הביקורת השיפוטית, הן במישור של סמכות השיפוט והן במישור הדין המהותי. בתיקון שלפנינו, מימשה הכנסת אחריות זו, עת הגבילה את סמכותם של בתי המשפט לדון בסבירות החלטותיהם של הממשלה ושריה. זוהי זכותו של המחוקק, וזהו כוחו (אהרן ברק </w:t>
      </w:r>
      <w:r w:rsidRPr="007C3B90">
        <w:rPr>
          <w:rFonts w:ascii="Century" w:hAnsi="Century" w:cs="Miriam"/>
          <w:b/>
          <w:spacing w:val="0"/>
          <w:sz w:val="22"/>
          <w:szCs w:val="24"/>
          <w:rtl/>
        </w:rPr>
        <w:t>מבחר כתבים ד – על בית המשפט ושופטיו</w:t>
      </w:r>
      <w:r w:rsidRPr="007C3B90">
        <w:rPr>
          <w:rtl/>
        </w:rPr>
        <w:t xml:space="preserve"> 63-62 (2017); </w:t>
      </w:r>
      <w:r>
        <w:rPr>
          <w:rFonts w:ascii="Century" w:hAnsi="Century" w:hint="cs"/>
          <w:sz w:val="22"/>
          <w:rtl/>
        </w:rPr>
        <w:t xml:space="preserve">בג"ץ 5364/94 </w:t>
      </w:r>
      <w:r w:rsidRPr="006103F0">
        <w:rPr>
          <w:rFonts w:ascii="Century" w:hAnsi="Century" w:cs="Miriam" w:hint="cs"/>
          <w:b/>
          <w:spacing w:val="0"/>
          <w:sz w:val="22"/>
          <w:szCs w:val="24"/>
          <w:rtl/>
        </w:rPr>
        <w:t>ולנר נ' יושב-ראש מפלגת העבודה הישראלית</w:t>
      </w:r>
      <w:r>
        <w:rPr>
          <w:rFonts w:ascii="Century" w:hAnsi="Century" w:hint="cs"/>
          <w:sz w:val="22"/>
          <w:rtl/>
        </w:rPr>
        <w:t>, פ"ד מט(1) 758, 784 (1995)</w:t>
      </w:r>
      <w:r w:rsidRPr="007C3B90">
        <w:rPr>
          <w:rtl/>
        </w:rPr>
        <w:t xml:space="preserve">). מובן, כי גם חקיקה זו כפופה לדינים רלבנטיים, ובכך לפיקוח בית המשפט. ואולם, יש להיזהר פן יהפוך הפיקוח למתן "בלעדיות" לבית המשפט בעיצוב הדין או בעיצוב היקפה הראוי של הביקורת השיפוטית, באופן שנוגד את עקרון הפרדת הרשויות (ראו: </w:t>
      </w:r>
      <w:r w:rsidRPr="007C3B90">
        <w:rPr>
          <w:rFonts w:ascii="Century" w:hAnsi="Century" w:cs="Miriam"/>
          <w:b/>
          <w:spacing w:val="0"/>
          <w:sz w:val="22"/>
          <w:szCs w:val="24"/>
          <w:rtl/>
        </w:rPr>
        <w:t>דותן, ביקורת שיפוטית</w:t>
      </w:r>
      <w:r w:rsidRPr="007C3B90">
        <w:rPr>
          <w:rFonts w:ascii="Century" w:hAnsi="Century"/>
          <w:sz w:val="22"/>
          <w:rtl/>
        </w:rPr>
        <w:t>,</w:t>
      </w:r>
      <w:r w:rsidRPr="007C3B90">
        <w:rPr>
          <w:rtl/>
        </w:rPr>
        <w:t xml:space="preserve"> בעמ' 238-237).</w:t>
      </w:r>
      <w:r w:rsidRPr="007C3B90">
        <w:rPr>
          <w:rFonts w:hint="cs"/>
          <w:rtl/>
        </w:rPr>
        <w:t xml:space="preserve"> </w:t>
      </w:r>
      <w:r w:rsidRPr="007C3B90">
        <w:rPr>
          <w:rtl/>
        </w:rPr>
        <w:t xml:space="preserve">בכל הנוגע לעיצוב גבולותיה של הביקורת השיפוטית, יש להישמר גם, להשקפתי, מתפיסה 'אימפריאליסטית' של המשפט, ולפיה לא יכולים להיוותר איים כלשהם המשוחררים מביקורת כזו. איים כאלה קיימים, בתחומים שונים ובמידות שונות, גם לגבי פעולותיהן של רשויות השלטון – ואין משמעות הדבר קץ הדמוקרטיה. </w:t>
      </w:r>
      <w:r w:rsidRPr="007C3B90">
        <w:rPr>
          <w:rtl/>
        </w:rPr>
        <w:br/>
      </w:r>
    </w:p>
    <w:p w:rsidR="00BB56BB" w:rsidRPr="007C3B90" w:rsidRDefault="00BB56BB" w:rsidP="00BB56BB">
      <w:pPr>
        <w:pStyle w:val="Ruller4"/>
        <w:rPr>
          <w:rtl/>
        </w:rPr>
      </w:pPr>
      <w:r w:rsidRPr="007C3B90">
        <w:rPr>
          <w:rFonts w:hint="cs"/>
          <w:rtl/>
        </w:rPr>
        <w:t xml:space="preserve">ולבסוף, </w:t>
      </w:r>
      <w:r w:rsidRPr="007C3B90">
        <w:rPr>
          <w:rtl/>
        </w:rPr>
        <w:t>אין להתעלם גם מכך שהתיקון בענייננו מהווה תגובה מצד המחוקק, להתפתחות פסיקתית, ארוכת שנים, שאינה רצויה בעיניו. מושכלות יסוד ה</w:t>
      </w:r>
      <w:r>
        <w:rPr>
          <w:rFonts w:hint="cs"/>
          <w:rtl/>
        </w:rPr>
        <w:t>ן</w:t>
      </w:r>
      <w:r w:rsidRPr="007C3B90">
        <w:rPr>
          <w:rtl/>
        </w:rPr>
        <w:t xml:space="preserve"> כי פסיקתנו אינה סוף פסוק, במובן זה שהמחוקק רשאי, אם רצונו בכך, להסיג דברים לאחור ולשנות בחקיקה את פסיקת בית המשפט שנתקבלה על בסיס הדין הקיים. דיאלוג נמשך זה בין המחוקק ובין בתי המשפט הוא </w:t>
      </w:r>
      <w:r w:rsidRPr="007C3B90">
        <w:rPr>
          <w:rFonts w:hint="cs"/>
          <w:rtl/>
        </w:rPr>
        <w:t>מיסודות השיטה</w:t>
      </w:r>
      <w:r w:rsidRPr="007C3B90">
        <w:rPr>
          <w:rtl/>
        </w:rPr>
        <w:t>, ו</w:t>
      </w:r>
      <w:r w:rsidRPr="007C3B90">
        <w:rPr>
          <w:rFonts w:hint="cs"/>
          <w:rtl/>
        </w:rPr>
        <w:t xml:space="preserve">לא אחת מציין </w:t>
      </w:r>
      <w:r w:rsidRPr="007C3B90">
        <w:rPr>
          <w:rtl/>
        </w:rPr>
        <w:t xml:space="preserve">בית המשפט בפסק-דינו – כי אם </w:t>
      </w:r>
      <w:r w:rsidRPr="007C3B90">
        <w:rPr>
          <w:rFonts w:hint="cs"/>
          <w:rtl/>
        </w:rPr>
        <w:t xml:space="preserve">התוצאה אינה טובה בעיני </w:t>
      </w:r>
      <w:r w:rsidRPr="007C3B90">
        <w:rPr>
          <w:rtl/>
        </w:rPr>
        <w:t>המחוקק,</w:t>
      </w:r>
      <w:r w:rsidRPr="007C3B90">
        <w:rPr>
          <w:rFonts w:hint="cs"/>
          <w:rtl/>
        </w:rPr>
        <w:t xml:space="preserve"> יש</w:t>
      </w:r>
      <w:r w:rsidRPr="007C3B90">
        <w:rPr>
          <w:rtl/>
        </w:rPr>
        <w:t xml:space="preserve"> בכוחו לשנות את החוק, כך שתושג התוצאה הרצויה בעיניו (וראו למשל: ע"פ 7128/16 </w:t>
      </w:r>
      <w:r w:rsidRPr="007C3B90">
        <w:rPr>
          <w:rFonts w:ascii="Century" w:hAnsi="Century" w:cs="Miriam"/>
          <w:b/>
          <w:spacing w:val="0"/>
          <w:sz w:val="22"/>
          <w:szCs w:val="24"/>
          <w:rtl/>
        </w:rPr>
        <w:t>פלוני נ' מדינת ישראל</w:t>
      </w:r>
      <w:r w:rsidRPr="007C3B90">
        <w:rPr>
          <w:rFonts w:ascii="Century" w:hAnsi="Century"/>
          <w:sz w:val="22"/>
          <w:rtl/>
        </w:rPr>
        <w:t>,</w:t>
      </w:r>
      <w:r w:rsidRPr="007C3B90">
        <w:rPr>
          <w:rtl/>
        </w:rPr>
        <w:t xml:space="preserve"> פסקה 22 (16.5.2018); ע"א 3115/93 </w:t>
      </w:r>
      <w:r w:rsidRPr="007C3B90">
        <w:rPr>
          <w:rFonts w:ascii="Century" w:hAnsi="Century" w:cs="Miriam"/>
          <w:b/>
          <w:spacing w:val="0"/>
          <w:sz w:val="22"/>
          <w:szCs w:val="24"/>
          <w:rtl/>
        </w:rPr>
        <w:t>יעקב נ' מנהל מס שבח מקרקעין חיפה</w:t>
      </w:r>
      <w:r w:rsidRPr="007C3B90">
        <w:rPr>
          <w:rFonts w:ascii="Century" w:hAnsi="Century"/>
          <w:sz w:val="22"/>
          <w:rtl/>
        </w:rPr>
        <w:t>,</w:t>
      </w:r>
      <w:r w:rsidRPr="007C3B90">
        <w:rPr>
          <w:rtl/>
        </w:rPr>
        <w:t xml:space="preserve"> </w:t>
      </w:r>
      <w:r w:rsidRPr="007C3B90">
        <w:rPr>
          <w:rFonts w:hint="cs"/>
          <w:rtl/>
        </w:rPr>
        <w:t>פ"ד</w:t>
      </w:r>
      <w:r w:rsidRPr="007C3B90">
        <w:rPr>
          <w:rtl/>
        </w:rPr>
        <w:t xml:space="preserve"> נ(4) 549, 566 (1997)). כך עשה המחוקק בענייננו, עת תיקן את חוק</w:t>
      </w:r>
      <w:r w:rsidRPr="007C3B90">
        <w:rPr>
          <w:rFonts w:hint="cs"/>
          <w:rtl/>
        </w:rPr>
        <w:t xml:space="preserve"> </w:t>
      </w:r>
      <w:r w:rsidRPr="007C3B90">
        <w:rPr>
          <w:rtl/>
        </w:rPr>
        <w:t>היסוד. אף אם "תנועת המטוטלת" הלכה רחוק מידי, לא ניתן לומר כי קמה עילה מבוססת לפסול את מעשי ידיו.</w:t>
      </w:r>
    </w:p>
    <w:p w:rsidR="00BB56BB" w:rsidRPr="007C3B90" w:rsidRDefault="00BB56BB" w:rsidP="00BB56BB">
      <w:pPr>
        <w:pStyle w:val="Ruller41"/>
      </w:pPr>
    </w:p>
    <w:p w:rsidR="00BB56BB" w:rsidRPr="007C3B90" w:rsidRDefault="00BB56BB" w:rsidP="00BB56BB">
      <w:pPr>
        <w:pStyle w:val="Ruller4"/>
      </w:pPr>
      <w:r w:rsidRPr="007C3B90">
        <w:rPr>
          <w:rFonts w:hint="eastAsia"/>
          <w:rtl/>
        </w:rPr>
        <w:t>אוסיף</w:t>
      </w:r>
      <w:r w:rsidRPr="007C3B90">
        <w:rPr>
          <w:rtl/>
        </w:rPr>
        <w:t xml:space="preserve"> </w:t>
      </w:r>
      <w:r w:rsidRPr="007C3B90">
        <w:rPr>
          <w:rFonts w:hint="eastAsia"/>
          <w:rtl/>
        </w:rPr>
        <w:t>לפני</w:t>
      </w:r>
      <w:r w:rsidRPr="007C3B90">
        <w:rPr>
          <w:rtl/>
        </w:rPr>
        <w:t xml:space="preserve"> </w:t>
      </w:r>
      <w:r w:rsidRPr="007C3B90">
        <w:rPr>
          <w:rFonts w:hint="eastAsia"/>
          <w:rtl/>
        </w:rPr>
        <w:t>סיום</w:t>
      </w:r>
      <w:r w:rsidRPr="007C3B90">
        <w:rPr>
          <w:rtl/>
        </w:rPr>
        <w:t>: שני הצדדים למחלוקת, אלה התומכים בתיקון ואלה המתנגדים לו, אלה הסבורים כי חשיבותו רבה ואלה הסבורים כי עמו בא הקץ לדמוקרטיה, פועלים כולם לשם שמיים, מתוך אמונה כי עמדתם תטיב עם המדינה</w:t>
      </w:r>
      <w:r w:rsidRPr="007C3B90">
        <w:rPr>
          <w:rFonts w:hint="cs"/>
          <w:rtl/>
        </w:rPr>
        <w:t>. במובן זה, ה</w:t>
      </w:r>
      <w:r w:rsidRPr="007C3B90">
        <w:rPr>
          <w:rtl/>
        </w:rPr>
        <w:t>מחלוקת על עילת הסבירות</w:t>
      </w:r>
      <w:r w:rsidRPr="007C3B90">
        <w:rPr>
          <w:rFonts w:hint="cs"/>
          <w:rtl/>
        </w:rPr>
        <w:t>,</w:t>
      </w:r>
      <w:r w:rsidRPr="007C3B90">
        <w:rPr>
          <w:rtl/>
        </w:rPr>
        <w:t xml:space="preserve"> </w:t>
      </w:r>
      <w:r w:rsidRPr="007C3B90">
        <w:rPr>
          <w:rFonts w:hint="cs"/>
          <w:rtl/>
        </w:rPr>
        <w:t>ש</w:t>
      </w:r>
      <w:r w:rsidRPr="007C3B90">
        <w:rPr>
          <w:rtl/>
        </w:rPr>
        <w:t xml:space="preserve">היא </w:t>
      </w:r>
      <w:r w:rsidRPr="007C3B90">
        <w:rPr>
          <w:rFonts w:hint="cs"/>
          <w:rtl/>
        </w:rPr>
        <w:t>חלק</w:t>
      </w:r>
      <w:r w:rsidRPr="007C3B90">
        <w:rPr>
          <w:rtl/>
        </w:rPr>
        <w:t xml:space="preserve"> </w:t>
      </w:r>
      <w:r w:rsidRPr="007C3B90">
        <w:rPr>
          <w:rFonts w:hint="cs"/>
          <w:rtl/>
        </w:rPr>
        <w:t>מ</w:t>
      </w:r>
      <w:r w:rsidRPr="007C3B90">
        <w:rPr>
          <w:rtl/>
        </w:rPr>
        <w:t xml:space="preserve">מחלוקת ערכית רחבה יותר על </w:t>
      </w:r>
      <w:r w:rsidRPr="007C3B90">
        <w:rPr>
          <w:rFonts w:hint="cs"/>
          <w:rtl/>
        </w:rPr>
        <w:t>חלוקת</w:t>
      </w:r>
      <w:r w:rsidRPr="007C3B90">
        <w:rPr>
          <w:rtl/>
        </w:rPr>
        <w:t xml:space="preserve"> </w:t>
      </w:r>
      <w:r w:rsidRPr="007C3B90">
        <w:rPr>
          <w:rFonts w:hint="cs"/>
          <w:rtl/>
        </w:rPr>
        <w:t>הסמכויות</w:t>
      </w:r>
      <w:r w:rsidRPr="007C3B90">
        <w:rPr>
          <w:rtl/>
        </w:rPr>
        <w:t xml:space="preserve"> שבין הרשויות</w:t>
      </w:r>
      <w:r w:rsidRPr="007C3B90">
        <w:rPr>
          <w:rFonts w:hint="cs"/>
          <w:rtl/>
        </w:rPr>
        <w:t xml:space="preserve">, </w:t>
      </w:r>
      <w:r w:rsidRPr="007C3B90">
        <w:rPr>
          <w:rtl/>
        </w:rPr>
        <w:t xml:space="preserve">על מקומו הראוי של בית המשפט בחברה הישראלית, ועל </w:t>
      </w:r>
      <w:r w:rsidRPr="007C3B90">
        <w:rPr>
          <w:rtl/>
        </w:rPr>
        <w:lastRenderedPageBreak/>
        <w:t>דמותה של הדמוקרטיה במדינת ישראל</w:t>
      </w:r>
      <w:r w:rsidRPr="007C3B90">
        <w:rPr>
          <w:rFonts w:hint="cs"/>
          <w:rtl/>
        </w:rPr>
        <w:t xml:space="preserve"> </w:t>
      </w:r>
      <w:r w:rsidRPr="007C3B90">
        <w:rPr>
          <w:rtl/>
        </w:rPr>
        <w:t>–</w:t>
      </w:r>
      <w:r w:rsidRPr="007C3B90">
        <w:rPr>
          <w:rFonts w:hint="cs"/>
          <w:rtl/>
        </w:rPr>
        <w:t xml:space="preserve"> היא מחלוקת ראויה, שסופה להתקיים. דווקא בימים קשים אלה, ימי מלחמה</w:t>
      </w:r>
      <w:r>
        <w:rPr>
          <w:rFonts w:hint="cs"/>
          <w:rtl/>
        </w:rPr>
        <w:t xml:space="preserve"> </w:t>
      </w:r>
      <w:r w:rsidRPr="007C3B90">
        <w:rPr>
          <w:rFonts w:hint="cs"/>
          <w:rtl/>
        </w:rPr>
        <w:t>מדממת עם אויבינ</w:t>
      </w:r>
      <w:r>
        <w:rPr>
          <w:rFonts w:hint="cs"/>
          <w:rtl/>
        </w:rPr>
        <w:t>ו, מוטב כי נוסיף לנהל מחלוקת זו</w:t>
      </w:r>
      <w:r w:rsidRPr="007C3B90">
        <w:rPr>
          <w:rFonts w:hint="cs"/>
          <w:rtl/>
        </w:rPr>
        <w:t xml:space="preserve"> באופן ענייני</w:t>
      </w:r>
      <w:r>
        <w:rPr>
          <w:rFonts w:hint="cs"/>
          <w:rtl/>
        </w:rPr>
        <w:t xml:space="preserve"> ובדרכי שלום</w:t>
      </w:r>
      <w:r w:rsidRPr="007C3B90">
        <w:rPr>
          <w:rFonts w:hint="cs"/>
          <w:rtl/>
        </w:rPr>
        <w:t xml:space="preserve">, כשטובת המדינה לנגד עינינו. </w:t>
      </w:r>
    </w:p>
    <w:p w:rsidR="00BB56BB" w:rsidRPr="007C3B90" w:rsidRDefault="00BB56BB" w:rsidP="00BB56BB">
      <w:pPr>
        <w:pStyle w:val="Ruller4"/>
        <w:numPr>
          <w:ilvl w:val="0"/>
          <w:numId w:val="0"/>
        </w:numPr>
        <w:rPr>
          <w:rtl/>
        </w:rPr>
      </w:pPr>
    </w:p>
    <w:p w:rsidR="00BB56BB" w:rsidRPr="007C3B90" w:rsidRDefault="00BB56BB" w:rsidP="00EE65B9">
      <w:pPr>
        <w:pStyle w:val="Ruller4"/>
        <w:rPr>
          <w:rtl/>
        </w:rPr>
      </w:pPr>
      <w:r w:rsidRPr="007C3B90">
        <w:rPr>
          <w:rFonts w:ascii="Century" w:hAnsi="Century" w:cs="Miriam"/>
          <w:b/>
          <w:spacing w:val="0"/>
          <w:sz w:val="22"/>
          <w:szCs w:val="24"/>
          <w:rtl/>
        </w:rPr>
        <w:t>סיכומם של דברים</w:t>
      </w:r>
      <w:r w:rsidRPr="007C3B90">
        <w:rPr>
          <w:rFonts w:ascii="Century" w:hAnsi="Century"/>
          <w:sz w:val="22"/>
          <w:rtl/>
        </w:rPr>
        <w:t>:</w:t>
      </w:r>
      <w:r w:rsidRPr="007C3B90">
        <w:rPr>
          <w:rtl/>
        </w:rPr>
        <w:t xml:space="preserve"> חוק</w:t>
      </w:r>
      <w:r w:rsidRPr="007C3B90">
        <w:rPr>
          <w:rFonts w:hint="cs"/>
          <w:rtl/>
        </w:rPr>
        <w:t xml:space="preserve"> </w:t>
      </w:r>
      <w:r w:rsidRPr="007C3B90">
        <w:rPr>
          <w:rtl/>
        </w:rPr>
        <w:t>היסוד המתקן מעורר קשיים</w:t>
      </w:r>
      <w:r w:rsidRPr="007C3B90">
        <w:rPr>
          <w:rFonts w:hint="cs"/>
          <w:rtl/>
        </w:rPr>
        <w:t xml:space="preserve"> רבים</w:t>
      </w:r>
      <w:r w:rsidRPr="007C3B90">
        <w:rPr>
          <w:rtl/>
        </w:rPr>
        <w:t xml:space="preserve">, עד כי יש להצר על האופן שבו מצא את מקומו בחוקתנו </w:t>
      </w:r>
      <w:r w:rsidRPr="007C3B90">
        <w:rPr>
          <w:rFonts w:hint="eastAsia"/>
          <w:rtl/>
        </w:rPr>
        <w:t>העתידית</w:t>
      </w:r>
      <w:r w:rsidRPr="007C3B90">
        <w:rPr>
          <w:rtl/>
        </w:rPr>
        <w:t xml:space="preserve">. </w:t>
      </w:r>
      <w:r w:rsidRPr="007C3B90">
        <w:rPr>
          <w:rFonts w:hint="eastAsia"/>
          <w:rtl/>
        </w:rPr>
        <w:t>עם</w:t>
      </w:r>
      <w:r w:rsidRPr="007C3B90">
        <w:rPr>
          <w:rtl/>
        </w:rPr>
        <w:t xml:space="preserve"> </w:t>
      </w:r>
      <w:r w:rsidRPr="007C3B90">
        <w:rPr>
          <w:rFonts w:hint="eastAsia"/>
          <w:rtl/>
        </w:rPr>
        <w:t>זאת</w:t>
      </w:r>
      <w:r w:rsidRPr="007C3B90">
        <w:rPr>
          <w:rtl/>
        </w:rPr>
        <w:t xml:space="preserve">, </w:t>
      </w:r>
      <w:r w:rsidRPr="007C3B90">
        <w:rPr>
          <w:rFonts w:hint="eastAsia"/>
          <w:rtl/>
        </w:rPr>
        <w:t>ובאופן</w:t>
      </w:r>
      <w:r w:rsidRPr="007C3B90">
        <w:rPr>
          <w:rtl/>
        </w:rPr>
        <w:t xml:space="preserve"> </w:t>
      </w:r>
      <w:r w:rsidRPr="007C3B90">
        <w:rPr>
          <w:rFonts w:hint="eastAsia"/>
          <w:rtl/>
        </w:rPr>
        <w:t>המתכתב</w:t>
      </w:r>
      <w:r w:rsidRPr="007C3B90">
        <w:rPr>
          <w:rtl/>
        </w:rPr>
        <w:t xml:space="preserve"> </w:t>
      </w:r>
      <w:r w:rsidRPr="007C3B90">
        <w:rPr>
          <w:rFonts w:hint="eastAsia"/>
          <w:rtl/>
        </w:rPr>
        <w:t>עם</w:t>
      </w:r>
      <w:r w:rsidRPr="007C3B90">
        <w:rPr>
          <w:rtl/>
        </w:rPr>
        <w:t xml:space="preserve"> </w:t>
      </w:r>
      <w:r w:rsidRPr="007C3B90">
        <w:rPr>
          <w:rFonts w:hint="eastAsia"/>
          <w:rtl/>
        </w:rPr>
        <w:t>הביקורת</w:t>
      </w:r>
      <w:r w:rsidRPr="007C3B90">
        <w:rPr>
          <w:rtl/>
        </w:rPr>
        <w:t xml:space="preserve"> </w:t>
      </w:r>
      <w:r w:rsidRPr="007C3B90">
        <w:rPr>
          <w:rFonts w:hint="eastAsia"/>
          <w:rtl/>
        </w:rPr>
        <w:t>שהולידה</w:t>
      </w:r>
      <w:r w:rsidRPr="007C3B90">
        <w:rPr>
          <w:rtl/>
        </w:rPr>
        <w:t xml:space="preserve"> </w:t>
      </w:r>
      <w:r w:rsidRPr="007C3B90">
        <w:rPr>
          <w:rFonts w:hint="eastAsia"/>
          <w:rtl/>
        </w:rPr>
        <w:t>את</w:t>
      </w:r>
      <w:r w:rsidRPr="007C3B90">
        <w:rPr>
          <w:rtl/>
        </w:rPr>
        <w:t xml:space="preserve"> </w:t>
      </w:r>
      <w:r w:rsidRPr="007C3B90">
        <w:rPr>
          <w:rFonts w:hint="eastAsia"/>
          <w:rtl/>
        </w:rPr>
        <w:t>התיקון</w:t>
      </w:r>
      <w:r w:rsidRPr="007C3B90">
        <w:rPr>
          <w:rtl/>
        </w:rPr>
        <w:t xml:space="preserve">: </w:t>
      </w:r>
      <w:r w:rsidRPr="007C3B90">
        <w:rPr>
          <w:rFonts w:hint="eastAsia"/>
          <w:rtl/>
        </w:rPr>
        <w:t>על</w:t>
      </w:r>
      <w:r w:rsidRPr="007C3B90">
        <w:rPr>
          <w:rtl/>
        </w:rPr>
        <w:t xml:space="preserve"> </w:t>
      </w:r>
      <w:r w:rsidRPr="007C3B90">
        <w:rPr>
          <w:rFonts w:hint="eastAsia"/>
          <w:rtl/>
        </w:rPr>
        <w:t>בית</w:t>
      </w:r>
      <w:r w:rsidRPr="007C3B90">
        <w:rPr>
          <w:rtl/>
        </w:rPr>
        <w:t xml:space="preserve"> </w:t>
      </w:r>
      <w:r w:rsidRPr="007C3B90">
        <w:rPr>
          <w:rFonts w:hint="eastAsia"/>
          <w:rtl/>
        </w:rPr>
        <w:t>המשפט</w:t>
      </w:r>
      <w:r w:rsidRPr="007C3B90">
        <w:rPr>
          <w:rtl/>
        </w:rPr>
        <w:t xml:space="preserve"> </w:t>
      </w:r>
      <w:r w:rsidRPr="007C3B90">
        <w:rPr>
          <w:rFonts w:hint="eastAsia"/>
          <w:rtl/>
        </w:rPr>
        <w:t>להבחין</w:t>
      </w:r>
      <w:r w:rsidRPr="007C3B90">
        <w:rPr>
          <w:rtl/>
        </w:rPr>
        <w:t xml:space="preserve"> </w:t>
      </w:r>
      <w:r w:rsidRPr="007C3B90">
        <w:rPr>
          <w:rFonts w:hint="eastAsia"/>
          <w:rtl/>
        </w:rPr>
        <w:t>בין</w:t>
      </w:r>
      <w:r w:rsidRPr="007C3B90">
        <w:rPr>
          <w:rtl/>
        </w:rPr>
        <w:t xml:space="preserve"> </w:t>
      </w:r>
      <w:r w:rsidRPr="007C3B90">
        <w:rPr>
          <w:rFonts w:hint="eastAsia"/>
          <w:rtl/>
        </w:rPr>
        <w:t>תחומי</w:t>
      </w:r>
      <w:r w:rsidRPr="007C3B90">
        <w:rPr>
          <w:rtl/>
        </w:rPr>
        <w:t xml:space="preserve"> </w:t>
      </w:r>
      <w:r w:rsidRPr="007C3B90">
        <w:rPr>
          <w:rFonts w:hint="eastAsia"/>
          <w:rtl/>
        </w:rPr>
        <w:t>הרצוי</w:t>
      </w:r>
      <w:r w:rsidRPr="007C3B90">
        <w:rPr>
          <w:rtl/>
        </w:rPr>
        <w:t xml:space="preserve"> </w:t>
      </w:r>
      <w:r w:rsidRPr="007C3B90">
        <w:rPr>
          <w:rFonts w:hint="eastAsia"/>
          <w:rtl/>
        </w:rPr>
        <w:t>בעיניו</w:t>
      </w:r>
      <w:r w:rsidRPr="007C3B90">
        <w:rPr>
          <w:rtl/>
        </w:rPr>
        <w:t xml:space="preserve">, </w:t>
      </w:r>
      <w:r w:rsidRPr="007C3B90">
        <w:rPr>
          <w:rFonts w:hint="eastAsia"/>
          <w:rtl/>
        </w:rPr>
        <w:t>ובין</w:t>
      </w:r>
      <w:r w:rsidRPr="007C3B90">
        <w:rPr>
          <w:rtl/>
        </w:rPr>
        <w:t xml:space="preserve"> </w:t>
      </w:r>
      <w:r w:rsidRPr="007C3B90">
        <w:rPr>
          <w:rFonts w:hint="eastAsia"/>
          <w:rtl/>
        </w:rPr>
        <w:t>תחומי</w:t>
      </w:r>
      <w:r w:rsidRPr="007C3B90">
        <w:rPr>
          <w:rtl/>
        </w:rPr>
        <w:t xml:space="preserve"> </w:t>
      </w:r>
      <w:r w:rsidRPr="007C3B90">
        <w:rPr>
          <w:rFonts w:hint="eastAsia"/>
          <w:rtl/>
        </w:rPr>
        <w:t>האסור</w:t>
      </w:r>
      <w:r w:rsidRPr="007C3B90">
        <w:rPr>
          <w:rtl/>
        </w:rPr>
        <w:t xml:space="preserve"> </w:t>
      </w:r>
      <w:r w:rsidRPr="007C3B90">
        <w:rPr>
          <w:rFonts w:hint="eastAsia"/>
          <w:rtl/>
        </w:rPr>
        <w:t>והמותר</w:t>
      </w:r>
      <w:r w:rsidRPr="007C3B90">
        <w:rPr>
          <w:rtl/>
        </w:rPr>
        <w:t xml:space="preserve"> </w:t>
      </w:r>
      <w:r w:rsidRPr="007C3B90">
        <w:rPr>
          <w:rFonts w:hint="eastAsia"/>
          <w:rtl/>
        </w:rPr>
        <w:t>מבחינה</w:t>
      </w:r>
      <w:r w:rsidRPr="007C3B90">
        <w:rPr>
          <w:rtl/>
        </w:rPr>
        <w:t xml:space="preserve"> </w:t>
      </w:r>
      <w:r w:rsidRPr="007C3B90">
        <w:rPr>
          <w:rFonts w:hint="eastAsia"/>
          <w:rtl/>
        </w:rPr>
        <w:t>משפטית</w:t>
      </w:r>
      <w:r w:rsidRPr="007C3B90">
        <w:rPr>
          <w:rtl/>
        </w:rPr>
        <w:t xml:space="preserve">, </w:t>
      </w:r>
      <w:r w:rsidRPr="007C3B90">
        <w:rPr>
          <w:rFonts w:hint="eastAsia"/>
          <w:rtl/>
        </w:rPr>
        <w:t>הנתונים</w:t>
      </w:r>
      <w:r w:rsidRPr="007C3B90">
        <w:rPr>
          <w:rtl/>
        </w:rPr>
        <w:t xml:space="preserve"> </w:t>
      </w:r>
      <w:r w:rsidRPr="007C3B90">
        <w:rPr>
          <w:rFonts w:hint="eastAsia"/>
          <w:rtl/>
        </w:rPr>
        <w:t>להכרעתו</w:t>
      </w:r>
      <w:r w:rsidRPr="007C3B90">
        <w:rPr>
          <w:rtl/>
        </w:rPr>
        <w:t xml:space="preserve">. </w:t>
      </w:r>
      <w:r w:rsidRPr="007C3B90">
        <w:rPr>
          <w:rFonts w:hint="eastAsia"/>
          <w:rtl/>
        </w:rPr>
        <w:t>בהקשר</w:t>
      </w:r>
      <w:r w:rsidRPr="007C3B90">
        <w:rPr>
          <w:rtl/>
        </w:rPr>
        <w:t xml:space="preserve"> </w:t>
      </w:r>
      <w:r w:rsidRPr="007C3B90">
        <w:rPr>
          <w:rFonts w:hint="eastAsia"/>
          <w:rtl/>
        </w:rPr>
        <w:t>זה</w:t>
      </w:r>
      <w:r w:rsidRPr="007C3B90">
        <w:rPr>
          <w:rtl/>
        </w:rPr>
        <w:t xml:space="preserve">, </w:t>
      </w:r>
      <w:r w:rsidRPr="007C3B90">
        <w:rPr>
          <w:rFonts w:hint="eastAsia"/>
          <w:rtl/>
        </w:rPr>
        <w:t>וכפי</w:t>
      </w:r>
      <w:r w:rsidRPr="007C3B90">
        <w:rPr>
          <w:rtl/>
        </w:rPr>
        <w:t xml:space="preserve"> </w:t>
      </w:r>
      <w:r w:rsidRPr="007C3B90">
        <w:rPr>
          <w:rFonts w:hint="eastAsia"/>
          <w:rtl/>
        </w:rPr>
        <w:t>שפורט</w:t>
      </w:r>
      <w:r w:rsidRPr="007C3B90">
        <w:rPr>
          <w:rtl/>
        </w:rPr>
        <w:t xml:space="preserve"> </w:t>
      </w:r>
      <w:r w:rsidRPr="007C3B90">
        <w:rPr>
          <w:rFonts w:hint="eastAsia"/>
          <w:rtl/>
        </w:rPr>
        <w:t>לעיל</w:t>
      </w:r>
      <w:r w:rsidRPr="007C3B90">
        <w:rPr>
          <w:rtl/>
        </w:rPr>
        <w:t>, עמדתי היא כי אנו רשאים להתערב בחקיקת</w:t>
      </w:r>
      <w:r>
        <w:rPr>
          <w:rFonts w:hint="cs"/>
          <w:rtl/>
        </w:rPr>
        <w:t xml:space="preserve"> </w:t>
      </w:r>
      <w:r w:rsidRPr="007C3B90">
        <w:rPr>
          <w:rtl/>
        </w:rPr>
        <w:t>יסוד, רק במקרים נדירים שבנדירים, בהם מתנוסס 'דגל שחור' מעל</w:t>
      </w:r>
      <w:r w:rsidRPr="007C3B90">
        <w:rPr>
          <w:rFonts w:hint="cs"/>
          <w:rtl/>
        </w:rPr>
        <w:t xml:space="preserve"> חוק היסוד</w:t>
      </w:r>
      <w:r w:rsidRPr="007C3B90">
        <w:rPr>
          <w:rtl/>
        </w:rPr>
        <w:t xml:space="preserve"> המאיים למוטט את אושיות הדמוקרטיה. המקרה שלפנינו אינו בא בגדר מקרים נדירים אלה, אף לא בקירוב. מבחינה מעשית, השלכותיו של התיקון מצומצמות במידה רבה, שכן ניתן להחליף את השימוש בעילת הסבירות הרחבה בעילות ביקורת אחרות הקיימות בשיטתנו, ואף להיעזר בעילת הסבירות הצרה, אשר לטעמי התיקון, על פי פרשנותו הראויה, מותיר</w:t>
      </w:r>
      <w:r w:rsidRPr="007C3B90">
        <w:rPr>
          <w:rFonts w:hint="cs"/>
          <w:rtl/>
        </w:rPr>
        <w:t>ה</w:t>
      </w:r>
      <w:r w:rsidRPr="007C3B90">
        <w:rPr>
          <w:rtl/>
        </w:rPr>
        <w:t xml:space="preserve"> על כנה. המקרים </w:t>
      </w:r>
      <w:r w:rsidRPr="007C3B90">
        <w:rPr>
          <w:rFonts w:hint="cs"/>
          <w:rtl/>
        </w:rPr>
        <w:t xml:space="preserve">המעטים </w:t>
      </w:r>
      <w:r w:rsidRPr="007C3B90">
        <w:rPr>
          <w:rtl/>
        </w:rPr>
        <w:t xml:space="preserve">הנותרים – הם מקרים אשר </w:t>
      </w:r>
      <w:r w:rsidRPr="007C3B90">
        <w:rPr>
          <w:rFonts w:hint="cs"/>
          <w:rtl/>
        </w:rPr>
        <w:t>בהתחשב ב</w:t>
      </w:r>
      <w:r w:rsidRPr="007C3B90">
        <w:rPr>
          <w:rtl/>
        </w:rPr>
        <w:t xml:space="preserve">טיבם, </w:t>
      </w:r>
      <w:r w:rsidRPr="007C3B90">
        <w:rPr>
          <w:rFonts w:hint="cs"/>
          <w:rtl/>
        </w:rPr>
        <w:t>ו</w:t>
      </w:r>
      <w:r w:rsidRPr="007C3B90">
        <w:rPr>
          <w:rtl/>
        </w:rPr>
        <w:t xml:space="preserve">על-פי עמדתו הנורמטיבית של המחוקק לא ראוי כי בית המשפט יידרש להם. בכך, לא תבוא לקיצה הדמוקרטיה בישראל, ולא </w:t>
      </w:r>
      <w:r>
        <w:rPr>
          <w:rFonts w:hint="cs"/>
          <w:rtl/>
        </w:rPr>
        <w:t>י</w:t>
      </w:r>
      <w:r w:rsidRPr="007C3B90">
        <w:rPr>
          <w:rtl/>
        </w:rPr>
        <w:t>יפגעו באופן אנוש עקרונות שלטון החוק והפרדת הרשויות במדינתנו.</w:t>
      </w:r>
      <w:r w:rsidRPr="007C3B90">
        <w:rPr>
          <w:rtl/>
        </w:rPr>
        <w:br/>
      </w:r>
    </w:p>
    <w:p w:rsidR="00BB56BB" w:rsidRPr="000D4926" w:rsidRDefault="00BB56BB" w:rsidP="00BB56BB">
      <w:pPr>
        <w:pStyle w:val="Ruller4"/>
        <w:numPr>
          <w:ilvl w:val="0"/>
          <w:numId w:val="0"/>
        </w:numPr>
        <w:rPr>
          <w:rFonts w:ascii="Century" w:hAnsi="Century" w:cs="Miriam"/>
          <w:b/>
          <w:spacing w:val="0"/>
          <w:sz w:val="22"/>
          <w:szCs w:val="24"/>
          <w:rtl/>
        </w:rPr>
      </w:pPr>
      <w:r w:rsidRPr="000D4926">
        <w:rPr>
          <w:rFonts w:ascii="Century" w:hAnsi="Century" w:cs="Miriam" w:hint="cs"/>
          <w:b/>
          <w:spacing w:val="0"/>
          <w:sz w:val="22"/>
          <w:szCs w:val="24"/>
          <w:rtl/>
        </w:rPr>
        <w:t>לאחר שעיינתי בחוות דעתם של חבריי אוסיף הערות אחדות:</w:t>
      </w:r>
    </w:p>
    <w:p w:rsidR="00BB56BB" w:rsidRPr="007C3B90" w:rsidRDefault="00BB56BB" w:rsidP="00BB56BB">
      <w:pPr>
        <w:pStyle w:val="Ruller41"/>
        <w:rPr>
          <w:rtl/>
        </w:rPr>
      </w:pPr>
    </w:p>
    <w:p w:rsidR="00BB56BB" w:rsidRPr="007C3B90" w:rsidRDefault="00BB56BB" w:rsidP="00E55789">
      <w:pPr>
        <w:pStyle w:val="Ruller4"/>
        <w:rPr>
          <w:rtl/>
        </w:rPr>
      </w:pPr>
      <w:r w:rsidRPr="007C3B90">
        <w:rPr>
          <w:rFonts w:hint="cs"/>
          <w:rtl/>
        </w:rPr>
        <w:t xml:space="preserve">יש מחבריי הסבורים כי </w:t>
      </w:r>
      <w:r w:rsidRPr="007C3B90">
        <w:rPr>
          <w:rtl/>
        </w:rPr>
        <w:t>לא ניתן לערוך ביקורת שיפוטית על חקיקת יסוד מכוח</w:t>
      </w:r>
      <w:r w:rsidRPr="007C3B90">
        <w:rPr>
          <w:rFonts w:hint="cs"/>
          <w:rtl/>
        </w:rPr>
        <w:t>ם של</w:t>
      </w:r>
      <w:r w:rsidRPr="007C3B90">
        <w:rPr>
          <w:rtl/>
        </w:rPr>
        <w:t xml:space="preserve"> </w:t>
      </w:r>
      <w:r w:rsidRPr="007C3B90">
        <w:rPr>
          <w:rFonts w:hint="cs"/>
          <w:rtl/>
        </w:rPr>
        <w:t>חוקי</w:t>
      </w:r>
      <w:r>
        <w:rPr>
          <w:rFonts w:hint="cs"/>
          <w:rtl/>
        </w:rPr>
        <w:t xml:space="preserve"> </w:t>
      </w:r>
      <w:r w:rsidRPr="007C3B90">
        <w:rPr>
          <w:rFonts w:hint="cs"/>
          <w:rtl/>
        </w:rPr>
        <w:t>יסוד המצויים</w:t>
      </w:r>
      <w:r w:rsidRPr="007C3B90">
        <w:rPr>
          <w:rtl/>
        </w:rPr>
        <w:t xml:space="preserve"> באותו</w:t>
      </w:r>
      <w:r w:rsidRPr="007C3B90">
        <w:rPr>
          <w:rFonts w:hint="cs"/>
          <w:rtl/>
        </w:rPr>
        <w:t xml:space="preserve"> </w:t>
      </w:r>
      <w:r w:rsidRPr="007C3B90">
        <w:rPr>
          <w:rtl/>
        </w:rPr>
        <w:t>מדרג</w:t>
      </w:r>
      <w:r w:rsidRPr="007C3B90">
        <w:rPr>
          <w:rFonts w:hint="cs"/>
          <w:rtl/>
        </w:rPr>
        <w:t xml:space="preserve"> נורמטיבי (פסקה 15 לחוות דעתה של חברתי </w:t>
      </w:r>
      <w:r w:rsidRPr="007C3B90">
        <w:rPr>
          <w:rtl/>
        </w:rPr>
        <w:t xml:space="preserve">השופטת </w:t>
      </w:r>
      <w:r w:rsidRPr="000D4926">
        <w:rPr>
          <w:rFonts w:ascii="Century" w:hAnsi="Century" w:cs="Miriam"/>
          <w:b/>
          <w:spacing w:val="0"/>
          <w:sz w:val="22"/>
          <w:szCs w:val="24"/>
          <w:rtl/>
        </w:rPr>
        <w:t>ד' ברק-ארז</w:t>
      </w:r>
      <w:r w:rsidRPr="000D4926">
        <w:rPr>
          <w:rFonts w:ascii="Century" w:hAnsi="Century" w:cs="Miriam"/>
          <w:b/>
          <w:szCs w:val="24"/>
          <w:rtl/>
        </w:rPr>
        <w:t xml:space="preserve"> </w:t>
      </w:r>
      <w:r w:rsidRPr="007C3B90">
        <w:rPr>
          <w:rtl/>
        </w:rPr>
        <w:t>ו</w:t>
      </w:r>
      <w:r w:rsidRPr="007C3B90">
        <w:rPr>
          <w:rFonts w:hint="cs"/>
          <w:rtl/>
        </w:rPr>
        <w:t xml:space="preserve">פסקה </w:t>
      </w:r>
      <w:r w:rsidR="00E55789">
        <w:rPr>
          <w:rFonts w:hint="cs"/>
          <w:rtl/>
        </w:rPr>
        <w:t xml:space="preserve">119 </w:t>
      </w:r>
      <w:r w:rsidRPr="007C3B90">
        <w:rPr>
          <w:rFonts w:hint="cs"/>
          <w:rtl/>
        </w:rPr>
        <w:t xml:space="preserve">לחוות דעתו של חברי השופט </w:t>
      </w:r>
      <w:r w:rsidRPr="000D4926">
        <w:rPr>
          <w:rFonts w:ascii="Century" w:hAnsi="Century" w:cs="Miriam"/>
          <w:b/>
          <w:spacing w:val="0"/>
          <w:sz w:val="22"/>
          <w:szCs w:val="24"/>
          <w:rtl/>
        </w:rPr>
        <w:t>נ' סולברג</w:t>
      </w:r>
      <w:r w:rsidRPr="007C3B90">
        <w:rPr>
          <w:rFonts w:hint="cs"/>
          <w:rtl/>
        </w:rPr>
        <w:t>). אני חולקת על השקפה זו, אשר אינה עולה בקנה אחד עם סמכותה של הכנסת, כרשות מכוננת, להגן על ערכי יסוד באמצעות הטלת מגבלות בחוקי</w:t>
      </w:r>
      <w:r>
        <w:rPr>
          <w:rFonts w:hint="cs"/>
          <w:rtl/>
        </w:rPr>
        <w:t xml:space="preserve"> </w:t>
      </w:r>
      <w:r w:rsidRPr="007C3B90">
        <w:rPr>
          <w:rFonts w:hint="cs"/>
          <w:rtl/>
        </w:rPr>
        <w:t>יסוד על שינוי</w:t>
      </w:r>
      <w:r w:rsidRPr="001C4EB4">
        <w:rPr>
          <w:rtl/>
        </w:rPr>
        <w:t>יָם</w:t>
      </w:r>
      <w:r w:rsidRPr="007C3B90">
        <w:rPr>
          <w:rFonts w:hint="cs"/>
          <w:rtl/>
        </w:rPr>
        <w:t xml:space="preserve"> (פסקה 7 לחוות דעתי והאסמכתאות שם. ולהרחבה ראו: </w:t>
      </w:r>
      <w:r w:rsidRPr="000D4926">
        <w:rPr>
          <w:rFonts w:ascii="Century" w:hAnsi="Century" w:cs="Miriam" w:hint="cs"/>
          <w:b/>
          <w:spacing w:val="0"/>
          <w:sz w:val="22"/>
          <w:szCs w:val="24"/>
          <w:rtl/>
        </w:rPr>
        <w:t>ווייל</w:t>
      </w:r>
      <w:r w:rsidRPr="007C3B90">
        <w:rPr>
          <w:rFonts w:hint="cs"/>
          <w:rtl/>
        </w:rPr>
        <w:t xml:space="preserve">, בעמ' 515). על כך נאמר כי </w:t>
      </w:r>
      <w:r w:rsidRPr="000D4926">
        <w:rPr>
          <w:rFonts w:ascii="Century" w:hAnsi="Century" w:cs="Miriam" w:hint="cs"/>
          <w:b/>
          <w:spacing w:val="0"/>
          <w:sz w:val="22"/>
          <w:szCs w:val="24"/>
          <w:rtl/>
        </w:rPr>
        <w:t>"כוחה של הכנסת, כרשות מכוננת, מוגבל, בראש ובראשונה מכוח ההוראות הקבועות בחוקי-היסוד עצמם"</w:t>
      </w:r>
      <w:r w:rsidRPr="007C3B90">
        <w:rPr>
          <w:rFonts w:hint="cs"/>
          <w:rtl/>
        </w:rPr>
        <w:t xml:space="preserve"> (</w:t>
      </w:r>
      <w:r w:rsidRPr="000D4926">
        <w:rPr>
          <w:rFonts w:ascii="Century" w:hAnsi="Century" w:cs="Miriam" w:hint="cs"/>
          <w:b/>
          <w:spacing w:val="0"/>
          <w:sz w:val="22"/>
          <w:szCs w:val="24"/>
          <w:rtl/>
        </w:rPr>
        <w:t>רובינשטיין ומדינה</w:t>
      </w:r>
      <w:r w:rsidRPr="007C3B90">
        <w:rPr>
          <w:rFonts w:hint="cs"/>
          <w:rtl/>
        </w:rPr>
        <w:t>, בעמ' 350).</w:t>
      </w:r>
    </w:p>
    <w:p w:rsidR="00BB56BB" w:rsidRPr="007C3B90" w:rsidRDefault="00BB56BB" w:rsidP="00BB56BB">
      <w:pPr>
        <w:pStyle w:val="Ruller41"/>
        <w:rPr>
          <w:rtl/>
        </w:rPr>
      </w:pPr>
    </w:p>
    <w:p w:rsidR="00BB56BB" w:rsidRPr="007C3B90" w:rsidRDefault="00BB56BB" w:rsidP="00BB56BB">
      <w:pPr>
        <w:pStyle w:val="Ruller4"/>
        <w:rPr>
          <w:rtl/>
        </w:rPr>
      </w:pPr>
      <w:r w:rsidRPr="007C3B90">
        <w:rPr>
          <w:rFonts w:hint="cs"/>
          <w:rtl/>
        </w:rPr>
        <w:t>הטיעון הרווח השולל ביקורת שיפוטית על חוק</w:t>
      </w:r>
      <w:r>
        <w:rPr>
          <w:rFonts w:hint="cs"/>
          <w:rtl/>
        </w:rPr>
        <w:t xml:space="preserve"> </w:t>
      </w:r>
      <w:r w:rsidRPr="007C3B90">
        <w:rPr>
          <w:rFonts w:hint="cs"/>
          <w:rtl/>
        </w:rPr>
        <w:t xml:space="preserve">יסוד מכוחה של חקיקת יסוד, המצויה באותו המדרג, מתייחס לסמכות המכוננת </w:t>
      </w:r>
      <w:r w:rsidRPr="000D4926">
        <w:rPr>
          <w:rFonts w:ascii="Century" w:hAnsi="Century" w:cs="Miriam" w:hint="cs"/>
          <w:b/>
          <w:spacing w:val="0"/>
          <w:sz w:val="22"/>
          <w:szCs w:val="24"/>
          <w:rtl/>
        </w:rPr>
        <w:t>הראשונית</w:t>
      </w:r>
      <w:r w:rsidRPr="007C3B90">
        <w:rPr>
          <w:rFonts w:hint="cs"/>
          <w:rtl/>
        </w:rPr>
        <w:t xml:space="preserve">. טיעון זה מבחין בין שתי סמכויות מכוננות: ראשונית (מקורית) ומשנית (נגזרת). הסמכות המכוננת הראשונית, היא הקובעת את תוכן החוקה ואת הדרכים לתיקונה והיא הפועלת עד להשלמת החוקה. משאין מעליה סמכות נוספת, הטלת מגבלות על סמכותה חייבת להתבסס, על פי השקפה </w:t>
      </w:r>
      <w:r w:rsidRPr="007C3B90">
        <w:rPr>
          <w:rFonts w:hint="cs"/>
          <w:rtl/>
        </w:rPr>
        <w:lastRenderedPageBreak/>
        <w:t xml:space="preserve">זו, על נקודת אחיזה המצויה מחוץ לחוקה. לעומתה, הסמכות המכוננת המשנית, הנכנסת לפעולה עם סיום תפקידה של הסמכות המכוננת הראשונית, היא סמכות מוגבלת. סמכותה מוסדרת על-ידי הסמכות המכוננת הראשונית, והיא אינה רשאית לחרוג מן המגבלות שזו קבעה לה בחוקה עצמה. ביחסים שבין השתיים, נורמה חוקתית פרי יצירתה של הסמכות המכוננת הראשונית גוברת על נורמה חוקתית פרי תיקון של הסמכות המכוננת המשנית, על אף שמדובר בהוראות המצויות באותו מדרג נורמטיבי (ראו: </w:t>
      </w:r>
      <w:r w:rsidRPr="000D4926">
        <w:rPr>
          <w:rFonts w:ascii="Century" w:hAnsi="Century" w:cs="Miriam" w:hint="cs"/>
          <w:b/>
          <w:spacing w:val="0"/>
          <w:sz w:val="22"/>
          <w:szCs w:val="24"/>
          <w:rtl/>
        </w:rPr>
        <w:t>ברק, הסמכות המכוננת הראשונית</w:t>
      </w:r>
      <w:r w:rsidRPr="007C3B90">
        <w:rPr>
          <w:rFonts w:hint="cs"/>
          <w:rtl/>
        </w:rPr>
        <w:t xml:space="preserve">, בעמ' 128-123). </w:t>
      </w:r>
    </w:p>
    <w:p w:rsidR="00BB56BB" w:rsidRPr="007C3B90" w:rsidRDefault="00BB56BB" w:rsidP="00BB56BB">
      <w:pPr>
        <w:pStyle w:val="Ruller41"/>
        <w:rPr>
          <w:rtl/>
        </w:rPr>
      </w:pPr>
    </w:p>
    <w:p w:rsidR="00BB56BB" w:rsidRPr="007C3B90" w:rsidRDefault="00BB56BB" w:rsidP="00BB56BB">
      <w:pPr>
        <w:pStyle w:val="Ruller4"/>
        <w:rPr>
          <w:rtl/>
        </w:rPr>
      </w:pPr>
      <w:r w:rsidRPr="007C3B90">
        <w:rPr>
          <w:rFonts w:hint="cs"/>
          <w:rtl/>
        </w:rPr>
        <w:t>ההשקפה שלפיה ביקורת שיפוטית על תיקון חוקתי חייבת להתבסס על נקודת אחיזה חיצונית לחוקה, מושתתת אפוא על ההנחה שהכנסת היא בעלת סמכות מכוננת ראשונית. זוהי, כאמור, השקפתו של אהרן ברק הסבור כי כל עוד לא הושלם המפעל החוקתי, הכנסת פועלת בכובעה כסמכות מכוננת ראשונית (</w:t>
      </w:r>
      <w:r w:rsidRPr="00EC56C9">
        <w:rPr>
          <w:rFonts w:ascii="Century" w:hAnsi="Century" w:cs="Miriam" w:hint="cs"/>
          <w:b/>
          <w:spacing w:val="0"/>
          <w:sz w:val="22"/>
          <w:szCs w:val="24"/>
          <w:rtl/>
        </w:rPr>
        <w:t>שם</w:t>
      </w:r>
      <w:r w:rsidRPr="007C3B90">
        <w:rPr>
          <w:rFonts w:ascii="Century" w:hAnsi="Century" w:hint="cs"/>
          <w:rtl/>
        </w:rPr>
        <w:t>)</w:t>
      </w:r>
      <w:r w:rsidRPr="007C3B90">
        <w:rPr>
          <w:rFonts w:hint="cs"/>
          <w:rtl/>
        </w:rPr>
        <w:t>. אלא שהשקפה זו אינה יחידה או בלעדית, ואופייה של הרשות המכוננת הישראלית טרם הוכרע בפסיקה. כך, למשל, לשיטתו של פרופ' קלוד קליין, אוחזת הכנסת בסמכות מכוננת ראשונית בכל אותם נושאים שבהם טרם נחקקו חוקי יסוד, בעוד שבנושאים בהם נחקקו חוקי</w:t>
      </w:r>
      <w:r>
        <w:rPr>
          <w:rFonts w:hint="cs"/>
          <w:rtl/>
        </w:rPr>
        <w:t xml:space="preserve"> </w:t>
      </w:r>
      <w:r w:rsidRPr="007C3B90">
        <w:rPr>
          <w:rFonts w:hint="cs"/>
          <w:rtl/>
        </w:rPr>
        <w:t>יסוד (כבענייננו) מיצתה הכנסת את סמכותה המכוננת הראשונית, והיא פועלת כסמכות מכוננת משנית. באופן זה חובשת הכנסת, לשיטתו, שלושה כובעים: של מכונן מקורי, מכונן נגזר ומחוקק (</w:t>
      </w:r>
      <w:r w:rsidRPr="00EC56C9">
        <w:rPr>
          <w:rFonts w:ascii="Century" w:hAnsi="Century" w:cs="Miriam" w:hint="cs"/>
          <w:b/>
          <w:spacing w:val="0"/>
          <w:sz w:val="22"/>
          <w:szCs w:val="24"/>
          <w:rtl/>
        </w:rPr>
        <w:t>קליין, בעקבות פסק-הדין בנק המזרחי</w:t>
      </w:r>
      <w:r w:rsidRPr="007C3B90">
        <w:rPr>
          <w:rFonts w:ascii="Century" w:hAnsi="Century" w:hint="cs"/>
          <w:rtl/>
        </w:rPr>
        <w:t>, בעמ' 357-355</w:t>
      </w:r>
      <w:r w:rsidRPr="007C3B90">
        <w:rPr>
          <w:rFonts w:hint="cs"/>
          <w:rtl/>
        </w:rPr>
        <w:t xml:space="preserve">; ולביקורת על גישה זו ולפיה אין לראות בכנסת כסמכות מכוננת מקורית בעת שהיא מחוקקת חוק יסוד חדש, ראו: סוזי נבות "נוקשות </w:t>
      </w:r>
      <w:r w:rsidRPr="007C3B90">
        <w:rPr>
          <w:rtl/>
        </w:rPr>
        <w:t>–</w:t>
      </w:r>
      <w:r w:rsidRPr="007C3B90">
        <w:rPr>
          <w:rFonts w:hint="cs"/>
          <w:rtl/>
        </w:rPr>
        <w:t xml:space="preserve"> סעיף 11 לחוק-יסוד: ישראל מדינת הלאום של העם היהודי" </w:t>
      </w:r>
      <w:r w:rsidRPr="00EC56C9">
        <w:rPr>
          <w:rFonts w:ascii="Century" w:hAnsi="Century" w:cs="Miriam" w:hint="cs"/>
          <w:b/>
          <w:spacing w:val="0"/>
          <w:sz w:val="22"/>
          <w:szCs w:val="24"/>
          <w:rtl/>
        </w:rPr>
        <w:t xml:space="preserve">קומנטר מאמרים על חוק-יסוד: ישראל </w:t>
      </w:r>
      <w:r w:rsidRPr="00EC56C9">
        <w:rPr>
          <w:rFonts w:ascii="Century" w:hAnsi="Century" w:cs="Miriam"/>
          <w:b/>
          <w:spacing w:val="0"/>
          <w:sz w:val="22"/>
          <w:szCs w:val="24"/>
          <w:rtl/>
        </w:rPr>
        <w:t>–</w:t>
      </w:r>
      <w:r w:rsidRPr="00EC56C9">
        <w:rPr>
          <w:rFonts w:ascii="Century" w:hAnsi="Century" w:cs="Miriam" w:hint="cs"/>
          <w:b/>
          <w:spacing w:val="0"/>
          <w:sz w:val="22"/>
          <w:szCs w:val="24"/>
          <w:rtl/>
        </w:rPr>
        <w:t xml:space="preserve"> מדינת הלאום של העם היהודי, בהוצאת המכון הישראלי לדמוקרטיה</w:t>
      </w:r>
      <w:r w:rsidRPr="007C3B90">
        <w:rPr>
          <w:rFonts w:hint="cs"/>
          <w:rtl/>
        </w:rPr>
        <w:t xml:space="preserve"> 14-13 (2021)). קיימת גם גישת ביניים של פרופ' רבקה ווייל שלפיה בשל הקושי לפסול תיקון חוקתי בהיותו בלתי חוקתי בטרם הושלם מפעל אימוץ החוקה, יש לעשות כן רק ככלי של "מוצא אחרון" (</w:t>
      </w:r>
      <w:r w:rsidRPr="00EC56C9">
        <w:rPr>
          <w:rFonts w:ascii="Century" w:hAnsi="Century" w:cs="Miriam" w:hint="cs"/>
          <w:b/>
          <w:spacing w:val="0"/>
          <w:sz w:val="22"/>
          <w:szCs w:val="24"/>
          <w:rtl/>
        </w:rPr>
        <w:t>ווייל</w:t>
      </w:r>
      <w:r w:rsidRPr="007C3B90">
        <w:rPr>
          <w:rFonts w:hint="cs"/>
          <w:rtl/>
        </w:rPr>
        <w:t xml:space="preserve">, </w:t>
      </w:r>
      <w:r>
        <w:rPr>
          <w:rFonts w:hint="cs"/>
          <w:rtl/>
        </w:rPr>
        <w:t xml:space="preserve">בעמ' </w:t>
      </w:r>
      <w:r w:rsidRPr="007C3B90">
        <w:rPr>
          <w:rFonts w:hint="cs"/>
          <w:rtl/>
        </w:rPr>
        <w:t xml:space="preserve">565-564). כפי שציינתי בחוות דעתי, אי-השלמת המפעל החוקתי הישראלי, אינה מקשה לטעמי על החלת ביקורת שיפוטית על חוקי יסוד, אלא להיפך </w:t>
      </w:r>
      <w:r w:rsidRPr="007C3B90">
        <w:rPr>
          <w:rtl/>
        </w:rPr>
        <w:t>–</w:t>
      </w:r>
      <w:r w:rsidRPr="007C3B90">
        <w:rPr>
          <w:rFonts w:hint="cs"/>
          <w:rtl/>
        </w:rPr>
        <w:t xml:space="preserve"> מהווה טעם נוסף להחלתה. </w:t>
      </w:r>
    </w:p>
    <w:p w:rsidR="00BB56BB" w:rsidRPr="007C3B90" w:rsidRDefault="00BB56BB" w:rsidP="00BB56BB">
      <w:pPr>
        <w:pStyle w:val="Ruller41"/>
        <w:rPr>
          <w:rtl/>
        </w:rPr>
      </w:pPr>
    </w:p>
    <w:p w:rsidR="00BB56BB" w:rsidRPr="007C3B90" w:rsidRDefault="00BB56BB" w:rsidP="00BB56BB">
      <w:pPr>
        <w:pStyle w:val="Ruller4"/>
        <w:rPr>
          <w:rtl/>
        </w:rPr>
      </w:pPr>
      <w:r w:rsidRPr="007C3B90">
        <w:rPr>
          <w:rFonts w:hint="cs"/>
          <w:rtl/>
        </w:rPr>
        <w:t xml:space="preserve">אוסיף כי חלק מחוקי היסוד הקיימים כוללים הוראות כבילה צורניות-דיוניות מפורשות על תיקונם (דרישה לרוב מיוחס של חברי הכנסת), ודומה כי </w:t>
      </w:r>
      <w:r w:rsidRPr="007C3B90">
        <w:rPr>
          <w:rtl/>
        </w:rPr>
        <w:t>איש לא יחלוק על סמכות</w:t>
      </w:r>
      <w:r w:rsidRPr="007C3B90">
        <w:rPr>
          <w:rFonts w:hint="cs"/>
          <w:rtl/>
        </w:rPr>
        <w:t>ו של</w:t>
      </w:r>
      <w:r w:rsidRPr="007C3B90">
        <w:rPr>
          <w:rtl/>
        </w:rPr>
        <w:t xml:space="preserve"> בית משפט </w:t>
      </w:r>
      <w:r w:rsidRPr="007C3B90">
        <w:rPr>
          <w:rFonts w:hint="cs"/>
          <w:rtl/>
        </w:rPr>
        <w:t xml:space="preserve">זה </w:t>
      </w:r>
      <w:r w:rsidRPr="007C3B90">
        <w:rPr>
          <w:rtl/>
        </w:rPr>
        <w:t xml:space="preserve">לערוך ביקורת שיפוטית </w:t>
      </w:r>
      <w:r w:rsidRPr="007C3B90">
        <w:rPr>
          <w:rFonts w:hint="cs"/>
          <w:rtl/>
        </w:rPr>
        <w:t>בשאלה האם הדרישות הצורניות בעניינו של התיקון החוקתי קוימו כדין (</w:t>
      </w:r>
      <w:r w:rsidRPr="00E35159">
        <w:rPr>
          <w:rFonts w:ascii="Century" w:hAnsi="Century" w:cs="Miriam" w:hint="cs"/>
          <w:b/>
          <w:spacing w:val="0"/>
          <w:sz w:val="22"/>
          <w:szCs w:val="24"/>
          <w:rtl/>
        </w:rPr>
        <w:t>רובינשטיין ומדינה</w:t>
      </w:r>
      <w:r w:rsidRPr="007C3B90">
        <w:rPr>
          <w:rFonts w:hint="cs"/>
          <w:rtl/>
        </w:rPr>
        <w:t>, בעמ' 351</w:t>
      </w:r>
      <w:r>
        <w:rPr>
          <w:rFonts w:hint="cs"/>
          <w:rtl/>
        </w:rPr>
        <w:t xml:space="preserve">. </w:t>
      </w:r>
      <w:r w:rsidRPr="007C3B90">
        <w:rPr>
          <w:rFonts w:hint="cs"/>
          <w:rtl/>
        </w:rPr>
        <w:t xml:space="preserve">ולטעמים נוספים לקיום ביקורת על חוק יסוד מכוח חקיקת יסוד המצויה באותו מדרג נורמטיבי, ראו: פסקה 55 לחוות דעתו של השופט </w:t>
      </w:r>
      <w:r w:rsidRPr="000D4926">
        <w:rPr>
          <w:rFonts w:ascii="Century" w:hAnsi="Century" w:cs="Miriam" w:hint="eastAsia"/>
          <w:b/>
          <w:spacing w:val="0"/>
          <w:sz w:val="22"/>
          <w:szCs w:val="24"/>
          <w:rtl/>
        </w:rPr>
        <w:t>ע</w:t>
      </w:r>
      <w:r w:rsidRPr="000D4926">
        <w:rPr>
          <w:rFonts w:ascii="Century" w:hAnsi="Century" w:cs="Miriam"/>
          <w:b/>
          <w:spacing w:val="0"/>
          <w:sz w:val="22"/>
          <w:szCs w:val="24"/>
          <w:rtl/>
        </w:rPr>
        <w:t xml:space="preserve">' </w:t>
      </w:r>
      <w:r w:rsidRPr="000D4926">
        <w:rPr>
          <w:rFonts w:ascii="Century" w:hAnsi="Century" w:cs="Miriam" w:hint="eastAsia"/>
          <w:b/>
          <w:spacing w:val="0"/>
          <w:sz w:val="22"/>
          <w:szCs w:val="24"/>
          <w:rtl/>
        </w:rPr>
        <w:t>גרוסקופף</w:t>
      </w:r>
      <w:r w:rsidRPr="000D4926">
        <w:rPr>
          <w:rtl/>
        </w:rPr>
        <w:t xml:space="preserve"> </w:t>
      </w:r>
      <w:r w:rsidRPr="007C3B90">
        <w:rPr>
          <w:rFonts w:hint="cs"/>
          <w:rtl/>
        </w:rPr>
        <w:t xml:space="preserve">ופסקה 10 לחוות דעתו של השופט </w:t>
      </w:r>
      <w:r w:rsidRPr="000D4926">
        <w:rPr>
          <w:rFonts w:ascii="Century" w:hAnsi="Century" w:cs="Miriam" w:hint="eastAsia"/>
          <w:b/>
          <w:spacing w:val="0"/>
          <w:sz w:val="22"/>
          <w:szCs w:val="24"/>
          <w:rtl/>
        </w:rPr>
        <w:t>י</w:t>
      </w:r>
      <w:r w:rsidRPr="000D4926">
        <w:rPr>
          <w:rFonts w:ascii="Century" w:hAnsi="Century" w:cs="Miriam"/>
          <w:b/>
          <w:spacing w:val="0"/>
          <w:sz w:val="22"/>
          <w:szCs w:val="24"/>
          <w:rtl/>
        </w:rPr>
        <w:t xml:space="preserve">' </w:t>
      </w:r>
      <w:r w:rsidRPr="000D4926">
        <w:rPr>
          <w:rFonts w:ascii="Century" w:hAnsi="Century" w:cs="Miriam" w:hint="eastAsia"/>
          <w:b/>
          <w:spacing w:val="0"/>
          <w:sz w:val="22"/>
          <w:szCs w:val="24"/>
          <w:rtl/>
        </w:rPr>
        <w:t>כשר</w:t>
      </w:r>
      <w:r w:rsidRPr="007C3B90">
        <w:rPr>
          <w:rFonts w:hint="cs"/>
          <w:rtl/>
        </w:rPr>
        <w:t>).</w:t>
      </w:r>
    </w:p>
    <w:p w:rsidR="00BB56BB" w:rsidRPr="007C3B90" w:rsidRDefault="00BB56BB" w:rsidP="00BB56BB">
      <w:pPr>
        <w:pStyle w:val="Ruller41"/>
        <w:rPr>
          <w:rtl/>
        </w:rPr>
      </w:pPr>
    </w:p>
    <w:p w:rsidR="00BB56BB" w:rsidRPr="007C3B90" w:rsidRDefault="00BB56BB" w:rsidP="00BB56BB">
      <w:pPr>
        <w:pStyle w:val="Ruller4"/>
        <w:rPr>
          <w:rtl/>
        </w:rPr>
      </w:pPr>
      <w:r w:rsidRPr="007C3B90">
        <w:rPr>
          <w:rFonts w:hint="cs"/>
          <w:rtl/>
        </w:rPr>
        <w:t xml:space="preserve">ולהערה נוספת. חברי השופט </w:t>
      </w:r>
      <w:r w:rsidRPr="000D4926">
        <w:rPr>
          <w:rFonts w:ascii="Century" w:hAnsi="Century" w:cs="Miriam" w:hint="cs"/>
          <w:b/>
          <w:spacing w:val="0"/>
          <w:sz w:val="22"/>
          <w:szCs w:val="24"/>
          <w:rtl/>
        </w:rPr>
        <w:t>סולברג</w:t>
      </w:r>
      <w:r w:rsidRPr="000D4926">
        <w:rPr>
          <w:rFonts w:hint="cs"/>
          <w:rtl/>
        </w:rPr>
        <w:t xml:space="preserve"> </w:t>
      </w:r>
      <w:r w:rsidRPr="007C3B90">
        <w:rPr>
          <w:rFonts w:hint="cs"/>
          <w:rtl/>
        </w:rPr>
        <w:t>מתקשה לראות בחקיקת היסוד ובסעיף 7א(א)(1)</w:t>
      </w:r>
      <w:r>
        <w:rPr>
          <w:rFonts w:hint="cs"/>
          <w:rtl/>
        </w:rPr>
        <w:t xml:space="preserve"> </w:t>
      </w:r>
      <w:r w:rsidRPr="007C3B90">
        <w:rPr>
          <w:rFonts w:hint="cs"/>
          <w:rtl/>
        </w:rPr>
        <w:t>לחוק</w:t>
      </w:r>
      <w:r>
        <w:rPr>
          <w:rFonts w:hint="cs"/>
          <w:rtl/>
        </w:rPr>
        <w:t>-</w:t>
      </w:r>
      <w:r w:rsidRPr="007C3B90">
        <w:rPr>
          <w:rFonts w:hint="cs"/>
          <w:rtl/>
        </w:rPr>
        <w:t>יסוד: הכנסת</w:t>
      </w:r>
      <w:r>
        <w:rPr>
          <w:rFonts w:hint="cs"/>
          <w:rtl/>
        </w:rPr>
        <w:t>,</w:t>
      </w:r>
      <w:r w:rsidRPr="007C3B90">
        <w:rPr>
          <w:rFonts w:hint="cs"/>
          <w:rtl/>
        </w:rPr>
        <w:t xml:space="preserve"> משום עיגון להגבלת כוחה של הרשות המכוננת לחוקק חוקי יסוד הסותרים את אופייה של מדינת ישראל כמדינה יהודית ודמוקרטית. לעיון נוסף ולהרחבת הדעת באשר לקשר בין מנגנון פסילת מפלגות לבין המנגנון של הטלת מגבלות מהותיות על תיקונים חוקתיים, כמכשירים שנועדו שניהם להגן על ליבת זהותה החוקתית של המדינה אפנה גם </w:t>
      </w:r>
      <w:r w:rsidRPr="006103F0">
        <w:rPr>
          <w:rFonts w:ascii="Century" w:hAnsi="Century" w:hint="cs"/>
          <w:sz w:val="22"/>
          <w:rtl/>
        </w:rPr>
        <w:t>ל</w:t>
      </w:r>
      <w:r w:rsidRPr="00E35159">
        <w:rPr>
          <w:rFonts w:ascii="Century" w:hAnsi="Century" w:cs="Miriam" w:hint="cs"/>
          <w:b/>
          <w:spacing w:val="0"/>
          <w:sz w:val="22"/>
          <w:szCs w:val="24"/>
          <w:rtl/>
        </w:rPr>
        <w:t>רוז</w:t>
      </w:r>
      <w:r>
        <w:rPr>
          <w:rFonts w:ascii="Century" w:hAnsi="Century" w:cs="Miriam" w:hint="cs"/>
          <w:b/>
          <w:spacing w:val="0"/>
          <w:sz w:val="22"/>
          <w:szCs w:val="24"/>
          <w:rtl/>
        </w:rPr>
        <w:t>נ</w:t>
      </w:r>
      <w:r w:rsidRPr="00E35159">
        <w:rPr>
          <w:rFonts w:ascii="Century" w:hAnsi="Century" w:cs="Miriam" w:hint="cs"/>
          <w:b/>
          <w:spacing w:val="0"/>
          <w:sz w:val="22"/>
          <w:szCs w:val="24"/>
          <w:rtl/>
        </w:rPr>
        <w:t>אי, שמרנות רדיקלית</w:t>
      </w:r>
      <w:r w:rsidRPr="007C3B90">
        <w:rPr>
          <w:rFonts w:hint="cs"/>
          <w:rtl/>
        </w:rPr>
        <w:t>, בעמ' 10-9 (כן ראו ה"ש 46 והאסמכתאות שפורטו שם; וכן האסמכתאות בסעיף 12 לחוות דעתי). בניגוד לעולה מעמדת חברי, הגבלה שמטילה הכנסת על עצמה,</w:t>
      </w:r>
      <w:r>
        <w:rPr>
          <w:rFonts w:hint="cs"/>
          <w:rtl/>
        </w:rPr>
        <w:t xml:space="preserve"> אינה סותרת את עקרון </w:t>
      </w:r>
      <w:r w:rsidRPr="007C3B90">
        <w:rPr>
          <w:rFonts w:hint="cs"/>
          <w:rtl/>
        </w:rPr>
        <w:t xml:space="preserve">ריבונות הכנסת, אלא משלימה אותה. </w:t>
      </w:r>
    </w:p>
    <w:p w:rsidR="00BB56BB" w:rsidRPr="007C3B90" w:rsidRDefault="00BB56BB" w:rsidP="00BB56BB">
      <w:pPr>
        <w:pStyle w:val="Ruller41"/>
        <w:rPr>
          <w:rtl/>
        </w:rPr>
      </w:pPr>
    </w:p>
    <w:p w:rsidR="00BB56BB" w:rsidRPr="007C3B90" w:rsidRDefault="00BB56BB" w:rsidP="00BB56BB">
      <w:pPr>
        <w:pStyle w:val="Ruller4"/>
        <w:rPr>
          <w:rtl/>
        </w:rPr>
      </w:pPr>
      <w:r w:rsidRPr="007C3B90">
        <w:rPr>
          <w:rFonts w:hint="cs"/>
          <w:rtl/>
        </w:rPr>
        <w:t xml:space="preserve">השופט </w:t>
      </w:r>
      <w:r w:rsidRPr="003978B2">
        <w:rPr>
          <w:rFonts w:ascii="Century" w:hAnsi="Century" w:cs="Miriam" w:hint="cs"/>
          <w:b/>
          <w:spacing w:val="0"/>
          <w:sz w:val="22"/>
          <w:szCs w:val="24"/>
          <w:rtl/>
        </w:rPr>
        <w:t>סולברג</w:t>
      </w:r>
      <w:r w:rsidRPr="003978B2">
        <w:rPr>
          <w:rFonts w:hint="cs"/>
          <w:rtl/>
        </w:rPr>
        <w:t xml:space="preserve"> </w:t>
      </w:r>
      <w:r w:rsidRPr="007C3B90">
        <w:rPr>
          <w:rFonts w:hint="cs"/>
          <w:rtl/>
        </w:rPr>
        <w:t>גייס בחוות דעתו את כל ענקי המשפט כדי לבסס את השקפתו בדבר עליונות המחוקק-המכונן וסמכותו לחוקק כל</w:t>
      </w:r>
      <w:r>
        <w:rPr>
          <w:rFonts w:hint="cs"/>
          <w:rtl/>
        </w:rPr>
        <w:t xml:space="preserve"> חוק ללא כל מגבלה. אלא שבסקירתו</w:t>
      </w:r>
      <w:r w:rsidRPr="007C3B90">
        <w:rPr>
          <w:rFonts w:hint="cs"/>
          <w:rtl/>
        </w:rPr>
        <w:t xml:space="preserve"> נפקדו דבריהם של אותם ענקי משפט שלפיהם מדינת ישראל היא מדינה יהודית ודמוקרטית, ללא עוררין (</w:t>
      </w:r>
      <w:r>
        <w:rPr>
          <w:rFonts w:hint="cs"/>
          <w:rtl/>
        </w:rPr>
        <w:t xml:space="preserve">ראו: </w:t>
      </w:r>
      <w:r w:rsidRPr="007C3B90">
        <w:rPr>
          <w:rFonts w:hint="cs"/>
          <w:rtl/>
        </w:rPr>
        <w:t xml:space="preserve">עניין </w:t>
      </w:r>
      <w:r w:rsidRPr="006F53B5">
        <w:rPr>
          <w:rFonts w:ascii="Century" w:hAnsi="Century" w:cs="Miriam" w:hint="cs"/>
          <w:b/>
          <w:spacing w:val="0"/>
          <w:sz w:val="22"/>
          <w:szCs w:val="24"/>
          <w:rtl/>
        </w:rPr>
        <w:t>קול העם</w:t>
      </w:r>
      <w:r w:rsidRPr="007C3B90">
        <w:rPr>
          <w:rFonts w:hint="cs"/>
          <w:rtl/>
        </w:rPr>
        <w:t>, בעמ' 884;</w:t>
      </w:r>
      <w:r w:rsidRPr="007C3B90">
        <w:t> </w:t>
      </w:r>
      <w:r w:rsidRPr="007C3B90">
        <w:rPr>
          <w:rtl/>
        </w:rPr>
        <w:t>בג"ץ 206/61</w:t>
      </w:r>
      <w:r w:rsidRPr="007C3B90">
        <w:rPr>
          <w:rFonts w:hint="cs"/>
          <w:rtl/>
        </w:rPr>
        <w:t xml:space="preserve"> </w:t>
      </w:r>
      <w:r w:rsidRPr="006F53B5">
        <w:rPr>
          <w:rFonts w:ascii="Century" w:hAnsi="Century" w:cs="Miriam"/>
          <w:b/>
          <w:spacing w:val="0"/>
          <w:sz w:val="22"/>
          <w:szCs w:val="24"/>
          <w:rtl/>
        </w:rPr>
        <w:t>המפלגה הקומוניסטית הישראלית נ' ראש העיר ירושלים</w:t>
      </w:r>
      <w:r w:rsidRPr="007C3B90">
        <w:rPr>
          <w:rFonts w:hint="cs"/>
          <w:rtl/>
        </w:rPr>
        <w:t xml:space="preserve">, </w:t>
      </w:r>
      <w:r w:rsidRPr="007C3B90">
        <w:rPr>
          <w:rtl/>
        </w:rPr>
        <w:t xml:space="preserve">פ"ד </w:t>
      </w:r>
      <w:r w:rsidRPr="007C3B90">
        <w:rPr>
          <w:rFonts w:hint="cs"/>
          <w:rtl/>
        </w:rPr>
        <w:t>ט</w:t>
      </w:r>
      <w:r>
        <w:rPr>
          <w:rFonts w:hint="cs"/>
          <w:rtl/>
        </w:rPr>
        <w:t>ז</w:t>
      </w:r>
      <w:r w:rsidRPr="007C3B90">
        <w:rPr>
          <w:rFonts w:hint="cs"/>
          <w:rtl/>
        </w:rPr>
        <w:t xml:space="preserve"> 1723, 1726 (1961); עניין </w:t>
      </w:r>
      <w:r w:rsidRPr="000D4926">
        <w:rPr>
          <w:rFonts w:ascii="Century" w:hAnsi="Century" w:cs="Miriam" w:hint="cs"/>
          <w:b/>
          <w:spacing w:val="0"/>
          <w:sz w:val="22"/>
          <w:szCs w:val="24"/>
          <w:rtl/>
        </w:rPr>
        <w:t>אולפני הסרטה</w:t>
      </w:r>
      <w:r w:rsidRPr="007C3B90">
        <w:rPr>
          <w:rFonts w:hint="cs"/>
          <w:rtl/>
        </w:rPr>
        <w:t xml:space="preserve">, בעמ' 2415; עניין </w:t>
      </w:r>
      <w:r w:rsidRPr="000D4926">
        <w:rPr>
          <w:rFonts w:ascii="Century" w:hAnsi="Century" w:cs="Miriam" w:hint="cs"/>
          <w:b/>
          <w:spacing w:val="0"/>
          <w:sz w:val="22"/>
          <w:szCs w:val="24"/>
          <w:rtl/>
        </w:rPr>
        <w:t>בנק המזרחי</w:t>
      </w:r>
      <w:r w:rsidRPr="007C3B90">
        <w:rPr>
          <w:rFonts w:hint="cs"/>
          <w:rtl/>
        </w:rPr>
        <w:t xml:space="preserve">, בעמ' 293; </w:t>
      </w:r>
      <w:r w:rsidRPr="007C3B90">
        <w:rPr>
          <w:rtl/>
        </w:rPr>
        <w:t>ע</w:t>
      </w:r>
      <w:r w:rsidRPr="007C3B90">
        <w:rPr>
          <w:rFonts w:hint="cs"/>
          <w:rtl/>
        </w:rPr>
        <w:t>"</w:t>
      </w:r>
      <w:r w:rsidRPr="007C3B90">
        <w:rPr>
          <w:rtl/>
        </w:rPr>
        <w:t>ב 2/84</w:t>
      </w:r>
      <w:r w:rsidRPr="007C3B90">
        <w:t xml:space="preserve"> </w:t>
      </w:r>
      <w:r w:rsidRPr="000D4926">
        <w:rPr>
          <w:rFonts w:ascii="Century" w:hAnsi="Century" w:cs="Miriam"/>
          <w:b/>
          <w:spacing w:val="0"/>
          <w:sz w:val="22"/>
          <w:szCs w:val="24"/>
          <w:rtl/>
        </w:rPr>
        <w:t>ניימן</w:t>
      </w:r>
      <w:r w:rsidRPr="000D4926">
        <w:rPr>
          <w:rFonts w:ascii="Century" w:hAnsi="Century" w:cs="Miriam"/>
          <w:b/>
          <w:spacing w:val="0"/>
          <w:sz w:val="22"/>
          <w:szCs w:val="24"/>
        </w:rPr>
        <w:t xml:space="preserve"> </w:t>
      </w:r>
      <w:r w:rsidRPr="000D4926">
        <w:rPr>
          <w:rFonts w:ascii="Century" w:hAnsi="Century" w:cs="Miriam"/>
          <w:b/>
          <w:spacing w:val="0"/>
          <w:sz w:val="22"/>
          <w:szCs w:val="24"/>
          <w:rtl/>
        </w:rPr>
        <w:t>נ' יו"ר ועדת הבחירות המרכזית לכנסת האחת-עשרה</w:t>
      </w:r>
      <w:r w:rsidRPr="007C3B90">
        <w:rPr>
          <w:rFonts w:hAnsi="FrankRuehl" w:hint="cs"/>
          <w:rtl/>
        </w:rPr>
        <w:t xml:space="preserve">, </w:t>
      </w:r>
      <w:r w:rsidRPr="007C3B90">
        <w:rPr>
          <w:rtl/>
        </w:rPr>
        <w:t>פ"ד לט(2) 225</w:t>
      </w:r>
      <w:r w:rsidRPr="007C3B90">
        <w:rPr>
          <w:rFonts w:hint="cs"/>
          <w:rtl/>
        </w:rPr>
        <w:t xml:space="preserve">, 298 (1985); </w:t>
      </w:r>
      <w:r w:rsidRPr="007C3B90">
        <w:rPr>
          <w:rtl/>
        </w:rPr>
        <w:t>בג"ץ 987/94</w:t>
      </w:r>
      <w:r w:rsidRPr="007C3B90">
        <w:t> </w:t>
      </w:r>
      <w:r w:rsidRPr="000D4926">
        <w:rPr>
          <w:rFonts w:ascii="Century" w:hAnsi="Century" w:cs="Miriam"/>
          <w:b/>
          <w:spacing w:val="0"/>
          <w:sz w:val="22"/>
          <w:szCs w:val="24"/>
          <w:rtl/>
        </w:rPr>
        <w:t>יורונט קווי זהב (1992) בע"מ נ' שרת התקשורת</w:t>
      </w:r>
      <w:r w:rsidRPr="007C3B90">
        <w:rPr>
          <w:rFonts w:hint="cs"/>
          <w:rtl/>
        </w:rPr>
        <w:t>,</w:t>
      </w:r>
      <w:r w:rsidRPr="007C3B90">
        <w:t> </w:t>
      </w:r>
      <w:r w:rsidRPr="007C3B90">
        <w:rPr>
          <w:rtl/>
        </w:rPr>
        <w:t>פ"ד מח(5) 412,</w:t>
      </w:r>
      <w:r w:rsidRPr="007C3B90">
        <w:rPr>
          <w:rFonts w:hint="cs"/>
          <w:rtl/>
        </w:rPr>
        <w:t xml:space="preserve"> 433 (1994); </w:t>
      </w:r>
      <w:r w:rsidRPr="007C3B90">
        <w:rPr>
          <w:rtl/>
        </w:rPr>
        <w:t>בג</w:t>
      </w:r>
      <w:r w:rsidRPr="007C3B90">
        <w:rPr>
          <w:rFonts w:hint="cs"/>
          <w:rtl/>
        </w:rPr>
        <w:t>"</w:t>
      </w:r>
      <w:r w:rsidRPr="007C3B90">
        <w:rPr>
          <w:rtl/>
        </w:rPr>
        <w:t>ץ 7351/95</w:t>
      </w:r>
      <w:r w:rsidRPr="007C3B90">
        <w:t xml:space="preserve"> </w:t>
      </w:r>
      <w:r w:rsidRPr="000D4926">
        <w:rPr>
          <w:rFonts w:ascii="Century" w:hAnsi="Century" w:cs="Miriam"/>
          <w:b/>
          <w:spacing w:val="0"/>
          <w:sz w:val="22"/>
          <w:szCs w:val="24"/>
          <w:rtl/>
        </w:rPr>
        <w:t>נבואני</w:t>
      </w:r>
      <w:r w:rsidRPr="000D4926">
        <w:rPr>
          <w:rFonts w:ascii="Century" w:hAnsi="Century" w:cs="Miriam"/>
          <w:b/>
          <w:spacing w:val="0"/>
          <w:sz w:val="22"/>
          <w:szCs w:val="24"/>
        </w:rPr>
        <w:t xml:space="preserve"> </w:t>
      </w:r>
      <w:r w:rsidRPr="000D4926">
        <w:rPr>
          <w:rFonts w:ascii="Century" w:hAnsi="Century" w:cs="Miriam"/>
          <w:b/>
          <w:spacing w:val="0"/>
          <w:sz w:val="22"/>
          <w:szCs w:val="24"/>
          <w:rtl/>
        </w:rPr>
        <w:t>נ' השר לענייני דתות</w:t>
      </w:r>
      <w:r w:rsidRPr="007C3B90">
        <w:rPr>
          <w:rFonts w:hint="cs"/>
          <w:rtl/>
        </w:rPr>
        <w:t xml:space="preserve">, </w:t>
      </w:r>
      <w:r w:rsidRPr="007C3B90">
        <w:rPr>
          <w:rtl/>
        </w:rPr>
        <w:t>פ"ד נ(4) 89</w:t>
      </w:r>
      <w:r w:rsidRPr="007C3B90">
        <w:rPr>
          <w:rFonts w:hint="cs"/>
          <w:rtl/>
        </w:rPr>
        <w:t xml:space="preserve">, 120 (1996); </w:t>
      </w:r>
      <w:r w:rsidRPr="007C3B90">
        <w:rPr>
          <w:rtl/>
        </w:rPr>
        <w:t>ע"א 733/95</w:t>
      </w:r>
      <w:r w:rsidRPr="007C3B90">
        <w:rPr>
          <w:rFonts w:hint="cs"/>
          <w:rtl/>
        </w:rPr>
        <w:t xml:space="preserve"> </w:t>
      </w:r>
      <w:r w:rsidRPr="003978B2">
        <w:rPr>
          <w:rFonts w:ascii="Century" w:hAnsi="Century" w:cs="Miriam"/>
          <w:b/>
          <w:spacing w:val="0"/>
          <w:sz w:val="22"/>
          <w:szCs w:val="24"/>
          <w:rtl/>
        </w:rPr>
        <w:t xml:space="preserve">ארפל אלומיניום </w:t>
      </w:r>
      <w:r w:rsidRPr="000D4926">
        <w:rPr>
          <w:rFonts w:ascii="Century" w:hAnsi="Century" w:cs="Miriam"/>
          <w:b/>
          <w:spacing w:val="0"/>
          <w:sz w:val="22"/>
          <w:szCs w:val="24"/>
          <w:rtl/>
        </w:rPr>
        <w:t>בע"מ נ' קליל תעשיות בע"מ</w:t>
      </w:r>
      <w:r w:rsidRPr="007C3B90">
        <w:rPr>
          <w:rFonts w:ascii="Century" w:hAnsi="Century" w:hint="cs"/>
          <w:sz w:val="22"/>
          <w:rtl/>
        </w:rPr>
        <w:t>,</w:t>
      </w:r>
      <w:r w:rsidRPr="007C3B90">
        <w:rPr>
          <w:rFonts w:hint="cs"/>
          <w:rtl/>
        </w:rPr>
        <w:t xml:space="preserve"> </w:t>
      </w:r>
      <w:r w:rsidRPr="007C3B90">
        <w:rPr>
          <w:rtl/>
        </w:rPr>
        <w:t>פ"ד נא(3) 577</w:t>
      </w:r>
      <w:r w:rsidRPr="007C3B90">
        <w:rPr>
          <w:rFonts w:hint="cs"/>
          <w:rtl/>
        </w:rPr>
        <w:t>, 630 (1997);</w:t>
      </w:r>
      <w:r w:rsidRPr="007C3B90">
        <w:rPr>
          <w:rFonts w:ascii="Times New Roman" w:hAnsi="Times New Roman"/>
          <w:sz w:val="20"/>
          <w:szCs w:val="24"/>
          <w:rtl/>
          <w:lang w:eastAsia="he-IL"/>
        </w:rPr>
        <w:t xml:space="preserve"> </w:t>
      </w:r>
      <w:r w:rsidRPr="007C3B90">
        <w:rPr>
          <w:rtl/>
        </w:rPr>
        <w:t>בג"ץ 164/97</w:t>
      </w:r>
      <w:r w:rsidRPr="007C3B90">
        <w:rPr>
          <w:rFonts w:hint="cs"/>
          <w:rtl/>
        </w:rPr>
        <w:t xml:space="preserve"> </w:t>
      </w:r>
      <w:r w:rsidRPr="000D4926">
        <w:rPr>
          <w:rFonts w:ascii="Century" w:hAnsi="Century" w:cs="Miriam"/>
          <w:b/>
          <w:spacing w:val="0"/>
          <w:sz w:val="22"/>
          <w:szCs w:val="24"/>
          <w:rtl/>
        </w:rPr>
        <w:t>קונטרם בע"מ נ' משרד האוצר</w:t>
      </w:r>
      <w:r w:rsidRPr="007C3B90">
        <w:rPr>
          <w:rFonts w:hint="cs"/>
          <w:rtl/>
        </w:rPr>
        <w:t xml:space="preserve">, </w:t>
      </w:r>
      <w:r w:rsidRPr="007C3B90">
        <w:rPr>
          <w:rtl/>
        </w:rPr>
        <w:t>פ"ד נב(1) 289</w:t>
      </w:r>
      <w:r w:rsidRPr="007C3B90">
        <w:rPr>
          <w:rFonts w:hint="cs"/>
          <w:rtl/>
        </w:rPr>
        <w:t>, 341 (1998); בג"ץ</w:t>
      </w:r>
      <w:r w:rsidRPr="007C3B90">
        <w:rPr>
          <w:rtl/>
        </w:rPr>
        <w:t xml:space="preserve"> </w:t>
      </w:r>
      <w:r w:rsidRPr="007C3B90">
        <w:rPr>
          <w:rFonts w:hint="cs"/>
          <w:rtl/>
        </w:rPr>
        <w:t xml:space="preserve">5131/03 </w:t>
      </w:r>
      <w:r w:rsidRPr="000D4926">
        <w:rPr>
          <w:rFonts w:ascii="Century" w:hAnsi="Century" w:cs="Miriam" w:hint="cs"/>
          <w:b/>
          <w:spacing w:val="0"/>
          <w:sz w:val="22"/>
          <w:szCs w:val="24"/>
          <w:rtl/>
        </w:rPr>
        <w:t>ליצמן נ' יושב-ראש הכנסת</w:t>
      </w:r>
      <w:r w:rsidRPr="007C3B90">
        <w:rPr>
          <w:rFonts w:hint="cs"/>
          <w:rtl/>
        </w:rPr>
        <w:t xml:space="preserve">, </w:t>
      </w:r>
      <w:r w:rsidRPr="007C3B90">
        <w:rPr>
          <w:rtl/>
        </w:rPr>
        <w:t>פ"ד נ</w:t>
      </w:r>
      <w:r w:rsidRPr="007C3B90">
        <w:rPr>
          <w:rFonts w:hint="cs"/>
          <w:rtl/>
        </w:rPr>
        <w:t>ט</w:t>
      </w:r>
      <w:r w:rsidRPr="007C3B90">
        <w:rPr>
          <w:rtl/>
        </w:rPr>
        <w:t>(</w:t>
      </w:r>
      <w:r w:rsidRPr="007C3B90">
        <w:rPr>
          <w:rFonts w:hint="cs"/>
          <w:rtl/>
        </w:rPr>
        <w:t>1</w:t>
      </w:r>
      <w:r w:rsidRPr="007C3B90">
        <w:rPr>
          <w:rtl/>
        </w:rPr>
        <w:t xml:space="preserve">) </w:t>
      </w:r>
      <w:r w:rsidRPr="007C3B90">
        <w:rPr>
          <w:rFonts w:hint="cs"/>
          <w:rtl/>
        </w:rPr>
        <w:t>577, 588 (200</w:t>
      </w:r>
      <w:r>
        <w:rPr>
          <w:rFonts w:hint="cs"/>
          <w:rtl/>
        </w:rPr>
        <w:t>4</w:t>
      </w:r>
      <w:r w:rsidRPr="007C3B90">
        <w:rPr>
          <w:rFonts w:hint="cs"/>
          <w:rtl/>
        </w:rPr>
        <w:t xml:space="preserve">); </w:t>
      </w:r>
      <w:r w:rsidRPr="007C3B90">
        <w:rPr>
          <w:rtl/>
        </w:rPr>
        <w:t>בג</w:t>
      </w:r>
      <w:r w:rsidRPr="007C3B90">
        <w:rPr>
          <w:rFonts w:hint="cs"/>
          <w:rtl/>
        </w:rPr>
        <w:t>"</w:t>
      </w:r>
      <w:r w:rsidRPr="007C3B90">
        <w:rPr>
          <w:rtl/>
        </w:rPr>
        <w:t xml:space="preserve">ץ 4124/00 </w:t>
      </w:r>
      <w:r w:rsidRPr="000D4926">
        <w:rPr>
          <w:rFonts w:ascii="Century" w:hAnsi="Century" w:cs="Miriam"/>
          <w:b/>
          <w:spacing w:val="0"/>
          <w:sz w:val="22"/>
          <w:szCs w:val="24"/>
          <w:rtl/>
        </w:rPr>
        <w:t>יקותיאלי נ' השר לעניני דתות</w:t>
      </w:r>
      <w:r w:rsidRPr="007C3B90">
        <w:rPr>
          <w:rFonts w:hint="cs"/>
          <w:rtl/>
        </w:rPr>
        <w:t xml:space="preserve">, </w:t>
      </w:r>
      <w:r w:rsidRPr="007C3B90">
        <w:rPr>
          <w:rtl/>
        </w:rPr>
        <w:t>פ"ד סד(1) 142</w:t>
      </w:r>
      <w:r w:rsidRPr="007C3B90">
        <w:rPr>
          <w:rFonts w:hint="cs"/>
          <w:rtl/>
        </w:rPr>
        <w:t xml:space="preserve">, 207 (2010); </w:t>
      </w:r>
      <w:r w:rsidRPr="007C3B90">
        <w:rPr>
          <w:rtl/>
        </w:rPr>
        <w:t>בג</w:t>
      </w:r>
      <w:r w:rsidRPr="007C3B90">
        <w:rPr>
          <w:rFonts w:hint="cs"/>
          <w:rtl/>
        </w:rPr>
        <w:t>"</w:t>
      </w:r>
      <w:r w:rsidRPr="007C3B90">
        <w:rPr>
          <w:rtl/>
        </w:rPr>
        <w:t>ץ 466/07</w:t>
      </w:r>
      <w:r w:rsidRPr="007C3B90">
        <w:rPr>
          <w:rFonts w:hint="cs"/>
          <w:rtl/>
        </w:rPr>
        <w:t xml:space="preserve"> </w:t>
      </w:r>
      <w:r w:rsidRPr="000D4926">
        <w:rPr>
          <w:rFonts w:ascii="Century" w:hAnsi="Century" w:cs="Miriam"/>
          <w:b/>
          <w:spacing w:val="0"/>
          <w:sz w:val="22"/>
          <w:szCs w:val="24"/>
          <w:rtl/>
        </w:rPr>
        <w:t>גלאון נ' היועץ המשפטי לממשלה</w:t>
      </w:r>
      <w:r w:rsidRPr="007C3B90">
        <w:rPr>
          <w:rFonts w:hint="cs"/>
          <w:rtl/>
        </w:rPr>
        <w:t xml:space="preserve">, </w:t>
      </w:r>
      <w:r w:rsidRPr="007C3B90">
        <w:rPr>
          <w:rtl/>
        </w:rPr>
        <w:t>פ"ד סה(2) 44</w:t>
      </w:r>
      <w:r w:rsidRPr="007C3B90">
        <w:rPr>
          <w:rFonts w:hint="cs"/>
          <w:rtl/>
        </w:rPr>
        <w:t xml:space="preserve">, 63 (2012); </w:t>
      </w:r>
      <w:r w:rsidRPr="007C3B90">
        <w:rPr>
          <w:rFonts w:hint="cs"/>
          <w:b/>
          <w:rtl/>
        </w:rPr>
        <w:t xml:space="preserve">עניין </w:t>
      </w:r>
      <w:r w:rsidRPr="000D4926">
        <w:rPr>
          <w:rFonts w:ascii="Century" w:hAnsi="Century" w:cs="Miriam"/>
          <w:b/>
          <w:spacing w:val="0"/>
          <w:sz w:val="22"/>
          <w:szCs w:val="24"/>
          <w:rtl/>
        </w:rPr>
        <w:t>בר-און</w:t>
      </w:r>
      <w:r w:rsidRPr="007C3B90">
        <w:rPr>
          <w:rFonts w:hint="cs"/>
          <w:b/>
          <w:rtl/>
        </w:rPr>
        <w:t>,</w:t>
      </w:r>
      <w:r w:rsidRPr="007C3B90">
        <w:rPr>
          <w:b/>
          <w:rtl/>
        </w:rPr>
        <w:t xml:space="preserve"> </w:t>
      </w:r>
      <w:r w:rsidRPr="007C3B90">
        <w:rPr>
          <w:rFonts w:hint="cs"/>
          <w:b/>
          <w:rtl/>
        </w:rPr>
        <w:t>ב</w:t>
      </w:r>
      <w:r w:rsidRPr="007C3B90">
        <w:rPr>
          <w:rFonts w:hint="cs"/>
          <w:rtl/>
        </w:rPr>
        <w:t xml:space="preserve">פסקה 34 לפסק דינה של הנשיאה </w:t>
      </w:r>
      <w:r w:rsidRPr="000D4926">
        <w:rPr>
          <w:rFonts w:ascii="Century" w:hAnsi="Century" w:cs="Miriam" w:hint="eastAsia"/>
          <w:b/>
          <w:spacing w:val="0"/>
          <w:sz w:val="22"/>
          <w:szCs w:val="24"/>
          <w:rtl/>
        </w:rPr>
        <w:t>ד</w:t>
      </w:r>
      <w:r w:rsidRPr="000D4926">
        <w:rPr>
          <w:rFonts w:ascii="Century" w:hAnsi="Century" w:cs="Miriam"/>
          <w:b/>
          <w:spacing w:val="0"/>
          <w:sz w:val="22"/>
          <w:szCs w:val="24"/>
          <w:rtl/>
        </w:rPr>
        <w:t xml:space="preserve">' </w:t>
      </w:r>
      <w:r w:rsidRPr="000D4926">
        <w:rPr>
          <w:rFonts w:ascii="Century" w:hAnsi="Century" w:cs="Miriam" w:hint="eastAsia"/>
          <w:b/>
          <w:spacing w:val="0"/>
          <w:sz w:val="22"/>
          <w:szCs w:val="24"/>
          <w:rtl/>
        </w:rPr>
        <w:t>ביניש</w:t>
      </w:r>
      <w:r w:rsidRPr="007C3B90">
        <w:rPr>
          <w:rFonts w:hint="cs"/>
          <w:rtl/>
        </w:rPr>
        <w:t xml:space="preserve">; עניין </w:t>
      </w:r>
      <w:r w:rsidRPr="000D4926">
        <w:rPr>
          <w:rFonts w:ascii="Century" w:hAnsi="Century" w:cs="Miriam" w:hint="cs"/>
          <w:b/>
          <w:spacing w:val="0"/>
          <w:sz w:val="22"/>
          <w:szCs w:val="24"/>
          <w:rtl/>
        </w:rPr>
        <w:t>חוק הלאום</w:t>
      </w:r>
      <w:r w:rsidRPr="007C3B90">
        <w:rPr>
          <w:rFonts w:hint="cs"/>
          <w:rtl/>
        </w:rPr>
        <w:t xml:space="preserve">, בפסקה 19 לפסק דינה של הנשיאה </w:t>
      </w:r>
      <w:r w:rsidRPr="000D4926">
        <w:rPr>
          <w:rFonts w:ascii="Century" w:hAnsi="Century" w:cs="Miriam" w:hint="cs"/>
          <w:b/>
          <w:spacing w:val="0"/>
          <w:sz w:val="22"/>
          <w:szCs w:val="24"/>
          <w:rtl/>
        </w:rPr>
        <w:t>א' חיות</w:t>
      </w:r>
      <w:r>
        <w:rPr>
          <w:rFonts w:hint="cs"/>
          <w:rtl/>
        </w:rPr>
        <w:t>;</w:t>
      </w:r>
      <w:r w:rsidRPr="000D4926">
        <w:rPr>
          <w:rFonts w:hint="cs"/>
          <w:rtl/>
        </w:rPr>
        <w:t xml:space="preserve"> </w:t>
      </w:r>
      <w:r w:rsidRPr="007C3B90">
        <w:rPr>
          <w:rFonts w:hint="cs"/>
          <w:rtl/>
        </w:rPr>
        <w:t>ורבים אחרים).</w:t>
      </w:r>
    </w:p>
    <w:p w:rsidR="00BB56BB" w:rsidRPr="007C3B90" w:rsidRDefault="00BB56BB" w:rsidP="00BB56BB">
      <w:pPr>
        <w:pStyle w:val="Ruller41"/>
        <w:rPr>
          <w:rtl/>
        </w:rPr>
      </w:pPr>
    </w:p>
    <w:p w:rsidR="00BB56BB" w:rsidRPr="007C3B90" w:rsidRDefault="00BB56BB" w:rsidP="00BB56BB">
      <w:pPr>
        <w:pStyle w:val="Ruller4"/>
        <w:rPr>
          <w:rtl/>
        </w:rPr>
      </w:pPr>
      <w:r w:rsidRPr="007C3B90">
        <w:rPr>
          <w:rFonts w:hint="cs"/>
          <w:rtl/>
        </w:rPr>
        <w:t xml:space="preserve">לוּ היה חברי מסתפק בטענה כי לא קיימת הוראה מפורשת המקנה לבית משפט זה סמכות לבקר חקיקת יסוד, ניחא. עם זאת אעיר, במאמר מוסגר, כי בתי משפט חוקתיים במדינות שונות לא פירשו את שתיקתה של החוקה בעניין סמכות בית המשפט לביקורת שיפוטית על חוקתיות תיקון חוקתי, כשלילת הסמכות (ולמבט השוואתי ראו: </w:t>
      </w:r>
      <w:r w:rsidRPr="00541AF9">
        <w:rPr>
          <w:rFonts w:ascii="Century" w:hAnsi="Century" w:cs="Miriam" w:hint="cs"/>
          <w:b/>
          <w:spacing w:val="0"/>
          <w:sz w:val="22"/>
          <w:szCs w:val="24"/>
          <w:rtl/>
        </w:rPr>
        <w:t>ברק, תיקון של חוקה</w:t>
      </w:r>
      <w:r w:rsidRPr="007C3B90">
        <w:rPr>
          <w:rFonts w:hint="cs"/>
          <w:rtl/>
        </w:rPr>
        <w:t>, בעמ' 373-363). ואולם, טענ</w:t>
      </w:r>
      <w:r>
        <w:rPr>
          <w:rFonts w:hint="cs"/>
          <w:rtl/>
        </w:rPr>
        <w:t>תו של חברי</w:t>
      </w:r>
      <w:r w:rsidRPr="007C3B90">
        <w:rPr>
          <w:rFonts w:hint="cs"/>
          <w:rtl/>
        </w:rPr>
        <w:t xml:space="preserve"> כי לא קיימת כל מגבלה על כוחה המחוקק-מכונן של הכנסת, עד כי היא רשאית לכונן חוקי יסוד הסותרים את אופייה של </w:t>
      </w:r>
      <w:r w:rsidRPr="007C3B90">
        <w:rPr>
          <w:rFonts w:hint="cs"/>
          <w:rtl/>
        </w:rPr>
        <w:lastRenderedPageBreak/>
        <w:t xml:space="preserve">מדינת ישראל כיהודית ודמוקרטית, היא טענה קשה. לשיטתו של חברי רשאית הכנסת, למשל, לחוקק חוק יסוד השולל כל ביקורת שיפוטית ממעשי הדרג המיניסטריאלי, ולחלופין חוק יסוד האוסר על חבישת כיפה בפרהסיה, מבלי שעומדת לבית משפט זה סמכות לבקרם או להעניק סעד. מכל מקום, מוזמן המחוקק לחוקק את חוק-יסוד: החקיקה ולקבוע את הכללים לפיהם יחוקקו או ישונו חוקי היסוד ואת היקפה של הביקורת השיפוטית בעניינם. </w:t>
      </w:r>
    </w:p>
    <w:p w:rsidR="00BB56BB" w:rsidRPr="007C3B90" w:rsidRDefault="00BB56BB" w:rsidP="00BB56BB">
      <w:pPr>
        <w:pStyle w:val="Ruller41"/>
        <w:rPr>
          <w:rtl/>
        </w:rPr>
      </w:pPr>
    </w:p>
    <w:p w:rsidR="00BB56BB" w:rsidRPr="007C3B90" w:rsidRDefault="00BB56BB" w:rsidP="00BB56BB">
      <w:pPr>
        <w:pStyle w:val="Ruller4"/>
        <w:rPr>
          <w:rtl/>
        </w:rPr>
      </w:pPr>
      <w:r>
        <w:rPr>
          <w:rFonts w:hint="cs"/>
          <w:rtl/>
        </w:rPr>
        <w:t>אחזור ואדגיש כי</w:t>
      </w:r>
      <w:r w:rsidRPr="007C3B90">
        <w:rPr>
          <w:rFonts w:hint="cs"/>
          <w:rtl/>
        </w:rPr>
        <w:t xml:space="preserve"> לגישתי, מרכז הכובד אינו עומד על קיומ</w:t>
      </w:r>
      <w:r>
        <w:rPr>
          <w:rFonts w:hint="cs"/>
          <w:rtl/>
        </w:rPr>
        <w:t xml:space="preserve">ה של הסמכות לבקר חוקי יסוד, אלא על אופן הפעלתה </w:t>
      </w:r>
      <w:r>
        <w:rPr>
          <w:rtl/>
        </w:rPr>
        <w:t>–</w:t>
      </w:r>
      <w:r w:rsidRPr="007C3B90">
        <w:rPr>
          <w:rFonts w:hint="cs"/>
          <w:rtl/>
        </w:rPr>
        <w:t xml:space="preserve"> כלומר, על אמות המידה הצרות ביותר להחלת ביקורת שיפוטית על חוקי</w:t>
      </w:r>
      <w:r>
        <w:rPr>
          <w:rFonts w:hint="cs"/>
          <w:rtl/>
        </w:rPr>
        <w:t xml:space="preserve"> </w:t>
      </w:r>
      <w:r w:rsidRPr="007C3B90">
        <w:rPr>
          <w:rFonts w:hint="cs"/>
          <w:rtl/>
        </w:rPr>
        <w:t xml:space="preserve">יסוד. כאמור, יש להפעיל סמכות זו בריסון מרבי ורק במקרי קיצון </w:t>
      </w:r>
      <w:r>
        <w:rPr>
          <w:rFonts w:hint="cs"/>
          <w:rtl/>
        </w:rPr>
        <w:t xml:space="preserve">שבקיצון </w:t>
      </w:r>
      <w:r w:rsidRPr="007C3B90">
        <w:rPr>
          <w:rFonts w:hint="cs"/>
          <w:rtl/>
        </w:rPr>
        <w:t>שכמוהם כ"ביטול" זהותה החוקתית של המדינה.</w:t>
      </w:r>
    </w:p>
    <w:p w:rsidR="00BB56BB" w:rsidRPr="007C3B90" w:rsidRDefault="00BB56BB" w:rsidP="00BB56BB">
      <w:pPr>
        <w:pStyle w:val="Ruller41"/>
        <w:rPr>
          <w:rtl/>
        </w:rPr>
      </w:pPr>
    </w:p>
    <w:p w:rsidR="00BB56BB" w:rsidRPr="007C3B90" w:rsidRDefault="00BB56BB" w:rsidP="008177DB">
      <w:pPr>
        <w:pStyle w:val="Ruller4"/>
        <w:rPr>
          <w:rtl/>
        </w:rPr>
      </w:pPr>
      <w:r w:rsidRPr="007C3B90">
        <w:rPr>
          <w:rtl/>
        </w:rPr>
        <w:t xml:space="preserve">ומילה אחרונה על שמרנות ועל אקטיביזם שיפוטי: </w:t>
      </w:r>
      <w:r w:rsidRPr="007C3B90">
        <w:rPr>
          <w:rFonts w:hint="cs"/>
          <w:rtl/>
        </w:rPr>
        <w:t xml:space="preserve">חברי </w:t>
      </w:r>
      <w:r w:rsidRPr="007C3B90">
        <w:rPr>
          <w:rtl/>
        </w:rPr>
        <w:t xml:space="preserve">השופט </w:t>
      </w:r>
      <w:r w:rsidRPr="007C3B90">
        <w:rPr>
          <w:rFonts w:ascii="Century" w:hAnsi="Century" w:cs="Miriam"/>
          <w:b/>
          <w:szCs w:val="24"/>
          <w:rtl/>
        </w:rPr>
        <w:t>סולברג</w:t>
      </w:r>
      <w:r w:rsidRPr="007C3B90">
        <w:rPr>
          <w:rtl/>
        </w:rPr>
        <w:t xml:space="preserve"> סבור כי לבית משפט זה </w:t>
      </w:r>
      <w:r w:rsidRPr="007C3B90">
        <w:rPr>
          <w:rFonts w:hint="cs"/>
          <w:rtl/>
        </w:rPr>
        <w:t>לא מסורה</w:t>
      </w:r>
      <w:r w:rsidRPr="007C3B90">
        <w:rPr>
          <w:rtl/>
        </w:rPr>
        <w:t xml:space="preserve"> </w:t>
      </w:r>
      <w:r w:rsidRPr="007C3B90">
        <w:rPr>
          <w:rFonts w:hint="cs"/>
          <w:rtl/>
        </w:rPr>
        <w:t>ה</w:t>
      </w:r>
      <w:r w:rsidRPr="007C3B90">
        <w:rPr>
          <w:rtl/>
        </w:rPr>
        <w:t xml:space="preserve">סמכות לקיים ביקורת שיפוטית על </w:t>
      </w:r>
      <w:r w:rsidRPr="007C3B90">
        <w:rPr>
          <w:rFonts w:hint="cs"/>
          <w:rtl/>
        </w:rPr>
        <w:t>תיקון ל</w:t>
      </w:r>
      <w:r w:rsidRPr="007C3B90">
        <w:rPr>
          <w:rtl/>
        </w:rPr>
        <w:t>חוק</w:t>
      </w:r>
      <w:r>
        <w:rPr>
          <w:rFonts w:hint="cs"/>
          <w:rtl/>
        </w:rPr>
        <w:t xml:space="preserve"> </w:t>
      </w:r>
      <w:r w:rsidRPr="007C3B90">
        <w:rPr>
          <w:rtl/>
        </w:rPr>
        <w:t>יסוד, אפילו הוא פוגע בליבת אופי</w:t>
      </w:r>
      <w:r w:rsidRPr="007C3B90">
        <w:rPr>
          <w:rFonts w:hint="cs"/>
          <w:rtl/>
        </w:rPr>
        <w:t>י</w:t>
      </w:r>
      <w:r w:rsidRPr="007C3B90">
        <w:rPr>
          <w:rtl/>
        </w:rPr>
        <w:t xml:space="preserve">ה של מדינת ישראל כמדינה דמוקרטית. ביסודה של השקפתו מונחת </w:t>
      </w:r>
      <w:r w:rsidRPr="007C3B90">
        <w:rPr>
          <w:rFonts w:hint="cs"/>
          <w:rtl/>
        </w:rPr>
        <w:t xml:space="preserve">תפיסה "שמרנית" של ריסון שיפוטי, שמירה על עקרון הפרדת הרשויות ואי התערבות במעשי המחוקק (פסקאות 57, </w:t>
      </w:r>
      <w:r w:rsidR="008177DB">
        <w:rPr>
          <w:rFonts w:hint="cs"/>
          <w:rtl/>
        </w:rPr>
        <w:t>136</w:t>
      </w:r>
      <w:r w:rsidRPr="007C3B90">
        <w:rPr>
          <w:rFonts w:hint="cs"/>
          <w:rtl/>
        </w:rPr>
        <w:t>, 18</w:t>
      </w:r>
      <w:r w:rsidR="008177DB">
        <w:rPr>
          <w:rFonts w:hint="cs"/>
          <w:rtl/>
        </w:rPr>
        <w:t>2</w:t>
      </w:r>
      <w:r w:rsidRPr="007C3B90">
        <w:rPr>
          <w:rFonts w:hint="cs"/>
          <w:rtl/>
        </w:rPr>
        <w:t xml:space="preserve"> לחוות דעתו). ככלל, עקרונות אלה מקובלים גם עליי. אלא שבאותם מקרים נדירים וקיצוניים, ויש לקוות תיאורטיים, בהם מעשי חקיקה שוללים את אופייה של המדינה כיהודית ודמוקרטית, תפיסתו מגנה על תוצאה בלתי שמרנית בעליל. קולעים </w:t>
      </w:r>
      <w:r w:rsidRPr="007C3B90">
        <w:rPr>
          <w:rtl/>
        </w:rPr>
        <w:t>לענ</w:t>
      </w:r>
      <w:r w:rsidRPr="007C3B90">
        <w:rPr>
          <w:rFonts w:hint="cs"/>
          <w:rtl/>
        </w:rPr>
        <w:t>י</w:t>
      </w:r>
      <w:r w:rsidRPr="007C3B90">
        <w:rPr>
          <w:rtl/>
        </w:rPr>
        <w:t xml:space="preserve">ין זה </w:t>
      </w:r>
      <w:r w:rsidRPr="007C3B90">
        <w:rPr>
          <w:rFonts w:hint="cs"/>
          <w:rtl/>
        </w:rPr>
        <w:t xml:space="preserve">דבריו </w:t>
      </w:r>
      <w:r w:rsidRPr="007C3B90">
        <w:rPr>
          <w:rtl/>
        </w:rPr>
        <w:t xml:space="preserve">של פרופ' יניב רוזנאי: </w:t>
      </w:r>
      <w:r w:rsidRPr="00541AF9">
        <w:rPr>
          <w:rFonts w:ascii="Century" w:hAnsi="Century" w:cs="Miriam"/>
          <w:b/>
          <w:spacing w:val="0"/>
          <w:sz w:val="22"/>
          <w:szCs w:val="24"/>
          <w:rtl/>
        </w:rPr>
        <w:t>"מי שסבור שחוק יסוד יכול לשלול את ערכי מדינת ישראל כיהודית אינו שמרן. מי שסבור שחוק יסוד יכול לשלול את ערכי המדינה כדמוקרטית אינו שמרן. הוא רדיקל המבקש לשנות מיסודו את הסדר החוקתי. הוא מבקש לצאת נגד היסודות עליהם הוקמה המדינה, נגד קביעות שיפוטיות שנפסקו מאז שנות השישים של המאה הקודמת בדבר עקרונות היסוד של השיטה, ונגד ערכי יסוד שחברי הכנסת עצמם קבעו בדברי חקיקה שהם ערכי יסוד</w:t>
      </w:r>
      <w:r w:rsidRPr="00541AF9">
        <w:rPr>
          <w:rFonts w:ascii="Century" w:hAnsi="Century" w:cs="Miriam" w:hint="cs"/>
          <w:b/>
          <w:spacing w:val="0"/>
          <w:sz w:val="22"/>
          <w:szCs w:val="24"/>
          <w:rtl/>
        </w:rPr>
        <w:t>"</w:t>
      </w:r>
      <w:r w:rsidRPr="00541AF9">
        <w:rPr>
          <w:rtl/>
        </w:rPr>
        <w:t xml:space="preserve"> </w:t>
      </w:r>
      <w:r w:rsidRPr="007C3B90">
        <w:rPr>
          <w:rtl/>
        </w:rPr>
        <w:t>(</w:t>
      </w:r>
      <w:r w:rsidRPr="00541AF9">
        <w:rPr>
          <w:rFonts w:ascii="Century" w:hAnsi="Century" w:cs="Miriam" w:hint="cs"/>
          <w:b/>
          <w:spacing w:val="0"/>
          <w:sz w:val="22"/>
          <w:szCs w:val="24"/>
          <w:rtl/>
        </w:rPr>
        <w:t>ר</w:t>
      </w:r>
      <w:r w:rsidRPr="00541AF9">
        <w:rPr>
          <w:rFonts w:ascii="Century" w:hAnsi="Century" w:cs="Miriam"/>
          <w:b/>
          <w:spacing w:val="0"/>
          <w:sz w:val="22"/>
          <w:szCs w:val="24"/>
          <w:rtl/>
        </w:rPr>
        <w:t>וזנאי</w:t>
      </w:r>
      <w:r w:rsidRPr="00541AF9">
        <w:rPr>
          <w:rFonts w:ascii="Century" w:hAnsi="Century" w:cs="Miriam" w:hint="cs"/>
          <w:b/>
          <w:spacing w:val="0"/>
          <w:sz w:val="22"/>
          <w:szCs w:val="24"/>
          <w:rtl/>
        </w:rPr>
        <w:t>, שמרנות רדיקלית</w:t>
      </w:r>
      <w:r w:rsidRPr="007C3B90">
        <w:rPr>
          <w:rFonts w:hint="cs"/>
          <w:rtl/>
        </w:rPr>
        <w:t>, בעמ' 17-16).</w:t>
      </w:r>
      <w:r w:rsidRPr="007C3B90">
        <w:rPr>
          <w:rtl/>
        </w:rPr>
        <w:t xml:space="preserve"> </w:t>
      </w:r>
    </w:p>
    <w:p w:rsidR="00BB56BB" w:rsidRPr="007C3B90" w:rsidRDefault="00BB56BB" w:rsidP="00BB56BB">
      <w:pPr>
        <w:pStyle w:val="Ruller41"/>
        <w:rPr>
          <w:rtl/>
        </w:rPr>
      </w:pPr>
    </w:p>
    <w:p w:rsidR="00BB56BB" w:rsidRPr="007C3B90" w:rsidRDefault="00BB56BB" w:rsidP="00BB56BB">
      <w:pPr>
        <w:pStyle w:val="Ruller4"/>
        <w:rPr>
          <w:rtl/>
        </w:rPr>
      </w:pPr>
      <w:r w:rsidRPr="007C3B90">
        <w:rPr>
          <w:rFonts w:hint="cs"/>
          <w:rtl/>
        </w:rPr>
        <w:t xml:space="preserve">בסופו של יום, כפי שציינתי בחוות דעתי, התיקון שבמוקד ענייננו רחוק מלשלול את מאפייני היסוד של מדינת ישראל כמדינה דמוקרטית מתוקנת. מדעתי זו לא שיניתי. </w:t>
      </w:r>
    </w:p>
    <w:p w:rsidR="00BB56BB" w:rsidRPr="00FF74FC" w:rsidRDefault="00BB56BB" w:rsidP="00371BF4">
      <w:pPr>
        <w:pStyle w:val="Ruller4"/>
        <w:numPr>
          <w:ilvl w:val="0"/>
          <w:numId w:val="0"/>
        </w:numPr>
        <w:spacing w:line="480" w:lineRule="auto"/>
        <w:rPr>
          <w:sz w:val="28"/>
          <w:rtl/>
        </w:rPr>
      </w:pPr>
    </w:p>
    <w:p w:rsidR="00EC32E0" w:rsidRPr="00FF74FC" w:rsidRDefault="00EC32E0" w:rsidP="00FF74FC">
      <w:pPr>
        <w:pStyle w:val="Ruller41"/>
        <w:rPr>
          <w:sz w:val="28"/>
          <w:rtl/>
        </w:rPr>
      </w:pPr>
    </w:p>
    <w:tbl>
      <w:tblPr>
        <w:bidiVisual/>
        <w:tblW w:w="8363" w:type="dxa"/>
        <w:tblLook w:val="01E0" w:firstRow="1" w:lastRow="1" w:firstColumn="1" w:lastColumn="1" w:noHBand="0" w:noVBand="0"/>
      </w:tblPr>
      <w:tblGrid>
        <w:gridCol w:w="2786"/>
        <w:gridCol w:w="2787"/>
        <w:gridCol w:w="2790"/>
      </w:tblGrid>
      <w:tr w:rsidR="00EC32E0" w:rsidTr="00DD4ADA">
        <w:tc>
          <w:tcPr>
            <w:tcW w:w="2842" w:type="dxa"/>
            <w:shd w:val="clear" w:color="auto" w:fill="auto"/>
          </w:tcPr>
          <w:p w:rsidR="00EC32E0" w:rsidRDefault="00EC32E0" w:rsidP="00DD4ADA">
            <w:pPr>
              <w:pStyle w:val="Ruller41"/>
              <w:rPr>
                <w:rtl/>
              </w:rPr>
            </w:pPr>
          </w:p>
        </w:tc>
        <w:tc>
          <w:tcPr>
            <w:tcW w:w="2843" w:type="dxa"/>
            <w:shd w:val="clear" w:color="auto" w:fill="auto"/>
          </w:tcPr>
          <w:p w:rsidR="00EC32E0" w:rsidRDefault="00EC32E0" w:rsidP="00DD4ADA">
            <w:pPr>
              <w:pStyle w:val="Ruller41"/>
              <w:jc w:val="center"/>
              <w:rPr>
                <w:rtl/>
              </w:rPr>
            </w:pPr>
          </w:p>
        </w:tc>
        <w:tc>
          <w:tcPr>
            <w:tcW w:w="2843" w:type="dxa"/>
            <w:shd w:val="clear" w:color="auto" w:fill="auto"/>
          </w:tcPr>
          <w:p w:rsidR="00EC32E0" w:rsidRDefault="00EC32E0" w:rsidP="00DD4ADA">
            <w:pPr>
              <w:pStyle w:val="Ruller41"/>
              <w:jc w:val="center"/>
              <w:rPr>
                <w:rtl/>
              </w:rPr>
            </w:pPr>
            <w:r>
              <w:rPr>
                <w:rtl/>
              </w:rPr>
              <w:t>ש ו פ ט</w:t>
            </w:r>
            <w:r>
              <w:rPr>
                <w:rFonts w:hint="cs"/>
                <w:rtl/>
              </w:rPr>
              <w:t xml:space="preserve"> ת</w:t>
            </w:r>
          </w:p>
        </w:tc>
      </w:tr>
    </w:tbl>
    <w:p w:rsidR="00FF17DB" w:rsidRDefault="00FF17DB" w:rsidP="00FF17DB">
      <w:pPr>
        <w:pStyle w:val="BODYVERDICT"/>
        <w:rPr>
          <w:rFonts w:ascii="Arial TUR" w:hAnsi="Arial TUR"/>
          <w:rtl/>
        </w:rPr>
      </w:pPr>
    </w:p>
    <w:p w:rsidR="00D80A0B" w:rsidRDefault="00D80A0B" w:rsidP="00FF17DB">
      <w:pPr>
        <w:pStyle w:val="BODYVERDICT"/>
      </w:pPr>
    </w:p>
    <w:p w:rsidR="00FF17DB" w:rsidRDefault="00FF17DB" w:rsidP="00FF17DB">
      <w:pPr>
        <w:pStyle w:val="BODYVERDICT"/>
        <w:outlineLvl w:val="0"/>
        <w:rPr>
          <w:rFonts w:cs="Miriam"/>
          <w:sz w:val="24"/>
          <w:szCs w:val="24"/>
          <w:u w:val="single"/>
          <w:rtl/>
        </w:rPr>
      </w:pPr>
      <w:r w:rsidRPr="00462789">
        <w:rPr>
          <w:rFonts w:cs="Miriam" w:hint="cs"/>
          <w:sz w:val="24"/>
          <w:szCs w:val="24"/>
          <w:u w:val="single"/>
          <w:rtl/>
        </w:rPr>
        <w:lastRenderedPageBreak/>
        <w:t>השופטת ר' רונן</w:t>
      </w:r>
      <w:r w:rsidRPr="000075A3">
        <w:rPr>
          <w:rFonts w:cs="Miriam"/>
          <w:sz w:val="24"/>
          <w:szCs w:val="24"/>
          <w:rtl/>
        </w:rPr>
        <w:t>:</w:t>
      </w:r>
    </w:p>
    <w:p w:rsidR="00FF17DB" w:rsidRDefault="00FF17DB" w:rsidP="00FF17DB">
      <w:pPr>
        <w:pStyle w:val="Ruller41"/>
        <w:rPr>
          <w:rtl/>
        </w:rPr>
      </w:pPr>
    </w:p>
    <w:p w:rsidR="00A01E7C" w:rsidRDefault="00A01E7C" w:rsidP="00A01E7C">
      <w:pPr>
        <w:spacing w:line="360" w:lineRule="auto"/>
        <w:ind w:firstLine="720"/>
        <w:jc w:val="both"/>
        <w:rPr>
          <w:rFonts w:ascii="Century" w:hAnsi="Century" w:cs="FrankRuehl"/>
          <w:spacing w:val="10"/>
          <w:szCs w:val="28"/>
          <w:rtl/>
        </w:rPr>
      </w:pPr>
      <w:r w:rsidRPr="00BE2DC7">
        <w:rPr>
          <w:rFonts w:ascii="Century" w:hAnsi="Century" w:cs="FrankRuehl" w:hint="eastAsia"/>
          <w:spacing w:val="10"/>
          <w:szCs w:val="28"/>
          <w:rtl/>
        </w:rPr>
        <w:t>העתירות</w:t>
      </w:r>
      <w:r w:rsidRPr="00BE2DC7">
        <w:rPr>
          <w:rFonts w:ascii="Century" w:hAnsi="Century" w:cs="FrankRuehl"/>
          <w:spacing w:val="10"/>
          <w:szCs w:val="28"/>
          <w:rtl/>
        </w:rPr>
        <w:t xml:space="preserve"> </w:t>
      </w:r>
      <w:r w:rsidRPr="00BE2DC7">
        <w:rPr>
          <w:rFonts w:ascii="Century" w:hAnsi="Century" w:cs="FrankRuehl" w:hint="eastAsia"/>
          <w:spacing w:val="10"/>
          <w:szCs w:val="28"/>
          <w:rtl/>
        </w:rPr>
        <w:t>שלפנינו</w:t>
      </w:r>
      <w:r w:rsidRPr="00BE2DC7">
        <w:rPr>
          <w:rFonts w:ascii="Century" w:hAnsi="Century" w:cs="FrankRuehl"/>
          <w:spacing w:val="10"/>
          <w:szCs w:val="28"/>
          <w:rtl/>
        </w:rPr>
        <w:t xml:space="preserve"> </w:t>
      </w:r>
      <w:r w:rsidRPr="00BE2DC7">
        <w:rPr>
          <w:rFonts w:ascii="Century" w:hAnsi="Century" w:cs="FrankRuehl" w:hint="eastAsia"/>
          <w:spacing w:val="10"/>
          <w:szCs w:val="28"/>
          <w:rtl/>
        </w:rPr>
        <w:t>מעלות</w:t>
      </w:r>
      <w:r w:rsidRPr="00BE2DC7">
        <w:rPr>
          <w:rFonts w:ascii="Century" w:hAnsi="Century" w:cs="FrankRuehl"/>
          <w:spacing w:val="10"/>
          <w:szCs w:val="28"/>
          <w:rtl/>
        </w:rPr>
        <w:t xml:space="preserve"> שורה ארוכה של שאלות מהותיות ומשמעותיות. בחוות דעתי לא אתייחס לכל השאלות הללו בהרחבה, שכן מקובלת עלי מסקנתה של</w:t>
      </w:r>
      <w:r>
        <w:rPr>
          <w:rFonts w:ascii="Century" w:hAnsi="Century" w:cs="FrankRuehl" w:hint="cs"/>
          <w:spacing w:val="10"/>
          <w:szCs w:val="28"/>
          <w:rtl/>
        </w:rPr>
        <w:t xml:space="preserve"> חברתי</w:t>
      </w:r>
      <w:r w:rsidRPr="00BE2DC7">
        <w:rPr>
          <w:rFonts w:ascii="Century" w:hAnsi="Century" w:cs="FrankRuehl"/>
          <w:spacing w:val="10"/>
          <w:szCs w:val="28"/>
          <w:rtl/>
        </w:rPr>
        <w:t xml:space="preserve"> הנשיאה (</w:t>
      </w:r>
      <w:r w:rsidRPr="00BE2DC7">
        <w:rPr>
          <w:rFonts w:ascii="Century" w:hAnsi="Century" w:cs="FrankRuehl" w:hint="eastAsia"/>
          <w:spacing w:val="10"/>
          <w:szCs w:val="28"/>
          <w:rtl/>
        </w:rPr>
        <w:t>בדימ</w:t>
      </w:r>
      <w:r w:rsidRPr="00BE2DC7">
        <w:rPr>
          <w:rFonts w:ascii="Century" w:hAnsi="Century" w:cs="FrankRuehl"/>
          <w:spacing w:val="10"/>
          <w:szCs w:val="28"/>
          <w:rtl/>
        </w:rPr>
        <w:t xml:space="preserve">') </w:t>
      </w:r>
      <w:r w:rsidRPr="00BE2DC7">
        <w:rPr>
          <w:rFonts w:ascii="Century" w:hAnsi="Century" w:cs="Miriam" w:hint="eastAsia"/>
          <w:b/>
          <w:rtl/>
        </w:rPr>
        <w:t>א</w:t>
      </w:r>
      <w:r w:rsidRPr="00BE2DC7">
        <w:rPr>
          <w:rFonts w:ascii="Century" w:hAnsi="Century" w:cs="Miriam"/>
          <w:b/>
          <w:rtl/>
        </w:rPr>
        <w:t>' חיות</w:t>
      </w:r>
      <w:r>
        <w:rPr>
          <w:rFonts w:ascii="Century" w:hAnsi="Century" w:cs="FrankRuehl" w:hint="cs"/>
          <w:spacing w:val="10"/>
          <w:szCs w:val="28"/>
          <w:rtl/>
        </w:rPr>
        <w:t>,</w:t>
      </w:r>
      <w:r w:rsidRPr="00BE2DC7">
        <w:rPr>
          <w:rFonts w:ascii="Century" w:hAnsi="Century" w:cs="FrankRuehl"/>
          <w:spacing w:val="10"/>
          <w:szCs w:val="28"/>
          <w:rtl/>
        </w:rPr>
        <w:t xml:space="preserve"> לפיה יש מקום לקבל את העתירות ולהכריז על בטלותו של תיקון מספר 3 לחוק יסוד: השפיטה, כפי שהתבקש בהן. יחד עם זאת, אתייחס בקצרה לעמדתי שלי </w:t>
      </w:r>
      <w:r>
        <w:rPr>
          <w:rFonts w:ascii="Century" w:hAnsi="Century" w:cs="FrankRuehl" w:hint="cs"/>
          <w:spacing w:val="10"/>
          <w:szCs w:val="28"/>
          <w:rtl/>
        </w:rPr>
        <w:t xml:space="preserve">ביחס </w:t>
      </w:r>
      <w:r w:rsidRPr="00BE2DC7">
        <w:rPr>
          <w:rFonts w:ascii="Century" w:hAnsi="Century" w:cs="FrankRuehl" w:hint="eastAsia"/>
          <w:spacing w:val="10"/>
          <w:szCs w:val="28"/>
          <w:rtl/>
        </w:rPr>
        <w:t>לחלק</w:t>
      </w:r>
      <w:r w:rsidRPr="00BE2DC7">
        <w:rPr>
          <w:rFonts w:ascii="Century" w:hAnsi="Century" w:cs="FrankRuehl"/>
          <w:spacing w:val="10"/>
          <w:szCs w:val="28"/>
          <w:rtl/>
        </w:rPr>
        <w:t xml:space="preserve"> מהנושאים שהועלו במסגרת העתירות, </w:t>
      </w:r>
      <w:r>
        <w:rPr>
          <w:rFonts w:ascii="Century" w:hAnsi="Century" w:cs="FrankRuehl" w:hint="cs"/>
          <w:spacing w:val="10"/>
          <w:szCs w:val="28"/>
          <w:rtl/>
        </w:rPr>
        <w:t>ב</w:t>
      </w:r>
      <w:r w:rsidRPr="00BE2DC7">
        <w:rPr>
          <w:rFonts w:ascii="Century" w:hAnsi="Century" w:cs="FrankRuehl"/>
          <w:spacing w:val="10"/>
          <w:szCs w:val="28"/>
          <w:rtl/>
        </w:rPr>
        <w:t>תשובות המשיבים ו</w:t>
      </w:r>
      <w:r>
        <w:rPr>
          <w:rFonts w:ascii="Century" w:hAnsi="Century" w:cs="FrankRuehl" w:hint="cs"/>
          <w:spacing w:val="10"/>
          <w:szCs w:val="28"/>
          <w:rtl/>
        </w:rPr>
        <w:t>ב</w:t>
      </w:r>
      <w:r w:rsidRPr="00BE2DC7">
        <w:rPr>
          <w:rFonts w:ascii="Century" w:hAnsi="Century" w:cs="FrankRuehl"/>
          <w:spacing w:val="10"/>
          <w:szCs w:val="28"/>
          <w:rtl/>
        </w:rPr>
        <w:t>דיון בעל</w:t>
      </w:r>
      <w:r>
        <w:rPr>
          <w:rFonts w:ascii="Century" w:hAnsi="Century" w:cs="FrankRuehl" w:hint="cs"/>
          <w:spacing w:val="10"/>
          <w:szCs w:val="28"/>
          <w:rtl/>
        </w:rPr>
        <w:t>-</w:t>
      </w:r>
      <w:r w:rsidRPr="00BE2DC7">
        <w:rPr>
          <w:rFonts w:ascii="Century" w:hAnsi="Century" w:cs="FrankRuehl"/>
          <w:spacing w:val="10"/>
          <w:szCs w:val="28"/>
          <w:rtl/>
        </w:rPr>
        <w:t xml:space="preserve">פה שהתקיים לפנינו. </w:t>
      </w:r>
    </w:p>
    <w:p w:rsidR="00A01E7C" w:rsidRPr="00BE2DC7" w:rsidRDefault="00A01E7C" w:rsidP="00A01E7C">
      <w:pPr>
        <w:spacing w:line="360" w:lineRule="auto"/>
        <w:ind w:firstLine="720"/>
        <w:jc w:val="both"/>
        <w:rPr>
          <w:rFonts w:ascii="Century" w:hAnsi="Century" w:cs="FrankRuehl"/>
          <w:spacing w:val="10"/>
          <w:szCs w:val="28"/>
          <w:rtl/>
        </w:rPr>
      </w:pPr>
    </w:p>
    <w:p w:rsidR="00A01E7C" w:rsidRDefault="00A01E7C" w:rsidP="002A1A3A">
      <w:pPr>
        <w:pStyle w:val="Ruller4"/>
        <w:numPr>
          <w:ilvl w:val="0"/>
          <w:numId w:val="14"/>
        </w:numPr>
        <w:rPr>
          <w:rtl/>
        </w:rPr>
      </w:pPr>
      <w:r w:rsidRPr="00BE2DC7">
        <w:rPr>
          <w:rFonts w:hint="eastAsia"/>
          <w:rtl/>
        </w:rPr>
        <w:t>העתירות</w:t>
      </w:r>
      <w:r w:rsidRPr="00BE2DC7">
        <w:rPr>
          <w:rtl/>
        </w:rPr>
        <w:t xml:space="preserve"> מחייבות הכרעה במספר שאלות – </w:t>
      </w:r>
      <w:r w:rsidRPr="00A45121">
        <w:rPr>
          <w:rFonts w:cs="Miriam" w:hint="eastAsia"/>
          <w:b/>
          <w:szCs w:val="24"/>
          <w:rtl/>
        </w:rPr>
        <w:t>השאלה</w:t>
      </w:r>
      <w:r w:rsidRPr="00A45121">
        <w:rPr>
          <w:rFonts w:cs="Miriam"/>
          <w:b/>
          <w:szCs w:val="24"/>
          <w:rtl/>
        </w:rPr>
        <w:t xml:space="preserve"> </w:t>
      </w:r>
      <w:r w:rsidRPr="00A45121">
        <w:rPr>
          <w:rFonts w:cs="Miriam" w:hint="eastAsia"/>
          <w:b/>
          <w:szCs w:val="24"/>
          <w:rtl/>
        </w:rPr>
        <w:t>הראשונה</w:t>
      </w:r>
      <w:r w:rsidRPr="007C1010">
        <w:rPr>
          <w:rFonts w:hint="cs"/>
          <w:rtl/>
        </w:rPr>
        <w:t xml:space="preserve"> </w:t>
      </w:r>
      <w:r>
        <w:rPr>
          <w:rFonts w:hint="cs"/>
          <w:rtl/>
        </w:rPr>
        <w:t>היא האם</w:t>
      </w:r>
      <w:r w:rsidRPr="00BE2DC7">
        <w:rPr>
          <w:rtl/>
        </w:rPr>
        <w:t xml:space="preserve"> הכנסת, כרשות מכוננת, </w:t>
      </w:r>
      <w:r w:rsidRPr="00F20565">
        <w:rPr>
          <w:rFonts w:hint="cs"/>
          <w:rtl/>
        </w:rPr>
        <w:t>מוגבלת</w:t>
      </w:r>
      <w:r w:rsidRPr="00A55181">
        <w:rPr>
          <w:rFonts w:hint="cs"/>
          <w:rtl/>
        </w:rPr>
        <w:t xml:space="preserve"> </w:t>
      </w:r>
      <w:r w:rsidRPr="00BE2DC7">
        <w:rPr>
          <w:rFonts w:hint="eastAsia"/>
          <w:rtl/>
        </w:rPr>
        <w:t>בסמכותה</w:t>
      </w:r>
      <w:r w:rsidRPr="00BE2DC7">
        <w:rPr>
          <w:rtl/>
        </w:rPr>
        <w:t xml:space="preserve"> לחוקק חוקי יסוד</w:t>
      </w:r>
      <w:r>
        <w:rPr>
          <w:rFonts w:hint="cs"/>
          <w:rtl/>
        </w:rPr>
        <w:t>.</w:t>
      </w:r>
      <w:r w:rsidRPr="00BE2DC7">
        <w:rPr>
          <w:rtl/>
        </w:rPr>
        <w:t xml:space="preserve"> בהנחה שהתשובה לשאלה זו היא חיובית, </w:t>
      </w:r>
      <w:r w:rsidRPr="00A45121">
        <w:rPr>
          <w:rFonts w:cs="Miriam" w:hint="eastAsia"/>
          <w:b/>
          <w:szCs w:val="24"/>
          <w:rtl/>
        </w:rPr>
        <w:t>השאלה</w:t>
      </w:r>
      <w:r w:rsidRPr="00A45121">
        <w:rPr>
          <w:rFonts w:cs="Miriam"/>
          <w:b/>
          <w:szCs w:val="24"/>
          <w:rtl/>
        </w:rPr>
        <w:t xml:space="preserve"> </w:t>
      </w:r>
      <w:r w:rsidRPr="00A45121">
        <w:rPr>
          <w:rFonts w:cs="Miriam" w:hint="eastAsia"/>
          <w:b/>
          <w:szCs w:val="24"/>
          <w:rtl/>
        </w:rPr>
        <w:t>השנייה</w:t>
      </w:r>
      <w:r w:rsidRPr="00BE2DC7">
        <w:rPr>
          <w:rtl/>
        </w:rPr>
        <w:t xml:space="preserve"> </w:t>
      </w:r>
      <w:r w:rsidRPr="00BE2DC7">
        <w:rPr>
          <w:rFonts w:hint="eastAsia"/>
          <w:rtl/>
        </w:rPr>
        <w:t>היא</w:t>
      </w:r>
      <w:r w:rsidRPr="00BE2DC7">
        <w:rPr>
          <w:rtl/>
        </w:rPr>
        <w:t xml:space="preserve"> </w:t>
      </w:r>
      <w:r w:rsidRPr="00BE2DC7">
        <w:rPr>
          <w:rFonts w:hint="eastAsia"/>
          <w:rtl/>
        </w:rPr>
        <w:t>האם</w:t>
      </w:r>
      <w:r w:rsidRPr="00BE2DC7">
        <w:rPr>
          <w:rtl/>
        </w:rPr>
        <w:t xml:space="preserve"> </w:t>
      </w:r>
      <w:r w:rsidRPr="00BE2DC7">
        <w:rPr>
          <w:rFonts w:hint="eastAsia"/>
          <w:rtl/>
        </w:rPr>
        <w:t>מוסמך</w:t>
      </w:r>
      <w:r w:rsidRPr="00BE2DC7">
        <w:rPr>
          <w:rtl/>
        </w:rPr>
        <w:t xml:space="preserve"> </w:t>
      </w:r>
      <w:r w:rsidRPr="00BE2DC7">
        <w:rPr>
          <w:rFonts w:hint="eastAsia"/>
          <w:rtl/>
        </w:rPr>
        <w:t>בית</w:t>
      </w:r>
      <w:r w:rsidRPr="00BE2DC7">
        <w:rPr>
          <w:rtl/>
        </w:rPr>
        <w:t xml:space="preserve"> </w:t>
      </w:r>
      <w:r w:rsidRPr="00BE2DC7">
        <w:rPr>
          <w:rFonts w:hint="eastAsia"/>
          <w:rtl/>
        </w:rPr>
        <w:t>המשפט</w:t>
      </w:r>
      <w:r w:rsidRPr="00BE2DC7">
        <w:rPr>
          <w:rtl/>
        </w:rPr>
        <w:t xml:space="preserve"> </w:t>
      </w:r>
      <w:r w:rsidRPr="00BE2DC7">
        <w:rPr>
          <w:rFonts w:hint="eastAsia"/>
          <w:rtl/>
        </w:rPr>
        <w:t>לבקר</w:t>
      </w:r>
      <w:r w:rsidRPr="00BE2DC7">
        <w:rPr>
          <w:rtl/>
        </w:rPr>
        <w:t xml:space="preserve"> </w:t>
      </w:r>
      <w:r w:rsidRPr="00BE2DC7">
        <w:rPr>
          <w:rFonts w:hint="eastAsia"/>
          <w:rtl/>
        </w:rPr>
        <w:t>את</w:t>
      </w:r>
      <w:r w:rsidRPr="00BE2DC7">
        <w:rPr>
          <w:rtl/>
        </w:rPr>
        <w:t xml:space="preserve"> </w:t>
      </w:r>
      <w:r w:rsidRPr="00BE2DC7">
        <w:rPr>
          <w:rFonts w:hint="eastAsia"/>
          <w:rtl/>
        </w:rPr>
        <w:t>הכנסת</w:t>
      </w:r>
      <w:r>
        <w:rPr>
          <w:rFonts w:hint="cs"/>
          <w:rtl/>
        </w:rPr>
        <w:t xml:space="preserve"> בפועלה כרשות מכוננת</w:t>
      </w:r>
      <w:r w:rsidRPr="00BE2DC7">
        <w:rPr>
          <w:rtl/>
        </w:rPr>
        <w:t>, ולקבוע כי היא חרגה מסמכותה בחקיקת חוק יסוד (ולא רק כאשר היא חרגה מסמכותה בחקיקת חוק רגיל שאינו חוק יסוד)</w:t>
      </w:r>
      <w:r>
        <w:rPr>
          <w:rFonts w:hint="cs"/>
          <w:rtl/>
        </w:rPr>
        <w:t>.</w:t>
      </w:r>
      <w:r w:rsidRPr="00BE2DC7">
        <w:rPr>
          <w:rtl/>
        </w:rPr>
        <w:t xml:space="preserve"> בהנחה שהתשובה לשאלה זו היא חיובית, עולה </w:t>
      </w:r>
      <w:r w:rsidRPr="00A45121">
        <w:rPr>
          <w:rFonts w:cs="Miriam" w:hint="eastAsia"/>
          <w:b/>
          <w:szCs w:val="24"/>
          <w:rtl/>
        </w:rPr>
        <w:t>השאלה</w:t>
      </w:r>
      <w:r w:rsidRPr="00A45121">
        <w:rPr>
          <w:rFonts w:cs="Miriam"/>
          <w:b/>
          <w:szCs w:val="24"/>
          <w:rtl/>
        </w:rPr>
        <w:t xml:space="preserve"> </w:t>
      </w:r>
      <w:r w:rsidRPr="00A45121">
        <w:rPr>
          <w:rFonts w:cs="Miriam" w:hint="eastAsia"/>
          <w:b/>
          <w:szCs w:val="24"/>
          <w:rtl/>
        </w:rPr>
        <w:t>השלישית</w:t>
      </w:r>
      <w:r w:rsidRPr="00BE2DC7">
        <w:rPr>
          <w:rtl/>
        </w:rPr>
        <w:t xml:space="preserve"> – האם במקרה דנן חרגה הכנסת מסמכותה</w:t>
      </w:r>
      <w:r>
        <w:rPr>
          <w:rFonts w:hint="cs"/>
          <w:rtl/>
        </w:rPr>
        <w:t xml:space="preserve"> כרשות מכוננת</w:t>
      </w:r>
      <w:r w:rsidRPr="00BE2DC7">
        <w:rPr>
          <w:rtl/>
        </w:rPr>
        <w:t xml:space="preserve"> בתיקון מספר 3 לחוק יסוד: השפיטה</w:t>
      </w:r>
      <w:r>
        <w:rPr>
          <w:rFonts w:hint="cs"/>
          <w:rtl/>
        </w:rPr>
        <w:t xml:space="preserve"> (להלן: </w:t>
      </w:r>
      <w:r w:rsidRPr="00A45121">
        <w:rPr>
          <w:rFonts w:cs="Miriam" w:hint="cs"/>
          <w:b/>
          <w:szCs w:val="24"/>
          <w:rtl/>
        </w:rPr>
        <w:t>התיקון</w:t>
      </w:r>
      <w:r>
        <w:rPr>
          <w:rFonts w:hint="cs"/>
          <w:rtl/>
        </w:rPr>
        <w:t>)</w:t>
      </w:r>
      <w:r w:rsidRPr="00BE2DC7">
        <w:rPr>
          <w:rtl/>
        </w:rPr>
        <w:t>, באופן המחייב הצהרה על בטלותו של התיקון. שאלה זו נחלקת לשתי שאלות משנה – האחת נוגעת לפרשנותו הנכונה של התיקון, ו</w:t>
      </w:r>
      <w:r>
        <w:rPr>
          <w:rFonts w:hint="cs"/>
          <w:rtl/>
        </w:rPr>
        <w:t xml:space="preserve">בפרט </w:t>
      </w:r>
      <w:r w:rsidRPr="00BE2DC7">
        <w:rPr>
          <w:rFonts w:hint="eastAsia"/>
          <w:rtl/>
        </w:rPr>
        <w:t>האם</w:t>
      </w:r>
      <w:r w:rsidRPr="00BE2DC7">
        <w:rPr>
          <w:rtl/>
        </w:rPr>
        <w:t xml:space="preserve"> הוא חל כל אימת שמתעוררת שאלה בדבר סבירות החלטה של הממשלה, ראש הממשלה או שר</w:t>
      </w:r>
      <w:r>
        <w:rPr>
          <w:rFonts w:hint="cs"/>
          <w:rtl/>
        </w:rPr>
        <w:t>יה</w:t>
      </w:r>
      <w:r w:rsidRPr="00BE2DC7">
        <w:rPr>
          <w:rtl/>
        </w:rPr>
        <w:t xml:space="preserve">; או שמא תחולתו היא מוגבלת. </w:t>
      </w:r>
      <w:r>
        <w:rPr>
          <w:rFonts w:hint="cs"/>
          <w:rtl/>
        </w:rPr>
        <w:t xml:space="preserve">השאלה השנייה היא </w:t>
      </w:r>
      <w:r w:rsidRPr="00BE2DC7">
        <w:rPr>
          <w:rtl/>
        </w:rPr>
        <w:t xml:space="preserve">האם בהתאם לפרשנות הנכונה של התיקון, חקיקתו מהווה חריגה של הכנסת מסמכותה כרשות מכוננת. </w:t>
      </w:r>
    </w:p>
    <w:p w:rsidR="00A01E7C" w:rsidRPr="00BE2DC7"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ind w:firstLine="720"/>
        <w:jc w:val="both"/>
        <w:rPr>
          <w:rFonts w:ascii="Century" w:hAnsi="Century" w:cs="FrankRuehl"/>
          <w:spacing w:val="10"/>
          <w:szCs w:val="28"/>
          <w:rtl/>
        </w:rPr>
      </w:pPr>
      <w:r w:rsidRPr="00BE2DC7">
        <w:rPr>
          <w:rFonts w:ascii="Century" w:hAnsi="Century" w:cs="FrankRuehl" w:hint="eastAsia"/>
          <w:spacing w:val="10"/>
          <w:szCs w:val="28"/>
          <w:rtl/>
        </w:rPr>
        <w:t>כפי</w:t>
      </w:r>
      <w:r w:rsidRPr="00BE2DC7">
        <w:rPr>
          <w:rFonts w:ascii="Century" w:hAnsi="Century" w:cs="FrankRuehl"/>
          <w:spacing w:val="10"/>
          <w:szCs w:val="28"/>
          <w:rtl/>
        </w:rPr>
        <w:t xml:space="preserve"> </w:t>
      </w:r>
      <w:r w:rsidRPr="00BE2DC7">
        <w:rPr>
          <w:rFonts w:ascii="Century" w:hAnsi="Century" w:cs="FrankRuehl" w:hint="eastAsia"/>
          <w:spacing w:val="10"/>
          <w:szCs w:val="28"/>
          <w:rtl/>
        </w:rPr>
        <w:t>שאפרט</w:t>
      </w:r>
      <w:r>
        <w:rPr>
          <w:rFonts w:ascii="Century" w:hAnsi="Century" w:cs="FrankRuehl" w:hint="cs"/>
          <w:spacing w:val="10"/>
          <w:szCs w:val="28"/>
          <w:rtl/>
        </w:rPr>
        <w:t xml:space="preserve"> להלן</w:t>
      </w:r>
      <w:r w:rsidRPr="00BE2DC7">
        <w:rPr>
          <w:rFonts w:ascii="Century" w:hAnsi="Century" w:cs="FrankRuehl"/>
          <w:spacing w:val="10"/>
          <w:szCs w:val="28"/>
          <w:rtl/>
        </w:rPr>
        <w:t xml:space="preserve">, לטעמי הכנסת מוגבלת בחקיקת חוקי יסוד כך שחוקים אלה אינם יכולים לעמוד בסתירה לעקרונות היסוד של מדינת ישראל </w:t>
      </w:r>
      <w:r>
        <w:rPr>
          <w:rFonts w:ascii="Century" w:hAnsi="Century" w:cs="FrankRuehl" w:hint="cs"/>
          <w:spacing w:val="10"/>
          <w:szCs w:val="28"/>
          <w:rtl/>
        </w:rPr>
        <w:t>כ</w:t>
      </w:r>
      <w:r w:rsidRPr="00BE2DC7">
        <w:rPr>
          <w:rFonts w:ascii="Century" w:hAnsi="Century" w:cs="FrankRuehl"/>
          <w:spacing w:val="10"/>
          <w:szCs w:val="28"/>
          <w:rtl/>
        </w:rPr>
        <w:t xml:space="preserve">מדינה יהודית ודמוקרטית; </w:t>
      </w:r>
      <w:r>
        <w:rPr>
          <w:rFonts w:ascii="Century" w:hAnsi="Century" w:cs="FrankRuehl" w:hint="cs"/>
          <w:spacing w:val="10"/>
          <w:szCs w:val="28"/>
          <w:rtl/>
        </w:rPr>
        <w:t>ו</w:t>
      </w:r>
      <w:r w:rsidRPr="00BE2DC7">
        <w:rPr>
          <w:rFonts w:ascii="Century" w:hAnsi="Century" w:cs="FrankRuehl"/>
          <w:spacing w:val="10"/>
          <w:szCs w:val="28"/>
          <w:rtl/>
        </w:rPr>
        <w:t>בית המשפט מוסמך לבקר את הכנסת כאשר היא חורגת מסמכותה בהקשר זה</w:t>
      </w:r>
      <w:r>
        <w:rPr>
          <w:rFonts w:ascii="Century" w:hAnsi="Century" w:cs="FrankRuehl" w:hint="cs"/>
          <w:spacing w:val="10"/>
          <w:szCs w:val="28"/>
          <w:rtl/>
        </w:rPr>
        <w:t xml:space="preserve">. בהמשך לכך אבהיר מדוע לטעמי </w:t>
      </w:r>
      <w:r w:rsidRPr="00BE2DC7">
        <w:rPr>
          <w:rFonts w:ascii="Century" w:hAnsi="Century" w:cs="FrankRuehl"/>
          <w:spacing w:val="10"/>
          <w:szCs w:val="28"/>
          <w:rtl/>
        </w:rPr>
        <w:t>הפרשנות הנכונה של התיקון ה</w:t>
      </w:r>
      <w:r>
        <w:rPr>
          <w:rFonts w:ascii="Century" w:hAnsi="Century" w:cs="FrankRuehl" w:hint="cs"/>
          <w:spacing w:val="10"/>
          <w:szCs w:val="28"/>
          <w:rtl/>
        </w:rPr>
        <w:t>י</w:t>
      </w:r>
      <w:r w:rsidRPr="00BE2DC7">
        <w:rPr>
          <w:rFonts w:ascii="Century" w:hAnsi="Century" w:cs="FrankRuehl"/>
          <w:spacing w:val="10"/>
          <w:szCs w:val="28"/>
          <w:rtl/>
        </w:rPr>
        <w:t xml:space="preserve">א שלילה מוחלטת של </w:t>
      </w:r>
      <w:r>
        <w:rPr>
          <w:rFonts w:ascii="Century" w:hAnsi="Century" w:cs="FrankRuehl" w:hint="cs"/>
          <w:spacing w:val="10"/>
          <w:szCs w:val="28"/>
          <w:rtl/>
        </w:rPr>
        <w:t>כל אפשרות לדון ב</w:t>
      </w:r>
      <w:r w:rsidRPr="00BE2DC7">
        <w:rPr>
          <w:rFonts w:ascii="Century" w:hAnsi="Century" w:cs="FrankRuehl"/>
          <w:spacing w:val="10"/>
          <w:szCs w:val="28"/>
          <w:rtl/>
        </w:rPr>
        <w:t>סבירות החלטות של הממשלה, ראש הממשלה והשרים; ו</w:t>
      </w:r>
      <w:r>
        <w:rPr>
          <w:rFonts w:ascii="Century" w:hAnsi="Century" w:cs="FrankRuehl" w:hint="cs"/>
          <w:spacing w:val="10"/>
          <w:szCs w:val="28"/>
          <w:rtl/>
        </w:rPr>
        <w:t xml:space="preserve">אסביר מדוע, </w:t>
      </w:r>
      <w:r w:rsidRPr="00BE2DC7">
        <w:rPr>
          <w:rFonts w:ascii="Century" w:hAnsi="Century" w:cs="FrankRuehl"/>
          <w:spacing w:val="10"/>
          <w:szCs w:val="28"/>
          <w:rtl/>
        </w:rPr>
        <w:t xml:space="preserve">בהתאם לפרשנות זו – התיקון </w:t>
      </w:r>
      <w:r>
        <w:rPr>
          <w:rFonts w:ascii="Century" w:hAnsi="Century" w:cs="FrankRuehl" w:hint="cs"/>
          <w:spacing w:val="10"/>
          <w:szCs w:val="28"/>
          <w:rtl/>
        </w:rPr>
        <w:t xml:space="preserve">מהווה חריגה מסמכותה של הכנסת כרשות מכוננת </w:t>
      </w:r>
      <w:r w:rsidRPr="00BE2DC7">
        <w:rPr>
          <w:rFonts w:ascii="Century" w:hAnsi="Century" w:cs="FrankRuehl"/>
          <w:spacing w:val="10"/>
          <w:szCs w:val="28"/>
          <w:rtl/>
        </w:rPr>
        <w:t xml:space="preserve">ויש להורות על ביטולו. </w:t>
      </w:r>
      <w:r w:rsidRPr="00BE2DC7">
        <w:rPr>
          <w:rFonts w:ascii="Century" w:hAnsi="Century" w:cs="FrankRuehl" w:hint="eastAsia"/>
          <w:spacing w:val="10"/>
          <w:szCs w:val="28"/>
          <w:rtl/>
        </w:rPr>
        <w:t>להלן</w:t>
      </w:r>
      <w:r w:rsidRPr="00BE2DC7">
        <w:rPr>
          <w:rFonts w:ascii="Century" w:hAnsi="Century" w:cs="FrankRuehl"/>
          <w:spacing w:val="10"/>
          <w:szCs w:val="28"/>
          <w:rtl/>
        </w:rPr>
        <w:t xml:space="preserve"> אתייחס כאמור בקצרה ל</w:t>
      </w:r>
      <w:r>
        <w:rPr>
          <w:rFonts w:ascii="Century" w:hAnsi="Century" w:cs="FrankRuehl" w:hint="cs"/>
          <w:spacing w:val="10"/>
          <w:szCs w:val="28"/>
          <w:rtl/>
        </w:rPr>
        <w:t xml:space="preserve">נושאים </w:t>
      </w:r>
      <w:r w:rsidRPr="00BE2DC7">
        <w:rPr>
          <w:rFonts w:ascii="Century" w:hAnsi="Century" w:cs="FrankRuehl"/>
          <w:spacing w:val="10"/>
          <w:szCs w:val="28"/>
          <w:rtl/>
        </w:rPr>
        <w:t xml:space="preserve">הללו. </w:t>
      </w:r>
    </w:p>
    <w:p w:rsidR="00A01E7C" w:rsidRPr="00BE2DC7"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jc w:val="both"/>
        <w:rPr>
          <w:rFonts w:ascii="Century" w:hAnsi="Century" w:cs="Miriam"/>
          <w:b/>
          <w:rtl/>
        </w:rPr>
      </w:pPr>
      <w:r w:rsidRPr="00BE2DC7">
        <w:rPr>
          <w:rFonts w:ascii="Century" w:hAnsi="Century" w:cs="Miriam"/>
          <w:b/>
          <w:rtl/>
        </w:rPr>
        <w:t xml:space="preserve">השאלה הראשונה – האם הכנסת מוגבלת </w:t>
      </w:r>
      <w:r>
        <w:rPr>
          <w:rFonts w:ascii="Century" w:hAnsi="Century" w:cs="Miriam" w:hint="cs"/>
          <w:b/>
          <w:rtl/>
        </w:rPr>
        <w:t xml:space="preserve">בסמכותה </w:t>
      </w:r>
      <w:r w:rsidRPr="00BE2DC7">
        <w:rPr>
          <w:rFonts w:ascii="Century" w:hAnsi="Century" w:cs="Miriam" w:hint="eastAsia"/>
          <w:b/>
          <w:rtl/>
        </w:rPr>
        <w:t>כרשות</w:t>
      </w:r>
      <w:r w:rsidRPr="00BE2DC7">
        <w:rPr>
          <w:rFonts w:ascii="Century" w:hAnsi="Century" w:cs="Miriam"/>
          <w:b/>
          <w:rtl/>
        </w:rPr>
        <w:t xml:space="preserve"> מכוננת לחוקק חוקי יסוד? </w:t>
      </w:r>
    </w:p>
    <w:p w:rsidR="00A01E7C" w:rsidRPr="00BE2DC7" w:rsidRDefault="00A01E7C" w:rsidP="00A01E7C">
      <w:pPr>
        <w:spacing w:line="360" w:lineRule="auto"/>
        <w:jc w:val="both"/>
        <w:rPr>
          <w:rFonts w:ascii="Century" w:hAnsi="Century" w:cs="FrankRuehl"/>
          <w:spacing w:val="10"/>
          <w:szCs w:val="28"/>
          <w:rtl/>
        </w:rPr>
      </w:pPr>
    </w:p>
    <w:p w:rsidR="00A01E7C" w:rsidRPr="007D0134" w:rsidRDefault="00A01E7C" w:rsidP="002A1A3A">
      <w:pPr>
        <w:pStyle w:val="Ruller4"/>
        <w:numPr>
          <w:ilvl w:val="0"/>
          <w:numId w:val="14"/>
        </w:numPr>
        <w:rPr>
          <w:rFonts w:ascii="Century" w:hAnsi="Century"/>
          <w:rtl/>
        </w:rPr>
      </w:pPr>
      <w:r w:rsidRPr="007D0134">
        <w:rPr>
          <w:rFonts w:ascii="Century" w:hAnsi="Century" w:hint="eastAsia"/>
          <w:rtl/>
        </w:rPr>
        <w:t>חלק</w:t>
      </w:r>
      <w:r w:rsidRPr="007D0134">
        <w:rPr>
          <w:rFonts w:ascii="Century" w:hAnsi="Century"/>
          <w:rtl/>
        </w:rPr>
        <w:t xml:space="preserve"> </w:t>
      </w:r>
      <w:r w:rsidRPr="007D0134">
        <w:rPr>
          <w:rFonts w:ascii="Century" w:hAnsi="Century" w:hint="eastAsia"/>
          <w:rtl/>
        </w:rPr>
        <w:t>מחברותיי</w:t>
      </w:r>
      <w:r w:rsidRPr="007D0134">
        <w:rPr>
          <w:rFonts w:ascii="Century" w:hAnsi="Century"/>
          <w:rtl/>
        </w:rPr>
        <w:t xml:space="preserve"> </w:t>
      </w:r>
      <w:r w:rsidRPr="007D0134">
        <w:rPr>
          <w:rFonts w:ascii="Century" w:hAnsi="Century" w:hint="eastAsia"/>
          <w:rtl/>
        </w:rPr>
        <w:t>וחבריי</w:t>
      </w:r>
      <w:r w:rsidRPr="007D0134">
        <w:rPr>
          <w:rFonts w:ascii="Century" w:hAnsi="Century"/>
          <w:rtl/>
        </w:rPr>
        <w:t xml:space="preserve"> – </w:t>
      </w:r>
      <w:r w:rsidRPr="007D0134">
        <w:rPr>
          <w:rFonts w:ascii="Century" w:hAnsi="Century" w:hint="eastAsia"/>
          <w:rtl/>
        </w:rPr>
        <w:t>אליהם</w:t>
      </w:r>
      <w:r w:rsidRPr="007D0134">
        <w:rPr>
          <w:rFonts w:ascii="Century" w:hAnsi="Century"/>
          <w:rtl/>
        </w:rPr>
        <w:t xml:space="preserve"> </w:t>
      </w:r>
      <w:r w:rsidRPr="007D0134">
        <w:rPr>
          <w:rFonts w:ascii="Century" w:hAnsi="Century" w:hint="eastAsia"/>
          <w:rtl/>
        </w:rPr>
        <w:t>אבקש</w:t>
      </w:r>
      <w:r w:rsidRPr="007D0134">
        <w:rPr>
          <w:rFonts w:ascii="Century" w:hAnsi="Century"/>
          <w:rtl/>
        </w:rPr>
        <w:t xml:space="preserve"> </w:t>
      </w:r>
      <w:r w:rsidRPr="007D0134">
        <w:rPr>
          <w:rFonts w:ascii="Century" w:hAnsi="Century" w:hint="eastAsia"/>
          <w:rtl/>
        </w:rPr>
        <w:t>גם</w:t>
      </w:r>
      <w:r w:rsidRPr="007D0134">
        <w:rPr>
          <w:rFonts w:ascii="Century" w:hAnsi="Century"/>
          <w:rtl/>
        </w:rPr>
        <w:t xml:space="preserve"> </w:t>
      </w:r>
      <w:r w:rsidRPr="007D0134">
        <w:rPr>
          <w:rFonts w:ascii="Century" w:hAnsi="Century" w:hint="eastAsia"/>
          <w:rtl/>
        </w:rPr>
        <w:t>אני</w:t>
      </w:r>
      <w:r w:rsidRPr="007D0134">
        <w:rPr>
          <w:rFonts w:ascii="Century" w:hAnsi="Century"/>
          <w:rtl/>
        </w:rPr>
        <w:t xml:space="preserve"> </w:t>
      </w:r>
      <w:r w:rsidRPr="007D0134">
        <w:rPr>
          <w:rFonts w:ascii="Century" w:hAnsi="Century" w:hint="eastAsia"/>
          <w:rtl/>
        </w:rPr>
        <w:t>להצטרף</w:t>
      </w:r>
      <w:r w:rsidRPr="007D0134">
        <w:rPr>
          <w:rFonts w:ascii="Century" w:hAnsi="Century"/>
          <w:rtl/>
        </w:rPr>
        <w:t xml:space="preserve"> – </w:t>
      </w:r>
      <w:r w:rsidRPr="007D0134">
        <w:rPr>
          <w:rFonts w:ascii="Century" w:hAnsi="Century" w:hint="eastAsia"/>
          <w:rtl/>
        </w:rPr>
        <w:t>סבורים</w:t>
      </w:r>
      <w:r w:rsidRPr="007D0134">
        <w:rPr>
          <w:rFonts w:ascii="Century" w:hAnsi="Century"/>
          <w:rtl/>
        </w:rPr>
        <w:t xml:space="preserve">, </w:t>
      </w:r>
      <w:r w:rsidRPr="007D0134">
        <w:rPr>
          <w:rFonts w:ascii="Century" w:hAnsi="Century" w:hint="eastAsia"/>
          <w:rtl/>
        </w:rPr>
        <w:t>כל</w:t>
      </w:r>
      <w:r w:rsidRPr="007D0134">
        <w:rPr>
          <w:rFonts w:ascii="Century" w:hAnsi="Century"/>
          <w:rtl/>
        </w:rPr>
        <w:t xml:space="preserve"> </w:t>
      </w:r>
      <w:r w:rsidRPr="007D0134">
        <w:rPr>
          <w:rFonts w:ascii="Century" w:hAnsi="Century" w:hint="eastAsia"/>
          <w:rtl/>
        </w:rPr>
        <w:t>אחד</w:t>
      </w:r>
      <w:r w:rsidRPr="007D0134">
        <w:rPr>
          <w:rFonts w:ascii="Century" w:hAnsi="Century"/>
          <w:rtl/>
        </w:rPr>
        <w:t xml:space="preserve"> </w:t>
      </w:r>
      <w:r w:rsidRPr="007D0134">
        <w:rPr>
          <w:rFonts w:ascii="Century" w:hAnsi="Century" w:hint="eastAsia"/>
          <w:rtl/>
        </w:rPr>
        <w:t>מטעמיו</w:t>
      </w:r>
      <w:r w:rsidRPr="007D0134">
        <w:rPr>
          <w:rFonts w:ascii="Century" w:hAnsi="Century"/>
          <w:rtl/>
        </w:rPr>
        <w:t xml:space="preserve">, </w:t>
      </w:r>
      <w:r w:rsidRPr="007D0134">
        <w:rPr>
          <w:rFonts w:ascii="Century" w:hAnsi="Century" w:hint="eastAsia"/>
          <w:rtl/>
        </w:rPr>
        <w:t>כי</w:t>
      </w:r>
      <w:r w:rsidRPr="007D0134">
        <w:rPr>
          <w:rFonts w:ascii="Century" w:hAnsi="Century"/>
          <w:rtl/>
        </w:rPr>
        <w:t xml:space="preserve"> </w:t>
      </w:r>
      <w:r w:rsidRPr="007D0134">
        <w:rPr>
          <w:rFonts w:ascii="Century" w:hAnsi="Century" w:hint="eastAsia"/>
          <w:rtl/>
        </w:rPr>
        <w:t>הכנסת</w:t>
      </w:r>
      <w:r w:rsidRPr="007D0134">
        <w:rPr>
          <w:rFonts w:ascii="Century" w:hAnsi="Century"/>
          <w:rtl/>
        </w:rPr>
        <w:t xml:space="preserve"> </w:t>
      </w:r>
      <w:r w:rsidRPr="007D0134">
        <w:rPr>
          <w:rFonts w:ascii="Century" w:hAnsi="Century" w:hint="eastAsia"/>
          <w:rtl/>
        </w:rPr>
        <w:t>בכובעה</w:t>
      </w:r>
      <w:r w:rsidRPr="007D0134">
        <w:rPr>
          <w:rFonts w:ascii="Century" w:hAnsi="Century"/>
          <w:rtl/>
        </w:rPr>
        <w:t xml:space="preserve"> </w:t>
      </w:r>
      <w:r w:rsidRPr="007D0134">
        <w:rPr>
          <w:rFonts w:ascii="Century" w:hAnsi="Century" w:hint="eastAsia"/>
          <w:rtl/>
        </w:rPr>
        <w:t>כרשות</w:t>
      </w:r>
      <w:r w:rsidRPr="007D0134">
        <w:rPr>
          <w:rFonts w:ascii="Century" w:hAnsi="Century"/>
          <w:rtl/>
        </w:rPr>
        <w:t xml:space="preserve"> </w:t>
      </w:r>
      <w:r w:rsidRPr="007D0134">
        <w:rPr>
          <w:rFonts w:ascii="Century" w:hAnsi="Century" w:hint="eastAsia"/>
          <w:rtl/>
        </w:rPr>
        <w:t>מכוננת</w:t>
      </w:r>
      <w:r w:rsidRPr="007D0134">
        <w:rPr>
          <w:rFonts w:ascii="Century" w:hAnsi="Century"/>
          <w:rtl/>
        </w:rPr>
        <w:t xml:space="preserve"> </w:t>
      </w:r>
      <w:r w:rsidRPr="007D0134">
        <w:rPr>
          <w:rFonts w:ascii="Century" w:hAnsi="Century" w:hint="eastAsia"/>
          <w:rtl/>
        </w:rPr>
        <w:t>מוגבלת</w:t>
      </w:r>
      <w:r w:rsidRPr="007D0134">
        <w:rPr>
          <w:rFonts w:ascii="Century" w:hAnsi="Century"/>
          <w:rtl/>
        </w:rPr>
        <w:t xml:space="preserve"> </w:t>
      </w:r>
      <w:r w:rsidRPr="007D0134">
        <w:rPr>
          <w:rFonts w:ascii="Century" w:hAnsi="Century" w:hint="eastAsia"/>
          <w:rtl/>
        </w:rPr>
        <w:t>בסמכותה</w:t>
      </w:r>
      <w:r w:rsidRPr="007D0134">
        <w:rPr>
          <w:rFonts w:ascii="Century" w:hAnsi="Century"/>
          <w:rtl/>
        </w:rPr>
        <w:t xml:space="preserve"> </w:t>
      </w:r>
      <w:r w:rsidRPr="007D0134">
        <w:rPr>
          <w:rFonts w:ascii="Century" w:hAnsi="Century" w:hint="eastAsia"/>
          <w:rtl/>
        </w:rPr>
        <w:t>לחוקק</w:t>
      </w:r>
      <w:r w:rsidRPr="007D0134">
        <w:rPr>
          <w:rFonts w:ascii="Century" w:hAnsi="Century"/>
          <w:rtl/>
        </w:rPr>
        <w:t xml:space="preserve"> </w:t>
      </w:r>
      <w:r w:rsidRPr="007D0134">
        <w:rPr>
          <w:rFonts w:ascii="Century" w:hAnsi="Century" w:hint="eastAsia"/>
          <w:rtl/>
        </w:rPr>
        <w:t>חוקי</w:t>
      </w:r>
      <w:r w:rsidRPr="007D0134">
        <w:rPr>
          <w:rFonts w:ascii="Century" w:hAnsi="Century"/>
          <w:rtl/>
        </w:rPr>
        <w:t xml:space="preserve"> </w:t>
      </w:r>
      <w:r w:rsidRPr="007D0134">
        <w:rPr>
          <w:rFonts w:ascii="Century" w:hAnsi="Century" w:hint="eastAsia"/>
          <w:rtl/>
        </w:rPr>
        <w:t>יסוד</w:t>
      </w:r>
      <w:r w:rsidRPr="007D0134">
        <w:rPr>
          <w:rFonts w:ascii="Century" w:hAnsi="Century"/>
          <w:rtl/>
        </w:rPr>
        <w:t xml:space="preserve">. </w:t>
      </w:r>
      <w:r w:rsidRPr="007D0134">
        <w:rPr>
          <w:rFonts w:ascii="Century" w:hAnsi="Century" w:hint="eastAsia"/>
          <w:rtl/>
        </w:rPr>
        <w:t>לעומת</w:t>
      </w:r>
      <w:r w:rsidRPr="007D0134">
        <w:rPr>
          <w:rFonts w:ascii="Century" w:hAnsi="Century"/>
          <w:rtl/>
        </w:rPr>
        <w:t xml:space="preserve"> </w:t>
      </w:r>
      <w:r w:rsidRPr="007D0134">
        <w:rPr>
          <w:rFonts w:ascii="Century" w:hAnsi="Century" w:hint="eastAsia"/>
          <w:rtl/>
        </w:rPr>
        <w:lastRenderedPageBreak/>
        <w:t>זאת</w:t>
      </w:r>
      <w:r w:rsidRPr="007D0134">
        <w:rPr>
          <w:rFonts w:ascii="Century" w:hAnsi="Century"/>
          <w:rtl/>
        </w:rPr>
        <w:t xml:space="preserve">, </w:t>
      </w:r>
      <w:r w:rsidRPr="007D0134">
        <w:rPr>
          <w:rFonts w:ascii="Century" w:hAnsi="Century" w:hint="eastAsia"/>
          <w:rtl/>
        </w:rPr>
        <w:t>לגישת</w:t>
      </w:r>
      <w:r w:rsidRPr="007D0134">
        <w:rPr>
          <w:rFonts w:ascii="Century" w:hAnsi="Century"/>
          <w:rtl/>
        </w:rPr>
        <w:t xml:space="preserve"> </w:t>
      </w:r>
      <w:r w:rsidRPr="007D0134">
        <w:rPr>
          <w:rFonts w:ascii="Century" w:hAnsi="Century" w:hint="eastAsia"/>
          <w:rtl/>
        </w:rPr>
        <w:t>חלקם</w:t>
      </w:r>
      <w:r w:rsidRPr="007D0134">
        <w:rPr>
          <w:rFonts w:ascii="Century" w:hAnsi="Century"/>
          <w:rtl/>
        </w:rPr>
        <w:t xml:space="preserve"> </w:t>
      </w:r>
      <w:r w:rsidRPr="007D0134">
        <w:rPr>
          <w:rFonts w:ascii="Century" w:hAnsi="Century" w:hint="eastAsia"/>
          <w:rtl/>
        </w:rPr>
        <w:t>האחר</w:t>
      </w:r>
      <w:r w:rsidRPr="007D0134">
        <w:rPr>
          <w:rFonts w:ascii="Century" w:hAnsi="Century"/>
          <w:rtl/>
        </w:rPr>
        <w:t xml:space="preserve"> </w:t>
      </w:r>
      <w:r w:rsidRPr="007D0134">
        <w:rPr>
          <w:rFonts w:ascii="Century" w:hAnsi="Century" w:hint="eastAsia"/>
          <w:rtl/>
        </w:rPr>
        <w:t>של</w:t>
      </w:r>
      <w:r w:rsidRPr="007D0134">
        <w:rPr>
          <w:rFonts w:ascii="Century" w:hAnsi="Century"/>
          <w:rtl/>
        </w:rPr>
        <w:t xml:space="preserve"> </w:t>
      </w:r>
      <w:r w:rsidRPr="007D0134">
        <w:rPr>
          <w:rFonts w:ascii="Century" w:hAnsi="Century" w:hint="eastAsia"/>
          <w:rtl/>
        </w:rPr>
        <w:t>חבריי</w:t>
      </w:r>
      <w:r w:rsidRPr="007D0134">
        <w:rPr>
          <w:rFonts w:ascii="Century" w:hAnsi="Century"/>
          <w:rtl/>
        </w:rPr>
        <w:t xml:space="preserve"> </w:t>
      </w:r>
      <w:r w:rsidRPr="007D0134">
        <w:rPr>
          <w:rFonts w:ascii="Century" w:hAnsi="Century" w:hint="eastAsia"/>
          <w:rtl/>
        </w:rPr>
        <w:t>לא</w:t>
      </w:r>
      <w:r w:rsidRPr="007D0134">
        <w:rPr>
          <w:rFonts w:ascii="Century" w:hAnsi="Century"/>
          <w:rtl/>
        </w:rPr>
        <w:t xml:space="preserve"> </w:t>
      </w:r>
      <w:r w:rsidRPr="007D0134">
        <w:rPr>
          <w:rFonts w:ascii="Century" w:hAnsi="Century" w:hint="eastAsia"/>
          <w:rtl/>
        </w:rPr>
        <w:t>קיימות</w:t>
      </w:r>
      <w:r w:rsidRPr="007D0134">
        <w:rPr>
          <w:rFonts w:ascii="Century" w:hAnsi="Century"/>
          <w:rtl/>
        </w:rPr>
        <w:t xml:space="preserve"> </w:t>
      </w:r>
      <w:r w:rsidRPr="007D0134">
        <w:rPr>
          <w:rFonts w:ascii="Century" w:hAnsi="Century" w:hint="eastAsia"/>
          <w:rtl/>
        </w:rPr>
        <w:t>מגבלות</w:t>
      </w:r>
      <w:r w:rsidRPr="007D0134">
        <w:rPr>
          <w:rFonts w:ascii="Century" w:hAnsi="Century"/>
          <w:rtl/>
        </w:rPr>
        <w:t xml:space="preserve"> </w:t>
      </w:r>
      <w:r w:rsidRPr="007D0134">
        <w:rPr>
          <w:rFonts w:ascii="Century" w:hAnsi="Century" w:hint="eastAsia"/>
          <w:rtl/>
        </w:rPr>
        <w:t>על</w:t>
      </w:r>
      <w:r w:rsidRPr="007D0134">
        <w:rPr>
          <w:rFonts w:ascii="Century" w:hAnsi="Century"/>
          <w:rtl/>
        </w:rPr>
        <w:t xml:space="preserve"> </w:t>
      </w:r>
      <w:r w:rsidRPr="007D0134">
        <w:rPr>
          <w:rFonts w:ascii="Century" w:hAnsi="Century" w:hint="eastAsia"/>
          <w:rtl/>
        </w:rPr>
        <w:t>סמכות</w:t>
      </w:r>
      <w:r w:rsidRPr="007D0134">
        <w:rPr>
          <w:rFonts w:ascii="Century" w:hAnsi="Century"/>
          <w:rtl/>
        </w:rPr>
        <w:t xml:space="preserve"> </w:t>
      </w:r>
      <w:r w:rsidRPr="007D0134">
        <w:rPr>
          <w:rFonts w:ascii="Century" w:hAnsi="Century" w:hint="eastAsia"/>
          <w:rtl/>
        </w:rPr>
        <w:t>זו</w:t>
      </w:r>
      <w:r w:rsidRPr="007D0134">
        <w:rPr>
          <w:rFonts w:ascii="Century" w:hAnsi="Century"/>
          <w:rtl/>
        </w:rPr>
        <w:t xml:space="preserve"> (</w:t>
      </w:r>
      <w:r w:rsidRPr="007D0134">
        <w:rPr>
          <w:rFonts w:ascii="Century" w:hAnsi="Century" w:hint="eastAsia"/>
          <w:rtl/>
        </w:rPr>
        <w:t>ביניהם</w:t>
      </w:r>
      <w:r w:rsidRPr="007D0134">
        <w:rPr>
          <w:rFonts w:ascii="Century" w:hAnsi="Century"/>
          <w:rtl/>
        </w:rPr>
        <w:t xml:space="preserve"> </w:t>
      </w:r>
      <w:r w:rsidRPr="007D0134">
        <w:rPr>
          <w:rFonts w:ascii="Century" w:hAnsi="Century" w:hint="eastAsia"/>
          <w:rtl/>
        </w:rPr>
        <w:t>נמנה</w:t>
      </w:r>
      <w:r w:rsidRPr="007D0134">
        <w:rPr>
          <w:rFonts w:ascii="Century" w:hAnsi="Century"/>
          <w:rtl/>
        </w:rPr>
        <w:t xml:space="preserve"> </w:t>
      </w:r>
      <w:r w:rsidRPr="007D0134">
        <w:rPr>
          <w:rFonts w:ascii="Century" w:hAnsi="Century" w:hint="eastAsia"/>
          <w:rtl/>
        </w:rPr>
        <w:t>גם</w:t>
      </w:r>
      <w:r w:rsidRPr="007D0134">
        <w:rPr>
          <w:rFonts w:ascii="Century" w:hAnsi="Century"/>
          <w:rtl/>
        </w:rPr>
        <w:t xml:space="preserve"> </w:t>
      </w:r>
      <w:r w:rsidRPr="007D0134">
        <w:rPr>
          <w:rFonts w:ascii="Century" w:hAnsi="Century" w:hint="eastAsia"/>
          <w:rtl/>
        </w:rPr>
        <w:t>השופט</w:t>
      </w:r>
      <w:r w:rsidRPr="007D0134">
        <w:rPr>
          <w:rFonts w:ascii="Century" w:hAnsi="Century"/>
          <w:rtl/>
        </w:rPr>
        <w:t xml:space="preserve"> </w:t>
      </w:r>
      <w:r w:rsidRPr="007D0134">
        <w:rPr>
          <w:rFonts w:ascii="Century" w:hAnsi="Century" w:cs="Miriam" w:hint="eastAsia"/>
          <w:b/>
          <w:szCs w:val="24"/>
          <w:rtl/>
        </w:rPr>
        <w:t>י</w:t>
      </w:r>
      <w:r w:rsidRPr="007D0134">
        <w:rPr>
          <w:rFonts w:ascii="Century" w:hAnsi="Century" w:cs="Miriam"/>
          <w:b/>
          <w:szCs w:val="24"/>
          <w:rtl/>
        </w:rPr>
        <w:t xml:space="preserve">' </w:t>
      </w:r>
      <w:r w:rsidRPr="007D0134">
        <w:rPr>
          <w:rFonts w:ascii="Century" w:hAnsi="Century" w:cs="Miriam" w:hint="eastAsia"/>
          <w:b/>
          <w:szCs w:val="24"/>
          <w:rtl/>
        </w:rPr>
        <w:t>אלרון</w:t>
      </w:r>
      <w:r w:rsidRPr="007D0134">
        <w:rPr>
          <w:rFonts w:ascii="Century" w:hAnsi="Century"/>
          <w:rtl/>
        </w:rPr>
        <w:t xml:space="preserve">, </w:t>
      </w:r>
      <w:r w:rsidRPr="007D0134">
        <w:rPr>
          <w:rFonts w:ascii="Century" w:hAnsi="Century" w:hint="eastAsia"/>
          <w:rtl/>
        </w:rPr>
        <w:t>אשר</w:t>
      </w:r>
      <w:r w:rsidRPr="007D0134">
        <w:rPr>
          <w:rFonts w:ascii="Century" w:hAnsi="Century"/>
          <w:rtl/>
        </w:rPr>
        <w:t xml:space="preserve"> </w:t>
      </w:r>
      <w:r w:rsidRPr="007D0134">
        <w:rPr>
          <w:rFonts w:ascii="Century" w:hAnsi="Century" w:hint="eastAsia"/>
          <w:rtl/>
        </w:rPr>
        <w:t>סבור</w:t>
      </w:r>
      <w:r w:rsidRPr="007D0134">
        <w:rPr>
          <w:rFonts w:ascii="Century" w:hAnsi="Century"/>
          <w:rtl/>
        </w:rPr>
        <w:t xml:space="preserve"> </w:t>
      </w:r>
      <w:r w:rsidRPr="007D0134">
        <w:rPr>
          <w:rFonts w:ascii="Century" w:hAnsi="Century" w:hint="eastAsia"/>
          <w:rtl/>
        </w:rPr>
        <w:t>כי</w:t>
      </w:r>
      <w:r w:rsidRPr="007D0134">
        <w:rPr>
          <w:rFonts w:ascii="Century" w:hAnsi="Century"/>
          <w:rtl/>
        </w:rPr>
        <w:t xml:space="preserve"> </w:t>
      </w:r>
      <w:r w:rsidRPr="007D0134">
        <w:rPr>
          <w:rFonts w:ascii="Century" w:hAnsi="Century" w:hint="cs"/>
          <w:rtl/>
        </w:rPr>
        <w:t xml:space="preserve">אף </w:t>
      </w:r>
      <w:r w:rsidRPr="007D0134">
        <w:rPr>
          <w:rFonts w:ascii="Century" w:hAnsi="Century" w:hint="eastAsia"/>
          <w:rtl/>
        </w:rPr>
        <w:t>אם</w:t>
      </w:r>
      <w:r w:rsidRPr="007D0134">
        <w:rPr>
          <w:rFonts w:ascii="Century" w:hAnsi="Century"/>
          <w:rtl/>
        </w:rPr>
        <w:t xml:space="preserve"> </w:t>
      </w:r>
      <w:r w:rsidRPr="007D0134">
        <w:rPr>
          <w:rFonts w:ascii="Century" w:hAnsi="Century" w:hint="eastAsia"/>
          <w:rtl/>
        </w:rPr>
        <w:t>קיימות</w:t>
      </w:r>
      <w:r w:rsidRPr="007D0134">
        <w:rPr>
          <w:rFonts w:ascii="Century" w:hAnsi="Century"/>
          <w:rtl/>
        </w:rPr>
        <w:t xml:space="preserve"> </w:t>
      </w:r>
      <w:r w:rsidRPr="007D0134">
        <w:rPr>
          <w:rFonts w:ascii="Century" w:hAnsi="Century" w:hint="eastAsia"/>
          <w:rtl/>
        </w:rPr>
        <w:t>מגבלות</w:t>
      </w:r>
      <w:r w:rsidRPr="007D0134">
        <w:rPr>
          <w:rFonts w:ascii="Century" w:hAnsi="Century"/>
          <w:rtl/>
        </w:rPr>
        <w:t xml:space="preserve"> </w:t>
      </w:r>
      <w:r w:rsidRPr="007D0134">
        <w:rPr>
          <w:rFonts w:ascii="Century" w:hAnsi="Century" w:hint="eastAsia"/>
          <w:rtl/>
        </w:rPr>
        <w:t>כאמור</w:t>
      </w:r>
      <w:r w:rsidRPr="007D0134">
        <w:rPr>
          <w:rFonts w:ascii="Century" w:hAnsi="Century"/>
          <w:rtl/>
        </w:rPr>
        <w:t xml:space="preserve">, </w:t>
      </w:r>
      <w:r w:rsidRPr="007D0134">
        <w:rPr>
          <w:rFonts w:ascii="Century" w:hAnsi="Century" w:hint="eastAsia"/>
          <w:rtl/>
        </w:rPr>
        <w:t>הקביעה</w:t>
      </w:r>
      <w:r w:rsidRPr="007D0134">
        <w:rPr>
          <w:rFonts w:ascii="Century" w:hAnsi="Century"/>
          <w:rtl/>
        </w:rPr>
        <w:t xml:space="preserve"> </w:t>
      </w:r>
      <w:r w:rsidRPr="007D0134">
        <w:rPr>
          <w:rFonts w:ascii="Century" w:hAnsi="Century" w:hint="eastAsia"/>
          <w:rtl/>
        </w:rPr>
        <w:t>כי</w:t>
      </w:r>
      <w:r w:rsidRPr="007D0134">
        <w:rPr>
          <w:rFonts w:ascii="Century" w:hAnsi="Century"/>
          <w:rtl/>
        </w:rPr>
        <w:t xml:space="preserve"> </w:t>
      </w:r>
      <w:r w:rsidRPr="007D0134">
        <w:rPr>
          <w:rFonts w:ascii="Century" w:hAnsi="Century" w:hint="eastAsia"/>
          <w:rtl/>
        </w:rPr>
        <w:t>הכנסת</w:t>
      </w:r>
      <w:r w:rsidRPr="007D0134">
        <w:rPr>
          <w:rFonts w:ascii="Century" w:hAnsi="Century"/>
          <w:rtl/>
        </w:rPr>
        <w:t xml:space="preserve"> </w:t>
      </w:r>
      <w:r w:rsidRPr="007D0134">
        <w:rPr>
          <w:rFonts w:ascii="Century" w:hAnsi="Century" w:hint="eastAsia"/>
          <w:rtl/>
        </w:rPr>
        <w:t>עשתה</w:t>
      </w:r>
      <w:r w:rsidRPr="007D0134">
        <w:rPr>
          <w:rFonts w:ascii="Century" w:hAnsi="Century"/>
          <w:rtl/>
        </w:rPr>
        <w:t xml:space="preserve"> </w:t>
      </w:r>
      <w:r w:rsidRPr="007D0134">
        <w:rPr>
          <w:rFonts w:ascii="Century" w:hAnsi="Century" w:hint="eastAsia"/>
          <w:rtl/>
        </w:rPr>
        <w:t>שימוש</w:t>
      </w:r>
      <w:r w:rsidRPr="007D0134">
        <w:rPr>
          <w:rFonts w:ascii="Century" w:hAnsi="Century"/>
          <w:rtl/>
        </w:rPr>
        <w:t xml:space="preserve"> </w:t>
      </w:r>
      <w:r w:rsidRPr="007D0134">
        <w:rPr>
          <w:rFonts w:ascii="Century" w:hAnsi="Century" w:hint="eastAsia"/>
          <w:rtl/>
        </w:rPr>
        <w:t>לרעה</w:t>
      </w:r>
      <w:r w:rsidRPr="007D0134">
        <w:rPr>
          <w:rFonts w:ascii="Century" w:hAnsi="Century"/>
          <w:rtl/>
        </w:rPr>
        <w:t xml:space="preserve"> </w:t>
      </w:r>
      <w:r w:rsidRPr="007D0134">
        <w:rPr>
          <w:rFonts w:ascii="Century" w:hAnsi="Century" w:hint="eastAsia"/>
          <w:rtl/>
        </w:rPr>
        <w:t>בסמכותה</w:t>
      </w:r>
      <w:r w:rsidRPr="007D0134">
        <w:rPr>
          <w:rFonts w:ascii="Century" w:hAnsi="Century"/>
          <w:rtl/>
        </w:rPr>
        <w:t xml:space="preserve"> </w:t>
      </w:r>
      <w:r w:rsidRPr="007D0134">
        <w:rPr>
          <w:rFonts w:ascii="Century" w:hAnsi="Century" w:hint="eastAsia"/>
          <w:rtl/>
        </w:rPr>
        <w:t>כרשות</w:t>
      </w:r>
      <w:r w:rsidRPr="007D0134">
        <w:rPr>
          <w:rFonts w:ascii="Century" w:hAnsi="Century"/>
          <w:rtl/>
        </w:rPr>
        <w:t xml:space="preserve"> </w:t>
      </w:r>
      <w:r w:rsidRPr="007D0134">
        <w:rPr>
          <w:rFonts w:ascii="Century" w:hAnsi="Century" w:hint="eastAsia"/>
          <w:rtl/>
        </w:rPr>
        <w:t>מכוננת</w:t>
      </w:r>
      <w:r w:rsidRPr="007D0134">
        <w:rPr>
          <w:rFonts w:ascii="Century" w:hAnsi="Century"/>
          <w:rtl/>
        </w:rPr>
        <w:t xml:space="preserve"> </w:t>
      </w:r>
      <w:r w:rsidRPr="007D0134">
        <w:rPr>
          <w:rFonts w:ascii="Century" w:hAnsi="Century" w:hint="eastAsia"/>
          <w:rtl/>
        </w:rPr>
        <w:t>שמורה</w:t>
      </w:r>
      <w:r w:rsidRPr="007D0134">
        <w:rPr>
          <w:rFonts w:ascii="Century" w:hAnsi="Century"/>
          <w:rtl/>
        </w:rPr>
        <w:t xml:space="preserve"> </w:t>
      </w:r>
      <w:r w:rsidRPr="007D0134">
        <w:rPr>
          <w:rFonts w:ascii="Century" w:hAnsi="Century" w:hint="eastAsia"/>
          <w:rtl/>
        </w:rPr>
        <w:t>למקרים</w:t>
      </w:r>
      <w:r w:rsidRPr="007D0134">
        <w:rPr>
          <w:rFonts w:ascii="Century" w:hAnsi="Century"/>
          <w:rtl/>
        </w:rPr>
        <w:t xml:space="preserve"> </w:t>
      </w:r>
      <w:r w:rsidRPr="007D0134">
        <w:rPr>
          <w:rFonts w:ascii="Century" w:hAnsi="Century" w:hint="eastAsia"/>
          <w:rtl/>
        </w:rPr>
        <w:t>קיצוניים</w:t>
      </w:r>
      <w:r w:rsidRPr="007D0134">
        <w:rPr>
          <w:rFonts w:ascii="Century" w:hAnsi="Century"/>
          <w:rtl/>
        </w:rPr>
        <w:t xml:space="preserve"> </w:t>
      </w:r>
      <w:r w:rsidRPr="007D0134">
        <w:rPr>
          <w:rFonts w:ascii="Century" w:hAnsi="Century" w:hint="eastAsia"/>
          <w:rtl/>
        </w:rPr>
        <w:t>וחריגים</w:t>
      </w:r>
      <w:r w:rsidRPr="007D0134">
        <w:rPr>
          <w:rFonts w:ascii="Century" w:hAnsi="Century"/>
          <w:rtl/>
        </w:rPr>
        <w:t xml:space="preserve"> </w:t>
      </w:r>
      <w:r w:rsidRPr="007D0134">
        <w:rPr>
          <w:rFonts w:ascii="Century" w:hAnsi="Century" w:hint="eastAsia"/>
          <w:rtl/>
        </w:rPr>
        <w:t>של</w:t>
      </w:r>
      <w:r w:rsidRPr="007D0134">
        <w:rPr>
          <w:rFonts w:ascii="Century" w:hAnsi="Century"/>
          <w:rtl/>
        </w:rPr>
        <w:t xml:space="preserve"> </w:t>
      </w:r>
      <w:r w:rsidRPr="007D0134">
        <w:rPr>
          <w:rFonts w:ascii="Century" w:hAnsi="Century" w:hint="eastAsia"/>
          <w:rtl/>
        </w:rPr>
        <w:t>פגיעה</w:t>
      </w:r>
      <w:r w:rsidRPr="007D0134">
        <w:rPr>
          <w:rFonts w:ascii="Century" w:hAnsi="Century"/>
          <w:rtl/>
        </w:rPr>
        <w:t xml:space="preserve"> </w:t>
      </w:r>
      <w:r w:rsidRPr="007D0134">
        <w:rPr>
          <w:rFonts w:ascii="Century" w:hAnsi="Century" w:hint="eastAsia"/>
          <w:rtl/>
        </w:rPr>
        <w:t>בזכויות</w:t>
      </w:r>
      <w:r w:rsidRPr="007D0134">
        <w:rPr>
          <w:rFonts w:ascii="Century" w:hAnsi="Century"/>
          <w:rtl/>
        </w:rPr>
        <w:t xml:space="preserve"> </w:t>
      </w:r>
      <w:r w:rsidRPr="007D0134">
        <w:rPr>
          <w:rFonts w:ascii="Century" w:hAnsi="Century" w:hint="eastAsia"/>
          <w:rtl/>
        </w:rPr>
        <w:t>היסוד</w:t>
      </w:r>
      <w:r w:rsidRPr="007D0134">
        <w:rPr>
          <w:rFonts w:ascii="Century" w:hAnsi="Century"/>
          <w:rtl/>
        </w:rPr>
        <w:t xml:space="preserve"> </w:t>
      </w:r>
      <w:r w:rsidRPr="007D0134">
        <w:rPr>
          <w:rFonts w:ascii="Century" w:hAnsi="Century" w:hint="eastAsia"/>
          <w:rtl/>
        </w:rPr>
        <w:t>של</w:t>
      </w:r>
      <w:r w:rsidRPr="007D0134">
        <w:rPr>
          <w:rFonts w:ascii="Century" w:hAnsi="Century"/>
          <w:rtl/>
        </w:rPr>
        <w:t xml:space="preserve"> </w:t>
      </w:r>
      <w:r w:rsidRPr="007D0134">
        <w:rPr>
          <w:rFonts w:ascii="Century" w:hAnsi="Century" w:hint="eastAsia"/>
          <w:rtl/>
        </w:rPr>
        <w:t>הפרט</w:t>
      </w:r>
      <w:r w:rsidRPr="007D0134">
        <w:rPr>
          <w:rFonts w:ascii="Century" w:hAnsi="Century"/>
          <w:rtl/>
        </w:rPr>
        <w:t xml:space="preserve"> </w:t>
      </w:r>
      <w:r w:rsidRPr="007D0134">
        <w:rPr>
          <w:rFonts w:ascii="Century" w:hAnsi="Century" w:hint="eastAsia"/>
          <w:rtl/>
        </w:rPr>
        <w:t>וכמוצא</w:t>
      </w:r>
      <w:r w:rsidRPr="007D0134">
        <w:rPr>
          <w:rFonts w:ascii="Century" w:hAnsi="Century"/>
          <w:rtl/>
        </w:rPr>
        <w:t xml:space="preserve"> </w:t>
      </w:r>
      <w:r w:rsidRPr="007D0134">
        <w:rPr>
          <w:rFonts w:ascii="Century" w:hAnsi="Century" w:hint="eastAsia"/>
          <w:rtl/>
        </w:rPr>
        <w:t>אחרון</w:t>
      </w:r>
      <w:r w:rsidRPr="007D0134">
        <w:rPr>
          <w:rFonts w:ascii="Century" w:hAnsi="Century"/>
          <w:rtl/>
        </w:rPr>
        <w:t xml:space="preserve"> </w:t>
      </w:r>
      <w:r w:rsidRPr="007D0134">
        <w:rPr>
          <w:rFonts w:ascii="Century" w:hAnsi="Century" w:hint="eastAsia"/>
          <w:rtl/>
        </w:rPr>
        <w:t>בלבד</w:t>
      </w:r>
      <w:r w:rsidRPr="007D0134">
        <w:rPr>
          <w:rFonts w:ascii="Century" w:hAnsi="Century"/>
          <w:rtl/>
        </w:rPr>
        <w:t xml:space="preserve"> – </w:t>
      </w:r>
      <w:r w:rsidRPr="007D0134">
        <w:rPr>
          <w:rFonts w:ascii="Century" w:hAnsi="Century" w:hint="eastAsia"/>
          <w:rtl/>
        </w:rPr>
        <w:t>ראו</w:t>
      </w:r>
      <w:r w:rsidRPr="007D0134">
        <w:rPr>
          <w:rFonts w:ascii="Century" w:hAnsi="Century"/>
          <w:rtl/>
        </w:rPr>
        <w:t xml:space="preserve"> </w:t>
      </w:r>
      <w:r w:rsidRPr="007D0134">
        <w:rPr>
          <w:rFonts w:ascii="Century" w:hAnsi="Century" w:hint="eastAsia"/>
          <w:rtl/>
        </w:rPr>
        <w:t>פסקה</w:t>
      </w:r>
      <w:r w:rsidRPr="007D0134">
        <w:rPr>
          <w:rFonts w:ascii="Century" w:hAnsi="Century"/>
          <w:rtl/>
        </w:rPr>
        <w:t xml:space="preserve"> 4 </w:t>
      </w:r>
      <w:r w:rsidRPr="007D0134">
        <w:rPr>
          <w:rFonts w:ascii="Century" w:hAnsi="Century" w:hint="eastAsia"/>
          <w:rtl/>
        </w:rPr>
        <w:t>לחוות</w:t>
      </w:r>
      <w:r w:rsidRPr="007D0134">
        <w:rPr>
          <w:rFonts w:ascii="Century" w:hAnsi="Century"/>
          <w:rtl/>
        </w:rPr>
        <w:t xml:space="preserve"> </w:t>
      </w:r>
      <w:r w:rsidRPr="007D0134">
        <w:rPr>
          <w:rFonts w:ascii="Century" w:hAnsi="Century" w:hint="eastAsia"/>
          <w:rtl/>
        </w:rPr>
        <w:t>דעתו</w:t>
      </w:r>
      <w:r w:rsidRPr="007D0134">
        <w:rPr>
          <w:rFonts w:ascii="Century" w:hAnsi="Century"/>
          <w:rtl/>
        </w:rPr>
        <w:t>).</w:t>
      </w:r>
      <w:r w:rsidRPr="007D0134">
        <w:rPr>
          <w:rFonts w:ascii="Century" w:hAnsi="Century" w:hint="cs"/>
          <w:rtl/>
        </w:rPr>
        <w:t xml:space="preserve"> </w:t>
      </w:r>
    </w:p>
    <w:p w:rsidR="00A01E7C" w:rsidRPr="00BE2DC7" w:rsidRDefault="00A01E7C" w:rsidP="00A01E7C">
      <w:pPr>
        <w:spacing w:line="360" w:lineRule="auto"/>
        <w:jc w:val="both"/>
        <w:rPr>
          <w:rFonts w:ascii="Century" w:hAnsi="Century" w:cs="FrankRuehl"/>
          <w:spacing w:val="10"/>
          <w:szCs w:val="28"/>
          <w:rtl/>
        </w:rPr>
      </w:pPr>
      <w:r w:rsidRPr="00BE2DC7">
        <w:rPr>
          <w:rFonts w:ascii="Century" w:hAnsi="Century" w:cs="FrankRuehl"/>
          <w:spacing w:val="10"/>
          <w:szCs w:val="28"/>
          <w:rtl/>
        </w:rPr>
        <w:t xml:space="preserve"> </w:t>
      </w:r>
    </w:p>
    <w:p w:rsidR="00A01E7C" w:rsidRDefault="00A01E7C" w:rsidP="00A01E7C">
      <w:pPr>
        <w:spacing w:line="360" w:lineRule="auto"/>
        <w:ind w:firstLine="720"/>
        <w:jc w:val="both"/>
        <w:rPr>
          <w:rFonts w:ascii="Century" w:hAnsi="Century" w:cs="FrankRuehl"/>
          <w:spacing w:val="10"/>
          <w:szCs w:val="28"/>
          <w:rtl/>
        </w:rPr>
      </w:pPr>
      <w:r>
        <w:rPr>
          <w:rFonts w:ascii="Century" w:hAnsi="Century" w:cs="FrankRuehl" w:hint="cs"/>
          <w:spacing w:val="10"/>
          <w:szCs w:val="28"/>
          <w:rtl/>
        </w:rPr>
        <w:t xml:space="preserve">השופטים אשר סבורים כי הכנסת מוגבלת בסמכותה, נבדלים אלה מאלה </w:t>
      </w:r>
      <w:r w:rsidRPr="00BE2DC7">
        <w:rPr>
          <w:rFonts w:ascii="Century" w:hAnsi="Century" w:cs="FrankRuehl"/>
          <w:spacing w:val="10"/>
          <w:szCs w:val="28"/>
          <w:rtl/>
        </w:rPr>
        <w:t xml:space="preserve">בשאלה האם המקור להגבלה הוא </w:t>
      </w:r>
      <w:r>
        <w:rPr>
          <w:rFonts w:ascii="Century" w:hAnsi="Century" w:cs="FrankRuehl" w:hint="cs"/>
          <w:spacing w:val="10"/>
          <w:szCs w:val="28"/>
          <w:rtl/>
        </w:rPr>
        <w:t>הדרישות הכלליות שהותוו</w:t>
      </w:r>
      <w:r w:rsidRPr="00BE2DC7">
        <w:rPr>
          <w:rFonts w:ascii="Century" w:hAnsi="Century" w:cs="FrankRuehl"/>
          <w:spacing w:val="10"/>
          <w:szCs w:val="28"/>
          <w:rtl/>
        </w:rPr>
        <w:t xml:space="preserve"> במגילת העצמאות</w:t>
      </w:r>
      <w:r>
        <w:rPr>
          <w:rFonts w:ascii="Century" w:hAnsi="Century" w:cs="FrankRuehl" w:hint="cs"/>
          <w:spacing w:val="10"/>
          <w:szCs w:val="28"/>
          <w:rtl/>
        </w:rPr>
        <w:t xml:space="preserve"> (</w:t>
      </w:r>
      <w:r w:rsidRPr="00BE2DC7">
        <w:rPr>
          <w:rFonts w:ascii="Century" w:hAnsi="Century" w:cs="FrankRuehl"/>
          <w:spacing w:val="10"/>
          <w:szCs w:val="28"/>
          <w:rtl/>
        </w:rPr>
        <w:t>כפי</w:t>
      </w:r>
      <w:r>
        <w:rPr>
          <w:rFonts w:ascii="Century" w:hAnsi="Century" w:cs="FrankRuehl" w:hint="cs"/>
          <w:spacing w:val="10"/>
          <w:szCs w:val="28"/>
          <w:rtl/>
        </w:rPr>
        <w:t xml:space="preserve"> </w:t>
      </w:r>
      <w:r w:rsidRPr="00BE2DC7">
        <w:rPr>
          <w:rFonts w:ascii="Century" w:hAnsi="Century" w:cs="FrankRuehl"/>
          <w:spacing w:val="10"/>
          <w:szCs w:val="28"/>
          <w:rtl/>
        </w:rPr>
        <w:t xml:space="preserve">שקובע </w:t>
      </w:r>
      <w:r>
        <w:rPr>
          <w:rFonts w:ascii="Century" w:hAnsi="Century" w:cs="FrankRuehl" w:hint="cs"/>
          <w:spacing w:val="10"/>
          <w:szCs w:val="28"/>
          <w:rtl/>
        </w:rPr>
        <w:t xml:space="preserve">למשל השופט </w:t>
      </w:r>
      <w:r w:rsidRPr="00BE2DC7">
        <w:rPr>
          <w:rFonts w:ascii="Century" w:hAnsi="Century" w:cs="Miriam"/>
          <w:b/>
          <w:rtl/>
        </w:rPr>
        <w:t>שטיין</w:t>
      </w:r>
      <w:r w:rsidRPr="00D170F5">
        <w:rPr>
          <w:rFonts w:ascii="Century" w:hAnsi="Century" w:cs="FrankRuehl"/>
          <w:spacing w:val="10"/>
          <w:szCs w:val="28"/>
          <w:rtl/>
        </w:rPr>
        <w:t>)</w:t>
      </w:r>
      <w:r w:rsidRPr="00BE2DC7">
        <w:rPr>
          <w:rFonts w:ascii="Century" w:hAnsi="Century" w:cs="FrankRuehl"/>
          <w:spacing w:val="10"/>
          <w:szCs w:val="28"/>
          <w:rtl/>
        </w:rPr>
        <w:t>; או שמא ההגבלה נובעת מ"</w:t>
      </w:r>
      <w:r w:rsidRPr="00BE2DC7">
        <w:rPr>
          <w:rFonts w:ascii="Century" w:hAnsi="Century" w:cs="Miriam"/>
          <w:b/>
          <w:rtl/>
        </w:rPr>
        <w:t>תפיסות יסוד</w:t>
      </w:r>
      <w:r w:rsidRPr="00BE2DC7">
        <w:rPr>
          <w:rFonts w:ascii="Century" w:hAnsi="Century" w:cs="FrankRuehl"/>
          <w:spacing w:val="10"/>
          <w:szCs w:val="28"/>
          <w:rtl/>
        </w:rPr>
        <w:t>" ו</w:t>
      </w:r>
      <w:r>
        <w:rPr>
          <w:rFonts w:ascii="Century" w:hAnsi="Century" w:cs="FrankRuehl" w:hint="cs"/>
          <w:spacing w:val="10"/>
          <w:szCs w:val="28"/>
          <w:rtl/>
        </w:rPr>
        <w:t>מ"</w:t>
      </w:r>
      <w:r w:rsidRPr="00BE2DC7">
        <w:rPr>
          <w:rFonts w:ascii="Century" w:hAnsi="Century" w:cs="Miriam"/>
          <w:b/>
          <w:rtl/>
        </w:rPr>
        <w:t>מאפייני זהות גרעיניים</w:t>
      </w:r>
      <w:r w:rsidRPr="00BE2DC7">
        <w:rPr>
          <w:rFonts w:ascii="Century" w:hAnsi="Century" w:cs="FrankRuehl"/>
          <w:spacing w:val="10"/>
          <w:szCs w:val="28"/>
          <w:rtl/>
        </w:rPr>
        <w:t>" של מדינ</w:t>
      </w:r>
      <w:r>
        <w:rPr>
          <w:rFonts w:ascii="Century" w:hAnsi="Century" w:cs="FrankRuehl" w:hint="cs"/>
          <w:spacing w:val="10"/>
          <w:szCs w:val="28"/>
          <w:rtl/>
        </w:rPr>
        <w:t>ת ישראל כיהודית ודמוקרטית, הנלמדים "</w:t>
      </w:r>
      <w:r w:rsidRPr="00BE2DC7">
        <w:rPr>
          <w:rFonts w:ascii="Century" w:hAnsi="Century" w:cs="Miriam" w:hint="eastAsia"/>
          <w:b/>
          <w:rtl/>
        </w:rPr>
        <w:t>מהטקסט</w:t>
      </w:r>
      <w:r w:rsidRPr="00BE2DC7">
        <w:rPr>
          <w:rFonts w:ascii="Century" w:hAnsi="Century" w:cs="Miriam"/>
          <w:b/>
          <w:rtl/>
        </w:rPr>
        <w:t xml:space="preserve"> </w:t>
      </w:r>
      <w:r w:rsidRPr="00BE2DC7">
        <w:rPr>
          <w:rFonts w:ascii="Century" w:hAnsi="Century" w:cs="Miriam" w:hint="eastAsia"/>
          <w:b/>
          <w:rtl/>
        </w:rPr>
        <w:t>החוקתי</w:t>
      </w:r>
      <w:r w:rsidRPr="00BE2DC7">
        <w:rPr>
          <w:rFonts w:ascii="Century" w:hAnsi="Century" w:cs="Miriam"/>
          <w:b/>
          <w:rtl/>
        </w:rPr>
        <w:t xml:space="preserve"> </w:t>
      </w:r>
      <w:r w:rsidRPr="00BE2DC7">
        <w:rPr>
          <w:rFonts w:ascii="Century" w:hAnsi="Century" w:cs="Miriam" w:hint="eastAsia"/>
          <w:b/>
          <w:rtl/>
        </w:rPr>
        <w:t>ומהמערך</w:t>
      </w:r>
      <w:r w:rsidRPr="00BE2DC7">
        <w:rPr>
          <w:rFonts w:ascii="Century" w:hAnsi="Century" w:cs="Miriam"/>
          <w:b/>
          <w:rtl/>
        </w:rPr>
        <w:t xml:space="preserve"> </w:t>
      </w:r>
      <w:r w:rsidRPr="00BE2DC7">
        <w:rPr>
          <w:rFonts w:ascii="Century" w:hAnsi="Century" w:cs="Miriam" w:hint="eastAsia"/>
          <w:b/>
          <w:rtl/>
        </w:rPr>
        <w:t>החוקתי</w:t>
      </w:r>
      <w:r w:rsidRPr="00BE2DC7">
        <w:rPr>
          <w:rFonts w:ascii="Century" w:hAnsi="Century" w:cs="Miriam"/>
          <w:b/>
          <w:rtl/>
        </w:rPr>
        <w:t xml:space="preserve"> </w:t>
      </w:r>
      <w:r w:rsidRPr="00BE2DC7">
        <w:rPr>
          <w:rFonts w:ascii="Century" w:hAnsi="Century" w:cs="Miriam" w:hint="eastAsia"/>
          <w:b/>
          <w:rtl/>
        </w:rPr>
        <w:t>בכללותו</w:t>
      </w:r>
      <w:r w:rsidRPr="00BE2DC7">
        <w:rPr>
          <w:rFonts w:ascii="Century" w:hAnsi="Century" w:cs="Miriam"/>
          <w:b/>
          <w:rtl/>
        </w:rPr>
        <w:t xml:space="preserve">, </w:t>
      </w:r>
      <w:r w:rsidRPr="00BE2DC7">
        <w:rPr>
          <w:rFonts w:ascii="Century" w:hAnsi="Century" w:cs="Miriam" w:hint="eastAsia"/>
          <w:b/>
          <w:rtl/>
        </w:rPr>
        <w:t>כפי</w:t>
      </w:r>
      <w:r w:rsidRPr="00BE2DC7">
        <w:rPr>
          <w:rFonts w:ascii="Century" w:hAnsi="Century" w:cs="Miriam"/>
          <w:b/>
          <w:rtl/>
        </w:rPr>
        <w:t xml:space="preserve"> </w:t>
      </w:r>
      <w:r w:rsidRPr="00BE2DC7">
        <w:rPr>
          <w:rFonts w:ascii="Century" w:hAnsi="Century" w:cs="Miriam" w:hint="eastAsia"/>
          <w:b/>
          <w:rtl/>
        </w:rPr>
        <w:t>שהתפתחו</w:t>
      </w:r>
      <w:r w:rsidRPr="00BE2DC7">
        <w:rPr>
          <w:rFonts w:ascii="Century" w:hAnsi="Century" w:cs="Miriam"/>
          <w:b/>
          <w:rtl/>
        </w:rPr>
        <w:t xml:space="preserve"> </w:t>
      </w:r>
      <w:r w:rsidRPr="00BE2DC7">
        <w:rPr>
          <w:rFonts w:ascii="Century" w:hAnsi="Century" w:cs="Miriam" w:hint="eastAsia"/>
          <w:b/>
          <w:rtl/>
        </w:rPr>
        <w:t>מימיה</w:t>
      </w:r>
      <w:r w:rsidRPr="00BE2DC7">
        <w:rPr>
          <w:rFonts w:ascii="Century" w:hAnsi="Century" w:cs="Miriam"/>
          <w:b/>
          <w:rtl/>
        </w:rPr>
        <w:t xml:space="preserve"> </w:t>
      </w:r>
      <w:r w:rsidRPr="00BE2DC7">
        <w:rPr>
          <w:rFonts w:ascii="Century" w:hAnsi="Century" w:cs="Miriam" w:hint="eastAsia"/>
          <w:b/>
          <w:rtl/>
        </w:rPr>
        <w:t>הראשוני</w:t>
      </w:r>
      <w:r>
        <w:rPr>
          <w:rFonts w:ascii="Century" w:hAnsi="Century" w:cs="Miriam" w:hint="cs"/>
          <w:b/>
          <w:rtl/>
        </w:rPr>
        <w:t>ם</w:t>
      </w:r>
      <w:r w:rsidRPr="00BE2DC7">
        <w:rPr>
          <w:rFonts w:ascii="Century" w:hAnsi="Century" w:cs="Miriam"/>
          <w:b/>
          <w:rtl/>
        </w:rPr>
        <w:t xml:space="preserve"> </w:t>
      </w:r>
      <w:r w:rsidRPr="00BE2DC7">
        <w:rPr>
          <w:rFonts w:ascii="Century" w:hAnsi="Century" w:cs="Miriam" w:hint="eastAsia"/>
          <w:b/>
          <w:rtl/>
        </w:rPr>
        <w:t>של</w:t>
      </w:r>
      <w:r w:rsidRPr="00BE2DC7">
        <w:rPr>
          <w:rFonts w:ascii="Century" w:hAnsi="Century" w:cs="Miriam"/>
          <w:b/>
          <w:rtl/>
        </w:rPr>
        <w:t xml:space="preserve"> </w:t>
      </w:r>
      <w:r w:rsidRPr="00BE2DC7">
        <w:rPr>
          <w:rFonts w:ascii="Century" w:hAnsi="Century" w:cs="Miriam" w:hint="eastAsia"/>
          <w:b/>
          <w:rtl/>
        </w:rPr>
        <w:t>המדינה</w:t>
      </w:r>
      <w:r>
        <w:rPr>
          <w:rFonts w:ascii="Century" w:hAnsi="Century" w:cs="FrankRuehl" w:hint="cs"/>
          <w:spacing w:val="10"/>
          <w:szCs w:val="28"/>
          <w:rtl/>
        </w:rPr>
        <w:t xml:space="preserve">", כאשר אחד המקורות לאיתורם של מאפיינים אלה הוא מגילת העצמאות (כפי שסבורה הנשיאה (בדימ') </w:t>
      </w:r>
      <w:r w:rsidRPr="00BE2DC7">
        <w:rPr>
          <w:rFonts w:ascii="Century" w:hAnsi="Century" w:cs="Miriam" w:hint="eastAsia"/>
          <w:b/>
          <w:rtl/>
        </w:rPr>
        <w:t>חיות</w:t>
      </w:r>
      <w:r>
        <w:rPr>
          <w:rFonts w:ascii="Century" w:hAnsi="Century" w:cs="FrankRuehl" w:hint="cs"/>
          <w:spacing w:val="10"/>
          <w:szCs w:val="28"/>
          <w:rtl/>
        </w:rPr>
        <w:t>, ראו פסקה 65 לחוות דעתה).</w:t>
      </w:r>
      <w:r w:rsidRPr="00BE2DC7">
        <w:rPr>
          <w:rFonts w:ascii="Century" w:hAnsi="Century" w:cs="FrankRuehl"/>
          <w:spacing w:val="10"/>
          <w:szCs w:val="28"/>
          <w:rtl/>
        </w:rPr>
        <w:t xml:space="preserve"> </w:t>
      </w:r>
      <w:r>
        <w:rPr>
          <w:rFonts w:ascii="Century" w:hAnsi="Century" w:cs="FrankRuehl" w:hint="cs"/>
          <w:spacing w:val="10"/>
          <w:szCs w:val="28"/>
          <w:rtl/>
        </w:rPr>
        <w:t>אינני סבורה כי</w:t>
      </w:r>
      <w:r w:rsidRPr="00BE2DC7">
        <w:rPr>
          <w:rFonts w:ascii="Century" w:hAnsi="Century" w:cs="FrankRuehl"/>
          <w:spacing w:val="10"/>
          <w:szCs w:val="28"/>
          <w:rtl/>
        </w:rPr>
        <w:t xml:space="preserve"> יש הכרח להכריע בשאלה זו במסגרת הדיון הנוכחי</w:t>
      </w:r>
      <w:r>
        <w:rPr>
          <w:rFonts w:ascii="Century" w:hAnsi="Century" w:cs="FrankRuehl" w:hint="cs"/>
          <w:spacing w:val="10"/>
          <w:szCs w:val="28"/>
          <w:rtl/>
        </w:rPr>
        <w:t>. זאת מאחר ש</w:t>
      </w:r>
      <w:r w:rsidRPr="00BE2DC7">
        <w:rPr>
          <w:rFonts w:ascii="Century" w:hAnsi="Century" w:cs="FrankRuehl"/>
          <w:spacing w:val="10"/>
          <w:szCs w:val="28"/>
          <w:rtl/>
        </w:rPr>
        <w:t xml:space="preserve">בסופו של דבר </w:t>
      </w:r>
      <w:r>
        <w:rPr>
          <w:rFonts w:ascii="Century" w:hAnsi="Century" w:cs="FrankRuehl" w:hint="cs"/>
          <w:spacing w:val="10"/>
          <w:szCs w:val="28"/>
          <w:rtl/>
        </w:rPr>
        <w:t xml:space="preserve">בהתאם לשתי הגישות הללו המסקנה היא כי ישנן מגבלות </w:t>
      </w:r>
      <w:r w:rsidRPr="00BE2DC7">
        <w:rPr>
          <w:rFonts w:ascii="Century" w:hAnsi="Century" w:cs="FrankRuehl"/>
          <w:spacing w:val="10"/>
          <w:szCs w:val="28"/>
          <w:rtl/>
        </w:rPr>
        <w:t>המוטלות על הכנסת כרשות מכוננת</w:t>
      </w:r>
      <w:r>
        <w:rPr>
          <w:rFonts w:ascii="Century" w:hAnsi="Century" w:cs="FrankRuehl" w:hint="cs"/>
          <w:spacing w:val="10"/>
          <w:szCs w:val="28"/>
          <w:rtl/>
        </w:rPr>
        <w:t xml:space="preserve">, לפיהן </w:t>
      </w:r>
      <w:r w:rsidRPr="00BE2DC7">
        <w:rPr>
          <w:rFonts w:ascii="Century" w:hAnsi="Century" w:cs="FrankRuehl"/>
          <w:spacing w:val="10"/>
          <w:szCs w:val="28"/>
          <w:rtl/>
        </w:rPr>
        <w:t>הכנסת אינה מוסמכת ל</w:t>
      </w:r>
      <w:r>
        <w:rPr>
          <w:rFonts w:ascii="Century" w:hAnsi="Century" w:cs="FrankRuehl" w:hint="cs"/>
          <w:spacing w:val="10"/>
          <w:szCs w:val="28"/>
          <w:rtl/>
        </w:rPr>
        <w:t>פגוע</w:t>
      </w:r>
      <w:r w:rsidRPr="00BE2DC7">
        <w:rPr>
          <w:rFonts w:ascii="Century" w:hAnsi="Century" w:cs="FrankRuehl"/>
          <w:spacing w:val="10"/>
          <w:szCs w:val="28"/>
          <w:rtl/>
        </w:rPr>
        <w:t xml:space="preserve"> </w:t>
      </w:r>
      <w:r>
        <w:rPr>
          <w:rFonts w:ascii="Century" w:hAnsi="Century" w:cs="FrankRuehl" w:hint="cs"/>
          <w:spacing w:val="10"/>
          <w:szCs w:val="28"/>
          <w:rtl/>
        </w:rPr>
        <w:t>באופייה</w:t>
      </w:r>
      <w:r w:rsidRPr="00BE2DC7">
        <w:rPr>
          <w:rFonts w:ascii="Century" w:hAnsi="Century" w:cs="FrankRuehl"/>
          <w:spacing w:val="10"/>
          <w:szCs w:val="28"/>
          <w:rtl/>
        </w:rPr>
        <w:t xml:space="preserve"> של ישראל </w:t>
      </w:r>
      <w:r>
        <w:rPr>
          <w:rFonts w:ascii="Century" w:hAnsi="Century" w:cs="FrankRuehl" w:hint="cs"/>
          <w:spacing w:val="10"/>
          <w:szCs w:val="28"/>
          <w:rtl/>
        </w:rPr>
        <w:t>כ</w:t>
      </w:r>
      <w:r w:rsidRPr="00BE2DC7">
        <w:rPr>
          <w:rFonts w:ascii="Century" w:hAnsi="Century" w:cs="FrankRuehl"/>
          <w:spacing w:val="10"/>
          <w:szCs w:val="28"/>
          <w:rtl/>
        </w:rPr>
        <w:t xml:space="preserve">מדינה יהודית ודמוקרטית. </w:t>
      </w:r>
      <w:r>
        <w:rPr>
          <w:rFonts w:ascii="Century" w:hAnsi="Century" w:cs="FrankRuehl" w:hint="cs"/>
          <w:spacing w:val="10"/>
          <w:szCs w:val="28"/>
          <w:rtl/>
        </w:rPr>
        <w:t xml:space="preserve">מסקנה זו מקובלת אף עלי. </w:t>
      </w:r>
    </w:p>
    <w:p w:rsidR="00A01E7C" w:rsidRDefault="00A01E7C" w:rsidP="00A01E7C">
      <w:pPr>
        <w:spacing w:line="360" w:lineRule="auto"/>
        <w:ind w:firstLine="720"/>
        <w:jc w:val="both"/>
        <w:rPr>
          <w:rFonts w:ascii="Century" w:hAnsi="Century" w:cs="FrankRuehl"/>
          <w:spacing w:val="10"/>
          <w:szCs w:val="28"/>
          <w:rtl/>
        </w:rPr>
      </w:pPr>
    </w:p>
    <w:p w:rsidR="00A01E7C" w:rsidRDefault="00A01E7C" w:rsidP="00A01E7C">
      <w:pPr>
        <w:spacing w:line="360" w:lineRule="auto"/>
        <w:ind w:firstLine="720"/>
        <w:jc w:val="both"/>
        <w:rPr>
          <w:rFonts w:ascii="Century" w:hAnsi="Century" w:cs="FrankRuehl"/>
          <w:spacing w:val="10"/>
          <w:szCs w:val="28"/>
          <w:rtl/>
        </w:rPr>
      </w:pPr>
      <w:r w:rsidRPr="00BE2DC7">
        <w:rPr>
          <w:rFonts w:ascii="Century" w:hAnsi="Century" w:cs="FrankRuehl" w:hint="eastAsia"/>
          <w:spacing w:val="10"/>
          <w:szCs w:val="28"/>
          <w:rtl/>
        </w:rPr>
        <w:t>די</w:t>
      </w:r>
      <w:r w:rsidRPr="00BE2DC7">
        <w:rPr>
          <w:rFonts w:ascii="Century" w:hAnsi="Century" w:cs="FrankRuehl"/>
          <w:spacing w:val="10"/>
          <w:szCs w:val="28"/>
          <w:rtl/>
        </w:rPr>
        <w:t xml:space="preserve"> </w:t>
      </w:r>
      <w:r w:rsidRPr="00BE2DC7">
        <w:rPr>
          <w:rFonts w:ascii="Century" w:hAnsi="Century" w:cs="FrankRuehl" w:hint="eastAsia"/>
          <w:spacing w:val="10"/>
          <w:szCs w:val="28"/>
          <w:rtl/>
        </w:rPr>
        <w:t>אם</w:t>
      </w:r>
      <w:r w:rsidRPr="00BE2DC7">
        <w:rPr>
          <w:rFonts w:ascii="Century" w:hAnsi="Century" w:cs="FrankRuehl"/>
          <w:spacing w:val="10"/>
          <w:szCs w:val="28"/>
          <w:rtl/>
        </w:rPr>
        <w:t xml:space="preserve"> </w:t>
      </w:r>
      <w:r w:rsidRPr="00BE2DC7">
        <w:rPr>
          <w:rFonts w:ascii="Century" w:hAnsi="Century" w:cs="FrankRuehl" w:hint="eastAsia"/>
          <w:spacing w:val="10"/>
          <w:szCs w:val="28"/>
          <w:rtl/>
        </w:rPr>
        <w:t>נאמר</w:t>
      </w:r>
      <w:r w:rsidRPr="00BE2DC7">
        <w:rPr>
          <w:rFonts w:ascii="Century" w:hAnsi="Century" w:cs="FrankRuehl"/>
          <w:spacing w:val="10"/>
          <w:szCs w:val="28"/>
          <w:rtl/>
        </w:rPr>
        <w:t xml:space="preserve"> </w:t>
      </w:r>
      <w:r w:rsidRPr="00BE2DC7">
        <w:rPr>
          <w:rFonts w:ascii="Century" w:hAnsi="Century" w:cs="FrankRuehl" w:hint="eastAsia"/>
          <w:spacing w:val="10"/>
          <w:szCs w:val="28"/>
          <w:rtl/>
        </w:rPr>
        <w:t>בהקשר</w:t>
      </w:r>
      <w:r w:rsidRPr="00BE2DC7">
        <w:rPr>
          <w:rFonts w:ascii="Century" w:hAnsi="Century" w:cs="FrankRuehl"/>
          <w:spacing w:val="10"/>
          <w:szCs w:val="28"/>
          <w:rtl/>
        </w:rPr>
        <w:t xml:space="preserve"> </w:t>
      </w:r>
      <w:r w:rsidRPr="00BE2DC7">
        <w:rPr>
          <w:rFonts w:ascii="Century" w:hAnsi="Century" w:cs="FrankRuehl" w:hint="eastAsia"/>
          <w:spacing w:val="10"/>
          <w:szCs w:val="28"/>
          <w:rtl/>
        </w:rPr>
        <w:t>זה</w:t>
      </w:r>
      <w:r>
        <w:rPr>
          <w:rFonts w:ascii="Century" w:hAnsi="Century" w:cs="FrankRuehl" w:hint="cs"/>
          <w:spacing w:val="10"/>
          <w:szCs w:val="28"/>
          <w:rtl/>
        </w:rPr>
        <w:t xml:space="preserve"> </w:t>
      </w:r>
      <w:r w:rsidRPr="00BE2DC7">
        <w:rPr>
          <w:rFonts w:ascii="Century" w:hAnsi="Century" w:cs="FrankRuehl" w:hint="eastAsia"/>
          <w:spacing w:val="10"/>
          <w:szCs w:val="28"/>
          <w:rtl/>
        </w:rPr>
        <w:t>כי</w:t>
      </w:r>
      <w:r w:rsidRPr="00BE2DC7">
        <w:rPr>
          <w:rFonts w:ascii="Century" w:hAnsi="Century" w:cs="FrankRuehl"/>
          <w:spacing w:val="10"/>
          <w:szCs w:val="28"/>
          <w:rtl/>
        </w:rPr>
        <w:t xml:space="preserve"> </w:t>
      </w:r>
      <w:r>
        <w:rPr>
          <w:rFonts w:ascii="Century" w:hAnsi="Century" w:cs="FrankRuehl" w:hint="cs"/>
          <w:spacing w:val="10"/>
          <w:szCs w:val="28"/>
          <w:rtl/>
        </w:rPr>
        <w:t xml:space="preserve">מאפיינים אלה </w:t>
      </w:r>
      <w:r>
        <w:rPr>
          <w:rFonts w:ascii="Century" w:hAnsi="Century" w:cs="FrankRuehl"/>
          <w:spacing w:val="10"/>
          <w:szCs w:val="28"/>
          <w:rtl/>
        </w:rPr>
        <w:t>–</w:t>
      </w:r>
      <w:r>
        <w:rPr>
          <w:rFonts w:ascii="Century" w:hAnsi="Century" w:cs="FrankRuehl" w:hint="cs"/>
          <w:spacing w:val="10"/>
          <w:szCs w:val="28"/>
          <w:rtl/>
        </w:rPr>
        <w:t xml:space="preserve"> היהודי והדמוקרטי </w:t>
      </w:r>
      <w:r>
        <w:rPr>
          <w:rFonts w:ascii="Century" w:hAnsi="Century" w:cs="FrankRuehl"/>
          <w:spacing w:val="10"/>
          <w:szCs w:val="28"/>
          <w:rtl/>
        </w:rPr>
        <w:t>–</w:t>
      </w:r>
      <w:r>
        <w:rPr>
          <w:rFonts w:ascii="Century" w:hAnsi="Century" w:cs="FrankRuehl" w:hint="cs"/>
          <w:spacing w:val="10"/>
          <w:szCs w:val="28"/>
          <w:rtl/>
        </w:rPr>
        <w:t xml:space="preserve"> הם </w:t>
      </w:r>
      <w:r w:rsidRPr="00BE2DC7">
        <w:rPr>
          <w:rFonts w:ascii="Century" w:hAnsi="Century" w:cs="FrankRuehl"/>
          <w:spacing w:val="10"/>
          <w:szCs w:val="28"/>
          <w:rtl/>
        </w:rPr>
        <w:t xml:space="preserve">שני </w:t>
      </w:r>
      <w:r w:rsidRPr="00BE2DC7">
        <w:rPr>
          <w:rFonts w:ascii="Century" w:hAnsi="Century" w:cs="FrankRuehl" w:hint="eastAsia"/>
          <w:spacing w:val="10"/>
          <w:szCs w:val="28"/>
          <w:rtl/>
        </w:rPr>
        <w:t>מאפייני</w:t>
      </w:r>
      <w:r w:rsidRPr="00BE2DC7">
        <w:rPr>
          <w:rFonts w:ascii="Century" w:hAnsi="Century" w:cs="FrankRuehl"/>
          <w:spacing w:val="10"/>
          <w:szCs w:val="28"/>
          <w:rtl/>
        </w:rPr>
        <w:t xml:space="preserve"> </w:t>
      </w:r>
      <w:r w:rsidRPr="00BE2DC7">
        <w:rPr>
          <w:rFonts w:ascii="Century" w:hAnsi="Century" w:cs="FrankRuehl" w:hint="eastAsia"/>
          <w:spacing w:val="10"/>
          <w:szCs w:val="28"/>
          <w:rtl/>
        </w:rPr>
        <w:t>הזהות</w:t>
      </w:r>
      <w:r w:rsidRPr="00BE2DC7">
        <w:rPr>
          <w:rFonts w:ascii="Century" w:hAnsi="Century" w:cs="FrankRuehl"/>
          <w:spacing w:val="10"/>
          <w:szCs w:val="28"/>
          <w:rtl/>
        </w:rPr>
        <w:t xml:space="preserve"> </w:t>
      </w:r>
      <w:r w:rsidRPr="00BE2DC7">
        <w:rPr>
          <w:rFonts w:ascii="Century" w:hAnsi="Century" w:cs="FrankRuehl" w:hint="eastAsia"/>
          <w:spacing w:val="10"/>
          <w:szCs w:val="28"/>
          <w:rtl/>
        </w:rPr>
        <w:t>הגרעיניים</w:t>
      </w:r>
      <w:r w:rsidRPr="00BE2DC7">
        <w:rPr>
          <w:rFonts w:ascii="Century" w:hAnsi="Century" w:cs="FrankRuehl"/>
          <w:spacing w:val="10"/>
          <w:szCs w:val="28"/>
          <w:rtl/>
        </w:rPr>
        <w:t xml:space="preserve"> </w:t>
      </w:r>
      <w:r w:rsidRPr="00BE2DC7">
        <w:rPr>
          <w:rFonts w:ascii="Century" w:hAnsi="Century" w:cs="FrankRuehl" w:hint="eastAsia"/>
          <w:spacing w:val="10"/>
          <w:szCs w:val="28"/>
          <w:rtl/>
        </w:rPr>
        <w:t>של</w:t>
      </w:r>
      <w:r w:rsidRPr="00BE2DC7">
        <w:rPr>
          <w:rFonts w:ascii="Century" w:hAnsi="Century" w:cs="FrankRuehl"/>
          <w:spacing w:val="10"/>
          <w:szCs w:val="28"/>
          <w:rtl/>
        </w:rPr>
        <w:t xml:space="preserve"> מדינת ישראל, </w:t>
      </w:r>
      <w:r w:rsidRPr="00BE2DC7">
        <w:rPr>
          <w:rFonts w:ascii="Century" w:hAnsi="Century" w:cs="FrankRuehl" w:hint="eastAsia"/>
          <w:spacing w:val="10"/>
          <w:szCs w:val="28"/>
          <w:rtl/>
        </w:rPr>
        <w:t>אשר</w:t>
      </w:r>
      <w:r w:rsidRPr="00BE2DC7">
        <w:rPr>
          <w:rFonts w:ascii="Century" w:hAnsi="Century" w:cs="FrankRuehl"/>
          <w:spacing w:val="10"/>
          <w:szCs w:val="28"/>
          <w:rtl/>
        </w:rPr>
        <w:t xml:space="preserve"> </w:t>
      </w:r>
      <w:r>
        <w:rPr>
          <w:rFonts w:ascii="Century" w:hAnsi="Century" w:cs="FrankRuehl" w:hint="cs"/>
          <w:spacing w:val="10"/>
          <w:szCs w:val="28"/>
          <w:rtl/>
        </w:rPr>
        <w:t xml:space="preserve">הוכתבו כבר בראשית הדרך על ידי </w:t>
      </w:r>
      <w:r w:rsidRPr="00BE2DC7">
        <w:rPr>
          <w:rFonts w:ascii="Century" w:hAnsi="Century" w:cs="FrankRuehl" w:hint="eastAsia"/>
          <w:spacing w:val="10"/>
          <w:szCs w:val="28"/>
          <w:rtl/>
        </w:rPr>
        <w:t>מגילת</w:t>
      </w:r>
      <w:r w:rsidRPr="00BE2DC7">
        <w:rPr>
          <w:rFonts w:ascii="Century" w:hAnsi="Century" w:cs="FrankRuehl"/>
          <w:spacing w:val="10"/>
          <w:szCs w:val="28"/>
          <w:rtl/>
        </w:rPr>
        <w:t xml:space="preserve"> העצמאות </w:t>
      </w:r>
      <w:r>
        <w:rPr>
          <w:rFonts w:ascii="Century" w:hAnsi="Century" w:cs="FrankRuehl" w:hint="cs"/>
          <w:spacing w:val="10"/>
          <w:szCs w:val="28"/>
          <w:rtl/>
        </w:rPr>
        <w:t>וקנו להם שביתה ב</w:t>
      </w:r>
      <w:r w:rsidRPr="00BE2DC7">
        <w:rPr>
          <w:rFonts w:ascii="Century" w:hAnsi="Century" w:cs="FrankRuehl" w:hint="eastAsia"/>
          <w:spacing w:val="10"/>
          <w:szCs w:val="28"/>
          <w:rtl/>
        </w:rPr>
        <w:t>מערך</w:t>
      </w:r>
      <w:r w:rsidRPr="00BE2DC7">
        <w:rPr>
          <w:rFonts w:ascii="Century" w:hAnsi="Century" w:cs="FrankRuehl"/>
          <w:spacing w:val="10"/>
          <w:szCs w:val="28"/>
          <w:rtl/>
        </w:rPr>
        <w:t xml:space="preserve"> </w:t>
      </w:r>
      <w:r w:rsidRPr="00BE2DC7">
        <w:rPr>
          <w:rFonts w:ascii="Century" w:hAnsi="Century" w:cs="FrankRuehl" w:hint="eastAsia"/>
          <w:spacing w:val="10"/>
          <w:szCs w:val="28"/>
          <w:rtl/>
        </w:rPr>
        <w:t>החוקתי</w:t>
      </w:r>
      <w:r>
        <w:rPr>
          <w:rFonts w:ascii="Century" w:hAnsi="Century" w:cs="FrankRuehl" w:hint="cs"/>
          <w:spacing w:val="10"/>
          <w:szCs w:val="28"/>
          <w:rtl/>
        </w:rPr>
        <w:t xml:space="preserve"> הכולל</w:t>
      </w:r>
      <w:r w:rsidRPr="00BE2DC7">
        <w:rPr>
          <w:rFonts w:ascii="Century" w:hAnsi="Century" w:cs="FrankRuehl"/>
          <w:spacing w:val="10"/>
          <w:szCs w:val="28"/>
          <w:rtl/>
        </w:rPr>
        <w:t xml:space="preserve"> </w:t>
      </w:r>
      <w:r w:rsidRPr="00BE2DC7">
        <w:rPr>
          <w:rFonts w:ascii="Century" w:hAnsi="Century" w:cs="FrankRuehl" w:hint="eastAsia"/>
          <w:spacing w:val="10"/>
          <w:szCs w:val="28"/>
          <w:rtl/>
        </w:rPr>
        <w:t>המתהווה</w:t>
      </w:r>
      <w:r w:rsidRPr="00BE2DC7">
        <w:rPr>
          <w:rFonts w:ascii="Century" w:hAnsi="Century" w:cs="FrankRuehl"/>
          <w:spacing w:val="10"/>
          <w:szCs w:val="28"/>
          <w:rtl/>
        </w:rPr>
        <w:t xml:space="preserve"> במדינתנו</w:t>
      </w:r>
      <w:r>
        <w:rPr>
          <w:rFonts w:ascii="Century" w:hAnsi="Century" w:cs="FrankRuehl" w:hint="cs"/>
          <w:spacing w:val="10"/>
          <w:szCs w:val="28"/>
          <w:rtl/>
        </w:rPr>
        <w:t>. על כן, גם לטעמי</w:t>
      </w:r>
      <w:r w:rsidRPr="00BE2DC7">
        <w:rPr>
          <w:rFonts w:ascii="Century" w:hAnsi="Century" w:cs="FrankRuehl"/>
          <w:spacing w:val="10"/>
          <w:szCs w:val="28"/>
          <w:rtl/>
        </w:rPr>
        <w:t>, "</w:t>
      </w:r>
      <w:r w:rsidRPr="00BE2DC7">
        <w:rPr>
          <w:rFonts w:ascii="Century" w:hAnsi="Century" w:cs="Miriam" w:hint="eastAsia"/>
          <w:b/>
          <w:rtl/>
        </w:rPr>
        <w:t>שלילת</w:t>
      </w:r>
      <w:r w:rsidRPr="00BE2DC7">
        <w:rPr>
          <w:rFonts w:ascii="Century" w:hAnsi="Century" w:cs="Miriam"/>
          <w:b/>
          <w:rtl/>
        </w:rPr>
        <w:t xml:space="preserve"> איזה מהם מובילה להתמוטטות המבנה כולו</w:t>
      </w:r>
      <w:r w:rsidRPr="00BE2DC7">
        <w:rPr>
          <w:rFonts w:ascii="Century" w:hAnsi="Century" w:cs="FrankRuehl"/>
          <w:spacing w:val="10"/>
          <w:szCs w:val="28"/>
          <w:rtl/>
        </w:rPr>
        <w:t xml:space="preserve">" (ראו </w:t>
      </w:r>
      <w:r w:rsidRPr="00BE2DC7">
        <w:rPr>
          <w:rFonts w:ascii="Century" w:hAnsi="Century" w:cs="FrankRuehl" w:hint="eastAsia"/>
          <w:spacing w:val="10"/>
          <w:szCs w:val="28"/>
          <w:rtl/>
        </w:rPr>
        <w:t>פסקה</w:t>
      </w:r>
      <w:r w:rsidRPr="00BE2DC7">
        <w:rPr>
          <w:rFonts w:ascii="Century" w:hAnsi="Century" w:cs="FrankRuehl"/>
          <w:spacing w:val="10"/>
          <w:szCs w:val="28"/>
          <w:rtl/>
        </w:rPr>
        <w:t xml:space="preserve"> 64 </w:t>
      </w:r>
      <w:r w:rsidRPr="00BE2DC7">
        <w:rPr>
          <w:rFonts w:ascii="Century" w:hAnsi="Century" w:cs="FrankRuehl" w:hint="eastAsia"/>
          <w:spacing w:val="10"/>
          <w:szCs w:val="28"/>
          <w:rtl/>
        </w:rPr>
        <w:t>ל</w:t>
      </w:r>
      <w:r>
        <w:rPr>
          <w:rFonts w:ascii="Century" w:hAnsi="Century" w:cs="FrankRuehl" w:hint="cs"/>
          <w:spacing w:val="10"/>
          <w:szCs w:val="28"/>
          <w:rtl/>
        </w:rPr>
        <w:t>חוות</w:t>
      </w:r>
      <w:r w:rsidRPr="00BE2DC7">
        <w:rPr>
          <w:rFonts w:ascii="Century" w:hAnsi="Century" w:cs="FrankRuehl"/>
          <w:spacing w:val="10"/>
          <w:szCs w:val="28"/>
          <w:rtl/>
        </w:rPr>
        <w:t xml:space="preserve"> </w:t>
      </w:r>
      <w:r w:rsidRPr="00BE2DC7">
        <w:rPr>
          <w:rFonts w:ascii="Century" w:hAnsi="Century" w:cs="FrankRuehl" w:hint="eastAsia"/>
          <w:spacing w:val="10"/>
          <w:szCs w:val="28"/>
          <w:rtl/>
        </w:rPr>
        <w:t>ד</w:t>
      </w:r>
      <w:r>
        <w:rPr>
          <w:rFonts w:ascii="Century" w:hAnsi="Century" w:cs="FrankRuehl" w:hint="cs"/>
          <w:spacing w:val="10"/>
          <w:szCs w:val="28"/>
          <w:rtl/>
        </w:rPr>
        <w:t>עת</w:t>
      </w:r>
      <w:r w:rsidRPr="00BE2DC7">
        <w:rPr>
          <w:rFonts w:ascii="Century" w:hAnsi="Century" w:cs="FrankRuehl" w:hint="eastAsia"/>
          <w:spacing w:val="10"/>
          <w:szCs w:val="28"/>
          <w:rtl/>
        </w:rPr>
        <w:t>ה</w:t>
      </w:r>
      <w:r w:rsidRPr="00BE2DC7">
        <w:rPr>
          <w:rFonts w:ascii="Century" w:hAnsi="Century" w:cs="FrankRuehl"/>
          <w:spacing w:val="10"/>
          <w:szCs w:val="28"/>
          <w:rtl/>
        </w:rPr>
        <w:t xml:space="preserve"> </w:t>
      </w:r>
      <w:r w:rsidRPr="00BE2DC7">
        <w:rPr>
          <w:rFonts w:ascii="Century" w:hAnsi="Century" w:cs="FrankRuehl" w:hint="eastAsia"/>
          <w:spacing w:val="10"/>
          <w:szCs w:val="28"/>
          <w:rtl/>
        </w:rPr>
        <w:t>של</w:t>
      </w:r>
      <w:r w:rsidRPr="00BE2DC7">
        <w:rPr>
          <w:rFonts w:ascii="Century" w:hAnsi="Century" w:cs="FrankRuehl"/>
          <w:spacing w:val="10"/>
          <w:szCs w:val="28"/>
          <w:rtl/>
        </w:rPr>
        <w:t xml:space="preserve"> </w:t>
      </w:r>
      <w:r w:rsidRPr="00BE2DC7">
        <w:rPr>
          <w:rFonts w:ascii="Century" w:hAnsi="Century" w:cs="FrankRuehl" w:hint="eastAsia"/>
          <w:spacing w:val="10"/>
          <w:szCs w:val="28"/>
          <w:rtl/>
        </w:rPr>
        <w:t>הנשיאה</w:t>
      </w:r>
      <w:r w:rsidRPr="00BE2DC7">
        <w:rPr>
          <w:rFonts w:ascii="Century" w:hAnsi="Century" w:cs="FrankRuehl"/>
          <w:spacing w:val="10"/>
          <w:szCs w:val="28"/>
          <w:rtl/>
        </w:rPr>
        <w:t xml:space="preserve"> (</w:t>
      </w:r>
      <w:r w:rsidRPr="00BE2DC7">
        <w:rPr>
          <w:rFonts w:ascii="Century" w:hAnsi="Century" w:cs="FrankRuehl" w:hint="eastAsia"/>
          <w:spacing w:val="10"/>
          <w:szCs w:val="28"/>
          <w:rtl/>
        </w:rPr>
        <w:t>בדימ</w:t>
      </w:r>
      <w:r w:rsidRPr="00BE2DC7">
        <w:rPr>
          <w:rFonts w:ascii="Century" w:hAnsi="Century" w:cs="FrankRuehl"/>
          <w:spacing w:val="10"/>
          <w:szCs w:val="28"/>
          <w:rtl/>
        </w:rPr>
        <w:t xml:space="preserve">') </w:t>
      </w:r>
      <w:r w:rsidRPr="00BE2DC7">
        <w:rPr>
          <w:rFonts w:ascii="Century" w:hAnsi="Century" w:cs="Miriam" w:hint="eastAsia"/>
          <w:b/>
          <w:rtl/>
        </w:rPr>
        <w:t>חיות</w:t>
      </w:r>
      <w:r w:rsidRPr="00BE2DC7">
        <w:rPr>
          <w:rFonts w:ascii="Century" w:hAnsi="Century" w:cs="FrankRuehl"/>
          <w:spacing w:val="10"/>
          <w:szCs w:val="28"/>
          <w:rtl/>
        </w:rPr>
        <w:t xml:space="preserve">). </w:t>
      </w:r>
      <w:r>
        <w:rPr>
          <w:rFonts w:ascii="Century" w:hAnsi="Century" w:cs="FrankRuehl" w:hint="cs"/>
          <w:spacing w:val="10"/>
          <w:szCs w:val="28"/>
          <w:rtl/>
        </w:rPr>
        <w:t xml:space="preserve">במילים אחרות </w:t>
      </w:r>
      <w:r>
        <w:rPr>
          <w:rFonts w:ascii="Century" w:hAnsi="Century" w:cs="FrankRuehl"/>
          <w:spacing w:val="10"/>
          <w:szCs w:val="28"/>
          <w:rtl/>
        </w:rPr>
        <w:t>–</w:t>
      </w:r>
      <w:r>
        <w:rPr>
          <w:rFonts w:ascii="Century" w:hAnsi="Century" w:cs="FrankRuehl" w:hint="cs"/>
          <w:spacing w:val="10"/>
          <w:szCs w:val="28"/>
          <w:rtl/>
        </w:rPr>
        <w:t xml:space="preserve"> מדינת ישראל שאיננה יהודית או איננה דמוקרטית, איננה "מדינת ישראל" כפי שהוקמה וכפי שהתקיימה מאז ועד היום. </w:t>
      </w:r>
      <w:r w:rsidRPr="00BE2DC7">
        <w:rPr>
          <w:rFonts w:ascii="Century" w:hAnsi="Century" w:cs="FrankRuehl"/>
          <w:spacing w:val="10"/>
          <w:szCs w:val="28"/>
          <w:rtl/>
        </w:rPr>
        <w:t xml:space="preserve"> </w:t>
      </w:r>
    </w:p>
    <w:p w:rsidR="00A01E7C" w:rsidRPr="00BE2DC7" w:rsidRDefault="00A01E7C" w:rsidP="00A01E7C">
      <w:pPr>
        <w:spacing w:line="360" w:lineRule="auto"/>
        <w:ind w:firstLine="720"/>
        <w:jc w:val="both"/>
        <w:rPr>
          <w:rFonts w:ascii="Century" w:hAnsi="Century" w:cs="FrankRuehl"/>
          <w:spacing w:val="10"/>
          <w:szCs w:val="28"/>
          <w:rtl/>
        </w:rPr>
      </w:pPr>
    </w:p>
    <w:p w:rsidR="00A01E7C" w:rsidRDefault="00A01E7C" w:rsidP="00A01E7C">
      <w:pPr>
        <w:spacing w:line="360" w:lineRule="auto"/>
        <w:ind w:firstLine="720"/>
        <w:jc w:val="both"/>
        <w:rPr>
          <w:rFonts w:ascii="Century" w:hAnsi="Century" w:cs="FrankRuehl"/>
          <w:spacing w:val="10"/>
          <w:szCs w:val="28"/>
          <w:rtl/>
        </w:rPr>
      </w:pPr>
      <w:r w:rsidRPr="00BE2DC7">
        <w:rPr>
          <w:rFonts w:ascii="Century" w:hAnsi="Century" w:cs="FrankRuehl" w:hint="eastAsia"/>
          <w:spacing w:val="10"/>
          <w:szCs w:val="28"/>
          <w:rtl/>
        </w:rPr>
        <w:t>עמדתי</w:t>
      </w:r>
      <w:r w:rsidRPr="00BE2DC7">
        <w:rPr>
          <w:rFonts w:ascii="Century" w:hAnsi="Century" w:cs="FrankRuehl"/>
          <w:spacing w:val="10"/>
          <w:szCs w:val="28"/>
          <w:rtl/>
        </w:rPr>
        <w:t xml:space="preserve"> </w:t>
      </w:r>
      <w:r w:rsidRPr="00BE2DC7">
        <w:rPr>
          <w:rFonts w:ascii="Century" w:hAnsi="Century" w:cs="FrankRuehl" w:hint="eastAsia"/>
          <w:spacing w:val="10"/>
          <w:szCs w:val="28"/>
          <w:rtl/>
        </w:rPr>
        <w:t>היא</w:t>
      </w:r>
      <w:r w:rsidRPr="00BE2DC7">
        <w:rPr>
          <w:rFonts w:ascii="Century" w:hAnsi="Century" w:cs="FrankRuehl"/>
          <w:spacing w:val="10"/>
          <w:szCs w:val="28"/>
          <w:rtl/>
        </w:rPr>
        <w:t xml:space="preserve"> </w:t>
      </w:r>
      <w:r w:rsidRPr="00BE2DC7">
        <w:rPr>
          <w:rFonts w:ascii="Century" w:hAnsi="Century" w:cs="FrankRuehl" w:hint="eastAsia"/>
          <w:spacing w:val="10"/>
          <w:szCs w:val="28"/>
          <w:rtl/>
        </w:rPr>
        <w:t>אם</w:t>
      </w:r>
      <w:r w:rsidRPr="00BE2DC7">
        <w:rPr>
          <w:rFonts w:ascii="Century" w:hAnsi="Century" w:cs="FrankRuehl"/>
          <w:spacing w:val="10"/>
          <w:szCs w:val="28"/>
          <w:rtl/>
        </w:rPr>
        <w:t xml:space="preserve"> </w:t>
      </w:r>
      <w:r w:rsidRPr="00BE2DC7">
        <w:rPr>
          <w:rFonts w:ascii="Century" w:hAnsi="Century" w:cs="FrankRuehl" w:hint="eastAsia"/>
          <w:spacing w:val="10"/>
          <w:szCs w:val="28"/>
          <w:rtl/>
        </w:rPr>
        <w:t>כן</w:t>
      </w:r>
      <w:r w:rsidRPr="00BE2DC7">
        <w:rPr>
          <w:rFonts w:ascii="Century" w:hAnsi="Century" w:cs="FrankRuehl"/>
          <w:spacing w:val="10"/>
          <w:szCs w:val="28"/>
          <w:rtl/>
        </w:rPr>
        <w:t xml:space="preserve"> </w:t>
      </w:r>
      <w:r w:rsidRPr="00BE2DC7">
        <w:rPr>
          <w:rFonts w:ascii="Century" w:hAnsi="Century" w:cs="FrankRuehl" w:hint="eastAsia"/>
          <w:spacing w:val="10"/>
          <w:szCs w:val="28"/>
          <w:rtl/>
        </w:rPr>
        <w:t>כי</w:t>
      </w:r>
      <w:r w:rsidRPr="00BE2DC7">
        <w:rPr>
          <w:rFonts w:ascii="Century" w:hAnsi="Century" w:cs="FrankRuehl"/>
          <w:spacing w:val="10"/>
          <w:szCs w:val="28"/>
          <w:rtl/>
        </w:rPr>
        <w:t xml:space="preserve"> </w:t>
      </w:r>
      <w:r w:rsidRPr="00BE2DC7">
        <w:rPr>
          <w:rFonts w:ascii="Century" w:hAnsi="Century" w:cs="FrankRuehl" w:hint="eastAsia"/>
          <w:spacing w:val="10"/>
          <w:szCs w:val="28"/>
          <w:rtl/>
        </w:rPr>
        <w:t>הסמכות</w:t>
      </w:r>
      <w:r w:rsidRPr="00BE2DC7">
        <w:rPr>
          <w:rFonts w:ascii="Century" w:hAnsi="Century" w:cs="FrankRuehl"/>
          <w:spacing w:val="10"/>
          <w:szCs w:val="28"/>
          <w:rtl/>
        </w:rPr>
        <w:t xml:space="preserve"> </w:t>
      </w:r>
      <w:r w:rsidRPr="00BE2DC7">
        <w:rPr>
          <w:rFonts w:ascii="Century" w:hAnsi="Century" w:cs="FrankRuehl" w:hint="eastAsia"/>
          <w:spacing w:val="10"/>
          <w:szCs w:val="28"/>
          <w:rtl/>
        </w:rPr>
        <w:t>המכוננת</w:t>
      </w:r>
      <w:r w:rsidRPr="00BE2DC7">
        <w:rPr>
          <w:rFonts w:ascii="Century" w:hAnsi="Century" w:cs="FrankRuehl"/>
          <w:spacing w:val="10"/>
          <w:szCs w:val="28"/>
          <w:rtl/>
        </w:rPr>
        <w:t xml:space="preserve"> </w:t>
      </w:r>
      <w:r w:rsidRPr="00BE2DC7">
        <w:rPr>
          <w:rFonts w:ascii="Century" w:hAnsi="Century" w:cs="FrankRuehl" w:hint="eastAsia"/>
          <w:spacing w:val="10"/>
          <w:szCs w:val="28"/>
          <w:rtl/>
        </w:rPr>
        <w:t>של</w:t>
      </w:r>
      <w:r w:rsidRPr="00BE2DC7">
        <w:rPr>
          <w:rFonts w:ascii="Century" w:hAnsi="Century" w:cs="FrankRuehl"/>
          <w:spacing w:val="10"/>
          <w:szCs w:val="28"/>
          <w:rtl/>
        </w:rPr>
        <w:t xml:space="preserve"> </w:t>
      </w:r>
      <w:r w:rsidRPr="00BE2DC7">
        <w:rPr>
          <w:rFonts w:ascii="Century" w:hAnsi="Century" w:cs="FrankRuehl" w:hint="eastAsia"/>
          <w:spacing w:val="10"/>
          <w:szCs w:val="28"/>
          <w:rtl/>
        </w:rPr>
        <w:t>הכנסת</w:t>
      </w:r>
      <w:r w:rsidRPr="00BE2DC7">
        <w:rPr>
          <w:rFonts w:ascii="Century" w:hAnsi="Century" w:cs="FrankRuehl"/>
          <w:spacing w:val="10"/>
          <w:szCs w:val="28"/>
          <w:rtl/>
        </w:rPr>
        <w:t xml:space="preserve"> </w:t>
      </w:r>
      <w:r w:rsidRPr="00BE2DC7">
        <w:rPr>
          <w:rFonts w:ascii="Century" w:hAnsi="Century" w:cs="FrankRuehl" w:hint="eastAsia"/>
          <w:spacing w:val="10"/>
          <w:szCs w:val="28"/>
          <w:rtl/>
        </w:rPr>
        <w:t>אינה</w:t>
      </w:r>
      <w:r w:rsidRPr="00BE2DC7">
        <w:rPr>
          <w:rFonts w:ascii="Century" w:hAnsi="Century" w:cs="FrankRuehl"/>
          <w:spacing w:val="10"/>
          <w:szCs w:val="28"/>
          <w:rtl/>
        </w:rPr>
        <w:t xml:space="preserve"> </w:t>
      </w:r>
      <w:r w:rsidRPr="00BE2DC7">
        <w:rPr>
          <w:rFonts w:ascii="Century" w:hAnsi="Century" w:cs="FrankRuehl" w:hint="eastAsia"/>
          <w:spacing w:val="10"/>
          <w:szCs w:val="28"/>
          <w:rtl/>
        </w:rPr>
        <w:t>בלתי</w:t>
      </w:r>
      <w:r w:rsidRPr="00BE2DC7">
        <w:rPr>
          <w:rFonts w:ascii="Century" w:hAnsi="Century" w:cs="FrankRuehl"/>
          <w:spacing w:val="10"/>
          <w:szCs w:val="28"/>
          <w:rtl/>
        </w:rPr>
        <w:t xml:space="preserve"> </w:t>
      </w:r>
      <w:r w:rsidRPr="00BE2DC7">
        <w:rPr>
          <w:rFonts w:ascii="Century" w:hAnsi="Century" w:cs="FrankRuehl" w:hint="eastAsia"/>
          <w:spacing w:val="10"/>
          <w:szCs w:val="28"/>
          <w:rtl/>
        </w:rPr>
        <w:t>מוגבלת</w:t>
      </w:r>
      <w:r>
        <w:rPr>
          <w:rFonts w:ascii="Century" w:hAnsi="Century" w:cs="FrankRuehl" w:hint="cs"/>
          <w:spacing w:val="10"/>
          <w:szCs w:val="28"/>
          <w:rtl/>
        </w:rPr>
        <w:t xml:space="preserve">. כך, אין בכוחה של הכנסת גם בכובעה כרשות מכוננת, ועל אף שהיא נבחרה על ידי </w:t>
      </w:r>
      <w:r w:rsidRPr="00BE2DC7">
        <w:rPr>
          <w:rFonts w:ascii="Century" w:hAnsi="Century" w:cs="FrankRuehl" w:hint="eastAsia"/>
          <w:spacing w:val="10"/>
          <w:szCs w:val="28"/>
          <w:rtl/>
        </w:rPr>
        <w:t>רוב</w:t>
      </w:r>
      <w:r>
        <w:rPr>
          <w:rFonts w:ascii="Century" w:hAnsi="Century" w:cs="FrankRuehl" w:hint="cs"/>
          <w:spacing w:val="10"/>
          <w:szCs w:val="28"/>
          <w:rtl/>
        </w:rPr>
        <w:t xml:space="preserve"> העם,</w:t>
      </w:r>
      <w:r w:rsidRPr="00BE2DC7">
        <w:rPr>
          <w:rFonts w:ascii="Century" w:hAnsi="Century" w:cs="FrankRuehl"/>
          <w:spacing w:val="10"/>
          <w:szCs w:val="28"/>
          <w:rtl/>
        </w:rPr>
        <w:t xml:space="preserve"> </w:t>
      </w:r>
      <w:r w:rsidRPr="00BE2DC7">
        <w:rPr>
          <w:rFonts w:ascii="Century" w:hAnsi="Century" w:cs="FrankRuehl" w:hint="eastAsia"/>
          <w:spacing w:val="10"/>
          <w:szCs w:val="28"/>
          <w:rtl/>
        </w:rPr>
        <w:t>ל</w:t>
      </w:r>
      <w:r>
        <w:rPr>
          <w:rFonts w:ascii="Century" w:hAnsi="Century" w:cs="FrankRuehl" w:hint="cs"/>
          <w:spacing w:val="10"/>
          <w:szCs w:val="28"/>
          <w:rtl/>
        </w:rPr>
        <w:t xml:space="preserve">חוקק </w:t>
      </w:r>
      <w:r w:rsidRPr="00BE2DC7">
        <w:rPr>
          <w:rFonts w:ascii="Century" w:hAnsi="Century" w:cs="FrankRuehl" w:hint="eastAsia"/>
          <w:spacing w:val="10"/>
          <w:szCs w:val="28"/>
          <w:rtl/>
        </w:rPr>
        <w:t>ללא</w:t>
      </w:r>
      <w:r w:rsidRPr="00BE2DC7">
        <w:rPr>
          <w:rFonts w:ascii="Century" w:hAnsi="Century" w:cs="FrankRuehl"/>
          <w:spacing w:val="10"/>
          <w:szCs w:val="28"/>
          <w:rtl/>
        </w:rPr>
        <w:t xml:space="preserve"> כל מגבלה כל חוק יסוד </w:t>
      </w:r>
      <w:r w:rsidRPr="00BE2DC7">
        <w:rPr>
          <w:rFonts w:ascii="Century" w:hAnsi="Century" w:cs="FrankRuehl" w:hint="eastAsia"/>
          <w:spacing w:val="10"/>
          <w:szCs w:val="28"/>
          <w:rtl/>
        </w:rPr>
        <w:t>ש</w:t>
      </w:r>
      <w:r>
        <w:rPr>
          <w:rFonts w:ascii="Century" w:hAnsi="Century" w:cs="FrankRuehl" w:hint="cs"/>
          <w:spacing w:val="10"/>
          <w:szCs w:val="28"/>
          <w:rtl/>
        </w:rPr>
        <w:t>ת</w:t>
      </w:r>
      <w:r w:rsidRPr="00BE2DC7">
        <w:rPr>
          <w:rFonts w:ascii="Century" w:hAnsi="Century" w:cs="FrankRuehl" w:hint="eastAsia"/>
          <w:spacing w:val="10"/>
          <w:szCs w:val="28"/>
          <w:rtl/>
        </w:rPr>
        <w:t>מצא</w:t>
      </w:r>
      <w:r w:rsidRPr="00BE2DC7">
        <w:rPr>
          <w:rFonts w:ascii="Century" w:hAnsi="Century" w:cs="FrankRuehl"/>
          <w:spacing w:val="10"/>
          <w:szCs w:val="28"/>
          <w:rtl/>
        </w:rPr>
        <w:t xml:space="preserve"> </w:t>
      </w:r>
      <w:r w:rsidRPr="00BE2DC7">
        <w:rPr>
          <w:rFonts w:ascii="Century" w:hAnsi="Century" w:cs="FrankRuehl" w:hint="eastAsia"/>
          <w:spacing w:val="10"/>
          <w:szCs w:val="28"/>
          <w:rtl/>
        </w:rPr>
        <w:t>לנכון</w:t>
      </w:r>
      <w:r>
        <w:rPr>
          <w:rFonts w:ascii="Century" w:hAnsi="Century" w:cs="FrankRuehl" w:hint="cs"/>
          <w:spacing w:val="10"/>
          <w:szCs w:val="28"/>
          <w:rtl/>
        </w:rPr>
        <w:t>;</w:t>
      </w:r>
      <w:r w:rsidRPr="00BE2DC7">
        <w:rPr>
          <w:rFonts w:ascii="Century" w:hAnsi="Century" w:cs="FrankRuehl"/>
          <w:spacing w:val="10"/>
          <w:szCs w:val="28"/>
          <w:rtl/>
        </w:rPr>
        <w:t xml:space="preserve"> </w:t>
      </w:r>
      <w:r w:rsidRPr="00BE2DC7">
        <w:rPr>
          <w:rFonts w:ascii="Century" w:hAnsi="Century" w:cs="FrankRuehl" w:hint="eastAsia"/>
          <w:spacing w:val="10"/>
          <w:szCs w:val="28"/>
          <w:rtl/>
        </w:rPr>
        <w:t>וה</w:t>
      </w:r>
      <w:r>
        <w:rPr>
          <w:rFonts w:ascii="Century" w:hAnsi="Century" w:cs="FrankRuehl" w:hint="cs"/>
          <w:spacing w:val="10"/>
          <w:szCs w:val="28"/>
          <w:rtl/>
        </w:rPr>
        <w:t>י</w:t>
      </w:r>
      <w:r w:rsidRPr="00BE2DC7">
        <w:rPr>
          <w:rFonts w:ascii="Century" w:hAnsi="Century" w:cs="FrankRuehl" w:hint="eastAsia"/>
          <w:spacing w:val="10"/>
          <w:szCs w:val="28"/>
          <w:rtl/>
        </w:rPr>
        <w:t>א</w:t>
      </w:r>
      <w:r w:rsidRPr="00BE2DC7">
        <w:rPr>
          <w:rFonts w:ascii="Century" w:hAnsi="Century" w:cs="FrankRuehl"/>
          <w:spacing w:val="10"/>
          <w:szCs w:val="28"/>
          <w:rtl/>
        </w:rPr>
        <w:t xml:space="preserve"> </w:t>
      </w:r>
      <w:r w:rsidRPr="00BE2DC7">
        <w:rPr>
          <w:rFonts w:ascii="Century" w:hAnsi="Century" w:cs="FrankRuehl" w:hint="eastAsia"/>
          <w:spacing w:val="10"/>
          <w:szCs w:val="28"/>
          <w:rtl/>
        </w:rPr>
        <w:t>מוגבל</w:t>
      </w:r>
      <w:r>
        <w:rPr>
          <w:rFonts w:ascii="Century" w:hAnsi="Century" w:cs="FrankRuehl" w:hint="cs"/>
          <w:spacing w:val="10"/>
          <w:szCs w:val="28"/>
          <w:rtl/>
        </w:rPr>
        <w:t>ת</w:t>
      </w:r>
      <w:r w:rsidRPr="00BE2DC7">
        <w:rPr>
          <w:rFonts w:ascii="Century" w:hAnsi="Century" w:cs="FrankRuehl"/>
          <w:spacing w:val="10"/>
          <w:szCs w:val="28"/>
          <w:rtl/>
        </w:rPr>
        <w:t xml:space="preserve"> בכך שאסור </w:t>
      </w:r>
      <w:r w:rsidRPr="00BE2DC7">
        <w:rPr>
          <w:rFonts w:ascii="Century" w:hAnsi="Century" w:cs="FrankRuehl" w:hint="eastAsia"/>
          <w:spacing w:val="10"/>
          <w:szCs w:val="28"/>
          <w:rtl/>
        </w:rPr>
        <w:t>ל</w:t>
      </w:r>
      <w:r>
        <w:rPr>
          <w:rFonts w:ascii="Century" w:hAnsi="Century" w:cs="FrankRuehl" w:hint="cs"/>
          <w:spacing w:val="10"/>
          <w:szCs w:val="28"/>
          <w:rtl/>
        </w:rPr>
        <w:t>ה</w:t>
      </w:r>
      <w:r w:rsidRPr="00BE2DC7">
        <w:rPr>
          <w:rFonts w:ascii="Century" w:hAnsi="Century" w:cs="FrankRuehl"/>
          <w:spacing w:val="10"/>
          <w:szCs w:val="28"/>
          <w:rtl/>
        </w:rPr>
        <w:t xml:space="preserve"> </w:t>
      </w:r>
      <w:r w:rsidRPr="00BE2DC7">
        <w:rPr>
          <w:rFonts w:ascii="Century" w:hAnsi="Century" w:cs="FrankRuehl" w:hint="eastAsia"/>
          <w:spacing w:val="10"/>
          <w:szCs w:val="28"/>
          <w:rtl/>
        </w:rPr>
        <w:t>לפגוע</w:t>
      </w:r>
      <w:r w:rsidRPr="00BE2DC7">
        <w:rPr>
          <w:rFonts w:ascii="Century" w:hAnsi="Century" w:cs="FrankRuehl"/>
          <w:spacing w:val="10"/>
          <w:szCs w:val="28"/>
          <w:rtl/>
        </w:rPr>
        <w:t xml:space="preserve"> באופי היהודי והדמוקרטי של המדינה. </w:t>
      </w:r>
      <w:r w:rsidRPr="001959F6">
        <w:rPr>
          <w:rFonts w:ascii="Century" w:hAnsi="Century" w:cs="FrankRuehl" w:hint="eastAsia"/>
          <w:spacing w:val="10"/>
          <w:szCs w:val="28"/>
          <w:rtl/>
        </w:rPr>
        <w:t>השאלה</w:t>
      </w:r>
      <w:r w:rsidRPr="001959F6">
        <w:rPr>
          <w:rFonts w:ascii="Century" w:hAnsi="Century" w:cs="FrankRuehl"/>
          <w:spacing w:val="10"/>
          <w:szCs w:val="28"/>
          <w:rtl/>
        </w:rPr>
        <w:t xml:space="preserve"> </w:t>
      </w:r>
      <w:r w:rsidRPr="001959F6">
        <w:rPr>
          <w:rFonts w:ascii="Century" w:hAnsi="Century" w:cs="FrankRuehl" w:hint="eastAsia"/>
          <w:spacing w:val="10"/>
          <w:szCs w:val="28"/>
          <w:rtl/>
        </w:rPr>
        <w:t>איזה</w:t>
      </w:r>
      <w:r w:rsidRPr="001959F6">
        <w:rPr>
          <w:rFonts w:ascii="Century" w:hAnsi="Century" w:cs="FrankRuehl"/>
          <w:spacing w:val="10"/>
          <w:szCs w:val="28"/>
          <w:rtl/>
        </w:rPr>
        <w:t xml:space="preserve"> </w:t>
      </w:r>
      <w:r w:rsidRPr="001959F6">
        <w:rPr>
          <w:rFonts w:ascii="Century" w:hAnsi="Century" w:cs="FrankRuehl" w:hint="eastAsia"/>
          <w:spacing w:val="10"/>
          <w:szCs w:val="28"/>
          <w:rtl/>
        </w:rPr>
        <w:t>סוג</w:t>
      </w:r>
      <w:r w:rsidRPr="001959F6">
        <w:rPr>
          <w:rFonts w:ascii="Century" w:hAnsi="Century" w:cs="FrankRuehl"/>
          <w:spacing w:val="10"/>
          <w:szCs w:val="28"/>
          <w:rtl/>
        </w:rPr>
        <w:t xml:space="preserve"> </w:t>
      </w:r>
      <w:r w:rsidRPr="001959F6">
        <w:rPr>
          <w:rFonts w:ascii="Century" w:hAnsi="Century" w:cs="FrankRuehl" w:hint="eastAsia"/>
          <w:spacing w:val="10"/>
          <w:szCs w:val="28"/>
          <w:rtl/>
        </w:rPr>
        <w:t>של</w:t>
      </w:r>
      <w:r w:rsidRPr="001959F6">
        <w:rPr>
          <w:rFonts w:ascii="Century" w:hAnsi="Century" w:cs="FrankRuehl"/>
          <w:spacing w:val="10"/>
          <w:szCs w:val="28"/>
          <w:rtl/>
        </w:rPr>
        <w:t xml:space="preserve"> </w:t>
      </w:r>
      <w:r w:rsidRPr="001959F6">
        <w:rPr>
          <w:rFonts w:ascii="Century" w:hAnsi="Century" w:cs="FrankRuehl" w:hint="eastAsia"/>
          <w:spacing w:val="10"/>
          <w:szCs w:val="28"/>
          <w:rtl/>
        </w:rPr>
        <w:t>פגיעה</w:t>
      </w:r>
      <w:r w:rsidRPr="001959F6">
        <w:rPr>
          <w:rFonts w:ascii="Century" w:hAnsi="Century" w:cs="FrankRuehl"/>
          <w:spacing w:val="10"/>
          <w:szCs w:val="28"/>
          <w:rtl/>
        </w:rPr>
        <w:t xml:space="preserve"> </w:t>
      </w:r>
      <w:r w:rsidRPr="001959F6">
        <w:rPr>
          <w:rFonts w:ascii="Century" w:hAnsi="Century" w:cs="FrankRuehl" w:hint="eastAsia"/>
          <w:spacing w:val="10"/>
          <w:szCs w:val="28"/>
          <w:rtl/>
        </w:rPr>
        <w:t>יצדיק</w:t>
      </w:r>
      <w:r w:rsidRPr="001959F6">
        <w:rPr>
          <w:rFonts w:ascii="Century" w:hAnsi="Century" w:cs="FrankRuehl"/>
          <w:spacing w:val="10"/>
          <w:szCs w:val="28"/>
          <w:rtl/>
        </w:rPr>
        <w:t xml:space="preserve"> </w:t>
      </w:r>
      <w:r w:rsidRPr="001959F6">
        <w:rPr>
          <w:rFonts w:ascii="Century" w:hAnsi="Century" w:cs="FrankRuehl" w:hint="eastAsia"/>
          <w:spacing w:val="10"/>
          <w:szCs w:val="28"/>
          <w:rtl/>
        </w:rPr>
        <w:t>את</w:t>
      </w:r>
      <w:r w:rsidRPr="001959F6">
        <w:rPr>
          <w:rFonts w:ascii="Century" w:hAnsi="Century" w:cs="FrankRuehl"/>
          <w:spacing w:val="10"/>
          <w:szCs w:val="28"/>
          <w:rtl/>
        </w:rPr>
        <w:t xml:space="preserve"> </w:t>
      </w:r>
      <w:r w:rsidRPr="001959F6">
        <w:rPr>
          <w:rFonts w:ascii="Century" w:hAnsi="Century" w:cs="FrankRuehl" w:hint="eastAsia"/>
          <w:spacing w:val="10"/>
          <w:szCs w:val="28"/>
          <w:rtl/>
        </w:rPr>
        <w:t>המסקנה</w:t>
      </w:r>
      <w:r w:rsidRPr="001959F6">
        <w:rPr>
          <w:rFonts w:ascii="Century" w:hAnsi="Century" w:cs="FrankRuehl"/>
          <w:spacing w:val="10"/>
          <w:szCs w:val="28"/>
          <w:rtl/>
        </w:rPr>
        <w:t xml:space="preserve"> </w:t>
      </w:r>
      <w:r w:rsidRPr="001959F6">
        <w:rPr>
          <w:rFonts w:ascii="Century" w:hAnsi="Century" w:cs="FrankRuehl" w:hint="eastAsia"/>
          <w:spacing w:val="10"/>
          <w:szCs w:val="28"/>
          <w:rtl/>
        </w:rPr>
        <w:t>לפיה</w:t>
      </w:r>
      <w:r w:rsidRPr="001959F6">
        <w:rPr>
          <w:rFonts w:ascii="Century" w:hAnsi="Century" w:cs="FrankRuehl"/>
          <w:spacing w:val="10"/>
          <w:szCs w:val="28"/>
          <w:rtl/>
        </w:rPr>
        <w:t xml:space="preserve"> </w:t>
      </w:r>
      <w:r w:rsidRPr="001959F6">
        <w:rPr>
          <w:rFonts w:ascii="Century" w:hAnsi="Century" w:cs="FrankRuehl" w:hint="eastAsia"/>
          <w:spacing w:val="10"/>
          <w:szCs w:val="28"/>
          <w:rtl/>
        </w:rPr>
        <w:t>הכנסת</w:t>
      </w:r>
      <w:r w:rsidRPr="001959F6">
        <w:rPr>
          <w:rFonts w:ascii="Century" w:hAnsi="Century" w:cs="FrankRuehl"/>
          <w:spacing w:val="10"/>
          <w:szCs w:val="28"/>
          <w:rtl/>
        </w:rPr>
        <w:t xml:space="preserve"> </w:t>
      </w:r>
      <w:r w:rsidRPr="001959F6">
        <w:rPr>
          <w:rFonts w:ascii="Century" w:hAnsi="Century" w:cs="FrankRuehl" w:hint="eastAsia"/>
          <w:spacing w:val="10"/>
          <w:szCs w:val="28"/>
          <w:rtl/>
        </w:rPr>
        <w:t>חרגה</w:t>
      </w:r>
      <w:r w:rsidRPr="001959F6">
        <w:rPr>
          <w:rFonts w:ascii="Century" w:hAnsi="Century" w:cs="FrankRuehl"/>
          <w:spacing w:val="10"/>
          <w:szCs w:val="28"/>
          <w:rtl/>
        </w:rPr>
        <w:t xml:space="preserve"> </w:t>
      </w:r>
      <w:r w:rsidRPr="001959F6">
        <w:rPr>
          <w:rFonts w:ascii="Century" w:hAnsi="Century" w:cs="FrankRuehl" w:hint="eastAsia"/>
          <w:spacing w:val="10"/>
          <w:szCs w:val="28"/>
          <w:rtl/>
        </w:rPr>
        <w:t>מסמכותה</w:t>
      </w:r>
      <w:r w:rsidRPr="001959F6">
        <w:rPr>
          <w:rFonts w:ascii="Century" w:hAnsi="Century" w:cs="FrankRuehl"/>
          <w:spacing w:val="10"/>
          <w:szCs w:val="28"/>
          <w:rtl/>
        </w:rPr>
        <w:t xml:space="preserve"> </w:t>
      </w:r>
      <w:r w:rsidRPr="001959F6">
        <w:rPr>
          <w:rFonts w:ascii="Century" w:hAnsi="Century" w:cs="FrankRuehl" w:hint="eastAsia"/>
          <w:spacing w:val="10"/>
          <w:szCs w:val="28"/>
          <w:rtl/>
        </w:rPr>
        <w:t>המכוננת</w:t>
      </w:r>
      <w:r w:rsidRPr="001959F6">
        <w:rPr>
          <w:rFonts w:ascii="Century" w:hAnsi="Century" w:cs="FrankRuehl"/>
          <w:spacing w:val="10"/>
          <w:szCs w:val="28"/>
          <w:rtl/>
        </w:rPr>
        <w:t xml:space="preserve"> </w:t>
      </w:r>
      <w:r w:rsidRPr="001959F6">
        <w:rPr>
          <w:rFonts w:ascii="Century" w:hAnsi="Century" w:cs="FrankRuehl" w:hint="eastAsia"/>
          <w:spacing w:val="10"/>
          <w:szCs w:val="28"/>
          <w:rtl/>
        </w:rPr>
        <w:t>ומהו</w:t>
      </w:r>
      <w:r w:rsidRPr="001959F6">
        <w:rPr>
          <w:rFonts w:ascii="Century" w:hAnsi="Century" w:cs="FrankRuehl"/>
          <w:spacing w:val="10"/>
          <w:szCs w:val="28"/>
          <w:rtl/>
        </w:rPr>
        <w:t xml:space="preserve"> </w:t>
      </w:r>
      <w:r w:rsidRPr="001959F6">
        <w:rPr>
          <w:rFonts w:ascii="Century" w:hAnsi="Century" w:cs="FrankRuehl" w:hint="eastAsia"/>
          <w:spacing w:val="10"/>
          <w:szCs w:val="28"/>
          <w:rtl/>
        </w:rPr>
        <w:t>הנטל</w:t>
      </w:r>
      <w:r w:rsidRPr="001959F6">
        <w:rPr>
          <w:rFonts w:ascii="Century" w:hAnsi="Century" w:cs="FrankRuehl"/>
          <w:spacing w:val="10"/>
          <w:szCs w:val="28"/>
          <w:rtl/>
        </w:rPr>
        <w:t xml:space="preserve"> </w:t>
      </w:r>
      <w:r w:rsidRPr="001959F6">
        <w:rPr>
          <w:rFonts w:ascii="Century" w:hAnsi="Century" w:cs="FrankRuehl" w:hint="eastAsia"/>
          <w:spacing w:val="10"/>
          <w:szCs w:val="28"/>
          <w:rtl/>
        </w:rPr>
        <w:t>המוטל</w:t>
      </w:r>
      <w:r w:rsidRPr="001959F6">
        <w:rPr>
          <w:rFonts w:ascii="Century" w:hAnsi="Century" w:cs="FrankRuehl"/>
          <w:spacing w:val="10"/>
          <w:szCs w:val="28"/>
          <w:rtl/>
        </w:rPr>
        <w:t xml:space="preserve"> </w:t>
      </w:r>
      <w:r w:rsidRPr="001959F6">
        <w:rPr>
          <w:rFonts w:ascii="Century" w:hAnsi="Century" w:cs="FrankRuehl" w:hint="eastAsia"/>
          <w:spacing w:val="10"/>
          <w:szCs w:val="28"/>
          <w:rtl/>
        </w:rPr>
        <w:t>על</w:t>
      </w:r>
      <w:r w:rsidRPr="001959F6">
        <w:rPr>
          <w:rFonts w:ascii="Century" w:hAnsi="Century" w:cs="FrankRuehl"/>
          <w:spacing w:val="10"/>
          <w:szCs w:val="28"/>
          <w:rtl/>
        </w:rPr>
        <w:t xml:space="preserve"> </w:t>
      </w:r>
      <w:r w:rsidRPr="001959F6">
        <w:rPr>
          <w:rFonts w:ascii="Century" w:hAnsi="Century" w:cs="FrankRuehl" w:hint="eastAsia"/>
          <w:spacing w:val="10"/>
          <w:szCs w:val="28"/>
          <w:rtl/>
        </w:rPr>
        <w:t>הטוען</w:t>
      </w:r>
      <w:r w:rsidRPr="001959F6">
        <w:rPr>
          <w:rFonts w:ascii="Century" w:hAnsi="Century" w:cs="FrankRuehl"/>
          <w:spacing w:val="10"/>
          <w:szCs w:val="28"/>
          <w:rtl/>
        </w:rPr>
        <w:t xml:space="preserve"> </w:t>
      </w:r>
      <w:r w:rsidRPr="001959F6">
        <w:rPr>
          <w:rFonts w:ascii="Century" w:hAnsi="Century" w:cs="FrankRuehl" w:hint="eastAsia"/>
          <w:spacing w:val="10"/>
          <w:szCs w:val="28"/>
          <w:rtl/>
        </w:rPr>
        <w:t>לכך</w:t>
      </w:r>
      <w:r w:rsidRPr="001959F6">
        <w:rPr>
          <w:rFonts w:ascii="Century" w:hAnsi="Century" w:cs="FrankRuehl"/>
          <w:spacing w:val="10"/>
          <w:szCs w:val="28"/>
          <w:rtl/>
        </w:rPr>
        <w:t xml:space="preserve">, </w:t>
      </w:r>
      <w:r w:rsidRPr="001959F6">
        <w:rPr>
          <w:rFonts w:ascii="Century" w:hAnsi="Century" w:cs="FrankRuehl" w:hint="eastAsia"/>
          <w:spacing w:val="10"/>
          <w:szCs w:val="28"/>
          <w:rtl/>
        </w:rPr>
        <w:t>תיבחן</w:t>
      </w:r>
      <w:r w:rsidRPr="001959F6">
        <w:rPr>
          <w:rFonts w:ascii="Century" w:hAnsi="Century" w:cs="FrankRuehl"/>
          <w:spacing w:val="10"/>
          <w:szCs w:val="28"/>
          <w:rtl/>
        </w:rPr>
        <w:t xml:space="preserve"> </w:t>
      </w:r>
      <w:r w:rsidRPr="001959F6">
        <w:rPr>
          <w:rFonts w:ascii="Century" w:hAnsi="Century" w:cs="FrankRuehl" w:hint="eastAsia"/>
          <w:spacing w:val="10"/>
          <w:szCs w:val="28"/>
          <w:rtl/>
        </w:rPr>
        <w:t>בהמשך</w:t>
      </w:r>
      <w:r>
        <w:rPr>
          <w:rFonts w:ascii="Century" w:hAnsi="Century" w:cs="FrankRuehl" w:hint="cs"/>
          <w:spacing w:val="10"/>
          <w:szCs w:val="28"/>
          <w:rtl/>
        </w:rPr>
        <w:t xml:space="preserve">. </w:t>
      </w:r>
    </w:p>
    <w:p w:rsidR="00A01E7C" w:rsidRPr="00BE2DC7"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jc w:val="both"/>
        <w:rPr>
          <w:rFonts w:ascii="Century" w:hAnsi="Century" w:cs="Miriam"/>
          <w:b/>
          <w:rtl/>
        </w:rPr>
      </w:pPr>
      <w:r w:rsidRPr="00BE2DC7">
        <w:rPr>
          <w:rFonts w:ascii="Century" w:hAnsi="Century" w:cs="Miriam" w:hint="eastAsia"/>
          <w:b/>
          <w:rtl/>
        </w:rPr>
        <w:t>השאלה</w:t>
      </w:r>
      <w:r w:rsidRPr="00BE2DC7">
        <w:rPr>
          <w:rFonts w:ascii="Century" w:hAnsi="Century" w:cs="Miriam"/>
          <w:b/>
          <w:rtl/>
        </w:rPr>
        <w:t xml:space="preserve"> </w:t>
      </w:r>
      <w:r w:rsidRPr="00BE2DC7">
        <w:rPr>
          <w:rFonts w:ascii="Century" w:hAnsi="Century" w:cs="Miriam" w:hint="eastAsia"/>
          <w:b/>
          <w:rtl/>
        </w:rPr>
        <w:t>השנייה</w:t>
      </w:r>
      <w:r w:rsidRPr="00BE2DC7">
        <w:rPr>
          <w:rFonts w:ascii="Century" w:hAnsi="Century" w:cs="Miriam"/>
          <w:b/>
          <w:rtl/>
        </w:rPr>
        <w:t xml:space="preserve"> – </w:t>
      </w:r>
      <w:r>
        <w:rPr>
          <w:rFonts w:ascii="Century" w:hAnsi="Century" w:cs="Miriam" w:hint="cs"/>
          <w:b/>
          <w:rtl/>
        </w:rPr>
        <w:t xml:space="preserve">האם מוסמך </w:t>
      </w:r>
      <w:r w:rsidRPr="00BE2DC7">
        <w:rPr>
          <w:rFonts w:ascii="Century" w:hAnsi="Century" w:cs="Miriam" w:hint="eastAsia"/>
          <w:b/>
          <w:rtl/>
        </w:rPr>
        <w:t>בית</w:t>
      </w:r>
      <w:r w:rsidRPr="00BE2DC7">
        <w:rPr>
          <w:rFonts w:ascii="Century" w:hAnsi="Century" w:cs="Miriam"/>
          <w:b/>
          <w:rtl/>
        </w:rPr>
        <w:t xml:space="preserve"> </w:t>
      </w:r>
      <w:r w:rsidRPr="00BE2DC7">
        <w:rPr>
          <w:rFonts w:ascii="Century" w:hAnsi="Century" w:cs="Miriam" w:hint="eastAsia"/>
          <w:b/>
          <w:rtl/>
        </w:rPr>
        <w:t>המשפט</w:t>
      </w:r>
      <w:r w:rsidRPr="00BE2DC7">
        <w:rPr>
          <w:rFonts w:ascii="Century" w:hAnsi="Century" w:cs="Miriam"/>
          <w:b/>
          <w:rtl/>
        </w:rPr>
        <w:t xml:space="preserve"> </w:t>
      </w:r>
      <w:r w:rsidRPr="00BE2DC7">
        <w:rPr>
          <w:rFonts w:ascii="Century" w:hAnsi="Century" w:cs="Miriam" w:hint="eastAsia"/>
          <w:b/>
          <w:rtl/>
        </w:rPr>
        <w:t>העליון</w:t>
      </w:r>
      <w:r w:rsidRPr="00BE2DC7">
        <w:rPr>
          <w:rFonts w:ascii="Century" w:hAnsi="Century" w:cs="Miriam"/>
          <w:b/>
          <w:rtl/>
        </w:rPr>
        <w:t xml:space="preserve"> </w:t>
      </w:r>
      <w:r w:rsidRPr="00BE2DC7">
        <w:rPr>
          <w:rFonts w:ascii="Century" w:hAnsi="Century" w:cs="Miriam" w:hint="eastAsia"/>
          <w:b/>
          <w:rtl/>
        </w:rPr>
        <w:t>לבקר</w:t>
      </w:r>
      <w:r w:rsidRPr="00BE2DC7">
        <w:rPr>
          <w:rFonts w:ascii="Century" w:hAnsi="Century" w:cs="Miriam"/>
          <w:b/>
          <w:rtl/>
        </w:rPr>
        <w:t xml:space="preserve"> </w:t>
      </w:r>
      <w:r w:rsidRPr="00BE2DC7">
        <w:rPr>
          <w:rFonts w:ascii="Century" w:hAnsi="Century" w:cs="Miriam" w:hint="eastAsia"/>
          <w:b/>
          <w:rtl/>
        </w:rPr>
        <w:t>את</w:t>
      </w:r>
      <w:r w:rsidRPr="00BE2DC7">
        <w:rPr>
          <w:rFonts w:ascii="Century" w:hAnsi="Century" w:cs="Miriam"/>
          <w:b/>
          <w:rtl/>
        </w:rPr>
        <w:t xml:space="preserve"> </w:t>
      </w:r>
      <w:r w:rsidRPr="00BE2DC7">
        <w:rPr>
          <w:rFonts w:ascii="Century" w:hAnsi="Century" w:cs="Miriam" w:hint="eastAsia"/>
          <w:b/>
          <w:rtl/>
        </w:rPr>
        <w:t>הכנסת</w:t>
      </w:r>
      <w:r w:rsidRPr="00BE2DC7">
        <w:rPr>
          <w:rFonts w:ascii="Century" w:hAnsi="Century" w:cs="Miriam"/>
          <w:b/>
          <w:rtl/>
        </w:rPr>
        <w:t xml:space="preserve"> </w:t>
      </w:r>
      <w:r w:rsidRPr="00BE2DC7">
        <w:rPr>
          <w:rFonts w:ascii="Century" w:hAnsi="Century" w:cs="Miriam" w:hint="eastAsia"/>
          <w:b/>
          <w:rtl/>
        </w:rPr>
        <w:t>כאשר</w:t>
      </w:r>
      <w:r w:rsidRPr="00BE2DC7">
        <w:rPr>
          <w:rFonts w:ascii="Century" w:hAnsi="Century" w:cs="Miriam"/>
          <w:b/>
          <w:rtl/>
        </w:rPr>
        <w:t xml:space="preserve"> </w:t>
      </w:r>
      <w:r w:rsidRPr="00BE2DC7">
        <w:rPr>
          <w:rFonts w:ascii="Century" w:hAnsi="Century" w:cs="Miriam" w:hint="eastAsia"/>
          <w:b/>
          <w:rtl/>
        </w:rPr>
        <w:t>היא</w:t>
      </w:r>
      <w:r w:rsidRPr="00BE2DC7">
        <w:rPr>
          <w:rFonts w:ascii="Century" w:hAnsi="Century" w:cs="Miriam"/>
          <w:b/>
          <w:rtl/>
        </w:rPr>
        <w:t xml:space="preserve"> </w:t>
      </w:r>
      <w:r w:rsidRPr="00BE2DC7">
        <w:rPr>
          <w:rFonts w:ascii="Century" w:hAnsi="Century" w:cs="Miriam" w:hint="eastAsia"/>
          <w:b/>
          <w:rtl/>
        </w:rPr>
        <w:t>חורגת</w:t>
      </w:r>
      <w:r w:rsidRPr="00BE2DC7">
        <w:rPr>
          <w:rFonts w:ascii="Century" w:hAnsi="Century" w:cs="Miriam"/>
          <w:b/>
          <w:rtl/>
        </w:rPr>
        <w:t xml:space="preserve"> </w:t>
      </w:r>
      <w:r w:rsidRPr="00BE2DC7">
        <w:rPr>
          <w:rFonts w:ascii="Century" w:hAnsi="Century" w:cs="Miriam" w:hint="eastAsia"/>
          <w:b/>
          <w:rtl/>
        </w:rPr>
        <w:t>מ</w:t>
      </w:r>
      <w:r>
        <w:rPr>
          <w:rFonts w:ascii="Century" w:hAnsi="Century" w:cs="Miriam" w:hint="cs"/>
          <w:b/>
          <w:rtl/>
        </w:rPr>
        <w:t xml:space="preserve">גבולות </w:t>
      </w:r>
      <w:r w:rsidRPr="00BE2DC7">
        <w:rPr>
          <w:rFonts w:ascii="Century" w:hAnsi="Century" w:cs="Miriam" w:hint="eastAsia"/>
          <w:b/>
          <w:rtl/>
        </w:rPr>
        <w:t>סמכות</w:t>
      </w:r>
      <w:r>
        <w:rPr>
          <w:rFonts w:ascii="Century" w:hAnsi="Century" w:cs="Miriam" w:hint="cs"/>
          <w:b/>
          <w:rtl/>
        </w:rPr>
        <w:t>ה כרשות</w:t>
      </w:r>
      <w:r w:rsidRPr="00BE2DC7">
        <w:rPr>
          <w:rFonts w:ascii="Century" w:hAnsi="Century" w:cs="Miriam"/>
          <w:b/>
          <w:rtl/>
        </w:rPr>
        <w:t xml:space="preserve"> </w:t>
      </w:r>
      <w:r w:rsidRPr="00BE2DC7">
        <w:rPr>
          <w:rFonts w:ascii="Century" w:hAnsi="Century" w:cs="Miriam" w:hint="eastAsia"/>
          <w:b/>
          <w:rtl/>
        </w:rPr>
        <w:t>מכוננת</w:t>
      </w:r>
      <w:r>
        <w:rPr>
          <w:rFonts w:ascii="Century" w:hAnsi="Century" w:cs="Miriam" w:hint="cs"/>
          <w:b/>
          <w:rtl/>
        </w:rPr>
        <w:t>?</w:t>
      </w:r>
      <w:r w:rsidRPr="00BE2DC7">
        <w:rPr>
          <w:rFonts w:ascii="Century" w:hAnsi="Century" w:cs="Miriam"/>
          <w:b/>
          <w:rtl/>
        </w:rPr>
        <w:t xml:space="preserve"> </w:t>
      </w:r>
    </w:p>
    <w:p w:rsidR="00A01E7C" w:rsidRPr="00BE2DC7" w:rsidRDefault="00A01E7C" w:rsidP="00A01E7C">
      <w:pPr>
        <w:spacing w:line="360" w:lineRule="auto"/>
        <w:jc w:val="both"/>
        <w:rPr>
          <w:rFonts w:ascii="Century" w:hAnsi="Century" w:cs="FrankRuehl"/>
          <w:spacing w:val="10"/>
          <w:szCs w:val="28"/>
          <w:rtl/>
        </w:rPr>
      </w:pPr>
    </w:p>
    <w:p w:rsidR="00A01E7C" w:rsidRPr="007D0134" w:rsidRDefault="00A01E7C" w:rsidP="002A1A3A">
      <w:pPr>
        <w:pStyle w:val="Ruller4"/>
        <w:numPr>
          <w:ilvl w:val="0"/>
          <w:numId w:val="14"/>
        </w:numPr>
        <w:rPr>
          <w:rFonts w:ascii="Century" w:hAnsi="Century"/>
          <w:rtl/>
        </w:rPr>
      </w:pPr>
      <w:r w:rsidRPr="007D0134">
        <w:rPr>
          <w:rFonts w:ascii="Century" w:hAnsi="Century" w:hint="eastAsia"/>
          <w:rtl/>
        </w:rPr>
        <w:lastRenderedPageBreak/>
        <w:t>בכל</w:t>
      </w:r>
      <w:r w:rsidRPr="007D0134">
        <w:rPr>
          <w:rFonts w:ascii="Century" w:hAnsi="Century"/>
          <w:rtl/>
        </w:rPr>
        <w:t xml:space="preserve"> הנוגע לשאלה זו, </w:t>
      </w:r>
      <w:r w:rsidRPr="007D0134">
        <w:rPr>
          <w:rFonts w:ascii="Century" w:hAnsi="Century" w:hint="eastAsia"/>
          <w:rtl/>
        </w:rPr>
        <w:t>אני</w:t>
      </w:r>
      <w:r w:rsidRPr="007D0134">
        <w:rPr>
          <w:rFonts w:ascii="Century" w:hAnsi="Century"/>
          <w:rtl/>
        </w:rPr>
        <w:t xml:space="preserve"> </w:t>
      </w:r>
      <w:r w:rsidRPr="007D0134">
        <w:rPr>
          <w:rFonts w:ascii="Century" w:hAnsi="Century" w:hint="eastAsia"/>
          <w:rtl/>
        </w:rPr>
        <w:t>מסכימה</w:t>
      </w:r>
      <w:r w:rsidRPr="007D0134">
        <w:rPr>
          <w:rFonts w:ascii="Century" w:hAnsi="Century"/>
          <w:rtl/>
        </w:rPr>
        <w:t xml:space="preserve"> </w:t>
      </w:r>
      <w:r w:rsidRPr="007D0134">
        <w:rPr>
          <w:rFonts w:ascii="Century" w:hAnsi="Century" w:hint="eastAsia"/>
          <w:rtl/>
        </w:rPr>
        <w:t>עם</w:t>
      </w:r>
      <w:r w:rsidRPr="007D0134">
        <w:rPr>
          <w:rFonts w:ascii="Century" w:hAnsi="Century"/>
          <w:rtl/>
        </w:rPr>
        <w:t xml:space="preserve"> גישתה של השופטת </w:t>
      </w:r>
      <w:r w:rsidRPr="007D0134">
        <w:rPr>
          <w:rFonts w:ascii="Century" w:hAnsi="Century" w:cs="Miriam" w:hint="eastAsia"/>
          <w:b/>
          <w:szCs w:val="24"/>
          <w:rtl/>
        </w:rPr>
        <w:t>וילנר</w:t>
      </w:r>
      <w:r w:rsidRPr="007D0134">
        <w:rPr>
          <w:rFonts w:ascii="Century" w:hAnsi="Century"/>
          <w:rtl/>
        </w:rPr>
        <w:t xml:space="preserve"> כי </w:t>
      </w:r>
      <w:r w:rsidRPr="007D0134">
        <w:rPr>
          <w:rFonts w:ascii="Century" w:hAnsi="Century" w:hint="eastAsia"/>
          <w:rtl/>
        </w:rPr>
        <w:t>יש</w:t>
      </w:r>
      <w:r w:rsidRPr="007D0134">
        <w:rPr>
          <w:rFonts w:ascii="Century" w:hAnsi="Century"/>
          <w:rtl/>
        </w:rPr>
        <w:t xml:space="preserve"> לפרש את הוראת </w:t>
      </w:r>
      <w:r w:rsidRPr="007D0134">
        <w:rPr>
          <w:rFonts w:ascii="Century" w:hAnsi="Century" w:hint="eastAsia"/>
          <w:rtl/>
        </w:rPr>
        <w:t>סעיף</w:t>
      </w:r>
      <w:r w:rsidRPr="007D0134">
        <w:rPr>
          <w:rFonts w:ascii="Century" w:hAnsi="Century"/>
          <w:rtl/>
        </w:rPr>
        <w:t xml:space="preserve"> 15(ג) </w:t>
      </w:r>
      <w:r w:rsidRPr="007D0134">
        <w:rPr>
          <w:rFonts w:ascii="Century" w:hAnsi="Century" w:hint="eastAsia"/>
          <w:rtl/>
        </w:rPr>
        <w:t>לחוק</w:t>
      </w:r>
      <w:r w:rsidRPr="007D0134">
        <w:rPr>
          <w:rFonts w:ascii="Century" w:hAnsi="Century"/>
          <w:rtl/>
        </w:rPr>
        <w:t xml:space="preserve"> </w:t>
      </w:r>
      <w:r w:rsidRPr="007D0134">
        <w:rPr>
          <w:rFonts w:ascii="Century" w:hAnsi="Century" w:hint="eastAsia"/>
          <w:rtl/>
        </w:rPr>
        <w:t>יסוד</w:t>
      </w:r>
      <w:r w:rsidRPr="007D0134">
        <w:rPr>
          <w:rFonts w:ascii="Century" w:hAnsi="Century"/>
          <w:rtl/>
        </w:rPr>
        <w:t xml:space="preserve">: השפיטה </w:t>
      </w:r>
      <w:r w:rsidRPr="007D0134">
        <w:rPr>
          <w:rFonts w:ascii="Century" w:hAnsi="Century" w:hint="eastAsia"/>
          <w:rtl/>
        </w:rPr>
        <w:t>כמקנה</w:t>
      </w:r>
      <w:r w:rsidRPr="007D0134">
        <w:rPr>
          <w:rFonts w:ascii="Century" w:hAnsi="Century"/>
          <w:rtl/>
        </w:rPr>
        <w:t xml:space="preserve"> לבית משפט </w:t>
      </w:r>
      <w:r w:rsidRPr="007D0134">
        <w:rPr>
          <w:rFonts w:ascii="Century" w:hAnsi="Century" w:hint="cs"/>
          <w:rtl/>
        </w:rPr>
        <w:t xml:space="preserve">זה </w:t>
      </w:r>
      <w:r w:rsidRPr="007D0134">
        <w:rPr>
          <w:rFonts w:ascii="Century" w:hAnsi="Century" w:hint="eastAsia"/>
          <w:rtl/>
        </w:rPr>
        <w:t>סמכות</w:t>
      </w:r>
      <w:r w:rsidRPr="007D0134">
        <w:rPr>
          <w:rFonts w:ascii="Century" w:hAnsi="Century"/>
          <w:rtl/>
        </w:rPr>
        <w:t xml:space="preserve"> </w:t>
      </w:r>
      <w:r w:rsidRPr="007D0134">
        <w:rPr>
          <w:rFonts w:ascii="Century" w:hAnsi="Century" w:hint="eastAsia"/>
          <w:rtl/>
        </w:rPr>
        <w:t>לערוך</w:t>
      </w:r>
      <w:r w:rsidRPr="007D0134">
        <w:rPr>
          <w:rFonts w:ascii="Century" w:hAnsi="Century"/>
          <w:rtl/>
        </w:rPr>
        <w:t xml:space="preserve"> </w:t>
      </w:r>
      <w:r w:rsidRPr="007D0134">
        <w:rPr>
          <w:rFonts w:ascii="Century" w:hAnsi="Century" w:hint="eastAsia"/>
          <w:rtl/>
        </w:rPr>
        <w:t>ביקורת</w:t>
      </w:r>
      <w:r w:rsidRPr="007D0134">
        <w:rPr>
          <w:rFonts w:ascii="Century" w:hAnsi="Century"/>
          <w:rtl/>
        </w:rPr>
        <w:t xml:space="preserve"> </w:t>
      </w:r>
      <w:r w:rsidRPr="007D0134">
        <w:rPr>
          <w:rFonts w:ascii="Century" w:hAnsi="Century" w:hint="eastAsia"/>
          <w:rtl/>
        </w:rPr>
        <w:t>שיפוטית</w:t>
      </w:r>
      <w:r w:rsidRPr="007D0134">
        <w:rPr>
          <w:rFonts w:ascii="Century" w:hAnsi="Century"/>
          <w:rtl/>
        </w:rPr>
        <w:t xml:space="preserve"> </w:t>
      </w:r>
      <w:r w:rsidRPr="007D0134">
        <w:rPr>
          <w:rFonts w:ascii="Century" w:hAnsi="Century" w:hint="eastAsia"/>
          <w:rtl/>
        </w:rPr>
        <w:t>על</w:t>
      </w:r>
      <w:r w:rsidRPr="007D0134">
        <w:rPr>
          <w:rFonts w:ascii="Century" w:hAnsi="Century"/>
          <w:rtl/>
        </w:rPr>
        <w:t xml:space="preserve"> </w:t>
      </w:r>
      <w:r w:rsidRPr="007D0134">
        <w:rPr>
          <w:rFonts w:ascii="Century" w:hAnsi="Century" w:hint="eastAsia"/>
          <w:rtl/>
        </w:rPr>
        <w:t>חוקי</w:t>
      </w:r>
      <w:r w:rsidRPr="007D0134">
        <w:rPr>
          <w:rFonts w:ascii="Century" w:hAnsi="Century"/>
          <w:rtl/>
        </w:rPr>
        <w:t xml:space="preserve"> </w:t>
      </w:r>
      <w:r w:rsidRPr="007D0134">
        <w:rPr>
          <w:rFonts w:ascii="Century" w:hAnsi="Century" w:hint="eastAsia"/>
          <w:rtl/>
        </w:rPr>
        <w:t>יסוד</w:t>
      </w:r>
      <w:r w:rsidRPr="007D0134">
        <w:rPr>
          <w:rFonts w:ascii="Century" w:hAnsi="Century" w:hint="cs"/>
          <w:rtl/>
        </w:rPr>
        <w:t xml:space="preserve"> (ראו פסקאות 5-4 לחוות דעתה; כן ראו: </w:t>
      </w:r>
      <w:r w:rsidRPr="007D0134">
        <w:rPr>
          <w:rFonts w:ascii="Century" w:hAnsi="Century" w:hint="eastAsia"/>
          <w:rtl/>
        </w:rPr>
        <w:t>פסקה</w:t>
      </w:r>
      <w:r w:rsidRPr="007D0134">
        <w:rPr>
          <w:rFonts w:ascii="Century" w:hAnsi="Century"/>
          <w:rtl/>
        </w:rPr>
        <w:t xml:space="preserve"> 87 </w:t>
      </w:r>
      <w:r w:rsidRPr="007D0134">
        <w:rPr>
          <w:rFonts w:ascii="Century" w:hAnsi="Century" w:hint="eastAsia"/>
          <w:rtl/>
        </w:rPr>
        <w:t>ל</w:t>
      </w:r>
      <w:r w:rsidRPr="007D0134">
        <w:rPr>
          <w:rFonts w:ascii="Century" w:hAnsi="Century" w:hint="cs"/>
          <w:rtl/>
        </w:rPr>
        <w:t>חוות</w:t>
      </w:r>
      <w:r w:rsidRPr="007D0134">
        <w:rPr>
          <w:rFonts w:ascii="Century" w:hAnsi="Century"/>
          <w:rtl/>
        </w:rPr>
        <w:t xml:space="preserve"> </w:t>
      </w:r>
      <w:r w:rsidRPr="007D0134">
        <w:rPr>
          <w:rFonts w:ascii="Century" w:hAnsi="Century" w:hint="eastAsia"/>
          <w:rtl/>
        </w:rPr>
        <w:t>ד</w:t>
      </w:r>
      <w:r w:rsidRPr="007D0134">
        <w:rPr>
          <w:rFonts w:ascii="Century" w:hAnsi="Century" w:hint="cs"/>
          <w:rtl/>
        </w:rPr>
        <w:t>עת</w:t>
      </w:r>
      <w:r w:rsidRPr="007D0134">
        <w:rPr>
          <w:rFonts w:ascii="Century" w:hAnsi="Century" w:hint="eastAsia"/>
          <w:rtl/>
        </w:rPr>
        <w:t>ה</w:t>
      </w:r>
      <w:r w:rsidRPr="007D0134">
        <w:rPr>
          <w:rFonts w:ascii="Century" w:hAnsi="Century"/>
          <w:rtl/>
        </w:rPr>
        <w:t xml:space="preserve"> </w:t>
      </w:r>
      <w:r w:rsidRPr="007D0134">
        <w:rPr>
          <w:rFonts w:ascii="Century" w:hAnsi="Century" w:hint="eastAsia"/>
          <w:rtl/>
        </w:rPr>
        <w:t>של</w:t>
      </w:r>
      <w:r w:rsidRPr="007D0134">
        <w:rPr>
          <w:rFonts w:ascii="Century" w:hAnsi="Century"/>
          <w:rtl/>
        </w:rPr>
        <w:t xml:space="preserve"> </w:t>
      </w:r>
      <w:r w:rsidRPr="007D0134">
        <w:rPr>
          <w:rFonts w:ascii="Century" w:hAnsi="Century" w:hint="eastAsia"/>
          <w:rtl/>
        </w:rPr>
        <w:t>הנשיאה</w:t>
      </w:r>
      <w:r w:rsidRPr="007D0134">
        <w:rPr>
          <w:rFonts w:ascii="Century" w:hAnsi="Century"/>
          <w:rtl/>
        </w:rPr>
        <w:t xml:space="preserve"> (</w:t>
      </w:r>
      <w:r w:rsidRPr="007D0134">
        <w:rPr>
          <w:rFonts w:ascii="Century" w:hAnsi="Century" w:hint="eastAsia"/>
          <w:rtl/>
        </w:rPr>
        <w:t>בדימ</w:t>
      </w:r>
      <w:r w:rsidRPr="007D0134">
        <w:rPr>
          <w:rFonts w:ascii="Century" w:hAnsi="Century"/>
          <w:rtl/>
        </w:rPr>
        <w:t xml:space="preserve">') </w:t>
      </w:r>
      <w:r w:rsidRPr="007D0134">
        <w:rPr>
          <w:rFonts w:ascii="Century" w:hAnsi="Century" w:cs="Miriam" w:hint="eastAsia"/>
          <w:b/>
          <w:szCs w:val="24"/>
          <w:rtl/>
        </w:rPr>
        <w:t>חיות</w:t>
      </w:r>
      <w:r w:rsidRPr="007D0134">
        <w:rPr>
          <w:rFonts w:ascii="Century" w:hAnsi="Century"/>
          <w:rtl/>
        </w:rPr>
        <w:t xml:space="preserve"> </w:t>
      </w:r>
      <w:r w:rsidRPr="007D0134">
        <w:rPr>
          <w:rFonts w:ascii="Century" w:hAnsi="Century" w:hint="eastAsia"/>
          <w:rtl/>
        </w:rPr>
        <w:t>ופסקה</w:t>
      </w:r>
      <w:r w:rsidRPr="007D0134">
        <w:rPr>
          <w:rFonts w:ascii="Century" w:hAnsi="Century"/>
          <w:rtl/>
        </w:rPr>
        <w:t xml:space="preserve"> 73 לחוות דעתו של השופט </w:t>
      </w:r>
      <w:r w:rsidRPr="007D0134">
        <w:rPr>
          <w:rFonts w:ascii="Century" w:hAnsi="Century" w:cs="Miriam" w:hint="eastAsia"/>
          <w:b/>
          <w:szCs w:val="24"/>
          <w:rtl/>
        </w:rPr>
        <w:t>שטיין</w:t>
      </w:r>
      <w:r w:rsidRPr="007D0134">
        <w:rPr>
          <w:rFonts w:ascii="Century" w:hAnsi="Century" w:cs="Miriam" w:hint="cs"/>
          <w:b/>
          <w:szCs w:val="24"/>
          <w:rtl/>
        </w:rPr>
        <w:t xml:space="preserve"> </w:t>
      </w:r>
      <w:r w:rsidRPr="007D0134">
        <w:rPr>
          <w:rFonts w:ascii="Century" w:hAnsi="Century" w:hint="eastAsia"/>
          <w:rtl/>
        </w:rPr>
        <w:t>המפנים</w:t>
      </w:r>
      <w:r w:rsidRPr="007D0134">
        <w:rPr>
          <w:rFonts w:ascii="Century" w:hAnsi="Century"/>
          <w:rtl/>
        </w:rPr>
        <w:t xml:space="preserve"> </w:t>
      </w:r>
      <w:r w:rsidRPr="007D0134">
        <w:rPr>
          <w:rFonts w:ascii="Century" w:hAnsi="Century" w:hint="eastAsia"/>
          <w:rtl/>
        </w:rPr>
        <w:t>גם</w:t>
      </w:r>
      <w:r w:rsidRPr="007D0134">
        <w:rPr>
          <w:rFonts w:ascii="Century" w:hAnsi="Century"/>
          <w:rtl/>
        </w:rPr>
        <w:t xml:space="preserve"> </w:t>
      </w:r>
      <w:r w:rsidRPr="007D0134">
        <w:rPr>
          <w:rFonts w:ascii="Century" w:hAnsi="Century" w:hint="eastAsia"/>
          <w:rtl/>
        </w:rPr>
        <w:t>הם</w:t>
      </w:r>
      <w:r w:rsidRPr="007D0134">
        <w:rPr>
          <w:rFonts w:ascii="Century" w:hAnsi="Century" w:cs="Miriam" w:hint="cs"/>
          <w:b/>
          <w:szCs w:val="24"/>
          <w:rtl/>
        </w:rPr>
        <w:t xml:space="preserve"> </w:t>
      </w:r>
      <w:r w:rsidRPr="007D0134">
        <w:rPr>
          <w:rFonts w:ascii="Century" w:hAnsi="Century"/>
          <w:rtl/>
        </w:rPr>
        <w:t xml:space="preserve">לסעיף 15(ג) לחוק יסוד: השפיטה </w:t>
      </w:r>
      <w:r w:rsidRPr="007D0134">
        <w:rPr>
          <w:rFonts w:ascii="Century" w:hAnsi="Century" w:hint="eastAsia"/>
          <w:rtl/>
        </w:rPr>
        <w:t>כמקור</w:t>
      </w:r>
      <w:r w:rsidRPr="007D0134">
        <w:rPr>
          <w:rFonts w:ascii="Century" w:hAnsi="Century"/>
          <w:rtl/>
        </w:rPr>
        <w:t xml:space="preserve"> </w:t>
      </w:r>
      <w:r w:rsidRPr="007D0134">
        <w:rPr>
          <w:rFonts w:ascii="Century" w:hAnsi="Century" w:hint="eastAsia"/>
          <w:rtl/>
        </w:rPr>
        <w:t>חוקי</w:t>
      </w:r>
      <w:r w:rsidRPr="007D0134">
        <w:rPr>
          <w:rFonts w:ascii="Century" w:hAnsi="Century"/>
          <w:rtl/>
        </w:rPr>
        <w:t xml:space="preserve"> </w:t>
      </w:r>
      <w:r w:rsidRPr="007D0134">
        <w:rPr>
          <w:rFonts w:ascii="Century" w:hAnsi="Century" w:hint="eastAsia"/>
          <w:rtl/>
        </w:rPr>
        <w:t>לסמכות</w:t>
      </w:r>
      <w:r w:rsidRPr="007D0134">
        <w:rPr>
          <w:rFonts w:ascii="Century" w:hAnsi="Century"/>
          <w:rtl/>
        </w:rPr>
        <w:t xml:space="preserve"> </w:t>
      </w:r>
      <w:r w:rsidRPr="007D0134">
        <w:rPr>
          <w:rFonts w:ascii="Century" w:hAnsi="Century" w:hint="cs"/>
          <w:rtl/>
        </w:rPr>
        <w:t xml:space="preserve">בית המשפט </w:t>
      </w:r>
      <w:r w:rsidRPr="007D0134">
        <w:rPr>
          <w:rFonts w:ascii="Century" w:hAnsi="Century"/>
          <w:rtl/>
        </w:rPr>
        <w:t xml:space="preserve">להצהיר על בטלות חוק יסוד כאשר הכנסת </w:t>
      </w:r>
      <w:r w:rsidRPr="007D0134">
        <w:rPr>
          <w:rFonts w:ascii="Century" w:hAnsi="Century" w:hint="eastAsia"/>
          <w:rtl/>
        </w:rPr>
        <w:t>חורגת</w:t>
      </w:r>
      <w:r w:rsidRPr="007D0134">
        <w:rPr>
          <w:rFonts w:ascii="Century" w:hAnsi="Century"/>
          <w:rtl/>
        </w:rPr>
        <w:t xml:space="preserve"> </w:t>
      </w:r>
      <w:r w:rsidRPr="007D0134">
        <w:rPr>
          <w:rFonts w:ascii="Century" w:hAnsi="Century" w:hint="eastAsia"/>
          <w:rtl/>
        </w:rPr>
        <w:t>מסמכותה</w:t>
      </w:r>
      <w:r w:rsidRPr="007D0134">
        <w:rPr>
          <w:rFonts w:ascii="Century" w:hAnsi="Century" w:hint="cs"/>
          <w:rtl/>
        </w:rPr>
        <w:t xml:space="preserve"> כרשות מכוננת)</w:t>
      </w:r>
      <w:r w:rsidRPr="007D0134">
        <w:rPr>
          <w:rFonts w:ascii="Century" w:hAnsi="Century"/>
          <w:rtl/>
        </w:rPr>
        <w:t xml:space="preserve">. </w:t>
      </w:r>
      <w:r w:rsidRPr="007D0134">
        <w:rPr>
          <w:rFonts w:ascii="Century" w:hAnsi="Century" w:hint="eastAsia"/>
          <w:rtl/>
        </w:rPr>
        <w:t>פרשנות</w:t>
      </w:r>
      <w:r w:rsidRPr="007D0134">
        <w:rPr>
          <w:rFonts w:ascii="Century" w:hAnsi="Century"/>
          <w:rtl/>
        </w:rPr>
        <w:t xml:space="preserve"> </w:t>
      </w:r>
      <w:r w:rsidRPr="007D0134">
        <w:rPr>
          <w:rFonts w:ascii="Century" w:hAnsi="Century" w:hint="eastAsia"/>
          <w:rtl/>
        </w:rPr>
        <w:t>זו</w:t>
      </w:r>
      <w:r w:rsidRPr="007D0134">
        <w:rPr>
          <w:rFonts w:ascii="Century" w:hAnsi="Century"/>
          <w:rtl/>
        </w:rPr>
        <w:t xml:space="preserve"> </w:t>
      </w:r>
      <w:r w:rsidRPr="007D0134">
        <w:rPr>
          <w:rFonts w:ascii="Century" w:hAnsi="Century" w:hint="eastAsia"/>
          <w:rtl/>
        </w:rPr>
        <w:t>מתיישבת</w:t>
      </w:r>
      <w:r w:rsidRPr="007D0134">
        <w:rPr>
          <w:rFonts w:ascii="Century" w:hAnsi="Century"/>
          <w:rtl/>
        </w:rPr>
        <w:t xml:space="preserve"> </w:t>
      </w:r>
      <w:r w:rsidRPr="007D0134">
        <w:rPr>
          <w:rFonts w:ascii="Century" w:hAnsi="Century" w:hint="eastAsia"/>
          <w:rtl/>
        </w:rPr>
        <w:t>הן</w:t>
      </w:r>
      <w:r w:rsidRPr="007D0134">
        <w:rPr>
          <w:rFonts w:ascii="Century" w:hAnsi="Century"/>
          <w:rtl/>
        </w:rPr>
        <w:t xml:space="preserve"> </w:t>
      </w:r>
      <w:r w:rsidRPr="007D0134">
        <w:rPr>
          <w:rFonts w:ascii="Century" w:hAnsi="Century" w:hint="eastAsia"/>
          <w:rtl/>
        </w:rPr>
        <w:t>עם</w:t>
      </w:r>
      <w:r w:rsidRPr="007D0134">
        <w:rPr>
          <w:rFonts w:ascii="Century" w:hAnsi="Century"/>
          <w:rtl/>
        </w:rPr>
        <w:t xml:space="preserve"> </w:t>
      </w:r>
      <w:r w:rsidRPr="007D0134">
        <w:rPr>
          <w:rFonts w:ascii="Century" w:hAnsi="Century" w:hint="eastAsia"/>
          <w:rtl/>
        </w:rPr>
        <w:t>לשונה</w:t>
      </w:r>
      <w:r w:rsidRPr="007D0134">
        <w:rPr>
          <w:rFonts w:ascii="Century" w:hAnsi="Century"/>
          <w:rtl/>
        </w:rPr>
        <w:t xml:space="preserve"> </w:t>
      </w:r>
      <w:r w:rsidRPr="007D0134">
        <w:rPr>
          <w:rFonts w:ascii="Century" w:hAnsi="Century" w:hint="eastAsia"/>
          <w:rtl/>
        </w:rPr>
        <w:t>הכללית</w:t>
      </w:r>
      <w:r w:rsidRPr="007D0134">
        <w:rPr>
          <w:rFonts w:ascii="Century" w:hAnsi="Century"/>
          <w:rtl/>
        </w:rPr>
        <w:t xml:space="preserve"> </w:t>
      </w:r>
      <w:r w:rsidRPr="007D0134">
        <w:rPr>
          <w:rFonts w:ascii="Century" w:hAnsi="Century" w:hint="eastAsia"/>
          <w:rtl/>
        </w:rPr>
        <w:t>של</w:t>
      </w:r>
      <w:r w:rsidRPr="007D0134">
        <w:rPr>
          <w:rFonts w:ascii="Century" w:hAnsi="Century"/>
          <w:rtl/>
        </w:rPr>
        <w:t xml:space="preserve"> </w:t>
      </w:r>
      <w:r w:rsidRPr="007D0134">
        <w:rPr>
          <w:rFonts w:ascii="Century" w:hAnsi="Century" w:hint="eastAsia"/>
          <w:rtl/>
        </w:rPr>
        <w:t>הוראת</w:t>
      </w:r>
      <w:r w:rsidRPr="007D0134">
        <w:rPr>
          <w:rFonts w:ascii="Century" w:hAnsi="Century"/>
          <w:rtl/>
        </w:rPr>
        <w:t xml:space="preserve"> </w:t>
      </w:r>
      <w:r w:rsidRPr="007D0134">
        <w:rPr>
          <w:rFonts w:ascii="Century" w:hAnsi="Century" w:hint="eastAsia"/>
          <w:rtl/>
        </w:rPr>
        <w:t>סעיף</w:t>
      </w:r>
      <w:r w:rsidRPr="007D0134">
        <w:rPr>
          <w:rFonts w:ascii="Century" w:hAnsi="Century" w:hint="cs"/>
          <w:rtl/>
        </w:rPr>
        <w:t xml:space="preserve"> זה, המסמיכה את בית המשפט העליון בשבתו כבית משפט גבוה לצדק לדון ולהושיט סעד למען הצדק כלפי רשויות השלטון</w:t>
      </w:r>
      <w:r w:rsidRPr="007D0134">
        <w:rPr>
          <w:rFonts w:ascii="Century" w:hAnsi="Century"/>
          <w:rtl/>
        </w:rPr>
        <w:t xml:space="preserve">; </w:t>
      </w:r>
      <w:r w:rsidRPr="007D0134">
        <w:rPr>
          <w:rFonts w:ascii="Century" w:hAnsi="Century" w:hint="eastAsia"/>
          <w:rtl/>
        </w:rPr>
        <w:t>והן</w:t>
      </w:r>
      <w:r w:rsidRPr="007D0134">
        <w:rPr>
          <w:rFonts w:ascii="Century" w:hAnsi="Century"/>
          <w:rtl/>
        </w:rPr>
        <w:t xml:space="preserve"> </w:t>
      </w:r>
      <w:r w:rsidRPr="007D0134">
        <w:rPr>
          <w:rFonts w:ascii="Century" w:hAnsi="Century" w:hint="cs"/>
          <w:rtl/>
        </w:rPr>
        <w:t xml:space="preserve">מהמסקנה כי הכנסת מוגבלת בפועלה כרשות מכוננת, שממנה נובע </w:t>
      </w:r>
      <w:r w:rsidRPr="007D0134">
        <w:rPr>
          <w:rFonts w:ascii="Century" w:hAnsi="Century" w:hint="eastAsia"/>
          <w:rtl/>
        </w:rPr>
        <w:t>צורך</w:t>
      </w:r>
      <w:r w:rsidRPr="007D0134">
        <w:rPr>
          <w:rFonts w:ascii="Century" w:hAnsi="Century"/>
          <w:rtl/>
        </w:rPr>
        <w:t xml:space="preserve"> חיוני </w:t>
      </w:r>
      <w:r w:rsidRPr="007D0134">
        <w:rPr>
          <w:rFonts w:ascii="Century" w:hAnsi="Century" w:hint="eastAsia"/>
          <w:rtl/>
        </w:rPr>
        <w:t>בקיומו</w:t>
      </w:r>
      <w:r w:rsidRPr="007D0134">
        <w:rPr>
          <w:rFonts w:ascii="Century" w:hAnsi="Century"/>
          <w:rtl/>
        </w:rPr>
        <w:t xml:space="preserve"> </w:t>
      </w:r>
      <w:r w:rsidRPr="007D0134">
        <w:rPr>
          <w:rFonts w:ascii="Century" w:hAnsi="Century" w:hint="eastAsia"/>
          <w:rtl/>
        </w:rPr>
        <w:t>של</w:t>
      </w:r>
      <w:r w:rsidRPr="007D0134">
        <w:rPr>
          <w:rFonts w:ascii="Century" w:hAnsi="Century"/>
          <w:rtl/>
        </w:rPr>
        <w:t xml:space="preserve"> </w:t>
      </w:r>
      <w:r w:rsidRPr="007D0134">
        <w:rPr>
          <w:rFonts w:ascii="Century" w:hAnsi="Century" w:hint="eastAsia"/>
          <w:rtl/>
        </w:rPr>
        <w:t>כלי</w:t>
      </w:r>
      <w:r w:rsidRPr="007D0134">
        <w:rPr>
          <w:rFonts w:ascii="Century" w:hAnsi="Century"/>
          <w:rtl/>
        </w:rPr>
        <w:t xml:space="preserve"> </w:t>
      </w:r>
      <w:r w:rsidRPr="007D0134">
        <w:rPr>
          <w:rFonts w:ascii="Century" w:hAnsi="Century" w:hint="eastAsia"/>
          <w:rtl/>
        </w:rPr>
        <w:t>שיאפשר</w:t>
      </w:r>
      <w:r w:rsidRPr="007D0134">
        <w:rPr>
          <w:rFonts w:ascii="Century" w:hAnsi="Century"/>
          <w:rtl/>
        </w:rPr>
        <w:t xml:space="preserve"> </w:t>
      </w:r>
      <w:r w:rsidRPr="007D0134">
        <w:rPr>
          <w:rFonts w:ascii="Century" w:hAnsi="Century" w:hint="eastAsia"/>
          <w:rtl/>
        </w:rPr>
        <w:t>את</w:t>
      </w:r>
      <w:r w:rsidRPr="007D0134">
        <w:rPr>
          <w:rFonts w:ascii="Century" w:hAnsi="Century"/>
          <w:rtl/>
        </w:rPr>
        <w:t xml:space="preserve"> </w:t>
      </w:r>
      <w:r w:rsidRPr="007D0134">
        <w:rPr>
          <w:rFonts w:ascii="Century" w:hAnsi="Century" w:hint="eastAsia"/>
          <w:rtl/>
        </w:rPr>
        <w:t>אכיפת</w:t>
      </w:r>
      <w:r w:rsidRPr="007D0134">
        <w:rPr>
          <w:rFonts w:ascii="Century" w:hAnsi="Century"/>
          <w:rtl/>
        </w:rPr>
        <w:t xml:space="preserve"> המגבלות </w:t>
      </w:r>
      <w:r w:rsidRPr="007D0134">
        <w:rPr>
          <w:rFonts w:ascii="Century" w:hAnsi="Century" w:hint="cs"/>
          <w:rtl/>
        </w:rPr>
        <w:t>הללו אם וכאשר הכנסת חורגת מהן. בהתאם לסעיף 15(ג) לחוק יסוד: השפיטה, ו</w:t>
      </w:r>
      <w:r w:rsidRPr="007D0134">
        <w:rPr>
          <w:rFonts w:ascii="Century" w:hAnsi="Century"/>
          <w:rtl/>
        </w:rPr>
        <w:t xml:space="preserve">בהיעדר כל </w:t>
      </w:r>
      <w:r w:rsidRPr="007D0134">
        <w:rPr>
          <w:rFonts w:ascii="Century" w:hAnsi="Century" w:hint="eastAsia"/>
          <w:rtl/>
        </w:rPr>
        <w:t>כלי</w:t>
      </w:r>
      <w:r w:rsidRPr="007D0134">
        <w:rPr>
          <w:rFonts w:ascii="Century" w:hAnsi="Century"/>
          <w:rtl/>
        </w:rPr>
        <w:t xml:space="preserve"> אפקטיבי אחר </w:t>
      </w:r>
      <w:r w:rsidRPr="007D0134">
        <w:rPr>
          <w:rFonts w:ascii="Century" w:hAnsi="Century" w:hint="eastAsia"/>
          <w:rtl/>
        </w:rPr>
        <w:t>בשיטת</w:t>
      </w:r>
      <w:r w:rsidRPr="007D0134">
        <w:rPr>
          <w:rFonts w:ascii="Century" w:hAnsi="Century"/>
          <w:rtl/>
        </w:rPr>
        <w:t xml:space="preserve"> המשפט בישראל </w:t>
      </w:r>
      <w:r w:rsidRPr="007D0134">
        <w:rPr>
          <w:rFonts w:ascii="Century" w:hAnsi="Century" w:hint="eastAsia"/>
          <w:rtl/>
        </w:rPr>
        <w:t>שבכוחו</w:t>
      </w:r>
      <w:r w:rsidRPr="007D0134">
        <w:rPr>
          <w:rFonts w:ascii="Century" w:hAnsi="Century"/>
          <w:rtl/>
        </w:rPr>
        <w:t xml:space="preserve"> </w:t>
      </w:r>
      <w:r w:rsidRPr="007D0134">
        <w:rPr>
          <w:rFonts w:ascii="Century" w:hAnsi="Century" w:hint="eastAsia"/>
          <w:rtl/>
        </w:rPr>
        <w:t>לרסן</w:t>
      </w:r>
      <w:r w:rsidRPr="007D0134">
        <w:rPr>
          <w:rFonts w:ascii="Century" w:hAnsi="Century"/>
          <w:rtl/>
        </w:rPr>
        <w:t xml:space="preserve"> </w:t>
      </w:r>
      <w:r w:rsidRPr="007D0134">
        <w:rPr>
          <w:rFonts w:ascii="Century" w:hAnsi="Century" w:hint="eastAsia"/>
          <w:rtl/>
        </w:rPr>
        <w:t>את</w:t>
      </w:r>
      <w:r w:rsidRPr="007D0134">
        <w:rPr>
          <w:rFonts w:ascii="Century" w:hAnsi="Century"/>
          <w:rtl/>
        </w:rPr>
        <w:t xml:space="preserve"> </w:t>
      </w:r>
      <w:r w:rsidRPr="007D0134">
        <w:rPr>
          <w:rFonts w:ascii="Century" w:hAnsi="Century" w:hint="eastAsia"/>
          <w:rtl/>
        </w:rPr>
        <w:t>כוחה</w:t>
      </w:r>
      <w:r w:rsidRPr="007D0134">
        <w:rPr>
          <w:rFonts w:ascii="Century" w:hAnsi="Century"/>
          <w:rtl/>
        </w:rPr>
        <w:t xml:space="preserve"> </w:t>
      </w:r>
      <w:r w:rsidRPr="007D0134">
        <w:rPr>
          <w:rFonts w:ascii="Century" w:hAnsi="Century" w:hint="eastAsia"/>
          <w:rtl/>
        </w:rPr>
        <w:t>של</w:t>
      </w:r>
      <w:r w:rsidRPr="007D0134">
        <w:rPr>
          <w:rFonts w:ascii="Century" w:hAnsi="Century"/>
          <w:rtl/>
        </w:rPr>
        <w:t xml:space="preserve"> </w:t>
      </w:r>
      <w:r w:rsidRPr="007D0134">
        <w:rPr>
          <w:rFonts w:ascii="Century" w:hAnsi="Century" w:hint="eastAsia"/>
          <w:rtl/>
        </w:rPr>
        <w:t>הרשות</w:t>
      </w:r>
      <w:r w:rsidRPr="007D0134">
        <w:rPr>
          <w:rFonts w:ascii="Century" w:hAnsi="Century"/>
          <w:rtl/>
        </w:rPr>
        <w:t xml:space="preserve"> </w:t>
      </w:r>
      <w:r w:rsidRPr="007D0134">
        <w:rPr>
          <w:rFonts w:ascii="Century" w:hAnsi="Century" w:hint="eastAsia"/>
          <w:rtl/>
        </w:rPr>
        <w:t>המכוננת</w:t>
      </w:r>
      <w:r w:rsidRPr="007D0134">
        <w:rPr>
          <w:rFonts w:ascii="Century" w:hAnsi="Century" w:hint="cs"/>
          <w:rtl/>
        </w:rPr>
        <w:t xml:space="preserve"> </w:t>
      </w:r>
      <w:r w:rsidRPr="007D0134">
        <w:rPr>
          <w:rFonts w:ascii="Century" w:hAnsi="Century"/>
          <w:rtl/>
        </w:rPr>
        <w:t>–</w:t>
      </w:r>
      <w:r w:rsidRPr="007D0134">
        <w:rPr>
          <w:rFonts w:ascii="Century" w:hAnsi="Century" w:hint="cs"/>
          <w:rtl/>
        </w:rPr>
        <w:t xml:space="preserve"> הרשות השופטת, האמונה ככלל על עריכת ביקורת על אופן מימוש סמכויותיהן של יתר הרשויות, היא שאמונה גם על אכיפת המגבלות הקיימות על כוחה של הרשות המכוננת</w:t>
      </w:r>
      <w:r w:rsidRPr="007D0134">
        <w:rPr>
          <w:rFonts w:ascii="Century" w:hAnsi="Century"/>
          <w:rtl/>
        </w:rPr>
        <w:t xml:space="preserve"> (וראו לעניין זה פסק</w:t>
      </w:r>
      <w:r w:rsidRPr="007D0134">
        <w:rPr>
          <w:rFonts w:ascii="Century" w:hAnsi="Century" w:hint="eastAsia"/>
          <w:rtl/>
        </w:rPr>
        <w:t>אות</w:t>
      </w:r>
      <w:r w:rsidRPr="007D0134">
        <w:rPr>
          <w:rFonts w:ascii="Century" w:hAnsi="Century"/>
          <w:rtl/>
        </w:rPr>
        <w:t xml:space="preserve"> 85-72 ל</w:t>
      </w:r>
      <w:r w:rsidRPr="007D0134">
        <w:rPr>
          <w:rFonts w:ascii="Century" w:hAnsi="Century" w:hint="cs"/>
          <w:rtl/>
        </w:rPr>
        <w:t>חוות דעתה</w:t>
      </w:r>
      <w:r w:rsidRPr="007D0134">
        <w:rPr>
          <w:rFonts w:ascii="Century" w:hAnsi="Century"/>
          <w:rtl/>
        </w:rPr>
        <w:t xml:space="preserve"> של הנשיאה (</w:t>
      </w:r>
      <w:r w:rsidRPr="007D0134">
        <w:rPr>
          <w:rFonts w:ascii="Century" w:hAnsi="Century" w:hint="eastAsia"/>
          <w:rtl/>
        </w:rPr>
        <w:t>בדימ</w:t>
      </w:r>
      <w:r w:rsidRPr="007D0134">
        <w:rPr>
          <w:rFonts w:ascii="Century" w:hAnsi="Century"/>
          <w:rtl/>
        </w:rPr>
        <w:t xml:space="preserve">') </w:t>
      </w:r>
      <w:r w:rsidRPr="007D0134">
        <w:rPr>
          <w:rFonts w:ascii="Century" w:hAnsi="Century" w:cs="Miriam" w:hint="eastAsia"/>
          <w:b/>
          <w:szCs w:val="24"/>
          <w:rtl/>
        </w:rPr>
        <w:t>חיות</w:t>
      </w:r>
      <w:r w:rsidRPr="007D0134">
        <w:rPr>
          <w:rFonts w:ascii="Century" w:hAnsi="Century"/>
          <w:rtl/>
        </w:rPr>
        <w:t>).</w:t>
      </w:r>
    </w:p>
    <w:p w:rsidR="00A01E7C" w:rsidRPr="00BE2DC7" w:rsidRDefault="00A01E7C" w:rsidP="00A01E7C">
      <w:pPr>
        <w:spacing w:line="360" w:lineRule="auto"/>
        <w:ind w:firstLine="720"/>
        <w:jc w:val="both"/>
        <w:rPr>
          <w:rFonts w:ascii="Century" w:hAnsi="Century" w:cs="FrankRuehl"/>
          <w:spacing w:val="10"/>
          <w:szCs w:val="28"/>
          <w:rtl/>
        </w:rPr>
      </w:pPr>
    </w:p>
    <w:p w:rsidR="00A01E7C" w:rsidRDefault="00A01E7C" w:rsidP="00A01E7C">
      <w:pPr>
        <w:spacing w:line="360" w:lineRule="auto"/>
        <w:jc w:val="both"/>
        <w:rPr>
          <w:rFonts w:ascii="Century" w:hAnsi="Century" w:cs="Miriam"/>
          <w:b/>
          <w:rtl/>
        </w:rPr>
      </w:pPr>
      <w:r w:rsidRPr="00BE2DC7">
        <w:rPr>
          <w:rFonts w:ascii="Century" w:hAnsi="Century" w:cs="Miriam" w:hint="eastAsia"/>
          <w:b/>
          <w:rtl/>
        </w:rPr>
        <w:t>השאלה</w:t>
      </w:r>
      <w:r w:rsidRPr="00BE2DC7">
        <w:rPr>
          <w:rFonts w:ascii="Century" w:hAnsi="Century" w:cs="Miriam"/>
          <w:b/>
          <w:rtl/>
        </w:rPr>
        <w:t xml:space="preserve"> </w:t>
      </w:r>
      <w:r w:rsidRPr="00BE2DC7">
        <w:rPr>
          <w:rFonts w:ascii="Century" w:hAnsi="Century" w:cs="Miriam" w:hint="eastAsia"/>
          <w:b/>
          <w:rtl/>
        </w:rPr>
        <w:t>השלישית</w:t>
      </w:r>
      <w:r w:rsidRPr="00BE2DC7">
        <w:rPr>
          <w:rFonts w:ascii="Century" w:hAnsi="Century" w:cs="Miriam"/>
          <w:b/>
          <w:rtl/>
        </w:rPr>
        <w:t xml:space="preserve"> – </w:t>
      </w:r>
      <w:r w:rsidRPr="00BE2DC7">
        <w:rPr>
          <w:rFonts w:ascii="Century" w:hAnsi="Century" w:cs="Miriam" w:hint="eastAsia"/>
          <w:b/>
          <w:rtl/>
        </w:rPr>
        <w:t>האם</w:t>
      </w:r>
      <w:r w:rsidRPr="00BE2DC7">
        <w:rPr>
          <w:rFonts w:ascii="Century" w:hAnsi="Century" w:cs="Miriam"/>
          <w:b/>
          <w:rtl/>
        </w:rPr>
        <w:t xml:space="preserve"> </w:t>
      </w:r>
      <w:r>
        <w:rPr>
          <w:rFonts w:ascii="Century" w:hAnsi="Century" w:cs="Miriam" w:hint="cs"/>
          <w:b/>
          <w:rtl/>
        </w:rPr>
        <w:t>תיקון מס' 3 לחוק יסוד: השפיטה</w:t>
      </w:r>
      <w:r w:rsidRPr="00BE2DC7">
        <w:rPr>
          <w:rFonts w:ascii="Century" w:hAnsi="Century" w:cs="Miriam"/>
          <w:b/>
          <w:rtl/>
        </w:rPr>
        <w:t xml:space="preserve"> פוגע באופייה של מדינת ישראל כמדינה דמוקרטית במידה המצדיקה התערבות שיפוטית ופסילת </w:t>
      </w:r>
      <w:r>
        <w:rPr>
          <w:rFonts w:ascii="Century" w:hAnsi="Century" w:cs="Miriam" w:hint="cs"/>
          <w:b/>
          <w:rtl/>
        </w:rPr>
        <w:t>התיקון</w:t>
      </w:r>
      <w:r w:rsidRPr="00BE2DC7">
        <w:rPr>
          <w:rFonts w:ascii="Century" w:hAnsi="Century" w:cs="Miriam"/>
          <w:b/>
          <w:rtl/>
        </w:rPr>
        <w:t>?</w:t>
      </w:r>
    </w:p>
    <w:p w:rsidR="00A01E7C" w:rsidRPr="00BE2DC7" w:rsidRDefault="00A01E7C" w:rsidP="00A01E7C">
      <w:pPr>
        <w:spacing w:line="360" w:lineRule="auto"/>
        <w:jc w:val="both"/>
        <w:rPr>
          <w:rFonts w:ascii="Century" w:hAnsi="Century" w:cs="FrankRuehl"/>
          <w:spacing w:val="10"/>
          <w:szCs w:val="28"/>
          <w:rtl/>
        </w:rPr>
      </w:pPr>
    </w:p>
    <w:p w:rsidR="00A01E7C" w:rsidRPr="007D0134" w:rsidRDefault="00A01E7C" w:rsidP="002A1A3A">
      <w:pPr>
        <w:pStyle w:val="Ruller4"/>
        <w:numPr>
          <w:ilvl w:val="0"/>
          <w:numId w:val="14"/>
        </w:numPr>
        <w:rPr>
          <w:rFonts w:ascii="Century" w:hAnsi="Century"/>
          <w:rtl/>
        </w:rPr>
      </w:pPr>
      <w:r w:rsidRPr="007D0134">
        <w:rPr>
          <w:rFonts w:ascii="Century" w:hAnsi="Century" w:hint="cs"/>
          <w:rtl/>
        </w:rPr>
        <w:t>הנשיאה (בדימ')</w:t>
      </w:r>
      <w:r w:rsidRPr="007D0134">
        <w:rPr>
          <w:rFonts w:ascii="Century" w:hAnsi="Century"/>
          <w:rtl/>
        </w:rPr>
        <w:t xml:space="preserve"> </w:t>
      </w:r>
      <w:r w:rsidRPr="007D0134">
        <w:rPr>
          <w:rFonts w:ascii="Century" w:hAnsi="Century" w:cs="Miriam" w:hint="eastAsia"/>
          <w:b/>
          <w:szCs w:val="24"/>
          <w:rtl/>
        </w:rPr>
        <w:t>חיות</w:t>
      </w:r>
      <w:r w:rsidRPr="007D0134">
        <w:rPr>
          <w:rFonts w:ascii="Century" w:hAnsi="Century" w:hint="cs"/>
          <w:rtl/>
        </w:rPr>
        <w:t xml:space="preserve"> קובעת בחוות דעתה כי התיקון </w:t>
      </w:r>
      <w:r w:rsidRPr="007D0134">
        <w:rPr>
          <w:rFonts w:ascii="Century" w:hAnsi="Century"/>
          <w:rtl/>
        </w:rPr>
        <w:t>–</w:t>
      </w:r>
      <w:r w:rsidRPr="007D0134">
        <w:rPr>
          <w:rFonts w:ascii="Century" w:hAnsi="Century" w:hint="cs"/>
          <w:rtl/>
        </w:rPr>
        <w:t xml:space="preserve"> אשר לגישתה מבטל </w:t>
      </w:r>
      <w:r w:rsidRPr="007D0134">
        <w:rPr>
          <w:rFonts w:ascii="Century" w:hAnsi="Century" w:cs="Miriam" w:hint="eastAsia"/>
          <w:b/>
          <w:szCs w:val="24"/>
          <w:rtl/>
        </w:rPr>
        <w:t>באופן</w:t>
      </w:r>
      <w:r w:rsidRPr="007D0134">
        <w:rPr>
          <w:rFonts w:ascii="Century" w:hAnsi="Century" w:cs="Miriam"/>
          <w:b/>
          <w:szCs w:val="24"/>
          <w:rtl/>
        </w:rPr>
        <w:t xml:space="preserve"> </w:t>
      </w:r>
      <w:r w:rsidRPr="007D0134">
        <w:rPr>
          <w:rFonts w:ascii="Century" w:hAnsi="Century" w:cs="Miriam" w:hint="eastAsia"/>
          <w:b/>
          <w:szCs w:val="24"/>
          <w:rtl/>
        </w:rPr>
        <w:t>גורף</w:t>
      </w:r>
      <w:r w:rsidRPr="007D0134">
        <w:rPr>
          <w:rFonts w:ascii="Century" w:hAnsi="Century" w:hint="cs"/>
          <w:rtl/>
        </w:rPr>
        <w:t xml:space="preserve"> את הביקורת השיפוטית על סבירות החלטות הממשלה, ראש הממשלה והשרים </w:t>
      </w:r>
      <w:r w:rsidRPr="007D0134">
        <w:rPr>
          <w:rFonts w:ascii="Century" w:hAnsi="Century"/>
          <w:rtl/>
        </w:rPr>
        <w:t>–</w:t>
      </w:r>
      <w:r w:rsidRPr="007D0134">
        <w:rPr>
          <w:rFonts w:ascii="Century" w:hAnsi="Century" w:hint="cs"/>
          <w:rtl/>
        </w:rPr>
        <w:t xml:space="preserve"> פוגע פגיעה קשה ביותר במאפיינים הגרעיניים של מדינת ישראל כמדינה דמוקרטית, בשל פגיעתו בעקרון הפרדת הרשויות ובעקרון שלטון החוק. משכך, היא קובעת כי בכינונו של התיקון חרגה הכנסת מסמכותה כרשות מכוננת באופן המצדיק את פסילתו. לעומתה, השופטים</w:t>
      </w:r>
      <w:r w:rsidRPr="007D0134">
        <w:rPr>
          <w:rFonts w:ascii="Century" w:hAnsi="Century"/>
          <w:rtl/>
        </w:rPr>
        <w:t xml:space="preserve"> </w:t>
      </w:r>
      <w:r w:rsidRPr="007D0134">
        <w:rPr>
          <w:rFonts w:ascii="Century" w:hAnsi="Century" w:cs="Miriam" w:hint="cs"/>
          <w:b/>
          <w:szCs w:val="24"/>
          <w:rtl/>
        </w:rPr>
        <w:t>וילנר</w:t>
      </w:r>
      <w:r w:rsidRPr="007D0134">
        <w:rPr>
          <w:rFonts w:ascii="Century" w:hAnsi="Century" w:hint="cs"/>
          <w:rtl/>
        </w:rPr>
        <w:t xml:space="preserve">, </w:t>
      </w:r>
      <w:r w:rsidRPr="007D0134">
        <w:rPr>
          <w:rFonts w:ascii="Century" w:hAnsi="Century" w:cs="Miriam" w:hint="eastAsia"/>
          <w:b/>
          <w:szCs w:val="24"/>
          <w:rtl/>
        </w:rPr>
        <w:t>שטיין</w:t>
      </w:r>
      <w:r w:rsidRPr="007D0134">
        <w:rPr>
          <w:rFonts w:ascii="Century" w:hAnsi="Century" w:hint="cs"/>
          <w:rtl/>
        </w:rPr>
        <w:t xml:space="preserve"> ו</w:t>
      </w:r>
      <w:r w:rsidRPr="007D0134">
        <w:rPr>
          <w:rFonts w:ascii="Century" w:hAnsi="Century" w:cs="Miriam" w:hint="eastAsia"/>
          <w:b/>
          <w:szCs w:val="24"/>
          <w:rtl/>
        </w:rPr>
        <w:t>כנפי</w:t>
      </w:r>
      <w:r w:rsidRPr="007D0134">
        <w:rPr>
          <w:rFonts w:ascii="Century" w:hAnsi="Century" w:cs="Miriam"/>
          <w:b/>
          <w:szCs w:val="24"/>
          <w:rtl/>
        </w:rPr>
        <w:t>-</w:t>
      </w:r>
      <w:r w:rsidRPr="007D0134">
        <w:rPr>
          <w:rFonts w:ascii="Century" w:hAnsi="Century" w:cs="Miriam" w:hint="eastAsia"/>
          <w:b/>
          <w:szCs w:val="24"/>
          <w:rtl/>
        </w:rPr>
        <w:t>שטייניץ</w:t>
      </w:r>
      <w:r w:rsidRPr="007D0134">
        <w:rPr>
          <w:rFonts w:ascii="Century" w:hAnsi="Century" w:hint="cs"/>
          <w:rtl/>
        </w:rPr>
        <w:t xml:space="preserve"> סבורים כי </w:t>
      </w:r>
      <w:r w:rsidRPr="007D0134">
        <w:rPr>
          <w:rFonts w:ascii="Century" w:hAnsi="Century"/>
          <w:rtl/>
        </w:rPr>
        <w:t xml:space="preserve">הפרשנות </w:t>
      </w:r>
      <w:r w:rsidRPr="007D0134">
        <w:rPr>
          <w:rFonts w:ascii="Century" w:hAnsi="Century" w:hint="cs"/>
          <w:rtl/>
        </w:rPr>
        <w:t xml:space="preserve">הנכונה והראויה של התיקון אין משמעה שלילה מוחלטת של עילת הסבירות ביחס להחלטות הממשלה, ראש הממשלה ושריה, כי אם צמצומה למובנה "המסורתי" עובר לפסק הדין בבג"ץ 389/80 </w:t>
      </w:r>
      <w:r w:rsidRPr="007D0134">
        <w:rPr>
          <w:rFonts w:ascii="Century" w:hAnsi="Century" w:cs="Miriam" w:hint="eastAsia"/>
          <w:b/>
          <w:szCs w:val="24"/>
          <w:rtl/>
        </w:rPr>
        <w:t>דפי</w:t>
      </w:r>
      <w:r w:rsidRPr="007D0134">
        <w:rPr>
          <w:rFonts w:ascii="Century" w:hAnsi="Century" w:cs="Miriam"/>
          <w:b/>
          <w:szCs w:val="24"/>
          <w:rtl/>
        </w:rPr>
        <w:t xml:space="preserve"> </w:t>
      </w:r>
      <w:r w:rsidRPr="007D0134">
        <w:rPr>
          <w:rFonts w:ascii="Century" w:hAnsi="Century" w:cs="Miriam" w:hint="eastAsia"/>
          <w:b/>
          <w:szCs w:val="24"/>
          <w:rtl/>
        </w:rPr>
        <w:t>זהב</w:t>
      </w:r>
      <w:r w:rsidRPr="007D0134">
        <w:rPr>
          <w:rFonts w:ascii="Century" w:hAnsi="Century" w:cs="Miriam"/>
          <w:b/>
          <w:szCs w:val="24"/>
          <w:rtl/>
        </w:rPr>
        <w:t xml:space="preserve"> </w:t>
      </w:r>
      <w:r w:rsidRPr="007D0134">
        <w:rPr>
          <w:rFonts w:ascii="Century" w:hAnsi="Century" w:cs="Miriam" w:hint="eastAsia"/>
          <w:b/>
          <w:szCs w:val="24"/>
          <w:rtl/>
        </w:rPr>
        <w:t>בע</w:t>
      </w:r>
      <w:r w:rsidRPr="007D0134">
        <w:rPr>
          <w:rFonts w:ascii="Century" w:hAnsi="Century" w:cs="Miriam"/>
          <w:b/>
          <w:szCs w:val="24"/>
          <w:rtl/>
        </w:rPr>
        <w:t>"</w:t>
      </w:r>
      <w:r w:rsidRPr="007D0134">
        <w:rPr>
          <w:rFonts w:ascii="Century" w:hAnsi="Century" w:cs="Miriam" w:hint="eastAsia"/>
          <w:b/>
          <w:szCs w:val="24"/>
          <w:rtl/>
        </w:rPr>
        <w:t>מ</w:t>
      </w:r>
      <w:r w:rsidRPr="007D0134">
        <w:rPr>
          <w:rFonts w:ascii="Century" w:hAnsi="Century" w:cs="Miriam"/>
          <w:b/>
          <w:szCs w:val="24"/>
          <w:rtl/>
        </w:rPr>
        <w:t xml:space="preserve"> </w:t>
      </w:r>
      <w:r w:rsidRPr="007D0134">
        <w:rPr>
          <w:rFonts w:ascii="Century" w:hAnsi="Century" w:cs="Miriam" w:hint="eastAsia"/>
          <w:b/>
          <w:szCs w:val="24"/>
          <w:rtl/>
        </w:rPr>
        <w:t>נ</w:t>
      </w:r>
      <w:r w:rsidRPr="007D0134">
        <w:rPr>
          <w:rFonts w:ascii="Century" w:hAnsi="Century" w:cs="Miriam"/>
          <w:b/>
          <w:szCs w:val="24"/>
          <w:rtl/>
        </w:rPr>
        <w:t xml:space="preserve">' </w:t>
      </w:r>
      <w:r w:rsidRPr="007D0134">
        <w:rPr>
          <w:rFonts w:ascii="Century" w:hAnsi="Century" w:cs="Miriam" w:hint="eastAsia"/>
          <w:b/>
          <w:szCs w:val="24"/>
          <w:rtl/>
        </w:rPr>
        <w:t>רשות</w:t>
      </w:r>
      <w:r w:rsidRPr="007D0134">
        <w:rPr>
          <w:rFonts w:ascii="Century" w:hAnsi="Century" w:cs="Miriam"/>
          <w:b/>
          <w:szCs w:val="24"/>
          <w:rtl/>
        </w:rPr>
        <w:t xml:space="preserve"> </w:t>
      </w:r>
      <w:r w:rsidRPr="007D0134">
        <w:rPr>
          <w:rFonts w:ascii="Century" w:hAnsi="Century" w:cs="Miriam" w:hint="eastAsia"/>
          <w:b/>
          <w:szCs w:val="24"/>
          <w:rtl/>
        </w:rPr>
        <w:t>השידור</w:t>
      </w:r>
      <w:r w:rsidRPr="007D0134">
        <w:rPr>
          <w:rFonts w:ascii="Century" w:hAnsi="Century" w:hint="cs"/>
          <w:rtl/>
        </w:rPr>
        <w:t xml:space="preserve">, פ"ד ל"ה(1) 421 (1980) (להלן: </w:t>
      </w:r>
      <w:r w:rsidRPr="007D0134">
        <w:rPr>
          <w:rFonts w:ascii="Century" w:hAnsi="Century" w:cs="Miriam" w:hint="eastAsia"/>
          <w:b/>
          <w:szCs w:val="24"/>
          <w:rtl/>
        </w:rPr>
        <w:t>עניין</w:t>
      </w:r>
      <w:r w:rsidRPr="007D0134">
        <w:rPr>
          <w:rFonts w:ascii="Century" w:hAnsi="Century" w:cs="Miriam"/>
          <w:b/>
          <w:szCs w:val="24"/>
          <w:rtl/>
        </w:rPr>
        <w:t xml:space="preserve"> </w:t>
      </w:r>
      <w:r w:rsidRPr="007D0134">
        <w:rPr>
          <w:rFonts w:ascii="Century" w:hAnsi="Century" w:cs="Miriam" w:hint="eastAsia"/>
          <w:b/>
          <w:szCs w:val="24"/>
          <w:rtl/>
        </w:rPr>
        <w:t>דפי</w:t>
      </w:r>
      <w:r w:rsidRPr="007D0134">
        <w:rPr>
          <w:rFonts w:ascii="Century" w:hAnsi="Century" w:cs="Miriam"/>
          <w:b/>
          <w:szCs w:val="24"/>
          <w:rtl/>
        </w:rPr>
        <w:t xml:space="preserve"> </w:t>
      </w:r>
      <w:r w:rsidRPr="007D0134">
        <w:rPr>
          <w:rFonts w:ascii="Century" w:hAnsi="Century" w:cs="Miriam" w:hint="eastAsia"/>
          <w:b/>
          <w:szCs w:val="24"/>
          <w:rtl/>
        </w:rPr>
        <w:t>זהב</w:t>
      </w:r>
      <w:r w:rsidRPr="007D0134">
        <w:rPr>
          <w:rFonts w:ascii="Century" w:hAnsi="Century" w:hint="cs"/>
          <w:rtl/>
        </w:rPr>
        <w:t xml:space="preserve">). לגישתם, בהתאם לפרשנותו זו (אשר תכונה להלן: </w:t>
      </w:r>
      <w:r w:rsidRPr="007D0134">
        <w:rPr>
          <w:rFonts w:ascii="Century" w:hAnsi="Century" w:cs="Miriam" w:hint="eastAsia"/>
          <w:b/>
          <w:szCs w:val="24"/>
          <w:rtl/>
        </w:rPr>
        <w:t>הפרשנות</w:t>
      </w:r>
      <w:r w:rsidRPr="007D0134">
        <w:rPr>
          <w:rFonts w:ascii="Century" w:hAnsi="Century" w:cs="Miriam"/>
          <w:b/>
          <w:szCs w:val="24"/>
          <w:rtl/>
        </w:rPr>
        <w:t xml:space="preserve"> </w:t>
      </w:r>
      <w:r w:rsidRPr="007D0134">
        <w:rPr>
          <w:rFonts w:ascii="Century" w:hAnsi="Century" w:cs="Miriam" w:hint="eastAsia"/>
          <w:b/>
          <w:szCs w:val="24"/>
          <w:rtl/>
        </w:rPr>
        <w:t>המצמצמת</w:t>
      </w:r>
      <w:r w:rsidRPr="007D0134">
        <w:rPr>
          <w:rFonts w:ascii="Century" w:hAnsi="Century" w:hint="cs"/>
          <w:rtl/>
        </w:rPr>
        <w:t>), אין בתיקון משום פגיעה אנושה בליבת זהותה הדמוקרטית של מדינת ישראל, ועל כן אין הוא בגדר חריגה של הכנסת מסמכותה כרשות מכוננת.</w:t>
      </w:r>
      <w:r w:rsidRPr="007D0134">
        <w:rPr>
          <w:rFonts w:ascii="Century" w:hAnsi="Century"/>
          <w:rtl/>
        </w:rPr>
        <w:t xml:space="preserve"> </w:t>
      </w:r>
      <w:r w:rsidRPr="007D0134">
        <w:rPr>
          <w:rFonts w:ascii="Century" w:hAnsi="Century" w:hint="cs"/>
          <w:rtl/>
        </w:rPr>
        <w:t xml:space="preserve">יצוין כי השופטת </w:t>
      </w:r>
      <w:r w:rsidRPr="007D0134">
        <w:rPr>
          <w:rFonts w:ascii="Century" w:hAnsi="Century" w:cs="Miriam" w:hint="cs"/>
          <w:b/>
          <w:szCs w:val="24"/>
          <w:rtl/>
        </w:rPr>
        <w:t>וילנר</w:t>
      </w:r>
      <w:r w:rsidRPr="007D0134">
        <w:rPr>
          <w:rFonts w:ascii="Century" w:hAnsi="Century" w:hint="cs"/>
          <w:rtl/>
        </w:rPr>
        <w:t xml:space="preserve"> סבורה שיש להעדיף את הפרשנות הזו, מאחר שעל פיה לא נוצר צורך בביטול חוק היסוד (קרי מדובר בפרשנות "מקיימת" </w:t>
      </w:r>
      <w:r w:rsidRPr="007D0134">
        <w:rPr>
          <w:rFonts w:ascii="Century" w:hAnsi="Century"/>
          <w:rtl/>
        </w:rPr>
        <w:t>–</w:t>
      </w:r>
      <w:r w:rsidRPr="007D0134">
        <w:rPr>
          <w:rFonts w:ascii="Century" w:hAnsi="Century" w:hint="cs"/>
          <w:rtl/>
        </w:rPr>
        <w:t xml:space="preserve"> ראו פסקה 39 לחוות דעתה. ראו גם פסקה 37 לחוות דעתה של השופטת </w:t>
      </w:r>
      <w:r w:rsidRPr="007D0134">
        <w:rPr>
          <w:rFonts w:ascii="Century" w:hAnsi="Century" w:cs="Miriam" w:hint="eastAsia"/>
          <w:b/>
          <w:szCs w:val="24"/>
          <w:rtl/>
        </w:rPr>
        <w:t>כנפי</w:t>
      </w:r>
      <w:r w:rsidRPr="007D0134">
        <w:rPr>
          <w:rFonts w:ascii="Century" w:hAnsi="Century" w:cs="Miriam"/>
          <w:b/>
          <w:szCs w:val="24"/>
          <w:rtl/>
        </w:rPr>
        <w:t>-</w:t>
      </w:r>
      <w:r w:rsidRPr="007D0134">
        <w:rPr>
          <w:rFonts w:ascii="Century" w:hAnsi="Century" w:cs="Miriam" w:hint="eastAsia"/>
          <w:b/>
          <w:szCs w:val="24"/>
          <w:rtl/>
        </w:rPr>
        <w:t>שטייניץ</w:t>
      </w:r>
      <w:r w:rsidRPr="007D0134">
        <w:rPr>
          <w:rFonts w:ascii="Century" w:hAnsi="Century" w:hint="cs"/>
          <w:rtl/>
        </w:rPr>
        <w:t xml:space="preserve"> המציגה גישה דומה). </w:t>
      </w:r>
      <w:r w:rsidRPr="007D0134">
        <w:rPr>
          <w:rFonts w:ascii="Century" w:hAnsi="Century"/>
          <w:rtl/>
        </w:rPr>
        <w:t xml:space="preserve">כפי שאראה בהמשך, </w:t>
      </w:r>
      <w:r w:rsidRPr="007D0134">
        <w:rPr>
          <w:rFonts w:ascii="Century" w:hAnsi="Century" w:hint="cs"/>
          <w:rtl/>
        </w:rPr>
        <w:t xml:space="preserve">אני מסכימה עם </w:t>
      </w:r>
      <w:r w:rsidRPr="007D0134">
        <w:rPr>
          <w:rFonts w:ascii="Century" w:hAnsi="Century" w:hint="cs"/>
          <w:rtl/>
        </w:rPr>
        <w:lastRenderedPageBreak/>
        <w:t xml:space="preserve">עמדתה של הנשיאה (בדימ') </w:t>
      </w:r>
      <w:r w:rsidRPr="007D0134">
        <w:rPr>
          <w:rFonts w:ascii="Century" w:hAnsi="Century" w:cs="Miriam" w:hint="eastAsia"/>
          <w:b/>
          <w:szCs w:val="24"/>
          <w:rtl/>
        </w:rPr>
        <w:t>חיות</w:t>
      </w:r>
      <w:r w:rsidRPr="007D0134">
        <w:rPr>
          <w:rFonts w:ascii="Century" w:hAnsi="Century"/>
          <w:rtl/>
        </w:rPr>
        <w:t xml:space="preserve"> </w:t>
      </w:r>
      <w:r w:rsidRPr="007D0134">
        <w:rPr>
          <w:rFonts w:ascii="Century" w:hAnsi="Century" w:hint="eastAsia"/>
          <w:rtl/>
        </w:rPr>
        <w:t>כי</w:t>
      </w:r>
      <w:r w:rsidRPr="007D0134">
        <w:rPr>
          <w:rFonts w:ascii="Century" w:hAnsi="Century"/>
          <w:rtl/>
        </w:rPr>
        <w:t xml:space="preserve"> </w:t>
      </w:r>
      <w:r w:rsidRPr="007D0134">
        <w:rPr>
          <w:rFonts w:ascii="Century" w:hAnsi="Century" w:hint="eastAsia"/>
          <w:rtl/>
        </w:rPr>
        <w:t>לא</w:t>
      </w:r>
      <w:r w:rsidRPr="007D0134">
        <w:rPr>
          <w:rFonts w:ascii="Century" w:hAnsi="Century"/>
          <w:rtl/>
        </w:rPr>
        <w:t xml:space="preserve"> </w:t>
      </w:r>
      <w:r w:rsidRPr="007D0134">
        <w:rPr>
          <w:rFonts w:ascii="Century" w:hAnsi="Century" w:hint="eastAsia"/>
          <w:rtl/>
        </w:rPr>
        <w:t>ניתן</w:t>
      </w:r>
      <w:r w:rsidRPr="007D0134">
        <w:rPr>
          <w:rFonts w:ascii="Century" w:hAnsi="Century"/>
          <w:rtl/>
        </w:rPr>
        <w:t xml:space="preserve"> </w:t>
      </w:r>
      <w:r w:rsidRPr="007D0134">
        <w:rPr>
          <w:rFonts w:ascii="Century" w:hAnsi="Century" w:hint="eastAsia"/>
          <w:rtl/>
        </w:rPr>
        <w:t>להגיע</w:t>
      </w:r>
      <w:r w:rsidRPr="007D0134">
        <w:rPr>
          <w:rFonts w:ascii="Century" w:hAnsi="Century"/>
          <w:rtl/>
        </w:rPr>
        <w:t xml:space="preserve"> </w:t>
      </w:r>
      <w:r w:rsidRPr="007D0134">
        <w:rPr>
          <w:rFonts w:ascii="Century" w:hAnsi="Century" w:hint="eastAsia"/>
          <w:rtl/>
        </w:rPr>
        <w:t>לתוצא</w:t>
      </w:r>
      <w:r w:rsidRPr="007D0134">
        <w:rPr>
          <w:rFonts w:ascii="Century" w:hAnsi="Century" w:hint="cs"/>
          <w:rtl/>
        </w:rPr>
        <w:t>ה</w:t>
      </w:r>
      <w:r w:rsidRPr="007D0134">
        <w:rPr>
          <w:rFonts w:ascii="Century" w:hAnsi="Century"/>
          <w:rtl/>
        </w:rPr>
        <w:t xml:space="preserve"> </w:t>
      </w:r>
      <w:r w:rsidRPr="007D0134">
        <w:rPr>
          <w:rFonts w:ascii="Century" w:hAnsi="Century" w:hint="eastAsia"/>
          <w:rtl/>
        </w:rPr>
        <w:t>פרשנית</w:t>
      </w:r>
      <w:r w:rsidRPr="007D0134">
        <w:rPr>
          <w:rFonts w:ascii="Century" w:hAnsi="Century"/>
          <w:rtl/>
        </w:rPr>
        <w:t xml:space="preserve"> </w:t>
      </w:r>
      <w:r w:rsidRPr="007D0134">
        <w:rPr>
          <w:rFonts w:ascii="Century" w:hAnsi="Century" w:hint="cs"/>
          <w:rtl/>
        </w:rPr>
        <w:t>מצמצמת זו</w:t>
      </w:r>
      <w:r w:rsidRPr="007D0134">
        <w:rPr>
          <w:rFonts w:ascii="Century" w:hAnsi="Century"/>
          <w:rtl/>
        </w:rPr>
        <w:t xml:space="preserve">, ולכן </w:t>
      </w:r>
      <w:r w:rsidRPr="007D0134">
        <w:rPr>
          <w:rFonts w:ascii="Century" w:hAnsi="Century" w:hint="cs"/>
          <w:rtl/>
        </w:rPr>
        <w:t xml:space="preserve">גם </w:t>
      </w:r>
      <w:r w:rsidRPr="007D0134">
        <w:rPr>
          <w:rFonts w:ascii="Century" w:hAnsi="Century" w:hint="eastAsia"/>
          <w:rtl/>
        </w:rPr>
        <w:t>אני</w:t>
      </w:r>
      <w:r w:rsidRPr="007D0134">
        <w:rPr>
          <w:rFonts w:ascii="Century" w:hAnsi="Century"/>
          <w:rtl/>
        </w:rPr>
        <w:t xml:space="preserve"> סבורה כי דין התיקון להתבטל</w:t>
      </w:r>
      <w:r w:rsidRPr="007D0134">
        <w:rPr>
          <w:rFonts w:ascii="Century" w:hAnsi="Century" w:hint="cs"/>
          <w:rtl/>
        </w:rPr>
        <w:t xml:space="preserve"> בשל פגיעתו הקשה באופייה הדמוקרטי של מדינת ישראל</w:t>
      </w:r>
      <w:r w:rsidRPr="007D0134">
        <w:rPr>
          <w:rFonts w:ascii="Century" w:hAnsi="Century"/>
          <w:rtl/>
        </w:rPr>
        <w:t xml:space="preserve">. </w:t>
      </w:r>
    </w:p>
    <w:p w:rsidR="00A01E7C" w:rsidRPr="00BE2DC7"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jc w:val="both"/>
        <w:rPr>
          <w:rFonts w:ascii="Century" w:hAnsi="Century" w:cs="Miriam"/>
          <w:b/>
          <w:rtl/>
        </w:rPr>
      </w:pPr>
      <w:r w:rsidRPr="00BE2DC7">
        <w:rPr>
          <w:rFonts w:ascii="Century" w:hAnsi="Century" w:cs="Miriam" w:hint="eastAsia"/>
          <w:b/>
          <w:rtl/>
        </w:rPr>
        <w:t>פרשנות</w:t>
      </w:r>
      <w:r w:rsidRPr="00BE2DC7">
        <w:rPr>
          <w:rFonts w:ascii="Century" w:hAnsi="Century" w:cs="Miriam"/>
          <w:b/>
          <w:rtl/>
        </w:rPr>
        <w:t xml:space="preserve"> התיקון – האם ניתן לקבל את הפרשנות המצמצמת לפיה הוא מתייחס רק לעילת הסבירות כפי שהיא נקבעה </w:t>
      </w:r>
      <w:r w:rsidRPr="00BE2DC7">
        <w:rPr>
          <w:rFonts w:ascii="Century" w:hAnsi="Century" w:cs="Miriam" w:hint="eastAsia"/>
          <w:b/>
          <w:rtl/>
        </w:rPr>
        <w:t>ב</w:t>
      </w:r>
      <w:r>
        <w:rPr>
          <w:rFonts w:ascii="Century" w:hAnsi="Century" w:cs="Miriam" w:hint="cs"/>
          <w:b/>
          <w:rtl/>
        </w:rPr>
        <w:t>עניין</w:t>
      </w:r>
      <w:r w:rsidRPr="00BE2DC7">
        <w:rPr>
          <w:rFonts w:ascii="Century" w:hAnsi="Century" w:cs="Miriam"/>
          <w:b/>
          <w:rtl/>
        </w:rPr>
        <w:t xml:space="preserve"> </w:t>
      </w:r>
      <w:r w:rsidRPr="00BE2DC7">
        <w:rPr>
          <w:rFonts w:ascii="Century" w:hAnsi="Century" w:cs="Miriam" w:hint="eastAsia"/>
          <w:b/>
          <w:rtl/>
        </w:rPr>
        <w:t>דפי</w:t>
      </w:r>
      <w:r w:rsidRPr="00BE2DC7">
        <w:rPr>
          <w:rFonts w:ascii="Century" w:hAnsi="Century" w:cs="Miriam"/>
          <w:b/>
          <w:rtl/>
        </w:rPr>
        <w:t xml:space="preserve"> </w:t>
      </w:r>
      <w:r w:rsidRPr="00BE2DC7">
        <w:rPr>
          <w:rFonts w:ascii="Century" w:hAnsi="Century" w:cs="Miriam" w:hint="eastAsia"/>
          <w:b/>
          <w:rtl/>
        </w:rPr>
        <w:t>זהב</w:t>
      </w:r>
      <w:r w:rsidRPr="00BE2DC7">
        <w:rPr>
          <w:rFonts w:ascii="Century" w:hAnsi="Century" w:cs="Miriam"/>
          <w:b/>
          <w:rtl/>
        </w:rPr>
        <w:t>?</w:t>
      </w:r>
    </w:p>
    <w:p w:rsidR="00A01E7C" w:rsidRPr="00BE2DC7" w:rsidRDefault="00A01E7C" w:rsidP="00A01E7C">
      <w:pPr>
        <w:spacing w:line="360" w:lineRule="auto"/>
        <w:jc w:val="both"/>
        <w:rPr>
          <w:rFonts w:ascii="Century" w:hAnsi="Century" w:cs="FrankRuehl"/>
          <w:spacing w:val="10"/>
          <w:szCs w:val="28"/>
          <w:rtl/>
        </w:rPr>
      </w:pPr>
    </w:p>
    <w:p w:rsidR="00A01E7C" w:rsidRPr="007D0134" w:rsidRDefault="00A01E7C" w:rsidP="002A1A3A">
      <w:pPr>
        <w:pStyle w:val="Ruller4"/>
        <w:numPr>
          <w:ilvl w:val="0"/>
          <w:numId w:val="14"/>
        </w:numPr>
        <w:rPr>
          <w:rFonts w:ascii="Century" w:hAnsi="Century"/>
          <w:rtl/>
        </w:rPr>
      </w:pPr>
      <w:r w:rsidRPr="007D0134">
        <w:rPr>
          <w:rFonts w:ascii="Century" w:hAnsi="Century" w:hint="eastAsia"/>
          <w:rtl/>
        </w:rPr>
        <w:t>מהי</w:t>
      </w:r>
      <w:r w:rsidRPr="007D0134">
        <w:rPr>
          <w:rFonts w:ascii="Century" w:hAnsi="Century"/>
          <w:rtl/>
        </w:rPr>
        <w:t xml:space="preserve"> הפרשנות הנכונה לתיקון, והאם יש מקום לקבל את עמדת </w:t>
      </w:r>
      <w:r w:rsidRPr="007D0134">
        <w:rPr>
          <w:rFonts w:ascii="Century" w:hAnsi="Century" w:hint="cs"/>
          <w:rtl/>
        </w:rPr>
        <w:t>חלק מחבריי</w:t>
      </w:r>
      <w:r w:rsidRPr="007D0134">
        <w:rPr>
          <w:rFonts w:ascii="Century" w:hAnsi="Century"/>
          <w:rtl/>
        </w:rPr>
        <w:t xml:space="preserve"> הסבורים כי יש לאמץ</w:t>
      </w:r>
      <w:r w:rsidRPr="007D0134">
        <w:rPr>
          <w:rFonts w:ascii="Century" w:hAnsi="Century" w:hint="cs"/>
          <w:rtl/>
        </w:rPr>
        <w:t xml:space="preserve"> את</w:t>
      </w:r>
      <w:r w:rsidRPr="007D0134">
        <w:rPr>
          <w:rFonts w:ascii="Century" w:hAnsi="Century"/>
          <w:rtl/>
        </w:rPr>
        <w:t xml:space="preserve"> </w:t>
      </w:r>
      <w:r w:rsidRPr="007D0134">
        <w:rPr>
          <w:rFonts w:ascii="Century" w:hAnsi="Century" w:hint="cs"/>
          <w:rtl/>
        </w:rPr>
        <w:t>ה</w:t>
      </w:r>
      <w:r w:rsidRPr="007D0134">
        <w:rPr>
          <w:rFonts w:ascii="Century" w:hAnsi="Century"/>
          <w:rtl/>
        </w:rPr>
        <w:t>פרשנות</w:t>
      </w:r>
      <w:r w:rsidRPr="007D0134">
        <w:rPr>
          <w:rFonts w:ascii="Century" w:hAnsi="Century" w:hint="cs"/>
          <w:rtl/>
        </w:rPr>
        <w:t xml:space="preserve"> המצמצמת</w:t>
      </w:r>
      <w:r w:rsidRPr="007D0134">
        <w:rPr>
          <w:rFonts w:ascii="Century" w:hAnsi="Century"/>
          <w:rtl/>
        </w:rPr>
        <w:t xml:space="preserve"> לפיה התיקון נועד להשיב את המצב המשפטי לזה שהיה קיים ערב פסק הדין בעניין </w:t>
      </w:r>
      <w:r w:rsidRPr="007D0134">
        <w:rPr>
          <w:rFonts w:ascii="Century" w:hAnsi="Century" w:cs="Miriam"/>
          <w:b/>
          <w:szCs w:val="24"/>
          <w:rtl/>
        </w:rPr>
        <w:t>דפי זהב</w:t>
      </w:r>
      <w:r w:rsidRPr="007D0134">
        <w:rPr>
          <w:rFonts w:ascii="Century" w:hAnsi="Century" w:hint="cs"/>
          <w:rtl/>
        </w:rPr>
        <w:t>?</w:t>
      </w:r>
      <w:r w:rsidRPr="007D0134">
        <w:rPr>
          <w:rFonts w:ascii="Century" w:hAnsi="Century"/>
          <w:rtl/>
        </w:rPr>
        <w:t xml:space="preserve"> </w:t>
      </w:r>
      <w:r w:rsidRPr="007D0134">
        <w:rPr>
          <w:rFonts w:ascii="Century" w:hAnsi="Century" w:hint="cs"/>
          <w:rtl/>
        </w:rPr>
        <w:t xml:space="preserve">כדי לבחון זאת, יש להרחיב מעט את הדיבור בשאלה מה היה הדין בהתייחס לבחינה שיפוטית של החלטות מינהליות לפני פסק הדין בעניין </w:t>
      </w:r>
      <w:r w:rsidRPr="007D0134">
        <w:rPr>
          <w:rFonts w:ascii="Century" w:hAnsi="Century" w:cs="Miriam" w:hint="cs"/>
          <w:b/>
          <w:szCs w:val="24"/>
          <w:rtl/>
        </w:rPr>
        <w:t>דפי זהב</w:t>
      </w:r>
      <w:r w:rsidRPr="007D0134">
        <w:rPr>
          <w:rFonts w:ascii="Century" w:hAnsi="Century" w:hint="cs"/>
          <w:rtl/>
        </w:rPr>
        <w:t xml:space="preserve">, ומה היה החידוש בפסק דין זה. זאת מאחר שכדי לקבוע האם הפרשנות לפיה התיקון נועד להשיב את מצב הדברים לזה שהיה לפני פסק הדין בעניין </w:t>
      </w:r>
      <w:r w:rsidRPr="007D0134">
        <w:rPr>
          <w:rFonts w:ascii="Century" w:hAnsi="Century" w:cs="Miriam" w:hint="cs"/>
          <w:b/>
          <w:szCs w:val="24"/>
          <w:rtl/>
        </w:rPr>
        <w:t>דפי זהב</w:t>
      </w:r>
      <w:r w:rsidRPr="007D0134">
        <w:rPr>
          <w:rFonts w:ascii="Century" w:hAnsi="Century" w:hint="cs"/>
          <w:rtl/>
        </w:rPr>
        <w:t xml:space="preserve"> היא פרשנות אפשרית, מעשית ובעלת משמעות, יש לבחון האם ניתן לצקת תוכן ממשי לפרשנות זו, באופן שיכוון את בתי המשפט ביחס לעתירות עתידיות בהן תיטען טענה של העדר סבירות. </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ind w:firstLine="720"/>
        <w:jc w:val="both"/>
        <w:rPr>
          <w:rFonts w:ascii="Century" w:hAnsi="Century" w:cs="FrankRuehl"/>
          <w:spacing w:val="10"/>
          <w:szCs w:val="28"/>
          <w:rtl/>
        </w:rPr>
      </w:pPr>
      <w:r w:rsidRPr="00BE2DC7">
        <w:rPr>
          <w:rFonts w:ascii="Century" w:hAnsi="Century" w:cs="FrankRuehl" w:hint="eastAsia"/>
          <w:spacing w:val="10"/>
          <w:szCs w:val="28"/>
          <w:rtl/>
        </w:rPr>
        <w:t>למעשה</w:t>
      </w:r>
      <w:r>
        <w:rPr>
          <w:rFonts w:ascii="Century" w:hAnsi="Century" w:cs="FrankRuehl" w:hint="cs"/>
          <w:spacing w:val="10"/>
          <w:szCs w:val="28"/>
          <w:rtl/>
        </w:rPr>
        <w:t>,</w:t>
      </w:r>
      <w:r w:rsidRPr="00BE2DC7">
        <w:rPr>
          <w:rFonts w:ascii="Century" w:hAnsi="Century" w:cs="FrankRuehl"/>
          <w:spacing w:val="10"/>
          <w:szCs w:val="28"/>
          <w:rtl/>
        </w:rPr>
        <w:t xml:space="preserve"> הנחת </w:t>
      </w:r>
      <w:r>
        <w:rPr>
          <w:rFonts w:ascii="Century" w:hAnsi="Century" w:cs="FrankRuehl" w:hint="cs"/>
          <w:spacing w:val="10"/>
          <w:szCs w:val="28"/>
          <w:rtl/>
        </w:rPr>
        <w:t>ה</w:t>
      </w:r>
      <w:r w:rsidRPr="00BE2DC7">
        <w:rPr>
          <w:rFonts w:ascii="Century" w:hAnsi="Century" w:cs="FrankRuehl"/>
          <w:spacing w:val="10"/>
          <w:szCs w:val="28"/>
          <w:rtl/>
        </w:rPr>
        <w:t xml:space="preserve">יסוד </w:t>
      </w:r>
      <w:r>
        <w:rPr>
          <w:rFonts w:ascii="Century" w:hAnsi="Century" w:cs="FrankRuehl" w:hint="cs"/>
          <w:spacing w:val="10"/>
          <w:szCs w:val="28"/>
          <w:rtl/>
        </w:rPr>
        <w:t>הניצבת בבסיסה של ה</w:t>
      </w:r>
      <w:r w:rsidRPr="00BE2DC7">
        <w:rPr>
          <w:rFonts w:ascii="Century" w:hAnsi="Century" w:cs="FrankRuehl"/>
          <w:spacing w:val="10"/>
          <w:szCs w:val="28"/>
          <w:rtl/>
        </w:rPr>
        <w:t xml:space="preserve">פרשנות </w:t>
      </w:r>
      <w:r>
        <w:rPr>
          <w:rFonts w:ascii="Century" w:hAnsi="Century" w:cs="FrankRuehl" w:hint="cs"/>
          <w:spacing w:val="10"/>
          <w:szCs w:val="28"/>
          <w:rtl/>
        </w:rPr>
        <w:t xml:space="preserve">המצמצמת לתיקון היא כי המצב המשפטי לפני פסק הדין בעניין </w:t>
      </w:r>
      <w:r w:rsidRPr="00BE2DC7">
        <w:rPr>
          <w:rFonts w:ascii="Century" w:hAnsi="Century" w:cs="Miriam" w:hint="eastAsia"/>
          <w:b/>
          <w:rtl/>
        </w:rPr>
        <w:t>דפי</w:t>
      </w:r>
      <w:r w:rsidRPr="00BE2DC7">
        <w:rPr>
          <w:rFonts w:ascii="Century" w:hAnsi="Century" w:cs="Miriam"/>
          <w:b/>
          <w:rtl/>
        </w:rPr>
        <w:t xml:space="preserve"> </w:t>
      </w:r>
      <w:r w:rsidRPr="00BE2DC7">
        <w:rPr>
          <w:rFonts w:ascii="Century" w:hAnsi="Century" w:cs="Miriam" w:hint="eastAsia"/>
          <w:b/>
          <w:rtl/>
        </w:rPr>
        <w:t>זהב</w:t>
      </w:r>
      <w:r w:rsidRPr="0071553C">
        <w:rPr>
          <w:rFonts w:ascii="Century" w:hAnsi="Century" w:cs="FrankRuehl" w:hint="cs"/>
          <w:spacing w:val="10"/>
          <w:szCs w:val="28"/>
          <w:rtl/>
        </w:rPr>
        <w:t xml:space="preserve"> </w:t>
      </w:r>
      <w:r>
        <w:rPr>
          <w:rFonts w:ascii="Century" w:hAnsi="Century" w:cs="FrankRuehl" w:hint="cs"/>
          <w:spacing w:val="10"/>
          <w:szCs w:val="28"/>
          <w:rtl/>
        </w:rPr>
        <w:t xml:space="preserve">היה ברור; וכי פסק הדין יצר שינוי ברור במצב המשפטי. אלמלא כן, אין כמובן משמעות ברורה להנחיה אפשרית של המחוקק כי בתי המשפט צריכים, מעתה ואילך, לנהוג כאילו "הלכת </w:t>
      </w:r>
      <w:r w:rsidRPr="00796659">
        <w:rPr>
          <w:rFonts w:ascii="Century" w:hAnsi="Century" w:cs="Miriam" w:hint="cs"/>
          <w:b/>
          <w:rtl/>
        </w:rPr>
        <w:t>דפי זהב</w:t>
      </w:r>
      <w:r>
        <w:rPr>
          <w:rFonts w:ascii="Century" w:hAnsi="Century" w:cs="FrankRuehl" w:hint="cs"/>
          <w:spacing w:val="10"/>
          <w:szCs w:val="28"/>
          <w:rtl/>
        </w:rPr>
        <w:t xml:space="preserve">" לא באה לעולם. </w:t>
      </w:r>
    </w:p>
    <w:p w:rsidR="00A01E7C" w:rsidRDefault="00A01E7C" w:rsidP="00A01E7C">
      <w:pPr>
        <w:spacing w:line="360" w:lineRule="auto"/>
        <w:ind w:firstLine="720"/>
        <w:jc w:val="both"/>
        <w:rPr>
          <w:rFonts w:ascii="Century" w:hAnsi="Century" w:cs="FrankRuehl"/>
          <w:spacing w:val="10"/>
          <w:szCs w:val="28"/>
          <w:rtl/>
        </w:rPr>
      </w:pPr>
    </w:p>
    <w:p w:rsidR="00A01E7C" w:rsidRDefault="00A01E7C" w:rsidP="00A01E7C">
      <w:pPr>
        <w:spacing w:line="360" w:lineRule="auto"/>
        <w:ind w:firstLine="720"/>
        <w:jc w:val="both"/>
        <w:rPr>
          <w:rFonts w:ascii="Century" w:hAnsi="Century" w:cs="FrankRuehl"/>
          <w:spacing w:val="10"/>
          <w:szCs w:val="28"/>
          <w:rtl/>
        </w:rPr>
      </w:pPr>
      <w:r>
        <w:rPr>
          <w:rFonts w:ascii="Century" w:hAnsi="Century" w:cs="FrankRuehl" w:hint="cs"/>
          <w:spacing w:val="10"/>
          <w:szCs w:val="28"/>
          <w:rtl/>
        </w:rPr>
        <w:t>את הנחת היסוד הזו ניתן לחלק לשלוש הנחות משנה</w:t>
      </w:r>
      <w:r w:rsidRPr="00BE2DC7">
        <w:rPr>
          <w:rFonts w:ascii="Century" w:hAnsi="Century" w:cs="FrankRuehl"/>
          <w:spacing w:val="10"/>
          <w:szCs w:val="28"/>
          <w:rtl/>
        </w:rPr>
        <w:t xml:space="preserve"> – </w:t>
      </w:r>
    </w:p>
    <w:p w:rsidR="00A01E7C" w:rsidRPr="00BE2DC7" w:rsidRDefault="00A01E7C" w:rsidP="00A01E7C">
      <w:pPr>
        <w:spacing w:line="360" w:lineRule="auto"/>
        <w:ind w:firstLine="720"/>
        <w:jc w:val="both"/>
        <w:rPr>
          <w:rFonts w:ascii="Century" w:hAnsi="Century" w:cs="FrankRuehl"/>
          <w:spacing w:val="10"/>
          <w:szCs w:val="28"/>
          <w:rtl/>
        </w:rPr>
      </w:pPr>
    </w:p>
    <w:p w:rsidR="00A01E7C" w:rsidRPr="00BE2DC7" w:rsidRDefault="00A01E7C" w:rsidP="00A01E7C">
      <w:pPr>
        <w:spacing w:line="360" w:lineRule="auto"/>
        <w:ind w:left="1440" w:hanging="720"/>
        <w:jc w:val="both"/>
        <w:rPr>
          <w:rFonts w:ascii="Century" w:hAnsi="Century" w:cs="FrankRuehl"/>
          <w:spacing w:val="10"/>
          <w:szCs w:val="28"/>
          <w:rtl/>
        </w:rPr>
      </w:pPr>
      <w:r>
        <w:rPr>
          <w:rFonts w:ascii="Century" w:hAnsi="Century" w:cs="FrankRuehl" w:hint="cs"/>
          <w:spacing w:val="10"/>
          <w:szCs w:val="28"/>
          <w:rtl/>
        </w:rPr>
        <w:t>(-)</w:t>
      </w:r>
      <w:r>
        <w:rPr>
          <w:rFonts w:ascii="Century" w:hAnsi="Century" w:cs="FrankRuehl"/>
          <w:spacing w:val="10"/>
          <w:szCs w:val="28"/>
          <w:rtl/>
        </w:rPr>
        <w:tab/>
      </w:r>
      <w:r>
        <w:rPr>
          <w:rFonts w:ascii="Century" w:hAnsi="Century" w:cs="FrankRuehl" w:hint="cs"/>
          <w:spacing w:val="10"/>
          <w:szCs w:val="28"/>
          <w:rtl/>
        </w:rPr>
        <w:t xml:space="preserve">עובר לפסק הדין בעניין </w:t>
      </w:r>
      <w:r w:rsidRPr="00BE2DC7">
        <w:rPr>
          <w:rFonts w:ascii="Century" w:hAnsi="Century" w:cs="Miriam" w:hint="eastAsia"/>
          <w:b/>
          <w:rtl/>
        </w:rPr>
        <w:t>דפי</w:t>
      </w:r>
      <w:r w:rsidRPr="00BE2DC7">
        <w:rPr>
          <w:rFonts w:ascii="Century" w:hAnsi="Century" w:cs="Miriam"/>
          <w:b/>
          <w:rtl/>
        </w:rPr>
        <w:t xml:space="preserve"> </w:t>
      </w:r>
      <w:r w:rsidRPr="00BE2DC7">
        <w:rPr>
          <w:rFonts w:ascii="Century" w:hAnsi="Century" w:cs="Miriam" w:hint="eastAsia"/>
          <w:b/>
          <w:rtl/>
        </w:rPr>
        <w:t>זהב</w:t>
      </w:r>
      <w:r>
        <w:rPr>
          <w:rFonts w:ascii="Century" w:hAnsi="Century" w:cs="FrankRuehl" w:hint="cs"/>
          <w:spacing w:val="10"/>
          <w:szCs w:val="28"/>
          <w:rtl/>
        </w:rPr>
        <w:t xml:space="preserve"> </w:t>
      </w:r>
      <w:r w:rsidRPr="00BE2DC7">
        <w:rPr>
          <w:rFonts w:ascii="Century" w:hAnsi="Century" w:cs="FrankRuehl" w:hint="eastAsia"/>
          <w:spacing w:val="10"/>
          <w:szCs w:val="28"/>
          <w:rtl/>
        </w:rPr>
        <w:t>הייתה</w:t>
      </w:r>
      <w:r w:rsidRPr="00BE2DC7">
        <w:rPr>
          <w:rFonts w:ascii="Century" w:hAnsi="Century" w:cs="FrankRuehl"/>
          <w:spacing w:val="10"/>
          <w:szCs w:val="28"/>
          <w:rtl/>
        </w:rPr>
        <w:t xml:space="preserve"> </w:t>
      </w:r>
      <w:r w:rsidRPr="00BE2DC7">
        <w:rPr>
          <w:rFonts w:ascii="Century" w:hAnsi="Century" w:cs="FrankRuehl" w:hint="eastAsia"/>
          <w:spacing w:val="10"/>
          <w:szCs w:val="28"/>
          <w:rtl/>
        </w:rPr>
        <w:t>התערבות</w:t>
      </w:r>
      <w:r w:rsidRPr="00BE2DC7">
        <w:rPr>
          <w:rFonts w:ascii="Century" w:hAnsi="Century" w:cs="FrankRuehl"/>
          <w:spacing w:val="10"/>
          <w:szCs w:val="28"/>
          <w:rtl/>
        </w:rPr>
        <w:t xml:space="preserve"> </w:t>
      </w:r>
      <w:r w:rsidRPr="00BE2DC7">
        <w:rPr>
          <w:rFonts w:ascii="Century" w:hAnsi="Century" w:cs="FrankRuehl" w:hint="eastAsia"/>
          <w:spacing w:val="10"/>
          <w:szCs w:val="28"/>
          <w:rtl/>
        </w:rPr>
        <w:t>אפשרית</w:t>
      </w:r>
      <w:r w:rsidRPr="00BE2DC7">
        <w:rPr>
          <w:rFonts w:ascii="Century" w:hAnsi="Century" w:cs="FrankRuehl"/>
          <w:spacing w:val="10"/>
          <w:szCs w:val="28"/>
          <w:rtl/>
        </w:rPr>
        <w:t xml:space="preserve"> </w:t>
      </w:r>
      <w:r w:rsidRPr="00BE2DC7">
        <w:rPr>
          <w:rFonts w:ascii="Century" w:hAnsi="Century" w:cs="FrankRuehl" w:hint="eastAsia"/>
          <w:spacing w:val="10"/>
          <w:szCs w:val="28"/>
          <w:rtl/>
        </w:rPr>
        <w:t>של</w:t>
      </w:r>
      <w:r w:rsidRPr="00BE2DC7">
        <w:rPr>
          <w:rFonts w:ascii="Century" w:hAnsi="Century" w:cs="FrankRuehl"/>
          <w:spacing w:val="10"/>
          <w:szCs w:val="28"/>
          <w:rtl/>
        </w:rPr>
        <w:t xml:space="preserve"> </w:t>
      </w:r>
      <w:r w:rsidRPr="00BE2DC7">
        <w:rPr>
          <w:rFonts w:ascii="Century" w:hAnsi="Century" w:cs="FrankRuehl" w:hint="eastAsia"/>
          <w:spacing w:val="10"/>
          <w:szCs w:val="28"/>
          <w:rtl/>
        </w:rPr>
        <w:t>בית</w:t>
      </w:r>
      <w:r w:rsidRPr="00BE2DC7">
        <w:rPr>
          <w:rFonts w:ascii="Century" w:hAnsi="Century" w:cs="FrankRuehl"/>
          <w:spacing w:val="10"/>
          <w:szCs w:val="28"/>
          <w:rtl/>
        </w:rPr>
        <w:t xml:space="preserve"> </w:t>
      </w:r>
      <w:r w:rsidRPr="00BE2DC7">
        <w:rPr>
          <w:rFonts w:ascii="Century" w:hAnsi="Century" w:cs="FrankRuehl" w:hint="eastAsia"/>
          <w:spacing w:val="10"/>
          <w:szCs w:val="28"/>
          <w:rtl/>
        </w:rPr>
        <w:t>המשפט</w:t>
      </w:r>
      <w:r>
        <w:rPr>
          <w:rFonts w:ascii="Century" w:hAnsi="Century" w:cs="FrankRuehl" w:hint="cs"/>
          <w:spacing w:val="10"/>
          <w:szCs w:val="28"/>
          <w:rtl/>
        </w:rPr>
        <w:t xml:space="preserve"> בהחלטות מינהליות</w:t>
      </w:r>
      <w:r w:rsidRPr="00BE2DC7">
        <w:rPr>
          <w:rFonts w:ascii="Century" w:hAnsi="Century" w:cs="FrankRuehl"/>
          <w:spacing w:val="10"/>
          <w:szCs w:val="28"/>
          <w:rtl/>
        </w:rPr>
        <w:t xml:space="preserve"> רק במקרה של החלטה שהיא מופרכת</w:t>
      </w:r>
      <w:r>
        <w:rPr>
          <w:rFonts w:ascii="Century" w:hAnsi="Century" w:cs="FrankRuehl" w:hint="cs"/>
          <w:spacing w:val="10"/>
          <w:szCs w:val="28"/>
          <w:rtl/>
        </w:rPr>
        <w:t xml:space="preserve"> מעיקרה</w:t>
      </w:r>
      <w:r w:rsidRPr="00BE2DC7">
        <w:rPr>
          <w:rFonts w:ascii="Century" w:hAnsi="Century" w:cs="FrankRuehl"/>
          <w:spacing w:val="10"/>
          <w:szCs w:val="28"/>
          <w:rtl/>
        </w:rPr>
        <w:t xml:space="preserve">, ששום גורם רציונלי לא היה יכול לקבלה, </w:t>
      </w:r>
      <w:r>
        <w:rPr>
          <w:rFonts w:ascii="Century" w:hAnsi="Century" w:cs="FrankRuehl" w:hint="cs"/>
          <w:spacing w:val="10"/>
          <w:szCs w:val="28"/>
          <w:rtl/>
        </w:rPr>
        <w:t>מבלי שבית המשפט בחן את האיזון שנערך בין השיקולים הרלוונטיים ששימשו לצורך קבלת ההחלטה</w:t>
      </w:r>
      <w:r w:rsidRPr="00BE2DC7">
        <w:rPr>
          <w:rFonts w:ascii="Century" w:hAnsi="Century" w:cs="FrankRuehl"/>
          <w:spacing w:val="10"/>
          <w:szCs w:val="28"/>
          <w:rtl/>
        </w:rPr>
        <w:t xml:space="preserve">; </w:t>
      </w:r>
    </w:p>
    <w:p w:rsidR="00A01E7C" w:rsidRPr="00BE2DC7" w:rsidRDefault="00A01E7C" w:rsidP="00A01E7C">
      <w:pPr>
        <w:pStyle w:val="af0"/>
        <w:ind w:left="1440" w:hanging="720"/>
        <w:jc w:val="both"/>
        <w:rPr>
          <w:rtl/>
        </w:rPr>
      </w:pPr>
      <w:r>
        <w:rPr>
          <w:rFonts w:hint="cs"/>
          <w:rtl/>
        </w:rPr>
        <w:t>(-)</w:t>
      </w:r>
      <w:r>
        <w:rPr>
          <w:rtl/>
        </w:rPr>
        <w:tab/>
      </w:r>
      <w:r>
        <w:rPr>
          <w:rFonts w:hint="cs"/>
          <w:rtl/>
        </w:rPr>
        <w:t xml:space="preserve">פסק הדין בעניין </w:t>
      </w:r>
      <w:r w:rsidRPr="00BE2DC7">
        <w:rPr>
          <w:rFonts w:cs="Miriam"/>
          <w:b/>
          <w:szCs w:val="24"/>
          <w:rtl/>
        </w:rPr>
        <w:t>דפי זהב</w:t>
      </w:r>
      <w:r w:rsidRPr="00BE2DC7">
        <w:rPr>
          <w:rtl/>
        </w:rPr>
        <w:t xml:space="preserve"> </w:t>
      </w:r>
      <w:r w:rsidRPr="00BE2DC7">
        <w:rPr>
          <w:rFonts w:hint="eastAsia"/>
          <w:rtl/>
        </w:rPr>
        <w:t>היה</w:t>
      </w:r>
      <w:r w:rsidRPr="00BE2DC7">
        <w:rPr>
          <w:rtl/>
        </w:rPr>
        <w:t xml:space="preserve"> </w:t>
      </w:r>
      <w:r>
        <w:rPr>
          <w:rFonts w:hint="cs"/>
          <w:rtl/>
        </w:rPr>
        <w:t>"</w:t>
      </w:r>
      <w:r w:rsidRPr="00BE2DC7">
        <w:rPr>
          <w:rtl/>
        </w:rPr>
        <w:t xml:space="preserve">קו פרשת </w:t>
      </w:r>
      <w:r>
        <w:rPr>
          <w:rFonts w:hint="cs"/>
          <w:rtl/>
        </w:rPr>
        <w:t>ה</w:t>
      </w:r>
      <w:r w:rsidRPr="00BE2DC7">
        <w:rPr>
          <w:rtl/>
        </w:rPr>
        <w:t>מים</w:t>
      </w:r>
      <w:r>
        <w:rPr>
          <w:rFonts w:hint="cs"/>
          <w:rtl/>
        </w:rPr>
        <w:t>"</w:t>
      </w:r>
      <w:r w:rsidRPr="00BE2DC7">
        <w:rPr>
          <w:rtl/>
        </w:rPr>
        <w:t xml:space="preserve">, ואחריו השתנה באופן ברור </w:t>
      </w:r>
      <w:r>
        <w:rPr>
          <w:rFonts w:hint="cs"/>
          <w:rtl/>
        </w:rPr>
        <w:t xml:space="preserve">מודל </w:t>
      </w:r>
      <w:r w:rsidRPr="00BE2DC7">
        <w:rPr>
          <w:rtl/>
        </w:rPr>
        <w:t xml:space="preserve">הביקורת השיפוטית בהתאם לעילת הסבירות, כך שבית המשפט </w:t>
      </w:r>
      <w:r>
        <w:rPr>
          <w:rFonts w:hint="cs"/>
          <w:rtl/>
        </w:rPr>
        <w:t xml:space="preserve">רשאי </w:t>
      </w:r>
      <w:r w:rsidRPr="00BE2DC7">
        <w:rPr>
          <w:rtl/>
        </w:rPr>
        <w:t>לבחון את המשקל היחסי של כל שיקול ושיקול</w:t>
      </w:r>
      <w:r>
        <w:rPr>
          <w:rFonts w:hint="cs"/>
          <w:rtl/>
        </w:rPr>
        <w:t>,</w:t>
      </w:r>
      <w:r w:rsidRPr="00BE2DC7">
        <w:rPr>
          <w:rtl/>
        </w:rPr>
        <w:t xml:space="preserve"> ולהתערב כאשר ישנה חריגה מהמשקלות ה</w:t>
      </w:r>
      <w:r>
        <w:rPr>
          <w:rFonts w:hint="cs"/>
          <w:rtl/>
        </w:rPr>
        <w:t>ראויים</w:t>
      </w:r>
      <w:r w:rsidRPr="00BE2DC7">
        <w:rPr>
          <w:rtl/>
        </w:rPr>
        <w:t xml:space="preserve"> ש</w:t>
      </w:r>
      <w:r>
        <w:rPr>
          <w:rFonts w:hint="cs"/>
          <w:rtl/>
        </w:rPr>
        <w:t>היו צריכים להי</w:t>
      </w:r>
      <w:r w:rsidRPr="00BE2DC7">
        <w:rPr>
          <w:rtl/>
        </w:rPr>
        <w:t>נת</w:t>
      </w:r>
      <w:r>
        <w:rPr>
          <w:rFonts w:hint="cs"/>
          <w:rtl/>
        </w:rPr>
        <w:t>ן</w:t>
      </w:r>
      <w:r w:rsidRPr="00BE2DC7">
        <w:rPr>
          <w:rtl/>
        </w:rPr>
        <w:t xml:space="preserve"> לכל אחד מהשיקולים; </w:t>
      </w:r>
    </w:p>
    <w:p w:rsidR="00A01E7C" w:rsidRDefault="00A01E7C" w:rsidP="00A01E7C">
      <w:pPr>
        <w:pStyle w:val="af0"/>
        <w:jc w:val="both"/>
        <w:rPr>
          <w:rtl/>
        </w:rPr>
      </w:pPr>
      <w:r>
        <w:rPr>
          <w:rFonts w:hint="cs"/>
          <w:rtl/>
        </w:rPr>
        <w:lastRenderedPageBreak/>
        <w:t>(-)</w:t>
      </w:r>
      <w:r>
        <w:rPr>
          <w:rtl/>
        </w:rPr>
        <w:tab/>
      </w:r>
      <w:r w:rsidRPr="00BE2DC7">
        <w:rPr>
          <w:rFonts w:hint="eastAsia"/>
          <w:rtl/>
        </w:rPr>
        <w:t>המצב</w:t>
      </w:r>
      <w:r w:rsidRPr="00BE2DC7">
        <w:rPr>
          <w:rtl/>
        </w:rPr>
        <w:t xml:space="preserve"> המשפטי היום הוא כפי </w:t>
      </w:r>
      <w:r w:rsidRPr="00BE2DC7">
        <w:rPr>
          <w:rFonts w:hint="eastAsia"/>
          <w:rtl/>
        </w:rPr>
        <w:t>ש</w:t>
      </w:r>
      <w:r>
        <w:rPr>
          <w:rFonts w:hint="cs"/>
          <w:rtl/>
        </w:rPr>
        <w:t>נקבע בפסק הדין</w:t>
      </w:r>
      <w:r w:rsidRPr="00BE2DC7">
        <w:rPr>
          <w:rtl/>
        </w:rPr>
        <w:t xml:space="preserve"> </w:t>
      </w:r>
      <w:r>
        <w:rPr>
          <w:rFonts w:hint="cs"/>
          <w:rtl/>
        </w:rPr>
        <w:t>בעניין</w:t>
      </w:r>
      <w:r w:rsidRPr="00BE2DC7">
        <w:rPr>
          <w:rtl/>
        </w:rPr>
        <w:t xml:space="preserve"> </w:t>
      </w:r>
      <w:r w:rsidRPr="00BE2DC7">
        <w:rPr>
          <w:rFonts w:cs="Miriam"/>
          <w:b/>
          <w:szCs w:val="24"/>
          <w:rtl/>
        </w:rPr>
        <w:t>דפי זהב</w:t>
      </w:r>
      <w:r w:rsidRPr="00BE2DC7">
        <w:rPr>
          <w:rtl/>
        </w:rPr>
        <w:t xml:space="preserve">. </w:t>
      </w:r>
    </w:p>
    <w:p w:rsidR="00A01E7C" w:rsidRPr="00BE2DC7" w:rsidRDefault="00A01E7C" w:rsidP="00A01E7C">
      <w:pPr>
        <w:pStyle w:val="af0"/>
        <w:jc w:val="both"/>
        <w:rPr>
          <w:rtl/>
        </w:rPr>
      </w:pPr>
    </w:p>
    <w:p w:rsidR="00A01E7C" w:rsidRDefault="00A01E7C" w:rsidP="00A01E7C">
      <w:pPr>
        <w:spacing w:line="360" w:lineRule="auto"/>
        <w:ind w:firstLine="720"/>
        <w:jc w:val="both"/>
        <w:rPr>
          <w:rFonts w:ascii="Century" w:hAnsi="Century" w:cs="FrankRuehl"/>
          <w:spacing w:val="10"/>
          <w:szCs w:val="28"/>
          <w:rtl/>
        </w:rPr>
      </w:pPr>
      <w:r w:rsidRPr="00BE2DC7">
        <w:rPr>
          <w:rFonts w:ascii="Century" w:hAnsi="Century" w:cs="FrankRuehl" w:hint="eastAsia"/>
          <w:spacing w:val="10"/>
          <w:szCs w:val="28"/>
          <w:rtl/>
        </w:rPr>
        <w:t>במילים</w:t>
      </w:r>
      <w:r w:rsidRPr="00BE2DC7">
        <w:rPr>
          <w:rFonts w:ascii="Century" w:hAnsi="Century" w:cs="FrankRuehl"/>
          <w:spacing w:val="10"/>
          <w:szCs w:val="28"/>
          <w:rtl/>
        </w:rPr>
        <w:t xml:space="preserve"> אחרות, לפי הפרשנות </w:t>
      </w:r>
      <w:r>
        <w:rPr>
          <w:rFonts w:ascii="Century" w:hAnsi="Century" w:cs="FrankRuehl" w:hint="cs"/>
          <w:spacing w:val="10"/>
          <w:szCs w:val="28"/>
          <w:rtl/>
        </w:rPr>
        <w:t xml:space="preserve">המצמצמת </w:t>
      </w:r>
      <w:r w:rsidRPr="00BE2DC7">
        <w:rPr>
          <w:rFonts w:ascii="Century" w:hAnsi="Century" w:cs="FrankRuehl" w:hint="eastAsia"/>
          <w:spacing w:val="10"/>
          <w:szCs w:val="28"/>
          <w:rtl/>
        </w:rPr>
        <w:t>המוצעת</w:t>
      </w:r>
      <w:r>
        <w:rPr>
          <w:rFonts w:ascii="Century" w:hAnsi="Century" w:cs="FrankRuehl" w:hint="cs"/>
          <w:spacing w:val="10"/>
          <w:szCs w:val="28"/>
          <w:rtl/>
        </w:rPr>
        <w:t xml:space="preserve"> על ידי חלק מחבריי</w:t>
      </w:r>
      <w:r w:rsidRPr="00BE2DC7">
        <w:rPr>
          <w:rFonts w:ascii="Century" w:hAnsi="Century" w:cs="FrankRuehl"/>
          <w:spacing w:val="10"/>
          <w:szCs w:val="28"/>
          <w:rtl/>
        </w:rPr>
        <w:t xml:space="preserve">, </w:t>
      </w:r>
      <w:r w:rsidRPr="00BE2DC7">
        <w:rPr>
          <w:rFonts w:ascii="Century" w:hAnsi="Century" w:cs="FrankRuehl" w:hint="eastAsia"/>
          <w:spacing w:val="10"/>
          <w:szCs w:val="28"/>
          <w:rtl/>
        </w:rPr>
        <w:t>יש</w:t>
      </w:r>
      <w:r w:rsidRPr="00BE2DC7">
        <w:rPr>
          <w:rFonts w:ascii="Century" w:hAnsi="Century" w:cs="FrankRuehl"/>
          <w:spacing w:val="10"/>
          <w:szCs w:val="28"/>
          <w:rtl/>
        </w:rPr>
        <w:t xml:space="preserve"> </w:t>
      </w:r>
      <w:r w:rsidRPr="00BE2DC7">
        <w:rPr>
          <w:rFonts w:ascii="Century" w:hAnsi="Century" w:cs="FrankRuehl" w:hint="eastAsia"/>
          <w:spacing w:val="10"/>
          <w:szCs w:val="28"/>
          <w:rtl/>
        </w:rPr>
        <w:t>לקרוא</w:t>
      </w:r>
      <w:r w:rsidRPr="00BE2DC7">
        <w:rPr>
          <w:rFonts w:ascii="Century" w:hAnsi="Century" w:cs="FrankRuehl"/>
          <w:spacing w:val="10"/>
          <w:szCs w:val="28"/>
          <w:rtl/>
        </w:rPr>
        <w:t xml:space="preserve"> </w:t>
      </w:r>
      <w:r w:rsidRPr="00BE2DC7">
        <w:rPr>
          <w:rFonts w:ascii="Century" w:hAnsi="Century" w:cs="FrankRuehl" w:hint="eastAsia"/>
          <w:spacing w:val="10"/>
          <w:szCs w:val="28"/>
          <w:rtl/>
        </w:rPr>
        <w:t>את</w:t>
      </w:r>
      <w:r w:rsidRPr="00BE2DC7">
        <w:rPr>
          <w:rFonts w:ascii="Century" w:hAnsi="Century" w:cs="FrankRuehl"/>
          <w:spacing w:val="10"/>
          <w:szCs w:val="28"/>
          <w:rtl/>
        </w:rPr>
        <w:t xml:space="preserve"> </w:t>
      </w:r>
      <w:r w:rsidRPr="00BE2DC7">
        <w:rPr>
          <w:rFonts w:ascii="Century" w:hAnsi="Century" w:cs="FrankRuehl" w:hint="eastAsia"/>
          <w:spacing w:val="10"/>
          <w:szCs w:val="28"/>
          <w:rtl/>
        </w:rPr>
        <w:t>התיקון</w:t>
      </w:r>
      <w:r w:rsidRPr="00BE2DC7">
        <w:rPr>
          <w:rFonts w:ascii="Century" w:hAnsi="Century" w:cs="FrankRuehl"/>
          <w:spacing w:val="10"/>
          <w:szCs w:val="28"/>
          <w:rtl/>
        </w:rPr>
        <w:t xml:space="preserve"> </w:t>
      </w:r>
      <w:r w:rsidRPr="00BE2DC7">
        <w:rPr>
          <w:rFonts w:ascii="Century" w:hAnsi="Century" w:cs="FrankRuehl" w:hint="eastAsia"/>
          <w:spacing w:val="10"/>
          <w:szCs w:val="28"/>
          <w:rtl/>
        </w:rPr>
        <w:t>כאילו</w:t>
      </w:r>
      <w:r w:rsidRPr="00BE2DC7">
        <w:rPr>
          <w:rFonts w:ascii="Century" w:hAnsi="Century" w:cs="FrankRuehl"/>
          <w:spacing w:val="10"/>
          <w:szCs w:val="28"/>
          <w:rtl/>
        </w:rPr>
        <w:t xml:space="preserve"> </w:t>
      </w:r>
      <w:r w:rsidRPr="00BE2DC7">
        <w:rPr>
          <w:rFonts w:ascii="Century" w:hAnsi="Century" w:cs="FrankRuehl" w:hint="eastAsia"/>
          <w:spacing w:val="10"/>
          <w:szCs w:val="28"/>
          <w:rtl/>
        </w:rPr>
        <w:t>נאמר</w:t>
      </w:r>
      <w:r w:rsidRPr="00BE2DC7">
        <w:rPr>
          <w:rFonts w:ascii="Century" w:hAnsi="Century" w:cs="FrankRuehl"/>
          <w:spacing w:val="10"/>
          <w:szCs w:val="28"/>
          <w:rtl/>
        </w:rPr>
        <w:t xml:space="preserve"> </w:t>
      </w:r>
      <w:r w:rsidRPr="00BE2DC7">
        <w:rPr>
          <w:rFonts w:ascii="Century" w:hAnsi="Century" w:cs="FrankRuehl" w:hint="eastAsia"/>
          <w:spacing w:val="10"/>
          <w:szCs w:val="28"/>
          <w:rtl/>
        </w:rPr>
        <w:t>בו</w:t>
      </w:r>
      <w:r w:rsidRPr="00BE2DC7">
        <w:rPr>
          <w:rFonts w:ascii="Century" w:hAnsi="Century" w:cs="FrankRuehl"/>
          <w:spacing w:val="10"/>
          <w:szCs w:val="28"/>
          <w:rtl/>
        </w:rPr>
        <w:t xml:space="preserve"> </w:t>
      </w:r>
      <w:r w:rsidRPr="00BE2DC7">
        <w:rPr>
          <w:rFonts w:ascii="Century" w:hAnsi="Century" w:cs="FrankRuehl" w:hint="eastAsia"/>
          <w:spacing w:val="10"/>
          <w:szCs w:val="28"/>
          <w:rtl/>
        </w:rPr>
        <w:t>כי</w:t>
      </w:r>
      <w:r w:rsidRPr="00BE2DC7">
        <w:rPr>
          <w:rFonts w:ascii="Century" w:hAnsi="Century" w:cs="FrankRuehl"/>
          <w:spacing w:val="10"/>
          <w:szCs w:val="28"/>
          <w:rtl/>
        </w:rPr>
        <w:t xml:space="preserve"> </w:t>
      </w:r>
      <w:r w:rsidRPr="00BE2DC7">
        <w:rPr>
          <w:rFonts w:ascii="Century" w:hAnsi="Century" w:cs="FrankRuehl" w:hint="eastAsia"/>
          <w:spacing w:val="10"/>
          <w:szCs w:val="28"/>
          <w:rtl/>
        </w:rPr>
        <w:t>בית</w:t>
      </w:r>
      <w:r w:rsidRPr="00BE2DC7">
        <w:rPr>
          <w:rFonts w:ascii="Century" w:hAnsi="Century" w:cs="FrankRuehl"/>
          <w:spacing w:val="10"/>
          <w:szCs w:val="28"/>
          <w:rtl/>
        </w:rPr>
        <w:t xml:space="preserve"> </w:t>
      </w:r>
      <w:r w:rsidRPr="00BE2DC7">
        <w:rPr>
          <w:rFonts w:ascii="Century" w:hAnsi="Century" w:cs="FrankRuehl" w:hint="eastAsia"/>
          <w:spacing w:val="10"/>
          <w:szCs w:val="28"/>
          <w:rtl/>
        </w:rPr>
        <w:t>המשפט</w:t>
      </w:r>
      <w:r w:rsidRPr="00BE2DC7">
        <w:rPr>
          <w:rFonts w:ascii="Century" w:hAnsi="Century" w:cs="FrankRuehl"/>
          <w:spacing w:val="10"/>
          <w:szCs w:val="28"/>
          <w:rtl/>
        </w:rPr>
        <w:t xml:space="preserve"> </w:t>
      </w:r>
      <w:r w:rsidRPr="00BE2DC7">
        <w:rPr>
          <w:rFonts w:ascii="Century" w:hAnsi="Century" w:cs="FrankRuehl" w:hint="eastAsia"/>
          <w:spacing w:val="10"/>
          <w:szCs w:val="28"/>
          <w:rtl/>
        </w:rPr>
        <w:t>יחזור</w:t>
      </w:r>
      <w:r w:rsidRPr="00BE2DC7">
        <w:rPr>
          <w:rFonts w:ascii="Century" w:hAnsi="Century" w:cs="FrankRuehl"/>
          <w:spacing w:val="10"/>
          <w:szCs w:val="28"/>
          <w:rtl/>
        </w:rPr>
        <w:t xml:space="preserve"> </w:t>
      </w:r>
      <w:r w:rsidRPr="00BE2DC7">
        <w:rPr>
          <w:rFonts w:ascii="Century" w:hAnsi="Century" w:cs="FrankRuehl" w:hint="eastAsia"/>
          <w:spacing w:val="10"/>
          <w:szCs w:val="28"/>
          <w:rtl/>
        </w:rPr>
        <w:t>למצב</w:t>
      </w:r>
      <w:r w:rsidRPr="00BE2DC7">
        <w:rPr>
          <w:rFonts w:ascii="Century" w:hAnsi="Century" w:cs="FrankRuehl"/>
          <w:spacing w:val="10"/>
          <w:szCs w:val="28"/>
          <w:rtl/>
        </w:rPr>
        <w:t xml:space="preserve"> </w:t>
      </w:r>
      <w:r w:rsidRPr="00BE2DC7">
        <w:rPr>
          <w:rFonts w:ascii="Century" w:hAnsi="Century" w:cs="FrankRuehl" w:hint="eastAsia"/>
          <w:spacing w:val="10"/>
          <w:szCs w:val="28"/>
          <w:rtl/>
        </w:rPr>
        <w:t>ש</w:t>
      </w:r>
      <w:r>
        <w:rPr>
          <w:rFonts w:ascii="Century" w:hAnsi="Century" w:cs="FrankRuehl" w:hint="cs"/>
          <w:spacing w:val="10"/>
          <w:szCs w:val="28"/>
          <w:rtl/>
        </w:rPr>
        <w:t>שרר</w:t>
      </w:r>
      <w:r w:rsidRPr="00BE2DC7">
        <w:rPr>
          <w:rFonts w:ascii="Century" w:hAnsi="Century" w:cs="FrankRuehl"/>
          <w:spacing w:val="10"/>
          <w:szCs w:val="28"/>
          <w:rtl/>
        </w:rPr>
        <w:t xml:space="preserve"> טרום</w:t>
      </w:r>
      <w:r>
        <w:rPr>
          <w:rFonts w:ascii="Century" w:hAnsi="Century" w:cs="FrankRuehl" w:hint="cs"/>
          <w:spacing w:val="10"/>
          <w:szCs w:val="28"/>
          <w:rtl/>
        </w:rPr>
        <w:t xml:space="preserve"> פסק הדין בעניין</w:t>
      </w:r>
      <w:r w:rsidRPr="00BE2DC7">
        <w:rPr>
          <w:rFonts w:ascii="Century" w:hAnsi="Century" w:cs="FrankRuehl"/>
          <w:spacing w:val="10"/>
          <w:szCs w:val="28"/>
          <w:rtl/>
        </w:rPr>
        <w:t xml:space="preserve"> </w:t>
      </w:r>
      <w:r w:rsidRPr="00BE2DC7">
        <w:rPr>
          <w:rFonts w:ascii="Century" w:hAnsi="Century" w:cs="Miriam"/>
          <w:b/>
          <w:rtl/>
        </w:rPr>
        <w:t>דפי זהב</w:t>
      </w:r>
      <w:r w:rsidRPr="00BE2DC7">
        <w:rPr>
          <w:rFonts w:ascii="Century" w:hAnsi="Century" w:cs="FrankRuehl"/>
          <w:spacing w:val="10"/>
          <w:szCs w:val="28"/>
          <w:rtl/>
        </w:rPr>
        <w:t xml:space="preserve">, וזאת מתוך הנחה כאמור שמצב זה הוא שונה באופן </w:t>
      </w:r>
      <w:r>
        <w:rPr>
          <w:rFonts w:ascii="Century" w:hAnsi="Century" w:cs="FrankRuehl" w:hint="cs"/>
          <w:spacing w:val="10"/>
          <w:szCs w:val="28"/>
          <w:rtl/>
        </w:rPr>
        <w:t>חד ו</w:t>
      </w:r>
      <w:r w:rsidRPr="00BE2DC7">
        <w:rPr>
          <w:rFonts w:ascii="Century" w:hAnsi="Century" w:cs="FrankRuehl"/>
          <w:spacing w:val="10"/>
          <w:szCs w:val="28"/>
          <w:rtl/>
        </w:rPr>
        <w:t xml:space="preserve">ברור מהמצב המשפטי שלאחר פסק דין זה, ושזהו מצב הדברים נכון למועד התיקון. </w:t>
      </w:r>
    </w:p>
    <w:p w:rsidR="00A01E7C" w:rsidRDefault="00A01E7C" w:rsidP="00A01E7C">
      <w:pPr>
        <w:spacing w:line="360" w:lineRule="auto"/>
        <w:jc w:val="both"/>
        <w:rPr>
          <w:rFonts w:ascii="Century" w:hAnsi="Century" w:cs="FrankRuehl"/>
          <w:spacing w:val="10"/>
          <w:szCs w:val="28"/>
          <w:rtl/>
        </w:rPr>
      </w:pPr>
    </w:p>
    <w:p w:rsidR="00A01E7C" w:rsidRPr="007D0134" w:rsidRDefault="00A01E7C" w:rsidP="002A1A3A">
      <w:pPr>
        <w:pStyle w:val="Ruller4"/>
        <w:numPr>
          <w:ilvl w:val="0"/>
          <w:numId w:val="14"/>
        </w:numPr>
        <w:rPr>
          <w:rFonts w:ascii="Century" w:hAnsi="Century"/>
          <w:rtl/>
        </w:rPr>
      </w:pPr>
      <w:r w:rsidRPr="007D0134">
        <w:rPr>
          <w:rFonts w:ascii="Century" w:hAnsi="Century" w:hint="eastAsia"/>
          <w:rtl/>
        </w:rPr>
        <w:t>אני</w:t>
      </w:r>
      <w:r w:rsidRPr="007D0134">
        <w:rPr>
          <w:rFonts w:ascii="Century" w:hAnsi="Century"/>
          <w:rtl/>
        </w:rPr>
        <w:t xml:space="preserve"> סבורה כי </w:t>
      </w:r>
      <w:r w:rsidRPr="007D0134">
        <w:rPr>
          <w:rFonts w:ascii="Century" w:hAnsi="Century" w:hint="cs"/>
          <w:rtl/>
        </w:rPr>
        <w:t xml:space="preserve">לא </w:t>
      </w:r>
      <w:r w:rsidRPr="007D0134">
        <w:rPr>
          <w:rFonts w:ascii="Century" w:hAnsi="Century"/>
          <w:rtl/>
        </w:rPr>
        <w:t xml:space="preserve">ניתן </w:t>
      </w:r>
      <w:r w:rsidRPr="007D0134">
        <w:rPr>
          <w:rFonts w:ascii="Century" w:hAnsi="Century" w:hint="cs"/>
          <w:rtl/>
        </w:rPr>
        <w:t xml:space="preserve">לקבל את </w:t>
      </w:r>
      <w:r w:rsidRPr="007D0134">
        <w:rPr>
          <w:rFonts w:ascii="Century" w:hAnsi="Century"/>
          <w:rtl/>
        </w:rPr>
        <w:t xml:space="preserve">כל הנחות היסוד הללו, </w:t>
      </w:r>
      <w:r w:rsidRPr="007D0134">
        <w:rPr>
          <w:rFonts w:ascii="Century" w:hAnsi="Century" w:hint="cs"/>
          <w:rtl/>
        </w:rPr>
        <w:t xml:space="preserve">מאחר </w:t>
      </w:r>
      <w:r w:rsidRPr="007D0134">
        <w:rPr>
          <w:rFonts w:ascii="Century" w:hAnsi="Century"/>
          <w:rtl/>
        </w:rPr>
        <w:t>ש</w:t>
      </w:r>
      <w:r w:rsidRPr="007D0134">
        <w:rPr>
          <w:rFonts w:ascii="Century" w:hAnsi="Century" w:hint="cs"/>
          <w:rtl/>
        </w:rPr>
        <w:t xml:space="preserve">הן </w:t>
      </w:r>
      <w:r w:rsidRPr="007D0134">
        <w:rPr>
          <w:rFonts w:ascii="Century" w:hAnsi="Century"/>
          <w:rtl/>
        </w:rPr>
        <w:t xml:space="preserve">אינן משקפות את המצב המשפטי – לא לפני התיקון ולא לאחריו. משכך, </w:t>
      </w:r>
      <w:r w:rsidRPr="007D0134">
        <w:rPr>
          <w:rFonts w:ascii="Century" w:hAnsi="Century" w:hint="cs"/>
          <w:rtl/>
        </w:rPr>
        <w:t xml:space="preserve">לטעמי </w:t>
      </w:r>
      <w:r w:rsidRPr="007D0134">
        <w:rPr>
          <w:rFonts w:ascii="Century" w:hAnsi="Century"/>
          <w:rtl/>
        </w:rPr>
        <w:t>הפרשנות בהתאם להנחות אלה היא פרשנות שלא ניתן לקבלה. יתרה מכך, מדובר בפרשנות מורכבת, המוסיפה ל</w:t>
      </w:r>
      <w:r w:rsidRPr="007D0134">
        <w:rPr>
          <w:rFonts w:ascii="Century" w:hAnsi="Century" w:hint="cs"/>
          <w:rtl/>
        </w:rPr>
        <w:t>לשון החוק</w:t>
      </w:r>
      <w:r w:rsidRPr="007D0134">
        <w:rPr>
          <w:rFonts w:ascii="Century" w:hAnsi="Century"/>
          <w:rtl/>
        </w:rPr>
        <w:t xml:space="preserve"> את מה שלא נאמר בו (</w:t>
      </w:r>
      <w:r w:rsidRPr="007D0134">
        <w:rPr>
          <w:rFonts w:ascii="Century" w:hAnsi="Century" w:hint="cs"/>
          <w:rtl/>
        </w:rPr>
        <w:t xml:space="preserve">ואת מה שביודעין </w:t>
      </w:r>
      <w:r w:rsidRPr="007D0134">
        <w:rPr>
          <w:rFonts w:ascii="Century" w:hAnsi="Century"/>
          <w:rtl/>
        </w:rPr>
        <w:t>התכוון המחוקק שלא לכלול בו)</w:t>
      </w:r>
      <w:r w:rsidRPr="007D0134">
        <w:rPr>
          <w:rFonts w:ascii="Century" w:hAnsi="Century" w:hint="cs"/>
          <w:rtl/>
        </w:rPr>
        <w:t>;</w:t>
      </w:r>
      <w:r w:rsidRPr="007D0134">
        <w:rPr>
          <w:rFonts w:ascii="Century" w:hAnsi="Century"/>
          <w:rtl/>
        </w:rPr>
        <w:t xml:space="preserve"> תוך התוויה של קטגוריות שאינן ברורות ואינן חד</w:t>
      </w:r>
      <w:r w:rsidRPr="007D0134">
        <w:rPr>
          <w:rFonts w:ascii="Century" w:hAnsi="Century" w:hint="cs"/>
          <w:rtl/>
        </w:rPr>
        <w:t>-</w:t>
      </w:r>
      <w:r w:rsidRPr="007D0134">
        <w:rPr>
          <w:rFonts w:ascii="Century" w:hAnsi="Century"/>
          <w:rtl/>
        </w:rPr>
        <w:t xml:space="preserve">משמעיות (המצב לפני פסק </w:t>
      </w:r>
      <w:r w:rsidRPr="007D0134">
        <w:rPr>
          <w:rFonts w:ascii="Century" w:hAnsi="Century" w:hint="cs"/>
          <w:rtl/>
        </w:rPr>
        <w:t>ה</w:t>
      </w:r>
      <w:r w:rsidRPr="007D0134">
        <w:rPr>
          <w:rFonts w:ascii="Century" w:hAnsi="Century"/>
          <w:rtl/>
        </w:rPr>
        <w:t xml:space="preserve">דין </w:t>
      </w:r>
      <w:r w:rsidRPr="007D0134">
        <w:rPr>
          <w:rFonts w:ascii="Century" w:hAnsi="Century" w:hint="cs"/>
          <w:rtl/>
        </w:rPr>
        <w:t xml:space="preserve">בעניין </w:t>
      </w:r>
      <w:r w:rsidRPr="007D0134">
        <w:rPr>
          <w:rFonts w:ascii="Century" w:hAnsi="Century" w:cs="Miriam" w:hint="eastAsia"/>
          <w:b/>
          <w:szCs w:val="24"/>
          <w:rtl/>
        </w:rPr>
        <w:t>דפי</w:t>
      </w:r>
      <w:r w:rsidRPr="007D0134">
        <w:rPr>
          <w:rFonts w:ascii="Century" w:hAnsi="Century" w:cs="Miriam"/>
          <w:b/>
          <w:szCs w:val="24"/>
          <w:rtl/>
        </w:rPr>
        <w:t xml:space="preserve"> </w:t>
      </w:r>
      <w:r w:rsidRPr="007D0134">
        <w:rPr>
          <w:rFonts w:ascii="Century" w:hAnsi="Century" w:cs="Miriam" w:hint="eastAsia"/>
          <w:b/>
          <w:szCs w:val="24"/>
          <w:rtl/>
        </w:rPr>
        <w:t>זהב</w:t>
      </w:r>
      <w:r w:rsidRPr="007D0134">
        <w:rPr>
          <w:rFonts w:ascii="Century" w:hAnsi="Century"/>
          <w:rtl/>
        </w:rPr>
        <w:t xml:space="preserve">; </w:t>
      </w:r>
      <w:r w:rsidRPr="007D0134">
        <w:rPr>
          <w:rFonts w:ascii="Century" w:hAnsi="Century" w:hint="cs"/>
          <w:rtl/>
        </w:rPr>
        <w:t>ו</w:t>
      </w:r>
      <w:r w:rsidRPr="007D0134">
        <w:rPr>
          <w:rFonts w:ascii="Century" w:hAnsi="Century" w:hint="eastAsia"/>
          <w:rtl/>
        </w:rPr>
        <w:t>המצב</w:t>
      </w:r>
      <w:r w:rsidRPr="007D0134">
        <w:rPr>
          <w:rFonts w:ascii="Century" w:hAnsi="Century"/>
          <w:rtl/>
        </w:rPr>
        <w:t xml:space="preserve"> </w:t>
      </w:r>
      <w:r w:rsidRPr="007D0134">
        <w:rPr>
          <w:rFonts w:ascii="Century" w:hAnsi="Century" w:hint="eastAsia"/>
          <w:rtl/>
        </w:rPr>
        <w:t>לאחר</w:t>
      </w:r>
      <w:r w:rsidRPr="007D0134">
        <w:rPr>
          <w:rFonts w:ascii="Century" w:hAnsi="Century"/>
          <w:rtl/>
        </w:rPr>
        <w:t xml:space="preserve"> </w:t>
      </w:r>
      <w:r w:rsidRPr="007D0134">
        <w:rPr>
          <w:rFonts w:ascii="Century" w:hAnsi="Century" w:hint="eastAsia"/>
          <w:rtl/>
        </w:rPr>
        <w:t>מכן</w:t>
      </w:r>
      <w:r w:rsidRPr="007D0134">
        <w:rPr>
          <w:rFonts w:ascii="Century" w:hAnsi="Century"/>
          <w:rtl/>
        </w:rPr>
        <w:t>)</w:t>
      </w:r>
      <w:r w:rsidRPr="007D0134">
        <w:rPr>
          <w:rFonts w:ascii="Century" w:hAnsi="Century" w:hint="cs"/>
          <w:rtl/>
        </w:rPr>
        <w:t>.</w:t>
      </w:r>
      <w:r w:rsidRPr="007D0134">
        <w:rPr>
          <w:rFonts w:ascii="Century" w:hAnsi="Century"/>
          <w:rtl/>
        </w:rPr>
        <w:t xml:space="preserve"> </w:t>
      </w:r>
      <w:r w:rsidRPr="007D0134">
        <w:rPr>
          <w:rFonts w:ascii="Century" w:hAnsi="Century" w:hint="eastAsia"/>
          <w:rtl/>
        </w:rPr>
        <w:t>לכן</w:t>
      </w:r>
      <w:r w:rsidRPr="007D0134">
        <w:rPr>
          <w:rFonts w:ascii="Century" w:hAnsi="Century" w:hint="cs"/>
          <w:rtl/>
        </w:rPr>
        <w:t>, לגישתי</w:t>
      </w:r>
      <w:r w:rsidRPr="007D0134">
        <w:rPr>
          <w:rFonts w:ascii="Century" w:hAnsi="Century"/>
          <w:rtl/>
        </w:rPr>
        <w:t xml:space="preserve"> </w:t>
      </w:r>
      <w:r w:rsidRPr="007D0134">
        <w:rPr>
          <w:rFonts w:ascii="Century" w:hAnsi="Century" w:hint="eastAsia"/>
          <w:rtl/>
        </w:rPr>
        <w:t>פרשנות</w:t>
      </w:r>
      <w:r w:rsidRPr="007D0134">
        <w:rPr>
          <w:rFonts w:ascii="Century" w:hAnsi="Century" w:hint="cs"/>
          <w:rtl/>
        </w:rPr>
        <w:t xml:space="preserve"> מצמצמת</w:t>
      </w:r>
      <w:r w:rsidRPr="007D0134">
        <w:rPr>
          <w:rFonts w:ascii="Century" w:hAnsi="Century"/>
          <w:rtl/>
        </w:rPr>
        <w:t xml:space="preserve"> </w:t>
      </w:r>
      <w:r w:rsidRPr="007D0134">
        <w:rPr>
          <w:rFonts w:ascii="Century" w:hAnsi="Century" w:hint="eastAsia"/>
          <w:rtl/>
        </w:rPr>
        <w:t>זו</w:t>
      </w:r>
      <w:r w:rsidRPr="007D0134">
        <w:rPr>
          <w:rFonts w:ascii="Century" w:hAnsi="Century" w:hint="cs"/>
          <w:rtl/>
        </w:rPr>
        <w:t>,</w:t>
      </w:r>
      <w:r w:rsidRPr="007D0134">
        <w:rPr>
          <w:rFonts w:ascii="Century" w:hAnsi="Century"/>
          <w:rtl/>
        </w:rPr>
        <w:t xml:space="preserve"> שאי</w:t>
      </w:r>
      <w:r w:rsidRPr="007D0134">
        <w:rPr>
          <w:rFonts w:ascii="Century" w:hAnsi="Century" w:hint="cs"/>
          <w:rtl/>
        </w:rPr>
        <w:t>ן לה אחיזה</w:t>
      </w:r>
      <w:r w:rsidRPr="007D0134">
        <w:rPr>
          <w:rFonts w:ascii="Century" w:hAnsi="Century"/>
          <w:rtl/>
        </w:rPr>
        <w:t xml:space="preserve"> בלשון החוק</w:t>
      </w:r>
      <w:r w:rsidRPr="007D0134">
        <w:rPr>
          <w:rFonts w:ascii="Century" w:hAnsi="Century" w:hint="cs"/>
          <w:rtl/>
        </w:rPr>
        <w:t>,</w:t>
      </w:r>
      <w:r w:rsidRPr="007D0134">
        <w:rPr>
          <w:rFonts w:ascii="Century" w:hAnsi="Century"/>
          <w:rtl/>
        </w:rPr>
        <w:t xml:space="preserve"> היא פרשנות מלאכותית</w:t>
      </w:r>
      <w:r w:rsidRPr="007D0134">
        <w:rPr>
          <w:rFonts w:ascii="Century" w:hAnsi="Century" w:hint="cs"/>
          <w:rtl/>
        </w:rPr>
        <w:t>,</w:t>
      </w:r>
      <w:r w:rsidRPr="007D0134">
        <w:rPr>
          <w:rFonts w:ascii="Century" w:hAnsi="Century"/>
          <w:rtl/>
        </w:rPr>
        <w:t xml:space="preserve"> לא ישימה</w:t>
      </w:r>
      <w:r w:rsidRPr="007D0134">
        <w:rPr>
          <w:rFonts w:ascii="Century" w:hAnsi="Century" w:hint="cs"/>
          <w:rtl/>
        </w:rPr>
        <w:t xml:space="preserve"> והיא נעדרת למעשה משמעות אופרטיבית</w:t>
      </w:r>
      <w:r w:rsidRPr="007D0134">
        <w:rPr>
          <w:rFonts w:ascii="Century" w:hAnsi="Century"/>
          <w:rtl/>
        </w:rPr>
        <w:t>.</w:t>
      </w:r>
      <w:r w:rsidRPr="007D0134">
        <w:rPr>
          <w:rFonts w:ascii="Century" w:hAnsi="Century" w:hint="cs"/>
          <w:rtl/>
        </w:rPr>
        <w:t xml:space="preserve"> להלן אפרט ואבהיר את הדברים.</w:t>
      </w:r>
    </w:p>
    <w:p w:rsidR="00A01E7C" w:rsidRDefault="00A01E7C" w:rsidP="00A01E7C">
      <w:pPr>
        <w:spacing w:line="360" w:lineRule="auto"/>
        <w:jc w:val="both"/>
        <w:rPr>
          <w:rFonts w:ascii="Century" w:hAnsi="Century" w:cs="FrankRuehl"/>
          <w:spacing w:val="10"/>
          <w:szCs w:val="28"/>
          <w:rtl/>
        </w:rPr>
      </w:pPr>
    </w:p>
    <w:p w:rsidR="00A01E7C" w:rsidRPr="00EB646B" w:rsidRDefault="00A01E7C" w:rsidP="00A01E7C">
      <w:pPr>
        <w:spacing w:line="360" w:lineRule="auto"/>
        <w:jc w:val="both"/>
        <w:rPr>
          <w:rFonts w:ascii="Century" w:hAnsi="Century" w:cs="Miriam"/>
          <w:b/>
          <w:rtl/>
        </w:rPr>
      </w:pPr>
      <w:r w:rsidRPr="00EB646B">
        <w:rPr>
          <w:rFonts w:ascii="Century" w:hAnsi="Century" w:cs="Miriam" w:hint="eastAsia"/>
          <w:b/>
          <w:rtl/>
        </w:rPr>
        <w:t>התפתחות</w:t>
      </w:r>
      <w:r>
        <w:rPr>
          <w:rFonts w:ascii="Century" w:hAnsi="Century" w:cs="Miriam" w:hint="cs"/>
          <w:b/>
          <w:rtl/>
        </w:rPr>
        <w:t>ה של</w:t>
      </w:r>
      <w:r w:rsidRPr="00EB646B">
        <w:rPr>
          <w:rFonts w:ascii="Century" w:hAnsi="Century" w:cs="Miriam"/>
          <w:b/>
          <w:rtl/>
        </w:rPr>
        <w:t xml:space="preserve"> </w:t>
      </w:r>
      <w:r w:rsidRPr="00EB646B">
        <w:rPr>
          <w:rFonts w:ascii="Century" w:hAnsi="Century" w:cs="Miriam" w:hint="eastAsia"/>
          <w:b/>
          <w:rtl/>
        </w:rPr>
        <w:t>עילת</w:t>
      </w:r>
      <w:r w:rsidRPr="00EB646B">
        <w:rPr>
          <w:rFonts w:ascii="Century" w:hAnsi="Century" w:cs="Miriam"/>
          <w:b/>
          <w:rtl/>
        </w:rPr>
        <w:t xml:space="preserve"> </w:t>
      </w:r>
      <w:r w:rsidRPr="00EB646B">
        <w:rPr>
          <w:rFonts w:ascii="Century" w:hAnsi="Century" w:cs="Miriam" w:hint="eastAsia"/>
          <w:b/>
          <w:rtl/>
        </w:rPr>
        <w:t>הסבירות</w:t>
      </w:r>
    </w:p>
    <w:p w:rsidR="00A01E7C" w:rsidRDefault="00A01E7C" w:rsidP="00A01E7C">
      <w:pPr>
        <w:spacing w:line="360" w:lineRule="auto"/>
        <w:jc w:val="both"/>
        <w:rPr>
          <w:rFonts w:ascii="Century" w:hAnsi="Century" w:cs="FrankRuehl"/>
          <w:spacing w:val="10"/>
          <w:szCs w:val="28"/>
          <w:rtl/>
        </w:rPr>
      </w:pPr>
    </w:p>
    <w:p w:rsidR="00A01E7C" w:rsidRPr="007D0134" w:rsidRDefault="00A01E7C" w:rsidP="002A1A3A">
      <w:pPr>
        <w:pStyle w:val="Ruller4"/>
        <w:numPr>
          <w:ilvl w:val="0"/>
          <w:numId w:val="14"/>
        </w:numPr>
        <w:rPr>
          <w:rFonts w:ascii="Century" w:hAnsi="Century"/>
          <w:rtl/>
        </w:rPr>
      </w:pPr>
      <w:r w:rsidRPr="007D0134">
        <w:rPr>
          <w:rFonts w:ascii="Century" w:hAnsi="Century" w:hint="cs"/>
          <w:rtl/>
        </w:rPr>
        <w:t xml:space="preserve">פסק הדין בעניין </w:t>
      </w:r>
      <w:r w:rsidRPr="007D0134">
        <w:rPr>
          <w:rFonts w:ascii="Century" w:hAnsi="Century" w:cs="Miriam" w:hint="cs"/>
          <w:b/>
          <w:szCs w:val="24"/>
          <w:rtl/>
        </w:rPr>
        <w:t>דפי זהב</w:t>
      </w:r>
      <w:r w:rsidRPr="007D0134">
        <w:rPr>
          <w:rFonts w:ascii="Century" w:hAnsi="Century" w:hint="cs"/>
          <w:rtl/>
        </w:rPr>
        <w:t xml:space="preserve"> נחשב בפסיקה ובספרות המשפטית כ"קו פרשת המים" בכל הנוגע לעילת הסבירות, וזאת בעיקר בשני מובנים: ראשית, בכך שהוא קבע כי עילת הסבירות היא עילת פסילה נפרדת מעילות אחרות, והיא איננה רק נגזרת של עילת העדר הסמכות; ושנית, בכך שהוא איפשר לבית המשפט לבקר החלטה גם כאשר מקבל ההחלטה לקח בחשבון את כלל השיקולים הרלוונטיים ורק אותם, אלא שהאיזון שהוא ערך ביניהם חרג באופן קיצוני או מהותי ממתחם הסבירות. להלן ארחיב מעט את הדיבור על האופן בו נתפסה עילת הסבירות לפני פסק הדין בעניין </w:t>
      </w:r>
      <w:r w:rsidRPr="007D0134">
        <w:rPr>
          <w:rFonts w:ascii="Century" w:hAnsi="Century" w:cs="Miriam" w:hint="eastAsia"/>
          <w:b/>
          <w:szCs w:val="24"/>
          <w:rtl/>
        </w:rPr>
        <w:t>דפי</w:t>
      </w:r>
      <w:r w:rsidRPr="007D0134">
        <w:rPr>
          <w:rFonts w:ascii="Century" w:hAnsi="Century" w:cs="Miriam"/>
          <w:b/>
          <w:szCs w:val="24"/>
          <w:rtl/>
        </w:rPr>
        <w:t xml:space="preserve"> </w:t>
      </w:r>
      <w:r w:rsidRPr="007D0134">
        <w:rPr>
          <w:rFonts w:ascii="Century" w:hAnsi="Century" w:cs="Miriam" w:hint="eastAsia"/>
          <w:b/>
          <w:szCs w:val="24"/>
          <w:rtl/>
        </w:rPr>
        <w:t>זהב</w:t>
      </w:r>
      <w:r w:rsidRPr="007D0134">
        <w:rPr>
          <w:rFonts w:ascii="Century" w:hAnsi="Century" w:hint="cs"/>
          <w:rtl/>
        </w:rPr>
        <w:t xml:space="preserve"> ועל האופן בו פסק הדין שינה לכאורה תפיסה זו; ואבהיר מדוע אינני שותפה לעמדה זו.</w:t>
      </w:r>
    </w:p>
    <w:p w:rsidR="00A01E7C" w:rsidRDefault="00A01E7C" w:rsidP="00A01E7C">
      <w:pPr>
        <w:spacing w:line="360" w:lineRule="auto"/>
        <w:ind w:firstLine="720"/>
        <w:jc w:val="both"/>
        <w:rPr>
          <w:rFonts w:ascii="Century" w:hAnsi="Century" w:cs="FrankRuehl"/>
          <w:spacing w:val="10"/>
          <w:szCs w:val="28"/>
          <w:rtl/>
        </w:rPr>
      </w:pPr>
    </w:p>
    <w:p w:rsidR="00A01E7C" w:rsidRPr="007D0134" w:rsidRDefault="00A01E7C" w:rsidP="002A1A3A">
      <w:pPr>
        <w:pStyle w:val="Ruller4"/>
        <w:numPr>
          <w:ilvl w:val="0"/>
          <w:numId w:val="14"/>
        </w:numPr>
        <w:rPr>
          <w:rFonts w:ascii="Century" w:hAnsi="Century"/>
          <w:rtl/>
        </w:rPr>
      </w:pPr>
      <w:r w:rsidRPr="007D0134">
        <w:rPr>
          <w:rFonts w:ascii="Century" w:hAnsi="Century" w:hint="cs"/>
          <w:rtl/>
        </w:rPr>
        <w:t xml:space="preserve">כפי שציינו חבריי, מקורה של עילת הסבירות במשפט האנגלי, והיא נשאבה לתוך המשפט המינהלי הישראלי כבר משנותיה הראשונות של המדינה. בראשית הדרך נהוג היה להתייחס לעילת הסבירות כרכיב של עילת חוסר הסמכות. כפי שציין השופט </w:t>
      </w:r>
      <w:r w:rsidRPr="007D0134">
        <w:rPr>
          <w:rFonts w:ascii="Century" w:hAnsi="Century" w:cs="Miriam" w:hint="eastAsia"/>
          <w:b/>
          <w:szCs w:val="24"/>
          <w:rtl/>
        </w:rPr>
        <w:t>צ</w:t>
      </w:r>
      <w:r w:rsidRPr="007D0134">
        <w:rPr>
          <w:rFonts w:ascii="Century" w:hAnsi="Century" w:cs="Miriam"/>
          <w:b/>
          <w:szCs w:val="24"/>
          <w:rtl/>
        </w:rPr>
        <w:t xml:space="preserve">' </w:t>
      </w:r>
      <w:r w:rsidRPr="007D0134">
        <w:rPr>
          <w:rFonts w:ascii="Century" w:hAnsi="Century" w:cs="Miriam" w:hint="eastAsia"/>
          <w:b/>
          <w:szCs w:val="24"/>
          <w:rtl/>
        </w:rPr>
        <w:t>ברנזון</w:t>
      </w:r>
      <w:r w:rsidRPr="007D0134">
        <w:rPr>
          <w:rFonts w:ascii="Century" w:hAnsi="Century" w:cs="Miriam"/>
          <w:b/>
          <w:szCs w:val="24"/>
          <w:rtl/>
        </w:rPr>
        <w:t xml:space="preserve"> </w:t>
      </w:r>
      <w:r w:rsidRPr="007D0134">
        <w:rPr>
          <w:rFonts w:ascii="Century" w:hAnsi="Century" w:hint="cs"/>
          <w:rtl/>
        </w:rPr>
        <w:t>ב</w:t>
      </w:r>
      <w:r w:rsidRPr="007D0134">
        <w:rPr>
          <w:rFonts w:ascii="Century" w:hAnsi="Century"/>
          <w:rtl/>
        </w:rPr>
        <w:t xml:space="preserve">ע"א 311/57 </w:t>
      </w:r>
      <w:r w:rsidRPr="007D0134">
        <w:rPr>
          <w:rFonts w:ascii="Century" w:hAnsi="Century" w:cs="Miriam" w:hint="eastAsia"/>
          <w:b/>
          <w:szCs w:val="24"/>
          <w:rtl/>
        </w:rPr>
        <w:t>היועץ</w:t>
      </w:r>
      <w:r w:rsidRPr="007D0134">
        <w:rPr>
          <w:rFonts w:ascii="Century" w:hAnsi="Century" w:cs="Miriam"/>
          <w:b/>
          <w:szCs w:val="24"/>
          <w:rtl/>
        </w:rPr>
        <w:t xml:space="preserve"> </w:t>
      </w:r>
      <w:r w:rsidRPr="007D0134">
        <w:rPr>
          <w:rFonts w:ascii="Century" w:hAnsi="Century" w:cs="Miriam" w:hint="eastAsia"/>
          <w:b/>
          <w:szCs w:val="24"/>
          <w:rtl/>
        </w:rPr>
        <w:t>המשפטי</w:t>
      </w:r>
      <w:r w:rsidRPr="007D0134">
        <w:rPr>
          <w:rFonts w:ascii="Century" w:hAnsi="Century" w:cs="Miriam"/>
          <w:b/>
          <w:szCs w:val="24"/>
          <w:rtl/>
        </w:rPr>
        <w:t xml:space="preserve"> </w:t>
      </w:r>
      <w:r w:rsidRPr="007D0134">
        <w:rPr>
          <w:rFonts w:ascii="Century" w:hAnsi="Century" w:cs="Miriam" w:hint="eastAsia"/>
          <w:b/>
          <w:szCs w:val="24"/>
          <w:rtl/>
        </w:rPr>
        <w:t>לממשלה</w:t>
      </w:r>
      <w:r w:rsidRPr="007D0134">
        <w:rPr>
          <w:rFonts w:ascii="Century" w:hAnsi="Century" w:cs="Miriam"/>
          <w:b/>
          <w:szCs w:val="24"/>
          <w:rtl/>
        </w:rPr>
        <w:t xml:space="preserve"> </w:t>
      </w:r>
      <w:r w:rsidRPr="007D0134">
        <w:rPr>
          <w:rFonts w:ascii="Century" w:hAnsi="Century" w:cs="Miriam" w:hint="eastAsia"/>
          <w:b/>
          <w:szCs w:val="24"/>
          <w:rtl/>
        </w:rPr>
        <w:t>נ</w:t>
      </w:r>
      <w:r w:rsidRPr="007D0134">
        <w:rPr>
          <w:rFonts w:ascii="Century" w:hAnsi="Century" w:cs="Miriam"/>
          <w:b/>
          <w:szCs w:val="24"/>
          <w:rtl/>
        </w:rPr>
        <w:t xml:space="preserve">' </w:t>
      </w:r>
      <w:r w:rsidRPr="007D0134">
        <w:rPr>
          <w:rFonts w:ascii="Century" w:hAnsi="Century" w:cs="Miriam" w:hint="eastAsia"/>
          <w:b/>
          <w:szCs w:val="24"/>
          <w:rtl/>
        </w:rPr>
        <w:t>מ</w:t>
      </w:r>
      <w:r w:rsidRPr="007D0134">
        <w:rPr>
          <w:rFonts w:ascii="Century" w:hAnsi="Century" w:cs="Miriam"/>
          <w:b/>
          <w:szCs w:val="24"/>
          <w:rtl/>
        </w:rPr>
        <w:t xml:space="preserve">. </w:t>
      </w:r>
      <w:r w:rsidRPr="007D0134">
        <w:rPr>
          <w:rFonts w:ascii="Century" w:hAnsi="Century" w:cs="Miriam" w:hint="eastAsia"/>
          <w:b/>
          <w:szCs w:val="24"/>
          <w:rtl/>
        </w:rPr>
        <w:t>דיזנגוף</w:t>
      </w:r>
      <w:r w:rsidRPr="007D0134">
        <w:rPr>
          <w:rFonts w:ascii="Century" w:hAnsi="Century" w:cs="Miriam"/>
          <w:b/>
          <w:szCs w:val="24"/>
          <w:rtl/>
        </w:rPr>
        <w:t xml:space="preserve"> </w:t>
      </w:r>
      <w:r w:rsidRPr="007D0134">
        <w:rPr>
          <w:rFonts w:ascii="Century" w:hAnsi="Century" w:cs="Miriam" w:hint="eastAsia"/>
          <w:b/>
          <w:szCs w:val="24"/>
          <w:rtl/>
        </w:rPr>
        <w:t>ושות</w:t>
      </w:r>
      <w:r w:rsidRPr="007D0134">
        <w:rPr>
          <w:rFonts w:ascii="Century" w:hAnsi="Century" w:cs="Miriam"/>
          <w:b/>
          <w:szCs w:val="24"/>
          <w:rtl/>
        </w:rPr>
        <w:t>' (</w:t>
      </w:r>
      <w:r w:rsidRPr="007D0134">
        <w:rPr>
          <w:rFonts w:ascii="Century" w:hAnsi="Century" w:cs="Miriam" w:hint="eastAsia"/>
          <w:b/>
          <w:szCs w:val="24"/>
          <w:rtl/>
        </w:rPr>
        <w:t>שיט</w:t>
      </w:r>
      <w:r w:rsidRPr="007D0134">
        <w:rPr>
          <w:rFonts w:ascii="Century" w:hAnsi="Century" w:cs="Miriam"/>
          <w:b/>
          <w:szCs w:val="24"/>
          <w:rtl/>
        </w:rPr>
        <w:t xml:space="preserve">) </w:t>
      </w:r>
      <w:r w:rsidRPr="007D0134">
        <w:rPr>
          <w:rFonts w:ascii="Century" w:hAnsi="Century" w:cs="Miriam" w:hint="eastAsia"/>
          <w:b/>
          <w:szCs w:val="24"/>
          <w:rtl/>
        </w:rPr>
        <w:t>בע</w:t>
      </w:r>
      <w:r w:rsidRPr="007D0134">
        <w:rPr>
          <w:rFonts w:ascii="Century" w:hAnsi="Century" w:cs="Miriam"/>
          <w:b/>
          <w:szCs w:val="24"/>
          <w:rtl/>
        </w:rPr>
        <w:t>"</w:t>
      </w:r>
      <w:r w:rsidRPr="007D0134">
        <w:rPr>
          <w:rFonts w:ascii="Century" w:hAnsi="Century" w:cs="Miriam" w:hint="eastAsia"/>
          <w:b/>
          <w:szCs w:val="24"/>
          <w:rtl/>
        </w:rPr>
        <w:t>מ</w:t>
      </w:r>
      <w:r w:rsidRPr="007D0134">
        <w:rPr>
          <w:rFonts w:ascii="Century" w:hAnsi="Century"/>
          <w:rtl/>
        </w:rPr>
        <w:t xml:space="preserve">, </w:t>
      </w:r>
      <w:r w:rsidRPr="007D0134">
        <w:rPr>
          <w:rFonts w:ascii="Century" w:hAnsi="Century" w:hint="cs"/>
          <w:rtl/>
        </w:rPr>
        <w:t xml:space="preserve">פ"ד </w:t>
      </w:r>
      <w:r w:rsidRPr="007D0134">
        <w:rPr>
          <w:rFonts w:ascii="Century" w:hAnsi="Century"/>
          <w:rtl/>
        </w:rPr>
        <w:t>יג 1026 (1959)</w:t>
      </w:r>
      <w:r w:rsidRPr="007D0134">
        <w:rPr>
          <w:rFonts w:ascii="Century" w:hAnsi="Century" w:hint="cs"/>
          <w:rtl/>
        </w:rPr>
        <w:t xml:space="preserve"> (להלן: </w:t>
      </w:r>
      <w:r w:rsidRPr="007D0134">
        <w:rPr>
          <w:rFonts w:ascii="Century" w:hAnsi="Century" w:cs="Miriam" w:hint="eastAsia"/>
          <w:b/>
          <w:szCs w:val="24"/>
          <w:rtl/>
        </w:rPr>
        <w:t>עניין</w:t>
      </w:r>
      <w:r w:rsidRPr="007D0134">
        <w:rPr>
          <w:rFonts w:ascii="Century" w:hAnsi="Century" w:cs="Miriam"/>
          <w:b/>
          <w:szCs w:val="24"/>
          <w:rtl/>
        </w:rPr>
        <w:t xml:space="preserve"> </w:t>
      </w:r>
      <w:r w:rsidRPr="007D0134">
        <w:rPr>
          <w:rFonts w:ascii="Century" w:hAnsi="Century" w:cs="Miriam" w:hint="eastAsia"/>
          <w:b/>
          <w:szCs w:val="24"/>
          <w:rtl/>
        </w:rPr>
        <w:t>דיזינגוף</w:t>
      </w:r>
      <w:r w:rsidRPr="007D0134">
        <w:rPr>
          <w:rFonts w:ascii="Century" w:hAnsi="Century" w:hint="cs"/>
          <w:rtl/>
        </w:rPr>
        <w:t>): "</w:t>
      </w:r>
      <w:r w:rsidRPr="007D0134">
        <w:rPr>
          <w:rFonts w:ascii="Century" w:hAnsi="Century" w:hint="eastAsia"/>
          <w:rtl/>
        </w:rPr>
        <w:t>ענין</w:t>
      </w:r>
      <w:r w:rsidRPr="007D0134">
        <w:rPr>
          <w:rFonts w:ascii="Century" w:hAnsi="Century"/>
          <w:rtl/>
        </w:rPr>
        <w:t xml:space="preserve"> </w:t>
      </w:r>
      <w:r w:rsidRPr="007D0134">
        <w:rPr>
          <w:rFonts w:ascii="Century" w:hAnsi="Century" w:hint="eastAsia"/>
          <w:rtl/>
        </w:rPr>
        <w:t>הסבירות</w:t>
      </w:r>
      <w:r w:rsidRPr="007D0134">
        <w:rPr>
          <w:rFonts w:ascii="Century" w:hAnsi="Century"/>
          <w:rtl/>
        </w:rPr>
        <w:t xml:space="preserve"> </w:t>
      </w:r>
      <w:r w:rsidRPr="007D0134">
        <w:rPr>
          <w:rFonts w:ascii="Century" w:hAnsi="Century" w:hint="eastAsia"/>
          <w:rtl/>
        </w:rPr>
        <w:t>אינו</w:t>
      </w:r>
      <w:r w:rsidRPr="007D0134">
        <w:rPr>
          <w:rFonts w:ascii="Century" w:hAnsi="Century"/>
          <w:rtl/>
        </w:rPr>
        <w:t xml:space="preserve"> </w:t>
      </w:r>
      <w:r w:rsidRPr="007D0134">
        <w:rPr>
          <w:rFonts w:ascii="Century" w:hAnsi="Century" w:hint="eastAsia"/>
          <w:rtl/>
        </w:rPr>
        <w:t>בעצם</w:t>
      </w:r>
      <w:r w:rsidRPr="007D0134">
        <w:rPr>
          <w:rFonts w:ascii="Century" w:hAnsi="Century"/>
          <w:rtl/>
        </w:rPr>
        <w:t xml:space="preserve"> </w:t>
      </w:r>
      <w:r w:rsidRPr="007D0134">
        <w:rPr>
          <w:rFonts w:ascii="Century" w:hAnsi="Century" w:hint="eastAsia"/>
          <w:rtl/>
        </w:rPr>
        <w:t>אלא</w:t>
      </w:r>
      <w:r w:rsidRPr="007D0134">
        <w:rPr>
          <w:rFonts w:ascii="Century" w:hAnsi="Century"/>
          <w:rtl/>
        </w:rPr>
        <w:t xml:space="preserve"> </w:t>
      </w:r>
      <w:r w:rsidRPr="007D0134">
        <w:rPr>
          <w:rFonts w:ascii="Century" w:hAnsi="Century" w:hint="eastAsia"/>
          <w:rtl/>
        </w:rPr>
        <w:t>אחת</w:t>
      </w:r>
      <w:r w:rsidRPr="007D0134">
        <w:rPr>
          <w:rFonts w:ascii="Century" w:hAnsi="Century"/>
          <w:rtl/>
        </w:rPr>
        <w:t xml:space="preserve"> </w:t>
      </w:r>
      <w:r w:rsidRPr="007D0134">
        <w:rPr>
          <w:rFonts w:ascii="Century" w:hAnsi="Century" w:hint="eastAsia"/>
          <w:rtl/>
        </w:rPr>
        <w:t>הצורות</w:t>
      </w:r>
      <w:r w:rsidRPr="007D0134">
        <w:rPr>
          <w:rFonts w:ascii="Century" w:hAnsi="Century"/>
          <w:rtl/>
        </w:rPr>
        <w:t xml:space="preserve"> </w:t>
      </w:r>
      <w:r w:rsidRPr="007D0134">
        <w:rPr>
          <w:rFonts w:ascii="Century" w:hAnsi="Century" w:hint="eastAsia"/>
          <w:rtl/>
        </w:rPr>
        <w:t>של</w:t>
      </w:r>
      <w:r w:rsidRPr="007D0134">
        <w:rPr>
          <w:rFonts w:ascii="Century" w:hAnsi="Century"/>
          <w:rtl/>
        </w:rPr>
        <w:t xml:space="preserve"> </w:t>
      </w:r>
      <w:r w:rsidRPr="007D0134">
        <w:rPr>
          <w:rFonts w:ascii="Century" w:hAnsi="Century" w:hint="eastAsia"/>
          <w:rtl/>
        </w:rPr>
        <w:t>חריגה</w:t>
      </w:r>
      <w:r w:rsidRPr="007D0134">
        <w:rPr>
          <w:rFonts w:ascii="Century" w:hAnsi="Century"/>
          <w:rtl/>
        </w:rPr>
        <w:t xml:space="preserve"> </w:t>
      </w:r>
      <w:r w:rsidRPr="007D0134">
        <w:rPr>
          <w:rFonts w:ascii="Century" w:hAnsi="Century" w:hint="eastAsia"/>
          <w:rtl/>
        </w:rPr>
        <w:t>מסמכות</w:t>
      </w:r>
      <w:r w:rsidRPr="007D0134">
        <w:rPr>
          <w:rFonts w:ascii="Century" w:hAnsi="Century"/>
          <w:rtl/>
        </w:rPr>
        <w:t xml:space="preserve">... </w:t>
      </w:r>
      <w:r w:rsidRPr="007D0134">
        <w:rPr>
          <w:rFonts w:ascii="Century" w:hAnsi="Century" w:hint="eastAsia"/>
          <w:rtl/>
        </w:rPr>
        <w:t>עניני</w:t>
      </w:r>
      <w:r w:rsidRPr="007D0134">
        <w:rPr>
          <w:rFonts w:ascii="Century" w:hAnsi="Century"/>
          <w:rtl/>
        </w:rPr>
        <w:t xml:space="preserve"> </w:t>
      </w:r>
      <w:r w:rsidRPr="007D0134">
        <w:rPr>
          <w:rFonts w:ascii="Century" w:hAnsi="Century" w:hint="eastAsia"/>
          <w:rtl/>
        </w:rPr>
        <w:t>הסבירות</w:t>
      </w:r>
      <w:r w:rsidRPr="007D0134">
        <w:rPr>
          <w:rFonts w:ascii="Century" w:hAnsi="Century"/>
          <w:rtl/>
        </w:rPr>
        <w:t xml:space="preserve"> </w:t>
      </w:r>
      <w:r w:rsidRPr="007D0134">
        <w:rPr>
          <w:rFonts w:ascii="Century" w:hAnsi="Century" w:hint="eastAsia"/>
          <w:rtl/>
        </w:rPr>
        <w:t>והחריגה</w:t>
      </w:r>
      <w:r w:rsidRPr="007D0134">
        <w:rPr>
          <w:rFonts w:ascii="Century" w:hAnsi="Century"/>
          <w:rtl/>
        </w:rPr>
        <w:t xml:space="preserve"> </w:t>
      </w:r>
      <w:r w:rsidRPr="007D0134">
        <w:rPr>
          <w:rFonts w:ascii="Century" w:hAnsi="Century" w:hint="eastAsia"/>
          <w:rtl/>
        </w:rPr>
        <w:t>מהסמכות</w:t>
      </w:r>
      <w:r w:rsidRPr="007D0134">
        <w:rPr>
          <w:rFonts w:ascii="Century" w:hAnsi="Century"/>
          <w:rtl/>
        </w:rPr>
        <w:t xml:space="preserve"> </w:t>
      </w:r>
      <w:r w:rsidRPr="007D0134">
        <w:rPr>
          <w:rFonts w:ascii="Century" w:hAnsi="Century" w:hint="eastAsia"/>
          <w:rtl/>
        </w:rPr>
        <w:t>כרוכים</w:t>
      </w:r>
      <w:r w:rsidRPr="007D0134">
        <w:rPr>
          <w:rFonts w:ascii="Century" w:hAnsi="Century"/>
          <w:rtl/>
        </w:rPr>
        <w:t xml:space="preserve">, </w:t>
      </w:r>
      <w:r w:rsidRPr="007D0134">
        <w:rPr>
          <w:rFonts w:ascii="Century" w:hAnsi="Century" w:hint="eastAsia"/>
          <w:rtl/>
        </w:rPr>
        <w:t>אפוא</w:t>
      </w:r>
      <w:r w:rsidRPr="007D0134">
        <w:rPr>
          <w:rFonts w:ascii="Century" w:hAnsi="Century"/>
          <w:rtl/>
        </w:rPr>
        <w:t xml:space="preserve">, </w:t>
      </w:r>
      <w:r w:rsidRPr="007D0134">
        <w:rPr>
          <w:rFonts w:ascii="Century" w:hAnsi="Century" w:hint="eastAsia"/>
          <w:rtl/>
        </w:rPr>
        <w:t>זה</w:t>
      </w:r>
      <w:r w:rsidRPr="007D0134">
        <w:rPr>
          <w:rFonts w:ascii="Century" w:hAnsi="Century"/>
          <w:rtl/>
        </w:rPr>
        <w:t xml:space="preserve"> </w:t>
      </w:r>
      <w:r w:rsidRPr="007D0134">
        <w:rPr>
          <w:rFonts w:ascii="Century" w:hAnsi="Century" w:hint="eastAsia"/>
          <w:rtl/>
        </w:rPr>
        <w:t>אחר</w:t>
      </w:r>
      <w:r w:rsidRPr="007D0134">
        <w:rPr>
          <w:rFonts w:ascii="Century" w:hAnsi="Century"/>
          <w:rtl/>
        </w:rPr>
        <w:t xml:space="preserve"> </w:t>
      </w:r>
      <w:r w:rsidRPr="007D0134">
        <w:rPr>
          <w:rFonts w:ascii="Century" w:hAnsi="Century" w:hint="eastAsia"/>
          <w:rtl/>
        </w:rPr>
        <w:t>זה</w:t>
      </w:r>
      <w:r w:rsidRPr="007D0134">
        <w:rPr>
          <w:rFonts w:ascii="Century" w:hAnsi="Century"/>
          <w:rtl/>
        </w:rPr>
        <w:t xml:space="preserve">, </w:t>
      </w:r>
      <w:r w:rsidRPr="007D0134">
        <w:rPr>
          <w:rFonts w:ascii="Century" w:hAnsi="Century" w:hint="eastAsia"/>
          <w:rtl/>
        </w:rPr>
        <w:t>וכמו</w:t>
      </w:r>
      <w:r w:rsidRPr="007D0134">
        <w:rPr>
          <w:rFonts w:ascii="Century" w:hAnsi="Century"/>
          <w:rtl/>
        </w:rPr>
        <w:t xml:space="preserve"> </w:t>
      </w:r>
      <w:r w:rsidRPr="007D0134">
        <w:rPr>
          <w:rFonts w:ascii="Century" w:hAnsi="Century" w:hint="eastAsia"/>
          <w:rtl/>
        </w:rPr>
        <w:t>שנאמר</w:t>
      </w:r>
      <w:r w:rsidRPr="007D0134">
        <w:rPr>
          <w:rFonts w:ascii="Century" w:hAnsi="Century"/>
          <w:rtl/>
        </w:rPr>
        <w:t xml:space="preserve"> </w:t>
      </w:r>
      <w:r w:rsidRPr="007D0134">
        <w:rPr>
          <w:rFonts w:ascii="Century" w:hAnsi="Century" w:hint="eastAsia"/>
          <w:rtl/>
        </w:rPr>
        <w:t>שם</w:t>
      </w:r>
      <w:r w:rsidRPr="007D0134">
        <w:rPr>
          <w:rFonts w:ascii="Century" w:hAnsi="Century"/>
          <w:rtl/>
        </w:rPr>
        <w:t xml:space="preserve"> </w:t>
      </w:r>
      <w:r w:rsidRPr="007D0134">
        <w:rPr>
          <w:rFonts w:ascii="Century" w:hAnsi="Century" w:hint="eastAsia"/>
          <w:rtl/>
        </w:rPr>
        <w:t>רק</w:t>
      </w:r>
      <w:r w:rsidRPr="007D0134">
        <w:rPr>
          <w:rFonts w:ascii="Century" w:hAnsi="Century"/>
          <w:rtl/>
        </w:rPr>
        <w:t xml:space="preserve"> </w:t>
      </w:r>
      <w:r w:rsidRPr="007D0134">
        <w:rPr>
          <w:rFonts w:ascii="Century" w:hAnsi="Century" w:hint="eastAsia"/>
          <w:rtl/>
        </w:rPr>
        <w:t>במובן</w:t>
      </w:r>
      <w:r w:rsidRPr="007D0134">
        <w:rPr>
          <w:rFonts w:ascii="Century" w:hAnsi="Century"/>
          <w:rtl/>
        </w:rPr>
        <w:t xml:space="preserve"> </w:t>
      </w:r>
      <w:r w:rsidRPr="007D0134">
        <w:rPr>
          <w:rFonts w:ascii="Century" w:hAnsi="Century" w:hint="eastAsia"/>
          <w:rtl/>
        </w:rPr>
        <w:t>זה</w:t>
      </w:r>
      <w:r w:rsidRPr="007D0134">
        <w:rPr>
          <w:rFonts w:ascii="Century" w:hAnsi="Century"/>
          <w:rtl/>
        </w:rPr>
        <w:t xml:space="preserve"> </w:t>
      </w:r>
      <w:r w:rsidRPr="007D0134">
        <w:rPr>
          <w:rFonts w:ascii="Century" w:hAnsi="Century" w:hint="eastAsia"/>
          <w:rtl/>
        </w:rPr>
        <w:t>שהפרלמנט</w:t>
      </w:r>
      <w:r w:rsidRPr="007D0134">
        <w:rPr>
          <w:rFonts w:ascii="Century" w:hAnsi="Century"/>
          <w:rtl/>
        </w:rPr>
        <w:t xml:space="preserve"> </w:t>
      </w:r>
      <w:r w:rsidRPr="007D0134">
        <w:rPr>
          <w:rFonts w:ascii="Century" w:hAnsi="Century" w:hint="eastAsia"/>
          <w:rtl/>
        </w:rPr>
        <w:t>אף</w:t>
      </w:r>
      <w:r w:rsidRPr="007D0134">
        <w:rPr>
          <w:rFonts w:ascii="Century" w:hAnsi="Century"/>
          <w:rtl/>
        </w:rPr>
        <w:t xml:space="preserve"> </w:t>
      </w:r>
      <w:r w:rsidRPr="007D0134">
        <w:rPr>
          <w:rFonts w:ascii="Century" w:hAnsi="Century" w:hint="eastAsia"/>
          <w:rtl/>
        </w:rPr>
        <w:t>פעם</w:t>
      </w:r>
      <w:r w:rsidRPr="007D0134">
        <w:rPr>
          <w:rFonts w:ascii="Century" w:hAnsi="Century"/>
          <w:rtl/>
        </w:rPr>
        <w:t xml:space="preserve"> </w:t>
      </w:r>
      <w:r w:rsidRPr="007D0134">
        <w:rPr>
          <w:rFonts w:ascii="Century" w:hAnsi="Century" w:hint="eastAsia"/>
          <w:rtl/>
        </w:rPr>
        <w:t>לא</w:t>
      </w:r>
      <w:r w:rsidRPr="007D0134">
        <w:rPr>
          <w:rFonts w:ascii="Century" w:hAnsi="Century"/>
          <w:rtl/>
        </w:rPr>
        <w:t xml:space="preserve"> </w:t>
      </w:r>
      <w:r w:rsidRPr="007D0134">
        <w:rPr>
          <w:rFonts w:ascii="Century" w:hAnsi="Century" w:hint="eastAsia"/>
          <w:rtl/>
        </w:rPr>
        <w:t>נתכוון</w:t>
      </w:r>
      <w:r w:rsidRPr="007D0134">
        <w:rPr>
          <w:rFonts w:ascii="Century" w:hAnsi="Century"/>
          <w:rtl/>
        </w:rPr>
        <w:t xml:space="preserve"> </w:t>
      </w:r>
      <w:r w:rsidRPr="007D0134">
        <w:rPr>
          <w:rFonts w:ascii="Century" w:hAnsi="Century" w:hint="eastAsia"/>
          <w:rtl/>
        </w:rPr>
        <w:t>לתת</w:t>
      </w:r>
      <w:r w:rsidRPr="007D0134">
        <w:rPr>
          <w:rFonts w:ascii="Century" w:hAnsi="Century"/>
          <w:rtl/>
        </w:rPr>
        <w:t xml:space="preserve"> </w:t>
      </w:r>
      <w:r w:rsidRPr="007D0134">
        <w:rPr>
          <w:rFonts w:ascii="Century" w:hAnsi="Century" w:hint="eastAsia"/>
          <w:rtl/>
        </w:rPr>
        <w:t>סמכות</w:t>
      </w:r>
      <w:r w:rsidRPr="007D0134">
        <w:rPr>
          <w:rFonts w:ascii="Century" w:hAnsi="Century"/>
          <w:rtl/>
        </w:rPr>
        <w:t xml:space="preserve"> </w:t>
      </w:r>
      <w:r w:rsidRPr="007D0134">
        <w:rPr>
          <w:rFonts w:ascii="Century" w:hAnsi="Century" w:hint="eastAsia"/>
          <w:rtl/>
        </w:rPr>
        <w:t>לתקנות</w:t>
      </w:r>
      <w:r w:rsidRPr="007D0134">
        <w:rPr>
          <w:rFonts w:ascii="Century" w:hAnsi="Century"/>
          <w:rtl/>
        </w:rPr>
        <w:t xml:space="preserve"> </w:t>
      </w:r>
      <w:r w:rsidRPr="007D0134">
        <w:rPr>
          <w:rFonts w:ascii="Century" w:hAnsi="Century" w:hint="eastAsia"/>
          <w:rtl/>
        </w:rPr>
        <w:lastRenderedPageBreak/>
        <w:t>כאלה</w:t>
      </w:r>
      <w:r w:rsidRPr="007D0134">
        <w:rPr>
          <w:rFonts w:ascii="Century" w:hAnsi="Century"/>
          <w:rtl/>
        </w:rPr>
        <w:t xml:space="preserve">, </w:t>
      </w:r>
      <w:r w:rsidRPr="007D0134">
        <w:rPr>
          <w:rFonts w:ascii="Century" w:hAnsi="Century" w:hint="eastAsia"/>
          <w:rtl/>
        </w:rPr>
        <w:t>אפשר</w:t>
      </w:r>
      <w:r w:rsidRPr="007D0134">
        <w:rPr>
          <w:rFonts w:ascii="Century" w:hAnsi="Century"/>
          <w:rtl/>
        </w:rPr>
        <w:t xml:space="preserve"> </w:t>
      </w:r>
      <w:r w:rsidRPr="007D0134">
        <w:rPr>
          <w:rFonts w:ascii="Century" w:hAnsi="Century" w:hint="eastAsia"/>
          <w:rtl/>
        </w:rPr>
        <w:t>לעורר</w:t>
      </w:r>
      <w:r w:rsidRPr="007D0134">
        <w:rPr>
          <w:rFonts w:ascii="Century" w:hAnsi="Century"/>
          <w:rtl/>
        </w:rPr>
        <w:t xml:space="preserve"> </w:t>
      </w:r>
      <w:r w:rsidRPr="007D0134">
        <w:rPr>
          <w:rFonts w:ascii="Century" w:hAnsi="Century" w:hint="eastAsia"/>
          <w:rtl/>
        </w:rPr>
        <w:t>כהלכה</w:t>
      </w:r>
      <w:r w:rsidRPr="007D0134">
        <w:rPr>
          <w:rFonts w:ascii="Century" w:hAnsi="Century"/>
          <w:rtl/>
        </w:rPr>
        <w:t xml:space="preserve"> </w:t>
      </w:r>
      <w:r w:rsidRPr="007D0134">
        <w:rPr>
          <w:rFonts w:ascii="Century" w:hAnsi="Century" w:hint="eastAsia"/>
          <w:rtl/>
        </w:rPr>
        <w:t>את</w:t>
      </w:r>
      <w:r w:rsidRPr="007D0134">
        <w:rPr>
          <w:rFonts w:ascii="Century" w:hAnsi="Century"/>
          <w:rtl/>
        </w:rPr>
        <w:t xml:space="preserve"> </w:t>
      </w:r>
      <w:r w:rsidRPr="007D0134">
        <w:rPr>
          <w:rFonts w:ascii="Century" w:hAnsi="Century" w:hint="eastAsia"/>
          <w:rtl/>
        </w:rPr>
        <w:t>שאלת</w:t>
      </w:r>
      <w:r w:rsidRPr="007D0134">
        <w:rPr>
          <w:rFonts w:ascii="Century" w:hAnsi="Century"/>
          <w:rtl/>
        </w:rPr>
        <w:t xml:space="preserve"> </w:t>
      </w:r>
      <w:r w:rsidRPr="007D0134">
        <w:rPr>
          <w:rFonts w:ascii="Century" w:hAnsi="Century" w:hint="eastAsia"/>
          <w:rtl/>
        </w:rPr>
        <w:t>חוסר</w:t>
      </w:r>
      <w:r w:rsidRPr="007D0134">
        <w:rPr>
          <w:rFonts w:ascii="Century" w:hAnsi="Century"/>
          <w:rtl/>
        </w:rPr>
        <w:t xml:space="preserve"> </w:t>
      </w:r>
      <w:r w:rsidRPr="007D0134">
        <w:rPr>
          <w:rFonts w:ascii="Century" w:hAnsi="Century" w:hint="eastAsia"/>
          <w:rtl/>
        </w:rPr>
        <w:t>ההגיון</w:t>
      </w:r>
      <w:r w:rsidRPr="007D0134">
        <w:rPr>
          <w:rFonts w:ascii="Century" w:hAnsi="Century" w:hint="cs"/>
          <w:rtl/>
        </w:rPr>
        <w:t xml:space="preserve">" (שם, בעמוד 1037. ראו גם: </w:t>
      </w:r>
      <w:r w:rsidRPr="007D0134">
        <w:rPr>
          <w:rFonts w:ascii="Century" w:hAnsi="Century"/>
          <w:rtl/>
        </w:rPr>
        <w:t>מרגית כהן "עילת אי־הסבירות במשפט המנהלי: היבטים השוואתיים והערות נורמטיביות אחדות"</w:t>
      </w:r>
      <w:r w:rsidRPr="007D0134">
        <w:rPr>
          <w:rFonts w:ascii="Century" w:hAnsi="Century" w:hint="cs"/>
          <w:rtl/>
        </w:rPr>
        <w:t xml:space="preserve"> </w:t>
      </w:r>
      <w:r w:rsidRPr="007D0134">
        <w:rPr>
          <w:rFonts w:ascii="Century" w:hAnsi="Century" w:cs="Miriam" w:hint="eastAsia"/>
          <w:b/>
          <w:szCs w:val="24"/>
          <w:rtl/>
        </w:rPr>
        <w:t>ספר</w:t>
      </w:r>
      <w:r w:rsidRPr="007D0134">
        <w:rPr>
          <w:rFonts w:ascii="Century" w:hAnsi="Century" w:cs="Miriam"/>
          <w:b/>
          <w:szCs w:val="24"/>
          <w:rtl/>
        </w:rPr>
        <w:t xml:space="preserve"> </w:t>
      </w:r>
      <w:r w:rsidRPr="007D0134">
        <w:rPr>
          <w:rFonts w:ascii="Century" w:hAnsi="Century" w:cs="Miriam" w:hint="eastAsia"/>
          <w:b/>
          <w:szCs w:val="24"/>
          <w:rtl/>
        </w:rPr>
        <w:t>אור</w:t>
      </w:r>
      <w:r w:rsidRPr="007D0134">
        <w:rPr>
          <w:rFonts w:ascii="Century" w:hAnsi="Century" w:hint="cs"/>
          <w:rtl/>
        </w:rPr>
        <w:t xml:space="preserve"> </w:t>
      </w:r>
      <w:r w:rsidRPr="007D0134">
        <w:rPr>
          <w:rFonts w:ascii="Century" w:hAnsi="Century" w:cs="Miriam"/>
          <w:b/>
          <w:szCs w:val="24"/>
          <w:rtl/>
        </w:rPr>
        <w:t xml:space="preserve">– </w:t>
      </w:r>
      <w:r w:rsidRPr="007D0134">
        <w:rPr>
          <w:rFonts w:ascii="Century" w:hAnsi="Century" w:cs="Miriam" w:hint="eastAsia"/>
          <w:b/>
          <w:szCs w:val="24"/>
          <w:rtl/>
        </w:rPr>
        <w:t>קובץ</w:t>
      </w:r>
      <w:r w:rsidRPr="007D0134">
        <w:rPr>
          <w:rFonts w:ascii="Century" w:hAnsi="Century" w:cs="Miriam"/>
          <w:b/>
          <w:szCs w:val="24"/>
          <w:rtl/>
        </w:rPr>
        <w:t xml:space="preserve"> </w:t>
      </w:r>
      <w:r w:rsidRPr="007D0134">
        <w:rPr>
          <w:rFonts w:ascii="Century" w:hAnsi="Century" w:cs="Miriam" w:hint="eastAsia"/>
          <w:b/>
          <w:szCs w:val="24"/>
          <w:rtl/>
        </w:rPr>
        <w:t>מאמרים</w:t>
      </w:r>
      <w:r w:rsidRPr="007D0134">
        <w:rPr>
          <w:rFonts w:ascii="Century" w:hAnsi="Century" w:cs="Miriam"/>
          <w:b/>
          <w:szCs w:val="24"/>
          <w:rtl/>
        </w:rPr>
        <w:t xml:space="preserve"> </w:t>
      </w:r>
      <w:r w:rsidRPr="007D0134">
        <w:rPr>
          <w:rFonts w:ascii="Century" w:hAnsi="Century" w:cs="Miriam" w:hint="eastAsia"/>
          <w:b/>
          <w:szCs w:val="24"/>
          <w:rtl/>
        </w:rPr>
        <w:t>לכבודו</w:t>
      </w:r>
      <w:r w:rsidRPr="007D0134">
        <w:rPr>
          <w:rFonts w:ascii="Century" w:hAnsi="Century" w:cs="Miriam"/>
          <w:b/>
          <w:szCs w:val="24"/>
          <w:rtl/>
        </w:rPr>
        <w:t xml:space="preserve"> </w:t>
      </w:r>
      <w:r w:rsidRPr="007D0134">
        <w:rPr>
          <w:rFonts w:ascii="Century" w:hAnsi="Century" w:cs="Miriam" w:hint="eastAsia"/>
          <w:b/>
          <w:szCs w:val="24"/>
          <w:rtl/>
        </w:rPr>
        <w:t>של</w:t>
      </w:r>
      <w:r w:rsidRPr="007D0134">
        <w:rPr>
          <w:rFonts w:ascii="Century" w:hAnsi="Century" w:cs="Miriam"/>
          <w:b/>
          <w:szCs w:val="24"/>
          <w:rtl/>
        </w:rPr>
        <w:t xml:space="preserve"> </w:t>
      </w:r>
      <w:r w:rsidRPr="007D0134">
        <w:rPr>
          <w:rFonts w:ascii="Century" w:hAnsi="Century" w:cs="Miriam" w:hint="eastAsia"/>
          <w:b/>
          <w:szCs w:val="24"/>
          <w:rtl/>
        </w:rPr>
        <w:t>השופט</w:t>
      </w:r>
      <w:r w:rsidRPr="007D0134">
        <w:rPr>
          <w:rFonts w:ascii="Century" w:hAnsi="Century" w:cs="Miriam"/>
          <w:b/>
          <w:szCs w:val="24"/>
          <w:rtl/>
        </w:rPr>
        <w:t xml:space="preserve"> </w:t>
      </w:r>
      <w:r w:rsidRPr="007D0134">
        <w:rPr>
          <w:rFonts w:ascii="Century" w:hAnsi="Century" w:cs="Miriam" w:hint="eastAsia"/>
          <w:b/>
          <w:szCs w:val="24"/>
          <w:rtl/>
        </w:rPr>
        <w:t>תיאודור</w:t>
      </w:r>
      <w:r w:rsidRPr="007D0134">
        <w:rPr>
          <w:rFonts w:ascii="Century" w:hAnsi="Century" w:cs="Miriam"/>
          <w:b/>
          <w:szCs w:val="24"/>
          <w:rtl/>
        </w:rPr>
        <w:t xml:space="preserve"> </w:t>
      </w:r>
      <w:r w:rsidRPr="007D0134">
        <w:rPr>
          <w:rFonts w:ascii="Century" w:hAnsi="Century" w:cs="Miriam" w:hint="eastAsia"/>
          <w:b/>
          <w:szCs w:val="24"/>
          <w:rtl/>
        </w:rPr>
        <w:t>אור</w:t>
      </w:r>
      <w:r w:rsidRPr="007D0134">
        <w:rPr>
          <w:rFonts w:ascii="Century" w:hAnsi="Century" w:cs="Miriam"/>
          <w:b/>
          <w:szCs w:val="24"/>
          <w:rtl/>
        </w:rPr>
        <w:t xml:space="preserve"> </w:t>
      </w:r>
      <w:r w:rsidRPr="007D0134">
        <w:rPr>
          <w:rFonts w:ascii="Century" w:hAnsi="Century"/>
          <w:rtl/>
        </w:rPr>
        <w:t>773</w:t>
      </w:r>
      <w:r w:rsidRPr="007D0134">
        <w:rPr>
          <w:rFonts w:ascii="Century" w:hAnsi="Century" w:hint="cs"/>
          <w:rtl/>
        </w:rPr>
        <w:t xml:space="preserve">, 794 (2013) (להלן: </w:t>
      </w:r>
      <w:r w:rsidRPr="007D0134">
        <w:rPr>
          <w:rFonts w:ascii="Century" w:hAnsi="Century" w:cs="Miriam" w:hint="eastAsia"/>
          <w:b/>
          <w:szCs w:val="24"/>
          <w:rtl/>
        </w:rPr>
        <w:t>כהן</w:t>
      </w:r>
      <w:r w:rsidRPr="007D0134">
        <w:rPr>
          <w:rFonts w:ascii="Century" w:hAnsi="Century" w:hint="cs"/>
          <w:rtl/>
        </w:rPr>
        <w:t xml:space="preserve">); </w:t>
      </w:r>
      <w:r w:rsidRPr="007D0134">
        <w:rPr>
          <w:rFonts w:ascii="Century" w:hAnsi="Century"/>
          <w:rtl/>
        </w:rPr>
        <w:t xml:space="preserve">יואב דותן "שני מושגים של ריסון – וסבירות" </w:t>
      </w:r>
      <w:r w:rsidRPr="007D0134">
        <w:rPr>
          <w:rFonts w:ascii="Century" w:hAnsi="Century" w:cs="Miriam" w:hint="eastAsia"/>
          <w:b/>
          <w:szCs w:val="24"/>
          <w:rtl/>
        </w:rPr>
        <w:t>משפטים</w:t>
      </w:r>
      <w:r w:rsidRPr="007D0134">
        <w:rPr>
          <w:rFonts w:ascii="Century" w:hAnsi="Century"/>
          <w:rtl/>
        </w:rPr>
        <w:t xml:space="preserve"> </w:t>
      </w:r>
      <w:r w:rsidRPr="007D0134">
        <w:rPr>
          <w:rFonts w:ascii="Century" w:hAnsi="Century" w:hint="cs"/>
          <w:rtl/>
        </w:rPr>
        <w:t xml:space="preserve">נא </w:t>
      </w:r>
      <w:r w:rsidRPr="007D0134">
        <w:rPr>
          <w:rFonts w:ascii="Century" w:hAnsi="Century"/>
          <w:rtl/>
        </w:rPr>
        <w:t>673</w:t>
      </w:r>
      <w:r w:rsidRPr="007D0134">
        <w:rPr>
          <w:rFonts w:ascii="Century" w:hAnsi="Century" w:hint="cs"/>
          <w:rtl/>
        </w:rPr>
        <w:t xml:space="preserve">, 678 (2022) (להלן: </w:t>
      </w:r>
      <w:r w:rsidRPr="007D0134">
        <w:rPr>
          <w:rFonts w:ascii="Century" w:hAnsi="Century" w:cs="Miriam" w:hint="eastAsia"/>
          <w:b/>
          <w:szCs w:val="24"/>
          <w:rtl/>
        </w:rPr>
        <w:t>דותן</w:t>
      </w:r>
      <w:r w:rsidRPr="007D0134">
        <w:rPr>
          <w:rFonts w:ascii="Century" w:hAnsi="Century" w:cs="Miriam"/>
          <w:b/>
          <w:szCs w:val="24"/>
          <w:rtl/>
        </w:rPr>
        <w:t xml:space="preserve">, </w:t>
      </w:r>
      <w:r w:rsidRPr="007D0134">
        <w:rPr>
          <w:rFonts w:ascii="Century" w:hAnsi="Century" w:cs="Miriam" w:hint="eastAsia"/>
          <w:b/>
          <w:szCs w:val="24"/>
          <w:rtl/>
        </w:rPr>
        <w:t>ריסון</w:t>
      </w:r>
      <w:r w:rsidRPr="007D0134">
        <w:rPr>
          <w:rFonts w:ascii="Century" w:hAnsi="Century" w:cs="Miriam"/>
          <w:b/>
          <w:szCs w:val="24"/>
          <w:rtl/>
        </w:rPr>
        <w:t xml:space="preserve"> </w:t>
      </w:r>
      <w:r w:rsidRPr="007D0134">
        <w:rPr>
          <w:rFonts w:ascii="Century" w:hAnsi="Century" w:cs="Miriam" w:hint="eastAsia"/>
          <w:b/>
          <w:szCs w:val="24"/>
          <w:rtl/>
        </w:rPr>
        <w:t>וסבירות</w:t>
      </w:r>
      <w:r w:rsidRPr="007D0134">
        <w:rPr>
          <w:rFonts w:ascii="Century" w:hAnsi="Century" w:hint="cs"/>
          <w:rtl/>
        </w:rPr>
        <w:t xml:space="preserve">)). בהתאם, הנוסחה המקובלת ששימשה בדרך כלל את בתי המשפט לצורך בחינת סבירותה של החלטה מינהלית הייתה כי רק החלטה שהיא כה מופרכת או בלתי מתקבלת על הדעת, עד שלא ייתכן כי המחוקק התכוון להסמיך את הרשות המנהלית לקבל אותה </w:t>
      </w:r>
      <w:r w:rsidRPr="007D0134">
        <w:rPr>
          <w:rFonts w:ascii="Century" w:hAnsi="Century"/>
          <w:rtl/>
        </w:rPr>
        <w:t>–</w:t>
      </w:r>
      <w:r w:rsidRPr="007D0134">
        <w:rPr>
          <w:rFonts w:ascii="Century" w:hAnsi="Century" w:hint="cs"/>
          <w:rtl/>
        </w:rPr>
        <w:t xml:space="preserve"> תיחשב לבלתי סבירה (ראו למשל: </w:t>
      </w:r>
      <w:r w:rsidRPr="007D0134">
        <w:rPr>
          <w:rFonts w:ascii="Century" w:hAnsi="Century"/>
          <w:rtl/>
        </w:rPr>
        <w:t xml:space="preserve">בג"ץ 80/54 </w:t>
      </w:r>
      <w:r w:rsidRPr="007D0134">
        <w:rPr>
          <w:rFonts w:ascii="Century" w:hAnsi="Century" w:cs="Miriam" w:hint="eastAsia"/>
          <w:b/>
          <w:szCs w:val="24"/>
          <w:rtl/>
        </w:rPr>
        <w:t>נוחימובסקי</w:t>
      </w:r>
      <w:r w:rsidRPr="007D0134">
        <w:rPr>
          <w:rFonts w:ascii="Century" w:hAnsi="Century" w:cs="Miriam"/>
          <w:b/>
          <w:szCs w:val="24"/>
          <w:rtl/>
        </w:rPr>
        <w:t xml:space="preserve"> </w:t>
      </w:r>
      <w:r w:rsidRPr="007D0134">
        <w:rPr>
          <w:rFonts w:ascii="Century" w:hAnsi="Century" w:cs="Miriam" w:hint="eastAsia"/>
          <w:b/>
          <w:szCs w:val="24"/>
          <w:rtl/>
        </w:rPr>
        <w:t>נ</w:t>
      </w:r>
      <w:r w:rsidRPr="007D0134">
        <w:rPr>
          <w:rFonts w:ascii="Century" w:hAnsi="Century" w:cs="Miriam"/>
          <w:b/>
          <w:szCs w:val="24"/>
          <w:rtl/>
        </w:rPr>
        <w:t xml:space="preserve">' </w:t>
      </w:r>
      <w:r w:rsidRPr="007D0134">
        <w:rPr>
          <w:rFonts w:ascii="Century" w:hAnsi="Century" w:cs="Miriam" w:hint="eastAsia"/>
          <w:b/>
          <w:szCs w:val="24"/>
          <w:rtl/>
        </w:rPr>
        <w:t>שר</w:t>
      </w:r>
      <w:r w:rsidRPr="007D0134">
        <w:rPr>
          <w:rFonts w:ascii="Century" w:hAnsi="Century" w:cs="Miriam"/>
          <w:b/>
          <w:szCs w:val="24"/>
          <w:rtl/>
        </w:rPr>
        <w:t>-</w:t>
      </w:r>
      <w:r w:rsidRPr="007D0134">
        <w:rPr>
          <w:rFonts w:ascii="Century" w:hAnsi="Century" w:cs="Miriam" w:hint="eastAsia"/>
          <w:b/>
          <w:szCs w:val="24"/>
          <w:rtl/>
        </w:rPr>
        <w:t>המשפטים</w:t>
      </w:r>
      <w:r w:rsidRPr="007D0134">
        <w:rPr>
          <w:rFonts w:ascii="Century" w:hAnsi="Century" w:cs="Miriam"/>
          <w:b/>
          <w:szCs w:val="24"/>
          <w:rtl/>
        </w:rPr>
        <w:t xml:space="preserve"> </w:t>
      </w:r>
      <w:r w:rsidRPr="007D0134">
        <w:rPr>
          <w:rFonts w:ascii="Century" w:hAnsi="Century" w:cs="Miriam" w:hint="eastAsia"/>
          <w:b/>
          <w:szCs w:val="24"/>
          <w:rtl/>
        </w:rPr>
        <w:t>ויו</w:t>
      </w:r>
      <w:r w:rsidRPr="007D0134">
        <w:rPr>
          <w:rFonts w:ascii="Century" w:hAnsi="Century" w:cs="Miriam"/>
          <w:b/>
          <w:szCs w:val="24"/>
          <w:rtl/>
        </w:rPr>
        <w:t>"</w:t>
      </w:r>
      <w:r w:rsidRPr="007D0134">
        <w:rPr>
          <w:rFonts w:ascii="Century" w:hAnsi="Century" w:cs="Miriam" w:hint="eastAsia"/>
          <w:b/>
          <w:szCs w:val="24"/>
          <w:rtl/>
        </w:rPr>
        <w:t>ר</w:t>
      </w:r>
      <w:r w:rsidRPr="007D0134">
        <w:rPr>
          <w:rFonts w:ascii="Century" w:hAnsi="Century" w:cs="Miriam"/>
          <w:b/>
          <w:szCs w:val="24"/>
          <w:rtl/>
        </w:rPr>
        <w:t xml:space="preserve"> </w:t>
      </w:r>
      <w:r w:rsidRPr="007D0134">
        <w:rPr>
          <w:rFonts w:ascii="Century" w:hAnsi="Century" w:cs="Miriam" w:hint="eastAsia"/>
          <w:b/>
          <w:szCs w:val="24"/>
          <w:rtl/>
        </w:rPr>
        <w:t>וחברי</w:t>
      </w:r>
      <w:r w:rsidRPr="007D0134">
        <w:rPr>
          <w:rFonts w:ascii="Century" w:hAnsi="Century" w:cs="Miriam"/>
          <w:b/>
          <w:szCs w:val="24"/>
          <w:rtl/>
        </w:rPr>
        <w:t xml:space="preserve"> </w:t>
      </w:r>
      <w:r w:rsidRPr="007D0134">
        <w:rPr>
          <w:rFonts w:ascii="Century" w:hAnsi="Century" w:cs="Miriam" w:hint="eastAsia"/>
          <w:b/>
          <w:szCs w:val="24"/>
          <w:rtl/>
        </w:rPr>
        <w:t>הוועדה</w:t>
      </w:r>
      <w:r w:rsidRPr="007D0134">
        <w:rPr>
          <w:rFonts w:ascii="Century" w:hAnsi="Century" w:cs="Miriam"/>
          <w:b/>
          <w:szCs w:val="24"/>
          <w:rtl/>
        </w:rPr>
        <w:t xml:space="preserve"> </w:t>
      </w:r>
      <w:r w:rsidRPr="007D0134">
        <w:rPr>
          <w:rFonts w:ascii="Century" w:hAnsi="Century" w:cs="Miriam" w:hint="eastAsia"/>
          <w:b/>
          <w:szCs w:val="24"/>
          <w:rtl/>
        </w:rPr>
        <w:t>למתן</w:t>
      </w:r>
      <w:r w:rsidRPr="007D0134">
        <w:rPr>
          <w:rFonts w:ascii="Century" w:hAnsi="Century" w:cs="Miriam"/>
          <w:b/>
          <w:szCs w:val="24"/>
          <w:rtl/>
        </w:rPr>
        <w:t xml:space="preserve"> </w:t>
      </w:r>
      <w:r w:rsidRPr="007D0134">
        <w:rPr>
          <w:rFonts w:ascii="Century" w:hAnsi="Century" w:cs="Miriam" w:hint="eastAsia"/>
          <w:b/>
          <w:szCs w:val="24"/>
          <w:rtl/>
        </w:rPr>
        <w:t>תעודות</w:t>
      </w:r>
      <w:r w:rsidRPr="007D0134">
        <w:rPr>
          <w:rFonts w:ascii="Century" w:hAnsi="Century" w:cs="Miriam"/>
          <w:b/>
          <w:szCs w:val="24"/>
          <w:rtl/>
        </w:rPr>
        <w:t xml:space="preserve"> </w:t>
      </w:r>
      <w:r w:rsidRPr="007D0134">
        <w:rPr>
          <w:rFonts w:ascii="Century" w:hAnsi="Century" w:cs="Miriam" w:hint="eastAsia"/>
          <w:b/>
          <w:szCs w:val="24"/>
          <w:rtl/>
        </w:rPr>
        <w:t>למבקרי</w:t>
      </w:r>
      <w:r w:rsidRPr="007D0134">
        <w:rPr>
          <w:rFonts w:ascii="Century" w:hAnsi="Century" w:cs="Miriam"/>
          <w:b/>
          <w:szCs w:val="24"/>
          <w:rtl/>
        </w:rPr>
        <w:t>-</w:t>
      </w:r>
      <w:r w:rsidRPr="007D0134">
        <w:rPr>
          <w:rFonts w:ascii="Century" w:hAnsi="Century" w:cs="Miriam" w:hint="eastAsia"/>
          <w:b/>
          <w:szCs w:val="24"/>
          <w:rtl/>
        </w:rPr>
        <w:t>חשבונות</w:t>
      </w:r>
      <w:r w:rsidRPr="007D0134">
        <w:rPr>
          <w:rFonts w:ascii="Century" w:hAnsi="Century" w:cs="Miriam"/>
          <w:b/>
          <w:szCs w:val="24"/>
          <w:rtl/>
        </w:rPr>
        <w:t xml:space="preserve"> </w:t>
      </w:r>
      <w:r w:rsidRPr="007D0134">
        <w:rPr>
          <w:rFonts w:ascii="Century" w:hAnsi="Century" w:cs="Miriam" w:hint="eastAsia"/>
          <w:b/>
          <w:szCs w:val="24"/>
          <w:rtl/>
        </w:rPr>
        <w:t>מוסמכים</w:t>
      </w:r>
      <w:r w:rsidRPr="007D0134">
        <w:rPr>
          <w:rFonts w:ascii="Century" w:hAnsi="Century"/>
          <w:rtl/>
        </w:rPr>
        <w:t>, פ"ד ח 1491</w:t>
      </w:r>
      <w:r w:rsidRPr="007D0134">
        <w:rPr>
          <w:rFonts w:ascii="Century" w:hAnsi="Century" w:hint="cs"/>
          <w:rtl/>
        </w:rPr>
        <w:t>,</w:t>
      </w:r>
      <w:r w:rsidRPr="007D0134">
        <w:rPr>
          <w:rFonts w:ascii="Century" w:hAnsi="Century"/>
          <w:rtl/>
        </w:rPr>
        <w:t xml:space="preserve"> </w:t>
      </w:r>
      <w:r w:rsidRPr="007D0134">
        <w:rPr>
          <w:rFonts w:ascii="Century" w:hAnsi="Century" w:hint="cs"/>
          <w:rtl/>
        </w:rPr>
        <w:t xml:space="preserve">1499 </w:t>
      </w:r>
      <w:r w:rsidRPr="007D0134">
        <w:rPr>
          <w:rFonts w:ascii="Century" w:hAnsi="Century"/>
          <w:rtl/>
        </w:rPr>
        <w:t>(1954)</w:t>
      </w:r>
      <w:r w:rsidRPr="007D0134">
        <w:rPr>
          <w:rFonts w:ascii="Century" w:hAnsi="Century" w:hint="cs"/>
          <w:rtl/>
        </w:rPr>
        <w:t xml:space="preserve"> (להלן: </w:t>
      </w:r>
      <w:r w:rsidRPr="007D0134">
        <w:rPr>
          <w:rFonts w:ascii="Century" w:hAnsi="Century" w:cs="Miriam" w:hint="eastAsia"/>
          <w:b/>
          <w:szCs w:val="24"/>
          <w:rtl/>
        </w:rPr>
        <w:t>עניין</w:t>
      </w:r>
      <w:r w:rsidRPr="007D0134">
        <w:rPr>
          <w:rFonts w:ascii="Century" w:hAnsi="Century" w:cs="Miriam"/>
          <w:b/>
          <w:szCs w:val="24"/>
          <w:rtl/>
        </w:rPr>
        <w:t xml:space="preserve"> </w:t>
      </w:r>
      <w:r w:rsidRPr="007D0134">
        <w:rPr>
          <w:rFonts w:ascii="Century" w:hAnsi="Century" w:cs="Miriam" w:hint="eastAsia"/>
          <w:b/>
          <w:szCs w:val="24"/>
          <w:rtl/>
        </w:rPr>
        <w:t>נוחימובסקי</w:t>
      </w:r>
      <w:r w:rsidRPr="007D0134">
        <w:rPr>
          <w:rFonts w:ascii="Century" w:hAnsi="Century" w:hint="cs"/>
          <w:rtl/>
        </w:rPr>
        <w:t xml:space="preserve">); עניין </w:t>
      </w:r>
      <w:r w:rsidRPr="007D0134">
        <w:rPr>
          <w:rFonts w:ascii="Century" w:hAnsi="Century" w:cs="Miriam" w:hint="eastAsia"/>
          <w:b/>
          <w:szCs w:val="24"/>
          <w:rtl/>
        </w:rPr>
        <w:t>דיזינגוף</w:t>
      </w:r>
      <w:r w:rsidRPr="007D0134">
        <w:rPr>
          <w:rFonts w:ascii="Century" w:hAnsi="Century" w:hint="cs"/>
          <w:rtl/>
        </w:rPr>
        <w:t xml:space="preserve">, בעמוד 1039; </w:t>
      </w:r>
      <w:r w:rsidRPr="007D0134">
        <w:rPr>
          <w:rFonts w:ascii="Century" w:hAnsi="Century"/>
          <w:rtl/>
        </w:rPr>
        <w:t xml:space="preserve">בג"ץ 129/57 </w:t>
      </w:r>
      <w:r w:rsidRPr="007D0134">
        <w:rPr>
          <w:rFonts w:ascii="Century" w:hAnsi="Century" w:cs="Miriam" w:hint="eastAsia"/>
          <w:b/>
          <w:szCs w:val="24"/>
          <w:rtl/>
        </w:rPr>
        <w:t>מנשי</w:t>
      </w:r>
      <w:r w:rsidRPr="007D0134">
        <w:rPr>
          <w:rFonts w:ascii="Century" w:hAnsi="Century" w:cs="Miriam"/>
          <w:b/>
          <w:szCs w:val="24"/>
          <w:rtl/>
        </w:rPr>
        <w:t xml:space="preserve"> </w:t>
      </w:r>
      <w:r w:rsidRPr="007D0134">
        <w:rPr>
          <w:rFonts w:ascii="Century" w:hAnsi="Century" w:cs="Miriam" w:hint="eastAsia"/>
          <w:b/>
          <w:szCs w:val="24"/>
          <w:rtl/>
        </w:rPr>
        <w:t>נ</w:t>
      </w:r>
      <w:r w:rsidRPr="007D0134">
        <w:rPr>
          <w:rFonts w:ascii="Century" w:hAnsi="Century" w:cs="Miriam"/>
          <w:b/>
          <w:szCs w:val="24"/>
          <w:rtl/>
        </w:rPr>
        <w:t xml:space="preserve">' </w:t>
      </w:r>
      <w:r w:rsidRPr="007D0134">
        <w:rPr>
          <w:rFonts w:ascii="Century" w:hAnsi="Century" w:cs="Miriam" w:hint="eastAsia"/>
          <w:b/>
          <w:szCs w:val="24"/>
          <w:rtl/>
        </w:rPr>
        <w:t>שר</w:t>
      </w:r>
      <w:r w:rsidRPr="007D0134">
        <w:rPr>
          <w:rFonts w:ascii="Century" w:hAnsi="Century" w:cs="Miriam"/>
          <w:b/>
          <w:szCs w:val="24"/>
          <w:rtl/>
        </w:rPr>
        <w:t>-</w:t>
      </w:r>
      <w:r w:rsidRPr="007D0134">
        <w:rPr>
          <w:rFonts w:ascii="Century" w:hAnsi="Century" w:cs="Miriam" w:hint="eastAsia"/>
          <w:b/>
          <w:szCs w:val="24"/>
          <w:rtl/>
        </w:rPr>
        <w:t>הפנים</w:t>
      </w:r>
      <w:r w:rsidRPr="007D0134">
        <w:rPr>
          <w:rFonts w:ascii="Century" w:hAnsi="Century"/>
          <w:rtl/>
        </w:rPr>
        <w:t>,</w:t>
      </w:r>
      <w:r w:rsidRPr="007D0134">
        <w:rPr>
          <w:rFonts w:ascii="Century" w:hAnsi="Century" w:hint="cs"/>
          <w:rtl/>
        </w:rPr>
        <w:t xml:space="preserve"> פ"ד</w:t>
      </w:r>
      <w:r w:rsidRPr="007D0134">
        <w:rPr>
          <w:rFonts w:ascii="Century" w:hAnsi="Century"/>
          <w:rtl/>
        </w:rPr>
        <w:t xml:space="preserve"> יב 209</w:t>
      </w:r>
      <w:r w:rsidRPr="007D0134">
        <w:rPr>
          <w:rFonts w:ascii="Century" w:hAnsi="Century" w:hint="cs"/>
          <w:rtl/>
        </w:rPr>
        <w:t>, 214-215</w:t>
      </w:r>
      <w:r w:rsidRPr="007D0134">
        <w:rPr>
          <w:rFonts w:ascii="Century" w:hAnsi="Century"/>
          <w:rtl/>
        </w:rPr>
        <w:t xml:space="preserve"> (1958)</w:t>
      </w:r>
      <w:r w:rsidRPr="007D0134">
        <w:rPr>
          <w:rFonts w:ascii="Century" w:hAnsi="Century" w:hint="cs"/>
          <w:rtl/>
        </w:rPr>
        <w:t xml:space="preserve">. ראו גם: כהן, בעמודים 795-794; דותן, ריסון וסבירות, בעמוד 679). </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jc w:val="both"/>
        <w:rPr>
          <w:rFonts w:ascii="Century" w:hAnsi="Century" w:cs="FrankRuehl"/>
          <w:spacing w:val="10"/>
          <w:szCs w:val="28"/>
          <w:rtl/>
        </w:rPr>
      </w:pPr>
      <w:r>
        <w:rPr>
          <w:rFonts w:ascii="Century" w:hAnsi="Century" w:cs="FrankRuehl"/>
          <w:spacing w:val="10"/>
          <w:szCs w:val="28"/>
          <w:rtl/>
        </w:rPr>
        <w:tab/>
      </w:r>
      <w:r>
        <w:rPr>
          <w:rFonts w:ascii="Century" w:hAnsi="Century" w:cs="FrankRuehl" w:hint="cs"/>
          <w:spacing w:val="10"/>
          <w:szCs w:val="28"/>
          <w:rtl/>
        </w:rPr>
        <w:t xml:space="preserve">לצד זאת, יצוין כבר עתה כי הדרך בה על בית המשפט להפעיל נוסחה כללית זו </w:t>
      </w:r>
      <w:r>
        <w:rPr>
          <w:rFonts w:ascii="Century" w:hAnsi="Century" w:cs="FrankRuehl"/>
          <w:spacing w:val="10"/>
          <w:szCs w:val="28"/>
          <w:rtl/>
        </w:rPr>
        <w:t>–</w:t>
      </w:r>
      <w:r>
        <w:rPr>
          <w:rFonts w:ascii="Century" w:hAnsi="Century" w:cs="FrankRuehl" w:hint="cs"/>
          <w:spacing w:val="10"/>
          <w:szCs w:val="28"/>
          <w:rtl/>
        </w:rPr>
        <w:t xml:space="preserve"> היינו לבחון האם ההחלטה שהובאה לפתחו היא "מופרכת" או "בלתי מתקבלת על הדעת" במידה כזו שהיא מהווה חריגה מסמכות </w:t>
      </w:r>
      <w:r>
        <w:rPr>
          <w:rFonts w:ascii="Century" w:hAnsi="Century" w:cs="FrankRuehl"/>
          <w:spacing w:val="10"/>
          <w:szCs w:val="28"/>
          <w:rtl/>
        </w:rPr>
        <w:t>–</w:t>
      </w:r>
      <w:r>
        <w:rPr>
          <w:rFonts w:ascii="Century" w:hAnsi="Century" w:cs="FrankRuehl" w:hint="cs"/>
          <w:spacing w:val="10"/>
          <w:szCs w:val="28"/>
          <w:rtl/>
        </w:rPr>
        <w:t xml:space="preserve"> לא הובררה די הצורך. בעניין </w:t>
      </w:r>
      <w:r w:rsidRPr="00061844">
        <w:rPr>
          <w:rFonts w:ascii="Century" w:hAnsi="Century" w:cs="Miriam" w:hint="eastAsia"/>
          <w:b/>
          <w:rtl/>
        </w:rPr>
        <w:t>נוחימובסקי</w:t>
      </w:r>
      <w:r>
        <w:rPr>
          <w:rFonts w:ascii="Century" w:hAnsi="Century" w:cs="FrankRuehl" w:hint="cs"/>
          <w:spacing w:val="10"/>
          <w:szCs w:val="28"/>
          <w:rtl/>
        </w:rPr>
        <w:t xml:space="preserve"> ציין השופט </w:t>
      </w:r>
      <w:r w:rsidRPr="00061844">
        <w:rPr>
          <w:rFonts w:ascii="Century" w:hAnsi="Century" w:cs="Miriam" w:hint="eastAsia"/>
          <w:b/>
          <w:rtl/>
        </w:rPr>
        <w:t>ברנזון</w:t>
      </w:r>
      <w:r>
        <w:rPr>
          <w:rFonts w:ascii="Century" w:hAnsi="Century" w:cs="FrankRuehl" w:hint="cs"/>
          <w:spacing w:val="10"/>
          <w:szCs w:val="28"/>
          <w:rtl/>
        </w:rPr>
        <w:t>: "</w:t>
      </w:r>
      <w:r w:rsidRPr="00D170F5">
        <w:rPr>
          <w:rFonts w:ascii="Century" w:hAnsi="Century" w:cs="Miriam" w:hint="eastAsia"/>
          <w:b/>
          <w:rtl/>
        </w:rPr>
        <w:t>אימתי</w:t>
      </w:r>
      <w:r w:rsidRPr="00D170F5">
        <w:rPr>
          <w:rFonts w:ascii="Century" w:hAnsi="Century" w:cs="Miriam"/>
          <w:b/>
          <w:rtl/>
        </w:rPr>
        <w:t xml:space="preserve"> </w:t>
      </w:r>
      <w:r w:rsidRPr="00D170F5">
        <w:rPr>
          <w:rFonts w:ascii="Century" w:hAnsi="Century" w:cs="Miriam" w:hint="eastAsia"/>
          <w:b/>
          <w:rtl/>
        </w:rPr>
        <w:t>מעשה</w:t>
      </w:r>
      <w:r w:rsidRPr="00D170F5">
        <w:rPr>
          <w:rFonts w:ascii="Century" w:hAnsi="Century" w:cs="Miriam"/>
          <w:b/>
          <w:rtl/>
        </w:rPr>
        <w:t xml:space="preserve"> </w:t>
      </w:r>
      <w:r w:rsidRPr="00D170F5">
        <w:rPr>
          <w:rFonts w:ascii="Century" w:hAnsi="Century" w:cs="Miriam" w:hint="eastAsia"/>
          <w:b/>
          <w:rtl/>
        </w:rPr>
        <w:t>הוא</w:t>
      </w:r>
      <w:r w:rsidRPr="00D170F5">
        <w:rPr>
          <w:rFonts w:ascii="Century" w:hAnsi="Century" w:cs="Miriam"/>
          <w:b/>
          <w:rtl/>
        </w:rPr>
        <w:t xml:space="preserve"> </w:t>
      </w:r>
      <w:r w:rsidRPr="00D170F5">
        <w:rPr>
          <w:rFonts w:ascii="Century" w:hAnsi="Century" w:cs="Miriam" w:hint="eastAsia"/>
          <w:b/>
          <w:rtl/>
        </w:rPr>
        <w:t>בלתי</w:t>
      </w:r>
      <w:r w:rsidRPr="00D170F5">
        <w:rPr>
          <w:rFonts w:ascii="Century" w:hAnsi="Century" w:cs="Miriam"/>
          <w:b/>
          <w:rtl/>
        </w:rPr>
        <w:t xml:space="preserve"> </w:t>
      </w:r>
      <w:r w:rsidRPr="00D170F5">
        <w:rPr>
          <w:rFonts w:ascii="Century" w:hAnsi="Century" w:cs="Miriam" w:hint="eastAsia"/>
          <w:b/>
          <w:rtl/>
        </w:rPr>
        <w:t>מתקבל</w:t>
      </w:r>
      <w:r w:rsidRPr="00D170F5">
        <w:rPr>
          <w:rFonts w:ascii="Century" w:hAnsi="Century" w:cs="Miriam"/>
          <w:b/>
          <w:rtl/>
        </w:rPr>
        <w:t xml:space="preserve"> </w:t>
      </w:r>
      <w:r w:rsidRPr="00D170F5">
        <w:rPr>
          <w:rFonts w:ascii="Century" w:hAnsi="Century" w:cs="Miriam" w:hint="eastAsia"/>
          <w:b/>
          <w:rtl/>
        </w:rPr>
        <w:t>על</w:t>
      </w:r>
      <w:r w:rsidRPr="00D170F5">
        <w:rPr>
          <w:rFonts w:ascii="Century" w:hAnsi="Century" w:cs="Miriam"/>
          <w:b/>
          <w:rtl/>
        </w:rPr>
        <w:t xml:space="preserve"> </w:t>
      </w:r>
      <w:r w:rsidRPr="00D170F5">
        <w:rPr>
          <w:rFonts w:ascii="Century" w:hAnsi="Century" w:cs="Miriam" w:hint="eastAsia"/>
          <w:b/>
          <w:rtl/>
        </w:rPr>
        <w:t>הדעת</w:t>
      </w:r>
      <w:r w:rsidRPr="00D170F5">
        <w:rPr>
          <w:rFonts w:ascii="Century" w:hAnsi="Century" w:cs="Miriam"/>
          <w:b/>
          <w:rtl/>
        </w:rPr>
        <w:t xml:space="preserve"> </w:t>
      </w:r>
      <w:r w:rsidRPr="00D170F5">
        <w:rPr>
          <w:rFonts w:ascii="Century" w:hAnsi="Century" w:cs="Miriam" w:hint="eastAsia"/>
          <w:b/>
          <w:rtl/>
        </w:rPr>
        <w:t>במידה</w:t>
      </w:r>
      <w:r w:rsidRPr="00D170F5">
        <w:rPr>
          <w:rFonts w:ascii="Century" w:hAnsi="Century" w:cs="Miriam"/>
          <w:b/>
          <w:rtl/>
        </w:rPr>
        <w:t xml:space="preserve"> </w:t>
      </w:r>
      <w:r w:rsidRPr="00D170F5">
        <w:rPr>
          <w:rFonts w:ascii="Century" w:hAnsi="Century" w:cs="Miriam" w:hint="eastAsia"/>
          <w:b/>
          <w:rtl/>
        </w:rPr>
        <w:t>כזאת</w:t>
      </w:r>
      <w:r w:rsidRPr="00D170F5">
        <w:rPr>
          <w:rFonts w:ascii="Century" w:hAnsi="Century" w:cs="Miriam"/>
          <w:b/>
          <w:rtl/>
        </w:rPr>
        <w:t xml:space="preserve"> </w:t>
      </w:r>
      <w:r w:rsidRPr="00D170F5">
        <w:rPr>
          <w:rFonts w:ascii="Century" w:hAnsi="Century" w:cs="Miriam" w:hint="eastAsia"/>
          <w:b/>
          <w:rtl/>
        </w:rPr>
        <w:t>שהוא</w:t>
      </w:r>
      <w:r w:rsidRPr="00D170F5">
        <w:rPr>
          <w:rFonts w:ascii="Century" w:hAnsi="Century" w:cs="Miriam"/>
          <w:b/>
          <w:rtl/>
        </w:rPr>
        <w:t xml:space="preserve"> </w:t>
      </w:r>
      <w:r w:rsidRPr="00D170F5">
        <w:rPr>
          <w:rFonts w:ascii="Century" w:hAnsi="Century" w:cs="Miriam" w:hint="eastAsia"/>
          <w:b/>
          <w:rtl/>
        </w:rPr>
        <w:t>בגדר</w:t>
      </w:r>
      <w:r w:rsidRPr="00D170F5">
        <w:rPr>
          <w:rFonts w:ascii="Century" w:hAnsi="Century" w:cs="Miriam"/>
          <w:b/>
          <w:rtl/>
        </w:rPr>
        <w:t xml:space="preserve"> </w:t>
      </w:r>
      <w:r w:rsidRPr="00D170F5">
        <w:rPr>
          <w:rFonts w:ascii="Century" w:hAnsi="Century" w:cs="Miriam" w:hint="eastAsia"/>
          <w:b/>
          <w:rtl/>
        </w:rPr>
        <w:t>שימוש</w:t>
      </w:r>
      <w:r w:rsidRPr="00D170F5">
        <w:rPr>
          <w:rFonts w:ascii="Century" w:hAnsi="Century" w:cs="Miriam"/>
          <w:b/>
          <w:rtl/>
        </w:rPr>
        <w:t xml:space="preserve"> </w:t>
      </w:r>
      <w:r w:rsidRPr="00D170F5">
        <w:rPr>
          <w:rFonts w:ascii="Century" w:hAnsi="Century" w:cs="Miriam" w:hint="eastAsia"/>
          <w:b/>
          <w:rtl/>
        </w:rPr>
        <w:t>לרעה</w:t>
      </w:r>
      <w:r w:rsidRPr="00D170F5">
        <w:rPr>
          <w:rFonts w:ascii="Century" w:hAnsi="Century" w:cs="Miriam"/>
          <w:b/>
          <w:rtl/>
        </w:rPr>
        <w:t xml:space="preserve"> </w:t>
      </w:r>
      <w:r w:rsidRPr="00D170F5">
        <w:rPr>
          <w:rFonts w:ascii="Century" w:hAnsi="Century" w:cs="Miriam" w:hint="eastAsia"/>
          <w:b/>
          <w:rtl/>
        </w:rPr>
        <w:t>בסמכות</w:t>
      </w:r>
      <w:r w:rsidRPr="00D170F5">
        <w:rPr>
          <w:rFonts w:ascii="Century" w:hAnsi="Century" w:cs="Miriam"/>
          <w:b/>
          <w:rtl/>
        </w:rPr>
        <w:t xml:space="preserve">? </w:t>
      </w:r>
      <w:r w:rsidRPr="00D170F5">
        <w:rPr>
          <w:rFonts w:ascii="Century" w:hAnsi="Century" w:cs="Miriam" w:hint="eastAsia"/>
          <w:b/>
          <w:rtl/>
        </w:rPr>
        <w:t>אין</w:t>
      </w:r>
      <w:r w:rsidRPr="00D170F5">
        <w:rPr>
          <w:rFonts w:ascii="Century" w:hAnsi="Century" w:cs="Miriam"/>
          <w:b/>
          <w:rtl/>
        </w:rPr>
        <w:t xml:space="preserve"> </w:t>
      </w:r>
      <w:r w:rsidRPr="00D170F5">
        <w:rPr>
          <w:rFonts w:ascii="Century" w:hAnsi="Century" w:cs="Miriam" w:hint="eastAsia"/>
          <w:b/>
          <w:rtl/>
        </w:rPr>
        <w:t>תשובה</w:t>
      </w:r>
      <w:r w:rsidRPr="00D170F5">
        <w:rPr>
          <w:rFonts w:ascii="Century" w:hAnsi="Century" w:cs="Miriam"/>
          <w:b/>
          <w:rtl/>
        </w:rPr>
        <w:t xml:space="preserve"> </w:t>
      </w:r>
      <w:r w:rsidRPr="00D170F5">
        <w:rPr>
          <w:rFonts w:ascii="Century" w:hAnsi="Century" w:cs="Miriam" w:hint="eastAsia"/>
          <w:b/>
          <w:rtl/>
        </w:rPr>
        <w:t>חותכת</w:t>
      </w:r>
      <w:r w:rsidRPr="00D170F5">
        <w:rPr>
          <w:rFonts w:ascii="Century" w:hAnsi="Century" w:cs="Miriam"/>
          <w:b/>
          <w:rtl/>
        </w:rPr>
        <w:t xml:space="preserve"> </w:t>
      </w:r>
      <w:r w:rsidRPr="00D170F5">
        <w:rPr>
          <w:rFonts w:ascii="Century" w:hAnsi="Century" w:cs="Miriam" w:hint="eastAsia"/>
          <w:b/>
          <w:rtl/>
        </w:rPr>
        <w:t>כללית</w:t>
      </w:r>
      <w:r w:rsidRPr="00D170F5">
        <w:rPr>
          <w:rFonts w:ascii="Century" w:hAnsi="Century" w:cs="Miriam"/>
          <w:b/>
          <w:rtl/>
        </w:rPr>
        <w:t xml:space="preserve"> </w:t>
      </w:r>
      <w:r w:rsidRPr="00D170F5">
        <w:rPr>
          <w:rFonts w:ascii="Century" w:hAnsi="Century" w:cs="Miriam" w:hint="eastAsia"/>
          <w:b/>
          <w:rtl/>
        </w:rPr>
        <w:t>לשאלה</w:t>
      </w:r>
      <w:r w:rsidRPr="00D170F5">
        <w:rPr>
          <w:rFonts w:ascii="Century" w:hAnsi="Century" w:cs="Miriam"/>
          <w:b/>
          <w:rtl/>
        </w:rPr>
        <w:t xml:space="preserve"> </w:t>
      </w:r>
      <w:r w:rsidRPr="00D170F5">
        <w:rPr>
          <w:rFonts w:ascii="Century" w:hAnsi="Century" w:cs="Miriam" w:hint="eastAsia"/>
          <w:b/>
          <w:rtl/>
        </w:rPr>
        <w:t>זו</w:t>
      </w:r>
      <w:r w:rsidRPr="00D170F5">
        <w:rPr>
          <w:rFonts w:ascii="Century" w:hAnsi="Century" w:cs="Miriam"/>
          <w:b/>
          <w:rtl/>
        </w:rPr>
        <w:t xml:space="preserve">. </w:t>
      </w:r>
      <w:r w:rsidRPr="00D170F5">
        <w:rPr>
          <w:rFonts w:ascii="Century" w:hAnsi="Century" w:cs="Miriam" w:hint="eastAsia"/>
          <w:b/>
          <w:u w:val="single"/>
          <w:rtl/>
        </w:rPr>
        <w:t>התשובה</w:t>
      </w:r>
      <w:r w:rsidRPr="00D170F5">
        <w:rPr>
          <w:rFonts w:ascii="Century" w:hAnsi="Century" w:cs="Miriam"/>
          <w:b/>
          <w:u w:val="single"/>
          <w:rtl/>
        </w:rPr>
        <w:t xml:space="preserve"> </w:t>
      </w:r>
      <w:r w:rsidRPr="00D170F5">
        <w:rPr>
          <w:rFonts w:ascii="Century" w:hAnsi="Century" w:cs="Miriam" w:hint="eastAsia"/>
          <w:b/>
          <w:u w:val="single"/>
          <w:rtl/>
        </w:rPr>
        <w:t>תלויה</w:t>
      </w:r>
      <w:r w:rsidRPr="00D170F5">
        <w:rPr>
          <w:rFonts w:ascii="Century" w:hAnsi="Century" w:cs="Miriam"/>
          <w:b/>
          <w:u w:val="single"/>
          <w:rtl/>
        </w:rPr>
        <w:t xml:space="preserve"> </w:t>
      </w:r>
      <w:r w:rsidRPr="00D170F5">
        <w:rPr>
          <w:rFonts w:ascii="Century" w:hAnsi="Century" w:cs="Miriam" w:hint="eastAsia"/>
          <w:b/>
          <w:u w:val="single"/>
          <w:rtl/>
        </w:rPr>
        <w:t>בנסיבות</w:t>
      </w:r>
      <w:r w:rsidRPr="00D170F5">
        <w:rPr>
          <w:rFonts w:ascii="Century" w:hAnsi="Century" w:cs="Miriam"/>
          <w:b/>
          <w:u w:val="single"/>
          <w:rtl/>
        </w:rPr>
        <w:t xml:space="preserve"> </w:t>
      </w:r>
      <w:r w:rsidRPr="00D170F5">
        <w:rPr>
          <w:rFonts w:ascii="Century" w:hAnsi="Century" w:cs="Miriam" w:hint="eastAsia"/>
          <w:b/>
          <w:u w:val="single"/>
          <w:rtl/>
        </w:rPr>
        <w:t>המיוחדות</w:t>
      </w:r>
      <w:r w:rsidRPr="00D170F5">
        <w:rPr>
          <w:rFonts w:ascii="Century" w:hAnsi="Century" w:cs="Miriam"/>
          <w:b/>
          <w:u w:val="single"/>
          <w:rtl/>
        </w:rPr>
        <w:t xml:space="preserve"> </w:t>
      </w:r>
      <w:r w:rsidRPr="00D170F5">
        <w:rPr>
          <w:rFonts w:ascii="Century" w:hAnsi="Century" w:cs="Miriam" w:hint="eastAsia"/>
          <w:b/>
          <w:u w:val="single"/>
          <w:rtl/>
        </w:rPr>
        <w:t>של</w:t>
      </w:r>
      <w:r w:rsidRPr="00D170F5">
        <w:rPr>
          <w:rFonts w:ascii="Century" w:hAnsi="Century" w:cs="Miriam"/>
          <w:b/>
          <w:u w:val="single"/>
          <w:rtl/>
        </w:rPr>
        <w:t xml:space="preserve"> </w:t>
      </w:r>
      <w:r w:rsidRPr="00D170F5">
        <w:rPr>
          <w:rFonts w:ascii="Century" w:hAnsi="Century" w:cs="Miriam" w:hint="eastAsia"/>
          <w:b/>
          <w:u w:val="single"/>
          <w:rtl/>
        </w:rPr>
        <w:t>כל</w:t>
      </w:r>
      <w:r w:rsidRPr="00D170F5">
        <w:rPr>
          <w:rFonts w:ascii="Century" w:hAnsi="Century" w:cs="Miriam"/>
          <w:b/>
          <w:u w:val="single"/>
          <w:rtl/>
        </w:rPr>
        <w:t xml:space="preserve"> </w:t>
      </w:r>
      <w:r w:rsidRPr="00D170F5">
        <w:rPr>
          <w:rFonts w:ascii="Century" w:hAnsi="Century" w:cs="Miriam" w:hint="eastAsia"/>
          <w:b/>
          <w:u w:val="single"/>
          <w:rtl/>
        </w:rPr>
        <w:t>מקרה</w:t>
      </w:r>
      <w:r w:rsidRPr="00D170F5">
        <w:rPr>
          <w:rFonts w:ascii="Century" w:hAnsi="Century" w:cs="Miriam"/>
          <w:b/>
          <w:u w:val="single"/>
          <w:rtl/>
        </w:rPr>
        <w:t xml:space="preserve"> </w:t>
      </w:r>
      <w:r w:rsidRPr="00D170F5">
        <w:rPr>
          <w:rFonts w:ascii="Century" w:hAnsi="Century" w:cs="Miriam" w:hint="eastAsia"/>
          <w:b/>
          <w:u w:val="single"/>
          <w:rtl/>
        </w:rPr>
        <w:t>ומקרה</w:t>
      </w:r>
      <w:r w:rsidRPr="00D170F5">
        <w:rPr>
          <w:rFonts w:ascii="Century" w:hAnsi="Century" w:cs="Miriam"/>
          <w:b/>
          <w:u w:val="single"/>
          <w:rtl/>
        </w:rPr>
        <w:t xml:space="preserve">, </w:t>
      </w:r>
      <w:r w:rsidRPr="00D170F5">
        <w:rPr>
          <w:rFonts w:ascii="Century" w:hAnsi="Century" w:cs="Miriam" w:hint="eastAsia"/>
          <w:b/>
          <w:u w:val="single"/>
          <w:rtl/>
        </w:rPr>
        <w:t>ומובן</w:t>
      </w:r>
      <w:r w:rsidRPr="00D170F5">
        <w:rPr>
          <w:rFonts w:ascii="Century" w:hAnsi="Century" w:cs="Miriam"/>
          <w:b/>
          <w:u w:val="single"/>
          <w:rtl/>
        </w:rPr>
        <w:t xml:space="preserve"> </w:t>
      </w:r>
      <w:r w:rsidRPr="00D170F5">
        <w:rPr>
          <w:rFonts w:ascii="Century" w:hAnsi="Century" w:cs="Miriam" w:hint="eastAsia"/>
          <w:b/>
          <w:u w:val="single"/>
          <w:rtl/>
        </w:rPr>
        <w:t>שיש</w:t>
      </w:r>
      <w:r w:rsidRPr="00D170F5">
        <w:rPr>
          <w:rFonts w:ascii="Century" w:hAnsi="Century" w:cs="Miriam"/>
          <w:b/>
          <w:u w:val="single"/>
          <w:rtl/>
        </w:rPr>
        <w:t xml:space="preserve"> </w:t>
      </w:r>
      <w:r w:rsidRPr="00D170F5">
        <w:rPr>
          <w:rFonts w:ascii="Century" w:hAnsi="Century" w:cs="Miriam" w:hint="eastAsia"/>
          <w:b/>
          <w:u w:val="single"/>
          <w:rtl/>
        </w:rPr>
        <w:t>להביא</w:t>
      </w:r>
      <w:r w:rsidRPr="00D170F5">
        <w:rPr>
          <w:rFonts w:ascii="Century" w:hAnsi="Century" w:cs="Miriam"/>
          <w:b/>
          <w:u w:val="single"/>
          <w:rtl/>
        </w:rPr>
        <w:t xml:space="preserve"> </w:t>
      </w:r>
      <w:r w:rsidRPr="00D170F5">
        <w:rPr>
          <w:rFonts w:ascii="Century" w:hAnsi="Century" w:cs="Miriam" w:hint="eastAsia"/>
          <w:b/>
          <w:u w:val="single"/>
          <w:rtl/>
        </w:rPr>
        <w:t>בחשבון</w:t>
      </w:r>
      <w:r w:rsidRPr="00D170F5">
        <w:rPr>
          <w:rFonts w:ascii="Century" w:hAnsi="Century" w:cs="Miriam"/>
          <w:b/>
          <w:u w:val="single"/>
          <w:rtl/>
        </w:rPr>
        <w:t xml:space="preserve"> </w:t>
      </w:r>
      <w:r w:rsidRPr="00D170F5">
        <w:rPr>
          <w:rFonts w:ascii="Century" w:hAnsi="Century" w:cs="Miriam" w:hint="eastAsia"/>
          <w:b/>
          <w:u w:val="single"/>
          <w:rtl/>
        </w:rPr>
        <w:t>את</w:t>
      </w:r>
      <w:r w:rsidRPr="00D170F5">
        <w:rPr>
          <w:rFonts w:ascii="Century" w:hAnsi="Century" w:cs="Miriam"/>
          <w:b/>
          <w:u w:val="single"/>
          <w:rtl/>
        </w:rPr>
        <w:t xml:space="preserve"> </w:t>
      </w:r>
      <w:r w:rsidRPr="00D170F5">
        <w:rPr>
          <w:rFonts w:ascii="Century" w:hAnsi="Century" w:cs="Miriam" w:hint="eastAsia"/>
          <w:b/>
          <w:u w:val="single"/>
          <w:rtl/>
        </w:rPr>
        <w:t>כל</w:t>
      </w:r>
      <w:r w:rsidRPr="00D170F5">
        <w:rPr>
          <w:rFonts w:ascii="Century" w:hAnsi="Century" w:cs="Miriam"/>
          <w:b/>
          <w:u w:val="single"/>
          <w:rtl/>
        </w:rPr>
        <w:t xml:space="preserve"> </w:t>
      </w:r>
      <w:r w:rsidRPr="00D170F5">
        <w:rPr>
          <w:rFonts w:ascii="Century" w:hAnsi="Century" w:cs="Miriam" w:hint="eastAsia"/>
          <w:b/>
          <w:u w:val="single"/>
          <w:rtl/>
        </w:rPr>
        <w:t>הנסיבות</w:t>
      </w:r>
      <w:r w:rsidRPr="00D170F5">
        <w:rPr>
          <w:rFonts w:ascii="Century" w:hAnsi="Century" w:cs="Miriam"/>
          <w:b/>
          <w:u w:val="single"/>
          <w:rtl/>
        </w:rPr>
        <w:t xml:space="preserve"> </w:t>
      </w:r>
      <w:r w:rsidRPr="00D170F5">
        <w:rPr>
          <w:rFonts w:ascii="Century" w:hAnsi="Century" w:cs="Miriam" w:hint="eastAsia"/>
          <w:b/>
          <w:u w:val="single"/>
          <w:rtl/>
        </w:rPr>
        <w:t>והגורמים</w:t>
      </w:r>
      <w:r w:rsidRPr="00D170F5">
        <w:rPr>
          <w:rFonts w:ascii="Century" w:hAnsi="Century" w:cs="Miriam"/>
          <w:b/>
          <w:u w:val="single"/>
          <w:rtl/>
        </w:rPr>
        <w:t xml:space="preserve"> </w:t>
      </w:r>
      <w:r w:rsidRPr="00D170F5">
        <w:rPr>
          <w:rFonts w:ascii="Century" w:hAnsi="Century" w:cs="Miriam" w:hint="eastAsia"/>
          <w:b/>
          <w:u w:val="single"/>
          <w:rtl/>
        </w:rPr>
        <w:t>הנוגעים</w:t>
      </w:r>
      <w:r w:rsidRPr="00D170F5">
        <w:rPr>
          <w:rFonts w:ascii="Century" w:hAnsi="Century" w:cs="Miriam"/>
          <w:b/>
          <w:u w:val="single"/>
          <w:rtl/>
        </w:rPr>
        <w:t xml:space="preserve"> </w:t>
      </w:r>
      <w:r w:rsidRPr="00D170F5">
        <w:rPr>
          <w:rFonts w:ascii="Century" w:hAnsi="Century" w:cs="Miriam" w:hint="eastAsia"/>
          <w:b/>
          <w:u w:val="single"/>
          <w:rtl/>
        </w:rPr>
        <w:t>לעניין</w:t>
      </w:r>
      <w:r>
        <w:rPr>
          <w:rFonts w:ascii="Century" w:hAnsi="Century" w:cs="FrankRuehl" w:hint="cs"/>
          <w:spacing w:val="10"/>
          <w:szCs w:val="28"/>
          <w:rtl/>
        </w:rPr>
        <w:t>" (שם, בעמוד 1499; ההדגשה הוספה).</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jc w:val="both"/>
        <w:rPr>
          <w:rFonts w:ascii="Century" w:hAnsi="Century" w:cs="FrankRuehl"/>
          <w:spacing w:val="10"/>
          <w:szCs w:val="28"/>
          <w:rtl/>
        </w:rPr>
      </w:pPr>
      <w:r>
        <w:rPr>
          <w:rFonts w:ascii="Century" w:hAnsi="Century" w:cs="FrankRuehl"/>
          <w:spacing w:val="10"/>
          <w:szCs w:val="28"/>
          <w:rtl/>
        </w:rPr>
        <w:tab/>
      </w:r>
      <w:r>
        <w:rPr>
          <w:rFonts w:ascii="Century" w:hAnsi="Century" w:cs="FrankRuehl" w:hint="cs"/>
          <w:spacing w:val="10"/>
          <w:szCs w:val="28"/>
          <w:rtl/>
        </w:rPr>
        <w:t xml:space="preserve">כמו כן, יצוין במאמר מוסגר כי מלבד מובנה זה של עילת הסבירות, באותן שנים נעשה לעיתים שימוש במונח אי-סבירות גם לצורך תיאורן של החלטות שנפלו בהן פגמים אחרים בהפעלת שיקול הדעת, כדוגמת שיקולים זרים, הפליה וכיוצא בזאת, שבאותה עת נתפסו אף הם כפגמים בהפעלת הסמכות (ראו: </w:t>
      </w:r>
      <w:r>
        <w:rPr>
          <w:rFonts w:ascii="Century" w:hAnsi="Century" w:cs="FrankRuehl"/>
          <w:spacing w:val="10"/>
          <w:szCs w:val="28"/>
          <w:rtl/>
        </w:rPr>
        <w:t>איל זמיר "עילת אי-</w:t>
      </w:r>
      <w:r w:rsidRPr="000619D5">
        <w:rPr>
          <w:rFonts w:ascii="Century" w:hAnsi="Century" w:cs="FrankRuehl"/>
          <w:spacing w:val="10"/>
          <w:szCs w:val="28"/>
          <w:rtl/>
        </w:rPr>
        <w:t>הסבירות במשפט המינהלי"</w:t>
      </w:r>
      <w:r>
        <w:rPr>
          <w:rFonts w:ascii="Century" w:hAnsi="Century" w:cs="FrankRuehl" w:hint="cs"/>
          <w:spacing w:val="10"/>
          <w:szCs w:val="28"/>
          <w:rtl/>
        </w:rPr>
        <w:t xml:space="preserve"> </w:t>
      </w:r>
      <w:r w:rsidRPr="00061844">
        <w:rPr>
          <w:rFonts w:ascii="Century" w:hAnsi="Century" w:cs="Miriam" w:hint="eastAsia"/>
          <w:b/>
          <w:rtl/>
        </w:rPr>
        <w:t>משפטים</w:t>
      </w:r>
      <w:r w:rsidRPr="008C0BB1">
        <w:rPr>
          <w:rFonts w:ascii="Century" w:hAnsi="Century" w:cs="FrankRuehl" w:hint="cs"/>
          <w:spacing w:val="10"/>
          <w:szCs w:val="28"/>
          <w:rtl/>
        </w:rPr>
        <w:t xml:space="preserve"> </w:t>
      </w:r>
      <w:r>
        <w:rPr>
          <w:rFonts w:ascii="Century" w:hAnsi="Century" w:cs="FrankRuehl" w:hint="cs"/>
          <w:spacing w:val="10"/>
          <w:szCs w:val="28"/>
          <w:rtl/>
        </w:rPr>
        <w:t>יב</w:t>
      </w:r>
      <w:r w:rsidRPr="000619D5">
        <w:rPr>
          <w:rFonts w:ascii="Century" w:hAnsi="Century" w:cs="FrankRuehl"/>
          <w:spacing w:val="10"/>
          <w:szCs w:val="28"/>
          <w:rtl/>
        </w:rPr>
        <w:t xml:space="preserve"> 291</w:t>
      </w:r>
      <w:r>
        <w:rPr>
          <w:rFonts w:ascii="Century" w:hAnsi="Century" w:cs="FrankRuehl" w:hint="cs"/>
          <w:spacing w:val="10"/>
          <w:szCs w:val="28"/>
          <w:rtl/>
        </w:rPr>
        <w:t xml:space="preserve">, 298-297 (1982); </w:t>
      </w:r>
      <w:r>
        <w:rPr>
          <w:rFonts w:ascii="Century" w:hAnsi="Century" w:cs="FrankRuehl"/>
          <w:spacing w:val="10"/>
          <w:szCs w:val="28"/>
          <w:rtl/>
        </w:rPr>
        <w:t xml:space="preserve">דפנה ברק-ארז </w:t>
      </w:r>
      <w:r w:rsidRPr="004F4D8E">
        <w:rPr>
          <w:rFonts w:ascii="Century" w:hAnsi="Century" w:cs="Miriam" w:hint="eastAsia"/>
          <w:b/>
          <w:rtl/>
        </w:rPr>
        <w:t>משפט</w:t>
      </w:r>
      <w:r w:rsidRPr="004F4D8E">
        <w:rPr>
          <w:rFonts w:ascii="Century" w:hAnsi="Century" w:cs="Miriam"/>
          <w:b/>
          <w:rtl/>
        </w:rPr>
        <w:t xml:space="preserve"> </w:t>
      </w:r>
      <w:r w:rsidRPr="004F4D8E">
        <w:rPr>
          <w:rFonts w:ascii="Century" w:hAnsi="Century" w:cs="Miriam" w:hint="eastAsia"/>
          <w:b/>
          <w:rtl/>
        </w:rPr>
        <w:t>מינהלי</w:t>
      </w:r>
      <w:r w:rsidRPr="003F161D">
        <w:rPr>
          <w:rFonts w:ascii="Century" w:hAnsi="Century" w:cs="FrankRuehl"/>
          <w:spacing w:val="10"/>
          <w:szCs w:val="28"/>
          <w:rtl/>
        </w:rPr>
        <w:t xml:space="preserve"> </w:t>
      </w:r>
      <w:r>
        <w:rPr>
          <w:rFonts w:ascii="Century" w:hAnsi="Century" w:cs="FrankRuehl"/>
          <w:spacing w:val="10"/>
          <w:szCs w:val="28"/>
          <w:rtl/>
        </w:rPr>
        <w:t>כרך ב</w:t>
      </w:r>
      <w:r w:rsidRPr="003F161D">
        <w:rPr>
          <w:rFonts w:ascii="Century" w:hAnsi="Century" w:cs="FrankRuehl"/>
          <w:spacing w:val="10"/>
          <w:szCs w:val="28"/>
          <w:rtl/>
        </w:rPr>
        <w:t xml:space="preserve"> </w:t>
      </w:r>
      <w:r>
        <w:rPr>
          <w:rFonts w:ascii="Century" w:hAnsi="Century" w:cs="FrankRuehl" w:hint="cs"/>
          <w:spacing w:val="10"/>
          <w:szCs w:val="28"/>
          <w:rtl/>
        </w:rPr>
        <w:t>723 (</w:t>
      </w:r>
      <w:r w:rsidRPr="003F161D">
        <w:rPr>
          <w:rFonts w:ascii="Century" w:hAnsi="Century" w:cs="FrankRuehl"/>
          <w:spacing w:val="10"/>
          <w:szCs w:val="28"/>
          <w:rtl/>
        </w:rPr>
        <w:t>2010)</w:t>
      </w:r>
      <w:r>
        <w:rPr>
          <w:rFonts w:ascii="Century" w:hAnsi="Century" w:cs="FrankRuehl" w:hint="cs"/>
          <w:spacing w:val="10"/>
          <w:szCs w:val="28"/>
          <w:rtl/>
        </w:rPr>
        <w:t xml:space="preserve"> (להלן: </w:t>
      </w:r>
      <w:r w:rsidRPr="004F4D8E">
        <w:rPr>
          <w:rFonts w:ascii="Century" w:hAnsi="Century" w:cs="Miriam" w:hint="eastAsia"/>
          <w:b/>
          <w:rtl/>
        </w:rPr>
        <w:t>ברק</w:t>
      </w:r>
      <w:r w:rsidRPr="004F4D8E">
        <w:rPr>
          <w:rFonts w:ascii="Century" w:hAnsi="Century" w:cs="Miriam"/>
          <w:b/>
          <w:rtl/>
        </w:rPr>
        <w:t>-</w:t>
      </w:r>
      <w:r w:rsidRPr="004F4D8E">
        <w:rPr>
          <w:rFonts w:ascii="Century" w:hAnsi="Century" w:cs="Miriam" w:hint="eastAsia"/>
          <w:b/>
          <w:rtl/>
        </w:rPr>
        <w:t>ארז</w:t>
      </w:r>
      <w:r w:rsidRPr="004F4D8E">
        <w:rPr>
          <w:rFonts w:ascii="Century" w:hAnsi="Century" w:cs="Miriam"/>
          <w:b/>
          <w:rtl/>
        </w:rPr>
        <w:t xml:space="preserve">, </w:t>
      </w:r>
      <w:r w:rsidRPr="004F4D8E">
        <w:rPr>
          <w:rFonts w:ascii="Century" w:hAnsi="Century" w:cs="Miriam" w:hint="eastAsia"/>
          <w:b/>
          <w:rtl/>
        </w:rPr>
        <w:t>משפט</w:t>
      </w:r>
      <w:r w:rsidRPr="004F4D8E">
        <w:rPr>
          <w:rFonts w:ascii="Century" w:hAnsi="Century" w:cs="Miriam"/>
          <w:b/>
          <w:rtl/>
        </w:rPr>
        <w:t xml:space="preserve"> </w:t>
      </w:r>
      <w:r w:rsidRPr="004F4D8E">
        <w:rPr>
          <w:rFonts w:ascii="Century" w:hAnsi="Century" w:cs="Miriam" w:hint="eastAsia"/>
          <w:b/>
          <w:rtl/>
        </w:rPr>
        <w:t>מינהלי</w:t>
      </w:r>
      <w:r w:rsidRPr="004F4D8E">
        <w:rPr>
          <w:rFonts w:ascii="Century" w:hAnsi="Century" w:cs="FrankRuehl"/>
          <w:spacing w:val="10"/>
          <w:szCs w:val="28"/>
          <w:rtl/>
        </w:rPr>
        <w:t>)</w:t>
      </w:r>
      <w:r>
        <w:rPr>
          <w:rFonts w:ascii="Century" w:hAnsi="Century" w:cs="FrankRuehl" w:hint="cs"/>
          <w:spacing w:val="10"/>
          <w:szCs w:val="28"/>
          <w:rtl/>
        </w:rPr>
        <w:t xml:space="preserve">; דותן, ריסון וסבירות, בעמוד 677. כן ראו: עניין </w:t>
      </w:r>
      <w:r w:rsidRPr="00061844">
        <w:rPr>
          <w:rFonts w:ascii="Century" w:hAnsi="Century" w:cs="Miriam" w:hint="eastAsia"/>
          <w:b/>
          <w:rtl/>
        </w:rPr>
        <w:t>דיזינגוף</w:t>
      </w:r>
      <w:r>
        <w:rPr>
          <w:rFonts w:ascii="Century" w:hAnsi="Century" w:cs="FrankRuehl" w:hint="cs"/>
          <w:spacing w:val="10"/>
          <w:szCs w:val="28"/>
          <w:rtl/>
        </w:rPr>
        <w:t>, בעמודים 1038-1037).</w:t>
      </w:r>
    </w:p>
    <w:p w:rsidR="00A01E7C" w:rsidRDefault="00A01E7C" w:rsidP="00A01E7C">
      <w:pPr>
        <w:spacing w:line="360" w:lineRule="auto"/>
        <w:jc w:val="both"/>
        <w:rPr>
          <w:rFonts w:ascii="Century" w:hAnsi="Century" w:cs="FrankRuehl"/>
          <w:spacing w:val="10"/>
          <w:szCs w:val="28"/>
          <w:rtl/>
        </w:rPr>
      </w:pPr>
    </w:p>
    <w:p w:rsidR="00A01E7C" w:rsidRPr="007D0134" w:rsidRDefault="00A01E7C" w:rsidP="002A1A3A">
      <w:pPr>
        <w:pStyle w:val="Ruller4"/>
        <w:numPr>
          <w:ilvl w:val="0"/>
          <w:numId w:val="14"/>
        </w:numPr>
        <w:rPr>
          <w:rFonts w:ascii="Century" w:hAnsi="Century"/>
          <w:rtl/>
        </w:rPr>
      </w:pPr>
      <w:r w:rsidRPr="007D0134">
        <w:rPr>
          <w:rFonts w:ascii="Century" w:hAnsi="Century" w:hint="cs"/>
          <w:rtl/>
        </w:rPr>
        <w:t xml:space="preserve">בשנת 1980 ניתן פסק הדין בעניין </w:t>
      </w:r>
      <w:r w:rsidRPr="007D0134">
        <w:rPr>
          <w:rFonts w:ascii="Century" w:hAnsi="Century" w:cs="Miriam" w:hint="eastAsia"/>
          <w:b/>
          <w:szCs w:val="24"/>
          <w:rtl/>
        </w:rPr>
        <w:t>דפי</w:t>
      </w:r>
      <w:r w:rsidRPr="007D0134">
        <w:rPr>
          <w:rFonts w:ascii="Century" w:hAnsi="Century" w:cs="Miriam"/>
          <w:b/>
          <w:szCs w:val="24"/>
          <w:rtl/>
        </w:rPr>
        <w:t xml:space="preserve"> </w:t>
      </w:r>
      <w:r w:rsidRPr="007D0134">
        <w:rPr>
          <w:rFonts w:ascii="Century" w:hAnsi="Century" w:cs="Miriam" w:hint="eastAsia"/>
          <w:b/>
          <w:szCs w:val="24"/>
          <w:rtl/>
        </w:rPr>
        <w:t>זהב</w:t>
      </w:r>
      <w:r w:rsidRPr="007D0134">
        <w:rPr>
          <w:rFonts w:ascii="Century" w:hAnsi="Century" w:hint="cs"/>
          <w:rtl/>
        </w:rPr>
        <w:t xml:space="preserve">. בפסק הדין, המשיג השופט </w:t>
      </w:r>
      <w:r w:rsidRPr="007D0134">
        <w:rPr>
          <w:rFonts w:ascii="Century" w:hAnsi="Century" w:cs="Miriam" w:hint="eastAsia"/>
          <w:b/>
          <w:szCs w:val="24"/>
          <w:rtl/>
        </w:rPr>
        <w:t>א</w:t>
      </w:r>
      <w:r w:rsidRPr="007D0134">
        <w:rPr>
          <w:rFonts w:ascii="Century" w:hAnsi="Century" w:cs="Miriam"/>
          <w:b/>
          <w:szCs w:val="24"/>
          <w:rtl/>
        </w:rPr>
        <w:t xml:space="preserve">' </w:t>
      </w:r>
      <w:r w:rsidRPr="007D0134">
        <w:rPr>
          <w:rFonts w:ascii="Century" w:hAnsi="Century" w:cs="Miriam" w:hint="eastAsia"/>
          <w:b/>
          <w:szCs w:val="24"/>
          <w:rtl/>
        </w:rPr>
        <w:t>ברק</w:t>
      </w:r>
      <w:r w:rsidRPr="007D0134">
        <w:rPr>
          <w:rFonts w:ascii="Century" w:hAnsi="Century" w:hint="cs"/>
          <w:rtl/>
        </w:rPr>
        <w:t xml:space="preserve"> את עילת הסבירות באמצעות ארבע פרופוזיציות: </w:t>
      </w:r>
    </w:p>
    <w:p w:rsidR="00A01E7C" w:rsidRDefault="00A01E7C" w:rsidP="00A01E7C">
      <w:pPr>
        <w:spacing w:line="360" w:lineRule="auto"/>
        <w:jc w:val="both"/>
        <w:rPr>
          <w:rFonts w:ascii="Century" w:hAnsi="Century" w:cs="FrankRuehl"/>
          <w:spacing w:val="10"/>
          <w:szCs w:val="28"/>
          <w:rtl/>
        </w:rPr>
      </w:pPr>
    </w:p>
    <w:p w:rsidR="00A01E7C" w:rsidRDefault="00A01E7C" w:rsidP="00A01E7C">
      <w:pPr>
        <w:pStyle w:val="Ruller5"/>
        <w:rPr>
          <w:rtl/>
        </w:rPr>
      </w:pPr>
      <w:r w:rsidRPr="00C57892">
        <w:rPr>
          <w:rtl/>
        </w:rPr>
        <w:t xml:space="preserve">ראשית, חוסר סבירות כשלעצמו הוא עילה לפסילתו של שיקול-דעת מינהלי; שנית, חוסר הסבירות נמדד באמות מידה אובייקטיביות; שלישית, חוסר סבירות, הפוסל </w:t>
      </w:r>
      <w:r w:rsidRPr="00C57892">
        <w:rPr>
          <w:rtl/>
        </w:rPr>
        <w:lastRenderedPageBreak/>
        <w:t>שיקול-דעת מינהלי, הוא חוסר סבירות מהותי או קיצוני; רביעית, עקרון הסבירות מביא לפסילתו של שיקול-דעת מינהלי, אשר אינו נותן משקל ראוי לאינטרסים השונים שעל הר</w:t>
      </w:r>
      <w:r>
        <w:rPr>
          <w:rtl/>
        </w:rPr>
        <w:t>שות המינהלית להתחשב בהם בהחלטתה</w:t>
      </w:r>
      <w:r>
        <w:rPr>
          <w:rFonts w:hint="cs"/>
          <w:rtl/>
        </w:rPr>
        <w:t xml:space="preserve"> (שם, בעמוד 437).</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jc w:val="both"/>
        <w:rPr>
          <w:rFonts w:ascii="Century" w:hAnsi="Century" w:cs="FrankRuehl"/>
          <w:spacing w:val="10"/>
          <w:szCs w:val="28"/>
          <w:rtl/>
        </w:rPr>
      </w:pPr>
      <w:r>
        <w:rPr>
          <w:rFonts w:ascii="Century" w:hAnsi="Century" w:cs="FrankRuehl"/>
          <w:spacing w:val="10"/>
          <w:szCs w:val="28"/>
          <w:rtl/>
        </w:rPr>
        <w:tab/>
      </w:r>
      <w:r>
        <w:rPr>
          <w:rFonts w:ascii="Century" w:hAnsi="Century" w:cs="FrankRuehl" w:hint="cs"/>
          <w:spacing w:val="10"/>
          <w:szCs w:val="28"/>
          <w:rtl/>
        </w:rPr>
        <w:t xml:space="preserve">על אף שבפסק דינו ציין השופט </w:t>
      </w:r>
      <w:r w:rsidRPr="00061844">
        <w:rPr>
          <w:rFonts w:ascii="Century" w:hAnsi="Century" w:cs="Miriam" w:hint="eastAsia"/>
          <w:b/>
          <w:rtl/>
        </w:rPr>
        <w:t>ברק</w:t>
      </w:r>
      <w:r w:rsidRPr="008C0BB1">
        <w:rPr>
          <w:rFonts w:ascii="Century" w:hAnsi="Century" w:cs="FrankRuehl" w:hint="cs"/>
          <w:spacing w:val="10"/>
          <w:szCs w:val="28"/>
          <w:rtl/>
        </w:rPr>
        <w:t xml:space="preserve"> </w:t>
      </w:r>
      <w:r>
        <w:rPr>
          <w:rFonts w:ascii="Century" w:hAnsi="Century" w:cs="FrankRuehl" w:hint="cs"/>
          <w:spacing w:val="10"/>
          <w:szCs w:val="28"/>
          <w:rtl/>
        </w:rPr>
        <w:t xml:space="preserve">כי פרופוזיציות אלה משקפות את המשפט המצוי כפי שהוא עולה מפסיקתו של בית משפט זה, הדעה הרווחת בקרב שופטים ומלומדים היא כי מדובר בפסק דין תקדימי אשר שינה באופן מהותי את עילת הסבירות כפי שנתפסה בפסיקה עד אותה עת (ראו: מנחם מאוטנר "הסבירות של הפוליטיקה" </w:t>
      </w:r>
      <w:r w:rsidRPr="00061844">
        <w:rPr>
          <w:rFonts w:ascii="Century" w:hAnsi="Century" w:cs="Miriam" w:hint="eastAsia"/>
          <w:b/>
          <w:rtl/>
        </w:rPr>
        <w:t>תיאוריה</w:t>
      </w:r>
      <w:r w:rsidRPr="00061844">
        <w:rPr>
          <w:rFonts w:ascii="Century" w:hAnsi="Century" w:cs="Miriam"/>
          <w:b/>
          <w:rtl/>
        </w:rPr>
        <w:t xml:space="preserve"> </w:t>
      </w:r>
      <w:r w:rsidRPr="00061844">
        <w:rPr>
          <w:rFonts w:ascii="Century" w:hAnsi="Century" w:cs="Miriam" w:hint="eastAsia"/>
          <w:b/>
          <w:rtl/>
        </w:rPr>
        <w:t>וביקורת</w:t>
      </w:r>
      <w:r w:rsidRPr="008C0BB1">
        <w:rPr>
          <w:rFonts w:ascii="Century" w:hAnsi="Century" w:cs="FrankRuehl" w:hint="cs"/>
          <w:spacing w:val="10"/>
          <w:szCs w:val="28"/>
          <w:rtl/>
        </w:rPr>
        <w:t xml:space="preserve"> </w:t>
      </w:r>
      <w:r>
        <w:rPr>
          <w:rFonts w:ascii="Century" w:hAnsi="Century" w:cs="FrankRuehl" w:hint="cs"/>
          <w:spacing w:val="10"/>
          <w:szCs w:val="28"/>
          <w:rtl/>
        </w:rPr>
        <w:t xml:space="preserve">5 25, 25, 27 (1994); יואב דותן "שני מושגים של סבירות" </w:t>
      </w:r>
      <w:r w:rsidRPr="00061844">
        <w:rPr>
          <w:rFonts w:ascii="Century" w:hAnsi="Century" w:cs="Miriam" w:hint="eastAsia"/>
          <w:b/>
          <w:rtl/>
        </w:rPr>
        <w:t>ספר</w:t>
      </w:r>
      <w:r w:rsidRPr="00061844">
        <w:rPr>
          <w:rFonts w:ascii="Century" w:hAnsi="Century" w:cs="Miriam"/>
          <w:b/>
          <w:rtl/>
        </w:rPr>
        <w:t xml:space="preserve"> </w:t>
      </w:r>
      <w:r w:rsidRPr="00061844">
        <w:rPr>
          <w:rFonts w:ascii="Century" w:hAnsi="Century" w:cs="Miriam" w:hint="eastAsia"/>
          <w:b/>
          <w:rtl/>
        </w:rPr>
        <w:t>שמגר</w:t>
      </w:r>
      <w:r w:rsidRPr="00061844">
        <w:rPr>
          <w:rFonts w:ascii="Century" w:hAnsi="Century" w:cs="Miriam"/>
          <w:b/>
          <w:rtl/>
        </w:rPr>
        <w:t xml:space="preserve"> – </w:t>
      </w:r>
      <w:r w:rsidRPr="00061844">
        <w:rPr>
          <w:rFonts w:ascii="Century" w:hAnsi="Century" w:cs="Miriam" w:hint="eastAsia"/>
          <w:b/>
          <w:rtl/>
        </w:rPr>
        <w:t>מאמרים</w:t>
      </w:r>
      <w:r w:rsidRPr="008C0BB1">
        <w:rPr>
          <w:rFonts w:ascii="Century" w:hAnsi="Century" w:cs="FrankRuehl" w:hint="cs"/>
          <w:spacing w:val="10"/>
          <w:szCs w:val="28"/>
          <w:rtl/>
        </w:rPr>
        <w:t xml:space="preserve"> </w:t>
      </w:r>
      <w:r>
        <w:rPr>
          <w:rFonts w:ascii="Century" w:hAnsi="Century" w:cs="FrankRuehl" w:hint="cs"/>
          <w:spacing w:val="10"/>
          <w:szCs w:val="28"/>
          <w:rtl/>
        </w:rPr>
        <w:t xml:space="preserve">417, 420 (אהרן ברק ואח' עורכים, 2003); ברק-ארז, משפט מינהלי, בעמוד 725; כהן, בעמוד 796; דותן, ריסון וסבירות, בעמודים 674, 685). כן ראו: </w:t>
      </w:r>
      <w:r w:rsidRPr="00B91941">
        <w:rPr>
          <w:rFonts w:ascii="Century" w:hAnsi="Century" w:cs="FrankRuehl"/>
          <w:spacing w:val="10"/>
          <w:szCs w:val="28"/>
          <w:rtl/>
        </w:rPr>
        <w:t xml:space="preserve">בג"ץ 6728/06 </w:t>
      </w:r>
      <w:r w:rsidRPr="00061844">
        <w:rPr>
          <w:rFonts w:ascii="Century" w:hAnsi="Century" w:cs="Miriam" w:hint="eastAsia"/>
          <w:b/>
          <w:rtl/>
        </w:rPr>
        <w:t>עמותת</w:t>
      </w:r>
      <w:r w:rsidRPr="00061844">
        <w:rPr>
          <w:rFonts w:ascii="Century" w:hAnsi="Century" w:cs="Miriam"/>
          <w:b/>
          <w:rtl/>
        </w:rPr>
        <w:t xml:space="preserve"> "</w:t>
      </w:r>
      <w:r w:rsidRPr="00061844">
        <w:rPr>
          <w:rFonts w:ascii="Century" w:hAnsi="Century" w:cs="Miriam" w:hint="eastAsia"/>
          <w:b/>
          <w:rtl/>
        </w:rPr>
        <w:t>אומץ</w:t>
      </w:r>
      <w:r w:rsidRPr="00061844">
        <w:rPr>
          <w:rFonts w:ascii="Century" w:hAnsi="Century" w:cs="Miriam"/>
          <w:b/>
          <w:rtl/>
        </w:rPr>
        <w:t>" (</w:t>
      </w:r>
      <w:r w:rsidRPr="00061844">
        <w:rPr>
          <w:rFonts w:ascii="Century" w:hAnsi="Century" w:cs="Miriam" w:hint="eastAsia"/>
          <w:b/>
          <w:rtl/>
        </w:rPr>
        <w:t>אזרחים</w:t>
      </w:r>
      <w:r w:rsidRPr="00061844">
        <w:rPr>
          <w:rFonts w:ascii="Century" w:hAnsi="Century" w:cs="Miriam"/>
          <w:b/>
          <w:rtl/>
        </w:rPr>
        <w:t xml:space="preserve"> </w:t>
      </w:r>
      <w:r w:rsidRPr="00061844">
        <w:rPr>
          <w:rFonts w:ascii="Century" w:hAnsi="Century" w:cs="Miriam" w:hint="eastAsia"/>
          <w:b/>
          <w:rtl/>
        </w:rPr>
        <w:t>למען</w:t>
      </w:r>
      <w:r w:rsidRPr="00061844">
        <w:rPr>
          <w:rFonts w:ascii="Century" w:hAnsi="Century" w:cs="Miriam"/>
          <w:b/>
          <w:rtl/>
        </w:rPr>
        <w:t xml:space="preserve"> </w:t>
      </w:r>
      <w:r w:rsidRPr="00061844">
        <w:rPr>
          <w:rFonts w:ascii="Century" w:hAnsi="Century" w:cs="Miriam" w:hint="eastAsia"/>
          <w:b/>
          <w:rtl/>
        </w:rPr>
        <w:t>מינהל</w:t>
      </w:r>
      <w:r w:rsidRPr="00061844">
        <w:rPr>
          <w:rFonts w:ascii="Century" w:hAnsi="Century" w:cs="Miriam"/>
          <w:b/>
          <w:rtl/>
        </w:rPr>
        <w:t xml:space="preserve"> </w:t>
      </w:r>
      <w:r w:rsidRPr="00061844">
        <w:rPr>
          <w:rFonts w:ascii="Century" w:hAnsi="Century" w:cs="Miriam" w:hint="eastAsia"/>
          <w:b/>
          <w:rtl/>
        </w:rPr>
        <w:t>תקין</w:t>
      </w:r>
      <w:r w:rsidRPr="00061844">
        <w:rPr>
          <w:rFonts w:ascii="Century" w:hAnsi="Century" w:cs="Miriam"/>
          <w:b/>
          <w:rtl/>
        </w:rPr>
        <w:t xml:space="preserve"> </w:t>
      </w:r>
      <w:r w:rsidRPr="00061844">
        <w:rPr>
          <w:rFonts w:ascii="Century" w:hAnsi="Century" w:cs="Miriam" w:hint="eastAsia"/>
          <w:b/>
          <w:rtl/>
        </w:rPr>
        <w:t>וצדק</w:t>
      </w:r>
      <w:r w:rsidRPr="00061844">
        <w:rPr>
          <w:rFonts w:ascii="Century" w:hAnsi="Century" w:cs="Miriam"/>
          <w:b/>
          <w:rtl/>
        </w:rPr>
        <w:t xml:space="preserve"> </w:t>
      </w:r>
      <w:r w:rsidRPr="00061844">
        <w:rPr>
          <w:rFonts w:ascii="Century" w:hAnsi="Century" w:cs="Miriam" w:hint="eastAsia"/>
          <w:b/>
          <w:rtl/>
        </w:rPr>
        <w:t>חברתי</w:t>
      </w:r>
      <w:r w:rsidRPr="00061844">
        <w:rPr>
          <w:rFonts w:ascii="Century" w:hAnsi="Century" w:cs="Miriam"/>
          <w:b/>
          <w:rtl/>
        </w:rPr>
        <w:t xml:space="preserve">) </w:t>
      </w:r>
      <w:r w:rsidRPr="00061844">
        <w:rPr>
          <w:rFonts w:ascii="Century" w:hAnsi="Century" w:cs="Miriam" w:hint="eastAsia"/>
          <w:b/>
          <w:rtl/>
        </w:rPr>
        <w:t>נ</w:t>
      </w:r>
      <w:r w:rsidRPr="00061844">
        <w:rPr>
          <w:rFonts w:ascii="Century" w:hAnsi="Century" w:cs="Miriam"/>
          <w:b/>
          <w:rtl/>
        </w:rPr>
        <w:t xml:space="preserve">' </w:t>
      </w:r>
      <w:r w:rsidRPr="00061844">
        <w:rPr>
          <w:rFonts w:ascii="Century" w:hAnsi="Century" w:cs="Miriam" w:hint="eastAsia"/>
          <w:b/>
          <w:rtl/>
        </w:rPr>
        <w:t>ראש</w:t>
      </w:r>
      <w:r w:rsidRPr="00061844">
        <w:rPr>
          <w:rFonts w:ascii="Century" w:hAnsi="Century" w:cs="Miriam"/>
          <w:b/>
          <w:rtl/>
        </w:rPr>
        <w:t xml:space="preserve"> </w:t>
      </w:r>
      <w:r w:rsidRPr="00061844">
        <w:rPr>
          <w:rFonts w:ascii="Century" w:hAnsi="Century" w:cs="Miriam" w:hint="eastAsia"/>
          <w:b/>
          <w:rtl/>
        </w:rPr>
        <w:t>ממשלת</w:t>
      </w:r>
      <w:r w:rsidRPr="00061844">
        <w:rPr>
          <w:rFonts w:ascii="Century" w:hAnsi="Century" w:cs="Miriam"/>
          <w:b/>
          <w:rtl/>
        </w:rPr>
        <w:t xml:space="preserve"> </w:t>
      </w:r>
      <w:r w:rsidRPr="00061844">
        <w:rPr>
          <w:rFonts w:ascii="Century" w:hAnsi="Century" w:cs="Miriam" w:hint="eastAsia"/>
          <w:b/>
          <w:rtl/>
        </w:rPr>
        <w:t>ישראל</w:t>
      </w:r>
      <w:r w:rsidRPr="00061844">
        <w:rPr>
          <w:rFonts w:ascii="Century" w:hAnsi="Century" w:cs="Miriam"/>
          <w:b/>
          <w:rtl/>
        </w:rPr>
        <w:t xml:space="preserve">, </w:t>
      </w:r>
      <w:r w:rsidRPr="00061844">
        <w:rPr>
          <w:rFonts w:ascii="Century" w:hAnsi="Century" w:cs="Miriam" w:hint="eastAsia"/>
          <w:b/>
          <w:rtl/>
        </w:rPr>
        <w:t>אהוד</w:t>
      </w:r>
      <w:r w:rsidRPr="00061844">
        <w:rPr>
          <w:rFonts w:ascii="Century" w:hAnsi="Century" w:cs="Miriam"/>
          <w:b/>
          <w:rtl/>
        </w:rPr>
        <w:t xml:space="preserve"> </w:t>
      </w:r>
      <w:r w:rsidRPr="00061844">
        <w:rPr>
          <w:rFonts w:ascii="Century" w:hAnsi="Century" w:cs="Miriam" w:hint="eastAsia"/>
          <w:b/>
          <w:rtl/>
        </w:rPr>
        <w:t>אולמרט</w:t>
      </w:r>
      <w:r>
        <w:rPr>
          <w:rFonts w:ascii="Century" w:hAnsi="Century" w:cs="FrankRuehl" w:hint="cs"/>
          <w:spacing w:val="10"/>
          <w:szCs w:val="28"/>
          <w:rtl/>
        </w:rPr>
        <w:t xml:space="preserve">, פסקה 7 לחוות דעתו של השופט </w:t>
      </w:r>
      <w:r w:rsidRPr="00061844">
        <w:rPr>
          <w:rFonts w:ascii="Century" w:hAnsi="Century" w:cs="Miriam" w:hint="eastAsia"/>
          <w:b/>
          <w:rtl/>
        </w:rPr>
        <w:t>א</w:t>
      </w:r>
      <w:r w:rsidRPr="00061844">
        <w:rPr>
          <w:rFonts w:ascii="Century" w:hAnsi="Century" w:cs="Miriam"/>
          <w:b/>
          <w:rtl/>
        </w:rPr>
        <w:t xml:space="preserve">' </w:t>
      </w:r>
      <w:r w:rsidRPr="00061844">
        <w:rPr>
          <w:rFonts w:ascii="Century" w:hAnsi="Century" w:cs="Miriam" w:hint="eastAsia"/>
          <w:b/>
          <w:rtl/>
        </w:rPr>
        <w:t>גרוניס</w:t>
      </w:r>
      <w:r w:rsidRPr="00B91941">
        <w:rPr>
          <w:rFonts w:ascii="Century" w:hAnsi="Century" w:cs="FrankRuehl"/>
          <w:spacing w:val="10"/>
          <w:szCs w:val="28"/>
          <w:rtl/>
        </w:rPr>
        <w:t xml:space="preserve"> (30.11.2006)</w:t>
      </w:r>
      <w:r>
        <w:rPr>
          <w:rFonts w:ascii="Century" w:hAnsi="Century" w:cs="FrankRuehl" w:hint="cs"/>
          <w:spacing w:val="10"/>
          <w:szCs w:val="28"/>
          <w:rtl/>
        </w:rPr>
        <w:t xml:space="preserve">; </w:t>
      </w:r>
      <w:r w:rsidRPr="00B91941">
        <w:rPr>
          <w:rFonts w:ascii="Century" w:hAnsi="Century" w:cs="FrankRuehl"/>
          <w:spacing w:val="10"/>
          <w:szCs w:val="28"/>
          <w:rtl/>
        </w:rPr>
        <w:t xml:space="preserve">בג"ץ 5853/07 </w:t>
      </w:r>
      <w:r w:rsidRPr="00061844">
        <w:rPr>
          <w:rFonts w:ascii="Century" w:hAnsi="Century" w:cs="Miriam" w:hint="eastAsia"/>
          <w:b/>
          <w:rtl/>
        </w:rPr>
        <w:t>אמונה</w:t>
      </w:r>
      <w:r w:rsidRPr="00061844">
        <w:rPr>
          <w:rFonts w:ascii="Century" w:hAnsi="Century" w:cs="Miriam"/>
          <w:b/>
          <w:rtl/>
        </w:rPr>
        <w:t xml:space="preserve"> </w:t>
      </w:r>
      <w:r w:rsidRPr="00061844">
        <w:rPr>
          <w:rFonts w:ascii="Century" w:hAnsi="Century" w:cs="Miriam" w:hint="eastAsia"/>
          <w:b/>
          <w:rtl/>
        </w:rPr>
        <w:t>תנועת</w:t>
      </w:r>
      <w:r w:rsidRPr="00061844">
        <w:rPr>
          <w:rFonts w:ascii="Century" w:hAnsi="Century" w:cs="Miriam"/>
          <w:b/>
          <w:rtl/>
        </w:rPr>
        <w:t xml:space="preserve"> </w:t>
      </w:r>
      <w:r w:rsidRPr="00061844">
        <w:rPr>
          <w:rFonts w:ascii="Century" w:hAnsi="Century" w:cs="Miriam" w:hint="eastAsia"/>
          <w:b/>
          <w:rtl/>
        </w:rPr>
        <w:t>האישה</w:t>
      </w:r>
      <w:r w:rsidRPr="00061844">
        <w:rPr>
          <w:rFonts w:ascii="Century" w:hAnsi="Century" w:cs="Miriam"/>
          <w:b/>
          <w:rtl/>
        </w:rPr>
        <w:t xml:space="preserve"> </w:t>
      </w:r>
      <w:r w:rsidRPr="00061844">
        <w:rPr>
          <w:rFonts w:ascii="Century" w:hAnsi="Century" w:cs="Miriam" w:hint="eastAsia"/>
          <w:b/>
          <w:rtl/>
        </w:rPr>
        <w:t>הדתית</w:t>
      </w:r>
      <w:r w:rsidRPr="00061844">
        <w:rPr>
          <w:rFonts w:ascii="Century" w:hAnsi="Century" w:cs="Miriam"/>
          <w:b/>
          <w:rtl/>
        </w:rPr>
        <w:t xml:space="preserve"> </w:t>
      </w:r>
      <w:r w:rsidRPr="00061844">
        <w:rPr>
          <w:rFonts w:ascii="Century" w:hAnsi="Century" w:cs="Miriam" w:hint="eastAsia"/>
          <w:b/>
          <w:rtl/>
        </w:rPr>
        <w:t>לאומית</w:t>
      </w:r>
      <w:r w:rsidRPr="00061844">
        <w:rPr>
          <w:rFonts w:ascii="Century" w:hAnsi="Century" w:cs="Miriam"/>
          <w:b/>
          <w:rtl/>
        </w:rPr>
        <w:t xml:space="preserve"> </w:t>
      </w:r>
      <w:r w:rsidRPr="00061844">
        <w:rPr>
          <w:rFonts w:ascii="Century" w:hAnsi="Century" w:cs="Miriam" w:hint="eastAsia"/>
          <w:b/>
          <w:rtl/>
        </w:rPr>
        <w:t>נ</w:t>
      </w:r>
      <w:r w:rsidRPr="00061844">
        <w:rPr>
          <w:rFonts w:ascii="Century" w:hAnsi="Century" w:cs="Miriam"/>
          <w:b/>
          <w:rtl/>
        </w:rPr>
        <w:t xml:space="preserve">' </w:t>
      </w:r>
      <w:r w:rsidRPr="00061844">
        <w:rPr>
          <w:rFonts w:ascii="Century" w:hAnsi="Century" w:cs="Miriam" w:hint="eastAsia"/>
          <w:b/>
          <w:rtl/>
        </w:rPr>
        <w:t>ראש</w:t>
      </w:r>
      <w:r w:rsidRPr="00061844">
        <w:rPr>
          <w:rFonts w:ascii="Century" w:hAnsi="Century" w:cs="Miriam"/>
          <w:b/>
          <w:rtl/>
        </w:rPr>
        <w:t xml:space="preserve"> </w:t>
      </w:r>
      <w:r w:rsidRPr="00061844">
        <w:rPr>
          <w:rFonts w:ascii="Century" w:hAnsi="Century" w:cs="Miriam" w:hint="eastAsia"/>
          <w:b/>
          <w:rtl/>
        </w:rPr>
        <w:t>הממשלה</w:t>
      </w:r>
      <w:r w:rsidRPr="00061844">
        <w:rPr>
          <w:rFonts w:ascii="Century" w:hAnsi="Century" w:cs="Miriam"/>
          <w:b/>
          <w:rtl/>
        </w:rPr>
        <w:t xml:space="preserve">, </w:t>
      </w:r>
      <w:r w:rsidRPr="00061844">
        <w:rPr>
          <w:rFonts w:ascii="Century" w:hAnsi="Century" w:cs="Miriam" w:hint="eastAsia"/>
          <w:b/>
          <w:rtl/>
        </w:rPr>
        <w:t>אהוד</w:t>
      </w:r>
      <w:r w:rsidRPr="00061844">
        <w:rPr>
          <w:rFonts w:ascii="Century" w:hAnsi="Century" w:cs="Miriam"/>
          <w:b/>
          <w:rtl/>
        </w:rPr>
        <w:t xml:space="preserve"> </w:t>
      </w:r>
      <w:r w:rsidRPr="00061844">
        <w:rPr>
          <w:rFonts w:ascii="Century" w:hAnsi="Century" w:cs="Miriam" w:hint="eastAsia"/>
          <w:b/>
          <w:rtl/>
        </w:rPr>
        <w:t>אולמרט</w:t>
      </w:r>
      <w:r w:rsidRPr="00B91941">
        <w:rPr>
          <w:rFonts w:ascii="Century" w:hAnsi="Century" w:cs="FrankRuehl"/>
          <w:spacing w:val="10"/>
          <w:szCs w:val="28"/>
          <w:rtl/>
        </w:rPr>
        <w:t xml:space="preserve">, </w:t>
      </w:r>
      <w:r>
        <w:rPr>
          <w:rFonts w:ascii="Century" w:hAnsi="Century" w:cs="FrankRuehl" w:hint="cs"/>
          <w:spacing w:val="10"/>
          <w:szCs w:val="28"/>
          <w:rtl/>
        </w:rPr>
        <w:t xml:space="preserve">פ"ד </w:t>
      </w:r>
      <w:r w:rsidRPr="00B91941">
        <w:rPr>
          <w:rFonts w:ascii="Century" w:hAnsi="Century" w:cs="FrankRuehl"/>
          <w:spacing w:val="10"/>
          <w:szCs w:val="28"/>
          <w:rtl/>
        </w:rPr>
        <w:t>סב(3) 445</w:t>
      </w:r>
      <w:r>
        <w:rPr>
          <w:rFonts w:ascii="Century" w:hAnsi="Century" w:cs="FrankRuehl" w:hint="cs"/>
          <w:spacing w:val="10"/>
          <w:szCs w:val="28"/>
          <w:rtl/>
        </w:rPr>
        <w:t>, 522</w:t>
      </w:r>
      <w:r w:rsidRPr="00B91941">
        <w:rPr>
          <w:rFonts w:ascii="Century" w:hAnsi="Century" w:cs="FrankRuehl"/>
          <w:spacing w:val="10"/>
          <w:szCs w:val="28"/>
          <w:rtl/>
        </w:rPr>
        <w:t xml:space="preserve"> (2007)</w:t>
      </w:r>
      <w:r>
        <w:rPr>
          <w:rFonts w:ascii="Century" w:hAnsi="Century" w:cs="FrankRuehl" w:hint="cs"/>
          <w:spacing w:val="10"/>
          <w:szCs w:val="28"/>
          <w:rtl/>
        </w:rPr>
        <w:t xml:space="preserve"> (להלן: </w:t>
      </w:r>
      <w:r w:rsidRPr="00061844">
        <w:rPr>
          <w:rFonts w:ascii="Century" w:hAnsi="Century" w:cs="Miriam" w:hint="eastAsia"/>
          <w:b/>
          <w:rtl/>
        </w:rPr>
        <w:t>עניין</w:t>
      </w:r>
      <w:r w:rsidRPr="00061844">
        <w:rPr>
          <w:rFonts w:ascii="Century" w:hAnsi="Century" w:cs="Miriam"/>
          <w:b/>
          <w:rtl/>
        </w:rPr>
        <w:t xml:space="preserve"> </w:t>
      </w:r>
      <w:r w:rsidRPr="00061844">
        <w:rPr>
          <w:rFonts w:ascii="Century" w:hAnsi="Century" w:cs="Miriam" w:hint="eastAsia"/>
          <w:b/>
          <w:rtl/>
        </w:rPr>
        <w:t>אמונה</w:t>
      </w:r>
      <w:r>
        <w:rPr>
          <w:rFonts w:ascii="Century" w:hAnsi="Century" w:cs="FrankRuehl" w:hint="cs"/>
          <w:spacing w:val="10"/>
          <w:szCs w:val="28"/>
          <w:rtl/>
        </w:rPr>
        <w:t xml:space="preserve">); </w:t>
      </w:r>
      <w:r w:rsidRPr="00BD4D44">
        <w:rPr>
          <w:rFonts w:ascii="Century" w:hAnsi="Century" w:cs="FrankRuehl"/>
          <w:spacing w:val="10"/>
          <w:szCs w:val="28"/>
          <w:rtl/>
        </w:rPr>
        <w:t xml:space="preserve">דנג"ץ 3660/17 </w:t>
      </w:r>
      <w:r w:rsidRPr="00FC0483">
        <w:rPr>
          <w:rFonts w:ascii="Century" w:hAnsi="Century" w:cs="Miriam"/>
          <w:b/>
          <w:rtl/>
        </w:rPr>
        <w:t>התאחדות הסוחרים והעצמאים הכללית נ' שר הפנים</w:t>
      </w:r>
      <w:r>
        <w:rPr>
          <w:rFonts w:ascii="Century" w:hAnsi="Century" w:cs="FrankRuehl" w:hint="cs"/>
          <w:spacing w:val="10"/>
          <w:szCs w:val="28"/>
          <w:rtl/>
        </w:rPr>
        <w:t xml:space="preserve">, פסקה 57 לפסק דינה של הנשיאה </w:t>
      </w:r>
      <w:r w:rsidRPr="00FC0483">
        <w:rPr>
          <w:rFonts w:ascii="Century" w:hAnsi="Century" w:cs="Miriam" w:hint="cs"/>
          <w:b/>
          <w:rtl/>
        </w:rPr>
        <w:t>מ' נאור</w:t>
      </w:r>
      <w:r w:rsidRPr="00BD4D44">
        <w:rPr>
          <w:rFonts w:ascii="Century" w:hAnsi="Century" w:cs="FrankRuehl"/>
          <w:spacing w:val="10"/>
          <w:szCs w:val="28"/>
          <w:rtl/>
        </w:rPr>
        <w:t xml:space="preserve"> (26.10.2017)</w:t>
      </w:r>
      <w:r>
        <w:rPr>
          <w:rFonts w:ascii="Century" w:hAnsi="Century" w:cs="FrankRuehl" w:hint="cs"/>
          <w:spacing w:val="10"/>
          <w:szCs w:val="28"/>
          <w:rtl/>
        </w:rPr>
        <w:t xml:space="preserve">). </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ind w:firstLine="720"/>
        <w:jc w:val="both"/>
        <w:rPr>
          <w:rFonts w:ascii="Century" w:hAnsi="Century" w:cs="FrankRuehl"/>
          <w:spacing w:val="10"/>
          <w:szCs w:val="28"/>
          <w:rtl/>
        </w:rPr>
      </w:pPr>
      <w:r>
        <w:rPr>
          <w:rFonts w:ascii="Century" w:hAnsi="Century" w:cs="FrankRuehl" w:hint="cs"/>
          <w:spacing w:val="10"/>
          <w:szCs w:val="28"/>
          <w:rtl/>
        </w:rPr>
        <w:t xml:space="preserve">אחד השינויים העיקריים שנהוג לעמוד עליהם בהקשר זה הוא הפיכתה של עילת הסבירות לעילת ביקורת "עצמאית" וניתוקה מעילת חוסר הסמכות (ראו: ברק-ארז, משפט מינהלי, בעמוד 725 ה"ש 6; דותן, ריסון וסבירות, בעמודים 684, 687-686). בכל הנוגע לענייננו, אני סבורה כי אין לשינוי זה השלכה משמעותית, והוא אף איננו ייחודי לעילת הסבירות. בדומה לעילת הסבירות, קיימות עילות נוספות המסווגות כיום כעילות להתערבות </w:t>
      </w:r>
      <w:r w:rsidRPr="00061844">
        <w:rPr>
          <w:rFonts w:ascii="Century" w:hAnsi="Century" w:cs="Miriam" w:hint="eastAsia"/>
          <w:b/>
          <w:rtl/>
        </w:rPr>
        <w:t>במישור</w:t>
      </w:r>
      <w:r w:rsidRPr="00061844">
        <w:rPr>
          <w:rFonts w:ascii="Century" w:hAnsi="Century" w:cs="Miriam"/>
          <w:b/>
          <w:rtl/>
        </w:rPr>
        <w:t xml:space="preserve"> </w:t>
      </w:r>
      <w:r w:rsidRPr="00061844">
        <w:rPr>
          <w:rFonts w:ascii="Century" w:hAnsi="Century" w:cs="Miriam" w:hint="eastAsia"/>
          <w:b/>
          <w:rtl/>
        </w:rPr>
        <w:t>שיקול</w:t>
      </w:r>
      <w:r w:rsidRPr="00061844">
        <w:rPr>
          <w:rFonts w:ascii="Century" w:hAnsi="Century" w:cs="Miriam"/>
          <w:b/>
          <w:rtl/>
        </w:rPr>
        <w:t xml:space="preserve"> </w:t>
      </w:r>
      <w:r w:rsidRPr="00061844">
        <w:rPr>
          <w:rFonts w:ascii="Century" w:hAnsi="Century" w:cs="Miriam" w:hint="eastAsia"/>
          <w:b/>
          <w:rtl/>
        </w:rPr>
        <w:t>הדעת</w:t>
      </w:r>
      <w:r>
        <w:rPr>
          <w:rFonts w:ascii="Century" w:hAnsi="Century" w:cs="FrankRuehl" w:hint="cs"/>
          <w:spacing w:val="10"/>
          <w:szCs w:val="28"/>
          <w:rtl/>
        </w:rPr>
        <w:t xml:space="preserve"> </w:t>
      </w:r>
      <w:r>
        <w:rPr>
          <w:rFonts w:ascii="Century" w:hAnsi="Century" w:cs="FrankRuehl"/>
          <w:spacing w:val="10"/>
          <w:szCs w:val="28"/>
          <w:rtl/>
        </w:rPr>
        <w:t>–</w:t>
      </w:r>
      <w:r>
        <w:rPr>
          <w:rFonts w:ascii="Century" w:hAnsi="Century" w:cs="FrankRuehl" w:hint="cs"/>
          <w:spacing w:val="10"/>
          <w:szCs w:val="28"/>
          <w:rtl/>
        </w:rPr>
        <w:t xml:space="preserve"> כדוגמת שיקולים זרים והפליה </w:t>
      </w:r>
      <w:r>
        <w:rPr>
          <w:rFonts w:ascii="Century" w:hAnsi="Century" w:cs="FrankRuehl"/>
          <w:spacing w:val="10"/>
          <w:szCs w:val="28"/>
          <w:rtl/>
        </w:rPr>
        <w:t>–</w:t>
      </w:r>
      <w:r>
        <w:rPr>
          <w:rFonts w:ascii="Century" w:hAnsi="Century" w:cs="FrankRuehl" w:hint="cs"/>
          <w:spacing w:val="10"/>
          <w:szCs w:val="28"/>
          <w:rtl/>
        </w:rPr>
        <w:t xml:space="preserve"> אשר סווגו בעבר כחלק מן העילה של </w:t>
      </w:r>
      <w:r w:rsidRPr="00061844">
        <w:rPr>
          <w:rFonts w:ascii="Century" w:hAnsi="Century" w:cs="Miriam" w:hint="eastAsia"/>
          <w:b/>
          <w:rtl/>
        </w:rPr>
        <w:t>חוסר</w:t>
      </w:r>
      <w:r w:rsidRPr="00061844">
        <w:rPr>
          <w:rFonts w:ascii="Century" w:hAnsi="Century" w:cs="Miriam"/>
          <w:b/>
          <w:rtl/>
        </w:rPr>
        <w:t xml:space="preserve"> </w:t>
      </w:r>
      <w:r w:rsidRPr="00061844">
        <w:rPr>
          <w:rFonts w:ascii="Century" w:hAnsi="Century" w:cs="Miriam" w:hint="eastAsia"/>
          <w:b/>
          <w:rtl/>
        </w:rPr>
        <w:t>סמכות</w:t>
      </w:r>
      <w:r>
        <w:rPr>
          <w:rFonts w:ascii="Century" w:hAnsi="Century" w:cs="FrankRuehl" w:hint="cs"/>
          <w:spacing w:val="10"/>
          <w:szCs w:val="28"/>
          <w:rtl/>
        </w:rPr>
        <w:t xml:space="preserve">, מתוך התפיסה כי פגם חמור בהפעלת שיקול הדעת כמוהו כחריגה מסמכות. כך למשל, בעניין </w:t>
      </w:r>
      <w:r w:rsidRPr="00061844">
        <w:rPr>
          <w:rFonts w:ascii="Century" w:hAnsi="Century" w:cs="Miriam" w:hint="eastAsia"/>
          <w:b/>
          <w:rtl/>
        </w:rPr>
        <w:t>דיזינגוף</w:t>
      </w:r>
      <w:r w:rsidRPr="008C0BB1">
        <w:rPr>
          <w:rFonts w:ascii="Century" w:hAnsi="Century" w:cs="FrankRuehl" w:hint="cs"/>
          <w:spacing w:val="10"/>
          <w:szCs w:val="28"/>
          <w:rtl/>
        </w:rPr>
        <w:t xml:space="preserve"> </w:t>
      </w:r>
      <w:r>
        <w:rPr>
          <w:rFonts w:ascii="Century" w:hAnsi="Century" w:cs="FrankRuehl" w:hint="cs"/>
          <w:spacing w:val="10"/>
          <w:szCs w:val="28"/>
          <w:rtl/>
        </w:rPr>
        <w:t xml:space="preserve">ציין השופט </w:t>
      </w:r>
      <w:r w:rsidRPr="00061844">
        <w:rPr>
          <w:rFonts w:ascii="Century" w:hAnsi="Century" w:cs="Miriam" w:hint="eastAsia"/>
          <w:b/>
          <w:rtl/>
        </w:rPr>
        <w:t>ברנזון</w:t>
      </w:r>
      <w:r w:rsidRPr="008C0BB1">
        <w:rPr>
          <w:rFonts w:ascii="Century" w:hAnsi="Century" w:cs="FrankRuehl" w:hint="cs"/>
          <w:spacing w:val="10"/>
          <w:szCs w:val="28"/>
          <w:rtl/>
        </w:rPr>
        <w:t xml:space="preserve"> </w:t>
      </w:r>
      <w:r>
        <w:rPr>
          <w:rFonts w:ascii="Century" w:hAnsi="Century" w:cs="FrankRuehl" w:hint="cs"/>
          <w:spacing w:val="10"/>
          <w:szCs w:val="28"/>
          <w:rtl/>
        </w:rPr>
        <w:t>כי "</w:t>
      </w:r>
      <w:r w:rsidRPr="00D170F5">
        <w:rPr>
          <w:rFonts w:ascii="Century" w:hAnsi="Century" w:cs="Miriam" w:hint="eastAsia"/>
          <w:b/>
          <w:rtl/>
        </w:rPr>
        <w:t>קשה</w:t>
      </w:r>
      <w:r w:rsidRPr="00D170F5">
        <w:rPr>
          <w:rFonts w:ascii="Century" w:hAnsi="Century" w:cs="Miriam"/>
          <w:b/>
          <w:rtl/>
        </w:rPr>
        <w:t xml:space="preserve"> </w:t>
      </w:r>
      <w:r w:rsidRPr="00D170F5">
        <w:rPr>
          <w:rFonts w:ascii="Century" w:hAnsi="Century" w:cs="Miriam" w:hint="eastAsia"/>
          <w:b/>
          <w:rtl/>
        </w:rPr>
        <w:t>להבדיל</w:t>
      </w:r>
      <w:r w:rsidRPr="00D170F5">
        <w:rPr>
          <w:rFonts w:ascii="Century" w:hAnsi="Century" w:cs="Miriam"/>
          <w:b/>
          <w:rtl/>
        </w:rPr>
        <w:t xml:space="preserve"> </w:t>
      </w:r>
      <w:r w:rsidRPr="00D170F5">
        <w:rPr>
          <w:rFonts w:ascii="Century" w:hAnsi="Century" w:cs="Miriam" w:hint="eastAsia"/>
          <w:b/>
          <w:rtl/>
        </w:rPr>
        <w:t>באופן</w:t>
      </w:r>
      <w:r w:rsidRPr="00D170F5">
        <w:rPr>
          <w:rFonts w:ascii="Century" w:hAnsi="Century" w:cs="Miriam"/>
          <w:b/>
          <w:rtl/>
        </w:rPr>
        <w:t xml:space="preserve"> </w:t>
      </w:r>
      <w:r w:rsidRPr="00D170F5">
        <w:rPr>
          <w:rFonts w:ascii="Century" w:hAnsi="Century" w:cs="Miriam" w:hint="eastAsia"/>
          <w:b/>
          <w:rtl/>
        </w:rPr>
        <w:t>מהותי</w:t>
      </w:r>
      <w:r w:rsidRPr="00D170F5">
        <w:rPr>
          <w:rFonts w:ascii="Century" w:hAnsi="Century" w:cs="Miriam"/>
          <w:b/>
          <w:rtl/>
        </w:rPr>
        <w:t xml:space="preserve"> </w:t>
      </w:r>
      <w:r w:rsidRPr="00D170F5">
        <w:rPr>
          <w:rFonts w:ascii="Century" w:hAnsi="Century" w:cs="Miriam" w:hint="eastAsia"/>
          <w:b/>
          <w:rtl/>
        </w:rPr>
        <w:t>בין</w:t>
      </w:r>
      <w:r w:rsidRPr="00D170F5">
        <w:rPr>
          <w:rFonts w:ascii="Century" w:hAnsi="Century" w:cs="Miriam"/>
          <w:b/>
          <w:rtl/>
        </w:rPr>
        <w:t xml:space="preserve"> </w:t>
      </w:r>
      <w:r w:rsidRPr="00D170F5">
        <w:rPr>
          <w:rFonts w:ascii="Century" w:hAnsi="Century" w:cs="Miriam" w:hint="eastAsia"/>
          <w:b/>
          <w:rtl/>
        </w:rPr>
        <w:t>מבחן</w:t>
      </w:r>
      <w:r w:rsidRPr="00D170F5">
        <w:rPr>
          <w:rFonts w:ascii="Century" w:hAnsi="Century" w:cs="Miriam"/>
          <w:b/>
          <w:rtl/>
        </w:rPr>
        <w:t xml:space="preserve"> </w:t>
      </w:r>
      <w:r w:rsidRPr="00D170F5">
        <w:rPr>
          <w:rFonts w:ascii="Century" w:hAnsi="Century" w:cs="Miriam" w:hint="eastAsia"/>
          <w:b/>
          <w:rtl/>
        </w:rPr>
        <w:t>הסבירות</w:t>
      </w:r>
      <w:r w:rsidRPr="00D170F5">
        <w:rPr>
          <w:rFonts w:ascii="Century" w:hAnsi="Century" w:cs="Miriam"/>
          <w:b/>
          <w:rtl/>
        </w:rPr>
        <w:t xml:space="preserve"> </w:t>
      </w:r>
      <w:r w:rsidRPr="00D170F5">
        <w:rPr>
          <w:rFonts w:ascii="Century" w:hAnsi="Century" w:cs="Miriam" w:hint="eastAsia"/>
          <w:b/>
          <w:rtl/>
        </w:rPr>
        <w:t>לבין</w:t>
      </w:r>
      <w:r w:rsidRPr="00D170F5">
        <w:rPr>
          <w:rFonts w:ascii="Century" w:hAnsi="Century" w:cs="Miriam"/>
          <w:b/>
          <w:rtl/>
        </w:rPr>
        <w:t xml:space="preserve"> </w:t>
      </w:r>
      <w:r w:rsidRPr="00D170F5">
        <w:rPr>
          <w:rFonts w:ascii="Century" w:hAnsi="Century" w:cs="Miriam" w:hint="eastAsia"/>
          <w:b/>
          <w:rtl/>
        </w:rPr>
        <w:t>המבחנים</w:t>
      </w:r>
      <w:r w:rsidRPr="00D170F5">
        <w:rPr>
          <w:rFonts w:ascii="Century" w:hAnsi="Century" w:cs="Miriam"/>
          <w:b/>
          <w:rtl/>
        </w:rPr>
        <w:t xml:space="preserve"> </w:t>
      </w:r>
      <w:r w:rsidRPr="00D170F5">
        <w:rPr>
          <w:rFonts w:ascii="Century" w:hAnsi="Century" w:cs="Miriam" w:hint="eastAsia"/>
          <w:b/>
          <w:rtl/>
        </w:rPr>
        <w:t>האחרים</w:t>
      </w:r>
      <w:r w:rsidRPr="00D170F5">
        <w:rPr>
          <w:rFonts w:ascii="Century" w:hAnsi="Century" w:cs="Miriam"/>
          <w:b/>
          <w:rtl/>
        </w:rPr>
        <w:t xml:space="preserve"> </w:t>
      </w:r>
      <w:r w:rsidRPr="00D170F5">
        <w:rPr>
          <w:rFonts w:ascii="Century" w:hAnsi="Century" w:cs="Miriam" w:hint="eastAsia"/>
          <w:b/>
          <w:rtl/>
        </w:rPr>
        <w:t>המקובלים</w:t>
      </w:r>
      <w:r w:rsidRPr="00D170F5">
        <w:rPr>
          <w:rFonts w:ascii="Century" w:hAnsi="Century" w:cs="Miriam"/>
          <w:b/>
          <w:rtl/>
        </w:rPr>
        <w:t xml:space="preserve"> </w:t>
      </w:r>
      <w:r w:rsidRPr="00D170F5">
        <w:rPr>
          <w:rFonts w:ascii="Century" w:hAnsi="Century" w:cs="Miriam" w:hint="eastAsia"/>
          <w:b/>
          <w:rtl/>
        </w:rPr>
        <w:t>לפסילת</w:t>
      </w:r>
      <w:r w:rsidRPr="00D170F5">
        <w:rPr>
          <w:rFonts w:ascii="Century" w:hAnsi="Century" w:cs="Miriam"/>
          <w:b/>
          <w:rtl/>
        </w:rPr>
        <w:t xml:space="preserve"> </w:t>
      </w:r>
      <w:r w:rsidRPr="00D170F5">
        <w:rPr>
          <w:rFonts w:ascii="Century" w:hAnsi="Century" w:cs="Miriam" w:hint="eastAsia"/>
          <w:b/>
          <w:rtl/>
        </w:rPr>
        <w:t>אקט</w:t>
      </w:r>
      <w:r w:rsidRPr="00D170F5">
        <w:rPr>
          <w:rFonts w:ascii="Century" w:hAnsi="Century" w:cs="Miriam"/>
          <w:b/>
          <w:rtl/>
        </w:rPr>
        <w:t xml:space="preserve"> </w:t>
      </w:r>
      <w:r w:rsidRPr="00D170F5">
        <w:rPr>
          <w:rFonts w:ascii="Century" w:hAnsi="Century" w:cs="Miriam" w:hint="eastAsia"/>
          <w:b/>
          <w:rtl/>
        </w:rPr>
        <w:t>מינהלי</w:t>
      </w:r>
      <w:r w:rsidRPr="00D170F5">
        <w:rPr>
          <w:rFonts w:ascii="Century" w:hAnsi="Century" w:cs="Miriam"/>
          <w:b/>
          <w:rtl/>
        </w:rPr>
        <w:t xml:space="preserve"> </w:t>
      </w:r>
      <w:r w:rsidRPr="00D170F5">
        <w:rPr>
          <w:rFonts w:ascii="Century" w:hAnsi="Century" w:cs="Miriam" w:hint="eastAsia"/>
          <w:b/>
          <w:rtl/>
        </w:rPr>
        <w:t>כמו</w:t>
      </w:r>
      <w:r w:rsidRPr="00D170F5">
        <w:rPr>
          <w:rFonts w:ascii="Century" w:hAnsi="Century" w:cs="Miriam"/>
          <w:b/>
          <w:rtl/>
        </w:rPr>
        <w:t xml:space="preserve"> </w:t>
      </w:r>
      <w:r w:rsidRPr="00D170F5">
        <w:rPr>
          <w:rFonts w:ascii="Century" w:hAnsi="Century" w:cs="Miriam" w:hint="eastAsia"/>
          <w:b/>
          <w:rtl/>
        </w:rPr>
        <w:t>חוסר</w:t>
      </w:r>
      <w:r w:rsidRPr="00D170F5">
        <w:rPr>
          <w:rFonts w:ascii="Century" w:hAnsi="Century" w:cs="Miriam"/>
          <w:b/>
          <w:rtl/>
        </w:rPr>
        <w:t>-</w:t>
      </w:r>
      <w:r w:rsidRPr="00D170F5">
        <w:rPr>
          <w:rFonts w:ascii="Century" w:hAnsi="Century" w:cs="Miriam" w:hint="eastAsia"/>
          <w:b/>
          <w:rtl/>
        </w:rPr>
        <w:t>תום</w:t>
      </w:r>
      <w:r w:rsidRPr="00D170F5">
        <w:rPr>
          <w:rFonts w:ascii="Century" w:hAnsi="Century" w:cs="Miriam"/>
          <w:b/>
          <w:rtl/>
        </w:rPr>
        <w:t>-</w:t>
      </w:r>
      <w:r w:rsidRPr="00D170F5">
        <w:rPr>
          <w:rFonts w:ascii="Century" w:hAnsi="Century" w:cs="Miriam" w:hint="eastAsia"/>
          <w:b/>
          <w:rtl/>
        </w:rPr>
        <w:t>לב</w:t>
      </w:r>
      <w:r w:rsidRPr="00D170F5">
        <w:rPr>
          <w:rFonts w:ascii="Century" w:hAnsi="Century" w:cs="Miriam"/>
          <w:b/>
          <w:rtl/>
        </w:rPr>
        <w:t xml:space="preserve">, </w:t>
      </w:r>
      <w:r w:rsidRPr="00D170F5">
        <w:rPr>
          <w:rFonts w:ascii="Century" w:hAnsi="Century" w:cs="Miriam" w:hint="eastAsia"/>
          <w:b/>
          <w:rtl/>
        </w:rPr>
        <w:t>נקיטת</w:t>
      </w:r>
      <w:r w:rsidRPr="00D170F5">
        <w:rPr>
          <w:rFonts w:ascii="Century" w:hAnsi="Century" w:cs="Miriam"/>
          <w:b/>
          <w:rtl/>
        </w:rPr>
        <w:t xml:space="preserve"> </w:t>
      </w:r>
      <w:r w:rsidRPr="00D170F5">
        <w:rPr>
          <w:rFonts w:ascii="Century" w:hAnsi="Century" w:cs="Miriam" w:hint="eastAsia"/>
          <w:b/>
          <w:rtl/>
        </w:rPr>
        <w:t>שיקולים</w:t>
      </w:r>
      <w:r w:rsidRPr="00D170F5">
        <w:rPr>
          <w:rFonts w:ascii="Century" w:hAnsi="Century" w:cs="Miriam"/>
          <w:b/>
          <w:rtl/>
        </w:rPr>
        <w:t xml:space="preserve"> </w:t>
      </w:r>
      <w:r w:rsidRPr="00D170F5">
        <w:rPr>
          <w:rFonts w:ascii="Century" w:hAnsi="Century" w:cs="Miriam" w:hint="eastAsia"/>
          <w:b/>
          <w:rtl/>
        </w:rPr>
        <w:t>בלתי</w:t>
      </w:r>
      <w:r w:rsidRPr="00D170F5">
        <w:rPr>
          <w:rFonts w:ascii="Century" w:hAnsi="Century" w:cs="Miriam"/>
          <w:b/>
          <w:rtl/>
        </w:rPr>
        <w:t xml:space="preserve"> </w:t>
      </w:r>
      <w:r w:rsidRPr="00D170F5">
        <w:rPr>
          <w:rFonts w:ascii="Century" w:hAnsi="Century" w:cs="Miriam" w:hint="eastAsia"/>
          <w:b/>
          <w:rtl/>
        </w:rPr>
        <w:t>כשרים</w:t>
      </w:r>
      <w:r w:rsidRPr="00D170F5">
        <w:rPr>
          <w:rFonts w:ascii="Century" w:hAnsi="Century" w:cs="Miriam"/>
          <w:b/>
          <w:rtl/>
        </w:rPr>
        <w:t xml:space="preserve">, </w:t>
      </w:r>
      <w:r w:rsidRPr="00D170F5">
        <w:rPr>
          <w:rFonts w:ascii="Century" w:hAnsi="Century" w:cs="Miriam" w:hint="eastAsia"/>
          <w:b/>
          <w:rtl/>
        </w:rPr>
        <w:t>השגת</w:t>
      </w:r>
      <w:r w:rsidRPr="00D170F5">
        <w:rPr>
          <w:rFonts w:ascii="Century" w:hAnsi="Century" w:cs="Miriam"/>
          <w:b/>
          <w:rtl/>
        </w:rPr>
        <w:t xml:space="preserve"> </w:t>
      </w:r>
      <w:r w:rsidRPr="00D170F5">
        <w:rPr>
          <w:rFonts w:ascii="Century" w:hAnsi="Century" w:cs="Miriam" w:hint="eastAsia"/>
          <w:b/>
          <w:rtl/>
        </w:rPr>
        <w:t>מטרה</w:t>
      </w:r>
      <w:r w:rsidRPr="00D170F5">
        <w:rPr>
          <w:rFonts w:ascii="Century" w:hAnsi="Century" w:cs="Miriam"/>
          <w:b/>
          <w:rtl/>
        </w:rPr>
        <w:t xml:space="preserve"> </w:t>
      </w:r>
      <w:r w:rsidRPr="00D170F5">
        <w:rPr>
          <w:rFonts w:ascii="Century" w:hAnsi="Century" w:cs="Miriam" w:hint="eastAsia"/>
          <w:b/>
          <w:rtl/>
        </w:rPr>
        <w:t>זרה</w:t>
      </w:r>
      <w:r w:rsidRPr="00D170F5">
        <w:rPr>
          <w:rFonts w:ascii="Century" w:hAnsi="Century" w:cs="Miriam"/>
          <w:b/>
          <w:rtl/>
        </w:rPr>
        <w:t xml:space="preserve"> </w:t>
      </w:r>
      <w:r w:rsidRPr="00D170F5">
        <w:rPr>
          <w:rFonts w:ascii="Century" w:hAnsi="Century" w:cs="Miriam" w:hint="eastAsia"/>
          <w:b/>
          <w:rtl/>
        </w:rPr>
        <w:t>לעניין</w:t>
      </w:r>
      <w:r w:rsidRPr="00D170F5">
        <w:rPr>
          <w:rFonts w:ascii="Century" w:hAnsi="Century" w:cs="Miriam"/>
          <w:b/>
          <w:rtl/>
        </w:rPr>
        <w:t xml:space="preserve">, </w:t>
      </w:r>
      <w:r w:rsidRPr="00D170F5">
        <w:rPr>
          <w:rFonts w:ascii="Century" w:hAnsi="Century" w:cs="Miriam" w:hint="eastAsia"/>
          <w:b/>
          <w:rtl/>
        </w:rPr>
        <w:t>וכו</w:t>
      </w:r>
      <w:r w:rsidRPr="00D170F5">
        <w:rPr>
          <w:rFonts w:ascii="Century" w:hAnsi="Century" w:cs="Miriam"/>
          <w:b/>
          <w:rtl/>
        </w:rPr>
        <w:t xml:space="preserve">', </w:t>
      </w:r>
      <w:r w:rsidRPr="00D170F5">
        <w:rPr>
          <w:rFonts w:ascii="Century" w:hAnsi="Century" w:cs="Miriam" w:hint="eastAsia"/>
          <w:b/>
          <w:rtl/>
        </w:rPr>
        <w:t>שכולם</w:t>
      </w:r>
      <w:r w:rsidRPr="00D170F5">
        <w:rPr>
          <w:rFonts w:ascii="Century" w:hAnsi="Century" w:cs="Miriam"/>
          <w:b/>
          <w:rtl/>
        </w:rPr>
        <w:t xml:space="preserve"> </w:t>
      </w:r>
      <w:r w:rsidRPr="00D170F5">
        <w:rPr>
          <w:rFonts w:ascii="Century" w:hAnsi="Century" w:cs="Miriam" w:hint="eastAsia"/>
          <w:b/>
          <w:rtl/>
        </w:rPr>
        <w:t>אינם</w:t>
      </w:r>
      <w:r w:rsidRPr="00D170F5">
        <w:rPr>
          <w:rFonts w:ascii="Century" w:hAnsi="Century" w:cs="Miriam"/>
          <w:b/>
          <w:rtl/>
        </w:rPr>
        <w:t xml:space="preserve"> </w:t>
      </w:r>
      <w:r w:rsidRPr="00D170F5">
        <w:rPr>
          <w:rFonts w:ascii="Century" w:hAnsi="Century" w:cs="Miriam" w:hint="eastAsia"/>
          <w:b/>
          <w:rtl/>
        </w:rPr>
        <w:t>אלא</w:t>
      </w:r>
      <w:r w:rsidRPr="00D170F5">
        <w:rPr>
          <w:rFonts w:ascii="Century" w:hAnsi="Century" w:cs="Miriam"/>
          <w:b/>
          <w:rtl/>
        </w:rPr>
        <w:t xml:space="preserve"> </w:t>
      </w:r>
      <w:r w:rsidRPr="00D170F5">
        <w:rPr>
          <w:rFonts w:ascii="Century" w:hAnsi="Century" w:cs="Miriam" w:hint="eastAsia"/>
          <w:b/>
          <w:rtl/>
        </w:rPr>
        <w:t>צורות</w:t>
      </w:r>
      <w:r w:rsidRPr="00D170F5">
        <w:rPr>
          <w:rFonts w:ascii="Century" w:hAnsi="Century" w:cs="Miriam"/>
          <w:b/>
          <w:rtl/>
        </w:rPr>
        <w:t xml:space="preserve"> </w:t>
      </w:r>
      <w:r w:rsidRPr="00D170F5">
        <w:rPr>
          <w:rFonts w:ascii="Century" w:hAnsi="Century" w:cs="Miriam" w:hint="eastAsia"/>
          <w:b/>
          <w:rtl/>
        </w:rPr>
        <w:t>שונות</w:t>
      </w:r>
      <w:r w:rsidRPr="00D170F5">
        <w:rPr>
          <w:rFonts w:ascii="Century" w:hAnsi="Century" w:cs="Miriam"/>
          <w:b/>
          <w:rtl/>
        </w:rPr>
        <w:t xml:space="preserve"> </w:t>
      </w:r>
      <w:r w:rsidRPr="00D170F5">
        <w:rPr>
          <w:rFonts w:ascii="Century" w:hAnsi="Century" w:cs="Miriam" w:hint="eastAsia"/>
          <w:b/>
          <w:rtl/>
        </w:rPr>
        <w:t>לבדיקת</w:t>
      </w:r>
      <w:r w:rsidRPr="00D170F5">
        <w:rPr>
          <w:rFonts w:ascii="Century" w:hAnsi="Century" w:cs="Miriam"/>
          <w:b/>
          <w:rtl/>
        </w:rPr>
        <w:t xml:space="preserve"> </w:t>
      </w:r>
      <w:r w:rsidRPr="00D170F5">
        <w:rPr>
          <w:rFonts w:ascii="Century" w:hAnsi="Century" w:cs="Miriam" w:hint="eastAsia"/>
          <w:b/>
          <w:rtl/>
        </w:rPr>
        <w:t>ענין</w:t>
      </w:r>
      <w:r w:rsidRPr="00D170F5">
        <w:rPr>
          <w:rFonts w:ascii="Century" w:hAnsi="Century" w:cs="Miriam"/>
          <w:b/>
          <w:rtl/>
        </w:rPr>
        <w:t xml:space="preserve"> </w:t>
      </w:r>
      <w:r w:rsidRPr="00D170F5">
        <w:rPr>
          <w:rFonts w:ascii="Century" w:hAnsi="Century" w:cs="Miriam" w:hint="eastAsia"/>
          <w:b/>
          <w:rtl/>
        </w:rPr>
        <w:t>החריגה</w:t>
      </w:r>
      <w:r w:rsidRPr="00D170F5">
        <w:rPr>
          <w:rFonts w:ascii="Century" w:hAnsi="Century" w:cs="Miriam"/>
          <w:b/>
          <w:rtl/>
        </w:rPr>
        <w:t xml:space="preserve"> </w:t>
      </w:r>
      <w:r w:rsidRPr="00D170F5">
        <w:rPr>
          <w:rFonts w:ascii="Century" w:hAnsi="Century" w:cs="Miriam" w:hint="eastAsia"/>
          <w:b/>
          <w:rtl/>
        </w:rPr>
        <w:t>מסמכות</w:t>
      </w:r>
      <w:r>
        <w:rPr>
          <w:rFonts w:ascii="Century" w:hAnsi="Century" w:cs="FrankRuehl" w:hint="cs"/>
          <w:spacing w:val="10"/>
          <w:szCs w:val="28"/>
          <w:rtl/>
        </w:rPr>
        <w:t xml:space="preserve">" (שם, בעמוד 1038. ראו גם: עניין </w:t>
      </w:r>
      <w:r w:rsidRPr="00494F29">
        <w:rPr>
          <w:rFonts w:ascii="Century" w:hAnsi="Century" w:cs="Miriam"/>
          <w:b/>
          <w:rtl/>
        </w:rPr>
        <w:t>נוחימובסקי</w:t>
      </w:r>
      <w:r>
        <w:rPr>
          <w:rFonts w:ascii="Century" w:hAnsi="Century" w:cs="FrankRuehl" w:hint="cs"/>
          <w:spacing w:val="10"/>
          <w:szCs w:val="28"/>
          <w:rtl/>
        </w:rPr>
        <w:t>, בעמוד 1499; ברק-ארז, משפט מינהלי, בעמוד 636; דותן, ריסון וסבירות, בעמוד 678)</w:t>
      </w:r>
      <w:r w:rsidRPr="00FE2F4B">
        <w:rPr>
          <w:rFonts w:ascii="Century" w:hAnsi="Century" w:cs="FrankRuehl"/>
          <w:spacing w:val="10"/>
          <w:szCs w:val="28"/>
          <w:rtl/>
        </w:rPr>
        <w:t>.</w:t>
      </w:r>
      <w:r>
        <w:rPr>
          <w:rFonts w:ascii="Century" w:hAnsi="Century" w:cs="FrankRuehl" w:hint="cs"/>
          <w:spacing w:val="10"/>
          <w:szCs w:val="28"/>
          <w:rtl/>
        </w:rPr>
        <w:t xml:space="preserve"> </w:t>
      </w:r>
    </w:p>
    <w:p w:rsidR="00A01E7C" w:rsidRDefault="00A01E7C" w:rsidP="00A01E7C">
      <w:pPr>
        <w:spacing w:line="360" w:lineRule="auto"/>
        <w:ind w:firstLine="720"/>
        <w:jc w:val="both"/>
        <w:rPr>
          <w:rFonts w:ascii="Century" w:hAnsi="Century" w:cs="FrankRuehl"/>
          <w:spacing w:val="10"/>
          <w:szCs w:val="28"/>
          <w:rtl/>
        </w:rPr>
      </w:pPr>
    </w:p>
    <w:p w:rsidR="00A01E7C" w:rsidRDefault="00A01E7C" w:rsidP="00A01E7C">
      <w:pPr>
        <w:spacing w:line="360" w:lineRule="auto"/>
        <w:ind w:firstLine="720"/>
        <w:jc w:val="both"/>
        <w:rPr>
          <w:rFonts w:ascii="Century" w:hAnsi="Century" w:cs="FrankRuehl"/>
          <w:spacing w:val="10"/>
          <w:szCs w:val="28"/>
          <w:rtl/>
        </w:rPr>
      </w:pPr>
      <w:r>
        <w:rPr>
          <w:rFonts w:ascii="Century" w:hAnsi="Century" w:cs="FrankRuehl" w:hint="cs"/>
          <w:spacing w:val="10"/>
          <w:szCs w:val="28"/>
          <w:rtl/>
        </w:rPr>
        <w:t xml:space="preserve">לא למותר לציין גם כי מהלך דומה התרחש אף ביחס לעילות שעניינן הפרת כללי הצדק הטבעי (מתן זכות טיעון ואיסור על משוא פנים), שנתפסו בעבר כנגזרת של עילת חוסר הסמכות, וכיום הן מסווגת כעילות התערבות "עצמאיות" שנבחנות </w:t>
      </w:r>
      <w:r w:rsidRPr="002266D2">
        <w:rPr>
          <w:rFonts w:ascii="Century" w:hAnsi="Century" w:cs="Miriam" w:hint="cs"/>
          <w:b/>
          <w:rtl/>
        </w:rPr>
        <w:t>במישור ההליך</w:t>
      </w:r>
      <w:r w:rsidRPr="002266D2">
        <w:rPr>
          <w:rFonts w:ascii="Century" w:hAnsi="Century" w:cs="FrankRuehl" w:hint="cs"/>
          <w:spacing w:val="10"/>
          <w:szCs w:val="28"/>
          <w:rtl/>
        </w:rPr>
        <w:t xml:space="preserve"> </w:t>
      </w:r>
      <w:r>
        <w:rPr>
          <w:rFonts w:ascii="Century" w:hAnsi="Century" w:cs="FrankRuehl" w:hint="cs"/>
          <w:spacing w:val="10"/>
          <w:szCs w:val="28"/>
          <w:rtl/>
        </w:rPr>
        <w:lastRenderedPageBreak/>
        <w:t xml:space="preserve">(ראו: </w:t>
      </w:r>
      <w:r w:rsidRPr="00FE2F4B">
        <w:rPr>
          <w:rFonts w:ascii="Century" w:hAnsi="Century" w:cs="FrankRuehl"/>
          <w:spacing w:val="10"/>
          <w:szCs w:val="28"/>
          <w:rtl/>
        </w:rPr>
        <w:t xml:space="preserve">ע"א 183/69 </w:t>
      </w:r>
      <w:r w:rsidRPr="002266D2">
        <w:rPr>
          <w:rFonts w:ascii="Century" w:hAnsi="Century" w:cs="Miriam"/>
          <w:b/>
          <w:rtl/>
        </w:rPr>
        <w:t>עירית פתח תקוה והמועצה הדתית פתח תקוה נ' אברהם טחן ממעברת "עמישב"</w:t>
      </w:r>
      <w:r w:rsidRPr="00FE2F4B">
        <w:rPr>
          <w:rFonts w:ascii="Century" w:hAnsi="Century" w:cs="FrankRuehl"/>
          <w:spacing w:val="10"/>
          <w:szCs w:val="28"/>
          <w:rtl/>
        </w:rPr>
        <w:t>, כג(2) 398 (1969)</w:t>
      </w:r>
      <w:r>
        <w:rPr>
          <w:rFonts w:ascii="Century" w:hAnsi="Century" w:cs="FrankRuehl" w:hint="cs"/>
          <w:spacing w:val="10"/>
          <w:szCs w:val="28"/>
          <w:rtl/>
        </w:rPr>
        <w:t xml:space="preserve">; </w:t>
      </w:r>
      <w:r w:rsidRPr="00FE2F4B">
        <w:rPr>
          <w:rFonts w:ascii="Century" w:hAnsi="Century" w:cs="FrankRuehl"/>
          <w:spacing w:val="10"/>
          <w:szCs w:val="28"/>
          <w:rtl/>
        </w:rPr>
        <w:t xml:space="preserve">בג"ץ 5870/14 </w:t>
      </w:r>
      <w:r w:rsidRPr="002266D2">
        <w:rPr>
          <w:rFonts w:ascii="Century" w:hAnsi="Century" w:cs="Miriam"/>
          <w:b/>
          <w:rtl/>
        </w:rPr>
        <w:t>חשבים ה.פ.ס. מידע עסקי בע"מ נ' הנהלת בתי המשפט</w:t>
      </w:r>
      <w:r>
        <w:rPr>
          <w:rFonts w:ascii="Century" w:hAnsi="Century" w:cs="FrankRuehl" w:hint="cs"/>
          <w:spacing w:val="10"/>
          <w:szCs w:val="28"/>
          <w:rtl/>
        </w:rPr>
        <w:t>, פסקה טז</w:t>
      </w:r>
      <w:r w:rsidRPr="00FE2F4B">
        <w:rPr>
          <w:rFonts w:ascii="Century" w:hAnsi="Century" w:cs="FrankRuehl"/>
          <w:spacing w:val="10"/>
          <w:szCs w:val="28"/>
          <w:rtl/>
        </w:rPr>
        <w:t xml:space="preserve"> (12.11.2015)</w:t>
      </w:r>
      <w:r>
        <w:rPr>
          <w:rFonts w:ascii="Century" w:hAnsi="Century" w:cs="FrankRuehl" w:hint="cs"/>
          <w:spacing w:val="10"/>
          <w:szCs w:val="28"/>
          <w:rtl/>
        </w:rPr>
        <w:t xml:space="preserve">; ברק-ארז, משפט מינהלי, בעמוד 461; דותן, ריסון וסבירות, בעמוד 678 ה"ש 13). נראה אם כן כי מדובר במהלך טבעי של פיתוח כללי המשפט המינהלי והביקורת השיפוטית על החלטות מינהליות (אשר בהיעדר חקיקה, התפתחו באופן בלעדי בפסיקתם של בתי המשפט); מהלך במסגרתו סווגו מחדש עילות שונות כדי להסדיר בצורה ברורה ועקיבה יותר את אופני ההתערבות במשפט המינהלי, בחלוקה לשלושה מישורים: מישור הסמכות, מישור ההליך ומישור שיקול הדעת (ראו: ברק-ארז, משפט מינהלי, בעמוד 15; </w:t>
      </w:r>
      <w:r>
        <w:rPr>
          <w:rFonts w:ascii="Century" w:hAnsi="Century" w:cs="FrankRuehl"/>
          <w:spacing w:val="10"/>
          <w:szCs w:val="28"/>
          <w:rtl/>
        </w:rPr>
        <w:t>יצחק זמיר</w:t>
      </w:r>
      <w:r w:rsidRPr="00D1560A">
        <w:rPr>
          <w:rFonts w:ascii="Century" w:hAnsi="Century" w:cs="FrankRuehl"/>
          <w:spacing w:val="10"/>
          <w:szCs w:val="28"/>
          <w:rtl/>
        </w:rPr>
        <w:t xml:space="preserve"> </w:t>
      </w:r>
      <w:r w:rsidRPr="00755331">
        <w:rPr>
          <w:rFonts w:ascii="Century" w:hAnsi="Century" w:cs="Miriam" w:hint="eastAsia"/>
          <w:b/>
          <w:rtl/>
        </w:rPr>
        <w:t>הסמכות</w:t>
      </w:r>
      <w:r w:rsidRPr="00755331">
        <w:rPr>
          <w:rFonts w:ascii="Century" w:hAnsi="Century" w:cs="Miriam"/>
          <w:b/>
          <w:rtl/>
        </w:rPr>
        <w:t xml:space="preserve"> </w:t>
      </w:r>
      <w:r w:rsidRPr="00755331">
        <w:rPr>
          <w:rFonts w:ascii="Century" w:hAnsi="Century" w:cs="Miriam" w:hint="eastAsia"/>
          <w:b/>
          <w:rtl/>
        </w:rPr>
        <w:t>המינהלית</w:t>
      </w:r>
      <w:r w:rsidRPr="00755331">
        <w:rPr>
          <w:rFonts w:ascii="Century" w:hAnsi="Century" w:cs="Miriam"/>
          <w:b/>
          <w:rtl/>
        </w:rPr>
        <w:t xml:space="preserve"> </w:t>
      </w:r>
      <w:r w:rsidRPr="00D1560A">
        <w:rPr>
          <w:rFonts w:ascii="Century" w:hAnsi="Century" w:cs="FrankRuehl" w:hint="eastAsia"/>
          <w:spacing w:val="10"/>
          <w:szCs w:val="28"/>
          <w:rtl/>
        </w:rPr>
        <w:t>כרך</w:t>
      </w:r>
      <w:r w:rsidRPr="00D1560A">
        <w:rPr>
          <w:rFonts w:ascii="Century" w:hAnsi="Century" w:cs="FrankRuehl"/>
          <w:spacing w:val="10"/>
          <w:szCs w:val="28"/>
          <w:rtl/>
        </w:rPr>
        <w:t xml:space="preserve"> </w:t>
      </w:r>
      <w:r w:rsidRPr="00D1560A">
        <w:rPr>
          <w:rFonts w:ascii="Century" w:hAnsi="Century" w:cs="FrankRuehl" w:hint="eastAsia"/>
          <w:spacing w:val="10"/>
          <w:szCs w:val="28"/>
          <w:rtl/>
        </w:rPr>
        <w:t>ה</w:t>
      </w:r>
      <w:r w:rsidRPr="00755331">
        <w:rPr>
          <w:rFonts w:ascii="Century" w:hAnsi="Century" w:cs="Miriam"/>
          <w:b/>
          <w:rtl/>
        </w:rPr>
        <w:t xml:space="preserve"> </w:t>
      </w:r>
      <w:r>
        <w:rPr>
          <w:rFonts w:ascii="Century" w:hAnsi="Century" w:cs="FrankRuehl" w:hint="cs"/>
          <w:spacing w:val="10"/>
          <w:szCs w:val="28"/>
          <w:rtl/>
        </w:rPr>
        <w:t>3290</w:t>
      </w:r>
      <w:r w:rsidRPr="00D1560A">
        <w:rPr>
          <w:rFonts w:ascii="Century" w:hAnsi="Century" w:cs="FrankRuehl"/>
          <w:spacing w:val="10"/>
          <w:szCs w:val="28"/>
          <w:rtl/>
        </w:rPr>
        <w:t xml:space="preserve"> (2020)</w:t>
      </w:r>
      <w:r>
        <w:rPr>
          <w:rFonts w:ascii="Century" w:hAnsi="Century" w:cs="FrankRuehl" w:hint="cs"/>
          <w:spacing w:val="10"/>
          <w:szCs w:val="28"/>
          <w:rtl/>
        </w:rPr>
        <w:t xml:space="preserve"> (להלן: </w:t>
      </w:r>
      <w:r w:rsidRPr="00755331">
        <w:rPr>
          <w:rFonts w:ascii="Century" w:hAnsi="Century" w:cs="Miriam" w:hint="eastAsia"/>
          <w:b/>
          <w:rtl/>
        </w:rPr>
        <w:t>זמיר</w:t>
      </w:r>
      <w:r>
        <w:rPr>
          <w:rFonts w:ascii="Century" w:hAnsi="Century" w:cs="FrankRuehl" w:hint="cs"/>
          <w:spacing w:val="10"/>
          <w:szCs w:val="28"/>
          <w:rtl/>
        </w:rPr>
        <w:t xml:space="preserve">)). </w:t>
      </w:r>
    </w:p>
    <w:p w:rsidR="00A01E7C" w:rsidRDefault="00A01E7C" w:rsidP="00A01E7C">
      <w:pPr>
        <w:spacing w:line="360" w:lineRule="auto"/>
        <w:jc w:val="both"/>
        <w:rPr>
          <w:rFonts w:ascii="Century" w:hAnsi="Century" w:cs="FrankRuehl"/>
          <w:spacing w:val="10"/>
          <w:szCs w:val="28"/>
          <w:rtl/>
        </w:rPr>
      </w:pPr>
      <w:r>
        <w:rPr>
          <w:rFonts w:ascii="Century" w:hAnsi="Century" w:cs="FrankRuehl"/>
          <w:spacing w:val="10"/>
          <w:szCs w:val="28"/>
          <w:rtl/>
        </w:rPr>
        <w:tab/>
      </w:r>
    </w:p>
    <w:p w:rsidR="00A01E7C" w:rsidRDefault="00A01E7C" w:rsidP="00A01E7C">
      <w:pPr>
        <w:spacing w:line="360" w:lineRule="auto"/>
        <w:ind w:firstLine="720"/>
        <w:jc w:val="both"/>
        <w:rPr>
          <w:rFonts w:ascii="Century" w:hAnsi="Century" w:cs="FrankRuehl"/>
          <w:spacing w:val="10"/>
          <w:szCs w:val="28"/>
          <w:rtl/>
        </w:rPr>
      </w:pPr>
      <w:r>
        <w:rPr>
          <w:rFonts w:ascii="Century" w:hAnsi="Century" w:cs="FrankRuehl" w:hint="cs"/>
          <w:spacing w:val="10"/>
          <w:szCs w:val="28"/>
          <w:rtl/>
        </w:rPr>
        <w:t xml:space="preserve">לצד זאת, דומה כי "החידוש" העיקרי והמהותי ביותר המיוחס לפסק הדין </w:t>
      </w:r>
      <w:r>
        <w:rPr>
          <w:rFonts w:ascii="Century" w:hAnsi="Century" w:cs="FrankRuehl"/>
          <w:spacing w:val="10"/>
          <w:szCs w:val="28"/>
          <w:rtl/>
        </w:rPr>
        <w:t>–</w:t>
      </w:r>
      <w:r>
        <w:rPr>
          <w:rFonts w:ascii="Century" w:hAnsi="Century" w:cs="FrankRuehl" w:hint="cs"/>
          <w:spacing w:val="10"/>
          <w:szCs w:val="28"/>
          <w:rtl/>
        </w:rPr>
        <w:t xml:space="preserve"> ואשר כפי הנראה עומד במוקד הפרשנות המצמצמת שמציעים חבריי </w:t>
      </w:r>
      <w:r>
        <w:rPr>
          <w:rFonts w:ascii="Century" w:hAnsi="Century" w:cs="FrankRuehl"/>
          <w:spacing w:val="10"/>
          <w:szCs w:val="28"/>
          <w:rtl/>
        </w:rPr>
        <w:t>–</w:t>
      </w:r>
      <w:r>
        <w:rPr>
          <w:rFonts w:ascii="Century" w:hAnsi="Century" w:cs="FrankRuehl" w:hint="cs"/>
          <w:spacing w:val="10"/>
          <w:szCs w:val="28"/>
          <w:rtl/>
        </w:rPr>
        <w:t xml:space="preserve"> הוא "הנוסחה האיזונית" עליה עמד השופט </w:t>
      </w:r>
      <w:r w:rsidRPr="00EB35E6">
        <w:rPr>
          <w:rFonts w:ascii="Century" w:hAnsi="Century" w:cs="Miriam" w:hint="cs"/>
          <w:b/>
          <w:rtl/>
        </w:rPr>
        <w:t>ברק</w:t>
      </w:r>
      <w:r w:rsidRPr="00EB35E6">
        <w:rPr>
          <w:rFonts w:ascii="Century" w:hAnsi="Century" w:cs="FrankRuehl" w:hint="cs"/>
          <w:spacing w:val="10"/>
          <w:szCs w:val="28"/>
          <w:rtl/>
        </w:rPr>
        <w:t xml:space="preserve"> </w:t>
      </w:r>
      <w:r>
        <w:rPr>
          <w:rFonts w:ascii="Century" w:hAnsi="Century" w:cs="FrankRuehl" w:hint="cs"/>
          <w:spacing w:val="10"/>
          <w:szCs w:val="28"/>
          <w:rtl/>
        </w:rPr>
        <w:t xml:space="preserve">בפסק דינו (ראו: ברק-ארז, משפט מינהלי, בעמוד 725; כהן, בעמוד 798; דותן, ריסון וסבירות, בעמוד 682; עניין </w:t>
      </w:r>
      <w:r w:rsidRPr="00061844">
        <w:rPr>
          <w:rFonts w:ascii="Century" w:hAnsi="Century" w:cs="Miriam" w:hint="eastAsia"/>
          <w:b/>
          <w:rtl/>
        </w:rPr>
        <w:t>אמונה</w:t>
      </w:r>
      <w:r>
        <w:rPr>
          <w:rFonts w:ascii="Century" w:hAnsi="Century" w:cs="FrankRuehl" w:hint="cs"/>
          <w:spacing w:val="10"/>
          <w:szCs w:val="28"/>
          <w:rtl/>
        </w:rPr>
        <w:t xml:space="preserve">, בעמוד 522). לפי נוסחה זו: </w:t>
      </w:r>
    </w:p>
    <w:p w:rsidR="00A01E7C" w:rsidRDefault="00A01E7C" w:rsidP="00A01E7C">
      <w:pPr>
        <w:spacing w:line="360" w:lineRule="auto"/>
        <w:ind w:firstLine="720"/>
        <w:jc w:val="both"/>
        <w:rPr>
          <w:rFonts w:ascii="Century" w:hAnsi="Century" w:cs="FrankRuehl"/>
          <w:spacing w:val="10"/>
          <w:szCs w:val="28"/>
          <w:rtl/>
        </w:rPr>
      </w:pPr>
    </w:p>
    <w:p w:rsidR="00A01E7C" w:rsidRPr="0024615A" w:rsidRDefault="00A01E7C" w:rsidP="00A01E7C">
      <w:pPr>
        <w:pStyle w:val="Ruller5"/>
      </w:pPr>
      <w:r w:rsidRPr="00CB74A8">
        <w:rPr>
          <w:rFonts w:hint="eastAsia"/>
          <w:rtl/>
        </w:rPr>
        <w:t>על</w:t>
      </w:r>
      <w:r w:rsidRPr="00CB74A8">
        <w:rPr>
          <w:rtl/>
        </w:rPr>
        <w:t xml:space="preserve"> </w:t>
      </w:r>
      <w:r w:rsidRPr="00CB74A8">
        <w:rPr>
          <w:rFonts w:hint="eastAsia"/>
          <w:rtl/>
        </w:rPr>
        <w:t>הרשות</w:t>
      </w:r>
      <w:r w:rsidRPr="00CB74A8">
        <w:rPr>
          <w:rtl/>
        </w:rPr>
        <w:t xml:space="preserve"> </w:t>
      </w:r>
      <w:r w:rsidRPr="00CB74A8">
        <w:rPr>
          <w:rFonts w:hint="eastAsia"/>
          <w:rtl/>
        </w:rPr>
        <w:t>המינהלית</w:t>
      </w:r>
      <w:r w:rsidRPr="00CB74A8">
        <w:rPr>
          <w:rtl/>
        </w:rPr>
        <w:t xml:space="preserve"> </w:t>
      </w:r>
      <w:r w:rsidRPr="00CB74A8">
        <w:rPr>
          <w:rFonts w:hint="eastAsia"/>
          <w:rtl/>
        </w:rPr>
        <w:t>לאזן</w:t>
      </w:r>
      <w:r w:rsidRPr="00CB74A8">
        <w:rPr>
          <w:rtl/>
        </w:rPr>
        <w:t xml:space="preserve"> </w:t>
      </w:r>
      <w:r w:rsidRPr="00CB74A8">
        <w:rPr>
          <w:rFonts w:hint="eastAsia"/>
          <w:rtl/>
        </w:rPr>
        <w:t>את</w:t>
      </w:r>
      <w:r w:rsidRPr="00CB74A8">
        <w:rPr>
          <w:rtl/>
        </w:rPr>
        <w:t xml:space="preserve"> </w:t>
      </w:r>
      <w:r w:rsidRPr="00CB74A8">
        <w:rPr>
          <w:rFonts w:hint="eastAsia"/>
          <w:rtl/>
        </w:rPr>
        <w:t>האינטרסים</w:t>
      </w:r>
      <w:r w:rsidRPr="00CB74A8">
        <w:rPr>
          <w:rtl/>
        </w:rPr>
        <w:t xml:space="preserve"> </w:t>
      </w:r>
      <w:r w:rsidRPr="00CB74A8">
        <w:rPr>
          <w:rFonts w:hint="eastAsia"/>
          <w:rtl/>
        </w:rPr>
        <w:t>השונים</w:t>
      </w:r>
      <w:r w:rsidRPr="00CB74A8">
        <w:rPr>
          <w:rtl/>
        </w:rPr>
        <w:t xml:space="preserve"> </w:t>
      </w:r>
      <w:r w:rsidRPr="00CB74A8">
        <w:rPr>
          <w:rFonts w:hint="eastAsia"/>
          <w:rtl/>
        </w:rPr>
        <w:t>במסגרת</w:t>
      </w:r>
      <w:r w:rsidRPr="00CB74A8">
        <w:rPr>
          <w:rtl/>
        </w:rPr>
        <w:t xml:space="preserve"> </w:t>
      </w:r>
      <w:r w:rsidRPr="00CB74A8">
        <w:rPr>
          <w:rFonts w:hint="eastAsia"/>
          <w:rtl/>
        </w:rPr>
        <w:t>הנורמה</w:t>
      </w:r>
      <w:r w:rsidRPr="00CB74A8">
        <w:rPr>
          <w:rtl/>
        </w:rPr>
        <w:t xml:space="preserve"> </w:t>
      </w:r>
      <w:r w:rsidRPr="00CB74A8">
        <w:rPr>
          <w:rFonts w:hint="eastAsia"/>
          <w:rtl/>
        </w:rPr>
        <w:t>הכללית</w:t>
      </w:r>
      <w:r w:rsidRPr="00CB74A8">
        <w:rPr>
          <w:rtl/>
        </w:rPr>
        <w:t xml:space="preserve"> </w:t>
      </w:r>
      <w:r w:rsidRPr="00CB74A8">
        <w:rPr>
          <w:rFonts w:hint="eastAsia"/>
          <w:rtl/>
        </w:rPr>
        <w:t>שנקבעה</w:t>
      </w:r>
      <w:r w:rsidRPr="00CB74A8">
        <w:rPr>
          <w:rtl/>
        </w:rPr>
        <w:t xml:space="preserve"> </w:t>
      </w:r>
      <w:r w:rsidRPr="00CB74A8">
        <w:rPr>
          <w:rFonts w:hint="eastAsia"/>
          <w:rtl/>
        </w:rPr>
        <w:t>על</w:t>
      </w:r>
      <w:r w:rsidRPr="00CB74A8">
        <w:rPr>
          <w:rtl/>
        </w:rPr>
        <w:t>-</w:t>
      </w:r>
      <w:r w:rsidRPr="00CB74A8">
        <w:rPr>
          <w:rFonts w:hint="eastAsia"/>
          <w:rtl/>
        </w:rPr>
        <w:t>ידי</w:t>
      </w:r>
      <w:r w:rsidRPr="00CB74A8">
        <w:rPr>
          <w:rtl/>
        </w:rPr>
        <w:t xml:space="preserve"> </w:t>
      </w:r>
      <w:r w:rsidRPr="00CB74A8">
        <w:rPr>
          <w:rFonts w:hint="eastAsia"/>
          <w:rtl/>
        </w:rPr>
        <w:t>המחוקק</w:t>
      </w:r>
      <w:r w:rsidRPr="00CB74A8">
        <w:rPr>
          <w:rtl/>
        </w:rPr>
        <w:t xml:space="preserve">. </w:t>
      </w:r>
      <w:r w:rsidRPr="00CB74A8">
        <w:rPr>
          <w:rFonts w:hint="eastAsia"/>
          <w:rtl/>
        </w:rPr>
        <w:t>איזון</w:t>
      </w:r>
      <w:r w:rsidRPr="00CB74A8">
        <w:rPr>
          <w:rtl/>
        </w:rPr>
        <w:t xml:space="preserve"> </w:t>
      </w:r>
      <w:r w:rsidRPr="00CB74A8">
        <w:rPr>
          <w:rFonts w:hint="eastAsia"/>
          <w:rtl/>
        </w:rPr>
        <w:t>זה</w:t>
      </w:r>
      <w:r w:rsidRPr="00CB74A8">
        <w:rPr>
          <w:rtl/>
        </w:rPr>
        <w:t xml:space="preserve"> </w:t>
      </w:r>
      <w:r w:rsidRPr="00CB74A8">
        <w:rPr>
          <w:rFonts w:hint="eastAsia"/>
          <w:rtl/>
        </w:rPr>
        <w:t>הוא</w:t>
      </w:r>
      <w:r w:rsidRPr="00CB74A8">
        <w:rPr>
          <w:rtl/>
        </w:rPr>
        <w:t xml:space="preserve"> </w:t>
      </w:r>
      <w:r w:rsidRPr="00CB74A8">
        <w:rPr>
          <w:rFonts w:hint="eastAsia"/>
          <w:rtl/>
        </w:rPr>
        <w:t>סביר</w:t>
      </w:r>
      <w:r w:rsidRPr="00CB74A8">
        <w:rPr>
          <w:rtl/>
        </w:rPr>
        <w:t xml:space="preserve">, </w:t>
      </w:r>
      <w:r w:rsidRPr="00CB74A8">
        <w:rPr>
          <w:rFonts w:hint="eastAsia"/>
          <w:rtl/>
        </w:rPr>
        <w:t>אם</w:t>
      </w:r>
      <w:r w:rsidRPr="00CB74A8">
        <w:rPr>
          <w:rtl/>
        </w:rPr>
        <w:t xml:space="preserve"> </w:t>
      </w:r>
      <w:r w:rsidRPr="00CB74A8">
        <w:rPr>
          <w:rFonts w:hint="eastAsia"/>
          <w:rtl/>
        </w:rPr>
        <w:t>הרשות</w:t>
      </w:r>
      <w:r w:rsidRPr="00CB74A8">
        <w:rPr>
          <w:rtl/>
        </w:rPr>
        <w:t xml:space="preserve"> </w:t>
      </w:r>
      <w:r w:rsidRPr="00CB74A8">
        <w:rPr>
          <w:rFonts w:hint="eastAsia"/>
          <w:rtl/>
        </w:rPr>
        <w:t>המוסמכת</w:t>
      </w:r>
      <w:r w:rsidRPr="00CB74A8">
        <w:rPr>
          <w:rtl/>
        </w:rPr>
        <w:t xml:space="preserve"> </w:t>
      </w:r>
      <w:r w:rsidRPr="00CB74A8">
        <w:rPr>
          <w:rFonts w:hint="eastAsia"/>
          <w:rtl/>
        </w:rPr>
        <w:t>נותנת</w:t>
      </w:r>
      <w:r w:rsidRPr="00CB74A8">
        <w:rPr>
          <w:rtl/>
        </w:rPr>
        <w:t xml:space="preserve"> </w:t>
      </w:r>
      <w:r w:rsidRPr="00CB74A8">
        <w:rPr>
          <w:rFonts w:hint="eastAsia"/>
          <w:rtl/>
        </w:rPr>
        <w:t>את</w:t>
      </w:r>
      <w:r w:rsidRPr="00CB74A8">
        <w:rPr>
          <w:rtl/>
        </w:rPr>
        <w:t xml:space="preserve"> </w:t>
      </w:r>
      <w:r w:rsidRPr="00CB74A8">
        <w:rPr>
          <w:rFonts w:hint="eastAsia"/>
          <w:rtl/>
        </w:rPr>
        <w:t>המשקל</w:t>
      </w:r>
      <w:r w:rsidRPr="00CB74A8">
        <w:rPr>
          <w:rtl/>
        </w:rPr>
        <w:t xml:space="preserve"> </w:t>
      </w:r>
      <w:r w:rsidRPr="00CB74A8">
        <w:rPr>
          <w:rFonts w:hint="eastAsia"/>
          <w:rtl/>
        </w:rPr>
        <w:t>הראוי</w:t>
      </w:r>
      <w:r w:rsidRPr="00CB74A8">
        <w:rPr>
          <w:rtl/>
        </w:rPr>
        <w:t xml:space="preserve">, </w:t>
      </w:r>
      <w:r w:rsidRPr="00CB74A8">
        <w:rPr>
          <w:rFonts w:hint="eastAsia"/>
          <w:rtl/>
        </w:rPr>
        <w:t>כלומר</w:t>
      </w:r>
      <w:r w:rsidRPr="00CB74A8">
        <w:rPr>
          <w:rtl/>
        </w:rPr>
        <w:t xml:space="preserve">, </w:t>
      </w:r>
      <w:r w:rsidRPr="00CB74A8">
        <w:rPr>
          <w:rFonts w:hint="eastAsia"/>
          <w:rtl/>
        </w:rPr>
        <w:t>המשקל</w:t>
      </w:r>
      <w:r w:rsidRPr="00CB74A8">
        <w:rPr>
          <w:rtl/>
        </w:rPr>
        <w:t xml:space="preserve"> </w:t>
      </w:r>
      <w:r w:rsidRPr="00CB74A8">
        <w:rPr>
          <w:rFonts w:hint="eastAsia"/>
          <w:rtl/>
        </w:rPr>
        <w:t>המתבקש</w:t>
      </w:r>
      <w:r w:rsidRPr="00CB74A8">
        <w:rPr>
          <w:rtl/>
        </w:rPr>
        <w:t xml:space="preserve"> </w:t>
      </w:r>
      <w:r w:rsidRPr="00CB74A8">
        <w:rPr>
          <w:rFonts w:hint="eastAsia"/>
          <w:rtl/>
        </w:rPr>
        <w:t>על</w:t>
      </w:r>
      <w:r w:rsidRPr="00CB74A8">
        <w:rPr>
          <w:rtl/>
        </w:rPr>
        <w:t>-</w:t>
      </w:r>
      <w:r w:rsidRPr="00CB74A8">
        <w:rPr>
          <w:rFonts w:hint="eastAsia"/>
          <w:rtl/>
        </w:rPr>
        <w:t>פי</w:t>
      </w:r>
      <w:r w:rsidRPr="00CB74A8">
        <w:rPr>
          <w:rtl/>
        </w:rPr>
        <w:t xml:space="preserve"> </w:t>
      </w:r>
      <w:r w:rsidRPr="00CB74A8">
        <w:rPr>
          <w:rFonts w:hint="eastAsia"/>
          <w:rtl/>
        </w:rPr>
        <w:t>פירושה</w:t>
      </w:r>
      <w:r w:rsidRPr="00CB74A8">
        <w:rPr>
          <w:rtl/>
        </w:rPr>
        <w:t xml:space="preserve"> </w:t>
      </w:r>
      <w:r w:rsidRPr="00CB74A8">
        <w:rPr>
          <w:rFonts w:hint="eastAsia"/>
          <w:rtl/>
        </w:rPr>
        <w:t>של</w:t>
      </w:r>
      <w:r w:rsidRPr="00CB74A8">
        <w:rPr>
          <w:rtl/>
        </w:rPr>
        <w:t xml:space="preserve"> </w:t>
      </w:r>
      <w:r w:rsidRPr="00CB74A8">
        <w:rPr>
          <w:rFonts w:hint="eastAsia"/>
          <w:rtl/>
        </w:rPr>
        <w:t>הנורמה</w:t>
      </w:r>
      <w:r w:rsidRPr="00CB74A8">
        <w:rPr>
          <w:rtl/>
        </w:rPr>
        <w:t xml:space="preserve"> </w:t>
      </w:r>
      <w:r w:rsidRPr="00CB74A8">
        <w:rPr>
          <w:rFonts w:hint="eastAsia"/>
          <w:rtl/>
        </w:rPr>
        <w:t>החקיקתית</w:t>
      </w:r>
      <w:r w:rsidRPr="00CB74A8">
        <w:rPr>
          <w:rtl/>
        </w:rPr>
        <w:t xml:space="preserve"> </w:t>
      </w:r>
      <w:r w:rsidRPr="00CB74A8">
        <w:rPr>
          <w:rFonts w:hint="eastAsia"/>
          <w:rtl/>
        </w:rPr>
        <w:t>אותה</w:t>
      </w:r>
      <w:r w:rsidRPr="00CB74A8">
        <w:rPr>
          <w:rtl/>
        </w:rPr>
        <w:t xml:space="preserve"> </w:t>
      </w:r>
      <w:r w:rsidRPr="00CB74A8">
        <w:rPr>
          <w:rFonts w:hint="eastAsia"/>
          <w:rtl/>
        </w:rPr>
        <w:t>מבצעת</w:t>
      </w:r>
      <w:r w:rsidRPr="00CB74A8">
        <w:rPr>
          <w:rtl/>
        </w:rPr>
        <w:t xml:space="preserve"> </w:t>
      </w:r>
      <w:r w:rsidRPr="00CB74A8">
        <w:rPr>
          <w:rFonts w:hint="eastAsia"/>
          <w:rtl/>
        </w:rPr>
        <w:t>הרשות</w:t>
      </w:r>
      <w:r w:rsidRPr="00CB74A8">
        <w:rPr>
          <w:rtl/>
        </w:rPr>
        <w:t xml:space="preserve"> </w:t>
      </w:r>
      <w:r w:rsidRPr="00CB74A8">
        <w:rPr>
          <w:rFonts w:hint="eastAsia"/>
          <w:rtl/>
        </w:rPr>
        <w:t>המינהלית</w:t>
      </w:r>
      <w:r w:rsidRPr="00CB74A8">
        <w:rPr>
          <w:rtl/>
        </w:rPr>
        <w:t xml:space="preserve">, </w:t>
      </w:r>
      <w:r w:rsidRPr="00CB74A8">
        <w:rPr>
          <w:rFonts w:hint="eastAsia"/>
          <w:rtl/>
        </w:rPr>
        <w:t>לאינטרסים</w:t>
      </w:r>
      <w:r w:rsidRPr="00CB74A8">
        <w:rPr>
          <w:rtl/>
        </w:rPr>
        <w:t xml:space="preserve"> </w:t>
      </w:r>
      <w:r w:rsidRPr="00CB74A8">
        <w:rPr>
          <w:rFonts w:hint="eastAsia"/>
          <w:rtl/>
        </w:rPr>
        <w:t>השונים</w:t>
      </w:r>
      <w:r w:rsidRPr="00CB74A8">
        <w:rPr>
          <w:rtl/>
        </w:rPr>
        <w:t xml:space="preserve"> </w:t>
      </w:r>
      <w:r w:rsidRPr="00CB74A8">
        <w:rPr>
          <w:rFonts w:hint="eastAsia"/>
          <w:rtl/>
        </w:rPr>
        <w:t>הבאים</w:t>
      </w:r>
      <w:r w:rsidRPr="00CB74A8">
        <w:rPr>
          <w:rtl/>
        </w:rPr>
        <w:t xml:space="preserve"> </w:t>
      </w:r>
      <w:r w:rsidRPr="00CB74A8">
        <w:rPr>
          <w:rFonts w:hint="eastAsia"/>
          <w:rtl/>
        </w:rPr>
        <w:t>בחשבון</w:t>
      </w:r>
      <w:r w:rsidRPr="00CB74A8">
        <w:rPr>
          <w:rtl/>
        </w:rPr>
        <w:t xml:space="preserve">. </w:t>
      </w:r>
      <w:r w:rsidRPr="00CB74A8">
        <w:rPr>
          <w:rFonts w:hint="eastAsia"/>
          <w:rtl/>
        </w:rPr>
        <w:t>איזון</w:t>
      </w:r>
      <w:r w:rsidRPr="00CB74A8">
        <w:rPr>
          <w:rtl/>
        </w:rPr>
        <w:t xml:space="preserve"> </w:t>
      </w:r>
      <w:r w:rsidRPr="00CB74A8">
        <w:rPr>
          <w:rFonts w:hint="eastAsia"/>
          <w:rtl/>
        </w:rPr>
        <w:t>זה</w:t>
      </w:r>
      <w:r w:rsidRPr="00CB74A8">
        <w:rPr>
          <w:rtl/>
        </w:rPr>
        <w:t xml:space="preserve"> </w:t>
      </w:r>
      <w:r w:rsidRPr="00CB74A8">
        <w:rPr>
          <w:rFonts w:hint="eastAsia"/>
          <w:rtl/>
        </w:rPr>
        <w:t>אינו</w:t>
      </w:r>
      <w:r w:rsidRPr="00CB74A8">
        <w:rPr>
          <w:rtl/>
        </w:rPr>
        <w:t xml:space="preserve"> </w:t>
      </w:r>
      <w:r w:rsidRPr="00CB74A8">
        <w:rPr>
          <w:rFonts w:hint="eastAsia"/>
          <w:rtl/>
        </w:rPr>
        <w:t>סביר</w:t>
      </w:r>
      <w:r w:rsidRPr="00CB74A8">
        <w:rPr>
          <w:rtl/>
        </w:rPr>
        <w:t xml:space="preserve">, </w:t>
      </w:r>
      <w:r w:rsidRPr="00CB74A8">
        <w:rPr>
          <w:rFonts w:hint="eastAsia"/>
          <w:rtl/>
        </w:rPr>
        <w:t>אם</w:t>
      </w:r>
      <w:r w:rsidRPr="00CB74A8">
        <w:rPr>
          <w:rtl/>
        </w:rPr>
        <w:t xml:space="preserve"> </w:t>
      </w:r>
      <w:r w:rsidRPr="00CB74A8">
        <w:rPr>
          <w:rFonts w:hint="eastAsia"/>
          <w:rtl/>
        </w:rPr>
        <w:t>הרשות</w:t>
      </w:r>
      <w:r w:rsidRPr="00CB74A8">
        <w:rPr>
          <w:rtl/>
        </w:rPr>
        <w:t xml:space="preserve"> </w:t>
      </w:r>
      <w:r w:rsidRPr="00CB74A8">
        <w:rPr>
          <w:rFonts w:hint="eastAsia"/>
          <w:rtl/>
        </w:rPr>
        <w:t>המוסמכת</w:t>
      </w:r>
      <w:r w:rsidRPr="00CB74A8">
        <w:rPr>
          <w:rtl/>
        </w:rPr>
        <w:t xml:space="preserve"> </w:t>
      </w:r>
      <w:r w:rsidRPr="00CB74A8">
        <w:rPr>
          <w:rFonts w:hint="eastAsia"/>
          <w:rtl/>
        </w:rPr>
        <w:t>אינה</w:t>
      </w:r>
      <w:r w:rsidRPr="00CB74A8">
        <w:rPr>
          <w:rtl/>
        </w:rPr>
        <w:t xml:space="preserve"> </w:t>
      </w:r>
      <w:r w:rsidRPr="00CB74A8">
        <w:rPr>
          <w:rFonts w:hint="eastAsia"/>
          <w:rtl/>
        </w:rPr>
        <w:t>נותנת</w:t>
      </w:r>
      <w:r w:rsidRPr="00CB74A8">
        <w:rPr>
          <w:rtl/>
        </w:rPr>
        <w:t xml:space="preserve"> </w:t>
      </w:r>
      <w:r w:rsidRPr="00CB74A8">
        <w:rPr>
          <w:rFonts w:hint="eastAsia"/>
          <w:rtl/>
        </w:rPr>
        <w:t>משקל</w:t>
      </w:r>
      <w:r w:rsidRPr="00CB74A8">
        <w:rPr>
          <w:rtl/>
        </w:rPr>
        <w:t xml:space="preserve"> </w:t>
      </w:r>
      <w:r w:rsidRPr="00CB74A8">
        <w:rPr>
          <w:rFonts w:hint="eastAsia"/>
          <w:rtl/>
        </w:rPr>
        <w:t>ראוי</w:t>
      </w:r>
      <w:r w:rsidRPr="00CB74A8">
        <w:rPr>
          <w:rtl/>
        </w:rPr>
        <w:t xml:space="preserve"> </w:t>
      </w:r>
      <w:r w:rsidRPr="00CB74A8">
        <w:rPr>
          <w:rFonts w:hint="eastAsia"/>
          <w:rtl/>
        </w:rPr>
        <w:t>לאינטרסים</w:t>
      </w:r>
      <w:r w:rsidRPr="00CB74A8">
        <w:rPr>
          <w:rtl/>
        </w:rPr>
        <w:t xml:space="preserve"> </w:t>
      </w:r>
      <w:r w:rsidRPr="00CB74A8">
        <w:rPr>
          <w:rFonts w:hint="eastAsia"/>
          <w:rtl/>
        </w:rPr>
        <w:t>השונים</w:t>
      </w:r>
      <w:r>
        <w:rPr>
          <w:rFonts w:hint="cs"/>
          <w:rtl/>
        </w:rPr>
        <w:t xml:space="preserve"> (עניין </w:t>
      </w:r>
      <w:r w:rsidRPr="00061844">
        <w:rPr>
          <w:rFonts w:ascii="Century" w:hAnsi="Century" w:cs="Miriam" w:hint="eastAsia"/>
          <w:b/>
          <w:spacing w:val="0"/>
          <w:szCs w:val="24"/>
          <w:rtl/>
        </w:rPr>
        <w:t>דפי</w:t>
      </w:r>
      <w:r w:rsidRPr="00061844">
        <w:rPr>
          <w:rFonts w:ascii="Century" w:hAnsi="Century" w:cs="Miriam"/>
          <w:b/>
          <w:spacing w:val="0"/>
          <w:szCs w:val="24"/>
          <w:rtl/>
        </w:rPr>
        <w:t xml:space="preserve"> </w:t>
      </w:r>
      <w:r w:rsidRPr="00061844">
        <w:rPr>
          <w:rFonts w:ascii="Century" w:hAnsi="Century" w:cs="Miriam" w:hint="eastAsia"/>
          <w:b/>
          <w:spacing w:val="0"/>
          <w:szCs w:val="24"/>
          <w:rtl/>
        </w:rPr>
        <w:t>זהב</w:t>
      </w:r>
      <w:r>
        <w:rPr>
          <w:rFonts w:hint="cs"/>
          <w:rtl/>
        </w:rPr>
        <w:t>, בעמוד 445).</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jc w:val="both"/>
        <w:rPr>
          <w:rFonts w:ascii="Century" w:hAnsi="Century" w:cs="FrankRuehl"/>
          <w:spacing w:val="10"/>
          <w:szCs w:val="28"/>
          <w:rtl/>
        </w:rPr>
      </w:pPr>
      <w:r>
        <w:rPr>
          <w:rFonts w:ascii="Century" w:hAnsi="Century" w:cs="FrankRuehl" w:hint="cs"/>
          <w:spacing w:val="10"/>
          <w:szCs w:val="28"/>
          <w:rtl/>
        </w:rPr>
        <w:t xml:space="preserve"> </w:t>
      </w:r>
      <w:r>
        <w:rPr>
          <w:rFonts w:ascii="Century" w:hAnsi="Century" w:cs="FrankRuehl"/>
          <w:spacing w:val="10"/>
          <w:szCs w:val="28"/>
          <w:rtl/>
        </w:rPr>
        <w:tab/>
      </w:r>
      <w:r>
        <w:rPr>
          <w:rFonts w:ascii="Century" w:hAnsi="Century" w:cs="FrankRuehl" w:hint="cs"/>
          <w:spacing w:val="10"/>
          <w:szCs w:val="28"/>
          <w:rtl/>
        </w:rPr>
        <w:t xml:space="preserve">גם בפסקי דין מאוחרים יותר הוגדרה הנוסחה האיזונית באופן דומה. ראו למשל: </w:t>
      </w:r>
      <w:r w:rsidRPr="00FE2F4B">
        <w:rPr>
          <w:rFonts w:ascii="Century" w:hAnsi="Century" w:cs="FrankRuehl"/>
          <w:spacing w:val="10"/>
          <w:szCs w:val="28"/>
          <w:rtl/>
        </w:rPr>
        <w:t xml:space="preserve">בג"ץ 6163/92 </w:t>
      </w:r>
      <w:r w:rsidRPr="00061844">
        <w:rPr>
          <w:rFonts w:ascii="Century" w:hAnsi="Century" w:cs="Miriam" w:hint="eastAsia"/>
          <w:b/>
          <w:rtl/>
        </w:rPr>
        <w:t>אייזנברג</w:t>
      </w:r>
      <w:r w:rsidRPr="00061844">
        <w:rPr>
          <w:rFonts w:ascii="Century" w:hAnsi="Century" w:cs="Miriam"/>
          <w:b/>
          <w:rtl/>
        </w:rPr>
        <w:t xml:space="preserve"> </w:t>
      </w:r>
      <w:r w:rsidRPr="00061844">
        <w:rPr>
          <w:rFonts w:ascii="Century" w:hAnsi="Century" w:cs="Miriam" w:hint="eastAsia"/>
          <w:b/>
          <w:rtl/>
        </w:rPr>
        <w:t>נ</w:t>
      </w:r>
      <w:r w:rsidRPr="00061844">
        <w:rPr>
          <w:rFonts w:ascii="Century" w:hAnsi="Century" w:cs="Miriam"/>
          <w:b/>
          <w:rtl/>
        </w:rPr>
        <w:t xml:space="preserve">' </w:t>
      </w:r>
      <w:r w:rsidRPr="00061844">
        <w:rPr>
          <w:rFonts w:ascii="Century" w:hAnsi="Century" w:cs="Miriam" w:hint="eastAsia"/>
          <w:b/>
          <w:rtl/>
        </w:rPr>
        <w:t>שר</w:t>
      </w:r>
      <w:r w:rsidRPr="00061844">
        <w:rPr>
          <w:rFonts w:ascii="Century" w:hAnsi="Century" w:cs="Miriam"/>
          <w:b/>
          <w:rtl/>
        </w:rPr>
        <w:t xml:space="preserve"> </w:t>
      </w:r>
      <w:r w:rsidRPr="00061844">
        <w:rPr>
          <w:rFonts w:ascii="Century" w:hAnsi="Century" w:cs="Miriam" w:hint="eastAsia"/>
          <w:b/>
          <w:rtl/>
        </w:rPr>
        <w:t>הבינוי</w:t>
      </w:r>
      <w:r w:rsidRPr="00061844">
        <w:rPr>
          <w:rFonts w:ascii="Century" w:hAnsi="Century" w:cs="Miriam"/>
          <w:b/>
          <w:rtl/>
        </w:rPr>
        <w:t xml:space="preserve"> </w:t>
      </w:r>
      <w:r w:rsidRPr="00061844">
        <w:rPr>
          <w:rFonts w:ascii="Century" w:hAnsi="Century" w:cs="Miriam" w:hint="eastAsia"/>
          <w:b/>
          <w:rtl/>
        </w:rPr>
        <w:t>והשיכון</w:t>
      </w:r>
      <w:r w:rsidRPr="00FE2F4B">
        <w:rPr>
          <w:rFonts w:ascii="Century" w:hAnsi="Century" w:cs="FrankRuehl"/>
          <w:spacing w:val="10"/>
          <w:szCs w:val="28"/>
          <w:rtl/>
        </w:rPr>
        <w:t xml:space="preserve">, </w:t>
      </w:r>
      <w:r>
        <w:rPr>
          <w:rFonts w:ascii="Century" w:hAnsi="Century" w:cs="FrankRuehl" w:hint="cs"/>
          <w:spacing w:val="10"/>
          <w:szCs w:val="28"/>
          <w:rtl/>
        </w:rPr>
        <w:t xml:space="preserve">פ"ד </w:t>
      </w:r>
      <w:r w:rsidRPr="00FE2F4B">
        <w:rPr>
          <w:rFonts w:ascii="Century" w:hAnsi="Century" w:cs="FrankRuehl"/>
          <w:spacing w:val="10"/>
          <w:szCs w:val="28"/>
          <w:rtl/>
        </w:rPr>
        <w:t>מז(2) 229</w:t>
      </w:r>
      <w:r>
        <w:rPr>
          <w:rFonts w:ascii="Century" w:hAnsi="Century" w:cs="FrankRuehl" w:hint="cs"/>
          <w:spacing w:val="10"/>
          <w:szCs w:val="28"/>
          <w:rtl/>
        </w:rPr>
        <w:t>, 264-263</w:t>
      </w:r>
      <w:r w:rsidRPr="00FE2F4B">
        <w:rPr>
          <w:rFonts w:ascii="Century" w:hAnsi="Century" w:cs="FrankRuehl"/>
          <w:spacing w:val="10"/>
          <w:szCs w:val="28"/>
          <w:rtl/>
        </w:rPr>
        <w:t xml:space="preserve"> (1993)</w:t>
      </w:r>
      <w:r>
        <w:rPr>
          <w:rFonts w:ascii="Century" w:hAnsi="Century" w:cs="FrankRuehl" w:hint="cs"/>
          <w:spacing w:val="10"/>
          <w:szCs w:val="28"/>
          <w:rtl/>
        </w:rPr>
        <w:t xml:space="preserve">; </w:t>
      </w:r>
      <w:r w:rsidRPr="00C3635C">
        <w:rPr>
          <w:rFonts w:ascii="Century" w:hAnsi="Century" w:cs="FrankRuehl"/>
          <w:spacing w:val="10"/>
          <w:szCs w:val="28"/>
          <w:rtl/>
        </w:rPr>
        <w:t xml:space="preserve">בג"ץ 3379/03 </w:t>
      </w:r>
      <w:r w:rsidRPr="00061844">
        <w:rPr>
          <w:rFonts w:ascii="Century" w:hAnsi="Century" w:cs="Miriam" w:hint="eastAsia"/>
          <w:b/>
          <w:rtl/>
        </w:rPr>
        <w:t>מוסטקי</w:t>
      </w:r>
      <w:r w:rsidRPr="00061844">
        <w:rPr>
          <w:rFonts w:ascii="Century" w:hAnsi="Century" w:cs="Miriam"/>
          <w:b/>
          <w:rtl/>
        </w:rPr>
        <w:t xml:space="preserve"> </w:t>
      </w:r>
      <w:r w:rsidRPr="00061844">
        <w:rPr>
          <w:rFonts w:ascii="Century" w:hAnsi="Century" w:cs="Miriam" w:hint="eastAsia"/>
          <w:b/>
          <w:rtl/>
        </w:rPr>
        <w:t>נ</w:t>
      </w:r>
      <w:r w:rsidRPr="00061844">
        <w:rPr>
          <w:rFonts w:ascii="Century" w:hAnsi="Century" w:cs="Miriam"/>
          <w:b/>
          <w:rtl/>
        </w:rPr>
        <w:t xml:space="preserve">' </w:t>
      </w:r>
      <w:r w:rsidRPr="00061844">
        <w:rPr>
          <w:rFonts w:ascii="Century" w:hAnsi="Century" w:cs="Miriam" w:hint="eastAsia"/>
          <w:b/>
          <w:rtl/>
        </w:rPr>
        <w:t>פרקליטות</w:t>
      </w:r>
      <w:r w:rsidRPr="00061844">
        <w:rPr>
          <w:rFonts w:ascii="Century" w:hAnsi="Century" w:cs="Miriam"/>
          <w:b/>
          <w:rtl/>
        </w:rPr>
        <w:t xml:space="preserve"> </w:t>
      </w:r>
      <w:r w:rsidRPr="00061844">
        <w:rPr>
          <w:rFonts w:ascii="Century" w:hAnsi="Century" w:cs="Miriam" w:hint="eastAsia"/>
          <w:b/>
          <w:rtl/>
        </w:rPr>
        <w:t>המדינה</w:t>
      </w:r>
      <w:r w:rsidRPr="00C3635C">
        <w:rPr>
          <w:rFonts w:ascii="Century" w:hAnsi="Century" w:cs="FrankRuehl"/>
          <w:spacing w:val="10"/>
          <w:szCs w:val="28"/>
          <w:rtl/>
        </w:rPr>
        <w:t xml:space="preserve">, </w:t>
      </w:r>
      <w:r>
        <w:rPr>
          <w:rFonts w:ascii="Century" w:hAnsi="Century" w:cs="FrankRuehl" w:hint="cs"/>
          <w:spacing w:val="10"/>
          <w:szCs w:val="28"/>
          <w:rtl/>
        </w:rPr>
        <w:t xml:space="preserve">פ"ד </w:t>
      </w:r>
      <w:r w:rsidRPr="00C3635C">
        <w:rPr>
          <w:rFonts w:ascii="Century" w:hAnsi="Century" w:cs="FrankRuehl"/>
          <w:spacing w:val="10"/>
          <w:szCs w:val="28"/>
          <w:rtl/>
        </w:rPr>
        <w:t>נח(3) 865</w:t>
      </w:r>
      <w:r>
        <w:rPr>
          <w:rFonts w:ascii="Century" w:hAnsi="Century" w:cs="FrankRuehl" w:hint="cs"/>
          <w:spacing w:val="10"/>
          <w:szCs w:val="28"/>
          <w:rtl/>
        </w:rPr>
        <w:t>, 907</w:t>
      </w:r>
      <w:r w:rsidRPr="00C3635C">
        <w:rPr>
          <w:rFonts w:ascii="Century" w:hAnsi="Century" w:cs="FrankRuehl"/>
          <w:spacing w:val="10"/>
          <w:szCs w:val="28"/>
          <w:rtl/>
        </w:rPr>
        <w:t xml:space="preserve"> (2004)</w:t>
      </w:r>
      <w:r>
        <w:rPr>
          <w:rFonts w:ascii="Century" w:hAnsi="Century" w:cs="FrankRuehl" w:hint="cs"/>
          <w:spacing w:val="10"/>
          <w:szCs w:val="28"/>
          <w:rtl/>
        </w:rPr>
        <w:t xml:space="preserve">; </w:t>
      </w:r>
      <w:r w:rsidRPr="00FE2F4B">
        <w:rPr>
          <w:rFonts w:ascii="Century" w:hAnsi="Century" w:cs="FrankRuehl"/>
          <w:spacing w:val="10"/>
          <w:szCs w:val="28"/>
          <w:rtl/>
        </w:rPr>
        <w:t xml:space="preserve">בג"ץ 1027/04 </w:t>
      </w:r>
      <w:r w:rsidRPr="00061844">
        <w:rPr>
          <w:rFonts w:ascii="Century" w:hAnsi="Century" w:cs="Miriam" w:hint="eastAsia"/>
          <w:b/>
          <w:rtl/>
        </w:rPr>
        <w:t>פורום</w:t>
      </w:r>
      <w:r w:rsidRPr="00061844">
        <w:rPr>
          <w:rFonts w:ascii="Century" w:hAnsi="Century" w:cs="Miriam"/>
          <w:b/>
          <w:rtl/>
        </w:rPr>
        <w:t xml:space="preserve"> </w:t>
      </w:r>
      <w:r w:rsidRPr="00061844">
        <w:rPr>
          <w:rFonts w:ascii="Century" w:hAnsi="Century" w:cs="Miriam" w:hint="eastAsia"/>
          <w:b/>
          <w:rtl/>
        </w:rPr>
        <w:t>הערים</w:t>
      </w:r>
      <w:r w:rsidRPr="00061844">
        <w:rPr>
          <w:rFonts w:ascii="Century" w:hAnsi="Century" w:cs="Miriam"/>
          <w:b/>
          <w:rtl/>
        </w:rPr>
        <w:t xml:space="preserve"> </w:t>
      </w:r>
      <w:r w:rsidRPr="00061844">
        <w:rPr>
          <w:rFonts w:ascii="Century" w:hAnsi="Century" w:cs="Miriam" w:hint="eastAsia"/>
          <w:b/>
          <w:rtl/>
        </w:rPr>
        <w:t>העצמאיות</w:t>
      </w:r>
      <w:r w:rsidRPr="00061844">
        <w:rPr>
          <w:rFonts w:ascii="Century" w:hAnsi="Century" w:cs="Miriam"/>
          <w:b/>
          <w:rtl/>
        </w:rPr>
        <w:t xml:space="preserve"> </w:t>
      </w:r>
      <w:r w:rsidRPr="00061844">
        <w:rPr>
          <w:rFonts w:ascii="Century" w:hAnsi="Century" w:cs="Miriam" w:hint="eastAsia"/>
          <w:b/>
          <w:rtl/>
        </w:rPr>
        <w:t>נ</w:t>
      </w:r>
      <w:r w:rsidRPr="00061844">
        <w:rPr>
          <w:rFonts w:ascii="Century" w:hAnsi="Century" w:cs="Miriam"/>
          <w:b/>
          <w:rtl/>
        </w:rPr>
        <w:t xml:space="preserve">' </w:t>
      </w:r>
      <w:r w:rsidRPr="00061844">
        <w:rPr>
          <w:rFonts w:ascii="Century" w:hAnsi="Century" w:cs="Miriam" w:hint="eastAsia"/>
          <w:b/>
          <w:rtl/>
        </w:rPr>
        <w:t>מועצת</w:t>
      </w:r>
      <w:r w:rsidRPr="00061844">
        <w:rPr>
          <w:rFonts w:ascii="Century" w:hAnsi="Century" w:cs="Miriam"/>
          <w:b/>
          <w:rtl/>
        </w:rPr>
        <w:t xml:space="preserve"> </w:t>
      </w:r>
      <w:r w:rsidRPr="00061844">
        <w:rPr>
          <w:rFonts w:ascii="Century" w:hAnsi="Century" w:cs="Miriam" w:hint="eastAsia"/>
          <w:b/>
          <w:rtl/>
        </w:rPr>
        <w:t>מקרקעי</w:t>
      </w:r>
      <w:r w:rsidRPr="00061844">
        <w:rPr>
          <w:rFonts w:ascii="Century" w:hAnsi="Century" w:cs="Miriam"/>
          <w:b/>
          <w:rtl/>
        </w:rPr>
        <w:t xml:space="preserve"> </w:t>
      </w:r>
      <w:r w:rsidRPr="00061844">
        <w:rPr>
          <w:rFonts w:ascii="Century" w:hAnsi="Century" w:cs="Miriam" w:hint="eastAsia"/>
          <w:b/>
          <w:rtl/>
        </w:rPr>
        <w:t>ישראל</w:t>
      </w:r>
      <w:r>
        <w:rPr>
          <w:rFonts w:ascii="Century" w:hAnsi="Century" w:cs="FrankRuehl" w:hint="cs"/>
          <w:spacing w:val="10"/>
          <w:szCs w:val="28"/>
          <w:rtl/>
        </w:rPr>
        <w:t>, פסקה 42</w:t>
      </w:r>
      <w:r w:rsidRPr="00FE2F4B">
        <w:rPr>
          <w:rFonts w:ascii="Century" w:hAnsi="Century" w:cs="FrankRuehl"/>
          <w:spacing w:val="10"/>
          <w:szCs w:val="28"/>
          <w:rtl/>
        </w:rPr>
        <w:t xml:space="preserve"> (</w:t>
      </w:r>
      <w:r>
        <w:rPr>
          <w:rFonts w:ascii="Century" w:hAnsi="Century" w:cs="FrankRuehl" w:hint="cs"/>
          <w:spacing w:val="10"/>
          <w:szCs w:val="28"/>
          <w:rtl/>
        </w:rPr>
        <w:t>9</w:t>
      </w:r>
      <w:r w:rsidRPr="00FE2F4B">
        <w:rPr>
          <w:rFonts w:ascii="Century" w:hAnsi="Century" w:cs="FrankRuehl"/>
          <w:spacing w:val="10"/>
          <w:szCs w:val="28"/>
          <w:rtl/>
        </w:rPr>
        <w:t>.</w:t>
      </w:r>
      <w:r>
        <w:rPr>
          <w:rFonts w:ascii="Century" w:hAnsi="Century" w:cs="FrankRuehl" w:hint="cs"/>
          <w:spacing w:val="10"/>
          <w:szCs w:val="28"/>
          <w:rtl/>
        </w:rPr>
        <w:t>6</w:t>
      </w:r>
      <w:r w:rsidRPr="00FE2F4B">
        <w:rPr>
          <w:rFonts w:ascii="Century" w:hAnsi="Century" w:cs="FrankRuehl"/>
          <w:spacing w:val="10"/>
          <w:szCs w:val="28"/>
          <w:rtl/>
        </w:rPr>
        <w:t>.2011)</w:t>
      </w:r>
      <w:r>
        <w:rPr>
          <w:rFonts w:ascii="Century" w:hAnsi="Century" w:cs="FrankRuehl" w:hint="cs"/>
          <w:spacing w:val="10"/>
          <w:szCs w:val="28"/>
          <w:rtl/>
        </w:rPr>
        <w:t xml:space="preserve">; </w:t>
      </w:r>
      <w:r w:rsidRPr="00C3635C">
        <w:rPr>
          <w:rFonts w:ascii="Century" w:hAnsi="Century" w:cs="FrankRuehl"/>
          <w:spacing w:val="10"/>
          <w:szCs w:val="28"/>
          <w:rtl/>
        </w:rPr>
        <w:t xml:space="preserve">בג"ץ 3823/22 </w:t>
      </w:r>
      <w:r w:rsidRPr="00061844">
        <w:rPr>
          <w:rFonts w:ascii="Century" w:hAnsi="Century" w:cs="Miriam" w:hint="eastAsia"/>
          <w:b/>
          <w:rtl/>
        </w:rPr>
        <w:t>נתניהו</w:t>
      </w:r>
      <w:r w:rsidRPr="00061844">
        <w:rPr>
          <w:rFonts w:ascii="Century" w:hAnsi="Century" w:cs="Miriam"/>
          <w:b/>
          <w:rtl/>
        </w:rPr>
        <w:t xml:space="preserve"> </w:t>
      </w:r>
      <w:r w:rsidRPr="00061844">
        <w:rPr>
          <w:rFonts w:ascii="Century" w:hAnsi="Century" w:cs="Miriam" w:hint="eastAsia"/>
          <w:b/>
          <w:rtl/>
        </w:rPr>
        <w:t>נ</w:t>
      </w:r>
      <w:r w:rsidRPr="00061844">
        <w:rPr>
          <w:rFonts w:ascii="Century" w:hAnsi="Century" w:cs="Miriam"/>
          <w:b/>
          <w:rtl/>
        </w:rPr>
        <w:t xml:space="preserve">' </w:t>
      </w:r>
      <w:r w:rsidRPr="00061844">
        <w:rPr>
          <w:rFonts w:ascii="Century" w:hAnsi="Century" w:cs="Miriam" w:hint="eastAsia"/>
          <w:b/>
          <w:rtl/>
        </w:rPr>
        <w:t>היועצת</w:t>
      </w:r>
      <w:r w:rsidRPr="00061844">
        <w:rPr>
          <w:rFonts w:ascii="Century" w:hAnsi="Century" w:cs="Miriam"/>
          <w:b/>
          <w:rtl/>
        </w:rPr>
        <w:t xml:space="preserve"> </w:t>
      </w:r>
      <w:r w:rsidRPr="00061844">
        <w:rPr>
          <w:rFonts w:ascii="Century" w:hAnsi="Century" w:cs="Miriam" w:hint="eastAsia"/>
          <w:b/>
          <w:rtl/>
        </w:rPr>
        <w:t>המשפטית</w:t>
      </w:r>
      <w:r w:rsidRPr="00061844">
        <w:rPr>
          <w:rFonts w:ascii="Century" w:hAnsi="Century" w:cs="Miriam"/>
          <w:b/>
          <w:rtl/>
        </w:rPr>
        <w:t xml:space="preserve"> </w:t>
      </w:r>
      <w:r w:rsidRPr="00061844">
        <w:rPr>
          <w:rFonts w:ascii="Century" w:hAnsi="Century" w:cs="Miriam" w:hint="eastAsia"/>
          <w:b/>
          <w:rtl/>
        </w:rPr>
        <w:t>לממשלה</w:t>
      </w:r>
      <w:r>
        <w:rPr>
          <w:rFonts w:ascii="Century" w:hAnsi="Century" w:cs="FrankRuehl" w:hint="cs"/>
          <w:spacing w:val="10"/>
          <w:szCs w:val="28"/>
          <w:rtl/>
        </w:rPr>
        <w:t xml:space="preserve">, פסקה 4 לחוות דעתה של השופט </w:t>
      </w:r>
      <w:r w:rsidRPr="00061844">
        <w:rPr>
          <w:rFonts w:ascii="Century" w:hAnsi="Century" w:cs="Miriam" w:hint="eastAsia"/>
          <w:b/>
          <w:rtl/>
        </w:rPr>
        <w:t>ד</w:t>
      </w:r>
      <w:r w:rsidRPr="00061844">
        <w:rPr>
          <w:rFonts w:ascii="Century" w:hAnsi="Century" w:cs="Miriam"/>
          <w:b/>
          <w:rtl/>
        </w:rPr>
        <w:t xml:space="preserve">' </w:t>
      </w:r>
      <w:r w:rsidRPr="00061844">
        <w:rPr>
          <w:rFonts w:ascii="Century" w:hAnsi="Century" w:cs="Miriam" w:hint="eastAsia"/>
          <w:b/>
          <w:rtl/>
        </w:rPr>
        <w:t>ברק</w:t>
      </w:r>
      <w:r w:rsidRPr="00061844">
        <w:rPr>
          <w:rFonts w:ascii="Century" w:hAnsi="Century" w:cs="Miriam"/>
          <w:b/>
          <w:rtl/>
        </w:rPr>
        <w:t>-</w:t>
      </w:r>
      <w:r w:rsidRPr="00061844">
        <w:rPr>
          <w:rFonts w:ascii="Century" w:hAnsi="Century" w:cs="Miriam" w:hint="eastAsia"/>
          <w:b/>
          <w:rtl/>
        </w:rPr>
        <w:t>ארז</w:t>
      </w:r>
      <w:r w:rsidRPr="00C3635C">
        <w:rPr>
          <w:rFonts w:ascii="Century" w:hAnsi="Century" w:cs="FrankRuehl"/>
          <w:spacing w:val="10"/>
          <w:szCs w:val="28"/>
          <w:rtl/>
        </w:rPr>
        <w:t xml:space="preserve"> (17.</w:t>
      </w:r>
      <w:r>
        <w:rPr>
          <w:rFonts w:ascii="Century" w:hAnsi="Century" w:cs="FrankRuehl" w:hint="cs"/>
          <w:spacing w:val="10"/>
          <w:szCs w:val="28"/>
          <w:rtl/>
        </w:rPr>
        <w:t>7</w:t>
      </w:r>
      <w:r w:rsidRPr="00C3635C">
        <w:rPr>
          <w:rFonts w:ascii="Century" w:hAnsi="Century" w:cs="FrankRuehl"/>
          <w:spacing w:val="10"/>
          <w:szCs w:val="28"/>
          <w:rtl/>
        </w:rPr>
        <w:t>.2023)</w:t>
      </w:r>
      <w:r>
        <w:rPr>
          <w:rFonts w:ascii="Century" w:hAnsi="Century" w:cs="FrankRuehl" w:hint="cs"/>
          <w:spacing w:val="10"/>
          <w:szCs w:val="28"/>
          <w:rtl/>
        </w:rPr>
        <w:t>.</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jc w:val="both"/>
        <w:rPr>
          <w:rFonts w:ascii="Century" w:hAnsi="Century" w:cs="FrankRuehl"/>
          <w:spacing w:val="10"/>
          <w:szCs w:val="28"/>
          <w:rtl/>
        </w:rPr>
      </w:pPr>
      <w:r>
        <w:rPr>
          <w:rFonts w:ascii="Century" w:hAnsi="Century" w:cs="FrankRuehl"/>
          <w:spacing w:val="10"/>
          <w:szCs w:val="28"/>
          <w:rtl/>
        </w:rPr>
        <w:tab/>
      </w:r>
      <w:r>
        <w:rPr>
          <w:rFonts w:ascii="Century" w:hAnsi="Century" w:cs="FrankRuehl" w:hint="cs"/>
          <w:spacing w:val="10"/>
          <w:szCs w:val="28"/>
          <w:rtl/>
        </w:rPr>
        <w:t xml:space="preserve">יצוין כי לצד נוסחה זו, הדגיש השופט </w:t>
      </w:r>
      <w:r w:rsidRPr="00061844">
        <w:rPr>
          <w:rFonts w:ascii="Century" w:hAnsi="Century" w:cs="Miriam" w:hint="eastAsia"/>
          <w:b/>
          <w:rtl/>
        </w:rPr>
        <w:t>ברק</w:t>
      </w:r>
      <w:r>
        <w:rPr>
          <w:rFonts w:ascii="Century" w:hAnsi="Century" w:cs="FrankRuehl" w:hint="cs"/>
          <w:spacing w:val="10"/>
          <w:szCs w:val="28"/>
          <w:rtl/>
        </w:rPr>
        <w:t xml:space="preserve"> בפסק דינו כי מכלול השיקולים הרלוונטיים ייקבע על ידי בית המשפט בהתאם לחוק המסמיך את הרשות המינהלית לביצוע הפעולה. לצורך כך, על בית המשפט לפרש את החוק, כאשר "</w:t>
      </w:r>
      <w:r w:rsidRPr="00D170F5">
        <w:rPr>
          <w:rFonts w:ascii="Century" w:hAnsi="Century" w:cs="Miriam" w:hint="eastAsia"/>
          <w:b/>
          <w:rtl/>
        </w:rPr>
        <w:t>על</w:t>
      </w:r>
      <w:r w:rsidRPr="00D170F5">
        <w:rPr>
          <w:rFonts w:ascii="Century" w:hAnsi="Century" w:cs="Miriam"/>
          <w:b/>
          <w:rtl/>
        </w:rPr>
        <w:t>-</w:t>
      </w:r>
      <w:r w:rsidRPr="00D170F5">
        <w:rPr>
          <w:rFonts w:ascii="Century" w:hAnsi="Century" w:cs="Miriam" w:hint="eastAsia"/>
          <w:b/>
          <w:rtl/>
        </w:rPr>
        <w:t>פי</w:t>
      </w:r>
      <w:r w:rsidRPr="00D170F5">
        <w:rPr>
          <w:rFonts w:ascii="Century" w:hAnsi="Century" w:cs="Miriam"/>
          <w:b/>
          <w:rtl/>
        </w:rPr>
        <w:t xml:space="preserve"> </w:t>
      </w:r>
      <w:r w:rsidRPr="00D170F5">
        <w:rPr>
          <w:rFonts w:ascii="Century" w:hAnsi="Century" w:cs="Miriam" w:hint="eastAsia"/>
          <w:b/>
          <w:rtl/>
        </w:rPr>
        <w:t>פירושו</w:t>
      </w:r>
      <w:r w:rsidRPr="00D170F5">
        <w:rPr>
          <w:rFonts w:ascii="Century" w:hAnsi="Century" w:cs="Miriam"/>
          <w:b/>
          <w:rtl/>
        </w:rPr>
        <w:t xml:space="preserve"> </w:t>
      </w:r>
      <w:r w:rsidRPr="00D170F5">
        <w:rPr>
          <w:rFonts w:ascii="Century" w:hAnsi="Century" w:cs="Miriam" w:hint="eastAsia"/>
          <w:b/>
          <w:rtl/>
        </w:rPr>
        <w:t>של</w:t>
      </w:r>
      <w:r w:rsidRPr="00D170F5">
        <w:rPr>
          <w:rFonts w:ascii="Century" w:hAnsi="Century" w:cs="Miriam"/>
          <w:b/>
          <w:rtl/>
        </w:rPr>
        <w:t xml:space="preserve"> </w:t>
      </w:r>
      <w:r w:rsidRPr="00D170F5">
        <w:rPr>
          <w:rFonts w:ascii="Century" w:hAnsi="Century" w:cs="Miriam" w:hint="eastAsia"/>
          <w:b/>
          <w:rtl/>
        </w:rPr>
        <w:t>החוק</w:t>
      </w:r>
      <w:r w:rsidRPr="00D170F5">
        <w:rPr>
          <w:rFonts w:ascii="Century" w:hAnsi="Century" w:cs="Miriam"/>
          <w:b/>
          <w:rtl/>
        </w:rPr>
        <w:t xml:space="preserve">, </w:t>
      </w:r>
      <w:r w:rsidRPr="00D170F5">
        <w:rPr>
          <w:rFonts w:ascii="Century" w:hAnsi="Century" w:cs="Miriam" w:hint="eastAsia"/>
          <w:b/>
          <w:rtl/>
        </w:rPr>
        <w:t>עשוי</w:t>
      </w:r>
      <w:r w:rsidRPr="00D170F5">
        <w:rPr>
          <w:rFonts w:ascii="Century" w:hAnsi="Century" w:cs="Miriam"/>
          <w:b/>
          <w:rtl/>
        </w:rPr>
        <w:t xml:space="preserve"> </w:t>
      </w:r>
      <w:r w:rsidRPr="00D170F5">
        <w:rPr>
          <w:rFonts w:ascii="Century" w:hAnsi="Century" w:cs="Miriam" w:hint="eastAsia"/>
          <w:b/>
          <w:rtl/>
        </w:rPr>
        <w:t>להיווצר</w:t>
      </w:r>
      <w:r w:rsidRPr="00D170F5">
        <w:rPr>
          <w:rFonts w:ascii="Century" w:hAnsi="Century" w:cs="Miriam"/>
          <w:b/>
          <w:rtl/>
        </w:rPr>
        <w:t xml:space="preserve"> '</w:t>
      </w:r>
      <w:r w:rsidRPr="00D170F5">
        <w:rPr>
          <w:rFonts w:ascii="Century" w:hAnsi="Century" w:cs="Miriam" w:hint="eastAsia"/>
          <w:b/>
          <w:rtl/>
        </w:rPr>
        <w:t>מתחם</w:t>
      </w:r>
      <w:r w:rsidRPr="00D170F5">
        <w:rPr>
          <w:rFonts w:ascii="Century" w:hAnsi="Century" w:cs="Miriam"/>
          <w:b/>
          <w:rtl/>
        </w:rPr>
        <w:t xml:space="preserve"> </w:t>
      </w:r>
      <w:r w:rsidRPr="00D170F5">
        <w:rPr>
          <w:rFonts w:ascii="Century" w:hAnsi="Century" w:cs="Miriam" w:hint="eastAsia"/>
          <w:b/>
          <w:rtl/>
        </w:rPr>
        <w:t>של</w:t>
      </w:r>
      <w:r w:rsidRPr="00D170F5">
        <w:rPr>
          <w:rFonts w:ascii="Century" w:hAnsi="Century" w:cs="Miriam"/>
          <w:b/>
          <w:rtl/>
        </w:rPr>
        <w:t xml:space="preserve"> </w:t>
      </w:r>
      <w:r w:rsidRPr="00D170F5">
        <w:rPr>
          <w:rFonts w:ascii="Century" w:hAnsi="Century" w:cs="Miriam" w:hint="eastAsia"/>
          <w:b/>
          <w:rtl/>
        </w:rPr>
        <w:t>סבירות</w:t>
      </w:r>
      <w:r w:rsidRPr="00D170F5">
        <w:rPr>
          <w:rFonts w:ascii="Century" w:hAnsi="Century" w:cs="Miriam"/>
          <w:b/>
          <w:rtl/>
        </w:rPr>
        <w:t xml:space="preserve">' </w:t>
      </w:r>
      <w:r w:rsidRPr="00D170F5">
        <w:rPr>
          <w:rFonts w:ascii="Century" w:hAnsi="Century" w:cs="Miriam" w:hint="eastAsia"/>
          <w:b/>
          <w:rtl/>
        </w:rPr>
        <w:t>שבמסגרתו</w:t>
      </w:r>
      <w:r w:rsidRPr="00D170F5">
        <w:rPr>
          <w:rFonts w:ascii="Century" w:hAnsi="Century" w:cs="Miriam"/>
          <w:b/>
          <w:rtl/>
        </w:rPr>
        <w:t xml:space="preserve"> </w:t>
      </w:r>
      <w:r w:rsidRPr="00D170F5">
        <w:rPr>
          <w:rFonts w:ascii="Century" w:hAnsi="Century" w:cs="Miriam" w:hint="eastAsia"/>
          <w:b/>
          <w:rtl/>
        </w:rPr>
        <w:t>כל</w:t>
      </w:r>
      <w:r w:rsidRPr="00D170F5">
        <w:rPr>
          <w:rFonts w:ascii="Century" w:hAnsi="Century" w:cs="Miriam"/>
          <w:b/>
          <w:rtl/>
        </w:rPr>
        <w:t xml:space="preserve"> </w:t>
      </w:r>
      <w:r w:rsidRPr="00D170F5">
        <w:rPr>
          <w:rFonts w:ascii="Century" w:hAnsi="Century" w:cs="Miriam" w:hint="eastAsia"/>
          <w:b/>
          <w:rtl/>
        </w:rPr>
        <w:t>איזון</w:t>
      </w:r>
      <w:r w:rsidRPr="00D170F5">
        <w:rPr>
          <w:rFonts w:ascii="Century" w:hAnsi="Century" w:cs="Miriam"/>
          <w:b/>
          <w:rtl/>
        </w:rPr>
        <w:t xml:space="preserve"> </w:t>
      </w:r>
      <w:r w:rsidRPr="00D170F5">
        <w:rPr>
          <w:rFonts w:ascii="Century" w:hAnsi="Century" w:cs="Miriam" w:hint="eastAsia"/>
          <w:b/>
          <w:rtl/>
        </w:rPr>
        <w:t>אשר</w:t>
      </w:r>
      <w:r w:rsidRPr="00D170F5">
        <w:rPr>
          <w:rFonts w:ascii="Century" w:hAnsi="Century" w:cs="Miriam"/>
          <w:b/>
          <w:rtl/>
        </w:rPr>
        <w:t xml:space="preserve"> </w:t>
      </w:r>
      <w:r w:rsidRPr="00D170F5">
        <w:rPr>
          <w:rFonts w:ascii="Century" w:hAnsi="Century" w:cs="Miriam" w:hint="eastAsia"/>
          <w:b/>
          <w:rtl/>
        </w:rPr>
        <w:t>ייעשה</w:t>
      </w:r>
      <w:r w:rsidRPr="00D170F5">
        <w:rPr>
          <w:rFonts w:ascii="Century" w:hAnsi="Century" w:cs="Miriam"/>
          <w:b/>
          <w:rtl/>
        </w:rPr>
        <w:t xml:space="preserve"> </w:t>
      </w:r>
      <w:r w:rsidRPr="00D170F5">
        <w:rPr>
          <w:rFonts w:ascii="Century" w:hAnsi="Century" w:cs="Miriam" w:hint="eastAsia"/>
          <w:b/>
          <w:rtl/>
        </w:rPr>
        <w:t>על</w:t>
      </w:r>
      <w:r w:rsidRPr="00D170F5">
        <w:rPr>
          <w:rFonts w:ascii="Century" w:hAnsi="Century" w:cs="Miriam"/>
          <w:b/>
          <w:rtl/>
        </w:rPr>
        <w:t>-</w:t>
      </w:r>
      <w:r w:rsidRPr="00D170F5">
        <w:rPr>
          <w:rFonts w:ascii="Century" w:hAnsi="Century" w:cs="Miriam" w:hint="eastAsia"/>
          <w:b/>
          <w:rtl/>
        </w:rPr>
        <w:t>ידי</w:t>
      </w:r>
      <w:r w:rsidRPr="00D170F5">
        <w:rPr>
          <w:rFonts w:ascii="Century" w:hAnsi="Century" w:cs="Miriam"/>
          <w:b/>
          <w:rtl/>
        </w:rPr>
        <w:t xml:space="preserve"> </w:t>
      </w:r>
      <w:r w:rsidRPr="00D170F5">
        <w:rPr>
          <w:rFonts w:ascii="Century" w:hAnsi="Century" w:cs="Miriam" w:hint="eastAsia"/>
          <w:b/>
          <w:rtl/>
        </w:rPr>
        <w:t>הרשות</w:t>
      </w:r>
      <w:r w:rsidRPr="00D170F5">
        <w:rPr>
          <w:rFonts w:ascii="Century" w:hAnsi="Century" w:cs="Miriam"/>
          <w:b/>
          <w:rtl/>
        </w:rPr>
        <w:t xml:space="preserve"> </w:t>
      </w:r>
      <w:r w:rsidRPr="00D170F5">
        <w:rPr>
          <w:rFonts w:ascii="Century" w:hAnsi="Century" w:cs="Miriam" w:hint="eastAsia"/>
          <w:b/>
          <w:rtl/>
        </w:rPr>
        <w:lastRenderedPageBreak/>
        <w:t>המינהלית</w:t>
      </w:r>
      <w:r w:rsidRPr="00D170F5">
        <w:rPr>
          <w:rFonts w:ascii="Century" w:hAnsi="Century" w:cs="Miriam"/>
          <w:b/>
          <w:rtl/>
        </w:rPr>
        <w:t xml:space="preserve"> </w:t>
      </w:r>
      <w:r w:rsidRPr="00D170F5">
        <w:rPr>
          <w:rFonts w:ascii="Century" w:hAnsi="Century" w:cs="Miriam" w:hint="eastAsia"/>
          <w:b/>
          <w:rtl/>
        </w:rPr>
        <w:t>יהא</w:t>
      </w:r>
      <w:r w:rsidRPr="00D170F5">
        <w:rPr>
          <w:rFonts w:ascii="Century" w:hAnsi="Century" w:cs="Miriam"/>
          <w:b/>
          <w:rtl/>
        </w:rPr>
        <w:t xml:space="preserve"> </w:t>
      </w:r>
      <w:r w:rsidRPr="00D170F5">
        <w:rPr>
          <w:rFonts w:ascii="Century" w:hAnsi="Century" w:cs="Miriam" w:hint="eastAsia"/>
          <w:b/>
          <w:rtl/>
        </w:rPr>
        <w:t>ראוי</w:t>
      </w:r>
      <w:r w:rsidRPr="00D170F5">
        <w:rPr>
          <w:rFonts w:ascii="Century" w:hAnsi="Century" w:cs="Miriam"/>
          <w:b/>
          <w:rtl/>
        </w:rPr>
        <w:t xml:space="preserve">, </w:t>
      </w:r>
      <w:r w:rsidRPr="00D170F5">
        <w:rPr>
          <w:rFonts w:ascii="Century" w:hAnsi="Century" w:cs="Miriam" w:hint="eastAsia"/>
          <w:b/>
          <w:rtl/>
        </w:rPr>
        <w:t>שכן</w:t>
      </w:r>
      <w:r w:rsidRPr="00D170F5">
        <w:rPr>
          <w:rFonts w:ascii="Century" w:hAnsi="Century" w:cs="Miriam"/>
          <w:b/>
          <w:rtl/>
        </w:rPr>
        <w:t xml:space="preserve"> </w:t>
      </w:r>
      <w:r w:rsidRPr="00D170F5">
        <w:rPr>
          <w:rFonts w:ascii="Century" w:hAnsi="Century" w:cs="Miriam" w:hint="eastAsia"/>
          <w:b/>
          <w:rtl/>
        </w:rPr>
        <w:t>כל</w:t>
      </w:r>
      <w:r w:rsidRPr="00D170F5">
        <w:rPr>
          <w:rFonts w:ascii="Century" w:hAnsi="Century" w:cs="Miriam"/>
          <w:b/>
          <w:rtl/>
        </w:rPr>
        <w:t xml:space="preserve"> </w:t>
      </w:r>
      <w:r w:rsidRPr="00D170F5">
        <w:rPr>
          <w:rFonts w:ascii="Century" w:hAnsi="Century" w:cs="Miriam" w:hint="eastAsia"/>
          <w:b/>
          <w:rtl/>
        </w:rPr>
        <w:t>יחס</w:t>
      </w:r>
      <w:r w:rsidRPr="00D170F5">
        <w:rPr>
          <w:rFonts w:ascii="Century" w:hAnsi="Century" w:cs="Miriam"/>
          <w:b/>
          <w:rtl/>
        </w:rPr>
        <w:t xml:space="preserve"> </w:t>
      </w:r>
      <w:r w:rsidRPr="00D170F5">
        <w:rPr>
          <w:rFonts w:ascii="Century" w:hAnsi="Century" w:cs="Miriam" w:hint="eastAsia"/>
          <w:b/>
          <w:rtl/>
        </w:rPr>
        <w:t>בין</w:t>
      </w:r>
      <w:r w:rsidRPr="00D170F5">
        <w:rPr>
          <w:rFonts w:ascii="Century" w:hAnsi="Century" w:cs="Miriam"/>
          <w:b/>
          <w:rtl/>
        </w:rPr>
        <w:t xml:space="preserve"> </w:t>
      </w:r>
      <w:r w:rsidRPr="00D170F5">
        <w:rPr>
          <w:rFonts w:ascii="Century" w:hAnsi="Century" w:cs="Miriam" w:hint="eastAsia"/>
          <w:b/>
          <w:rtl/>
        </w:rPr>
        <w:t>האינטרסים</w:t>
      </w:r>
      <w:r w:rsidRPr="00D170F5">
        <w:rPr>
          <w:rFonts w:ascii="Century" w:hAnsi="Century" w:cs="Miriam"/>
          <w:b/>
          <w:rtl/>
        </w:rPr>
        <w:t xml:space="preserve"> </w:t>
      </w:r>
      <w:r w:rsidRPr="00D170F5">
        <w:rPr>
          <w:rFonts w:ascii="Century" w:hAnsi="Century" w:cs="Miriam" w:hint="eastAsia"/>
          <w:b/>
          <w:rtl/>
        </w:rPr>
        <w:t>השונים</w:t>
      </w:r>
      <w:r w:rsidRPr="00D170F5">
        <w:rPr>
          <w:rFonts w:ascii="Century" w:hAnsi="Century" w:cs="Miriam"/>
          <w:b/>
          <w:rtl/>
        </w:rPr>
        <w:t xml:space="preserve"> </w:t>
      </w:r>
      <w:r w:rsidRPr="00D170F5">
        <w:rPr>
          <w:rFonts w:ascii="Century" w:hAnsi="Century" w:cs="Miriam" w:hint="eastAsia"/>
          <w:b/>
          <w:rtl/>
        </w:rPr>
        <w:t>נופל</w:t>
      </w:r>
      <w:r w:rsidRPr="00D170F5">
        <w:rPr>
          <w:rFonts w:ascii="Century" w:hAnsi="Century" w:cs="Miriam"/>
          <w:b/>
          <w:rtl/>
        </w:rPr>
        <w:t xml:space="preserve"> </w:t>
      </w:r>
      <w:r w:rsidRPr="00D170F5">
        <w:rPr>
          <w:rFonts w:ascii="Century" w:hAnsi="Century" w:cs="Miriam" w:hint="eastAsia"/>
          <w:b/>
          <w:rtl/>
        </w:rPr>
        <w:t>למסגרת</w:t>
      </w:r>
      <w:r w:rsidRPr="00D170F5">
        <w:rPr>
          <w:rFonts w:ascii="Century" w:hAnsi="Century" w:cs="Miriam"/>
          <w:b/>
          <w:rtl/>
        </w:rPr>
        <w:t xml:space="preserve"> </w:t>
      </w:r>
      <w:r w:rsidRPr="00D170F5">
        <w:rPr>
          <w:rFonts w:ascii="Century" w:hAnsi="Century" w:cs="Miriam" w:hint="eastAsia"/>
          <w:b/>
          <w:rtl/>
        </w:rPr>
        <w:t>החקיקתית</w:t>
      </w:r>
      <w:r w:rsidRPr="00D170F5">
        <w:rPr>
          <w:rFonts w:ascii="Century" w:hAnsi="Century" w:cs="Miriam"/>
          <w:b/>
          <w:rtl/>
        </w:rPr>
        <w:t xml:space="preserve"> </w:t>
      </w:r>
      <w:r w:rsidRPr="00D170F5">
        <w:rPr>
          <w:rFonts w:ascii="Century" w:hAnsi="Century" w:cs="Miriam" w:hint="eastAsia"/>
          <w:b/>
          <w:rtl/>
        </w:rPr>
        <w:t>הקבועה</w:t>
      </w:r>
      <w:r w:rsidRPr="00D170F5">
        <w:rPr>
          <w:rFonts w:ascii="Century" w:hAnsi="Century" w:cs="Miriam"/>
          <w:b/>
          <w:rtl/>
        </w:rPr>
        <w:t xml:space="preserve"> </w:t>
      </w:r>
      <w:r w:rsidRPr="00D170F5">
        <w:rPr>
          <w:rFonts w:ascii="Century" w:hAnsi="Century" w:cs="Miriam" w:hint="eastAsia"/>
          <w:b/>
          <w:rtl/>
        </w:rPr>
        <w:t>על</w:t>
      </w:r>
      <w:r w:rsidRPr="00D170F5">
        <w:rPr>
          <w:rFonts w:ascii="Century" w:hAnsi="Century" w:cs="Miriam"/>
          <w:b/>
          <w:rtl/>
        </w:rPr>
        <w:t xml:space="preserve"> </w:t>
      </w:r>
      <w:r w:rsidRPr="00D170F5">
        <w:rPr>
          <w:rFonts w:ascii="Century" w:hAnsi="Century" w:cs="Miriam" w:hint="eastAsia"/>
          <w:b/>
          <w:rtl/>
        </w:rPr>
        <w:t>ידי</w:t>
      </w:r>
      <w:r w:rsidRPr="00D170F5">
        <w:rPr>
          <w:rFonts w:ascii="Century" w:hAnsi="Century" w:cs="Miriam"/>
          <w:b/>
          <w:rtl/>
        </w:rPr>
        <w:t xml:space="preserve"> </w:t>
      </w:r>
      <w:r w:rsidRPr="00D170F5">
        <w:rPr>
          <w:rFonts w:ascii="Century" w:hAnsi="Century" w:cs="Miriam" w:hint="eastAsia"/>
          <w:b/>
          <w:rtl/>
        </w:rPr>
        <w:t>המחוקק</w:t>
      </w:r>
      <w:r w:rsidRPr="00D170F5">
        <w:rPr>
          <w:rFonts w:ascii="Century" w:hAnsi="Century" w:cs="Miriam"/>
          <w:b/>
          <w:rtl/>
        </w:rPr>
        <w:t xml:space="preserve">. </w:t>
      </w:r>
      <w:r w:rsidRPr="00D170F5">
        <w:rPr>
          <w:rFonts w:ascii="Century" w:hAnsi="Century" w:cs="Miriam" w:hint="eastAsia"/>
          <w:b/>
          <w:rtl/>
        </w:rPr>
        <w:t>איזון</w:t>
      </w:r>
      <w:r w:rsidRPr="00D170F5">
        <w:rPr>
          <w:rFonts w:ascii="Century" w:hAnsi="Century" w:cs="Miriam"/>
          <w:b/>
          <w:rtl/>
        </w:rPr>
        <w:t xml:space="preserve"> </w:t>
      </w:r>
      <w:r w:rsidRPr="00D170F5">
        <w:rPr>
          <w:rFonts w:ascii="Century" w:hAnsi="Century" w:cs="Miriam" w:hint="eastAsia"/>
          <w:b/>
          <w:rtl/>
        </w:rPr>
        <w:t>שנעשה</w:t>
      </w:r>
      <w:r w:rsidRPr="00D170F5">
        <w:rPr>
          <w:rFonts w:ascii="Century" w:hAnsi="Century" w:cs="Miriam"/>
          <w:b/>
          <w:rtl/>
        </w:rPr>
        <w:t xml:space="preserve"> </w:t>
      </w:r>
      <w:r w:rsidRPr="00D170F5">
        <w:rPr>
          <w:rFonts w:ascii="Century" w:hAnsi="Century" w:cs="Miriam" w:hint="eastAsia"/>
          <w:b/>
          <w:rtl/>
        </w:rPr>
        <w:t>מחוץ</w:t>
      </w:r>
      <w:r w:rsidRPr="00D170F5">
        <w:rPr>
          <w:rFonts w:ascii="Century" w:hAnsi="Century" w:cs="Miriam"/>
          <w:b/>
          <w:rtl/>
        </w:rPr>
        <w:t xml:space="preserve"> </w:t>
      </w:r>
      <w:r w:rsidRPr="00D170F5">
        <w:rPr>
          <w:rFonts w:ascii="Century" w:hAnsi="Century" w:cs="Miriam" w:hint="eastAsia"/>
          <w:b/>
          <w:rtl/>
        </w:rPr>
        <w:t>לתחום</w:t>
      </w:r>
      <w:r w:rsidRPr="00D170F5">
        <w:rPr>
          <w:rFonts w:ascii="Century" w:hAnsi="Century" w:cs="Miriam"/>
          <w:b/>
          <w:rtl/>
        </w:rPr>
        <w:t xml:space="preserve"> </w:t>
      </w:r>
      <w:r w:rsidRPr="00D170F5">
        <w:rPr>
          <w:rFonts w:ascii="Century" w:hAnsi="Century" w:cs="Miriam" w:hint="eastAsia"/>
          <w:b/>
          <w:rtl/>
        </w:rPr>
        <w:t>זה</w:t>
      </w:r>
      <w:r w:rsidRPr="00D170F5">
        <w:rPr>
          <w:rFonts w:ascii="Century" w:hAnsi="Century" w:cs="Miriam"/>
          <w:b/>
          <w:rtl/>
        </w:rPr>
        <w:t xml:space="preserve"> </w:t>
      </w:r>
      <w:r w:rsidRPr="00D170F5">
        <w:rPr>
          <w:rFonts w:ascii="Century" w:hAnsi="Century" w:cs="Miriam" w:hint="eastAsia"/>
          <w:b/>
          <w:rtl/>
        </w:rPr>
        <w:t>הוא</w:t>
      </w:r>
      <w:r w:rsidRPr="00D170F5">
        <w:rPr>
          <w:rFonts w:ascii="Century" w:hAnsi="Century" w:cs="Miriam"/>
          <w:b/>
          <w:rtl/>
        </w:rPr>
        <w:t xml:space="preserve"> </w:t>
      </w:r>
      <w:r w:rsidRPr="00D170F5">
        <w:rPr>
          <w:rFonts w:ascii="Century" w:hAnsi="Century" w:cs="Miriam" w:hint="eastAsia"/>
          <w:b/>
          <w:rtl/>
        </w:rPr>
        <w:t>בלתי</w:t>
      </w:r>
      <w:r w:rsidRPr="00D170F5">
        <w:rPr>
          <w:rFonts w:ascii="Century" w:hAnsi="Century" w:cs="Miriam"/>
          <w:b/>
          <w:rtl/>
        </w:rPr>
        <w:t xml:space="preserve"> </w:t>
      </w:r>
      <w:r w:rsidRPr="00D170F5">
        <w:rPr>
          <w:rFonts w:ascii="Century" w:hAnsi="Century" w:cs="Miriam" w:hint="eastAsia"/>
          <w:b/>
          <w:rtl/>
        </w:rPr>
        <w:t>סביר</w:t>
      </w:r>
      <w:r w:rsidRPr="00D170F5">
        <w:rPr>
          <w:rFonts w:ascii="Century" w:hAnsi="Century" w:cs="Miriam"/>
          <w:b/>
          <w:rtl/>
        </w:rPr>
        <w:t xml:space="preserve">, </w:t>
      </w:r>
      <w:r w:rsidRPr="00D170F5">
        <w:rPr>
          <w:rFonts w:ascii="Century" w:hAnsi="Century" w:cs="Miriam" w:hint="eastAsia"/>
          <w:b/>
          <w:rtl/>
        </w:rPr>
        <w:t>ובית</w:t>
      </w:r>
      <w:r w:rsidRPr="00D170F5">
        <w:rPr>
          <w:rFonts w:ascii="Century" w:hAnsi="Century" w:cs="Miriam"/>
          <w:b/>
          <w:rtl/>
        </w:rPr>
        <w:t xml:space="preserve"> </w:t>
      </w:r>
      <w:r w:rsidRPr="00D170F5">
        <w:rPr>
          <w:rFonts w:ascii="Century" w:hAnsi="Century" w:cs="Miriam" w:hint="eastAsia"/>
          <w:b/>
          <w:rtl/>
        </w:rPr>
        <w:t>המשפט</w:t>
      </w:r>
      <w:r w:rsidRPr="00D170F5">
        <w:rPr>
          <w:rFonts w:ascii="Century" w:hAnsi="Century" w:cs="Miriam"/>
          <w:b/>
          <w:rtl/>
        </w:rPr>
        <w:t xml:space="preserve"> </w:t>
      </w:r>
      <w:r w:rsidRPr="00D170F5">
        <w:rPr>
          <w:rFonts w:ascii="Century" w:hAnsi="Century" w:cs="Miriam" w:hint="eastAsia"/>
          <w:b/>
          <w:rtl/>
        </w:rPr>
        <w:t>יתערב</w:t>
      </w:r>
      <w:r w:rsidRPr="00D170F5">
        <w:rPr>
          <w:rFonts w:ascii="Century" w:hAnsi="Century" w:cs="Miriam"/>
          <w:b/>
          <w:rtl/>
        </w:rPr>
        <w:t xml:space="preserve"> </w:t>
      </w:r>
      <w:r w:rsidRPr="00D170F5">
        <w:rPr>
          <w:rFonts w:ascii="Century" w:hAnsi="Century" w:cs="Miriam" w:hint="eastAsia"/>
          <w:b/>
          <w:rtl/>
        </w:rPr>
        <w:t>בדבר</w:t>
      </w:r>
      <w:r>
        <w:rPr>
          <w:rFonts w:ascii="Century" w:hAnsi="Century" w:cs="FrankRuehl" w:hint="cs"/>
          <w:spacing w:val="10"/>
          <w:szCs w:val="28"/>
          <w:rtl/>
        </w:rPr>
        <w:t xml:space="preserve">" (שם, בעמוד 445). בכך טבע השופט </w:t>
      </w:r>
      <w:r w:rsidRPr="00061844">
        <w:rPr>
          <w:rFonts w:ascii="Century" w:hAnsi="Century" w:cs="Miriam" w:hint="eastAsia"/>
          <w:b/>
          <w:rtl/>
        </w:rPr>
        <w:t>ברק</w:t>
      </w:r>
      <w:r w:rsidRPr="008C0BB1">
        <w:rPr>
          <w:rFonts w:ascii="Century" w:hAnsi="Century" w:cs="FrankRuehl" w:hint="cs"/>
          <w:spacing w:val="10"/>
          <w:szCs w:val="28"/>
          <w:rtl/>
        </w:rPr>
        <w:t xml:space="preserve"> </w:t>
      </w:r>
      <w:r>
        <w:rPr>
          <w:rFonts w:ascii="Century" w:hAnsi="Century" w:cs="FrankRuehl" w:hint="cs"/>
          <w:spacing w:val="10"/>
          <w:szCs w:val="28"/>
          <w:rtl/>
        </w:rPr>
        <w:t xml:space="preserve">את המונח "מתחם הסבירות", המשמש תדיר את בתי המשפט בבואם לבחון את סבירותה של החלטה מינהלית (ראו, למשל: </w:t>
      </w:r>
      <w:r w:rsidRPr="00C3635C">
        <w:rPr>
          <w:rFonts w:ascii="Century" w:hAnsi="Century" w:cs="FrankRuehl"/>
          <w:spacing w:val="10"/>
          <w:szCs w:val="28"/>
          <w:rtl/>
        </w:rPr>
        <w:t xml:space="preserve">בג"ץ 2534/97 </w:t>
      </w:r>
      <w:r w:rsidRPr="00061844">
        <w:rPr>
          <w:rFonts w:ascii="Century" w:hAnsi="Century" w:cs="Miriam" w:hint="eastAsia"/>
          <w:b/>
          <w:rtl/>
        </w:rPr>
        <w:t>חבר</w:t>
      </w:r>
      <w:r w:rsidRPr="00061844">
        <w:rPr>
          <w:rFonts w:ascii="Century" w:hAnsi="Century" w:cs="Miriam"/>
          <w:b/>
          <w:rtl/>
        </w:rPr>
        <w:t>-</w:t>
      </w:r>
      <w:r w:rsidRPr="00061844">
        <w:rPr>
          <w:rFonts w:ascii="Century" w:hAnsi="Century" w:cs="Miriam" w:hint="eastAsia"/>
          <w:b/>
          <w:rtl/>
        </w:rPr>
        <w:t>הכנסת</w:t>
      </w:r>
      <w:r w:rsidRPr="00061844">
        <w:rPr>
          <w:rFonts w:ascii="Century" w:hAnsi="Century" w:cs="Miriam"/>
          <w:b/>
          <w:rtl/>
        </w:rPr>
        <w:t xml:space="preserve"> </w:t>
      </w:r>
      <w:r w:rsidRPr="00061844">
        <w:rPr>
          <w:rFonts w:ascii="Century" w:hAnsi="Century" w:cs="Miriam" w:hint="eastAsia"/>
          <w:b/>
          <w:rtl/>
        </w:rPr>
        <w:t>יונה</w:t>
      </w:r>
      <w:r w:rsidRPr="00061844">
        <w:rPr>
          <w:rFonts w:ascii="Century" w:hAnsi="Century" w:cs="Miriam"/>
          <w:b/>
          <w:rtl/>
        </w:rPr>
        <w:t xml:space="preserve"> </w:t>
      </w:r>
      <w:r w:rsidRPr="00061844">
        <w:rPr>
          <w:rFonts w:ascii="Century" w:hAnsi="Century" w:cs="Miriam" w:hint="eastAsia"/>
          <w:b/>
          <w:rtl/>
        </w:rPr>
        <w:t>יהב</w:t>
      </w:r>
      <w:r w:rsidRPr="00061844">
        <w:rPr>
          <w:rFonts w:ascii="Century" w:hAnsi="Century" w:cs="Miriam"/>
          <w:b/>
          <w:rtl/>
        </w:rPr>
        <w:t xml:space="preserve"> </w:t>
      </w:r>
      <w:r w:rsidRPr="00061844">
        <w:rPr>
          <w:rFonts w:ascii="Century" w:hAnsi="Century" w:cs="Miriam" w:hint="eastAsia"/>
          <w:b/>
          <w:rtl/>
        </w:rPr>
        <w:t>נ</w:t>
      </w:r>
      <w:r w:rsidRPr="00061844">
        <w:rPr>
          <w:rFonts w:ascii="Century" w:hAnsi="Century" w:cs="Miriam"/>
          <w:b/>
          <w:rtl/>
        </w:rPr>
        <w:t xml:space="preserve">' </w:t>
      </w:r>
      <w:r w:rsidRPr="00061844">
        <w:rPr>
          <w:rFonts w:ascii="Century" w:hAnsi="Century" w:cs="Miriam" w:hint="eastAsia"/>
          <w:b/>
          <w:rtl/>
        </w:rPr>
        <w:t>פרקליטת</w:t>
      </w:r>
      <w:r w:rsidRPr="00061844">
        <w:rPr>
          <w:rFonts w:ascii="Century" w:hAnsi="Century" w:cs="Miriam"/>
          <w:b/>
          <w:rtl/>
        </w:rPr>
        <w:t xml:space="preserve"> </w:t>
      </w:r>
      <w:r w:rsidRPr="00061844">
        <w:rPr>
          <w:rFonts w:ascii="Century" w:hAnsi="Century" w:cs="Miriam" w:hint="eastAsia"/>
          <w:b/>
          <w:rtl/>
        </w:rPr>
        <w:t>המדינה</w:t>
      </w:r>
      <w:r w:rsidRPr="00C3635C">
        <w:rPr>
          <w:rFonts w:ascii="Century" w:hAnsi="Century" w:cs="FrankRuehl"/>
          <w:spacing w:val="10"/>
          <w:szCs w:val="28"/>
          <w:rtl/>
        </w:rPr>
        <w:t xml:space="preserve">, </w:t>
      </w:r>
      <w:r>
        <w:rPr>
          <w:rFonts w:ascii="Century" w:hAnsi="Century" w:cs="FrankRuehl" w:hint="cs"/>
          <w:spacing w:val="10"/>
          <w:szCs w:val="28"/>
          <w:rtl/>
        </w:rPr>
        <w:t xml:space="preserve">פ"ד </w:t>
      </w:r>
      <w:r w:rsidRPr="00C3635C">
        <w:rPr>
          <w:rFonts w:ascii="Century" w:hAnsi="Century" w:cs="FrankRuehl"/>
          <w:spacing w:val="10"/>
          <w:szCs w:val="28"/>
          <w:rtl/>
        </w:rPr>
        <w:t>נא(3) 1</w:t>
      </w:r>
      <w:r>
        <w:rPr>
          <w:rFonts w:ascii="Century" w:hAnsi="Century" w:cs="FrankRuehl" w:hint="cs"/>
          <w:spacing w:val="10"/>
          <w:szCs w:val="28"/>
          <w:rtl/>
        </w:rPr>
        <w:t>, 29</w:t>
      </w:r>
      <w:r w:rsidRPr="00C3635C">
        <w:rPr>
          <w:rFonts w:ascii="Century" w:hAnsi="Century" w:cs="FrankRuehl"/>
          <w:spacing w:val="10"/>
          <w:szCs w:val="28"/>
          <w:rtl/>
        </w:rPr>
        <w:t xml:space="preserve"> (1997)</w:t>
      </w:r>
      <w:r>
        <w:rPr>
          <w:rFonts w:ascii="Century" w:hAnsi="Century" w:cs="FrankRuehl" w:hint="cs"/>
          <w:spacing w:val="10"/>
          <w:szCs w:val="28"/>
          <w:rtl/>
        </w:rPr>
        <w:t>;</w:t>
      </w:r>
      <w:r w:rsidRPr="00C3635C">
        <w:rPr>
          <w:rtl/>
        </w:rPr>
        <w:t xml:space="preserve"> </w:t>
      </w:r>
      <w:r w:rsidRPr="00C3635C">
        <w:rPr>
          <w:rFonts w:ascii="Century" w:hAnsi="Century" w:cs="FrankRuehl"/>
          <w:spacing w:val="10"/>
          <w:szCs w:val="28"/>
          <w:rtl/>
        </w:rPr>
        <w:t xml:space="preserve">בג"ץ 1993/03 </w:t>
      </w:r>
      <w:r w:rsidRPr="00061844">
        <w:rPr>
          <w:rFonts w:ascii="Century" w:hAnsi="Century" w:cs="Miriam" w:hint="eastAsia"/>
          <w:b/>
          <w:rtl/>
        </w:rPr>
        <w:t>התנועה</w:t>
      </w:r>
      <w:r w:rsidRPr="00061844">
        <w:rPr>
          <w:rFonts w:ascii="Century" w:hAnsi="Century" w:cs="Miriam"/>
          <w:b/>
          <w:rtl/>
        </w:rPr>
        <w:t xml:space="preserve"> </w:t>
      </w:r>
      <w:r w:rsidRPr="00061844">
        <w:rPr>
          <w:rFonts w:ascii="Century" w:hAnsi="Century" w:cs="Miriam" w:hint="eastAsia"/>
          <w:b/>
          <w:rtl/>
        </w:rPr>
        <w:t>למען</w:t>
      </w:r>
      <w:r w:rsidRPr="00061844">
        <w:rPr>
          <w:rFonts w:ascii="Century" w:hAnsi="Century" w:cs="Miriam"/>
          <w:b/>
          <w:rtl/>
        </w:rPr>
        <w:t xml:space="preserve"> </w:t>
      </w:r>
      <w:r w:rsidRPr="00061844">
        <w:rPr>
          <w:rFonts w:ascii="Century" w:hAnsi="Century" w:cs="Miriam" w:hint="eastAsia"/>
          <w:b/>
          <w:rtl/>
        </w:rPr>
        <w:t>איכות</w:t>
      </w:r>
      <w:r w:rsidRPr="00061844">
        <w:rPr>
          <w:rFonts w:ascii="Century" w:hAnsi="Century" w:cs="Miriam"/>
          <w:b/>
          <w:rtl/>
        </w:rPr>
        <w:t xml:space="preserve"> </w:t>
      </w:r>
      <w:r w:rsidRPr="00061844">
        <w:rPr>
          <w:rFonts w:ascii="Century" w:hAnsi="Century" w:cs="Miriam" w:hint="eastAsia"/>
          <w:b/>
          <w:rtl/>
        </w:rPr>
        <w:t>השלטון</w:t>
      </w:r>
      <w:r w:rsidRPr="00061844">
        <w:rPr>
          <w:rFonts w:ascii="Century" w:hAnsi="Century" w:cs="Miriam"/>
          <w:b/>
          <w:rtl/>
        </w:rPr>
        <w:t xml:space="preserve"> </w:t>
      </w:r>
      <w:r w:rsidRPr="00061844">
        <w:rPr>
          <w:rFonts w:ascii="Century" w:hAnsi="Century" w:cs="Miriam" w:hint="eastAsia"/>
          <w:b/>
          <w:rtl/>
        </w:rPr>
        <w:t>בישראל</w:t>
      </w:r>
      <w:r w:rsidRPr="00061844">
        <w:rPr>
          <w:rFonts w:ascii="Century" w:hAnsi="Century" w:cs="Miriam"/>
          <w:b/>
          <w:rtl/>
        </w:rPr>
        <w:t xml:space="preserve"> </w:t>
      </w:r>
      <w:r w:rsidRPr="00061844">
        <w:rPr>
          <w:rFonts w:ascii="Century" w:hAnsi="Century" w:cs="Miriam" w:hint="eastAsia"/>
          <w:b/>
          <w:rtl/>
        </w:rPr>
        <w:t>נ</w:t>
      </w:r>
      <w:r w:rsidRPr="00061844">
        <w:rPr>
          <w:rFonts w:ascii="Century" w:hAnsi="Century" w:cs="Miriam"/>
          <w:b/>
          <w:rtl/>
        </w:rPr>
        <w:t xml:space="preserve">' </w:t>
      </w:r>
      <w:r w:rsidRPr="00061844">
        <w:rPr>
          <w:rFonts w:ascii="Century" w:hAnsi="Century" w:cs="Miriam" w:hint="eastAsia"/>
          <w:b/>
          <w:rtl/>
        </w:rPr>
        <w:t>ראש</w:t>
      </w:r>
      <w:r w:rsidRPr="00061844">
        <w:rPr>
          <w:rFonts w:ascii="Century" w:hAnsi="Century" w:cs="Miriam"/>
          <w:b/>
          <w:rtl/>
        </w:rPr>
        <w:t>-</w:t>
      </w:r>
      <w:r w:rsidRPr="00061844">
        <w:rPr>
          <w:rFonts w:ascii="Century" w:hAnsi="Century" w:cs="Miriam" w:hint="eastAsia"/>
          <w:b/>
          <w:rtl/>
        </w:rPr>
        <w:t>הממשלה</w:t>
      </w:r>
      <w:r w:rsidRPr="00061844">
        <w:rPr>
          <w:rFonts w:ascii="Century" w:hAnsi="Century" w:cs="Miriam"/>
          <w:b/>
          <w:rtl/>
        </w:rPr>
        <w:t xml:space="preserve">, </w:t>
      </w:r>
      <w:r w:rsidRPr="00061844">
        <w:rPr>
          <w:rFonts w:ascii="Century" w:hAnsi="Century" w:cs="Miriam" w:hint="eastAsia"/>
          <w:b/>
          <w:rtl/>
        </w:rPr>
        <w:t>מר</w:t>
      </w:r>
      <w:r w:rsidRPr="00061844">
        <w:rPr>
          <w:rFonts w:ascii="Century" w:hAnsi="Century" w:cs="Miriam"/>
          <w:b/>
          <w:rtl/>
        </w:rPr>
        <w:t xml:space="preserve"> </w:t>
      </w:r>
      <w:r w:rsidRPr="00061844">
        <w:rPr>
          <w:rFonts w:ascii="Century" w:hAnsi="Century" w:cs="Miriam" w:hint="eastAsia"/>
          <w:b/>
          <w:rtl/>
        </w:rPr>
        <w:t>אריאל</w:t>
      </w:r>
      <w:r w:rsidRPr="00061844">
        <w:rPr>
          <w:rFonts w:ascii="Century" w:hAnsi="Century" w:cs="Miriam"/>
          <w:b/>
          <w:rtl/>
        </w:rPr>
        <w:t xml:space="preserve"> </w:t>
      </w:r>
      <w:r w:rsidRPr="00061844">
        <w:rPr>
          <w:rFonts w:ascii="Century" w:hAnsi="Century" w:cs="Miriam" w:hint="eastAsia"/>
          <w:b/>
          <w:rtl/>
        </w:rPr>
        <w:t>שרון</w:t>
      </w:r>
      <w:r w:rsidRPr="00C3635C">
        <w:rPr>
          <w:rFonts w:ascii="Century" w:hAnsi="Century" w:cs="FrankRuehl"/>
          <w:spacing w:val="10"/>
          <w:szCs w:val="28"/>
          <w:rtl/>
        </w:rPr>
        <w:t>,</w:t>
      </w:r>
      <w:r>
        <w:rPr>
          <w:rFonts w:ascii="Century" w:hAnsi="Century" w:cs="FrankRuehl" w:hint="cs"/>
          <w:spacing w:val="10"/>
          <w:szCs w:val="28"/>
          <w:rtl/>
        </w:rPr>
        <w:t xml:space="preserve"> פ"ד</w:t>
      </w:r>
      <w:r w:rsidRPr="00C3635C">
        <w:rPr>
          <w:rFonts w:ascii="Century" w:hAnsi="Century" w:cs="FrankRuehl"/>
          <w:spacing w:val="10"/>
          <w:szCs w:val="28"/>
          <w:rtl/>
        </w:rPr>
        <w:t xml:space="preserve"> נז(6) 817</w:t>
      </w:r>
      <w:r>
        <w:rPr>
          <w:rFonts w:ascii="Century" w:hAnsi="Century" w:cs="FrankRuehl" w:hint="cs"/>
          <w:spacing w:val="10"/>
          <w:szCs w:val="28"/>
          <w:rtl/>
        </w:rPr>
        <w:t>, 916</w:t>
      </w:r>
      <w:r w:rsidRPr="00C3635C">
        <w:rPr>
          <w:rFonts w:ascii="Century" w:hAnsi="Century" w:cs="FrankRuehl"/>
          <w:spacing w:val="10"/>
          <w:szCs w:val="28"/>
          <w:rtl/>
        </w:rPr>
        <w:t xml:space="preserve"> (2003)</w:t>
      </w:r>
      <w:r>
        <w:rPr>
          <w:rFonts w:hint="cs"/>
          <w:rtl/>
        </w:rPr>
        <w:t>;</w:t>
      </w:r>
      <w:r w:rsidRPr="00C3635C">
        <w:rPr>
          <w:rtl/>
        </w:rPr>
        <w:t xml:space="preserve"> </w:t>
      </w:r>
      <w:r w:rsidRPr="00C3635C">
        <w:rPr>
          <w:rFonts w:ascii="Century" w:hAnsi="Century" w:cs="FrankRuehl"/>
          <w:spacing w:val="10"/>
          <w:szCs w:val="28"/>
          <w:rtl/>
        </w:rPr>
        <w:t xml:space="preserve">בג"ץ 8948/22 </w:t>
      </w:r>
      <w:r w:rsidRPr="00061844">
        <w:rPr>
          <w:rFonts w:ascii="Century" w:hAnsi="Century" w:cs="Miriam" w:hint="eastAsia"/>
          <w:b/>
          <w:rtl/>
        </w:rPr>
        <w:t>שיינפלד</w:t>
      </w:r>
      <w:r w:rsidRPr="00061844">
        <w:rPr>
          <w:rFonts w:ascii="Century" w:hAnsi="Century" w:cs="Miriam"/>
          <w:b/>
          <w:rtl/>
        </w:rPr>
        <w:t xml:space="preserve"> </w:t>
      </w:r>
      <w:r w:rsidRPr="00061844">
        <w:rPr>
          <w:rFonts w:ascii="Century" w:hAnsi="Century" w:cs="Miriam" w:hint="eastAsia"/>
          <w:b/>
          <w:rtl/>
        </w:rPr>
        <w:t>נ</w:t>
      </w:r>
      <w:r w:rsidRPr="00061844">
        <w:rPr>
          <w:rFonts w:ascii="Century" w:hAnsi="Century" w:cs="Miriam"/>
          <w:b/>
          <w:rtl/>
        </w:rPr>
        <w:t xml:space="preserve">' </w:t>
      </w:r>
      <w:r w:rsidRPr="00061844">
        <w:rPr>
          <w:rFonts w:ascii="Century" w:hAnsi="Century" w:cs="Miriam" w:hint="eastAsia"/>
          <w:b/>
          <w:rtl/>
        </w:rPr>
        <w:t>הכנסת</w:t>
      </w:r>
      <w:r>
        <w:rPr>
          <w:rFonts w:ascii="Century" w:hAnsi="Century" w:cs="FrankRuehl" w:hint="cs"/>
          <w:spacing w:val="10"/>
          <w:szCs w:val="28"/>
          <w:rtl/>
        </w:rPr>
        <w:t xml:space="preserve">, פסקאות 52, 55 לפסק דינה של הנשיאה </w:t>
      </w:r>
      <w:r w:rsidRPr="00061844">
        <w:rPr>
          <w:rFonts w:ascii="Century" w:hAnsi="Century" w:cs="Miriam" w:hint="eastAsia"/>
          <w:b/>
          <w:rtl/>
        </w:rPr>
        <w:t>חיות</w:t>
      </w:r>
      <w:r w:rsidRPr="00C3635C">
        <w:rPr>
          <w:rFonts w:ascii="Century" w:hAnsi="Century" w:cs="FrankRuehl"/>
          <w:spacing w:val="10"/>
          <w:szCs w:val="28"/>
          <w:rtl/>
        </w:rPr>
        <w:t xml:space="preserve"> (18.</w:t>
      </w:r>
      <w:r>
        <w:rPr>
          <w:rFonts w:ascii="Century" w:hAnsi="Century" w:cs="FrankRuehl" w:hint="cs"/>
          <w:spacing w:val="10"/>
          <w:szCs w:val="28"/>
          <w:rtl/>
        </w:rPr>
        <w:t>1</w:t>
      </w:r>
      <w:r w:rsidRPr="00C3635C">
        <w:rPr>
          <w:rFonts w:ascii="Century" w:hAnsi="Century" w:cs="FrankRuehl"/>
          <w:spacing w:val="10"/>
          <w:szCs w:val="28"/>
          <w:rtl/>
        </w:rPr>
        <w:t>.2023)</w:t>
      </w:r>
      <w:r>
        <w:rPr>
          <w:rFonts w:ascii="Century" w:hAnsi="Century" w:cs="FrankRuehl" w:hint="cs"/>
          <w:spacing w:val="10"/>
          <w:szCs w:val="28"/>
          <w:rtl/>
        </w:rPr>
        <w:t xml:space="preserve">). עוד הדגיש השופט </w:t>
      </w:r>
      <w:r w:rsidRPr="00061844">
        <w:rPr>
          <w:rFonts w:ascii="Century" w:hAnsi="Century" w:cs="Miriam" w:hint="eastAsia"/>
          <w:b/>
          <w:rtl/>
        </w:rPr>
        <w:t>ברק</w:t>
      </w:r>
      <w:r w:rsidRPr="005F4D45">
        <w:rPr>
          <w:rFonts w:ascii="Century" w:hAnsi="Century" w:cs="FrankRuehl" w:hint="cs"/>
          <w:spacing w:val="10"/>
          <w:szCs w:val="28"/>
          <w:rtl/>
        </w:rPr>
        <w:t xml:space="preserve"> </w:t>
      </w:r>
      <w:r>
        <w:rPr>
          <w:rFonts w:ascii="Century" w:hAnsi="Century" w:cs="FrankRuehl" w:hint="cs"/>
          <w:spacing w:val="10"/>
          <w:szCs w:val="28"/>
          <w:rtl/>
        </w:rPr>
        <w:t>כי "</w:t>
      </w:r>
      <w:r w:rsidRPr="00D170F5">
        <w:rPr>
          <w:rFonts w:ascii="Century" w:hAnsi="Century" w:cs="Miriam" w:hint="eastAsia"/>
          <w:b/>
          <w:rtl/>
        </w:rPr>
        <w:t>אין</w:t>
      </w:r>
      <w:r w:rsidRPr="00D170F5">
        <w:rPr>
          <w:rFonts w:ascii="Century" w:hAnsi="Century" w:cs="Miriam"/>
          <w:b/>
          <w:rtl/>
        </w:rPr>
        <w:t xml:space="preserve"> </w:t>
      </w:r>
      <w:r w:rsidRPr="00D170F5">
        <w:rPr>
          <w:rFonts w:ascii="Century" w:hAnsi="Century" w:cs="Miriam" w:hint="eastAsia"/>
          <w:b/>
          <w:rtl/>
        </w:rPr>
        <w:t>לבטל</w:t>
      </w:r>
      <w:r w:rsidRPr="00D170F5">
        <w:rPr>
          <w:rFonts w:ascii="Century" w:hAnsi="Century" w:cs="Miriam"/>
          <w:b/>
          <w:rtl/>
        </w:rPr>
        <w:t xml:space="preserve"> </w:t>
      </w:r>
      <w:r w:rsidRPr="00D170F5">
        <w:rPr>
          <w:rFonts w:ascii="Century" w:hAnsi="Century" w:cs="Miriam" w:hint="eastAsia"/>
          <w:b/>
          <w:rtl/>
        </w:rPr>
        <w:t>מעשה</w:t>
      </w:r>
      <w:r w:rsidRPr="00D170F5">
        <w:rPr>
          <w:rFonts w:ascii="Century" w:hAnsi="Century" w:cs="Miriam"/>
          <w:b/>
          <w:rtl/>
        </w:rPr>
        <w:t xml:space="preserve"> </w:t>
      </w:r>
      <w:r w:rsidRPr="00D170F5">
        <w:rPr>
          <w:rFonts w:ascii="Century" w:hAnsi="Century" w:cs="Miriam" w:hint="eastAsia"/>
          <w:b/>
          <w:rtl/>
        </w:rPr>
        <w:t>מינהלי</w:t>
      </w:r>
      <w:r w:rsidRPr="00D170F5">
        <w:rPr>
          <w:rFonts w:ascii="Century" w:hAnsi="Century" w:cs="Miriam"/>
          <w:b/>
          <w:rtl/>
        </w:rPr>
        <w:t xml:space="preserve"> </w:t>
      </w:r>
      <w:r w:rsidRPr="00D170F5">
        <w:rPr>
          <w:rFonts w:ascii="Century" w:hAnsi="Century" w:cs="Miriam" w:hint="eastAsia"/>
          <w:b/>
          <w:rtl/>
        </w:rPr>
        <w:t>בשל</w:t>
      </w:r>
      <w:r w:rsidRPr="00D170F5">
        <w:rPr>
          <w:rFonts w:ascii="Century" w:hAnsi="Century" w:cs="Miriam"/>
          <w:b/>
          <w:rtl/>
        </w:rPr>
        <w:t xml:space="preserve"> </w:t>
      </w:r>
      <w:r w:rsidRPr="00D170F5">
        <w:rPr>
          <w:rFonts w:ascii="Century" w:hAnsi="Century" w:cs="Miriam" w:hint="eastAsia"/>
          <w:b/>
          <w:rtl/>
        </w:rPr>
        <w:t>סטייה</w:t>
      </w:r>
      <w:r w:rsidRPr="00D170F5">
        <w:rPr>
          <w:rFonts w:ascii="Century" w:hAnsi="Century" w:cs="Miriam"/>
          <w:b/>
          <w:rtl/>
        </w:rPr>
        <w:t xml:space="preserve"> </w:t>
      </w:r>
      <w:r w:rsidRPr="00D170F5">
        <w:rPr>
          <w:rFonts w:ascii="Century" w:hAnsi="Century" w:cs="Miriam" w:hint="eastAsia"/>
          <w:b/>
          <w:rtl/>
        </w:rPr>
        <w:t>של</w:t>
      </w:r>
      <w:r w:rsidRPr="00D170F5">
        <w:rPr>
          <w:rFonts w:ascii="Century" w:hAnsi="Century" w:cs="Miriam"/>
          <w:b/>
          <w:rtl/>
        </w:rPr>
        <w:t xml:space="preserve"> </w:t>
      </w:r>
      <w:r w:rsidRPr="00D170F5">
        <w:rPr>
          <w:rFonts w:ascii="Century" w:hAnsi="Century" w:cs="Miriam" w:hint="eastAsia"/>
          <w:b/>
          <w:rtl/>
        </w:rPr>
        <w:t>מה</w:t>
      </w:r>
      <w:r w:rsidRPr="00D170F5">
        <w:rPr>
          <w:rFonts w:ascii="Century" w:hAnsi="Century" w:cs="Miriam"/>
          <w:b/>
          <w:rtl/>
        </w:rPr>
        <w:t xml:space="preserve"> </w:t>
      </w:r>
      <w:r w:rsidRPr="00D170F5">
        <w:rPr>
          <w:rFonts w:ascii="Century" w:hAnsi="Century" w:cs="Miriam" w:hint="eastAsia"/>
          <w:b/>
          <w:rtl/>
        </w:rPr>
        <w:t>בכך</w:t>
      </w:r>
      <w:r w:rsidRPr="00D170F5">
        <w:rPr>
          <w:rFonts w:ascii="Century" w:hAnsi="Century" w:cs="Miriam"/>
          <w:b/>
          <w:rtl/>
        </w:rPr>
        <w:t xml:space="preserve"> </w:t>
      </w:r>
      <w:r w:rsidRPr="00D170F5">
        <w:rPr>
          <w:rFonts w:ascii="Century" w:hAnsi="Century" w:cs="Miriam" w:hint="eastAsia"/>
          <w:b/>
          <w:rtl/>
        </w:rPr>
        <w:t>מסטנדרט</w:t>
      </w:r>
      <w:r w:rsidRPr="00D170F5">
        <w:rPr>
          <w:rFonts w:ascii="Century" w:hAnsi="Century" w:cs="Miriam"/>
          <w:b/>
          <w:rtl/>
        </w:rPr>
        <w:t xml:space="preserve"> </w:t>
      </w:r>
      <w:r w:rsidRPr="00D170F5">
        <w:rPr>
          <w:rFonts w:ascii="Century" w:hAnsi="Century" w:cs="Miriam" w:hint="eastAsia"/>
          <w:b/>
          <w:rtl/>
        </w:rPr>
        <w:t>ההתנהגות</w:t>
      </w:r>
      <w:r w:rsidRPr="00D170F5">
        <w:rPr>
          <w:rFonts w:ascii="Century" w:hAnsi="Century" w:cs="Miriam"/>
          <w:b/>
          <w:rtl/>
        </w:rPr>
        <w:t xml:space="preserve"> </w:t>
      </w:r>
      <w:r w:rsidRPr="00D170F5">
        <w:rPr>
          <w:rFonts w:ascii="Century" w:hAnsi="Century" w:cs="Miriam" w:hint="eastAsia"/>
          <w:b/>
          <w:rtl/>
        </w:rPr>
        <w:t>הסבירה</w:t>
      </w:r>
      <w:r w:rsidRPr="00D170F5">
        <w:rPr>
          <w:rFonts w:ascii="Century" w:hAnsi="Century" w:cs="Miriam"/>
          <w:b/>
          <w:rtl/>
        </w:rPr>
        <w:t xml:space="preserve">... </w:t>
      </w:r>
      <w:r w:rsidRPr="00D170F5">
        <w:rPr>
          <w:rFonts w:ascii="Century" w:hAnsi="Century" w:cs="Miriam" w:hint="eastAsia"/>
          <w:b/>
          <w:rtl/>
        </w:rPr>
        <w:t>או</w:t>
      </w:r>
      <w:r w:rsidRPr="00D170F5">
        <w:rPr>
          <w:rFonts w:ascii="Century" w:hAnsi="Century" w:cs="Miriam"/>
          <w:b/>
          <w:rtl/>
        </w:rPr>
        <w:t xml:space="preserve"> </w:t>
      </w:r>
      <w:r w:rsidRPr="00D170F5">
        <w:rPr>
          <w:rFonts w:ascii="Century" w:hAnsi="Century" w:cs="Miriam" w:hint="eastAsia"/>
          <w:b/>
          <w:rtl/>
        </w:rPr>
        <w:t>סטייה</w:t>
      </w:r>
      <w:r w:rsidRPr="00D170F5">
        <w:rPr>
          <w:rFonts w:ascii="Century" w:hAnsi="Century" w:cs="Miriam"/>
          <w:b/>
          <w:rtl/>
        </w:rPr>
        <w:t xml:space="preserve"> </w:t>
      </w:r>
      <w:r w:rsidRPr="00D170F5">
        <w:rPr>
          <w:rFonts w:ascii="Century" w:hAnsi="Century" w:cs="Miriam" w:hint="eastAsia"/>
          <w:b/>
          <w:rtl/>
        </w:rPr>
        <w:t>בעניין</w:t>
      </w:r>
      <w:r w:rsidRPr="00D170F5">
        <w:rPr>
          <w:rFonts w:ascii="Century" w:hAnsi="Century" w:cs="Miriam"/>
          <w:b/>
          <w:rtl/>
        </w:rPr>
        <w:t xml:space="preserve"> </w:t>
      </w:r>
      <w:r w:rsidRPr="00D170F5">
        <w:rPr>
          <w:rFonts w:ascii="Century" w:hAnsi="Century" w:cs="Miriam" w:hint="eastAsia"/>
          <w:b/>
          <w:rtl/>
        </w:rPr>
        <w:t>שולי</w:t>
      </w:r>
      <w:r w:rsidRPr="00D170F5">
        <w:rPr>
          <w:rFonts w:ascii="Century" w:hAnsi="Century" w:cs="Miriam"/>
          <w:b/>
          <w:rtl/>
        </w:rPr>
        <w:t xml:space="preserve">... </w:t>
      </w:r>
      <w:r w:rsidRPr="00D170F5">
        <w:rPr>
          <w:rFonts w:ascii="Century" w:hAnsi="Century" w:cs="Miriam" w:hint="eastAsia"/>
          <w:b/>
          <w:rtl/>
        </w:rPr>
        <w:t>כדי</w:t>
      </w:r>
      <w:r w:rsidRPr="00D170F5">
        <w:rPr>
          <w:rFonts w:ascii="Century" w:hAnsi="Century" w:cs="Miriam"/>
          <w:b/>
          <w:rtl/>
        </w:rPr>
        <w:t xml:space="preserve"> </w:t>
      </w:r>
      <w:r w:rsidRPr="00D170F5">
        <w:rPr>
          <w:rFonts w:ascii="Century" w:hAnsi="Century" w:cs="Miriam" w:hint="eastAsia"/>
          <w:b/>
          <w:rtl/>
        </w:rPr>
        <w:t>שסטייה</w:t>
      </w:r>
      <w:r w:rsidRPr="00D170F5">
        <w:rPr>
          <w:rFonts w:ascii="Century" w:hAnsi="Century" w:cs="Miriam"/>
          <w:b/>
          <w:rtl/>
        </w:rPr>
        <w:t xml:space="preserve"> </w:t>
      </w:r>
      <w:r w:rsidRPr="00D170F5">
        <w:rPr>
          <w:rFonts w:ascii="Century" w:hAnsi="Century" w:cs="Miriam" w:hint="eastAsia"/>
          <w:b/>
          <w:rtl/>
        </w:rPr>
        <w:t>מסטנדרט</w:t>
      </w:r>
      <w:r w:rsidRPr="00D170F5">
        <w:rPr>
          <w:rFonts w:ascii="Century" w:hAnsi="Century" w:cs="Miriam"/>
          <w:b/>
          <w:rtl/>
        </w:rPr>
        <w:t xml:space="preserve"> </w:t>
      </w:r>
      <w:r w:rsidRPr="00D170F5">
        <w:rPr>
          <w:rFonts w:ascii="Century" w:hAnsi="Century" w:cs="Miriam" w:hint="eastAsia"/>
          <w:b/>
          <w:rtl/>
        </w:rPr>
        <w:t>ההתנהגות</w:t>
      </w:r>
      <w:r w:rsidRPr="00D170F5">
        <w:rPr>
          <w:rFonts w:ascii="Century" w:hAnsi="Century" w:cs="Miriam"/>
          <w:b/>
          <w:rtl/>
        </w:rPr>
        <w:t xml:space="preserve"> </w:t>
      </w:r>
      <w:r w:rsidRPr="00D170F5">
        <w:rPr>
          <w:rFonts w:ascii="Century" w:hAnsi="Century" w:cs="Miriam" w:hint="eastAsia"/>
          <w:b/>
          <w:rtl/>
        </w:rPr>
        <w:t>המקובל</w:t>
      </w:r>
      <w:r w:rsidRPr="00D170F5">
        <w:rPr>
          <w:rFonts w:ascii="Century" w:hAnsi="Century" w:cs="Miriam"/>
          <w:b/>
          <w:rtl/>
        </w:rPr>
        <w:t xml:space="preserve"> </w:t>
      </w:r>
      <w:r w:rsidRPr="00D170F5">
        <w:rPr>
          <w:rFonts w:ascii="Century" w:hAnsi="Century" w:cs="Miriam" w:hint="eastAsia"/>
          <w:b/>
          <w:rtl/>
        </w:rPr>
        <w:t>על</w:t>
      </w:r>
      <w:r w:rsidRPr="00D170F5">
        <w:rPr>
          <w:rFonts w:ascii="Century" w:hAnsi="Century" w:cs="Miriam"/>
          <w:b/>
          <w:rtl/>
        </w:rPr>
        <w:t xml:space="preserve"> </w:t>
      </w:r>
      <w:r w:rsidRPr="00D170F5">
        <w:rPr>
          <w:rFonts w:ascii="Century" w:hAnsi="Century" w:cs="Miriam" w:hint="eastAsia"/>
          <w:b/>
          <w:rtl/>
        </w:rPr>
        <w:t>רשות</w:t>
      </w:r>
      <w:r w:rsidRPr="00D170F5">
        <w:rPr>
          <w:rFonts w:ascii="Century" w:hAnsi="Century" w:cs="Miriam"/>
          <w:b/>
          <w:rtl/>
        </w:rPr>
        <w:t xml:space="preserve"> </w:t>
      </w:r>
      <w:r w:rsidRPr="00D170F5">
        <w:rPr>
          <w:rFonts w:ascii="Century" w:hAnsi="Century" w:cs="Miriam" w:hint="eastAsia"/>
          <w:b/>
          <w:rtl/>
        </w:rPr>
        <w:t>מינהלית</w:t>
      </w:r>
      <w:r w:rsidRPr="00D170F5">
        <w:rPr>
          <w:rFonts w:ascii="Century" w:hAnsi="Century" w:cs="Miriam"/>
          <w:b/>
          <w:rtl/>
        </w:rPr>
        <w:t xml:space="preserve"> </w:t>
      </w:r>
      <w:r w:rsidRPr="00D170F5">
        <w:rPr>
          <w:rFonts w:ascii="Century" w:hAnsi="Century" w:cs="Miriam" w:hint="eastAsia"/>
          <w:b/>
          <w:rtl/>
        </w:rPr>
        <w:t>סבירה</w:t>
      </w:r>
      <w:r w:rsidRPr="00D170F5">
        <w:rPr>
          <w:rFonts w:ascii="Century" w:hAnsi="Century" w:cs="Miriam"/>
          <w:b/>
          <w:rtl/>
        </w:rPr>
        <w:t xml:space="preserve"> </w:t>
      </w:r>
      <w:r w:rsidRPr="00D170F5">
        <w:rPr>
          <w:rFonts w:ascii="Century" w:hAnsi="Century" w:cs="Miriam" w:hint="eastAsia"/>
          <w:b/>
          <w:rtl/>
        </w:rPr>
        <w:t>תביא</w:t>
      </w:r>
      <w:r w:rsidRPr="00D170F5">
        <w:rPr>
          <w:rFonts w:ascii="Century" w:hAnsi="Century" w:cs="Miriam"/>
          <w:b/>
          <w:rtl/>
        </w:rPr>
        <w:t xml:space="preserve"> </w:t>
      </w:r>
      <w:r w:rsidRPr="00D170F5">
        <w:rPr>
          <w:rFonts w:ascii="Century" w:hAnsi="Century" w:cs="Miriam" w:hint="eastAsia"/>
          <w:b/>
          <w:rtl/>
        </w:rPr>
        <w:t>לביטול</w:t>
      </w:r>
      <w:r w:rsidRPr="00D170F5">
        <w:rPr>
          <w:rFonts w:ascii="Century" w:hAnsi="Century" w:cs="Miriam"/>
          <w:b/>
          <w:rtl/>
        </w:rPr>
        <w:t xml:space="preserve"> </w:t>
      </w:r>
      <w:r w:rsidRPr="00D170F5">
        <w:rPr>
          <w:rFonts w:ascii="Century" w:hAnsi="Century" w:cs="Miriam" w:hint="eastAsia"/>
          <w:b/>
          <w:rtl/>
        </w:rPr>
        <w:t>המעשה</w:t>
      </w:r>
      <w:r w:rsidRPr="00D170F5">
        <w:rPr>
          <w:rFonts w:ascii="Century" w:hAnsi="Century" w:cs="Miriam"/>
          <w:b/>
          <w:rtl/>
        </w:rPr>
        <w:t xml:space="preserve"> </w:t>
      </w:r>
      <w:r w:rsidRPr="00D170F5">
        <w:rPr>
          <w:rFonts w:ascii="Century" w:hAnsi="Century" w:cs="Miriam" w:hint="eastAsia"/>
          <w:b/>
          <w:rtl/>
        </w:rPr>
        <w:t>המינהלי</w:t>
      </w:r>
      <w:r w:rsidRPr="00D170F5">
        <w:rPr>
          <w:rFonts w:ascii="Century" w:hAnsi="Century" w:cs="Miriam"/>
          <w:b/>
          <w:rtl/>
        </w:rPr>
        <w:t>,</w:t>
      </w:r>
      <w:r w:rsidRPr="00FF5D86">
        <w:rPr>
          <w:rFonts w:ascii="Century" w:hAnsi="Century" w:cs="FrankRuehl"/>
          <w:spacing w:val="10"/>
          <w:szCs w:val="28"/>
          <w:rtl/>
        </w:rPr>
        <w:t xml:space="preserve"> </w:t>
      </w:r>
      <w:r w:rsidRPr="00D170F5">
        <w:rPr>
          <w:rFonts w:ascii="Century" w:hAnsi="Century" w:cs="Miriam" w:hint="eastAsia"/>
          <w:b/>
          <w:u w:val="single"/>
          <w:rtl/>
        </w:rPr>
        <w:t>יש</w:t>
      </w:r>
      <w:r w:rsidRPr="00D170F5">
        <w:rPr>
          <w:rFonts w:ascii="Century" w:hAnsi="Century" w:cs="Miriam"/>
          <w:b/>
          <w:u w:val="single"/>
          <w:rtl/>
        </w:rPr>
        <w:t xml:space="preserve"> </w:t>
      </w:r>
      <w:r w:rsidRPr="00D170F5">
        <w:rPr>
          <w:rFonts w:ascii="Century" w:hAnsi="Century" w:cs="Miriam" w:hint="eastAsia"/>
          <w:b/>
          <w:u w:val="single"/>
          <w:rtl/>
        </w:rPr>
        <w:t>צורך</w:t>
      </w:r>
      <w:r w:rsidRPr="00D170F5">
        <w:rPr>
          <w:rFonts w:ascii="Century" w:hAnsi="Century" w:cs="Miriam"/>
          <w:b/>
          <w:u w:val="single"/>
          <w:rtl/>
        </w:rPr>
        <w:t xml:space="preserve"> </w:t>
      </w:r>
      <w:r w:rsidRPr="00D170F5">
        <w:rPr>
          <w:rFonts w:ascii="Century" w:hAnsi="Century" w:cs="Miriam" w:hint="eastAsia"/>
          <w:b/>
          <w:u w:val="single"/>
          <w:rtl/>
        </w:rPr>
        <w:t>בסטייה</w:t>
      </w:r>
      <w:r w:rsidRPr="00D170F5">
        <w:rPr>
          <w:rFonts w:ascii="Century" w:hAnsi="Century" w:cs="Miriam"/>
          <w:b/>
          <w:u w:val="single"/>
          <w:rtl/>
        </w:rPr>
        <w:t xml:space="preserve"> </w:t>
      </w:r>
      <w:r w:rsidRPr="00D170F5">
        <w:rPr>
          <w:rFonts w:ascii="Century" w:hAnsi="Century" w:cs="Miriam" w:hint="eastAsia"/>
          <w:b/>
          <w:u w:val="single"/>
          <w:rtl/>
        </w:rPr>
        <w:t>מהותית</w:t>
      </w:r>
      <w:r w:rsidRPr="00D170F5">
        <w:rPr>
          <w:rFonts w:ascii="Century" w:hAnsi="Century" w:cs="Miriam"/>
          <w:b/>
          <w:u w:val="single"/>
          <w:rtl/>
        </w:rPr>
        <w:t xml:space="preserve">, </w:t>
      </w:r>
      <w:r w:rsidRPr="00D170F5">
        <w:rPr>
          <w:rFonts w:ascii="Century" w:hAnsi="Century" w:cs="Miriam" w:hint="eastAsia"/>
          <w:b/>
          <w:u w:val="single"/>
          <w:rtl/>
        </w:rPr>
        <w:t>היורדת</w:t>
      </w:r>
      <w:r w:rsidRPr="00D170F5">
        <w:rPr>
          <w:rFonts w:ascii="Century" w:hAnsi="Century" w:cs="Miriam"/>
          <w:b/>
          <w:u w:val="single"/>
          <w:rtl/>
        </w:rPr>
        <w:t xml:space="preserve"> </w:t>
      </w:r>
      <w:r w:rsidRPr="00D170F5">
        <w:rPr>
          <w:rFonts w:ascii="Century" w:hAnsi="Century" w:cs="Miriam" w:hint="eastAsia"/>
          <w:b/>
          <w:u w:val="single"/>
          <w:rtl/>
        </w:rPr>
        <w:t>לשורש</w:t>
      </w:r>
      <w:r w:rsidRPr="00D170F5">
        <w:rPr>
          <w:rFonts w:ascii="Century" w:hAnsi="Century" w:cs="Miriam"/>
          <w:b/>
          <w:u w:val="single"/>
          <w:rtl/>
        </w:rPr>
        <w:t xml:space="preserve"> </w:t>
      </w:r>
      <w:r w:rsidRPr="00D170F5">
        <w:rPr>
          <w:rFonts w:ascii="Century" w:hAnsi="Century" w:cs="Miriam" w:hint="eastAsia"/>
          <w:b/>
          <w:u w:val="single"/>
          <w:rtl/>
        </w:rPr>
        <w:t>העניין</w:t>
      </w:r>
      <w:r>
        <w:rPr>
          <w:rFonts w:ascii="Century" w:hAnsi="Century" w:cs="FrankRuehl" w:hint="cs"/>
          <w:spacing w:val="10"/>
          <w:szCs w:val="28"/>
          <w:rtl/>
        </w:rPr>
        <w:t>" (שם, בעמוד 443; ההדגשה הוספה).</w:t>
      </w:r>
    </w:p>
    <w:p w:rsidR="00A01E7C" w:rsidRDefault="00A01E7C" w:rsidP="00A01E7C">
      <w:pPr>
        <w:spacing w:line="360" w:lineRule="auto"/>
        <w:jc w:val="both"/>
        <w:rPr>
          <w:rFonts w:ascii="Century" w:hAnsi="Century" w:cs="FrankRuehl"/>
          <w:spacing w:val="10"/>
          <w:szCs w:val="28"/>
          <w:rtl/>
        </w:rPr>
      </w:pPr>
    </w:p>
    <w:p w:rsidR="00A01E7C" w:rsidRPr="007D0134" w:rsidRDefault="00A01E7C" w:rsidP="002A1A3A">
      <w:pPr>
        <w:pStyle w:val="Ruller4"/>
        <w:numPr>
          <w:ilvl w:val="0"/>
          <w:numId w:val="14"/>
        </w:numPr>
        <w:rPr>
          <w:rFonts w:ascii="Century" w:hAnsi="Century"/>
          <w:rtl/>
        </w:rPr>
      </w:pPr>
      <w:r w:rsidRPr="007D0134">
        <w:rPr>
          <w:rFonts w:ascii="Century" w:hAnsi="Century" w:hint="cs"/>
          <w:rtl/>
        </w:rPr>
        <w:t xml:space="preserve">ואולם, על אף שהיוולדה של הנוסחה האיזונית מיוחסת ככלל לפסק דינו של השופט </w:t>
      </w:r>
      <w:r w:rsidRPr="007D0134">
        <w:rPr>
          <w:rFonts w:ascii="Century" w:hAnsi="Century" w:cs="Miriam" w:hint="eastAsia"/>
          <w:b/>
          <w:szCs w:val="24"/>
          <w:rtl/>
        </w:rPr>
        <w:t>ברק</w:t>
      </w:r>
      <w:r w:rsidRPr="007D0134">
        <w:rPr>
          <w:rFonts w:ascii="Century" w:hAnsi="Century" w:hint="cs"/>
          <w:rtl/>
        </w:rPr>
        <w:t xml:space="preserve"> בעניין </w:t>
      </w:r>
      <w:r w:rsidRPr="007D0134">
        <w:rPr>
          <w:rFonts w:ascii="Century" w:hAnsi="Century" w:cs="Miriam" w:hint="eastAsia"/>
          <w:b/>
          <w:szCs w:val="24"/>
          <w:rtl/>
        </w:rPr>
        <w:t>דפי</w:t>
      </w:r>
      <w:r w:rsidRPr="007D0134">
        <w:rPr>
          <w:rFonts w:ascii="Century" w:hAnsi="Century" w:cs="Miriam"/>
          <w:b/>
          <w:szCs w:val="24"/>
          <w:rtl/>
        </w:rPr>
        <w:t xml:space="preserve"> </w:t>
      </w:r>
      <w:r w:rsidRPr="007D0134">
        <w:rPr>
          <w:rFonts w:ascii="Century" w:hAnsi="Century" w:cs="Miriam" w:hint="eastAsia"/>
          <w:b/>
          <w:szCs w:val="24"/>
          <w:rtl/>
        </w:rPr>
        <w:t>זהב</w:t>
      </w:r>
      <w:r w:rsidRPr="007D0134">
        <w:rPr>
          <w:rFonts w:ascii="Century" w:hAnsi="Century" w:hint="cs"/>
          <w:rtl/>
        </w:rPr>
        <w:t>, למעשה ניתן למצוא לה שורשים מוקדמים יותר בפסיקה ובספרות (ראו: כהן, בעמודים 796-795; זמיר, בעמוד 3556). את הדוגמה המובהקת ביותר ניתן למצוא ב</w:t>
      </w:r>
      <w:r w:rsidRPr="007D0134">
        <w:rPr>
          <w:rFonts w:ascii="Century" w:hAnsi="Century"/>
          <w:rtl/>
        </w:rPr>
        <w:t xml:space="preserve">בג"ץ 156/75 </w:t>
      </w:r>
      <w:r w:rsidRPr="007D0134">
        <w:rPr>
          <w:rFonts w:ascii="Century" w:hAnsi="Century" w:cs="Miriam"/>
          <w:b/>
          <w:szCs w:val="24"/>
          <w:rtl/>
        </w:rPr>
        <w:t>דקה נ' שר התחבורה</w:t>
      </w:r>
      <w:r w:rsidRPr="007D0134">
        <w:rPr>
          <w:rFonts w:ascii="Century" w:hAnsi="Century"/>
          <w:rtl/>
        </w:rPr>
        <w:t xml:space="preserve">, </w:t>
      </w:r>
      <w:r w:rsidRPr="007D0134">
        <w:rPr>
          <w:rFonts w:ascii="Century" w:hAnsi="Century" w:hint="cs"/>
          <w:rtl/>
        </w:rPr>
        <w:t xml:space="preserve">פ"ד </w:t>
      </w:r>
      <w:r w:rsidRPr="007D0134">
        <w:rPr>
          <w:rFonts w:ascii="Century" w:hAnsi="Century"/>
          <w:rtl/>
        </w:rPr>
        <w:t>ל(2) 94 (1976)</w:t>
      </w:r>
      <w:r w:rsidRPr="007D0134">
        <w:rPr>
          <w:rFonts w:ascii="Century" w:hAnsi="Century" w:hint="cs"/>
          <w:rtl/>
        </w:rPr>
        <w:t xml:space="preserve"> (להלן: </w:t>
      </w:r>
      <w:r w:rsidRPr="007D0134">
        <w:rPr>
          <w:rFonts w:ascii="Century" w:hAnsi="Century" w:cs="Miriam" w:hint="eastAsia"/>
          <w:b/>
          <w:szCs w:val="24"/>
          <w:rtl/>
        </w:rPr>
        <w:t>עניין</w:t>
      </w:r>
      <w:r w:rsidRPr="007D0134">
        <w:rPr>
          <w:rFonts w:ascii="Century" w:hAnsi="Century" w:cs="Miriam"/>
          <w:b/>
          <w:szCs w:val="24"/>
          <w:rtl/>
        </w:rPr>
        <w:t xml:space="preserve"> </w:t>
      </w:r>
      <w:r w:rsidRPr="007D0134">
        <w:rPr>
          <w:rFonts w:ascii="Century" w:hAnsi="Century" w:cs="Miriam" w:hint="eastAsia"/>
          <w:b/>
          <w:szCs w:val="24"/>
          <w:rtl/>
        </w:rPr>
        <w:t>דקה</w:t>
      </w:r>
      <w:r w:rsidRPr="007D0134">
        <w:rPr>
          <w:rFonts w:ascii="Century" w:hAnsi="Century" w:hint="cs"/>
          <w:rtl/>
        </w:rPr>
        <w:t xml:space="preserve">) </w:t>
      </w:r>
      <w:r w:rsidRPr="007D0134">
        <w:rPr>
          <w:rFonts w:ascii="Century" w:hAnsi="Century"/>
          <w:rtl/>
        </w:rPr>
        <w:t>–</w:t>
      </w:r>
      <w:r w:rsidRPr="007D0134">
        <w:rPr>
          <w:rFonts w:ascii="Century" w:hAnsi="Century" w:hint="cs"/>
          <w:rtl/>
        </w:rPr>
        <w:t xml:space="preserve"> שם הכיר בית המשפט מפורשות באפשרות להתערב בהחלטת הרשות המינהלית מן הטעם שלא ניתן משקל הולם לשיקולים הרלוונטיים השונים, עד כדי שההחלטה הפכה בלתי סבירה בעליל. באותו עניין נידונה עתירה לביטול תקנה מסוימת בתקנות התעבורה. בפסק דינו דן השופט </w:t>
      </w:r>
      <w:r w:rsidRPr="007D0134">
        <w:rPr>
          <w:rFonts w:ascii="Century" w:hAnsi="Century" w:cs="Miriam" w:hint="eastAsia"/>
          <w:b/>
          <w:szCs w:val="24"/>
          <w:rtl/>
        </w:rPr>
        <w:t>מ</w:t>
      </w:r>
      <w:r w:rsidRPr="007D0134">
        <w:rPr>
          <w:rFonts w:ascii="Century" w:hAnsi="Century" w:cs="Miriam"/>
          <w:b/>
          <w:szCs w:val="24"/>
          <w:rtl/>
        </w:rPr>
        <w:t xml:space="preserve">' </w:t>
      </w:r>
      <w:r w:rsidRPr="007D0134">
        <w:rPr>
          <w:rFonts w:ascii="Century" w:hAnsi="Century" w:cs="Miriam" w:hint="eastAsia"/>
          <w:b/>
          <w:szCs w:val="24"/>
          <w:rtl/>
        </w:rPr>
        <w:t>שמגר</w:t>
      </w:r>
      <w:r w:rsidRPr="007D0134">
        <w:rPr>
          <w:rFonts w:ascii="Century" w:hAnsi="Century" w:hint="cs"/>
          <w:rtl/>
        </w:rPr>
        <w:t xml:space="preserve"> בשאלה באילו נסיבות תתקבל מסקנה של חוסר סבירות, וציין כי:</w:t>
      </w:r>
    </w:p>
    <w:p w:rsidR="00A01E7C" w:rsidRDefault="00A01E7C" w:rsidP="00A01E7C">
      <w:pPr>
        <w:spacing w:line="360" w:lineRule="auto"/>
        <w:jc w:val="both"/>
        <w:rPr>
          <w:rFonts w:ascii="Century" w:hAnsi="Century" w:cs="FrankRuehl"/>
          <w:spacing w:val="10"/>
          <w:szCs w:val="28"/>
          <w:rtl/>
        </w:rPr>
      </w:pPr>
    </w:p>
    <w:p w:rsidR="00A01E7C" w:rsidRPr="0024615A" w:rsidRDefault="00A01E7C" w:rsidP="00A01E7C">
      <w:pPr>
        <w:pStyle w:val="Ruller5"/>
      </w:pPr>
      <w:r>
        <w:rPr>
          <w:rFonts w:hint="cs"/>
          <w:rtl/>
        </w:rPr>
        <w:t>...</w:t>
      </w:r>
      <w:r w:rsidRPr="0004029E">
        <w:rPr>
          <w:rFonts w:hint="eastAsia"/>
          <w:rtl/>
        </w:rPr>
        <w:t>למרות</w:t>
      </w:r>
      <w:r w:rsidRPr="0004029E">
        <w:rPr>
          <w:rtl/>
        </w:rPr>
        <w:t xml:space="preserve"> </w:t>
      </w:r>
      <w:r w:rsidRPr="0004029E">
        <w:rPr>
          <w:rFonts w:hint="eastAsia"/>
          <w:rtl/>
        </w:rPr>
        <w:t>העובדה</w:t>
      </w:r>
      <w:r w:rsidRPr="0004029E">
        <w:rPr>
          <w:rtl/>
        </w:rPr>
        <w:t xml:space="preserve"> </w:t>
      </w:r>
      <w:r w:rsidRPr="0004029E">
        <w:rPr>
          <w:rFonts w:hint="eastAsia"/>
          <w:rtl/>
        </w:rPr>
        <w:t>שאי</w:t>
      </w:r>
      <w:r w:rsidRPr="0004029E">
        <w:rPr>
          <w:rtl/>
        </w:rPr>
        <w:t>-</w:t>
      </w:r>
      <w:r w:rsidRPr="0004029E">
        <w:rPr>
          <w:rFonts w:hint="eastAsia"/>
          <w:rtl/>
        </w:rPr>
        <w:t>הסבירות</w:t>
      </w:r>
      <w:r w:rsidRPr="0004029E">
        <w:rPr>
          <w:rtl/>
        </w:rPr>
        <w:t xml:space="preserve"> </w:t>
      </w:r>
      <w:r w:rsidRPr="0004029E">
        <w:rPr>
          <w:rFonts w:hint="eastAsia"/>
          <w:rtl/>
        </w:rPr>
        <w:t>מוצאת</w:t>
      </w:r>
      <w:r w:rsidRPr="0004029E">
        <w:rPr>
          <w:rtl/>
        </w:rPr>
        <w:t xml:space="preserve"> </w:t>
      </w:r>
      <w:r w:rsidRPr="0004029E">
        <w:rPr>
          <w:rFonts w:hint="eastAsia"/>
          <w:rtl/>
        </w:rPr>
        <w:t>ביטויה</w:t>
      </w:r>
      <w:r w:rsidRPr="0004029E">
        <w:rPr>
          <w:rtl/>
        </w:rPr>
        <w:t xml:space="preserve">, </w:t>
      </w:r>
      <w:r w:rsidRPr="0004029E">
        <w:rPr>
          <w:rFonts w:hint="eastAsia"/>
          <w:rtl/>
        </w:rPr>
        <w:t>בעיקרה</w:t>
      </w:r>
      <w:r w:rsidRPr="0004029E">
        <w:rPr>
          <w:rtl/>
        </w:rPr>
        <w:t xml:space="preserve">, </w:t>
      </w:r>
      <w:r w:rsidRPr="0004029E">
        <w:rPr>
          <w:rFonts w:hint="eastAsia"/>
          <w:rtl/>
        </w:rPr>
        <w:t>בתופעות</w:t>
      </w:r>
      <w:r w:rsidRPr="0004029E">
        <w:rPr>
          <w:rtl/>
        </w:rPr>
        <w:t xml:space="preserve"> </w:t>
      </w:r>
      <w:r w:rsidRPr="0004029E">
        <w:rPr>
          <w:rFonts w:hint="eastAsia"/>
          <w:rtl/>
        </w:rPr>
        <w:t>אשר</w:t>
      </w:r>
      <w:r w:rsidRPr="0004029E">
        <w:rPr>
          <w:rtl/>
        </w:rPr>
        <w:t xml:space="preserve"> </w:t>
      </w:r>
      <w:r w:rsidRPr="0004029E">
        <w:rPr>
          <w:rFonts w:hint="eastAsia"/>
          <w:rtl/>
        </w:rPr>
        <w:t>להן</w:t>
      </w:r>
      <w:r w:rsidRPr="0004029E">
        <w:rPr>
          <w:rtl/>
        </w:rPr>
        <w:t xml:space="preserve"> </w:t>
      </w:r>
      <w:r w:rsidRPr="0004029E">
        <w:rPr>
          <w:rFonts w:hint="eastAsia"/>
          <w:rtl/>
        </w:rPr>
        <w:t>גם</w:t>
      </w:r>
      <w:r w:rsidRPr="0004029E">
        <w:rPr>
          <w:rtl/>
        </w:rPr>
        <w:t xml:space="preserve"> </w:t>
      </w:r>
      <w:r w:rsidRPr="0004029E">
        <w:rPr>
          <w:rFonts w:hint="eastAsia"/>
          <w:rtl/>
        </w:rPr>
        <w:t>קיום</w:t>
      </w:r>
      <w:r w:rsidRPr="0004029E">
        <w:rPr>
          <w:rtl/>
        </w:rPr>
        <w:t xml:space="preserve"> </w:t>
      </w:r>
      <w:r w:rsidRPr="0004029E">
        <w:rPr>
          <w:rFonts w:hint="eastAsia"/>
          <w:rtl/>
        </w:rPr>
        <w:t>עצמאי</w:t>
      </w:r>
      <w:r w:rsidRPr="0004029E">
        <w:rPr>
          <w:rtl/>
        </w:rPr>
        <w:t xml:space="preserve"> </w:t>
      </w:r>
      <w:r w:rsidRPr="0004029E">
        <w:rPr>
          <w:rFonts w:hint="eastAsia"/>
          <w:rtl/>
        </w:rPr>
        <w:t>כמדדים</w:t>
      </w:r>
      <w:r w:rsidRPr="0004029E">
        <w:rPr>
          <w:rtl/>
        </w:rPr>
        <w:t xml:space="preserve"> </w:t>
      </w:r>
      <w:r w:rsidRPr="0004029E">
        <w:rPr>
          <w:rFonts w:hint="eastAsia"/>
          <w:rtl/>
        </w:rPr>
        <w:t>על</w:t>
      </w:r>
      <w:r w:rsidRPr="0004029E">
        <w:rPr>
          <w:rtl/>
        </w:rPr>
        <w:t>-</w:t>
      </w:r>
      <w:r w:rsidRPr="0004029E">
        <w:rPr>
          <w:rFonts w:hint="eastAsia"/>
          <w:rtl/>
        </w:rPr>
        <w:t>פיהם</w:t>
      </w:r>
      <w:r w:rsidRPr="0004029E">
        <w:rPr>
          <w:rtl/>
        </w:rPr>
        <w:t xml:space="preserve"> </w:t>
      </w:r>
      <w:r w:rsidRPr="0004029E">
        <w:rPr>
          <w:rFonts w:hint="eastAsia"/>
          <w:rtl/>
        </w:rPr>
        <w:t>נבחנים</w:t>
      </w:r>
      <w:r w:rsidRPr="0004029E">
        <w:rPr>
          <w:rtl/>
        </w:rPr>
        <w:t xml:space="preserve"> </w:t>
      </w:r>
      <w:r w:rsidRPr="0004029E">
        <w:rPr>
          <w:rFonts w:hint="eastAsia"/>
          <w:rtl/>
        </w:rPr>
        <w:t>שיקולים</w:t>
      </w:r>
      <w:r w:rsidRPr="0004029E">
        <w:rPr>
          <w:rtl/>
        </w:rPr>
        <w:t xml:space="preserve"> </w:t>
      </w:r>
      <w:r w:rsidRPr="0004029E">
        <w:rPr>
          <w:rFonts w:hint="eastAsia"/>
          <w:rtl/>
        </w:rPr>
        <w:t>של</w:t>
      </w:r>
      <w:r w:rsidRPr="0004029E">
        <w:rPr>
          <w:rtl/>
        </w:rPr>
        <w:t xml:space="preserve"> </w:t>
      </w:r>
      <w:r w:rsidRPr="0004029E">
        <w:rPr>
          <w:rFonts w:hint="eastAsia"/>
          <w:rtl/>
        </w:rPr>
        <w:t>רשות</w:t>
      </w:r>
      <w:r w:rsidRPr="0004029E">
        <w:rPr>
          <w:rtl/>
        </w:rPr>
        <w:t xml:space="preserve"> </w:t>
      </w:r>
      <w:r w:rsidRPr="0004029E">
        <w:rPr>
          <w:rFonts w:hint="eastAsia"/>
          <w:rtl/>
        </w:rPr>
        <w:t>סטטוטורית</w:t>
      </w:r>
      <w:r w:rsidRPr="0004029E">
        <w:rPr>
          <w:rtl/>
        </w:rPr>
        <w:t xml:space="preserve">, </w:t>
      </w:r>
      <w:r w:rsidRPr="0004029E">
        <w:rPr>
          <w:rFonts w:hint="eastAsia"/>
          <w:rtl/>
        </w:rPr>
        <w:t>יכולה</w:t>
      </w:r>
      <w:r w:rsidRPr="0004029E">
        <w:rPr>
          <w:rtl/>
        </w:rPr>
        <w:t xml:space="preserve"> </w:t>
      </w:r>
      <w:r w:rsidRPr="0004029E">
        <w:rPr>
          <w:rFonts w:hint="eastAsia"/>
          <w:rtl/>
        </w:rPr>
        <w:t>אי</w:t>
      </w:r>
      <w:r w:rsidRPr="0004029E">
        <w:rPr>
          <w:rtl/>
        </w:rPr>
        <w:t>-</w:t>
      </w:r>
      <w:r w:rsidRPr="0004029E">
        <w:rPr>
          <w:rFonts w:hint="eastAsia"/>
          <w:rtl/>
        </w:rPr>
        <w:t>הסבירות</w:t>
      </w:r>
      <w:r w:rsidRPr="0004029E">
        <w:rPr>
          <w:rtl/>
        </w:rPr>
        <w:t xml:space="preserve"> </w:t>
      </w:r>
      <w:r w:rsidRPr="0004029E">
        <w:rPr>
          <w:rFonts w:hint="eastAsia"/>
          <w:rtl/>
        </w:rPr>
        <w:t>גם</w:t>
      </w:r>
      <w:r w:rsidRPr="0004029E">
        <w:rPr>
          <w:rtl/>
        </w:rPr>
        <w:t xml:space="preserve"> </w:t>
      </w:r>
      <w:r w:rsidRPr="0004029E">
        <w:rPr>
          <w:rFonts w:hint="eastAsia"/>
          <w:rtl/>
        </w:rPr>
        <w:t>להתגלות</w:t>
      </w:r>
      <w:r w:rsidRPr="0004029E">
        <w:rPr>
          <w:rtl/>
        </w:rPr>
        <w:t xml:space="preserve"> </w:t>
      </w:r>
      <w:r w:rsidRPr="0004029E">
        <w:rPr>
          <w:rFonts w:hint="eastAsia"/>
          <w:rtl/>
        </w:rPr>
        <w:t>כאשר</w:t>
      </w:r>
      <w:r w:rsidRPr="0004029E">
        <w:rPr>
          <w:rtl/>
        </w:rPr>
        <w:t xml:space="preserve"> </w:t>
      </w:r>
      <w:r w:rsidRPr="0004029E">
        <w:rPr>
          <w:rFonts w:hint="eastAsia"/>
          <w:rtl/>
        </w:rPr>
        <w:t>היא</w:t>
      </w:r>
      <w:r w:rsidRPr="0004029E">
        <w:rPr>
          <w:rtl/>
        </w:rPr>
        <w:t xml:space="preserve"> </w:t>
      </w:r>
      <w:r w:rsidRPr="0004029E">
        <w:rPr>
          <w:rFonts w:hint="eastAsia"/>
          <w:rtl/>
        </w:rPr>
        <w:t>בגפה</w:t>
      </w:r>
      <w:r w:rsidRPr="0004029E">
        <w:rPr>
          <w:rtl/>
        </w:rPr>
        <w:t xml:space="preserve">: </w:t>
      </w:r>
      <w:r w:rsidRPr="0004029E">
        <w:rPr>
          <w:rFonts w:hint="eastAsia"/>
          <w:rtl/>
        </w:rPr>
        <w:t>לדוגמא</w:t>
      </w:r>
      <w:r w:rsidRPr="0004029E">
        <w:rPr>
          <w:rtl/>
        </w:rPr>
        <w:t xml:space="preserve">, </w:t>
      </w:r>
      <w:r w:rsidRPr="00755331">
        <w:rPr>
          <w:rFonts w:ascii="Century" w:hAnsi="Century" w:cs="Miriam" w:hint="eastAsia"/>
          <w:b/>
          <w:spacing w:val="0"/>
          <w:szCs w:val="24"/>
          <w:rtl/>
        </w:rPr>
        <w:t>יכול</w:t>
      </w:r>
      <w:r w:rsidRPr="00755331">
        <w:rPr>
          <w:rFonts w:ascii="Century" w:hAnsi="Century" w:cs="Miriam"/>
          <w:b/>
          <w:spacing w:val="0"/>
          <w:szCs w:val="24"/>
          <w:rtl/>
        </w:rPr>
        <w:t xml:space="preserve"> </w:t>
      </w:r>
      <w:r w:rsidRPr="00755331">
        <w:rPr>
          <w:rFonts w:ascii="Century" w:hAnsi="Century" w:cs="Miriam" w:hint="eastAsia"/>
          <w:b/>
          <w:spacing w:val="0"/>
          <w:szCs w:val="24"/>
          <w:rtl/>
        </w:rPr>
        <w:t>שייווצרו</w:t>
      </w:r>
      <w:r w:rsidRPr="00755331">
        <w:rPr>
          <w:rFonts w:ascii="Century" w:hAnsi="Century" w:cs="Miriam"/>
          <w:b/>
          <w:spacing w:val="0"/>
          <w:szCs w:val="24"/>
          <w:rtl/>
        </w:rPr>
        <w:t xml:space="preserve"> </w:t>
      </w:r>
      <w:r w:rsidRPr="00755331">
        <w:rPr>
          <w:rFonts w:ascii="Century" w:hAnsi="Century" w:cs="Miriam" w:hint="eastAsia"/>
          <w:b/>
          <w:spacing w:val="0"/>
          <w:szCs w:val="24"/>
          <w:rtl/>
        </w:rPr>
        <w:t>נסיבות</w:t>
      </w:r>
      <w:r w:rsidRPr="00755331">
        <w:rPr>
          <w:rFonts w:ascii="Century" w:hAnsi="Century" w:cs="Miriam"/>
          <w:b/>
          <w:spacing w:val="0"/>
          <w:szCs w:val="24"/>
          <w:rtl/>
        </w:rPr>
        <w:t xml:space="preserve"> </w:t>
      </w:r>
      <w:r w:rsidRPr="00755331">
        <w:rPr>
          <w:rFonts w:ascii="Century" w:hAnsi="Century" w:cs="Miriam" w:hint="eastAsia"/>
          <w:b/>
          <w:spacing w:val="0"/>
          <w:szCs w:val="24"/>
          <w:rtl/>
        </w:rPr>
        <w:t>בהן</w:t>
      </w:r>
      <w:r w:rsidRPr="00755331">
        <w:rPr>
          <w:rFonts w:ascii="Century" w:hAnsi="Century" w:cs="Miriam"/>
          <w:b/>
          <w:spacing w:val="0"/>
          <w:szCs w:val="24"/>
          <w:rtl/>
        </w:rPr>
        <w:t xml:space="preserve"> </w:t>
      </w:r>
      <w:r w:rsidRPr="00755331">
        <w:rPr>
          <w:rFonts w:ascii="Century" w:hAnsi="Century" w:cs="Miriam" w:hint="eastAsia"/>
          <w:b/>
          <w:spacing w:val="0"/>
          <w:szCs w:val="24"/>
          <w:rtl/>
        </w:rPr>
        <w:t>לא</w:t>
      </w:r>
      <w:r w:rsidRPr="00755331">
        <w:rPr>
          <w:rFonts w:ascii="Century" w:hAnsi="Century" w:cs="Miriam"/>
          <w:b/>
          <w:spacing w:val="0"/>
          <w:szCs w:val="24"/>
          <w:rtl/>
        </w:rPr>
        <w:t xml:space="preserve"> </w:t>
      </w:r>
      <w:r w:rsidRPr="00755331">
        <w:rPr>
          <w:rFonts w:ascii="Century" w:hAnsi="Century" w:cs="Miriam" w:hint="eastAsia"/>
          <w:b/>
          <w:spacing w:val="0"/>
          <w:szCs w:val="24"/>
          <w:rtl/>
        </w:rPr>
        <w:t>נשקל</w:t>
      </w:r>
      <w:r w:rsidRPr="00755331">
        <w:rPr>
          <w:rFonts w:ascii="Century" w:hAnsi="Century" w:cs="Miriam"/>
          <w:b/>
          <w:spacing w:val="0"/>
          <w:szCs w:val="24"/>
          <w:rtl/>
        </w:rPr>
        <w:t xml:space="preserve"> </w:t>
      </w:r>
      <w:r w:rsidRPr="00755331">
        <w:rPr>
          <w:rFonts w:ascii="Century" w:hAnsi="Century" w:cs="Miriam" w:hint="eastAsia"/>
          <w:b/>
          <w:spacing w:val="0"/>
          <w:szCs w:val="24"/>
          <w:rtl/>
        </w:rPr>
        <w:t>על</w:t>
      </w:r>
      <w:r w:rsidRPr="00755331">
        <w:rPr>
          <w:rFonts w:ascii="Century" w:hAnsi="Century" w:cs="Miriam"/>
          <w:b/>
          <w:spacing w:val="0"/>
          <w:szCs w:val="24"/>
          <w:rtl/>
        </w:rPr>
        <w:t>-</w:t>
      </w:r>
      <w:r w:rsidRPr="00755331">
        <w:rPr>
          <w:rFonts w:ascii="Century" w:hAnsi="Century" w:cs="Miriam" w:hint="eastAsia"/>
          <w:b/>
          <w:spacing w:val="0"/>
          <w:szCs w:val="24"/>
          <w:rtl/>
        </w:rPr>
        <w:t>ידי</w:t>
      </w:r>
      <w:r w:rsidRPr="00755331">
        <w:rPr>
          <w:rFonts w:ascii="Century" w:hAnsi="Century" w:cs="Miriam"/>
          <w:b/>
          <w:spacing w:val="0"/>
          <w:szCs w:val="24"/>
          <w:rtl/>
        </w:rPr>
        <w:t xml:space="preserve"> </w:t>
      </w:r>
      <w:r w:rsidRPr="00755331">
        <w:rPr>
          <w:rFonts w:ascii="Century" w:hAnsi="Century" w:cs="Miriam" w:hint="eastAsia"/>
          <w:b/>
          <w:spacing w:val="0"/>
          <w:szCs w:val="24"/>
          <w:rtl/>
        </w:rPr>
        <w:t>הרשות</w:t>
      </w:r>
      <w:r w:rsidRPr="00755331">
        <w:rPr>
          <w:rFonts w:ascii="Century" w:hAnsi="Century" w:cs="Miriam"/>
          <w:b/>
          <w:spacing w:val="0"/>
          <w:szCs w:val="24"/>
          <w:rtl/>
        </w:rPr>
        <w:t xml:space="preserve"> </w:t>
      </w:r>
      <w:r w:rsidRPr="00755331">
        <w:rPr>
          <w:rFonts w:ascii="Century" w:hAnsi="Century" w:cs="Miriam" w:hint="eastAsia"/>
          <w:b/>
          <w:spacing w:val="0"/>
          <w:szCs w:val="24"/>
          <w:rtl/>
        </w:rPr>
        <w:t>המיניסטריאלית</w:t>
      </w:r>
      <w:r w:rsidRPr="00755331">
        <w:rPr>
          <w:rFonts w:ascii="Century" w:hAnsi="Century" w:cs="Miriam"/>
          <w:b/>
          <w:spacing w:val="0"/>
          <w:szCs w:val="24"/>
          <w:rtl/>
        </w:rPr>
        <w:t xml:space="preserve"> </w:t>
      </w:r>
      <w:r w:rsidRPr="00755331">
        <w:rPr>
          <w:rFonts w:ascii="Century" w:hAnsi="Century" w:cs="Miriam" w:hint="eastAsia"/>
          <w:b/>
          <w:spacing w:val="0"/>
          <w:szCs w:val="24"/>
          <w:rtl/>
        </w:rPr>
        <w:t>שיקול</w:t>
      </w:r>
      <w:r w:rsidRPr="00755331">
        <w:rPr>
          <w:rFonts w:ascii="Century" w:hAnsi="Century" w:cs="Miriam"/>
          <w:b/>
          <w:spacing w:val="0"/>
          <w:szCs w:val="24"/>
          <w:rtl/>
        </w:rPr>
        <w:t xml:space="preserve"> </w:t>
      </w:r>
      <w:r w:rsidRPr="00755331">
        <w:rPr>
          <w:rFonts w:ascii="Century" w:hAnsi="Century" w:cs="Miriam" w:hint="eastAsia"/>
          <w:b/>
          <w:spacing w:val="0"/>
          <w:szCs w:val="24"/>
          <w:rtl/>
        </w:rPr>
        <w:t>זר</w:t>
      </w:r>
      <w:r w:rsidRPr="00755331">
        <w:rPr>
          <w:rFonts w:ascii="Century" w:hAnsi="Century" w:cs="Miriam"/>
          <w:b/>
          <w:spacing w:val="0"/>
          <w:szCs w:val="24"/>
          <w:rtl/>
        </w:rPr>
        <w:t xml:space="preserve">, </w:t>
      </w:r>
      <w:r w:rsidRPr="00755331">
        <w:rPr>
          <w:rFonts w:ascii="Century" w:hAnsi="Century" w:cs="Miriam" w:hint="eastAsia"/>
          <w:b/>
          <w:spacing w:val="0"/>
          <w:szCs w:val="24"/>
          <w:rtl/>
        </w:rPr>
        <w:t>והובאו</w:t>
      </w:r>
      <w:r w:rsidRPr="00755331">
        <w:rPr>
          <w:rFonts w:ascii="Century" w:hAnsi="Century" w:cs="Miriam"/>
          <w:b/>
          <w:spacing w:val="0"/>
          <w:szCs w:val="24"/>
          <w:rtl/>
        </w:rPr>
        <w:t xml:space="preserve"> </w:t>
      </w:r>
      <w:r w:rsidRPr="00755331">
        <w:rPr>
          <w:rFonts w:ascii="Century" w:hAnsi="Century" w:cs="Miriam" w:hint="eastAsia"/>
          <w:b/>
          <w:spacing w:val="0"/>
          <w:szCs w:val="24"/>
          <w:rtl/>
        </w:rPr>
        <w:t>בחשבון</w:t>
      </w:r>
      <w:r w:rsidRPr="00755331">
        <w:rPr>
          <w:rFonts w:ascii="Century" w:hAnsi="Century" w:cs="Miriam"/>
          <w:b/>
          <w:spacing w:val="0"/>
          <w:szCs w:val="24"/>
          <w:rtl/>
        </w:rPr>
        <w:t xml:space="preserve"> </w:t>
      </w:r>
      <w:r w:rsidRPr="00755331">
        <w:rPr>
          <w:rFonts w:ascii="Century" w:hAnsi="Century" w:cs="Miriam" w:hint="eastAsia"/>
          <w:b/>
          <w:spacing w:val="0"/>
          <w:szCs w:val="24"/>
          <w:rtl/>
        </w:rPr>
        <w:t>אך</w:t>
      </w:r>
      <w:r w:rsidRPr="00755331">
        <w:rPr>
          <w:rFonts w:ascii="Century" w:hAnsi="Century" w:cs="Miriam"/>
          <w:b/>
          <w:spacing w:val="0"/>
          <w:szCs w:val="24"/>
          <w:rtl/>
        </w:rPr>
        <w:t xml:space="preserve"> </w:t>
      </w:r>
      <w:r w:rsidRPr="00755331">
        <w:rPr>
          <w:rFonts w:ascii="Century" w:hAnsi="Century" w:cs="Miriam" w:hint="eastAsia"/>
          <w:b/>
          <w:spacing w:val="0"/>
          <w:szCs w:val="24"/>
          <w:rtl/>
        </w:rPr>
        <w:t>ורק</w:t>
      </w:r>
      <w:r w:rsidRPr="00755331">
        <w:rPr>
          <w:rFonts w:ascii="Century" w:hAnsi="Century" w:cs="Miriam"/>
          <w:b/>
          <w:spacing w:val="0"/>
          <w:szCs w:val="24"/>
          <w:rtl/>
        </w:rPr>
        <w:t xml:space="preserve"> </w:t>
      </w:r>
      <w:r w:rsidRPr="00755331">
        <w:rPr>
          <w:rFonts w:ascii="Century" w:hAnsi="Century" w:cs="Miriam" w:hint="eastAsia"/>
          <w:b/>
          <w:spacing w:val="0"/>
          <w:szCs w:val="24"/>
          <w:rtl/>
        </w:rPr>
        <w:t>שיקולים</w:t>
      </w:r>
      <w:r w:rsidRPr="00755331">
        <w:rPr>
          <w:rFonts w:ascii="Century" w:hAnsi="Century" w:cs="Miriam"/>
          <w:b/>
          <w:spacing w:val="0"/>
          <w:szCs w:val="24"/>
          <w:rtl/>
        </w:rPr>
        <w:t xml:space="preserve"> </w:t>
      </w:r>
      <w:r w:rsidRPr="00755331">
        <w:rPr>
          <w:rFonts w:ascii="Century" w:hAnsi="Century" w:cs="Miriam" w:hint="eastAsia"/>
          <w:b/>
          <w:spacing w:val="0"/>
          <w:szCs w:val="24"/>
          <w:rtl/>
        </w:rPr>
        <w:t>שהם</w:t>
      </w:r>
      <w:r w:rsidRPr="00755331">
        <w:rPr>
          <w:rFonts w:ascii="Century" w:hAnsi="Century" w:cs="Miriam"/>
          <w:b/>
          <w:spacing w:val="0"/>
          <w:szCs w:val="24"/>
          <w:rtl/>
        </w:rPr>
        <w:t xml:space="preserve"> </w:t>
      </w:r>
      <w:r w:rsidRPr="00755331">
        <w:rPr>
          <w:rFonts w:ascii="Century" w:hAnsi="Century" w:cs="Miriam" w:hint="eastAsia"/>
          <w:b/>
          <w:spacing w:val="0"/>
          <w:szCs w:val="24"/>
          <w:rtl/>
        </w:rPr>
        <w:t>רלבנטיים</w:t>
      </w:r>
      <w:r w:rsidRPr="00755331">
        <w:rPr>
          <w:rFonts w:ascii="Century" w:hAnsi="Century" w:cs="Miriam"/>
          <w:b/>
          <w:spacing w:val="0"/>
          <w:szCs w:val="24"/>
          <w:rtl/>
        </w:rPr>
        <w:t xml:space="preserve"> </w:t>
      </w:r>
      <w:r w:rsidRPr="00755331">
        <w:rPr>
          <w:rFonts w:ascii="Century" w:hAnsi="Century" w:cs="Miriam" w:hint="eastAsia"/>
          <w:b/>
          <w:spacing w:val="0"/>
          <w:szCs w:val="24"/>
          <w:rtl/>
        </w:rPr>
        <w:t>לענ</w:t>
      </w:r>
      <w:r>
        <w:rPr>
          <w:rFonts w:ascii="Century" w:hAnsi="Century" w:cs="Miriam" w:hint="cs"/>
          <w:b/>
          <w:spacing w:val="0"/>
          <w:szCs w:val="24"/>
          <w:rtl/>
        </w:rPr>
        <w:t>י</w:t>
      </w:r>
      <w:r w:rsidRPr="00755331">
        <w:rPr>
          <w:rFonts w:ascii="Century" w:hAnsi="Century" w:cs="Miriam" w:hint="eastAsia"/>
          <w:b/>
          <w:spacing w:val="0"/>
          <w:szCs w:val="24"/>
          <w:rtl/>
        </w:rPr>
        <w:t>ין</w:t>
      </w:r>
      <w:r w:rsidRPr="00755331">
        <w:rPr>
          <w:rFonts w:ascii="Century" w:hAnsi="Century" w:cs="Miriam"/>
          <w:b/>
          <w:spacing w:val="0"/>
          <w:szCs w:val="24"/>
          <w:rtl/>
        </w:rPr>
        <w:t xml:space="preserve">, </w:t>
      </w:r>
      <w:r w:rsidRPr="00755331">
        <w:rPr>
          <w:rFonts w:ascii="Century" w:hAnsi="Century" w:cs="Miriam" w:hint="eastAsia"/>
          <w:b/>
          <w:spacing w:val="0"/>
          <w:szCs w:val="24"/>
          <w:rtl/>
        </w:rPr>
        <w:t>אולם</w:t>
      </w:r>
      <w:r w:rsidRPr="00755331">
        <w:rPr>
          <w:rFonts w:ascii="Century" w:hAnsi="Century" w:cs="Miriam"/>
          <w:b/>
          <w:spacing w:val="0"/>
          <w:szCs w:val="24"/>
          <w:rtl/>
        </w:rPr>
        <w:t xml:space="preserve"> </w:t>
      </w:r>
      <w:r w:rsidRPr="00755331">
        <w:rPr>
          <w:rFonts w:ascii="Century" w:hAnsi="Century" w:cs="Miriam" w:hint="eastAsia"/>
          <w:b/>
          <w:spacing w:val="0"/>
          <w:szCs w:val="24"/>
          <w:rtl/>
        </w:rPr>
        <w:t>לשיקולים</w:t>
      </w:r>
      <w:r w:rsidRPr="00755331">
        <w:rPr>
          <w:rFonts w:ascii="Century" w:hAnsi="Century" w:cs="Miriam"/>
          <w:b/>
          <w:spacing w:val="0"/>
          <w:szCs w:val="24"/>
          <w:rtl/>
        </w:rPr>
        <w:t xml:space="preserve"> </w:t>
      </w:r>
      <w:r w:rsidRPr="00755331">
        <w:rPr>
          <w:rFonts w:ascii="Century" w:hAnsi="Century" w:cs="Miriam" w:hint="eastAsia"/>
          <w:b/>
          <w:spacing w:val="0"/>
          <w:szCs w:val="24"/>
          <w:rtl/>
        </w:rPr>
        <w:t>הרלבנטיים</w:t>
      </w:r>
      <w:r w:rsidRPr="00755331">
        <w:rPr>
          <w:rFonts w:ascii="Century" w:hAnsi="Century" w:cs="Miriam"/>
          <w:b/>
          <w:spacing w:val="0"/>
          <w:szCs w:val="24"/>
          <w:rtl/>
        </w:rPr>
        <w:t xml:space="preserve"> </w:t>
      </w:r>
      <w:r w:rsidRPr="00755331">
        <w:rPr>
          <w:rFonts w:ascii="Century" w:hAnsi="Century" w:cs="Miriam" w:hint="eastAsia"/>
          <w:b/>
          <w:spacing w:val="0"/>
          <w:szCs w:val="24"/>
          <w:rtl/>
        </w:rPr>
        <w:t>השונים</w:t>
      </w:r>
      <w:r w:rsidRPr="00755331">
        <w:rPr>
          <w:rFonts w:ascii="Century" w:hAnsi="Century" w:cs="Miriam"/>
          <w:b/>
          <w:spacing w:val="0"/>
          <w:szCs w:val="24"/>
          <w:rtl/>
        </w:rPr>
        <w:t xml:space="preserve"> </w:t>
      </w:r>
      <w:r w:rsidRPr="00755331">
        <w:rPr>
          <w:rFonts w:ascii="Century" w:hAnsi="Century" w:cs="Miriam" w:hint="eastAsia"/>
          <w:b/>
          <w:spacing w:val="0"/>
          <w:szCs w:val="24"/>
          <w:rtl/>
        </w:rPr>
        <w:t>יוחס</w:t>
      </w:r>
      <w:r w:rsidRPr="00755331">
        <w:rPr>
          <w:rFonts w:ascii="Century" w:hAnsi="Century" w:cs="Miriam"/>
          <w:b/>
          <w:spacing w:val="0"/>
          <w:szCs w:val="24"/>
          <w:rtl/>
        </w:rPr>
        <w:t xml:space="preserve"> </w:t>
      </w:r>
      <w:r w:rsidRPr="00755331">
        <w:rPr>
          <w:rFonts w:ascii="Century" w:hAnsi="Century" w:cs="Miriam" w:hint="eastAsia"/>
          <w:b/>
          <w:spacing w:val="0"/>
          <w:szCs w:val="24"/>
          <w:rtl/>
        </w:rPr>
        <w:t>משקל</w:t>
      </w:r>
      <w:r w:rsidRPr="00755331">
        <w:rPr>
          <w:rFonts w:ascii="Century" w:hAnsi="Century" w:cs="Miriam"/>
          <w:b/>
          <w:spacing w:val="0"/>
          <w:szCs w:val="24"/>
          <w:rtl/>
        </w:rPr>
        <w:t xml:space="preserve"> </w:t>
      </w:r>
      <w:r w:rsidRPr="00755331">
        <w:rPr>
          <w:rFonts w:ascii="Century" w:hAnsi="Century" w:cs="Miriam" w:hint="eastAsia"/>
          <w:b/>
          <w:spacing w:val="0"/>
          <w:szCs w:val="24"/>
          <w:rtl/>
        </w:rPr>
        <w:t>בפרופורציה</w:t>
      </w:r>
      <w:r w:rsidRPr="00755331">
        <w:rPr>
          <w:rFonts w:ascii="Century" w:hAnsi="Century" w:cs="Miriam"/>
          <w:b/>
          <w:spacing w:val="0"/>
          <w:szCs w:val="24"/>
          <w:rtl/>
        </w:rPr>
        <w:t xml:space="preserve"> </w:t>
      </w:r>
      <w:r w:rsidRPr="00755331">
        <w:rPr>
          <w:rFonts w:ascii="Century" w:hAnsi="Century" w:cs="Miriam" w:hint="eastAsia"/>
          <w:b/>
          <w:spacing w:val="0"/>
          <w:szCs w:val="24"/>
          <w:rtl/>
        </w:rPr>
        <w:t>כה</w:t>
      </w:r>
      <w:r w:rsidRPr="00755331">
        <w:rPr>
          <w:rFonts w:ascii="Century" w:hAnsi="Century" w:cs="Miriam"/>
          <w:b/>
          <w:spacing w:val="0"/>
          <w:szCs w:val="24"/>
          <w:rtl/>
        </w:rPr>
        <w:t xml:space="preserve"> </w:t>
      </w:r>
      <w:r w:rsidRPr="00755331">
        <w:rPr>
          <w:rFonts w:ascii="Century" w:hAnsi="Century" w:cs="Miriam" w:hint="eastAsia"/>
          <w:b/>
          <w:spacing w:val="0"/>
          <w:szCs w:val="24"/>
          <w:rtl/>
        </w:rPr>
        <w:t>מעוותת</w:t>
      </w:r>
      <w:r w:rsidRPr="00755331">
        <w:rPr>
          <w:rFonts w:ascii="Century" w:hAnsi="Century" w:cs="Miriam"/>
          <w:b/>
          <w:spacing w:val="0"/>
          <w:szCs w:val="24"/>
          <w:rtl/>
        </w:rPr>
        <w:t xml:space="preserve"> </w:t>
      </w:r>
      <w:r w:rsidRPr="00755331">
        <w:rPr>
          <w:rFonts w:ascii="Century" w:hAnsi="Century" w:cs="Miriam" w:hint="eastAsia"/>
          <w:b/>
          <w:spacing w:val="0"/>
          <w:szCs w:val="24"/>
          <w:rtl/>
        </w:rPr>
        <w:t>ביניהם</w:t>
      </w:r>
      <w:r w:rsidRPr="00755331">
        <w:rPr>
          <w:rFonts w:ascii="Century" w:hAnsi="Century" w:cs="Miriam"/>
          <w:b/>
          <w:spacing w:val="0"/>
          <w:szCs w:val="24"/>
          <w:rtl/>
        </w:rPr>
        <w:t xml:space="preserve"> </w:t>
      </w:r>
      <w:r w:rsidRPr="00755331">
        <w:rPr>
          <w:rFonts w:ascii="Century" w:hAnsi="Century" w:cs="Miriam" w:hint="eastAsia"/>
          <w:b/>
          <w:spacing w:val="0"/>
          <w:szCs w:val="24"/>
          <w:rtl/>
        </w:rPr>
        <w:t>לבין</w:t>
      </w:r>
      <w:r w:rsidRPr="00755331">
        <w:rPr>
          <w:rFonts w:ascii="Century" w:hAnsi="Century" w:cs="Miriam"/>
          <w:b/>
          <w:spacing w:val="0"/>
          <w:szCs w:val="24"/>
          <w:rtl/>
        </w:rPr>
        <w:t xml:space="preserve"> </w:t>
      </w:r>
      <w:r w:rsidRPr="00755331">
        <w:rPr>
          <w:rFonts w:ascii="Century" w:hAnsi="Century" w:cs="Miriam" w:hint="eastAsia"/>
          <w:b/>
          <w:spacing w:val="0"/>
          <w:szCs w:val="24"/>
          <w:rtl/>
        </w:rPr>
        <w:t>עצמם</w:t>
      </w:r>
      <w:r w:rsidRPr="00755331">
        <w:rPr>
          <w:rFonts w:ascii="Century" w:hAnsi="Century" w:cs="Miriam"/>
          <w:b/>
          <w:spacing w:val="0"/>
          <w:szCs w:val="24"/>
          <w:rtl/>
        </w:rPr>
        <w:t xml:space="preserve">, </w:t>
      </w:r>
      <w:r w:rsidRPr="00755331">
        <w:rPr>
          <w:rFonts w:ascii="Century" w:hAnsi="Century" w:cs="Miriam" w:hint="eastAsia"/>
          <w:b/>
          <w:spacing w:val="0"/>
          <w:szCs w:val="24"/>
          <w:rtl/>
        </w:rPr>
        <w:t>עד</w:t>
      </w:r>
      <w:r w:rsidRPr="00755331">
        <w:rPr>
          <w:rFonts w:ascii="Century" w:hAnsi="Century" w:cs="Miriam"/>
          <w:b/>
          <w:spacing w:val="0"/>
          <w:szCs w:val="24"/>
          <w:rtl/>
        </w:rPr>
        <w:t xml:space="preserve"> </w:t>
      </w:r>
      <w:r w:rsidRPr="00755331">
        <w:rPr>
          <w:rFonts w:ascii="Century" w:hAnsi="Century" w:cs="Miriam" w:hint="eastAsia"/>
          <w:b/>
          <w:spacing w:val="0"/>
          <w:szCs w:val="24"/>
          <w:rtl/>
        </w:rPr>
        <w:t>שהמסקנה</w:t>
      </w:r>
      <w:r w:rsidRPr="00755331">
        <w:rPr>
          <w:rFonts w:ascii="Century" w:hAnsi="Century" w:cs="Miriam"/>
          <w:b/>
          <w:spacing w:val="0"/>
          <w:szCs w:val="24"/>
          <w:rtl/>
        </w:rPr>
        <w:t xml:space="preserve"> </w:t>
      </w:r>
      <w:r w:rsidRPr="00755331">
        <w:rPr>
          <w:rFonts w:ascii="Century" w:hAnsi="Century" w:cs="Miriam" w:hint="eastAsia"/>
          <w:b/>
          <w:spacing w:val="0"/>
          <w:szCs w:val="24"/>
          <w:rtl/>
        </w:rPr>
        <w:t>הסופית</w:t>
      </w:r>
      <w:r w:rsidRPr="00755331">
        <w:rPr>
          <w:rFonts w:ascii="Century" w:hAnsi="Century" w:cs="Miriam"/>
          <w:b/>
          <w:spacing w:val="0"/>
          <w:szCs w:val="24"/>
          <w:rtl/>
        </w:rPr>
        <w:t xml:space="preserve"> </w:t>
      </w:r>
      <w:r w:rsidRPr="00755331">
        <w:rPr>
          <w:rFonts w:ascii="Century" w:hAnsi="Century" w:cs="Miriam" w:hint="eastAsia"/>
          <w:b/>
          <w:spacing w:val="0"/>
          <w:szCs w:val="24"/>
          <w:rtl/>
        </w:rPr>
        <w:t>הפכה</w:t>
      </w:r>
      <w:r w:rsidRPr="00755331">
        <w:rPr>
          <w:rFonts w:ascii="Century" w:hAnsi="Century" w:cs="Miriam"/>
          <w:b/>
          <w:spacing w:val="0"/>
          <w:szCs w:val="24"/>
          <w:rtl/>
        </w:rPr>
        <w:t xml:space="preserve"> </w:t>
      </w:r>
      <w:r w:rsidRPr="00755331">
        <w:rPr>
          <w:rFonts w:ascii="Century" w:hAnsi="Century" w:cs="Miriam" w:hint="eastAsia"/>
          <w:b/>
          <w:spacing w:val="0"/>
          <w:szCs w:val="24"/>
          <w:rtl/>
        </w:rPr>
        <w:t>מופרכת</w:t>
      </w:r>
      <w:r w:rsidRPr="00755331">
        <w:rPr>
          <w:rFonts w:ascii="Century" w:hAnsi="Century" w:cs="Miriam"/>
          <w:b/>
          <w:spacing w:val="0"/>
          <w:szCs w:val="24"/>
          <w:rtl/>
        </w:rPr>
        <w:t xml:space="preserve"> </w:t>
      </w:r>
      <w:r w:rsidRPr="00755331">
        <w:rPr>
          <w:rFonts w:ascii="Century" w:hAnsi="Century" w:cs="Miriam" w:hint="eastAsia"/>
          <w:b/>
          <w:spacing w:val="0"/>
          <w:szCs w:val="24"/>
          <w:rtl/>
        </w:rPr>
        <w:t>מעיקרה</w:t>
      </w:r>
      <w:r w:rsidRPr="00755331">
        <w:rPr>
          <w:rFonts w:ascii="Century" w:hAnsi="Century" w:cs="Miriam"/>
          <w:b/>
          <w:spacing w:val="0"/>
          <w:szCs w:val="24"/>
          <w:rtl/>
        </w:rPr>
        <w:t xml:space="preserve"> </w:t>
      </w:r>
      <w:r w:rsidRPr="00755331">
        <w:rPr>
          <w:rFonts w:ascii="Century" w:hAnsi="Century" w:cs="Miriam" w:hint="eastAsia"/>
          <w:b/>
          <w:spacing w:val="0"/>
          <w:szCs w:val="24"/>
          <w:rtl/>
        </w:rPr>
        <w:t>ובשל</w:t>
      </w:r>
      <w:r w:rsidRPr="00755331">
        <w:rPr>
          <w:rFonts w:ascii="Century" w:hAnsi="Century" w:cs="Miriam"/>
          <w:b/>
          <w:spacing w:val="0"/>
          <w:szCs w:val="24"/>
          <w:rtl/>
        </w:rPr>
        <w:t xml:space="preserve"> </w:t>
      </w:r>
      <w:r w:rsidRPr="00755331">
        <w:rPr>
          <w:rFonts w:ascii="Century" w:hAnsi="Century" w:cs="Miriam" w:hint="eastAsia"/>
          <w:b/>
          <w:spacing w:val="0"/>
          <w:szCs w:val="24"/>
          <w:rtl/>
        </w:rPr>
        <w:t>כך</w:t>
      </w:r>
      <w:r w:rsidRPr="00755331">
        <w:rPr>
          <w:rFonts w:ascii="Century" w:hAnsi="Century" w:cs="Miriam"/>
          <w:b/>
          <w:spacing w:val="0"/>
          <w:szCs w:val="24"/>
          <w:rtl/>
        </w:rPr>
        <w:t xml:space="preserve"> </w:t>
      </w:r>
      <w:r w:rsidRPr="00755331">
        <w:rPr>
          <w:rFonts w:ascii="Century" w:hAnsi="Century" w:cs="Miriam" w:hint="eastAsia"/>
          <w:b/>
          <w:spacing w:val="0"/>
          <w:szCs w:val="24"/>
          <w:rtl/>
        </w:rPr>
        <w:t>לבלתי</w:t>
      </w:r>
      <w:r w:rsidRPr="00755331">
        <w:rPr>
          <w:rFonts w:ascii="Century" w:hAnsi="Century" w:cs="Miriam"/>
          <w:b/>
          <w:spacing w:val="0"/>
          <w:szCs w:val="24"/>
          <w:rtl/>
        </w:rPr>
        <w:t>-</w:t>
      </w:r>
      <w:r w:rsidRPr="00755331">
        <w:rPr>
          <w:rFonts w:ascii="Century" w:hAnsi="Century" w:cs="Miriam" w:hint="eastAsia"/>
          <w:b/>
          <w:spacing w:val="0"/>
          <w:szCs w:val="24"/>
          <w:rtl/>
        </w:rPr>
        <w:t>סבירה</w:t>
      </w:r>
      <w:r w:rsidRPr="00755331">
        <w:rPr>
          <w:rFonts w:ascii="Century" w:hAnsi="Century" w:cs="Miriam"/>
          <w:b/>
          <w:spacing w:val="0"/>
          <w:szCs w:val="24"/>
          <w:rtl/>
        </w:rPr>
        <w:t xml:space="preserve"> </w:t>
      </w:r>
      <w:r w:rsidRPr="00755331">
        <w:rPr>
          <w:rFonts w:ascii="Century" w:hAnsi="Century" w:cs="Miriam" w:hint="eastAsia"/>
          <w:b/>
          <w:spacing w:val="0"/>
          <w:szCs w:val="24"/>
          <w:rtl/>
        </w:rPr>
        <w:t>לחלוטין</w:t>
      </w:r>
      <w:r>
        <w:rPr>
          <w:rFonts w:hint="cs"/>
          <w:rtl/>
        </w:rPr>
        <w:t xml:space="preserve"> (שם, בעמוד 105; ההדגשה הוספה).</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jc w:val="both"/>
        <w:rPr>
          <w:rFonts w:ascii="Century" w:hAnsi="Century" w:cs="FrankRuehl"/>
          <w:spacing w:val="10"/>
          <w:szCs w:val="28"/>
          <w:rtl/>
        </w:rPr>
      </w:pPr>
      <w:r>
        <w:rPr>
          <w:rFonts w:ascii="Century" w:hAnsi="Century" w:cs="FrankRuehl"/>
          <w:spacing w:val="10"/>
          <w:szCs w:val="28"/>
          <w:rtl/>
        </w:rPr>
        <w:tab/>
      </w:r>
      <w:r>
        <w:rPr>
          <w:rFonts w:ascii="Century" w:hAnsi="Century" w:cs="FrankRuehl" w:hint="cs"/>
          <w:spacing w:val="10"/>
          <w:szCs w:val="28"/>
          <w:rtl/>
        </w:rPr>
        <w:t xml:space="preserve">כפי שניתן לראות, באותו עניין קשר השופט </w:t>
      </w:r>
      <w:r w:rsidRPr="00061844">
        <w:rPr>
          <w:rFonts w:ascii="Century" w:hAnsi="Century" w:cs="Miriam" w:hint="eastAsia"/>
          <w:b/>
          <w:rtl/>
        </w:rPr>
        <w:t>שמגר</w:t>
      </w:r>
      <w:r w:rsidRPr="008C0BB1">
        <w:rPr>
          <w:rFonts w:ascii="Century" w:hAnsi="Century" w:cs="FrankRuehl" w:hint="cs"/>
          <w:spacing w:val="10"/>
          <w:szCs w:val="28"/>
          <w:rtl/>
        </w:rPr>
        <w:t xml:space="preserve"> </w:t>
      </w:r>
      <w:r>
        <w:rPr>
          <w:rFonts w:ascii="Century" w:hAnsi="Century" w:cs="FrankRuehl" w:hint="cs"/>
          <w:spacing w:val="10"/>
          <w:szCs w:val="28"/>
          <w:rtl/>
        </w:rPr>
        <w:t xml:space="preserve">באופן ברור בין עילת הסבירות במובנה "המסורתי" </w:t>
      </w:r>
      <w:r>
        <w:rPr>
          <w:rFonts w:ascii="Century" w:hAnsi="Century" w:cs="FrankRuehl"/>
          <w:spacing w:val="10"/>
          <w:szCs w:val="28"/>
          <w:rtl/>
        </w:rPr>
        <w:t>–</w:t>
      </w:r>
      <w:r>
        <w:rPr>
          <w:rFonts w:ascii="Century" w:hAnsi="Century" w:cs="FrankRuehl" w:hint="cs"/>
          <w:spacing w:val="10"/>
          <w:szCs w:val="28"/>
          <w:rtl/>
        </w:rPr>
        <w:t xml:space="preserve"> לפיה רק החלטה "מופרכת מעיקרה" תיחשב כבלתי-סבירה; לבין הנוסחה האיזונית המיוחסת לעילת הסבירות "העדכנית" </w:t>
      </w:r>
      <w:r>
        <w:rPr>
          <w:rFonts w:ascii="Century" w:hAnsi="Century" w:cs="FrankRuehl"/>
          <w:spacing w:val="10"/>
          <w:szCs w:val="28"/>
          <w:rtl/>
        </w:rPr>
        <w:t>–</w:t>
      </w:r>
      <w:r>
        <w:rPr>
          <w:rFonts w:ascii="Century" w:hAnsi="Century" w:cs="FrankRuehl" w:hint="cs"/>
          <w:spacing w:val="10"/>
          <w:szCs w:val="28"/>
          <w:rtl/>
        </w:rPr>
        <w:t xml:space="preserve"> לפיה החלטה תיחשב כבלתי סבירה מקום בו לא ניתן משקל הולם וראוי לשיקולים השונים הצריכים לעניין. </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jc w:val="both"/>
        <w:rPr>
          <w:rFonts w:ascii="Century" w:hAnsi="Century" w:cs="FrankRuehl"/>
          <w:spacing w:val="10"/>
          <w:szCs w:val="28"/>
          <w:rtl/>
        </w:rPr>
      </w:pPr>
      <w:r>
        <w:rPr>
          <w:rFonts w:ascii="Century" w:hAnsi="Century" w:cs="FrankRuehl"/>
          <w:spacing w:val="10"/>
          <w:szCs w:val="28"/>
          <w:rtl/>
        </w:rPr>
        <w:lastRenderedPageBreak/>
        <w:tab/>
      </w:r>
      <w:r>
        <w:rPr>
          <w:rFonts w:ascii="Century" w:hAnsi="Century" w:cs="FrankRuehl" w:hint="cs"/>
          <w:spacing w:val="10"/>
          <w:szCs w:val="28"/>
          <w:rtl/>
        </w:rPr>
        <w:t xml:space="preserve">גם במקרים אחרים </w:t>
      </w:r>
      <w:r>
        <w:rPr>
          <w:rFonts w:ascii="Century" w:hAnsi="Century" w:cs="FrankRuehl"/>
          <w:spacing w:val="10"/>
          <w:szCs w:val="28"/>
          <w:rtl/>
        </w:rPr>
        <w:t>–</w:t>
      </w:r>
      <w:r>
        <w:rPr>
          <w:rFonts w:ascii="Century" w:hAnsi="Century" w:cs="FrankRuehl" w:hint="cs"/>
          <w:spacing w:val="10"/>
          <w:szCs w:val="28"/>
          <w:rtl/>
        </w:rPr>
        <w:t xml:space="preserve"> המוקדמים לפסק הדין בעניין </w:t>
      </w:r>
      <w:r w:rsidRPr="00061844">
        <w:rPr>
          <w:rFonts w:ascii="Century" w:hAnsi="Century" w:cs="Miriam" w:hint="eastAsia"/>
          <w:b/>
          <w:rtl/>
        </w:rPr>
        <w:t>דפי</w:t>
      </w:r>
      <w:r w:rsidRPr="00061844">
        <w:rPr>
          <w:rFonts w:ascii="Century" w:hAnsi="Century" w:cs="Miriam"/>
          <w:b/>
          <w:rtl/>
        </w:rPr>
        <w:t xml:space="preserve"> </w:t>
      </w:r>
      <w:r w:rsidRPr="00061844">
        <w:rPr>
          <w:rFonts w:ascii="Century" w:hAnsi="Century" w:cs="Miriam" w:hint="eastAsia"/>
          <w:b/>
          <w:rtl/>
        </w:rPr>
        <w:t>זהב</w:t>
      </w:r>
      <w:r w:rsidRPr="008C0BB1">
        <w:rPr>
          <w:rFonts w:ascii="Century" w:hAnsi="Century" w:cs="FrankRuehl" w:hint="cs"/>
          <w:spacing w:val="10"/>
          <w:szCs w:val="28"/>
          <w:rtl/>
        </w:rPr>
        <w:t xml:space="preserve"> </w:t>
      </w:r>
      <w:r>
        <w:rPr>
          <w:rFonts w:ascii="Century" w:hAnsi="Century" w:cs="FrankRuehl"/>
          <w:spacing w:val="10"/>
          <w:szCs w:val="28"/>
          <w:rtl/>
        </w:rPr>
        <w:t>–</w:t>
      </w:r>
      <w:r>
        <w:rPr>
          <w:rFonts w:ascii="Century" w:hAnsi="Century" w:cs="FrankRuehl" w:hint="cs"/>
          <w:spacing w:val="10"/>
          <w:szCs w:val="28"/>
        </w:rPr>
        <w:t xml:space="preserve"> </w:t>
      </w:r>
      <w:r>
        <w:rPr>
          <w:rFonts w:ascii="Century" w:hAnsi="Century" w:cs="FrankRuehl" w:hint="cs"/>
          <w:spacing w:val="10"/>
          <w:szCs w:val="28"/>
          <w:rtl/>
        </w:rPr>
        <w:t>הכיר</w:t>
      </w:r>
      <w:r w:rsidRPr="00755331">
        <w:rPr>
          <w:rFonts w:ascii="Century" w:hAnsi="Century" w:cs="FrankRuehl"/>
          <w:spacing w:val="10"/>
          <w:szCs w:val="28"/>
          <w:rtl/>
        </w:rPr>
        <w:t xml:space="preserve"> </w:t>
      </w:r>
      <w:r w:rsidRPr="00755331">
        <w:rPr>
          <w:rFonts w:ascii="Century" w:hAnsi="Century" w:cs="FrankRuehl" w:hint="eastAsia"/>
          <w:spacing w:val="10"/>
          <w:szCs w:val="28"/>
          <w:rtl/>
        </w:rPr>
        <w:t>בית</w:t>
      </w:r>
      <w:r w:rsidRPr="00755331">
        <w:rPr>
          <w:rFonts w:ascii="Century" w:hAnsi="Century" w:cs="FrankRuehl"/>
          <w:spacing w:val="10"/>
          <w:szCs w:val="28"/>
          <w:rtl/>
        </w:rPr>
        <w:t xml:space="preserve"> </w:t>
      </w:r>
      <w:r w:rsidRPr="00755331">
        <w:rPr>
          <w:rFonts w:ascii="Century" w:hAnsi="Century" w:cs="FrankRuehl" w:hint="eastAsia"/>
          <w:spacing w:val="10"/>
          <w:szCs w:val="28"/>
          <w:rtl/>
        </w:rPr>
        <w:t>משפט</w:t>
      </w:r>
      <w:r>
        <w:rPr>
          <w:rFonts w:ascii="Century" w:hAnsi="Century" w:cs="FrankRuehl" w:hint="cs"/>
          <w:spacing w:val="10"/>
          <w:szCs w:val="28"/>
          <w:rtl/>
        </w:rPr>
        <w:t xml:space="preserve"> זה</w:t>
      </w:r>
      <w:r w:rsidRPr="00755331">
        <w:rPr>
          <w:rFonts w:ascii="Century" w:hAnsi="Century" w:cs="FrankRuehl"/>
          <w:spacing w:val="10"/>
          <w:szCs w:val="28"/>
          <w:rtl/>
        </w:rPr>
        <w:t xml:space="preserve"> </w:t>
      </w:r>
      <w:r>
        <w:rPr>
          <w:rFonts w:ascii="Century" w:hAnsi="Century" w:cs="FrankRuehl" w:hint="cs"/>
          <w:spacing w:val="10"/>
          <w:szCs w:val="28"/>
          <w:rtl/>
        </w:rPr>
        <w:t>ב</w:t>
      </w:r>
      <w:r w:rsidRPr="00755331">
        <w:rPr>
          <w:rFonts w:ascii="Century" w:hAnsi="Century" w:cs="FrankRuehl" w:hint="eastAsia"/>
          <w:spacing w:val="10"/>
          <w:szCs w:val="28"/>
          <w:rtl/>
        </w:rPr>
        <w:t>אפשרות</w:t>
      </w:r>
      <w:r>
        <w:rPr>
          <w:rFonts w:ascii="Century" w:hAnsi="Century" w:cs="FrankRuehl" w:hint="cs"/>
          <w:spacing w:val="10"/>
          <w:szCs w:val="28"/>
          <w:rtl/>
        </w:rPr>
        <w:t xml:space="preserve"> לערוך</w:t>
      </w:r>
      <w:r w:rsidRPr="00755331">
        <w:rPr>
          <w:rFonts w:ascii="Century" w:hAnsi="Century" w:cs="FrankRuehl"/>
          <w:spacing w:val="10"/>
          <w:szCs w:val="28"/>
          <w:rtl/>
        </w:rPr>
        <w:t xml:space="preserve"> </w:t>
      </w:r>
      <w:r w:rsidRPr="00755331">
        <w:rPr>
          <w:rFonts w:ascii="Century" w:hAnsi="Century" w:cs="FrankRuehl" w:hint="eastAsia"/>
          <w:spacing w:val="10"/>
          <w:szCs w:val="28"/>
          <w:rtl/>
        </w:rPr>
        <w:t>ביקורת</w:t>
      </w:r>
      <w:r>
        <w:rPr>
          <w:rFonts w:ascii="Century" w:hAnsi="Century" w:cs="FrankRuehl" w:hint="cs"/>
          <w:spacing w:val="10"/>
          <w:szCs w:val="28"/>
          <w:rtl/>
        </w:rPr>
        <w:t xml:space="preserve"> שיפוטית על החלטות מינהליות בהתאם לנוסחה האיזונית, אף אם לא עשה שימוש במינוח הזה. כך, כבר בפסק דינו של בית משפט זה משנת 1953 ב</w:t>
      </w:r>
      <w:r w:rsidRPr="00D1560A">
        <w:rPr>
          <w:rFonts w:ascii="Century" w:hAnsi="Century" w:cs="FrankRuehl"/>
          <w:spacing w:val="10"/>
          <w:szCs w:val="28"/>
          <w:rtl/>
        </w:rPr>
        <w:t xml:space="preserve">בג"ץ 73/53 </w:t>
      </w:r>
      <w:r w:rsidRPr="00755331">
        <w:rPr>
          <w:rFonts w:ascii="Century" w:hAnsi="Century" w:cs="Miriam" w:hint="eastAsia"/>
          <w:b/>
          <w:rtl/>
        </w:rPr>
        <w:t>חברת</w:t>
      </w:r>
      <w:r w:rsidRPr="00755331">
        <w:rPr>
          <w:rFonts w:ascii="Century" w:hAnsi="Century" w:cs="Miriam"/>
          <w:b/>
          <w:rtl/>
        </w:rPr>
        <w:t xml:space="preserve"> "</w:t>
      </w:r>
      <w:r w:rsidRPr="00755331">
        <w:rPr>
          <w:rFonts w:ascii="Century" w:hAnsi="Century" w:cs="Miriam" w:hint="eastAsia"/>
          <w:b/>
          <w:rtl/>
        </w:rPr>
        <w:t>קול</w:t>
      </w:r>
      <w:r w:rsidRPr="00755331">
        <w:rPr>
          <w:rFonts w:ascii="Century" w:hAnsi="Century" w:cs="Miriam"/>
          <w:b/>
          <w:rtl/>
        </w:rPr>
        <w:t xml:space="preserve"> </w:t>
      </w:r>
      <w:r w:rsidRPr="00755331">
        <w:rPr>
          <w:rFonts w:ascii="Century" w:hAnsi="Century" w:cs="Miriam" w:hint="eastAsia"/>
          <w:b/>
          <w:rtl/>
        </w:rPr>
        <w:t>העם</w:t>
      </w:r>
      <w:r w:rsidRPr="00755331">
        <w:rPr>
          <w:rFonts w:ascii="Century" w:hAnsi="Century" w:cs="Miriam"/>
          <w:b/>
          <w:rtl/>
        </w:rPr>
        <w:t xml:space="preserve">" </w:t>
      </w:r>
      <w:r w:rsidRPr="00755331">
        <w:rPr>
          <w:rFonts w:ascii="Century" w:hAnsi="Century" w:cs="Miriam" w:hint="eastAsia"/>
          <w:b/>
          <w:rtl/>
        </w:rPr>
        <w:t>בע</w:t>
      </w:r>
      <w:r w:rsidRPr="00755331">
        <w:rPr>
          <w:rFonts w:ascii="Century" w:hAnsi="Century" w:cs="Miriam"/>
          <w:b/>
          <w:rtl/>
        </w:rPr>
        <w:t>"</w:t>
      </w:r>
      <w:r w:rsidRPr="00755331">
        <w:rPr>
          <w:rFonts w:ascii="Century" w:hAnsi="Century" w:cs="Miriam" w:hint="eastAsia"/>
          <w:b/>
          <w:rtl/>
        </w:rPr>
        <w:t>מ</w:t>
      </w:r>
      <w:r w:rsidRPr="00755331">
        <w:rPr>
          <w:rFonts w:ascii="Century" w:hAnsi="Century" w:cs="Miriam"/>
          <w:b/>
          <w:rtl/>
        </w:rPr>
        <w:t xml:space="preserve"> </w:t>
      </w:r>
      <w:r w:rsidRPr="00755331">
        <w:rPr>
          <w:rFonts w:ascii="Century" w:hAnsi="Century" w:cs="Miriam" w:hint="eastAsia"/>
          <w:b/>
          <w:rtl/>
        </w:rPr>
        <w:t>נ</w:t>
      </w:r>
      <w:r w:rsidRPr="00755331">
        <w:rPr>
          <w:rFonts w:ascii="Century" w:hAnsi="Century" w:cs="Miriam"/>
          <w:b/>
          <w:rtl/>
        </w:rPr>
        <w:t xml:space="preserve">' </w:t>
      </w:r>
      <w:r w:rsidRPr="00755331">
        <w:rPr>
          <w:rFonts w:ascii="Century" w:hAnsi="Century" w:cs="Miriam" w:hint="eastAsia"/>
          <w:b/>
          <w:rtl/>
        </w:rPr>
        <w:t>שר</w:t>
      </w:r>
      <w:r w:rsidRPr="00755331">
        <w:rPr>
          <w:rFonts w:ascii="Century" w:hAnsi="Century" w:cs="Miriam"/>
          <w:b/>
          <w:rtl/>
        </w:rPr>
        <w:t xml:space="preserve"> </w:t>
      </w:r>
      <w:r w:rsidRPr="00755331">
        <w:rPr>
          <w:rFonts w:ascii="Century" w:hAnsi="Century" w:cs="Miriam" w:hint="eastAsia"/>
          <w:b/>
          <w:rtl/>
        </w:rPr>
        <w:t>הפנים</w:t>
      </w:r>
      <w:r w:rsidRPr="00D1560A">
        <w:rPr>
          <w:rFonts w:ascii="Century" w:hAnsi="Century" w:cs="FrankRuehl"/>
          <w:spacing w:val="10"/>
          <w:szCs w:val="28"/>
          <w:rtl/>
        </w:rPr>
        <w:t>,</w:t>
      </w:r>
      <w:r>
        <w:rPr>
          <w:rFonts w:ascii="Century" w:hAnsi="Century" w:cs="FrankRuehl" w:hint="cs"/>
          <w:spacing w:val="10"/>
          <w:szCs w:val="28"/>
          <w:rtl/>
        </w:rPr>
        <w:t xml:space="preserve"> פ"ד</w:t>
      </w:r>
      <w:r w:rsidRPr="00D1560A">
        <w:rPr>
          <w:rFonts w:ascii="Century" w:hAnsi="Century" w:cs="FrankRuehl"/>
          <w:spacing w:val="10"/>
          <w:szCs w:val="28"/>
          <w:rtl/>
        </w:rPr>
        <w:t xml:space="preserve"> ז 871 (1953)</w:t>
      </w:r>
      <w:r>
        <w:rPr>
          <w:rFonts w:ascii="Century" w:hAnsi="Century" w:cs="FrankRuehl" w:hint="cs"/>
          <w:spacing w:val="10"/>
          <w:szCs w:val="28"/>
          <w:rtl/>
        </w:rPr>
        <w:t xml:space="preserve"> (להלן: </w:t>
      </w:r>
      <w:r w:rsidRPr="00061844">
        <w:rPr>
          <w:rFonts w:ascii="Century" w:hAnsi="Century" w:cs="Miriam" w:hint="eastAsia"/>
          <w:b/>
          <w:rtl/>
        </w:rPr>
        <w:t>עניין</w:t>
      </w:r>
      <w:r w:rsidRPr="00061844">
        <w:rPr>
          <w:rFonts w:ascii="Century" w:hAnsi="Century" w:cs="Miriam"/>
          <w:b/>
          <w:rtl/>
        </w:rPr>
        <w:t xml:space="preserve"> </w:t>
      </w:r>
      <w:r w:rsidRPr="00061844">
        <w:rPr>
          <w:rFonts w:ascii="Century" w:hAnsi="Century" w:cs="Miriam" w:hint="eastAsia"/>
          <w:b/>
          <w:rtl/>
        </w:rPr>
        <w:t>קול</w:t>
      </w:r>
      <w:r w:rsidRPr="00061844">
        <w:rPr>
          <w:rFonts w:ascii="Century" w:hAnsi="Century" w:cs="Miriam"/>
          <w:b/>
          <w:rtl/>
        </w:rPr>
        <w:t xml:space="preserve"> </w:t>
      </w:r>
      <w:r w:rsidRPr="00061844">
        <w:rPr>
          <w:rFonts w:ascii="Century" w:hAnsi="Century" w:cs="Miriam" w:hint="eastAsia"/>
          <w:b/>
          <w:rtl/>
        </w:rPr>
        <w:t>העם</w:t>
      </w:r>
      <w:r>
        <w:rPr>
          <w:rFonts w:ascii="Century" w:hAnsi="Century" w:cs="FrankRuehl" w:hint="cs"/>
          <w:spacing w:val="10"/>
          <w:szCs w:val="28"/>
          <w:rtl/>
        </w:rPr>
        <w:t xml:space="preserve">), ניתן למצוא התייחסות לחובתה של הרשות המינהלית לשקול שיקולים שונים ולאזן ביניהם כראוי; והכרה בסמכותו של בית המשפט להתערב בשיקול דעתה ככל שלא עשתה כן. באותו עניין נדונו עתירות נגד צווים שהוציא שר הפנים מכוח פקודת העיתונות להפסקת פרסומם של עיתונים, משמצא כי יש במאמרים המפורסמים בהם כדי לסכן את שלום הציבור. בפסק דינו בחן השופט </w:t>
      </w:r>
      <w:r w:rsidRPr="00755331">
        <w:rPr>
          <w:rFonts w:ascii="Century" w:hAnsi="Century" w:cs="Miriam" w:hint="eastAsia"/>
          <w:b/>
          <w:rtl/>
        </w:rPr>
        <w:t>ש</w:t>
      </w:r>
      <w:r w:rsidRPr="00755331">
        <w:rPr>
          <w:rFonts w:ascii="Century" w:hAnsi="Century" w:cs="Miriam"/>
          <w:b/>
          <w:rtl/>
        </w:rPr>
        <w:t xml:space="preserve">' </w:t>
      </w:r>
      <w:r w:rsidRPr="00755331">
        <w:rPr>
          <w:rFonts w:ascii="Century" w:hAnsi="Century" w:cs="Miriam" w:hint="eastAsia"/>
          <w:b/>
          <w:rtl/>
        </w:rPr>
        <w:t>אגרנט</w:t>
      </w:r>
      <w:r w:rsidRPr="00D1560A">
        <w:rPr>
          <w:rFonts w:ascii="Century" w:hAnsi="Century" w:cs="FrankRuehl"/>
          <w:spacing w:val="10"/>
          <w:szCs w:val="28"/>
          <w:rtl/>
        </w:rPr>
        <w:t xml:space="preserve"> </w:t>
      </w:r>
      <w:r>
        <w:rPr>
          <w:rFonts w:ascii="Century" w:hAnsi="Century" w:cs="FrankRuehl" w:hint="cs"/>
          <w:spacing w:val="10"/>
          <w:szCs w:val="28"/>
          <w:rtl/>
        </w:rPr>
        <w:t xml:space="preserve">את שיקול הדעת שהפעיל שר הפנים בהוצאת הצווים, ובפרט את האיזון שערך בין השיקולים הרלוונטיים של שלום הציבור מזה וחופש הביטוי מזה, והגיע למסקנה כי נפל פגם </w:t>
      </w:r>
      <w:r w:rsidRPr="00D83627">
        <w:rPr>
          <w:rFonts w:ascii="Century" w:hAnsi="Century" w:cs="Miriam" w:hint="cs"/>
          <w:b/>
          <w:rtl/>
        </w:rPr>
        <w:t>באיז</w:t>
      </w:r>
      <w:r>
        <w:rPr>
          <w:rFonts w:ascii="Century" w:hAnsi="Century" w:cs="Miriam" w:hint="cs"/>
          <w:b/>
          <w:rtl/>
        </w:rPr>
        <w:t>ון זה</w:t>
      </w:r>
      <w:r>
        <w:rPr>
          <w:rFonts w:ascii="Century" w:hAnsi="Century" w:cs="FrankRuehl" w:hint="cs"/>
          <w:spacing w:val="10"/>
          <w:szCs w:val="28"/>
          <w:rtl/>
        </w:rPr>
        <w:t xml:space="preserve"> שבגינו יש להורות על ביטול הצווים. בין היתר, ציין השופט </w:t>
      </w:r>
      <w:r w:rsidRPr="00755331">
        <w:rPr>
          <w:rFonts w:ascii="Century" w:hAnsi="Century" w:cs="Miriam" w:hint="eastAsia"/>
          <w:b/>
          <w:rtl/>
        </w:rPr>
        <w:t>אגרנט</w:t>
      </w:r>
      <w:r w:rsidRPr="00D1560A">
        <w:rPr>
          <w:rFonts w:ascii="Century" w:hAnsi="Century" w:cs="FrankRuehl"/>
          <w:spacing w:val="10"/>
          <w:szCs w:val="28"/>
          <w:rtl/>
        </w:rPr>
        <w:t xml:space="preserve"> </w:t>
      </w:r>
      <w:r>
        <w:rPr>
          <w:rFonts w:ascii="Century" w:hAnsi="Century" w:cs="FrankRuehl" w:hint="cs"/>
          <w:spacing w:val="10"/>
          <w:szCs w:val="28"/>
          <w:rtl/>
        </w:rPr>
        <w:t>בפסק דינו כי "</w:t>
      </w:r>
      <w:r w:rsidRPr="00D170F5">
        <w:rPr>
          <w:rFonts w:ascii="Century" w:hAnsi="Century" w:cs="Miriam" w:hint="eastAsia"/>
          <w:b/>
          <w:rtl/>
        </w:rPr>
        <w:t>הפתרון</w:t>
      </w:r>
      <w:r w:rsidRPr="00D170F5">
        <w:rPr>
          <w:rFonts w:ascii="Century" w:hAnsi="Century" w:cs="Miriam"/>
          <w:b/>
          <w:rtl/>
        </w:rPr>
        <w:t xml:space="preserve"> </w:t>
      </w:r>
      <w:r w:rsidRPr="00D170F5">
        <w:rPr>
          <w:rFonts w:ascii="Century" w:hAnsi="Century" w:cs="Miriam" w:hint="eastAsia"/>
          <w:b/>
          <w:rtl/>
        </w:rPr>
        <w:t>צריך</w:t>
      </w:r>
      <w:r w:rsidRPr="00D170F5">
        <w:rPr>
          <w:rFonts w:ascii="Century" w:hAnsi="Century" w:cs="Miriam"/>
          <w:b/>
          <w:rtl/>
        </w:rPr>
        <w:t xml:space="preserve"> </w:t>
      </w:r>
      <w:r w:rsidRPr="00D170F5">
        <w:rPr>
          <w:rFonts w:ascii="Century" w:hAnsi="Century" w:cs="Miriam" w:hint="eastAsia"/>
          <w:b/>
          <w:rtl/>
        </w:rPr>
        <w:t>לבוא</w:t>
      </w:r>
      <w:r w:rsidRPr="00D170F5">
        <w:rPr>
          <w:rFonts w:ascii="Century" w:hAnsi="Century" w:cs="Miriam"/>
          <w:b/>
          <w:rtl/>
        </w:rPr>
        <w:t xml:space="preserve"> </w:t>
      </w:r>
      <w:r w:rsidRPr="00D170F5">
        <w:rPr>
          <w:rFonts w:ascii="Century" w:hAnsi="Century" w:cs="Miriam" w:hint="eastAsia"/>
          <w:b/>
          <w:rtl/>
        </w:rPr>
        <w:t>בדרך</w:t>
      </w:r>
      <w:r w:rsidRPr="00D170F5">
        <w:rPr>
          <w:rFonts w:ascii="Century" w:hAnsi="Century" w:cs="Miriam"/>
          <w:b/>
          <w:rtl/>
        </w:rPr>
        <w:t xml:space="preserve"> </w:t>
      </w:r>
      <w:r w:rsidRPr="00D170F5">
        <w:rPr>
          <w:rFonts w:ascii="Century" w:hAnsi="Century" w:cs="Miriam" w:hint="eastAsia"/>
          <w:b/>
          <w:rtl/>
        </w:rPr>
        <w:t>של</w:t>
      </w:r>
      <w:r w:rsidRPr="00D170F5">
        <w:rPr>
          <w:rFonts w:ascii="Century" w:hAnsi="Century" w:cs="Miriam"/>
          <w:b/>
          <w:rtl/>
        </w:rPr>
        <w:t xml:space="preserve"> </w:t>
      </w:r>
      <w:r w:rsidRPr="00D170F5">
        <w:rPr>
          <w:rFonts w:ascii="Century" w:hAnsi="Century" w:cs="Miriam" w:hint="eastAsia"/>
          <w:b/>
          <w:rtl/>
        </w:rPr>
        <w:t>שקילת</w:t>
      </w:r>
      <w:r w:rsidRPr="00D170F5">
        <w:rPr>
          <w:rFonts w:ascii="Century" w:hAnsi="Century" w:cs="Miriam"/>
          <w:b/>
          <w:rtl/>
        </w:rPr>
        <w:t xml:space="preserve"> </w:t>
      </w:r>
      <w:r w:rsidRPr="00D170F5">
        <w:rPr>
          <w:rFonts w:ascii="Century" w:hAnsi="Century" w:cs="Miriam" w:hint="eastAsia"/>
          <w:b/>
          <w:rtl/>
        </w:rPr>
        <w:t>האינטרסים</w:t>
      </w:r>
      <w:r w:rsidRPr="00D170F5">
        <w:rPr>
          <w:rFonts w:ascii="Century" w:hAnsi="Century" w:cs="Miriam"/>
          <w:b/>
          <w:rtl/>
        </w:rPr>
        <w:t xml:space="preserve"> </w:t>
      </w:r>
      <w:r w:rsidRPr="00D170F5">
        <w:rPr>
          <w:rFonts w:ascii="Century" w:hAnsi="Century" w:cs="Miriam" w:hint="eastAsia"/>
          <w:b/>
          <w:rtl/>
        </w:rPr>
        <w:t>של</w:t>
      </w:r>
      <w:r w:rsidRPr="00D170F5">
        <w:rPr>
          <w:rFonts w:ascii="Century" w:hAnsi="Century" w:cs="Miriam"/>
          <w:b/>
          <w:rtl/>
        </w:rPr>
        <w:t xml:space="preserve"> </w:t>
      </w:r>
      <w:r w:rsidRPr="00D170F5">
        <w:rPr>
          <w:rFonts w:ascii="Century" w:hAnsi="Century" w:cs="Miriam" w:hint="eastAsia"/>
          <w:b/>
          <w:rtl/>
        </w:rPr>
        <w:t>בטחון</w:t>
      </w:r>
      <w:r w:rsidRPr="00D170F5">
        <w:rPr>
          <w:rFonts w:ascii="Century" w:hAnsi="Century" w:cs="Miriam"/>
          <w:b/>
          <w:rtl/>
        </w:rPr>
        <w:t xml:space="preserve"> </w:t>
      </w:r>
      <w:r w:rsidRPr="00D170F5">
        <w:rPr>
          <w:rFonts w:ascii="Century" w:hAnsi="Century" w:cs="Miriam" w:hint="eastAsia"/>
          <w:b/>
          <w:rtl/>
        </w:rPr>
        <w:t>המדינה</w:t>
      </w:r>
      <w:r w:rsidRPr="00D170F5">
        <w:rPr>
          <w:rFonts w:ascii="Century" w:hAnsi="Century" w:cs="Miriam"/>
          <w:b/>
          <w:rtl/>
        </w:rPr>
        <w:t xml:space="preserve"> </w:t>
      </w:r>
      <w:r w:rsidRPr="00D170F5">
        <w:rPr>
          <w:rFonts w:ascii="Century" w:hAnsi="Century" w:cs="Miriam" w:hint="eastAsia"/>
          <w:b/>
          <w:rtl/>
        </w:rPr>
        <w:t>מזה</w:t>
      </w:r>
      <w:r w:rsidRPr="00D170F5">
        <w:rPr>
          <w:rFonts w:ascii="Century" w:hAnsi="Century" w:cs="Miriam"/>
          <w:b/>
          <w:rtl/>
        </w:rPr>
        <w:t xml:space="preserve"> </w:t>
      </w:r>
      <w:r w:rsidRPr="00D170F5">
        <w:rPr>
          <w:rFonts w:ascii="Century" w:hAnsi="Century" w:cs="Miriam" w:hint="eastAsia"/>
          <w:b/>
          <w:rtl/>
        </w:rPr>
        <w:t>וחופש</w:t>
      </w:r>
      <w:r w:rsidRPr="00D170F5">
        <w:rPr>
          <w:rFonts w:ascii="Century" w:hAnsi="Century" w:cs="Miriam"/>
          <w:b/>
          <w:rtl/>
        </w:rPr>
        <w:t xml:space="preserve"> </w:t>
      </w:r>
      <w:r w:rsidRPr="00D170F5">
        <w:rPr>
          <w:rFonts w:ascii="Century" w:hAnsi="Century" w:cs="Miriam" w:hint="eastAsia"/>
          <w:b/>
          <w:rtl/>
        </w:rPr>
        <w:t>הביטוי</w:t>
      </w:r>
      <w:r w:rsidRPr="00D170F5">
        <w:rPr>
          <w:rFonts w:ascii="Century" w:hAnsi="Century" w:cs="Miriam"/>
          <w:b/>
          <w:rtl/>
        </w:rPr>
        <w:t xml:space="preserve"> </w:t>
      </w:r>
      <w:r w:rsidRPr="00D170F5">
        <w:rPr>
          <w:rFonts w:ascii="Century" w:hAnsi="Century" w:cs="Miriam" w:hint="eastAsia"/>
          <w:b/>
          <w:rtl/>
        </w:rPr>
        <w:t>מזה</w:t>
      </w:r>
      <w:r>
        <w:rPr>
          <w:rFonts w:ascii="Century" w:hAnsi="Century" w:cs="FrankRuehl" w:hint="cs"/>
          <w:spacing w:val="10"/>
          <w:szCs w:val="28"/>
          <w:rtl/>
        </w:rPr>
        <w:t xml:space="preserve">" (שם, בעמוד 881). עוד הוא הבהיר כי </w:t>
      </w:r>
      <w:r w:rsidRPr="00D1560A">
        <w:rPr>
          <w:rFonts w:ascii="Century" w:hAnsi="Century" w:cs="FrankRuehl"/>
          <w:spacing w:val="10"/>
          <w:szCs w:val="28"/>
          <w:rtl/>
        </w:rPr>
        <w:t>"</w:t>
      </w:r>
      <w:r w:rsidRPr="00D170F5">
        <w:rPr>
          <w:rFonts w:ascii="Century" w:hAnsi="Century" w:cs="Miriam" w:hint="eastAsia"/>
          <w:b/>
          <w:rtl/>
        </w:rPr>
        <w:t>אמנם</w:t>
      </w:r>
      <w:r w:rsidRPr="00D170F5">
        <w:rPr>
          <w:rFonts w:ascii="Century" w:hAnsi="Century" w:cs="Miriam"/>
          <w:b/>
          <w:rtl/>
        </w:rPr>
        <w:t xml:space="preserve"> </w:t>
      </w:r>
      <w:r w:rsidRPr="00D170F5">
        <w:rPr>
          <w:rFonts w:ascii="Century" w:hAnsi="Century" w:cs="Miriam" w:hint="eastAsia"/>
          <w:b/>
          <w:rtl/>
        </w:rPr>
        <w:t>יש</w:t>
      </w:r>
      <w:r w:rsidRPr="00D170F5">
        <w:rPr>
          <w:rFonts w:ascii="Century" w:hAnsi="Century" w:cs="Miriam"/>
          <w:b/>
          <w:rtl/>
        </w:rPr>
        <w:t xml:space="preserve"> </w:t>
      </w:r>
      <w:r w:rsidRPr="00D170F5">
        <w:rPr>
          <w:rFonts w:ascii="Century" w:hAnsi="Century" w:cs="Miriam" w:hint="eastAsia"/>
          <w:b/>
          <w:rtl/>
        </w:rPr>
        <w:t>והמחוקק</w:t>
      </w:r>
      <w:r w:rsidRPr="00D170F5">
        <w:rPr>
          <w:rFonts w:ascii="Century" w:hAnsi="Century" w:cs="Miriam"/>
          <w:b/>
          <w:rtl/>
        </w:rPr>
        <w:t xml:space="preserve"> </w:t>
      </w:r>
      <w:r w:rsidRPr="00D170F5">
        <w:rPr>
          <w:rFonts w:ascii="Century" w:hAnsi="Century" w:cs="Miriam" w:hint="eastAsia"/>
          <w:b/>
          <w:rtl/>
        </w:rPr>
        <w:t>עושה</w:t>
      </w:r>
      <w:r w:rsidRPr="00D170F5">
        <w:rPr>
          <w:rFonts w:ascii="Century" w:hAnsi="Century" w:cs="Miriam"/>
          <w:b/>
          <w:rtl/>
        </w:rPr>
        <w:t xml:space="preserve"> </w:t>
      </w:r>
      <w:r w:rsidRPr="00D170F5">
        <w:rPr>
          <w:rFonts w:ascii="Century" w:hAnsi="Century" w:cs="Miriam" w:hint="eastAsia"/>
          <w:b/>
          <w:rtl/>
        </w:rPr>
        <w:t>את</w:t>
      </w:r>
      <w:r w:rsidRPr="00D170F5">
        <w:rPr>
          <w:rFonts w:ascii="Century" w:hAnsi="Century" w:cs="Miriam"/>
          <w:b/>
          <w:rtl/>
        </w:rPr>
        <w:t xml:space="preserve"> </w:t>
      </w:r>
      <w:r w:rsidRPr="00D170F5">
        <w:rPr>
          <w:rFonts w:ascii="Century" w:hAnsi="Century" w:cs="Miriam" w:hint="eastAsia"/>
          <w:b/>
          <w:rtl/>
        </w:rPr>
        <w:t>מלאכת</w:t>
      </w:r>
      <w:r w:rsidRPr="00D170F5">
        <w:rPr>
          <w:rFonts w:ascii="Century" w:hAnsi="Century" w:cs="Miriam"/>
          <w:b/>
          <w:rtl/>
        </w:rPr>
        <w:t xml:space="preserve"> </w:t>
      </w:r>
      <w:r w:rsidRPr="00D170F5">
        <w:rPr>
          <w:rFonts w:ascii="Century" w:hAnsi="Century" w:cs="Miriam" w:hint="eastAsia"/>
          <w:b/>
          <w:rtl/>
        </w:rPr>
        <w:t>השקילה</w:t>
      </w:r>
      <w:r w:rsidRPr="00D170F5">
        <w:rPr>
          <w:rFonts w:ascii="Century" w:hAnsi="Century" w:cs="Miriam"/>
          <w:b/>
          <w:rtl/>
        </w:rPr>
        <w:t xml:space="preserve"> </w:t>
      </w:r>
      <w:r w:rsidRPr="00D170F5">
        <w:rPr>
          <w:rFonts w:ascii="Century" w:hAnsi="Century" w:cs="Miriam" w:hint="eastAsia"/>
          <w:b/>
          <w:rtl/>
        </w:rPr>
        <w:t>והאיזון</w:t>
      </w:r>
      <w:r w:rsidRPr="00D170F5">
        <w:rPr>
          <w:rFonts w:ascii="Century" w:hAnsi="Century" w:cs="Miriam"/>
          <w:b/>
          <w:rtl/>
        </w:rPr>
        <w:t xml:space="preserve"> </w:t>
      </w:r>
      <w:r w:rsidRPr="00D170F5">
        <w:rPr>
          <w:rFonts w:ascii="Century" w:hAnsi="Century" w:cs="Miriam" w:hint="eastAsia"/>
          <w:b/>
          <w:rtl/>
        </w:rPr>
        <w:t>בעצמו</w:t>
      </w:r>
      <w:r w:rsidRPr="00D170F5">
        <w:rPr>
          <w:rFonts w:ascii="Century" w:hAnsi="Century" w:cs="Miriam"/>
          <w:b/>
          <w:rtl/>
        </w:rPr>
        <w:t xml:space="preserve">... </w:t>
      </w:r>
      <w:r w:rsidRPr="00D170F5">
        <w:rPr>
          <w:rFonts w:ascii="Century" w:hAnsi="Century" w:cs="Miriam" w:hint="eastAsia"/>
          <w:b/>
          <w:rtl/>
        </w:rPr>
        <w:t>אך</w:t>
      </w:r>
      <w:r w:rsidRPr="00D170F5">
        <w:rPr>
          <w:rFonts w:ascii="Century" w:hAnsi="Century" w:cs="Miriam"/>
          <w:b/>
          <w:rtl/>
        </w:rPr>
        <w:t xml:space="preserve"> </w:t>
      </w:r>
      <w:r w:rsidRPr="00D170F5">
        <w:rPr>
          <w:rFonts w:ascii="Century" w:hAnsi="Century" w:cs="Miriam" w:hint="eastAsia"/>
          <w:b/>
          <w:rtl/>
        </w:rPr>
        <w:t>יש</w:t>
      </w:r>
      <w:r w:rsidRPr="00D170F5">
        <w:rPr>
          <w:rFonts w:ascii="Century" w:hAnsi="Century" w:cs="Miriam"/>
          <w:b/>
          <w:rtl/>
        </w:rPr>
        <w:t xml:space="preserve"> </w:t>
      </w:r>
      <w:r w:rsidRPr="00D170F5">
        <w:rPr>
          <w:rFonts w:ascii="Century" w:hAnsi="Century" w:cs="Miriam" w:hint="eastAsia"/>
          <w:b/>
          <w:rtl/>
        </w:rPr>
        <w:t>והמחוקק</w:t>
      </w:r>
      <w:r w:rsidRPr="00D170F5">
        <w:rPr>
          <w:rFonts w:ascii="Century" w:hAnsi="Century" w:cs="Miriam"/>
          <w:b/>
          <w:rtl/>
        </w:rPr>
        <w:t xml:space="preserve"> </w:t>
      </w:r>
      <w:r w:rsidRPr="00D170F5">
        <w:rPr>
          <w:rFonts w:ascii="Century" w:hAnsi="Century" w:cs="Miriam" w:hint="eastAsia"/>
          <w:b/>
          <w:rtl/>
        </w:rPr>
        <w:t>משאיר</w:t>
      </w:r>
      <w:r w:rsidRPr="00D170F5">
        <w:rPr>
          <w:rFonts w:ascii="Century" w:hAnsi="Century" w:cs="Miriam"/>
          <w:b/>
          <w:rtl/>
        </w:rPr>
        <w:t xml:space="preserve"> </w:t>
      </w:r>
      <w:r w:rsidRPr="00D170F5">
        <w:rPr>
          <w:rFonts w:ascii="Century" w:hAnsi="Century" w:cs="Miriam" w:hint="eastAsia"/>
          <w:b/>
          <w:rtl/>
        </w:rPr>
        <w:t>את</w:t>
      </w:r>
      <w:r w:rsidRPr="00D170F5">
        <w:rPr>
          <w:rFonts w:ascii="Century" w:hAnsi="Century" w:cs="Miriam"/>
          <w:b/>
          <w:rtl/>
        </w:rPr>
        <w:t xml:space="preserve"> </w:t>
      </w:r>
      <w:r w:rsidRPr="00D170F5">
        <w:rPr>
          <w:rFonts w:ascii="Century" w:hAnsi="Century" w:cs="Miriam" w:hint="eastAsia"/>
          <w:b/>
          <w:rtl/>
        </w:rPr>
        <w:t>שיקול</w:t>
      </w:r>
      <w:r w:rsidRPr="00D170F5">
        <w:rPr>
          <w:rFonts w:ascii="Century" w:hAnsi="Century" w:cs="Miriam"/>
          <w:b/>
          <w:rtl/>
        </w:rPr>
        <w:t xml:space="preserve"> </w:t>
      </w:r>
      <w:r w:rsidRPr="00D170F5">
        <w:rPr>
          <w:rFonts w:ascii="Century" w:hAnsi="Century" w:cs="Miriam" w:hint="eastAsia"/>
          <w:b/>
          <w:rtl/>
        </w:rPr>
        <w:t>הדעת</w:t>
      </w:r>
      <w:r w:rsidRPr="00D170F5">
        <w:rPr>
          <w:rFonts w:ascii="Century" w:hAnsi="Century" w:cs="Miriam"/>
          <w:b/>
          <w:rtl/>
        </w:rPr>
        <w:t xml:space="preserve"> </w:t>
      </w:r>
      <w:r w:rsidRPr="00D170F5">
        <w:rPr>
          <w:rFonts w:ascii="Century" w:hAnsi="Century" w:cs="Miriam" w:hint="eastAsia"/>
          <w:b/>
          <w:rtl/>
        </w:rPr>
        <w:t>בשטח</w:t>
      </w:r>
      <w:r w:rsidRPr="00D170F5">
        <w:rPr>
          <w:rFonts w:ascii="Century" w:hAnsi="Century" w:cs="Miriam"/>
          <w:b/>
          <w:rtl/>
        </w:rPr>
        <w:t xml:space="preserve"> </w:t>
      </w:r>
      <w:r w:rsidRPr="00D170F5">
        <w:rPr>
          <w:rFonts w:ascii="Century" w:hAnsi="Century" w:cs="Miriam" w:hint="eastAsia"/>
          <w:b/>
          <w:rtl/>
        </w:rPr>
        <w:t>זה</w:t>
      </w:r>
      <w:r w:rsidRPr="00D170F5">
        <w:rPr>
          <w:rFonts w:ascii="Century" w:hAnsi="Century" w:cs="Miriam"/>
          <w:b/>
          <w:rtl/>
        </w:rPr>
        <w:t xml:space="preserve"> </w:t>
      </w:r>
      <w:r w:rsidRPr="00D170F5">
        <w:rPr>
          <w:rFonts w:ascii="Century" w:hAnsi="Century" w:cs="Miriam" w:hint="eastAsia"/>
          <w:b/>
          <w:rtl/>
        </w:rPr>
        <w:t>בידי</w:t>
      </w:r>
      <w:r w:rsidRPr="00D170F5">
        <w:rPr>
          <w:rFonts w:ascii="Century" w:hAnsi="Century" w:cs="Miriam"/>
          <w:b/>
          <w:rtl/>
        </w:rPr>
        <w:t xml:space="preserve"> </w:t>
      </w:r>
      <w:r w:rsidRPr="00D170F5">
        <w:rPr>
          <w:rFonts w:ascii="Century" w:hAnsi="Century" w:cs="Miriam" w:hint="eastAsia"/>
          <w:b/>
          <w:rtl/>
        </w:rPr>
        <w:t>אחרים</w:t>
      </w:r>
      <w:r w:rsidRPr="00D170F5">
        <w:rPr>
          <w:rFonts w:ascii="Century" w:hAnsi="Century" w:cs="Miriam"/>
          <w:b/>
          <w:rtl/>
        </w:rPr>
        <w:t xml:space="preserve">, </w:t>
      </w:r>
      <w:r w:rsidRPr="00D170F5">
        <w:rPr>
          <w:rFonts w:ascii="Century" w:hAnsi="Century" w:cs="Miriam" w:hint="eastAsia"/>
          <w:b/>
          <w:rtl/>
        </w:rPr>
        <w:t>כגון</w:t>
      </w:r>
      <w:r w:rsidRPr="00D170F5">
        <w:rPr>
          <w:rFonts w:ascii="Century" w:hAnsi="Century" w:cs="Miriam"/>
          <w:b/>
          <w:rtl/>
        </w:rPr>
        <w:t xml:space="preserve">, </w:t>
      </w:r>
      <w:r w:rsidRPr="00D170F5">
        <w:rPr>
          <w:rFonts w:ascii="Century" w:hAnsi="Century" w:cs="Miriam" w:hint="eastAsia"/>
          <w:b/>
          <w:rtl/>
        </w:rPr>
        <w:t>בידי</w:t>
      </w:r>
      <w:r w:rsidRPr="00D170F5">
        <w:rPr>
          <w:rFonts w:ascii="Century" w:hAnsi="Century" w:cs="Miriam"/>
          <w:b/>
          <w:rtl/>
        </w:rPr>
        <w:t xml:space="preserve"> </w:t>
      </w:r>
      <w:r w:rsidRPr="00D170F5">
        <w:rPr>
          <w:rFonts w:ascii="Century" w:hAnsi="Century" w:cs="Miriam" w:hint="eastAsia"/>
          <w:b/>
          <w:rtl/>
        </w:rPr>
        <w:t>הרשות</w:t>
      </w:r>
      <w:r w:rsidRPr="00D170F5">
        <w:rPr>
          <w:rFonts w:ascii="Century" w:hAnsi="Century" w:cs="Miriam"/>
          <w:b/>
          <w:rtl/>
        </w:rPr>
        <w:t xml:space="preserve"> </w:t>
      </w:r>
      <w:r w:rsidRPr="00D170F5">
        <w:rPr>
          <w:rFonts w:ascii="Century" w:hAnsi="Century" w:cs="Miriam" w:hint="eastAsia"/>
          <w:b/>
          <w:rtl/>
        </w:rPr>
        <w:t>המבצעת</w:t>
      </w:r>
      <w:r w:rsidRPr="00D170F5">
        <w:rPr>
          <w:rFonts w:ascii="Century" w:hAnsi="Century" w:cs="Miriam"/>
          <w:b/>
          <w:rtl/>
        </w:rPr>
        <w:t xml:space="preserve">. </w:t>
      </w:r>
      <w:r w:rsidRPr="00D170F5">
        <w:rPr>
          <w:rFonts w:ascii="Century" w:hAnsi="Century" w:cs="Miriam" w:hint="eastAsia"/>
          <w:b/>
          <w:rtl/>
        </w:rPr>
        <w:t>בסוג</w:t>
      </w:r>
      <w:r w:rsidRPr="00D170F5">
        <w:rPr>
          <w:rFonts w:ascii="Century" w:hAnsi="Century" w:cs="Miriam"/>
          <w:b/>
          <w:rtl/>
        </w:rPr>
        <w:t xml:space="preserve"> </w:t>
      </w:r>
      <w:r w:rsidRPr="00D170F5">
        <w:rPr>
          <w:rFonts w:ascii="Century" w:hAnsi="Century" w:cs="Miriam" w:hint="eastAsia"/>
          <w:b/>
          <w:rtl/>
        </w:rPr>
        <w:t>האחרון</w:t>
      </w:r>
      <w:r w:rsidRPr="00D170F5">
        <w:rPr>
          <w:rFonts w:ascii="Century" w:hAnsi="Century" w:cs="Miriam"/>
          <w:b/>
          <w:rtl/>
        </w:rPr>
        <w:t xml:space="preserve"> </w:t>
      </w:r>
      <w:r w:rsidRPr="00D170F5">
        <w:rPr>
          <w:rFonts w:ascii="Century" w:hAnsi="Century" w:cs="Miriam" w:hint="eastAsia"/>
          <w:b/>
          <w:rtl/>
        </w:rPr>
        <w:t>של</w:t>
      </w:r>
      <w:r w:rsidRPr="00D170F5">
        <w:rPr>
          <w:rFonts w:ascii="Century" w:hAnsi="Century" w:cs="Miriam"/>
          <w:b/>
          <w:rtl/>
        </w:rPr>
        <w:t xml:space="preserve"> </w:t>
      </w:r>
      <w:r w:rsidRPr="00D170F5">
        <w:rPr>
          <w:rFonts w:ascii="Century" w:hAnsi="Century" w:cs="Miriam" w:hint="eastAsia"/>
          <w:b/>
          <w:rtl/>
        </w:rPr>
        <w:t>מקרים</w:t>
      </w:r>
      <w:r w:rsidRPr="00D170F5">
        <w:rPr>
          <w:rFonts w:ascii="Century" w:hAnsi="Century" w:cs="Miriam"/>
          <w:b/>
          <w:rtl/>
        </w:rPr>
        <w:t xml:space="preserve">, </w:t>
      </w:r>
      <w:r w:rsidRPr="00D170F5">
        <w:rPr>
          <w:rFonts w:ascii="Century" w:hAnsi="Century" w:cs="Miriam" w:hint="eastAsia"/>
          <w:b/>
          <w:rtl/>
        </w:rPr>
        <w:t>מן</w:t>
      </w:r>
      <w:r w:rsidRPr="00D170F5">
        <w:rPr>
          <w:rFonts w:ascii="Century" w:hAnsi="Century" w:cs="Miriam"/>
          <w:b/>
          <w:rtl/>
        </w:rPr>
        <w:t xml:space="preserve"> </w:t>
      </w:r>
      <w:r w:rsidRPr="00D170F5">
        <w:rPr>
          <w:rFonts w:ascii="Century" w:hAnsi="Century" w:cs="Miriam" w:hint="eastAsia"/>
          <w:b/>
          <w:rtl/>
        </w:rPr>
        <w:t>ההכרח</w:t>
      </w:r>
      <w:r w:rsidRPr="00D170F5">
        <w:rPr>
          <w:rFonts w:ascii="Century" w:hAnsi="Century" w:cs="Miriam"/>
          <w:b/>
          <w:rtl/>
        </w:rPr>
        <w:t xml:space="preserve"> </w:t>
      </w:r>
      <w:r w:rsidRPr="00D170F5">
        <w:rPr>
          <w:rFonts w:ascii="Century" w:hAnsi="Century" w:cs="Miriam" w:hint="eastAsia"/>
          <w:b/>
          <w:rtl/>
        </w:rPr>
        <w:t>שתתעורר</w:t>
      </w:r>
      <w:r w:rsidRPr="00D170F5">
        <w:rPr>
          <w:rFonts w:ascii="Century" w:hAnsi="Century" w:cs="Miriam"/>
          <w:b/>
          <w:rtl/>
        </w:rPr>
        <w:t xml:space="preserve"> </w:t>
      </w:r>
      <w:r w:rsidRPr="00D170F5">
        <w:rPr>
          <w:rFonts w:ascii="Century" w:hAnsi="Century" w:cs="Miriam" w:hint="eastAsia"/>
          <w:b/>
          <w:rtl/>
        </w:rPr>
        <w:t>השאלה</w:t>
      </w:r>
      <w:r w:rsidRPr="00D170F5">
        <w:rPr>
          <w:rFonts w:ascii="Century" w:hAnsi="Century" w:cs="Miriam"/>
          <w:b/>
          <w:rtl/>
        </w:rPr>
        <w:t xml:space="preserve"> </w:t>
      </w:r>
      <w:r w:rsidRPr="00D170F5">
        <w:rPr>
          <w:rFonts w:ascii="Century" w:hAnsi="Century" w:cs="Miriam" w:hint="eastAsia"/>
          <w:b/>
          <w:rtl/>
        </w:rPr>
        <w:t>–</w:t>
      </w:r>
      <w:r w:rsidRPr="00D170F5">
        <w:rPr>
          <w:rFonts w:ascii="Century" w:hAnsi="Century" w:cs="Miriam"/>
          <w:b/>
          <w:rtl/>
        </w:rPr>
        <w:t xml:space="preserve"> </w:t>
      </w:r>
      <w:r w:rsidRPr="00D170F5">
        <w:rPr>
          <w:rFonts w:ascii="Century" w:hAnsi="Century" w:cs="Miriam" w:hint="eastAsia"/>
          <w:b/>
          <w:rtl/>
        </w:rPr>
        <w:t>ודווקא</w:t>
      </w:r>
      <w:r w:rsidRPr="00D170F5">
        <w:rPr>
          <w:rFonts w:ascii="Century" w:hAnsi="Century" w:cs="Miriam"/>
          <w:b/>
          <w:rtl/>
        </w:rPr>
        <w:t xml:space="preserve"> </w:t>
      </w:r>
      <w:r w:rsidRPr="00D170F5">
        <w:rPr>
          <w:rFonts w:ascii="Century" w:hAnsi="Century" w:cs="Miriam" w:hint="eastAsia"/>
          <w:b/>
          <w:rtl/>
        </w:rPr>
        <w:t>משום</w:t>
      </w:r>
      <w:r w:rsidRPr="00D170F5">
        <w:rPr>
          <w:rFonts w:ascii="Century" w:hAnsi="Century" w:cs="Miriam"/>
          <w:b/>
          <w:rtl/>
        </w:rPr>
        <w:t xml:space="preserve"> </w:t>
      </w:r>
      <w:r w:rsidRPr="00D170F5">
        <w:rPr>
          <w:rFonts w:ascii="Century" w:hAnsi="Century" w:cs="Miriam" w:hint="eastAsia"/>
          <w:b/>
          <w:rtl/>
        </w:rPr>
        <w:t>שאין</w:t>
      </w:r>
      <w:r w:rsidRPr="00D170F5">
        <w:rPr>
          <w:rFonts w:ascii="Century" w:hAnsi="Century" w:cs="Miriam"/>
          <w:b/>
          <w:rtl/>
        </w:rPr>
        <w:t xml:space="preserve"> </w:t>
      </w:r>
      <w:r w:rsidRPr="00D170F5">
        <w:rPr>
          <w:rFonts w:ascii="Century" w:hAnsi="Century" w:cs="Miriam" w:hint="eastAsia"/>
          <w:b/>
          <w:rtl/>
        </w:rPr>
        <w:t>אותה</w:t>
      </w:r>
      <w:r w:rsidRPr="00D170F5">
        <w:rPr>
          <w:rFonts w:ascii="Century" w:hAnsi="Century" w:cs="Miriam"/>
          <w:b/>
          <w:rtl/>
        </w:rPr>
        <w:t xml:space="preserve"> </w:t>
      </w:r>
      <w:r w:rsidRPr="00D170F5">
        <w:rPr>
          <w:rFonts w:ascii="Century" w:hAnsi="Century" w:cs="Miriam" w:hint="eastAsia"/>
          <w:b/>
          <w:rtl/>
        </w:rPr>
        <w:t>גישה</w:t>
      </w:r>
      <w:r w:rsidRPr="00D170F5">
        <w:rPr>
          <w:rFonts w:ascii="Century" w:hAnsi="Century" w:cs="Miriam"/>
          <w:b/>
          <w:rtl/>
        </w:rPr>
        <w:t xml:space="preserve"> </w:t>
      </w:r>
      <w:r w:rsidRPr="00D170F5">
        <w:rPr>
          <w:rFonts w:ascii="Century" w:hAnsi="Century" w:cs="Miriam" w:hint="eastAsia"/>
          <w:b/>
          <w:rtl/>
        </w:rPr>
        <w:t>מכילה</w:t>
      </w:r>
      <w:r w:rsidRPr="00D170F5">
        <w:rPr>
          <w:rFonts w:ascii="Century" w:hAnsi="Century" w:cs="Miriam"/>
          <w:b/>
          <w:rtl/>
        </w:rPr>
        <w:t xml:space="preserve"> </w:t>
      </w:r>
      <w:r w:rsidRPr="00D170F5">
        <w:rPr>
          <w:rFonts w:ascii="Century" w:hAnsi="Century" w:cs="Miriam" w:hint="eastAsia"/>
          <w:b/>
          <w:rtl/>
        </w:rPr>
        <w:t>בקרבה</w:t>
      </w:r>
      <w:r w:rsidRPr="00D170F5">
        <w:rPr>
          <w:rFonts w:ascii="Century" w:hAnsi="Century" w:cs="Miriam"/>
          <w:b/>
          <w:rtl/>
        </w:rPr>
        <w:t xml:space="preserve"> </w:t>
      </w:r>
      <w:r w:rsidRPr="00D170F5">
        <w:rPr>
          <w:rFonts w:ascii="Century" w:hAnsi="Century" w:cs="Miriam" w:hint="eastAsia"/>
          <w:b/>
          <w:rtl/>
        </w:rPr>
        <w:t>נוסחה</w:t>
      </w:r>
      <w:r w:rsidRPr="00D170F5">
        <w:rPr>
          <w:rFonts w:ascii="Century" w:hAnsi="Century" w:cs="Miriam"/>
          <w:b/>
          <w:rtl/>
        </w:rPr>
        <w:t xml:space="preserve"> </w:t>
      </w:r>
      <w:r w:rsidRPr="00D170F5">
        <w:rPr>
          <w:rFonts w:ascii="Century" w:hAnsi="Century" w:cs="Miriam" w:hint="eastAsia"/>
          <w:b/>
          <w:rtl/>
        </w:rPr>
        <w:t>מדויקת</w:t>
      </w:r>
      <w:r w:rsidRPr="00D170F5">
        <w:rPr>
          <w:rFonts w:ascii="Century" w:hAnsi="Century" w:cs="Miriam"/>
          <w:b/>
          <w:rtl/>
        </w:rPr>
        <w:t xml:space="preserve"> </w:t>
      </w:r>
      <w:r w:rsidRPr="00D170F5">
        <w:rPr>
          <w:rFonts w:ascii="Century" w:hAnsi="Century" w:cs="Miriam" w:hint="eastAsia"/>
          <w:b/>
          <w:rtl/>
        </w:rPr>
        <w:t>וצרה</w:t>
      </w:r>
      <w:r w:rsidRPr="00D170F5">
        <w:rPr>
          <w:rFonts w:ascii="Century" w:hAnsi="Century" w:cs="Miriam"/>
          <w:b/>
          <w:rtl/>
        </w:rPr>
        <w:t xml:space="preserve"> </w:t>
      </w:r>
      <w:r w:rsidRPr="00D170F5">
        <w:rPr>
          <w:rFonts w:ascii="Century" w:hAnsi="Century" w:cs="Miriam" w:hint="eastAsia"/>
          <w:b/>
          <w:rtl/>
        </w:rPr>
        <w:t>–</w:t>
      </w:r>
      <w:r w:rsidRPr="00D170F5">
        <w:rPr>
          <w:rFonts w:ascii="Century" w:hAnsi="Century" w:cs="Miriam"/>
          <w:b/>
          <w:rtl/>
        </w:rPr>
        <w:t xml:space="preserve"> </w:t>
      </w:r>
      <w:r w:rsidRPr="00D170F5">
        <w:rPr>
          <w:rFonts w:ascii="Century" w:hAnsi="Century" w:cs="Miriam" w:hint="eastAsia"/>
          <w:b/>
          <w:rtl/>
        </w:rPr>
        <w:t>מהו</w:t>
      </w:r>
      <w:r w:rsidRPr="00D170F5">
        <w:rPr>
          <w:rFonts w:ascii="Century" w:hAnsi="Century" w:cs="Miriam"/>
          <w:b/>
          <w:rtl/>
        </w:rPr>
        <w:t xml:space="preserve"> </w:t>
      </w:r>
      <w:r w:rsidRPr="00D170F5">
        <w:rPr>
          <w:rFonts w:ascii="Century" w:hAnsi="Century" w:cs="Miriam" w:hint="eastAsia"/>
          <w:b/>
          <w:rtl/>
        </w:rPr>
        <w:t>העקרון</w:t>
      </w:r>
      <w:r w:rsidRPr="00D170F5">
        <w:rPr>
          <w:rFonts w:ascii="Century" w:hAnsi="Century" w:cs="Miriam"/>
          <w:b/>
          <w:rtl/>
        </w:rPr>
        <w:t xml:space="preserve"> </w:t>
      </w:r>
      <w:r w:rsidRPr="00D170F5">
        <w:rPr>
          <w:rFonts w:ascii="Century" w:hAnsi="Century" w:cs="Miriam" w:hint="eastAsia"/>
          <w:b/>
          <w:rtl/>
        </w:rPr>
        <w:t>הרציונאלי</w:t>
      </w:r>
      <w:r w:rsidRPr="00D170F5">
        <w:rPr>
          <w:rFonts w:ascii="Century" w:hAnsi="Century" w:cs="Miriam"/>
          <w:b/>
          <w:rtl/>
        </w:rPr>
        <w:t xml:space="preserve"> </w:t>
      </w:r>
      <w:r w:rsidRPr="00D170F5">
        <w:rPr>
          <w:rFonts w:ascii="Century" w:hAnsi="Century" w:cs="Miriam" w:hint="eastAsia"/>
          <w:b/>
          <w:rtl/>
        </w:rPr>
        <w:t>שצריך</w:t>
      </w:r>
      <w:r w:rsidRPr="00D170F5">
        <w:rPr>
          <w:rFonts w:ascii="Century" w:hAnsi="Century" w:cs="Miriam"/>
          <w:b/>
          <w:rtl/>
        </w:rPr>
        <w:t xml:space="preserve"> </w:t>
      </w:r>
      <w:r w:rsidRPr="00D170F5">
        <w:rPr>
          <w:rFonts w:ascii="Century" w:hAnsi="Century" w:cs="Miriam" w:hint="eastAsia"/>
          <w:b/>
          <w:rtl/>
        </w:rPr>
        <w:t>לשמש</w:t>
      </w:r>
      <w:r w:rsidRPr="00D170F5">
        <w:rPr>
          <w:rFonts w:ascii="Century" w:hAnsi="Century" w:cs="Miriam"/>
          <w:b/>
          <w:rtl/>
        </w:rPr>
        <w:t xml:space="preserve"> </w:t>
      </w:r>
      <w:r w:rsidRPr="00D170F5">
        <w:rPr>
          <w:rFonts w:ascii="Century" w:hAnsi="Century" w:cs="Miriam" w:hint="eastAsia"/>
          <w:b/>
          <w:rtl/>
        </w:rPr>
        <w:t>לה</w:t>
      </w:r>
      <w:r w:rsidRPr="00D170F5">
        <w:rPr>
          <w:rFonts w:ascii="Century" w:hAnsi="Century" w:cs="Miriam"/>
          <w:b/>
          <w:rtl/>
        </w:rPr>
        <w:t xml:space="preserve">, </w:t>
      </w:r>
      <w:r w:rsidRPr="00D170F5">
        <w:rPr>
          <w:rFonts w:ascii="Century" w:hAnsi="Century" w:cs="Miriam" w:hint="eastAsia"/>
          <w:b/>
          <w:rtl/>
        </w:rPr>
        <w:t>לרשות</w:t>
      </w:r>
      <w:r w:rsidRPr="00D170F5">
        <w:rPr>
          <w:rFonts w:ascii="Century" w:hAnsi="Century" w:cs="Miriam"/>
          <w:b/>
          <w:rtl/>
        </w:rPr>
        <w:t xml:space="preserve"> </w:t>
      </w:r>
      <w:r w:rsidRPr="00D170F5">
        <w:rPr>
          <w:rFonts w:ascii="Century" w:hAnsi="Century" w:cs="Miriam" w:hint="eastAsia"/>
          <w:b/>
          <w:rtl/>
        </w:rPr>
        <w:t>המבצעת</w:t>
      </w:r>
      <w:r w:rsidRPr="00D170F5">
        <w:rPr>
          <w:rFonts w:ascii="Century" w:hAnsi="Century" w:cs="Miriam"/>
          <w:b/>
          <w:rtl/>
        </w:rPr>
        <w:t xml:space="preserve">, </w:t>
      </w:r>
      <w:r w:rsidRPr="00D170F5">
        <w:rPr>
          <w:rFonts w:ascii="Century" w:hAnsi="Century" w:cs="Miriam" w:hint="eastAsia"/>
          <w:b/>
          <w:rtl/>
        </w:rPr>
        <w:t>שעה</w:t>
      </w:r>
      <w:r w:rsidRPr="00D170F5">
        <w:rPr>
          <w:rFonts w:ascii="Century" w:hAnsi="Century" w:cs="Miriam"/>
          <w:b/>
          <w:rtl/>
        </w:rPr>
        <w:t xml:space="preserve"> </w:t>
      </w:r>
      <w:r w:rsidRPr="00D170F5">
        <w:rPr>
          <w:rFonts w:ascii="Century" w:hAnsi="Century" w:cs="Miriam" w:hint="eastAsia"/>
          <w:b/>
          <w:rtl/>
        </w:rPr>
        <w:t>שהיא</w:t>
      </w:r>
      <w:r w:rsidRPr="00D170F5">
        <w:rPr>
          <w:rFonts w:ascii="Century" w:hAnsi="Century" w:cs="Miriam"/>
          <w:b/>
          <w:rtl/>
        </w:rPr>
        <w:t xml:space="preserve"> </w:t>
      </w:r>
      <w:r w:rsidRPr="00D170F5">
        <w:rPr>
          <w:rFonts w:ascii="Century" w:hAnsi="Century" w:cs="Miriam" w:hint="eastAsia"/>
          <w:b/>
          <w:rtl/>
        </w:rPr>
        <w:t>עוסקת</w:t>
      </w:r>
      <w:r w:rsidRPr="00D170F5">
        <w:rPr>
          <w:rFonts w:ascii="Century" w:hAnsi="Century" w:cs="Miriam"/>
          <w:b/>
          <w:rtl/>
        </w:rPr>
        <w:t xml:space="preserve"> </w:t>
      </w:r>
      <w:r w:rsidRPr="00D170F5">
        <w:rPr>
          <w:rFonts w:ascii="Century" w:hAnsi="Century" w:cs="Miriam" w:hint="eastAsia"/>
          <w:b/>
          <w:rtl/>
        </w:rPr>
        <w:t>בתהליך</w:t>
      </w:r>
      <w:r w:rsidRPr="00D170F5">
        <w:rPr>
          <w:rFonts w:ascii="Century" w:hAnsi="Century" w:cs="Miriam"/>
          <w:b/>
          <w:rtl/>
        </w:rPr>
        <w:t xml:space="preserve"> </w:t>
      </w:r>
      <w:r w:rsidRPr="00D170F5">
        <w:rPr>
          <w:rFonts w:ascii="Century" w:hAnsi="Century" w:cs="Miriam" w:hint="eastAsia"/>
          <w:b/>
          <w:rtl/>
        </w:rPr>
        <w:t>האמור</w:t>
      </w:r>
      <w:r w:rsidRPr="00D170F5">
        <w:rPr>
          <w:rFonts w:ascii="Century" w:hAnsi="Century" w:cs="Miriam"/>
          <w:b/>
          <w:rtl/>
        </w:rPr>
        <w:t xml:space="preserve">, </w:t>
      </w:r>
      <w:r w:rsidRPr="00D170F5">
        <w:rPr>
          <w:rFonts w:ascii="Century" w:hAnsi="Century" w:cs="Miriam" w:hint="eastAsia"/>
          <w:b/>
          <w:rtl/>
        </w:rPr>
        <w:t>לשם</w:t>
      </w:r>
      <w:r w:rsidRPr="00D170F5">
        <w:rPr>
          <w:rFonts w:ascii="Century" w:hAnsi="Century" w:cs="Miriam"/>
          <w:b/>
          <w:rtl/>
        </w:rPr>
        <w:t xml:space="preserve"> </w:t>
      </w:r>
      <w:r w:rsidRPr="00D170F5">
        <w:rPr>
          <w:rFonts w:ascii="Century" w:hAnsi="Century" w:cs="Miriam" w:hint="eastAsia"/>
          <w:b/>
          <w:rtl/>
        </w:rPr>
        <w:t>הכרעת</w:t>
      </w:r>
      <w:r w:rsidRPr="00D170F5">
        <w:rPr>
          <w:rFonts w:ascii="Century" w:hAnsi="Century" w:cs="Miriam"/>
          <w:b/>
          <w:rtl/>
        </w:rPr>
        <w:t xml:space="preserve"> </w:t>
      </w:r>
      <w:r w:rsidRPr="00D170F5">
        <w:rPr>
          <w:rFonts w:ascii="Century" w:hAnsi="Century" w:cs="Miriam" w:hint="eastAsia"/>
          <w:b/>
          <w:rtl/>
        </w:rPr>
        <w:t>הכף</w:t>
      </w:r>
      <w:r w:rsidRPr="00D170F5">
        <w:rPr>
          <w:rFonts w:ascii="Century" w:hAnsi="Century" w:cs="Miriam"/>
          <w:b/>
          <w:rtl/>
        </w:rPr>
        <w:t xml:space="preserve"> </w:t>
      </w:r>
      <w:r w:rsidRPr="00D170F5">
        <w:rPr>
          <w:rFonts w:ascii="Century" w:hAnsi="Century" w:cs="Miriam" w:hint="eastAsia"/>
          <w:b/>
          <w:rtl/>
        </w:rPr>
        <w:t>לצד</w:t>
      </w:r>
      <w:r w:rsidRPr="00D170F5">
        <w:rPr>
          <w:rFonts w:ascii="Century" w:hAnsi="Century" w:cs="Miriam"/>
          <w:b/>
          <w:rtl/>
        </w:rPr>
        <w:t xml:space="preserve"> </w:t>
      </w:r>
      <w:r w:rsidRPr="00D170F5">
        <w:rPr>
          <w:rFonts w:ascii="Century" w:hAnsi="Century" w:cs="Miriam" w:hint="eastAsia"/>
          <w:b/>
          <w:rtl/>
        </w:rPr>
        <w:t>זה</w:t>
      </w:r>
      <w:r w:rsidRPr="00D170F5">
        <w:rPr>
          <w:rFonts w:ascii="Century" w:hAnsi="Century" w:cs="Miriam"/>
          <w:b/>
          <w:rtl/>
        </w:rPr>
        <w:t xml:space="preserve"> </w:t>
      </w:r>
      <w:r w:rsidRPr="00D170F5">
        <w:rPr>
          <w:rFonts w:ascii="Century" w:hAnsi="Century" w:cs="Miriam" w:hint="eastAsia"/>
          <w:b/>
          <w:rtl/>
        </w:rPr>
        <w:t>או</w:t>
      </w:r>
      <w:r w:rsidRPr="00D170F5">
        <w:rPr>
          <w:rFonts w:ascii="Century" w:hAnsi="Century" w:cs="Miriam"/>
          <w:b/>
          <w:rtl/>
        </w:rPr>
        <w:t xml:space="preserve"> </w:t>
      </w:r>
      <w:r w:rsidRPr="00D170F5">
        <w:rPr>
          <w:rFonts w:ascii="Century" w:hAnsi="Century" w:cs="Miriam" w:hint="eastAsia"/>
          <w:b/>
          <w:rtl/>
        </w:rPr>
        <w:t>זה</w:t>
      </w:r>
      <w:r w:rsidRPr="00D170F5">
        <w:rPr>
          <w:rFonts w:ascii="Century" w:hAnsi="Century" w:cs="Miriam"/>
          <w:b/>
          <w:rtl/>
        </w:rPr>
        <w:t xml:space="preserve"> </w:t>
      </w:r>
      <w:r w:rsidRPr="00D170F5">
        <w:rPr>
          <w:rFonts w:ascii="Century" w:hAnsi="Century" w:cs="Miriam" w:hint="eastAsia"/>
          <w:b/>
          <w:rtl/>
        </w:rPr>
        <w:t>משני</w:t>
      </w:r>
      <w:r w:rsidRPr="00D170F5">
        <w:rPr>
          <w:rFonts w:ascii="Century" w:hAnsi="Century" w:cs="Miriam"/>
          <w:b/>
          <w:rtl/>
        </w:rPr>
        <w:t xml:space="preserve"> </w:t>
      </w:r>
      <w:r w:rsidRPr="00D170F5">
        <w:rPr>
          <w:rFonts w:ascii="Century" w:hAnsi="Century" w:cs="Miriam" w:hint="eastAsia"/>
          <w:b/>
          <w:rtl/>
        </w:rPr>
        <w:t>האינטרסים</w:t>
      </w:r>
      <w:r w:rsidRPr="00D170F5">
        <w:rPr>
          <w:rFonts w:ascii="Century" w:hAnsi="Century" w:cs="Miriam"/>
          <w:b/>
          <w:rtl/>
        </w:rPr>
        <w:t xml:space="preserve"> </w:t>
      </w:r>
      <w:r w:rsidRPr="00D170F5">
        <w:rPr>
          <w:rFonts w:ascii="Century" w:hAnsi="Century" w:cs="Miriam" w:hint="eastAsia"/>
          <w:b/>
          <w:rtl/>
        </w:rPr>
        <w:t>הנזכרים</w:t>
      </w:r>
      <w:r w:rsidRPr="00D170F5">
        <w:rPr>
          <w:rFonts w:ascii="Century" w:hAnsi="Century" w:cs="Miriam"/>
          <w:b/>
          <w:rtl/>
        </w:rPr>
        <w:t>?</w:t>
      </w:r>
      <w:r w:rsidRPr="00D1560A">
        <w:rPr>
          <w:rFonts w:ascii="Century" w:hAnsi="Century" w:cs="FrankRuehl"/>
          <w:spacing w:val="10"/>
          <w:szCs w:val="28"/>
          <w:rtl/>
        </w:rPr>
        <w:t>"</w:t>
      </w:r>
      <w:r>
        <w:rPr>
          <w:rFonts w:ascii="Century" w:hAnsi="Century" w:cs="FrankRuehl" w:hint="cs"/>
          <w:spacing w:val="10"/>
          <w:szCs w:val="28"/>
          <w:rtl/>
        </w:rPr>
        <w:t xml:space="preserve"> (שם, בעמודים 882-881). </w:t>
      </w:r>
    </w:p>
    <w:p w:rsidR="00A01E7C" w:rsidRPr="00DA04EB"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ind w:firstLine="720"/>
        <w:jc w:val="both"/>
        <w:rPr>
          <w:rFonts w:ascii="Century" w:hAnsi="Century" w:cs="FrankRuehl"/>
          <w:spacing w:val="10"/>
          <w:szCs w:val="28"/>
          <w:rtl/>
        </w:rPr>
      </w:pPr>
      <w:r>
        <w:rPr>
          <w:rFonts w:ascii="Century" w:hAnsi="Century" w:cs="FrankRuehl" w:hint="cs"/>
          <w:spacing w:val="10"/>
          <w:szCs w:val="28"/>
          <w:rtl/>
        </w:rPr>
        <w:t>דוגמאות נוספות ניתן למצוא בפסק הדין שניתן ב</w:t>
      </w:r>
      <w:r w:rsidRPr="00C03666">
        <w:rPr>
          <w:rFonts w:ascii="Century" w:hAnsi="Century" w:cs="FrankRuehl"/>
          <w:spacing w:val="10"/>
          <w:szCs w:val="28"/>
          <w:rtl/>
        </w:rPr>
        <w:t xml:space="preserve">בג"ץ 243/62 </w:t>
      </w:r>
      <w:r w:rsidRPr="004F4D8E">
        <w:rPr>
          <w:rFonts w:ascii="Century" w:hAnsi="Century" w:cs="Miriam" w:hint="eastAsia"/>
          <w:b/>
          <w:rtl/>
        </w:rPr>
        <w:t>אולפני</w:t>
      </w:r>
      <w:r w:rsidRPr="004F4D8E">
        <w:rPr>
          <w:rFonts w:ascii="Century" w:hAnsi="Century" w:cs="Miriam"/>
          <w:b/>
          <w:rtl/>
        </w:rPr>
        <w:t xml:space="preserve"> </w:t>
      </w:r>
      <w:r w:rsidRPr="004F4D8E">
        <w:rPr>
          <w:rFonts w:ascii="Century" w:hAnsi="Century" w:cs="Miriam" w:hint="eastAsia"/>
          <w:b/>
          <w:rtl/>
        </w:rPr>
        <w:t>הסרטה</w:t>
      </w:r>
      <w:r w:rsidRPr="004F4D8E">
        <w:rPr>
          <w:rFonts w:ascii="Century" w:hAnsi="Century" w:cs="Miriam"/>
          <w:b/>
          <w:rtl/>
        </w:rPr>
        <w:t xml:space="preserve"> </w:t>
      </w:r>
      <w:r w:rsidRPr="004F4D8E">
        <w:rPr>
          <w:rFonts w:ascii="Century" w:hAnsi="Century" w:cs="Miriam" w:hint="eastAsia"/>
          <w:b/>
          <w:rtl/>
        </w:rPr>
        <w:t>בישראל</w:t>
      </w:r>
      <w:r w:rsidRPr="004F4D8E">
        <w:rPr>
          <w:rFonts w:ascii="Century" w:hAnsi="Century" w:cs="Miriam"/>
          <w:b/>
          <w:rtl/>
        </w:rPr>
        <w:t xml:space="preserve"> </w:t>
      </w:r>
      <w:r w:rsidRPr="004F4D8E">
        <w:rPr>
          <w:rFonts w:ascii="Century" w:hAnsi="Century" w:cs="Miriam" w:hint="eastAsia"/>
          <w:b/>
          <w:rtl/>
        </w:rPr>
        <w:t>בע״מ</w:t>
      </w:r>
      <w:r w:rsidRPr="004F4D8E">
        <w:rPr>
          <w:rFonts w:ascii="Century" w:hAnsi="Century" w:cs="Miriam"/>
          <w:b/>
          <w:rtl/>
        </w:rPr>
        <w:t xml:space="preserve"> </w:t>
      </w:r>
      <w:r w:rsidRPr="004F4D8E">
        <w:rPr>
          <w:rFonts w:ascii="Century" w:hAnsi="Century" w:cs="Miriam" w:hint="eastAsia"/>
          <w:b/>
          <w:rtl/>
        </w:rPr>
        <w:t>נ</w:t>
      </w:r>
      <w:r w:rsidRPr="004F4D8E">
        <w:rPr>
          <w:rFonts w:ascii="Century" w:hAnsi="Century" w:cs="Miriam"/>
          <w:b/>
          <w:rtl/>
        </w:rPr>
        <w:t xml:space="preserve">' </w:t>
      </w:r>
      <w:r w:rsidRPr="004F4D8E">
        <w:rPr>
          <w:rFonts w:ascii="Century" w:hAnsi="Century" w:cs="Miriam" w:hint="eastAsia"/>
          <w:b/>
          <w:rtl/>
        </w:rPr>
        <w:t>לוי</w:t>
      </w:r>
      <w:r w:rsidRPr="004F4D8E">
        <w:rPr>
          <w:rFonts w:ascii="Century" w:hAnsi="Century" w:cs="Miriam"/>
          <w:b/>
          <w:rtl/>
        </w:rPr>
        <w:t xml:space="preserve"> </w:t>
      </w:r>
      <w:r w:rsidRPr="004F4D8E">
        <w:rPr>
          <w:rFonts w:ascii="Century" w:hAnsi="Century" w:cs="Miriam" w:hint="eastAsia"/>
          <w:b/>
          <w:rtl/>
        </w:rPr>
        <w:t>גרי</w:t>
      </w:r>
      <w:r w:rsidRPr="004F4D8E">
        <w:rPr>
          <w:rFonts w:ascii="Century" w:hAnsi="Century" w:cs="Miriam"/>
          <w:b/>
          <w:rtl/>
        </w:rPr>
        <w:t xml:space="preserve"> </w:t>
      </w:r>
      <w:r w:rsidRPr="004F4D8E">
        <w:rPr>
          <w:rFonts w:ascii="Century" w:hAnsi="Century" w:cs="Miriam" w:hint="eastAsia"/>
          <w:b/>
          <w:rtl/>
        </w:rPr>
        <w:t>והמועצה</w:t>
      </w:r>
      <w:r w:rsidRPr="004F4D8E">
        <w:rPr>
          <w:rFonts w:ascii="Century" w:hAnsi="Century" w:cs="Miriam"/>
          <w:b/>
          <w:rtl/>
        </w:rPr>
        <w:t xml:space="preserve"> </w:t>
      </w:r>
      <w:r w:rsidRPr="004F4D8E">
        <w:rPr>
          <w:rFonts w:ascii="Century" w:hAnsi="Century" w:cs="Miriam" w:hint="eastAsia"/>
          <w:b/>
          <w:rtl/>
        </w:rPr>
        <w:t>לביקורת</w:t>
      </w:r>
      <w:r w:rsidRPr="004F4D8E">
        <w:rPr>
          <w:rFonts w:ascii="Century" w:hAnsi="Century" w:cs="Miriam"/>
          <w:b/>
          <w:rtl/>
        </w:rPr>
        <w:t xml:space="preserve"> </w:t>
      </w:r>
      <w:r w:rsidRPr="004F4D8E">
        <w:rPr>
          <w:rFonts w:ascii="Century" w:hAnsi="Century" w:cs="Miriam" w:hint="eastAsia"/>
          <w:b/>
          <w:rtl/>
        </w:rPr>
        <w:t>סרטים</w:t>
      </w:r>
      <w:r w:rsidRPr="004F4D8E">
        <w:rPr>
          <w:rFonts w:ascii="Century" w:hAnsi="Century" w:cs="Miriam"/>
          <w:b/>
          <w:rtl/>
        </w:rPr>
        <w:t xml:space="preserve"> </w:t>
      </w:r>
      <w:r w:rsidRPr="004F4D8E">
        <w:rPr>
          <w:rFonts w:ascii="Century" w:hAnsi="Century" w:cs="Miriam" w:hint="eastAsia"/>
          <w:b/>
          <w:rtl/>
        </w:rPr>
        <w:t>ומחזות</w:t>
      </w:r>
      <w:r w:rsidRPr="004F4D8E">
        <w:rPr>
          <w:rFonts w:ascii="Century" w:hAnsi="Century" w:cs="Miriam"/>
          <w:b/>
          <w:rtl/>
        </w:rPr>
        <w:t xml:space="preserve">, </w:t>
      </w:r>
      <w:r w:rsidRPr="004F4D8E">
        <w:rPr>
          <w:rFonts w:ascii="Century" w:hAnsi="Century" w:cs="Miriam" w:hint="eastAsia"/>
          <w:b/>
          <w:rtl/>
        </w:rPr>
        <w:t>משרד</w:t>
      </w:r>
      <w:r w:rsidRPr="004F4D8E">
        <w:rPr>
          <w:rFonts w:ascii="Century" w:hAnsi="Century" w:cs="Miriam"/>
          <w:b/>
          <w:rtl/>
        </w:rPr>
        <w:t>-</w:t>
      </w:r>
      <w:r w:rsidRPr="004F4D8E">
        <w:rPr>
          <w:rFonts w:ascii="Century" w:hAnsi="Century" w:cs="Miriam" w:hint="eastAsia"/>
          <w:b/>
          <w:rtl/>
        </w:rPr>
        <w:t>הפנים</w:t>
      </w:r>
      <w:r w:rsidRPr="00C03666">
        <w:rPr>
          <w:rFonts w:ascii="Century" w:hAnsi="Century" w:cs="FrankRuehl"/>
          <w:spacing w:val="10"/>
          <w:szCs w:val="28"/>
          <w:rtl/>
        </w:rPr>
        <w:t xml:space="preserve">, </w:t>
      </w:r>
      <w:r>
        <w:rPr>
          <w:rFonts w:ascii="Century" w:hAnsi="Century" w:cs="FrankRuehl" w:hint="cs"/>
          <w:spacing w:val="10"/>
          <w:szCs w:val="28"/>
          <w:rtl/>
        </w:rPr>
        <w:t xml:space="preserve">פ"ד </w:t>
      </w:r>
      <w:r w:rsidRPr="00C03666">
        <w:rPr>
          <w:rFonts w:ascii="Century" w:hAnsi="Century" w:cs="FrankRuehl"/>
          <w:spacing w:val="10"/>
          <w:szCs w:val="28"/>
          <w:rtl/>
        </w:rPr>
        <w:t>טז 2408 (1962)</w:t>
      </w:r>
      <w:r>
        <w:rPr>
          <w:rFonts w:ascii="Century" w:hAnsi="Century" w:cs="FrankRuehl" w:hint="cs"/>
          <w:spacing w:val="10"/>
          <w:szCs w:val="28"/>
          <w:rtl/>
        </w:rPr>
        <w:t xml:space="preserve"> (להלן: </w:t>
      </w:r>
      <w:r>
        <w:rPr>
          <w:rFonts w:ascii="Century" w:hAnsi="Century" w:cs="Miriam" w:hint="eastAsia"/>
          <w:b/>
          <w:rtl/>
        </w:rPr>
        <w:t>עניין</w:t>
      </w:r>
      <w:r>
        <w:rPr>
          <w:rFonts w:ascii="Century" w:hAnsi="Century" w:cs="Miriam"/>
          <w:b/>
          <w:rtl/>
        </w:rPr>
        <w:t xml:space="preserve"> </w:t>
      </w:r>
      <w:r>
        <w:rPr>
          <w:rFonts w:ascii="Century" w:hAnsi="Century" w:cs="Miriam" w:hint="eastAsia"/>
          <w:b/>
          <w:rtl/>
        </w:rPr>
        <w:t>אולפני</w:t>
      </w:r>
      <w:r>
        <w:rPr>
          <w:rFonts w:ascii="Century" w:hAnsi="Century" w:cs="Miriam"/>
          <w:b/>
          <w:rtl/>
        </w:rPr>
        <w:t xml:space="preserve"> </w:t>
      </w:r>
      <w:r w:rsidRPr="00061844">
        <w:rPr>
          <w:rFonts w:ascii="Century" w:hAnsi="Century" w:cs="Miriam" w:hint="eastAsia"/>
          <w:b/>
          <w:rtl/>
        </w:rPr>
        <w:t>הסרטה</w:t>
      </w:r>
      <w:r>
        <w:rPr>
          <w:rFonts w:ascii="Century" w:hAnsi="Century" w:cs="FrankRuehl" w:hint="cs"/>
          <w:spacing w:val="10"/>
          <w:szCs w:val="28"/>
          <w:rtl/>
        </w:rPr>
        <w:t xml:space="preserve">) </w:t>
      </w:r>
      <w:r>
        <w:rPr>
          <w:rFonts w:ascii="Century" w:hAnsi="Century" w:cs="FrankRuehl"/>
          <w:spacing w:val="10"/>
          <w:szCs w:val="28"/>
          <w:rtl/>
        </w:rPr>
        <w:t>–</w:t>
      </w:r>
      <w:r>
        <w:rPr>
          <w:rFonts w:ascii="Century" w:hAnsi="Century" w:cs="FrankRuehl" w:hint="cs"/>
          <w:spacing w:val="10"/>
          <w:szCs w:val="28"/>
          <w:rtl/>
        </w:rPr>
        <w:t xml:space="preserve"> שם התערב בית משפט זה בשיקול דעתה של המועצה לביקורת סרטים ומחזות לפסול לשידור קטע מיומן קולנועי מן הטעם שלא ניתן בהחלטה </w:t>
      </w:r>
      <w:r w:rsidRPr="005F3516">
        <w:rPr>
          <w:rFonts w:ascii="Century" w:hAnsi="Century" w:cs="Miriam" w:hint="cs"/>
          <w:b/>
          <w:rtl/>
        </w:rPr>
        <w:t>משקל ראוי</w:t>
      </w:r>
      <w:r>
        <w:rPr>
          <w:rFonts w:ascii="Century" w:hAnsi="Century" w:cs="FrankRuehl" w:hint="cs"/>
          <w:spacing w:val="10"/>
          <w:szCs w:val="28"/>
          <w:rtl/>
        </w:rPr>
        <w:t xml:space="preserve"> לשיקול של "</w:t>
      </w:r>
      <w:r w:rsidRPr="00D170F5">
        <w:rPr>
          <w:rFonts w:ascii="Century" w:hAnsi="Century" w:cs="Miriam" w:hint="eastAsia"/>
          <w:b/>
          <w:rtl/>
        </w:rPr>
        <w:t>זכות</w:t>
      </w:r>
      <w:r w:rsidRPr="00D170F5">
        <w:rPr>
          <w:rFonts w:ascii="Century" w:hAnsi="Century" w:cs="Miriam"/>
          <w:b/>
          <w:rtl/>
        </w:rPr>
        <w:t xml:space="preserve"> </w:t>
      </w:r>
      <w:r w:rsidRPr="00D170F5">
        <w:rPr>
          <w:rFonts w:ascii="Century" w:hAnsi="Century" w:cs="Miriam" w:hint="eastAsia"/>
          <w:b/>
          <w:rtl/>
        </w:rPr>
        <w:t>האזרח</w:t>
      </w:r>
      <w:r w:rsidRPr="00D170F5">
        <w:rPr>
          <w:rFonts w:ascii="Century" w:hAnsi="Century" w:cs="Miriam"/>
          <w:b/>
          <w:rtl/>
        </w:rPr>
        <w:t xml:space="preserve"> </w:t>
      </w:r>
      <w:r w:rsidRPr="00D170F5">
        <w:rPr>
          <w:rFonts w:ascii="Century" w:hAnsi="Century" w:cs="Miriam" w:hint="eastAsia"/>
          <w:b/>
          <w:rtl/>
        </w:rPr>
        <w:t>להפיץ</w:t>
      </w:r>
      <w:r w:rsidRPr="00D170F5">
        <w:rPr>
          <w:rFonts w:ascii="Century" w:hAnsi="Century" w:cs="Miriam"/>
          <w:b/>
          <w:rtl/>
        </w:rPr>
        <w:t xml:space="preserve"> </w:t>
      </w:r>
      <w:r w:rsidRPr="00D170F5">
        <w:rPr>
          <w:rFonts w:ascii="Century" w:hAnsi="Century" w:cs="Miriam" w:hint="eastAsia"/>
          <w:b/>
          <w:rtl/>
        </w:rPr>
        <w:t>ולקבל</w:t>
      </w:r>
      <w:r w:rsidRPr="00D170F5">
        <w:rPr>
          <w:rFonts w:ascii="Century" w:hAnsi="Century" w:cs="Miriam"/>
          <w:b/>
          <w:rtl/>
        </w:rPr>
        <w:t xml:space="preserve"> </w:t>
      </w:r>
      <w:r w:rsidRPr="00D170F5">
        <w:rPr>
          <w:rFonts w:ascii="Century" w:hAnsi="Century" w:cs="Miriam" w:hint="eastAsia"/>
          <w:b/>
          <w:rtl/>
        </w:rPr>
        <w:t>ידיעות</w:t>
      </w:r>
      <w:r w:rsidRPr="00D170F5">
        <w:rPr>
          <w:rFonts w:ascii="Century" w:hAnsi="Century" w:cs="Miriam"/>
          <w:b/>
          <w:rtl/>
        </w:rPr>
        <w:t xml:space="preserve"> </w:t>
      </w:r>
      <w:r w:rsidRPr="00D170F5">
        <w:rPr>
          <w:rFonts w:ascii="Century" w:hAnsi="Century" w:cs="Miriam" w:hint="eastAsia"/>
          <w:b/>
          <w:rtl/>
        </w:rPr>
        <w:t>על</w:t>
      </w:r>
      <w:r w:rsidRPr="00D170F5">
        <w:rPr>
          <w:rFonts w:ascii="Century" w:hAnsi="Century" w:cs="Miriam"/>
          <w:b/>
          <w:rtl/>
        </w:rPr>
        <w:t xml:space="preserve"> </w:t>
      </w:r>
      <w:r w:rsidRPr="00D170F5">
        <w:rPr>
          <w:rFonts w:ascii="Century" w:hAnsi="Century" w:cs="Miriam" w:hint="eastAsia"/>
          <w:b/>
          <w:rtl/>
        </w:rPr>
        <w:t>המתרחש</w:t>
      </w:r>
      <w:r w:rsidRPr="00D170F5">
        <w:rPr>
          <w:rFonts w:ascii="Century" w:hAnsi="Century" w:cs="Miriam"/>
          <w:b/>
          <w:rtl/>
        </w:rPr>
        <w:t xml:space="preserve"> </w:t>
      </w:r>
      <w:r w:rsidRPr="00D170F5">
        <w:rPr>
          <w:rFonts w:ascii="Century" w:hAnsi="Century" w:cs="Miriam" w:hint="eastAsia"/>
          <w:b/>
          <w:rtl/>
        </w:rPr>
        <w:t>מסביבו</w:t>
      </w:r>
      <w:r>
        <w:rPr>
          <w:rFonts w:ascii="Century" w:hAnsi="Century" w:cs="FrankRuehl" w:hint="cs"/>
          <w:spacing w:val="10"/>
          <w:szCs w:val="28"/>
          <w:rtl/>
        </w:rPr>
        <w:t>" (שם, בעמוד 2415); ובפסק הדין ב</w:t>
      </w:r>
      <w:r w:rsidRPr="008C7B34">
        <w:rPr>
          <w:rFonts w:ascii="Century" w:hAnsi="Century" w:cs="FrankRuehl"/>
          <w:spacing w:val="10"/>
          <w:szCs w:val="28"/>
          <w:rtl/>
        </w:rPr>
        <w:t xml:space="preserve">בג"ץ 148/79 </w:t>
      </w:r>
      <w:r w:rsidRPr="004F4D8E">
        <w:rPr>
          <w:rFonts w:ascii="Century" w:hAnsi="Century" w:cs="Miriam" w:hint="eastAsia"/>
          <w:b/>
          <w:rtl/>
        </w:rPr>
        <w:t>סער</w:t>
      </w:r>
      <w:r w:rsidRPr="004F4D8E">
        <w:rPr>
          <w:rFonts w:ascii="Century" w:hAnsi="Century" w:cs="Miriam"/>
          <w:b/>
          <w:rtl/>
        </w:rPr>
        <w:t xml:space="preserve"> </w:t>
      </w:r>
      <w:r w:rsidRPr="004F4D8E">
        <w:rPr>
          <w:rFonts w:ascii="Century" w:hAnsi="Century" w:cs="Miriam" w:hint="eastAsia"/>
          <w:b/>
          <w:rtl/>
        </w:rPr>
        <w:t>נ</w:t>
      </w:r>
      <w:r w:rsidRPr="004F4D8E">
        <w:rPr>
          <w:rFonts w:ascii="Century" w:hAnsi="Century" w:cs="Miriam"/>
          <w:b/>
          <w:rtl/>
        </w:rPr>
        <w:t xml:space="preserve">' </w:t>
      </w:r>
      <w:r w:rsidRPr="004F4D8E">
        <w:rPr>
          <w:rFonts w:ascii="Century" w:hAnsi="Century" w:cs="Miriam" w:hint="eastAsia"/>
          <w:b/>
          <w:rtl/>
        </w:rPr>
        <w:t>שר</w:t>
      </w:r>
      <w:r w:rsidRPr="004F4D8E">
        <w:rPr>
          <w:rFonts w:ascii="Century" w:hAnsi="Century" w:cs="Miriam"/>
          <w:b/>
          <w:rtl/>
        </w:rPr>
        <w:t xml:space="preserve"> </w:t>
      </w:r>
      <w:r w:rsidRPr="004F4D8E">
        <w:rPr>
          <w:rFonts w:ascii="Century" w:hAnsi="Century" w:cs="Miriam" w:hint="eastAsia"/>
          <w:b/>
          <w:rtl/>
        </w:rPr>
        <w:t>הפנים</w:t>
      </w:r>
      <w:r w:rsidRPr="004F4D8E">
        <w:rPr>
          <w:rFonts w:ascii="Century" w:hAnsi="Century" w:cs="Miriam"/>
          <w:b/>
          <w:rtl/>
        </w:rPr>
        <w:t xml:space="preserve"> </w:t>
      </w:r>
      <w:r w:rsidRPr="004F4D8E">
        <w:rPr>
          <w:rFonts w:ascii="Century" w:hAnsi="Century" w:cs="Miriam" w:hint="eastAsia"/>
          <w:b/>
          <w:rtl/>
        </w:rPr>
        <w:t>והמשטרה</w:t>
      </w:r>
      <w:r w:rsidRPr="008C7B34">
        <w:rPr>
          <w:rFonts w:ascii="Century" w:hAnsi="Century" w:cs="FrankRuehl"/>
          <w:spacing w:val="10"/>
          <w:szCs w:val="28"/>
          <w:rtl/>
        </w:rPr>
        <w:t xml:space="preserve">, </w:t>
      </w:r>
      <w:r>
        <w:rPr>
          <w:rFonts w:ascii="Century" w:hAnsi="Century" w:cs="FrankRuehl" w:hint="cs"/>
          <w:spacing w:val="10"/>
          <w:szCs w:val="28"/>
          <w:rtl/>
        </w:rPr>
        <w:t xml:space="preserve">פ"ד </w:t>
      </w:r>
      <w:r w:rsidRPr="008C7B34">
        <w:rPr>
          <w:rFonts w:ascii="Century" w:hAnsi="Century" w:cs="FrankRuehl"/>
          <w:spacing w:val="10"/>
          <w:szCs w:val="28"/>
          <w:rtl/>
        </w:rPr>
        <w:t>לד(2) 169 (1979)</w:t>
      </w:r>
      <w:r>
        <w:rPr>
          <w:rFonts w:ascii="Century" w:hAnsi="Century" w:cs="FrankRuehl" w:hint="cs"/>
          <w:spacing w:val="10"/>
          <w:szCs w:val="28"/>
          <w:rtl/>
        </w:rPr>
        <w:t xml:space="preserve"> </w:t>
      </w:r>
      <w:r>
        <w:rPr>
          <w:rFonts w:ascii="Century" w:hAnsi="Century" w:cs="FrankRuehl"/>
          <w:spacing w:val="10"/>
          <w:szCs w:val="28"/>
          <w:rtl/>
        </w:rPr>
        <w:t>–</w:t>
      </w:r>
      <w:r>
        <w:rPr>
          <w:rFonts w:ascii="Century" w:hAnsi="Century" w:cs="FrankRuehl" w:hint="cs"/>
          <w:spacing w:val="10"/>
          <w:szCs w:val="28"/>
          <w:rtl/>
        </w:rPr>
        <w:t xml:space="preserve"> שם התערב בית המשפט בשיקול דעתה של משטרת ישראל לדחות בקשה לקיים תהלוכה בין היתר מן הטעם שההחלטה לא </w:t>
      </w:r>
      <w:r w:rsidRPr="005F3516">
        <w:rPr>
          <w:rFonts w:ascii="Century" w:hAnsi="Century" w:cs="Miriam" w:hint="cs"/>
          <w:b/>
          <w:rtl/>
        </w:rPr>
        <w:t>איזנה כראוי</w:t>
      </w:r>
      <w:r>
        <w:rPr>
          <w:rFonts w:ascii="Century" w:hAnsi="Century" w:cs="FrankRuehl" w:hint="cs"/>
          <w:spacing w:val="10"/>
          <w:szCs w:val="28"/>
          <w:rtl/>
        </w:rPr>
        <w:t xml:space="preserve"> בין השיקול התעבורתי של פגיעה בסדרי התנועה לבין הזכות לקיים אסיפה או תהלוכה. בפסק דין אחרון זה ציין השופט </w:t>
      </w:r>
      <w:r w:rsidRPr="004F4D8E">
        <w:rPr>
          <w:rFonts w:ascii="Century" w:hAnsi="Century" w:cs="Miriam" w:hint="eastAsia"/>
          <w:b/>
          <w:rtl/>
        </w:rPr>
        <w:t>ברק</w:t>
      </w:r>
      <w:r w:rsidRPr="00DA04EB">
        <w:rPr>
          <w:rFonts w:ascii="Century" w:hAnsi="Century" w:cs="FrankRuehl" w:hint="cs"/>
          <w:spacing w:val="10"/>
          <w:szCs w:val="28"/>
          <w:rtl/>
        </w:rPr>
        <w:t xml:space="preserve"> </w:t>
      </w:r>
      <w:r>
        <w:rPr>
          <w:rFonts w:ascii="Century" w:hAnsi="Century" w:cs="FrankRuehl" w:hint="cs"/>
          <w:spacing w:val="10"/>
          <w:szCs w:val="28"/>
          <w:rtl/>
        </w:rPr>
        <w:t>כי "</w:t>
      </w:r>
      <w:r w:rsidRPr="00D170F5">
        <w:rPr>
          <w:rFonts w:ascii="Century" w:hAnsi="Century" w:cs="Miriam" w:hint="eastAsia"/>
          <w:b/>
          <w:rtl/>
        </w:rPr>
        <w:t>האיזון</w:t>
      </w:r>
      <w:r w:rsidRPr="00D170F5">
        <w:rPr>
          <w:rFonts w:ascii="Century" w:hAnsi="Century" w:cs="Miriam"/>
          <w:b/>
          <w:rtl/>
        </w:rPr>
        <w:t xml:space="preserve"> </w:t>
      </w:r>
      <w:r w:rsidRPr="00D170F5">
        <w:rPr>
          <w:rFonts w:ascii="Century" w:hAnsi="Century" w:cs="Miriam" w:hint="eastAsia"/>
          <w:b/>
          <w:rtl/>
        </w:rPr>
        <w:t>בין</w:t>
      </w:r>
      <w:r w:rsidRPr="00D170F5">
        <w:rPr>
          <w:rFonts w:ascii="Century" w:hAnsi="Century" w:cs="Miriam"/>
          <w:b/>
          <w:rtl/>
        </w:rPr>
        <w:t xml:space="preserve"> </w:t>
      </w:r>
      <w:r w:rsidRPr="00D170F5">
        <w:rPr>
          <w:rFonts w:ascii="Century" w:hAnsi="Century" w:cs="Miriam" w:hint="eastAsia"/>
          <w:b/>
          <w:rtl/>
        </w:rPr>
        <w:t>האינטרסים</w:t>
      </w:r>
      <w:r w:rsidRPr="00D170F5">
        <w:rPr>
          <w:rFonts w:ascii="Century" w:hAnsi="Century" w:cs="Miriam"/>
          <w:b/>
          <w:rtl/>
        </w:rPr>
        <w:t xml:space="preserve"> </w:t>
      </w:r>
      <w:r w:rsidRPr="00D170F5">
        <w:rPr>
          <w:rFonts w:ascii="Century" w:hAnsi="Century" w:cs="Miriam" w:hint="eastAsia"/>
          <w:b/>
          <w:rtl/>
        </w:rPr>
        <w:t>השונים</w:t>
      </w:r>
      <w:r w:rsidRPr="00D170F5">
        <w:rPr>
          <w:rFonts w:ascii="Century" w:hAnsi="Century" w:cs="Miriam"/>
          <w:b/>
          <w:rtl/>
        </w:rPr>
        <w:t xml:space="preserve"> </w:t>
      </w:r>
      <w:r w:rsidRPr="00D170F5">
        <w:rPr>
          <w:rFonts w:ascii="Century" w:hAnsi="Century" w:cs="Miriam" w:hint="eastAsia"/>
          <w:b/>
          <w:rtl/>
        </w:rPr>
        <w:t>הופקד</w:t>
      </w:r>
      <w:r w:rsidRPr="00D170F5">
        <w:rPr>
          <w:rFonts w:ascii="Century" w:hAnsi="Century" w:cs="Miriam"/>
          <w:b/>
          <w:rtl/>
        </w:rPr>
        <w:t xml:space="preserve"> </w:t>
      </w:r>
      <w:r w:rsidRPr="00D170F5">
        <w:rPr>
          <w:rFonts w:ascii="Century" w:hAnsi="Century" w:cs="Miriam" w:hint="eastAsia"/>
          <w:b/>
          <w:rtl/>
        </w:rPr>
        <w:t>על</w:t>
      </w:r>
      <w:r w:rsidRPr="00D170F5">
        <w:rPr>
          <w:rFonts w:ascii="Century" w:hAnsi="Century" w:cs="Miriam"/>
          <w:b/>
          <w:rtl/>
        </w:rPr>
        <w:t>-</w:t>
      </w:r>
      <w:r w:rsidRPr="00D170F5">
        <w:rPr>
          <w:rFonts w:ascii="Century" w:hAnsi="Century" w:cs="Miriam" w:hint="eastAsia"/>
          <w:b/>
          <w:rtl/>
        </w:rPr>
        <w:t>ידי</w:t>
      </w:r>
      <w:r w:rsidRPr="00D170F5">
        <w:rPr>
          <w:rFonts w:ascii="Century" w:hAnsi="Century" w:cs="Miriam"/>
          <w:b/>
          <w:rtl/>
        </w:rPr>
        <w:t xml:space="preserve"> </w:t>
      </w:r>
      <w:r w:rsidRPr="00D170F5">
        <w:rPr>
          <w:rFonts w:ascii="Century" w:hAnsi="Century" w:cs="Miriam" w:hint="eastAsia"/>
          <w:b/>
          <w:rtl/>
        </w:rPr>
        <w:t>המחוקק</w:t>
      </w:r>
      <w:r w:rsidRPr="00D170F5">
        <w:rPr>
          <w:rFonts w:ascii="Century" w:hAnsi="Century" w:cs="Miriam"/>
          <w:b/>
          <w:rtl/>
        </w:rPr>
        <w:t xml:space="preserve"> </w:t>
      </w:r>
      <w:r w:rsidRPr="00D170F5">
        <w:rPr>
          <w:rFonts w:ascii="Century" w:hAnsi="Century" w:cs="Miriam" w:hint="eastAsia"/>
          <w:b/>
          <w:rtl/>
        </w:rPr>
        <w:t>בידיו</w:t>
      </w:r>
      <w:r w:rsidRPr="00D170F5">
        <w:rPr>
          <w:rFonts w:ascii="Century" w:hAnsi="Century" w:cs="Miriam"/>
          <w:b/>
          <w:rtl/>
        </w:rPr>
        <w:t xml:space="preserve"> </w:t>
      </w:r>
      <w:r w:rsidRPr="00D170F5">
        <w:rPr>
          <w:rFonts w:ascii="Century" w:hAnsi="Century" w:cs="Miriam" w:hint="eastAsia"/>
          <w:b/>
          <w:rtl/>
        </w:rPr>
        <w:t>של</w:t>
      </w:r>
      <w:r w:rsidRPr="00D170F5">
        <w:rPr>
          <w:rFonts w:ascii="Century" w:hAnsi="Century" w:cs="Miriam"/>
          <w:b/>
          <w:rtl/>
        </w:rPr>
        <w:t xml:space="preserve"> </w:t>
      </w:r>
      <w:r w:rsidRPr="00D170F5">
        <w:rPr>
          <w:rFonts w:ascii="Century" w:hAnsi="Century" w:cs="Miriam" w:hint="eastAsia"/>
          <w:b/>
          <w:rtl/>
        </w:rPr>
        <w:t>המשיב</w:t>
      </w:r>
      <w:r w:rsidRPr="00D170F5">
        <w:rPr>
          <w:rFonts w:ascii="Century" w:hAnsi="Century" w:cs="Miriam"/>
          <w:b/>
          <w:rtl/>
        </w:rPr>
        <w:t xml:space="preserve"> </w:t>
      </w:r>
      <w:r w:rsidRPr="00D170F5">
        <w:rPr>
          <w:rFonts w:ascii="Century" w:hAnsi="Century" w:cs="Miriam" w:hint="eastAsia"/>
          <w:b/>
          <w:rtl/>
        </w:rPr>
        <w:t>מס</w:t>
      </w:r>
      <w:r w:rsidRPr="00D170F5">
        <w:rPr>
          <w:rFonts w:ascii="Century" w:hAnsi="Century" w:cs="Miriam"/>
          <w:b/>
          <w:rtl/>
        </w:rPr>
        <w:t xml:space="preserve">' 2, </w:t>
      </w:r>
      <w:r w:rsidRPr="00D170F5">
        <w:rPr>
          <w:rFonts w:ascii="Century" w:hAnsi="Century" w:cs="Miriam" w:hint="eastAsia"/>
          <w:b/>
          <w:rtl/>
        </w:rPr>
        <w:t>וכל</w:t>
      </w:r>
      <w:r w:rsidRPr="00D170F5">
        <w:rPr>
          <w:rFonts w:ascii="Century" w:hAnsi="Century" w:cs="Miriam"/>
          <w:b/>
          <w:rtl/>
        </w:rPr>
        <w:t xml:space="preserve"> </w:t>
      </w:r>
      <w:r w:rsidRPr="00D170F5">
        <w:rPr>
          <w:rFonts w:ascii="Century" w:hAnsi="Century" w:cs="Miriam" w:hint="eastAsia"/>
          <w:b/>
          <w:rtl/>
        </w:rPr>
        <w:t>עוד</w:t>
      </w:r>
      <w:r w:rsidRPr="00D170F5">
        <w:rPr>
          <w:rFonts w:ascii="Century" w:hAnsi="Century" w:cs="Miriam"/>
          <w:b/>
          <w:rtl/>
        </w:rPr>
        <w:t xml:space="preserve"> </w:t>
      </w:r>
      <w:r w:rsidRPr="00D170F5">
        <w:rPr>
          <w:rFonts w:ascii="Century" w:hAnsi="Century" w:cs="Miriam" w:hint="eastAsia"/>
          <w:b/>
          <w:rtl/>
        </w:rPr>
        <w:t>הוא</w:t>
      </w:r>
      <w:r w:rsidRPr="00D170F5">
        <w:rPr>
          <w:rFonts w:ascii="Century" w:hAnsi="Century" w:cs="Miriam"/>
          <w:b/>
          <w:rtl/>
        </w:rPr>
        <w:t xml:space="preserve"> </w:t>
      </w:r>
      <w:r w:rsidRPr="00D170F5">
        <w:rPr>
          <w:rFonts w:ascii="Century" w:hAnsi="Century" w:cs="Miriam" w:hint="eastAsia"/>
          <w:b/>
          <w:rtl/>
        </w:rPr>
        <w:t>שקל</w:t>
      </w:r>
      <w:r w:rsidRPr="00D170F5">
        <w:rPr>
          <w:rFonts w:ascii="Century" w:hAnsi="Century" w:cs="Miriam"/>
          <w:b/>
          <w:rtl/>
        </w:rPr>
        <w:t xml:space="preserve"> </w:t>
      </w:r>
      <w:r w:rsidRPr="00D170F5">
        <w:rPr>
          <w:rFonts w:ascii="Century" w:hAnsi="Century" w:cs="Miriam" w:hint="eastAsia"/>
          <w:b/>
          <w:rtl/>
        </w:rPr>
        <w:t>את</w:t>
      </w:r>
      <w:r w:rsidRPr="00D170F5">
        <w:rPr>
          <w:rFonts w:ascii="Century" w:hAnsi="Century" w:cs="Miriam"/>
          <w:b/>
          <w:rtl/>
        </w:rPr>
        <w:t xml:space="preserve"> </w:t>
      </w:r>
      <w:r w:rsidRPr="00D170F5">
        <w:rPr>
          <w:rFonts w:ascii="Century" w:hAnsi="Century" w:cs="Miriam" w:hint="eastAsia"/>
          <w:b/>
          <w:rtl/>
        </w:rPr>
        <w:t>השיקולים</w:t>
      </w:r>
      <w:r w:rsidRPr="00D170F5">
        <w:rPr>
          <w:rFonts w:ascii="Century" w:hAnsi="Century" w:cs="Miriam"/>
          <w:b/>
          <w:rtl/>
        </w:rPr>
        <w:t xml:space="preserve"> [</w:t>
      </w:r>
      <w:r w:rsidRPr="00D170F5">
        <w:rPr>
          <w:rFonts w:ascii="Century" w:hAnsi="Century" w:cs="Miriam" w:hint="eastAsia"/>
          <w:b/>
          <w:rtl/>
        </w:rPr>
        <w:t>ה</w:t>
      </w:r>
      <w:r w:rsidRPr="00D170F5">
        <w:rPr>
          <w:rFonts w:ascii="Century" w:hAnsi="Century" w:cs="Miriam"/>
          <w:b/>
          <w:rtl/>
        </w:rPr>
        <w:t>]</w:t>
      </w:r>
      <w:r w:rsidRPr="00D170F5">
        <w:rPr>
          <w:rFonts w:ascii="Century" w:hAnsi="Century" w:cs="Miriam" w:hint="eastAsia"/>
          <w:b/>
          <w:rtl/>
        </w:rPr>
        <w:t>ראויים</w:t>
      </w:r>
      <w:r w:rsidRPr="00D170F5">
        <w:rPr>
          <w:rFonts w:ascii="Century" w:hAnsi="Century" w:cs="Miriam"/>
          <w:b/>
          <w:rtl/>
        </w:rPr>
        <w:t xml:space="preserve"> </w:t>
      </w:r>
      <w:r w:rsidRPr="00D170F5">
        <w:rPr>
          <w:rFonts w:ascii="Century" w:hAnsi="Century" w:cs="Miriam" w:hint="eastAsia"/>
          <w:b/>
          <w:rtl/>
        </w:rPr>
        <w:t>ונתן</w:t>
      </w:r>
      <w:r w:rsidRPr="00D170F5">
        <w:rPr>
          <w:rFonts w:ascii="Century" w:hAnsi="Century" w:cs="Miriam"/>
          <w:b/>
          <w:rtl/>
        </w:rPr>
        <w:t xml:space="preserve"> </w:t>
      </w:r>
      <w:r w:rsidRPr="00D170F5">
        <w:rPr>
          <w:rFonts w:ascii="Century" w:hAnsi="Century" w:cs="Miriam" w:hint="eastAsia"/>
          <w:b/>
          <w:rtl/>
        </w:rPr>
        <w:t>להם</w:t>
      </w:r>
      <w:r w:rsidRPr="00D170F5">
        <w:rPr>
          <w:rFonts w:ascii="Century" w:hAnsi="Century" w:cs="Miriam"/>
          <w:b/>
          <w:rtl/>
        </w:rPr>
        <w:t xml:space="preserve"> </w:t>
      </w:r>
      <w:r w:rsidRPr="00D170F5">
        <w:rPr>
          <w:rFonts w:ascii="Century" w:hAnsi="Century" w:cs="Miriam" w:hint="eastAsia"/>
          <w:b/>
          <w:rtl/>
        </w:rPr>
        <w:t>את</w:t>
      </w:r>
      <w:r w:rsidRPr="00D170F5">
        <w:rPr>
          <w:rFonts w:ascii="Century" w:hAnsi="Century" w:cs="Miriam"/>
          <w:b/>
          <w:rtl/>
        </w:rPr>
        <w:t xml:space="preserve"> </w:t>
      </w:r>
      <w:r w:rsidRPr="00D170F5">
        <w:rPr>
          <w:rFonts w:ascii="Century" w:hAnsi="Century" w:cs="Miriam" w:hint="eastAsia"/>
          <w:b/>
          <w:rtl/>
        </w:rPr>
        <w:t>המשקל</w:t>
      </w:r>
      <w:r w:rsidRPr="00D170F5">
        <w:rPr>
          <w:rFonts w:ascii="Century" w:hAnsi="Century" w:cs="Miriam"/>
          <w:b/>
          <w:rtl/>
        </w:rPr>
        <w:t xml:space="preserve"> </w:t>
      </w:r>
      <w:r w:rsidRPr="00D170F5">
        <w:rPr>
          <w:rFonts w:ascii="Century" w:hAnsi="Century" w:cs="Miriam" w:hint="eastAsia"/>
          <w:b/>
          <w:rtl/>
        </w:rPr>
        <w:t>הראוי</w:t>
      </w:r>
      <w:r w:rsidRPr="00D170F5">
        <w:rPr>
          <w:rFonts w:ascii="Century" w:hAnsi="Century" w:cs="Miriam"/>
          <w:b/>
          <w:rtl/>
        </w:rPr>
        <w:t xml:space="preserve">, </w:t>
      </w:r>
      <w:r w:rsidRPr="00D170F5">
        <w:rPr>
          <w:rFonts w:ascii="Century" w:hAnsi="Century" w:cs="Miriam" w:hint="eastAsia"/>
          <w:b/>
          <w:rtl/>
        </w:rPr>
        <w:t>לא</w:t>
      </w:r>
      <w:r w:rsidRPr="00D170F5">
        <w:rPr>
          <w:rFonts w:ascii="Century" w:hAnsi="Century" w:cs="Miriam"/>
          <w:b/>
          <w:rtl/>
        </w:rPr>
        <w:t xml:space="preserve"> </w:t>
      </w:r>
      <w:r w:rsidRPr="00D170F5">
        <w:rPr>
          <w:rFonts w:ascii="Century" w:hAnsi="Century" w:cs="Miriam" w:hint="eastAsia"/>
          <w:b/>
          <w:rtl/>
        </w:rPr>
        <w:t>נתערב</w:t>
      </w:r>
      <w:r w:rsidRPr="00D170F5">
        <w:rPr>
          <w:rFonts w:ascii="Century" w:hAnsi="Century" w:cs="Miriam"/>
          <w:b/>
          <w:rtl/>
        </w:rPr>
        <w:t xml:space="preserve">. </w:t>
      </w:r>
      <w:r w:rsidRPr="00D170F5">
        <w:rPr>
          <w:rFonts w:ascii="Century" w:hAnsi="Century" w:cs="Miriam" w:hint="eastAsia"/>
          <w:b/>
          <w:rtl/>
        </w:rPr>
        <w:t>אך</w:t>
      </w:r>
      <w:r w:rsidRPr="00D170F5">
        <w:rPr>
          <w:rFonts w:ascii="Century" w:hAnsi="Century" w:cs="Miriam"/>
          <w:b/>
          <w:rtl/>
        </w:rPr>
        <w:t xml:space="preserve"> </w:t>
      </w:r>
      <w:r w:rsidRPr="00D170F5">
        <w:rPr>
          <w:rFonts w:ascii="Century" w:hAnsi="Century" w:cs="Miriam" w:hint="eastAsia"/>
          <w:b/>
          <w:rtl/>
        </w:rPr>
        <w:t>אם</w:t>
      </w:r>
      <w:r w:rsidRPr="00D170F5">
        <w:rPr>
          <w:rFonts w:ascii="Century" w:hAnsi="Century" w:cs="Miriam"/>
          <w:b/>
          <w:rtl/>
        </w:rPr>
        <w:t xml:space="preserve"> </w:t>
      </w:r>
      <w:r w:rsidRPr="00D170F5">
        <w:rPr>
          <w:rFonts w:ascii="Century" w:hAnsi="Century" w:cs="Miriam" w:hint="eastAsia"/>
          <w:b/>
          <w:rtl/>
        </w:rPr>
        <w:t>שיקוליו</w:t>
      </w:r>
      <w:r w:rsidRPr="00D170F5">
        <w:rPr>
          <w:rFonts w:ascii="Century" w:hAnsi="Century" w:cs="Miriam"/>
          <w:b/>
          <w:rtl/>
        </w:rPr>
        <w:t xml:space="preserve"> </w:t>
      </w:r>
      <w:r w:rsidRPr="00D170F5">
        <w:rPr>
          <w:rFonts w:ascii="Century" w:hAnsi="Century" w:cs="Miriam" w:hint="eastAsia"/>
          <w:b/>
          <w:rtl/>
        </w:rPr>
        <w:t>של</w:t>
      </w:r>
      <w:r w:rsidRPr="00D170F5">
        <w:rPr>
          <w:rFonts w:ascii="Century" w:hAnsi="Century" w:cs="Miriam"/>
          <w:b/>
          <w:rtl/>
        </w:rPr>
        <w:t xml:space="preserve"> </w:t>
      </w:r>
      <w:r w:rsidRPr="00D170F5">
        <w:rPr>
          <w:rFonts w:ascii="Century" w:hAnsi="Century" w:cs="Miriam" w:hint="eastAsia"/>
          <w:b/>
          <w:rtl/>
        </w:rPr>
        <w:t>המשיב</w:t>
      </w:r>
      <w:r w:rsidRPr="00D170F5">
        <w:rPr>
          <w:rFonts w:ascii="Century" w:hAnsi="Century" w:cs="Miriam"/>
          <w:b/>
          <w:rtl/>
        </w:rPr>
        <w:t xml:space="preserve"> </w:t>
      </w:r>
      <w:r w:rsidRPr="00D170F5">
        <w:rPr>
          <w:rFonts w:ascii="Century" w:hAnsi="Century" w:cs="Miriam" w:hint="eastAsia"/>
          <w:b/>
          <w:rtl/>
        </w:rPr>
        <w:t>מס</w:t>
      </w:r>
      <w:r w:rsidRPr="00D170F5">
        <w:rPr>
          <w:rFonts w:ascii="Century" w:hAnsi="Century" w:cs="Miriam"/>
          <w:b/>
          <w:rtl/>
        </w:rPr>
        <w:t>' 2 [</w:t>
      </w:r>
      <w:r w:rsidRPr="00D170F5">
        <w:rPr>
          <w:rFonts w:ascii="Century" w:hAnsi="Century" w:cs="Miriam" w:hint="eastAsia"/>
          <w:b/>
          <w:rtl/>
        </w:rPr>
        <w:t>לוקים</w:t>
      </w:r>
      <w:r w:rsidRPr="00D170F5">
        <w:rPr>
          <w:rFonts w:ascii="Century" w:hAnsi="Century" w:cs="Miriam"/>
          <w:b/>
          <w:rtl/>
        </w:rPr>
        <w:t xml:space="preserve">] </w:t>
      </w:r>
      <w:r w:rsidRPr="00D170F5">
        <w:rPr>
          <w:rFonts w:ascii="Century" w:hAnsi="Century" w:cs="Miriam" w:hint="eastAsia"/>
          <w:b/>
          <w:rtl/>
        </w:rPr>
        <w:t>בחוסר</w:t>
      </w:r>
      <w:r w:rsidRPr="00D170F5">
        <w:rPr>
          <w:rFonts w:ascii="Century" w:hAnsi="Century" w:cs="Miriam"/>
          <w:b/>
          <w:rtl/>
        </w:rPr>
        <w:t xml:space="preserve"> </w:t>
      </w:r>
      <w:r w:rsidRPr="00D170F5">
        <w:rPr>
          <w:rFonts w:ascii="Century" w:hAnsi="Century" w:cs="Miriam" w:hint="eastAsia"/>
          <w:b/>
          <w:rtl/>
        </w:rPr>
        <w:t>תום</w:t>
      </w:r>
      <w:r w:rsidRPr="00D170F5">
        <w:rPr>
          <w:rFonts w:ascii="Century" w:hAnsi="Century" w:cs="Miriam"/>
          <w:b/>
          <w:rtl/>
        </w:rPr>
        <w:t xml:space="preserve"> </w:t>
      </w:r>
      <w:r w:rsidRPr="00D170F5">
        <w:rPr>
          <w:rFonts w:ascii="Century" w:hAnsi="Century" w:cs="Miriam" w:hint="eastAsia"/>
          <w:b/>
          <w:rtl/>
        </w:rPr>
        <w:t>לב</w:t>
      </w:r>
      <w:r w:rsidRPr="00D170F5">
        <w:rPr>
          <w:rFonts w:ascii="Century" w:hAnsi="Century" w:cs="Miriam"/>
          <w:b/>
          <w:rtl/>
        </w:rPr>
        <w:t xml:space="preserve">, </w:t>
      </w:r>
      <w:r w:rsidRPr="00D170F5">
        <w:rPr>
          <w:rFonts w:ascii="Century" w:hAnsi="Century" w:cs="Miriam" w:hint="eastAsia"/>
          <w:b/>
          <w:rtl/>
        </w:rPr>
        <w:t>בשרירות</w:t>
      </w:r>
      <w:r w:rsidRPr="00D170F5">
        <w:rPr>
          <w:rFonts w:ascii="Century" w:hAnsi="Century" w:cs="Miriam"/>
          <w:b/>
          <w:rtl/>
        </w:rPr>
        <w:t xml:space="preserve">, </w:t>
      </w:r>
      <w:r w:rsidRPr="00D170F5">
        <w:rPr>
          <w:rFonts w:ascii="Century" w:hAnsi="Century" w:cs="Miriam" w:hint="eastAsia"/>
          <w:b/>
          <w:rtl/>
        </w:rPr>
        <w:t>באפליה</w:t>
      </w:r>
      <w:r w:rsidRPr="00D170F5">
        <w:rPr>
          <w:rFonts w:ascii="Century" w:hAnsi="Century" w:cs="Miriam"/>
          <w:b/>
          <w:rtl/>
        </w:rPr>
        <w:t xml:space="preserve"> </w:t>
      </w:r>
      <w:r w:rsidRPr="00D170F5">
        <w:rPr>
          <w:rFonts w:ascii="Century" w:hAnsi="Century" w:cs="Miriam" w:hint="eastAsia"/>
          <w:b/>
          <w:rtl/>
        </w:rPr>
        <w:t>או</w:t>
      </w:r>
      <w:r w:rsidRPr="00D170F5">
        <w:rPr>
          <w:rFonts w:ascii="Century" w:hAnsi="Century" w:cs="Miriam"/>
          <w:b/>
          <w:rtl/>
        </w:rPr>
        <w:t xml:space="preserve"> </w:t>
      </w:r>
      <w:r w:rsidRPr="00D170F5">
        <w:rPr>
          <w:rFonts w:ascii="Century" w:hAnsi="Century" w:cs="Miriam" w:hint="eastAsia"/>
          <w:b/>
          <w:rtl/>
        </w:rPr>
        <w:t>בחוסר</w:t>
      </w:r>
      <w:r w:rsidRPr="00D170F5">
        <w:rPr>
          <w:rFonts w:ascii="Century" w:hAnsi="Century" w:cs="Miriam"/>
          <w:b/>
          <w:rtl/>
        </w:rPr>
        <w:t xml:space="preserve"> </w:t>
      </w:r>
      <w:r w:rsidRPr="00D170F5">
        <w:rPr>
          <w:rFonts w:ascii="Century" w:hAnsi="Century" w:cs="Miriam" w:hint="eastAsia"/>
          <w:b/>
          <w:rtl/>
        </w:rPr>
        <w:t>סבירות</w:t>
      </w:r>
      <w:r w:rsidRPr="00D170F5">
        <w:rPr>
          <w:rFonts w:ascii="Century" w:hAnsi="Century" w:cs="Miriam"/>
          <w:b/>
          <w:rtl/>
        </w:rPr>
        <w:t xml:space="preserve"> – </w:t>
      </w:r>
      <w:r w:rsidRPr="00D170F5">
        <w:rPr>
          <w:rFonts w:ascii="Century" w:hAnsi="Century" w:cs="Miriam" w:hint="eastAsia"/>
          <w:b/>
          <w:rtl/>
        </w:rPr>
        <w:t>לא</w:t>
      </w:r>
      <w:r w:rsidRPr="00D170F5">
        <w:rPr>
          <w:rFonts w:ascii="Century" w:hAnsi="Century" w:cs="Miriam"/>
          <w:b/>
          <w:rtl/>
        </w:rPr>
        <w:t xml:space="preserve"> </w:t>
      </w:r>
      <w:r w:rsidRPr="00D170F5">
        <w:rPr>
          <w:rFonts w:ascii="Century" w:hAnsi="Century" w:cs="Miriam" w:hint="eastAsia"/>
          <w:b/>
          <w:rtl/>
        </w:rPr>
        <w:t>נהסס</w:t>
      </w:r>
      <w:r w:rsidRPr="00D170F5">
        <w:rPr>
          <w:rFonts w:ascii="Century" w:hAnsi="Century" w:cs="Miriam"/>
          <w:b/>
          <w:rtl/>
        </w:rPr>
        <w:t xml:space="preserve"> </w:t>
      </w:r>
      <w:r w:rsidRPr="00D170F5">
        <w:rPr>
          <w:rFonts w:ascii="Century" w:hAnsi="Century" w:cs="Miriam" w:hint="eastAsia"/>
          <w:b/>
          <w:rtl/>
        </w:rPr>
        <w:t>מלהתערב</w:t>
      </w:r>
      <w:r w:rsidRPr="008C7B34">
        <w:rPr>
          <w:rFonts w:ascii="Century" w:hAnsi="Century" w:cs="FrankRuehl"/>
          <w:spacing w:val="10"/>
          <w:szCs w:val="28"/>
          <w:rtl/>
        </w:rPr>
        <w:t>"</w:t>
      </w:r>
      <w:r>
        <w:rPr>
          <w:rFonts w:ascii="Century" w:hAnsi="Century" w:cs="FrankRuehl" w:hint="cs"/>
          <w:spacing w:val="10"/>
          <w:szCs w:val="28"/>
          <w:rtl/>
        </w:rPr>
        <w:t xml:space="preserve"> (שם, בעמוד 177; ראו גם את חוות דעתו של השופט </w:t>
      </w:r>
      <w:r w:rsidRPr="004F4D8E">
        <w:rPr>
          <w:rFonts w:ascii="Century" w:hAnsi="Century" w:cs="Miriam" w:hint="eastAsia"/>
          <w:b/>
          <w:rtl/>
        </w:rPr>
        <w:t>ברק</w:t>
      </w:r>
      <w:r w:rsidRPr="0077050B">
        <w:rPr>
          <w:rFonts w:ascii="Century" w:hAnsi="Century" w:cs="FrankRuehl" w:hint="cs"/>
          <w:spacing w:val="10"/>
          <w:szCs w:val="28"/>
          <w:rtl/>
        </w:rPr>
        <w:t xml:space="preserve"> </w:t>
      </w:r>
      <w:r>
        <w:rPr>
          <w:rFonts w:ascii="Century" w:hAnsi="Century" w:cs="FrankRuehl" w:hint="cs"/>
          <w:spacing w:val="10"/>
          <w:szCs w:val="28"/>
          <w:rtl/>
        </w:rPr>
        <w:t>ב</w:t>
      </w:r>
      <w:r w:rsidRPr="005634E1">
        <w:rPr>
          <w:rFonts w:ascii="Century" w:hAnsi="Century" w:cs="FrankRuehl"/>
          <w:spacing w:val="10"/>
          <w:szCs w:val="28"/>
          <w:rtl/>
        </w:rPr>
        <w:t>בג"ץ 840</w:t>
      </w:r>
      <w:r>
        <w:rPr>
          <w:rFonts w:ascii="Century" w:hAnsi="Century" w:cs="FrankRuehl"/>
          <w:spacing w:val="10"/>
          <w:szCs w:val="28"/>
          <w:rtl/>
        </w:rPr>
        <w:t xml:space="preserve">/79 </w:t>
      </w:r>
      <w:r w:rsidRPr="004F4D8E">
        <w:rPr>
          <w:rFonts w:ascii="Century" w:hAnsi="Century" w:cs="Miriam" w:hint="eastAsia"/>
          <w:b/>
          <w:rtl/>
        </w:rPr>
        <w:t>מרכז</w:t>
      </w:r>
      <w:r w:rsidRPr="004F4D8E">
        <w:rPr>
          <w:rFonts w:ascii="Century" w:hAnsi="Century" w:cs="Miriam"/>
          <w:b/>
          <w:rtl/>
        </w:rPr>
        <w:t xml:space="preserve"> </w:t>
      </w:r>
      <w:r w:rsidRPr="004F4D8E">
        <w:rPr>
          <w:rFonts w:ascii="Century" w:hAnsi="Century" w:cs="Miriam" w:hint="eastAsia"/>
          <w:b/>
          <w:rtl/>
        </w:rPr>
        <w:t>הקבלנים</w:t>
      </w:r>
      <w:r w:rsidRPr="004F4D8E">
        <w:rPr>
          <w:rFonts w:ascii="Century" w:hAnsi="Century" w:cs="Miriam"/>
          <w:b/>
          <w:rtl/>
        </w:rPr>
        <w:t xml:space="preserve"> </w:t>
      </w:r>
      <w:r w:rsidRPr="004F4D8E">
        <w:rPr>
          <w:rFonts w:ascii="Century" w:hAnsi="Century" w:cs="Miriam" w:hint="eastAsia"/>
          <w:b/>
          <w:rtl/>
        </w:rPr>
        <w:t>והבונים</w:t>
      </w:r>
      <w:r w:rsidRPr="004F4D8E">
        <w:rPr>
          <w:rFonts w:ascii="Century" w:hAnsi="Century" w:cs="Miriam"/>
          <w:b/>
          <w:rtl/>
        </w:rPr>
        <w:t xml:space="preserve"> </w:t>
      </w:r>
      <w:r w:rsidRPr="004F4D8E">
        <w:rPr>
          <w:rFonts w:ascii="Century" w:hAnsi="Century" w:cs="Miriam" w:hint="eastAsia"/>
          <w:b/>
          <w:rtl/>
        </w:rPr>
        <w:t>בישראל</w:t>
      </w:r>
      <w:r w:rsidRPr="004F4D8E">
        <w:rPr>
          <w:rFonts w:ascii="Century" w:hAnsi="Century" w:cs="Miriam"/>
          <w:b/>
          <w:rtl/>
        </w:rPr>
        <w:t xml:space="preserve"> </w:t>
      </w:r>
      <w:r w:rsidRPr="004F4D8E">
        <w:rPr>
          <w:rFonts w:ascii="Century" w:hAnsi="Century" w:cs="Miriam" w:hint="eastAsia"/>
          <w:b/>
          <w:rtl/>
        </w:rPr>
        <w:t>נ</w:t>
      </w:r>
      <w:r w:rsidRPr="004F4D8E">
        <w:rPr>
          <w:rFonts w:ascii="Century" w:hAnsi="Century" w:cs="Miriam"/>
          <w:b/>
          <w:rtl/>
        </w:rPr>
        <w:t xml:space="preserve">' </w:t>
      </w:r>
      <w:r w:rsidRPr="004F4D8E">
        <w:rPr>
          <w:rFonts w:ascii="Century" w:hAnsi="Century" w:cs="Miriam" w:hint="eastAsia"/>
          <w:b/>
          <w:rtl/>
        </w:rPr>
        <w:t>ממשלת</w:t>
      </w:r>
      <w:r w:rsidRPr="004F4D8E">
        <w:rPr>
          <w:rFonts w:ascii="Century" w:hAnsi="Century" w:cs="Miriam"/>
          <w:b/>
          <w:rtl/>
        </w:rPr>
        <w:t xml:space="preserve"> </w:t>
      </w:r>
      <w:r w:rsidRPr="004F4D8E">
        <w:rPr>
          <w:rFonts w:ascii="Century" w:hAnsi="Century" w:cs="Miriam" w:hint="eastAsia"/>
          <w:b/>
          <w:rtl/>
        </w:rPr>
        <w:t>ישראל</w:t>
      </w:r>
      <w:r w:rsidRPr="005634E1">
        <w:rPr>
          <w:rFonts w:ascii="Century" w:hAnsi="Century" w:cs="FrankRuehl"/>
          <w:spacing w:val="10"/>
          <w:szCs w:val="28"/>
          <w:rtl/>
        </w:rPr>
        <w:t xml:space="preserve">, </w:t>
      </w:r>
      <w:r>
        <w:rPr>
          <w:rFonts w:ascii="Century" w:hAnsi="Century" w:cs="FrankRuehl" w:hint="cs"/>
          <w:spacing w:val="10"/>
          <w:szCs w:val="28"/>
          <w:rtl/>
        </w:rPr>
        <w:t xml:space="preserve">פ"ד </w:t>
      </w:r>
      <w:r w:rsidRPr="005634E1">
        <w:rPr>
          <w:rFonts w:ascii="Century" w:hAnsi="Century" w:cs="FrankRuehl"/>
          <w:spacing w:val="10"/>
          <w:szCs w:val="28"/>
          <w:rtl/>
        </w:rPr>
        <w:t>לד(3) 729</w:t>
      </w:r>
      <w:r>
        <w:rPr>
          <w:rFonts w:ascii="Century" w:hAnsi="Century" w:cs="FrankRuehl" w:hint="cs"/>
          <w:spacing w:val="10"/>
          <w:szCs w:val="28"/>
          <w:rtl/>
        </w:rPr>
        <w:t>, 742</w:t>
      </w:r>
      <w:r w:rsidRPr="005634E1">
        <w:rPr>
          <w:rFonts w:ascii="Century" w:hAnsi="Century" w:cs="FrankRuehl"/>
          <w:spacing w:val="10"/>
          <w:szCs w:val="28"/>
          <w:rtl/>
        </w:rPr>
        <w:t xml:space="preserve"> (1980)</w:t>
      </w:r>
      <w:r>
        <w:rPr>
          <w:rFonts w:ascii="Century" w:hAnsi="Century" w:cs="FrankRuehl" w:hint="cs"/>
          <w:spacing w:val="10"/>
          <w:szCs w:val="28"/>
          <w:rtl/>
        </w:rPr>
        <w:t xml:space="preserve">). </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ind w:firstLine="720"/>
        <w:jc w:val="both"/>
        <w:rPr>
          <w:rFonts w:ascii="Century" w:hAnsi="Century" w:cs="FrankRuehl"/>
          <w:spacing w:val="10"/>
          <w:szCs w:val="28"/>
          <w:rtl/>
        </w:rPr>
      </w:pPr>
      <w:r>
        <w:rPr>
          <w:rFonts w:ascii="Century" w:hAnsi="Century" w:cs="FrankRuehl" w:hint="cs"/>
          <w:spacing w:val="10"/>
          <w:szCs w:val="28"/>
          <w:rtl/>
        </w:rPr>
        <w:t xml:space="preserve">מן האמור עולה בבירור כי אף לפני פסק הדין בעניין </w:t>
      </w:r>
      <w:r w:rsidRPr="004F4D8E">
        <w:rPr>
          <w:rFonts w:ascii="Century" w:hAnsi="Century" w:cs="Miriam" w:hint="eastAsia"/>
          <w:b/>
          <w:rtl/>
        </w:rPr>
        <w:t>דפי</w:t>
      </w:r>
      <w:r w:rsidRPr="004F4D8E">
        <w:rPr>
          <w:rFonts w:ascii="Century" w:hAnsi="Century" w:cs="Miriam"/>
          <w:b/>
          <w:rtl/>
        </w:rPr>
        <w:t xml:space="preserve"> </w:t>
      </w:r>
      <w:r w:rsidRPr="004F4D8E">
        <w:rPr>
          <w:rFonts w:ascii="Century" w:hAnsi="Century" w:cs="Miriam" w:hint="eastAsia"/>
          <w:b/>
          <w:rtl/>
        </w:rPr>
        <w:t>זהב</w:t>
      </w:r>
      <w:r>
        <w:rPr>
          <w:rFonts w:ascii="Century" w:hAnsi="Century" w:cs="FrankRuehl" w:hint="cs"/>
          <w:spacing w:val="10"/>
          <w:szCs w:val="28"/>
          <w:rtl/>
        </w:rPr>
        <w:t xml:space="preserve"> הכיר בית משפט זה באפשרות להתערב בשיקול דעתה של הרשות המינהלית בשל כך שלא ניתן משקל ראוי לאיזה מהשיקולים השונים שהיו צריכים להישקל בעת קבלת ההחלטה. כפי שציין </w:t>
      </w:r>
      <w:r w:rsidRPr="004F4D8E">
        <w:rPr>
          <w:rFonts w:ascii="Century" w:hAnsi="Century" w:cs="Miriam" w:hint="eastAsia"/>
          <w:b/>
          <w:rtl/>
        </w:rPr>
        <w:t>זמיר</w:t>
      </w:r>
      <w:r w:rsidRPr="00DA04EB">
        <w:rPr>
          <w:rFonts w:ascii="Century" w:hAnsi="Century" w:cs="FrankRuehl" w:hint="cs"/>
          <w:spacing w:val="10"/>
          <w:szCs w:val="28"/>
          <w:rtl/>
        </w:rPr>
        <w:t xml:space="preserve"> </w:t>
      </w:r>
      <w:r>
        <w:rPr>
          <w:rFonts w:ascii="Century" w:hAnsi="Century" w:cs="FrankRuehl" w:hint="cs"/>
          <w:spacing w:val="10"/>
          <w:szCs w:val="28"/>
          <w:rtl/>
        </w:rPr>
        <w:t xml:space="preserve">בספרו: </w:t>
      </w:r>
    </w:p>
    <w:p w:rsidR="00A01E7C" w:rsidRDefault="00A01E7C" w:rsidP="00A01E7C">
      <w:pPr>
        <w:spacing w:line="360" w:lineRule="auto"/>
        <w:ind w:left="720" w:firstLine="720"/>
        <w:jc w:val="both"/>
        <w:rPr>
          <w:rFonts w:ascii="Century" w:hAnsi="Century" w:cs="FrankRuehl"/>
          <w:spacing w:val="10"/>
          <w:szCs w:val="28"/>
          <w:rtl/>
        </w:rPr>
      </w:pPr>
    </w:p>
    <w:p w:rsidR="00A01E7C" w:rsidRPr="0024615A" w:rsidRDefault="00A01E7C" w:rsidP="00A01E7C">
      <w:pPr>
        <w:pStyle w:val="Ruller5"/>
      </w:pPr>
      <w:r>
        <w:rPr>
          <w:rFonts w:hint="cs"/>
          <w:rtl/>
        </w:rPr>
        <w:t xml:space="preserve">...מאז שנות החמישים נהג בית המשפט לפסול החלטות מינהליות גם כאשר הפגם היחיד שנפל בהחלטה היה מתן משקל בלתי ראוי לשיקול מסוים. לכן ברור שבית המשפט לא יצר, ואף לא התיימר ליצור מובן חדש לעילת הסבירות או עילת ביקורת חדשה, לא בפסק דין דקה משנת 1976 ואף לא בפסק דין דפי זהב משנת 1980. אכן, בפסקי דין אלה </w:t>
      </w:r>
      <w:r w:rsidRPr="00061844">
        <w:rPr>
          <w:rFonts w:ascii="Century" w:hAnsi="Century" w:cs="Miriam" w:hint="eastAsia"/>
          <w:b/>
          <w:spacing w:val="0"/>
          <w:szCs w:val="24"/>
          <w:rtl/>
        </w:rPr>
        <w:t>בית</w:t>
      </w:r>
      <w:r w:rsidRPr="00061844">
        <w:rPr>
          <w:rFonts w:ascii="Century" w:hAnsi="Century" w:cs="Miriam"/>
          <w:b/>
          <w:spacing w:val="0"/>
          <w:szCs w:val="24"/>
          <w:rtl/>
        </w:rPr>
        <w:t xml:space="preserve"> </w:t>
      </w:r>
      <w:r w:rsidRPr="00061844">
        <w:rPr>
          <w:rFonts w:ascii="Century" w:hAnsi="Century" w:cs="Miriam" w:hint="eastAsia"/>
          <w:b/>
          <w:spacing w:val="0"/>
          <w:szCs w:val="24"/>
          <w:rtl/>
        </w:rPr>
        <w:t>המשפט</w:t>
      </w:r>
      <w:r w:rsidRPr="00061844">
        <w:rPr>
          <w:rFonts w:ascii="Century" w:hAnsi="Century" w:cs="Miriam"/>
          <w:b/>
          <w:spacing w:val="0"/>
          <w:szCs w:val="24"/>
          <w:rtl/>
        </w:rPr>
        <w:t xml:space="preserve"> </w:t>
      </w:r>
      <w:r w:rsidRPr="00061844">
        <w:rPr>
          <w:rFonts w:ascii="Century" w:hAnsi="Century" w:cs="Miriam" w:hint="eastAsia"/>
          <w:b/>
          <w:spacing w:val="0"/>
          <w:szCs w:val="24"/>
          <w:rtl/>
        </w:rPr>
        <w:t>לא</w:t>
      </w:r>
      <w:r w:rsidRPr="00061844">
        <w:rPr>
          <w:rFonts w:ascii="Century" w:hAnsi="Century" w:cs="Miriam"/>
          <w:b/>
          <w:spacing w:val="0"/>
          <w:szCs w:val="24"/>
          <w:rtl/>
        </w:rPr>
        <w:t xml:space="preserve"> </w:t>
      </w:r>
      <w:r w:rsidRPr="00061844">
        <w:rPr>
          <w:rFonts w:ascii="Century" w:hAnsi="Century" w:cs="Miriam" w:hint="eastAsia"/>
          <w:b/>
          <w:spacing w:val="0"/>
          <w:szCs w:val="24"/>
          <w:rtl/>
        </w:rPr>
        <w:t>המציא</w:t>
      </w:r>
      <w:r w:rsidRPr="00061844">
        <w:rPr>
          <w:rFonts w:ascii="Century" w:hAnsi="Century" w:cs="Miriam"/>
          <w:b/>
          <w:spacing w:val="0"/>
          <w:szCs w:val="24"/>
          <w:rtl/>
        </w:rPr>
        <w:t xml:space="preserve"> </w:t>
      </w:r>
      <w:r w:rsidRPr="00061844">
        <w:rPr>
          <w:rFonts w:ascii="Century" w:hAnsi="Century" w:cs="Miriam" w:hint="eastAsia"/>
          <w:b/>
          <w:spacing w:val="0"/>
          <w:szCs w:val="24"/>
          <w:rtl/>
        </w:rPr>
        <w:t>את</w:t>
      </w:r>
      <w:r w:rsidRPr="00061844">
        <w:rPr>
          <w:rFonts w:ascii="Century" w:hAnsi="Century" w:cs="Miriam"/>
          <w:b/>
          <w:spacing w:val="0"/>
          <w:szCs w:val="24"/>
          <w:rtl/>
        </w:rPr>
        <w:t xml:space="preserve"> </w:t>
      </w:r>
      <w:r w:rsidRPr="00061844">
        <w:rPr>
          <w:rFonts w:ascii="Century" w:hAnsi="Century" w:cs="Miriam" w:hint="eastAsia"/>
          <w:b/>
          <w:spacing w:val="0"/>
          <w:szCs w:val="24"/>
          <w:rtl/>
        </w:rPr>
        <w:t>הגלגל</w:t>
      </w:r>
      <w:r w:rsidRPr="00061844">
        <w:rPr>
          <w:rFonts w:ascii="Century" w:hAnsi="Century" w:cs="Miriam"/>
          <w:b/>
          <w:spacing w:val="0"/>
          <w:szCs w:val="24"/>
          <w:rtl/>
        </w:rPr>
        <w:t xml:space="preserve">, </w:t>
      </w:r>
      <w:r w:rsidRPr="00061844">
        <w:rPr>
          <w:rFonts w:ascii="Century" w:hAnsi="Century" w:cs="Miriam" w:hint="eastAsia"/>
          <w:b/>
          <w:spacing w:val="0"/>
          <w:szCs w:val="24"/>
          <w:rtl/>
        </w:rPr>
        <w:t>אלא</w:t>
      </w:r>
      <w:r w:rsidRPr="00061844">
        <w:rPr>
          <w:rFonts w:ascii="Century" w:hAnsi="Century" w:cs="Miriam"/>
          <w:b/>
          <w:spacing w:val="0"/>
          <w:szCs w:val="24"/>
          <w:rtl/>
        </w:rPr>
        <w:t xml:space="preserve"> </w:t>
      </w:r>
      <w:r w:rsidRPr="00061844">
        <w:rPr>
          <w:rFonts w:ascii="Century" w:hAnsi="Century" w:cs="Miriam" w:hint="eastAsia"/>
          <w:b/>
          <w:spacing w:val="0"/>
          <w:szCs w:val="24"/>
          <w:rtl/>
        </w:rPr>
        <w:t>רק</w:t>
      </w:r>
      <w:r w:rsidRPr="00061844">
        <w:rPr>
          <w:rFonts w:ascii="Century" w:hAnsi="Century" w:cs="Miriam"/>
          <w:b/>
          <w:spacing w:val="0"/>
          <w:szCs w:val="24"/>
          <w:rtl/>
        </w:rPr>
        <w:t xml:space="preserve"> </w:t>
      </w:r>
      <w:r w:rsidRPr="00061844">
        <w:rPr>
          <w:rFonts w:ascii="Century" w:hAnsi="Century" w:cs="Miriam" w:hint="eastAsia"/>
          <w:b/>
          <w:spacing w:val="0"/>
          <w:szCs w:val="24"/>
          <w:rtl/>
        </w:rPr>
        <w:t>הסיר</w:t>
      </w:r>
      <w:r w:rsidRPr="00061844">
        <w:rPr>
          <w:rFonts w:ascii="Century" w:hAnsi="Century" w:cs="Miriam"/>
          <w:b/>
          <w:spacing w:val="0"/>
          <w:szCs w:val="24"/>
          <w:rtl/>
        </w:rPr>
        <w:t xml:space="preserve"> </w:t>
      </w:r>
      <w:r w:rsidRPr="00061844">
        <w:rPr>
          <w:rFonts w:ascii="Century" w:hAnsi="Century" w:cs="Miriam" w:hint="eastAsia"/>
          <w:b/>
          <w:spacing w:val="0"/>
          <w:szCs w:val="24"/>
          <w:rtl/>
        </w:rPr>
        <w:t>ממנו</w:t>
      </w:r>
      <w:r w:rsidRPr="00061844">
        <w:rPr>
          <w:rFonts w:ascii="Century" w:hAnsi="Century" w:cs="Miriam"/>
          <w:b/>
          <w:spacing w:val="0"/>
          <w:szCs w:val="24"/>
          <w:rtl/>
        </w:rPr>
        <w:t xml:space="preserve"> </w:t>
      </w:r>
      <w:r w:rsidRPr="00061844">
        <w:rPr>
          <w:rFonts w:ascii="Century" w:hAnsi="Century" w:cs="Miriam" w:hint="eastAsia"/>
          <w:b/>
          <w:spacing w:val="0"/>
          <w:szCs w:val="24"/>
          <w:rtl/>
        </w:rPr>
        <w:t>את</w:t>
      </w:r>
      <w:r w:rsidRPr="00061844">
        <w:rPr>
          <w:rFonts w:ascii="Century" w:hAnsi="Century" w:cs="Miriam"/>
          <w:b/>
          <w:spacing w:val="0"/>
          <w:szCs w:val="24"/>
          <w:rtl/>
        </w:rPr>
        <w:t xml:space="preserve"> </w:t>
      </w:r>
      <w:r w:rsidRPr="00061844">
        <w:rPr>
          <w:rFonts w:ascii="Century" w:hAnsi="Century" w:cs="Miriam" w:hint="eastAsia"/>
          <w:b/>
          <w:spacing w:val="0"/>
          <w:szCs w:val="24"/>
          <w:rtl/>
        </w:rPr>
        <w:t>העטיפה</w:t>
      </w:r>
      <w:r w:rsidRPr="00061844">
        <w:rPr>
          <w:rFonts w:ascii="Century" w:hAnsi="Century" w:cs="Miriam"/>
          <w:b/>
          <w:spacing w:val="0"/>
          <w:szCs w:val="24"/>
          <w:rtl/>
        </w:rPr>
        <w:t xml:space="preserve"> </w:t>
      </w:r>
      <w:r w:rsidRPr="00061844">
        <w:rPr>
          <w:rFonts w:ascii="Century" w:hAnsi="Century" w:cs="Miriam" w:hint="eastAsia"/>
          <w:b/>
          <w:spacing w:val="0"/>
          <w:szCs w:val="24"/>
          <w:rtl/>
        </w:rPr>
        <w:t>שהסתירה</w:t>
      </w:r>
      <w:r w:rsidRPr="00061844">
        <w:rPr>
          <w:rFonts w:ascii="Century" w:hAnsi="Century" w:cs="Miriam"/>
          <w:b/>
          <w:spacing w:val="0"/>
          <w:szCs w:val="24"/>
          <w:rtl/>
        </w:rPr>
        <w:t xml:space="preserve"> </w:t>
      </w:r>
      <w:r w:rsidRPr="00061844">
        <w:rPr>
          <w:rFonts w:ascii="Century" w:hAnsi="Century" w:cs="Miriam" w:hint="eastAsia"/>
          <w:b/>
          <w:spacing w:val="0"/>
          <w:szCs w:val="24"/>
          <w:rtl/>
        </w:rPr>
        <w:t>אותו</w:t>
      </w:r>
      <w:r>
        <w:rPr>
          <w:rFonts w:hint="cs"/>
          <w:rtl/>
        </w:rPr>
        <w:t xml:space="preserve">: הוא לא יצר עילת 'חדשה' לצד העילה 'הישנה', אלא רק הבהיר שעילת הסבירות מורכבת מאז ומתמיד משתי עילות, כלומר, עילת החלטה ועילת שיקול הדעת (זמיר, בעמודים 3560-3559; ההדגשה הוספה). </w:t>
      </w:r>
    </w:p>
    <w:p w:rsidR="00A01E7C" w:rsidRPr="008C0BB1"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jc w:val="both"/>
        <w:rPr>
          <w:rFonts w:ascii="Century" w:hAnsi="Century" w:cs="FrankRuehl"/>
          <w:spacing w:val="10"/>
          <w:szCs w:val="28"/>
          <w:rtl/>
        </w:rPr>
      </w:pPr>
      <w:r>
        <w:rPr>
          <w:rFonts w:ascii="Century" w:hAnsi="Century" w:cs="FrankRuehl"/>
          <w:spacing w:val="10"/>
          <w:szCs w:val="28"/>
          <w:rtl/>
        </w:rPr>
        <w:tab/>
      </w:r>
      <w:r>
        <w:rPr>
          <w:rFonts w:ascii="Century" w:hAnsi="Century" w:cs="FrankRuehl" w:hint="cs"/>
          <w:spacing w:val="10"/>
          <w:szCs w:val="28"/>
          <w:rtl/>
        </w:rPr>
        <w:t xml:space="preserve">לטעמי, מכך ניתן להסיק שתי מסקנות: </w:t>
      </w:r>
      <w:r w:rsidRPr="00061844">
        <w:rPr>
          <w:rFonts w:ascii="Century" w:hAnsi="Century" w:cs="Miriam" w:hint="eastAsia"/>
          <w:b/>
          <w:rtl/>
        </w:rPr>
        <w:t>ראשית</w:t>
      </w:r>
      <w:r>
        <w:rPr>
          <w:rFonts w:ascii="Century" w:hAnsi="Century" w:cs="FrankRuehl" w:hint="cs"/>
          <w:spacing w:val="10"/>
          <w:szCs w:val="28"/>
          <w:rtl/>
        </w:rPr>
        <w:t xml:space="preserve">, כי פסק הדין בעניין </w:t>
      </w:r>
      <w:r w:rsidRPr="00061844">
        <w:rPr>
          <w:rFonts w:ascii="Century" w:hAnsi="Century" w:cs="Miriam" w:hint="eastAsia"/>
          <w:b/>
          <w:rtl/>
        </w:rPr>
        <w:t>דפי</w:t>
      </w:r>
      <w:r w:rsidRPr="00061844">
        <w:rPr>
          <w:rFonts w:ascii="Century" w:hAnsi="Century" w:cs="Miriam"/>
          <w:b/>
          <w:rtl/>
        </w:rPr>
        <w:t xml:space="preserve"> </w:t>
      </w:r>
      <w:r w:rsidRPr="00061844">
        <w:rPr>
          <w:rFonts w:ascii="Century" w:hAnsi="Century" w:cs="Miriam" w:hint="eastAsia"/>
          <w:b/>
          <w:rtl/>
        </w:rPr>
        <w:t>זהב</w:t>
      </w:r>
      <w:r>
        <w:rPr>
          <w:rFonts w:ascii="Century" w:hAnsi="Century" w:cs="FrankRuehl" w:hint="cs"/>
          <w:spacing w:val="10"/>
          <w:szCs w:val="28"/>
          <w:rtl/>
        </w:rPr>
        <w:t xml:space="preserve"> לא היווה "קו פרשת המים" אשר ממנו ואילך השתנה באופן ברור המצב המשפטי; ו</w:t>
      </w:r>
      <w:r w:rsidRPr="00061844">
        <w:rPr>
          <w:rFonts w:ascii="Century" w:hAnsi="Century" w:cs="Miriam" w:hint="eastAsia"/>
          <w:b/>
          <w:rtl/>
        </w:rPr>
        <w:t>שנית</w:t>
      </w:r>
      <w:r>
        <w:rPr>
          <w:rFonts w:ascii="Century" w:hAnsi="Century" w:cs="FrankRuehl" w:hint="cs"/>
          <w:spacing w:val="10"/>
          <w:szCs w:val="28"/>
          <w:rtl/>
        </w:rPr>
        <w:t xml:space="preserve">, כי הנוסחה האיזונית שנזכרה בפסק הדין בעניין </w:t>
      </w:r>
      <w:r w:rsidRPr="00061844">
        <w:rPr>
          <w:rFonts w:ascii="Century" w:hAnsi="Century" w:cs="Miriam" w:hint="eastAsia"/>
          <w:b/>
          <w:rtl/>
        </w:rPr>
        <w:t>דפי</w:t>
      </w:r>
      <w:r w:rsidRPr="00061844">
        <w:rPr>
          <w:rFonts w:ascii="Century" w:hAnsi="Century" w:cs="Miriam"/>
          <w:b/>
          <w:rtl/>
        </w:rPr>
        <w:t xml:space="preserve"> </w:t>
      </w:r>
      <w:r w:rsidRPr="00061844">
        <w:rPr>
          <w:rFonts w:ascii="Century" w:hAnsi="Century" w:cs="Miriam" w:hint="eastAsia"/>
          <w:b/>
          <w:rtl/>
        </w:rPr>
        <w:t>זהב</w:t>
      </w:r>
      <w:r w:rsidRPr="008C0BB1">
        <w:rPr>
          <w:rFonts w:ascii="Century" w:hAnsi="Century" w:cs="FrankRuehl" w:hint="cs"/>
          <w:spacing w:val="10"/>
          <w:szCs w:val="28"/>
          <w:rtl/>
        </w:rPr>
        <w:t xml:space="preserve"> </w:t>
      </w:r>
      <w:r>
        <w:rPr>
          <w:rFonts w:ascii="Century" w:hAnsi="Century" w:cs="FrankRuehl" w:hint="cs"/>
          <w:spacing w:val="10"/>
          <w:szCs w:val="28"/>
          <w:rtl/>
        </w:rPr>
        <w:t xml:space="preserve">(ואף קודם לכן בעניין </w:t>
      </w:r>
      <w:r w:rsidRPr="00061844">
        <w:rPr>
          <w:rFonts w:ascii="Century" w:hAnsi="Century" w:cs="Miriam" w:hint="eastAsia"/>
          <w:b/>
          <w:rtl/>
        </w:rPr>
        <w:t>דקה</w:t>
      </w:r>
      <w:r>
        <w:rPr>
          <w:rFonts w:ascii="Century" w:hAnsi="Century" w:cs="FrankRuehl" w:hint="cs"/>
          <w:spacing w:val="10"/>
          <w:szCs w:val="28"/>
          <w:rtl/>
        </w:rPr>
        <w:t xml:space="preserve">) לא יצרה באמת שינוי מהותי באופן בו בוחנים בתי המשפט הלכה למעשה את סבירותן של החלטות מינהליות, אלא היא רק הכריזה על צורת הבחינה שהופעלה עוד קודם לכן על ידי בתי המשפט, אף אם לא במוצהר. </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ind w:firstLine="720"/>
        <w:jc w:val="both"/>
        <w:rPr>
          <w:rFonts w:ascii="Century" w:hAnsi="Century" w:cs="FrankRuehl"/>
          <w:spacing w:val="10"/>
          <w:szCs w:val="28"/>
          <w:rtl/>
        </w:rPr>
      </w:pPr>
      <w:r>
        <w:rPr>
          <w:rFonts w:ascii="Century" w:hAnsi="Century" w:cs="FrankRuehl" w:hint="cs"/>
          <w:spacing w:val="10"/>
          <w:szCs w:val="28"/>
          <w:rtl/>
        </w:rPr>
        <w:t xml:space="preserve">המסקנה השנייה נובעת מהעובדה שלבית המשפט נדרשים </w:t>
      </w:r>
      <w:r w:rsidRPr="00D170F5">
        <w:rPr>
          <w:rFonts w:ascii="Century" w:hAnsi="Century" w:cs="Miriam" w:hint="eastAsia"/>
          <w:b/>
          <w:rtl/>
        </w:rPr>
        <w:t>תמיד</w:t>
      </w:r>
      <w:r>
        <w:rPr>
          <w:rFonts w:ascii="Century" w:hAnsi="Century" w:cs="FrankRuehl" w:hint="cs"/>
          <w:spacing w:val="10"/>
          <w:szCs w:val="28"/>
          <w:rtl/>
        </w:rPr>
        <w:t xml:space="preserve"> כלים אנליטיים כדי לבחון החלטות ולהעמיד אותן תחת שבט ביקורתו. עילת הסבירות </w:t>
      </w:r>
      <w:r>
        <w:rPr>
          <w:rFonts w:ascii="Century" w:hAnsi="Century" w:cs="FrankRuehl"/>
          <w:spacing w:val="10"/>
          <w:szCs w:val="28"/>
          <w:rtl/>
        </w:rPr>
        <w:t>–</w:t>
      </w:r>
      <w:r>
        <w:rPr>
          <w:rFonts w:ascii="Century" w:hAnsi="Century" w:cs="FrankRuehl" w:hint="cs"/>
          <w:spacing w:val="10"/>
          <w:szCs w:val="28"/>
          <w:rtl/>
        </w:rPr>
        <w:t xml:space="preserve"> הן במובנה "המסורתי" והן במובנה "העדכני" </w:t>
      </w:r>
      <w:r>
        <w:rPr>
          <w:rFonts w:ascii="Century" w:hAnsi="Century" w:cs="FrankRuehl"/>
          <w:spacing w:val="10"/>
          <w:szCs w:val="28"/>
          <w:rtl/>
        </w:rPr>
        <w:t>–</w:t>
      </w:r>
      <w:r>
        <w:rPr>
          <w:rFonts w:ascii="Century" w:hAnsi="Century" w:cs="FrankRuehl" w:hint="cs"/>
          <w:spacing w:val="10"/>
          <w:szCs w:val="28"/>
          <w:rtl/>
        </w:rPr>
        <w:t xml:space="preserve"> היא עילה עמומה אשר אינה מספקת מבחן ברור להפעלתה. כך, בין אם נגדיר את עילת הסבירות כחלה על החלטות "מופרכות" או "בלתי מתקבלות על הדעת" ובין אם נגדיר אותה כחלה על החלטות "החורגות ממתחם הסבירות" </w:t>
      </w:r>
      <w:r>
        <w:rPr>
          <w:rFonts w:ascii="Century" w:hAnsi="Century" w:cs="FrankRuehl"/>
          <w:spacing w:val="10"/>
          <w:szCs w:val="28"/>
          <w:rtl/>
        </w:rPr>
        <w:t>–</w:t>
      </w:r>
      <w:r>
        <w:rPr>
          <w:rFonts w:ascii="Century" w:hAnsi="Century" w:cs="FrankRuehl" w:hint="cs"/>
          <w:spacing w:val="10"/>
          <w:szCs w:val="28"/>
          <w:rtl/>
        </w:rPr>
        <w:t xml:space="preserve"> עדיין לא יהיה בכך כדי להבהיר באילו כלים בוחן בית המשפט בפועל, באופן מעשי, האם החלטה פלונית נכנסת תחת הגדרות אלה. כפי שמציין </w:t>
      </w:r>
      <w:r w:rsidRPr="00061844">
        <w:rPr>
          <w:rFonts w:ascii="Century" w:hAnsi="Century" w:cs="Miriam" w:hint="eastAsia"/>
          <w:b/>
          <w:rtl/>
        </w:rPr>
        <w:t>דותן</w:t>
      </w:r>
      <w:r w:rsidRPr="008C0BB1">
        <w:rPr>
          <w:rFonts w:ascii="Century" w:hAnsi="Century" w:cs="FrankRuehl" w:hint="cs"/>
          <w:spacing w:val="10"/>
          <w:szCs w:val="28"/>
          <w:rtl/>
        </w:rPr>
        <w:t xml:space="preserve"> </w:t>
      </w:r>
      <w:r>
        <w:rPr>
          <w:rFonts w:ascii="Century" w:hAnsi="Century" w:cs="FrankRuehl" w:hint="cs"/>
          <w:spacing w:val="10"/>
          <w:szCs w:val="28"/>
          <w:rtl/>
        </w:rPr>
        <w:t xml:space="preserve">במאמרו: </w:t>
      </w:r>
    </w:p>
    <w:p w:rsidR="00A01E7C" w:rsidRDefault="00A01E7C" w:rsidP="00A01E7C">
      <w:pPr>
        <w:spacing w:line="360" w:lineRule="auto"/>
        <w:jc w:val="both"/>
        <w:rPr>
          <w:rFonts w:ascii="Century" w:hAnsi="Century" w:cs="FrankRuehl"/>
          <w:spacing w:val="10"/>
          <w:szCs w:val="28"/>
          <w:rtl/>
        </w:rPr>
      </w:pPr>
    </w:p>
    <w:p w:rsidR="00A01E7C" w:rsidRPr="0024615A" w:rsidRDefault="00A01E7C" w:rsidP="00A01E7C">
      <w:pPr>
        <w:pStyle w:val="Ruller5"/>
      </w:pPr>
      <w:r>
        <w:rPr>
          <w:rFonts w:hint="cs"/>
          <w:rtl/>
        </w:rPr>
        <w:t xml:space="preserve">הנוסחאות הלשוניות המשמשות את בתי המשפט בתור 'עילות' הביקורת השיפוטית, ובוודאי אלו הנוגעות לסבירות, הן עמומות, מעורפלות, בלתי נקבעות וחמקמקות, והדבר מקשה מאוד על מי שמנסה לצקת תכנים קונקרטיים מוגדרים, כאלה שיכולים להיות לעזר </w:t>
      </w:r>
      <w:r>
        <w:rPr>
          <w:rFonts w:hint="cs"/>
          <w:rtl/>
        </w:rPr>
        <w:lastRenderedPageBreak/>
        <w:t>למי שמנסה לפעול על פיהן באופן אחיד, עקיב, נהיר ורציונלי (דותן, ריסון וסבירות, בעמוד 688).</w:t>
      </w:r>
    </w:p>
    <w:p w:rsidR="00A01E7C" w:rsidRDefault="00A01E7C" w:rsidP="00A01E7C">
      <w:pPr>
        <w:spacing w:line="360" w:lineRule="auto"/>
        <w:jc w:val="both"/>
        <w:rPr>
          <w:rFonts w:ascii="Century" w:hAnsi="Century" w:cs="FrankRuehl"/>
          <w:spacing w:val="10"/>
          <w:szCs w:val="28"/>
          <w:rtl/>
        </w:rPr>
      </w:pPr>
    </w:p>
    <w:p w:rsidR="00A01E7C" w:rsidRPr="008C0BB1" w:rsidRDefault="00A01E7C" w:rsidP="00A01E7C">
      <w:pPr>
        <w:spacing w:line="360" w:lineRule="auto"/>
        <w:jc w:val="both"/>
        <w:rPr>
          <w:rFonts w:ascii="Century" w:hAnsi="Century" w:cs="FrankRuehl"/>
          <w:spacing w:val="10"/>
          <w:szCs w:val="28"/>
          <w:rtl/>
        </w:rPr>
      </w:pPr>
      <w:r>
        <w:rPr>
          <w:rFonts w:ascii="Century" w:hAnsi="Century" w:cs="FrankRuehl"/>
          <w:spacing w:val="10"/>
          <w:szCs w:val="28"/>
          <w:rtl/>
        </w:rPr>
        <w:tab/>
      </w:r>
      <w:r>
        <w:rPr>
          <w:rFonts w:ascii="Century" w:hAnsi="Century" w:cs="FrankRuehl" w:hint="cs"/>
          <w:spacing w:val="10"/>
          <w:szCs w:val="28"/>
          <w:rtl/>
        </w:rPr>
        <w:t>דותן אומנם סבור כי "</w:t>
      </w:r>
      <w:r w:rsidRPr="00D170F5">
        <w:rPr>
          <w:rFonts w:ascii="Century" w:hAnsi="Century" w:cs="Miriam" w:hint="eastAsia"/>
          <w:b/>
          <w:rtl/>
        </w:rPr>
        <w:t>אפשר</w:t>
      </w:r>
      <w:r w:rsidRPr="00D170F5">
        <w:rPr>
          <w:rFonts w:ascii="Century" w:hAnsi="Century" w:cs="Miriam"/>
          <w:b/>
          <w:rtl/>
        </w:rPr>
        <w:t xml:space="preserve"> </w:t>
      </w:r>
      <w:r w:rsidRPr="00D170F5">
        <w:rPr>
          <w:rFonts w:ascii="Century" w:hAnsi="Century" w:cs="Miriam" w:hint="eastAsia"/>
          <w:b/>
          <w:rtl/>
        </w:rPr>
        <w:t>כמובן</w:t>
      </w:r>
      <w:r w:rsidRPr="00D170F5">
        <w:rPr>
          <w:rFonts w:ascii="Century" w:hAnsi="Century" w:cs="Miriam"/>
          <w:b/>
          <w:rtl/>
        </w:rPr>
        <w:t xml:space="preserve"> </w:t>
      </w:r>
      <w:r w:rsidRPr="00D170F5">
        <w:rPr>
          <w:rFonts w:ascii="Century" w:hAnsi="Century" w:cs="Miriam" w:hint="eastAsia"/>
          <w:b/>
          <w:rtl/>
        </w:rPr>
        <w:t>לומר</w:t>
      </w:r>
      <w:r w:rsidRPr="00D170F5">
        <w:rPr>
          <w:rFonts w:ascii="Century" w:hAnsi="Century" w:cs="Miriam"/>
          <w:b/>
          <w:rtl/>
        </w:rPr>
        <w:t xml:space="preserve"> </w:t>
      </w:r>
      <w:r w:rsidRPr="00D170F5">
        <w:rPr>
          <w:rFonts w:ascii="Century" w:hAnsi="Century" w:cs="Miriam" w:hint="eastAsia"/>
          <w:b/>
          <w:rtl/>
        </w:rPr>
        <w:t>שמבחן</w:t>
      </w:r>
      <w:r w:rsidRPr="00D170F5">
        <w:rPr>
          <w:rFonts w:ascii="Century" w:hAnsi="Century" w:cs="Miriam"/>
          <w:b/>
          <w:rtl/>
        </w:rPr>
        <w:t xml:space="preserve"> </w:t>
      </w:r>
      <w:r w:rsidRPr="00D170F5">
        <w:rPr>
          <w:rFonts w:ascii="Century" w:hAnsi="Century" w:cs="Miriam" w:hint="eastAsia"/>
          <w:b/>
          <w:rtl/>
        </w:rPr>
        <w:t>המופרכות</w:t>
      </w:r>
      <w:r w:rsidRPr="00D170F5">
        <w:rPr>
          <w:rFonts w:ascii="Century" w:hAnsi="Century" w:cs="Miriam"/>
          <w:b/>
          <w:rtl/>
        </w:rPr>
        <w:t xml:space="preserve"> '</w:t>
      </w:r>
      <w:r w:rsidRPr="00D170F5">
        <w:rPr>
          <w:rFonts w:ascii="Century" w:hAnsi="Century" w:cs="Miriam" w:hint="eastAsia"/>
          <w:b/>
          <w:rtl/>
        </w:rPr>
        <w:t>צר</w:t>
      </w:r>
      <w:r w:rsidRPr="00D170F5">
        <w:rPr>
          <w:rFonts w:ascii="Century" w:hAnsi="Century" w:cs="Miriam"/>
          <w:b/>
          <w:rtl/>
        </w:rPr>
        <w:t xml:space="preserve">' </w:t>
      </w:r>
      <w:r w:rsidRPr="00D170F5">
        <w:rPr>
          <w:rFonts w:ascii="Century" w:hAnsi="Century" w:cs="Miriam" w:hint="eastAsia"/>
          <w:b/>
          <w:rtl/>
        </w:rPr>
        <w:t>מהמבחן</w:t>
      </w:r>
      <w:r w:rsidRPr="00D170F5">
        <w:rPr>
          <w:rFonts w:ascii="Century" w:hAnsi="Century" w:cs="Miriam"/>
          <w:b/>
          <w:rtl/>
        </w:rPr>
        <w:t xml:space="preserve"> </w:t>
      </w:r>
      <w:r w:rsidRPr="00D170F5">
        <w:rPr>
          <w:rFonts w:ascii="Century" w:hAnsi="Century" w:cs="Miriam" w:hint="eastAsia"/>
          <w:b/>
          <w:rtl/>
        </w:rPr>
        <w:t>האיזוני</w:t>
      </w:r>
      <w:r w:rsidRPr="00D170F5">
        <w:rPr>
          <w:rFonts w:ascii="Century" w:hAnsi="Century" w:cs="Miriam"/>
          <w:b/>
          <w:rtl/>
        </w:rPr>
        <w:t xml:space="preserve"> </w:t>
      </w:r>
      <w:r w:rsidRPr="00D170F5">
        <w:rPr>
          <w:rFonts w:ascii="Century" w:hAnsi="Century" w:cs="Miriam" w:hint="eastAsia"/>
          <w:b/>
          <w:rtl/>
        </w:rPr>
        <w:t>הרחב</w:t>
      </w:r>
      <w:r w:rsidRPr="00D170F5">
        <w:rPr>
          <w:rFonts w:ascii="Century" w:hAnsi="Century" w:cs="Miriam"/>
          <w:b/>
          <w:rtl/>
        </w:rPr>
        <w:t xml:space="preserve">, </w:t>
      </w:r>
      <w:r w:rsidRPr="00D170F5">
        <w:rPr>
          <w:rFonts w:ascii="Century" w:hAnsi="Century" w:cs="Miriam" w:hint="eastAsia"/>
          <w:b/>
          <w:rtl/>
        </w:rPr>
        <w:t>וכי</w:t>
      </w:r>
      <w:r w:rsidRPr="00D170F5">
        <w:rPr>
          <w:rFonts w:ascii="Century" w:hAnsi="Century" w:cs="Miriam"/>
          <w:b/>
          <w:rtl/>
        </w:rPr>
        <w:t xml:space="preserve"> </w:t>
      </w:r>
      <w:r w:rsidRPr="00D170F5">
        <w:rPr>
          <w:rFonts w:ascii="Century" w:hAnsi="Century" w:cs="Miriam" w:hint="eastAsia"/>
          <w:b/>
          <w:rtl/>
        </w:rPr>
        <w:t>הוא</w:t>
      </w:r>
      <w:r w:rsidRPr="00D170F5">
        <w:rPr>
          <w:rFonts w:ascii="Century" w:hAnsi="Century" w:cs="Miriam"/>
          <w:b/>
          <w:rtl/>
        </w:rPr>
        <w:t xml:space="preserve"> </w:t>
      </w:r>
      <w:r w:rsidRPr="00D170F5">
        <w:rPr>
          <w:rFonts w:ascii="Century" w:hAnsi="Century" w:cs="Miriam" w:hint="eastAsia"/>
          <w:b/>
          <w:rtl/>
        </w:rPr>
        <w:t>מותיר</w:t>
      </w:r>
      <w:r w:rsidRPr="00D170F5">
        <w:rPr>
          <w:rFonts w:ascii="Century" w:hAnsi="Century" w:cs="Miriam"/>
          <w:b/>
          <w:rtl/>
        </w:rPr>
        <w:t xml:space="preserve"> </w:t>
      </w:r>
      <w:r w:rsidRPr="00D170F5">
        <w:rPr>
          <w:rFonts w:ascii="Century" w:hAnsi="Century" w:cs="Miriam" w:hint="eastAsia"/>
          <w:b/>
          <w:rtl/>
        </w:rPr>
        <w:t>לבית</w:t>
      </w:r>
      <w:r w:rsidRPr="00D170F5">
        <w:rPr>
          <w:rFonts w:ascii="Century" w:hAnsi="Century" w:cs="Miriam"/>
          <w:b/>
          <w:rtl/>
        </w:rPr>
        <w:t xml:space="preserve"> </w:t>
      </w:r>
      <w:r w:rsidRPr="00D170F5">
        <w:rPr>
          <w:rFonts w:ascii="Century" w:hAnsi="Century" w:cs="Miriam" w:hint="eastAsia"/>
          <w:b/>
          <w:rtl/>
        </w:rPr>
        <w:t>המשפט</w:t>
      </w:r>
      <w:r w:rsidRPr="00D170F5">
        <w:rPr>
          <w:rFonts w:ascii="Century" w:hAnsi="Century" w:cs="Miriam"/>
          <w:b/>
          <w:rtl/>
        </w:rPr>
        <w:t xml:space="preserve"> </w:t>
      </w:r>
      <w:r w:rsidRPr="00D170F5">
        <w:rPr>
          <w:rFonts w:ascii="Century" w:hAnsi="Century" w:cs="Miriam" w:hint="eastAsia"/>
          <w:b/>
          <w:rtl/>
        </w:rPr>
        <w:t>פחות</w:t>
      </w:r>
      <w:r w:rsidRPr="00D170F5">
        <w:rPr>
          <w:rFonts w:ascii="Century" w:hAnsi="Century" w:cs="Miriam"/>
          <w:b/>
          <w:rtl/>
        </w:rPr>
        <w:t xml:space="preserve"> </w:t>
      </w:r>
      <w:r w:rsidRPr="00D170F5">
        <w:rPr>
          <w:rFonts w:ascii="Century" w:hAnsi="Century" w:cs="Miriam" w:hint="eastAsia"/>
          <w:b/>
          <w:rtl/>
        </w:rPr>
        <w:t>מקום</w:t>
      </w:r>
      <w:r w:rsidRPr="00D170F5">
        <w:rPr>
          <w:rFonts w:ascii="Century" w:hAnsi="Century" w:cs="Miriam"/>
          <w:b/>
          <w:rtl/>
        </w:rPr>
        <w:t xml:space="preserve"> </w:t>
      </w:r>
      <w:r w:rsidRPr="00D170F5">
        <w:rPr>
          <w:rFonts w:ascii="Century" w:hAnsi="Century" w:cs="Miriam" w:hint="eastAsia"/>
          <w:b/>
          <w:rtl/>
        </w:rPr>
        <w:t>להתערבות</w:t>
      </w:r>
      <w:r w:rsidRPr="00D170F5">
        <w:rPr>
          <w:rFonts w:ascii="Century" w:hAnsi="Century" w:cs="Miriam"/>
          <w:b/>
          <w:rtl/>
        </w:rPr>
        <w:t xml:space="preserve"> </w:t>
      </w:r>
      <w:r w:rsidRPr="00D170F5">
        <w:rPr>
          <w:rFonts w:ascii="Century" w:hAnsi="Century" w:cs="Miriam" w:hint="eastAsia"/>
          <w:b/>
          <w:rtl/>
        </w:rPr>
        <w:t>בשיקול</w:t>
      </w:r>
      <w:r w:rsidRPr="00D170F5">
        <w:rPr>
          <w:rFonts w:ascii="Century" w:hAnsi="Century" w:cs="Miriam"/>
          <w:b/>
          <w:rtl/>
        </w:rPr>
        <w:t xml:space="preserve"> </w:t>
      </w:r>
      <w:r w:rsidRPr="00D170F5">
        <w:rPr>
          <w:rFonts w:ascii="Century" w:hAnsi="Century" w:cs="Miriam" w:hint="eastAsia"/>
          <w:b/>
          <w:rtl/>
        </w:rPr>
        <w:t>הדעת</w:t>
      </w:r>
      <w:r w:rsidRPr="00D170F5">
        <w:rPr>
          <w:rFonts w:ascii="Century" w:hAnsi="Century" w:cs="Miriam"/>
          <w:b/>
          <w:rtl/>
        </w:rPr>
        <w:t xml:space="preserve"> </w:t>
      </w:r>
      <w:r w:rsidRPr="00D170F5">
        <w:rPr>
          <w:rFonts w:ascii="Century" w:hAnsi="Century" w:cs="Miriam" w:hint="eastAsia"/>
          <w:b/>
          <w:rtl/>
        </w:rPr>
        <w:t>המינהלי</w:t>
      </w:r>
      <w:r w:rsidRPr="00D170F5">
        <w:rPr>
          <w:rFonts w:ascii="Century" w:hAnsi="Century" w:cs="Miriam"/>
          <w:b/>
          <w:rtl/>
        </w:rPr>
        <w:t>...</w:t>
      </w:r>
      <w:r>
        <w:rPr>
          <w:rFonts w:ascii="Century" w:hAnsi="Century" w:cs="FrankRuehl" w:hint="cs"/>
          <w:spacing w:val="10"/>
          <w:szCs w:val="28"/>
          <w:rtl/>
        </w:rPr>
        <w:t>" (שם, בעמוד 688), ואולם לא ברור על מה מבוססת אמירה זו. בהמשך הוא אף מציין כי "</w:t>
      </w:r>
      <w:r w:rsidRPr="00D170F5">
        <w:rPr>
          <w:rFonts w:ascii="Century" w:hAnsi="Century" w:cs="Miriam" w:hint="eastAsia"/>
          <w:b/>
          <w:rtl/>
        </w:rPr>
        <w:t>דומה</w:t>
      </w:r>
      <w:r w:rsidRPr="00D170F5">
        <w:rPr>
          <w:rFonts w:ascii="Century" w:hAnsi="Century" w:cs="Miriam"/>
          <w:b/>
          <w:rtl/>
        </w:rPr>
        <w:t xml:space="preserve"> </w:t>
      </w:r>
      <w:r w:rsidRPr="00D170F5">
        <w:rPr>
          <w:rFonts w:ascii="Century" w:hAnsi="Century" w:cs="Miriam" w:hint="eastAsia"/>
          <w:b/>
          <w:rtl/>
        </w:rPr>
        <w:t>שהנוסחאות</w:t>
      </w:r>
      <w:r w:rsidRPr="00D170F5">
        <w:rPr>
          <w:rFonts w:ascii="Century" w:hAnsi="Century" w:cs="Miriam"/>
          <w:b/>
          <w:rtl/>
        </w:rPr>
        <w:t xml:space="preserve"> </w:t>
      </w:r>
      <w:r w:rsidRPr="00D170F5">
        <w:rPr>
          <w:rFonts w:ascii="Century" w:hAnsi="Century" w:cs="Miriam" w:hint="eastAsia"/>
          <w:b/>
          <w:rtl/>
        </w:rPr>
        <w:t>הלשוניות</w:t>
      </w:r>
      <w:r w:rsidRPr="00D170F5">
        <w:rPr>
          <w:rFonts w:ascii="Century" w:hAnsi="Century" w:cs="Miriam"/>
          <w:b/>
          <w:rtl/>
        </w:rPr>
        <w:t xml:space="preserve"> </w:t>
      </w:r>
      <w:r w:rsidRPr="00D170F5">
        <w:rPr>
          <w:rFonts w:ascii="Century" w:hAnsi="Century" w:cs="Miriam" w:hint="eastAsia"/>
          <w:b/>
          <w:rtl/>
        </w:rPr>
        <w:t>עצמן</w:t>
      </w:r>
      <w:r w:rsidRPr="00D170F5">
        <w:rPr>
          <w:rFonts w:ascii="Century" w:hAnsi="Century" w:cs="Miriam"/>
          <w:b/>
          <w:rtl/>
        </w:rPr>
        <w:t xml:space="preserve"> </w:t>
      </w:r>
      <w:r w:rsidRPr="00D170F5">
        <w:rPr>
          <w:rFonts w:ascii="Century" w:hAnsi="Century" w:cs="Miriam" w:hint="eastAsia"/>
          <w:b/>
          <w:rtl/>
        </w:rPr>
        <w:t>אינן</w:t>
      </w:r>
      <w:r w:rsidRPr="00D170F5">
        <w:rPr>
          <w:rFonts w:ascii="Century" w:hAnsi="Century" w:cs="Miriam"/>
          <w:b/>
          <w:rtl/>
        </w:rPr>
        <w:t xml:space="preserve"> </w:t>
      </w:r>
      <w:r w:rsidRPr="00D170F5">
        <w:rPr>
          <w:rFonts w:ascii="Century" w:hAnsi="Century" w:cs="Miriam" w:hint="eastAsia"/>
          <w:b/>
          <w:rtl/>
        </w:rPr>
        <w:t>מספקות</w:t>
      </w:r>
      <w:r w:rsidRPr="00D170F5">
        <w:rPr>
          <w:rFonts w:ascii="Century" w:hAnsi="Century" w:cs="Miriam"/>
          <w:b/>
          <w:rtl/>
        </w:rPr>
        <w:t xml:space="preserve"> </w:t>
      </w:r>
      <w:r w:rsidRPr="00D170F5">
        <w:rPr>
          <w:rFonts w:ascii="Century" w:hAnsi="Century" w:cs="Miriam" w:hint="eastAsia"/>
          <w:b/>
          <w:rtl/>
        </w:rPr>
        <w:t>לנו</w:t>
      </w:r>
      <w:r w:rsidRPr="00D170F5">
        <w:rPr>
          <w:rFonts w:ascii="Century" w:hAnsi="Century" w:cs="Miriam"/>
          <w:b/>
          <w:rtl/>
        </w:rPr>
        <w:t xml:space="preserve"> </w:t>
      </w:r>
      <w:r w:rsidRPr="00D170F5">
        <w:rPr>
          <w:rFonts w:ascii="Century" w:hAnsi="Century" w:cs="Miriam" w:hint="eastAsia"/>
          <w:b/>
          <w:rtl/>
        </w:rPr>
        <w:t>הסבר</w:t>
      </w:r>
      <w:r w:rsidRPr="00D170F5">
        <w:rPr>
          <w:rFonts w:ascii="Century" w:hAnsi="Century" w:cs="Miriam"/>
          <w:b/>
          <w:rtl/>
        </w:rPr>
        <w:t xml:space="preserve"> </w:t>
      </w:r>
      <w:r w:rsidRPr="00D170F5">
        <w:rPr>
          <w:rFonts w:ascii="Century" w:hAnsi="Century" w:cs="Miriam" w:hint="eastAsia"/>
          <w:b/>
          <w:rtl/>
        </w:rPr>
        <w:t>ברור</w:t>
      </w:r>
      <w:r w:rsidRPr="00D170F5">
        <w:rPr>
          <w:rFonts w:ascii="Century" w:hAnsi="Century" w:cs="Miriam"/>
          <w:b/>
          <w:rtl/>
        </w:rPr>
        <w:t xml:space="preserve"> </w:t>
      </w:r>
      <w:r w:rsidRPr="00D170F5">
        <w:rPr>
          <w:rFonts w:ascii="Century" w:hAnsi="Century" w:cs="Miriam" w:hint="eastAsia"/>
          <w:b/>
          <w:rtl/>
        </w:rPr>
        <w:t>לא</w:t>
      </w:r>
      <w:r w:rsidRPr="00D170F5">
        <w:rPr>
          <w:rFonts w:ascii="Century" w:hAnsi="Century" w:cs="Miriam"/>
          <w:b/>
          <w:rtl/>
        </w:rPr>
        <w:t xml:space="preserve"> </w:t>
      </w:r>
      <w:r w:rsidRPr="00D170F5">
        <w:rPr>
          <w:rFonts w:ascii="Century" w:hAnsi="Century" w:cs="Miriam" w:hint="eastAsia"/>
          <w:b/>
          <w:rtl/>
        </w:rPr>
        <w:t>בדבר</w:t>
      </w:r>
      <w:r w:rsidRPr="00D170F5">
        <w:rPr>
          <w:rFonts w:ascii="Century" w:hAnsi="Century" w:cs="Miriam"/>
          <w:b/>
          <w:rtl/>
        </w:rPr>
        <w:t xml:space="preserve"> </w:t>
      </w:r>
      <w:r w:rsidRPr="00D170F5">
        <w:rPr>
          <w:rFonts w:ascii="Century" w:hAnsi="Century" w:cs="Miriam" w:hint="eastAsia"/>
          <w:b/>
          <w:rtl/>
        </w:rPr>
        <w:t>התוכן</w:t>
      </w:r>
      <w:r w:rsidRPr="00D170F5">
        <w:rPr>
          <w:rFonts w:ascii="Century" w:hAnsi="Century" w:cs="Miriam"/>
          <w:b/>
          <w:rtl/>
        </w:rPr>
        <w:t xml:space="preserve"> </w:t>
      </w:r>
      <w:r w:rsidRPr="00D170F5">
        <w:rPr>
          <w:rFonts w:ascii="Century" w:hAnsi="Century" w:cs="Miriam" w:hint="eastAsia"/>
          <w:b/>
          <w:rtl/>
        </w:rPr>
        <w:t>המהותי</w:t>
      </w:r>
      <w:r w:rsidRPr="00D170F5">
        <w:rPr>
          <w:rFonts w:ascii="Century" w:hAnsi="Century" w:cs="Miriam"/>
          <w:b/>
          <w:rtl/>
        </w:rPr>
        <w:t xml:space="preserve"> </w:t>
      </w:r>
      <w:r w:rsidRPr="00D170F5">
        <w:rPr>
          <w:rFonts w:ascii="Century" w:hAnsi="Century" w:cs="Miriam" w:hint="eastAsia"/>
          <w:b/>
          <w:rtl/>
        </w:rPr>
        <w:t>של</w:t>
      </w:r>
      <w:r w:rsidRPr="00D170F5">
        <w:rPr>
          <w:rFonts w:ascii="Century" w:hAnsi="Century" w:cs="Miriam"/>
          <w:b/>
          <w:rtl/>
        </w:rPr>
        <w:t xml:space="preserve"> </w:t>
      </w:r>
      <w:r w:rsidRPr="00D170F5">
        <w:rPr>
          <w:rFonts w:ascii="Century" w:hAnsi="Century" w:cs="Miriam" w:hint="eastAsia"/>
          <w:b/>
          <w:rtl/>
        </w:rPr>
        <w:t>כל</w:t>
      </w:r>
      <w:r w:rsidRPr="00D170F5">
        <w:rPr>
          <w:rFonts w:ascii="Century" w:hAnsi="Century" w:cs="Miriam"/>
          <w:b/>
          <w:rtl/>
        </w:rPr>
        <w:t xml:space="preserve"> </w:t>
      </w:r>
      <w:r w:rsidRPr="00D170F5">
        <w:rPr>
          <w:rFonts w:ascii="Century" w:hAnsi="Century" w:cs="Miriam" w:hint="eastAsia"/>
          <w:b/>
          <w:rtl/>
        </w:rPr>
        <w:t>אחת</w:t>
      </w:r>
      <w:r w:rsidRPr="00D170F5">
        <w:rPr>
          <w:rFonts w:ascii="Century" w:hAnsi="Century" w:cs="Miriam"/>
          <w:b/>
          <w:rtl/>
        </w:rPr>
        <w:t xml:space="preserve"> </w:t>
      </w:r>
      <w:r w:rsidRPr="00D170F5">
        <w:rPr>
          <w:rFonts w:ascii="Century" w:hAnsi="Century" w:cs="Miriam" w:hint="eastAsia"/>
          <w:b/>
          <w:rtl/>
        </w:rPr>
        <w:t>מהנוסחאות</w:t>
      </w:r>
      <w:r w:rsidRPr="00D170F5">
        <w:rPr>
          <w:rFonts w:ascii="Century" w:hAnsi="Century" w:cs="Miriam"/>
          <w:b/>
          <w:rtl/>
        </w:rPr>
        <w:t xml:space="preserve"> </w:t>
      </w:r>
      <w:r w:rsidRPr="00D170F5">
        <w:rPr>
          <w:rFonts w:ascii="Century" w:hAnsi="Century" w:cs="Miriam" w:hint="eastAsia"/>
          <w:b/>
          <w:rtl/>
        </w:rPr>
        <w:t>הללו</w:t>
      </w:r>
      <w:r w:rsidRPr="00D170F5">
        <w:rPr>
          <w:rFonts w:ascii="Century" w:hAnsi="Century" w:cs="Miriam"/>
          <w:b/>
          <w:rtl/>
        </w:rPr>
        <w:t xml:space="preserve"> </w:t>
      </w:r>
      <w:r w:rsidRPr="00D170F5">
        <w:rPr>
          <w:rFonts w:ascii="Century" w:hAnsi="Century" w:cs="Miriam" w:hint="eastAsia"/>
          <w:b/>
          <w:rtl/>
        </w:rPr>
        <w:t>ולא</w:t>
      </w:r>
      <w:r w:rsidRPr="00D170F5">
        <w:rPr>
          <w:rFonts w:ascii="Century" w:hAnsi="Century" w:cs="Miriam"/>
          <w:b/>
          <w:rtl/>
        </w:rPr>
        <w:t xml:space="preserve"> </w:t>
      </w:r>
      <w:r w:rsidRPr="00D170F5">
        <w:rPr>
          <w:rFonts w:ascii="Century" w:hAnsi="Century" w:cs="Miriam" w:hint="eastAsia"/>
          <w:b/>
          <w:rtl/>
        </w:rPr>
        <w:t>בדבר</w:t>
      </w:r>
      <w:r w:rsidRPr="00D170F5">
        <w:rPr>
          <w:rFonts w:ascii="Century" w:hAnsi="Century" w:cs="Miriam"/>
          <w:b/>
          <w:rtl/>
        </w:rPr>
        <w:t xml:space="preserve"> </w:t>
      </w:r>
      <w:r w:rsidRPr="00D170F5">
        <w:rPr>
          <w:rFonts w:ascii="Century" w:hAnsi="Century" w:cs="Miriam" w:hint="eastAsia"/>
          <w:b/>
          <w:rtl/>
        </w:rPr>
        <w:t>התוצאות</w:t>
      </w:r>
      <w:r w:rsidRPr="00D170F5">
        <w:rPr>
          <w:rFonts w:ascii="Century" w:hAnsi="Century" w:cs="Miriam"/>
          <w:b/>
          <w:rtl/>
        </w:rPr>
        <w:t xml:space="preserve"> </w:t>
      </w:r>
      <w:r w:rsidRPr="00D170F5">
        <w:rPr>
          <w:rFonts w:ascii="Century" w:hAnsi="Century" w:cs="Miriam" w:hint="eastAsia"/>
          <w:b/>
          <w:rtl/>
        </w:rPr>
        <w:t>הקונקרטיות</w:t>
      </w:r>
      <w:r w:rsidRPr="00D170F5">
        <w:rPr>
          <w:rFonts w:ascii="Century" w:hAnsi="Century" w:cs="Miriam"/>
          <w:b/>
          <w:rtl/>
        </w:rPr>
        <w:t xml:space="preserve"> </w:t>
      </w:r>
      <w:r w:rsidRPr="00D170F5">
        <w:rPr>
          <w:rFonts w:ascii="Century" w:hAnsi="Century" w:cs="Miriam" w:hint="eastAsia"/>
          <w:b/>
          <w:rtl/>
        </w:rPr>
        <w:t>של</w:t>
      </w:r>
      <w:r w:rsidRPr="00D170F5">
        <w:rPr>
          <w:rFonts w:ascii="Century" w:hAnsi="Century" w:cs="Miriam"/>
          <w:b/>
          <w:rtl/>
        </w:rPr>
        <w:t xml:space="preserve"> </w:t>
      </w:r>
      <w:r w:rsidRPr="00D170F5">
        <w:rPr>
          <w:rFonts w:ascii="Century" w:hAnsi="Century" w:cs="Miriam" w:hint="eastAsia"/>
          <w:b/>
          <w:rtl/>
        </w:rPr>
        <w:t>החלתן</w:t>
      </w:r>
      <w:r w:rsidRPr="00D170F5">
        <w:rPr>
          <w:rFonts w:ascii="Century" w:hAnsi="Century" w:cs="Miriam"/>
          <w:b/>
          <w:rtl/>
        </w:rPr>
        <w:t xml:space="preserve"> </w:t>
      </w:r>
      <w:r w:rsidRPr="00D170F5">
        <w:rPr>
          <w:rFonts w:ascii="Century" w:hAnsi="Century" w:cs="Miriam" w:hint="eastAsia"/>
          <w:b/>
          <w:rtl/>
        </w:rPr>
        <w:t>במקרה</w:t>
      </w:r>
      <w:r w:rsidRPr="00D170F5">
        <w:rPr>
          <w:rFonts w:ascii="Century" w:hAnsi="Century" w:cs="Miriam"/>
          <w:b/>
          <w:rtl/>
        </w:rPr>
        <w:t xml:space="preserve"> </w:t>
      </w:r>
      <w:r w:rsidRPr="00D170F5">
        <w:rPr>
          <w:rFonts w:ascii="Century" w:hAnsi="Century" w:cs="Miriam" w:hint="eastAsia"/>
          <w:b/>
          <w:rtl/>
        </w:rPr>
        <w:t>נתון</w:t>
      </w:r>
      <w:r w:rsidRPr="00D170F5">
        <w:rPr>
          <w:rFonts w:ascii="Century" w:hAnsi="Century" w:cs="Miriam"/>
          <w:b/>
          <w:rtl/>
        </w:rPr>
        <w:t xml:space="preserve"> </w:t>
      </w:r>
      <w:r w:rsidRPr="00D170F5">
        <w:rPr>
          <w:rFonts w:ascii="Century" w:hAnsi="Century" w:cs="Miriam" w:hint="eastAsia"/>
          <w:b/>
          <w:rtl/>
        </w:rPr>
        <w:t>זה</w:t>
      </w:r>
      <w:r w:rsidRPr="00D170F5">
        <w:rPr>
          <w:rFonts w:ascii="Century" w:hAnsi="Century" w:cs="Miriam"/>
          <w:b/>
          <w:rtl/>
        </w:rPr>
        <w:t xml:space="preserve"> </w:t>
      </w:r>
      <w:r w:rsidRPr="00D170F5">
        <w:rPr>
          <w:rFonts w:ascii="Century" w:hAnsi="Century" w:cs="Miriam" w:hint="eastAsia"/>
          <w:b/>
          <w:rtl/>
        </w:rPr>
        <w:t>או</w:t>
      </w:r>
      <w:r w:rsidRPr="00D170F5">
        <w:rPr>
          <w:rFonts w:ascii="Century" w:hAnsi="Century" w:cs="Miriam"/>
          <w:b/>
          <w:rtl/>
        </w:rPr>
        <w:t xml:space="preserve"> </w:t>
      </w:r>
      <w:r w:rsidRPr="00D170F5">
        <w:rPr>
          <w:rFonts w:ascii="Century" w:hAnsi="Century" w:cs="Miriam" w:hint="eastAsia"/>
          <w:b/>
          <w:rtl/>
        </w:rPr>
        <w:t>אחר</w:t>
      </w:r>
      <w:r>
        <w:rPr>
          <w:rFonts w:ascii="Century" w:hAnsi="Century" w:cs="FrankRuehl" w:hint="cs"/>
          <w:spacing w:val="10"/>
          <w:szCs w:val="28"/>
          <w:rtl/>
        </w:rPr>
        <w:t xml:space="preserve">" (שם). </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jc w:val="both"/>
        <w:rPr>
          <w:rFonts w:ascii="Century" w:hAnsi="Century" w:cs="FrankRuehl"/>
          <w:spacing w:val="10"/>
          <w:szCs w:val="28"/>
          <w:rtl/>
        </w:rPr>
      </w:pPr>
      <w:r>
        <w:rPr>
          <w:rFonts w:ascii="Century" w:hAnsi="Century" w:cs="FrankRuehl" w:hint="cs"/>
          <w:spacing w:val="10"/>
          <w:szCs w:val="28"/>
          <w:rtl/>
        </w:rPr>
        <w:t xml:space="preserve"> </w:t>
      </w:r>
      <w:r>
        <w:rPr>
          <w:rFonts w:ascii="Century" w:hAnsi="Century" w:cs="FrankRuehl"/>
          <w:spacing w:val="10"/>
          <w:szCs w:val="28"/>
          <w:rtl/>
        </w:rPr>
        <w:tab/>
      </w:r>
      <w:r>
        <w:rPr>
          <w:rFonts w:ascii="Century" w:hAnsi="Century" w:cs="FrankRuehl" w:hint="cs"/>
          <w:spacing w:val="10"/>
          <w:szCs w:val="28"/>
          <w:rtl/>
        </w:rPr>
        <w:t xml:space="preserve">לגישתי, הדרך היחידה בה יכול בית המשפט להכריע האם החלטה פלונית הבאה לפתחו היא החלטה בלתי סבירה (בין אם חוסר סבירות מוגדר כ"מופרכות" או כ"חריגה ממתחם הסבירות") היא באמצעות בחינת מכלול הנסיבות והשיקולים אשר ניצבים ברקע לקבלת ההחלטה, ובדיקה האם ההחלטה משקפת איזון הולם ביניהם. כפי שציין השופט </w:t>
      </w:r>
      <w:r w:rsidRPr="00D170F5">
        <w:rPr>
          <w:rFonts w:ascii="Century" w:hAnsi="Century" w:cs="Miriam" w:hint="eastAsia"/>
          <w:b/>
          <w:rtl/>
        </w:rPr>
        <w:t>אגרנט</w:t>
      </w:r>
      <w:r w:rsidRPr="009D4A0F">
        <w:rPr>
          <w:rFonts w:ascii="Century" w:hAnsi="Century" w:cs="FrankRuehl" w:hint="cs"/>
          <w:spacing w:val="10"/>
          <w:szCs w:val="28"/>
          <w:rtl/>
        </w:rPr>
        <w:t xml:space="preserve"> </w:t>
      </w:r>
      <w:r>
        <w:rPr>
          <w:rFonts w:ascii="Century" w:hAnsi="Century" w:cs="FrankRuehl" w:hint="cs"/>
          <w:spacing w:val="10"/>
          <w:szCs w:val="28"/>
          <w:rtl/>
        </w:rPr>
        <w:t xml:space="preserve">כבר בשנת 1953 בעניין </w:t>
      </w:r>
      <w:r w:rsidRPr="00D170F5">
        <w:rPr>
          <w:rFonts w:ascii="Century" w:hAnsi="Century" w:cs="Miriam"/>
          <w:b/>
          <w:rtl/>
        </w:rPr>
        <w:t>קול העם</w:t>
      </w:r>
      <w:r>
        <w:rPr>
          <w:rFonts w:ascii="Century" w:hAnsi="Century" w:cs="FrankRuehl" w:hint="cs"/>
          <w:spacing w:val="10"/>
          <w:szCs w:val="28"/>
          <w:rtl/>
        </w:rPr>
        <w:t>, כאשר המחוקק מותיר את מלאכת השקילה והאיזון לרשות המינהלית, "</w:t>
      </w:r>
      <w:r w:rsidRPr="00D170F5">
        <w:rPr>
          <w:rFonts w:ascii="Century" w:hAnsi="Century" w:cs="Miriam" w:hint="eastAsia"/>
          <w:b/>
          <w:rtl/>
        </w:rPr>
        <w:t>מן</w:t>
      </w:r>
      <w:r w:rsidRPr="00D170F5">
        <w:rPr>
          <w:rFonts w:ascii="Century" w:hAnsi="Century" w:cs="Miriam"/>
          <w:b/>
          <w:rtl/>
        </w:rPr>
        <w:t xml:space="preserve"> </w:t>
      </w:r>
      <w:r w:rsidRPr="00D170F5">
        <w:rPr>
          <w:rFonts w:ascii="Century" w:hAnsi="Century" w:cs="Miriam" w:hint="eastAsia"/>
          <w:b/>
          <w:rtl/>
        </w:rPr>
        <w:t>ההכרח</w:t>
      </w:r>
      <w:r w:rsidRPr="00D170F5">
        <w:rPr>
          <w:rFonts w:ascii="Century" w:hAnsi="Century" w:cs="Miriam"/>
          <w:b/>
          <w:rtl/>
        </w:rPr>
        <w:t xml:space="preserve"> </w:t>
      </w:r>
      <w:r w:rsidRPr="00D170F5">
        <w:rPr>
          <w:rFonts w:ascii="Century" w:hAnsi="Century" w:cs="Miriam" w:hint="eastAsia"/>
          <w:b/>
          <w:rtl/>
        </w:rPr>
        <w:t>שתתעורר</w:t>
      </w:r>
      <w:r w:rsidRPr="00D170F5">
        <w:rPr>
          <w:rFonts w:ascii="Century" w:hAnsi="Century" w:cs="Miriam"/>
          <w:b/>
          <w:rtl/>
        </w:rPr>
        <w:t xml:space="preserve"> </w:t>
      </w:r>
      <w:r w:rsidRPr="00D170F5">
        <w:rPr>
          <w:rFonts w:ascii="Century" w:hAnsi="Century" w:cs="Miriam" w:hint="eastAsia"/>
          <w:b/>
          <w:rtl/>
        </w:rPr>
        <w:t>השאלה</w:t>
      </w:r>
      <w:r w:rsidRPr="00D170F5">
        <w:rPr>
          <w:rFonts w:ascii="Century" w:hAnsi="Century" w:cs="Miriam"/>
          <w:b/>
          <w:rtl/>
        </w:rPr>
        <w:t xml:space="preserve"> – </w:t>
      </w:r>
      <w:r w:rsidRPr="00D170F5">
        <w:rPr>
          <w:rFonts w:ascii="Century" w:hAnsi="Century" w:cs="Miriam" w:hint="eastAsia"/>
          <w:b/>
          <w:rtl/>
        </w:rPr>
        <w:t>ודווקא</w:t>
      </w:r>
      <w:r w:rsidRPr="00D170F5">
        <w:rPr>
          <w:rFonts w:ascii="Century" w:hAnsi="Century" w:cs="Miriam"/>
          <w:b/>
          <w:rtl/>
        </w:rPr>
        <w:t xml:space="preserve"> </w:t>
      </w:r>
      <w:r w:rsidRPr="00D170F5">
        <w:rPr>
          <w:rFonts w:ascii="Century" w:hAnsi="Century" w:cs="Miriam" w:hint="eastAsia"/>
          <w:b/>
          <w:rtl/>
        </w:rPr>
        <w:t>משום</w:t>
      </w:r>
      <w:r w:rsidRPr="00D170F5">
        <w:rPr>
          <w:rFonts w:ascii="Century" w:hAnsi="Century" w:cs="Miriam"/>
          <w:b/>
          <w:rtl/>
        </w:rPr>
        <w:t xml:space="preserve"> </w:t>
      </w:r>
      <w:r w:rsidRPr="00D170F5">
        <w:rPr>
          <w:rFonts w:ascii="Century" w:hAnsi="Century" w:cs="Miriam" w:hint="eastAsia"/>
          <w:b/>
          <w:rtl/>
        </w:rPr>
        <w:t>שאין</w:t>
      </w:r>
      <w:r w:rsidRPr="00D170F5">
        <w:rPr>
          <w:rFonts w:ascii="Century" w:hAnsi="Century" w:cs="Miriam"/>
          <w:b/>
          <w:rtl/>
        </w:rPr>
        <w:t xml:space="preserve"> </w:t>
      </w:r>
      <w:r w:rsidRPr="00D170F5">
        <w:rPr>
          <w:rFonts w:ascii="Century" w:hAnsi="Century" w:cs="Miriam" w:hint="eastAsia"/>
          <w:b/>
          <w:rtl/>
        </w:rPr>
        <w:t>אותה</w:t>
      </w:r>
      <w:r w:rsidRPr="00D170F5">
        <w:rPr>
          <w:rFonts w:ascii="Century" w:hAnsi="Century" w:cs="Miriam"/>
          <w:b/>
          <w:rtl/>
        </w:rPr>
        <w:t xml:space="preserve"> </w:t>
      </w:r>
      <w:r w:rsidRPr="00D170F5">
        <w:rPr>
          <w:rFonts w:ascii="Century" w:hAnsi="Century" w:cs="Miriam" w:hint="eastAsia"/>
          <w:b/>
          <w:rtl/>
        </w:rPr>
        <w:t>גישה</w:t>
      </w:r>
      <w:r w:rsidRPr="00D170F5">
        <w:rPr>
          <w:rFonts w:ascii="Century" w:hAnsi="Century" w:cs="Miriam"/>
          <w:b/>
          <w:rtl/>
        </w:rPr>
        <w:t xml:space="preserve"> </w:t>
      </w:r>
      <w:r w:rsidRPr="00D170F5">
        <w:rPr>
          <w:rFonts w:ascii="Century" w:hAnsi="Century" w:cs="Miriam" w:hint="eastAsia"/>
          <w:b/>
          <w:rtl/>
        </w:rPr>
        <w:t>מכילה</w:t>
      </w:r>
      <w:r w:rsidRPr="00D170F5">
        <w:rPr>
          <w:rFonts w:ascii="Century" w:hAnsi="Century" w:cs="Miriam"/>
          <w:b/>
          <w:rtl/>
        </w:rPr>
        <w:t xml:space="preserve"> </w:t>
      </w:r>
      <w:r w:rsidRPr="00D170F5">
        <w:rPr>
          <w:rFonts w:ascii="Century" w:hAnsi="Century" w:cs="Miriam" w:hint="eastAsia"/>
          <w:b/>
          <w:rtl/>
        </w:rPr>
        <w:t>בקרבה</w:t>
      </w:r>
      <w:r w:rsidRPr="00D170F5">
        <w:rPr>
          <w:rFonts w:ascii="Century" w:hAnsi="Century" w:cs="Miriam"/>
          <w:b/>
          <w:rtl/>
        </w:rPr>
        <w:t xml:space="preserve"> </w:t>
      </w:r>
      <w:r w:rsidRPr="00D170F5">
        <w:rPr>
          <w:rFonts w:ascii="Century" w:hAnsi="Century" w:cs="Miriam" w:hint="eastAsia"/>
          <w:b/>
          <w:rtl/>
        </w:rPr>
        <w:t>נוסחה</w:t>
      </w:r>
      <w:r w:rsidRPr="00D170F5">
        <w:rPr>
          <w:rFonts w:ascii="Century" w:hAnsi="Century" w:cs="Miriam"/>
          <w:b/>
          <w:rtl/>
        </w:rPr>
        <w:t xml:space="preserve"> </w:t>
      </w:r>
      <w:r w:rsidRPr="00D170F5">
        <w:rPr>
          <w:rFonts w:ascii="Century" w:hAnsi="Century" w:cs="Miriam" w:hint="eastAsia"/>
          <w:b/>
          <w:rtl/>
        </w:rPr>
        <w:t>מדויקת</w:t>
      </w:r>
      <w:r w:rsidRPr="00D170F5">
        <w:rPr>
          <w:rFonts w:ascii="Century" w:hAnsi="Century" w:cs="Miriam"/>
          <w:b/>
          <w:rtl/>
        </w:rPr>
        <w:t xml:space="preserve"> </w:t>
      </w:r>
      <w:r w:rsidRPr="00D170F5">
        <w:rPr>
          <w:rFonts w:ascii="Century" w:hAnsi="Century" w:cs="Miriam" w:hint="eastAsia"/>
          <w:b/>
          <w:rtl/>
        </w:rPr>
        <w:t>וצרה</w:t>
      </w:r>
      <w:r w:rsidRPr="00D170F5">
        <w:rPr>
          <w:rFonts w:ascii="Century" w:hAnsi="Century" w:cs="Miriam"/>
          <w:b/>
          <w:rtl/>
        </w:rPr>
        <w:t xml:space="preserve"> – </w:t>
      </w:r>
      <w:r w:rsidRPr="00D170F5">
        <w:rPr>
          <w:rFonts w:ascii="Century" w:hAnsi="Century" w:cs="Miriam" w:hint="eastAsia"/>
          <w:b/>
          <w:rtl/>
        </w:rPr>
        <w:t>מהו</w:t>
      </w:r>
      <w:r w:rsidRPr="00D170F5">
        <w:rPr>
          <w:rFonts w:ascii="Century" w:hAnsi="Century" w:cs="Miriam"/>
          <w:b/>
          <w:rtl/>
        </w:rPr>
        <w:t xml:space="preserve"> </w:t>
      </w:r>
      <w:r w:rsidRPr="00D170F5">
        <w:rPr>
          <w:rFonts w:ascii="Century" w:hAnsi="Century" w:cs="Miriam" w:hint="eastAsia"/>
          <w:b/>
          <w:rtl/>
        </w:rPr>
        <w:t>העקרון</w:t>
      </w:r>
      <w:r w:rsidRPr="00D170F5">
        <w:rPr>
          <w:rFonts w:ascii="Century" w:hAnsi="Century" w:cs="Miriam"/>
          <w:b/>
          <w:rtl/>
        </w:rPr>
        <w:t xml:space="preserve"> </w:t>
      </w:r>
      <w:r w:rsidRPr="00D170F5">
        <w:rPr>
          <w:rFonts w:ascii="Century" w:hAnsi="Century" w:cs="Miriam" w:hint="eastAsia"/>
          <w:b/>
          <w:rtl/>
        </w:rPr>
        <w:t>הרציונאלי</w:t>
      </w:r>
      <w:r w:rsidRPr="00D170F5">
        <w:rPr>
          <w:rFonts w:ascii="Century" w:hAnsi="Century" w:cs="Miriam"/>
          <w:b/>
          <w:rtl/>
        </w:rPr>
        <w:t xml:space="preserve"> </w:t>
      </w:r>
      <w:r w:rsidRPr="00D170F5">
        <w:rPr>
          <w:rFonts w:ascii="Century" w:hAnsi="Century" w:cs="Miriam" w:hint="eastAsia"/>
          <w:b/>
          <w:rtl/>
        </w:rPr>
        <w:t>שצריך</w:t>
      </w:r>
      <w:r w:rsidRPr="00D170F5">
        <w:rPr>
          <w:rFonts w:ascii="Century" w:hAnsi="Century" w:cs="Miriam"/>
          <w:b/>
          <w:rtl/>
        </w:rPr>
        <w:t xml:space="preserve"> </w:t>
      </w:r>
      <w:r w:rsidRPr="00D170F5">
        <w:rPr>
          <w:rFonts w:ascii="Century" w:hAnsi="Century" w:cs="Miriam" w:hint="eastAsia"/>
          <w:b/>
          <w:rtl/>
        </w:rPr>
        <w:t>לשמש</w:t>
      </w:r>
      <w:r w:rsidRPr="00D170F5">
        <w:rPr>
          <w:rFonts w:ascii="Century" w:hAnsi="Century" w:cs="Miriam"/>
          <w:b/>
          <w:rtl/>
        </w:rPr>
        <w:t xml:space="preserve"> </w:t>
      </w:r>
      <w:r w:rsidRPr="00D170F5">
        <w:rPr>
          <w:rFonts w:ascii="Century" w:hAnsi="Century" w:cs="Miriam" w:hint="eastAsia"/>
          <w:b/>
          <w:rtl/>
        </w:rPr>
        <w:t>לה</w:t>
      </w:r>
      <w:r w:rsidRPr="00D170F5">
        <w:rPr>
          <w:rFonts w:ascii="Century" w:hAnsi="Century" w:cs="Miriam"/>
          <w:b/>
          <w:rtl/>
        </w:rPr>
        <w:t xml:space="preserve">, </w:t>
      </w:r>
      <w:r w:rsidRPr="00D170F5">
        <w:rPr>
          <w:rFonts w:ascii="Century" w:hAnsi="Century" w:cs="Miriam" w:hint="eastAsia"/>
          <w:b/>
          <w:rtl/>
        </w:rPr>
        <w:t>לרשות</w:t>
      </w:r>
      <w:r w:rsidRPr="00D170F5">
        <w:rPr>
          <w:rFonts w:ascii="Century" w:hAnsi="Century" w:cs="Miriam"/>
          <w:b/>
          <w:rtl/>
        </w:rPr>
        <w:t xml:space="preserve"> </w:t>
      </w:r>
      <w:r w:rsidRPr="00D170F5">
        <w:rPr>
          <w:rFonts w:ascii="Century" w:hAnsi="Century" w:cs="Miriam" w:hint="eastAsia"/>
          <w:b/>
          <w:rtl/>
        </w:rPr>
        <w:t>המבצעת</w:t>
      </w:r>
      <w:r w:rsidRPr="00D170F5">
        <w:rPr>
          <w:rFonts w:ascii="Century" w:hAnsi="Century" w:cs="Miriam"/>
          <w:b/>
          <w:rtl/>
        </w:rPr>
        <w:t xml:space="preserve">, </w:t>
      </w:r>
      <w:r w:rsidRPr="00D170F5">
        <w:rPr>
          <w:rFonts w:ascii="Century" w:hAnsi="Century" w:cs="Miriam" w:hint="eastAsia"/>
          <w:b/>
          <w:rtl/>
        </w:rPr>
        <w:t>שעה</w:t>
      </w:r>
      <w:r w:rsidRPr="00D170F5">
        <w:rPr>
          <w:rFonts w:ascii="Century" w:hAnsi="Century" w:cs="Miriam"/>
          <w:b/>
          <w:rtl/>
        </w:rPr>
        <w:t xml:space="preserve"> </w:t>
      </w:r>
      <w:r w:rsidRPr="00D170F5">
        <w:rPr>
          <w:rFonts w:ascii="Century" w:hAnsi="Century" w:cs="Miriam" w:hint="eastAsia"/>
          <w:b/>
          <w:rtl/>
        </w:rPr>
        <w:t>שהיא</w:t>
      </w:r>
      <w:r w:rsidRPr="00D170F5">
        <w:rPr>
          <w:rFonts w:ascii="Century" w:hAnsi="Century" w:cs="Miriam"/>
          <w:b/>
          <w:rtl/>
        </w:rPr>
        <w:t xml:space="preserve"> </w:t>
      </w:r>
      <w:r w:rsidRPr="00D170F5">
        <w:rPr>
          <w:rFonts w:ascii="Century" w:hAnsi="Century" w:cs="Miriam" w:hint="eastAsia"/>
          <w:b/>
          <w:rtl/>
        </w:rPr>
        <w:t>עוסקת</w:t>
      </w:r>
      <w:r w:rsidRPr="00D170F5">
        <w:rPr>
          <w:rFonts w:ascii="Century" w:hAnsi="Century" w:cs="Miriam"/>
          <w:b/>
          <w:rtl/>
        </w:rPr>
        <w:t xml:space="preserve"> </w:t>
      </w:r>
      <w:r w:rsidRPr="00D170F5">
        <w:rPr>
          <w:rFonts w:ascii="Century" w:hAnsi="Century" w:cs="Miriam" w:hint="eastAsia"/>
          <w:b/>
          <w:rtl/>
        </w:rPr>
        <w:t>בתהליך</w:t>
      </w:r>
      <w:r w:rsidRPr="00D170F5">
        <w:rPr>
          <w:rFonts w:ascii="Century" w:hAnsi="Century" w:cs="Miriam"/>
          <w:b/>
          <w:rtl/>
        </w:rPr>
        <w:t xml:space="preserve"> </w:t>
      </w:r>
      <w:r w:rsidRPr="00D170F5">
        <w:rPr>
          <w:rFonts w:ascii="Century" w:hAnsi="Century" w:cs="Miriam" w:hint="eastAsia"/>
          <w:b/>
          <w:rtl/>
        </w:rPr>
        <w:t>האמור</w:t>
      </w:r>
      <w:r w:rsidRPr="00D170F5">
        <w:rPr>
          <w:rFonts w:ascii="Century" w:hAnsi="Century" w:cs="Miriam"/>
          <w:b/>
          <w:rtl/>
        </w:rPr>
        <w:t xml:space="preserve">, </w:t>
      </w:r>
      <w:r w:rsidRPr="00D170F5">
        <w:rPr>
          <w:rFonts w:ascii="Century" w:hAnsi="Century" w:cs="Miriam" w:hint="eastAsia"/>
          <w:b/>
          <w:rtl/>
        </w:rPr>
        <w:t>לשם</w:t>
      </w:r>
      <w:r w:rsidRPr="00D170F5">
        <w:rPr>
          <w:rFonts w:ascii="Century" w:hAnsi="Century" w:cs="Miriam"/>
          <w:b/>
          <w:rtl/>
        </w:rPr>
        <w:t xml:space="preserve"> </w:t>
      </w:r>
      <w:r w:rsidRPr="00D170F5">
        <w:rPr>
          <w:rFonts w:ascii="Century" w:hAnsi="Century" w:cs="Miriam" w:hint="eastAsia"/>
          <w:b/>
          <w:rtl/>
        </w:rPr>
        <w:t>הכרעת</w:t>
      </w:r>
      <w:r w:rsidRPr="00D170F5">
        <w:rPr>
          <w:rFonts w:ascii="Century" w:hAnsi="Century" w:cs="Miriam"/>
          <w:b/>
          <w:rtl/>
        </w:rPr>
        <w:t xml:space="preserve"> </w:t>
      </w:r>
      <w:r w:rsidRPr="00D170F5">
        <w:rPr>
          <w:rFonts w:ascii="Century" w:hAnsi="Century" w:cs="Miriam" w:hint="eastAsia"/>
          <w:b/>
          <w:rtl/>
        </w:rPr>
        <w:t>הכף</w:t>
      </w:r>
      <w:r w:rsidRPr="00D170F5">
        <w:rPr>
          <w:rFonts w:ascii="Century" w:hAnsi="Century" w:cs="Miriam"/>
          <w:b/>
          <w:rtl/>
        </w:rPr>
        <w:t xml:space="preserve"> </w:t>
      </w:r>
      <w:r w:rsidRPr="00D170F5">
        <w:rPr>
          <w:rFonts w:ascii="Century" w:hAnsi="Century" w:cs="Miriam" w:hint="eastAsia"/>
          <w:b/>
          <w:rtl/>
        </w:rPr>
        <w:t>לצד</w:t>
      </w:r>
      <w:r w:rsidRPr="00D170F5">
        <w:rPr>
          <w:rFonts w:ascii="Century" w:hAnsi="Century" w:cs="Miriam"/>
          <w:b/>
          <w:rtl/>
        </w:rPr>
        <w:t xml:space="preserve"> </w:t>
      </w:r>
      <w:r w:rsidRPr="00D170F5">
        <w:rPr>
          <w:rFonts w:ascii="Century" w:hAnsi="Century" w:cs="Miriam" w:hint="eastAsia"/>
          <w:b/>
          <w:rtl/>
        </w:rPr>
        <w:t>זה</w:t>
      </w:r>
      <w:r w:rsidRPr="00D170F5">
        <w:rPr>
          <w:rFonts w:ascii="Century" w:hAnsi="Century" w:cs="Miriam"/>
          <w:b/>
          <w:rtl/>
        </w:rPr>
        <w:t xml:space="preserve"> </w:t>
      </w:r>
      <w:r w:rsidRPr="00D170F5">
        <w:rPr>
          <w:rFonts w:ascii="Century" w:hAnsi="Century" w:cs="Miriam" w:hint="eastAsia"/>
          <w:b/>
          <w:rtl/>
        </w:rPr>
        <w:t>או</w:t>
      </w:r>
      <w:r w:rsidRPr="00D170F5">
        <w:rPr>
          <w:rFonts w:ascii="Century" w:hAnsi="Century" w:cs="Miriam"/>
          <w:b/>
          <w:rtl/>
        </w:rPr>
        <w:t xml:space="preserve"> </w:t>
      </w:r>
      <w:r w:rsidRPr="00D170F5">
        <w:rPr>
          <w:rFonts w:ascii="Century" w:hAnsi="Century" w:cs="Miriam" w:hint="eastAsia"/>
          <w:b/>
          <w:rtl/>
        </w:rPr>
        <w:t>זה</w:t>
      </w:r>
      <w:r w:rsidRPr="00D170F5">
        <w:rPr>
          <w:rFonts w:ascii="Century" w:hAnsi="Century" w:cs="Miriam"/>
          <w:b/>
          <w:rtl/>
        </w:rPr>
        <w:t xml:space="preserve"> </w:t>
      </w:r>
      <w:r w:rsidRPr="00D170F5">
        <w:rPr>
          <w:rFonts w:ascii="Century" w:hAnsi="Century" w:cs="Miriam" w:hint="eastAsia"/>
          <w:b/>
          <w:rtl/>
        </w:rPr>
        <w:t>משני</w:t>
      </w:r>
      <w:r w:rsidRPr="00D170F5">
        <w:rPr>
          <w:rFonts w:ascii="Century" w:hAnsi="Century" w:cs="Miriam"/>
          <w:b/>
          <w:rtl/>
        </w:rPr>
        <w:t xml:space="preserve"> </w:t>
      </w:r>
      <w:r w:rsidRPr="00D170F5">
        <w:rPr>
          <w:rFonts w:ascii="Century" w:hAnsi="Century" w:cs="Miriam" w:hint="eastAsia"/>
          <w:b/>
          <w:rtl/>
        </w:rPr>
        <w:t>האינטרסים</w:t>
      </w:r>
      <w:r w:rsidRPr="00D170F5">
        <w:rPr>
          <w:rFonts w:ascii="Century" w:hAnsi="Century" w:cs="Miriam"/>
          <w:b/>
          <w:rtl/>
        </w:rPr>
        <w:t xml:space="preserve"> </w:t>
      </w:r>
      <w:r w:rsidRPr="00D170F5">
        <w:rPr>
          <w:rFonts w:ascii="Century" w:hAnsi="Century" w:cs="Miriam" w:hint="eastAsia"/>
          <w:b/>
          <w:rtl/>
        </w:rPr>
        <w:t>הנזכרים</w:t>
      </w:r>
      <w:r>
        <w:rPr>
          <w:rFonts w:ascii="Century" w:hAnsi="Century" w:cs="FrankRuehl" w:hint="cs"/>
          <w:spacing w:val="10"/>
          <w:szCs w:val="28"/>
          <w:rtl/>
        </w:rPr>
        <w:t xml:space="preserve">" (שם, בעמודים 882-881). ואכן, מבלי לבחון את מכלול השיקולים הצריכים לעניין, כיצד מצופה השופט להכריע אם מדובר בהחלטה "בלתי-סבירה בעליל" או "מופרכת"? במובן זה, הנוסחה האיזונית הבוחנת את מכלול הנסיבות ואת השיקולים שביסוד ההחלטה, היא הכלי השיפוטי המשמש לבחינת סבירות ההחלטה, ואשר אין תימה כי שימש בפועל, גם אם לא באופן מוצהר, את בתי המשפט שנים ארוכות עובר לפסק הדין בעניין </w:t>
      </w:r>
      <w:r w:rsidRPr="00061844">
        <w:rPr>
          <w:rFonts w:ascii="Century" w:hAnsi="Century" w:cs="Miriam" w:hint="eastAsia"/>
          <w:b/>
          <w:rtl/>
        </w:rPr>
        <w:t>דפי</w:t>
      </w:r>
      <w:r w:rsidRPr="00061844">
        <w:rPr>
          <w:rFonts w:ascii="Century" w:hAnsi="Century" w:cs="Miriam"/>
          <w:b/>
          <w:rtl/>
        </w:rPr>
        <w:t xml:space="preserve"> </w:t>
      </w:r>
      <w:r w:rsidRPr="00061844">
        <w:rPr>
          <w:rFonts w:ascii="Century" w:hAnsi="Century" w:cs="Miriam" w:hint="eastAsia"/>
          <w:b/>
          <w:rtl/>
        </w:rPr>
        <w:t>זהב</w:t>
      </w:r>
      <w:r>
        <w:rPr>
          <w:rFonts w:ascii="Century" w:hAnsi="Century" w:cs="FrankRuehl" w:hint="cs"/>
          <w:spacing w:val="10"/>
          <w:szCs w:val="28"/>
          <w:rtl/>
        </w:rPr>
        <w:t xml:space="preserve">. </w:t>
      </w:r>
    </w:p>
    <w:p w:rsidR="00A01E7C" w:rsidRDefault="00A01E7C" w:rsidP="00A01E7C">
      <w:pPr>
        <w:spacing w:line="360" w:lineRule="auto"/>
        <w:jc w:val="both"/>
        <w:rPr>
          <w:rFonts w:ascii="Century" w:hAnsi="Century" w:cs="FrankRuehl"/>
          <w:spacing w:val="10"/>
          <w:szCs w:val="28"/>
          <w:rtl/>
        </w:rPr>
      </w:pPr>
    </w:p>
    <w:p w:rsidR="00A01E7C" w:rsidRPr="007D0134" w:rsidRDefault="00A01E7C" w:rsidP="002A1A3A">
      <w:pPr>
        <w:pStyle w:val="Ruller4"/>
        <w:numPr>
          <w:ilvl w:val="0"/>
          <w:numId w:val="14"/>
        </w:numPr>
        <w:rPr>
          <w:rFonts w:ascii="Century" w:hAnsi="Century"/>
          <w:rtl/>
        </w:rPr>
      </w:pPr>
      <w:r w:rsidRPr="007D0134">
        <w:rPr>
          <w:rFonts w:ascii="Century" w:hAnsi="Century" w:hint="cs"/>
          <w:rtl/>
        </w:rPr>
        <w:t xml:space="preserve">לאחר שעמדתי על דברים אלה, אעבור לפרט מדוע לטעמי לא ניתן לקבל את הפרשנות המצמצמת המוצעת על ידי חלק מחבריי. </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jc w:val="both"/>
        <w:rPr>
          <w:rFonts w:ascii="Century" w:hAnsi="Century" w:cs="Miriam"/>
          <w:b/>
          <w:rtl/>
        </w:rPr>
      </w:pPr>
      <w:r w:rsidRPr="00EB646B">
        <w:rPr>
          <w:rFonts w:ascii="Century" w:hAnsi="Century" w:cs="Miriam" w:hint="eastAsia"/>
          <w:b/>
          <w:rtl/>
        </w:rPr>
        <w:t>הקשיים</w:t>
      </w:r>
      <w:r w:rsidRPr="00EB646B">
        <w:rPr>
          <w:rFonts w:ascii="Century" w:hAnsi="Century" w:cs="Miriam"/>
          <w:b/>
          <w:rtl/>
        </w:rPr>
        <w:t xml:space="preserve"> </w:t>
      </w:r>
      <w:r w:rsidRPr="00EB646B">
        <w:rPr>
          <w:rFonts w:ascii="Century" w:hAnsi="Century" w:cs="Miriam" w:hint="eastAsia"/>
          <w:b/>
          <w:rtl/>
        </w:rPr>
        <w:t>העיקריים</w:t>
      </w:r>
      <w:r w:rsidRPr="00EB646B">
        <w:rPr>
          <w:rFonts w:ascii="Century" w:hAnsi="Century" w:cs="Miriam"/>
          <w:b/>
          <w:rtl/>
        </w:rPr>
        <w:t xml:space="preserve"> </w:t>
      </w:r>
      <w:r w:rsidRPr="00EB646B">
        <w:rPr>
          <w:rFonts w:ascii="Century" w:hAnsi="Century" w:cs="Miriam" w:hint="eastAsia"/>
          <w:b/>
          <w:rtl/>
        </w:rPr>
        <w:t>בפרשנות</w:t>
      </w:r>
      <w:r w:rsidRPr="00EB646B">
        <w:rPr>
          <w:rFonts w:ascii="Century" w:hAnsi="Century" w:cs="Miriam"/>
          <w:b/>
          <w:rtl/>
        </w:rPr>
        <w:t xml:space="preserve"> </w:t>
      </w:r>
      <w:r w:rsidRPr="00EB646B">
        <w:rPr>
          <w:rFonts w:ascii="Century" w:hAnsi="Century" w:cs="Miriam" w:hint="eastAsia"/>
          <w:b/>
          <w:rtl/>
        </w:rPr>
        <w:t>המצמצמת</w:t>
      </w:r>
    </w:p>
    <w:p w:rsidR="00A01E7C" w:rsidRPr="00EB646B" w:rsidRDefault="00A01E7C" w:rsidP="0049644B">
      <w:pPr>
        <w:spacing w:line="276" w:lineRule="auto"/>
        <w:jc w:val="both"/>
        <w:rPr>
          <w:rFonts w:ascii="Century" w:hAnsi="Century" w:cs="FrankRuehl"/>
          <w:spacing w:val="10"/>
          <w:szCs w:val="28"/>
          <w:rtl/>
        </w:rPr>
      </w:pPr>
    </w:p>
    <w:p w:rsidR="00A01E7C" w:rsidRPr="007D0134" w:rsidRDefault="00A01E7C" w:rsidP="002A1A3A">
      <w:pPr>
        <w:pStyle w:val="Ruller4"/>
        <w:numPr>
          <w:ilvl w:val="0"/>
          <w:numId w:val="14"/>
        </w:numPr>
        <w:rPr>
          <w:rFonts w:ascii="Century" w:hAnsi="Century"/>
          <w:rtl/>
        </w:rPr>
      </w:pPr>
      <w:r w:rsidRPr="007D0134">
        <w:rPr>
          <w:rFonts w:ascii="Century" w:hAnsi="Century" w:hint="cs"/>
          <w:rtl/>
        </w:rPr>
        <w:t xml:space="preserve">כפי שצוין לעיל, עיקרה של הפרשנות המצמצמת אותה מציעים חבריי הוא בכך שתבוטל עילת הסבירות "האיזונית" כפי שנוסחה בעניין </w:t>
      </w:r>
      <w:r w:rsidRPr="007D0134">
        <w:rPr>
          <w:rFonts w:ascii="Century" w:hAnsi="Century" w:cs="Miriam" w:hint="eastAsia"/>
          <w:b/>
          <w:szCs w:val="24"/>
          <w:rtl/>
        </w:rPr>
        <w:t>דפי</w:t>
      </w:r>
      <w:r w:rsidRPr="007D0134">
        <w:rPr>
          <w:rFonts w:ascii="Century" w:hAnsi="Century" w:cs="Miriam"/>
          <w:b/>
          <w:szCs w:val="24"/>
          <w:rtl/>
        </w:rPr>
        <w:t xml:space="preserve"> </w:t>
      </w:r>
      <w:r w:rsidRPr="007D0134">
        <w:rPr>
          <w:rFonts w:ascii="Century" w:hAnsi="Century" w:cs="Miriam" w:hint="eastAsia"/>
          <w:b/>
          <w:szCs w:val="24"/>
          <w:rtl/>
        </w:rPr>
        <w:t>זהב</w:t>
      </w:r>
      <w:r w:rsidRPr="007D0134">
        <w:rPr>
          <w:rFonts w:ascii="Century" w:hAnsi="Century" w:hint="cs"/>
          <w:rtl/>
        </w:rPr>
        <w:t xml:space="preserve">, ונשוב ל"עילת הסבירות המקורית" בנוסחה "טרום </w:t>
      </w:r>
      <w:r w:rsidRPr="007D0134">
        <w:rPr>
          <w:rFonts w:ascii="Century" w:hAnsi="Century" w:cs="Miriam" w:hint="eastAsia"/>
          <w:b/>
          <w:szCs w:val="24"/>
          <w:rtl/>
        </w:rPr>
        <w:t>דפי</w:t>
      </w:r>
      <w:r w:rsidRPr="007D0134">
        <w:rPr>
          <w:rFonts w:ascii="Century" w:hAnsi="Century" w:cs="Miriam"/>
          <w:b/>
          <w:szCs w:val="24"/>
          <w:rtl/>
        </w:rPr>
        <w:t xml:space="preserve"> </w:t>
      </w:r>
      <w:r w:rsidRPr="007D0134">
        <w:rPr>
          <w:rFonts w:ascii="Century" w:hAnsi="Century" w:cs="Miriam" w:hint="eastAsia"/>
          <w:b/>
          <w:szCs w:val="24"/>
          <w:rtl/>
        </w:rPr>
        <w:t>זהב</w:t>
      </w:r>
      <w:r w:rsidRPr="007D0134">
        <w:rPr>
          <w:rFonts w:ascii="Century" w:hAnsi="Century" w:hint="cs"/>
          <w:rtl/>
        </w:rPr>
        <w:t xml:space="preserve">" </w:t>
      </w:r>
      <w:r w:rsidRPr="007D0134">
        <w:rPr>
          <w:rFonts w:ascii="Century" w:hAnsi="Century"/>
          <w:rtl/>
        </w:rPr>
        <w:t>–</w:t>
      </w:r>
      <w:r w:rsidRPr="007D0134">
        <w:rPr>
          <w:rFonts w:ascii="Century" w:hAnsi="Century" w:hint="cs"/>
          <w:rtl/>
        </w:rPr>
        <w:t xml:space="preserve"> כך שרק החלטה שהיא "מופרכת" או "בלתי מתקבלת על הדעת" תיחשב כהחלטה בלתי סבירה. פרשנות זו לוקה במספר כשלים.</w:t>
      </w:r>
    </w:p>
    <w:p w:rsidR="00A01E7C" w:rsidRPr="00BE2DC7" w:rsidRDefault="00A01E7C" w:rsidP="00A01E7C">
      <w:pPr>
        <w:spacing w:line="360" w:lineRule="auto"/>
        <w:jc w:val="both"/>
        <w:rPr>
          <w:rFonts w:ascii="Century" w:hAnsi="Century" w:cs="FrankRuehl"/>
          <w:spacing w:val="10"/>
          <w:szCs w:val="28"/>
          <w:rtl/>
        </w:rPr>
      </w:pPr>
    </w:p>
    <w:p w:rsidR="00A01E7C" w:rsidRPr="007D0134" w:rsidRDefault="00A01E7C" w:rsidP="002A1A3A">
      <w:pPr>
        <w:pStyle w:val="Ruller4"/>
        <w:numPr>
          <w:ilvl w:val="0"/>
          <w:numId w:val="14"/>
        </w:numPr>
        <w:rPr>
          <w:rFonts w:ascii="Century" w:hAnsi="Century"/>
          <w:rtl/>
        </w:rPr>
      </w:pPr>
      <w:r w:rsidRPr="007D0134">
        <w:rPr>
          <w:rFonts w:ascii="Century" w:hAnsi="Century" w:cs="Miriam" w:hint="cs"/>
          <w:b/>
          <w:szCs w:val="24"/>
          <w:rtl/>
        </w:rPr>
        <w:t xml:space="preserve">ראשית </w:t>
      </w:r>
      <w:r w:rsidRPr="007D0134">
        <w:rPr>
          <w:rFonts w:ascii="Century" w:hAnsi="Century" w:cs="Miriam"/>
          <w:b/>
          <w:szCs w:val="24"/>
          <w:rtl/>
        </w:rPr>
        <w:t>–</w:t>
      </w:r>
      <w:r w:rsidRPr="007D0134">
        <w:rPr>
          <w:rFonts w:ascii="Century" w:hAnsi="Century"/>
          <w:rtl/>
        </w:rPr>
        <w:t xml:space="preserve"> הפרשנות המוצעת </w:t>
      </w:r>
      <w:r w:rsidRPr="007D0134">
        <w:rPr>
          <w:rFonts w:ascii="Century" w:hAnsi="Century" w:hint="cs"/>
          <w:rtl/>
        </w:rPr>
        <w:t>נעדרת כל אחיזה</w:t>
      </w:r>
      <w:r w:rsidRPr="007D0134">
        <w:rPr>
          <w:rFonts w:ascii="Century" w:hAnsi="Century"/>
          <w:rtl/>
        </w:rPr>
        <w:t xml:space="preserve"> </w:t>
      </w:r>
      <w:r w:rsidRPr="007D0134">
        <w:rPr>
          <w:rFonts w:ascii="Century" w:hAnsi="Century" w:hint="cs"/>
          <w:rtl/>
        </w:rPr>
        <w:t>ב</w:t>
      </w:r>
      <w:r w:rsidRPr="007D0134">
        <w:rPr>
          <w:rFonts w:ascii="Century" w:hAnsi="Century"/>
          <w:rtl/>
        </w:rPr>
        <w:t xml:space="preserve">לשון </w:t>
      </w:r>
      <w:r w:rsidRPr="007D0134">
        <w:rPr>
          <w:rFonts w:ascii="Century" w:hAnsi="Century" w:hint="cs"/>
          <w:rtl/>
        </w:rPr>
        <w:t>התיקון</w:t>
      </w:r>
      <w:r w:rsidRPr="007D0134">
        <w:rPr>
          <w:rFonts w:ascii="Century" w:hAnsi="Century"/>
          <w:rtl/>
        </w:rPr>
        <w:t xml:space="preserve">. </w:t>
      </w:r>
      <w:r w:rsidRPr="007D0134">
        <w:rPr>
          <w:rFonts w:ascii="Century" w:hAnsi="Century" w:hint="cs"/>
          <w:rtl/>
        </w:rPr>
        <w:t>נוסח התיקון קובע כך:</w:t>
      </w:r>
    </w:p>
    <w:p w:rsidR="00A01E7C" w:rsidRDefault="00A01E7C" w:rsidP="00A01E7C">
      <w:pPr>
        <w:spacing w:line="360" w:lineRule="auto"/>
        <w:jc w:val="both"/>
        <w:rPr>
          <w:rFonts w:ascii="Century" w:hAnsi="Century" w:cs="FrankRuehl"/>
          <w:spacing w:val="10"/>
          <w:szCs w:val="28"/>
          <w:rtl/>
        </w:rPr>
      </w:pPr>
    </w:p>
    <w:p w:rsidR="00A01E7C" w:rsidRDefault="00A01E7C" w:rsidP="00A01E7C">
      <w:pPr>
        <w:pStyle w:val="Ruller5"/>
        <w:rPr>
          <w:rtl/>
        </w:rPr>
      </w:pPr>
      <w:r w:rsidRPr="00F83DAE">
        <w:rPr>
          <w:rFonts w:hint="eastAsia"/>
          <w:rtl/>
        </w:rPr>
        <w:t>על</w:t>
      </w:r>
      <w:r w:rsidRPr="00F83DAE">
        <w:rPr>
          <w:rtl/>
        </w:rPr>
        <w:t xml:space="preserve"> </w:t>
      </w:r>
      <w:r w:rsidRPr="00F83DAE">
        <w:rPr>
          <w:rFonts w:hint="eastAsia"/>
          <w:rtl/>
        </w:rPr>
        <w:t>אף</w:t>
      </w:r>
      <w:r w:rsidRPr="00F83DAE">
        <w:rPr>
          <w:rtl/>
        </w:rPr>
        <w:t xml:space="preserve"> </w:t>
      </w:r>
      <w:r w:rsidRPr="00F83DAE">
        <w:rPr>
          <w:rFonts w:hint="eastAsia"/>
          <w:rtl/>
        </w:rPr>
        <w:t>האמור</w:t>
      </w:r>
      <w:r w:rsidRPr="00F83DAE">
        <w:rPr>
          <w:rtl/>
        </w:rPr>
        <w:t xml:space="preserve"> </w:t>
      </w:r>
      <w:r w:rsidRPr="00F83DAE">
        <w:rPr>
          <w:rFonts w:hint="eastAsia"/>
          <w:rtl/>
        </w:rPr>
        <w:t>בחוק</w:t>
      </w:r>
      <w:r w:rsidRPr="00F83DAE">
        <w:rPr>
          <w:rtl/>
        </w:rPr>
        <w:t>-</w:t>
      </w:r>
      <w:r w:rsidRPr="00F83DAE">
        <w:rPr>
          <w:rFonts w:hint="eastAsia"/>
          <w:rtl/>
        </w:rPr>
        <w:t>יסוד</w:t>
      </w:r>
      <w:r w:rsidRPr="00F83DAE">
        <w:rPr>
          <w:rtl/>
        </w:rPr>
        <w:t xml:space="preserve"> </w:t>
      </w:r>
      <w:r w:rsidRPr="00F83DAE">
        <w:rPr>
          <w:rFonts w:hint="eastAsia"/>
          <w:rtl/>
        </w:rPr>
        <w:t>זה</w:t>
      </w:r>
      <w:r w:rsidRPr="00F83DAE">
        <w:rPr>
          <w:rtl/>
        </w:rPr>
        <w:t xml:space="preserve">, </w:t>
      </w:r>
      <w:r w:rsidRPr="00F83DAE">
        <w:rPr>
          <w:rFonts w:hint="eastAsia"/>
          <w:rtl/>
        </w:rPr>
        <w:t>מי</w:t>
      </w:r>
      <w:r w:rsidRPr="00F83DAE">
        <w:rPr>
          <w:rtl/>
        </w:rPr>
        <w:t xml:space="preserve"> </w:t>
      </w:r>
      <w:r w:rsidRPr="00F83DAE">
        <w:rPr>
          <w:rFonts w:hint="eastAsia"/>
          <w:rtl/>
        </w:rPr>
        <w:t>שבידו</w:t>
      </w:r>
      <w:r w:rsidRPr="00F83DAE">
        <w:rPr>
          <w:rtl/>
        </w:rPr>
        <w:t xml:space="preserve"> </w:t>
      </w:r>
      <w:r w:rsidRPr="00F83DAE">
        <w:rPr>
          <w:rFonts w:hint="eastAsia"/>
          <w:rtl/>
        </w:rPr>
        <w:t>סמכות</w:t>
      </w:r>
      <w:r w:rsidRPr="00F83DAE">
        <w:rPr>
          <w:rtl/>
        </w:rPr>
        <w:t xml:space="preserve"> </w:t>
      </w:r>
      <w:r w:rsidRPr="00F83DAE">
        <w:rPr>
          <w:rFonts w:hint="eastAsia"/>
          <w:rtl/>
        </w:rPr>
        <w:t>שפיטה</w:t>
      </w:r>
      <w:r w:rsidRPr="00F83DAE">
        <w:rPr>
          <w:rtl/>
        </w:rPr>
        <w:t xml:space="preserve"> </w:t>
      </w:r>
      <w:r w:rsidRPr="00F83DAE">
        <w:rPr>
          <w:rFonts w:hint="eastAsia"/>
          <w:rtl/>
        </w:rPr>
        <w:t>על</w:t>
      </w:r>
      <w:r w:rsidRPr="00F83DAE">
        <w:rPr>
          <w:rtl/>
        </w:rPr>
        <w:t xml:space="preserve"> </w:t>
      </w:r>
      <w:r w:rsidRPr="00F83DAE">
        <w:rPr>
          <w:rFonts w:hint="eastAsia"/>
          <w:rtl/>
        </w:rPr>
        <w:t>פי</w:t>
      </w:r>
      <w:r w:rsidRPr="00F83DAE">
        <w:rPr>
          <w:rtl/>
        </w:rPr>
        <w:t xml:space="preserve"> </w:t>
      </w:r>
      <w:r w:rsidRPr="00F83DAE">
        <w:rPr>
          <w:rFonts w:hint="eastAsia"/>
          <w:rtl/>
        </w:rPr>
        <w:t>דין</w:t>
      </w:r>
      <w:r w:rsidRPr="00F83DAE">
        <w:rPr>
          <w:rtl/>
        </w:rPr>
        <w:t xml:space="preserve">, </w:t>
      </w:r>
      <w:r w:rsidRPr="00F83DAE">
        <w:rPr>
          <w:rFonts w:hint="eastAsia"/>
          <w:rtl/>
        </w:rPr>
        <w:t>לרבות</w:t>
      </w:r>
      <w:r w:rsidRPr="00F83DAE">
        <w:rPr>
          <w:rtl/>
        </w:rPr>
        <w:t xml:space="preserve"> </w:t>
      </w:r>
      <w:r w:rsidRPr="00F83DAE">
        <w:rPr>
          <w:rFonts w:hint="eastAsia"/>
          <w:rtl/>
        </w:rPr>
        <w:t>בית</w:t>
      </w:r>
      <w:r w:rsidRPr="00F83DAE">
        <w:rPr>
          <w:rtl/>
        </w:rPr>
        <w:t xml:space="preserve"> </w:t>
      </w:r>
      <w:r w:rsidRPr="00F83DAE">
        <w:rPr>
          <w:rFonts w:hint="eastAsia"/>
          <w:rtl/>
        </w:rPr>
        <w:t>המשפט</w:t>
      </w:r>
      <w:r w:rsidRPr="00F83DAE">
        <w:rPr>
          <w:rtl/>
        </w:rPr>
        <w:t xml:space="preserve"> </w:t>
      </w:r>
      <w:r w:rsidRPr="00F83DAE">
        <w:rPr>
          <w:rFonts w:hint="eastAsia"/>
          <w:rtl/>
        </w:rPr>
        <w:t>העליון</w:t>
      </w:r>
      <w:r w:rsidRPr="00F83DAE">
        <w:rPr>
          <w:rtl/>
        </w:rPr>
        <w:t xml:space="preserve"> </w:t>
      </w:r>
      <w:r w:rsidRPr="00F83DAE">
        <w:rPr>
          <w:rFonts w:hint="eastAsia"/>
          <w:rtl/>
        </w:rPr>
        <w:t>בשבתו</w:t>
      </w:r>
      <w:r w:rsidRPr="00F83DAE">
        <w:rPr>
          <w:rtl/>
        </w:rPr>
        <w:t xml:space="preserve"> </w:t>
      </w:r>
      <w:r w:rsidRPr="00F83DAE">
        <w:rPr>
          <w:rFonts w:hint="eastAsia"/>
          <w:rtl/>
        </w:rPr>
        <w:t>כבית</w:t>
      </w:r>
      <w:r w:rsidRPr="00F83DAE">
        <w:rPr>
          <w:rtl/>
        </w:rPr>
        <w:t xml:space="preserve"> </w:t>
      </w:r>
      <w:r w:rsidRPr="00F83DAE">
        <w:rPr>
          <w:rFonts w:hint="eastAsia"/>
          <w:rtl/>
        </w:rPr>
        <w:t>משפט</w:t>
      </w:r>
      <w:r w:rsidRPr="00F83DAE">
        <w:rPr>
          <w:rtl/>
        </w:rPr>
        <w:t xml:space="preserve"> </w:t>
      </w:r>
      <w:r w:rsidRPr="00F83DAE">
        <w:rPr>
          <w:rFonts w:hint="eastAsia"/>
          <w:rtl/>
        </w:rPr>
        <w:t>גבוה</w:t>
      </w:r>
      <w:r w:rsidRPr="00F83DAE">
        <w:rPr>
          <w:rtl/>
        </w:rPr>
        <w:t xml:space="preserve"> </w:t>
      </w:r>
      <w:r w:rsidRPr="00F83DAE">
        <w:rPr>
          <w:rFonts w:hint="eastAsia"/>
          <w:rtl/>
        </w:rPr>
        <w:t>לצדק</w:t>
      </w:r>
      <w:r w:rsidRPr="00F83DAE">
        <w:rPr>
          <w:rtl/>
        </w:rPr>
        <w:t xml:space="preserve">, </w:t>
      </w:r>
      <w:r w:rsidRPr="00BE2DC7">
        <w:rPr>
          <w:rFonts w:ascii="Century" w:hAnsi="Century" w:cs="Miriam" w:hint="eastAsia"/>
          <w:b/>
          <w:spacing w:val="0"/>
          <w:szCs w:val="24"/>
          <w:rtl/>
        </w:rPr>
        <w:t>לא</w:t>
      </w:r>
      <w:r w:rsidRPr="00BE2DC7">
        <w:rPr>
          <w:rFonts w:ascii="Century" w:hAnsi="Century" w:cs="Miriam"/>
          <w:b/>
          <w:spacing w:val="0"/>
          <w:szCs w:val="24"/>
          <w:rtl/>
        </w:rPr>
        <w:t xml:space="preserve"> </w:t>
      </w:r>
      <w:r w:rsidRPr="00BE2DC7">
        <w:rPr>
          <w:rFonts w:ascii="Century" w:hAnsi="Century" w:cs="Miriam" w:hint="eastAsia"/>
          <w:b/>
          <w:spacing w:val="0"/>
          <w:szCs w:val="24"/>
          <w:rtl/>
        </w:rPr>
        <w:t>ידון</w:t>
      </w:r>
      <w:r w:rsidRPr="00BE2DC7">
        <w:rPr>
          <w:rFonts w:ascii="Century" w:hAnsi="Century" w:cs="Miriam"/>
          <w:b/>
          <w:spacing w:val="0"/>
          <w:szCs w:val="24"/>
          <w:rtl/>
        </w:rPr>
        <w:t xml:space="preserve"> </w:t>
      </w:r>
      <w:r w:rsidRPr="00BE2DC7">
        <w:rPr>
          <w:rFonts w:ascii="Century" w:hAnsi="Century" w:cs="Miriam" w:hint="eastAsia"/>
          <w:b/>
          <w:spacing w:val="0"/>
          <w:szCs w:val="24"/>
          <w:rtl/>
        </w:rPr>
        <w:t>בעניין</w:t>
      </w:r>
      <w:r w:rsidRPr="00BE2DC7">
        <w:rPr>
          <w:rFonts w:ascii="Century" w:hAnsi="Century" w:cs="Miriam"/>
          <w:b/>
          <w:spacing w:val="0"/>
          <w:szCs w:val="24"/>
          <w:rtl/>
        </w:rPr>
        <w:t xml:space="preserve"> </w:t>
      </w:r>
      <w:r w:rsidRPr="00BE2DC7">
        <w:rPr>
          <w:rFonts w:ascii="Century" w:hAnsi="Century" w:cs="Miriam" w:hint="eastAsia"/>
          <w:b/>
          <w:spacing w:val="0"/>
          <w:szCs w:val="24"/>
          <w:rtl/>
        </w:rPr>
        <w:t>סבירות</w:t>
      </w:r>
      <w:r w:rsidRPr="00BE2DC7">
        <w:rPr>
          <w:rFonts w:ascii="Century" w:hAnsi="Century" w:cs="Miriam"/>
          <w:b/>
          <w:spacing w:val="0"/>
          <w:szCs w:val="24"/>
          <w:rtl/>
        </w:rPr>
        <w:t xml:space="preserve"> </w:t>
      </w:r>
      <w:r w:rsidRPr="00BE2DC7">
        <w:rPr>
          <w:rFonts w:ascii="Century" w:hAnsi="Century" w:cs="Miriam" w:hint="eastAsia"/>
          <w:b/>
          <w:spacing w:val="0"/>
          <w:szCs w:val="24"/>
          <w:rtl/>
        </w:rPr>
        <w:t>ההחלטה</w:t>
      </w:r>
      <w:r w:rsidRPr="009A79FF">
        <w:rPr>
          <w:rtl/>
        </w:rPr>
        <w:t xml:space="preserve"> </w:t>
      </w:r>
      <w:r w:rsidRPr="00F83DAE">
        <w:rPr>
          <w:rFonts w:hint="eastAsia"/>
          <w:rtl/>
        </w:rPr>
        <w:t>של</w:t>
      </w:r>
      <w:r w:rsidRPr="00F83DAE">
        <w:rPr>
          <w:rtl/>
        </w:rPr>
        <w:t xml:space="preserve"> </w:t>
      </w:r>
      <w:r w:rsidRPr="00F83DAE">
        <w:rPr>
          <w:rFonts w:hint="eastAsia"/>
          <w:rtl/>
        </w:rPr>
        <w:t>הממשלה</w:t>
      </w:r>
      <w:r w:rsidRPr="00F83DAE">
        <w:rPr>
          <w:rtl/>
        </w:rPr>
        <w:t xml:space="preserve">, </w:t>
      </w:r>
      <w:r w:rsidRPr="00F83DAE">
        <w:rPr>
          <w:rFonts w:hint="eastAsia"/>
          <w:rtl/>
        </w:rPr>
        <w:t>של</w:t>
      </w:r>
      <w:r w:rsidRPr="00F83DAE">
        <w:rPr>
          <w:rtl/>
        </w:rPr>
        <w:t xml:space="preserve"> </w:t>
      </w:r>
      <w:r w:rsidRPr="00F83DAE">
        <w:rPr>
          <w:rFonts w:hint="eastAsia"/>
          <w:rtl/>
        </w:rPr>
        <w:t>ראש</w:t>
      </w:r>
      <w:r w:rsidRPr="00F83DAE">
        <w:rPr>
          <w:rtl/>
        </w:rPr>
        <w:t xml:space="preserve"> </w:t>
      </w:r>
      <w:r w:rsidRPr="00F83DAE">
        <w:rPr>
          <w:rFonts w:hint="eastAsia"/>
          <w:rtl/>
        </w:rPr>
        <w:t>הממשלה</w:t>
      </w:r>
      <w:r w:rsidRPr="00F83DAE">
        <w:rPr>
          <w:rtl/>
        </w:rPr>
        <w:t xml:space="preserve"> </w:t>
      </w:r>
      <w:r w:rsidRPr="00F83DAE">
        <w:rPr>
          <w:rFonts w:hint="eastAsia"/>
          <w:rtl/>
        </w:rPr>
        <w:t>או</w:t>
      </w:r>
      <w:r w:rsidRPr="00F83DAE">
        <w:rPr>
          <w:rtl/>
        </w:rPr>
        <w:t xml:space="preserve"> </w:t>
      </w:r>
      <w:r w:rsidRPr="00F83DAE">
        <w:rPr>
          <w:rFonts w:hint="eastAsia"/>
          <w:rtl/>
        </w:rPr>
        <w:t>של</w:t>
      </w:r>
      <w:r w:rsidRPr="00F83DAE">
        <w:rPr>
          <w:rtl/>
        </w:rPr>
        <w:t xml:space="preserve"> </w:t>
      </w:r>
      <w:r w:rsidRPr="00F83DAE">
        <w:rPr>
          <w:rFonts w:hint="eastAsia"/>
          <w:rtl/>
        </w:rPr>
        <w:t>שר</w:t>
      </w:r>
      <w:r w:rsidRPr="00F83DAE">
        <w:rPr>
          <w:rtl/>
        </w:rPr>
        <w:t xml:space="preserve"> </w:t>
      </w:r>
      <w:r w:rsidRPr="00F83DAE">
        <w:rPr>
          <w:rFonts w:hint="eastAsia"/>
          <w:rtl/>
        </w:rPr>
        <w:t>אחר</w:t>
      </w:r>
      <w:r w:rsidRPr="00F83DAE">
        <w:rPr>
          <w:rtl/>
        </w:rPr>
        <w:t xml:space="preserve">, </w:t>
      </w:r>
      <w:r w:rsidRPr="00F83DAE">
        <w:rPr>
          <w:rFonts w:hint="eastAsia"/>
          <w:rtl/>
        </w:rPr>
        <w:t>ולא</w:t>
      </w:r>
      <w:r w:rsidRPr="00F83DAE">
        <w:rPr>
          <w:rtl/>
        </w:rPr>
        <w:t xml:space="preserve"> </w:t>
      </w:r>
      <w:r w:rsidRPr="00F83DAE">
        <w:rPr>
          <w:rFonts w:hint="eastAsia"/>
          <w:rtl/>
        </w:rPr>
        <w:t>ייתן</w:t>
      </w:r>
      <w:r w:rsidRPr="00F83DAE">
        <w:rPr>
          <w:rtl/>
        </w:rPr>
        <w:t xml:space="preserve"> </w:t>
      </w:r>
      <w:r w:rsidRPr="00F83DAE">
        <w:rPr>
          <w:rFonts w:hint="eastAsia"/>
          <w:rtl/>
        </w:rPr>
        <w:t>צו</w:t>
      </w:r>
      <w:r w:rsidRPr="00F83DAE">
        <w:rPr>
          <w:rtl/>
        </w:rPr>
        <w:t xml:space="preserve"> </w:t>
      </w:r>
      <w:r w:rsidRPr="00F83DAE">
        <w:rPr>
          <w:rFonts w:hint="eastAsia"/>
          <w:rtl/>
        </w:rPr>
        <w:t>בעניין</w:t>
      </w:r>
      <w:r w:rsidRPr="00F83DAE">
        <w:rPr>
          <w:rtl/>
        </w:rPr>
        <w:t xml:space="preserve"> </w:t>
      </w:r>
      <w:r w:rsidRPr="00F83DAE">
        <w:rPr>
          <w:rFonts w:hint="eastAsia"/>
          <w:rtl/>
        </w:rPr>
        <w:t>כאמור</w:t>
      </w:r>
      <w:r w:rsidRPr="00F83DAE">
        <w:rPr>
          <w:rtl/>
        </w:rPr>
        <w:t xml:space="preserve">; </w:t>
      </w:r>
      <w:r w:rsidRPr="00F83DAE">
        <w:rPr>
          <w:rFonts w:hint="eastAsia"/>
          <w:rtl/>
        </w:rPr>
        <w:t>בסעיף</w:t>
      </w:r>
      <w:r w:rsidRPr="00F83DAE">
        <w:rPr>
          <w:rtl/>
        </w:rPr>
        <w:t xml:space="preserve"> </w:t>
      </w:r>
      <w:r w:rsidRPr="00F83DAE">
        <w:rPr>
          <w:rFonts w:hint="eastAsia"/>
          <w:rtl/>
        </w:rPr>
        <w:t>זה</w:t>
      </w:r>
      <w:r w:rsidRPr="00F83DAE">
        <w:rPr>
          <w:rtl/>
        </w:rPr>
        <w:t>, "</w:t>
      </w:r>
      <w:r w:rsidRPr="00F83DAE">
        <w:rPr>
          <w:rFonts w:hint="eastAsia"/>
          <w:rtl/>
        </w:rPr>
        <w:t>החלטה</w:t>
      </w:r>
      <w:r w:rsidRPr="00F83DAE">
        <w:rPr>
          <w:rtl/>
        </w:rPr>
        <w:t xml:space="preserve">" – </w:t>
      </w:r>
      <w:r w:rsidRPr="00F83DAE">
        <w:rPr>
          <w:rFonts w:hint="eastAsia"/>
          <w:rtl/>
        </w:rPr>
        <w:t>כל</w:t>
      </w:r>
      <w:r w:rsidRPr="00F83DAE">
        <w:rPr>
          <w:rtl/>
        </w:rPr>
        <w:t xml:space="preserve"> </w:t>
      </w:r>
      <w:r w:rsidRPr="00F83DAE">
        <w:rPr>
          <w:rFonts w:hint="eastAsia"/>
          <w:rtl/>
        </w:rPr>
        <w:t>החלטה</w:t>
      </w:r>
      <w:r w:rsidRPr="00F83DAE">
        <w:rPr>
          <w:rtl/>
        </w:rPr>
        <w:t xml:space="preserve">, </w:t>
      </w:r>
      <w:r w:rsidRPr="00F83DAE">
        <w:rPr>
          <w:rFonts w:hint="eastAsia"/>
          <w:rtl/>
        </w:rPr>
        <w:t>לרבות</w:t>
      </w:r>
      <w:r w:rsidRPr="00F83DAE">
        <w:rPr>
          <w:rtl/>
        </w:rPr>
        <w:t xml:space="preserve"> </w:t>
      </w:r>
      <w:r w:rsidRPr="00F83DAE">
        <w:rPr>
          <w:rFonts w:hint="eastAsia"/>
          <w:rtl/>
        </w:rPr>
        <w:t>בענייני</w:t>
      </w:r>
      <w:r w:rsidRPr="00F83DAE">
        <w:rPr>
          <w:rtl/>
        </w:rPr>
        <w:t xml:space="preserve"> </w:t>
      </w:r>
      <w:r w:rsidRPr="00F83DAE">
        <w:rPr>
          <w:rFonts w:hint="eastAsia"/>
          <w:rtl/>
        </w:rPr>
        <w:t>מינויים</w:t>
      </w:r>
      <w:r w:rsidRPr="00F83DAE">
        <w:rPr>
          <w:rtl/>
        </w:rPr>
        <w:t xml:space="preserve"> </w:t>
      </w:r>
      <w:r w:rsidRPr="00F83DAE">
        <w:rPr>
          <w:rFonts w:hint="eastAsia"/>
          <w:rtl/>
        </w:rPr>
        <w:t>או</w:t>
      </w:r>
      <w:r w:rsidRPr="00F83DAE">
        <w:rPr>
          <w:rtl/>
        </w:rPr>
        <w:t xml:space="preserve"> </w:t>
      </w:r>
      <w:r w:rsidRPr="00F83DAE">
        <w:rPr>
          <w:rFonts w:hint="eastAsia"/>
          <w:rtl/>
        </w:rPr>
        <w:t>החלטה</w:t>
      </w:r>
      <w:r w:rsidRPr="00F83DAE">
        <w:rPr>
          <w:rtl/>
        </w:rPr>
        <w:t xml:space="preserve"> </w:t>
      </w:r>
      <w:r w:rsidRPr="00F83DAE">
        <w:rPr>
          <w:rFonts w:hint="eastAsia"/>
          <w:rtl/>
        </w:rPr>
        <w:t>להימנע</w:t>
      </w:r>
      <w:r w:rsidRPr="00F83DAE">
        <w:rPr>
          <w:rtl/>
        </w:rPr>
        <w:t xml:space="preserve"> </w:t>
      </w:r>
      <w:r w:rsidRPr="00F83DAE">
        <w:rPr>
          <w:rFonts w:hint="eastAsia"/>
          <w:rtl/>
        </w:rPr>
        <w:t>מהפעלת</w:t>
      </w:r>
      <w:r w:rsidRPr="00F83DAE">
        <w:rPr>
          <w:rtl/>
        </w:rPr>
        <w:t xml:space="preserve"> </w:t>
      </w:r>
      <w:r w:rsidRPr="00F83DAE">
        <w:rPr>
          <w:rFonts w:hint="eastAsia"/>
          <w:rtl/>
        </w:rPr>
        <w:t>כל</w:t>
      </w:r>
      <w:r w:rsidRPr="00F83DAE">
        <w:rPr>
          <w:rtl/>
        </w:rPr>
        <w:t xml:space="preserve"> </w:t>
      </w:r>
      <w:r w:rsidRPr="00F83DAE">
        <w:rPr>
          <w:rFonts w:hint="eastAsia"/>
          <w:rtl/>
        </w:rPr>
        <w:t>סמכות</w:t>
      </w:r>
      <w:r>
        <w:rPr>
          <w:rFonts w:hint="cs"/>
          <w:rtl/>
        </w:rPr>
        <w:t xml:space="preserve"> (ההדגשה הוספה).</w:t>
      </w:r>
    </w:p>
    <w:p w:rsidR="00A01E7C" w:rsidRPr="0019280B" w:rsidRDefault="00A01E7C" w:rsidP="00A01E7C">
      <w:pPr>
        <w:pStyle w:val="Ruller5"/>
        <w:spacing w:line="360" w:lineRule="auto"/>
        <w:rPr>
          <w:rFonts w:ascii="Century" w:hAnsi="Century"/>
        </w:rPr>
      </w:pPr>
    </w:p>
    <w:p w:rsidR="00A01E7C" w:rsidRDefault="00A01E7C" w:rsidP="00A01E7C">
      <w:pPr>
        <w:spacing w:line="360" w:lineRule="auto"/>
        <w:ind w:firstLine="720"/>
        <w:jc w:val="both"/>
        <w:rPr>
          <w:rFonts w:ascii="Century" w:hAnsi="Century" w:cs="FrankRuehl"/>
          <w:spacing w:val="10"/>
          <w:szCs w:val="28"/>
          <w:rtl/>
        </w:rPr>
      </w:pPr>
      <w:r>
        <w:rPr>
          <w:rFonts w:ascii="Century" w:hAnsi="Century" w:cs="FrankRuehl" w:hint="cs"/>
          <w:spacing w:val="10"/>
          <w:szCs w:val="28"/>
          <w:rtl/>
        </w:rPr>
        <w:t xml:space="preserve">כפי שניתן להיווכח, התיקון קובע באופן כוללני וגורף כי </w:t>
      </w:r>
      <w:r w:rsidRPr="00BE2DC7">
        <w:rPr>
          <w:rFonts w:ascii="Century" w:hAnsi="Century" w:cs="FrankRuehl" w:hint="eastAsia"/>
          <w:spacing w:val="10"/>
          <w:szCs w:val="28"/>
          <w:rtl/>
        </w:rPr>
        <w:t>בית</w:t>
      </w:r>
      <w:r w:rsidRPr="00BE2DC7">
        <w:rPr>
          <w:rFonts w:ascii="Century" w:hAnsi="Century" w:cs="FrankRuehl"/>
          <w:spacing w:val="10"/>
          <w:szCs w:val="28"/>
          <w:rtl/>
        </w:rPr>
        <w:t xml:space="preserve"> המשפט </w:t>
      </w:r>
      <w:r>
        <w:rPr>
          <w:rFonts w:ascii="Century" w:hAnsi="Century" w:cs="FrankRuehl" w:hint="cs"/>
          <w:spacing w:val="10"/>
          <w:szCs w:val="28"/>
          <w:rtl/>
        </w:rPr>
        <w:t>"</w:t>
      </w:r>
      <w:r w:rsidRPr="00FF5D86">
        <w:rPr>
          <w:rFonts w:ascii="Century" w:hAnsi="Century" w:cs="FrankRuehl" w:hint="eastAsia"/>
          <w:spacing w:val="10"/>
          <w:szCs w:val="28"/>
          <w:rtl/>
        </w:rPr>
        <w:t>לא</w:t>
      </w:r>
      <w:r w:rsidRPr="00FF5D86">
        <w:rPr>
          <w:rFonts w:ascii="Century" w:hAnsi="Century" w:cs="FrankRuehl"/>
          <w:spacing w:val="10"/>
          <w:szCs w:val="28"/>
          <w:rtl/>
        </w:rPr>
        <w:t xml:space="preserve"> </w:t>
      </w:r>
      <w:r w:rsidRPr="00FF5D86">
        <w:rPr>
          <w:rFonts w:ascii="Century" w:hAnsi="Century" w:cs="FrankRuehl" w:hint="eastAsia"/>
          <w:spacing w:val="10"/>
          <w:szCs w:val="28"/>
          <w:rtl/>
        </w:rPr>
        <w:t>ידון</w:t>
      </w:r>
      <w:r w:rsidRPr="00FF5D86">
        <w:rPr>
          <w:rFonts w:ascii="Century" w:hAnsi="Century" w:cs="FrankRuehl"/>
          <w:spacing w:val="10"/>
          <w:szCs w:val="28"/>
          <w:rtl/>
        </w:rPr>
        <w:t xml:space="preserve"> </w:t>
      </w:r>
      <w:r w:rsidRPr="00FF5D86">
        <w:rPr>
          <w:rFonts w:ascii="Century" w:hAnsi="Century" w:cs="FrankRuehl" w:hint="eastAsia"/>
          <w:spacing w:val="10"/>
          <w:szCs w:val="28"/>
          <w:rtl/>
        </w:rPr>
        <w:t>בעניין</w:t>
      </w:r>
      <w:r w:rsidRPr="00FF5D86">
        <w:rPr>
          <w:rFonts w:ascii="Century" w:hAnsi="Century" w:cs="FrankRuehl"/>
          <w:spacing w:val="10"/>
          <w:szCs w:val="28"/>
          <w:rtl/>
        </w:rPr>
        <w:t xml:space="preserve"> </w:t>
      </w:r>
      <w:r w:rsidRPr="00FF5D86">
        <w:rPr>
          <w:rFonts w:ascii="Century" w:hAnsi="Century" w:cs="FrankRuehl" w:hint="eastAsia"/>
          <w:spacing w:val="10"/>
          <w:szCs w:val="28"/>
          <w:rtl/>
        </w:rPr>
        <w:t>סבירות</w:t>
      </w:r>
      <w:r w:rsidRPr="00BE2DC7">
        <w:rPr>
          <w:rFonts w:ascii="Century" w:hAnsi="Century" w:cs="FrankRuehl"/>
          <w:spacing w:val="10"/>
          <w:szCs w:val="28"/>
          <w:rtl/>
        </w:rPr>
        <w:t xml:space="preserve">". </w:t>
      </w:r>
      <w:r>
        <w:rPr>
          <w:rFonts w:ascii="Century" w:hAnsi="Century" w:cs="FrankRuehl" w:hint="cs"/>
          <w:spacing w:val="10"/>
          <w:szCs w:val="28"/>
          <w:rtl/>
        </w:rPr>
        <w:t>לשון התיקון אינה מבחינה</w:t>
      </w:r>
      <w:r w:rsidRPr="00BE2DC7">
        <w:rPr>
          <w:rFonts w:ascii="Century" w:hAnsi="Century" w:cs="FrankRuehl"/>
          <w:spacing w:val="10"/>
          <w:szCs w:val="28"/>
          <w:rtl/>
        </w:rPr>
        <w:t xml:space="preserve"> בין </w:t>
      </w:r>
      <w:r>
        <w:rPr>
          <w:rFonts w:ascii="Century" w:hAnsi="Century" w:cs="FrankRuehl" w:hint="cs"/>
          <w:spacing w:val="10"/>
          <w:szCs w:val="28"/>
          <w:rtl/>
        </w:rPr>
        <w:t>"</w:t>
      </w:r>
      <w:r w:rsidRPr="00BE2DC7">
        <w:rPr>
          <w:rFonts w:ascii="Century" w:hAnsi="Century" w:cs="FrankRuehl" w:hint="eastAsia"/>
          <w:spacing w:val="10"/>
          <w:szCs w:val="28"/>
          <w:rtl/>
        </w:rPr>
        <w:t>סבירות</w:t>
      </w:r>
      <w:r>
        <w:rPr>
          <w:rFonts w:ascii="Century" w:hAnsi="Century" w:cs="FrankRuehl" w:hint="cs"/>
          <w:spacing w:val="10"/>
          <w:szCs w:val="28"/>
          <w:rtl/>
        </w:rPr>
        <w:t>"</w:t>
      </w:r>
      <w:r w:rsidRPr="00BE2DC7">
        <w:rPr>
          <w:rFonts w:ascii="Century" w:hAnsi="Century" w:cs="FrankRuehl"/>
          <w:spacing w:val="10"/>
          <w:szCs w:val="28"/>
          <w:rtl/>
        </w:rPr>
        <w:t xml:space="preserve"> </w:t>
      </w:r>
      <w:r>
        <w:rPr>
          <w:rFonts w:ascii="Century" w:hAnsi="Century" w:cs="FrankRuehl" w:hint="cs"/>
          <w:spacing w:val="10"/>
          <w:szCs w:val="28"/>
          <w:rtl/>
        </w:rPr>
        <w:t xml:space="preserve">במתכונת כזו או אחרת, ובפרט היא איננה מבחינה בין "סבירות" במובנה </w:t>
      </w:r>
      <w:r w:rsidRPr="00BE2DC7">
        <w:rPr>
          <w:rFonts w:ascii="Century" w:hAnsi="Century" w:cs="FrankRuehl" w:hint="eastAsia"/>
          <w:spacing w:val="10"/>
          <w:szCs w:val="28"/>
          <w:rtl/>
        </w:rPr>
        <w:t>לפני</w:t>
      </w:r>
      <w:r>
        <w:rPr>
          <w:rFonts w:ascii="Century" w:hAnsi="Century" w:cs="FrankRuehl" w:hint="cs"/>
          <w:spacing w:val="10"/>
          <w:szCs w:val="28"/>
          <w:rtl/>
        </w:rPr>
        <w:t xml:space="preserve"> פסק הדין בעניין</w:t>
      </w:r>
      <w:r w:rsidRPr="00BE2DC7">
        <w:rPr>
          <w:rFonts w:ascii="Century" w:hAnsi="Century" w:cs="FrankRuehl"/>
          <w:spacing w:val="10"/>
          <w:szCs w:val="28"/>
          <w:rtl/>
        </w:rPr>
        <w:t xml:space="preserve"> </w:t>
      </w:r>
      <w:r w:rsidRPr="00BE2DC7">
        <w:rPr>
          <w:rFonts w:ascii="Century" w:hAnsi="Century" w:cs="Miriam" w:hint="eastAsia"/>
          <w:b/>
          <w:rtl/>
        </w:rPr>
        <w:t>דפי</w:t>
      </w:r>
      <w:r w:rsidRPr="00BE2DC7">
        <w:rPr>
          <w:rFonts w:ascii="Century" w:hAnsi="Century" w:cs="Miriam"/>
          <w:b/>
          <w:rtl/>
        </w:rPr>
        <w:t xml:space="preserve"> </w:t>
      </w:r>
      <w:r w:rsidRPr="00BE2DC7">
        <w:rPr>
          <w:rFonts w:ascii="Century" w:hAnsi="Century" w:cs="Miriam" w:hint="eastAsia"/>
          <w:b/>
          <w:rtl/>
        </w:rPr>
        <w:t>זהב</w:t>
      </w:r>
      <w:r w:rsidRPr="00BE2DC7">
        <w:rPr>
          <w:rFonts w:ascii="Century" w:hAnsi="Century" w:cs="FrankRuehl"/>
          <w:spacing w:val="10"/>
          <w:szCs w:val="28"/>
          <w:rtl/>
        </w:rPr>
        <w:t xml:space="preserve"> </w:t>
      </w:r>
      <w:r>
        <w:rPr>
          <w:rFonts w:ascii="Century" w:hAnsi="Century" w:cs="FrankRuehl" w:hint="cs"/>
          <w:spacing w:val="10"/>
          <w:szCs w:val="28"/>
          <w:rtl/>
        </w:rPr>
        <w:t>לבין "סבירות" במובנה לאחר פסק הדין.</w:t>
      </w:r>
      <w:r w:rsidRPr="00BE2DC7">
        <w:rPr>
          <w:rFonts w:ascii="Century" w:hAnsi="Century" w:cs="FrankRuehl"/>
          <w:spacing w:val="10"/>
          <w:szCs w:val="28"/>
          <w:rtl/>
        </w:rPr>
        <w:t xml:space="preserve"> </w:t>
      </w:r>
      <w:r w:rsidRPr="00BE2DC7">
        <w:rPr>
          <w:rFonts w:ascii="Century" w:hAnsi="Century" w:cs="FrankRuehl" w:hint="eastAsia"/>
          <w:spacing w:val="10"/>
          <w:szCs w:val="28"/>
          <w:rtl/>
        </w:rPr>
        <w:t>לכן</w:t>
      </w:r>
      <w:r w:rsidRPr="00BE2DC7">
        <w:rPr>
          <w:rFonts w:ascii="Century" w:hAnsi="Century" w:cs="FrankRuehl"/>
          <w:spacing w:val="10"/>
          <w:szCs w:val="28"/>
          <w:rtl/>
        </w:rPr>
        <w:t xml:space="preserve"> </w:t>
      </w:r>
      <w:r w:rsidRPr="00BE2DC7">
        <w:rPr>
          <w:rFonts w:ascii="Century" w:hAnsi="Century" w:cs="FrankRuehl" w:hint="eastAsia"/>
          <w:spacing w:val="10"/>
          <w:szCs w:val="28"/>
          <w:rtl/>
        </w:rPr>
        <w:t>הפרשנות</w:t>
      </w:r>
      <w:r w:rsidRPr="00BE2DC7">
        <w:rPr>
          <w:rFonts w:ascii="Century" w:hAnsi="Century" w:cs="FrankRuehl"/>
          <w:spacing w:val="10"/>
          <w:szCs w:val="28"/>
          <w:rtl/>
        </w:rPr>
        <w:t xml:space="preserve"> </w:t>
      </w:r>
      <w:r w:rsidRPr="00BE2DC7">
        <w:rPr>
          <w:rFonts w:ascii="Century" w:hAnsi="Century" w:cs="FrankRuehl" w:hint="eastAsia"/>
          <w:spacing w:val="10"/>
          <w:szCs w:val="28"/>
          <w:rtl/>
        </w:rPr>
        <w:t>המתבקשת</w:t>
      </w:r>
      <w:r>
        <w:rPr>
          <w:rFonts w:ascii="Century" w:hAnsi="Century" w:cs="FrankRuehl" w:hint="cs"/>
          <w:spacing w:val="10"/>
          <w:szCs w:val="28"/>
          <w:rtl/>
        </w:rPr>
        <w:t>, ולמעשה היחידה, הנלמדת מלשון החוק</w:t>
      </w:r>
      <w:r w:rsidRPr="00BE2DC7">
        <w:rPr>
          <w:rFonts w:ascii="Century" w:hAnsi="Century" w:cs="FrankRuehl"/>
          <w:spacing w:val="10"/>
          <w:szCs w:val="28"/>
          <w:rtl/>
        </w:rPr>
        <w:t xml:space="preserve"> היא כי כל אימת שתעלה </w:t>
      </w:r>
      <w:r>
        <w:rPr>
          <w:rFonts w:ascii="Century" w:hAnsi="Century" w:cs="FrankRuehl" w:hint="cs"/>
          <w:spacing w:val="10"/>
          <w:szCs w:val="28"/>
          <w:rtl/>
        </w:rPr>
        <w:t xml:space="preserve">בפני בית המשפט (ולמעשה בפני כל גורם שיש בידיו סמכות שפיטה על פי דין) </w:t>
      </w:r>
      <w:r w:rsidRPr="00BE2DC7">
        <w:rPr>
          <w:rFonts w:ascii="Century" w:hAnsi="Century" w:cs="FrankRuehl" w:hint="eastAsia"/>
          <w:spacing w:val="10"/>
          <w:szCs w:val="28"/>
          <w:rtl/>
        </w:rPr>
        <w:t>טענה</w:t>
      </w:r>
      <w:r w:rsidRPr="00BE2DC7">
        <w:rPr>
          <w:rFonts w:ascii="Century" w:hAnsi="Century" w:cs="FrankRuehl"/>
          <w:spacing w:val="10"/>
          <w:szCs w:val="28"/>
          <w:rtl/>
        </w:rPr>
        <w:t xml:space="preserve"> </w:t>
      </w:r>
      <w:r w:rsidRPr="00BE2DC7">
        <w:rPr>
          <w:rFonts w:ascii="Century" w:hAnsi="Century" w:cs="FrankRuehl" w:hint="eastAsia"/>
          <w:spacing w:val="10"/>
          <w:szCs w:val="28"/>
          <w:rtl/>
        </w:rPr>
        <w:t>ביחס</w:t>
      </w:r>
      <w:r w:rsidRPr="00BE2DC7">
        <w:rPr>
          <w:rFonts w:ascii="Century" w:hAnsi="Century" w:cs="FrankRuehl"/>
          <w:spacing w:val="10"/>
          <w:szCs w:val="28"/>
          <w:rtl/>
        </w:rPr>
        <w:t xml:space="preserve"> </w:t>
      </w:r>
      <w:r w:rsidRPr="00BE2DC7">
        <w:rPr>
          <w:rFonts w:ascii="Century" w:hAnsi="Century" w:cs="FrankRuehl" w:hint="eastAsia"/>
          <w:spacing w:val="10"/>
          <w:szCs w:val="28"/>
          <w:rtl/>
        </w:rPr>
        <w:t>לחוסר</w:t>
      </w:r>
      <w:r w:rsidRPr="00BE2DC7">
        <w:rPr>
          <w:rFonts w:ascii="Century" w:hAnsi="Century" w:cs="FrankRuehl"/>
          <w:spacing w:val="10"/>
          <w:szCs w:val="28"/>
          <w:rtl/>
        </w:rPr>
        <w:t xml:space="preserve"> </w:t>
      </w:r>
      <w:r w:rsidRPr="00BE2DC7">
        <w:rPr>
          <w:rFonts w:ascii="Century" w:hAnsi="Century" w:cs="FrankRuehl" w:hint="eastAsia"/>
          <w:spacing w:val="10"/>
          <w:szCs w:val="28"/>
          <w:rtl/>
        </w:rPr>
        <w:t>סבירות</w:t>
      </w:r>
      <w:r>
        <w:rPr>
          <w:rFonts w:ascii="Century" w:hAnsi="Century" w:cs="FrankRuehl" w:hint="cs"/>
          <w:spacing w:val="10"/>
          <w:szCs w:val="28"/>
          <w:rtl/>
        </w:rPr>
        <w:t xml:space="preserve"> של החלטת הממשלה, ראש הממשלה או שריה </w:t>
      </w:r>
      <w:r>
        <w:rPr>
          <w:rFonts w:ascii="Century" w:hAnsi="Century" w:cs="FrankRuehl"/>
          <w:spacing w:val="10"/>
          <w:szCs w:val="28"/>
          <w:rtl/>
        </w:rPr>
        <w:t>–</w:t>
      </w:r>
      <w:r>
        <w:rPr>
          <w:rFonts w:ascii="Century" w:hAnsi="Century" w:cs="FrankRuehl" w:hint="cs"/>
          <w:spacing w:val="10"/>
          <w:szCs w:val="28"/>
          <w:rtl/>
        </w:rPr>
        <w:t xml:space="preserve"> בין אם תהיה זו טענה ל"חוסר סבירות</w:t>
      </w:r>
      <w:r w:rsidRPr="00BE2DC7">
        <w:rPr>
          <w:rFonts w:ascii="Century" w:hAnsi="Century" w:cs="FrankRuehl"/>
          <w:spacing w:val="10"/>
          <w:szCs w:val="28"/>
          <w:rtl/>
        </w:rPr>
        <w:t xml:space="preserve"> </w:t>
      </w:r>
      <w:r w:rsidRPr="00BE2DC7">
        <w:rPr>
          <w:rFonts w:ascii="Century" w:hAnsi="Century" w:cs="FrankRuehl" w:hint="eastAsia"/>
          <w:spacing w:val="10"/>
          <w:szCs w:val="28"/>
          <w:rtl/>
        </w:rPr>
        <w:t>קיצוני</w:t>
      </w:r>
      <w:r>
        <w:rPr>
          <w:rFonts w:ascii="Century" w:hAnsi="Century" w:cs="FrankRuehl" w:hint="cs"/>
          <w:spacing w:val="10"/>
          <w:szCs w:val="28"/>
          <w:rtl/>
        </w:rPr>
        <w:t>", להחלטה "בלתי מתקבלת על הדעת" עד כדי "מופרכות"</w:t>
      </w:r>
      <w:r w:rsidRPr="00BE2DC7">
        <w:rPr>
          <w:rFonts w:ascii="Century" w:hAnsi="Century" w:cs="FrankRuehl"/>
          <w:spacing w:val="10"/>
          <w:szCs w:val="28"/>
          <w:rtl/>
        </w:rPr>
        <w:t xml:space="preserve">, </w:t>
      </w:r>
      <w:r>
        <w:rPr>
          <w:rFonts w:ascii="Century" w:hAnsi="Century" w:cs="FrankRuehl" w:hint="cs"/>
          <w:spacing w:val="10"/>
          <w:szCs w:val="28"/>
          <w:rtl/>
        </w:rPr>
        <w:t xml:space="preserve">ל"חוסר סבירות </w:t>
      </w:r>
      <w:r w:rsidRPr="00BE2DC7">
        <w:rPr>
          <w:rFonts w:ascii="Century" w:hAnsi="Century" w:cs="FrankRuehl" w:hint="eastAsia"/>
          <w:spacing w:val="10"/>
          <w:szCs w:val="28"/>
          <w:rtl/>
        </w:rPr>
        <w:t>איזוני</w:t>
      </w:r>
      <w:r>
        <w:rPr>
          <w:rFonts w:ascii="Century" w:hAnsi="Century" w:cs="FrankRuehl" w:hint="cs"/>
          <w:spacing w:val="10"/>
          <w:szCs w:val="28"/>
          <w:rtl/>
        </w:rPr>
        <w:t>"</w:t>
      </w:r>
      <w:r w:rsidRPr="00BE2DC7">
        <w:rPr>
          <w:rFonts w:ascii="Century" w:hAnsi="Century" w:cs="FrankRuehl"/>
          <w:spacing w:val="10"/>
          <w:szCs w:val="28"/>
          <w:rtl/>
        </w:rPr>
        <w:t xml:space="preserve"> </w:t>
      </w:r>
      <w:r>
        <w:rPr>
          <w:rFonts w:ascii="Century" w:hAnsi="Century" w:cs="FrankRuehl" w:hint="cs"/>
          <w:spacing w:val="10"/>
          <w:szCs w:val="28"/>
          <w:rtl/>
        </w:rPr>
        <w:t>וכיוצא בזה</w:t>
      </w:r>
      <w:r w:rsidRPr="00BE2DC7">
        <w:rPr>
          <w:rFonts w:ascii="Century" w:hAnsi="Century" w:cs="FrankRuehl"/>
          <w:spacing w:val="10"/>
          <w:szCs w:val="28"/>
          <w:rtl/>
        </w:rPr>
        <w:t xml:space="preserve"> – בית המשפט </w:t>
      </w:r>
      <w:r>
        <w:rPr>
          <w:rFonts w:ascii="Century" w:hAnsi="Century" w:cs="FrankRuehl" w:hint="cs"/>
          <w:spacing w:val="10"/>
          <w:szCs w:val="28"/>
          <w:rtl/>
        </w:rPr>
        <w:t>יהיה מנוע</w:t>
      </w:r>
      <w:r w:rsidRPr="00BE2DC7">
        <w:rPr>
          <w:rFonts w:ascii="Century" w:hAnsi="Century" w:cs="FrankRuehl"/>
          <w:spacing w:val="10"/>
          <w:szCs w:val="28"/>
          <w:rtl/>
        </w:rPr>
        <w:t xml:space="preserve"> </w:t>
      </w:r>
      <w:r>
        <w:rPr>
          <w:rFonts w:ascii="Century" w:hAnsi="Century" w:cs="FrankRuehl" w:hint="cs"/>
          <w:spacing w:val="10"/>
          <w:szCs w:val="28"/>
          <w:rtl/>
        </w:rPr>
        <w:t>מ</w:t>
      </w:r>
      <w:r w:rsidRPr="00BE2DC7">
        <w:rPr>
          <w:rFonts w:ascii="Century" w:hAnsi="Century" w:cs="FrankRuehl" w:hint="eastAsia"/>
          <w:spacing w:val="10"/>
          <w:szCs w:val="28"/>
          <w:rtl/>
        </w:rPr>
        <w:t>לדון</w:t>
      </w:r>
      <w:r w:rsidRPr="00BE2DC7">
        <w:rPr>
          <w:rFonts w:ascii="Century" w:hAnsi="Century" w:cs="FrankRuehl"/>
          <w:spacing w:val="10"/>
          <w:szCs w:val="28"/>
          <w:rtl/>
        </w:rPr>
        <w:t xml:space="preserve"> בטענה זו. </w:t>
      </w:r>
      <w:r>
        <w:rPr>
          <w:rFonts w:ascii="Century" w:hAnsi="Century" w:cs="FrankRuehl" w:hint="cs"/>
          <w:spacing w:val="10"/>
          <w:szCs w:val="28"/>
          <w:rtl/>
        </w:rPr>
        <w:t xml:space="preserve">במילים אחרות, להבחנה שמציעים חלק מחבריי בין מובניה השונים של עילת הסבירות אין כל עיגון טקסטואלי בלשונו הברורה והחד-משמעית של התיקון, ועל כן היא חורגת מן הגבולות הלגיטימיים של מלאכת הפרשנות (ראו: </w:t>
      </w:r>
      <w:r w:rsidRPr="008B0EC3">
        <w:rPr>
          <w:rFonts w:ascii="Century" w:hAnsi="Century" w:cs="FrankRuehl"/>
          <w:spacing w:val="10"/>
          <w:szCs w:val="28"/>
          <w:rtl/>
        </w:rPr>
        <w:t xml:space="preserve">ע"פ 3027/90 </w:t>
      </w:r>
      <w:r w:rsidRPr="00EB646B">
        <w:rPr>
          <w:rFonts w:ascii="Century" w:hAnsi="Century" w:cs="Miriam" w:hint="eastAsia"/>
          <w:b/>
          <w:rtl/>
        </w:rPr>
        <w:t>חברת</w:t>
      </w:r>
      <w:r w:rsidRPr="00EB646B">
        <w:rPr>
          <w:rFonts w:ascii="Century" w:hAnsi="Century" w:cs="Miriam"/>
          <w:b/>
          <w:rtl/>
        </w:rPr>
        <w:t xml:space="preserve"> </w:t>
      </w:r>
      <w:r w:rsidRPr="00EB646B">
        <w:rPr>
          <w:rFonts w:ascii="Century" w:hAnsi="Century" w:cs="Miriam" w:hint="eastAsia"/>
          <w:b/>
          <w:rtl/>
        </w:rPr>
        <w:t>מודיעים</w:t>
      </w:r>
      <w:r w:rsidRPr="00EB646B">
        <w:rPr>
          <w:rFonts w:ascii="Century" w:hAnsi="Century" w:cs="Miriam"/>
          <w:b/>
          <w:rtl/>
        </w:rPr>
        <w:t xml:space="preserve"> </w:t>
      </w:r>
      <w:r w:rsidRPr="00EB646B">
        <w:rPr>
          <w:rFonts w:ascii="Century" w:hAnsi="Century" w:cs="Miriam" w:hint="eastAsia"/>
          <w:b/>
          <w:rtl/>
        </w:rPr>
        <w:t>בינוי</w:t>
      </w:r>
      <w:r w:rsidRPr="00EB646B">
        <w:rPr>
          <w:rFonts w:ascii="Century" w:hAnsi="Century" w:cs="Miriam"/>
          <w:b/>
          <w:rtl/>
        </w:rPr>
        <w:t xml:space="preserve"> </w:t>
      </w:r>
      <w:r w:rsidRPr="00EB646B">
        <w:rPr>
          <w:rFonts w:ascii="Century" w:hAnsi="Century" w:cs="Miriam" w:hint="eastAsia"/>
          <w:b/>
          <w:rtl/>
        </w:rPr>
        <w:t>ופיתוח</w:t>
      </w:r>
      <w:r w:rsidRPr="00EB646B">
        <w:rPr>
          <w:rFonts w:ascii="Century" w:hAnsi="Century" w:cs="Miriam"/>
          <w:b/>
          <w:rtl/>
        </w:rPr>
        <w:t xml:space="preserve"> </w:t>
      </w:r>
      <w:r w:rsidRPr="00EB646B">
        <w:rPr>
          <w:rFonts w:ascii="Century" w:hAnsi="Century" w:cs="Miriam" w:hint="eastAsia"/>
          <w:b/>
          <w:rtl/>
        </w:rPr>
        <w:t>בע</w:t>
      </w:r>
      <w:r w:rsidRPr="00EB646B">
        <w:rPr>
          <w:rFonts w:ascii="Century" w:hAnsi="Century" w:cs="Miriam"/>
          <w:b/>
          <w:rtl/>
        </w:rPr>
        <w:t>"</w:t>
      </w:r>
      <w:r w:rsidRPr="00EB646B">
        <w:rPr>
          <w:rFonts w:ascii="Century" w:hAnsi="Century" w:cs="Miriam" w:hint="eastAsia"/>
          <w:b/>
          <w:rtl/>
        </w:rPr>
        <w:t>מ</w:t>
      </w:r>
      <w:r w:rsidRPr="00EB646B">
        <w:rPr>
          <w:rFonts w:ascii="Century" w:hAnsi="Century" w:cs="Miriam"/>
          <w:b/>
          <w:rtl/>
        </w:rPr>
        <w:t xml:space="preserve"> </w:t>
      </w:r>
      <w:r w:rsidRPr="00EB646B">
        <w:rPr>
          <w:rFonts w:ascii="Century" w:hAnsi="Century" w:cs="Miriam" w:hint="eastAsia"/>
          <w:b/>
          <w:rtl/>
        </w:rPr>
        <w:t>נ</w:t>
      </w:r>
      <w:r w:rsidRPr="00EB646B">
        <w:rPr>
          <w:rFonts w:ascii="Century" w:hAnsi="Century" w:cs="Miriam"/>
          <w:b/>
          <w:rtl/>
        </w:rPr>
        <w:t xml:space="preserve">' </w:t>
      </w:r>
      <w:r w:rsidRPr="00EB646B">
        <w:rPr>
          <w:rFonts w:ascii="Century" w:hAnsi="Century" w:cs="Miriam" w:hint="eastAsia"/>
          <w:b/>
          <w:rtl/>
        </w:rPr>
        <w:t>מדינת</w:t>
      </w:r>
      <w:r w:rsidRPr="00EB646B">
        <w:rPr>
          <w:rFonts w:ascii="Century" w:hAnsi="Century" w:cs="Miriam"/>
          <w:b/>
          <w:rtl/>
        </w:rPr>
        <w:t xml:space="preserve"> </w:t>
      </w:r>
      <w:r w:rsidRPr="00EB646B">
        <w:rPr>
          <w:rFonts w:ascii="Century" w:hAnsi="Century" w:cs="Miriam" w:hint="eastAsia"/>
          <w:b/>
          <w:rtl/>
        </w:rPr>
        <w:t>ישראל</w:t>
      </w:r>
      <w:r w:rsidRPr="008B0EC3">
        <w:rPr>
          <w:rFonts w:ascii="Century" w:hAnsi="Century" w:cs="FrankRuehl"/>
          <w:spacing w:val="10"/>
          <w:szCs w:val="28"/>
          <w:rtl/>
        </w:rPr>
        <w:t xml:space="preserve">, </w:t>
      </w:r>
      <w:r>
        <w:rPr>
          <w:rFonts w:ascii="Century" w:hAnsi="Century" w:cs="FrankRuehl" w:hint="cs"/>
          <w:spacing w:val="10"/>
          <w:szCs w:val="28"/>
          <w:rtl/>
        </w:rPr>
        <w:t xml:space="preserve">פ"ד </w:t>
      </w:r>
      <w:r w:rsidRPr="008B0EC3">
        <w:rPr>
          <w:rFonts w:ascii="Century" w:hAnsi="Century" w:cs="FrankRuehl"/>
          <w:spacing w:val="10"/>
          <w:szCs w:val="28"/>
          <w:rtl/>
        </w:rPr>
        <w:t>מה(4) 364</w:t>
      </w:r>
      <w:r>
        <w:rPr>
          <w:rFonts w:ascii="Century" w:hAnsi="Century" w:cs="FrankRuehl" w:hint="cs"/>
          <w:spacing w:val="10"/>
          <w:szCs w:val="28"/>
          <w:rtl/>
        </w:rPr>
        <w:t>, 395</w:t>
      </w:r>
      <w:r w:rsidRPr="008B0EC3">
        <w:rPr>
          <w:rFonts w:ascii="Century" w:hAnsi="Century" w:cs="FrankRuehl"/>
          <w:spacing w:val="10"/>
          <w:szCs w:val="28"/>
          <w:rtl/>
        </w:rPr>
        <w:t xml:space="preserve"> (1991)</w:t>
      </w:r>
      <w:r>
        <w:rPr>
          <w:rFonts w:ascii="Century" w:hAnsi="Century" w:cs="FrankRuehl" w:hint="cs"/>
          <w:spacing w:val="10"/>
          <w:szCs w:val="28"/>
          <w:rtl/>
        </w:rPr>
        <w:t xml:space="preserve">; </w:t>
      </w:r>
      <w:r w:rsidRPr="003118CF">
        <w:rPr>
          <w:rFonts w:ascii="Century" w:hAnsi="Century" w:cs="FrankRuehl"/>
          <w:spacing w:val="10"/>
          <w:szCs w:val="28"/>
          <w:rtl/>
        </w:rPr>
        <w:t xml:space="preserve">בג"ץ 9098/01 </w:t>
      </w:r>
      <w:r w:rsidRPr="00EB646B">
        <w:rPr>
          <w:rFonts w:ascii="Century" w:hAnsi="Century" w:cs="Miriam" w:hint="eastAsia"/>
          <w:b/>
          <w:rtl/>
        </w:rPr>
        <w:t>גניס</w:t>
      </w:r>
      <w:r w:rsidRPr="00EB646B">
        <w:rPr>
          <w:rFonts w:ascii="Century" w:hAnsi="Century" w:cs="Miriam"/>
          <w:b/>
          <w:rtl/>
        </w:rPr>
        <w:t xml:space="preserve"> </w:t>
      </w:r>
      <w:r w:rsidRPr="00EB646B">
        <w:rPr>
          <w:rFonts w:ascii="Century" w:hAnsi="Century" w:cs="Miriam" w:hint="eastAsia"/>
          <w:b/>
          <w:rtl/>
        </w:rPr>
        <w:t>נ</w:t>
      </w:r>
      <w:r w:rsidRPr="00EB646B">
        <w:rPr>
          <w:rFonts w:ascii="Century" w:hAnsi="Century" w:cs="Miriam"/>
          <w:b/>
          <w:rtl/>
        </w:rPr>
        <w:t xml:space="preserve">' </w:t>
      </w:r>
      <w:r w:rsidRPr="00EB646B">
        <w:rPr>
          <w:rFonts w:ascii="Century" w:hAnsi="Century" w:cs="Miriam" w:hint="eastAsia"/>
          <w:b/>
          <w:rtl/>
        </w:rPr>
        <w:t>משרד</w:t>
      </w:r>
      <w:r w:rsidRPr="00EB646B">
        <w:rPr>
          <w:rFonts w:ascii="Century" w:hAnsi="Century" w:cs="Miriam"/>
          <w:b/>
          <w:rtl/>
        </w:rPr>
        <w:t xml:space="preserve"> </w:t>
      </w:r>
      <w:r w:rsidRPr="00EB646B">
        <w:rPr>
          <w:rFonts w:ascii="Century" w:hAnsi="Century" w:cs="Miriam" w:hint="eastAsia"/>
          <w:b/>
          <w:rtl/>
        </w:rPr>
        <w:t>הבינוי</w:t>
      </w:r>
      <w:r w:rsidRPr="00EB646B">
        <w:rPr>
          <w:rFonts w:ascii="Century" w:hAnsi="Century" w:cs="Miriam"/>
          <w:b/>
          <w:rtl/>
        </w:rPr>
        <w:t xml:space="preserve"> </w:t>
      </w:r>
      <w:r w:rsidRPr="00EB646B">
        <w:rPr>
          <w:rFonts w:ascii="Century" w:hAnsi="Century" w:cs="Miriam" w:hint="eastAsia"/>
          <w:b/>
          <w:rtl/>
        </w:rPr>
        <w:t>והשיכון</w:t>
      </w:r>
      <w:r w:rsidRPr="003118CF">
        <w:rPr>
          <w:rFonts w:ascii="Century" w:hAnsi="Century" w:cs="FrankRuehl"/>
          <w:spacing w:val="10"/>
          <w:szCs w:val="28"/>
          <w:rtl/>
        </w:rPr>
        <w:t xml:space="preserve">, </w:t>
      </w:r>
      <w:r>
        <w:rPr>
          <w:rFonts w:ascii="Century" w:hAnsi="Century" w:cs="FrankRuehl" w:hint="cs"/>
          <w:spacing w:val="10"/>
          <w:szCs w:val="28"/>
          <w:rtl/>
        </w:rPr>
        <w:t xml:space="preserve">פ"ד </w:t>
      </w:r>
      <w:r w:rsidRPr="003118CF">
        <w:rPr>
          <w:rFonts w:ascii="Century" w:hAnsi="Century" w:cs="FrankRuehl"/>
          <w:spacing w:val="10"/>
          <w:szCs w:val="28"/>
          <w:rtl/>
        </w:rPr>
        <w:t>נט(4) 241</w:t>
      </w:r>
      <w:r>
        <w:rPr>
          <w:rFonts w:ascii="Century" w:hAnsi="Century" w:cs="FrankRuehl" w:hint="cs"/>
          <w:spacing w:val="10"/>
          <w:szCs w:val="28"/>
          <w:rtl/>
        </w:rPr>
        <w:t>, 271, 285, 288</w:t>
      </w:r>
      <w:r w:rsidRPr="003118CF">
        <w:rPr>
          <w:rFonts w:ascii="Century" w:hAnsi="Century" w:cs="FrankRuehl"/>
          <w:spacing w:val="10"/>
          <w:szCs w:val="28"/>
          <w:rtl/>
        </w:rPr>
        <w:t xml:space="preserve"> (2004)</w:t>
      </w:r>
      <w:r>
        <w:rPr>
          <w:rFonts w:ascii="Century" w:hAnsi="Century" w:cs="FrankRuehl" w:hint="cs"/>
          <w:spacing w:val="10"/>
          <w:szCs w:val="28"/>
          <w:rtl/>
        </w:rPr>
        <w:t xml:space="preserve"> (להלן: </w:t>
      </w:r>
      <w:r w:rsidRPr="00EB646B">
        <w:rPr>
          <w:rFonts w:ascii="Century" w:hAnsi="Century" w:cs="Miriam" w:hint="eastAsia"/>
          <w:b/>
          <w:rtl/>
        </w:rPr>
        <w:t>עניין</w:t>
      </w:r>
      <w:r w:rsidRPr="00EB646B">
        <w:rPr>
          <w:rFonts w:ascii="Century" w:hAnsi="Century" w:cs="Miriam"/>
          <w:b/>
          <w:rtl/>
        </w:rPr>
        <w:t xml:space="preserve"> </w:t>
      </w:r>
      <w:r w:rsidRPr="00EB646B">
        <w:rPr>
          <w:rFonts w:ascii="Century" w:hAnsi="Century" w:cs="Miriam" w:hint="eastAsia"/>
          <w:b/>
          <w:rtl/>
        </w:rPr>
        <w:t>גניס</w:t>
      </w:r>
      <w:r>
        <w:rPr>
          <w:rFonts w:ascii="Century" w:hAnsi="Century" w:cs="FrankRuehl" w:hint="cs"/>
          <w:spacing w:val="10"/>
          <w:szCs w:val="28"/>
          <w:rtl/>
        </w:rPr>
        <w:t xml:space="preserve">); </w:t>
      </w:r>
      <w:r w:rsidRPr="006A762B">
        <w:rPr>
          <w:rFonts w:ascii="Century" w:hAnsi="Century" w:cs="FrankRuehl"/>
          <w:spacing w:val="10"/>
          <w:szCs w:val="28"/>
          <w:rtl/>
        </w:rPr>
        <w:t xml:space="preserve">ע"א 8569/06 </w:t>
      </w:r>
      <w:r w:rsidRPr="00EB646B">
        <w:rPr>
          <w:rFonts w:ascii="Century" w:hAnsi="Century" w:cs="Miriam" w:hint="eastAsia"/>
          <w:b/>
          <w:rtl/>
        </w:rPr>
        <w:t>מנהל</w:t>
      </w:r>
      <w:r w:rsidRPr="00EB646B">
        <w:rPr>
          <w:rFonts w:ascii="Century" w:hAnsi="Century" w:cs="Miriam"/>
          <w:b/>
          <w:rtl/>
        </w:rPr>
        <w:t xml:space="preserve"> </w:t>
      </w:r>
      <w:r w:rsidRPr="00EB646B">
        <w:rPr>
          <w:rFonts w:ascii="Century" w:hAnsi="Century" w:cs="Miriam" w:hint="eastAsia"/>
          <w:b/>
          <w:rtl/>
        </w:rPr>
        <w:t>מיסוי</w:t>
      </w:r>
      <w:r w:rsidRPr="00EB646B">
        <w:rPr>
          <w:rFonts w:ascii="Century" w:hAnsi="Century" w:cs="Miriam"/>
          <w:b/>
          <w:rtl/>
        </w:rPr>
        <w:t xml:space="preserve"> </w:t>
      </w:r>
      <w:r w:rsidRPr="00EB646B">
        <w:rPr>
          <w:rFonts w:ascii="Century" w:hAnsi="Century" w:cs="Miriam" w:hint="eastAsia"/>
          <w:b/>
          <w:rtl/>
        </w:rPr>
        <w:t>מקרקעין</w:t>
      </w:r>
      <w:r w:rsidRPr="00EB646B">
        <w:rPr>
          <w:rFonts w:ascii="Century" w:hAnsi="Century" w:cs="Miriam"/>
          <w:b/>
          <w:rtl/>
        </w:rPr>
        <w:t xml:space="preserve"> </w:t>
      </w:r>
      <w:r w:rsidRPr="00EB646B">
        <w:rPr>
          <w:rFonts w:ascii="Century" w:hAnsi="Century" w:cs="Miriam" w:hint="eastAsia"/>
          <w:b/>
          <w:rtl/>
        </w:rPr>
        <w:t>חיפה</w:t>
      </w:r>
      <w:r w:rsidRPr="00EB646B">
        <w:rPr>
          <w:rFonts w:ascii="Century" w:hAnsi="Century" w:cs="Miriam"/>
          <w:b/>
          <w:rtl/>
        </w:rPr>
        <w:t xml:space="preserve"> </w:t>
      </w:r>
      <w:r w:rsidRPr="00EB646B">
        <w:rPr>
          <w:rFonts w:ascii="Century" w:hAnsi="Century" w:cs="Miriam" w:hint="eastAsia"/>
          <w:b/>
          <w:rtl/>
        </w:rPr>
        <w:t>נ</w:t>
      </w:r>
      <w:r w:rsidRPr="00EB646B">
        <w:rPr>
          <w:rFonts w:ascii="Century" w:hAnsi="Century" w:cs="Miriam"/>
          <w:b/>
          <w:rtl/>
        </w:rPr>
        <w:t xml:space="preserve">' </w:t>
      </w:r>
      <w:r w:rsidRPr="00EB646B">
        <w:rPr>
          <w:rFonts w:ascii="Century" w:hAnsi="Century" w:cs="Miriam" w:hint="eastAsia"/>
          <w:b/>
          <w:rtl/>
        </w:rPr>
        <w:t>פוליטי</w:t>
      </w:r>
      <w:r w:rsidRPr="006A762B">
        <w:rPr>
          <w:rFonts w:ascii="Century" w:hAnsi="Century" w:cs="FrankRuehl"/>
          <w:spacing w:val="10"/>
          <w:szCs w:val="28"/>
          <w:rtl/>
        </w:rPr>
        <w:t xml:space="preserve">, </w:t>
      </w:r>
      <w:r>
        <w:rPr>
          <w:rFonts w:ascii="Century" w:hAnsi="Century" w:cs="FrankRuehl" w:hint="cs"/>
          <w:spacing w:val="10"/>
          <w:szCs w:val="28"/>
          <w:rtl/>
        </w:rPr>
        <w:t xml:space="preserve">פ"ד </w:t>
      </w:r>
      <w:r w:rsidRPr="006A762B">
        <w:rPr>
          <w:rFonts w:ascii="Century" w:hAnsi="Century" w:cs="FrankRuehl"/>
          <w:spacing w:val="10"/>
          <w:szCs w:val="28"/>
          <w:rtl/>
        </w:rPr>
        <w:t>סב(4) 280</w:t>
      </w:r>
      <w:r>
        <w:rPr>
          <w:rFonts w:ascii="Century" w:hAnsi="Century" w:cs="FrankRuehl" w:hint="cs"/>
          <w:spacing w:val="10"/>
          <w:szCs w:val="28"/>
          <w:rtl/>
        </w:rPr>
        <w:t>, 303-302</w:t>
      </w:r>
      <w:r w:rsidRPr="006A762B">
        <w:rPr>
          <w:rFonts w:ascii="Century" w:hAnsi="Century" w:cs="FrankRuehl"/>
          <w:spacing w:val="10"/>
          <w:szCs w:val="28"/>
          <w:rtl/>
        </w:rPr>
        <w:t xml:space="preserve"> (2008)</w:t>
      </w:r>
      <w:r>
        <w:rPr>
          <w:rFonts w:ascii="Century" w:hAnsi="Century" w:cs="FrankRuehl" w:hint="cs"/>
          <w:spacing w:val="10"/>
          <w:szCs w:val="28"/>
          <w:rtl/>
        </w:rPr>
        <w:t xml:space="preserve">). פרשנות מעין זו כמוה ככתיבת החוק מחדש. ואולם </w:t>
      </w:r>
      <w:r>
        <w:rPr>
          <w:rFonts w:ascii="Century" w:hAnsi="Century" w:cs="FrankRuehl"/>
          <w:spacing w:val="10"/>
          <w:szCs w:val="28"/>
          <w:rtl/>
        </w:rPr>
        <w:t>–</w:t>
      </w:r>
      <w:r>
        <w:rPr>
          <w:rFonts w:ascii="Century" w:hAnsi="Century" w:cs="FrankRuehl" w:hint="cs"/>
          <w:spacing w:val="10"/>
          <w:szCs w:val="28"/>
          <w:rtl/>
        </w:rPr>
        <w:t xml:space="preserve"> כתיבת חוקים היא מלאכה השמורה לרשות המחוקקת, ואילו בית המשפט אמון על פרשנותם של החוקים; וככל שיש בכך צורך </w:t>
      </w:r>
      <w:r>
        <w:rPr>
          <w:rFonts w:ascii="Century" w:hAnsi="Century" w:cs="FrankRuehl"/>
          <w:spacing w:val="10"/>
          <w:szCs w:val="28"/>
          <w:rtl/>
        </w:rPr>
        <w:t>–</w:t>
      </w:r>
      <w:r>
        <w:rPr>
          <w:rFonts w:ascii="Century" w:hAnsi="Century" w:cs="FrankRuehl" w:hint="cs"/>
          <w:spacing w:val="10"/>
          <w:szCs w:val="28"/>
          <w:rtl/>
        </w:rPr>
        <w:t xml:space="preserve"> על בחינת תוקפם בהתאם לפרשנות הנכונה שלהם. בית המשפט אינו רשאי לטעמי, רק כדי "לקיים" את החוק, לכתוב אותו מחדש באופן שיאפשר להכיר בתוקפו. </w:t>
      </w:r>
    </w:p>
    <w:p w:rsidR="00A01E7C" w:rsidRDefault="00A01E7C" w:rsidP="00A01E7C">
      <w:pPr>
        <w:spacing w:line="360" w:lineRule="auto"/>
        <w:ind w:firstLine="720"/>
        <w:jc w:val="both"/>
        <w:rPr>
          <w:rFonts w:ascii="Century" w:hAnsi="Century" w:cs="FrankRuehl"/>
          <w:spacing w:val="10"/>
          <w:szCs w:val="28"/>
          <w:rtl/>
        </w:rPr>
      </w:pPr>
    </w:p>
    <w:p w:rsidR="00A01E7C" w:rsidRDefault="00A01E7C" w:rsidP="00A01E7C">
      <w:pPr>
        <w:spacing w:line="360" w:lineRule="auto"/>
        <w:ind w:firstLine="720"/>
        <w:jc w:val="both"/>
        <w:rPr>
          <w:rFonts w:ascii="Century" w:hAnsi="Century" w:cs="FrankRuehl"/>
          <w:spacing w:val="10"/>
          <w:szCs w:val="28"/>
          <w:rtl/>
        </w:rPr>
      </w:pPr>
      <w:r>
        <w:rPr>
          <w:rFonts w:ascii="Century" w:hAnsi="Century" w:cs="FrankRuehl" w:hint="cs"/>
          <w:spacing w:val="10"/>
          <w:szCs w:val="28"/>
          <w:rtl/>
        </w:rPr>
        <w:t xml:space="preserve">יפים לענייננו דבריו של השופט </w:t>
      </w:r>
      <w:r w:rsidRPr="00EB646B">
        <w:rPr>
          <w:rFonts w:ascii="Century" w:hAnsi="Century" w:cs="Miriam" w:hint="eastAsia"/>
          <w:b/>
          <w:rtl/>
        </w:rPr>
        <w:t>א</w:t>
      </w:r>
      <w:r w:rsidRPr="00EB646B">
        <w:rPr>
          <w:rFonts w:ascii="Century" w:hAnsi="Century" w:cs="Miriam"/>
          <w:b/>
          <w:rtl/>
        </w:rPr>
        <w:t xml:space="preserve">' </w:t>
      </w:r>
      <w:r w:rsidRPr="00EB646B">
        <w:rPr>
          <w:rFonts w:ascii="Century" w:hAnsi="Century" w:cs="Miriam" w:hint="eastAsia"/>
          <w:b/>
          <w:rtl/>
        </w:rPr>
        <w:t>ריבלין</w:t>
      </w:r>
      <w:r w:rsidRPr="00EB646B">
        <w:rPr>
          <w:rFonts w:ascii="Century" w:hAnsi="Century" w:cs="Miriam"/>
          <w:b/>
          <w:rtl/>
        </w:rPr>
        <w:t xml:space="preserve"> </w:t>
      </w:r>
      <w:r>
        <w:rPr>
          <w:rFonts w:ascii="Century" w:hAnsi="Century" w:cs="FrankRuehl" w:hint="cs"/>
          <w:spacing w:val="10"/>
          <w:szCs w:val="28"/>
          <w:rtl/>
        </w:rPr>
        <w:t xml:space="preserve">(שנותר בדעת מיעוט) בעניין </w:t>
      </w:r>
      <w:r w:rsidRPr="00EB646B">
        <w:rPr>
          <w:rFonts w:ascii="Century" w:hAnsi="Century" w:cs="Miriam" w:hint="eastAsia"/>
          <w:b/>
          <w:rtl/>
        </w:rPr>
        <w:t>גניס</w:t>
      </w:r>
      <w:r>
        <w:rPr>
          <w:rFonts w:ascii="Century" w:hAnsi="Century" w:cs="FrankRuehl" w:hint="cs"/>
          <w:spacing w:val="10"/>
          <w:szCs w:val="28"/>
          <w:rtl/>
        </w:rPr>
        <w:t>, בשינויים המחויבים:</w:t>
      </w:r>
    </w:p>
    <w:p w:rsidR="00A01E7C" w:rsidRDefault="00A01E7C" w:rsidP="00A01E7C">
      <w:pPr>
        <w:spacing w:line="360" w:lineRule="auto"/>
        <w:jc w:val="both"/>
        <w:rPr>
          <w:rFonts w:ascii="Century" w:hAnsi="Century" w:cs="FrankRuehl"/>
          <w:spacing w:val="10"/>
          <w:szCs w:val="28"/>
          <w:rtl/>
        </w:rPr>
      </w:pPr>
    </w:p>
    <w:p w:rsidR="00A01E7C" w:rsidRPr="0024615A" w:rsidRDefault="00A01E7C" w:rsidP="00A01E7C">
      <w:pPr>
        <w:pStyle w:val="Ruller5"/>
      </w:pPr>
      <w:r w:rsidRPr="00D3791E">
        <w:rPr>
          <w:rFonts w:hint="eastAsia"/>
          <w:rtl/>
        </w:rPr>
        <w:lastRenderedPageBreak/>
        <w:t>הסמכות</w:t>
      </w:r>
      <w:r w:rsidRPr="00D3791E">
        <w:rPr>
          <w:rtl/>
        </w:rPr>
        <w:t xml:space="preserve"> </w:t>
      </w:r>
      <w:r w:rsidRPr="00D3791E">
        <w:rPr>
          <w:rFonts w:hint="eastAsia"/>
          <w:rtl/>
        </w:rPr>
        <w:t>לחוקק</w:t>
      </w:r>
      <w:r w:rsidRPr="00D3791E">
        <w:rPr>
          <w:rtl/>
        </w:rPr>
        <w:t xml:space="preserve"> </w:t>
      </w:r>
      <w:r w:rsidRPr="00D3791E">
        <w:rPr>
          <w:rFonts w:hint="eastAsia"/>
          <w:rtl/>
        </w:rPr>
        <w:t>חוקים</w:t>
      </w:r>
      <w:r w:rsidRPr="00D3791E">
        <w:rPr>
          <w:rtl/>
        </w:rPr>
        <w:t xml:space="preserve"> </w:t>
      </w:r>
      <w:r w:rsidRPr="00D3791E">
        <w:rPr>
          <w:rFonts w:hint="eastAsia"/>
          <w:rtl/>
        </w:rPr>
        <w:t>ולתקנם</w:t>
      </w:r>
      <w:r w:rsidRPr="00D3791E">
        <w:rPr>
          <w:rtl/>
        </w:rPr>
        <w:t xml:space="preserve"> </w:t>
      </w:r>
      <w:r w:rsidRPr="00D3791E">
        <w:rPr>
          <w:rFonts w:hint="eastAsia"/>
          <w:rtl/>
        </w:rPr>
        <w:t>שמורה</w:t>
      </w:r>
      <w:r w:rsidRPr="00D3791E">
        <w:rPr>
          <w:rtl/>
        </w:rPr>
        <w:t xml:space="preserve"> </w:t>
      </w:r>
      <w:r w:rsidRPr="00D3791E">
        <w:rPr>
          <w:rFonts w:hint="eastAsia"/>
          <w:rtl/>
        </w:rPr>
        <w:t>לרשות</w:t>
      </w:r>
      <w:r w:rsidRPr="00D3791E">
        <w:rPr>
          <w:rtl/>
        </w:rPr>
        <w:t xml:space="preserve"> </w:t>
      </w:r>
      <w:r w:rsidRPr="00D3791E">
        <w:rPr>
          <w:rFonts w:hint="eastAsia"/>
          <w:rtl/>
        </w:rPr>
        <w:t>המחוקקת</w:t>
      </w:r>
      <w:r w:rsidRPr="00D3791E">
        <w:rPr>
          <w:rtl/>
        </w:rPr>
        <w:t xml:space="preserve">, </w:t>
      </w:r>
      <w:r w:rsidRPr="00D3791E">
        <w:rPr>
          <w:rFonts w:hint="eastAsia"/>
          <w:rtl/>
        </w:rPr>
        <w:t>בעוד</w:t>
      </w:r>
      <w:r w:rsidRPr="00D3791E">
        <w:rPr>
          <w:rtl/>
        </w:rPr>
        <w:t xml:space="preserve"> </w:t>
      </w:r>
      <w:r w:rsidRPr="00D3791E">
        <w:rPr>
          <w:rFonts w:hint="eastAsia"/>
          <w:rtl/>
        </w:rPr>
        <w:t>שבית</w:t>
      </w:r>
      <w:r w:rsidRPr="00D3791E">
        <w:rPr>
          <w:rtl/>
        </w:rPr>
        <w:t>-</w:t>
      </w:r>
      <w:r w:rsidRPr="00D3791E">
        <w:rPr>
          <w:rFonts w:hint="eastAsia"/>
          <w:rtl/>
        </w:rPr>
        <w:t>המשפט</w:t>
      </w:r>
      <w:r w:rsidRPr="00D3791E">
        <w:rPr>
          <w:rtl/>
        </w:rPr>
        <w:t xml:space="preserve"> </w:t>
      </w:r>
      <w:r w:rsidRPr="00D3791E">
        <w:rPr>
          <w:rFonts w:hint="eastAsia"/>
          <w:rtl/>
        </w:rPr>
        <w:t>מפרש</w:t>
      </w:r>
      <w:r w:rsidRPr="00D3791E">
        <w:rPr>
          <w:rtl/>
        </w:rPr>
        <w:t xml:space="preserve"> </w:t>
      </w:r>
      <w:r w:rsidRPr="00D3791E">
        <w:rPr>
          <w:rFonts w:hint="eastAsia"/>
          <w:rtl/>
        </w:rPr>
        <w:t>חוקים</w:t>
      </w:r>
      <w:r w:rsidRPr="00D3791E">
        <w:rPr>
          <w:rtl/>
        </w:rPr>
        <w:t xml:space="preserve"> </w:t>
      </w:r>
      <w:r w:rsidRPr="00D3791E">
        <w:rPr>
          <w:rFonts w:hint="eastAsia"/>
          <w:rtl/>
        </w:rPr>
        <w:t>ומפקח</w:t>
      </w:r>
      <w:r w:rsidRPr="00D3791E">
        <w:rPr>
          <w:rtl/>
        </w:rPr>
        <w:t xml:space="preserve"> </w:t>
      </w:r>
      <w:r w:rsidRPr="00D3791E">
        <w:rPr>
          <w:rFonts w:hint="eastAsia"/>
          <w:rtl/>
        </w:rPr>
        <w:t>על</w:t>
      </w:r>
      <w:r w:rsidRPr="00D3791E">
        <w:rPr>
          <w:rtl/>
        </w:rPr>
        <w:t xml:space="preserve"> </w:t>
      </w:r>
      <w:r w:rsidRPr="00D3791E">
        <w:rPr>
          <w:rFonts w:hint="eastAsia"/>
          <w:rtl/>
        </w:rPr>
        <w:t>חוקתיותם</w:t>
      </w:r>
      <w:r w:rsidRPr="00D3791E">
        <w:rPr>
          <w:rtl/>
        </w:rPr>
        <w:t xml:space="preserve">. </w:t>
      </w:r>
      <w:r w:rsidRPr="00D3791E">
        <w:rPr>
          <w:rFonts w:hint="eastAsia"/>
          <w:rtl/>
        </w:rPr>
        <w:t>פרשנות</w:t>
      </w:r>
      <w:r w:rsidRPr="00D3791E">
        <w:rPr>
          <w:rtl/>
        </w:rPr>
        <w:t xml:space="preserve"> </w:t>
      </w:r>
      <w:r w:rsidRPr="00D3791E">
        <w:rPr>
          <w:rFonts w:hint="eastAsia"/>
          <w:rtl/>
        </w:rPr>
        <w:t>אשר</w:t>
      </w:r>
      <w:r w:rsidRPr="00D3791E">
        <w:rPr>
          <w:rtl/>
        </w:rPr>
        <w:t xml:space="preserve"> </w:t>
      </w:r>
      <w:r w:rsidRPr="00D3791E">
        <w:rPr>
          <w:rFonts w:hint="eastAsia"/>
          <w:rtl/>
        </w:rPr>
        <w:t>אינה</w:t>
      </w:r>
      <w:r w:rsidRPr="00D3791E">
        <w:rPr>
          <w:rtl/>
        </w:rPr>
        <w:t xml:space="preserve"> </w:t>
      </w:r>
      <w:r w:rsidRPr="00D3791E">
        <w:rPr>
          <w:rFonts w:hint="eastAsia"/>
          <w:rtl/>
        </w:rPr>
        <w:t>עולה</w:t>
      </w:r>
      <w:r w:rsidRPr="00D3791E">
        <w:rPr>
          <w:rtl/>
        </w:rPr>
        <w:t xml:space="preserve"> </w:t>
      </w:r>
      <w:r w:rsidRPr="00D3791E">
        <w:rPr>
          <w:rFonts w:hint="eastAsia"/>
          <w:rtl/>
        </w:rPr>
        <w:t>בקנה</w:t>
      </w:r>
      <w:r w:rsidRPr="00D3791E">
        <w:rPr>
          <w:rtl/>
        </w:rPr>
        <w:t xml:space="preserve"> </w:t>
      </w:r>
      <w:r w:rsidRPr="00D3791E">
        <w:rPr>
          <w:rFonts w:hint="eastAsia"/>
          <w:rtl/>
        </w:rPr>
        <w:t>אחד</w:t>
      </w:r>
      <w:r w:rsidRPr="00D3791E">
        <w:rPr>
          <w:rtl/>
        </w:rPr>
        <w:t xml:space="preserve"> </w:t>
      </w:r>
      <w:r w:rsidRPr="00D3791E">
        <w:rPr>
          <w:rFonts w:hint="eastAsia"/>
          <w:rtl/>
        </w:rPr>
        <w:t>עם</w:t>
      </w:r>
      <w:r w:rsidRPr="00D3791E">
        <w:rPr>
          <w:rtl/>
        </w:rPr>
        <w:t xml:space="preserve"> </w:t>
      </w:r>
      <w:r w:rsidRPr="00D3791E">
        <w:rPr>
          <w:rFonts w:hint="eastAsia"/>
          <w:rtl/>
        </w:rPr>
        <w:t>לשון</w:t>
      </w:r>
      <w:r w:rsidRPr="00D3791E">
        <w:rPr>
          <w:rtl/>
        </w:rPr>
        <w:t xml:space="preserve"> </w:t>
      </w:r>
      <w:r w:rsidRPr="00D3791E">
        <w:rPr>
          <w:rFonts w:hint="eastAsia"/>
          <w:rtl/>
        </w:rPr>
        <w:t>החוק</w:t>
      </w:r>
      <w:r w:rsidRPr="00D3791E">
        <w:rPr>
          <w:rtl/>
        </w:rPr>
        <w:t xml:space="preserve"> </w:t>
      </w:r>
      <w:r w:rsidRPr="00D3791E">
        <w:rPr>
          <w:rFonts w:hint="eastAsia"/>
          <w:rtl/>
        </w:rPr>
        <w:t>פגיעתה</w:t>
      </w:r>
      <w:r w:rsidRPr="00D3791E">
        <w:rPr>
          <w:rtl/>
        </w:rPr>
        <w:t xml:space="preserve"> </w:t>
      </w:r>
      <w:r w:rsidRPr="00D3791E">
        <w:rPr>
          <w:rFonts w:hint="eastAsia"/>
          <w:rtl/>
        </w:rPr>
        <w:t>בסמכות</w:t>
      </w:r>
      <w:r w:rsidRPr="00D3791E">
        <w:rPr>
          <w:rtl/>
        </w:rPr>
        <w:t xml:space="preserve"> </w:t>
      </w:r>
      <w:r w:rsidRPr="00D3791E">
        <w:rPr>
          <w:rFonts w:hint="eastAsia"/>
          <w:rtl/>
        </w:rPr>
        <w:t>הנתונה</w:t>
      </w:r>
      <w:r w:rsidRPr="00D3791E">
        <w:rPr>
          <w:rtl/>
        </w:rPr>
        <w:t xml:space="preserve"> </w:t>
      </w:r>
      <w:r w:rsidRPr="00D3791E">
        <w:rPr>
          <w:rFonts w:hint="eastAsia"/>
          <w:rtl/>
        </w:rPr>
        <w:t>לגוף</w:t>
      </w:r>
      <w:r w:rsidRPr="00D3791E">
        <w:rPr>
          <w:rtl/>
        </w:rPr>
        <w:t xml:space="preserve"> </w:t>
      </w:r>
      <w:r w:rsidRPr="00D3791E">
        <w:rPr>
          <w:rFonts w:hint="eastAsia"/>
          <w:rtl/>
        </w:rPr>
        <w:t>המחוקק</w:t>
      </w:r>
      <w:r w:rsidRPr="00D3791E">
        <w:rPr>
          <w:rtl/>
        </w:rPr>
        <w:t xml:space="preserve"> </w:t>
      </w:r>
      <w:r w:rsidRPr="00D3791E">
        <w:rPr>
          <w:rFonts w:hint="eastAsia"/>
          <w:rtl/>
        </w:rPr>
        <w:t>עולה</w:t>
      </w:r>
      <w:r w:rsidRPr="00D3791E">
        <w:rPr>
          <w:rtl/>
        </w:rPr>
        <w:t xml:space="preserve"> </w:t>
      </w:r>
      <w:r w:rsidRPr="00D3791E">
        <w:rPr>
          <w:rFonts w:hint="eastAsia"/>
          <w:rtl/>
        </w:rPr>
        <w:t>על</w:t>
      </w:r>
      <w:r w:rsidRPr="00D3791E">
        <w:rPr>
          <w:rtl/>
        </w:rPr>
        <w:t xml:space="preserve"> </w:t>
      </w:r>
      <w:r w:rsidRPr="00D3791E">
        <w:rPr>
          <w:rFonts w:hint="eastAsia"/>
          <w:rtl/>
        </w:rPr>
        <w:t>זו</w:t>
      </w:r>
      <w:r w:rsidRPr="00D3791E">
        <w:rPr>
          <w:rtl/>
        </w:rPr>
        <w:t xml:space="preserve"> </w:t>
      </w:r>
      <w:r w:rsidRPr="00D3791E">
        <w:rPr>
          <w:rFonts w:hint="eastAsia"/>
          <w:rtl/>
        </w:rPr>
        <w:t>הכרוכה</w:t>
      </w:r>
      <w:r w:rsidRPr="00D3791E">
        <w:rPr>
          <w:rtl/>
        </w:rPr>
        <w:t xml:space="preserve"> </w:t>
      </w:r>
      <w:r w:rsidRPr="00D3791E">
        <w:rPr>
          <w:rFonts w:hint="eastAsia"/>
          <w:rtl/>
        </w:rPr>
        <w:t>בהכרזה</w:t>
      </w:r>
      <w:r w:rsidRPr="00D3791E">
        <w:rPr>
          <w:rtl/>
        </w:rPr>
        <w:t xml:space="preserve"> </w:t>
      </w:r>
      <w:r w:rsidRPr="00D3791E">
        <w:rPr>
          <w:rFonts w:hint="eastAsia"/>
          <w:rtl/>
        </w:rPr>
        <w:t>על</w:t>
      </w:r>
      <w:r w:rsidRPr="00D3791E">
        <w:rPr>
          <w:rtl/>
        </w:rPr>
        <w:t xml:space="preserve"> </w:t>
      </w:r>
      <w:r w:rsidRPr="00D3791E">
        <w:rPr>
          <w:rFonts w:hint="eastAsia"/>
          <w:rtl/>
        </w:rPr>
        <w:t>בטלותו</w:t>
      </w:r>
      <w:r w:rsidRPr="00D3791E">
        <w:rPr>
          <w:rtl/>
        </w:rPr>
        <w:t xml:space="preserve"> </w:t>
      </w:r>
      <w:r w:rsidRPr="00D3791E">
        <w:rPr>
          <w:rFonts w:hint="eastAsia"/>
          <w:rtl/>
        </w:rPr>
        <w:t>של</w:t>
      </w:r>
      <w:r w:rsidRPr="00D3791E">
        <w:rPr>
          <w:rtl/>
        </w:rPr>
        <w:t xml:space="preserve"> </w:t>
      </w:r>
      <w:r w:rsidRPr="00D3791E">
        <w:rPr>
          <w:rFonts w:hint="eastAsia"/>
          <w:rtl/>
        </w:rPr>
        <w:t>חוק</w:t>
      </w:r>
      <w:r w:rsidRPr="00D3791E">
        <w:rPr>
          <w:rtl/>
        </w:rPr>
        <w:t xml:space="preserve"> </w:t>
      </w:r>
      <w:r w:rsidRPr="00D3791E">
        <w:rPr>
          <w:rFonts w:hint="eastAsia"/>
          <w:rtl/>
        </w:rPr>
        <w:t>מטעמים</w:t>
      </w:r>
      <w:r w:rsidRPr="00D3791E">
        <w:rPr>
          <w:rtl/>
        </w:rPr>
        <w:t xml:space="preserve"> </w:t>
      </w:r>
      <w:r w:rsidRPr="00D3791E">
        <w:rPr>
          <w:rFonts w:hint="eastAsia"/>
          <w:rtl/>
        </w:rPr>
        <w:t>חוקתיים</w:t>
      </w:r>
      <w:r w:rsidRPr="00D3791E">
        <w:rPr>
          <w:rtl/>
        </w:rPr>
        <w:t xml:space="preserve"> </w:t>
      </w:r>
      <w:r w:rsidRPr="00D3791E">
        <w:rPr>
          <w:rFonts w:hint="eastAsia"/>
          <w:rtl/>
        </w:rPr>
        <w:t>לאין</w:t>
      </w:r>
      <w:r w:rsidRPr="00D3791E">
        <w:rPr>
          <w:rtl/>
        </w:rPr>
        <w:t xml:space="preserve"> </w:t>
      </w:r>
      <w:r w:rsidRPr="00D3791E">
        <w:rPr>
          <w:rFonts w:hint="eastAsia"/>
          <w:rtl/>
        </w:rPr>
        <w:t>ערוך</w:t>
      </w:r>
      <w:r w:rsidRPr="00D3791E">
        <w:rPr>
          <w:rtl/>
        </w:rPr>
        <w:t xml:space="preserve">. </w:t>
      </w:r>
      <w:r w:rsidRPr="00D3791E">
        <w:rPr>
          <w:rFonts w:hint="eastAsia"/>
          <w:rtl/>
        </w:rPr>
        <w:t>פרשנות</w:t>
      </w:r>
      <w:r w:rsidRPr="00D3791E">
        <w:rPr>
          <w:rtl/>
        </w:rPr>
        <w:t xml:space="preserve"> </w:t>
      </w:r>
      <w:r w:rsidRPr="00D3791E">
        <w:rPr>
          <w:rFonts w:hint="eastAsia"/>
          <w:rtl/>
        </w:rPr>
        <w:t>הנעדרת</w:t>
      </w:r>
      <w:r w:rsidRPr="00D3791E">
        <w:rPr>
          <w:rtl/>
        </w:rPr>
        <w:t xml:space="preserve"> </w:t>
      </w:r>
      <w:r w:rsidRPr="00D3791E">
        <w:rPr>
          <w:rFonts w:hint="eastAsia"/>
          <w:rtl/>
        </w:rPr>
        <w:t>אחיזה</w:t>
      </w:r>
      <w:r w:rsidRPr="00D3791E">
        <w:rPr>
          <w:rtl/>
        </w:rPr>
        <w:t xml:space="preserve"> </w:t>
      </w:r>
      <w:r w:rsidRPr="00D3791E">
        <w:rPr>
          <w:rFonts w:hint="eastAsia"/>
          <w:rtl/>
        </w:rPr>
        <w:t>ראויה</w:t>
      </w:r>
      <w:r w:rsidRPr="00D3791E">
        <w:rPr>
          <w:rtl/>
        </w:rPr>
        <w:t xml:space="preserve"> </w:t>
      </w:r>
      <w:r w:rsidRPr="00D3791E">
        <w:rPr>
          <w:rFonts w:hint="eastAsia"/>
          <w:rtl/>
        </w:rPr>
        <w:t>בלשון</w:t>
      </w:r>
      <w:r w:rsidRPr="00D3791E">
        <w:rPr>
          <w:rtl/>
        </w:rPr>
        <w:t xml:space="preserve"> </w:t>
      </w:r>
      <w:r w:rsidRPr="00D3791E">
        <w:rPr>
          <w:rFonts w:hint="eastAsia"/>
          <w:rtl/>
        </w:rPr>
        <w:t>החוק</w:t>
      </w:r>
      <w:r w:rsidRPr="00D3791E">
        <w:rPr>
          <w:rtl/>
        </w:rPr>
        <w:t xml:space="preserve"> </w:t>
      </w:r>
      <w:r w:rsidRPr="00D3791E">
        <w:rPr>
          <w:rFonts w:hint="eastAsia"/>
          <w:rtl/>
        </w:rPr>
        <w:t>עשויה</w:t>
      </w:r>
      <w:r w:rsidRPr="00D3791E">
        <w:rPr>
          <w:rtl/>
        </w:rPr>
        <w:t xml:space="preserve"> </w:t>
      </w:r>
      <w:r w:rsidRPr="00D3791E">
        <w:rPr>
          <w:rFonts w:hint="eastAsia"/>
          <w:rtl/>
        </w:rPr>
        <w:t>להפר</w:t>
      </w:r>
      <w:r w:rsidRPr="00D3791E">
        <w:rPr>
          <w:rtl/>
        </w:rPr>
        <w:t xml:space="preserve"> </w:t>
      </w:r>
      <w:r w:rsidRPr="00D3791E">
        <w:rPr>
          <w:rFonts w:hint="eastAsia"/>
          <w:rtl/>
        </w:rPr>
        <w:t>את</w:t>
      </w:r>
      <w:r w:rsidRPr="00D3791E">
        <w:rPr>
          <w:rtl/>
        </w:rPr>
        <w:t xml:space="preserve"> </w:t>
      </w:r>
      <w:r w:rsidRPr="00D3791E">
        <w:rPr>
          <w:rFonts w:hint="eastAsia"/>
          <w:rtl/>
        </w:rPr>
        <w:t>האיזון</w:t>
      </w:r>
      <w:r w:rsidRPr="00D3791E">
        <w:rPr>
          <w:rtl/>
        </w:rPr>
        <w:t xml:space="preserve"> </w:t>
      </w:r>
      <w:r w:rsidRPr="00D3791E">
        <w:rPr>
          <w:rFonts w:hint="eastAsia"/>
          <w:rtl/>
        </w:rPr>
        <w:t>העדין</w:t>
      </w:r>
      <w:r w:rsidRPr="00D3791E">
        <w:rPr>
          <w:rtl/>
        </w:rPr>
        <w:t xml:space="preserve"> </w:t>
      </w:r>
      <w:r w:rsidRPr="00D3791E">
        <w:rPr>
          <w:rFonts w:hint="eastAsia"/>
          <w:rtl/>
        </w:rPr>
        <w:t>שבין</w:t>
      </w:r>
      <w:r w:rsidRPr="00D3791E">
        <w:rPr>
          <w:rtl/>
        </w:rPr>
        <w:t xml:space="preserve"> </w:t>
      </w:r>
      <w:r w:rsidRPr="00D3791E">
        <w:rPr>
          <w:rFonts w:hint="eastAsia"/>
          <w:rtl/>
        </w:rPr>
        <w:t>הרשויות</w:t>
      </w:r>
      <w:r w:rsidRPr="00D3791E">
        <w:rPr>
          <w:rtl/>
        </w:rPr>
        <w:t xml:space="preserve">. </w:t>
      </w:r>
      <w:r w:rsidRPr="00D3791E">
        <w:rPr>
          <w:rFonts w:hint="eastAsia"/>
          <w:rtl/>
        </w:rPr>
        <w:t>במובן</w:t>
      </w:r>
      <w:r w:rsidRPr="00D3791E">
        <w:rPr>
          <w:rtl/>
        </w:rPr>
        <w:t xml:space="preserve"> </w:t>
      </w:r>
      <w:r w:rsidRPr="00D3791E">
        <w:rPr>
          <w:rFonts w:hint="eastAsia"/>
          <w:rtl/>
        </w:rPr>
        <w:t>מסוים</w:t>
      </w:r>
      <w:r w:rsidRPr="00D3791E">
        <w:rPr>
          <w:rtl/>
        </w:rPr>
        <w:t xml:space="preserve"> </w:t>
      </w:r>
      <w:r w:rsidRPr="00D3791E">
        <w:rPr>
          <w:rFonts w:hint="eastAsia"/>
          <w:rtl/>
        </w:rPr>
        <w:t>יש</w:t>
      </w:r>
      <w:r w:rsidRPr="00D3791E">
        <w:rPr>
          <w:rtl/>
        </w:rPr>
        <w:t xml:space="preserve"> </w:t>
      </w:r>
      <w:r w:rsidRPr="00D3791E">
        <w:rPr>
          <w:rFonts w:hint="eastAsia"/>
          <w:rtl/>
        </w:rPr>
        <w:t>בפרשנות</w:t>
      </w:r>
      <w:r w:rsidRPr="00D3791E">
        <w:rPr>
          <w:rtl/>
        </w:rPr>
        <w:t xml:space="preserve"> </w:t>
      </w:r>
      <w:r w:rsidRPr="00D3791E">
        <w:rPr>
          <w:rFonts w:hint="eastAsia"/>
          <w:rtl/>
        </w:rPr>
        <w:t>עוקפת</w:t>
      </w:r>
      <w:r w:rsidRPr="00D3791E">
        <w:rPr>
          <w:rtl/>
        </w:rPr>
        <w:t xml:space="preserve"> </w:t>
      </w:r>
      <w:r w:rsidRPr="00D3791E">
        <w:rPr>
          <w:rFonts w:hint="eastAsia"/>
          <w:rtl/>
        </w:rPr>
        <w:t>גם</w:t>
      </w:r>
      <w:r w:rsidRPr="00D3791E">
        <w:rPr>
          <w:rtl/>
        </w:rPr>
        <w:t xml:space="preserve"> </w:t>
      </w:r>
      <w:r w:rsidRPr="00D3791E">
        <w:rPr>
          <w:rFonts w:hint="eastAsia"/>
          <w:rtl/>
        </w:rPr>
        <w:t>משום</w:t>
      </w:r>
      <w:r w:rsidRPr="00D3791E">
        <w:rPr>
          <w:rtl/>
        </w:rPr>
        <w:t xml:space="preserve"> </w:t>
      </w:r>
      <w:r w:rsidRPr="00D3791E">
        <w:rPr>
          <w:rFonts w:hint="eastAsia"/>
          <w:rtl/>
        </w:rPr>
        <w:t>התנערות</w:t>
      </w:r>
      <w:r w:rsidRPr="00D3791E">
        <w:rPr>
          <w:rtl/>
        </w:rPr>
        <w:t xml:space="preserve"> </w:t>
      </w:r>
      <w:r w:rsidRPr="00D3791E">
        <w:rPr>
          <w:rFonts w:hint="eastAsia"/>
          <w:rtl/>
        </w:rPr>
        <w:t>של</w:t>
      </w:r>
      <w:r w:rsidRPr="00D3791E">
        <w:rPr>
          <w:rtl/>
        </w:rPr>
        <w:t xml:space="preserve"> </w:t>
      </w:r>
      <w:r w:rsidRPr="00D3791E">
        <w:rPr>
          <w:rFonts w:hint="eastAsia"/>
          <w:rtl/>
        </w:rPr>
        <w:t>בית</w:t>
      </w:r>
      <w:r w:rsidRPr="00D3791E">
        <w:rPr>
          <w:rtl/>
        </w:rPr>
        <w:t>-</w:t>
      </w:r>
      <w:r w:rsidRPr="00D3791E">
        <w:rPr>
          <w:rFonts w:hint="eastAsia"/>
          <w:rtl/>
        </w:rPr>
        <w:t>המשפט</w:t>
      </w:r>
      <w:r w:rsidRPr="00D3791E">
        <w:rPr>
          <w:rtl/>
        </w:rPr>
        <w:t xml:space="preserve"> </w:t>
      </w:r>
      <w:r w:rsidRPr="00D3791E">
        <w:rPr>
          <w:rFonts w:hint="eastAsia"/>
          <w:rtl/>
        </w:rPr>
        <w:t>מתפקידו</w:t>
      </w:r>
      <w:r w:rsidRPr="00D3791E">
        <w:rPr>
          <w:rtl/>
        </w:rPr>
        <w:t xml:space="preserve"> </w:t>
      </w:r>
      <w:r w:rsidRPr="00D3791E">
        <w:rPr>
          <w:rFonts w:hint="eastAsia"/>
          <w:rtl/>
        </w:rPr>
        <w:t>שלו</w:t>
      </w:r>
      <w:r w:rsidRPr="00D3791E">
        <w:rPr>
          <w:rtl/>
        </w:rPr>
        <w:t xml:space="preserve"> </w:t>
      </w:r>
      <w:r w:rsidRPr="00D3791E">
        <w:rPr>
          <w:rFonts w:hint="eastAsia"/>
          <w:rtl/>
        </w:rPr>
        <w:t>להכריז</w:t>
      </w:r>
      <w:r w:rsidRPr="00D3791E">
        <w:rPr>
          <w:rtl/>
        </w:rPr>
        <w:t xml:space="preserve"> </w:t>
      </w:r>
      <w:r w:rsidRPr="00D3791E">
        <w:rPr>
          <w:rFonts w:hint="eastAsia"/>
          <w:rtl/>
        </w:rPr>
        <w:t>בקול</w:t>
      </w:r>
      <w:r w:rsidRPr="00D3791E">
        <w:rPr>
          <w:rtl/>
        </w:rPr>
        <w:t xml:space="preserve"> </w:t>
      </w:r>
      <w:r w:rsidRPr="00D3791E">
        <w:rPr>
          <w:rFonts w:hint="eastAsia"/>
          <w:rtl/>
        </w:rPr>
        <w:t>רם</w:t>
      </w:r>
      <w:r w:rsidRPr="00D3791E">
        <w:rPr>
          <w:rtl/>
        </w:rPr>
        <w:t xml:space="preserve"> </w:t>
      </w:r>
      <w:r w:rsidRPr="00D3791E">
        <w:rPr>
          <w:rFonts w:hint="eastAsia"/>
          <w:rtl/>
        </w:rPr>
        <w:t>וברור</w:t>
      </w:r>
      <w:r w:rsidRPr="00D3791E">
        <w:rPr>
          <w:rtl/>
        </w:rPr>
        <w:t xml:space="preserve"> </w:t>
      </w:r>
      <w:r w:rsidRPr="00D3791E">
        <w:rPr>
          <w:rFonts w:hint="eastAsia"/>
          <w:rtl/>
        </w:rPr>
        <w:t>איזהו</w:t>
      </w:r>
      <w:r w:rsidRPr="00D3791E">
        <w:rPr>
          <w:rtl/>
        </w:rPr>
        <w:t xml:space="preserve"> </w:t>
      </w:r>
      <w:r w:rsidRPr="00D3791E">
        <w:rPr>
          <w:rFonts w:hint="eastAsia"/>
          <w:rtl/>
        </w:rPr>
        <w:t>חוק</w:t>
      </w:r>
      <w:r w:rsidRPr="00D3791E">
        <w:rPr>
          <w:rtl/>
        </w:rPr>
        <w:t xml:space="preserve"> </w:t>
      </w:r>
      <w:r w:rsidRPr="00D3791E">
        <w:rPr>
          <w:rFonts w:hint="eastAsia"/>
          <w:rtl/>
        </w:rPr>
        <w:t>אשר</w:t>
      </w:r>
      <w:r w:rsidRPr="00D3791E">
        <w:rPr>
          <w:rtl/>
        </w:rPr>
        <w:t xml:space="preserve"> </w:t>
      </w:r>
      <w:r w:rsidRPr="00D3791E">
        <w:rPr>
          <w:rFonts w:hint="eastAsia"/>
          <w:rtl/>
        </w:rPr>
        <w:t>ספר</w:t>
      </w:r>
      <w:r w:rsidRPr="00D3791E">
        <w:rPr>
          <w:rtl/>
        </w:rPr>
        <w:t xml:space="preserve"> </w:t>
      </w:r>
      <w:r w:rsidRPr="00D3791E">
        <w:rPr>
          <w:rFonts w:hint="eastAsia"/>
          <w:rtl/>
        </w:rPr>
        <w:t>החוקים</w:t>
      </w:r>
      <w:r w:rsidRPr="00D3791E">
        <w:rPr>
          <w:rtl/>
        </w:rPr>
        <w:t xml:space="preserve"> </w:t>
      </w:r>
      <w:r w:rsidRPr="00D3791E">
        <w:rPr>
          <w:rFonts w:hint="eastAsia"/>
          <w:rtl/>
        </w:rPr>
        <w:t>שלנו</w:t>
      </w:r>
      <w:r w:rsidRPr="00D3791E">
        <w:rPr>
          <w:rtl/>
        </w:rPr>
        <w:t xml:space="preserve"> </w:t>
      </w:r>
      <w:r w:rsidRPr="00D3791E">
        <w:rPr>
          <w:rFonts w:hint="eastAsia"/>
          <w:rtl/>
        </w:rPr>
        <w:t>אינו</w:t>
      </w:r>
      <w:r w:rsidRPr="00D3791E">
        <w:rPr>
          <w:rtl/>
        </w:rPr>
        <w:t xml:space="preserve"> </w:t>
      </w:r>
      <w:r w:rsidRPr="00D3791E">
        <w:rPr>
          <w:rFonts w:hint="eastAsia"/>
          <w:rtl/>
        </w:rPr>
        <w:t>יכול</w:t>
      </w:r>
      <w:r w:rsidRPr="00D3791E">
        <w:rPr>
          <w:rtl/>
        </w:rPr>
        <w:t xml:space="preserve"> </w:t>
      </w:r>
      <w:r w:rsidRPr="00D3791E">
        <w:rPr>
          <w:rFonts w:hint="eastAsia"/>
          <w:rtl/>
        </w:rPr>
        <w:t>לשאתו</w:t>
      </w:r>
      <w:r w:rsidRPr="00D3791E">
        <w:rPr>
          <w:rtl/>
        </w:rPr>
        <w:t xml:space="preserve"> </w:t>
      </w:r>
      <w:r w:rsidRPr="00D3791E">
        <w:rPr>
          <w:rFonts w:hint="eastAsia"/>
          <w:rtl/>
        </w:rPr>
        <w:t>לאור</w:t>
      </w:r>
      <w:r w:rsidRPr="00D3791E">
        <w:rPr>
          <w:rtl/>
        </w:rPr>
        <w:t xml:space="preserve"> </w:t>
      </w:r>
      <w:r w:rsidRPr="00D3791E">
        <w:rPr>
          <w:rFonts w:hint="eastAsia"/>
          <w:rtl/>
        </w:rPr>
        <w:t>עקרונות</w:t>
      </w:r>
      <w:r w:rsidRPr="00D3791E">
        <w:rPr>
          <w:rtl/>
        </w:rPr>
        <w:t xml:space="preserve"> </w:t>
      </w:r>
      <w:r w:rsidRPr="00D3791E">
        <w:rPr>
          <w:rFonts w:hint="eastAsia"/>
          <w:rtl/>
        </w:rPr>
        <w:t>היסוד</w:t>
      </w:r>
      <w:r w:rsidRPr="00D3791E">
        <w:rPr>
          <w:rtl/>
        </w:rPr>
        <w:t xml:space="preserve"> </w:t>
      </w:r>
      <w:r w:rsidRPr="00D3791E">
        <w:rPr>
          <w:rFonts w:hint="eastAsia"/>
          <w:rtl/>
        </w:rPr>
        <w:t>של</w:t>
      </w:r>
      <w:r w:rsidRPr="00D3791E">
        <w:rPr>
          <w:rtl/>
        </w:rPr>
        <w:t xml:space="preserve"> </w:t>
      </w:r>
      <w:r w:rsidRPr="00D3791E">
        <w:rPr>
          <w:rFonts w:hint="eastAsia"/>
          <w:rtl/>
        </w:rPr>
        <w:t>משטרנו</w:t>
      </w:r>
      <w:r w:rsidRPr="00D3791E">
        <w:rPr>
          <w:rtl/>
        </w:rPr>
        <w:t xml:space="preserve"> </w:t>
      </w:r>
      <w:r w:rsidRPr="00D3791E">
        <w:rPr>
          <w:rFonts w:hint="eastAsia"/>
          <w:rtl/>
        </w:rPr>
        <w:t>כפי</w:t>
      </w:r>
      <w:r w:rsidRPr="00D3791E">
        <w:rPr>
          <w:rtl/>
        </w:rPr>
        <w:t xml:space="preserve"> </w:t>
      </w:r>
      <w:r w:rsidRPr="00D3791E">
        <w:rPr>
          <w:rFonts w:hint="eastAsia"/>
          <w:rtl/>
        </w:rPr>
        <w:t>שהם</w:t>
      </w:r>
      <w:r w:rsidRPr="00D3791E">
        <w:rPr>
          <w:rtl/>
        </w:rPr>
        <w:t xml:space="preserve"> </w:t>
      </w:r>
      <w:r w:rsidRPr="00D3791E">
        <w:rPr>
          <w:rFonts w:hint="eastAsia"/>
          <w:rtl/>
        </w:rPr>
        <w:t>מעוגנים</w:t>
      </w:r>
      <w:r w:rsidRPr="00D3791E">
        <w:rPr>
          <w:rtl/>
        </w:rPr>
        <w:t xml:space="preserve"> </w:t>
      </w:r>
      <w:r w:rsidRPr="00D3791E">
        <w:rPr>
          <w:rFonts w:hint="eastAsia"/>
          <w:rtl/>
        </w:rPr>
        <w:t>במסמכים</w:t>
      </w:r>
      <w:r w:rsidRPr="00D3791E">
        <w:rPr>
          <w:rtl/>
        </w:rPr>
        <w:t xml:space="preserve"> </w:t>
      </w:r>
      <w:r w:rsidRPr="00D3791E">
        <w:rPr>
          <w:rFonts w:hint="eastAsia"/>
          <w:rtl/>
        </w:rPr>
        <w:t>החוקתיים</w:t>
      </w:r>
      <w:r w:rsidRPr="00D3791E">
        <w:rPr>
          <w:rtl/>
        </w:rPr>
        <w:t xml:space="preserve">. </w:t>
      </w:r>
      <w:r w:rsidRPr="00D3791E">
        <w:rPr>
          <w:rFonts w:hint="eastAsia"/>
          <w:rtl/>
        </w:rPr>
        <w:t>הכרזה</w:t>
      </w:r>
      <w:r w:rsidRPr="00D3791E">
        <w:rPr>
          <w:rtl/>
        </w:rPr>
        <w:t xml:space="preserve"> </w:t>
      </w:r>
      <w:r w:rsidRPr="00D3791E">
        <w:rPr>
          <w:rFonts w:hint="eastAsia"/>
          <w:rtl/>
        </w:rPr>
        <w:t>חוקתית</w:t>
      </w:r>
      <w:r w:rsidRPr="00D3791E">
        <w:rPr>
          <w:rtl/>
        </w:rPr>
        <w:t xml:space="preserve"> </w:t>
      </w:r>
      <w:r w:rsidRPr="00D3791E">
        <w:rPr>
          <w:rFonts w:hint="eastAsia"/>
          <w:rtl/>
        </w:rPr>
        <w:t>ברורה</w:t>
      </w:r>
      <w:r w:rsidRPr="00D3791E">
        <w:rPr>
          <w:rtl/>
        </w:rPr>
        <w:t xml:space="preserve"> </w:t>
      </w:r>
      <w:r w:rsidRPr="00D3791E">
        <w:rPr>
          <w:rFonts w:hint="eastAsia"/>
          <w:rtl/>
        </w:rPr>
        <w:t>היא</w:t>
      </w:r>
      <w:r w:rsidRPr="00D3791E">
        <w:rPr>
          <w:rtl/>
        </w:rPr>
        <w:t xml:space="preserve"> </w:t>
      </w:r>
      <w:r w:rsidRPr="00D3791E">
        <w:rPr>
          <w:rFonts w:hint="eastAsia"/>
          <w:rtl/>
        </w:rPr>
        <w:t>תכופות</w:t>
      </w:r>
      <w:r w:rsidRPr="00D3791E">
        <w:rPr>
          <w:rtl/>
        </w:rPr>
        <w:t xml:space="preserve"> </w:t>
      </w:r>
      <w:r w:rsidRPr="00D3791E">
        <w:rPr>
          <w:rFonts w:hint="eastAsia"/>
          <w:rtl/>
        </w:rPr>
        <w:t>צורך</w:t>
      </w:r>
      <w:r w:rsidRPr="00D3791E">
        <w:rPr>
          <w:rtl/>
        </w:rPr>
        <w:t xml:space="preserve"> </w:t>
      </w:r>
      <w:r w:rsidRPr="00D3791E">
        <w:rPr>
          <w:rFonts w:hint="eastAsia"/>
          <w:rtl/>
        </w:rPr>
        <w:t>חיוני</w:t>
      </w:r>
      <w:r w:rsidRPr="00D3791E">
        <w:rPr>
          <w:rtl/>
        </w:rPr>
        <w:t xml:space="preserve">, </w:t>
      </w:r>
      <w:r w:rsidRPr="00D3791E">
        <w:rPr>
          <w:rFonts w:hint="eastAsia"/>
          <w:rtl/>
        </w:rPr>
        <w:t>המציג</w:t>
      </w:r>
      <w:r w:rsidRPr="00D3791E">
        <w:rPr>
          <w:rtl/>
        </w:rPr>
        <w:t xml:space="preserve"> </w:t>
      </w:r>
      <w:r w:rsidRPr="00D3791E">
        <w:rPr>
          <w:rFonts w:hint="eastAsia"/>
          <w:rtl/>
        </w:rPr>
        <w:t>בפני</w:t>
      </w:r>
      <w:r w:rsidRPr="00D3791E">
        <w:rPr>
          <w:rtl/>
        </w:rPr>
        <w:t xml:space="preserve"> </w:t>
      </w:r>
      <w:r w:rsidRPr="00D3791E">
        <w:rPr>
          <w:rFonts w:hint="eastAsia"/>
          <w:rtl/>
        </w:rPr>
        <w:t>הגוף</w:t>
      </w:r>
      <w:r w:rsidRPr="00D3791E">
        <w:rPr>
          <w:rtl/>
        </w:rPr>
        <w:t xml:space="preserve"> </w:t>
      </w:r>
      <w:r w:rsidRPr="00D3791E">
        <w:rPr>
          <w:rFonts w:hint="eastAsia"/>
          <w:rtl/>
        </w:rPr>
        <w:t>המחוקק</w:t>
      </w:r>
      <w:r w:rsidRPr="00D3791E">
        <w:rPr>
          <w:rtl/>
        </w:rPr>
        <w:t xml:space="preserve"> </w:t>
      </w:r>
      <w:r w:rsidRPr="00D3791E">
        <w:rPr>
          <w:rFonts w:hint="eastAsia"/>
          <w:rtl/>
        </w:rPr>
        <w:t>ובפני</w:t>
      </w:r>
      <w:r w:rsidRPr="00D3791E">
        <w:rPr>
          <w:rtl/>
        </w:rPr>
        <w:t xml:space="preserve"> </w:t>
      </w:r>
      <w:r w:rsidRPr="00D3791E">
        <w:rPr>
          <w:rFonts w:hint="eastAsia"/>
          <w:rtl/>
        </w:rPr>
        <w:t>הציבור</w:t>
      </w:r>
      <w:r w:rsidRPr="00D3791E">
        <w:rPr>
          <w:rtl/>
        </w:rPr>
        <w:t xml:space="preserve"> </w:t>
      </w:r>
      <w:r w:rsidRPr="00D3791E">
        <w:rPr>
          <w:rFonts w:hint="eastAsia"/>
          <w:rtl/>
        </w:rPr>
        <w:t>הנחיה</w:t>
      </w:r>
      <w:r w:rsidRPr="00D3791E">
        <w:rPr>
          <w:rtl/>
        </w:rPr>
        <w:t xml:space="preserve"> </w:t>
      </w:r>
      <w:r w:rsidRPr="00D3791E">
        <w:rPr>
          <w:rFonts w:hint="eastAsia"/>
          <w:rtl/>
        </w:rPr>
        <w:t>חוקתית</w:t>
      </w:r>
      <w:r w:rsidRPr="00D3791E">
        <w:rPr>
          <w:rtl/>
        </w:rPr>
        <w:t xml:space="preserve"> </w:t>
      </w:r>
      <w:r w:rsidRPr="00D3791E">
        <w:rPr>
          <w:rFonts w:hint="eastAsia"/>
          <w:rtl/>
        </w:rPr>
        <w:t>הצופה</w:t>
      </w:r>
      <w:r w:rsidRPr="00D3791E">
        <w:rPr>
          <w:rtl/>
        </w:rPr>
        <w:t xml:space="preserve"> </w:t>
      </w:r>
      <w:r w:rsidRPr="00D3791E">
        <w:rPr>
          <w:rFonts w:hint="eastAsia"/>
          <w:rtl/>
        </w:rPr>
        <w:t>גם</w:t>
      </w:r>
      <w:r w:rsidRPr="00D3791E">
        <w:rPr>
          <w:rtl/>
        </w:rPr>
        <w:t xml:space="preserve"> </w:t>
      </w:r>
      <w:r w:rsidRPr="00D3791E">
        <w:rPr>
          <w:rFonts w:hint="eastAsia"/>
          <w:rtl/>
        </w:rPr>
        <w:t>פני</w:t>
      </w:r>
      <w:r w:rsidRPr="00D3791E">
        <w:rPr>
          <w:rtl/>
        </w:rPr>
        <w:t xml:space="preserve"> </w:t>
      </w:r>
      <w:r w:rsidRPr="00D3791E">
        <w:rPr>
          <w:rFonts w:hint="eastAsia"/>
          <w:rtl/>
        </w:rPr>
        <w:t>עתיד</w:t>
      </w:r>
      <w:r>
        <w:rPr>
          <w:rFonts w:hint="cs"/>
          <w:rtl/>
        </w:rPr>
        <w:t xml:space="preserve"> (שם, בעמוד 289).</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jc w:val="both"/>
        <w:rPr>
          <w:rFonts w:ascii="Century" w:hAnsi="Century" w:cs="FrankRuehl"/>
          <w:spacing w:val="10"/>
          <w:szCs w:val="28"/>
          <w:rtl/>
        </w:rPr>
      </w:pPr>
      <w:r>
        <w:rPr>
          <w:rFonts w:ascii="Century" w:hAnsi="Century" w:cs="FrankRuehl"/>
          <w:spacing w:val="10"/>
          <w:szCs w:val="28"/>
          <w:rtl/>
        </w:rPr>
        <w:tab/>
      </w:r>
      <w:r>
        <w:rPr>
          <w:rFonts w:ascii="Century" w:hAnsi="Century" w:cs="FrankRuehl" w:hint="cs"/>
          <w:spacing w:val="10"/>
          <w:szCs w:val="28"/>
          <w:rtl/>
        </w:rPr>
        <w:t xml:space="preserve">אם כן, על אף שככלל עלינו להעדיף דרך של פרשנות המקיימת את החוק על פני פסילתו, אין אנו רשאים לילך בדרך פרשנית זו במקרים שבהם הפרשנות המקיימת נעדרת אחיזה, ולו מינימלית, בלשון החוק. </w:t>
      </w:r>
    </w:p>
    <w:p w:rsidR="00A01E7C" w:rsidRPr="00755331" w:rsidRDefault="00A01E7C" w:rsidP="00A01E7C">
      <w:pPr>
        <w:spacing w:line="360" w:lineRule="auto"/>
        <w:jc w:val="both"/>
        <w:rPr>
          <w:rFonts w:ascii="Century" w:hAnsi="Century" w:cs="FrankRuehl"/>
          <w:spacing w:val="10"/>
          <w:szCs w:val="28"/>
          <w:rtl/>
        </w:rPr>
      </w:pPr>
    </w:p>
    <w:p w:rsidR="00A01E7C" w:rsidRPr="007D0134" w:rsidRDefault="00A01E7C" w:rsidP="002A1A3A">
      <w:pPr>
        <w:pStyle w:val="Ruller4"/>
        <w:numPr>
          <w:ilvl w:val="0"/>
          <w:numId w:val="14"/>
        </w:numPr>
        <w:rPr>
          <w:rFonts w:ascii="Century" w:hAnsi="Century"/>
          <w:rtl/>
        </w:rPr>
      </w:pPr>
      <w:r w:rsidRPr="007D0134">
        <w:rPr>
          <w:rFonts w:ascii="Century" w:hAnsi="Century" w:cs="Miriam" w:hint="cs"/>
          <w:b/>
          <w:szCs w:val="24"/>
          <w:rtl/>
        </w:rPr>
        <w:t xml:space="preserve">שנית </w:t>
      </w:r>
      <w:r w:rsidRPr="007D0134">
        <w:rPr>
          <w:rFonts w:ascii="Century" w:hAnsi="Century" w:cs="Miriam"/>
          <w:b/>
          <w:szCs w:val="24"/>
          <w:rtl/>
        </w:rPr>
        <w:t>–</w:t>
      </w:r>
      <w:r w:rsidRPr="007D0134">
        <w:rPr>
          <w:rFonts w:ascii="Century" w:hAnsi="Century" w:cs="Miriam" w:hint="cs"/>
          <w:b/>
          <w:szCs w:val="24"/>
          <w:rtl/>
        </w:rPr>
        <w:t xml:space="preserve"> </w:t>
      </w:r>
      <w:r w:rsidRPr="007D0134">
        <w:rPr>
          <w:rFonts w:ascii="Century" w:hAnsi="Century"/>
          <w:rtl/>
        </w:rPr>
        <w:t xml:space="preserve">הפרשנות </w:t>
      </w:r>
      <w:r w:rsidRPr="007D0134">
        <w:rPr>
          <w:rFonts w:ascii="Century" w:hAnsi="Century" w:hint="cs"/>
          <w:rtl/>
        </w:rPr>
        <w:t>המצמצמת שהוצעה</w:t>
      </w:r>
      <w:r w:rsidRPr="007D0134">
        <w:rPr>
          <w:rFonts w:ascii="Century" w:hAnsi="Century"/>
          <w:rtl/>
        </w:rPr>
        <w:t xml:space="preserve"> </w:t>
      </w:r>
      <w:r w:rsidRPr="007D0134">
        <w:rPr>
          <w:rFonts w:ascii="Century" w:hAnsi="Century" w:hint="eastAsia"/>
          <w:rtl/>
        </w:rPr>
        <w:t>מנוגדת</w:t>
      </w:r>
      <w:r w:rsidRPr="007D0134">
        <w:rPr>
          <w:rFonts w:ascii="Century" w:hAnsi="Century"/>
          <w:rtl/>
        </w:rPr>
        <w:t xml:space="preserve"> </w:t>
      </w:r>
      <w:r w:rsidRPr="007D0134">
        <w:rPr>
          <w:rFonts w:ascii="Century" w:hAnsi="Century" w:hint="cs"/>
          <w:rtl/>
        </w:rPr>
        <w:t>באופן חזיתי וברור לתכלית הסובייקטיבית של התיקון, כפי שהיא נלמדת מהפרוטוקולים של הדיונים שהתקיימו בהצעת התיקון</w:t>
      </w:r>
      <w:r w:rsidRPr="0071553C">
        <w:rPr>
          <w:rtl/>
        </w:rPr>
        <w:t xml:space="preserve"> </w:t>
      </w:r>
      <w:r w:rsidRPr="007D0134">
        <w:rPr>
          <w:rFonts w:ascii="Century" w:hAnsi="Century"/>
          <w:rtl/>
        </w:rPr>
        <w:t xml:space="preserve">בוועדת החוקה, חוק ומשפט של הכנסת (להלן: </w:t>
      </w:r>
      <w:r w:rsidRPr="007D0134">
        <w:rPr>
          <w:rFonts w:ascii="Century" w:hAnsi="Century" w:cs="Miriam" w:hint="eastAsia"/>
          <w:b/>
          <w:szCs w:val="24"/>
          <w:rtl/>
        </w:rPr>
        <w:t>ועדת</w:t>
      </w:r>
      <w:r w:rsidRPr="007D0134">
        <w:rPr>
          <w:rFonts w:ascii="Century" w:hAnsi="Century" w:cs="Miriam"/>
          <w:b/>
          <w:szCs w:val="24"/>
          <w:rtl/>
        </w:rPr>
        <w:t xml:space="preserve"> </w:t>
      </w:r>
      <w:r w:rsidRPr="007D0134">
        <w:rPr>
          <w:rFonts w:ascii="Century" w:hAnsi="Century" w:cs="Miriam" w:hint="eastAsia"/>
          <w:b/>
          <w:szCs w:val="24"/>
          <w:rtl/>
        </w:rPr>
        <w:t>החוקה</w:t>
      </w:r>
      <w:r w:rsidRPr="007D0134">
        <w:rPr>
          <w:rFonts w:ascii="Century" w:hAnsi="Century"/>
          <w:rtl/>
        </w:rPr>
        <w:t>)</w:t>
      </w:r>
      <w:r w:rsidRPr="007D0134">
        <w:rPr>
          <w:rFonts w:ascii="Century" w:hAnsi="Century" w:hint="cs"/>
          <w:rtl/>
        </w:rPr>
        <w:t xml:space="preserve"> (ועמדה על כך הנשיאה (בדימ') </w:t>
      </w:r>
      <w:r w:rsidRPr="007D0134">
        <w:rPr>
          <w:rFonts w:ascii="Century" w:hAnsi="Century" w:cs="Miriam" w:hint="eastAsia"/>
          <w:b/>
          <w:szCs w:val="24"/>
          <w:rtl/>
        </w:rPr>
        <w:t>חיות</w:t>
      </w:r>
      <w:r w:rsidRPr="007D0134">
        <w:rPr>
          <w:rFonts w:ascii="Century" w:hAnsi="Century" w:hint="cs"/>
          <w:rtl/>
        </w:rPr>
        <w:t xml:space="preserve"> בהרחבה בפסקאות 132-129 לחוות דעתה); כמו גם מעמדותיהם של משיבי הממשלה ושל יו"ר ועדת החוקה, חבר הכנסת שמחה רוטמן (להלן: </w:t>
      </w:r>
      <w:r w:rsidRPr="007D0134">
        <w:rPr>
          <w:rFonts w:ascii="Century" w:hAnsi="Century" w:cs="Miriam" w:hint="eastAsia"/>
          <w:b/>
          <w:szCs w:val="24"/>
          <w:rtl/>
        </w:rPr>
        <w:t>ח</w:t>
      </w:r>
      <w:r w:rsidRPr="007D0134">
        <w:rPr>
          <w:rFonts w:ascii="Century" w:hAnsi="Century" w:cs="Miriam"/>
          <w:b/>
          <w:szCs w:val="24"/>
          <w:rtl/>
        </w:rPr>
        <w:t>"</w:t>
      </w:r>
      <w:r w:rsidRPr="007D0134">
        <w:rPr>
          <w:rFonts w:ascii="Century" w:hAnsi="Century" w:cs="Miriam" w:hint="eastAsia"/>
          <w:b/>
          <w:szCs w:val="24"/>
          <w:rtl/>
        </w:rPr>
        <w:t>כ</w:t>
      </w:r>
      <w:r w:rsidRPr="007D0134">
        <w:rPr>
          <w:rFonts w:ascii="Century" w:hAnsi="Century" w:cs="Miriam"/>
          <w:b/>
          <w:szCs w:val="24"/>
          <w:rtl/>
        </w:rPr>
        <w:t xml:space="preserve"> </w:t>
      </w:r>
      <w:r w:rsidRPr="007D0134">
        <w:rPr>
          <w:rFonts w:ascii="Century" w:hAnsi="Century" w:cs="Miriam" w:hint="eastAsia"/>
          <w:b/>
          <w:szCs w:val="24"/>
          <w:rtl/>
        </w:rPr>
        <w:t>רוטמן</w:t>
      </w:r>
      <w:r w:rsidRPr="007D0134">
        <w:rPr>
          <w:rFonts w:ascii="Century" w:hAnsi="Century" w:hint="cs"/>
          <w:rtl/>
        </w:rPr>
        <w:t xml:space="preserve">), כפי שהוצגו לפנינו. כך למשל, בדיון שהתקיים בוועדת החוקה ביחס לאפשרות לצמצם את עילת הסבירות למובנה "טרום </w:t>
      </w:r>
      <w:r w:rsidRPr="007D0134">
        <w:rPr>
          <w:rFonts w:ascii="Century" w:hAnsi="Century" w:cs="Miriam" w:hint="eastAsia"/>
          <w:b/>
          <w:szCs w:val="24"/>
          <w:rtl/>
        </w:rPr>
        <w:t>דפי</w:t>
      </w:r>
      <w:r w:rsidRPr="007D0134">
        <w:rPr>
          <w:rFonts w:ascii="Century" w:hAnsi="Century" w:cs="Miriam"/>
          <w:b/>
          <w:szCs w:val="24"/>
          <w:rtl/>
        </w:rPr>
        <w:t xml:space="preserve"> </w:t>
      </w:r>
      <w:r w:rsidRPr="007D0134">
        <w:rPr>
          <w:rFonts w:ascii="Century" w:hAnsi="Century" w:cs="Miriam" w:hint="eastAsia"/>
          <w:b/>
          <w:szCs w:val="24"/>
          <w:rtl/>
        </w:rPr>
        <w:t>זהב</w:t>
      </w:r>
      <w:r w:rsidRPr="007D0134">
        <w:rPr>
          <w:rFonts w:ascii="Century" w:hAnsi="Century" w:hint="cs"/>
          <w:rtl/>
        </w:rPr>
        <w:t>", ציין ח"כ רוטמן כי אין דרך "</w:t>
      </w:r>
      <w:r w:rsidRPr="007D0134">
        <w:rPr>
          <w:rFonts w:ascii="Century" w:hAnsi="Century" w:cs="Miriam" w:hint="eastAsia"/>
          <w:b/>
          <w:szCs w:val="24"/>
          <w:rtl/>
        </w:rPr>
        <w:t>למתוח</w:t>
      </w:r>
      <w:r w:rsidRPr="007D0134">
        <w:rPr>
          <w:rFonts w:ascii="Century" w:hAnsi="Century" w:cs="Miriam"/>
          <w:b/>
          <w:szCs w:val="24"/>
          <w:rtl/>
        </w:rPr>
        <w:t xml:space="preserve"> </w:t>
      </w:r>
      <w:r w:rsidRPr="007D0134">
        <w:rPr>
          <w:rFonts w:ascii="Century" w:hAnsi="Century" w:cs="Miriam" w:hint="eastAsia"/>
          <w:b/>
          <w:szCs w:val="24"/>
          <w:rtl/>
        </w:rPr>
        <w:t>את</w:t>
      </w:r>
      <w:r w:rsidRPr="007D0134">
        <w:rPr>
          <w:rFonts w:ascii="Century" w:hAnsi="Century" w:cs="Miriam"/>
          <w:b/>
          <w:szCs w:val="24"/>
          <w:rtl/>
        </w:rPr>
        <w:t xml:space="preserve"> </w:t>
      </w:r>
      <w:r w:rsidRPr="007D0134">
        <w:rPr>
          <w:rFonts w:ascii="Century" w:hAnsi="Century" w:cs="Miriam" w:hint="eastAsia"/>
          <w:b/>
          <w:szCs w:val="24"/>
          <w:rtl/>
        </w:rPr>
        <w:t>הקו</w:t>
      </w:r>
      <w:r w:rsidRPr="007D0134">
        <w:rPr>
          <w:rFonts w:ascii="Century" w:hAnsi="Century" w:cs="Miriam"/>
          <w:b/>
          <w:szCs w:val="24"/>
          <w:rtl/>
        </w:rPr>
        <w:t xml:space="preserve"> </w:t>
      </w:r>
      <w:r w:rsidRPr="007D0134">
        <w:rPr>
          <w:rFonts w:ascii="Century" w:hAnsi="Century" w:cs="Miriam" w:hint="eastAsia"/>
          <w:b/>
          <w:szCs w:val="24"/>
          <w:rtl/>
        </w:rPr>
        <w:t>בין</w:t>
      </w:r>
      <w:r w:rsidRPr="007D0134">
        <w:rPr>
          <w:rFonts w:ascii="Century" w:hAnsi="Century" w:cs="Miriam"/>
          <w:b/>
          <w:szCs w:val="24"/>
          <w:rtl/>
        </w:rPr>
        <w:t xml:space="preserve"> </w:t>
      </w:r>
      <w:r w:rsidRPr="007D0134">
        <w:rPr>
          <w:rFonts w:ascii="Century" w:hAnsi="Century" w:cs="Miriam" w:hint="eastAsia"/>
          <w:b/>
          <w:szCs w:val="24"/>
          <w:rtl/>
        </w:rPr>
        <w:t>אי</w:t>
      </w:r>
      <w:r w:rsidRPr="007D0134">
        <w:rPr>
          <w:rFonts w:ascii="Century" w:hAnsi="Century" w:cs="Miriam"/>
          <w:b/>
          <w:szCs w:val="24"/>
          <w:rtl/>
        </w:rPr>
        <w:t>-</w:t>
      </w:r>
      <w:r w:rsidRPr="007D0134">
        <w:rPr>
          <w:rFonts w:ascii="Century" w:hAnsi="Century" w:cs="Miriam" w:hint="eastAsia"/>
          <w:b/>
          <w:szCs w:val="24"/>
          <w:rtl/>
        </w:rPr>
        <w:t>סבירות</w:t>
      </w:r>
      <w:r w:rsidRPr="007D0134">
        <w:rPr>
          <w:rFonts w:ascii="Century" w:hAnsi="Century" w:cs="Miriam"/>
          <w:b/>
          <w:szCs w:val="24"/>
          <w:rtl/>
        </w:rPr>
        <w:t xml:space="preserve"> </w:t>
      </w:r>
      <w:r w:rsidRPr="007D0134">
        <w:rPr>
          <w:rFonts w:ascii="Century" w:hAnsi="Century" w:cs="Miriam" w:hint="eastAsia"/>
          <w:b/>
          <w:szCs w:val="24"/>
          <w:rtl/>
        </w:rPr>
        <w:t>קיצונית</w:t>
      </w:r>
      <w:r w:rsidRPr="007D0134">
        <w:rPr>
          <w:rFonts w:ascii="Century" w:hAnsi="Century" w:cs="Miriam"/>
          <w:b/>
          <w:szCs w:val="24"/>
          <w:rtl/>
        </w:rPr>
        <w:t xml:space="preserve"> </w:t>
      </w:r>
      <w:r w:rsidRPr="007D0134">
        <w:rPr>
          <w:rFonts w:ascii="Century" w:hAnsi="Century" w:cs="Miriam" w:hint="eastAsia"/>
          <w:b/>
          <w:szCs w:val="24"/>
          <w:rtl/>
        </w:rPr>
        <w:t>לאי</w:t>
      </w:r>
      <w:r w:rsidRPr="007D0134">
        <w:rPr>
          <w:rFonts w:ascii="Century" w:hAnsi="Century" w:cs="Miriam"/>
          <w:b/>
          <w:szCs w:val="24"/>
          <w:rtl/>
        </w:rPr>
        <w:t>-</w:t>
      </w:r>
      <w:r w:rsidRPr="007D0134">
        <w:rPr>
          <w:rFonts w:ascii="Century" w:hAnsi="Century" w:cs="Miriam" w:hint="eastAsia"/>
          <w:b/>
          <w:szCs w:val="24"/>
          <w:rtl/>
        </w:rPr>
        <w:t>סבירות</w:t>
      </w:r>
      <w:r w:rsidRPr="007D0134">
        <w:rPr>
          <w:rFonts w:ascii="Century" w:hAnsi="Century" w:cs="Miriam"/>
          <w:b/>
          <w:szCs w:val="24"/>
          <w:rtl/>
        </w:rPr>
        <w:t xml:space="preserve"> </w:t>
      </w:r>
      <w:r w:rsidRPr="007D0134">
        <w:rPr>
          <w:rFonts w:ascii="Century" w:hAnsi="Century" w:cs="Miriam" w:hint="eastAsia"/>
          <w:b/>
          <w:szCs w:val="24"/>
          <w:rtl/>
        </w:rPr>
        <w:t>לא</w:t>
      </w:r>
      <w:r w:rsidRPr="007D0134">
        <w:rPr>
          <w:rFonts w:ascii="Century" w:hAnsi="Century" w:cs="Miriam"/>
          <w:b/>
          <w:szCs w:val="24"/>
          <w:rtl/>
        </w:rPr>
        <w:t xml:space="preserve"> </w:t>
      </w:r>
      <w:r w:rsidRPr="007D0134">
        <w:rPr>
          <w:rFonts w:ascii="Century" w:hAnsi="Century" w:cs="Miriam" w:hint="eastAsia"/>
          <w:b/>
          <w:szCs w:val="24"/>
          <w:rtl/>
        </w:rPr>
        <w:t>קיצונית</w:t>
      </w:r>
      <w:r w:rsidRPr="007D0134">
        <w:rPr>
          <w:rFonts w:ascii="Century" w:hAnsi="Century" w:hint="cs"/>
          <w:rtl/>
        </w:rPr>
        <w:t xml:space="preserve">" (פרוטוקול ישיבה 105 של ועדת החוקה, הכנסת ה-25, 113 (25.6.2023)). דברים דומים אמר ח"כ רוטמן גם בישיבת הוועדה מיום 13.7.2023 (ראו פרוטוקול ישיבה 125 של ועדת חוקה, הכנסת ה-25, 15 (13.7.2032)). </w:t>
      </w:r>
      <w:r w:rsidRPr="007D0134">
        <w:rPr>
          <w:rFonts w:ascii="Century" w:hAnsi="Century" w:hint="eastAsia"/>
          <w:rtl/>
        </w:rPr>
        <w:t>גם</w:t>
      </w:r>
      <w:r w:rsidRPr="007D0134">
        <w:rPr>
          <w:rFonts w:ascii="Century" w:hAnsi="Century"/>
          <w:rtl/>
        </w:rPr>
        <w:t xml:space="preserve"> </w:t>
      </w:r>
      <w:r w:rsidRPr="007D0134">
        <w:rPr>
          <w:rFonts w:ascii="Century" w:hAnsi="Century" w:hint="eastAsia"/>
          <w:rtl/>
        </w:rPr>
        <w:t>בהצגת</w:t>
      </w:r>
      <w:r w:rsidRPr="007D0134">
        <w:rPr>
          <w:rFonts w:ascii="Century" w:hAnsi="Century"/>
          <w:rtl/>
        </w:rPr>
        <w:t xml:space="preserve"> </w:t>
      </w:r>
      <w:r w:rsidRPr="007D0134">
        <w:rPr>
          <w:rFonts w:ascii="Century" w:hAnsi="Century" w:hint="eastAsia"/>
          <w:rtl/>
        </w:rPr>
        <w:t>התיקון</w:t>
      </w:r>
      <w:r w:rsidRPr="007D0134">
        <w:rPr>
          <w:rFonts w:ascii="Century" w:hAnsi="Century"/>
          <w:rtl/>
        </w:rPr>
        <w:t xml:space="preserve"> </w:t>
      </w:r>
      <w:r w:rsidRPr="007D0134">
        <w:rPr>
          <w:rFonts w:ascii="Century" w:hAnsi="Century" w:hint="eastAsia"/>
          <w:rtl/>
        </w:rPr>
        <w:t>במליאת</w:t>
      </w:r>
      <w:r w:rsidRPr="007D0134">
        <w:rPr>
          <w:rFonts w:ascii="Century" w:hAnsi="Century"/>
          <w:rtl/>
        </w:rPr>
        <w:t xml:space="preserve"> </w:t>
      </w:r>
      <w:r w:rsidRPr="007D0134">
        <w:rPr>
          <w:rFonts w:ascii="Century" w:hAnsi="Century" w:hint="eastAsia"/>
          <w:rtl/>
        </w:rPr>
        <w:t>הכנסת</w:t>
      </w:r>
      <w:r w:rsidRPr="007D0134">
        <w:rPr>
          <w:rFonts w:ascii="Century" w:hAnsi="Century"/>
          <w:rtl/>
        </w:rPr>
        <w:t xml:space="preserve"> </w:t>
      </w:r>
      <w:r w:rsidRPr="007D0134">
        <w:rPr>
          <w:rFonts w:ascii="Century" w:hAnsi="Century" w:hint="eastAsia"/>
          <w:rtl/>
        </w:rPr>
        <w:t>לקראת</w:t>
      </w:r>
      <w:r w:rsidRPr="007D0134">
        <w:rPr>
          <w:rFonts w:ascii="Century" w:hAnsi="Century"/>
          <w:rtl/>
        </w:rPr>
        <w:t xml:space="preserve"> </w:t>
      </w:r>
      <w:r w:rsidRPr="007D0134">
        <w:rPr>
          <w:rFonts w:ascii="Century" w:hAnsi="Century" w:hint="eastAsia"/>
          <w:rtl/>
        </w:rPr>
        <w:t>קריאה</w:t>
      </w:r>
      <w:r w:rsidRPr="007D0134">
        <w:rPr>
          <w:rFonts w:ascii="Century" w:hAnsi="Century"/>
          <w:rtl/>
        </w:rPr>
        <w:t xml:space="preserve"> </w:t>
      </w:r>
      <w:r w:rsidRPr="007D0134">
        <w:rPr>
          <w:rFonts w:ascii="Century" w:hAnsi="Century" w:hint="eastAsia"/>
          <w:rtl/>
        </w:rPr>
        <w:t>שני</w:t>
      </w:r>
      <w:r w:rsidRPr="007D0134">
        <w:rPr>
          <w:rFonts w:ascii="Century" w:hAnsi="Century" w:hint="cs"/>
          <w:rtl/>
        </w:rPr>
        <w:t>י</w:t>
      </w:r>
      <w:r w:rsidRPr="007D0134">
        <w:rPr>
          <w:rFonts w:ascii="Century" w:hAnsi="Century" w:hint="eastAsia"/>
          <w:rtl/>
        </w:rPr>
        <w:t>ה</w:t>
      </w:r>
      <w:r w:rsidRPr="007D0134">
        <w:rPr>
          <w:rFonts w:ascii="Century" w:hAnsi="Century"/>
          <w:rtl/>
        </w:rPr>
        <w:t xml:space="preserve"> </w:t>
      </w:r>
      <w:r w:rsidRPr="007D0134">
        <w:rPr>
          <w:rFonts w:ascii="Century" w:hAnsi="Century" w:hint="eastAsia"/>
          <w:rtl/>
        </w:rPr>
        <w:t>ושלישית</w:t>
      </w:r>
      <w:r w:rsidRPr="007D0134">
        <w:rPr>
          <w:rFonts w:ascii="Century" w:hAnsi="Century"/>
          <w:rtl/>
        </w:rPr>
        <w:t xml:space="preserve">, </w:t>
      </w:r>
      <w:r w:rsidRPr="007D0134">
        <w:rPr>
          <w:rFonts w:ascii="Century" w:hAnsi="Century" w:hint="eastAsia"/>
          <w:rtl/>
        </w:rPr>
        <w:t>שב</w:t>
      </w:r>
      <w:r w:rsidRPr="007D0134">
        <w:rPr>
          <w:rFonts w:ascii="Century" w:hAnsi="Century"/>
          <w:rtl/>
        </w:rPr>
        <w:t xml:space="preserve"> </w:t>
      </w:r>
      <w:r w:rsidRPr="007D0134">
        <w:rPr>
          <w:rFonts w:ascii="Century" w:hAnsi="Century" w:hint="eastAsia"/>
          <w:rtl/>
        </w:rPr>
        <w:t>והבהיר</w:t>
      </w:r>
      <w:r w:rsidRPr="007D0134">
        <w:rPr>
          <w:rFonts w:ascii="Century" w:hAnsi="Century"/>
          <w:rtl/>
        </w:rPr>
        <w:t xml:space="preserve"> </w:t>
      </w:r>
      <w:r w:rsidRPr="007D0134">
        <w:rPr>
          <w:rFonts w:ascii="Century" w:hAnsi="Century" w:hint="eastAsia"/>
          <w:rtl/>
        </w:rPr>
        <w:t>ח</w:t>
      </w:r>
      <w:r w:rsidRPr="007D0134">
        <w:rPr>
          <w:rFonts w:ascii="Century" w:hAnsi="Century"/>
          <w:rtl/>
        </w:rPr>
        <w:t>"</w:t>
      </w:r>
      <w:r w:rsidRPr="007D0134">
        <w:rPr>
          <w:rFonts w:ascii="Century" w:hAnsi="Century" w:hint="eastAsia"/>
          <w:rtl/>
        </w:rPr>
        <w:t>כ</w:t>
      </w:r>
      <w:r w:rsidRPr="007D0134">
        <w:rPr>
          <w:rFonts w:ascii="Century" w:hAnsi="Century"/>
          <w:rtl/>
        </w:rPr>
        <w:t xml:space="preserve"> </w:t>
      </w:r>
      <w:r w:rsidRPr="007D0134">
        <w:rPr>
          <w:rFonts w:ascii="Century" w:hAnsi="Century" w:hint="eastAsia"/>
          <w:rtl/>
        </w:rPr>
        <w:t>רוטמן</w:t>
      </w:r>
      <w:r w:rsidRPr="007D0134">
        <w:rPr>
          <w:rFonts w:ascii="Century" w:hAnsi="Century"/>
          <w:rtl/>
        </w:rPr>
        <w:t xml:space="preserve"> </w:t>
      </w:r>
      <w:r w:rsidRPr="007D0134">
        <w:rPr>
          <w:rFonts w:ascii="Century" w:hAnsi="Century" w:hint="eastAsia"/>
          <w:rtl/>
        </w:rPr>
        <w:t>כי</w:t>
      </w:r>
      <w:r w:rsidRPr="007D0134">
        <w:rPr>
          <w:rFonts w:ascii="Century" w:hAnsi="Century"/>
          <w:rtl/>
        </w:rPr>
        <w:t xml:space="preserve"> </w:t>
      </w:r>
      <w:r w:rsidRPr="007D0134">
        <w:rPr>
          <w:rFonts w:ascii="Century" w:hAnsi="Century" w:hint="eastAsia"/>
          <w:rtl/>
        </w:rPr>
        <w:t>מוצע</w:t>
      </w:r>
      <w:r w:rsidRPr="007D0134">
        <w:rPr>
          <w:rFonts w:ascii="Century" w:hAnsi="Century"/>
          <w:rtl/>
        </w:rPr>
        <w:t xml:space="preserve"> </w:t>
      </w:r>
      <w:r w:rsidRPr="007D0134">
        <w:rPr>
          <w:rFonts w:ascii="Century" w:hAnsi="Century" w:hint="eastAsia"/>
          <w:rtl/>
        </w:rPr>
        <w:t>לקבוע</w:t>
      </w:r>
      <w:r w:rsidRPr="007D0134">
        <w:rPr>
          <w:rFonts w:ascii="Century" w:hAnsi="Century"/>
          <w:rtl/>
        </w:rPr>
        <w:t xml:space="preserve"> </w:t>
      </w:r>
      <w:r w:rsidRPr="007D0134">
        <w:rPr>
          <w:rFonts w:ascii="Century" w:hAnsi="Century" w:hint="cs"/>
          <w:rtl/>
        </w:rPr>
        <w:t>ש</w:t>
      </w:r>
      <w:r w:rsidRPr="007D0134">
        <w:rPr>
          <w:rFonts w:ascii="Century" w:hAnsi="Century" w:hint="eastAsia"/>
          <w:rtl/>
        </w:rPr>
        <w:t>רשות</w:t>
      </w:r>
      <w:r w:rsidRPr="007D0134">
        <w:rPr>
          <w:rFonts w:ascii="Century" w:hAnsi="Century"/>
          <w:rtl/>
        </w:rPr>
        <w:t xml:space="preserve"> </w:t>
      </w:r>
      <w:r w:rsidRPr="007D0134">
        <w:rPr>
          <w:rFonts w:ascii="Century" w:hAnsi="Century" w:hint="eastAsia"/>
          <w:rtl/>
        </w:rPr>
        <w:t>שיפוטית</w:t>
      </w:r>
      <w:r w:rsidRPr="007D0134">
        <w:rPr>
          <w:rFonts w:ascii="Century" w:hAnsi="Century"/>
          <w:rtl/>
        </w:rPr>
        <w:t xml:space="preserve"> </w:t>
      </w:r>
      <w:r w:rsidRPr="007D0134">
        <w:rPr>
          <w:rFonts w:ascii="Century" w:hAnsi="Century" w:hint="eastAsia"/>
          <w:rtl/>
        </w:rPr>
        <w:t>לא</w:t>
      </w:r>
      <w:r w:rsidRPr="007D0134">
        <w:rPr>
          <w:rFonts w:ascii="Century" w:hAnsi="Century"/>
          <w:rtl/>
        </w:rPr>
        <w:t xml:space="preserve"> </w:t>
      </w:r>
      <w:r w:rsidRPr="007D0134">
        <w:rPr>
          <w:rFonts w:ascii="Century" w:hAnsi="Century" w:hint="eastAsia"/>
          <w:rtl/>
        </w:rPr>
        <w:t>תוכל</w:t>
      </w:r>
      <w:r w:rsidRPr="007D0134">
        <w:rPr>
          <w:rFonts w:ascii="Century" w:hAnsi="Century"/>
          <w:rtl/>
        </w:rPr>
        <w:t xml:space="preserve"> </w:t>
      </w:r>
      <w:r w:rsidRPr="007D0134">
        <w:rPr>
          <w:rFonts w:ascii="Century" w:hAnsi="Century" w:hint="eastAsia"/>
          <w:rtl/>
        </w:rPr>
        <w:t>לדון</w:t>
      </w:r>
      <w:r w:rsidRPr="007D0134">
        <w:rPr>
          <w:rFonts w:ascii="Century" w:hAnsi="Century"/>
          <w:rtl/>
        </w:rPr>
        <w:t xml:space="preserve"> </w:t>
      </w:r>
      <w:r w:rsidRPr="007D0134">
        <w:rPr>
          <w:rFonts w:ascii="Century" w:hAnsi="Century" w:hint="eastAsia"/>
          <w:rtl/>
        </w:rPr>
        <w:t>בעניין</w:t>
      </w:r>
      <w:r w:rsidRPr="007D0134">
        <w:rPr>
          <w:rFonts w:ascii="Century" w:hAnsi="Century"/>
          <w:rtl/>
        </w:rPr>
        <w:t xml:space="preserve"> </w:t>
      </w:r>
      <w:r w:rsidRPr="007D0134">
        <w:rPr>
          <w:rFonts w:ascii="Century" w:hAnsi="Century" w:hint="eastAsia"/>
          <w:rtl/>
        </w:rPr>
        <w:t>סבירות</w:t>
      </w:r>
      <w:r w:rsidRPr="007D0134">
        <w:rPr>
          <w:rFonts w:ascii="Century" w:hAnsi="Century"/>
          <w:rtl/>
        </w:rPr>
        <w:t xml:space="preserve"> </w:t>
      </w:r>
      <w:r w:rsidRPr="007D0134">
        <w:rPr>
          <w:rFonts w:ascii="Century" w:hAnsi="Century" w:hint="eastAsia"/>
          <w:rtl/>
        </w:rPr>
        <w:t>החלטת</w:t>
      </w:r>
      <w:r w:rsidRPr="007D0134">
        <w:rPr>
          <w:rFonts w:ascii="Century" w:hAnsi="Century"/>
          <w:rtl/>
        </w:rPr>
        <w:t xml:space="preserve"> </w:t>
      </w:r>
      <w:r w:rsidRPr="007D0134">
        <w:rPr>
          <w:rFonts w:ascii="Century" w:hAnsi="Century" w:hint="eastAsia"/>
          <w:rtl/>
        </w:rPr>
        <w:t>הממשלה</w:t>
      </w:r>
      <w:r w:rsidRPr="007D0134">
        <w:rPr>
          <w:rFonts w:ascii="Century" w:hAnsi="Century"/>
          <w:rtl/>
        </w:rPr>
        <w:t xml:space="preserve">, </w:t>
      </w:r>
      <w:r w:rsidRPr="007D0134">
        <w:rPr>
          <w:rFonts w:ascii="Century" w:hAnsi="Century" w:hint="eastAsia"/>
          <w:rtl/>
        </w:rPr>
        <w:t>ראש</w:t>
      </w:r>
      <w:r w:rsidRPr="007D0134">
        <w:rPr>
          <w:rFonts w:ascii="Century" w:hAnsi="Century"/>
          <w:rtl/>
        </w:rPr>
        <w:t xml:space="preserve"> </w:t>
      </w:r>
      <w:r w:rsidRPr="007D0134">
        <w:rPr>
          <w:rFonts w:ascii="Century" w:hAnsi="Century" w:hint="eastAsia"/>
          <w:rtl/>
        </w:rPr>
        <w:t>הממשלה</w:t>
      </w:r>
      <w:r w:rsidRPr="007D0134">
        <w:rPr>
          <w:rFonts w:ascii="Century" w:hAnsi="Century"/>
          <w:rtl/>
        </w:rPr>
        <w:t xml:space="preserve"> </w:t>
      </w:r>
      <w:r w:rsidRPr="007D0134">
        <w:rPr>
          <w:rFonts w:ascii="Century" w:hAnsi="Century" w:hint="eastAsia"/>
          <w:rtl/>
        </w:rPr>
        <w:t>או</w:t>
      </w:r>
      <w:r w:rsidRPr="007D0134">
        <w:rPr>
          <w:rFonts w:ascii="Century" w:hAnsi="Century"/>
          <w:rtl/>
        </w:rPr>
        <w:t xml:space="preserve"> </w:t>
      </w:r>
      <w:r w:rsidRPr="007D0134">
        <w:rPr>
          <w:rFonts w:ascii="Century" w:hAnsi="Century" w:hint="eastAsia"/>
          <w:rtl/>
        </w:rPr>
        <w:t>השרים</w:t>
      </w:r>
      <w:r w:rsidRPr="007D0134">
        <w:rPr>
          <w:rFonts w:ascii="Century" w:hAnsi="Century"/>
          <w:rtl/>
        </w:rPr>
        <w:t>, "</w:t>
      </w:r>
      <w:r w:rsidRPr="007D0134">
        <w:rPr>
          <w:rFonts w:ascii="Century" w:hAnsi="Century" w:cs="Miriam" w:hint="eastAsia"/>
          <w:b/>
          <w:szCs w:val="24"/>
          <w:rtl/>
        </w:rPr>
        <w:t>בין</w:t>
      </w:r>
      <w:r w:rsidRPr="007D0134">
        <w:rPr>
          <w:rFonts w:ascii="Century" w:hAnsi="Century" w:cs="Miriam"/>
          <w:b/>
          <w:szCs w:val="24"/>
          <w:rtl/>
        </w:rPr>
        <w:t xml:space="preserve"> </w:t>
      </w:r>
      <w:r w:rsidRPr="007D0134">
        <w:rPr>
          <w:rFonts w:ascii="Century" w:hAnsi="Century" w:cs="Miriam" w:hint="eastAsia"/>
          <w:b/>
          <w:szCs w:val="24"/>
          <w:rtl/>
        </w:rPr>
        <w:t>אם</w:t>
      </w:r>
      <w:r w:rsidRPr="007D0134">
        <w:rPr>
          <w:rFonts w:ascii="Century" w:hAnsi="Century" w:cs="Miriam"/>
          <w:b/>
          <w:szCs w:val="24"/>
          <w:rtl/>
        </w:rPr>
        <w:t xml:space="preserve"> </w:t>
      </w:r>
      <w:r w:rsidRPr="007D0134">
        <w:rPr>
          <w:rFonts w:ascii="Century" w:hAnsi="Century" w:cs="Miriam" w:hint="eastAsia"/>
          <w:b/>
          <w:szCs w:val="24"/>
          <w:rtl/>
        </w:rPr>
        <w:t>מכוח</w:t>
      </w:r>
      <w:r w:rsidRPr="007D0134">
        <w:rPr>
          <w:rFonts w:ascii="Century" w:hAnsi="Century" w:cs="Miriam"/>
          <w:b/>
          <w:szCs w:val="24"/>
          <w:rtl/>
        </w:rPr>
        <w:t xml:space="preserve"> </w:t>
      </w:r>
      <w:r w:rsidRPr="007D0134">
        <w:rPr>
          <w:rFonts w:ascii="Century" w:hAnsi="Century" w:cs="Miriam" w:hint="eastAsia"/>
          <w:b/>
          <w:szCs w:val="24"/>
          <w:rtl/>
        </w:rPr>
        <w:t>עילת</w:t>
      </w:r>
      <w:r w:rsidRPr="007D0134">
        <w:rPr>
          <w:rFonts w:ascii="Century" w:hAnsi="Century" w:cs="Miriam"/>
          <w:b/>
          <w:szCs w:val="24"/>
          <w:rtl/>
        </w:rPr>
        <w:t xml:space="preserve"> </w:t>
      </w:r>
      <w:r w:rsidRPr="007D0134">
        <w:rPr>
          <w:rFonts w:ascii="Century" w:hAnsi="Century" w:cs="Miriam" w:hint="eastAsia"/>
          <w:b/>
          <w:szCs w:val="24"/>
          <w:rtl/>
        </w:rPr>
        <w:t>הסבירות</w:t>
      </w:r>
      <w:r w:rsidRPr="007D0134">
        <w:rPr>
          <w:rFonts w:ascii="Century" w:hAnsi="Century" w:cs="Miriam"/>
          <w:b/>
          <w:szCs w:val="24"/>
          <w:rtl/>
        </w:rPr>
        <w:t xml:space="preserve"> </w:t>
      </w:r>
      <w:r w:rsidRPr="007D0134">
        <w:rPr>
          <w:rFonts w:ascii="Century" w:hAnsi="Century" w:cs="Miriam" w:hint="eastAsia"/>
          <w:b/>
          <w:szCs w:val="24"/>
          <w:rtl/>
        </w:rPr>
        <w:t>המקורית</w:t>
      </w:r>
      <w:r w:rsidRPr="007D0134">
        <w:rPr>
          <w:rFonts w:ascii="Century" w:hAnsi="Century" w:cs="Miriam"/>
          <w:b/>
          <w:szCs w:val="24"/>
          <w:rtl/>
        </w:rPr>
        <w:t xml:space="preserve"> </w:t>
      </w:r>
      <w:r w:rsidRPr="007D0134">
        <w:rPr>
          <w:rFonts w:ascii="Century" w:hAnsi="Century" w:cs="Miriam" w:hint="eastAsia"/>
          <w:b/>
          <w:szCs w:val="24"/>
          <w:rtl/>
        </w:rPr>
        <w:t>ובין</w:t>
      </w:r>
      <w:r w:rsidRPr="007D0134">
        <w:rPr>
          <w:rFonts w:ascii="Century" w:hAnsi="Century" w:cs="Miriam"/>
          <w:b/>
          <w:szCs w:val="24"/>
          <w:rtl/>
        </w:rPr>
        <w:t xml:space="preserve"> </w:t>
      </w:r>
      <w:r w:rsidRPr="007D0134">
        <w:rPr>
          <w:rFonts w:ascii="Century" w:hAnsi="Century" w:cs="Miriam" w:hint="eastAsia"/>
          <w:b/>
          <w:szCs w:val="24"/>
          <w:rtl/>
        </w:rPr>
        <w:t>אם</w:t>
      </w:r>
      <w:r w:rsidRPr="007D0134">
        <w:rPr>
          <w:rFonts w:ascii="Century" w:hAnsi="Century" w:cs="Miriam"/>
          <w:b/>
          <w:szCs w:val="24"/>
          <w:rtl/>
        </w:rPr>
        <w:t xml:space="preserve"> </w:t>
      </w:r>
      <w:r w:rsidRPr="007D0134">
        <w:rPr>
          <w:rFonts w:ascii="Century" w:hAnsi="Century" w:cs="Miriam" w:hint="eastAsia"/>
          <w:b/>
          <w:szCs w:val="24"/>
          <w:rtl/>
        </w:rPr>
        <w:t>מכוח</w:t>
      </w:r>
      <w:r w:rsidRPr="007D0134">
        <w:rPr>
          <w:rFonts w:ascii="Century" w:hAnsi="Century" w:cs="Miriam"/>
          <w:b/>
          <w:szCs w:val="24"/>
          <w:rtl/>
        </w:rPr>
        <w:t xml:space="preserve"> </w:t>
      </w:r>
      <w:r w:rsidRPr="007D0134">
        <w:rPr>
          <w:rFonts w:ascii="Century" w:hAnsi="Century" w:cs="Miriam" w:hint="eastAsia"/>
          <w:b/>
          <w:szCs w:val="24"/>
          <w:rtl/>
        </w:rPr>
        <w:t>עילת</w:t>
      </w:r>
      <w:r w:rsidRPr="007D0134">
        <w:rPr>
          <w:rFonts w:ascii="Century" w:hAnsi="Century" w:cs="Miriam"/>
          <w:b/>
          <w:szCs w:val="24"/>
          <w:rtl/>
        </w:rPr>
        <w:t xml:space="preserve"> </w:t>
      </w:r>
      <w:r w:rsidRPr="007D0134">
        <w:rPr>
          <w:rFonts w:ascii="Century" w:hAnsi="Century" w:cs="Miriam" w:hint="eastAsia"/>
          <w:b/>
          <w:szCs w:val="24"/>
          <w:rtl/>
        </w:rPr>
        <w:t>הסבירות</w:t>
      </w:r>
      <w:r w:rsidRPr="007D0134">
        <w:rPr>
          <w:rFonts w:ascii="Century" w:hAnsi="Century" w:cs="Miriam"/>
          <w:b/>
          <w:szCs w:val="24"/>
          <w:rtl/>
        </w:rPr>
        <w:t xml:space="preserve"> </w:t>
      </w:r>
      <w:r w:rsidRPr="007D0134">
        <w:rPr>
          <w:rFonts w:ascii="Century" w:hAnsi="Century" w:cs="Miriam" w:hint="eastAsia"/>
          <w:b/>
          <w:szCs w:val="24"/>
          <w:rtl/>
        </w:rPr>
        <w:t>החדשה</w:t>
      </w:r>
      <w:r w:rsidRPr="007D0134">
        <w:rPr>
          <w:rFonts w:ascii="Century" w:hAnsi="Century"/>
          <w:rtl/>
        </w:rPr>
        <w:t>"</w:t>
      </w:r>
      <w:r w:rsidRPr="007D0134">
        <w:rPr>
          <w:rFonts w:ascii="Century" w:hAnsi="Century" w:hint="cs"/>
          <w:rtl/>
        </w:rPr>
        <w:t>;</w:t>
      </w:r>
      <w:r w:rsidRPr="007D0134">
        <w:rPr>
          <w:rFonts w:ascii="Century" w:hAnsi="Century"/>
          <w:rtl/>
        </w:rPr>
        <w:t xml:space="preserve"> </w:t>
      </w:r>
      <w:r w:rsidRPr="007D0134">
        <w:rPr>
          <w:rFonts w:ascii="Century" w:hAnsi="Century" w:hint="eastAsia"/>
          <w:rtl/>
        </w:rPr>
        <w:t>ואף</w:t>
      </w:r>
      <w:r w:rsidRPr="007D0134">
        <w:rPr>
          <w:rFonts w:ascii="Century" w:hAnsi="Century"/>
          <w:rtl/>
        </w:rPr>
        <w:t xml:space="preserve"> </w:t>
      </w:r>
      <w:r w:rsidRPr="007D0134">
        <w:rPr>
          <w:rFonts w:ascii="Century" w:hAnsi="Century" w:hint="eastAsia"/>
          <w:rtl/>
        </w:rPr>
        <w:t>ציין</w:t>
      </w:r>
      <w:r w:rsidRPr="007D0134">
        <w:rPr>
          <w:rFonts w:ascii="Century" w:hAnsi="Century"/>
          <w:rtl/>
        </w:rPr>
        <w:t xml:space="preserve"> </w:t>
      </w:r>
      <w:r w:rsidRPr="007D0134">
        <w:rPr>
          <w:rFonts w:ascii="Century" w:hAnsi="Century" w:hint="eastAsia"/>
          <w:rtl/>
        </w:rPr>
        <w:t>כי</w:t>
      </w:r>
      <w:r w:rsidRPr="007D0134">
        <w:rPr>
          <w:rFonts w:ascii="Century" w:hAnsi="Century"/>
          <w:rtl/>
        </w:rPr>
        <w:t xml:space="preserve"> </w:t>
      </w:r>
      <w:r w:rsidRPr="007D0134">
        <w:rPr>
          <w:rFonts w:ascii="Century" w:hAnsi="Century" w:hint="eastAsia"/>
          <w:rtl/>
        </w:rPr>
        <w:t>עמדה</w:t>
      </w:r>
      <w:r w:rsidRPr="007D0134">
        <w:rPr>
          <w:rFonts w:ascii="Century" w:hAnsi="Century"/>
          <w:rtl/>
        </w:rPr>
        <w:t xml:space="preserve"> </w:t>
      </w:r>
      <w:r w:rsidRPr="007D0134">
        <w:rPr>
          <w:rFonts w:ascii="Century" w:hAnsi="Century" w:hint="eastAsia"/>
          <w:rtl/>
        </w:rPr>
        <w:t>זו</w:t>
      </w:r>
      <w:r w:rsidRPr="007D0134">
        <w:rPr>
          <w:rFonts w:ascii="Century" w:hAnsi="Century"/>
          <w:rtl/>
        </w:rPr>
        <w:t xml:space="preserve"> </w:t>
      </w:r>
      <w:r w:rsidRPr="007D0134">
        <w:rPr>
          <w:rFonts w:ascii="Century" w:hAnsi="Century" w:hint="eastAsia"/>
          <w:rtl/>
        </w:rPr>
        <w:t>משקפת</w:t>
      </w:r>
      <w:r w:rsidRPr="007D0134">
        <w:rPr>
          <w:rFonts w:ascii="Century" w:hAnsi="Century"/>
          <w:rtl/>
        </w:rPr>
        <w:t xml:space="preserve"> </w:t>
      </w:r>
      <w:r w:rsidRPr="007D0134">
        <w:rPr>
          <w:rFonts w:ascii="Century" w:hAnsi="Century" w:hint="eastAsia"/>
          <w:rtl/>
        </w:rPr>
        <w:t>את</w:t>
      </w:r>
      <w:r w:rsidRPr="007D0134">
        <w:rPr>
          <w:rFonts w:ascii="Century" w:hAnsi="Century"/>
          <w:rtl/>
        </w:rPr>
        <w:t xml:space="preserve"> </w:t>
      </w:r>
      <w:r w:rsidRPr="007D0134">
        <w:rPr>
          <w:rFonts w:ascii="Century" w:hAnsi="Century" w:hint="eastAsia"/>
          <w:rtl/>
        </w:rPr>
        <w:t>העקרונות</w:t>
      </w:r>
      <w:r w:rsidRPr="007D0134">
        <w:rPr>
          <w:rFonts w:ascii="Century" w:hAnsi="Century"/>
          <w:rtl/>
        </w:rPr>
        <w:t xml:space="preserve"> </w:t>
      </w:r>
      <w:r w:rsidRPr="007D0134">
        <w:rPr>
          <w:rFonts w:ascii="Century" w:hAnsi="Century" w:hint="eastAsia"/>
          <w:rtl/>
        </w:rPr>
        <w:t>והיסודות</w:t>
      </w:r>
      <w:r w:rsidRPr="007D0134">
        <w:rPr>
          <w:rFonts w:ascii="Century" w:hAnsi="Century"/>
          <w:rtl/>
        </w:rPr>
        <w:t xml:space="preserve"> </w:t>
      </w:r>
      <w:r w:rsidRPr="007D0134">
        <w:rPr>
          <w:rFonts w:ascii="Century" w:hAnsi="Century" w:hint="eastAsia"/>
          <w:rtl/>
        </w:rPr>
        <w:t>שב</w:t>
      </w:r>
      <w:r w:rsidRPr="007D0134">
        <w:rPr>
          <w:rFonts w:ascii="Century" w:hAnsi="Century" w:hint="cs"/>
          <w:rtl/>
        </w:rPr>
        <w:t>ב</w:t>
      </w:r>
      <w:r w:rsidRPr="007D0134">
        <w:rPr>
          <w:rFonts w:ascii="Century" w:hAnsi="Century" w:hint="eastAsia"/>
          <w:rtl/>
        </w:rPr>
        <w:t>סיס</w:t>
      </w:r>
      <w:r w:rsidRPr="007D0134">
        <w:rPr>
          <w:rFonts w:ascii="Century" w:hAnsi="Century"/>
          <w:rtl/>
        </w:rPr>
        <w:t xml:space="preserve"> </w:t>
      </w:r>
      <w:r w:rsidRPr="007D0134">
        <w:rPr>
          <w:rFonts w:ascii="Century" w:hAnsi="Century" w:hint="eastAsia"/>
          <w:rtl/>
        </w:rPr>
        <w:t>הצעת</w:t>
      </w:r>
      <w:r w:rsidRPr="007D0134">
        <w:rPr>
          <w:rFonts w:ascii="Century" w:hAnsi="Century"/>
          <w:rtl/>
        </w:rPr>
        <w:t xml:space="preserve"> </w:t>
      </w:r>
      <w:r w:rsidRPr="007D0134">
        <w:rPr>
          <w:rFonts w:ascii="Century" w:hAnsi="Century" w:hint="eastAsia"/>
          <w:rtl/>
        </w:rPr>
        <w:t>התיקון</w:t>
      </w:r>
      <w:r w:rsidRPr="007D0134">
        <w:rPr>
          <w:rFonts w:ascii="Century" w:hAnsi="Century"/>
          <w:rtl/>
        </w:rPr>
        <w:t xml:space="preserve"> (</w:t>
      </w:r>
      <w:r w:rsidRPr="007D0134">
        <w:rPr>
          <w:rFonts w:ascii="Century" w:hAnsi="Century" w:hint="eastAsia"/>
          <w:rtl/>
        </w:rPr>
        <w:t>פרוטוקול</w:t>
      </w:r>
      <w:r w:rsidRPr="007D0134">
        <w:rPr>
          <w:rFonts w:ascii="Century" w:hAnsi="Century"/>
          <w:rtl/>
        </w:rPr>
        <w:t xml:space="preserve"> </w:t>
      </w:r>
      <w:r w:rsidRPr="007D0134">
        <w:rPr>
          <w:rFonts w:ascii="Century" w:hAnsi="Century" w:hint="eastAsia"/>
          <w:rtl/>
        </w:rPr>
        <w:t>ישיבה</w:t>
      </w:r>
      <w:r w:rsidRPr="007D0134">
        <w:rPr>
          <w:rFonts w:ascii="Century" w:hAnsi="Century"/>
          <w:rtl/>
        </w:rPr>
        <w:t xml:space="preserve"> 97 </w:t>
      </w:r>
      <w:r w:rsidRPr="007D0134">
        <w:rPr>
          <w:rFonts w:ascii="Century" w:hAnsi="Century" w:hint="eastAsia"/>
          <w:rtl/>
        </w:rPr>
        <w:t>של</w:t>
      </w:r>
      <w:r w:rsidRPr="007D0134">
        <w:rPr>
          <w:rFonts w:ascii="Century" w:hAnsi="Century"/>
          <w:rtl/>
        </w:rPr>
        <w:t xml:space="preserve"> </w:t>
      </w:r>
      <w:r w:rsidRPr="007D0134">
        <w:rPr>
          <w:rFonts w:ascii="Century" w:hAnsi="Century" w:hint="eastAsia"/>
          <w:rtl/>
        </w:rPr>
        <w:t>הכנסת</w:t>
      </w:r>
      <w:r w:rsidRPr="007D0134">
        <w:rPr>
          <w:rFonts w:ascii="Century" w:hAnsi="Century"/>
          <w:rtl/>
        </w:rPr>
        <w:t xml:space="preserve">, 552-551 (23.7.2023)). </w:t>
      </w:r>
      <w:r w:rsidRPr="007D0134">
        <w:rPr>
          <w:rFonts w:ascii="Century" w:hAnsi="Century" w:hint="eastAsia"/>
          <w:rtl/>
        </w:rPr>
        <w:t>ח</w:t>
      </w:r>
      <w:r w:rsidRPr="007D0134">
        <w:rPr>
          <w:rFonts w:ascii="Century" w:hAnsi="Century"/>
          <w:rtl/>
        </w:rPr>
        <w:t>"</w:t>
      </w:r>
      <w:r w:rsidRPr="007D0134">
        <w:rPr>
          <w:rFonts w:ascii="Century" w:hAnsi="Century" w:hint="eastAsia"/>
          <w:rtl/>
        </w:rPr>
        <w:t>כ</w:t>
      </w:r>
      <w:r w:rsidRPr="007D0134">
        <w:rPr>
          <w:rFonts w:ascii="Century" w:hAnsi="Century"/>
          <w:rtl/>
        </w:rPr>
        <w:t xml:space="preserve"> </w:t>
      </w:r>
      <w:r w:rsidRPr="007D0134">
        <w:rPr>
          <w:rFonts w:ascii="Century" w:hAnsi="Century" w:hint="eastAsia"/>
          <w:rtl/>
        </w:rPr>
        <w:t>רוטמן</w:t>
      </w:r>
      <w:r w:rsidRPr="007D0134">
        <w:rPr>
          <w:rFonts w:ascii="Century" w:hAnsi="Century"/>
          <w:rtl/>
        </w:rPr>
        <w:t xml:space="preserve"> </w:t>
      </w:r>
      <w:r w:rsidRPr="007D0134">
        <w:rPr>
          <w:rFonts w:ascii="Century" w:hAnsi="Century" w:hint="eastAsia"/>
          <w:rtl/>
        </w:rPr>
        <w:t>המשיך</w:t>
      </w:r>
      <w:r w:rsidRPr="007D0134">
        <w:rPr>
          <w:rFonts w:ascii="Century" w:hAnsi="Century"/>
          <w:rtl/>
        </w:rPr>
        <w:t xml:space="preserve"> </w:t>
      </w:r>
      <w:r w:rsidRPr="007D0134">
        <w:rPr>
          <w:rFonts w:ascii="Century" w:hAnsi="Century" w:hint="eastAsia"/>
          <w:rtl/>
        </w:rPr>
        <w:t>לדבוק</w:t>
      </w:r>
      <w:r w:rsidRPr="007D0134">
        <w:rPr>
          <w:rFonts w:ascii="Century" w:hAnsi="Century"/>
          <w:rtl/>
        </w:rPr>
        <w:t xml:space="preserve"> </w:t>
      </w:r>
      <w:r w:rsidRPr="007D0134">
        <w:rPr>
          <w:rFonts w:ascii="Century" w:hAnsi="Century" w:hint="eastAsia"/>
          <w:rtl/>
        </w:rPr>
        <w:t>בקו</w:t>
      </w:r>
      <w:r w:rsidRPr="007D0134">
        <w:rPr>
          <w:rFonts w:ascii="Century" w:hAnsi="Century"/>
          <w:rtl/>
        </w:rPr>
        <w:t xml:space="preserve"> </w:t>
      </w:r>
      <w:r w:rsidRPr="007D0134">
        <w:rPr>
          <w:rFonts w:ascii="Century" w:hAnsi="Century" w:hint="eastAsia"/>
          <w:rtl/>
        </w:rPr>
        <w:t>זה</w:t>
      </w:r>
      <w:r w:rsidRPr="007D0134">
        <w:rPr>
          <w:rFonts w:ascii="Century" w:hAnsi="Century"/>
          <w:rtl/>
        </w:rPr>
        <w:t xml:space="preserve"> </w:t>
      </w:r>
      <w:r w:rsidRPr="007D0134">
        <w:rPr>
          <w:rFonts w:ascii="Century" w:hAnsi="Century" w:hint="eastAsia"/>
          <w:rtl/>
        </w:rPr>
        <w:t>גם</w:t>
      </w:r>
      <w:r w:rsidRPr="007D0134">
        <w:rPr>
          <w:rFonts w:ascii="Century" w:hAnsi="Century"/>
          <w:rtl/>
        </w:rPr>
        <w:t xml:space="preserve"> </w:t>
      </w:r>
      <w:r w:rsidRPr="007D0134">
        <w:rPr>
          <w:rFonts w:ascii="Century" w:hAnsi="Century" w:hint="eastAsia"/>
          <w:rtl/>
        </w:rPr>
        <w:t>בדיון</w:t>
      </w:r>
      <w:r w:rsidRPr="007D0134">
        <w:rPr>
          <w:rFonts w:ascii="Century" w:hAnsi="Century"/>
          <w:rtl/>
        </w:rPr>
        <w:t xml:space="preserve"> </w:t>
      </w:r>
      <w:r w:rsidRPr="007D0134">
        <w:rPr>
          <w:rFonts w:ascii="Century" w:hAnsi="Century" w:hint="eastAsia"/>
          <w:rtl/>
        </w:rPr>
        <w:t>שהתקיים</w:t>
      </w:r>
      <w:r w:rsidRPr="007D0134">
        <w:rPr>
          <w:rFonts w:ascii="Century" w:hAnsi="Century"/>
          <w:rtl/>
        </w:rPr>
        <w:t xml:space="preserve"> </w:t>
      </w:r>
      <w:r w:rsidRPr="007D0134">
        <w:rPr>
          <w:rFonts w:ascii="Century" w:hAnsi="Century" w:hint="eastAsia"/>
          <w:rtl/>
        </w:rPr>
        <w:t>לפנינו</w:t>
      </w:r>
      <w:r w:rsidRPr="007D0134">
        <w:rPr>
          <w:rFonts w:ascii="Century" w:hAnsi="Century"/>
          <w:rtl/>
        </w:rPr>
        <w:t xml:space="preserve"> </w:t>
      </w:r>
      <w:r w:rsidRPr="007D0134">
        <w:rPr>
          <w:rFonts w:ascii="Century" w:hAnsi="Century" w:hint="eastAsia"/>
          <w:rtl/>
        </w:rPr>
        <w:t>ביום</w:t>
      </w:r>
      <w:r w:rsidRPr="007D0134">
        <w:rPr>
          <w:rFonts w:ascii="Century" w:hAnsi="Century"/>
          <w:rtl/>
        </w:rPr>
        <w:t xml:space="preserve"> 12.9.2023 – </w:t>
      </w:r>
      <w:r w:rsidRPr="007D0134">
        <w:rPr>
          <w:rFonts w:ascii="Century" w:hAnsi="Century" w:hint="eastAsia"/>
          <w:rtl/>
        </w:rPr>
        <w:t>שם</w:t>
      </w:r>
      <w:r w:rsidRPr="007D0134">
        <w:rPr>
          <w:rFonts w:ascii="Century" w:hAnsi="Century"/>
          <w:rtl/>
        </w:rPr>
        <w:t xml:space="preserve">, </w:t>
      </w:r>
      <w:r w:rsidRPr="007D0134">
        <w:rPr>
          <w:rFonts w:ascii="Century" w:hAnsi="Century" w:hint="eastAsia"/>
          <w:rtl/>
        </w:rPr>
        <w:t>במענה</w:t>
      </w:r>
      <w:r w:rsidRPr="007D0134">
        <w:rPr>
          <w:rFonts w:ascii="Century" w:hAnsi="Century"/>
          <w:rtl/>
        </w:rPr>
        <w:t xml:space="preserve"> </w:t>
      </w:r>
      <w:r w:rsidRPr="007D0134">
        <w:rPr>
          <w:rFonts w:ascii="Century" w:hAnsi="Century" w:hint="eastAsia"/>
          <w:rtl/>
        </w:rPr>
        <w:t>לשאלות</w:t>
      </w:r>
      <w:r w:rsidRPr="007D0134">
        <w:rPr>
          <w:rFonts w:ascii="Century" w:hAnsi="Century"/>
          <w:rtl/>
        </w:rPr>
        <w:t xml:space="preserve"> </w:t>
      </w:r>
      <w:r w:rsidRPr="007D0134">
        <w:rPr>
          <w:rFonts w:ascii="Century" w:hAnsi="Century" w:hint="eastAsia"/>
          <w:rtl/>
        </w:rPr>
        <w:t>הנוגעות</w:t>
      </w:r>
      <w:r w:rsidRPr="007D0134">
        <w:rPr>
          <w:rFonts w:ascii="Century" w:hAnsi="Century"/>
          <w:rtl/>
        </w:rPr>
        <w:t xml:space="preserve"> </w:t>
      </w:r>
      <w:r w:rsidRPr="007D0134">
        <w:rPr>
          <w:rFonts w:ascii="Century" w:hAnsi="Century" w:hint="eastAsia"/>
          <w:rtl/>
        </w:rPr>
        <w:t>לאפשרות</w:t>
      </w:r>
      <w:r w:rsidRPr="007D0134">
        <w:rPr>
          <w:rFonts w:ascii="Century" w:hAnsi="Century"/>
          <w:rtl/>
        </w:rPr>
        <w:t xml:space="preserve"> </w:t>
      </w:r>
      <w:r w:rsidRPr="007D0134">
        <w:rPr>
          <w:rFonts w:ascii="Century" w:hAnsi="Century" w:hint="eastAsia"/>
          <w:rtl/>
        </w:rPr>
        <w:t>לפרש</w:t>
      </w:r>
      <w:r w:rsidRPr="007D0134">
        <w:rPr>
          <w:rFonts w:ascii="Century" w:hAnsi="Century"/>
          <w:rtl/>
        </w:rPr>
        <w:t xml:space="preserve"> </w:t>
      </w:r>
      <w:r w:rsidRPr="007D0134">
        <w:rPr>
          <w:rFonts w:ascii="Century" w:hAnsi="Century" w:hint="eastAsia"/>
          <w:rtl/>
        </w:rPr>
        <w:t>את</w:t>
      </w:r>
      <w:r w:rsidRPr="007D0134">
        <w:rPr>
          <w:rFonts w:ascii="Century" w:hAnsi="Century"/>
          <w:rtl/>
        </w:rPr>
        <w:t xml:space="preserve"> </w:t>
      </w:r>
      <w:r w:rsidRPr="007D0134">
        <w:rPr>
          <w:rFonts w:ascii="Century" w:hAnsi="Century" w:hint="eastAsia"/>
          <w:rtl/>
        </w:rPr>
        <w:t>התיקון</w:t>
      </w:r>
      <w:r w:rsidRPr="007D0134">
        <w:rPr>
          <w:rFonts w:ascii="Century" w:hAnsi="Century"/>
          <w:rtl/>
        </w:rPr>
        <w:t xml:space="preserve"> </w:t>
      </w:r>
      <w:r w:rsidRPr="007D0134">
        <w:rPr>
          <w:rFonts w:ascii="Century" w:hAnsi="Century" w:hint="eastAsia"/>
          <w:rtl/>
        </w:rPr>
        <w:t>ככזה</w:t>
      </w:r>
      <w:r w:rsidRPr="007D0134">
        <w:rPr>
          <w:rFonts w:ascii="Century" w:hAnsi="Century"/>
          <w:rtl/>
        </w:rPr>
        <w:t xml:space="preserve"> </w:t>
      </w:r>
      <w:r w:rsidRPr="007D0134">
        <w:rPr>
          <w:rFonts w:ascii="Century" w:hAnsi="Century" w:hint="eastAsia"/>
          <w:rtl/>
        </w:rPr>
        <w:t>שמותיר</w:t>
      </w:r>
      <w:r w:rsidRPr="007D0134">
        <w:rPr>
          <w:rFonts w:ascii="Century" w:hAnsi="Century"/>
          <w:rtl/>
        </w:rPr>
        <w:t xml:space="preserve"> </w:t>
      </w:r>
      <w:r w:rsidRPr="007D0134">
        <w:rPr>
          <w:rFonts w:ascii="Century" w:hAnsi="Century" w:hint="eastAsia"/>
          <w:rtl/>
        </w:rPr>
        <w:t>את</w:t>
      </w:r>
      <w:r w:rsidRPr="007D0134">
        <w:rPr>
          <w:rFonts w:ascii="Century" w:hAnsi="Century"/>
          <w:rtl/>
        </w:rPr>
        <w:t xml:space="preserve"> </w:t>
      </w:r>
      <w:r w:rsidRPr="007D0134">
        <w:rPr>
          <w:rFonts w:ascii="Century" w:hAnsi="Century" w:hint="eastAsia"/>
          <w:rtl/>
        </w:rPr>
        <w:t>עילת</w:t>
      </w:r>
      <w:r w:rsidRPr="007D0134">
        <w:rPr>
          <w:rFonts w:ascii="Century" w:hAnsi="Century"/>
          <w:rtl/>
        </w:rPr>
        <w:t xml:space="preserve"> </w:t>
      </w:r>
      <w:r w:rsidRPr="007D0134">
        <w:rPr>
          <w:rFonts w:ascii="Century" w:hAnsi="Century" w:hint="eastAsia"/>
          <w:rtl/>
        </w:rPr>
        <w:t>הסבירות</w:t>
      </w:r>
      <w:r w:rsidRPr="007D0134">
        <w:rPr>
          <w:rFonts w:ascii="Century" w:hAnsi="Century"/>
          <w:rtl/>
        </w:rPr>
        <w:t xml:space="preserve"> </w:t>
      </w:r>
      <w:r w:rsidRPr="007D0134">
        <w:rPr>
          <w:rFonts w:ascii="Century" w:hAnsi="Century" w:hint="eastAsia"/>
          <w:rtl/>
        </w:rPr>
        <w:t>במובנה</w:t>
      </w:r>
      <w:r w:rsidRPr="007D0134">
        <w:rPr>
          <w:rFonts w:ascii="Century" w:hAnsi="Century"/>
          <w:rtl/>
        </w:rPr>
        <w:t xml:space="preserve"> "</w:t>
      </w:r>
      <w:r w:rsidRPr="007D0134">
        <w:rPr>
          <w:rFonts w:ascii="Century" w:hAnsi="Century" w:hint="eastAsia"/>
          <w:rtl/>
        </w:rPr>
        <w:t>טרום</w:t>
      </w:r>
      <w:r w:rsidRPr="007D0134">
        <w:rPr>
          <w:rFonts w:ascii="Century" w:hAnsi="Century"/>
          <w:rtl/>
        </w:rPr>
        <w:t xml:space="preserve"> </w:t>
      </w:r>
      <w:r w:rsidRPr="007D0134">
        <w:rPr>
          <w:rFonts w:ascii="Century" w:hAnsi="Century" w:cs="Miriam" w:hint="eastAsia"/>
          <w:b/>
          <w:szCs w:val="24"/>
          <w:rtl/>
        </w:rPr>
        <w:t>דפי</w:t>
      </w:r>
      <w:r w:rsidRPr="007D0134">
        <w:rPr>
          <w:rFonts w:ascii="Century" w:hAnsi="Century" w:cs="Miriam"/>
          <w:b/>
          <w:szCs w:val="24"/>
          <w:rtl/>
        </w:rPr>
        <w:t xml:space="preserve"> </w:t>
      </w:r>
      <w:r w:rsidRPr="007D0134">
        <w:rPr>
          <w:rFonts w:ascii="Century" w:hAnsi="Century" w:cs="Miriam" w:hint="eastAsia"/>
          <w:b/>
          <w:szCs w:val="24"/>
          <w:rtl/>
        </w:rPr>
        <w:t>זהב</w:t>
      </w:r>
      <w:r w:rsidRPr="007D0134">
        <w:rPr>
          <w:rFonts w:ascii="Century" w:hAnsi="Century"/>
          <w:rtl/>
        </w:rPr>
        <w:t xml:space="preserve">", </w:t>
      </w:r>
      <w:r w:rsidRPr="007D0134">
        <w:rPr>
          <w:rFonts w:ascii="Century" w:hAnsi="Century" w:hint="eastAsia"/>
          <w:rtl/>
        </w:rPr>
        <w:t>הבהיר</w:t>
      </w:r>
      <w:r w:rsidRPr="007D0134">
        <w:rPr>
          <w:rFonts w:ascii="Century" w:hAnsi="Century"/>
          <w:rtl/>
        </w:rPr>
        <w:t xml:space="preserve"> </w:t>
      </w:r>
      <w:r w:rsidRPr="007D0134">
        <w:rPr>
          <w:rFonts w:ascii="Century" w:hAnsi="Century" w:hint="eastAsia"/>
          <w:rtl/>
        </w:rPr>
        <w:t>ח</w:t>
      </w:r>
      <w:r w:rsidRPr="007D0134">
        <w:rPr>
          <w:rFonts w:ascii="Century" w:hAnsi="Century"/>
          <w:rtl/>
        </w:rPr>
        <w:t>"</w:t>
      </w:r>
      <w:r w:rsidRPr="007D0134">
        <w:rPr>
          <w:rFonts w:ascii="Century" w:hAnsi="Century" w:hint="eastAsia"/>
          <w:rtl/>
        </w:rPr>
        <w:t>כ</w:t>
      </w:r>
      <w:r w:rsidRPr="007D0134">
        <w:rPr>
          <w:rFonts w:ascii="Century" w:hAnsi="Century"/>
          <w:rtl/>
        </w:rPr>
        <w:t xml:space="preserve"> </w:t>
      </w:r>
      <w:r w:rsidRPr="007D0134">
        <w:rPr>
          <w:rFonts w:ascii="Century" w:hAnsi="Century" w:hint="eastAsia"/>
          <w:rtl/>
        </w:rPr>
        <w:t>רוטמן</w:t>
      </w:r>
      <w:r w:rsidRPr="007D0134">
        <w:rPr>
          <w:rFonts w:ascii="Century" w:hAnsi="Century"/>
          <w:rtl/>
        </w:rPr>
        <w:t xml:space="preserve"> </w:t>
      </w:r>
      <w:r w:rsidRPr="007D0134">
        <w:rPr>
          <w:rFonts w:ascii="Century" w:hAnsi="Century" w:hint="eastAsia"/>
          <w:rtl/>
        </w:rPr>
        <w:t>כי</w:t>
      </w:r>
      <w:r w:rsidRPr="007D0134">
        <w:rPr>
          <w:rFonts w:ascii="Century" w:hAnsi="Century"/>
          <w:rtl/>
        </w:rPr>
        <w:t xml:space="preserve"> </w:t>
      </w:r>
      <w:r w:rsidRPr="007D0134">
        <w:rPr>
          <w:rFonts w:ascii="Century" w:hAnsi="Century" w:hint="eastAsia"/>
          <w:rtl/>
        </w:rPr>
        <w:t>התיקון</w:t>
      </w:r>
      <w:r w:rsidRPr="007D0134">
        <w:rPr>
          <w:rFonts w:ascii="Century" w:hAnsi="Century"/>
          <w:rtl/>
        </w:rPr>
        <w:t xml:space="preserve"> </w:t>
      </w:r>
      <w:r w:rsidRPr="007D0134">
        <w:rPr>
          <w:rFonts w:ascii="Century" w:hAnsi="Century" w:hint="eastAsia"/>
          <w:rtl/>
        </w:rPr>
        <w:lastRenderedPageBreak/>
        <w:t>מונע</w:t>
      </w:r>
      <w:r w:rsidRPr="007D0134">
        <w:rPr>
          <w:rFonts w:ascii="Century" w:hAnsi="Century"/>
          <w:rtl/>
        </w:rPr>
        <w:t xml:space="preserve"> </w:t>
      </w:r>
      <w:r w:rsidRPr="007D0134">
        <w:rPr>
          <w:rFonts w:ascii="Century" w:hAnsi="Century" w:hint="eastAsia"/>
          <w:rtl/>
        </w:rPr>
        <w:t>מבית</w:t>
      </w:r>
      <w:r w:rsidRPr="007D0134">
        <w:rPr>
          <w:rFonts w:ascii="Century" w:hAnsi="Century"/>
          <w:rtl/>
        </w:rPr>
        <w:t xml:space="preserve"> </w:t>
      </w:r>
      <w:r w:rsidRPr="007D0134">
        <w:rPr>
          <w:rFonts w:ascii="Century" w:hAnsi="Century" w:hint="eastAsia"/>
          <w:rtl/>
        </w:rPr>
        <w:t>המשפט</w:t>
      </w:r>
      <w:r w:rsidRPr="007D0134">
        <w:rPr>
          <w:rFonts w:ascii="Century" w:hAnsi="Century"/>
          <w:rtl/>
        </w:rPr>
        <w:t xml:space="preserve"> </w:t>
      </w:r>
      <w:r w:rsidRPr="007D0134">
        <w:rPr>
          <w:rFonts w:ascii="Century" w:hAnsi="Century" w:hint="eastAsia"/>
          <w:rtl/>
        </w:rPr>
        <w:t>לדון</w:t>
      </w:r>
      <w:r w:rsidRPr="007D0134">
        <w:rPr>
          <w:rFonts w:ascii="Century" w:hAnsi="Century"/>
          <w:rtl/>
        </w:rPr>
        <w:t xml:space="preserve"> </w:t>
      </w:r>
      <w:r w:rsidRPr="007D0134">
        <w:rPr>
          <w:rFonts w:ascii="Century" w:hAnsi="Century" w:hint="eastAsia"/>
          <w:rtl/>
        </w:rPr>
        <w:t>בסבירות</w:t>
      </w:r>
      <w:r w:rsidRPr="007D0134">
        <w:rPr>
          <w:rFonts w:ascii="Century" w:hAnsi="Century"/>
          <w:rtl/>
        </w:rPr>
        <w:t xml:space="preserve"> </w:t>
      </w:r>
      <w:r w:rsidRPr="007D0134">
        <w:rPr>
          <w:rFonts w:ascii="Century" w:hAnsi="Century" w:hint="eastAsia"/>
          <w:rtl/>
        </w:rPr>
        <w:t>החלט</w:t>
      </w:r>
      <w:r w:rsidRPr="007D0134">
        <w:rPr>
          <w:rFonts w:ascii="Century" w:hAnsi="Century" w:hint="cs"/>
          <w:rtl/>
        </w:rPr>
        <w:t>ו</w:t>
      </w:r>
      <w:r w:rsidRPr="007D0134">
        <w:rPr>
          <w:rFonts w:ascii="Century" w:hAnsi="Century" w:hint="eastAsia"/>
          <w:rtl/>
        </w:rPr>
        <w:t>ת</w:t>
      </w:r>
      <w:r w:rsidRPr="007D0134">
        <w:rPr>
          <w:rFonts w:ascii="Century" w:hAnsi="Century"/>
          <w:rtl/>
        </w:rPr>
        <w:t xml:space="preserve"> </w:t>
      </w:r>
      <w:r w:rsidRPr="007D0134">
        <w:rPr>
          <w:rFonts w:ascii="Century" w:hAnsi="Century" w:hint="eastAsia"/>
          <w:rtl/>
        </w:rPr>
        <w:t>הממשלה</w:t>
      </w:r>
      <w:r w:rsidRPr="007D0134">
        <w:rPr>
          <w:rFonts w:ascii="Century" w:hAnsi="Century"/>
          <w:rtl/>
        </w:rPr>
        <w:t xml:space="preserve">, </w:t>
      </w:r>
      <w:r w:rsidRPr="007D0134">
        <w:rPr>
          <w:rFonts w:ascii="Century" w:hAnsi="Century" w:hint="eastAsia"/>
          <w:rtl/>
        </w:rPr>
        <w:t>ראש</w:t>
      </w:r>
      <w:r w:rsidRPr="007D0134">
        <w:rPr>
          <w:rFonts w:ascii="Century" w:hAnsi="Century"/>
          <w:rtl/>
        </w:rPr>
        <w:t xml:space="preserve"> </w:t>
      </w:r>
      <w:r w:rsidRPr="007D0134">
        <w:rPr>
          <w:rFonts w:ascii="Century" w:hAnsi="Century" w:hint="eastAsia"/>
          <w:rtl/>
        </w:rPr>
        <w:t>הממשלה</w:t>
      </w:r>
      <w:r w:rsidRPr="007D0134">
        <w:rPr>
          <w:rFonts w:ascii="Century" w:hAnsi="Century"/>
          <w:rtl/>
        </w:rPr>
        <w:t xml:space="preserve"> </w:t>
      </w:r>
      <w:r w:rsidRPr="007D0134">
        <w:rPr>
          <w:rFonts w:ascii="Century" w:hAnsi="Century" w:hint="eastAsia"/>
          <w:rtl/>
        </w:rPr>
        <w:t>והשרים</w:t>
      </w:r>
      <w:r w:rsidRPr="007D0134">
        <w:rPr>
          <w:rFonts w:ascii="Century" w:hAnsi="Century"/>
          <w:rtl/>
        </w:rPr>
        <w:t xml:space="preserve">, </w:t>
      </w:r>
      <w:r w:rsidRPr="007D0134">
        <w:rPr>
          <w:rFonts w:ascii="Century" w:hAnsi="Century" w:hint="eastAsia"/>
          <w:rtl/>
        </w:rPr>
        <w:t>על</w:t>
      </w:r>
      <w:r w:rsidRPr="007D0134">
        <w:rPr>
          <w:rFonts w:ascii="Century" w:hAnsi="Century"/>
          <w:rtl/>
        </w:rPr>
        <w:t xml:space="preserve"> </w:t>
      </w:r>
      <w:r w:rsidRPr="007D0134">
        <w:rPr>
          <w:rFonts w:ascii="Century" w:hAnsi="Century" w:hint="eastAsia"/>
          <w:rtl/>
        </w:rPr>
        <w:t>כל</w:t>
      </w:r>
      <w:r w:rsidRPr="007D0134">
        <w:rPr>
          <w:rFonts w:ascii="Century" w:hAnsi="Century"/>
          <w:rtl/>
        </w:rPr>
        <w:t xml:space="preserve"> </w:t>
      </w:r>
      <w:r w:rsidRPr="007D0134">
        <w:rPr>
          <w:rFonts w:ascii="Century" w:hAnsi="Century" w:hint="eastAsia"/>
          <w:rtl/>
        </w:rPr>
        <w:t>מובניה</w:t>
      </w:r>
      <w:r w:rsidRPr="007D0134">
        <w:rPr>
          <w:rFonts w:ascii="Century" w:hAnsi="Century"/>
          <w:rtl/>
        </w:rPr>
        <w:t xml:space="preserve"> (</w:t>
      </w:r>
      <w:r w:rsidRPr="007D0134">
        <w:rPr>
          <w:rFonts w:ascii="Century" w:hAnsi="Century" w:hint="eastAsia"/>
          <w:rtl/>
        </w:rPr>
        <w:t>עמודים</w:t>
      </w:r>
      <w:r w:rsidRPr="007D0134">
        <w:rPr>
          <w:rFonts w:ascii="Century" w:hAnsi="Century"/>
          <w:rtl/>
        </w:rPr>
        <w:t xml:space="preserve"> 39-37 </w:t>
      </w:r>
      <w:r w:rsidRPr="007D0134">
        <w:rPr>
          <w:rFonts w:ascii="Century" w:hAnsi="Century" w:hint="eastAsia"/>
          <w:rtl/>
        </w:rPr>
        <w:t>לפרוטוקול</w:t>
      </w:r>
      <w:r w:rsidRPr="007D0134">
        <w:rPr>
          <w:rFonts w:ascii="Century" w:hAnsi="Century"/>
          <w:rtl/>
        </w:rPr>
        <w:t xml:space="preserve"> </w:t>
      </w:r>
      <w:r w:rsidRPr="007D0134">
        <w:rPr>
          <w:rFonts w:ascii="Century" w:hAnsi="Century" w:hint="eastAsia"/>
          <w:rtl/>
        </w:rPr>
        <w:t>הדיון</w:t>
      </w:r>
      <w:r w:rsidRPr="007D0134">
        <w:rPr>
          <w:rFonts w:ascii="Century" w:hAnsi="Century"/>
          <w:rtl/>
        </w:rPr>
        <w:t>)</w:t>
      </w:r>
      <w:r w:rsidRPr="007D0134">
        <w:rPr>
          <w:rFonts w:ascii="Century" w:hAnsi="Century" w:hint="cs"/>
          <w:rtl/>
        </w:rPr>
        <w:t xml:space="preserve">. </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ind w:firstLine="720"/>
        <w:jc w:val="both"/>
        <w:rPr>
          <w:rFonts w:ascii="Century" w:hAnsi="Century" w:cs="FrankRuehl"/>
          <w:spacing w:val="10"/>
          <w:szCs w:val="28"/>
          <w:rtl/>
        </w:rPr>
      </w:pPr>
      <w:r>
        <w:rPr>
          <w:rFonts w:ascii="Century" w:hAnsi="Century" w:cs="FrankRuehl" w:hint="cs"/>
          <w:spacing w:val="10"/>
          <w:szCs w:val="28"/>
          <w:rtl/>
        </w:rPr>
        <w:t>באשר לעמדת משיבי הממשלה, אומנם בתצהיר התשובה שהוגש מטעמם עלתה הגישה לפיה יש להעניק לתיקון פרשנות מצמצמת המשיבה את המצב המשפטי לקדמותו טרום פסק הדין ב</w:t>
      </w:r>
      <w:r w:rsidRPr="001959F6">
        <w:rPr>
          <w:rFonts w:ascii="Century" w:hAnsi="Century" w:cs="FrankRuehl" w:hint="eastAsia"/>
          <w:spacing w:val="10"/>
          <w:szCs w:val="28"/>
          <w:rtl/>
        </w:rPr>
        <w:t>עניין</w:t>
      </w:r>
      <w:r w:rsidRPr="001959F6">
        <w:rPr>
          <w:rFonts w:ascii="Century" w:hAnsi="Century" w:cs="FrankRuehl"/>
          <w:spacing w:val="10"/>
          <w:szCs w:val="28"/>
          <w:rtl/>
        </w:rPr>
        <w:t xml:space="preserve"> </w:t>
      </w:r>
      <w:r w:rsidRPr="001959F6">
        <w:rPr>
          <w:rFonts w:ascii="Century" w:hAnsi="Century" w:cs="Miriam" w:hint="eastAsia"/>
          <w:b/>
          <w:rtl/>
        </w:rPr>
        <w:t>דפי</w:t>
      </w:r>
      <w:r w:rsidRPr="001959F6">
        <w:rPr>
          <w:rFonts w:ascii="Century" w:hAnsi="Century" w:cs="Miriam"/>
          <w:b/>
          <w:rtl/>
        </w:rPr>
        <w:t xml:space="preserve"> </w:t>
      </w:r>
      <w:r w:rsidRPr="001959F6">
        <w:rPr>
          <w:rFonts w:ascii="Century" w:hAnsi="Century" w:cs="Miriam" w:hint="eastAsia"/>
          <w:b/>
          <w:rtl/>
        </w:rPr>
        <w:t>זהב</w:t>
      </w:r>
      <w:r>
        <w:rPr>
          <w:rFonts w:ascii="Century" w:hAnsi="Century" w:cs="FrankRuehl" w:hint="cs"/>
          <w:spacing w:val="10"/>
          <w:szCs w:val="28"/>
          <w:rtl/>
        </w:rPr>
        <w:t xml:space="preserve">, בדומה לפרשנות שהציגו חלק מחבריי (וראו פסקאות 54-51 לחוות דעתה של השופטת </w:t>
      </w:r>
      <w:r w:rsidRPr="001959F6">
        <w:rPr>
          <w:rFonts w:ascii="Century" w:hAnsi="Century" w:cs="Miriam" w:hint="eastAsia"/>
          <w:b/>
          <w:rtl/>
        </w:rPr>
        <w:t>וילנר</w:t>
      </w:r>
      <w:r>
        <w:rPr>
          <w:rFonts w:ascii="Century" w:hAnsi="Century" w:cs="FrankRuehl" w:hint="cs"/>
          <w:spacing w:val="10"/>
          <w:szCs w:val="28"/>
          <w:rtl/>
        </w:rPr>
        <w:t>). עם זאת, הן בדיון שהתקיים לפנינו והן בהשלמת הטיעון שהגישו משיבי הממשלה לאחר הדיון נשללה לחלוטין גישה זו, והובעה עמדה חד-משמעית לפיה "</w:t>
      </w:r>
      <w:r w:rsidRPr="00D170F5">
        <w:rPr>
          <w:rFonts w:ascii="Century" w:hAnsi="Century" w:cs="Miriam" w:hint="eastAsia"/>
          <w:b/>
          <w:rtl/>
        </w:rPr>
        <w:t>פרשנות</w:t>
      </w:r>
      <w:r w:rsidRPr="00D170F5">
        <w:rPr>
          <w:rFonts w:ascii="Century" w:hAnsi="Century" w:cs="Miriam"/>
          <w:b/>
          <w:rtl/>
        </w:rPr>
        <w:t xml:space="preserve"> </w:t>
      </w:r>
      <w:r w:rsidRPr="00D170F5">
        <w:rPr>
          <w:rFonts w:ascii="Century" w:hAnsi="Century" w:cs="Miriam" w:hint="eastAsia"/>
          <w:b/>
          <w:rtl/>
        </w:rPr>
        <w:t>נכונה</w:t>
      </w:r>
      <w:r w:rsidRPr="00D170F5">
        <w:rPr>
          <w:rFonts w:ascii="Century" w:hAnsi="Century" w:cs="Miriam"/>
          <w:b/>
          <w:rtl/>
        </w:rPr>
        <w:t xml:space="preserve"> </w:t>
      </w:r>
      <w:r w:rsidRPr="00D170F5">
        <w:rPr>
          <w:rFonts w:ascii="Century" w:hAnsi="Century" w:cs="Miriam" w:hint="eastAsia"/>
          <w:b/>
          <w:rtl/>
        </w:rPr>
        <w:t>של</w:t>
      </w:r>
      <w:r w:rsidRPr="00D170F5">
        <w:rPr>
          <w:rFonts w:ascii="Century" w:hAnsi="Century" w:cs="Miriam"/>
          <w:b/>
          <w:rtl/>
        </w:rPr>
        <w:t xml:space="preserve"> </w:t>
      </w:r>
      <w:r w:rsidRPr="00FF5D86">
        <w:rPr>
          <w:rFonts w:ascii="Century" w:hAnsi="Century" w:cs="FrankRuehl"/>
          <w:spacing w:val="10"/>
          <w:szCs w:val="28"/>
          <w:rtl/>
        </w:rPr>
        <w:t>[</w:t>
      </w:r>
      <w:r w:rsidRPr="00FF5D86">
        <w:rPr>
          <w:rFonts w:ascii="Century" w:hAnsi="Century" w:cs="FrankRuehl" w:hint="eastAsia"/>
          <w:spacing w:val="10"/>
          <w:szCs w:val="28"/>
          <w:rtl/>
        </w:rPr>
        <w:t>התיקון</w:t>
      </w:r>
      <w:r w:rsidRPr="00583E3C">
        <w:rPr>
          <w:rFonts w:ascii="Century" w:hAnsi="Century" w:cs="FrankRuehl"/>
          <w:spacing w:val="10"/>
          <w:szCs w:val="28"/>
          <w:rtl/>
        </w:rPr>
        <w:t>]</w:t>
      </w:r>
      <w:r w:rsidRPr="00D170F5">
        <w:rPr>
          <w:rFonts w:ascii="Century" w:hAnsi="Century" w:cs="Miriam"/>
          <w:b/>
          <w:rtl/>
        </w:rPr>
        <w:t xml:space="preserve">... </w:t>
      </w:r>
      <w:r w:rsidRPr="00D170F5">
        <w:rPr>
          <w:rFonts w:ascii="Century" w:hAnsi="Century" w:cs="Miriam" w:hint="eastAsia"/>
          <w:b/>
          <w:rtl/>
        </w:rPr>
        <w:t>היא</w:t>
      </w:r>
      <w:r w:rsidRPr="00D170F5">
        <w:rPr>
          <w:rFonts w:ascii="Century" w:hAnsi="Century" w:cs="Miriam"/>
          <w:b/>
          <w:rtl/>
        </w:rPr>
        <w:t xml:space="preserve"> </w:t>
      </w:r>
      <w:r w:rsidRPr="00D170F5">
        <w:rPr>
          <w:rFonts w:ascii="Century" w:hAnsi="Century" w:cs="Miriam" w:hint="eastAsia"/>
          <w:b/>
          <w:rtl/>
        </w:rPr>
        <w:t>כי</w:t>
      </w:r>
      <w:r w:rsidRPr="00D170F5">
        <w:rPr>
          <w:rFonts w:ascii="Century" w:hAnsi="Century" w:cs="Miriam"/>
          <w:b/>
          <w:rtl/>
        </w:rPr>
        <w:t xml:space="preserve"> </w:t>
      </w:r>
      <w:r w:rsidRPr="00D170F5">
        <w:rPr>
          <w:rFonts w:ascii="Century" w:hAnsi="Century" w:cs="Miriam" w:hint="eastAsia"/>
          <w:b/>
          <w:rtl/>
        </w:rPr>
        <w:t>ביחס</w:t>
      </w:r>
      <w:r w:rsidRPr="00D170F5">
        <w:rPr>
          <w:rFonts w:ascii="Century" w:hAnsi="Century" w:cs="Miriam"/>
          <w:b/>
          <w:rtl/>
        </w:rPr>
        <w:t xml:space="preserve"> </w:t>
      </w:r>
      <w:r w:rsidRPr="00D170F5">
        <w:rPr>
          <w:rFonts w:ascii="Century" w:hAnsi="Century" w:cs="Miriam" w:hint="eastAsia"/>
          <w:b/>
          <w:rtl/>
        </w:rPr>
        <w:t>להחלטות</w:t>
      </w:r>
      <w:r w:rsidRPr="00D170F5">
        <w:rPr>
          <w:rFonts w:ascii="Century" w:hAnsi="Century" w:cs="Miriam"/>
          <w:b/>
          <w:rtl/>
        </w:rPr>
        <w:t xml:space="preserve"> </w:t>
      </w:r>
      <w:r w:rsidRPr="00D170F5">
        <w:rPr>
          <w:rFonts w:ascii="Century" w:hAnsi="Century" w:cs="Miriam" w:hint="eastAsia"/>
          <w:b/>
          <w:rtl/>
        </w:rPr>
        <w:t>הממשלה</w:t>
      </w:r>
      <w:r w:rsidRPr="00D170F5">
        <w:rPr>
          <w:rFonts w:ascii="Century" w:hAnsi="Century" w:cs="Miriam"/>
          <w:b/>
          <w:rtl/>
        </w:rPr>
        <w:t xml:space="preserve"> </w:t>
      </w:r>
      <w:r w:rsidRPr="00D170F5">
        <w:rPr>
          <w:rFonts w:ascii="Century" w:hAnsi="Century" w:cs="Miriam" w:hint="eastAsia"/>
          <w:b/>
          <w:rtl/>
        </w:rPr>
        <w:t>ושריה</w:t>
      </w:r>
      <w:r w:rsidRPr="00D170F5">
        <w:rPr>
          <w:rFonts w:ascii="Century" w:hAnsi="Century" w:cs="Miriam"/>
          <w:b/>
          <w:rtl/>
        </w:rPr>
        <w:t xml:space="preserve"> </w:t>
      </w:r>
      <w:r w:rsidRPr="00D170F5">
        <w:rPr>
          <w:rFonts w:ascii="Century" w:hAnsi="Century" w:cs="Miriam" w:hint="eastAsia"/>
          <w:b/>
          <w:rtl/>
        </w:rPr>
        <w:t>אין</w:t>
      </w:r>
      <w:r w:rsidRPr="00D170F5">
        <w:rPr>
          <w:rFonts w:ascii="Century" w:hAnsi="Century" w:cs="Miriam"/>
          <w:b/>
          <w:rtl/>
        </w:rPr>
        <w:t xml:space="preserve"> </w:t>
      </w:r>
      <w:r w:rsidRPr="00D170F5">
        <w:rPr>
          <w:rFonts w:ascii="Century" w:hAnsi="Century" w:cs="Miriam" w:hint="eastAsia"/>
          <w:b/>
          <w:rtl/>
        </w:rPr>
        <w:t>עוד</w:t>
      </w:r>
      <w:r w:rsidRPr="00D170F5">
        <w:rPr>
          <w:rFonts w:ascii="Century" w:hAnsi="Century" w:cs="Miriam"/>
          <w:b/>
          <w:rtl/>
        </w:rPr>
        <w:t xml:space="preserve"> </w:t>
      </w:r>
      <w:r w:rsidRPr="00D170F5">
        <w:rPr>
          <w:rFonts w:ascii="Century" w:hAnsi="Century" w:cs="Miriam" w:hint="eastAsia"/>
          <w:b/>
          <w:rtl/>
        </w:rPr>
        <w:t>אפשרות</w:t>
      </w:r>
      <w:r w:rsidRPr="00D170F5">
        <w:rPr>
          <w:rFonts w:ascii="Century" w:hAnsi="Century" w:cs="Miriam"/>
          <w:b/>
          <w:rtl/>
        </w:rPr>
        <w:t xml:space="preserve"> </w:t>
      </w:r>
      <w:r w:rsidRPr="00D170F5">
        <w:rPr>
          <w:rFonts w:ascii="Century" w:hAnsi="Century" w:cs="Miriam" w:hint="eastAsia"/>
          <w:b/>
          <w:rtl/>
        </w:rPr>
        <w:t>לביקורת</w:t>
      </w:r>
      <w:r w:rsidRPr="00D170F5">
        <w:rPr>
          <w:rFonts w:ascii="Century" w:hAnsi="Century" w:cs="Miriam"/>
          <w:b/>
          <w:rtl/>
        </w:rPr>
        <w:t xml:space="preserve"> </w:t>
      </w:r>
      <w:r w:rsidRPr="00D170F5">
        <w:rPr>
          <w:rFonts w:ascii="Century" w:hAnsi="Century" w:cs="Miriam" w:hint="eastAsia"/>
          <w:b/>
          <w:rtl/>
        </w:rPr>
        <w:t>שיפוטית</w:t>
      </w:r>
      <w:r w:rsidRPr="00D170F5">
        <w:rPr>
          <w:rFonts w:ascii="Century" w:hAnsi="Century" w:cs="Miriam"/>
          <w:b/>
          <w:rtl/>
        </w:rPr>
        <w:t xml:space="preserve"> </w:t>
      </w:r>
      <w:r w:rsidRPr="00D170F5">
        <w:rPr>
          <w:rFonts w:ascii="Century" w:hAnsi="Century" w:cs="Miriam" w:hint="eastAsia"/>
          <w:b/>
          <w:rtl/>
        </w:rPr>
        <w:t>בעילה</w:t>
      </w:r>
      <w:r w:rsidRPr="00D170F5">
        <w:rPr>
          <w:rFonts w:ascii="Century" w:hAnsi="Century" w:cs="Miriam"/>
          <w:b/>
          <w:rtl/>
        </w:rPr>
        <w:t xml:space="preserve"> </w:t>
      </w:r>
      <w:r w:rsidRPr="00D170F5">
        <w:rPr>
          <w:rFonts w:ascii="Century" w:hAnsi="Century" w:cs="Miriam" w:hint="eastAsia"/>
          <w:b/>
          <w:rtl/>
        </w:rPr>
        <w:t>של</w:t>
      </w:r>
      <w:r w:rsidRPr="00D170F5">
        <w:rPr>
          <w:rFonts w:ascii="Century" w:hAnsi="Century" w:cs="Miriam"/>
          <w:b/>
          <w:rtl/>
        </w:rPr>
        <w:t xml:space="preserve"> </w:t>
      </w:r>
      <w:r w:rsidRPr="00D170F5">
        <w:rPr>
          <w:rFonts w:ascii="Century" w:hAnsi="Century" w:cs="Miriam" w:hint="eastAsia"/>
          <w:b/>
          <w:rtl/>
        </w:rPr>
        <w:t>חוסר</w:t>
      </w:r>
      <w:r w:rsidRPr="00D170F5">
        <w:rPr>
          <w:rFonts w:ascii="Century" w:hAnsi="Century" w:cs="Miriam"/>
          <w:b/>
          <w:rtl/>
        </w:rPr>
        <w:t xml:space="preserve"> </w:t>
      </w:r>
      <w:r w:rsidRPr="00D170F5">
        <w:rPr>
          <w:rFonts w:ascii="Century" w:hAnsi="Century" w:cs="Miriam" w:hint="eastAsia"/>
          <w:b/>
          <w:rtl/>
        </w:rPr>
        <w:t>סבירות</w:t>
      </w:r>
      <w:r w:rsidRPr="00D170F5">
        <w:rPr>
          <w:rFonts w:ascii="Century" w:hAnsi="Century" w:cs="Miriam"/>
          <w:b/>
          <w:rtl/>
        </w:rPr>
        <w:t xml:space="preserve"> </w:t>
      </w:r>
      <w:r w:rsidRPr="00D170F5">
        <w:rPr>
          <w:rFonts w:ascii="Century" w:hAnsi="Century" w:cs="Miriam" w:hint="eastAsia"/>
          <w:b/>
          <w:rtl/>
        </w:rPr>
        <w:t>מכל</w:t>
      </w:r>
      <w:r w:rsidRPr="00D170F5">
        <w:rPr>
          <w:rFonts w:ascii="Century" w:hAnsi="Century" w:cs="Miriam"/>
          <w:b/>
          <w:rtl/>
        </w:rPr>
        <w:t xml:space="preserve"> </w:t>
      </w:r>
      <w:r w:rsidRPr="00D170F5">
        <w:rPr>
          <w:rFonts w:ascii="Century" w:hAnsi="Century" w:cs="Miriam" w:hint="eastAsia"/>
          <w:b/>
          <w:rtl/>
        </w:rPr>
        <w:t>סוג</w:t>
      </w:r>
      <w:r w:rsidRPr="00D170F5">
        <w:rPr>
          <w:rFonts w:ascii="Century" w:hAnsi="Century" w:cs="Miriam"/>
          <w:b/>
          <w:rtl/>
        </w:rPr>
        <w:t xml:space="preserve"> </w:t>
      </w:r>
      <w:r w:rsidRPr="00D170F5">
        <w:rPr>
          <w:rFonts w:ascii="Century" w:hAnsi="Century" w:cs="Miriam" w:hint="eastAsia"/>
          <w:b/>
          <w:rtl/>
        </w:rPr>
        <w:t>שהוא</w:t>
      </w:r>
      <w:r w:rsidRPr="00D170F5">
        <w:rPr>
          <w:rFonts w:ascii="Century" w:hAnsi="Century" w:cs="Miriam"/>
          <w:b/>
          <w:rtl/>
        </w:rPr>
        <w:t xml:space="preserve">, </w:t>
      </w:r>
      <w:r w:rsidRPr="00D170F5">
        <w:rPr>
          <w:rFonts w:ascii="Century" w:hAnsi="Century" w:cs="Miriam" w:hint="eastAsia"/>
          <w:b/>
          <w:rtl/>
        </w:rPr>
        <w:t>אף</w:t>
      </w:r>
      <w:r w:rsidRPr="00D170F5">
        <w:rPr>
          <w:rFonts w:ascii="Century" w:hAnsi="Century" w:cs="Miriam"/>
          <w:b/>
          <w:rtl/>
        </w:rPr>
        <w:t xml:space="preserve"> </w:t>
      </w:r>
      <w:r w:rsidRPr="00D170F5">
        <w:rPr>
          <w:rFonts w:ascii="Century" w:hAnsi="Century" w:cs="Miriam" w:hint="eastAsia"/>
          <w:b/>
          <w:rtl/>
        </w:rPr>
        <w:t>אם</w:t>
      </w:r>
      <w:r w:rsidRPr="00D170F5">
        <w:rPr>
          <w:rFonts w:ascii="Century" w:hAnsi="Century" w:cs="Miriam"/>
          <w:b/>
          <w:rtl/>
        </w:rPr>
        <w:t xml:space="preserve"> </w:t>
      </w:r>
      <w:r w:rsidRPr="00D170F5">
        <w:rPr>
          <w:rFonts w:ascii="Century" w:hAnsi="Century" w:cs="Miriam" w:hint="eastAsia"/>
          <w:b/>
          <w:rtl/>
        </w:rPr>
        <w:t>יסבור</w:t>
      </w:r>
      <w:r w:rsidRPr="00D170F5">
        <w:rPr>
          <w:rFonts w:ascii="Century" w:hAnsi="Century" w:cs="Miriam"/>
          <w:b/>
          <w:rtl/>
        </w:rPr>
        <w:t xml:space="preserve"> </w:t>
      </w:r>
      <w:r w:rsidRPr="00D170F5">
        <w:rPr>
          <w:rFonts w:ascii="Century" w:hAnsi="Century" w:cs="Miriam" w:hint="eastAsia"/>
          <w:b/>
          <w:rtl/>
        </w:rPr>
        <w:t>מישהו</w:t>
      </w:r>
      <w:r w:rsidRPr="00D170F5">
        <w:rPr>
          <w:rFonts w:ascii="Century" w:hAnsi="Century" w:cs="Miriam"/>
          <w:b/>
          <w:rtl/>
        </w:rPr>
        <w:t xml:space="preserve"> </w:t>
      </w:r>
      <w:r w:rsidRPr="00D170F5">
        <w:rPr>
          <w:rFonts w:ascii="Century" w:hAnsi="Century" w:cs="Miriam" w:hint="eastAsia"/>
          <w:b/>
          <w:rtl/>
        </w:rPr>
        <w:t>שמדובר</w:t>
      </w:r>
      <w:r w:rsidRPr="00D170F5">
        <w:rPr>
          <w:rFonts w:ascii="Century" w:hAnsi="Century" w:cs="Miriam"/>
          <w:b/>
          <w:rtl/>
        </w:rPr>
        <w:t xml:space="preserve"> </w:t>
      </w:r>
      <w:r w:rsidRPr="00D170F5">
        <w:rPr>
          <w:rFonts w:ascii="Century" w:hAnsi="Century" w:cs="Miriam" w:hint="eastAsia"/>
          <w:b/>
          <w:rtl/>
        </w:rPr>
        <w:t>בהחלטה</w:t>
      </w:r>
      <w:r w:rsidRPr="00D170F5">
        <w:rPr>
          <w:rFonts w:ascii="Century" w:hAnsi="Century" w:cs="Miriam"/>
          <w:b/>
          <w:rtl/>
        </w:rPr>
        <w:t xml:space="preserve"> </w:t>
      </w:r>
      <w:r w:rsidRPr="00D170F5">
        <w:rPr>
          <w:rFonts w:ascii="Century" w:hAnsi="Century" w:cs="Miriam" w:hint="eastAsia"/>
          <w:b/>
          <w:rtl/>
        </w:rPr>
        <w:t>בלתי</w:t>
      </w:r>
      <w:r w:rsidRPr="00D170F5">
        <w:rPr>
          <w:rFonts w:ascii="Century" w:hAnsi="Century" w:cs="Miriam"/>
          <w:b/>
          <w:rtl/>
        </w:rPr>
        <w:t xml:space="preserve"> </w:t>
      </w:r>
      <w:r w:rsidRPr="00D170F5">
        <w:rPr>
          <w:rFonts w:ascii="Century" w:hAnsi="Century" w:cs="Miriam" w:hint="eastAsia"/>
          <w:b/>
          <w:rtl/>
        </w:rPr>
        <w:t>סבירה</w:t>
      </w:r>
      <w:r w:rsidRPr="00D170F5">
        <w:rPr>
          <w:rFonts w:ascii="Century" w:hAnsi="Century" w:cs="Miriam"/>
          <w:b/>
          <w:rtl/>
        </w:rPr>
        <w:t xml:space="preserve"> </w:t>
      </w:r>
      <w:r w:rsidRPr="00D170F5">
        <w:rPr>
          <w:rFonts w:ascii="Century" w:hAnsi="Century" w:cs="Miriam" w:hint="eastAsia"/>
          <w:b/>
          <w:rtl/>
        </w:rPr>
        <w:t>באופן</w:t>
      </w:r>
      <w:r w:rsidRPr="00D170F5">
        <w:rPr>
          <w:rFonts w:ascii="Century" w:hAnsi="Century" w:cs="Miriam"/>
          <w:b/>
          <w:rtl/>
        </w:rPr>
        <w:t xml:space="preserve"> </w:t>
      </w:r>
      <w:r w:rsidRPr="00D170F5">
        <w:rPr>
          <w:rFonts w:ascii="Century" w:hAnsi="Century" w:cs="Miriam" w:hint="eastAsia"/>
          <w:b/>
          <w:rtl/>
        </w:rPr>
        <w:t>קיצוני</w:t>
      </w:r>
      <w:r w:rsidRPr="00D170F5">
        <w:rPr>
          <w:rFonts w:ascii="Century" w:hAnsi="Century" w:cs="Miriam"/>
          <w:b/>
          <w:rtl/>
        </w:rPr>
        <w:t xml:space="preserve"> </w:t>
      </w:r>
      <w:r w:rsidRPr="00D170F5">
        <w:rPr>
          <w:rFonts w:ascii="Century" w:hAnsi="Century" w:cs="Miriam" w:hint="eastAsia"/>
          <w:b/>
          <w:rtl/>
        </w:rPr>
        <w:t>נוסח</w:t>
      </w:r>
      <w:r w:rsidRPr="00D170F5">
        <w:rPr>
          <w:rFonts w:ascii="Century" w:hAnsi="Century" w:cs="Miriam"/>
          <w:b/>
          <w:rtl/>
        </w:rPr>
        <w:t xml:space="preserve"> </w:t>
      </w:r>
      <w:r w:rsidRPr="00D170F5">
        <w:rPr>
          <w:rFonts w:ascii="Century" w:hAnsi="Century" w:cs="Miriam" w:hint="eastAsia"/>
          <w:b/>
          <w:rtl/>
        </w:rPr>
        <w:t>וונדסבורי</w:t>
      </w:r>
      <w:r w:rsidRPr="00B53DF1">
        <w:rPr>
          <w:rFonts w:ascii="Century" w:hAnsi="Century" w:cs="FrankRuehl" w:hint="cs"/>
          <w:spacing w:val="10"/>
          <w:szCs w:val="28"/>
          <w:rtl/>
        </w:rPr>
        <w:t xml:space="preserve"> </w:t>
      </w:r>
      <w:r>
        <w:rPr>
          <w:rFonts w:ascii="Century" w:hAnsi="Century" w:cs="FrankRuehl" w:hint="cs"/>
          <w:spacing w:val="10"/>
          <w:szCs w:val="28"/>
          <w:rtl/>
        </w:rPr>
        <w:t xml:space="preserve">(פסק דין אנגלי שתואם לכאורה את עילת הסבירות במובנה "טרום </w:t>
      </w:r>
      <w:r w:rsidRPr="001959F6">
        <w:rPr>
          <w:rFonts w:ascii="Century" w:hAnsi="Century" w:cs="Miriam" w:hint="eastAsia"/>
          <w:b/>
          <w:rtl/>
        </w:rPr>
        <w:t>דפי</w:t>
      </w:r>
      <w:r w:rsidRPr="001959F6">
        <w:rPr>
          <w:rFonts w:ascii="Century" w:hAnsi="Century" w:cs="Miriam"/>
          <w:b/>
          <w:rtl/>
        </w:rPr>
        <w:t xml:space="preserve"> </w:t>
      </w:r>
      <w:r w:rsidRPr="001959F6">
        <w:rPr>
          <w:rFonts w:ascii="Century" w:hAnsi="Century" w:cs="Miriam" w:hint="eastAsia"/>
          <w:b/>
          <w:rtl/>
        </w:rPr>
        <w:t>זהב</w:t>
      </w:r>
      <w:r>
        <w:rPr>
          <w:rFonts w:ascii="Century" w:hAnsi="Century" w:cs="FrankRuehl" w:hint="cs"/>
          <w:spacing w:val="10"/>
          <w:szCs w:val="28"/>
          <w:rtl/>
        </w:rPr>
        <w:t xml:space="preserve">" </w:t>
      </w:r>
      <w:r>
        <w:rPr>
          <w:rFonts w:ascii="Century" w:hAnsi="Century" w:cs="FrankRuehl"/>
          <w:spacing w:val="10"/>
          <w:szCs w:val="28"/>
          <w:rtl/>
        </w:rPr>
        <w:t>–</w:t>
      </w:r>
      <w:r>
        <w:rPr>
          <w:rFonts w:ascii="Century" w:hAnsi="Century" w:cs="FrankRuehl" w:hint="cs"/>
          <w:spacing w:val="10"/>
          <w:szCs w:val="28"/>
          <w:rtl/>
        </w:rPr>
        <w:t xml:space="preserve"> ר.ר.)"; זאת, בהיעדר יכולת מעשית להבחין בין מובניה השונים של עילת הסבירות (פסקה 45 להשלמת הטיעון מטעם הממשלה). </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ind w:firstLine="720"/>
        <w:jc w:val="both"/>
        <w:rPr>
          <w:rFonts w:ascii="Century" w:hAnsi="Century" w:cs="FrankRuehl"/>
          <w:spacing w:val="10"/>
          <w:szCs w:val="28"/>
          <w:highlight w:val="cyan"/>
          <w:rtl/>
        </w:rPr>
      </w:pPr>
      <w:r>
        <w:rPr>
          <w:rFonts w:ascii="Century" w:hAnsi="Century" w:cs="FrankRuehl" w:hint="cs"/>
          <w:spacing w:val="10"/>
          <w:szCs w:val="28"/>
          <w:rtl/>
        </w:rPr>
        <w:t xml:space="preserve">בחינתם של מקורות אלה מעלה בבירור כי כוונתו הסובייקטיבית של התיקון הייתה לבטל באופן גורף ומוחלט את עילת הסבירות כעילה להתערבות בהחלטות הממשלה, ראש הממשלה ושריה, על כל מובניה והיבטיה. </w:t>
      </w:r>
      <w:r w:rsidRPr="00755331">
        <w:rPr>
          <w:rFonts w:ascii="Century" w:hAnsi="Century" w:cs="FrankRuehl"/>
          <w:spacing w:val="10"/>
          <w:szCs w:val="28"/>
          <w:rtl/>
        </w:rPr>
        <w:t>אכן,</w:t>
      </w:r>
      <w:r>
        <w:rPr>
          <w:rFonts w:ascii="Century" w:hAnsi="Century" w:cs="FrankRuehl" w:hint="cs"/>
          <w:spacing w:val="10"/>
          <w:szCs w:val="28"/>
          <w:rtl/>
        </w:rPr>
        <w:t xml:space="preserve"> ככלל</w:t>
      </w:r>
      <w:r w:rsidRPr="00755331">
        <w:rPr>
          <w:rFonts w:ascii="Century" w:hAnsi="Century" w:cs="FrankRuehl"/>
          <w:spacing w:val="10"/>
          <w:szCs w:val="28"/>
          <w:rtl/>
        </w:rPr>
        <w:t xml:space="preserve"> </w:t>
      </w:r>
      <w:r>
        <w:rPr>
          <w:rFonts w:ascii="Century" w:hAnsi="Century" w:cs="FrankRuehl" w:hint="cs"/>
          <w:spacing w:val="10"/>
          <w:szCs w:val="28"/>
          <w:rtl/>
        </w:rPr>
        <w:t xml:space="preserve">אין להעדיף את התכלית הסובייקטיבית של המחוקק על פני תכליתו האובייקטיבית של החוק (ראו: </w:t>
      </w:r>
      <w:r w:rsidRPr="009A79FF">
        <w:rPr>
          <w:rFonts w:ascii="Century" w:hAnsi="Century" w:cs="FrankRuehl"/>
          <w:spacing w:val="10"/>
          <w:szCs w:val="28"/>
          <w:rtl/>
        </w:rPr>
        <w:t xml:space="preserve">דנג"ץ 5026/16 </w:t>
      </w:r>
      <w:r w:rsidRPr="006E4805">
        <w:rPr>
          <w:rFonts w:ascii="Century" w:hAnsi="Century" w:cs="Miriam"/>
          <w:b/>
          <w:rtl/>
        </w:rPr>
        <w:t>גיני נ' הרבנות הראשית לישראל</w:t>
      </w:r>
      <w:r>
        <w:rPr>
          <w:rFonts w:ascii="Century" w:hAnsi="Century" w:cs="FrankRuehl" w:hint="cs"/>
          <w:spacing w:val="10"/>
          <w:szCs w:val="28"/>
          <w:rtl/>
        </w:rPr>
        <w:t xml:space="preserve">, פסקאות 25-24 לפסק דינה של הנשיאה </w:t>
      </w:r>
      <w:r w:rsidRPr="006E4805">
        <w:rPr>
          <w:rFonts w:ascii="Century" w:hAnsi="Century" w:cs="Miriam" w:hint="cs"/>
          <w:b/>
          <w:rtl/>
        </w:rPr>
        <w:t>נאור</w:t>
      </w:r>
      <w:r w:rsidRPr="009A79FF">
        <w:rPr>
          <w:rFonts w:ascii="Century" w:hAnsi="Century" w:cs="FrankRuehl"/>
          <w:spacing w:val="10"/>
          <w:szCs w:val="28"/>
          <w:rtl/>
        </w:rPr>
        <w:t xml:space="preserve"> (12.</w:t>
      </w:r>
      <w:r>
        <w:rPr>
          <w:rFonts w:ascii="Century" w:hAnsi="Century" w:cs="FrankRuehl" w:hint="cs"/>
          <w:spacing w:val="10"/>
          <w:szCs w:val="28"/>
          <w:rtl/>
        </w:rPr>
        <w:t>9</w:t>
      </w:r>
      <w:r w:rsidRPr="009A79FF">
        <w:rPr>
          <w:rFonts w:ascii="Century" w:hAnsi="Century" w:cs="FrankRuehl"/>
          <w:spacing w:val="10"/>
          <w:szCs w:val="28"/>
          <w:rtl/>
        </w:rPr>
        <w:t>.2017)</w:t>
      </w:r>
      <w:r>
        <w:rPr>
          <w:rFonts w:ascii="Century" w:hAnsi="Century" w:cs="FrankRuehl" w:hint="cs"/>
          <w:spacing w:val="10"/>
          <w:szCs w:val="28"/>
          <w:rtl/>
        </w:rPr>
        <w:t xml:space="preserve">; </w:t>
      </w:r>
      <w:r w:rsidRPr="00AA58D4">
        <w:rPr>
          <w:rFonts w:ascii="Century" w:hAnsi="Century" w:cs="FrankRuehl"/>
          <w:spacing w:val="10"/>
          <w:szCs w:val="28"/>
          <w:rtl/>
        </w:rPr>
        <w:t xml:space="preserve">בג"ץ 5119/23 </w:t>
      </w:r>
      <w:r w:rsidRPr="00755331">
        <w:rPr>
          <w:rFonts w:ascii="Century" w:hAnsi="Century" w:cs="Miriam" w:hint="eastAsia"/>
          <w:b/>
          <w:rtl/>
        </w:rPr>
        <w:t>התנועה</w:t>
      </w:r>
      <w:r w:rsidRPr="00755331">
        <w:rPr>
          <w:rFonts w:ascii="Century" w:hAnsi="Century" w:cs="Miriam"/>
          <w:b/>
          <w:rtl/>
        </w:rPr>
        <w:t xml:space="preserve"> </w:t>
      </w:r>
      <w:r w:rsidRPr="00755331">
        <w:rPr>
          <w:rFonts w:ascii="Century" w:hAnsi="Century" w:cs="Miriam" w:hint="eastAsia"/>
          <w:b/>
          <w:rtl/>
        </w:rPr>
        <w:t>לטוהר</w:t>
      </w:r>
      <w:r w:rsidRPr="00755331">
        <w:rPr>
          <w:rFonts w:ascii="Century" w:hAnsi="Century" w:cs="Miriam"/>
          <w:b/>
          <w:rtl/>
        </w:rPr>
        <w:t xml:space="preserve"> </w:t>
      </w:r>
      <w:r w:rsidRPr="00755331">
        <w:rPr>
          <w:rFonts w:ascii="Century" w:hAnsi="Century" w:cs="Miriam" w:hint="eastAsia"/>
          <w:b/>
          <w:rtl/>
        </w:rPr>
        <w:t>המידות</w:t>
      </w:r>
      <w:r w:rsidRPr="00755331">
        <w:rPr>
          <w:rFonts w:ascii="Century" w:hAnsi="Century" w:cs="Miriam"/>
          <w:b/>
          <w:rtl/>
        </w:rPr>
        <w:t xml:space="preserve"> </w:t>
      </w:r>
      <w:r w:rsidRPr="00755331">
        <w:rPr>
          <w:rFonts w:ascii="Century" w:hAnsi="Century" w:cs="Miriam" w:hint="eastAsia"/>
          <w:b/>
          <w:rtl/>
        </w:rPr>
        <w:t>נ</w:t>
      </w:r>
      <w:r w:rsidRPr="00755331">
        <w:rPr>
          <w:rFonts w:ascii="Century" w:hAnsi="Century" w:cs="Miriam"/>
          <w:b/>
          <w:rtl/>
        </w:rPr>
        <w:t xml:space="preserve">' </w:t>
      </w:r>
      <w:r w:rsidRPr="00755331">
        <w:rPr>
          <w:rFonts w:ascii="Century" w:hAnsi="Century" w:cs="Miriam" w:hint="eastAsia"/>
          <w:b/>
          <w:rtl/>
        </w:rPr>
        <w:t>הכנסת</w:t>
      </w:r>
      <w:r>
        <w:rPr>
          <w:rFonts w:ascii="Century" w:hAnsi="Century" w:cs="FrankRuehl" w:hint="cs"/>
          <w:spacing w:val="10"/>
          <w:szCs w:val="28"/>
          <w:rtl/>
        </w:rPr>
        <w:t xml:space="preserve">, פסקה 62 לפסק דינו של ממלא מקום הנשיא </w:t>
      </w:r>
      <w:r w:rsidRPr="00755331">
        <w:rPr>
          <w:rFonts w:ascii="Century" w:hAnsi="Century" w:cs="Miriam" w:hint="eastAsia"/>
          <w:b/>
          <w:rtl/>
        </w:rPr>
        <w:t>ע</w:t>
      </w:r>
      <w:r w:rsidRPr="00755331">
        <w:rPr>
          <w:rFonts w:ascii="Century" w:hAnsi="Century" w:cs="Miriam"/>
          <w:b/>
          <w:rtl/>
        </w:rPr>
        <w:t xml:space="preserve">' </w:t>
      </w:r>
      <w:r w:rsidRPr="00755331">
        <w:rPr>
          <w:rFonts w:ascii="Century" w:hAnsi="Century" w:cs="Miriam" w:hint="eastAsia"/>
          <w:b/>
          <w:rtl/>
        </w:rPr>
        <w:t>פוגלמן</w:t>
      </w:r>
      <w:r w:rsidRPr="00AA58D4">
        <w:rPr>
          <w:rFonts w:ascii="Century" w:hAnsi="Century" w:cs="FrankRuehl"/>
          <w:spacing w:val="10"/>
          <w:szCs w:val="28"/>
          <w:rtl/>
        </w:rPr>
        <w:t xml:space="preserve"> (26.10.2023)</w:t>
      </w:r>
      <w:r>
        <w:rPr>
          <w:rFonts w:ascii="Century" w:hAnsi="Century" w:cs="FrankRuehl" w:hint="cs"/>
          <w:spacing w:val="10"/>
          <w:szCs w:val="28"/>
          <w:rtl/>
        </w:rPr>
        <w:t xml:space="preserve">); זאת בפרט כאשר מדובר בפרשנות חוקי היסוד שהם חלק מן החוקה המתהווה של מדינת ישראל (ראו: </w:t>
      </w:r>
      <w:r>
        <w:rPr>
          <w:rFonts w:ascii="Century" w:hAnsi="Century" w:cs="FrankRuehl"/>
          <w:spacing w:val="10"/>
          <w:szCs w:val="28"/>
          <w:rtl/>
        </w:rPr>
        <w:t>אהרן ברק</w:t>
      </w:r>
      <w:r w:rsidRPr="009A79FF">
        <w:rPr>
          <w:rFonts w:ascii="Century" w:hAnsi="Century" w:cs="FrankRuehl"/>
          <w:spacing w:val="10"/>
          <w:szCs w:val="28"/>
          <w:rtl/>
        </w:rPr>
        <w:t xml:space="preserve"> </w:t>
      </w:r>
      <w:r w:rsidRPr="00755331">
        <w:rPr>
          <w:rFonts w:ascii="Century" w:hAnsi="Century" w:cs="Miriam" w:hint="eastAsia"/>
          <w:b/>
          <w:rtl/>
        </w:rPr>
        <w:t>פרשנות</w:t>
      </w:r>
      <w:r w:rsidRPr="00755331">
        <w:rPr>
          <w:rFonts w:ascii="Century" w:hAnsi="Century" w:cs="Miriam"/>
          <w:b/>
          <w:rtl/>
        </w:rPr>
        <w:t xml:space="preserve"> </w:t>
      </w:r>
      <w:r w:rsidRPr="00755331">
        <w:rPr>
          <w:rFonts w:ascii="Century" w:hAnsi="Century" w:cs="Miriam" w:hint="eastAsia"/>
          <w:b/>
          <w:rtl/>
        </w:rPr>
        <w:t>תכליתית</w:t>
      </w:r>
      <w:r w:rsidRPr="00755331">
        <w:rPr>
          <w:rFonts w:ascii="Century" w:hAnsi="Century" w:cs="Miriam"/>
          <w:b/>
          <w:rtl/>
        </w:rPr>
        <w:t xml:space="preserve"> </w:t>
      </w:r>
      <w:r w:rsidRPr="00755331">
        <w:rPr>
          <w:rFonts w:ascii="Century" w:hAnsi="Century" w:cs="Miriam" w:hint="eastAsia"/>
          <w:b/>
          <w:rtl/>
        </w:rPr>
        <w:t>במשפט</w:t>
      </w:r>
      <w:r w:rsidRPr="009A79FF">
        <w:rPr>
          <w:rFonts w:ascii="Century" w:hAnsi="Century" w:cs="FrankRuehl" w:hint="cs"/>
          <w:spacing w:val="10"/>
          <w:szCs w:val="28"/>
          <w:rtl/>
        </w:rPr>
        <w:t xml:space="preserve"> </w:t>
      </w:r>
      <w:r>
        <w:rPr>
          <w:rFonts w:ascii="Century" w:hAnsi="Century" w:cs="FrankRuehl" w:hint="cs"/>
          <w:spacing w:val="10"/>
          <w:szCs w:val="28"/>
          <w:rtl/>
        </w:rPr>
        <w:t>459-456</w:t>
      </w:r>
      <w:r w:rsidRPr="009A79FF">
        <w:rPr>
          <w:rFonts w:ascii="Century" w:hAnsi="Century" w:cs="FrankRuehl"/>
          <w:spacing w:val="10"/>
          <w:szCs w:val="28"/>
          <w:rtl/>
        </w:rPr>
        <w:t xml:space="preserve"> (</w:t>
      </w:r>
      <w:r>
        <w:rPr>
          <w:rFonts w:ascii="Century" w:hAnsi="Century" w:cs="FrankRuehl" w:hint="cs"/>
          <w:spacing w:val="10"/>
          <w:szCs w:val="28"/>
          <w:rtl/>
        </w:rPr>
        <w:t>2003</w:t>
      </w:r>
      <w:r w:rsidRPr="009A79FF">
        <w:rPr>
          <w:rFonts w:ascii="Century" w:hAnsi="Century" w:cs="FrankRuehl"/>
          <w:spacing w:val="10"/>
          <w:szCs w:val="28"/>
          <w:rtl/>
        </w:rPr>
        <w:t>)</w:t>
      </w:r>
      <w:r>
        <w:rPr>
          <w:rFonts w:ascii="Century" w:hAnsi="Century" w:cs="FrankRuehl" w:hint="cs"/>
          <w:spacing w:val="10"/>
          <w:szCs w:val="28"/>
          <w:rtl/>
        </w:rPr>
        <w:t xml:space="preserve">; </w:t>
      </w:r>
      <w:r w:rsidRPr="00AA58D4">
        <w:rPr>
          <w:rFonts w:ascii="Century" w:hAnsi="Century" w:cs="FrankRuehl"/>
          <w:spacing w:val="10"/>
          <w:szCs w:val="28"/>
          <w:rtl/>
        </w:rPr>
        <w:t xml:space="preserve">בג"ץ 3132/15 </w:t>
      </w:r>
      <w:r w:rsidRPr="00755331">
        <w:rPr>
          <w:rFonts w:ascii="Century" w:hAnsi="Century" w:cs="Miriam" w:hint="eastAsia"/>
          <w:b/>
          <w:rtl/>
        </w:rPr>
        <w:t>מפלגת</w:t>
      </w:r>
      <w:r w:rsidRPr="00755331">
        <w:rPr>
          <w:rFonts w:ascii="Century" w:hAnsi="Century" w:cs="Miriam"/>
          <w:b/>
          <w:rtl/>
        </w:rPr>
        <w:t xml:space="preserve"> </w:t>
      </w:r>
      <w:r w:rsidRPr="00755331">
        <w:rPr>
          <w:rFonts w:ascii="Century" w:hAnsi="Century" w:cs="Miriam" w:hint="eastAsia"/>
          <w:b/>
          <w:rtl/>
        </w:rPr>
        <w:t>יש</w:t>
      </w:r>
      <w:r w:rsidRPr="00755331">
        <w:rPr>
          <w:rFonts w:ascii="Century" w:hAnsi="Century" w:cs="Miriam"/>
          <w:b/>
          <w:rtl/>
        </w:rPr>
        <w:t xml:space="preserve"> </w:t>
      </w:r>
      <w:r w:rsidRPr="00755331">
        <w:rPr>
          <w:rFonts w:ascii="Century" w:hAnsi="Century" w:cs="Miriam" w:hint="eastAsia"/>
          <w:b/>
          <w:rtl/>
        </w:rPr>
        <w:t>עתיד</w:t>
      </w:r>
      <w:r w:rsidRPr="00755331">
        <w:rPr>
          <w:rFonts w:ascii="Century" w:hAnsi="Century" w:cs="Miriam"/>
          <w:b/>
          <w:rtl/>
        </w:rPr>
        <w:t xml:space="preserve"> </w:t>
      </w:r>
      <w:r w:rsidRPr="00755331">
        <w:rPr>
          <w:rFonts w:ascii="Century" w:hAnsi="Century" w:cs="Miriam" w:hint="eastAsia"/>
          <w:b/>
          <w:rtl/>
        </w:rPr>
        <w:t>בראשות</w:t>
      </w:r>
      <w:r w:rsidRPr="00755331">
        <w:rPr>
          <w:rFonts w:ascii="Century" w:hAnsi="Century" w:cs="Miriam"/>
          <w:b/>
          <w:rtl/>
        </w:rPr>
        <w:t xml:space="preserve"> </w:t>
      </w:r>
      <w:r w:rsidRPr="00755331">
        <w:rPr>
          <w:rFonts w:ascii="Century" w:hAnsi="Century" w:cs="Miriam" w:hint="eastAsia"/>
          <w:b/>
          <w:rtl/>
        </w:rPr>
        <w:t>יאיר</w:t>
      </w:r>
      <w:r w:rsidRPr="00755331">
        <w:rPr>
          <w:rFonts w:ascii="Century" w:hAnsi="Century" w:cs="Miriam"/>
          <w:b/>
          <w:rtl/>
        </w:rPr>
        <w:t xml:space="preserve"> </w:t>
      </w:r>
      <w:r w:rsidRPr="00755331">
        <w:rPr>
          <w:rFonts w:ascii="Century" w:hAnsi="Century" w:cs="Miriam" w:hint="eastAsia"/>
          <w:b/>
          <w:rtl/>
        </w:rPr>
        <w:t>לפיד</w:t>
      </w:r>
      <w:r w:rsidRPr="00755331">
        <w:rPr>
          <w:rFonts w:ascii="Century" w:hAnsi="Century" w:cs="Miriam"/>
          <w:b/>
          <w:rtl/>
        </w:rPr>
        <w:t xml:space="preserve"> </w:t>
      </w:r>
      <w:r w:rsidRPr="00755331">
        <w:rPr>
          <w:rFonts w:ascii="Century" w:hAnsi="Century" w:cs="Miriam" w:hint="eastAsia"/>
          <w:b/>
          <w:rtl/>
        </w:rPr>
        <w:t>נ</w:t>
      </w:r>
      <w:r w:rsidRPr="00755331">
        <w:rPr>
          <w:rFonts w:ascii="Century" w:hAnsi="Century" w:cs="Miriam"/>
          <w:b/>
          <w:rtl/>
        </w:rPr>
        <w:t xml:space="preserve">' </w:t>
      </w:r>
      <w:r w:rsidRPr="00755331">
        <w:rPr>
          <w:rFonts w:ascii="Century" w:hAnsi="Century" w:cs="Miriam" w:hint="eastAsia"/>
          <w:b/>
          <w:rtl/>
        </w:rPr>
        <w:t>ראש</w:t>
      </w:r>
      <w:r w:rsidRPr="00755331">
        <w:rPr>
          <w:rFonts w:ascii="Century" w:hAnsi="Century" w:cs="Miriam"/>
          <w:b/>
          <w:rtl/>
        </w:rPr>
        <w:t xml:space="preserve"> </w:t>
      </w:r>
      <w:r w:rsidRPr="00755331">
        <w:rPr>
          <w:rFonts w:ascii="Century" w:hAnsi="Century" w:cs="Miriam" w:hint="eastAsia"/>
          <w:b/>
          <w:rtl/>
        </w:rPr>
        <w:t>ממשלת</w:t>
      </w:r>
      <w:r w:rsidRPr="00755331">
        <w:rPr>
          <w:rFonts w:ascii="Century" w:hAnsi="Century" w:cs="Miriam"/>
          <w:b/>
          <w:rtl/>
        </w:rPr>
        <w:t xml:space="preserve"> </w:t>
      </w:r>
      <w:r w:rsidRPr="00755331">
        <w:rPr>
          <w:rFonts w:ascii="Century" w:hAnsi="Century" w:cs="Miriam" w:hint="eastAsia"/>
          <w:b/>
          <w:rtl/>
        </w:rPr>
        <w:t>ישראל</w:t>
      </w:r>
      <w:r>
        <w:rPr>
          <w:rFonts w:ascii="Century" w:hAnsi="Century" w:cs="FrankRuehl" w:hint="cs"/>
          <w:spacing w:val="10"/>
          <w:szCs w:val="28"/>
          <w:rtl/>
        </w:rPr>
        <w:t xml:space="preserve">, פסקה 15 לפסק דינה של הנשיאה </w:t>
      </w:r>
      <w:r w:rsidRPr="00755331">
        <w:rPr>
          <w:rFonts w:ascii="Century" w:hAnsi="Century" w:cs="Miriam" w:hint="eastAsia"/>
          <w:b/>
          <w:rtl/>
        </w:rPr>
        <w:t>נאור</w:t>
      </w:r>
      <w:r w:rsidRPr="00AA58D4">
        <w:rPr>
          <w:rFonts w:ascii="Century" w:hAnsi="Century" w:cs="FrankRuehl"/>
          <w:spacing w:val="10"/>
          <w:szCs w:val="28"/>
          <w:rtl/>
        </w:rPr>
        <w:t xml:space="preserve"> (13.</w:t>
      </w:r>
      <w:r>
        <w:rPr>
          <w:rFonts w:ascii="Century" w:hAnsi="Century" w:cs="FrankRuehl" w:hint="cs"/>
          <w:spacing w:val="10"/>
          <w:szCs w:val="28"/>
          <w:rtl/>
        </w:rPr>
        <w:t>4</w:t>
      </w:r>
      <w:r w:rsidRPr="00AA58D4">
        <w:rPr>
          <w:rFonts w:ascii="Century" w:hAnsi="Century" w:cs="FrankRuehl"/>
          <w:spacing w:val="10"/>
          <w:szCs w:val="28"/>
          <w:rtl/>
        </w:rPr>
        <w:t>.2016)</w:t>
      </w:r>
      <w:r>
        <w:rPr>
          <w:rFonts w:ascii="Century" w:hAnsi="Century" w:cs="FrankRuehl" w:hint="cs"/>
          <w:spacing w:val="10"/>
          <w:szCs w:val="28"/>
          <w:rtl/>
        </w:rPr>
        <w:t>)</w:t>
      </w:r>
      <w:r w:rsidRPr="00755331">
        <w:rPr>
          <w:rFonts w:ascii="Century" w:hAnsi="Century" w:cs="FrankRuehl"/>
          <w:spacing w:val="10"/>
          <w:szCs w:val="28"/>
          <w:rtl/>
        </w:rPr>
        <w:t xml:space="preserve">. יחד עם זאת, </w:t>
      </w:r>
      <w:r>
        <w:rPr>
          <w:rFonts w:ascii="Century" w:hAnsi="Century" w:cs="FrankRuehl" w:hint="cs"/>
          <w:spacing w:val="10"/>
          <w:szCs w:val="28"/>
          <w:rtl/>
        </w:rPr>
        <w:t xml:space="preserve">במקרים בהם ניתן להתחקות באופן ברור ומובהק אחר כוונתו הסובייקטיבית של המחוקק, אני סבורה שיש לתת לה משקל משמעותי במסגרת התהליך הפרשני. במקרה דנן, דומה כי לא ניתן להתעלם מלשונו הכוללנית והגורפת של החוק </w:t>
      </w:r>
      <w:r>
        <w:rPr>
          <w:rFonts w:ascii="Century" w:hAnsi="Century" w:cs="FrankRuehl"/>
          <w:spacing w:val="10"/>
          <w:szCs w:val="28"/>
          <w:rtl/>
        </w:rPr>
        <w:t>–</w:t>
      </w:r>
      <w:r>
        <w:rPr>
          <w:rFonts w:ascii="Century" w:hAnsi="Century" w:cs="FrankRuehl" w:hint="cs"/>
          <w:spacing w:val="10"/>
          <w:szCs w:val="28"/>
          <w:rtl/>
        </w:rPr>
        <w:t xml:space="preserve"> שאינה עולה בקנה אחד עם הפרשנות המצמצמת; מדברים שעלו במפורש ב</w:t>
      </w:r>
      <w:r w:rsidRPr="00755331">
        <w:rPr>
          <w:rFonts w:ascii="Century" w:hAnsi="Century" w:cs="FrankRuehl" w:hint="eastAsia"/>
          <w:spacing w:val="10"/>
          <w:szCs w:val="28"/>
          <w:rtl/>
        </w:rPr>
        <w:t>תהליך</w:t>
      </w:r>
      <w:r w:rsidRPr="00755331">
        <w:rPr>
          <w:rFonts w:ascii="Century" w:hAnsi="Century" w:cs="FrankRuehl"/>
          <w:spacing w:val="10"/>
          <w:szCs w:val="28"/>
          <w:rtl/>
        </w:rPr>
        <w:t xml:space="preserve"> </w:t>
      </w:r>
      <w:r w:rsidRPr="00755331">
        <w:rPr>
          <w:rFonts w:ascii="Century" w:hAnsi="Century" w:cs="FrankRuehl" w:hint="eastAsia"/>
          <w:spacing w:val="10"/>
          <w:szCs w:val="28"/>
          <w:rtl/>
        </w:rPr>
        <w:t>החקיקה</w:t>
      </w:r>
      <w:r w:rsidRPr="00755331">
        <w:rPr>
          <w:rFonts w:ascii="Century" w:hAnsi="Century" w:cs="FrankRuehl"/>
          <w:spacing w:val="10"/>
          <w:szCs w:val="28"/>
          <w:rtl/>
        </w:rPr>
        <w:t xml:space="preserve">, </w:t>
      </w:r>
      <w:r w:rsidRPr="00755331">
        <w:rPr>
          <w:rFonts w:ascii="Century" w:hAnsi="Century" w:cs="FrankRuehl" w:hint="eastAsia"/>
          <w:spacing w:val="10"/>
          <w:szCs w:val="28"/>
          <w:rtl/>
        </w:rPr>
        <w:t>ל</w:t>
      </w:r>
      <w:r>
        <w:rPr>
          <w:rFonts w:ascii="Century" w:hAnsi="Century" w:cs="FrankRuehl" w:hint="cs"/>
          <w:spacing w:val="10"/>
          <w:szCs w:val="28"/>
          <w:rtl/>
        </w:rPr>
        <w:t xml:space="preserve">רבות </w:t>
      </w:r>
      <w:r w:rsidRPr="00755331">
        <w:rPr>
          <w:rFonts w:ascii="Century" w:hAnsi="Century" w:cs="FrankRuehl" w:hint="eastAsia"/>
          <w:spacing w:val="10"/>
          <w:szCs w:val="28"/>
          <w:rtl/>
        </w:rPr>
        <w:t>הצעות</w:t>
      </w:r>
      <w:r w:rsidRPr="00755331">
        <w:rPr>
          <w:rFonts w:ascii="Century" w:hAnsi="Century" w:cs="FrankRuehl"/>
          <w:spacing w:val="10"/>
          <w:szCs w:val="28"/>
          <w:rtl/>
        </w:rPr>
        <w:t xml:space="preserve"> </w:t>
      </w:r>
      <w:r>
        <w:rPr>
          <w:rFonts w:ascii="Century" w:hAnsi="Century" w:cs="FrankRuehl" w:hint="cs"/>
          <w:spacing w:val="10"/>
          <w:szCs w:val="28"/>
          <w:rtl/>
        </w:rPr>
        <w:t xml:space="preserve">מפורשות שנועדו </w:t>
      </w:r>
      <w:r w:rsidRPr="00755331">
        <w:rPr>
          <w:rFonts w:ascii="Century" w:hAnsi="Century" w:cs="FrankRuehl" w:hint="eastAsia"/>
          <w:spacing w:val="10"/>
          <w:szCs w:val="28"/>
          <w:rtl/>
        </w:rPr>
        <w:t>לצמצם</w:t>
      </w:r>
      <w:r w:rsidRPr="00755331">
        <w:rPr>
          <w:rFonts w:ascii="Century" w:hAnsi="Century" w:cs="FrankRuehl"/>
          <w:spacing w:val="10"/>
          <w:szCs w:val="28"/>
          <w:rtl/>
        </w:rPr>
        <w:t xml:space="preserve"> </w:t>
      </w:r>
      <w:r w:rsidRPr="00755331">
        <w:rPr>
          <w:rFonts w:ascii="Century" w:hAnsi="Century" w:cs="FrankRuehl" w:hint="eastAsia"/>
          <w:spacing w:val="10"/>
          <w:szCs w:val="28"/>
          <w:rtl/>
        </w:rPr>
        <w:t>את</w:t>
      </w:r>
      <w:r>
        <w:rPr>
          <w:rFonts w:ascii="Century" w:hAnsi="Century" w:cs="FrankRuehl" w:hint="cs"/>
          <w:spacing w:val="10"/>
          <w:szCs w:val="28"/>
          <w:rtl/>
        </w:rPr>
        <w:t xml:space="preserve"> תחולתו</w:t>
      </w:r>
      <w:r w:rsidRPr="00755331">
        <w:rPr>
          <w:rFonts w:ascii="Century" w:hAnsi="Century" w:cs="FrankRuehl"/>
          <w:spacing w:val="10"/>
          <w:szCs w:val="28"/>
          <w:rtl/>
        </w:rPr>
        <w:t xml:space="preserve"> </w:t>
      </w:r>
      <w:r>
        <w:rPr>
          <w:rFonts w:ascii="Century" w:hAnsi="Century" w:cs="FrankRuehl" w:hint="cs"/>
          <w:spacing w:val="10"/>
          <w:szCs w:val="28"/>
          <w:rtl/>
        </w:rPr>
        <w:t xml:space="preserve">של </w:t>
      </w:r>
      <w:r w:rsidRPr="00755331">
        <w:rPr>
          <w:rFonts w:ascii="Century" w:hAnsi="Century" w:cs="FrankRuehl" w:hint="eastAsia"/>
          <w:spacing w:val="10"/>
          <w:szCs w:val="28"/>
          <w:rtl/>
        </w:rPr>
        <w:t>התיקון</w:t>
      </w:r>
      <w:r>
        <w:rPr>
          <w:rFonts w:ascii="Century" w:hAnsi="Century" w:cs="FrankRuehl" w:hint="cs"/>
          <w:spacing w:val="10"/>
          <w:szCs w:val="28"/>
          <w:rtl/>
        </w:rPr>
        <w:t xml:space="preserve"> כך שתבוטל רק עילת הסבירות "האיזונית" נוסח פסק הדין בעניין </w:t>
      </w:r>
      <w:r w:rsidRPr="00755331">
        <w:rPr>
          <w:rFonts w:ascii="Century" w:hAnsi="Century" w:cs="Miriam" w:hint="eastAsia"/>
          <w:b/>
          <w:rtl/>
        </w:rPr>
        <w:t>דפי</w:t>
      </w:r>
      <w:r w:rsidRPr="00755331">
        <w:rPr>
          <w:rFonts w:ascii="Century" w:hAnsi="Century" w:cs="Miriam"/>
          <w:b/>
          <w:rtl/>
        </w:rPr>
        <w:t xml:space="preserve"> </w:t>
      </w:r>
      <w:r w:rsidRPr="00755331">
        <w:rPr>
          <w:rFonts w:ascii="Century" w:hAnsi="Century" w:cs="Miriam" w:hint="eastAsia"/>
          <w:b/>
          <w:rtl/>
        </w:rPr>
        <w:t>זהב</w:t>
      </w:r>
      <w:r w:rsidRPr="00755331">
        <w:rPr>
          <w:rFonts w:ascii="Century" w:hAnsi="Century" w:cs="FrankRuehl"/>
          <w:spacing w:val="10"/>
          <w:szCs w:val="28"/>
          <w:rtl/>
        </w:rPr>
        <w:t xml:space="preserve"> </w:t>
      </w:r>
      <w:r>
        <w:rPr>
          <w:rFonts w:ascii="Century" w:hAnsi="Century" w:cs="FrankRuehl"/>
          <w:spacing w:val="10"/>
          <w:szCs w:val="28"/>
          <w:rtl/>
        </w:rPr>
        <w:t>–</w:t>
      </w:r>
      <w:r w:rsidRPr="00755331">
        <w:rPr>
          <w:rFonts w:ascii="Century" w:hAnsi="Century" w:cs="FrankRuehl"/>
          <w:spacing w:val="10"/>
          <w:szCs w:val="28"/>
          <w:rtl/>
        </w:rPr>
        <w:t xml:space="preserve"> </w:t>
      </w:r>
      <w:r>
        <w:rPr>
          <w:rFonts w:ascii="Century" w:hAnsi="Century" w:cs="FrankRuehl" w:hint="cs"/>
          <w:spacing w:val="10"/>
          <w:szCs w:val="28"/>
          <w:rtl/>
        </w:rPr>
        <w:t xml:space="preserve">אשר </w:t>
      </w:r>
      <w:r w:rsidRPr="00755331">
        <w:rPr>
          <w:rFonts w:ascii="Century" w:hAnsi="Century" w:cs="FrankRuehl" w:hint="eastAsia"/>
          <w:spacing w:val="10"/>
          <w:szCs w:val="28"/>
          <w:rtl/>
        </w:rPr>
        <w:t>נדחו</w:t>
      </w:r>
      <w:r w:rsidRPr="00755331">
        <w:rPr>
          <w:rFonts w:ascii="Century" w:hAnsi="Century" w:cs="FrankRuehl"/>
          <w:spacing w:val="10"/>
          <w:szCs w:val="28"/>
          <w:rtl/>
        </w:rPr>
        <w:t xml:space="preserve">; </w:t>
      </w:r>
      <w:r w:rsidRPr="00755331">
        <w:rPr>
          <w:rFonts w:ascii="Century" w:hAnsi="Century" w:cs="FrankRuehl" w:hint="eastAsia"/>
          <w:spacing w:val="10"/>
          <w:szCs w:val="28"/>
          <w:rtl/>
        </w:rPr>
        <w:t>ו</w:t>
      </w:r>
      <w:r>
        <w:rPr>
          <w:rFonts w:ascii="Century" w:hAnsi="Century" w:cs="FrankRuehl" w:hint="cs"/>
          <w:spacing w:val="10"/>
          <w:szCs w:val="28"/>
          <w:rtl/>
        </w:rPr>
        <w:t>מ</w:t>
      </w:r>
      <w:r w:rsidRPr="00755331">
        <w:rPr>
          <w:rFonts w:ascii="Century" w:hAnsi="Century" w:cs="FrankRuehl" w:hint="eastAsia"/>
          <w:spacing w:val="10"/>
          <w:szCs w:val="28"/>
          <w:rtl/>
        </w:rPr>
        <w:t>עמדותיהם</w:t>
      </w:r>
      <w:r w:rsidRPr="00755331">
        <w:rPr>
          <w:rFonts w:ascii="Century" w:hAnsi="Century" w:cs="FrankRuehl"/>
          <w:spacing w:val="10"/>
          <w:szCs w:val="28"/>
          <w:rtl/>
        </w:rPr>
        <w:t xml:space="preserve"> </w:t>
      </w:r>
      <w:r w:rsidRPr="00755331">
        <w:rPr>
          <w:rFonts w:ascii="Century" w:hAnsi="Century" w:cs="FrankRuehl" w:hint="eastAsia"/>
          <w:spacing w:val="10"/>
          <w:szCs w:val="28"/>
          <w:rtl/>
        </w:rPr>
        <w:t>של</w:t>
      </w:r>
      <w:r w:rsidRPr="00755331">
        <w:rPr>
          <w:rFonts w:ascii="Century" w:hAnsi="Century" w:cs="FrankRuehl"/>
          <w:spacing w:val="10"/>
          <w:szCs w:val="28"/>
          <w:rtl/>
        </w:rPr>
        <w:t xml:space="preserve"> </w:t>
      </w:r>
      <w:r>
        <w:rPr>
          <w:rFonts w:ascii="Century" w:hAnsi="Century" w:cs="FrankRuehl" w:hint="cs"/>
          <w:spacing w:val="10"/>
          <w:szCs w:val="28"/>
          <w:rtl/>
        </w:rPr>
        <w:t xml:space="preserve">רוב </w:t>
      </w:r>
      <w:r w:rsidRPr="00755331">
        <w:rPr>
          <w:rFonts w:ascii="Century" w:hAnsi="Century" w:cs="FrankRuehl" w:hint="eastAsia"/>
          <w:spacing w:val="10"/>
          <w:szCs w:val="28"/>
          <w:rtl/>
        </w:rPr>
        <w:t>המשיבים</w:t>
      </w:r>
      <w:r w:rsidRPr="00755331">
        <w:rPr>
          <w:rFonts w:ascii="Century" w:hAnsi="Century" w:cs="FrankRuehl"/>
          <w:spacing w:val="10"/>
          <w:szCs w:val="28"/>
          <w:rtl/>
        </w:rPr>
        <w:t xml:space="preserve"> </w:t>
      </w:r>
      <w:r w:rsidRPr="00755331">
        <w:rPr>
          <w:rFonts w:ascii="Century" w:hAnsi="Century" w:cs="FrankRuehl" w:hint="eastAsia"/>
          <w:spacing w:val="10"/>
          <w:szCs w:val="28"/>
          <w:rtl/>
        </w:rPr>
        <w:t>בהליך</w:t>
      </w:r>
      <w:r w:rsidRPr="00755331">
        <w:rPr>
          <w:rFonts w:ascii="Century" w:hAnsi="Century" w:cs="FrankRuehl"/>
          <w:spacing w:val="10"/>
          <w:szCs w:val="28"/>
          <w:rtl/>
        </w:rPr>
        <w:t xml:space="preserve"> </w:t>
      </w:r>
      <w:r w:rsidRPr="00755331">
        <w:rPr>
          <w:rFonts w:ascii="Century" w:hAnsi="Century" w:cs="FrankRuehl" w:hint="eastAsia"/>
          <w:spacing w:val="10"/>
          <w:szCs w:val="28"/>
          <w:rtl/>
        </w:rPr>
        <w:t>שלפנינו</w:t>
      </w:r>
      <w:r>
        <w:rPr>
          <w:rFonts w:ascii="Century" w:hAnsi="Century" w:cs="FrankRuehl" w:hint="cs"/>
          <w:spacing w:val="10"/>
          <w:szCs w:val="28"/>
          <w:rtl/>
        </w:rPr>
        <w:t>. באלה יש משום</w:t>
      </w:r>
      <w:r w:rsidRPr="00755331">
        <w:rPr>
          <w:rFonts w:ascii="Century" w:hAnsi="Century" w:cs="FrankRuehl"/>
          <w:spacing w:val="10"/>
          <w:szCs w:val="28"/>
          <w:rtl/>
        </w:rPr>
        <w:t xml:space="preserve"> </w:t>
      </w:r>
      <w:r w:rsidRPr="00755331">
        <w:rPr>
          <w:rFonts w:ascii="Century" w:hAnsi="Century" w:cs="FrankRuehl" w:hint="eastAsia"/>
          <w:spacing w:val="10"/>
          <w:szCs w:val="28"/>
          <w:rtl/>
        </w:rPr>
        <w:t>כלי</w:t>
      </w:r>
      <w:r w:rsidRPr="00755331">
        <w:rPr>
          <w:rFonts w:ascii="Century" w:hAnsi="Century" w:cs="FrankRuehl"/>
          <w:spacing w:val="10"/>
          <w:szCs w:val="28"/>
          <w:rtl/>
        </w:rPr>
        <w:t xml:space="preserve"> </w:t>
      </w:r>
      <w:r w:rsidRPr="00755331">
        <w:rPr>
          <w:rFonts w:ascii="Century" w:hAnsi="Century" w:cs="FrankRuehl" w:hint="eastAsia"/>
          <w:spacing w:val="10"/>
          <w:szCs w:val="28"/>
          <w:rtl/>
        </w:rPr>
        <w:t>עזר</w:t>
      </w:r>
      <w:r w:rsidRPr="00755331">
        <w:rPr>
          <w:rFonts w:ascii="Century" w:hAnsi="Century" w:cs="FrankRuehl"/>
          <w:spacing w:val="10"/>
          <w:szCs w:val="28"/>
          <w:rtl/>
        </w:rPr>
        <w:t xml:space="preserve"> </w:t>
      </w:r>
      <w:r w:rsidRPr="00755331">
        <w:rPr>
          <w:rFonts w:ascii="Century" w:hAnsi="Century" w:cs="FrankRuehl" w:hint="eastAsia"/>
          <w:spacing w:val="10"/>
          <w:szCs w:val="28"/>
          <w:rtl/>
        </w:rPr>
        <w:t>פרשניים</w:t>
      </w:r>
      <w:r w:rsidRPr="00755331">
        <w:rPr>
          <w:rFonts w:ascii="Century" w:hAnsi="Century" w:cs="FrankRuehl"/>
          <w:spacing w:val="10"/>
          <w:szCs w:val="28"/>
          <w:rtl/>
        </w:rPr>
        <w:t xml:space="preserve"> </w:t>
      </w:r>
      <w:r w:rsidRPr="00755331">
        <w:rPr>
          <w:rFonts w:ascii="Century" w:hAnsi="Century" w:cs="FrankRuehl" w:hint="eastAsia"/>
          <w:spacing w:val="10"/>
          <w:szCs w:val="28"/>
          <w:rtl/>
        </w:rPr>
        <w:t>נוספים</w:t>
      </w:r>
      <w:r>
        <w:rPr>
          <w:rFonts w:ascii="Century" w:hAnsi="Century" w:cs="FrankRuehl" w:hint="cs"/>
          <w:spacing w:val="10"/>
          <w:szCs w:val="28"/>
          <w:rtl/>
        </w:rPr>
        <w:t xml:space="preserve">, בהם יש להתחשב בבואנו לפרש את החוק, ומהם עולה תמונה ברורה וחד-משמעית לפיה כוונתו של התיקון הייתה </w:t>
      </w:r>
      <w:r>
        <w:rPr>
          <w:rFonts w:ascii="Century" w:hAnsi="Century" w:cs="FrankRuehl" w:hint="cs"/>
          <w:spacing w:val="10"/>
          <w:szCs w:val="28"/>
          <w:rtl/>
        </w:rPr>
        <w:lastRenderedPageBreak/>
        <w:t xml:space="preserve">לבטל באופן מוחלט וגורף את עילת הסבירות </w:t>
      </w:r>
      <w:r>
        <w:rPr>
          <w:rFonts w:ascii="Century" w:hAnsi="Century" w:cs="FrankRuehl"/>
          <w:spacing w:val="10"/>
          <w:szCs w:val="28"/>
          <w:rtl/>
        </w:rPr>
        <w:t>–</w:t>
      </w:r>
      <w:r>
        <w:rPr>
          <w:rFonts w:ascii="Century" w:hAnsi="Century" w:cs="FrankRuehl" w:hint="cs"/>
          <w:spacing w:val="10"/>
          <w:szCs w:val="28"/>
          <w:rtl/>
        </w:rPr>
        <w:t xml:space="preserve"> על כל מובניה האפשריים </w:t>
      </w:r>
      <w:r>
        <w:rPr>
          <w:rFonts w:ascii="Century" w:hAnsi="Century" w:cs="FrankRuehl"/>
          <w:spacing w:val="10"/>
          <w:szCs w:val="28"/>
          <w:rtl/>
        </w:rPr>
        <w:t>–</w:t>
      </w:r>
      <w:r>
        <w:rPr>
          <w:rFonts w:ascii="Century" w:hAnsi="Century" w:cs="FrankRuehl" w:hint="cs"/>
          <w:spacing w:val="10"/>
          <w:szCs w:val="28"/>
          <w:rtl/>
        </w:rPr>
        <w:t xml:space="preserve"> ביחס להחלטות הממשלה, ראש הממשלה והשרים</w:t>
      </w:r>
      <w:r w:rsidRPr="00755331">
        <w:rPr>
          <w:rFonts w:ascii="Century" w:hAnsi="Century" w:cs="FrankRuehl"/>
          <w:spacing w:val="10"/>
          <w:szCs w:val="28"/>
          <w:rtl/>
        </w:rPr>
        <w:t>.</w:t>
      </w:r>
      <w:r>
        <w:rPr>
          <w:rFonts w:ascii="Century" w:hAnsi="Century" w:cs="FrankRuehl" w:hint="cs"/>
          <w:spacing w:val="10"/>
          <w:szCs w:val="28"/>
          <w:rtl/>
        </w:rPr>
        <w:t xml:space="preserve"> </w:t>
      </w:r>
    </w:p>
    <w:p w:rsidR="00A01E7C" w:rsidRDefault="00A01E7C" w:rsidP="00A01E7C">
      <w:pPr>
        <w:spacing w:line="360" w:lineRule="auto"/>
        <w:ind w:firstLine="720"/>
        <w:jc w:val="both"/>
        <w:rPr>
          <w:rFonts w:ascii="Century" w:hAnsi="Century" w:cs="FrankRuehl"/>
          <w:spacing w:val="10"/>
          <w:szCs w:val="28"/>
          <w:highlight w:val="cyan"/>
          <w:rtl/>
        </w:rPr>
      </w:pPr>
    </w:p>
    <w:p w:rsidR="00A01E7C" w:rsidRDefault="00A01E7C" w:rsidP="00A01E7C">
      <w:pPr>
        <w:spacing w:line="360" w:lineRule="auto"/>
        <w:ind w:firstLine="720"/>
        <w:jc w:val="both"/>
        <w:rPr>
          <w:rFonts w:ascii="Century" w:hAnsi="Century" w:cs="FrankRuehl"/>
          <w:spacing w:val="10"/>
          <w:szCs w:val="28"/>
          <w:rtl/>
        </w:rPr>
      </w:pPr>
      <w:r w:rsidRPr="001959F6">
        <w:rPr>
          <w:rFonts w:ascii="Century" w:hAnsi="Century" w:cs="FrankRuehl" w:hint="eastAsia"/>
          <w:spacing w:val="10"/>
          <w:szCs w:val="28"/>
          <w:rtl/>
        </w:rPr>
        <w:t>יודגש</w:t>
      </w:r>
      <w:r w:rsidRPr="001959F6">
        <w:rPr>
          <w:rFonts w:ascii="Century" w:hAnsi="Century" w:cs="FrankRuehl"/>
          <w:spacing w:val="10"/>
          <w:szCs w:val="28"/>
          <w:rtl/>
        </w:rPr>
        <w:t xml:space="preserve"> </w:t>
      </w:r>
      <w:r w:rsidRPr="001959F6">
        <w:rPr>
          <w:rFonts w:ascii="Century" w:hAnsi="Century" w:cs="FrankRuehl" w:hint="eastAsia"/>
          <w:spacing w:val="10"/>
          <w:szCs w:val="28"/>
          <w:rtl/>
        </w:rPr>
        <w:t>כי</w:t>
      </w:r>
      <w:r w:rsidRPr="001959F6">
        <w:rPr>
          <w:rFonts w:ascii="Century" w:hAnsi="Century" w:cs="FrankRuehl"/>
          <w:spacing w:val="10"/>
          <w:szCs w:val="28"/>
          <w:rtl/>
        </w:rPr>
        <w:t xml:space="preserve"> </w:t>
      </w:r>
      <w:r w:rsidRPr="001959F6">
        <w:rPr>
          <w:rFonts w:ascii="Century" w:hAnsi="Century" w:cs="FrankRuehl" w:hint="eastAsia"/>
          <w:spacing w:val="10"/>
          <w:szCs w:val="28"/>
          <w:rtl/>
        </w:rPr>
        <w:t>לא</w:t>
      </w:r>
      <w:r w:rsidRPr="001959F6">
        <w:rPr>
          <w:rFonts w:ascii="Century" w:hAnsi="Century" w:cs="FrankRuehl"/>
          <w:spacing w:val="10"/>
          <w:szCs w:val="28"/>
          <w:rtl/>
        </w:rPr>
        <w:t xml:space="preserve"> </w:t>
      </w:r>
      <w:r w:rsidRPr="001959F6">
        <w:rPr>
          <w:rFonts w:ascii="Century" w:hAnsi="Century" w:cs="FrankRuehl" w:hint="eastAsia"/>
          <w:spacing w:val="10"/>
          <w:szCs w:val="28"/>
          <w:rtl/>
        </w:rPr>
        <w:t>נעלמה</w:t>
      </w:r>
      <w:r w:rsidRPr="001959F6">
        <w:rPr>
          <w:rFonts w:ascii="Century" w:hAnsi="Century" w:cs="FrankRuehl"/>
          <w:spacing w:val="10"/>
          <w:szCs w:val="28"/>
          <w:rtl/>
        </w:rPr>
        <w:t xml:space="preserve"> </w:t>
      </w:r>
      <w:r w:rsidRPr="001959F6">
        <w:rPr>
          <w:rFonts w:ascii="Century" w:hAnsi="Century" w:cs="FrankRuehl" w:hint="eastAsia"/>
          <w:spacing w:val="10"/>
          <w:szCs w:val="28"/>
          <w:rtl/>
        </w:rPr>
        <w:t>מעיניי</w:t>
      </w:r>
      <w:r w:rsidRPr="001959F6">
        <w:rPr>
          <w:rFonts w:ascii="Century" w:hAnsi="Century" w:cs="FrankRuehl"/>
          <w:spacing w:val="10"/>
          <w:szCs w:val="28"/>
          <w:rtl/>
        </w:rPr>
        <w:t xml:space="preserve"> </w:t>
      </w:r>
      <w:r w:rsidRPr="001959F6">
        <w:rPr>
          <w:rFonts w:ascii="Century" w:hAnsi="Century" w:cs="FrankRuehl" w:hint="eastAsia"/>
          <w:spacing w:val="10"/>
          <w:szCs w:val="28"/>
          <w:rtl/>
        </w:rPr>
        <w:t>ה</w:t>
      </w:r>
      <w:r>
        <w:rPr>
          <w:rFonts w:ascii="Century" w:hAnsi="Century" w:cs="FrankRuehl" w:hint="cs"/>
          <w:spacing w:val="10"/>
          <w:szCs w:val="28"/>
          <w:rtl/>
        </w:rPr>
        <w:t xml:space="preserve">טענה </w:t>
      </w:r>
      <w:r w:rsidRPr="001959F6">
        <w:rPr>
          <w:rFonts w:ascii="Century" w:hAnsi="Century" w:cs="FrankRuehl" w:hint="eastAsia"/>
          <w:spacing w:val="10"/>
          <w:szCs w:val="28"/>
          <w:rtl/>
        </w:rPr>
        <w:t>כי</w:t>
      </w:r>
      <w:r w:rsidRPr="001959F6">
        <w:rPr>
          <w:rFonts w:ascii="Century" w:hAnsi="Century" w:cs="FrankRuehl"/>
          <w:spacing w:val="10"/>
          <w:szCs w:val="28"/>
          <w:rtl/>
        </w:rPr>
        <w:t xml:space="preserve"> </w:t>
      </w:r>
      <w:r w:rsidRPr="001959F6">
        <w:rPr>
          <w:rFonts w:ascii="Century" w:hAnsi="Century" w:cs="FrankRuehl" w:hint="eastAsia"/>
          <w:spacing w:val="10"/>
          <w:szCs w:val="28"/>
          <w:rtl/>
        </w:rPr>
        <w:t>דברי</w:t>
      </w:r>
      <w:r>
        <w:rPr>
          <w:rFonts w:ascii="Century" w:hAnsi="Century" w:cs="FrankRuehl" w:hint="cs"/>
          <w:spacing w:val="10"/>
          <w:szCs w:val="28"/>
          <w:rtl/>
        </w:rPr>
        <w:t xml:space="preserve"> ההסבר לתיקון עשויים לרמוז על כוונה סובייקטיבית אחרת, המתיישבת דווקא עם מתן פרשנות מצמצמת לתיקון, כפי שסבורים חלק מחבריי.</w:t>
      </w:r>
      <w:r w:rsidRPr="001959F6">
        <w:rPr>
          <w:rFonts w:ascii="Century" w:hAnsi="Century" w:cs="FrankRuehl"/>
          <w:spacing w:val="10"/>
          <w:szCs w:val="28"/>
          <w:rtl/>
        </w:rPr>
        <w:t xml:space="preserve"> </w:t>
      </w:r>
      <w:r w:rsidRPr="001959F6">
        <w:rPr>
          <w:rFonts w:ascii="Century" w:hAnsi="Century" w:cs="FrankRuehl" w:hint="eastAsia"/>
          <w:spacing w:val="10"/>
          <w:szCs w:val="28"/>
          <w:rtl/>
        </w:rPr>
        <w:t>כך</w:t>
      </w:r>
      <w:r w:rsidRPr="001959F6">
        <w:rPr>
          <w:rFonts w:ascii="Century" w:hAnsi="Century" w:cs="FrankRuehl"/>
          <w:spacing w:val="10"/>
          <w:szCs w:val="28"/>
          <w:rtl/>
        </w:rPr>
        <w:t xml:space="preserve">, </w:t>
      </w:r>
      <w:r w:rsidRPr="001959F6">
        <w:rPr>
          <w:rFonts w:ascii="Century" w:hAnsi="Century" w:cs="FrankRuehl" w:hint="eastAsia"/>
          <w:spacing w:val="10"/>
          <w:szCs w:val="28"/>
          <w:rtl/>
        </w:rPr>
        <w:t>נכתב</w:t>
      </w:r>
      <w:r w:rsidRPr="001959F6">
        <w:rPr>
          <w:rFonts w:ascii="Century" w:hAnsi="Century" w:cs="FrankRuehl"/>
          <w:spacing w:val="10"/>
          <w:szCs w:val="28"/>
          <w:rtl/>
        </w:rPr>
        <w:t xml:space="preserve"> </w:t>
      </w:r>
      <w:r w:rsidRPr="001959F6">
        <w:rPr>
          <w:rFonts w:ascii="Century" w:hAnsi="Century" w:cs="FrankRuehl" w:hint="eastAsia"/>
          <w:spacing w:val="10"/>
          <w:szCs w:val="28"/>
          <w:rtl/>
        </w:rPr>
        <w:t>בדברי</w:t>
      </w:r>
      <w:r w:rsidRPr="001959F6">
        <w:rPr>
          <w:rFonts w:ascii="Century" w:hAnsi="Century" w:cs="FrankRuehl"/>
          <w:spacing w:val="10"/>
          <w:szCs w:val="28"/>
          <w:rtl/>
        </w:rPr>
        <w:t xml:space="preserve"> </w:t>
      </w:r>
      <w:r w:rsidRPr="001959F6">
        <w:rPr>
          <w:rFonts w:ascii="Century" w:hAnsi="Century" w:cs="FrankRuehl" w:hint="eastAsia"/>
          <w:spacing w:val="10"/>
          <w:szCs w:val="28"/>
          <w:rtl/>
        </w:rPr>
        <w:t>ההסבר</w:t>
      </w:r>
      <w:r w:rsidRPr="001959F6">
        <w:rPr>
          <w:rFonts w:ascii="Century" w:hAnsi="Century" w:cs="FrankRuehl"/>
          <w:spacing w:val="10"/>
          <w:szCs w:val="28"/>
          <w:rtl/>
        </w:rPr>
        <w:t xml:space="preserve"> </w:t>
      </w:r>
      <w:r w:rsidRPr="001959F6">
        <w:rPr>
          <w:rFonts w:ascii="Century" w:hAnsi="Century" w:cs="FrankRuehl" w:hint="eastAsia"/>
          <w:spacing w:val="10"/>
          <w:szCs w:val="28"/>
          <w:rtl/>
        </w:rPr>
        <w:t>לתיקון</w:t>
      </w:r>
      <w:r w:rsidRPr="001959F6">
        <w:rPr>
          <w:rFonts w:ascii="Century" w:hAnsi="Century" w:cs="FrankRuehl"/>
          <w:spacing w:val="10"/>
          <w:szCs w:val="28"/>
          <w:rtl/>
        </w:rPr>
        <w:t xml:space="preserve"> </w:t>
      </w:r>
      <w:r w:rsidRPr="001959F6">
        <w:rPr>
          <w:rFonts w:ascii="Century" w:hAnsi="Century" w:cs="FrankRuehl" w:hint="eastAsia"/>
          <w:spacing w:val="10"/>
          <w:szCs w:val="28"/>
          <w:rtl/>
        </w:rPr>
        <w:t>כ</w:t>
      </w:r>
      <w:r>
        <w:rPr>
          <w:rFonts w:ascii="Century" w:hAnsi="Century" w:cs="FrankRuehl" w:hint="cs"/>
          <w:spacing w:val="10"/>
          <w:szCs w:val="28"/>
          <w:rtl/>
        </w:rPr>
        <w:t>י:</w:t>
      </w:r>
    </w:p>
    <w:p w:rsidR="00A01E7C" w:rsidRDefault="00A01E7C" w:rsidP="00A01E7C">
      <w:pPr>
        <w:spacing w:line="360" w:lineRule="auto"/>
        <w:ind w:firstLine="720"/>
        <w:jc w:val="both"/>
        <w:rPr>
          <w:rFonts w:ascii="Century" w:hAnsi="Century" w:cs="FrankRuehl"/>
          <w:spacing w:val="10"/>
          <w:szCs w:val="28"/>
          <w:rtl/>
        </w:rPr>
      </w:pPr>
    </w:p>
    <w:p w:rsidR="00A01E7C" w:rsidRDefault="00A01E7C" w:rsidP="00A01E7C">
      <w:pPr>
        <w:pStyle w:val="Ruller5"/>
        <w:rPr>
          <w:rtl/>
        </w:rPr>
      </w:pPr>
      <w:r w:rsidRPr="005C437E">
        <w:rPr>
          <w:rFonts w:hint="eastAsia"/>
          <w:rtl/>
        </w:rPr>
        <w:t>כיום</w:t>
      </w:r>
      <w:r w:rsidRPr="005C437E">
        <w:rPr>
          <w:rtl/>
        </w:rPr>
        <w:t xml:space="preserve"> </w:t>
      </w:r>
      <w:r w:rsidRPr="005C437E">
        <w:rPr>
          <w:rFonts w:hint="eastAsia"/>
          <w:rtl/>
        </w:rPr>
        <w:t>עילה</w:t>
      </w:r>
      <w:r w:rsidRPr="005C437E">
        <w:rPr>
          <w:rtl/>
        </w:rPr>
        <w:t xml:space="preserve"> </w:t>
      </w:r>
      <w:r w:rsidRPr="005C437E">
        <w:rPr>
          <w:rFonts w:hint="eastAsia"/>
          <w:rtl/>
        </w:rPr>
        <w:t>זו</w:t>
      </w:r>
      <w:r w:rsidRPr="005C437E">
        <w:rPr>
          <w:rtl/>
        </w:rPr>
        <w:t xml:space="preserve"> (</w:t>
      </w:r>
      <w:r w:rsidRPr="005C437E">
        <w:rPr>
          <w:rFonts w:hint="eastAsia"/>
          <w:rtl/>
        </w:rPr>
        <w:t>עילת</w:t>
      </w:r>
      <w:r w:rsidRPr="005C437E">
        <w:rPr>
          <w:rtl/>
        </w:rPr>
        <w:t xml:space="preserve"> </w:t>
      </w:r>
      <w:r w:rsidRPr="005C437E">
        <w:rPr>
          <w:rFonts w:hint="eastAsia"/>
          <w:rtl/>
        </w:rPr>
        <w:t>הסבירות</w:t>
      </w:r>
      <w:r w:rsidRPr="005C437E">
        <w:rPr>
          <w:rtl/>
        </w:rPr>
        <w:t xml:space="preserve"> – </w:t>
      </w:r>
      <w:r w:rsidRPr="005C437E">
        <w:rPr>
          <w:rFonts w:hint="eastAsia"/>
          <w:rtl/>
        </w:rPr>
        <w:t>ר</w:t>
      </w:r>
      <w:r w:rsidRPr="005C437E">
        <w:rPr>
          <w:rtl/>
        </w:rPr>
        <w:t>.</w:t>
      </w:r>
      <w:r w:rsidRPr="005C437E">
        <w:rPr>
          <w:rFonts w:hint="eastAsia"/>
          <w:rtl/>
        </w:rPr>
        <w:t>ר</w:t>
      </w:r>
      <w:r w:rsidRPr="005C437E">
        <w:rPr>
          <w:rtl/>
        </w:rPr>
        <w:t xml:space="preserve">.) </w:t>
      </w:r>
      <w:r w:rsidRPr="005C437E">
        <w:rPr>
          <w:rFonts w:hint="eastAsia"/>
          <w:rtl/>
        </w:rPr>
        <w:t>מאפשרת</w:t>
      </w:r>
      <w:r w:rsidRPr="005C437E">
        <w:rPr>
          <w:rtl/>
        </w:rPr>
        <w:t xml:space="preserve"> </w:t>
      </w:r>
      <w:r w:rsidRPr="005C437E">
        <w:rPr>
          <w:rFonts w:hint="eastAsia"/>
          <w:rtl/>
        </w:rPr>
        <w:t>לבית</w:t>
      </w:r>
      <w:r w:rsidRPr="005C437E">
        <w:rPr>
          <w:rtl/>
        </w:rPr>
        <w:t xml:space="preserve"> </w:t>
      </w:r>
      <w:r w:rsidRPr="005C437E">
        <w:rPr>
          <w:rFonts w:hint="eastAsia"/>
          <w:rtl/>
        </w:rPr>
        <w:t>המשפט</w:t>
      </w:r>
      <w:r w:rsidRPr="005C437E">
        <w:rPr>
          <w:rtl/>
        </w:rPr>
        <w:t xml:space="preserve"> </w:t>
      </w:r>
      <w:r w:rsidRPr="005C437E">
        <w:rPr>
          <w:rFonts w:hint="eastAsia"/>
          <w:rtl/>
        </w:rPr>
        <w:t>לפסול</w:t>
      </w:r>
      <w:r w:rsidRPr="005C437E">
        <w:rPr>
          <w:rtl/>
        </w:rPr>
        <w:t xml:space="preserve"> </w:t>
      </w:r>
      <w:r w:rsidRPr="005C437E">
        <w:rPr>
          <w:rFonts w:hint="eastAsia"/>
          <w:rtl/>
        </w:rPr>
        <w:t>החלטה</w:t>
      </w:r>
      <w:r w:rsidRPr="005C437E">
        <w:rPr>
          <w:rtl/>
        </w:rPr>
        <w:t xml:space="preserve"> </w:t>
      </w:r>
      <w:r w:rsidRPr="005C437E">
        <w:rPr>
          <w:rFonts w:hint="eastAsia"/>
          <w:rtl/>
        </w:rPr>
        <w:t>מינהלית</w:t>
      </w:r>
      <w:r w:rsidRPr="005C437E">
        <w:rPr>
          <w:rtl/>
        </w:rPr>
        <w:t xml:space="preserve"> </w:t>
      </w:r>
      <w:r w:rsidRPr="005C437E">
        <w:rPr>
          <w:rFonts w:hint="eastAsia"/>
          <w:rtl/>
        </w:rPr>
        <w:t>הלוקה</w:t>
      </w:r>
      <w:r w:rsidRPr="005C437E">
        <w:rPr>
          <w:rtl/>
        </w:rPr>
        <w:t xml:space="preserve"> </w:t>
      </w:r>
      <w:r w:rsidRPr="005C437E">
        <w:rPr>
          <w:rFonts w:hint="eastAsia"/>
          <w:rtl/>
        </w:rPr>
        <w:t>בחוסר</w:t>
      </w:r>
      <w:r w:rsidRPr="005C437E">
        <w:rPr>
          <w:rtl/>
        </w:rPr>
        <w:t xml:space="preserve"> </w:t>
      </w:r>
      <w:r w:rsidRPr="005C437E">
        <w:rPr>
          <w:rFonts w:hint="eastAsia"/>
          <w:rtl/>
        </w:rPr>
        <w:t>סבירות</w:t>
      </w:r>
      <w:r w:rsidRPr="005C437E">
        <w:rPr>
          <w:rtl/>
        </w:rPr>
        <w:t xml:space="preserve"> </w:t>
      </w:r>
      <w:r w:rsidRPr="005C437E">
        <w:rPr>
          <w:rFonts w:hint="eastAsia"/>
          <w:rtl/>
        </w:rPr>
        <w:t>במובן</w:t>
      </w:r>
      <w:r w:rsidRPr="005C437E">
        <w:rPr>
          <w:rtl/>
        </w:rPr>
        <w:t xml:space="preserve"> </w:t>
      </w:r>
      <w:r w:rsidRPr="005C437E">
        <w:rPr>
          <w:rFonts w:hint="eastAsia"/>
          <w:rtl/>
        </w:rPr>
        <w:t>זה</w:t>
      </w:r>
      <w:r w:rsidRPr="005C437E">
        <w:rPr>
          <w:rtl/>
        </w:rPr>
        <w:t xml:space="preserve"> </w:t>
      </w:r>
      <w:r w:rsidRPr="005C437E">
        <w:rPr>
          <w:rFonts w:hint="eastAsia"/>
          <w:rtl/>
        </w:rPr>
        <w:t>שהיא</w:t>
      </w:r>
      <w:r w:rsidRPr="005C437E">
        <w:rPr>
          <w:rtl/>
        </w:rPr>
        <w:t xml:space="preserve"> </w:t>
      </w:r>
      <w:r w:rsidRPr="005C437E">
        <w:rPr>
          <w:rFonts w:hint="eastAsia"/>
          <w:rtl/>
        </w:rPr>
        <w:t>אינה</w:t>
      </w:r>
      <w:r w:rsidRPr="005C437E">
        <w:rPr>
          <w:rtl/>
        </w:rPr>
        <w:t xml:space="preserve"> </w:t>
      </w:r>
      <w:r w:rsidRPr="005C437E">
        <w:rPr>
          <w:rFonts w:hint="eastAsia"/>
          <w:rtl/>
        </w:rPr>
        <w:t>נותנת</w:t>
      </w:r>
      <w:r w:rsidRPr="005C437E">
        <w:rPr>
          <w:rtl/>
        </w:rPr>
        <w:t xml:space="preserve"> '</w:t>
      </w:r>
      <w:r w:rsidRPr="005C437E">
        <w:rPr>
          <w:rFonts w:hint="eastAsia"/>
          <w:rtl/>
        </w:rPr>
        <w:t>משקל</w:t>
      </w:r>
      <w:r w:rsidRPr="005C437E">
        <w:rPr>
          <w:rtl/>
        </w:rPr>
        <w:t xml:space="preserve"> </w:t>
      </w:r>
      <w:r w:rsidRPr="005C437E">
        <w:rPr>
          <w:rFonts w:hint="eastAsia"/>
          <w:rtl/>
        </w:rPr>
        <w:t>ראוי</w:t>
      </w:r>
      <w:r w:rsidRPr="005C437E">
        <w:rPr>
          <w:rtl/>
        </w:rPr>
        <w:t xml:space="preserve"> </w:t>
      </w:r>
      <w:r w:rsidRPr="005C437E">
        <w:rPr>
          <w:rFonts w:hint="eastAsia"/>
          <w:rtl/>
        </w:rPr>
        <w:t>לאינטרסים</w:t>
      </w:r>
      <w:r w:rsidRPr="005C437E">
        <w:rPr>
          <w:rtl/>
        </w:rPr>
        <w:t xml:space="preserve"> </w:t>
      </w:r>
      <w:r w:rsidRPr="005C437E">
        <w:rPr>
          <w:rFonts w:hint="eastAsia"/>
          <w:rtl/>
        </w:rPr>
        <w:t>השונים</w:t>
      </w:r>
      <w:r w:rsidRPr="005C437E">
        <w:rPr>
          <w:rtl/>
        </w:rPr>
        <w:t xml:space="preserve"> </w:t>
      </w:r>
      <w:r w:rsidRPr="005C437E">
        <w:rPr>
          <w:rFonts w:hint="eastAsia"/>
          <w:rtl/>
        </w:rPr>
        <w:t>שעל</w:t>
      </w:r>
      <w:r w:rsidRPr="005C437E">
        <w:rPr>
          <w:rtl/>
        </w:rPr>
        <w:t xml:space="preserve"> </w:t>
      </w:r>
      <w:r w:rsidRPr="005C437E">
        <w:rPr>
          <w:rFonts w:hint="eastAsia"/>
          <w:rtl/>
        </w:rPr>
        <w:t>הרשות</w:t>
      </w:r>
      <w:r w:rsidRPr="005C437E">
        <w:rPr>
          <w:rtl/>
        </w:rPr>
        <w:t xml:space="preserve"> </w:t>
      </w:r>
      <w:r w:rsidRPr="005C437E">
        <w:rPr>
          <w:rFonts w:hint="eastAsia"/>
          <w:rtl/>
        </w:rPr>
        <w:t>המינהלית</w:t>
      </w:r>
      <w:r w:rsidRPr="005C437E">
        <w:rPr>
          <w:rtl/>
        </w:rPr>
        <w:t xml:space="preserve"> </w:t>
      </w:r>
      <w:r w:rsidRPr="005C437E">
        <w:rPr>
          <w:rFonts w:hint="eastAsia"/>
          <w:rtl/>
        </w:rPr>
        <w:t>להתחשב</w:t>
      </w:r>
      <w:r w:rsidRPr="005C437E">
        <w:rPr>
          <w:rtl/>
        </w:rPr>
        <w:t xml:space="preserve"> </w:t>
      </w:r>
      <w:r w:rsidRPr="005C437E">
        <w:rPr>
          <w:rFonts w:hint="eastAsia"/>
          <w:rtl/>
        </w:rPr>
        <w:t>בהם</w:t>
      </w:r>
      <w:r w:rsidRPr="005C437E">
        <w:rPr>
          <w:rtl/>
        </w:rPr>
        <w:t xml:space="preserve"> </w:t>
      </w:r>
      <w:r w:rsidRPr="005C437E">
        <w:rPr>
          <w:rFonts w:hint="eastAsia"/>
          <w:rtl/>
        </w:rPr>
        <w:t>בהחלטתה</w:t>
      </w:r>
      <w:r w:rsidRPr="005C437E">
        <w:rPr>
          <w:rtl/>
        </w:rPr>
        <w:t>' (</w:t>
      </w:r>
      <w:r w:rsidRPr="005C437E">
        <w:rPr>
          <w:rFonts w:hint="eastAsia"/>
          <w:rtl/>
        </w:rPr>
        <w:t>בג</w:t>
      </w:r>
      <w:r w:rsidRPr="005C437E">
        <w:rPr>
          <w:rtl/>
        </w:rPr>
        <w:t>"</w:t>
      </w:r>
      <w:r w:rsidRPr="005C437E">
        <w:rPr>
          <w:rFonts w:hint="eastAsia"/>
          <w:rtl/>
        </w:rPr>
        <w:t>ץ</w:t>
      </w:r>
      <w:r w:rsidRPr="005C437E">
        <w:rPr>
          <w:rtl/>
        </w:rPr>
        <w:t xml:space="preserve"> 389/80 </w:t>
      </w:r>
      <w:r w:rsidRPr="001959F6">
        <w:rPr>
          <w:rFonts w:ascii="Century" w:hAnsi="Century" w:cs="Miriam" w:hint="eastAsia"/>
          <w:b/>
          <w:spacing w:val="0"/>
          <w:szCs w:val="24"/>
          <w:rtl/>
        </w:rPr>
        <w:t>דפי</w:t>
      </w:r>
      <w:r w:rsidRPr="001959F6">
        <w:rPr>
          <w:rFonts w:ascii="Century" w:hAnsi="Century" w:cs="Miriam"/>
          <w:b/>
          <w:spacing w:val="0"/>
          <w:szCs w:val="24"/>
          <w:rtl/>
        </w:rPr>
        <w:t xml:space="preserve"> </w:t>
      </w:r>
      <w:r w:rsidRPr="001959F6">
        <w:rPr>
          <w:rFonts w:ascii="Century" w:hAnsi="Century" w:cs="Miriam" w:hint="eastAsia"/>
          <w:b/>
          <w:spacing w:val="0"/>
          <w:szCs w:val="24"/>
          <w:rtl/>
        </w:rPr>
        <w:t>זהב</w:t>
      </w:r>
      <w:r w:rsidRPr="001959F6">
        <w:rPr>
          <w:rFonts w:ascii="Century" w:hAnsi="Century" w:cs="Miriam"/>
          <w:b/>
          <w:spacing w:val="0"/>
          <w:szCs w:val="24"/>
          <w:rtl/>
        </w:rPr>
        <w:t xml:space="preserve"> </w:t>
      </w:r>
      <w:r w:rsidRPr="001959F6">
        <w:rPr>
          <w:rFonts w:ascii="Century" w:hAnsi="Century" w:cs="Miriam" w:hint="eastAsia"/>
          <w:b/>
          <w:spacing w:val="0"/>
          <w:szCs w:val="24"/>
          <w:rtl/>
        </w:rPr>
        <w:t>בע</w:t>
      </w:r>
      <w:r w:rsidRPr="001959F6">
        <w:rPr>
          <w:rFonts w:ascii="Century" w:hAnsi="Century" w:cs="Miriam"/>
          <w:b/>
          <w:spacing w:val="0"/>
          <w:szCs w:val="24"/>
          <w:rtl/>
        </w:rPr>
        <w:t>"</w:t>
      </w:r>
      <w:r w:rsidRPr="001959F6">
        <w:rPr>
          <w:rFonts w:ascii="Century" w:hAnsi="Century" w:cs="Miriam" w:hint="eastAsia"/>
          <w:b/>
          <w:spacing w:val="0"/>
          <w:szCs w:val="24"/>
          <w:rtl/>
        </w:rPr>
        <w:t>מ</w:t>
      </w:r>
      <w:r w:rsidRPr="001959F6">
        <w:rPr>
          <w:rFonts w:ascii="Century" w:hAnsi="Century" w:cs="Miriam"/>
          <w:b/>
          <w:spacing w:val="0"/>
          <w:szCs w:val="24"/>
          <w:rtl/>
        </w:rPr>
        <w:t xml:space="preserve"> </w:t>
      </w:r>
      <w:r w:rsidRPr="001959F6">
        <w:rPr>
          <w:rFonts w:ascii="Century" w:hAnsi="Century" w:cs="Miriam" w:hint="eastAsia"/>
          <w:b/>
          <w:spacing w:val="0"/>
          <w:szCs w:val="24"/>
          <w:rtl/>
        </w:rPr>
        <w:t>נ</w:t>
      </w:r>
      <w:r w:rsidRPr="001959F6">
        <w:rPr>
          <w:rFonts w:ascii="Century" w:hAnsi="Century" w:cs="Miriam"/>
          <w:b/>
          <w:spacing w:val="0"/>
          <w:szCs w:val="24"/>
          <w:rtl/>
        </w:rPr>
        <w:t xml:space="preserve">' </w:t>
      </w:r>
      <w:r w:rsidRPr="001959F6">
        <w:rPr>
          <w:rFonts w:ascii="Century" w:hAnsi="Century" w:cs="Miriam" w:hint="eastAsia"/>
          <w:b/>
          <w:spacing w:val="0"/>
          <w:szCs w:val="24"/>
          <w:rtl/>
        </w:rPr>
        <w:t>רשות</w:t>
      </w:r>
      <w:r w:rsidRPr="001959F6">
        <w:rPr>
          <w:rFonts w:ascii="Century" w:hAnsi="Century" w:cs="Miriam"/>
          <w:b/>
          <w:spacing w:val="0"/>
          <w:szCs w:val="24"/>
          <w:rtl/>
        </w:rPr>
        <w:t xml:space="preserve"> </w:t>
      </w:r>
      <w:r w:rsidRPr="001959F6">
        <w:rPr>
          <w:rFonts w:ascii="Century" w:hAnsi="Century" w:cs="Miriam" w:hint="eastAsia"/>
          <w:b/>
          <w:spacing w:val="0"/>
          <w:szCs w:val="24"/>
          <w:rtl/>
        </w:rPr>
        <w:t>השידור</w:t>
      </w:r>
      <w:r w:rsidRPr="005C437E">
        <w:rPr>
          <w:rtl/>
        </w:rPr>
        <w:t xml:space="preserve">, </w:t>
      </w:r>
      <w:r w:rsidRPr="005C437E">
        <w:rPr>
          <w:rFonts w:hint="eastAsia"/>
          <w:rtl/>
        </w:rPr>
        <w:t>פ</w:t>
      </w:r>
      <w:r w:rsidRPr="005C437E">
        <w:rPr>
          <w:rtl/>
        </w:rPr>
        <w:t>"</w:t>
      </w:r>
      <w:r w:rsidRPr="005C437E">
        <w:rPr>
          <w:rFonts w:hint="eastAsia"/>
          <w:rtl/>
        </w:rPr>
        <w:t>ד</w:t>
      </w:r>
      <w:r w:rsidRPr="005C437E">
        <w:rPr>
          <w:rtl/>
        </w:rPr>
        <w:t xml:space="preserve"> </w:t>
      </w:r>
      <w:r w:rsidRPr="005C437E">
        <w:rPr>
          <w:rFonts w:hint="eastAsia"/>
          <w:rtl/>
        </w:rPr>
        <w:t>לה</w:t>
      </w:r>
      <w:r w:rsidRPr="005C437E">
        <w:rPr>
          <w:rtl/>
        </w:rPr>
        <w:t xml:space="preserve">(1) 421,437 (1980)), </w:t>
      </w:r>
      <w:r w:rsidRPr="005C437E">
        <w:rPr>
          <w:rFonts w:hint="eastAsia"/>
          <w:rtl/>
        </w:rPr>
        <w:t>וזאת</w:t>
      </w:r>
      <w:r w:rsidRPr="005C437E">
        <w:rPr>
          <w:rtl/>
        </w:rPr>
        <w:t xml:space="preserve"> </w:t>
      </w:r>
      <w:r w:rsidRPr="005C437E">
        <w:rPr>
          <w:rFonts w:hint="eastAsia"/>
          <w:rtl/>
        </w:rPr>
        <w:t>כשמדובר</w:t>
      </w:r>
      <w:r w:rsidRPr="005C437E">
        <w:rPr>
          <w:rtl/>
        </w:rPr>
        <w:t xml:space="preserve"> </w:t>
      </w:r>
      <w:r w:rsidRPr="005C437E">
        <w:rPr>
          <w:rFonts w:hint="eastAsia"/>
          <w:rtl/>
        </w:rPr>
        <w:t>ב</w:t>
      </w:r>
      <w:r w:rsidRPr="005C437E">
        <w:rPr>
          <w:rtl/>
        </w:rPr>
        <w:t>'</w:t>
      </w:r>
      <w:r w:rsidRPr="005C437E">
        <w:rPr>
          <w:rFonts w:hint="eastAsia"/>
          <w:rtl/>
        </w:rPr>
        <w:t>חוסר</w:t>
      </w:r>
      <w:r w:rsidRPr="005C437E">
        <w:rPr>
          <w:rtl/>
        </w:rPr>
        <w:t xml:space="preserve"> </w:t>
      </w:r>
      <w:r w:rsidRPr="005C437E">
        <w:rPr>
          <w:rFonts w:hint="eastAsia"/>
          <w:rtl/>
        </w:rPr>
        <w:t>סבירות</w:t>
      </w:r>
      <w:r w:rsidRPr="005C437E">
        <w:rPr>
          <w:rtl/>
        </w:rPr>
        <w:t xml:space="preserve"> </w:t>
      </w:r>
      <w:r w:rsidRPr="005C437E">
        <w:rPr>
          <w:rFonts w:hint="eastAsia"/>
          <w:rtl/>
        </w:rPr>
        <w:t>מהותי</w:t>
      </w:r>
      <w:r w:rsidRPr="005C437E">
        <w:rPr>
          <w:rtl/>
        </w:rPr>
        <w:t xml:space="preserve"> </w:t>
      </w:r>
      <w:r w:rsidRPr="005C437E">
        <w:rPr>
          <w:rFonts w:hint="eastAsia"/>
          <w:rtl/>
        </w:rPr>
        <w:t>או</w:t>
      </w:r>
      <w:r w:rsidRPr="005C437E">
        <w:rPr>
          <w:rtl/>
        </w:rPr>
        <w:t xml:space="preserve"> </w:t>
      </w:r>
      <w:r w:rsidRPr="005C437E">
        <w:rPr>
          <w:rFonts w:hint="eastAsia"/>
          <w:rtl/>
        </w:rPr>
        <w:t>קיצוני</w:t>
      </w:r>
      <w:r w:rsidRPr="005C437E">
        <w:rPr>
          <w:rtl/>
        </w:rPr>
        <w:t xml:space="preserve">'... </w:t>
      </w:r>
      <w:r w:rsidRPr="005C437E">
        <w:rPr>
          <w:rFonts w:hint="eastAsia"/>
          <w:rtl/>
        </w:rPr>
        <w:t>על</w:t>
      </w:r>
      <w:r w:rsidRPr="005C437E">
        <w:rPr>
          <w:rtl/>
        </w:rPr>
        <w:t xml:space="preserve"> </w:t>
      </w:r>
      <w:r w:rsidRPr="005C437E">
        <w:rPr>
          <w:rFonts w:hint="eastAsia"/>
          <w:rtl/>
        </w:rPr>
        <w:t>השימוש</w:t>
      </w:r>
      <w:r w:rsidRPr="005C437E">
        <w:rPr>
          <w:rtl/>
        </w:rPr>
        <w:t xml:space="preserve"> </w:t>
      </w:r>
      <w:r w:rsidRPr="005C437E">
        <w:rPr>
          <w:rFonts w:hint="eastAsia"/>
          <w:rtl/>
        </w:rPr>
        <w:t>בעילת</w:t>
      </w:r>
      <w:r w:rsidRPr="005C437E">
        <w:rPr>
          <w:rtl/>
        </w:rPr>
        <w:t xml:space="preserve"> </w:t>
      </w:r>
      <w:r w:rsidRPr="005C437E">
        <w:rPr>
          <w:rFonts w:hint="eastAsia"/>
          <w:rtl/>
        </w:rPr>
        <w:t>הסבירות</w:t>
      </w:r>
      <w:r w:rsidRPr="005C437E">
        <w:rPr>
          <w:rtl/>
        </w:rPr>
        <w:t xml:space="preserve"> </w:t>
      </w:r>
      <w:r w:rsidRPr="005C437E">
        <w:rPr>
          <w:rFonts w:hint="eastAsia"/>
          <w:rtl/>
        </w:rPr>
        <w:t>במובנה</w:t>
      </w:r>
      <w:r w:rsidRPr="005C437E">
        <w:rPr>
          <w:rtl/>
        </w:rPr>
        <w:t xml:space="preserve"> </w:t>
      </w:r>
      <w:r w:rsidRPr="005C437E">
        <w:rPr>
          <w:rFonts w:hint="eastAsia"/>
          <w:rtl/>
        </w:rPr>
        <w:t>זה</w:t>
      </w:r>
      <w:r w:rsidRPr="005C437E">
        <w:rPr>
          <w:rtl/>
        </w:rPr>
        <w:t xml:space="preserve">, </w:t>
      </w:r>
      <w:r w:rsidRPr="005C437E">
        <w:rPr>
          <w:rFonts w:hint="eastAsia"/>
          <w:rtl/>
        </w:rPr>
        <w:t>ובפרט</w:t>
      </w:r>
      <w:r w:rsidRPr="005C437E">
        <w:rPr>
          <w:rtl/>
        </w:rPr>
        <w:t xml:space="preserve"> </w:t>
      </w:r>
      <w:r w:rsidRPr="005C437E">
        <w:rPr>
          <w:rFonts w:hint="eastAsia"/>
          <w:rtl/>
        </w:rPr>
        <w:t>על</w:t>
      </w:r>
      <w:r w:rsidRPr="005C437E">
        <w:rPr>
          <w:rtl/>
        </w:rPr>
        <w:t xml:space="preserve"> </w:t>
      </w:r>
      <w:r>
        <w:rPr>
          <w:rFonts w:hint="eastAsia"/>
          <w:rtl/>
        </w:rPr>
        <w:t>החל</w:t>
      </w:r>
      <w:r w:rsidRPr="005C437E">
        <w:rPr>
          <w:rFonts w:hint="eastAsia"/>
          <w:rtl/>
        </w:rPr>
        <w:t>ת</w:t>
      </w:r>
      <w:r w:rsidRPr="005C437E">
        <w:rPr>
          <w:rtl/>
        </w:rPr>
        <w:t xml:space="preserve"> </w:t>
      </w:r>
      <w:r w:rsidRPr="005C437E">
        <w:rPr>
          <w:rFonts w:hint="eastAsia"/>
          <w:rtl/>
        </w:rPr>
        <w:t>עילת</w:t>
      </w:r>
      <w:r w:rsidRPr="005C437E">
        <w:rPr>
          <w:rtl/>
        </w:rPr>
        <w:t xml:space="preserve"> </w:t>
      </w:r>
      <w:r w:rsidRPr="005C437E">
        <w:rPr>
          <w:rFonts w:hint="eastAsia"/>
          <w:rtl/>
        </w:rPr>
        <w:t>הסבירות</w:t>
      </w:r>
      <w:r w:rsidRPr="005C437E">
        <w:rPr>
          <w:rtl/>
        </w:rPr>
        <w:t xml:space="preserve"> </w:t>
      </w:r>
      <w:r w:rsidRPr="005C437E">
        <w:rPr>
          <w:rFonts w:hint="eastAsia"/>
          <w:rtl/>
        </w:rPr>
        <w:t>בנוגע</w:t>
      </w:r>
      <w:r w:rsidRPr="005C437E">
        <w:rPr>
          <w:rtl/>
        </w:rPr>
        <w:t xml:space="preserve"> </w:t>
      </w:r>
      <w:r w:rsidRPr="005C437E">
        <w:rPr>
          <w:rFonts w:hint="eastAsia"/>
          <w:rtl/>
        </w:rPr>
        <w:t>להחלטות</w:t>
      </w:r>
      <w:r w:rsidRPr="005C437E">
        <w:rPr>
          <w:rtl/>
        </w:rPr>
        <w:t xml:space="preserve"> </w:t>
      </w:r>
      <w:r w:rsidRPr="005C437E">
        <w:rPr>
          <w:rFonts w:hint="eastAsia"/>
          <w:rtl/>
        </w:rPr>
        <w:t>של</w:t>
      </w:r>
      <w:r w:rsidRPr="005C437E">
        <w:rPr>
          <w:rtl/>
        </w:rPr>
        <w:t xml:space="preserve"> </w:t>
      </w:r>
      <w:r w:rsidRPr="005C437E">
        <w:rPr>
          <w:rFonts w:hint="eastAsia"/>
          <w:rtl/>
        </w:rPr>
        <w:t>הדרג</w:t>
      </w:r>
      <w:r w:rsidRPr="005C437E">
        <w:rPr>
          <w:rtl/>
        </w:rPr>
        <w:t xml:space="preserve"> </w:t>
      </w:r>
      <w:r w:rsidRPr="005C437E">
        <w:rPr>
          <w:rFonts w:hint="eastAsia"/>
          <w:rtl/>
        </w:rPr>
        <w:t>הנבחר</w:t>
      </w:r>
      <w:r w:rsidRPr="005C437E">
        <w:rPr>
          <w:rtl/>
        </w:rPr>
        <w:t xml:space="preserve">, </w:t>
      </w:r>
      <w:r w:rsidRPr="005C437E">
        <w:rPr>
          <w:rFonts w:hint="eastAsia"/>
          <w:rtl/>
        </w:rPr>
        <w:t>נטען</w:t>
      </w:r>
      <w:r w:rsidRPr="005C437E">
        <w:rPr>
          <w:rtl/>
        </w:rPr>
        <w:t xml:space="preserve"> </w:t>
      </w:r>
      <w:r w:rsidRPr="005C437E">
        <w:rPr>
          <w:rFonts w:hint="eastAsia"/>
          <w:rtl/>
        </w:rPr>
        <w:t>בין</w:t>
      </w:r>
      <w:r w:rsidRPr="005C437E">
        <w:rPr>
          <w:rtl/>
        </w:rPr>
        <w:t xml:space="preserve"> </w:t>
      </w:r>
      <w:r w:rsidRPr="005C437E">
        <w:rPr>
          <w:rFonts w:hint="eastAsia"/>
          <w:rtl/>
        </w:rPr>
        <w:t>היתר</w:t>
      </w:r>
      <w:r w:rsidRPr="005C437E">
        <w:rPr>
          <w:rtl/>
        </w:rPr>
        <w:t xml:space="preserve"> </w:t>
      </w:r>
      <w:r w:rsidRPr="005C437E">
        <w:rPr>
          <w:rFonts w:hint="eastAsia"/>
          <w:rtl/>
        </w:rPr>
        <w:t>כי</w:t>
      </w:r>
      <w:r w:rsidRPr="005C437E">
        <w:rPr>
          <w:rtl/>
        </w:rPr>
        <w:t xml:space="preserve"> </w:t>
      </w:r>
      <w:r w:rsidRPr="005C437E">
        <w:rPr>
          <w:rFonts w:hint="eastAsia"/>
          <w:rtl/>
        </w:rPr>
        <w:t>קביעת</w:t>
      </w:r>
      <w:r w:rsidRPr="005C437E">
        <w:rPr>
          <w:rtl/>
        </w:rPr>
        <w:t xml:space="preserve"> </w:t>
      </w:r>
      <w:r w:rsidRPr="005C437E">
        <w:rPr>
          <w:rFonts w:hint="eastAsia"/>
          <w:rtl/>
        </w:rPr>
        <w:t>האיזון</w:t>
      </w:r>
      <w:r w:rsidRPr="005C437E">
        <w:rPr>
          <w:rtl/>
        </w:rPr>
        <w:t xml:space="preserve"> </w:t>
      </w:r>
      <w:r w:rsidRPr="005C437E">
        <w:rPr>
          <w:rFonts w:hint="eastAsia"/>
          <w:rtl/>
        </w:rPr>
        <w:t>הערכי</w:t>
      </w:r>
      <w:r w:rsidRPr="005C437E">
        <w:rPr>
          <w:rtl/>
        </w:rPr>
        <w:t xml:space="preserve"> </w:t>
      </w:r>
      <w:r w:rsidRPr="005C437E">
        <w:rPr>
          <w:rFonts w:hint="eastAsia"/>
          <w:rtl/>
        </w:rPr>
        <w:t>בין</w:t>
      </w:r>
      <w:r w:rsidRPr="005C437E">
        <w:rPr>
          <w:rtl/>
        </w:rPr>
        <w:t xml:space="preserve"> </w:t>
      </w:r>
      <w:r w:rsidRPr="005C437E">
        <w:rPr>
          <w:rFonts w:hint="eastAsia"/>
          <w:rtl/>
        </w:rPr>
        <w:t>השיקולים</w:t>
      </w:r>
      <w:r w:rsidRPr="005C437E">
        <w:rPr>
          <w:rtl/>
        </w:rPr>
        <w:t xml:space="preserve"> </w:t>
      </w:r>
      <w:r w:rsidRPr="005C437E">
        <w:rPr>
          <w:rFonts w:hint="eastAsia"/>
          <w:rtl/>
        </w:rPr>
        <w:t>השונים</w:t>
      </w:r>
      <w:r w:rsidRPr="005C437E">
        <w:rPr>
          <w:rtl/>
        </w:rPr>
        <w:t xml:space="preserve"> </w:t>
      </w:r>
      <w:r w:rsidRPr="005C437E">
        <w:rPr>
          <w:rFonts w:hint="eastAsia"/>
          <w:rtl/>
        </w:rPr>
        <w:t>הנוגעים</w:t>
      </w:r>
      <w:r w:rsidRPr="005C437E">
        <w:rPr>
          <w:rtl/>
        </w:rPr>
        <w:t xml:space="preserve"> </w:t>
      </w:r>
      <w:r w:rsidRPr="005C437E">
        <w:rPr>
          <w:rFonts w:hint="eastAsia"/>
          <w:rtl/>
        </w:rPr>
        <w:t>להחלטה</w:t>
      </w:r>
      <w:r w:rsidRPr="005C437E">
        <w:rPr>
          <w:rtl/>
        </w:rPr>
        <w:t xml:space="preserve"> </w:t>
      </w:r>
      <w:r w:rsidRPr="005C437E">
        <w:rPr>
          <w:rFonts w:hint="eastAsia"/>
          <w:rtl/>
        </w:rPr>
        <w:t>מינהלית</w:t>
      </w:r>
      <w:r w:rsidRPr="005C437E">
        <w:rPr>
          <w:rtl/>
        </w:rPr>
        <w:t xml:space="preserve"> </w:t>
      </w:r>
      <w:r w:rsidRPr="005C437E">
        <w:rPr>
          <w:rFonts w:hint="eastAsia"/>
          <w:rtl/>
        </w:rPr>
        <w:t>צריכה</w:t>
      </w:r>
      <w:r w:rsidRPr="005C437E">
        <w:rPr>
          <w:rtl/>
        </w:rPr>
        <w:t xml:space="preserve"> </w:t>
      </w:r>
      <w:r w:rsidRPr="005C437E">
        <w:rPr>
          <w:rFonts w:hint="eastAsia"/>
          <w:rtl/>
        </w:rPr>
        <w:t>להיות</w:t>
      </w:r>
      <w:r w:rsidRPr="005C437E">
        <w:rPr>
          <w:rtl/>
        </w:rPr>
        <w:t xml:space="preserve"> </w:t>
      </w:r>
      <w:r w:rsidRPr="005C437E">
        <w:rPr>
          <w:rFonts w:hint="eastAsia"/>
          <w:rtl/>
        </w:rPr>
        <w:t>נתונה</w:t>
      </w:r>
      <w:r w:rsidRPr="005C437E">
        <w:rPr>
          <w:rtl/>
        </w:rPr>
        <w:t xml:space="preserve"> </w:t>
      </w:r>
      <w:r w:rsidRPr="005C437E">
        <w:rPr>
          <w:rFonts w:hint="eastAsia"/>
          <w:rtl/>
        </w:rPr>
        <w:t>לנבחרי</w:t>
      </w:r>
      <w:r w:rsidRPr="005C437E">
        <w:rPr>
          <w:rtl/>
        </w:rPr>
        <w:t xml:space="preserve"> </w:t>
      </w:r>
      <w:r w:rsidRPr="005C437E">
        <w:rPr>
          <w:rFonts w:hint="eastAsia"/>
          <w:rtl/>
        </w:rPr>
        <w:t>הציבור</w:t>
      </w:r>
      <w:r w:rsidRPr="005C437E">
        <w:rPr>
          <w:rtl/>
        </w:rPr>
        <w:t xml:space="preserve"> </w:t>
      </w:r>
      <w:r w:rsidRPr="005C437E">
        <w:rPr>
          <w:rFonts w:hint="eastAsia"/>
          <w:rtl/>
        </w:rPr>
        <w:t>ולא</w:t>
      </w:r>
      <w:r w:rsidRPr="005C437E">
        <w:rPr>
          <w:rtl/>
        </w:rPr>
        <w:t xml:space="preserve"> </w:t>
      </w:r>
      <w:r w:rsidRPr="005C437E">
        <w:rPr>
          <w:rFonts w:hint="eastAsia"/>
          <w:rtl/>
        </w:rPr>
        <w:t>לבית</w:t>
      </w:r>
      <w:r w:rsidRPr="005C437E">
        <w:rPr>
          <w:rtl/>
        </w:rPr>
        <w:t xml:space="preserve"> </w:t>
      </w:r>
      <w:r w:rsidRPr="005C437E">
        <w:rPr>
          <w:rFonts w:hint="eastAsia"/>
          <w:rtl/>
        </w:rPr>
        <w:t>המשפט</w:t>
      </w:r>
      <w:r w:rsidRPr="005C437E">
        <w:rPr>
          <w:rtl/>
        </w:rPr>
        <w:t xml:space="preserve">. </w:t>
      </w:r>
      <w:r w:rsidRPr="005C437E">
        <w:rPr>
          <w:rFonts w:hint="eastAsia"/>
          <w:rtl/>
        </w:rPr>
        <w:t>לפיכך</w:t>
      </w:r>
      <w:r w:rsidRPr="005C437E">
        <w:rPr>
          <w:rtl/>
        </w:rPr>
        <w:t xml:space="preserve"> </w:t>
      </w:r>
      <w:r w:rsidRPr="005C437E">
        <w:rPr>
          <w:rFonts w:hint="eastAsia"/>
          <w:rtl/>
        </w:rPr>
        <w:t>מוצע</w:t>
      </w:r>
      <w:r w:rsidRPr="005C437E">
        <w:rPr>
          <w:rtl/>
        </w:rPr>
        <w:t xml:space="preserve"> </w:t>
      </w:r>
      <w:r w:rsidRPr="005C437E">
        <w:rPr>
          <w:rFonts w:hint="eastAsia"/>
          <w:rtl/>
        </w:rPr>
        <w:t>לקבוע</w:t>
      </w:r>
      <w:r w:rsidRPr="005C437E">
        <w:rPr>
          <w:rtl/>
        </w:rPr>
        <w:t xml:space="preserve"> </w:t>
      </w:r>
      <w:r w:rsidRPr="005C437E">
        <w:rPr>
          <w:rFonts w:hint="eastAsia"/>
          <w:rtl/>
        </w:rPr>
        <w:t>בחוק</w:t>
      </w:r>
      <w:r w:rsidRPr="005C437E">
        <w:rPr>
          <w:rtl/>
        </w:rPr>
        <w:t xml:space="preserve"> </w:t>
      </w:r>
      <w:r w:rsidRPr="005C437E">
        <w:rPr>
          <w:rFonts w:hint="eastAsia"/>
          <w:rtl/>
        </w:rPr>
        <w:t>יסוד</w:t>
      </w:r>
      <w:r w:rsidRPr="005C437E">
        <w:rPr>
          <w:rtl/>
        </w:rPr>
        <w:t xml:space="preserve">: </w:t>
      </w:r>
      <w:r w:rsidRPr="005C437E">
        <w:rPr>
          <w:rFonts w:hint="eastAsia"/>
          <w:rtl/>
        </w:rPr>
        <w:t>השפיטה</w:t>
      </w:r>
      <w:r w:rsidRPr="005C437E">
        <w:rPr>
          <w:rtl/>
        </w:rPr>
        <w:t xml:space="preserve"> </w:t>
      </w:r>
      <w:r w:rsidRPr="005C437E">
        <w:rPr>
          <w:rFonts w:hint="eastAsia"/>
          <w:rtl/>
        </w:rPr>
        <w:t>כי</w:t>
      </w:r>
      <w:r w:rsidRPr="005C437E">
        <w:rPr>
          <w:rtl/>
        </w:rPr>
        <w:t xml:space="preserve"> </w:t>
      </w:r>
      <w:r w:rsidRPr="005C437E">
        <w:rPr>
          <w:rFonts w:hint="eastAsia"/>
          <w:rtl/>
        </w:rPr>
        <w:t>רשות</w:t>
      </w:r>
      <w:r w:rsidRPr="005C437E">
        <w:rPr>
          <w:rtl/>
        </w:rPr>
        <w:t xml:space="preserve"> </w:t>
      </w:r>
      <w:r w:rsidRPr="005C437E">
        <w:rPr>
          <w:rFonts w:hint="eastAsia"/>
          <w:rtl/>
        </w:rPr>
        <w:t>שיפוטית</w:t>
      </w:r>
      <w:r w:rsidRPr="005C437E">
        <w:rPr>
          <w:rtl/>
        </w:rPr>
        <w:t xml:space="preserve"> </w:t>
      </w:r>
      <w:r w:rsidRPr="005C437E">
        <w:rPr>
          <w:rFonts w:hint="eastAsia"/>
          <w:rtl/>
        </w:rPr>
        <w:t>לא</w:t>
      </w:r>
      <w:r w:rsidRPr="005C437E">
        <w:rPr>
          <w:rtl/>
        </w:rPr>
        <w:t xml:space="preserve"> </w:t>
      </w:r>
      <w:r w:rsidRPr="005C437E">
        <w:rPr>
          <w:rFonts w:hint="eastAsia"/>
          <w:rtl/>
        </w:rPr>
        <w:t>תוכל</w:t>
      </w:r>
      <w:r w:rsidRPr="005C437E">
        <w:rPr>
          <w:rtl/>
        </w:rPr>
        <w:t xml:space="preserve"> </w:t>
      </w:r>
      <w:r w:rsidRPr="005C437E">
        <w:rPr>
          <w:rFonts w:hint="eastAsia"/>
          <w:rtl/>
        </w:rPr>
        <w:t>לדון</w:t>
      </w:r>
      <w:r w:rsidRPr="005C437E">
        <w:rPr>
          <w:rtl/>
        </w:rPr>
        <w:t xml:space="preserve"> </w:t>
      </w:r>
      <w:r w:rsidRPr="005C437E">
        <w:rPr>
          <w:rFonts w:hint="eastAsia"/>
          <w:rtl/>
        </w:rPr>
        <w:t>בעניין</w:t>
      </w:r>
      <w:r w:rsidRPr="005C437E">
        <w:rPr>
          <w:rtl/>
        </w:rPr>
        <w:t xml:space="preserve"> </w:t>
      </w:r>
      <w:r w:rsidRPr="005C437E">
        <w:rPr>
          <w:rFonts w:hint="eastAsia"/>
          <w:rtl/>
        </w:rPr>
        <w:t>סבירות</w:t>
      </w:r>
      <w:r w:rsidRPr="005C437E">
        <w:rPr>
          <w:rtl/>
        </w:rPr>
        <w:t xml:space="preserve"> </w:t>
      </w:r>
      <w:r w:rsidRPr="005C437E">
        <w:rPr>
          <w:rFonts w:hint="eastAsia"/>
          <w:rtl/>
        </w:rPr>
        <w:t>ההחלטה</w:t>
      </w:r>
      <w:r w:rsidRPr="005C437E">
        <w:rPr>
          <w:rtl/>
        </w:rPr>
        <w:t xml:space="preserve"> </w:t>
      </w:r>
      <w:r w:rsidRPr="005C437E">
        <w:rPr>
          <w:rFonts w:hint="eastAsia"/>
          <w:rtl/>
        </w:rPr>
        <w:t>של</w:t>
      </w:r>
      <w:r w:rsidRPr="005C437E">
        <w:rPr>
          <w:rtl/>
        </w:rPr>
        <w:t xml:space="preserve"> </w:t>
      </w:r>
      <w:r w:rsidRPr="005C437E">
        <w:rPr>
          <w:rFonts w:hint="eastAsia"/>
          <w:rtl/>
        </w:rPr>
        <w:t>הממשלה</w:t>
      </w:r>
      <w:r w:rsidRPr="005C437E">
        <w:rPr>
          <w:rtl/>
        </w:rPr>
        <w:t xml:space="preserve"> </w:t>
      </w:r>
      <w:r w:rsidRPr="005C437E">
        <w:rPr>
          <w:rFonts w:hint="eastAsia"/>
          <w:rtl/>
        </w:rPr>
        <w:t>במליאתה</w:t>
      </w:r>
      <w:r w:rsidRPr="005C437E">
        <w:rPr>
          <w:rtl/>
        </w:rPr>
        <w:t xml:space="preserve">, </w:t>
      </w:r>
      <w:r w:rsidRPr="005C437E">
        <w:rPr>
          <w:rFonts w:hint="eastAsia"/>
          <w:rtl/>
        </w:rPr>
        <w:t>של</w:t>
      </w:r>
      <w:r w:rsidRPr="005C437E">
        <w:rPr>
          <w:rtl/>
        </w:rPr>
        <w:t xml:space="preserve"> </w:t>
      </w:r>
      <w:r w:rsidRPr="005C437E">
        <w:rPr>
          <w:rFonts w:hint="eastAsia"/>
          <w:rtl/>
        </w:rPr>
        <w:t>ראש</w:t>
      </w:r>
      <w:r w:rsidRPr="005C437E">
        <w:rPr>
          <w:rtl/>
        </w:rPr>
        <w:t xml:space="preserve"> </w:t>
      </w:r>
      <w:r w:rsidRPr="005C437E">
        <w:rPr>
          <w:rFonts w:hint="eastAsia"/>
          <w:rtl/>
        </w:rPr>
        <w:t>הממשלה</w:t>
      </w:r>
      <w:r w:rsidRPr="005C437E">
        <w:rPr>
          <w:rtl/>
        </w:rPr>
        <w:t xml:space="preserve"> </w:t>
      </w:r>
      <w:r w:rsidRPr="005C437E">
        <w:rPr>
          <w:rFonts w:hint="eastAsia"/>
          <w:rtl/>
        </w:rPr>
        <w:t>או</w:t>
      </w:r>
      <w:r w:rsidRPr="005C437E">
        <w:rPr>
          <w:rtl/>
        </w:rPr>
        <w:t xml:space="preserve"> </w:t>
      </w:r>
      <w:r w:rsidRPr="005C437E">
        <w:rPr>
          <w:rFonts w:hint="eastAsia"/>
          <w:rtl/>
        </w:rPr>
        <w:t>של</w:t>
      </w:r>
      <w:r w:rsidRPr="005C437E">
        <w:rPr>
          <w:rtl/>
        </w:rPr>
        <w:t xml:space="preserve"> </w:t>
      </w:r>
      <w:r w:rsidRPr="005C437E">
        <w:rPr>
          <w:rFonts w:hint="eastAsia"/>
          <w:rtl/>
        </w:rPr>
        <w:t>שר</w:t>
      </w:r>
      <w:r w:rsidRPr="005C437E">
        <w:rPr>
          <w:rtl/>
        </w:rPr>
        <w:t xml:space="preserve"> </w:t>
      </w:r>
      <w:r w:rsidRPr="005C437E">
        <w:rPr>
          <w:rFonts w:hint="eastAsia"/>
          <w:rtl/>
        </w:rPr>
        <w:t>אחר</w:t>
      </w:r>
      <w:r w:rsidRPr="005C437E">
        <w:rPr>
          <w:rtl/>
        </w:rPr>
        <w:t>... (</w:t>
      </w:r>
      <w:r w:rsidRPr="005C437E">
        <w:rPr>
          <w:rFonts w:hint="eastAsia"/>
          <w:rtl/>
        </w:rPr>
        <w:t>דברי</w:t>
      </w:r>
      <w:r w:rsidRPr="005C437E">
        <w:rPr>
          <w:rtl/>
        </w:rPr>
        <w:t xml:space="preserve"> </w:t>
      </w:r>
      <w:r w:rsidRPr="005C437E">
        <w:rPr>
          <w:rFonts w:hint="eastAsia"/>
          <w:rtl/>
        </w:rPr>
        <w:t>ההסבר</w:t>
      </w:r>
      <w:r w:rsidRPr="005C437E">
        <w:rPr>
          <w:rtl/>
        </w:rPr>
        <w:t xml:space="preserve"> </w:t>
      </w:r>
      <w:r w:rsidRPr="005C437E">
        <w:rPr>
          <w:rFonts w:hint="eastAsia"/>
          <w:rtl/>
        </w:rPr>
        <w:t>להצעת</w:t>
      </w:r>
      <w:r w:rsidRPr="005C437E">
        <w:rPr>
          <w:rtl/>
        </w:rPr>
        <w:t xml:space="preserve"> </w:t>
      </w:r>
      <w:r w:rsidRPr="005C437E">
        <w:rPr>
          <w:rFonts w:hint="eastAsia"/>
          <w:rtl/>
        </w:rPr>
        <w:t>חוק</w:t>
      </w:r>
      <w:r w:rsidRPr="005C437E">
        <w:rPr>
          <w:rtl/>
        </w:rPr>
        <w:t xml:space="preserve"> </w:t>
      </w:r>
      <w:r w:rsidRPr="005C437E">
        <w:rPr>
          <w:rFonts w:hint="eastAsia"/>
          <w:rtl/>
        </w:rPr>
        <w:t>יסוד</w:t>
      </w:r>
      <w:r w:rsidRPr="005C437E">
        <w:rPr>
          <w:rtl/>
        </w:rPr>
        <w:t xml:space="preserve">: </w:t>
      </w:r>
      <w:r w:rsidRPr="005C437E">
        <w:rPr>
          <w:rFonts w:hint="eastAsia"/>
          <w:rtl/>
        </w:rPr>
        <w:t>השפיטה</w:t>
      </w:r>
      <w:r w:rsidRPr="005C437E">
        <w:rPr>
          <w:rtl/>
        </w:rPr>
        <w:t xml:space="preserve"> (</w:t>
      </w:r>
      <w:r w:rsidRPr="005C437E">
        <w:rPr>
          <w:rFonts w:hint="eastAsia"/>
          <w:rtl/>
        </w:rPr>
        <w:t>תיקון</w:t>
      </w:r>
      <w:r w:rsidRPr="005C437E">
        <w:rPr>
          <w:rtl/>
        </w:rPr>
        <w:t xml:space="preserve"> </w:t>
      </w:r>
      <w:r w:rsidRPr="005C437E">
        <w:rPr>
          <w:rFonts w:hint="eastAsia"/>
          <w:rtl/>
        </w:rPr>
        <w:t>מס</w:t>
      </w:r>
      <w:r w:rsidRPr="005C437E">
        <w:rPr>
          <w:rtl/>
        </w:rPr>
        <w:t>' 5) (</w:t>
      </w:r>
      <w:r w:rsidRPr="005C437E">
        <w:rPr>
          <w:rFonts w:hint="eastAsia"/>
          <w:rtl/>
        </w:rPr>
        <w:t>עילת</w:t>
      </w:r>
      <w:r w:rsidRPr="005C437E">
        <w:rPr>
          <w:rtl/>
        </w:rPr>
        <w:t xml:space="preserve"> </w:t>
      </w:r>
      <w:r w:rsidRPr="005C437E">
        <w:rPr>
          <w:rFonts w:hint="eastAsia"/>
          <w:rtl/>
        </w:rPr>
        <w:t>הסבירות</w:t>
      </w:r>
      <w:r w:rsidRPr="005C437E">
        <w:rPr>
          <w:rtl/>
        </w:rPr>
        <w:t xml:space="preserve">), </w:t>
      </w:r>
      <w:r w:rsidRPr="005C437E">
        <w:rPr>
          <w:rFonts w:hint="eastAsia"/>
          <w:rtl/>
        </w:rPr>
        <w:t>ה</w:t>
      </w:r>
      <w:r w:rsidRPr="005C437E">
        <w:rPr>
          <w:rtl/>
        </w:rPr>
        <w:t>"</w:t>
      </w:r>
      <w:r w:rsidRPr="005C437E">
        <w:rPr>
          <w:rFonts w:hint="eastAsia"/>
          <w:rtl/>
        </w:rPr>
        <w:t>ח</w:t>
      </w:r>
      <w:r w:rsidRPr="005C437E">
        <w:rPr>
          <w:rtl/>
        </w:rPr>
        <w:t xml:space="preserve"> </w:t>
      </w:r>
      <w:r w:rsidRPr="005C437E">
        <w:rPr>
          <w:rFonts w:hint="eastAsia"/>
          <w:rtl/>
        </w:rPr>
        <w:t>הכנסת</w:t>
      </w:r>
      <w:r w:rsidRPr="005C437E">
        <w:rPr>
          <w:rtl/>
        </w:rPr>
        <w:t xml:space="preserve"> 110, 110).</w:t>
      </w:r>
    </w:p>
    <w:p w:rsidR="00A01E7C" w:rsidRPr="0024615A" w:rsidRDefault="00A01E7C" w:rsidP="00A01E7C">
      <w:pPr>
        <w:pStyle w:val="Ruller5"/>
        <w:spacing w:line="360" w:lineRule="auto"/>
      </w:pPr>
    </w:p>
    <w:p w:rsidR="00A01E7C" w:rsidRDefault="00A01E7C" w:rsidP="00A01E7C">
      <w:pPr>
        <w:spacing w:line="360" w:lineRule="auto"/>
        <w:jc w:val="both"/>
        <w:rPr>
          <w:rFonts w:ascii="Century" w:hAnsi="Century" w:cs="FrankRuehl"/>
          <w:spacing w:val="10"/>
          <w:szCs w:val="28"/>
          <w:rtl/>
        </w:rPr>
      </w:pPr>
      <w:r>
        <w:rPr>
          <w:rFonts w:ascii="Century" w:hAnsi="Century" w:cs="FrankRuehl"/>
          <w:spacing w:val="10"/>
          <w:szCs w:val="28"/>
          <w:rtl/>
        </w:rPr>
        <w:tab/>
      </w:r>
      <w:r>
        <w:rPr>
          <w:rFonts w:ascii="Century" w:hAnsi="Century" w:cs="FrankRuehl" w:hint="cs"/>
          <w:spacing w:val="10"/>
          <w:szCs w:val="28"/>
          <w:rtl/>
        </w:rPr>
        <w:t xml:space="preserve">מכך עשוי להשתמע לכאורה כי התיקון מכוון לביטול עילת הסבירות רק במובנה לאחר פסק הדין בעניין </w:t>
      </w:r>
      <w:r w:rsidRPr="001959F6">
        <w:rPr>
          <w:rFonts w:ascii="Century" w:hAnsi="Century" w:cs="Miriam" w:hint="eastAsia"/>
          <w:b/>
          <w:rtl/>
        </w:rPr>
        <w:t>דפי</w:t>
      </w:r>
      <w:r w:rsidRPr="001959F6">
        <w:rPr>
          <w:rFonts w:ascii="Century" w:hAnsi="Century" w:cs="Miriam"/>
          <w:b/>
          <w:rtl/>
        </w:rPr>
        <w:t xml:space="preserve"> </w:t>
      </w:r>
      <w:r w:rsidRPr="001959F6">
        <w:rPr>
          <w:rFonts w:ascii="Century" w:hAnsi="Century" w:cs="Miriam" w:hint="eastAsia"/>
          <w:b/>
          <w:rtl/>
        </w:rPr>
        <w:t>זהב</w:t>
      </w:r>
      <w:r>
        <w:rPr>
          <w:rFonts w:ascii="Century" w:hAnsi="Century" w:cs="FrankRuehl" w:hint="cs"/>
          <w:spacing w:val="10"/>
          <w:szCs w:val="28"/>
          <w:rtl/>
        </w:rPr>
        <w:t xml:space="preserve">. עם זאת, אינני סבורה כי די בכך כדי לקבוע כי זו אכן כוונתו הסובייקטיבית של התיקון. ודוקו </w:t>
      </w:r>
      <w:r>
        <w:rPr>
          <w:rFonts w:ascii="Century" w:hAnsi="Century" w:cs="FrankRuehl"/>
          <w:spacing w:val="10"/>
          <w:szCs w:val="28"/>
          <w:rtl/>
        </w:rPr>
        <w:t>–</w:t>
      </w:r>
      <w:r>
        <w:rPr>
          <w:rFonts w:ascii="Century" w:hAnsi="Century" w:cs="FrankRuehl" w:hint="cs"/>
          <w:spacing w:val="10"/>
          <w:szCs w:val="28"/>
          <w:rtl/>
        </w:rPr>
        <w:t xml:space="preserve"> על אף שדברי ההסבר עשויים להתפרש באופן העולה בקנה אחד עם הפרשנות המצמצמת, ניתן להבינם גם באופן אחר. כך, אני סבורה כי ניתן לקרוא את ההתייחסות בדברי ההסבר לפסק הדין בעניין </w:t>
      </w:r>
      <w:r w:rsidRPr="001959F6">
        <w:rPr>
          <w:rFonts w:ascii="Century" w:hAnsi="Century" w:cs="Miriam" w:hint="eastAsia"/>
          <w:b/>
          <w:rtl/>
        </w:rPr>
        <w:t>דפי</w:t>
      </w:r>
      <w:r w:rsidRPr="001959F6">
        <w:rPr>
          <w:rFonts w:ascii="Century" w:hAnsi="Century" w:cs="Miriam"/>
          <w:b/>
          <w:rtl/>
        </w:rPr>
        <w:t xml:space="preserve"> </w:t>
      </w:r>
      <w:r w:rsidRPr="001959F6">
        <w:rPr>
          <w:rFonts w:ascii="Century" w:hAnsi="Century" w:cs="Miriam" w:hint="eastAsia"/>
          <w:b/>
          <w:rtl/>
        </w:rPr>
        <w:t>זהב</w:t>
      </w:r>
      <w:r>
        <w:rPr>
          <w:rFonts w:ascii="Century" w:hAnsi="Century" w:cs="FrankRuehl" w:hint="cs"/>
          <w:spacing w:val="10"/>
          <w:szCs w:val="28"/>
          <w:rtl/>
        </w:rPr>
        <w:t xml:space="preserve"> ולהתרחבות שחלה לכאורה בהפעלת עילת הסבירות מאז ועד היום, כהתייחסות שנועדה לספק רקע ולהוות בסיס למסקנה לפיה יש לבטל באופן מוחלט את עילת הסבירות ביחס להחלטות של הממשלה, ראש הממשלה ושריה. למעשה, קריאה זו מתיישבת הרבה יותר הן עם הלשון הגורפת והכוללנית בה נוקט התיקון; והן עם העמדות הברורות שנשמעו על ידי גורמים שונים, משני צדי המתרס, במהלך תהליך חקיקת התיקון, לפיהם התיקון נועד לבטל לחלוטין את עילת הסבירות בכל מובניה, "טרום </w:t>
      </w:r>
      <w:r w:rsidRPr="001959F6">
        <w:rPr>
          <w:rFonts w:ascii="Century" w:hAnsi="Century" w:cs="Miriam" w:hint="eastAsia"/>
          <w:b/>
          <w:rtl/>
        </w:rPr>
        <w:t>דפי</w:t>
      </w:r>
      <w:r w:rsidRPr="001959F6">
        <w:rPr>
          <w:rFonts w:ascii="Century" w:hAnsi="Century" w:cs="Miriam"/>
          <w:b/>
          <w:rtl/>
        </w:rPr>
        <w:t xml:space="preserve"> </w:t>
      </w:r>
      <w:r w:rsidRPr="001959F6">
        <w:rPr>
          <w:rFonts w:ascii="Century" w:hAnsi="Century" w:cs="Miriam" w:hint="eastAsia"/>
          <w:b/>
          <w:rtl/>
        </w:rPr>
        <w:t>זהב</w:t>
      </w:r>
      <w:r>
        <w:rPr>
          <w:rFonts w:ascii="Century" w:hAnsi="Century" w:cs="FrankRuehl" w:hint="cs"/>
          <w:spacing w:val="10"/>
          <w:szCs w:val="28"/>
          <w:rtl/>
        </w:rPr>
        <w:t xml:space="preserve">" ו"פוסט </w:t>
      </w:r>
      <w:r w:rsidRPr="001959F6">
        <w:rPr>
          <w:rFonts w:ascii="Century" w:hAnsi="Century" w:cs="Miriam" w:hint="eastAsia"/>
          <w:b/>
          <w:rtl/>
        </w:rPr>
        <w:t>דפי</w:t>
      </w:r>
      <w:r w:rsidRPr="001959F6">
        <w:rPr>
          <w:rFonts w:ascii="Century" w:hAnsi="Century" w:cs="Miriam"/>
          <w:b/>
          <w:rtl/>
        </w:rPr>
        <w:t xml:space="preserve"> </w:t>
      </w:r>
      <w:r w:rsidRPr="001959F6">
        <w:rPr>
          <w:rFonts w:ascii="Century" w:hAnsi="Century" w:cs="Miriam" w:hint="eastAsia"/>
          <w:b/>
          <w:rtl/>
        </w:rPr>
        <w:t>זהב</w:t>
      </w:r>
      <w:r>
        <w:rPr>
          <w:rFonts w:ascii="Century" w:hAnsi="Century" w:cs="FrankRuehl" w:hint="cs"/>
          <w:spacing w:val="10"/>
          <w:szCs w:val="28"/>
          <w:rtl/>
        </w:rPr>
        <w:t xml:space="preserve">" (והתייחסה לכך הנשיאה (בדימ') </w:t>
      </w:r>
      <w:r w:rsidRPr="001959F6">
        <w:rPr>
          <w:rFonts w:ascii="Century" w:hAnsi="Century" w:cs="Miriam" w:hint="eastAsia"/>
          <w:b/>
          <w:rtl/>
        </w:rPr>
        <w:t>חיות</w:t>
      </w:r>
      <w:r w:rsidRPr="00595AB5">
        <w:rPr>
          <w:rFonts w:ascii="Century" w:hAnsi="Century" w:cs="FrankRuehl" w:hint="cs"/>
          <w:spacing w:val="10"/>
          <w:szCs w:val="28"/>
          <w:rtl/>
        </w:rPr>
        <w:t xml:space="preserve"> </w:t>
      </w:r>
      <w:r>
        <w:rPr>
          <w:rFonts w:ascii="Century" w:hAnsi="Century" w:cs="FrankRuehl" w:hint="cs"/>
          <w:spacing w:val="10"/>
          <w:szCs w:val="28"/>
          <w:rtl/>
        </w:rPr>
        <w:t xml:space="preserve">בפסקאות 132-130 לחוות דעתה). קריאה זו אף עולה בקנה אחד עם עמדתי כי מבחינה מעשית לא ניתן להבחין באופן חד וברור בין עילת הסבירות בנוסחה "טרום </w:t>
      </w:r>
      <w:r w:rsidRPr="001959F6">
        <w:rPr>
          <w:rFonts w:ascii="Century" w:hAnsi="Century" w:cs="Miriam" w:hint="eastAsia"/>
          <w:b/>
          <w:rtl/>
        </w:rPr>
        <w:t>דפי</w:t>
      </w:r>
      <w:r w:rsidRPr="001959F6">
        <w:rPr>
          <w:rFonts w:ascii="Century" w:hAnsi="Century" w:cs="Miriam"/>
          <w:b/>
          <w:rtl/>
        </w:rPr>
        <w:t xml:space="preserve"> </w:t>
      </w:r>
      <w:r w:rsidRPr="001959F6">
        <w:rPr>
          <w:rFonts w:ascii="Century" w:hAnsi="Century" w:cs="Miriam" w:hint="eastAsia"/>
          <w:b/>
          <w:rtl/>
        </w:rPr>
        <w:t>זהב</w:t>
      </w:r>
      <w:r>
        <w:rPr>
          <w:rFonts w:ascii="Century" w:hAnsi="Century" w:cs="FrankRuehl" w:hint="cs"/>
          <w:spacing w:val="10"/>
          <w:szCs w:val="28"/>
          <w:rtl/>
        </w:rPr>
        <w:t xml:space="preserve">" לבין עילת הסבירות בנוסחה "פוסט </w:t>
      </w:r>
      <w:r w:rsidRPr="001959F6">
        <w:rPr>
          <w:rFonts w:ascii="Century" w:hAnsi="Century" w:cs="Miriam" w:hint="eastAsia"/>
          <w:b/>
          <w:rtl/>
        </w:rPr>
        <w:t>דפי</w:t>
      </w:r>
      <w:r w:rsidRPr="001959F6">
        <w:rPr>
          <w:rFonts w:ascii="Century" w:hAnsi="Century" w:cs="Miriam"/>
          <w:b/>
          <w:rtl/>
        </w:rPr>
        <w:t xml:space="preserve"> </w:t>
      </w:r>
      <w:r w:rsidRPr="001959F6">
        <w:rPr>
          <w:rFonts w:ascii="Century" w:hAnsi="Century" w:cs="Miriam" w:hint="eastAsia"/>
          <w:b/>
          <w:rtl/>
        </w:rPr>
        <w:t>זהב</w:t>
      </w:r>
      <w:r>
        <w:rPr>
          <w:rFonts w:ascii="Century" w:hAnsi="Century" w:cs="FrankRuehl" w:hint="cs"/>
          <w:spacing w:val="10"/>
          <w:szCs w:val="28"/>
          <w:rtl/>
        </w:rPr>
        <w:t xml:space="preserve">" </w:t>
      </w:r>
      <w:r>
        <w:rPr>
          <w:rFonts w:ascii="Century" w:hAnsi="Century" w:cs="FrankRuehl"/>
          <w:spacing w:val="10"/>
          <w:szCs w:val="28"/>
          <w:rtl/>
        </w:rPr>
        <w:t>–</w:t>
      </w:r>
      <w:r>
        <w:rPr>
          <w:rFonts w:ascii="Century" w:hAnsi="Century" w:cs="FrankRuehl" w:hint="cs"/>
          <w:spacing w:val="10"/>
          <w:szCs w:val="28"/>
          <w:rtl/>
        </w:rPr>
        <w:t xml:space="preserve"> כפי שאפרט להלן.</w:t>
      </w:r>
    </w:p>
    <w:p w:rsidR="00A01E7C" w:rsidRPr="00595AB5" w:rsidRDefault="00A01E7C" w:rsidP="00A01E7C">
      <w:pPr>
        <w:spacing w:line="360" w:lineRule="auto"/>
        <w:jc w:val="both"/>
        <w:rPr>
          <w:rFonts w:ascii="Century" w:hAnsi="Century" w:cs="FrankRuehl"/>
          <w:spacing w:val="10"/>
          <w:szCs w:val="28"/>
          <w:rtl/>
        </w:rPr>
      </w:pPr>
    </w:p>
    <w:p w:rsidR="00A01E7C" w:rsidRPr="007D0134" w:rsidRDefault="00A01E7C" w:rsidP="002A1A3A">
      <w:pPr>
        <w:pStyle w:val="Ruller4"/>
        <w:numPr>
          <w:ilvl w:val="0"/>
          <w:numId w:val="14"/>
        </w:numPr>
        <w:rPr>
          <w:rFonts w:ascii="Century" w:hAnsi="Century"/>
          <w:rtl/>
        </w:rPr>
      </w:pPr>
      <w:r w:rsidRPr="007D0134">
        <w:rPr>
          <w:rFonts w:ascii="Century" w:hAnsi="Century" w:cs="Miriam" w:hint="cs"/>
          <w:b/>
          <w:szCs w:val="24"/>
          <w:rtl/>
        </w:rPr>
        <w:t xml:space="preserve">שלישית </w:t>
      </w:r>
      <w:r w:rsidRPr="007D0134">
        <w:rPr>
          <w:rFonts w:ascii="Century" w:hAnsi="Century"/>
          <w:rtl/>
        </w:rPr>
        <w:t>–</w:t>
      </w:r>
      <w:r w:rsidRPr="007D0134">
        <w:rPr>
          <w:rFonts w:ascii="Century" w:hAnsi="Century" w:hint="cs"/>
          <w:rtl/>
        </w:rPr>
        <w:t xml:space="preserve"> אני סבורה כי </w:t>
      </w:r>
      <w:r w:rsidRPr="007D0134">
        <w:rPr>
          <w:rFonts w:ascii="Century" w:hAnsi="Century" w:hint="eastAsia"/>
          <w:rtl/>
        </w:rPr>
        <w:t>הפרשנות</w:t>
      </w:r>
      <w:r w:rsidRPr="007D0134">
        <w:rPr>
          <w:rFonts w:ascii="Century" w:hAnsi="Century"/>
          <w:rtl/>
        </w:rPr>
        <w:t xml:space="preserve"> </w:t>
      </w:r>
      <w:r w:rsidRPr="007D0134">
        <w:rPr>
          <w:rFonts w:ascii="Century" w:hAnsi="Century" w:hint="cs"/>
          <w:rtl/>
        </w:rPr>
        <w:t xml:space="preserve">המצמצמת אינה משקפת באופן אמיתי את המצב המשפטי לפני ואחרי פסק הדין בעניין </w:t>
      </w:r>
      <w:r w:rsidRPr="007D0134">
        <w:rPr>
          <w:rFonts w:ascii="Century" w:hAnsi="Century" w:cs="Miriam" w:hint="eastAsia"/>
          <w:b/>
          <w:szCs w:val="24"/>
          <w:rtl/>
        </w:rPr>
        <w:t>דפי</w:t>
      </w:r>
      <w:r w:rsidRPr="007D0134">
        <w:rPr>
          <w:rFonts w:ascii="Century" w:hAnsi="Century" w:cs="Miriam"/>
          <w:b/>
          <w:szCs w:val="24"/>
          <w:rtl/>
        </w:rPr>
        <w:t xml:space="preserve"> </w:t>
      </w:r>
      <w:r w:rsidRPr="007D0134">
        <w:rPr>
          <w:rFonts w:ascii="Century" w:hAnsi="Century" w:cs="Miriam" w:hint="eastAsia"/>
          <w:b/>
          <w:szCs w:val="24"/>
          <w:rtl/>
        </w:rPr>
        <w:t>זהב</w:t>
      </w:r>
      <w:r w:rsidRPr="007D0134">
        <w:rPr>
          <w:rFonts w:ascii="Century" w:hAnsi="Century"/>
          <w:rtl/>
        </w:rPr>
        <w:t xml:space="preserve">. </w:t>
      </w:r>
      <w:r w:rsidRPr="007D0134">
        <w:rPr>
          <w:rFonts w:ascii="Century" w:hAnsi="Century" w:hint="cs"/>
          <w:rtl/>
        </w:rPr>
        <w:t>כפי שציינתי לעיל, הפרשנות המצמצמת</w:t>
      </w:r>
      <w:r w:rsidRPr="007D0134">
        <w:rPr>
          <w:rFonts w:ascii="Century" w:hAnsi="Century"/>
          <w:rtl/>
        </w:rPr>
        <w:t xml:space="preserve"> רואה את </w:t>
      </w:r>
      <w:r w:rsidRPr="007D0134">
        <w:rPr>
          <w:rFonts w:ascii="Century" w:hAnsi="Century" w:hint="cs"/>
          <w:rtl/>
        </w:rPr>
        <w:t>פסק הדין</w:t>
      </w:r>
      <w:r w:rsidRPr="007D0134">
        <w:rPr>
          <w:rFonts w:ascii="Century" w:hAnsi="Century"/>
          <w:rtl/>
        </w:rPr>
        <w:t xml:space="preserve"> </w:t>
      </w:r>
      <w:r w:rsidRPr="007D0134">
        <w:rPr>
          <w:rFonts w:ascii="Century" w:hAnsi="Century" w:hint="eastAsia"/>
          <w:rtl/>
        </w:rPr>
        <w:t>בעניין</w:t>
      </w:r>
      <w:r w:rsidRPr="007D0134">
        <w:rPr>
          <w:rFonts w:ascii="Century" w:hAnsi="Century"/>
          <w:rtl/>
        </w:rPr>
        <w:t xml:space="preserve"> </w:t>
      </w:r>
      <w:r w:rsidRPr="007D0134">
        <w:rPr>
          <w:rFonts w:ascii="Century" w:hAnsi="Century" w:cs="Miriam" w:hint="eastAsia"/>
          <w:b/>
          <w:szCs w:val="24"/>
          <w:rtl/>
        </w:rPr>
        <w:t>דפי</w:t>
      </w:r>
      <w:r w:rsidRPr="007D0134">
        <w:rPr>
          <w:rFonts w:ascii="Century" w:hAnsi="Century" w:cs="Miriam"/>
          <w:b/>
          <w:szCs w:val="24"/>
          <w:rtl/>
        </w:rPr>
        <w:t xml:space="preserve"> </w:t>
      </w:r>
      <w:r w:rsidRPr="007D0134">
        <w:rPr>
          <w:rFonts w:ascii="Century" w:hAnsi="Century" w:cs="Miriam" w:hint="eastAsia"/>
          <w:b/>
          <w:szCs w:val="24"/>
          <w:rtl/>
        </w:rPr>
        <w:t>זהב</w:t>
      </w:r>
      <w:r w:rsidRPr="007D0134">
        <w:rPr>
          <w:rFonts w:ascii="Century" w:hAnsi="Century"/>
          <w:rtl/>
        </w:rPr>
        <w:t xml:space="preserve"> </w:t>
      </w:r>
      <w:r w:rsidRPr="007D0134">
        <w:rPr>
          <w:rFonts w:ascii="Century" w:hAnsi="Century" w:hint="eastAsia"/>
          <w:rtl/>
        </w:rPr>
        <w:t>כ</w:t>
      </w:r>
      <w:r w:rsidRPr="007D0134">
        <w:rPr>
          <w:rFonts w:ascii="Century" w:hAnsi="Century" w:hint="cs"/>
          <w:rtl/>
        </w:rPr>
        <w:t>"</w:t>
      </w:r>
      <w:r w:rsidRPr="007D0134">
        <w:rPr>
          <w:rFonts w:ascii="Century" w:hAnsi="Century" w:hint="eastAsia"/>
          <w:rtl/>
        </w:rPr>
        <w:t>קו</w:t>
      </w:r>
      <w:r w:rsidRPr="007D0134">
        <w:rPr>
          <w:rFonts w:ascii="Century" w:hAnsi="Century"/>
          <w:rtl/>
        </w:rPr>
        <w:t xml:space="preserve"> פרשת </w:t>
      </w:r>
      <w:r w:rsidRPr="007D0134">
        <w:rPr>
          <w:rFonts w:ascii="Century" w:hAnsi="Century" w:hint="cs"/>
          <w:rtl/>
        </w:rPr>
        <w:t>ה</w:t>
      </w:r>
      <w:r w:rsidRPr="007D0134">
        <w:rPr>
          <w:rFonts w:ascii="Century" w:hAnsi="Century" w:hint="eastAsia"/>
          <w:rtl/>
        </w:rPr>
        <w:t>מים</w:t>
      </w:r>
      <w:r w:rsidRPr="007D0134">
        <w:rPr>
          <w:rFonts w:ascii="Century" w:hAnsi="Century" w:hint="cs"/>
          <w:rtl/>
        </w:rPr>
        <w:t>"</w:t>
      </w:r>
      <w:r w:rsidRPr="007D0134">
        <w:rPr>
          <w:rFonts w:ascii="Century" w:hAnsi="Century"/>
          <w:rtl/>
        </w:rPr>
        <w:t xml:space="preserve"> ששינה באופן ברור ומובהק את המצב המשפטי </w:t>
      </w:r>
      <w:r w:rsidRPr="007D0134">
        <w:rPr>
          <w:rFonts w:ascii="Century" w:hAnsi="Century" w:hint="cs"/>
          <w:rtl/>
        </w:rPr>
        <w:t>ביחס ל</w:t>
      </w:r>
      <w:r w:rsidRPr="007D0134">
        <w:rPr>
          <w:rFonts w:ascii="Century" w:hAnsi="Century"/>
          <w:rtl/>
        </w:rPr>
        <w:t xml:space="preserve">זה שהיה קיים </w:t>
      </w:r>
      <w:r w:rsidRPr="007D0134">
        <w:rPr>
          <w:rFonts w:ascii="Century" w:hAnsi="Century" w:hint="eastAsia"/>
          <w:rtl/>
        </w:rPr>
        <w:t>לפני</w:t>
      </w:r>
      <w:r w:rsidRPr="007D0134">
        <w:rPr>
          <w:rFonts w:ascii="Century" w:hAnsi="Century" w:hint="cs"/>
          <w:rtl/>
        </w:rPr>
        <w:t>ו</w:t>
      </w:r>
      <w:r w:rsidRPr="007D0134">
        <w:rPr>
          <w:rFonts w:ascii="Century" w:hAnsi="Century"/>
          <w:rtl/>
        </w:rPr>
        <w:t xml:space="preserve"> – כך שקיימת הלכה ברורה</w:t>
      </w:r>
      <w:r w:rsidRPr="007D0134">
        <w:rPr>
          <w:rFonts w:ascii="Century" w:hAnsi="Century" w:hint="cs"/>
          <w:rtl/>
        </w:rPr>
        <w:t xml:space="preserve"> ואחידה</w:t>
      </w:r>
      <w:r w:rsidRPr="007D0134">
        <w:rPr>
          <w:rFonts w:ascii="Century" w:hAnsi="Century"/>
          <w:rtl/>
        </w:rPr>
        <w:t xml:space="preserve"> של "</w:t>
      </w:r>
      <w:r w:rsidRPr="007D0134">
        <w:rPr>
          <w:rFonts w:ascii="Century" w:hAnsi="Century" w:hint="eastAsia"/>
          <w:rtl/>
        </w:rPr>
        <w:t>טרום</w:t>
      </w:r>
      <w:r w:rsidRPr="007D0134">
        <w:rPr>
          <w:rFonts w:ascii="Century" w:hAnsi="Century" w:cs="Miriam"/>
          <w:b/>
          <w:szCs w:val="24"/>
          <w:rtl/>
        </w:rPr>
        <w:t xml:space="preserve"> </w:t>
      </w:r>
      <w:r w:rsidRPr="007D0134">
        <w:rPr>
          <w:rFonts w:ascii="Century" w:hAnsi="Century" w:cs="Miriam" w:hint="eastAsia"/>
          <w:b/>
          <w:szCs w:val="24"/>
          <w:rtl/>
        </w:rPr>
        <w:t>דפי</w:t>
      </w:r>
      <w:r w:rsidRPr="007D0134">
        <w:rPr>
          <w:rFonts w:ascii="Century" w:hAnsi="Century" w:cs="Miriam"/>
          <w:b/>
          <w:szCs w:val="24"/>
          <w:rtl/>
        </w:rPr>
        <w:t xml:space="preserve"> </w:t>
      </w:r>
      <w:r w:rsidRPr="007D0134">
        <w:rPr>
          <w:rFonts w:ascii="Century" w:hAnsi="Century" w:cs="Miriam" w:hint="eastAsia"/>
          <w:b/>
          <w:szCs w:val="24"/>
          <w:rtl/>
        </w:rPr>
        <w:t>זהב</w:t>
      </w:r>
      <w:r w:rsidRPr="007D0134">
        <w:rPr>
          <w:rFonts w:ascii="Century" w:hAnsi="Century"/>
          <w:rtl/>
        </w:rPr>
        <w:t xml:space="preserve">" </w:t>
      </w:r>
      <w:r w:rsidRPr="007D0134">
        <w:rPr>
          <w:rFonts w:ascii="Century" w:hAnsi="Century" w:hint="eastAsia"/>
          <w:rtl/>
        </w:rPr>
        <w:t>והלכה</w:t>
      </w:r>
      <w:r w:rsidRPr="007D0134">
        <w:rPr>
          <w:rFonts w:ascii="Century" w:hAnsi="Century"/>
          <w:rtl/>
        </w:rPr>
        <w:t xml:space="preserve"> </w:t>
      </w:r>
      <w:r w:rsidRPr="007D0134">
        <w:rPr>
          <w:rFonts w:ascii="Century" w:hAnsi="Century" w:hint="eastAsia"/>
          <w:rtl/>
        </w:rPr>
        <w:t>ברורה</w:t>
      </w:r>
      <w:r w:rsidRPr="007D0134">
        <w:rPr>
          <w:rFonts w:ascii="Century" w:hAnsi="Century"/>
          <w:rtl/>
        </w:rPr>
        <w:t xml:space="preserve"> </w:t>
      </w:r>
      <w:r w:rsidRPr="007D0134">
        <w:rPr>
          <w:rFonts w:ascii="Century" w:hAnsi="Century" w:hint="eastAsia"/>
          <w:rtl/>
        </w:rPr>
        <w:t>ואחידה</w:t>
      </w:r>
      <w:r w:rsidRPr="007D0134">
        <w:rPr>
          <w:rFonts w:ascii="Century" w:hAnsi="Century"/>
          <w:rtl/>
        </w:rPr>
        <w:t xml:space="preserve"> </w:t>
      </w:r>
      <w:r w:rsidRPr="007D0134">
        <w:rPr>
          <w:rFonts w:ascii="Century" w:hAnsi="Century" w:hint="eastAsia"/>
          <w:rtl/>
        </w:rPr>
        <w:t>של</w:t>
      </w:r>
      <w:r w:rsidRPr="007D0134">
        <w:rPr>
          <w:rFonts w:ascii="Century" w:hAnsi="Century"/>
          <w:rtl/>
        </w:rPr>
        <w:t xml:space="preserve"> "</w:t>
      </w:r>
      <w:r w:rsidRPr="007D0134">
        <w:rPr>
          <w:rFonts w:ascii="Century" w:hAnsi="Century" w:hint="eastAsia"/>
          <w:rtl/>
        </w:rPr>
        <w:t>פוסט</w:t>
      </w:r>
      <w:r w:rsidRPr="007D0134">
        <w:rPr>
          <w:rFonts w:ascii="Century" w:hAnsi="Century" w:cs="Miriam"/>
          <w:b/>
          <w:szCs w:val="24"/>
          <w:rtl/>
        </w:rPr>
        <w:t xml:space="preserve"> </w:t>
      </w:r>
      <w:r w:rsidRPr="007D0134">
        <w:rPr>
          <w:rFonts w:ascii="Century" w:hAnsi="Century" w:cs="Miriam" w:hint="eastAsia"/>
          <w:b/>
          <w:szCs w:val="24"/>
          <w:rtl/>
        </w:rPr>
        <w:t>דפי</w:t>
      </w:r>
      <w:r w:rsidRPr="007D0134">
        <w:rPr>
          <w:rFonts w:ascii="Century" w:hAnsi="Century" w:cs="Miriam"/>
          <w:b/>
          <w:szCs w:val="24"/>
          <w:rtl/>
        </w:rPr>
        <w:t xml:space="preserve"> </w:t>
      </w:r>
      <w:r w:rsidRPr="007D0134">
        <w:rPr>
          <w:rFonts w:ascii="Century" w:hAnsi="Century" w:cs="Miriam" w:hint="eastAsia"/>
          <w:b/>
          <w:szCs w:val="24"/>
          <w:rtl/>
        </w:rPr>
        <w:t>זהב</w:t>
      </w:r>
      <w:r w:rsidRPr="007D0134">
        <w:rPr>
          <w:rFonts w:ascii="Century" w:hAnsi="Century"/>
          <w:rtl/>
        </w:rPr>
        <w:t xml:space="preserve">"; </w:t>
      </w:r>
      <w:r w:rsidRPr="007D0134">
        <w:rPr>
          <w:rFonts w:ascii="Century" w:hAnsi="Century" w:hint="eastAsia"/>
          <w:rtl/>
        </w:rPr>
        <w:t>וכל</w:t>
      </w:r>
      <w:r w:rsidRPr="007D0134">
        <w:rPr>
          <w:rFonts w:ascii="Century" w:hAnsi="Century"/>
          <w:rtl/>
        </w:rPr>
        <w:t xml:space="preserve"> </w:t>
      </w:r>
      <w:r w:rsidRPr="007D0134">
        <w:rPr>
          <w:rFonts w:ascii="Century" w:hAnsi="Century" w:hint="eastAsia"/>
          <w:rtl/>
        </w:rPr>
        <w:t>שהתיקון</w:t>
      </w:r>
      <w:r w:rsidRPr="007D0134">
        <w:rPr>
          <w:rFonts w:ascii="Century" w:hAnsi="Century"/>
          <w:rtl/>
        </w:rPr>
        <w:t xml:space="preserve"> </w:t>
      </w:r>
      <w:r w:rsidRPr="007D0134">
        <w:rPr>
          <w:rFonts w:ascii="Century" w:hAnsi="Century" w:hint="eastAsia"/>
          <w:rtl/>
        </w:rPr>
        <w:t>נועד</w:t>
      </w:r>
      <w:r w:rsidRPr="007D0134">
        <w:rPr>
          <w:rFonts w:ascii="Century" w:hAnsi="Century"/>
          <w:rtl/>
        </w:rPr>
        <w:t xml:space="preserve"> </w:t>
      </w:r>
      <w:r w:rsidRPr="007D0134">
        <w:rPr>
          <w:rFonts w:ascii="Century" w:hAnsi="Century" w:hint="eastAsia"/>
          <w:rtl/>
        </w:rPr>
        <w:t>לעשות</w:t>
      </w:r>
      <w:r w:rsidRPr="007D0134">
        <w:rPr>
          <w:rFonts w:ascii="Century" w:hAnsi="Century"/>
          <w:rtl/>
        </w:rPr>
        <w:t xml:space="preserve"> </w:t>
      </w:r>
      <w:r w:rsidRPr="007D0134">
        <w:rPr>
          <w:rFonts w:ascii="Century" w:hAnsi="Century" w:hint="eastAsia"/>
          <w:rtl/>
        </w:rPr>
        <w:t>הוא</w:t>
      </w:r>
      <w:r w:rsidRPr="007D0134">
        <w:rPr>
          <w:rFonts w:ascii="Century" w:hAnsi="Century"/>
          <w:rtl/>
        </w:rPr>
        <w:t xml:space="preserve"> </w:t>
      </w:r>
      <w:r w:rsidRPr="007D0134">
        <w:rPr>
          <w:rFonts w:ascii="Century" w:hAnsi="Century" w:hint="eastAsia"/>
          <w:rtl/>
        </w:rPr>
        <w:t>למנוע</w:t>
      </w:r>
      <w:r w:rsidRPr="007D0134">
        <w:rPr>
          <w:rFonts w:ascii="Century" w:hAnsi="Century"/>
          <w:rtl/>
        </w:rPr>
        <w:t xml:space="preserve"> </w:t>
      </w:r>
      <w:r w:rsidRPr="007D0134">
        <w:rPr>
          <w:rFonts w:ascii="Century" w:hAnsi="Century" w:hint="eastAsia"/>
          <w:rtl/>
        </w:rPr>
        <w:t>את</w:t>
      </w:r>
      <w:r w:rsidRPr="007D0134">
        <w:rPr>
          <w:rFonts w:ascii="Century" w:hAnsi="Century"/>
          <w:rtl/>
        </w:rPr>
        <w:t xml:space="preserve"> </w:t>
      </w:r>
      <w:r w:rsidRPr="007D0134">
        <w:rPr>
          <w:rFonts w:ascii="Century" w:hAnsi="Century" w:hint="eastAsia"/>
          <w:rtl/>
        </w:rPr>
        <w:t>המשך</w:t>
      </w:r>
      <w:r w:rsidRPr="007D0134">
        <w:rPr>
          <w:rFonts w:ascii="Century" w:hAnsi="Century"/>
          <w:rtl/>
        </w:rPr>
        <w:t xml:space="preserve"> </w:t>
      </w:r>
      <w:r w:rsidRPr="007D0134">
        <w:rPr>
          <w:rFonts w:ascii="Century" w:hAnsi="Century" w:hint="eastAsia"/>
          <w:rtl/>
        </w:rPr>
        <w:t>תחולת</w:t>
      </w:r>
      <w:r w:rsidRPr="007D0134">
        <w:rPr>
          <w:rFonts w:ascii="Century" w:hAnsi="Century"/>
          <w:rtl/>
        </w:rPr>
        <w:t xml:space="preserve"> </w:t>
      </w:r>
      <w:r w:rsidRPr="007D0134">
        <w:rPr>
          <w:rFonts w:ascii="Century" w:hAnsi="Century" w:hint="eastAsia"/>
          <w:rtl/>
        </w:rPr>
        <w:t>ההלכה</w:t>
      </w:r>
      <w:r w:rsidRPr="007D0134">
        <w:rPr>
          <w:rFonts w:ascii="Century" w:hAnsi="Century"/>
          <w:rtl/>
        </w:rPr>
        <w:t xml:space="preserve"> </w:t>
      </w:r>
      <w:r w:rsidRPr="007D0134">
        <w:rPr>
          <w:rFonts w:ascii="Century" w:hAnsi="Century" w:hint="eastAsia"/>
          <w:rtl/>
        </w:rPr>
        <w:t>של</w:t>
      </w:r>
      <w:r w:rsidRPr="007D0134">
        <w:rPr>
          <w:rFonts w:ascii="Century" w:hAnsi="Century"/>
          <w:rtl/>
        </w:rPr>
        <w:t xml:space="preserve"> "</w:t>
      </w:r>
      <w:r w:rsidRPr="007D0134">
        <w:rPr>
          <w:rFonts w:ascii="Century" w:hAnsi="Century" w:hint="eastAsia"/>
          <w:rtl/>
        </w:rPr>
        <w:t>פוסט</w:t>
      </w:r>
      <w:r w:rsidRPr="007D0134">
        <w:rPr>
          <w:rFonts w:ascii="Century" w:hAnsi="Century" w:cs="Miriam"/>
          <w:b/>
          <w:szCs w:val="24"/>
          <w:rtl/>
        </w:rPr>
        <w:t xml:space="preserve"> </w:t>
      </w:r>
      <w:r w:rsidRPr="007D0134">
        <w:rPr>
          <w:rFonts w:ascii="Century" w:hAnsi="Century" w:cs="Miriam" w:hint="eastAsia"/>
          <w:b/>
          <w:szCs w:val="24"/>
          <w:rtl/>
        </w:rPr>
        <w:t>דפי</w:t>
      </w:r>
      <w:r w:rsidRPr="007D0134">
        <w:rPr>
          <w:rFonts w:ascii="Century" w:hAnsi="Century" w:cs="Miriam"/>
          <w:b/>
          <w:szCs w:val="24"/>
          <w:rtl/>
        </w:rPr>
        <w:t xml:space="preserve"> </w:t>
      </w:r>
      <w:r w:rsidRPr="007D0134">
        <w:rPr>
          <w:rFonts w:ascii="Century" w:hAnsi="Century" w:cs="Miriam" w:hint="eastAsia"/>
          <w:b/>
          <w:szCs w:val="24"/>
          <w:rtl/>
        </w:rPr>
        <w:t>זהב</w:t>
      </w:r>
      <w:r w:rsidRPr="007D0134">
        <w:rPr>
          <w:rFonts w:ascii="Century" w:hAnsi="Century"/>
          <w:rtl/>
        </w:rPr>
        <w:t>" ולהחזיר את המצב שהיה קיים לפני פסק הדין. ואולם</w:t>
      </w:r>
      <w:r w:rsidRPr="007D0134">
        <w:rPr>
          <w:rFonts w:ascii="Century" w:hAnsi="Century" w:hint="cs"/>
          <w:rtl/>
        </w:rPr>
        <w:t xml:space="preserve">, חרף הדעה הרווחת כי פסק הדין בעניין </w:t>
      </w:r>
      <w:r w:rsidRPr="007D0134">
        <w:rPr>
          <w:rFonts w:ascii="Century" w:hAnsi="Century" w:cs="Miriam" w:hint="eastAsia"/>
          <w:b/>
          <w:szCs w:val="24"/>
          <w:rtl/>
        </w:rPr>
        <w:t>דפי</w:t>
      </w:r>
      <w:r w:rsidRPr="007D0134">
        <w:rPr>
          <w:rFonts w:ascii="Century" w:hAnsi="Century" w:cs="Miriam"/>
          <w:b/>
          <w:szCs w:val="24"/>
          <w:rtl/>
        </w:rPr>
        <w:t xml:space="preserve"> </w:t>
      </w:r>
      <w:r w:rsidRPr="007D0134">
        <w:rPr>
          <w:rFonts w:ascii="Century" w:hAnsi="Century" w:cs="Miriam" w:hint="eastAsia"/>
          <w:b/>
          <w:szCs w:val="24"/>
          <w:rtl/>
        </w:rPr>
        <w:t>זהב</w:t>
      </w:r>
      <w:r w:rsidRPr="007D0134">
        <w:rPr>
          <w:rFonts w:ascii="Century" w:hAnsi="Century"/>
          <w:rtl/>
        </w:rPr>
        <w:t xml:space="preserve"> </w:t>
      </w:r>
      <w:r w:rsidRPr="007D0134">
        <w:rPr>
          <w:rFonts w:ascii="Century" w:hAnsi="Century" w:hint="cs"/>
          <w:rtl/>
        </w:rPr>
        <w:t xml:space="preserve">יצר שינוי של ממש במצב המשפטי בנוגע לעילת הסבירות </w:t>
      </w:r>
      <w:r w:rsidRPr="007D0134">
        <w:rPr>
          <w:rFonts w:ascii="Century" w:hAnsi="Century"/>
          <w:rtl/>
        </w:rPr>
        <w:t xml:space="preserve">– </w:t>
      </w:r>
      <w:r w:rsidRPr="007D0134">
        <w:rPr>
          <w:rFonts w:ascii="Century" w:hAnsi="Century" w:hint="cs"/>
          <w:rtl/>
        </w:rPr>
        <w:t xml:space="preserve">אני סבורה כי פסק הדין </w:t>
      </w:r>
      <w:r w:rsidRPr="007D0134">
        <w:rPr>
          <w:rFonts w:ascii="Century" w:hAnsi="Century"/>
          <w:rtl/>
        </w:rPr>
        <w:t>הי</w:t>
      </w:r>
      <w:r w:rsidRPr="007D0134">
        <w:rPr>
          <w:rFonts w:ascii="Century" w:hAnsi="Century" w:hint="cs"/>
          <w:rtl/>
        </w:rPr>
        <w:t>וו</w:t>
      </w:r>
      <w:r w:rsidRPr="007D0134">
        <w:rPr>
          <w:rFonts w:ascii="Century" w:hAnsi="Century"/>
          <w:rtl/>
        </w:rPr>
        <w:t>ה</w:t>
      </w:r>
      <w:r w:rsidRPr="007D0134">
        <w:rPr>
          <w:rFonts w:ascii="Century" w:hAnsi="Century" w:hint="cs"/>
          <w:rtl/>
        </w:rPr>
        <w:t xml:space="preserve"> רק</w:t>
      </w:r>
      <w:r w:rsidRPr="007D0134">
        <w:rPr>
          <w:rFonts w:ascii="Century" w:hAnsi="Century"/>
          <w:rtl/>
        </w:rPr>
        <w:t xml:space="preserve"> חוליה</w:t>
      </w:r>
      <w:r w:rsidRPr="007D0134">
        <w:rPr>
          <w:rFonts w:ascii="Century" w:hAnsi="Century" w:hint="cs"/>
          <w:rtl/>
        </w:rPr>
        <w:t xml:space="preserve"> אחת</w:t>
      </w:r>
      <w:r w:rsidRPr="007D0134">
        <w:rPr>
          <w:rFonts w:ascii="Century" w:hAnsi="Century"/>
          <w:rtl/>
        </w:rPr>
        <w:t xml:space="preserve"> בשרשרת </w:t>
      </w:r>
      <w:r w:rsidRPr="007D0134">
        <w:rPr>
          <w:rFonts w:ascii="Century" w:hAnsi="Century" w:hint="cs"/>
          <w:rtl/>
        </w:rPr>
        <w:t xml:space="preserve">הדרגתית </w:t>
      </w:r>
      <w:r w:rsidRPr="007D0134">
        <w:rPr>
          <w:rFonts w:ascii="Century" w:hAnsi="Century"/>
          <w:rtl/>
        </w:rPr>
        <w:t xml:space="preserve">של התפתחות פסיקתית. </w:t>
      </w:r>
      <w:r w:rsidRPr="007D0134">
        <w:rPr>
          <w:rFonts w:ascii="Century" w:hAnsi="Century" w:hint="cs"/>
          <w:rtl/>
        </w:rPr>
        <w:t xml:space="preserve">לאורך השנים התחבטה </w:t>
      </w:r>
      <w:r w:rsidRPr="007D0134">
        <w:rPr>
          <w:rFonts w:ascii="Century" w:hAnsi="Century" w:hint="eastAsia"/>
          <w:rtl/>
        </w:rPr>
        <w:t>הפסיקה</w:t>
      </w:r>
      <w:r w:rsidRPr="007D0134">
        <w:rPr>
          <w:rFonts w:ascii="Century" w:hAnsi="Century"/>
          <w:rtl/>
        </w:rPr>
        <w:t xml:space="preserve"> </w:t>
      </w:r>
      <w:r w:rsidRPr="007D0134">
        <w:rPr>
          <w:rFonts w:ascii="Century" w:hAnsi="Century" w:hint="eastAsia"/>
          <w:rtl/>
        </w:rPr>
        <w:t>בהיקף</w:t>
      </w:r>
      <w:r w:rsidRPr="007D0134">
        <w:rPr>
          <w:rFonts w:ascii="Century" w:hAnsi="Century"/>
          <w:rtl/>
        </w:rPr>
        <w:t xml:space="preserve"> </w:t>
      </w:r>
      <w:r w:rsidRPr="007D0134">
        <w:rPr>
          <w:rFonts w:ascii="Century" w:hAnsi="Century" w:hint="eastAsia"/>
          <w:rtl/>
        </w:rPr>
        <w:t>הביקורת</w:t>
      </w:r>
      <w:r w:rsidRPr="007D0134">
        <w:rPr>
          <w:rFonts w:ascii="Century" w:hAnsi="Century"/>
          <w:rtl/>
        </w:rPr>
        <w:t xml:space="preserve"> </w:t>
      </w:r>
      <w:r w:rsidRPr="007D0134">
        <w:rPr>
          <w:rFonts w:ascii="Century" w:hAnsi="Century" w:hint="eastAsia"/>
          <w:rtl/>
        </w:rPr>
        <w:t>על</w:t>
      </w:r>
      <w:r w:rsidRPr="007D0134">
        <w:rPr>
          <w:rFonts w:ascii="Century" w:hAnsi="Century"/>
          <w:rtl/>
        </w:rPr>
        <w:t xml:space="preserve"> </w:t>
      </w:r>
      <w:r w:rsidRPr="007D0134">
        <w:rPr>
          <w:rFonts w:ascii="Century" w:hAnsi="Century" w:hint="eastAsia"/>
          <w:rtl/>
        </w:rPr>
        <w:t>החלטות</w:t>
      </w:r>
      <w:r w:rsidRPr="007D0134">
        <w:rPr>
          <w:rFonts w:ascii="Century" w:hAnsi="Century"/>
          <w:rtl/>
        </w:rPr>
        <w:t xml:space="preserve"> </w:t>
      </w:r>
      <w:r w:rsidRPr="007D0134">
        <w:rPr>
          <w:rFonts w:ascii="Century" w:hAnsi="Century" w:hint="eastAsia"/>
          <w:rtl/>
        </w:rPr>
        <w:t>של</w:t>
      </w:r>
      <w:r w:rsidRPr="007D0134">
        <w:rPr>
          <w:rFonts w:ascii="Century" w:hAnsi="Century"/>
          <w:rtl/>
        </w:rPr>
        <w:t xml:space="preserve"> </w:t>
      </w:r>
      <w:r w:rsidRPr="007D0134">
        <w:rPr>
          <w:rFonts w:ascii="Century" w:hAnsi="Century" w:hint="eastAsia"/>
          <w:rtl/>
        </w:rPr>
        <w:t>רשויות</w:t>
      </w:r>
      <w:r w:rsidRPr="007D0134">
        <w:rPr>
          <w:rFonts w:ascii="Century" w:hAnsi="Century"/>
          <w:rtl/>
        </w:rPr>
        <w:t xml:space="preserve"> </w:t>
      </w:r>
      <w:r w:rsidRPr="007D0134">
        <w:rPr>
          <w:rFonts w:ascii="Century" w:hAnsi="Century" w:hint="eastAsia"/>
          <w:rtl/>
        </w:rPr>
        <w:t>המדינה</w:t>
      </w:r>
      <w:r w:rsidRPr="007D0134">
        <w:rPr>
          <w:rFonts w:ascii="Century" w:hAnsi="Century"/>
          <w:rtl/>
        </w:rPr>
        <w:t xml:space="preserve"> (הן </w:t>
      </w:r>
      <w:r w:rsidRPr="007D0134">
        <w:rPr>
          <w:rFonts w:ascii="Century" w:hAnsi="Century" w:hint="eastAsia"/>
          <w:rtl/>
        </w:rPr>
        <w:t>הממשלה</w:t>
      </w:r>
      <w:r w:rsidRPr="007D0134">
        <w:rPr>
          <w:rFonts w:ascii="Century" w:hAnsi="Century"/>
          <w:rtl/>
        </w:rPr>
        <w:t xml:space="preserve"> </w:t>
      </w:r>
      <w:r w:rsidRPr="007D0134">
        <w:rPr>
          <w:rFonts w:ascii="Century" w:hAnsi="Century" w:hint="eastAsia"/>
          <w:rtl/>
        </w:rPr>
        <w:t>והשרים</w:t>
      </w:r>
      <w:r w:rsidRPr="007D0134">
        <w:rPr>
          <w:rFonts w:ascii="Century" w:hAnsi="Century"/>
          <w:rtl/>
        </w:rPr>
        <w:t xml:space="preserve"> </w:t>
      </w:r>
      <w:r w:rsidRPr="007D0134">
        <w:rPr>
          <w:rFonts w:ascii="Century" w:hAnsi="Century" w:hint="eastAsia"/>
          <w:rtl/>
        </w:rPr>
        <w:t>והן</w:t>
      </w:r>
      <w:r w:rsidRPr="007D0134">
        <w:rPr>
          <w:rFonts w:ascii="Century" w:hAnsi="Century"/>
          <w:rtl/>
        </w:rPr>
        <w:t xml:space="preserve"> </w:t>
      </w:r>
      <w:r w:rsidRPr="007D0134">
        <w:rPr>
          <w:rFonts w:ascii="Century" w:hAnsi="Century" w:hint="eastAsia"/>
          <w:rtl/>
        </w:rPr>
        <w:t>פקידים</w:t>
      </w:r>
      <w:r w:rsidRPr="007D0134">
        <w:rPr>
          <w:rFonts w:ascii="Century" w:hAnsi="Century"/>
          <w:rtl/>
        </w:rPr>
        <w:t xml:space="preserve"> </w:t>
      </w:r>
      <w:r w:rsidRPr="007D0134">
        <w:rPr>
          <w:rFonts w:ascii="Century" w:hAnsi="Century" w:hint="eastAsia"/>
          <w:rtl/>
        </w:rPr>
        <w:t>אחרים</w:t>
      </w:r>
      <w:r w:rsidRPr="007D0134">
        <w:rPr>
          <w:rFonts w:ascii="Century" w:hAnsi="Century"/>
          <w:rtl/>
        </w:rPr>
        <w:t>)</w:t>
      </w:r>
      <w:r w:rsidRPr="007D0134">
        <w:rPr>
          <w:rFonts w:ascii="Century" w:hAnsi="Century" w:hint="cs"/>
          <w:rtl/>
        </w:rPr>
        <w:t>, ובפרט על היקף הביקורת מכוח עילת הסבירות</w:t>
      </w:r>
      <w:r w:rsidRPr="007D0134">
        <w:rPr>
          <w:rFonts w:ascii="Century" w:hAnsi="Century"/>
          <w:rtl/>
        </w:rPr>
        <w:t xml:space="preserve">. </w:t>
      </w:r>
    </w:p>
    <w:p w:rsidR="00A01E7C" w:rsidRDefault="00A01E7C" w:rsidP="00A01E7C">
      <w:pPr>
        <w:spacing w:line="360" w:lineRule="auto"/>
        <w:jc w:val="both"/>
        <w:rPr>
          <w:rFonts w:ascii="Century" w:hAnsi="Century" w:cs="FrankRuehl"/>
          <w:spacing w:val="10"/>
          <w:szCs w:val="28"/>
          <w:rtl/>
        </w:rPr>
      </w:pPr>
    </w:p>
    <w:p w:rsidR="00A01E7C" w:rsidRPr="00755331" w:rsidRDefault="00A01E7C" w:rsidP="00A01E7C">
      <w:pPr>
        <w:spacing w:line="360" w:lineRule="auto"/>
        <w:ind w:firstLine="720"/>
        <w:jc w:val="both"/>
        <w:rPr>
          <w:rFonts w:ascii="Century" w:hAnsi="Century" w:cs="FrankRuehl"/>
          <w:spacing w:val="10"/>
          <w:szCs w:val="28"/>
          <w:rtl/>
        </w:rPr>
      </w:pPr>
      <w:r>
        <w:rPr>
          <w:rFonts w:ascii="Century" w:hAnsi="Century" w:cs="FrankRuehl" w:hint="cs"/>
          <w:spacing w:val="10"/>
          <w:szCs w:val="28"/>
          <w:rtl/>
        </w:rPr>
        <w:t xml:space="preserve">כפי שעולה מן התיאור לעיל וכפי שיומחש גם להלן, הייתה ועודנה </w:t>
      </w:r>
      <w:r w:rsidRPr="00755331">
        <w:rPr>
          <w:rFonts w:ascii="Century" w:hAnsi="Century" w:cs="FrankRuehl" w:hint="eastAsia"/>
          <w:spacing w:val="10"/>
          <w:szCs w:val="28"/>
          <w:rtl/>
        </w:rPr>
        <w:t>ישנה</w:t>
      </w:r>
      <w:r w:rsidRPr="00755331">
        <w:rPr>
          <w:rFonts w:ascii="Century" w:hAnsi="Century" w:cs="FrankRuehl"/>
          <w:spacing w:val="10"/>
          <w:szCs w:val="28"/>
          <w:rtl/>
        </w:rPr>
        <w:t xml:space="preserve"> </w:t>
      </w:r>
      <w:r w:rsidRPr="00755331">
        <w:rPr>
          <w:rFonts w:ascii="Century" w:hAnsi="Century" w:cs="FrankRuehl" w:hint="eastAsia"/>
          <w:spacing w:val="10"/>
          <w:szCs w:val="28"/>
          <w:rtl/>
        </w:rPr>
        <w:t>סקאלה</w:t>
      </w:r>
      <w:r w:rsidRPr="00755331">
        <w:rPr>
          <w:rFonts w:ascii="Century" w:hAnsi="Century" w:cs="FrankRuehl"/>
          <w:spacing w:val="10"/>
          <w:szCs w:val="28"/>
          <w:rtl/>
        </w:rPr>
        <w:t xml:space="preserve"> </w:t>
      </w:r>
      <w:r w:rsidRPr="00755331">
        <w:rPr>
          <w:rFonts w:ascii="Century" w:hAnsi="Century" w:cs="FrankRuehl" w:hint="eastAsia"/>
          <w:spacing w:val="10"/>
          <w:szCs w:val="28"/>
          <w:rtl/>
        </w:rPr>
        <w:t>רחבה</w:t>
      </w:r>
      <w:r w:rsidRPr="00755331">
        <w:rPr>
          <w:rFonts w:ascii="Century" w:hAnsi="Century" w:cs="FrankRuehl"/>
          <w:spacing w:val="10"/>
          <w:szCs w:val="28"/>
          <w:rtl/>
        </w:rPr>
        <w:t xml:space="preserve"> </w:t>
      </w:r>
      <w:r w:rsidRPr="00755331">
        <w:rPr>
          <w:rFonts w:ascii="Century" w:hAnsi="Century" w:cs="FrankRuehl" w:hint="eastAsia"/>
          <w:spacing w:val="10"/>
          <w:szCs w:val="28"/>
          <w:rtl/>
        </w:rPr>
        <w:t>של</w:t>
      </w:r>
      <w:r w:rsidRPr="00755331">
        <w:rPr>
          <w:rFonts w:ascii="Century" w:hAnsi="Century" w:cs="FrankRuehl"/>
          <w:spacing w:val="10"/>
          <w:szCs w:val="28"/>
          <w:rtl/>
        </w:rPr>
        <w:t xml:space="preserve"> </w:t>
      </w:r>
      <w:r w:rsidRPr="00755331">
        <w:rPr>
          <w:rFonts w:ascii="Century" w:hAnsi="Century" w:cs="FrankRuehl" w:hint="eastAsia"/>
          <w:spacing w:val="10"/>
          <w:szCs w:val="28"/>
          <w:rtl/>
        </w:rPr>
        <w:t>דעות</w:t>
      </w:r>
      <w:r w:rsidRPr="00755331">
        <w:rPr>
          <w:rFonts w:ascii="Century" w:hAnsi="Century" w:cs="FrankRuehl"/>
          <w:spacing w:val="10"/>
          <w:szCs w:val="28"/>
          <w:rtl/>
        </w:rPr>
        <w:t xml:space="preserve"> </w:t>
      </w:r>
      <w:r w:rsidRPr="00755331">
        <w:rPr>
          <w:rFonts w:ascii="Century" w:hAnsi="Century" w:cs="FrankRuehl" w:hint="eastAsia"/>
          <w:spacing w:val="10"/>
          <w:szCs w:val="28"/>
          <w:rtl/>
        </w:rPr>
        <w:t>בהקשר</w:t>
      </w:r>
      <w:r w:rsidRPr="00755331">
        <w:rPr>
          <w:rFonts w:ascii="Century" w:hAnsi="Century" w:cs="FrankRuehl"/>
          <w:spacing w:val="10"/>
          <w:szCs w:val="28"/>
          <w:rtl/>
        </w:rPr>
        <w:t xml:space="preserve"> </w:t>
      </w:r>
      <w:r w:rsidRPr="00755331">
        <w:rPr>
          <w:rFonts w:ascii="Century" w:hAnsi="Century" w:cs="FrankRuehl" w:hint="eastAsia"/>
          <w:spacing w:val="10"/>
          <w:szCs w:val="28"/>
          <w:rtl/>
        </w:rPr>
        <w:t>זה</w:t>
      </w:r>
      <w:r w:rsidRPr="00755331">
        <w:rPr>
          <w:rFonts w:ascii="Century" w:hAnsi="Century" w:cs="FrankRuehl"/>
          <w:spacing w:val="10"/>
          <w:szCs w:val="28"/>
          <w:rtl/>
        </w:rPr>
        <w:t>,</w:t>
      </w:r>
      <w:r>
        <w:rPr>
          <w:rFonts w:ascii="Century" w:hAnsi="Century" w:cs="FrankRuehl" w:hint="cs"/>
          <w:spacing w:val="10"/>
          <w:szCs w:val="28"/>
          <w:rtl/>
        </w:rPr>
        <w:t xml:space="preserve"> בקרב שופטים ומלומדים,</w:t>
      </w:r>
      <w:r w:rsidRPr="00755331">
        <w:rPr>
          <w:rFonts w:ascii="Century" w:hAnsi="Century" w:cs="FrankRuehl"/>
          <w:spacing w:val="10"/>
          <w:szCs w:val="28"/>
          <w:rtl/>
        </w:rPr>
        <w:t xml:space="preserve"> הן לפני</w:t>
      </w:r>
      <w:r>
        <w:rPr>
          <w:rFonts w:ascii="Century" w:hAnsi="Century" w:cs="FrankRuehl" w:hint="cs"/>
          <w:spacing w:val="10"/>
          <w:szCs w:val="28"/>
          <w:rtl/>
        </w:rPr>
        <w:t xml:space="preserve"> עניין</w:t>
      </w:r>
      <w:r w:rsidRPr="00755331">
        <w:rPr>
          <w:rFonts w:ascii="Century" w:hAnsi="Century" w:cs="FrankRuehl"/>
          <w:spacing w:val="10"/>
          <w:szCs w:val="28"/>
          <w:rtl/>
        </w:rPr>
        <w:t xml:space="preserve"> </w:t>
      </w:r>
      <w:r w:rsidRPr="00755331">
        <w:rPr>
          <w:rFonts w:ascii="Century" w:hAnsi="Century" w:cs="Miriam" w:hint="eastAsia"/>
          <w:b/>
          <w:rtl/>
        </w:rPr>
        <w:t>דפי</w:t>
      </w:r>
      <w:r w:rsidRPr="00755331">
        <w:rPr>
          <w:rFonts w:ascii="Century" w:hAnsi="Century" w:cs="Miriam"/>
          <w:b/>
          <w:rtl/>
        </w:rPr>
        <w:t xml:space="preserve"> </w:t>
      </w:r>
      <w:r w:rsidRPr="00755331">
        <w:rPr>
          <w:rFonts w:ascii="Century" w:hAnsi="Century" w:cs="Miriam" w:hint="eastAsia"/>
          <w:b/>
          <w:rtl/>
        </w:rPr>
        <w:t>זהב</w:t>
      </w:r>
      <w:r w:rsidRPr="00755331">
        <w:rPr>
          <w:rFonts w:ascii="Century" w:hAnsi="Century" w:cs="FrankRuehl"/>
          <w:spacing w:val="10"/>
          <w:szCs w:val="28"/>
          <w:rtl/>
        </w:rPr>
        <w:t xml:space="preserve"> והן לאחר מכן. כך עולה בבירור </w:t>
      </w:r>
      <w:r>
        <w:rPr>
          <w:rFonts w:ascii="Century" w:hAnsi="Century" w:cs="FrankRuehl" w:hint="cs"/>
          <w:spacing w:val="10"/>
          <w:szCs w:val="28"/>
          <w:rtl/>
        </w:rPr>
        <w:t xml:space="preserve">גם </w:t>
      </w:r>
      <w:r w:rsidRPr="00755331">
        <w:rPr>
          <w:rFonts w:ascii="Century" w:hAnsi="Century" w:cs="FrankRuehl" w:hint="eastAsia"/>
          <w:spacing w:val="10"/>
          <w:szCs w:val="28"/>
          <w:rtl/>
        </w:rPr>
        <w:t>מ</w:t>
      </w:r>
      <w:r>
        <w:rPr>
          <w:rFonts w:ascii="Century" w:hAnsi="Century" w:cs="FrankRuehl" w:hint="cs"/>
          <w:spacing w:val="10"/>
          <w:szCs w:val="28"/>
          <w:rtl/>
        </w:rPr>
        <w:t>חוות דעתה</w:t>
      </w:r>
      <w:r w:rsidRPr="00755331">
        <w:rPr>
          <w:rFonts w:ascii="Century" w:hAnsi="Century" w:cs="FrankRuehl"/>
          <w:spacing w:val="10"/>
          <w:szCs w:val="28"/>
          <w:rtl/>
        </w:rPr>
        <w:t xml:space="preserve"> של השופטת </w:t>
      </w:r>
      <w:r w:rsidRPr="00755331">
        <w:rPr>
          <w:rFonts w:ascii="Century" w:hAnsi="Century" w:cs="Miriam" w:hint="eastAsia"/>
          <w:b/>
          <w:rtl/>
        </w:rPr>
        <w:t>וילנר</w:t>
      </w:r>
      <w:r>
        <w:rPr>
          <w:rFonts w:ascii="Century" w:hAnsi="Century" w:cs="FrankRuehl" w:hint="cs"/>
          <w:spacing w:val="10"/>
          <w:szCs w:val="28"/>
          <w:rtl/>
        </w:rPr>
        <w:t xml:space="preserve"> (ראו פסקאות 35-17 לחוות דעתה)</w:t>
      </w:r>
      <w:r w:rsidRPr="00755331">
        <w:rPr>
          <w:rFonts w:ascii="Century" w:hAnsi="Century" w:cs="FrankRuehl"/>
          <w:spacing w:val="10"/>
          <w:szCs w:val="28"/>
          <w:rtl/>
        </w:rPr>
        <w:t xml:space="preserve">. </w:t>
      </w:r>
      <w:r>
        <w:rPr>
          <w:rFonts w:ascii="Century" w:hAnsi="Century" w:cs="FrankRuehl" w:hint="cs"/>
          <w:spacing w:val="10"/>
          <w:szCs w:val="28"/>
          <w:rtl/>
        </w:rPr>
        <w:t xml:space="preserve">עניין </w:t>
      </w:r>
      <w:r w:rsidRPr="00755331">
        <w:rPr>
          <w:rFonts w:ascii="Century" w:hAnsi="Century" w:cs="Miriam" w:hint="eastAsia"/>
          <w:b/>
          <w:rtl/>
        </w:rPr>
        <w:t>דפי</w:t>
      </w:r>
      <w:r w:rsidRPr="00755331">
        <w:rPr>
          <w:rFonts w:ascii="Century" w:hAnsi="Century" w:cs="Miriam"/>
          <w:b/>
          <w:rtl/>
        </w:rPr>
        <w:t xml:space="preserve"> </w:t>
      </w:r>
      <w:r w:rsidRPr="00755331">
        <w:rPr>
          <w:rFonts w:ascii="Century" w:hAnsi="Century" w:cs="Miriam" w:hint="eastAsia"/>
          <w:b/>
          <w:rtl/>
        </w:rPr>
        <w:t>זהב</w:t>
      </w:r>
      <w:r w:rsidRPr="00755331">
        <w:rPr>
          <w:rFonts w:ascii="Century" w:hAnsi="Century" w:cs="FrankRuehl"/>
          <w:spacing w:val="10"/>
          <w:szCs w:val="28"/>
          <w:rtl/>
        </w:rPr>
        <w:t xml:space="preserve"> הוא </w:t>
      </w:r>
      <w:r>
        <w:rPr>
          <w:rFonts w:ascii="Century" w:hAnsi="Century" w:cs="FrankRuehl" w:hint="cs"/>
          <w:spacing w:val="10"/>
          <w:szCs w:val="28"/>
          <w:rtl/>
        </w:rPr>
        <w:t>"</w:t>
      </w:r>
      <w:r w:rsidRPr="00755331">
        <w:rPr>
          <w:rFonts w:ascii="Century" w:hAnsi="Century" w:cs="FrankRuehl" w:hint="eastAsia"/>
          <w:spacing w:val="10"/>
          <w:szCs w:val="28"/>
          <w:rtl/>
        </w:rPr>
        <w:t>לבנה</w:t>
      </w:r>
      <w:r>
        <w:rPr>
          <w:rFonts w:ascii="Century" w:hAnsi="Century" w:cs="FrankRuehl" w:hint="cs"/>
          <w:spacing w:val="10"/>
          <w:szCs w:val="28"/>
          <w:rtl/>
        </w:rPr>
        <w:t>"</w:t>
      </w:r>
      <w:r w:rsidRPr="00755331">
        <w:rPr>
          <w:rFonts w:ascii="Century" w:hAnsi="Century" w:cs="FrankRuehl"/>
          <w:spacing w:val="10"/>
          <w:szCs w:val="28"/>
          <w:rtl/>
        </w:rPr>
        <w:t xml:space="preserve"> אחת במבנה המורכב הנוגע להיקף הביקורת</w:t>
      </w:r>
      <w:r>
        <w:rPr>
          <w:rFonts w:ascii="Century" w:hAnsi="Century" w:cs="FrankRuehl" w:hint="cs"/>
          <w:spacing w:val="10"/>
          <w:szCs w:val="28"/>
          <w:rtl/>
        </w:rPr>
        <w:t xml:space="preserve"> על החלטות מינהליות מכוח עילת הסבירות</w:t>
      </w:r>
      <w:r w:rsidRPr="00755331">
        <w:rPr>
          <w:rFonts w:ascii="Century" w:hAnsi="Century" w:cs="FrankRuehl"/>
          <w:spacing w:val="10"/>
          <w:szCs w:val="28"/>
          <w:rtl/>
        </w:rPr>
        <w:t xml:space="preserve">. הוא </w:t>
      </w:r>
      <w:r>
        <w:rPr>
          <w:rFonts w:ascii="Century" w:hAnsi="Century" w:cs="FrankRuehl" w:hint="cs"/>
          <w:spacing w:val="10"/>
          <w:szCs w:val="28"/>
          <w:rtl/>
        </w:rPr>
        <w:t xml:space="preserve">אומנם </w:t>
      </w:r>
      <w:r w:rsidRPr="00755331">
        <w:rPr>
          <w:rFonts w:ascii="Century" w:hAnsi="Century" w:cs="FrankRuehl" w:hint="eastAsia"/>
          <w:spacing w:val="10"/>
          <w:szCs w:val="28"/>
          <w:rtl/>
        </w:rPr>
        <w:t>נחשב</w:t>
      </w:r>
      <w:r w:rsidRPr="00755331">
        <w:rPr>
          <w:rFonts w:ascii="Century" w:hAnsi="Century" w:cs="FrankRuehl"/>
          <w:spacing w:val="10"/>
          <w:szCs w:val="28"/>
          <w:rtl/>
        </w:rPr>
        <w:t xml:space="preserve"> </w:t>
      </w:r>
      <w:r>
        <w:rPr>
          <w:rFonts w:ascii="Century" w:hAnsi="Century" w:cs="FrankRuehl" w:hint="cs"/>
          <w:spacing w:val="10"/>
          <w:szCs w:val="28"/>
          <w:rtl/>
        </w:rPr>
        <w:t>ל"</w:t>
      </w:r>
      <w:r w:rsidRPr="00755331">
        <w:rPr>
          <w:rFonts w:ascii="Century" w:hAnsi="Century" w:cs="FrankRuehl" w:hint="eastAsia"/>
          <w:spacing w:val="10"/>
          <w:szCs w:val="28"/>
          <w:rtl/>
        </w:rPr>
        <w:t>לבנה</w:t>
      </w:r>
      <w:r>
        <w:rPr>
          <w:rFonts w:ascii="Century" w:hAnsi="Century" w:cs="FrankRuehl" w:hint="cs"/>
          <w:spacing w:val="10"/>
          <w:szCs w:val="28"/>
          <w:rtl/>
        </w:rPr>
        <w:t>"</w:t>
      </w:r>
      <w:r w:rsidRPr="00755331">
        <w:rPr>
          <w:rFonts w:ascii="Century" w:hAnsi="Century" w:cs="FrankRuehl"/>
          <w:spacing w:val="10"/>
          <w:szCs w:val="28"/>
          <w:rtl/>
        </w:rPr>
        <w:t xml:space="preserve"> </w:t>
      </w:r>
      <w:r w:rsidRPr="00755331">
        <w:rPr>
          <w:rFonts w:ascii="Century" w:hAnsi="Century" w:cs="FrankRuehl" w:hint="eastAsia"/>
          <w:spacing w:val="10"/>
          <w:szCs w:val="28"/>
          <w:rtl/>
        </w:rPr>
        <w:t>משמעותית</w:t>
      </w:r>
      <w:r>
        <w:rPr>
          <w:rFonts w:ascii="Century" w:hAnsi="Century" w:cs="FrankRuehl" w:hint="cs"/>
          <w:spacing w:val="10"/>
          <w:szCs w:val="28"/>
          <w:rtl/>
        </w:rPr>
        <w:t>,</w:t>
      </w:r>
      <w:r w:rsidRPr="00755331">
        <w:rPr>
          <w:rFonts w:ascii="Century" w:hAnsi="Century" w:cs="FrankRuehl"/>
          <w:spacing w:val="10"/>
          <w:szCs w:val="28"/>
          <w:rtl/>
        </w:rPr>
        <w:t xml:space="preserve"> אולם </w:t>
      </w:r>
      <w:r>
        <w:rPr>
          <w:rFonts w:ascii="Century" w:hAnsi="Century" w:cs="FrankRuehl" w:hint="cs"/>
          <w:spacing w:val="10"/>
          <w:szCs w:val="28"/>
          <w:rtl/>
        </w:rPr>
        <w:t xml:space="preserve">הוא איננו בגדר "קיר" המפריד באופן חד וברור בין המצב המשפטי ששרר לפני לזה שבא אחרי. </w:t>
      </w:r>
      <w:r w:rsidRPr="00755331">
        <w:rPr>
          <w:rFonts w:ascii="Century" w:hAnsi="Century" w:cs="FrankRuehl"/>
          <w:spacing w:val="10"/>
          <w:szCs w:val="28"/>
          <w:rtl/>
        </w:rPr>
        <w:t xml:space="preserve"> </w:t>
      </w:r>
    </w:p>
    <w:p w:rsidR="00A01E7C" w:rsidRPr="00755331"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ind w:left="720"/>
        <w:jc w:val="both"/>
        <w:rPr>
          <w:rFonts w:ascii="Century" w:hAnsi="Century" w:cs="FrankRuehl"/>
          <w:spacing w:val="10"/>
          <w:szCs w:val="28"/>
          <w:rtl/>
        </w:rPr>
      </w:pPr>
      <w:r>
        <w:rPr>
          <w:rFonts w:ascii="Century" w:hAnsi="Century" w:cs="Miriam" w:hint="cs"/>
          <w:b/>
          <w:rtl/>
        </w:rPr>
        <w:t>(א)</w:t>
      </w:r>
      <w:r>
        <w:rPr>
          <w:rFonts w:ascii="Century" w:hAnsi="Century" w:cs="Miriam"/>
          <w:b/>
          <w:rtl/>
        </w:rPr>
        <w:tab/>
      </w:r>
      <w:r w:rsidRPr="00755331">
        <w:rPr>
          <w:rFonts w:ascii="Century" w:hAnsi="Century" w:cs="Miriam" w:hint="eastAsia"/>
          <w:b/>
          <w:rtl/>
        </w:rPr>
        <w:t>המצב</w:t>
      </w:r>
      <w:r w:rsidRPr="00755331">
        <w:rPr>
          <w:rFonts w:ascii="Century" w:hAnsi="Century" w:cs="Miriam"/>
          <w:b/>
          <w:rtl/>
        </w:rPr>
        <w:t xml:space="preserve"> לפני פסק הדין בעניין דפי זהב – קיומה של אפשרות לביקורת</w:t>
      </w:r>
      <w:r>
        <w:rPr>
          <w:rFonts w:ascii="Century" w:hAnsi="Century" w:cs="Miriam" w:hint="cs"/>
          <w:b/>
          <w:rtl/>
        </w:rPr>
        <w:t xml:space="preserve"> לפי עילת</w:t>
      </w:r>
      <w:r w:rsidRPr="00755331">
        <w:rPr>
          <w:rFonts w:ascii="Century" w:hAnsi="Century" w:cs="Miriam"/>
          <w:b/>
          <w:rtl/>
        </w:rPr>
        <w:t xml:space="preserve"> </w:t>
      </w:r>
      <w:r>
        <w:rPr>
          <w:rFonts w:ascii="Century" w:hAnsi="Century" w:cs="Miriam" w:hint="cs"/>
          <w:b/>
          <w:rtl/>
        </w:rPr>
        <w:t>הסבירות "ה</w:t>
      </w:r>
      <w:r w:rsidRPr="00755331">
        <w:rPr>
          <w:rFonts w:ascii="Century" w:hAnsi="Century" w:cs="Miriam" w:hint="eastAsia"/>
          <w:b/>
          <w:rtl/>
        </w:rPr>
        <w:t>איזונית</w:t>
      </w:r>
      <w:r>
        <w:rPr>
          <w:rFonts w:ascii="Century" w:hAnsi="Century" w:cs="Miriam" w:hint="cs"/>
          <w:b/>
          <w:rtl/>
        </w:rPr>
        <w:t>"</w:t>
      </w:r>
      <w:r w:rsidRPr="00755331">
        <w:rPr>
          <w:rFonts w:ascii="Century" w:hAnsi="Century" w:cs="Miriam"/>
          <w:b/>
          <w:rtl/>
        </w:rPr>
        <w:t>:</w:t>
      </w:r>
      <w:r>
        <w:rPr>
          <w:rFonts w:asciiTheme="majorBidi" w:hAnsiTheme="majorBidi" w:cstheme="majorBidi" w:hint="cs"/>
          <w:sz w:val="24"/>
          <w:rtl/>
        </w:rPr>
        <w:t xml:space="preserve"> </w:t>
      </w:r>
      <w:r>
        <w:rPr>
          <w:rFonts w:ascii="Century" w:hAnsi="Century" w:cs="FrankRuehl" w:hint="cs"/>
          <w:spacing w:val="10"/>
          <w:szCs w:val="28"/>
          <w:rtl/>
        </w:rPr>
        <w:t xml:space="preserve">כפי שפורט בפסקה 10 לעיל, </w:t>
      </w:r>
      <w:r w:rsidRPr="00755331">
        <w:rPr>
          <w:rFonts w:ascii="Century" w:hAnsi="Century" w:cs="FrankRuehl" w:hint="eastAsia"/>
          <w:spacing w:val="10"/>
          <w:szCs w:val="28"/>
          <w:rtl/>
        </w:rPr>
        <w:t>גם</w:t>
      </w:r>
      <w:r w:rsidRPr="00755331">
        <w:rPr>
          <w:rFonts w:ascii="Century" w:hAnsi="Century" w:cs="FrankRuehl"/>
          <w:spacing w:val="10"/>
          <w:szCs w:val="28"/>
          <w:rtl/>
        </w:rPr>
        <w:t xml:space="preserve"> </w:t>
      </w:r>
      <w:r>
        <w:rPr>
          <w:rFonts w:ascii="Century" w:hAnsi="Century" w:cs="FrankRuehl" w:hint="cs"/>
          <w:spacing w:val="10"/>
          <w:szCs w:val="28"/>
          <w:rtl/>
        </w:rPr>
        <w:t>בפסקי דין שקדמו ל</w:t>
      </w:r>
      <w:r w:rsidRPr="00755331">
        <w:rPr>
          <w:rFonts w:ascii="Century" w:hAnsi="Century" w:cs="FrankRuehl" w:hint="eastAsia"/>
          <w:spacing w:val="10"/>
          <w:szCs w:val="28"/>
          <w:rtl/>
        </w:rPr>
        <w:t>פסק</w:t>
      </w:r>
      <w:r w:rsidRPr="00755331">
        <w:rPr>
          <w:rFonts w:ascii="Century" w:hAnsi="Century" w:cs="FrankRuehl"/>
          <w:spacing w:val="10"/>
          <w:szCs w:val="28"/>
          <w:rtl/>
        </w:rPr>
        <w:t xml:space="preserve"> </w:t>
      </w:r>
      <w:r w:rsidRPr="00755331">
        <w:rPr>
          <w:rFonts w:ascii="Century" w:hAnsi="Century" w:cs="FrankRuehl" w:hint="eastAsia"/>
          <w:spacing w:val="10"/>
          <w:szCs w:val="28"/>
          <w:rtl/>
        </w:rPr>
        <w:t>הדין</w:t>
      </w:r>
      <w:r>
        <w:rPr>
          <w:rFonts w:ascii="Century" w:hAnsi="Century" w:cs="FrankRuehl" w:hint="cs"/>
          <w:spacing w:val="10"/>
          <w:szCs w:val="28"/>
          <w:rtl/>
        </w:rPr>
        <w:t xml:space="preserve"> בעניין </w:t>
      </w:r>
      <w:r w:rsidRPr="00D90A8F">
        <w:rPr>
          <w:rFonts w:ascii="Century" w:hAnsi="Century" w:cs="Miriam" w:hint="eastAsia"/>
          <w:b/>
          <w:rtl/>
        </w:rPr>
        <w:t>דפי</w:t>
      </w:r>
      <w:r w:rsidRPr="00D90A8F">
        <w:rPr>
          <w:rFonts w:ascii="Century" w:hAnsi="Century" w:cs="Miriam"/>
          <w:b/>
          <w:rtl/>
        </w:rPr>
        <w:t xml:space="preserve"> </w:t>
      </w:r>
      <w:r w:rsidRPr="00D90A8F">
        <w:rPr>
          <w:rFonts w:ascii="Century" w:hAnsi="Century" w:cs="Miriam" w:hint="eastAsia"/>
          <w:b/>
          <w:rtl/>
        </w:rPr>
        <w:t>זהב</w:t>
      </w:r>
      <w:r>
        <w:rPr>
          <w:rFonts w:ascii="Century" w:hAnsi="Century" w:cs="FrankRuehl" w:hint="cs"/>
          <w:spacing w:val="10"/>
          <w:szCs w:val="28"/>
          <w:rtl/>
        </w:rPr>
        <w:t xml:space="preserve"> עשה בית המשפט שימוש בנוסחה האיזונית לצורך קיום </w:t>
      </w:r>
      <w:r w:rsidRPr="00755331">
        <w:rPr>
          <w:rFonts w:ascii="Century" w:hAnsi="Century" w:cs="FrankRuehl" w:hint="eastAsia"/>
          <w:spacing w:val="10"/>
          <w:szCs w:val="28"/>
          <w:rtl/>
        </w:rPr>
        <w:t>ביקורת</w:t>
      </w:r>
      <w:r>
        <w:rPr>
          <w:rFonts w:ascii="Century" w:hAnsi="Century" w:cs="FrankRuehl" w:hint="cs"/>
          <w:spacing w:val="10"/>
          <w:szCs w:val="28"/>
          <w:rtl/>
        </w:rPr>
        <w:t xml:space="preserve"> שיפוטית על החלטות מינהליות, אף אם לא עשה כן באופן מוצהר. כלומר, החידוש המרכזי המיוחס לפסק הדין בעניין </w:t>
      </w:r>
      <w:r w:rsidRPr="00D90A8F">
        <w:rPr>
          <w:rFonts w:ascii="Century" w:hAnsi="Century" w:cs="Miriam" w:hint="eastAsia"/>
          <w:b/>
          <w:rtl/>
        </w:rPr>
        <w:t>דפי</w:t>
      </w:r>
      <w:r w:rsidRPr="00D90A8F">
        <w:rPr>
          <w:rFonts w:ascii="Century" w:hAnsi="Century" w:cs="Miriam"/>
          <w:b/>
          <w:rtl/>
        </w:rPr>
        <w:t xml:space="preserve"> </w:t>
      </w:r>
      <w:r w:rsidRPr="00D90A8F">
        <w:rPr>
          <w:rFonts w:ascii="Century" w:hAnsi="Century" w:cs="Miriam" w:hint="eastAsia"/>
          <w:b/>
          <w:rtl/>
        </w:rPr>
        <w:t>זהב</w:t>
      </w:r>
      <w:r w:rsidRPr="005F4D45">
        <w:rPr>
          <w:rFonts w:ascii="Century" w:hAnsi="Century" w:cs="FrankRuehl" w:hint="cs"/>
          <w:spacing w:val="10"/>
          <w:szCs w:val="28"/>
          <w:rtl/>
        </w:rPr>
        <w:t xml:space="preserve"> </w:t>
      </w:r>
      <w:r>
        <w:rPr>
          <w:rFonts w:ascii="Century" w:hAnsi="Century" w:cs="FrankRuehl"/>
          <w:spacing w:val="10"/>
          <w:szCs w:val="28"/>
          <w:rtl/>
        </w:rPr>
        <w:t>–</w:t>
      </w:r>
      <w:r>
        <w:rPr>
          <w:rFonts w:ascii="Century" w:hAnsi="Century" w:cs="FrankRuehl" w:hint="cs"/>
          <w:spacing w:val="10"/>
          <w:szCs w:val="28"/>
          <w:rtl/>
        </w:rPr>
        <w:t xml:space="preserve"> הוא הנוסחה האיזונית </w:t>
      </w:r>
      <w:r>
        <w:rPr>
          <w:rFonts w:ascii="Century" w:hAnsi="Century" w:cs="FrankRuehl"/>
          <w:spacing w:val="10"/>
          <w:szCs w:val="28"/>
          <w:rtl/>
        </w:rPr>
        <w:t>–</w:t>
      </w:r>
      <w:r>
        <w:rPr>
          <w:rFonts w:ascii="Century" w:hAnsi="Century" w:cs="FrankRuehl" w:hint="cs"/>
          <w:spacing w:val="10"/>
          <w:szCs w:val="28"/>
          <w:rtl/>
        </w:rPr>
        <w:t xml:space="preserve"> למעשה אינו חידוש מהותי. לתפיסתי, פועלו המרכזי (והחשוב) של השופט </w:t>
      </w:r>
      <w:r w:rsidRPr="00D90A8F">
        <w:rPr>
          <w:rFonts w:ascii="Century" w:hAnsi="Century" w:cs="Miriam" w:hint="eastAsia"/>
          <w:b/>
          <w:rtl/>
        </w:rPr>
        <w:t>ברק</w:t>
      </w:r>
      <w:r w:rsidRPr="005F4D45">
        <w:rPr>
          <w:rFonts w:ascii="Century" w:hAnsi="Century" w:cs="FrankRuehl" w:hint="cs"/>
          <w:spacing w:val="10"/>
          <w:szCs w:val="28"/>
          <w:rtl/>
        </w:rPr>
        <w:t xml:space="preserve"> </w:t>
      </w:r>
      <w:r>
        <w:rPr>
          <w:rFonts w:ascii="Century" w:hAnsi="Century" w:cs="FrankRuehl" w:hint="cs"/>
          <w:spacing w:val="10"/>
          <w:szCs w:val="28"/>
          <w:rtl/>
        </w:rPr>
        <w:t xml:space="preserve">בפסק הדין היה להמשיג באמצעות נוסחה מילולית את מה שבתי המשפט עשו עוד קודם לכן במסגרת ביקורת שיפוטית על החלטות מינהליות </w:t>
      </w:r>
      <w:r>
        <w:rPr>
          <w:rFonts w:ascii="Century" w:hAnsi="Century" w:cs="FrankRuehl"/>
          <w:spacing w:val="10"/>
          <w:szCs w:val="28"/>
          <w:rtl/>
        </w:rPr>
        <w:t>–</w:t>
      </w:r>
      <w:r>
        <w:rPr>
          <w:rFonts w:ascii="Century" w:hAnsi="Century" w:cs="FrankRuehl" w:hint="cs"/>
          <w:spacing w:val="10"/>
          <w:szCs w:val="28"/>
          <w:rtl/>
        </w:rPr>
        <w:t xml:space="preserve"> בחינת מכלול הנסיבות והשיקולים הצריכים לעניין, והכרעה האם ההחלטה שהתקבלה נגזרת מהם באופן ראוי או חורגת מהם באופן קיצוני.</w:t>
      </w:r>
    </w:p>
    <w:p w:rsidR="00A01E7C" w:rsidRDefault="00A01E7C" w:rsidP="00A01E7C">
      <w:pPr>
        <w:spacing w:line="360" w:lineRule="auto"/>
        <w:ind w:left="720"/>
        <w:jc w:val="both"/>
        <w:rPr>
          <w:rFonts w:ascii="Century" w:hAnsi="Century" w:cs="FrankRuehl"/>
          <w:spacing w:val="10"/>
          <w:szCs w:val="28"/>
          <w:rtl/>
        </w:rPr>
      </w:pPr>
    </w:p>
    <w:p w:rsidR="00A01E7C" w:rsidRDefault="00A01E7C" w:rsidP="00A01E7C">
      <w:pPr>
        <w:spacing w:line="360" w:lineRule="auto"/>
        <w:ind w:left="720"/>
        <w:jc w:val="both"/>
        <w:rPr>
          <w:rFonts w:ascii="Century" w:hAnsi="Century" w:cs="FrankRuehl"/>
          <w:spacing w:val="10"/>
          <w:szCs w:val="28"/>
          <w:rtl/>
        </w:rPr>
      </w:pPr>
      <w:r>
        <w:rPr>
          <w:rFonts w:ascii="Century" w:hAnsi="Century" w:cs="FrankRuehl"/>
          <w:spacing w:val="10"/>
          <w:szCs w:val="28"/>
          <w:rtl/>
        </w:rPr>
        <w:tab/>
      </w:r>
      <w:r>
        <w:rPr>
          <w:rFonts w:ascii="Century" w:hAnsi="Century" w:cs="FrankRuehl" w:hint="cs"/>
          <w:spacing w:val="10"/>
          <w:szCs w:val="28"/>
          <w:rtl/>
        </w:rPr>
        <w:t xml:space="preserve">אומנם, לא ניתן להתעלם מכך שהשימוש בעילת הסבירות כעילת ביקורת מינהלית הלך והתרחב לאורך השנים, ובפרט לאחר שניתן פסק הדין בעניין </w:t>
      </w:r>
      <w:r w:rsidRPr="00D90A8F">
        <w:rPr>
          <w:rFonts w:ascii="Century" w:hAnsi="Century" w:cs="Miriam" w:hint="eastAsia"/>
          <w:b/>
          <w:rtl/>
        </w:rPr>
        <w:t>דפי</w:t>
      </w:r>
      <w:r w:rsidRPr="00D90A8F">
        <w:rPr>
          <w:rFonts w:ascii="Century" w:hAnsi="Century" w:cs="Miriam"/>
          <w:b/>
          <w:rtl/>
        </w:rPr>
        <w:t xml:space="preserve"> </w:t>
      </w:r>
      <w:r w:rsidRPr="00D90A8F">
        <w:rPr>
          <w:rFonts w:ascii="Century" w:hAnsi="Century" w:cs="Miriam" w:hint="eastAsia"/>
          <w:b/>
          <w:rtl/>
        </w:rPr>
        <w:lastRenderedPageBreak/>
        <w:t>זהב</w:t>
      </w:r>
      <w:r>
        <w:rPr>
          <w:rFonts w:ascii="Century" w:hAnsi="Century" w:cs="FrankRuehl" w:hint="cs"/>
          <w:spacing w:val="10"/>
          <w:szCs w:val="28"/>
          <w:rtl/>
        </w:rPr>
        <w:t xml:space="preserve">. עם זאת, אינני סבורה כי ניתן לייחס התרחבות זו באופן בלעדי לפסק הדין בעניין </w:t>
      </w:r>
      <w:r w:rsidRPr="00D90A8F">
        <w:rPr>
          <w:rFonts w:ascii="Century" w:hAnsi="Century" w:cs="Miriam" w:hint="eastAsia"/>
          <w:b/>
          <w:rtl/>
        </w:rPr>
        <w:t>דפי</w:t>
      </w:r>
      <w:r w:rsidRPr="00D90A8F">
        <w:rPr>
          <w:rFonts w:ascii="Century" w:hAnsi="Century" w:cs="Miriam"/>
          <w:b/>
          <w:rtl/>
        </w:rPr>
        <w:t xml:space="preserve"> </w:t>
      </w:r>
      <w:r w:rsidRPr="00D90A8F">
        <w:rPr>
          <w:rFonts w:ascii="Century" w:hAnsi="Century" w:cs="Miriam" w:hint="eastAsia"/>
          <w:b/>
          <w:rtl/>
        </w:rPr>
        <w:t>זהב</w:t>
      </w:r>
      <w:r>
        <w:rPr>
          <w:rFonts w:ascii="Century" w:hAnsi="Century" w:cs="FrankRuehl" w:hint="cs"/>
          <w:spacing w:val="10"/>
          <w:szCs w:val="28"/>
          <w:rtl/>
        </w:rPr>
        <w:t xml:space="preserve">, אלא למספר גורמים, ובכלל זה להתפתחות של עילות הביקורת השיפוטית על מעשי המינהל בפסיקה ולקשיי ההוכחה הנלווים לעילות אחרות במישור שיקול הדעת (כדוגמת שיקולים זרים). מכל מקום, אף אם פסק הדין בעניין </w:t>
      </w:r>
      <w:r w:rsidRPr="00D90A8F">
        <w:rPr>
          <w:rFonts w:ascii="Century" w:hAnsi="Century" w:cs="Miriam" w:hint="eastAsia"/>
          <w:b/>
          <w:rtl/>
        </w:rPr>
        <w:t>דפי</w:t>
      </w:r>
      <w:r w:rsidRPr="00D90A8F">
        <w:rPr>
          <w:rFonts w:ascii="Century" w:hAnsi="Century" w:cs="Miriam"/>
          <w:b/>
          <w:rtl/>
        </w:rPr>
        <w:t xml:space="preserve"> </w:t>
      </w:r>
      <w:r w:rsidRPr="00D90A8F">
        <w:rPr>
          <w:rFonts w:ascii="Century" w:hAnsi="Century" w:cs="Miriam" w:hint="eastAsia"/>
          <w:b/>
          <w:rtl/>
        </w:rPr>
        <w:t>זהב</w:t>
      </w:r>
      <w:r w:rsidRPr="005F4D45">
        <w:rPr>
          <w:rFonts w:ascii="Century" w:hAnsi="Century" w:cs="FrankRuehl" w:hint="cs"/>
          <w:spacing w:val="10"/>
          <w:szCs w:val="28"/>
          <w:rtl/>
        </w:rPr>
        <w:t xml:space="preserve"> </w:t>
      </w:r>
      <w:r>
        <w:rPr>
          <w:rFonts w:ascii="Century" w:hAnsi="Century" w:cs="FrankRuehl" w:hint="cs"/>
          <w:spacing w:val="10"/>
          <w:szCs w:val="28"/>
          <w:rtl/>
        </w:rPr>
        <w:t>היה גורם משמעותי להתרחבות השימוש בעילה, אין בכך כדי לשנות את העובדה שמבחינה משפטית לא היה בו משום שינוי ברור ומהותי של עילת הסבירות ביחס למצב שקדם לו.</w:t>
      </w:r>
    </w:p>
    <w:p w:rsidR="00A01E7C" w:rsidRDefault="00A01E7C" w:rsidP="00A01E7C">
      <w:pPr>
        <w:spacing w:line="360" w:lineRule="auto"/>
        <w:ind w:left="720"/>
        <w:jc w:val="both"/>
        <w:rPr>
          <w:rFonts w:ascii="Century" w:hAnsi="Century" w:cs="FrankRuehl"/>
          <w:spacing w:val="10"/>
          <w:szCs w:val="28"/>
          <w:rtl/>
        </w:rPr>
      </w:pPr>
    </w:p>
    <w:p w:rsidR="00A01E7C" w:rsidRPr="00D90A8F" w:rsidRDefault="00A01E7C" w:rsidP="00A01E7C">
      <w:pPr>
        <w:spacing w:line="360" w:lineRule="auto"/>
        <w:ind w:left="720"/>
        <w:jc w:val="both"/>
        <w:rPr>
          <w:rFonts w:ascii="Century" w:hAnsi="Century" w:cs="FrankRuehl"/>
          <w:spacing w:val="10"/>
          <w:szCs w:val="28"/>
          <w:rtl/>
        </w:rPr>
      </w:pPr>
      <w:r w:rsidRPr="004F4D8E">
        <w:rPr>
          <w:rFonts w:ascii="Century" w:hAnsi="Century" w:cs="Miriam"/>
          <w:b/>
          <w:rtl/>
        </w:rPr>
        <w:t>(</w:t>
      </w:r>
      <w:r w:rsidRPr="004F4D8E">
        <w:rPr>
          <w:rFonts w:ascii="Century" w:hAnsi="Century" w:cs="Miriam" w:hint="eastAsia"/>
          <w:b/>
          <w:rtl/>
        </w:rPr>
        <w:t>ב</w:t>
      </w:r>
      <w:r w:rsidRPr="004F4D8E">
        <w:rPr>
          <w:rFonts w:ascii="Century" w:hAnsi="Century" w:cs="Miriam"/>
          <w:b/>
          <w:rtl/>
        </w:rPr>
        <w:t>)</w:t>
      </w:r>
      <w:r w:rsidRPr="004F4D8E">
        <w:rPr>
          <w:rFonts w:ascii="Century" w:hAnsi="Century" w:cs="Miriam"/>
          <w:b/>
          <w:rtl/>
        </w:rPr>
        <w:tab/>
      </w:r>
      <w:r>
        <w:rPr>
          <w:rFonts w:ascii="Century" w:hAnsi="Century" w:cs="Miriam" w:hint="cs"/>
          <w:b/>
          <w:rtl/>
        </w:rPr>
        <w:t>הקביעות בפסק הדין דפי זהב</w:t>
      </w:r>
      <w:r w:rsidRPr="00784A65">
        <w:rPr>
          <w:rFonts w:ascii="Century" w:hAnsi="Century" w:cs="Miriam" w:hint="cs"/>
          <w:b/>
          <w:rtl/>
        </w:rPr>
        <w:t>:</w:t>
      </w:r>
      <w:r>
        <w:rPr>
          <w:rFonts w:ascii="Century" w:hAnsi="Century" w:cs="Miriam" w:hint="cs"/>
          <w:b/>
          <w:rtl/>
        </w:rPr>
        <w:t xml:space="preserve"> </w:t>
      </w:r>
      <w:r w:rsidRPr="00D90A8F">
        <w:rPr>
          <w:rFonts w:ascii="Century" w:hAnsi="Century" w:cs="FrankRuehl" w:hint="eastAsia"/>
          <w:spacing w:val="10"/>
          <w:szCs w:val="28"/>
          <w:rtl/>
        </w:rPr>
        <w:t>גם</w:t>
      </w:r>
      <w:r w:rsidRPr="00D90A8F">
        <w:rPr>
          <w:rFonts w:ascii="Century" w:hAnsi="Century" w:cs="FrankRuehl"/>
          <w:spacing w:val="10"/>
          <w:szCs w:val="28"/>
          <w:rtl/>
        </w:rPr>
        <w:t xml:space="preserve"> </w:t>
      </w:r>
      <w:r w:rsidRPr="00D90A8F">
        <w:rPr>
          <w:rFonts w:ascii="Century" w:hAnsi="Century" w:cs="FrankRuehl" w:hint="eastAsia"/>
          <w:spacing w:val="10"/>
          <w:szCs w:val="28"/>
          <w:rtl/>
        </w:rPr>
        <w:t>השופט</w:t>
      </w:r>
      <w:r w:rsidRPr="00D90A8F">
        <w:rPr>
          <w:rFonts w:ascii="Century" w:hAnsi="Century" w:cs="FrankRuehl"/>
          <w:spacing w:val="10"/>
          <w:szCs w:val="28"/>
          <w:rtl/>
        </w:rPr>
        <w:t xml:space="preserve"> </w:t>
      </w:r>
      <w:r w:rsidRPr="00FF5D86">
        <w:rPr>
          <w:rFonts w:ascii="Century" w:hAnsi="Century" w:cs="Miriam" w:hint="eastAsia"/>
          <w:b/>
          <w:rtl/>
        </w:rPr>
        <w:t>ברק</w:t>
      </w:r>
      <w:r w:rsidRPr="00B53DF1">
        <w:rPr>
          <w:rFonts w:ascii="Century" w:hAnsi="Century" w:cs="FrankRuehl"/>
          <w:spacing w:val="10"/>
          <w:szCs w:val="28"/>
          <w:rtl/>
        </w:rPr>
        <w:t xml:space="preserve"> </w:t>
      </w:r>
      <w:r w:rsidRPr="00D90A8F">
        <w:rPr>
          <w:rFonts w:ascii="Century" w:hAnsi="Century" w:cs="FrankRuehl" w:hint="eastAsia"/>
          <w:spacing w:val="10"/>
          <w:szCs w:val="28"/>
          <w:rtl/>
        </w:rPr>
        <w:t>עצמו</w:t>
      </w:r>
      <w:r w:rsidRPr="00D90A8F">
        <w:rPr>
          <w:rFonts w:ascii="Century" w:hAnsi="Century" w:cs="FrankRuehl"/>
          <w:spacing w:val="10"/>
          <w:szCs w:val="28"/>
          <w:rtl/>
        </w:rPr>
        <w:t xml:space="preserve"> </w:t>
      </w:r>
      <w:r w:rsidRPr="00D90A8F">
        <w:rPr>
          <w:rFonts w:ascii="Century" w:hAnsi="Century" w:cs="FrankRuehl" w:hint="eastAsia"/>
          <w:spacing w:val="10"/>
          <w:szCs w:val="28"/>
          <w:rtl/>
        </w:rPr>
        <w:t>בעניין</w:t>
      </w:r>
      <w:r w:rsidRPr="00D90A8F">
        <w:rPr>
          <w:rFonts w:ascii="Century" w:hAnsi="Century" w:cs="FrankRuehl"/>
          <w:spacing w:val="10"/>
          <w:szCs w:val="28"/>
          <w:rtl/>
        </w:rPr>
        <w:t xml:space="preserve"> </w:t>
      </w:r>
      <w:r w:rsidRPr="005F4D45">
        <w:rPr>
          <w:rFonts w:ascii="Century" w:hAnsi="Century" w:cs="Miriam" w:hint="eastAsia"/>
          <w:b/>
          <w:rtl/>
        </w:rPr>
        <w:t>דפי</w:t>
      </w:r>
      <w:r w:rsidRPr="005F4D45">
        <w:rPr>
          <w:rFonts w:ascii="Century" w:hAnsi="Century" w:cs="Miriam"/>
          <w:b/>
          <w:rtl/>
        </w:rPr>
        <w:t xml:space="preserve"> זהב</w:t>
      </w:r>
      <w:r w:rsidRPr="00D90A8F">
        <w:rPr>
          <w:rFonts w:ascii="Century" w:hAnsi="Century" w:cs="FrankRuehl"/>
          <w:spacing w:val="10"/>
          <w:szCs w:val="28"/>
          <w:rtl/>
        </w:rPr>
        <w:t xml:space="preserve"> </w:t>
      </w:r>
      <w:r w:rsidRPr="00D90A8F">
        <w:rPr>
          <w:rFonts w:ascii="Century" w:hAnsi="Century" w:cs="FrankRuehl" w:hint="eastAsia"/>
          <w:spacing w:val="10"/>
          <w:szCs w:val="28"/>
          <w:rtl/>
        </w:rPr>
        <w:t>לא</w:t>
      </w:r>
      <w:r w:rsidRPr="00D90A8F">
        <w:rPr>
          <w:rFonts w:ascii="Century" w:hAnsi="Century" w:cs="FrankRuehl"/>
          <w:spacing w:val="10"/>
          <w:szCs w:val="28"/>
          <w:rtl/>
        </w:rPr>
        <w:t xml:space="preserve"> </w:t>
      </w:r>
      <w:r w:rsidRPr="00D90A8F">
        <w:rPr>
          <w:rFonts w:ascii="Century" w:hAnsi="Century" w:cs="FrankRuehl" w:hint="eastAsia"/>
          <w:spacing w:val="10"/>
          <w:szCs w:val="28"/>
          <w:rtl/>
        </w:rPr>
        <w:t>ראה</w:t>
      </w:r>
      <w:r w:rsidRPr="00D90A8F">
        <w:rPr>
          <w:rFonts w:ascii="Century" w:hAnsi="Century" w:cs="FrankRuehl"/>
          <w:spacing w:val="10"/>
          <w:szCs w:val="28"/>
          <w:rtl/>
        </w:rPr>
        <w:t xml:space="preserve"> </w:t>
      </w:r>
      <w:r w:rsidRPr="00D90A8F">
        <w:rPr>
          <w:rFonts w:ascii="Century" w:hAnsi="Century" w:cs="FrankRuehl" w:hint="eastAsia"/>
          <w:spacing w:val="10"/>
          <w:szCs w:val="28"/>
          <w:rtl/>
        </w:rPr>
        <w:t>את</w:t>
      </w:r>
      <w:r w:rsidRPr="00D90A8F">
        <w:rPr>
          <w:rFonts w:ascii="Century" w:hAnsi="Century" w:cs="FrankRuehl"/>
          <w:spacing w:val="10"/>
          <w:szCs w:val="28"/>
          <w:rtl/>
        </w:rPr>
        <w:t xml:space="preserve"> </w:t>
      </w:r>
      <w:r w:rsidRPr="00D90A8F">
        <w:rPr>
          <w:rFonts w:ascii="Century" w:hAnsi="Century" w:cs="FrankRuehl" w:hint="eastAsia"/>
          <w:spacing w:val="10"/>
          <w:szCs w:val="28"/>
          <w:rtl/>
        </w:rPr>
        <w:t>פסק</w:t>
      </w:r>
      <w:r w:rsidRPr="00D90A8F">
        <w:rPr>
          <w:rFonts w:ascii="Century" w:hAnsi="Century" w:cs="FrankRuehl"/>
          <w:spacing w:val="10"/>
          <w:szCs w:val="28"/>
          <w:rtl/>
        </w:rPr>
        <w:t xml:space="preserve"> </w:t>
      </w:r>
      <w:r w:rsidRPr="00D90A8F">
        <w:rPr>
          <w:rFonts w:ascii="Century" w:hAnsi="Century" w:cs="FrankRuehl" w:hint="eastAsia"/>
          <w:spacing w:val="10"/>
          <w:szCs w:val="28"/>
          <w:rtl/>
        </w:rPr>
        <w:t>הדין</w:t>
      </w:r>
      <w:r w:rsidRPr="00D90A8F">
        <w:rPr>
          <w:rFonts w:ascii="Century" w:hAnsi="Century" w:cs="FrankRuehl"/>
          <w:spacing w:val="10"/>
          <w:szCs w:val="28"/>
          <w:rtl/>
        </w:rPr>
        <w:t xml:space="preserve"> </w:t>
      </w:r>
      <w:r w:rsidRPr="00D90A8F">
        <w:rPr>
          <w:rFonts w:ascii="Century" w:hAnsi="Century" w:cs="FrankRuehl" w:hint="eastAsia"/>
          <w:spacing w:val="10"/>
          <w:szCs w:val="28"/>
          <w:rtl/>
        </w:rPr>
        <w:t>כ</w:t>
      </w:r>
      <w:r w:rsidRPr="00D90A8F">
        <w:rPr>
          <w:rFonts w:ascii="Century" w:hAnsi="Century" w:cs="FrankRuehl"/>
          <w:spacing w:val="10"/>
          <w:szCs w:val="28"/>
          <w:rtl/>
        </w:rPr>
        <w:t>"</w:t>
      </w:r>
      <w:r w:rsidRPr="00D90A8F">
        <w:rPr>
          <w:rFonts w:ascii="Century" w:hAnsi="Century" w:cs="FrankRuehl" w:hint="eastAsia"/>
          <w:spacing w:val="10"/>
          <w:szCs w:val="28"/>
          <w:rtl/>
        </w:rPr>
        <w:t>קו</w:t>
      </w:r>
      <w:r w:rsidRPr="00D90A8F">
        <w:rPr>
          <w:rFonts w:ascii="Century" w:hAnsi="Century" w:cs="FrankRuehl"/>
          <w:spacing w:val="10"/>
          <w:szCs w:val="28"/>
          <w:rtl/>
        </w:rPr>
        <w:t xml:space="preserve"> </w:t>
      </w:r>
      <w:r w:rsidRPr="00D90A8F">
        <w:rPr>
          <w:rFonts w:ascii="Century" w:hAnsi="Century" w:cs="FrankRuehl" w:hint="eastAsia"/>
          <w:spacing w:val="10"/>
          <w:szCs w:val="28"/>
          <w:rtl/>
        </w:rPr>
        <w:t>פרשת</w:t>
      </w:r>
      <w:r w:rsidRPr="00D90A8F">
        <w:rPr>
          <w:rFonts w:ascii="Century" w:hAnsi="Century" w:cs="FrankRuehl"/>
          <w:spacing w:val="10"/>
          <w:szCs w:val="28"/>
          <w:rtl/>
        </w:rPr>
        <w:t xml:space="preserve"> </w:t>
      </w:r>
      <w:r w:rsidRPr="00D90A8F">
        <w:rPr>
          <w:rFonts w:ascii="Century" w:hAnsi="Century" w:cs="FrankRuehl" w:hint="eastAsia"/>
          <w:spacing w:val="10"/>
          <w:szCs w:val="28"/>
          <w:rtl/>
        </w:rPr>
        <w:t>המים</w:t>
      </w:r>
      <w:r w:rsidRPr="00D90A8F">
        <w:rPr>
          <w:rFonts w:ascii="Century" w:hAnsi="Century" w:cs="FrankRuehl"/>
          <w:spacing w:val="10"/>
          <w:szCs w:val="28"/>
          <w:rtl/>
        </w:rPr>
        <w:t>"</w:t>
      </w:r>
      <w:r>
        <w:rPr>
          <w:rFonts w:ascii="Century" w:hAnsi="Century" w:cs="FrankRuehl" w:hint="cs"/>
          <w:spacing w:val="10"/>
          <w:szCs w:val="28"/>
          <w:rtl/>
        </w:rPr>
        <w:t xml:space="preserve"> או כפסק דין המחולל מהפכה בעילת הסבירות.</w:t>
      </w:r>
      <w:r w:rsidRPr="00D90A8F">
        <w:rPr>
          <w:rFonts w:ascii="Century" w:hAnsi="Century" w:cs="FrankRuehl"/>
          <w:spacing w:val="10"/>
          <w:szCs w:val="28"/>
          <w:rtl/>
        </w:rPr>
        <w:t xml:space="preserve"> </w:t>
      </w:r>
      <w:r w:rsidRPr="00D90A8F">
        <w:rPr>
          <w:rFonts w:ascii="Century" w:hAnsi="Century" w:cs="FrankRuehl" w:hint="eastAsia"/>
          <w:spacing w:val="10"/>
          <w:szCs w:val="28"/>
          <w:rtl/>
        </w:rPr>
        <w:t>כפי</w:t>
      </w:r>
      <w:r w:rsidRPr="00D90A8F">
        <w:rPr>
          <w:rFonts w:ascii="Century" w:hAnsi="Century" w:cs="FrankRuehl"/>
          <w:spacing w:val="10"/>
          <w:szCs w:val="28"/>
          <w:rtl/>
        </w:rPr>
        <w:t xml:space="preserve"> </w:t>
      </w:r>
      <w:r w:rsidRPr="005F4D45">
        <w:rPr>
          <w:rFonts w:ascii="Century" w:hAnsi="Century" w:cs="FrankRuehl" w:hint="eastAsia"/>
          <w:spacing w:val="10"/>
          <w:szCs w:val="28"/>
          <w:rtl/>
        </w:rPr>
        <w:t>שצו</w:t>
      </w:r>
      <w:r w:rsidRPr="00D90A8F">
        <w:rPr>
          <w:rFonts w:ascii="Century" w:hAnsi="Century" w:cs="FrankRuehl" w:hint="eastAsia"/>
          <w:spacing w:val="10"/>
          <w:szCs w:val="28"/>
          <w:rtl/>
        </w:rPr>
        <w:t>ין</w:t>
      </w:r>
      <w:r w:rsidRPr="00D90A8F">
        <w:rPr>
          <w:rFonts w:ascii="Century" w:hAnsi="Century" w:cs="FrankRuehl"/>
          <w:spacing w:val="10"/>
          <w:szCs w:val="28"/>
          <w:rtl/>
        </w:rPr>
        <w:t xml:space="preserve"> </w:t>
      </w:r>
      <w:r w:rsidRPr="00D90A8F">
        <w:rPr>
          <w:rFonts w:ascii="Century" w:hAnsi="Century" w:cs="FrankRuehl" w:hint="eastAsia"/>
          <w:spacing w:val="10"/>
          <w:szCs w:val="28"/>
          <w:rtl/>
        </w:rPr>
        <w:t>לעיל</w:t>
      </w:r>
      <w:r w:rsidRPr="00D90A8F">
        <w:rPr>
          <w:rFonts w:ascii="Century" w:hAnsi="Century" w:cs="FrankRuehl"/>
          <w:spacing w:val="10"/>
          <w:szCs w:val="28"/>
          <w:rtl/>
        </w:rPr>
        <w:t xml:space="preserve">, </w:t>
      </w:r>
      <w:r w:rsidRPr="00D90A8F">
        <w:rPr>
          <w:rFonts w:ascii="Century" w:hAnsi="Century" w:cs="FrankRuehl" w:hint="eastAsia"/>
          <w:spacing w:val="10"/>
          <w:szCs w:val="28"/>
          <w:rtl/>
        </w:rPr>
        <w:t>בפסק</w:t>
      </w:r>
      <w:r w:rsidRPr="00D90A8F">
        <w:rPr>
          <w:rFonts w:ascii="Century" w:hAnsi="Century" w:cs="FrankRuehl"/>
          <w:spacing w:val="10"/>
          <w:szCs w:val="28"/>
          <w:rtl/>
        </w:rPr>
        <w:t xml:space="preserve"> </w:t>
      </w:r>
      <w:r w:rsidRPr="00D90A8F">
        <w:rPr>
          <w:rFonts w:ascii="Century" w:hAnsi="Century" w:cs="FrankRuehl" w:hint="eastAsia"/>
          <w:spacing w:val="10"/>
          <w:szCs w:val="28"/>
          <w:rtl/>
        </w:rPr>
        <w:t>דינו</w:t>
      </w:r>
      <w:r>
        <w:rPr>
          <w:rFonts w:ascii="Century" w:hAnsi="Century" w:cs="FrankRuehl" w:hint="cs"/>
          <w:spacing w:val="10"/>
          <w:szCs w:val="28"/>
          <w:rtl/>
        </w:rPr>
        <w:t xml:space="preserve"> הבהיר השופט </w:t>
      </w:r>
      <w:r w:rsidRPr="00D90A8F">
        <w:rPr>
          <w:rFonts w:ascii="Century" w:hAnsi="Century" w:cs="Miriam" w:hint="eastAsia"/>
          <w:b/>
          <w:rtl/>
        </w:rPr>
        <w:t>ברק</w:t>
      </w:r>
      <w:r w:rsidRPr="008C0BB1">
        <w:rPr>
          <w:rFonts w:ascii="Century" w:hAnsi="Century" w:cs="FrankRuehl" w:hint="cs"/>
          <w:spacing w:val="10"/>
          <w:szCs w:val="28"/>
          <w:rtl/>
        </w:rPr>
        <w:t xml:space="preserve"> </w:t>
      </w:r>
      <w:r>
        <w:rPr>
          <w:rFonts w:ascii="Century" w:hAnsi="Century" w:cs="FrankRuehl" w:hint="cs"/>
          <w:spacing w:val="10"/>
          <w:szCs w:val="28"/>
          <w:rtl/>
        </w:rPr>
        <w:t xml:space="preserve">כי הוא רק משקף את הדין המצוי כפי שהוא עלה מפסיקתו של בית משפט זה עד אותה נקודה. בפסק דינו אף נסמך השופט </w:t>
      </w:r>
      <w:r w:rsidRPr="00D90A8F">
        <w:rPr>
          <w:rFonts w:ascii="Century" w:hAnsi="Century" w:cs="Miriam" w:hint="eastAsia"/>
          <w:b/>
          <w:rtl/>
        </w:rPr>
        <w:t>ברק</w:t>
      </w:r>
      <w:r w:rsidRPr="005F4D45">
        <w:rPr>
          <w:rFonts w:ascii="Century" w:hAnsi="Century" w:cs="FrankRuehl" w:hint="cs"/>
          <w:spacing w:val="10"/>
          <w:szCs w:val="28"/>
          <w:rtl/>
        </w:rPr>
        <w:t xml:space="preserve"> </w:t>
      </w:r>
      <w:r>
        <w:rPr>
          <w:rFonts w:ascii="Century" w:hAnsi="Century" w:cs="FrankRuehl" w:hint="cs"/>
          <w:spacing w:val="10"/>
          <w:szCs w:val="28"/>
          <w:rtl/>
        </w:rPr>
        <w:t xml:space="preserve">על פסקי דין קודמים המשקפים לשיטתו גישה דומה לנוסחה האיזונית אותה הציג בפסק הדין (ראו: עניין </w:t>
      </w:r>
      <w:r w:rsidRPr="00B2545A">
        <w:rPr>
          <w:rFonts w:ascii="Century" w:hAnsi="Century" w:cs="Miriam" w:hint="cs"/>
          <w:b/>
          <w:rtl/>
        </w:rPr>
        <w:t>דפי זהב</w:t>
      </w:r>
      <w:r>
        <w:rPr>
          <w:rFonts w:ascii="Century" w:hAnsi="Century" w:cs="FrankRuehl" w:hint="cs"/>
          <w:spacing w:val="10"/>
          <w:szCs w:val="28"/>
          <w:rtl/>
        </w:rPr>
        <w:t>, בעמודים 446-445).</w:t>
      </w:r>
      <w:r w:rsidRPr="004F4D8E">
        <w:rPr>
          <w:rFonts w:ascii="Century" w:hAnsi="Century" w:cs="Miriam"/>
          <w:b/>
          <w:rtl/>
        </w:rPr>
        <w:t xml:space="preserve"> </w:t>
      </w:r>
      <w:r w:rsidRPr="00D90A8F">
        <w:rPr>
          <w:rFonts w:ascii="Century" w:hAnsi="Century" w:cs="FrankRuehl" w:hint="eastAsia"/>
          <w:spacing w:val="10"/>
          <w:szCs w:val="28"/>
          <w:rtl/>
        </w:rPr>
        <w:t>עוד</w:t>
      </w:r>
      <w:r w:rsidRPr="00D90A8F">
        <w:rPr>
          <w:rFonts w:ascii="Century" w:hAnsi="Century" w:cs="FrankRuehl"/>
          <w:spacing w:val="10"/>
          <w:szCs w:val="28"/>
          <w:rtl/>
        </w:rPr>
        <w:t xml:space="preserve"> </w:t>
      </w:r>
      <w:r w:rsidRPr="00D90A8F">
        <w:rPr>
          <w:rFonts w:ascii="Century" w:hAnsi="Century" w:cs="FrankRuehl" w:hint="eastAsia"/>
          <w:spacing w:val="10"/>
          <w:szCs w:val="28"/>
          <w:rtl/>
        </w:rPr>
        <w:t>יש</w:t>
      </w:r>
      <w:r w:rsidRPr="00D90A8F">
        <w:rPr>
          <w:rFonts w:ascii="Century" w:hAnsi="Century" w:cs="FrankRuehl"/>
          <w:spacing w:val="10"/>
          <w:szCs w:val="28"/>
          <w:rtl/>
        </w:rPr>
        <w:t xml:space="preserve"> </w:t>
      </w:r>
      <w:r w:rsidRPr="00D90A8F">
        <w:rPr>
          <w:rFonts w:ascii="Century" w:hAnsi="Century" w:cs="FrankRuehl" w:hint="eastAsia"/>
          <w:spacing w:val="10"/>
          <w:szCs w:val="28"/>
          <w:rtl/>
        </w:rPr>
        <w:t>לציין</w:t>
      </w:r>
      <w:r w:rsidRPr="00D90A8F">
        <w:rPr>
          <w:rFonts w:ascii="Century" w:hAnsi="Century" w:cs="FrankRuehl"/>
          <w:spacing w:val="10"/>
          <w:szCs w:val="28"/>
          <w:rtl/>
        </w:rPr>
        <w:t xml:space="preserve"> </w:t>
      </w:r>
      <w:r w:rsidRPr="00D90A8F">
        <w:rPr>
          <w:rFonts w:ascii="Century" w:hAnsi="Century" w:cs="FrankRuehl" w:hint="eastAsia"/>
          <w:spacing w:val="10"/>
          <w:szCs w:val="28"/>
          <w:rtl/>
        </w:rPr>
        <w:t>כי</w:t>
      </w:r>
      <w:r w:rsidRPr="00D90A8F">
        <w:rPr>
          <w:rFonts w:ascii="Century" w:hAnsi="Century" w:cs="FrankRuehl"/>
          <w:spacing w:val="10"/>
          <w:szCs w:val="28"/>
          <w:rtl/>
        </w:rPr>
        <w:t xml:space="preserve"> </w:t>
      </w:r>
      <w:r w:rsidRPr="00D90A8F">
        <w:rPr>
          <w:rFonts w:ascii="Century" w:hAnsi="Century" w:cs="FrankRuehl" w:hint="eastAsia"/>
          <w:spacing w:val="10"/>
          <w:szCs w:val="28"/>
          <w:rtl/>
        </w:rPr>
        <w:t>בניגוד</w:t>
      </w:r>
      <w:r w:rsidRPr="00D90A8F">
        <w:rPr>
          <w:rFonts w:ascii="Century" w:hAnsi="Century" w:cs="FrankRuehl"/>
          <w:spacing w:val="10"/>
          <w:szCs w:val="28"/>
          <w:rtl/>
        </w:rPr>
        <w:t xml:space="preserve"> </w:t>
      </w:r>
      <w:r w:rsidRPr="00D90A8F">
        <w:rPr>
          <w:rFonts w:ascii="Century" w:hAnsi="Century" w:cs="FrankRuehl" w:hint="eastAsia"/>
          <w:spacing w:val="10"/>
          <w:szCs w:val="28"/>
          <w:rtl/>
        </w:rPr>
        <w:t>לטוענים</w:t>
      </w:r>
      <w:r w:rsidRPr="00D90A8F">
        <w:rPr>
          <w:rFonts w:ascii="Century" w:hAnsi="Century" w:cs="FrankRuehl"/>
          <w:spacing w:val="10"/>
          <w:szCs w:val="28"/>
          <w:rtl/>
        </w:rPr>
        <w:t xml:space="preserve"> </w:t>
      </w:r>
      <w:r w:rsidRPr="00D90A8F">
        <w:rPr>
          <w:rFonts w:ascii="Century" w:hAnsi="Century" w:cs="FrankRuehl" w:hint="eastAsia"/>
          <w:spacing w:val="10"/>
          <w:szCs w:val="28"/>
          <w:rtl/>
        </w:rPr>
        <w:t>כי</w:t>
      </w:r>
      <w:r w:rsidRPr="00D90A8F">
        <w:rPr>
          <w:rFonts w:ascii="Century" w:hAnsi="Century" w:cs="FrankRuehl"/>
          <w:spacing w:val="10"/>
          <w:szCs w:val="28"/>
          <w:rtl/>
        </w:rPr>
        <w:t xml:space="preserve"> </w:t>
      </w:r>
      <w:r>
        <w:rPr>
          <w:rFonts w:ascii="Century" w:hAnsi="Century" w:cs="FrankRuehl" w:hint="cs"/>
          <w:spacing w:val="10"/>
          <w:szCs w:val="28"/>
          <w:rtl/>
        </w:rPr>
        <w:t xml:space="preserve">הקביעות בפסק הדין הפכו את עילת הסבירות לכלי באמצעותו </w:t>
      </w:r>
      <w:r w:rsidRPr="00D90A8F">
        <w:rPr>
          <w:rFonts w:ascii="Century" w:hAnsi="Century" w:cs="FrankRuehl" w:hint="eastAsia"/>
          <w:spacing w:val="10"/>
          <w:szCs w:val="28"/>
          <w:rtl/>
        </w:rPr>
        <w:t>יכול</w:t>
      </w:r>
      <w:r w:rsidRPr="00D90A8F">
        <w:rPr>
          <w:rFonts w:ascii="Century" w:hAnsi="Century" w:cs="FrankRuehl"/>
          <w:spacing w:val="10"/>
          <w:szCs w:val="28"/>
          <w:rtl/>
        </w:rPr>
        <w:t xml:space="preserve"> </w:t>
      </w:r>
      <w:r w:rsidRPr="00D90A8F">
        <w:rPr>
          <w:rFonts w:ascii="Century" w:hAnsi="Century" w:cs="FrankRuehl" w:hint="eastAsia"/>
          <w:spacing w:val="10"/>
          <w:szCs w:val="28"/>
          <w:rtl/>
        </w:rPr>
        <w:t>בית</w:t>
      </w:r>
      <w:r w:rsidRPr="00D90A8F">
        <w:rPr>
          <w:rFonts w:ascii="Century" w:hAnsi="Century" w:cs="FrankRuehl"/>
          <w:spacing w:val="10"/>
          <w:szCs w:val="28"/>
          <w:rtl/>
        </w:rPr>
        <w:t xml:space="preserve"> </w:t>
      </w:r>
      <w:r w:rsidRPr="00D90A8F">
        <w:rPr>
          <w:rFonts w:ascii="Century" w:hAnsi="Century" w:cs="FrankRuehl" w:hint="eastAsia"/>
          <w:spacing w:val="10"/>
          <w:szCs w:val="28"/>
          <w:rtl/>
        </w:rPr>
        <w:t>המשפט</w:t>
      </w:r>
      <w:r w:rsidRPr="00D90A8F">
        <w:rPr>
          <w:rFonts w:ascii="Century" w:hAnsi="Century" w:cs="FrankRuehl"/>
          <w:spacing w:val="10"/>
          <w:szCs w:val="28"/>
          <w:rtl/>
        </w:rPr>
        <w:t xml:space="preserve"> </w:t>
      </w:r>
      <w:r w:rsidRPr="00D90A8F">
        <w:rPr>
          <w:rFonts w:ascii="Century" w:hAnsi="Century" w:cs="FrankRuehl" w:hint="eastAsia"/>
          <w:spacing w:val="10"/>
          <w:szCs w:val="28"/>
          <w:rtl/>
        </w:rPr>
        <w:t>להחליף</w:t>
      </w:r>
      <w:r w:rsidRPr="00D90A8F">
        <w:rPr>
          <w:rFonts w:ascii="Century" w:hAnsi="Century" w:cs="FrankRuehl"/>
          <w:spacing w:val="10"/>
          <w:szCs w:val="28"/>
          <w:rtl/>
        </w:rPr>
        <w:t xml:space="preserve"> </w:t>
      </w:r>
      <w:r w:rsidRPr="00D90A8F">
        <w:rPr>
          <w:rFonts w:ascii="Century" w:hAnsi="Century" w:cs="FrankRuehl" w:hint="eastAsia"/>
          <w:spacing w:val="10"/>
          <w:szCs w:val="28"/>
          <w:rtl/>
        </w:rPr>
        <w:t>את</w:t>
      </w:r>
      <w:r w:rsidRPr="00D90A8F">
        <w:rPr>
          <w:rFonts w:ascii="Century" w:hAnsi="Century" w:cs="FrankRuehl"/>
          <w:spacing w:val="10"/>
          <w:szCs w:val="28"/>
          <w:rtl/>
        </w:rPr>
        <w:t xml:space="preserve"> </w:t>
      </w:r>
      <w:r w:rsidRPr="00D90A8F">
        <w:rPr>
          <w:rFonts w:ascii="Century" w:hAnsi="Century" w:cs="FrankRuehl" w:hint="eastAsia"/>
          <w:spacing w:val="10"/>
          <w:szCs w:val="28"/>
          <w:rtl/>
        </w:rPr>
        <w:t>שיקול</w:t>
      </w:r>
      <w:r w:rsidRPr="00D90A8F">
        <w:rPr>
          <w:rFonts w:ascii="Century" w:hAnsi="Century" w:cs="FrankRuehl"/>
          <w:spacing w:val="10"/>
          <w:szCs w:val="28"/>
          <w:rtl/>
        </w:rPr>
        <w:t xml:space="preserve"> </w:t>
      </w:r>
      <w:r w:rsidRPr="00D90A8F">
        <w:rPr>
          <w:rFonts w:ascii="Century" w:hAnsi="Century" w:cs="FrankRuehl" w:hint="eastAsia"/>
          <w:spacing w:val="10"/>
          <w:szCs w:val="28"/>
          <w:rtl/>
        </w:rPr>
        <w:t>דעתה</w:t>
      </w:r>
      <w:r w:rsidRPr="00D90A8F">
        <w:rPr>
          <w:rFonts w:ascii="Century" w:hAnsi="Century" w:cs="FrankRuehl"/>
          <w:spacing w:val="10"/>
          <w:szCs w:val="28"/>
          <w:rtl/>
        </w:rPr>
        <w:t xml:space="preserve"> </w:t>
      </w:r>
      <w:r w:rsidRPr="00D90A8F">
        <w:rPr>
          <w:rFonts w:ascii="Century" w:hAnsi="Century" w:cs="FrankRuehl" w:hint="eastAsia"/>
          <w:spacing w:val="10"/>
          <w:szCs w:val="28"/>
          <w:rtl/>
        </w:rPr>
        <w:t>של</w:t>
      </w:r>
      <w:r w:rsidRPr="00D90A8F">
        <w:rPr>
          <w:rFonts w:ascii="Century" w:hAnsi="Century" w:cs="FrankRuehl"/>
          <w:spacing w:val="10"/>
          <w:szCs w:val="28"/>
          <w:rtl/>
        </w:rPr>
        <w:t xml:space="preserve"> </w:t>
      </w:r>
      <w:r w:rsidRPr="00D90A8F">
        <w:rPr>
          <w:rFonts w:ascii="Century" w:hAnsi="Century" w:cs="FrankRuehl" w:hint="eastAsia"/>
          <w:spacing w:val="10"/>
          <w:szCs w:val="28"/>
          <w:rtl/>
        </w:rPr>
        <w:t>הרשות</w:t>
      </w:r>
      <w:r w:rsidRPr="00D90A8F">
        <w:rPr>
          <w:rFonts w:ascii="Century" w:hAnsi="Century" w:cs="FrankRuehl"/>
          <w:spacing w:val="10"/>
          <w:szCs w:val="28"/>
          <w:rtl/>
        </w:rPr>
        <w:t xml:space="preserve"> </w:t>
      </w:r>
      <w:r w:rsidRPr="00D90A8F">
        <w:rPr>
          <w:rFonts w:ascii="Century" w:hAnsi="Century" w:cs="FrankRuehl" w:hint="eastAsia"/>
          <w:spacing w:val="10"/>
          <w:szCs w:val="28"/>
          <w:rtl/>
        </w:rPr>
        <w:t>המינהלית</w:t>
      </w:r>
      <w:r w:rsidRPr="00D90A8F">
        <w:rPr>
          <w:rFonts w:ascii="Century" w:hAnsi="Century" w:cs="FrankRuehl"/>
          <w:spacing w:val="10"/>
          <w:szCs w:val="28"/>
          <w:rtl/>
        </w:rPr>
        <w:t xml:space="preserve"> </w:t>
      </w:r>
      <w:r w:rsidRPr="00D90A8F">
        <w:rPr>
          <w:rFonts w:ascii="Century" w:hAnsi="Century" w:cs="FrankRuehl" w:hint="eastAsia"/>
          <w:spacing w:val="10"/>
          <w:szCs w:val="28"/>
          <w:rtl/>
        </w:rPr>
        <w:t>בשיקול</w:t>
      </w:r>
      <w:r w:rsidRPr="00D90A8F">
        <w:rPr>
          <w:rFonts w:ascii="Century" w:hAnsi="Century" w:cs="FrankRuehl"/>
          <w:spacing w:val="10"/>
          <w:szCs w:val="28"/>
          <w:rtl/>
        </w:rPr>
        <w:t xml:space="preserve"> </w:t>
      </w:r>
      <w:r w:rsidRPr="00D90A8F">
        <w:rPr>
          <w:rFonts w:ascii="Century" w:hAnsi="Century" w:cs="FrankRuehl" w:hint="eastAsia"/>
          <w:spacing w:val="10"/>
          <w:szCs w:val="28"/>
          <w:rtl/>
        </w:rPr>
        <w:t>דעתו</w:t>
      </w:r>
      <w:r w:rsidRPr="00D90A8F">
        <w:rPr>
          <w:rFonts w:ascii="Century" w:hAnsi="Century" w:cs="FrankRuehl"/>
          <w:spacing w:val="10"/>
          <w:szCs w:val="28"/>
          <w:rtl/>
        </w:rPr>
        <w:t xml:space="preserve"> </w:t>
      </w:r>
      <w:r w:rsidRPr="00D90A8F">
        <w:rPr>
          <w:rFonts w:ascii="Century" w:hAnsi="Century" w:cs="FrankRuehl" w:hint="eastAsia"/>
          <w:spacing w:val="10"/>
          <w:szCs w:val="28"/>
          <w:rtl/>
        </w:rPr>
        <w:t>שלו</w:t>
      </w:r>
      <w:r w:rsidRPr="00D90A8F">
        <w:rPr>
          <w:rFonts w:ascii="Century" w:hAnsi="Century" w:cs="FrankRuehl"/>
          <w:spacing w:val="10"/>
          <w:szCs w:val="28"/>
          <w:rtl/>
        </w:rPr>
        <w:t xml:space="preserve"> </w:t>
      </w:r>
      <w:r w:rsidRPr="00D90A8F">
        <w:rPr>
          <w:rFonts w:ascii="Century" w:hAnsi="Century" w:cs="FrankRuehl" w:hint="eastAsia"/>
          <w:spacing w:val="10"/>
          <w:szCs w:val="28"/>
          <w:rtl/>
        </w:rPr>
        <w:t>ולהתערב</w:t>
      </w:r>
      <w:r w:rsidRPr="00D90A8F">
        <w:rPr>
          <w:rFonts w:ascii="Century" w:hAnsi="Century" w:cs="FrankRuehl"/>
          <w:spacing w:val="10"/>
          <w:szCs w:val="28"/>
          <w:rtl/>
        </w:rPr>
        <w:t xml:space="preserve"> </w:t>
      </w:r>
      <w:r w:rsidRPr="00D90A8F">
        <w:rPr>
          <w:rFonts w:ascii="Century" w:hAnsi="Century" w:cs="FrankRuehl" w:hint="eastAsia"/>
          <w:spacing w:val="10"/>
          <w:szCs w:val="28"/>
          <w:rtl/>
        </w:rPr>
        <w:t>בכל</w:t>
      </w:r>
      <w:r w:rsidRPr="00D90A8F">
        <w:rPr>
          <w:rFonts w:ascii="Century" w:hAnsi="Century" w:cs="FrankRuehl"/>
          <w:spacing w:val="10"/>
          <w:szCs w:val="28"/>
          <w:rtl/>
        </w:rPr>
        <w:t xml:space="preserve"> </w:t>
      </w:r>
      <w:r w:rsidRPr="00D90A8F">
        <w:rPr>
          <w:rFonts w:ascii="Century" w:hAnsi="Century" w:cs="FrankRuehl" w:hint="eastAsia"/>
          <w:spacing w:val="10"/>
          <w:szCs w:val="28"/>
          <w:rtl/>
        </w:rPr>
        <w:t>מקרה</w:t>
      </w:r>
      <w:r w:rsidRPr="00D90A8F">
        <w:rPr>
          <w:rFonts w:ascii="Century" w:hAnsi="Century" w:cs="FrankRuehl"/>
          <w:spacing w:val="10"/>
          <w:szCs w:val="28"/>
          <w:rtl/>
        </w:rPr>
        <w:t xml:space="preserve"> </w:t>
      </w:r>
      <w:r w:rsidRPr="00D90A8F">
        <w:rPr>
          <w:rFonts w:ascii="Century" w:hAnsi="Century" w:cs="FrankRuehl" w:hint="eastAsia"/>
          <w:spacing w:val="10"/>
          <w:szCs w:val="28"/>
          <w:rtl/>
        </w:rPr>
        <w:t>בו</w:t>
      </w:r>
      <w:r w:rsidRPr="00D90A8F">
        <w:rPr>
          <w:rFonts w:ascii="Century" w:hAnsi="Century" w:cs="FrankRuehl"/>
          <w:spacing w:val="10"/>
          <w:szCs w:val="28"/>
          <w:rtl/>
        </w:rPr>
        <w:t xml:space="preserve"> </w:t>
      </w:r>
      <w:r w:rsidRPr="00D90A8F">
        <w:rPr>
          <w:rFonts w:ascii="Century" w:hAnsi="Century" w:cs="FrankRuehl" w:hint="eastAsia"/>
          <w:spacing w:val="10"/>
          <w:szCs w:val="28"/>
          <w:rtl/>
        </w:rPr>
        <w:t>הוא</w:t>
      </w:r>
      <w:r w:rsidRPr="00D90A8F">
        <w:rPr>
          <w:rFonts w:ascii="Century" w:hAnsi="Century" w:cs="FrankRuehl"/>
          <w:spacing w:val="10"/>
          <w:szCs w:val="28"/>
          <w:rtl/>
        </w:rPr>
        <w:t xml:space="preserve"> </w:t>
      </w:r>
      <w:r w:rsidRPr="00D90A8F">
        <w:rPr>
          <w:rFonts w:ascii="Century" w:hAnsi="Century" w:cs="FrankRuehl" w:hint="eastAsia"/>
          <w:spacing w:val="10"/>
          <w:szCs w:val="28"/>
          <w:rtl/>
        </w:rPr>
        <w:t>סבור</w:t>
      </w:r>
      <w:r w:rsidRPr="00D90A8F">
        <w:rPr>
          <w:rFonts w:ascii="Century" w:hAnsi="Century" w:cs="FrankRuehl"/>
          <w:spacing w:val="10"/>
          <w:szCs w:val="28"/>
          <w:rtl/>
        </w:rPr>
        <w:t xml:space="preserve"> </w:t>
      </w:r>
      <w:r w:rsidRPr="00D90A8F">
        <w:rPr>
          <w:rFonts w:ascii="Century" w:hAnsi="Century" w:cs="FrankRuehl" w:hint="eastAsia"/>
          <w:spacing w:val="10"/>
          <w:szCs w:val="28"/>
          <w:rtl/>
        </w:rPr>
        <w:t>כי</w:t>
      </w:r>
      <w:r w:rsidRPr="00D90A8F">
        <w:rPr>
          <w:rFonts w:ascii="Century" w:hAnsi="Century" w:cs="FrankRuehl"/>
          <w:spacing w:val="10"/>
          <w:szCs w:val="28"/>
          <w:rtl/>
        </w:rPr>
        <w:t xml:space="preserve"> </w:t>
      </w:r>
      <w:r w:rsidRPr="00D90A8F">
        <w:rPr>
          <w:rFonts w:ascii="Century" w:hAnsi="Century" w:cs="FrankRuehl" w:hint="eastAsia"/>
          <w:spacing w:val="10"/>
          <w:szCs w:val="28"/>
          <w:rtl/>
        </w:rPr>
        <w:t>היה</w:t>
      </w:r>
      <w:r w:rsidRPr="00D90A8F">
        <w:rPr>
          <w:rFonts w:ascii="Century" w:hAnsi="Century" w:cs="FrankRuehl"/>
          <w:spacing w:val="10"/>
          <w:szCs w:val="28"/>
          <w:rtl/>
        </w:rPr>
        <w:t xml:space="preserve"> </w:t>
      </w:r>
      <w:r w:rsidRPr="00D90A8F">
        <w:rPr>
          <w:rFonts w:ascii="Century" w:hAnsi="Century" w:cs="FrankRuehl" w:hint="eastAsia"/>
          <w:spacing w:val="10"/>
          <w:szCs w:val="28"/>
          <w:rtl/>
        </w:rPr>
        <w:t>מקום</w:t>
      </w:r>
      <w:r w:rsidRPr="00D90A8F">
        <w:rPr>
          <w:rFonts w:ascii="Century" w:hAnsi="Century" w:cs="FrankRuehl"/>
          <w:spacing w:val="10"/>
          <w:szCs w:val="28"/>
          <w:rtl/>
        </w:rPr>
        <w:t xml:space="preserve"> </w:t>
      </w:r>
      <w:r w:rsidRPr="00D90A8F">
        <w:rPr>
          <w:rFonts w:ascii="Century" w:hAnsi="Century" w:cs="FrankRuehl" w:hint="eastAsia"/>
          <w:spacing w:val="10"/>
          <w:szCs w:val="28"/>
          <w:rtl/>
        </w:rPr>
        <w:t>לערוך</w:t>
      </w:r>
      <w:r w:rsidRPr="00D90A8F">
        <w:rPr>
          <w:rFonts w:ascii="Century" w:hAnsi="Century" w:cs="FrankRuehl"/>
          <w:spacing w:val="10"/>
          <w:szCs w:val="28"/>
          <w:rtl/>
        </w:rPr>
        <w:t xml:space="preserve"> </w:t>
      </w:r>
      <w:r w:rsidRPr="00D90A8F">
        <w:rPr>
          <w:rFonts w:ascii="Century" w:hAnsi="Century" w:cs="FrankRuehl" w:hint="eastAsia"/>
          <w:spacing w:val="10"/>
          <w:szCs w:val="28"/>
          <w:rtl/>
        </w:rPr>
        <w:t>איזון</w:t>
      </w:r>
      <w:r w:rsidRPr="00D90A8F">
        <w:rPr>
          <w:rFonts w:ascii="Century" w:hAnsi="Century" w:cs="FrankRuehl"/>
          <w:spacing w:val="10"/>
          <w:szCs w:val="28"/>
          <w:rtl/>
        </w:rPr>
        <w:t xml:space="preserve"> </w:t>
      </w:r>
      <w:r w:rsidRPr="00D90A8F">
        <w:rPr>
          <w:rFonts w:ascii="Century" w:hAnsi="Century" w:cs="FrankRuehl" w:hint="eastAsia"/>
          <w:spacing w:val="10"/>
          <w:szCs w:val="28"/>
          <w:rtl/>
        </w:rPr>
        <w:t>שונה</w:t>
      </w:r>
      <w:r w:rsidRPr="00D90A8F">
        <w:rPr>
          <w:rFonts w:ascii="Century" w:hAnsi="Century" w:cs="FrankRuehl"/>
          <w:spacing w:val="10"/>
          <w:szCs w:val="28"/>
          <w:rtl/>
        </w:rPr>
        <w:t xml:space="preserve"> </w:t>
      </w:r>
      <w:r w:rsidRPr="00D90A8F">
        <w:rPr>
          <w:rFonts w:ascii="Century" w:hAnsi="Century" w:cs="FrankRuehl" w:hint="eastAsia"/>
          <w:spacing w:val="10"/>
          <w:szCs w:val="28"/>
          <w:rtl/>
        </w:rPr>
        <w:t>בין</w:t>
      </w:r>
      <w:r w:rsidRPr="00D90A8F">
        <w:rPr>
          <w:rFonts w:ascii="Century" w:hAnsi="Century" w:cs="FrankRuehl"/>
          <w:spacing w:val="10"/>
          <w:szCs w:val="28"/>
          <w:rtl/>
        </w:rPr>
        <w:t xml:space="preserve"> </w:t>
      </w:r>
      <w:r w:rsidRPr="00D90A8F">
        <w:rPr>
          <w:rFonts w:ascii="Century" w:hAnsi="Century" w:cs="FrankRuehl" w:hint="eastAsia"/>
          <w:spacing w:val="10"/>
          <w:szCs w:val="28"/>
          <w:rtl/>
        </w:rPr>
        <w:t>השיקולים</w:t>
      </w:r>
      <w:r w:rsidRPr="00D90A8F">
        <w:rPr>
          <w:rFonts w:ascii="Century" w:hAnsi="Century" w:cs="FrankRuehl"/>
          <w:spacing w:val="10"/>
          <w:szCs w:val="28"/>
          <w:rtl/>
        </w:rPr>
        <w:t xml:space="preserve"> </w:t>
      </w:r>
      <w:r w:rsidRPr="00D90A8F">
        <w:rPr>
          <w:rFonts w:ascii="Century" w:hAnsi="Century" w:cs="FrankRuehl" w:hint="eastAsia"/>
          <w:spacing w:val="10"/>
          <w:szCs w:val="28"/>
          <w:rtl/>
        </w:rPr>
        <w:t>הרלוונטיים</w:t>
      </w:r>
      <w:r>
        <w:rPr>
          <w:rFonts w:ascii="Century" w:hAnsi="Century" w:cs="FrankRuehl" w:hint="cs"/>
          <w:spacing w:val="10"/>
          <w:szCs w:val="28"/>
          <w:rtl/>
        </w:rPr>
        <w:t xml:space="preserve"> (ראו: דותן, ריסון וסבירות, בעמודים 702-701)</w:t>
      </w:r>
      <w:r w:rsidRPr="00D90A8F">
        <w:rPr>
          <w:rFonts w:ascii="Century" w:hAnsi="Century" w:cs="FrankRuehl"/>
          <w:spacing w:val="10"/>
          <w:szCs w:val="28"/>
          <w:rtl/>
        </w:rPr>
        <w:t xml:space="preserve"> – </w:t>
      </w:r>
      <w:r>
        <w:rPr>
          <w:rFonts w:ascii="Century" w:hAnsi="Century" w:cs="FrankRuehl" w:hint="cs"/>
          <w:spacing w:val="10"/>
          <w:szCs w:val="28"/>
          <w:rtl/>
        </w:rPr>
        <w:t xml:space="preserve">הרי שכפי שצוין לעיל, </w:t>
      </w:r>
      <w:r w:rsidRPr="00D90A8F">
        <w:rPr>
          <w:rFonts w:ascii="Century" w:hAnsi="Century" w:cs="FrankRuehl" w:hint="eastAsia"/>
          <w:spacing w:val="10"/>
          <w:szCs w:val="28"/>
          <w:rtl/>
        </w:rPr>
        <w:t>השופט</w:t>
      </w:r>
      <w:r w:rsidRPr="00D90A8F">
        <w:rPr>
          <w:rFonts w:ascii="Century" w:hAnsi="Century" w:cs="FrankRuehl"/>
          <w:spacing w:val="10"/>
          <w:szCs w:val="28"/>
          <w:rtl/>
        </w:rPr>
        <w:t xml:space="preserve"> </w:t>
      </w:r>
      <w:r w:rsidRPr="005F4D45">
        <w:rPr>
          <w:rFonts w:ascii="Century" w:hAnsi="Century" w:cs="Miriam" w:hint="cs"/>
          <w:b/>
          <w:rtl/>
        </w:rPr>
        <w:t>ברק</w:t>
      </w:r>
      <w:r w:rsidRPr="00D90A8F">
        <w:rPr>
          <w:rFonts w:ascii="Century" w:hAnsi="Century" w:cs="FrankRuehl"/>
          <w:spacing w:val="10"/>
          <w:szCs w:val="28"/>
          <w:rtl/>
        </w:rPr>
        <w:t xml:space="preserve"> </w:t>
      </w:r>
      <w:r w:rsidRPr="00973D1F">
        <w:rPr>
          <w:rFonts w:ascii="Century" w:hAnsi="Century" w:cs="FrankRuehl" w:hint="cs"/>
          <w:spacing w:val="10"/>
          <w:szCs w:val="28"/>
          <w:rtl/>
        </w:rPr>
        <w:t xml:space="preserve">הבהיר </w:t>
      </w:r>
      <w:r w:rsidRPr="00D90A8F">
        <w:rPr>
          <w:rFonts w:ascii="Century" w:hAnsi="Century" w:cs="FrankRuehl" w:hint="eastAsia"/>
          <w:spacing w:val="10"/>
          <w:szCs w:val="28"/>
          <w:rtl/>
        </w:rPr>
        <w:t>בפסק</w:t>
      </w:r>
      <w:r w:rsidRPr="00D90A8F">
        <w:rPr>
          <w:rFonts w:ascii="Century" w:hAnsi="Century" w:cs="FrankRuehl"/>
          <w:spacing w:val="10"/>
          <w:szCs w:val="28"/>
          <w:rtl/>
        </w:rPr>
        <w:t xml:space="preserve"> </w:t>
      </w:r>
      <w:r w:rsidRPr="00D90A8F">
        <w:rPr>
          <w:rFonts w:ascii="Century" w:hAnsi="Century" w:cs="FrankRuehl" w:hint="eastAsia"/>
          <w:spacing w:val="10"/>
          <w:szCs w:val="28"/>
          <w:rtl/>
        </w:rPr>
        <w:t>דינו</w:t>
      </w:r>
      <w:r w:rsidRPr="00D90A8F">
        <w:rPr>
          <w:rFonts w:ascii="Century" w:hAnsi="Century" w:cs="FrankRuehl"/>
          <w:spacing w:val="10"/>
          <w:szCs w:val="28"/>
          <w:rtl/>
        </w:rPr>
        <w:t xml:space="preserve"> </w:t>
      </w:r>
      <w:r w:rsidRPr="00D90A8F">
        <w:rPr>
          <w:rFonts w:ascii="Century" w:hAnsi="Century" w:cs="FrankRuehl" w:hint="eastAsia"/>
          <w:spacing w:val="10"/>
          <w:szCs w:val="28"/>
          <w:rtl/>
        </w:rPr>
        <w:t>כי</w:t>
      </w:r>
      <w:r w:rsidRPr="00D90A8F">
        <w:rPr>
          <w:rFonts w:ascii="Century" w:hAnsi="Century" w:cs="FrankRuehl"/>
          <w:spacing w:val="10"/>
          <w:szCs w:val="28"/>
          <w:rtl/>
        </w:rPr>
        <w:t xml:space="preserve"> </w:t>
      </w:r>
      <w:r w:rsidRPr="00D90A8F">
        <w:rPr>
          <w:rFonts w:ascii="Century" w:hAnsi="Century" w:cs="FrankRuehl" w:hint="eastAsia"/>
          <w:spacing w:val="10"/>
          <w:szCs w:val="28"/>
          <w:rtl/>
        </w:rPr>
        <w:t>התערבות</w:t>
      </w:r>
      <w:r w:rsidRPr="00D90A8F">
        <w:rPr>
          <w:rFonts w:ascii="Century" w:hAnsi="Century" w:cs="FrankRuehl"/>
          <w:spacing w:val="10"/>
          <w:szCs w:val="28"/>
          <w:rtl/>
        </w:rPr>
        <w:t xml:space="preserve"> </w:t>
      </w:r>
      <w:r w:rsidRPr="00D90A8F">
        <w:rPr>
          <w:rFonts w:ascii="Century" w:hAnsi="Century" w:cs="FrankRuehl" w:hint="eastAsia"/>
          <w:spacing w:val="10"/>
          <w:szCs w:val="28"/>
          <w:rtl/>
        </w:rPr>
        <w:t>בהחלטות</w:t>
      </w:r>
      <w:r w:rsidRPr="00D90A8F">
        <w:rPr>
          <w:rFonts w:ascii="Century" w:hAnsi="Century" w:cs="FrankRuehl"/>
          <w:spacing w:val="10"/>
          <w:szCs w:val="28"/>
          <w:rtl/>
        </w:rPr>
        <w:t xml:space="preserve"> </w:t>
      </w:r>
      <w:r w:rsidRPr="00D90A8F">
        <w:rPr>
          <w:rFonts w:ascii="Century" w:hAnsi="Century" w:cs="FrankRuehl" w:hint="eastAsia"/>
          <w:spacing w:val="10"/>
          <w:szCs w:val="28"/>
          <w:rtl/>
        </w:rPr>
        <w:t>מינהליות</w:t>
      </w:r>
      <w:r w:rsidRPr="00D90A8F">
        <w:rPr>
          <w:rFonts w:ascii="Century" w:hAnsi="Century" w:cs="FrankRuehl"/>
          <w:spacing w:val="10"/>
          <w:szCs w:val="28"/>
          <w:rtl/>
        </w:rPr>
        <w:t xml:space="preserve"> </w:t>
      </w:r>
      <w:r>
        <w:rPr>
          <w:rFonts w:ascii="Century" w:hAnsi="Century" w:cs="FrankRuehl" w:hint="cs"/>
          <w:spacing w:val="10"/>
          <w:szCs w:val="28"/>
          <w:rtl/>
        </w:rPr>
        <w:t xml:space="preserve">נובעת מהחוק בהתאם לפרשנותו הנכונה; וכי ההתערבות </w:t>
      </w:r>
      <w:r w:rsidRPr="00D90A8F">
        <w:rPr>
          <w:rFonts w:ascii="Century" w:hAnsi="Century" w:cs="FrankRuehl" w:hint="eastAsia"/>
          <w:spacing w:val="10"/>
          <w:szCs w:val="28"/>
          <w:rtl/>
        </w:rPr>
        <w:t>מכוח</w:t>
      </w:r>
      <w:r w:rsidRPr="00D90A8F">
        <w:rPr>
          <w:rFonts w:ascii="Century" w:hAnsi="Century" w:cs="FrankRuehl"/>
          <w:spacing w:val="10"/>
          <w:szCs w:val="28"/>
          <w:rtl/>
        </w:rPr>
        <w:t xml:space="preserve"> </w:t>
      </w:r>
      <w:r w:rsidRPr="00D90A8F">
        <w:rPr>
          <w:rFonts w:ascii="Century" w:hAnsi="Century" w:cs="FrankRuehl" w:hint="eastAsia"/>
          <w:spacing w:val="10"/>
          <w:szCs w:val="28"/>
          <w:rtl/>
        </w:rPr>
        <w:t>עילת</w:t>
      </w:r>
      <w:r w:rsidRPr="00D90A8F">
        <w:rPr>
          <w:rFonts w:ascii="Century" w:hAnsi="Century" w:cs="FrankRuehl"/>
          <w:spacing w:val="10"/>
          <w:szCs w:val="28"/>
          <w:rtl/>
        </w:rPr>
        <w:t xml:space="preserve"> </w:t>
      </w:r>
      <w:r w:rsidRPr="00D90A8F">
        <w:rPr>
          <w:rFonts w:ascii="Century" w:hAnsi="Century" w:cs="FrankRuehl" w:hint="eastAsia"/>
          <w:spacing w:val="10"/>
          <w:szCs w:val="28"/>
          <w:rtl/>
        </w:rPr>
        <w:t>הסבירות</w:t>
      </w:r>
      <w:r w:rsidRPr="00D90A8F">
        <w:rPr>
          <w:rFonts w:ascii="Century" w:hAnsi="Century" w:cs="FrankRuehl"/>
          <w:spacing w:val="10"/>
          <w:szCs w:val="28"/>
          <w:rtl/>
        </w:rPr>
        <w:t xml:space="preserve"> </w:t>
      </w:r>
      <w:r w:rsidRPr="00D90A8F">
        <w:rPr>
          <w:rFonts w:ascii="Century" w:hAnsi="Century" w:cs="FrankRuehl" w:hint="eastAsia"/>
          <w:spacing w:val="10"/>
          <w:szCs w:val="28"/>
          <w:rtl/>
        </w:rPr>
        <w:t>שמורה</w:t>
      </w:r>
      <w:r w:rsidRPr="00D90A8F">
        <w:rPr>
          <w:rFonts w:ascii="Century" w:hAnsi="Century" w:cs="FrankRuehl"/>
          <w:spacing w:val="10"/>
          <w:szCs w:val="28"/>
          <w:rtl/>
        </w:rPr>
        <w:t xml:space="preserve"> </w:t>
      </w:r>
      <w:r w:rsidRPr="00D90A8F">
        <w:rPr>
          <w:rFonts w:ascii="Century" w:hAnsi="Century" w:cs="FrankRuehl" w:hint="eastAsia"/>
          <w:spacing w:val="10"/>
          <w:szCs w:val="28"/>
          <w:rtl/>
        </w:rPr>
        <w:t>רק</w:t>
      </w:r>
      <w:r w:rsidRPr="00D90A8F">
        <w:rPr>
          <w:rFonts w:ascii="Century" w:hAnsi="Century" w:cs="FrankRuehl"/>
          <w:spacing w:val="10"/>
          <w:szCs w:val="28"/>
          <w:rtl/>
        </w:rPr>
        <w:t xml:space="preserve"> </w:t>
      </w:r>
      <w:r w:rsidRPr="00D90A8F">
        <w:rPr>
          <w:rFonts w:ascii="Century" w:hAnsi="Century" w:cs="FrankRuehl" w:hint="eastAsia"/>
          <w:spacing w:val="10"/>
          <w:szCs w:val="28"/>
          <w:rtl/>
        </w:rPr>
        <w:t>למקרים</w:t>
      </w:r>
      <w:r w:rsidRPr="00D90A8F">
        <w:rPr>
          <w:rFonts w:ascii="Century" w:hAnsi="Century" w:cs="FrankRuehl"/>
          <w:spacing w:val="10"/>
          <w:szCs w:val="28"/>
          <w:rtl/>
        </w:rPr>
        <w:t xml:space="preserve"> </w:t>
      </w:r>
      <w:r w:rsidRPr="00D90A8F">
        <w:rPr>
          <w:rFonts w:ascii="Century" w:hAnsi="Century" w:cs="FrankRuehl" w:hint="eastAsia"/>
          <w:spacing w:val="10"/>
          <w:szCs w:val="28"/>
          <w:rtl/>
        </w:rPr>
        <w:t>של</w:t>
      </w:r>
      <w:r w:rsidRPr="00D90A8F">
        <w:rPr>
          <w:rFonts w:ascii="Century" w:hAnsi="Century" w:cs="FrankRuehl"/>
          <w:spacing w:val="10"/>
          <w:szCs w:val="28"/>
          <w:rtl/>
        </w:rPr>
        <w:t xml:space="preserve"> </w:t>
      </w:r>
      <w:r w:rsidRPr="00D90A8F">
        <w:rPr>
          <w:rFonts w:ascii="Century" w:hAnsi="Century" w:cs="FrankRuehl" w:hint="eastAsia"/>
          <w:spacing w:val="10"/>
          <w:szCs w:val="28"/>
          <w:rtl/>
        </w:rPr>
        <w:t>אי</w:t>
      </w:r>
      <w:r w:rsidRPr="00D90A8F">
        <w:rPr>
          <w:rFonts w:ascii="Century" w:hAnsi="Century" w:cs="FrankRuehl"/>
          <w:spacing w:val="10"/>
          <w:szCs w:val="28"/>
          <w:rtl/>
        </w:rPr>
        <w:t>-</w:t>
      </w:r>
      <w:r w:rsidRPr="00D90A8F">
        <w:rPr>
          <w:rFonts w:ascii="Century" w:hAnsi="Century" w:cs="FrankRuehl" w:hint="eastAsia"/>
          <w:spacing w:val="10"/>
          <w:szCs w:val="28"/>
          <w:rtl/>
        </w:rPr>
        <w:t>סבירות</w:t>
      </w:r>
      <w:r w:rsidRPr="00D90A8F">
        <w:rPr>
          <w:rFonts w:ascii="Century" w:hAnsi="Century" w:cs="FrankRuehl"/>
          <w:spacing w:val="10"/>
          <w:szCs w:val="28"/>
          <w:rtl/>
        </w:rPr>
        <w:t xml:space="preserve"> "</w:t>
      </w:r>
      <w:r w:rsidRPr="00D90A8F">
        <w:rPr>
          <w:rFonts w:ascii="Century" w:hAnsi="Century" w:cs="FrankRuehl" w:hint="eastAsia"/>
          <w:spacing w:val="10"/>
          <w:szCs w:val="28"/>
          <w:rtl/>
        </w:rPr>
        <w:t>קיצונית</w:t>
      </w:r>
      <w:r w:rsidRPr="00D90A8F">
        <w:rPr>
          <w:rFonts w:ascii="Century" w:hAnsi="Century" w:cs="FrankRuehl"/>
          <w:spacing w:val="10"/>
          <w:szCs w:val="28"/>
          <w:rtl/>
        </w:rPr>
        <w:t xml:space="preserve">" </w:t>
      </w:r>
      <w:r w:rsidRPr="00D90A8F">
        <w:rPr>
          <w:rFonts w:ascii="Century" w:hAnsi="Century" w:cs="FrankRuehl" w:hint="eastAsia"/>
          <w:spacing w:val="10"/>
          <w:szCs w:val="28"/>
          <w:rtl/>
        </w:rPr>
        <w:t>או</w:t>
      </w:r>
      <w:r w:rsidRPr="00D90A8F">
        <w:rPr>
          <w:rFonts w:ascii="Century" w:hAnsi="Century" w:cs="FrankRuehl"/>
          <w:spacing w:val="10"/>
          <w:szCs w:val="28"/>
          <w:rtl/>
        </w:rPr>
        <w:t xml:space="preserve"> "</w:t>
      </w:r>
      <w:r w:rsidRPr="00D90A8F">
        <w:rPr>
          <w:rFonts w:ascii="Century" w:hAnsi="Century" w:cs="FrankRuehl" w:hint="eastAsia"/>
          <w:spacing w:val="10"/>
          <w:szCs w:val="28"/>
          <w:rtl/>
        </w:rPr>
        <w:t>מהותית</w:t>
      </w:r>
      <w:r w:rsidRPr="00D90A8F">
        <w:rPr>
          <w:rFonts w:ascii="Century" w:hAnsi="Century" w:cs="FrankRuehl"/>
          <w:spacing w:val="10"/>
          <w:szCs w:val="28"/>
          <w:rtl/>
        </w:rPr>
        <w:t xml:space="preserve">". </w:t>
      </w:r>
      <w:r w:rsidRPr="00D90A8F">
        <w:rPr>
          <w:rFonts w:ascii="Century" w:hAnsi="Century" w:cs="FrankRuehl" w:hint="eastAsia"/>
          <w:spacing w:val="10"/>
          <w:szCs w:val="28"/>
          <w:rtl/>
        </w:rPr>
        <w:t>עוד</w:t>
      </w:r>
      <w:r w:rsidRPr="00D90A8F">
        <w:rPr>
          <w:rFonts w:ascii="Century" w:hAnsi="Century" w:cs="FrankRuehl"/>
          <w:spacing w:val="10"/>
          <w:szCs w:val="28"/>
          <w:rtl/>
        </w:rPr>
        <w:t xml:space="preserve"> </w:t>
      </w:r>
      <w:r w:rsidRPr="00D90A8F">
        <w:rPr>
          <w:rFonts w:ascii="Century" w:hAnsi="Century" w:cs="FrankRuehl" w:hint="eastAsia"/>
          <w:spacing w:val="10"/>
          <w:szCs w:val="28"/>
          <w:rtl/>
        </w:rPr>
        <w:t>הוא</w:t>
      </w:r>
      <w:r w:rsidRPr="00D90A8F">
        <w:rPr>
          <w:rFonts w:ascii="Century" w:hAnsi="Century" w:cs="FrankRuehl"/>
          <w:spacing w:val="10"/>
          <w:szCs w:val="28"/>
          <w:rtl/>
        </w:rPr>
        <w:t xml:space="preserve"> </w:t>
      </w:r>
      <w:r w:rsidRPr="00D90A8F">
        <w:rPr>
          <w:rFonts w:ascii="Century" w:hAnsi="Century" w:cs="FrankRuehl" w:hint="eastAsia"/>
          <w:spacing w:val="10"/>
          <w:szCs w:val="28"/>
          <w:rtl/>
        </w:rPr>
        <w:t>הבהיר</w:t>
      </w:r>
      <w:r w:rsidRPr="00D90A8F">
        <w:rPr>
          <w:rFonts w:ascii="Century" w:hAnsi="Century" w:cs="FrankRuehl"/>
          <w:spacing w:val="10"/>
          <w:szCs w:val="28"/>
          <w:rtl/>
        </w:rPr>
        <w:t xml:space="preserve"> </w:t>
      </w:r>
      <w:r w:rsidRPr="00D90A8F">
        <w:rPr>
          <w:rFonts w:ascii="Century" w:hAnsi="Century" w:cs="FrankRuehl" w:hint="eastAsia"/>
          <w:spacing w:val="10"/>
          <w:szCs w:val="28"/>
          <w:rtl/>
        </w:rPr>
        <w:t>כי</w:t>
      </w:r>
      <w:r w:rsidRPr="00D90A8F">
        <w:rPr>
          <w:rFonts w:ascii="Century" w:hAnsi="Century" w:cs="FrankRuehl"/>
          <w:spacing w:val="10"/>
          <w:szCs w:val="28"/>
          <w:rtl/>
        </w:rPr>
        <w:t xml:space="preserve"> </w:t>
      </w:r>
      <w:r w:rsidRPr="00D90A8F">
        <w:rPr>
          <w:rFonts w:ascii="Century" w:hAnsi="Century" w:cs="FrankRuehl" w:hint="eastAsia"/>
          <w:spacing w:val="10"/>
          <w:szCs w:val="28"/>
          <w:rtl/>
        </w:rPr>
        <w:t>אין</w:t>
      </w:r>
      <w:r w:rsidRPr="00D90A8F">
        <w:rPr>
          <w:rFonts w:ascii="Century" w:hAnsi="Century" w:cs="FrankRuehl"/>
          <w:spacing w:val="10"/>
          <w:szCs w:val="28"/>
          <w:rtl/>
        </w:rPr>
        <w:t xml:space="preserve"> </w:t>
      </w:r>
      <w:r w:rsidRPr="00D90A8F">
        <w:rPr>
          <w:rFonts w:ascii="Century" w:hAnsi="Century" w:cs="FrankRuehl" w:hint="eastAsia"/>
          <w:spacing w:val="10"/>
          <w:szCs w:val="28"/>
          <w:rtl/>
        </w:rPr>
        <w:t>פתרון</w:t>
      </w:r>
      <w:r w:rsidRPr="00D90A8F">
        <w:rPr>
          <w:rFonts w:ascii="Century" w:hAnsi="Century" w:cs="FrankRuehl"/>
          <w:spacing w:val="10"/>
          <w:szCs w:val="28"/>
          <w:rtl/>
        </w:rPr>
        <w:t xml:space="preserve"> </w:t>
      </w:r>
      <w:r w:rsidRPr="00D90A8F">
        <w:rPr>
          <w:rFonts w:ascii="Century" w:hAnsi="Century" w:cs="FrankRuehl" w:hint="eastAsia"/>
          <w:spacing w:val="10"/>
          <w:szCs w:val="28"/>
          <w:rtl/>
        </w:rPr>
        <w:t>אחד</w:t>
      </w:r>
      <w:r w:rsidRPr="00D90A8F">
        <w:rPr>
          <w:rFonts w:ascii="Century" w:hAnsi="Century" w:cs="FrankRuehl"/>
          <w:spacing w:val="10"/>
          <w:szCs w:val="28"/>
          <w:rtl/>
        </w:rPr>
        <w:t xml:space="preserve"> </w:t>
      </w:r>
      <w:r w:rsidRPr="00D90A8F">
        <w:rPr>
          <w:rFonts w:ascii="Century" w:hAnsi="Century" w:cs="FrankRuehl" w:hint="eastAsia"/>
          <w:spacing w:val="10"/>
          <w:szCs w:val="28"/>
          <w:rtl/>
        </w:rPr>
        <w:t>ויחיד</w:t>
      </w:r>
      <w:r w:rsidRPr="00D90A8F">
        <w:rPr>
          <w:rFonts w:ascii="Century" w:hAnsi="Century" w:cs="FrankRuehl"/>
          <w:spacing w:val="10"/>
          <w:szCs w:val="28"/>
          <w:rtl/>
        </w:rPr>
        <w:t xml:space="preserve"> </w:t>
      </w:r>
      <w:r w:rsidRPr="00D90A8F">
        <w:rPr>
          <w:rFonts w:ascii="Century" w:hAnsi="Century" w:cs="FrankRuehl" w:hint="eastAsia"/>
          <w:spacing w:val="10"/>
          <w:szCs w:val="28"/>
          <w:rtl/>
        </w:rPr>
        <w:t>בו</w:t>
      </w:r>
      <w:r w:rsidRPr="00D90A8F">
        <w:rPr>
          <w:rFonts w:ascii="Century" w:hAnsi="Century" w:cs="FrankRuehl"/>
          <w:spacing w:val="10"/>
          <w:szCs w:val="28"/>
          <w:rtl/>
        </w:rPr>
        <w:t xml:space="preserve"> </w:t>
      </w:r>
      <w:r w:rsidRPr="00D90A8F">
        <w:rPr>
          <w:rFonts w:ascii="Century" w:hAnsi="Century" w:cs="FrankRuehl" w:hint="eastAsia"/>
          <w:spacing w:val="10"/>
          <w:szCs w:val="28"/>
          <w:rtl/>
        </w:rPr>
        <w:t>על</w:t>
      </w:r>
      <w:r w:rsidRPr="00D90A8F">
        <w:rPr>
          <w:rFonts w:ascii="Century" w:hAnsi="Century" w:cs="FrankRuehl"/>
          <w:spacing w:val="10"/>
          <w:szCs w:val="28"/>
          <w:rtl/>
        </w:rPr>
        <w:t xml:space="preserve"> </w:t>
      </w:r>
      <w:r>
        <w:rPr>
          <w:rFonts w:ascii="Century" w:hAnsi="Century" w:cs="FrankRuehl" w:hint="cs"/>
          <w:spacing w:val="10"/>
          <w:szCs w:val="28"/>
          <w:rtl/>
        </w:rPr>
        <w:t>הרשות</w:t>
      </w:r>
      <w:r w:rsidRPr="00D90A8F">
        <w:rPr>
          <w:rFonts w:ascii="Century" w:hAnsi="Century" w:cs="FrankRuehl"/>
          <w:spacing w:val="10"/>
          <w:szCs w:val="28"/>
          <w:rtl/>
        </w:rPr>
        <w:t xml:space="preserve"> </w:t>
      </w:r>
      <w:r w:rsidRPr="00D90A8F">
        <w:rPr>
          <w:rFonts w:ascii="Century" w:hAnsi="Century" w:cs="FrankRuehl" w:hint="eastAsia"/>
          <w:spacing w:val="10"/>
          <w:szCs w:val="28"/>
          <w:rtl/>
        </w:rPr>
        <w:t>המינהלי</w:t>
      </w:r>
      <w:r>
        <w:rPr>
          <w:rFonts w:ascii="Century" w:hAnsi="Century" w:cs="FrankRuehl" w:hint="cs"/>
          <w:spacing w:val="10"/>
          <w:szCs w:val="28"/>
          <w:rtl/>
        </w:rPr>
        <w:t>ת</w:t>
      </w:r>
      <w:r w:rsidRPr="00D90A8F">
        <w:rPr>
          <w:rFonts w:ascii="Century" w:hAnsi="Century" w:cs="FrankRuehl"/>
          <w:spacing w:val="10"/>
          <w:szCs w:val="28"/>
          <w:rtl/>
        </w:rPr>
        <w:t xml:space="preserve"> </w:t>
      </w:r>
      <w:r w:rsidRPr="00D90A8F">
        <w:rPr>
          <w:rFonts w:ascii="Century" w:hAnsi="Century" w:cs="FrankRuehl" w:hint="eastAsia"/>
          <w:spacing w:val="10"/>
          <w:szCs w:val="28"/>
          <w:rtl/>
        </w:rPr>
        <w:t>לבחור</w:t>
      </w:r>
      <w:r w:rsidRPr="00D90A8F">
        <w:rPr>
          <w:rFonts w:ascii="Century" w:hAnsi="Century" w:cs="FrankRuehl"/>
          <w:spacing w:val="10"/>
          <w:szCs w:val="28"/>
          <w:rtl/>
        </w:rPr>
        <w:t xml:space="preserve"> </w:t>
      </w:r>
      <w:r w:rsidRPr="00D90A8F">
        <w:rPr>
          <w:rFonts w:ascii="Century" w:hAnsi="Century" w:cs="FrankRuehl" w:hint="eastAsia"/>
          <w:spacing w:val="10"/>
          <w:szCs w:val="28"/>
          <w:rtl/>
        </w:rPr>
        <w:t>ואשר</w:t>
      </w:r>
      <w:r w:rsidRPr="00D90A8F">
        <w:rPr>
          <w:rFonts w:ascii="Century" w:hAnsi="Century" w:cs="FrankRuehl"/>
          <w:spacing w:val="10"/>
          <w:szCs w:val="28"/>
          <w:rtl/>
        </w:rPr>
        <w:t xml:space="preserve"> </w:t>
      </w:r>
      <w:r w:rsidRPr="00D90A8F">
        <w:rPr>
          <w:rFonts w:ascii="Century" w:hAnsi="Century" w:cs="FrankRuehl" w:hint="eastAsia"/>
          <w:spacing w:val="10"/>
          <w:szCs w:val="28"/>
          <w:rtl/>
        </w:rPr>
        <w:t>חריגה</w:t>
      </w:r>
      <w:r w:rsidRPr="00D90A8F">
        <w:rPr>
          <w:rFonts w:ascii="Century" w:hAnsi="Century" w:cs="FrankRuehl"/>
          <w:spacing w:val="10"/>
          <w:szCs w:val="28"/>
          <w:rtl/>
        </w:rPr>
        <w:t xml:space="preserve"> </w:t>
      </w:r>
      <w:r w:rsidRPr="00D90A8F">
        <w:rPr>
          <w:rFonts w:ascii="Century" w:hAnsi="Century" w:cs="FrankRuehl" w:hint="eastAsia"/>
          <w:spacing w:val="10"/>
          <w:szCs w:val="28"/>
          <w:rtl/>
        </w:rPr>
        <w:t>ממנו</w:t>
      </w:r>
      <w:r w:rsidRPr="00D90A8F">
        <w:rPr>
          <w:rFonts w:ascii="Century" w:hAnsi="Century" w:cs="FrankRuehl"/>
          <w:spacing w:val="10"/>
          <w:szCs w:val="28"/>
          <w:rtl/>
        </w:rPr>
        <w:t xml:space="preserve"> </w:t>
      </w:r>
      <w:r w:rsidRPr="00D90A8F">
        <w:rPr>
          <w:rFonts w:ascii="Century" w:hAnsi="Century" w:cs="FrankRuehl" w:hint="eastAsia"/>
          <w:spacing w:val="10"/>
          <w:szCs w:val="28"/>
          <w:rtl/>
        </w:rPr>
        <w:t>תיחשב</w:t>
      </w:r>
      <w:r w:rsidRPr="00D90A8F">
        <w:rPr>
          <w:rFonts w:ascii="Century" w:hAnsi="Century" w:cs="FrankRuehl"/>
          <w:spacing w:val="10"/>
          <w:szCs w:val="28"/>
          <w:rtl/>
        </w:rPr>
        <w:t xml:space="preserve"> </w:t>
      </w:r>
      <w:r w:rsidRPr="00D90A8F">
        <w:rPr>
          <w:rFonts w:ascii="Century" w:hAnsi="Century" w:cs="FrankRuehl" w:hint="eastAsia"/>
          <w:spacing w:val="10"/>
          <w:szCs w:val="28"/>
          <w:rtl/>
        </w:rPr>
        <w:t>לבלתי</w:t>
      </w:r>
      <w:r w:rsidRPr="00D90A8F">
        <w:rPr>
          <w:rFonts w:ascii="Century" w:hAnsi="Century" w:cs="FrankRuehl"/>
          <w:spacing w:val="10"/>
          <w:szCs w:val="28"/>
          <w:rtl/>
        </w:rPr>
        <w:t xml:space="preserve"> </w:t>
      </w:r>
      <w:r w:rsidRPr="00D90A8F">
        <w:rPr>
          <w:rFonts w:ascii="Century" w:hAnsi="Century" w:cs="FrankRuehl" w:hint="eastAsia"/>
          <w:spacing w:val="10"/>
          <w:szCs w:val="28"/>
          <w:rtl/>
        </w:rPr>
        <w:t>סבירה</w:t>
      </w:r>
      <w:r w:rsidRPr="00D90A8F">
        <w:rPr>
          <w:rFonts w:ascii="Century" w:hAnsi="Century" w:cs="FrankRuehl"/>
          <w:spacing w:val="10"/>
          <w:szCs w:val="28"/>
          <w:rtl/>
        </w:rPr>
        <w:t xml:space="preserve">, </w:t>
      </w:r>
      <w:r w:rsidRPr="00D90A8F">
        <w:rPr>
          <w:rFonts w:ascii="Century" w:hAnsi="Century" w:cs="FrankRuehl" w:hint="eastAsia"/>
          <w:spacing w:val="10"/>
          <w:szCs w:val="28"/>
          <w:rtl/>
        </w:rPr>
        <w:t>אלא</w:t>
      </w:r>
      <w:r w:rsidRPr="00D90A8F">
        <w:rPr>
          <w:rFonts w:ascii="Century" w:hAnsi="Century" w:cs="FrankRuehl"/>
          <w:spacing w:val="10"/>
          <w:szCs w:val="28"/>
          <w:rtl/>
        </w:rPr>
        <w:t xml:space="preserve"> </w:t>
      </w:r>
      <w:r w:rsidRPr="00D90A8F">
        <w:rPr>
          <w:rFonts w:ascii="Century" w:hAnsi="Century" w:cs="FrankRuehl" w:hint="eastAsia"/>
          <w:spacing w:val="10"/>
          <w:szCs w:val="28"/>
          <w:rtl/>
        </w:rPr>
        <w:t>יש</w:t>
      </w:r>
      <w:r w:rsidRPr="00D90A8F">
        <w:rPr>
          <w:rFonts w:ascii="Century" w:hAnsi="Century" w:cs="FrankRuehl"/>
          <w:spacing w:val="10"/>
          <w:szCs w:val="28"/>
          <w:rtl/>
        </w:rPr>
        <w:t xml:space="preserve"> </w:t>
      </w:r>
      <w:r w:rsidRPr="00D90A8F">
        <w:rPr>
          <w:rFonts w:ascii="Century" w:hAnsi="Century" w:cs="FrankRuehl" w:hint="eastAsia"/>
          <w:spacing w:val="10"/>
          <w:szCs w:val="28"/>
          <w:rtl/>
        </w:rPr>
        <w:t>מתחם</w:t>
      </w:r>
      <w:r w:rsidRPr="00D90A8F">
        <w:rPr>
          <w:rFonts w:ascii="Century" w:hAnsi="Century" w:cs="FrankRuehl"/>
          <w:spacing w:val="10"/>
          <w:szCs w:val="28"/>
          <w:rtl/>
        </w:rPr>
        <w:t xml:space="preserve"> </w:t>
      </w:r>
      <w:r w:rsidRPr="00D90A8F">
        <w:rPr>
          <w:rFonts w:ascii="Century" w:hAnsi="Century" w:cs="FrankRuehl" w:hint="eastAsia"/>
          <w:spacing w:val="10"/>
          <w:szCs w:val="28"/>
          <w:rtl/>
        </w:rPr>
        <w:t>של</w:t>
      </w:r>
      <w:r w:rsidRPr="00D90A8F">
        <w:rPr>
          <w:rFonts w:ascii="Century" w:hAnsi="Century" w:cs="FrankRuehl"/>
          <w:spacing w:val="10"/>
          <w:szCs w:val="28"/>
          <w:rtl/>
        </w:rPr>
        <w:t xml:space="preserve"> </w:t>
      </w:r>
      <w:r w:rsidRPr="00D90A8F">
        <w:rPr>
          <w:rFonts w:ascii="Century" w:hAnsi="Century" w:cs="FrankRuehl" w:hint="eastAsia"/>
          <w:spacing w:val="10"/>
          <w:szCs w:val="28"/>
          <w:rtl/>
        </w:rPr>
        <w:t>החלטות</w:t>
      </w:r>
      <w:r w:rsidRPr="00D90A8F">
        <w:rPr>
          <w:rFonts w:ascii="Century" w:hAnsi="Century" w:cs="FrankRuehl"/>
          <w:spacing w:val="10"/>
          <w:szCs w:val="28"/>
          <w:rtl/>
        </w:rPr>
        <w:t xml:space="preserve"> </w:t>
      </w:r>
      <w:r w:rsidRPr="00D90A8F">
        <w:rPr>
          <w:rFonts w:ascii="Century" w:hAnsi="Century" w:cs="FrankRuehl" w:hint="eastAsia"/>
          <w:spacing w:val="10"/>
          <w:szCs w:val="28"/>
          <w:rtl/>
        </w:rPr>
        <w:t>סבירות</w:t>
      </w:r>
      <w:r w:rsidRPr="00D90A8F">
        <w:rPr>
          <w:rFonts w:ascii="Century" w:hAnsi="Century" w:cs="FrankRuehl"/>
          <w:spacing w:val="10"/>
          <w:szCs w:val="28"/>
          <w:rtl/>
        </w:rPr>
        <w:t xml:space="preserve"> </w:t>
      </w:r>
      <w:r w:rsidRPr="00D90A8F">
        <w:rPr>
          <w:rFonts w:ascii="Century" w:hAnsi="Century" w:cs="FrankRuehl" w:hint="eastAsia"/>
          <w:spacing w:val="10"/>
          <w:szCs w:val="28"/>
          <w:rtl/>
        </w:rPr>
        <w:t>שבאפשרותה</w:t>
      </w:r>
      <w:r w:rsidRPr="00D90A8F">
        <w:rPr>
          <w:rFonts w:ascii="Century" w:hAnsi="Century" w:cs="FrankRuehl"/>
          <w:spacing w:val="10"/>
          <w:szCs w:val="28"/>
          <w:rtl/>
        </w:rPr>
        <w:t xml:space="preserve"> </w:t>
      </w:r>
      <w:r w:rsidRPr="00D90A8F">
        <w:rPr>
          <w:rFonts w:ascii="Century" w:hAnsi="Century" w:cs="FrankRuehl" w:hint="eastAsia"/>
          <w:spacing w:val="10"/>
          <w:szCs w:val="28"/>
          <w:rtl/>
        </w:rPr>
        <w:t>של</w:t>
      </w:r>
      <w:r w:rsidRPr="00D90A8F">
        <w:rPr>
          <w:rFonts w:ascii="Century" w:hAnsi="Century" w:cs="FrankRuehl"/>
          <w:spacing w:val="10"/>
          <w:szCs w:val="28"/>
          <w:rtl/>
        </w:rPr>
        <w:t xml:space="preserve"> </w:t>
      </w:r>
      <w:r w:rsidRPr="00D90A8F">
        <w:rPr>
          <w:rFonts w:ascii="Century" w:hAnsi="Century" w:cs="FrankRuehl" w:hint="eastAsia"/>
          <w:spacing w:val="10"/>
          <w:szCs w:val="28"/>
          <w:rtl/>
        </w:rPr>
        <w:t>הרשות</w:t>
      </w:r>
      <w:r w:rsidRPr="00D90A8F">
        <w:rPr>
          <w:rFonts w:ascii="Century" w:hAnsi="Century" w:cs="FrankRuehl"/>
          <w:spacing w:val="10"/>
          <w:szCs w:val="28"/>
          <w:rtl/>
        </w:rPr>
        <w:t xml:space="preserve"> </w:t>
      </w:r>
      <w:r w:rsidRPr="00D90A8F">
        <w:rPr>
          <w:rFonts w:ascii="Century" w:hAnsi="Century" w:cs="FrankRuehl" w:hint="eastAsia"/>
          <w:spacing w:val="10"/>
          <w:szCs w:val="28"/>
          <w:rtl/>
        </w:rPr>
        <w:t>לקבל</w:t>
      </w:r>
      <w:r w:rsidRPr="00D90A8F">
        <w:rPr>
          <w:rFonts w:ascii="Century" w:hAnsi="Century" w:cs="FrankRuehl"/>
          <w:spacing w:val="10"/>
          <w:szCs w:val="28"/>
          <w:rtl/>
        </w:rPr>
        <w:t xml:space="preserve"> – </w:t>
      </w:r>
      <w:r w:rsidRPr="00D90A8F">
        <w:rPr>
          <w:rFonts w:ascii="Century" w:hAnsi="Century" w:cs="FrankRuehl" w:hint="eastAsia"/>
          <w:spacing w:val="10"/>
          <w:szCs w:val="28"/>
          <w:rtl/>
        </w:rPr>
        <w:t>כאשר</w:t>
      </w:r>
      <w:r w:rsidRPr="00D90A8F">
        <w:rPr>
          <w:rFonts w:ascii="Century" w:hAnsi="Century" w:cs="FrankRuehl"/>
          <w:spacing w:val="10"/>
          <w:szCs w:val="28"/>
          <w:rtl/>
        </w:rPr>
        <w:t xml:space="preserve"> </w:t>
      </w:r>
      <w:r w:rsidRPr="00D90A8F">
        <w:rPr>
          <w:rFonts w:ascii="Century" w:hAnsi="Century" w:cs="FrankRuehl" w:hint="eastAsia"/>
          <w:spacing w:val="10"/>
          <w:szCs w:val="28"/>
          <w:rtl/>
        </w:rPr>
        <w:t>רק</w:t>
      </w:r>
      <w:r w:rsidRPr="00D90A8F">
        <w:rPr>
          <w:rFonts w:ascii="Century" w:hAnsi="Century" w:cs="FrankRuehl"/>
          <w:spacing w:val="10"/>
          <w:szCs w:val="28"/>
          <w:rtl/>
        </w:rPr>
        <w:t xml:space="preserve"> </w:t>
      </w:r>
      <w:r w:rsidRPr="00D90A8F">
        <w:rPr>
          <w:rFonts w:ascii="Century" w:hAnsi="Century" w:cs="FrankRuehl" w:hint="eastAsia"/>
          <w:spacing w:val="10"/>
          <w:szCs w:val="28"/>
          <w:rtl/>
        </w:rPr>
        <w:t>חריגה</w:t>
      </w:r>
      <w:r w:rsidRPr="00D90A8F">
        <w:rPr>
          <w:rFonts w:ascii="Century" w:hAnsi="Century" w:cs="FrankRuehl"/>
          <w:spacing w:val="10"/>
          <w:szCs w:val="28"/>
          <w:rtl/>
        </w:rPr>
        <w:t xml:space="preserve"> </w:t>
      </w:r>
      <w:r>
        <w:rPr>
          <w:rFonts w:ascii="Century" w:hAnsi="Century" w:cs="FrankRuehl" w:hint="cs"/>
          <w:spacing w:val="10"/>
          <w:szCs w:val="28"/>
          <w:rtl/>
        </w:rPr>
        <w:t xml:space="preserve">משמעותית </w:t>
      </w:r>
      <w:r w:rsidRPr="00D90A8F">
        <w:rPr>
          <w:rFonts w:ascii="Century" w:hAnsi="Century" w:cs="FrankRuehl" w:hint="eastAsia"/>
          <w:spacing w:val="10"/>
          <w:szCs w:val="28"/>
          <w:rtl/>
        </w:rPr>
        <w:t>ממתחם</w:t>
      </w:r>
      <w:r w:rsidRPr="00D90A8F">
        <w:rPr>
          <w:rFonts w:ascii="Century" w:hAnsi="Century" w:cs="FrankRuehl"/>
          <w:spacing w:val="10"/>
          <w:szCs w:val="28"/>
          <w:rtl/>
        </w:rPr>
        <w:t xml:space="preserve"> </w:t>
      </w:r>
      <w:r w:rsidRPr="00D90A8F">
        <w:rPr>
          <w:rFonts w:ascii="Century" w:hAnsi="Century" w:cs="FrankRuehl" w:hint="eastAsia"/>
          <w:spacing w:val="10"/>
          <w:szCs w:val="28"/>
          <w:rtl/>
        </w:rPr>
        <w:t>זה</w:t>
      </w:r>
      <w:r w:rsidRPr="00D90A8F">
        <w:rPr>
          <w:rFonts w:ascii="Century" w:hAnsi="Century" w:cs="FrankRuehl"/>
          <w:spacing w:val="10"/>
          <w:szCs w:val="28"/>
          <w:rtl/>
        </w:rPr>
        <w:t xml:space="preserve"> </w:t>
      </w:r>
      <w:r w:rsidRPr="00D90A8F">
        <w:rPr>
          <w:rFonts w:ascii="Century" w:hAnsi="Century" w:cs="FrankRuehl" w:hint="eastAsia"/>
          <w:spacing w:val="10"/>
          <w:szCs w:val="28"/>
          <w:rtl/>
        </w:rPr>
        <w:t>עשויה</w:t>
      </w:r>
      <w:r w:rsidRPr="00D90A8F">
        <w:rPr>
          <w:rFonts w:ascii="Century" w:hAnsi="Century" w:cs="FrankRuehl"/>
          <w:spacing w:val="10"/>
          <w:szCs w:val="28"/>
          <w:rtl/>
        </w:rPr>
        <w:t xml:space="preserve"> </w:t>
      </w:r>
      <w:r w:rsidRPr="00D90A8F">
        <w:rPr>
          <w:rFonts w:ascii="Century" w:hAnsi="Century" w:cs="FrankRuehl" w:hint="eastAsia"/>
          <w:spacing w:val="10"/>
          <w:szCs w:val="28"/>
          <w:rtl/>
        </w:rPr>
        <w:t>להוביל</w:t>
      </w:r>
      <w:r w:rsidRPr="00D90A8F">
        <w:rPr>
          <w:rFonts w:ascii="Century" w:hAnsi="Century" w:cs="FrankRuehl"/>
          <w:spacing w:val="10"/>
          <w:szCs w:val="28"/>
          <w:rtl/>
        </w:rPr>
        <w:t xml:space="preserve"> </w:t>
      </w:r>
      <w:r w:rsidRPr="00D90A8F">
        <w:rPr>
          <w:rFonts w:ascii="Century" w:hAnsi="Century" w:cs="FrankRuehl" w:hint="eastAsia"/>
          <w:spacing w:val="10"/>
          <w:szCs w:val="28"/>
          <w:rtl/>
        </w:rPr>
        <w:t>להתערבות</w:t>
      </w:r>
      <w:r w:rsidRPr="00D90A8F">
        <w:rPr>
          <w:rFonts w:ascii="Century" w:hAnsi="Century" w:cs="FrankRuehl"/>
          <w:spacing w:val="10"/>
          <w:szCs w:val="28"/>
          <w:rtl/>
        </w:rPr>
        <w:t xml:space="preserve">. </w:t>
      </w:r>
      <w:r w:rsidRPr="00D90A8F">
        <w:rPr>
          <w:rFonts w:ascii="Century" w:hAnsi="Century" w:cs="FrankRuehl" w:hint="eastAsia"/>
          <w:spacing w:val="10"/>
          <w:szCs w:val="28"/>
          <w:rtl/>
        </w:rPr>
        <w:t>ואכן</w:t>
      </w:r>
      <w:r w:rsidRPr="00D90A8F">
        <w:rPr>
          <w:rFonts w:ascii="Century" w:hAnsi="Century" w:cs="FrankRuehl"/>
          <w:spacing w:val="10"/>
          <w:szCs w:val="28"/>
          <w:rtl/>
        </w:rPr>
        <w:t xml:space="preserve">, </w:t>
      </w:r>
      <w:r w:rsidRPr="00D90A8F">
        <w:rPr>
          <w:rFonts w:ascii="Century" w:hAnsi="Century" w:cs="FrankRuehl" w:hint="eastAsia"/>
          <w:spacing w:val="10"/>
          <w:szCs w:val="28"/>
          <w:rtl/>
        </w:rPr>
        <w:t>על</w:t>
      </w:r>
      <w:r w:rsidRPr="00D90A8F">
        <w:rPr>
          <w:rFonts w:ascii="Century" w:hAnsi="Century" w:cs="FrankRuehl"/>
          <w:spacing w:val="10"/>
          <w:szCs w:val="28"/>
          <w:rtl/>
        </w:rPr>
        <w:t xml:space="preserve"> </w:t>
      </w:r>
      <w:r w:rsidRPr="00D90A8F">
        <w:rPr>
          <w:rFonts w:ascii="Century" w:hAnsi="Century" w:cs="FrankRuehl" w:hint="eastAsia"/>
          <w:spacing w:val="10"/>
          <w:szCs w:val="28"/>
          <w:rtl/>
        </w:rPr>
        <w:t>פי</w:t>
      </w:r>
      <w:r w:rsidRPr="00D90A8F">
        <w:rPr>
          <w:rFonts w:ascii="Century" w:hAnsi="Century" w:cs="FrankRuehl"/>
          <w:spacing w:val="10"/>
          <w:szCs w:val="28"/>
          <w:rtl/>
        </w:rPr>
        <w:t xml:space="preserve"> </w:t>
      </w:r>
      <w:r w:rsidRPr="00D90A8F">
        <w:rPr>
          <w:rFonts w:ascii="Century" w:hAnsi="Century" w:cs="FrankRuehl" w:hint="eastAsia"/>
          <w:spacing w:val="10"/>
          <w:szCs w:val="28"/>
          <w:rtl/>
        </w:rPr>
        <w:t>רוב</w:t>
      </w:r>
      <w:r w:rsidRPr="00D90A8F">
        <w:rPr>
          <w:rFonts w:ascii="Century" w:hAnsi="Century" w:cs="FrankRuehl"/>
          <w:spacing w:val="10"/>
          <w:szCs w:val="28"/>
          <w:rtl/>
        </w:rPr>
        <w:t xml:space="preserve">, </w:t>
      </w:r>
      <w:r w:rsidRPr="00D90A8F">
        <w:rPr>
          <w:rFonts w:ascii="Century" w:hAnsi="Century" w:cs="FrankRuehl" w:hint="eastAsia"/>
          <w:spacing w:val="10"/>
          <w:szCs w:val="28"/>
          <w:rtl/>
        </w:rPr>
        <w:t>בתי</w:t>
      </w:r>
      <w:r w:rsidRPr="00D90A8F">
        <w:rPr>
          <w:rFonts w:ascii="Century" w:hAnsi="Century" w:cs="FrankRuehl"/>
          <w:spacing w:val="10"/>
          <w:szCs w:val="28"/>
          <w:rtl/>
        </w:rPr>
        <w:t xml:space="preserve"> </w:t>
      </w:r>
      <w:r w:rsidRPr="00D90A8F">
        <w:rPr>
          <w:rFonts w:ascii="Century" w:hAnsi="Century" w:cs="FrankRuehl" w:hint="eastAsia"/>
          <w:spacing w:val="10"/>
          <w:szCs w:val="28"/>
          <w:rtl/>
        </w:rPr>
        <w:t>המשפט</w:t>
      </w:r>
      <w:r w:rsidRPr="00D90A8F">
        <w:rPr>
          <w:rFonts w:ascii="Century" w:hAnsi="Century" w:cs="FrankRuehl"/>
          <w:spacing w:val="10"/>
          <w:szCs w:val="28"/>
          <w:rtl/>
        </w:rPr>
        <w:t xml:space="preserve"> </w:t>
      </w:r>
      <w:r w:rsidRPr="00D90A8F">
        <w:rPr>
          <w:rFonts w:ascii="Century" w:hAnsi="Century" w:cs="FrankRuehl" w:hint="eastAsia"/>
          <w:spacing w:val="10"/>
          <w:szCs w:val="28"/>
          <w:rtl/>
        </w:rPr>
        <w:t>נוהגים</w:t>
      </w:r>
      <w:r w:rsidRPr="00D90A8F">
        <w:rPr>
          <w:rFonts w:ascii="Century" w:hAnsi="Century" w:cs="FrankRuehl"/>
          <w:spacing w:val="10"/>
          <w:szCs w:val="28"/>
          <w:rtl/>
        </w:rPr>
        <w:t xml:space="preserve"> </w:t>
      </w:r>
      <w:r w:rsidRPr="00D90A8F">
        <w:rPr>
          <w:rFonts w:ascii="Century" w:hAnsi="Century" w:cs="FrankRuehl" w:hint="eastAsia"/>
          <w:spacing w:val="10"/>
          <w:szCs w:val="28"/>
          <w:rtl/>
        </w:rPr>
        <w:t>בריסון</w:t>
      </w:r>
      <w:r w:rsidRPr="00D90A8F">
        <w:rPr>
          <w:rFonts w:ascii="Century" w:hAnsi="Century" w:cs="FrankRuehl"/>
          <w:spacing w:val="10"/>
          <w:szCs w:val="28"/>
          <w:rtl/>
        </w:rPr>
        <w:t xml:space="preserve"> </w:t>
      </w:r>
      <w:r w:rsidRPr="00D90A8F">
        <w:rPr>
          <w:rFonts w:ascii="Century" w:hAnsi="Century" w:cs="FrankRuehl" w:hint="eastAsia"/>
          <w:spacing w:val="10"/>
          <w:szCs w:val="28"/>
          <w:rtl/>
        </w:rPr>
        <w:t>רב</w:t>
      </w:r>
      <w:r w:rsidRPr="00D90A8F">
        <w:rPr>
          <w:rFonts w:ascii="Century" w:hAnsi="Century" w:cs="FrankRuehl"/>
          <w:spacing w:val="10"/>
          <w:szCs w:val="28"/>
          <w:rtl/>
        </w:rPr>
        <w:t xml:space="preserve"> </w:t>
      </w:r>
      <w:r w:rsidRPr="00D90A8F">
        <w:rPr>
          <w:rFonts w:ascii="Century" w:hAnsi="Century" w:cs="FrankRuehl" w:hint="eastAsia"/>
          <w:spacing w:val="10"/>
          <w:szCs w:val="28"/>
          <w:rtl/>
        </w:rPr>
        <w:t>בבואם</w:t>
      </w:r>
      <w:r w:rsidRPr="00D90A8F">
        <w:rPr>
          <w:rFonts w:ascii="Century" w:hAnsi="Century" w:cs="FrankRuehl"/>
          <w:spacing w:val="10"/>
          <w:szCs w:val="28"/>
          <w:rtl/>
        </w:rPr>
        <w:t xml:space="preserve"> </w:t>
      </w:r>
      <w:r w:rsidRPr="00D90A8F">
        <w:rPr>
          <w:rFonts w:ascii="Century" w:hAnsi="Century" w:cs="FrankRuehl" w:hint="eastAsia"/>
          <w:spacing w:val="10"/>
          <w:szCs w:val="28"/>
          <w:rtl/>
        </w:rPr>
        <w:t>לבחון</w:t>
      </w:r>
      <w:r w:rsidRPr="00D90A8F">
        <w:rPr>
          <w:rFonts w:ascii="Century" w:hAnsi="Century" w:cs="FrankRuehl"/>
          <w:spacing w:val="10"/>
          <w:szCs w:val="28"/>
          <w:rtl/>
        </w:rPr>
        <w:t xml:space="preserve"> </w:t>
      </w:r>
      <w:r w:rsidRPr="00D90A8F">
        <w:rPr>
          <w:rFonts w:ascii="Century" w:hAnsi="Century" w:cs="FrankRuehl" w:hint="eastAsia"/>
          <w:spacing w:val="10"/>
          <w:szCs w:val="28"/>
          <w:rtl/>
        </w:rPr>
        <w:t>החלטות</w:t>
      </w:r>
      <w:r w:rsidRPr="00D90A8F">
        <w:rPr>
          <w:rFonts w:ascii="Century" w:hAnsi="Century" w:cs="FrankRuehl"/>
          <w:spacing w:val="10"/>
          <w:szCs w:val="28"/>
          <w:rtl/>
        </w:rPr>
        <w:t xml:space="preserve"> </w:t>
      </w:r>
      <w:r w:rsidRPr="00D90A8F">
        <w:rPr>
          <w:rFonts w:ascii="Century" w:hAnsi="Century" w:cs="FrankRuehl" w:hint="eastAsia"/>
          <w:spacing w:val="10"/>
          <w:szCs w:val="28"/>
          <w:rtl/>
        </w:rPr>
        <w:t>מינהליות</w:t>
      </w:r>
      <w:r w:rsidRPr="00D90A8F">
        <w:rPr>
          <w:rFonts w:ascii="Century" w:hAnsi="Century" w:cs="FrankRuehl"/>
          <w:spacing w:val="10"/>
          <w:szCs w:val="28"/>
          <w:rtl/>
        </w:rPr>
        <w:t xml:space="preserve"> </w:t>
      </w:r>
      <w:r w:rsidRPr="00D90A8F">
        <w:rPr>
          <w:rFonts w:ascii="Century" w:hAnsi="Century" w:cs="FrankRuehl" w:hint="eastAsia"/>
          <w:spacing w:val="10"/>
          <w:szCs w:val="28"/>
          <w:rtl/>
        </w:rPr>
        <w:t>ולא</w:t>
      </w:r>
      <w:r w:rsidRPr="00D90A8F">
        <w:rPr>
          <w:rFonts w:ascii="Century" w:hAnsi="Century" w:cs="FrankRuehl"/>
          <w:spacing w:val="10"/>
          <w:szCs w:val="28"/>
          <w:rtl/>
        </w:rPr>
        <w:t xml:space="preserve"> </w:t>
      </w:r>
      <w:r w:rsidRPr="00D90A8F">
        <w:rPr>
          <w:rFonts w:ascii="Century" w:hAnsi="Century" w:cs="FrankRuehl" w:hint="eastAsia"/>
          <w:spacing w:val="10"/>
          <w:szCs w:val="28"/>
          <w:rtl/>
        </w:rPr>
        <w:t>נוהגים</w:t>
      </w:r>
      <w:r w:rsidRPr="00D90A8F">
        <w:rPr>
          <w:rFonts w:ascii="Century" w:hAnsi="Century" w:cs="FrankRuehl"/>
          <w:spacing w:val="10"/>
          <w:szCs w:val="28"/>
          <w:rtl/>
        </w:rPr>
        <w:t xml:space="preserve"> </w:t>
      </w:r>
      <w:r w:rsidRPr="00D90A8F">
        <w:rPr>
          <w:rFonts w:ascii="Century" w:hAnsi="Century" w:cs="FrankRuehl" w:hint="eastAsia"/>
          <w:spacing w:val="10"/>
          <w:szCs w:val="28"/>
          <w:rtl/>
        </w:rPr>
        <w:t>להתערב</w:t>
      </w:r>
      <w:r w:rsidRPr="00D90A8F">
        <w:rPr>
          <w:rFonts w:ascii="Century" w:hAnsi="Century" w:cs="FrankRuehl"/>
          <w:spacing w:val="10"/>
          <w:szCs w:val="28"/>
          <w:rtl/>
        </w:rPr>
        <w:t xml:space="preserve"> </w:t>
      </w:r>
      <w:r w:rsidRPr="00D90A8F">
        <w:rPr>
          <w:rFonts w:ascii="Century" w:hAnsi="Century" w:cs="FrankRuehl" w:hint="eastAsia"/>
          <w:spacing w:val="10"/>
          <w:szCs w:val="28"/>
          <w:rtl/>
        </w:rPr>
        <w:t>בהחלטות</w:t>
      </w:r>
      <w:r w:rsidRPr="00D90A8F">
        <w:rPr>
          <w:rFonts w:ascii="Century" w:hAnsi="Century" w:cs="FrankRuehl"/>
          <w:spacing w:val="10"/>
          <w:szCs w:val="28"/>
          <w:rtl/>
        </w:rPr>
        <w:t xml:space="preserve"> </w:t>
      </w:r>
      <w:r>
        <w:rPr>
          <w:rFonts w:ascii="Century" w:hAnsi="Century" w:cs="FrankRuehl" w:hint="cs"/>
          <w:spacing w:val="10"/>
          <w:szCs w:val="28"/>
          <w:rtl/>
        </w:rPr>
        <w:t xml:space="preserve">אלה </w:t>
      </w:r>
      <w:r w:rsidRPr="00D90A8F">
        <w:rPr>
          <w:rFonts w:ascii="Century" w:hAnsi="Century" w:cs="FrankRuehl" w:hint="eastAsia"/>
          <w:spacing w:val="10"/>
          <w:szCs w:val="28"/>
          <w:rtl/>
        </w:rPr>
        <w:t>אלא</w:t>
      </w:r>
      <w:r w:rsidRPr="00D90A8F">
        <w:rPr>
          <w:rFonts w:ascii="Century" w:hAnsi="Century" w:cs="FrankRuehl"/>
          <w:spacing w:val="10"/>
          <w:szCs w:val="28"/>
          <w:rtl/>
        </w:rPr>
        <w:t xml:space="preserve"> </w:t>
      </w:r>
      <w:r w:rsidRPr="00D90A8F">
        <w:rPr>
          <w:rFonts w:ascii="Century" w:hAnsi="Century" w:cs="FrankRuehl" w:hint="eastAsia"/>
          <w:spacing w:val="10"/>
          <w:szCs w:val="28"/>
          <w:rtl/>
        </w:rPr>
        <w:t>במקרים</w:t>
      </w:r>
      <w:r w:rsidRPr="00D90A8F">
        <w:rPr>
          <w:rFonts w:ascii="Century" w:hAnsi="Century" w:cs="FrankRuehl"/>
          <w:spacing w:val="10"/>
          <w:szCs w:val="28"/>
          <w:rtl/>
        </w:rPr>
        <w:t xml:space="preserve"> </w:t>
      </w:r>
      <w:r w:rsidRPr="00D90A8F">
        <w:rPr>
          <w:rFonts w:ascii="Century" w:hAnsi="Century" w:cs="FrankRuehl" w:hint="eastAsia"/>
          <w:spacing w:val="10"/>
          <w:szCs w:val="28"/>
          <w:rtl/>
        </w:rPr>
        <w:t>חריגים</w:t>
      </w:r>
      <w:r w:rsidRPr="00D90A8F">
        <w:rPr>
          <w:rFonts w:ascii="Century" w:hAnsi="Century" w:cs="FrankRuehl"/>
          <w:spacing w:val="10"/>
          <w:szCs w:val="28"/>
          <w:rtl/>
        </w:rPr>
        <w:t xml:space="preserve"> (</w:t>
      </w:r>
      <w:r w:rsidRPr="00D90A8F">
        <w:rPr>
          <w:rFonts w:ascii="Century" w:hAnsi="Century" w:cs="FrankRuehl" w:hint="eastAsia"/>
          <w:spacing w:val="10"/>
          <w:szCs w:val="28"/>
          <w:rtl/>
        </w:rPr>
        <w:t>כאשר</w:t>
      </w:r>
      <w:r w:rsidRPr="00D90A8F">
        <w:rPr>
          <w:rFonts w:ascii="Century" w:hAnsi="Century" w:cs="FrankRuehl"/>
          <w:spacing w:val="10"/>
          <w:szCs w:val="28"/>
          <w:rtl/>
        </w:rPr>
        <w:t xml:space="preserve"> </w:t>
      </w:r>
      <w:r w:rsidRPr="005F4D45">
        <w:rPr>
          <w:rFonts w:ascii="Century" w:hAnsi="Century" w:cs="FrankRuehl" w:hint="cs"/>
          <w:spacing w:val="10"/>
          <w:szCs w:val="28"/>
          <w:rtl/>
        </w:rPr>
        <w:t>כפי שיצוי</w:t>
      </w:r>
      <w:r w:rsidRPr="00D90A8F">
        <w:rPr>
          <w:rFonts w:ascii="Century" w:hAnsi="Century" w:cs="FrankRuehl" w:hint="eastAsia"/>
          <w:spacing w:val="10"/>
          <w:szCs w:val="28"/>
          <w:rtl/>
        </w:rPr>
        <w:t>ן</w:t>
      </w:r>
      <w:r w:rsidRPr="00D90A8F">
        <w:rPr>
          <w:rFonts w:ascii="Century" w:hAnsi="Century" w:cs="FrankRuehl"/>
          <w:spacing w:val="10"/>
          <w:szCs w:val="28"/>
          <w:rtl/>
        </w:rPr>
        <w:t xml:space="preserve"> </w:t>
      </w:r>
      <w:r w:rsidRPr="00D90A8F">
        <w:rPr>
          <w:rFonts w:ascii="Century" w:hAnsi="Century" w:cs="FrankRuehl" w:hint="eastAsia"/>
          <w:spacing w:val="10"/>
          <w:szCs w:val="28"/>
          <w:rtl/>
        </w:rPr>
        <w:t>להלן</w:t>
      </w:r>
      <w:r w:rsidRPr="00D90A8F">
        <w:rPr>
          <w:rFonts w:ascii="Century" w:hAnsi="Century" w:cs="FrankRuehl"/>
          <w:spacing w:val="10"/>
          <w:szCs w:val="28"/>
          <w:rtl/>
        </w:rPr>
        <w:t xml:space="preserve"> </w:t>
      </w:r>
      <w:r w:rsidRPr="00D90A8F">
        <w:rPr>
          <w:rFonts w:ascii="Century" w:hAnsi="Century" w:cs="FrankRuehl" w:hint="eastAsia"/>
          <w:spacing w:val="10"/>
          <w:szCs w:val="28"/>
          <w:rtl/>
        </w:rPr>
        <w:t>רף</w:t>
      </w:r>
      <w:r w:rsidRPr="00D90A8F">
        <w:rPr>
          <w:rFonts w:ascii="Century" w:hAnsi="Century" w:cs="FrankRuehl"/>
          <w:spacing w:val="10"/>
          <w:szCs w:val="28"/>
          <w:rtl/>
        </w:rPr>
        <w:t xml:space="preserve"> </w:t>
      </w:r>
      <w:r w:rsidRPr="00D90A8F">
        <w:rPr>
          <w:rFonts w:ascii="Century" w:hAnsi="Century" w:cs="FrankRuehl" w:hint="eastAsia"/>
          <w:spacing w:val="10"/>
          <w:szCs w:val="28"/>
          <w:rtl/>
        </w:rPr>
        <w:t>ההתערבות</w:t>
      </w:r>
      <w:r w:rsidRPr="00D90A8F">
        <w:rPr>
          <w:rFonts w:ascii="Century" w:hAnsi="Century" w:cs="FrankRuehl"/>
          <w:spacing w:val="10"/>
          <w:szCs w:val="28"/>
          <w:rtl/>
        </w:rPr>
        <w:t xml:space="preserve"> </w:t>
      </w:r>
      <w:r w:rsidRPr="00D90A8F">
        <w:rPr>
          <w:rFonts w:ascii="Century" w:hAnsi="Century" w:cs="FrankRuehl" w:hint="eastAsia"/>
          <w:spacing w:val="10"/>
          <w:szCs w:val="28"/>
          <w:rtl/>
        </w:rPr>
        <w:t>עשוי</w:t>
      </w:r>
      <w:r w:rsidRPr="00D90A8F">
        <w:rPr>
          <w:rFonts w:ascii="Century" w:hAnsi="Century" w:cs="FrankRuehl"/>
          <w:spacing w:val="10"/>
          <w:szCs w:val="28"/>
          <w:rtl/>
        </w:rPr>
        <w:t xml:space="preserve"> </w:t>
      </w:r>
      <w:r w:rsidRPr="00D90A8F">
        <w:rPr>
          <w:rFonts w:ascii="Century" w:hAnsi="Century" w:cs="FrankRuehl" w:hint="eastAsia"/>
          <w:spacing w:val="10"/>
          <w:szCs w:val="28"/>
          <w:rtl/>
        </w:rPr>
        <w:t>להשתנות</w:t>
      </w:r>
      <w:r w:rsidRPr="00D90A8F">
        <w:rPr>
          <w:rFonts w:ascii="Century" w:hAnsi="Century" w:cs="FrankRuehl"/>
          <w:spacing w:val="10"/>
          <w:szCs w:val="28"/>
          <w:rtl/>
        </w:rPr>
        <w:t xml:space="preserve"> </w:t>
      </w:r>
      <w:r w:rsidRPr="00D90A8F">
        <w:rPr>
          <w:rFonts w:ascii="Century" w:hAnsi="Century" w:cs="FrankRuehl" w:hint="eastAsia"/>
          <w:spacing w:val="10"/>
          <w:szCs w:val="28"/>
          <w:rtl/>
        </w:rPr>
        <w:t>בהתאם</w:t>
      </w:r>
      <w:r w:rsidRPr="00D90A8F">
        <w:rPr>
          <w:rFonts w:ascii="Century" w:hAnsi="Century" w:cs="FrankRuehl"/>
          <w:spacing w:val="10"/>
          <w:szCs w:val="28"/>
          <w:rtl/>
        </w:rPr>
        <w:t xml:space="preserve"> </w:t>
      </w:r>
      <w:r w:rsidRPr="00D90A8F">
        <w:rPr>
          <w:rFonts w:ascii="Century" w:hAnsi="Century" w:cs="FrankRuehl" w:hint="eastAsia"/>
          <w:spacing w:val="10"/>
          <w:szCs w:val="28"/>
          <w:rtl/>
        </w:rPr>
        <w:t>לסוג</w:t>
      </w:r>
      <w:r w:rsidRPr="00D90A8F">
        <w:rPr>
          <w:rFonts w:ascii="Century" w:hAnsi="Century" w:cs="FrankRuehl"/>
          <w:spacing w:val="10"/>
          <w:szCs w:val="28"/>
          <w:rtl/>
        </w:rPr>
        <w:t xml:space="preserve"> </w:t>
      </w:r>
      <w:r w:rsidRPr="00D90A8F">
        <w:rPr>
          <w:rFonts w:ascii="Century" w:hAnsi="Century" w:cs="FrankRuehl" w:hint="eastAsia"/>
          <w:spacing w:val="10"/>
          <w:szCs w:val="28"/>
          <w:rtl/>
        </w:rPr>
        <w:t>ההחלטה</w:t>
      </w:r>
      <w:r w:rsidRPr="00D90A8F">
        <w:rPr>
          <w:rFonts w:ascii="Century" w:hAnsi="Century" w:cs="FrankRuehl"/>
          <w:spacing w:val="10"/>
          <w:szCs w:val="28"/>
          <w:rtl/>
        </w:rPr>
        <w:t xml:space="preserve"> </w:t>
      </w:r>
      <w:r w:rsidRPr="00D90A8F">
        <w:rPr>
          <w:rFonts w:ascii="Century" w:hAnsi="Century" w:cs="FrankRuehl" w:hint="eastAsia"/>
          <w:spacing w:val="10"/>
          <w:szCs w:val="28"/>
          <w:rtl/>
        </w:rPr>
        <w:t>ולזהות</w:t>
      </w:r>
      <w:r w:rsidRPr="00D90A8F">
        <w:rPr>
          <w:rFonts w:ascii="Century" w:hAnsi="Century" w:cs="FrankRuehl"/>
          <w:spacing w:val="10"/>
          <w:szCs w:val="28"/>
          <w:rtl/>
        </w:rPr>
        <w:t xml:space="preserve"> </w:t>
      </w:r>
      <w:r w:rsidRPr="00D90A8F">
        <w:rPr>
          <w:rFonts w:ascii="Century" w:hAnsi="Century" w:cs="FrankRuehl" w:hint="eastAsia"/>
          <w:spacing w:val="10"/>
          <w:szCs w:val="28"/>
          <w:rtl/>
        </w:rPr>
        <w:t>הגורם</w:t>
      </w:r>
      <w:r w:rsidRPr="00D90A8F">
        <w:rPr>
          <w:rFonts w:ascii="Century" w:hAnsi="Century" w:cs="FrankRuehl"/>
          <w:spacing w:val="10"/>
          <w:szCs w:val="28"/>
          <w:rtl/>
        </w:rPr>
        <w:t xml:space="preserve"> </w:t>
      </w:r>
      <w:r w:rsidRPr="00D90A8F">
        <w:rPr>
          <w:rFonts w:ascii="Century" w:hAnsi="Century" w:cs="FrankRuehl" w:hint="eastAsia"/>
          <w:spacing w:val="10"/>
          <w:szCs w:val="28"/>
          <w:rtl/>
        </w:rPr>
        <w:t>המינהלי</w:t>
      </w:r>
      <w:r>
        <w:rPr>
          <w:rFonts w:ascii="Century" w:hAnsi="Century" w:cs="FrankRuehl" w:hint="cs"/>
          <w:spacing w:val="10"/>
          <w:szCs w:val="28"/>
          <w:rtl/>
        </w:rPr>
        <w:t xml:space="preserve"> שקיבל את ההחלטה</w:t>
      </w:r>
      <w:r w:rsidRPr="00D90A8F">
        <w:rPr>
          <w:rFonts w:ascii="Century" w:hAnsi="Century" w:cs="FrankRuehl"/>
          <w:spacing w:val="10"/>
          <w:szCs w:val="28"/>
          <w:rtl/>
        </w:rPr>
        <w:t>) (</w:t>
      </w:r>
      <w:r w:rsidRPr="00D90A8F">
        <w:rPr>
          <w:rFonts w:ascii="Century" w:hAnsi="Century" w:cs="FrankRuehl" w:hint="eastAsia"/>
          <w:spacing w:val="10"/>
          <w:szCs w:val="28"/>
          <w:rtl/>
        </w:rPr>
        <w:t>ראו</w:t>
      </w:r>
      <w:r w:rsidRPr="00D90A8F">
        <w:rPr>
          <w:rFonts w:ascii="Century" w:hAnsi="Century" w:cs="FrankRuehl"/>
          <w:spacing w:val="10"/>
          <w:szCs w:val="28"/>
          <w:rtl/>
        </w:rPr>
        <w:t xml:space="preserve">: </w:t>
      </w:r>
      <w:r>
        <w:rPr>
          <w:rFonts w:ascii="Century" w:hAnsi="Century" w:cs="FrankRuehl" w:hint="cs"/>
          <w:spacing w:val="10"/>
          <w:szCs w:val="28"/>
          <w:rtl/>
        </w:rPr>
        <w:t>ברק-ארז, משפט מינהלי, 765-764; כהן, בעמודים 802-799; זמיר, בעמוד 3601</w:t>
      </w:r>
      <w:r w:rsidRPr="00D90A8F">
        <w:rPr>
          <w:rFonts w:ascii="Century" w:hAnsi="Century" w:cs="FrankRuehl"/>
          <w:spacing w:val="10"/>
          <w:szCs w:val="28"/>
          <w:rtl/>
        </w:rPr>
        <w:t>).</w:t>
      </w:r>
    </w:p>
    <w:p w:rsidR="00A01E7C" w:rsidRPr="004F4D8E" w:rsidRDefault="00A01E7C" w:rsidP="00A01E7C">
      <w:pPr>
        <w:spacing w:line="360" w:lineRule="auto"/>
        <w:jc w:val="both"/>
        <w:rPr>
          <w:rFonts w:ascii="Century" w:hAnsi="Century" w:cs="FrankRuehl"/>
          <w:spacing w:val="10"/>
          <w:szCs w:val="28"/>
          <w:rtl/>
        </w:rPr>
      </w:pPr>
    </w:p>
    <w:p w:rsidR="00A01E7C" w:rsidRPr="004F4D8E" w:rsidRDefault="00A01E7C" w:rsidP="00A01E7C">
      <w:pPr>
        <w:spacing w:line="360" w:lineRule="auto"/>
        <w:ind w:left="720"/>
        <w:jc w:val="both"/>
        <w:rPr>
          <w:rFonts w:ascii="Century" w:hAnsi="Century" w:cs="FrankRuehl"/>
          <w:spacing w:val="10"/>
          <w:szCs w:val="28"/>
          <w:rtl/>
        </w:rPr>
      </w:pPr>
      <w:r>
        <w:rPr>
          <w:rFonts w:asciiTheme="majorBidi" w:hAnsiTheme="majorBidi" w:cstheme="majorBidi"/>
          <w:b/>
          <w:bCs/>
          <w:sz w:val="24"/>
          <w:rtl/>
        </w:rPr>
        <w:t xml:space="preserve"> </w:t>
      </w:r>
      <w:r w:rsidRPr="004F4D8E">
        <w:rPr>
          <w:rFonts w:ascii="Century" w:hAnsi="Century" w:cs="Miriam"/>
          <w:b/>
          <w:rtl/>
        </w:rPr>
        <w:t>(</w:t>
      </w:r>
      <w:r>
        <w:rPr>
          <w:rFonts w:ascii="Century" w:hAnsi="Century" w:cs="Miriam" w:hint="cs"/>
          <w:b/>
          <w:rtl/>
        </w:rPr>
        <w:t>ג</w:t>
      </w:r>
      <w:r w:rsidRPr="004F4D8E">
        <w:rPr>
          <w:rFonts w:ascii="Century" w:hAnsi="Century" w:cs="Miriam"/>
          <w:b/>
          <w:rtl/>
        </w:rPr>
        <w:t>)</w:t>
      </w:r>
      <w:r w:rsidRPr="004F4D8E">
        <w:rPr>
          <w:rFonts w:ascii="Century" w:hAnsi="Century" w:cs="Miriam"/>
          <w:b/>
          <w:rtl/>
        </w:rPr>
        <w:tab/>
      </w:r>
      <w:r w:rsidRPr="004F4D8E">
        <w:rPr>
          <w:rFonts w:ascii="Century" w:hAnsi="Century" w:cs="Miriam" w:hint="eastAsia"/>
          <w:b/>
          <w:rtl/>
        </w:rPr>
        <w:t>המצב</w:t>
      </w:r>
      <w:r w:rsidRPr="004F4D8E">
        <w:rPr>
          <w:rFonts w:ascii="Century" w:hAnsi="Century" w:cs="Miriam"/>
          <w:b/>
          <w:rtl/>
        </w:rPr>
        <w:t xml:space="preserve"> לאחר פסק הדין – מגוון דעות ושינויים בהלכה</w:t>
      </w:r>
      <w:r>
        <w:rPr>
          <w:rFonts w:ascii="Century" w:hAnsi="Century" w:cs="Miriam" w:hint="cs"/>
          <w:b/>
          <w:rtl/>
        </w:rPr>
        <w:t>:</w:t>
      </w:r>
      <w:r w:rsidRPr="004F4D8E">
        <w:rPr>
          <w:rFonts w:ascii="Century" w:hAnsi="Century" w:cs="Miriam"/>
          <w:b/>
          <w:rtl/>
        </w:rPr>
        <w:t xml:space="preserve"> </w:t>
      </w:r>
      <w:r w:rsidRPr="004F4D8E">
        <w:rPr>
          <w:rFonts w:ascii="Century" w:hAnsi="Century" w:cs="FrankRuehl" w:hint="eastAsia"/>
          <w:spacing w:val="10"/>
          <w:szCs w:val="28"/>
          <w:rtl/>
        </w:rPr>
        <w:t>גם</w:t>
      </w:r>
      <w:r w:rsidRPr="004F4D8E">
        <w:rPr>
          <w:rFonts w:ascii="Century" w:hAnsi="Century" w:cs="FrankRuehl"/>
          <w:spacing w:val="10"/>
          <w:szCs w:val="28"/>
          <w:rtl/>
        </w:rPr>
        <w:t xml:space="preserve"> </w:t>
      </w:r>
      <w:r w:rsidRPr="004F4D8E">
        <w:rPr>
          <w:rFonts w:ascii="Century" w:hAnsi="Century" w:cs="FrankRuehl" w:hint="eastAsia"/>
          <w:spacing w:val="10"/>
          <w:szCs w:val="28"/>
          <w:rtl/>
        </w:rPr>
        <w:t>אחרי</w:t>
      </w:r>
      <w:r w:rsidRPr="004F4D8E">
        <w:rPr>
          <w:rFonts w:ascii="Century" w:hAnsi="Century" w:cs="FrankRuehl"/>
          <w:spacing w:val="10"/>
          <w:szCs w:val="28"/>
          <w:rtl/>
        </w:rPr>
        <w:t xml:space="preserve"> </w:t>
      </w:r>
      <w:r w:rsidRPr="004F4D8E">
        <w:rPr>
          <w:rFonts w:ascii="Century" w:hAnsi="Century" w:cs="FrankRuehl" w:hint="eastAsia"/>
          <w:spacing w:val="10"/>
          <w:szCs w:val="28"/>
          <w:rtl/>
        </w:rPr>
        <w:t>פסק</w:t>
      </w:r>
      <w:r w:rsidRPr="004F4D8E">
        <w:rPr>
          <w:rFonts w:ascii="Century" w:hAnsi="Century" w:cs="FrankRuehl"/>
          <w:spacing w:val="10"/>
          <w:szCs w:val="28"/>
          <w:rtl/>
        </w:rPr>
        <w:t xml:space="preserve"> </w:t>
      </w:r>
      <w:r w:rsidRPr="004F4D8E">
        <w:rPr>
          <w:rFonts w:ascii="Century" w:hAnsi="Century" w:cs="FrankRuehl" w:hint="eastAsia"/>
          <w:spacing w:val="10"/>
          <w:szCs w:val="28"/>
          <w:rtl/>
        </w:rPr>
        <w:t>הדין</w:t>
      </w:r>
      <w:r>
        <w:rPr>
          <w:rFonts w:ascii="Century" w:hAnsi="Century" w:cs="FrankRuehl" w:hint="cs"/>
          <w:spacing w:val="10"/>
          <w:szCs w:val="28"/>
          <w:rtl/>
        </w:rPr>
        <w:t xml:space="preserve"> בעניין </w:t>
      </w:r>
      <w:r w:rsidRPr="004F4D8E">
        <w:rPr>
          <w:rFonts w:ascii="Century" w:hAnsi="Century" w:cs="Miriam" w:hint="eastAsia"/>
          <w:b/>
          <w:rtl/>
        </w:rPr>
        <w:t>דפי</w:t>
      </w:r>
      <w:r w:rsidRPr="004F4D8E">
        <w:rPr>
          <w:rFonts w:ascii="Century" w:hAnsi="Century" w:cs="Miriam"/>
          <w:b/>
          <w:rtl/>
        </w:rPr>
        <w:t xml:space="preserve"> </w:t>
      </w:r>
      <w:r w:rsidRPr="004F4D8E">
        <w:rPr>
          <w:rFonts w:ascii="Century" w:hAnsi="Century" w:cs="Miriam" w:hint="eastAsia"/>
          <w:b/>
          <w:rtl/>
        </w:rPr>
        <w:t>זהב</w:t>
      </w:r>
      <w:r w:rsidRPr="004F4D8E">
        <w:rPr>
          <w:rFonts w:ascii="Century" w:hAnsi="Century" w:cs="FrankRuehl"/>
          <w:spacing w:val="10"/>
          <w:szCs w:val="28"/>
          <w:rtl/>
        </w:rPr>
        <w:t xml:space="preserve">, </w:t>
      </w:r>
      <w:r w:rsidRPr="004F4D8E">
        <w:rPr>
          <w:rFonts w:ascii="Century" w:hAnsi="Century" w:cs="FrankRuehl" w:hint="eastAsia"/>
          <w:spacing w:val="10"/>
          <w:szCs w:val="28"/>
          <w:rtl/>
        </w:rPr>
        <w:t>שאלת</w:t>
      </w:r>
      <w:r w:rsidRPr="004F4D8E">
        <w:rPr>
          <w:rFonts w:ascii="Century" w:hAnsi="Century" w:cs="FrankRuehl"/>
          <w:spacing w:val="10"/>
          <w:szCs w:val="28"/>
          <w:rtl/>
        </w:rPr>
        <w:t xml:space="preserve"> </w:t>
      </w:r>
      <w:r w:rsidRPr="004F4D8E">
        <w:rPr>
          <w:rFonts w:ascii="Century" w:hAnsi="Century" w:cs="FrankRuehl" w:hint="eastAsia"/>
          <w:spacing w:val="10"/>
          <w:szCs w:val="28"/>
          <w:rtl/>
        </w:rPr>
        <w:t>היקף</w:t>
      </w:r>
      <w:r w:rsidRPr="004F4D8E">
        <w:rPr>
          <w:rFonts w:ascii="Century" w:hAnsi="Century" w:cs="FrankRuehl"/>
          <w:spacing w:val="10"/>
          <w:szCs w:val="28"/>
          <w:rtl/>
        </w:rPr>
        <w:t xml:space="preserve"> </w:t>
      </w:r>
      <w:r w:rsidRPr="004F4D8E">
        <w:rPr>
          <w:rFonts w:ascii="Century" w:hAnsi="Century" w:cs="FrankRuehl" w:hint="eastAsia"/>
          <w:spacing w:val="10"/>
          <w:szCs w:val="28"/>
          <w:rtl/>
        </w:rPr>
        <w:t>תחולתה</w:t>
      </w:r>
      <w:r w:rsidRPr="004F4D8E">
        <w:rPr>
          <w:rFonts w:ascii="Century" w:hAnsi="Century" w:cs="FrankRuehl"/>
          <w:spacing w:val="10"/>
          <w:szCs w:val="28"/>
          <w:rtl/>
        </w:rPr>
        <w:t xml:space="preserve"> </w:t>
      </w:r>
      <w:r w:rsidRPr="004F4D8E">
        <w:rPr>
          <w:rFonts w:ascii="Century" w:hAnsi="Century" w:cs="FrankRuehl" w:hint="eastAsia"/>
          <w:spacing w:val="10"/>
          <w:szCs w:val="28"/>
          <w:rtl/>
        </w:rPr>
        <w:t>של</w:t>
      </w:r>
      <w:r w:rsidRPr="004F4D8E">
        <w:rPr>
          <w:rFonts w:ascii="Century" w:hAnsi="Century" w:cs="FrankRuehl"/>
          <w:spacing w:val="10"/>
          <w:szCs w:val="28"/>
          <w:rtl/>
        </w:rPr>
        <w:t xml:space="preserve"> </w:t>
      </w:r>
      <w:r w:rsidRPr="004F4D8E">
        <w:rPr>
          <w:rFonts w:ascii="Century" w:hAnsi="Century" w:cs="FrankRuehl" w:hint="eastAsia"/>
          <w:spacing w:val="10"/>
          <w:szCs w:val="28"/>
          <w:rtl/>
        </w:rPr>
        <w:t>עילת</w:t>
      </w:r>
      <w:r w:rsidRPr="004F4D8E">
        <w:rPr>
          <w:rFonts w:ascii="Century" w:hAnsi="Century" w:cs="FrankRuehl"/>
          <w:spacing w:val="10"/>
          <w:szCs w:val="28"/>
          <w:rtl/>
        </w:rPr>
        <w:t xml:space="preserve"> </w:t>
      </w:r>
      <w:r w:rsidRPr="004F4D8E">
        <w:rPr>
          <w:rFonts w:ascii="Century" w:hAnsi="Century" w:cs="FrankRuehl" w:hint="eastAsia"/>
          <w:spacing w:val="10"/>
          <w:szCs w:val="28"/>
          <w:rtl/>
        </w:rPr>
        <w:t>הסבירות</w:t>
      </w:r>
      <w:r w:rsidRPr="004F4D8E">
        <w:rPr>
          <w:rFonts w:ascii="Century" w:hAnsi="Century" w:cs="FrankRuehl"/>
          <w:spacing w:val="10"/>
          <w:szCs w:val="28"/>
          <w:rtl/>
        </w:rPr>
        <w:t xml:space="preserve"> </w:t>
      </w:r>
      <w:r w:rsidRPr="004F4D8E">
        <w:rPr>
          <w:rFonts w:ascii="Century" w:hAnsi="Century" w:cs="FrankRuehl" w:hint="eastAsia"/>
          <w:spacing w:val="10"/>
          <w:szCs w:val="28"/>
          <w:rtl/>
        </w:rPr>
        <w:t>היא</w:t>
      </w:r>
      <w:r w:rsidRPr="004F4D8E">
        <w:rPr>
          <w:rFonts w:ascii="Century" w:hAnsi="Century" w:cs="FrankRuehl"/>
          <w:spacing w:val="10"/>
          <w:szCs w:val="28"/>
          <w:rtl/>
        </w:rPr>
        <w:t xml:space="preserve"> </w:t>
      </w:r>
      <w:r w:rsidRPr="004F4D8E">
        <w:rPr>
          <w:rFonts w:ascii="Century" w:hAnsi="Century" w:cs="FrankRuehl" w:hint="eastAsia"/>
          <w:spacing w:val="10"/>
          <w:szCs w:val="28"/>
          <w:rtl/>
        </w:rPr>
        <w:t>שאלה</w:t>
      </w:r>
      <w:r w:rsidRPr="004F4D8E">
        <w:rPr>
          <w:rFonts w:ascii="Century" w:hAnsi="Century" w:cs="FrankRuehl"/>
          <w:spacing w:val="10"/>
          <w:szCs w:val="28"/>
          <w:rtl/>
        </w:rPr>
        <w:t xml:space="preserve"> </w:t>
      </w:r>
      <w:r w:rsidRPr="004F4D8E">
        <w:rPr>
          <w:rFonts w:ascii="Century" w:hAnsi="Century" w:cs="FrankRuehl" w:hint="eastAsia"/>
          <w:spacing w:val="10"/>
          <w:szCs w:val="28"/>
          <w:rtl/>
        </w:rPr>
        <w:t>שיש</w:t>
      </w:r>
      <w:r w:rsidRPr="004F4D8E">
        <w:rPr>
          <w:rFonts w:ascii="Century" w:hAnsi="Century" w:cs="FrankRuehl"/>
          <w:spacing w:val="10"/>
          <w:szCs w:val="28"/>
          <w:rtl/>
        </w:rPr>
        <w:t xml:space="preserve"> </w:t>
      </w:r>
      <w:r w:rsidRPr="004F4D8E">
        <w:rPr>
          <w:rFonts w:ascii="Century" w:hAnsi="Century" w:cs="FrankRuehl" w:hint="eastAsia"/>
          <w:spacing w:val="10"/>
          <w:szCs w:val="28"/>
          <w:rtl/>
        </w:rPr>
        <w:t>לגביה</w:t>
      </w:r>
      <w:r w:rsidRPr="004F4D8E">
        <w:rPr>
          <w:rFonts w:ascii="Century" w:hAnsi="Century" w:cs="FrankRuehl"/>
          <w:spacing w:val="10"/>
          <w:szCs w:val="28"/>
          <w:rtl/>
        </w:rPr>
        <w:t xml:space="preserve"> </w:t>
      </w:r>
      <w:r w:rsidRPr="004F4D8E">
        <w:rPr>
          <w:rFonts w:ascii="Century" w:hAnsi="Century" w:cs="FrankRuehl" w:hint="eastAsia"/>
          <w:spacing w:val="10"/>
          <w:szCs w:val="28"/>
          <w:rtl/>
        </w:rPr>
        <w:t>מגוון</w:t>
      </w:r>
      <w:r w:rsidRPr="004F4D8E">
        <w:rPr>
          <w:rFonts w:ascii="Century" w:hAnsi="Century" w:cs="FrankRuehl"/>
          <w:spacing w:val="10"/>
          <w:szCs w:val="28"/>
          <w:rtl/>
        </w:rPr>
        <w:t xml:space="preserve"> </w:t>
      </w:r>
      <w:r w:rsidRPr="004F4D8E">
        <w:rPr>
          <w:rFonts w:ascii="Century" w:hAnsi="Century" w:cs="FrankRuehl" w:hint="eastAsia"/>
          <w:spacing w:val="10"/>
          <w:szCs w:val="28"/>
          <w:rtl/>
        </w:rPr>
        <w:t>דעות</w:t>
      </w:r>
      <w:r w:rsidRPr="004F4D8E">
        <w:rPr>
          <w:rFonts w:ascii="Century" w:hAnsi="Century" w:cs="FrankRuehl"/>
          <w:spacing w:val="10"/>
          <w:szCs w:val="28"/>
          <w:rtl/>
        </w:rPr>
        <w:t xml:space="preserve"> </w:t>
      </w:r>
      <w:r w:rsidRPr="004F4D8E">
        <w:rPr>
          <w:rFonts w:ascii="Century" w:hAnsi="Century" w:cs="FrankRuehl" w:hint="eastAsia"/>
          <w:spacing w:val="10"/>
          <w:szCs w:val="28"/>
          <w:rtl/>
        </w:rPr>
        <w:t>ועמדות</w:t>
      </w:r>
      <w:r w:rsidRPr="004F4D8E">
        <w:rPr>
          <w:rFonts w:ascii="Century" w:hAnsi="Century" w:cs="FrankRuehl"/>
          <w:spacing w:val="10"/>
          <w:szCs w:val="28"/>
          <w:rtl/>
        </w:rPr>
        <w:t xml:space="preserve">. </w:t>
      </w:r>
      <w:r>
        <w:rPr>
          <w:rFonts w:ascii="Century" w:hAnsi="Century" w:cs="FrankRuehl" w:hint="cs"/>
          <w:spacing w:val="10"/>
          <w:szCs w:val="28"/>
          <w:rtl/>
        </w:rPr>
        <w:t xml:space="preserve">כך, גם לאחר שניתן פסק הדין בעניין </w:t>
      </w:r>
      <w:r w:rsidRPr="004F4D8E">
        <w:rPr>
          <w:rFonts w:ascii="Century" w:hAnsi="Century" w:cs="Miriam" w:hint="eastAsia"/>
          <w:b/>
          <w:rtl/>
        </w:rPr>
        <w:t>דפי</w:t>
      </w:r>
      <w:r w:rsidRPr="004F4D8E">
        <w:rPr>
          <w:rFonts w:ascii="Century" w:hAnsi="Century" w:cs="Miriam"/>
          <w:b/>
          <w:rtl/>
        </w:rPr>
        <w:t xml:space="preserve"> </w:t>
      </w:r>
      <w:r w:rsidRPr="004F4D8E">
        <w:rPr>
          <w:rFonts w:ascii="Century" w:hAnsi="Century" w:cs="Miriam" w:hint="eastAsia"/>
          <w:b/>
          <w:rtl/>
        </w:rPr>
        <w:t>זהב</w:t>
      </w:r>
      <w:r w:rsidRPr="00DA04EB">
        <w:rPr>
          <w:rFonts w:ascii="Century" w:hAnsi="Century" w:cs="FrankRuehl" w:hint="cs"/>
          <w:spacing w:val="10"/>
          <w:szCs w:val="28"/>
          <w:rtl/>
        </w:rPr>
        <w:t xml:space="preserve"> </w:t>
      </w:r>
      <w:r>
        <w:rPr>
          <w:rFonts w:ascii="Century" w:hAnsi="Century" w:cs="FrankRuehl" w:hint="cs"/>
          <w:spacing w:val="10"/>
          <w:szCs w:val="28"/>
          <w:rtl/>
        </w:rPr>
        <w:t>היו ו</w:t>
      </w:r>
      <w:r w:rsidRPr="004F4D8E">
        <w:rPr>
          <w:rFonts w:ascii="Century" w:hAnsi="Century" w:cs="FrankRuehl" w:hint="eastAsia"/>
          <w:spacing w:val="10"/>
          <w:szCs w:val="28"/>
          <w:rtl/>
        </w:rPr>
        <w:t>ישנם</w:t>
      </w:r>
      <w:r w:rsidRPr="004F4D8E">
        <w:rPr>
          <w:rFonts w:ascii="Century" w:hAnsi="Century" w:cs="FrankRuehl"/>
          <w:spacing w:val="10"/>
          <w:szCs w:val="28"/>
          <w:rtl/>
        </w:rPr>
        <w:t xml:space="preserve"> </w:t>
      </w:r>
      <w:r w:rsidRPr="004F4D8E">
        <w:rPr>
          <w:rFonts w:ascii="Century" w:hAnsi="Century" w:cs="FrankRuehl" w:hint="eastAsia"/>
          <w:spacing w:val="10"/>
          <w:szCs w:val="28"/>
          <w:rtl/>
        </w:rPr>
        <w:t>שופטים</w:t>
      </w:r>
      <w:r>
        <w:rPr>
          <w:rFonts w:ascii="Century" w:hAnsi="Century" w:cs="FrankRuehl" w:hint="cs"/>
          <w:spacing w:val="10"/>
          <w:szCs w:val="28"/>
          <w:rtl/>
        </w:rPr>
        <w:t xml:space="preserve"> בבית משפט זה</w:t>
      </w:r>
      <w:r w:rsidRPr="004F4D8E">
        <w:rPr>
          <w:rFonts w:ascii="Century" w:hAnsi="Century" w:cs="FrankRuehl"/>
          <w:spacing w:val="10"/>
          <w:szCs w:val="28"/>
          <w:rtl/>
        </w:rPr>
        <w:t xml:space="preserve"> </w:t>
      </w:r>
      <w:r>
        <w:rPr>
          <w:rFonts w:ascii="Century" w:hAnsi="Century" w:cs="FrankRuehl" w:hint="cs"/>
          <w:spacing w:val="10"/>
          <w:szCs w:val="28"/>
          <w:rtl/>
        </w:rPr>
        <w:t>ה</w:t>
      </w:r>
      <w:r w:rsidRPr="004F4D8E">
        <w:rPr>
          <w:rFonts w:ascii="Century" w:hAnsi="Century" w:cs="FrankRuehl"/>
          <w:spacing w:val="10"/>
          <w:szCs w:val="28"/>
          <w:rtl/>
        </w:rPr>
        <w:t>מצדדים בגישה זהירה</w:t>
      </w:r>
      <w:r>
        <w:rPr>
          <w:rFonts w:ascii="Century" w:hAnsi="Century" w:cs="FrankRuehl" w:hint="cs"/>
          <w:spacing w:val="10"/>
          <w:szCs w:val="28"/>
          <w:rtl/>
        </w:rPr>
        <w:t xml:space="preserve"> יותר ביחס להתערבות מכוח </w:t>
      </w:r>
      <w:r>
        <w:rPr>
          <w:rFonts w:ascii="Century" w:hAnsi="Century" w:cs="FrankRuehl" w:hint="cs"/>
          <w:spacing w:val="10"/>
          <w:szCs w:val="28"/>
          <w:rtl/>
        </w:rPr>
        <w:lastRenderedPageBreak/>
        <w:t>עילת הסבירות</w:t>
      </w:r>
      <w:r w:rsidRPr="004F4D8E">
        <w:rPr>
          <w:rFonts w:ascii="Century" w:hAnsi="Century" w:cs="FrankRuehl"/>
          <w:spacing w:val="10"/>
          <w:szCs w:val="28"/>
          <w:rtl/>
        </w:rPr>
        <w:t xml:space="preserve">, </w:t>
      </w:r>
      <w:r w:rsidRPr="004F4D8E">
        <w:rPr>
          <w:rFonts w:ascii="Century" w:hAnsi="Century" w:cs="FrankRuehl" w:hint="eastAsia"/>
          <w:spacing w:val="10"/>
          <w:szCs w:val="28"/>
          <w:rtl/>
        </w:rPr>
        <w:t>הקרובה</w:t>
      </w:r>
      <w:r w:rsidRPr="004F4D8E">
        <w:rPr>
          <w:rFonts w:ascii="Century" w:hAnsi="Century" w:cs="FrankRuehl"/>
          <w:spacing w:val="10"/>
          <w:szCs w:val="28"/>
          <w:rtl/>
        </w:rPr>
        <w:t xml:space="preserve"> </w:t>
      </w:r>
      <w:r w:rsidRPr="004F4D8E">
        <w:rPr>
          <w:rFonts w:ascii="Century" w:hAnsi="Century" w:cs="FrankRuehl" w:hint="eastAsia"/>
          <w:spacing w:val="10"/>
          <w:szCs w:val="28"/>
          <w:rtl/>
        </w:rPr>
        <w:t>הרבה</w:t>
      </w:r>
      <w:r w:rsidRPr="004F4D8E">
        <w:rPr>
          <w:rFonts w:ascii="Century" w:hAnsi="Century" w:cs="FrankRuehl"/>
          <w:spacing w:val="10"/>
          <w:szCs w:val="28"/>
          <w:rtl/>
        </w:rPr>
        <w:t xml:space="preserve"> </w:t>
      </w:r>
      <w:r w:rsidRPr="004F4D8E">
        <w:rPr>
          <w:rFonts w:ascii="Century" w:hAnsi="Century" w:cs="FrankRuehl" w:hint="eastAsia"/>
          <w:spacing w:val="10"/>
          <w:szCs w:val="28"/>
          <w:rtl/>
        </w:rPr>
        <w:t>יותר</w:t>
      </w:r>
      <w:r w:rsidRPr="004F4D8E">
        <w:rPr>
          <w:rFonts w:ascii="Century" w:hAnsi="Century" w:cs="FrankRuehl"/>
          <w:spacing w:val="10"/>
          <w:szCs w:val="28"/>
          <w:rtl/>
        </w:rPr>
        <w:t xml:space="preserve"> </w:t>
      </w:r>
      <w:r w:rsidRPr="004F4D8E">
        <w:rPr>
          <w:rFonts w:ascii="Century" w:hAnsi="Century" w:cs="FrankRuehl" w:hint="eastAsia"/>
          <w:spacing w:val="10"/>
          <w:szCs w:val="28"/>
          <w:rtl/>
        </w:rPr>
        <w:t>לעמד</w:t>
      </w:r>
      <w:r>
        <w:rPr>
          <w:rFonts w:ascii="Century" w:hAnsi="Century" w:cs="FrankRuehl" w:hint="cs"/>
          <w:spacing w:val="10"/>
          <w:szCs w:val="28"/>
          <w:rtl/>
        </w:rPr>
        <w:t>ה המסויגת</w:t>
      </w:r>
      <w:r w:rsidRPr="004F4D8E">
        <w:rPr>
          <w:rFonts w:ascii="Century" w:hAnsi="Century" w:cs="FrankRuehl"/>
          <w:spacing w:val="10"/>
          <w:szCs w:val="28"/>
          <w:rtl/>
        </w:rPr>
        <w:t xml:space="preserve"> </w:t>
      </w:r>
      <w:r w:rsidRPr="004F4D8E">
        <w:rPr>
          <w:rFonts w:ascii="Century" w:hAnsi="Century" w:cs="FrankRuehl" w:hint="eastAsia"/>
          <w:spacing w:val="10"/>
          <w:szCs w:val="28"/>
          <w:rtl/>
        </w:rPr>
        <w:t>ש</w:t>
      </w:r>
      <w:r>
        <w:rPr>
          <w:rFonts w:ascii="Century" w:hAnsi="Century" w:cs="FrankRuehl" w:hint="cs"/>
          <w:spacing w:val="10"/>
          <w:szCs w:val="28"/>
          <w:rtl/>
        </w:rPr>
        <w:t>הביע הנשיא</w:t>
      </w:r>
      <w:r w:rsidRPr="004F4D8E">
        <w:rPr>
          <w:rFonts w:ascii="Century" w:hAnsi="Century" w:cs="FrankRuehl"/>
          <w:spacing w:val="10"/>
          <w:szCs w:val="28"/>
          <w:rtl/>
        </w:rPr>
        <w:t xml:space="preserve"> </w:t>
      </w:r>
      <w:r w:rsidRPr="00D90A8F">
        <w:rPr>
          <w:rFonts w:ascii="Century" w:hAnsi="Century" w:cs="Miriam" w:hint="eastAsia"/>
          <w:b/>
          <w:rtl/>
        </w:rPr>
        <w:t>מ</w:t>
      </w:r>
      <w:r w:rsidRPr="00D90A8F">
        <w:rPr>
          <w:rFonts w:ascii="Century" w:hAnsi="Century" w:cs="Miriam"/>
          <w:b/>
          <w:rtl/>
        </w:rPr>
        <w:t>'</w:t>
      </w:r>
      <w:r>
        <w:rPr>
          <w:rFonts w:ascii="Century" w:hAnsi="Century" w:cs="FrankRuehl" w:hint="cs"/>
          <w:spacing w:val="10"/>
          <w:szCs w:val="28"/>
          <w:rtl/>
        </w:rPr>
        <w:t xml:space="preserve"> </w:t>
      </w:r>
      <w:r w:rsidRPr="004F4D8E">
        <w:rPr>
          <w:rFonts w:ascii="Century" w:hAnsi="Century" w:cs="Miriam"/>
          <w:b/>
          <w:rtl/>
        </w:rPr>
        <w:t>לנדוי</w:t>
      </w:r>
      <w:r w:rsidRPr="004F4D8E">
        <w:rPr>
          <w:rFonts w:ascii="Century" w:hAnsi="Century" w:cs="FrankRuehl"/>
          <w:spacing w:val="10"/>
          <w:szCs w:val="28"/>
          <w:rtl/>
        </w:rPr>
        <w:t xml:space="preserve"> ב</w:t>
      </w:r>
      <w:r>
        <w:rPr>
          <w:rFonts w:ascii="Century" w:hAnsi="Century" w:cs="FrankRuehl" w:hint="cs"/>
          <w:spacing w:val="10"/>
          <w:szCs w:val="28"/>
          <w:rtl/>
        </w:rPr>
        <w:t xml:space="preserve">פסק הדין בעניין </w:t>
      </w:r>
      <w:r w:rsidRPr="004F4D8E">
        <w:rPr>
          <w:rFonts w:ascii="Century" w:hAnsi="Century" w:cs="Miriam" w:hint="eastAsia"/>
          <w:b/>
          <w:rtl/>
        </w:rPr>
        <w:t>דפי</w:t>
      </w:r>
      <w:r w:rsidRPr="004F4D8E">
        <w:rPr>
          <w:rFonts w:ascii="Century" w:hAnsi="Century" w:cs="Miriam"/>
          <w:b/>
          <w:rtl/>
        </w:rPr>
        <w:t xml:space="preserve"> </w:t>
      </w:r>
      <w:r w:rsidRPr="004F4D8E">
        <w:rPr>
          <w:rFonts w:ascii="Century" w:hAnsi="Century" w:cs="Miriam" w:hint="eastAsia"/>
          <w:b/>
          <w:rtl/>
        </w:rPr>
        <w:t>זהב</w:t>
      </w:r>
      <w:r>
        <w:rPr>
          <w:rFonts w:ascii="Century" w:hAnsi="Century" w:cs="FrankRuehl" w:hint="cs"/>
          <w:spacing w:val="10"/>
          <w:szCs w:val="28"/>
          <w:rtl/>
        </w:rPr>
        <w:t xml:space="preserve"> ביחס להיקף החלתה של עילת הסבירות </w:t>
      </w:r>
      <w:r w:rsidRPr="004F4D8E">
        <w:rPr>
          <w:rFonts w:ascii="Century" w:hAnsi="Century" w:cs="FrankRuehl" w:hint="eastAsia"/>
          <w:spacing w:val="10"/>
          <w:szCs w:val="28"/>
          <w:rtl/>
        </w:rPr>
        <w:t>מאשר</w:t>
      </w:r>
      <w:r w:rsidRPr="004F4D8E">
        <w:rPr>
          <w:rFonts w:ascii="Century" w:hAnsi="Century" w:cs="FrankRuehl"/>
          <w:spacing w:val="10"/>
          <w:szCs w:val="28"/>
          <w:rtl/>
        </w:rPr>
        <w:t xml:space="preserve"> לעמדתו של </w:t>
      </w:r>
      <w:r>
        <w:rPr>
          <w:rFonts w:ascii="Century" w:hAnsi="Century" w:cs="FrankRuehl" w:hint="cs"/>
          <w:spacing w:val="10"/>
          <w:szCs w:val="28"/>
          <w:rtl/>
        </w:rPr>
        <w:t xml:space="preserve">השופט </w:t>
      </w:r>
      <w:r w:rsidRPr="004F4D8E">
        <w:rPr>
          <w:rFonts w:ascii="Century" w:hAnsi="Century" w:cs="Miriam" w:hint="eastAsia"/>
          <w:b/>
          <w:rtl/>
        </w:rPr>
        <w:t>ברק</w:t>
      </w:r>
      <w:r>
        <w:rPr>
          <w:rFonts w:ascii="Century" w:hAnsi="Century" w:cs="FrankRuehl" w:hint="cs"/>
          <w:spacing w:val="10"/>
          <w:szCs w:val="28"/>
          <w:rtl/>
        </w:rPr>
        <w:t xml:space="preserve"> (ועמדה על כך בהרחבה השופטת </w:t>
      </w:r>
      <w:r w:rsidRPr="004F4D8E">
        <w:rPr>
          <w:rFonts w:ascii="Century" w:hAnsi="Century" w:cs="Miriam" w:hint="eastAsia"/>
          <w:b/>
          <w:rtl/>
        </w:rPr>
        <w:t>וילנר</w:t>
      </w:r>
      <w:r w:rsidRPr="0077050B">
        <w:rPr>
          <w:rFonts w:ascii="Century" w:hAnsi="Century" w:cs="FrankRuehl" w:hint="cs"/>
          <w:spacing w:val="10"/>
          <w:szCs w:val="28"/>
          <w:rtl/>
        </w:rPr>
        <w:t xml:space="preserve"> </w:t>
      </w:r>
      <w:r>
        <w:rPr>
          <w:rFonts w:ascii="Century" w:hAnsi="Century" w:cs="FrankRuehl" w:hint="cs"/>
          <w:spacing w:val="10"/>
          <w:szCs w:val="28"/>
          <w:rtl/>
        </w:rPr>
        <w:t xml:space="preserve">בפסקאות 31-26 לחוות דעתה. ראו גם: </w:t>
      </w:r>
      <w:r>
        <w:rPr>
          <w:rFonts w:ascii="Century" w:hAnsi="Century" w:cs="FrankRuehl"/>
          <w:spacing w:val="10"/>
          <w:szCs w:val="28"/>
          <w:rtl/>
        </w:rPr>
        <w:t>דותן</w:t>
      </w:r>
      <w:r>
        <w:rPr>
          <w:rFonts w:ascii="Century" w:hAnsi="Century" w:cs="FrankRuehl" w:hint="cs"/>
          <w:spacing w:val="10"/>
          <w:szCs w:val="28"/>
          <w:rtl/>
        </w:rPr>
        <w:t>, ריסון וסבירות, בעמוד 704)</w:t>
      </w:r>
      <w:r w:rsidRPr="004F4D8E">
        <w:rPr>
          <w:rFonts w:ascii="Century" w:hAnsi="Century" w:cs="FrankRuehl"/>
          <w:spacing w:val="10"/>
          <w:szCs w:val="28"/>
          <w:rtl/>
        </w:rPr>
        <w:t xml:space="preserve">. לכן, </w:t>
      </w:r>
      <w:r>
        <w:rPr>
          <w:rFonts w:ascii="Century" w:hAnsi="Century" w:cs="FrankRuehl" w:hint="cs"/>
          <w:spacing w:val="10"/>
          <w:szCs w:val="28"/>
          <w:rtl/>
        </w:rPr>
        <w:t xml:space="preserve">דומה כי </w:t>
      </w:r>
      <w:r w:rsidRPr="004F4D8E">
        <w:rPr>
          <w:rFonts w:ascii="Century" w:hAnsi="Century" w:cs="FrankRuehl"/>
          <w:spacing w:val="10"/>
          <w:szCs w:val="28"/>
          <w:rtl/>
        </w:rPr>
        <w:t xml:space="preserve">"מוטת הכנפיים" של </w:t>
      </w:r>
      <w:r w:rsidRPr="004F4D8E">
        <w:rPr>
          <w:rFonts w:ascii="Century" w:hAnsi="Century" w:cs="FrankRuehl" w:hint="eastAsia"/>
          <w:spacing w:val="10"/>
          <w:szCs w:val="28"/>
          <w:rtl/>
        </w:rPr>
        <w:t>עילה</w:t>
      </w:r>
      <w:r w:rsidRPr="004F4D8E">
        <w:rPr>
          <w:rFonts w:ascii="Century" w:hAnsi="Century" w:cs="FrankRuehl"/>
          <w:spacing w:val="10"/>
          <w:szCs w:val="28"/>
          <w:rtl/>
        </w:rPr>
        <w:t xml:space="preserve"> </w:t>
      </w:r>
      <w:r w:rsidRPr="004F4D8E">
        <w:rPr>
          <w:rFonts w:ascii="Century" w:hAnsi="Century" w:cs="FrankRuehl" w:hint="eastAsia"/>
          <w:spacing w:val="10"/>
          <w:szCs w:val="28"/>
          <w:rtl/>
        </w:rPr>
        <w:t>זו</w:t>
      </w:r>
      <w:r w:rsidRPr="004F4D8E">
        <w:rPr>
          <w:rFonts w:ascii="Century" w:hAnsi="Century" w:cs="FrankRuehl"/>
          <w:spacing w:val="10"/>
          <w:szCs w:val="28"/>
          <w:rtl/>
        </w:rPr>
        <w:t xml:space="preserve"> </w:t>
      </w:r>
      <w:r w:rsidRPr="004F4D8E">
        <w:rPr>
          <w:rFonts w:ascii="Century" w:hAnsi="Century" w:cs="FrankRuehl" w:hint="eastAsia"/>
          <w:spacing w:val="10"/>
          <w:szCs w:val="28"/>
          <w:rtl/>
        </w:rPr>
        <w:t>מצויה</w:t>
      </w:r>
      <w:r w:rsidRPr="004F4D8E">
        <w:rPr>
          <w:rFonts w:ascii="Century" w:hAnsi="Century" w:cs="FrankRuehl"/>
          <w:spacing w:val="10"/>
          <w:szCs w:val="28"/>
          <w:rtl/>
        </w:rPr>
        <w:t xml:space="preserve"> </w:t>
      </w:r>
      <w:r w:rsidRPr="004F4D8E">
        <w:rPr>
          <w:rFonts w:ascii="Century" w:hAnsi="Century" w:cs="FrankRuehl" w:hint="eastAsia"/>
          <w:spacing w:val="10"/>
          <w:szCs w:val="28"/>
          <w:rtl/>
        </w:rPr>
        <w:t>בתהליך</w:t>
      </w:r>
      <w:r w:rsidRPr="004F4D8E">
        <w:rPr>
          <w:rFonts w:ascii="Century" w:hAnsi="Century" w:cs="FrankRuehl"/>
          <w:spacing w:val="10"/>
          <w:szCs w:val="28"/>
          <w:rtl/>
        </w:rPr>
        <w:t xml:space="preserve"> </w:t>
      </w:r>
      <w:r w:rsidRPr="004F4D8E">
        <w:rPr>
          <w:rFonts w:ascii="Century" w:hAnsi="Century" w:cs="FrankRuehl" w:hint="eastAsia"/>
          <w:spacing w:val="10"/>
          <w:szCs w:val="28"/>
          <w:rtl/>
        </w:rPr>
        <w:t>שינוי</w:t>
      </w:r>
      <w:r w:rsidRPr="004F4D8E">
        <w:rPr>
          <w:rFonts w:ascii="Century" w:hAnsi="Century" w:cs="FrankRuehl"/>
          <w:spacing w:val="10"/>
          <w:szCs w:val="28"/>
          <w:rtl/>
        </w:rPr>
        <w:t xml:space="preserve"> </w:t>
      </w:r>
      <w:r w:rsidRPr="004F4D8E">
        <w:rPr>
          <w:rFonts w:ascii="Century" w:hAnsi="Century" w:cs="FrankRuehl" w:hint="eastAsia"/>
          <w:spacing w:val="10"/>
          <w:szCs w:val="28"/>
          <w:rtl/>
        </w:rPr>
        <w:t>פסיקתי</w:t>
      </w:r>
      <w:r w:rsidRPr="004F4D8E">
        <w:rPr>
          <w:rFonts w:ascii="Century" w:hAnsi="Century" w:cs="FrankRuehl"/>
          <w:spacing w:val="10"/>
          <w:szCs w:val="28"/>
          <w:rtl/>
        </w:rPr>
        <w:t xml:space="preserve"> </w:t>
      </w:r>
      <w:r w:rsidRPr="004F4D8E">
        <w:rPr>
          <w:rFonts w:ascii="Century" w:hAnsi="Century" w:cs="FrankRuehl" w:hint="eastAsia"/>
          <w:spacing w:val="10"/>
          <w:szCs w:val="28"/>
          <w:rtl/>
        </w:rPr>
        <w:t>רצוף</w:t>
      </w:r>
      <w:r w:rsidRPr="004F4D8E">
        <w:rPr>
          <w:rFonts w:ascii="Century" w:hAnsi="Century" w:cs="FrankRuehl"/>
          <w:spacing w:val="10"/>
          <w:szCs w:val="28"/>
          <w:rtl/>
        </w:rPr>
        <w:t xml:space="preserve">. </w:t>
      </w:r>
      <w:r w:rsidRPr="004F4D8E">
        <w:rPr>
          <w:rFonts w:ascii="Century" w:hAnsi="Century" w:cs="FrankRuehl" w:hint="eastAsia"/>
          <w:spacing w:val="10"/>
          <w:szCs w:val="28"/>
          <w:rtl/>
        </w:rPr>
        <w:t>כפי</w:t>
      </w:r>
      <w:r w:rsidRPr="004F4D8E">
        <w:rPr>
          <w:rFonts w:ascii="Century" w:hAnsi="Century" w:cs="FrankRuehl"/>
          <w:spacing w:val="10"/>
          <w:szCs w:val="28"/>
          <w:rtl/>
        </w:rPr>
        <w:t xml:space="preserve"> </w:t>
      </w:r>
      <w:r w:rsidRPr="004F4D8E">
        <w:rPr>
          <w:rFonts w:ascii="Century" w:hAnsi="Century" w:cs="FrankRuehl" w:hint="eastAsia"/>
          <w:spacing w:val="10"/>
          <w:szCs w:val="28"/>
          <w:rtl/>
        </w:rPr>
        <w:t>שקורה</w:t>
      </w:r>
      <w:r w:rsidRPr="004F4D8E">
        <w:rPr>
          <w:rFonts w:ascii="Century" w:hAnsi="Century" w:cs="FrankRuehl"/>
          <w:spacing w:val="10"/>
          <w:szCs w:val="28"/>
          <w:rtl/>
        </w:rPr>
        <w:t xml:space="preserve"> </w:t>
      </w:r>
      <w:r w:rsidRPr="004F4D8E">
        <w:rPr>
          <w:rFonts w:ascii="Century" w:hAnsi="Century" w:cs="FrankRuehl" w:hint="eastAsia"/>
          <w:spacing w:val="10"/>
          <w:szCs w:val="28"/>
          <w:rtl/>
        </w:rPr>
        <w:t>לא</w:t>
      </w:r>
      <w:r w:rsidRPr="004F4D8E">
        <w:rPr>
          <w:rFonts w:ascii="Century" w:hAnsi="Century" w:cs="FrankRuehl"/>
          <w:spacing w:val="10"/>
          <w:szCs w:val="28"/>
          <w:rtl/>
        </w:rPr>
        <w:t xml:space="preserve"> </w:t>
      </w:r>
      <w:r w:rsidRPr="004F4D8E">
        <w:rPr>
          <w:rFonts w:ascii="Century" w:hAnsi="Century" w:cs="FrankRuehl" w:hint="eastAsia"/>
          <w:spacing w:val="10"/>
          <w:szCs w:val="28"/>
          <w:rtl/>
        </w:rPr>
        <w:t>אחת</w:t>
      </w:r>
      <w:r w:rsidRPr="004F4D8E">
        <w:rPr>
          <w:rFonts w:ascii="Century" w:hAnsi="Century" w:cs="FrankRuehl"/>
          <w:spacing w:val="10"/>
          <w:szCs w:val="28"/>
          <w:rtl/>
        </w:rPr>
        <w:t xml:space="preserve"> </w:t>
      </w:r>
      <w:r w:rsidRPr="004F4D8E">
        <w:rPr>
          <w:rFonts w:ascii="Century" w:hAnsi="Century" w:cs="FrankRuehl" w:hint="eastAsia"/>
          <w:spacing w:val="10"/>
          <w:szCs w:val="28"/>
          <w:rtl/>
        </w:rPr>
        <w:t>עם</w:t>
      </w:r>
      <w:r w:rsidRPr="004F4D8E">
        <w:rPr>
          <w:rFonts w:ascii="Century" w:hAnsi="Century" w:cs="FrankRuehl"/>
          <w:spacing w:val="10"/>
          <w:szCs w:val="28"/>
          <w:rtl/>
        </w:rPr>
        <w:t xml:space="preserve"> </w:t>
      </w:r>
      <w:r w:rsidRPr="004F4D8E">
        <w:rPr>
          <w:rFonts w:ascii="Century" w:hAnsi="Century" w:cs="FrankRuehl" w:hint="eastAsia"/>
          <w:spacing w:val="10"/>
          <w:szCs w:val="28"/>
          <w:rtl/>
        </w:rPr>
        <w:t>ההלכה</w:t>
      </w:r>
      <w:r w:rsidRPr="004F4D8E">
        <w:rPr>
          <w:rFonts w:ascii="Century" w:hAnsi="Century" w:cs="FrankRuehl"/>
          <w:spacing w:val="10"/>
          <w:szCs w:val="28"/>
          <w:rtl/>
        </w:rPr>
        <w:t xml:space="preserve"> </w:t>
      </w:r>
      <w:r w:rsidRPr="004F4D8E">
        <w:rPr>
          <w:rFonts w:ascii="Century" w:hAnsi="Century" w:cs="FrankRuehl" w:hint="eastAsia"/>
          <w:spacing w:val="10"/>
          <w:szCs w:val="28"/>
          <w:rtl/>
        </w:rPr>
        <w:t>הפסוקה</w:t>
      </w:r>
      <w:r w:rsidRPr="004F4D8E">
        <w:rPr>
          <w:rFonts w:ascii="Century" w:hAnsi="Century" w:cs="FrankRuehl"/>
          <w:spacing w:val="10"/>
          <w:szCs w:val="28"/>
          <w:rtl/>
        </w:rPr>
        <w:t xml:space="preserve">, </w:t>
      </w:r>
      <w:r w:rsidRPr="004F4D8E">
        <w:rPr>
          <w:rFonts w:ascii="Century" w:hAnsi="Century" w:cs="FrankRuehl" w:hint="eastAsia"/>
          <w:spacing w:val="10"/>
          <w:szCs w:val="28"/>
          <w:rtl/>
        </w:rPr>
        <w:t>ישנם</w:t>
      </w:r>
      <w:r w:rsidRPr="004F4D8E">
        <w:rPr>
          <w:rFonts w:ascii="Century" w:hAnsi="Century" w:cs="FrankRuehl"/>
          <w:spacing w:val="10"/>
          <w:szCs w:val="28"/>
          <w:rtl/>
        </w:rPr>
        <w:t xml:space="preserve"> </w:t>
      </w:r>
      <w:r w:rsidRPr="004F4D8E">
        <w:rPr>
          <w:rFonts w:ascii="Century" w:hAnsi="Century" w:cs="FrankRuehl" w:hint="eastAsia"/>
          <w:spacing w:val="10"/>
          <w:szCs w:val="28"/>
          <w:rtl/>
        </w:rPr>
        <w:t>שינויים</w:t>
      </w:r>
      <w:r w:rsidRPr="004F4D8E">
        <w:rPr>
          <w:rFonts w:ascii="Century" w:hAnsi="Century" w:cs="FrankRuehl"/>
          <w:spacing w:val="10"/>
          <w:szCs w:val="28"/>
          <w:rtl/>
        </w:rPr>
        <w:t xml:space="preserve"> </w:t>
      </w:r>
      <w:r w:rsidRPr="004F4D8E">
        <w:rPr>
          <w:rFonts w:ascii="Century" w:hAnsi="Century" w:cs="FrankRuehl" w:hint="eastAsia"/>
          <w:spacing w:val="10"/>
          <w:szCs w:val="28"/>
          <w:rtl/>
        </w:rPr>
        <w:t>הדרגתיים</w:t>
      </w:r>
      <w:r w:rsidRPr="004F4D8E">
        <w:rPr>
          <w:rFonts w:ascii="Century" w:hAnsi="Century" w:cs="FrankRuehl"/>
          <w:spacing w:val="10"/>
          <w:szCs w:val="28"/>
          <w:rtl/>
        </w:rPr>
        <w:t xml:space="preserve"> </w:t>
      </w:r>
      <w:r w:rsidRPr="004F4D8E">
        <w:rPr>
          <w:rFonts w:ascii="Century" w:hAnsi="Century" w:cs="FrankRuehl" w:hint="eastAsia"/>
          <w:spacing w:val="10"/>
          <w:szCs w:val="28"/>
          <w:rtl/>
        </w:rPr>
        <w:t>בתחול</w:t>
      </w:r>
      <w:r>
        <w:rPr>
          <w:rFonts w:ascii="Century" w:hAnsi="Century" w:cs="FrankRuehl" w:hint="cs"/>
          <w:spacing w:val="10"/>
          <w:szCs w:val="28"/>
          <w:rtl/>
        </w:rPr>
        <w:t>ת</w:t>
      </w:r>
      <w:r w:rsidRPr="004F4D8E">
        <w:rPr>
          <w:rFonts w:ascii="Century" w:hAnsi="Century" w:cs="FrankRuehl" w:hint="eastAsia"/>
          <w:spacing w:val="10"/>
          <w:szCs w:val="28"/>
          <w:rtl/>
        </w:rPr>
        <w:t>ה</w:t>
      </w:r>
      <w:r w:rsidRPr="004F4D8E">
        <w:rPr>
          <w:rFonts w:ascii="Century" w:hAnsi="Century" w:cs="FrankRuehl"/>
          <w:spacing w:val="10"/>
          <w:szCs w:val="28"/>
          <w:rtl/>
        </w:rPr>
        <w:t xml:space="preserve"> של העילה, והיא מוסיפה כל העת להתפתח – בהתאם לעמדותיהם של השופטים השונים, הנסיבות המשתנות, שינויי העיתים</w:t>
      </w:r>
      <w:r>
        <w:rPr>
          <w:rFonts w:ascii="Century" w:hAnsi="Century" w:cs="FrankRuehl" w:hint="cs"/>
          <w:spacing w:val="10"/>
          <w:szCs w:val="28"/>
          <w:rtl/>
        </w:rPr>
        <w:t>,</w:t>
      </w:r>
      <w:r w:rsidRPr="004F4D8E">
        <w:rPr>
          <w:rFonts w:ascii="Century" w:hAnsi="Century" w:cs="FrankRuehl"/>
          <w:spacing w:val="10"/>
          <w:szCs w:val="28"/>
          <w:rtl/>
        </w:rPr>
        <w:t xml:space="preserve"> ועוד כיוצא באלה עניינים. </w:t>
      </w:r>
    </w:p>
    <w:p w:rsidR="00A01E7C" w:rsidRPr="004F4D8E" w:rsidRDefault="00A01E7C" w:rsidP="00A01E7C">
      <w:pPr>
        <w:spacing w:line="360" w:lineRule="auto"/>
        <w:ind w:left="720"/>
        <w:jc w:val="both"/>
        <w:rPr>
          <w:rFonts w:ascii="Century" w:hAnsi="Century" w:cs="FrankRuehl"/>
          <w:spacing w:val="10"/>
          <w:szCs w:val="28"/>
          <w:rtl/>
        </w:rPr>
      </w:pPr>
    </w:p>
    <w:p w:rsidR="00A01E7C" w:rsidRPr="004F4D8E" w:rsidRDefault="00A01E7C" w:rsidP="00A01E7C">
      <w:pPr>
        <w:spacing w:line="360" w:lineRule="auto"/>
        <w:ind w:left="720" w:firstLine="720"/>
        <w:jc w:val="both"/>
        <w:rPr>
          <w:rFonts w:ascii="Century" w:hAnsi="Century" w:cs="FrankRuehl"/>
          <w:spacing w:val="10"/>
          <w:szCs w:val="28"/>
          <w:rtl/>
        </w:rPr>
      </w:pPr>
      <w:r w:rsidRPr="004F4D8E">
        <w:rPr>
          <w:rFonts w:ascii="Century" w:hAnsi="Century" w:cs="FrankRuehl" w:hint="eastAsia"/>
          <w:spacing w:val="10"/>
          <w:szCs w:val="28"/>
          <w:rtl/>
        </w:rPr>
        <w:t>אם</w:t>
      </w:r>
      <w:r w:rsidRPr="004F4D8E">
        <w:rPr>
          <w:rFonts w:ascii="Century" w:hAnsi="Century" w:cs="FrankRuehl"/>
          <w:spacing w:val="10"/>
          <w:szCs w:val="28"/>
          <w:rtl/>
        </w:rPr>
        <w:t xml:space="preserve"> כן, גם לאחר פסק </w:t>
      </w:r>
      <w:r>
        <w:rPr>
          <w:rFonts w:ascii="Century" w:hAnsi="Century" w:cs="FrankRuehl" w:hint="cs"/>
          <w:spacing w:val="10"/>
          <w:szCs w:val="28"/>
          <w:rtl/>
        </w:rPr>
        <w:t>ה</w:t>
      </w:r>
      <w:r w:rsidRPr="004F4D8E">
        <w:rPr>
          <w:rFonts w:ascii="Century" w:hAnsi="Century" w:cs="FrankRuehl" w:hint="eastAsia"/>
          <w:spacing w:val="10"/>
          <w:szCs w:val="28"/>
          <w:rtl/>
        </w:rPr>
        <w:t>דין</w:t>
      </w:r>
      <w:r>
        <w:rPr>
          <w:rFonts w:ascii="Century" w:hAnsi="Century" w:cs="FrankRuehl" w:hint="cs"/>
          <w:spacing w:val="10"/>
          <w:szCs w:val="28"/>
          <w:rtl/>
        </w:rPr>
        <w:t xml:space="preserve"> בעניין</w:t>
      </w:r>
      <w:r w:rsidRPr="004F4D8E">
        <w:rPr>
          <w:rFonts w:ascii="Century" w:hAnsi="Century" w:cs="FrankRuehl"/>
          <w:spacing w:val="10"/>
          <w:szCs w:val="28"/>
          <w:rtl/>
        </w:rPr>
        <w:t xml:space="preserve"> </w:t>
      </w:r>
      <w:r w:rsidRPr="004F4D8E">
        <w:rPr>
          <w:rFonts w:ascii="Century" w:hAnsi="Century" w:cs="Miriam"/>
          <w:b/>
          <w:rtl/>
        </w:rPr>
        <w:t>דפי זהב</w:t>
      </w:r>
      <w:r w:rsidRPr="004F4D8E">
        <w:rPr>
          <w:rFonts w:ascii="Century" w:hAnsi="Century" w:cs="FrankRuehl"/>
          <w:spacing w:val="10"/>
          <w:szCs w:val="28"/>
          <w:rtl/>
        </w:rPr>
        <w:t xml:space="preserve">, עילת הסבירות לא "שקטה על שמריה". בתי המשפט הוסיפו לבחון אותה, להגדיר את היקף תחולתה ולהבהיר את משמעותה. </w:t>
      </w:r>
      <w:r w:rsidRPr="004F4D8E">
        <w:rPr>
          <w:rFonts w:ascii="Century" w:hAnsi="Century" w:cs="FrankRuehl" w:hint="eastAsia"/>
          <w:spacing w:val="10"/>
          <w:szCs w:val="28"/>
          <w:rtl/>
        </w:rPr>
        <w:t>העילה</w:t>
      </w:r>
      <w:r w:rsidRPr="004F4D8E">
        <w:rPr>
          <w:rFonts w:ascii="Century" w:hAnsi="Century" w:cs="FrankRuehl"/>
          <w:spacing w:val="10"/>
          <w:szCs w:val="28"/>
          <w:rtl/>
        </w:rPr>
        <w:t xml:space="preserve"> </w:t>
      </w:r>
      <w:r w:rsidRPr="004F4D8E">
        <w:rPr>
          <w:rFonts w:ascii="Century" w:hAnsi="Century" w:cs="FrankRuehl" w:hint="eastAsia"/>
          <w:spacing w:val="10"/>
          <w:szCs w:val="28"/>
          <w:rtl/>
        </w:rPr>
        <w:t>נבחנה</w:t>
      </w:r>
      <w:r w:rsidRPr="004F4D8E">
        <w:rPr>
          <w:rFonts w:ascii="Century" w:hAnsi="Century" w:cs="FrankRuehl"/>
          <w:spacing w:val="10"/>
          <w:szCs w:val="28"/>
          <w:rtl/>
        </w:rPr>
        <w:t xml:space="preserve"> </w:t>
      </w:r>
      <w:r w:rsidRPr="004F4D8E">
        <w:rPr>
          <w:rFonts w:ascii="Century" w:hAnsi="Century" w:cs="FrankRuehl" w:hint="eastAsia"/>
          <w:spacing w:val="10"/>
          <w:szCs w:val="28"/>
          <w:rtl/>
        </w:rPr>
        <w:t>במסגרת</w:t>
      </w:r>
      <w:r w:rsidRPr="004F4D8E">
        <w:rPr>
          <w:rFonts w:ascii="Century" w:hAnsi="Century" w:cs="FrankRuehl"/>
          <w:spacing w:val="10"/>
          <w:szCs w:val="28"/>
          <w:rtl/>
        </w:rPr>
        <w:t xml:space="preserve"> </w:t>
      </w:r>
      <w:r w:rsidRPr="004F4D8E">
        <w:rPr>
          <w:rFonts w:ascii="Century" w:hAnsi="Century" w:cs="FrankRuehl" w:hint="eastAsia"/>
          <w:spacing w:val="10"/>
          <w:szCs w:val="28"/>
          <w:rtl/>
        </w:rPr>
        <w:t>פסקי</w:t>
      </w:r>
      <w:r w:rsidRPr="004F4D8E">
        <w:rPr>
          <w:rFonts w:ascii="Century" w:hAnsi="Century" w:cs="FrankRuehl"/>
          <w:spacing w:val="10"/>
          <w:szCs w:val="28"/>
          <w:rtl/>
        </w:rPr>
        <w:t xml:space="preserve"> </w:t>
      </w:r>
      <w:r w:rsidRPr="004F4D8E">
        <w:rPr>
          <w:rFonts w:ascii="Century" w:hAnsi="Century" w:cs="FrankRuehl" w:hint="eastAsia"/>
          <w:spacing w:val="10"/>
          <w:szCs w:val="28"/>
          <w:rtl/>
        </w:rPr>
        <w:t>דין</w:t>
      </w:r>
      <w:r w:rsidRPr="004F4D8E">
        <w:rPr>
          <w:rFonts w:ascii="Century" w:hAnsi="Century" w:cs="FrankRuehl"/>
          <w:spacing w:val="10"/>
          <w:szCs w:val="28"/>
          <w:rtl/>
        </w:rPr>
        <w:t xml:space="preserve"> </w:t>
      </w:r>
      <w:r w:rsidRPr="004F4D8E">
        <w:rPr>
          <w:rFonts w:ascii="Century" w:hAnsi="Century" w:cs="FrankRuehl" w:hint="eastAsia"/>
          <w:spacing w:val="10"/>
          <w:szCs w:val="28"/>
          <w:rtl/>
        </w:rPr>
        <w:t>רבים</w:t>
      </w:r>
      <w:r w:rsidRPr="004F4D8E">
        <w:rPr>
          <w:rFonts w:ascii="Century" w:hAnsi="Century" w:cs="FrankRuehl"/>
          <w:spacing w:val="10"/>
          <w:szCs w:val="28"/>
          <w:rtl/>
        </w:rPr>
        <w:t xml:space="preserve">, </w:t>
      </w:r>
      <w:r w:rsidRPr="004F4D8E">
        <w:rPr>
          <w:rFonts w:ascii="Century" w:hAnsi="Century" w:cs="FrankRuehl" w:hint="eastAsia"/>
          <w:spacing w:val="10"/>
          <w:szCs w:val="28"/>
          <w:rtl/>
        </w:rPr>
        <w:t>ויישומה</w:t>
      </w:r>
      <w:r w:rsidRPr="004F4D8E">
        <w:rPr>
          <w:rFonts w:ascii="Century" w:hAnsi="Century" w:cs="FrankRuehl"/>
          <w:spacing w:val="10"/>
          <w:szCs w:val="28"/>
          <w:rtl/>
        </w:rPr>
        <w:t xml:space="preserve"> ב</w:t>
      </w:r>
      <w:r w:rsidRPr="004F4D8E">
        <w:rPr>
          <w:rFonts w:ascii="Century" w:hAnsi="Century" w:cs="FrankRuehl" w:hint="eastAsia"/>
          <w:spacing w:val="10"/>
          <w:szCs w:val="28"/>
          <w:rtl/>
        </w:rPr>
        <w:t>כל</w:t>
      </w:r>
      <w:r w:rsidRPr="004F4D8E">
        <w:rPr>
          <w:rFonts w:ascii="Century" w:hAnsi="Century" w:cs="FrankRuehl"/>
          <w:spacing w:val="10"/>
          <w:szCs w:val="28"/>
          <w:rtl/>
        </w:rPr>
        <w:t xml:space="preserve"> אחד מהמקרים הללו </w:t>
      </w:r>
      <w:r w:rsidRPr="004F4D8E">
        <w:rPr>
          <w:rFonts w:ascii="Century" w:hAnsi="Century" w:cs="FrankRuehl" w:hint="eastAsia"/>
          <w:spacing w:val="10"/>
          <w:szCs w:val="28"/>
          <w:rtl/>
        </w:rPr>
        <w:t>הביא</w:t>
      </w:r>
      <w:r w:rsidRPr="004F4D8E">
        <w:rPr>
          <w:rFonts w:ascii="Century" w:hAnsi="Century" w:cs="FrankRuehl"/>
          <w:spacing w:val="10"/>
          <w:szCs w:val="28"/>
          <w:rtl/>
        </w:rPr>
        <w:t xml:space="preserve"> </w:t>
      </w:r>
      <w:r w:rsidRPr="004F4D8E">
        <w:rPr>
          <w:rFonts w:ascii="Century" w:hAnsi="Century" w:cs="FrankRuehl" w:hint="eastAsia"/>
          <w:spacing w:val="10"/>
          <w:szCs w:val="28"/>
          <w:rtl/>
        </w:rPr>
        <w:t>להבהרה</w:t>
      </w:r>
      <w:r w:rsidRPr="004F4D8E">
        <w:rPr>
          <w:rFonts w:ascii="Century" w:hAnsi="Century" w:cs="FrankRuehl"/>
          <w:spacing w:val="10"/>
          <w:szCs w:val="28"/>
          <w:rtl/>
        </w:rPr>
        <w:t xml:space="preserve"> </w:t>
      </w:r>
      <w:r w:rsidRPr="004F4D8E">
        <w:rPr>
          <w:rFonts w:ascii="Century" w:hAnsi="Century" w:cs="FrankRuehl" w:hint="eastAsia"/>
          <w:spacing w:val="10"/>
          <w:szCs w:val="28"/>
          <w:rtl/>
        </w:rPr>
        <w:t>רבה</w:t>
      </w:r>
      <w:r w:rsidRPr="004F4D8E">
        <w:rPr>
          <w:rFonts w:ascii="Century" w:hAnsi="Century" w:cs="FrankRuehl"/>
          <w:spacing w:val="10"/>
          <w:szCs w:val="28"/>
          <w:rtl/>
        </w:rPr>
        <w:t xml:space="preserve"> </w:t>
      </w:r>
      <w:r w:rsidRPr="004F4D8E">
        <w:rPr>
          <w:rFonts w:ascii="Century" w:hAnsi="Century" w:cs="FrankRuehl" w:hint="eastAsia"/>
          <w:spacing w:val="10"/>
          <w:szCs w:val="28"/>
          <w:rtl/>
        </w:rPr>
        <w:t>יותר</w:t>
      </w:r>
      <w:r w:rsidRPr="004F4D8E">
        <w:rPr>
          <w:rFonts w:ascii="Century" w:hAnsi="Century" w:cs="FrankRuehl"/>
          <w:spacing w:val="10"/>
          <w:szCs w:val="28"/>
          <w:rtl/>
        </w:rPr>
        <w:t xml:space="preserve"> </w:t>
      </w:r>
      <w:r w:rsidRPr="004F4D8E">
        <w:rPr>
          <w:rFonts w:ascii="Century" w:hAnsi="Century" w:cs="FrankRuehl" w:hint="eastAsia"/>
          <w:spacing w:val="10"/>
          <w:szCs w:val="28"/>
          <w:rtl/>
        </w:rPr>
        <w:t>של</w:t>
      </w:r>
      <w:r w:rsidRPr="004F4D8E">
        <w:rPr>
          <w:rFonts w:ascii="Century" w:hAnsi="Century" w:cs="FrankRuehl"/>
          <w:spacing w:val="10"/>
          <w:szCs w:val="28"/>
          <w:rtl/>
        </w:rPr>
        <w:t xml:space="preserve"> </w:t>
      </w:r>
      <w:r w:rsidRPr="004F4D8E">
        <w:rPr>
          <w:rFonts w:ascii="Century" w:hAnsi="Century" w:cs="FrankRuehl" w:hint="eastAsia"/>
          <w:spacing w:val="10"/>
          <w:szCs w:val="28"/>
          <w:rtl/>
        </w:rPr>
        <w:t>המצב</w:t>
      </w:r>
      <w:r w:rsidRPr="004F4D8E">
        <w:rPr>
          <w:rFonts w:ascii="Century" w:hAnsi="Century" w:cs="FrankRuehl"/>
          <w:spacing w:val="10"/>
          <w:szCs w:val="28"/>
          <w:rtl/>
        </w:rPr>
        <w:t xml:space="preserve"> </w:t>
      </w:r>
      <w:r w:rsidRPr="004F4D8E">
        <w:rPr>
          <w:rFonts w:ascii="Century" w:hAnsi="Century" w:cs="FrankRuehl" w:hint="eastAsia"/>
          <w:spacing w:val="10"/>
          <w:szCs w:val="28"/>
          <w:rtl/>
        </w:rPr>
        <w:t>המשפטי</w:t>
      </w:r>
      <w:r w:rsidRPr="004F4D8E">
        <w:rPr>
          <w:rFonts w:ascii="Century" w:hAnsi="Century" w:cs="FrankRuehl"/>
          <w:spacing w:val="10"/>
          <w:szCs w:val="28"/>
          <w:rtl/>
        </w:rPr>
        <w:t xml:space="preserve"> </w:t>
      </w:r>
      <w:r w:rsidRPr="004F4D8E">
        <w:rPr>
          <w:rFonts w:ascii="Century" w:hAnsi="Century" w:cs="FrankRuehl" w:hint="eastAsia"/>
          <w:spacing w:val="10"/>
          <w:szCs w:val="28"/>
          <w:rtl/>
        </w:rPr>
        <w:t>לגביה</w:t>
      </w:r>
      <w:r w:rsidRPr="004F4D8E">
        <w:rPr>
          <w:rFonts w:ascii="Century" w:hAnsi="Century" w:cs="FrankRuehl"/>
          <w:spacing w:val="10"/>
          <w:szCs w:val="28"/>
          <w:rtl/>
        </w:rPr>
        <w:t xml:space="preserve"> (ראו</w:t>
      </w:r>
      <w:r>
        <w:rPr>
          <w:rFonts w:ascii="Century" w:hAnsi="Century" w:cs="FrankRuehl" w:hint="cs"/>
          <w:spacing w:val="10"/>
          <w:szCs w:val="28"/>
          <w:rtl/>
        </w:rPr>
        <w:t>:</w:t>
      </w:r>
      <w:r w:rsidRPr="004F4D8E">
        <w:rPr>
          <w:rFonts w:ascii="Century" w:hAnsi="Century" w:cs="FrankRuehl"/>
          <w:spacing w:val="10"/>
          <w:szCs w:val="28"/>
          <w:rtl/>
        </w:rPr>
        <w:t xml:space="preserve"> </w:t>
      </w:r>
      <w:r w:rsidRPr="00DA04EB">
        <w:rPr>
          <w:rFonts w:ascii="Century" w:hAnsi="Century" w:cs="FrankRuehl"/>
          <w:spacing w:val="10"/>
          <w:szCs w:val="28"/>
          <w:rtl/>
        </w:rPr>
        <w:t xml:space="preserve">בג"ץ 3997/14 </w:t>
      </w:r>
      <w:r w:rsidRPr="004F4D8E">
        <w:rPr>
          <w:rFonts w:ascii="Century" w:hAnsi="Century" w:cs="Miriam" w:hint="eastAsia"/>
          <w:b/>
          <w:rtl/>
        </w:rPr>
        <w:t>התנועה</w:t>
      </w:r>
      <w:r w:rsidRPr="004F4D8E">
        <w:rPr>
          <w:rFonts w:ascii="Century" w:hAnsi="Century" w:cs="Miriam"/>
          <w:b/>
          <w:rtl/>
        </w:rPr>
        <w:t xml:space="preserve"> </w:t>
      </w:r>
      <w:r w:rsidRPr="004F4D8E">
        <w:rPr>
          <w:rFonts w:ascii="Century" w:hAnsi="Century" w:cs="Miriam" w:hint="eastAsia"/>
          <w:b/>
          <w:rtl/>
        </w:rPr>
        <w:t>למען</w:t>
      </w:r>
      <w:r w:rsidRPr="004F4D8E">
        <w:rPr>
          <w:rFonts w:ascii="Century" w:hAnsi="Century" w:cs="Miriam"/>
          <w:b/>
          <w:rtl/>
        </w:rPr>
        <w:t xml:space="preserve"> </w:t>
      </w:r>
      <w:r w:rsidRPr="004F4D8E">
        <w:rPr>
          <w:rFonts w:ascii="Century" w:hAnsi="Century" w:cs="Miriam" w:hint="eastAsia"/>
          <w:b/>
          <w:rtl/>
        </w:rPr>
        <w:t>איכות</w:t>
      </w:r>
      <w:r w:rsidRPr="004F4D8E">
        <w:rPr>
          <w:rFonts w:ascii="Century" w:hAnsi="Century" w:cs="Miriam"/>
          <w:b/>
          <w:rtl/>
        </w:rPr>
        <w:t xml:space="preserve"> </w:t>
      </w:r>
      <w:r w:rsidRPr="004F4D8E">
        <w:rPr>
          <w:rFonts w:ascii="Century" w:hAnsi="Century" w:cs="Miriam" w:hint="eastAsia"/>
          <w:b/>
          <w:rtl/>
        </w:rPr>
        <w:t>השלטון</w:t>
      </w:r>
      <w:r w:rsidRPr="004F4D8E">
        <w:rPr>
          <w:rFonts w:ascii="Century" w:hAnsi="Century" w:cs="Miriam"/>
          <w:b/>
          <w:rtl/>
        </w:rPr>
        <w:t xml:space="preserve"> </w:t>
      </w:r>
      <w:r w:rsidRPr="004F4D8E">
        <w:rPr>
          <w:rFonts w:ascii="Century" w:hAnsi="Century" w:cs="Miriam" w:hint="eastAsia"/>
          <w:b/>
          <w:rtl/>
        </w:rPr>
        <w:t>בישראל</w:t>
      </w:r>
      <w:r w:rsidRPr="004F4D8E">
        <w:rPr>
          <w:rFonts w:ascii="Century" w:hAnsi="Century" w:cs="Miriam"/>
          <w:b/>
          <w:rtl/>
        </w:rPr>
        <w:t xml:space="preserve"> </w:t>
      </w:r>
      <w:r w:rsidRPr="004F4D8E">
        <w:rPr>
          <w:rFonts w:ascii="Century" w:hAnsi="Century" w:cs="Miriam" w:hint="eastAsia"/>
          <w:b/>
          <w:rtl/>
        </w:rPr>
        <w:t>נ</w:t>
      </w:r>
      <w:r w:rsidRPr="004F4D8E">
        <w:rPr>
          <w:rFonts w:ascii="Century" w:hAnsi="Century" w:cs="Miriam"/>
          <w:b/>
          <w:rtl/>
        </w:rPr>
        <w:t xml:space="preserve">' </w:t>
      </w:r>
      <w:r w:rsidRPr="004F4D8E">
        <w:rPr>
          <w:rFonts w:ascii="Century" w:hAnsi="Century" w:cs="Miriam" w:hint="eastAsia"/>
          <w:b/>
          <w:rtl/>
        </w:rPr>
        <w:t>שר</w:t>
      </w:r>
      <w:r w:rsidRPr="004F4D8E">
        <w:rPr>
          <w:rFonts w:ascii="Century" w:hAnsi="Century" w:cs="Miriam"/>
          <w:b/>
          <w:rtl/>
        </w:rPr>
        <w:t xml:space="preserve"> </w:t>
      </w:r>
      <w:r w:rsidRPr="004F4D8E">
        <w:rPr>
          <w:rFonts w:ascii="Century" w:hAnsi="Century" w:cs="Miriam" w:hint="eastAsia"/>
          <w:b/>
          <w:rtl/>
        </w:rPr>
        <w:t>החוץ</w:t>
      </w:r>
      <w:r>
        <w:rPr>
          <w:rFonts w:ascii="Century" w:hAnsi="Century" w:cs="FrankRuehl" w:hint="cs"/>
          <w:spacing w:val="10"/>
          <w:szCs w:val="28"/>
          <w:rtl/>
        </w:rPr>
        <w:t xml:space="preserve">, פסקה 4 לחוות דעתה של השופטת </w:t>
      </w:r>
      <w:r w:rsidRPr="004F4D8E">
        <w:rPr>
          <w:rFonts w:ascii="Century" w:hAnsi="Century" w:cs="Miriam" w:hint="eastAsia"/>
          <w:b/>
          <w:rtl/>
        </w:rPr>
        <w:t>חיות</w:t>
      </w:r>
      <w:r w:rsidRPr="00DA04EB">
        <w:rPr>
          <w:rFonts w:ascii="Century" w:hAnsi="Century" w:cs="FrankRuehl"/>
          <w:spacing w:val="10"/>
          <w:szCs w:val="28"/>
          <w:rtl/>
        </w:rPr>
        <w:t xml:space="preserve"> (12.</w:t>
      </w:r>
      <w:r>
        <w:rPr>
          <w:rFonts w:ascii="Century" w:hAnsi="Century" w:cs="FrankRuehl" w:hint="cs"/>
          <w:spacing w:val="10"/>
          <w:szCs w:val="28"/>
          <w:rtl/>
        </w:rPr>
        <w:t>2</w:t>
      </w:r>
      <w:r w:rsidRPr="00DA04EB">
        <w:rPr>
          <w:rFonts w:ascii="Century" w:hAnsi="Century" w:cs="FrankRuehl"/>
          <w:spacing w:val="10"/>
          <w:szCs w:val="28"/>
          <w:rtl/>
        </w:rPr>
        <w:t>.2015)</w:t>
      </w:r>
      <w:r w:rsidRPr="004F4D8E">
        <w:rPr>
          <w:rFonts w:ascii="Century" w:hAnsi="Century" w:cs="FrankRuehl"/>
          <w:spacing w:val="10"/>
          <w:szCs w:val="28"/>
          <w:rtl/>
        </w:rPr>
        <w:t xml:space="preserve">). </w:t>
      </w:r>
      <w:r w:rsidRPr="004F4D8E">
        <w:rPr>
          <w:rFonts w:ascii="Century" w:hAnsi="Century" w:cs="FrankRuehl" w:hint="eastAsia"/>
          <w:spacing w:val="10"/>
          <w:szCs w:val="28"/>
          <w:rtl/>
        </w:rPr>
        <w:t>בכלל</w:t>
      </w:r>
      <w:r w:rsidRPr="004F4D8E">
        <w:rPr>
          <w:rFonts w:ascii="Century" w:hAnsi="Century" w:cs="FrankRuehl"/>
          <w:spacing w:val="10"/>
          <w:szCs w:val="28"/>
          <w:rtl/>
        </w:rPr>
        <w:t xml:space="preserve"> </w:t>
      </w:r>
      <w:r w:rsidRPr="004F4D8E">
        <w:rPr>
          <w:rFonts w:ascii="Century" w:hAnsi="Century" w:cs="FrankRuehl" w:hint="eastAsia"/>
          <w:spacing w:val="10"/>
          <w:szCs w:val="28"/>
          <w:rtl/>
        </w:rPr>
        <w:t>זה</w:t>
      </w:r>
      <w:r>
        <w:rPr>
          <w:rFonts w:ascii="Century" w:hAnsi="Century" w:cs="FrankRuehl" w:hint="cs"/>
          <w:spacing w:val="10"/>
          <w:szCs w:val="28"/>
          <w:rtl/>
        </w:rPr>
        <w:t>,</w:t>
      </w:r>
      <w:r w:rsidRPr="004F4D8E">
        <w:rPr>
          <w:rFonts w:ascii="Century" w:hAnsi="Century" w:cs="FrankRuehl"/>
          <w:spacing w:val="10"/>
          <w:szCs w:val="28"/>
          <w:rtl/>
        </w:rPr>
        <w:t xml:space="preserve"> נקבעו </w:t>
      </w:r>
      <w:r>
        <w:rPr>
          <w:rFonts w:ascii="Century" w:hAnsi="Century" w:cs="FrankRuehl" w:hint="cs"/>
          <w:spacing w:val="10"/>
          <w:szCs w:val="28"/>
          <w:rtl/>
        </w:rPr>
        <w:t>אמות מידה מנחות</w:t>
      </w:r>
      <w:r w:rsidRPr="004F4D8E">
        <w:rPr>
          <w:rFonts w:ascii="Century" w:hAnsi="Century" w:cs="FrankRuehl"/>
          <w:spacing w:val="10"/>
          <w:szCs w:val="28"/>
          <w:rtl/>
        </w:rPr>
        <w:t xml:space="preserve"> </w:t>
      </w:r>
      <w:r w:rsidRPr="004F4D8E">
        <w:rPr>
          <w:rFonts w:ascii="Century" w:hAnsi="Century" w:cs="FrankRuehl" w:hint="eastAsia"/>
          <w:spacing w:val="10"/>
          <w:szCs w:val="28"/>
          <w:rtl/>
        </w:rPr>
        <w:t>ביחס</w:t>
      </w:r>
      <w:r w:rsidRPr="004F4D8E">
        <w:rPr>
          <w:rFonts w:ascii="Century" w:hAnsi="Century" w:cs="FrankRuehl"/>
          <w:spacing w:val="10"/>
          <w:szCs w:val="28"/>
          <w:rtl/>
        </w:rPr>
        <w:t xml:space="preserve"> </w:t>
      </w:r>
      <w:r w:rsidRPr="004F4D8E">
        <w:rPr>
          <w:rFonts w:ascii="Century" w:hAnsi="Century" w:cs="FrankRuehl" w:hint="eastAsia"/>
          <w:spacing w:val="10"/>
          <w:szCs w:val="28"/>
          <w:rtl/>
        </w:rPr>
        <w:t>ל</w:t>
      </w:r>
      <w:r>
        <w:rPr>
          <w:rFonts w:ascii="Century" w:hAnsi="Century" w:cs="FrankRuehl" w:hint="cs"/>
          <w:spacing w:val="10"/>
          <w:szCs w:val="28"/>
          <w:rtl/>
        </w:rPr>
        <w:t>היקף ה</w:t>
      </w:r>
      <w:r w:rsidRPr="004F4D8E">
        <w:rPr>
          <w:rFonts w:ascii="Century" w:hAnsi="Century" w:cs="FrankRuehl" w:hint="eastAsia"/>
          <w:spacing w:val="10"/>
          <w:szCs w:val="28"/>
          <w:rtl/>
        </w:rPr>
        <w:t>התערבות</w:t>
      </w:r>
      <w:r w:rsidRPr="004F4D8E">
        <w:rPr>
          <w:rFonts w:ascii="Century" w:hAnsi="Century" w:cs="FrankRuehl"/>
          <w:spacing w:val="10"/>
          <w:szCs w:val="28"/>
          <w:rtl/>
        </w:rPr>
        <w:t xml:space="preserve"> </w:t>
      </w:r>
      <w:r>
        <w:rPr>
          <w:rFonts w:ascii="Century" w:hAnsi="Century" w:cs="FrankRuehl" w:hint="cs"/>
          <w:spacing w:val="10"/>
          <w:szCs w:val="28"/>
          <w:rtl/>
        </w:rPr>
        <w:t>הראוי</w:t>
      </w:r>
      <w:r w:rsidRPr="004F4D8E">
        <w:rPr>
          <w:rFonts w:ascii="Century" w:hAnsi="Century" w:cs="FrankRuehl"/>
          <w:spacing w:val="10"/>
          <w:szCs w:val="28"/>
          <w:rtl/>
        </w:rPr>
        <w:t xml:space="preserve"> </w:t>
      </w:r>
      <w:r>
        <w:rPr>
          <w:rFonts w:ascii="Century" w:hAnsi="Century" w:cs="FrankRuehl" w:hint="cs"/>
          <w:spacing w:val="10"/>
          <w:szCs w:val="28"/>
          <w:rtl/>
        </w:rPr>
        <w:t xml:space="preserve">של בית המשפט </w:t>
      </w:r>
      <w:r w:rsidRPr="004F4D8E">
        <w:rPr>
          <w:rFonts w:ascii="Century" w:hAnsi="Century" w:cs="FrankRuehl" w:hint="eastAsia"/>
          <w:spacing w:val="10"/>
          <w:szCs w:val="28"/>
          <w:rtl/>
        </w:rPr>
        <w:t>בהחלטות</w:t>
      </w:r>
      <w:r w:rsidRPr="004F4D8E">
        <w:rPr>
          <w:rFonts w:ascii="Century" w:hAnsi="Century" w:cs="FrankRuehl"/>
          <w:spacing w:val="10"/>
          <w:szCs w:val="28"/>
          <w:rtl/>
        </w:rPr>
        <w:t xml:space="preserve"> </w:t>
      </w:r>
      <w:r>
        <w:rPr>
          <w:rFonts w:ascii="Century" w:hAnsi="Century" w:cs="FrankRuehl" w:hint="cs"/>
          <w:spacing w:val="10"/>
          <w:szCs w:val="28"/>
          <w:rtl/>
        </w:rPr>
        <w:t xml:space="preserve">שונות, בהתאם לזהות הגורם שקיבל את ההחלטה (למשל, החלטות </w:t>
      </w:r>
      <w:r w:rsidRPr="004F4D8E">
        <w:rPr>
          <w:rFonts w:ascii="Century" w:hAnsi="Century" w:cs="FrankRuehl"/>
          <w:spacing w:val="10"/>
          <w:szCs w:val="28"/>
          <w:rtl/>
        </w:rPr>
        <w:t>של גופים מקצועיים</w:t>
      </w:r>
      <w:r>
        <w:rPr>
          <w:rFonts w:ascii="Century" w:hAnsi="Century" w:cs="FrankRuehl" w:hint="cs"/>
          <w:spacing w:val="10"/>
          <w:szCs w:val="28"/>
          <w:rtl/>
        </w:rPr>
        <w:t xml:space="preserve"> או </w:t>
      </w:r>
      <w:r w:rsidRPr="004F4D8E">
        <w:rPr>
          <w:rFonts w:ascii="Century" w:hAnsi="Century" w:cs="FrankRuehl"/>
          <w:spacing w:val="10"/>
          <w:szCs w:val="28"/>
          <w:rtl/>
        </w:rPr>
        <w:t xml:space="preserve">החלטות </w:t>
      </w:r>
      <w:r>
        <w:rPr>
          <w:rFonts w:ascii="Century" w:hAnsi="Century" w:cs="FrankRuehl" w:hint="cs"/>
          <w:spacing w:val="10"/>
          <w:szCs w:val="28"/>
          <w:rtl/>
        </w:rPr>
        <w:t>של דרג נבחר); אופי ההחלטה (למשל, החלטות המשקפות מדיניות, החלטות ביטחוניות)</w:t>
      </w:r>
      <w:r w:rsidRPr="004F4D8E">
        <w:rPr>
          <w:rFonts w:ascii="Century" w:hAnsi="Century" w:cs="FrankRuehl"/>
          <w:spacing w:val="10"/>
          <w:szCs w:val="28"/>
          <w:rtl/>
        </w:rPr>
        <w:t xml:space="preserve"> </w:t>
      </w:r>
      <w:r w:rsidRPr="004F4D8E">
        <w:rPr>
          <w:rFonts w:ascii="Century" w:hAnsi="Century" w:cs="FrankRuehl" w:hint="eastAsia"/>
          <w:spacing w:val="10"/>
          <w:szCs w:val="28"/>
          <w:rtl/>
        </w:rPr>
        <w:t>וכיו</w:t>
      </w:r>
      <w:r>
        <w:rPr>
          <w:rFonts w:ascii="Century" w:hAnsi="Century" w:cs="FrankRuehl" w:hint="cs"/>
          <w:spacing w:val="10"/>
          <w:szCs w:val="28"/>
          <w:rtl/>
        </w:rPr>
        <w:t xml:space="preserve">צא באלה </w:t>
      </w:r>
      <w:r w:rsidRPr="004F4D8E">
        <w:rPr>
          <w:rFonts w:ascii="Century" w:hAnsi="Century" w:cs="FrankRuehl"/>
          <w:spacing w:val="10"/>
          <w:szCs w:val="28"/>
          <w:rtl/>
        </w:rPr>
        <w:t xml:space="preserve">(כפי </w:t>
      </w:r>
      <w:r w:rsidRPr="004F4D8E">
        <w:rPr>
          <w:rFonts w:ascii="Century" w:hAnsi="Century" w:cs="FrankRuehl" w:hint="eastAsia"/>
          <w:spacing w:val="10"/>
          <w:szCs w:val="28"/>
          <w:rtl/>
        </w:rPr>
        <w:t>שפירטה</w:t>
      </w:r>
      <w:r w:rsidRPr="004F4D8E">
        <w:rPr>
          <w:rFonts w:ascii="Century" w:hAnsi="Century" w:cs="FrankRuehl"/>
          <w:spacing w:val="10"/>
          <w:szCs w:val="28"/>
          <w:rtl/>
        </w:rPr>
        <w:t xml:space="preserve"> </w:t>
      </w:r>
      <w:r w:rsidRPr="004F4D8E">
        <w:rPr>
          <w:rFonts w:ascii="Century" w:hAnsi="Century" w:cs="FrankRuehl" w:hint="eastAsia"/>
          <w:spacing w:val="10"/>
          <w:szCs w:val="28"/>
          <w:rtl/>
        </w:rPr>
        <w:t>הנשיאה</w:t>
      </w:r>
      <w:r>
        <w:rPr>
          <w:rFonts w:ascii="Century" w:hAnsi="Century" w:cs="FrankRuehl" w:hint="cs"/>
          <w:spacing w:val="10"/>
          <w:szCs w:val="28"/>
          <w:rtl/>
        </w:rPr>
        <w:t xml:space="preserve"> (בדימ')</w:t>
      </w:r>
      <w:r w:rsidRPr="004F4D8E">
        <w:rPr>
          <w:rFonts w:ascii="Century" w:hAnsi="Century" w:cs="FrankRuehl"/>
          <w:spacing w:val="10"/>
          <w:szCs w:val="28"/>
          <w:rtl/>
        </w:rPr>
        <w:t xml:space="preserve"> </w:t>
      </w:r>
      <w:r w:rsidRPr="00FF5D86">
        <w:rPr>
          <w:rFonts w:ascii="Century" w:hAnsi="Century" w:cs="Miriam" w:hint="eastAsia"/>
          <w:b/>
          <w:rtl/>
        </w:rPr>
        <w:t>חיות</w:t>
      </w:r>
      <w:r w:rsidRPr="00B53DF1">
        <w:rPr>
          <w:rFonts w:ascii="Century" w:hAnsi="Century" w:cs="FrankRuehl"/>
          <w:spacing w:val="10"/>
          <w:szCs w:val="28"/>
          <w:rtl/>
        </w:rPr>
        <w:t xml:space="preserve"> </w:t>
      </w:r>
      <w:r w:rsidRPr="004F4D8E">
        <w:rPr>
          <w:rFonts w:ascii="Century" w:hAnsi="Century" w:cs="FrankRuehl" w:hint="eastAsia"/>
          <w:spacing w:val="10"/>
          <w:szCs w:val="28"/>
          <w:rtl/>
        </w:rPr>
        <w:t>בפסק</w:t>
      </w:r>
      <w:r>
        <w:rPr>
          <w:rFonts w:ascii="Century" w:hAnsi="Century" w:cs="FrankRuehl" w:hint="cs"/>
          <w:spacing w:val="10"/>
          <w:szCs w:val="28"/>
          <w:rtl/>
        </w:rPr>
        <w:t>אות</w:t>
      </w:r>
      <w:r w:rsidRPr="004F4D8E">
        <w:rPr>
          <w:rFonts w:ascii="Century" w:hAnsi="Century" w:cs="FrankRuehl"/>
          <w:spacing w:val="10"/>
          <w:szCs w:val="28"/>
          <w:rtl/>
        </w:rPr>
        <w:t xml:space="preserve"> 10-11 ל</w:t>
      </w:r>
      <w:r>
        <w:rPr>
          <w:rFonts w:ascii="Century" w:hAnsi="Century" w:cs="FrankRuehl" w:hint="cs"/>
          <w:spacing w:val="10"/>
          <w:szCs w:val="28"/>
          <w:rtl/>
        </w:rPr>
        <w:t xml:space="preserve">חוות דעתה. ראו גם: </w:t>
      </w:r>
      <w:r w:rsidRPr="001F54D2">
        <w:rPr>
          <w:rFonts w:ascii="Century" w:hAnsi="Century" w:cs="FrankRuehl" w:hint="eastAsia"/>
          <w:spacing w:val="10"/>
          <w:szCs w:val="28"/>
          <w:rtl/>
        </w:rPr>
        <w:t>ברק</w:t>
      </w:r>
      <w:r w:rsidRPr="001F54D2">
        <w:rPr>
          <w:rFonts w:ascii="Century" w:hAnsi="Century" w:cs="FrankRuehl"/>
          <w:spacing w:val="10"/>
          <w:szCs w:val="28"/>
          <w:rtl/>
        </w:rPr>
        <w:t>-</w:t>
      </w:r>
      <w:r w:rsidRPr="001F54D2">
        <w:rPr>
          <w:rFonts w:ascii="Century" w:hAnsi="Century" w:cs="FrankRuehl" w:hint="eastAsia"/>
          <w:spacing w:val="10"/>
          <w:szCs w:val="28"/>
          <w:rtl/>
        </w:rPr>
        <w:t>ארז</w:t>
      </w:r>
      <w:r w:rsidRPr="001F54D2">
        <w:rPr>
          <w:rFonts w:ascii="Century" w:hAnsi="Century" w:cs="FrankRuehl"/>
          <w:spacing w:val="10"/>
          <w:szCs w:val="28"/>
          <w:rtl/>
        </w:rPr>
        <w:t xml:space="preserve">, </w:t>
      </w:r>
      <w:r w:rsidRPr="001F54D2">
        <w:rPr>
          <w:rFonts w:ascii="Century" w:hAnsi="Century" w:cs="FrankRuehl" w:hint="eastAsia"/>
          <w:spacing w:val="10"/>
          <w:szCs w:val="28"/>
          <w:rtl/>
        </w:rPr>
        <w:t>משפט</w:t>
      </w:r>
      <w:r w:rsidRPr="001F54D2">
        <w:rPr>
          <w:rFonts w:ascii="Century" w:hAnsi="Century" w:cs="FrankRuehl"/>
          <w:spacing w:val="10"/>
          <w:szCs w:val="28"/>
          <w:rtl/>
        </w:rPr>
        <w:t xml:space="preserve"> </w:t>
      </w:r>
      <w:r w:rsidRPr="001F54D2">
        <w:rPr>
          <w:rFonts w:ascii="Century" w:hAnsi="Century" w:cs="FrankRuehl" w:hint="eastAsia"/>
          <w:spacing w:val="10"/>
          <w:szCs w:val="28"/>
          <w:rtl/>
        </w:rPr>
        <w:t>מינהלי</w:t>
      </w:r>
      <w:r>
        <w:rPr>
          <w:rFonts w:ascii="Century" w:hAnsi="Century" w:cs="FrankRuehl" w:hint="cs"/>
          <w:spacing w:val="10"/>
          <w:szCs w:val="28"/>
          <w:rtl/>
        </w:rPr>
        <w:t>, בעמודים 762-749)</w:t>
      </w:r>
      <w:r w:rsidRPr="004F4D8E">
        <w:rPr>
          <w:rFonts w:ascii="Century" w:hAnsi="Century" w:cs="FrankRuehl"/>
          <w:spacing w:val="10"/>
          <w:szCs w:val="28"/>
          <w:rtl/>
        </w:rPr>
        <w:t xml:space="preserve">. </w:t>
      </w:r>
      <w:r w:rsidRPr="004F4D8E">
        <w:rPr>
          <w:rFonts w:ascii="Century" w:hAnsi="Century" w:cs="FrankRuehl" w:hint="eastAsia"/>
          <w:spacing w:val="10"/>
          <w:szCs w:val="28"/>
          <w:rtl/>
        </w:rPr>
        <w:t>כל</w:t>
      </w:r>
      <w:r w:rsidRPr="004F4D8E">
        <w:rPr>
          <w:rFonts w:ascii="Century" w:hAnsi="Century" w:cs="FrankRuehl"/>
          <w:spacing w:val="10"/>
          <w:szCs w:val="28"/>
          <w:rtl/>
        </w:rPr>
        <w:t xml:space="preserve"> פסקי הדין הללו שינו – כל אחד בתורו – את היקף תחולתה של עילת הסבירות, כאשר המילה האחרונה בהקשר זה ודאי לא נאמרה</w:t>
      </w:r>
      <w:r>
        <w:rPr>
          <w:rFonts w:ascii="Century" w:hAnsi="Century" w:cs="FrankRuehl" w:hint="cs"/>
          <w:spacing w:val="10"/>
          <w:szCs w:val="28"/>
          <w:rtl/>
        </w:rPr>
        <w:t>,</w:t>
      </w:r>
      <w:r w:rsidRPr="004F4D8E">
        <w:rPr>
          <w:rFonts w:ascii="Century" w:hAnsi="Century" w:cs="FrankRuehl"/>
          <w:spacing w:val="10"/>
          <w:szCs w:val="28"/>
          <w:rtl/>
        </w:rPr>
        <w:t xml:space="preserve"> וכדרכם של פסקי דין, הם יוסיפו להבהיר, לשנות, לצמצם </w:t>
      </w:r>
      <w:r>
        <w:rPr>
          <w:rFonts w:ascii="Century" w:hAnsi="Century" w:cs="FrankRuehl" w:hint="cs"/>
          <w:spacing w:val="10"/>
          <w:szCs w:val="28"/>
          <w:rtl/>
        </w:rPr>
        <w:t>(</w:t>
      </w:r>
      <w:r w:rsidRPr="004F4D8E">
        <w:rPr>
          <w:rFonts w:ascii="Century" w:hAnsi="Century" w:cs="FrankRuehl"/>
          <w:spacing w:val="10"/>
          <w:szCs w:val="28"/>
          <w:rtl/>
        </w:rPr>
        <w:t>או להרחיב</w:t>
      </w:r>
      <w:r>
        <w:rPr>
          <w:rFonts w:ascii="Century" w:hAnsi="Century" w:cs="FrankRuehl" w:hint="cs"/>
          <w:spacing w:val="10"/>
          <w:szCs w:val="28"/>
          <w:rtl/>
        </w:rPr>
        <w:t>)</w:t>
      </w:r>
      <w:r w:rsidRPr="004F4D8E">
        <w:rPr>
          <w:rFonts w:ascii="Century" w:hAnsi="Century" w:cs="FrankRuehl"/>
          <w:spacing w:val="10"/>
          <w:szCs w:val="28"/>
          <w:rtl/>
        </w:rPr>
        <w:t xml:space="preserve"> </w:t>
      </w:r>
      <w:r w:rsidRPr="004F4D8E">
        <w:rPr>
          <w:rFonts w:ascii="Century" w:hAnsi="Century" w:cs="FrankRuehl" w:hint="eastAsia"/>
          <w:spacing w:val="10"/>
          <w:szCs w:val="28"/>
          <w:rtl/>
        </w:rPr>
        <w:t>את</w:t>
      </w:r>
      <w:r w:rsidRPr="004F4D8E">
        <w:rPr>
          <w:rFonts w:ascii="Century" w:hAnsi="Century" w:cs="FrankRuehl"/>
          <w:spacing w:val="10"/>
          <w:szCs w:val="28"/>
          <w:rtl/>
        </w:rPr>
        <w:t xml:space="preserve"> העילה גם בעתיד. </w:t>
      </w:r>
    </w:p>
    <w:p w:rsidR="00A01E7C" w:rsidRPr="004F4D8E" w:rsidRDefault="00A01E7C" w:rsidP="00A01E7C">
      <w:pPr>
        <w:spacing w:line="360" w:lineRule="auto"/>
        <w:ind w:left="720"/>
        <w:jc w:val="both"/>
        <w:rPr>
          <w:rFonts w:ascii="Century" w:hAnsi="Century" w:cs="FrankRuehl"/>
          <w:spacing w:val="10"/>
          <w:szCs w:val="28"/>
          <w:rtl/>
        </w:rPr>
      </w:pPr>
    </w:p>
    <w:p w:rsidR="00A01E7C" w:rsidRDefault="00A01E7C" w:rsidP="00A01E7C">
      <w:pPr>
        <w:spacing w:line="360" w:lineRule="auto"/>
        <w:ind w:left="720" w:firstLine="720"/>
        <w:jc w:val="both"/>
        <w:rPr>
          <w:rFonts w:ascii="Century" w:hAnsi="Century" w:cs="FrankRuehl"/>
          <w:spacing w:val="10"/>
          <w:szCs w:val="28"/>
          <w:rtl/>
        </w:rPr>
      </w:pPr>
      <w:r w:rsidRPr="004F4D8E">
        <w:rPr>
          <w:rFonts w:ascii="Century" w:hAnsi="Century" w:cs="FrankRuehl" w:hint="eastAsia"/>
          <w:spacing w:val="10"/>
          <w:szCs w:val="28"/>
          <w:rtl/>
        </w:rPr>
        <w:t>במילים</w:t>
      </w:r>
      <w:r w:rsidRPr="004F4D8E">
        <w:rPr>
          <w:rFonts w:ascii="Century" w:hAnsi="Century" w:cs="FrankRuehl"/>
          <w:spacing w:val="10"/>
          <w:szCs w:val="28"/>
          <w:rtl/>
        </w:rPr>
        <w:t xml:space="preserve"> אחרות –</w:t>
      </w:r>
      <w:r>
        <w:rPr>
          <w:rFonts w:ascii="Century" w:hAnsi="Century" w:cs="FrankRuehl" w:hint="cs"/>
          <w:spacing w:val="10"/>
          <w:szCs w:val="28"/>
          <w:rtl/>
        </w:rPr>
        <w:t xml:space="preserve"> </w:t>
      </w:r>
      <w:r w:rsidRPr="004F4D8E">
        <w:rPr>
          <w:rFonts w:ascii="Century" w:hAnsi="Century" w:cs="FrankRuehl"/>
          <w:spacing w:val="10"/>
          <w:szCs w:val="28"/>
          <w:rtl/>
        </w:rPr>
        <w:t xml:space="preserve">עילת הסבירות נכון להיום אינה זהה בהיקפה ובהגדרתה לזו שהייתה מיד לאחר פרסומו של פסק הדין בעניין </w:t>
      </w:r>
      <w:r w:rsidRPr="004F4D8E">
        <w:rPr>
          <w:rFonts w:ascii="Century" w:hAnsi="Century" w:cs="Miriam" w:hint="eastAsia"/>
          <w:b/>
          <w:rtl/>
        </w:rPr>
        <w:t>דפי</w:t>
      </w:r>
      <w:r w:rsidRPr="004F4D8E">
        <w:rPr>
          <w:rFonts w:ascii="Century" w:hAnsi="Century" w:cs="Miriam"/>
          <w:b/>
          <w:rtl/>
        </w:rPr>
        <w:t xml:space="preserve"> </w:t>
      </w:r>
      <w:r w:rsidRPr="004F4D8E">
        <w:rPr>
          <w:rFonts w:ascii="Century" w:hAnsi="Century" w:cs="Miriam" w:hint="eastAsia"/>
          <w:b/>
          <w:rtl/>
        </w:rPr>
        <w:t>זהב</w:t>
      </w:r>
      <w:r w:rsidRPr="004F4D8E">
        <w:rPr>
          <w:rFonts w:ascii="Century" w:hAnsi="Century" w:cs="FrankRuehl"/>
          <w:spacing w:val="10"/>
          <w:szCs w:val="28"/>
          <w:rtl/>
        </w:rPr>
        <w:t xml:space="preserve">. גם מטעם זה קשה להלום את המסקנה לפיה פסק הדין </w:t>
      </w:r>
      <w:r>
        <w:rPr>
          <w:rFonts w:ascii="Century" w:hAnsi="Century" w:cs="FrankRuehl" w:hint="cs"/>
          <w:spacing w:val="10"/>
          <w:szCs w:val="28"/>
          <w:rtl/>
        </w:rPr>
        <w:t xml:space="preserve">בעניין </w:t>
      </w:r>
      <w:r w:rsidRPr="004F4D8E">
        <w:rPr>
          <w:rFonts w:ascii="Century" w:hAnsi="Century" w:cs="Miriam" w:hint="eastAsia"/>
          <w:b/>
          <w:rtl/>
        </w:rPr>
        <w:t>דפי</w:t>
      </w:r>
      <w:r w:rsidRPr="004F4D8E">
        <w:rPr>
          <w:rFonts w:ascii="Century" w:hAnsi="Century" w:cs="Miriam"/>
          <w:b/>
          <w:rtl/>
        </w:rPr>
        <w:t xml:space="preserve"> </w:t>
      </w:r>
      <w:r w:rsidRPr="004F4D8E">
        <w:rPr>
          <w:rFonts w:ascii="Century" w:hAnsi="Century" w:cs="Miriam" w:hint="eastAsia"/>
          <w:b/>
          <w:rtl/>
        </w:rPr>
        <w:t>זהב</w:t>
      </w:r>
      <w:r w:rsidRPr="004F4D8E">
        <w:rPr>
          <w:rFonts w:ascii="Century" w:hAnsi="Century" w:cs="FrankRuehl"/>
          <w:spacing w:val="10"/>
          <w:szCs w:val="28"/>
          <w:rtl/>
        </w:rPr>
        <w:t xml:space="preserve"> "קיבע" את המשמעות של עילת הסבירות</w:t>
      </w:r>
      <w:r>
        <w:rPr>
          <w:rFonts w:ascii="Century" w:hAnsi="Century" w:cs="FrankRuehl" w:hint="cs"/>
          <w:spacing w:val="10"/>
          <w:szCs w:val="28"/>
          <w:rtl/>
        </w:rPr>
        <w:t xml:space="preserve">. </w:t>
      </w:r>
      <w:r w:rsidRPr="004F4D8E">
        <w:rPr>
          <w:rFonts w:ascii="Century" w:hAnsi="Century" w:cs="FrankRuehl"/>
          <w:spacing w:val="10"/>
          <w:szCs w:val="28"/>
          <w:rtl/>
        </w:rPr>
        <w:t>כ</w:t>
      </w:r>
      <w:r>
        <w:rPr>
          <w:rFonts w:ascii="Century" w:hAnsi="Century" w:cs="FrankRuehl" w:hint="cs"/>
          <w:spacing w:val="10"/>
          <w:szCs w:val="28"/>
          <w:rtl/>
        </w:rPr>
        <w:t>פועל יוצא אף קשה להלום את</w:t>
      </w:r>
      <w:r w:rsidRPr="004F4D8E">
        <w:rPr>
          <w:rFonts w:ascii="Century" w:hAnsi="Century" w:cs="FrankRuehl"/>
          <w:spacing w:val="10"/>
          <w:szCs w:val="28"/>
          <w:rtl/>
        </w:rPr>
        <w:t xml:space="preserve"> </w:t>
      </w:r>
      <w:r>
        <w:rPr>
          <w:rFonts w:ascii="Century" w:hAnsi="Century" w:cs="FrankRuehl" w:hint="cs"/>
          <w:spacing w:val="10"/>
          <w:szCs w:val="28"/>
          <w:rtl/>
        </w:rPr>
        <w:t xml:space="preserve">הפרשנות המצמצמת לפיה כל פועלו של התיקון הוא </w:t>
      </w:r>
      <w:r w:rsidRPr="004F4D8E">
        <w:rPr>
          <w:rFonts w:ascii="Century" w:hAnsi="Century" w:cs="FrankRuehl"/>
          <w:spacing w:val="10"/>
          <w:szCs w:val="28"/>
          <w:rtl/>
        </w:rPr>
        <w:t>ל</w:t>
      </w:r>
      <w:r>
        <w:rPr>
          <w:rFonts w:ascii="Century" w:hAnsi="Century" w:cs="FrankRuehl" w:hint="cs"/>
          <w:spacing w:val="10"/>
          <w:szCs w:val="28"/>
          <w:rtl/>
        </w:rPr>
        <w:t>החזיר את המצב</w:t>
      </w:r>
      <w:r w:rsidRPr="00D650BE">
        <w:rPr>
          <w:rFonts w:asciiTheme="majorBidi" w:hAnsiTheme="majorBidi" w:cstheme="majorBidi"/>
          <w:sz w:val="24"/>
          <w:rtl/>
        </w:rPr>
        <w:t xml:space="preserve"> </w:t>
      </w:r>
      <w:r w:rsidRPr="004F4D8E">
        <w:rPr>
          <w:rFonts w:ascii="Century" w:hAnsi="Century" w:cs="FrankRuehl"/>
          <w:spacing w:val="10"/>
          <w:szCs w:val="28"/>
          <w:rtl/>
        </w:rPr>
        <w:t xml:space="preserve">לאחור ל"יום שלפני" </w:t>
      </w:r>
      <w:r>
        <w:rPr>
          <w:rFonts w:ascii="Century" w:hAnsi="Century" w:cs="FrankRuehl" w:hint="cs"/>
          <w:spacing w:val="10"/>
          <w:szCs w:val="28"/>
          <w:rtl/>
        </w:rPr>
        <w:t xml:space="preserve">פסק הדין בעניין </w:t>
      </w:r>
      <w:r w:rsidRPr="004F4D8E">
        <w:rPr>
          <w:rFonts w:ascii="Century" w:hAnsi="Century" w:cs="Miriam" w:hint="eastAsia"/>
          <w:b/>
          <w:rtl/>
        </w:rPr>
        <w:t>דפי</w:t>
      </w:r>
      <w:r w:rsidRPr="004F4D8E">
        <w:rPr>
          <w:rFonts w:ascii="Century" w:hAnsi="Century" w:cs="Miriam"/>
          <w:b/>
          <w:rtl/>
        </w:rPr>
        <w:t xml:space="preserve"> </w:t>
      </w:r>
      <w:r w:rsidRPr="004F4D8E">
        <w:rPr>
          <w:rFonts w:ascii="Century" w:hAnsi="Century" w:cs="Miriam" w:hint="eastAsia"/>
          <w:b/>
          <w:rtl/>
        </w:rPr>
        <w:t>זהב</w:t>
      </w:r>
      <w:r w:rsidRPr="004F4D8E">
        <w:rPr>
          <w:rFonts w:ascii="Century" w:hAnsi="Century" w:cs="FrankRuehl"/>
          <w:spacing w:val="10"/>
          <w:szCs w:val="28"/>
          <w:rtl/>
        </w:rPr>
        <w:t xml:space="preserve">. </w:t>
      </w:r>
    </w:p>
    <w:p w:rsidR="00A01E7C" w:rsidRDefault="00A01E7C" w:rsidP="00A01E7C">
      <w:pPr>
        <w:spacing w:line="360" w:lineRule="auto"/>
        <w:jc w:val="both"/>
        <w:rPr>
          <w:rFonts w:ascii="Century" w:hAnsi="Century" w:cs="FrankRuehl"/>
          <w:spacing w:val="10"/>
          <w:szCs w:val="28"/>
          <w:rtl/>
        </w:rPr>
      </w:pPr>
      <w:r w:rsidRPr="004F4D8E">
        <w:rPr>
          <w:rFonts w:ascii="Century" w:hAnsi="Century" w:cs="FrankRuehl"/>
          <w:spacing w:val="10"/>
          <w:szCs w:val="28"/>
          <w:rtl/>
        </w:rPr>
        <w:tab/>
      </w:r>
    </w:p>
    <w:p w:rsidR="00A01E7C" w:rsidRDefault="00A01E7C" w:rsidP="00A01E7C">
      <w:pPr>
        <w:spacing w:line="360" w:lineRule="auto"/>
        <w:ind w:firstLine="720"/>
        <w:jc w:val="both"/>
        <w:rPr>
          <w:rFonts w:asciiTheme="majorBidi" w:hAnsiTheme="majorBidi" w:cstheme="majorBidi"/>
          <w:sz w:val="24"/>
          <w:rtl/>
        </w:rPr>
      </w:pPr>
      <w:r w:rsidRPr="004F4D8E">
        <w:rPr>
          <w:rFonts w:ascii="Century" w:hAnsi="Century" w:cs="FrankRuehl" w:hint="eastAsia"/>
          <w:spacing w:val="10"/>
          <w:szCs w:val="28"/>
          <w:rtl/>
        </w:rPr>
        <w:t>סיכומו</w:t>
      </w:r>
      <w:r w:rsidRPr="004F4D8E">
        <w:rPr>
          <w:rFonts w:ascii="Century" w:hAnsi="Century" w:cs="FrankRuehl"/>
          <w:spacing w:val="10"/>
          <w:szCs w:val="28"/>
          <w:rtl/>
        </w:rPr>
        <w:t xml:space="preserve"> </w:t>
      </w:r>
      <w:r w:rsidRPr="004F4D8E">
        <w:rPr>
          <w:rFonts w:ascii="Century" w:hAnsi="Century" w:cs="FrankRuehl" w:hint="eastAsia"/>
          <w:spacing w:val="10"/>
          <w:szCs w:val="28"/>
          <w:rtl/>
        </w:rPr>
        <w:t>של</w:t>
      </w:r>
      <w:r w:rsidRPr="004F4D8E">
        <w:rPr>
          <w:rFonts w:ascii="Century" w:hAnsi="Century" w:cs="FrankRuehl"/>
          <w:spacing w:val="10"/>
          <w:szCs w:val="28"/>
          <w:rtl/>
        </w:rPr>
        <w:t xml:space="preserve"> </w:t>
      </w:r>
      <w:r w:rsidRPr="004F4D8E">
        <w:rPr>
          <w:rFonts w:ascii="Century" w:hAnsi="Century" w:cs="FrankRuehl" w:hint="eastAsia"/>
          <w:spacing w:val="10"/>
          <w:szCs w:val="28"/>
          <w:rtl/>
        </w:rPr>
        <w:t>דבר</w:t>
      </w:r>
      <w:r>
        <w:rPr>
          <w:rFonts w:ascii="Century" w:hAnsi="Century" w:cs="FrankRuehl" w:hint="cs"/>
          <w:spacing w:val="10"/>
          <w:szCs w:val="28"/>
          <w:rtl/>
        </w:rPr>
        <w:t xml:space="preserve">, </w:t>
      </w:r>
      <w:r w:rsidRPr="004F4D8E">
        <w:rPr>
          <w:rFonts w:ascii="Century" w:hAnsi="Century" w:cs="FrankRuehl" w:hint="eastAsia"/>
          <w:spacing w:val="10"/>
          <w:szCs w:val="28"/>
          <w:rtl/>
        </w:rPr>
        <w:t>קביעה</w:t>
      </w:r>
      <w:r>
        <w:rPr>
          <w:rFonts w:ascii="Century" w:hAnsi="Century" w:cs="FrankRuehl" w:hint="cs"/>
          <w:spacing w:val="10"/>
          <w:szCs w:val="28"/>
          <w:rtl/>
        </w:rPr>
        <w:t xml:space="preserve"> </w:t>
      </w:r>
      <w:r w:rsidRPr="004F4D8E">
        <w:rPr>
          <w:rFonts w:ascii="Century" w:hAnsi="Century" w:cs="FrankRuehl" w:hint="eastAsia"/>
          <w:spacing w:val="10"/>
          <w:szCs w:val="28"/>
          <w:rtl/>
        </w:rPr>
        <w:t>פרשנית</w:t>
      </w:r>
      <w:r w:rsidRPr="004F4D8E">
        <w:rPr>
          <w:rFonts w:ascii="Century" w:hAnsi="Century" w:cs="FrankRuehl"/>
          <w:spacing w:val="10"/>
          <w:szCs w:val="28"/>
          <w:rtl/>
        </w:rPr>
        <w:t xml:space="preserve"> המניחה כי יש הגדרה ברורה לעילת הסבירות לפני </w:t>
      </w:r>
      <w:r>
        <w:rPr>
          <w:rFonts w:ascii="Century" w:hAnsi="Century" w:cs="FrankRuehl" w:hint="cs"/>
          <w:spacing w:val="10"/>
          <w:szCs w:val="28"/>
          <w:rtl/>
        </w:rPr>
        <w:t xml:space="preserve">עניין </w:t>
      </w:r>
      <w:r w:rsidRPr="004F4D8E">
        <w:rPr>
          <w:rFonts w:ascii="Century" w:hAnsi="Century" w:cs="Miriam" w:hint="eastAsia"/>
          <w:b/>
          <w:rtl/>
        </w:rPr>
        <w:t>דפי</w:t>
      </w:r>
      <w:r w:rsidRPr="004F4D8E">
        <w:rPr>
          <w:rFonts w:ascii="Century" w:hAnsi="Century" w:cs="Miriam"/>
          <w:b/>
          <w:rtl/>
        </w:rPr>
        <w:t xml:space="preserve"> </w:t>
      </w:r>
      <w:r w:rsidRPr="004F4D8E">
        <w:rPr>
          <w:rFonts w:ascii="Century" w:hAnsi="Century" w:cs="Miriam" w:hint="eastAsia"/>
          <w:b/>
          <w:rtl/>
        </w:rPr>
        <w:t>זהב</w:t>
      </w:r>
      <w:r w:rsidRPr="004F4D8E">
        <w:rPr>
          <w:rFonts w:ascii="Century" w:hAnsi="Century" w:cs="FrankRuehl"/>
          <w:spacing w:val="10"/>
          <w:szCs w:val="28"/>
          <w:rtl/>
        </w:rPr>
        <w:t>, והגדרה ברורה לעילת הסבירות לאחר מכן – היא קביעה שא</w:t>
      </w:r>
      <w:r w:rsidRPr="004F4D8E">
        <w:rPr>
          <w:rFonts w:ascii="Century" w:hAnsi="Century" w:cs="FrankRuehl" w:hint="eastAsia"/>
          <w:spacing w:val="10"/>
          <w:szCs w:val="28"/>
          <w:rtl/>
        </w:rPr>
        <w:t>ינני</w:t>
      </w:r>
      <w:r w:rsidRPr="004F4D8E">
        <w:rPr>
          <w:rFonts w:ascii="Century" w:hAnsi="Century" w:cs="FrankRuehl"/>
          <w:spacing w:val="10"/>
          <w:szCs w:val="28"/>
          <w:rtl/>
        </w:rPr>
        <w:t xml:space="preserve"> </w:t>
      </w:r>
      <w:r w:rsidRPr="004F4D8E">
        <w:rPr>
          <w:rFonts w:ascii="Century" w:hAnsi="Century" w:cs="FrankRuehl" w:hint="eastAsia"/>
          <w:spacing w:val="10"/>
          <w:szCs w:val="28"/>
          <w:rtl/>
        </w:rPr>
        <w:t>שותפה</w:t>
      </w:r>
      <w:r w:rsidRPr="004F4D8E">
        <w:rPr>
          <w:rFonts w:ascii="Century" w:hAnsi="Century" w:cs="FrankRuehl"/>
          <w:spacing w:val="10"/>
          <w:szCs w:val="28"/>
          <w:rtl/>
        </w:rPr>
        <w:t xml:space="preserve"> </w:t>
      </w:r>
      <w:r w:rsidRPr="004F4D8E">
        <w:rPr>
          <w:rFonts w:ascii="Century" w:hAnsi="Century" w:cs="FrankRuehl" w:hint="eastAsia"/>
          <w:spacing w:val="10"/>
          <w:szCs w:val="28"/>
          <w:rtl/>
        </w:rPr>
        <w:t>לה</w:t>
      </w:r>
      <w:r w:rsidRPr="004F4D8E">
        <w:rPr>
          <w:rFonts w:ascii="Century" w:hAnsi="Century" w:cs="FrankRuehl"/>
          <w:spacing w:val="10"/>
          <w:szCs w:val="28"/>
          <w:rtl/>
        </w:rPr>
        <w:t xml:space="preserve"> ושא</w:t>
      </w:r>
      <w:r>
        <w:rPr>
          <w:rFonts w:ascii="Century" w:hAnsi="Century" w:cs="FrankRuehl" w:hint="cs"/>
          <w:spacing w:val="10"/>
          <w:szCs w:val="28"/>
          <w:rtl/>
        </w:rPr>
        <w:t>ינ</w:t>
      </w:r>
      <w:r w:rsidRPr="004F4D8E">
        <w:rPr>
          <w:rFonts w:ascii="Century" w:hAnsi="Century" w:cs="FrankRuehl" w:hint="eastAsia"/>
          <w:spacing w:val="10"/>
          <w:szCs w:val="28"/>
          <w:rtl/>
        </w:rPr>
        <w:t>ני</w:t>
      </w:r>
      <w:r w:rsidRPr="004F4D8E">
        <w:rPr>
          <w:rFonts w:ascii="Century" w:hAnsi="Century" w:cs="FrankRuehl"/>
          <w:spacing w:val="10"/>
          <w:szCs w:val="28"/>
          <w:rtl/>
        </w:rPr>
        <w:t xml:space="preserve"> סבורה כי </w:t>
      </w:r>
      <w:r w:rsidRPr="004F4D8E">
        <w:rPr>
          <w:rFonts w:ascii="Century" w:hAnsi="Century" w:cs="FrankRuehl" w:hint="eastAsia"/>
          <w:spacing w:val="10"/>
          <w:szCs w:val="28"/>
          <w:rtl/>
        </w:rPr>
        <w:t>ה</w:t>
      </w:r>
      <w:r>
        <w:rPr>
          <w:rFonts w:ascii="Century" w:hAnsi="Century" w:cs="FrankRuehl" w:hint="cs"/>
          <w:spacing w:val="10"/>
          <w:szCs w:val="28"/>
          <w:rtl/>
        </w:rPr>
        <w:t>יא</w:t>
      </w:r>
      <w:r w:rsidRPr="004F4D8E">
        <w:rPr>
          <w:rFonts w:ascii="Century" w:hAnsi="Century" w:cs="FrankRuehl"/>
          <w:spacing w:val="10"/>
          <w:szCs w:val="28"/>
          <w:rtl/>
        </w:rPr>
        <w:t xml:space="preserve"> יכולה לעמוד. </w:t>
      </w:r>
      <w:r w:rsidRPr="004F4D8E">
        <w:rPr>
          <w:rFonts w:ascii="Century" w:hAnsi="Century" w:cs="FrankRuehl" w:hint="eastAsia"/>
          <w:spacing w:val="10"/>
          <w:szCs w:val="28"/>
          <w:rtl/>
        </w:rPr>
        <w:t>לא</w:t>
      </w:r>
      <w:r w:rsidRPr="004F4D8E">
        <w:rPr>
          <w:rFonts w:ascii="Century" w:hAnsi="Century" w:cs="FrankRuehl"/>
          <w:spacing w:val="10"/>
          <w:szCs w:val="28"/>
          <w:rtl/>
        </w:rPr>
        <w:t xml:space="preserve"> ניתן לכן לקבל פרשנות השמה את </w:t>
      </w:r>
      <w:r w:rsidRPr="004F4D8E">
        <w:rPr>
          <w:rFonts w:ascii="Century" w:hAnsi="Century" w:cs="FrankRuehl"/>
          <w:spacing w:val="10"/>
          <w:szCs w:val="28"/>
          <w:rtl/>
        </w:rPr>
        <w:lastRenderedPageBreak/>
        <w:t xml:space="preserve">כל כובד המשקל על הקביעה </w:t>
      </w:r>
      <w:r>
        <w:rPr>
          <w:rFonts w:ascii="Century" w:hAnsi="Century" w:cs="FrankRuehl" w:hint="cs"/>
          <w:spacing w:val="10"/>
          <w:szCs w:val="28"/>
          <w:rtl/>
        </w:rPr>
        <w:t xml:space="preserve">שניתנה בעניין </w:t>
      </w:r>
      <w:r w:rsidRPr="004F4D8E">
        <w:rPr>
          <w:rFonts w:ascii="Century" w:hAnsi="Century" w:cs="Miriam" w:hint="eastAsia"/>
          <w:b/>
          <w:rtl/>
        </w:rPr>
        <w:t>דפי</w:t>
      </w:r>
      <w:r w:rsidRPr="004F4D8E">
        <w:rPr>
          <w:rFonts w:ascii="Century" w:hAnsi="Century" w:cs="Miriam"/>
          <w:b/>
          <w:rtl/>
        </w:rPr>
        <w:t xml:space="preserve"> </w:t>
      </w:r>
      <w:r w:rsidRPr="004F4D8E">
        <w:rPr>
          <w:rFonts w:ascii="Century" w:hAnsi="Century" w:cs="Miriam" w:hint="eastAsia"/>
          <w:b/>
          <w:rtl/>
        </w:rPr>
        <w:t>זהב</w:t>
      </w:r>
      <w:r w:rsidRPr="004F4D8E">
        <w:rPr>
          <w:rFonts w:ascii="Century" w:hAnsi="Century" w:cs="FrankRuehl"/>
          <w:spacing w:val="10"/>
          <w:szCs w:val="28"/>
          <w:rtl/>
        </w:rPr>
        <w:t xml:space="preserve">. </w:t>
      </w:r>
      <w:r>
        <w:rPr>
          <w:rFonts w:ascii="Century" w:hAnsi="Century" w:cs="FrankRuehl" w:hint="cs"/>
          <w:spacing w:val="10"/>
          <w:szCs w:val="28"/>
          <w:rtl/>
        </w:rPr>
        <w:t xml:space="preserve">לטעמי, </w:t>
      </w:r>
      <w:r w:rsidRPr="004F4D8E">
        <w:rPr>
          <w:rFonts w:ascii="Century" w:hAnsi="Century" w:cs="FrankRuehl" w:hint="eastAsia"/>
          <w:spacing w:val="10"/>
          <w:szCs w:val="28"/>
          <w:rtl/>
        </w:rPr>
        <w:t>אין</w:t>
      </w:r>
      <w:r w:rsidRPr="004F4D8E">
        <w:rPr>
          <w:rFonts w:ascii="Century" w:hAnsi="Century" w:cs="FrankRuehl"/>
          <w:spacing w:val="10"/>
          <w:szCs w:val="28"/>
          <w:rtl/>
        </w:rPr>
        <w:t xml:space="preserve"> </w:t>
      </w:r>
      <w:r w:rsidRPr="004F4D8E">
        <w:rPr>
          <w:rFonts w:ascii="Century" w:hAnsi="Century" w:cs="FrankRuehl" w:hint="eastAsia"/>
          <w:spacing w:val="10"/>
          <w:szCs w:val="28"/>
          <w:rtl/>
        </w:rPr>
        <w:t>משמעות</w:t>
      </w:r>
      <w:r w:rsidRPr="004F4D8E">
        <w:rPr>
          <w:rFonts w:ascii="Century" w:hAnsi="Century" w:cs="FrankRuehl"/>
          <w:spacing w:val="10"/>
          <w:szCs w:val="28"/>
          <w:rtl/>
        </w:rPr>
        <w:t xml:space="preserve"> </w:t>
      </w:r>
      <w:r>
        <w:rPr>
          <w:rFonts w:ascii="Century" w:hAnsi="Century" w:cs="FrankRuehl" w:hint="cs"/>
          <w:spacing w:val="10"/>
          <w:szCs w:val="28"/>
          <w:rtl/>
        </w:rPr>
        <w:t xml:space="preserve">ממשית ובת יישום </w:t>
      </w:r>
      <w:r w:rsidRPr="004F4D8E">
        <w:rPr>
          <w:rFonts w:ascii="Century" w:hAnsi="Century" w:cs="FrankRuehl" w:hint="eastAsia"/>
          <w:spacing w:val="10"/>
          <w:szCs w:val="28"/>
          <w:rtl/>
        </w:rPr>
        <w:t>לניסיון</w:t>
      </w:r>
      <w:r w:rsidRPr="004F4D8E">
        <w:rPr>
          <w:rFonts w:ascii="Century" w:hAnsi="Century" w:cs="FrankRuehl"/>
          <w:spacing w:val="10"/>
          <w:szCs w:val="28"/>
          <w:rtl/>
        </w:rPr>
        <w:t xml:space="preserve"> </w:t>
      </w:r>
      <w:r w:rsidRPr="004F4D8E">
        <w:rPr>
          <w:rFonts w:ascii="Century" w:hAnsi="Century" w:cs="FrankRuehl" w:hint="eastAsia"/>
          <w:spacing w:val="10"/>
          <w:szCs w:val="28"/>
          <w:rtl/>
        </w:rPr>
        <w:t>הפרשני</w:t>
      </w:r>
      <w:r w:rsidRPr="004F4D8E">
        <w:rPr>
          <w:rFonts w:ascii="Century" w:hAnsi="Century" w:cs="FrankRuehl"/>
          <w:spacing w:val="10"/>
          <w:szCs w:val="28"/>
          <w:rtl/>
        </w:rPr>
        <w:t xml:space="preserve"> </w:t>
      </w:r>
      <w:r w:rsidRPr="004F4D8E">
        <w:rPr>
          <w:rFonts w:ascii="Century" w:hAnsi="Century" w:cs="FrankRuehl" w:hint="eastAsia"/>
          <w:spacing w:val="10"/>
          <w:szCs w:val="28"/>
          <w:rtl/>
        </w:rPr>
        <w:t>לקבוע</w:t>
      </w:r>
      <w:r w:rsidRPr="004F4D8E">
        <w:rPr>
          <w:rFonts w:ascii="Century" w:hAnsi="Century" w:cs="FrankRuehl"/>
          <w:spacing w:val="10"/>
          <w:szCs w:val="28"/>
          <w:rtl/>
        </w:rPr>
        <w:t xml:space="preserve"> </w:t>
      </w:r>
      <w:r w:rsidRPr="004F4D8E">
        <w:rPr>
          <w:rFonts w:ascii="Century" w:hAnsi="Century" w:cs="FrankRuehl" w:hint="eastAsia"/>
          <w:spacing w:val="10"/>
          <w:szCs w:val="28"/>
          <w:rtl/>
        </w:rPr>
        <w:t>כי</w:t>
      </w:r>
      <w:r w:rsidRPr="004F4D8E">
        <w:rPr>
          <w:rFonts w:ascii="Century" w:hAnsi="Century" w:cs="FrankRuehl"/>
          <w:spacing w:val="10"/>
          <w:szCs w:val="28"/>
          <w:rtl/>
        </w:rPr>
        <w:t xml:space="preserve"> </w:t>
      </w:r>
      <w:r w:rsidRPr="004F4D8E">
        <w:rPr>
          <w:rFonts w:ascii="Century" w:hAnsi="Century" w:cs="FrankRuehl" w:hint="eastAsia"/>
          <w:spacing w:val="10"/>
          <w:szCs w:val="28"/>
          <w:rtl/>
        </w:rPr>
        <w:t>התיקון</w:t>
      </w:r>
      <w:r w:rsidRPr="004F4D8E">
        <w:rPr>
          <w:rFonts w:ascii="Century" w:hAnsi="Century" w:cs="FrankRuehl"/>
          <w:spacing w:val="10"/>
          <w:szCs w:val="28"/>
          <w:rtl/>
        </w:rPr>
        <w:t xml:space="preserve"> </w:t>
      </w:r>
      <w:r w:rsidRPr="004F4D8E">
        <w:rPr>
          <w:rFonts w:ascii="Century" w:hAnsi="Century" w:cs="FrankRuehl" w:hint="eastAsia"/>
          <w:spacing w:val="10"/>
          <w:szCs w:val="28"/>
          <w:rtl/>
        </w:rPr>
        <w:t>החזיר</w:t>
      </w:r>
      <w:r w:rsidRPr="004F4D8E">
        <w:rPr>
          <w:rFonts w:ascii="Century" w:hAnsi="Century" w:cs="FrankRuehl"/>
          <w:spacing w:val="10"/>
          <w:szCs w:val="28"/>
          <w:rtl/>
        </w:rPr>
        <w:t xml:space="preserve"> </w:t>
      </w:r>
      <w:r w:rsidRPr="004F4D8E">
        <w:rPr>
          <w:rFonts w:ascii="Century" w:hAnsi="Century" w:cs="FrankRuehl" w:hint="eastAsia"/>
          <w:spacing w:val="10"/>
          <w:szCs w:val="28"/>
          <w:rtl/>
        </w:rPr>
        <w:t>את</w:t>
      </w:r>
      <w:r w:rsidRPr="004F4D8E">
        <w:rPr>
          <w:rFonts w:ascii="Century" w:hAnsi="Century" w:cs="FrankRuehl"/>
          <w:spacing w:val="10"/>
          <w:szCs w:val="28"/>
          <w:rtl/>
        </w:rPr>
        <w:t xml:space="preserve"> </w:t>
      </w:r>
      <w:r>
        <w:rPr>
          <w:rFonts w:ascii="Century" w:hAnsi="Century" w:cs="FrankRuehl" w:hint="cs"/>
          <w:spacing w:val="10"/>
          <w:szCs w:val="28"/>
          <w:rtl/>
        </w:rPr>
        <w:t>עילת הסבירות</w:t>
      </w:r>
      <w:r w:rsidRPr="004F4D8E">
        <w:rPr>
          <w:rFonts w:ascii="Century" w:hAnsi="Century" w:cs="FrankRuehl"/>
          <w:spacing w:val="10"/>
          <w:szCs w:val="28"/>
          <w:rtl/>
        </w:rPr>
        <w:t xml:space="preserve"> </w:t>
      </w:r>
      <w:r w:rsidRPr="004F4D8E">
        <w:rPr>
          <w:rFonts w:ascii="Century" w:hAnsi="Century" w:cs="FrankRuehl" w:hint="eastAsia"/>
          <w:spacing w:val="10"/>
          <w:szCs w:val="28"/>
          <w:rtl/>
        </w:rPr>
        <w:t>למצב</w:t>
      </w:r>
      <w:r w:rsidRPr="004F4D8E">
        <w:rPr>
          <w:rFonts w:ascii="Century" w:hAnsi="Century" w:cs="FrankRuehl"/>
          <w:spacing w:val="10"/>
          <w:szCs w:val="28"/>
          <w:rtl/>
        </w:rPr>
        <w:t xml:space="preserve"> </w:t>
      </w:r>
      <w:r w:rsidRPr="004F4D8E">
        <w:rPr>
          <w:rFonts w:ascii="Century" w:hAnsi="Century" w:cs="FrankRuehl" w:hint="eastAsia"/>
          <w:spacing w:val="10"/>
          <w:szCs w:val="28"/>
          <w:rtl/>
        </w:rPr>
        <w:t>שהיה</w:t>
      </w:r>
      <w:r w:rsidRPr="004F4D8E">
        <w:rPr>
          <w:rFonts w:ascii="Century" w:hAnsi="Century" w:cs="FrankRuehl"/>
          <w:spacing w:val="10"/>
          <w:szCs w:val="28"/>
          <w:rtl/>
        </w:rPr>
        <w:t xml:space="preserve"> </w:t>
      </w:r>
      <w:r w:rsidRPr="004F4D8E">
        <w:rPr>
          <w:rFonts w:ascii="Century" w:hAnsi="Century" w:cs="FrankRuehl" w:hint="eastAsia"/>
          <w:spacing w:val="10"/>
          <w:szCs w:val="28"/>
          <w:rtl/>
        </w:rPr>
        <w:t>קיים</w:t>
      </w:r>
      <w:r w:rsidRPr="004F4D8E">
        <w:rPr>
          <w:rFonts w:ascii="Century" w:hAnsi="Century" w:cs="FrankRuehl"/>
          <w:spacing w:val="10"/>
          <w:szCs w:val="28"/>
          <w:rtl/>
        </w:rPr>
        <w:t xml:space="preserve"> </w:t>
      </w:r>
      <w:r w:rsidRPr="004F4D8E">
        <w:rPr>
          <w:rFonts w:ascii="Century" w:hAnsi="Century" w:cs="FrankRuehl" w:hint="eastAsia"/>
          <w:spacing w:val="10"/>
          <w:szCs w:val="28"/>
          <w:rtl/>
        </w:rPr>
        <w:t>לפני</w:t>
      </w:r>
      <w:r>
        <w:rPr>
          <w:rFonts w:ascii="Century" w:hAnsi="Century" w:cs="FrankRuehl" w:hint="cs"/>
          <w:spacing w:val="10"/>
          <w:szCs w:val="28"/>
          <w:rtl/>
        </w:rPr>
        <w:t xml:space="preserve"> עניין</w:t>
      </w:r>
      <w:r w:rsidRPr="004F4D8E">
        <w:rPr>
          <w:rFonts w:ascii="Century" w:hAnsi="Century" w:cs="FrankRuehl"/>
          <w:spacing w:val="10"/>
          <w:szCs w:val="28"/>
          <w:rtl/>
        </w:rPr>
        <w:t xml:space="preserve"> </w:t>
      </w:r>
      <w:r w:rsidRPr="004F4D8E">
        <w:rPr>
          <w:rFonts w:ascii="Century" w:hAnsi="Century" w:cs="Miriam" w:hint="eastAsia"/>
          <w:b/>
          <w:rtl/>
        </w:rPr>
        <w:t>דפי</w:t>
      </w:r>
      <w:r w:rsidRPr="004F4D8E">
        <w:rPr>
          <w:rFonts w:ascii="Century" w:hAnsi="Century" w:cs="Miriam"/>
          <w:b/>
          <w:rtl/>
        </w:rPr>
        <w:t xml:space="preserve"> </w:t>
      </w:r>
      <w:r w:rsidRPr="004F4D8E">
        <w:rPr>
          <w:rFonts w:ascii="Century" w:hAnsi="Century" w:cs="Miriam" w:hint="eastAsia"/>
          <w:b/>
          <w:rtl/>
        </w:rPr>
        <w:t>זהב</w:t>
      </w:r>
      <w:r w:rsidRPr="004F4D8E">
        <w:rPr>
          <w:rFonts w:ascii="Century" w:hAnsi="Century" w:cs="FrankRuehl"/>
          <w:spacing w:val="10"/>
          <w:szCs w:val="28"/>
          <w:rtl/>
        </w:rPr>
        <w:t>, שכן כאמור</w:t>
      </w:r>
      <w:r>
        <w:rPr>
          <w:rFonts w:ascii="Century" w:hAnsi="Century" w:cs="FrankRuehl" w:hint="cs"/>
          <w:spacing w:val="10"/>
          <w:szCs w:val="28"/>
          <w:rtl/>
        </w:rPr>
        <w:t>,</w:t>
      </w:r>
      <w:r w:rsidRPr="004F4D8E">
        <w:rPr>
          <w:rFonts w:ascii="Century" w:hAnsi="Century" w:cs="FrankRuehl"/>
          <w:spacing w:val="10"/>
          <w:szCs w:val="28"/>
          <w:rtl/>
        </w:rPr>
        <w:t xml:space="preserve"> גם לפני </w:t>
      </w:r>
      <w:r>
        <w:rPr>
          <w:rFonts w:ascii="Century" w:hAnsi="Century" w:cs="FrankRuehl" w:hint="cs"/>
          <w:spacing w:val="10"/>
          <w:szCs w:val="28"/>
          <w:rtl/>
        </w:rPr>
        <w:t xml:space="preserve">כן </w:t>
      </w:r>
      <w:r w:rsidRPr="004F4D8E">
        <w:rPr>
          <w:rFonts w:ascii="Century" w:hAnsi="Century" w:cs="FrankRuehl"/>
          <w:spacing w:val="10"/>
          <w:szCs w:val="28"/>
          <w:rtl/>
        </w:rPr>
        <w:t xml:space="preserve">(כמו גם לאחר מכן), הפסיקה </w:t>
      </w:r>
      <w:r>
        <w:rPr>
          <w:rFonts w:ascii="Century" w:hAnsi="Century" w:cs="FrankRuehl" w:hint="cs"/>
          <w:spacing w:val="10"/>
          <w:szCs w:val="28"/>
          <w:rtl/>
        </w:rPr>
        <w:t xml:space="preserve">ביחס לעילה זו </w:t>
      </w:r>
      <w:r w:rsidRPr="004F4D8E">
        <w:rPr>
          <w:rFonts w:ascii="Century" w:hAnsi="Century" w:cs="FrankRuehl"/>
          <w:spacing w:val="10"/>
          <w:szCs w:val="28"/>
          <w:rtl/>
        </w:rPr>
        <w:t xml:space="preserve">היא מגוונת, מורכבת ומתפתחת, ואינה עשויה </w:t>
      </w:r>
      <w:r>
        <w:rPr>
          <w:rFonts w:ascii="Century" w:hAnsi="Century" w:cs="FrankRuehl" w:hint="cs"/>
          <w:spacing w:val="10"/>
          <w:szCs w:val="28"/>
          <w:rtl/>
        </w:rPr>
        <w:t>מקשה</w:t>
      </w:r>
      <w:r w:rsidRPr="004F4D8E">
        <w:rPr>
          <w:rFonts w:ascii="Century" w:hAnsi="Century" w:cs="FrankRuehl"/>
          <w:spacing w:val="10"/>
          <w:szCs w:val="28"/>
          <w:rtl/>
        </w:rPr>
        <w:t xml:space="preserve"> אח</w:t>
      </w:r>
      <w:r>
        <w:rPr>
          <w:rFonts w:ascii="Century" w:hAnsi="Century" w:cs="FrankRuehl" w:hint="cs"/>
          <w:spacing w:val="10"/>
          <w:szCs w:val="28"/>
          <w:rtl/>
        </w:rPr>
        <w:t>ת</w:t>
      </w:r>
      <w:r w:rsidRPr="004F4D8E">
        <w:rPr>
          <w:rFonts w:ascii="Century" w:hAnsi="Century" w:cs="FrankRuehl"/>
          <w:spacing w:val="10"/>
          <w:szCs w:val="28"/>
          <w:rtl/>
        </w:rPr>
        <w:t xml:space="preserve">. </w:t>
      </w:r>
    </w:p>
    <w:p w:rsidR="00A01E7C" w:rsidRDefault="00A01E7C" w:rsidP="00A01E7C">
      <w:pPr>
        <w:spacing w:line="360" w:lineRule="auto"/>
        <w:jc w:val="both"/>
        <w:rPr>
          <w:rFonts w:ascii="Century" w:hAnsi="Century" w:cs="FrankRuehl"/>
          <w:spacing w:val="10"/>
          <w:szCs w:val="28"/>
          <w:rtl/>
        </w:rPr>
      </w:pPr>
    </w:p>
    <w:p w:rsidR="00A01E7C" w:rsidRPr="007D0134" w:rsidRDefault="00A01E7C" w:rsidP="002A1A3A">
      <w:pPr>
        <w:pStyle w:val="Ruller4"/>
        <w:numPr>
          <w:ilvl w:val="0"/>
          <w:numId w:val="14"/>
        </w:numPr>
        <w:rPr>
          <w:rFonts w:ascii="Century" w:hAnsi="Century"/>
          <w:rtl/>
        </w:rPr>
      </w:pPr>
      <w:r w:rsidRPr="007D0134">
        <w:rPr>
          <w:rFonts w:ascii="Century" w:hAnsi="Century" w:cs="Miriam" w:hint="cs"/>
          <w:b/>
          <w:szCs w:val="24"/>
          <w:rtl/>
        </w:rPr>
        <w:t xml:space="preserve">רביעית </w:t>
      </w:r>
      <w:r w:rsidRPr="007D0134">
        <w:rPr>
          <w:rFonts w:ascii="Century" w:hAnsi="Century"/>
          <w:rtl/>
        </w:rPr>
        <w:t>–</w:t>
      </w:r>
      <w:r w:rsidRPr="007D0134">
        <w:rPr>
          <w:rFonts w:ascii="Century" w:hAnsi="Century" w:hint="cs"/>
          <w:rtl/>
        </w:rPr>
        <w:t xml:space="preserve"> אני סבורה כי הפרשנות המצמצמת מותירה את התיקון חסר משמעות בשני מובנים: </w:t>
      </w:r>
      <w:r w:rsidRPr="007D0134">
        <w:rPr>
          <w:rFonts w:ascii="Century" w:hAnsi="Century" w:cs="Miriam" w:hint="eastAsia"/>
          <w:b/>
          <w:szCs w:val="24"/>
          <w:rtl/>
        </w:rPr>
        <w:t>המובן</w:t>
      </w:r>
      <w:r w:rsidRPr="007D0134">
        <w:rPr>
          <w:rFonts w:ascii="Century" w:hAnsi="Century" w:cs="Miriam"/>
          <w:b/>
          <w:szCs w:val="24"/>
          <w:rtl/>
        </w:rPr>
        <w:t xml:space="preserve"> </w:t>
      </w:r>
      <w:r w:rsidRPr="007D0134">
        <w:rPr>
          <w:rFonts w:ascii="Century" w:hAnsi="Century" w:cs="Miriam" w:hint="eastAsia"/>
          <w:b/>
          <w:szCs w:val="24"/>
          <w:rtl/>
        </w:rPr>
        <w:t>הראשון</w:t>
      </w:r>
      <w:r w:rsidRPr="007D0134">
        <w:rPr>
          <w:rFonts w:ascii="Century" w:hAnsi="Century"/>
          <w:rtl/>
        </w:rPr>
        <w:t xml:space="preserve"> </w:t>
      </w:r>
      <w:r w:rsidRPr="007D0134">
        <w:rPr>
          <w:rFonts w:ascii="Century" w:hAnsi="Century" w:hint="cs"/>
          <w:rtl/>
        </w:rPr>
        <w:t xml:space="preserve">הוא שהפרשנות המצמצמת מבקשת לבטל את הנוסחה האיזונית מבלי להבהיר כיצד יבחנו בתי המשפט בפועל האם החלטה פלונית היא בלתי סבירה (במובנה "המסורתי" של החלטה "מופרכת" או "בלתי מתקבלת על הדעת"). ברי לכל כי מבחן לפיו השופט קורא את ההחלטה ובהתבסס על "תחושת בטן" מגיע למסקנה כי מדובר בהחלטה מופרכת איננו מבחן ראוי. כיצד מצופה אם כן השופט הבוחן את ההחלטה לברר אם מדובר בהחלטה "מופרכת" או כזו "שאינה מתקבלת על הדעת"? לצורך כך, מטבע הדברים, עליו לבחון את הרקע, הנסיבות והשיקולים שהובילו לקבלתה, ולהכריע האם ההחלטה שהתקבלה מביאה את מכלול הנתונים הללו בחשבון באופן ראוי. כאמור, כך נהגו בפועל למצער חלק מהשופטים גם לפני שהלכת </w:t>
      </w:r>
      <w:r w:rsidRPr="007D0134">
        <w:rPr>
          <w:rFonts w:ascii="Century" w:hAnsi="Century" w:cs="Miriam" w:hint="cs"/>
          <w:b/>
          <w:szCs w:val="24"/>
          <w:rtl/>
        </w:rPr>
        <w:t>דפי זהב</w:t>
      </w:r>
      <w:r w:rsidRPr="007D0134">
        <w:rPr>
          <w:rFonts w:ascii="Century" w:hAnsi="Century" w:hint="cs"/>
          <w:rtl/>
        </w:rPr>
        <w:t xml:space="preserve"> באה לעולם. כפי שציינתי לעיל, אני סבורה כי השופט </w:t>
      </w:r>
      <w:r w:rsidRPr="007D0134">
        <w:rPr>
          <w:rFonts w:ascii="Century" w:hAnsi="Century" w:cs="Miriam" w:hint="cs"/>
          <w:b/>
          <w:szCs w:val="24"/>
          <w:rtl/>
        </w:rPr>
        <w:t>ברק</w:t>
      </w:r>
      <w:r w:rsidRPr="007D0134">
        <w:rPr>
          <w:rFonts w:ascii="Century" w:hAnsi="Century" w:hint="cs"/>
          <w:rtl/>
        </w:rPr>
        <w:t xml:space="preserve"> בפסק דינו בעניין </w:t>
      </w:r>
      <w:r w:rsidRPr="007D0134">
        <w:rPr>
          <w:rFonts w:ascii="Century" w:hAnsi="Century" w:cs="Miriam" w:hint="cs"/>
          <w:b/>
          <w:szCs w:val="24"/>
          <w:rtl/>
        </w:rPr>
        <w:t>דפי זהב</w:t>
      </w:r>
      <w:r w:rsidRPr="007D0134">
        <w:rPr>
          <w:rFonts w:ascii="Century" w:hAnsi="Century" w:hint="cs"/>
          <w:rtl/>
        </w:rPr>
        <w:t xml:space="preserve"> (וקודם לכן השופט </w:t>
      </w:r>
      <w:r w:rsidRPr="007D0134">
        <w:rPr>
          <w:rFonts w:ascii="Century" w:hAnsi="Century" w:cs="Miriam" w:hint="eastAsia"/>
          <w:b/>
          <w:szCs w:val="24"/>
          <w:rtl/>
        </w:rPr>
        <w:t>שמגר</w:t>
      </w:r>
      <w:r w:rsidRPr="007D0134">
        <w:rPr>
          <w:rFonts w:ascii="Century" w:hAnsi="Century"/>
          <w:rtl/>
        </w:rPr>
        <w:t xml:space="preserve"> </w:t>
      </w:r>
      <w:r w:rsidRPr="007D0134">
        <w:rPr>
          <w:rFonts w:ascii="Century" w:hAnsi="Century" w:hint="cs"/>
          <w:rtl/>
        </w:rPr>
        <w:t xml:space="preserve">בעניין </w:t>
      </w:r>
      <w:r w:rsidRPr="007D0134">
        <w:rPr>
          <w:rFonts w:ascii="Century" w:hAnsi="Century" w:cs="Miriam" w:hint="eastAsia"/>
          <w:b/>
          <w:szCs w:val="24"/>
          <w:rtl/>
        </w:rPr>
        <w:t>דקה</w:t>
      </w:r>
      <w:r w:rsidRPr="007D0134">
        <w:rPr>
          <w:rFonts w:ascii="Century" w:hAnsi="Century" w:hint="cs"/>
          <w:rtl/>
        </w:rPr>
        <w:t xml:space="preserve">) המשיג במילים את האופן בו נבחנה אי-סבירותן של החלטות גם בשנים שקדמו לפסק הדין. בבחינה זו נדרשו בתי המשפט לנסיבות ולנימוקים אותם היה על הרשות לשקול לצורך קבלת החלטה, והם בחנו האם ההחלטה שהתקבלה אכן משקפת באופן ראוי את מכלול הנסיבות והשיקולים הללו. ביטולו של כלי זה </w:t>
      </w:r>
      <w:r w:rsidRPr="007D0134">
        <w:rPr>
          <w:rFonts w:ascii="Century" w:hAnsi="Century"/>
          <w:rtl/>
        </w:rPr>
        <w:t>–</w:t>
      </w:r>
      <w:r w:rsidRPr="007D0134">
        <w:rPr>
          <w:rFonts w:ascii="Century" w:hAnsi="Century" w:hint="cs"/>
          <w:rtl/>
        </w:rPr>
        <w:t xml:space="preserve"> כפי שמבקשים לעשות חבריי הנוקטים בפרשנות המצמצמת </w:t>
      </w:r>
      <w:r w:rsidRPr="007D0134">
        <w:rPr>
          <w:rFonts w:ascii="Century" w:hAnsi="Century"/>
          <w:rtl/>
        </w:rPr>
        <w:t>–</w:t>
      </w:r>
      <w:r w:rsidRPr="007D0134">
        <w:rPr>
          <w:rFonts w:ascii="Century" w:hAnsi="Century" w:hint="cs"/>
          <w:rtl/>
        </w:rPr>
        <w:t xml:space="preserve"> מותיר את בית המשפט ללא כלים לבחינת סבירותה של החלטה גם אם חוזרים כביכול למובנה "המסורתי" של עילה זו כעילה של "מופרכות". נראה כי השופטת </w:t>
      </w:r>
      <w:r w:rsidRPr="007D0134">
        <w:rPr>
          <w:rFonts w:ascii="Century" w:hAnsi="Century" w:cs="Miriam" w:hint="cs"/>
          <w:b/>
          <w:szCs w:val="24"/>
          <w:rtl/>
        </w:rPr>
        <w:t>כנפי-שטייניץ</w:t>
      </w:r>
      <w:r w:rsidRPr="007D0134">
        <w:rPr>
          <w:rFonts w:ascii="Century" w:hAnsi="Century" w:hint="cs"/>
          <w:rtl/>
        </w:rPr>
        <w:t xml:space="preserve"> ערה לעניין זה, והיא מציינת בחוות דעתה כי </w:t>
      </w:r>
      <w:r w:rsidRPr="007D0134">
        <w:rPr>
          <w:rFonts w:ascii="Century" w:hAnsi="Century" w:cs="Miriam"/>
          <w:b/>
          <w:szCs w:val="24"/>
          <w:rtl/>
        </w:rPr>
        <w:t>"...</w:t>
      </w:r>
      <w:r w:rsidRPr="007D0134">
        <w:rPr>
          <w:rFonts w:ascii="Century" w:hAnsi="Century" w:cs="Miriam" w:hint="eastAsia"/>
          <w:b/>
          <w:szCs w:val="24"/>
          <w:rtl/>
        </w:rPr>
        <w:t>גם</w:t>
      </w:r>
      <w:r w:rsidRPr="007D0134">
        <w:rPr>
          <w:rFonts w:ascii="Century" w:hAnsi="Century" w:cs="Miriam"/>
          <w:b/>
          <w:szCs w:val="24"/>
          <w:rtl/>
        </w:rPr>
        <w:t xml:space="preserve"> </w:t>
      </w:r>
      <w:r w:rsidRPr="007D0134">
        <w:rPr>
          <w:rFonts w:ascii="Century" w:hAnsi="Century" w:cs="Miriam" w:hint="eastAsia"/>
          <w:b/>
          <w:szCs w:val="24"/>
          <w:rtl/>
        </w:rPr>
        <w:t>הסטנדרט</w:t>
      </w:r>
      <w:r w:rsidRPr="007D0134">
        <w:rPr>
          <w:rFonts w:ascii="Century" w:hAnsi="Century" w:cs="Miriam"/>
          <w:b/>
          <w:szCs w:val="24"/>
          <w:rtl/>
        </w:rPr>
        <w:t xml:space="preserve"> </w:t>
      </w:r>
      <w:r w:rsidRPr="007D0134">
        <w:rPr>
          <w:rFonts w:ascii="Century" w:hAnsi="Century" w:cs="Miriam" w:hint="eastAsia"/>
          <w:b/>
          <w:szCs w:val="24"/>
          <w:rtl/>
        </w:rPr>
        <w:t>הצר</w:t>
      </w:r>
      <w:r w:rsidRPr="007D0134">
        <w:rPr>
          <w:rFonts w:ascii="Century" w:hAnsi="Century" w:cs="Miriam"/>
          <w:b/>
          <w:szCs w:val="24"/>
          <w:rtl/>
        </w:rPr>
        <w:t xml:space="preserve"> </w:t>
      </w:r>
      <w:r w:rsidRPr="007D0134">
        <w:rPr>
          <w:rFonts w:ascii="Century" w:hAnsi="Century" w:cs="Miriam" w:hint="eastAsia"/>
          <w:b/>
          <w:szCs w:val="24"/>
          <w:rtl/>
        </w:rPr>
        <w:t>של</w:t>
      </w:r>
      <w:r w:rsidRPr="007D0134">
        <w:rPr>
          <w:rFonts w:ascii="Century" w:hAnsi="Century" w:cs="Miriam"/>
          <w:b/>
          <w:szCs w:val="24"/>
          <w:rtl/>
        </w:rPr>
        <w:t xml:space="preserve"> '</w:t>
      </w:r>
      <w:r w:rsidRPr="007D0134">
        <w:rPr>
          <w:rFonts w:ascii="Century" w:hAnsi="Century" w:cs="Miriam" w:hint="eastAsia"/>
          <w:b/>
          <w:szCs w:val="24"/>
          <w:rtl/>
        </w:rPr>
        <w:t>מופרכות</w:t>
      </w:r>
      <w:r w:rsidRPr="007D0134">
        <w:rPr>
          <w:rFonts w:ascii="Century" w:hAnsi="Century" w:cs="Miriam"/>
          <w:b/>
          <w:szCs w:val="24"/>
          <w:rtl/>
        </w:rPr>
        <w:t xml:space="preserve">' </w:t>
      </w:r>
      <w:r w:rsidRPr="007D0134">
        <w:rPr>
          <w:rFonts w:ascii="Century" w:hAnsi="Century" w:cs="Miriam" w:hint="eastAsia"/>
          <w:b/>
          <w:szCs w:val="24"/>
          <w:rtl/>
        </w:rPr>
        <w:t>ההחלטה</w:t>
      </w:r>
      <w:r w:rsidRPr="007D0134">
        <w:rPr>
          <w:rFonts w:ascii="Century" w:hAnsi="Century" w:cs="Miriam"/>
          <w:b/>
          <w:szCs w:val="24"/>
          <w:rtl/>
        </w:rPr>
        <w:t xml:space="preserve">, </w:t>
      </w:r>
      <w:r w:rsidRPr="007D0134">
        <w:rPr>
          <w:rFonts w:ascii="Century" w:hAnsi="Century" w:cs="Miriam" w:hint="eastAsia"/>
          <w:b/>
          <w:szCs w:val="24"/>
          <w:rtl/>
        </w:rPr>
        <w:t>מנוסח</w:t>
      </w:r>
      <w:r w:rsidRPr="007D0134">
        <w:rPr>
          <w:rFonts w:ascii="Century" w:hAnsi="Century" w:cs="Miriam"/>
          <w:b/>
          <w:szCs w:val="24"/>
          <w:rtl/>
        </w:rPr>
        <w:t xml:space="preserve"> </w:t>
      </w:r>
      <w:r w:rsidRPr="007D0134">
        <w:rPr>
          <w:rFonts w:ascii="Century" w:hAnsi="Century" w:cs="Miriam" w:hint="eastAsia"/>
          <w:b/>
          <w:szCs w:val="24"/>
          <w:rtl/>
        </w:rPr>
        <w:t>בעיקרו</w:t>
      </w:r>
      <w:r w:rsidRPr="007D0134">
        <w:rPr>
          <w:rFonts w:ascii="Century" w:hAnsi="Century" w:cs="Miriam"/>
          <w:b/>
          <w:szCs w:val="24"/>
          <w:rtl/>
        </w:rPr>
        <w:t xml:space="preserve"> </w:t>
      </w:r>
      <w:r w:rsidRPr="007D0134">
        <w:rPr>
          <w:rFonts w:ascii="Century" w:hAnsi="Century" w:cs="Miriam" w:hint="eastAsia"/>
          <w:b/>
          <w:szCs w:val="24"/>
          <w:rtl/>
        </w:rPr>
        <w:t>של</w:t>
      </w:r>
      <w:r w:rsidRPr="007D0134">
        <w:rPr>
          <w:rFonts w:ascii="Century" w:hAnsi="Century" w:cs="Miriam"/>
          <w:b/>
          <w:szCs w:val="24"/>
          <w:rtl/>
        </w:rPr>
        <w:t xml:space="preserve"> </w:t>
      </w:r>
      <w:r w:rsidRPr="007D0134">
        <w:rPr>
          <w:rFonts w:ascii="Century" w:hAnsi="Century" w:cs="Miriam" w:hint="eastAsia"/>
          <w:b/>
          <w:szCs w:val="24"/>
          <w:rtl/>
        </w:rPr>
        <w:t>דבר</w:t>
      </w:r>
      <w:r w:rsidRPr="007D0134">
        <w:rPr>
          <w:rFonts w:ascii="Century" w:hAnsi="Century" w:cs="Miriam"/>
          <w:b/>
          <w:szCs w:val="24"/>
          <w:rtl/>
        </w:rPr>
        <w:t xml:space="preserve"> </w:t>
      </w:r>
      <w:r w:rsidRPr="007D0134">
        <w:rPr>
          <w:rFonts w:ascii="Century" w:hAnsi="Century" w:cs="Miriam" w:hint="eastAsia"/>
          <w:b/>
          <w:szCs w:val="24"/>
          <w:rtl/>
        </w:rPr>
        <w:t>בצורה</w:t>
      </w:r>
      <w:r w:rsidRPr="007D0134">
        <w:rPr>
          <w:rFonts w:ascii="Century" w:hAnsi="Century" w:cs="Miriam"/>
          <w:b/>
          <w:szCs w:val="24"/>
          <w:rtl/>
        </w:rPr>
        <w:t xml:space="preserve"> </w:t>
      </w:r>
      <w:r w:rsidRPr="007D0134">
        <w:rPr>
          <w:rFonts w:ascii="Century" w:hAnsi="Century" w:cs="Miriam" w:hint="eastAsia"/>
          <w:b/>
          <w:szCs w:val="24"/>
          <w:rtl/>
        </w:rPr>
        <w:t>של</w:t>
      </w:r>
      <w:r w:rsidRPr="007D0134">
        <w:rPr>
          <w:rFonts w:ascii="Century" w:hAnsi="Century" w:cs="Miriam"/>
          <w:b/>
          <w:szCs w:val="24"/>
          <w:rtl/>
        </w:rPr>
        <w:t xml:space="preserve"> </w:t>
      </w:r>
      <w:r w:rsidRPr="007D0134">
        <w:rPr>
          <w:rFonts w:ascii="Century" w:hAnsi="Century" w:cs="Miriam" w:hint="eastAsia"/>
          <w:b/>
          <w:szCs w:val="24"/>
          <w:rtl/>
        </w:rPr>
        <w:t>רקמה</w:t>
      </w:r>
      <w:r w:rsidRPr="007D0134">
        <w:rPr>
          <w:rFonts w:ascii="Century" w:hAnsi="Century" w:cs="Miriam"/>
          <w:b/>
          <w:szCs w:val="24"/>
          <w:rtl/>
        </w:rPr>
        <w:t xml:space="preserve"> </w:t>
      </w:r>
      <w:r w:rsidRPr="007D0134">
        <w:rPr>
          <w:rFonts w:ascii="Century" w:hAnsi="Century" w:cs="Miriam" w:hint="eastAsia"/>
          <w:b/>
          <w:szCs w:val="24"/>
          <w:rtl/>
        </w:rPr>
        <w:t>פתוחה</w:t>
      </w:r>
      <w:r w:rsidRPr="007D0134">
        <w:rPr>
          <w:rFonts w:ascii="Century" w:hAnsi="Century" w:cs="Miriam"/>
          <w:b/>
          <w:szCs w:val="24"/>
          <w:rtl/>
        </w:rPr>
        <w:t xml:space="preserve">, </w:t>
      </w:r>
      <w:r w:rsidRPr="007D0134">
        <w:rPr>
          <w:rFonts w:ascii="Century" w:hAnsi="Century" w:cs="Miriam" w:hint="eastAsia"/>
          <w:b/>
          <w:szCs w:val="24"/>
          <w:rtl/>
        </w:rPr>
        <w:t>המעניקה</w:t>
      </w:r>
      <w:r w:rsidRPr="007D0134">
        <w:rPr>
          <w:rFonts w:ascii="Century" w:hAnsi="Century" w:cs="Miriam"/>
          <w:b/>
          <w:szCs w:val="24"/>
          <w:rtl/>
        </w:rPr>
        <w:t xml:space="preserve"> </w:t>
      </w:r>
      <w:r w:rsidRPr="007D0134">
        <w:rPr>
          <w:rFonts w:ascii="Century" w:hAnsi="Century" w:cs="Miriam" w:hint="eastAsia"/>
          <w:b/>
          <w:szCs w:val="24"/>
          <w:rtl/>
        </w:rPr>
        <w:t>לבית</w:t>
      </w:r>
      <w:r w:rsidRPr="007D0134">
        <w:rPr>
          <w:rFonts w:ascii="Century" w:hAnsi="Century" w:cs="Miriam"/>
          <w:b/>
          <w:szCs w:val="24"/>
          <w:rtl/>
        </w:rPr>
        <w:t xml:space="preserve"> </w:t>
      </w:r>
      <w:r w:rsidRPr="007D0134">
        <w:rPr>
          <w:rFonts w:ascii="Century" w:hAnsi="Century" w:cs="Miriam" w:hint="eastAsia"/>
          <w:b/>
          <w:szCs w:val="24"/>
          <w:rtl/>
        </w:rPr>
        <w:t>המשפט</w:t>
      </w:r>
      <w:r w:rsidRPr="007D0134">
        <w:rPr>
          <w:rFonts w:ascii="Century" w:hAnsi="Century" w:cs="Miriam"/>
          <w:b/>
          <w:szCs w:val="24"/>
          <w:rtl/>
        </w:rPr>
        <w:t xml:space="preserve"> </w:t>
      </w:r>
      <w:r w:rsidRPr="007D0134">
        <w:rPr>
          <w:rFonts w:ascii="Century" w:hAnsi="Century" w:cs="Miriam" w:hint="eastAsia"/>
          <w:b/>
          <w:szCs w:val="24"/>
          <w:rtl/>
        </w:rPr>
        <w:t>שיקול</w:t>
      </w:r>
      <w:r w:rsidRPr="007D0134">
        <w:rPr>
          <w:rFonts w:ascii="Century" w:hAnsi="Century" w:cs="Miriam"/>
          <w:b/>
          <w:szCs w:val="24"/>
          <w:rtl/>
        </w:rPr>
        <w:t xml:space="preserve"> </w:t>
      </w:r>
      <w:r w:rsidRPr="007D0134">
        <w:rPr>
          <w:rFonts w:ascii="Century" w:hAnsi="Century" w:cs="Miriam" w:hint="eastAsia"/>
          <w:b/>
          <w:szCs w:val="24"/>
          <w:rtl/>
        </w:rPr>
        <w:t>דעת</w:t>
      </w:r>
      <w:r w:rsidRPr="007D0134">
        <w:rPr>
          <w:rFonts w:ascii="Century" w:hAnsi="Century" w:cs="Miriam"/>
          <w:b/>
          <w:szCs w:val="24"/>
          <w:rtl/>
        </w:rPr>
        <w:t xml:space="preserve"> </w:t>
      </w:r>
      <w:r w:rsidRPr="007D0134">
        <w:rPr>
          <w:rFonts w:ascii="Century" w:hAnsi="Century" w:cs="Miriam" w:hint="eastAsia"/>
          <w:b/>
          <w:szCs w:val="24"/>
          <w:rtl/>
        </w:rPr>
        <w:t>רחב</w:t>
      </w:r>
      <w:r w:rsidRPr="007D0134">
        <w:rPr>
          <w:rFonts w:ascii="Century" w:hAnsi="Century" w:hint="cs"/>
          <w:rtl/>
        </w:rPr>
        <w:t>" (ראו פסקה 53 לחוות דעתה). עם זאת, היא איננה מבהירה באיזה אופן על בית המשפט להפעיל שיקול דעת זה, מהם הכלים העומדים לרשותו, וכיצד עליו לקבוע כי החלטה מסוימת נכנסת לתוך אותו סטנדרט "צר" כלשונה של "מופרכות".</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ind w:firstLine="720"/>
        <w:jc w:val="both"/>
        <w:rPr>
          <w:rFonts w:ascii="Century" w:hAnsi="Century" w:cs="FrankRuehl"/>
          <w:spacing w:val="10"/>
          <w:szCs w:val="28"/>
          <w:highlight w:val="cyan"/>
          <w:rtl/>
        </w:rPr>
      </w:pPr>
      <w:r>
        <w:rPr>
          <w:rFonts w:ascii="Century" w:hAnsi="Century" w:cs="FrankRuehl" w:hint="cs"/>
          <w:spacing w:val="10"/>
          <w:szCs w:val="28"/>
          <w:rtl/>
        </w:rPr>
        <w:t xml:space="preserve">במאמר מוסגר, יצוין כי ניתן לקרוא את הפרשנות המצמצמת המבקשת להשיב את המצב המשפטי לזה שהיה לפני פסק הדין בעניין </w:t>
      </w:r>
      <w:r w:rsidRPr="00D90A8F">
        <w:rPr>
          <w:rFonts w:ascii="Century" w:hAnsi="Century" w:cs="Miriam" w:hint="eastAsia"/>
          <w:b/>
          <w:rtl/>
        </w:rPr>
        <w:t>דפי</w:t>
      </w:r>
      <w:r w:rsidRPr="00D90A8F">
        <w:rPr>
          <w:rFonts w:ascii="Century" w:hAnsi="Century" w:cs="Miriam"/>
          <w:b/>
          <w:rtl/>
        </w:rPr>
        <w:t xml:space="preserve"> </w:t>
      </w:r>
      <w:r w:rsidRPr="00D90A8F">
        <w:rPr>
          <w:rFonts w:ascii="Century" w:hAnsi="Century" w:cs="Miriam" w:hint="eastAsia"/>
          <w:b/>
          <w:rtl/>
        </w:rPr>
        <w:t>זהב</w:t>
      </w:r>
      <w:r w:rsidRPr="00C00E19">
        <w:rPr>
          <w:rFonts w:ascii="Century" w:hAnsi="Century" w:cs="FrankRuehl"/>
          <w:spacing w:val="10"/>
          <w:szCs w:val="28"/>
          <w:rtl/>
        </w:rPr>
        <w:t xml:space="preserve"> </w:t>
      </w:r>
      <w:r>
        <w:rPr>
          <w:rFonts w:ascii="Century" w:hAnsi="Century" w:cs="FrankRuehl" w:hint="cs"/>
          <w:spacing w:val="10"/>
          <w:szCs w:val="28"/>
          <w:rtl/>
        </w:rPr>
        <w:t xml:space="preserve">באופן שונה (אף שאינו עולה באופן מפורש בחוות דעותיהם של חבריי, ובאחדות מהן אף נשלל במפורש </w:t>
      </w:r>
      <w:r>
        <w:rPr>
          <w:rFonts w:ascii="Century" w:hAnsi="Century" w:cs="FrankRuehl"/>
          <w:spacing w:val="10"/>
          <w:szCs w:val="28"/>
          <w:rtl/>
        </w:rPr>
        <w:t>–</w:t>
      </w:r>
      <w:r>
        <w:rPr>
          <w:rFonts w:ascii="Century" w:hAnsi="Century" w:cs="FrankRuehl" w:hint="cs"/>
          <w:spacing w:val="10"/>
          <w:szCs w:val="28"/>
          <w:rtl/>
        </w:rPr>
        <w:t xml:space="preserve"> ראו פסקה 53 לחוות דעתה של השופטת </w:t>
      </w:r>
      <w:r w:rsidRPr="00D90A8F">
        <w:rPr>
          <w:rFonts w:ascii="Century" w:hAnsi="Century" w:cs="Miriam" w:hint="eastAsia"/>
          <w:b/>
          <w:rtl/>
        </w:rPr>
        <w:t>כנפי</w:t>
      </w:r>
      <w:r w:rsidRPr="00D90A8F">
        <w:rPr>
          <w:rFonts w:ascii="Century" w:hAnsi="Century" w:cs="Miriam"/>
          <w:b/>
          <w:rtl/>
        </w:rPr>
        <w:t>-</w:t>
      </w:r>
      <w:r w:rsidRPr="00D90A8F">
        <w:rPr>
          <w:rFonts w:ascii="Century" w:hAnsi="Century" w:cs="Miriam" w:hint="eastAsia"/>
          <w:b/>
          <w:rtl/>
        </w:rPr>
        <w:t>שטייניץ</w:t>
      </w:r>
      <w:r>
        <w:rPr>
          <w:rFonts w:ascii="Century" w:hAnsi="Century" w:cs="FrankRuehl" w:hint="cs"/>
          <w:spacing w:val="10"/>
          <w:szCs w:val="28"/>
          <w:rtl/>
        </w:rPr>
        <w:t xml:space="preserve">) </w:t>
      </w:r>
      <w:r>
        <w:rPr>
          <w:rFonts w:ascii="Century" w:hAnsi="Century" w:cs="FrankRuehl"/>
          <w:spacing w:val="10"/>
          <w:szCs w:val="28"/>
          <w:rtl/>
        </w:rPr>
        <w:t>–</w:t>
      </w:r>
      <w:r>
        <w:rPr>
          <w:rFonts w:ascii="Century" w:hAnsi="Century" w:cs="FrankRuehl" w:hint="cs"/>
          <w:spacing w:val="10"/>
          <w:szCs w:val="28"/>
          <w:rtl/>
        </w:rPr>
        <w:t xml:space="preserve"> כפרשנות שאינה מבקשת לבטל כליל את הנוסחה האיזונית אלא להגביה את רף ההתערבות של בתי המשפט מכוח עילת </w:t>
      </w:r>
      <w:r>
        <w:rPr>
          <w:rFonts w:ascii="Century" w:hAnsi="Century" w:cs="FrankRuehl" w:hint="cs"/>
          <w:spacing w:val="10"/>
          <w:szCs w:val="28"/>
          <w:rtl/>
        </w:rPr>
        <w:lastRenderedPageBreak/>
        <w:t xml:space="preserve">הסבירות, כך שרק </w:t>
      </w:r>
      <w:r w:rsidRPr="004F4D8E">
        <w:rPr>
          <w:rFonts w:ascii="Century" w:hAnsi="Century" w:cs="FrankRuehl" w:hint="eastAsia"/>
          <w:spacing w:val="10"/>
          <w:szCs w:val="28"/>
          <w:rtl/>
        </w:rPr>
        <w:t>אי</w:t>
      </w:r>
      <w:r>
        <w:rPr>
          <w:rFonts w:ascii="Century" w:hAnsi="Century" w:cs="FrankRuehl" w:hint="cs"/>
          <w:spacing w:val="10"/>
          <w:szCs w:val="28"/>
          <w:rtl/>
        </w:rPr>
        <w:t>-</w:t>
      </w:r>
      <w:r w:rsidRPr="004F4D8E">
        <w:rPr>
          <w:rFonts w:ascii="Century" w:hAnsi="Century" w:cs="FrankRuehl" w:hint="eastAsia"/>
          <w:spacing w:val="10"/>
          <w:szCs w:val="28"/>
          <w:rtl/>
        </w:rPr>
        <w:t>סבירות</w:t>
      </w:r>
      <w:r w:rsidRPr="004F4D8E">
        <w:rPr>
          <w:rFonts w:ascii="Century" w:hAnsi="Century" w:cs="FrankRuehl"/>
          <w:spacing w:val="10"/>
          <w:szCs w:val="28"/>
          <w:rtl/>
        </w:rPr>
        <w:t xml:space="preserve"> קיצונית </w:t>
      </w:r>
      <w:r>
        <w:rPr>
          <w:rFonts w:ascii="Century" w:hAnsi="Century" w:cs="FrankRuehl" w:hint="cs"/>
          <w:spacing w:val="10"/>
          <w:szCs w:val="28"/>
          <w:rtl/>
        </w:rPr>
        <w:t>בעליל</w:t>
      </w:r>
      <w:r w:rsidRPr="004F4D8E">
        <w:rPr>
          <w:rFonts w:ascii="Century" w:hAnsi="Century" w:cs="FrankRuehl"/>
          <w:spacing w:val="10"/>
          <w:szCs w:val="28"/>
          <w:rtl/>
        </w:rPr>
        <w:t xml:space="preserve"> </w:t>
      </w:r>
      <w:r>
        <w:rPr>
          <w:rFonts w:ascii="Century" w:hAnsi="Century" w:cs="FrankRuehl" w:hint="cs"/>
          <w:spacing w:val="10"/>
          <w:szCs w:val="28"/>
          <w:rtl/>
        </w:rPr>
        <w:t>תוביל להתערבות ולא "סתם"</w:t>
      </w:r>
      <w:r w:rsidRPr="004F4D8E">
        <w:rPr>
          <w:rFonts w:ascii="Century" w:hAnsi="Century" w:cs="FrankRuehl"/>
          <w:spacing w:val="10"/>
          <w:szCs w:val="28"/>
          <w:rtl/>
        </w:rPr>
        <w:t xml:space="preserve"> </w:t>
      </w:r>
      <w:r w:rsidRPr="004F4D8E">
        <w:rPr>
          <w:rFonts w:ascii="Century" w:hAnsi="Century" w:cs="FrankRuehl" w:hint="eastAsia"/>
          <w:spacing w:val="10"/>
          <w:szCs w:val="28"/>
          <w:rtl/>
        </w:rPr>
        <w:t>חריגה</w:t>
      </w:r>
      <w:r w:rsidRPr="004F4D8E">
        <w:rPr>
          <w:rFonts w:ascii="Century" w:hAnsi="Century" w:cs="FrankRuehl"/>
          <w:spacing w:val="10"/>
          <w:szCs w:val="28"/>
          <w:rtl/>
        </w:rPr>
        <w:t xml:space="preserve"> ממתחם הסבירות. </w:t>
      </w:r>
      <w:r>
        <w:rPr>
          <w:rFonts w:ascii="Century" w:hAnsi="Century" w:cs="FrankRuehl" w:hint="cs"/>
          <w:spacing w:val="10"/>
          <w:szCs w:val="28"/>
          <w:rtl/>
        </w:rPr>
        <w:t xml:space="preserve">אם נשלב את שתי הטרמינולוגיות, המשמעות היא שרק סטייה קיצונית בעליל ממתחם הסבירות תוביל להתערבות. </w:t>
      </w:r>
      <w:r w:rsidRPr="004F4D8E">
        <w:rPr>
          <w:rFonts w:ascii="Century" w:hAnsi="Century" w:cs="FrankRuehl"/>
          <w:spacing w:val="10"/>
          <w:szCs w:val="28"/>
          <w:rtl/>
        </w:rPr>
        <w:t>אולם</w:t>
      </w:r>
      <w:r>
        <w:rPr>
          <w:rFonts w:ascii="Century" w:hAnsi="Century" w:cs="FrankRuehl" w:hint="cs"/>
          <w:spacing w:val="10"/>
          <w:szCs w:val="28"/>
          <w:rtl/>
        </w:rPr>
        <w:t xml:space="preserve">, </w:t>
      </w:r>
      <w:r w:rsidRPr="004F4D8E">
        <w:rPr>
          <w:rFonts w:ascii="Century" w:hAnsi="Century" w:cs="FrankRuehl"/>
          <w:spacing w:val="10"/>
          <w:szCs w:val="28"/>
          <w:rtl/>
        </w:rPr>
        <w:t xml:space="preserve">ההבחנה בין שני המקרים הללו, והקביעה מתי החריגה </w:t>
      </w:r>
      <w:r>
        <w:rPr>
          <w:rFonts w:ascii="Century" w:hAnsi="Century" w:cs="FrankRuehl" w:hint="cs"/>
          <w:spacing w:val="10"/>
          <w:szCs w:val="28"/>
          <w:rtl/>
        </w:rPr>
        <w:t>עולה כדי "מופרכות"</w:t>
      </w:r>
      <w:r w:rsidRPr="004F4D8E">
        <w:rPr>
          <w:rFonts w:ascii="Century" w:hAnsi="Century" w:cs="FrankRuehl"/>
          <w:spacing w:val="10"/>
          <w:szCs w:val="28"/>
          <w:rtl/>
        </w:rPr>
        <w:t xml:space="preserve"> ומתי היא "סתם" חריגה </w:t>
      </w:r>
      <w:r>
        <w:rPr>
          <w:rFonts w:ascii="Century" w:hAnsi="Century" w:cs="FrankRuehl" w:hint="eastAsia"/>
          <w:spacing w:val="10"/>
          <w:szCs w:val="28"/>
          <w:rtl/>
        </w:rPr>
        <w:t>מ</w:t>
      </w:r>
      <w:r w:rsidRPr="004F4D8E">
        <w:rPr>
          <w:rFonts w:ascii="Century" w:hAnsi="Century" w:cs="FrankRuehl" w:hint="eastAsia"/>
          <w:spacing w:val="10"/>
          <w:szCs w:val="28"/>
          <w:rtl/>
        </w:rPr>
        <w:t>מתחם</w:t>
      </w:r>
      <w:r>
        <w:rPr>
          <w:rFonts w:ascii="Century" w:hAnsi="Century" w:cs="FrankRuehl" w:hint="cs"/>
          <w:spacing w:val="10"/>
          <w:szCs w:val="28"/>
          <w:rtl/>
        </w:rPr>
        <w:t xml:space="preserve"> הסבירות</w:t>
      </w:r>
      <w:r w:rsidRPr="004F4D8E">
        <w:rPr>
          <w:rFonts w:ascii="Century" w:hAnsi="Century" w:cs="FrankRuehl"/>
          <w:spacing w:val="10"/>
          <w:szCs w:val="28"/>
          <w:rtl/>
        </w:rPr>
        <w:t xml:space="preserve">, </w:t>
      </w:r>
      <w:r w:rsidRPr="004F4D8E">
        <w:rPr>
          <w:rFonts w:ascii="Century" w:hAnsi="Century" w:cs="FrankRuehl" w:hint="eastAsia"/>
          <w:spacing w:val="10"/>
          <w:szCs w:val="28"/>
          <w:rtl/>
        </w:rPr>
        <w:t>היא</w:t>
      </w:r>
      <w:r w:rsidRPr="004F4D8E">
        <w:rPr>
          <w:rFonts w:ascii="Century" w:hAnsi="Century" w:cs="FrankRuehl"/>
          <w:spacing w:val="10"/>
          <w:szCs w:val="28"/>
          <w:rtl/>
        </w:rPr>
        <w:t xml:space="preserve"> </w:t>
      </w:r>
      <w:r>
        <w:rPr>
          <w:rFonts w:ascii="Century" w:hAnsi="Century" w:cs="FrankRuehl" w:hint="cs"/>
          <w:spacing w:val="10"/>
          <w:szCs w:val="28"/>
          <w:rtl/>
        </w:rPr>
        <w:t>עניין שעשוי להשתנות כתלות בגישתו של השופט שדן בהחלטה</w:t>
      </w:r>
      <w:r w:rsidRPr="004F4D8E">
        <w:rPr>
          <w:rFonts w:ascii="Century" w:hAnsi="Century" w:cs="FrankRuehl"/>
          <w:spacing w:val="10"/>
          <w:szCs w:val="28"/>
          <w:rtl/>
        </w:rPr>
        <w:t>.</w:t>
      </w:r>
      <w:r>
        <w:rPr>
          <w:rFonts w:ascii="Century" w:hAnsi="Century" w:cs="FrankRuehl" w:hint="cs"/>
          <w:spacing w:val="10"/>
          <w:szCs w:val="28"/>
          <w:rtl/>
        </w:rPr>
        <w:t xml:space="preserve"> כך, הן עובר לפסק הדין בעניין </w:t>
      </w:r>
      <w:r w:rsidRPr="00D90A8F">
        <w:rPr>
          <w:rFonts w:ascii="Century" w:hAnsi="Century" w:cs="Miriam" w:hint="eastAsia"/>
          <w:b/>
          <w:rtl/>
        </w:rPr>
        <w:t>דפי</w:t>
      </w:r>
      <w:r w:rsidRPr="00D90A8F">
        <w:rPr>
          <w:rFonts w:ascii="Century" w:hAnsi="Century" w:cs="Miriam"/>
          <w:b/>
          <w:rtl/>
        </w:rPr>
        <w:t xml:space="preserve"> </w:t>
      </w:r>
      <w:r w:rsidRPr="00D90A8F">
        <w:rPr>
          <w:rFonts w:ascii="Century" w:hAnsi="Century" w:cs="Miriam" w:hint="eastAsia"/>
          <w:b/>
          <w:rtl/>
        </w:rPr>
        <w:t>זהב</w:t>
      </w:r>
      <w:r w:rsidRPr="00C00E19">
        <w:rPr>
          <w:rFonts w:ascii="Century" w:hAnsi="Century" w:cs="FrankRuehl"/>
          <w:spacing w:val="10"/>
          <w:szCs w:val="28"/>
          <w:rtl/>
        </w:rPr>
        <w:t xml:space="preserve"> </w:t>
      </w:r>
      <w:r>
        <w:rPr>
          <w:rFonts w:ascii="Century" w:hAnsi="Century" w:cs="FrankRuehl" w:hint="cs"/>
          <w:spacing w:val="10"/>
          <w:szCs w:val="28"/>
          <w:rtl/>
        </w:rPr>
        <w:t xml:space="preserve">והן לאחריו ניתן להיווכח בגישות שונות של שופטים לעניין מידת ההתערבות הראויה בהחלטות הרשות המינהלית (ראו: עניין </w:t>
      </w:r>
      <w:r w:rsidRPr="000E4E2B">
        <w:rPr>
          <w:rFonts w:ascii="Century" w:hAnsi="Century" w:cs="Miriam" w:hint="cs"/>
          <w:b/>
          <w:rtl/>
        </w:rPr>
        <w:t>אולפני הסרטה</w:t>
      </w:r>
      <w:r>
        <w:rPr>
          <w:rFonts w:ascii="Century" w:hAnsi="Century" w:cs="FrankRuehl" w:hint="cs"/>
          <w:spacing w:val="10"/>
          <w:szCs w:val="28"/>
          <w:rtl/>
        </w:rPr>
        <w:t xml:space="preserve">; </w:t>
      </w:r>
      <w:r w:rsidRPr="00981BD8">
        <w:rPr>
          <w:rFonts w:ascii="Century" w:hAnsi="Century" w:cs="FrankRuehl"/>
          <w:spacing w:val="10"/>
          <w:szCs w:val="28"/>
          <w:rtl/>
        </w:rPr>
        <w:t xml:space="preserve">בג"ץ 30/66 </w:t>
      </w:r>
      <w:r w:rsidRPr="000E4E2B">
        <w:rPr>
          <w:rFonts w:ascii="Century" w:hAnsi="Century" w:cs="Miriam"/>
          <w:b/>
          <w:rtl/>
        </w:rPr>
        <w:t>חג'אזי נ' שר המשפטים</w:t>
      </w:r>
      <w:r w:rsidRPr="00981BD8">
        <w:rPr>
          <w:rFonts w:ascii="Century" w:hAnsi="Century" w:cs="FrankRuehl"/>
          <w:spacing w:val="10"/>
          <w:szCs w:val="28"/>
          <w:rtl/>
        </w:rPr>
        <w:t xml:space="preserve">, </w:t>
      </w:r>
      <w:r>
        <w:rPr>
          <w:rFonts w:ascii="Century" w:hAnsi="Century" w:cs="FrankRuehl" w:hint="cs"/>
          <w:spacing w:val="10"/>
          <w:szCs w:val="28"/>
          <w:rtl/>
        </w:rPr>
        <w:t xml:space="preserve">פ"ד </w:t>
      </w:r>
      <w:r w:rsidRPr="00981BD8">
        <w:rPr>
          <w:rFonts w:ascii="Century" w:hAnsi="Century" w:cs="FrankRuehl"/>
          <w:spacing w:val="10"/>
          <w:szCs w:val="28"/>
          <w:rtl/>
        </w:rPr>
        <w:t>כ(1) 427 (1966)</w:t>
      </w:r>
      <w:r>
        <w:rPr>
          <w:rFonts w:ascii="Century" w:hAnsi="Century" w:cs="FrankRuehl" w:hint="cs"/>
          <w:spacing w:val="10"/>
          <w:szCs w:val="28"/>
          <w:rtl/>
        </w:rPr>
        <w:t>; ברק-ארז, משפט מינהלי, בעמודים 751 ה"ש 110, 764; כהן, בעמודים 804-799; זמיר, בעמודים 3589-3587).</w:t>
      </w:r>
      <w:r w:rsidRPr="004F4D8E">
        <w:rPr>
          <w:rFonts w:ascii="Century" w:hAnsi="Century" w:cs="FrankRuehl"/>
          <w:spacing w:val="10"/>
          <w:szCs w:val="28"/>
          <w:rtl/>
        </w:rPr>
        <w:t xml:space="preserve"> מה שבעיני אחד הוא מופרך ובלתי סביר בעליל, עשוי לא להיות כה מופרך בעיניו של </w:t>
      </w:r>
      <w:r>
        <w:rPr>
          <w:rFonts w:ascii="Century" w:hAnsi="Century" w:cs="FrankRuehl" w:hint="cs"/>
          <w:spacing w:val="10"/>
          <w:szCs w:val="28"/>
          <w:rtl/>
        </w:rPr>
        <w:t>ה</w:t>
      </w:r>
      <w:r w:rsidRPr="004F4D8E">
        <w:rPr>
          <w:rFonts w:ascii="Century" w:hAnsi="Century" w:cs="FrankRuehl"/>
          <w:spacing w:val="10"/>
          <w:szCs w:val="28"/>
          <w:rtl/>
        </w:rPr>
        <w:t>אחר</w:t>
      </w:r>
      <w:r>
        <w:rPr>
          <w:rFonts w:ascii="Century" w:hAnsi="Century" w:cs="FrankRuehl" w:hint="cs"/>
          <w:spacing w:val="10"/>
          <w:szCs w:val="28"/>
          <w:rtl/>
        </w:rPr>
        <w:t>, ולהיפך</w:t>
      </w:r>
      <w:r w:rsidRPr="004F4D8E">
        <w:rPr>
          <w:rFonts w:ascii="Century" w:hAnsi="Century" w:cs="FrankRuehl"/>
          <w:spacing w:val="10"/>
          <w:szCs w:val="28"/>
          <w:rtl/>
        </w:rPr>
        <w:t>.</w:t>
      </w:r>
      <w:r>
        <w:rPr>
          <w:rFonts w:ascii="Century" w:hAnsi="Century" w:cs="FrankRuehl" w:hint="cs"/>
          <w:spacing w:val="10"/>
          <w:szCs w:val="28"/>
          <w:rtl/>
        </w:rPr>
        <w:t xml:space="preserve"> </w:t>
      </w:r>
      <w:r w:rsidRPr="004F4D8E">
        <w:rPr>
          <w:rFonts w:ascii="Century" w:hAnsi="Century" w:cs="FrankRuehl" w:hint="eastAsia"/>
          <w:spacing w:val="10"/>
          <w:szCs w:val="28"/>
          <w:rtl/>
        </w:rPr>
        <w:t>במילים</w:t>
      </w:r>
      <w:r w:rsidRPr="004F4D8E">
        <w:rPr>
          <w:rFonts w:ascii="Century" w:hAnsi="Century" w:cs="FrankRuehl"/>
          <w:spacing w:val="10"/>
          <w:szCs w:val="28"/>
          <w:rtl/>
        </w:rPr>
        <w:t xml:space="preserve"> אחרות המבחן שאליו הפנה השופט </w:t>
      </w:r>
      <w:r w:rsidRPr="004F4D8E">
        <w:rPr>
          <w:rFonts w:ascii="Century" w:hAnsi="Century" w:cs="Miriam" w:hint="eastAsia"/>
          <w:b/>
          <w:rtl/>
        </w:rPr>
        <w:t>שטיין</w:t>
      </w:r>
      <w:r w:rsidRPr="004F4D8E">
        <w:rPr>
          <w:rFonts w:ascii="Century" w:hAnsi="Century" w:cs="FrankRuehl"/>
          <w:spacing w:val="10"/>
          <w:szCs w:val="28"/>
          <w:rtl/>
        </w:rPr>
        <w:t xml:space="preserve"> מהמשפט האנגלי, לפיו החלטה בלתי סבירה היא כזו המזמינה תגובה של </w:t>
      </w:r>
      <w:r>
        <w:rPr>
          <w:rFonts w:ascii="Century" w:hAnsi="Century" w:cs="FrankRuehl" w:hint="cs"/>
          <w:spacing w:val="10"/>
          <w:szCs w:val="28"/>
          <w:rtl/>
        </w:rPr>
        <w:t>"</w:t>
      </w:r>
      <w:r w:rsidRPr="004F4D8E">
        <w:rPr>
          <w:rFonts w:ascii="Century" w:hAnsi="Century" w:cs="Miriam"/>
          <w:bCs/>
        </w:rPr>
        <w:t>my goodness, that is certainly wrong</w:t>
      </w:r>
      <w:r>
        <w:rPr>
          <w:rFonts w:ascii="Century" w:hAnsi="Century" w:cs="FrankRuehl" w:hint="cs"/>
          <w:spacing w:val="10"/>
          <w:szCs w:val="28"/>
          <w:rtl/>
        </w:rPr>
        <w:t>"</w:t>
      </w:r>
      <w:r w:rsidRPr="004F4D8E">
        <w:rPr>
          <w:rFonts w:ascii="Century" w:hAnsi="Century" w:cs="FrankRuehl"/>
          <w:spacing w:val="10"/>
          <w:szCs w:val="28"/>
          <w:rtl/>
        </w:rPr>
        <w:t xml:space="preserve"> </w:t>
      </w:r>
      <w:r>
        <w:rPr>
          <w:rFonts w:ascii="Century" w:hAnsi="Century" w:cs="FrankRuehl" w:hint="cs"/>
          <w:spacing w:val="10"/>
          <w:szCs w:val="28"/>
          <w:rtl/>
        </w:rPr>
        <w:t xml:space="preserve">(ראו פסקה 92 לחוות דעתו), </w:t>
      </w:r>
      <w:r w:rsidRPr="004F4D8E">
        <w:rPr>
          <w:rFonts w:ascii="Century" w:hAnsi="Century" w:cs="FrankRuehl" w:hint="eastAsia"/>
          <w:spacing w:val="10"/>
          <w:szCs w:val="28"/>
          <w:rtl/>
        </w:rPr>
        <w:t>איננו</w:t>
      </w:r>
      <w:r w:rsidRPr="004F4D8E">
        <w:rPr>
          <w:rFonts w:ascii="Century" w:hAnsi="Century" w:cs="FrankRuehl"/>
          <w:spacing w:val="10"/>
          <w:szCs w:val="28"/>
          <w:rtl/>
        </w:rPr>
        <w:t xml:space="preserve"> בהכרח מבחן ברור יותר או אובייקטיבי יותר מה</w:t>
      </w:r>
      <w:r>
        <w:rPr>
          <w:rFonts w:ascii="Century" w:hAnsi="Century" w:cs="FrankRuehl" w:hint="cs"/>
          <w:spacing w:val="10"/>
          <w:szCs w:val="28"/>
          <w:rtl/>
        </w:rPr>
        <w:t>נוסחה</w:t>
      </w:r>
      <w:r w:rsidRPr="004F4D8E">
        <w:rPr>
          <w:rFonts w:ascii="Century" w:hAnsi="Century" w:cs="FrankRuehl"/>
          <w:spacing w:val="10"/>
          <w:szCs w:val="28"/>
          <w:rtl/>
        </w:rPr>
        <w:t xml:space="preserve"> </w:t>
      </w:r>
      <w:r>
        <w:rPr>
          <w:rFonts w:ascii="Century" w:hAnsi="Century" w:cs="FrankRuehl" w:hint="cs"/>
          <w:spacing w:val="10"/>
          <w:szCs w:val="28"/>
          <w:rtl/>
        </w:rPr>
        <w:t xml:space="preserve">האיזונית. </w:t>
      </w:r>
    </w:p>
    <w:p w:rsidR="00A01E7C" w:rsidRDefault="00A01E7C" w:rsidP="00A01E7C">
      <w:pPr>
        <w:spacing w:line="360" w:lineRule="auto"/>
        <w:ind w:firstLine="720"/>
        <w:jc w:val="both"/>
        <w:rPr>
          <w:rFonts w:ascii="Century" w:hAnsi="Century" w:cs="FrankRuehl"/>
          <w:spacing w:val="10"/>
          <w:szCs w:val="28"/>
          <w:highlight w:val="cyan"/>
          <w:rtl/>
        </w:rPr>
      </w:pPr>
    </w:p>
    <w:p w:rsidR="00A01E7C" w:rsidRDefault="00A01E7C" w:rsidP="00A01E7C">
      <w:pPr>
        <w:spacing w:line="360" w:lineRule="auto"/>
        <w:ind w:firstLine="720"/>
        <w:jc w:val="both"/>
        <w:rPr>
          <w:rFonts w:ascii="Century" w:hAnsi="Century" w:cs="FrankRuehl"/>
          <w:spacing w:val="10"/>
          <w:szCs w:val="28"/>
          <w:rtl/>
        </w:rPr>
      </w:pPr>
      <w:r w:rsidRPr="00D90A8F">
        <w:rPr>
          <w:rFonts w:ascii="Century" w:hAnsi="Century" w:cs="FrankRuehl" w:hint="eastAsia"/>
          <w:spacing w:val="10"/>
          <w:szCs w:val="28"/>
          <w:rtl/>
        </w:rPr>
        <w:t>בהקשר</w:t>
      </w:r>
      <w:r>
        <w:rPr>
          <w:rFonts w:ascii="Century" w:hAnsi="Century" w:cs="FrankRuehl" w:hint="cs"/>
          <w:spacing w:val="10"/>
          <w:szCs w:val="28"/>
          <w:rtl/>
        </w:rPr>
        <w:t xml:space="preserve"> אחרון</w:t>
      </w:r>
      <w:r w:rsidRPr="00D90A8F">
        <w:rPr>
          <w:rFonts w:ascii="Century" w:hAnsi="Century" w:cs="FrankRuehl"/>
          <w:spacing w:val="10"/>
          <w:szCs w:val="28"/>
          <w:rtl/>
        </w:rPr>
        <w:t xml:space="preserve"> </w:t>
      </w:r>
      <w:r w:rsidRPr="00D90A8F">
        <w:rPr>
          <w:rFonts w:ascii="Century" w:hAnsi="Century" w:cs="FrankRuehl" w:hint="eastAsia"/>
          <w:spacing w:val="10"/>
          <w:szCs w:val="28"/>
          <w:rtl/>
        </w:rPr>
        <w:t>זה</w:t>
      </w:r>
      <w:r w:rsidRPr="00D90A8F">
        <w:rPr>
          <w:rFonts w:ascii="Century" w:hAnsi="Century" w:cs="FrankRuehl"/>
          <w:spacing w:val="10"/>
          <w:szCs w:val="28"/>
          <w:rtl/>
        </w:rPr>
        <w:t xml:space="preserve">, </w:t>
      </w:r>
      <w:r w:rsidRPr="00D90A8F">
        <w:rPr>
          <w:rFonts w:ascii="Century" w:hAnsi="Century" w:cs="FrankRuehl" w:hint="eastAsia"/>
          <w:spacing w:val="10"/>
          <w:szCs w:val="28"/>
          <w:rtl/>
        </w:rPr>
        <w:t>לא</w:t>
      </w:r>
      <w:r w:rsidRPr="00D90A8F">
        <w:rPr>
          <w:rFonts w:ascii="Century" w:hAnsi="Century" w:cs="FrankRuehl"/>
          <w:spacing w:val="10"/>
          <w:szCs w:val="28"/>
          <w:rtl/>
        </w:rPr>
        <w:t xml:space="preserve"> </w:t>
      </w:r>
      <w:r w:rsidRPr="00D90A8F">
        <w:rPr>
          <w:rFonts w:ascii="Century" w:hAnsi="Century" w:cs="FrankRuehl" w:hint="eastAsia"/>
          <w:spacing w:val="10"/>
          <w:szCs w:val="28"/>
          <w:rtl/>
        </w:rPr>
        <w:t>למותר</w:t>
      </w:r>
      <w:r w:rsidRPr="00D90A8F">
        <w:rPr>
          <w:rFonts w:ascii="Century" w:hAnsi="Century" w:cs="FrankRuehl"/>
          <w:spacing w:val="10"/>
          <w:szCs w:val="28"/>
          <w:rtl/>
        </w:rPr>
        <w:t xml:space="preserve"> </w:t>
      </w:r>
      <w:r w:rsidRPr="00D90A8F">
        <w:rPr>
          <w:rFonts w:ascii="Century" w:hAnsi="Century" w:cs="FrankRuehl" w:hint="eastAsia"/>
          <w:spacing w:val="10"/>
          <w:szCs w:val="28"/>
          <w:rtl/>
        </w:rPr>
        <w:t>להזכיר</w:t>
      </w:r>
      <w:r w:rsidRPr="00D90A8F">
        <w:rPr>
          <w:rFonts w:ascii="Century" w:hAnsi="Century" w:cs="FrankRuehl"/>
          <w:spacing w:val="10"/>
          <w:szCs w:val="28"/>
          <w:rtl/>
        </w:rPr>
        <w:t xml:space="preserve"> </w:t>
      </w:r>
      <w:r w:rsidRPr="00D90A8F">
        <w:rPr>
          <w:rFonts w:ascii="Century" w:hAnsi="Century" w:cs="FrankRuehl" w:hint="eastAsia"/>
          <w:spacing w:val="10"/>
          <w:szCs w:val="28"/>
          <w:rtl/>
        </w:rPr>
        <w:t>כי</w:t>
      </w:r>
      <w:r w:rsidRPr="00D90A8F">
        <w:rPr>
          <w:rFonts w:ascii="Century" w:hAnsi="Century" w:cs="FrankRuehl"/>
          <w:spacing w:val="10"/>
          <w:szCs w:val="28"/>
          <w:rtl/>
        </w:rPr>
        <w:t xml:space="preserve"> </w:t>
      </w:r>
      <w:r w:rsidRPr="00D90A8F">
        <w:rPr>
          <w:rFonts w:ascii="Century" w:hAnsi="Century" w:cs="FrankRuehl" w:hint="eastAsia"/>
          <w:spacing w:val="10"/>
          <w:szCs w:val="28"/>
          <w:rtl/>
        </w:rPr>
        <w:t>גם</w:t>
      </w:r>
      <w:r w:rsidRPr="00D90A8F">
        <w:rPr>
          <w:rFonts w:ascii="Century" w:hAnsi="Century" w:cs="FrankRuehl"/>
          <w:spacing w:val="10"/>
          <w:szCs w:val="28"/>
          <w:rtl/>
        </w:rPr>
        <w:t xml:space="preserve"> </w:t>
      </w:r>
      <w:r w:rsidRPr="00D90A8F">
        <w:rPr>
          <w:rFonts w:ascii="Century" w:hAnsi="Century" w:cs="FrankRuehl" w:hint="eastAsia"/>
          <w:spacing w:val="10"/>
          <w:szCs w:val="28"/>
          <w:rtl/>
        </w:rPr>
        <w:t>לגישת</w:t>
      </w:r>
      <w:r w:rsidRPr="00D90A8F">
        <w:rPr>
          <w:rFonts w:ascii="Century" w:hAnsi="Century" w:cs="FrankRuehl"/>
          <w:spacing w:val="10"/>
          <w:szCs w:val="28"/>
          <w:rtl/>
        </w:rPr>
        <w:t xml:space="preserve"> </w:t>
      </w:r>
      <w:r w:rsidRPr="00D90A8F">
        <w:rPr>
          <w:rFonts w:ascii="Century" w:hAnsi="Century" w:cs="FrankRuehl" w:hint="eastAsia"/>
          <w:spacing w:val="10"/>
          <w:szCs w:val="28"/>
          <w:rtl/>
        </w:rPr>
        <w:t>משיבי</w:t>
      </w:r>
      <w:r w:rsidRPr="00D90A8F">
        <w:rPr>
          <w:rFonts w:ascii="Century" w:hAnsi="Century" w:cs="FrankRuehl"/>
          <w:spacing w:val="10"/>
          <w:szCs w:val="28"/>
          <w:rtl/>
        </w:rPr>
        <w:t xml:space="preserve"> </w:t>
      </w:r>
      <w:r w:rsidRPr="00D90A8F">
        <w:rPr>
          <w:rFonts w:ascii="Century" w:hAnsi="Century" w:cs="FrankRuehl" w:hint="eastAsia"/>
          <w:spacing w:val="10"/>
          <w:szCs w:val="28"/>
          <w:rtl/>
        </w:rPr>
        <w:t>הממשלה</w:t>
      </w:r>
      <w:r w:rsidRPr="00D90A8F">
        <w:rPr>
          <w:rFonts w:ascii="Century" w:hAnsi="Century" w:cs="FrankRuehl"/>
          <w:spacing w:val="10"/>
          <w:szCs w:val="28"/>
          <w:rtl/>
        </w:rPr>
        <w:t xml:space="preserve"> </w:t>
      </w:r>
      <w:r w:rsidRPr="00D90A8F">
        <w:rPr>
          <w:rFonts w:ascii="Century" w:hAnsi="Century" w:cs="FrankRuehl" w:hint="eastAsia"/>
          <w:spacing w:val="10"/>
          <w:szCs w:val="28"/>
          <w:rtl/>
        </w:rPr>
        <w:t>וח</w:t>
      </w:r>
      <w:r w:rsidRPr="00D90A8F">
        <w:rPr>
          <w:rFonts w:ascii="Century" w:hAnsi="Century" w:cs="FrankRuehl"/>
          <w:spacing w:val="10"/>
          <w:szCs w:val="28"/>
          <w:rtl/>
        </w:rPr>
        <w:t>"</w:t>
      </w:r>
      <w:r w:rsidRPr="00D90A8F">
        <w:rPr>
          <w:rFonts w:ascii="Century" w:hAnsi="Century" w:cs="FrankRuehl" w:hint="eastAsia"/>
          <w:spacing w:val="10"/>
          <w:szCs w:val="28"/>
          <w:rtl/>
        </w:rPr>
        <w:t>כ</w:t>
      </w:r>
      <w:r w:rsidRPr="00D90A8F">
        <w:rPr>
          <w:rFonts w:ascii="Century" w:hAnsi="Century" w:cs="FrankRuehl"/>
          <w:spacing w:val="10"/>
          <w:szCs w:val="28"/>
          <w:rtl/>
        </w:rPr>
        <w:t xml:space="preserve"> </w:t>
      </w:r>
      <w:r w:rsidRPr="00D90A8F">
        <w:rPr>
          <w:rFonts w:ascii="Century" w:hAnsi="Century" w:cs="FrankRuehl" w:hint="eastAsia"/>
          <w:spacing w:val="10"/>
          <w:szCs w:val="28"/>
          <w:rtl/>
        </w:rPr>
        <w:t>רוטמן</w:t>
      </w:r>
      <w:r w:rsidRPr="00D90A8F">
        <w:rPr>
          <w:rFonts w:ascii="Century" w:hAnsi="Century" w:cs="FrankRuehl"/>
          <w:spacing w:val="10"/>
          <w:szCs w:val="28"/>
          <w:rtl/>
        </w:rPr>
        <w:t xml:space="preserve"> </w:t>
      </w:r>
      <w:r w:rsidRPr="00D90A8F">
        <w:rPr>
          <w:rFonts w:ascii="Century" w:hAnsi="Century" w:cs="FrankRuehl" w:hint="eastAsia"/>
          <w:spacing w:val="10"/>
          <w:szCs w:val="28"/>
          <w:rtl/>
        </w:rPr>
        <w:t>אין</w:t>
      </w:r>
      <w:r w:rsidRPr="00D90A8F">
        <w:rPr>
          <w:rFonts w:ascii="Century" w:hAnsi="Century" w:cs="FrankRuehl"/>
          <w:spacing w:val="10"/>
          <w:szCs w:val="28"/>
          <w:rtl/>
        </w:rPr>
        <w:t xml:space="preserve"> </w:t>
      </w:r>
      <w:r>
        <w:rPr>
          <w:rFonts w:ascii="Century" w:hAnsi="Century" w:cs="FrankRuehl" w:hint="cs"/>
          <w:spacing w:val="10"/>
          <w:szCs w:val="28"/>
          <w:rtl/>
        </w:rPr>
        <w:t>אפשרות מעשית להבחין</w:t>
      </w:r>
      <w:r w:rsidRPr="00D90A8F">
        <w:rPr>
          <w:rFonts w:ascii="Century" w:hAnsi="Century" w:cs="FrankRuehl"/>
          <w:spacing w:val="10"/>
          <w:szCs w:val="28"/>
          <w:rtl/>
        </w:rPr>
        <w:t xml:space="preserve"> </w:t>
      </w:r>
      <w:r>
        <w:rPr>
          <w:rFonts w:ascii="Century" w:hAnsi="Century" w:cs="FrankRuehl" w:hint="cs"/>
          <w:spacing w:val="10"/>
          <w:szCs w:val="28"/>
          <w:rtl/>
        </w:rPr>
        <w:t xml:space="preserve">בין אי-סבירות "קיצונית" לאי-סבירות "סתם". </w:t>
      </w:r>
      <w:r w:rsidRPr="004F4D8E">
        <w:rPr>
          <w:rFonts w:ascii="Century" w:hAnsi="Century" w:cs="FrankRuehl" w:hint="eastAsia"/>
          <w:spacing w:val="10"/>
          <w:szCs w:val="28"/>
          <w:rtl/>
        </w:rPr>
        <w:t>כך</w:t>
      </w:r>
      <w:r w:rsidRPr="004F4D8E">
        <w:rPr>
          <w:rFonts w:ascii="Century" w:hAnsi="Century" w:cs="FrankRuehl"/>
          <w:spacing w:val="10"/>
          <w:szCs w:val="28"/>
          <w:rtl/>
        </w:rPr>
        <w:t xml:space="preserve">, </w:t>
      </w:r>
      <w:r>
        <w:rPr>
          <w:rFonts w:ascii="Century" w:hAnsi="Century" w:cs="FrankRuehl" w:hint="cs"/>
          <w:spacing w:val="10"/>
          <w:szCs w:val="28"/>
          <w:rtl/>
        </w:rPr>
        <w:t xml:space="preserve">כפי שהוזכר לעיל, </w:t>
      </w:r>
      <w:r w:rsidRPr="004F4D8E">
        <w:rPr>
          <w:rFonts w:ascii="Century" w:hAnsi="Century" w:cs="FrankRuehl" w:hint="eastAsia"/>
          <w:spacing w:val="10"/>
          <w:szCs w:val="28"/>
          <w:rtl/>
        </w:rPr>
        <w:t>בדיון</w:t>
      </w:r>
      <w:r w:rsidRPr="004F4D8E">
        <w:rPr>
          <w:rFonts w:ascii="Century" w:hAnsi="Century" w:cs="FrankRuehl"/>
          <w:spacing w:val="10"/>
          <w:szCs w:val="28"/>
          <w:rtl/>
        </w:rPr>
        <w:t xml:space="preserve"> שהתקיים </w:t>
      </w:r>
      <w:r w:rsidRPr="004F4D8E">
        <w:rPr>
          <w:rFonts w:ascii="Century" w:hAnsi="Century" w:cs="FrankRuehl" w:hint="eastAsia"/>
          <w:spacing w:val="10"/>
          <w:szCs w:val="28"/>
          <w:rtl/>
        </w:rPr>
        <w:t>בוועדת</w:t>
      </w:r>
      <w:r w:rsidRPr="004F4D8E">
        <w:rPr>
          <w:rFonts w:ascii="Century" w:hAnsi="Century" w:cs="FrankRuehl"/>
          <w:spacing w:val="10"/>
          <w:szCs w:val="28"/>
          <w:rtl/>
        </w:rPr>
        <w:t xml:space="preserve"> </w:t>
      </w:r>
      <w:r w:rsidRPr="004F4D8E">
        <w:rPr>
          <w:rFonts w:ascii="Century" w:hAnsi="Century" w:cs="FrankRuehl" w:hint="eastAsia"/>
          <w:spacing w:val="10"/>
          <w:szCs w:val="28"/>
          <w:rtl/>
        </w:rPr>
        <w:t>החוקה</w:t>
      </w:r>
      <w:r>
        <w:rPr>
          <w:rFonts w:ascii="Century" w:hAnsi="Century" w:cs="FrankRuehl" w:hint="cs"/>
          <w:spacing w:val="10"/>
          <w:szCs w:val="28"/>
          <w:rtl/>
        </w:rPr>
        <w:t xml:space="preserve"> </w:t>
      </w:r>
      <w:r w:rsidRPr="004F4D8E">
        <w:rPr>
          <w:rFonts w:ascii="Century" w:hAnsi="Century" w:cs="FrankRuehl" w:hint="eastAsia"/>
          <w:spacing w:val="10"/>
          <w:szCs w:val="28"/>
          <w:rtl/>
        </w:rPr>
        <w:t>ביחס</w:t>
      </w:r>
      <w:r w:rsidRPr="004F4D8E">
        <w:rPr>
          <w:rFonts w:ascii="Century" w:hAnsi="Century" w:cs="FrankRuehl"/>
          <w:spacing w:val="10"/>
          <w:szCs w:val="28"/>
          <w:rtl/>
        </w:rPr>
        <w:t xml:space="preserve"> </w:t>
      </w:r>
      <w:r w:rsidRPr="004F4D8E">
        <w:rPr>
          <w:rFonts w:ascii="Century" w:hAnsi="Century" w:cs="FrankRuehl" w:hint="eastAsia"/>
          <w:spacing w:val="10"/>
          <w:szCs w:val="28"/>
          <w:rtl/>
        </w:rPr>
        <w:t>לאפשרות</w:t>
      </w:r>
      <w:r w:rsidRPr="004F4D8E">
        <w:rPr>
          <w:rFonts w:ascii="Century" w:hAnsi="Century" w:cs="FrankRuehl"/>
          <w:spacing w:val="10"/>
          <w:szCs w:val="28"/>
          <w:rtl/>
        </w:rPr>
        <w:t xml:space="preserve"> </w:t>
      </w:r>
      <w:r w:rsidRPr="004F4D8E">
        <w:rPr>
          <w:rFonts w:ascii="Century" w:hAnsi="Century" w:cs="FrankRuehl" w:hint="eastAsia"/>
          <w:spacing w:val="10"/>
          <w:szCs w:val="28"/>
          <w:rtl/>
        </w:rPr>
        <w:t>לצמצם</w:t>
      </w:r>
      <w:r w:rsidRPr="004F4D8E">
        <w:rPr>
          <w:rFonts w:ascii="Century" w:hAnsi="Century" w:cs="FrankRuehl"/>
          <w:spacing w:val="10"/>
          <w:szCs w:val="28"/>
          <w:rtl/>
        </w:rPr>
        <w:t xml:space="preserve"> </w:t>
      </w:r>
      <w:r w:rsidRPr="004F4D8E">
        <w:rPr>
          <w:rFonts w:ascii="Century" w:hAnsi="Century" w:cs="FrankRuehl" w:hint="eastAsia"/>
          <w:spacing w:val="10"/>
          <w:szCs w:val="28"/>
          <w:rtl/>
        </w:rPr>
        <w:t>את</w:t>
      </w:r>
      <w:r w:rsidRPr="004F4D8E">
        <w:rPr>
          <w:rFonts w:ascii="Century" w:hAnsi="Century" w:cs="FrankRuehl"/>
          <w:spacing w:val="10"/>
          <w:szCs w:val="28"/>
          <w:rtl/>
        </w:rPr>
        <w:t xml:space="preserve"> </w:t>
      </w:r>
      <w:r w:rsidRPr="004F4D8E">
        <w:rPr>
          <w:rFonts w:ascii="Century" w:hAnsi="Century" w:cs="FrankRuehl" w:hint="eastAsia"/>
          <w:spacing w:val="10"/>
          <w:szCs w:val="28"/>
          <w:rtl/>
        </w:rPr>
        <w:t>עילת</w:t>
      </w:r>
      <w:r w:rsidRPr="004F4D8E">
        <w:rPr>
          <w:rFonts w:ascii="Century" w:hAnsi="Century" w:cs="FrankRuehl"/>
          <w:spacing w:val="10"/>
          <w:szCs w:val="28"/>
          <w:rtl/>
        </w:rPr>
        <w:t xml:space="preserve"> </w:t>
      </w:r>
      <w:r w:rsidRPr="004F4D8E">
        <w:rPr>
          <w:rFonts w:ascii="Century" w:hAnsi="Century" w:cs="FrankRuehl" w:hint="eastAsia"/>
          <w:spacing w:val="10"/>
          <w:szCs w:val="28"/>
          <w:rtl/>
        </w:rPr>
        <w:t>הסבירות</w:t>
      </w:r>
      <w:r w:rsidRPr="004F4D8E">
        <w:rPr>
          <w:rFonts w:ascii="Century" w:hAnsi="Century" w:cs="FrankRuehl"/>
          <w:spacing w:val="10"/>
          <w:szCs w:val="28"/>
          <w:rtl/>
        </w:rPr>
        <w:t xml:space="preserve"> </w:t>
      </w:r>
      <w:r w:rsidRPr="004F4D8E">
        <w:rPr>
          <w:rFonts w:ascii="Century" w:hAnsi="Century" w:cs="FrankRuehl" w:hint="eastAsia"/>
          <w:spacing w:val="10"/>
          <w:szCs w:val="28"/>
          <w:rtl/>
        </w:rPr>
        <w:t>למובנה</w:t>
      </w:r>
      <w:r w:rsidRPr="004F4D8E">
        <w:rPr>
          <w:rFonts w:ascii="Century" w:hAnsi="Century" w:cs="FrankRuehl"/>
          <w:spacing w:val="10"/>
          <w:szCs w:val="28"/>
          <w:rtl/>
        </w:rPr>
        <w:t xml:space="preserve"> "טרום </w:t>
      </w:r>
      <w:r w:rsidRPr="004F4D8E">
        <w:rPr>
          <w:rFonts w:ascii="Century" w:hAnsi="Century" w:cs="Miriam" w:hint="eastAsia"/>
          <w:b/>
          <w:rtl/>
        </w:rPr>
        <w:t>דפי</w:t>
      </w:r>
      <w:r w:rsidRPr="004F4D8E">
        <w:rPr>
          <w:rFonts w:ascii="Century" w:hAnsi="Century" w:cs="Miriam"/>
          <w:b/>
          <w:rtl/>
        </w:rPr>
        <w:t xml:space="preserve"> </w:t>
      </w:r>
      <w:r w:rsidRPr="004F4D8E">
        <w:rPr>
          <w:rFonts w:ascii="Century" w:hAnsi="Century" w:cs="Miriam" w:hint="eastAsia"/>
          <w:b/>
          <w:rtl/>
        </w:rPr>
        <w:t>זהב</w:t>
      </w:r>
      <w:r w:rsidRPr="004F4D8E">
        <w:rPr>
          <w:rFonts w:ascii="Century" w:hAnsi="Century" w:cs="FrankRuehl"/>
          <w:spacing w:val="10"/>
          <w:szCs w:val="28"/>
          <w:rtl/>
        </w:rPr>
        <w:t xml:space="preserve">", </w:t>
      </w:r>
      <w:r w:rsidRPr="004F4D8E">
        <w:rPr>
          <w:rFonts w:ascii="Century" w:hAnsi="Century" w:cs="FrankRuehl" w:hint="eastAsia"/>
          <w:spacing w:val="10"/>
          <w:szCs w:val="28"/>
          <w:rtl/>
        </w:rPr>
        <w:t>ציין</w:t>
      </w:r>
      <w:r w:rsidRPr="004F4D8E">
        <w:rPr>
          <w:rFonts w:ascii="Century" w:hAnsi="Century" w:cs="FrankRuehl"/>
          <w:spacing w:val="10"/>
          <w:szCs w:val="28"/>
          <w:rtl/>
        </w:rPr>
        <w:t xml:space="preserve"> ח"כ </w:t>
      </w:r>
      <w:r w:rsidRPr="004F4D8E">
        <w:rPr>
          <w:rFonts w:ascii="Century" w:hAnsi="Century" w:cs="FrankRuehl" w:hint="eastAsia"/>
          <w:spacing w:val="10"/>
          <w:szCs w:val="28"/>
          <w:rtl/>
        </w:rPr>
        <w:t>רוטמן</w:t>
      </w:r>
      <w:r w:rsidRPr="004F4D8E">
        <w:rPr>
          <w:rFonts w:ascii="Century" w:hAnsi="Century" w:cs="FrankRuehl"/>
          <w:spacing w:val="10"/>
          <w:szCs w:val="28"/>
          <w:rtl/>
        </w:rPr>
        <w:t xml:space="preserve"> כי אין דרך "</w:t>
      </w:r>
      <w:r w:rsidRPr="00D170F5">
        <w:rPr>
          <w:rFonts w:ascii="Century" w:hAnsi="Century" w:cs="Miriam" w:hint="eastAsia"/>
          <w:b/>
          <w:rtl/>
        </w:rPr>
        <w:t>למתוח</w:t>
      </w:r>
      <w:r w:rsidRPr="00D170F5">
        <w:rPr>
          <w:rFonts w:ascii="Century" w:hAnsi="Century" w:cs="Miriam"/>
          <w:b/>
          <w:rtl/>
        </w:rPr>
        <w:t xml:space="preserve"> </w:t>
      </w:r>
      <w:r w:rsidRPr="00D170F5">
        <w:rPr>
          <w:rFonts w:ascii="Century" w:hAnsi="Century" w:cs="Miriam" w:hint="eastAsia"/>
          <w:b/>
          <w:rtl/>
        </w:rPr>
        <w:t>את</w:t>
      </w:r>
      <w:r w:rsidRPr="00D170F5">
        <w:rPr>
          <w:rFonts w:ascii="Century" w:hAnsi="Century" w:cs="Miriam"/>
          <w:b/>
          <w:rtl/>
        </w:rPr>
        <w:t xml:space="preserve"> </w:t>
      </w:r>
      <w:r w:rsidRPr="00D170F5">
        <w:rPr>
          <w:rFonts w:ascii="Century" w:hAnsi="Century" w:cs="Miriam" w:hint="eastAsia"/>
          <w:b/>
          <w:rtl/>
        </w:rPr>
        <w:t>הקו</w:t>
      </w:r>
      <w:r w:rsidRPr="00D170F5">
        <w:rPr>
          <w:rFonts w:ascii="Century" w:hAnsi="Century" w:cs="Miriam"/>
          <w:b/>
          <w:rtl/>
        </w:rPr>
        <w:t xml:space="preserve"> </w:t>
      </w:r>
      <w:r w:rsidRPr="00D170F5">
        <w:rPr>
          <w:rFonts w:ascii="Century" w:hAnsi="Century" w:cs="Miriam" w:hint="eastAsia"/>
          <w:b/>
          <w:rtl/>
        </w:rPr>
        <w:t>בין</w:t>
      </w:r>
      <w:r w:rsidRPr="00D170F5">
        <w:rPr>
          <w:rFonts w:ascii="Century" w:hAnsi="Century" w:cs="Miriam"/>
          <w:b/>
          <w:rtl/>
        </w:rPr>
        <w:t xml:space="preserve"> </w:t>
      </w:r>
      <w:r w:rsidRPr="00D170F5">
        <w:rPr>
          <w:rFonts w:ascii="Century" w:hAnsi="Century" w:cs="Miriam" w:hint="eastAsia"/>
          <w:b/>
          <w:rtl/>
        </w:rPr>
        <w:t>אי</w:t>
      </w:r>
      <w:r w:rsidRPr="00D170F5">
        <w:rPr>
          <w:rFonts w:ascii="Century" w:hAnsi="Century" w:cs="Miriam"/>
          <w:b/>
          <w:rtl/>
        </w:rPr>
        <w:t>-</w:t>
      </w:r>
      <w:r w:rsidRPr="00D170F5">
        <w:rPr>
          <w:rFonts w:ascii="Century" w:hAnsi="Century" w:cs="Miriam" w:hint="eastAsia"/>
          <w:b/>
          <w:rtl/>
        </w:rPr>
        <w:t>סבירות</w:t>
      </w:r>
      <w:r w:rsidRPr="00D170F5">
        <w:rPr>
          <w:rFonts w:ascii="Century" w:hAnsi="Century" w:cs="Miriam"/>
          <w:b/>
          <w:rtl/>
        </w:rPr>
        <w:t xml:space="preserve"> </w:t>
      </w:r>
      <w:r w:rsidRPr="00D170F5">
        <w:rPr>
          <w:rFonts w:ascii="Century" w:hAnsi="Century" w:cs="Miriam" w:hint="eastAsia"/>
          <w:b/>
          <w:rtl/>
        </w:rPr>
        <w:t>קיצונית</w:t>
      </w:r>
      <w:r w:rsidRPr="00D170F5">
        <w:rPr>
          <w:rFonts w:ascii="Century" w:hAnsi="Century" w:cs="Miriam"/>
          <w:b/>
          <w:rtl/>
        </w:rPr>
        <w:t xml:space="preserve"> </w:t>
      </w:r>
      <w:r w:rsidRPr="00D170F5">
        <w:rPr>
          <w:rFonts w:ascii="Century" w:hAnsi="Century" w:cs="Miriam" w:hint="eastAsia"/>
          <w:b/>
          <w:rtl/>
        </w:rPr>
        <w:t>לאי</w:t>
      </w:r>
      <w:r w:rsidRPr="00D170F5">
        <w:rPr>
          <w:rFonts w:ascii="Century" w:hAnsi="Century" w:cs="Miriam"/>
          <w:b/>
          <w:rtl/>
        </w:rPr>
        <w:t>-</w:t>
      </w:r>
      <w:r w:rsidRPr="00D170F5">
        <w:rPr>
          <w:rFonts w:ascii="Century" w:hAnsi="Century" w:cs="Miriam" w:hint="eastAsia"/>
          <w:b/>
          <w:rtl/>
        </w:rPr>
        <w:t>סבירות</w:t>
      </w:r>
      <w:r w:rsidRPr="00D170F5">
        <w:rPr>
          <w:rFonts w:ascii="Century" w:hAnsi="Century" w:cs="Miriam"/>
          <w:b/>
          <w:rtl/>
        </w:rPr>
        <w:t xml:space="preserve"> </w:t>
      </w:r>
      <w:r w:rsidRPr="00D170F5">
        <w:rPr>
          <w:rFonts w:ascii="Century" w:hAnsi="Century" w:cs="Miriam" w:hint="eastAsia"/>
          <w:b/>
          <w:rtl/>
        </w:rPr>
        <w:t>לא</w:t>
      </w:r>
      <w:r w:rsidRPr="00D170F5">
        <w:rPr>
          <w:rFonts w:ascii="Century" w:hAnsi="Century" w:cs="Miriam"/>
          <w:b/>
          <w:rtl/>
        </w:rPr>
        <w:t xml:space="preserve"> </w:t>
      </w:r>
      <w:r w:rsidRPr="00D170F5">
        <w:rPr>
          <w:rFonts w:ascii="Century" w:hAnsi="Century" w:cs="Miriam" w:hint="eastAsia"/>
          <w:b/>
          <w:rtl/>
        </w:rPr>
        <w:t>קיצונית</w:t>
      </w:r>
      <w:r w:rsidRPr="004F4D8E">
        <w:rPr>
          <w:rFonts w:ascii="Century" w:hAnsi="Century" w:cs="FrankRuehl"/>
          <w:spacing w:val="10"/>
          <w:szCs w:val="28"/>
          <w:rtl/>
        </w:rPr>
        <w:t xml:space="preserve">" (פרוטוקול ישיבה 105 של ועדת החוקה, הכנסת ה-25, 113 (25.6.2023)). </w:t>
      </w:r>
      <w:r w:rsidRPr="00103A85">
        <w:rPr>
          <w:rFonts w:ascii="Century" w:hAnsi="Century" w:cs="FrankRuehl" w:hint="cs"/>
          <w:spacing w:val="10"/>
          <w:szCs w:val="28"/>
          <w:rtl/>
        </w:rPr>
        <w:t xml:space="preserve">גם בישיבת הוועדה מיום 13.7.2023 </w:t>
      </w:r>
      <w:r>
        <w:rPr>
          <w:rFonts w:ascii="Century" w:hAnsi="Century" w:cs="FrankRuehl" w:hint="cs"/>
          <w:spacing w:val="10"/>
          <w:szCs w:val="28"/>
          <w:rtl/>
        </w:rPr>
        <w:t>התייחס ח"כ רוטמן לאפשרות להבחין בין אי-סבירות לאי-סבירות קיצונית, וציין כי להבחנות אלה "</w:t>
      </w:r>
      <w:r w:rsidRPr="00D170F5">
        <w:rPr>
          <w:rFonts w:ascii="Century" w:hAnsi="Century" w:cs="Miriam" w:hint="eastAsia"/>
          <w:b/>
          <w:rtl/>
        </w:rPr>
        <w:t>יש</w:t>
      </w:r>
      <w:r w:rsidRPr="00D170F5">
        <w:rPr>
          <w:rFonts w:ascii="Century" w:hAnsi="Century" w:cs="Miriam"/>
          <w:b/>
          <w:rtl/>
        </w:rPr>
        <w:t xml:space="preserve"> </w:t>
      </w:r>
      <w:r w:rsidRPr="00D170F5">
        <w:rPr>
          <w:rFonts w:ascii="Century" w:hAnsi="Century" w:cs="Miriam" w:hint="eastAsia"/>
          <w:b/>
          <w:rtl/>
        </w:rPr>
        <w:t>מקום</w:t>
      </w:r>
      <w:r w:rsidRPr="00D170F5">
        <w:rPr>
          <w:rFonts w:ascii="Century" w:hAnsi="Century" w:cs="Miriam"/>
          <w:b/>
          <w:rtl/>
        </w:rPr>
        <w:t xml:space="preserve"> </w:t>
      </w:r>
      <w:r w:rsidRPr="00D170F5">
        <w:rPr>
          <w:rFonts w:ascii="Century" w:hAnsi="Century" w:cs="Miriam" w:hint="eastAsia"/>
          <w:b/>
          <w:rtl/>
        </w:rPr>
        <w:t>בעולם</w:t>
      </w:r>
      <w:r w:rsidRPr="00D170F5">
        <w:rPr>
          <w:rFonts w:ascii="Century" w:hAnsi="Century" w:cs="Miriam"/>
          <w:b/>
          <w:rtl/>
        </w:rPr>
        <w:t xml:space="preserve"> </w:t>
      </w:r>
      <w:r w:rsidRPr="00D170F5">
        <w:rPr>
          <w:rFonts w:ascii="Century" w:hAnsi="Century" w:cs="Miriam" w:hint="eastAsia"/>
          <w:b/>
          <w:rtl/>
        </w:rPr>
        <w:t>התיאורטי</w:t>
      </w:r>
      <w:r w:rsidRPr="00D170F5">
        <w:rPr>
          <w:rFonts w:ascii="Century" w:hAnsi="Century" w:cs="Miriam"/>
          <w:b/>
          <w:rtl/>
        </w:rPr>
        <w:t xml:space="preserve"> </w:t>
      </w:r>
      <w:r w:rsidRPr="00D170F5">
        <w:rPr>
          <w:rFonts w:ascii="Century" w:hAnsi="Century" w:cs="Miriam" w:hint="eastAsia"/>
          <w:b/>
          <w:rtl/>
        </w:rPr>
        <w:t>העיוני</w:t>
      </w:r>
      <w:r>
        <w:rPr>
          <w:rFonts w:ascii="Century" w:hAnsi="Century" w:cs="FrankRuehl" w:hint="cs"/>
          <w:spacing w:val="10"/>
          <w:szCs w:val="28"/>
          <w:rtl/>
        </w:rPr>
        <w:t xml:space="preserve">" וכי </w:t>
      </w:r>
      <w:r w:rsidRPr="00D170F5">
        <w:rPr>
          <w:rFonts w:ascii="Century" w:hAnsi="Century" w:cs="Miriam"/>
          <w:b/>
          <w:rtl/>
        </w:rPr>
        <w:t>"[]</w:t>
      </w:r>
      <w:r w:rsidRPr="00D170F5">
        <w:rPr>
          <w:rFonts w:ascii="Century" w:hAnsi="Century" w:cs="Miriam" w:hint="eastAsia"/>
          <w:b/>
          <w:rtl/>
        </w:rPr>
        <w:t>הן</w:t>
      </w:r>
      <w:r w:rsidRPr="00D170F5">
        <w:rPr>
          <w:rFonts w:ascii="Century" w:hAnsi="Century" w:cs="Miriam"/>
          <w:b/>
          <w:rtl/>
        </w:rPr>
        <w:t xml:space="preserve"> </w:t>
      </w:r>
      <w:r w:rsidRPr="00D170F5">
        <w:rPr>
          <w:rFonts w:ascii="Century" w:hAnsi="Century" w:cs="Miriam" w:hint="eastAsia"/>
          <w:b/>
          <w:rtl/>
        </w:rPr>
        <w:t>לא</w:t>
      </w:r>
      <w:r w:rsidRPr="00D170F5">
        <w:rPr>
          <w:rFonts w:ascii="Century" w:hAnsi="Century" w:cs="Miriam"/>
          <w:b/>
          <w:rtl/>
        </w:rPr>
        <w:t xml:space="preserve"> </w:t>
      </w:r>
      <w:r w:rsidRPr="00D170F5">
        <w:rPr>
          <w:rFonts w:ascii="Century" w:hAnsi="Century" w:cs="Miriam" w:hint="eastAsia"/>
          <w:b/>
          <w:rtl/>
        </w:rPr>
        <w:t>עובדות</w:t>
      </w:r>
      <w:r w:rsidRPr="00D170F5">
        <w:rPr>
          <w:rFonts w:ascii="Century" w:hAnsi="Century" w:cs="Miriam"/>
          <w:b/>
          <w:rtl/>
        </w:rPr>
        <w:t xml:space="preserve"> </w:t>
      </w:r>
      <w:r w:rsidRPr="00D170F5">
        <w:rPr>
          <w:rFonts w:ascii="Century" w:hAnsi="Century" w:cs="Miriam" w:hint="eastAsia"/>
          <w:b/>
          <w:rtl/>
        </w:rPr>
        <w:t>בעולם</w:t>
      </w:r>
      <w:r w:rsidRPr="00D170F5">
        <w:rPr>
          <w:rFonts w:ascii="Century" w:hAnsi="Century" w:cs="Miriam"/>
          <w:b/>
          <w:rtl/>
        </w:rPr>
        <w:t xml:space="preserve"> </w:t>
      </w:r>
      <w:r w:rsidRPr="00D170F5">
        <w:rPr>
          <w:rFonts w:ascii="Century" w:hAnsi="Century" w:cs="Miriam" w:hint="eastAsia"/>
          <w:b/>
          <w:rtl/>
        </w:rPr>
        <w:t>האמיתי</w:t>
      </w:r>
      <w:r>
        <w:rPr>
          <w:rFonts w:ascii="Century" w:hAnsi="Century" w:cs="FrankRuehl" w:hint="cs"/>
          <w:spacing w:val="10"/>
          <w:szCs w:val="28"/>
          <w:rtl/>
        </w:rPr>
        <w:t xml:space="preserve">" </w:t>
      </w:r>
      <w:r w:rsidRPr="00103A85">
        <w:rPr>
          <w:rFonts w:ascii="Century" w:hAnsi="Century" w:cs="FrankRuehl" w:hint="cs"/>
          <w:spacing w:val="10"/>
          <w:szCs w:val="28"/>
          <w:rtl/>
        </w:rPr>
        <w:t>(פרוטוקול ישיבה 125 של ועדת חוקה, הכנסת ה-25, 15 (13.7.2032))</w:t>
      </w:r>
      <w:r w:rsidRPr="004F4D8E">
        <w:rPr>
          <w:rFonts w:ascii="Century" w:hAnsi="Century" w:cs="FrankRuehl"/>
          <w:spacing w:val="10"/>
          <w:szCs w:val="28"/>
          <w:rtl/>
        </w:rPr>
        <w:t xml:space="preserve">. </w:t>
      </w:r>
      <w:r w:rsidRPr="004F4D8E">
        <w:rPr>
          <w:rFonts w:ascii="Century" w:hAnsi="Century" w:cs="FrankRuehl" w:hint="eastAsia"/>
          <w:spacing w:val="10"/>
          <w:szCs w:val="28"/>
          <w:rtl/>
        </w:rPr>
        <w:t>כלומר</w:t>
      </w:r>
      <w:r>
        <w:rPr>
          <w:rFonts w:ascii="Century" w:hAnsi="Century" w:cs="FrankRuehl" w:hint="cs"/>
          <w:spacing w:val="10"/>
          <w:szCs w:val="28"/>
          <w:rtl/>
        </w:rPr>
        <w:t>,</w:t>
      </w:r>
      <w:r w:rsidRPr="004F4D8E">
        <w:rPr>
          <w:rFonts w:ascii="Century" w:hAnsi="Century" w:cs="FrankRuehl"/>
          <w:spacing w:val="10"/>
          <w:szCs w:val="28"/>
          <w:rtl/>
        </w:rPr>
        <w:t xml:space="preserve"> גם מי שיזם את הצעת החוק היה סבור כי </w:t>
      </w:r>
      <w:r w:rsidRPr="004F4D8E">
        <w:rPr>
          <w:rFonts w:ascii="Century" w:hAnsi="Century" w:cs="FrankRuehl" w:hint="eastAsia"/>
          <w:spacing w:val="10"/>
          <w:szCs w:val="28"/>
          <w:rtl/>
        </w:rPr>
        <w:t>ה</w:t>
      </w:r>
      <w:r>
        <w:rPr>
          <w:rFonts w:ascii="Century" w:hAnsi="Century" w:cs="FrankRuehl" w:hint="cs"/>
          <w:spacing w:val="10"/>
          <w:szCs w:val="28"/>
          <w:rtl/>
        </w:rPr>
        <w:t>ה</w:t>
      </w:r>
      <w:r w:rsidRPr="004F4D8E">
        <w:rPr>
          <w:rFonts w:ascii="Century" w:hAnsi="Century" w:cs="FrankRuehl" w:hint="eastAsia"/>
          <w:spacing w:val="10"/>
          <w:szCs w:val="28"/>
          <w:rtl/>
        </w:rPr>
        <w:t>בחנה</w:t>
      </w:r>
      <w:r w:rsidRPr="004F4D8E">
        <w:rPr>
          <w:rFonts w:ascii="Century" w:hAnsi="Century" w:cs="FrankRuehl"/>
          <w:spacing w:val="10"/>
          <w:szCs w:val="28"/>
          <w:rtl/>
        </w:rPr>
        <w:t xml:space="preserve"> בין המצב לפני פסק הדין </w:t>
      </w:r>
      <w:r>
        <w:rPr>
          <w:rFonts w:ascii="Century" w:hAnsi="Century" w:cs="FrankRuehl" w:hint="cs"/>
          <w:spacing w:val="10"/>
          <w:szCs w:val="28"/>
          <w:rtl/>
        </w:rPr>
        <w:t xml:space="preserve">בעניין </w:t>
      </w:r>
      <w:r w:rsidRPr="004F4D8E">
        <w:rPr>
          <w:rFonts w:ascii="Century" w:hAnsi="Century" w:cs="Miriam" w:hint="eastAsia"/>
          <w:b/>
          <w:rtl/>
        </w:rPr>
        <w:t>דפי</w:t>
      </w:r>
      <w:r w:rsidRPr="004F4D8E">
        <w:rPr>
          <w:rFonts w:ascii="Century" w:hAnsi="Century" w:cs="Miriam"/>
          <w:b/>
          <w:rtl/>
        </w:rPr>
        <w:t xml:space="preserve"> </w:t>
      </w:r>
      <w:r w:rsidRPr="004F4D8E">
        <w:rPr>
          <w:rFonts w:ascii="Century" w:hAnsi="Century" w:cs="Miriam" w:hint="eastAsia"/>
          <w:b/>
          <w:rtl/>
        </w:rPr>
        <w:t>זהב</w:t>
      </w:r>
      <w:r w:rsidRPr="004F4D8E">
        <w:rPr>
          <w:rFonts w:ascii="Century" w:hAnsi="Century" w:cs="Miriam"/>
          <w:b/>
          <w:rtl/>
        </w:rPr>
        <w:t xml:space="preserve"> </w:t>
      </w:r>
      <w:r w:rsidRPr="004F4D8E">
        <w:rPr>
          <w:rFonts w:ascii="Century" w:hAnsi="Century" w:cs="FrankRuehl" w:hint="eastAsia"/>
          <w:spacing w:val="10"/>
          <w:szCs w:val="28"/>
          <w:rtl/>
        </w:rPr>
        <w:t>לבין</w:t>
      </w:r>
      <w:r w:rsidRPr="004F4D8E">
        <w:rPr>
          <w:rFonts w:ascii="Century" w:hAnsi="Century" w:cs="FrankRuehl"/>
          <w:spacing w:val="10"/>
          <w:szCs w:val="28"/>
          <w:rtl/>
        </w:rPr>
        <w:t xml:space="preserve"> </w:t>
      </w:r>
      <w:r w:rsidRPr="004F4D8E">
        <w:rPr>
          <w:rFonts w:ascii="Century" w:hAnsi="Century" w:cs="FrankRuehl" w:hint="eastAsia"/>
          <w:spacing w:val="10"/>
          <w:szCs w:val="28"/>
          <w:rtl/>
        </w:rPr>
        <w:t>המצב</w:t>
      </w:r>
      <w:r w:rsidRPr="004F4D8E">
        <w:rPr>
          <w:rFonts w:ascii="Century" w:hAnsi="Century" w:cs="FrankRuehl"/>
          <w:spacing w:val="10"/>
          <w:szCs w:val="28"/>
          <w:rtl/>
        </w:rPr>
        <w:t xml:space="preserve"> </w:t>
      </w:r>
      <w:r w:rsidRPr="004F4D8E">
        <w:rPr>
          <w:rFonts w:ascii="Century" w:hAnsi="Century" w:cs="FrankRuehl" w:hint="eastAsia"/>
          <w:spacing w:val="10"/>
          <w:szCs w:val="28"/>
          <w:rtl/>
        </w:rPr>
        <w:t>אחריו</w:t>
      </w:r>
      <w:r w:rsidRPr="004F4D8E">
        <w:rPr>
          <w:rFonts w:ascii="Century" w:hAnsi="Century" w:cs="FrankRuehl"/>
          <w:spacing w:val="10"/>
          <w:szCs w:val="28"/>
          <w:rtl/>
        </w:rPr>
        <w:t>,</w:t>
      </w:r>
      <w:r>
        <w:rPr>
          <w:rFonts w:ascii="Century" w:hAnsi="Century" w:cs="FrankRuehl" w:hint="cs"/>
          <w:spacing w:val="10"/>
          <w:szCs w:val="28"/>
          <w:rtl/>
        </w:rPr>
        <w:t xml:space="preserve"> ככל שמבינים אותה כה</w:t>
      </w:r>
      <w:r w:rsidRPr="004F4D8E">
        <w:rPr>
          <w:rFonts w:ascii="Century" w:hAnsi="Century" w:cs="FrankRuehl" w:hint="eastAsia"/>
          <w:spacing w:val="10"/>
          <w:szCs w:val="28"/>
          <w:rtl/>
        </w:rPr>
        <w:t>בחנה</w:t>
      </w:r>
      <w:r w:rsidRPr="004F4D8E">
        <w:rPr>
          <w:rFonts w:ascii="Century" w:hAnsi="Century" w:cs="FrankRuehl"/>
          <w:spacing w:val="10"/>
          <w:szCs w:val="28"/>
          <w:rtl/>
        </w:rPr>
        <w:t xml:space="preserve"> </w:t>
      </w:r>
      <w:r w:rsidRPr="004F4D8E">
        <w:rPr>
          <w:rFonts w:ascii="Century" w:hAnsi="Century" w:cs="FrankRuehl" w:hint="eastAsia"/>
          <w:spacing w:val="10"/>
          <w:szCs w:val="28"/>
          <w:rtl/>
        </w:rPr>
        <w:t>בין</w:t>
      </w:r>
      <w:r w:rsidRPr="004F4D8E">
        <w:rPr>
          <w:rFonts w:ascii="Century" w:hAnsi="Century" w:cs="FrankRuehl"/>
          <w:spacing w:val="10"/>
          <w:szCs w:val="28"/>
          <w:rtl/>
        </w:rPr>
        <w:t xml:space="preserve"> אי</w:t>
      </w:r>
      <w:r>
        <w:rPr>
          <w:rFonts w:ascii="Century" w:hAnsi="Century" w:cs="FrankRuehl" w:hint="cs"/>
          <w:spacing w:val="10"/>
          <w:szCs w:val="28"/>
          <w:rtl/>
        </w:rPr>
        <w:t>-</w:t>
      </w:r>
      <w:r w:rsidRPr="004F4D8E">
        <w:rPr>
          <w:rFonts w:ascii="Century" w:hAnsi="Century" w:cs="FrankRuehl"/>
          <w:spacing w:val="10"/>
          <w:szCs w:val="28"/>
          <w:rtl/>
        </w:rPr>
        <w:t xml:space="preserve">סבירות קיצונית </w:t>
      </w:r>
      <w:r w:rsidRPr="004F4D8E">
        <w:rPr>
          <w:rFonts w:ascii="Century" w:hAnsi="Century" w:cs="FrankRuehl" w:hint="eastAsia"/>
          <w:spacing w:val="10"/>
          <w:szCs w:val="28"/>
          <w:rtl/>
        </w:rPr>
        <w:t>לבין</w:t>
      </w:r>
      <w:r w:rsidRPr="004F4D8E">
        <w:rPr>
          <w:rFonts w:ascii="Century" w:hAnsi="Century" w:cs="FrankRuehl"/>
          <w:spacing w:val="10"/>
          <w:szCs w:val="28"/>
          <w:rtl/>
        </w:rPr>
        <w:t xml:space="preserve"> </w:t>
      </w:r>
      <w:r w:rsidRPr="004F4D8E">
        <w:rPr>
          <w:rFonts w:ascii="Century" w:hAnsi="Century" w:cs="FrankRuehl" w:hint="eastAsia"/>
          <w:spacing w:val="10"/>
          <w:szCs w:val="28"/>
          <w:rtl/>
        </w:rPr>
        <w:t>אי</w:t>
      </w:r>
      <w:r>
        <w:rPr>
          <w:rFonts w:ascii="Century" w:hAnsi="Century" w:cs="FrankRuehl" w:hint="cs"/>
          <w:spacing w:val="10"/>
          <w:szCs w:val="28"/>
          <w:rtl/>
        </w:rPr>
        <w:t>-</w:t>
      </w:r>
      <w:r w:rsidRPr="004F4D8E">
        <w:rPr>
          <w:rFonts w:ascii="Century" w:hAnsi="Century" w:cs="FrankRuehl" w:hint="eastAsia"/>
          <w:spacing w:val="10"/>
          <w:szCs w:val="28"/>
          <w:rtl/>
        </w:rPr>
        <w:t>סבירות</w:t>
      </w:r>
      <w:r w:rsidRPr="004F4D8E">
        <w:rPr>
          <w:rFonts w:ascii="Century" w:hAnsi="Century" w:cs="FrankRuehl"/>
          <w:spacing w:val="10"/>
          <w:szCs w:val="28"/>
          <w:rtl/>
        </w:rPr>
        <w:t xml:space="preserve"> </w:t>
      </w:r>
      <w:r w:rsidRPr="004F4D8E">
        <w:rPr>
          <w:rFonts w:ascii="Century" w:hAnsi="Century" w:cs="FrankRuehl" w:hint="eastAsia"/>
          <w:spacing w:val="10"/>
          <w:szCs w:val="28"/>
          <w:rtl/>
        </w:rPr>
        <w:t>שאינה</w:t>
      </w:r>
      <w:r w:rsidRPr="004F4D8E">
        <w:rPr>
          <w:rFonts w:ascii="Century" w:hAnsi="Century" w:cs="FrankRuehl"/>
          <w:spacing w:val="10"/>
          <w:szCs w:val="28"/>
          <w:rtl/>
        </w:rPr>
        <w:t xml:space="preserve"> </w:t>
      </w:r>
      <w:r w:rsidRPr="004F4D8E">
        <w:rPr>
          <w:rFonts w:ascii="Century" w:hAnsi="Century" w:cs="FrankRuehl" w:hint="eastAsia"/>
          <w:spacing w:val="10"/>
          <w:szCs w:val="28"/>
          <w:rtl/>
        </w:rPr>
        <w:t>קיצונית</w:t>
      </w:r>
      <w:r>
        <w:rPr>
          <w:rFonts w:ascii="Century" w:hAnsi="Century" w:cs="FrankRuehl" w:hint="cs"/>
          <w:spacing w:val="10"/>
          <w:szCs w:val="28"/>
          <w:rtl/>
        </w:rPr>
        <w:t xml:space="preserve"> </w:t>
      </w:r>
      <w:r>
        <w:rPr>
          <w:rFonts w:ascii="Century" w:hAnsi="Century" w:cs="FrankRuehl"/>
          <w:spacing w:val="10"/>
          <w:szCs w:val="28"/>
          <w:rtl/>
        </w:rPr>
        <w:t>–</w:t>
      </w:r>
      <w:r>
        <w:rPr>
          <w:rFonts w:ascii="Century" w:hAnsi="Century" w:cs="FrankRuehl" w:hint="cs"/>
          <w:spacing w:val="10"/>
          <w:szCs w:val="28"/>
          <w:rtl/>
        </w:rPr>
        <w:t xml:space="preserve"> </w:t>
      </w:r>
      <w:r w:rsidRPr="004F4D8E">
        <w:rPr>
          <w:rFonts w:ascii="Century" w:hAnsi="Century" w:cs="FrankRuehl" w:hint="eastAsia"/>
          <w:spacing w:val="10"/>
          <w:szCs w:val="28"/>
          <w:rtl/>
        </w:rPr>
        <w:t>היא</w:t>
      </w:r>
      <w:r>
        <w:rPr>
          <w:rFonts w:ascii="Century" w:hAnsi="Century" w:cs="FrankRuehl" w:hint="cs"/>
          <w:spacing w:val="10"/>
          <w:szCs w:val="28"/>
          <w:rtl/>
        </w:rPr>
        <w:t xml:space="preserve"> ה</w:t>
      </w:r>
      <w:r w:rsidRPr="004F4D8E">
        <w:rPr>
          <w:rFonts w:ascii="Century" w:hAnsi="Century" w:cs="FrankRuehl" w:hint="eastAsia"/>
          <w:spacing w:val="10"/>
          <w:szCs w:val="28"/>
          <w:rtl/>
        </w:rPr>
        <w:t>בחנה</w:t>
      </w:r>
      <w:r w:rsidRPr="004F4D8E">
        <w:rPr>
          <w:rFonts w:ascii="Century" w:hAnsi="Century" w:cs="FrankRuehl"/>
          <w:spacing w:val="10"/>
          <w:szCs w:val="28"/>
          <w:rtl/>
        </w:rPr>
        <w:t xml:space="preserve"> </w:t>
      </w:r>
      <w:r w:rsidRPr="004F4D8E">
        <w:rPr>
          <w:rFonts w:ascii="Century" w:hAnsi="Century" w:cs="FrankRuehl" w:hint="eastAsia"/>
          <w:spacing w:val="10"/>
          <w:szCs w:val="28"/>
          <w:rtl/>
        </w:rPr>
        <w:t>ש</w:t>
      </w:r>
      <w:r>
        <w:rPr>
          <w:rFonts w:ascii="Century" w:hAnsi="Century" w:cs="FrankRuehl" w:hint="cs"/>
          <w:spacing w:val="10"/>
          <w:szCs w:val="28"/>
          <w:rtl/>
        </w:rPr>
        <w:t xml:space="preserve">לא </w:t>
      </w:r>
      <w:r w:rsidRPr="004F4D8E">
        <w:rPr>
          <w:rFonts w:ascii="Century" w:hAnsi="Century" w:cs="FrankRuehl"/>
          <w:spacing w:val="10"/>
          <w:szCs w:val="28"/>
          <w:rtl/>
        </w:rPr>
        <w:t xml:space="preserve">ניתן לבצעה. </w:t>
      </w:r>
      <w:r w:rsidRPr="001959F6">
        <w:rPr>
          <w:rFonts w:ascii="Century" w:hAnsi="Century" w:cs="FrankRuehl" w:hint="eastAsia"/>
          <w:spacing w:val="10"/>
          <w:szCs w:val="28"/>
          <w:rtl/>
        </w:rPr>
        <w:t>גם</w:t>
      </w:r>
      <w:r w:rsidRPr="001959F6">
        <w:rPr>
          <w:rFonts w:ascii="Century" w:hAnsi="Century" w:cs="FrankRuehl"/>
          <w:spacing w:val="10"/>
          <w:szCs w:val="28"/>
          <w:rtl/>
        </w:rPr>
        <w:t xml:space="preserve"> </w:t>
      </w:r>
      <w:r w:rsidRPr="001959F6">
        <w:rPr>
          <w:rFonts w:ascii="Century" w:hAnsi="Century" w:cs="FrankRuehl" w:hint="eastAsia"/>
          <w:spacing w:val="10"/>
          <w:szCs w:val="28"/>
          <w:rtl/>
        </w:rPr>
        <w:t>בהשלמת</w:t>
      </w:r>
      <w:r w:rsidRPr="001959F6">
        <w:rPr>
          <w:rFonts w:ascii="Century" w:hAnsi="Century" w:cs="FrankRuehl"/>
          <w:spacing w:val="10"/>
          <w:szCs w:val="28"/>
          <w:rtl/>
        </w:rPr>
        <w:t xml:space="preserve"> </w:t>
      </w:r>
      <w:r w:rsidRPr="001959F6">
        <w:rPr>
          <w:rFonts w:ascii="Century" w:hAnsi="Century" w:cs="FrankRuehl" w:hint="eastAsia"/>
          <w:spacing w:val="10"/>
          <w:szCs w:val="28"/>
          <w:rtl/>
        </w:rPr>
        <w:t>הטיעון</w:t>
      </w:r>
      <w:r w:rsidRPr="001959F6">
        <w:rPr>
          <w:rFonts w:ascii="Century" w:hAnsi="Century" w:cs="FrankRuehl"/>
          <w:spacing w:val="10"/>
          <w:szCs w:val="28"/>
          <w:rtl/>
        </w:rPr>
        <w:t xml:space="preserve"> </w:t>
      </w:r>
      <w:r w:rsidRPr="001959F6">
        <w:rPr>
          <w:rFonts w:ascii="Century" w:hAnsi="Century" w:cs="FrankRuehl" w:hint="eastAsia"/>
          <w:spacing w:val="10"/>
          <w:szCs w:val="28"/>
          <w:rtl/>
        </w:rPr>
        <w:t>שהוגשה</w:t>
      </w:r>
      <w:r w:rsidRPr="001959F6">
        <w:rPr>
          <w:rFonts w:ascii="Century" w:hAnsi="Century" w:cs="FrankRuehl"/>
          <w:spacing w:val="10"/>
          <w:szCs w:val="28"/>
          <w:rtl/>
        </w:rPr>
        <w:t xml:space="preserve"> </w:t>
      </w:r>
      <w:r w:rsidRPr="001959F6">
        <w:rPr>
          <w:rFonts w:ascii="Century" w:hAnsi="Century" w:cs="FrankRuehl" w:hint="eastAsia"/>
          <w:spacing w:val="10"/>
          <w:szCs w:val="28"/>
          <w:rtl/>
        </w:rPr>
        <w:t>מטעם</w:t>
      </w:r>
      <w:r w:rsidRPr="001959F6">
        <w:rPr>
          <w:rFonts w:ascii="Century" w:hAnsi="Century" w:cs="FrankRuehl"/>
          <w:spacing w:val="10"/>
          <w:szCs w:val="28"/>
          <w:rtl/>
        </w:rPr>
        <w:t xml:space="preserve"> </w:t>
      </w:r>
      <w:r w:rsidRPr="001959F6">
        <w:rPr>
          <w:rFonts w:ascii="Century" w:hAnsi="Century" w:cs="FrankRuehl" w:hint="eastAsia"/>
          <w:spacing w:val="10"/>
          <w:szCs w:val="28"/>
          <w:rtl/>
        </w:rPr>
        <w:t>משיבי</w:t>
      </w:r>
      <w:r w:rsidRPr="001959F6">
        <w:rPr>
          <w:rFonts w:ascii="Century" w:hAnsi="Century" w:cs="FrankRuehl"/>
          <w:spacing w:val="10"/>
          <w:szCs w:val="28"/>
          <w:rtl/>
        </w:rPr>
        <w:t xml:space="preserve"> </w:t>
      </w:r>
      <w:r w:rsidRPr="001959F6">
        <w:rPr>
          <w:rFonts w:ascii="Century" w:hAnsi="Century" w:cs="FrankRuehl" w:hint="eastAsia"/>
          <w:spacing w:val="10"/>
          <w:szCs w:val="28"/>
          <w:rtl/>
        </w:rPr>
        <w:t>הממשלה</w:t>
      </w:r>
      <w:r w:rsidRPr="001959F6">
        <w:rPr>
          <w:rFonts w:ascii="Century" w:hAnsi="Century" w:cs="FrankRuehl"/>
          <w:spacing w:val="10"/>
          <w:szCs w:val="28"/>
          <w:rtl/>
        </w:rPr>
        <w:t xml:space="preserve"> </w:t>
      </w:r>
      <w:r w:rsidRPr="001959F6">
        <w:rPr>
          <w:rFonts w:ascii="Century" w:hAnsi="Century" w:cs="FrankRuehl" w:hint="eastAsia"/>
          <w:spacing w:val="10"/>
          <w:szCs w:val="28"/>
          <w:rtl/>
        </w:rPr>
        <w:t>הובעה</w:t>
      </w:r>
      <w:r w:rsidRPr="001959F6">
        <w:rPr>
          <w:rFonts w:ascii="Century" w:hAnsi="Century" w:cs="FrankRuehl"/>
          <w:spacing w:val="10"/>
          <w:szCs w:val="28"/>
          <w:rtl/>
        </w:rPr>
        <w:t xml:space="preserve"> </w:t>
      </w:r>
      <w:r w:rsidRPr="001959F6">
        <w:rPr>
          <w:rFonts w:ascii="Century" w:hAnsi="Century" w:cs="FrankRuehl" w:hint="eastAsia"/>
          <w:spacing w:val="10"/>
          <w:szCs w:val="28"/>
          <w:rtl/>
        </w:rPr>
        <w:t>עמדה</w:t>
      </w:r>
      <w:r w:rsidRPr="001959F6">
        <w:rPr>
          <w:rFonts w:ascii="Century" w:hAnsi="Century" w:cs="FrankRuehl"/>
          <w:spacing w:val="10"/>
          <w:szCs w:val="28"/>
          <w:rtl/>
        </w:rPr>
        <w:t xml:space="preserve"> </w:t>
      </w:r>
      <w:r w:rsidRPr="001959F6">
        <w:rPr>
          <w:rFonts w:ascii="Century" w:hAnsi="Century" w:cs="FrankRuehl" w:hint="eastAsia"/>
          <w:spacing w:val="10"/>
          <w:szCs w:val="28"/>
          <w:rtl/>
        </w:rPr>
        <w:t>דומה</w:t>
      </w:r>
      <w:r>
        <w:rPr>
          <w:rFonts w:ascii="Century" w:hAnsi="Century" w:cs="FrankRuehl" w:hint="cs"/>
          <w:spacing w:val="10"/>
          <w:szCs w:val="28"/>
          <w:rtl/>
        </w:rPr>
        <w:t xml:space="preserve"> לפיה</w:t>
      </w:r>
      <w:r w:rsidRPr="001959F6">
        <w:rPr>
          <w:rFonts w:ascii="Century" w:hAnsi="Century" w:cs="FrankRuehl"/>
          <w:spacing w:val="10"/>
          <w:szCs w:val="28"/>
          <w:rtl/>
        </w:rPr>
        <w:t xml:space="preserve"> </w:t>
      </w:r>
      <w:r w:rsidRPr="001959F6">
        <w:rPr>
          <w:rFonts w:ascii="Century" w:hAnsi="Century" w:cs="FrankRuehl" w:hint="eastAsia"/>
          <w:spacing w:val="10"/>
          <w:szCs w:val="28"/>
          <w:rtl/>
        </w:rPr>
        <w:t>אין</w:t>
      </w:r>
      <w:r w:rsidRPr="001959F6">
        <w:rPr>
          <w:rFonts w:ascii="Century" w:hAnsi="Century" w:cs="FrankRuehl"/>
          <w:spacing w:val="10"/>
          <w:szCs w:val="28"/>
          <w:rtl/>
        </w:rPr>
        <w:t xml:space="preserve"> </w:t>
      </w:r>
      <w:r w:rsidRPr="001959F6">
        <w:rPr>
          <w:rFonts w:ascii="Century" w:hAnsi="Century" w:cs="FrankRuehl" w:hint="eastAsia"/>
          <w:spacing w:val="10"/>
          <w:szCs w:val="28"/>
          <w:rtl/>
        </w:rPr>
        <w:t>יכולת</w:t>
      </w:r>
      <w:r w:rsidRPr="001959F6">
        <w:rPr>
          <w:rFonts w:ascii="Century" w:hAnsi="Century" w:cs="FrankRuehl"/>
          <w:spacing w:val="10"/>
          <w:szCs w:val="28"/>
          <w:rtl/>
        </w:rPr>
        <w:t xml:space="preserve"> </w:t>
      </w:r>
      <w:r w:rsidRPr="001959F6">
        <w:rPr>
          <w:rFonts w:ascii="Century" w:hAnsi="Century" w:cs="FrankRuehl" w:hint="eastAsia"/>
          <w:spacing w:val="10"/>
          <w:szCs w:val="28"/>
          <w:rtl/>
        </w:rPr>
        <w:t>מעשית</w:t>
      </w:r>
      <w:r w:rsidRPr="001959F6">
        <w:rPr>
          <w:rFonts w:ascii="Century" w:hAnsi="Century" w:cs="FrankRuehl"/>
          <w:spacing w:val="10"/>
          <w:szCs w:val="28"/>
          <w:rtl/>
        </w:rPr>
        <w:t xml:space="preserve"> "</w:t>
      </w:r>
      <w:r w:rsidRPr="00D170F5">
        <w:rPr>
          <w:rFonts w:ascii="Century" w:hAnsi="Century" w:cs="Miriam" w:hint="eastAsia"/>
          <w:b/>
          <w:rtl/>
        </w:rPr>
        <w:t>להבחין</w:t>
      </w:r>
      <w:r w:rsidRPr="00D170F5">
        <w:rPr>
          <w:rFonts w:ascii="Century" w:hAnsi="Century" w:cs="Miriam"/>
          <w:b/>
          <w:rtl/>
        </w:rPr>
        <w:t xml:space="preserve"> </w:t>
      </w:r>
      <w:r w:rsidRPr="00D170F5">
        <w:rPr>
          <w:rFonts w:ascii="Century" w:hAnsi="Century" w:cs="Miriam" w:hint="eastAsia"/>
          <w:b/>
          <w:rtl/>
        </w:rPr>
        <w:t>בין</w:t>
      </w:r>
      <w:r w:rsidRPr="00D170F5">
        <w:rPr>
          <w:rFonts w:ascii="Century" w:hAnsi="Century" w:cs="Miriam"/>
          <w:b/>
          <w:rtl/>
        </w:rPr>
        <w:t xml:space="preserve"> </w:t>
      </w:r>
      <w:r w:rsidRPr="00D170F5">
        <w:rPr>
          <w:rFonts w:ascii="Century" w:hAnsi="Century" w:cs="Miriam" w:hint="eastAsia"/>
          <w:b/>
          <w:rtl/>
        </w:rPr>
        <w:t>מקרים</w:t>
      </w:r>
      <w:r w:rsidRPr="00D170F5">
        <w:rPr>
          <w:rFonts w:ascii="Century" w:hAnsi="Century" w:cs="Miriam"/>
          <w:b/>
          <w:rtl/>
        </w:rPr>
        <w:t xml:space="preserve"> </w:t>
      </w:r>
      <w:r w:rsidRPr="00D170F5">
        <w:rPr>
          <w:rFonts w:ascii="Century" w:hAnsi="Century" w:cs="Miriam" w:hint="eastAsia"/>
          <w:b/>
          <w:rtl/>
        </w:rPr>
        <w:t>קיצוניים</w:t>
      </w:r>
      <w:r w:rsidRPr="00D170F5">
        <w:rPr>
          <w:rFonts w:ascii="Century" w:hAnsi="Century" w:cs="Miriam"/>
          <w:b/>
          <w:rtl/>
        </w:rPr>
        <w:t xml:space="preserve"> </w:t>
      </w:r>
      <w:r w:rsidRPr="00D170F5">
        <w:rPr>
          <w:rFonts w:ascii="Century" w:hAnsi="Century" w:cs="Miriam" w:hint="eastAsia"/>
          <w:b/>
          <w:rtl/>
        </w:rPr>
        <w:t>אבסורדיים</w:t>
      </w:r>
      <w:r w:rsidRPr="00D170F5">
        <w:rPr>
          <w:rFonts w:ascii="Century" w:hAnsi="Century" w:cs="Miriam"/>
          <w:b/>
          <w:rtl/>
        </w:rPr>
        <w:t xml:space="preserve"> </w:t>
      </w:r>
      <w:r w:rsidRPr="00D170F5">
        <w:rPr>
          <w:rFonts w:ascii="Century" w:hAnsi="Century" w:cs="Miriam" w:hint="eastAsia"/>
          <w:b/>
          <w:rtl/>
        </w:rPr>
        <w:t>לבין</w:t>
      </w:r>
      <w:r w:rsidRPr="00D170F5">
        <w:rPr>
          <w:rFonts w:ascii="Century" w:hAnsi="Century" w:cs="Miriam"/>
          <w:b/>
          <w:rtl/>
        </w:rPr>
        <w:t xml:space="preserve"> </w:t>
      </w:r>
      <w:r w:rsidRPr="00D170F5">
        <w:rPr>
          <w:rFonts w:ascii="Century" w:hAnsi="Century" w:cs="Miriam" w:hint="eastAsia"/>
          <w:b/>
          <w:rtl/>
        </w:rPr>
        <w:t>קביעת</w:t>
      </w:r>
      <w:r w:rsidRPr="00D170F5">
        <w:rPr>
          <w:rFonts w:ascii="Century" w:hAnsi="Century" w:cs="Miriam"/>
          <w:b/>
          <w:rtl/>
        </w:rPr>
        <w:t xml:space="preserve"> </w:t>
      </w:r>
      <w:r w:rsidRPr="00D170F5">
        <w:rPr>
          <w:rFonts w:ascii="Century" w:hAnsi="Century" w:cs="Miriam" w:hint="eastAsia"/>
          <w:b/>
          <w:rtl/>
        </w:rPr>
        <w:t>מתחם</w:t>
      </w:r>
      <w:r w:rsidRPr="00D170F5">
        <w:rPr>
          <w:rFonts w:ascii="Century" w:hAnsi="Century" w:cs="Miriam"/>
          <w:b/>
          <w:rtl/>
        </w:rPr>
        <w:t xml:space="preserve"> </w:t>
      </w:r>
      <w:r w:rsidRPr="00D170F5">
        <w:rPr>
          <w:rFonts w:ascii="Century" w:hAnsi="Century" w:cs="Miriam" w:hint="eastAsia"/>
          <w:b/>
          <w:rtl/>
        </w:rPr>
        <w:t>של</w:t>
      </w:r>
      <w:r w:rsidRPr="00D170F5">
        <w:rPr>
          <w:rFonts w:ascii="Century" w:hAnsi="Century" w:cs="Miriam"/>
          <w:b/>
          <w:rtl/>
        </w:rPr>
        <w:t xml:space="preserve"> </w:t>
      </w:r>
      <w:r w:rsidRPr="00D170F5">
        <w:rPr>
          <w:rFonts w:ascii="Century" w:hAnsi="Century" w:cs="Miriam" w:hint="eastAsia"/>
          <w:b/>
          <w:rtl/>
        </w:rPr>
        <w:t>סבירות</w:t>
      </w:r>
      <w:r w:rsidRPr="00D170F5">
        <w:rPr>
          <w:rFonts w:ascii="Century" w:hAnsi="Century" w:cs="Miriam"/>
          <w:b/>
          <w:rtl/>
        </w:rPr>
        <w:t xml:space="preserve"> </w:t>
      </w:r>
      <w:r w:rsidRPr="00D170F5">
        <w:rPr>
          <w:rFonts w:ascii="Century" w:hAnsi="Century" w:cs="Miriam" w:hint="eastAsia"/>
          <w:b/>
          <w:rtl/>
        </w:rPr>
        <w:t>איזונית</w:t>
      </w:r>
      <w:r w:rsidRPr="00D170F5">
        <w:rPr>
          <w:rFonts w:ascii="Century" w:hAnsi="Century" w:cs="Miriam"/>
          <w:b/>
          <w:rtl/>
        </w:rPr>
        <w:t>...</w:t>
      </w:r>
      <w:r>
        <w:rPr>
          <w:rFonts w:ascii="Century" w:hAnsi="Century" w:cs="FrankRuehl" w:hint="cs"/>
          <w:spacing w:val="10"/>
          <w:szCs w:val="28"/>
          <w:rtl/>
        </w:rPr>
        <w:t xml:space="preserve">" (פסקה 45 להשלמת הטיעון). </w:t>
      </w:r>
    </w:p>
    <w:p w:rsidR="00A01E7C" w:rsidRDefault="00A01E7C" w:rsidP="00A01E7C">
      <w:pPr>
        <w:spacing w:line="360" w:lineRule="auto"/>
        <w:ind w:firstLine="720"/>
        <w:jc w:val="both"/>
        <w:rPr>
          <w:rFonts w:ascii="Century" w:hAnsi="Century" w:cs="FrankRuehl"/>
          <w:spacing w:val="10"/>
          <w:szCs w:val="28"/>
          <w:rtl/>
        </w:rPr>
      </w:pPr>
    </w:p>
    <w:p w:rsidR="00A01E7C" w:rsidRPr="004F4D8E" w:rsidRDefault="00A01E7C" w:rsidP="00A01E7C">
      <w:pPr>
        <w:spacing w:line="360" w:lineRule="auto"/>
        <w:ind w:firstLine="720"/>
        <w:jc w:val="both"/>
        <w:rPr>
          <w:rFonts w:ascii="Century" w:hAnsi="Century" w:cs="FrankRuehl"/>
          <w:spacing w:val="10"/>
          <w:szCs w:val="28"/>
          <w:rtl/>
        </w:rPr>
      </w:pPr>
      <w:r>
        <w:rPr>
          <w:rFonts w:ascii="Century" w:hAnsi="Century" w:cs="FrankRuehl" w:hint="cs"/>
          <w:spacing w:val="10"/>
          <w:szCs w:val="28"/>
          <w:rtl/>
        </w:rPr>
        <w:t xml:space="preserve">על כן, גם אם קוראים את הפרשנות המצמצמת ככזו שנועדה להעלות את רף ההתערבות בהחלטות של הממשלה, ראש הממשלה ושריה מכוח עילת הסבירות </w:t>
      </w:r>
      <w:r>
        <w:rPr>
          <w:rFonts w:ascii="Century" w:hAnsi="Century" w:cs="FrankRuehl"/>
          <w:spacing w:val="10"/>
          <w:szCs w:val="28"/>
          <w:rtl/>
        </w:rPr>
        <w:t>–</w:t>
      </w:r>
      <w:r>
        <w:rPr>
          <w:rFonts w:ascii="Century" w:hAnsi="Century" w:cs="FrankRuehl" w:hint="cs"/>
          <w:spacing w:val="10"/>
          <w:szCs w:val="28"/>
          <w:rtl/>
        </w:rPr>
        <w:t xml:space="preserve"> אינני סבורה כי ניתן לקבלה.</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jc w:val="both"/>
        <w:rPr>
          <w:rFonts w:ascii="Century" w:hAnsi="Century" w:cs="FrankRuehl"/>
          <w:spacing w:val="10"/>
          <w:szCs w:val="28"/>
          <w:rtl/>
        </w:rPr>
      </w:pPr>
      <w:r>
        <w:rPr>
          <w:rFonts w:ascii="Century" w:hAnsi="Century" w:cs="FrankRuehl"/>
          <w:spacing w:val="10"/>
          <w:szCs w:val="28"/>
          <w:rtl/>
        </w:rPr>
        <w:lastRenderedPageBreak/>
        <w:tab/>
      </w:r>
      <w:r w:rsidRPr="00EB646B">
        <w:rPr>
          <w:rFonts w:ascii="Century" w:hAnsi="Century" w:cs="Miriam" w:hint="eastAsia"/>
          <w:b/>
          <w:rtl/>
        </w:rPr>
        <w:t>המובן</w:t>
      </w:r>
      <w:r w:rsidRPr="00EB646B">
        <w:rPr>
          <w:rFonts w:ascii="Century" w:hAnsi="Century" w:cs="Miriam"/>
          <w:b/>
          <w:rtl/>
        </w:rPr>
        <w:t xml:space="preserve"> </w:t>
      </w:r>
      <w:r w:rsidRPr="00EB646B">
        <w:rPr>
          <w:rFonts w:ascii="Century" w:hAnsi="Century" w:cs="Miriam" w:hint="eastAsia"/>
          <w:b/>
          <w:rtl/>
        </w:rPr>
        <w:t>השני</w:t>
      </w:r>
      <w:r w:rsidRPr="00CA6EEB">
        <w:rPr>
          <w:rFonts w:ascii="Century" w:hAnsi="Century" w:cs="FrankRuehl"/>
          <w:spacing w:val="10"/>
          <w:szCs w:val="28"/>
          <w:rtl/>
        </w:rPr>
        <w:t xml:space="preserve"> </w:t>
      </w:r>
      <w:r>
        <w:rPr>
          <w:rFonts w:ascii="Century" w:hAnsi="Century" w:cs="FrankRuehl" w:hint="cs"/>
          <w:spacing w:val="10"/>
          <w:szCs w:val="28"/>
          <w:rtl/>
        </w:rPr>
        <w:t xml:space="preserve">הוא שמקריאת עמדותיהם של חלק מחבריי הנוקטים בפרשנות המצמצמת, עולה כי למעשה הם מבקשים לרוקן את התיקון כמעט מכל תוכן. כך למשל, מציינת השופטת </w:t>
      </w:r>
      <w:r w:rsidRPr="00EB646B">
        <w:rPr>
          <w:rFonts w:ascii="Century" w:hAnsi="Century" w:cs="Miriam" w:hint="eastAsia"/>
          <w:b/>
          <w:rtl/>
        </w:rPr>
        <w:t>כנפי</w:t>
      </w:r>
      <w:r w:rsidRPr="00EB646B">
        <w:rPr>
          <w:rFonts w:ascii="Century" w:hAnsi="Century" w:cs="Miriam"/>
          <w:b/>
          <w:rtl/>
        </w:rPr>
        <w:t>-</w:t>
      </w:r>
      <w:r w:rsidRPr="00EB646B">
        <w:rPr>
          <w:rFonts w:ascii="Century" w:hAnsi="Century" w:cs="Miriam" w:hint="eastAsia"/>
          <w:b/>
          <w:rtl/>
        </w:rPr>
        <w:t>שטייניץ</w:t>
      </w:r>
      <w:r w:rsidRPr="001B5012">
        <w:rPr>
          <w:rFonts w:ascii="Century" w:hAnsi="Century" w:cs="FrankRuehl"/>
          <w:spacing w:val="10"/>
          <w:szCs w:val="28"/>
          <w:rtl/>
        </w:rPr>
        <w:t xml:space="preserve"> </w:t>
      </w:r>
      <w:r>
        <w:rPr>
          <w:rFonts w:ascii="Century" w:hAnsi="Century" w:cs="FrankRuehl" w:hint="cs"/>
          <w:spacing w:val="10"/>
          <w:szCs w:val="28"/>
          <w:rtl/>
        </w:rPr>
        <w:t>בחוות דעתה כי "</w:t>
      </w:r>
      <w:r w:rsidRPr="00D170F5">
        <w:rPr>
          <w:rFonts w:ascii="Century" w:hAnsi="Century" w:cs="Miriam" w:hint="eastAsia"/>
          <w:b/>
          <w:rtl/>
        </w:rPr>
        <w:t>כלל</w:t>
      </w:r>
      <w:r w:rsidRPr="00D170F5">
        <w:rPr>
          <w:rFonts w:ascii="Century" w:hAnsi="Century" w:cs="Miriam"/>
          <w:b/>
          <w:rtl/>
        </w:rPr>
        <w:t xml:space="preserve"> </w:t>
      </w:r>
      <w:r w:rsidRPr="00D170F5">
        <w:rPr>
          <w:rFonts w:ascii="Century" w:hAnsi="Century" w:cs="Miriam" w:hint="eastAsia"/>
          <w:b/>
          <w:rtl/>
        </w:rPr>
        <w:t>לא</w:t>
      </w:r>
      <w:r w:rsidRPr="00D170F5">
        <w:rPr>
          <w:rFonts w:ascii="Century" w:hAnsi="Century" w:cs="Miriam"/>
          <w:b/>
          <w:rtl/>
        </w:rPr>
        <w:t xml:space="preserve"> </w:t>
      </w:r>
      <w:r w:rsidRPr="00D170F5">
        <w:rPr>
          <w:rFonts w:ascii="Century" w:hAnsi="Century" w:cs="Miriam" w:hint="eastAsia"/>
          <w:b/>
          <w:rtl/>
        </w:rPr>
        <w:t>ברור</w:t>
      </w:r>
      <w:r w:rsidRPr="00D170F5">
        <w:rPr>
          <w:rFonts w:ascii="Century" w:hAnsi="Century" w:cs="Miriam"/>
          <w:b/>
          <w:rtl/>
        </w:rPr>
        <w:t xml:space="preserve"> </w:t>
      </w:r>
      <w:r w:rsidRPr="00D170F5">
        <w:rPr>
          <w:rFonts w:ascii="Century" w:hAnsi="Century" w:cs="Miriam" w:hint="eastAsia"/>
          <w:b/>
          <w:rtl/>
        </w:rPr>
        <w:t>באיזו</w:t>
      </w:r>
      <w:r w:rsidRPr="00D170F5">
        <w:rPr>
          <w:rFonts w:ascii="Century" w:hAnsi="Century" w:cs="Miriam"/>
          <w:b/>
          <w:rtl/>
        </w:rPr>
        <w:t xml:space="preserve"> </w:t>
      </w:r>
      <w:r w:rsidRPr="00D170F5">
        <w:rPr>
          <w:rFonts w:ascii="Century" w:hAnsi="Century" w:cs="Miriam" w:hint="eastAsia"/>
          <w:b/>
          <w:rtl/>
        </w:rPr>
        <w:t>מידה</w:t>
      </w:r>
      <w:r w:rsidRPr="00D170F5">
        <w:rPr>
          <w:rFonts w:ascii="Century" w:hAnsi="Century" w:cs="Miriam"/>
          <w:b/>
          <w:rtl/>
        </w:rPr>
        <w:t xml:space="preserve"> </w:t>
      </w:r>
      <w:r w:rsidRPr="00D170F5">
        <w:rPr>
          <w:rFonts w:ascii="Century" w:hAnsi="Century" w:cs="Miriam" w:hint="eastAsia"/>
          <w:b/>
          <w:rtl/>
        </w:rPr>
        <w:t>יימצאו</w:t>
      </w:r>
      <w:r w:rsidRPr="00D170F5">
        <w:rPr>
          <w:rFonts w:ascii="Century" w:hAnsi="Century" w:cs="Miriam"/>
          <w:b/>
          <w:rtl/>
        </w:rPr>
        <w:t xml:space="preserve"> </w:t>
      </w:r>
      <w:r w:rsidRPr="00D170F5">
        <w:rPr>
          <w:rFonts w:ascii="Century" w:hAnsi="Century" w:cs="Miriam" w:hint="eastAsia"/>
          <w:b/>
          <w:rtl/>
        </w:rPr>
        <w:t>לאחר</w:t>
      </w:r>
      <w:r w:rsidRPr="00D170F5">
        <w:rPr>
          <w:rFonts w:ascii="Century" w:hAnsi="Century" w:cs="Miriam"/>
          <w:b/>
          <w:rtl/>
        </w:rPr>
        <w:t xml:space="preserve"> </w:t>
      </w:r>
      <w:r w:rsidRPr="00D170F5">
        <w:rPr>
          <w:rFonts w:ascii="Century" w:hAnsi="Century" w:cs="Miriam" w:hint="eastAsia"/>
          <w:b/>
          <w:rtl/>
        </w:rPr>
        <w:t>התיקון</w:t>
      </w:r>
      <w:r w:rsidRPr="00D170F5">
        <w:rPr>
          <w:rFonts w:ascii="Century" w:hAnsi="Century" w:cs="Miriam"/>
          <w:b/>
          <w:rtl/>
        </w:rPr>
        <w:t xml:space="preserve"> </w:t>
      </w:r>
      <w:r w:rsidRPr="00D170F5">
        <w:rPr>
          <w:rFonts w:ascii="Century" w:hAnsi="Century" w:cs="Miriam" w:hint="eastAsia"/>
          <w:b/>
          <w:rtl/>
        </w:rPr>
        <w:t>החלטות</w:t>
      </w:r>
      <w:r w:rsidRPr="00D170F5">
        <w:rPr>
          <w:rFonts w:ascii="Century" w:hAnsi="Century" w:cs="Miriam"/>
          <w:b/>
          <w:rtl/>
        </w:rPr>
        <w:t xml:space="preserve"> </w:t>
      </w:r>
      <w:r w:rsidRPr="00D170F5">
        <w:rPr>
          <w:rFonts w:ascii="Century" w:hAnsi="Century" w:cs="Miriam" w:hint="eastAsia"/>
          <w:b/>
          <w:rtl/>
        </w:rPr>
        <w:t>אשר</w:t>
      </w:r>
      <w:r w:rsidRPr="00D170F5">
        <w:rPr>
          <w:rFonts w:ascii="Century" w:hAnsi="Century" w:cs="Miriam"/>
          <w:b/>
          <w:rtl/>
        </w:rPr>
        <w:t xml:space="preserve"> </w:t>
      </w:r>
      <w:r w:rsidRPr="00D170F5">
        <w:rPr>
          <w:rFonts w:ascii="Century" w:hAnsi="Century" w:cs="Miriam" w:hint="eastAsia"/>
          <w:b/>
          <w:rtl/>
        </w:rPr>
        <w:t>קודם</w:t>
      </w:r>
      <w:r w:rsidRPr="00D170F5">
        <w:rPr>
          <w:rFonts w:ascii="Century" w:hAnsi="Century" w:cs="Miriam"/>
          <w:b/>
          <w:rtl/>
        </w:rPr>
        <w:t xml:space="preserve"> </w:t>
      </w:r>
      <w:r w:rsidRPr="00D170F5">
        <w:rPr>
          <w:rFonts w:ascii="Century" w:hAnsi="Century" w:cs="Miriam" w:hint="eastAsia"/>
          <w:b/>
          <w:rtl/>
        </w:rPr>
        <w:t>לתיקון</w:t>
      </w:r>
      <w:r w:rsidRPr="00D170F5">
        <w:rPr>
          <w:rFonts w:ascii="Century" w:hAnsi="Century" w:cs="Miriam"/>
          <w:b/>
          <w:rtl/>
        </w:rPr>
        <w:t xml:space="preserve"> </w:t>
      </w:r>
      <w:r w:rsidRPr="00D170F5">
        <w:rPr>
          <w:rFonts w:ascii="Century" w:hAnsi="Century" w:cs="Miriam" w:hint="eastAsia"/>
          <w:b/>
          <w:rtl/>
        </w:rPr>
        <w:t>היו</w:t>
      </w:r>
      <w:r w:rsidRPr="00D170F5">
        <w:rPr>
          <w:rFonts w:ascii="Century" w:hAnsi="Century" w:cs="Miriam"/>
          <w:b/>
          <w:rtl/>
        </w:rPr>
        <w:t xml:space="preserve"> </w:t>
      </w:r>
      <w:r w:rsidRPr="00D170F5">
        <w:rPr>
          <w:rFonts w:ascii="Century" w:hAnsi="Century" w:cs="Miriam" w:hint="eastAsia"/>
          <w:b/>
          <w:rtl/>
        </w:rPr>
        <w:t>נפסלות</w:t>
      </w:r>
      <w:r w:rsidRPr="00D170F5">
        <w:rPr>
          <w:rFonts w:ascii="Century" w:hAnsi="Century" w:cs="Miriam"/>
          <w:b/>
          <w:rtl/>
        </w:rPr>
        <w:t xml:space="preserve"> </w:t>
      </w:r>
      <w:r w:rsidRPr="00D170F5">
        <w:rPr>
          <w:rFonts w:ascii="Century" w:hAnsi="Century" w:cs="Miriam" w:hint="eastAsia"/>
          <w:b/>
          <w:rtl/>
        </w:rPr>
        <w:t>מחמת</w:t>
      </w:r>
      <w:r w:rsidRPr="00D170F5">
        <w:rPr>
          <w:rFonts w:ascii="Century" w:hAnsi="Century" w:cs="Miriam"/>
          <w:b/>
          <w:rtl/>
        </w:rPr>
        <w:t xml:space="preserve"> </w:t>
      </w:r>
      <w:r w:rsidRPr="00D170F5">
        <w:rPr>
          <w:rFonts w:ascii="Century" w:hAnsi="Century" w:cs="Miriam" w:hint="eastAsia"/>
          <w:b/>
          <w:rtl/>
        </w:rPr>
        <w:t>חוסר</w:t>
      </w:r>
      <w:r w:rsidRPr="00D170F5">
        <w:rPr>
          <w:rFonts w:ascii="Century" w:hAnsi="Century" w:cs="Miriam"/>
          <w:b/>
          <w:rtl/>
        </w:rPr>
        <w:t xml:space="preserve"> </w:t>
      </w:r>
      <w:r w:rsidRPr="00D170F5">
        <w:rPr>
          <w:rFonts w:ascii="Century" w:hAnsi="Century" w:cs="Miriam" w:hint="eastAsia"/>
          <w:b/>
          <w:rtl/>
        </w:rPr>
        <w:t>סבירות</w:t>
      </w:r>
      <w:r w:rsidRPr="00D170F5">
        <w:rPr>
          <w:rFonts w:ascii="Century" w:hAnsi="Century" w:cs="Miriam"/>
          <w:b/>
          <w:rtl/>
        </w:rPr>
        <w:t xml:space="preserve">, </w:t>
      </w:r>
      <w:r w:rsidRPr="00D170F5">
        <w:rPr>
          <w:rFonts w:ascii="Century" w:hAnsi="Century" w:cs="Miriam" w:hint="eastAsia"/>
          <w:b/>
          <w:rtl/>
        </w:rPr>
        <w:t>ולאחר</w:t>
      </w:r>
      <w:r w:rsidRPr="00D170F5">
        <w:rPr>
          <w:rFonts w:ascii="Century" w:hAnsi="Century" w:cs="Miriam"/>
          <w:b/>
          <w:rtl/>
        </w:rPr>
        <w:t xml:space="preserve"> </w:t>
      </w:r>
      <w:r w:rsidRPr="00D170F5">
        <w:rPr>
          <w:rFonts w:ascii="Century" w:hAnsi="Century" w:cs="Miriam" w:hint="eastAsia"/>
          <w:b/>
          <w:rtl/>
        </w:rPr>
        <w:t>התיקון</w:t>
      </w:r>
      <w:r w:rsidRPr="00D170F5">
        <w:rPr>
          <w:rFonts w:ascii="Century" w:hAnsi="Century" w:cs="Miriam"/>
          <w:b/>
          <w:rtl/>
        </w:rPr>
        <w:t xml:space="preserve"> </w:t>
      </w:r>
      <w:r w:rsidRPr="00D170F5">
        <w:rPr>
          <w:rFonts w:ascii="Century" w:hAnsi="Century" w:cs="Miriam" w:hint="eastAsia"/>
          <w:b/>
          <w:rtl/>
        </w:rPr>
        <w:t>לא</w:t>
      </w:r>
      <w:r w:rsidRPr="00D170F5">
        <w:rPr>
          <w:rFonts w:ascii="Century" w:hAnsi="Century" w:cs="Miriam"/>
          <w:b/>
          <w:rtl/>
        </w:rPr>
        <w:t xml:space="preserve"> </w:t>
      </w:r>
      <w:r w:rsidRPr="00D170F5">
        <w:rPr>
          <w:rFonts w:ascii="Century" w:hAnsi="Century" w:cs="Miriam" w:hint="eastAsia"/>
          <w:b/>
          <w:rtl/>
        </w:rPr>
        <w:t>תהיה</w:t>
      </w:r>
      <w:r w:rsidRPr="00D170F5">
        <w:rPr>
          <w:rFonts w:ascii="Century" w:hAnsi="Century" w:cs="Miriam"/>
          <w:b/>
          <w:rtl/>
        </w:rPr>
        <w:t xml:space="preserve"> </w:t>
      </w:r>
      <w:r w:rsidRPr="00D170F5">
        <w:rPr>
          <w:rFonts w:ascii="Century" w:hAnsi="Century" w:cs="Miriam" w:hint="eastAsia"/>
          <w:b/>
          <w:rtl/>
        </w:rPr>
        <w:t>לבית</w:t>
      </w:r>
      <w:r w:rsidRPr="00D170F5">
        <w:rPr>
          <w:rFonts w:ascii="Century" w:hAnsi="Century" w:cs="Miriam"/>
          <w:b/>
          <w:rtl/>
        </w:rPr>
        <w:t xml:space="preserve"> </w:t>
      </w:r>
      <w:r w:rsidRPr="00D170F5">
        <w:rPr>
          <w:rFonts w:ascii="Century" w:hAnsi="Century" w:cs="Miriam" w:hint="eastAsia"/>
          <w:b/>
          <w:rtl/>
        </w:rPr>
        <w:t>המשפט</w:t>
      </w:r>
      <w:r w:rsidRPr="00D170F5">
        <w:rPr>
          <w:rFonts w:ascii="Century" w:hAnsi="Century" w:cs="Miriam"/>
          <w:b/>
          <w:rtl/>
        </w:rPr>
        <w:t xml:space="preserve"> </w:t>
      </w:r>
      <w:r w:rsidRPr="00D170F5">
        <w:rPr>
          <w:rFonts w:ascii="Century" w:hAnsi="Century" w:cs="Miriam" w:hint="eastAsia"/>
          <w:b/>
          <w:rtl/>
        </w:rPr>
        <w:t>יכולת</w:t>
      </w:r>
      <w:r w:rsidRPr="00D170F5">
        <w:rPr>
          <w:rFonts w:ascii="Century" w:hAnsi="Century" w:cs="Miriam"/>
          <w:b/>
          <w:rtl/>
        </w:rPr>
        <w:t xml:space="preserve"> </w:t>
      </w:r>
      <w:r w:rsidRPr="00D170F5">
        <w:rPr>
          <w:rFonts w:ascii="Century" w:hAnsi="Century" w:cs="Miriam" w:hint="eastAsia"/>
          <w:b/>
          <w:rtl/>
        </w:rPr>
        <w:t>להתערב</w:t>
      </w:r>
      <w:r w:rsidRPr="00D170F5">
        <w:rPr>
          <w:rFonts w:ascii="Century" w:hAnsi="Century" w:cs="Miriam"/>
          <w:b/>
          <w:rtl/>
        </w:rPr>
        <w:t xml:space="preserve"> </w:t>
      </w:r>
      <w:r w:rsidRPr="00D170F5">
        <w:rPr>
          <w:rFonts w:ascii="Century" w:hAnsi="Century" w:cs="Miriam" w:hint="eastAsia"/>
          <w:b/>
          <w:rtl/>
        </w:rPr>
        <w:t>בהן</w:t>
      </w:r>
      <w:r w:rsidRPr="00D170F5">
        <w:rPr>
          <w:rFonts w:ascii="Century" w:hAnsi="Century" w:cs="Miriam"/>
          <w:b/>
          <w:rtl/>
        </w:rPr>
        <w:t xml:space="preserve">... </w:t>
      </w:r>
      <w:r w:rsidRPr="00D170F5">
        <w:rPr>
          <w:rFonts w:ascii="Century" w:hAnsi="Century" w:cs="Miriam" w:hint="eastAsia"/>
          <w:b/>
          <w:rtl/>
        </w:rPr>
        <w:t>יש</w:t>
      </w:r>
      <w:r w:rsidRPr="00D170F5">
        <w:rPr>
          <w:rFonts w:ascii="Century" w:hAnsi="Century" w:cs="Miriam"/>
          <w:b/>
          <w:rtl/>
        </w:rPr>
        <w:t xml:space="preserve"> </w:t>
      </w:r>
      <w:r w:rsidRPr="00D170F5">
        <w:rPr>
          <w:rFonts w:ascii="Century" w:hAnsi="Century" w:cs="Miriam" w:hint="eastAsia"/>
          <w:b/>
          <w:rtl/>
        </w:rPr>
        <w:t>טעם</w:t>
      </w:r>
      <w:r w:rsidRPr="00D170F5">
        <w:rPr>
          <w:rFonts w:ascii="Century" w:hAnsi="Century" w:cs="Miriam"/>
          <w:b/>
          <w:rtl/>
        </w:rPr>
        <w:t xml:space="preserve"> </w:t>
      </w:r>
      <w:r w:rsidRPr="00D170F5">
        <w:rPr>
          <w:rFonts w:ascii="Century" w:hAnsi="Century" w:cs="Miriam" w:hint="eastAsia"/>
          <w:b/>
          <w:rtl/>
        </w:rPr>
        <w:t>טוב</w:t>
      </w:r>
      <w:r w:rsidRPr="00D170F5">
        <w:rPr>
          <w:rFonts w:ascii="Century" w:hAnsi="Century" w:cs="Miriam"/>
          <w:b/>
          <w:rtl/>
        </w:rPr>
        <w:t xml:space="preserve"> </w:t>
      </w:r>
      <w:r w:rsidRPr="00D170F5">
        <w:rPr>
          <w:rFonts w:ascii="Century" w:hAnsi="Century" w:cs="Miriam" w:hint="eastAsia"/>
          <w:b/>
          <w:rtl/>
        </w:rPr>
        <w:t>לסבור</w:t>
      </w:r>
      <w:r w:rsidRPr="00D170F5">
        <w:rPr>
          <w:rFonts w:ascii="Century" w:hAnsi="Century" w:cs="Miriam"/>
          <w:b/>
          <w:rtl/>
        </w:rPr>
        <w:t xml:space="preserve"> </w:t>
      </w:r>
      <w:r w:rsidRPr="00D170F5">
        <w:rPr>
          <w:rFonts w:ascii="Century" w:hAnsi="Century" w:cs="Miriam" w:hint="eastAsia"/>
          <w:b/>
          <w:rtl/>
        </w:rPr>
        <w:t>כי</w:t>
      </w:r>
      <w:r w:rsidRPr="00D170F5">
        <w:rPr>
          <w:rFonts w:ascii="Century" w:hAnsi="Century" w:cs="Miriam"/>
          <w:b/>
          <w:rtl/>
        </w:rPr>
        <w:t xml:space="preserve"> </w:t>
      </w:r>
      <w:r w:rsidRPr="00D170F5">
        <w:rPr>
          <w:rFonts w:ascii="Century" w:hAnsi="Century" w:cs="Miriam" w:hint="eastAsia"/>
          <w:b/>
          <w:rtl/>
        </w:rPr>
        <w:t>מדובר</w:t>
      </w:r>
      <w:r w:rsidRPr="00D170F5">
        <w:rPr>
          <w:rFonts w:ascii="Century" w:hAnsi="Century" w:cs="Miriam"/>
          <w:b/>
          <w:rtl/>
        </w:rPr>
        <w:t xml:space="preserve">, </w:t>
      </w:r>
      <w:r w:rsidRPr="00D170F5">
        <w:rPr>
          <w:rFonts w:ascii="Century" w:hAnsi="Century" w:cs="Miriam" w:hint="eastAsia"/>
          <w:b/>
          <w:u w:val="single"/>
          <w:rtl/>
        </w:rPr>
        <w:t>אם</w:t>
      </w:r>
      <w:r w:rsidRPr="00D170F5">
        <w:rPr>
          <w:rFonts w:ascii="Century" w:hAnsi="Century" w:cs="Miriam"/>
          <w:b/>
          <w:u w:val="single"/>
          <w:rtl/>
        </w:rPr>
        <w:t xml:space="preserve"> </w:t>
      </w:r>
      <w:r w:rsidRPr="00D170F5">
        <w:rPr>
          <w:rFonts w:ascii="Century" w:hAnsi="Century" w:cs="Miriam" w:hint="eastAsia"/>
          <w:b/>
          <w:u w:val="single"/>
          <w:rtl/>
        </w:rPr>
        <w:t>בכלל</w:t>
      </w:r>
      <w:r w:rsidRPr="00D170F5">
        <w:rPr>
          <w:rFonts w:ascii="Century" w:hAnsi="Century" w:cs="Miriam"/>
          <w:b/>
          <w:rtl/>
        </w:rPr>
        <w:t xml:space="preserve">, </w:t>
      </w:r>
      <w:r w:rsidRPr="00D170F5">
        <w:rPr>
          <w:rFonts w:ascii="Century" w:hAnsi="Century" w:cs="Miriam" w:hint="eastAsia"/>
          <w:b/>
          <w:rtl/>
        </w:rPr>
        <w:t>במספר</w:t>
      </w:r>
      <w:r w:rsidRPr="00D170F5">
        <w:rPr>
          <w:rFonts w:ascii="Century" w:hAnsi="Century" w:cs="Miriam"/>
          <w:b/>
          <w:rtl/>
        </w:rPr>
        <w:t xml:space="preserve"> </w:t>
      </w:r>
      <w:r w:rsidRPr="00D170F5">
        <w:rPr>
          <w:rFonts w:ascii="Century" w:hAnsi="Century" w:cs="Miriam" w:hint="eastAsia"/>
          <w:b/>
          <w:rtl/>
        </w:rPr>
        <w:t>מקרים</w:t>
      </w:r>
      <w:r w:rsidRPr="00D170F5">
        <w:rPr>
          <w:rFonts w:ascii="Century" w:hAnsi="Century" w:cs="Miriam"/>
          <w:b/>
          <w:rtl/>
        </w:rPr>
        <w:t xml:space="preserve"> </w:t>
      </w:r>
      <w:r w:rsidRPr="00D170F5">
        <w:rPr>
          <w:rFonts w:ascii="Century" w:hAnsi="Century" w:cs="Miriam" w:hint="eastAsia"/>
          <w:b/>
          <w:rtl/>
        </w:rPr>
        <w:t>מצומצם</w:t>
      </w:r>
      <w:r w:rsidRPr="00D170F5">
        <w:rPr>
          <w:rFonts w:ascii="Century" w:hAnsi="Century" w:cs="Miriam"/>
          <w:b/>
          <w:rtl/>
        </w:rPr>
        <w:t xml:space="preserve"> </w:t>
      </w:r>
      <w:r w:rsidRPr="00D170F5">
        <w:rPr>
          <w:rFonts w:ascii="Century" w:hAnsi="Century" w:cs="Miriam" w:hint="eastAsia"/>
          <w:b/>
          <w:rtl/>
        </w:rPr>
        <w:t>למדי</w:t>
      </w:r>
      <w:r>
        <w:rPr>
          <w:rFonts w:ascii="Century" w:hAnsi="Century" w:cs="FrankRuehl" w:hint="cs"/>
          <w:spacing w:val="10"/>
          <w:szCs w:val="28"/>
          <w:rtl/>
        </w:rPr>
        <w:t xml:space="preserve">" (פסקה 44 לחוות דעתה; ההדגשה הוספה. יצוין כי בהמשך דבריה מתייחסת השופטת </w:t>
      </w:r>
      <w:r w:rsidRPr="00D170F5">
        <w:rPr>
          <w:rFonts w:ascii="Century" w:hAnsi="Century" w:cs="Miriam" w:hint="eastAsia"/>
          <w:b/>
          <w:rtl/>
        </w:rPr>
        <w:t>כנפי</w:t>
      </w:r>
      <w:r w:rsidRPr="00D170F5">
        <w:rPr>
          <w:rFonts w:ascii="Century" w:hAnsi="Century" w:cs="Miriam"/>
          <w:b/>
          <w:rtl/>
        </w:rPr>
        <w:t>-</w:t>
      </w:r>
      <w:r w:rsidRPr="00D170F5">
        <w:rPr>
          <w:rFonts w:ascii="Century" w:hAnsi="Century" w:cs="Miriam" w:hint="eastAsia"/>
          <w:b/>
          <w:rtl/>
        </w:rPr>
        <w:t>שטייניץ</w:t>
      </w:r>
      <w:r>
        <w:rPr>
          <w:rFonts w:ascii="Century" w:hAnsi="Century" w:cs="FrankRuehl" w:hint="cs"/>
          <w:spacing w:val="10"/>
          <w:szCs w:val="28"/>
          <w:rtl/>
        </w:rPr>
        <w:t xml:space="preserve"> לנושא זה ולהשלכה שיש לתיקון </w:t>
      </w:r>
      <w:r>
        <w:rPr>
          <w:rFonts w:ascii="Century" w:hAnsi="Century" w:cs="FrankRuehl"/>
          <w:spacing w:val="10"/>
          <w:szCs w:val="28"/>
          <w:rtl/>
        </w:rPr>
        <w:t>–</w:t>
      </w:r>
      <w:r>
        <w:rPr>
          <w:rFonts w:ascii="Century" w:hAnsi="Century" w:cs="FrankRuehl" w:hint="cs"/>
          <w:spacing w:val="10"/>
          <w:szCs w:val="28"/>
          <w:rtl/>
        </w:rPr>
        <w:t xml:space="preserve"> ראו פסקה 50 לחוות דעתה). עוד היא מוסיפה כי "</w:t>
      </w:r>
      <w:r w:rsidRPr="00D170F5">
        <w:rPr>
          <w:rFonts w:ascii="Century" w:hAnsi="Century" w:cs="Miriam" w:hint="eastAsia"/>
          <w:b/>
          <w:rtl/>
        </w:rPr>
        <w:t>כלי</w:t>
      </w:r>
      <w:r w:rsidRPr="00D170F5">
        <w:rPr>
          <w:rFonts w:ascii="Century" w:hAnsi="Century" w:cs="Miriam"/>
          <w:b/>
          <w:rtl/>
        </w:rPr>
        <w:t xml:space="preserve"> </w:t>
      </w:r>
      <w:r w:rsidRPr="00D170F5">
        <w:rPr>
          <w:rFonts w:ascii="Century" w:hAnsi="Century" w:cs="Miriam" w:hint="eastAsia"/>
          <w:b/>
          <w:rtl/>
        </w:rPr>
        <w:t>משמעותי</w:t>
      </w:r>
      <w:r w:rsidRPr="00D170F5">
        <w:rPr>
          <w:rFonts w:ascii="Century" w:hAnsi="Century" w:cs="Miriam"/>
          <w:b/>
          <w:rtl/>
        </w:rPr>
        <w:t xml:space="preserve"> </w:t>
      </w:r>
      <w:r w:rsidRPr="00D170F5">
        <w:rPr>
          <w:rFonts w:ascii="Century" w:hAnsi="Century" w:cs="Miriam" w:hint="eastAsia"/>
          <w:b/>
          <w:rtl/>
        </w:rPr>
        <w:t>נוסף</w:t>
      </w:r>
      <w:r w:rsidRPr="00D170F5">
        <w:rPr>
          <w:rFonts w:ascii="Century" w:hAnsi="Century" w:cs="Miriam"/>
          <w:b/>
          <w:rtl/>
        </w:rPr>
        <w:t xml:space="preserve"> </w:t>
      </w:r>
      <w:r w:rsidRPr="00D170F5">
        <w:rPr>
          <w:rFonts w:ascii="Century" w:hAnsi="Century" w:cs="Miriam" w:hint="eastAsia"/>
          <w:b/>
          <w:rtl/>
        </w:rPr>
        <w:t>המשמש</w:t>
      </w:r>
      <w:r w:rsidRPr="00D170F5">
        <w:rPr>
          <w:rFonts w:ascii="Century" w:hAnsi="Century" w:cs="Miriam"/>
          <w:b/>
          <w:rtl/>
        </w:rPr>
        <w:t xml:space="preserve"> </w:t>
      </w:r>
      <w:r w:rsidRPr="00D170F5">
        <w:rPr>
          <w:rFonts w:ascii="Century" w:hAnsi="Century" w:cs="Miriam" w:hint="eastAsia"/>
          <w:b/>
          <w:rtl/>
        </w:rPr>
        <w:t>לביקורת</w:t>
      </w:r>
      <w:r w:rsidRPr="00D170F5">
        <w:rPr>
          <w:rFonts w:ascii="Century" w:hAnsi="Century" w:cs="Miriam"/>
          <w:b/>
          <w:rtl/>
        </w:rPr>
        <w:t xml:space="preserve"> </w:t>
      </w:r>
      <w:r w:rsidRPr="00D170F5">
        <w:rPr>
          <w:rFonts w:ascii="Century" w:hAnsi="Century" w:cs="Miriam" w:hint="eastAsia"/>
          <w:b/>
          <w:rtl/>
        </w:rPr>
        <w:t>שיפוטית</w:t>
      </w:r>
      <w:r w:rsidRPr="00D170F5">
        <w:rPr>
          <w:rFonts w:ascii="Century" w:hAnsi="Century" w:cs="Miriam"/>
          <w:b/>
          <w:rtl/>
        </w:rPr>
        <w:t xml:space="preserve"> </w:t>
      </w:r>
      <w:r w:rsidRPr="00D170F5">
        <w:rPr>
          <w:rFonts w:ascii="Century" w:hAnsi="Century" w:cs="Miriam" w:hint="eastAsia"/>
          <w:b/>
          <w:rtl/>
        </w:rPr>
        <w:t>על</w:t>
      </w:r>
      <w:r w:rsidRPr="00D170F5">
        <w:rPr>
          <w:rFonts w:ascii="Century" w:hAnsi="Century" w:cs="Miriam"/>
          <w:b/>
          <w:rtl/>
        </w:rPr>
        <w:t xml:space="preserve"> </w:t>
      </w:r>
      <w:r w:rsidRPr="00D170F5">
        <w:rPr>
          <w:rFonts w:ascii="Century" w:hAnsi="Century" w:cs="Miriam" w:hint="eastAsia"/>
          <w:b/>
          <w:rtl/>
        </w:rPr>
        <w:t>החלטות</w:t>
      </w:r>
      <w:r w:rsidRPr="00D170F5">
        <w:rPr>
          <w:rFonts w:ascii="Century" w:hAnsi="Century" w:cs="Miriam"/>
          <w:b/>
          <w:rtl/>
        </w:rPr>
        <w:t xml:space="preserve"> </w:t>
      </w:r>
      <w:r w:rsidRPr="00D170F5">
        <w:rPr>
          <w:rFonts w:ascii="Century" w:hAnsi="Century" w:cs="Miriam" w:hint="eastAsia"/>
          <w:b/>
          <w:rtl/>
        </w:rPr>
        <w:t>מינהליות</w:t>
      </w:r>
      <w:r w:rsidRPr="00D170F5">
        <w:rPr>
          <w:rFonts w:ascii="Century" w:hAnsi="Century" w:cs="Miriam"/>
          <w:b/>
          <w:rtl/>
        </w:rPr>
        <w:t xml:space="preserve">, </w:t>
      </w:r>
      <w:r w:rsidRPr="00D170F5">
        <w:rPr>
          <w:rFonts w:ascii="Century" w:hAnsi="Century" w:cs="Miriam" w:hint="eastAsia"/>
          <w:b/>
          <w:rtl/>
        </w:rPr>
        <w:t>ונמצא</w:t>
      </w:r>
      <w:r w:rsidRPr="00D170F5">
        <w:rPr>
          <w:rFonts w:ascii="Century" w:hAnsi="Century" w:cs="Miriam"/>
          <w:b/>
          <w:rtl/>
        </w:rPr>
        <w:t xml:space="preserve"> </w:t>
      </w:r>
      <w:r w:rsidRPr="00D170F5">
        <w:rPr>
          <w:rFonts w:ascii="Century" w:hAnsi="Century" w:cs="Miriam" w:hint="eastAsia"/>
          <w:b/>
          <w:rtl/>
        </w:rPr>
        <w:t>אף</w:t>
      </w:r>
      <w:r w:rsidRPr="00D170F5">
        <w:rPr>
          <w:rFonts w:ascii="Century" w:hAnsi="Century" w:cs="Miriam"/>
          <w:b/>
          <w:rtl/>
        </w:rPr>
        <w:t xml:space="preserve"> </w:t>
      </w:r>
      <w:r w:rsidRPr="00D170F5">
        <w:rPr>
          <w:rFonts w:ascii="Century" w:hAnsi="Century" w:cs="Miriam" w:hint="eastAsia"/>
          <w:b/>
          <w:rtl/>
        </w:rPr>
        <w:t>הוא</w:t>
      </w:r>
      <w:r w:rsidRPr="00D170F5">
        <w:rPr>
          <w:rFonts w:ascii="Century" w:hAnsi="Century" w:cs="Miriam"/>
          <w:b/>
          <w:rtl/>
        </w:rPr>
        <w:t xml:space="preserve"> </w:t>
      </w:r>
      <w:r w:rsidRPr="00D170F5">
        <w:rPr>
          <w:rFonts w:ascii="Century" w:hAnsi="Century" w:cs="Miriam" w:hint="eastAsia"/>
          <w:b/>
          <w:rtl/>
        </w:rPr>
        <w:t>ב</w:t>
      </w:r>
      <w:r w:rsidRPr="00D170F5">
        <w:rPr>
          <w:rFonts w:ascii="Century" w:hAnsi="Century" w:cs="Miriam"/>
          <w:b/>
          <w:rtl/>
        </w:rPr>
        <w:t>'</w:t>
      </w:r>
      <w:r w:rsidRPr="00D170F5">
        <w:rPr>
          <w:rFonts w:ascii="Century" w:hAnsi="Century" w:cs="Miriam" w:hint="eastAsia"/>
          <w:b/>
          <w:rtl/>
        </w:rPr>
        <w:t>ארגז</w:t>
      </w:r>
      <w:r w:rsidRPr="00D170F5">
        <w:rPr>
          <w:rFonts w:ascii="Century" w:hAnsi="Century" w:cs="Miriam"/>
          <w:b/>
          <w:rtl/>
        </w:rPr>
        <w:t xml:space="preserve"> </w:t>
      </w:r>
      <w:r w:rsidRPr="00D170F5">
        <w:rPr>
          <w:rFonts w:ascii="Century" w:hAnsi="Century" w:cs="Miriam" w:hint="eastAsia"/>
          <w:b/>
          <w:rtl/>
        </w:rPr>
        <w:t>הכלים</w:t>
      </w:r>
      <w:r w:rsidRPr="00D170F5">
        <w:rPr>
          <w:rFonts w:ascii="Century" w:hAnsi="Century" w:cs="Miriam"/>
          <w:b/>
          <w:rtl/>
        </w:rPr>
        <w:t xml:space="preserve">' </w:t>
      </w:r>
      <w:r w:rsidRPr="00D170F5">
        <w:rPr>
          <w:rFonts w:ascii="Century" w:hAnsi="Century" w:cs="Miriam" w:hint="eastAsia"/>
          <w:b/>
          <w:rtl/>
        </w:rPr>
        <w:t>הנתון</w:t>
      </w:r>
      <w:r w:rsidRPr="00D170F5">
        <w:rPr>
          <w:rFonts w:ascii="Century" w:hAnsi="Century" w:cs="Miriam"/>
          <w:b/>
          <w:rtl/>
        </w:rPr>
        <w:t xml:space="preserve"> </w:t>
      </w:r>
      <w:r w:rsidRPr="00D170F5">
        <w:rPr>
          <w:rFonts w:ascii="Century" w:hAnsi="Century" w:cs="Miriam" w:hint="eastAsia"/>
          <w:b/>
          <w:rtl/>
        </w:rPr>
        <w:t>לבית</w:t>
      </w:r>
      <w:r w:rsidRPr="00D170F5">
        <w:rPr>
          <w:rFonts w:ascii="Century" w:hAnsi="Century" w:cs="Miriam"/>
          <w:b/>
          <w:rtl/>
        </w:rPr>
        <w:t xml:space="preserve"> </w:t>
      </w:r>
      <w:r w:rsidRPr="00D170F5">
        <w:rPr>
          <w:rFonts w:ascii="Century" w:hAnsi="Century" w:cs="Miriam" w:hint="eastAsia"/>
          <w:b/>
          <w:rtl/>
        </w:rPr>
        <w:t>המשפט</w:t>
      </w:r>
      <w:r w:rsidRPr="00D170F5">
        <w:rPr>
          <w:rFonts w:ascii="Century" w:hAnsi="Century" w:cs="Miriam"/>
          <w:b/>
          <w:rtl/>
        </w:rPr>
        <w:t xml:space="preserve"> </w:t>
      </w:r>
      <w:r w:rsidRPr="00D170F5">
        <w:rPr>
          <w:rFonts w:ascii="Century" w:hAnsi="Century" w:cs="Miriam" w:hint="eastAsia"/>
          <w:b/>
          <w:rtl/>
        </w:rPr>
        <w:t>מאז</w:t>
      </w:r>
      <w:r w:rsidRPr="00D170F5">
        <w:rPr>
          <w:rFonts w:ascii="Century" w:hAnsi="Century" w:cs="Miriam"/>
          <w:b/>
          <w:rtl/>
        </w:rPr>
        <w:t xml:space="preserve"> </w:t>
      </w:r>
      <w:r w:rsidRPr="00D170F5">
        <w:rPr>
          <w:rFonts w:ascii="Century" w:hAnsi="Century" w:cs="Miriam" w:hint="eastAsia"/>
          <w:b/>
          <w:rtl/>
        </w:rPr>
        <w:t>ומתמיד</w:t>
      </w:r>
      <w:r w:rsidRPr="00D170F5">
        <w:rPr>
          <w:rFonts w:ascii="Century" w:hAnsi="Century" w:cs="Miriam"/>
          <w:b/>
          <w:rtl/>
        </w:rPr>
        <w:t xml:space="preserve">... </w:t>
      </w:r>
      <w:r w:rsidRPr="00D170F5">
        <w:rPr>
          <w:rFonts w:ascii="Century" w:hAnsi="Century" w:cs="Miriam" w:hint="eastAsia"/>
          <w:b/>
          <w:rtl/>
        </w:rPr>
        <w:t>הוא</w:t>
      </w:r>
      <w:r w:rsidRPr="00D170F5">
        <w:rPr>
          <w:rFonts w:ascii="Century" w:hAnsi="Century" w:cs="Miriam"/>
          <w:b/>
          <w:rtl/>
        </w:rPr>
        <w:t xml:space="preserve"> </w:t>
      </w:r>
      <w:r w:rsidRPr="00D170F5">
        <w:rPr>
          <w:rFonts w:ascii="Century" w:hAnsi="Century" w:cs="Miriam" w:hint="eastAsia"/>
          <w:b/>
          <w:rtl/>
        </w:rPr>
        <w:t>פרשנות</w:t>
      </w:r>
      <w:r w:rsidRPr="00D170F5">
        <w:rPr>
          <w:rFonts w:ascii="Century" w:hAnsi="Century" w:cs="Miriam"/>
          <w:b/>
          <w:rtl/>
        </w:rPr>
        <w:t xml:space="preserve"> </w:t>
      </w:r>
      <w:r w:rsidRPr="00D170F5">
        <w:rPr>
          <w:rFonts w:ascii="Century" w:hAnsi="Century" w:cs="Miriam" w:hint="eastAsia"/>
          <w:b/>
          <w:rtl/>
        </w:rPr>
        <w:t>הנורמה</w:t>
      </w:r>
      <w:r w:rsidRPr="00D170F5">
        <w:rPr>
          <w:rFonts w:ascii="Century" w:hAnsi="Century" w:cs="Miriam"/>
          <w:b/>
          <w:rtl/>
        </w:rPr>
        <w:t xml:space="preserve"> </w:t>
      </w:r>
      <w:r w:rsidRPr="00D170F5">
        <w:rPr>
          <w:rFonts w:ascii="Century" w:hAnsi="Century" w:cs="Miriam" w:hint="eastAsia"/>
          <w:b/>
          <w:rtl/>
        </w:rPr>
        <w:t>המסמיכה</w:t>
      </w:r>
      <w:r w:rsidRPr="00D170F5">
        <w:rPr>
          <w:rFonts w:ascii="Century" w:hAnsi="Century" w:cs="Miriam"/>
          <w:b/>
          <w:rtl/>
        </w:rPr>
        <w:t xml:space="preserve">. </w:t>
      </w:r>
      <w:r w:rsidRPr="00D170F5">
        <w:rPr>
          <w:rFonts w:ascii="Century" w:hAnsi="Century" w:cs="Miriam" w:hint="eastAsia"/>
          <w:b/>
          <w:rtl/>
        </w:rPr>
        <w:t>רשות</w:t>
      </w:r>
      <w:r w:rsidRPr="00D170F5">
        <w:rPr>
          <w:rFonts w:ascii="Century" w:hAnsi="Century" w:cs="Miriam"/>
          <w:b/>
          <w:rtl/>
        </w:rPr>
        <w:t xml:space="preserve"> </w:t>
      </w:r>
      <w:r w:rsidRPr="00D170F5">
        <w:rPr>
          <w:rFonts w:ascii="Century" w:hAnsi="Century" w:cs="Miriam" w:hint="eastAsia"/>
          <w:b/>
          <w:rtl/>
        </w:rPr>
        <w:t>מינהלית</w:t>
      </w:r>
      <w:r w:rsidRPr="00D170F5">
        <w:rPr>
          <w:rFonts w:ascii="Century" w:hAnsi="Century" w:cs="Miriam"/>
          <w:b/>
          <w:rtl/>
        </w:rPr>
        <w:t xml:space="preserve"> </w:t>
      </w:r>
      <w:r w:rsidRPr="00D170F5">
        <w:rPr>
          <w:rFonts w:ascii="Century" w:hAnsi="Century" w:cs="Miriam" w:hint="eastAsia"/>
          <w:b/>
          <w:rtl/>
        </w:rPr>
        <w:t>חייבת</w:t>
      </w:r>
      <w:r w:rsidRPr="00D170F5">
        <w:rPr>
          <w:rFonts w:ascii="Century" w:hAnsi="Century" w:cs="Miriam"/>
          <w:b/>
          <w:rtl/>
        </w:rPr>
        <w:t xml:space="preserve"> </w:t>
      </w:r>
      <w:r w:rsidRPr="00D170F5">
        <w:rPr>
          <w:rFonts w:ascii="Century" w:hAnsi="Century" w:cs="Miriam" w:hint="eastAsia"/>
          <w:b/>
          <w:rtl/>
        </w:rPr>
        <w:t>לפעול</w:t>
      </w:r>
      <w:r w:rsidRPr="00D170F5">
        <w:rPr>
          <w:rFonts w:ascii="Century" w:hAnsi="Century" w:cs="Miriam"/>
          <w:b/>
          <w:rtl/>
        </w:rPr>
        <w:t xml:space="preserve"> </w:t>
      </w:r>
      <w:r w:rsidRPr="00D170F5">
        <w:rPr>
          <w:rFonts w:ascii="Century" w:hAnsi="Century" w:cs="Miriam" w:hint="eastAsia"/>
          <w:b/>
          <w:rtl/>
        </w:rPr>
        <w:t>בגבולות</w:t>
      </w:r>
      <w:r w:rsidRPr="00D170F5">
        <w:rPr>
          <w:rFonts w:ascii="Century" w:hAnsi="Century" w:cs="Miriam"/>
          <w:b/>
          <w:rtl/>
        </w:rPr>
        <w:t xml:space="preserve"> </w:t>
      </w:r>
      <w:r w:rsidRPr="00D170F5">
        <w:rPr>
          <w:rFonts w:ascii="Century" w:hAnsi="Century" w:cs="Miriam" w:hint="eastAsia"/>
          <w:b/>
          <w:rtl/>
        </w:rPr>
        <w:t>החוק</w:t>
      </w:r>
      <w:r w:rsidRPr="00D170F5">
        <w:rPr>
          <w:rFonts w:ascii="Century" w:hAnsi="Century" w:cs="Miriam"/>
          <w:b/>
          <w:rtl/>
        </w:rPr>
        <w:t xml:space="preserve"> </w:t>
      </w:r>
      <w:r w:rsidRPr="00D170F5">
        <w:rPr>
          <w:rFonts w:ascii="Century" w:hAnsi="Century" w:cs="Miriam" w:hint="eastAsia"/>
          <w:b/>
          <w:rtl/>
        </w:rPr>
        <w:t>המסמיך</w:t>
      </w:r>
      <w:r w:rsidRPr="00D170F5">
        <w:rPr>
          <w:rFonts w:ascii="Century" w:hAnsi="Century" w:cs="Miriam"/>
          <w:b/>
          <w:rtl/>
        </w:rPr>
        <w:t xml:space="preserve">, </w:t>
      </w:r>
      <w:r w:rsidRPr="00D170F5">
        <w:rPr>
          <w:rFonts w:ascii="Century" w:hAnsi="Century" w:cs="Miriam" w:hint="eastAsia"/>
          <w:b/>
          <w:rtl/>
        </w:rPr>
        <w:t>על</w:t>
      </w:r>
      <w:r w:rsidRPr="00D170F5">
        <w:rPr>
          <w:rFonts w:ascii="Century" w:hAnsi="Century" w:cs="Miriam"/>
          <w:b/>
          <w:rtl/>
        </w:rPr>
        <w:t xml:space="preserve"> </w:t>
      </w:r>
      <w:r w:rsidRPr="00D170F5">
        <w:rPr>
          <w:rFonts w:ascii="Century" w:hAnsi="Century" w:cs="Miriam" w:hint="eastAsia"/>
          <w:b/>
          <w:rtl/>
        </w:rPr>
        <w:t>פי</w:t>
      </w:r>
      <w:r w:rsidRPr="00D170F5">
        <w:rPr>
          <w:rFonts w:ascii="Century" w:hAnsi="Century" w:cs="Miriam"/>
          <w:b/>
          <w:rtl/>
        </w:rPr>
        <w:t xml:space="preserve"> </w:t>
      </w:r>
      <w:r w:rsidRPr="00D170F5">
        <w:rPr>
          <w:rFonts w:ascii="Century" w:hAnsi="Century" w:cs="Miriam" w:hint="eastAsia"/>
          <w:b/>
          <w:rtl/>
        </w:rPr>
        <w:t>לשונו</w:t>
      </w:r>
      <w:r w:rsidRPr="00D170F5">
        <w:rPr>
          <w:rFonts w:ascii="Century" w:hAnsi="Century" w:cs="Miriam"/>
          <w:b/>
          <w:rtl/>
        </w:rPr>
        <w:t xml:space="preserve"> </w:t>
      </w:r>
      <w:r w:rsidRPr="00D170F5">
        <w:rPr>
          <w:rFonts w:ascii="Century" w:hAnsi="Century" w:cs="Miriam" w:hint="eastAsia"/>
          <w:b/>
          <w:rtl/>
        </w:rPr>
        <w:t>ותכליתו</w:t>
      </w:r>
      <w:r w:rsidRPr="00D170F5">
        <w:rPr>
          <w:rFonts w:ascii="Century" w:hAnsi="Century" w:cs="Miriam"/>
          <w:b/>
          <w:rtl/>
        </w:rPr>
        <w:t xml:space="preserve">. </w:t>
      </w:r>
      <w:r w:rsidRPr="00D170F5">
        <w:rPr>
          <w:rFonts w:ascii="Century" w:hAnsi="Century" w:cs="Miriam" w:hint="eastAsia"/>
          <w:b/>
          <w:rtl/>
        </w:rPr>
        <w:t>מקום</w:t>
      </w:r>
      <w:r w:rsidRPr="00D170F5">
        <w:rPr>
          <w:rFonts w:ascii="Century" w:hAnsi="Century" w:cs="Miriam"/>
          <w:b/>
          <w:rtl/>
        </w:rPr>
        <w:t xml:space="preserve"> </w:t>
      </w:r>
      <w:r w:rsidRPr="00D170F5">
        <w:rPr>
          <w:rFonts w:ascii="Century" w:hAnsi="Century" w:cs="Miriam" w:hint="eastAsia"/>
          <w:b/>
          <w:rtl/>
        </w:rPr>
        <w:t>בו</w:t>
      </w:r>
      <w:r w:rsidRPr="00D170F5">
        <w:rPr>
          <w:rFonts w:ascii="Century" w:hAnsi="Century" w:cs="Miriam"/>
          <w:b/>
          <w:rtl/>
        </w:rPr>
        <w:t xml:space="preserve"> </w:t>
      </w:r>
      <w:r w:rsidRPr="00D170F5">
        <w:rPr>
          <w:rFonts w:ascii="Century" w:hAnsi="Century" w:cs="Miriam" w:hint="eastAsia"/>
          <w:b/>
          <w:rtl/>
        </w:rPr>
        <w:t>הרשות</w:t>
      </w:r>
      <w:r w:rsidRPr="00D170F5">
        <w:rPr>
          <w:rFonts w:ascii="Century" w:hAnsi="Century" w:cs="Miriam"/>
          <w:b/>
          <w:rtl/>
        </w:rPr>
        <w:t xml:space="preserve"> </w:t>
      </w:r>
      <w:r w:rsidRPr="00D170F5">
        <w:rPr>
          <w:rFonts w:ascii="Century" w:hAnsi="Century" w:cs="Miriam" w:hint="eastAsia"/>
          <w:b/>
          <w:rtl/>
        </w:rPr>
        <w:t>הפעילה</w:t>
      </w:r>
      <w:r w:rsidRPr="00D170F5">
        <w:rPr>
          <w:rFonts w:ascii="Century" w:hAnsi="Century" w:cs="Miriam"/>
          <w:b/>
          <w:rtl/>
        </w:rPr>
        <w:t xml:space="preserve"> </w:t>
      </w:r>
      <w:r w:rsidRPr="00D170F5">
        <w:rPr>
          <w:rFonts w:ascii="Century" w:hAnsi="Century" w:cs="Miriam" w:hint="eastAsia"/>
          <w:b/>
          <w:rtl/>
        </w:rPr>
        <w:t>את</w:t>
      </w:r>
      <w:r w:rsidRPr="00D170F5">
        <w:rPr>
          <w:rFonts w:ascii="Century" w:hAnsi="Century" w:cs="Miriam"/>
          <w:b/>
          <w:rtl/>
        </w:rPr>
        <w:t xml:space="preserve"> </w:t>
      </w:r>
      <w:r w:rsidRPr="00D170F5">
        <w:rPr>
          <w:rFonts w:ascii="Century" w:hAnsi="Century" w:cs="Miriam" w:hint="eastAsia"/>
          <w:b/>
          <w:rtl/>
        </w:rPr>
        <w:t>סמכותה</w:t>
      </w:r>
      <w:r w:rsidRPr="00D170F5">
        <w:rPr>
          <w:rFonts w:ascii="Century" w:hAnsi="Century" w:cs="Miriam"/>
          <w:b/>
          <w:rtl/>
        </w:rPr>
        <w:t xml:space="preserve"> </w:t>
      </w:r>
      <w:r w:rsidRPr="00D170F5">
        <w:rPr>
          <w:rFonts w:ascii="Century" w:hAnsi="Century" w:cs="Miriam" w:hint="eastAsia"/>
          <w:b/>
          <w:rtl/>
        </w:rPr>
        <w:t>שלא</w:t>
      </w:r>
      <w:r w:rsidRPr="00D170F5">
        <w:rPr>
          <w:rFonts w:ascii="Century" w:hAnsi="Century" w:cs="Miriam"/>
          <w:b/>
          <w:rtl/>
        </w:rPr>
        <w:t xml:space="preserve"> </w:t>
      </w:r>
      <w:r w:rsidRPr="00D170F5">
        <w:rPr>
          <w:rFonts w:ascii="Century" w:hAnsi="Century" w:cs="Miriam" w:hint="eastAsia"/>
          <w:b/>
          <w:rtl/>
        </w:rPr>
        <w:t>על</w:t>
      </w:r>
      <w:r w:rsidRPr="00D170F5">
        <w:rPr>
          <w:rFonts w:ascii="Century" w:hAnsi="Century" w:cs="Miriam"/>
          <w:b/>
          <w:rtl/>
        </w:rPr>
        <w:t xml:space="preserve"> </w:t>
      </w:r>
      <w:r w:rsidRPr="00D170F5">
        <w:rPr>
          <w:rFonts w:ascii="Century" w:hAnsi="Century" w:cs="Miriam" w:hint="eastAsia"/>
          <w:b/>
          <w:rtl/>
        </w:rPr>
        <w:t>פי</w:t>
      </w:r>
      <w:r w:rsidRPr="00D170F5">
        <w:rPr>
          <w:rFonts w:ascii="Century" w:hAnsi="Century" w:cs="Miriam"/>
          <w:b/>
          <w:rtl/>
        </w:rPr>
        <w:t xml:space="preserve"> </w:t>
      </w:r>
      <w:r w:rsidRPr="00D170F5">
        <w:rPr>
          <w:rFonts w:ascii="Century" w:hAnsi="Century" w:cs="Miriam" w:hint="eastAsia"/>
          <w:b/>
          <w:rtl/>
        </w:rPr>
        <w:t>השיקולים</w:t>
      </w:r>
      <w:r w:rsidRPr="00D170F5">
        <w:rPr>
          <w:rFonts w:ascii="Century" w:hAnsi="Century" w:cs="Miriam"/>
          <w:b/>
          <w:rtl/>
        </w:rPr>
        <w:t xml:space="preserve"> </w:t>
      </w:r>
      <w:r w:rsidRPr="00D170F5">
        <w:rPr>
          <w:rFonts w:ascii="Century" w:hAnsi="Century" w:cs="Miriam" w:hint="eastAsia"/>
          <w:b/>
          <w:rtl/>
        </w:rPr>
        <w:t>או</w:t>
      </w:r>
      <w:r w:rsidRPr="00D170F5">
        <w:rPr>
          <w:rFonts w:ascii="Century" w:hAnsi="Century" w:cs="Miriam"/>
          <w:b/>
          <w:rtl/>
        </w:rPr>
        <w:t xml:space="preserve"> </w:t>
      </w:r>
      <w:r w:rsidRPr="00D170F5">
        <w:rPr>
          <w:rFonts w:ascii="Century" w:hAnsi="Century" w:cs="Miriam" w:hint="eastAsia"/>
          <w:b/>
          <w:rtl/>
        </w:rPr>
        <w:t>על</w:t>
      </w:r>
      <w:r w:rsidRPr="00D170F5">
        <w:rPr>
          <w:rFonts w:ascii="Century" w:hAnsi="Century" w:cs="Miriam"/>
          <w:b/>
          <w:rtl/>
        </w:rPr>
        <w:t xml:space="preserve"> </w:t>
      </w:r>
      <w:r w:rsidRPr="00D170F5">
        <w:rPr>
          <w:rFonts w:ascii="Century" w:hAnsi="Century" w:cs="Miriam" w:hint="eastAsia"/>
          <w:b/>
          <w:rtl/>
        </w:rPr>
        <w:t>פי</w:t>
      </w:r>
      <w:r w:rsidRPr="00D170F5">
        <w:rPr>
          <w:rFonts w:ascii="Century" w:hAnsi="Century" w:cs="Miriam"/>
          <w:b/>
          <w:rtl/>
        </w:rPr>
        <w:t xml:space="preserve"> </w:t>
      </w:r>
      <w:r w:rsidRPr="00D170F5">
        <w:rPr>
          <w:rFonts w:ascii="Century" w:hAnsi="Century" w:cs="Miriam" w:hint="eastAsia"/>
          <w:b/>
          <w:rtl/>
        </w:rPr>
        <w:t>נוסחת</w:t>
      </w:r>
      <w:r w:rsidRPr="00D170F5">
        <w:rPr>
          <w:rFonts w:ascii="Century" w:hAnsi="Century" w:cs="Miriam"/>
          <w:b/>
          <w:rtl/>
        </w:rPr>
        <w:t xml:space="preserve"> </w:t>
      </w:r>
      <w:r w:rsidRPr="00D170F5">
        <w:rPr>
          <w:rFonts w:ascii="Century" w:hAnsi="Century" w:cs="Miriam" w:hint="eastAsia"/>
          <w:b/>
          <w:rtl/>
        </w:rPr>
        <w:t>האיזון</w:t>
      </w:r>
      <w:r w:rsidRPr="00D170F5">
        <w:rPr>
          <w:rFonts w:ascii="Century" w:hAnsi="Century" w:cs="Miriam"/>
          <w:b/>
          <w:rtl/>
        </w:rPr>
        <w:t xml:space="preserve"> </w:t>
      </w:r>
      <w:r w:rsidRPr="00D170F5">
        <w:rPr>
          <w:rFonts w:ascii="Century" w:hAnsi="Century" w:cs="Miriam" w:hint="eastAsia"/>
          <w:b/>
          <w:rtl/>
        </w:rPr>
        <w:t>המתחייבים</w:t>
      </w:r>
      <w:r w:rsidRPr="00D170F5">
        <w:rPr>
          <w:rFonts w:ascii="Century" w:hAnsi="Century" w:cs="Miriam"/>
          <w:b/>
          <w:rtl/>
        </w:rPr>
        <w:t xml:space="preserve"> </w:t>
      </w:r>
      <w:r w:rsidRPr="00D170F5">
        <w:rPr>
          <w:rFonts w:ascii="Century" w:hAnsi="Century" w:cs="Miriam" w:hint="eastAsia"/>
          <w:b/>
          <w:rtl/>
        </w:rPr>
        <w:t>מן</w:t>
      </w:r>
      <w:r w:rsidRPr="00D170F5">
        <w:rPr>
          <w:rFonts w:ascii="Century" w:hAnsi="Century" w:cs="Miriam"/>
          <w:b/>
          <w:rtl/>
        </w:rPr>
        <w:t xml:space="preserve"> </w:t>
      </w:r>
      <w:r w:rsidRPr="00D170F5">
        <w:rPr>
          <w:rFonts w:ascii="Century" w:hAnsi="Century" w:cs="Miriam" w:hint="eastAsia"/>
          <w:b/>
          <w:rtl/>
        </w:rPr>
        <w:t>הנורמה</w:t>
      </w:r>
      <w:r w:rsidRPr="00D170F5">
        <w:rPr>
          <w:rFonts w:ascii="Century" w:hAnsi="Century" w:cs="Miriam"/>
          <w:b/>
          <w:rtl/>
        </w:rPr>
        <w:t xml:space="preserve"> </w:t>
      </w:r>
      <w:r w:rsidRPr="00D170F5">
        <w:rPr>
          <w:rFonts w:ascii="Century" w:hAnsi="Century" w:cs="Miriam" w:hint="eastAsia"/>
          <w:b/>
          <w:rtl/>
        </w:rPr>
        <w:t>המסמיכה</w:t>
      </w:r>
      <w:r w:rsidRPr="00D170F5">
        <w:rPr>
          <w:rFonts w:ascii="Century" w:hAnsi="Century" w:cs="Miriam"/>
          <w:b/>
          <w:rtl/>
        </w:rPr>
        <w:t xml:space="preserve">, </w:t>
      </w:r>
      <w:r w:rsidRPr="00D170F5">
        <w:rPr>
          <w:rFonts w:ascii="Century" w:hAnsi="Century" w:cs="Miriam" w:hint="eastAsia"/>
          <w:b/>
          <w:rtl/>
        </w:rPr>
        <w:t>מדובר</w:t>
      </w:r>
      <w:r w:rsidRPr="00D170F5">
        <w:rPr>
          <w:rFonts w:ascii="Century" w:hAnsi="Century" w:cs="Miriam"/>
          <w:b/>
          <w:rtl/>
        </w:rPr>
        <w:t xml:space="preserve"> </w:t>
      </w:r>
      <w:r w:rsidRPr="00D170F5">
        <w:rPr>
          <w:rFonts w:ascii="Century" w:hAnsi="Century" w:cs="Miriam" w:hint="eastAsia"/>
          <w:b/>
          <w:rtl/>
        </w:rPr>
        <w:t>בטעות</w:t>
      </w:r>
      <w:r w:rsidRPr="00D170F5">
        <w:rPr>
          <w:rFonts w:ascii="Century" w:hAnsi="Century" w:cs="Miriam"/>
          <w:b/>
          <w:rtl/>
        </w:rPr>
        <w:t xml:space="preserve"> </w:t>
      </w:r>
      <w:r w:rsidRPr="00D170F5">
        <w:rPr>
          <w:rFonts w:ascii="Century" w:hAnsi="Century" w:cs="Miriam" w:hint="eastAsia"/>
          <w:b/>
          <w:rtl/>
        </w:rPr>
        <w:t>שבחוק</w:t>
      </w:r>
      <w:r>
        <w:rPr>
          <w:rFonts w:ascii="Century" w:hAnsi="Century" w:cs="FrankRuehl" w:hint="cs"/>
          <w:spacing w:val="10"/>
          <w:szCs w:val="28"/>
          <w:rtl/>
        </w:rPr>
        <w:t xml:space="preserve">" (פסקה 47 לחוות דעתה). מן האמור עולה למעשה כי "מה שהיה הוא שיהיה" במובן הפשוט ביותר של הדברים: בית המשפט יוכל להמשיך ולהפעיל את הנוסחה האיזונית, אלא שבמקום לעשות כן תחת הכותרת של "עילת הסבירות" הוא יעשה זאת תחת הכותרת של "פרשנות החוק" או בעילות אחרות. גישה מעין זו מעקרת את התיקון כמעט מכל תוכן מעשי. ברי כי בכינונה את התיקון התכוונה הרשות המכוננת ליצור שינוי כלשהו </w:t>
      </w:r>
      <w:r>
        <w:rPr>
          <w:rFonts w:ascii="Century" w:hAnsi="Century" w:cs="FrankRuehl"/>
          <w:spacing w:val="10"/>
          <w:szCs w:val="28"/>
          <w:rtl/>
        </w:rPr>
        <w:t>–</w:t>
      </w:r>
      <w:r>
        <w:rPr>
          <w:rFonts w:ascii="Century" w:hAnsi="Century" w:cs="FrankRuehl" w:hint="cs"/>
          <w:spacing w:val="10"/>
          <w:szCs w:val="28"/>
          <w:rtl/>
        </w:rPr>
        <w:t xml:space="preserve"> שאלמלא כן ניתן היה להותיר את המצב הקיים כמות שהוא ולא לעמוד על שינויו, בעיקר כאשר השינוי הזה גרר מחלוקות תהומיות בציבור הישראלי. על כן, פרשנות המותירה את התיקון ללא כל משמעות אופרטיבית איננה פרשנות אפשרית בעיניי.</w:t>
      </w:r>
    </w:p>
    <w:p w:rsidR="00A01E7C" w:rsidRDefault="00A01E7C" w:rsidP="00A01E7C">
      <w:pPr>
        <w:spacing w:line="360" w:lineRule="auto"/>
        <w:ind w:firstLine="720"/>
        <w:jc w:val="both"/>
        <w:rPr>
          <w:rFonts w:ascii="Century" w:hAnsi="Century" w:cs="Miriam"/>
          <w:b/>
          <w:rtl/>
        </w:rPr>
      </w:pPr>
      <w:r w:rsidRPr="001959F6">
        <w:rPr>
          <w:rFonts w:ascii="Century" w:hAnsi="Century" w:cs="Miriam"/>
          <w:b/>
          <w:rtl/>
        </w:rPr>
        <w:t xml:space="preserve"> </w:t>
      </w:r>
    </w:p>
    <w:p w:rsidR="00A01E7C" w:rsidRDefault="00A01E7C" w:rsidP="002A1A3A">
      <w:pPr>
        <w:pStyle w:val="Ruller4"/>
        <w:numPr>
          <w:ilvl w:val="0"/>
          <w:numId w:val="14"/>
        </w:numPr>
        <w:rPr>
          <w:rtl/>
        </w:rPr>
      </w:pPr>
      <w:r w:rsidRPr="007D0134">
        <w:rPr>
          <w:rFonts w:ascii="Century" w:hAnsi="Century" w:cs="Miriam" w:hint="cs"/>
          <w:b/>
          <w:spacing w:val="0"/>
          <w:szCs w:val="24"/>
          <w:rtl/>
        </w:rPr>
        <w:t>חמישית ואחרון</w:t>
      </w:r>
      <w:r w:rsidRPr="007D0134">
        <w:rPr>
          <w:rFonts w:ascii="Century" w:hAnsi="Century"/>
          <w:rtl/>
        </w:rPr>
        <w:t xml:space="preserve"> –</w:t>
      </w:r>
      <w:r w:rsidRPr="007D0134">
        <w:rPr>
          <w:rFonts w:ascii="Century" w:hAnsi="Century" w:hint="cs"/>
          <w:rtl/>
        </w:rPr>
        <w:t xml:space="preserve"> בהתאם לפרשנות המצמצמת, לא ברור מה דינו של שיקול שהובא בחשבון אך ניתן לו משקל מזערי. כך, מהפרשנות המצמצמת עולה לכאורה שבית המשפט לא יוכל להתערב בהחלטה (או כי מידת ההתערבות שלו תהיה מצומצמת) כאשר מקבל ההחלטה הביא בחשבון את כלל השיקולים הרלוונטיים, וזאת גם אם לא ניתן לכל אחד מהם המשקל הראוי; וזאת לעומת מקרה בו אחד השיקולים הרלוונטיים לא הובא בחשבון כלל (יוער במאמר מוסגר כי תיתכן גישה לפיה האפשרות להתערב גם מטעם זה מבוטלת עם ביטול עילת הסבירות). היינו מיוחס הבדל משמעותי בין מתן משקל מצומצם מאוד לאחד השיקולים לבין התעלמות ממנו. </w:t>
      </w:r>
      <w:r>
        <w:rPr>
          <w:rFonts w:hint="cs"/>
          <w:rtl/>
        </w:rPr>
        <w:t xml:space="preserve">לטעמי פרשנות שזו המסקנה הנובעת ממנה היא בעייתית, שכן ההבדל בין מתן משקל מזערי לאחד השיקולים לבין התעלמות ממנו הוא הבדל שכמעט אין לו משמעות (וראו: </w:t>
      </w:r>
      <w:r w:rsidRPr="007D0134">
        <w:rPr>
          <w:rFonts w:ascii="Century" w:hAnsi="Century" w:hint="eastAsia"/>
          <w:rtl/>
        </w:rPr>
        <w:t>ברק</w:t>
      </w:r>
      <w:r w:rsidRPr="007D0134">
        <w:rPr>
          <w:rFonts w:ascii="Century" w:hAnsi="Century"/>
          <w:rtl/>
        </w:rPr>
        <w:t>-</w:t>
      </w:r>
      <w:r w:rsidRPr="007D0134">
        <w:rPr>
          <w:rFonts w:ascii="Century" w:hAnsi="Century" w:hint="eastAsia"/>
          <w:rtl/>
        </w:rPr>
        <w:t>ארז</w:t>
      </w:r>
      <w:r w:rsidRPr="007D0134">
        <w:rPr>
          <w:rFonts w:ascii="Century" w:hAnsi="Century"/>
          <w:rtl/>
        </w:rPr>
        <w:t xml:space="preserve">, </w:t>
      </w:r>
      <w:r w:rsidRPr="007D0134">
        <w:rPr>
          <w:rFonts w:ascii="Century" w:hAnsi="Century" w:hint="eastAsia"/>
          <w:rtl/>
        </w:rPr>
        <w:t>משפט</w:t>
      </w:r>
      <w:r w:rsidRPr="007D0134">
        <w:rPr>
          <w:rFonts w:ascii="Century" w:hAnsi="Century"/>
          <w:rtl/>
        </w:rPr>
        <w:t xml:space="preserve"> </w:t>
      </w:r>
      <w:r w:rsidRPr="007D0134">
        <w:rPr>
          <w:rFonts w:ascii="Century" w:hAnsi="Century" w:hint="eastAsia"/>
          <w:rtl/>
        </w:rPr>
        <w:t>מינהלי</w:t>
      </w:r>
      <w:r>
        <w:rPr>
          <w:rFonts w:hint="cs"/>
          <w:rtl/>
        </w:rPr>
        <w:t xml:space="preserve">, בעמוד 728). </w:t>
      </w:r>
    </w:p>
    <w:p w:rsidR="00A01E7C" w:rsidRDefault="00A01E7C" w:rsidP="00A01E7C">
      <w:pPr>
        <w:pStyle w:val="Ruller5"/>
        <w:spacing w:line="360" w:lineRule="auto"/>
        <w:ind w:left="0" w:right="0"/>
        <w:rPr>
          <w:rtl/>
        </w:rPr>
      </w:pPr>
    </w:p>
    <w:p w:rsidR="00A01E7C" w:rsidRDefault="00A01E7C" w:rsidP="002A1A3A">
      <w:pPr>
        <w:pStyle w:val="Ruller4"/>
        <w:numPr>
          <w:ilvl w:val="0"/>
          <w:numId w:val="14"/>
        </w:numPr>
        <w:rPr>
          <w:rtl/>
        </w:rPr>
      </w:pPr>
      <w:r>
        <w:rPr>
          <w:rFonts w:hint="cs"/>
          <w:rtl/>
        </w:rPr>
        <w:t xml:space="preserve">בסיכומו של דבר, לנוכח הצטברותם של הקשיים שפורטו לעיל, אני סבורה כי הפרשנות המצמצמת שהוצעה על ידי חלק מחבריי איננה פרשנות אפשרית לתיקון. זאת, </w:t>
      </w:r>
      <w:r>
        <w:rPr>
          <w:rFonts w:hint="cs"/>
          <w:rtl/>
        </w:rPr>
        <w:lastRenderedPageBreak/>
        <w:t xml:space="preserve">אף לו הייתי סבורה כי יש לקבל את עמדתם לפיה התכלית האובייקטיבית של התיקון תומכת בפרשנות זו. </w:t>
      </w:r>
    </w:p>
    <w:p w:rsidR="00A01E7C" w:rsidRDefault="00A01E7C" w:rsidP="00A01E7C">
      <w:pPr>
        <w:pStyle w:val="Ruller5"/>
        <w:spacing w:line="360" w:lineRule="auto"/>
        <w:ind w:left="0" w:right="0"/>
        <w:rPr>
          <w:rtl/>
        </w:rPr>
      </w:pPr>
    </w:p>
    <w:p w:rsidR="00A01E7C" w:rsidRDefault="00A01E7C" w:rsidP="00A01E7C">
      <w:pPr>
        <w:pStyle w:val="Ruller5"/>
        <w:spacing w:line="360" w:lineRule="auto"/>
        <w:ind w:left="0" w:right="0" w:firstLine="720"/>
        <w:rPr>
          <w:rtl/>
        </w:rPr>
      </w:pPr>
      <w:r>
        <w:rPr>
          <w:rFonts w:hint="cs"/>
          <w:rtl/>
        </w:rPr>
        <w:t xml:space="preserve">אומנם, כפי שמציינות חברותיי השופטות </w:t>
      </w:r>
      <w:r w:rsidRPr="00C60048">
        <w:rPr>
          <w:rFonts w:ascii="Century" w:hAnsi="Century" w:cs="Miriam" w:hint="cs"/>
          <w:b/>
          <w:spacing w:val="0"/>
          <w:szCs w:val="24"/>
          <w:rtl/>
        </w:rPr>
        <w:t>וילנר</w:t>
      </w:r>
      <w:r w:rsidRPr="00C60048">
        <w:rPr>
          <w:rFonts w:hint="cs"/>
          <w:rtl/>
        </w:rPr>
        <w:t xml:space="preserve"> </w:t>
      </w:r>
      <w:r>
        <w:rPr>
          <w:rFonts w:hint="cs"/>
          <w:rtl/>
        </w:rPr>
        <w:t>ו</w:t>
      </w:r>
      <w:r w:rsidRPr="00C60048">
        <w:rPr>
          <w:rFonts w:ascii="Century" w:hAnsi="Century" w:cs="Miriam" w:hint="cs"/>
          <w:b/>
          <w:spacing w:val="0"/>
          <w:szCs w:val="24"/>
          <w:rtl/>
        </w:rPr>
        <w:t>כנפי-שטייניץ</w:t>
      </w:r>
      <w:r>
        <w:rPr>
          <w:rFonts w:hint="cs"/>
          <w:rtl/>
        </w:rPr>
        <w:t xml:space="preserve">, התפישה הפרשנית הכללית היא כי עלינו להעדיף פרשנות מקיימת של החוק על פני פרשנות המביאה למסקנה בדבר אי-חוקתיותו באופן שעשוי להביא לביטולו. עם זאת, הדבר נכון רק כאשר מדובר בפרשנות שהיא אפשרית וסבירה (ראו מהעת האחרונה: </w:t>
      </w:r>
      <w:r w:rsidRPr="007F5AA6">
        <w:rPr>
          <w:rtl/>
        </w:rPr>
        <w:t xml:space="preserve">בג"ץ 5555/18 </w:t>
      </w:r>
      <w:r w:rsidRPr="00C60048">
        <w:rPr>
          <w:rFonts w:ascii="Century" w:hAnsi="Century" w:cs="Miriam"/>
          <w:b/>
          <w:spacing w:val="0"/>
          <w:szCs w:val="24"/>
          <w:rtl/>
        </w:rPr>
        <w:t>חסון נ' כנסת ישראל</w:t>
      </w:r>
      <w:r>
        <w:rPr>
          <w:rFonts w:hint="cs"/>
          <w:rtl/>
        </w:rPr>
        <w:t>, פסקה 59 וההפניות שם</w:t>
      </w:r>
      <w:r w:rsidRPr="007F5AA6">
        <w:rPr>
          <w:rtl/>
        </w:rPr>
        <w:t xml:space="preserve"> (</w:t>
      </w:r>
      <w:r>
        <w:rPr>
          <w:rFonts w:hint="cs"/>
          <w:rtl/>
        </w:rPr>
        <w:t>8</w:t>
      </w:r>
      <w:r w:rsidRPr="007F5AA6">
        <w:rPr>
          <w:rtl/>
        </w:rPr>
        <w:t>.</w:t>
      </w:r>
      <w:r>
        <w:rPr>
          <w:rFonts w:hint="cs"/>
          <w:rtl/>
        </w:rPr>
        <w:t>7</w:t>
      </w:r>
      <w:r w:rsidRPr="007F5AA6">
        <w:rPr>
          <w:rtl/>
        </w:rPr>
        <w:t>.2021)</w:t>
      </w:r>
      <w:r>
        <w:rPr>
          <w:rFonts w:hint="cs"/>
          <w:rtl/>
        </w:rPr>
        <w:t xml:space="preserve"> (להלן: </w:t>
      </w:r>
      <w:r w:rsidRPr="00D170F5">
        <w:rPr>
          <w:rFonts w:ascii="Century" w:hAnsi="Century" w:cs="Miriam" w:hint="eastAsia"/>
          <w:b/>
          <w:spacing w:val="0"/>
          <w:szCs w:val="24"/>
          <w:rtl/>
        </w:rPr>
        <w:t>עניין</w:t>
      </w:r>
      <w:r w:rsidRPr="00D170F5">
        <w:rPr>
          <w:rFonts w:ascii="Century" w:hAnsi="Century" w:cs="Miriam"/>
          <w:b/>
          <w:spacing w:val="0"/>
          <w:szCs w:val="24"/>
          <w:rtl/>
        </w:rPr>
        <w:t xml:space="preserve"> </w:t>
      </w:r>
      <w:r w:rsidRPr="00D170F5">
        <w:rPr>
          <w:rFonts w:ascii="Century" w:hAnsi="Century" w:cs="Miriam" w:hint="eastAsia"/>
          <w:b/>
          <w:spacing w:val="0"/>
          <w:szCs w:val="24"/>
          <w:rtl/>
        </w:rPr>
        <w:t>חסון</w:t>
      </w:r>
      <w:r>
        <w:rPr>
          <w:rFonts w:hint="cs"/>
          <w:rtl/>
        </w:rPr>
        <w:t>)). כאמור לעיל זה אינו המצב ביחס לפרשנות המצמצמת שמציעים חלק מחבריי.</w:t>
      </w:r>
    </w:p>
    <w:p w:rsidR="00A01E7C" w:rsidRDefault="00A01E7C" w:rsidP="00A01E7C">
      <w:pPr>
        <w:pStyle w:val="Ruller5"/>
        <w:spacing w:line="360" w:lineRule="auto"/>
        <w:ind w:left="0" w:right="0"/>
        <w:rPr>
          <w:rtl/>
        </w:rPr>
      </w:pPr>
    </w:p>
    <w:p w:rsidR="00A01E7C" w:rsidRDefault="00A01E7C" w:rsidP="00A01E7C">
      <w:pPr>
        <w:pStyle w:val="Ruller5"/>
        <w:spacing w:line="360" w:lineRule="auto"/>
        <w:ind w:left="0" w:right="0" w:firstLine="720"/>
        <w:rPr>
          <w:rtl/>
        </w:rPr>
      </w:pPr>
      <w:r>
        <w:rPr>
          <w:rFonts w:hint="cs"/>
          <w:rtl/>
        </w:rPr>
        <w:t xml:space="preserve">אשר על כן, יש להבין את התיקון כפשוטו, בהתאם ללשונו המפורשת </w:t>
      </w:r>
      <w:r>
        <w:rPr>
          <w:rtl/>
        </w:rPr>
        <w:t>–</w:t>
      </w:r>
      <w:r>
        <w:rPr>
          <w:rFonts w:hint="cs"/>
          <w:rtl/>
        </w:rPr>
        <w:t xml:space="preserve"> כמבטל באופן מוחלט את עילת הסבירות על כל מופעיה ובכל מובניה, ביחס להחלטות הממשלה, ראש הממשלה ושריה. בכלל זה, יודגש כי התיקון מתייחס הן להחלטות מדיניות והן לכאלה הנוגעות לאדם ספציפי; הן להחלטות אקטיביות והן למחדל בלתי סביר מקבלת החלטה; הוא חל הן על ממשלה מכהנת והן על ממשלות מעבר; הוא חל גם על החלטות בדבר מינויים ופיטורין; והוא אף חל ככל הנראה הן על החלטות שהתקבלו לאחר הליך קבלת החלטה סדור וסביר והן על כאלה שהתקבלו ללא הליך כזה. בהתבסס על פרשנות זו של התיקון, אבחן האם הוא מהווה חריגה מגבולות סמכותה של הכנסת כרשות מכוננת באופן המצדיק את פסילתו. </w:t>
      </w:r>
    </w:p>
    <w:p w:rsidR="00A01E7C" w:rsidRDefault="00A01E7C" w:rsidP="00A01E7C">
      <w:pPr>
        <w:pStyle w:val="Ruller5"/>
        <w:spacing w:line="360" w:lineRule="auto"/>
        <w:ind w:left="0" w:right="0"/>
        <w:rPr>
          <w:rtl/>
        </w:rPr>
      </w:pPr>
    </w:p>
    <w:p w:rsidR="00A01E7C" w:rsidRPr="00DD5B8B" w:rsidRDefault="00A01E7C" w:rsidP="00A01E7C">
      <w:pPr>
        <w:spacing w:line="360" w:lineRule="auto"/>
        <w:rPr>
          <w:rFonts w:ascii="Century" w:hAnsi="Century" w:cs="Miriam"/>
          <w:b/>
          <w:rtl/>
        </w:rPr>
      </w:pPr>
      <w:r w:rsidRPr="00DD5B8B">
        <w:rPr>
          <w:rFonts w:ascii="Century" w:hAnsi="Century" w:cs="Miriam" w:hint="eastAsia"/>
          <w:b/>
          <w:rtl/>
        </w:rPr>
        <w:t>האם</w:t>
      </w:r>
      <w:r w:rsidRPr="00DD5B8B">
        <w:rPr>
          <w:rFonts w:ascii="Century" w:hAnsi="Century" w:cs="Miriam"/>
          <w:b/>
          <w:rtl/>
        </w:rPr>
        <w:t xml:space="preserve"> </w:t>
      </w:r>
      <w:r w:rsidRPr="00DD5B8B">
        <w:rPr>
          <w:rFonts w:ascii="Century" w:hAnsi="Century" w:cs="Miriam" w:hint="eastAsia"/>
          <w:b/>
          <w:rtl/>
        </w:rPr>
        <w:t>לאור</w:t>
      </w:r>
      <w:r w:rsidRPr="00DD5B8B">
        <w:rPr>
          <w:rFonts w:ascii="Century" w:hAnsi="Century" w:cs="Miriam"/>
          <w:b/>
          <w:rtl/>
        </w:rPr>
        <w:t xml:space="preserve"> </w:t>
      </w:r>
      <w:r w:rsidRPr="00DD5B8B">
        <w:rPr>
          <w:rFonts w:ascii="Century" w:hAnsi="Century" w:cs="Miriam" w:hint="eastAsia"/>
          <w:b/>
          <w:rtl/>
        </w:rPr>
        <w:t>הפרשנות</w:t>
      </w:r>
      <w:r w:rsidRPr="00DD5B8B">
        <w:rPr>
          <w:rFonts w:ascii="Century" w:hAnsi="Century" w:cs="Miriam"/>
          <w:b/>
          <w:rtl/>
        </w:rPr>
        <w:t xml:space="preserve"> </w:t>
      </w:r>
      <w:r w:rsidRPr="00DD5B8B">
        <w:rPr>
          <w:rFonts w:ascii="Century" w:hAnsi="Century" w:cs="Miriam" w:hint="eastAsia"/>
          <w:b/>
          <w:rtl/>
        </w:rPr>
        <w:t>הנכונה</w:t>
      </w:r>
      <w:r w:rsidRPr="00DD5B8B">
        <w:rPr>
          <w:rFonts w:ascii="Century" w:hAnsi="Century" w:cs="Miriam"/>
          <w:b/>
          <w:rtl/>
        </w:rPr>
        <w:t xml:space="preserve"> </w:t>
      </w:r>
      <w:r w:rsidRPr="00DD5B8B">
        <w:rPr>
          <w:rFonts w:ascii="Century" w:hAnsi="Century" w:cs="Miriam" w:hint="eastAsia"/>
          <w:b/>
          <w:rtl/>
        </w:rPr>
        <w:t>של</w:t>
      </w:r>
      <w:r w:rsidRPr="00DD5B8B">
        <w:rPr>
          <w:rFonts w:ascii="Century" w:hAnsi="Century" w:cs="Miriam"/>
          <w:b/>
          <w:rtl/>
        </w:rPr>
        <w:t xml:space="preserve"> </w:t>
      </w:r>
      <w:r w:rsidRPr="00DD5B8B">
        <w:rPr>
          <w:rFonts w:ascii="Century" w:hAnsi="Century" w:cs="Miriam" w:hint="eastAsia"/>
          <w:b/>
          <w:rtl/>
        </w:rPr>
        <w:t>התיקון</w:t>
      </w:r>
      <w:r w:rsidRPr="00DD5B8B">
        <w:rPr>
          <w:rFonts w:ascii="Century" w:hAnsi="Century" w:cs="Miriam"/>
          <w:b/>
          <w:rtl/>
        </w:rPr>
        <w:t xml:space="preserve"> </w:t>
      </w:r>
      <w:r>
        <w:rPr>
          <w:rFonts w:ascii="Century" w:hAnsi="Century" w:cs="Miriam" w:hint="cs"/>
          <w:b/>
          <w:rtl/>
        </w:rPr>
        <w:t>חרגה הכנסת מסמכותה המכוננת</w:t>
      </w:r>
      <w:r w:rsidRPr="00DD5B8B">
        <w:rPr>
          <w:rFonts w:ascii="Century" w:hAnsi="Century" w:cs="Miriam"/>
          <w:b/>
          <w:rtl/>
        </w:rPr>
        <w:t>?</w:t>
      </w:r>
    </w:p>
    <w:p w:rsidR="00A01E7C" w:rsidRPr="00CC1941" w:rsidRDefault="00A01E7C" w:rsidP="00A01E7C">
      <w:pPr>
        <w:spacing w:line="360" w:lineRule="auto"/>
        <w:rPr>
          <w:rFonts w:ascii="Century" w:hAnsi="Century" w:cs="FrankRuehl"/>
          <w:spacing w:val="10"/>
          <w:szCs w:val="28"/>
          <w:rtl/>
        </w:rPr>
      </w:pPr>
    </w:p>
    <w:p w:rsidR="00A01E7C" w:rsidRPr="007D0134" w:rsidRDefault="00A01E7C" w:rsidP="002A1A3A">
      <w:pPr>
        <w:pStyle w:val="Ruller4"/>
        <w:numPr>
          <w:ilvl w:val="0"/>
          <w:numId w:val="14"/>
        </w:numPr>
        <w:rPr>
          <w:rFonts w:ascii="Century" w:hAnsi="Century"/>
          <w:rtl/>
        </w:rPr>
      </w:pPr>
      <w:r w:rsidRPr="007D0134">
        <w:rPr>
          <w:rFonts w:ascii="Century" w:hAnsi="Century" w:hint="eastAsia"/>
          <w:rtl/>
        </w:rPr>
        <w:t>לאחר</w:t>
      </w:r>
      <w:r w:rsidRPr="007D0134">
        <w:rPr>
          <w:rFonts w:ascii="Century" w:hAnsi="Century"/>
          <w:rtl/>
        </w:rPr>
        <w:t xml:space="preserve"> שקבעתי כי התיקון על פי פרשנותו הנכונה שולל מבית המשפט אפשרות ל</w:t>
      </w:r>
      <w:r w:rsidRPr="007D0134">
        <w:rPr>
          <w:rFonts w:ascii="Century" w:hAnsi="Century" w:hint="cs"/>
          <w:rtl/>
        </w:rPr>
        <w:t xml:space="preserve">דון בכל טענה שהיא </w:t>
      </w:r>
      <w:r w:rsidRPr="007D0134">
        <w:rPr>
          <w:rFonts w:ascii="Century" w:hAnsi="Century"/>
          <w:rtl/>
        </w:rPr>
        <w:t>בדבר חוסר סבירות</w:t>
      </w:r>
      <w:r w:rsidRPr="007D0134">
        <w:rPr>
          <w:rFonts w:ascii="Century" w:hAnsi="Century" w:hint="cs"/>
          <w:rtl/>
        </w:rPr>
        <w:t xml:space="preserve"> כאשר מדובר ב</w:t>
      </w:r>
      <w:r w:rsidRPr="007D0134">
        <w:rPr>
          <w:rFonts w:ascii="Century" w:hAnsi="Century"/>
          <w:rtl/>
        </w:rPr>
        <w:t>החלטה של הממשלה, ראש הממשלה או אחד השרים</w:t>
      </w:r>
      <w:r w:rsidRPr="007D0134">
        <w:rPr>
          <w:rFonts w:ascii="Century" w:hAnsi="Century" w:hint="cs"/>
          <w:rtl/>
        </w:rPr>
        <w:t xml:space="preserve"> </w:t>
      </w:r>
      <w:r w:rsidRPr="007D0134">
        <w:rPr>
          <w:rFonts w:ascii="Century" w:hAnsi="Century"/>
          <w:rtl/>
        </w:rPr>
        <w:t>– יש</w:t>
      </w:r>
      <w:r w:rsidRPr="007D0134">
        <w:rPr>
          <w:rFonts w:ascii="Century" w:hAnsi="Century" w:hint="cs"/>
          <w:rtl/>
        </w:rPr>
        <w:t xml:space="preserve"> </w:t>
      </w:r>
      <w:r w:rsidRPr="007D0134">
        <w:rPr>
          <w:rFonts w:ascii="Century" w:hAnsi="Century"/>
          <w:rtl/>
        </w:rPr>
        <w:t>לבחון האם התיקון מהווה חריגה של הרשות המכוננת מסמכותה</w:t>
      </w:r>
      <w:r w:rsidRPr="007D0134">
        <w:rPr>
          <w:rFonts w:ascii="Century" w:hAnsi="Century" w:hint="cs"/>
          <w:rtl/>
        </w:rPr>
        <w:t xml:space="preserve"> שדי בה כדי להוביל לפסילתו</w:t>
      </w:r>
      <w:r w:rsidRPr="007D0134">
        <w:rPr>
          <w:rFonts w:ascii="Century" w:hAnsi="Century"/>
          <w:rtl/>
        </w:rPr>
        <w:t xml:space="preserve">. </w:t>
      </w:r>
      <w:r w:rsidRPr="007D0134">
        <w:rPr>
          <w:rFonts w:ascii="Century" w:hAnsi="Century" w:hint="cs"/>
          <w:rtl/>
        </w:rPr>
        <w:t>לצורך בחינה זו, אני סבורה כי יש להשיב תחילה על שאלה מקדמית</w:t>
      </w:r>
      <w:r w:rsidRPr="007D0134">
        <w:rPr>
          <w:rFonts w:ascii="Century" w:hAnsi="Century"/>
          <w:rtl/>
        </w:rPr>
        <w:t xml:space="preserve"> </w:t>
      </w:r>
      <w:r w:rsidRPr="007D0134">
        <w:rPr>
          <w:rFonts w:ascii="Century" w:hAnsi="Century" w:hint="eastAsia"/>
          <w:rtl/>
        </w:rPr>
        <w:t>הנוגעת</w:t>
      </w:r>
      <w:r w:rsidRPr="007D0134">
        <w:rPr>
          <w:rFonts w:ascii="Century" w:hAnsi="Century"/>
          <w:rtl/>
        </w:rPr>
        <w:t xml:space="preserve"> </w:t>
      </w:r>
      <w:r w:rsidRPr="007D0134">
        <w:rPr>
          <w:rFonts w:ascii="Century" w:hAnsi="Century" w:hint="eastAsia"/>
          <w:rtl/>
        </w:rPr>
        <w:t>לסטנדרט</w:t>
      </w:r>
      <w:r w:rsidRPr="007D0134">
        <w:rPr>
          <w:rFonts w:ascii="Century" w:hAnsi="Century"/>
          <w:rtl/>
        </w:rPr>
        <w:t xml:space="preserve"> </w:t>
      </w:r>
      <w:r w:rsidRPr="007D0134">
        <w:rPr>
          <w:rFonts w:ascii="Century" w:hAnsi="Century" w:hint="eastAsia"/>
          <w:rtl/>
        </w:rPr>
        <w:t>הביקורת</w:t>
      </w:r>
      <w:r w:rsidRPr="007D0134">
        <w:rPr>
          <w:rFonts w:ascii="Century" w:hAnsi="Century" w:hint="cs"/>
          <w:rtl/>
        </w:rPr>
        <w:t xml:space="preserve"> השיפוטית</w:t>
      </w:r>
      <w:r w:rsidRPr="007D0134">
        <w:rPr>
          <w:rFonts w:ascii="Century" w:hAnsi="Century"/>
          <w:rtl/>
        </w:rPr>
        <w:t xml:space="preserve"> </w:t>
      </w:r>
      <w:r w:rsidRPr="007D0134">
        <w:rPr>
          <w:rFonts w:ascii="Century" w:hAnsi="Century" w:hint="eastAsia"/>
          <w:rtl/>
        </w:rPr>
        <w:t>שיש</w:t>
      </w:r>
      <w:r w:rsidRPr="007D0134">
        <w:rPr>
          <w:rFonts w:ascii="Century" w:hAnsi="Century"/>
          <w:rtl/>
        </w:rPr>
        <w:t xml:space="preserve"> </w:t>
      </w:r>
      <w:r w:rsidRPr="007D0134">
        <w:rPr>
          <w:rFonts w:ascii="Century" w:hAnsi="Century" w:hint="eastAsia"/>
          <w:rtl/>
        </w:rPr>
        <w:t>להחיל</w:t>
      </w:r>
      <w:r w:rsidRPr="007D0134">
        <w:rPr>
          <w:rFonts w:ascii="Century" w:hAnsi="Century"/>
          <w:rtl/>
        </w:rPr>
        <w:t xml:space="preserve"> </w:t>
      </w:r>
      <w:r w:rsidRPr="007D0134">
        <w:rPr>
          <w:rFonts w:ascii="Century" w:hAnsi="Century" w:hint="eastAsia"/>
          <w:rtl/>
        </w:rPr>
        <w:t>על</w:t>
      </w:r>
      <w:r w:rsidRPr="007D0134">
        <w:rPr>
          <w:rFonts w:ascii="Century" w:hAnsi="Century"/>
          <w:rtl/>
        </w:rPr>
        <w:t xml:space="preserve"> </w:t>
      </w:r>
      <w:r w:rsidRPr="007D0134">
        <w:rPr>
          <w:rFonts w:ascii="Century" w:hAnsi="Century" w:hint="eastAsia"/>
          <w:rtl/>
        </w:rPr>
        <w:t>התיקון</w:t>
      </w:r>
      <w:r w:rsidRPr="007D0134">
        <w:rPr>
          <w:rFonts w:ascii="Century" w:hAnsi="Century"/>
          <w:rtl/>
        </w:rPr>
        <w:t xml:space="preserve"> </w:t>
      </w:r>
      <w:r w:rsidRPr="007D0134">
        <w:rPr>
          <w:rFonts w:ascii="Century" w:hAnsi="Century" w:hint="eastAsia"/>
          <w:rtl/>
        </w:rPr>
        <w:t>דנן</w:t>
      </w:r>
      <w:r w:rsidRPr="007D0134">
        <w:rPr>
          <w:rFonts w:ascii="Century" w:hAnsi="Century"/>
          <w:rtl/>
        </w:rPr>
        <w:t>.</w:t>
      </w:r>
      <w:r w:rsidRPr="007D0134">
        <w:rPr>
          <w:rFonts w:ascii="Century" w:hAnsi="Century" w:hint="cs"/>
          <w:rtl/>
        </w:rPr>
        <w:t xml:space="preserve"> לעניין זה אעבור כעת.</w:t>
      </w:r>
      <w:r w:rsidRPr="007D0134">
        <w:rPr>
          <w:rFonts w:ascii="Century" w:hAnsi="Century" w:hint="cs"/>
          <w:rtl/>
        </w:rPr>
        <w:tab/>
      </w:r>
    </w:p>
    <w:p w:rsidR="00A01E7C" w:rsidRPr="00CC1941" w:rsidRDefault="00A01E7C" w:rsidP="00A01E7C">
      <w:pPr>
        <w:spacing w:line="360" w:lineRule="auto"/>
        <w:rPr>
          <w:rFonts w:ascii="Century" w:hAnsi="Century" w:cs="FrankRuehl"/>
          <w:spacing w:val="10"/>
          <w:szCs w:val="28"/>
          <w:rtl/>
        </w:rPr>
      </w:pPr>
    </w:p>
    <w:p w:rsidR="00A01E7C" w:rsidRDefault="00A01E7C" w:rsidP="00A01E7C">
      <w:pPr>
        <w:rPr>
          <w:rtl/>
        </w:rPr>
      </w:pPr>
      <w:r w:rsidRPr="00ED4A31">
        <w:rPr>
          <w:rFonts w:ascii="Century" w:hAnsi="Century" w:cs="Miriam" w:hint="eastAsia"/>
          <w:b/>
          <w:rtl/>
        </w:rPr>
        <w:t>סטנדרט</w:t>
      </w:r>
      <w:r w:rsidRPr="00ED4A31">
        <w:rPr>
          <w:rFonts w:ascii="Century" w:hAnsi="Century" w:cs="Miriam"/>
          <w:b/>
          <w:rtl/>
        </w:rPr>
        <w:t xml:space="preserve"> </w:t>
      </w:r>
      <w:r w:rsidRPr="00ED4A31">
        <w:rPr>
          <w:rFonts w:ascii="Century" w:hAnsi="Century" w:cs="Miriam" w:hint="eastAsia"/>
          <w:b/>
          <w:rtl/>
        </w:rPr>
        <w:t>הביקורת</w:t>
      </w:r>
      <w:r w:rsidRPr="00ED4A31">
        <w:rPr>
          <w:rFonts w:ascii="Century" w:hAnsi="Century" w:cs="Miriam"/>
          <w:b/>
          <w:rtl/>
        </w:rPr>
        <w:t xml:space="preserve"> </w:t>
      </w:r>
      <w:r w:rsidRPr="00ED4A31">
        <w:rPr>
          <w:rFonts w:ascii="Century" w:hAnsi="Century" w:cs="Miriam" w:hint="eastAsia"/>
          <w:b/>
          <w:rtl/>
        </w:rPr>
        <w:t>השיפוטית</w:t>
      </w:r>
      <w:r>
        <w:rPr>
          <w:rFonts w:ascii="Century" w:hAnsi="Century" w:cs="Miriam" w:hint="cs"/>
          <w:b/>
          <w:rtl/>
        </w:rPr>
        <w:t xml:space="preserve"> שיש להחיל על התיקון</w:t>
      </w:r>
    </w:p>
    <w:p w:rsidR="00A01E7C" w:rsidRPr="00CC1941" w:rsidRDefault="00A01E7C" w:rsidP="00A01E7C">
      <w:pPr>
        <w:spacing w:line="360" w:lineRule="auto"/>
        <w:rPr>
          <w:rFonts w:ascii="Century" w:hAnsi="Century" w:cs="FrankRuehl"/>
          <w:spacing w:val="10"/>
          <w:szCs w:val="28"/>
          <w:rtl/>
        </w:rPr>
      </w:pPr>
    </w:p>
    <w:p w:rsidR="00A01E7C" w:rsidRDefault="00A01E7C" w:rsidP="002A1A3A">
      <w:pPr>
        <w:pStyle w:val="Ruller4"/>
        <w:numPr>
          <w:ilvl w:val="0"/>
          <w:numId w:val="14"/>
        </w:numPr>
        <w:rPr>
          <w:rtl/>
        </w:rPr>
      </w:pPr>
      <w:r>
        <w:rPr>
          <w:rFonts w:hint="cs"/>
          <w:rtl/>
        </w:rPr>
        <w:t xml:space="preserve">כפי שהבהרתי לעיל, אני סבורה כי סמכותה של הכנסת כרשות מכוננת היא מוגבלת; כי היא אינה יכולה לכונן חוקי יסוד הפוגעים באופן משמעותי במאפיינים הגרעיניים של מדינת ישראל כמדינה יהודית ודמוקרטית; וכי בית משפט זה מוסמך </w:t>
      </w:r>
      <w:r>
        <w:rPr>
          <w:rFonts w:hint="cs"/>
          <w:rtl/>
        </w:rPr>
        <w:lastRenderedPageBreak/>
        <w:t xml:space="preserve">לבחון האם הכנסת חרגה מסמכותה כרשות מכוננת, ולהכריז על בטלות חוק יסוד או תיקון לו אם התשובה לכך היא בחיוב. </w:t>
      </w:r>
    </w:p>
    <w:p w:rsidR="00C64AE8" w:rsidRDefault="00C64AE8" w:rsidP="00C64AE8">
      <w:pPr>
        <w:pStyle w:val="Ruller4"/>
        <w:numPr>
          <w:ilvl w:val="0"/>
          <w:numId w:val="0"/>
        </w:numPr>
        <w:rPr>
          <w:rtl/>
        </w:rPr>
      </w:pPr>
    </w:p>
    <w:p w:rsidR="00A01E7C" w:rsidRDefault="00C64AE8" w:rsidP="00C64AE8">
      <w:pPr>
        <w:pStyle w:val="Ruller4"/>
        <w:numPr>
          <w:ilvl w:val="0"/>
          <w:numId w:val="0"/>
        </w:numPr>
        <w:rPr>
          <w:rtl/>
        </w:rPr>
      </w:pPr>
      <w:r>
        <w:rPr>
          <w:rtl/>
        </w:rPr>
        <w:tab/>
      </w:r>
      <w:r w:rsidR="00A01E7C">
        <w:rPr>
          <w:rFonts w:hint="cs"/>
          <w:rtl/>
        </w:rPr>
        <w:t>יחד עם זאת, כפי שנקבע בעבר, לא כל פגיעה במאפיינים הגרעיניים של מדינת ישראל כיהודית ודמוקרטית תעלה לכדי חריגה מהסמכות המכוננת. חריגה כזו מתקיימת רק כאשר מדובר בפגיעה קשה וחמורה ביותר במאפייניה של המדינה כמדינה יהודית ודמוקרטית (ראו: עניין</w:t>
      </w:r>
      <w:r w:rsidR="00A01E7C" w:rsidRPr="00273396">
        <w:rPr>
          <w:rFonts w:ascii="Century" w:hAnsi="Century" w:cs="Miriam"/>
          <w:b/>
          <w:spacing w:val="0"/>
          <w:sz w:val="22"/>
          <w:szCs w:val="24"/>
          <w:rtl/>
        </w:rPr>
        <w:t xml:space="preserve"> </w:t>
      </w:r>
      <w:r w:rsidR="00A01E7C" w:rsidRPr="00273396">
        <w:rPr>
          <w:rFonts w:ascii="Century" w:hAnsi="Century" w:cs="Miriam" w:hint="eastAsia"/>
          <w:b/>
          <w:spacing w:val="0"/>
          <w:sz w:val="22"/>
          <w:szCs w:val="24"/>
          <w:rtl/>
        </w:rPr>
        <w:t>חסון</w:t>
      </w:r>
      <w:r w:rsidR="00A01E7C">
        <w:rPr>
          <w:rFonts w:hint="cs"/>
          <w:rtl/>
        </w:rPr>
        <w:t xml:space="preserve">, בפסקאות 31-28 לפסק דינה של הנשיאה </w:t>
      </w:r>
      <w:r w:rsidR="00A01E7C" w:rsidRPr="00CC1941">
        <w:rPr>
          <w:rFonts w:ascii="Century" w:hAnsi="Century" w:cs="Miriam" w:hint="eastAsia"/>
          <w:b/>
          <w:spacing w:val="0"/>
          <w:sz w:val="22"/>
          <w:szCs w:val="24"/>
          <w:rtl/>
        </w:rPr>
        <w:t>חיות</w:t>
      </w:r>
      <w:r w:rsidR="00A01E7C">
        <w:rPr>
          <w:rFonts w:hint="cs"/>
          <w:rtl/>
        </w:rPr>
        <w:t xml:space="preserve">). </w:t>
      </w:r>
    </w:p>
    <w:p w:rsidR="00A01E7C" w:rsidRPr="00FF5D86" w:rsidRDefault="00A01E7C" w:rsidP="00A01E7C">
      <w:pPr>
        <w:spacing w:line="360" w:lineRule="auto"/>
        <w:rPr>
          <w:rFonts w:ascii="Century" w:hAnsi="Century" w:cs="FrankRuehl"/>
          <w:spacing w:val="10"/>
          <w:szCs w:val="28"/>
          <w:rtl/>
        </w:rPr>
      </w:pPr>
    </w:p>
    <w:p w:rsidR="00C64AE8" w:rsidRDefault="00A01E7C" w:rsidP="00C64AE8">
      <w:pPr>
        <w:pStyle w:val="Ruller4"/>
      </w:pPr>
      <w:r w:rsidRPr="007C0E43">
        <w:rPr>
          <w:rtl/>
        </w:rPr>
        <w:t>הביקורת השיפוטית על חוק</w:t>
      </w:r>
      <w:r>
        <w:rPr>
          <w:rFonts w:hint="cs"/>
          <w:rtl/>
        </w:rPr>
        <w:t>ת</w:t>
      </w:r>
      <w:r w:rsidRPr="007C0E43">
        <w:rPr>
          <w:rtl/>
        </w:rPr>
        <w:t>יות חוק</w:t>
      </w:r>
      <w:r>
        <w:rPr>
          <w:rFonts w:hint="cs"/>
          <w:rtl/>
        </w:rPr>
        <w:t>י</w:t>
      </w:r>
      <w:r w:rsidRPr="007C0E43">
        <w:rPr>
          <w:rtl/>
        </w:rPr>
        <w:t xml:space="preserve"> יסוד היא </w:t>
      </w:r>
      <w:r>
        <w:rPr>
          <w:rFonts w:hint="cs"/>
          <w:rtl/>
        </w:rPr>
        <w:t xml:space="preserve">אם כן </w:t>
      </w:r>
      <w:r w:rsidRPr="007C0E43">
        <w:rPr>
          <w:rtl/>
        </w:rPr>
        <w:t>מצומצמת מאוד, ו</w:t>
      </w:r>
      <w:r>
        <w:rPr>
          <w:rFonts w:hint="cs"/>
          <w:rtl/>
        </w:rPr>
        <w:t xml:space="preserve">היא </w:t>
      </w:r>
      <w:r w:rsidRPr="007C0E43">
        <w:rPr>
          <w:rtl/>
        </w:rPr>
        <w:t xml:space="preserve">נועדה רק למקרים חריגים ביותר. </w:t>
      </w:r>
      <w:r w:rsidRPr="00463096">
        <w:rPr>
          <w:rFonts w:hint="eastAsia"/>
          <w:rtl/>
        </w:rPr>
        <w:t>יחד</w:t>
      </w:r>
      <w:r w:rsidRPr="00463096">
        <w:rPr>
          <w:rtl/>
        </w:rPr>
        <w:t xml:space="preserve"> </w:t>
      </w:r>
      <w:r w:rsidRPr="00463096">
        <w:rPr>
          <w:rFonts w:hint="eastAsia"/>
          <w:rtl/>
        </w:rPr>
        <w:t>עם</w:t>
      </w:r>
      <w:r w:rsidRPr="00463096">
        <w:rPr>
          <w:rtl/>
        </w:rPr>
        <w:t xml:space="preserve"> </w:t>
      </w:r>
      <w:r w:rsidRPr="00463096">
        <w:rPr>
          <w:rFonts w:hint="eastAsia"/>
          <w:rtl/>
        </w:rPr>
        <w:t>זאת</w:t>
      </w:r>
      <w:r w:rsidRPr="00463096">
        <w:rPr>
          <w:rtl/>
        </w:rPr>
        <w:t xml:space="preserve">, </w:t>
      </w:r>
      <w:r>
        <w:rPr>
          <w:rFonts w:hint="cs"/>
          <w:rtl/>
        </w:rPr>
        <w:t xml:space="preserve">לטעמי, הביקורת המצומצמת הזו אינה </w:t>
      </w:r>
      <w:r w:rsidRPr="00C72186">
        <w:rPr>
          <w:rFonts w:hint="eastAsia"/>
          <w:rtl/>
        </w:rPr>
        <w:t>עשויה</w:t>
      </w:r>
      <w:r w:rsidRPr="00C72186">
        <w:rPr>
          <w:rtl/>
        </w:rPr>
        <w:t xml:space="preserve"> </w:t>
      </w:r>
      <w:r w:rsidRPr="00C72186">
        <w:rPr>
          <w:rFonts w:hint="eastAsia"/>
          <w:rtl/>
        </w:rPr>
        <w:t>מקשה</w:t>
      </w:r>
      <w:r w:rsidRPr="00182594">
        <w:rPr>
          <w:rtl/>
        </w:rPr>
        <w:t xml:space="preserve"> </w:t>
      </w:r>
      <w:r w:rsidRPr="00463096">
        <w:rPr>
          <w:rFonts w:hint="eastAsia"/>
          <w:rtl/>
        </w:rPr>
        <w:t>אחת</w:t>
      </w:r>
      <w:r>
        <w:rPr>
          <w:rFonts w:hint="cs"/>
          <w:rtl/>
        </w:rPr>
        <w:t xml:space="preserve">. גם כאשר מדובר בביקורת על חקיקת חוקי יסוד, </w:t>
      </w:r>
      <w:r w:rsidRPr="00463096">
        <w:rPr>
          <w:rFonts w:hint="eastAsia"/>
          <w:rtl/>
        </w:rPr>
        <w:t>עשויים</w:t>
      </w:r>
      <w:r w:rsidRPr="00463096">
        <w:rPr>
          <w:rtl/>
        </w:rPr>
        <w:t xml:space="preserve"> להיות </w:t>
      </w:r>
      <w:r w:rsidRPr="00463096">
        <w:rPr>
          <w:rFonts w:hint="eastAsia"/>
          <w:rtl/>
        </w:rPr>
        <w:t>הבדלים</w:t>
      </w:r>
      <w:r w:rsidRPr="00463096">
        <w:rPr>
          <w:rtl/>
        </w:rPr>
        <w:t xml:space="preserve"> בין היקף הביקורת השיפוטית</w:t>
      </w:r>
      <w:r>
        <w:rPr>
          <w:rFonts w:hint="cs"/>
          <w:rtl/>
        </w:rPr>
        <w:t xml:space="preserve"> במקרים שונים. </w:t>
      </w:r>
      <w:r w:rsidRPr="007C0E43">
        <w:rPr>
          <w:rtl/>
        </w:rPr>
        <w:t xml:space="preserve">שאלת </w:t>
      </w:r>
      <w:r w:rsidRPr="00C72186">
        <w:rPr>
          <w:rFonts w:hint="eastAsia"/>
          <w:rtl/>
        </w:rPr>
        <w:t>סטנדרט</w:t>
      </w:r>
      <w:r w:rsidRPr="00C72186">
        <w:rPr>
          <w:rtl/>
        </w:rPr>
        <w:t xml:space="preserve"> </w:t>
      </w:r>
      <w:r w:rsidRPr="00C72186">
        <w:rPr>
          <w:rFonts w:hint="eastAsia"/>
          <w:rtl/>
        </w:rPr>
        <w:t>הביקורת</w:t>
      </w:r>
      <w:r w:rsidRPr="00182594">
        <w:rPr>
          <w:rtl/>
        </w:rPr>
        <w:t xml:space="preserve"> </w:t>
      </w:r>
      <w:r>
        <w:rPr>
          <w:rFonts w:hint="cs"/>
          <w:rtl/>
        </w:rPr>
        <w:t xml:space="preserve">והיקפה צריכה להיבחן אפוא </w:t>
      </w:r>
      <w:r w:rsidRPr="00463096">
        <w:rPr>
          <w:rFonts w:hint="eastAsia"/>
          <w:rtl/>
        </w:rPr>
        <w:t>תוך</w:t>
      </w:r>
      <w:r w:rsidRPr="00463096">
        <w:rPr>
          <w:rtl/>
        </w:rPr>
        <w:t xml:space="preserve"> </w:t>
      </w:r>
      <w:r w:rsidRPr="00463096">
        <w:rPr>
          <w:rFonts w:hint="eastAsia"/>
          <w:rtl/>
        </w:rPr>
        <w:t>התייחסות</w:t>
      </w:r>
      <w:r w:rsidRPr="00463096">
        <w:rPr>
          <w:rtl/>
        </w:rPr>
        <w:t xml:space="preserve"> </w:t>
      </w:r>
      <w:r w:rsidRPr="00463096">
        <w:rPr>
          <w:rFonts w:hint="eastAsia"/>
          <w:rtl/>
        </w:rPr>
        <w:t>לסוג</w:t>
      </w:r>
      <w:r w:rsidRPr="00463096">
        <w:rPr>
          <w:rtl/>
        </w:rPr>
        <w:t xml:space="preserve"> </w:t>
      </w:r>
      <w:r w:rsidRPr="00463096">
        <w:rPr>
          <w:rFonts w:hint="eastAsia"/>
          <w:rtl/>
        </w:rPr>
        <w:t>התיקון</w:t>
      </w:r>
      <w:r w:rsidRPr="00463096">
        <w:rPr>
          <w:rtl/>
        </w:rPr>
        <w:t xml:space="preserve"> </w:t>
      </w:r>
      <w:r w:rsidRPr="00463096">
        <w:rPr>
          <w:rFonts w:hint="eastAsia"/>
          <w:rtl/>
        </w:rPr>
        <w:t>המוצע</w:t>
      </w:r>
      <w:r>
        <w:rPr>
          <w:rFonts w:hint="cs"/>
          <w:rtl/>
        </w:rPr>
        <w:t xml:space="preserve"> ולמאפייניו</w:t>
      </w:r>
      <w:r w:rsidRPr="00463096">
        <w:rPr>
          <w:rtl/>
        </w:rPr>
        <w:t>.</w:t>
      </w:r>
    </w:p>
    <w:p w:rsidR="00C64AE8" w:rsidRDefault="00C64AE8" w:rsidP="00C64AE8">
      <w:pPr>
        <w:pStyle w:val="Ruller4"/>
        <w:numPr>
          <w:ilvl w:val="0"/>
          <w:numId w:val="0"/>
        </w:numPr>
        <w:rPr>
          <w:rtl/>
        </w:rPr>
      </w:pPr>
    </w:p>
    <w:p w:rsidR="00A01E7C" w:rsidRDefault="00C64AE8" w:rsidP="00C64AE8">
      <w:pPr>
        <w:pStyle w:val="Ruller4"/>
        <w:numPr>
          <w:ilvl w:val="0"/>
          <w:numId w:val="0"/>
        </w:numPr>
        <w:rPr>
          <w:rtl/>
        </w:rPr>
      </w:pPr>
      <w:r>
        <w:rPr>
          <w:rtl/>
        </w:rPr>
        <w:tab/>
      </w:r>
      <w:r w:rsidR="00A01E7C">
        <w:rPr>
          <w:rFonts w:hint="cs"/>
          <w:rtl/>
        </w:rPr>
        <w:t>במקרה דנן, אני סבורה כי רמת הביקורת צריכה לשקף בראש ובראשונה את "ניגוד העניינים המוסדי" בו מצויה הרשות המכוננת בהחלטות הנוגעות לחלוקת הסמכויות בין הרשויות, ובפרט בחקיקה המצמצמת את כוחה של הרשות השופטת בביקורת על הרשות המבצעת. לצד זאת, יש להביא בחשבון גם את העובדה שהתיקון התקבל ללא הסכמה של אף אחד מחברי הכנסת מטעם האופוזיציה; ואת העובדה שתחולתו של התיקון היא מיידית</w:t>
      </w:r>
      <w:r w:rsidR="00A01E7C" w:rsidRPr="00102DA9">
        <w:rPr>
          <w:rFonts w:hint="cs"/>
          <w:rtl/>
        </w:rPr>
        <w:t>, וכי ה</w:t>
      </w:r>
      <w:r w:rsidR="00A01E7C">
        <w:rPr>
          <w:rFonts w:hint="cs"/>
          <w:rtl/>
        </w:rPr>
        <w:t>ו</w:t>
      </w:r>
      <w:r w:rsidR="00A01E7C" w:rsidRPr="00102DA9">
        <w:rPr>
          <w:rFonts w:hint="cs"/>
          <w:rtl/>
        </w:rPr>
        <w:t xml:space="preserve">א </w:t>
      </w:r>
      <w:r w:rsidR="00A01E7C">
        <w:rPr>
          <w:rFonts w:hint="cs"/>
          <w:rtl/>
        </w:rPr>
        <w:t>י</w:t>
      </w:r>
      <w:r w:rsidR="00A01E7C" w:rsidRPr="00102DA9">
        <w:rPr>
          <w:rFonts w:hint="cs"/>
          <w:rtl/>
        </w:rPr>
        <w:t>שפיע על אתר על הממשלה הנוכחית</w:t>
      </w:r>
      <w:r w:rsidR="00A01E7C">
        <w:rPr>
          <w:rFonts w:hint="cs"/>
          <w:rtl/>
        </w:rPr>
        <w:t xml:space="preserve">. לאור כל אלה, </w:t>
      </w:r>
      <w:r w:rsidR="00A01E7C" w:rsidRPr="00A632E3">
        <w:rPr>
          <w:rFonts w:hint="eastAsia"/>
          <w:rtl/>
        </w:rPr>
        <w:t>החשש</w:t>
      </w:r>
      <w:r w:rsidR="00A01E7C" w:rsidRPr="00A632E3">
        <w:rPr>
          <w:rtl/>
        </w:rPr>
        <w:t xml:space="preserve"> </w:t>
      </w:r>
      <w:r w:rsidR="00A01E7C" w:rsidRPr="00A632E3">
        <w:rPr>
          <w:rFonts w:hint="eastAsia"/>
          <w:rtl/>
        </w:rPr>
        <w:t>מפני</w:t>
      </w:r>
      <w:r w:rsidR="00A01E7C" w:rsidRPr="00A632E3">
        <w:rPr>
          <w:rtl/>
        </w:rPr>
        <w:t xml:space="preserve"> </w:t>
      </w:r>
      <w:r w:rsidR="00A01E7C" w:rsidRPr="00A632E3">
        <w:rPr>
          <w:rFonts w:hint="eastAsia"/>
          <w:rtl/>
        </w:rPr>
        <w:t>ניגוד</w:t>
      </w:r>
      <w:r w:rsidR="00A01E7C" w:rsidRPr="00A632E3">
        <w:rPr>
          <w:rtl/>
        </w:rPr>
        <w:t xml:space="preserve"> </w:t>
      </w:r>
      <w:r w:rsidR="00A01E7C">
        <w:rPr>
          <w:rFonts w:hint="cs"/>
          <w:rtl/>
        </w:rPr>
        <w:t>ה</w:t>
      </w:r>
      <w:r w:rsidR="00A01E7C" w:rsidRPr="00A632E3">
        <w:rPr>
          <w:rFonts w:hint="eastAsia"/>
          <w:rtl/>
        </w:rPr>
        <w:t>עניינים</w:t>
      </w:r>
      <w:r w:rsidR="00A01E7C">
        <w:rPr>
          <w:rFonts w:hint="cs"/>
          <w:rtl/>
        </w:rPr>
        <w:t xml:space="preserve"> המוסדי בו מצויה הרשות המכוננת</w:t>
      </w:r>
      <w:r w:rsidR="00A01E7C" w:rsidRPr="00A632E3">
        <w:rPr>
          <w:rtl/>
        </w:rPr>
        <w:t xml:space="preserve"> </w:t>
      </w:r>
      <w:r w:rsidR="00A01E7C" w:rsidRPr="00A632E3">
        <w:rPr>
          <w:rFonts w:hint="eastAsia"/>
          <w:rtl/>
        </w:rPr>
        <w:t>אינו</w:t>
      </w:r>
      <w:r w:rsidR="00A01E7C" w:rsidRPr="00A632E3">
        <w:rPr>
          <w:rtl/>
        </w:rPr>
        <w:t xml:space="preserve"> </w:t>
      </w:r>
      <w:r w:rsidR="00A01E7C" w:rsidRPr="00A632E3">
        <w:rPr>
          <w:rFonts w:hint="eastAsia"/>
          <w:rtl/>
        </w:rPr>
        <w:t>מתמתן</w:t>
      </w:r>
      <w:r w:rsidR="00A01E7C" w:rsidRPr="00A632E3">
        <w:rPr>
          <w:rtl/>
        </w:rPr>
        <w:t xml:space="preserve"> </w:t>
      </w:r>
      <w:r w:rsidR="00A01E7C" w:rsidRPr="00A632E3">
        <w:rPr>
          <w:rFonts w:hint="eastAsia"/>
          <w:rtl/>
        </w:rPr>
        <w:t>ולמעשה</w:t>
      </w:r>
      <w:r w:rsidR="00A01E7C" w:rsidRPr="00A632E3">
        <w:rPr>
          <w:rtl/>
        </w:rPr>
        <w:t xml:space="preserve"> </w:t>
      </w:r>
      <w:r w:rsidR="00A01E7C" w:rsidRPr="00A632E3">
        <w:rPr>
          <w:rFonts w:hint="eastAsia"/>
          <w:rtl/>
        </w:rPr>
        <w:t>אף</w:t>
      </w:r>
      <w:r w:rsidR="00A01E7C" w:rsidRPr="00A632E3">
        <w:rPr>
          <w:rtl/>
        </w:rPr>
        <w:t xml:space="preserve"> </w:t>
      </w:r>
      <w:r w:rsidR="00A01E7C" w:rsidRPr="00A632E3">
        <w:rPr>
          <w:rFonts w:hint="eastAsia"/>
          <w:rtl/>
        </w:rPr>
        <w:t>מת</w:t>
      </w:r>
      <w:r w:rsidR="00A01E7C">
        <w:rPr>
          <w:rFonts w:hint="cs"/>
          <w:rtl/>
        </w:rPr>
        <w:t>עצם</w:t>
      </w:r>
      <w:r w:rsidR="00A01E7C" w:rsidRPr="00102DA9">
        <w:rPr>
          <w:rFonts w:hint="cs"/>
          <w:rtl/>
        </w:rPr>
        <w:t>. נושאים אלה יפורטו להלן.</w:t>
      </w:r>
      <w:r w:rsidR="00A01E7C">
        <w:rPr>
          <w:rFonts w:hint="cs"/>
          <w:rtl/>
        </w:rPr>
        <w:t xml:space="preserve">  </w:t>
      </w:r>
    </w:p>
    <w:p w:rsidR="00A01E7C" w:rsidRDefault="00A01E7C" w:rsidP="00C64AE8">
      <w:pPr>
        <w:pStyle w:val="Ruller4"/>
        <w:numPr>
          <w:ilvl w:val="0"/>
          <w:numId w:val="0"/>
        </w:numPr>
        <w:rPr>
          <w:rtl/>
        </w:rPr>
      </w:pPr>
    </w:p>
    <w:p w:rsidR="00A01E7C" w:rsidRDefault="00A01E7C" w:rsidP="00A01E7C">
      <w:pPr>
        <w:spacing w:line="360" w:lineRule="auto"/>
        <w:rPr>
          <w:rFonts w:ascii="Century" w:hAnsi="Century" w:cs="Miriam"/>
          <w:b/>
          <w:highlight w:val="yellow"/>
          <w:rtl/>
        </w:rPr>
      </w:pPr>
      <w:r>
        <w:rPr>
          <w:rFonts w:ascii="Century" w:hAnsi="Century" w:cs="Miriam" w:hint="cs"/>
          <w:b/>
          <w:rtl/>
        </w:rPr>
        <w:t>(א)</w:t>
      </w:r>
      <w:r>
        <w:rPr>
          <w:rFonts w:ascii="Century" w:hAnsi="Century" w:cs="Miriam"/>
          <w:b/>
          <w:rtl/>
        </w:rPr>
        <w:tab/>
      </w:r>
      <w:r>
        <w:rPr>
          <w:rFonts w:ascii="Century" w:hAnsi="Century" w:cs="Miriam" w:hint="cs"/>
          <w:b/>
          <w:rtl/>
        </w:rPr>
        <w:t>קיומו של "ניגוד עניינים מוסדי"</w:t>
      </w:r>
    </w:p>
    <w:p w:rsidR="00A01E7C" w:rsidRDefault="00A01E7C" w:rsidP="00A01E7C">
      <w:pPr>
        <w:spacing w:line="360" w:lineRule="auto"/>
        <w:rPr>
          <w:rFonts w:ascii="Century" w:hAnsi="Century" w:cs="Miriam"/>
          <w:b/>
          <w:rtl/>
        </w:rPr>
      </w:pPr>
    </w:p>
    <w:p w:rsidR="00A01E7C" w:rsidRDefault="00A01E7C" w:rsidP="00C64AE8">
      <w:pPr>
        <w:pStyle w:val="Ruller4"/>
        <w:rPr>
          <w:rtl/>
        </w:rPr>
      </w:pPr>
      <w:r>
        <w:rPr>
          <w:rFonts w:hint="cs"/>
          <w:rtl/>
        </w:rPr>
        <w:t xml:space="preserve">לגישתי, יש להתייחס ביתר חשדנות ולהפעיל </w:t>
      </w:r>
      <w:r w:rsidRPr="00FF378C">
        <w:rPr>
          <w:rtl/>
        </w:rPr>
        <w:t xml:space="preserve">ביקורת </w:t>
      </w:r>
      <w:r>
        <w:rPr>
          <w:rFonts w:hint="cs"/>
          <w:rtl/>
        </w:rPr>
        <w:t>שיפוטית מוגברת יותר כאשר מדובר בחקיקה או בתיקון לחוק לגביהם מצויה הכנסת ב</w:t>
      </w:r>
      <w:r w:rsidRPr="00C72186">
        <w:rPr>
          <w:rFonts w:hint="eastAsia"/>
          <w:rtl/>
        </w:rPr>
        <w:t>ניגוד</w:t>
      </w:r>
      <w:r w:rsidRPr="00C72186">
        <w:rPr>
          <w:rtl/>
        </w:rPr>
        <w:t xml:space="preserve"> </w:t>
      </w:r>
      <w:r w:rsidRPr="00C72186">
        <w:rPr>
          <w:rFonts w:hint="eastAsia"/>
          <w:rtl/>
        </w:rPr>
        <w:t>עניינים</w:t>
      </w:r>
      <w:r w:rsidRPr="00182594">
        <w:rPr>
          <w:rtl/>
        </w:rPr>
        <w:t xml:space="preserve"> </w:t>
      </w:r>
      <w:r w:rsidRPr="00463096">
        <w:rPr>
          <w:rFonts w:hint="eastAsia"/>
          <w:rtl/>
        </w:rPr>
        <w:t>מוסדי</w:t>
      </w:r>
      <w:r w:rsidRPr="00463096">
        <w:rPr>
          <w:rtl/>
        </w:rPr>
        <w:t xml:space="preserve"> </w:t>
      </w:r>
      <w:r w:rsidRPr="00463096">
        <w:rPr>
          <w:rFonts w:hint="eastAsia"/>
          <w:rtl/>
        </w:rPr>
        <w:t>בין</w:t>
      </w:r>
      <w:r w:rsidRPr="00463096">
        <w:rPr>
          <w:rtl/>
        </w:rPr>
        <w:t xml:space="preserve"> </w:t>
      </w:r>
      <w:r w:rsidRPr="00463096">
        <w:rPr>
          <w:rFonts w:hint="eastAsia"/>
          <w:rtl/>
        </w:rPr>
        <w:t>כובעה</w:t>
      </w:r>
      <w:r w:rsidRPr="00463096">
        <w:rPr>
          <w:rtl/>
        </w:rPr>
        <w:t xml:space="preserve"> </w:t>
      </w:r>
      <w:r w:rsidRPr="00463096">
        <w:rPr>
          <w:rFonts w:hint="eastAsia"/>
          <w:rtl/>
        </w:rPr>
        <w:t>כרשות</w:t>
      </w:r>
      <w:r w:rsidRPr="00463096">
        <w:rPr>
          <w:rtl/>
        </w:rPr>
        <w:t xml:space="preserve"> </w:t>
      </w:r>
      <w:r w:rsidRPr="00463096">
        <w:rPr>
          <w:rFonts w:hint="eastAsia"/>
          <w:rtl/>
        </w:rPr>
        <w:t>מכוננת</w:t>
      </w:r>
      <w:r>
        <w:rPr>
          <w:rFonts w:hint="cs"/>
          <w:rtl/>
        </w:rPr>
        <w:t xml:space="preserve"> </w:t>
      </w:r>
      <w:r w:rsidRPr="00FF378C">
        <w:rPr>
          <w:rFonts w:hint="eastAsia"/>
          <w:rtl/>
        </w:rPr>
        <w:t>לבין</w:t>
      </w:r>
      <w:r w:rsidRPr="00FF378C">
        <w:rPr>
          <w:rtl/>
        </w:rPr>
        <w:t xml:space="preserve"> </w:t>
      </w:r>
      <w:r w:rsidRPr="00FF378C">
        <w:rPr>
          <w:rFonts w:hint="eastAsia"/>
          <w:rtl/>
        </w:rPr>
        <w:t>קידום</w:t>
      </w:r>
      <w:r w:rsidRPr="00FF378C">
        <w:rPr>
          <w:rtl/>
        </w:rPr>
        <w:t xml:space="preserve"> </w:t>
      </w:r>
      <w:r w:rsidRPr="00FF378C">
        <w:rPr>
          <w:rFonts w:hint="eastAsia"/>
          <w:rtl/>
        </w:rPr>
        <w:t>תכלית</w:t>
      </w:r>
      <w:r w:rsidRPr="00FF378C">
        <w:rPr>
          <w:rtl/>
        </w:rPr>
        <w:t xml:space="preserve"> פרטיקולרית-מוסדית </w:t>
      </w:r>
      <w:r>
        <w:rPr>
          <w:rFonts w:hint="cs"/>
          <w:rtl/>
        </w:rPr>
        <w:t>אחרת. משכך, אני סבורה כי רמת הביקורת השיפוטית על התיקון דנן, צריכה להביא בחשבון את העובדה שמדובר בתיקון המשליך על האיזון בין שלוש רשויות השלטון ומצמצם את כוחה של רשות אחת על חשבונה של רשות אחרת</w:t>
      </w:r>
      <w:r w:rsidRPr="00463096">
        <w:rPr>
          <w:rtl/>
        </w:rPr>
        <w:t>.</w:t>
      </w:r>
      <w:r>
        <w:rPr>
          <w:rFonts w:hint="cs"/>
          <w:rtl/>
        </w:rPr>
        <w:t xml:space="preserve"> כפי שיובהר להלן, בחוקי יסוד כאלה יש להפעיל ביקורת שיפוטית קפדנית יותר; ובפרט </w:t>
      </w:r>
      <w:r>
        <w:rPr>
          <w:rtl/>
        </w:rPr>
        <w:t>–</w:t>
      </w:r>
      <w:r>
        <w:rPr>
          <w:rFonts w:hint="cs"/>
          <w:rtl/>
        </w:rPr>
        <w:t xml:space="preserve"> כאשר מדובר בחוק יסוד או בתיקון לחוק יסוד שנועדו לצמצם את כוחה של הרשות השופטת תוך הגברת כוחה של הרשות המבצעת.</w:t>
      </w:r>
    </w:p>
    <w:p w:rsidR="00A01E7C" w:rsidRDefault="00A01E7C" w:rsidP="00C64AE8">
      <w:pPr>
        <w:pStyle w:val="Ruller4"/>
        <w:numPr>
          <w:ilvl w:val="0"/>
          <w:numId w:val="0"/>
        </w:numPr>
        <w:rPr>
          <w:rtl/>
        </w:rPr>
      </w:pPr>
    </w:p>
    <w:p w:rsidR="00C64AE8" w:rsidRDefault="00A01E7C" w:rsidP="00C64AE8">
      <w:pPr>
        <w:pStyle w:val="Ruller4"/>
      </w:pPr>
      <w:r>
        <w:rPr>
          <w:rFonts w:hint="cs"/>
          <w:rtl/>
        </w:rPr>
        <w:lastRenderedPageBreak/>
        <w:t xml:space="preserve">הכלל האוסר על ניגוד עניינים הוא עקרון יסוד בשיטתנו, האוסר על עובד ציבור להימצא במצב של ניגוד עניינים בין אינטרס הקשור בהפעלת סמכותו לבין אינטרס אחר שאף עמו הוא קשור (ראו: בג"ץ 6641/93 </w:t>
      </w:r>
      <w:r w:rsidRPr="00214D91">
        <w:rPr>
          <w:rFonts w:ascii="Century" w:hAnsi="Century" w:cs="Miriam" w:hint="eastAsia"/>
          <w:b/>
          <w:spacing w:val="0"/>
          <w:sz w:val="22"/>
          <w:szCs w:val="24"/>
          <w:rtl/>
        </w:rPr>
        <w:t>סיעת</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צעירים</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למען</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חיפה</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בעירית</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חיפה</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נ</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מועצת</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העיר</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חיפה</w:t>
      </w:r>
      <w:r>
        <w:rPr>
          <w:rFonts w:hint="cs"/>
          <w:rtl/>
        </w:rPr>
        <w:t xml:space="preserve">, פ"ד מח(3) 555, 559 (1994); בג"ץ 531/79 </w:t>
      </w:r>
      <w:r w:rsidRPr="00214D91">
        <w:rPr>
          <w:rFonts w:ascii="Century" w:hAnsi="Century" w:cs="Miriam" w:hint="eastAsia"/>
          <w:b/>
          <w:spacing w:val="0"/>
          <w:sz w:val="22"/>
          <w:szCs w:val="24"/>
          <w:rtl/>
        </w:rPr>
        <w:t>סיעת</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הליכוד</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בעיריית</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פתח</w:t>
      </w:r>
      <w:r w:rsidRPr="00214D91">
        <w:rPr>
          <w:rFonts w:ascii="Century" w:hAnsi="Century" w:cs="Miriam"/>
          <w:b/>
          <w:spacing w:val="0"/>
          <w:sz w:val="22"/>
          <w:szCs w:val="24"/>
          <w:rtl/>
        </w:rPr>
        <w:t>-</w:t>
      </w:r>
      <w:r w:rsidRPr="00214D91">
        <w:rPr>
          <w:rFonts w:ascii="Century" w:hAnsi="Century" w:cs="Miriam" w:hint="eastAsia"/>
          <w:b/>
          <w:spacing w:val="0"/>
          <w:sz w:val="22"/>
          <w:szCs w:val="24"/>
          <w:rtl/>
        </w:rPr>
        <w:t>תקווה</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נ</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מועצת</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עיריית</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פתח</w:t>
      </w:r>
      <w:r w:rsidRPr="00214D91">
        <w:rPr>
          <w:rFonts w:ascii="Century" w:hAnsi="Century" w:cs="Miriam"/>
          <w:b/>
          <w:spacing w:val="0"/>
          <w:sz w:val="22"/>
          <w:szCs w:val="24"/>
          <w:rtl/>
        </w:rPr>
        <w:t>-</w:t>
      </w:r>
      <w:r w:rsidRPr="00214D91">
        <w:rPr>
          <w:rFonts w:ascii="Century" w:hAnsi="Century" w:cs="Miriam" w:hint="eastAsia"/>
          <w:b/>
          <w:spacing w:val="0"/>
          <w:sz w:val="22"/>
          <w:szCs w:val="24"/>
          <w:rtl/>
        </w:rPr>
        <w:t>תקווה</w:t>
      </w:r>
      <w:r>
        <w:rPr>
          <w:rFonts w:hint="cs"/>
          <w:rtl/>
        </w:rPr>
        <w:t xml:space="preserve">, פ"ד לד(2) 566, 571 (1980)). האיסור על ניגוד עניינים חל גם כאשר ניגוד העניינים הוא מוסדי, קרי כאשר קיימת התנגשות בין שני אינטרסים שלטוניים עליהם עובד הציבור מופקד (ראו: בג"ץ 244/86 </w:t>
      </w:r>
      <w:r w:rsidRPr="00214D91">
        <w:rPr>
          <w:rFonts w:ascii="Century" w:hAnsi="Century" w:cs="Miriam" w:hint="eastAsia"/>
          <w:b/>
          <w:spacing w:val="0"/>
          <w:sz w:val="22"/>
          <w:szCs w:val="24"/>
          <w:rtl/>
        </w:rPr>
        <w:t>רביבו</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נ</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ראש</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המועצה</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המקומית</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אופקים</w:t>
      </w:r>
      <w:r w:rsidRPr="00214D91">
        <w:rPr>
          <w:rFonts w:ascii="Century" w:hAnsi="Century"/>
          <w:sz w:val="22"/>
          <w:rtl/>
        </w:rPr>
        <w:t xml:space="preserve">, </w:t>
      </w:r>
      <w:r>
        <w:rPr>
          <w:rFonts w:ascii="Century" w:hAnsi="Century" w:hint="cs"/>
          <w:sz w:val="22"/>
          <w:rtl/>
        </w:rPr>
        <w:t>פ"ד מב(3) 183,</w:t>
      </w:r>
      <w:r w:rsidRPr="00214D91">
        <w:rPr>
          <w:rFonts w:ascii="Century" w:hAnsi="Century"/>
          <w:sz w:val="22"/>
          <w:rtl/>
        </w:rPr>
        <w:t xml:space="preserve"> 185 (1988</w:t>
      </w:r>
      <w:r>
        <w:rPr>
          <w:rFonts w:hint="cs"/>
          <w:rtl/>
        </w:rPr>
        <w:t xml:space="preserve">)). האיסור להימצא בניגוד עניינים נועד הן כדי להבטיח כי בעת מילוי התפקיד הציבורי יופעלו שיקולים ענייניים בלבד ללא השפעות חיצוניות ושיקולים זרים; והן לצורך הבטחת אמון הציבור ברשות (ראו: בג"ץ 1100/95 </w:t>
      </w:r>
      <w:r w:rsidRPr="00214D91">
        <w:rPr>
          <w:rFonts w:ascii="Century" w:hAnsi="Century" w:cs="Miriam" w:hint="eastAsia"/>
          <w:b/>
          <w:spacing w:val="0"/>
          <w:sz w:val="22"/>
          <w:szCs w:val="24"/>
          <w:rtl/>
        </w:rPr>
        <w:t>קאסוטו</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נ</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ראש</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עיריית</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ירושלים</w:t>
      </w:r>
      <w:r>
        <w:rPr>
          <w:rFonts w:hint="cs"/>
          <w:rtl/>
        </w:rPr>
        <w:t xml:space="preserve">, פ"ד מט(3) 691, 698 (1995)). המבחן לקיומו של ניגוד עניינים הוא אובייקטיבי, ואין צורך שניגוד העניינים יתקיים הלכה למעשה אלא די בפוטנציאל לניגוד עניינים (ראו: בג"ץ 11745/04 </w:t>
      </w:r>
      <w:r w:rsidRPr="006E71E5">
        <w:rPr>
          <w:rFonts w:ascii="Century" w:hAnsi="Century" w:cs="Miriam" w:hint="cs"/>
          <w:b/>
          <w:spacing w:val="0"/>
          <w:sz w:val="22"/>
          <w:szCs w:val="24"/>
          <w:rtl/>
        </w:rPr>
        <w:t>רמות למען הסביבה נ' המועצה הארצית לתכנון ולבניה</w:t>
      </w:r>
      <w:r>
        <w:rPr>
          <w:rFonts w:hint="cs"/>
          <w:rtl/>
        </w:rPr>
        <w:t>, פסקה 15 (4.9.2008)).</w:t>
      </w:r>
    </w:p>
    <w:p w:rsidR="00C64AE8" w:rsidRDefault="00C64AE8" w:rsidP="00C64AE8">
      <w:pPr>
        <w:pStyle w:val="Ruller4"/>
        <w:numPr>
          <w:ilvl w:val="0"/>
          <w:numId w:val="0"/>
        </w:numPr>
        <w:rPr>
          <w:rtl/>
        </w:rPr>
      </w:pPr>
    </w:p>
    <w:p w:rsidR="00A01E7C" w:rsidRPr="00B53DF1" w:rsidRDefault="00C64AE8" w:rsidP="00C64AE8">
      <w:pPr>
        <w:pStyle w:val="Ruller4"/>
        <w:numPr>
          <w:ilvl w:val="0"/>
          <w:numId w:val="0"/>
        </w:numPr>
        <w:rPr>
          <w:rtl/>
        </w:rPr>
      </w:pPr>
      <w:r>
        <w:rPr>
          <w:rtl/>
        </w:rPr>
        <w:tab/>
      </w:r>
      <w:r w:rsidR="00A01E7C">
        <w:rPr>
          <w:rFonts w:hint="cs"/>
          <w:rtl/>
        </w:rPr>
        <w:t xml:space="preserve">אכן, פעמים רבות חוק או החלטה של הכנסת עשויים להשפיע באופן כזה או אחר על חברי הכנסת או על הכנסת עצמה. חקיקה שכזו היא כמובן לגיטימית ואינה אסורה. ואולם, הימצאותה של הכנסת בניגוד עניינים מוסדי והחשש הנובע מקיומו של ניגוד העניינים הזה, מחייבים לטעמי בחינה קפדנית יותר של תוכן התיקון וגישה מקלה מעט יותר להתערבות שיפוטית. בהקשר זה יצוין כי גם הפסיקה הכירה זה מכבר, במסגרת הדוקטרינה של "שימוש לרעה בסמכות המכוננת", בכך כי כאשר הכנסת עושה שימוש בסמכות המכוננת לצורך אינטרסים פרטיקולריים (של אדם ספציפי או של "פרסונה מוסדית") עשויה להיות לכך השלכה על תוקף החיקוק (ראו: </w:t>
      </w:r>
      <w:r w:rsidR="00A01E7C" w:rsidRPr="00FF378C">
        <w:rPr>
          <w:rFonts w:hint="eastAsia"/>
          <w:rtl/>
        </w:rPr>
        <w:t>בג</w:t>
      </w:r>
      <w:r w:rsidR="00A01E7C" w:rsidRPr="00FF378C">
        <w:rPr>
          <w:rtl/>
        </w:rPr>
        <w:t xml:space="preserve">"ץ 5969/20 </w:t>
      </w:r>
      <w:r w:rsidR="00A01E7C" w:rsidRPr="00C64AE8">
        <w:rPr>
          <w:rFonts w:ascii="Century" w:hAnsi="Century" w:cs="Miriam" w:hint="eastAsia"/>
          <w:b/>
          <w:szCs w:val="24"/>
          <w:rtl/>
        </w:rPr>
        <w:t>שפיר</w:t>
      </w:r>
      <w:r w:rsidR="00A01E7C" w:rsidRPr="00C64AE8">
        <w:rPr>
          <w:rFonts w:ascii="Century" w:hAnsi="Century" w:cs="Miriam"/>
          <w:b/>
          <w:szCs w:val="24"/>
          <w:rtl/>
        </w:rPr>
        <w:t xml:space="preserve"> </w:t>
      </w:r>
      <w:r w:rsidR="00A01E7C" w:rsidRPr="00C64AE8">
        <w:rPr>
          <w:rFonts w:ascii="Century" w:hAnsi="Century" w:cs="Miriam" w:hint="eastAsia"/>
          <w:b/>
          <w:szCs w:val="24"/>
          <w:rtl/>
        </w:rPr>
        <w:t>נ</w:t>
      </w:r>
      <w:r w:rsidR="00A01E7C" w:rsidRPr="00C64AE8">
        <w:rPr>
          <w:rFonts w:ascii="Century" w:hAnsi="Century" w:cs="Miriam"/>
          <w:b/>
          <w:szCs w:val="24"/>
          <w:rtl/>
        </w:rPr>
        <w:t>' הכנסת</w:t>
      </w:r>
      <w:r w:rsidR="00A01E7C" w:rsidRPr="00FF378C">
        <w:rPr>
          <w:rtl/>
        </w:rPr>
        <w:t xml:space="preserve">, פסקה 40 לפסק דינה של הנשיאה </w:t>
      </w:r>
      <w:r w:rsidR="00A01E7C" w:rsidRPr="00C64AE8">
        <w:rPr>
          <w:rFonts w:ascii="Century" w:hAnsi="Century" w:cs="Miriam" w:hint="eastAsia"/>
          <w:b/>
          <w:spacing w:val="0"/>
          <w:sz w:val="22"/>
          <w:szCs w:val="24"/>
          <w:rtl/>
        </w:rPr>
        <w:t>חיות</w:t>
      </w:r>
      <w:r w:rsidR="00A01E7C" w:rsidRPr="00301D66">
        <w:rPr>
          <w:rtl/>
        </w:rPr>
        <w:t xml:space="preserve"> </w:t>
      </w:r>
      <w:r w:rsidR="00A01E7C" w:rsidRPr="00FF378C">
        <w:rPr>
          <w:rtl/>
        </w:rPr>
        <w:t>(23.5.2021)</w:t>
      </w:r>
      <w:r w:rsidR="00A01E7C">
        <w:rPr>
          <w:rFonts w:hint="cs"/>
          <w:rtl/>
        </w:rPr>
        <w:t xml:space="preserve"> (להלן: </w:t>
      </w:r>
      <w:r w:rsidR="00A01E7C" w:rsidRPr="00C64AE8">
        <w:rPr>
          <w:rFonts w:ascii="Century" w:hAnsi="Century" w:cs="Miriam" w:hint="eastAsia"/>
          <w:b/>
          <w:spacing w:val="0"/>
          <w:sz w:val="22"/>
          <w:szCs w:val="24"/>
          <w:rtl/>
        </w:rPr>
        <w:t>עניין</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שפיר</w:t>
      </w:r>
      <w:r w:rsidR="00A01E7C">
        <w:rPr>
          <w:rFonts w:hint="cs"/>
          <w:rtl/>
        </w:rPr>
        <w:t xml:space="preserve">); בג"ץ 2905/20 </w:t>
      </w:r>
      <w:r w:rsidR="00A01E7C" w:rsidRPr="00C64AE8">
        <w:rPr>
          <w:rFonts w:ascii="Century" w:hAnsi="Century" w:cs="Miriam" w:hint="eastAsia"/>
          <w:b/>
          <w:spacing w:val="0"/>
          <w:sz w:val="22"/>
          <w:szCs w:val="24"/>
          <w:rtl/>
        </w:rPr>
        <w:t>התנועה</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למען</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איכות</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השלטון</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בישראל</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נ</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כנסת</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ישראל</w:t>
      </w:r>
      <w:r w:rsidR="00A01E7C">
        <w:rPr>
          <w:rFonts w:hint="cs"/>
          <w:rtl/>
        </w:rPr>
        <w:t>, פסקה 140</w:t>
      </w:r>
      <w:r w:rsidR="00A01E7C" w:rsidRPr="000B2504">
        <w:rPr>
          <w:rtl/>
        </w:rPr>
        <w:t xml:space="preserve"> </w:t>
      </w:r>
      <w:r w:rsidR="00A01E7C">
        <w:rPr>
          <w:rFonts w:hint="cs"/>
          <w:rtl/>
        </w:rPr>
        <w:t xml:space="preserve">לפסק דינו של המשנה לנשיאה (בדימ') </w:t>
      </w:r>
      <w:r w:rsidR="00A01E7C" w:rsidRPr="00C64AE8">
        <w:rPr>
          <w:rFonts w:ascii="Century" w:hAnsi="Century" w:cs="Miriam" w:hint="eastAsia"/>
          <w:b/>
          <w:spacing w:val="0"/>
          <w:sz w:val="22"/>
          <w:szCs w:val="24"/>
          <w:rtl/>
        </w:rPr>
        <w:t>ח</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מלצר</w:t>
      </w:r>
      <w:r w:rsidR="00A01E7C" w:rsidRPr="00C64AE8">
        <w:rPr>
          <w:rFonts w:ascii="Century" w:hAnsi="Century"/>
          <w:sz w:val="22"/>
          <w:rtl/>
        </w:rPr>
        <w:t xml:space="preserve">, </w:t>
      </w:r>
      <w:r w:rsidR="00A01E7C" w:rsidRPr="00C64AE8">
        <w:rPr>
          <w:rFonts w:ascii="Century" w:hAnsi="Century" w:hint="eastAsia"/>
          <w:sz w:val="22"/>
          <w:rtl/>
        </w:rPr>
        <w:t>פסקה</w:t>
      </w:r>
      <w:r w:rsidR="00A01E7C" w:rsidRPr="00C64AE8">
        <w:rPr>
          <w:rFonts w:ascii="Century" w:hAnsi="Century"/>
          <w:sz w:val="22"/>
          <w:rtl/>
        </w:rPr>
        <w:t xml:space="preserve"> 15 </w:t>
      </w:r>
      <w:r w:rsidR="00A01E7C" w:rsidRPr="00C64AE8">
        <w:rPr>
          <w:rFonts w:ascii="Century" w:hAnsi="Century" w:hint="eastAsia"/>
          <w:sz w:val="22"/>
          <w:rtl/>
        </w:rPr>
        <w:t>לחוות</w:t>
      </w:r>
      <w:r w:rsidR="00A01E7C" w:rsidRPr="00C64AE8">
        <w:rPr>
          <w:rFonts w:ascii="Century" w:hAnsi="Century"/>
          <w:sz w:val="22"/>
          <w:rtl/>
        </w:rPr>
        <w:t xml:space="preserve"> </w:t>
      </w:r>
      <w:r w:rsidR="00A01E7C" w:rsidRPr="00C64AE8">
        <w:rPr>
          <w:rFonts w:ascii="Century" w:hAnsi="Century" w:hint="eastAsia"/>
          <w:sz w:val="22"/>
          <w:rtl/>
        </w:rPr>
        <w:t>דעת</w:t>
      </w:r>
      <w:r w:rsidR="00A01E7C" w:rsidRPr="00C64AE8">
        <w:rPr>
          <w:rFonts w:ascii="Century" w:hAnsi="Century" w:hint="cs"/>
          <w:sz w:val="22"/>
          <w:rtl/>
        </w:rPr>
        <w:t>ה</w:t>
      </w:r>
      <w:r w:rsidR="00A01E7C" w:rsidRPr="00C64AE8">
        <w:rPr>
          <w:rFonts w:ascii="Century" w:hAnsi="Century"/>
          <w:sz w:val="22"/>
          <w:rtl/>
        </w:rPr>
        <w:t xml:space="preserve"> </w:t>
      </w:r>
      <w:r w:rsidR="00A01E7C" w:rsidRPr="00C64AE8">
        <w:rPr>
          <w:rFonts w:ascii="Century" w:hAnsi="Century" w:hint="eastAsia"/>
          <w:sz w:val="22"/>
          <w:rtl/>
        </w:rPr>
        <w:t>של</w:t>
      </w:r>
      <w:r w:rsidR="00A01E7C" w:rsidRPr="00C64AE8">
        <w:rPr>
          <w:rFonts w:ascii="Century" w:hAnsi="Century"/>
          <w:sz w:val="22"/>
          <w:rtl/>
        </w:rPr>
        <w:t xml:space="preserve"> </w:t>
      </w:r>
      <w:r w:rsidR="00A01E7C" w:rsidRPr="00C64AE8">
        <w:rPr>
          <w:rFonts w:ascii="Century" w:hAnsi="Century" w:hint="eastAsia"/>
          <w:sz w:val="22"/>
          <w:rtl/>
        </w:rPr>
        <w:t>הנשיאה</w:t>
      </w:r>
      <w:r w:rsidR="00A01E7C" w:rsidRPr="00C64AE8">
        <w:rPr>
          <w:rFonts w:ascii="Century" w:hAnsi="Century"/>
          <w:sz w:val="22"/>
          <w:rtl/>
        </w:rPr>
        <w:t xml:space="preserve"> </w:t>
      </w:r>
      <w:r w:rsidR="00A01E7C" w:rsidRPr="00C64AE8">
        <w:rPr>
          <w:rFonts w:ascii="Century" w:hAnsi="Century" w:cs="Miriam" w:hint="cs"/>
          <w:b/>
          <w:spacing w:val="0"/>
          <w:sz w:val="22"/>
          <w:szCs w:val="24"/>
          <w:rtl/>
        </w:rPr>
        <w:t>חיות</w:t>
      </w:r>
      <w:r w:rsidR="00A01E7C" w:rsidRPr="00C64AE8">
        <w:rPr>
          <w:rFonts w:ascii="Century" w:hAnsi="Century" w:cs="Miriam"/>
          <w:b/>
          <w:spacing w:val="0"/>
          <w:sz w:val="22"/>
          <w:szCs w:val="24"/>
          <w:rtl/>
        </w:rPr>
        <w:t xml:space="preserve"> </w:t>
      </w:r>
      <w:r w:rsidR="00A01E7C">
        <w:rPr>
          <w:rFonts w:hint="cs"/>
          <w:rtl/>
        </w:rPr>
        <w:t xml:space="preserve">(12.7.2021) (להלן: </w:t>
      </w:r>
      <w:r w:rsidR="00A01E7C" w:rsidRPr="00C64AE8">
        <w:rPr>
          <w:rFonts w:ascii="Century" w:hAnsi="Century" w:cs="Miriam" w:hint="eastAsia"/>
          <w:b/>
          <w:spacing w:val="0"/>
          <w:sz w:val="22"/>
          <w:szCs w:val="24"/>
          <w:rtl/>
        </w:rPr>
        <w:t>עניין</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ממשלת</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החילופים</w:t>
      </w:r>
      <w:r w:rsidR="00A01E7C">
        <w:rPr>
          <w:rFonts w:hint="cs"/>
          <w:rtl/>
        </w:rPr>
        <w:t xml:space="preserve">); </w:t>
      </w:r>
      <w:r w:rsidR="00A01E7C" w:rsidRPr="00301D66">
        <w:rPr>
          <w:rtl/>
        </w:rPr>
        <w:t xml:space="preserve">בג"ץ 8260/16 </w:t>
      </w:r>
      <w:r w:rsidR="00A01E7C" w:rsidRPr="00C64AE8">
        <w:rPr>
          <w:rFonts w:ascii="Century" w:hAnsi="Century" w:cs="Miriam" w:hint="eastAsia"/>
          <w:b/>
          <w:spacing w:val="0"/>
          <w:sz w:val="22"/>
          <w:szCs w:val="24"/>
          <w:rtl/>
        </w:rPr>
        <w:t>המרכז</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האקדמי</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למשפט</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ולעסקים</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נ</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כנסת</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ישראל</w:t>
      </w:r>
      <w:r w:rsidR="00A01E7C">
        <w:rPr>
          <w:rFonts w:hint="cs"/>
          <w:rtl/>
        </w:rPr>
        <w:t xml:space="preserve">, פסקה 6 לחוות דעתו של השופט </w:t>
      </w:r>
      <w:r w:rsidR="00A01E7C" w:rsidRPr="00C64AE8">
        <w:rPr>
          <w:rFonts w:ascii="Century" w:hAnsi="Century" w:cs="Miriam" w:hint="eastAsia"/>
          <w:b/>
          <w:spacing w:val="0"/>
          <w:sz w:val="22"/>
          <w:szCs w:val="24"/>
          <w:rtl/>
        </w:rPr>
        <w:t>נ</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הנדל</w:t>
      </w:r>
      <w:r w:rsidR="00A01E7C" w:rsidRPr="00301D66">
        <w:rPr>
          <w:rtl/>
        </w:rPr>
        <w:t xml:space="preserve"> (</w:t>
      </w:r>
      <w:r w:rsidR="00A01E7C">
        <w:rPr>
          <w:rFonts w:hint="cs"/>
          <w:rtl/>
        </w:rPr>
        <w:t>6</w:t>
      </w:r>
      <w:r w:rsidR="00A01E7C" w:rsidRPr="00301D66">
        <w:rPr>
          <w:rtl/>
        </w:rPr>
        <w:t>.</w:t>
      </w:r>
      <w:r w:rsidR="00A01E7C">
        <w:rPr>
          <w:rFonts w:hint="cs"/>
          <w:rtl/>
        </w:rPr>
        <w:t>9</w:t>
      </w:r>
      <w:r w:rsidR="00A01E7C" w:rsidRPr="00301D66">
        <w:rPr>
          <w:rtl/>
        </w:rPr>
        <w:t>.2017)</w:t>
      </w:r>
      <w:r w:rsidR="00A01E7C">
        <w:rPr>
          <w:rFonts w:hint="cs"/>
          <w:rtl/>
        </w:rPr>
        <w:t xml:space="preserve"> (להלן: </w:t>
      </w:r>
      <w:r w:rsidR="00A01E7C" w:rsidRPr="00C64AE8">
        <w:rPr>
          <w:rFonts w:ascii="Century" w:hAnsi="Century" w:cs="Miriam" w:hint="eastAsia"/>
          <w:b/>
          <w:spacing w:val="0"/>
          <w:sz w:val="22"/>
          <w:szCs w:val="24"/>
          <w:rtl/>
        </w:rPr>
        <w:t>עניין</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המרכז</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האקדמי</w:t>
      </w:r>
      <w:r w:rsidR="00A01E7C">
        <w:rPr>
          <w:rFonts w:hint="cs"/>
          <w:rtl/>
        </w:rPr>
        <w:t xml:space="preserve">)). לטעמי, קיומו של ניגוד עניינים מוסדי מחייב החלת סטנדרט ביקורת מחמיר יותר על תוכנו של חוק יסוד או של תיקון לחוק יסוד (שאינו נוגע רק לזיהוי הנורמה ולהתאמתה למארג החקיקתי, בהתאם לדוקטרינה של "שימוש לרעה בסמכות המכוננת", כפי שנשמע עד כה בפסיקתו של בית משפט זה). זאת לאור החשש כי אף אם חוק היסוד אכן תואם למארג החקיקתי, תוכנו הושפע לרעה בשל אותו ניגוד עניינים מוסדי בו הייתה מצויה הרשות המכוננת בעת כינונו. כפי שאמחיש להלן, אני סבורה כי בכינונה את </w:t>
      </w:r>
      <w:r w:rsidR="00A01E7C">
        <w:rPr>
          <w:rFonts w:hint="cs"/>
          <w:rtl/>
        </w:rPr>
        <w:lastRenderedPageBreak/>
        <w:t>התיקון דנן הייתה מצויה הכנסת בניגוד עניינים מוסדי שיש בו כדי להצדיק החלת סטנדרט ביקורת מחמיר יותר על התיקון.</w:t>
      </w:r>
    </w:p>
    <w:p w:rsidR="00C64AE8" w:rsidRDefault="00C64AE8" w:rsidP="00C64AE8">
      <w:pPr>
        <w:pStyle w:val="Ruller4"/>
        <w:numPr>
          <w:ilvl w:val="0"/>
          <w:numId w:val="0"/>
        </w:numPr>
        <w:rPr>
          <w:rtl/>
        </w:rPr>
      </w:pPr>
    </w:p>
    <w:p w:rsidR="00A01E7C" w:rsidRDefault="00A01E7C" w:rsidP="00C64AE8">
      <w:pPr>
        <w:pStyle w:val="Ruller4"/>
        <w:rPr>
          <w:rtl/>
        </w:rPr>
      </w:pPr>
      <w:r>
        <w:rPr>
          <w:rFonts w:hint="cs"/>
          <w:rtl/>
        </w:rPr>
        <w:t xml:space="preserve">התיקון דנן עוסק באופן ישיר בקביעת גבולות כוחה של הרשות המבצעת השולטת בפועל בכנסת. כפי שהיטיבה להסביר הנשיאה (בדימ') </w:t>
      </w:r>
      <w:r w:rsidRPr="008A25DE">
        <w:rPr>
          <w:rFonts w:ascii="Century" w:hAnsi="Century" w:cs="Miriam" w:hint="cs"/>
          <w:b/>
          <w:spacing w:val="0"/>
          <w:sz w:val="22"/>
          <w:szCs w:val="24"/>
          <w:rtl/>
        </w:rPr>
        <w:t>חיות</w:t>
      </w:r>
      <w:r>
        <w:rPr>
          <w:rFonts w:hint="cs"/>
          <w:rtl/>
        </w:rPr>
        <w:t xml:space="preserve">, בשיטת המשפט הישראלית, לכנסת ישנם שני כובעים: רשות מחוקקת ורשות מכוננת. בשיטת המשטר הפרלמנטרית הנהוגה בישראל, בה מחזיקה הרשות המבצעת ברוב מקרב חברי הכנסת </w:t>
      </w:r>
      <w:r>
        <w:rPr>
          <w:rtl/>
        </w:rPr>
        <w:t>–</w:t>
      </w:r>
      <w:r>
        <w:rPr>
          <w:rFonts w:hint="cs"/>
          <w:rtl/>
        </w:rPr>
        <w:t xml:space="preserve"> הכנסת (בשני כובעיה) נשלטת בפועל על ידי הרשות המבצעת, קרי הממשלה. לכן, בכוחה של הממשלה, באמצעות הכנסת, לחוקק ולתקן חוקי יסוד המשליכים על מאזן הכוחות בין הרשויות ולשנותו (ראו פסקאות 81-79 לחוות דעתה של הנשיאה (בדימ') </w:t>
      </w:r>
      <w:r w:rsidRPr="008A25DE">
        <w:rPr>
          <w:rFonts w:ascii="Century" w:hAnsi="Century" w:cs="Miriam" w:hint="cs"/>
          <w:b/>
          <w:spacing w:val="0"/>
          <w:sz w:val="22"/>
          <w:szCs w:val="24"/>
          <w:rtl/>
        </w:rPr>
        <w:t>חיות</w:t>
      </w:r>
      <w:r>
        <w:rPr>
          <w:rFonts w:hint="cs"/>
          <w:rtl/>
        </w:rPr>
        <w:t xml:space="preserve">). מכאן כי הרשות המכוננת מצויה במצב של ניגוד עניינים מוסדי כאשר היא מחוקקת חוק יסוד המשליך באופן ישיר על גבולות כוחה של הרשות המבצעת השולטת בה. התיקון דנן הוא כזה, שכן הוא מגביל את כוחה של הרשות השופטת לבקר את פעולותיה של הרשות המבצעת (לדיון במגבלות אפשריות על "חקיקה עצמית" בין היתר בשל ניגוד עניינים ופגיעה בעקרון הפרדת הרשויות, ראו: </w:t>
      </w:r>
      <w:r w:rsidRPr="00273396">
        <w:rPr>
          <w:rFonts w:hint="eastAsia"/>
          <w:rtl/>
        </w:rPr>
        <w:t>יואב</w:t>
      </w:r>
      <w:r w:rsidRPr="00273396">
        <w:rPr>
          <w:rtl/>
        </w:rPr>
        <w:t xml:space="preserve"> </w:t>
      </w:r>
      <w:r w:rsidRPr="00273396">
        <w:rPr>
          <w:rFonts w:hint="eastAsia"/>
          <w:rtl/>
        </w:rPr>
        <w:t>דותן</w:t>
      </w:r>
      <w:r>
        <w:rPr>
          <w:rFonts w:hint="cs"/>
          <w:rtl/>
        </w:rPr>
        <w:t xml:space="preserve"> "איסור 'החקיקה העצמית' כמגבלה חוקתית בפסיקת בית המשפט העליון"</w:t>
      </w:r>
      <w:r w:rsidRPr="00273396">
        <w:rPr>
          <w:rtl/>
        </w:rPr>
        <w:t xml:space="preserve"> </w:t>
      </w:r>
      <w:r w:rsidRPr="00FF5D86">
        <w:rPr>
          <w:rFonts w:ascii="Century" w:hAnsi="Century" w:cs="Miriam" w:hint="eastAsia"/>
          <w:b/>
          <w:spacing w:val="0"/>
          <w:sz w:val="22"/>
          <w:szCs w:val="24"/>
          <w:rtl/>
        </w:rPr>
        <w:t>משפטים</w:t>
      </w:r>
      <w:r w:rsidRPr="00B53DF1">
        <w:rPr>
          <w:rtl/>
        </w:rPr>
        <w:t xml:space="preserve"> </w:t>
      </w:r>
      <w:r w:rsidRPr="00273396">
        <w:rPr>
          <w:rFonts w:hint="eastAsia"/>
          <w:rtl/>
        </w:rPr>
        <w:t>לא</w:t>
      </w:r>
      <w:r>
        <w:rPr>
          <w:rFonts w:hint="cs"/>
          <w:rtl/>
        </w:rPr>
        <w:t xml:space="preserve"> 771,</w:t>
      </w:r>
      <w:r w:rsidRPr="00273396">
        <w:rPr>
          <w:rtl/>
        </w:rPr>
        <w:t xml:space="preserve"> 794-792 (</w:t>
      </w:r>
      <w:r w:rsidRPr="00273396">
        <w:rPr>
          <w:rFonts w:hint="eastAsia"/>
          <w:rtl/>
        </w:rPr>
        <w:t>התשס</w:t>
      </w:r>
      <w:r w:rsidRPr="00273396">
        <w:rPr>
          <w:rtl/>
        </w:rPr>
        <w:t>"</w:t>
      </w:r>
      <w:r w:rsidRPr="00273396">
        <w:rPr>
          <w:rFonts w:hint="eastAsia"/>
          <w:rtl/>
        </w:rPr>
        <w:t>א</w:t>
      </w:r>
      <w:r w:rsidRPr="00273396">
        <w:rPr>
          <w:rtl/>
        </w:rPr>
        <w:t>)</w:t>
      </w:r>
      <w:r>
        <w:rPr>
          <w:rFonts w:hint="cs"/>
          <w:rtl/>
        </w:rPr>
        <w:t xml:space="preserve">; עוד ראו: </w:t>
      </w:r>
      <w:r w:rsidRPr="007C0E43">
        <w:rPr>
          <w:rFonts w:hint="eastAsia"/>
          <w:rtl/>
        </w:rPr>
        <w:t>לוציאן</w:t>
      </w:r>
      <w:r w:rsidRPr="007C0E43">
        <w:rPr>
          <w:rtl/>
        </w:rPr>
        <w:t xml:space="preserve"> אריה </w:t>
      </w:r>
      <w:r w:rsidRPr="007C0E43">
        <w:rPr>
          <w:rFonts w:hint="eastAsia"/>
          <w:rtl/>
        </w:rPr>
        <w:t>בבצ</w:t>
      </w:r>
      <w:r w:rsidRPr="005D24BA">
        <w:rPr>
          <w:rtl/>
        </w:rPr>
        <w:t>'וק וברק מדינה "</w:t>
      </w:r>
      <w:r w:rsidRPr="00C72186">
        <w:rPr>
          <w:rFonts w:hint="eastAsia"/>
          <w:rtl/>
        </w:rPr>
        <w:t>ביקורת</w:t>
      </w:r>
      <w:r w:rsidRPr="00C72186">
        <w:rPr>
          <w:rtl/>
        </w:rPr>
        <w:t xml:space="preserve"> </w:t>
      </w:r>
      <w:r w:rsidRPr="00C72186">
        <w:rPr>
          <w:rFonts w:hint="eastAsia"/>
          <w:rtl/>
        </w:rPr>
        <w:t>שיפוטית</w:t>
      </w:r>
      <w:r w:rsidRPr="00182594">
        <w:rPr>
          <w:rtl/>
        </w:rPr>
        <w:t xml:space="preserve"> </w:t>
      </w:r>
      <w:r w:rsidRPr="00463096">
        <w:rPr>
          <w:rFonts w:hint="eastAsia"/>
          <w:rtl/>
        </w:rPr>
        <w:t>על</w:t>
      </w:r>
      <w:r w:rsidRPr="00463096">
        <w:rPr>
          <w:rtl/>
        </w:rPr>
        <w:t xml:space="preserve"> </w:t>
      </w:r>
      <w:r w:rsidRPr="00463096">
        <w:rPr>
          <w:rFonts w:hint="eastAsia"/>
          <w:rtl/>
        </w:rPr>
        <w:t>הרפורמה</w:t>
      </w:r>
      <w:r w:rsidRPr="00463096">
        <w:rPr>
          <w:rtl/>
        </w:rPr>
        <w:t xml:space="preserve"> </w:t>
      </w:r>
      <w:r w:rsidRPr="00463096">
        <w:rPr>
          <w:rFonts w:hint="eastAsia"/>
          <w:rtl/>
        </w:rPr>
        <w:t>המשפטית</w:t>
      </w:r>
      <w:r w:rsidRPr="00463096">
        <w:rPr>
          <w:rtl/>
        </w:rPr>
        <w:t xml:space="preserve">" </w:t>
      </w:r>
      <w:r w:rsidRPr="00CC1941">
        <w:rPr>
          <w:rFonts w:ascii="Century" w:hAnsi="Century" w:cs="Miriam" w:hint="eastAsia"/>
          <w:b/>
          <w:spacing w:val="0"/>
          <w:sz w:val="22"/>
          <w:szCs w:val="24"/>
          <w:rtl/>
        </w:rPr>
        <w:t>פורום</w:t>
      </w:r>
      <w:r w:rsidRPr="00CC1941">
        <w:rPr>
          <w:rFonts w:ascii="Century" w:hAnsi="Century" w:cs="Miriam"/>
          <w:b/>
          <w:spacing w:val="0"/>
          <w:sz w:val="22"/>
          <w:szCs w:val="24"/>
          <w:rtl/>
        </w:rPr>
        <w:t xml:space="preserve"> </w:t>
      </w:r>
      <w:r w:rsidRPr="00CC1941">
        <w:rPr>
          <w:rFonts w:ascii="Century" w:hAnsi="Century" w:cs="Miriam" w:hint="eastAsia"/>
          <w:b/>
          <w:spacing w:val="0"/>
          <w:sz w:val="22"/>
          <w:szCs w:val="24"/>
          <w:rtl/>
        </w:rPr>
        <w:t>עיוני</w:t>
      </w:r>
      <w:r w:rsidRPr="00CC1941">
        <w:rPr>
          <w:rFonts w:ascii="Century" w:hAnsi="Century" w:cs="Miriam"/>
          <w:b/>
          <w:spacing w:val="0"/>
          <w:sz w:val="22"/>
          <w:szCs w:val="24"/>
          <w:rtl/>
        </w:rPr>
        <w:t xml:space="preserve"> </w:t>
      </w:r>
      <w:r w:rsidRPr="00CC1941">
        <w:rPr>
          <w:rFonts w:ascii="Century" w:hAnsi="Century" w:cs="Miriam" w:hint="eastAsia"/>
          <w:b/>
          <w:spacing w:val="0"/>
          <w:sz w:val="22"/>
          <w:szCs w:val="24"/>
          <w:rtl/>
        </w:rPr>
        <w:t>משפט</w:t>
      </w:r>
      <w:r w:rsidRPr="00301D66">
        <w:rPr>
          <w:rtl/>
        </w:rPr>
        <w:t xml:space="preserve"> </w:t>
      </w:r>
      <w:r w:rsidRPr="007C0E43">
        <w:rPr>
          <w:rtl/>
        </w:rPr>
        <w:t>מח</w:t>
      </w:r>
      <w:r>
        <w:rPr>
          <w:rFonts w:hint="cs"/>
          <w:rtl/>
        </w:rPr>
        <w:t xml:space="preserve"> 1</w:t>
      </w:r>
      <w:r w:rsidRPr="007C0E43">
        <w:rPr>
          <w:rtl/>
        </w:rPr>
        <w:t>, 46-43</w:t>
      </w:r>
      <w:r w:rsidRPr="005D24BA">
        <w:rPr>
          <w:rtl/>
        </w:rPr>
        <w:t xml:space="preserve"> (</w:t>
      </w:r>
      <w:r>
        <w:rPr>
          <w:rFonts w:hint="cs"/>
          <w:rtl/>
        </w:rPr>
        <w:t>ה</w:t>
      </w:r>
      <w:r w:rsidRPr="00C72186">
        <w:rPr>
          <w:rFonts w:hint="eastAsia"/>
          <w:rtl/>
        </w:rPr>
        <w:t>תשפ</w:t>
      </w:r>
      <w:r w:rsidRPr="00C72186">
        <w:rPr>
          <w:rtl/>
        </w:rPr>
        <w:t>"ג)</w:t>
      </w:r>
      <w:r>
        <w:rPr>
          <w:rFonts w:hint="cs"/>
          <w:rtl/>
        </w:rPr>
        <w:t xml:space="preserve">). </w:t>
      </w:r>
    </w:p>
    <w:p w:rsidR="00A01E7C" w:rsidRDefault="00A01E7C" w:rsidP="00C64AE8">
      <w:pPr>
        <w:pStyle w:val="Ruller4"/>
        <w:numPr>
          <w:ilvl w:val="0"/>
          <w:numId w:val="0"/>
        </w:numPr>
        <w:rPr>
          <w:rtl/>
        </w:rPr>
      </w:pPr>
    </w:p>
    <w:p w:rsidR="00C64AE8" w:rsidRDefault="00A01E7C" w:rsidP="00C64AE8">
      <w:pPr>
        <w:pStyle w:val="Ruller4"/>
      </w:pPr>
      <w:r>
        <w:rPr>
          <w:rFonts w:hint="cs"/>
          <w:rtl/>
        </w:rPr>
        <w:t xml:space="preserve">עקרון הפרדת הרשויות נחשב לאחד מעקרונות היסוד של המשפט החוקתי בישראל כמו גם בדמוקרטיות אחרות. מכוחו של עקרון זה מתחלקים הכוחות בין רשויות השלטון, במטרה למנוע צבירת כוח מוחלט ובלתי מבוקר בידי כל אחת מרשויות השלטון. עקרון הפרדת הרשויות מושג באמצעות יצירת איזונים ובלמים בין הרשויות, כאשר כל אחת מהן מתמחה בתחום אחד אך גם מקיימת פיקוח הדדי על האחרות (ראו למשל: בג"ץ 910/86 </w:t>
      </w:r>
      <w:r w:rsidRPr="00214D91">
        <w:rPr>
          <w:rFonts w:ascii="Century" w:hAnsi="Century" w:cs="Miriam" w:hint="eastAsia"/>
          <w:b/>
          <w:spacing w:val="0"/>
          <w:sz w:val="22"/>
          <w:szCs w:val="24"/>
          <w:rtl/>
        </w:rPr>
        <w:t>רסלר</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נ</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שר</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הביטחון</w:t>
      </w:r>
      <w:r>
        <w:rPr>
          <w:rFonts w:hint="cs"/>
          <w:rtl/>
        </w:rPr>
        <w:t xml:space="preserve">, פ"ד מב(2) 441, 518 (1998); בג"ץ 11163/03 </w:t>
      </w:r>
      <w:r w:rsidRPr="00214D91">
        <w:rPr>
          <w:rFonts w:ascii="Century" w:hAnsi="Century" w:cs="Miriam" w:hint="eastAsia"/>
          <w:b/>
          <w:spacing w:val="0"/>
          <w:sz w:val="22"/>
          <w:szCs w:val="24"/>
          <w:rtl/>
        </w:rPr>
        <w:t>ועדת</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המעקב</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העליונה</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לענייני</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הערבים</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בישראל</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נ</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ראש</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ממשלת</w:t>
      </w:r>
      <w:r w:rsidRPr="00214D91">
        <w:rPr>
          <w:rFonts w:ascii="Century" w:hAnsi="Century" w:cs="Miriam"/>
          <w:b/>
          <w:spacing w:val="0"/>
          <w:sz w:val="22"/>
          <w:szCs w:val="24"/>
          <w:rtl/>
        </w:rPr>
        <w:t xml:space="preserve"> </w:t>
      </w:r>
      <w:r w:rsidRPr="00F262F2">
        <w:rPr>
          <w:rFonts w:ascii="Century" w:hAnsi="Century" w:cs="Miriam" w:hint="eastAsia"/>
          <w:b/>
          <w:spacing w:val="0"/>
          <w:sz w:val="22"/>
          <w:szCs w:val="24"/>
          <w:rtl/>
        </w:rPr>
        <w:t>ישראל</w:t>
      </w:r>
      <w:r>
        <w:rPr>
          <w:rFonts w:hint="cs"/>
          <w:rtl/>
        </w:rPr>
        <w:t xml:space="preserve">, פ"ד סא(1) 55, 58-55 (2006)). תפקידה העיקרי והמשמעותי של הרשות השופטת באותו ביזור סמכויות הוא לקיים ביקורת שיפוטית וחוקתית על הרשויות האחרות. בתוך כך עליה לשמור על גבולות הסמכות של הרשויות האחרות ועל חוקיות הפעלת הסמכות (ראו: בג"ץ </w:t>
      </w:r>
      <w:r w:rsidRPr="00273396">
        <w:rPr>
          <w:rFonts w:ascii="Century" w:hAnsi="Century"/>
          <w:rtl/>
        </w:rPr>
        <w:t>50</w:t>
      </w:r>
      <w:r>
        <w:rPr>
          <w:rFonts w:hint="cs"/>
          <w:rtl/>
        </w:rPr>
        <w:t xml:space="preserve">16/96 </w:t>
      </w:r>
      <w:r w:rsidRPr="00273396">
        <w:rPr>
          <w:rFonts w:ascii="Century" w:hAnsi="Century" w:cs="Miriam" w:hint="eastAsia"/>
          <w:b/>
          <w:spacing w:val="0"/>
          <w:sz w:val="22"/>
          <w:szCs w:val="24"/>
          <w:rtl/>
        </w:rPr>
        <w:t>חורב</w:t>
      </w:r>
      <w:r w:rsidRPr="00273396">
        <w:rPr>
          <w:rFonts w:ascii="Century" w:hAnsi="Century" w:cs="Miriam"/>
          <w:b/>
          <w:spacing w:val="0"/>
          <w:sz w:val="22"/>
          <w:szCs w:val="24"/>
          <w:rtl/>
        </w:rPr>
        <w:t xml:space="preserve"> </w:t>
      </w:r>
      <w:r w:rsidRPr="00273396">
        <w:rPr>
          <w:rFonts w:ascii="Century" w:hAnsi="Century" w:cs="Miriam" w:hint="eastAsia"/>
          <w:b/>
          <w:spacing w:val="0"/>
          <w:sz w:val="22"/>
          <w:szCs w:val="24"/>
          <w:rtl/>
        </w:rPr>
        <w:t>נ</w:t>
      </w:r>
      <w:r w:rsidRPr="00273396">
        <w:rPr>
          <w:rFonts w:ascii="Century" w:hAnsi="Century" w:cs="Miriam"/>
          <w:b/>
          <w:spacing w:val="0"/>
          <w:sz w:val="22"/>
          <w:szCs w:val="24"/>
          <w:rtl/>
        </w:rPr>
        <w:t xml:space="preserve">' </w:t>
      </w:r>
      <w:r w:rsidRPr="00273396">
        <w:rPr>
          <w:rFonts w:ascii="Century" w:hAnsi="Century" w:cs="Miriam" w:hint="eastAsia"/>
          <w:b/>
          <w:spacing w:val="0"/>
          <w:sz w:val="22"/>
          <w:szCs w:val="24"/>
          <w:rtl/>
        </w:rPr>
        <w:t>שר</w:t>
      </w:r>
      <w:r w:rsidRPr="00273396">
        <w:rPr>
          <w:rFonts w:ascii="Century" w:hAnsi="Century" w:cs="Miriam"/>
          <w:b/>
          <w:spacing w:val="0"/>
          <w:sz w:val="22"/>
          <w:szCs w:val="24"/>
          <w:rtl/>
        </w:rPr>
        <w:t xml:space="preserve"> </w:t>
      </w:r>
      <w:r w:rsidRPr="00273396">
        <w:rPr>
          <w:rFonts w:ascii="Century" w:hAnsi="Century" w:cs="Miriam" w:hint="eastAsia"/>
          <w:b/>
          <w:spacing w:val="0"/>
          <w:sz w:val="22"/>
          <w:szCs w:val="24"/>
          <w:rtl/>
        </w:rPr>
        <w:t>התחברה</w:t>
      </w:r>
      <w:r w:rsidRPr="00273396">
        <w:rPr>
          <w:rFonts w:ascii="Century" w:hAnsi="Century" w:cs="Miriam"/>
          <w:b/>
          <w:sz w:val="22"/>
          <w:rtl/>
        </w:rPr>
        <w:t>,</w:t>
      </w:r>
      <w:r>
        <w:rPr>
          <w:rFonts w:hint="cs"/>
          <w:rtl/>
        </w:rPr>
        <w:t xml:space="preserve"> פ"ד נא(4) 1, 40 (1997)). </w:t>
      </w:r>
    </w:p>
    <w:p w:rsidR="00C64AE8" w:rsidRDefault="00C64AE8" w:rsidP="00C64AE8">
      <w:pPr>
        <w:pStyle w:val="Ruller4"/>
        <w:numPr>
          <w:ilvl w:val="0"/>
          <w:numId w:val="0"/>
        </w:numPr>
        <w:rPr>
          <w:rtl/>
        </w:rPr>
      </w:pPr>
    </w:p>
    <w:p w:rsidR="00C64AE8" w:rsidRDefault="00C64AE8" w:rsidP="00C64AE8">
      <w:pPr>
        <w:pStyle w:val="Ruller4"/>
        <w:numPr>
          <w:ilvl w:val="0"/>
          <w:numId w:val="0"/>
        </w:numPr>
        <w:rPr>
          <w:rtl/>
        </w:rPr>
      </w:pPr>
      <w:r>
        <w:rPr>
          <w:rtl/>
        </w:rPr>
        <w:tab/>
      </w:r>
      <w:r w:rsidR="00A01E7C">
        <w:rPr>
          <w:rFonts w:hint="cs"/>
          <w:rtl/>
        </w:rPr>
        <w:t xml:space="preserve">מטבע הדברים </w:t>
      </w:r>
      <w:r w:rsidR="00A01E7C">
        <w:rPr>
          <w:rtl/>
        </w:rPr>
        <w:t>–</w:t>
      </w:r>
      <w:r w:rsidR="00A01E7C">
        <w:rPr>
          <w:rFonts w:hint="cs"/>
          <w:rtl/>
        </w:rPr>
        <w:t xml:space="preserve"> ככל שהיקף הביקורת השיפוטית רחב יותר, כך מצטמצם כוחן של הרשויות האחרות; ולהיפך. מכאן שלחקיקה הנוגעת להיקף הביקורת השיפוטית </w:t>
      </w:r>
      <w:r w:rsidR="00A01E7C">
        <w:rPr>
          <w:rFonts w:hint="cs"/>
          <w:rtl/>
        </w:rPr>
        <w:lastRenderedPageBreak/>
        <w:t xml:space="preserve">ולצמצומה, יש השלכה על מערך הכוחות בין רשויות השלטון. כאשר הרשות המכוננת משתמשת בכוחה כדי לחוקק או לתקן חוקי יסוד המשנים את כללי המשחק ביחס למאזן הכוחות בין הרשויות השונות, </w:t>
      </w:r>
      <w:r w:rsidR="00A01E7C" w:rsidRPr="00C64AE8">
        <w:rPr>
          <w:rFonts w:ascii="Century" w:hAnsi="Century" w:hint="cs"/>
          <w:sz w:val="22"/>
          <w:rtl/>
        </w:rPr>
        <w:t xml:space="preserve">היא מצויה </w:t>
      </w:r>
      <w:r w:rsidR="00A01E7C">
        <w:rPr>
          <w:rFonts w:hint="cs"/>
          <w:rtl/>
        </w:rPr>
        <w:t xml:space="preserve">בניגוד עניינים מוסדי מובנה. האינטרסים המנוגדים הם מצד אחד </w:t>
      </w:r>
      <w:r w:rsidR="00A01E7C">
        <w:rPr>
          <w:rtl/>
        </w:rPr>
        <w:t>–</w:t>
      </w:r>
      <w:r w:rsidR="00A01E7C">
        <w:rPr>
          <w:rFonts w:hint="cs"/>
          <w:rtl/>
        </w:rPr>
        <w:t xml:space="preserve"> האינטרס בצמצום </w:t>
      </w:r>
      <w:r w:rsidR="00A01E7C" w:rsidRPr="00654E90">
        <w:rPr>
          <w:rFonts w:hint="cs"/>
          <w:rtl/>
        </w:rPr>
        <w:t>כוחה של הרשות השופטת</w:t>
      </w:r>
      <w:r w:rsidR="00A01E7C">
        <w:rPr>
          <w:rFonts w:hint="cs"/>
          <w:rtl/>
        </w:rPr>
        <w:t xml:space="preserve">; ומהצד השני </w:t>
      </w:r>
      <w:r w:rsidR="00A01E7C">
        <w:rPr>
          <w:rtl/>
        </w:rPr>
        <w:t>–</w:t>
      </w:r>
      <w:r w:rsidR="00A01E7C">
        <w:rPr>
          <w:rFonts w:hint="cs"/>
          <w:rtl/>
        </w:rPr>
        <w:t xml:space="preserve"> החובה של הרשות המכוננת ל</w:t>
      </w:r>
      <w:r w:rsidR="00A01E7C" w:rsidRPr="00FF378C">
        <w:rPr>
          <w:rtl/>
        </w:rPr>
        <w:t>קדם</w:t>
      </w:r>
      <w:r w:rsidR="00A01E7C">
        <w:rPr>
          <w:rFonts w:hint="cs"/>
          <w:rtl/>
        </w:rPr>
        <w:t xml:space="preserve"> את</w:t>
      </w:r>
      <w:r w:rsidR="00A01E7C" w:rsidRPr="00FF378C">
        <w:rPr>
          <w:rtl/>
        </w:rPr>
        <w:t xml:space="preserve"> </w:t>
      </w:r>
      <w:r w:rsidR="00A01E7C" w:rsidRPr="00FF378C">
        <w:rPr>
          <w:rFonts w:hint="eastAsia"/>
          <w:rtl/>
        </w:rPr>
        <w:t>האינטרס</w:t>
      </w:r>
      <w:r w:rsidR="00A01E7C" w:rsidRPr="00FF378C">
        <w:rPr>
          <w:rtl/>
        </w:rPr>
        <w:t xml:space="preserve"> הציבורי </w:t>
      </w:r>
      <w:r w:rsidR="00A01E7C" w:rsidRPr="00FF378C">
        <w:rPr>
          <w:rFonts w:hint="eastAsia"/>
          <w:rtl/>
        </w:rPr>
        <w:t>להשגת</w:t>
      </w:r>
      <w:r w:rsidR="00A01E7C" w:rsidRPr="00FF378C">
        <w:rPr>
          <w:rtl/>
        </w:rPr>
        <w:t xml:space="preserve"> מבנה משטרי טוב יותר </w:t>
      </w:r>
      <w:r w:rsidR="00A01E7C">
        <w:rPr>
          <w:rFonts w:hint="cs"/>
          <w:rtl/>
        </w:rPr>
        <w:t>בהתאם ל</w:t>
      </w:r>
      <w:r w:rsidR="00A01E7C" w:rsidRPr="00FF378C">
        <w:rPr>
          <w:rtl/>
        </w:rPr>
        <w:t>ערכי היסוד ועקרונות השיטה הנוהגים בחברה הישראלית</w:t>
      </w:r>
      <w:r w:rsidR="00A01E7C">
        <w:rPr>
          <w:rFonts w:hint="cs"/>
          <w:rtl/>
        </w:rPr>
        <w:t xml:space="preserve"> (</w:t>
      </w:r>
      <w:r w:rsidR="00A01E7C" w:rsidRPr="00FF378C">
        <w:rPr>
          <w:rFonts w:hint="eastAsia"/>
          <w:rtl/>
        </w:rPr>
        <w:t>ראו</w:t>
      </w:r>
      <w:r w:rsidR="00A01E7C" w:rsidRPr="00FF378C">
        <w:rPr>
          <w:rtl/>
        </w:rPr>
        <w:t xml:space="preserve"> </w:t>
      </w:r>
      <w:r w:rsidR="00A01E7C" w:rsidRPr="00FF378C">
        <w:rPr>
          <w:rFonts w:hint="eastAsia"/>
          <w:rtl/>
        </w:rPr>
        <w:t>והשוו</w:t>
      </w:r>
      <w:r w:rsidR="00A01E7C" w:rsidRPr="00FF378C">
        <w:rPr>
          <w:rtl/>
        </w:rPr>
        <w:t xml:space="preserve">: </w:t>
      </w:r>
      <w:r w:rsidR="00A01E7C" w:rsidRPr="00C64AE8">
        <w:rPr>
          <w:rFonts w:ascii="Century" w:hAnsi="Century" w:cs="Miriam" w:hint="eastAsia"/>
          <w:b/>
          <w:spacing w:val="0"/>
          <w:sz w:val="22"/>
          <w:szCs w:val="24"/>
          <w:rtl/>
        </w:rPr>
        <w:t>שפיר</w:t>
      </w:r>
      <w:r w:rsidR="00A01E7C" w:rsidRPr="00FF378C">
        <w:rPr>
          <w:rtl/>
        </w:rPr>
        <w:t xml:space="preserve">, </w:t>
      </w:r>
      <w:r w:rsidR="00A01E7C">
        <w:rPr>
          <w:rFonts w:hint="cs"/>
          <w:rtl/>
        </w:rPr>
        <w:t>ב</w:t>
      </w:r>
      <w:r w:rsidR="00A01E7C" w:rsidRPr="00FF378C">
        <w:rPr>
          <w:rtl/>
        </w:rPr>
        <w:t xml:space="preserve">פסקה 40 לפסק דינה של הנשיאה </w:t>
      </w:r>
      <w:r w:rsidR="00A01E7C" w:rsidRPr="00C64AE8">
        <w:rPr>
          <w:rFonts w:ascii="Century" w:hAnsi="Century" w:cs="Miriam" w:hint="eastAsia"/>
          <w:b/>
          <w:spacing w:val="0"/>
          <w:sz w:val="22"/>
          <w:szCs w:val="24"/>
          <w:rtl/>
        </w:rPr>
        <w:t>חיות</w:t>
      </w:r>
      <w:r w:rsidR="00A01E7C">
        <w:rPr>
          <w:rFonts w:hint="cs"/>
          <w:rtl/>
        </w:rPr>
        <w:t xml:space="preserve">). </w:t>
      </w:r>
    </w:p>
    <w:p w:rsidR="00C64AE8" w:rsidRDefault="00C64AE8" w:rsidP="00C64AE8">
      <w:pPr>
        <w:pStyle w:val="Ruller4"/>
        <w:numPr>
          <w:ilvl w:val="0"/>
          <w:numId w:val="0"/>
        </w:numPr>
        <w:rPr>
          <w:rtl/>
        </w:rPr>
      </w:pPr>
    </w:p>
    <w:p w:rsidR="00C64AE8" w:rsidRDefault="00C64AE8" w:rsidP="00C64AE8">
      <w:pPr>
        <w:pStyle w:val="Ruller4"/>
        <w:numPr>
          <w:ilvl w:val="0"/>
          <w:numId w:val="0"/>
        </w:numPr>
        <w:rPr>
          <w:rtl/>
        </w:rPr>
      </w:pPr>
      <w:r>
        <w:rPr>
          <w:rtl/>
        </w:rPr>
        <w:tab/>
      </w:r>
      <w:r w:rsidR="00A01E7C">
        <w:rPr>
          <w:rFonts w:hint="cs"/>
          <w:rtl/>
        </w:rPr>
        <w:t xml:space="preserve">אם כן, חוקים </w:t>
      </w:r>
      <w:r w:rsidR="00A01E7C">
        <w:rPr>
          <w:rtl/>
        </w:rPr>
        <w:t>–</w:t>
      </w:r>
      <w:r w:rsidR="00A01E7C">
        <w:rPr>
          <w:rFonts w:hint="cs"/>
          <w:rtl/>
        </w:rPr>
        <w:t xml:space="preserve"> ובכלל זה חוקי יסוד </w:t>
      </w:r>
      <w:r w:rsidR="00A01E7C">
        <w:rPr>
          <w:rtl/>
        </w:rPr>
        <w:t>–</w:t>
      </w:r>
      <w:r w:rsidR="00A01E7C">
        <w:rPr>
          <w:rFonts w:hint="cs"/>
          <w:rtl/>
        </w:rPr>
        <w:t xml:space="preserve"> הנוגעים להפרדת הרשויות ולמירקם היחסים בין הרשויות; ובפרט, חוקי יסוד או תיקונים להם המצמצמים באופן משמעותי את כוחה של הרשות השופטת, שתפקידה בין היתר לבקר את הרשויות שכוננו את אותו החוק </w:t>
      </w:r>
      <w:r w:rsidR="00A01E7C">
        <w:rPr>
          <w:rtl/>
        </w:rPr>
        <w:t>–</w:t>
      </w:r>
      <w:r w:rsidR="00A01E7C">
        <w:rPr>
          <w:rFonts w:hint="cs"/>
          <w:rtl/>
        </w:rPr>
        <w:t xml:space="preserve"> מעוררים חשש </w:t>
      </w:r>
      <w:r w:rsidR="00A01E7C" w:rsidRPr="00654E90">
        <w:rPr>
          <w:rFonts w:hint="cs"/>
          <w:rtl/>
        </w:rPr>
        <w:t xml:space="preserve">מפני </w:t>
      </w:r>
      <w:r w:rsidR="00A01E7C" w:rsidRPr="00273396">
        <w:rPr>
          <w:rFonts w:hint="eastAsia"/>
          <w:rtl/>
        </w:rPr>
        <w:t>שימוש</w:t>
      </w:r>
      <w:r w:rsidR="00A01E7C" w:rsidRPr="00273396">
        <w:rPr>
          <w:rtl/>
        </w:rPr>
        <w:t xml:space="preserve"> </w:t>
      </w:r>
      <w:r w:rsidR="00A01E7C" w:rsidRPr="00273396">
        <w:rPr>
          <w:rFonts w:hint="eastAsia"/>
          <w:rtl/>
        </w:rPr>
        <w:t>לרעה</w:t>
      </w:r>
      <w:r w:rsidR="00A01E7C" w:rsidRPr="00273396">
        <w:rPr>
          <w:rtl/>
        </w:rPr>
        <w:t xml:space="preserve"> </w:t>
      </w:r>
      <w:r w:rsidR="00A01E7C" w:rsidRPr="00273396">
        <w:rPr>
          <w:rFonts w:hint="eastAsia"/>
          <w:rtl/>
        </w:rPr>
        <w:t>בסמכות</w:t>
      </w:r>
      <w:r w:rsidR="00A01E7C" w:rsidRPr="00273396">
        <w:rPr>
          <w:rtl/>
        </w:rPr>
        <w:t xml:space="preserve"> </w:t>
      </w:r>
      <w:r w:rsidR="00A01E7C" w:rsidRPr="00273396">
        <w:rPr>
          <w:rFonts w:hint="eastAsia"/>
          <w:rtl/>
        </w:rPr>
        <w:t>המכוננת</w:t>
      </w:r>
      <w:r w:rsidR="00A01E7C">
        <w:rPr>
          <w:rFonts w:hint="cs"/>
          <w:rtl/>
        </w:rPr>
        <w:t xml:space="preserve"> לצורך הגברת כוחן של הרשויות האחרות, ולפגיעה באופן זה באיזון בין הרשויות וביסודות הדמוקרטיים של המדינה. במקרה כזה גוברים הטעמים המצדיקים ביקורת שיפוטית הדוקה יותר ביחס לחוקי היסוד, ויש לבחון אותם ברמת ביקורת גבוהה יותר מאשר רמת הביקורת בה נבחנים בדרך כלל חוקים כאלה</w:t>
      </w:r>
      <w:r w:rsidR="00A01E7C" w:rsidRPr="00654E90">
        <w:rPr>
          <w:rFonts w:hint="cs"/>
          <w:rtl/>
        </w:rPr>
        <w:t xml:space="preserve"> </w:t>
      </w:r>
      <w:r w:rsidR="00A01E7C">
        <w:rPr>
          <w:rFonts w:hint="cs"/>
          <w:rtl/>
        </w:rPr>
        <w:t xml:space="preserve">(אף כי עדיין מצומצמת משמעותית מזו הננקטת כלפי חקיקה במעמד נורמטיבי רגיל) </w:t>
      </w:r>
      <w:r w:rsidR="00A01E7C" w:rsidRPr="00654E90">
        <w:rPr>
          <w:rFonts w:hint="cs"/>
          <w:rtl/>
        </w:rPr>
        <w:t xml:space="preserve">(ראו בהקשר זה: יניב רוזנאי "שימוש לרעה בחוק יסוד" </w:t>
      </w:r>
      <w:r w:rsidR="00A01E7C" w:rsidRPr="00CC1941">
        <w:rPr>
          <w:rFonts w:ascii="Century" w:hAnsi="Century" w:cs="Miriam" w:hint="eastAsia"/>
          <w:b/>
          <w:spacing w:val="0"/>
          <w:sz w:val="22"/>
          <w:szCs w:val="24"/>
          <w:rtl/>
        </w:rPr>
        <w:t>ספר</w:t>
      </w:r>
      <w:r w:rsidR="00A01E7C" w:rsidRPr="00CC1941">
        <w:rPr>
          <w:rFonts w:ascii="Century" w:hAnsi="Century" w:cs="Miriam"/>
          <w:b/>
          <w:spacing w:val="0"/>
          <w:sz w:val="22"/>
          <w:szCs w:val="24"/>
          <w:rtl/>
        </w:rPr>
        <w:t xml:space="preserve"> </w:t>
      </w:r>
      <w:r w:rsidR="00A01E7C" w:rsidRPr="00CC1941">
        <w:rPr>
          <w:rFonts w:ascii="Century" w:hAnsi="Century" w:cs="Miriam" w:hint="eastAsia"/>
          <w:b/>
          <w:spacing w:val="0"/>
          <w:sz w:val="22"/>
          <w:szCs w:val="24"/>
          <w:rtl/>
        </w:rPr>
        <w:t>רובינשטיין</w:t>
      </w:r>
      <w:r w:rsidR="00A01E7C" w:rsidRPr="009D7067">
        <w:rPr>
          <w:rtl/>
        </w:rPr>
        <w:t xml:space="preserve"> </w:t>
      </w:r>
      <w:r w:rsidR="00A01E7C">
        <w:rPr>
          <w:rFonts w:hint="cs"/>
          <w:rtl/>
        </w:rPr>
        <w:t xml:space="preserve">1349, 1386-1384 (2021); עניין </w:t>
      </w:r>
      <w:r w:rsidR="00A01E7C" w:rsidRPr="00CC1941">
        <w:rPr>
          <w:rFonts w:ascii="Century" w:hAnsi="Century" w:cs="Miriam" w:hint="eastAsia"/>
          <w:b/>
          <w:spacing w:val="0"/>
          <w:sz w:val="22"/>
          <w:szCs w:val="24"/>
          <w:rtl/>
        </w:rPr>
        <w:t>המרכז</w:t>
      </w:r>
      <w:r w:rsidR="00A01E7C" w:rsidRPr="00CC1941">
        <w:rPr>
          <w:rFonts w:ascii="Century" w:hAnsi="Century" w:cs="Miriam"/>
          <w:b/>
          <w:spacing w:val="0"/>
          <w:sz w:val="22"/>
          <w:szCs w:val="24"/>
          <w:rtl/>
        </w:rPr>
        <w:t xml:space="preserve"> </w:t>
      </w:r>
      <w:r w:rsidR="00A01E7C" w:rsidRPr="00CC1941">
        <w:rPr>
          <w:rFonts w:ascii="Century" w:hAnsi="Century" w:cs="Miriam" w:hint="eastAsia"/>
          <w:b/>
          <w:spacing w:val="0"/>
          <w:sz w:val="22"/>
          <w:szCs w:val="24"/>
          <w:rtl/>
        </w:rPr>
        <w:t>האקדמי</w:t>
      </w:r>
      <w:r w:rsidR="00A01E7C">
        <w:rPr>
          <w:rFonts w:hint="cs"/>
          <w:rtl/>
        </w:rPr>
        <w:t xml:space="preserve">, פסקה לה' לפסק דינו של המשנה לנשיאה (בדימ') </w:t>
      </w:r>
      <w:r w:rsidR="00A01E7C" w:rsidRPr="00CC1941">
        <w:rPr>
          <w:rFonts w:ascii="Century" w:hAnsi="Century" w:cs="Miriam" w:hint="eastAsia"/>
          <w:b/>
          <w:spacing w:val="0"/>
          <w:sz w:val="22"/>
          <w:szCs w:val="24"/>
          <w:rtl/>
        </w:rPr>
        <w:t>א</w:t>
      </w:r>
      <w:r w:rsidR="00A01E7C" w:rsidRPr="00CC1941">
        <w:rPr>
          <w:rFonts w:ascii="Century" w:hAnsi="Century" w:cs="Miriam"/>
          <w:b/>
          <w:spacing w:val="0"/>
          <w:sz w:val="22"/>
          <w:szCs w:val="24"/>
          <w:rtl/>
        </w:rPr>
        <w:t xml:space="preserve">' </w:t>
      </w:r>
      <w:r w:rsidR="00A01E7C" w:rsidRPr="00CC1941">
        <w:rPr>
          <w:rFonts w:ascii="Century" w:hAnsi="Century" w:cs="Miriam" w:hint="eastAsia"/>
          <w:b/>
          <w:spacing w:val="0"/>
          <w:sz w:val="22"/>
          <w:szCs w:val="24"/>
          <w:rtl/>
        </w:rPr>
        <w:t>רובינשטיין</w:t>
      </w:r>
      <w:r w:rsidR="00A01E7C">
        <w:rPr>
          <w:rFonts w:hint="cs"/>
          <w:rtl/>
        </w:rPr>
        <w:t xml:space="preserve">). </w:t>
      </w:r>
    </w:p>
    <w:p w:rsidR="00C64AE8" w:rsidRDefault="00C64AE8" w:rsidP="00C64AE8">
      <w:pPr>
        <w:pStyle w:val="Ruller4"/>
        <w:numPr>
          <w:ilvl w:val="0"/>
          <w:numId w:val="0"/>
        </w:numPr>
        <w:rPr>
          <w:rtl/>
        </w:rPr>
      </w:pPr>
    </w:p>
    <w:p w:rsidR="00C64AE8" w:rsidRDefault="00A01E7C" w:rsidP="00C64AE8">
      <w:pPr>
        <w:pStyle w:val="Ruller4"/>
      </w:pPr>
      <w:r>
        <w:rPr>
          <w:rFonts w:hint="cs"/>
          <w:rtl/>
        </w:rPr>
        <w:t xml:space="preserve">לכאורה ניתן לטעון כי </w:t>
      </w:r>
      <w:r w:rsidRPr="00273396">
        <w:rPr>
          <w:rtl/>
        </w:rPr>
        <w:t xml:space="preserve">לא רק </w:t>
      </w:r>
      <w:r>
        <w:rPr>
          <w:rFonts w:hint="cs"/>
          <w:rtl/>
        </w:rPr>
        <w:t>הכנסת</w:t>
      </w:r>
      <w:r w:rsidRPr="00273396">
        <w:rPr>
          <w:rtl/>
        </w:rPr>
        <w:t xml:space="preserve"> מצויה במצב של ניגוד עניינים </w:t>
      </w:r>
      <w:r>
        <w:rPr>
          <w:rFonts w:hint="cs"/>
          <w:rtl/>
        </w:rPr>
        <w:t xml:space="preserve">מוסדי </w:t>
      </w:r>
      <w:r w:rsidRPr="00273396">
        <w:rPr>
          <w:rtl/>
        </w:rPr>
        <w:t>אלא גם בית המשפט</w:t>
      </w:r>
      <w:r>
        <w:rPr>
          <w:rFonts w:hint="cs"/>
          <w:rtl/>
        </w:rPr>
        <w:t xml:space="preserve"> ש</w:t>
      </w:r>
      <w:r w:rsidRPr="00273396">
        <w:rPr>
          <w:rFonts w:hint="eastAsia"/>
          <w:rtl/>
        </w:rPr>
        <w:t>התיקון</w:t>
      </w:r>
      <w:r w:rsidRPr="00273396">
        <w:rPr>
          <w:rtl/>
        </w:rPr>
        <w:t xml:space="preserve"> נוגע להיקף הסמכויות של</w:t>
      </w:r>
      <w:r>
        <w:rPr>
          <w:rFonts w:hint="cs"/>
          <w:rtl/>
        </w:rPr>
        <w:t xml:space="preserve">ו; וכי משכך, על בית המשפט </w:t>
      </w:r>
      <w:r w:rsidRPr="00273396">
        <w:rPr>
          <w:rtl/>
        </w:rPr>
        <w:t>לפעול בצורה זהירה</w:t>
      </w:r>
      <w:r>
        <w:rPr>
          <w:rFonts w:hint="cs"/>
          <w:rtl/>
        </w:rPr>
        <w:t xml:space="preserve"> יותר בהפעילו ביקורת שיפוטית על תיקון שכזה</w:t>
      </w:r>
      <w:r w:rsidRPr="00273396">
        <w:rPr>
          <w:rtl/>
        </w:rPr>
        <w:t xml:space="preserve">. </w:t>
      </w:r>
    </w:p>
    <w:p w:rsidR="00C64AE8" w:rsidRDefault="00C64AE8" w:rsidP="00C64AE8">
      <w:pPr>
        <w:pStyle w:val="Ruller4"/>
        <w:numPr>
          <w:ilvl w:val="0"/>
          <w:numId w:val="0"/>
        </w:numPr>
        <w:rPr>
          <w:rtl/>
        </w:rPr>
      </w:pPr>
    </w:p>
    <w:p w:rsidR="00C64AE8" w:rsidRDefault="00C64AE8" w:rsidP="00C64AE8">
      <w:pPr>
        <w:pStyle w:val="Ruller4"/>
        <w:numPr>
          <w:ilvl w:val="0"/>
          <w:numId w:val="0"/>
        </w:numPr>
        <w:rPr>
          <w:rtl/>
        </w:rPr>
      </w:pPr>
      <w:r>
        <w:rPr>
          <w:rtl/>
        </w:rPr>
        <w:tab/>
      </w:r>
      <w:r w:rsidR="00A01E7C" w:rsidRPr="00C64AE8">
        <w:rPr>
          <w:rFonts w:ascii="Century" w:hAnsi="Century" w:hint="eastAsia"/>
          <w:rtl/>
        </w:rPr>
        <w:t>אינני</w:t>
      </w:r>
      <w:r w:rsidR="00A01E7C" w:rsidRPr="00C64AE8">
        <w:rPr>
          <w:rFonts w:ascii="Century" w:hAnsi="Century"/>
          <w:rtl/>
        </w:rPr>
        <w:t xml:space="preserve"> סבורה כי אלה הם פני הדברים, וזאת ממספר טעמים. </w:t>
      </w:r>
      <w:r w:rsidR="00A01E7C" w:rsidRPr="00C64AE8">
        <w:rPr>
          <w:rFonts w:ascii="Century" w:hAnsi="Century" w:cs="Miriam"/>
          <w:b/>
          <w:szCs w:val="24"/>
          <w:rtl/>
        </w:rPr>
        <w:t>ראשית</w:t>
      </w:r>
      <w:r w:rsidR="00A01E7C" w:rsidRPr="00C64AE8">
        <w:rPr>
          <w:rFonts w:ascii="Century" w:hAnsi="Century"/>
          <w:rtl/>
        </w:rPr>
        <w:t xml:space="preserve">, התפקיד של בית המשפט בחברה דמוקרטית הוא </w:t>
      </w:r>
      <w:r w:rsidR="00A01E7C" w:rsidRPr="00C64AE8">
        <w:rPr>
          <w:rFonts w:ascii="Century" w:hAnsi="Century" w:hint="eastAsia"/>
          <w:rtl/>
        </w:rPr>
        <w:t>לפרש</w:t>
      </w:r>
      <w:r w:rsidR="00A01E7C" w:rsidRPr="00C64AE8">
        <w:rPr>
          <w:rFonts w:ascii="Century" w:hAnsi="Century"/>
          <w:rtl/>
        </w:rPr>
        <w:t xml:space="preserve"> </w:t>
      </w:r>
      <w:r w:rsidR="00A01E7C" w:rsidRPr="00C64AE8">
        <w:rPr>
          <w:rFonts w:ascii="Century" w:hAnsi="Century" w:hint="eastAsia"/>
          <w:rtl/>
        </w:rPr>
        <w:t>את</w:t>
      </w:r>
      <w:r w:rsidR="00A01E7C" w:rsidRPr="00C64AE8">
        <w:rPr>
          <w:rFonts w:ascii="Century" w:hAnsi="Century"/>
          <w:rtl/>
        </w:rPr>
        <w:t xml:space="preserve"> </w:t>
      </w:r>
      <w:r w:rsidR="00A01E7C" w:rsidRPr="00C64AE8">
        <w:rPr>
          <w:rFonts w:ascii="Century" w:hAnsi="Century" w:hint="eastAsia"/>
          <w:rtl/>
        </w:rPr>
        <w:t>חוקי</w:t>
      </w:r>
      <w:r w:rsidR="00A01E7C" w:rsidRPr="00C64AE8">
        <w:rPr>
          <w:rFonts w:ascii="Century" w:hAnsi="Century"/>
          <w:rtl/>
        </w:rPr>
        <w:t xml:space="preserve"> </w:t>
      </w:r>
      <w:r w:rsidR="00A01E7C" w:rsidRPr="00C64AE8">
        <w:rPr>
          <w:rFonts w:ascii="Century" w:hAnsi="Century" w:hint="eastAsia"/>
          <w:rtl/>
        </w:rPr>
        <w:t>המדינה</w:t>
      </w:r>
      <w:r w:rsidR="00A01E7C" w:rsidRPr="00C64AE8">
        <w:rPr>
          <w:rFonts w:ascii="Century" w:hAnsi="Century"/>
          <w:rtl/>
        </w:rPr>
        <w:t xml:space="preserve"> </w:t>
      </w:r>
      <w:r w:rsidR="00A01E7C" w:rsidRPr="00C64AE8">
        <w:rPr>
          <w:rFonts w:ascii="Century" w:hAnsi="Century" w:hint="eastAsia"/>
          <w:rtl/>
        </w:rPr>
        <w:t>ולבקר</w:t>
      </w:r>
      <w:r w:rsidR="00A01E7C" w:rsidRPr="00C64AE8">
        <w:rPr>
          <w:rFonts w:ascii="Century" w:hAnsi="Century"/>
          <w:rtl/>
        </w:rPr>
        <w:t xml:space="preserve"> </w:t>
      </w:r>
      <w:r w:rsidR="00A01E7C" w:rsidRPr="00C64AE8">
        <w:rPr>
          <w:rFonts w:ascii="Century" w:hAnsi="Century" w:hint="eastAsia"/>
          <w:rtl/>
        </w:rPr>
        <w:t>את</w:t>
      </w:r>
      <w:r w:rsidR="00A01E7C" w:rsidRPr="00C64AE8">
        <w:rPr>
          <w:rFonts w:ascii="Century" w:hAnsi="Century"/>
          <w:rtl/>
        </w:rPr>
        <w:t xml:space="preserve"> </w:t>
      </w:r>
      <w:r w:rsidR="00A01E7C" w:rsidRPr="00C64AE8">
        <w:rPr>
          <w:rFonts w:ascii="Century" w:hAnsi="Century" w:hint="eastAsia"/>
          <w:rtl/>
        </w:rPr>
        <w:t>הפעלת</w:t>
      </w:r>
      <w:r w:rsidR="00A01E7C" w:rsidRPr="00C64AE8">
        <w:rPr>
          <w:rFonts w:ascii="Century" w:hAnsi="Century"/>
          <w:rtl/>
        </w:rPr>
        <w:t xml:space="preserve"> </w:t>
      </w:r>
      <w:r w:rsidR="00A01E7C" w:rsidRPr="00C64AE8">
        <w:rPr>
          <w:rFonts w:ascii="Century" w:hAnsi="Century" w:hint="eastAsia"/>
          <w:rtl/>
        </w:rPr>
        <w:t>הסמכויות</w:t>
      </w:r>
      <w:r w:rsidR="00A01E7C" w:rsidRPr="00C64AE8">
        <w:rPr>
          <w:rFonts w:ascii="Century" w:hAnsi="Century"/>
          <w:rtl/>
        </w:rPr>
        <w:t xml:space="preserve"> </w:t>
      </w:r>
      <w:r w:rsidR="00A01E7C" w:rsidRPr="00C64AE8">
        <w:rPr>
          <w:rFonts w:ascii="Century" w:hAnsi="Century" w:hint="eastAsia"/>
          <w:rtl/>
        </w:rPr>
        <w:t>של</w:t>
      </w:r>
      <w:r w:rsidR="00A01E7C" w:rsidRPr="00C64AE8">
        <w:rPr>
          <w:rFonts w:ascii="Century" w:hAnsi="Century"/>
          <w:rtl/>
        </w:rPr>
        <w:t xml:space="preserve"> </w:t>
      </w:r>
      <w:r w:rsidR="00A01E7C" w:rsidRPr="00C64AE8">
        <w:rPr>
          <w:rFonts w:ascii="Century" w:hAnsi="Century" w:hint="eastAsia"/>
          <w:rtl/>
        </w:rPr>
        <w:t>יתר</w:t>
      </w:r>
      <w:r w:rsidR="00A01E7C" w:rsidRPr="00C64AE8">
        <w:rPr>
          <w:rFonts w:ascii="Century" w:hAnsi="Century"/>
          <w:rtl/>
        </w:rPr>
        <w:t xml:space="preserve"> </w:t>
      </w:r>
      <w:r w:rsidR="00A01E7C" w:rsidRPr="00C64AE8">
        <w:rPr>
          <w:rFonts w:ascii="Century" w:hAnsi="Century" w:hint="eastAsia"/>
          <w:rtl/>
        </w:rPr>
        <w:t>הרשויות</w:t>
      </w:r>
      <w:r w:rsidR="00A01E7C" w:rsidRPr="00C64AE8">
        <w:rPr>
          <w:rFonts w:ascii="Century" w:hAnsi="Century"/>
          <w:rtl/>
        </w:rPr>
        <w:t xml:space="preserve">. </w:t>
      </w:r>
      <w:r w:rsidR="00A01E7C" w:rsidRPr="00C64AE8">
        <w:rPr>
          <w:rFonts w:ascii="Century" w:hAnsi="Century" w:hint="eastAsia"/>
          <w:rtl/>
        </w:rPr>
        <w:t>זהו</w:t>
      </w:r>
      <w:r w:rsidR="00A01E7C" w:rsidRPr="00C64AE8">
        <w:rPr>
          <w:rFonts w:ascii="Century" w:hAnsi="Century"/>
          <w:rtl/>
        </w:rPr>
        <w:t xml:space="preserve"> הבסיס לעקרון הפרדת </w:t>
      </w:r>
      <w:r w:rsidR="00A01E7C" w:rsidRPr="00C64AE8">
        <w:rPr>
          <w:rFonts w:ascii="Century" w:hAnsi="Century" w:hint="eastAsia"/>
          <w:rtl/>
        </w:rPr>
        <w:t>ה</w:t>
      </w:r>
      <w:r w:rsidR="00A01E7C" w:rsidRPr="00C64AE8">
        <w:rPr>
          <w:rFonts w:ascii="Century" w:hAnsi="Century"/>
          <w:rtl/>
        </w:rPr>
        <w:t xml:space="preserve">רשויות. שינוי במערך </w:t>
      </w:r>
      <w:r w:rsidR="00A01E7C" w:rsidRPr="00C64AE8">
        <w:rPr>
          <w:rFonts w:ascii="Century" w:hAnsi="Century" w:hint="eastAsia"/>
          <w:rtl/>
        </w:rPr>
        <w:t>האיזונים</w:t>
      </w:r>
      <w:r w:rsidR="00A01E7C" w:rsidRPr="00C64AE8">
        <w:rPr>
          <w:rFonts w:ascii="Century" w:hAnsi="Century"/>
          <w:rtl/>
        </w:rPr>
        <w:t xml:space="preserve"> והבלמים על-ידי הרשות המכוננת איננו אסור בכל מקרה, אולם כחלק מאותם </w:t>
      </w:r>
      <w:r w:rsidR="00A01E7C" w:rsidRPr="00C64AE8">
        <w:rPr>
          <w:rFonts w:ascii="Century" w:hAnsi="Century" w:hint="eastAsia"/>
          <w:rtl/>
        </w:rPr>
        <w:t>איזונים</w:t>
      </w:r>
      <w:r w:rsidR="00A01E7C" w:rsidRPr="00C64AE8">
        <w:rPr>
          <w:rFonts w:ascii="Century" w:hAnsi="Century"/>
          <w:rtl/>
        </w:rPr>
        <w:t xml:space="preserve"> ובלמים ממש, ולאור החששות העולים מניגוד העניינים המובנה בו מצויה הכנסת – כאשר נעשה שינוי כזה, על בית המשפט לבחון ביתר זהירות </w:t>
      </w:r>
      <w:r w:rsidR="00A01E7C" w:rsidRPr="00C64AE8">
        <w:rPr>
          <w:rFonts w:ascii="Century" w:hAnsi="Century" w:hint="eastAsia"/>
          <w:rtl/>
        </w:rPr>
        <w:t>האם</w:t>
      </w:r>
      <w:r w:rsidR="00A01E7C" w:rsidRPr="00C64AE8">
        <w:rPr>
          <w:rFonts w:ascii="Century" w:hAnsi="Century"/>
          <w:rtl/>
        </w:rPr>
        <w:t xml:space="preserve"> הרשות המ</w:t>
      </w:r>
      <w:r w:rsidR="00A01E7C" w:rsidRPr="00C64AE8">
        <w:rPr>
          <w:rFonts w:ascii="Century" w:hAnsi="Century" w:hint="eastAsia"/>
          <w:rtl/>
        </w:rPr>
        <w:t>כוננת</w:t>
      </w:r>
      <w:r w:rsidR="00A01E7C" w:rsidRPr="00C64AE8">
        <w:rPr>
          <w:rFonts w:ascii="Century" w:hAnsi="Century"/>
          <w:rtl/>
        </w:rPr>
        <w:t xml:space="preserve"> עשתה שימוש לרעה בכוחה לצורך שינוי כללי המשחק באופן המהווה חריגה מסמכותה המכוננת. זאת בעיקר כאשר נגרעת מבית המשפט סמכות שהיא חלק מהותי </w:t>
      </w:r>
      <w:r w:rsidR="00A01E7C" w:rsidRPr="00C64AE8">
        <w:rPr>
          <w:rFonts w:ascii="Century" w:hAnsi="Century" w:hint="eastAsia"/>
          <w:rtl/>
        </w:rPr>
        <w:t>ואינטגרלי</w:t>
      </w:r>
      <w:r w:rsidR="00A01E7C" w:rsidRPr="00C64AE8">
        <w:rPr>
          <w:rFonts w:ascii="Century" w:hAnsi="Century"/>
          <w:rtl/>
        </w:rPr>
        <w:t xml:space="preserve"> </w:t>
      </w:r>
      <w:r w:rsidR="00A01E7C" w:rsidRPr="00C64AE8">
        <w:rPr>
          <w:rFonts w:ascii="Century" w:hAnsi="Century" w:hint="eastAsia"/>
          <w:rtl/>
        </w:rPr>
        <w:t>מתפקידו</w:t>
      </w:r>
      <w:r w:rsidR="00A01E7C" w:rsidRPr="00C64AE8">
        <w:rPr>
          <w:rFonts w:ascii="Century" w:hAnsi="Century"/>
          <w:rtl/>
        </w:rPr>
        <w:t xml:space="preserve">; </w:t>
      </w:r>
      <w:r w:rsidR="00A01E7C" w:rsidRPr="00C64AE8">
        <w:rPr>
          <w:rFonts w:ascii="Century" w:hAnsi="Century" w:hint="eastAsia"/>
          <w:rtl/>
        </w:rPr>
        <w:t>כאשר</w:t>
      </w:r>
      <w:r w:rsidR="00A01E7C" w:rsidRPr="00C64AE8">
        <w:rPr>
          <w:rFonts w:ascii="Century" w:hAnsi="Century"/>
          <w:rtl/>
        </w:rPr>
        <w:t xml:space="preserve"> </w:t>
      </w:r>
      <w:r w:rsidR="00A01E7C" w:rsidRPr="00C64AE8">
        <w:rPr>
          <w:rFonts w:ascii="Century" w:hAnsi="Century" w:hint="eastAsia"/>
          <w:rtl/>
        </w:rPr>
        <w:t>מדובר</w:t>
      </w:r>
      <w:r w:rsidR="00A01E7C" w:rsidRPr="00C64AE8">
        <w:rPr>
          <w:rFonts w:ascii="Century" w:hAnsi="Century"/>
          <w:rtl/>
        </w:rPr>
        <w:t xml:space="preserve"> </w:t>
      </w:r>
      <w:r w:rsidR="00A01E7C" w:rsidRPr="00C64AE8">
        <w:rPr>
          <w:rFonts w:ascii="Century" w:hAnsi="Century" w:hint="eastAsia"/>
          <w:rtl/>
        </w:rPr>
        <w:t>בשינוי</w:t>
      </w:r>
      <w:r w:rsidR="00A01E7C" w:rsidRPr="00C64AE8">
        <w:rPr>
          <w:rFonts w:ascii="Century" w:hAnsi="Century"/>
          <w:rtl/>
        </w:rPr>
        <w:t xml:space="preserve"> </w:t>
      </w:r>
      <w:r w:rsidR="00A01E7C" w:rsidRPr="00C64AE8">
        <w:rPr>
          <w:rFonts w:ascii="Century" w:hAnsi="Century" w:hint="eastAsia"/>
          <w:rtl/>
        </w:rPr>
        <w:t>רוחבי</w:t>
      </w:r>
      <w:r w:rsidR="00A01E7C" w:rsidRPr="00C64AE8">
        <w:rPr>
          <w:rFonts w:ascii="Century" w:hAnsi="Century"/>
          <w:rtl/>
        </w:rPr>
        <w:t xml:space="preserve"> </w:t>
      </w:r>
      <w:r w:rsidR="00A01E7C" w:rsidRPr="00C64AE8">
        <w:rPr>
          <w:rFonts w:ascii="Century" w:hAnsi="Century" w:hint="eastAsia"/>
          <w:rtl/>
        </w:rPr>
        <w:t>ולא</w:t>
      </w:r>
      <w:r w:rsidR="00A01E7C" w:rsidRPr="00C64AE8">
        <w:rPr>
          <w:rFonts w:ascii="Century" w:hAnsi="Century"/>
          <w:rtl/>
        </w:rPr>
        <w:t xml:space="preserve"> </w:t>
      </w:r>
      <w:r w:rsidR="00A01E7C" w:rsidRPr="00C64AE8">
        <w:rPr>
          <w:rFonts w:ascii="Century" w:hAnsi="Century" w:hint="eastAsia"/>
          <w:rtl/>
        </w:rPr>
        <w:t>בתיקון</w:t>
      </w:r>
      <w:r w:rsidR="00A01E7C" w:rsidRPr="00C64AE8">
        <w:rPr>
          <w:rFonts w:ascii="Century" w:hAnsi="Century"/>
          <w:rtl/>
        </w:rPr>
        <w:t xml:space="preserve"> </w:t>
      </w:r>
      <w:r w:rsidR="00A01E7C" w:rsidRPr="00C64AE8">
        <w:rPr>
          <w:rFonts w:ascii="Century" w:hAnsi="Century" w:hint="eastAsia"/>
          <w:rtl/>
        </w:rPr>
        <w:t>הנוגע</w:t>
      </w:r>
      <w:r w:rsidR="00A01E7C" w:rsidRPr="00C64AE8">
        <w:rPr>
          <w:rFonts w:ascii="Century" w:hAnsi="Century"/>
          <w:rtl/>
        </w:rPr>
        <w:t xml:space="preserve"> </w:t>
      </w:r>
      <w:r w:rsidR="00A01E7C" w:rsidRPr="00C64AE8">
        <w:rPr>
          <w:rFonts w:ascii="Century" w:hAnsi="Century" w:hint="eastAsia"/>
          <w:rtl/>
        </w:rPr>
        <w:t>לתחום</w:t>
      </w:r>
      <w:r w:rsidR="00A01E7C" w:rsidRPr="00C64AE8">
        <w:rPr>
          <w:rFonts w:ascii="Century" w:hAnsi="Century"/>
          <w:rtl/>
        </w:rPr>
        <w:t xml:space="preserve"> </w:t>
      </w:r>
      <w:r w:rsidR="00A01E7C" w:rsidRPr="00C64AE8">
        <w:rPr>
          <w:rFonts w:ascii="Century" w:hAnsi="Century" w:hint="eastAsia"/>
          <w:rtl/>
        </w:rPr>
        <w:t>ספציפי</w:t>
      </w:r>
      <w:r w:rsidR="00A01E7C" w:rsidRPr="00C64AE8">
        <w:rPr>
          <w:rFonts w:ascii="Century" w:hAnsi="Century"/>
          <w:rtl/>
        </w:rPr>
        <w:t xml:space="preserve">; </w:t>
      </w:r>
      <w:r w:rsidR="00A01E7C" w:rsidRPr="00C64AE8">
        <w:rPr>
          <w:rFonts w:ascii="Century" w:hAnsi="Century" w:hint="eastAsia"/>
          <w:rtl/>
        </w:rPr>
        <w:t>ובפרט</w:t>
      </w:r>
      <w:r w:rsidR="00A01E7C" w:rsidRPr="00C64AE8">
        <w:rPr>
          <w:rFonts w:ascii="Century" w:hAnsi="Century"/>
          <w:rtl/>
        </w:rPr>
        <w:t xml:space="preserve"> </w:t>
      </w:r>
      <w:r w:rsidR="00A01E7C" w:rsidRPr="00C64AE8">
        <w:rPr>
          <w:rFonts w:ascii="Century" w:hAnsi="Century" w:hint="eastAsia"/>
          <w:rtl/>
        </w:rPr>
        <w:t>משמדובר</w:t>
      </w:r>
      <w:r w:rsidR="00A01E7C" w:rsidRPr="00C64AE8">
        <w:rPr>
          <w:rFonts w:ascii="Century" w:hAnsi="Century"/>
          <w:rtl/>
        </w:rPr>
        <w:t xml:space="preserve"> </w:t>
      </w:r>
      <w:r w:rsidR="00A01E7C" w:rsidRPr="00C64AE8">
        <w:rPr>
          <w:rFonts w:ascii="Century" w:hAnsi="Century" w:hint="eastAsia"/>
          <w:rtl/>
        </w:rPr>
        <w:t>בהוראה</w:t>
      </w:r>
      <w:r w:rsidR="00A01E7C" w:rsidRPr="00C64AE8">
        <w:rPr>
          <w:rFonts w:ascii="Century" w:hAnsi="Century"/>
          <w:rtl/>
        </w:rPr>
        <w:t xml:space="preserve"> </w:t>
      </w:r>
      <w:r w:rsidR="00A01E7C" w:rsidRPr="00C64AE8">
        <w:rPr>
          <w:rFonts w:ascii="Century" w:hAnsi="Century" w:hint="eastAsia"/>
          <w:rtl/>
        </w:rPr>
        <w:t>גורפת</w:t>
      </w:r>
      <w:r w:rsidR="00A01E7C" w:rsidRPr="00C64AE8">
        <w:rPr>
          <w:rFonts w:ascii="Century" w:hAnsi="Century"/>
          <w:rtl/>
        </w:rPr>
        <w:t xml:space="preserve"> </w:t>
      </w:r>
      <w:r w:rsidR="00A01E7C" w:rsidRPr="00C64AE8">
        <w:rPr>
          <w:rFonts w:ascii="Century" w:hAnsi="Century" w:hint="eastAsia"/>
          <w:rtl/>
        </w:rPr>
        <w:t>השוללת</w:t>
      </w:r>
      <w:r w:rsidR="00A01E7C" w:rsidRPr="00C64AE8">
        <w:rPr>
          <w:rFonts w:ascii="Century" w:hAnsi="Century"/>
          <w:rtl/>
        </w:rPr>
        <w:t xml:space="preserve"> </w:t>
      </w:r>
      <w:r w:rsidR="00A01E7C" w:rsidRPr="00C64AE8">
        <w:rPr>
          <w:rFonts w:ascii="Century" w:hAnsi="Century" w:hint="eastAsia"/>
          <w:rtl/>
        </w:rPr>
        <w:t>כל</w:t>
      </w:r>
      <w:r w:rsidR="00A01E7C" w:rsidRPr="00C64AE8">
        <w:rPr>
          <w:rFonts w:ascii="Century" w:hAnsi="Century"/>
          <w:rtl/>
        </w:rPr>
        <w:t xml:space="preserve"> </w:t>
      </w:r>
      <w:r w:rsidR="00A01E7C" w:rsidRPr="00C64AE8">
        <w:rPr>
          <w:rFonts w:ascii="Century" w:hAnsi="Century" w:hint="eastAsia"/>
          <w:rtl/>
        </w:rPr>
        <w:t>דיון</w:t>
      </w:r>
      <w:r w:rsidR="00A01E7C" w:rsidRPr="00C64AE8">
        <w:rPr>
          <w:rFonts w:ascii="Century" w:hAnsi="Century"/>
          <w:rtl/>
        </w:rPr>
        <w:t xml:space="preserve"> </w:t>
      </w:r>
      <w:r w:rsidR="00A01E7C" w:rsidRPr="00C64AE8">
        <w:rPr>
          <w:rFonts w:ascii="Century" w:hAnsi="Century" w:hint="eastAsia"/>
          <w:rtl/>
        </w:rPr>
        <w:t>בהחלטות</w:t>
      </w:r>
      <w:r w:rsidR="00A01E7C" w:rsidRPr="00C64AE8">
        <w:rPr>
          <w:rFonts w:ascii="Century" w:hAnsi="Century"/>
          <w:rtl/>
        </w:rPr>
        <w:t xml:space="preserve"> </w:t>
      </w:r>
      <w:r w:rsidR="00A01E7C" w:rsidRPr="00C64AE8">
        <w:rPr>
          <w:rFonts w:ascii="Century" w:hAnsi="Century" w:hint="eastAsia"/>
          <w:rtl/>
        </w:rPr>
        <w:t>שנטען</w:t>
      </w:r>
      <w:r w:rsidR="00A01E7C" w:rsidRPr="00C64AE8">
        <w:rPr>
          <w:rFonts w:ascii="Century" w:hAnsi="Century"/>
          <w:rtl/>
        </w:rPr>
        <w:t xml:space="preserve"> </w:t>
      </w:r>
      <w:r w:rsidR="00A01E7C" w:rsidRPr="00C64AE8">
        <w:rPr>
          <w:rFonts w:ascii="Century" w:hAnsi="Century" w:hint="eastAsia"/>
          <w:rtl/>
        </w:rPr>
        <w:t>לגביהן</w:t>
      </w:r>
      <w:r w:rsidR="00A01E7C" w:rsidRPr="00C64AE8">
        <w:rPr>
          <w:rFonts w:ascii="Century" w:hAnsi="Century"/>
          <w:rtl/>
        </w:rPr>
        <w:t xml:space="preserve"> </w:t>
      </w:r>
      <w:r w:rsidR="00A01E7C" w:rsidRPr="00C64AE8">
        <w:rPr>
          <w:rFonts w:ascii="Century" w:hAnsi="Century" w:hint="eastAsia"/>
          <w:rtl/>
        </w:rPr>
        <w:t>שאינן</w:t>
      </w:r>
      <w:r w:rsidR="00A01E7C" w:rsidRPr="00C64AE8">
        <w:rPr>
          <w:rFonts w:ascii="Century" w:hAnsi="Century"/>
          <w:rtl/>
        </w:rPr>
        <w:t xml:space="preserve"> </w:t>
      </w:r>
      <w:r w:rsidR="00A01E7C" w:rsidRPr="00C64AE8">
        <w:rPr>
          <w:rFonts w:ascii="Century" w:hAnsi="Century" w:hint="eastAsia"/>
          <w:rtl/>
        </w:rPr>
        <w:t>סבירות</w:t>
      </w:r>
      <w:r w:rsidR="00A01E7C" w:rsidRPr="00C64AE8">
        <w:rPr>
          <w:rFonts w:ascii="Century" w:hAnsi="Century"/>
          <w:rtl/>
        </w:rPr>
        <w:t xml:space="preserve"> ("</w:t>
      </w:r>
      <w:r w:rsidR="00A01E7C" w:rsidRPr="00C64AE8">
        <w:rPr>
          <w:rFonts w:ascii="Century" w:hAnsi="Century" w:cs="Miriam" w:hint="eastAsia"/>
          <w:b/>
          <w:szCs w:val="24"/>
          <w:rtl/>
        </w:rPr>
        <w:t>בית</w:t>
      </w:r>
      <w:r w:rsidR="00A01E7C" w:rsidRPr="00C64AE8">
        <w:rPr>
          <w:rFonts w:ascii="Century" w:hAnsi="Century" w:cs="Miriam"/>
          <w:b/>
          <w:szCs w:val="24"/>
          <w:rtl/>
        </w:rPr>
        <w:t xml:space="preserve"> </w:t>
      </w:r>
      <w:r w:rsidR="00A01E7C" w:rsidRPr="00C64AE8">
        <w:rPr>
          <w:rFonts w:ascii="Century" w:hAnsi="Century" w:cs="Miriam" w:hint="eastAsia"/>
          <w:b/>
          <w:szCs w:val="24"/>
          <w:rtl/>
        </w:rPr>
        <w:t>המשפט</w:t>
      </w:r>
      <w:r w:rsidR="00A01E7C" w:rsidRPr="00C64AE8">
        <w:rPr>
          <w:rFonts w:ascii="Century" w:hAnsi="Century" w:cs="Miriam"/>
          <w:b/>
          <w:szCs w:val="24"/>
          <w:rtl/>
        </w:rPr>
        <w:t xml:space="preserve"> </w:t>
      </w:r>
      <w:r w:rsidR="00A01E7C" w:rsidRPr="00C64AE8">
        <w:rPr>
          <w:rFonts w:ascii="Century" w:hAnsi="Century" w:cs="Miriam" w:hint="eastAsia"/>
          <w:b/>
          <w:szCs w:val="24"/>
          <w:rtl/>
        </w:rPr>
        <w:t>לא</w:t>
      </w:r>
      <w:r w:rsidR="00A01E7C" w:rsidRPr="00C64AE8">
        <w:rPr>
          <w:rFonts w:ascii="Century" w:hAnsi="Century" w:cs="Miriam"/>
          <w:b/>
          <w:szCs w:val="24"/>
          <w:rtl/>
        </w:rPr>
        <w:t xml:space="preserve"> </w:t>
      </w:r>
      <w:r w:rsidR="00A01E7C" w:rsidRPr="00C64AE8">
        <w:rPr>
          <w:rFonts w:ascii="Century" w:hAnsi="Century" w:cs="Miriam" w:hint="eastAsia"/>
          <w:b/>
          <w:szCs w:val="24"/>
          <w:rtl/>
        </w:rPr>
        <w:t>ידון</w:t>
      </w:r>
      <w:r w:rsidR="00A01E7C" w:rsidRPr="00C64AE8">
        <w:rPr>
          <w:rFonts w:ascii="Century" w:hAnsi="Century"/>
          <w:rtl/>
        </w:rPr>
        <w:t xml:space="preserve">" </w:t>
      </w:r>
      <w:r w:rsidR="00A01E7C" w:rsidRPr="00C64AE8">
        <w:rPr>
          <w:rFonts w:ascii="Century" w:hAnsi="Century" w:hint="eastAsia"/>
          <w:rtl/>
        </w:rPr>
        <w:lastRenderedPageBreak/>
        <w:t>כנוסח</w:t>
      </w:r>
      <w:r w:rsidR="00A01E7C" w:rsidRPr="00C64AE8">
        <w:rPr>
          <w:rFonts w:ascii="Century" w:hAnsi="Century"/>
          <w:rtl/>
        </w:rPr>
        <w:t xml:space="preserve"> </w:t>
      </w:r>
      <w:r w:rsidR="00A01E7C" w:rsidRPr="00C64AE8">
        <w:rPr>
          <w:rFonts w:ascii="Century" w:hAnsi="Century" w:hint="eastAsia"/>
          <w:rtl/>
        </w:rPr>
        <w:t>התיקון</w:t>
      </w:r>
      <w:r w:rsidR="00A01E7C" w:rsidRPr="00C64AE8">
        <w:rPr>
          <w:rFonts w:ascii="Century" w:hAnsi="Century"/>
          <w:rtl/>
        </w:rPr>
        <w:t>), ולא בהוראה העוסקת רק בסטנדרט הביקורת ו</w:t>
      </w:r>
      <w:r w:rsidR="00A01E7C" w:rsidRPr="00C64AE8">
        <w:rPr>
          <w:rFonts w:ascii="Century" w:hAnsi="Century" w:hint="eastAsia"/>
          <w:rtl/>
        </w:rPr>
        <w:t>בהתוויית</w:t>
      </w:r>
      <w:r w:rsidR="00A01E7C" w:rsidRPr="00C64AE8">
        <w:rPr>
          <w:rFonts w:ascii="Century" w:hAnsi="Century"/>
          <w:rtl/>
        </w:rPr>
        <w:t xml:space="preserve"> שיקול הדעת השיפוטי. </w:t>
      </w:r>
    </w:p>
    <w:p w:rsidR="00C64AE8" w:rsidRDefault="00C64AE8" w:rsidP="00C64AE8">
      <w:pPr>
        <w:pStyle w:val="Ruller4"/>
        <w:numPr>
          <w:ilvl w:val="0"/>
          <w:numId w:val="0"/>
        </w:numPr>
        <w:rPr>
          <w:rtl/>
        </w:rPr>
      </w:pPr>
    </w:p>
    <w:p w:rsidR="00C64AE8" w:rsidRDefault="00C64AE8" w:rsidP="00C64AE8">
      <w:pPr>
        <w:pStyle w:val="Ruller4"/>
        <w:numPr>
          <w:ilvl w:val="0"/>
          <w:numId w:val="0"/>
        </w:numPr>
        <w:rPr>
          <w:rtl/>
        </w:rPr>
      </w:pPr>
      <w:r>
        <w:rPr>
          <w:rtl/>
        </w:rPr>
        <w:tab/>
      </w:r>
      <w:r w:rsidR="00A01E7C">
        <w:rPr>
          <w:rFonts w:hint="cs"/>
          <w:rtl/>
        </w:rPr>
        <w:t xml:space="preserve">יתרה מכך </w:t>
      </w:r>
      <w:r w:rsidR="00A01E7C">
        <w:rPr>
          <w:rtl/>
        </w:rPr>
        <w:t>–</w:t>
      </w:r>
      <w:r w:rsidR="00A01E7C">
        <w:rPr>
          <w:rFonts w:hint="cs"/>
          <w:rtl/>
        </w:rPr>
        <w:t xml:space="preserve"> אין מחלוקת כי התיקון אינו גורע מחובת הממשלה, ראש הממשלה והשרים לפעול בסבירות. הוא רק שולל מבית המשפט את האפשרות לפקח על חריגה אפשרית מחובה זו ולאכוף אותה. </w:t>
      </w:r>
      <w:r w:rsidR="00A01E7C" w:rsidRPr="00273396">
        <w:rPr>
          <w:rFonts w:hint="eastAsia"/>
          <w:rtl/>
        </w:rPr>
        <w:t>במובן</w:t>
      </w:r>
      <w:r w:rsidR="00A01E7C" w:rsidRPr="00273396">
        <w:rPr>
          <w:rtl/>
        </w:rPr>
        <w:t xml:space="preserve"> זה מובחנים הממשלה</w:t>
      </w:r>
      <w:r w:rsidR="00A01E7C">
        <w:rPr>
          <w:rFonts w:hint="cs"/>
          <w:rtl/>
        </w:rPr>
        <w:t>, ראש הממשלה</w:t>
      </w:r>
      <w:r w:rsidR="00A01E7C" w:rsidRPr="00273396">
        <w:rPr>
          <w:rtl/>
        </w:rPr>
        <w:t xml:space="preserve"> </w:t>
      </w:r>
      <w:r w:rsidR="00A01E7C">
        <w:rPr>
          <w:rFonts w:hint="cs"/>
          <w:rtl/>
        </w:rPr>
        <w:t>ו</w:t>
      </w:r>
      <w:r w:rsidR="00A01E7C" w:rsidRPr="00273396">
        <w:rPr>
          <w:rtl/>
        </w:rPr>
        <w:t xml:space="preserve">השרים מיתר נושאי המשרה </w:t>
      </w:r>
      <w:r w:rsidR="00A01E7C" w:rsidRPr="00273396">
        <w:rPr>
          <w:rFonts w:hint="eastAsia"/>
          <w:rtl/>
        </w:rPr>
        <w:t>במינהל</w:t>
      </w:r>
      <w:r w:rsidR="00A01E7C">
        <w:rPr>
          <w:rFonts w:hint="cs"/>
          <w:rtl/>
        </w:rPr>
        <w:t xml:space="preserve"> </w:t>
      </w:r>
      <w:r w:rsidR="00A01E7C">
        <w:rPr>
          <w:rtl/>
        </w:rPr>
        <w:t>–</w:t>
      </w:r>
      <w:r w:rsidR="00A01E7C">
        <w:rPr>
          <w:rFonts w:hint="cs"/>
          <w:rtl/>
        </w:rPr>
        <w:t xml:space="preserve"> </w:t>
      </w:r>
      <w:r w:rsidR="00A01E7C" w:rsidRPr="00273396">
        <w:rPr>
          <w:rFonts w:hint="eastAsia"/>
          <w:rtl/>
        </w:rPr>
        <w:t>לא</w:t>
      </w:r>
      <w:r w:rsidR="00A01E7C">
        <w:rPr>
          <w:rFonts w:hint="cs"/>
          <w:rtl/>
        </w:rPr>
        <w:t xml:space="preserve"> </w:t>
      </w:r>
      <w:r w:rsidR="00A01E7C" w:rsidRPr="00273396">
        <w:rPr>
          <w:rFonts w:hint="eastAsia"/>
          <w:rtl/>
        </w:rPr>
        <w:t>בסטנדרט</w:t>
      </w:r>
      <w:r w:rsidR="00A01E7C" w:rsidRPr="00273396">
        <w:rPr>
          <w:rtl/>
        </w:rPr>
        <w:t xml:space="preserve"> </w:t>
      </w:r>
      <w:r w:rsidR="00A01E7C" w:rsidRPr="00273396">
        <w:rPr>
          <w:rFonts w:hint="eastAsia"/>
          <w:rtl/>
        </w:rPr>
        <w:t>ההתנהגות</w:t>
      </w:r>
      <w:r w:rsidR="00A01E7C" w:rsidRPr="00273396">
        <w:rPr>
          <w:rtl/>
        </w:rPr>
        <w:t xml:space="preserve"> </w:t>
      </w:r>
      <w:r w:rsidR="00A01E7C" w:rsidRPr="00273396">
        <w:rPr>
          <w:rFonts w:hint="eastAsia"/>
          <w:rtl/>
        </w:rPr>
        <w:t>שחל</w:t>
      </w:r>
      <w:r w:rsidR="00A01E7C" w:rsidRPr="00273396">
        <w:rPr>
          <w:rtl/>
        </w:rPr>
        <w:t xml:space="preserve"> </w:t>
      </w:r>
      <w:r w:rsidR="00A01E7C" w:rsidRPr="00273396">
        <w:rPr>
          <w:rFonts w:hint="eastAsia"/>
          <w:rtl/>
        </w:rPr>
        <w:t>עליהם</w:t>
      </w:r>
      <w:r w:rsidR="00A01E7C" w:rsidRPr="00273396">
        <w:rPr>
          <w:rtl/>
        </w:rPr>
        <w:t xml:space="preserve"> </w:t>
      </w:r>
      <w:r w:rsidR="00A01E7C" w:rsidRPr="00273396">
        <w:rPr>
          <w:rFonts w:hint="eastAsia"/>
          <w:rtl/>
        </w:rPr>
        <w:t>אלא</w:t>
      </w:r>
      <w:r w:rsidR="00A01E7C" w:rsidRPr="00273396">
        <w:rPr>
          <w:rtl/>
        </w:rPr>
        <w:t xml:space="preserve"> </w:t>
      </w:r>
      <w:r w:rsidR="00A01E7C" w:rsidRPr="00273396">
        <w:rPr>
          <w:rFonts w:hint="eastAsia"/>
          <w:rtl/>
        </w:rPr>
        <w:t>רק</w:t>
      </w:r>
      <w:r w:rsidR="00A01E7C" w:rsidRPr="00273396">
        <w:rPr>
          <w:rtl/>
        </w:rPr>
        <w:t xml:space="preserve"> </w:t>
      </w:r>
      <w:r w:rsidR="00A01E7C" w:rsidRPr="00273396">
        <w:rPr>
          <w:rFonts w:hint="eastAsia"/>
          <w:rtl/>
        </w:rPr>
        <w:t>באפשרות</w:t>
      </w:r>
      <w:r w:rsidR="00A01E7C" w:rsidRPr="00273396">
        <w:rPr>
          <w:rtl/>
        </w:rPr>
        <w:t xml:space="preserve"> </w:t>
      </w:r>
      <w:r w:rsidR="00A01E7C" w:rsidRPr="00273396">
        <w:rPr>
          <w:rFonts w:hint="eastAsia"/>
          <w:rtl/>
        </w:rPr>
        <w:t>אכיפתו</w:t>
      </w:r>
      <w:r w:rsidR="00A01E7C" w:rsidRPr="00273396">
        <w:rPr>
          <w:rtl/>
        </w:rPr>
        <w:t xml:space="preserve"> </w:t>
      </w:r>
      <w:r w:rsidR="00A01E7C" w:rsidRPr="00273396">
        <w:rPr>
          <w:rFonts w:hint="eastAsia"/>
          <w:rtl/>
        </w:rPr>
        <w:t>עליהם</w:t>
      </w:r>
      <w:r w:rsidR="00A01E7C" w:rsidRPr="00273396">
        <w:rPr>
          <w:rtl/>
        </w:rPr>
        <w:t xml:space="preserve">. </w:t>
      </w:r>
      <w:r w:rsidR="00A01E7C" w:rsidRPr="00273396">
        <w:rPr>
          <w:rFonts w:hint="eastAsia"/>
          <w:rtl/>
        </w:rPr>
        <w:t>לכך</w:t>
      </w:r>
      <w:r w:rsidR="00A01E7C" w:rsidRPr="00273396">
        <w:rPr>
          <w:rtl/>
        </w:rPr>
        <w:t xml:space="preserve"> </w:t>
      </w:r>
      <w:r w:rsidR="00A01E7C" w:rsidRPr="00273396">
        <w:rPr>
          <w:rFonts w:hint="eastAsia"/>
          <w:rtl/>
        </w:rPr>
        <w:t>לא</w:t>
      </w:r>
      <w:r w:rsidR="00A01E7C" w:rsidRPr="00273396">
        <w:rPr>
          <w:rtl/>
        </w:rPr>
        <w:t xml:space="preserve"> </w:t>
      </w:r>
      <w:r w:rsidR="00A01E7C" w:rsidRPr="00273396">
        <w:rPr>
          <w:rFonts w:hint="eastAsia"/>
          <w:rtl/>
        </w:rPr>
        <w:t>נמצא</w:t>
      </w:r>
      <w:r w:rsidR="00A01E7C" w:rsidRPr="00273396">
        <w:rPr>
          <w:rtl/>
        </w:rPr>
        <w:t xml:space="preserve"> </w:t>
      </w:r>
      <w:r w:rsidR="00A01E7C" w:rsidRPr="00273396">
        <w:rPr>
          <w:rFonts w:hint="eastAsia"/>
          <w:rtl/>
        </w:rPr>
        <w:t>נימוק</w:t>
      </w:r>
      <w:r w:rsidR="00A01E7C" w:rsidRPr="00273396">
        <w:rPr>
          <w:rtl/>
        </w:rPr>
        <w:t xml:space="preserve"> </w:t>
      </w:r>
      <w:r w:rsidR="00A01E7C" w:rsidRPr="00273396">
        <w:rPr>
          <w:rFonts w:hint="eastAsia"/>
          <w:rtl/>
        </w:rPr>
        <w:t>משכנע</w:t>
      </w:r>
      <w:r w:rsidR="00A01E7C" w:rsidRPr="00273396">
        <w:rPr>
          <w:rtl/>
        </w:rPr>
        <w:t xml:space="preserve">: </w:t>
      </w:r>
      <w:r w:rsidR="00A01E7C" w:rsidRPr="00273396">
        <w:rPr>
          <w:rFonts w:hint="eastAsia"/>
          <w:rtl/>
        </w:rPr>
        <w:t>אם</w:t>
      </w:r>
      <w:r w:rsidR="00A01E7C" w:rsidRPr="00273396">
        <w:rPr>
          <w:rtl/>
        </w:rPr>
        <w:t xml:space="preserve"> </w:t>
      </w:r>
      <w:r w:rsidR="00A01E7C" w:rsidRPr="00273396">
        <w:rPr>
          <w:rFonts w:hint="eastAsia"/>
          <w:rtl/>
        </w:rPr>
        <w:t>אכן</w:t>
      </w:r>
      <w:r w:rsidR="00A01E7C" w:rsidRPr="00273396">
        <w:rPr>
          <w:rtl/>
        </w:rPr>
        <w:t xml:space="preserve"> </w:t>
      </w:r>
      <w:r w:rsidR="00A01E7C" w:rsidRPr="00273396">
        <w:rPr>
          <w:rFonts w:hint="eastAsia"/>
          <w:rtl/>
        </w:rPr>
        <w:t>חייבים</w:t>
      </w:r>
      <w:r w:rsidR="00A01E7C" w:rsidRPr="00273396">
        <w:rPr>
          <w:rtl/>
        </w:rPr>
        <w:t xml:space="preserve"> </w:t>
      </w:r>
      <w:r w:rsidR="00A01E7C">
        <w:rPr>
          <w:rFonts w:hint="cs"/>
          <w:rtl/>
        </w:rPr>
        <w:t>הממשלה, ראש הממשלה ו</w:t>
      </w:r>
      <w:r w:rsidR="00A01E7C" w:rsidRPr="00273396">
        <w:rPr>
          <w:rFonts w:hint="eastAsia"/>
          <w:rtl/>
        </w:rPr>
        <w:t>השרים</w:t>
      </w:r>
      <w:r w:rsidR="00A01E7C" w:rsidRPr="00273396">
        <w:rPr>
          <w:rtl/>
        </w:rPr>
        <w:t xml:space="preserve"> </w:t>
      </w:r>
      <w:r w:rsidR="00A01E7C" w:rsidRPr="00273396">
        <w:rPr>
          <w:rFonts w:hint="eastAsia"/>
          <w:rtl/>
        </w:rPr>
        <w:t>לנהוג</w:t>
      </w:r>
      <w:r w:rsidR="00A01E7C" w:rsidRPr="00273396">
        <w:rPr>
          <w:rtl/>
        </w:rPr>
        <w:t xml:space="preserve"> </w:t>
      </w:r>
      <w:r w:rsidR="00A01E7C" w:rsidRPr="00273396">
        <w:rPr>
          <w:rFonts w:hint="eastAsia"/>
          <w:rtl/>
        </w:rPr>
        <w:t>בסבירות</w:t>
      </w:r>
      <w:r w:rsidR="00A01E7C" w:rsidRPr="00273396">
        <w:rPr>
          <w:rtl/>
        </w:rPr>
        <w:t xml:space="preserve">, </w:t>
      </w:r>
      <w:r w:rsidR="00A01E7C" w:rsidRPr="00273396">
        <w:rPr>
          <w:rFonts w:hint="eastAsia"/>
          <w:rtl/>
        </w:rPr>
        <w:t>מדוע</w:t>
      </w:r>
      <w:r w:rsidR="00A01E7C" w:rsidRPr="00273396">
        <w:rPr>
          <w:rtl/>
        </w:rPr>
        <w:t xml:space="preserve"> </w:t>
      </w:r>
      <w:r w:rsidR="00A01E7C" w:rsidRPr="00273396">
        <w:rPr>
          <w:rFonts w:hint="eastAsia"/>
          <w:rtl/>
        </w:rPr>
        <w:t>נפטור</w:t>
      </w:r>
      <w:r w:rsidR="00A01E7C" w:rsidRPr="00273396">
        <w:rPr>
          <w:rtl/>
        </w:rPr>
        <w:t xml:space="preserve"> </w:t>
      </w:r>
      <w:r w:rsidR="00A01E7C" w:rsidRPr="00273396">
        <w:rPr>
          <w:rFonts w:hint="eastAsia"/>
          <w:rtl/>
        </w:rPr>
        <w:t>אותם</w:t>
      </w:r>
      <w:r w:rsidR="00A01E7C" w:rsidRPr="00273396">
        <w:rPr>
          <w:rtl/>
        </w:rPr>
        <w:t xml:space="preserve"> – </w:t>
      </w:r>
      <w:r w:rsidR="00A01E7C" w:rsidRPr="00273396">
        <w:rPr>
          <w:rFonts w:hint="eastAsia"/>
          <w:rtl/>
        </w:rPr>
        <w:t>רק</w:t>
      </w:r>
      <w:r w:rsidR="00A01E7C" w:rsidRPr="00273396">
        <w:rPr>
          <w:rtl/>
        </w:rPr>
        <w:t xml:space="preserve"> </w:t>
      </w:r>
      <w:r w:rsidR="00A01E7C" w:rsidRPr="00273396">
        <w:rPr>
          <w:rFonts w:hint="eastAsia"/>
          <w:rtl/>
        </w:rPr>
        <w:t>אותם</w:t>
      </w:r>
      <w:r w:rsidR="00A01E7C" w:rsidRPr="00273396">
        <w:rPr>
          <w:rtl/>
        </w:rPr>
        <w:t xml:space="preserve"> </w:t>
      </w:r>
      <w:r w:rsidR="00A01E7C" w:rsidRPr="00273396">
        <w:rPr>
          <w:rFonts w:hint="eastAsia"/>
          <w:rtl/>
        </w:rPr>
        <w:t>ודווקא</w:t>
      </w:r>
      <w:r w:rsidR="00A01E7C" w:rsidRPr="00273396">
        <w:rPr>
          <w:rtl/>
        </w:rPr>
        <w:t xml:space="preserve"> </w:t>
      </w:r>
      <w:r w:rsidR="00A01E7C" w:rsidRPr="00273396">
        <w:rPr>
          <w:rFonts w:hint="eastAsia"/>
          <w:rtl/>
        </w:rPr>
        <w:t>אותם</w:t>
      </w:r>
      <w:r w:rsidR="00A01E7C" w:rsidRPr="00273396">
        <w:rPr>
          <w:rtl/>
        </w:rPr>
        <w:t xml:space="preserve"> – מאכיפת החובה הזו? </w:t>
      </w:r>
      <w:r w:rsidR="00A01E7C">
        <w:rPr>
          <w:rFonts w:hint="cs"/>
          <w:rtl/>
        </w:rPr>
        <w:t xml:space="preserve">הביקורת השיפוטית יונקת את כוחה מעקרון הפרדת הרשויות ומהצורך להבטיח את שלטון החוק כך שיחול על כל הפרטים במדינה. התיקון מעניק למעשה חסינות מביקורת שיפוטית על שיקול הדעת של העומדים בראש הרשות המבצעת. כפי שציין השופט </w:t>
      </w:r>
      <w:r w:rsidR="00A01E7C" w:rsidRPr="004F3F99">
        <w:rPr>
          <w:rFonts w:ascii="Century" w:hAnsi="Century" w:cs="Miriam" w:hint="cs"/>
          <w:b/>
          <w:spacing w:val="0"/>
          <w:sz w:val="22"/>
          <w:szCs w:val="24"/>
          <w:rtl/>
        </w:rPr>
        <w:t xml:space="preserve">ברק </w:t>
      </w:r>
      <w:r w:rsidR="00A01E7C">
        <w:rPr>
          <w:rFonts w:hint="cs"/>
          <w:rtl/>
        </w:rPr>
        <w:t xml:space="preserve">בבג"ץ 680/88 </w:t>
      </w:r>
      <w:r w:rsidR="00A01E7C" w:rsidRPr="00B53DF1">
        <w:rPr>
          <w:rFonts w:ascii="Century" w:hAnsi="Century" w:cs="Miriam" w:hint="eastAsia"/>
          <w:b/>
          <w:spacing w:val="0"/>
          <w:sz w:val="22"/>
          <w:szCs w:val="24"/>
          <w:rtl/>
        </w:rPr>
        <w:t>שניצר</w:t>
      </w:r>
      <w:r w:rsidR="00A01E7C" w:rsidRPr="00B53DF1">
        <w:rPr>
          <w:rFonts w:ascii="Century" w:hAnsi="Century" w:cs="Miriam"/>
          <w:b/>
          <w:spacing w:val="0"/>
          <w:sz w:val="22"/>
          <w:szCs w:val="24"/>
          <w:rtl/>
        </w:rPr>
        <w:t xml:space="preserve"> </w:t>
      </w:r>
      <w:r w:rsidR="00A01E7C" w:rsidRPr="00B53DF1">
        <w:rPr>
          <w:rFonts w:ascii="Century" w:hAnsi="Century" w:cs="Miriam" w:hint="eastAsia"/>
          <w:b/>
          <w:spacing w:val="0"/>
          <w:sz w:val="22"/>
          <w:szCs w:val="24"/>
          <w:rtl/>
        </w:rPr>
        <w:t>נ</w:t>
      </w:r>
      <w:r w:rsidR="00A01E7C" w:rsidRPr="00B53DF1">
        <w:rPr>
          <w:rFonts w:ascii="Century" w:hAnsi="Century" w:cs="Miriam"/>
          <w:b/>
          <w:spacing w:val="0"/>
          <w:sz w:val="22"/>
          <w:szCs w:val="24"/>
          <w:rtl/>
        </w:rPr>
        <w:t xml:space="preserve">' </w:t>
      </w:r>
      <w:r w:rsidR="00A01E7C" w:rsidRPr="00B53DF1">
        <w:rPr>
          <w:rFonts w:ascii="Century" w:hAnsi="Century" w:cs="Miriam" w:hint="eastAsia"/>
          <w:b/>
          <w:spacing w:val="0"/>
          <w:sz w:val="22"/>
          <w:szCs w:val="24"/>
          <w:rtl/>
        </w:rPr>
        <w:t>הצנזור</w:t>
      </w:r>
      <w:r w:rsidR="00A01E7C" w:rsidRPr="00B53DF1">
        <w:rPr>
          <w:rFonts w:ascii="Century" w:hAnsi="Century" w:cs="Miriam"/>
          <w:b/>
          <w:spacing w:val="0"/>
          <w:sz w:val="22"/>
          <w:szCs w:val="24"/>
          <w:rtl/>
        </w:rPr>
        <w:t xml:space="preserve"> </w:t>
      </w:r>
      <w:r w:rsidR="00A01E7C" w:rsidRPr="00B53DF1">
        <w:rPr>
          <w:rFonts w:ascii="Century" w:hAnsi="Century" w:cs="Miriam" w:hint="eastAsia"/>
          <w:b/>
          <w:spacing w:val="0"/>
          <w:sz w:val="22"/>
          <w:szCs w:val="24"/>
          <w:rtl/>
        </w:rPr>
        <w:t>הראשי</w:t>
      </w:r>
      <w:r w:rsidR="00A01E7C">
        <w:rPr>
          <w:rFonts w:hint="cs"/>
          <w:rtl/>
        </w:rPr>
        <w:t>, פ"ד מב(4) 617, 638 (1989): "</w:t>
      </w:r>
      <w:r w:rsidR="00A01E7C" w:rsidRPr="00D170F5">
        <w:rPr>
          <w:rFonts w:ascii="Century" w:hAnsi="Century" w:cs="Miriam" w:hint="eastAsia"/>
          <w:b/>
          <w:spacing w:val="0"/>
          <w:sz w:val="22"/>
          <w:szCs w:val="24"/>
          <w:rtl/>
        </w:rPr>
        <w:t>חסינות</w:t>
      </w:r>
      <w:r w:rsidR="00A01E7C" w:rsidRPr="00D170F5">
        <w:rPr>
          <w:rFonts w:ascii="Century" w:hAnsi="Century" w:cs="Miriam"/>
          <w:b/>
          <w:spacing w:val="0"/>
          <w:sz w:val="22"/>
          <w:szCs w:val="24"/>
          <w:rtl/>
        </w:rPr>
        <w:t xml:space="preserve"> </w:t>
      </w:r>
      <w:r w:rsidR="00A01E7C" w:rsidRPr="00D170F5">
        <w:rPr>
          <w:rFonts w:ascii="Century" w:hAnsi="Century" w:cs="Miriam" w:hint="eastAsia"/>
          <w:b/>
          <w:spacing w:val="0"/>
          <w:sz w:val="22"/>
          <w:szCs w:val="24"/>
          <w:rtl/>
        </w:rPr>
        <w:t>זו</w:t>
      </w:r>
      <w:r w:rsidR="00A01E7C" w:rsidRPr="00D170F5">
        <w:rPr>
          <w:rFonts w:ascii="Century" w:hAnsi="Century" w:cs="Miriam"/>
          <w:b/>
          <w:spacing w:val="0"/>
          <w:sz w:val="22"/>
          <w:szCs w:val="24"/>
          <w:rtl/>
        </w:rPr>
        <w:t xml:space="preserve"> </w:t>
      </w:r>
      <w:r w:rsidR="00A01E7C" w:rsidRPr="00D170F5">
        <w:rPr>
          <w:rFonts w:ascii="Century" w:hAnsi="Century" w:cs="Miriam" w:hint="eastAsia"/>
          <w:b/>
          <w:spacing w:val="0"/>
          <w:sz w:val="22"/>
          <w:szCs w:val="24"/>
          <w:rtl/>
        </w:rPr>
        <w:t>סופה</w:t>
      </w:r>
      <w:r w:rsidR="00A01E7C" w:rsidRPr="00D170F5">
        <w:rPr>
          <w:rFonts w:ascii="Century" w:hAnsi="Century" w:cs="Miriam"/>
          <w:b/>
          <w:spacing w:val="0"/>
          <w:sz w:val="22"/>
          <w:szCs w:val="24"/>
          <w:rtl/>
        </w:rPr>
        <w:t xml:space="preserve"> </w:t>
      </w:r>
      <w:r w:rsidR="00A01E7C" w:rsidRPr="00D170F5">
        <w:rPr>
          <w:rFonts w:ascii="Century" w:hAnsi="Century" w:cs="Miriam" w:hint="eastAsia"/>
          <w:b/>
          <w:spacing w:val="0"/>
          <w:sz w:val="22"/>
          <w:szCs w:val="24"/>
          <w:rtl/>
        </w:rPr>
        <w:t>להוליד</w:t>
      </w:r>
      <w:r w:rsidR="00A01E7C" w:rsidRPr="00D170F5">
        <w:rPr>
          <w:rFonts w:ascii="Century" w:hAnsi="Century" w:cs="Miriam"/>
          <w:b/>
          <w:spacing w:val="0"/>
          <w:sz w:val="22"/>
          <w:szCs w:val="24"/>
          <w:rtl/>
        </w:rPr>
        <w:t xml:space="preserve"> </w:t>
      </w:r>
      <w:r w:rsidR="00A01E7C" w:rsidRPr="00D170F5">
        <w:rPr>
          <w:rFonts w:ascii="Century" w:hAnsi="Century" w:cs="Miriam" w:hint="eastAsia"/>
          <w:b/>
          <w:spacing w:val="0"/>
          <w:sz w:val="22"/>
          <w:szCs w:val="24"/>
          <w:rtl/>
        </w:rPr>
        <w:t>אי</w:t>
      </w:r>
      <w:r w:rsidR="00A01E7C" w:rsidRPr="00D170F5">
        <w:rPr>
          <w:rFonts w:ascii="Century" w:hAnsi="Century" w:cs="Miriam"/>
          <w:b/>
          <w:spacing w:val="0"/>
          <w:sz w:val="22"/>
          <w:szCs w:val="24"/>
          <w:rtl/>
        </w:rPr>
        <w:t>-</w:t>
      </w:r>
      <w:r w:rsidR="00A01E7C" w:rsidRPr="00D170F5">
        <w:rPr>
          <w:rFonts w:ascii="Century" w:hAnsi="Century" w:cs="Miriam" w:hint="eastAsia"/>
          <w:b/>
          <w:spacing w:val="0"/>
          <w:sz w:val="22"/>
          <w:szCs w:val="24"/>
          <w:rtl/>
        </w:rPr>
        <w:t>קיום</w:t>
      </w:r>
      <w:r w:rsidR="00A01E7C" w:rsidRPr="00D170F5">
        <w:rPr>
          <w:rFonts w:ascii="Century" w:hAnsi="Century" w:cs="Miriam"/>
          <w:b/>
          <w:spacing w:val="0"/>
          <w:sz w:val="22"/>
          <w:szCs w:val="24"/>
          <w:rtl/>
        </w:rPr>
        <w:t xml:space="preserve"> </w:t>
      </w:r>
      <w:r w:rsidR="00A01E7C" w:rsidRPr="00D170F5">
        <w:rPr>
          <w:rFonts w:ascii="Century" w:hAnsi="Century" w:cs="Miriam" w:hint="eastAsia"/>
          <w:b/>
          <w:spacing w:val="0"/>
          <w:sz w:val="22"/>
          <w:szCs w:val="24"/>
          <w:rtl/>
        </w:rPr>
        <w:t>החוק</w:t>
      </w:r>
      <w:r w:rsidR="00A01E7C" w:rsidRPr="00D170F5">
        <w:rPr>
          <w:rFonts w:ascii="Century" w:hAnsi="Century" w:cs="Miriam"/>
          <w:b/>
          <w:spacing w:val="0"/>
          <w:sz w:val="22"/>
          <w:szCs w:val="24"/>
          <w:rtl/>
        </w:rPr>
        <w:t xml:space="preserve">, </w:t>
      </w:r>
      <w:r w:rsidR="00A01E7C" w:rsidRPr="00D170F5">
        <w:rPr>
          <w:rFonts w:ascii="Century" w:hAnsi="Century" w:cs="Miriam" w:hint="eastAsia"/>
          <w:b/>
          <w:spacing w:val="0"/>
          <w:sz w:val="22"/>
          <w:szCs w:val="24"/>
          <w:rtl/>
        </w:rPr>
        <w:t>שכן</w:t>
      </w:r>
      <w:r w:rsidR="00A01E7C" w:rsidRPr="00D170F5">
        <w:rPr>
          <w:rFonts w:ascii="Century" w:hAnsi="Century" w:cs="Miriam"/>
          <w:b/>
          <w:spacing w:val="0"/>
          <w:sz w:val="22"/>
          <w:szCs w:val="24"/>
          <w:rtl/>
        </w:rPr>
        <w:t xml:space="preserve"> </w:t>
      </w:r>
      <w:r w:rsidR="00A01E7C" w:rsidRPr="00D170F5">
        <w:rPr>
          <w:rFonts w:ascii="Century" w:hAnsi="Century" w:cs="Miriam" w:hint="eastAsia"/>
          <w:b/>
          <w:spacing w:val="0"/>
          <w:sz w:val="22"/>
          <w:szCs w:val="24"/>
          <w:rtl/>
        </w:rPr>
        <w:t>באין</w:t>
      </w:r>
      <w:r w:rsidR="00A01E7C" w:rsidRPr="00D170F5">
        <w:rPr>
          <w:rFonts w:ascii="Century" w:hAnsi="Century" w:cs="Miriam"/>
          <w:b/>
          <w:spacing w:val="0"/>
          <w:sz w:val="22"/>
          <w:szCs w:val="24"/>
          <w:rtl/>
        </w:rPr>
        <w:t xml:space="preserve"> </w:t>
      </w:r>
      <w:r w:rsidR="00A01E7C" w:rsidRPr="00D170F5">
        <w:rPr>
          <w:rFonts w:ascii="Century" w:hAnsi="Century" w:cs="Miriam" w:hint="eastAsia"/>
          <w:b/>
          <w:spacing w:val="0"/>
          <w:sz w:val="22"/>
          <w:szCs w:val="24"/>
          <w:rtl/>
        </w:rPr>
        <w:t>דיין</w:t>
      </w:r>
      <w:r w:rsidR="00A01E7C" w:rsidRPr="00D170F5">
        <w:rPr>
          <w:rFonts w:ascii="Century" w:hAnsi="Century" w:cs="Miriam"/>
          <w:b/>
          <w:spacing w:val="0"/>
          <w:sz w:val="22"/>
          <w:szCs w:val="24"/>
          <w:rtl/>
        </w:rPr>
        <w:t xml:space="preserve"> </w:t>
      </w:r>
      <w:r w:rsidR="00A01E7C" w:rsidRPr="00D170F5">
        <w:rPr>
          <w:rFonts w:ascii="Century" w:hAnsi="Century" w:cs="Miriam" w:hint="eastAsia"/>
          <w:b/>
          <w:spacing w:val="0"/>
          <w:sz w:val="22"/>
          <w:szCs w:val="24"/>
          <w:rtl/>
        </w:rPr>
        <w:t>אין</w:t>
      </w:r>
      <w:r w:rsidR="00A01E7C" w:rsidRPr="00D170F5">
        <w:rPr>
          <w:rFonts w:ascii="Century" w:hAnsi="Century" w:cs="Miriam"/>
          <w:b/>
          <w:spacing w:val="0"/>
          <w:sz w:val="22"/>
          <w:szCs w:val="24"/>
          <w:rtl/>
        </w:rPr>
        <w:t xml:space="preserve"> </w:t>
      </w:r>
      <w:r w:rsidR="00A01E7C" w:rsidRPr="00D170F5">
        <w:rPr>
          <w:rFonts w:ascii="Century" w:hAnsi="Century" w:cs="Miriam" w:hint="eastAsia"/>
          <w:b/>
          <w:spacing w:val="0"/>
          <w:sz w:val="22"/>
          <w:szCs w:val="24"/>
          <w:rtl/>
        </w:rPr>
        <w:t>דין</w:t>
      </w:r>
      <w:r w:rsidR="00A01E7C">
        <w:rPr>
          <w:rFonts w:hint="cs"/>
          <w:rtl/>
        </w:rPr>
        <w:t>".</w:t>
      </w:r>
    </w:p>
    <w:p w:rsidR="00C64AE8" w:rsidRDefault="00C64AE8" w:rsidP="00C64AE8">
      <w:pPr>
        <w:pStyle w:val="Ruller4"/>
        <w:numPr>
          <w:ilvl w:val="0"/>
          <w:numId w:val="0"/>
        </w:numPr>
        <w:rPr>
          <w:rtl/>
        </w:rPr>
      </w:pPr>
    </w:p>
    <w:p w:rsidR="00C64AE8" w:rsidRDefault="00C64AE8" w:rsidP="00C64AE8">
      <w:pPr>
        <w:pStyle w:val="Ruller4"/>
        <w:numPr>
          <w:ilvl w:val="0"/>
          <w:numId w:val="0"/>
        </w:numPr>
        <w:rPr>
          <w:rtl/>
        </w:rPr>
      </w:pPr>
      <w:r>
        <w:rPr>
          <w:rtl/>
        </w:rPr>
        <w:tab/>
      </w:r>
      <w:r w:rsidR="00A01E7C" w:rsidRPr="00273396">
        <w:rPr>
          <w:rFonts w:ascii="Century" w:hAnsi="Century" w:cs="Miriam" w:hint="eastAsia"/>
          <w:b/>
          <w:spacing w:val="0"/>
          <w:sz w:val="22"/>
          <w:szCs w:val="24"/>
          <w:rtl/>
        </w:rPr>
        <w:t>שנית</w:t>
      </w:r>
      <w:r w:rsidR="00A01E7C">
        <w:rPr>
          <w:rFonts w:hint="cs"/>
          <w:rtl/>
        </w:rPr>
        <w:t xml:space="preserve">, דווקא נקודת המוצא של הטיעון הזה </w:t>
      </w:r>
      <w:r w:rsidR="00A01E7C">
        <w:rPr>
          <w:rtl/>
        </w:rPr>
        <w:t>–</w:t>
      </w:r>
      <w:r w:rsidR="00A01E7C">
        <w:rPr>
          <w:rFonts w:hint="cs"/>
          <w:rtl/>
        </w:rPr>
        <w:t xml:space="preserve"> לפיה התיקון מצמצם את כוחה של הרשות השופטת, היא המצדיקה בעיניי לבחון אותו ביתר חשדנות ולהקל באמות המידה בהן בית המשפט יכול להתערב בחקיקת חוקי יסוד. </w:t>
      </w:r>
    </w:p>
    <w:p w:rsidR="00C64AE8" w:rsidRDefault="00C64AE8" w:rsidP="00C64AE8">
      <w:pPr>
        <w:pStyle w:val="Ruller4"/>
        <w:numPr>
          <w:ilvl w:val="0"/>
          <w:numId w:val="0"/>
        </w:numPr>
        <w:rPr>
          <w:rtl/>
        </w:rPr>
      </w:pPr>
    </w:p>
    <w:p w:rsidR="00C64AE8" w:rsidRDefault="00C64AE8" w:rsidP="00C64AE8">
      <w:pPr>
        <w:pStyle w:val="Ruller4"/>
        <w:numPr>
          <w:ilvl w:val="0"/>
          <w:numId w:val="0"/>
        </w:numPr>
        <w:rPr>
          <w:rtl/>
        </w:rPr>
      </w:pPr>
      <w:r>
        <w:rPr>
          <w:rtl/>
        </w:rPr>
        <w:tab/>
      </w:r>
      <w:r w:rsidR="00A01E7C">
        <w:rPr>
          <w:rFonts w:hint="cs"/>
          <w:rtl/>
        </w:rPr>
        <w:t>המבנה המשטרי בישראל, בו כאמור "שולטת" הרשות המבצעת הלכה למעשה ברשות המחוקקת והמכוננת, משליך על הפרדת הרשויות בישראל ומקנה כוח רב לרשות המבצעת. מבנה זה מחייב לכן שמירה הדוקה על היקף הסמכויות של הרשות השופטת, תוך הימנעות מהרחבה יתרה של כוחה של הרשות המבצעת; ומצדיק משום כך בעיניי בחינה חשדנית וקפדנית יותר על חקיקה המבקשת להחליש את כוחם של בתי המשפט תוך הגדלת כוחה של הרשות המבצעת.</w:t>
      </w:r>
    </w:p>
    <w:p w:rsidR="00C64AE8" w:rsidRDefault="00C64AE8" w:rsidP="00C64AE8">
      <w:pPr>
        <w:pStyle w:val="Ruller4"/>
        <w:numPr>
          <w:ilvl w:val="0"/>
          <w:numId w:val="0"/>
        </w:numPr>
        <w:rPr>
          <w:rtl/>
        </w:rPr>
      </w:pPr>
    </w:p>
    <w:p w:rsidR="00A01E7C" w:rsidRPr="00801566" w:rsidRDefault="00C64AE8" w:rsidP="00C64AE8">
      <w:pPr>
        <w:pStyle w:val="Ruller4"/>
        <w:numPr>
          <w:ilvl w:val="0"/>
          <w:numId w:val="0"/>
        </w:numPr>
        <w:rPr>
          <w:rtl/>
        </w:rPr>
      </w:pPr>
      <w:r>
        <w:rPr>
          <w:rtl/>
        </w:rPr>
        <w:tab/>
      </w:r>
      <w:r w:rsidR="00A01E7C" w:rsidRPr="001E259D">
        <w:rPr>
          <w:rFonts w:hint="eastAsia"/>
          <w:rtl/>
        </w:rPr>
        <w:t>לכאורה</w:t>
      </w:r>
      <w:r w:rsidR="00A01E7C" w:rsidRPr="001E259D">
        <w:rPr>
          <w:rtl/>
        </w:rPr>
        <w:t xml:space="preserve">, </w:t>
      </w:r>
      <w:r w:rsidR="00A01E7C" w:rsidRPr="00CC1941">
        <w:rPr>
          <w:rFonts w:hint="eastAsia"/>
          <w:rtl/>
        </w:rPr>
        <w:t>כדי</w:t>
      </w:r>
      <w:r w:rsidR="00A01E7C" w:rsidRPr="00CC1941">
        <w:rPr>
          <w:rtl/>
        </w:rPr>
        <w:t xml:space="preserve"> </w:t>
      </w:r>
      <w:r w:rsidR="00A01E7C" w:rsidRPr="00CC1941">
        <w:rPr>
          <w:rFonts w:hint="eastAsia"/>
          <w:rtl/>
        </w:rPr>
        <w:t>לקיים</w:t>
      </w:r>
      <w:r w:rsidR="00A01E7C" w:rsidRPr="00CC1941">
        <w:rPr>
          <w:rtl/>
        </w:rPr>
        <w:t xml:space="preserve"> </w:t>
      </w:r>
      <w:r w:rsidR="00A01E7C" w:rsidRPr="00CC1941">
        <w:rPr>
          <w:rFonts w:hint="eastAsia"/>
          <w:rtl/>
        </w:rPr>
        <w:t>את</w:t>
      </w:r>
      <w:r w:rsidR="00A01E7C" w:rsidRPr="00CC1941">
        <w:rPr>
          <w:rtl/>
        </w:rPr>
        <w:t xml:space="preserve"> </w:t>
      </w:r>
      <w:r w:rsidR="00A01E7C" w:rsidRPr="00CC1941">
        <w:rPr>
          <w:rFonts w:hint="eastAsia"/>
          <w:rtl/>
        </w:rPr>
        <w:t>עקרון</w:t>
      </w:r>
      <w:r w:rsidR="00A01E7C" w:rsidRPr="00CC1941">
        <w:rPr>
          <w:rtl/>
        </w:rPr>
        <w:t xml:space="preserve"> </w:t>
      </w:r>
      <w:r w:rsidR="00A01E7C" w:rsidRPr="00CC1941">
        <w:rPr>
          <w:rFonts w:hint="eastAsia"/>
          <w:rtl/>
        </w:rPr>
        <w:t>הפרדת</w:t>
      </w:r>
      <w:r w:rsidR="00A01E7C" w:rsidRPr="00CC1941">
        <w:rPr>
          <w:rtl/>
        </w:rPr>
        <w:t xml:space="preserve"> </w:t>
      </w:r>
      <w:r w:rsidR="00A01E7C" w:rsidRPr="00CC1941">
        <w:rPr>
          <w:rFonts w:hint="eastAsia"/>
          <w:rtl/>
        </w:rPr>
        <w:t>הרשויות</w:t>
      </w:r>
      <w:r w:rsidR="00A01E7C" w:rsidRPr="00CC1941">
        <w:rPr>
          <w:rtl/>
        </w:rPr>
        <w:t xml:space="preserve">, </w:t>
      </w:r>
      <w:r w:rsidR="00A01E7C" w:rsidRPr="00CC1941">
        <w:rPr>
          <w:rFonts w:hint="eastAsia"/>
          <w:rtl/>
        </w:rPr>
        <w:t>ראוי</w:t>
      </w:r>
      <w:r w:rsidR="00A01E7C" w:rsidRPr="00CC1941">
        <w:rPr>
          <w:rtl/>
        </w:rPr>
        <w:t xml:space="preserve"> </w:t>
      </w:r>
      <w:r w:rsidR="00A01E7C" w:rsidRPr="00CC1941">
        <w:rPr>
          <w:rFonts w:hint="eastAsia"/>
          <w:rtl/>
        </w:rPr>
        <w:t>היה</w:t>
      </w:r>
      <w:r w:rsidR="00A01E7C" w:rsidRPr="00CC1941">
        <w:rPr>
          <w:rtl/>
        </w:rPr>
        <w:t xml:space="preserve"> </w:t>
      </w:r>
      <w:r w:rsidR="00A01E7C" w:rsidRPr="00CC1941">
        <w:rPr>
          <w:rFonts w:hint="eastAsia"/>
          <w:rtl/>
        </w:rPr>
        <w:t>כי</w:t>
      </w:r>
      <w:r w:rsidR="00A01E7C" w:rsidRPr="00CC1941">
        <w:rPr>
          <w:rtl/>
        </w:rPr>
        <w:t xml:space="preserve"> </w:t>
      </w:r>
      <w:r w:rsidR="00A01E7C" w:rsidRPr="00CC1941">
        <w:rPr>
          <w:rFonts w:hint="eastAsia"/>
          <w:rtl/>
        </w:rPr>
        <w:t>בהליך</w:t>
      </w:r>
      <w:r w:rsidR="00A01E7C" w:rsidRPr="00CC1941">
        <w:rPr>
          <w:rtl/>
        </w:rPr>
        <w:t xml:space="preserve"> </w:t>
      </w:r>
      <w:r w:rsidR="00A01E7C" w:rsidRPr="00CC1941">
        <w:rPr>
          <w:rFonts w:hint="eastAsia"/>
          <w:rtl/>
        </w:rPr>
        <w:t>בו</w:t>
      </w:r>
      <w:r w:rsidR="00A01E7C" w:rsidRPr="00CC1941">
        <w:rPr>
          <w:rtl/>
        </w:rPr>
        <w:t xml:space="preserve"> </w:t>
      </w:r>
      <w:r w:rsidR="00A01E7C" w:rsidRPr="00CC1941">
        <w:rPr>
          <w:rFonts w:hint="eastAsia"/>
          <w:rtl/>
        </w:rPr>
        <w:t>מעוצבת</w:t>
      </w:r>
      <w:r w:rsidR="00A01E7C" w:rsidRPr="00CC1941">
        <w:rPr>
          <w:rtl/>
        </w:rPr>
        <w:t xml:space="preserve"> </w:t>
      </w:r>
      <w:r w:rsidR="00A01E7C" w:rsidRPr="00CC1941">
        <w:rPr>
          <w:rFonts w:hint="eastAsia"/>
          <w:rtl/>
        </w:rPr>
        <w:t>מערכת</w:t>
      </w:r>
      <w:r w:rsidR="00A01E7C" w:rsidRPr="00CC1941">
        <w:rPr>
          <w:rtl/>
        </w:rPr>
        <w:t xml:space="preserve"> </w:t>
      </w:r>
      <w:r w:rsidR="00A01E7C" w:rsidRPr="00CC1941">
        <w:rPr>
          <w:rFonts w:hint="eastAsia"/>
          <w:rtl/>
        </w:rPr>
        <w:t>היחסים</w:t>
      </w:r>
      <w:r w:rsidR="00A01E7C" w:rsidRPr="00CC1941">
        <w:rPr>
          <w:rtl/>
        </w:rPr>
        <w:t xml:space="preserve"> </w:t>
      </w:r>
      <w:r w:rsidR="00A01E7C" w:rsidRPr="00CC1941">
        <w:rPr>
          <w:rFonts w:hint="eastAsia"/>
          <w:rtl/>
        </w:rPr>
        <w:t>בין</w:t>
      </w:r>
      <w:r w:rsidR="00A01E7C" w:rsidRPr="00CC1941">
        <w:rPr>
          <w:rtl/>
        </w:rPr>
        <w:t xml:space="preserve"> </w:t>
      </w:r>
      <w:r w:rsidR="00A01E7C" w:rsidRPr="00CC1941">
        <w:rPr>
          <w:rFonts w:hint="eastAsia"/>
          <w:rtl/>
        </w:rPr>
        <w:t>שתיים</w:t>
      </w:r>
      <w:r w:rsidR="00A01E7C" w:rsidRPr="00CC1941">
        <w:rPr>
          <w:rtl/>
        </w:rPr>
        <w:t xml:space="preserve"> </w:t>
      </w:r>
      <w:r w:rsidR="00A01E7C" w:rsidRPr="00CC1941">
        <w:rPr>
          <w:rFonts w:hint="eastAsia"/>
          <w:rtl/>
        </w:rPr>
        <w:t>מהרשויות</w:t>
      </w:r>
      <w:r w:rsidR="00A01E7C" w:rsidRPr="00CC1941">
        <w:rPr>
          <w:rtl/>
        </w:rPr>
        <w:t xml:space="preserve"> (</w:t>
      </w:r>
      <w:r w:rsidR="00A01E7C" w:rsidRPr="00CC1941">
        <w:rPr>
          <w:rFonts w:hint="eastAsia"/>
          <w:rtl/>
        </w:rPr>
        <w:t>במקרה</w:t>
      </w:r>
      <w:r w:rsidR="00A01E7C" w:rsidRPr="00CC1941">
        <w:rPr>
          <w:rtl/>
        </w:rPr>
        <w:t xml:space="preserve"> </w:t>
      </w:r>
      <w:r w:rsidR="00A01E7C" w:rsidRPr="00CC1941">
        <w:rPr>
          <w:rFonts w:hint="eastAsia"/>
          <w:rtl/>
        </w:rPr>
        <w:t>הנדון</w:t>
      </w:r>
      <w:r w:rsidR="00A01E7C" w:rsidRPr="00CC1941">
        <w:rPr>
          <w:rtl/>
        </w:rPr>
        <w:t xml:space="preserve"> – </w:t>
      </w:r>
      <w:r w:rsidR="00A01E7C" w:rsidRPr="00CC1941">
        <w:rPr>
          <w:rFonts w:hint="eastAsia"/>
          <w:rtl/>
        </w:rPr>
        <w:t>הרשות</w:t>
      </w:r>
      <w:r w:rsidR="00A01E7C" w:rsidRPr="00CC1941">
        <w:rPr>
          <w:rtl/>
        </w:rPr>
        <w:t xml:space="preserve"> </w:t>
      </w:r>
      <w:r w:rsidR="00A01E7C" w:rsidRPr="00CC1941">
        <w:rPr>
          <w:rFonts w:hint="eastAsia"/>
          <w:rtl/>
        </w:rPr>
        <w:t>המבצעת</w:t>
      </w:r>
      <w:r w:rsidR="00A01E7C" w:rsidRPr="00CC1941">
        <w:rPr>
          <w:rtl/>
        </w:rPr>
        <w:t xml:space="preserve"> </w:t>
      </w:r>
      <w:r w:rsidR="00A01E7C" w:rsidRPr="00CC1941">
        <w:rPr>
          <w:rFonts w:hint="eastAsia"/>
          <w:rtl/>
        </w:rPr>
        <w:t>והרשות</w:t>
      </w:r>
      <w:r w:rsidR="00A01E7C" w:rsidRPr="00CC1941">
        <w:rPr>
          <w:rtl/>
        </w:rPr>
        <w:t xml:space="preserve"> </w:t>
      </w:r>
      <w:r w:rsidR="00A01E7C" w:rsidRPr="00CC1941">
        <w:rPr>
          <w:rFonts w:hint="eastAsia"/>
          <w:rtl/>
        </w:rPr>
        <w:t>השופטת</w:t>
      </w:r>
      <w:r w:rsidR="00A01E7C" w:rsidRPr="00CC1941">
        <w:rPr>
          <w:rtl/>
        </w:rPr>
        <w:t xml:space="preserve">) </w:t>
      </w:r>
      <w:r w:rsidR="00A01E7C" w:rsidRPr="00CC1941">
        <w:rPr>
          <w:rFonts w:hint="eastAsia"/>
          <w:rtl/>
        </w:rPr>
        <w:t>י</w:t>
      </w:r>
      <w:r w:rsidR="00A01E7C">
        <w:rPr>
          <w:rFonts w:hint="cs"/>
          <w:rtl/>
        </w:rPr>
        <w:t>י</w:t>
      </w:r>
      <w:r w:rsidR="00A01E7C" w:rsidRPr="00CC1941">
        <w:rPr>
          <w:rFonts w:hint="eastAsia"/>
          <w:rtl/>
        </w:rPr>
        <w:t>נתן</w:t>
      </w:r>
      <w:r w:rsidR="00A01E7C" w:rsidRPr="00CC1941">
        <w:rPr>
          <w:rtl/>
        </w:rPr>
        <w:t xml:space="preserve"> </w:t>
      </w:r>
      <w:r w:rsidR="00A01E7C" w:rsidRPr="00CC1941">
        <w:rPr>
          <w:rFonts w:hint="eastAsia"/>
          <w:rtl/>
        </w:rPr>
        <w:t>מעמד</w:t>
      </w:r>
      <w:r w:rsidR="00A01E7C" w:rsidRPr="00CC1941">
        <w:rPr>
          <w:rtl/>
        </w:rPr>
        <w:t xml:space="preserve"> </w:t>
      </w:r>
      <w:r w:rsidR="00A01E7C" w:rsidRPr="00CC1941">
        <w:rPr>
          <w:rFonts w:hint="eastAsia"/>
          <w:rtl/>
        </w:rPr>
        <w:t>נכבד</w:t>
      </w:r>
      <w:r w:rsidR="00A01E7C" w:rsidRPr="00CC1941">
        <w:rPr>
          <w:rtl/>
        </w:rPr>
        <w:t xml:space="preserve"> </w:t>
      </w:r>
      <w:r w:rsidR="00A01E7C" w:rsidRPr="00CC1941">
        <w:rPr>
          <w:rFonts w:hint="eastAsia"/>
          <w:rtl/>
        </w:rPr>
        <w:t>לרשות</w:t>
      </w:r>
      <w:r w:rsidR="00A01E7C" w:rsidRPr="00CC1941">
        <w:rPr>
          <w:rtl/>
        </w:rPr>
        <w:t xml:space="preserve"> </w:t>
      </w:r>
      <w:r w:rsidR="00A01E7C" w:rsidRPr="00CC1941">
        <w:rPr>
          <w:rFonts w:hint="eastAsia"/>
          <w:rtl/>
        </w:rPr>
        <w:t>השלישית</w:t>
      </w:r>
      <w:r w:rsidR="00A01E7C" w:rsidRPr="00CC1941">
        <w:rPr>
          <w:rtl/>
        </w:rPr>
        <w:t xml:space="preserve"> (</w:t>
      </w:r>
      <w:r w:rsidR="00A01E7C" w:rsidRPr="00CC1941">
        <w:rPr>
          <w:rFonts w:hint="eastAsia"/>
          <w:rtl/>
        </w:rPr>
        <w:t>היינו</w:t>
      </w:r>
      <w:r w:rsidR="00A01E7C">
        <w:rPr>
          <w:rFonts w:hint="cs"/>
          <w:rtl/>
        </w:rPr>
        <w:t>,</w:t>
      </w:r>
      <w:r w:rsidR="00A01E7C" w:rsidRPr="00CC1941">
        <w:rPr>
          <w:rtl/>
        </w:rPr>
        <w:t xml:space="preserve"> </w:t>
      </w:r>
      <w:r w:rsidR="00A01E7C">
        <w:rPr>
          <w:rFonts w:hint="cs"/>
          <w:rtl/>
        </w:rPr>
        <w:t>הרשות המחוקקת ו</w:t>
      </w:r>
      <w:r w:rsidR="00A01E7C" w:rsidRPr="00CC1941">
        <w:rPr>
          <w:rFonts w:hint="eastAsia"/>
          <w:rtl/>
        </w:rPr>
        <w:t>המכוננת</w:t>
      </w:r>
      <w:r w:rsidR="00A01E7C" w:rsidRPr="00CC1941">
        <w:rPr>
          <w:rtl/>
        </w:rPr>
        <w:t>)</w:t>
      </w:r>
      <w:r w:rsidR="00A01E7C">
        <w:rPr>
          <w:rFonts w:hint="cs"/>
          <w:rtl/>
        </w:rPr>
        <w:t xml:space="preserve"> (ראו: </w:t>
      </w:r>
      <w:r w:rsidR="00A01E7C" w:rsidRPr="00D170F5">
        <w:rPr>
          <w:rFonts w:ascii="Century" w:hAnsi="Century" w:cs="Miriam" w:hint="eastAsia"/>
          <w:b/>
          <w:spacing w:val="0"/>
          <w:sz w:val="22"/>
          <w:szCs w:val="24"/>
          <w:rtl/>
        </w:rPr>
        <w:t>דותן</w:t>
      </w:r>
      <w:r w:rsidR="00A01E7C" w:rsidRPr="00D170F5">
        <w:rPr>
          <w:rFonts w:ascii="Century" w:hAnsi="Century" w:cs="Miriam"/>
          <w:b/>
          <w:spacing w:val="0"/>
          <w:sz w:val="22"/>
          <w:szCs w:val="24"/>
          <w:rtl/>
        </w:rPr>
        <w:t xml:space="preserve">, </w:t>
      </w:r>
      <w:r w:rsidR="00A01E7C" w:rsidRPr="00D170F5">
        <w:rPr>
          <w:rFonts w:ascii="Century" w:hAnsi="Century" w:cs="Miriam" w:hint="eastAsia"/>
          <w:b/>
          <w:spacing w:val="0"/>
          <w:sz w:val="22"/>
          <w:szCs w:val="24"/>
          <w:rtl/>
        </w:rPr>
        <w:t>ביקורת</w:t>
      </w:r>
      <w:r w:rsidR="00A01E7C" w:rsidRPr="00D170F5">
        <w:rPr>
          <w:rFonts w:ascii="Century" w:hAnsi="Century" w:cs="Miriam"/>
          <w:b/>
          <w:spacing w:val="0"/>
          <w:sz w:val="22"/>
          <w:szCs w:val="24"/>
          <w:rtl/>
        </w:rPr>
        <w:t xml:space="preserve"> </w:t>
      </w:r>
      <w:r w:rsidR="00A01E7C" w:rsidRPr="00D170F5">
        <w:rPr>
          <w:rFonts w:ascii="Century" w:hAnsi="Century" w:cs="Miriam" w:hint="eastAsia"/>
          <w:b/>
          <w:spacing w:val="0"/>
          <w:sz w:val="22"/>
          <w:szCs w:val="24"/>
          <w:rtl/>
        </w:rPr>
        <w:t>שיפוטית</w:t>
      </w:r>
      <w:r w:rsidR="00A01E7C">
        <w:rPr>
          <w:rFonts w:hint="cs"/>
          <w:rtl/>
        </w:rPr>
        <w:t>, בעמוד 238)</w:t>
      </w:r>
      <w:r w:rsidR="00A01E7C" w:rsidRPr="00CC1941">
        <w:rPr>
          <w:rtl/>
        </w:rPr>
        <w:t xml:space="preserve">. </w:t>
      </w:r>
      <w:r w:rsidR="00A01E7C">
        <w:rPr>
          <w:rFonts w:hint="cs"/>
          <w:rtl/>
        </w:rPr>
        <w:t xml:space="preserve">עם זאת, </w:t>
      </w:r>
      <w:r w:rsidR="00A01E7C" w:rsidRPr="00CC1941">
        <w:rPr>
          <w:rFonts w:hint="eastAsia"/>
          <w:rtl/>
        </w:rPr>
        <w:t>לנוכח</w:t>
      </w:r>
      <w:r w:rsidR="00A01E7C" w:rsidRPr="00CC1941">
        <w:rPr>
          <w:rtl/>
        </w:rPr>
        <w:t xml:space="preserve"> </w:t>
      </w:r>
      <w:r w:rsidR="00A01E7C" w:rsidRPr="00CC1941">
        <w:rPr>
          <w:rFonts w:hint="eastAsia"/>
          <w:rtl/>
        </w:rPr>
        <w:t>המציאות</w:t>
      </w:r>
      <w:r w:rsidR="00A01E7C" w:rsidRPr="00CC1941">
        <w:rPr>
          <w:rtl/>
        </w:rPr>
        <w:t xml:space="preserve"> </w:t>
      </w:r>
      <w:r w:rsidR="00A01E7C" w:rsidRPr="00CC1941">
        <w:rPr>
          <w:rFonts w:hint="eastAsia"/>
          <w:rtl/>
        </w:rPr>
        <w:t>המשטרית</w:t>
      </w:r>
      <w:r w:rsidR="00A01E7C" w:rsidRPr="00CC1941">
        <w:rPr>
          <w:rtl/>
        </w:rPr>
        <w:t xml:space="preserve"> </w:t>
      </w:r>
      <w:r w:rsidR="00A01E7C" w:rsidRPr="00CC1941">
        <w:rPr>
          <w:rFonts w:hint="eastAsia"/>
          <w:rtl/>
        </w:rPr>
        <w:t>והפוליטית</w:t>
      </w:r>
      <w:r w:rsidR="00A01E7C" w:rsidRPr="00CC1941">
        <w:rPr>
          <w:rtl/>
        </w:rPr>
        <w:t xml:space="preserve"> </w:t>
      </w:r>
      <w:r w:rsidR="00A01E7C" w:rsidRPr="00CC1941">
        <w:rPr>
          <w:rFonts w:hint="eastAsia"/>
          <w:rtl/>
        </w:rPr>
        <w:t>בישראל</w:t>
      </w:r>
      <w:r w:rsidR="00A01E7C">
        <w:rPr>
          <w:rFonts w:hint="cs"/>
          <w:rtl/>
        </w:rPr>
        <w:t xml:space="preserve">, בה קיים קשר הדוק ואף כפיפות מסוימת בין הרשות המבצעת לרשות המחוקקת והמכוננת, היכולת לעשות זאת היא מוגבלת. לטעמי, וכפי שמציין גם </w:t>
      </w:r>
      <w:r w:rsidR="00A01E7C" w:rsidRPr="00CC1941">
        <w:rPr>
          <w:rFonts w:ascii="Century" w:hAnsi="Century" w:cs="Miriam" w:hint="eastAsia"/>
          <w:b/>
          <w:spacing w:val="0"/>
          <w:sz w:val="22"/>
          <w:szCs w:val="24"/>
          <w:rtl/>
        </w:rPr>
        <w:t>דותן</w:t>
      </w:r>
      <w:r w:rsidR="00A01E7C">
        <w:rPr>
          <w:rFonts w:hint="cs"/>
          <w:rtl/>
        </w:rPr>
        <w:t xml:space="preserve">, אין מקום להשאיר לרשות אחת את מלוא הכוח לעצב הסדרים מסוג זה הנוגעים להפרדת הרשויות (שם). מדובר באיזון עדין שלאף רשות אין "מונופול" להסדיר לבדה. בפרט אין מונופול </w:t>
      </w:r>
      <w:r w:rsidR="00A01E7C">
        <w:rPr>
          <w:rFonts w:hint="cs"/>
          <w:rtl/>
        </w:rPr>
        <w:lastRenderedPageBreak/>
        <w:t xml:space="preserve">כזה גם לכנסת חרף סמכותה המכוננת. שלוש הרשויות צריכות ויכולות לקחת חלק בעיצוב היחסים ביניהן. מכאן לטעמי נובע תפקידו של בית המשפט בשלב זה </w:t>
      </w:r>
      <w:r w:rsidR="00A01E7C">
        <w:rPr>
          <w:rtl/>
        </w:rPr>
        <w:t>–</w:t>
      </w:r>
      <w:r w:rsidR="00A01E7C">
        <w:rPr>
          <w:rFonts w:hint="cs"/>
          <w:rtl/>
        </w:rPr>
        <w:t xml:space="preserve"> לבחון בזהירות ובחשדנות את התיקון הנוגע לגבולות הסמכויות של הרשויות ולאיזון ביניהן.  </w:t>
      </w:r>
    </w:p>
    <w:p w:rsidR="00A01E7C" w:rsidRDefault="00A01E7C" w:rsidP="00A01E7C">
      <w:pPr>
        <w:spacing w:line="360" w:lineRule="auto"/>
        <w:rPr>
          <w:rFonts w:ascii="Garamond" w:hAnsi="Garamond" w:cs="FrankRuehl"/>
          <w:spacing w:val="10"/>
          <w:sz w:val="24"/>
          <w:szCs w:val="28"/>
          <w:rtl/>
        </w:rPr>
      </w:pPr>
    </w:p>
    <w:p w:rsidR="00A01E7C" w:rsidRDefault="00A01E7C" w:rsidP="00A01E7C">
      <w:pPr>
        <w:spacing w:line="360" w:lineRule="auto"/>
        <w:rPr>
          <w:rFonts w:ascii="Century" w:hAnsi="Century" w:cs="Miriam"/>
          <w:b/>
          <w:rtl/>
        </w:rPr>
      </w:pPr>
      <w:r>
        <w:rPr>
          <w:rFonts w:ascii="Century" w:hAnsi="Century" w:cs="Miriam" w:hint="cs"/>
          <w:b/>
          <w:rtl/>
        </w:rPr>
        <w:t>(ב)</w:t>
      </w:r>
      <w:r>
        <w:rPr>
          <w:rFonts w:ascii="Century" w:hAnsi="Century" w:cs="Miriam"/>
          <w:b/>
          <w:rtl/>
        </w:rPr>
        <w:tab/>
      </w:r>
      <w:r>
        <w:rPr>
          <w:rFonts w:ascii="Century" w:hAnsi="Century" w:cs="Miriam" w:hint="cs"/>
          <w:b/>
          <w:rtl/>
        </w:rPr>
        <w:t>היעדר</w:t>
      </w:r>
      <w:r w:rsidRPr="00AB2A92">
        <w:rPr>
          <w:rFonts w:ascii="Century" w:hAnsi="Century" w:cs="Miriam" w:hint="cs"/>
          <w:b/>
          <w:rtl/>
        </w:rPr>
        <w:t xml:space="preserve"> הסכמה של מי מחברי הכנסת מהאופוזיציה</w:t>
      </w:r>
    </w:p>
    <w:p w:rsidR="00A01E7C" w:rsidRPr="00C64AE8" w:rsidRDefault="00A01E7C" w:rsidP="00A01E7C">
      <w:pPr>
        <w:spacing w:line="360" w:lineRule="auto"/>
        <w:rPr>
          <w:rFonts w:ascii="Century" w:hAnsi="Century" w:cs="Miriam"/>
          <w:b/>
          <w:sz w:val="22"/>
          <w:szCs w:val="28"/>
          <w:rtl/>
        </w:rPr>
      </w:pPr>
    </w:p>
    <w:p w:rsidR="00A36B0E" w:rsidRDefault="00A01E7C" w:rsidP="00A36B0E">
      <w:pPr>
        <w:pStyle w:val="Ruller4"/>
        <w:rPr>
          <w:rtl/>
        </w:rPr>
      </w:pPr>
      <w:r>
        <w:rPr>
          <w:rFonts w:hint="cs"/>
          <w:rtl/>
        </w:rPr>
        <w:t xml:space="preserve">זאת ועוד, החשש אליו התייחסתי לעיל ביחס לקיומו של ניגוד עניינים מוסדי הופך משמעותי הרבה יותר כאשר מדובר בתיקון שהתקבל רק על ידי חברי הכנסת מטעם הקואליציה </w:t>
      </w:r>
      <w:r>
        <w:rPr>
          <w:rtl/>
        </w:rPr>
        <w:t>–</w:t>
      </w:r>
      <w:r>
        <w:rPr>
          <w:rFonts w:hint="cs"/>
          <w:rtl/>
        </w:rPr>
        <w:t xml:space="preserve"> שהיא השולטת בכנסת, והיא זו שמקימה את הממשלה. כאמור, כאשר מדובר בתיקון כזה, גובר החשש כי הרשות המבצעת (באמצעות הכנסת) ביקשה להרחיב את כוחה באופן המפר את האיזון הראוי בין הרשויות; וזאת על ידי צמצום היקף הביקורת על פעולותיה שלה על ידי הרשות השופטת שזהו תפקידה.</w:t>
      </w:r>
    </w:p>
    <w:p w:rsidR="00A36B0E" w:rsidRPr="00A36B0E" w:rsidRDefault="00A36B0E" w:rsidP="00A36B0E">
      <w:pPr>
        <w:pStyle w:val="Ruller41"/>
      </w:pPr>
    </w:p>
    <w:p w:rsidR="00A36B0E" w:rsidRDefault="00A01E7C" w:rsidP="00A36B0E">
      <w:pPr>
        <w:pStyle w:val="Ruller4"/>
      </w:pPr>
      <w:r>
        <w:rPr>
          <w:rFonts w:hint="cs"/>
          <w:rtl/>
        </w:rPr>
        <w:t>תחום משפטי אחר ש</w:t>
      </w:r>
      <w:r w:rsidRPr="00273396">
        <w:rPr>
          <w:rFonts w:hint="eastAsia"/>
          <w:rtl/>
        </w:rPr>
        <w:t>ניתן</w:t>
      </w:r>
      <w:r w:rsidRPr="00273396">
        <w:rPr>
          <w:rtl/>
        </w:rPr>
        <w:t xml:space="preserve"> </w:t>
      </w:r>
      <w:r w:rsidRPr="00273396">
        <w:rPr>
          <w:rFonts w:hint="eastAsia"/>
          <w:rtl/>
        </w:rPr>
        <w:t>ל</w:t>
      </w:r>
      <w:r>
        <w:rPr>
          <w:rFonts w:hint="cs"/>
          <w:rtl/>
        </w:rPr>
        <w:t>שאוב</w:t>
      </w:r>
      <w:r w:rsidRPr="00273396">
        <w:rPr>
          <w:rtl/>
        </w:rPr>
        <w:t xml:space="preserve"> </w:t>
      </w:r>
      <w:r>
        <w:rPr>
          <w:rFonts w:hint="cs"/>
          <w:rtl/>
        </w:rPr>
        <w:t xml:space="preserve">ממנו </w:t>
      </w:r>
      <w:r w:rsidRPr="00273396">
        <w:rPr>
          <w:rFonts w:hint="eastAsia"/>
          <w:rtl/>
        </w:rPr>
        <w:t>השראה</w:t>
      </w:r>
      <w:r w:rsidRPr="00273396">
        <w:rPr>
          <w:rtl/>
        </w:rPr>
        <w:t xml:space="preserve"> </w:t>
      </w:r>
      <w:r w:rsidRPr="00273396">
        <w:rPr>
          <w:rFonts w:hint="eastAsia"/>
          <w:rtl/>
        </w:rPr>
        <w:t>בהקשר</w:t>
      </w:r>
      <w:r w:rsidRPr="00273396">
        <w:rPr>
          <w:rtl/>
        </w:rPr>
        <w:t xml:space="preserve"> </w:t>
      </w:r>
      <w:r w:rsidRPr="00273396">
        <w:rPr>
          <w:rFonts w:hint="eastAsia"/>
          <w:rtl/>
        </w:rPr>
        <w:t>זה</w:t>
      </w:r>
      <w:r w:rsidRPr="00273396">
        <w:rPr>
          <w:rtl/>
        </w:rPr>
        <w:t xml:space="preserve"> </w:t>
      </w:r>
      <w:r>
        <w:rPr>
          <w:rFonts w:hint="cs"/>
          <w:rtl/>
        </w:rPr>
        <w:t xml:space="preserve">הוא התחום של </w:t>
      </w:r>
      <w:r w:rsidRPr="00273396">
        <w:rPr>
          <w:rFonts w:hint="eastAsia"/>
          <w:rtl/>
        </w:rPr>
        <w:t>דיני</w:t>
      </w:r>
      <w:r w:rsidRPr="00273396">
        <w:rPr>
          <w:rtl/>
        </w:rPr>
        <w:t xml:space="preserve"> </w:t>
      </w:r>
      <w:r w:rsidRPr="00273396">
        <w:rPr>
          <w:rFonts w:hint="eastAsia"/>
          <w:rtl/>
        </w:rPr>
        <w:t>החברות</w:t>
      </w:r>
      <w:r>
        <w:rPr>
          <w:rFonts w:hint="cs"/>
          <w:rtl/>
        </w:rPr>
        <w:t>. גם דינים אלה עוסקים בשאלות הנוגעות ל</w:t>
      </w:r>
      <w:r w:rsidRPr="00273396">
        <w:rPr>
          <w:rtl/>
        </w:rPr>
        <w:t>דמוקרטיה תאגידית, ב</w:t>
      </w:r>
      <w:r>
        <w:rPr>
          <w:rFonts w:hint="cs"/>
          <w:rtl/>
        </w:rPr>
        <w:t xml:space="preserve">חברות בהן </w:t>
      </w:r>
      <w:r w:rsidRPr="00273396">
        <w:rPr>
          <w:rtl/>
        </w:rPr>
        <w:t>לרוב בעלי המניות יש בדרך</w:t>
      </w:r>
      <w:r>
        <w:rPr>
          <w:rFonts w:hint="cs"/>
          <w:rtl/>
        </w:rPr>
        <w:t xml:space="preserve"> </w:t>
      </w:r>
      <w:r w:rsidRPr="00273396">
        <w:rPr>
          <w:rtl/>
        </w:rPr>
        <w:t>כלל כוח לקבוע את אופן ההתנהלות של החברה</w:t>
      </w:r>
      <w:r>
        <w:rPr>
          <w:rFonts w:hint="cs"/>
          <w:rtl/>
        </w:rPr>
        <w:t xml:space="preserve"> (בדומה לרוב הקואליציוני בדמוקרטיה הישראלית)</w:t>
      </w:r>
      <w:r w:rsidRPr="00273396">
        <w:rPr>
          <w:rtl/>
        </w:rPr>
        <w:t xml:space="preserve">. </w:t>
      </w:r>
      <w:r>
        <w:rPr>
          <w:rFonts w:hint="cs"/>
          <w:rtl/>
        </w:rPr>
        <w:t xml:space="preserve">הפסיקה העוסקת בדיני חברות נדרשה לא אחת לשאלה מה צריך להיות טיבה של הביקורת השיפוטית על החלטות המתקבלות על ידי האורגנים המוסמכים בחברה (הדירקטורים), המתמנים בדרך כלל על ידי בעלי השליטה בה, המחזיקים ברוב מניותיה (בדומה לממשלה המתמנה על ידי רוב חברי הכנסת). כלל היסוד שהתגבש בפסיקה הוא כי </w:t>
      </w:r>
      <w:r w:rsidRPr="00273396">
        <w:rPr>
          <w:rtl/>
        </w:rPr>
        <w:t xml:space="preserve">בתי המשפט אינם מתערבים </w:t>
      </w:r>
      <w:r>
        <w:rPr>
          <w:rFonts w:hint="cs"/>
          <w:rtl/>
        </w:rPr>
        <w:t xml:space="preserve">בדרך כלל </w:t>
      </w:r>
      <w:r w:rsidRPr="00273396">
        <w:rPr>
          <w:rtl/>
        </w:rPr>
        <w:t>בהחלטות הרוב, במדיניות שהוא מבקש להחיל בחברה, בעסקאות שהוא מבקש לקדם או באופן בו הוא מבקש לנהל את החברה</w:t>
      </w:r>
      <w:r>
        <w:rPr>
          <w:rFonts w:hint="cs"/>
          <w:rtl/>
        </w:rPr>
        <w:t xml:space="preserve"> (ראו: ע"א 7753/14 </w:t>
      </w:r>
      <w:r w:rsidRPr="00A36B0E">
        <w:rPr>
          <w:rFonts w:ascii="Century" w:hAnsi="Century" w:cs="Miriam" w:hint="eastAsia"/>
          <w:b/>
          <w:spacing w:val="0"/>
          <w:sz w:val="22"/>
          <w:szCs w:val="24"/>
          <w:rtl/>
        </w:rPr>
        <w:t>ורדניקוב</w:t>
      </w:r>
      <w:r w:rsidRPr="00A36B0E">
        <w:rPr>
          <w:rFonts w:ascii="Century" w:hAnsi="Century" w:cs="Miriam"/>
          <w:b/>
          <w:spacing w:val="0"/>
          <w:sz w:val="22"/>
          <w:szCs w:val="24"/>
          <w:rtl/>
        </w:rPr>
        <w:t xml:space="preserve"> </w:t>
      </w:r>
      <w:r w:rsidRPr="00A36B0E">
        <w:rPr>
          <w:rFonts w:ascii="Century" w:hAnsi="Century" w:cs="Miriam" w:hint="eastAsia"/>
          <w:b/>
          <w:spacing w:val="0"/>
          <w:sz w:val="22"/>
          <w:szCs w:val="24"/>
          <w:rtl/>
        </w:rPr>
        <w:t>נ</w:t>
      </w:r>
      <w:r w:rsidRPr="00A36B0E">
        <w:rPr>
          <w:rFonts w:ascii="Century" w:hAnsi="Century" w:cs="Miriam"/>
          <w:b/>
          <w:spacing w:val="0"/>
          <w:sz w:val="22"/>
          <w:szCs w:val="24"/>
          <w:rtl/>
        </w:rPr>
        <w:t xml:space="preserve">' </w:t>
      </w:r>
      <w:r w:rsidRPr="00A36B0E">
        <w:rPr>
          <w:rFonts w:ascii="Century" w:hAnsi="Century" w:cs="Miriam" w:hint="eastAsia"/>
          <w:b/>
          <w:spacing w:val="0"/>
          <w:sz w:val="22"/>
          <w:szCs w:val="24"/>
          <w:rtl/>
        </w:rPr>
        <w:t>אלוביץ</w:t>
      </w:r>
      <w:r>
        <w:rPr>
          <w:rFonts w:hint="cs"/>
          <w:rtl/>
        </w:rPr>
        <w:t>, פסקה 74 (28.12.2016))</w:t>
      </w:r>
      <w:r w:rsidRPr="00273396">
        <w:rPr>
          <w:rtl/>
        </w:rPr>
        <w:t xml:space="preserve">. </w:t>
      </w:r>
    </w:p>
    <w:p w:rsidR="00A36B0E" w:rsidRDefault="00A36B0E" w:rsidP="00A36B0E">
      <w:pPr>
        <w:pStyle w:val="Ruller4"/>
        <w:numPr>
          <w:ilvl w:val="0"/>
          <w:numId w:val="0"/>
        </w:numPr>
        <w:rPr>
          <w:rtl/>
        </w:rPr>
      </w:pPr>
    </w:p>
    <w:p w:rsidR="00A36B0E" w:rsidRDefault="00A36B0E" w:rsidP="00A36B0E">
      <w:pPr>
        <w:pStyle w:val="Ruller4"/>
        <w:numPr>
          <w:ilvl w:val="0"/>
          <w:numId w:val="0"/>
        </w:numPr>
        <w:rPr>
          <w:rtl/>
        </w:rPr>
      </w:pPr>
      <w:r>
        <w:rPr>
          <w:rtl/>
        </w:rPr>
        <w:tab/>
      </w:r>
      <w:r w:rsidR="00A01E7C" w:rsidRPr="00273396">
        <w:rPr>
          <w:rtl/>
        </w:rPr>
        <w:t>לכלל הזה יש סייג אחד משמעותי</w:t>
      </w:r>
      <w:r w:rsidR="00A01E7C">
        <w:rPr>
          <w:rFonts w:hint="cs"/>
          <w:rtl/>
        </w:rPr>
        <w:t>:</w:t>
      </w:r>
      <w:r w:rsidR="00A01E7C" w:rsidRPr="00273396">
        <w:rPr>
          <w:rtl/>
        </w:rPr>
        <w:t xml:space="preserve"> כאשר הרוב מבקש לקבל החלטה שלגביה הוא מצוי במצב של ניגוד עניינים, קרי החלטה </w:t>
      </w:r>
      <w:r w:rsidR="00A01E7C">
        <w:rPr>
          <w:rFonts w:hint="cs"/>
          <w:rtl/>
        </w:rPr>
        <w:t>שעשויה להיטיב</w:t>
      </w:r>
      <w:r w:rsidR="00A01E7C" w:rsidRPr="00273396">
        <w:rPr>
          <w:rtl/>
        </w:rPr>
        <w:t xml:space="preserve"> עם האינטרס של הרוב</w:t>
      </w:r>
      <w:r w:rsidR="00A01E7C">
        <w:rPr>
          <w:rFonts w:hint="cs"/>
          <w:rtl/>
        </w:rPr>
        <w:t>, ולא בהכרח עם זה של החברה</w:t>
      </w:r>
      <w:r w:rsidR="00A01E7C" w:rsidRPr="00273396">
        <w:rPr>
          <w:rtl/>
        </w:rPr>
        <w:t xml:space="preserve">. </w:t>
      </w:r>
      <w:r w:rsidR="00A01E7C">
        <w:rPr>
          <w:rFonts w:hint="cs"/>
          <w:rtl/>
        </w:rPr>
        <w:t xml:space="preserve">הדין לא אוסר על בעלי שליטה בחברה לקבל החלטות תוך ניגוד עניינים, קרי החלטות בעניינים הנוגעים לאינטרס האישי שלהם, ואף לא אוסר עליהם לבצע עסקאות עם החברה (ראו: זוהר גושן "הצבעה תוך ניגוד אינטרסים בדיני חברות" </w:t>
      </w:r>
      <w:r w:rsidR="00A01E7C" w:rsidRPr="00A36B0E">
        <w:rPr>
          <w:rFonts w:ascii="Century" w:hAnsi="Century" w:cs="Miriam" w:hint="eastAsia"/>
          <w:b/>
          <w:spacing w:val="0"/>
          <w:sz w:val="22"/>
          <w:szCs w:val="24"/>
          <w:rtl/>
        </w:rPr>
        <w:t>משפטים</w:t>
      </w:r>
      <w:r w:rsidR="00A01E7C">
        <w:rPr>
          <w:rFonts w:hint="cs"/>
          <w:rtl/>
        </w:rPr>
        <w:t xml:space="preserve"> כט 17, 29 (תשנ"ח-תשנ"ט). אולם בה בעת קיימים מנגנונים שונים שנועדו לצמצם את החשש מפני הנזק הפוטנציאלי הטמון בעסקאות מעין אלה, ובפרט </w:t>
      </w:r>
      <w:r w:rsidR="00A01E7C">
        <w:rPr>
          <w:rFonts w:hint="cs"/>
          <w:rtl/>
        </w:rPr>
        <w:lastRenderedPageBreak/>
        <w:t xml:space="preserve">קיים פיקוח שיפוטי הדוק יותר ורף ביקורת מחמיר יותר על עסקאות כאלה, והן אינן נהנות ככלל מחזקת התקינות. </w:t>
      </w:r>
    </w:p>
    <w:p w:rsidR="00A36B0E" w:rsidRDefault="00A36B0E" w:rsidP="00A36B0E">
      <w:pPr>
        <w:pStyle w:val="Ruller4"/>
        <w:numPr>
          <w:ilvl w:val="0"/>
          <w:numId w:val="0"/>
        </w:numPr>
        <w:rPr>
          <w:rtl/>
        </w:rPr>
      </w:pPr>
    </w:p>
    <w:p w:rsidR="00A36B0E" w:rsidRDefault="00A36B0E" w:rsidP="00A36B0E">
      <w:pPr>
        <w:pStyle w:val="Ruller4"/>
        <w:numPr>
          <w:ilvl w:val="0"/>
          <w:numId w:val="0"/>
        </w:numPr>
        <w:rPr>
          <w:rtl/>
        </w:rPr>
      </w:pPr>
      <w:r>
        <w:rPr>
          <w:rtl/>
        </w:rPr>
        <w:tab/>
      </w:r>
      <w:r w:rsidR="00A01E7C">
        <w:rPr>
          <w:rFonts w:hint="cs"/>
          <w:rtl/>
        </w:rPr>
        <w:t xml:space="preserve">חוק החברות כולל שורה של הוראות שנועדו להתמודד עם המקרים בהם בעל השליטה בחברה מצוי במצב של ניגוד עניינים, ובכלל זה כאשר הוא מבקש לבצע עסקאות הנגועות בניגוד עניינים. במישור הפרוצדוראלי, חוק החברות </w:t>
      </w:r>
      <w:r w:rsidR="00A01E7C" w:rsidRPr="00273396">
        <w:rPr>
          <w:rFonts w:hint="eastAsia"/>
          <w:rtl/>
        </w:rPr>
        <w:t>קובע</w:t>
      </w:r>
      <w:r w:rsidR="00A01E7C" w:rsidRPr="00273396">
        <w:rPr>
          <w:rtl/>
        </w:rPr>
        <w:t xml:space="preserve"> </w:t>
      </w:r>
      <w:r w:rsidR="00A01E7C">
        <w:rPr>
          <w:rFonts w:hint="cs"/>
          <w:rtl/>
        </w:rPr>
        <w:t>מנגנון מיוחד לקבלת החלטות כאלה</w:t>
      </w:r>
      <w:r w:rsidR="00A01E7C" w:rsidRPr="00273396">
        <w:rPr>
          <w:rtl/>
        </w:rPr>
        <w:t xml:space="preserve">. </w:t>
      </w:r>
      <w:r w:rsidR="00A01E7C">
        <w:rPr>
          <w:rFonts w:hint="cs"/>
          <w:rtl/>
        </w:rPr>
        <w:t xml:space="preserve">המנגנון הזה </w:t>
      </w:r>
      <w:r w:rsidR="00A01E7C" w:rsidRPr="00273396">
        <w:rPr>
          <w:rFonts w:hint="eastAsia"/>
          <w:rtl/>
        </w:rPr>
        <w:t>כולל</w:t>
      </w:r>
      <w:r w:rsidR="00A01E7C" w:rsidRPr="00273396">
        <w:rPr>
          <w:rtl/>
        </w:rPr>
        <w:t xml:space="preserve"> </w:t>
      </w:r>
      <w:r w:rsidR="00A01E7C">
        <w:rPr>
          <w:rFonts w:hint="cs"/>
          <w:rtl/>
        </w:rPr>
        <w:t>"</w:t>
      </w:r>
      <w:r w:rsidR="00A01E7C" w:rsidRPr="00273396">
        <w:rPr>
          <w:rFonts w:hint="eastAsia"/>
          <w:rtl/>
        </w:rPr>
        <w:t>אישור</w:t>
      </w:r>
      <w:r w:rsidR="00A01E7C" w:rsidRPr="00273396">
        <w:rPr>
          <w:rtl/>
        </w:rPr>
        <w:t xml:space="preserve"> </w:t>
      </w:r>
      <w:r w:rsidR="00A01E7C">
        <w:rPr>
          <w:rFonts w:hint="cs"/>
          <w:rtl/>
        </w:rPr>
        <w:t xml:space="preserve">משולש" של ההחלטה: על ידי ועדת הביקורת של החברה; על ידי הדירקטוריון שלה; ועל ידי </w:t>
      </w:r>
      <w:r w:rsidR="00A01E7C" w:rsidRPr="00273396">
        <w:rPr>
          <w:rFonts w:hint="eastAsia"/>
          <w:rtl/>
        </w:rPr>
        <w:t>רוב</w:t>
      </w:r>
      <w:r w:rsidR="00A01E7C" w:rsidRPr="00273396">
        <w:rPr>
          <w:rtl/>
        </w:rPr>
        <w:t xml:space="preserve"> </w:t>
      </w:r>
      <w:r w:rsidR="00A01E7C" w:rsidRPr="00273396">
        <w:rPr>
          <w:rFonts w:hint="eastAsia"/>
          <w:rtl/>
        </w:rPr>
        <w:t>מקרב</w:t>
      </w:r>
      <w:r w:rsidR="00A01E7C" w:rsidRPr="00273396">
        <w:rPr>
          <w:rtl/>
        </w:rPr>
        <w:t xml:space="preserve"> </w:t>
      </w:r>
      <w:r w:rsidR="00A01E7C" w:rsidRPr="00273396">
        <w:rPr>
          <w:rFonts w:hint="eastAsia"/>
          <w:rtl/>
        </w:rPr>
        <w:t>מיעוט</w:t>
      </w:r>
      <w:r w:rsidR="00A01E7C" w:rsidRPr="00273396">
        <w:rPr>
          <w:rtl/>
        </w:rPr>
        <w:t xml:space="preserve"> </w:t>
      </w:r>
      <w:r w:rsidR="00A01E7C">
        <w:rPr>
          <w:rFonts w:hint="cs"/>
          <w:rtl/>
        </w:rPr>
        <w:t xml:space="preserve">בעלי המניות </w:t>
      </w:r>
      <w:r w:rsidR="00A01E7C" w:rsidRPr="00273396">
        <w:rPr>
          <w:rtl/>
        </w:rPr>
        <w:t>(ראו סעיף</w:t>
      </w:r>
      <w:r w:rsidR="00A01E7C">
        <w:rPr>
          <w:rFonts w:hint="cs"/>
          <w:rtl/>
        </w:rPr>
        <w:t xml:space="preserve"> 275(א)</w:t>
      </w:r>
      <w:r w:rsidR="00A01E7C" w:rsidRPr="00273396">
        <w:rPr>
          <w:rtl/>
        </w:rPr>
        <w:t xml:space="preserve"> </w:t>
      </w:r>
      <w:r w:rsidR="00A01E7C">
        <w:rPr>
          <w:rFonts w:hint="cs"/>
          <w:rtl/>
        </w:rPr>
        <w:t>ל</w:t>
      </w:r>
      <w:r w:rsidR="00A01E7C" w:rsidRPr="00273396">
        <w:rPr>
          <w:rtl/>
        </w:rPr>
        <w:t>חוק החברות</w:t>
      </w:r>
      <w:r w:rsidR="00A01E7C">
        <w:rPr>
          <w:rFonts w:hint="cs"/>
          <w:rtl/>
        </w:rPr>
        <w:t>, התשנ"ט-1999</w:t>
      </w:r>
      <w:r w:rsidR="00A01E7C" w:rsidRPr="00273396">
        <w:rPr>
          <w:rtl/>
        </w:rPr>
        <w:t xml:space="preserve">). </w:t>
      </w:r>
      <w:r w:rsidR="00A01E7C" w:rsidRPr="00273396">
        <w:rPr>
          <w:rFonts w:hint="eastAsia"/>
          <w:rtl/>
        </w:rPr>
        <w:t>הרציונל</w:t>
      </w:r>
      <w:r w:rsidR="00A01E7C" w:rsidRPr="00273396">
        <w:rPr>
          <w:rtl/>
        </w:rPr>
        <w:t xml:space="preserve"> </w:t>
      </w:r>
      <w:r w:rsidR="00A01E7C" w:rsidRPr="00273396">
        <w:rPr>
          <w:rFonts w:hint="eastAsia"/>
          <w:rtl/>
        </w:rPr>
        <w:t>של</w:t>
      </w:r>
      <w:r w:rsidR="00A01E7C" w:rsidRPr="00273396">
        <w:rPr>
          <w:rtl/>
        </w:rPr>
        <w:t xml:space="preserve"> </w:t>
      </w:r>
      <w:r w:rsidR="00A01E7C" w:rsidRPr="00273396">
        <w:rPr>
          <w:rFonts w:hint="eastAsia"/>
          <w:rtl/>
        </w:rPr>
        <w:t>הדרישה</w:t>
      </w:r>
      <w:r w:rsidR="00A01E7C" w:rsidRPr="00273396">
        <w:rPr>
          <w:rtl/>
        </w:rPr>
        <w:t xml:space="preserve"> </w:t>
      </w:r>
      <w:r w:rsidR="00A01E7C" w:rsidRPr="00273396">
        <w:rPr>
          <w:rFonts w:hint="eastAsia"/>
          <w:rtl/>
        </w:rPr>
        <w:t>הזו</w:t>
      </w:r>
      <w:r w:rsidR="00A01E7C" w:rsidRPr="00273396">
        <w:rPr>
          <w:rtl/>
        </w:rPr>
        <w:t xml:space="preserve"> </w:t>
      </w:r>
      <w:r w:rsidR="00A01E7C">
        <w:rPr>
          <w:rFonts w:hint="cs"/>
          <w:rtl/>
        </w:rPr>
        <w:t xml:space="preserve">נובע מכך </w:t>
      </w:r>
      <w:r w:rsidR="00A01E7C" w:rsidRPr="00273396">
        <w:rPr>
          <w:rFonts w:hint="eastAsia"/>
          <w:rtl/>
        </w:rPr>
        <w:t>שהרוב</w:t>
      </w:r>
      <w:r w:rsidR="00A01E7C" w:rsidRPr="00273396">
        <w:rPr>
          <w:rtl/>
        </w:rPr>
        <w:t xml:space="preserve"> </w:t>
      </w:r>
      <w:r w:rsidR="00A01E7C">
        <w:rPr>
          <w:rFonts w:hint="cs"/>
          <w:rtl/>
        </w:rPr>
        <w:t xml:space="preserve">(והדירקטורים שמונו על ידיו) </w:t>
      </w:r>
      <w:r w:rsidR="00A01E7C" w:rsidRPr="00273396">
        <w:rPr>
          <w:rFonts w:hint="eastAsia"/>
          <w:rtl/>
        </w:rPr>
        <w:t>חשוד</w:t>
      </w:r>
      <w:r w:rsidR="00A01E7C" w:rsidRPr="00273396">
        <w:rPr>
          <w:rtl/>
        </w:rPr>
        <w:t xml:space="preserve"> </w:t>
      </w:r>
      <w:r w:rsidR="00A01E7C" w:rsidRPr="00273396">
        <w:rPr>
          <w:rFonts w:hint="eastAsia"/>
          <w:rtl/>
        </w:rPr>
        <w:t>ביחס</w:t>
      </w:r>
      <w:r w:rsidR="00A01E7C" w:rsidRPr="00273396">
        <w:rPr>
          <w:rtl/>
        </w:rPr>
        <w:t xml:space="preserve"> </w:t>
      </w:r>
      <w:r w:rsidR="00A01E7C" w:rsidRPr="00273396">
        <w:rPr>
          <w:rFonts w:hint="eastAsia"/>
          <w:rtl/>
        </w:rPr>
        <w:t>להחלטות</w:t>
      </w:r>
      <w:r w:rsidR="00A01E7C" w:rsidRPr="00273396">
        <w:rPr>
          <w:rtl/>
        </w:rPr>
        <w:t xml:space="preserve"> </w:t>
      </w:r>
      <w:r w:rsidR="00A01E7C" w:rsidRPr="00273396">
        <w:rPr>
          <w:rFonts w:hint="eastAsia"/>
          <w:rtl/>
        </w:rPr>
        <w:t>שהוא</w:t>
      </w:r>
      <w:r w:rsidR="00A01E7C" w:rsidRPr="00273396">
        <w:rPr>
          <w:rtl/>
        </w:rPr>
        <w:t xml:space="preserve"> </w:t>
      </w:r>
      <w:r w:rsidR="00A01E7C" w:rsidRPr="00273396">
        <w:rPr>
          <w:rFonts w:hint="eastAsia"/>
          <w:rtl/>
        </w:rPr>
        <w:t>מקבל</w:t>
      </w:r>
      <w:r w:rsidR="00A01E7C" w:rsidRPr="00273396">
        <w:rPr>
          <w:rtl/>
        </w:rPr>
        <w:t xml:space="preserve"> </w:t>
      </w:r>
      <w:r w:rsidR="00A01E7C" w:rsidRPr="00273396">
        <w:rPr>
          <w:rFonts w:hint="eastAsia"/>
          <w:rtl/>
        </w:rPr>
        <w:t>בניגוד</w:t>
      </w:r>
      <w:r w:rsidR="00A01E7C" w:rsidRPr="00273396">
        <w:rPr>
          <w:rtl/>
        </w:rPr>
        <w:t xml:space="preserve"> </w:t>
      </w:r>
      <w:r w:rsidR="00A01E7C" w:rsidRPr="00273396">
        <w:rPr>
          <w:rFonts w:hint="eastAsia"/>
          <w:rtl/>
        </w:rPr>
        <w:t>עניינים</w:t>
      </w:r>
      <w:r w:rsidR="00A01E7C" w:rsidRPr="00273396">
        <w:rPr>
          <w:rtl/>
        </w:rPr>
        <w:t xml:space="preserve">, </w:t>
      </w:r>
      <w:r w:rsidR="00A01E7C" w:rsidRPr="00273396">
        <w:rPr>
          <w:rFonts w:hint="eastAsia"/>
          <w:rtl/>
        </w:rPr>
        <w:t>החלטות</w:t>
      </w:r>
      <w:r w:rsidR="00A01E7C" w:rsidRPr="00273396">
        <w:rPr>
          <w:rtl/>
        </w:rPr>
        <w:t xml:space="preserve"> המיטיבות </w:t>
      </w:r>
      <w:r w:rsidR="00A01E7C" w:rsidRPr="00273396">
        <w:rPr>
          <w:rFonts w:hint="eastAsia"/>
          <w:rtl/>
        </w:rPr>
        <w:t>איתו</w:t>
      </w:r>
      <w:r w:rsidR="00A01E7C" w:rsidRPr="00273396">
        <w:rPr>
          <w:rtl/>
        </w:rPr>
        <w:t xml:space="preserve"> ומקדמות את האינטרסים שלו. החשש הוא כי החלטות </w:t>
      </w:r>
      <w:r w:rsidR="00A01E7C" w:rsidRPr="00273396">
        <w:rPr>
          <w:rFonts w:hint="eastAsia"/>
          <w:rtl/>
        </w:rPr>
        <w:t>כאלה</w:t>
      </w:r>
      <w:r w:rsidR="00A01E7C" w:rsidRPr="00273396">
        <w:rPr>
          <w:rtl/>
        </w:rPr>
        <w:t xml:space="preserve"> </w:t>
      </w:r>
      <w:r w:rsidR="00A01E7C" w:rsidRPr="00273396">
        <w:rPr>
          <w:rFonts w:hint="eastAsia"/>
          <w:rtl/>
        </w:rPr>
        <w:t>עלולות</w:t>
      </w:r>
      <w:r w:rsidR="00A01E7C" w:rsidRPr="00273396">
        <w:rPr>
          <w:rtl/>
        </w:rPr>
        <w:t xml:space="preserve"> להיטיב </w:t>
      </w:r>
      <w:r w:rsidR="00A01E7C" w:rsidRPr="00273396">
        <w:rPr>
          <w:rFonts w:hint="eastAsia"/>
          <w:rtl/>
        </w:rPr>
        <w:t>עם</w:t>
      </w:r>
      <w:r w:rsidR="00A01E7C" w:rsidRPr="00273396">
        <w:rPr>
          <w:rtl/>
        </w:rPr>
        <w:t xml:space="preserve"> הרוב על חשבון </w:t>
      </w:r>
      <w:r w:rsidR="00A01E7C" w:rsidRPr="00273396">
        <w:rPr>
          <w:rFonts w:hint="eastAsia"/>
          <w:rtl/>
        </w:rPr>
        <w:t>האי</w:t>
      </w:r>
      <w:r w:rsidR="00A01E7C">
        <w:rPr>
          <w:rFonts w:hint="cs"/>
          <w:rtl/>
        </w:rPr>
        <w:t>נ</w:t>
      </w:r>
      <w:r w:rsidR="00A01E7C" w:rsidRPr="00273396">
        <w:rPr>
          <w:rFonts w:hint="eastAsia"/>
          <w:rtl/>
        </w:rPr>
        <w:t>טרס</w:t>
      </w:r>
      <w:r w:rsidR="00A01E7C" w:rsidRPr="00273396">
        <w:rPr>
          <w:rtl/>
        </w:rPr>
        <w:t xml:space="preserve"> של </w:t>
      </w:r>
      <w:r w:rsidR="00A01E7C" w:rsidRPr="00273396">
        <w:rPr>
          <w:rFonts w:hint="eastAsia"/>
          <w:rtl/>
        </w:rPr>
        <w:t>החברה</w:t>
      </w:r>
      <w:r w:rsidR="00A01E7C" w:rsidRPr="00273396">
        <w:rPr>
          <w:rtl/>
        </w:rPr>
        <w:t xml:space="preserve">, </w:t>
      </w:r>
      <w:r w:rsidR="00A01E7C">
        <w:rPr>
          <w:rFonts w:hint="cs"/>
          <w:rtl/>
        </w:rPr>
        <w:t xml:space="preserve">וכפועל יוצא </w:t>
      </w:r>
      <w:r w:rsidR="00A01E7C" w:rsidRPr="00273396">
        <w:rPr>
          <w:rtl/>
        </w:rPr>
        <w:t>על חשבון האינטרס של המיעוט</w:t>
      </w:r>
      <w:r w:rsidR="00A01E7C">
        <w:rPr>
          <w:rFonts w:hint="cs"/>
          <w:rtl/>
        </w:rPr>
        <w:t xml:space="preserve">. </w:t>
      </w:r>
    </w:p>
    <w:p w:rsidR="00A36B0E" w:rsidRDefault="00A36B0E" w:rsidP="00A36B0E">
      <w:pPr>
        <w:pStyle w:val="Ruller4"/>
        <w:numPr>
          <w:ilvl w:val="0"/>
          <w:numId w:val="0"/>
        </w:numPr>
        <w:rPr>
          <w:rtl/>
        </w:rPr>
      </w:pPr>
    </w:p>
    <w:p w:rsidR="00A36B0E" w:rsidRDefault="00A36B0E" w:rsidP="00A36B0E">
      <w:pPr>
        <w:pStyle w:val="Ruller4"/>
        <w:numPr>
          <w:ilvl w:val="0"/>
          <w:numId w:val="0"/>
        </w:numPr>
        <w:rPr>
          <w:rtl/>
        </w:rPr>
      </w:pPr>
      <w:r>
        <w:rPr>
          <w:rtl/>
        </w:rPr>
        <w:tab/>
      </w:r>
      <w:r w:rsidR="00A01E7C" w:rsidRPr="00D12914">
        <w:rPr>
          <w:rFonts w:hint="cs"/>
          <w:rtl/>
        </w:rPr>
        <w:t xml:space="preserve">ודוקו </w:t>
      </w:r>
      <w:r w:rsidR="00A01E7C" w:rsidRPr="00D12914">
        <w:rPr>
          <w:rtl/>
        </w:rPr>
        <w:t>–</w:t>
      </w:r>
      <w:r w:rsidR="00A01E7C" w:rsidRPr="00D12914">
        <w:rPr>
          <w:rFonts w:hint="cs"/>
          <w:rtl/>
        </w:rPr>
        <w:t xml:space="preserve"> מאחר שהדירקטוריון נשלט על ידי בעל השליטה (שהוא הממנה את הדירקטורים מטעמו ויכול לפטרם), ולנוכח החשש כי הדירקטורים יקבלו החלטות התואמות את האינטרס של בעל השליטה ולא בהכרח את זה של החברה, לא הסתפק המחוקק באישור העסקה על ידי הדירקטוריון, אלא הוא דרש כי העסקה תאושר גם על ידי רוב מקרב בעלי מניות המיעוט. כאשר</w:t>
      </w:r>
      <w:r w:rsidR="00A01E7C">
        <w:rPr>
          <w:rFonts w:hint="cs"/>
          <w:rtl/>
        </w:rPr>
        <w:t xml:space="preserve"> קיים אישור כזה, יש בכך כדי לצמצם את החשש מפני ניצול לרעה של הרוב את כוחו (ראו: ע"א 7594/16 </w:t>
      </w:r>
      <w:r w:rsidR="00A01E7C" w:rsidRPr="00CC1941">
        <w:rPr>
          <w:rFonts w:ascii="Century" w:hAnsi="Century" w:cs="Miriam" w:hint="eastAsia"/>
          <w:b/>
          <w:spacing w:val="0"/>
          <w:sz w:val="22"/>
          <w:szCs w:val="24"/>
          <w:rtl/>
        </w:rPr>
        <w:t>עו</w:t>
      </w:r>
      <w:r w:rsidR="00A01E7C" w:rsidRPr="00CC1941">
        <w:rPr>
          <w:rFonts w:ascii="Century" w:hAnsi="Century" w:cs="Miriam"/>
          <w:b/>
          <w:spacing w:val="0"/>
          <w:sz w:val="22"/>
          <w:szCs w:val="24"/>
          <w:rtl/>
        </w:rPr>
        <w:t>"</w:t>
      </w:r>
      <w:r w:rsidR="00A01E7C" w:rsidRPr="00CC1941">
        <w:rPr>
          <w:rFonts w:ascii="Century" w:hAnsi="Century" w:cs="Miriam" w:hint="eastAsia"/>
          <w:b/>
          <w:spacing w:val="0"/>
          <w:sz w:val="22"/>
          <w:szCs w:val="24"/>
          <w:rtl/>
        </w:rPr>
        <w:t>ד</w:t>
      </w:r>
      <w:r w:rsidR="00A01E7C" w:rsidRPr="00CC1941">
        <w:rPr>
          <w:rFonts w:ascii="Century" w:hAnsi="Century" w:cs="Miriam"/>
          <w:b/>
          <w:spacing w:val="0"/>
          <w:sz w:val="22"/>
          <w:szCs w:val="24"/>
          <w:rtl/>
        </w:rPr>
        <w:t xml:space="preserve"> </w:t>
      </w:r>
      <w:r w:rsidR="00A01E7C" w:rsidRPr="00CC1941">
        <w:rPr>
          <w:rFonts w:ascii="Century" w:hAnsi="Century" w:cs="Miriam" w:hint="eastAsia"/>
          <w:b/>
          <w:spacing w:val="0"/>
          <w:sz w:val="22"/>
          <w:szCs w:val="24"/>
          <w:rtl/>
        </w:rPr>
        <w:t>יצחק</w:t>
      </w:r>
      <w:r w:rsidR="00A01E7C" w:rsidRPr="00CC1941">
        <w:rPr>
          <w:rFonts w:ascii="Century" w:hAnsi="Century" w:cs="Miriam"/>
          <w:b/>
          <w:spacing w:val="0"/>
          <w:sz w:val="22"/>
          <w:szCs w:val="24"/>
          <w:rtl/>
        </w:rPr>
        <w:t xml:space="preserve"> </w:t>
      </w:r>
      <w:r w:rsidR="00A01E7C" w:rsidRPr="00CC1941">
        <w:rPr>
          <w:rFonts w:ascii="Century" w:hAnsi="Century" w:cs="Miriam" w:hint="eastAsia"/>
          <w:b/>
          <w:spacing w:val="0"/>
          <w:sz w:val="22"/>
          <w:szCs w:val="24"/>
          <w:rtl/>
        </w:rPr>
        <w:t>מולכו</w:t>
      </w:r>
      <w:r w:rsidR="00A01E7C" w:rsidRPr="00CC1941">
        <w:rPr>
          <w:rFonts w:ascii="Century" w:hAnsi="Century" w:cs="Miriam"/>
          <w:b/>
          <w:spacing w:val="0"/>
          <w:sz w:val="22"/>
          <w:szCs w:val="24"/>
          <w:rtl/>
        </w:rPr>
        <w:t xml:space="preserve">, </w:t>
      </w:r>
      <w:r w:rsidR="00A01E7C" w:rsidRPr="00CC1941">
        <w:rPr>
          <w:rFonts w:ascii="Century" w:hAnsi="Century" w:cs="Miriam" w:hint="eastAsia"/>
          <w:b/>
          <w:spacing w:val="0"/>
          <w:sz w:val="22"/>
          <w:szCs w:val="24"/>
          <w:rtl/>
        </w:rPr>
        <w:t>המנהל</w:t>
      </w:r>
      <w:r w:rsidR="00A01E7C" w:rsidRPr="00CC1941">
        <w:rPr>
          <w:rFonts w:ascii="Century" w:hAnsi="Century" w:cs="Miriam"/>
          <w:b/>
          <w:spacing w:val="0"/>
          <w:sz w:val="22"/>
          <w:szCs w:val="24"/>
          <w:rtl/>
        </w:rPr>
        <w:t xml:space="preserve"> </w:t>
      </w:r>
      <w:r w:rsidR="00A01E7C" w:rsidRPr="00CC1941">
        <w:rPr>
          <w:rFonts w:ascii="Century" w:hAnsi="Century" w:cs="Miriam" w:hint="eastAsia"/>
          <w:b/>
          <w:spacing w:val="0"/>
          <w:sz w:val="22"/>
          <w:szCs w:val="24"/>
          <w:rtl/>
        </w:rPr>
        <w:t>המיוחד</w:t>
      </w:r>
      <w:r w:rsidR="00A01E7C" w:rsidRPr="00CC1941">
        <w:rPr>
          <w:rFonts w:ascii="Century" w:hAnsi="Century" w:cs="Miriam"/>
          <w:b/>
          <w:spacing w:val="0"/>
          <w:sz w:val="22"/>
          <w:szCs w:val="24"/>
          <w:rtl/>
        </w:rPr>
        <w:t xml:space="preserve"> </w:t>
      </w:r>
      <w:r w:rsidR="00A01E7C" w:rsidRPr="00CC1941">
        <w:rPr>
          <w:rFonts w:ascii="Century" w:hAnsi="Century" w:cs="Miriam" w:hint="eastAsia"/>
          <w:b/>
          <w:spacing w:val="0"/>
          <w:sz w:val="22"/>
          <w:szCs w:val="24"/>
          <w:rtl/>
        </w:rPr>
        <w:t>נ</w:t>
      </w:r>
      <w:r w:rsidR="00A01E7C" w:rsidRPr="00CC1941">
        <w:rPr>
          <w:rFonts w:ascii="Century" w:hAnsi="Century" w:cs="Miriam"/>
          <w:b/>
          <w:spacing w:val="0"/>
          <w:sz w:val="22"/>
          <w:szCs w:val="24"/>
          <w:rtl/>
        </w:rPr>
        <w:t xml:space="preserve">' </w:t>
      </w:r>
      <w:r w:rsidR="00A01E7C" w:rsidRPr="00CC1941">
        <w:rPr>
          <w:rFonts w:ascii="Century" w:hAnsi="Century" w:cs="Miriam" w:hint="eastAsia"/>
          <w:b/>
          <w:spacing w:val="0"/>
          <w:sz w:val="22"/>
          <w:szCs w:val="24"/>
          <w:rtl/>
        </w:rPr>
        <w:t>בנק</w:t>
      </w:r>
      <w:r w:rsidR="00A01E7C" w:rsidRPr="00CC1941">
        <w:rPr>
          <w:rFonts w:ascii="Century" w:hAnsi="Century" w:cs="Miriam"/>
          <w:b/>
          <w:spacing w:val="0"/>
          <w:sz w:val="22"/>
          <w:szCs w:val="24"/>
          <w:rtl/>
        </w:rPr>
        <w:t xml:space="preserve"> </w:t>
      </w:r>
      <w:r w:rsidR="00A01E7C" w:rsidRPr="00CC1941">
        <w:rPr>
          <w:rFonts w:ascii="Century" w:hAnsi="Century" w:cs="Miriam" w:hint="eastAsia"/>
          <w:b/>
          <w:spacing w:val="0"/>
          <w:sz w:val="22"/>
          <w:szCs w:val="24"/>
          <w:rtl/>
        </w:rPr>
        <w:t>מזרחי</w:t>
      </w:r>
      <w:r w:rsidR="00A01E7C" w:rsidRPr="00CC1941">
        <w:rPr>
          <w:rFonts w:ascii="Century" w:hAnsi="Century" w:cs="Miriam"/>
          <w:b/>
          <w:spacing w:val="0"/>
          <w:sz w:val="22"/>
          <w:szCs w:val="24"/>
          <w:rtl/>
        </w:rPr>
        <w:t xml:space="preserve"> </w:t>
      </w:r>
      <w:r w:rsidR="00A01E7C" w:rsidRPr="00CC1941">
        <w:rPr>
          <w:rFonts w:ascii="Century" w:hAnsi="Century" w:cs="Miriam" w:hint="eastAsia"/>
          <w:b/>
          <w:spacing w:val="0"/>
          <w:sz w:val="22"/>
          <w:szCs w:val="24"/>
          <w:rtl/>
        </w:rPr>
        <w:t>טפחות</w:t>
      </w:r>
      <w:r w:rsidR="00A01E7C" w:rsidRPr="00CC1941">
        <w:rPr>
          <w:rFonts w:ascii="Century" w:hAnsi="Century" w:cs="Miriam"/>
          <w:b/>
          <w:spacing w:val="0"/>
          <w:sz w:val="22"/>
          <w:szCs w:val="24"/>
          <w:rtl/>
        </w:rPr>
        <w:t xml:space="preserve"> </w:t>
      </w:r>
      <w:r w:rsidR="00A01E7C" w:rsidRPr="00CC1941">
        <w:rPr>
          <w:rFonts w:ascii="Century" w:hAnsi="Century" w:cs="Miriam" w:hint="eastAsia"/>
          <w:b/>
          <w:spacing w:val="0"/>
          <w:sz w:val="22"/>
          <w:szCs w:val="24"/>
          <w:rtl/>
        </w:rPr>
        <w:t>בע</w:t>
      </w:r>
      <w:r w:rsidR="00A01E7C" w:rsidRPr="00CC1941">
        <w:rPr>
          <w:rFonts w:ascii="Century" w:hAnsi="Century" w:cs="Miriam"/>
          <w:b/>
          <w:spacing w:val="0"/>
          <w:sz w:val="22"/>
          <w:szCs w:val="24"/>
          <w:rtl/>
        </w:rPr>
        <w:t>"</w:t>
      </w:r>
      <w:r w:rsidR="00A01E7C" w:rsidRPr="00CC1941">
        <w:rPr>
          <w:rFonts w:ascii="Century" w:hAnsi="Century" w:cs="Miriam" w:hint="eastAsia"/>
          <w:b/>
          <w:spacing w:val="0"/>
          <w:sz w:val="22"/>
          <w:szCs w:val="24"/>
          <w:rtl/>
        </w:rPr>
        <w:t>מ</w:t>
      </w:r>
      <w:r w:rsidR="00A01E7C">
        <w:rPr>
          <w:rFonts w:hint="cs"/>
          <w:rtl/>
        </w:rPr>
        <w:t>, פסקה 50 (25.3.2021))</w:t>
      </w:r>
      <w:r w:rsidR="00A01E7C" w:rsidRPr="00273396">
        <w:rPr>
          <w:rtl/>
        </w:rPr>
        <w:t xml:space="preserve">. </w:t>
      </w:r>
      <w:r w:rsidR="00A01E7C">
        <w:rPr>
          <w:rFonts w:hint="cs"/>
          <w:rtl/>
        </w:rPr>
        <w:t xml:space="preserve">ההנחה היא אם כן כי אישורה של עסקה גם על ידי בעלי מניות המיעוט, מהווה אינדיקציה </w:t>
      </w:r>
      <w:r w:rsidR="00A01E7C" w:rsidRPr="00273396">
        <w:rPr>
          <w:rFonts w:hint="eastAsia"/>
          <w:rtl/>
        </w:rPr>
        <w:t>לכך</w:t>
      </w:r>
      <w:r w:rsidR="00A01E7C" w:rsidRPr="00273396">
        <w:rPr>
          <w:rtl/>
        </w:rPr>
        <w:t xml:space="preserve"> </w:t>
      </w:r>
      <w:r w:rsidR="00A01E7C" w:rsidRPr="00273396">
        <w:rPr>
          <w:rFonts w:hint="eastAsia"/>
          <w:rtl/>
        </w:rPr>
        <w:t>שה</w:t>
      </w:r>
      <w:r w:rsidR="00A01E7C">
        <w:rPr>
          <w:rFonts w:hint="cs"/>
          <w:rtl/>
        </w:rPr>
        <w:t>ם רואים את העסקה ככזו המיטיבה עם החברה ולא רק עם בעלי מניות הרוב.</w:t>
      </w:r>
      <w:r w:rsidR="00A01E7C" w:rsidRPr="00273396">
        <w:rPr>
          <w:rtl/>
        </w:rPr>
        <w:t xml:space="preserve"> </w:t>
      </w:r>
    </w:p>
    <w:p w:rsidR="00A36B0E" w:rsidRDefault="00A36B0E" w:rsidP="00A36B0E">
      <w:pPr>
        <w:pStyle w:val="Ruller4"/>
        <w:numPr>
          <w:ilvl w:val="0"/>
          <w:numId w:val="0"/>
        </w:numPr>
        <w:rPr>
          <w:rtl/>
        </w:rPr>
      </w:pPr>
    </w:p>
    <w:p w:rsidR="00A36B0E" w:rsidRDefault="00A01E7C" w:rsidP="00A36B0E">
      <w:pPr>
        <w:pStyle w:val="Ruller4"/>
      </w:pPr>
      <w:r w:rsidRPr="00273396">
        <w:rPr>
          <w:rFonts w:hint="eastAsia"/>
          <w:rtl/>
        </w:rPr>
        <w:t>אי</w:t>
      </w:r>
      <w:r>
        <w:rPr>
          <w:rFonts w:hint="cs"/>
          <w:rtl/>
        </w:rPr>
        <w:t>-</w:t>
      </w:r>
      <w:r w:rsidRPr="00273396">
        <w:rPr>
          <w:rFonts w:hint="eastAsia"/>
          <w:rtl/>
        </w:rPr>
        <w:t>אפשר</w:t>
      </w:r>
      <w:r w:rsidRPr="00273396">
        <w:rPr>
          <w:rtl/>
        </w:rPr>
        <w:t xml:space="preserve"> </w:t>
      </w:r>
      <w:r w:rsidRPr="00273396">
        <w:rPr>
          <w:rFonts w:hint="eastAsia"/>
          <w:rtl/>
        </w:rPr>
        <w:t>כמובן</w:t>
      </w:r>
      <w:r w:rsidRPr="00273396">
        <w:rPr>
          <w:rtl/>
        </w:rPr>
        <w:t xml:space="preserve"> </w:t>
      </w:r>
      <w:r w:rsidRPr="00273396">
        <w:rPr>
          <w:rFonts w:hint="eastAsia"/>
          <w:rtl/>
        </w:rPr>
        <w:t>להקיש</w:t>
      </w:r>
      <w:r w:rsidRPr="00273396">
        <w:rPr>
          <w:rtl/>
        </w:rPr>
        <w:t xml:space="preserve"> </w:t>
      </w:r>
      <w:r w:rsidRPr="00273396">
        <w:rPr>
          <w:rFonts w:hint="eastAsia"/>
          <w:rtl/>
        </w:rPr>
        <w:t>באופן</w:t>
      </w:r>
      <w:r w:rsidRPr="00273396">
        <w:rPr>
          <w:rtl/>
        </w:rPr>
        <w:t xml:space="preserve"> </w:t>
      </w:r>
      <w:r w:rsidRPr="00273396">
        <w:rPr>
          <w:rFonts w:hint="eastAsia"/>
          <w:rtl/>
        </w:rPr>
        <w:t>מלא</w:t>
      </w:r>
      <w:r w:rsidRPr="00273396">
        <w:rPr>
          <w:rtl/>
        </w:rPr>
        <w:t xml:space="preserve"> </w:t>
      </w:r>
      <w:r w:rsidRPr="00273396">
        <w:rPr>
          <w:rFonts w:hint="eastAsia"/>
          <w:rtl/>
        </w:rPr>
        <w:t>מדיני</w:t>
      </w:r>
      <w:r w:rsidRPr="00273396">
        <w:rPr>
          <w:rtl/>
        </w:rPr>
        <w:t xml:space="preserve"> </w:t>
      </w:r>
      <w:r w:rsidRPr="00273396">
        <w:rPr>
          <w:rFonts w:hint="eastAsia"/>
          <w:rtl/>
        </w:rPr>
        <w:t>החברות</w:t>
      </w:r>
      <w:r w:rsidRPr="00273396">
        <w:rPr>
          <w:rtl/>
        </w:rPr>
        <w:t xml:space="preserve"> </w:t>
      </w:r>
      <w:r w:rsidRPr="00273396">
        <w:rPr>
          <w:rFonts w:hint="eastAsia"/>
          <w:rtl/>
        </w:rPr>
        <w:t>לדינים</w:t>
      </w:r>
      <w:r w:rsidRPr="00273396">
        <w:rPr>
          <w:rtl/>
        </w:rPr>
        <w:t xml:space="preserve"> </w:t>
      </w:r>
      <w:r w:rsidRPr="00273396">
        <w:rPr>
          <w:rFonts w:hint="eastAsia"/>
          <w:rtl/>
        </w:rPr>
        <w:t>הנוגעים</w:t>
      </w:r>
      <w:r w:rsidRPr="00273396">
        <w:rPr>
          <w:rtl/>
        </w:rPr>
        <w:t xml:space="preserve"> </w:t>
      </w:r>
      <w:r w:rsidRPr="00273396">
        <w:rPr>
          <w:rFonts w:hint="eastAsia"/>
          <w:rtl/>
        </w:rPr>
        <w:t>לכינון</w:t>
      </w:r>
      <w:r w:rsidRPr="00273396">
        <w:rPr>
          <w:rtl/>
        </w:rPr>
        <w:t xml:space="preserve"> </w:t>
      </w:r>
      <w:r w:rsidRPr="00273396">
        <w:rPr>
          <w:rFonts w:hint="eastAsia"/>
          <w:rtl/>
        </w:rPr>
        <w:t>חוקים</w:t>
      </w:r>
      <w:r w:rsidRPr="00273396">
        <w:rPr>
          <w:rtl/>
        </w:rPr>
        <w:t xml:space="preserve"> </w:t>
      </w:r>
      <w:r w:rsidRPr="00273396">
        <w:rPr>
          <w:rFonts w:hint="eastAsia"/>
          <w:rtl/>
        </w:rPr>
        <w:t>וחוקי</w:t>
      </w:r>
      <w:r w:rsidRPr="00273396">
        <w:rPr>
          <w:rtl/>
        </w:rPr>
        <w:t xml:space="preserve"> </w:t>
      </w:r>
      <w:r w:rsidRPr="00273396">
        <w:rPr>
          <w:rFonts w:hint="eastAsia"/>
          <w:rtl/>
        </w:rPr>
        <w:t>יסוד</w:t>
      </w:r>
      <w:r>
        <w:rPr>
          <w:rFonts w:hint="cs"/>
          <w:rtl/>
        </w:rPr>
        <w:t>, בין היתר בשל ההבדלים הרבים הקיימים בין שתי מערכות הדינים, ובפרט בין המטרה העסקית שהיא המטרה הדומיננטית בחברות אך לא במנגנון המדינתי; כמו גם מאחר שבית המשפט עצמו הוא חלק מובנה מהמנגנון המדינתי</w:t>
      </w:r>
      <w:r w:rsidRPr="00273396">
        <w:rPr>
          <w:rtl/>
        </w:rPr>
        <w:t xml:space="preserve">. </w:t>
      </w:r>
      <w:r w:rsidRPr="00273396">
        <w:rPr>
          <w:rFonts w:hint="eastAsia"/>
          <w:rtl/>
        </w:rPr>
        <w:t>יחד</w:t>
      </w:r>
      <w:r w:rsidRPr="00273396">
        <w:rPr>
          <w:rtl/>
        </w:rPr>
        <w:t xml:space="preserve"> </w:t>
      </w:r>
      <w:r w:rsidRPr="00273396">
        <w:rPr>
          <w:rFonts w:hint="eastAsia"/>
          <w:rtl/>
        </w:rPr>
        <w:t>עם</w:t>
      </w:r>
      <w:r w:rsidRPr="00273396">
        <w:rPr>
          <w:rtl/>
        </w:rPr>
        <w:t xml:space="preserve"> </w:t>
      </w:r>
      <w:r w:rsidRPr="00273396">
        <w:rPr>
          <w:rFonts w:hint="eastAsia"/>
          <w:rtl/>
        </w:rPr>
        <w:t>זאת</w:t>
      </w:r>
      <w:r w:rsidRPr="00273396">
        <w:rPr>
          <w:rtl/>
        </w:rPr>
        <w:t xml:space="preserve">, </w:t>
      </w:r>
      <w:r w:rsidRPr="00273396">
        <w:rPr>
          <w:rFonts w:hint="eastAsia"/>
          <w:rtl/>
        </w:rPr>
        <w:t>הרציונל</w:t>
      </w:r>
      <w:r w:rsidRPr="00273396">
        <w:rPr>
          <w:rtl/>
        </w:rPr>
        <w:t xml:space="preserve"> </w:t>
      </w:r>
      <w:r w:rsidRPr="00273396">
        <w:rPr>
          <w:rFonts w:hint="eastAsia"/>
          <w:rtl/>
        </w:rPr>
        <w:t>של</w:t>
      </w:r>
      <w:r w:rsidRPr="00273396">
        <w:rPr>
          <w:rtl/>
        </w:rPr>
        <w:t xml:space="preserve"> </w:t>
      </w:r>
      <w:r w:rsidRPr="00273396">
        <w:rPr>
          <w:rFonts w:hint="eastAsia"/>
          <w:rtl/>
        </w:rPr>
        <w:t>חשדנות</w:t>
      </w:r>
      <w:r w:rsidRPr="00273396">
        <w:rPr>
          <w:rtl/>
        </w:rPr>
        <w:t xml:space="preserve"> </w:t>
      </w:r>
      <w:r w:rsidRPr="00273396">
        <w:rPr>
          <w:rFonts w:hint="eastAsia"/>
          <w:rtl/>
        </w:rPr>
        <w:t>מובנית</w:t>
      </w:r>
      <w:r w:rsidRPr="00273396">
        <w:rPr>
          <w:rtl/>
        </w:rPr>
        <w:t xml:space="preserve"> </w:t>
      </w:r>
      <w:r w:rsidRPr="00273396">
        <w:rPr>
          <w:rFonts w:hint="eastAsia"/>
          <w:rtl/>
        </w:rPr>
        <w:t>כלפי</w:t>
      </w:r>
      <w:r w:rsidRPr="00273396">
        <w:rPr>
          <w:rtl/>
        </w:rPr>
        <w:t xml:space="preserve"> </w:t>
      </w:r>
      <w:r w:rsidRPr="00273396">
        <w:rPr>
          <w:rFonts w:hint="eastAsia"/>
          <w:rtl/>
        </w:rPr>
        <w:t>החלטות</w:t>
      </w:r>
      <w:r w:rsidRPr="00273396">
        <w:rPr>
          <w:rtl/>
        </w:rPr>
        <w:t xml:space="preserve"> </w:t>
      </w:r>
      <w:r w:rsidRPr="00273396">
        <w:rPr>
          <w:rFonts w:hint="eastAsia"/>
          <w:rtl/>
        </w:rPr>
        <w:t>בניגוד</w:t>
      </w:r>
      <w:r w:rsidRPr="00273396">
        <w:rPr>
          <w:rtl/>
        </w:rPr>
        <w:t xml:space="preserve"> </w:t>
      </w:r>
      <w:r w:rsidRPr="00273396">
        <w:rPr>
          <w:rFonts w:hint="eastAsia"/>
          <w:rtl/>
        </w:rPr>
        <w:t>עניינים</w:t>
      </w:r>
      <w:r>
        <w:rPr>
          <w:rFonts w:hint="cs"/>
          <w:rtl/>
        </w:rPr>
        <w:t>;</w:t>
      </w:r>
      <w:r w:rsidRPr="00273396">
        <w:rPr>
          <w:rtl/>
        </w:rPr>
        <w:t xml:space="preserve"> </w:t>
      </w:r>
      <w:r>
        <w:rPr>
          <w:rFonts w:hint="cs"/>
          <w:rtl/>
        </w:rPr>
        <w:t>החלתו של סטנדרט ביקורת שיפוטית מחמיר ביחס להחלטות בהן קיים חשש לניצול כוחו של הרוב; ו</w:t>
      </w:r>
      <w:r w:rsidRPr="00273396">
        <w:rPr>
          <w:rFonts w:hint="eastAsia"/>
          <w:rtl/>
        </w:rPr>
        <w:t>האופן</w:t>
      </w:r>
      <w:r w:rsidRPr="00273396">
        <w:rPr>
          <w:rtl/>
        </w:rPr>
        <w:t xml:space="preserve"> </w:t>
      </w:r>
      <w:r w:rsidRPr="00273396">
        <w:rPr>
          <w:rFonts w:hint="eastAsia"/>
          <w:rtl/>
        </w:rPr>
        <w:t>בו</w:t>
      </w:r>
      <w:r w:rsidRPr="00273396">
        <w:rPr>
          <w:rtl/>
        </w:rPr>
        <w:t xml:space="preserve"> </w:t>
      </w:r>
      <w:r w:rsidRPr="00273396">
        <w:rPr>
          <w:rFonts w:hint="eastAsia"/>
          <w:rtl/>
        </w:rPr>
        <w:t>ניתן</w:t>
      </w:r>
      <w:r w:rsidRPr="00273396">
        <w:rPr>
          <w:rtl/>
        </w:rPr>
        <w:t xml:space="preserve"> </w:t>
      </w:r>
      <w:r w:rsidRPr="00273396">
        <w:rPr>
          <w:rFonts w:hint="eastAsia"/>
          <w:rtl/>
        </w:rPr>
        <w:t>להפיג</w:t>
      </w:r>
      <w:r w:rsidRPr="00273396">
        <w:rPr>
          <w:rtl/>
        </w:rPr>
        <w:t xml:space="preserve"> </w:t>
      </w:r>
      <w:r w:rsidRPr="00273396">
        <w:rPr>
          <w:rFonts w:hint="eastAsia"/>
          <w:rtl/>
        </w:rPr>
        <w:t>במידה</w:t>
      </w:r>
      <w:r w:rsidRPr="00273396">
        <w:rPr>
          <w:rtl/>
        </w:rPr>
        <w:t xml:space="preserve"> </w:t>
      </w:r>
      <w:r w:rsidRPr="00273396">
        <w:rPr>
          <w:rFonts w:hint="eastAsia"/>
          <w:rtl/>
        </w:rPr>
        <w:t>מסוימת</w:t>
      </w:r>
      <w:r w:rsidRPr="00273396">
        <w:rPr>
          <w:rtl/>
        </w:rPr>
        <w:t xml:space="preserve"> </w:t>
      </w:r>
      <w:r w:rsidRPr="00273396">
        <w:rPr>
          <w:rFonts w:hint="eastAsia"/>
          <w:rtl/>
        </w:rPr>
        <w:t>את</w:t>
      </w:r>
      <w:r w:rsidRPr="00273396">
        <w:rPr>
          <w:rtl/>
        </w:rPr>
        <w:t xml:space="preserve"> </w:t>
      </w:r>
      <w:r w:rsidRPr="00273396">
        <w:rPr>
          <w:rFonts w:hint="eastAsia"/>
          <w:rtl/>
        </w:rPr>
        <w:t>החשש</w:t>
      </w:r>
      <w:r w:rsidRPr="00273396">
        <w:rPr>
          <w:rtl/>
        </w:rPr>
        <w:t xml:space="preserve"> </w:t>
      </w:r>
      <w:r w:rsidRPr="00273396">
        <w:rPr>
          <w:rFonts w:hint="eastAsia"/>
          <w:rtl/>
        </w:rPr>
        <w:t>הזה</w:t>
      </w:r>
      <w:r>
        <w:rPr>
          <w:rFonts w:hint="cs"/>
          <w:rtl/>
        </w:rPr>
        <w:t xml:space="preserve"> על ידי תמיכה של בעלי מניות המיעוט בהחלטה </w:t>
      </w:r>
      <w:r>
        <w:rPr>
          <w:rtl/>
        </w:rPr>
        <w:t>–</w:t>
      </w:r>
      <w:r w:rsidRPr="00273396">
        <w:rPr>
          <w:rtl/>
        </w:rPr>
        <w:t xml:space="preserve"> </w:t>
      </w:r>
      <w:r>
        <w:rPr>
          <w:rFonts w:hint="cs"/>
          <w:rtl/>
        </w:rPr>
        <w:t xml:space="preserve">הם </w:t>
      </w:r>
      <w:r w:rsidRPr="00C72186">
        <w:rPr>
          <w:rFonts w:hint="eastAsia"/>
          <w:rtl/>
        </w:rPr>
        <w:t>רציונ</w:t>
      </w:r>
      <w:r>
        <w:rPr>
          <w:rFonts w:hint="cs"/>
          <w:rtl/>
        </w:rPr>
        <w:t>ל</w:t>
      </w:r>
      <w:r w:rsidRPr="00C72186">
        <w:rPr>
          <w:rFonts w:hint="eastAsia"/>
          <w:rtl/>
        </w:rPr>
        <w:t>י</w:t>
      </w:r>
      <w:r>
        <w:rPr>
          <w:rFonts w:hint="cs"/>
          <w:rtl/>
        </w:rPr>
        <w:t>ם</w:t>
      </w:r>
      <w:r w:rsidRPr="00273396">
        <w:rPr>
          <w:rtl/>
        </w:rPr>
        <w:t xml:space="preserve"> </w:t>
      </w:r>
      <w:r w:rsidRPr="00273396">
        <w:rPr>
          <w:rFonts w:hint="eastAsia"/>
          <w:rtl/>
        </w:rPr>
        <w:t>שניתן</w:t>
      </w:r>
      <w:r w:rsidRPr="00273396">
        <w:rPr>
          <w:rtl/>
        </w:rPr>
        <w:t xml:space="preserve"> </w:t>
      </w:r>
      <w:r w:rsidRPr="00273396">
        <w:rPr>
          <w:rFonts w:hint="eastAsia"/>
          <w:rtl/>
        </w:rPr>
        <w:t>ללמוד</w:t>
      </w:r>
      <w:r w:rsidRPr="00273396">
        <w:rPr>
          <w:rtl/>
        </w:rPr>
        <w:t xml:space="preserve"> </w:t>
      </w:r>
      <w:r w:rsidRPr="00273396">
        <w:rPr>
          <w:rFonts w:hint="eastAsia"/>
          <w:rtl/>
        </w:rPr>
        <w:t>מ</w:t>
      </w:r>
      <w:r>
        <w:rPr>
          <w:rFonts w:hint="cs"/>
          <w:rtl/>
        </w:rPr>
        <w:t>הם</w:t>
      </w:r>
      <w:r w:rsidRPr="00273396">
        <w:rPr>
          <w:rtl/>
        </w:rPr>
        <w:t xml:space="preserve"> </w:t>
      </w:r>
      <w:r w:rsidRPr="00273396">
        <w:rPr>
          <w:rFonts w:hint="eastAsia"/>
          <w:rtl/>
        </w:rPr>
        <w:t>גם</w:t>
      </w:r>
      <w:r w:rsidRPr="00273396">
        <w:rPr>
          <w:rtl/>
        </w:rPr>
        <w:t xml:space="preserve"> </w:t>
      </w:r>
      <w:r w:rsidRPr="00273396">
        <w:rPr>
          <w:rFonts w:hint="eastAsia"/>
          <w:rtl/>
        </w:rPr>
        <w:t>לענייננו</w:t>
      </w:r>
      <w:r w:rsidRPr="00273396">
        <w:rPr>
          <w:rtl/>
        </w:rPr>
        <w:t xml:space="preserve">. </w:t>
      </w:r>
      <w:r>
        <w:rPr>
          <w:rFonts w:hint="cs"/>
          <w:rtl/>
        </w:rPr>
        <w:t xml:space="preserve">מהמנגנון של ה"אישור המשולש" שבחוק החברות, ניתן אפוא ללמוד כי כאשר חיקוק מסוים מתקבל בהסכמה רחבה </w:t>
      </w:r>
      <w:r>
        <w:rPr>
          <w:rtl/>
        </w:rPr>
        <w:t>–</w:t>
      </w:r>
      <w:r>
        <w:rPr>
          <w:rFonts w:hint="cs"/>
          <w:rtl/>
        </w:rPr>
        <w:t xml:space="preserve"> לא רק של חברי הקואליציה אלא גם של חברי האופוזיציה (רובם או למצער חלק משמעותי מהם), </w:t>
      </w:r>
      <w:r>
        <w:rPr>
          <w:rFonts w:hint="cs"/>
          <w:rtl/>
        </w:rPr>
        <w:lastRenderedPageBreak/>
        <w:t xml:space="preserve">זוהי אינדיקציה טובה לכך שאין מדובר בחיקוק שנועד בעיקר כדי להיטיב עם הרשות המבצעת הנוכחית, אלא בחיקוק העולה בקנה אחד עם טובת החברה בישראל בכללותה. על כן, אני סבורה כי סטנדרט הביקורת השיפוטית צריך להביא לידי ביטוי גם את שאלת רוחב ההסכמה לדבר החקיקה, כך שבמקרים בהם חוק היסוד התקבל כאשר הכנסת מצויה במצב של ניגוד עניינים מוסדי; וכאשר החוק התקבל שלא בהסכמה רחבה, ובעיקר במקרים בהם הוא התקבל על-ידי הקואליציה בלבד </w:t>
      </w:r>
      <w:r>
        <w:rPr>
          <w:rtl/>
        </w:rPr>
        <w:t>–</w:t>
      </w:r>
      <w:r>
        <w:rPr>
          <w:rFonts w:hint="cs"/>
          <w:rtl/>
        </w:rPr>
        <w:t xml:space="preserve"> הנכונות של בית המשפט להתערב תגבר.  </w:t>
      </w:r>
    </w:p>
    <w:p w:rsidR="00A36B0E" w:rsidRDefault="00A36B0E" w:rsidP="00A36B0E">
      <w:pPr>
        <w:pStyle w:val="Ruller4"/>
        <w:numPr>
          <w:ilvl w:val="0"/>
          <w:numId w:val="0"/>
        </w:numPr>
        <w:rPr>
          <w:rtl/>
        </w:rPr>
      </w:pPr>
    </w:p>
    <w:p w:rsidR="00A36B0E" w:rsidRDefault="00A36B0E" w:rsidP="00A36B0E">
      <w:pPr>
        <w:pStyle w:val="Ruller4"/>
        <w:numPr>
          <w:ilvl w:val="0"/>
          <w:numId w:val="0"/>
        </w:numPr>
        <w:rPr>
          <w:rtl/>
        </w:rPr>
      </w:pPr>
      <w:r>
        <w:rPr>
          <w:rtl/>
        </w:rPr>
        <w:tab/>
      </w:r>
      <w:r w:rsidR="00A01E7C">
        <w:rPr>
          <w:rFonts w:hint="cs"/>
          <w:rtl/>
        </w:rPr>
        <w:t xml:space="preserve">עמדה דומה הובעה גם על-ידי פרופ' </w:t>
      </w:r>
      <w:r w:rsidR="00A01E7C" w:rsidRPr="00A36B0E">
        <w:rPr>
          <w:rFonts w:ascii="Century" w:hAnsi="Century" w:cs="Miriam" w:hint="cs"/>
          <w:b/>
          <w:spacing w:val="0"/>
          <w:sz w:val="22"/>
          <w:szCs w:val="24"/>
          <w:rtl/>
        </w:rPr>
        <w:t xml:space="preserve">יניב </w:t>
      </w:r>
      <w:r w:rsidR="00A01E7C" w:rsidRPr="00A36B0E">
        <w:rPr>
          <w:rFonts w:ascii="Century" w:hAnsi="Century" w:cs="Miriam" w:hint="eastAsia"/>
          <w:b/>
          <w:spacing w:val="0"/>
          <w:sz w:val="22"/>
          <w:szCs w:val="24"/>
          <w:rtl/>
        </w:rPr>
        <w:t>רוזנאי</w:t>
      </w:r>
      <w:r w:rsidR="00A01E7C" w:rsidRPr="009E5D53">
        <w:rPr>
          <w:rFonts w:hint="cs"/>
          <w:rtl/>
        </w:rPr>
        <w:t xml:space="preserve"> </w:t>
      </w:r>
      <w:r w:rsidR="00A01E7C">
        <w:rPr>
          <w:rFonts w:hint="cs"/>
          <w:rtl/>
        </w:rPr>
        <w:t xml:space="preserve">בספרו </w:t>
      </w:r>
      <w:r w:rsidR="00A01E7C" w:rsidRPr="00A36B0E">
        <w:rPr>
          <w:rFonts w:ascii="Century" w:hAnsi="Century"/>
          <w:sz w:val="22"/>
        </w:rPr>
        <w:t>Unconstitutional Constitutional Amendments (2017)</w:t>
      </w:r>
      <w:r w:rsidR="00A01E7C">
        <w:rPr>
          <w:rFonts w:hint="cs"/>
          <w:rtl/>
        </w:rPr>
        <w:t xml:space="preserve">. </w:t>
      </w:r>
      <w:r w:rsidR="00A01E7C" w:rsidRPr="00A36B0E">
        <w:rPr>
          <w:rFonts w:ascii="Century" w:hAnsi="Century" w:cs="Miriam" w:hint="eastAsia"/>
          <w:b/>
          <w:spacing w:val="0"/>
          <w:sz w:val="22"/>
          <w:szCs w:val="24"/>
          <w:rtl/>
        </w:rPr>
        <w:t>רוזנאי</w:t>
      </w:r>
      <w:r w:rsidR="00A01E7C" w:rsidRPr="009E5D53">
        <w:rPr>
          <w:rFonts w:hint="cs"/>
          <w:rtl/>
        </w:rPr>
        <w:t xml:space="preserve"> </w:t>
      </w:r>
      <w:r w:rsidR="00A01E7C">
        <w:rPr>
          <w:rFonts w:hint="cs"/>
          <w:rtl/>
        </w:rPr>
        <w:t xml:space="preserve">הציע להחיל ביקורת שיפוטית דיפרנציאלית הנגזרת מהליך החקיקה ומהלגיטימציה הציבורית של הנורמה החוקתית שתוקנה. כך, ככל שהליך התיקון זוכה ללגיטימציה דמוקרטית פחותה (הליך המכונה </w:t>
      </w:r>
      <w:r w:rsidR="00A01E7C" w:rsidRPr="00C64AE8">
        <w:rPr>
          <w:rFonts w:hint="cs"/>
          <w:rtl/>
        </w:rPr>
        <w:t>על-ידיו "</w:t>
      </w:r>
      <w:r w:rsidR="00A01E7C" w:rsidRPr="00A36B0E">
        <w:rPr>
          <w:rFonts w:ascii="Century" w:hAnsi="Century"/>
          <w:sz w:val="22"/>
        </w:rPr>
        <w:t>governmental amendment power</w:t>
      </w:r>
      <w:r w:rsidR="00A01E7C" w:rsidRPr="00C64AE8">
        <w:rPr>
          <w:rFonts w:hint="cs"/>
          <w:rtl/>
        </w:rPr>
        <w:t>"), הביקורת השיפוטית צריכה להיות מוגברת. מנגד, ככל שההליך זוכה ללגיטימציה דמוקרטית מוגברת (בהליך המכונה על-ידיו "</w:t>
      </w:r>
      <w:r w:rsidR="00A01E7C" w:rsidRPr="00A36B0E">
        <w:rPr>
          <w:rFonts w:ascii="Century" w:hAnsi="Century"/>
          <w:sz w:val="22"/>
        </w:rPr>
        <w:t>popular amendment power</w:t>
      </w:r>
      <w:r w:rsidR="00A01E7C" w:rsidRPr="00C64AE8">
        <w:rPr>
          <w:rFonts w:hint="cs"/>
          <w:rtl/>
        </w:rPr>
        <w:t xml:space="preserve">"), הביקורת השיפוטית צריכה להיות מרוסנת יותר. לטעמי כאמור הדברים יפים בעיקר ביחס לתיקונים לחוקה שהתקבלו על ידי הכנסת כאשר היא מצויה במצב של ניגוד עניינים מוסדי. </w:t>
      </w:r>
    </w:p>
    <w:p w:rsidR="00A36B0E" w:rsidRDefault="00A36B0E" w:rsidP="00A36B0E">
      <w:pPr>
        <w:pStyle w:val="Ruller4"/>
        <w:numPr>
          <w:ilvl w:val="0"/>
          <w:numId w:val="0"/>
        </w:numPr>
        <w:rPr>
          <w:rtl/>
        </w:rPr>
      </w:pPr>
    </w:p>
    <w:p w:rsidR="00A01E7C" w:rsidRPr="00C64AE8" w:rsidRDefault="00A01E7C" w:rsidP="00A36B0E">
      <w:pPr>
        <w:pStyle w:val="Ruller4"/>
        <w:rPr>
          <w:rtl/>
        </w:rPr>
      </w:pPr>
      <w:r w:rsidRPr="00C64AE8">
        <w:rPr>
          <w:rFonts w:hint="cs"/>
          <w:rtl/>
        </w:rPr>
        <w:t xml:space="preserve">ככל שמדובר בתיקון נושא העתירה דנן, הרי </w:t>
      </w:r>
      <w:r w:rsidRPr="00C64AE8">
        <w:rPr>
          <w:rFonts w:hint="eastAsia"/>
          <w:rtl/>
        </w:rPr>
        <w:t>לא</w:t>
      </w:r>
      <w:r w:rsidRPr="00C64AE8">
        <w:rPr>
          <w:rtl/>
        </w:rPr>
        <w:t xml:space="preserve"> </w:t>
      </w:r>
      <w:r w:rsidRPr="00C64AE8">
        <w:rPr>
          <w:rFonts w:hint="eastAsia"/>
          <w:rtl/>
        </w:rPr>
        <w:t>זו</w:t>
      </w:r>
      <w:r w:rsidRPr="00C64AE8">
        <w:rPr>
          <w:rtl/>
        </w:rPr>
        <w:t xml:space="preserve"> </w:t>
      </w:r>
      <w:r w:rsidRPr="00C64AE8">
        <w:rPr>
          <w:rFonts w:hint="eastAsia"/>
          <w:rtl/>
        </w:rPr>
        <w:t>בלבד</w:t>
      </w:r>
      <w:r w:rsidRPr="00C64AE8">
        <w:rPr>
          <w:rtl/>
        </w:rPr>
        <w:t xml:space="preserve"> </w:t>
      </w:r>
      <w:r w:rsidRPr="00C64AE8">
        <w:rPr>
          <w:rFonts w:hint="eastAsia"/>
          <w:rtl/>
        </w:rPr>
        <w:t>שלא</w:t>
      </w:r>
      <w:r w:rsidRPr="00C64AE8">
        <w:rPr>
          <w:rtl/>
        </w:rPr>
        <w:t xml:space="preserve"> </w:t>
      </w:r>
      <w:r w:rsidRPr="00C64AE8">
        <w:rPr>
          <w:rFonts w:hint="eastAsia"/>
          <w:rtl/>
        </w:rPr>
        <w:t>היה</w:t>
      </w:r>
      <w:r w:rsidRPr="00C64AE8">
        <w:rPr>
          <w:rtl/>
        </w:rPr>
        <w:t xml:space="preserve"> </w:t>
      </w:r>
      <w:r w:rsidRPr="00C64AE8">
        <w:rPr>
          <w:rFonts w:hint="eastAsia"/>
          <w:rtl/>
        </w:rPr>
        <w:t>לו</w:t>
      </w:r>
      <w:r w:rsidRPr="00C64AE8">
        <w:rPr>
          <w:rtl/>
        </w:rPr>
        <w:t xml:space="preserve"> </w:t>
      </w:r>
      <w:r w:rsidRPr="00C64AE8">
        <w:rPr>
          <w:rFonts w:hint="eastAsia"/>
          <w:rtl/>
        </w:rPr>
        <w:t>רוב</w:t>
      </w:r>
      <w:r w:rsidRPr="00C64AE8">
        <w:rPr>
          <w:rtl/>
        </w:rPr>
        <w:t xml:space="preserve"> </w:t>
      </w:r>
      <w:r w:rsidRPr="00C64AE8">
        <w:rPr>
          <w:rFonts w:hint="eastAsia"/>
          <w:rtl/>
        </w:rPr>
        <w:t>מקרב</w:t>
      </w:r>
      <w:r w:rsidRPr="00C64AE8">
        <w:rPr>
          <w:rtl/>
        </w:rPr>
        <w:t xml:space="preserve"> </w:t>
      </w:r>
      <w:r w:rsidRPr="00C64AE8">
        <w:rPr>
          <w:rFonts w:hint="eastAsia"/>
          <w:rtl/>
        </w:rPr>
        <w:t>המיעוט</w:t>
      </w:r>
      <w:r w:rsidRPr="00C64AE8">
        <w:rPr>
          <w:rtl/>
        </w:rPr>
        <w:t xml:space="preserve"> (קרי </w:t>
      </w:r>
      <w:r w:rsidRPr="00C64AE8">
        <w:rPr>
          <w:rFonts w:hint="eastAsia"/>
          <w:rtl/>
        </w:rPr>
        <w:t>חברי</w:t>
      </w:r>
      <w:r w:rsidRPr="00C64AE8">
        <w:rPr>
          <w:rtl/>
        </w:rPr>
        <w:t xml:space="preserve"> </w:t>
      </w:r>
      <w:r w:rsidRPr="00C64AE8">
        <w:rPr>
          <w:rFonts w:hint="eastAsia"/>
          <w:rtl/>
        </w:rPr>
        <w:t>הכנסת</w:t>
      </w:r>
      <w:r w:rsidRPr="00C64AE8">
        <w:rPr>
          <w:rtl/>
        </w:rPr>
        <w:t xml:space="preserve"> </w:t>
      </w:r>
      <w:r w:rsidRPr="00C64AE8">
        <w:rPr>
          <w:rFonts w:hint="eastAsia"/>
          <w:rtl/>
        </w:rPr>
        <w:t>שאינם</w:t>
      </w:r>
      <w:r w:rsidRPr="00C64AE8">
        <w:rPr>
          <w:rtl/>
        </w:rPr>
        <w:t xml:space="preserve"> </w:t>
      </w:r>
      <w:r w:rsidRPr="00C64AE8">
        <w:rPr>
          <w:rFonts w:hint="eastAsia"/>
          <w:rtl/>
        </w:rPr>
        <w:t>מהקואליציה</w:t>
      </w:r>
      <w:r w:rsidRPr="00C64AE8">
        <w:rPr>
          <w:rtl/>
        </w:rPr>
        <w:t xml:space="preserve">) </w:t>
      </w:r>
      <w:r w:rsidRPr="00C64AE8">
        <w:rPr>
          <w:rFonts w:hint="eastAsia"/>
          <w:rtl/>
        </w:rPr>
        <w:t>אלא</w:t>
      </w:r>
      <w:r w:rsidRPr="00C64AE8">
        <w:rPr>
          <w:rtl/>
        </w:rPr>
        <w:t xml:space="preserve"> </w:t>
      </w:r>
      <w:r w:rsidRPr="00C64AE8">
        <w:rPr>
          <w:rFonts w:hint="eastAsia"/>
          <w:rtl/>
        </w:rPr>
        <w:t>שאף</w:t>
      </w:r>
      <w:r w:rsidRPr="00C64AE8">
        <w:rPr>
          <w:rtl/>
        </w:rPr>
        <w:t xml:space="preserve"> </w:t>
      </w:r>
      <w:r w:rsidRPr="00C64AE8">
        <w:rPr>
          <w:rFonts w:hint="eastAsia"/>
          <w:rtl/>
        </w:rPr>
        <w:t>לא</w:t>
      </w:r>
      <w:r w:rsidRPr="00C64AE8">
        <w:rPr>
          <w:rtl/>
        </w:rPr>
        <w:t xml:space="preserve"> </w:t>
      </w:r>
      <w:r w:rsidRPr="00C64AE8">
        <w:rPr>
          <w:rFonts w:hint="eastAsia"/>
          <w:rtl/>
        </w:rPr>
        <w:t>אחד</w:t>
      </w:r>
      <w:r w:rsidRPr="00C64AE8">
        <w:rPr>
          <w:rtl/>
        </w:rPr>
        <w:t xml:space="preserve"> </w:t>
      </w:r>
      <w:r w:rsidRPr="00C64AE8">
        <w:rPr>
          <w:rFonts w:hint="eastAsia"/>
          <w:rtl/>
        </w:rPr>
        <w:t>מחברי</w:t>
      </w:r>
      <w:r w:rsidRPr="00C64AE8">
        <w:rPr>
          <w:rtl/>
        </w:rPr>
        <w:t xml:space="preserve"> </w:t>
      </w:r>
      <w:r w:rsidRPr="00C64AE8">
        <w:rPr>
          <w:rFonts w:hint="eastAsia"/>
          <w:rtl/>
        </w:rPr>
        <w:t>הכנסת</w:t>
      </w:r>
      <w:r w:rsidRPr="00C64AE8">
        <w:rPr>
          <w:rtl/>
        </w:rPr>
        <w:t xml:space="preserve"> </w:t>
      </w:r>
      <w:r w:rsidRPr="00C64AE8">
        <w:rPr>
          <w:rFonts w:hint="eastAsia"/>
          <w:rtl/>
        </w:rPr>
        <w:t>הללו</w:t>
      </w:r>
      <w:r w:rsidRPr="00C64AE8">
        <w:rPr>
          <w:rtl/>
        </w:rPr>
        <w:t xml:space="preserve"> </w:t>
      </w:r>
      <w:r w:rsidRPr="00C64AE8">
        <w:rPr>
          <w:rFonts w:hint="eastAsia"/>
          <w:rtl/>
        </w:rPr>
        <w:t>תמך</w:t>
      </w:r>
      <w:r w:rsidRPr="00C64AE8">
        <w:rPr>
          <w:rtl/>
        </w:rPr>
        <w:t xml:space="preserve"> </w:t>
      </w:r>
      <w:r w:rsidRPr="00C64AE8">
        <w:rPr>
          <w:rFonts w:hint="eastAsia"/>
          <w:rtl/>
        </w:rPr>
        <w:t>בו</w:t>
      </w:r>
      <w:r w:rsidRPr="00C64AE8">
        <w:rPr>
          <w:rtl/>
        </w:rPr>
        <w:t xml:space="preserve"> – לא בוועדת החוקה ולא במליאת הכנסת. </w:t>
      </w:r>
      <w:r w:rsidRPr="00C64AE8">
        <w:rPr>
          <w:rFonts w:hint="eastAsia"/>
          <w:rtl/>
        </w:rPr>
        <w:t>למעשה</w:t>
      </w:r>
      <w:r w:rsidRPr="00C64AE8">
        <w:rPr>
          <w:rtl/>
        </w:rPr>
        <w:t xml:space="preserve">, </w:t>
      </w:r>
      <w:r w:rsidRPr="00C64AE8">
        <w:rPr>
          <w:rFonts w:hint="eastAsia"/>
          <w:rtl/>
        </w:rPr>
        <w:t>כל</w:t>
      </w:r>
      <w:r w:rsidRPr="00C64AE8">
        <w:rPr>
          <w:rtl/>
        </w:rPr>
        <w:t xml:space="preserve"> </w:t>
      </w:r>
      <w:r w:rsidRPr="00C64AE8">
        <w:rPr>
          <w:rFonts w:hint="eastAsia"/>
          <w:rtl/>
        </w:rPr>
        <w:t>חברי</w:t>
      </w:r>
      <w:r w:rsidRPr="00C64AE8">
        <w:rPr>
          <w:rtl/>
        </w:rPr>
        <w:t xml:space="preserve"> </w:t>
      </w:r>
      <w:r w:rsidRPr="00C64AE8">
        <w:rPr>
          <w:rFonts w:hint="eastAsia"/>
          <w:rtl/>
        </w:rPr>
        <w:t>הכנסת</w:t>
      </w:r>
      <w:r w:rsidRPr="00C64AE8">
        <w:rPr>
          <w:rtl/>
        </w:rPr>
        <w:t xml:space="preserve"> </w:t>
      </w:r>
      <w:r w:rsidRPr="00C64AE8">
        <w:rPr>
          <w:rFonts w:hint="eastAsia"/>
          <w:rtl/>
        </w:rPr>
        <w:t>מהאופוזיציה</w:t>
      </w:r>
      <w:r w:rsidRPr="00C64AE8">
        <w:rPr>
          <w:rtl/>
        </w:rPr>
        <w:t xml:space="preserve"> </w:t>
      </w:r>
      <w:r w:rsidRPr="00C64AE8">
        <w:rPr>
          <w:rFonts w:hint="eastAsia"/>
          <w:rtl/>
        </w:rPr>
        <w:t>אף</w:t>
      </w:r>
      <w:r w:rsidRPr="00C64AE8">
        <w:rPr>
          <w:rtl/>
        </w:rPr>
        <w:t xml:space="preserve"> </w:t>
      </w:r>
      <w:r w:rsidRPr="00C64AE8">
        <w:rPr>
          <w:rFonts w:hint="eastAsia"/>
          <w:rtl/>
        </w:rPr>
        <w:t>לא</w:t>
      </w:r>
      <w:r w:rsidRPr="00C64AE8">
        <w:rPr>
          <w:rtl/>
        </w:rPr>
        <w:t xml:space="preserve"> </w:t>
      </w:r>
      <w:r w:rsidRPr="00C64AE8">
        <w:rPr>
          <w:rFonts w:hint="eastAsia"/>
          <w:rtl/>
        </w:rPr>
        <w:t>לקחו</w:t>
      </w:r>
      <w:r w:rsidRPr="00C64AE8">
        <w:rPr>
          <w:rtl/>
        </w:rPr>
        <w:t xml:space="preserve"> </w:t>
      </w:r>
      <w:r w:rsidRPr="00C64AE8">
        <w:rPr>
          <w:rFonts w:hint="eastAsia"/>
          <w:rtl/>
        </w:rPr>
        <w:t>כלל</w:t>
      </w:r>
      <w:r w:rsidRPr="00C64AE8">
        <w:rPr>
          <w:rtl/>
        </w:rPr>
        <w:t xml:space="preserve"> </w:t>
      </w:r>
      <w:r w:rsidRPr="00C64AE8">
        <w:rPr>
          <w:rFonts w:hint="eastAsia"/>
          <w:rtl/>
        </w:rPr>
        <w:t>חלק</w:t>
      </w:r>
      <w:r w:rsidRPr="00C64AE8">
        <w:rPr>
          <w:rtl/>
        </w:rPr>
        <w:t xml:space="preserve"> </w:t>
      </w:r>
      <w:r w:rsidRPr="00C64AE8">
        <w:rPr>
          <w:rFonts w:hint="eastAsia"/>
          <w:rtl/>
        </w:rPr>
        <w:t>בהצבעה</w:t>
      </w:r>
      <w:r w:rsidRPr="00C64AE8">
        <w:rPr>
          <w:rtl/>
        </w:rPr>
        <w:t xml:space="preserve"> במליאה</w:t>
      </w:r>
      <w:r w:rsidRPr="00C64AE8">
        <w:rPr>
          <w:rFonts w:hint="cs"/>
          <w:rtl/>
        </w:rPr>
        <w:t xml:space="preserve"> כאקט של הבעת "מחאה"</w:t>
      </w:r>
      <w:r w:rsidRPr="00C64AE8">
        <w:rPr>
          <w:rtl/>
        </w:rPr>
        <w:t xml:space="preserve">. אין אם כן כל אינדיקציה המפיגה את החשש </w:t>
      </w:r>
      <w:r w:rsidRPr="00C64AE8">
        <w:rPr>
          <w:rFonts w:hint="cs"/>
          <w:rtl/>
        </w:rPr>
        <w:t xml:space="preserve">הנובע מניגוד העניינים המוסדי בו הייתה מצויה הכנסת בכינונה את התיקון </w:t>
      </w:r>
      <w:r w:rsidRPr="00C64AE8">
        <w:rPr>
          <w:rtl/>
        </w:rPr>
        <w:t xml:space="preserve">– שנועד </w:t>
      </w:r>
      <w:r w:rsidRPr="00C64AE8">
        <w:rPr>
          <w:rFonts w:hint="cs"/>
          <w:rtl/>
        </w:rPr>
        <w:t xml:space="preserve">כאמור </w:t>
      </w:r>
      <w:r w:rsidRPr="00C64AE8">
        <w:rPr>
          <w:rtl/>
        </w:rPr>
        <w:t>ל</w:t>
      </w:r>
      <w:r w:rsidRPr="00C64AE8">
        <w:rPr>
          <w:rFonts w:hint="cs"/>
          <w:rtl/>
        </w:rPr>
        <w:t>צמצם את סמכויותיה של הרשות השופטת בהפעלת הביקורת השיפוטית על הרשות המבצעת</w:t>
      </w:r>
      <w:r w:rsidRPr="00C64AE8">
        <w:rPr>
          <w:rtl/>
        </w:rPr>
        <w:t xml:space="preserve">. </w:t>
      </w:r>
      <w:r w:rsidRPr="00C64AE8">
        <w:rPr>
          <w:rFonts w:hint="cs"/>
          <w:rtl/>
        </w:rPr>
        <w:t>החשש הנובע מערעור שיווי המשקל בין הרשויות ומניגוד העניינים המובנה בו הייתה מצויה הכנסת לא הופג, באופן המחייב לטעמי ביקורת שיפוטית הדוקה יותר.</w:t>
      </w:r>
      <w:r w:rsidRPr="00C64AE8">
        <w:rPr>
          <w:rtl/>
        </w:rPr>
        <w:t xml:space="preserve"> </w:t>
      </w:r>
    </w:p>
    <w:p w:rsidR="00A01E7C" w:rsidRPr="00FB1906" w:rsidRDefault="00A01E7C" w:rsidP="00FB1906">
      <w:pPr>
        <w:spacing w:line="360" w:lineRule="auto"/>
        <w:rPr>
          <w:rFonts w:ascii="Garamond" w:hAnsi="Garamond" w:cs="FrankRuehl"/>
          <w:spacing w:val="10"/>
          <w:sz w:val="24"/>
          <w:szCs w:val="28"/>
          <w:rtl/>
        </w:rPr>
      </w:pPr>
    </w:p>
    <w:p w:rsidR="00A01E7C" w:rsidRPr="00C64AE8" w:rsidRDefault="00A01E7C" w:rsidP="00FB1906">
      <w:pPr>
        <w:spacing w:line="360" w:lineRule="auto"/>
        <w:rPr>
          <w:rFonts w:ascii="Century" w:hAnsi="Century" w:cs="Miriam"/>
          <w:b/>
          <w:rtl/>
        </w:rPr>
      </w:pPr>
      <w:r w:rsidRPr="00C64AE8">
        <w:rPr>
          <w:rFonts w:ascii="Century" w:hAnsi="Century" w:cs="Miriam" w:hint="cs"/>
          <w:b/>
          <w:rtl/>
        </w:rPr>
        <w:t>(ג)</w:t>
      </w:r>
      <w:r w:rsidRPr="00C64AE8">
        <w:rPr>
          <w:rFonts w:ascii="Century" w:hAnsi="Century" w:cs="Miriam"/>
          <w:b/>
          <w:rtl/>
        </w:rPr>
        <w:tab/>
      </w:r>
      <w:r w:rsidRPr="00C64AE8">
        <w:rPr>
          <w:rFonts w:ascii="Century" w:hAnsi="Century" w:cs="Miriam" w:hint="cs"/>
          <w:b/>
          <w:rtl/>
        </w:rPr>
        <w:t>תחולתו המיידית של התיקון והשינוי המיידי ב"כללי המשחק"</w:t>
      </w:r>
    </w:p>
    <w:p w:rsidR="00A01E7C" w:rsidRPr="00C64AE8" w:rsidRDefault="00A01E7C" w:rsidP="00FB1906">
      <w:pPr>
        <w:spacing w:line="360" w:lineRule="auto"/>
        <w:rPr>
          <w:rFonts w:ascii="Century" w:hAnsi="Century" w:cs="Miriam"/>
          <w:b/>
          <w:sz w:val="22"/>
          <w:szCs w:val="28"/>
          <w:rtl/>
        </w:rPr>
      </w:pPr>
    </w:p>
    <w:p w:rsidR="002C7ED4" w:rsidRDefault="00A01E7C" w:rsidP="002C7ED4">
      <w:pPr>
        <w:pStyle w:val="Ruller4"/>
      </w:pPr>
      <w:r>
        <w:rPr>
          <w:rFonts w:hint="cs"/>
          <w:rtl/>
        </w:rPr>
        <w:t xml:space="preserve">לכל אלה יש להוסיף את העובדה שתחולתו של התיקון היא מיידית. התיקון שהתקבל על ידי הכנסת בקולות הקואליציה בלבד, הוא תיקון שלנוכח תחולתו המיידית מי ש"נהנית" ממנו היא גם הממשלה הנוכחית שהוקמה על ידי אותה קואליציה. זאת מאחר שהתיקון נועד לצמצם על אתר את היקף הביקורת השיפוטית על פעולותיה של </w:t>
      </w:r>
      <w:r>
        <w:rPr>
          <w:rFonts w:hint="cs"/>
          <w:rtl/>
        </w:rPr>
        <w:lastRenderedPageBreak/>
        <w:t xml:space="preserve">הרשות המבצעת. תחולתו המיידית של התיקון מגבירה את החשש לניגוד עניינים באופן המחייב החלת סטנדרט ביקורת שיביא עניינים אלה בחשבון, ובהתאם תגבר הנכונות להתערב בו (על הבעייתיות בתחולתו המיידית של תיקון משטרי מהותי עמד בית משפט זה בהרחבה בעניין </w:t>
      </w:r>
      <w:r w:rsidRPr="00A632E3">
        <w:rPr>
          <w:rFonts w:ascii="Century" w:hAnsi="Century" w:cs="Miriam" w:hint="eastAsia"/>
          <w:b/>
          <w:spacing w:val="0"/>
          <w:sz w:val="22"/>
          <w:szCs w:val="24"/>
          <w:rtl/>
        </w:rPr>
        <w:t>ממשלת</w:t>
      </w:r>
      <w:r w:rsidRPr="00A632E3">
        <w:rPr>
          <w:rFonts w:ascii="Century" w:hAnsi="Century" w:cs="Miriam"/>
          <w:b/>
          <w:spacing w:val="0"/>
          <w:sz w:val="22"/>
          <w:szCs w:val="24"/>
          <w:rtl/>
        </w:rPr>
        <w:t xml:space="preserve"> </w:t>
      </w:r>
      <w:r w:rsidRPr="00A632E3">
        <w:rPr>
          <w:rFonts w:ascii="Century" w:hAnsi="Century" w:cs="Miriam" w:hint="eastAsia"/>
          <w:b/>
          <w:spacing w:val="0"/>
          <w:sz w:val="22"/>
          <w:szCs w:val="24"/>
          <w:rtl/>
        </w:rPr>
        <w:t>החילופים</w:t>
      </w:r>
      <w:r>
        <w:rPr>
          <w:rFonts w:hint="cs"/>
          <w:rtl/>
        </w:rPr>
        <w:t xml:space="preserve">). </w:t>
      </w:r>
    </w:p>
    <w:p w:rsidR="002C7ED4" w:rsidRDefault="002C7ED4" w:rsidP="002C7ED4">
      <w:pPr>
        <w:pStyle w:val="Ruller4"/>
        <w:numPr>
          <w:ilvl w:val="0"/>
          <w:numId w:val="0"/>
        </w:numPr>
        <w:rPr>
          <w:rtl/>
        </w:rPr>
      </w:pPr>
    </w:p>
    <w:p w:rsidR="002C7ED4" w:rsidRDefault="002C7ED4" w:rsidP="002C7ED4">
      <w:pPr>
        <w:pStyle w:val="Ruller4"/>
        <w:numPr>
          <w:ilvl w:val="0"/>
          <w:numId w:val="0"/>
        </w:numPr>
        <w:rPr>
          <w:rtl/>
        </w:rPr>
      </w:pPr>
      <w:r>
        <w:rPr>
          <w:rtl/>
        </w:rPr>
        <w:tab/>
      </w:r>
      <w:r w:rsidR="00A01E7C">
        <w:rPr>
          <w:rFonts w:hint="cs"/>
          <w:rtl/>
        </w:rPr>
        <w:t xml:space="preserve">יודגש כי התיקון נוגע לעילת ביקורת שעוגנה בפסיקת בית המשפט העליון </w:t>
      </w:r>
      <w:r w:rsidR="00A01E7C" w:rsidRPr="00273396">
        <w:rPr>
          <w:rtl/>
        </w:rPr>
        <w:t>למעשה כמעט מאז קום המדינה</w:t>
      </w:r>
      <w:r w:rsidR="00A01E7C">
        <w:rPr>
          <w:rFonts w:hint="cs"/>
          <w:rtl/>
        </w:rPr>
        <w:t>. מאז עושה בה בית המשפט שימוש כדי לבקר את החלטות הרשות המבצעת בתחומים שונים, ובין היתר כדי להגן על זכויות ואינטרסים של הפרט.</w:t>
      </w:r>
      <w:r w:rsidR="00A01E7C" w:rsidRPr="00273396">
        <w:rPr>
          <w:rtl/>
        </w:rPr>
        <w:t xml:space="preserve"> </w:t>
      </w:r>
      <w:r w:rsidR="00A01E7C">
        <w:rPr>
          <w:rFonts w:hint="cs"/>
          <w:rtl/>
        </w:rPr>
        <w:t xml:space="preserve">התיקון, שנעשה תוך שימוש בכוחה הקואליציוני של הרשות המבצעת, מגביל את האפשרות של בית המשפט לפקח על כך שהרשות המבצעת לא תעשה שימוש לרעה בכוחה. </w:t>
      </w:r>
      <w:r w:rsidR="00A01E7C" w:rsidRPr="001F5E5F">
        <w:rPr>
          <w:rFonts w:hint="eastAsia"/>
          <w:rtl/>
        </w:rPr>
        <w:t>מדובר</w:t>
      </w:r>
      <w:r w:rsidR="00A01E7C" w:rsidRPr="001F5E5F">
        <w:rPr>
          <w:rtl/>
        </w:rPr>
        <w:t xml:space="preserve"> </w:t>
      </w:r>
      <w:r w:rsidR="00A01E7C" w:rsidRPr="001F5E5F">
        <w:rPr>
          <w:rFonts w:hint="eastAsia"/>
          <w:rtl/>
        </w:rPr>
        <w:t>בשינוי</w:t>
      </w:r>
      <w:r w:rsidR="00A01E7C" w:rsidRPr="001F5E5F">
        <w:rPr>
          <w:rtl/>
        </w:rPr>
        <w:t xml:space="preserve"> </w:t>
      </w:r>
      <w:r w:rsidR="00A01E7C" w:rsidRPr="001F5E5F">
        <w:rPr>
          <w:rFonts w:hint="eastAsia"/>
          <w:rtl/>
        </w:rPr>
        <w:t>רוחבי</w:t>
      </w:r>
      <w:r w:rsidR="00A01E7C" w:rsidRPr="001F5E5F">
        <w:rPr>
          <w:rtl/>
        </w:rPr>
        <w:t xml:space="preserve">, </w:t>
      </w:r>
      <w:r w:rsidR="00A01E7C" w:rsidRPr="001F5E5F">
        <w:rPr>
          <w:rFonts w:hint="eastAsia"/>
          <w:rtl/>
        </w:rPr>
        <w:t>השולל</w:t>
      </w:r>
      <w:r w:rsidR="00A01E7C" w:rsidRPr="001F5E5F">
        <w:rPr>
          <w:rtl/>
        </w:rPr>
        <w:t xml:space="preserve"> </w:t>
      </w:r>
      <w:r w:rsidR="00A01E7C" w:rsidRPr="001F5E5F">
        <w:rPr>
          <w:rFonts w:hint="eastAsia"/>
          <w:rtl/>
        </w:rPr>
        <w:t>מהרשות</w:t>
      </w:r>
      <w:r w:rsidR="00A01E7C" w:rsidRPr="001F5E5F">
        <w:rPr>
          <w:rtl/>
        </w:rPr>
        <w:t xml:space="preserve"> </w:t>
      </w:r>
      <w:r w:rsidR="00A01E7C" w:rsidRPr="001F5E5F">
        <w:rPr>
          <w:rFonts w:hint="eastAsia"/>
          <w:rtl/>
        </w:rPr>
        <w:t>השופטת</w:t>
      </w:r>
      <w:r w:rsidR="00A01E7C" w:rsidRPr="001F5E5F">
        <w:rPr>
          <w:rtl/>
        </w:rPr>
        <w:t xml:space="preserve"> </w:t>
      </w:r>
      <w:r w:rsidR="00A01E7C" w:rsidRPr="001F5E5F">
        <w:rPr>
          <w:rFonts w:hint="eastAsia"/>
          <w:rtl/>
        </w:rPr>
        <w:t>את</w:t>
      </w:r>
      <w:r w:rsidR="00A01E7C" w:rsidRPr="001F5E5F">
        <w:rPr>
          <w:rtl/>
        </w:rPr>
        <w:t xml:space="preserve"> </w:t>
      </w:r>
      <w:r w:rsidR="00A01E7C" w:rsidRPr="001F5E5F">
        <w:rPr>
          <w:rFonts w:hint="eastAsia"/>
          <w:rtl/>
        </w:rPr>
        <w:t>האפשרות</w:t>
      </w:r>
      <w:r w:rsidR="00A01E7C" w:rsidRPr="001F5E5F">
        <w:rPr>
          <w:rtl/>
        </w:rPr>
        <w:t xml:space="preserve"> </w:t>
      </w:r>
      <w:r w:rsidR="00A01E7C" w:rsidRPr="001F5E5F">
        <w:rPr>
          <w:rFonts w:hint="eastAsia"/>
          <w:rtl/>
        </w:rPr>
        <w:t>לדון</w:t>
      </w:r>
      <w:r w:rsidR="00A01E7C" w:rsidRPr="001F5E5F">
        <w:rPr>
          <w:rtl/>
        </w:rPr>
        <w:t xml:space="preserve"> </w:t>
      </w:r>
      <w:r w:rsidR="00A01E7C" w:rsidRPr="001F5E5F">
        <w:rPr>
          <w:rFonts w:hint="eastAsia"/>
          <w:rtl/>
        </w:rPr>
        <w:t>בכל</w:t>
      </w:r>
      <w:r w:rsidR="00A01E7C" w:rsidRPr="001F5E5F">
        <w:rPr>
          <w:rtl/>
        </w:rPr>
        <w:t xml:space="preserve"> </w:t>
      </w:r>
      <w:r w:rsidR="00A01E7C" w:rsidRPr="001F5E5F">
        <w:rPr>
          <w:rFonts w:hint="eastAsia"/>
          <w:rtl/>
        </w:rPr>
        <w:t>החלטות</w:t>
      </w:r>
      <w:r w:rsidR="00A01E7C" w:rsidRPr="001F5E5F">
        <w:rPr>
          <w:rtl/>
        </w:rPr>
        <w:t xml:space="preserve"> </w:t>
      </w:r>
      <w:r w:rsidR="00A01E7C" w:rsidRPr="001F5E5F">
        <w:rPr>
          <w:rFonts w:hint="eastAsia"/>
          <w:rtl/>
        </w:rPr>
        <w:t>הממשלה</w:t>
      </w:r>
      <w:r w:rsidR="00A01E7C" w:rsidRPr="001F5E5F">
        <w:rPr>
          <w:rtl/>
        </w:rPr>
        <w:t xml:space="preserve">, </w:t>
      </w:r>
      <w:r w:rsidR="00A01E7C" w:rsidRPr="001F5E5F">
        <w:rPr>
          <w:rFonts w:hint="eastAsia"/>
          <w:rtl/>
        </w:rPr>
        <w:t>ראש</w:t>
      </w:r>
      <w:r w:rsidR="00A01E7C" w:rsidRPr="001F5E5F">
        <w:rPr>
          <w:rtl/>
        </w:rPr>
        <w:t xml:space="preserve"> </w:t>
      </w:r>
      <w:r w:rsidR="00A01E7C" w:rsidRPr="001F5E5F">
        <w:rPr>
          <w:rFonts w:hint="eastAsia"/>
          <w:rtl/>
        </w:rPr>
        <w:t>הממשלה</w:t>
      </w:r>
      <w:r w:rsidR="00A01E7C" w:rsidRPr="001F5E5F">
        <w:rPr>
          <w:rtl/>
        </w:rPr>
        <w:t xml:space="preserve"> </w:t>
      </w:r>
      <w:r w:rsidR="00A01E7C" w:rsidRPr="001F5E5F">
        <w:rPr>
          <w:rFonts w:hint="eastAsia"/>
          <w:rtl/>
        </w:rPr>
        <w:t>והשרים</w:t>
      </w:r>
      <w:r w:rsidR="00A01E7C" w:rsidRPr="001F5E5F">
        <w:rPr>
          <w:rtl/>
        </w:rPr>
        <w:t xml:space="preserve"> </w:t>
      </w:r>
      <w:r w:rsidR="00A01E7C" w:rsidRPr="001F5E5F">
        <w:rPr>
          <w:rFonts w:hint="eastAsia"/>
          <w:rtl/>
        </w:rPr>
        <w:t>שנטען</w:t>
      </w:r>
      <w:r w:rsidR="00A01E7C" w:rsidRPr="001F5E5F">
        <w:rPr>
          <w:rtl/>
        </w:rPr>
        <w:t xml:space="preserve"> </w:t>
      </w:r>
      <w:r w:rsidR="00A01E7C" w:rsidRPr="001F5E5F">
        <w:rPr>
          <w:rFonts w:hint="eastAsia"/>
          <w:rtl/>
        </w:rPr>
        <w:t>לגביהן</w:t>
      </w:r>
      <w:r w:rsidR="00A01E7C" w:rsidRPr="001F5E5F">
        <w:rPr>
          <w:rtl/>
        </w:rPr>
        <w:t xml:space="preserve"> </w:t>
      </w:r>
      <w:r w:rsidR="00A01E7C" w:rsidRPr="001F5E5F">
        <w:rPr>
          <w:rFonts w:hint="eastAsia"/>
          <w:rtl/>
        </w:rPr>
        <w:t>שהתקבלו</w:t>
      </w:r>
      <w:r w:rsidR="00A01E7C" w:rsidRPr="001F5E5F">
        <w:rPr>
          <w:rtl/>
        </w:rPr>
        <w:t xml:space="preserve"> </w:t>
      </w:r>
      <w:r w:rsidR="00A01E7C" w:rsidRPr="001F5E5F">
        <w:rPr>
          <w:rFonts w:hint="eastAsia"/>
          <w:rtl/>
        </w:rPr>
        <w:t>בחוסר</w:t>
      </w:r>
      <w:r w:rsidR="00A01E7C" w:rsidRPr="001F5E5F">
        <w:rPr>
          <w:rtl/>
        </w:rPr>
        <w:t xml:space="preserve"> </w:t>
      </w:r>
      <w:r w:rsidR="00A01E7C" w:rsidRPr="001F5E5F">
        <w:rPr>
          <w:rFonts w:hint="eastAsia"/>
          <w:rtl/>
        </w:rPr>
        <w:t>סבירות</w:t>
      </w:r>
      <w:r w:rsidR="00A01E7C" w:rsidRPr="001F5E5F">
        <w:rPr>
          <w:rtl/>
        </w:rPr>
        <w:t xml:space="preserve"> </w:t>
      </w:r>
      <w:r w:rsidR="00A01E7C" w:rsidRPr="001F5E5F">
        <w:rPr>
          <w:rFonts w:hint="eastAsia"/>
          <w:rtl/>
        </w:rPr>
        <w:t>ולבקרן</w:t>
      </w:r>
      <w:r w:rsidR="00A01E7C" w:rsidRPr="001F5E5F">
        <w:rPr>
          <w:rtl/>
        </w:rPr>
        <w:t xml:space="preserve"> (</w:t>
      </w:r>
      <w:r w:rsidR="00A01E7C" w:rsidRPr="001F5E5F">
        <w:rPr>
          <w:rFonts w:hint="eastAsia"/>
          <w:rtl/>
        </w:rPr>
        <w:t>ולא</w:t>
      </w:r>
      <w:r w:rsidR="00A01E7C" w:rsidRPr="001F5E5F">
        <w:rPr>
          <w:rtl/>
        </w:rPr>
        <w:t xml:space="preserve"> </w:t>
      </w:r>
      <w:r w:rsidR="00A01E7C" w:rsidRPr="001F5E5F">
        <w:rPr>
          <w:rFonts w:hint="eastAsia"/>
          <w:rtl/>
        </w:rPr>
        <w:t>בהתוויה</w:t>
      </w:r>
      <w:r w:rsidR="00A01E7C" w:rsidRPr="001F5E5F">
        <w:rPr>
          <w:rtl/>
        </w:rPr>
        <w:t xml:space="preserve"> </w:t>
      </w:r>
      <w:r w:rsidR="00A01E7C" w:rsidRPr="001F5E5F">
        <w:rPr>
          <w:rFonts w:hint="eastAsia"/>
          <w:rtl/>
        </w:rPr>
        <w:t>של</w:t>
      </w:r>
      <w:r w:rsidR="00A01E7C" w:rsidRPr="001F5E5F">
        <w:rPr>
          <w:rtl/>
        </w:rPr>
        <w:t xml:space="preserve"> </w:t>
      </w:r>
      <w:r w:rsidR="00A01E7C" w:rsidRPr="001F5E5F">
        <w:rPr>
          <w:rFonts w:hint="eastAsia"/>
          <w:rtl/>
        </w:rPr>
        <w:t>אופן</w:t>
      </w:r>
      <w:r w:rsidR="00A01E7C" w:rsidRPr="001F5E5F">
        <w:rPr>
          <w:rtl/>
        </w:rPr>
        <w:t xml:space="preserve"> </w:t>
      </w:r>
      <w:r w:rsidR="00A01E7C" w:rsidRPr="001F5E5F">
        <w:rPr>
          <w:rFonts w:hint="eastAsia"/>
          <w:rtl/>
        </w:rPr>
        <w:t>הפעלת</w:t>
      </w:r>
      <w:r w:rsidR="00A01E7C" w:rsidRPr="001F5E5F">
        <w:rPr>
          <w:rtl/>
        </w:rPr>
        <w:t xml:space="preserve"> </w:t>
      </w:r>
      <w:r w:rsidR="00A01E7C" w:rsidRPr="001F5E5F">
        <w:rPr>
          <w:rFonts w:hint="eastAsia"/>
          <w:rtl/>
        </w:rPr>
        <w:t>סמכותו</w:t>
      </w:r>
      <w:r w:rsidR="00A01E7C" w:rsidRPr="001F5E5F">
        <w:rPr>
          <w:rtl/>
        </w:rPr>
        <w:t xml:space="preserve"> </w:t>
      </w:r>
      <w:r w:rsidR="00A01E7C" w:rsidRPr="001F5E5F">
        <w:rPr>
          <w:rFonts w:hint="eastAsia"/>
          <w:rtl/>
        </w:rPr>
        <w:t>השיפוטית</w:t>
      </w:r>
      <w:r w:rsidR="00A01E7C" w:rsidRPr="001F5E5F">
        <w:rPr>
          <w:rtl/>
        </w:rPr>
        <w:t xml:space="preserve"> </w:t>
      </w:r>
      <w:r w:rsidR="00A01E7C" w:rsidRPr="001F5E5F">
        <w:rPr>
          <w:rFonts w:hint="eastAsia"/>
          <w:rtl/>
        </w:rPr>
        <w:t>של</w:t>
      </w:r>
      <w:r w:rsidR="00A01E7C" w:rsidRPr="001F5E5F">
        <w:rPr>
          <w:rtl/>
        </w:rPr>
        <w:t xml:space="preserve"> </w:t>
      </w:r>
      <w:r w:rsidR="00A01E7C" w:rsidRPr="001F5E5F">
        <w:rPr>
          <w:rFonts w:hint="eastAsia"/>
          <w:rtl/>
        </w:rPr>
        <w:t>בית</w:t>
      </w:r>
      <w:r w:rsidR="00A01E7C" w:rsidRPr="001F5E5F">
        <w:rPr>
          <w:rtl/>
        </w:rPr>
        <w:t xml:space="preserve"> </w:t>
      </w:r>
      <w:r w:rsidR="00A01E7C" w:rsidRPr="001F5E5F">
        <w:rPr>
          <w:rFonts w:hint="eastAsia"/>
          <w:rtl/>
        </w:rPr>
        <w:t>המשפט</w:t>
      </w:r>
      <w:r w:rsidR="00A01E7C" w:rsidRPr="001F5E5F">
        <w:rPr>
          <w:rtl/>
        </w:rPr>
        <w:t xml:space="preserve"> </w:t>
      </w:r>
      <w:r w:rsidR="00A01E7C" w:rsidRPr="001F5E5F">
        <w:rPr>
          <w:rFonts w:hint="eastAsia"/>
          <w:rtl/>
        </w:rPr>
        <w:t>בתחום</w:t>
      </w:r>
      <w:r w:rsidR="00A01E7C" w:rsidRPr="001F5E5F">
        <w:rPr>
          <w:rtl/>
        </w:rPr>
        <w:t xml:space="preserve"> </w:t>
      </w:r>
      <w:r w:rsidR="00A01E7C" w:rsidRPr="001F5E5F">
        <w:rPr>
          <w:rFonts w:hint="eastAsia"/>
          <w:rtl/>
        </w:rPr>
        <w:t>מסוים</w:t>
      </w:r>
      <w:r w:rsidR="00A01E7C" w:rsidRPr="001F5E5F">
        <w:rPr>
          <w:rtl/>
        </w:rPr>
        <w:t xml:space="preserve"> </w:t>
      </w:r>
      <w:r w:rsidR="00A01E7C" w:rsidRPr="001F5E5F">
        <w:rPr>
          <w:rFonts w:hint="eastAsia"/>
          <w:rtl/>
        </w:rPr>
        <w:t>או</w:t>
      </w:r>
      <w:r w:rsidR="00A01E7C" w:rsidRPr="001F5E5F">
        <w:rPr>
          <w:rtl/>
        </w:rPr>
        <w:t xml:space="preserve"> </w:t>
      </w:r>
      <w:r w:rsidR="00A01E7C" w:rsidRPr="001F5E5F">
        <w:rPr>
          <w:rFonts w:hint="eastAsia"/>
          <w:rtl/>
        </w:rPr>
        <w:t>בנושא</w:t>
      </w:r>
      <w:r w:rsidR="00A01E7C" w:rsidRPr="001F5E5F">
        <w:rPr>
          <w:rtl/>
        </w:rPr>
        <w:t xml:space="preserve"> </w:t>
      </w:r>
      <w:r w:rsidR="00A01E7C" w:rsidRPr="001F5E5F">
        <w:rPr>
          <w:rFonts w:hint="eastAsia"/>
          <w:rtl/>
        </w:rPr>
        <w:t>מסוים</w:t>
      </w:r>
      <w:r w:rsidR="00A01E7C" w:rsidRPr="001F5E5F">
        <w:rPr>
          <w:rtl/>
        </w:rPr>
        <w:t>).</w:t>
      </w:r>
      <w:r w:rsidR="00A01E7C">
        <w:rPr>
          <w:rFonts w:hint="cs"/>
          <w:rtl/>
        </w:rPr>
        <w:t xml:space="preserve"> בכך משנה התיקון </w:t>
      </w:r>
      <w:r w:rsidR="00A01E7C" w:rsidRPr="00273396">
        <w:rPr>
          <w:rtl/>
        </w:rPr>
        <w:t xml:space="preserve">את כללי המשחק </w:t>
      </w:r>
      <w:r w:rsidR="00A01E7C">
        <w:rPr>
          <w:rFonts w:hint="cs"/>
          <w:rtl/>
        </w:rPr>
        <w:t xml:space="preserve">הנוהגים זה מכבר </w:t>
      </w:r>
      <w:r w:rsidR="00A01E7C" w:rsidRPr="00273396">
        <w:rPr>
          <w:rtl/>
        </w:rPr>
        <w:t>במערכת היחסים בי</w:t>
      </w:r>
      <w:r w:rsidR="00A01E7C">
        <w:rPr>
          <w:rFonts w:hint="cs"/>
          <w:rtl/>
        </w:rPr>
        <w:t xml:space="preserve">ן הרשות המבצעת </w:t>
      </w:r>
      <w:r w:rsidR="00A01E7C" w:rsidRPr="00273396">
        <w:rPr>
          <w:rtl/>
        </w:rPr>
        <w:t>לבין הרשות השופטת.</w:t>
      </w:r>
      <w:r w:rsidR="00A01E7C">
        <w:rPr>
          <w:rFonts w:hint="cs"/>
          <w:rtl/>
        </w:rPr>
        <w:t xml:space="preserve"> על רקע דברים אלה, תחולתו המיידית מעצימה את החשש כי התיקון </w:t>
      </w:r>
      <w:r w:rsidR="00A01E7C">
        <w:rPr>
          <w:rtl/>
        </w:rPr>
        <w:t>–</w:t>
      </w:r>
      <w:r w:rsidR="00A01E7C">
        <w:rPr>
          <w:rFonts w:hint="cs"/>
          <w:rtl/>
        </w:rPr>
        <w:t xml:space="preserve"> אשר שולל באופן גורף </w:t>
      </w:r>
      <w:r w:rsidR="00A01E7C" w:rsidRPr="00273396">
        <w:rPr>
          <w:rtl/>
        </w:rPr>
        <w:t>את האפשרות לעשות שימוש בעיל</w:t>
      </w:r>
      <w:r w:rsidR="00A01E7C">
        <w:rPr>
          <w:rFonts w:hint="cs"/>
          <w:rtl/>
        </w:rPr>
        <w:t xml:space="preserve">ת הסבירות ככלי לפיקוח וביקורת על החלטות הממשלה, ראש הממשלה והשרים </w:t>
      </w:r>
      <w:r w:rsidR="00A01E7C">
        <w:rPr>
          <w:rtl/>
        </w:rPr>
        <w:t>–</w:t>
      </w:r>
      <w:r w:rsidR="00A01E7C">
        <w:rPr>
          <w:rFonts w:hint="cs"/>
          <w:rtl/>
        </w:rPr>
        <w:t xml:space="preserve"> נחקק תוך חריגה מהסמכות המכוננת ואינו חוקתי.</w:t>
      </w:r>
      <w:r w:rsidR="00A01E7C" w:rsidRPr="00273396">
        <w:rPr>
          <w:rtl/>
        </w:rPr>
        <w:t xml:space="preserve"> </w:t>
      </w:r>
    </w:p>
    <w:p w:rsidR="002C7ED4" w:rsidRDefault="002C7ED4" w:rsidP="002C7ED4">
      <w:pPr>
        <w:pStyle w:val="Ruller4"/>
        <w:numPr>
          <w:ilvl w:val="0"/>
          <w:numId w:val="0"/>
        </w:numPr>
        <w:rPr>
          <w:rtl/>
        </w:rPr>
      </w:pPr>
    </w:p>
    <w:p w:rsidR="002C7ED4" w:rsidRDefault="00A01E7C" w:rsidP="002C7ED4">
      <w:pPr>
        <w:pStyle w:val="Ruller4"/>
        <w:rPr>
          <w:rtl/>
        </w:rPr>
      </w:pPr>
      <w:r>
        <w:rPr>
          <w:rFonts w:hint="cs"/>
          <w:rtl/>
        </w:rPr>
        <w:t xml:space="preserve">אחזור ואבהיר כי </w:t>
      </w:r>
      <w:r w:rsidRPr="003773A1">
        <w:rPr>
          <w:rFonts w:hint="cs"/>
          <w:rtl/>
        </w:rPr>
        <w:t xml:space="preserve">המסקנה של הדברים האמורים אינה איסור על הרשות המחוקקת או המכוננת להשתמש בסמכותה כאשר היא מצויה בניגוד עניינים </w:t>
      </w:r>
      <w:r>
        <w:rPr>
          <w:rFonts w:hint="cs"/>
          <w:rtl/>
        </w:rPr>
        <w:t xml:space="preserve">מוסדי. זאת, גם כאשר החששות להשפעה של ניגוד העניינים גוברים לנוכח קבלת התיקון ברוב של הקואליציה בלבד, ולאור תחולתו המיידית של התיקון. ניגוד עניינים כזה </w:t>
      </w:r>
      <w:r w:rsidRPr="003773A1">
        <w:rPr>
          <w:rFonts w:hint="cs"/>
          <w:rtl/>
        </w:rPr>
        <w:t>הוא תוצר לוואי של שיטת המשטר</w:t>
      </w:r>
      <w:r>
        <w:rPr>
          <w:rFonts w:hint="cs"/>
          <w:rtl/>
        </w:rPr>
        <w:t>,</w:t>
      </w:r>
      <w:r w:rsidRPr="003773A1">
        <w:rPr>
          <w:rFonts w:hint="cs"/>
          <w:rtl/>
        </w:rPr>
        <w:t xml:space="preserve"> ו</w:t>
      </w:r>
      <w:r>
        <w:rPr>
          <w:rFonts w:hint="cs"/>
          <w:rtl/>
        </w:rPr>
        <w:t xml:space="preserve">הוא </w:t>
      </w:r>
      <w:r w:rsidRPr="003773A1">
        <w:rPr>
          <w:rFonts w:hint="cs"/>
          <w:rtl/>
        </w:rPr>
        <w:t>מאפיין כל חקיקה הנוגעת ל</w:t>
      </w:r>
      <w:r>
        <w:rPr>
          <w:rFonts w:hint="cs"/>
          <w:rtl/>
        </w:rPr>
        <w:t>חלוקת ה</w:t>
      </w:r>
      <w:r w:rsidRPr="003773A1">
        <w:rPr>
          <w:rFonts w:hint="cs"/>
          <w:rtl/>
        </w:rPr>
        <w:t xml:space="preserve">סמכויות </w:t>
      </w:r>
      <w:r>
        <w:rPr>
          <w:rFonts w:hint="cs"/>
          <w:rtl/>
        </w:rPr>
        <w:t xml:space="preserve">בין </w:t>
      </w:r>
      <w:r w:rsidRPr="003773A1">
        <w:rPr>
          <w:rFonts w:hint="cs"/>
          <w:rtl/>
        </w:rPr>
        <w:t>הממשלה</w:t>
      </w:r>
      <w:r>
        <w:rPr>
          <w:rFonts w:hint="cs"/>
          <w:rtl/>
        </w:rPr>
        <w:t xml:space="preserve">, </w:t>
      </w:r>
      <w:r w:rsidRPr="003773A1">
        <w:rPr>
          <w:rFonts w:hint="cs"/>
          <w:rtl/>
        </w:rPr>
        <w:t>הכנסת</w:t>
      </w:r>
      <w:r>
        <w:rPr>
          <w:rFonts w:hint="cs"/>
          <w:rtl/>
        </w:rPr>
        <w:t xml:space="preserve"> ובית המשפט</w:t>
      </w:r>
      <w:r w:rsidRPr="003773A1">
        <w:rPr>
          <w:rFonts w:hint="cs"/>
          <w:rtl/>
        </w:rPr>
        <w:t xml:space="preserve">. יחד עם זאת, לניגוד העניינים </w:t>
      </w:r>
      <w:r>
        <w:rPr>
          <w:rFonts w:hint="cs"/>
          <w:rtl/>
        </w:rPr>
        <w:t>המוסדי</w:t>
      </w:r>
      <w:r w:rsidRPr="003773A1">
        <w:rPr>
          <w:rFonts w:hint="cs"/>
          <w:rtl/>
        </w:rPr>
        <w:t xml:space="preserve"> ו</w:t>
      </w:r>
      <w:r>
        <w:rPr>
          <w:rFonts w:hint="cs"/>
          <w:rtl/>
        </w:rPr>
        <w:t>ל</w:t>
      </w:r>
      <w:r w:rsidRPr="003773A1">
        <w:rPr>
          <w:rFonts w:hint="cs"/>
          <w:rtl/>
        </w:rPr>
        <w:t>חשש הנובע ממנו</w:t>
      </w:r>
      <w:r>
        <w:rPr>
          <w:rFonts w:hint="cs"/>
          <w:rtl/>
        </w:rPr>
        <w:t>, בעיקר כאשר הוא נוגע לעקרון הפרדת הרשויות ולשינוי "כללי המשחק" בהקשר זה,</w:t>
      </w:r>
      <w:r w:rsidRPr="003773A1">
        <w:rPr>
          <w:rFonts w:hint="cs"/>
          <w:rtl/>
        </w:rPr>
        <w:t xml:space="preserve"> צריכה להיות השלכה על סטנדרט הביקורת </w:t>
      </w:r>
      <w:r>
        <w:rPr>
          <w:rFonts w:hint="cs"/>
          <w:rtl/>
        </w:rPr>
        <w:t>ש</w:t>
      </w:r>
      <w:r w:rsidRPr="003773A1">
        <w:rPr>
          <w:rFonts w:hint="cs"/>
          <w:rtl/>
        </w:rPr>
        <w:t>לאורו י</w:t>
      </w:r>
      <w:r>
        <w:rPr>
          <w:rFonts w:hint="cs"/>
          <w:rtl/>
        </w:rPr>
        <w:t>י</w:t>
      </w:r>
      <w:r w:rsidRPr="003773A1">
        <w:rPr>
          <w:rFonts w:hint="cs"/>
          <w:rtl/>
        </w:rPr>
        <w:t>בחן התיקון</w:t>
      </w:r>
      <w:r>
        <w:rPr>
          <w:rFonts w:hint="cs"/>
          <w:rtl/>
        </w:rPr>
        <w:t xml:space="preserve"> ולהביא לבחינתו ביתר חשדנות. </w:t>
      </w:r>
    </w:p>
    <w:p w:rsidR="002C7ED4" w:rsidRPr="002C7ED4" w:rsidRDefault="002C7ED4" w:rsidP="002C7ED4">
      <w:pPr>
        <w:pStyle w:val="Ruller41"/>
      </w:pPr>
    </w:p>
    <w:p w:rsidR="00A01E7C" w:rsidRPr="002C7ED4" w:rsidRDefault="00A01E7C" w:rsidP="002C7ED4">
      <w:pPr>
        <w:pStyle w:val="Ruller4"/>
        <w:rPr>
          <w:rtl/>
        </w:rPr>
      </w:pPr>
      <w:r>
        <w:rPr>
          <w:rFonts w:hint="cs"/>
          <w:rtl/>
        </w:rPr>
        <w:t xml:space="preserve">המסקנה של כל האמור לעיל לטעמי היא כי </w:t>
      </w:r>
      <w:r w:rsidRPr="002C7ED4">
        <w:rPr>
          <w:rFonts w:ascii="Century" w:hAnsi="Century" w:hint="cs"/>
          <w:sz w:val="22"/>
          <w:rtl/>
        </w:rPr>
        <w:t>יש להחיל סטנדרט ביקורת שיפוטית מחמיר יותר על התיקון נושא העתירות, קרי להחיל אמות מידה מקלות</w:t>
      </w:r>
      <w:r w:rsidRPr="002C7ED4">
        <w:rPr>
          <w:rFonts w:ascii="Century" w:hAnsi="Century"/>
          <w:sz w:val="22"/>
          <w:rtl/>
        </w:rPr>
        <w:t xml:space="preserve"> מעט יותר</w:t>
      </w:r>
      <w:r w:rsidRPr="002C7ED4">
        <w:rPr>
          <w:rFonts w:ascii="Century" w:hAnsi="Century" w:hint="cs"/>
          <w:sz w:val="22"/>
          <w:rtl/>
        </w:rPr>
        <w:t xml:space="preserve"> להתערבות בית המשפט</w:t>
      </w:r>
      <w:r w:rsidRPr="002C7ED4">
        <w:rPr>
          <w:rFonts w:ascii="Century" w:hAnsi="Century"/>
          <w:sz w:val="22"/>
          <w:rtl/>
        </w:rPr>
        <w:t xml:space="preserve"> בהתייחס </w:t>
      </w:r>
      <w:r w:rsidRPr="002C7ED4">
        <w:rPr>
          <w:rFonts w:ascii="Century" w:hAnsi="Century" w:hint="cs"/>
          <w:sz w:val="22"/>
          <w:rtl/>
        </w:rPr>
        <w:t xml:space="preserve">אליו.  </w:t>
      </w:r>
    </w:p>
    <w:p w:rsidR="00A01E7C" w:rsidRPr="00C64AE8" w:rsidRDefault="00A01E7C" w:rsidP="00A01E7C">
      <w:pPr>
        <w:spacing w:line="360" w:lineRule="auto"/>
        <w:rPr>
          <w:rFonts w:ascii="Century" w:hAnsi="Century" w:cs="Miriam"/>
          <w:b/>
          <w:sz w:val="22"/>
          <w:szCs w:val="28"/>
          <w:rtl/>
        </w:rPr>
      </w:pPr>
    </w:p>
    <w:p w:rsidR="00A01E7C" w:rsidRPr="00FF5D86" w:rsidRDefault="00A01E7C" w:rsidP="002C7ED4">
      <w:pPr>
        <w:pStyle w:val="Ruller4"/>
        <w:numPr>
          <w:ilvl w:val="0"/>
          <w:numId w:val="0"/>
        </w:numPr>
        <w:rPr>
          <w:rFonts w:ascii="Century" w:hAnsi="Century" w:cs="Miriam"/>
          <w:b/>
          <w:spacing w:val="0"/>
          <w:sz w:val="22"/>
          <w:szCs w:val="24"/>
          <w:rtl/>
        </w:rPr>
      </w:pPr>
      <w:r w:rsidRPr="00FF5D86">
        <w:rPr>
          <w:rFonts w:ascii="Century" w:hAnsi="Century" w:cs="Miriam" w:hint="eastAsia"/>
          <w:b/>
          <w:spacing w:val="0"/>
          <w:sz w:val="22"/>
          <w:szCs w:val="24"/>
          <w:rtl/>
        </w:rPr>
        <w:lastRenderedPageBreak/>
        <w:t>פגיעתו</w:t>
      </w:r>
      <w:r w:rsidRPr="00FF5D86">
        <w:rPr>
          <w:rFonts w:ascii="Century" w:hAnsi="Century" w:cs="Miriam"/>
          <w:b/>
          <w:spacing w:val="0"/>
          <w:sz w:val="22"/>
          <w:szCs w:val="24"/>
          <w:rtl/>
        </w:rPr>
        <w:t xml:space="preserve"> </w:t>
      </w:r>
      <w:r w:rsidRPr="00FF5D86">
        <w:rPr>
          <w:rFonts w:ascii="Century" w:hAnsi="Century" w:cs="Miriam" w:hint="eastAsia"/>
          <w:b/>
          <w:spacing w:val="0"/>
          <w:sz w:val="22"/>
          <w:szCs w:val="24"/>
          <w:rtl/>
        </w:rPr>
        <w:t>הקשה</w:t>
      </w:r>
      <w:r w:rsidRPr="00FF5D86">
        <w:rPr>
          <w:rFonts w:ascii="Century" w:hAnsi="Century" w:cs="Miriam"/>
          <w:b/>
          <w:spacing w:val="0"/>
          <w:sz w:val="22"/>
          <w:szCs w:val="24"/>
          <w:rtl/>
        </w:rPr>
        <w:t xml:space="preserve"> </w:t>
      </w:r>
      <w:r w:rsidRPr="00FF5D86">
        <w:rPr>
          <w:rFonts w:ascii="Century" w:hAnsi="Century" w:cs="Miriam" w:hint="eastAsia"/>
          <w:b/>
          <w:spacing w:val="0"/>
          <w:sz w:val="22"/>
          <w:szCs w:val="24"/>
          <w:rtl/>
        </w:rPr>
        <w:t>של</w:t>
      </w:r>
      <w:r w:rsidRPr="00FF5D86">
        <w:rPr>
          <w:rFonts w:ascii="Century" w:hAnsi="Century" w:cs="Miriam"/>
          <w:b/>
          <w:spacing w:val="0"/>
          <w:sz w:val="22"/>
          <w:szCs w:val="24"/>
          <w:rtl/>
        </w:rPr>
        <w:t xml:space="preserve"> </w:t>
      </w:r>
      <w:r w:rsidRPr="00FF5D86">
        <w:rPr>
          <w:rFonts w:ascii="Century" w:hAnsi="Century" w:cs="Miriam" w:hint="eastAsia"/>
          <w:b/>
          <w:spacing w:val="0"/>
          <w:sz w:val="22"/>
          <w:szCs w:val="24"/>
          <w:rtl/>
        </w:rPr>
        <w:t>התיקון</w:t>
      </w:r>
      <w:r w:rsidRPr="00FF5D86">
        <w:rPr>
          <w:rFonts w:ascii="Century" w:hAnsi="Century" w:cs="Miriam"/>
          <w:b/>
          <w:spacing w:val="0"/>
          <w:sz w:val="22"/>
          <w:szCs w:val="24"/>
          <w:rtl/>
        </w:rPr>
        <w:t xml:space="preserve"> </w:t>
      </w:r>
      <w:r w:rsidRPr="00FF5D86">
        <w:rPr>
          <w:rFonts w:ascii="Century" w:hAnsi="Century" w:cs="Miriam" w:hint="eastAsia"/>
          <w:b/>
          <w:spacing w:val="0"/>
          <w:sz w:val="22"/>
          <w:szCs w:val="24"/>
          <w:rtl/>
        </w:rPr>
        <w:t>בעקרונות</w:t>
      </w:r>
      <w:r w:rsidRPr="00FF5D86">
        <w:rPr>
          <w:rFonts w:ascii="Century" w:hAnsi="Century" w:cs="Miriam"/>
          <w:b/>
          <w:spacing w:val="0"/>
          <w:sz w:val="22"/>
          <w:szCs w:val="24"/>
          <w:rtl/>
        </w:rPr>
        <w:t xml:space="preserve"> </w:t>
      </w:r>
      <w:r w:rsidRPr="00FF5D86">
        <w:rPr>
          <w:rFonts w:ascii="Century" w:hAnsi="Century" w:cs="Miriam" w:hint="eastAsia"/>
          <w:b/>
          <w:spacing w:val="0"/>
          <w:sz w:val="22"/>
          <w:szCs w:val="24"/>
          <w:rtl/>
        </w:rPr>
        <w:t>הדמוקרטיים</w:t>
      </w:r>
    </w:p>
    <w:p w:rsidR="00A01E7C" w:rsidRDefault="00A01E7C" w:rsidP="002C7ED4">
      <w:pPr>
        <w:pStyle w:val="Ruller4"/>
        <w:numPr>
          <w:ilvl w:val="0"/>
          <w:numId w:val="0"/>
        </w:numPr>
        <w:rPr>
          <w:rtl/>
        </w:rPr>
      </w:pPr>
    </w:p>
    <w:p w:rsidR="002C7ED4" w:rsidRDefault="00A01E7C" w:rsidP="002C7ED4">
      <w:pPr>
        <w:pStyle w:val="Ruller4"/>
      </w:pPr>
      <w:r>
        <w:rPr>
          <w:rFonts w:hint="cs"/>
          <w:rtl/>
        </w:rPr>
        <w:t xml:space="preserve">משעמדתי על סטנדרט הביקורת אותו יש להחיל על התיקון דנן, יש להידרש לשאלה האם </w:t>
      </w:r>
      <w:r>
        <w:rPr>
          <w:rtl/>
        </w:rPr>
        <w:t>–</w:t>
      </w:r>
      <w:r>
        <w:rPr>
          <w:rFonts w:hint="cs"/>
          <w:rtl/>
        </w:rPr>
        <w:t xml:space="preserve"> בהתחשב בסטנדרט זה </w:t>
      </w:r>
      <w:r>
        <w:rPr>
          <w:rtl/>
        </w:rPr>
        <w:t>–</w:t>
      </w:r>
      <w:r>
        <w:rPr>
          <w:rFonts w:hint="cs"/>
          <w:rtl/>
        </w:rPr>
        <w:t xml:space="preserve"> יש בתיקון משום פגיעה קשה וחמורה באופייה הדמוקרטי של המדינה </w:t>
      </w:r>
      <w:r>
        <w:rPr>
          <w:rtl/>
        </w:rPr>
        <w:t>–</w:t>
      </w:r>
      <w:r>
        <w:rPr>
          <w:rFonts w:hint="cs"/>
          <w:rtl/>
        </w:rPr>
        <w:t xml:space="preserve"> שרק אם כן, יהיה מקום להכריז על פסילתו. הנשיאה (בדימ') </w:t>
      </w:r>
      <w:r w:rsidRPr="00CC1941">
        <w:rPr>
          <w:rFonts w:ascii="Century" w:hAnsi="Century" w:cs="Miriam" w:hint="eastAsia"/>
          <w:b/>
          <w:spacing w:val="0"/>
          <w:sz w:val="22"/>
          <w:szCs w:val="24"/>
          <w:rtl/>
        </w:rPr>
        <w:t>חיות</w:t>
      </w:r>
      <w:r>
        <w:rPr>
          <w:rFonts w:hint="cs"/>
          <w:rtl/>
        </w:rPr>
        <w:t xml:space="preserve"> עמדה בהרחבה בחוות דעתה על האופן בו עילת הסבירות משמשת מכשיר עיקרי וכלי חיוני של הביקורת השיפוטית על רשויות השלטון; והבהירה כיצד נטילתו משנה את מערך האיזונים בין הרשויות, מעצימה את הכוח השלטוני הנתון בידי הדרג הנבחר, ופוגעת פגיעה קשה בעקרון הפרדת הרשויות ובעקרון שלטון החוק </w:t>
      </w:r>
      <w:r>
        <w:rPr>
          <w:rtl/>
        </w:rPr>
        <w:t>–</w:t>
      </w:r>
      <w:r>
        <w:rPr>
          <w:rFonts w:hint="cs"/>
          <w:rtl/>
        </w:rPr>
        <w:t xml:space="preserve"> עקרונות שהם מהמאפיינים הגרעיניים של מדינת ישראל כמדינה דמוקרטית (ראו פסקאות 179-141 לפסק דינה). אני מצטרפת לכל הקביעות הללו ואינני רואה לנכון לחזור על הדברים. </w:t>
      </w:r>
    </w:p>
    <w:p w:rsidR="002C7ED4" w:rsidRDefault="002C7ED4" w:rsidP="002C7ED4">
      <w:pPr>
        <w:pStyle w:val="Ruller4"/>
        <w:numPr>
          <w:ilvl w:val="0"/>
          <w:numId w:val="0"/>
        </w:numPr>
        <w:rPr>
          <w:rtl/>
        </w:rPr>
      </w:pPr>
    </w:p>
    <w:p w:rsidR="00A01E7C" w:rsidRDefault="002C7ED4" w:rsidP="002C7ED4">
      <w:pPr>
        <w:pStyle w:val="Ruller4"/>
        <w:numPr>
          <w:ilvl w:val="0"/>
          <w:numId w:val="0"/>
        </w:numPr>
        <w:rPr>
          <w:rtl/>
        </w:rPr>
      </w:pPr>
      <w:r>
        <w:rPr>
          <w:rtl/>
        </w:rPr>
        <w:tab/>
      </w:r>
      <w:r w:rsidR="00A01E7C" w:rsidRPr="002C7ED4">
        <w:rPr>
          <w:rFonts w:ascii="Century" w:hAnsi="Century" w:hint="eastAsia"/>
          <w:sz w:val="22"/>
          <w:rtl/>
        </w:rPr>
        <w:t>על</w:t>
      </w:r>
      <w:r w:rsidR="00A01E7C" w:rsidRPr="002C7ED4">
        <w:rPr>
          <w:rFonts w:ascii="Century" w:hAnsi="Century"/>
          <w:sz w:val="22"/>
          <w:rtl/>
        </w:rPr>
        <w:t xml:space="preserve"> </w:t>
      </w:r>
      <w:r w:rsidR="00A01E7C" w:rsidRPr="002C7ED4">
        <w:rPr>
          <w:rFonts w:ascii="Century" w:hAnsi="Century" w:hint="eastAsia"/>
          <w:sz w:val="22"/>
          <w:rtl/>
        </w:rPr>
        <w:t>כל</w:t>
      </w:r>
      <w:r w:rsidR="00A01E7C" w:rsidRPr="002C7ED4">
        <w:rPr>
          <w:rFonts w:ascii="Century" w:hAnsi="Century"/>
          <w:sz w:val="22"/>
          <w:rtl/>
        </w:rPr>
        <w:t xml:space="preserve"> </w:t>
      </w:r>
      <w:r w:rsidR="00A01E7C" w:rsidRPr="002C7ED4">
        <w:rPr>
          <w:rFonts w:ascii="Century" w:hAnsi="Century" w:hint="eastAsia"/>
          <w:sz w:val="22"/>
          <w:rtl/>
        </w:rPr>
        <w:t>האמור</w:t>
      </w:r>
      <w:r w:rsidR="00A01E7C" w:rsidRPr="002C7ED4">
        <w:rPr>
          <w:rFonts w:ascii="Century" w:hAnsi="Century"/>
          <w:sz w:val="22"/>
          <w:rtl/>
        </w:rPr>
        <w:t xml:space="preserve"> </w:t>
      </w:r>
      <w:r w:rsidR="00A01E7C" w:rsidRPr="002C7ED4">
        <w:rPr>
          <w:rFonts w:ascii="Century" w:hAnsi="Century" w:hint="eastAsia"/>
          <w:sz w:val="22"/>
          <w:rtl/>
        </w:rPr>
        <w:t>אבקש</w:t>
      </w:r>
      <w:r w:rsidR="00A01E7C" w:rsidRPr="002C7ED4">
        <w:rPr>
          <w:rFonts w:ascii="Century" w:hAnsi="Century"/>
          <w:sz w:val="22"/>
          <w:rtl/>
        </w:rPr>
        <w:t xml:space="preserve"> </w:t>
      </w:r>
      <w:r w:rsidR="00A01E7C" w:rsidRPr="002C7ED4">
        <w:rPr>
          <w:rFonts w:ascii="Century" w:hAnsi="Century" w:hint="eastAsia"/>
          <w:sz w:val="22"/>
          <w:rtl/>
        </w:rPr>
        <w:t>להוסיף</w:t>
      </w:r>
      <w:r w:rsidR="00A01E7C" w:rsidRPr="002C7ED4">
        <w:rPr>
          <w:rFonts w:ascii="Century" w:hAnsi="Century"/>
          <w:sz w:val="22"/>
          <w:rtl/>
        </w:rPr>
        <w:t xml:space="preserve"> </w:t>
      </w:r>
      <w:r w:rsidR="00A01E7C" w:rsidRPr="002C7ED4">
        <w:rPr>
          <w:rFonts w:ascii="Century" w:hAnsi="Century" w:hint="eastAsia"/>
          <w:sz w:val="22"/>
          <w:rtl/>
        </w:rPr>
        <w:t>ולהתייחס</w:t>
      </w:r>
      <w:r w:rsidR="00A01E7C" w:rsidRPr="002C7ED4">
        <w:rPr>
          <w:rFonts w:ascii="Century" w:hAnsi="Century"/>
          <w:sz w:val="22"/>
          <w:rtl/>
        </w:rPr>
        <w:t xml:space="preserve"> </w:t>
      </w:r>
      <w:r w:rsidR="00A01E7C" w:rsidRPr="002C7ED4">
        <w:rPr>
          <w:rFonts w:ascii="Century" w:hAnsi="Century" w:hint="eastAsia"/>
          <w:sz w:val="22"/>
          <w:rtl/>
        </w:rPr>
        <w:t>באופן</w:t>
      </w:r>
      <w:r w:rsidR="00A01E7C" w:rsidRPr="002C7ED4">
        <w:rPr>
          <w:rFonts w:ascii="Century" w:hAnsi="Century"/>
          <w:sz w:val="22"/>
          <w:rtl/>
        </w:rPr>
        <w:t xml:space="preserve"> </w:t>
      </w:r>
      <w:r w:rsidR="00A01E7C" w:rsidRPr="002C7ED4">
        <w:rPr>
          <w:rFonts w:ascii="Century" w:hAnsi="Century" w:hint="eastAsia"/>
          <w:sz w:val="22"/>
          <w:rtl/>
        </w:rPr>
        <w:t>ספציפי</w:t>
      </w:r>
      <w:r w:rsidR="00A01E7C" w:rsidRPr="002C7ED4">
        <w:rPr>
          <w:rFonts w:ascii="Century" w:hAnsi="Century"/>
          <w:sz w:val="22"/>
          <w:rtl/>
        </w:rPr>
        <w:t xml:space="preserve"> </w:t>
      </w:r>
      <w:r w:rsidR="00A01E7C" w:rsidRPr="002C7ED4">
        <w:rPr>
          <w:rFonts w:ascii="Century" w:hAnsi="Century" w:hint="cs"/>
          <w:sz w:val="22"/>
          <w:rtl/>
        </w:rPr>
        <w:t xml:space="preserve">וביתר פירוט </w:t>
      </w:r>
      <w:r w:rsidR="00A01E7C" w:rsidRPr="002C7ED4">
        <w:rPr>
          <w:rFonts w:ascii="Century" w:hAnsi="Century" w:hint="eastAsia"/>
          <w:sz w:val="22"/>
          <w:rtl/>
        </w:rPr>
        <w:t>לעניין</w:t>
      </w:r>
      <w:r w:rsidR="00A01E7C" w:rsidRPr="002C7ED4">
        <w:rPr>
          <w:rFonts w:ascii="Century" w:hAnsi="Century"/>
          <w:sz w:val="22"/>
          <w:rtl/>
        </w:rPr>
        <w:t xml:space="preserve"> </w:t>
      </w:r>
      <w:r w:rsidR="00A01E7C" w:rsidRPr="002C7ED4">
        <w:rPr>
          <w:rFonts w:ascii="Century" w:hAnsi="Century" w:hint="cs"/>
          <w:sz w:val="22"/>
          <w:rtl/>
        </w:rPr>
        <w:t xml:space="preserve">ספציפי אחד </w:t>
      </w:r>
      <w:r w:rsidR="00A01E7C" w:rsidRPr="002C7ED4">
        <w:rPr>
          <w:rFonts w:ascii="Century" w:hAnsi="Century" w:hint="eastAsia"/>
          <w:sz w:val="22"/>
          <w:rtl/>
        </w:rPr>
        <w:t>הנובע</w:t>
      </w:r>
      <w:r w:rsidR="00A01E7C" w:rsidRPr="002C7ED4">
        <w:rPr>
          <w:rFonts w:ascii="Century" w:hAnsi="Century"/>
          <w:sz w:val="22"/>
          <w:rtl/>
        </w:rPr>
        <w:t xml:space="preserve"> </w:t>
      </w:r>
      <w:r w:rsidR="00A01E7C" w:rsidRPr="002C7ED4">
        <w:rPr>
          <w:rFonts w:ascii="Century" w:hAnsi="Century" w:hint="eastAsia"/>
          <w:sz w:val="22"/>
          <w:rtl/>
        </w:rPr>
        <w:t>לטעמי</w:t>
      </w:r>
      <w:r w:rsidR="00A01E7C" w:rsidRPr="002C7ED4">
        <w:rPr>
          <w:rFonts w:ascii="Century" w:hAnsi="Century"/>
          <w:sz w:val="22"/>
          <w:rtl/>
        </w:rPr>
        <w:t xml:space="preserve"> </w:t>
      </w:r>
      <w:r w:rsidR="00A01E7C" w:rsidRPr="002C7ED4">
        <w:rPr>
          <w:rFonts w:ascii="Century" w:hAnsi="Century" w:hint="eastAsia"/>
          <w:sz w:val="22"/>
          <w:rtl/>
        </w:rPr>
        <w:t>מהתיקון</w:t>
      </w:r>
      <w:r w:rsidR="00A01E7C" w:rsidRPr="002C7ED4">
        <w:rPr>
          <w:rFonts w:ascii="Century" w:hAnsi="Century"/>
          <w:sz w:val="22"/>
          <w:rtl/>
        </w:rPr>
        <w:t xml:space="preserve">, </w:t>
      </w:r>
      <w:r w:rsidR="00A01E7C" w:rsidRPr="002C7ED4">
        <w:rPr>
          <w:rFonts w:ascii="Century" w:hAnsi="Century" w:hint="eastAsia"/>
          <w:sz w:val="22"/>
          <w:rtl/>
        </w:rPr>
        <w:t>ואשר</w:t>
      </w:r>
      <w:r w:rsidR="00A01E7C" w:rsidRPr="002C7ED4">
        <w:rPr>
          <w:rFonts w:ascii="Century" w:hAnsi="Century"/>
          <w:sz w:val="22"/>
          <w:rtl/>
        </w:rPr>
        <w:t xml:space="preserve"> </w:t>
      </w:r>
      <w:r w:rsidR="00A01E7C" w:rsidRPr="002C7ED4">
        <w:rPr>
          <w:rFonts w:ascii="Century" w:hAnsi="Century" w:hint="eastAsia"/>
          <w:sz w:val="22"/>
          <w:rtl/>
        </w:rPr>
        <w:t>יש</w:t>
      </w:r>
      <w:r w:rsidR="00A01E7C" w:rsidRPr="002C7ED4">
        <w:rPr>
          <w:rFonts w:ascii="Century" w:hAnsi="Century"/>
          <w:sz w:val="22"/>
          <w:rtl/>
        </w:rPr>
        <w:t xml:space="preserve"> </w:t>
      </w:r>
      <w:r w:rsidR="00A01E7C" w:rsidRPr="002C7ED4">
        <w:rPr>
          <w:rFonts w:ascii="Century" w:hAnsi="Century" w:hint="eastAsia"/>
          <w:sz w:val="22"/>
          <w:rtl/>
        </w:rPr>
        <w:t>גם</w:t>
      </w:r>
      <w:r w:rsidR="00A01E7C" w:rsidRPr="002C7ED4">
        <w:rPr>
          <w:rFonts w:ascii="Century" w:hAnsi="Century"/>
          <w:sz w:val="22"/>
          <w:rtl/>
        </w:rPr>
        <w:t xml:space="preserve"> </w:t>
      </w:r>
      <w:r w:rsidR="00A01E7C" w:rsidRPr="002C7ED4">
        <w:rPr>
          <w:rFonts w:ascii="Century" w:hAnsi="Century" w:hint="eastAsia"/>
          <w:sz w:val="22"/>
          <w:rtl/>
        </w:rPr>
        <w:t>בו</w:t>
      </w:r>
      <w:r w:rsidR="00A01E7C" w:rsidRPr="002C7ED4">
        <w:rPr>
          <w:rFonts w:ascii="Century" w:hAnsi="Century"/>
          <w:sz w:val="22"/>
          <w:rtl/>
        </w:rPr>
        <w:t xml:space="preserve"> </w:t>
      </w:r>
      <w:r w:rsidR="00A01E7C" w:rsidRPr="002C7ED4">
        <w:rPr>
          <w:rFonts w:ascii="Century" w:hAnsi="Century" w:hint="eastAsia"/>
          <w:sz w:val="22"/>
          <w:rtl/>
        </w:rPr>
        <w:t>משום</w:t>
      </w:r>
      <w:r w:rsidR="00A01E7C" w:rsidRPr="002C7ED4">
        <w:rPr>
          <w:rFonts w:ascii="Century" w:hAnsi="Century"/>
          <w:sz w:val="22"/>
          <w:rtl/>
        </w:rPr>
        <w:t xml:space="preserve"> </w:t>
      </w:r>
      <w:r w:rsidR="00A01E7C" w:rsidRPr="002C7ED4">
        <w:rPr>
          <w:rFonts w:ascii="Century" w:hAnsi="Century" w:hint="eastAsia"/>
          <w:sz w:val="22"/>
          <w:rtl/>
        </w:rPr>
        <w:t>פגיעה</w:t>
      </w:r>
      <w:r w:rsidR="00A01E7C" w:rsidRPr="002C7ED4">
        <w:rPr>
          <w:rFonts w:ascii="Century" w:hAnsi="Century"/>
          <w:sz w:val="22"/>
          <w:rtl/>
        </w:rPr>
        <w:t xml:space="preserve"> </w:t>
      </w:r>
      <w:r w:rsidR="00A01E7C" w:rsidRPr="002C7ED4">
        <w:rPr>
          <w:rFonts w:ascii="Century" w:hAnsi="Century" w:hint="eastAsia"/>
          <w:sz w:val="22"/>
          <w:rtl/>
        </w:rPr>
        <w:t>משמעותית</w:t>
      </w:r>
      <w:r w:rsidR="00A01E7C" w:rsidRPr="002C7ED4">
        <w:rPr>
          <w:rFonts w:ascii="Century" w:hAnsi="Century"/>
          <w:sz w:val="22"/>
          <w:rtl/>
        </w:rPr>
        <w:t xml:space="preserve"> </w:t>
      </w:r>
      <w:r w:rsidR="00A01E7C" w:rsidRPr="002C7ED4">
        <w:rPr>
          <w:rFonts w:ascii="Century" w:hAnsi="Century" w:hint="eastAsia"/>
          <w:sz w:val="22"/>
          <w:rtl/>
        </w:rPr>
        <w:t>באופי</w:t>
      </w:r>
      <w:r w:rsidR="00A01E7C" w:rsidRPr="002C7ED4">
        <w:rPr>
          <w:rFonts w:ascii="Century" w:hAnsi="Century"/>
          <w:sz w:val="22"/>
          <w:rtl/>
        </w:rPr>
        <w:t xml:space="preserve"> </w:t>
      </w:r>
      <w:r w:rsidR="00A01E7C" w:rsidRPr="002C7ED4">
        <w:rPr>
          <w:rFonts w:ascii="Century" w:hAnsi="Century" w:hint="eastAsia"/>
          <w:sz w:val="22"/>
          <w:rtl/>
        </w:rPr>
        <w:t>הדמוקרטי</w:t>
      </w:r>
      <w:r w:rsidR="00A01E7C" w:rsidRPr="002C7ED4">
        <w:rPr>
          <w:rFonts w:ascii="Century" w:hAnsi="Century"/>
          <w:sz w:val="22"/>
          <w:rtl/>
        </w:rPr>
        <w:t xml:space="preserve"> </w:t>
      </w:r>
      <w:r w:rsidR="00A01E7C" w:rsidRPr="002C7ED4">
        <w:rPr>
          <w:rFonts w:ascii="Century" w:hAnsi="Century" w:hint="eastAsia"/>
          <w:sz w:val="22"/>
          <w:rtl/>
        </w:rPr>
        <w:t>של</w:t>
      </w:r>
      <w:r w:rsidR="00A01E7C" w:rsidRPr="002C7ED4">
        <w:rPr>
          <w:rFonts w:ascii="Century" w:hAnsi="Century"/>
          <w:sz w:val="22"/>
          <w:rtl/>
        </w:rPr>
        <w:t xml:space="preserve"> </w:t>
      </w:r>
      <w:r w:rsidR="00A01E7C" w:rsidRPr="002C7ED4">
        <w:rPr>
          <w:rFonts w:ascii="Century" w:hAnsi="Century" w:hint="eastAsia"/>
          <w:sz w:val="22"/>
          <w:rtl/>
        </w:rPr>
        <w:t>המדינה</w:t>
      </w:r>
      <w:r w:rsidR="00A01E7C" w:rsidRPr="002C7ED4">
        <w:rPr>
          <w:rFonts w:ascii="Century" w:hAnsi="Century"/>
          <w:sz w:val="22"/>
          <w:rtl/>
        </w:rPr>
        <w:t xml:space="preserve">: </w:t>
      </w:r>
      <w:r w:rsidR="00A01E7C" w:rsidRPr="002C7ED4">
        <w:rPr>
          <w:rFonts w:ascii="Century" w:hAnsi="Century" w:hint="eastAsia"/>
          <w:sz w:val="22"/>
          <w:rtl/>
        </w:rPr>
        <w:t>העדר</w:t>
      </w:r>
      <w:r w:rsidR="00A01E7C" w:rsidRPr="002C7ED4">
        <w:rPr>
          <w:rFonts w:ascii="Century" w:hAnsi="Century"/>
          <w:sz w:val="22"/>
          <w:rtl/>
        </w:rPr>
        <w:t xml:space="preserve"> </w:t>
      </w:r>
      <w:r w:rsidR="00A01E7C" w:rsidRPr="002C7ED4">
        <w:rPr>
          <w:rFonts w:ascii="Century" w:hAnsi="Century" w:hint="eastAsia"/>
          <w:sz w:val="22"/>
          <w:rtl/>
        </w:rPr>
        <w:t>האפשרות</w:t>
      </w:r>
      <w:r w:rsidR="00A01E7C" w:rsidRPr="002C7ED4">
        <w:rPr>
          <w:rFonts w:ascii="Century" w:hAnsi="Century"/>
          <w:sz w:val="22"/>
          <w:rtl/>
        </w:rPr>
        <w:t xml:space="preserve"> </w:t>
      </w:r>
      <w:r w:rsidR="00A01E7C" w:rsidRPr="002C7ED4">
        <w:rPr>
          <w:rFonts w:ascii="Century" w:hAnsi="Century" w:hint="eastAsia"/>
          <w:sz w:val="22"/>
          <w:rtl/>
        </w:rPr>
        <w:t>של</w:t>
      </w:r>
      <w:r w:rsidR="00A01E7C" w:rsidRPr="002C7ED4">
        <w:rPr>
          <w:rFonts w:ascii="Century" w:hAnsi="Century"/>
          <w:sz w:val="22"/>
          <w:rtl/>
        </w:rPr>
        <w:t xml:space="preserve"> </w:t>
      </w:r>
      <w:r w:rsidR="00A01E7C" w:rsidRPr="002C7ED4">
        <w:rPr>
          <w:rFonts w:ascii="Century" w:hAnsi="Century" w:hint="eastAsia"/>
          <w:sz w:val="22"/>
          <w:rtl/>
        </w:rPr>
        <w:t>בית</w:t>
      </w:r>
      <w:r w:rsidR="00A01E7C" w:rsidRPr="002C7ED4">
        <w:rPr>
          <w:rFonts w:ascii="Century" w:hAnsi="Century"/>
          <w:sz w:val="22"/>
          <w:rtl/>
        </w:rPr>
        <w:t xml:space="preserve"> </w:t>
      </w:r>
      <w:r w:rsidR="00A01E7C" w:rsidRPr="002C7ED4">
        <w:rPr>
          <w:rFonts w:ascii="Century" w:hAnsi="Century" w:hint="eastAsia"/>
          <w:sz w:val="22"/>
          <w:rtl/>
        </w:rPr>
        <w:t>המשפט</w:t>
      </w:r>
      <w:r w:rsidR="00A01E7C" w:rsidRPr="002C7ED4">
        <w:rPr>
          <w:rFonts w:ascii="Century" w:hAnsi="Century"/>
          <w:sz w:val="22"/>
          <w:rtl/>
        </w:rPr>
        <w:t xml:space="preserve"> </w:t>
      </w:r>
      <w:r w:rsidR="00A01E7C" w:rsidRPr="002C7ED4">
        <w:rPr>
          <w:rFonts w:ascii="Century" w:hAnsi="Century" w:hint="eastAsia"/>
          <w:sz w:val="22"/>
          <w:rtl/>
        </w:rPr>
        <w:t>להעמיד</w:t>
      </w:r>
      <w:r w:rsidR="00A01E7C" w:rsidRPr="002C7ED4">
        <w:rPr>
          <w:rFonts w:ascii="Century" w:hAnsi="Century"/>
          <w:sz w:val="22"/>
          <w:rtl/>
        </w:rPr>
        <w:t xml:space="preserve"> </w:t>
      </w:r>
      <w:r w:rsidR="00A01E7C" w:rsidRPr="002C7ED4">
        <w:rPr>
          <w:rFonts w:ascii="Century" w:hAnsi="Century" w:hint="eastAsia"/>
          <w:sz w:val="22"/>
          <w:rtl/>
        </w:rPr>
        <w:t>תחת</w:t>
      </w:r>
      <w:r w:rsidR="00A01E7C" w:rsidRPr="002C7ED4">
        <w:rPr>
          <w:rFonts w:ascii="Century" w:hAnsi="Century"/>
          <w:sz w:val="22"/>
          <w:rtl/>
        </w:rPr>
        <w:t xml:space="preserve"> </w:t>
      </w:r>
      <w:r w:rsidR="00A01E7C" w:rsidRPr="002C7ED4">
        <w:rPr>
          <w:rFonts w:ascii="Century" w:hAnsi="Century" w:hint="eastAsia"/>
          <w:sz w:val="22"/>
          <w:rtl/>
        </w:rPr>
        <w:t>שבט</w:t>
      </w:r>
      <w:r w:rsidR="00A01E7C" w:rsidRPr="002C7ED4">
        <w:rPr>
          <w:rFonts w:ascii="Century" w:hAnsi="Century"/>
          <w:sz w:val="22"/>
          <w:rtl/>
        </w:rPr>
        <w:t xml:space="preserve"> </w:t>
      </w:r>
      <w:r w:rsidR="00A01E7C" w:rsidRPr="002C7ED4">
        <w:rPr>
          <w:rFonts w:ascii="Century" w:hAnsi="Century" w:hint="eastAsia"/>
          <w:sz w:val="22"/>
          <w:rtl/>
        </w:rPr>
        <w:t>ביקורתו</w:t>
      </w:r>
      <w:r w:rsidR="00A01E7C" w:rsidRPr="002C7ED4">
        <w:rPr>
          <w:rFonts w:ascii="Century" w:hAnsi="Century"/>
          <w:sz w:val="22"/>
          <w:rtl/>
        </w:rPr>
        <w:t xml:space="preserve"> </w:t>
      </w:r>
      <w:r w:rsidR="00A01E7C" w:rsidRPr="002C7ED4">
        <w:rPr>
          <w:rFonts w:ascii="Century" w:hAnsi="Century" w:hint="cs"/>
          <w:sz w:val="22"/>
          <w:rtl/>
        </w:rPr>
        <w:t xml:space="preserve">החלטות בענייני </w:t>
      </w:r>
      <w:r w:rsidR="00A01E7C" w:rsidRPr="002C7ED4">
        <w:rPr>
          <w:rFonts w:ascii="Century" w:hAnsi="Century" w:hint="eastAsia"/>
          <w:sz w:val="22"/>
          <w:rtl/>
        </w:rPr>
        <w:t>מינויים</w:t>
      </w:r>
      <w:r w:rsidR="00A01E7C" w:rsidRPr="002C7ED4">
        <w:rPr>
          <w:rFonts w:ascii="Century" w:hAnsi="Century"/>
          <w:sz w:val="22"/>
          <w:rtl/>
        </w:rPr>
        <w:t xml:space="preserve"> </w:t>
      </w:r>
      <w:r w:rsidR="00A01E7C" w:rsidRPr="002C7ED4">
        <w:rPr>
          <w:rFonts w:ascii="Century" w:hAnsi="Century" w:hint="eastAsia"/>
          <w:sz w:val="22"/>
          <w:rtl/>
        </w:rPr>
        <w:t>ופיטורים</w:t>
      </w:r>
      <w:r w:rsidR="00A01E7C" w:rsidRPr="002C7ED4">
        <w:rPr>
          <w:rFonts w:ascii="Century" w:hAnsi="Century"/>
          <w:sz w:val="22"/>
          <w:rtl/>
        </w:rPr>
        <w:t xml:space="preserve"> </w:t>
      </w:r>
      <w:r w:rsidR="00A01E7C" w:rsidRPr="002C7ED4">
        <w:rPr>
          <w:rFonts w:ascii="Century" w:hAnsi="Century" w:hint="eastAsia"/>
          <w:sz w:val="22"/>
          <w:rtl/>
        </w:rPr>
        <w:t>של</w:t>
      </w:r>
      <w:r w:rsidR="00A01E7C" w:rsidRPr="002C7ED4">
        <w:rPr>
          <w:rFonts w:ascii="Century" w:hAnsi="Century"/>
          <w:sz w:val="22"/>
          <w:rtl/>
        </w:rPr>
        <w:t xml:space="preserve"> </w:t>
      </w:r>
      <w:r w:rsidR="00A01E7C" w:rsidRPr="002C7ED4">
        <w:rPr>
          <w:rFonts w:ascii="Century" w:hAnsi="Century" w:hint="eastAsia"/>
          <w:sz w:val="22"/>
          <w:rtl/>
        </w:rPr>
        <w:t>שומרי</w:t>
      </w:r>
      <w:r w:rsidR="00A01E7C" w:rsidRPr="002C7ED4">
        <w:rPr>
          <w:rFonts w:ascii="Century" w:hAnsi="Century"/>
          <w:sz w:val="22"/>
          <w:rtl/>
        </w:rPr>
        <w:t xml:space="preserve"> </w:t>
      </w:r>
      <w:r w:rsidR="00A01E7C" w:rsidRPr="002C7ED4">
        <w:rPr>
          <w:rFonts w:ascii="Century" w:hAnsi="Century" w:hint="eastAsia"/>
          <w:sz w:val="22"/>
          <w:rtl/>
        </w:rPr>
        <w:t>סף</w:t>
      </w:r>
      <w:r w:rsidR="00A01E7C" w:rsidRPr="002C7ED4">
        <w:rPr>
          <w:rFonts w:ascii="Century" w:hAnsi="Century"/>
          <w:sz w:val="22"/>
          <w:rtl/>
        </w:rPr>
        <w:t>.</w:t>
      </w:r>
      <w:r w:rsidR="00A01E7C" w:rsidRPr="002C7ED4">
        <w:rPr>
          <w:rFonts w:ascii="Century" w:hAnsi="Century" w:cs="Miriam" w:hint="cs"/>
          <w:b/>
          <w:szCs w:val="24"/>
          <w:rtl/>
        </w:rPr>
        <w:t xml:space="preserve"> </w:t>
      </w:r>
    </w:p>
    <w:p w:rsidR="00A01E7C" w:rsidRDefault="00A01E7C" w:rsidP="002C7ED4">
      <w:pPr>
        <w:pStyle w:val="Ruller4"/>
        <w:numPr>
          <w:ilvl w:val="0"/>
          <w:numId w:val="0"/>
        </w:numPr>
        <w:rPr>
          <w:rtl/>
        </w:rPr>
      </w:pPr>
    </w:p>
    <w:p w:rsidR="00A01E7C" w:rsidRDefault="00A01E7C" w:rsidP="002C7ED4">
      <w:pPr>
        <w:spacing w:line="360" w:lineRule="auto"/>
        <w:rPr>
          <w:rFonts w:ascii="Century" w:hAnsi="Century" w:cs="Miriam"/>
          <w:b/>
          <w:rtl/>
        </w:rPr>
      </w:pPr>
      <w:r>
        <w:rPr>
          <w:rFonts w:ascii="Century" w:hAnsi="Century" w:cs="Miriam" w:hint="cs"/>
          <w:b/>
          <w:rtl/>
        </w:rPr>
        <w:t>הפגיעה</w:t>
      </w:r>
      <w:r w:rsidRPr="00273396">
        <w:rPr>
          <w:rFonts w:ascii="Century" w:hAnsi="Century" w:cs="Miriam"/>
          <w:b/>
          <w:rtl/>
        </w:rPr>
        <w:t xml:space="preserve"> </w:t>
      </w:r>
      <w:r w:rsidRPr="00273396">
        <w:rPr>
          <w:rFonts w:ascii="Century" w:hAnsi="Century" w:cs="Miriam" w:hint="eastAsia"/>
          <w:b/>
          <w:rtl/>
        </w:rPr>
        <w:t>בפיקוח</w:t>
      </w:r>
      <w:r w:rsidRPr="00273396">
        <w:rPr>
          <w:rFonts w:ascii="Century" w:hAnsi="Century" w:cs="Miriam"/>
          <w:b/>
          <w:rtl/>
        </w:rPr>
        <w:t xml:space="preserve"> </w:t>
      </w:r>
      <w:r w:rsidRPr="00273396">
        <w:rPr>
          <w:rFonts w:ascii="Century" w:hAnsi="Century" w:cs="Miriam" w:hint="eastAsia"/>
          <w:b/>
          <w:rtl/>
        </w:rPr>
        <w:t>האפקטיבי</w:t>
      </w:r>
      <w:r w:rsidRPr="00273396">
        <w:rPr>
          <w:rFonts w:ascii="Century" w:hAnsi="Century" w:cs="Miriam"/>
          <w:b/>
          <w:rtl/>
        </w:rPr>
        <w:t xml:space="preserve"> </w:t>
      </w:r>
      <w:r>
        <w:rPr>
          <w:rFonts w:ascii="Century" w:hAnsi="Century" w:cs="Miriam" w:hint="cs"/>
          <w:b/>
          <w:rtl/>
        </w:rPr>
        <w:t>של</w:t>
      </w:r>
      <w:r w:rsidRPr="00273396">
        <w:rPr>
          <w:rFonts w:ascii="Century" w:hAnsi="Century" w:cs="Miriam"/>
          <w:b/>
          <w:rtl/>
        </w:rPr>
        <w:t xml:space="preserve"> </w:t>
      </w:r>
      <w:r w:rsidRPr="00273396">
        <w:rPr>
          <w:rFonts w:ascii="Century" w:hAnsi="Century" w:cs="Miriam" w:hint="eastAsia"/>
          <w:b/>
          <w:rtl/>
        </w:rPr>
        <w:t>שומרי</w:t>
      </w:r>
      <w:r w:rsidRPr="00273396">
        <w:rPr>
          <w:rFonts w:ascii="Century" w:hAnsi="Century" w:cs="Miriam"/>
          <w:b/>
          <w:rtl/>
        </w:rPr>
        <w:t xml:space="preserve"> </w:t>
      </w:r>
      <w:r w:rsidRPr="00273396">
        <w:rPr>
          <w:rFonts w:ascii="Century" w:hAnsi="Century" w:cs="Miriam" w:hint="eastAsia"/>
          <w:b/>
          <w:rtl/>
        </w:rPr>
        <w:t>הסף</w:t>
      </w:r>
    </w:p>
    <w:p w:rsidR="00A01E7C" w:rsidRPr="00CC1941" w:rsidRDefault="00A01E7C" w:rsidP="002C7ED4">
      <w:pPr>
        <w:spacing w:line="360" w:lineRule="auto"/>
        <w:rPr>
          <w:rFonts w:ascii="Century" w:hAnsi="Century" w:cs="FrankRuehl"/>
          <w:spacing w:val="10"/>
          <w:szCs w:val="28"/>
          <w:rtl/>
        </w:rPr>
      </w:pPr>
    </w:p>
    <w:p w:rsidR="002C7ED4" w:rsidRDefault="00A01E7C" w:rsidP="002C7ED4">
      <w:pPr>
        <w:pStyle w:val="Ruller4"/>
      </w:pPr>
      <w:r w:rsidRPr="00273396">
        <w:rPr>
          <w:rFonts w:hint="eastAsia"/>
          <w:rtl/>
        </w:rPr>
        <w:t>אחת</w:t>
      </w:r>
      <w:r w:rsidRPr="00273396">
        <w:rPr>
          <w:rtl/>
        </w:rPr>
        <w:t xml:space="preserve"> </w:t>
      </w:r>
      <w:r w:rsidRPr="00273396">
        <w:rPr>
          <w:rFonts w:hint="eastAsia"/>
          <w:rtl/>
        </w:rPr>
        <w:t>ההש</w:t>
      </w:r>
      <w:r>
        <w:rPr>
          <w:rFonts w:hint="cs"/>
          <w:rtl/>
        </w:rPr>
        <w:t xml:space="preserve">פעות </w:t>
      </w:r>
      <w:r w:rsidRPr="00273396">
        <w:rPr>
          <w:rFonts w:hint="eastAsia"/>
          <w:rtl/>
        </w:rPr>
        <w:t>הבעייתיות</w:t>
      </w:r>
      <w:r>
        <w:rPr>
          <w:rFonts w:hint="cs"/>
          <w:rtl/>
        </w:rPr>
        <w:t xml:space="preserve"> ומרחיקות הלכת</w:t>
      </w:r>
      <w:r w:rsidRPr="00273396">
        <w:rPr>
          <w:rtl/>
        </w:rPr>
        <w:t xml:space="preserve"> של התיקון נוגעת ל</w:t>
      </w:r>
      <w:r>
        <w:rPr>
          <w:rFonts w:hint="cs"/>
          <w:rtl/>
        </w:rPr>
        <w:t xml:space="preserve">פגיעה בתפקידם ובתפקודם של פקידי הממשל בכלל, בהם גם בעלי תפקידים בכירים ומשמעותיים, ובפרט של </w:t>
      </w:r>
      <w:r w:rsidRPr="00273396">
        <w:rPr>
          <w:rtl/>
        </w:rPr>
        <w:t>שומרי הסף</w:t>
      </w:r>
      <w:r>
        <w:rPr>
          <w:rFonts w:hint="cs"/>
          <w:rtl/>
        </w:rPr>
        <w:t>; ולהשלכה של הפגיעה הזו על שלטון החוק</w:t>
      </w:r>
      <w:r w:rsidRPr="00273396">
        <w:rPr>
          <w:rtl/>
        </w:rPr>
        <w:t>.</w:t>
      </w:r>
      <w:r>
        <w:rPr>
          <w:rFonts w:hint="cs"/>
          <w:rtl/>
        </w:rPr>
        <w:t xml:space="preserve"> המינהל הציבורי כולל פקידים שתפקידם הוא לוודא שהמערך הממשלתי מתנהל כנדרש. פקידים כאלה מכונים בדרך כלל "</w:t>
      </w:r>
      <w:r w:rsidRPr="00273396">
        <w:rPr>
          <w:rtl/>
        </w:rPr>
        <w:t>שומרי סף</w:t>
      </w:r>
      <w:r>
        <w:rPr>
          <w:rFonts w:hint="cs"/>
          <w:rtl/>
        </w:rPr>
        <w:t xml:space="preserve">", והם אמונים על עריכת ביקורת ופיקוח על פעולות של גורמים אחרים, כדי לוודא כי הם פועלים בהתאם לדין וכדי למנוע חוסר תקינות וניצול לרעה של הכוח השלטוני. שומרי סף קיימים בגופים רבים ובכלל זה בחברות ציבוריות, ברשויות מקומיות ובמערכות השלטון המרכזי. </w:t>
      </w:r>
    </w:p>
    <w:p w:rsidR="002C7ED4" w:rsidRDefault="002C7ED4" w:rsidP="002C7ED4">
      <w:pPr>
        <w:pStyle w:val="Ruller4"/>
        <w:numPr>
          <w:ilvl w:val="0"/>
          <w:numId w:val="0"/>
        </w:numPr>
        <w:rPr>
          <w:rtl/>
        </w:rPr>
      </w:pPr>
    </w:p>
    <w:p w:rsidR="00B72BEC" w:rsidRDefault="002C7ED4" w:rsidP="00B72BEC">
      <w:pPr>
        <w:pStyle w:val="Ruller4"/>
        <w:numPr>
          <w:ilvl w:val="0"/>
          <w:numId w:val="0"/>
        </w:numPr>
        <w:rPr>
          <w:rtl/>
        </w:rPr>
      </w:pPr>
      <w:r>
        <w:rPr>
          <w:rtl/>
        </w:rPr>
        <w:tab/>
      </w:r>
      <w:r w:rsidR="00A01E7C">
        <w:rPr>
          <w:rFonts w:hint="cs"/>
          <w:rtl/>
        </w:rPr>
        <w:t xml:space="preserve">תפקידם של שומרי הסף </w:t>
      </w:r>
      <w:r w:rsidR="00A01E7C">
        <w:rPr>
          <w:rtl/>
        </w:rPr>
        <w:t>–</w:t>
      </w:r>
      <w:r w:rsidR="00A01E7C">
        <w:rPr>
          <w:rFonts w:hint="cs"/>
          <w:rtl/>
        </w:rPr>
        <w:t xml:space="preserve"> כמו תפקידו של כל מבקר או מפקח </w:t>
      </w:r>
      <w:r w:rsidR="00A01E7C">
        <w:rPr>
          <w:rtl/>
        </w:rPr>
        <w:t>–</w:t>
      </w:r>
      <w:r w:rsidR="00A01E7C">
        <w:rPr>
          <w:rFonts w:hint="cs"/>
          <w:rtl/>
        </w:rPr>
        <w:t xml:space="preserve"> מחייב אותם לפעול לעיתים תכופות באופן המנוגד לאינטרס של הגופים המפוקחים. כדי להיות אפקטיביים, המחויבות היחידה של שומרי הסף צריכה להיות ביצוע מיטבי וחסר פניות של פעילות הפיקוח שהם הוסמכו לבצע. לכן, </w:t>
      </w:r>
      <w:r w:rsidR="00A01E7C" w:rsidRPr="00273396">
        <w:rPr>
          <w:rFonts w:hint="eastAsia"/>
          <w:rtl/>
        </w:rPr>
        <w:t>אחד</w:t>
      </w:r>
      <w:r w:rsidR="00A01E7C" w:rsidRPr="00273396">
        <w:rPr>
          <w:rtl/>
        </w:rPr>
        <w:t xml:space="preserve"> הנושאים המשמעותיים שיש לתת עליהם את הדעת כדי להבטיח כי שומרי הסף יבצעו את תפקידם החשוב כנדרש, הוא </w:t>
      </w:r>
      <w:r w:rsidR="00A01E7C">
        <w:rPr>
          <w:rFonts w:hint="cs"/>
          <w:rtl/>
        </w:rPr>
        <w:t>עצמאותם ו</w:t>
      </w:r>
      <w:r w:rsidR="00A01E7C" w:rsidRPr="00273396">
        <w:rPr>
          <w:rFonts w:hint="eastAsia"/>
          <w:rtl/>
        </w:rPr>
        <w:t>העדר</w:t>
      </w:r>
      <w:r w:rsidR="00A01E7C" w:rsidRPr="00273396">
        <w:rPr>
          <w:rtl/>
        </w:rPr>
        <w:t xml:space="preserve"> </w:t>
      </w:r>
      <w:r w:rsidR="00A01E7C" w:rsidRPr="00273396">
        <w:rPr>
          <w:rFonts w:hint="eastAsia"/>
          <w:rtl/>
        </w:rPr>
        <w:t>התלות</w:t>
      </w:r>
      <w:r w:rsidR="00A01E7C" w:rsidRPr="00273396">
        <w:rPr>
          <w:rtl/>
        </w:rPr>
        <w:t xml:space="preserve"> </w:t>
      </w:r>
      <w:r w:rsidR="00A01E7C" w:rsidRPr="00273396">
        <w:rPr>
          <w:rFonts w:hint="eastAsia"/>
          <w:rtl/>
        </w:rPr>
        <w:t>שלהם</w:t>
      </w:r>
      <w:r w:rsidR="00A01E7C" w:rsidRPr="00273396">
        <w:rPr>
          <w:rtl/>
        </w:rPr>
        <w:t xml:space="preserve"> </w:t>
      </w:r>
      <w:r w:rsidR="00A01E7C" w:rsidRPr="00273396">
        <w:rPr>
          <w:rFonts w:hint="eastAsia"/>
          <w:rtl/>
        </w:rPr>
        <w:t>בגורמים</w:t>
      </w:r>
      <w:r w:rsidR="00A01E7C" w:rsidRPr="00273396">
        <w:rPr>
          <w:rtl/>
        </w:rPr>
        <w:t xml:space="preserve"> </w:t>
      </w:r>
      <w:r w:rsidR="00A01E7C" w:rsidRPr="00273396">
        <w:rPr>
          <w:rFonts w:hint="eastAsia"/>
          <w:rtl/>
        </w:rPr>
        <w:t>שעליהם</w:t>
      </w:r>
      <w:r w:rsidR="00A01E7C" w:rsidRPr="00273396">
        <w:rPr>
          <w:rtl/>
        </w:rPr>
        <w:t xml:space="preserve"> </w:t>
      </w:r>
      <w:r w:rsidR="00A01E7C" w:rsidRPr="00273396">
        <w:rPr>
          <w:rFonts w:hint="eastAsia"/>
          <w:rtl/>
        </w:rPr>
        <w:t>הם</w:t>
      </w:r>
      <w:r w:rsidR="00A01E7C" w:rsidRPr="00273396">
        <w:rPr>
          <w:rtl/>
        </w:rPr>
        <w:t xml:space="preserve"> </w:t>
      </w:r>
      <w:r w:rsidR="00A01E7C" w:rsidRPr="00273396">
        <w:rPr>
          <w:rFonts w:hint="eastAsia"/>
          <w:rtl/>
        </w:rPr>
        <w:t>אמורים</w:t>
      </w:r>
      <w:r w:rsidR="00A01E7C" w:rsidRPr="00273396">
        <w:rPr>
          <w:rtl/>
        </w:rPr>
        <w:t xml:space="preserve"> </w:t>
      </w:r>
      <w:r w:rsidR="00A01E7C" w:rsidRPr="00273396">
        <w:rPr>
          <w:rFonts w:hint="eastAsia"/>
          <w:rtl/>
        </w:rPr>
        <w:t>לפקח</w:t>
      </w:r>
      <w:r w:rsidR="00A01E7C">
        <w:rPr>
          <w:rFonts w:hint="cs"/>
          <w:rtl/>
        </w:rPr>
        <w:t xml:space="preserve"> (ראו: יואב דותן </w:t>
      </w:r>
      <w:r w:rsidR="00A01E7C" w:rsidRPr="002C7ED4">
        <w:rPr>
          <w:rFonts w:ascii="Century" w:hAnsi="Century" w:cs="Miriam" w:hint="eastAsia"/>
          <w:b/>
          <w:spacing w:val="0"/>
          <w:sz w:val="22"/>
          <w:szCs w:val="24"/>
          <w:rtl/>
        </w:rPr>
        <w:lastRenderedPageBreak/>
        <w:t>ביקורת</w:t>
      </w:r>
      <w:r w:rsidR="00A01E7C" w:rsidRPr="00445F7E">
        <w:rPr>
          <w:rtl/>
        </w:rPr>
        <w:t xml:space="preserve"> </w:t>
      </w:r>
      <w:r w:rsidR="00A01E7C" w:rsidRPr="002C7ED4">
        <w:rPr>
          <w:rFonts w:ascii="Century" w:hAnsi="Century" w:cs="Miriam" w:hint="eastAsia"/>
          <w:b/>
          <w:spacing w:val="0"/>
          <w:sz w:val="22"/>
          <w:szCs w:val="24"/>
          <w:rtl/>
        </w:rPr>
        <w:t>שיפוטית</w:t>
      </w:r>
      <w:r w:rsidR="00A01E7C" w:rsidRPr="002C7ED4">
        <w:rPr>
          <w:rFonts w:ascii="Century" w:hAnsi="Century" w:cs="Miriam"/>
          <w:b/>
          <w:spacing w:val="0"/>
          <w:sz w:val="22"/>
          <w:szCs w:val="24"/>
          <w:rtl/>
        </w:rPr>
        <w:t xml:space="preserve"> </w:t>
      </w:r>
      <w:r w:rsidR="00A01E7C" w:rsidRPr="002C7ED4">
        <w:rPr>
          <w:rFonts w:ascii="Century" w:hAnsi="Century" w:cs="Miriam" w:hint="eastAsia"/>
          <w:b/>
          <w:spacing w:val="0"/>
          <w:sz w:val="22"/>
          <w:szCs w:val="24"/>
          <w:rtl/>
        </w:rPr>
        <w:t>על</w:t>
      </w:r>
      <w:r w:rsidR="00A01E7C" w:rsidRPr="002C7ED4">
        <w:rPr>
          <w:rFonts w:ascii="Century" w:hAnsi="Century" w:cs="Miriam"/>
          <w:b/>
          <w:spacing w:val="0"/>
          <w:sz w:val="22"/>
          <w:szCs w:val="24"/>
          <w:rtl/>
        </w:rPr>
        <w:t xml:space="preserve"> </w:t>
      </w:r>
      <w:r w:rsidR="00A01E7C" w:rsidRPr="002C7ED4">
        <w:rPr>
          <w:rFonts w:ascii="Century" w:hAnsi="Century" w:cs="Miriam" w:hint="eastAsia"/>
          <w:b/>
          <w:spacing w:val="0"/>
          <w:sz w:val="22"/>
          <w:szCs w:val="24"/>
          <w:rtl/>
        </w:rPr>
        <w:t>שיקול</w:t>
      </w:r>
      <w:r w:rsidR="00A01E7C" w:rsidRPr="002C7ED4">
        <w:rPr>
          <w:rFonts w:ascii="Century" w:hAnsi="Century" w:cs="Miriam"/>
          <w:b/>
          <w:spacing w:val="0"/>
          <w:sz w:val="22"/>
          <w:szCs w:val="24"/>
          <w:rtl/>
        </w:rPr>
        <w:t xml:space="preserve"> </w:t>
      </w:r>
      <w:r w:rsidR="00A01E7C" w:rsidRPr="002C7ED4">
        <w:rPr>
          <w:rFonts w:ascii="Century" w:hAnsi="Century" w:cs="Miriam" w:hint="eastAsia"/>
          <w:b/>
          <w:spacing w:val="0"/>
          <w:sz w:val="22"/>
          <w:szCs w:val="24"/>
          <w:rtl/>
        </w:rPr>
        <w:t>דעת</w:t>
      </w:r>
      <w:r w:rsidR="00A01E7C" w:rsidRPr="002C7ED4">
        <w:rPr>
          <w:rFonts w:ascii="Century" w:hAnsi="Century" w:cs="Miriam"/>
          <w:b/>
          <w:spacing w:val="0"/>
          <w:sz w:val="22"/>
          <w:szCs w:val="24"/>
          <w:rtl/>
        </w:rPr>
        <w:t xml:space="preserve"> </w:t>
      </w:r>
      <w:r w:rsidR="00A01E7C" w:rsidRPr="002C7ED4">
        <w:rPr>
          <w:rFonts w:ascii="Century" w:hAnsi="Century" w:cs="Miriam" w:hint="eastAsia"/>
          <w:b/>
          <w:spacing w:val="0"/>
          <w:sz w:val="22"/>
          <w:szCs w:val="24"/>
          <w:rtl/>
        </w:rPr>
        <w:t>מינהלי</w:t>
      </w:r>
      <w:r w:rsidR="00A01E7C">
        <w:rPr>
          <w:rFonts w:hint="cs"/>
          <w:rtl/>
        </w:rPr>
        <w:t xml:space="preserve"> כרך א 110 (2022) (להלן: </w:t>
      </w:r>
      <w:r w:rsidR="00A01E7C" w:rsidRPr="002C7ED4">
        <w:rPr>
          <w:rFonts w:ascii="Century" w:hAnsi="Century" w:cs="Miriam" w:hint="eastAsia"/>
          <w:b/>
          <w:spacing w:val="0"/>
          <w:sz w:val="22"/>
          <w:szCs w:val="24"/>
          <w:rtl/>
        </w:rPr>
        <w:t>דותן</w:t>
      </w:r>
      <w:r w:rsidR="00A01E7C" w:rsidRPr="002C7ED4">
        <w:rPr>
          <w:rFonts w:ascii="Century" w:hAnsi="Century" w:cs="Miriam"/>
          <w:b/>
          <w:spacing w:val="0"/>
          <w:sz w:val="22"/>
          <w:szCs w:val="24"/>
          <w:rtl/>
        </w:rPr>
        <w:t xml:space="preserve">, </w:t>
      </w:r>
      <w:r w:rsidR="00A01E7C" w:rsidRPr="002C7ED4">
        <w:rPr>
          <w:rFonts w:ascii="Century" w:hAnsi="Century" w:cs="Miriam" w:hint="eastAsia"/>
          <w:b/>
          <w:spacing w:val="0"/>
          <w:sz w:val="22"/>
          <w:szCs w:val="24"/>
          <w:rtl/>
        </w:rPr>
        <w:t>ביקורת</w:t>
      </w:r>
      <w:r w:rsidR="00A01E7C" w:rsidRPr="002C7ED4">
        <w:rPr>
          <w:rFonts w:ascii="Century" w:hAnsi="Century" w:cs="Miriam"/>
          <w:b/>
          <w:spacing w:val="0"/>
          <w:sz w:val="22"/>
          <w:szCs w:val="24"/>
          <w:rtl/>
        </w:rPr>
        <w:t xml:space="preserve"> </w:t>
      </w:r>
      <w:r w:rsidR="00A01E7C" w:rsidRPr="002C7ED4">
        <w:rPr>
          <w:rFonts w:ascii="Century" w:hAnsi="Century" w:cs="Miriam" w:hint="eastAsia"/>
          <w:b/>
          <w:spacing w:val="0"/>
          <w:sz w:val="22"/>
          <w:szCs w:val="24"/>
          <w:rtl/>
        </w:rPr>
        <w:t>שיפוטית</w:t>
      </w:r>
      <w:r w:rsidR="00A01E7C">
        <w:rPr>
          <w:rFonts w:hint="cs"/>
          <w:rtl/>
        </w:rPr>
        <w:t>))</w:t>
      </w:r>
      <w:r w:rsidR="00A01E7C" w:rsidRPr="00273396">
        <w:rPr>
          <w:rtl/>
        </w:rPr>
        <w:t>.</w:t>
      </w:r>
      <w:r w:rsidR="00A01E7C">
        <w:rPr>
          <w:rFonts w:hint="cs"/>
          <w:rtl/>
        </w:rPr>
        <w:t xml:space="preserve"> </w:t>
      </w:r>
    </w:p>
    <w:p w:rsidR="00B72BEC" w:rsidRDefault="00B72BEC" w:rsidP="00B72BEC">
      <w:pPr>
        <w:pStyle w:val="Ruller4"/>
        <w:numPr>
          <w:ilvl w:val="0"/>
          <w:numId w:val="0"/>
        </w:numPr>
        <w:rPr>
          <w:rtl/>
        </w:rPr>
      </w:pPr>
    </w:p>
    <w:p w:rsidR="00A01E7C" w:rsidRPr="00997F09" w:rsidRDefault="00B72BEC" w:rsidP="00B72BEC">
      <w:pPr>
        <w:pStyle w:val="Ruller4"/>
        <w:numPr>
          <w:ilvl w:val="0"/>
          <w:numId w:val="0"/>
        </w:numPr>
        <w:rPr>
          <w:rtl/>
        </w:rPr>
      </w:pPr>
      <w:r>
        <w:rPr>
          <w:rtl/>
        </w:rPr>
        <w:tab/>
      </w:r>
      <w:r w:rsidR="00A01E7C" w:rsidRPr="00816C4A">
        <w:rPr>
          <w:rFonts w:hint="eastAsia"/>
          <w:rtl/>
        </w:rPr>
        <w:t>כאשר</w:t>
      </w:r>
      <w:r w:rsidR="00A01E7C" w:rsidRPr="00816C4A">
        <w:rPr>
          <w:rtl/>
        </w:rPr>
        <w:t xml:space="preserve"> </w:t>
      </w:r>
      <w:r w:rsidR="00A01E7C" w:rsidRPr="00816C4A">
        <w:rPr>
          <w:rFonts w:hint="eastAsia"/>
          <w:rtl/>
        </w:rPr>
        <w:t>משרתו</w:t>
      </w:r>
      <w:r w:rsidR="00A01E7C" w:rsidRPr="00816C4A">
        <w:rPr>
          <w:rtl/>
        </w:rPr>
        <w:t xml:space="preserve"> </w:t>
      </w:r>
      <w:r w:rsidR="00A01E7C" w:rsidRPr="00816C4A">
        <w:rPr>
          <w:rFonts w:hint="eastAsia"/>
          <w:rtl/>
        </w:rPr>
        <w:t>של</w:t>
      </w:r>
      <w:r w:rsidR="00A01E7C" w:rsidRPr="00816C4A">
        <w:rPr>
          <w:rtl/>
        </w:rPr>
        <w:t xml:space="preserve"> </w:t>
      </w:r>
      <w:r w:rsidR="00A01E7C">
        <w:rPr>
          <w:rFonts w:hint="cs"/>
          <w:rtl/>
        </w:rPr>
        <w:t xml:space="preserve">שומר סף </w:t>
      </w:r>
      <w:r w:rsidR="00A01E7C" w:rsidRPr="00816C4A">
        <w:rPr>
          <w:rFonts w:hint="eastAsia"/>
          <w:rtl/>
        </w:rPr>
        <w:t>תלויה</w:t>
      </w:r>
      <w:r w:rsidR="00A01E7C">
        <w:rPr>
          <w:rFonts w:hint="cs"/>
          <w:rtl/>
        </w:rPr>
        <w:t xml:space="preserve"> </w:t>
      </w:r>
      <w:r w:rsidR="00A01E7C" w:rsidRPr="00816C4A">
        <w:rPr>
          <w:rFonts w:hint="eastAsia"/>
          <w:rtl/>
        </w:rPr>
        <w:t>באדם</w:t>
      </w:r>
      <w:r w:rsidR="00A01E7C" w:rsidRPr="00816C4A">
        <w:rPr>
          <w:rtl/>
        </w:rPr>
        <w:t xml:space="preserve"> </w:t>
      </w:r>
      <w:r w:rsidR="00A01E7C" w:rsidRPr="00816C4A">
        <w:rPr>
          <w:rFonts w:hint="eastAsia"/>
          <w:rtl/>
        </w:rPr>
        <w:t>אחר</w:t>
      </w:r>
      <w:r w:rsidR="00A01E7C">
        <w:rPr>
          <w:rFonts w:hint="cs"/>
          <w:rtl/>
        </w:rPr>
        <w:t>;</w:t>
      </w:r>
      <w:r w:rsidR="00A01E7C" w:rsidRPr="00816C4A">
        <w:rPr>
          <w:rtl/>
        </w:rPr>
        <w:t xml:space="preserve"> </w:t>
      </w:r>
      <w:r w:rsidR="00A01E7C">
        <w:rPr>
          <w:rFonts w:hint="cs"/>
          <w:rtl/>
        </w:rPr>
        <w:t xml:space="preserve">קרי </w:t>
      </w:r>
      <w:r w:rsidR="00A01E7C" w:rsidRPr="00816C4A">
        <w:rPr>
          <w:rFonts w:hint="eastAsia"/>
          <w:rtl/>
        </w:rPr>
        <w:t>כאשר</w:t>
      </w:r>
      <w:r w:rsidR="00A01E7C" w:rsidRPr="00816C4A">
        <w:rPr>
          <w:rtl/>
        </w:rPr>
        <w:t xml:space="preserve"> </w:t>
      </w:r>
      <w:r w:rsidR="00A01E7C" w:rsidRPr="00816C4A">
        <w:rPr>
          <w:rFonts w:hint="eastAsia"/>
          <w:rtl/>
        </w:rPr>
        <w:t>ישנן</w:t>
      </w:r>
      <w:r w:rsidR="00A01E7C" w:rsidRPr="00816C4A">
        <w:rPr>
          <w:rtl/>
        </w:rPr>
        <w:t xml:space="preserve"> </w:t>
      </w:r>
      <w:r w:rsidR="00A01E7C" w:rsidRPr="00816C4A">
        <w:rPr>
          <w:rFonts w:hint="eastAsia"/>
          <w:rtl/>
        </w:rPr>
        <w:t>תלות</w:t>
      </w:r>
      <w:r w:rsidR="00A01E7C" w:rsidRPr="00816C4A">
        <w:rPr>
          <w:rtl/>
        </w:rPr>
        <w:t xml:space="preserve"> </w:t>
      </w:r>
      <w:r w:rsidR="00A01E7C" w:rsidRPr="00816C4A">
        <w:rPr>
          <w:rFonts w:hint="eastAsia"/>
          <w:rtl/>
        </w:rPr>
        <w:t>וזיקה</w:t>
      </w:r>
      <w:r w:rsidR="00A01E7C" w:rsidRPr="00816C4A">
        <w:rPr>
          <w:rtl/>
        </w:rPr>
        <w:t xml:space="preserve"> </w:t>
      </w:r>
      <w:r w:rsidR="00A01E7C" w:rsidRPr="00816C4A">
        <w:rPr>
          <w:rFonts w:hint="eastAsia"/>
          <w:rtl/>
        </w:rPr>
        <w:t>בין</w:t>
      </w:r>
      <w:r w:rsidR="00A01E7C" w:rsidRPr="00816C4A">
        <w:rPr>
          <w:rtl/>
        </w:rPr>
        <w:t xml:space="preserve"> </w:t>
      </w:r>
      <w:r w:rsidR="00A01E7C">
        <w:rPr>
          <w:rFonts w:hint="cs"/>
          <w:rtl/>
        </w:rPr>
        <w:t>מינויו ו</w:t>
      </w:r>
      <w:r w:rsidR="00A01E7C" w:rsidRPr="00816C4A">
        <w:rPr>
          <w:rFonts w:hint="eastAsia"/>
          <w:rtl/>
        </w:rPr>
        <w:t>המשך</w:t>
      </w:r>
      <w:r w:rsidR="00A01E7C" w:rsidRPr="00816C4A">
        <w:rPr>
          <w:rtl/>
        </w:rPr>
        <w:t xml:space="preserve"> </w:t>
      </w:r>
      <w:r w:rsidR="00A01E7C" w:rsidRPr="00816C4A">
        <w:rPr>
          <w:rFonts w:hint="eastAsia"/>
          <w:rtl/>
        </w:rPr>
        <w:t>כהונ</w:t>
      </w:r>
      <w:r w:rsidR="00A01E7C">
        <w:rPr>
          <w:rFonts w:hint="cs"/>
          <w:rtl/>
        </w:rPr>
        <w:t xml:space="preserve">תו (ולעיתים גם תנאי שכרו) </w:t>
      </w:r>
      <w:r w:rsidR="00A01E7C" w:rsidRPr="00816C4A">
        <w:rPr>
          <w:rFonts w:hint="eastAsia"/>
          <w:rtl/>
        </w:rPr>
        <w:t>לבין</w:t>
      </w:r>
      <w:r w:rsidR="00A01E7C" w:rsidRPr="00816C4A">
        <w:rPr>
          <w:rtl/>
        </w:rPr>
        <w:t xml:space="preserve"> </w:t>
      </w:r>
      <w:r w:rsidR="00A01E7C">
        <w:rPr>
          <w:rFonts w:hint="cs"/>
          <w:rtl/>
        </w:rPr>
        <w:t xml:space="preserve">אותו אדם אחר </w:t>
      </w:r>
      <w:r w:rsidR="00A01E7C">
        <w:rPr>
          <w:rtl/>
        </w:rPr>
        <w:t>–</w:t>
      </w:r>
      <w:r w:rsidR="00A01E7C">
        <w:rPr>
          <w:rFonts w:hint="cs"/>
          <w:rtl/>
        </w:rPr>
        <w:t xml:space="preserve"> מצוי שומר הסף </w:t>
      </w:r>
      <w:r w:rsidR="00A01E7C" w:rsidRPr="00816C4A">
        <w:rPr>
          <w:rtl/>
        </w:rPr>
        <w:t>בניגוד עניינים מ</w:t>
      </w:r>
      <w:r w:rsidR="00A01E7C">
        <w:rPr>
          <w:rFonts w:hint="cs"/>
          <w:rtl/>
        </w:rPr>
        <w:t>ו</w:t>
      </w:r>
      <w:r w:rsidR="00A01E7C" w:rsidRPr="00816C4A">
        <w:rPr>
          <w:rtl/>
        </w:rPr>
        <w:t>בנ</w:t>
      </w:r>
      <w:r w:rsidR="00A01E7C">
        <w:rPr>
          <w:rFonts w:hint="cs"/>
          <w:rtl/>
        </w:rPr>
        <w:t>ה</w:t>
      </w:r>
      <w:r w:rsidR="00A01E7C" w:rsidRPr="00816C4A">
        <w:rPr>
          <w:rtl/>
        </w:rPr>
        <w:t xml:space="preserve"> ככל שהדבר נוגע להחלטות </w:t>
      </w:r>
      <w:r w:rsidR="00A01E7C">
        <w:rPr>
          <w:rFonts w:hint="cs"/>
          <w:rtl/>
        </w:rPr>
        <w:t>הנוגעות ל</w:t>
      </w:r>
      <w:r w:rsidR="00A01E7C" w:rsidRPr="00816C4A">
        <w:rPr>
          <w:rtl/>
        </w:rPr>
        <w:t xml:space="preserve">אינטרסים של </w:t>
      </w:r>
      <w:r w:rsidR="00A01E7C">
        <w:rPr>
          <w:rFonts w:hint="cs"/>
          <w:rtl/>
        </w:rPr>
        <w:t xml:space="preserve">אותו אדם אחר. </w:t>
      </w:r>
      <w:r w:rsidR="00A01E7C" w:rsidRPr="00816C4A">
        <w:rPr>
          <w:rtl/>
        </w:rPr>
        <w:t>במקרים כאלה, קשה להניח כי חרף העניין שיש לגורם הממנה</w:t>
      </w:r>
      <w:r w:rsidR="00A01E7C">
        <w:rPr>
          <w:rFonts w:hint="cs"/>
          <w:rtl/>
        </w:rPr>
        <w:t>-המפוקח</w:t>
      </w:r>
      <w:r w:rsidR="00A01E7C" w:rsidRPr="00816C4A">
        <w:rPr>
          <w:rtl/>
        </w:rPr>
        <w:t xml:space="preserve"> בהחלטה כזו או אחרת, יהיה </w:t>
      </w:r>
      <w:r w:rsidR="00A01E7C">
        <w:rPr>
          <w:rFonts w:hint="cs"/>
          <w:rtl/>
        </w:rPr>
        <w:t>שומר הסף</w:t>
      </w:r>
      <w:r w:rsidR="00A01E7C" w:rsidRPr="00816C4A">
        <w:rPr>
          <w:rtl/>
        </w:rPr>
        <w:t xml:space="preserve"> מסוגל לקבל החלטה </w:t>
      </w:r>
      <w:r w:rsidR="00A01E7C">
        <w:rPr>
          <w:rFonts w:hint="cs"/>
          <w:rtl/>
        </w:rPr>
        <w:t xml:space="preserve">עניינית </w:t>
      </w:r>
      <w:r w:rsidR="00A01E7C" w:rsidRPr="00816C4A">
        <w:rPr>
          <w:rtl/>
        </w:rPr>
        <w:t xml:space="preserve">שאינה מביאה </w:t>
      </w:r>
      <w:r w:rsidR="00A01E7C">
        <w:rPr>
          <w:rFonts w:hint="cs"/>
          <w:rtl/>
        </w:rPr>
        <w:t xml:space="preserve">כלל </w:t>
      </w:r>
      <w:r w:rsidR="00A01E7C" w:rsidRPr="00816C4A">
        <w:rPr>
          <w:rtl/>
        </w:rPr>
        <w:t>בחשבון את שאיפותיו ו</w:t>
      </w:r>
      <w:r w:rsidR="00A01E7C">
        <w:rPr>
          <w:rFonts w:hint="cs"/>
          <w:rtl/>
        </w:rPr>
        <w:t xml:space="preserve">את </w:t>
      </w:r>
      <w:r w:rsidR="00A01E7C">
        <w:rPr>
          <w:rtl/>
        </w:rPr>
        <w:t xml:space="preserve">האינטרסים של </w:t>
      </w:r>
      <w:r w:rsidR="00A01E7C">
        <w:rPr>
          <w:rFonts w:hint="cs"/>
          <w:rtl/>
        </w:rPr>
        <w:t>אותו גורם שמינה אותו ושאחראי על קידומו האפשרי או על פיטוריו</w:t>
      </w:r>
      <w:r w:rsidR="00A01E7C" w:rsidRPr="00816C4A">
        <w:rPr>
          <w:rtl/>
        </w:rPr>
        <w:t xml:space="preserve">. </w:t>
      </w:r>
      <w:r w:rsidR="00A01E7C" w:rsidRPr="00816C4A">
        <w:rPr>
          <w:rFonts w:hint="eastAsia"/>
          <w:rtl/>
        </w:rPr>
        <w:t>מכאן</w:t>
      </w:r>
      <w:r w:rsidR="00A01E7C" w:rsidRPr="00816C4A">
        <w:rPr>
          <w:rtl/>
        </w:rPr>
        <w:t xml:space="preserve"> </w:t>
      </w:r>
      <w:r w:rsidR="00A01E7C">
        <w:rPr>
          <w:rFonts w:hint="cs"/>
          <w:rtl/>
        </w:rPr>
        <w:t xml:space="preserve">נובע </w:t>
      </w:r>
      <w:r w:rsidR="00A01E7C" w:rsidRPr="00816C4A">
        <w:rPr>
          <w:rFonts w:hint="eastAsia"/>
          <w:rtl/>
        </w:rPr>
        <w:t>כי</w:t>
      </w:r>
      <w:r w:rsidR="00A01E7C" w:rsidRPr="00816C4A">
        <w:rPr>
          <w:rtl/>
        </w:rPr>
        <w:t xml:space="preserve"> יש חשיבות להליך מינוי "נקי" ו</w:t>
      </w:r>
      <w:r w:rsidR="00A01E7C">
        <w:rPr>
          <w:rFonts w:hint="cs"/>
          <w:rtl/>
        </w:rPr>
        <w:t>ל</w:t>
      </w:r>
      <w:r w:rsidR="00A01E7C" w:rsidRPr="00816C4A">
        <w:rPr>
          <w:rtl/>
        </w:rPr>
        <w:t xml:space="preserve">ניתוק הזיקה בין </w:t>
      </w:r>
      <w:r w:rsidR="00A01E7C">
        <w:rPr>
          <w:rFonts w:hint="cs"/>
          <w:rtl/>
        </w:rPr>
        <w:t>שומר הסף</w:t>
      </w:r>
      <w:r w:rsidR="00A01E7C" w:rsidRPr="00816C4A">
        <w:rPr>
          <w:rtl/>
        </w:rPr>
        <w:t xml:space="preserve"> לבין מי שאותו </w:t>
      </w:r>
      <w:r w:rsidR="00A01E7C" w:rsidRPr="00273396">
        <w:rPr>
          <w:rtl/>
        </w:rPr>
        <w:t xml:space="preserve">הוא אמור לבקר; </w:t>
      </w:r>
      <w:r w:rsidR="00A01E7C">
        <w:rPr>
          <w:rFonts w:hint="cs"/>
          <w:rtl/>
        </w:rPr>
        <w:t xml:space="preserve">כמו גם </w:t>
      </w:r>
      <w:r w:rsidR="00A01E7C" w:rsidRPr="00273396">
        <w:rPr>
          <w:rtl/>
        </w:rPr>
        <w:t>ל</w:t>
      </w:r>
      <w:r w:rsidR="00A01E7C">
        <w:rPr>
          <w:rFonts w:hint="cs"/>
          <w:rtl/>
        </w:rPr>
        <w:t>צמצום</w:t>
      </w:r>
      <w:r w:rsidR="00A01E7C" w:rsidRPr="00273396">
        <w:rPr>
          <w:rtl/>
        </w:rPr>
        <w:t xml:space="preserve"> </w:t>
      </w:r>
      <w:r w:rsidR="00A01E7C">
        <w:rPr>
          <w:rFonts w:hint="cs"/>
          <w:rtl/>
        </w:rPr>
        <w:t>האפשרות של הגורם המפוקח לפטר</w:t>
      </w:r>
      <w:r w:rsidR="00A01E7C" w:rsidRPr="00273396">
        <w:rPr>
          <w:rtl/>
        </w:rPr>
        <w:t xml:space="preserve"> </w:t>
      </w:r>
      <w:r w:rsidR="00A01E7C">
        <w:rPr>
          <w:rFonts w:hint="cs"/>
          <w:rtl/>
        </w:rPr>
        <w:t>את</w:t>
      </w:r>
      <w:r w:rsidR="00A01E7C" w:rsidRPr="00273396">
        <w:rPr>
          <w:rtl/>
        </w:rPr>
        <w:t xml:space="preserve"> שומר </w:t>
      </w:r>
      <w:r w:rsidR="00A01E7C">
        <w:rPr>
          <w:rFonts w:hint="cs"/>
          <w:rtl/>
        </w:rPr>
        <w:t>ה</w:t>
      </w:r>
      <w:r w:rsidR="00A01E7C" w:rsidRPr="00273396">
        <w:rPr>
          <w:rtl/>
        </w:rPr>
        <w:t xml:space="preserve">סף או </w:t>
      </w:r>
      <w:r w:rsidR="00A01E7C">
        <w:rPr>
          <w:rFonts w:hint="cs"/>
          <w:rtl/>
        </w:rPr>
        <w:t>להרע את</w:t>
      </w:r>
      <w:r w:rsidR="00A01E7C" w:rsidRPr="00273396">
        <w:rPr>
          <w:rtl/>
        </w:rPr>
        <w:t xml:space="preserve"> תנאי העסקת</w:t>
      </w:r>
      <w:r w:rsidR="00A01E7C">
        <w:rPr>
          <w:rFonts w:hint="cs"/>
          <w:rtl/>
        </w:rPr>
        <w:t>ו שלא מטעמים ענייניים</w:t>
      </w:r>
      <w:r w:rsidR="00A01E7C" w:rsidRPr="00273396">
        <w:rPr>
          <w:rtl/>
        </w:rPr>
        <w:t xml:space="preserve">. </w:t>
      </w:r>
      <w:r w:rsidR="00A01E7C">
        <w:rPr>
          <w:rFonts w:hint="cs"/>
          <w:rtl/>
        </w:rPr>
        <w:t>באופן זה ניתן למזער את החשש מפני ניגוד עניינים מובנה, ו</w:t>
      </w:r>
      <w:r w:rsidR="00A01E7C" w:rsidRPr="00273396">
        <w:rPr>
          <w:rtl/>
        </w:rPr>
        <w:t xml:space="preserve">להבטיח שההחלטות שיקבלו </w:t>
      </w:r>
      <w:r w:rsidR="00A01E7C">
        <w:rPr>
          <w:rFonts w:hint="cs"/>
          <w:rtl/>
        </w:rPr>
        <w:t xml:space="preserve">שומרי הסף </w:t>
      </w:r>
      <w:r w:rsidR="00A01E7C" w:rsidRPr="00273396">
        <w:rPr>
          <w:rtl/>
        </w:rPr>
        <w:t>יהיו מבוססות רק על שיקולים ענייניים ולא יהיו מיועדות לקידום אינטרס כזה או אחר של מי שמינה אותם.</w:t>
      </w:r>
    </w:p>
    <w:p w:rsidR="00B72BEC" w:rsidRDefault="00B72BEC" w:rsidP="00B72BEC">
      <w:pPr>
        <w:pStyle w:val="Ruller4"/>
        <w:numPr>
          <w:ilvl w:val="0"/>
          <w:numId w:val="0"/>
        </w:numPr>
        <w:rPr>
          <w:rtl/>
        </w:rPr>
      </w:pPr>
    </w:p>
    <w:p w:rsidR="00B72BEC" w:rsidRDefault="00A01E7C" w:rsidP="00B72BEC">
      <w:pPr>
        <w:pStyle w:val="Ruller4"/>
        <w:rPr>
          <w:rFonts w:ascii="Century" w:hAnsi="Century"/>
        </w:rPr>
      </w:pPr>
      <w:r>
        <w:rPr>
          <w:rFonts w:hint="cs"/>
          <w:rtl/>
        </w:rPr>
        <w:t xml:space="preserve">יודגש כי </w:t>
      </w:r>
      <w:r w:rsidRPr="0096454F">
        <w:rPr>
          <w:rFonts w:hint="cs"/>
          <w:rtl/>
        </w:rPr>
        <w:t>ה</w:t>
      </w:r>
      <w:r>
        <w:rPr>
          <w:rFonts w:hint="cs"/>
          <w:rtl/>
        </w:rPr>
        <w:t xml:space="preserve">השלכות החמורות של ניגוד עניינים מובנה נוגעות דווקא לאותם מקרים בהם שומרי הסף אינם מפוטרים ולא עולה האפשרות לפטרם; קרי במקרים בהם בפועל שומר הסף אינו מקבל החלטות הפוגעות בגורמים המפוקחים. החשש הוא אפוא דווקא מפני המקרים בהם שומר הסף מוודא שלא יהיה רצון וצורך לפטרו, על ידי כך שהוא מקבל מראש </w:t>
      </w:r>
      <w:r w:rsidRPr="0096454F">
        <w:rPr>
          <w:rFonts w:hint="cs"/>
          <w:rtl/>
        </w:rPr>
        <w:t>החלטות שיישאו חן בעיני הגורם ש</w:t>
      </w:r>
      <w:r>
        <w:rPr>
          <w:rFonts w:hint="cs"/>
          <w:rtl/>
        </w:rPr>
        <w:t>הוא בעל הסמכות לפטר אותו או לשנות את תנאי ההעסקה שלו. מקרים כאלה הם פעמים רבות</w:t>
      </w:r>
      <w:r w:rsidRPr="0096454F">
        <w:rPr>
          <w:rFonts w:hint="cs"/>
          <w:rtl/>
        </w:rPr>
        <w:t xml:space="preserve"> סמוי</w:t>
      </w:r>
      <w:r>
        <w:rPr>
          <w:rFonts w:hint="cs"/>
          <w:rtl/>
        </w:rPr>
        <w:t>ים</w:t>
      </w:r>
      <w:r w:rsidRPr="0096454F">
        <w:rPr>
          <w:rFonts w:hint="cs"/>
          <w:rtl/>
        </w:rPr>
        <w:t xml:space="preserve"> מן העין. קשה מאוד לדעת האם החלטה מסוימת התקבלה על ידי שומר הסף מאחר שהוא סבור באמת ובתמים כי היא ההחלטה הנכונה; או שמא </w:t>
      </w:r>
      <w:r>
        <w:rPr>
          <w:rFonts w:hint="cs"/>
          <w:rtl/>
        </w:rPr>
        <w:t xml:space="preserve">היא התקבלה בשל </w:t>
      </w:r>
      <w:r w:rsidRPr="0096454F">
        <w:rPr>
          <w:rFonts w:hint="cs"/>
          <w:rtl/>
        </w:rPr>
        <w:t xml:space="preserve">השפעה </w:t>
      </w:r>
      <w:r w:rsidRPr="0096454F">
        <w:rPr>
          <w:rtl/>
        </w:rPr>
        <w:t>–</w:t>
      </w:r>
      <w:r w:rsidRPr="0096454F">
        <w:rPr>
          <w:rFonts w:hint="cs"/>
          <w:rtl/>
        </w:rPr>
        <w:t xml:space="preserve"> סמויה או גלויה</w:t>
      </w:r>
      <w:r>
        <w:rPr>
          <w:rFonts w:hint="cs"/>
          <w:rtl/>
        </w:rPr>
        <w:t>,</w:t>
      </w:r>
      <w:r w:rsidRPr="0096454F">
        <w:rPr>
          <w:rFonts w:hint="cs"/>
          <w:rtl/>
        </w:rPr>
        <w:t xml:space="preserve"> מודעת או שאינה מודעת </w:t>
      </w:r>
      <w:r w:rsidRPr="0096454F">
        <w:rPr>
          <w:rtl/>
        </w:rPr>
        <w:t>–</w:t>
      </w:r>
      <w:r w:rsidRPr="0096454F">
        <w:rPr>
          <w:rFonts w:hint="cs"/>
          <w:rtl/>
        </w:rPr>
        <w:t xml:space="preserve"> לחששו מפני פיטוריו</w:t>
      </w:r>
      <w:r>
        <w:rPr>
          <w:rFonts w:hint="cs"/>
          <w:rtl/>
        </w:rPr>
        <w:t xml:space="preserve"> ולרצונו להפיס את דעתו של מי שמינה אותו</w:t>
      </w:r>
      <w:r w:rsidRPr="0096454F">
        <w:rPr>
          <w:rFonts w:hint="cs"/>
          <w:rtl/>
        </w:rPr>
        <w:t>.</w:t>
      </w:r>
    </w:p>
    <w:p w:rsidR="00B72BEC" w:rsidRDefault="00B72BEC" w:rsidP="00B72BEC">
      <w:pPr>
        <w:pStyle w:val="Ruller4"/>
        <w:numPr>
          <w:ilvl w:val="0"/>
          <w:numId w:val="0"/>
        </w:numPr>
        <w:rPr>
          <w:rFonts w:ascii="Century" w:hAnsi="Century"/>
          <w:rtl/>
        </w:rPr>
      </w:pPr>
    </w:p>
    <w:p w:rsidR="00B72BEC" w:rsidRDefault="00A01E7C" w:rsidP="00B72BEC">
      <w:pPr>
        <w:pStyle w:val="Ruller4"/>
        <w:rPr>
          <w:rFonts w:ascii="Century" w:hAnsi="Century"/>
        </w:rPr>
      </w:pPr>
      <w:r>
        <w:rPr>
          <w:rFonts w:hint="cs"/>
          <w:rtl/>
        </w:rPr>
        <w:t>גם המחוקק ו</w:t>
      </w:r>
      <w:r w:rsidRPr="00273396">
        <w:rPr>
          <w:rtl/>
        </w:rPr>
        <w:t xml:space="preserve">הפסיקה </w:t>
      </w:r>
      <w:r w:rsidRPr="00A270A2">
        <w:rPr>
          <w:rFonts w:hint="cs"/>
          <w:rtl/>
        </w:rPr>
        <w:t xml:space="preserve">הכירו בכך שכאשר </w:t>
      </w:r>
      <w:r>
        <w:rPr>
          <w:rFonts w:hint="cs"/>
          <w:rtl/>
        </w:rPr>
        <w:t xml:space="preserve">שומר סף </w:t>
      </w:r>
      <w:r w:rsidRPr="00A270A2">
        <w:rPr>
          <w:rFonts w:hint="cs"/>
          <w:rtl/>
        </w:rPr>
        <w:t xml:space="preserve">תלוי לצורך המשך תפקידו (או </w:t>
      </w:r>
      <w:r>
        <w:rPr>
          <w:rFonts w:hint="cs"/>
          <w:rtl/>
        </w:rPr>
        <w:t xml:space="preserve">לצורך קידומו, כמו גם </w:t>
      </w:r>
      <w:r w:rsidRPr="00A270A2">
        <w:rPr>
          <w:rFonts w:hint="cs"/>
          <w:rtl/>
        </w:rPr>
        <w:t>ביחס לגובה התגמול שלו) בגורם שעליו הוא אמור לפקח, הדבר יוצר ניגוד עניינים מובנה</w:t>
      </w:r>
      <w:r>
        <w:rPr>
          <w:rFonts w:hint="cs"/>
          <w:rtl/>
        </w:rPr>
        <w:t xml:space="preserve"> </w:t>
      </w:r>
      <w:r w:rsidRPr="00A270A2">
        <w:rPr>
          <w:rFonts w:hint="cs"/>
          <w:rtl/>
        </w:rPr>
        <w:t xml:space="preserve">אשר עלול להוביל לקבלת החלטות מוטות וויתור על עמדות מקצועיות כדי "לרצות" את הגורם הממנה. </w:t>
      </w:r>
      <w:r>
        <w:rPr>
          <w:rFonts w:hint="cs"/>
          <w:rtl/>
        </w:rPr>
        <w:t xml:space="preserve">במספר דברי חקיקה נקבעו משום כך הסדרים שנועדו לוודא כי </w:t>
      </w:r>
      <w:r w:rsidRPr="00A270A2">
        <w:rPr>
          <w:rFonts w:hint="cs"/>
          <w:rtl/>
        </w:rPr>
        <w:t>הגורם המבקר יוכל למלא את תפקידו כנדרש</w:t>
      </w:r>
      <w:r>
        <w:rPr>
          <w:rFonts w:hint="cs"/>
          <w:rtl/>
        </w:rPr>
        <w:t xml:space="preserve"> </w:t>
      </w:r>
      <w:r>
        <w:rPr>
          <w:rtl/>
        </w:rPr>
        <w:t>–</w:t>
      </w:r>
      <w:r>
        <w:rPr>
          <w:rFonts w:hint="cs"/>
          <w:rtl/>
        </w:rPr>
        <w:t xml:space="preserve"> תוך שלילה או למצער צמצום האפשרות של הגורם המפוקח להתערב בהליכי המינוי והפיטורים שלו. </w:t>
      </w:r>
    </w:p>
    <w:p w:rsidR="00B72BEC" w:rsidRDefault="00B72BEC" w:rsidP="00B72BEC">
      <w:pPr>
        <w:pStyle w:val="Ruller4"/>
        <w:numPr>
          <w:ilvl w:val="0"/>
          <w:numId w:val="0"/>
        </w:numPr>
        <w:rPr>
          <w:rFonts w:ascii="Century" w:hAnsi="Century"/>
          <w:rtl/>
        </w:rPr>
      </w:pPr>
    </w:p>
    <w:p w:rsidR="00B72BEC" w:rsidRDefault="00B72BEC" w:rsidP="00B72BEC">
      <w:pPr>
        <w:pStyle w:val="Ruller4"/>
        <w:numPr>
          <w:ilvl w:val="0"/>
          <w:numId w:val="0"/>
        </w:numPr>
        <w:rPr>
          <w:rFonts w:ascii="Century" w:hAnsi="Century"/>
          <w:rtl/>
        </w:rPr>
      </w:pPr>
      <w:r>
        <w:rPr>
          <w:rFonts w:ascii="Century" w:hAnsi="Century"/>
          <w:rtl/>
        </w:rPr>
        <w:lastRenderedPageBreak/>
        <w:tab/>
      </w:r>
      <w:r w:rsidR="00A01E7C">
        <w:rPr>
          <w:rFonts w:hint="cs"/>
          <w:rtl/>
        </w:rPr>
        <w:t>דוגמה לכך קיימת ב</w:t>
      </w:r>
      <w:r w:rsidR="00A01E7C" w:rsidRPr="0096454F">
        <w:rPr>
          <w:rFonts w:hint="cs"/>
          <w:rtl/>
        </w:rPr>
        <w:t>חוק יסוד</w:t>
      </w:r>
      <w:r w:rsidR="00A01E7C">
        <w:rPr>
          <w:rFonts w:hint="cs"/>
          <w:rtl/>
        </w:rPr>
        <w:t>:</w:t>
      </w:r>
      <w:r w:rsidR="00A01E7C" w:rsidRPr="0096454F">
        <w:rPr>
          <w:rFonts w:hint="cs"/>
          <w:rtl/>
        </w:rPr>
        <w:t xml:space="preserve"> השפיטה</w:t>
      </w:r>
      <w:r w:rsidR="00A01E7C">
        <w:rPr>
          <w:rFonts w:hint="cs"/>
          <w:rtl/>
        </w:rPr>
        <w:t xml:space="preserve"> הקובע </w:t>
      </w:r>
      <w:r w:rsidR="00A01E7C" w:rsidRPr="0096454F">
        <w:rPr>
          <w:rFonts w:hint="cs"/>
          <w:rtl/>
        </w:rPr>
        <w:t xml:space="preserve">תנאים מכבידים מאוד </w:t>
      </w:r>
      <w:r w:rsidR="00A01E7C">
        <w:rPr>
          <w:rFonts w:hint="cs"/>
          <w:rtl/>
        </w:rPr>
        <w:t xml:space="preserve">ביחס </w:t>
      </w:r>
      <w:r w:rsidR="00A01E7C" w:rsidRPr="0096454F">
        <w:rPr>
          <w:rFonts w:hint="cs"/>
          <w:rtl/>
        </w:rPr>
        <w:t xml:space="preserve">לאפשרות של </w:t>
      </w:r>
      <w:r w:rsidR="00A01E7C">
        <w:rPr>
          <w:rFonts w:hint="cs"/>
          <w:rtl/>
        </w:rPr>
        <w:t>סיום כהונתו של</w:t>
      </w:r>
      <w:r w:rsidR="00A01E7C" w:rsidRPr="0096454F">
        <w:rPr>
          <w:rFonts w:hint="cs"/>
          <w:rtl/>
        </w:rPr>
        <w:t xml:space="preserve"> שופט. תנאים אלה נועדו להבטיח כי לא יהיה על שופט כל מורא למעט אימת הדין, וכי הוא יראה עצמו כפוף לחוק </w:t>
      </w:r>
      <w:r w:rsidR="00A01E7C">
        <w:rPr>
          <w:rFonts w:hint="cs"/>
          <w:rtl/>
        </w:rPr>
        <w:t>ולו</w:t>
      </w:r>
      <w:r w:rsidR="00A01E7C" w:rsidRPr="0096454F">
        <w:rPr>
          <w:rFonts w:hint="cs"/>
          <w:rtl/>
        </w:rPr>
        <w:t xml:space="preserve"> בלבד. מובן כי אם הייתה לגורם שלטוני כלשהו אפשרות לפטר שופטים</w:t>
      </w:r>
      <w:r w:rsidR="00A01E7C">
        <w:rPr>
          <w:rFonts w:hint="cs"/>
          <w:rtl/>
        </w:rPr>
        <w:t xml:space="preserve"> (ובעיקר </w:t>
      </w:r>
      <w:r w:rsidR="00A01E7C" w:rsidRPr="0096454F">
        <w:rPr>
          <w:rFonts w:hint="cs"/>
          <w:rtl/>
        </w:rPr>
        <w:t>אם אפשרות זו לא הייתה כפופה לביקורת שיפוטית שתבחן את סבירותה</w:t>
      </w:r>
      <w:r w:rsidR="00A01E7C">
        <w:rPr>
          <w:rFonts w:hint="cs"/>
          <w:rtl/>
        </w:rPr>
        <w:t xml:space="preserve">), </w:t>
      </w:r>
      <w:r w:rsidR="00A01E7C" w:rsidRPr="0096454F">
        <w:rPr>
          <w:rFonts w:hint="cs"/>
          <w:rtl/>
        </w:rPr>
        <w:t>הדבר היה מצמצם במידה רבה מאוד את העצמאות השיפוטית של שופטים.</w:t>
      </w:r>
    </w:p>
    <w:p w:rsidR="00B72BEC" w:rsidRDefault="00B72BEC" w:rsidP="00B72BEC">
      <w:pPr>
        <w:pStyle w:val="Ruller4"/>
        <w:numPr>
          <w:ilvl w:val="0"/>
          <w:numId w:val="0"/>
        </w:numPr>
        <w:rPr>
          <w:rFonts w:ascii="Century" w:hAnsi="Century"/>
          <w:rtl/>
        </w:rPr>
      </w:pPr>
    </w:p>
    <w:p w:rsidR="00A01E7C" w:rsidRPr="00B72BEC" w:rsidRDefault="00B72BEC" w:rsidP="00B72BEC">
      <w:pPr>
        <w:pStyle w:val="Ruller4"/>
        <w:numPr>
          <w:ilvl w:val="0"/>
          <w:numId w:val="0"/>
        </w:numPr>
        <w:rPr>
          <w:rFonts w:ascii="Century" w:hAnsi="Century"/>
          <w:rtl/>
        </w:rPr>
      </w:pPr>
      <w:r>
        <w:rPr>
          <w:rFonts w:ascii="Century" w:hAnsi="Century"/>
          <w:rtl/>
        </w:rPr>
        <w:tab/>
      </w:r>
      <w:r w:rsidR="00A01E7C">
        <w:rPr>
          <w:rFonts w:hint="cs"/>
          <w:rtl/>
        </w:rPr>
        <w:t xml:space="preserve">הפסיקה התייחסה באופן דומה גם למינויים ופיטורים של בוררים (כפי שהבהרתי בהפ"ב (ת"א) 35255-08-17 </w:t>
      </w:r>
      <w:r w:rsidR="00A01E7C" w:rsidRPr="00E61A17">
        <w:rPr>
          <w:rFonts w:ascii="Century" w:hAnsi="Century" w:cs="Miriam" w:hint="cs"/>
          <w:b/>
          <w:spacing w:val="0"/>
          <w:sz w:val="22"/>
          <w:szCs w:val="24"/>
          <w:rtl/>
        </w:rPr>
        <w:t>בניון נ' אקו"ם בע"מ</w:t>
      </w:r>
      <w:r w:rsidR="00A01E7C">
        <w:rPr>
          <w:rFonts w:hint="cs"/>
          <w:rtl/>
        </w:rPr>
        <w:t>, פסקאות 42-36</w:t>
      </w:r>
      <w:r w:rsidR="00A01E7C" w:rsidRPr="00E61A17">
        <w:rPr>
          <w:rFonts w:hint="cs"/>
          <w:rtl/>
        </w:rPr>
        <w:t xml:space="preserve"> </w:t>
      </w:r>
      <w:r w:rsidR="00A01E7C">
        <w:rPr>
          <w:rFonts w:hint="cs"/>
          <w:rtl/>
        </w:rPr>
        <w:t xml:space="preserve">(10.7.2018)); </w:t>
      </w:r>
      <w:r w:rsidR="00A01E7C">
        <w:rPr>
          <w:rFonts w:ascii="Century" w:hAnsi="Century" w:hint="cs"/>
          <w:rtl/>
        </w:rPr>
        <w:t>ו</w:t>
      </w:r>
      <w:r w:rsidR="00A01E7C" w:rsidRPr="00E43264">
        <w:rPr>
          <w:rFonts w:ascii="Century" w:hAnsi="Century" w:hint="cs"/>
          <w:rtl/>
        </w:rPr>
        <w:t>פסיקה דומה קיימת גם ביחס לאפשרות להסתמך על חוות דעתם של מומחים כתלות במי שמינה אותם ומשלם את שכרם</w:t>
      </w:r>
      <w:r w:rsidR="00A01E7C">
        <w:rPr>
          <w:rFonts w:ascii="Century" w:hAnsi="Century" w:hint="cs"/>
          <w:rtl/>
        </w:rPr>
        <w:t xml:space="preserve"> (</w:t>
      </w:r>
      <w:r w:rsidR="00A01E7C" w:rsidRPr="00E43264">
        <w:rPr>
          <w:rFonts w:ascii="Century" w:hAnsi="Century" w:hint="cs"/>
          <w:rtl/>
        </w:rPr>
        <w:t xml:space="preserve">ראו למשל: </w:t>
      </w:r>
      <w:r w:rsidR="00A01E7C" w:rsidRPr="00273396">
        <w:rPr>
          <w:rFonts w:ascii="Century" w:hAnsi="Century"/>
          <w:rtl/>
        </w:rPr>
        <w:t xml:space="preserve">רע"א 10895/08 </w:t>
      </w:r>
      <w:r w:rsidR="00A01E7C" w:rsidRPr="00FF5D86">
        <w:rPr>
          <w:rFonts w:ascii="Century" w:hAnsi="Century" w:cs="Miriam" w:hint="eastAsia"/>
          <w:b/>
          <w:spacing w:val="0"/>
          <w:sz w:val="22"/>
          <w:szCs w:val="24"/>
          <w:rtl/>
        </w:rPr>
        <w:t>גולן</w:t>
      </w:r>
      <w:r w:rsidR="00A01E7C" w:rsidRPr="00FF5D86">
        <w:rPr>
          <w:rFonts w:ascii="Century" w:hAnsi="Century" w:cs="Miriam"/>
          <w:b/>
          <w:spacing w:val="0"/>
          <w:sz w:val="22"/>
          <w:szCs w:val="24"/>
          <w:rtl/>
        </w:rPr>
        <w:t xml:space="preserve"> </w:t>
      </w:r>
      <w:r w:rsidR="00A01E7C" w:rsidRPr="00FF5D86">
        <w:rPr>
          <w:rFonts w:ascii="Century" w:hAnsi="Century" w:cs="Miriam" w:hint="eastAsia"/>
          <w:b/>
          <w:spacing w:val="0"/>
          <w:sz w:val="22"/>
          <w:szCs w:val="24"/>
          <w:rtl/>
        </w:rPr>
        <w:t>נ</w:t>
      </w:r>
      <w:r w:rsidR="00A01E7C" w:rsidRPr="00FF5D86">
        <w:rPr>
          <w:rFonts w:ascii="Century" w:hAnsi="Century" w:cs="Miriam"/>
          <w:b/>
          <w:spacing w:val="0"/>
          <w:sz w:val="22"/>
          <w:szCs w:val="24"/>
          <w:rtl/>
        </w:rPr>
        <w:t xml:space="preserve">' </w:t>
      </w:r>
      <w:r w:rsidR="00A01E7C" w:rsidRPr="00FF5D86">
        <w:rPr>
          <w:rFonts w:ascii="Century" w:hAnsi="Century" w:cs="Miriam" w:hint="eastAsia"/>
          <w:b/>
          <w:spacing w:val="0"/>
          <w:sz w:val="22"/>
          <w:szCs w:val="24"/>
          <w:rtl/>
        </w:rPr>
        <w:t>דלאל</w:t>
      </w:r>
      <w:r w:rsidR="00A01E7C" w:rsidRPr="00273396">
        <w:rPr>
          <w:rFonts w:ascii="Century" w:hAnsi="Century"/>
          <w:rtl/>
        </w:rPr>
        <w:t>, פסקה י' (23.4.2009)</w:t>
      </w:r>
      <w:r w:rsidR="00A01E7C">
        <w:rPr>
          <w:rFonts w:ascii="Century" w:hAnsi="Century" w:hint="cs"/>
          <w:rtl/>
        </w:rPr>
        <w:t>). הסדרים דומים קיימים גם בחוק החברות ובפסיקה ביחס לסטנדרט הביקורת המופעל על החלטות בחברה כנגזרת של מידת העצמאות של מקבל ההחלטה, וכן ביחס להיעדר תלותו של רואה החשבון המבקר של החברה</w:t>
      </w:r>
      <w:r w:rsidR="00A01E7C" w:rsidRPr="00273396">
        <w:rPr>
          <w:rFonts w:ascii="Century" w:hAnsi="Century"/>
          <w:sz w:val="22"/>
          <w:rtl/>
        </w:rPr>
        <w:t>.</w:t>
      </w:r>
    </w:p>
    <w:p w:rsidR="00B72BEC" w:rsidRDefault="00B72BEC" w:rsidP="00B72BEC">
      <w:pPr>
        <w:pStyle w:val="Ruller4"/>
        <w:numPr>
          <w:ilvl w:val="0"/>
          <w:numId w:val="0"/>
        </w:numPr>
        <w:rPr>
          <w:rtl/>
        </w:rPr>
      </w:pPr>
    </w:p>
    <w:p w:rsidR="00B72BEC" w:rsidRDefault="00A01E7C" w:rsidP="00B72BEC">
      <w:pPr>
        <w:pStyle w:val="Ruller4"/>
      </w:pPr>
      <w:r>
        <w:rPr>
          <w:rFonts w:hint="cs"/>
          <w:rtl/>
        </w:rPr>
        <w:t xml:space="preserve">כאמור, תפקידם של שומרי הסף במינהל הציבורי הוא </w:t>
      </w:r>
      <w:r w:rsidRPr="00273396">
        <w:rPr>
          <w:rtl/>
        </w:rPr>
        <w:t xml:space="preserve">לפקח על פעולות השלטון, ולוודא כי </w:t>
      </w:r>
      <w:r w:rsidRPr="00273396">
        <w:rPr>
          <w:rFonts w:hint="eastAsia"/>
          <w:rtl/>
        </w:rPr>
        <w:t>הנושאים</w:t>
      </w:r>
      <w:r w:rsidRPr="00273396">
        <w:rPr>
          <w:rtl/>
        </w:rPr>
        <w:t xml:space="preserve"> </w:t>
      </w:r>
      <w:r w:rsidRPr="00273396">
        <w:rPr>
          <w:rFonts w:hint="eastAsia"/>
          <w:rtl/>
        </w:rPr>
        <w:t>במשרות</w:t>
      </w:r>
      <w:r w:rsidRPr="00273396">
        <w:rPr>
          <w:rtl/>
        </w:rPr>
        <w:t xml:space="preserve"> </w:t>
      </w:r>
      <w:r w:rsidRPr="00273396">
        <w:rPr>
          <w:rFonts w:hint="eastAsia"/>
          <w:rtl/>
        </w:rPr>
        <w:t>שלטוניות</w:t>
      </w:r>
      <w:r w:rsidRPr="00273396">
        <w:rPr>
          <w:rtl/>
        </w:rPr>
        <w:t xml:space="preserve"> </w:t>
      </w:r>
      <w:r w:rsidRPr="00273396">
        <w:rPr>
          <w:rFonts w:hint="eastAsia"/>
          <w:rtl/>
        </w:rPr>
        <w:t>פועלים</w:t>
      </w:r>
      <w:r w:rsidRPr="00273396">
        <w:rPr>
          <w:rtl/>
        </w:rPr>
        <w:t xml:space="preserve"> </w:t>
      </w:r>
      <w:r w:rsidRPr="00273396">
        <w:rPr>
          <w:rFonts w:hint="eastAsia"/>
          <w:rtl/>
        </w:rPr>
        <w:t>כחוק</w:t>
      </w:r>
      <w:r w:rsidRPr="00273396">
        <w:rPr>
          <w:rtl/>
        </w:rPr>
        <w:t xml:space="preserve"> </w:t>
      </w:r>
      <w:r w:rsidRPr="00273396">
        <w:rPr>
          <w:rFonts w:hint="eastAsia"/>
          <w:rtl/>
        </w:rPr>
        <w:t>כאשר</w:t>
      </w:r>
      <w:r w:rsidRPr="00273396">
        <w:rPr>
          <w:rtl/>
        </w:rPr>
        <w:t xml:space="preserve"> </w:t>
      </w:r>
      <w:r w:rsidRPr="00273396">
        <w:rPr>
          <w:rFonts w:hint="eastAsia"/>
          <w:rtl/>
        </w:rPr>
        <w:t>הם</w:t>
      </w:r>
      <w:r w:rsidRPr="00273396">
        <w:rPr>
          <w:rtl/>
        </w:rPr>
        <w:t xml:space="preserve"> </w:t>
      </w:r>
      <w:r w:rsidRPr="00273396">
        <w:rPr>
          <w:rFonts w:hint="eastAsia"/>
          <w:rtl/>
        </w:rPr>
        <w:t>מקבלים</w:t>
      </w:r>
      <w:r w:rsidRPr="00273396">
        <w:rPr>
          <w:rtl/>
        </w:rPr>
        <w:t xml:space="preserve"> </w:t>
      </w:r>
      <w:r w:rsidRPr="00273396">
        <w:rPr>
          <w:rFonts w:hint="eastAsia"/>
          <w:rtl/>
        </w:rPr>
        <w:t>החלטות</w:t>
      </w:r>
      <w:r w:rsidRPr="00273396">
        <w:rPr>
          <w:rtl/>
        </w:rPr>
        <w:t xml:space="preserve"> </w:t>
      </w:r>
      <w:r w:rsidRPr="00273396">
        <w:rPr>
          <w:rFonts w:hint="eastAsia"/>
          <w:rtl/>
        </w:rPr>
        <w:t>בנושאים</w:t>
      </w:r>
      <w:r w:rsidRPr="00273396">
        <w:rPr>
          <w:rtl/>
        </w:rPr>
        <w:t xml:space="preserve"> </w:t>
      </w:r>
      <w:r w:rsidRPr="00273396">
        <w:rPr>
          <w:rFonts w:hint="eastAsia"/>
          <w:rtl/>
        </w:rPr>
        <w:t>שהם</w:t>
      </w:r>
      <w:r w:rsidRPr="00273396">
        <w:rPr>
          <w:rtl/>
        </w:rPr>
        <w:t xml:space="preserve"> </w:t>
      </w:r>
      <w:r w:rsidRPr="00273396">
        <w:rPr>
          <w:rFonts w:hint="eastAsia"/>
          <w:rtl/>
        </w:rPr>
        <w:t>בגדרי</w:t>
      </w:r>
      <w:r w:rsidRPr="00273396">
        <w:rPr>
          <w:rtl/>
        </w:rPr>
        <w:t xml:space="preserve"> </w:t>
      </w:r>
      <w:r w:rsidRPr="00273396">
        <w:rPr>
          <w:rFonts w:hint="eastAsia"/>
          <w:rtl/>
        </w:rPr>
        <w:t>סמכויותיהם</w:t>
      </w:r>
      <w:r>
        <w:rPr>
          <w:rFonts w:ascii="Century" w:hAnsi="Century" w:hint="cs"/>
          <w:sz w:val="22"/>
          <w:rtl/>
        </w:rPr>
        <w:t xml:space="preserve"> (ראו:</w:t>
      </w:r>
      <w:r>
        <w:rPr>
          <w:rFonts w:hint="cs"/>
          <w:rtl/>
        </w:rPr>
        <w:t xml:space="preserve"> יצחק זמיר </w:t>
      </w:r>
      <w:r w:rsidRPr="00BA5A9A">
        <w:rPr>
          <w:rFonts w:ascii="Century" w:hAnsi="Century" w:cs="Miriam" w:hint="eastAsia"/>
          <w:b/>
          <w:spacing w:val="0"/>
          <w:sz w:val="22"/>
          <w:szCs w:val="24"/>
          <w:rtl/>
        </w:rPr>
        <w:t>הסמכות</w:t>
      </w:r>
      <w:r w:rsidRPr="00BA5A9A">
        <w:rPr>
          <w:rFonts w:ascii="Century" w:hAnsi="Century" w:cs="Miriam"/>
          <w:b/>
          <w:spacing w:val="0"/>
          <w:sz w:val="22"/>
          <w:szCs w:val="24"/>
          <w:rtl/>
        </w:rPr>
        <w:t xml:space="preserve"> </w:t>
      </w:r>
      <w:r w:rsidRPr="00BA5A9A">
        <w:rPr>
          <w:rFonts w:ascii="Century" w:hAnsi="Century" w:cs="Miriam" w:hint="eastAsia"/>
          <w:b/>
          <w:spacing w:val="0"/>
          <w:sz w:val="22"/>
          <w:szCs w:val="24"/>
          <w:rtl/>
        </w:rPr>
        <w:t>המינהלית</w:t>
      </w:r>
      <w:r>
        <w:rPr>
          <w:rFonts w:hint="cs"/>
          <w:rtl/>
        </w:rPr>
        <w:t xml:space="preserve"> כרך ד 2392 (2017)</w:t>
      </w:r>
      <w:r>
        <w:rPr>
          <w:rFonts w:ascii="Century" w:hAnsi="Century" w:hint="cs"/>
          <w:sz w:val="22"/>
          <w:rtl/>
        </w:rPr>
        <w:t xml:space="preserve">). שומרי הסף אמורים בין היתר למנוע מצבים בהם מקבלי ההחלטות במינהל הציבורי מקבלים </w:t>
      </w:r>
      <w:r w:rsidRPr="00273396">
        <w:rPr>
          <w:rFonts w:ascii="Century" w:hAnsi="Century"/>
          <w:sz w:val="22"/>
          <w:rtl/>
        </w:rPr>
        <w:t>החלטות ש</w:t>
      </w:r>
      <w:r>
        <w:rPr>
          <w:rFonts w:ascii="Century" w:hAnsi="Century" w:hint="cs"/>
          <w:sz w:val="22"/>
          <w:rtl/>
        </w:rPr>
        <w:t xml:space="preserve">נועדו לקדם </w:t>
      </w:r>
      <w:r w:rsidRPr="00273396">
        <w:rPr>
          <w:rFonts w:ascii="Century" w:hAnsi="Century"/>
          <w:sz w:val="22"/>
          <w:rtl/>
        </w:rPr>
        <w:t>שיקולים אישיים</w:t>
      </w:r>
      <w:r>
        <w:rPr>
          <w:rFonts w:ascii="Century" w:hAnsi="Century" w:hint="cs"/>
          <w:sz w:val="22"/>
          <w:rtl/>
        </w:rPr>
        <w:t xml:space="preserve"> שלהם</w:t>
      </w:r>
      <w:r w:rsidRPr="00273396">
        <w:rPr>
          <w:rFonts w:ascii="Century" w:hAnsi="Century"/>
          <w:sz w:val="22"/>
          <w:rtl/>
        </w:rPr>
        <w:t xml:space="preserve"> או </w:t>
      </w:r>
      <w:r>
        <w:rPr>
          <w:rFonts w:ascii="Century" w:hAnsi="Century" w:hint="cs"/>
          <w:sz w:val="22"/>
          <w:rtl/>
        </w:rPr>
        <w:t>שיקולים זרים אחרים ש</w:t>
      </w:r>
      <w:r w:rsidRPr="00273396">
        <w:rPr>
          <w:rFonts w:ascii="Century" w:hAnsi="Century"/>
          <w:sz w:val="22"/>
          <w:rtl/>
        </w:rPr>
        <w:t>אין מקום להביאם בחשבון במסגרת ההחלטה</w:t>
      </w:r>
      <w:r>
        <w:rPr>
          <w:rFonts w:ascii="Century" w:hAnsi="Century" w:hint="cs"/>
          <w:sz w:val="22"/>
          <w:rtl/>
        </w:rPr>
        <w:t xml:space="preserve">. שומרי הסף אמורים גם למנוע ממקבלי ההחלטות לקבל החלטות בלתי חוקיות, לחרוג מסמכותם וכיוצא באלה. כן הם אמורים לוודא כי אותם גורמים האמונים על קבלת החלטות, לא יהיו במצב של ניגוד עניינים. זאת כדי לעקר את החשש המובנה מפני שיקולים לא ענייניים בהחלטות שאותם גורמים יקבלו. למותר לציין כי בהעדר הפיקוח והמגבלות הללו, עלול להיפגע טוהר המינהל הציבורי. החלטות שהן בלתי חוקיות, וכן החלטות שהתקבלו במצב של ניגוד עניינים או תוך העדפה של שיקולים זרים, עלולות לגרום נזק, לעיתים נזק חמור, לציבור </w:t>
      </w:r>
      <w:r>
        <w:rPr>
          <w:rFonts w:ascii="Century" w:hAnsi="Century"/>
          <w:sz w:val="22"/>
          <w:rtl/>
        </w:rPr>
        <w:t>–</w:t>
      </w:r>
      <w:r>
        <w:rPr>
          <w:rFonts w:ascii="Century" w:hAnsi="Century" w:hint="cs"/>
          <w:sz w:val="22"/>
          <w:rtl/>
        </w:rPr>
        <w:t xml:space="preserve"> בהיותן החלטות שאינן תואמות בהכרח את האינטרס הציבורי ואף עלולות להיות מנוגדות לו. </w:t>
      </w:r>
      <w:r>
        <w:rPr>
          <w:rFonts w:hint="cs"/>
          <w:rtl/>
        </w:rPr>
        <w:t>לשומרי סף יעילים יש אפוא חשיבות רבה בהגנה על שלטון החוק, שהוא כאמור אחד מאותם מאפיינים גרעיניים של המשטר הדמוקרטי; וכן בהגנה על אמון הציבור במינהל הציבורי.</w:t>
      </w:r>
      <w:r w:rsidRPr="00273396">
        <w:rPr>
          <w:rtl/>
        </w:rPr>
        <w:t xml:space="preserve"> </w:t>
      </w:r>
    </w:p>
    <w:p w:rsidR="00B72BEC" w:rsidRDefault="00B72BEC" w:rsidP="00B72BEC">
      <w:pPr>
        <w:pStyle w:val="Ruller4"/>
        <w:numPr>
          <w:ilvl w:val="0"/>
          <w:numId w:val="0"/>
        </w:numPr>
        <w:rPr>
          <w:rtl/>
        </w:rPr>
      </w:pPr>
    </w:p>
    <w:p w:rsidR="00B72BEC" w:rsidRDefault="00B72BEC" w:rsidP="00B72BEC">
      <w:pPr>
        <w:pStyle w:val="Ruller4"/>
        <w:numPr>
          <w:ilvl w:val="0"/>
          <w:numId w:val="0"/>
        </w:numPr>
        <w:rPr>
          <w:rtl/>
        </w:rPr>
      </w:pPr>
      <w:r>
        <w:rPr>
          <w:rtl/>
        </w:rPr>
        <w:tab/>
      </w:r>
      <w:r w:rsidR="00A01E7C" w:rsidRPr="00B72BEC">
        <w:rPr>
          <w:rFonts w:ascii="Century" w:hAnsi="Century" w:hint="cs"/>
          <w:sz w:val="22"/>
          <w:rtl/>
        </w:rPr>
        <w:t xml:space="preserve">משום כך, כל האמור לעיל ביחס לחשש מפני ניגוד עניינים של שומרי סף בכלל, </w:t>
      </w:r>
      <w:r w:rsidR="00A01E7C" w:rsidRPr="00B72BEC">
        <w:rPr>
          <w:rFonts w:ascii="Century" w:hAnsi="Century" w:hint="cs"/>
          <w:rtl/>
        </w:rPr>
        <w:t xml:space="preserve">חל </w:t>
      </w:r>
      <w:r w:rsidR="00A01E7C" w:rsidRPr="00B72BEC">
        <w:rPr>
          <w:rFonts w:ascii="Century" w:hAnsi="Century"/>
          <w:rtl/>
        </w:rPr>
        <w:t>–</w:t>
      </w:r>
      <w:r w:rsidR="00A01E7C" w:rsidRPr="00B72BEC">
        <w:rPr>
          <w:rFonts w:ascii="Century" w:hAnsi="Century" w:hint="cs"/>
          <w:rtl/>
        </w:rPr>
        <w:t xml:space="preserve"> אולי אף ביתר שאת </w:t>
      </w:r>
      <w:r w:rsidR="00A01E7C" w:rsidRPr="00B72BEC">
        <w:rPr>
          <w:rFonts w:ascii="Century" w:hAnsi="Century"/>
          <w:rtl/>
        </w:rPr>
        <w:t>–</w:t>
      </w:r>
      <w:r w:rsidR="00A01E7C" w:rsidRPr="00B72BEC">
        <w:rPr>
          <w:rFonts w:ascii="Century" w:hAnsi="Century" w:hint="cs"/>
          <w:rtl/>
        </w:rPr>
        <w:t xml:space="preserve"> גם ביחס ל</w:t>
      </w:r>
      <w:r w:rsidR="00A01E7C">
        <w:rPr>
          <w:rFonts w:hint="cs"/>
          <w:rtl/>
        </w:rPr>
        <w:t xml:space="preserve">שומרי הסף הציבוריים. הליך פגום של פיקוח </w:t>
      </w:r>
      <w:r w:rsidR="00A01E7C">
        <w:rPr>
          <w:rFonts w:hint="cs"/>
          <w:rtl/>
        </w:rPr>
        <w:lastRenderedPageBreak/>
        <w:t xml:space="preserve">וביקורת, עלול להיות בעל משמעויות חמורות הרבה יותר כאשר מדובר בענייני ציבור ובאינטרס הציבורי. גם כאן, כדי </w:t>
      </w:r>
      <w:r w:rsidR="00A01E7C" w:rsidRPr="0096454F">
        <w:rPr>
          <w:rFonts w:hint="cs"/>
          <w:rtl/>
        </w:rPr>
        <w:t>ששומר הסף יוכל לבצע את מלאכתו נאמנה</w:t>
      </w:r>
      <w:r w:rsidR="00A01E7C">
        <w:rPr>
          <w:rFonts w:hint="cs"/>
          <w:rtl/>
        </w:rPr>
        <w:t>,</w:t>
      </w:r>
      <w:r w:rsidR="00A01E7C" w:rsidRPr="0096454F">
        <w:rPr>
          <w:rFonts w:hint="cs"/>
          <w:rtl/>
        </w:rPr>
        <w:t xml:space="preserve"> מנגנו</w:t>
      </w:r>
      <w:r w:rsidR="00A01E7C">
        <w:rPr>
          <w:rFonts w:hint="cs"/>
          <w:rtl/>
        </w:rPr>
        <w:t>ני</w:t>
      </w:r>
      <w:r w:rsidR="00A01E7C" w:rsidRPr="0096454F">
        <w:rPr>
          <w:rFonts w:hint="cs"/>
          <w:rtl/>
        </w:rPr>
        <w:t xml:space="preserve"> המינוי, הפיטורין והקידום שלו צרי</w:t>
      </w:r>
      <w:r w:rsidR="00A01E7C">
        <w:rPr>
          <w:rFonts w:hint="cs"/>
          <w:rtl/>
        </w:rPr>
        <w:t>כים</w:t>
      </w:r>
      <w:r w:rsidR="00A01E7C" w:rsidRPr="0096454F">
        <w:rPr>
          <w:rFonts w:hint="cs"/>
          <w:rtl/>
        </w:rPr>
        <w:t xml:space="preserve"> להיות נקי</w:t>
      </w:r>
      <w:r w:rsidR="00A01E7C">
        <w:rPr>
          <w:rFonts w:hint="cs"/>
          <w:rtl/>
        </w:rPr>
        <w:t>ים</w:t>
      </w:r>
      <w:r w:rsidR="00A01E7C" w:rsidRPr="0096454F">
        <w:rPr>
          <w:rFonts w:hint="cs"/>
          <w:rtl/>
        </w:rPr>
        <w:t xml:space="preserve"> ככל האפשר מתלות, זיקה או השפעה </w:t>
      </w:r>
      <w:r w:rsidR="00A01E7C">
        <w:rPr>
          <w:rFonts w:hint="cs"/>
          <w:rtl/>
        </w:rPr>
        <w:t xml:space="preserve">כלשהי </w:t>
      </w:r>
      <w:r w:rsidR="00A01E7C" w:rsidRPr="0096454F">
        <w:rPr>
          <w:rFonts w:hint="cs"/>
          <w:rtl/>
        </w:rPr>
        <w:t xml:space="preserve">של הגורמים המפוקחים. </w:t>
      </w:r>
    </w:p>
    <w:p w:rsidR="00B72BEC" w:rsidRDefault="00B72BEC" w:rsidP="00B72BEC">
      <w:pPr>
        <w:pStyle w:val="Ruller4"/>
        <w:numPr>
          <w:ilvl w:val="0"/>
          <w:numId w:val="0"/>
        </w:numPr>
        <w:rPr>
          <w:rtl/>
        </w:rPr>
      </w:pPr>
    </w:p>
    <w:p w:rsidR="00B72BEC" w:rsidRDefault="00A01E7C" w:rsidP="00B72BEC">
      <w:pPr>
        <w:pStyle w:val="Ruller4"/>
      </w:pPr>
      <w:r>
        <w:rPr>
          <w:rFonts w:hint="cs"/>
          <w:rtl/>
        </w:rPr>
        <w:t>הממשלה והשרים מוסמכים למנות בעלי תפקידים רבים המשמשים כשומרי סף משמעותיים ומהותיים. בכלל זה ניתן למנות בין היתר את היועץ המשפטי לממשלה והמשנים לו; פרקליט המדינה; נציב הביקורת על מערך התביעה ומייצגי המדינה בערכאות; ועוד (ראו למשל: התוספת השנייה לחוק שירות המדינה (מינויים), התשי"ט-1959).</w:t>
      </w:r>
      <w:r w:rsidRPr="00273396">
        <w:rPr>
          <w:rtl/>
        </w:rPr>
        <w:t xml:space="preserve"> </w:t>
      </w:r>
      <w:r>
        <w:rPr>
          <w:rFonts w:hint="cs"/>
          <w:rtl/>
        </w:rPr>
        <w:t xml:space="preserve">בנוסף, בחלק מהמקרים, מוסמך מי שמינה את שומר הסף גם להפסיק את כהונתו (סמכות זו נגזרת מסמכות המינוי בהתאם לסעיף 14 לחוק הפרשנות, התשמ"א-1981; כמו כן החלטות ממשלה שונות מסדירות את האופן בו יש להפעיל את הסמכות למנות ולהפסיק כהונה של בעלי תפקידים בכירים, למשל: החלטת ממשלה 4062 מתאריך 7.9.2008 שתוקנה בהחלטת ממשלה מספר 1148 מיום 14.2.2016). </w:t>
      </w:r>
    </w:p>
    <w:p w:rsidR="00B72BEC" w:rsidRDefault="00B72BEC" w:rsidP="00B72BEC">
      <w:pPr>
        <w:pStyle w:val="Ruller4"/>
        <w:numPr>
          <w:ilvl w:val="0"/>
          <w:numId w:val="0"/>
        </w:numPr>
        <w:rPr>
          <w:rtl/>
        </w:rPr>
      </w:pPr>
    </w:p>
    <w:p w:rsidR="00B72BEC" w:rsidRDefault="00B72BEC" w:rsidP="00B72BEC">
      <w:pPr>
        <w:pStyle w:val="Ruller4"/>
        <w:numPr>
          <w:ilvl w:val="0"/>
          <w:numId w:val="0"/>
        </w:numPr>
        <w:rPr>
          <w:rtl/>
        </w:rPr>
      </w:pPr>
      <w:r>
        <w:rPr>
          <w:rtl/>
        </w:rPr>
        <w:tab/>
      </w:r>
      <w:r w:rsidR="00A01E7C">
        <w:rPr>
          <w:rFonts w:hint="cs"/>
          <w:rtl/>
        </w:rPr>
        <w:t xml:space="preserve">במצבים כאלה </w:t>
      </w:r>
      <w:r w:rsidR="00A01E7C">
        <w:rPr>
          <w:rtl/>
        </w:rPr>
        <w:t>–</w:t>
      </w:r>
      <w:r w:rsidR="00A01E7C">
        <w:rPr>
          <w:rFonts w:hint="cs"/>
          <w:rtl/>
        </w:rPr>
        <w:t xml:space="preserve"> בהם הגורם המפוקח הוא גם הגורם שבסמכותו למנות או להפסיק את כהונתו של שומר הסף </w:t>
      </w:r>
      <w:r w:rsidR="00A01E7C">
        <w:rPr>
          <w:rtl/>
        </w:rPr>
        <w:t>–</w:t>
      </w:r>
      <w:r w:rsidR="00A01E7C">
        <w:rPr>
          <w:rFonts w:hint="cs"/>
          <w:rtl/>
        </w:rPr>
        <w:t xml:space="preserve"> יש חשיבות רבה לקיומה של ביקורת שיפוטית אפקטיבית על הליכי המינויים והפיטורים. קיומה של ביקורת שיפוטית אפקטיבית על הליכים אלה היא שמבטיחה ששומרי סף יתמנו בהתאם לשיקולים ענייניים; ששומרי הסף שמונו יוכלו להיות סמוכים ובטוחים שהם לא יפוטרו מטעמים בלתי סבירים; ושכהונתם לא תופסק רק מאחר שלא פעלו בהתאם לאינטרסים של מי שמינה אותם. כשאלה הם פני הדברים, יכול הציבור להיות סמוך ובטוח כי שומרי הסף שיתמנו יהיו שומרי סף מקצועיים, כי הם ימלאו את תפקידם כנדרש, כי הם ימתחו ביקורת מקום בו היא תהיה נחוצה </w:t>
      </w:r>
      <w:r w:rsidR="00A01E7C">
        <w:rPr>
          <w:rtl/>
        </w:rPr>
        <w:t>–</w:t>
      </w:r>
      <w:r w:rsidR="00A01E7C">
        <w:rPr>
          <w:rFonts w:hint="cs"/>
          <w:rtl/>
        </w:rPr>
        <w:t xml:space="preserve"> וכי לא יהיה להם מורא מפני </w:t>
      </w:r>
      <w:r>
        <w:rPr>
          <w:rFonts w:hint="cs"/>
          <w:rtl/>
        </w:rPr>
        <w:t>ההשלכות האפשריות של ביקורת כזו.</w:t>
      </w:r>
    </w:p>
    <w:p w:rsidR="00B72BEC" w:rsidRDefault="00B72BEC" w:rsidP="00B72BEC">
      <w:pPr>
        <w:pStyle w:val="Ruller4"/>
        <w:numPr>
          <w:ilvl w:val="0"/>
          <w:numId w:val="0"/>
        </w:numPr>
        <w:rPr>
          <w:rtl/>
        </w:rPr>
      </w:pPr>
    </w:p>
    <w:p w:rsidR="00B72BEC" w:rsidRDefault="00A01E7C" w:rsidP="00B72BEC">
      <w:pPr>
        <w:pStyle w:val="Ruller4"/>
      </w:pPr>
      <w:r w:rsidRPr="00F83755">
        <w:rPr>
          <w:rFonts w:hint="cs"/>
          <w:rtl/>
        </w:rPr>
        <w:t>לעילת הסבירות תפקיד משמעותי בכך, שכן היא מאפשרת לבית המשפט לפקח</w:t>
      </w:r>
      <w:r>
        <w:rPr>
          <w:rFonts w:hint="cs"/>
          <w:rtl/>
        </w:rPr>
        <w:t xml:space="preserve"> באופן אפקטיבי</w:t>
      </w:r>
      <w:r w:rsidRPr="00F83755">
        <w:rPr>
          <w:rFonts w:hint="cs"/>
          <w:rtl/>
        </w:rPr>
        <w:t xml:space="preserve"> על החלטות הנוגעות למינוים</w:t>
      </w:r>
      <w:r>
        <w:rPr>
          <w:rFonts w:hint="cs"/>
          <w:rtl/>
        </w:rPr>
        <w:t xml:space="preserve"> ולסיום כהונתם של בעלי תפקידים ציבוריים (ועמדו על כך בהרחבה הנשיאה (בדימ') </w:t>
      </w:r>
      <w:r w:rsidRPr="00DA60A4">
        <w:rPr>
          <w:rFonts w:ascii="Century" w:hAnsi="Century" w:cs="Miriam" w:hint="cs"/>
          <w:b/>
          <w:spacing w:val="0"/>
          <w:sz w:val="22"/>
          <w:szCs w:val="24"/>
          <w:rtl/>
        </w:rPr>
        <w:t>חיות</w:t>
      </w:r>
      <w:r>
        <w:rPr>
          <w:rFonts w:hint="cs"/>
          <w:rtl/>
        </w:rPr>
        <w:t xml:space="preserve"> בפסקאות 166-162 לחוות דעתה והשופט </w:t>
      </w:r>
      <w:r w:rsidRPr="007F0668">
        <w:rPr>
          <w:rFonts w:ascii="Century" w:hAnsi="Century" w:cs="Miriam" w:hint="cs"/>
          <w:b/>
          <w:spacing w:val="0"/>
          <w:sz w:val="22"/>
          <w:szCs w:val="24"/>
          <w:rtl/>
        </w:rPr>
        <w:t>עמית</w:t>
      </w:r>
      <w:r>
        <w:rPr>
          <w:rFonts w:hint="cs"/>
          <w:rtl/>
        </w:rPr>
        <w:t xml:space="preserve"> בפסקאות 94-89 לחוות דעתו),</w:t>
      </w:r>
      <w:r w:rsidRPr="00F83755">
        <w:rPr>
          <w:rFonts w:hint="cs"/>
          <w:rtl/>
        </w:rPr>
        <w:t xml:space="preserve"> </w:t>
      </w:r>
      <w:r>
        <w:rPr>
          <w:rFonts w:hint="cs"/>
          <w:rtl/>
        </w:rPr>
        <w:t xml:space="preserve">ובתוך כך על החלטות הנוגעות למינוים ולסיום כהונתם </w:t>
      </w:r>
      <w:r w:rsidRPr="00F83755">
        <w:rPr>
          <w:rFonts w:hint="cs"/>
          <w:rtl/>
        </w:rPr>
        <w:t xml:space="preserve">של שומרי </w:t>
      </w:r>
      <w:r>
        <w:rPr>
          <w:rFonts w:hint="cs"/>
          <w:rtl/>
        </w:rPr>
        <w:t>ה</w:t>
      </w:r>
      <w:r w:rsidRPr="00F83755">
        <w:rPr>
          <w:rFonts w:hint="cs"/>
          <w:rtl/>
        </w:rPr>
        <w:t>סף</w:t>
      </w:r>
      <w:r>
        <w:rPr>
          <w:rFonts w:hint="cs"/>
          <w:rtl/>
        </w:rPr>
        <w:t xml:space="preserve">. כפי שהומחש לעיל, תפקיד זה הופך משמעותי אף יותר </w:t>
      </w:r>
      <w:r w:rsidRPr="00F83755">
        <w:rPr>
          <w:rFonts w:hint="cs"/>
          <w:rtl/>
        </w:rPr>
        <w:t>כאשר הגורם הממנה את שומרי הסף או מסיים את העסקתם, הוא גם הגורם המפוקח על</w:t>
      </w:r>
      <w:r>
        <w:rPr>
          <w:rFonts w:hint="cs"/>
          <w:rtl/>
        </w:rPr>
        <w:t xml:space="preserve"> </w:t>
      </w:r>
      <w:r w:rsidRPr="00F83755">
        <w:rPr>
          <w:rFonts w:hint="cs"/>
          <w:rtl/>
        </w:rPr>
        <w:t xml:space="preserve">ידי אותם שומרי סף (או קשור אליו). </w:t>
      </w:r>
    </w:p>
    <w:p w:rsidR="00B72BEC" w:rsidRDefault="00B72BEC" w:rsidP="00B72BEC">
      <w:pPr>
        <w:pStyle w:val="Ruller4"/>
        <w:numPr>
          <w:ilvl w:val="0"/>
          <w:numId w:val="0"/>
        </w:numPr>
        <w:rPr>
          <w:rtl/>
        </w:rPr>
      </w:pPr>
    </w:p>
    <w:p w:rsidR="00B72BEC" w:rsidRDefault="00B72BEC" w:rsidP="00B72BEC">
      <w:pPr>
        <w:pStyle w:val="Ruller4"/>
        <w:numPr>
          <w:ilvl w:val="0"/>
          <w:numId w:val="0"/>
        </w:numPr>
        <w:rPr>
          <w:rtl/>
        </w:rPr>
      </w:pPr>
      <w:r>
        <w:rPr>
          <w:rtl/>
        </w:rPr>
        <w:lastRenderedPageBreak/>
        <w:tab/>
      </w:r>
      <w:r w:rsidR="00A01E7C">
        <w:rPr>
          <w:rFonts w:hint="cs"/>
          <w:rtl/>
        </w:rPr>
        <w:t xml:space="preserve">אכן, ייתכנו מקרים בהם ניתן יהיה לתקוף החלטות בדבר מינוי או פיטורים של שומרי סף גם מכוח עילות מינהליות אחרות, וקיומן של העילות האחרות מסייע אף הוא בהבטחת מינויים ופיטורים ענייניים של שומרי סף. אולם, וכפי שהובהר גם בחוות דעתה של הנשיאה (בדימ') </w:t>
      </w:r>
      <w:r w:rsidR="00A01E7C" w:rsidRPr="00B72BEC">
        <w:rPr>
          <w:rFonts w:ascii="Century" w:hAnsi="Century" w:cs="Miriam" w:hint="cs"/>
          <w:b/>
          <w:spacing w:val="0"/>
          <w:sz w:val="22"/>
          <w:szCs w:val="24"/>
          <w:rtl/>
        </w:rPr>
        <w:t>חיות</w:t>
      </w:r>
      <w:r w:rsidR="00A01E7C">
        <w:rPr>
          <w:rFonts w:hint="cs"/>
          <w:rtl/>
        </w:rPr>
        <w:t>, חשיבותה של עילת הסבירות היא באותם מקרים בהם אין די בעילות אלה, בין אם בשל קשיים ראייתיים או מטעם אחר. יתרה מכך, הלכה למעשה, עילת הסבירות היא העילה המרכזית בה נעשה שימוש בפסיקה בסוגיית המינויים, ואף צוין כי "</w:t>
      </w:r>
      <w:r w:rsidR="00A01E7C" w:rsidRPr="00B72BEC">
        <w:rPr>
          <w:rFonts w:ascii="Century" w:hAnsi="Century" w:cs="Miriam" w:hint="eastAsia"/>
          <w:b/>
          <w:spacing w:val="0"/>
          <w:sz w:val="22"/>
          <w:szCs w:val="24"/>
          <w:rtl/>
        </w:rPr>
        <w:t>לא</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אחת</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עילת</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הסבירות</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היא</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עילת</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ההתערבות</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היחידה</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שבאמצעותה</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ניתן</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למנוע</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מינוי</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פסול</w:t>
      </w:r>
      <w:r w:rsidR="00A01E7C">
        <w:rPr>
          <w:rFonts w:hint="cs"/>
          <w:rtl/>
        </w:rPr>
        <w:t xml:space="preserve">" (בג"ץ 3997/14 </w:t>
      </w:r>
      <w:r w:rsidR="00A01E7C" w:rsidRPr="00B72BEC">
        <w:rPr>
          <w:rFonts w:ascii="Century" w:hAnsi="Century" w:cs="Miriam" w:hint="eastAsia"/>
          <w:b/>
          <w:spacing w:val="0"/>
          <w:sz w:val="22"/>
          <w:szCs w:val="24"/>
          <w:rtl/>
        </w:rPr>
        <w:t>התנועה</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למען</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איכות</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השלטון</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בישראל</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נ</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שר</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החוץ</w:t>
      </w:r>
      <w:r w:rsidR="00A01E7C">
        <w:rPr>
          <w:rFonts w:hint="cs"/>
          <w:rtl/>
        </w:rPr>
        <w:t xml:space="preserve">, פסקה 2 לחוות דעתה של הנשיאה </w:t>
      </w:r>
      <w:r w:rsidR="00A01E7C" w:rsidRPr="00B72BEC">
        <w:rPr>
          <w:rFonts w:ascii="Century" w:hAnsi="Century" w:cs="Miriam" w:hint="eastAsia"/>
          <w:b/>
          <w:spacing w:val="0"/>
          <w:sz w:val="22"/>
          <w:szCs w:val="24"/>
          <w:rtl/>
        </w:rPr>
        <w:t>נאור</w:t>
      </w:r>
      <w:r w:rsidR="00A01E7C">
        <w:rPr>
          <w:rFonts w:hint="cs"/>
          <w:rtl/>
        </w:rPr>
        <w:t xml:space="preserve"> (12.2.2015)). לכן, קיומה של עילת הסבירות בתור "כלי עבודה" בארגז הכלים השיפוטי, הוא בעל חשיבות רבה בהקשר זה. </w:t>
      </w:r>
    </w:p>
    <w:p w:rsidR="00B72BEC" w:rsidRDefault="00B72BEC" w:rsidP="00B72BEC">
      <w:pPr>
        <w:pStyle w:val="Ruller4"/>
        <w:numPr>
          <w:ilvl w:val="0"/>
          <w:numId w:val="0"/>
        </w:numPr>
        <w:rPr>
          <w:rtl/>
        </w:rPr>
      </w:pPr>
    </w:p>
    <w:p w:rsidR="00B72BEC" w:rsidRDefault="00B72BEC" w:rsidP="00B72BEC">
      <w:pPr>
        <w:pStyle w:val="Ruller4"/>
        <w:numPr>
          <w:ilvl w:val="0"/>
          <w:numId w:val="0"/>
        </w:numPr>
        <w:rPr>
          <w:rFonts w:ascii="Century" w:hAnsi="Century"/>
          <w:sz w:val="22"/>
          <w:rtl/>
        </w:rPr>
      </w:pPr>
      <w:r>
        <w:rPr>
          <w:rtl/>
        </w:rPr>
        <w:tab/>
      </w:r>
      <w:r w:rsidR="00A01E7C">
        <w:rPr>
          <w:rFonts w:hint="cs"/>
          <w:rtl/>
        </w:rPr>
        <w:t xml:space="preserve">ודוקו </w:t>
      </w:r>
      <w:r w:rsidR="00A01E7C">
        <w:rPr>
          <w:rtl/>
        </w:rPr>
        <w:t>–</w:t>
      </w:r>
      <w:r w:rsidR="00A01E7C">
        <w:rPr>
          <w:rFonts w:hint="cs"/>
          <w:rtl/>
        </w:rPr>
        <w:t xml:space="preserve"> </w:t>
      </w:r>
      <w:r w:rsidR="00A01E7C" w:rsidRPr="00F83755">
        <w:rPr>
          <w:rFonts w:hint="cs"/>
          <w:rtl/>
        </w:rPr>
        <w:t>אם</w:t>
      </w:r>
      <w:r w:rsidR="00A01E7C">
        <w:rPr>
          <w:rFonts w:hint="cs"/>
          <w:rtl/>
        </w:rPr>
        <w:t xml:space="preserve"> </w:t>
      </w:r>
      <w:r w:rsidR="00A01E7C" w:rsidRPr="00F83755">
        <w:rPr>
          <w:rFonts w:hint="cs"/>
          <w:rtl/>
        </w:rPr>
        <w:t xml:space="preserve">ההחלטות של </w:t>
      </w:r>
      <w:r w:rsidR="00A01E7C">
        <w:rPr>
          <w:rFonts w:hint="cs"/>
          <w:rtl/>
        </w:rPr>
        <w:t xml:space="preserve">הגורם המפוקח ביחס למינוים ולסיום כהונתם של שומרי הסף (כאשר מדובר בהחלטות של הממשלה, ראש הממשלה או אחד השרים) יהיו </w:t>
      </w:r>
      <w:r w:rsidR="00A01E7C" w:rsidRPr="00F83755">
        <w:rPr>
          <w:rFonts w:hint="cs"/>
          <w:rtl/>
        </w:rPr>
        <w:t>חסינ</w:t>
      </w:r>
      <w:r w:rsidR="00A01E7C">
        <w:rPr>
          <w:rFonts w:hint="cs"/>
          <w:rtl/>
        </w:rPr>
        <w:t>ות</w:t>
      </w:r>
      <w:r w:rsidR="00A01E7C" w:rsidRPr="00F83755">
        <w:rPr>
          <w:rFonts w:hint="cs"/>
          <w:rtl/>
        </w:rPr>
        <w:t xml:space="preserve"> מפני ביקורת שיפוטית בהתייחס לסבירותן </w:t>
      </w:r>
      <w:r w:rsidR="00A01E7C" w:rsidRPr="00F83755">
        <w:rPr>
          <w:rtl/>
        </w:rPr>
        <w:t>–</w:t>
      </w:r>
      <w:r w:rsidR="00A01E7C" w:rsidRPr="00F83755">
        <w:rPr>
          <w:rFonts w:hint="cs"/>
          <w:rtl/>
        </w:rPr>
        <w:t xml:space="preserve"> </w:t>
      </w:r>
      <w:r w:rsidR="00A01E7C">
        <w:rPr>
          <w:rFonts w:hint="cs"/>
          <w:rtl/>
        </w:rPr>
        <w:t>תיפגע</w:t>
      </w:r>
      <w:r w:rsidR="00A01E7C" w:rsidRPr="00F83755">
        <w:rPr>
          <w:rFonts w:hint="cs"/>
          <w:rtl/>
        </w:rPr>
        <w:t xml:space="preserve"> העצמאות של שומרי הסף ו</w:t>
      </w:r>
      <w:r w:rsidR="00A01E7C">
        <w:rPr>
          <w:rFonts w:hint="cs"/>
          <w:rtl/>
        </w:rPr>
        <w:t>תגבר</w:t>
      </w:r>
      <w:r w:rsidR="00A01E7C" w:rsidRPr="00F83755">
        <w:rPr>
          <w:rFonts w:hint="cs"/>
          <w:rtl/>
        </w:rPr>
        <w:t xml:space="preserve"> תלותם בגורמים המפוקחים.</w:t>
      </w:r>
      <w:r w:rsidR="00A01E7C">
        <w:rPr>
          <w:rFonts w:hint="cs"/>
          <w:rtl/>
        </w:rPr>
        <w:t xml:space="preserve"> מנגד, קיומה של ביקורת שיפוטית אפקטיבית הכוללת אפשרות לבחון את סבירות ההחלטה, תאפשר לבית המשפט להתערב בהחלטות ביחס למינוי או לפיטורין החורגות באופן קיצוני ממתחם הסבירות</w:t>
      </w:r>
      <w:r w:rsidR="00A01E7C">
        <w:rPr>
          <w:rFonts w:ascii="Century" w:hAnsi="Century" w:hint="cs"/>
          <w:sz w:val="22"/>
          <w:rtl/>
        </w:rPr>
        <w:t xml:space="preserve">. התערבות כזו, ואף יותר מכך ידיעתם של הגורמים המקבלים את ההחלטות (ושל הציבור בכללותו) על אודות אפשרות קיומה של התערבות כזו, הן לכן משמעותיות. </w:t>
      </w:r>
      <w:r w:rsidR="00A01E7C" w:rsidRPr="00273396">
        <w:rPr>
          <w:rFonts w:ascii="Century" w:hAnsi="Century"/>
          <w:sz w:val="22"/>
          <w:rtl/>
        </w:rPr>
        <w:t xml:space="preserve"> </w:t>
      </w:r>
    </w:p>
    <w:p w:rsidR="00B72BEC" w:rsidRDefault="00B72BEC" w:rsidP="00B72BEC">
      <w:pPr>
        <w:pStyle w:val="Ruller4"/>
        <w:numPr>
          <w:ilvl w:val="0"/>
          <w:numId w:val="0"/>
        </w:numPr>
        <w:rPr>
          <w:rFonts w:ascii="Century" w:hAnsi="Century"/>
          <w:sz w:val="22"/>
          <w:rtl/>
        </w:rPr>
      </w:pPr>
    </w:p>
    <w:p w:rsidR="00B72BEC" w:rsidRDefault="00B72BEC" w:rsidP="00B72BEC">
      <w:pPr>
        <w:pStyle w:val="Ruller4"/>
        <w:numPr>
          <w:ilvl w:val="0"/>
          <w:numId w:val="0"/>
        </w:numPr>
        <w:rPr>
          <w:rFonts w:ascii="Century" w:hAnsi="Century"/>
          <w:sz w:val="22"/>
          <w:rtl/>
        </w:rPr>
      </w:pPr>
      <w:r>
        <w:rPr>
          <w:rFonts w:ascii="Century" w:hAnsi="Century"/>
          <w:sz w:val="22"/>
          <w:rtl/>
        </w:rPr>
        <w:tab/>
      </w:r>
      <w:r w:rsidR="00A01E7C">
        <w:rPr>
          <w:rFonts w:hint="cs"/>
          <w:rtl/>
        </w:rPr>
        <w:t xml:space="preserve">במילים אחרות, </w:t>
      </w:r>
      <w:r w:rsidR="00A01E7C" w:rsidRPr="00273396">
        <w:rPr>
          <w:rFonts w:hint="eastAsia"/>
          <w:rtl/>
        </w:rPr>
        <w:t>אם</w:t>
      </w:r>
      <w:r w:rsidR="00A01E7C" w:rsidRPr="00273396">
        <w:rPr>
          <w:rtl/>
        </w:rPr>
        <w:t xml:space="preserve"> בית המשפט לא יוכל לבחון </w:t>
      </w:r>
      <w:r w:rsidR="00A01E7C">
        <w:rPr>
          <w:rFonts w:hint="cs"/>
          <w:rtl/>
        </w:rPr>
        <w:t>את סבירות ההחלטות בדבר ה</w:t>
      </w:r>
      <w:r w:rsidR="00A01E7C" w:rsidRPr="00273396">
        <w:rPr>
          <w:rtl/>
        </w:rPr>
        <w:t>מינוי</w:t>
      </w:r>
      <w:r w:rsidR="00A01E7C">
        <w:rPr>
          <w:rFonts w:hint="cs"/>
          <w:rtl/>
        </w:rPr>
        <w:t>ים</w:t>
      </w:r>
      <w:r w:rsidR="00A01E7C" w:rsidRPr="00273396">
        <w:rPr>
          <w:rtl/>
        </w:rPr>
        <w:t xml:space="preserve"> ו</w:t>
      </w:r>
      <w:r w:rsidR="00A01E7C">
        <w:rPr>
          <w:rFonts w:hint="cs"/>
          <w:rtl/>
        </w:rPr>
        <w:t>ה</w:t>
      </w:r>
      <w:r w:rsidR="00A01E7C" w:rsidRPr="00273396">
        <w:rPr>
          <w:rtl/>
        </w:rPr>
        <w:t>פיטורים של שומרי הסף, משמעות הדבר היא כי מי שיחליט על מינוים או על פיטוריהם – יוכל לקבל החלטות החורגות ממתחם הסבירות, ובכלל זה גם בלתי סבירות בעליל</w:t>
      </w:r>
      <w:r w:rsidR="00A01E7C">
        <w:rPr>
          <w:rFonts w:hint="cs"/>
          <w:rtl/>
        </w:rPr>
        <w:t>,</w:t>
      </w:r>
      <w:r w:rsidR="00A01E7C" w:rsidRPr="00273396">
        <w:rPr>
          <w:rtl/>
        </w:rPr>
        <w:t xml:space="preserve"> בלא שניתן יהיה לבקר החלטות כאלה. </w:t>
      </w:r>
      <w:r w:rsidR="00A01E7C" w:rsidRPr="00273396">
        <w:rPr>
          <w:rFonts w:hint="eastAsia"/>
          <w:sz w:val="22"/>
          <w:rtl/>
        </w:rPr>
        <w:t>המשקל</w:t>
      </w:r>
      <w:r w:rsidR="00A01E7C" w:rsidRPr="00273396">
        <w:rPr>
          <w:sz w:val="22"/>
          <w:rtl/>
        </w:rPr>
        <w:t xml:space="preserve"> של כפיפותם של שומרי הסף (שיהיו מודעים כמובן לכך) לגורמי השלטון שימנו אותם ויוכלו גם לפטרם – יגבר לאור האמור בצורה משמעותית. </w:t>
      </w:r>
      <w:r w:rsidR="00A01E7C">
        <w:rPr>
          <w:rFonts w:hint="cs"/>
          <w:sz w:val="22"/>
          <w:rtl/>
        </w:rPr>
        <w:t xml:space="preserve">בנסיבות כאלה לא זו בלבד שהממשלה, ראש הממשלה או כל אחד מהשרים עלולים למנות רק שומרי סף שהם סבורים שידאגו </w:t>
      </w:r>
      <w:r w:rsidR="00A01E7C" w:rsidRPr="00273396">
        <w:rPr>
          <w:sz w:val="22"/>
          <w:rtl/>
        </w:rPr>
        <w:t>לאינטרסים שלהם</w:t>
      </w:r>
      <w:r w:rsidR="00A01E7C">
        <w:rPr>
          <w:rFonts w:hint="cs"/>
          <w:sz w:val="22"/>
          <w:rtl/>
        </w:rPr>
        <w:t>; אלא שגם שומרי סף שימונו מטעמים ראויים עלולים שלא לבצע את תפקידם כנדרש בשל החשש מפני פיטוריהם</w:t>
      </w:r>
      <w:r w:rsidR="00A01E7C" w:rsidRPr="00273396">
        <w:rPr>
          <w:sz w:val="22"/>
          <w:rtl/>
        </w:rPr>
        <w:t xml:space="preserve">. </w:t>
      </w:r>
      <w:r w:rsidR="00A01E7C">
        <w:rPr>
          <w:rFonts w:hint="cs"/>
          <w:sz w:val="22"/>
          <w:rtl/>
        </w:rPr>
        <w:t xml:space="preserve">גם אמון הציבור בשומרי הסף עלול להיפגע. ודוקו </w:t>
      </w:r>
      <w:r w:rsidR="00A01E7C">
        <w:rPr>
          <w:sz w:val="22"/>
          <w:rtl/>
        </w:rPr>
        <w:t>–</w:t>
      </w:r>
      <w:r w:rsidR="00A01E7C">
        <w:rPr>
          <w:rFonts w:hint="cs"/>
          <w:sz w:val="22"/>
          <w:rtl/>
        </w:rPr>
        <w:t xml:space="preserve"> </w:t>
      </w:r>
      <w:r w:rsidR="00A01E7C" w:rsidRPr="00273396">
        <w:rPr>
          <w:sz w:val="22"/>
          <w:rtl/>
        </w:rPr>
        <w:t>גם</w:t>
      </w:r>
      <w:r w:rsidR="00A01E7C">
        <w:rPr>
          <w:rFonts w:hint="cs"/>
          <w:sz w:val="22"/>
          <w:rtl/>
        </w:rPr>
        <w:t xml:space="preserve"> </w:t>
      </w:r>
      <w:r w:rsidR="00A01E7C" w:rsidRPr="00273396">
        <w:rPr>
          <w:sz w:val="22"/>
          <w:rtl/>
        </w:rPr>
        <w:t xml:space="preserve">אם קשה לצפות איך ינהג שומר סף לאחר מינויו, הרי כל עוד חרב הפיטורין האפשריים מונפת על ראשו, וכל עוד הוא אינו יכול </w:t>
      </w:r>
      <w:r w:rsidR="00A01E7C" w:rsidRPr="00273396">
        <w:rPr>
          <w:rFonts w:hint="eastAsia"/>
          <w:sz w:val="22"/>
          <w:rtl/>
        </w:rPr>
        <w:t>לצפות</w:t>
      </w:r>
      <w:r w:rsidR="00A01E7C" w:rsidRPr="00273396">
        <w:rPr>
          <w:sz w:val="22"/>
          <w:rtl/>
        </w:rPr>
        <w:t xml:space="preserve"> לסיוע של בית המשפט אם יפוטר מטעמים שאינם סבירים – החשש אליו התייחסתי לעיל, הולך וגובר. </w:t>
      </w:r>
    </w:p>
    <w:p w:rsidR="00B72BEC" w:rsidRDefault="00B72BEC" w:rsidP="00B72BEC">
      <w:pPr>
        <w:pStyle w:val="Ruller4"/>
        <w:numPr>
          <w:ilvl w:val="0"/>
          <w:numId w:val="0"/>
        </w:numPr>
        <w:rPr>
          <w:rFonts w:ascii="Century" w:hAnsi="Century"/>
          <w:sz w:val="22"/>
          <w:rtl/>
        </w:rPr>
      </w:pPr>
    </w:p>
    <w:p w:rsidR="00B72BEC" w:rsidRDefault="00A01E7C" w:rsidP="00B72BEC">
      <w:pPr>
        <w:pStyle w:val="Ruller4"/>
        <w:rPr>
          <w:rFonts w:ascii="Century" w:hAnsi="Century"/>
          <w:sz w:val="22"/>
        </w:rPr>
      </w:pPr>
      <w:r>
        <w:rPr>
          <w:rFonts w:hint="cs"/>
          <w:rtl/>
        </w:rPr>
        <w:lastRenderedPageBreak/>
        <w:t xml:space="preserve">חרף החשיבות הרבה של ביקורת שיפוטית אפקטיבית על החלטות הנוגעות למינויים ולפיטורים של שומרי סף, התיקון שולל את האפשרות לביקורת כזו מכוח עילת הסבירות גם ביחס לנושאים קריטיים אלה. כך, </w:t>
      </w:r>
      <w:r w:rsidRPr="0096454F">
        <w:rPr>
          <w:rFonts w:ascii="Century" w:hAnsi="Century" w:hint="cs"/>
          <w:sz w:val="22"/>
          <w:rtl/>
        </w:rPr>
        <w:t>התיקון ק</w:t>
      </w:r>
      <w:r>
        <w:rPr>
          <w:rFonts w:ascii="Century" w:hAnsi="Century" w:hint="cs"/>
          <w:sz w:val="22"/>
          <w:rtl/>
        </w:rPr>
        <w:t>ו</w:t>
      </w:r>
      <w:r w:rsidRPr="0096454F">
        <w:rPr>
          <w:rFonts w:ascii="Century" w:hAnsi="Century" w:hint="cs"/>
          <w:sz w:val="22"/>
          <w:rtl/>
        </w:rPr>
        <w:t xml:space="preserve">בע </w:t>
      </w:r>
      <w:r>
        <w:rPr>
          <w:rFonts w:ascii="Century" w:hAnsi="Century" w:hint="cs"/>
          <w:sz w:val="22"/>
          <w:rtl/>
        </w:rPr>
        <w:t>באופן ברור ו</w:t>
      </w:r>
      <w:r w:rsidRPr="0096454F">
        <w:rPr>
          <w:rFonts w:ascii="Century" w:hAnsi="Century" w:hint="cs"/>
          <w:sz w:val="22"/>
          <w:rtl/>
        </w:rPr>
        <w:t>מפורש כי הוא יחול על "</w:t>
      </w:r>
      <w:r w:rsidRPr="00D170F5">
        <w:rPr>
          <w:rFonts w:ascii="Century" w:hAnsi="Century" w:cs="Miriam" w:hint="eastAsia"/>
          <w:b/>
          <w:spacing w:val="0"/>
          <w:sz w:val="22"/>
          <w:szCs w:val="24"/>
          <w:rtl/>
        </w:rPr>
        <w:t>כל</w:t>
      </w:r>
      <w:r w:rsidRPr="00D170F5">
        <w:rPr>
          <w:rFonts w:ascii="Century" w:hAnsi="Century" w:cs="Miriam"/>
          <w:b/>
          <w:spacing w:val="0"/>
          <w:sz w:val="22"/>
          <w:szCs w:val="24"/>
        </w:rPr>
        <w:t xml:space="preserve"> </w:t>
      </w:r>
      <w:r w:rsidRPr="00D170F5">
        <w:rPr>
          <w:rFonts w:ascii="Century" w:hAnsi="Century" w:cs="Miriam" w:hint="eastAsia"/>
          <w:b/>
          <w:spacing w:val="0"/>
          <w:sz w:val="22"/>
          <w:szCs w:val="24"/>
          <w:rtl/>
        </w:rPr>
        <w:t>החלטה</w:t>
      </w:r>
      <w:r w:rsidRPr="00D170F5">
        <w:rPr>
          <w:rFonts w:ascii="Century" w:hAnsi="Century" w:cs="Miriam"/>
          <w:b/>
          <w:spacing w:val="0"/>
          <w:sz w:val="22"/>
          <w:szCs w:val="24"/>
          <w:rtl/>
        </w:rPr>
        <w:t xml:space="preserve">, </w:t>
      </w:r>
      <w:r w:rsidRPr="00D170F5">
        <w:rPr>
          <w:rFonts w:ascii="Century" w:hAnsi="Century" w:cs="Miriam" w:hint="eastAsia"/>
          <w:b/>
          <w:spacing w:val="0"/>
          <w:sz w:val="22"/>
          <w:szCs w:val="24"/>
          <w:rtl/>
        </w:rPr>
        <w:t>לרבות</w:t>
      </w:r>
      <w:r w:rsidRPr="00D170F5">
        <w:rPr>
          <w:rFonts w:ascii="Century" w:hAnsi="Century" w:cs="Miriam"/>
          <w:b/>
          <w:spacing w:val="0"/>
          <w:sz w:val="22"/>
          <w:szCs w:val="24"/>
        </w:rPr>
        <w:t xml:space="preserve"> </w:t>
      </w:r>
      <w:r w:rsidRPr="00D170F5">
        <w:rPr>
          <w:rFonts w:ascii="Century" w:hAnsi="Century" w:cs="Miriam" w:hint="eastAsia"/>
          <w:b/>
          <w:spacing w:val="0"/>
          <w:sz w:val="22"/>
          <w:szCs w:val="24"/>
          <w:rtl/>
        </w:rPr>
        <w:t>בענייני</w:t>
      </w:r>
      <w:r w:rsidRPr="00D170F5">
        <w:rPr>
          <w:rFonts w:ascii="Century" w:hAnsi="Century" w:cs="Miriam"/>
          <w:b/>
          <w:spacing w:val="0"/>
          <w:sz w:val="22"/>
          <w:szCs w:val="24"/>
        </w:rPr>
        <w:t xml:space="preserve"> </w:t>
      </w:r>
      <w:r w:rsidRPr="00D170F5">
        <w:rPr>
          <w:rFonts w:ascii="Century" w:hAnsi="Century" w:cs="Miriam" w:hint="eastAsia"/>
          <w:b/>
          <w:spacing w:val="0"/>
          <w:sz w:val="22"/>
          <w:szCs w:val="24"/>
          <w:rtl/>
        </w:rPr>
        <w:t>מינויים</w:t>
      </w:r>
      <w:r w:rsidRPr="0096454F">
        <w:rPr>
          <w:rFonts w:ascii="Century" w:hAnsi="Century" w:hint="cs"/>
          <w:sz w:val="22"/>
          <w:rtl/>
        </w:rPr>
        <w:t xml:space="preserve">". </w:t>
      </w:r>
      <w:r>
        <w:rPr>
          <w:rFonts w:ascii="Century" w:hAnsi="Century" w:hint="cs"/>
          <w:sz w:val="22"/>
          <w:rtl/>
        </w:rPr>
        <w:t xml:space="preserve">היינו </w:t>
      </w:r>
      <w:r w:rsidRPr="0096454F">
        <w:rPr>
          <w:rFonts w:ascii="Century" w:hAnsi="Century" w:hint="cs"/>
          <w:sz w:val="22"/>
          <w:rtl/>
        </w:rPr>
        <w:t xml:space="preserve">בית המשפט לא יוכל לבחון ולבקר </w:t>
      </w:r>
      <w:r>
        <w:rPr>
          <w:rFonts w:ascii="Century" w:hAnsi="Century" w:hint="cs"/>
          <w:sz w:val="22"/>
          <w:rtl/>
        </w:rPr>
        <w:t xml:space="preserve">מכוח עילת הסבירות </w:t>
      </w:r>
      <w:r w:rsidRPr="0096454F">
        <w:rPr>
          <w:rFonts w:ascii="Century" w:hAnsi="Century" w:hint="cs"/>
          <w:sz w:val="22"/>
          <w:rtl/>
        </w:rPr>
        <w:t xml:space="preserve">כל החלטה הנוגעת למינויים כמו גם לפיטורים של </w:t>
      </w:r>
      <w:r>
        <w:rPr>
          <w:rFonts w:ascii="Century" w:hAnsi="Century" w:hint="cs"/>
          <w:sz w:val="22"/>
          <w:rtl/>
        </w:rPr>
        <w:t xml:space="preserve">בעלי תפקידים ציבוריים, ובכלל זה שומרי סף. </w:t>
      </w:r>
      <w:r w:rsidRPr="00273396">
        <w:rPr>
          <w:rFonts w:ascii="Century" w:hAnsi="Century" w:hint="eastAsia"/>
          <w:sz w:val="22"/>
          <w:rtl/>
        </w:rPr>
        <w:t>הצרת</w:t>
      </w:r>
      <w:r w:rsidRPr="00273396">
        <w:rPr>
          <w:rFonts w:ascii="Century" w:hAnsi="Century"/>
          <w:sz w:val="22"/>
          <w:rtl/>
        </w:rPr>
        <w:t xml:space="preserve"> שיקול הדעת של בית המשפט בביקורת על החלטות הנוגעות למינויים ולפיטורים</w:t>
      </w:r>
      <w:r>
        <w:rPr>
          <w:rFonts w:ascii="Century" w:hAnsi="Century" w:hint="cs"/>
          <w:sz w:val="22"/>
          <w:rtl/>
        </w:rPr>
        <w:t xml:space="preserve">, והשלילה של כלי אפקטיבי ומשמעותי בביקורת הזו, </w:t>
      </w:r>
      <w:r w:rsidRPr="00273396">
        <w:rPr>
          <w:rFonts w:ascii="Century" w:hAnsi="Century"/>
          <w:sz w:val="22"/>
          <w:rtl/>
        </w:rPr>
        <w:t>משליכ</w:t>
      </w:r>
      <w:r>
        <w:rPr>
          <w:rFonts w:ascii="Century" w:hAnsi="Century" w:hint="cs"/>
          <w:sz w:val="22"/>
          <w:rtl/>
        </w:rPr>
        <w:t>ות</w:t>
      </w:r>
      <w:r w:rsidRPr="00273396">
        <w:rPr>
          <w:rFonts w:ascii="Century" w:hAnsi="Century"/>
          <w:sz w:val="22"/>
          <w:rtl/>
        </w:rPr>
        <w:t xml:space="preserve"> באופן ישיר וברור על </w:t>
      </w:r>
      <w:r>
        <w:rPr>
          <w:rFonts w:ascii="Century" w:hAnsi="Century" w:hint="cs"/>
          <w:sz w:val="22"/>
          <w:rtl/>
        </w:rPr>
        <w:t xml:space="preserve">האפקטיביות של שומרי הסף. </w:t>
      </w:r>
      <w:r>
        <w:rPr>
          <w:rFonts w:hint="cs"/>
          <w:sz w:val="22"/>
          <w:rtl/>
        </w:rPr>
        <w:t xml:space="preserve">למעשה, </w:t>
      </w:r>
      <w:r>
        <w:rPr>
          <w:rFonts w:ascii="Century" w:hAnsi="Century" w:hint="cs"/>
          <w:rtl/>
        </w:rPr>
        <w:t>החלשתם של שומרי הסף וחיזוק התלות ביניהם לבין הגורמים המפוקחים, מסכלת במידה רבה את האפקטיביות של תפקידם בשמירה על שלטון החוק.</w:t>
      </w:r>
      <w:r>
        <w:rPr>
          <w:rFonts w:hint="cs"/>
          <w:rtl/>
        </w:rPr>
        <w:t xml:space="preserve"> עניין זה הוא רכיב נוסף אם כן </w:t>
      </w:r>
      <w:r>
        <w:rPr>
          <w:rtl/>
        </w:rPr>
        <w:t>–</w:t>
      </w:r>
      <w:r>
        <w:rPr>
          <w:rFonts w:hint="cs"/>
          <w:rtl/>
        </w:rPr>
        <w:t xml:space="preserve"> ולטעמי משמעותי במיוחד </w:t>
      </w:r>
      <w:r>
        <w:rPr>
          <w:rtl/>
        </w:rPr>
        <w:t>–</w:t>
      </w:r>
      <w:r>
        <w:rPr>
          <w:rFonts w:hint="cs"/>
          <w:rtl/>
        </w:rPr>
        <w:t xml:space="preserve"> בפגיעה בשלטון החוק הצפויה כתוצאה</w:t>
      </w:r>
      <w:r w:rsidRPr="00FF5D86">
        <w:rPr>
          <w:rFonts w:ascii="Century" w:hAnsi="Century"/>
          <w:sz w:val="22"/>
          <w:rtl/>
        </w:rPr>
        <w:t xml:space="preserve"> </w:t>
      </w:r>
      <w:r w:rsidRPr="00FF5D86">
        <w:rPr>
          <w:rFonts w:ascii="Century" w:hAnsi="Century" w:hint="eastAsia"/>
          <w:sz w:val="22"/>
          <w:rtl/>
        </w:rPr>
        <w:t>מהתיקון</w:t>
      </w:r>
      <w:r w:rsidRPr="00FF5D86">
        <w:rPr>
          <w:rFonts w:ascii="Century" w:hAnsi="Century"/>
          <w:sz w:val="22"/>
          <w:rtl/>
        </w:rPr>
        <w:t xml:space="preserve">. </w:t>
      </w:r>
    </w:p>
    <w:p w:rsidR="00B72BEC" w:rsidRDefault="00B72BEC" w:rsidP="00B72BEC">
      <w:pPr>
        <w:pStyle w:val="Ruller4"/>
        <w:numPr>
          <w:ilvl w:val="0"/>
          <w:numId w:val="0"/>
        </w:numPr>
        <w:rPr>
          <w:rFonts w:ascii="Century" w:hAnsi="Century"/>
          <w:sz w:val="22"/>
          <w:rtl/>
        </w:rPr>
      </w:pPr>
    </w:p>
    <w:p w:rsidR="00A01E7C" w:rsidRPr="00B72BEC" w:rsidRDefault="00A01E7C" w:rsidP="00B72BEC">
      <w:pPr>
        <w:pStyle w:val="Ruller4"/>
        <w:rPr>
          <w:sz w:val="22"/>
          <w:rtl/>
        </w:rPr>
      </w:pPr>
      <w:r w:rsidRPr="00B72BEC">
        <w:rPr>
          <w:rFonts w:hint="cs"/>
          <w:rtl/>
        </w:rPr>
        <w:t xml:space="preserve">כפי שהבהרתי זה מכבר לעיל, אני מצטרפת לכל האמור בחוות דעתה של הנשיאה (בדימ') </w:t>
      </w:r>
      <w:r w:rsidRPr="00B72BEC">
        <w:rPr>
          <w:rFonts w:cs="Miriam" w:hint="eastAsia"/>
          <w:b/>
          <w:spacing w:val="0"/>
          <w:sz w:val="22"/>
          <w:szCs w:val="24"/>
          <w:rtl/>
        </w:rPr>
        <w:t>חיות</w:t>
      </w:r>
      <w:r w:rsidRPr="00B72BEC">
        <w:rPr>
          <w:rFonts w:hint="cs"/>
          <w:rtl/>
        </w:rPr>
        <w:t xml:space="preserve"> ביחס לפגיעה הקשה שהתיקון מסב לעקרון שלטון החוק </w:t>
      </w:r>
      <w:r w:rsidRPr="00B72BEC">
        <w:rPr>
          <w:rFonts w:hint="eastAsia"/>
          <w:rtl/>
        </w:rPr>
        <w:t>ו</w:t>
      </w:r>
      <w:r w:rsidRPr="00B72BEC">
        <w:rPr>
          <w:rFonts w:hint="cs"/>
          <w:rtl/>
        </w:rPr>
        <w:t>ל</w:t>
      </w:r>
      <w:r w:rsidRPr="00B72BEC">
        <w:rPr>
          <w:rFonts w:hint="eastAsia"/>
          <w:rtl/>
        </w:rPr>
        <w:t>עקרון</w:t>
      </w:r>
      <w:r w:rsidRPr="00B72BEC">
        <w:rPr>
          <w:rtl/>
        </w:rPr>
        <w:t xml:space="preserve"> </w:t>
      </w:r>
      <w:r w:rsidRPr="00B72BEC">
        <w:rPr>
          <w:rFonts w:hint="eastAsia"/>
          <w:rtl/>
        </w:rPr>
        <w:t>הפרדת</w:t>
      </w:r>
      <w:r w:rsidRPr="00B72BEC">
        <w:rPr>
          <w:rtl/>
        </w:rPr>
        <w:t xml:space="preserve"> </w:t>
      </w:r>
      <w:r w:rsidRPr="00B72BEC">
        <w:rPr>
          <w:rFonts w:hint="eastAsia"/>
          <w:rtl/>
        </w:rPr>
        <w:t>הרשויות</w:t>
      </w:r>
      <w:r w:rsidRPr="00B72BEC">
        <w:rPr>
          <w:rFonts w:eastAsia="Calibri"/>
          <w:sz w:val="22"/>
          <w:rtl/>
        </w:rPr>
        <w:t>.</w:t>
      </w:r>
      <w:r w:rsidRPr="00B72BEC">
        <w:rPr>
          <w:rFonts w:eastAsia="Calibri" w:cs="Miriam" w:hint="cs"/>
          <w:b/>
          <w:szCs w:val="24"/>
          <w:rtl/>
        </w:rPr>
        <w:t xml:space="preserve"> </w:t>
      </w:r>
      <w:r w:rsidRPr="00B72BEC">
        <w:rPr>
          <w:rFonts w:eastAsia="Calibri" w:hint="cs"/>
          <w:sz w:val="22"/>
          <w:rtl/>
        </w:rPr>
        <w:t>בדבריי לעיל ביקשתי אך להדגיש ולחדד אספקט משמעותי אחד של פגיעה זו.</w:t>
      </w:r>
      <w:r w:rsidRPr="00B72BEC">
        <w:rPr>
          <w:rFonts w:eastAsia="Calibri"/>
          <w:sz w:val="22"/>
          <w:rtl/>
        </w:rPr>
        <w:t xml:space="preserve"> </w:t>
      </w:r>
      <w:r w:rsidRPr="00B72BEC">
        <w:rPr>
          <w:rFonts w:hint="cs"/>
          <w:sz w:val="22"/>
          <w:rtl/>
        </w:rPr>
        <w:t>על כן, משהגעתי לכלל מסקנה כי התיקון פוגע פגיעה קשה בעקרונות הדמוקרטיים של מדינת ישראל, ולאור סטנדרט הביקורת שיש להחיל על התיקון כפי שהבהרתי לעיל, אני סבורה כי יש מקום לקבוע כי בחקיקתו חרגה הכנסת מסמכותה כרשות מכוננת, באופן המצדיק את ביטולו על ידי בית משפט זה.</w:t>
      </w:r>
    </w:p>
    <w:p w:rsidR="00A01E7C" w:rsidRPr="00CC1941" w:rsidRDefault="00A01E7C" w:rsidP="00A01E7C">
      <w:pPr>
        <w:spacing w:line="360" w:lineRule="auto"/>
        <w:rPr>
          <w:rFonts w:ascii="Century" w:hAnsi="Century" w:cs="FrankRuehl"/>
          <w:spacing w:val="10"/>
          <w:szCs w:val="28"/>
          <w:rtl/>
        </w:rPr>
      </w:pPr>
    </w:p>
    <w:p w:rsidR="00A01E7C" w:rsidRDefault="00A01E7C" w:rsidP="00A01E7C">
      <w:pPr>
        <w:spacing w:line="360" w:lineRule="auto"/>
        <w:rPr>
          <w:rFonts w:ascii="Century" w:hAnsi="Century" w:cs="Miriam"/>
          <w:b/>
          <w:rtl/>
        </w:rPr>
      </w:pPr>
      <w:r w:rsidRPr="00273396">
        <w:rPr>
          <w:rFonts w:ascii="Century" w:hAnsi="Century" w:cs="Miriam" w:hint="eastAsia"/>
          <w:b/>
          <w:rtl/>
        </w:rPr>
        <w:t>סיכומו</w:t>
      </w:r>
      <w:r w:rsidRPr="00273396">
        <w:rPr>
          <w:rFonts w:ascii="Century" w:hAnsi="Century" w:cs="Miriam"/>
          <w:b/>
          <w:rtl/>
        </w:rPr>
        <w:t xml:space="preserve"> </w:t>
      </w:r>
      <w:r w:rsidRPr="00273396">
        <w:rPr>
          <w:rFonts w:ascii="Century" w:hAnsi="Century" w:cs="Miriam" w:hint="eastAsia"/>
          <w:b/>
          <w:rtl/>
        </w:rPr>
        <w:t>של</w:t>
      </w:r>
      <w:r w:rsidRPr="00273396">
        <w:rPr>
          <w:rFonts w:ascii="Century" w:hAnsi="Century" w:cs="Miriam"/>
          <w:b/>
          <w:rtl/>
        </w:rPr>
        <w:t xml:space="preserve"> </w:t>
      </w:r>
      <w:r w:rsidRPr="00273396">
        <w:rPr>
          <w:rFonts w:ascii="Century" w:hAnsi="Century" w:cs="Miriam" w:hint="eastAsia"/>
          <w:b/>
          <w:rtl/>
        </w:rPr>
        <w:t>דבר</w:t>
      </w:r>
    </w:p>
    <w:p w:rsidR="00A01E7C" w:rsidRPr="00B72BEC" w:rsidRDefault="00A01E7C" w:rsidP="00A01E7C">
      <w:pPr>
        <w:spacing w:line="360" w:lineRule="auto"/>
        <w:rPr>
          <w:rFonts w:ascii="Century" w:hAnsi="Century" w:cs="Miriam"/>
          <w:b/>
          <w:sz w:val="22"/>
          <w:szCs w:val="28"/>
          <w:rtl/>
        </w:rPr>
      </w:pPr>
    </w:p>
    <w:p w:rsidR="00B72BEC" w:rsidRDefault="00A01E7C" w:rsidP="00B72BEC">
      <w:pPr>
        <w:pStyle w:val="Ruller4"/>
      </w:pPr>
      <w:r w:rsidRPr="00273396">
        <w:rPr>
          <w:rFonts w:hint="eastAsia"/>
          <w:rtl/>
        </w:rPr>
        <w:t>אני</w:t>
      </w:r>
      <w:r w:rsidRPr="00273396">
        <w:rPr>
          <w:rtl/>
        </w:rPr>
        <w:t xml:space="preserve"> סבורה כי הפרשנות הנכונה לתיקון היא זו </w:t>
      </w:r>
      <w:r>
        <w:rPr>
          <w:rFonts w:hint="cs"/>
          <w:rtl/>
        </w:rPr>
        <w:t>ה</w:t>
      </w:r>
      <w:r w:rsidRPr="00273396">
        <w:rPr>
          <w:rtl/>
        </w:rPr>
        <w:t xml:space="preserve">עולה באופן ברור מלשון החוק, </w:t>
      </w:r>
      <w:r>
        <w:rPr>
          <w:rFonts w:hint="cs"/>
          <w:rtl/>
        </w:rPr>
        <w:t xml:space="preserve">פרשנות </w:t>
      </w:r>
      <w:r w:rsidRPr="00273396">
        <w:rPr>
          <w:rtl/>
        </w:rPr>
        <w:t xml:space="preserve">לפיה בית המשפט לא יהיה מוסמך – כאשר מדובר בהחלטות </w:t>
      </w:r>
      <w:r>
        <w:rPr>
          <w:rFonts w:hint="cs"/>
          <w:rtl/>
        </w:rPr>
        <w:t>ה</w:t>
      </w:r>
      <w:r w:rsidRPr="00273396">
        <w:rPr>
          <w:rtl/>
        </w:rPr>
        <w:t>ממשלה</w:t>
      </w:r>
      <w:r>
        <w:rPr>
          <w:rFonts w:hint="cs"/>
          <w:rtl/>
        </w:rPr>
        <w:t>, ראש הממשלה או</w:t>
      </w:r>
      <w:r w:rsidRPr="00273396">
        <w:rPr>
          <w:rtl/>
        </w:rPr>
        <w:t xml:space="preserve"> </w:t>
      </w:r>
      <w:r>
        <w:rPr>
          <w:rFonts w:hint="cs"/>
          <w:rtl/>
        </w:rPr>
        <w:t>ה</w:t>
      </w:r>
      <w:r w:rsidRPr="00273396">
        <w:rPr>
          <w:rtl/>
        </w:rPr>
        <w:t>שרים – לבחון אותן תוך שימוש בכלי של עילת הסבירות</w:t>
      </w:r>
      <w:r>
        <w:rPr>
          <w:rFonts w:hint="cs"/>
          <w:rtl/>
        </w:rPr>
        <w:t xml:space="preserve"> על כל היבטיה. </w:t>
      </w:r>
      <w:r w:rsidRPr="0093254F">
        <w:rPr>
          <w:rtl/>
        </w:rPr>
        <w:t>בהתאם לפרשנות זו</w:t>
      </w:r>
      <w:r>
        <w:rPr>
          <w:rFonts w:hint="cs"/>
          <w:rtl/>
        </w:rPr>
        <w:t xml:space="preserve">, </w:t>
      </w:r>
      <w:r w:rsidRPr="0093254F">
        <w:rPr>
          <w:rtl/>
        </w:rPr>
        <w:t xml:space="preserve">התיקון פוגע </w:t>
      </w:r>
      <w:r>
        <w:rPr>
          <w:rFonts w:hint="cs"/>
          <w:rtl/>
        </w:rPr>
        <w:t xml:space="preserve">באופן משמעותי </w:t>
      </w:r>
      <w:r w:rsidRPr="0093254F">
        <w:rPr>
          <w:rtl/>
        </w:rPr>
        <w:t>ב</w:t>
      </w:r>
      <w:r>
        <w:rPr>
          <w:rFonts w:hint="cs"/>
          <w:rtl/>
        </w:rPr>
        <w:t xml:space="preserve">עקרון הפרדת הרשויות ובעקרון שלטון החוק שהם </w:t>
      </w:r>
      <w:r w:rsidRPr="0093254F">
        <w:rPr>
          <w:rtl/>
        </w:rPr>
        <w:t>מ</w:t>
      </w:r>
      <w:r>
        <w:rPr>
          <w:rFonts w:hint="cs"/>
          <w:rtl/>
        </w:rPr>
        <w:t xml:space="preserve">ליבת </w:t>
      </w:r>
      <w:r w:rsidRPr="0093254F">
        <w:rPr>
          <w:rtl/>
        </w:rPr>
        <w:t xml:space="preserve">עקרונות השיטה הדמוקרטית. </w:t>
      </w:r>
    </w:p>
    <w:p w:rsidR="00B72BEC" w:rsidRDefault="00B72BEC" w:rsidP="00B72BEC">
      <w:pPr>
        <w:pStyle w:val="Ruller4"/>
        <w:numPr>
          <w:ilvl w:val="0"/>
          <w:numId w:val="0"/>
        </w:numPr>
        <w:rPr>
          <w:rtl/>
        </w:rPr>
      </w:pPr>
    </w:p>
    <w:p w:rsidR="00B72BEC" w:rsidRDefault="00B72BEC" w:rsidP="00B72BEC">
      <w:pPr>
        <w:pStyle w:val="Ruller4"/>
        <w:numPr>
          <w:ilvl w:val="0"/>
          <w:numId w:val="0"/>
        </w:numPr>
        <w:rPr>
          <w:rtl/>
        </w:rPr>
      </w:pPr>
      <w:r>
        <w:rPr>
          <w:rtl/>
        </w:rPr>
        <w:tab/>
      </w:r>
      <w:r w:rsidR="00A01E7C">
        <w:rPr>
          <w:rFonts w:hint="cs"/>
          <w:rtl/>
        </w:rPr>
        <w:t xml:space="preserve">עוד אני סבורה </w:t>
      </w:r>
      <w:r w:rsidR="00A01E7C" w:rsidRPr="0093254F">
        <w:rPr>
          <w:rtl/>
        </w:rPr>
        <w:t>כי הכנסת כרשות מכוננת אינה רשאית לפגוע בתשתית הדמוקרטית של המדינה</w:t>
      </w:r>
      <w:r w:rsidR="00A01E7C">
        <w:rPr>
          <w:rFonts w:hint="cs"/>
          <w:rtl/>
        </w:rPr>
        <w:t xml:space="preserve"> באופן הפוגע משמעותית בזהותה של המדינה כדמוקרטית</w:t>
      </w:r>
      <w:r w:rsidR="00A01E7C" w:rsidRPr="0093254F">
        <w:rPr>
          <w:rtl/>
        </w:rPr>
        <w:t xml:space="preserve">; וכי כאשר היא עושה כן, בית המשפט מוסמך לבטל את פעולתה. </w:t>
      </w:r>
      <w:r w:rsidR="00A01E7C">
        <w:rPr>
          <w:rFonts w:hint="cs"/>
          <w:rtl/>
        </w:rPr>
        <w:t xml:space="preserve">השאלה האם פגיעה כלשהי במאפייני הדמוקרטיה עולה לכדי פגיעה המהווה חריגה של הרשות המכוננת מסמכותה </w:t>
      </w:r>
      <w:r w:rsidR="00A01E7C">
        <w:rPr>
          <w:rtl/>
        </w:rPr>
        <w:t>–</w:t>
      </w:r>
      <w:r w:rsidR="00A01E7C">
        <w:rPr>
          <w:rFonts w:hint="cs"/>
          <w:rtl/>
        </w:rPr>
        <w:t xml:space="preserve"> תלויה בין היתר בסטנדרט הביקורת שלאורו על בית המשפט לבחון את התיקון. </w:t>
      </w:r>
    </w:p>
    <w:p w:rsidR="00B72BEC" w:rsidRDefault="00B72BEC" w:rsidP="00B72BEC">
      <w:pPr>
        <w:pStyle w:val="Ruller4"/>
        <w:numPr>
          <w:ilvl w:val="0"/>
          <w:numId w:val="0"/>
        </w:numPr>
        <w:rPr>
          <w:rtl/>
        </w:rPr>
      </w:pPr>
    </w:p>
    <w:p w:rsidR="00A01E7C" w:rsidRPr="00B72BEC" w:rsidRDefault="00B72BEC" w:rsidP="00B72BEC">
      <w:pPr>
        <w:pStyle w:val="Ruller4"/>
        <w:numPr>
          <w:ilvl w:val="0"/>
          <w:numId w:val="0"/>
        </w:numPr>
        <w:rPr>
          <w:rtl/>
        </w:rPr>
      </w:pPr>
      <w:r>
        <w:rPr>
          <w:rtl/>
        </w:rPr>
        <w:tab/>
      </w:r>
      <w:r w:rsidR="00A01E7C">
        <w:rPr>
          <w:rFonts w:hint="cs"/>
          <w:rtl/>
        </w:rPr>
        <w:t xml:space="preserve">במקרה הנוכחי </w:t>
      </w:r>
      <w:r w:rsidR="00A01E7C" w:rsidRPr="00273396">
        <w:rPr>
          <w:rtl/>
        </w:rPr>
        <w:t>אני סבורה כי מאחר שמדובר בתיקון הפוגע ביכולת של הרשות השופטת לבקר את הרשות המבצעת</w:t>
      </w:r>
      <w:r w:rsidR="00A01E7C">
        <w:rPr>
          <w:rFonts w:hint="cs"/>
          <w:rtl/>
        </w:rPr>
        <w:t xml:space="preserve"> באופן המשנה מהותית את מערך האיזונים הקיים בין שלוש הרשויות; ובאופן המעורר חשש לניגוד עניינים מוסדי של הכנסת </w:t>
      </w:r>
      <w:r w:rsidR="00A01E7C">
        <w:rPr>
          <w:rtl/>
        </w:rPr>
        <w:t>–</w:t>
      </w:r>
      <w:r w:rsidR="00A01E7C">
        <w:rPr>
          <w:rFonts w:hint="cs"/>
          <w:rtl/>
        </w:rPr>
        <w:t xml:space="preserve"> </w:t>
      </w:r>
      <w:r w:rsidR="00A01E7C" w:rsidRPr="00273396">
        <w:rPr>
          <w:rtl/>
        </w:rPr>
        <w:t xml:space="preserve">יש להתייחס אליו תוך החלת סטנדרט ביקורת </w:t>
      </w:r>
      <w:r w:rsidR="00A01E7C">
        <w:rPr>
          <w:rFonts w:hint="cs"/>
          <w:rtl/>
        </w:rPr>
        <w:t xml:space="preserve">מחמיר מעט יותר על פעולת הכנסת, קרי תוך אפשרות </w:t>
      </w:r>
      <w:r w:rsidR="00A01E7C" w:rsidRPr="00273396">
        <w:rPr>
          <w:rtl/>
        </w:rPr>
        <w:t>מקל</w:t>
      </w:r>
      <w:r w:rsidR="00A01E7C">
        <w:rPr>
          <w:rFonts w:hint="cs"/>
          <w:rtl/>
        </w:rPr>
        <w:t>ה</w:t>
      </w:r>
      <w:r w:rsidR="00A01E7C" w:rsidRPr="00273396">
        <w:rPr>
          <w:rtl/>
        </w:rPr>
        <w:t xml:space="preserve"> מעט יותר להתערבות שיפוטית</w:t>
      </w:r>
      <w:r w:rsidR="00A01E7C">
        <w:rPr>
          <w:rFonts w:hint="cs"/>
          <w:rtl/>
        </w:rPr>
        <w:t xml:space="preserve"> בתיקון</w:t>
      </w:r>
      <w:r w:rsidR="00A01E7C" w:rsidRPr="00273396">
        <w:rPr>
          <w:rtl/>
        </w:rPr>
        <w:t xml:space="preserve">. </w:t>
      </w:r>
      <w:r w:rsidR="00A01E7C">
        <w:rPr>
          <w:rFonts w:hint="cs"/>
          <w:rtl/>
        </w:rPr>
        <w:t xml:space="preserve">בהתחשב בסטנדרט זה, אני סבורה כי הפגיעה המשמעותית שיוצר התיקון בעקרון הפרדת הרשויות ובעקרון שלטון החוק </w:t>
      </w:r>
      <w:r w:rsidR="00A01E7C">
        <w:rPr>
          <w:rtl/>
        </w:rPr>
        <w:t>–</w:t>
      </w:r>
      <w:r w:rsidR="00A01E7C">
        <w:rPr>
          <w:rFonts w:hint="cs"/>
          <w:rtl/>
        </w:rPr>
        <w:t xml:space="preserve"> שהם מעקרונות הליבה של הדמוקרטיה בישראל </w:t>
      </w:r>
      <w:r w:rsidR="00A01E7C">
        <w:rPr>
          <w:rtl/>
        </w:rPr>
        <w:t>–</w:t>
      </w:r>
      <w:r w:rsidR="00A01E7C">
        <w:rPr>
          <w:rFonts w:hint="cs"/>
          <w:rtl/>
        </w:rPr>
        <w:t xml:space="preserve"> היא כזו המצדיקה התערבות שיפוטית ומובילה למסקנה כי יש לפסול את התיקון.</w:t>
      </w:r>
    </w:p>
    <w:p w:rsidR="00A01E7C" w:rsidRPr="00B72BEC" w:rsidRDefault="00A01E7C" w:rsidP="00B72BEC">
      <w:pPr>
        <w:spacing w:line="360" w:lineRule="auto"/>
        <w:rPr>
          <w:sz w:val="22"/>
          <w:szCs w:val="28"/>
          <w:rtl/>
        </w:rPr>
      </w:pPr>
    </w:p>
    <w:p w:rsidR="00A01E7C" w:rsidRDefault="00A01E7C" w:rsidP="00B72BEC">
      <w:pPr>
        <w:spacing w:line="360" w:lineRule="auto"/>
        <w:rPr>
          <w:rFonts w:ascii="Century" w:hAnsi="Century" w:cs="Miriam"/>
          <w:b/>
          <w:rtl/>
        </w:rPr>
      </w:pPr>
      <w:r w:rsidRPr="00D170F5">
        <w:rPr>
          <w:rFonts w:ascii="Century" w:hAnsi="Century" w:cs="Miriam" w:hint="cs"/>
          <w:b/>
          <w:rtl/>
        </w:rPr>
        <w:t>אחר הדברים האלה</w:t>
      </w:r>
    </w:p>
    <w:p w:rsidR="00A01E7C" w:rsidRPr="001F54D2" w:rsidRDefault="00A01E7C" w:rsidP="00B72BEC">
      <w:pPr>
        <w:spacing w:line="360" w:lineRule="auto"/>
        <w:rPr>
          <w:rFonts w:ascii="Century" w:hAnsi="Century" w:cs="FrankRuehl"/>
          <w:spacing w:val="10"/>
          <w:szCs w:val="28"/>
          <w:rtl/>
        </w:rPr>
      </w:pPr>
    </w:p>
    <w:p w:rsidR="00B72BEC" w:rsidRDefault="00A01E7C" w:rsidP="00B72BEC">
      <w:pPr>
        <w:pStyle w:val="Ruller4"/>
        <w:rPr>
          <w:rtl/>
        </w:rPr>
      </w:pPr>
      <w:r w:rsidRPr="00D170F5">
        <w:rPr>
          <w:rFonts w:hint="cs"/>
          <w:rtl/>
        </w:rPr>
        <w:t xml:space="preserve">לאחר שקראתי את חוות הדעת של כל חבריי, ברצוני להוסיף התייחסות קצרה </w:t>
      </w:r>
      <w:r>
        <w:rPr>
          <w:rFonts w:hint="cs"/>
          <w:rtl/>
        </w:rPr>
        <w:t xml:space="preserve">ותמציתית </w:t>
      </w:r>
      <w:r w:rsidRPr="00D170F5">
        <w:rPr>
          <w:rFonts w:hint="cs"/>
          <w:rtl/>
        </w:rPr>
        <w:t xml:space="preserve">לחלקן. </w:t>
      </w:r>
    </w:p>
    <w:p w:rsidR="00B72BEC" w:rsidRPr="00B72BEC" w:rsidRDefault="00B72BEC" w:rsidP="00B72BEC">
      <w:pPr>
        <w:pStyle w:val="Ruller41"/>
      </w:pPr>
    </w:p>
    <w:p w:rsidR="00B72BEC" w:rsidRDefault="00A01E7C" w:rsidP="00B72BEC">
      <w:pPr>
        <w:pStyle w:val="Ruller4"/>
      </w:pPr>
      <w:r>
        <w:rPr>
          <w:rFonts w:hint="cs"/>
          <w:rtl/>
        </w:rPr>
        <w:t xml:space="preserve">חבריי, השופטים </w:t>
      </w:r>
      <w:r w:rsidRPr="00B72BEC">
        <w:rPr>
          <w:rFonts w:ascii="Century" w:hAnsi="Century" w:cs="Miriam" w:hint="cs"/>
          <w:b/>
          <w:szCs w:val="24"/>
          <w:rtl/>
        </w:rPr>
        <w:t>ד' מינץ</w:t>
      </w:r>
      <w:r>
        <w:rPr>
          <w:rFonts w:hint="cs"/>
          <w:rtl/>
        </w:rPr>
        <w:t xml:space="preserve"> ו</w:t>
      </w:r>
      <w:r w:rsidRPr="00B72BEC">
        <w:rPr>
          <w:rFonts w:ascii="Century" w:hAnsi="Century" w:cs="Miriam" w:hint="cs"/>
          <w:b/>
          <w:spacing w:val="0"/>
          <w:sz w:val="22"/>
          <w:szCs w:val="24"/>
          <w:rtl/>
        </w:rPr>
        <w:t>נ</w:t>
      </w:r>
      <w:r w:rsidRPr="00B72BEC">
        <w:rPr>
          <w:rFonts w:ascii="Century" w:hAnsi="Century" w:cs="Miriam"/>
          <w:b/>
          <w:spacing w:val="0"/>
          <w:sz w:val="22"/>
          <w:szCs w:val="24"/>
          <w:rtl/>
        </w:rPr>
        <w:t xml:space="preserve">' </w:t>
      </w:r>
      <w:r w:rsidRPr="00B72BEC">
        <w:rPr>
          <w:rFonts w:ascii="Century" w:hAnsi="Century" w:cs="Miriam" w:hint="eastAsia"/>
          <w:b/>
          <w:spacing w:val="0"/>
          <w:sz w:val="22"/>
          <w:szCs w:val="24"/>
          <w:rtl/>
        </w:rPr>
        <w:t>סולברג</w:t>
      </w:r>
      <w:r>
        <w:rPr>
          <w:rFonts w:hint="cs"/>
          <w:rtl/>
        </w:rPr>
        <w:t xml:space="preserve">, סבורים כי הכנסת כרשות מכוננת אינה מוגבלת בסמכותה, וכי בית משפט זה נעדר סמכות לבקר את תוקפו של חוק יסוד שהתקבל על ידי הכנסת. ספק בעיני אם זו הייתה עמדתם בהתייחס לכל תיקון אפשרי בחוקי היסוד ובחוקה המתהווה של מדינת ישראל. כך למשל, ספק בעיני אם חבריי היו קובעים כי אין מקום לביקורת שיפוטית גם כאשר נפל פגם ברור ומהותי בתהליך חקיקת החוק. "חוק יסוד" שהתקבל בדרך כזו ודאי אינו יכול להיחשב כ"חוק יסוד" בעל תוקף, ויש להצהיר על כך ולמנוע את הכללתו בחוקה המתהווה (וראו לעניין זה פסקה 29 לחוות דעתו של השופט </w:t>
      </w:r>
      <w:r w:rsidRPr="00B72BEC">
        <w:rPr>
          <w:rFonts w:ascii="Century" w:hAnsi="Century" w:cs="Miriam" w:hint="cs"/>
          <w:b/>
          <w:spacing w:val="0"/>
          <w:sz w:val="22"/>
          <w:szCs w:val="24"/>
          <w:rtl/>
        </w:rPr>
        <w:t>ע' גרוסקופף</w:t>
      </w:r>
      <w:r>
        <w:rPr>
          <w:rFonts w:hint="cs"/>
          <w:rtl/>
        </w:rPr>
        <w:t xml:space="preserve">). </w:t>
      </w:r>
    </w:p>
    <w:p w:rsidR="00B72BEC" w:rsidRDefault="00B72BEC" w:rsidP="00B72BEC">
      <w:pPr>
        <w:pStyle w:val="Ruller4"/>
        <w:numPr>
          <w:ilvl w:val="0"/>
          <w:numId w:val="0"/>
        </w:numPr>
        <w:rPr>
          <w:rtl/>
        </w:rPr>
      </w:pPr>
    </w:p>
    <w:p w:rsidR="00A01E7C" w:rsidRPr="00B72BEC" w:rsidRDefault="00B72BEC" w:rsidP="00B72BEC">
      <w:pPr>
        <w:pStyle w:val="Ruller4"/>
        <w:numPr>
          <w:ilvl w:val="0"/>
          <w:numId w:val="0"/>
        </w:numPr>
        <w:rPr>
          <w:rtl/>
        </w:rPr>
      </w:pPr>
      <w:r>
        <w:rPr>
          <w:rtl/>
        </w:rPr>
        <w:tab/>
      </w:r>
      <w:r w:rsidR="00A01E7C" w:rsidRPr="00B72BEC">
        <w:rPr>
          <w:rFonts w:ascii="Century" w:hAnsi="Century" w:hint="cs"/>
          <w:rtl/>
        </w:rPr>
        <w:t xml:space="preserve">זאת ועוד, </w:t>
      </w:r>
      <w:r w:rsidR="00A01E7C" w:rsidRPr="00B72BEC">
        <w:rPr>
          <w:rFonts w:ascii="Century" w:hAnsi="Century" w:hint="eastAsia"/>
          <w:rtl/>
        </w:rPr>
        <w:t>ספק</w:t>
      </w:r>
      <w:r w:rsidR="00A01E7C" w:rsidRPr="00B72BEC">
        <w:rPr>
          <w:rFonts w:ascii="Century" w:hAnsi="Century"/>
          <w:rtl/>
        </w:rPr>
        <w:t xml:space="preserve"> </w:t>
      </w:r>
      <w:r w:rsidR="00A01E7C" w:rsidRPr="00B72BEC">
        <w:rPr>
          <w:rFonts w:ascii="Century" w:hAnsi="Century" w:hint="eastAsia"/>
          <w:rtl/>
        </w:rPr>
        <w:t>אם</w:t>
      </w:r>
      <w:r w:rsidR="00A01E7C" w:rsidRPr="00B72BEC">
        <w:rPr>
          <w:rFonts w:ascii="Century" w:hAnsi="Century"/>
          <w:rtl/>
        </w:rPr>
        <w:t xml:space="preserve"> </w:t>
      </w:r>
      <w:r w:rsidR="00A01E7C" w:rsidRPr="00B72BEC">
        <w:rPr>
          <w:rFonts w:ascii="Century" w:hAnsi="Century" w:hint="eastAsia"/>
          <w:rtl/>
        </w:rPr>
        <w:t>חבריי</w:t>
      </w:r>
      <w:r w:rsidR="00A01E7C" w:rsidRPr="00B72BEC">
        <w:rPr>
          <w:rFonts w:ascii="Century" w:hAnsi="Century"/>
          <w:rtl/>
        </w:rPr>
        <w:t xml:space="preserve"> הי</w:t>
      </w:r>
      <w:r w:rsidR="00A01E7C" w:rsidRPr="00B72BEC">
        <w:rPr>
          <w:rFonts w:ascii="Century" w:hAnsi="Century" w:hint="eastAsia"/>
          <w:rtl/>
        </w:rPr>
        <w:t>ו</w:t>
      </w:r>
      <w:r w:rsidR="00A01E7C" w:rsidRPr="00B72BEC">
        <w:rPr>
          <w:rFonts w:ascii="Century" w:hAnsi="Century" w:hint="cs"/>
          <w:rtl/>
        </w:rPr>
        <w:t xml:space="preserve"> נותרים</w:t>
      </w:r>
      <w:r w:rsidR="00A01E7C" w:rsidRPr="00B72BEC">
        <w:rPr>
          <w:rFonts w:ascii="Century" w:hAnsi="Century"/>
          <w:rtl/>
        </w:rPr>
        <w:t xml:space="preserve"> אית</w:t>
      </w:r>
      <w:r w:rsidR="00A01E7C" w:rsidRPr="00B72BEC">
        <w:rPr>
          <w:rFonts w:ascii="Century" w:hAnsi="Century" w:hint="eastAsia"/>
          <w:rtl/>
        </w:rPr>
        <w:t>נים</w:t>
      </w:r>
      <w:r w:rsidR="00A01E7C" w:rsidRPr="00B72BEC">
        <w:rPr>
          <w:rFonts w:ascii="Century" w:hAnsi="Century"/>
          <w:rtl/>
        </w:rPr>
        <w:t xml:space="preserve"> בדעת</w:t>
      </w:r>
      <w:r w:rsidR="00A01E7C" w:rsidRPr="00B72BEC">
        <w:rPr>
          <w:rFonts w:ascii="Century" w:hAnsi="Century" w:hint="eastAsia"/>
          <w:rtl/>
        </w:rPr>
        <w:t>ם</w:t>
      </w:r>
      <w:r w:rsidR="00A01E7C" w:rsidRPr="00B72BEC">
        <w:rPr>
          <w:rFonts w:ascii="Century" w:hAnsi="Century"/>
          <w:rtl/>
        </w:rPr>
        <w:t xml:space="preserve"> גם לו הייתה הכנסת מחוקקת חוק יסוד המבטל את הבחירות בישראל; או חוק יסוד השולל לחלוטין את כוחו של בית </w:t>
      </w:r>
      <w:r w:rsidR="00A01E7C" w:rsidRPr="00B72BEC">
        <w:rPr>
          <w:rFonts w:ascii="Century" w:hAnsi="Century" w:hint="eastAsia"/>
          <w:rtl/>
        </w:rPr>
        <w:t>משפט</w:t>
      </w:r>
      <w:r w:rsidR="00A01E7C" w:rsidRPr="00B72BEC">
        <w:rPr>
          <w:rFonts w:ascii="Century" w:hAnsi="Century" w:hint="cs"/>
          <w:rtl/>
        </w:rPr>
        <w:t xml:space="preserve"> זה</w:t>
      </w:r>
      <w:r w:rsidR="00A01E7C" w:rsidRPr="00B72BEC">
        <w:rPr>
          <w:rFonts w:ascii="Century" w:hAnsi="Century"/>
          <w:rtl/>
        </w:rPr>
        <w:t xml:space="preserve"> </w:t>
      </w:r>
      <w:r w:rsidR="00A01E7C" w:rsidRPr="00B72BEC">
        <w:rPr>
          <w:rFonts w:ascii="Century" w:hAnsi="Century" w:hint="eastAsia"/>
          <w:rtl/>
        </w:rPr>
        <w:t>בשבתו</w:t>
      </w:r>
      <w:r w:rsidR="00A01E7C" w:rsidRPr="00B72BEC">
        <w:rPr>
          <w:rFonts w:ascii="Century" w:hAnsi="Century"/>
          <w:rtl/>
        </w:rPr>
        <w:t xml:space="preserve"> כבית משפט גבוה לצדק לבקר את פעולות הרשות המבצעת בכל עילה שהיא. </w:t>
      </w:r>
    </w:p>
    <w:p w:rsidR="00B72BEC" w:rsidRDefault="00B72BEC" w:rsidP="00B72BEC">
      <w:pPr>
        <w:pStyle w:val="Ruller4"/>
        <w:numPr>
          <w:ilvl w:val="0"/>
          <w:numId w:val="0"/>
        </w:numPr>
        <w:rPr>
          <w:rFonts w:ascii="Times New Roman" w:hAnsi="Times New Roman" w:cs="David"/>
          <w:spacing w:val="0"/>
          <w:sz w:val="20"/>
          <w:szCs w:val="24"/>
          <w:rtl/>
        </w:rPr>
      </w:pPr>
    </w:p>
    <w:p w:rsidR="00B72BEC" w:rsidRDefault="00A01E7C" w:rsidP="00B72BEC">
      <w:pPr>
        <w:pStyle w:val="Ruller4"/>
      </w:pPr>
      <w:r>
        <w:rPr>
          <w:rFonts w:hint="cs"/>
          <w:rtl/>
        </w:rPr>
        <w:t xml:space="preserve">דומה שהתשובה של חברי השופט </w:t>
      </w:r>
      <w:r w:rsidRPr="001F54D2">
        <w:rPr>
          <w:rFonts w:ascii="Century" w:hAnsi="Century" w:cs="Miriam" w:hint="eastAsia"/>
          <w:b/>
          <w:spacing w:val="0"/>
          <w:sz w:val="22"/>
          <w:szCs w:val="24"/>
          <w:rtl/>
        </w:rPr>
        <w:t>מינץ</w:t>
      </w:r>
      <w:r>
        <w:rPr>
          <w:rFonts w:hint="cs"/>
          <w:rtl/>
        </w:rPr>
        <w:t xml:space="preserve"> ביחס למקרים תיאורטיים כאלה היא כי המשפט אינו צריך להתבסס על "</w:t>
      </w:r>
      <w:r w:rsidRPr="001F54D2">
        <w:rPr>
          <w:rFonts w:ascii="Century" w:hAnsi="Century" w:cs="Miriam" w:hint="eastAsia"/>
          <w:b/>
          <w:spacing w:val="0"/>
          <w:sz w:val="22"/>
          <w:szCs w:val="24"/>
          <w:rtl/>
        </w:rPr>
        <w:t>תרחישי</w:t>
      </w:r>
      <w:r w:rsidRPr="001F54D2">
        <w:rPr>
          <w:rFonts w:ascii="Century" w:hAnsi="Century" w:cs="Miriam"/>
          <w:b/>
          <w:spacing w:val="0"/>
          <w:sz w:val="22"/>
          <w:szCs w:val="24"/>
          <w:rtl/>
        </w:rPr>
        <w:t xml:space="preserve"> </w:t>
      </w:r>
      <w:r w:rsidRPr="001F54D2">
        <w:rPr>
          <w:rFonts w:ascii="Century" w:hAnsi="Century" w:cs="Miriam" w:hint="eastAsia"/>
          <w:b/>
          <w:spacing w:val="0"/>
          <w:sz w:val="22"/>
          <w:szCs w:val="24"/>
          <w:rtl/>
        </w:rPr>
        <w:t>אימים</w:t>
      </w:r>
      <w:r w:rsidRPr="001F54D2">
        <w:rPr>
          <w:rFonts w:ascii="Century" w:hAnsi="Century" w:cs="Miriam"/>
          <w:b/>
          <w:spacing w:val="0"/>
          <w:sz w:val="22"/>
          <w:szCs w:val="24"/>
          <w:rtl/>
        </w:rPr>
        <w:t xml:space="preserve"> קיצוניים ותסריטי בלהות</w:t>
      </w:r>
      <w:r>
        <w:rPr>
          <w:rFonts w:hint="cs"/>
          <w:rtl/>
        </w:rPr>
        <w:t xml:space="preserve">" (ראו פסקה 49 לחוות דעתו). דעתי בנקודה זו היא שונה. המשפט מטיבו נועד כדי להתמודד עם מצבי משבר, ולא עם המקרים בהם הדברים מתנהלים כסדרם. חוזה נכתב בעיקר כדי להתמודד עם הפרה אפשרית של ההסכמות אליהן הגיעו הצדדים; החוק הפלילי נכתב מתוך הנחה </w:t>
      </w:r>
      <w:r>
        <w:rPr>
          <w:rFonts w:hint="cs"/>
          <w:rtl/>
        </w:rPr>
        <w:lastRenderedPageBreak/>
        <w:t>שיש מי שיבקשו להפר את המוסכמות החברתיות הבסיסיות; והמשפט החוקתי נועד כדי לשמור ולשמר את המבנה החוקתי במדינה ולהגן עליו מפני פגיעה בו.</w:t>
      </w:r>
    </w:p>
    <w:p w:rsidR="00B72BEC" w:rsidRDefault="00B72BEC" w:rsidP="00B72BEC">
      <w:pPr>
        <w:pStyle w:val="Ruller4"/>
        <w:numPr>
          <w:ilvl w:val="0"/>
          <w:numId w:val="0"/>
        </w:numPr>
        <w:rPr>
          <w:rtl/>
        </w:rPr>
      </w:pPr>
    </w:p>
    <w:p w:rsidR="00B72BEC" w:rsidRDefault="00B72BEC" w:rsidP="00B72BEC">
      <w:pPr>
        <w:pStyle w:val="Ruller4"/>
        <w:numPr>
          <w:ilvl w:val="0"/>
          <w:numId w:val="0"/>
        </w:numPr>
        <w:rPr>
          <w:rtl/>
        </w:rPr>
      </w:pPr>
      <w:r>
        <w:rPr>
          <w:rtl/>
        </w:rPr>
        <w:tab/>
      </w:r>
      <w:r w:rsidR="00A01E7C">
        <w:rPr>
          <w:rFonts w:hint="cs"/>
          <w:rtl/>
        </w:rPr>
        <w:t xml:space="preserve">תרחישי אימה עשויים לקרות; התרחשותם מגיעה בהפתעה; ופגיעתם עלולה להיות רעה, הרבה יותר ממה שניתן היה להעלות על הדעת. כדאי לכן להניח כי תרחישי אימה הם אפשריים, להיערך לקראתם מראש ולנסות למנוע אותם. זאת בין היתר באמצעות כללים שירחיקו אותם ככל האפשר. </w:t>
      </w:r>
    </w:p>
    <w:p w:rsidR="00B72BEC" w:rsidRDefault="00B72BEC" w:rsidP="00B72BEC">
      <w:pPr>
        <w:pStyle w:val="Ruller4"/>
        <w:numPr>
          <w:ilvl w:val="0"/>
          <w:numId w:val="0"/>
        </w:numPr>
        <w:rPr>
          <w:rtl/>
        </w:rPr>
      </w:pPr>
    </w:p>
    <w:p w:rsidR="00B72BEC" w:rsidRDefault="00B72BEC" w:rsidP="00B72BEC">
      <w:pPr>
        <w:pStyle w:val="Ruller4"/>
        <w:numPr>
          <w:ilvl w:val="0"/>
          <w:numId w:val="0"/>
        </w:numPr>
        <w:rPr>
          <w:rtl/>
        </w:rPr>
      </w:pPr>
      <w:r>
        <w:rPr>
          <w:rtl/>
        </w:rPr>
        <w:tab/>
      </w:r>
      <w:r w:rsidR="00A01E7C">
        <w:rPr>
          <w:rFonts w:hint="cs"/>
          <w:rtl/>
        </w:rPr>
        <w:t xml:space="preserve">אכן, חוק השולל את קיומן של בחירות במדינת ישראל; חוק השולל כליל את אפשרות הביקורת של בית משפט זה על הרשות המבצעת; או חוק השולל את האופי היהודי של המדינה </w:t>
      </w:r>
      <w:r w:rsidR="00A01E7C">
        <w:rPr>
          <w:rtl/>
        </w:rPr>
        <w:t>–</w:t>
      </w:r>
      <w:r w:rsidR="00A01E7C">
        <w:rPr>
          <w:rFonts w:hint="cs"/>
          <w:rtl/>
        </w:rPr>
        <w:t xml:space="preserve"> אינם מצויים כעת על הפרק וקשה מאוד לדמיין אותם הופכים לאפשרות מציאותית. אך אין פירוש הדבר כי הכללים המשפטיים צריכים להתעלם מאפשרות כזו. להיפך </w:t>
      </w:r>
      <w:r w:rsidR="00A01E7C">
        <w:rPr>
          <w:rtl/>
        </w:rPr>
        <w:t>–</w:t>
      </w:r>
      <w:r w:rsidR="00A01E7C">
        <w:rPr>
          <w:rFonts w:hint="cs"/>
          <w:rtl/>
        </w:rPr>
        <w:t xml:space="preserve"> על הכללים המשפטיים למנוע את האפשרות ולו גם התיאורטית מפני התממשותם, ולדאוג כי חוקים כאלה לא יוכלו לעולם להפוך לאפשרות ממשית. לכן, אני סבורה כי לא ניתן לקבל את הנמקתו זו של חברי השופט </w:t>
      </w:r>
      <w:r w:rsidR="00A01E7C" w:rsidRPr="003777F4">
        <w:rPr>
          <w:rFonts w:ascii="Century" w:hAnsi="Century" w:cs="Miriam" w:hint="cs"/>
          <w:b/>
          <w:szCs w:val="24"/>
          <w:rtl/>
        </w:rPr>
        <w:t>מינץ</w:t>
      </w:r>
      <w:r w:rsidR="00A01E7C">
        <w:rPr>
          <w:rFonts w:hint="cs"/>
          <w:rtl/>
        </w:rPr>
        <w:t xml:space="preserve"> בהתייחס למגבלות על סמכותה המכוננת של הכנסת ועל כוחו של בית משפט זה לבקר את פעולתה</w:t>
      </w:r>
      <w:r>
        <w:rPr>
          <w:rFonts w:hint="cs"/>
          <w:rtl/>
        </w:rPr>
        <w:t>.</w:t>
      </w:r>
    </w:p>
    <w:p w:rsidR="00B72BEC" w:rsidRDefault="00B72BEC" w:rsidP="00B72BEC">
      <w:pPr>
        <w:pStyle w:val="Ruller4"/>
        <w:numPr>
          <w:ilvl w:val="0"/>
          <w:numId w:val="0"/>
        </w:numPr>
        <w:rPr>
          <w:rtl/>
        </w:rPr>
      </w:pPr>
    </w:p>
    <w:p w:rsidR="00B72BEC" w:rsidRDefault="00A01E7C" w:rsidP="00B72BEC">
      <w:pPr>
        <w:pStyle w:val="Ruller4"/>
      </w:pPr>
      <w:r>
        <w:rPr>
          <w:rFonts w:hint="cs"/>
          <w:rtl/>
        </w:rPr>
        <w:t xml:space="preserve">באשר לחברי השופט </w:t>
      </w:r>
      <w:r w:rsidRPr="001F54D2">
        <w:rPr>
          <w:rFonts w:ascii="Century" w:hAnsi="Century" w:cs="Miriam" w:hint="eastAsia"/>
          <w:b/>
          <w:spacing w:val="0"/>
          <w:sz w:val="22"/>
          <w:szCs w:val="24"/>
          <w:rtl/>
        </w:rPr>
        <w:t>סולברג</w:t>
      </w:r>
      <w:r>
        <w:rPr>
          <w:rFonts w:hint="cs"/>
          <w:rtl/>
        </w:rPr>
        <w:t xml:space="preserve">, הוא סבור כי לא ניתן לקיים ביקורת שיפוטית על חוקי היסוד מאחר שאין בנמצא מקור סמכות כלשהו המאפשר לערוך ביקורת שיפוטית כזו. כפי שהובהר בפסקה 2 לעיל, חברותיי וחבריי אשר סבורים כי הכנסת מוגבלת בסמכותה לכונן חוקי יסוד התייחסו לשני מקורות אפשריים להגבלה זו </w:t>
      </w:r>
      <w:r>
        <w:rPr>
          <w:rtl/>
        </w:rPr>
        <w:t>–</w:t>
      </w:r>
      <w:r>
        <w:rPr>
          <w:rFonts w:hint="cs"/>
          <w:rtl/>
        </w:rPr>
        <w:t xml:space="preserve"> מגילת העצמאות והמערך החוקתי הקיים בכללותו. חוות דעתו של חברי מתייחסת בהרחבה למגילת העצמאות ושוללת את מעמדה כמסמך משפטי שממנו ניתן להסיק קיומן של מגבלות כלשהן על סמכותה של הכנסת כרשות מכוננת. לצורך כך העמיק חברי בנבכי ההיסטוריה של מגילת העצמאות, ודן אחד לאחד במהלכים שהובילו לניסוחה ולחתימתה. באשר לחלופה השנייה מפנה חברי לחוות דעתה של הנשיאה (בדימ') </w:t>
      </w:r>
      <w:r w:rsidRPr="001F54D2">
        <w:rPr>
          <w:rFonts w:ascii="Century" w:hAnsi="Century" w:cs="Miriam" w:hint="eastAsia"/>
          <w:b/>
          <w:spacing w:val="0"/>
          <w:sz w:val="22"/>
          <w:szCs w:val="24"/>
          <w:rtl/>
        </w:rPr>
        <w:t>חיות</w:t>
      </w:r>
      <w:r>
        <w:rPr>
          <w:rFonts w:hint="cs"/>
          <w:rtl/>
        </w:rPr>
        <w:t xml:space="preserve"> ותוהה מהם אותם "נתונים חוקתיים" המבססים את מגבלותיה של הרשות המכוננת, כאשר לשיטתו "הנתונים החוקתיים" מלמדים דווקא שאין בנמצא נורמה ברמה נורמטיבית גבוהה יותר מחוקי היסוד המגבילה את סמכויותיה של הרשות המכוננת. </w:t>
      </w:r>
    </w:p>
    <w:p w:rsidR="00B72BEC" w:rsidRDefault="00B72BEC" w:rsidP="00B72BEC">
      <w:pPr>
        <w:pStyle w:val="Ruller4"/>
        <w:numPr>
          <w:ilvl w:val="0"/>
          <w:numId w:val="0"/>
        </w:numPr>
        <w:rPr>
          <w:rtl/>
        </w:rPr>
      </w:pPr>
    </w:p>
    <w:p w:rsidR="00B72BEC" w:rsidRDefault="00B72BEC" w:rsidP="00B72BEC">
      <w:pPr>
        <w:pStyle w:val="Ruller4"/>
        <w:numPr>
          <w:ilvl w:val="0"/>
          <w:numId w:val="0"/>
        </w:numPr>
        <w:rPr>
          <w:rtl/>
        </w:rPr>
      </w:pPr>
      <w:r>
        <w:rPr>
          <w:rtl/>
        </w:rPr>
        <w:tab/>
      </w:r>
      <w:r w:rsidR="00A01E7C">
        <w:rPr>
          <w:rFonts w:hint="cs"/>
          <w:rtl/>
        </w:rPr>
        <w:t xml:space="preserve">כשלעצמי, אני סבורה כי כל דיון </w:t>
      </w:r>
      <w:r w:rsidR="00A01E7C">
        <w:rPr>
          <w:rtl/>
        </w:rPr>
        <w:t>–</w:t>
      </w:r>
      <w:r w:rsidR="00A01E7C">
        <w:rPr>
          <w:rFonts w:hint="cs"/>
          <w:rtl/>
        </w:rPr>
        <w:t xml:space="preserve"> ובכלל זה דיון משפטי המתקיים במסגרת שיטת משפט מסוימת, מחייב הנחה בדבר קיומן של אקסיומות המקובלות על הכול. בדיון המשפטי במדינת ישראל, האקסיומה הזו היא קיומה של מדינת ישראל כפי שהיא הוכרזה בשנת 1948, כמדינה יהודית ודמוקרטית. זהו הבסיס ו"אידך זיל גמור". אכן, גם </w:t>
      </w:r>
      <w:r w:rsidR="00A01E7C">
        <w:rPr>
          <w:rFonts w:hint="cs"/>
          <w:rtl/>
        </w:rPr>
        <w:lastRenderedPageBreak/>
        <w:t xml:space="preserve">לטעמי מגילת העצמאות איננה מסמך חוקתי, ולכן לא ניתן לעשות בה שימוש כדי לבקר דברי חקיקה. בעניין זה אני שותפה לעמדה שהביעה חברתי השופטת </w:t>
      </w:r>
      <w:r w:rsidR="00A01E7C" w:rsidRPr="00B72BEC">
        <w:rPr>
          <w:rFonts w:ascii="Century" w:hAnsi="Century" w:cs="Miriam" w:hint="cs"/>
          <w:b/>
          <w:szCs w:val="24"/>
          <w:rtl/>
        </w:rPr>
        <w:t>ד' ברק-ארז</w:t>
      </w:r>
      <w:r w:rsidR="00A01E7C">
        <w:rPr>
          <w:rFonts w:hint="cs"/>
          <w:rtl/>
        </w:rPr>
        <w:t xml:space="preserve"> בחוות דעתה (ראו פסקה 11 לחוות הדעת). לצד זאת, מגילת העצמאות היא המסמך שכונן את מדינת ישראל כפי שאנו מכירים אותה היום. משכך, התשתית הרעיונית של המסמך הזה משקפת את התשתית שעל בסיסה הוקמה המדינה; תשתית שאם תשתנה שינוי מהותי ומשמעותי, תחדל המדינה מלהיות זו שניתנה לה עצמאות בה' באייר התש"ח. תשתית זו כוללת את המאפיינים היסודיים של מדינת ישראל כמדינה יהודית ודמוקרטית. </w:t>
      </w:r>
    </w:p>
    <w:p w:rsidR="00B72BEC" w:rsidRDefault="00B72BEC" w:rsidP="00B72BEC">
      <w:pPr>
        <w:pStyle w:val="Ruller4"/>
        <w:numPr>
          <w:ilvl w:val="0"/>
          <w:numId w:val="0"/>
        </w:numPr>
        <w:rPr>
          <w:rtl/>
        </w:rPr>
      </w:pPr>
    </w:p>
    <w:p w:rsidR="00A01E7C" w:rsidRDefault="00B72BEC" w:rsidP="00B72BEC">
      <w:pPr>
        <w:pStyle w:val="Ruller4"/>
        <w:numPr>
          <w:ilvl w:val="0"/>
          <w:numId w:val="0"/>
        </w:numPr>
        <w:rPr>
          <w:rtl/>
        </w:rPr>
      </w:pPr>
      <w:r>
        <w:rPr>
          <w:rtl/>
        </w:rPr>
        <w:tab/>
      </w:r>
      <w:r w:rsidR="00A01E7C">
        <w:rPr>
          <w:rFonts w:hint="cs"/>
          <w:rtl/>
        </w:rPr>
        <w:t xml:space="preserve">יתרה מכך, כפי שציינתי לעיל, וכפי שפירטה הנשיאה (בדימ') </w:t>
      </w:r>
      <w:r w:rsidR="00A01E7C" w:rsidRPr="001F54D2">
        <w:rPr>
          <w:rFonts w:ascii="Century" w:hAnsi="Century" w:cs="Miriam" w:hint="eastAsia"/>
          <w:b/>
          <w:spacing w:val="0"/>
          <w:sz w:val="22"/>
          <w:szCs w:val="24"/>
          <w:rtl/>
        </w:rPr>
        <w:t>חיות</w:t>
      </w:r>
      <w:r w:rsidR="00A01E7C" w:rsidRPr="008B2D4E">
        <w:rPr>
          <w:rFonts w:hint="cs"/>
          <w:rtl/>
        </w:rPr>
        <w:t xml:space="preserve"> </w:t>
      </w:r>
      <w:r w:rsidR="00A01E7C">
        <w:rPr>
          <w:rFonts w:hint="cs"/>
          <w:rtl/>
        </w:rPr>
        <w:t xml:space="preserve">בחוות דעתה (ראו פסקאות 67-64 לחוות דעתה; ראו גם פסקאות 42-38 לחוות דעתו של השופט </w:t>
      </w:r>
      <w:r w:rsidR="00A01E7C" w:rsidRPr="001F54D2">
        <w:rPr>
          <w:rFonts w:ascii="Century" w:hAnsi="Century" w:cs="Miriam" w:hint="eastAsia"/>
          <w:b/>
          <w:spacing w:val="0"/>
          <w:sz w:val="22"/>
          <w:szCs w:val="24"/>
          <w:rtl/>
        </w:rPr>
        <w:t>גרוסקופף</w:t>
      </w:r>
      <w:r w:rsidR="00A01E7C">
        <w:rPr>
          <w:rFonts w:hint="cs"/>
          <w:rtl/>
        </w:rPr>
        <w:t xml:space="preserve">), מאפיינים אלה קנו להם שביתה במערך החוקתי הכולל שהתהווה במדינתנו לאורך השנים, ועוגנו באופן מפורש בחוקי היסוד. כיום מאפיינים יסודיים אלה </w:t>
      </w:r>
      <w:r w:rsidR="00A01E7C">
        <w:rPr>
          <w:rtl/>
        </w:rPr>
        <w:t>–</w:t>
      </w:r>
      <w:r w:rsidR="00A01E7C">
        <w:rPr>
          <w:rFonts w:hint="cs"/>
          <w:rtl/>
        </w:rPr>
        <w:t xml:space="preserve"> המבססים את קיומה של מדינת ישראל כמדינה יהודית ודמוקרטית </w:t>
      </w:r>
      <w:r w:rsidR="00A01E7C">
        <w:rPr>
          <w:rtl/>
        </w:rPr>
        <w:t>–</w:t>
      </w:r>
      <w:r w:rsidR="00A01E7C">
        <w:rPr>
          <w:rFonts w:hint="cs"/>
          <w:rtl/>
        </w:rPr>
        <w:t xml:space="preserve"> הם עקרונות כתובים ומעוגנים היטב. מאפיינים אלה הם שצריכים להכווין את דרכה של הכנסת בביצוע מלאכת חקיקת חוקי היסוד, והם שצריכים גם להגבילה בביצוע מלאכה חשובה זו.</w:t>
      </w:r>
    </w:p>
    <w:p w:rsidR="00B72BEC" w:rsidRDefault="00B72BEC" w:rsidP="00B72BEC">
      <w:pPr>
        <w:pStyle w:val="Ruller4"/>
        <w:numPr>
          <w:ilvl w:val="0"/>
          <w:numId w:val="0"/>
        </w:numPr>
        <w:rPr>
          <w:rFonts w:ascii="Century" w:hAnsi="Century"/>
          <w:sz w:val="20"/>
          <w:rtl/>
        </w:rPr>
      </w:pPr>
    </w:p>
    <w:p w:rsidR="00B72BEC" w:rsidRDefault="00A01E7C" w:rsidP="00B72BEC">
      <w:pPr>
        <w:pStyle w:val="Ruller4"/>
        <w:rPr>
          <w:rtl/>
        </w:rPr>
      </w:pPr>
      <w:r>
        <w:rPr>
          <w:rFonts w:hint="cs"/>
          <w:rtl/>
        </w:rPr>
        <w:t xml:space="preserve">השופט </w:t>
      </w:r>
      <w:r w:rsidRPr="001F54D2">
        <w:rPr>
          <w:rFonts w:ascii="Century" w:hAnsi="Century" w:cs="Miriam" w:hint="eastAsia"/>
          <w:b/>
          <w:spacing w:val="0"/>
          <w:sz w:val="22"/>
          <w:szCs w:val="24"/>
          <w:rtl/>
        </w:rPr>
        <w:t>סולברג</w:t>
      </w:r>
      <w:r w:rsidRPr="001F54D2">
        <w:rPr>
          <w:rtl/>
        </w:rPr>
        <w:t xml:space="preserve"> </w:t>
      </w:r>
      <w:r>
        <w:rPr>
          <w:rFonts w:hint="cs"/>
          <w:rtl/>
        </w:rPr>
        <w:t xml:space="preserve">אף מתייחס בחוות דעתו לשאלות "מטא" ולאפשרות להשיב עליהן במסגרת הדיון המשפטי. אני סבורה כי ניסיון לבחון שאלות כאלה מביא לא אחת למבוי סתום (כמו למשל הניסיון התיאורטי לדון בשאלה אם ישנו אל, מי ברא אותו וכיוצא באלה שאלות). לטעמי, הדיון שלפנינו איננו מחייב דיון בשאלות ה"מטא" הללו, שאם נדון בהן </w:t>
      </w:r>
      <w:r>
        <w:rPr>
          <w:rtl/>
        </w:rPr>
        <w:t>–</w:t>
      </w:r>
      <w:r>
        <w:rPr>
          <w:rFonts w:hint="cs"/>
          <w:rtl/>
        </w:rPr>
        <w:t xml:space="preserve"> אף אנו עלולים להגיע למבוי סתום: בהנחה שמקור הסמכות של הכנסת הוא במועצת המדינה הזמנית, מהו מקור הסמכות של מועצת המדינה הזמנית? מהו מקור הסמכות של האומות המאוחדות? מהו מקור הסמכות של הרוב? של העם? כאמור, הדיון בעתירות דנן מחייב לטעמי התבססות על האקסיומות המונחות בתשתית קיומה של המדינה. במדינת ישראל, כמו בכל מדינה דמוקרטית, אחת האקסיומות היא קיומה של דמוקרטיה. אפשר להתווכח על השאלה מהי דמוקרטיה, מהם הכללים הנגזרים ממנה, מה צריכה להיות חלוקת הסמכויות בין הרשויות השונות בה, וכיוצא באלה. כל אלה הם נושאים שהתנהל דיון לגביהם בפסק הדין הנוכחי. אולם, דומה כי הנחת המוצא המשותפת לרובם המוחלט של השופטים והשופטות היא הנחת המוצא הזו </w:t>
      </w:r>
      <w:r>
        <w:rPr>
          <w:rtl/>
        </w:rPr>
        <w:t>–</w:t>
      </w:r>
      <w:r>
        <w:rPr>
          <w:rFonts w:hint="cs"/>
          <w:rtl/>
        </w:rPr>
        <w:t xml:space="preserve"> כי מדינת ישראל היא מדינה יהודית ודמוקרטית, וכי כזו עליה להוסיף ולהיות. את שני העקרונות הללו לא ניתן ליטול ממנה.  </w:t>
      </w:r>
    </w:p>
    <w:p w:rsidR="00B72BEC" w:rsidRPr="00B72BEC" w:rsidRDefault="00B72BEC" w:rsidP="00B72BEC">
      <w:pPr>
        <w:pStyle w:val="Ruller41"/>
      </w:pPr>
    </w:p>
    <w:p w:rsidR="00B72BEC" w:rsidRDefault="00A01E7C" w:rsidP="00B72BEC">
      <w:pPr>
        <w:pStyle w:val="Ruller4"/>
      </w:pPr>
      <w:r>
        <w:rPr>
          <w:rFonts w:hint="cs"/>
          <w:rtl/>
        </w:rPr>
        <w:lastRenderedPageBreak/>
        <w:t xml:space="preserve">ולפני סיום </w:t>
      </w:r>
      <w:r>
        <w:rPr>
          <w:rtl/>
        </w:rPr>
        <w:t>–</w:t>
      </w:r>
      <w:r>
        <w:rPr>
          <w:rFonts w:hint="cs"/>
          <w:rtl/>
        </w:rPr>
        <w:t xml:space="preserve"> המחלוקת נושא פסק הדין דנן היא מחלוקת שמוטב היה אלמלא היה בית המשפט נדרש להכריע בה. זוהי מחלוקת המפלגת את העם, וכפי שעולה ממכלול חוות הדעת של חברותיי וחבריי, גם בית משפט זה נחלק בדעותיו לגביה. אולם, הסכסוך הובא בפנינו ועלינו להכריע בו. כל שופט שמובאת בפניו מחלוקת, נדרש להכריע בה וכך הוא עושה. כך גם עשה כל אחד ואחת מאיתנו בהליך הנוכחי. כל אחד מאיתנו עשה כן בהתאם לאופן בו הוא סבור כי הדין מחייב אותו לפעול ולפסוק. מבחינה זו אין חוות דעת אחת טובה מרעותה. </w:t>
      </w:r>
    </w:p>
    <w:p w:rsidR="00B72BEC" w:rsidRDefault="00B72BEC" w:rsidP="00B72BEC">
      <w:pPr>
        <w:pStyle w:val="Ruller4"/>
        <w:numPr>
          <w:ilvl w:val="0"/>
          <w:numId w:val="0"/>
        </w:numPr>
        <w:rPr>
          <w:rtl/>
        </w:rPr>
      </w:pPr>
    </w:p>
    <w:p w:rsidR="00A01E7C" w:rsidRDefault="00B72BEC" w:rsidP="00B72BEC">
      <w:pPr>
        <w:pStyle w:val="Ruller4"/>
        <w:numPr>
          <w:ilvl w:val="0"/>
          <w:numId w:val="0"/>
        </w:numPr>
        <w:rPr>
          <w:rtl/>
        </w:rPr>
      </w:pPr>
      <w:r>
        <w:rPr>
          <w:rtl/>
        </w:rPr>
        <w:tab/>
      </w:r>
      <w:r w:rsidR="00A01E7C">
        <w:rPr>
          <w:rFonts w:hint="cs"/>
          <w:rtl/>
        </w:rPr>
        <w:t xml:space="preserve">אכן, הדעות נחלקו בינינו. ההכרעה הסופית נפלה בסופו של דבר "על חודו של קול" (אף שחשוב להדגיש כי קיימת הסכמה רחבה הרבה יותר ביחס לשאלות הבסיס הנוגעות למגבלות על כוחה המכונן של הכנסת ועל סמכותו של בית משפט זה לבקר את עמידתה בהן; ואולי אף ביחס לבטלות התיקון בהנחה שיש לפרשו שלא בהתאם לפרשנות המצמצמת). אפשר להצר על כך שפסק הדין לא התקבל בהסכמה רחבה של כלל השופטים; אך בה בעת אפשר גם לשמוח ולהתברך בכך. מחלוקות הן מנשמת אפו של ההליך המשפטי. כך היה תמיד </w:t>
      </w:r>
      <w:r w:rsidR="00A01E7C">
        <w:rPr>
          <w:rtl/>
        </w:rPr>
        <w:t>–</w:t>
      </w:r>
      <w:r w:rsidR="00A01E7C">
        <w:rPr>
          <w:rFonts w:hint="cs"/>
          <w:rtl/>
        </w:rPr>
        <w:t xml:space="preserve"> גם בתקופה בה כיהנו אותם ענקי משפט שחברי השופט </w:t>
      </w:r>
      <w:r w:rsidR="00A01E7C" w:rsidRPr="00B72BEC">
        <w:rPr>
          <w:rFonts w:ascii="Century" w:hAnsi="Century" w:cs="Miriam" w:hint="eastAsia"/>
          <w:b/>
          <w:spacing w:val="0"/>
          <w:sz w:val="22"/>
          <w:szCs w:val="24"/>
          <w:rtl/>
        </w:rPr>
        <w:t>סולברג</w:t>
      </w:r>
      <w:r w:rsidR="00A01E7C" w:rsidRPr="001F54D2">
        <w:rPr>
          <w:rtl/>
        </w:rPr>
        <w:t xml:space="preserve"> </w:t>
      </w:r>
      <w:r w:rsidR="00A01E7C">
        <w:rPr>
          <w:rFonts w:hint="cs"/>
          <w:rtl/>
        </w:rPr>
        <w:t xml:space="preserve">נסמך על עמדותיהם; ויש לקוות כי כך יהיה גם בעתיד. מגוון הדעות הוא המצעיד את הדין קדימה, הוא המאפשר לשפר את המשפט, לדייק אותו ולקדמו. כך התפתחה בישראל לאורך השנים שיטת המשפט שכולנו גאים בה, וכך היא תוסיף ותתפתח, עקב בצד אגודל גם בהמשך. </w:t>
      </w:r>
    </w:p>
    <w:p w:rsidR="00A01E7C" w:rsidRDefault="00A01E7C" w:rsidP="00A01E7C">
      <w:pPr>
        <w:spacing w:line="360" w:lineRule="auto"/>
        <w:ind w:firstLine="720"/>
        <w:rPr>
          <w:rFonts w:ascii="Garamond" w:hAnsi="Garamond" w:cs="FrankRuehl"/>
          <w:spacing w:val="10"/>
          <w:sz w:val="24"/>
          <w:szCs w:val="28"/>
          <w:rtl/>
        </w:rPr>
      </w:pPr>
    </w:p>
    <w:p w:rsidR="00B72BEC" w:rsidRDefault="00A01E7C" w:rsidP="00B72BEC">
      <w:pPr>
        <w:pStyle w:val="Ruller4"/>
      </w:pPr>
      <w:r>
        <w:rPr>
          <w:rFonts w:hint="cs"/>
          <w:rtl/>
        </w:rPr>
        <w:t xml:space="preserve">בשולי חוות דעתו, מציע השופט </w:t>
      </w:r>
      <w:r w:rsidRPr="001F54D2">
        <w:rPr>
          <w:rFonts w:ascii="Century" w:hAnsi="Century" w:cs="Miriam" w:hint="eastAsia"/>
          <w:b/>
          <w:spacing w:val="0"/>
          <w:sz w:val="22"/>
          <w:szCs w:val="24"/>
          <w:rtl/>
        </w:rPr>
        <w:t>סולברג</w:t>
      </w:r>
      <w:r w:rsidRPr="00556AE5">
        <w:rPr>
          <w:rFonts w:hint="cs"/>
          <w:rtl/>
        </w:rPr>
        <w:t xml:space="preserve"> </w:t>
      </w:r>
      <w:r>
        <w:rPr>
          <w:rFonts w:hint="cs"/>
          <w:rtl/>
        </w:rPr>
        <w:t xml:space="preserve">כי כל שופטי ההרכב יודיעו בפסק דין על אודות האופן בו תופעל עילת הסבירות ביחס להחלטות הממשלה ושריה מעתה ואילך. אינני סבורה כי הצהרה כזו היא דרושה. ראשית, כפי שציינתי לעיל, פיתוחה של עילת הסבירות הוא עניין מתמשך. הוא נעשה על ידי ההלכה הפסוקה באופן רציף במהלך השנים, ועילת הסבירות מקבלת ומשנה צורה מהליך להליך, בהתאם לעובדותיו ולנסיבותיו. יתכן שבעתיד יהיה מקום להגביל את תחולת העילה </w:t>
      </w:r>
      <w:r>
        <w:rPr>
          <w:rtl/>
        </w:rPr>
        <w:t>–</w:t>
      </w:r>
      <w:r>
        <w:rPr>
          <w:rFonts w:hint="cs"/>
          <w:rtl/>
        </w:rPr>
        <w:t xml:space="preserve"> בין היתר לאור עמדתה של הכנסת כפי שהיא עולה מהתיקון נושא העתירות דנן. לא זה המקום לקבוע האם יש לנהוג כך ומה צריכים להיות ההיקף והמשמעות של ההגבלה האמורה. </w:t>
      </w:r>
    </w:p>
    <w:p w:rsidR="00B72BEC" w:rsidRDefault="00B72BEC" w:rsidP="00B72BEC">
      <w:pPr>
        <w:pStyle w:val="Ruller4"/>
        <w:numPr>
          <w:ilvl w:val="0"/>
          <w:numId w:val="0"/>
        </w:numPr>
        <w:rPr>
          <w:rtl/>
        </w:rPr>
      </w:pPr>
    </w:p>
    <w:p w:rsidR="00A01E7C" w:rsidRDefault="00B72BEC" w:rsidP="00B72BEC">
      <w:pPr>
        <w:pStyle w:val="Ruller4"/>
        <w:numPr>
          <w:ilvl w:val="0"/>
          <w:numId w:val="0"/>
        </w:numPr>
        <w:rPr>
          <w:rtl/>
        </w:rPr>
      </w:pPr>
      <w:r>
        <w:rPr>
          <w:rtl/>
        </w:rPr>
        <w:tab/>
      </w:r>
      <w:r w:rsidR="00A01E7C">
        <w:rPr>
          <w:rFonts w:hint="cs"/>
          <w:rtl/>
        </w:rPr>
        <w:t xml:space="preserve">מנגד, גם מבחינת הכנסת </w:t>
      </w:r>
      <w:r w:rsidR="00A01E7C">
        <w:rPr>
          <w:rtl/>
        </w:rPr>
        <w:t>–</w:t>
      </w:r>
      <w:r w:rsidR="00A01E7C">
        <w:rPr>
          <w:rFonts w:hint="cs"/>
          <w:rtl/>
        </w:rPr>
        <w:t xml:space="preserve"> הסיפור לא תם. קריאת פסק דיננו מעלה כי ישנם תיקונים אפשריים רבים שאילו הייתה הכנסת מקבלת אותם, לא היה רוב חברי ההרכב סבור כי יש להתערב בהם ולהורות על בטלותם. הכנסת רשאית אם כן, אם תמצא לנכון, לשוב ולהתכנס כדי לחוקק תיקון שונה, מצומצם יותר. אם כך תעשה </w:t>
      </w:r>
      <w:r w:rsidR="00A01E7C">
        <w:rPr>
          <w:rtl/>
        </w:rPr>
        <w:t>–</w:t>
      </w:r>
      <w:r w:rsidR="00A01E7C">
        <w:rPr>
          <w:rFonts w:hint="cs"/>
          <w:rtl/>
        </w:rPr>
        <w:t xml:space="preserve"> יתכן שבהליך עתידי, ככל שיהיה כזה, בו יובא התיקון לבחינת בית המשפט, התוצאה תהיה שונה.  </w:t>
      </w:r>
    </w:p>
    <w:p w:rsidR="00A01E7C" w:rsidRPr="00B72BEC" w:rsidRDefault="00A01E7C" w:rsidP="00B72BEC">
      <w:pPr>
        <w:spacing w:line="360" w:lineRule="auto"/>
        <w:rPr>
          <w:rFonts w:ascii="Century" w:hAnsi="Century"/>
          <w:sz w:val="22"/>
          <w:szCs w:val="28"/>
          <w:rtl/>
        </w:rPr>
      </w:pPr>
    </w:p>
    <w:p w:rsidR="00A01E7C" w:rsidRPr="00412B66" w:rsidRDefault="00A01E7C" w:rsidP="00B72BEC">
      <w:pPr>
        <w:spacing w:line="360" w:lineRule="auto"/>
        <w:rPr>
          <w:rFonts w:ascii="Century" w:hAnsi="Century" w:cs="Miriam"/>
          <w:b/>
          <w:rtl/>
        </w:rPr>
      </w:pPr>
      <w:r w:rsidRPr="00412B66">
        <w:rPr>
          <w:rFonts w:ascii="Century" w:hAnsi="Century" w:cs="Miriam" w:hint="eastAsia"/>
          <w:b/>
          <w:rtl/>
        </w:rPr>
        <w:t>סוף</w:t>
      </w:r>
      <w:r w:rsidRPr="00412B66">
        <w:rPr>
          <w:rFonts w:ascii="Century" w:hAnsi="Century" w:cs="Miriam"/>
          <w:b/>
          <w:rtl/>
        </w:rPr>
        <w:t xml:space="preserve"> </w:t>
      </w:r>
      <w:r w:rsidRPr="00412B66">
        <w:rPr>
          <w:rFonts w:ascii="Century" w:hAnsi="Century" w:cs="Miriam" w:hint="eastAsia"/>
          <w:b/>
          <w:rtl/>
        </w:rPr>
        <w:t>דבר</w:t>
      </w:r>
    </w:p>
    <w:p w:rsidR="00A01E7C" w:rsidRPr="00412B66" w:rsidRDefault="00A01E7C" w:rsidP="009B0AFF">
      <w:pPr>
        <w:rPr>
          <w:rFonts w:ascii="Century" w:hAnsi="Century" w:cs="FrankRuehl"/>
          <w:spacing w:val="10"/>
          <w:szCs w:val="28"/>
          <w:rtl/>
        </w:rPr>
      </w:pPr>
    </w:p>
    <w:p w:rsidR="00A01E7C" w:rsidRDefault="00A01E7C" w:rsidP="00B72BEC">
      <w:pPr>
        <w:pStyle w:val="Ruller4"/>
        <w:rPr>
          <w:sz w:val="22"/>
          <w:rtl/>
        </w:rPr>
      </w:pPr>
      <w:r>
        <w:rPr>
          <w:rFonts w:hint="cs"/>
          <w:rtl/>
        </w:rPr>
        <w:t xml:space="preserve">לאור כל האמור, אני מצטרפת לתוצאה אליה הגיעה חברתי הנשיאה (בדימ') </w:t>
      </w:r>
      <w:r w:rsidRPr="001F5E5F">
        <w:rPr>
          <w:rFonts w:cs="Miriam" w:hint="eastAsia"/>
          <w:b/>
          <w:spacing w:val="0"/>
          <w:sz w:val="22"/>
          <w:szCs w:val="24"/>
          <w:rtl/>
        </w:rPr>
        <w:t>חיות</w:t>
      </w:r>
      <w:r w:rsidRPr="000F17E4">
        <w:rPr>
          <w:rtl/>
        </w:rPr>
        <w:t xml:space="preserve"> </w:t>
      </w:r>
      <w:r>
        <w:rPr>
          <w:rFonts w:hint="cs"/>
          <w:rtl/>
        </w:rPr>
        <w:t>לפיה יש לקבל את העתירות ולפסול את תיקון מס' 3 לחוק יסוד: השפיטה</w:t>
      </w:r>
      <w:r w:rsidRPr="00273396">
        <w:rPr>
          <w:sz w:val="22"/>
          <w:rtl/>
        </w:rPr>
        <w:t>.</w:t>
      </w:r>
    </w:p>
    <w:p w:rsidR="00FF17DB" w:rsidRDefault="00FF17DB" w:rsidP="004E4926">
      <w:pPr>
        <w:pStyle w:val="Ruller41"/>
        <w:rPr>
          <w:rtl/>
        </w:rPr>
      </w:pPr>
    </w:p>
    <w:p w:rsidR="00BF2682" w:rsidRDefault="00BF2682" w:rsidP="004E4926">
      <w:pPr>
        <w:pStyle w:val="Ruller41"/>
        <w:rPr>
          <w:rtl/>
        </w:rPr>
      </w:pPr>
    </w:p>
    <w:tbl>
      <w:tblPr>
        <w:bidiVisual/>
        <w:tblW w:w="8363" w:type="dxa"/>
        <w:tblLook w:val="01E0" w:firstRow="1" w:lastRow="1" w:firstColumn="1" w:lastColumn="1" w:noHBand="0" w:noVBand="0"/>
      </w:tblPr>
      <w:tblGrid>
        <w:gridCol w:w="2786"/>
        <w:gridCol w:w="2787"/>
        <w:gridCol w:w="2790"/>
      </w:tblGrid>
      <w:tr w:rsidR="00EC32E0" w:rsidTr="00DD4ADA">
        <w:tc>
          <w:tcPr>
            <w:tcW w:w="2842" w:type="dxa"/>
            <w:shd w:val="clear" w:color="auto" w:fill="auto"/>
          </w:tcPr>
          <w:p w:rsidR="00EC32E0" w:rsidRDefault="00EC32E0" w:rsidP="00DD4ADA">
            <w:pPr>
              <w:pStyle w:val="Ruller41"/>
            </w:pPr>
          </w:p>
        </w:tc>
        <w:tc>
          <w:tcPr>
            <w:tcW w:w="2843" w:type="dxa"/>
            <w:shd w:val="clear" w:color="auto" w:fill="auto"/>
          </w:tcPr>
          <w:p w:rsidR="00EC32E0" w:rsidRDefault="00EC32E0" w:rsidP="00DD4ADA">
            <w:pPr>
              <w:pStyle w:val="Ruller41"/>
              <w:jc w:val="center"/>
              <w:rPr>
                <w:rtl/>
              </w:rPr>
            </w:pPr>
          </w:p>
        </w:tc>
        <w:tc>
          <w:tcPr>
            <w:tcW w:w="2843" w:type="dxa"/>
            <w:shd w:val="clear" w:color="auto" w:fill="auto"/>
          </w:tcPr>
          <w:p w:rsidR="00EC32E0" w:rsidRDefault="00EC32E0" w:rsidP="00DD4ADA">
            <w:pPr>
              <w:pStyle w:val="Ruller41"/>
              <w:jc w:val="center"/>
              <w:rPr>
                <w:rtl/>
              </w:rPr>
            </w:pPr>
            <w:r>
              <w:rPr>
                <w:rtl/>
              </w:rPr>
              <w:t>ש ו פ ט</w:t>
            </w:r>
            <w:r>
              <w:rPr>
                <w:rFonts w:hint="cs"/>
                <w:rtl/>
              </w:rPr>
              <w:t xml:space="preserve"> ת</w:t>
            </w:r>
          </w:p>
        </w:tc>
      </w:tr>
    </w:tbl>
    <w:p w:rsidR="00FF17DB" w:rsidRDefault="00FF17DB" w:rsidP="00FF17DB">
      <w:pPr>
        <w:pStyle w:val="BODYVERDICT"/>
      </w:pPr>
    </w:p>
    <w:p w:rsidR="00FF17DB" w:rsidRDefault="00FF17DB" w:rsidP="00FF17DB">
      <w:pPr>
        <w:pStyle w:val="BODYVERDICT"/>
        <w:outlineLvl w:val="0"/>
        <w:rPr>
          <w:rFonts w:cs="Miriam"/>
          <w:sz w:val="24"/>
          <w:szCs w:val="24"/>
          <w:u w:val="single"/>
          <w:rtl/>
        </w:rPr>
      </w:pPr>
      <w:r w:rsidRPr="00462789">
        <w:rPr>
          <w:rFonts w:cs="Miriam" w:hint="cs"/>
          <w:sz w:val="24"/>
          <w:szCs w:val="24"/>
          <w:u w:val="single"/>
          <w:rtl/>
        </w:rPr>
        <w:t>השופט י' כשר</w:t>
      </w:r>
      <w:r w:rsidRPr="000075A3">
        <w:rPr>
          <w:rFonts w:cs="Miriam"/>
          <w:sz w:val="24"/>
          <w:szCs w:val="24"/>
          <w:rtl/>
        </w:rPr>
        <w:t>:</w:t>
      </w:r>
    </w:p>
    <w:p w:rsidR="00FF17DB" w:rsidRDefault="00FF17DB" w:rsidP="00FF17DB">
      <w:pPr>
        <w:pStyle w:val="Ruller41"/>
        <w:rPr>
          <w:rtl/>
        </w:rPr>
      </w:pPr>
    </w:p>
    <w:p w:rsidR="003D2318" w:rsidRDefault="003D2318" w:rsidP="002A1A3A">
      <w:pPr>
        <w:pStyle w:val="Ruller4"/>
        <w:numPr>
          <w:ilvl w:val="0"/>
          <w:numId w:val="15"/>
        </w:numPr>
        <w:tabs>
          <w:tab w:val="num" w:pos="1048"/>
        </w:tabs>
      </w:pPr>
      <w:r>
        <w:rPr>
          <w:rFonts w:hint="cs"/>
          <w:rtl/>
        </w:rPr>
        <w:t xml:space="preserve">בעתירות שלפנינו (וכן בתגובתה של היועצת המשפטית לממשלה), נתבקשנו להורות על ביטול תיקון מספר 3 לחוק יסוד: השפיטה (להלן: </w:t>
      </w:r>
      <w:r w:rsidRPr="00EA7B70">
        <w:rPr>
          <w:rFonts w:ascii="Century" w:hAnsi="Century" w:cs="Miriam" w:hint="cs"/>
          <w:b/>
          <w:spacing w:val="0"/>
          <w:sz w:val="22"/>
          <w:szCs w:val="24"/>
          <w:rtl/>
        </w:rPr>
        <w:t>חוק היסוד</w:t>
      </w:r>
      <w:r>
        <w:rPr>
          <w:rFonts w:hint="cs"/>
          <w:rtl/>
        </w:rPr>
        <w:t xml:space="preserve"> ו-</w:t>
      </w:r>
      <w:r w:rsidRPr="00EA7B70">
        <w:rPr>
          <w:rFonts w:ascii="Century" w:hAnsi="Century" w:cs="Miriam" w:hint="cs"/>
          <w:b/>
          <w:spacing w:val="0"/>
          <w:sz w:val="22"/>
          <w:szCs w:val="24"/>
          <w:rtl/>
        </w:rPr>
        <w:t>התיקון</w:t>
      </w:r>
      <w:r>
        <w:rPr>
          <w:rFonts w:hint="cs"/>
          <w:rtl/>
        </w:rPr>
        <w:t>).</w:t>
      </w:r>
    </w:p>
    <w:p w:rsidR="003D2318" w:rsidRDefault="003D2318" w:rsidP="003D2318">
      <w:pPr>
        <w:pStyle w:val="Ruller4"/>
        <w:numPr>
          <w:ilvl w:val="0"/>
          <w:numId w:val="0"/>
        </w:numPr>
        <w:spacing w:line="240" w:lineRule="auto"/>
        <w:rPr>
          <w:rtl/>
        </w:rPr>
      </w:pPr>
      <w:r>
        <w:rPr>
          <w:rtl/>
        </w:rPr>
        <w:tab/>
      </w:r>
    </w:p>
    <w:p w:rsidR="003D2318" w:rsidRDefault="003D2318" w:rsidP="003D2318">
      <w:pPr>
        <w:pStyle w:val="Ruller4"/>
        <w:numPr>
          <w:ilvl w:val="0"/>
          <w:numId w:val="0"/>
        </w:numPr>
        <w:rPr>
          <w:rtl/>
        </w:rPr>
      </w:pPr>
      <w:r>
        <w:rPr>
          <w:rtl/>
        </w:rPr>
        <w:tab/>
      </w:r>
      <w:r>
        <w:rPr>
          <w:rFonts w:hint="cs"/>
          <w:rtl/>
        </w:rPr>
        <w:t>ארבע הן השאלות העומדות לדיון בעתירות שבפנינו:</w:t>
      </w:r>
    </w:p>
    <w:p w:rsidR="003D2318" w:rsidRPr="0096044A" w:rsidRDefault="003D2318" w:rsidP="003D2318">
      <w:pPr>
        <w:pStyle w:val="Ruller41"/>
        <w:spacing w:line="240" w:lineRule="auto"/>
        <w:rPr>
          <w:rtl/>
        </w:rPr>
      </w:pPr>
    </w:p>
    <w:p w:rsidR="003D2318" w:rsidRDefault="003D2318" w:rsidP="003D2318">
      <w:pPr>
        <w:pStyle w:val="Ruller41"/>
        <w:rPr>
          <w:rtl/>
        </w:rPr>
      </w:pPr>
      <w:r>
        <w:rPr>
          <w:rtl/>
        </w:rPr>
        <w:tab/>
      </w:r>
      <w:r w:rsidRPr="00F96561">
        <w:rPr>
          <w:rFonts w:ascii="Century" w:hAnsi="Century" w:cs="Miriam" w:hint="cs"/>
          <w:b/>
          <w:spacing w:val="0"/>
          <w:szCs w:val="24"/>
          <w:rtl/>
        </w:rPr>
        <w:t>הראשונה</w:t>
      </w:r>
      <w:r>
        <w:rPr>
          <w:rFonts w:hint="cs"/>
          <w:rtl/>
        </w:rPr>
        <w:t xml:space="preserve"> </w:t>
      </w:r>
      <w:r>
        <w:rPr>
          <w:rtl/>
        </w:rPr>
        <w:t>–</w:t>
      </w:r>
      <w:r>
        <w:rPr>
          <w:rFonts w:hint="cs"/>
          <w:rtl/>
        </w:rPr>
        <w:t xml:space="preserve"> האם קיימת מגבלה כלשהי על הכנסת, במעמדה כרשות המכוננת האמונה על כינון חוקי יסוד ותיקונם, לעניין תוכנו של חוק יסוד (או תוכנו של תיקון לחוק יסוד)? ובניסוח אחר </w:t>
      </w:r>
      <w:r>
        <w:rPr>
          <w:rtl/>
        </w:rPr>
        <w:t>–</w:t>
      </w:r>
      <w:r>
        <w:rPr>
          <w:rFonts w:hint="cs"/>
          <w:rtl/>
        </w:rPr>
        <w:t xml:space="preserve"> האם קיימים מצבים בהם ניתן לקבוע כי הכנסת, כרשות מכוננת, חרגה מסמכותה בעת שכוננה חוק יסוד או תיקון לחוק יסוד, בשל תוכנו, במישור המהותי, של דבר החקיקה?</w:t>
      </w:r>
    </w:p>
    <w:p w:rsidR="003D2318" w:rsidRDefault="003D2318" w:rsidP="003D2318">
      <w:pPr>
        <w:pStyle w:val="Ruller41"/>
        <w:spacing w:line="240" w:lineRule="auto"/>
      </w:pPr>
    </w:p>
    <w:p w:rsidR="003D2318" w:rsidRDefault="003D2318" w:rsidP="003D2318">
      <w:pPr>
        <w:pStyle w:val="Ruller41"/>
        <w:rPr>
          <w:rtl/>
        </w:rPr>
      </w:pPr>
      <w:r>
        <w:rPr>
          <w:rtl/>
        </w:rPr>
        <w:tab/>
      </w:r>
      <w:r w:rsidRPr="00F96561">
        <w:rPr>
          <w:rFonts w:ascii="Century" w:hAnsi="Century" w:cs="Miriam" w:hint="cs"/>
          <w:b/>
          <w:spacing w:val="0"/>
          <w:szCs w:val="24"/>
          <w:rtl/>
        </w:rPr>
        <w:t>השנייה</w:t>
      </w:r>
      <w:r>
        <w:rPr>
          <w:rFonts w:hint="cs"/>
          <w:rtl/>
        </w:rPr>
        <w:t xml:space="preserve"> </w:t>
      </w:r>
      <w:r>
        <w:rPr>
          <w:rtl/>
        </w:rPr>
        <w:t>–</w:t>
      </w:r>
      <w:r>
        <w:rPr>
          <w:rFonts w:hint="cs"/>
          <w:rtl/>
        </w:rPr>
        <w:t xml:space="preserve"> בהנחה שהתשובה לשאלה הראשונה הינה חיובית, האם מוקנית לבית המשפט העליון, בשבתו כבית המשפט הגבוה לצדק, הסמכות לקבוע כי הכנסת חרגה מסמכותה ולפסוק סעד מתאים, לרבות בדבר בטלותו של התיקון לחוק היסוד?</w:t>
      </w:r>
    </w:p>
    <w:p w:rsidR="003D2318" w:rsidRDefault="003D2318" w:rsidP="003D2318">
      <w:pPr>
        <w:pStyle w:val="Ruller41"/>
        <w:spacing w:line="240" w:lineRule="auto"/>
        <w:rPr>
          <w:rtl/>
        </w:rPr>
      </w:pPr>
    </w:p>
    <w:p w:rsidR="003D2318" w:rsidRDefault="003D2318" w:rsidP="003D2318">
      <w:pPr>
        <w:pStyle w:val="Ruller41"/>
        <w:rPr>
          <w:rtl/>
        </w:rPr>
      </w:pPr>
      <w:r>
        <w:rPr>
          <w:rtl/>
        </w:rPr>
        <w:tab/>
      </w:r>
      <w:r w:rsidRPr="00F96561">
        <w:rPr>
          <w:rFonts w:ascii="Century" w:hAnsi="Century" w:cs="Miriam" w:hint="cs"/>
          <w:b/>
          <w:spacing w:val="0"/>
          <w:szCs w:val="24"/>
          <w:rtl/>
        </w:rPr>
        <w:t>השלישית</w:t>
      </w:r>
      <w:r>
        <w:rPr>
          <w:rFonts w:hint="cs"/>
          <w:rtl/>
        </w:rPr>
        <w:t xml:space="preserve"> </w:t>
      </w:r>
      <w:r>
        <w:rPr>
          <w:rtl/>
        </w:rPr>
        <w:t>–</w:t>
      </w:r>
      <w:r>
        <w:rPr>
          <w:rFonts w:hint="cs"/>
          <w:rtl/>
        </w:rPr>
        <w:t xml:space="preserve"> בהנחה שהתשובה לשתי השאלות דלעיל הינה בחיוב, האם התיקון נושא העתירות דנן מגלם חריגה מסמכותה של הכנסת כרשות מכוננת ויש אף להצהיר על בטלותו עקב כך?</w:t>
      </w:r>
    </w:p>
    <w:p w:rsidR="003D2318" w:rsidRDefault="003D2318" w:rsidP="003D2318">
      <w:pPr>
        <w:pStyle w:val="Ruller41"/>
        <w:spacing w:line="240" w:lineRule="auto"/>
        <w:rPr>
          <w:rtl/>
        </w:rPr>
      </w:pPr>
    </w:p>
    <w:p w:rsidR="003D2318" w:rsidRDefault="003D2318" w:rsidP="003D2318">
      <w:pPr>
        <w:pStyle w:val="Ruller41"/>
        <w:rPr>
          <w:rtl/>
        </w:rPr>
      </w:pPr>
      <w:r>
        <w:rPr>
          <w:rtl/>
        </w:rPr>
        <w:tab/>
      </w:r>
      <w:r w:rsidRPr="00F96561">
        <w:rPr>
          <w:rFonts w:ascii="Century" w:hAnsi="Century" w:cs="Miriam" w:hint="cs"/>
          <w:b/>
          <w:spacing w:val="0"/>
          <w:szCs w:val="24"/>
          <w:rtl/>
        </w:rPr>
        <w:t>הרביעית</w:t>
      </w:r>
      <w:r>
        <w:rPr>
          <w:rFonts w:hint="cs"/>
          <w:rtl/>
        </w:rPr>
        <w:t xml:space="preserve"> </w:t>
      </w:r>
      <w:r>
        <w:rPr>
          <w:rtl/>
        </w:rPr>
        <w:t>–</w:t>
      </w:r>
      <w:r>
        <w:rPr>
          <w:rFonts w:hint="cs"/>
          <w:rtl/>
        </w:rPr>
        <w:t xml:space="preserve"> בהנחה שהתשובה למי מהשאלות הקודמות הינה שלילית, האם התיקון לחוק היסוד, נושא העתירות דנן, דינו להיות מבוטל מטעם אחר?</w:t>
      </w:r>
    </w:p>
    <w:p w:rsidR="003D2318" w:rsidRDefault="003D2318" w:rsidP="003D2318">
      <w:pPr>
        <w:pStyle w:val="Ruller41"/>
        <w:spacing w:line="240" w:lineRule="auto"/>
        <w:rPr>
          <w:rtl/>
        </w:rPr>
      </w:pPr>
    </w:p>
    <w:p w:rsidR="003D2318" w:rsidRDefault="003D2318" w:rsidP="002A1A3A">
      <w:pPr>
        <w:pStyle w:val="Ruller4"/>
        <w:numPr>
          <w:ilvl w:val="0"/>
          <w:numId w:val="15"/>
        </w:numPr>
        <w:rPr>
          <w:rtl/>
        </w:rPr>
      </w:pPr>
      <w:r>
        <w:rPr>
          <w:rFonts w:hint="cs"/>
          <w:rtl/>
        </w:rPr>
        <w:t xml:space="preserve">בעת שנכתבה חוות דעתי זו, מונחות היו בפניי חוות הדעת של חלק מחבריי, ובראשן חוות דעתה המנומקת והמפורטת של הנשיאה (בדימוס) </w:t>
      </w:r>
      <w:r w:rsidRPr="00EA7B70">
        <w:rPr>
          <w:rFonts w:ascii="Century" w:hAnsi="Century" w:cs="Miriam" w:hint="cs"/>
          <w:b/>
          <w:spacing w:val="0"/>
          <w:sz w:val="22"/>
          <w:szCs w:val="24"/>
          <w:rtl/>
        </w:rPr>
        <w:t>א' חיות</w:t>
      </w:r>
      <w:r w:rsidRPr="0096044A">
        <w:rPr>
          <w:rFonts w:hint="cs"/>
          <w:rtl/>
        </w:rPr>
        <w:t xml:space="preserve"> </w:t>
      </w:r>
      <w:r>
        <w:rPr>
          <w:rFonts w:hint="cs"/>
          <w:rtl/>
        </w:rPr>
        <w:t xml:space="preserve">(להלן: </w:t>
      </w:r>
      <w:r w:rsidRPr="00EA7B70">
        <w:rPr>
          <w:rFonts w:ascii="Century" w:hAnsi="Century" w:cs="Miriam" w:hint="cs"/>
          <w:b/>
          <w:spacing w:val="0"/>
          <w:sz w:val="22"/>
          <w:szCs w:val="24"/>
          <w:rtl/>
        </w:rPr>
        <w:lastRenderedPageBreak/>
        <w:t>הנשיאה</w:t>
      </w:r>
      <w:r>
        <w:rPr>
          <w:rFonts w:hint="cs"/>
          <w:rtl/>
        </w:rPr>
        <w:t>). אוכל אפוא, להלן, להסתמך על דעת גדולים ממני ולקצר בהתייחסותי לחלק מהסוגיות הנדונות.</w:t>
      </w:r>
    </w:p>
    <w:p w:rsidR="003D2318" w:rsidRPr="0096044A"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כך, אינני נזקק לניתוח עילת הסבירות והתפתחות הפסיקה בהקשרה, וגם לא לסקירה מלאה של הליך החקיקה של התיקון לחוק היסוד. הנני נסמך בעניינים אלו על הכתוב בחוות דעתה של הנשיאה.</w:t>
      </w:r>
    </w:p>
    <w:p w:rsidR="003D2318" w:rsidRDefault="003D2318" w:rsidP="003D2318">
      <w:pPr>
        <w:pStyle w:val="Ruller41"/>
        <w:spacing w:line="240" w:lineRule="auto"/>
        <w:rPr>
          <w:rtl/>
        </w:rPr>
      </w:pPr>
    </w:p>
    <w:p w:rsidR="003D2318" w:rsidRPr="00701883" w:rsidRDefault="003D2318" w:rsidP="003D2318">
      <w:pPr>
        <w:pStyle w:val="Ruller41"/>
        <w:rPr>
          <w:rtl/>
        </w:rPr>
      </w:pPr>
      <w:r>
        <w:rPr>
          <w:rtl/>
        </w:rPr>
        <w:tab/>
      </w:r>
      <w:r>
        <w:rPr>
          <w:rFonts w:hint="cs"/>
          <w:rtl/>
        </w:rPr>
        <w:t>עוד אציין כי במסגרת ההליך דנן הוגשו שמונה עתירות, ארבע תגובות, שני מסמכי טיעון מטעם מי שהותר להם לשמש כ-"ידיד בית המשפט" וכן התקיים דיון ארוך במיוחד של שמיעת טיעונים בעל-פה, וברשות שניתנה על ידינו הוגשו שני טיעונים משלימים בכתב. התייחסות לכל טענה וטענה שנטענה במסגרת ההליך דנן הייתה מצריכה להאריך את חוות דעתי עד למאוד. יש לראות אפוא את היעדר ההתייחסות לטענה מהטענות שנטענו בפנינו כקביעה שאיני רואה בה פוטנציאל לשינוי התוצאה.</w:t>
      </w:r>
    </w:p>
    <w:p w:rsidR="003D2318" w:rsidRDefault="003D2318" w:rsidP="003D2318">
      <w:pPr>
        <w:pStyle w:val="Ruller41"/>
        <w:rPr>
          <w:rtl/>
        </w:rPr>
      </w:pPr>
    </w:p>
    <w:p w:rsidR="003D2318" w:rsidRPr="00F96561" w:rsidRDefault="003D2318" w:rsidP="003D2318">
      <w:pPr>
        <w:pStyle w:val="Ruller41"/>
        <w:rPr>
          <w:rFonts w:ascii="Century" w:hAnsi="Century"/>
          <w:rtl/>
        </w:rPr>
      </w:pPr>
      <w:r w:rsidRPr="00F96561">
        <w:rPr>
          <w:rFonts w:ascii="Century" w:hAnsi="Century" w:cs="Miriam" w:hint="cs"/>
          <w:b/>
          <w:spacing w:val="0"/>
          <w:szCs w:val="24"/>
          <w:rtl/>
        </w:rPr>
        <w:t>האם קיימת מגבלה על סמכותה של הכנסת בחקיקת חוקי יסוד ותיקונם?</w:t>
      </w:r>
    </w:p>
    <w:p w:rsidR="003D2318" w:rsidRPr="0096044A" w:rsidRDefault="003D2318" w:rsidP="003D2318">
      <w:pPr>
        <w:pStyle w:val="Ruller41"/>
        <w:spacing w:line="240" w:lineRule="auto"/>
        <w:rPr>
          <w:rFonts w:ascii="Century" w:hAnsi="Century"/>
          <w:rtl/>
        </w:rPr>
      </w:pPr>
    </w:p>
    <w:p w:rsidR="003D2318" w:rsidRDefault="003D2318" w:rsidP="002A1A3A">
      <w:pPr>
        <w:pStyle w:val="Ruller4"/>
        <w:numPr>
          <w:ilvl w:val="0"/>
          <w:numId w:val="15"/>
        </w:numPr>
        <w:rPr>
          <w:rtl/>
        </w:rPr>
      </w:pPr>
      <w:r>
        <w:rPr>
          <w:rFonts w:hint="cs"/>
          <w:rtl/>
        </w:rPr>
        <w:t>בהקשר המגבלות על סמכותה של הכנסת כרשות מכוננת, מוכרות שתי דוקטרינות משפטיות:</w:t>
      </w:r>
    </w:p>
    <w:p w:rsidR="003D2318" w:rsidRPr="0096044A" w:rsidRDefault="003D2318" w:rsidP="003D2318">
      <w:pPr>
        <w:pStyle w:val="Ruller41"/>
        <w:spacing w:line="240" w:lineRule="auto"/>
        <w:rPr>
          <w:rtl/>
        </w:rPr>
      </w:pPr>
    </w:p>
    <w:p w:rsidR="003D2318" w:rsidRDefault="003D2318" w:rsidP="003D2318">
      <w:pPr>
        <w:pStyle w:val="Ruller41"/>
        <w:rPr>
          <w:rtl/>
        </w:rPr>
      </w:pPr>
      <w:r>
        <w:rPr>
          <w:rtl/>
        </w:rPr>
        <w:tab/>
      </w:r>
      <w:r w:rsidRPr="00F96561">
        <w:rPr>
          <w:rFonts w:ascii="Century" w:hAnsi="Century" w:cs="Miriam" w:hint="cs"/>
          <w:b/>
          <w:spacing w:val="0"/>
          <w:szCs w:val="24"/>
          <w:rtl/>
        </w:rPr>
        <w:t>האחת</w:t>
      </w:r>
      <w:r>
        <w:rPr>
          <w:rFonts w:hint="cs"/>
          <w:rtl/>
        </w:rPr>
        <w:t xml:space="preserve"> </w:t>
      </w:r>
      <w:r>
        <w:rPr>
          <w:rtl/>
        </w:rPr>
        <w:t>–</w:t>
      </w:r>
      <w:r>
        <w:rPr>
          <w:rFonts w:hint="cs"/>
          <w:rtl/>
        </w:rPr>
        <w:t xml:space="preserve"> עניינה בשימוש לרעה בסמכות המכוננת, ובתמצית </w:t>
      </w:r>
      <w:r>
        <w:rPr>
          <w:rtl/>
        </w:rPr>
        <w:t>–</w:t>
      </w:r>
      <w:r>
        <w:rPr>
          <w:rFonts w:hint="cs"/>
          <w:rtl/>
        </w:rPr>
        <w:t xml:space="preserve"> בטענה שעיצובה של הנורמה בה עסקינן והכתרתה בכותרת "חוק יסוד" דווקא,  נעשתה תוך שימוש לרעה בסמכות המכוננת. זאת משום שהנורמה אינה מתאימה, בלא קשר ללגיטימיות של תוכנה, להיות מזוהה כחוק יסוד.</w:t>
      </w:r>
    </w:p>
    <w:p w:rsidR="003D2318" w:rsidRDefault="003D2318" w:rsidP="003D2318">
      <w:pPr>
        <w:pStyle w:val="Ruller41"/>
        <w:spacing w:line="240" w:lineRule="auto"/>
        <w:rPr>
          <w:rtl/>
        </w:rPr>
      </w:pPr>
    </w:p>
    <w:p w:rsidR="003D2318" w:rsidRDefault="003D2318" w:rsidP="003D2318">
      <w:pPr>
        <w:pStyle w:val="Ruller41"/>
        <w:rPr>
          <w:rtl/>
        </w:rPr>
      </w:pPr>
      <w:r>
        <w:rPr>
          <w:rtl/>
        </w:rPr>
        <w:tab/>
      </w:r>
      <w:r w:rsidRPr="00F96561">
        <w:rPr>
          <w:rFonts w:ascii="Century" w:hAnsi="Century" w:cs="Miriam" w:hint="cs"/>
          <w:b/>
          <w:spacing w:val="0"/>
          <w:szCs w:val="24"/>
          <w:rtl/>
        </w:rPr>
        <w:t>השנייה</w:t>
      </w:r>
      <w:r>
        <w:rPr>
          <w:rFonts w:hint="cs"/>
          <w:rtl/>
        </w:rPr>
        <w:t xml:space="preserve"> </w:t>
      </w:r>
      <w:r>
        <w:rPr>
          <w:rtl/>
        </w:rPr>
        <w:t>–</w:t>
      </w:r>
      <w:r>
        <w:rPr>
          <w:rFonts w:hint="cs"/>
          <w:rtl/>
        </w:rPr>
        <w:t xml:space="preserve"> עניינה בכך שהכנסת, כרשות מכוננת, חרגה מסמכותה לאור תוכנה של הנורמה שכוננה, בדומה לדוקטרינה המוכרת בדין הזר כדוקטרינת "התיקון החוקתי שאינו חוקתי".</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הגם שנטען במסגרת העתירות דנן כי יש להורות על בטלות התיקון גם על יסוד הטענה בדבר שימוש לרעה בסמכות המכוננת, עיקר הדיון התמקד בשאלה בדבר עצם תחולתה של הדוקטרינה השנייה בישראל ויישומה בנסיבות התיקון דנן. כך אעשה להלן גם אני.</w:t>
      </w:r>
    </w:p>
    <w:p w:rsidR="003D2318" w:rsidRPr="00DF6AE5" w:rsidRDefault="003D2318" w:rsidP="003D2318">
      <w:pPr>
        <w:pStyle w:val="Ruller41"/>
        <w:spacing w:line="240" w:lineRule="auto"/>
      </w:pPr>
    </w:p>
    <w:p w:rsidR="003D2318" w:rsidRDefault="003D2318" w:rsidP="002A1A3A">
      <w:pPr>
        <w:pStyle w:val="Ruller4"/>
        <w:numPr>
          <w:ilvl w:val="0"/>
          <w:numId w:val="15"/>
        </w:numPr>
      </w:pPr>
      <w:r>
        <w:rPr>
          <w:rFonts w:hint="cs"/>
          <w:rtl/>
        </w:rPr>
        <w:t xml:space="preserve">השאלה הראשונה שהוצגה לעיל </w:t>
      </w:r>
      <w:r>
        <w:rPr>
          <w:rtl/>
        </w:rPr>
        <w:t>–</w:t>
      </w:r>
      <w:r>
        <w:rPr>
          <w:rFonts w:hint="cs"/>
          <w:rtl/>
        </w:rPr>
        <w:t xml:space="preserve"> האם קיימת מגבלה כלשהי על הכנסת, במעמדה כרשות המכוננת, לעניין תוכנו של חוק יסוד או תיקון לחוק יסוד? </w:t>
      </w:r>
      <w:r>
        <w:rPr>
          <w:rtl/>
        </w:rPr>
        <w:t>–</w:t>
      </w:r>
      <w:r>
        <w:rPr>
          <w:rFonts w:hint="cs"/>
          <w:rtl/>
        </w:rPr>
        <w:t xml:space="preserve"> הינה, לדעתי, השאלה העקרונית הנכבדה מכל השאלות הנשאלות בהליך דנן. </w:t>
      </w:r>
    </w:p>
    <w:p w:rsidR="003D2318" w:rsidRDefault="003D2318" w:rsidP="003D2318">
      <w:pPr>
        <w:pStyle w:val="Ruller4"/>
        <w:numPr>
          <w:ilvl w:val="0"/>
          <w:numId w:val="0"/>
        </w:numPr>
        <w:spacing w:line="240" w:lineRule="auto"/>
        <w:rPr>
          <w:rtl/>
        </w:rPr>
      </w:pPr>
    </w:p>
    <w:p w:rsidR="003D2318" w:rsidRDefault="003D2318" w:rsidP="003D2318">
      <w:pPr>
        <w:pStyle w:val="Ruller4"/>
        <w:numPr>
          <w:ilvl w:val="0"/>
          <w:numId w:val="0"/>
        </w:numPr>
        <w:rPr>
          <w:rtl/>
        </w:rPr>
      </w:pPr>
      <w:r>
        <w:rPr>
          <w:rtl/>
        </w:rPr>
        <w:tab/>
      </w:r>
      <w:r>
        <w:rPr>
          <w:rFonts w:hint="cs"/>
          <w:rtl/>
        </w:rPr>
        <w:t>על אף שכאמור מדובר בשאלה נכבדה, אוכל לקצר בהתייחסותי אליה, מהטעם שמקובלת עליי עמדתה של הנשיאה, כפי שהובעה עוד בפסק הדין בבג"ץ 5555/18</w:t>
      </w:r>
      <w:r w:rsidRPr="00F96561">
        <w:rPr>
          <w:rFonts w:ascii="Century" w:hAnsi="Century" w:cs="Miriam" w:hint="cs"/>
          <w:b/>
          <w:spacing w:val="0"/>
          <w:sz w:val="22"/>
          <w:szCs w:val="24"/>
          <w:rtl/>
        </w:rPr>
        <w:t xml:space="preserve"> חסון </w:t>
      </w:r>
      <w:r>
        <w:rPr>
          <w:rFonts w:ascii="Century" w:hAnsi="Century" w:cs="Miriam" w:hint="cs"/>
          <w:b/>
          <w:spacing w:val="0"/>
          <w:sz w:val="22"/>
          <w:szCs w:val="24"/>
          <w:rtl/>
        </w:rPr>
        <w:t>נ'</w:t>
      </w:r>
      <w:r w:rsidRPr="00F96561">
        <w:rPr>
          <w:rFonts w:ascii="Century" w:hAnsi="Century" w:cs="Miriam" w:hint="cs"/>
          <w:b/>
          <w:spacing w:val="0"/>
          <w:sz w:val="22"/>
          <w:szCs w:val="24"/>
          <w:rtl/>
        </w:rPr>
        <w:t xml:space="preserve"> כנסת ישראל</w:t>
      </w:r>
      <w:r>
        <w:rPr>
          <w:rFonts w:hint="cs"/>
          <w:rtl/>
        </w:rPr>
        <w:t xml:space="preserve"> (8.7.2021) (להלן: </w:t>
      </w:r>
      <w:r w:rsidRPr="00F96561">
        <w:rPr>
          <w:rFonts w:ascii="Century" w:hAnsi="Century" w:cs="Miriam" w:hint="cs"/>
          <w:b/>
          <w:spacing w:val="0"/>
          <w:sz w:val="22"/>
          <w:szCs w:val="24"/>
          <w:rtl/>
        </w:rPr>
        <w:t>עניין חסון</w:t>
      </w:r>
      <w:r>
        <w:rPr>
          <w:rFonts w:hint="cs"/>
          <w:rtl/>
        </w:rPr>
        <w:t>), ומובעת שוב בחוות דעתה בהליך דנן.</w:t>
      </w:r>
    </w:p>
    <w:p w:rsidR="003D2318" w:rsidRPr="0096044A"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ובתמצית: מקובל גם עליי שמה שמכונה על ידי הנשיאה "המערך החוקתי בכללותו", שתחילתו בהכרזת העצמאות, במסמכי היסוד של המשפט הישראלי וב-"החלטת הררי", והמשכו בחקיקת חוקי היסוד עד כה, מלמד כי הגדרת היסוד של מדינת ישראל הינה היותה מדינה יהודית ודמוקרטית וכי הכנסת, גם בכובעה כרשות המכוננת, כפופה להגדרה זו.</w:t>
      </w:r>
    </w:p>
    <w:p w:rsidR="003D2318" w:rsidRPr="006A2029" w:rsidRDefault="003D2318" w:rsidP="003D2318">
      <w:pPr>
        <w:pStyle w:val="Ruller41"/>
        <w:spacing w:line="240" w:lineRule="auto"/>
      </w:pPr>
    </w:p>
    <w:p w:rsidR="003D2318" w:rsidRDefault="003D2318" w:rsidP="002A1A3A">
      <w:pPr>
        <w:pStyle w:val="Ruller4"/>
        <w:numPr>
          <w:ilvl w:val="0"/>
          <w:numId w:val="15"/>
        </w:numPr>
      </w:pPr>
      <w:r>
        <w:rPr>
          <w:rFonts w:hint="cs"/>
          <w:rtl/>
        </w:rPr>
        <w:t xml:space="preserve">אבקש בכל זאת להוסיף מספר הערות תמציתיות, הראשונה שבהן לעניין מעמדה של מגילת העצמאות בהקשר דנן: </w:t>
      </w:r>
    </w:p>
    <w:p w:rsidR="003D2318" w:rsidRDefault="003D2318" w:rsidP="003D2318">
      <w:pPr>
        <w:pStyle w:val="Ruller4"/>
        <w:numPr>
          <w:ilvl w:val="0"/>
          <w:numId w:val="0"/>
        </w:numPr>
        <w:spacing w:line="240" w:lineRule="auto"/>
        <w:rPr>
          <w:rtl/>
        </w:rPr>
      </w:pPr>
    </w:p>
    <w:p w:rsidR="003D2318" w:rsidRDefault="003D2318" w:rsidP="003D2318">
      <w:pPr>
        <w:pStyle w:val="Ruller4"/>
        <w:numPr>
          <w:ilvl w:val="0"/>
          <w:numId w:val="0"/>
        </w:numPr>
        <w:rPr>
          <w:rtl/>
        </w:rPr>
      </w:pPr>
      <w:r>
        <w:rPr>
          <w:rtl/>
        </w:rPr>
        <w:tab/>
      </w:r>
      <w:r>
        <w:rPr>
          <w:rFonts w:hint="cs"/>
          <w:rtl/>
        </w:rPr>
        <w:t>מסכים אני לטענה שמגילת העצמאות אינה, ולא הייתה כוונה שתהיה, החוקה של המדינה</w:t>
      </w:r>
      <w:r>
        <w:rPr>
          <w:rFonts w:hint="cs"/>
        </w:rPr>
        <w:t xml:space="preserve"> </w:t>
      </w:r>
      <w:r>
        <w:rPr>
          <w:rFonts w:hint="cs"/>
          <w:rtl/>
        </w:rPr>
        <w:t>(שהרי נקבע בה במפורש כי:</w:t>
      </w:r>
      <w:r w:rsidRPr="0096044A">
        <w:rPr>
          <w:rFonts w:hint="cs"/>
          <w:rtl/>
        </w:rPr>
        <w:t xml:space="preserve"> </w:t>
      </w:r>
      <w:r w:rsidRPr="00F96561">
        <w:rPr>
          <w:rFonts w:hint="cs"/>
          <w:rtl/>
        </w:rPr>
        <w:t>"</w:t>
      </w:r>
      <w:r w:rsidRPr="00F96561">
        <w:rPr>
          <w:rFonts w:ascii="Century" w:hAnsi="Century" w:cs="Miriam" w:hint="cs"/>
          <w:b/>
          <w:spacing w:val="0"/>
          <w:sz w:val="22"/>
          <w:szCs w:val="24"/>
          <w:rtl/>
        </w:rPr>
        <w:t>אנו קובעים שהחל מרגע סיום המנדט, הלילה, או</w:t>
      </w:r>
      <w:r>
        <w:rPr>
          <w:rFonts w:ascii="Century" w:hAnsi="Century" w:cs="Miriam" w:hint="cs"/>
          <w:b/>
          <w:spacing w:val="0"/>
          <w:sz w:val="22"/>
          <w:szCs w:val="24"/>
          <w:rtl/>
        </w:rPr>
        <w:t xml:space="preserve">ר ליום שבת ו' </w:t>
      </w:r>
      <w:r w:rsidRPr="00F96561">
        <w:rPr>
          <w:rFonts w:ascii="Century" w:hAnsi="Century" w:cs="Miriam" w:hint="cs"/>
          <w:b/>
          <w:spacing w:val="0"/>
          <w:sz w:val="22"/>
          <w:szCs w:val="24"/>
          <w:rtl/>
        </w:rPr>
        <w:t xml:space="preserve">אייר תש"ח, 15 במאי 1948, ועד להקמת השלטונות הנבחרים והסדירים של המדינה </w:t>
      </w:r>
      <w:r w:rsidRPr="00F96561">
        <w:rPr>
          <w:rFonts w:ascii="Century" w:hAnsi="Century" w:cs="Miriam" w:hint="cs"/>
          <w:b/>
          <w:spacing w:val="0"/>
          <w:sz w:val="22"/>
          <w:szCs w:val="24"/>
          <w:u w:val="single"/>
          <w:rtl/>
        </w:rPr>
        <w:t>בהתאם לחוקה שתיקבע על-ידי האספה המכוננת והנבחרת</w:t>
      </w:r>
      <w:r w:rsidRPr="00F96561">
        <w:rPr>
          <w:rFonts w:ascii="Century" w:hAnsi="Century" w:cs="Miriam" w:hint="cs"/>
          <w:b/>
          <w:spacing w:val="0"/>
          <w:sz w:val="22"/>
          <w:szCs w:val="24"/>
          <w:rtl/>
        </w:rPr>
        <w:t xml:space="preserve"> לא יאוחר מ-1 באוקטובר 1948</w:t>
      </w:r>
      <w:r w:rsidRPr="0096044A">
        <w:rPr>
          <w:rFonts w:ascii="Century" w:hAnsi="Century" w:cs="Miriam" w:hint="cs"/>
          <w:b/>
          <w:spacing w:val="0"/>
          <w:sz w:val="22"/>
          <w:szCs w:val="24"/>
          <w:rtl/>
        </w:rPr>
        <w:t>...</w:t>
      </w:r>
      <w:r w:rsidRPr="0096044A">
        <w:rPr>
          <w:rFonts w:hint="cs"/>
          <w:rtl/>
        </w:rPr>
        <w:t>"</w:t>
      </w:r>
      <w:r>
        <w:rPr>
          <w:rFonts w:hint="cs"/>
          <w:rtl/>
        </w:rPr>
        <w:t xml:space="preserve">; ההדגשה הוספה </w:t>
      </w:r>
      <w:r>
        <w:rPr>
          <w:rtl/>
        </w:rPr>
        <w:t>–</w:t>
      </w:r>
      <w:r>
        <w:rPr>
          <w:rFonts w:hint="cs"/>
          <w:rtl/>
        </w:rPr>
        <w:t xml:space="preserve"> י' כ'</w:t>
      </w:r>
      <w:r w:rsidRPr="0096044A">
        <w:rPr>
          <w:rFonts w:hint="cs"/>
          <w:rtl/>
        </w:rPr>
        <w:t>)</w:t>
      </w:r>
      <w:r>
        <w:rPr>
          <w:rFonts w:hint="cs"/>
          <w:rtl/>
        </w:rPr>
        <w:t>. מסכים אני שגם לא ניתן לראות במגילת העצמאות משום "חוקת-על".</w:t>
      </w:r>
    </w:p>
    <w:p w:rsidR="003D2318" w:rsidRPr="00A53C6D"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יחד עם זאת, מגילת העצמאות הינה </w:t>
      </w:r>
      <w:r w:rsidRPr="00F96561">
        <w:rPr>
          <w:rFonts w:ascii="Century" w:hAnsi="Century" w:hint="cs"/>
          <w:rtl/>
        </w:rPr>
        <w:t>"</w:t>
      </w:r>
      <w:r w:rsidRPr="00F96561">
        <w:rPr>
          <w:rFonts w:ascii="Century" w:hAnsi="Century" w:cs="Miriam" w:hint="cs"/>
          <w:b/>
          <w:spacing w:val="0"/>
          <w:szCs w:val="24"/>
          <w:rtl/>
        </w:rPr>
        <w:t>הן תעודת הלידה והן תעודת הזהות של המדינה כיחידה מדינית, ריבונית ועצמאית</w:t>
      </w:r>
      <w:r w:rsidRPr="00F96561">
        <w:rPr>
          <w:rFonts w:ascii="Century" w:hAnsi="Century" w:hint="cs"/>
          <w:rtl/>
        </w:rPr>
        <w:t>"</w:t>
      </w:r>
      <w:r w:rsidRPr="00A53C6D">
        <w:rPr>
          <w:rFonts w:hint="cs"/>
          <w:rtl/>
        </w:rPr>
        <w:t xml:space="preserve"> </w:t>
      </w:r>
      <w:r>
        <w:rPr>
          <w:rFonts w:hint="cs"/>
          <w:rtl/>
        </w:rPr>
        <w:t xml:space="preserve">(כדבריו של הנשיא (בדימ') </w:t>
      </w:r>
      <w:r w:rsidRPr="00A53C6D">
        <w:rPr>
          <w:rFonts w:ascii="Century" w:hAnsi="Century" w:cs="Miriam" w:hint="cs"/>
          <w:b/>
          <w:spacing w:val="0"/>
          <w:szCs w:val="24"/>
          <w:rtl/>
        </w:rPr>
        <w:t xml:space="preserve">מ' </w:t>
      </w:r>
      <w:r w:rsidRPr="00F96561">
        <w:rPr>
          <w:rFonts w:ascii="Century" w:hAnsi="Century" w:cs="Miriam" w:hint="cs"/>
          <w:b/>
          <w:spacing w:val="0"/>
          <w:szCs w:val="24"/>
          <w:rtl/>
        </w:rPr>
        <w:t>שמגר</w:t>
      </w:r>
      <w:r w:rsidRPr="00A53C6D">
        <w:rPr>
          <w:rFonts w:hint="cs"/>
          <w:rtl/>
        </w:rPr>
        <w:t xml:space="preserve"> </w:t>
      </w:r>
      <w:r>
        <w:rPr>
          <w:rFonts w:hint="cs"/>
          <w:rtl/>
        </w:rPr>
        <w:t xml:space="preserve">בע"א 6821/93 </w:t>
      </w:r>
      <w:r w:rsidRPr="00F96561">
        <w:rPr>
          <w:rFonts w:ascii="Century" w:hAnsi="Century" w:cs="Miriam" w:hint="cs"/>
          <w:b/>
          <w:spacing w:val="0"/>
          <w:szCs w:val="24"/>
          <w:rtl/>
        </w:rPr>
        <w:t>בנק המזרחי המאוחד בע"מ נ' מגדל כפר שיתופי</w:t>
      </w:r>
      <w:r>
        <w:rPr>
          <w:rFonts w:hint="cs"/>
          <w:rtl/>
        </w:rPr>
        <w:t xml:space="preserve">, פ"ד מט(4) 221, 309 (1995) (להלן: </w:t>
      </w:r>
      <w:r w:rsidRPr="00F96561">
        <w:rPr>
          <w:rFonts w:ascii="Century" w:hAnsi="Century" w:cs="Miriam" w:hint="cs"/>
          <w:b/>
          <w:spacing w:val="0"/>
          <w:szCs w:val="24"/>
          <w:rtl/>
        </w:rPr>
        <w:t>עניין בנק המזרחי</w:t>
      </w:r>
      <w:r>
        <w:rPr>
          <w:rFonts w:hint="cs"/>
          <w:rtl/>
        </w:rPr>
        <w:t>)).</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יתר על כן, מגילת העצמאות היא המקור והבסיס ל-"החלטת הררי", שניתנה בזמן כהונתה של הכנסת הראשונה, בה הוחלט כי: </w:t>
      </w:r>
      <w:r w:rsidRPr="00F96561">
        <w:rPr>
          <w:rFonts w:hint="cs"/>
          <w:rtl/>
        </w:rPr>
        <w:t>"</w:t>
      </w:r>
      <w:r w:rsidRPr="00F96561">
        <w:rPr>
          <w:rFonts w:ascii="Century" w:hAnsi="Century" w:cs="Miriam" w:hint="cs"/>
          <w:b/>
          <w:spacing w:val="0"/>
          <w:szCs w:val="24"/>
          <w:rtl/>
        </w:rPr>
        <w:t xml:space="preserve">החוקה תהיה בנויה פרקים פרקים באופן שכל אחד מהם יהווה חוק יסודי בפני עצמו. הפרקים יובאו </w:t>
      </w:r>
      <w:r>
        <w:rPr>
          <w:rFonts w:ascii="Century" w:hAnsi="Century" w:cs="Miriam" w:hint="cs"/>
          <w:b/>
          <w:spacing w:val="0"/>
          <w:szCs w:val="24"/>
          <w:rtl/>
        </w:rPr>
        <w:t>ב</w:t>
      </w:r>
      <w:r w:rsidRPr="00A53C6D">
        <w:rPr>
          <w:rFonts w:ascii="Century" w:hAnsi="Century" w:cs="Miriam" w:hint="cs"/>
          <w:b/>
          <w:spacing w:val="0"/>
          <w:szCs w:val="24"/>
          <w:rtl/>
        </w:rPr>
        <w:t>פני</w:t>
      </w:r>
      <w:r w:rsidRPr="00121946">
        <w:rPr>
          <w:rFonts w:ascii="Century" w:hAnsi="Century" w:cs="Miriam" w:hint="cs"/>
          <w:b/>
          <w:spacing w:val="0"/>
          <w:szCs w:val="24"/>
          <w:rtl/>
        </w:rPr>
        <w:t xml:space="preserve"> הכנסת, במידה שהוועדה תסיים את עבודתה, וכל הפרקים יחד יתאגדו לחוקת המדינה</w:t>
      </w:r>
      <w:r w:rsidRPr="00121946">
        <w:rPr>
          <w:rFonts w:hint="cs"/>
          <w:rtl/>
        </w:rPr>
        <w:t>"</w:t>
      </w:r>
      <w:r>
        <w:rPr>
          <w:rFonts w:hint="cs"/>
          <w:rtl/>
        </w:rPr>
        <w:t xml:space="preserve"> (ד"כ 14.6.1950, 1743). </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עוד אציין כי עמדתה העקבית של הכנסת בדיון בפנינו הייתה שמקור סמכותה המכוננת של הכנסת הינו אכן מגילת העצמאות, "החלטת הררי" והעברת הסמכויות מהכנסת הראשונה ועד לכנסת הנוכחית.</w:t>
      </w:r>
    </w:p>
    <w:p w:rsidR="003D2318" w:rsidRDefault="003D2318" w:rsidP="003D2318">
      <w:pPr>
        <w:pStyle w:val="Ruller41"/>
        <w:spacing w:line="240" w:lineRule="auto"/>
        <w:rPr>
          <w:rtl/>
        </w:rPr>
      </w:pPr>
    </w:p>
    <w:p w:rsidR="003D2318" w:rsidRDefault="003D2318" w:rsidP="003D2318">
      <w:pPr>
        <w:pStyle w:val="Ruller41"/>
        <w:rPr>
          <w:rFonts w:ascii="Century" w:hAnsi="Century"/>
          <w:rtl/>
        </w:rPr>
      </w:pPr>
      <w:r>
        <w:rPr>
          <w:rtl/>
        </w:rPr>
        <w:lastRenderedPageBreak/>
        <w:tab/>
      </w:r>
      <w:r>
        <w:rPr>
          <w:rFonts w:hint="cs"/>
          <w:rtl/>
        </w:rPr>
        <w:t xml:space="preserve">אבקש לפני סיום הערתי בעניין זה, להפנות גם לדבריו של פרופ' </w:t>
      </w:r>
      <w:r w:rsidRPr="00DC3236">
        <w:rPr>
          <w:rFonts w:ascii="Century" w:hAnsi="Century" w:cs="Miriam" w:hint="cs"/>
          <w:b/>
          <w:spacing w:val="0"/>
          <w:szCs w:val="24"/>
          <w:rtl/>
        </w:rPr>
        <w:t>אהרן ברק</w:t>
      </w:r>
      <w:r>
        <w:rPr>
          <w:rFonts w:hint="cs"/>
          <w:rtl/>
        </w:rPr>
        <w:t>, במאמרו "</w:t>
      </w:r>
      <w:r w:rsidRPr="00F96561">
        <w:rPr>
          <w:rFonts w:ascii="Century" w:hAnsi="Century" w:hint="cs"/>
          <w:rtl/>
        </w:rPr>
        <w:t>מגילת העצמאות והכנסת כרשות מכוננת</w:t>
      </w:r>
      <w:r>
        <w:rPr>
          <w:rFonts w:hint="cs"/>
          <w:rtl/>
        </w:rPr>
        <w:t xml:space="preserve">" </w:t>
      </w:r>
      <w:r w:rsidRPr="00F96561">
        <w:rPr>
          <w:rFonts w:ascii="Century" w:hAnsi="Century" w:cs="Miriam" w:hint="cs"/>
          <w:b/>
          <w:spacing w:val="0"/>
          <w:szCs w:val="24"/>
          <w:rtl/>
        </w:rPr>
        <w:t xml:space="preserve">חוקים </w:t>
      </w:r>
      <w:r>
        <w:rPr>
          <w:rFonts w:hint="cs"/>
          <w:rtl/>
        </w:rPr>
        <w:t xml:space="preserve">יא 9, 10 (2018): </w:t>
      </w:r>
      <w:r w:rsidRPr="00F96561">
        <w:rPr>
          <w:rFonts w:ascii="Century" w:hAnsi="Century" w:hint="cs"/>
          <w:rtl/>
        </w:rPr>
        <w:t>"</w:t>
      </w:r>
      <w:r w:rsidRPr="00F96561">
        <w:rPr>
          <w:rFonts w:ascii="Century" w:hAnsi="Century" w:cs="Miriam" w:hint="cs"/>
          <w:b/>
          <w:spacing w:val="0"/>
          <w:szCs w:val="24"/>
          <w:rtl/>
        </w:rPr>
        <w:t xml:space="preserve">על פי גישה פרשנית זו, סמכותה של האספה המכוננת היא לממש בחוקה את 'ההיסטוריה והאידיאולוגיה' ואת ה'אני מאמין והחזון' של העם. </w:t>
      </w:r>
      <w:r>
        <w:rPr>
          <w:rFonts w:ascii="Century" w:hAnsi="Century" w:cs="Miriam" w:hint="cs"/>
          <w:b/>
          <w:spacing w:val="0"/>
          <w:szCs w:val="24"/>
          <w:rtl/>
        </w:rPr>
        <w:t>אין היא</w:t>
      </w:r>
      <w:r w:rsidRPr="00A53C6D">
        <w:rPr>
          <w:rFonts w:ascii="Century" w:hAnsi="Century" w:cs="Miriam" w:hint="cs"/>
          <w:b/>
          <w:spacing w:val="0"/>
          <w:szCs w:val="24"/>
          <w:rtl/>
        </w:rPr>
        <w:t xml:space="preserve"> מוסמכת לשלול את 'ההיסטוריה והאידי</w:t>
      </w:r>
      <w:r>
        <w:rPr>
          <w:rFonts w:ascii="Century" w:hAnsi="Century" w:cs="Miriam" w:hint="cs"/>
          <w:b/>
          <w:spacing w:val="0"/>
          <w:szCs w:val="24"/>
          <w:rtl/>
        </w:rPr>
        <w:t>א</w:t>
      </w:r>
      <w:r w:rsidRPr="00A53C6D">
        <w:rPr>
          <w:rFonts w:ascii="Century" w:hAnsi="Century" w:cs="Miriam" w:hint="cs"/>
          <w:b/>
          <w:spacing w:val="0"/>
          <w:szCs w:val="24"/>
          <w:rtl/>
        </w:rPr>
        <w:t>ולוגיה' ואת ה'אני מאמין והחזון' שלו</w:t>
      </w:r>
      <w:r w:rsidRPr="00A53C6D">
        <w:rPr>
          <w:rFonts w:ascii="Century" w:hAnsi="Century" w:hint="cs"/>
          <w:rtl/>
        </w:rPr>
        <w:t>."</w:t>
      </w:r>
      <w:r>
        <w:rPr>
          <w:rFonts w:ascii="Century" w:hAnsi="Century" w:hint="cs"/>
          <w:rtl/>
        </w:rPr>
        <w:t xml:space="preserve"> </w:t>
      </w:r>
    </w:p>
    <w:p w:rsidR="003D2318" w:rsidRDefault="003D2318" w:rsidP="003D2318">
      <w:pPr>
        <w:pStyle w:val="Ruller41"/>
        <w:rPr>
          <w:rFonts w:ascii="Century" w:hAnsi="Century"/>
          <w:rtl/>
        </w:rPr>
      </w:pPr>
    </w:p>
    <w:p w:rsidR="003D2318" w:rsidRPr="00F96561" w:rsidRDefault="003D2318" w:rsidP="003D2318">
      <w:pPr>
        <w:pStyle w:val="Ruller41"/>
        <w:rPr>
          <w:rFonts w:ascii="Century" w:hAnsi="Century"/>
          <w:rtl/>
        </w:rPr>
      </w:pPr>
      <w:r>
        <w:rPr>
          <w:rFonts w:ascii="Century" w:hAnsi="Century"/>
          <w:rtl/>
        </w:rPr>
        <w:tab/>
      </w:r>
      <w:r>
        <w:rPr>
          <w:rFonts w:ascii="Century" w:hAnsi="Century" w:hint="cs"/>
          <w:rtl/>
        </w:rPr>
        <w:t xml:space="preserve">על כן, מצטרף אני לדעה לפיה שמורה למגילת העצמאות מקום של כבוד ובכורה באותו </w:t>
      </w:r>
      <w:r>
        <w:rPr>
          <w:rFonts w:hint="cs"/>
          <w:rtl/>
        </w:rPr>
        <w:t>"המערך החוקתי בכללותו", המבסס את המסקנה דלעיל לפיה הגדרת היסוד של מדינת ישראל הינה היותה מדינה יהודית ודמוקרטית וכי הכנסת, גם בכובעה כרשות המכוננת, כפופה להגדרה זו.</w:t>
      </w:r>
    </w:p>
    <w:p w:rsidR="003D2318" w:rsidRDefault="003D2318" w:rsidP="003D2318">
      <w:pPr>
        <w:pStyle w:val="Ruller41"/>
        <w:spacing w:line="240" w:lineRule="auto"/>
        <w:rPr>
          <w:rFonts w:ascii="Century" w:hAnsi="Century"/>
          <w:rtl/>
        </w:rPr>
      </w:pPr>
    </w:p>
    <w:p w:rsidR="003D2318" w:rsidRDefault="003D2318" w:rsidP="003D2318">
      <w:pPr>
        <w:pStyle w:val="Ruller41"/>
        <w:rPr>
          <w:b/>
          <w:bCs/>
          <w:rtl/>
        </w:rPr>
      </w:pPr>
      <w:r>
        <w:rPr>
          <w:rtl/>
        </w:rPr>
        <w:tab/>
      </w:r>
      <w:r>
        <w:rPr>
          <w:rFonts w:hint="cs"/>
          <w:rtl/>
        </w:rPr>
        <w:t xml:space="preserve">אכן, לטיעון המשלים שהוגש מטעם ממשלת ישראל, ראש ממשלת ישראל ושר המשפטים (להלן: </w:t>
      </w:r>
      <w:r w:rsidRPr="00F96561">
        <w:rPr>
          <w:rFonts w:ascii="Century" w:hAnsi="Century" w:cs="Miriam" w:hint="cs"/>
          <w:b/>
          <w:spacing w:val="0"/>
          <w:szCs w:val="24"/>
          <w:rtl/>
        </w:rPr>
        <w:t>גורמי הממשלה</w:t>
      </w:r>
      <w:r>
        <w:rPr>
          <w:rFonts w:hint="cs"/>
          <w:rtl/>
        </w:rPr>
        <w:t xml:space="preserve">), צורף עותק מדברי הכנסת והפנייה לדברים שנשא ראש הממשלה הראשון, דוד בן-גוריון, בדבר הסמכות הבלתי מוגבלת של הבוחר לעצב את הנורמות במדינה, לרבות לבחור במשטר מלוכני. בענווה המתבקשת, דברים אלו אינם מקובלים עליי כמבטאים נכונה את המצב המשפטי גם בעת שנאמרו, קל וחומר כיום. להשקפתי, משהוכרז כי מדינת ישראל </w:t>
      </w:r>
      <w:r w:rsidRPr="00F96561">
        <w:rPr>
          <w:rFonts w:ascii="Century" w:hAnsi="Century" w:hint="cs"/>
          <w:rtl/>
        </w:rPr>
        <w:t>"</w:t>
      </w:r>
      <w:r w:rsidRPr="00F96561">
        <w:rPr>
          <w:rFonts w:ascii="Century" w:hAnsi="Century" w:cs="Miriam" w:hint="cs"/>
          <w:b/>
          <w:spacing w:val="0"/>
          <w:szCs w:val="24"/>
          <w:rtl/>
        </w:rPr>
        <w:t xml:space="preserve">תשקוד על פיתוח הארץ לטובת כל תושביה; תהא </w:t>
      </w:r>
      <w:r w:rsidRPr="00120406">
        <w:rPr>
          <w:rFonts w:ascii="Century" w:hAnsi="Century" w:cs="Miriam" w:hint="cs"/>
          <w:b/>
          <w:spacing w:val="0"/>
          <w:szCs w:val="24"/>
          <w:rtl/>
        </w:rPr>
        <w:t>מושתת</w:t>
      </w:r>
      <w:r>
        <w:rPr>
          <w:rFonts w:ascii="Century" w:hAnsi="Century" w:cs="Miriam" w:hint="cs"/>
          <w:b/>
          <w:spacing w:val="0"/>
          <w:szCs w:val="24"/>
          <w:rtl/>
        </w:rPr>
        <w:t>ת</w:t>
      </w:r>
      <w:r w:rsidRPr="00F96561">
        <w:rPr>
          <w:rFonts w:ascii="Century" w:hAnsi="Century" w:cs="Miriam" w:hint="cs"/>
          <w:b/>
          <w:spacing w:val="0"/>
          <w:szCs w:val="24"/>
          <w:rtl/>
        </w:rPr>
        <w:t xml:space="preserve"> על יסודות החירות, הצדק והשלום לאור חזונם של נביאי ישראל; תקיים שויון זכויות חברתי ומדיני גמור לכל אזרחיה בלי הבדל דת, גזע ומין</w:t>
      </w:r>
      <w:r>
        <w:rPr>
          <w:rFonts w:ascii="Century" w:hAnsi="Century" w:cs="Miriam" w:hint="cs"/>
          <w:b/>
          <w:spacing w:val="0"/>
          <w:szCs w:val="24"/>
          <w:rtl/>
        </w:rPr>
        <w:t>;</w:t>
      </w:r>
      <w:r w:rsidRPr="00F96561">
        <w:rPr>
          <w:rFonts w:ascii="Century" w:hAnsi="Century" w:cs="Miriam" w:hint="cs"/>
          <w:b/>
          <w:spacing w:val="0"/>
          <w:szCs w:val="24"/>
          <w:rtl/>
        </w:rPr>
        <w:t xml:space="preserve"> תבטיח חופש דת, מצפון, לשון, חינוך ותרבות...</w:t>
      </w:r>
      <w:r w:rsidRPr="00F96561">
        <w:rPr>
          <w:rFonts w:ascii="Century" w:hAnsi="Century" w:hint="cs"/>
          <w:rtl/>
        </w:rPr>
        <w:t>",</w:t>
      </w:r>
      <w:r w:rsidRPr="00457727">
        <w:rPr>
          <w:rFonts w:hint="cs"/>
          <w:rtl/>
        </w:rPr>
        <w:t xml:space="preserve"> אין היא יכולה</w:t>
      </w:r>
      <w:r>
        <w:rPr>
          <w:rFonts w:hint="cs"/>
          <w:rtl/>
        </w:rPr>
        <w:t>, לדוגמא,</w:t>
      </w:r>
      <w:r w:rsidRPr="00457727">
        <w:rPr>
          <w:rFonts w:hint="cs"/>
          <w:rtl/>
        </w:rPr>
        <w:t xml:space="preserve"> להיות מדינ</w:t>
      </w:r>
      <w:r>
        <w:rPr>
          <w:rFonts w:hint="cs"/>
          <w:rtl/>
        </w:rPr>
        <w:t>ה שבראשה עומד מלך כל-יכול</w:t>
      </w:r>
      <w:r w:rsidRPr="00457727">
        <w:rPr>
          <w:rFonts w:hint="cs"/>
          <w:rtl/>
        </w:rPr>
        <w:t>.</w:t>
      </w:r>
    </w:p>
    <w:p w:rsidR="003D2318" w:rsidRPr="006078CA" w:rsidRDefault="003D2318" w:rsidP="003D2318">
      <w:pPr>
        <w:pStyle w:val="Ruller41"/>
        <w:spacing w:line="240" w:lineRule="auto"/>
        <w:rPr>
          <w:b/>
          <w:bCs/>
        </w:rPr>
      </w:pPr>
    </w:p>
    <w:p w:rsidR="003D2318" w:rsidRDefault="003D2318" w:rsidP="00570AC5">
      <w:pPr>
        <w:pStyle w:val="Ruller4"/>
        <w:rPr>
          <w:rtl/>
        </w:rPr>
      </w:pPr>
      <w:r>
        <w:rPr>
          <w:rFonts w:hint="cs"/>
          <w:rtl/>
        </w:rPr>
        <w:t>עוד אבקש להעיר לגבי מה שמכונה "דוקטרינת המבנה הבסיסי", שאומצה בפסקי דין של בית המשפט העליון של הודו (ראו:</w:t>
      </w:r>
      <w:r w:rsidRPr="00120406">
        <w:t>Kesavananda Bharati v. State of Kerala, AIR 1973 SC 1461</w:t>
      </w:r>
      <w:r>
        <w:rPr>
          <w:rFonts w:hint="cs"/>
          <w:rtl/>
        </w:rPr>
        <w:t xml:space="preserve"> ו- </w:t>
      </w:r>
      <w:r>
        <w:rPr>
          <w:rFonts w:hint="cs"/>
        </w:rPr>
        <w:t>M</w:t>
      </w:r>
      <w:r w:rsidRPr="00EB7C12">
        <w:t>inerva Mills Ltd. v. Union of India, AIR 9 SC 1980</w:t>
      </w:r>
      <w:r>
        <w:rPr>
          <w:rFonts w:hint="cs"/>
          <w:rtl/>
        </w:rPr>
        <w:t xml:space="preserve">), ואשר תמציתה בקביעה לפיה תיקון לחוקה אינו יכול לשנות מן היסוד את זהותה או את מאפייניה הבסיסיים של החוקה (להרחבה, ראו: </w:t>
      </w:r>
      <w:r w:rsidRPr="00EB7C12">
        <w:rPr>
          <w:smallCaps/>
        </w:rPr>
        <w:t>Yaniv Roznai, Unconstitutional Constitutional Amendments: The Limits of Amendment Powers 42</w:t>
      </w:r>
      <w:r w:rsidRPr="004A51A8">
        <w:t xml:space="preserve"> (2017)</w:t>
      </w:r>
      <w:r>
        <w:rPr>
          <w:rFonts w:hint="cs"/>
          <w:rtl/>
        </w:rPr>
        <w:t xml:space="preserve">). הובעו ספקות באשר לאפשרות ליישום דוקטרינה זו בישראל וזאת לאור העובדה שמלאכת כינונה של החוקה במדינתנו טרם הושלמה (וראו: אהרן ברק "תיקון של חוקה שאינו חוקתי" </w:t>
      </w:r>
      <w:r>
        <w:rPr>
          <w:rFonts w:ascii="Century" w:hAnsi="Century" w:cs="Miriam" w:hint="cs"/>
          <w:b/>
          <w:spacing w:val="0"/>
          <w:sz w:val="22"/>
          <w:szCs w:val="24"/>
          <w:rtl/>
        </w:rPr>
        <w:t xml:space="preserve">מבחר כתבים </w:t>
      </w:r>
      <w:r>
        <w:rPr>
          <w:rFonts w:ascii="Century" w:hAnsi="Century" w:cs="Miriam"/>
          <w:b/>
          <w:spacing w:val="0"/>
          <w:sz w:val="22"/>
          <w:szCs w:val="24"/>
          <w:rtl/>
        </w:rPr>
        <w:t>–</w:t>
      </w:r>
      <w:r>
        <w:rPr>
          <w:rFonts w:ascii="Century" w:hAnsi="Century" w:cs="Miriam" w:hint="cs"/>
          <w:b/>
          <w:spacing w:val="0"/>
          <w:sz w:val="22"/>
          <w:szCs w:val="24"/>
          <w:rtl/>
        </w:rPr>
        <w:t xml:space="preserve"> עיונים חוקתיים</w:t>
      </w:r>
      <w:r>
        <w:rPr>
          <w:rFonts w:hint="cs"/>
          <w:rtl/>
        </w:rPr>
        <w:t xml:space="preserve"> כרך ג 143 (2017) (להלן: </w:t>
      </w:r>
      <w:r w:rsidRPr="008D5CEA">
        <w:rPr>
          <w:rFonts w:ascii="Century" w:hAnsi="Century" w:cs="Miriam" w:hint="cs"/>
          <w:b/>
          <w:spacing w:val="0"/>
          <w:sz w:val="22"/>
          <w:szCs w:val="24"/>
          <w:rtl/>
        </w:rPr>
        <w:t>ברק, תיקון של חוקה שאינו חוקתי</w:t>
      </w:r>
      <w:r>
        <w:rPr>
          <w:rFonts w:hint="cs"/>
          <w:rtl/>
        </w:rPr>
        <w:t xml:space="preserve">)). לעניין זה אבקש להעיר כי, לדעתי, בשלב הנוכחי של המפעל החוקתי, אין בכך שטרם הושלמה מלאכת חקיקתה של החוקה כדי לשלול בהכרח את החלתה של דוקטרינה זו גם בישראל, בשינויים המחויבים. זאת, בהינתן שמלאכת כינונם של חוקי היסוד במדינתנו נמשכת מזה עשרות רבות של שנים, וכי כוננו זה מכבר מספר משמעותי של חוקי יסוד. משכך, לעמדתי, גם בישראל </w:t>
      </w:r>
      <w:r>
        <w:rPr>
          <w:rFonts w:hint="cs"/>
          <w:rtl/>
        </w:rPr>
        <w:lastRenderedPageBreak/>
        <w:t>יכול כי יכונן תיקון לחוק יסוד, שהינו כה מנוגד לעקרונות הבסיס המשותפים לחוקי היסוד האחרים, עד שייתכן וניתן יהיה לראותו כסותר את מאפייניה היסודיים של החוקה המתהווה במדינה.</w:t>
      </w:r>
    </w:p>
    <w:p w:rsidR="003D2318" w:rsidRPr="00120406" w:rsidRDefault="003D2318" w:rsidP="003D2318">
      <w:pPr>
        <w:pStyle w:val="Ruller41"/>
        <w:spacing w:line="240" w:lineRule="auto"/>
      </w:pPr>
    </w:p>
    <w:p w:rsidR="003D2318" w:rsidRDefault="003D2318" w:rsidP="00570AC5">
      <w:pPr>
        <w:pStyle w:val="Ruller4"/>
        <w:rPr>
          <w:rtl/>
        </w:rPr>
      </w:pPr>
      <w:r>
        <w:rPr>
          <w:rFonts w:hint="cs"/>
          <w:rtl/>
        </w:rPr>
        <w:t>ולפני סיום פרק זה אבקש להדגיש הוראת דין שהינה לדעתי בעלת חשיבות רבה לענייננו, היא הוראת סעיף 7א לחוק-יסוד: הכנסת, הקובעת כי:</w:t>
      </w:r>
    </w:p>
    <w:p w:rsidR="003D2318" w:rsidRDefault="003D2318" w:rsidP="003D2318">
      <w:pPr>
        <w:pStyle w:val="Ruller41"/>
        <w:spacing w:line="240" w:lineRule="auto"/>
        <w:rPr>
          <w:rtl/>
        </w:rPr>
      </w:pPr>
    </w:p>
    <w:p w:rsidR="003D2318" w:rsidRDefault="003D2318" w:rsidP="003D2318">
      <w:pPr>
        <w:pStyle w:val="Ruller5"/>
        <w:ind w:left="2154"/>
        <w:rPr>
          <w:rtl/>
        </w:rPr>
      </w:pPr>
      <w:r>
        <w:rPr>
          <w:rFonts w:hint="cs"/>
          <w:rtl/>
        </w:rPr>
        <w:t>"(א)</w:t>
      </w:r>
      <w:r>
        <w:rPr>
          <w:rtl/>
        </w:rPr>
        <w:tab/>
      </w:r>
      <w:r>
        <w:rPr>
          <w:rFonts w:hint="cs"/>
          <w:rtl/>
        </w:rPr>
        <w:t>רשימת מועמדים לא תשתתף בבחירות לכנסת ולא יהיה אדם מועמד בבחירות לכנסת, אם יש במטרותיה או במעשיה של הרשימה או במעשיו של האדם, לרבות בהתבטאויותיו, לפי הענין, במפורש או במשתמע, אחד מאלה:</w:t>
      </w:r>
    </w:p>
    <w:p w:rsidR="003D2318" w:rsidRDefault="003D2318" w:rsidP="003D2318">
      <w:pPr>
        <w:pStyle w:val="Ruller5"/>
        <w:ind w:left="2880"/>
      </w:pPr>
      <w:r>
        <w:rPr>
          <w:rFonts w:hint="cs"/>
          <w:rtl/>
        </w:rPr>
        <w:t>(1) שלילת קיומה של מדינת ישראל כמדינה יהודית ודמוקרטית;</w:t>
      </w:r>
    </w:p>
    <w:p w:rsidR="003D2318" w:rsidRDefault="003D2318" w:rsidP="003D2318">
      <w:pPr>
        <w:pStyle w:val="Ruller5"/>
        <w:ind w:left="2880"/>
      </w:pPr>
      <w:r>
        <w:rPr>
          <w:rFonts w:hint="cs"/>
          <w:rtl/>
        </w:rPr>
        <w:t>(2) הסתה לגזענות;</w:t>
      </w:r>
    </w:p>
    <w:p w:rsidR="003D2318" w:rsidRDefault="003D2318" w:rsidP="003D2318">
      <w:pPr>
        <w:pStyle w:val="Ruller5"/>
        <w:ind w:left="2880"/>
      </w:pPr>
      <w:r>
        <w:rPr>
          <w:rFonts w:hint="cs"/>
          <w:rtl/>
        </w:rPr>
        <w:t>(3) תמיכה במאבק מזוין, של מדינת אויב או של ארגון טרור, נגד מדינת ישראל."</w:t>
      </w:r>
    </w:p>
    <w:p w:rsidR="003D2318" w:rsidRDefault="003D2318" w:rsidP="003D2318">
      <w:pPr>
        <w:pStyle w:val="Ruller41"/>
        <w:rPr>
          <w:rtl/>
        </w:rPr>
      </w:pPr>
    </w:p>
    <w:p w:rsidR="003D2318" w:rsidRPr="00C402CD" w:rsidRDefault="003D2318" w:rsidP="003D2318">
      <w:pPr>
        <w:pStyle w:val="Ruller41"/>
        <w:rPr>
          <w:rtl/>
        </w:rPr>
      </w:pPr>
      <w:r>
        <w:rPr>
          <w:rtl/>
        </w:rPr>
        <w:tab/>
      </w:r>
      <w:r>
        <w:rPr>
          <w:rFonts w:hint="cs"/>
          <w:rtl/>
        </w:rPr>
        <w:t xml:space="preserve">הוראה משלימה להוראה דלעיל ניתן למצוא בסעיפים 57(ט) ו-(ט1) לחוק הבחירות לכנסת [נוסח משולב], התשכ"ט-1969, המחייבים לצרף לרשימות המועמדים לכנסת כתב הסכמה של כל אחד מהמועמדים, ובו הצהרה לפיה: </w:t>
      </w:r>
      <w:r w:rsidRPr="00F96561">
        <w:rPr>
          <w:rFonts w:ascii="Century" w:hAnsi="Century" w:hint="cs"/>
          <w:rtl/>
        </w:rPr>
        <w:t>"</w:t>
      </w:r>
      <w:r w:rsidRPr="00F96561">
        <w:rPr>
          <w:rFonts w:ascii="Century" w:hAnsi="Century" w:cs="Miriam" w:hint="cs"/>
          <w:b/>
          <w:spacing w:val="0"/>
          <w:szCs w:val="24"/>
          <w:rtl/>
        </w:rPr>
        <w:t>אני מתחייב לשמור אמונים למדינת ישראל ולהימנע מלפעול בניגוד לעקרונות סעיף 7א לחוק</w:t>
      </w:r>
      <w:r>
        <w:rPr>
          <w:rFonts w:ascii="Century" w:hAnsi="Century" w:cs="Miriam" w:hint="cs"/>
          <w:b/>
          <w:spacing w:val="0"/>
          <w:szCs w:val="24"/>
          <w:rtl/>
        </w:rPr>
        <w:t>-</w:t>
      </w:r>
      <w:r w:rsidRPr="00575835">
        <w:rPr>
          <w:rFonts w:ascii="Century" w:hAnsi="Century" w:cs="Miriam" w:hint="cs"/>
          <w:b/>
          <w:spacing w:val="0"/>
          <w:szCs w:val="24"/>
          <w:rtl/>
        </w:rPr>
        <w:t>יסוד: הכנסת</w:t>
      </w:r>
      <w:r w:rsidRPr="00575835">
        <w:rPr>
          <w:rFonts w:ascii="Century" w:hAnsi="Century" w:hint="cs"/>
          <w:rtl/>
        </w:rPr>
        <w:t>".</w:t>
      </w:r>
      <w:r>
        <w:rPr>
          <w:rFonts w:hint="cs"/>
          <w:rtl/>
        </w:rPr>
        <w:t xml:space="preserve"> </w:t>
      </w:r>
      <w:r w:rsidRPr="00575835">
        <w:rPr>
          <w:rFonts w:hint="cs"/>
          <w:rtl/>
        </w:rPr>
        <w:t xml:space="preserve">בנוסף לכך, סעיף 5 לחוק המפלגות, התשנ"ב-1992, מסמיך את רשם המפלגות שלא לרשום מפלגה מחמת שאין היא עומדת בתנאים המנויים בסעיף, המקבילים לתנאי סעיף 7א הנ"ל (וראו: רע"א 7504/95 </w:t>
      </w:r>
      <w:r w:rsidRPr="00575835">
        <w:rPr>
          <w:rFonts w:ascii="Century" w:hAnsi="Century" w:cs="Miriam" w:hint="cs"/>
          <w:b/>
          <w:spacing w:val="0"/>
          <w:szCs w:val="24"/>
          <w:rtl/>
        </w:rPr>
        <w:t>יאסין נ' רשם המפלגות</w:t>
      </w:r>
      <w:r w:rsidRPr="00575835">
        <w:rPr>
          <w:rFonts w:hint="cs"/>
          <w:rtl/>
        </w:rPr>
        <w:t>, פ"ד נ(2) 45 (1996)).</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הכנסת הפנתה להוראת סעיף 7א לחוק-יסוד: הכנסת, שצוטטה לעיל, כדי לשכנענו לאמץ את הפסיקה שיישמה את ההוראה באופן מצמצם ולדחות בעקבות זאת את העתירות דנן. אני, לעומת זאת, מבקש לראות בה אסמכתה ברורה לתשובה לשאלה העקרונית אשר עומדת במרכז הדיון. אסביר.</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טענתם המרכזית של גורמי הממשלה, המתנגדים מכל וכל להכרה במגבלה כלשהי על סמכותה המכוננת של הכנסת, הינה שאין מקום להגביל באופן כלשהו את סמכותו של הריבון </w:t>
      </w:r>
      <w:r>
        <w:rPr>
          <w:rtl/>
        </w:rPr>
        <w:t>–</w:t>
      </w:r>
      <w:r>
        <w:rPr>
          <w:rFonts w:hint="cs"/>
          <w:rtl/>
        </w:rPr>
        <w:t xml:space="preserve"> העם, להחליט על ההסדרים החוקיים ועל הנורמות המקובלות עליו וכי הואיל והעם מיוצג בכנסת, כתוצאה של הבחירות, אין כל מקום להכיר במגבלה כלשהי המוטלת על הכנסת בעת שהינה מפעילה את סמכותה המכוננת. </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אלא שעמדה זו והוראתו המפורשת של סעיף 7א לחוק-יסוד: הכנסת, אינם יכולים לדעתי לדור בכפיפה אחת. הוראת סעיף 7א, ובזה עיקר מהותה, הינה להוציא </w:t>
      </w:r>
      <w:r>
        <w:rPr>
          <w:rFonts w:hint="cs"/>
          <w:rtl/>
        </w:rPr>
        <w:lastRenderedPageBreak/>
        <w:t>לחלוטין מתחום שוק הדעות הלגיטימי ומהאפשרות לקדם דעה וליצור לה תמיכה בכנסת, כל דעה השוללת את קיומה של מדינת ישראל כמדינה יהודית ודמוקרטית. זאת גם (ואולי אף דווקא וכאשר) יש לאותה דעה תמיכה או פוטנציאל לתמיכה משמעותית בציבור.</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ולשם ההמחשה: נניח שקמה תנועה הדוגלת במשטר מלוכני בישראל ואף סוברת שמצאה את הדמות שראוי לשים את כתר המלכות על ראשה, וזאת במובן הקלאסי של מלוכה (סמכות-על מוחלטת ובלתי מוגבלת של המלך). נניח שתנועה זו צוברת לה תמיכה משמעותית בציבור. אין מחלוקת שתנועה זו לא תוכל להשתתף בבחירות לכנסת וכל אדם התומך בה לא יוכל להיכלל ברשימת מועמדים כלשהי לכנסת, לפי סעיף 7א לחוק-יסוד: הכנסת. התוצאה היא שלא ניתן יהיה לדעת כלל עד כמה התמיכה באותה תנועה היא רבה ועוד יותר מכך </w:t>
      </w:r>
      <w:r>
        <w:rPr>
          <w:rtl/>
        </w:rPr>
        <w:t>–</w:t>
      </w:r>
      <w:r>
        <w:rPr>
          <w:rFonts w:hint="cs"/>
          <w:rtl/>
        </w:rPr>
        <w:t xml:space="preserve"> תהיה מידת התמיכה בה אשר תהיה (ואף אם הצליחה לרכוש את תמיכתו של רוב הציבור), לא יהיה לה ביטוי כלשהו בכנסת. יתר על כן, חברי הכנסת, נאמנים להצהרתם, יהיו מנועים מלפעול לקידום רעיונותיה של אותה תנועה במהלך פעילותה של הכנסת לה נבחרו (וראו: פסקה 9 לפסק דינו של חברי, השופט </w:t>
      </w:r>
      <w:r w:rsidRPr="00575835">
        <w:rPr>
          <w:rFonts w:ascii="Century" w:hAnsi="Century" w:cs="Miriam" w:hint="cs"/>
          <w:b/>
          <w:spacing w:val="0"/>
          <w:szCs w:val="24"/>
          <w:rtl/>
        </w:rPr>
        <w:t xml:space="preserve">נ' </w:t>
      </w:r>
      <w:r w:rsidRPr="00F96561">
        <w:rPr>
          <w:rFonts w:ascii="Century" w:hAnsi="Century" w:cs="Miriam" w:hint="cs"/>
          <w:b/>
          <w:spacing w:val="0"/>
          <w:szCs w:val="24"/>
          <w:rtl/>
        </w:rPr>
        <w:t>סולברג</w:t>
      </w:r>
      <w:r>
        <w:rPr>
          <w:rFonts w:hint="cs"/>
          <w:rtl/>
        </w:rPr>
        <w:t xml:space="preserve">, בבג"ץ 5744/16 </w:t>
      </w:r>
      <w:r w:rsidRPr="00F96561">
        <w:rPr>
          <w:rFonts w:ascii="Century" w:hAnsi="Century" w:cs="Miriam" w:hint="cs"/>
          <w:b/>
          <w:spacing w:val="0"/>
          <w:szCs w:val="24"/>
          <w:rtl/>
        </w:rPr>
        <w:t xml:space="preserve">בן מאיר </w:t>
      </w:r>
      <w:r w:rsidRPr="00575835">
        <w:rPr>
          <w:rFonts w:ascii="Century" w:hAnsi="Century" w:cs="Miriam" w:hint="cs"/>
          <w:b/>
          <w:spacing w:val="0"/>
          <w:szCs w:val="24"/>
          <w:rtl/>
        </w:rPr>
        <w:t>נ'</w:t>
      </w:r>
      <w:r w:rsidRPr="00F96561">
        <w:rPr>
          <w:rFonts w:ascii="Century" w:hAnsi="Century" w:cs="Miriam" w:hint="cs"/>
          <w:b/>
          <w:spacing w:val="0"/>
          <w:szCs w:val="24"/>
          <w:rtl/>
        </w:rPr>
        <w:t xml:space="preserve"> הכנסת</w:t>
      </w:r>
      <w:r w:rsidRPr="00575835">
        <w:rPr>
          <w:rFonts w:hint="cs"/>
          <w:rtl/>
        </w:rPr>
        <w:t xml:space="preserve"> </w:t>
      </w:r>
      <w:r>
        <w:rPr>
          <w:rFonts w:hint="cs"/>
          <w:rtl/>
        </w:rPr>
        <w:t>(27.5.2018)). ומתבקשת השאלה: כיצד תוצאה זו מתיישבת עם גישתם של גורמי הממשלה, בדבר היעדר לגיטימיות להגבלה כלשהי על רצונו של העם? (וכמובן שניתן היה להמחיש את הדברים לעיל גם בדוגמאות אחרות, כגון תנועה גזענית מוצהרת או תנועה המבקשת לנתק את הקשר בין המדינה לבין העם היהודי).</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ובמילים אחרות, כיצד מי שסובר שהוראת סעיף 7א לחוק-יסוד: הכנסת הינה חוקית ולגיטימית, יכול באותה הנשימה לומר שסמכותה של הכנסת לכונן, מבחינת תוכנם של חוקי יסוד, הינה בלתי מוגבלת? כיצד ניתן לומר כי מה שהינו כה פסול ומנוגד להגדרת היסוד של המדינה עד שלא ניתנת כלל האפשרות ל-"ריבון" לגבש עמדה לגביו, הינו לגיטימי להיכלל בחוקת המדינה אם כך הצביעה הכנסת ברוב דעות? דעתי, שלא ניתן.</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אכן, לו היה עסקינן בבעלי דין רגילים ובהליך רגיל, היה לדעתי משקל משמעותי לטענה שהוראת סעיף 7א לחוק-יסוד: הכנסת, משתיקה את הטיעון המרכזי שנטען בפנינו על ידי גורמי הממשלה. בענייננו די בכך שההוראה הנ"ל, הקבועה בחוק יסוד, מבטאת תפיסה ברורה לפיה קיימת מגבלה על תוכנן של הנורמות שהריבון </w:t>
      </w:r>
      <w:r>
        <w:rPr>
          <w:rtl/>
        </w:rPr>
        <w:t>–</w:t>
      </w:r>
      <w:r>
        <w:rPr>
          <w:rFonts w:hint="cs"/>
          <w:rtl/>
        </w:rPr>
        <w:t xml:space="preserve"> העם </w:t>
      </w:r>
      <w:r>
        <w:rPr>
          <w:rtl/>
        </w:rPr>
        <w:t>–</w:t>
      </w:r>
      <w:r>
        <w:rPr>
          <w:rFonts w:hint="cs"/>
          <w:rtl/>
        </w:rPr>
        <w:t xml:space="preserve"> יכול לבחור בהן, ולרבות קביעה ברורה המונעת מראש בחירה בנורמות השוללות את קיומה של מדינת ישראל כמדינה יהודית ודמוקרטית.</w:t>
      </w:r>
    </w:p>
    <w:p w:rsidR="003D2318" w:rsidRDefault="003D2318" w:rsidP="003D2318">
      <w:pPr>
        <w:pStyle w:val="Ruller41"/>
        <w:spacing w:line="240" w:lineRule="auto"/>
        <w:rPr>
          <w:rtl/>
        </w:rPr>
      </w:pPr>
    </w:p>
    <w:p w:rsidR="003D2318" w:rsidRDefault="003D2318" w:rsidP="003D2318">
      <w:pPr>
        <w:pStyle w:val="Ruller41"/>
        <w:rPr>
          <w:rtl/>
        </w:rPr>
      </w:pPr>
      <w:r>
        <w:rPr>
          <w:rtl/>
        </w:rPr>
        <w:lastRenderedPageBreak/>
        <w:tab/>
      </w:r>
      <w:r>
        <w:rPr>
          <w:rFonts w:hint="cs"/>
          <w:rtl/>
        </w:rPr>
        <w:t xml:space="preserve">סבורני שגם הניסוח המדויק של הוראת סעיף 7א לחוק-יסוד: הכנסת </w:t>
      </w:r>
      <w:r>
        <w:rPr>
          <w:rtl/>
        </w:rPr>
        <w:t>–</w:t>
      </w:r>
      <w:r>
        <w:rPr>
          <w:rFonts w:hint="cs"/>
          <w:rtl/>
        </w:rPr>
        <w:t xml:space="preserve"> "</w:t>
      </w:r>
      <w:r w:rsidRPr="00F96561">
        <w:rPr>
          <w:rFonts w:ascii="Century" w:hAnsi="Century" w:cs="Miriam" w:hint="cs"/>
          <w:b/>
          <w:spacing w:val="0"/>
          <w:szCs w:val="24"/>
          <w:rtl/>
        </w:rPr>
        <w:t xml:space="preserve">שלילת </w:t>
      </w:r>
      <w:r w:rsidRPr="00F96561">
        <w:rPr>
          <w:rFonts w:ascii="Century" w:hAnsi="Century" w:cs="Miriam" w:hint="cs"/>
          <w:b/>
          <w:spacing w:val="0"/>
          <w:szCs w:val="24"/>
          <w:u w:val="single"/>
          <w:rtl/>
        </w:rPr>
        <w:t>קיומה</w:t>
      </w:r>
      <w:r w:rsidRPr="00F96561">
        <w:rPr>
          <w:rFonts w:ascii="Century" w:hAnsi="Century" w:cs="Miriam" w:hint="cs"/>
          <w:b/>
          <w:spacing w:val="0"/>
          <w:szCs w:val="24"/>
          <w:rtl/>
        </w:rPr>
        <w:t xml:space="preserve"> של מדינת ישראל כמדינה יהודית ודמוקרטית</w:t>
      </w:r>
      <w:r>
        <w:rPr>
          <w:rFonts w:hint="cs"/>
          <w:rtl/>
        </w:rPr>
        <w:t xml:space="preserve">" </w:t>
      </w:r>
      <w:r>
        <w:rPr>
          <w:rtl/>
        </w:rPr>
        <w:t>–</w:t>
      </w:r>
      <w:r>
        <w:rPr>
          <w:rFonts w:hint="cs"/>
          <w:rtl/>
        </w:rPr>
        <w:t xml:space="preserve"> הוא חשוב, שכן עולה ממנו שמהות קיומה של מדינת ישראל הינה בהיותה מדינה יהודית ודמוקרטית (וראו עניין </w:t>
      </w:r>
      <w:r w:rsidRPr="00B2205A">
        <w:rPr>
          <w:rFonts w:ascii="Century" w:hAnsi="Century" w:cs="Miriam" w:hint="cs"/>
          <w:b/>
          <w:spacing w:val="0"/>
          <w:szCs w:val="24"/>
          <w:rtl/>
        </w:rPr>
        <w:t>חסון</w:t>
      </w:r>
      <w:r>
        <w:rPr>
          <w:rFonts w:hint="cs"/>
          <w:rtl/>
        </w:rPr>
        <w:t>, פסקה 19 לפסק דינה של הנשיאה).</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לאמור: המבקש לחוקק נורמה השוללת ממדינת ישראל את היותה מדינה יהודית או את היותה מדינה דמוקרטית, אינו משנה את חוקיה של המדינה אלא מבקש לשלול את עצם הגדרת קיומה. </w:t>
      </w:r>
    </w:p>
    <w:p w:rsidR="003D2318" w:rsidRPr="00B41B04" w:rsidRDefault="003D2318" w:rsidP="003D2318">
      <w:pPr>
        <w:pStyle w:val="Ruller41"/>
        <w:spacing w:line="240" w:lineRule="auto"/>
      </w:pPr>
    </w:p>
    <w:p w:rsidR="003D2318" w:rsidRPr="00F96561" w:rsidRDefault="003D2318" w:rsidP="003D2318">
      <w:pPr>
        <w:pStyle w:val="Ruller41"/>
        <w:rPr>
          <w:rFonts w:ascii="Century" w:hAnsi="Century" w:cs="Miriam"/>
          <w:b/>
          <w:spacing w:val="0"/>
          <w:szCs w:val="24"/>
          <w:rtl/>
        </w:rPr>
      </w:pPr>
      <w:r w:rsidRPr="00F96561">
        <w:rPr>
          <w:rFonts w:ascii="Century" w:hAnsi="Century" w:cs="Miriam" w:hint="cs"/>
          <w:b/>
          <w:spacing w:val="0"/>
          <w:szCs w:val="24"/>
          <w:rtl/>
        </w:rPr>
        <w:t xml:space="preserve">האם בית המשפט </w:t>
      </w:r>
      <w:r w:rsidRPr="00B2205A">
        <w:rPr>
          <w:rFonts w:ascii="Century" w:hAnsi="Century" w:cs="Miriam" w:hint="cs"/>
          <w:b/>
          <w:spacing w:val="0"/>
          <w:szCs w:val="24"/>
          <w:rtl/>
        </w:rPr>
        <w:t xml:space="preserve">העליון, בשבתו כבית המשפט הגבוה לצדק, </w:t>
      </w:r>
      <w:r w:rsidRPr="00F96561">
        <w:rPr>
          <w:rFonts w:ascii="Century" w:hAnsi="Century" w:cs="Miriam" w:hint="cs"/>
          <w:b/>
          <w:spacing w:val="0"/>
          <w:szCs w:val="24"/>
          <w:rtl/>
        </w:rPr>
        <w:t>מוסמך לקבוע כי הכנסת חרגה מסמכותה המכוננת בעת שתיקנה חוק יסוד, וליתן סעד בהתאם?</w:t>
      </w:r>
    </w:p>
    <w:p w:rsidR="003D2318" w:rsidRDefault="003D2318" w:rsidP="003D2318">
      <w:pPr>
        <w:pStyle w:val="Ruller41"/>
        <w:spacing w:line="240" w:lineRule="auto"/>
        <w:rPr>
          <w:b/>
          <w:bCs/>
          <w:u w:val="single"/>
          <w:rtl/>
        </w:rPr>
      </w:pPr>
    </w:p>
    <w:p w:rsidR="003D2318" w:rsidRDefault="003D2318" w:rsidP="00570AC5">
      <w:pPr>
        <w:pStyle w:val="Ruller4"/>
        <w:rPr>
          <w:rtl/>
        </w:rPr>
      </w:pPr>
      <w:r>
        <w:rPr>
          <w:rFonts w:hint="cs"/>
          <w:rtl/>
        </w:rPr>
        <w:t xml:space="preserve">משהשבתי על השאלה הראשונה בחיוב, על דרך אימוץ דעתה של הנשיאה, נוצר הצורך להתייחס לשאלה השנייה </w:t>
      </w:r>
      <w:r>
        <w:rPr>
          <w:rtl/>
        </w:rPr>
        <w:t>–</w:t>
      </w:r>
      <w:r>
        <w:rPr>
          <w:rFonts w:hint="cs"/>
          <w:rtl/>
        </w:rPr>
        <w:t xml:space="preserve"> שאלת סמכותו של בית המשפט העליון, בשבתו כבית המשפט הגבוה לצדק, לקבוע כי הכנסת, בעת שפעלה מכוח סמכותה המכוננת, חרגה מסמכותה (במובן שהוגדר לעיל)?</w:t>
      </w:r>
    </w:p>
    <w:p w:rsidR="003D2318" w:rsidRPr="00E0492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שאלה זו הושארה ב-"צריך עיון" בפסק הדין בעניין </w:t>
      </w:r>
      <w:r w:rsidRPr="00F96561">
        <w:rPr>
          <w:rFonts w:ascii="Century" w:hAnsi="Century" w:cs="Miriam" w:hint="cs"/>
          <w:b/>
          <w:spacing w:val="0"/>
          <w:szCs w:val="24"/>
          <w:rtl/>
        </w:rPr>
        <w:t xml:space="preserve">חסון </w:t>
      </w:r>
      <w:r>
        <w:rPr>
          <w:rFonts w:hint="cs"/>
          <w:rtl/>
        </w:rPr>
        <w:t>וטרם הוכרעה בפסיקתו של בית משפט זה.</w:t>
      </w:r>
    </w:p>
    <w:p w:rsidR="003D2318" w:rsidRDefault="003D2318" w:rsidP="003D2318">
      <w:pPr>
        <w:pStyle w:val="Ruller41"/>
        <w:spacing w:line="240" w:lineRule="auto"/>
        <w:rPr>
          <w:rtl/>
        </w:rPr>
      </w:pPr>
    </w:p>
    <w:p w:rsidR="003D2318" w:rsidRDefault="003D2318" w:rsidP="00570AC5">
      <w:pPr>
        <w:pStyle w:val="Ruller4"/>
        <w:rPr>
          <w:rtl/>
        </w:rPr>
      </w:pPr>
      <w:r>
        <w:rPr>
          <w:rFonts w:hint="cs"/>
          <w:rtl/>
        </w:rPr>
        <w:t>לדעתי, השאלה "הכבדה" יותר היא השאלה הראשונה, בה דנתי לעיל, הנוגעת לעצם קיומן של מגבלות כלשהן על סמכותה המכוננת של הכנסת. לשאלה זו השבתי בחיוב: סמכותה המכוננת של הכנסת כפופה לנורמה הקובעת כי מדינת ישראל הינה מדינה יהודית ודמוקרטית.</w:t>
      </w:r>
    </w:p>
    <w:p w:rsidR="003D2318" w:rsidRPr="005E3AC3"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בהנחה זו, כך אני סבור, לשאלה השנייה קיימת תשובה ברורה בדין, הקבועה בסעיף 15 לחוק-יסוד: השפיטה, לפיו: </w:t>
      </w:r>
    </w:p>
    <w:p w:rsidR="003D2318" w:rsidRDefault="003D2318" w:rsidP="003D2318">
      <w:pPr>
        <w:pStyle w:val="Ruller41"/>
        <w:spacing w:line="240" w:lineRule="auto"/>
        <w:rPr>
          <w:rtl/>
        </w:rPr>
      </w:pPr>
    </w:p>
    <w:p w:rsidR="003D2318" w:rsidRPr="00F96561" w:rsidRDefault="003D2318" w:rsidP="003D2318">
      <w:pPr>
        <w:pStyle w:val="Ruller5"/>
        <w:rPr>
          <w:rtl/>
        </w:rPr>
      </w:pPr>
      <w:r w:rsidRPr="00F96561">
        <w:rPr>
          <w:rFonts w:hint="cs"/>
          <w:rtl/>
        </w:rPr>
        <w:t>"(ג)</w:t>
      </w:r>
      <w:r w:rsidRPr="00F96561">
        <w:rPr>
          <w:rtl/>
        </w:rPr>
        <w:tab/>
      </w:r>
      <w:r w:rsidRPr="00F96561">
        <w:rPr>
          <w:rFonts w:hint="cs"/>
          <w:rtl/>
        </w:rPr>
        <w:t xml:space="preserve">בית המשפט העליון ישב גם כבית משפט גבוה לצדק; בשבתו כאמור ידון בענינים אשר הוא רואה צורך לתת בהם סעד </w:t>
      </w:r>
      <w:r>
        <w:rPr>
          <w:rFonts w:hint="cs"/>
          <w:rtl/>
        </w:rPr>
        <w:t>למען</w:t>
      </w:r>
      <w:r w:rsidRPr="00F96561">
        <w:rPr>
          <w:rFonts w:hint="cs"/>
          <w:rtl/>
        </w:rPr>
        <w:t xml:space="preserve"> הצדק ואשר אינם בסמכותו של בית משפט או של בית דין אחר.</w:t>
      </w:r>
    </w:p>
    <w:p w:rsidR="003D2318" w:rsidRPr="00F96561" w:rsidRDefault="003D2318" w:rsidP="003D2318">
      <w:pPr>
        <w:pStyle w:val="Ruller5"/>
        <w:rPr>
          <w:rtl/>
        </w:rPr>
      </w:pPr>
      <w:r w:rsidRPr="00F96561">
        <w:rPr>
          <w:rFonts w:hint="cs"/>
          <w:rtl/>
        </w:rPr>
        <w:t>(ד)</w:t>
      </w:r>
      <w:r w:rsidRPr="00F96561">
        <w:rPr>
          <w:rtl/>
        </w:rPr>
        <w:tab/>
      </w:r>
      <w:r w:rsidRPr="00F96561">
        <w:rPr>
          <w:rFonts w:hint="cs"/>
          <w:rtl/>
        </w:rPr>
        <w:t xml:space="preserve">מבלי לפגוע בכלליות ההוראות שבסעיף קטן (ג), מוסמך בית המשפט העליון בשבתו כבית משפט גבוה לצדק </w:t>
      </w:r>
      <w:r w:rsidRPr="00F96561">
        <w:rPr>
          <w:rtl/>
        </w:rPr>
        <w:t>–</w:t>
      </w:r>
    </w:p>
    <w:p w:rsidR="003D2318" w:rsidRDefault="003D2318" w:rsidP="003D2318">
      <w:pPr>
        <w:pStyle w:val="Ruller5"/>
        <w:rPr>
          <w:rtl/>
        </w:rPr>
      </w:pPr>
      <w:r>
        <w:rPr>
          <w:rFonts w:hint="cs"/>
          <w:rtl/>
        </w:rPr>
        <w:t>[...]</w:t>
      </w:r>
    </w:p>
    <w:p w:rsidR="003D2318" w:rsidRPr="00F96561" w:rsidRDefault="003D2318" w:rsidP="003D2318">
      <w:pPr>
        <w:pStyle w:val="Ruller5"/>
        <w:ind w:left="2160"/>
        <w:rPr>
          <w:rtl/>
        </w:rPr>
      </w:pPr>
      <w:r w:rsidRPr="00F96561">
        <w:rPr>
          <w:rFonts w:hint="cs"/>
          <w:rtl/>
        </w:rPr>
        <w:t>(2)</w:t>
      </w:r>
      <w:r w:rsidRPr="00F96561">
        <w:rPr>
          <w:rtl/>
        </w:rPr>
        <w:tab/>
      </w:r>
      <w:r w:rsidRPr="00F96561">
        <w:rPr>
          <w:rFonts w:hint="cs"/>
          <w:rtl/>
        </w:rPr>
        <w:t xml:space="preserve">לתת </w:t>
      </w:r>
      <w:r>
        <w:rPr>
          <w:rFonts w:hint="cs"/>
          <w:rtl/>
        </w:rPr>
        <w:t>צווים</w:t>
      </w:r>
      <w:r w:rsidRPr="00F96561">
        <w:rPr>
          <w:rFonts w:hint="cs"/>
          <w:rtl/>
        </w:rPr>
        <w:t xml:space="preserve"> לרשויות המדינה, לרשויות מקומיות, לפקידיהן ולגופים ולאנשים אחרים הממלאים תפקידים ציבוריים על פי דין, לעשות מעשה או להימנע מעשות מעשה במילוי תפקידיהם </w:t>
      </w:r>
      <w:r w:rsidRPr="00F96561">
        <w:rPr>
          <w:rFonts w:hint="cs"/>
          <w:rtl/>
        </w:rPr>
        <w:lastRenderedPageBreak/>
        <w:t xml:space="preserve">כדין, ואם נבחרו או נתמנו שלא כדין </w:t>
      </w:r>
      <w:r w:rsidRPr="00F96561">
        <w:rPr>
          <w:rtl/>
        </w:rPr>
        <w:t>–</w:t>
      </w:r>
      <w:r w:rsidRPr="00F96561">
        <w:rPr>
          <w:rFonts w:hint="cs"/>
          <w:rtl/>
        </w:rPr>
        <w:t xml:space="preserve"> להימנע מלפעול;"</w:t>
      </w:r>
    </w:p>
    <w:p w:rsidR="003D2318" w:rsidRPr="00281975" w:rsidRDefault="003D2318" w:rsidP="003D2318">
      <w:pPr>
        <w:pStyle w:val="Ruller41"/>
        <w:spacing w:line="240" w:lineRule="auto"/>
        <w:rPr>
          <w:b/>
          <w:bCs/>
        </w:rPr>
      </w:pPr>
    </w:p>
    <w:p w:rsidR="003D2318" w:rsidRPr="00F96561" w:rsidRDefault="003D2318" w:rsidP="003D2318">
      <w:pPr>
        <w:pStyle w:val="Ruller4"/>
        <w:numPr>
          <w:ilvl w:val="0"/>
          <w:numId w:val="0"/>
        </w:numPr>
        <w:rPr>
          <w:rFonts w:ascii="Century" w:hAnsi="Century"/>
          <w:sz w:val="22"/>
          <w:rtl/>
        </w:rPr>
      </w:pPr>
      <w:r>
        <w:rPr>
          <w:rtl/>
        </w:rPr>
        <w:tab/>
      </w:r>
      <w:r>
        <w:rPr>
          <w:rFonts w:hint="cs"/>
          <w:rtl/>
        </w:rPr>
        <w:t>בלשון חוק היסוד אין כל מגבלה על מתן צו לכנסת, שאין חולק שהינה רשות מ-"רשויות המדינה". בית משפט זה, בשבתו כבית משפט גבוה לצדק, הוציא תחת ידו (בריסון המתחייב מכיבוד מעמדה של הכנסת, ובנסיבות המתאימות) צווים המחייבים את הכנסת בהקשרים שונים (ראו, לדוגמא: בג"ץ 325/85</w:t>
      </w:r>
      <w:r w:rsidRPr="00F96561">
        <w:rPr>
          <w:rFonts w:hint="cs"/>
          <w:b/>
          <w:bCs/>
          <w:rtl/>
        </w:rPr>
        <w:t xml:space="preserve"> </w:t>
      </w:r>
      <w:r w:rsidRPr="00F96561">
        <w:rPr>
          <w:rFonts w:ascii="Century" w:hAnsi="Century" w:cs="Miriam" w:hint="cs"/>
          <w:b/>
          <w:spacing w:val="0"/>
          <w:sz w:val="22"/>
          <w:szCs w:val="24"/>
          <w:rtl/>
        </w:rPr>
        <w:t xml:space="preserve">מיערי </w:t>
      </w:r>
      <w:r w:rsidRPr="00100952">
        <w:rPr>
          <w:rFonts w:ascii="Century" w:hAnsi="Century" w:cs="Miriam" w:hint="cs"/>
          <w:b/>
          <w:spacing w:val="0"/>
          <w:sz w:val="22"/>
          <w:szCs w:val="24"/>
          <w:rtl/>
        </w:rPr>
        <w:t>נ'</w:t>
      </w:r>
      <w:r w:rsidRPr="00F96561">
        <w:rPr>
          <w:rFonts w:ascii="Century" w:hAnsi="Century" w:cs="Miriam" w:hint="cs"/>
          <w:b/>
          <w:spacing w:val="0"/>
          <w:sz w:val="22"/>
          <w:szCs w:val="24"/>
          <w:rtl/>
        </w:rPr>
        <w:t xml:space="preserve"> יו"ר הכנסת</w:t>
      </w:r>
      <w:r>
        <w:rPr>
          <w:rFonts w:hint="cs"/>
          <w:rtl/>
        </w:rPr>
        <w:t xml:space="preserve">, פ"ד לט(3) 122 (1985), ובמיוחד את קביעותיו של הנשיא </w:t>
      </w:r>
      <w:r w:rsidRPr="00100952">
        <w:rPr>
          <w:rFonts w:ascii="Century" w:hAnsi="Century" w:cs="Miriam" w:hint="cs"/>
          <w:b/>
          <w:spacing w:val="0"/>
          <w:sz w:val="22"/>
          <w:szCs w:val="24"/>
          <w:rtl/>
        </w:rPr>
        <w:t xml:space="preserve">מ' </w:t>
      </w:r>
      <w:r w:rsidRPr="00F96561">
        <w:rPr>
          <w:rFonts w:ascii="Century" w:hAnsi="Century" w:cs="Miriam" w:hint="cs"/>
          <w:b/>
          <w:spacing w:val="0"/>
          <w:sz w:val="22"/>
          <w:szCs w:val="24"/>
          <w:rtl/>
        </w:rPr>
        <w:t>שמגר</w:t>
      </w:r>
      <w:r w:rsidRPr="00100952">
        <w:rPr>
          <w:rFonts w:hint="cs"/>
          <w:rtl/>
        </w:rPr>
        <w:t xml:space="preserve"> </w:t>
      </w:r>
      <w:r>
        <w:rPr>
          <w:rFonts w:hint="cs"/>
          <w:rtl/>
        </w:rPr>
        <w:t xml:space="preserve">בעמ' 128-127 לפסק הדין; וראו גם את בג"ץ 1843/93 </w:t>
      </w:r>
      <w:r w:rsidRPr="00F96561">
        <w:rPr>
          <w:rFonts w:ascii="Century" w:hAnsi="Century" w:cs="Miriam" w:hint="cs"/>
          <w:b/>
          <w:spacing w:val="0"/>
          <w:sz w:val="22"/>
          <w:szCs w:val="24"/>
          <w:rtl/>
        </w:rPr>
        <w:t>פנחסי נ' כנסת ישראל</w:t>
      </w:r>
      <w:r>
        <w:rPr>
          <w:rFonts w:hint="cs"/>
          <w:rtl/>
        </w:rPr>
        <w:t xml:space="preserve">, פ"ד מט(1) 661 (1995) ודבריו של המשנה לנשיא </w:t>
      </w:r>
      <w:r w:rsidRPr="00406590">
        <w:rPr>
          <w:rFonts w:ascii="Century" w:hAnsi="Century" w:cs="Miriam" w:hint="cs"/>
          <w:b/>
          <w:spacing w:val="0"/>
          <w:sz w:val="22"/>
          <w:szCs w:val="24"/>
          <w:rtl/>
        </w:rPr>
        <w:t>א'</w:t>
      </w:r>
      <w:r w:rsidRPr="00F96561">
        <w:rPr>
          <w:rFonts w:ascii="Century" w:hAnsi="Century" w:cs="Miriam" w:hint="cs"/>
          <w:b/>
          <w:spacing w:val="0"/>
          <w:sz w:val="22"/>
          <w:szCs w:val="24"/>
          <w:rtl/>
        </w:rPr>
        <w:t xml:space="preserve"> ברק</w:t>
      </w:r>
      <w:r w:rsidRPr="00406590">
        <w:rPr>
          <w:rFonts w:hint="cs"/>
          <w:rtl/>
        </w:rPr>
        <w:t xml:space="preserve"> </w:t>
      </w:r>
      <w:r>
        <w:rPr>
          <w:rFonts w:hint="cs"/>
          <w:rtl/>
        </w:rPr>
        <w:t xml:space="preserve">בעמ' 699). בית משפט זה, בשבתו כבית משפט גבוה לצדק, הכיר בסמכותו להוציא צווים המצהירים על בטלות חקיקה של הכנסת (עניין </w:t>
      </w:r>
      <w:r w:rsidRPr="00F96561">
        <w:rPr>
          <w:rFonts w:ascii="Century" w:hAnsi="Century" w:cs="Miriam" w:hint="cs"/>
          <w:b/>
          <w:spacing w:val="0"/>
          <w:sz w:val="22"/>
          <w:szCs w:val="24"/>
          <w:rtl/>
        </w:rPr>
        <w:t>בנק המזרחי</w:t>
      </w:r>
      <w:r>
        <w:rPr>
          <w:rFonts w:hint="cs"/>
          <w:rtl/>
        </w:rPr>
        <w:t xml:space="preserve">, וראו בהקשר דנן במיוחד את דבריו של הנשיא </w:t>
      </w:r>
      <w:r w:rsidRPr="00406590">
        <w:rPr>
          <w:rFonts w:ascii="Century" w:hAnsi="Century" w:cs="Miriam" w:hint="cs"/>
          <w:b/>
          <w:spacing w:val="0"/>
          <w:sz w:val="22"/>
          <w:szCs w:val="24"/>
          <w:rtl/>
        </w:rPr>
        <w:t>א' ברק</w:t>
      </w:r>
      <w:r w:rsidRPr="00406590">
        <w:rPr>
          <w:rFonts w:hint="cs"/>
          <w:rtl/>
        </w:rPr>
        <w:t xml:space="preserve"> </w:t>
      </w:r>
      <w:r>
        <w:rPr>
          <w:rFonts w:hint="cs"/>
          <w:rtl/>
        </w:rPr>
        <w:t xml:space="preserve">בעמ' 422-421 לפסק הדין), הוציא בפועל צווים המחייבים את הכנסת לעניין ביטולו של חוק (ראו: בג"ץ 1715/97 </w:t>
      </w:r>
      <w:r>
        <w:rPr>
          <w:rFonts w:ascii="Century" w:hAnsi="Century" w:cs="Miriam" w:hint="cs"/>
          <w:b/>
          <w:spacing w:val="0"/>
          <w:sz w:val="22"/>
          <w:szCs w:val="24"/>
          <w:rtl/>
        </w:rPr>
        <w:t>לשכת מנהלי השקעות בישראל נ' שר האוצר</w:t>
      </w:r>
      <w:r>
        <w:rPr>
          <w:rFonts w:ascii="Century" w:hAnsi="Century" w:hint="cs"/>
          <w:sz w:val="22"/>
          <w:rtl/>
        </w:rPr>
        <w:t xml:space="preserve">, פ"ד נא(4) 367 (1997); </w:t>
      </w:r>
      <w:r>
        <w:rPr>
          <w:rFonts w:hint="cs"/>
          <w:rtl/>
        </w:rPr>
        <w:t xml:space="preserve">בג"ץ 10042/16 </w:t>
      </w:r>
      <w:r>
        <w:rPr>
          <w:rFonts w:ascii="Century" w:hAnsi="Century" w:cs="Miriam" w:hint="cs"/>
          <w:b/>
          <w:spacing w:val="0"/>
          <w:sz w:val="22"/>
          <w:szCs w:val="24"/>
          <w:rtl/>
        </w:rPr>
        <w:t>קוונטינסקי נ' כנסת ישראל</w:t>
      </w:r>
      <w:r>
        <w:rPr>
          <w:rFonts w:hint="cs"/>
          <w:rtl/>
        </w:rPr>
        <w:t xml:space="preserve"> (6.8.2017); בג"ץ 6942/19 </w:t>
      </w:r>
      <w:r>
        <w:rPr>
          <w:rFonts w:ascii="Century" w:hAnsi="Century" w:cs="Miriam" w:hint="cs"/>
          <w:b/>
          <w:spacing w:val="0"/>
          <w:sz w:val="22"/>
          <w:szCs w:val="24"/>
          <w:rtl/>
        </w:rPr>
        <w:t>צ'באנו נ' שר הפנים</w:t>
      </w:r>
      <w:r>
        <w:rPr>
          <w:rFonts w:hint="cs"/>
          <w:rtl/>
        </w:rPr>
        <w:t xml:space="preserve"> (12.7.2023)), וכן קבע את סמכותו להוציא צווים, המחייבים את הכנסת, לעניין תוקפם של תיקונים לחוק יסוד שנעשו תוך שימוש לרעה בסמכות המכוננת (וראה בג"ץ 5969/20 </w:t>
      </w:r>
      <w:r w:rsidRPr="00F96561">
        <w:rPr>
          <w:rFonts w:ascii="Century" w:hAnsi="Century" w:cs="Miriam" w:hint="cs"/>
          <w:b/>
          <w:spacing w:val="0"/>
          <w:sz w:val="22"/>
          <w:szCs w:val="24"/>
          <w:rtl/>
        </w:rPr>
        <w:t>שפיר נ' הכנסת</w:t>
      </w:r>
      <w:r w:rsidRPr="0091003C">
        <w:rPr>
          <w:rFonts w:hint="cs"/>
          <w:rtl/>
        </w:rPr>
        <w:t xml:space="preserve"> </w:t>
      </w:r>
      <w:r>
        <w:rPr>
          <w:rFonts w:hint="cs"/>
          <w:rtl/>
        </w:rPr>
        <w:t xml:space="preserve">(23.5.2021) (להלן: </w:t>
      </w:r>
      <w:r w:rsidRPr="00F96561">
        <w:rPr>
          <w:rFonts w:ascii="Century" w:hAnsi="Century" w:cs="Miriam" w:hint="cs"/>
          <w:b/>
          <w:spacing w:val="0"/>
          <w:sz w:val="22"/>
          <w:szCs w:val="24"/>
          <w:rtl/>
        </w:rPr>
        <w:t>עניין שפיר</w:t>
      </w:r>
      <w:r w:rsidRPr="00F96561">
        <w:rPr>
          <w:rFonts w:ascii="Century" w:hAnsi="Century" w:hint="cs"/>
          <w:sz w:val="22"/>
          <w:rtl/>
        </w:rPr>
        <w:t>) וכן בג"</w:t>
      </w:r>
      <w:r w:rsidRPr="00EF2B40">
        <w:rPr>
          <w:rFonts w:ascii="Century" w:hAnsi="Century" w:hint="cs"/>
          <w:sz w:val="22"/>
          <w:rtl/>
        </w:rPr>
        <w:t>ץ</w:t>
      </w:r>
      <w:r w:rsidRPr="00F96561">
        <w:rPr>
          <w:rFonts w:ascii="Century" w:hAnsi="Century" w:hint="cs"/>
          <w:sz w:val="22"/>
          <w:rtl/>
        </w:rPr>
        <w:t xml:space="preserve"> 8260/16 </w:t>
      </w:r>
      <w:r w:rsidRPr="00F96561">
        <w:rPr>
          <w:rFonts w:ascii="Century" w:hAnsi="Century" w:cs="Miriam" w:hint="cs"/>
          <w:b/>
          <w:spacing w:val="0"/>
          <w:sz w:val="22"/>
          <w:szCs w:val="24"/>
          <w:rtl/>
        </w:rPr>
        <w:t>המרכז האקדמי למשפט ולעסקים נ' כנסת ישראל</w:t>
      </w:r>
      <w:r w:rsidRPr="00F96561">
        <w:rPr>
          <w:rFonts w:ascii="Century" w:hAnsi="Century" w:hint="cs"/>
          <w:sz w:val="22"/>
          <w:rtl/>
        </w:rPr>
        <w:t xml:space="preserve"> (6.9.2017</w:t>
      </w:r>
      <w:r w:rsidRPr="00EF2B40">
        <w:rPr>
          <w:rFonts w:ascii="Century" w:hAnsi="Century" w:hint="cs"/>
          <w:sz w:val="22"/>
          <w:rtl/>
        </w:rPr>
        <w:t>)</w:t>
      </w:r>
      <w:r>
        <w:rPr>
          <w:rFonts w:ascii="Century" w:hAnsi="Century" w:hint="cs"/>
          <w:sz w:val="22"/>
          <w:rtl/>
        </w:rPr>
        <w:t xml:space="preserve"> (להלן: </w:t>
      </w:r>
      <w:r>
        <w:rPr>
          <w:rFonts w:ascii="Century" w:hAnsi="Century" w:cs="Miriam" w:hint="cs"/>
          <w:b/>
          <w:spacing w:val="0"/>
          <w:sz w:val="22"/>
          <w:szCs w:val="24"/>
          <w:rtl/>
        </w:rPr>
        <w:t>עניין התקציב הדו-שנתי</w:t>
      </w:r>
      <w:r w:rsidRPr="00F96561">
        <w:rPr>
          <w:rFonts w:ascii="Century" w:hAnsi="Century" w:hint="cs"/>
          <w:sz w:val="22"/>
          <w:rtl/>
        </w:rPr>
        <w:t>)).</w:t>
      </w:r>
    </w:p>
    <w:p w:rsidR="003D2318" w:rsidRDefault="003D2318" w:rsidP="003D2318">
      <w:pPr>
        <w:pStyle w:val="Ruller41"/>
        <w:spacing w:line="240" w:lineRule="auto"/>
        <w:rPr>
          <w:rtl/>
        </w:rPr>
      </w:pPr>
    </w:p>
    <w:p w:rsidR="003D2318" w:rsidRDefault="003D2318" w:rsidP="00570AC5">
      <w:pPr>
        <w:pStyle w:val="Ruller4"/>
        <w:rPr>
          <w:rtl/>
        </w:rPr>
      </w:pPr>
      <w:r>
        <w:rPr>
          <w:rFonts w:hint="cs"/>
          <w:rtl/>
        </w:rPr>
        <w:t xml:space="preserve">הטענה היחידה כנגד סמכותו של בית המשפט הגבוה לצדק לדון וליתן סעד, בהנחה שקיימת מגבלה על הסמכות המכוננת של הכנסת, הינה שמקור סמכותו של בית המשפט מצוי בחוק יסוד ומכאן שלא ניתן לפרשו כמאפשר ביטול דבר חקיקה המצוי באותה דרגה נורמטיבית. כך נטען על ידי הכנסת (פסקה 342 לתגובת הכנסת), וכך נטען גם על ידי גורמי הממשלה (שהתמקדו, ככלל, בשאלה הראשונה ופחות בהבחנה בינה לבין השאלה השנייה דנן), לאמור: </w:t>
      </w:r>
      <w:r w:rsidRPr="00F96561">
        <w:rPr>
          <w:rFonts w:ascii="Century" w:hAnsi="Century" w:hint="cs"/>
          <w:sz w:val="22"/>
          <w:rtl/>
        </w:rPr>
        <w:t>"</w:t>
      </w:r>
      <w:r w:rsidRPr="00F96561">
        <w:rPr>
          <w:rFonts w:ascii="Century" w:hAnsi="Century" w:cs="Miriam" w:hint="cs"/>
          <w:b/>
          <w:spacing w:val="0"/>
          <w:sz w:val="22"/>
          <w:szCs w:val="24"/>
          <w:rtl/>
        </w:rPr>
        <w:t xml:space="preserve">אין בכוחו של בית המשפט הנכבד לדון בתוקפן של נורמות מן המדרג שממנו הוא עצמו יונק את מקור סמכותו, כלומר חוקי </w:t>
      </w:r>
      <w:r>
        <w:rPr>
          <w:rFonts w:ascii="Century" w:hAnsi="Century" w:cs="Miriam" w:hint="cs"/>
          <w:b/>
          <w:spacing w:val="0"/>
          <w:sz w:val="22"/>
          <w:szCs w:val="24"/>
          <w:rtl/>
        </w:rPr>
        <w:t>ה</w:t>
      </w:r>
      <w:r w:rsidRPr="00F96561">
        <w:rPr>
          <w:rFonts w:ascii="Century" w:hAnsi="Century" w:cs="Miriam" w:hint="cs"/>
          <w:b/>
          <w:spacing w:val="0"/>
          <w:sz w:val="22"/>
          <w:szCs w:val="24"/>
          <w:rtl/>
        </w:rPr>
        <w:t>יסוד</w:t>
      </w:r>
      <w:r w:rsidRPr="00F96561">
        <w:rPr>
          <w:rFonts w:ascii="Century" w:hAnsi="Century" w:hint="cs"/>
          <w:sz w:val="22"/>
          <w:rtl/>
        </w:rPr>
        <w:t>"</w:t>
      </w:r>
      <w:r>
        <w:rPr>
          <w:rFonts w:hint="cs"/>
          <w:b/>
          <w:bCs/>
          <w:rtl/>
        </w:rPr>
        <w:t xml:space="preserve"> </w:t>
      </w:r>
      <w:r>
        <w:rPr>
          <w:rFonts w:hint="cs"/>
          <w:rtl/>
        </w:rPr>
        <w:t>(פסקה 9 לתגובת גורמי הממשלה; וראו בנוסף בפסיקה 20).</w:t>
      </w:r>
    </w:p>
    <w:p w:rsidR="003D2318" w:rsidRPr="008D5CEA" w:rsidRDefault="003D2318" w:rsidP="003D2318">
      <w:pPr>
        <w:pStyle w:val="Ruller41"/>
        <w:spacing w:line="240" w:lineRule="auto"/>
        <w:rPr>
          <w:rtl/>
        </w:rPr>
      </w:pPr>
    </w:p>
    <w:p w:rsidR="003D2318" w:rsidRPr="00F96561" w:rsidRDefault="003D2318" w:rsidP="003D2318">
      <w:pPr>
        <w:pStyle w:val="Ruller41"/>
        <w:rPr>
          <w:rFonts w:ascii="Century" w:hAnsi="Century"/>
          <w:rtl/>
        </w:rPr>
      </w:pPr>
      <w:r>
        <w:rPr>
          <w:rtl/>
        </w:rPr>
        <w:tab/>
      </w:r>
      <w:r>
        <w:rPr>
          <w:rFonts w:hint="cs"/>
          <w:rtl/>
        </w:rPr>
        <w:t>טענה זו מוקשית בעיניי: אין חולק שבחלק ממדינות העולם מוקנית לערכאה השיפוטית הבכירה, בחוקה, סמכות לבקר תיקונים לחוקה (למשל: סעיף 167(4)(</w:t>
      </w:r>
      <w:r w:rsidRPr="008D5CEA">
        <w:rPr>
          <w:rFonts w:ascii="Garamond" w:hAnsi="Garamond"/>
          <w:sz w:val="24"/>
          <w:szCs w:val="24"/>
        </w:rPr>
        <w:t>d</w:t>
      </w:r>
      <w:r>
        <w:rPr>
          <w:rFonts w:hint="cs"/>
          <w:rtl/>
        </w:rPr>
        <w:t xml:space="preserve">) לחוקת דרום אפריקה; ולהרחבה, ראו: </w:t>
      </w:r>
      <w:r w:rsidRPr="004C4BD5">
        <w:rPr>
          <w:rFonts w:ascii="Century" w:hAnsi="Century" w:cs="Miriam" w:hint="cs"/>
          <w:b/>
          <w:spacing w:val="0"/>
          <w:szCs w:val="24"/>
          <w:rtl/>
        </w:rPr>
        <w:t>ברק, תיקון של חוקה שאינו חוקתי</w:t>
      </w:r>
      <w:r>
        <w:rPr>
          <w:rFonts w:hint="cs"/>
          <w:rtl/>
        </w:rPr>
        <w:t xml:space="preserve">, בעמ' 152; יניב רוזנאי "שימוש לרעה בחוק יסוד" </w:t>
      </w:r>
      <w:r>
        <w:rPr>
          <w:rFonts w:ascii="Century" w:hAnsi="Century" w:cs="Miriam" w:hint="cs"/>
          <w:b/>
          <w:spacing w:val="0"/>
          <w:szCs w:val="24"/>
          <w:rtl/>
        </w:rPr>
        <w:t>ספר אליקים רובינשטיין</w:t>
      </w:r>
      <w:r>
        <w:rPr>
          <w:rFonts w:ascii="Century" w:hAnsi="Century" w:hint="cs"/>
          <w:rtl/>
        </w:rPr>
        <w:t xml:space="preserve"> 1349, 1379 (אהרן ברק ואח' עורכים, 2021)</w:t>
      </w:r>
      <w:r>
        <w:rPr>
          <w:rFonts w:hint="cs"/>
          <w:rtl/>
        </w:rPr>
        <w:t xml:space="preserve">). הכנסת וגורמי הממשלה אף אינם טוענים שקיימת מניעה לעשות כן גם בישראל. לא זו אף זו, דומה כי מקובל הן על הכנסת והן על גורמי הממשלה כי המקום </w:t>
      </w:r>
      <w:r>
        <w:rPr>
          <w:rFonts w:hint="cs"/>
          <w:rtl/>
        </w:rPr>
        <w:lastRenderedPageBreak/>
        <w:t xml:space="preserve">היותר מתאים להסדרת הסוגיה יהיה חוק יסוד: חקיקה, שלמרבה הצער לא חוקק עד היום. </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העולה בברור מהמקובץ לעיל הינו כי אין כל מחלוקת שהסמכות לערכאה השיפוטית הבכירה לבקר את מלאכת תיקון החוקה מקומה להיקבע בחוקה עצמה. יתר על כן, דומה כי לא ייתכן מקום אחר לקביעת סמכות שכזו ולא שמענו שכדי לקבוע סמכות לערכאה השיפוטית העליונה לבקר תיקונים לחוקה, יש לקבוע מעל החוקה מעין "חוקת-על" שבה תוקנה אותה סמכות, שאחרת נמצא במצב בו בית משפט דן "</w:t>
      </w:r>
      <w:r w:rsidRPr="00F96561">
        <w:rPr>
          <w:rFonts w:ascii="Century" w:hAnsi="Century" w:cs="Miriam" w:hint="cs"/>
          <w:b/>
          <w:spacing w:val="0"/>
          <w:szCs w:val="24"/>
          <w:rtl/>
        </w:rPr>
        <w:t>בתוקפן של נורמות מן המדרג שממנו הוא עצמו יונק את מקור סמכותו</w:t>
      </w:r>
      <w:r>
        <w:rPr>
          <w:rFonts w:hint="cs"/>
          <w:rtl/>
        </w:rPr>
        <w:t>".</w:t>
      </w:r>
    </w:p>
    <w:p w:rsidR="003D2318" w:rsidRDefault="003D2318" w:rsidP="003D2318">
      <w:pPr>
        <w:pStyle w:val="Ruller41"/>
        <w:spacing w:line="240" w:lineRule="auto"/>
        <w:rPr>
          <w:rtl/>
        </w:rPr>
      </w:pPr>
    </w:p>
    <w:p w:rsidR="003D2318" w:rsidRDefault="003D2318" w:rsidP="003D2318">
      <w:pPr>
        <w:pStyle w:val="Ruller4"/>
        <w:numPr>
          <w:ilvl w:val="0"/>
          <w:numId w:val="0"/>
        </w:numPr>
        <w:rPr>
          <w:rtl/>
        </w:rPr>
      </w:pPr>
      <w:r>
        <w:rPr>
          <w:rtl/>
        </w:rPr>
        <w:tab/>
      </w:r>
      <w:r>
        <w:rPr>
          <w:rFonts w:hint="cs"/>
          <w:rtl/>
        </w:rPr>
        <w:t xml:space="preserve">והנה מצאנו שלא רק שייתכן שבפרק אחד של חוקה תינתן סמכות לערכאה שיפוטית לבקר תיקון שייעשה בחלק אחר של החוקה, אלא שאם מבקשים לקבוע סמכות שכזו זוהי הדרך הטבעית והמתבקשת לעשות כן. </w:t>
      </w:r>
    </w:p>
    <w:p w:rsidR="003D2318" w:rsidRDefault="003D2318" w:rsidP="003D2318">
      <w:pPr>
        <w:pStyle w:val="Ruller4"/>
        <w:numPr>
          <w:ilvl w:val="0"/>
          <w:numId w:val="0"/>
        </w:numPr>
        <w:spacing w:line="240" w:lineRule="auto"/>
        <w:rPr>
          <w:rtl/>
        </w:rPr>
      </w:pPr>
    </w:p>
    <w:p w:rsidR="003D2318" w:rsidRDefault="003D2318" w:rsidP="003D2318">
      <w:pPr>
        <w:pStyle w:val="Ruller4"/>
        <w:numPr>
          <w:ilvl w:val="0"/>
          <w:numId w:val="0"/>
        </w:numPr>
        <w:rPr>
          <w:rtl/>
        </w:rPr>
      </w:pPr>
      <w:r>
        <w:rPr>
          <w:rtl/>
        </w:rPr>
        <w:tab/>
      </w:r>
      <w:r>
        <w:rPr>
          <w:rFonts w:hint="cs"/>
          <w:rtl/>
        </w:rPr>
        <w:t xml:space="preserve">על כן, הנני רואה את הטענה לפיה אין להכיר בסמכותו של בית המשפט הגבוה לצדק לבקר תיקון לחקיקת יסוד משום שסמכותו של בית המשפט קבועה אף היא בחוק יסוד </w:t>
      </w:r>
      <w:r>
        <w:rPr>
          <w:rtl/>
        </w:rPr>
        <w:t>–</w:t>
      </w:r>
      <w:r>
        <w:rPr>
          <w:rFonts w:hint="cs"/>
          <w:rtl/>
        </w:rPr>
        <w:t xml:space="preserve"> כחסרת בסיס.</w:t>
      </w:r>
    </w:p>
    <w:p w:rsidR="003D2318" w:rsidRPr="00025FD8" w:rsidRDefault="003D2318" w:rsidP="003D2318">
      <w:pPr>
        <w:pStyle w:val="Ruller41"/>
        <w:spacing w:line="240" w:lineRule="auto"/>
        <w:rPr>
          <w:rtl/>
        </w:rPr>
      </w:pPr>
    </w:p>
    <w:p w:rsidR="003D2318" w:rsidRDefault="003D2318" w:rsidP="00570AC5">
      <w:pPr>
        <w:pStyle w:val="Ruller4"/>
        <w:rPr>
          <w:strike/>
          <w:rtl/>
        </w:rPr>
      </w:pPr>
      <w:r w:rsidRPr="00172F91">
        <w:rPr>
          <w:rFonts w:hint="eastAsia"/>
          <w:rtl/>
        </w:rPr>
        <w:t>ביישום</w:t>
      </w:r>
      <w:r w:rsidRPr="00172F91">
        <w:rPr>
          <w:rtl/>
        </w:rPr>
        <w:t xml:space="preserve"> </w:t>
      </w:r>
      <w:r w:rsidRPr="00172F91">
        <w:rPr>
          <w:rFonts w:hint="eastAsia"/>
          <w:rtl/>
        </w:rPr>
        <w:t>לנסיבותיה</w:t>
      </w:r>
      <w:r w:rsidRPr="00172F91">
        <w:rPr>
          <w:rtl/>
        </w:rPr>
        <w:t xml:space="preserve"> </w:t>
      </w:r>
      <w:r w:rsidRPr="00172F91">
        <w:rPr>
          <w:rFonts w:hint="eastAsia"/>
          <w:rtl/>
        </w:rPr>
        <w:t>של</w:t>
      </w:r>
      <w:r w:rsidRPr="00172F91">
        <w:rPr>
          <w:rtl/>
        </w:rPr>
        <w:t xml:space="preserve"> </w:t>
      </w:r>
      <w:r w:rsidRPr="00172F91">
        <w:rPr>
          <w:rFonts w:hint="eastAsia"/>
          <w:rtl/>
        </w:rPr>
        <w:t>מדינת</w:t>
      </w:r>
      <w:r w:rsidRPr="00172F91">
        <w:rPr>
          <w:rtl/>
        </w:rPr>
        <w:t xml:space="preserve"> </w:t>
      </w:r>
      <w:r w:rsidRPr="00172F91">
        <w:rPr>
          <w:rFonts w:hint="eastAsia"/>
          <w:rtl/>
        </w:rPr>
        <w:t>ישראל</w:t>
      </w:r>
      <w:r w:rsidRPr="00172F91">
        <w:rPr>
          <w:rtl/>
        </w:rPr>
        <w:t xml:space="preserve">, </w:t>
      </w:r>
      <w:r w:rsidRPr="00172F91">
        <w:rPr>
          <w:rFonts w:hint="eastAsia"/>
          <w:rtl/>
        </w:rPr>
        <w:t>לעת</w:t>
      </w:r>
      <w:r w:rsidRPr="00172F91">
        <w:rPr>
          <w:rtl/>
        </w:rPr>
        <w:t xml:space="preserve"> </w:t>
      </w:r>
      <w:r w:rsidRPr="00172F91">
        <w:rPr>
          <w:rFonts w:hint="eastAsia"/>
          <w:rtl/>
        </w:rPr>
        <w:t>הזאת</w:t>
      </w:r>
      <w:r w:rsidRPr="00172F91">
        <w:rPr>
          <w:rtl/>
        </w:rPr>
        <w:t xml:space="preserve">, </w:t>
      </w:r>
      <w:r w:rsidRPr="00172F91">
        <w:rPr>
          <w:rFonts w:hint="eastAsia"/>
          <w:rtl/>
        </w:rPr>
        <w:t>השאלה</w:t>
      </w:r>
      <w:r w:rsidRPr="00172F91">
        <w:rPr>
          <w:rtl/>
        </w:rPr>
        <w:t xml:space="preserve"> </w:t>
      </w:r>
      <w:r w:rsidRPr="00172F91">
        <w:rPr>
          <w:rFonts w:hint="eastAsia"/>
          <w:rtl/>
        </w:rPr>
        <w:t>היא</w:t>
      </w:r>
      <w:r w:rsidRPr="00172F91">
        <w:rPr>
          <w:rtl/>
        </w:rPr>
        <w:t xml:space="preserve"> </w:t>
      </w:r>
      <w:r w:rsidRPr="00172F91">
        <w:rPr>
          <w:rFonts w:hint="eastAsia"/>
          <w:rtl/>
        </w:rPr>
        <w:t>מהו</w:t>
      </w:r>
      <w:r w:rsidRPr="00172F91">
        <w:rPr>
          <w:rtl/>
        </w:rPr>
        <w:t xml:space="preserve"> </w:t>
      </w:r>
      <w:r w:rsidRPr="00172F91">
        <w:rPr>
          <w:rFonts w:hint="eastAsia"/>
          <w:rtl/>
        </w:rPr>
        <w:t>הדין</w:t>
      </w:r>
      <w:r w:rsidRPr="00172F91">
        <w:rPr>
          <w:rtl/>
        </w:rPr>
        <w:t xml:space="preserve"> </w:t>
      </w:r>
      <w:r w:rsidRPr="00172F91">
        <w:rPr>
          <w:rFonts w:hint="eastAsia"/>
          <w:rtl/>
        </w:rPr>
        <w:t>כאשר</w:t>
      </w:r>
      <w:r w:rsidRPr="00172F91">
        <w:rPr>
          <w:rtl/>
        </w:rPr>
        <w:t xml:space="preserve"> </w:t>
      </w:r>
      <w:r w:rsidRPr="00172F91">
        <w:rPr>
          <w:rFonts w:hint="eastAsia"/>
          <w:rtl/>
        </w:rPr>
        <w:t>חוקה</w:t>
      </w:r>
      <w:r w:rsidRPr="00172F91">
        <w:rPr>
          <w:rtl/>
        </w:rPr>
        <w:t xml:space="preserve"> </w:t>
      </w:r>
      <w:r>
        <w:rPr>
          <w:rFonts w:hint="cs"/>
          <w:rtl/>
        </w:rPr>
        <w:t>מכוננת</w:t>
      </w:r>
      <w:r w:rsidRPr="00172F91">
        <w:rPr>
          <w:rtl/>
        </w:rPr>
        <w:t xml:space="preserve"> </w:t>
      </w:r>
      <w:r w:rsidRPr="00172F91">
        <w:rPr>
          <w:rFonts w:hint="eastAsia"/>
          <w:rtl/>
        </w:rPr>
        <w:t>פרקים</w:t>
      </w:r>
      <w:r w:rsidRPr="00172F91">
        <w:rPr>
          <w:rtl/>
        </w:rPr>
        <w:t xml:space="preserve"> </w:t>
      </w:r>
      <w:r w:rsidRPr="00172F91">
        <w:rPr>
          <w:rFonts w:hint="eastAsia"/>
          <w:rtl/>
        </w:rPr>
        <w:t>פרקים</w:t>
      </w:r>
      <w:r w:rsidRPr="00172F91">
        <w:rPr>
          <w:rtl/>
        </w:rPr>
        <w:t xml:space="preserve">, </w:t>
      </w:r>
      <w:r w:rsidRPr="00172F91">
        <w:rPr>
          <w:rFonts w:hint="eastAsia"/>
          <w:rtl/>
        </w:rPr>
        <w:t>על</w:t>
      </w:r>
      <w:r w:rsidRPr="00172F91">
        <w:rPr>
          <w:rtl/>
        </w:rPr>
        <w:t xml:space="preserve"> </w:t>
      </w:r>
      <w:r w:rsidRPr="00172F91">
        <w:rPr>
          <w:rFonts w:hint="eastAsia"/>
          <w:rtl/>
        </w:rPr>
        <w:t>פני</w:t>
      </w:r>
      <w:r w:rsidRPr="00172F91">
        <w:rPr>
          <w:rtl/>
        </w:rPr>
        <w:t xml:space="preserve"> </w:t>
      </w:r>
      <w:r w:rsidRPr="00172F91">
        <w:rPr>
          <w:rFonts w:hint="eastAsia"/>
          <w:rtl/>
        </w:rPr>
        <w:t>עשרות</w:t>
      </w:r>
      <w:r w:rsidRPr="00172F91">
        <w:rPr>
          <w:rtl/>
        </w:rPr>
        <w:t xml:space="preserve"> </w:t>
      </w:r>
      <w:r w:rsidRPr="00172F91">
        <w:rPr>
          <w:rFonts w:hint="eastAsia"/>
          <w:rtl/>
        </w:rPr>
        <w:t>שנים</w:t>
      </w:r>
      <w:r w:rsidRPr="00172F91">
        <w:rPr>
          <w:rtl/>
        </w:rPr>
        <w:t xml:space="preserve">, </w:t>
      </w:r>
      <w:r w:rsidRPr="00172F91">
        <w:rPr>
          <w:rFonts w:hint="eastAsia"/>
          <w:rtl/>
        </w:rPr>
        <w:t>והפרק</w:t>
      </w:r>
      <w:r w:rsidRPr="00172F91">
        <w:rPr>
          <w:rtl/>
        </w:rPr>
        <w:t xml:space="preserve"> </w:t>
      </w:r>
      <w:r w:rsidRPr="00172F91">
        <w:rPr>
          <w:rFonts w:hint="eastAsia"/>
          <w:rtl/>
        </w:rPr>
        <w:t>המתייחס</w:t>
      </w:r>
      <w:r w:rsidRPr="00172F91">
        <w:rPr>
          <w:rtl/>
        </w:rPr>
        <w:t xml:space="preserve"> </w:t>
      </w:r>
      <w:r w:rsidRPr="00172F91">
        <w:rPr>
          <w:rFonts w:hint="eastAsia"/>
          <w:rtl/>
        </w:rPr>
        <w:t>להליך</w:t>
      </w:r>
      <w:r w:rsidRPr="00172F91">
        <w:rPr>
          <w:rtl/>
        </w:rPr>
        <w:t xml:space="preserve"> </w:t>
      </w:r>
      <w:r w:rsidRPr="00172F91">
        <w:rPr>
          <w:rFonts w:hint="eastAsia"/>
          <w:rtl/>
        </w:rPr>
        <w:t>החקיקה</w:t>
      </w:r>
      <w:r w:rsidRPr="00172F91">
        <w:rPr>
          <w:rtl/>
        </w:rPr>
        <w:t xml:space="preserve"> </w:t>
      </w:r>
      <w:r w:rsidRPr="00172F91">
        <w:rPr>
          <w:rFonts w:hint="eastAsia"/>
          <w:rtl/>
        </w:rPr>
        <w:t>עצמו</w:t>
      </w:r>
      <w:r w:rsidRPr="00172F91">
        <w:rPr>
          <w:rtl/>
        </w:rPr>
        <w:t xml:space="preserve"> – </w:t>
      </w:r>
      <w:r w:rsidRPr="00172F91">
        <w:rPr>
          <w:rFonts w:hint="eastAsia"/>
          <w:rtl/>
        </w:rPr>
        <w:t>חוק</w:t>
      </w:r>
      <w:r w:rsidRPr="00172F91">
        <w:rPr>
          <w:rtl/>
        </w:rPr>
        <w:t xml:space="preserve"> </w:t>
      </w:r>
      <w:r w:rsidRPr="00172F91">
        <w:rPr>
          <w:rFonts w:hint="eastAsia"/>
          <w:rtl/>
        </w:rPr>
        <w:t>יסוד</w:t>
      </w:r>
      <w:r w:rsidRPr="00172F91">
        <w:rPr>
          <w:rtl/>
        </w:rPr>
        <w:t xml:space="preserve">: </w:t>
      </w:r>
      <w:r w:rsidRPr="00172F91">
        <w:rPr>
          <w:rFonts w:hint="eastAsia"/>
          <w:rtl/>
        </w:rPr>
        <w:t>חקיקה</w:t>
      </w:r>
      <w:r>
        <w:rPr>
          <w:rFonts w:hint="cs"/>
          <w:rtl/>
        </w:rPr>
        <w:t xml:space="preserve"> </w:t>
      </w:r>
      <w:r>
        <w:rPr>
          <w:rtl/>
        </w:rPr>
        <w:t>–</w:t>
      </w:r>
      <w:r>
        <w:rPr>
          <w:rFonts w:hint="cs"/>
          <w:rtl/>
        </w:rPr>
        <w:t xml:space="preserve"> טרם כונן?</w:t>
      </w:r>
    </w:p>
    <w:p w:rsidR="003D2318" w:rsidRPr="00025FD8" w:rsidRDefault="003D2318" w:rsidP="003D2318">
      <w:pPr>
        <w:pStyle w:val="Ruller41"/>
        <w:spacing w:line="240" w:lineRule="auto"/>
        <w:rPr>
          <w:rtl/>
        </w:rPr>
      </w:pPr>
    </w:p>
    <w:p w:rsidR="003D2318" w:rsidRPr="00025FD8" w:rsidRDefault="003D2318" w:rsidP="003D2318">
      <w:pPr>
        <w:pStyle w:val="Ruller4"/>
        <w:numPr>
          <w:ilvl w:val="0"/>
          <w:numId w:val="0"/>
        </w:numPr>
        <w:rPr>
          <w:rtl/>
        </w:rPr>
      </w:pPr>
      <w:r>
        <w:rPr>
          <w:rtl/>
        </w:rPr>
        <w:tab/>
      </w:r>
      <w:r w:rsidRPr="00025FD8">
        <w:rPr>
          <w:rFonts w:hint="eastAsia"/>
          <w:rtl/>
        </w:rPr>
        <w:t>סבור</w:t>
      </w:r>
      <w:r w:rsidRPr="00025FD8">
        <w:rPr>
          <w:rtl/>
        </w:rPr>
        <w:t xml:space="preserve"> </w:t>
      </w:r>
      <w:r w:rsidRPr="00025FD8">
        <w:rPr>
          <w:rFonts w:hint="eastAsia"/>
          <w:rtl/>
        </w:rPr>
        <w:t>אני</w:t>
      </w:r>
      <w:r w:rsidRPr="00025FD8">
        <w:rPr>
          <w:rtl/>
        </w:rPr>
        <w:t xml:space="preserve"> </w:t>
      </w:r>
      <w:r w:rsidRPr="00025FD8">
        <w:rPr>
          <w:rFonts w:hint="eastAsia"/>
          <w:rtl/>
        </w:rPr>
        <w:t>שהתשובה</w:t>
      </w:r>
      <w:r w:rsidRPr="00025FD8">
        <w:rPr>
          <w:rtl/>
        </w:rPr>
        <w:t xml:space="preserve"> </w:t>
      </w:r>
      <w:r w:rsidRPr="00025FD8">
        <w:rPr>
          <w:rFonts w:hint="eastAsia"/>
          <w:rtl/>
        </w:rPr>
        <w:t>הברורה</w:t>
      </w:r>
      <w:r w:rsidRPr="00025FD8">
        <w:rPr>
          <w:rtl/>
        </w:rPr>
        <w:t xml:space="preserve"> </w:t>
      </w:r>
      <w:r w:rsidRPr="00025FD8">
        <w:rPr>
          <w:rFonts w:hint="eastAsia"/>
          <w:rtl/>
        </w:rPr>
        <w:t>לכך</w:t>
      </w:r>
      <w:r w:rsidRPr="00025FD8">
        <w:rPr>
          <w:rtl/>
        </w:rPr>
        <w:t xml:space="preserve"> </w:t>
      </w:r>
      <w:r w:rsidRPr="00025FD8">
        <w:rPr>
          <w:rFonts w:hint="eastAsia"/>
          <w:rtl/>
        </w:rPr>
        <w:t>מצויה</w:t>
      </w:r>
      <w:r w:rsidRPr="00025FD8">
        <w:rPr>
          <w:rtl/>
        </w:rPr>
        <w:t xml:space="preserve"> </w:t>
      </w:r>
      <w:r w:rsidRPr="00025FD8">
        <w:rPr>
          <w:rFonts w:hint="eastAsia"/>
          <w:rtl/>
        </w:rPr>
        <w:t>בחוק</w:t>
      </w:r>
      <w:r w:rsidRPr="00025FD8">
        <w:rPr>
          <w:rtl/>
        </w:rPr>
        <w:t xml:space="preserve"> </w:t>
      </w:r>
      <w:r w:rsidRPr="00025FD8">
        <w:rPr>
          <w:rFonts w:hint="eastAsia"/>
          <w:rtl/>
        </w:rPr>
        <w:t>יסוד</w:t>
      </w:r>
      <w:r w:rsidRPr="00025FD8">
        <w:rPr>
          <w:rtl/>
        </w:rPr>
        <w:t xml:space="preserve"> </w:t>
      </w:r>
      <w:r w:rsidRPr="00025FD8">
        <w:rPr>
          <w:rFonts w:hint="eastAsia"/>
          <w:rtl/>
        </w:rPr>
        <w:t>שכבר</w:t>
      </w:r>
      <w:r>
        <w:rPr>
          <w:rFonts w:hint="cs"/>
          <w:rtl/>
        </w:rPr>
        <w:t xml:space="preserve"> כונן</w:t>
      </w:r>
      <w:r w:rsidRPr="00025FD8">
        <w:rPr>
          <w:rtl/>
        </w:rPr>
        <w:t xml:space="preserve">, </w:t>
      </w:r>
      <w:r w:rsidRPr="00025FD8">
        <w:rPr>
          <w:rFonts w:hint="eastAsia"/>
          <w:rtl/>
        </w:rPr>
        <w:t>הוא</w:t>
      </w:r>
      <w:r w:rsidRPr="00025FD8">
        <w:rPr>
          <w:rtl/>
        </w:rPr>
        <w:t xml:space="preserve"> </w:t>
      </w:r>
      <w:r w:rsidRPr="00025FD8">
        <w:rPr>
          <w:rFonts w:hint="eastAsia"/>
          <w:rtl/>
        </w:rPr>
        <w:t>חוק</w:t>
      </w:r>
      <w:r>
        <w:rPr>
          <w:rFonts w:hint="cs"/>
          <w:rtl/>
        </w:rPr>
        <w:t>-</w:t>
      </w:r>
      <w:r w:rsidRPr="00025FD8">
        <w:rPr>
          <w:rFonts w:hint="eastAsia"/>
          <w:rtl/>
        </w:rPr>
        <w:t>יסוד</w:t>
      </w:r>
      <w:r w:rsidRPr="00025FD8">
        <w:rPr>
          <w:rtl/>
        </w:rPr>
        <w:t xml:space="preserve">: </w:t>
      </w:r>
      <w:r w:rsidRPr="00025FD8">
        <w:rPr>
          <w:rFonts w:hint="eastAsia"/>
          <w:rtl/>
        </w:rPr>
        <w:t>השפיטה</w:t>
      </w:r>
      <w:r w:rsidRPr="00025FD8">
        <w:rPr>
          <w:rtl/>
        </w:rPr>
        <w:t xml:space="preserve">, </w:t>
      </w:r>
      <w:r w:rsidRPr="00025FD8">
        <w:rPr>
          <w:rFonts w:hint="eastAsia"/>
          <w:rtl/>
        </w:rPr>
        <w:t>המקנה</w:t>
      </w:r>
      <w:r w:rsidRPr="00025FD8">
        <w:rPr>
          <w:rtl/>
        </w:rPr>
        <w:t xml:space="preserve"> </w:t>
      </w:r>
      <w:r w:rsidRPr="00025FD8">
        <w:rPr>
          <w:rFonts w:hint="eastAsia"/>
          <w:rtl/>
        </w:rPr>
        <w:t>סמכות</w:t>
      </w:r>
      <w:r w:rsidRPr="00025FD8">
        <w:rPr>
          <w:rtl/>
        </w:rPr>
        <w:t xml:space="preserve"> </w:t>
      </w:r>
      <w:r w:rsidRPr="00025FD8">
        <w:rPr>
          <w:rFonts w:hint="eastAsia"/>
          <w:rtl/>
        </w:rPr>
        <w:t>לבית</w:t>
      </w:r>
      <w:r w:rsidRPr="00025FD8">
        <w:rPr>
          <w:rtl/>
        </w:rPr>
        <w:t xml:space="preserve"> </w:t>
      </w:r>
      <w:r w:rsidRPr="00025FD8">
        <w:rPr>
          <w:rFonts w:hint="eastAsia"/>
          <w:rtl/>
        </w:rPr>
        <w:t>המשפט</w:t>
      </w:r>
      <w:r w:rsidRPr="00025FD8">
        <w:rPr>
          <w:rtl/>
        </w:rPr>
        <w:t xml:space="preserve"> </w:t>
      </w:r>
      <w:r w:rsidRPr="00025FD8">
        <w:rPr>
          <w:rFonts w:hint="eastAsia"/>
          <w:rtl/>
        </w:rPr>
        <w:t>הגבוה</w:t>
      </w:r>
      <w:r w:rsidRPr="00025FD8">
        <w:rPr>
          <w:rtl/>
        </w:rPr>
        <w:t xml:space="preserve"> </w:t>
      </w:r>
      <w:r w:rsidRPr="00025FD8">
        <w:rPr>
          <w:rFonts w:hint="eastAsia"/>
          <w:rtl/>
        </w:rPr>
        <w:t>לצדק</w:t>
      </w:r>
      <w:r w:rsidRPr="00025FD8">
        <w:rPr>
          <w:rtl/>
        </w:rPr>
        <w:t xml:space="preserve">, </w:t>
      </w:r>
      <w:r w:rsidRPr="00025FD8">
        <w:rPr>
          <w:rFonts w:hint="eastAsia"/>
          <w:rtl/>
        </w:rPr>
        <w:t>סמכות</w:t>
      </w:r>
      <w:r w:rsidRPr="00025FD8">
        <w:rPr>
          <w:rtl/>
        </w:rPr>
        <w:t xml:space="preserve"> </w:t>
      </w:r>
      <w:r w:rsidRPr="00025FD8">
        <w:rPr>
          <w:rFonts w:hint="eastAsia"/>
          <w:rtl/>
        </w:rPr>
        <w:t>שאינה</w:t>
      </w:r>
      <w:r w:rsidRPr="00025FD8">
        <w:rPr>
          <w:rtl/>
        </w:rPr>
        <w:t xml:space="preserve"> </w:t>
      </w:r>
      <w:r w:rsidRPr="00025FD8">
        <w:rPr>
          <w:rFonts w:hint="eastAsia"/>
          <w:rtl/>
        </w:rPr>
        <w:t>מוגבלת</w:t>
      </w:r>
      <w:r w:rsidRPr="00025FD8">
        <w:rPr>
          <w:rtl/>
        </w:rPr>
        <w:t xml:space="preserve"> </w:t>
      </w:r>
      <w:r w:rsidRPr="00025FD8">
        <w:rPr>
          <w:rFonts w:hint="eastAsia"/>
          <w:rtl/>
        </w:rPr>
        <w:t>מבחינת</w:t>
      </w:r>
      <w:r w:rsidRPr="00025FD8">
        <w:rPr>
          <w:rtl/>
        </w:rPr>
        <w:t xml:space="preserve"> </w:t>
      </w:r>
      <w:r w:rsidRPr="00025FD8">
        <w:rPr>
          <w:rFonts w:hint="eastAsia"/>
          <w:rtl/>
        </w:rPr>
        <w:t>הגופים</w:t>
      </w:r>
      <w:r w:rsidRPr="00025FD8">
        <w:rPr>
          <w:rtl/>
        </w:rPr>
        <w:t xml:space="preserve"> </w:t>
      </w:r>
      <w:r w:rsidRPr="00025FD8">
        <w:rPr>
          <w:rFonts w:hint="eastAsia"/>
          <w:rtl/>
        </w:rPr>
        <w:t>שיכול</w:t>
      </w:r>
      <w:r w:rsidRPr="00025FD8">
        <w:rPr>
          <w:rtl/>
        </w:rPr>
        <w:t xml:space="preserve"> </w:t>
      </w:r>
      <w:r w:rsidRPr="00025FD8">
        <w:rPr>
          <w:rFonts w:hint="eastAsia"/>
          <w:rtl/>
        </w:rPr>
        <w:t>ויהיו</w:t>
      </w:r>
      <w:r w:rsidRPr="00025FD8">
        <w:rPr>
          <w:rtl/>
        </w:rPr>
        <w:t xml:space="preserve"> </w:t>
      </w:r>
      <w:r w:rsidRPr="00025FD8">
        <w:rPr>
          <w:rFonts w:hint="eastAsia"/>
          <w:rtl/>
        </w:rPr>
        <w:t>כפופים</w:t>
      </w:r>
      <w:r w:rsidRPr="00025FD8">
        <w:rPr>
          <w:rtl/>
        </w:rPr>
        <w:t xml:space="preserve"> </w:t>
      </w:r>
      <w:r w:rsidRPr="00025FD8">
        <w:rPr>
          <w:rFonts w:hint="eastAsia"/>
          <w:rtl/>
        </w:rPr>
        <w:t>לה</w:t>
      </w:r>
      <w:r w:rsidRPr="00025FD8">
        <w:rPr>
          <w:rtl/>
        </w:rPr>
        <w:t>.</w:t>
      </w:r>
    </w:p>
    <w:p w:rsidR="003D2318" w:rsidRPr="008D5CEA" w:rsidRDefault="003D2318" w:rsidP="003D2318">
      <w:pPr>
        <w:pStyle w:val="Ruller41"/>
        <w:spacing w:line="240" w:lineRule="auto"/>
        <w:rPr>
          <w:rtl/>
        </w:rPr>
      </w:pPr>
    </w:p>
    <w:p w:rsidR="003D2318" w:rsidRDefault="003D2318" w:rsidP="00570AC5">
      <w:pPr>
        <w:pStyle w:val="Ruller4"/>
        <w:rPr>
          <w:rFonts w:ascii="Calibri" w:eastAsia="Calibri" w:hAnsi="Calibri"/>
          <w:rtl/>
        </w:rPr>
      </w:pPr>
      <w:r>
        <w:rPr>
          <w:rFonts w:hint="cs"/>
          <w:rtl/>
        </w:rPr>
        <w:t xml:space="preserve">במהלך הדיון בפנינו, טען ב"כ גורמי הממשלה, כי: </w:t>
      </w:r>
      <w:r w:rsidRPr="00F96561">
        <w:rPr>
          <w:rFonts w:eastAsia="Calibri" w:hint="cs"/>
          <w:rtl/>
        </w:rPr>
        <w:t>"התשובה היא שהכנסת איננה יכולה לפגוע בזהותה של מדינת ישראל, כמדינה יהודית ודמוקרטית. אבל מי שיכול לבקר את זה, זה רק העם. זה רק הריבון. אין שום מקור סמכות אחרת</w:t>
      </w:r>
      <w:r w:rsidRPr="00F96561">
        <w:rPr>
          <w:rFonts w:ascii="Calibri" w:eastAsia="Calibri" w:hAnsi="Calibri" w:hint="cs"/>
          <w:rtl/>
        </w:rPr>
        <w:t>"</w:t>
      </w:r>
      <w:r>
        <w:rPr>
          <w:rFonts w:ascii="Calibri" w:eastAsia="Calibri" w:hAnsi="Calibri" w:hint="cs"/>
          <w:bCs/>
          <w:rtl/>
        </w:rPr>
        <w:t xml:space="preserve"> </w:t>
      </w:r>
      <w:r w:rsidRPr="00273511">
        <w:rPr>
          <w:rFonts w:ascii="Calibri" w:eastAsia="Calibri" w:hAnsi="Calibri" w:hint="cs"/>
          <w:rtl/>
        </w:rPr>
        <w:t>(עמ</w:t>
      </w:r>
      <w:r>
        <w:rPr>
          <w:rFonts w:ascii="Calibri" w:eastAsia="Calibri" w:hAnsi="Calibri" w:hint="cs"/>
          <w:rtl/>
        </w:rPr>
        <w:t>'</w:t>
      </w:r>
      <w:r w:rsidRPr="00273511">
        <w:rPr>
          <w:rFonts w:ascii="Calibri" w:eastAsia="Calibri" w:hAnsi="Calibri" w:hint="cs"/>
          <w:rtl/>
        </w:rPr>
        <w:t xml:space="preserve"> 50 לפרוטוקול המוקלט).</w:t>
      </w:r>
    </w:p>
    <w:p w:rsidR="003D2318" w:rsidRPr="008D5CEA" w:rsidRDefault="003D2318" w:rsidP="003D2318">
      <w:pPr>
        <w:pStyle w:val="Ruller41"/>
        <w:spacing w:line="240" w:lineRule="auto"/>
        <w:rPr>
          <w:rFonts w:eastAsia="Calibri"/>
          <w:rtl/>
        </w:rPr>
      </w:pPr>
    </w:p>
    <w:p w:rsidR="003D2318" w:rsidRDefault="003D2318" w:rsidP="003D2318">
      <w:pPr>
        <w:pStyle w:val="Ruller41"/>
        <w:rPr>
          <w:rtl/>
        </w:rPr>
      </w:pPr>
      <w:r>
        <w:rPr>
          <w:rtl/>
        </w:rPr>
        <w:tab/>
      </w:r>
      <w:r>
        <w:rPr>
          <w:rFonts w:hint="cs"/>
          <w:rtl/>
        </w:rPr>
        <w:t>אמירה זאת (שבהערת אגב אציין כי ספק עד כמה הינה עולה בקנה אחד עם הטיעון של גורמי הממשלה בהקשר השאלה הראשונה שנדונה לעיל), אף היא מוקשית בעיני: אם הכנסת חורגת מסמכותה, ואם סמכותו של בית המשפט הגבוה לצדק הינה כמצוין בסעיף 15 לחוק-יסוד: השפיטה, הכיצד ועל בסיס מה ניתן לטעון שאין לבית המשפט הגבוה לצדק סמכות לקבוע שבוצעה החריגה מהסמכות וליתן סעד?</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דומה כי התשובה היחידה שהושמעה בהקשר זה הינה ל-"אי-שפיטות" ואף זו טענה מוקשית בעיני עד למאוד. </w:t>
      </w:r>
      <w:r w:rsidRPr="00B2205A">
        <w:rPr>
          <w:rFonts w:hint="eastAsia"/>
          <w:rtl/>
        </w:rPr>
        <w:t>כמבואר</w:t>
      </w:r>
      <w:r w:rsidRPr="00B2205A">
        <w:rPr>
          <w:rtl/>
        </w:rPr>
        <w:t xml:space="preserve"> </w:t>
      </w:r>
      <w:r w:rsidRPr="00B2205A">
        <w:rPr>
          <w:rFonts w:hint="eastAsia"/>
          <w:rtl/>
        </w:rPr>
        <w:t>לעיל</w:t>
      </w:r>
      <w:r w:rsidRPr="00B2205A">
        <w:rPr>
          <w:rtl/>
        </w:rPr>
        <w:t xml:space="preserve">, </w:t>
      </w:r>
      <w:r w:rsidRPr="00B2205A">
        <w:rPr>
          <w:rFonts w:hint="eastAsia"/>
          <w:rtl/>
        </w:rPr>
        <w:t>השאלות</w:t>
      </w:r>
      <w:r w:rsidRPr="00B2205A">
        <w:rPr>
          <w:rtl/>
        </w:rPr>
        <w:t xml:space="preserve"> </w:t>
      </w:r>
      <w:r w:rsidRPr="00B2205A">
        <w:rPr>
          <w:rFonts w:hint="eastAsia"/>
          <w:rtl/>
        </w:rPr>
        <w:t>העיקריות</w:t>
      </w:r>
      <w:r w:rsidRPr="00B2205A">
        <w:rPr>
          <w:rtl/>
        </w:rPr>
        <w:t xml:space="preserve"> </w:t>
      </w:r>
      <w:r w:rsidRPr="00B2205A">
        <w:rPr>
          <w:rFonts w:hint="eastAsia"/>
          <w:rtl/>
        </w:rPr>
        <w:t>הדורשות</w:t>
      </w:r>
      <w:r w:rsidRPr="00B2205A">
        <w:rPr>
          <w:rtl/>
        </w:rPr>
        <w:t xml:space="preserve"> </w:t>
      </w:r>
      <w:r w:rsidRPr="00B2205A">
        <w:rPr>
          <w:rFonts w:hint="eastAsia"/>
          <w:rtl/>
        </w:rPr>
        <w:t>הכרעה</w:t>
      </w:r>
      <w:r w:rsidRPr="00B2205A">
        <w:rPr>
          <w:rtl/>
        </w:rPr>
        <w:t xml:space="preserve"> </w:t>
      </w:r>
      <w:r w:rsidRPr="00B2205A">
        <w:rPr>
          <w:rFonts w:hint="eastAsia"/>
          <w:rtl/>
        </w:rPr>
        <w:t>בדנן</w:t>
      </w:r>
      <w:r w:rsidRPr="00B2205A">
        <w:rPr>
          <w:rtl/>
        </w:rPr>
        <w:t xml:space="preserve"> </w:t>
      </w:r>
      <w:r w:rsidRPr="00B2205A">
        <w:rPr>
          <w:rFonts w:hint="eastAsia"/>
          <w:rtl/>
        </w:rPr>
        <w:t>נוגעות</w:t>
      </w:r>
      <w:r w:rsidRPr="00B2205A">
        <w:rPr>
          <w:rtl/>
        </w:rPr>
        <w:t xml:space="preserve"> </w:t>
      </w:r>
      <w:r w:rsidRPr="00B2205A">
        <w:rPr>
          <w:rFonts w:hint="eastAsia"/>
          <w:rtl/>
        </w:rPr>
        <w:t>לגבולות</w:t>
      </w:r>
      <w:r w:rsidRPr="00B2205A">
        <w:rPr>
          <w:rtl/>
        </w:rPr>
        <w:t xml:space="preserve"> </w:t>
      </w:r>
      <w:r w:rsidRPr="00B2205A">
        <w:rPr>
          <w:rFonts w:hint="eastAsia"/>
          <w:rtl/>
        </w:rPr>
        <w:t>סמכותה</w:t>
      </w:r>
      <w:r w:rsidRPr="00B2205A">
        <w:rPr>
          <w:rtl/>
        </w:rPr>
        <w:t xml:space="preserve"> </w:t>
      </w:r>
      <w:r w:rsidRPr="00B2205A">
        <w:rPr>
          <w:rFonts w:hint="eastAsia"/>
          <w:rtl/>
        </w:rPr>
        <w:t>של</w:t>
      </w:r>
      <w:r w:rsidRPr="00B2205A">
        <w:rPr>
          <w:rtl/>
        </w:rPr>
        <w:t xml:space="preserve"> </w:t>
      </w:r>
      <w:r w:rsidRPr="00B2205A">
        <w:rPr>
          <w:rFonts w:hint="eastAsia"/>
          <w:rtl/>
        </w:rPr>
        <w:t>הכנסת</w:t>
      </w:r>
      <w:r w:rsidRPr="00B2205A">
        <w:rPr>
          <w:rtl/>
        </w:rPr>
        <w:t xml:space="preserve"> </w:t>
      </w:r>
      <w:r>
        <w:rPr>
          <w:rFonts w:hint="cs"/>
          <w:rtl/>
        </w:rPr>
        <w:t>בכ</w:t>
      </w:r>
      <w:r w:rsidRPr="00B2205A">
        <w:rPr>
          <w:rFonts w:hint="eastAsia"/>
          <w:rtl/>
        </w:rPr>
        <w:t>ובעה</w:t>
      </w:r>
      <w:r w:rsidRPr="00B2205A">
        <w:rPr>
          <w:rtl/>
        </w:rPr>
        <w:t xml:space="preserve"> </w:t>
      </w:r>
      <w:r w:rsidRPr="00B2205A">
        <w:rPr>
          <w:rFonts w:hint="eastAsia"/>
          <w:rtl/>
        </w:rPr>
        <w:t>כרשות</w:t>
      </w:r>
      <w:r w:rsidRPr="00B2205A">
        <w:rPr>
          <w:rtl/>
        </w:rPr>
        <w:t xml:space="preserve"> </w:t>
      </w:r>
      <w:r w:rsidRPr="00B2205A">
        <w:rPr>
          <w:rFonts w:hint="eastAsia"/>
          <w:rtl/>
        </w:rPr>
        <w:t>המכוננת</w:t>
      </w:r>
      <w:r w:rsidRPr="00B2205A">
        <w:rPr>
          <w:rtl/>
        </w:rPr>
        <w:t xml:space="preserve">, </w:t>
      </w:r>
      <w:r w:rsidRPr="00B2205A">
        <w:rPr>
          <w:rFonts w:hint="eastAsia"/>
          <w:rtl/>
        </w:rPr>
        <w:t>ולשאלה</w:t>
      </w:r>
      <w:r w:rsidRPr="00B2205A">
        <w:rPr>
          <w:rtl/>
        </w:rPr>
        <w:t xml:space="preserve"> </w:t>
      </w:r>
      <w:r w:rsidRPr="00B2205A">
        <w:rPr>
          <w:rFonts w:hint="eastAsia"/>
          <w:rtl/>
        </w:rPr>
        <w:t>האם</w:t>
      </w:r>
      <w:r w:rsidRPr="00B2205A">
        <w:rPr>
          <w:rtl/>
        </w:rPr>
        <w:t xml:space="preserve"> </w:t>
      </w:r>
      <w:r w:rsidRPr="00B2205A">
        <w:rPr>
          <w:rFonts w:hint="eastAsia"/>
          <w:rtl/>
        </w:rPr>
        <w:t>בעת</w:t>
      </w:r>
      <w:r w:rsidRPr="00B2205A">
        <w:rPr>
          <w:rtl/>
        </w:rPr>
        <w:t xml:space="preserve"> </w:t>
      </w:r>
      <w:r w:rsidRPr="00B2205A">
        <w:rPr>
          <w:rFonts w:hint="eastAsia"/>
          <w:rtl/>
        </w:rPr>
        <w:t>שכוננה</w:t>
      </w:r>
      <w:r w:rsidRPr="00B2205A">
        <w:rPr>
          <w:rtl/>
        </w:rPr>
        <w:t xml:space="preserve"> </w:t>
      </w:r>
      <w:r w:rsidRPr="00B2205A">
        <w:rPr>
          <w:rFonts w:hint="eastAsia"/>
          <w:rtl/>
        </w:rPr>
        <w:t>את</w:t>
      </w:r>
      <w:r w:rsidRPr="00B2205A">
        <w:rPr>
          <w:rtl/>
        </w:rPr>
        <w:t xml:space="preserve"> </w:t>
      </w:r>
      <w:r w:rsidRPr="00B2205A">
        <w:rPr>
          <w:rFonts w:hint="eastAsia"/>
          <w:rtl/>
        </w:rPr>
        <w:t>התיקון</w:t>
      </w:r>
      <w:r w:rsidRPr="00B2205A">
        <w:rPr>
          <w:rtl/>
        </w:rPr>
        <w:t xml:space="preserve">, </w:t>
      </w:r>
      <w:r w:rsidRPr="00B2205A">
        <w:rPr>
          <w:rFonts w:hint="eastAsia"/>
          <w:rtl/>
        </w:rPr>
        <w:t>חרגה</w:t>
      </w:r>
      <w:r w:rsidRPr="00B2205A">
        <w:rPr>
          <w:rtl/>
        </w:rPr>
        <w:t xml:space="preserve"> </w:t>
      </w:r>
      <w:r w:rsidRPr="00B2205A">
        <w:rPr>
          <w:rFonts w:hint="eastAsia"/>
          <w:rtl/>
        </w:rPr>
        <w:t>הכנסת</w:t>
      </w:r>
      <w:r w:rsidRPr="00B2205A">
        <w:rPr>
          <w:rtl/>
        </w:rPr>
        <w:t xml:space="preserve"> </w:t>
      </w:r>
      <w:r>
        <w:rPr>
          <w:rFonts w:hint="eastAsia"/>
          <w:rtl/>
        </w:rPr>
        <w:t>מה</w:t>
      </w:r>
      <w:r w:rsidRPr="00B2205A">
        <w:rPr>
          <w:rFonts w:hint="eastAsia"/>
          <w:rtl/>
        </w:rPr>
        <w:t>ס</w:t>
      </w:r>
      <w:r>
        <w:rPr>
          <w:rFonts w:hint="cs"/>
          <w:rtl/>
        </w:rPr>
        <w:t>מ</w:t>
      </w:r>
      <w:r w:rsidRPr="00B2205A">
        <w:rPr>
          <w:rFonts w:hint="eastAsia"/>
          <w:rtl/>
        </w:rPr>
        <w:t>כות</w:t>
      </w:r>
      <w:r w:rsidRPr="00B2205A">
        <w:rPr>
          <w:rtl/>
        </w:rPr>
        <w:t xml:space="preserve"> </w:t>
      </w:r>
      <w:r w:rsidRPr="00B2205A">
        <w:rPr>
          <w:rFonts w:hint="eastAsia"/>
          <w:rtl/>
        </w:rPr>
        <w:t>המוקנית</w:t>
      </w:r>
      <w:r w:rsidRPr="00B2205A">
        <w:rPr>
          <w:rtl/>
        </w:rPr>
        <w:t xml:space="preserve"> </w:t>
      </w:r>
      <w:r w:rsidRPr="00B2205A">
        <w:rPr>
          <w:rFonts w:hint="eastAsia"/>
          <w:rtl/>
        </w:rPr>
        <w:t>לה</w:t>
      </w:r>
      <w:r w:rsidRPr="00B2205A">
        <w:rPr>
          <w:rtl/>
        </w:rPr>
        <w:t xml:space="preserve">. </w:t>
      </w:r>
      <w:r w:rsidRPr="00B2205A">
        <w:rPr>
          <w:rFonts w:hint="eastAsia"/>
          <w:rtl/>
        </w:rPr>
        <w:t>כידוע</w:t>
      </w:r>
      <w:r w:rsidRPr="00B2205A">
        <w:rPr>
          <w:rtl/>
        </w:rPr>
        <w:t xml:space="preserve">, </w:t>
      </w:r>
      <w:r w:rsidRPr="00B2205A">
        <w:rPr>
          <w:rFonts w:hint="eastAsia"/>
          <w:rtl/>
        </w:rPr>
        <w:t>להבדיל</w:t>
      </w:r>
      <w:r w:rsidRPr="00B2205A">
        <w:rPr>
          <w:rtl/>
        </w:rPr>
        <w:t xml:space="preserve"> </w:t>
      </w:r>
      <w:r w:rsidRPr="00B2205A">
        <w:rPr>
          <w:rFonts w:hint="eastAsia"/>
          <w:rtl/>
        </w:rPr>
        <w:t>משאלות</w:t>
      </w:r>
      <w:r w:rsidRPr="00B2205A">
        <w:rPr>
          <w:rtl/>
        </w:rPr>
        <w:t xml:space="preserve"> </w:t>
      </w:r>
      <w:r w:rsidRPr="00B2205A">
        <w:rPr>
          <w:rFonts w:hint="eastAsia"/>
          <w:rtl/>
        </w:rPr>
        <w:t>הנוגעות</w:t>
      </w:r>
      <w:r w:rsidRPr="00B2205A">
        <w:rPr>
          <w:rtl/>
        </w:rPr>
        <w:t xml:space="preserve"> </w:t>
      </w:r>
      <w:r w:rsidRPr="00B2205A">
        <w:rPr>
          <w:rFonts w:hint="eastAsia"/>
          <w:rtl/>
        </w:rPr>
        <w:t>לבחינת</w:t>
      </w:r>
      <w:r w:rsidRPr="00B2205A">
        <w:rPr>
          <w:rtl/>
        </w:rPr>
        <w:t xml:space="preserve"> </w:t>
      </w:r>
      <w:r w:rsidRPr="00B2205A">
        <w:rPr>
          <w:rFonts w:hint="eastAsia"/>
          <w:rtl/>
        </w:rPr>
        <w:t>המדיניות</w:t>
      </w:r>
      <w:r w:rsidRPr="00B2205A">
        <w:rPr>
          <w:rtl/>
        </w:rPr>
        <w:t xml:space="preserve"> </w:t>
      </w:r>
      <w:r w:rsidRPr="00B2205A">
        <w:rPr>
          <w:rFonts w:hint="eastAsia"/>
          <w:rtl/>
        </w:rPr>
        <w:t>שבה</w:t>
      </w:r>
      <w:r w:rsidRPr="00B2205A">
        <w:rPr>
          <w:rtl/>
        </w:rPr>
        <w:t xml:space="preserve"> </w:t>
      </w:r>
      <w:r w:rsidRPr="00B2205A">
        <w:rPr>
          <w:rFonts w:hint="eastAsia"/>
          <w:rtl/>
        </w:rPr>
        <w:t>נקטה</w:t>
      </w:r>
      <w:r w:rsidRPr="00B2205A">
        <w:rPr>
          <w:rtl/>
        </w:rPr>
        <w:t xml:space="preserve"> </w:t>
      </w:r>
      <w:r w:rsidRPr="00B2205A">
        <w:rPr>
          <w:rFonts w:hint="eastAsia"/>
          <w:rtl/>
        </w:rPr>
        <w:t>רשות</w:t>
      </w:r>
      <w:r w:rsidRPr="00B2205A">
        <w:rPr>
          <w:rtl/>
        </w:rPr>
        <w:t xml:space="preserve"> </w:t>
      </w:r>
      <w:r w:rsidRPr="00B2205A">
        <w:rPr>
          <w:rFonts w:hint="eastAsia"/>
          <w:rtl/>
        </w:rPr>
        <w:t>פוליטית</w:t>
      </w:r>
      <w:r>
        <w:rPr>
          <w:rtl/>
        </w:rPr>
        <w:t xml:space="preserve">, </w:t>
      </w:r>
      <w:r w:rsidRPr="00B2205A">
        <w:rPr>
          <w:rFonts w:hint="eastAsia"/>
          <w:rtl/>
        </w:rPr>
        <w:t>ההכרעה</w:t>
      </w:r>
      <w:r w:rsidRPr="00B2205A">
        <w:rPr>
          <w:rtl/>
        </w:rPr>
        <w:t xml:space="preserve"> </w:t>
      </w:r>
      <w:r w:rsidRPr="00B2205A">
        <w:rPr>
          <w:rFonts w:hint="eastAsia"/>
          <w:rtl/>
        </w:rPr>
        <w:t>בשאלה</w:t>
      </w:r>
      <w:r w:rsidRPr="00B2205A">
        <w:rPr>
          <w:rtl/>
        </w:rPr>
        <w:t xml:space="preserve"> "</w:t>
      </w:r>
      <w:r w:rsidRPr="00B2205A">
        <w:rPr>
          <w:rFonts w:ascii="Century" w:hAnsi="Century" w:cs="Miriam" w:hint="eastAsia"/>
          <w:b/>
          <w:spacing w:val="0"/>
          <w:szCs w:val="24"/>
          <w:rtl/>
        </w:rPr>
        <w:t>מהי</w:t>
      </w:r>
      <w:r w:rsidRPr="00B2205A">
        <w:rPr>
          <w:rFonts w:ascii="Century" w:hAnsi="Century" w:cs="Miriam"/>
          <w:b/>
          <w:spacing w:val="0"/>
          <w:szCs w:val="24"/>
          <w:rtl/>
        </w:rPr>
        <w:t xml:space="preserve"> </w:t>
      </w:r>
      <w:r w:rsidRPr="00B2205A">
        <w:rPr>
          <w:rFonts w:ascii="Century" w:hAnsi="Century" w:cs="Miriam" w:hint="eastAsia"/>
          <w:b/>
          <w:spacing w:val="0"/>
          <w:szCs w:val="24"/>
          <w:rtl/>
        </w:rPr>
        <w:t>סמכותה</w:t>
      </w:r>
      <w:r w:rsidRPr="00B2205A">
        <w:rPr>
          <w:rFonts w:ascii="Century" w:hAnsi="Century" w:cs="Miriam"/>
          <w:b/>
          <w:spacing w:val="0"/>
          <w:szCs w:val="24"/>
          <w:rtl/>
        </w:rPr>
        <w:t xml:space="preserve"> </w:t>
      </w:r>
      <w:r w:rsidRPr="00B2205A">
        <w:rPr>
          <w:rFonts w:ascii="Century" w:hAnsi="Century" w:cs="Miriam" w:hint="eastAsia"/>
          <w:b/>
          <w:spacing w:val="0"/>
          <w:szCs w:val="24"/>
          <w:rtl/>
        </w:rPr>
        <w:t>של</w:t>
      </w:r>
      <w:r w:rsidRPr="00B2205A">
        <w:rPr>
          <w:rFonts w:ascii="Century" w:hAnsi="Century" w:cs="Miriam"/>
          <w:b/>
          <w:spacing w:val="0"/>
          <w:szCs w:val="24"/>
          <w:rtl/>
        </w:rPr>
        <w:t xml:space="preserve"> </w:t>
      </w:r>
      <w:r w:rsidRPr="00B2205A">
        <w:rPr>
          <w:rFonts w:ascii="Century" w:hAnsi="Century" w:cs="Miriam" w:hint="eastAsia"/>
          <w:b/>
          <w:spacing w:val="0"/>
          <w:szCs w:val="24"/>
          <w:rtl/>
        </w:rPr>
        <w:t>הרשות</w:t>
      </w:r>
      <w:r w:rsidRPr="00B2205A">
        <w:rPr>
          <w:rFonts w:ascii="Century" w:hAnsi="Century" w:cs="Miriam"/>
          <w:b/>
          <w:spacing w:val="0"/>
          <w:szCs w:val="24"/>
          <w:rtl/>
        </w:rPr>
        <w:t xml:space="preserve"> </w:t>
      </w:r>
      <w:r w:rsidRPr="00B2205A">
        <w:rPr>
          <w:rFonts w:ascii="Century" w:hAnsi="Century" w:cs="Miriam" w:hint="eastAsia"/>
          <w:b/>
          <w:spacing w:val="0"/>
          <w:szCs w:val="24"/>
          <w:rtl/>
        </w:rPr>
        <w:t>הפוליטית</w:t>
      </w:r>
      <w:r w:rsidRPr="00B2205A">
        <w:rPr>
          <w:rFonts w:ascii="Century" w:hAnsi="Century" w:cs="Miriam"/>
          <w:b/>
          <w:spacing w:val="0"/>
          <w:szCs w:val="24"/>
          <w:rtl/>
        </w:rPr>
        <w:t xml:space="preserve"> </w:t>
      </w:r>
      <w:r w:rsidRPr="00B2205A">
        <w:rPr>
          <w:rFonts w:ascii="Century" w:hAnsi="Century" w:cs="Miriam" w:hint="eastAsia"/>
          <w:b/>
          <w:spacing w:val="0"/>
          <w:szCs w:val="24"/>
          <w:rtl/>
        </w:rPr>
        <w:t>והאם</w:t>
      </w:r>
      <w:r w:rsidRPr="00B2205A">
        <w:rPr>
          <w:rFonts w:ascii="Century" w:hAnsi="Century" w:cs="Miriam"/>
          <w:b/>
          <w:spacing w:val="0"/>
          <w:szCs w:val="24"/>
          <w:rtl/>
        </w:rPr>
        <w:t xml:space="preserve"> </w:t>
      </w:r>
      <w:r w:rsidRPr="00B2205A">
        <w:rPr>
          <w:rFonts w:ascii="Century" w:hAnsi="Century" w:cs="Miriam" w:hint="eastAsia"/>
          <w:b/>
          <w:spacing w:val="0"/>
          <w:szCs w:val="24"/>
          <w:rtl/>
        </w:rPr>
        <w:t>סמכותה</w:t>
      </w:r>
      <w:r w:rsidRPr="00B2205A">
        <w:rPr>
          <w:rFonts w:ascii="Century" w:hAnsi="Century" w:cs="Miriam"/>
          <w:b/>
          <w:spacing w:val="0"/>
          <w:szCs w:val="24"/>
          <w:rtl/>
        </w:rPr>
        <w:t xml:space="preserve"> </w:t>
      </w:r>
      <w:r w:rsidRPr="00B2205A">
        <w:rPr>
          <w:rFonts w:ascii="Century" w:hAnsi="Century" w:cs="Miriam" w:hint="eastAsia"/>
          <w:b/>
          <w:spacing w:val="0"/>
          <w:szCs w:val="24"/>
          <w:rtl/>
        </w:rPr>
        <w:t>הופעלה</w:t>
      </w:r>
      <w:r w:rsidRPr="00B2205A">
        <w:rPr>
          <w:rFonts w:ascii="Century" w:hAnsi="Century" w:cs="Miriam"/>
          <w:b/>
          <w:spacing w:val="0"/>
          <w:szCs w:val="24"/>
          <w:rtl/>
        </w:rPr>
        <w:t xml:space="preserve"> </w:t>
      </w:r>
      <w:r w:rsidRPr="00B2205A">
        <w:rPr>
          <w:rFonts w:ascii="Century" w:hAnsi="Century" w:cs="Miriam" w:hint="eastAsia"/>
          <w:b/>
          <w:spacing w:val="0"/>
          <w:szCs w:val="24"/>
          <w:rtl/>
        </w:rPr>
        <w:t>כדין</w:t>
      </w:r>
      <w:r w:rsidRPr="00B2205A">
        <w:rPr>
          <w:rFonts w:ascii="Century" w:hAnsi="Century" w:cs="Miriam"/>
          <w:b/>
          <w:spacing w:val="0"/>
          <w:szCs w:val="24"/>
          <w:rtl/>
        </w:rPr>
        <w:t xml:space="preserve">, [...] </w:t>
      </w:r>
      <w:r w:rsidRPr="00B2205A">
        <w:rPr>
          <w:rFonts w:ascii="Century" w:hAnsi="Century" w:cs="Miriam" w:hint="eastAsia"/>
          <w:b/>
          <w:spacing w:val="0"/>
          <w:szCs w:val="24"/>
          <w:rtl/>
        </w:rPr>
        <w:t>מסורה</w:t>
      </w:r>
      <w:r w:rsidRPr="00B2205A">
        <w:rPr>
          <w:rFonts w:ascii="Century" w:hAnsi="Century" w:cs="Miriam"/>
          <w:b/>
          <w:spacing w:val="0"/>
          <w:szCs w:val="24"/>
          <w:rtl/>
        </w:rPr>
        <w:t xml:space="preserve">, </w:t>
      </w:r>
      <w:r w:rsidRPr="00B2205A">
        <w:rPr>
          <w:rFonts w:ascii="Century" w:hAnsi="Century" w:cs="Miriam" w:hint="eastAsia"/>
          <w:b/>
          <w:spacing w:val="0"/>
          <w:szCs w:val="24"/>
          <w:rtl/>
        </w:rPr>
        <w:t>בדרך</w:t>
      </w:r>
      <w:r w:rsidRPr="00B2205A">
        <w:rPr>
          <w:rFonts w:ascii="Century" w:hAnsi="Century" w:cs="Miriam"/>
          <w:b/>
          <w:spacing w:val="0"/>
          <w:szCs w:val="24"/>
          <w:rtl/>
        </w:rPr>
        <w:t xml:space="preserve"> </w:t>
      </w:r>
      <w:r w:rsidRPr="00B2205A">
        <w:rPr>
          <w:rFonts w:ascii="Century" w:hAnsi="Century" w:cs="Miriam" w:hint="eastAsia"/>
          <w:b/>
          <w:spacing w:val="0"/>
          <w:szCs w:val="24"/>
          <w:rtl/>
        </w:rPr>
        <w:t>כלל</w:t>
      </w:r>
      <w:r w:rsidRPr="00B2205A">
        <w:rPr>
          <w:rFonts w:ascii="Century" w:hAnsi="Century" w:cs="Miriam"/>
          <w:b/>
          <w:spacing w:val="0"/>
          <w:szCs w:val="24"/>
          <w:rtl/>
        </w:rPr>
        <w:t xml:space="preserve">, </w:t>
      </w:r>
      <w:r w:rsidRPr="00B2205A">
        <w:rPr>
          <w:rFonts w:ascii="Century" w:hAnsi="Century" w:cs="Miriam" w:hint="eastAsia"/>
          <w:b/>
          <w:spacing w:val="0"/>
          <w:szCs w:val="24"/>
          <w:rtl/>
        </w:rPr>
        <w:t>לבית</w:t>
      </w:r>
      <w:r w:rsidRPr="00B2205A">
        <w:rPr>
          <w:rFonts w:ascii="Century" w:hAnsi="Century" w:cs="Miriam"/>
          <w:b/>
          <w:spacing w:val="0"/>
          <w:szCs w:val="24"/>
          <w:rtl/>
        </w:rPr>
        <w:t xml:space="preserve"> </w:t>
      </w:r>
      <w:r w:rsidRPr="00B2205A">
        <w:rPr>
          <w:rFonts w:ascii="Century" w:hAnsi="Century" w:cs="Miriam" w:hint="eastAsia"/>
          <w:b/>
          <w:spacing w:val="0"/>
          <w:szCs w:val="24"/>
          <w:rtl/>
        </w:rPr>
        <w:t>המשפט</w:t>
      </w:r>
      <w:r w:rsidRPr="00B2205A">
        <w:rPr>
          <w:rFonts w:ascii="Century" w:hAnsi="Century" w:cs="Miriam"/>
          <w:b/>
          <w:spacing w:val="0"/>
          <w:szCs w:val="24"/>
          <w:rtl/>
        </w:rPr>
        <w:t xml:space="preserve">, </w:t>
      </w:r>
      <w:r w:rsidRPr="00B2205A">
        <w:rPr>
          <w:rFonts w:ascii="Century" w:hAnsi="Century" w:cs="Miriam" w:hint="eastAsia"/>
          <w:b/>
          <w:spacing w:val="0"/>
          <w:szCs w:val="24"/>
          <w:rtl/>
        </w:rPr>
        <w:t>במסגרת</w:t>
      </w:r>
      <w:r w:rsidRPr="00B2205A">
        <w:rPr>
          <w:rFonts w:ascii="Century" w:hAnsi="Century" w:cs="Miriam"/>
          <w:b/>
          <w:spacing w:val="0"/>
          <w:szCs w:val="24"/>
          <w:rtl/>
        </w:rPr>
        <w:t xml:space="preserve"> </w:t>
      </w:r>
      <w:r w:rsidRPr="00B2205A">
        <w:rPr>
          <w:rFonts w:ascii="Century" w:hAnsi="Century" w:cs="Miriam" w:hint="eastAsia"/>
          <w:b/>
          <w:spacing w:val="0"/>
          <w:szCs w:val="24"/>
          <w:rtl/>
        </w:rPr>
        <w:t>סמכותו</w:t>
      </w:r>
      <w:r w:rsidRPr="00B2205A">
        <w:rPr>
          <w:rFonts w:ascii="Century" w:hAnsi="Century" w:cs="Miriam"/>
          <w:b/>
          <w:spacing w:val="0"/>
          <w:szCs w:val="24"/>
          <w:rtl/>
        </w:rPr>
        <w:t xml:space="preserve"> </w:t>
      </w:r>
      <w:r w:rsidRPr="00B2205A">
        <w:rPr>
          <w:rFonts w:ascii="Century" w:hAnsi="Century" w:cs="Miriam" w:hint="eastAsia"/>
          <w:b/>
          <w:spacing w:val="0"/>
          <w:szCs w:val="24"/>
          <w:rtl/>
        </w:rPr>
        <w:t>וחובתו</w:t>
      </w:r>
      <w:r w:rsidRPr="00B2205A">
        <w:rPr>
          <w:rFonts w:ascii="Century" w:hAnsi="Century" w:cs="Miriam"/>
          <w:b/>
          <w:spacing w:val="0"/>
          <w:szCs w:val="24"/>
          <w:rtl/>
        </w:rPr>
        <w:t xml:space="preserve"> </w:t>
      </w:r>
      <w:r w:rsidRPr="00B2205A">
        <w:rPr>
          <w:rFonts w:ascii="Century" w:hAnsi="Century" w:cs="Miriam" w:hint="eastAsia"/>
          <w:b/>
          <w:spacing w:val="0"/>
          <w:szCs w:val="24"/>
          <w:rtl/>
        </w:rPr>
        <w:t>לקבוע</w:t>
      </w:r>
      <w:r w:rsidRPr="00B2205A">
        <w:rPr>
          <w:rFonts w:ascii="Century" w:hAnsi="Century" w:cs="Miriam"/>
          <w:b/>
          <w:spacing w:val="0"/>
          <w:szCs w:val="24"/>
          <w:rtl/>
        </w:rPr>
        <w:t xml:space="preserve"> </w:t>
      </w:r>
      <w:r w:rsidRPr="00B2205A">
        <w:rPr>
          <w:rFonts w:ascii="Century" w:hAnsi="Century" w:cs="Miriam" w:hint="eastAsia"/>
          <w:b/>
          <w:spacing w:val="0"/>
          <w:szCs w:val="24"/>
          <w:rtl/>
        </w:rPr>
        <w:t>מהו</w:t>
      </w:r>
      <w:r w:rsidRPr="00B2205A">
        <w:rPr>
          <w:rFonts w:ascii="Century" w:hAnsi="Century" w:cs="Miriam"/>
          <w:b/>
          <w:spacing w:val="0"/>
          <w:szCs w:val="24"/>
          <w:rtl/>
        </w:rPr>
        <w:t xml:space="preserve"> </w:t>
      </w:r>
      <w:r w:rsidRPr="00B2205A">
        <w:rPr>
          <w:rFonts w:ascii="Century" w:hAnsi="Century" w:cs="Miriam" w:hint="eastAsia"/>
          <w:b/>
          <w:spacing w:val="0"/>
          <w:szCs w:val="24"/>
          <w:rtl/>
        </w:rPr>
        <w:t>החוק</w:t>
      </w:r>
      <w:r w:rsidRPr="00B2205A">
        <w:rPr>
          <w:rtl/>
        </w:rPr>
        <w:t>" (</w:t>
      </w:r>
      <w:r w:rsidRPr="00B2205A">
        <w:rPr>
          <w:rFonts w:hint="eastAsia"/>
          <w:rtl/>
        </w:rPr>
        <w:t>בג</w:t>
      </w:r>
      <w:r w:rsidRPr="00B2205A">
        <w:rPr>
          <w:rtl/>
        </w:rPr>
        <w:t>"</w:t>
      </w:r>
      <w:r w:rsidRPr="00B2205A">
        <w:rPr>
          <w:rFonts w:hint="eastAsia"/>
          <w:rtl/>
        </w:rPr>
        <w:t>ץ</w:t>
      </w:r>
      <w:r w:rsidRPr="00B2205A">
        <w:rPr>
          <w:rtl/>
        </w:rPr>
        <w:t xml:space="preserve"> 910/86 </w:t>
      </w:r>
      <w:r w:rsidRPr="00B2205A">
        <w:rPr>
          <w:rFonts w:ascii="Century" w:hAnsi="Century" w:cs="Miriam" w:hint="eastAsia"/>
          <w:b/>
          <w:spacing w:val="0"/>
          <w:szCs w:val="24"/>
          <w:rtl/>
        </w:rPr>
        <w:t>רסלר</w:t>
      </w:r>
      <w:r w:rsidRPr="00B2205A">
        <w:rPr>
          <w:rFonts w:ascii="Century" w:hAnsi="Century" w:cs="Miriam"/>
          <w:b/>
          <w:spacing w:val="0"/>
          <w:szCs w:val="24"/>
          <w:rtl/>
        </w:rPr>
        <w:t xml:space="preserve"> </w:t>
      </w:r>
      <w:r w:rsidRPr="00B2205A">
        <w:rPr>
          <w:rFonts w:ascii="Century" w:hAnsi="Century" w:cs="Miriam" w:hint="eastAsia"/>
          <w:b/>
          <w:spacing w:val="0"/>
          <w:szCs w:val="24"/>
          <w:rtl/>
        </w:rPr>
        <w:t>נ</w:t>
      </w:r>
      <w:r w:rsidRPr="00B2205A">
        <w:rPr>
          <w:rFonts w:ascii="Century" w:hAnsi="Century" w:cs="Miriam"/>
          <w:b/>
          <w:spacing w:val="0"/>
          <w:szCs w:val="24"/>
          <w:rtl/>
        </w:rPr>
        <w:t xml:space="preserve">' </w:t>
      </w:r>
      <w:r w:rsidRPr="00B2205A">
        <w:rPr>
          <w:rFonts w:ascii="Century" w:hAnsi="Century" w:cs="Miriam" w:hint="eastAsia"/>
          <w:b/>
          <w:spacing w:val="0"/>
          <w:szCs w:val="24"/>
          <w:rtl/>
        </w:rPr>
        <w:t>שר</w:t>
      </w:r>
      <w:r w:rsidRPr="00B2205A">
        <w:rPr>
          <w:rFonts w:ascii="Century" w:hAnsi="Century" w:cs="Miriam"/>
          <w:b/>
          <w:spacing w:val="0"/>
          <w:szCs w:val="24"/>
          <w:rtl/>
        </w:rPr>
        <w:t xml:space="preserve"> </w:t>
      </w:r>
      <w:r w:rsidRPr="00B2205A">
        <w:rPr>
          <w:rFonts w:ascii="Century" w:hAnsi="Century" w:cs="Miriam" w:hint="eastAsia"/>
          <w:b/>
          <w:spacing w:val="0"/>
          <w:szCs w:val="24"/>
          <w:rtl/>
        </w:rPr>
        <w:t>הביטחון</w:t>
      </w:r>
      <w:r w:rsidRPr="00B2205A">
        <w:rPr>
          <w:rtl/>
        </w:rPr>
        <w:t xml:space="preserve">, </w:t>
      </w:r>
      <w:r w:rsidRPr="00B2205A">
        <w:rPr>
          <w:rFonts w:hint="eastAsia"/>
          <w:rtl/>
        </w:rPr>
        <w:t>פ</w:t>
      </w:r>
      <w:r w:rsidRPr="00B2205A">
        <w:rPr>
          <w:rtl/>
        </w:rPr>
        <w:t>"</w:t>
      </w:r>
      <w:r w:rsidRPr="00B2205A">
        <w:rPr>
          <w:rFonts w:hint="eastAsia"/>
          <w:rtl/>
        </w:rPr>
        <w:t>ד</w:t>
      </w:r>
      <w:r w:rsidRPr="00B2205A">
        <w:rPr>
          <w:rtl/>
        </w:rPr>
        <w:t xml:space="preserve"> </w:t>
      </w:r>
      <w:r w:rsidRPr="00B2205A">
        <w:rPr>
          <w:rFonts w:hint="eastAsia"/>
          <w:rtl/>
        </w:rPr>
        <w:t>מב</w:t>
      </w:r>
      <w:r>
        <w:rPr>
          <w:rtl/>
        </w:rPr>
        <w:t>(2) 441, 489 (1988</w:t>
      </w:r>
      <w:r>
        <w:rPr>
          <w:rFonts w:hint="cs"/>
          <w:rtl/>
        </w:rPr>
        <w:t>)).</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משכך, גם טענה זו הינה, לדעתי, חסרת בסיס.</w:t>
      </w:r>
    </w:p>
    <w:p w:rsidR="003D2318" w:rsidRPr="00273511" w:rsidRDefault="003D2318" w:rsidP="003D2318">
      <w:pPr>
        <w:pStyle w:val="Ruller41"/>
        <w:spacing w:line="240" w:lineRule="auto"/>
        <w:rPr>
          <w:rtl/>
        </w:rPr>
      </w:pPr>
    </w:p>
    <w:p w:rsidR="003D2318" w:rsidRDefault="003D2318" w:rsidP="00570AC5">
      <w:pPr>
        <w:pStyle w:val="Ruller4"/>
        <w:rPr>
          <w:rtl/>
        </w:rPr>
      </w:pPr>
      <w:r>
        <w:rPr>
          <w:rFonts w:hint="cs"/>
          <w:rtl/>
        </w:rPr>
        <w:t xml:space="preserve">נראה כי זוהי העת וגם ההקשר להתייחס לטענה מרכזית (שמא </w:t>
      </w:r>
      <w:r w:rsidRPr="00F96561">
        <w:rPr>
          <w:rFonts w:ascii="Century" w:hAnsi="Century" w:cs="Miriam" w:hint="cs"/>
          <w:b/>
          <w:spacing w:val="0"/>
          <w:sz w:val="22"/>
          <w:szCs w:val="24"/>
          <w:u w:val="single"/>
          <w:rtl/>
        </w:rPr>
        <w:t>ה</w:t>
      </w:r>
      <w:r>
        <w:rPr>
          <w:rFonts w:hint="cs"/>
          <w:rtl/>
        </w:rPr>
        <w:t>מרכזית), בטיעוני גורמי הממשלה.</w:t>
      </w:r>
    </w:p>
    <w:p w:rsidR="003D2318" w:rsidRPr="008D5CEA"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וכך נכתב בסעיף הפותח את הטיעון המשלים שהוגש לנו מטעם גורמי הממשלה:</w:t>
      </w:r>
    </w:p>
    <w:p w:rsidR="003D2318" w:rsidRDefault="003D2318" w:rsidP="003D2318">
      <w:pPr>
        <w:pStyle w:val="Ruller41"/>
        <w:spacing w:line="240" w:lineRule="auto"/>
        <w:rPr>
          <w:rtl/>
        </w:rPr>
      </w:pPr>
    </w:p>
    <w:p w:rsidR="003D2318" w:rsidRDefault="003D2318" w:rsidP="003D2318">
      <w:pPr>
        <w:pStyle w:val="Ruller5"/>
        <w:rPr>
          <w:rtl/>
        </w:rPr>
      </w:pPr>
      <w:r w:rsidRPr="00F96561">
        <w:rPr>
          <w:rFonts w:hint="cs"/>
          <w:rtl/>
        </w:rPr>
        <w:t xml:space="preserve">"בפתח הדברים ממשלת ישראל שבה ומבהירה: עניינן של עתירות אלו הוא בראש ובראשונה בשאלה האם יש גבולות לסמכויותיו של בית המשפט הנכבד. משמעותו של הסעד הדרמטי שמבקשים העותרים, סעד חסר הקבלה במדינות המערב המתוקנות, היא </w:t>
      </w:r>
      <w:r w:rsidRPr="00F96561">
        <w:rPr>
          <w:rFonts w:ascii="Century" w:hAnsi="Century" w:cs="Miriam" w:hint="cs"/>
          <w:b/>
          <w:spacing w:val="0"/>
          <w:szCs w:val="24"/>
          <w:rtl/>
        </w:rPr>
        <w:t>שבית המשפט ישים עצמו עליון על מקור סמכותו, וייטול לעצמו כתר מכונן-העל; למעשה את כתר הריבונות</w:t>
      </w:r>
      <w:r>
        <w:rPr>
          <w:rFonts w:hint="cs"/>
          <w:rtl/>
        </w:rPr>
        <w:t xml:space="preserve">" (ההדגשה הוספה </w:t>
      </w:r>
      <w:r>
        <w:rPr>
          <w:rtl/>
        </w:rPr>
        <w:t>–</w:t>
      </w:r>
      <w:r>
        <w:rPr>
          <w:rFonts w:hint="cs"/>
          <w:rtl/>
        </w:rPr>
        <w:t xml:space="preserve"> י' כ').</w:t>
      </w:r>
    </w:p>
    <w:p w:rsidR="003D2318" w:rsidRDefault="003D2318" w:rsidP="003D2318">
      <w:pPr>
        <w:pStyle w:val="Ruller41"/>
        <w:rPr>
          <w:rtl/>
        </w:rPr>
      </w:pPr>
    </w:p>
    <w:p w:rsidR="003D2318" w:rsidRDefault="003D2318" w:rsidP="003D2318">
      <w:pPr>
        <w:pStyle w:val="Ruller41"/>
        <w:rPr>
          <w:rtl/>
        </w:rPr>
      </w:pPr>
      <w:r>
        <w:rPr>
          <w:rtl/>
        </w:rPr>
        <w:tab/>
      </w:r>
      <w:r>
        <w:rPr>
          <w:rFonts w:hint="cs"/>
          <w:rtl/>
        </w:rPr>
        <w:t>טיעון דומה וחריף לא פחות, נטען עוד קודם לכן, בתגובת גורמי הממשלה לעתירה (פסקה 18):</w:t>
      </w:r>
    </w:p>
    <w:p w:rsidR="003D2318" w:rsidRDefault="003D2318" w:rsidP="003D2318">
      <w:pPr>
        <w:pStyle w:val="Ruller41"/>
        <w:spacing w:line="240" w:lineRule="auto"/>
        <w:rPr>
          <w:rtl/>
        </w:rPr>
      </w:pPr>
    </w:p>
    <w:p w:rsidR="003D2318" w:rsidRPr="00F96561" w:rsidRDefault="003D2318" w:rsidP="003D2318">
      <w:pPr>
        <w:pStyle w:val="Ruller5"/>
        <w:rPr>
          <w:rtl/>
        </w:rPr>
      </w:pPr>
      <w:r w:rsidRPr="00F96561">
        <w:rPr>
          <w:rFonts w:hint="cs"/>
          <w:rtl/>
        </w:rPr>
        <w:t xml:space="preserve">"העותרים מבקשים מבית המשפט הנכבד להפוך את מושכלות היסוד, להפוך את העקרונות שהוא עצמו חזר ושנה ושילש והתבסס עליהם, </w:t>
      </w:r>
      <w:r w:rsidRPr="00F96561">
        <w:rPr>
          <w:rFonts w:ascii="Century" w:hAnsi="Century" w:cs="Miriam" w:hint="cs"/>
          <w:b/>
          <w:spacing w:val="0"/>
          <w:szCs w:val="24"/>
          <w:rtl/>
        </w:rPr>
        <w:t>ולהכריז כי ריבונות-העל מסורה בידיו</w:t>
      </w:r>
      <w:r w:rsidRPr="005E5EDE">
        <w:rPr>
          <w:rFonts w:hint="cs"/>
          <w:rtl/>
        </w:rPr>
        <w:t>"</w:t>
      </w:r>
      <w:r>
        <w:rPr>
          <w:rFonts w:hint="cs"/>
          <w:rtl/>
        </w:rPr>
        <w:t xml:space="preserve"> (ההדגשה הוספה </w:t>
      </w:r>
      <w:r>
        <w:rPr>
          <w:rtl/>
        </w:rPr>
        <w:t>–</w:t>
      </w:r>
      <w:r>
        <w:rPr>
          <w:rFonts w:hint="cs"/>
          <w:rtl/>
        </w:rPr>
        <w:t xml:space="preserve"> י' כ').</w:t>
      </w:r>
    </w:p>
    <w:p w:rsidR="003D2318" w:rsidRDefault="003D2318" w:rsidP="003D2318">
      <w:pPr>
        <w:pStyle w:val="Ruller41"/>
        <w:rPr>
          <w:b/>
          <w:bCs/>
          <w:rtl/>
        </w:rPr>
      </w:pPr>
    </w:p>
    <w:p w:rsidR="003D2318" w:rsidRDefault="003D2318" w:rsidP="003D2318">
      <w:pPr>
        <w:pStyle w:val="Ruller41"/>
        <w:rPr>
          <w:rtl/>
        </w:rPr>
      </w:pPr>
      <w:r>
        <w:rPr>
          <w:rtl/>
        </w:rPr>
        <w:tab/>
      </w:r>
      <w:r w:rsidRPr="005B44CF">
        <w:rPr>
          <w:rFonts w:hint="cs"/>
          <w:rtl/>
        </w:rPr>
        <w:t>וכך זכינו לשמוע גם ב</w:t>
      </w:r>
      <w:r>
        <w:rPr>
          <w:rFonts w:hint="cs"/>
          <w:rtl/>
        </w:rPr>
        <w:t>נאומו</w:t>
      </w:r>
      <w:r w:rsidRPr="005B44CF">
        <w:rPr>
          <w:rFonts w:hint="cs"/>
          <w:rtl/>
        </w:rPr>
        <w:t xml:space="preserve"> של יו"ר ועדת החוקה, חוק ומשפט של הכנסת, חה"כ </w:t>
      </w:r>
      <w:r>
        <w:rPr>
          <w:rFonts w:hint="cs"/>
          <w:rtl/>
        </w:rPr>
        <w:t xml:space="preserve">שמחה </w:t>
      </w:r>
      <w:r w:rsidRPr="005B44CF">
        <w:rPr>
          <w:rFonts w:hint="cs"/>
          <w:rtl/>
        </w:rPr>
        <w:t>רוטמן, בפנינו, את הטענה לפיה מה שעומד על הפרק הוא</w:t>
      </w:r>
      <w:r w:rsidRPr="00F96561">
        <w:rPr>
          <w:rFonts w:hint="cs"/>
          <w:rtl/>
        </w:rPr>
        <w:t>:</w:t>
      </w:r>
      <w:r>
        <w:rPr>
          <w:rFonts w:hint="cs"/>
          <w:b/>
          <w:bCs/>
          <w:rtl/>
        </w:rPr>
        <w:t xml:space="preserve"> </w:t>
      </w:r>
      <w:r w:rsidRPr="00F96561">
        <w:rPr>
          <w:rFonts w:hint="cs"/>
          <w:rtl/>
        </w:rPr>
        <w:t>"</w:t>
      </w:r>
      <w:r w:rsidRPr="00F96561">
        <w:rPr>
          <w:rFonts w:ascii="Century" w:eastAsia="Calibri" w:hAnsi="Century" w:cs="Miriam" w:hint="cs"/>
          <w:b/>
          <w:spacing w:val="0"/>
          <w:szCs w:val="24"/>
          <w:rtl/>
        </w:rPr>
        <w:t>השלטת משטר אוליגרכי של קבוצת אנשים</w:t>
      </w:r>
      <w:r>
        <w:rPr>
          <w:rFonts w:ascii="Century" w:eastAsia="Calibri" w:hAnsi="Century" w:cs="Miriam" w:hint="cs"/>
          <w:b/>
          <w:spacing w:val="0"/>
          <w:szCs w:val="24"/>
          <w:rtl/>
        </w:rPr>
        <w:t>,</w:t>
      </w:r>
      <w:r w:rsidRPr="00F96561">
        <w:rPr>
          <w:rFonts w:ascii="Century" w:eastAsia="Calibri" w:hAnsi="Century" w:cs="Miriam" w:hint="cs"/>
          <w:b/>
          <w:spacing w:val="0"/>
          <w:szCs w:val="24"/>
          <w:rtl/>
        </w:rPr>
        <w:t xml:space="preserve"> </w:t>
      </w:r>
      <w:r>
        <w:rPr>
          <w:rFonts w:ascii="Century" w:eastAsia="Calibri" w:hAnsi="Century" w:cs="Miriam" w:hint="cs"/>
          <w:b/>
          <w:spacing w:val="0"/>
          <w:szCs w:val="24"/>
          <w:rtl/>
        </w:rPr>
        <w:t>ו</w:t>
      </w:r>
      <w:r w:rsidRPr="00F96561">
        <w:rPr>
          <w:rFonts w:ascii="Century" w:eastAsia="Calibri" w:hAnsi="Century" w:cs="Miriam" w:hint="cs"/>
          <w:b/>
          <w:spacing w:val="0"/>
          <w:szCs w:val="24"/>
          <w:rtl/>
        </w:rPr>
        <w:t xml:space="preserve">יהיו חכמים </w:t>
      </w:r>
      <w:r>
        <w:rPr>
          <w:rFonts w:ascii="Century" w:eastAsia="Calibri" w:hAnsi="Century" w:cs="Miriam" w:hint="cs"/>
          <w:b/>
          <w:spacing w:val="0"/>
          <w:szCs w:val="24"/>
          <w:rtl/>
        </w:rPr>
        <w:t>ו</w:t>
      </w:r>
      <w:r w:rsidRPr="00F96561">
        <w:rPr>
          <w:rFonts w:ascii="Century" w:eastAsia="Calibri" w:hAnsi="Century" w:cs="Miriam" w:hint="cs"/>
          <w:b/>
          <w:spacing w:val="0"/>
          <w:szCs w:val="24"/>
          <w:rtl/>
        </w:rPr>
        <w:t>נבונים וישרים</w:t>
      </w:r>
      <w:r>
        <w:rPr>
          <w:rFonts w:ascii="Century" w:eastAsia="Calibri" w:hAnsi="Century" w:cs="Miriam" w:hint="cs"/>
          <w:b/>
          <w:spacing w:val="0"/>
          <w:szCs w:val="24"/>
          <w:rtl/>
        </w:rPr>
        <w:t>,</w:t>
      </w:r>
      <w:r w:rsidRPr="00F96561">
        <w:rPr>
          <w:rFonts w:ascii="Century" w:eastAsia="Calibri" w:hAnsi="Century" w:cs="Miriam" w:hint="cs"/>
          <w:b/>
          <w:spacing w:val="0"/>
          <w:szCs w:val="24"/>
          <w:rtl/>
        </w:rPr>
        <w:t xml:space="preserve"> ככל שיהיו</w:t>
      </w:r>
      <w:r w:rsidRPr="00F96561">
        <w:rPr>
          <w:rFonts w:hint="cs"/>
          <w:rtl/>
        </w:rPr>
        <w:t>"</w:t>
      </w:r>
      <w:r>
        <w:rPr>
          <w:rFonts w:hint="cs"/>
          <w:rtl/>
        </w:rPr>
        <w:t xml:space="preserve"> (עמ' 30 לפרוטוקול המוקלט).</w:t>
      </w:r>
    </w:p>
    <w:p w:rsidR="003D2318" w:rsidRDefault="003D2318" w:rsidP="003D2318">
      <w:pPr>
        <w:pStyle w:val="Ruller41"/>
        <w:spacing w:line="240" w:lineRule="auto"/>
        <w:rPr>
          <w:rtl/>
        </w:rPr>
      </w:pPr>
    </w:p>
    <w:p w:rsidR="003D2318" w:rsidRDefault="003D2318" w:rsidP="003D2318">
      <w:pPr>
        <w:pStyle w:val="Ruller41"/>
        <w:rPr>
          <w:rtl/>
        </w:rPr>
      </w:pPr>
      <w:r>
        <w:rPr>
          <w:rtl/>
        </w:rPr>
        <w:lastRenderedPageBreak/>
        <w:tab/>
      </w:r>
      <w:r>
        <w:rPr>
          <w:rFonts w:hint="cs"/>
          <w:rtl/>
        </w:rPr>
        <w:t>ובכן, לו דעת הטוענים את הנטען לעיל להישמע, המחלוקת היא בראש ובראשונה ואף בעיקר בשאלת מעמד הבכורה, האם הוא בידי הכנסת או בידי בית המשפט הגבוה לצדק?</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דעתי היא שכל אלו הינן טענות חסרות כל בסיס ולא זו השאלה העומדת על הפרק: בית המשפט הגבוה לצדק אינו יכול ליזום חקיקה כלשהי, ודאי חקיקת יסוד או תיקון לחוק יסוד. בית המשפט הגבוה לצדק גם אינו יכול לקבוע את תוכנם של חוק יסוד או תיקון לחוקי יסוד. בית המשפט הגבוה לצדק גם אינו מתבקש לקבוע שהינו "מכונן על" ובוודאי שלא מי ש-"ריבונות העל" מצויה כביכול בידיו.</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בית המשפט הגבוה לצדק כן מתבקש, בעתירות דנן, להכריע בשאלה האם במצב בו חקיקת חוקי היסוד של המדינה נמשכת עשרות בשנים, מחד גיסא, וטרם חוקק חוק יסוד: החקיקה, מאידך גיסא, מוקנית לו הסמכות לקבוע שתיקון המנוגד להגדרתה של מדינת ישראל כמדינה יהודית ודמוקרטית, אינו תקף.</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ואבקש לשאול, האם, לפי אותה השקפה, בכל אותן חוקות שקבעו הוראות בסיס שלא ניתן לשנותן והסמיכו את הערכאה השיפוטית העליונה במדינה להגן על אותן הוראות, הושם "</w:t>
      </w:r>
      <w:r w:rsidRPr="00F96561">
        <w:rPr>
          <w:rFonts w:ascii="Century" w:hAnsi="Century" w:cs="Miriam" w:hint="cs"/>
          <w:b/>
          <w:spacing w:val="0"/>
          <w:szCs w:val="24"/>
          <w:rtl/>
        </w:rPr>
        <w:t>כתר מכונן-העל</w:t>
      </w:r>
      <w:r w:rsidRPr="00F96561">
        <w:rPr>
          <w:rFonts w:hint="cs"/>
          <w:rtl/>
        </w:rPr>
        <w:t>"</w:t>
      </w:r>
      <w:r>
        <w:rPr>
          <w:rFonts w:hint="cs"/>
          <w:b/>
          <w:bCs/>
          <w:rtl/>
        </w:rPr>
        <w:t xml:space="preserve"> </w:t>
      </w:r>
      <w:r w:rsidRPr="005B44CF">
        <w:rPr>
          <w:rFonts w:hint="cs"/>
          <w:rtl/>
        </w:rPr>
        <w:t>ו-</w:t>
      </w:r>
      <w:r w:rsidRPr="00F96561">
        <w:rPr>
          <w:rFonts w:hint="cs"/>
          <w:rtl/>
        </w:rPr>
        <w:t>"</w:t>
      </w:r>
      <w:r w:rsidRPr="00121946">
        <w:rPr>
          <w:rFonts w:ascii="Century" w:hAnsi="Century" w:cs="Miriam" w:hint="cs"/>
          <w:b/>
          <w:spacing w:val="0"/>
          <w:szCs w:val="24"/>
          <w:rtl/>
        </w:rPr>
        <w:t>למעשה..</w:t>
      </w:r>
      <w:r>
        <w:rPr>
          <w:rFonts w:ascii="Century" w:hAnsi="Century" w:cs="Miriam" w:hint="cs"/>
          <w:b/>
          <w:spacing w:val="0"/>
          <w:szCs w:val="24"/>
          <w:rtl/>
        </w:rPr>
        <w:t>.</w:t>
      </w:r>
      <w:r w:rsidRPr="00F96561">
        <w:rPr>
          <w:rFonts w:ascii="Century" w:hAnsi="Century" w:cs="Miriam" w:hint="cs"/>
          <w:b/>
          <w:spacing w:val="0"/>
          <w:szCs w:val="24"/>
          <w:rtl/>
        </w:rPr>
        <w:t xml:space="preserve"> כתר הריבונות</w:t>
      </w:r>
      <w:r w:rsidRPr="00F96561">
        <w:rPr>
          <w:rFonts w:hint="cs"/>
          <w:rtl/>
        </w:rPr>
        <w:t>"</w:t>
      </w:r>
      <w:r>
        <w:rPr>
          <w:rFonts w:hint="cs"/>
          <w:rtl/>
        </w:rPr>
        <w:t xml:space="preserve"> על ראשו של בית המשפט? והאם באותן המדינות המצב הוא של </w:t>
      </w:r>
      <w:r w:rsidRPr="00F96561">
        <w:rPr>
          <w:rFonts w:hint="cs"/>
          <w:rtl/>
        </w:rPr>
        <w:t>"</w:t>
      </w:r>
      <w:r w:rsidRPr="00F96561">
        <w:rPr>
          <w:rFonts w:ascii="Century" w:eastAsia="Calibri" w:hAnsi="Century" w:cs="Miriam" w:hint="cs"/>
          <w:b/>
          <w:spacing w:val="0"/>
          <w:szCs w:val="24"/>
          <w:rtl/>
        </w:rPr>
        <w:t>השלטת משטר אוליגרכי של קבוצת אנשים</w:t>
      </w:r>
      <w:r>
        <w:rPr>
          <w:rFonts w:ascii="Century" w:eastAsia="Calibri" w:hAnsi="Century" w:cs="Miriam" w:hint="cs"/>
          <w:b/>
          <w:spacing w:val="0"/>
          <w:szCs w:val="24"/>
          <w:rtl/>
        </w:rPr>
        <w:t>,</w:t>
      </w:r>
      <w:r w:rsidRPr="00F96561">
        <w:rPr>
          <w:rFonts w:ascii="Century" w:eastAsia="Calibri" w:hAnsi="Century" w:cs="Miriam" w:hint="cs"/>
          <w:b/>
          <w:spacing w:val="0"/>
          <w:szCs w:val="24"/>
          <w:rtl/>
        </w:rPr>
        <w:t xml:space="preserve"> </w:t>
      </w:r>
      <w:r>
        <w:rPr>
          <w:rFonts w:ascii="Century" w:eastAsia="Calibri" w:hAnsi="Century" w:cs="Miriam" w:hint="cs"/>
          <w:b/>
          <w:spacing w:val="0"/>
          <w:szCs w:val="24"/>
          <w:rtl/>
        </w:rPr>
        <w:t>ו</w:t>
      </w:r>
      <w:r w:rsidRPr="00F96561">
        <w:rPr>
          <w:rFonts w:ascii="Century" w:eastAsia="Calibri" w:hAnsi="Century" w:cs="Miriam" w:hint="cs"/>
          <w:b/>
          <w:spacing w:val="0"/>
          <w:szCs w:val="24"/>
          <w:rtl/>
        </w:rPr>
        <w:t xml:space="preserve">יהיו חכמים </w:t>
      </w:r>
      <w:r>
        <w:rPr>
          <w:rFonts w:ascii="Century" w:eastAsia="Calibri" w:hAnsi="Century" w:cs="Miriam" w:hint="cs"/>
          <w:b/>
          <w:spacing w:val="0"/>
          <w:szCs w:val="24"/>
          <w:rtl/>
        </w:rPr>
        <w:t>ו</w:t>
      </w:r>
      <w:r w:rsidRPr="00F96561">
        <w:rPr>
          <w:rFonts w:ascii="Century" w:eastAsia="Calibri" w:hAnsi="Century" w:cs="Miriam" w:hint="cs"/>
          <w:b/>
          <w:spacing w:val="0"/>
          <w:szCs w:val="24"/>
          <w:rtl/>
        </w:rPr>
        <w:t>נבונים וישרים</w:t>
      </w:r>
      <w:r>
        <w:rPr>
          <w:rFonts w:ascii="Century" w:eastAsia="Calibri" w:hAnsi="Century" w:cs="Miriam" w:hint="cs"/>
          <w:b/>
          <w:spacing w:val="0"/>
          <w:szCs w:val="24"/>
          <w:rtl/>
        </w:rPr>
        <w:t>,</w:t>
      </w:r>
      <w:r w:rsidRPr="00F96561">
        <w:rPr>
          <w:rFonts w:ascii="Century" w:eastAsia="Calibri" w:hAnsi="Century" w:cs="Miriam" w:hint="cs"/>
          <w:b/>
          <w:spacing w:val="0"/>
          <w:szCs w:val="24"/>
          <w:rtl/>
        </w:rPr>
        <w:t xml:space="preserve"> ככל שיהיו</w:t>
      </w:r>
      <w:r w:rsidRPr="00701A60">
        <w:rPr>
          <w:rFonts w:hint="cs"/>
          <w:rtl/>
        </w:rPr>
        <w:t>"?</w:t>
      </w:r>
    </w:p>
    <w:p w:rsidR="003D2318" w:rsidRDefault="003D2318" w:rsidP="003D2318">
      <w:pPr>
        <w:pStyle w:val="Ruller41"/>
        <w:spacing w:line="240" w:lineRule="auto"/>
        <w:rPr>
          <w:rtl/>
        </w:rPr>
      </w:pPr>
    </w:p>
    <w:p w:rsidR="003D2318" w:rsidRPr="00326632" w:rsidRDefault="003D2318" w:rsidP="003D2318">
      <w:pPr>
        <w:pStyle w:val="Ruller41"/>
        <w:rPr>
          <w:rtl/>
        </w:rPr>
      </w:pPr>
      <w:r>
        <w:rPr>
          <w:rtl/>
        </w:rPr>
        <w:tab/>
      </w:r>
      <w:r>
        <w:rPr>
          <w:rFonts w:hint="cs"/>
          <w:rtl/>
        </w:rPr>
        <w:t>לא נותר אלא להצטער, מאוד, על העמדת הדברים באופן האמור.</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ועוד הערה: נטען על ידי גורמי הממשלה, במישור הדין הרצוי, כי אין חזקה שהערכים הנכונים נמצאים היום ויימצאו בעתיד דווקא בידי בית המשפט הגבוה לצדק ולא בידי נבחרי העם. לטענה זו הנני מסכים ללא היסוס. אולם, מנקודת מוצא זו, כשאלה של דין רצוי ותחת "מסך בערות" (שגורם לכך שאין אנו יודעים מי הם אלו שישבו ביום מן הימים על כס השיפוט וגם לא בידי מי תהיה השליטה בכנסת באותו המועד), אבקש לשאול: האם עדיף הסדר חקיקתי המקנה לכנסת, כרשות מכוננת, כוח בלתי מוגבל המאפשר לכנסת לכונן כל חוק יסוד שתחפוץ, יהיה תוכנו אשר יהיה, או עדיף הסדר הקובע איזון מסוים למקרי קיצון? דומני שגם התשובה המתבקשת לשאלה זו, שעניינה במישור הדין הרצוי, אינה תואמת את עמדתם של גורמי הממשלה בפנינו.</w:t>
      </w:r>
    </w:p>
    <w:p w:rsidR="003D2318" w:rsidRDefault="003D2318" w:rsidP="003D2318">
      <w:pPr>
        <w:pStyle w:val="Ruller41"/>
        <w:rPr>
          <w:b/>
          <w:bCs/>
          <w:u w:val="single"/>
          <w:rtl/>
        </w:rPr>
      </w:pPr>
    </w:p>
    <w:p w:rsidR="003D2318" w:rsidRPr="00F96561" w:rsidRDefault="003D2318" w:rsidP="003D2318">
      <w:pPr>
        <w:pStyle w:val="Ruller41"/>
        <w:rPr>
          <w:rFonts w:ascii="Century" w:hAnsi="Century" w:cs="Miriam"/>
          <w:b/>
          <w:spacing w:val="0"/>
          <w:szCs w:val="24"/>
          <w:rtl/>
        </w:rPr>
      </w:pPr>
      <w:r w:rsidRPr="00F96561">
        <w:rPr>
          <w:rFonts w:ascii="Century" w:hAnsi="Century" w:cs="Miriam" w:hint="cs"/>
          <w:b/>
          <w:spacing w:val="0"/>
          <w:szCs w:val="24"/>
          <w:rtl/>
        </w:rPr>
        <w:t xml:space="preserve">האם בחקיקה התיקון לחוק יסוד: השפיטה, חרגה הכנסת מסמכותה? </w:t>
      </w:r>
      <w:r w:rsidRPr="00F96561">
        <w:rPr>
          <w:rFonts w:ascii="Century" w:hAnsi="Century" w:cs="Miriam"/>
          <w:b/>
          <w:spacing w:val="0"/>
          <w:szCs w:val="24"/>
          <w:rtl/>
        </w:rPr>
        <w:t>–</w:t>
      </w:r>
      <w:r w:rsidRPr="00F96561">
        <w:rPr>
          <w:rFonts w:ascii="Century" w:hAnsi="Century" w:cs="Miriam" w:hint="cs"/>
          <w:b/>
          <w:spacing w:val="0"/>
          <w:szCs w:val="24"/>
          <w:rtl/>
        </w:rPr>
        <w:t xml:space="preserve"> המבחן</w:t>
      </w:r>
    </w:p>
    <w:p w:rsidR="003D2318" w:rsidRPr="00701A60" w:rsidRDefault="003D2318" w:rsidP="003D2318">
      <w:pPr>
        <w:pStyle w:val="Ruller41"/>
        <w:spacing w:line="240" w:lineRule="auto"/>
        <w:rPr>
          <w:rFonts w:ascii="Century" w:hAnsi="Century"/>
          <w:rtl/>
        </w:rPr>
      </w:pPr>
    </w:p>
    <w:p w:rsidR="003D2318" w:rsidRDefault="003D2318" w:rsidP="00570AC5">
      <w:pPr>
        <w:pStyle w:val="Ruller4"/>
        <w:rPr>
          <w:rtl/>
        </w:rPr>
      </w:pPr>
      <w:r>
        <w:rPr>
          <w:rFonts w:hint="cs"/>
          <w:rtl/>
        </w:rPr>
        <w:lastRenderedPageBreak/>
        <w:t xml:space="preserve">משהשבתי בחיוב לשתי השאלות הראשונות שהצבתי בפתח חוות דעתי, נוצר הצורך להידרש לשאלה השלישית </w:t>
      </w:r>
      <w:r>
        <w:rPr>
          <w:rtl/>
        </w:rPr>
        <w:t>–</w:t>
      </w:r>
      <w:r>
        <w:rPr>
          <w:rFonts w:hint="cs"/>
          <w:rtl/>
        </w:rPr>
        <w:t xml:space="preserve"> האם, </w:t>
      </w:r>
      <w:r w:rsidRPr="00025FD8">
        <w:rPr>
          <w:rFonts w:ascii="Century" w:hAnsi="Century" w:cs="Miriam" w:hint="cs"/>
          <w:b/>
          <w:spacing w:val="0"/>
          <w:sz w:val="22"/>
          <w:szCs w:val="24"/>
          <w:rtl/>
        </w:rPr>
        <w:t>בחקיקת התיקון דנן לחוק-יסוד: השפיטה</w:t>
      </w:r>
      <w:r>
        <w:rPr>
          <w:rFonts w:hint="cs"/>
          <w:rtl/>
        </w:rPr>
        <w:t>, חרגה הכנסת מסמכותה המכוננת, לאור תוכנו של התיקון והטענה כי הוא מנוגד לערכיה של מדינת ישראל כמדינה יהודית ודמוקרטית?</w:t>
      </w:r>
    </w:p>
    <w:p w:rsidR="003D2318" w:rsidRPr="00701A60"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את התייחסותי לשאלה זו אחלק, להלן, לשניים: החלק הראשון, הוא החלק דנן, יתייחס למבחן שעל פיו יש להכריע בשאלה האמורה; החלק השני, שיבוא מיד לאחריו, יתייחס ליישום המבחן על התיקון דנן.</w:t>
      </w:r>
    </w:p>
    <w:p w:rsidR="003D2318" w:rsidRPr="002722DE" w:rsidRDefault="003D2318" w:rsidP="003D2318">
      <w:pPr>
        <w:pStyle w:val="Ruller41"/>
        <w:spacing w:line="240" w:lineRule="auto"/>
      </w:pPr>
    </w:p>
    <w:p w:rsidR="003D2318" w:rsidRDefault="003D2318" w:rsidP="00570AC5">
      <w:pPr>
        <w:pStyle w:val="Ruller4"/>
        <w:rPr>
          <w:rtl/>
        </w:rPr>
      </w:pPr>
      <w:r>
        <w:rPr>
          <w:rFonts w:hint="cs"/>
          <w:rtl/>
        </w:rPr>
        <w:t xml:space="preserve">המבחן למגבלה המוטלת על הכנסת, כסמכות מכוננת ולעניין תיקון חוק יסוד, בכל הנוגע לתוכן התיקון, נקבע כבר, במידה רבה, בפסק הדין בעניין </w:t>
      </w:r>
      <w:r w:rsidRPr="00F96561">
        <w:rPr>
          <w:rFonts w:ascii="Century" w:hAnsi="Century" w:cs="Miriam" w:hint="cs"/>
          <w:b/>
          <w:spacing w:val="0"/>
          <w:sz w:val="22"/>
          <w:szCs w:val="24"/>
          <w:rtl/>
        </w:rPr>
        <w:t>חסון</w:t>
      </w:r>
      <w:r>
        <w:rPr>
          <w:rFonts w:hint="cs"/>
          <w:rtl/>
        </w:rPr>
        <w:t>. מבחן זה הינו, לדעתי בצדק רב, מבחן הקובע מגבלה צרה ביותר על סמכותה המכוננת של הכנסת ובחינה דווקנית עד למאוד קודם שייקבע שבמקרה ספציפי הכנסת חרגה מסמכותה המכוננת לאור תוכנו של דבר החקיקה שיצא תחת ידיה.</w:t>
      </w:r>
    </w:p>
    <w:p w:rsidR="003D2318" w:rsidRPr="00701A60" w:rsidRDefault="003D2318" w:rsidP="003D2318">
      <w:pPr>
        <w:pStyle w:val="Ruller41"/>
        <w:spacing w:line="240" w:lineRule="auto"/>
        <w:rPr>
          <w:rtl/>
        </w:rPr>
      </w:pPr>
    </w:p>
    <w:p w:rsidR="003D2318" w:rsidRPr="00121946" w:rsidRDefault="003D2318" w:rsidP="003D2318">
      <w:pPr>
        <w:pStyle w:val="Ruller41"/>
        <w:rPr>
          <w:rFonts w:ascii="Century" w:hAnsi="Century"/>
        </w:rPr>
      </w:pPr>
      <w:r>
        <w:rPr>
          <w:rtl/>
        </w:rPr>
        <w:tab/>
      </w:r>
      <w:r>
        <w:rPr>
          <w:rFonts w:hint="cs"/>
          <w:rtl/>
        </w:rPr>
        <w:t xml:space="preserve">בשל החשיבות הרבה של הדברים אצטט להלן (תוך שהנני מודע לעובדה שכך עשתה גם חברתי, השופטת </w:t>
      </w:r>
      <w:r w:rsidRPr="00B312DE">
        <w:rPr>
          <w:rFonts w:ascii="Century" w:hAnsi="Century" w:cs="Miriam" w:hint="cs"/>
          <w:b/>
          <w:spacing w:val="0"/>
          <w:szCs w:val="24"/>
          <w:rtl/>
        </w:rPr>
        <w:t>י' וילנר</w:t>
      </w:r>
      <w:r>
        <w:rPr>
          <w:rFonts w:hint="cs"/>
          <w:rtl/>
        </w:rPr>
        <w:t xml:space="preserve">, בחוות דעתה), קטעים רלוונטיים מפסק דינה של הנשיאה בעניין </w:t>
      </w:r>
      <w:r w:rsidRPr="00121946">
        <w:rPr>
          <w:rFonts w:ascii="Century" w:hAnsi="Century" w:cs="Miriam" w:hint="cs"/>
          <w:b/>
          <w:spacing w:val="0"/>
          <w:szCs w:val="24"/>
          <w:rtl/>
        </w:rPr>
        <w:t>חסון</w:t>
      </w:r>
      <w:r>
        <w:rPr>
          <w:rFonts w:ascii="Century" w:hAnsi="Century" w:hint="cs"/>
          <w:rtl/>
        </w:rPr>
        <w:t>:</w:t>
      </w:r>
    </w:p>
    <w:p w:rsidR="003D2318" w:rsidRDefault="003D2318" w:rsidP="003D2318">
      <w:pPr>
        <w:pStyle w:val="Ruller5"/>
        <w:rPr>
          <w:rtl/>
        </w:rPr>
      </w:pPr>
    </w:p>
    <w:p w:rsidR="003D2318" w:rsidRPr="00F96561" w:rsidRDefault="003D2318" w:rsidP="003D2318">
      <w:pPr>
        <w:pStyle w:val="Ruller5"/>
        <w:rPr>
          <w:rtl/>
        </w:rPr>
      </w:pPr>
      <w:r w:rsidRPr="00F96561">
        <w:rPr>
          <w:rFonts w:hint="cs"/>
          <w:rtl/>
        </w:rPr>
        <w:t xml:space="preserve">"לגישתי, בשלב זה של המפעל החוקתי הישראלי קיימת מגבלה אחת, צרה ביותר, החלה על הכנסת בכובעה כרשות מכוננת והיא </w:t>
      </w:r>
      <w:r w:rsidRPr="00B312DE">
        <w:rPr>
          <w:rFonts w:ascii="Century" w:hAnsi="Century" w:hint="cs"/>
          <w:rtl/>
        </w:rPr>
        <w:t>כי</w:t>
      </w:r>
      <w:r w:rsidRPr="00F96561">
        <w:rPr>
          <w:rFonts w:ascii="Century" w:hAnsi="Century" w:cs="Miriam" w:hint="cs"/>
          <w:b/>
          <w:spacing w:val="0"/>
          <w:szCs w:val="24"/>
          <w:rtl/>
        </w:rPr>
        <w:t xml:space="preserve"> אין ביכולתה לשלול בחוק יסוד את עצם היותה של ישראל מדינה יהודית ודמוקרטית</w:t>
      </w:r>
      <w:r w:rsidRPr="00F178A5">
        <w:rPr>
          <w:rFonts w:hint="cs"/>
          <w:rtl/>
        </w:rPr>
        <w:t>" (</w:t>
      </w:r>
      <w:r>
        <w:rPr>
          <w:rFonts w:hint="cs"/>
          <w:rtl/>
        </w:rPr>
        <w:t xml:space="preserve">פסקה 16 לפסק דינה של הנשיאה; ההדגשה במקור </w:t>
      </w:r>
      <w:r>
        <w:rPr>
          <w:rtl/>
        </w:rPr>
        <w:t>–</w:t>
      </w:r>
      <w:r>
        <w:rPr>
          <w:rFonts w:hint="cs"/>
          <w:rtl/>
        </w:rPr>
        <w:t xml:space="preserve"> י' כ'. </w:t>
      </w:r>
      <w:r w:rsidRPr="00F178A5">
        <w:rPr>
          <w:rFonts w:hint="cs"/>
          <w:rtl/>
        </w:rPr>
        <w:t>רא</w:t>
      </w:r>
      <w:r>
        <w:rPr>
          <w:rFonts w:hint="cs"/>
          <w:rtl/>
        </w:rPr>
        <w:t>ו</w:t>
      </w:r>
      <w:r w:rsidRPr="00F96561">
        <w:rPr>
          <w:rFonts w:hint="cs"/>
          <w:rtl/>
        </w:rPr>
        <w:t xml:space="preserve"> דברים דומים גם </w:t>
      </w:r>
      <w:r>
        <w:rPr>
          <w:rFonts w:hint="cs"/>
          <w:rtl/>
        </w:rPr>
        <w:t>בפסקאות</w:t>
      </w:r>
      <w:r w:rsidRPr="00F96561">
        <w:rPr>
          <w:rFonts w:hint="cs"/>
          <w:rtl/>
        </w:rPr>
        <w:t xml:space="preserve"> 18 </w:t>
      </w:r>
      <w:r>
        <w:rPr>
          <w:rFonts w:hint="cs"/>
          <w:rtl/>
        </w:rPr>
        <w:t>ו-</w:t>
      </w:r>
      <w:r w:rsidRPr="00F96561">
        <w:rPr>
          <w:rFonts w:hint="cs"/>
          <w:rtl/>
        </w:rPr>
        <w:t xml:space="preserve">27 </w:t>
      </w:r>
      <w:r>
        <w:rPr>
          <w:rFonts w:hint="cs"/>
          <w:rtl/>
        </w:rPr>
        <w:t>לפסק דינה של הנשיאה</w:t>
      </w:r>
      <w:r w:rsidRPr="00F96561">
        <w:rPr>
          <w:rFonts w:hint="cs"/>
          <w:rtl/>
        </w:rPr>
        <w:t>).</w:t>
      </w:r>
    </w:p>
    <w:p w:rsidR="003D2318" w:rsidRDefault="003D2318" w:rsidP="003D2318">
      <w:pPr>
        <w:pStyle w:val="Ruller5"/>
        <w:spacing w:line="360" w:lineRule="auto"/>
        <w:rPr>
          <w:rtl/>
        </w:rPr>
      </w:pPr>
    </w:p>
    <w:p w:rsidR="003D2318" w:rsidRDefault="003D2318" w:rsidP="003D2318">
      <w:pPr>
        <w:pStyle w:val="Ruller4"/>
        <w:numPr>
          <w:ilvl w:val="0"/>
          <w:numId w:val="0"/>
        </w:numPr>
        <w:rPr>
          <w:rtl/>
        </w:rPr>
      </w:pPr>
      <w:r>
        <w:rPr>
          <w:rtl/>
        </w:rPr>
        <w:tab/>
      </w:r>
      <w:r w:rsidRPr="002722DE">
        <w:rPr>
          <w:rFonts w:hint="cs"/>
          <w:rtl/>
        </w:rPr>
        <w:t>עוד קבעה</w:t>
      </w:r>
      <w:r>
        <w:rPr>
          <w:rFonts w:hint="cs"/>
          <w:rtl/>
        </w:rPr>
        <w:t xml:space="preserve"> הנשיאה כי:</w:t>
      </w:r>
    </w:p>
    <w:p w:rsidR="003D2318" w:rsidRPr="000500BA" w:rsidRDefault="003D2318" w:rsidP="003D2318">
      <w:pPr>
        <w:pStyle w:val="Ruller41"/>
        <w:spacing w:line="240" w:lineRule="auto"/>
      </w:pPr>
    </w:p>
    <w:p w:rsidR="003D2318" w:rsidRPr="00F96561" w:rsidRDefault="003D2318" w:rsidP="003D2318">
      <w:pPr>
        <w:pStyle w:val="Ruller5"/>
        <w:rPr>
          <w:rtl/>
        </w:rPr>
      </w:pPr>
      <w:r w:rsidRPr="00F96561">
        <w:rPr>
          <w:rFonts w:hint="cs"/>
          <w:rtl/>
        </w:rPr>
        <w:t xml:space="preserve">"בהינתן השלב שבו מצוי מפעל החוקה הישראלי, אני סבורה כי המגבלות החלות על הרשות המכוננת הן, כאמור, צרות ביותר, ונוגעות למצבים חריגים של </w:t>
      </w:r>
      <w:r w:rsidRPr="00F96561">
        <w:rPr>
          <w:rFonts w:ascii="Century" w:hAnsi="Century" w:cs="Miriam" w:hint="cs"/>
          <w:b/>
          <w:spacing w:val="0"/>
          <w:szCs w:val="24"/>
          <w:rtl/>
        </w:rPr>
        <w:t>שינוי חוקתי השולל את ליבת הזהות היהודית או הדמוקרטית של המדינה</w:t>
      </w:r>
      <w:r w:rsidRPr="008B430C">
        <w:rPr>
          <w:rFonts w:hint="cs"/>
          <w:rtl/>
        </w:rPr>
        <w:t xml:space="preserve">" </w:t>
      </w:r>
      <w:r>
        <w:rPr>
          <w:rFonts w:hint="cs"/>
          <w:rtl/>
        </w:rPr>
        <w:t xml:space="preserve">(פסקה 28 לפסק דינה; ההדגשה במקור </w:t>
      </w:r>
      <w:r>
        <w:rPr>
          <w:rtl/>
        </w:rPr>
        <w:t>–</w:t>
      </w:r>
      <w:r>
        <w:rPr>
          <w:rFonts w:hint="cs"/>
          <w:rtl/>
        </w:rPr>
        <w:t xml:space="preserve"> י' כ').</w:t>
      </w:r>
    </w:p>
    <w:p w:rsidR="003D2318" w:rsidRDefault="003D2318" w:rsidP="003D2318">
      <w:pPr>
        <w:pStyle w:val="Ruller4"/>
        <w:numPr>
          <w:ilvl w:val="0"/>
          <w:numId w:val="0"/>
        </w:numPr>
        <w:rPr>
          <w:rtl/>
        </w:rPr>
      </w:pPr>
    </w:p>
    <w:p w:rsidR="003D2318" w:rsidRDefault="003D2318" w:rsidP="003D2318">
      <w:pPr>
        <w:pStyle w:val="Ruller4"/>
        <w:numPr>
          <w:ilvl w:val="0"/>
          <w:numId w:val="0"/>
        </w:numPr>
        <w:rPr>
          <w:rtl/>
        </w:rPr>
      </w:pPr>
      <w:r w:rsidRPr="000500BA">
        <w:rPr>
          <w:rFonts w:hint="cs"/>
          <w:rtl/>
        </w:rPr>
        <w:t>בהמשך קבעה הנשיאה כי על הפגיעה להיות "</w:t>
      </w:r>
      <w:r w:rsidRPr="000500BA">
        <w:rPr>
          <w:rFonts w:ascii="Century" w:hAnsi="Century" w:cs="Miriam" w:hint="cs"/>
          <w:b/>
          <w:spacing w:val="0"/>
          <w:sz w:val="22"/>
          <w:szCs w:val="24"/>
          <w:rtl/>
        </w:rPr>
        <w:t>אנושה</w:t>
      </w:r>
      <w:r w:rsidRPr="000500BA">
        <w:rPr>
          <w:rFonts w:hint="cs"/>
          <w:rtl/>
        </w:rPr>
        <w:t>", וכי:</w:t>
      </w:r>
    </w:p>
    <w:p w:rsidR="003D2318" w:rsidRPr="000500BA" w:rsidRDefault="003D2318" w:rsidP="003D2318">
      <w:pPr>
        <w:pStyle w:val="Ruller41"/>
        <w:spacing w:line="240" w:lineRule="auto"/>
        <w:rPr>
          <w:rtl/>
        </w:rPr>
      </w:pPr>
    </w:p>
    <w:p w:rsidR="003D2318" w:rsidRPr="00F96561" w:rsidRDefault="003D2318" w:rsidP="003D2318">
      <w:pPr>
        <w:pStyle w:val="Ruller5"/>
        <w:rPr>
          <w:rtl/>
        </w:rPr>
      </w:pPr>
      <w:r w:rsidRPr="00F96561">
        <w:rPr>
          <w:rFonts w:hint="cs"/>
          <w:rtl/>
        </w:rPr>
        <w:t xml:space="preserve">"באותם המצבים שבהם חוק יסוד שולל או סותר באופן חזיתי את </w:t>
      </w:r>
      <w:r>
        <w:rPr>
          <w:rFonts w:hint="cs"/>
          <w:rtl/>
        </w:rPr>
        <w:t>'</w:t>
      </w:r>
      <w:r w:rsidRPr="00F96561">
        <w:rPr>
          <w:rFonts w:hint="cs"/>
          <w:rtl/>
        </w:rPr>
        <w:t xml:space="preserve">המאפיינים </w:t>
      </w:r>
      <w:r>
        <w:rPr>
          <w:rFonts w:hint="cs"/>
          <w:rtl/>
        </w:rPr>
        <w:t>"</w:t>
      </w:r>
      <w:r w:rsidRPr="00F96561">
        <w:rPr>
          <w:rFonts w:hint="cs"/>
          <w:rtl/>
        </w:rPr>
        <w:t>הגרעיניים</w:t>
      </w:r>
      <w:r>
        <w:rPr>
          <w:rFonts w:hint="cs"/>
          <w:rtl/>
        </w:rPr>
        <w:t>"</w:t>
      </w:r>
      <w:r w:rsidRPr="00F96561">
        <w:rPr>
          <w:rFonts w:hint="cs"/>
          <w:rtl/>
        </w:rPr>
        <w:t xml:space="preserve"> המעצבים את הגדרת המינימום</w:t>
      </w:r>
      <w:r>
        <w:rPr>
          <w:rFonts w:hint="cs"/>
          <w:rtl/>
        </w:rPr>
        <w:t>'</w:t>
      </w:r>
      <w:r w:rsidRPr="00F96561">
        <w:rPr>
          <w:rFonts w:hint="cs"/>
          <w:rtl/>
        </w:rPr>
        <w:t xml:space="preserve"> של היות מדינת ישראל מדינה יהודית </w:t>
      </w:r>
      <w:r w:rsidRPr="00F96561">
        <w:rPr>
          <w:rFonts w:hint="cs"/>
          <w:rtl/>
        </w:rPr>
        <w:lastRenderedPageBreak/>
        <w:t xml:space="preserve">ודמוקרטית </w:t>
      </w:r>
      <w:r w:rsidRPr="00F96561">
        <w:rPr>
          <w:rtl/>
        </w:rPr>
        <w:t>–</w:t>
      </w:r>
      <w:r w:rsidRPr="00F96561">
        <w:rPr>
          <w:rFonts w:hint="cs"/>
          <w:rtl/>
        </w:rPr>
        <w:t xml:space="preserve"> ניתן לומר כי  הכנסת חרגה מסמכותה המכוננת"</w:t>
      </w:r>
      <w:r>
        <w:rPr>
          <w:rFonts w:hint="cs"/>
          <w:rtl/>
        </w:rPr>
        <w:t xml:space="preserve"> (פסקה 29 לפסק דינה; ההפניות הושמטו </w:t>
      </w:r>
      <w:r>
        <w:rPr>
          <w:rtl/>
        </w:rPr>
        <w:t>–</w:t>
      </w:r>
      <w:r>
        <w:rPr>
          <w:rFonts w:hint="cs"/>
          <w:rtl/>
        </w:rPr>
        <w:t xml:space="preserve"> י' כ'). </w:t>
      </w:r>
    </w:p>
    <w:p w:rsidR="003D2318" w:rsidRPr="00DC4185" w:rsidRDefault="003D2318" w:rsidP="003D2318">
      <w:pPr>
        <w:pStyle w:val="Ruller4"/>
        <w:numPr>
          <w:ilvl w:val="0"/>
          <w:numId w:val="0"/>
        </w:numPr>
        <w:rPr>
          <w:rtl/>
        </w:rPr>
      </w:pPr>
    </w:p>
    <w:p w:rsidR="003D2318" w:rsidRDefault="003D2318" w:rsidP="003D2318">
      <w:pPr>
        <w:pStyle w:val="Ruller4"/>
        <w:numPr>
          <w:ilvl w:val="0"/>
          <w:numId w:val="0"/>
        </w:numPr>
        <w:rPr>
          <w:rtl/>
        </w:rPr>
      </w:pPr>
      <w:r w:rsidRPr="000500BA">
        <w:rPr>
          <w:rFonts w:hint="cs"/>
          <w:rtl/>
        </w:rPr>
        <w:t xml:space="preserve">ובסיכום דבריה בסוגיה, קבעה הנשיאה כי: </w:t>
      </w:r>
    </w:p>
    <w:p w:rsidR="003D2318" w:rsidRPr="000500BA" w:rsidRDefault="003D2318" w:rsidP="003D2318">
      <w:pPr>
        <w:pStyle w:val="Ruller41"/>
        <w:spacing w:line="240" w:lineRule="auto"/>
        <w:rPr>
          <w:rtl/>
        </w:rPr>
      </w:pPr>
    </w:p>
    <w:p w:rsidR="003D2318" w:rsidRDefault="003D2318" w:rsidP="003D2318">
      <w:pPr>
        <w:pStyle w:val="Ruller5"/>
        <w:rPr>
          <w:sz w:val="24"/>
          <w:szCs w:val="24"/>
          <w:rtl/>
        </w:rPr>
      </w:pPr>
      <w:r w:rsidRPr="00F96561">
        <w:rPr>
          <w:rFonts w:hint="cs"/>
          <w:rtl/>
        </w:rPr>
        <w:t xml:space="preserve">"ניתן להצביע כבר עתה על מגבלות </w:t>
      </w:r>
      <w:r w:rsidRPr="00F96561">
        <w:rPr>
          <w:rtl/>
        </w:rPr>
        <w:t>–</w:t>
      </w:r>
      <w:r w:rsidRPr="00F96561">
        <w:rPr>
          <w:rFonts w:hint="cs"/>
          <w:rtl/>
        </w:rPr>
        <w:t xml:space="preserve"> צרות ביותר </w:t>
      </w:r>
      <w:r w:rsidRPr="00F96561">
        <w:rPr>
          <w:rtl/>
        </w:rPr>
        <w:t>–</w:t>
      </w:r>
      <w:r w:rsidRPr="00F96561">
        <w:rPr>
          <w:rFonts w:hint="cs"/>
          <w:rtl/>
        </w:rPr>
        <w:t xml:space="preserve"> המוטלות על סמכותה המכוננת של הכנסת, ולקבוע כי אינה מוסמכת לשלול את </w:t>
      </w:r>
      <w:r w:rsidRPr="00F96561">
        <w:rPr>
          <w:rFonts w:ascii="Century" w:hAnsi="Century" w:cs="Miriam" w:hint="cs"/>
          <w:b/>
          <w:spacing w:val="0"/>
          <w:szCs w:val="24"/>
          <w:rtl/>
        </w:rPr>
        <w:t>מאפייני הזהות הגרעיניים מינימאליים</w:t>
      </w:r>
      <w:r w:rsidRPr="00F96561">
        <w:rPr>
          <w:rFonts w:hint="cs"/>
          <w:rtl/>
        </w:rPr>
        <w:t xml:space="preserve"> של מדינת ישראל כמדינה יהודית או כמדינה דמוקרטית</w:t>
      </w:r>
      <w:r w:rsidRPr="00DC4185">
        <w:rPr>
          <w:rFonts w:hint="cs"/>
          <w:rtl/>
        </w:rPr>
        <w:t>"</w:t>
      </w:r>
      <w:r>
        <w:rPr>
          <w:rFonts w:hint="cs"/>
          <w:rtl/>
        </w:rPr>
        <w:t xml:space="preserve"> (פסקה 31 לפסק דינה; ההדגשה במקור </w:t>
      </w:r>
      <w:r>
        <w:rPr>
          <w:rtl/>
        </w:rPr>
        <w:t>–</w:t>
      </w:r>
      <w:r>
        <w:rPr>
          <w:rFonts w:hint="cs"/>
          <w:rtl/>
        </w:rPr>
        <w:t xml:space="preserve"> י' כ').</w:t>
      </w:r>
    </w:p>
    <w:p w:rsidR="003D2318" w:rsidRPr="00F178A5" w:rsidRDefault="003D2318" w:rsidP="003D2318">
      <w:pPr>
        <w:pStyle w:val="Ruller5"/>
        <w:rPr>
          <w:sz w:val="24"/>
          <w:szCs w:val="24"/>
        </w:rPr>
      </w:pPr>
    </w:p>
    <w:p w:rsidR="003D2318" w:rsidRPr="00DC4185" w:rsidRDefault="003D2318" w:rsidP="00570AC5">
      <w:pPr>
        <w:pStyle w:val="Ruller4"/>
      </w:pPr>
      <w:r w:rsidRPr="00DC4185">
        <w:rPr>
          <w:rFonts w:hint="cs"/>
          <w:rtl/>
        </w:rPr>
        <w:t xml:space="preserve">השופט </w:t>
      </w:r>
      <w:r w:rsidRPr="00B03EF2">
        <w:rPr>
          <w:rFonts w:ascii="Century" w:hAnsi="Century" w:cs="Miriam" w:hint="cs"/>
          <w:b/>
          <w:spacing w:val="0"/>
          <w:sz w:val="22"/>
          <w:szCs w:val="24"/>
          <w:rtl/>
        </w:rPr>
        <w:t xml:space="preserve">נ' </w:t>
      </w:r>
      <w:r w:rsidRPr="00F96561">
        <w:rPr>
          <w:rFonts w:ascii="Century" w:hAnsi="Century" w:cs="Miriam" w:hint="cs"/>
          <w:b/>
          <w:spacing w:val="0"/>
          <w:sz w:val="22"/>
          <w:szCs w:val="24"/>
          <w:rtl/>
        </w:rPr>
        <w:t>הנדל</w:t>
      </w:r>
      <w:r w:rsidRPr="00DC4185">
        <w:rPr>
          <w:rFonts w:hint="cs"/>
          <w:rtl/>
        </w:rPr>
        <w:t>, ב</w:t>
      </w:r>
      <w:r>
        <w:rPr>
          <w:rFonts w:hint="cs"/>
          <w:rtl/>
        </w:rPr>
        <w:t>עניין</w:t>
      </w:r>
      <w:r w:rsidRPr="00DC4185">
        <w:rPr>
          <w:rFonts w:hint="cs"/>
          <w:rtl/>
        </w:rPr>
        <w:t xml:space="preserve"> </w:t>
      </w:r>
      <w:r w:rsidRPr="00F96561">
        <w:rPr>
          <w:rFonts w:ascii="Century" w:hAnsi="Century" w:cs="Miriam" w:hint="cs"/>
          <w:b/>
          <w:spacing w:val="0"/>
          <w:sz w:val="22"/>
          <w:szCs w:val="24"/>
          <w:rtl/>
        </w:rPr>
        <w:t>חסון</w:t>
      </w:r>
      <w:r w:rsidRPr="00DC4185">
        <w:rPr>
          <w:rFonts w:hint="cs"/>
          <w:rtl/>
        </w:rPr>
        <w:t xml:space="preserve">, מצטט את דבריו </w:t>
      </w:r>
      <w:r>
        <w:rPr>
          <w:rFonts w:hint="cs"/>
          <w:rtl/>
        </w:rPr>
        <w:t xml:space="preserve">בפסק דינו בעניין </w:t>
      </w:r>
      <w:r>
        <w:rPr>
          <w:rFonts w:ascii="Century" w:hAnsi="Century" w:cs="Miriam" w:hint="cs"/>
          <w:b/>
          <w:spacing w:val="0"/>
          <w:sz w:val="22"/>
          <w:szCs w:val="24"/>
          <w:rtl/>
        </w:rPr>
        <w:t>התקציב הדו-שנתי</w:t>
      </w:r>
      <w:r w:rsidRPr="00DC4185">
        <w:rPr>
          <w:rFonts w:hint="cs"/>
          <w:rtl/>
        </w:rPr>
        <w:t xml:space="preserve">, לאמור: </w:t>
      </w:r>
    </w:p>
    <w:p w:rsidR="003D2318" w:rsidRPr="00DC4185" w:rsidRDefault="003D2318" w:rsidP="003D2318">
      <w:pPr>
        <w:pStyle w:val="Ruller41"/>
        <w:spacing w:line="240" w:lineRule="auto"/>
        <w:ind w:left="720"/>
        <w:rPr>
          <w:sz w:val="28"/>
        </w:rPr>
      </w:pPr>
    </w:p>
    <w:p w:rsidR="003D2318" w:rsidRDefault="003D2318" w:rsidP="003D2318">
      <w:pPr>
        <w:pStyle w:val="Ruller5"/>
        <w:rPr>
          <w:rtl/>
        </w:rPr>
      </w:pPr>
      <w:r w:rsidRPr="00121946">
        <w:rPr>
          <w:rFonts w:hint="cs"/>
          <w:rtl/>
        </w:rPr>
        <w:t xml:space="preserve">"גם אם תיקלט דוקטרינת התיקון החוקתי הבלתי חוקתי במשפטנו יש להגבילה, למצער בראשית דרכה, לתחומי השמירה על אופייה היהודי והדמוקרטי של מדינת ישראל. ועל זאת אוסיף, </w:t>
      </w:r>
      <w:r w:rsidRPr="00F96561">
        <w:rPr>
          <w:rFonts w:ascii="Century" w:hAnsi="Century" w:cs="Miriam" w:hint="cs"/>
          <w:b/>
          <w:spacing w:val="0"/>
          <w:szCs w:val="24"/>
          <w:rtl/>
        </w:rPr>
        <w:t xml:space="preserve">לשמירה על גרעין אופייה היהודי </w:t>
      </w:r>
      <w:r>
        <w:rPr>
          <w:rFonts w:ascii="Century" w:hAnsi="Century" w:cs="Miriam" w:hint="cs"/>
          <w:b/>
          <w:spacing w:val="0"/>
          <w:szCs w:val="24"/>
          <w:rtl/>
        </w:rPr>
        <w:t>וה</w:t>
      </w:r>
      <w:r w:rsidRPr="00F96561">
        <w:rPr>
          <w:rFonts w:ascii="Century" w:hAnsi="Century" w:cs="Miriam" w:hint="cs"/>
          <w:b/>
          <w:spacing w:val="0"/>
          <w:szCs w:val="24"/>
          <w:rtl/>
        </w:rPr>
        <w:t>דמוקרטי</w:t>
      </w:r>
      <w:r w:rsidRPr="00F96561">
        <w:rPr>
          <w:rFonts w:hint="cs"/>
          <w:rtl/>
        </w:rPr>
        <w:t>" (</w:t>
      </w:r>
      <w:r>
        <w:rPr>
          <w:rFonts w:hint="cs"/>
          <w:rtl/>
        </w:rPr>
        <w:t>פסקה</w:t>
      </w:r>
      <w:r w:rsidRPr="00DC4185">
        <w:rPr>
          <w:rFonts w:hint="cs"/>
          <w:rtl/>
        </w:rPr>
        <w:t xml:space="preserve"> 3 ל</w:t>
      </w:r>
      <w:r>
        <w:rPr>
          <w:rFonts w:hint="cs"/>
          <w:rtl/>
        </w:rPr>
        <w:t xml:space="preserve">חוות דעתו; ההדגשה הוספה </w:t>
      </w:r>
      <w:r>
        <w:rPr>
          <w:rtl/>
        </w:rPr>
        <w:t>–</w:t>
      </w:r>
      <w:r>
        <w:rPr>
          <w:rFonts w:hint="cs"/>
          <w:rtl/>
        </w:rPr>
        <w:t xml:space="preserve"> י' כ'</w:t>
      </w:r>
      <w:r w:rsidRPr="00121946">
        <w:rPr>
          <w:rFonts w:hint="cs"/>
          <w:rtl/>
        </w:rPr>
        <w:t>).</w:t>
      </w:r>
    </w:p>
    <w:p w:rsidR="003D2318" w:rsidRPr="00FC59E1" w:rsidRDefault="003D2318" w:rsidP="003D2318">
      <w:pPr>
        <w:pStyle w:val="Ruller41"/>
        <w:ind w:left="1440"/>
        <w:rPr>
          <w:rtl/>
        </w:rPr>
      </w:pPr>
    </w:p>
    <w:p w:rsidR="003D2318" w:rsidRDefault="003D2318" w:rsidP="00570AC5">
      <w:pPr>
        <w:pStyle w:val="Ruller4"/>
        <w:rPr>
          <w:rtl/>
        </w:rPr>
      </w:pPr>
      <w:r>
        <w:rPr>
          <w:rFonts w:hint="cs"/>
          <w:rtl/>
        </w:rPr>
        <w:t xml:space="preserve">חברתי, השופטת </w:t>
      </w:r>
      <w:r w:rsidRPr="00720EE4">
        <w:rPr>
          <w:rFonts w:ascii="Century" w:hAnsi="Century" w:cs="Miriam" w:hint="cs"/>
          <w:b/>
          <w:spacing w:val="0"/>
          <w:sz w:val="22"/>
          <w:szCs w:val="24"/>
          <w:rtl/>
        </w:rPr>
        <w:t>ד'</w:t>
      </w:r>
      <w:r w:rsidRPr="00F96561">
        <w:rPr>
          <w:rFonts w:ascii="Century" w:hAnsi="Century" w:cs="Miriam" w:hint="cs"/>
          <w:b/>
          <w:spacing w:val="0"/>
          <w:sz w:val="22"/>
          <w:szCs w:val="24"/>
          <w:rtl/>
        </w:rPr>
        <w:t xml:space="preserve"> ברק-ארז</w:t>
      </w:r>
      <w:r w:rsidRPr="00F96561">
        <w:rPr>
          <w:rFonts w:ascii="Century" w:hAnsi="Century" w:hint="cs"/>
          <w:sz w:val="22"/>
          <w:rtl/>
        </w:rPr>
        <w:t>,</w:t>
      </w:r>
      <w:r w:rsidRPr="00720EE4">
        <w:rPr>
          <w:rFonts w:hint="cs"/>
          <w:rtl/>
        </w:rPr>
        <w:t xml:space="preserve"> </w:t>
      </w:r>
      <w:r>
        <w:rPr>
          <w:rFonts w:hint="cs"/>
          <w:rtl/>
        </w:rPr>
        <w:t xml:space="preserve">ביקשה לקבוע גישה מצמצמת עוד יותר, בקבעה, בהתייחס לפסק דינה של הנשיאה באותה פרשה, כי: </w:t>
      </w:r>
    </w:p>
    <w:p w:rsidR="003D2318" w:rsidRPr="00F96561" w:rsidRDefault="003D2318" w:rsidP="003D2318">
      <w:pPr>
        <w:pStyle w:val="Ruller41"/>
        <w:spacing w:line="240" w:lineRule="auto"/>
      </w:pPr>
    </w:p>
    <w:p w:rsidR="003D2318" w:rsidRDefault="003D2318" w:rsidP="003D2318">
      <w:pPr>
        <w:pStyle w:val="Ruller5"/>
        <w:rPr>
          <w:rtl/>
        </w:rPr>
      </w:pPr>
      <w:r w:rsidRPr="00F96561">
        <w:rPr>
          <w:rFonts w:hint="cs"/>
          <w:rtl/>
        </w:rPr>
        <w:t xml:space="preserve">"אני עצמי נוטה לשימוש בטרמינולוגיה שהיא אף מצמצמת יותר </w:t>
      </w:r>
      <w:r>
        <w:rPr>
          <w:rtl/>
        </w:rPr>
        <w:t>–</w:t>
      </w:r>
      <w:r w:rsidRPr="00121946">
        <w:rPr>
          <w:rFonts w:hint="cs"/>
          <w:rtl/>
        </w:rPr>
        <w:t xml:space="preserve"> ומציעה להתייחס לחוק יסוד שמהווה 'שבירת כלים', במובן של הרס בלתי הפיך של השיטה החוקתית"</w:t>
      </w:r>
      <w:r w:rsidRPr="008B430C">
        <w:rPr>
          <w:rFonts w:hint="cs"/>
          <w:rtl/>
        </w:rPr>
        <w:t xml:space="preserve"> (</w:t>
      </w:r>
      <w:r>
        <w:rPr>
          <w:rFonts w:hint="cs"/>
          <w:rtl/>
        </w:rPr>
        <w:t>פסקה</w:t>
      </w:r>
      <w:r w:rsidRPr="008B430C">
        <w:rPr>
          <w:rFonts w:hint="cs"/>
          <w:rtl/>
        </w:rPr>
        <w:t xml:space="preserve"> 16</w:t>
      </w:r>
      <w:r>
        <w:rPr>
          <w:rFonts w:hint="cs"/>
          <w:rtl/>
        </w:rPr>
        <w:t xml:space="preserve"> לחוות דעתה</w:t>
      </w:r>
      <w:r w:rsidRPr="008B430C">
        <w:rPr>
          <w:rFonts w:hint="cs"/>
          <w:rtl/>
        </w:rPr>
        <w:t>).</w:t>
      </w:r>
    </w:p>
    <w:p w:rsidR="003D2318" w:rsidRPr="008B430C" w:rsidRDefault="003D2318" w:rsidP="003D2318">
      <w:pPr>
        <w:pStyle w:val="Ruller5"/>
      </w:pPr>
    </w:p>
    <w:p w:rsidR="003D2318" w:rsidRDefault="003D2318" w:rsidP="003D2318">
      <w:pPr>
        <w:pStyle w:val="Ruller4"/>
        <w:numPr>
          <w:ilvl w:val="0"/>
          <w:numId w:val="0"/>
        </w:numPr>
        <w:rPr>
          <w:rtl/>
        </w:rPr>
      </w:pPr>
      <w:r>
        <w:rPr>
          <w:rtl/>
        </w:rPr>
        <w:tab/>
      </w:r>
      <w:r w:rsidRPr="00F96561">
        <w:rPr>
          <w:rFonts w:hint="cs"/>
          <w:rtl/>
        </w:rPr>
        <w:t xml:space="preserve">ובהמשך לכך </w:t>
      </w:r>
      <w:r>
        <w:rPr>
          <w:rFonts w:hint="cs"/>
          <w:rtl/>
        </w:rPr>
        <w:t>הוסיפה</w:t>
      </w:r>
      <w:r w:rsidRPr="00F96561">
        <w:rPr>
          <w:rFonts w:hint="cs"/>
          <w:rtl/>
        </w:rPr>
        <w:t xml:space="preserve"> חברתי את הדברים הבאים</w:t>
      </w:r>
      <w:r>
        <w:rPr>
          <w:rFonts w:hint="cs"/>
          <w:rtl/>
        </w:rPr>
        <w:t>:</w:t>
      </w:r>
    </w:p>
    <w:p w:rsidR="003D2318" w:rsidRPr="00F96561" w:rsidRDefault="003D2318" w:rsidP="003D2318">
      <w:pPr>
        <w:pStyle w:val="Ruller41"/>
        <w:spacing w:line="240" w:lineRule="auto"/>
        <w:rPr>
          <w:rtl/>
        </w:rPr>
      </w:pPr>
    </w:p>
    <w:p w:rsidR="003D2318" w:rsidRPr="00F96561" w:rsidRDefault="003D2318" w:rsidP="003D2318">
      <w:pPr>
        <w:pStyle w:val="Ruller5"/>
        <w:rPr>
          <w:rtl/>
        </w:rPr>
      </w:pPr>
      <w:r w:rsidRPr="00F96561">
        <w:rPr>
          <w:rFonts w:hint="cs"/>
          <w:rtl/>
        </w:rPr>
        <w:t xml:space="preserve">"הדוגמאות הנוגעות למצבי הקצה שעשויים להצדיק ביקורת שיפוטית על חוקי יסוד לא נועדו ליצור 'מדרון חלקלק' שיפתח את הדלת להתייחסות לחוקי </w:t>
      </w:r>
      <w:r>
        <w:rPr>
          <w:rFonts w:hint="cs"/>
          <w:rtl/>
        </w:rPr>
        <w:t>ה</w:t>
      </w:r>
      <w:r w:rsidRPr="00F96561">
        <w:rPr>
          <w:rFonts w:hint="cs"/>
          <w:rtl/>
        </w:rPr>
        <w:t xml:space="preserve">יסוד כאל חוקים רגילים. הן לא אמורות לשמש הכשר לביקורת שיפוטית כזו גם במקרים אחרים. יש בהן כדי לתרום לוודאות המשפטית, ולהבהיר כי הגשת עתירות נגד חוקי יסוד אינה אמורה להיות חזון נפרץ. העובדה שהדוגמאות הנזכרות כאן נסבות על מקרים קיצוניים שהתממשותם בפועל היא בבחינת 'לא יעלה על הדעת' מלמדת כי המדרון לעבר ביקורת שיפוטית על חוקי יסוד אינו חלקלק כל עיקר. אדרבה, </w:t>
      </w:r>
      <w:r w:rsidRPr="00F96561">
        <w:rPr>
          <w:rFonts w:ascii="Century" w:hAnsi="Century" w:cs="Miriam" w:hint="cs"/>
          <w:b/>
          <w:spacing w:val="0"/>
          <w:szCs w:val="24"/>
          <w:rtl/>
        </w:rPr>
        <w:t>חומת ברזל ברורה עומדת בפתחו</w:t>
      </w:r>
      <w:r w:rsidRPr="008B430C">
        <w:rPr>
          <w:rFonts w:hint="cs"/>
          <w:rtl/>
        </w:rPr>
        <w:t>"</w:t>
      </w:r>
      <w:r>
        <w:rPr>
          <w:rFonts w:hint="cs"/>
          <w:rtl/>
        </w:rPr>
        <w:t xml:space="preserve"> (פסקה 17 לחוות דעתה; ההדגשה הוספה </w:t>
      </w:r>
      <w:r>
        <w:rPr>
          <w:rtl/>
        </w:rPr>
        <w:t>–</w:t>
      </w:r>
      <w:r>
        <w:rPr>
          <w:rFonts w:hint="cs"/>
          <w:rtl/>
        </w:rPr>
        <w:t xml:space="preserve"> י' כ').</w:t>
      </w:r>
      <w:r w:rsidRPr="00F96561">
        <w:rPr>
          <w:rFonts w:hint="cs"/>
          <w:rtl/>
        </w:rPr>
        <w:t xml:space="preserve"> </w:t>
      </w:r>
    </w:p>
    <w:p w:rsidR="003D2318" w:rsidRPr="008B430C" w:rsidRDefault="003D2318" w:rsidP="003D2318">
      <w:pPr>
        <w:pStyle w:val="Ruller5"/>
      </w:pPr>
    </w:p>
    <w:p w:rsidR="003D2318" w:rsidRDefault="003D2318" w:rsidP="00570AC5">
      <w:pPr>
        <w:pStyle w:val="Ruller4"/>
      </w:pPr>
      <w:r w:rsidRPr="00F6544D">
        <w:rPr>
          <w:rFonts w:hint="cs"/>
          <w:rtl/>
        </w:rPr>
        <w:t>השופט</w:t>
      </w:r>
      <w:r>
        <w:rPr>
          <w:rFonts w:hint="cs"/>
          <w:rtl/>
        </w:rPr>
        <w:t xml:space="preserve"> </w:t>
      </w:r>
      <w:r w:rsidRPr="00C944BD">
        <w:rPr>
          <w:rFonts w:ascii="Century" w:hAnsi="Century" w:cs="Miriam" w:hint="cs"/>
          <w:b/>
          <w:spacing w:val="0"/>
          <w:sz w:val="22"/>
          <w:szCs w:val="24"/>
          <w:rtl/>
        </w:rPr>
        <w:t xml:space="preserve">מ' </w:t>
      </w:r>
      <w:r w:rsidRPr="00F96561">
        <w:rPr>
          <w:rFonts w:ascii="Century" w:hAnsi="Century" w:cs="Miriam" w:hint="cs"/>
          <w:b/>
          <w:spacing w:val="0"/>
          <w:sz w:val="22"/>
          <w:szCs w:val="24"/>
          <w:rtl/>
        </w:rPr>
        <w:t>מזוז</w:t>
      </w:r>
      <w:r>
        <w:rPr>
          <w:rFonts w:hint="cs"/>
          <w:rtl/>
        </w:rPr>
        <w:t>, קבע מבחן דומה לזה שנקבע על ידי הנשיאה</w:t>
      </w:r>
      <w:r w:rsidRPr="00F6544D">
        <w:rPr>
          <w:rFonts w:hint="cs"/>
          <w:rtl/>
        </w:rPr>
        <w:t>:</w:t>
      </w:r>
    </w:p>
    <w:p w:rsidR="003D2318" w:rsidRPr="00F6544D" w:rsidRDefault="003D2318" w:rsidP="003D2318">
      <w:pPr>
        <w:pStyle w:val="Ruller4"/>
        <w:numPr>
          <w:ilvl w:val="0"/>
          <w:numId w:val="0"/>
        </w:numPr>
        <w:spacing w:line="240" w:lineRule="auto"/>
      </w:pPr>
      <w:r w:rsidRPr="00F6544D">
        <w:rPr>
          <w:rFonts w:hint="cs"/>
          <w:rtl/>
        </w:rPr>
        <w:t xml:space="preserve"> </w:t>
      </w:r>
    </w:p>
    <w:p w:rsidR="003D2318" w:rsidRPr="00F96561" w:rsidRDefault="003D2318" w:rsidP="003D2318">
      <w:pPr>
        <w:pStyle w:val="Ruller5"/>
        <w:rPr>
          <w:rtl/>
        </w:rPr>
      </w:pPr>
      <w:r w:rsidRPr="00F96561">
        <w:rPr>
          <w:rFonts w:hint="cs"/>
          <w:rtl/>
        </w:rPr>
        <w:t xml:space="preserve">"לא כל </w:t>
      </w:r>
      <w:r>
        <w:rPr>
          <w:rFonts w:hint="cs"/>
          <w:rtl/>
        </w:rPr>
        <w:t>'</w:t>
      </w:r>
      <w:r w:rsidRPr="00F96561">
        <w:rPr>
          <w:rFonts w:hint="cs"/>
          <w:rtl/>
        </w:rPr>
        <w:t>פגיעה</w:t>
      </w:r>
      <w:r>
        <w:rPr>
          <w:rFonts w:hint="cs"/>
          <w:rtl/>
        </w:rPr>
        <w:t>'</w:t>
      </w:r>
      <w:r w:rsidRPr="00F96561">
        <w:rPr>
          <w:rFonts w:hint="cs"/>
          <w:rtl/>
        </w:rPr>
        <w:t xml:space="preserve"> באופי היהודי או הדמוקרטי של המדינה תיחשב כחריגה מהסמכות המכוננת של הכנסת, אלא רק 'מקרי קצה' של פגיעה קשה ומהותית, המערערת את הזהות היהודית או הדמוקרטית של המדינה. </w:t>
      </w:r>
      <w:r w:rsidRPr="00F96561">
        <w:rPr>
          <w:rFonts w:ascii="Century" w:hAnsi="Century" w:cs="Miriam" w:hint="cs"/>
          <w:b/>
          <w:spacing w:val="0"/>
          <w:szCs w:val="24"/>
          <w:rtl/>
        </w:rPr>
        <w:t>המדובר במצבים חריגים וקיצוניים השוללים את ליבת הזהות היהודית או הדמוקרטית של המדינה ואת תכונות המינימום לשימור זהותה היהודית או הדמוקרטית</w:t>
      </w:r>
      <w:r w:rsidRPr="008B430C">
        <w:rPr>
          <w:rFonts w:hint="cs"/>
          <w:rtl/>
        </w:rPr>
        <w:t>" (</w:t>
      </w:r>
      <w:r>
        <w:rPr>
          <w:rFonts w:hint="cs"/>
          <w:rtl/>
        </w:rPr>
        <w:t xml:space="preserve">פסקה 13 לחוות דעתו; ההדגשה הוספה </w:t>
      </w:r>
      <w:r>
        <w:rPr>
          <w:rtl/>
        </w:rPr>
        <w:t>–</w:t>
      </w:r>
      <w:r>
        <w:rPr>
          <w:rFonts w:hint="cs"/>
          <w:rtl/>
        </w:rPr>
        <w:t xml:space="preserve"> י' כ'</w:t>
      </w:r>
      <w:r w:rsidRPr="00F96561">
        <w:rPr>
          <w:rFonts w:hint="cs"/>
          <w:rtl/>
        </w:rPr>
        <w:t>).</w:t>
      </w:r>
    </w:p>
    <w:p w:rsidR="003D2318" w:rsidRPr="008B430C" w:rsidRDefault="003D2318" w:rsidP="003D2318">
      <w:pPr>
        <w:pStyle w:val="Ruller5"/>
      </w:pPr>
    </w:p>
    <w:p w:rsidR="003D2318" w:rsidRDefault="003D2318" w:rsidP="00570AC5">
      <w:pPr>
        <w:pStyle w:val="Ruller4"/>
        <w:rPr>
          <w:rtl/>
        </w:rPr>
      </w:pPr>
      <w:r>
        <w:rPr>
          <w:rFonts w:hint="cs"/>
          <w:rtl/>
        </w:rPr>
        <w:t xml:space="preserve">המשנה לנשיאה </w:t>
      </w:r>
      <w:r w:rsidRPr="00C944BD">
        <w:rPr>
          <w:rFonts w:ascii="Century" w:hAnsi="Century" w:cs="Miriam" w:hint="cs"/>
          <w:b/>
          <w:spacing w:val="0"/>
          <w:sz w:val="22"/>
          <w:szCs w:val="24"/>
          <w:rtl/>
        </w:rPr>
        <w:t>ח'</w:t>
      </w:r>
      <w:r w:rsidRPr="00F96561">
        <w:rPr>
          <w:rFonts w:ascii="Century" w:hAnsi="Century" w:cs="Miriam" w:hint="cs"/>
          <w:b/>
          <w:spacing w:val="0"/>
          <w:sz w:val="22"/>
          <w:szCs w:val="24"/>
          <w:rtl/>
        </w:rPr>
        <w:t xml:space="preserve"> מלצר</w:t>
      </w:r>
      <w:r>
        <w:rPr>
          <w:rFonts w:hint="cs"/>
          <w:rtl/>
        </w:rPr>
        <w:t xml:space="preserve">, והשופטים </w:t>
      </w:r>
      <w:r w:rsidRPr="00C944BD">
        <w:rPr>
          <w:rFonts w:ascii="Century" w:hAnsi="Century" w:cs="Miriam" w:hint="cs"/>
          <w:b/>
          <w:spacing w:val="0"/>
          <w:sz w:val="22"/>
          <w:szCs w:val="24"/>
          <w:rtl/>
        </w:rPr>
        <w:t>ע'</w:t>
      </w:r>
      <w:r w:rsidRPr="00F96561">
        <w:rPr>
          <w:rFonts w:ascii="Century" w:hAnsi="Century" w:cs="Miriam" w:hint="cs"/>
          <w:b/>
          <w:spacing w:val="0"/>
          <w:sz w:val="22"/>
          <w:szCs w:val="24"/>
          <w:rtl/>
        </w:rPr>
        <w:t xml:space="preserve"> פולגמן</w:t>
      </w:r>
      <w:r>
        <w:rPr>
          <w:rFonts w:hint="cs"/>
          <w:rtl/>
        </w:rPr>
        <w:t xml:space="preserve">, </w:t>
      </w:r>
      <w:r w:rsidRPr="00C944BD">
        <w:rPr>
          <w:rFonts w:ascii="Century" w:hAnsi="Century" w:cs="Miriam" w:hint="cs"/>
          <w:b/>
          <w:spacing w:val="0"/>
          <w:sz w:val="22"/>
          <w:szCs w:val="24"/>
          <w:rtl/>
        </w:rPr>
        <w:t>י'</w:t>
      </w:r>
      <w:r w:rsidRPr="00F96561">
        <w:rPr>
          <w:rFonts w:ascii="Century" w:hAnsi="Century" w:cs="Miriam" w:hint="cs"/>
          <w:b/>
          <w:spacing w:val="0"/>
          <w:sz w:val="22"/>
          <w:szCs w:val="24"/>
          <w:rtl/>
        </w:rPr>
        <w:t xml:space="preserve"> עמית</w:t>
      </w:r>
      <w:r>
        <w:rPr>
          <w:rFonts w:hint="cs"/>
          <w:rtl/>
        </w:rPr>
        <w:t xml:space="preserve">  ו-</w:t>
      </w:r>
      <w:r w:rsidRPr="00C944BD">
        <w:rPr>
          <w:rFonts w:ascii="Century" w:hAnsi="Century" w:cs="Miriam" w:hint="cs"/>
          <w:b/>
          <w:spacing w:val="0"/>
          <w:sz w:val="22"/>
          <w:szCs w:val="24"/>
          <w:rtl/>
        </w:rPr>
        <w:t>ע'</w:t>
      </w:r>
      <w:r w:rsidRPr="00F96561">
        <w:rPr>
          <w:rFonts w:ascii="Century" w:hAnsi="Century" w:cs="Miriam" w:hint="cs"/>
          <w:b/>
          <w:spacing w:val="0"/>
          <w:sz w:val="22"/>
          <w:szCs w:val="24"/>
          <w:rtl/>
        </w:rPr>
        <w:t xml:space="preserve"> ברון</w:t>
      </w:r>
      <w:r>
        <w:rPr>
          <w:rFonts w:hint="cs"/>
          <w:rtl/>
        </w:rPr>
        <w:t xml:space="preserve">, הצטרפו לעמדתה של הנשיאה, על כל נימוקיה. גם השופט </w:t>
      </w:r>
      <w:r w:rsidRPr="00C944BD">
        <w:rPr>
          <w:rFonts w:ascii="Century" w:hAnsi="Century" w:cs="Miriam" w:hint="cs"/>
          <w:b/>
          <w:spacing w:val="0"/>
          <w:sz w:val="22"/>
          <w:szCs w:val="24"/>
          <w:rtl/>
        </w:rPr>
        <w:t>ג'</w:t>
      </w:r>
      <w:r w:rsidRPr="00F96561">
        <w:rPr>
          <w:rFonts w:ascii="Century" w:hAnsi="Century" w:cs="Miriam" w:hint="cs"/>
          <w:b/>
          <w:spacing w:val="0"/>
          <w:sz w:val="22"/>
          <w:szCs w:val="24"/>
          <w:rtl/>
        </w:rPr>
        <w:t xml:space="preserve"> קרא</w:t>
      </w:r>
      <w:r>
        <w:rPr>
          <w:rFonts w:hint="cs"/>
          <w:rtl/>
        </w:rPr>
        <w:t xml:space="preserve">, שהיה בדעת מיעוט בעניין </w:t>
      </w:r>
      <w:r w:rsidRPr="00F96561">
        <w:rPr>
          <w:rFonts w:ascii="Century" w:hAnsi="Century" w:cs="Miriam" w:hint="cs"/>
          <w:b/>
          <w:spacing w:val="0"/>
          <w:sz w:val="22"/>
          <w:szCs w:val="24"/>
          <w:rtl/>
        </w:rPr>
        <w:t>חסון</w:t>
      </w:r>
      <w:r>
        <w:rPr>
          <w:rFonts w:hint="cs"/>
          <w:rtl/>
        </w:rPr>
        <w:t xml:space="preserve">, אימץ את המבחן הצר שהותווה על ידי חבריו, בקבעו: </w:t>
      </w:r>
      <w:r w:rsidRPr="00F96561">
        <w:rPr>
          <w:rFonts w:ascii="Century" w:hAnsi="Century" w:hint="cs"/>
          <w:sz w:val="22"/>
          <w:rtl/>
        </w:rPr>
        <w:t>"</w:t>
      </w:r>
      <w:r w:rsidRPr="00F96561">
        <w:rPr>
          <w:rFonts w:ascii="Century" w:hAnsi="Century" w:cs="Miriam" w:hint="cs"/>
          <w:b/>
          <w:spacing w:val="0"/>
          <w:sz w:val="22"/>
          <w:szCs w:val="24"/>
          <w:rtl/>
        </w:rPr>
        <w:t>כל הגישות המתוארות מתלכדות לשאלה המכרעת שהיא האם חוק היסוד או התיקון לו שוללים את ליבת הזהות היהודית או הדמוקרטית של המדינה</w:t>
      </w:r>
      <w:r w:rsidRPr="00C944BD">
        <w:rPr>
          <w:rFonts w:ascii="Century" w:hAnsi="Century" w:hint="cs"/>
          <w:sz w:val="22"/>
          <w:rtl/>
        </w:rPr>
        <w:t>"</w:t>
      </w:r>
      <w:r>
        <w:rPr>
          <w:rFonts w:hint="cs"/>
          <w:rtl/>
        </w:rPr>
        <w:t xml:space="preserve"> (פסקה 13 לחוות דעתו).</w:t>
      </w:r>
    </w:p>
    <w:p w:rsidR="003D2318" w:rsidRPr="00C944BD" w:rsidRDefault="003D2318" w:rsidP="003D2318">
      <w:pPr>
        <w:pStyle w:val="Ruller41"/>
        <w:spacing w:line="240" w:lineRule="auto"/>
      </w:pPr>
    </w:p>
    <w:p w:rsidR="003D2318" w:rsidRDefault="003D2318" w:rsidP="00570AC5">
      <w:pPr>
        <w:pStyle w:val="Ruller4"/>
        <w:rPr>
          <w:rtl/>
        </w:rPr>
      </w:pPr>
      <w:r>
        <w:rPr>
          <w:rFonts w:hint="cs"/>
          <w:rtl/>
        </w:rPr>
        <w:t xml:space="preserve">לא יהיה זה מיותר לציין כי כל הצדדים אשר בפנינו, אשר תומכים בקבלת העתירות (ובחריג בודד </w:t>
      </w:r>
      <w:r>
        <w:rPr>
          <w:rtl/>
        </w:rPr>
        <w:t>–</w:t>
      </w:r>
      <w:r>
        <w:rPr>
          <w:rFonts w:hint="cs"/>
          <w:rtl/>
        </w:rPr>
        <w:t xml:space="preserve"> האגודה לזכויות האזרח במעמדה כ-"ידיד בית המשפט"), לא ביקשו כלל להרחיב את המבחן הצר דלעיל, אלא אמצו אותו ונסמכו עליו.</w:t>
      </w:r>
    </w:p>
    <w:p w:rsidR="003D2318" w:rsidRPr="00C944BD"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כך, טוענת היועצת המשפטית לממשלה ל-</w:t>
      </w:r>
      <w:r w:rsidRPr="00F96561">
        <w:rPr>
          <w:rFonts w:ascii="Century" w:hAnsi="Century" w:hint="cs"/>
          <w:rtl/>
        </w:rPr>
        <w:t>"</w:t>
      </w:r>
      <w:r w:rsidRPr="00F96561">
        <w:rPr>
          <w:rFonts w:ascii="Century" w:hAnsi="Century" w:cs="Miriam" w:hint="cs"/>
          <w:b/>
          <w:spacing w:val="0"/>
          <w:szCs w:val="24"/>
          <w:rtl/>
        </w:rPr>
        <w:t>פגיעה קשה בעצם קיומה של מדינת ישראל כמדינה יהודית ודמוקרטית</w:t>
      </w:r>
      <w:r w:rsidRPr="00F96561">
        <w:rPr>
          <w:rFonts w:ascii="Century" w:hAnsi="Century" w:hint="cs"/>
          <w:rtl/>
        </w:rPr>
        <w:t>"</w:t>
      </w:r>
      <w:r w:rsidRPr="008B430C">
        <w:rPr>
          <w:rFonts w:hint="cs"/>
          <w:rtl/>
        </w:rPr>
        <w:t xml:space="preserve"> (</w:t>
      </w:r>
      <w:r>
        <w:rPr>
          <w:rFonts w:hint="cs"/>
          <w:rtl/>
        </w:rPr>
        <w:t xml:space="preserve">פסקה 19 סיפא לתגובתה, וראו ניסוח דומה בפסקה 9). בניסוח מעט אחר נטען על ידי היועצת המשפטית לממשלה כי: </w:t>
      </w:r>
      <w:r w:rsidRPr="00F96561">
        <w:rPr>
          <w:rFonts w:ascii="Century" w:hAnsi="Century" w:hint="cs"/>
          <w:rtl/>
        </w:rPr>
        <w:t>"</w:t>
      </w:r>
      <w:r w:rsidRPr="00F96561">
        <w:rPr>
          <w:rFonts w:ascii="Century" w:hAnsi="Century" w:cs="Miriam" w:hint="cs"/>
          <w:b/>
          <w:spacing w:val="0"/>
          <w:szCs w:val="24"/>
          <w:rtl/>
        </w:rPr>
        <w:t>בישראל משמעות ההגבלה היא שהרשות המכוננת מנועה מלבצע שינויים בחוקי היסוד, שתוצאתם שלילת אופייה של ישראל כמדינה יהודית או כמדינה דמוקרטית</w:t>
      </w:r>
      <w:r w:rsidRPr="00F96561">
        <w:rPr>
          <w:rFonts w:ascii="Century" w:hAnsi="Century" w:hint="cs"/>
          <w:rtl/>
        </w:rPr>
        <w:t>"</w:t>
      </w:r>
      <w:r>
        <w:rPr>
          <w:rFonts w:hint="cs"/>
          <w:rtl/>
        </w:rPr>
        <w:t xml:space="preserve"> (פסקה 25 לתגובתה; וראו גם פסקה 27).</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בהמשך התגובה</w:t>
      </w:r>
      <w:r>
        <w:rPr>
          <w:rFonts w:hint="cs"/>
        </w:rPr>
        <w:t xml:space="preserve"> </w:t>
      </w:r>
      <w:r>
        <w:rPr>
          <w:rFonts w:hint="cs"/>
          <w:rtl/>
        </w:rPr>
        <w:t xml:space="preserve">(פסקה 216), מאמצת היועצת המשפטית לממשלה, במפורש, את המבחן שנקבע על ידי הנשיאה בעניין </w:t>
      </w:r>
      <w:r w:rsidRPr="00F96561">
        <w:rPr>
          <w:rFonts w:ascii="Century" w:hAnsi="Century" w:cs="Miriam" w:hint="cs"/>
          <w:b/>
          <w:spacing w:val="0"/>
          <w:szCs w:val="24"/>
          <w:rtl/>
        </w:rPr>
        <w:t>חסון</w:t>
      </w:r>
      <w:r>
        <w:rPr>
          <w:rFonts w:hint="cs"/>
          <w:rtl/>
        </w:rPr>
        <w:t>.</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כך גם בעתירת העותרת בבג"ץ 5658/23 (פסקאות 237, 253, 393), בעתירת</w:t>
      </w:r>
      <w:r>
        <w:rPr>
          <w:rFonts w:hint="cs"/>
        </w:rPr>
        <w:t xml:space="preserve"> </w:t>
      </w:r>
      <w:r>
        <w:rPr>
          <w:rFonts w:hint="cs"/>
          <w:rtl/>
        </w:rPr>
        <w:t>העותרים בבג"ץ 5663/23 (פסקה 231); בעתירת העותרים בבג"ץ 5659/23 (פסקאות 232 ו-239); בעתירת העותר בבג"ץ 5660/23 (פסקאות 75-69); ובעתירת בעותרת בבג"ץ 5661/23 (פסקאות 88 ו-92).</w:t>
      </w:r>
    </w:p>
    <w:p w:rsidR="003D2318" w:rsidRPr="000F6459" w:rsidRDefault="003D2318" w:rsidP="003D2318">
      <w:pPr>
        <w:pStyle w:val="Ruller41"/>
        <w:spacing w:line="240" w:lineRule="auto"/>
        <w:rPr>
          <w:rtl/>
        </w:rPr>
      </w:pPr>
    </w:p>
    <w:p w:rsidR="003D2318" w:rsidRDefault="003D2318" w:rsidP="00570AC5">
      <w:pPr>
        <w:pStyle w:val="Ruller4"/>
      </w:pPr>
      <w:r>
        <w:rPr>
          <w:rFonts w:hint="cs"/>
          <w:rtl/>
        </w:rPr>
        <w:t xml:space="preserve">אמור מעתה: כדי שייקבע שתיקון לחוק יסוד נעשה בחריגה מסמכות, על האמור בו לשלול את ליבת הזהות היהודית או הדמוקרטית של המדינה, בכך שהינו פוגע פגיעה </w:t>
      </w:r>
      <w:r>
        <w:rPr>
          <w:rFonts w:hint="cs"/>
          <w:rtl/>
        </w:rPr>
        <w:lastRenderedPageBreak/>
        <w:t xml:space="preserve">אנושה </w:t>
      </w:r>
      <w:r w:rsidRPr="00A84062">
        <w:rPr>
          <w:rFonts w:hint="cs"/>
          <w:sz w:val="28"/>
          <w:rtl/>
        </w:rPr>
        <w:t xml:space="preserve">במאפייני הזהות הגרעיניים </w:t>
      </w:r>
      <w:r>
        <w:rPr>
          <w:rFonts w:hint="cs"/>
          <w:sz w:val="28"/>
          <w:rtl/>
        </w:rPr>
        <w:t>ה</w:t>
      </w:r>
      <w:r w:rsidRPr="00A84062">
        <w:rPr>
          <w:rFonts w:hint="cs"/>
          <w:sz w:val="28"/>
          <w:rtl/>
        </w:rPr>
        <w:t>מינימאליים של מדינת ישראל כמדינה יהודית או כמדינה דמוקרטית</w:t>
      </w:r>
      <w:r w:rsidRPr="00DC4185">
        <w:rPr>
          <w:rFonts w:hint="cs"/>
          <w:b/>
          <w:bCs/>
          <w:sz w:val="28"/>
          <w:rtl/>
        </w:rPr>
        <w:t>.</w:t>
      </w:r>
      <w:r>
        <w:rPr>
          <w:rFonts w:hint="cs"/>
          <w:rtl/>
        </w:rPr>
        <w:t xml:space="preserve"> לפי גישה מצמצמת עוד יותר, על התיקון להוות "שבירת כלים"</w:t>
      </w:r>
      <w:r w:rsidRPr="00A84062">
        <w:rPr>
          <w:rFonts w:hint="cs"/>
          <w:rtl/>
        </w:rPr>
        <w:t>, במובן של הרס בלתי הפיך של השיטה החוקתית</w:t>
      </w:r>
      <w:r>
        <w:rPr>
          <w:rFonts w:hint="cs"/>
          <w:rtl/>
        </w:rPr>
        <w:t>.</w:t>
      </w:r>
    </w:p>
    <w:p w:rsidR="003D2318" w:rsidRDefault="003D2318" w:rsidP="003D2318">
      <w:pPr>
        <w:pStyle w:val="Ruller4"/>
        <w:numPr>
          <w:ilvl w:val="0"/>
          <w:numId w:val="0"/>
        </w:numPr>
      </w:pPr>
    </w:p>
    <w:p w:rsidR="003D2318" w:rsidRPr="00F96561" w:rsidRDefault="003D2318" w:rsidP="003D2318">
      <w:pPr>
        <w:pStyle w:val="Ruller4"/>
        <w:numPr>
          <w:ilvl w:val="0"/>
          <w:numId w:val="0"/>
        </w:numPr>
        <w:rPr>
          <w:rFonts w:ascii="Century" w:hAnsi="Century" w:cs="Miriam"/>
          <w:b/>
          <w:spacing w:val="0"/>
          <w:sz w:val="22"/>
          <w:szCs w:val="24"/>
          <w:rtl/>
        </w:rPr>
      </w:pPr>
      <w:r w:rsidRPr="00F96561">
        <w:rPr>
          <w:rFonts w:ascii="Century" w:hAnsi="Century" w:cs="Miriam" w:hint="cs"/>
          <w:b/>
          <w:spacing w:val="0"/>
          <w:sz w:val="22"/>
          <w:szCs w:val="24"/>
          <w:rtl/>
        </w:rPr>
        <w:t xml:space="preserve">האם בחקיקה התיקון לחוק יסוד: השפיטה, חרגה הכנסת מסמכותה? </w:t>
      </w:r>
      <w:r w:rsidRPr="00F96561">
        <w:rPr>
          <w:rFonts w:ascii="Century" w:hAnsi="Century" w:cs="Miriam"/>
          <w:b/>
          <w:spacing w:val="0"/>
          <w:sz w:val="22"/>
          <w:szCs w:val="24"/>
          <w:rtl/>
        </w:rPr>
        <w:t>–</w:t>
      </w:r>
      <w:r w:rsidRPr="00F96561">
        <w:rPr>
          <w:rFonts w:ascii="Century" w:hAnsi="Century" w:cs="Miriam" w:hint="cs"/>
          <w:b/>
          <w:spacing w:val="0"/>
          <w:sz w:val="22"/>
          <w:szCs w:val="24"/>
          <w:rtl/>
        </w:rPr>
        <w:t xml:space="preserve"> יישום המבחן</w:t>
      </w:r>
    </w:p>
    <w:p w:rsidR="003D2318" w:rsidRDefault="003D2318" w:rsidP="003D2318">
      <w:pPr>
        <w:pStyle w:val="Ruller41"/>
        <w:spacing w:line="240" w:lineRule="auto"/>
        <w:rPr>
          <w:b/>
          <w:bCs/>
          <w:u w:val="single"/>
          <w:rtl/>
        </w:rPr>
      </w:pPr>
    </w:p>
    <w:p w:rsidR="003D2318" w:rsidRDefault="003D2318" w:rsidP="00570AC5">
      <w:pPr>
        <w:pStyle w:val="Ruller4"/>
        <w:rPr>
          <w:rtl/>
        </w:rPr>
      </w:pPr>
      <w:r>
        <w:rPr>
          <w:rFonts w:hint="cs"/>
          <w:rtl/>
        </w:rPr>
        <w:t>ומשעמדתי על המבחן הרלוונטי, נותר להשיב על השאלה: האמנם התיקון דנן שולל את ליבת הזהות הדמוקרטית של המדינה? האם הינו פוגע פגיעה אנושה בגרעינים המינימאליים של מדינת ישראל כמדינה דמוקרטית? האם יש בו משום 'שבירת כלים' והרס בלתי הפיך של השיטה החוקתית?</w:t>
      </w:r>
    </w:p>
    <w:p w:rsidR="003D2318" w:rsidRPr="00012CD0"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על כך אעשה כמיטב יכולתי להשיב להלן.</w:t>
      </w:r>
    </w:p>
    <w:p w:rsidR="003D2318" w:rsidRPr="008A659A" w:rsidRDefault="003D2318" w:rsidP="003D2318">
      <w:pPr>
        <w:pStyle w:val="Ruller41"/>
        <w:spacing w:line="240" w:lineRule="auto"/>
      </w:pPr>
    </w:p>
    <w:p w:rsidR="003D2318" w:rsidRDefault="003D2318" w:rsidP="00570AC5">
      <w:pPr>
        <w:pStyle w:val="Ruller4"/>
        <w:rPr>
          <w:rtl/>
        </w:rPr>
      </w:pPr>
      <w:r>
        <w:rPr>
          <w:rFonts w:hint="cs"/>
          <w:rtl/>
        </w:rPr>
        <w:t>מהותו של התיקון הינו בשינוי נקודת האיזון בתחום הביקורת השיפוטית על הדרג המיניסטריאלי (הממשלה, ראש הממשלה, ושרי הממשלה), תוך החלשה של הביקורת השיפוטית והגברת כוחם של הממשלה ושריה.</w:t>
      </w:r>
    </w:p>
    <w:p w:rsidR="003D2318" w:rsidRPr="00012CD0"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זוהי קביעתו של התיקון </w:t>
      </w:r>
      <w:r>
        <w:rPr>
          <w:rtl/>
        </w:rPr>
        <w:t>–</w:t>
      </w:r>
      <w:r>
        <w:rPr>
          <w:rFonts w:hint="cs"/>
          <w:rtl/>
        </w:rPr>
        <w:t xml:space="preserve"> סיוג הביקורת השיפוטית על החלטות הממשלה ושריה </w:t>
      </w:r>
      <w:r>
        <w:rPr>
          <w:rtl/>
        </w:rPr>
        <w:t>–</w:t>
      </w:r>
      <w:r>
        <w:rPr>
          <w:rFonts w:hint="cs"/>
          <w:rtl/>
        </w:rPr>
        <w:t xml:space="preserve"> וזוהי גם הכוונה המוצהרת של מחוקקיו (וראו גם פסקה 169 לתגובת גורמי הממשלה).</w:t>
      </w:r>
    </w:p>
    <w:p w:rsidR="003D2318" w:rsidRDefault="003D2318" w:rsidP="003D2318">
      <w:pPr>
        <w:pStyle w:val="Ruller41"/>
        <w:spacing w:line="240" w:lineRule="auto"/>
        <w:rPr>
          <w:rtl/>
        </w:rPr>
      </w:pPr>
    </w:p>
    <w:p w:rsidR="003D2318" w:rsidRDefault="003D2318" w:rsidP="00570AC5">
      <w:pPr>
        <w:pStyle w:val="Ruller4"/>
        <w:rPr>
          <w:rtl/>
        </w:rPr>
      </w:pPr>
      <w:r>
        <w:rPr>
          <w:rFonts w:hint="cs"/>
          <w:rtl/>
        </w:rPr>
        <w:t xml:space="preserve">באשר לזיהויים של אותם "יסודות גרעיניים" של המדינה כמדינה דמוקרטית, אימצה הנשיאה, בפסק הדין בעניין </w:t>
      </w:r>
      <w:r w:rsidRPr="00F96561">
        <w:rPr>
          <w:rFonts w:ascii="Century" w:hAnsi="Century" w:cs="Miriam" w:hint="cs"/>
          <w:b/>
          <w:spacing w:val="0"/>
          <w:sz w:val="22"/>
          <w:szCs w:val="24"/>
          <w:rtl/>
        </w:rPr>
        <w:t>חסון</w:t>
      </w:r>
      <w:r>
        <w:rPr>
          <w:rFonts w:hint="cs"/>
          <w:rtl/>
        </w:rPr>
        <w:t xml:space="preserve">, דברים שנקבעו בפסיקה קודמת (א"ב 11280/02 </w:t>
      </w:r>
      <w:r w:rsidRPr="00F96561">
        <w:rPr>
          <w:rFonts w:ascii="Century" w:hAnsi="Century" w:cs="Miriam" w:hint="cs"/>
          <w:b/>
          <w:spacing w:val="0"/>
          <w:sz w:val="22"/>
          <w:szCs w:val="24"/>
          <w:rtl/>
        </w:rPr>
        <w:t>ועדת הבחירות המרכזית לכנסת השש-עשרה נ' טיבי</w:t>
      </w:r>
      <w:r>
        <w:rPr>
          <w:rFonts w:hint="cs"/>
          <w:rtl/>
        </w:rPr>
        <w:t>, פ"ד נז(4) 1, 23 (2003)), וקבעה:</w:t>
      </w:r>
    </w:p>
    <w:p w:rsidR="003D2318" w:rsidRDefault="003D2318" w:rsidP="003D2318">
      <w:pPr>
        <w:pStyle w:val="Ruller41"/>
        <w:spacing w:line="240" w:lineRule="auto"/>
        <w:rPr>
          <w:rtl/>
        </w:rPr>
      </w:pPr>
    </w:p>
    <w:p w:rsidR="003D2318" w:rsidRPr="00F96561" w:rsidRDefault="003D2318" w:rsidP="003D2318">
      <w:pPr>
        <w:pStyle w:val="Ruller5"/>
        <w:rPr>
          <w:rtl/>
        </w:rPr>
      </w:pPr>
      <w:r w:rsidRPr="00F96561">
        <w:rPr>
          <w:rFonts w:hint="cs"/>
          <w:rtl/>
        </w:rPr>
        <w:t>"בדומה</w:t>
      </w:r>
      <w:r>
        <w:rPr>
          <w:rFonts w:hint="cs"/>
          <w:rtl/>
        </w:rPr>
        <w:t>,</w:t>
      </w:r>
      <w:r w:rsidRPr="00F96561">
        <w:rPr>
          <w:rFonts w:hint="cs"/>
          <w:sz w:val="24"/>
          <w:szCs w:val="24"/>
          <w:rtl/>
        </w:rPr>
        <w:t xml:space="preserve"> </w:t>
      </w:r>
      <w:r w:rsidRPr="00F96561">
        <w:rPr>
          <w:rFonts w:hint="cs"/>
          <w:rtl/>
        </w:rPr>
        <w:t xml:space="preserve">לא ניתן ליישב חוק יסוד שפוגע פגיעה אנושה בעקרונות דמוקרטיים בסיסיים </w:t>
      </w:r>
      <w:r w:rsidRPr="00F96561">
        <w:rPr>
          <w:rtl/>
        </w:rPr>
        <w:t>–</w:t>
      </w:r>
      <w:r w:rsidRPr="00F96561">
        <w:rPr>
          <w:rFonts w:hint="cs"/>
          <w:rtl/>
        </w:rPr>
        <w:t xml:space="preserve"> ובכלל זאת </w:t>
      </w:r>
      <w:r w:rsidRPr="00F96561">
        <w:rPr>
          <w:rFonts w:ascii="Century" w:hAnsi="Century" w:cs="Miriam" w:hint="cs"/>
          <w:b/>
          <w:spacing w:val="0"/>
          <w:szCs w:val="24"/>
          <w:rtl/>
        </w:rPr>
        <w:t>'בחירות חופשיות ושוות; הכרה בגרעין של זכויות אדם</w:t>
      </w:r>
      <w:r>
        <w:rPr>
          <w:rFonts w:ascii="Century" w:hAnsi="Century" w:cs="Miriam" w:hint="cs"/>
          <w:b/>
          <w:spacing w:val="0"/>
          <w:szCs w:val="24"/>
          <w:rtl/>
        </w:rPr>
        <w:t xml:space="preserve"> [...]</w:t>
      </w:r>
      <w:r w:rsidRPr="00012CD0">
        <w:rPr>
          <w:rFonts w:ascii="Century" w:hAnsi="Century" w:cs="Miriam" w:hint="cs"/>
          <w:b/>
          <w:spacing w:val="0"/>
          <w:szCs w:val="24"/>
          <w:rtl/>
        </w:rPr>
        <w:t>;</w:t>
      </w:r>
      <w:r w:rsidRPr="00F96561">
        <w:rPr>
          <w:rFonts w:ascii="Century" w:hAnsi="Century" w:cs="Miriam" w:hint="cs"/>
          <w:b/>
          <w:spacing w:val="0"/>
          <w:szCs w:val="24"/>
          <w:rtl/>
        </w:rPr>
        <w:t xml:space="preserve"> קיום הפרדת רשויות; שלטון החוק; ורשות שופטת עצמאית'</w:t>
      </w:r>
      <w:r w:rsidRPr="00F96561">
        <w:rPr>
          <w:rFonts w:hint="cs"/>
          <w:rtl/>
        </w:rPr>
        <w:t xml:space="preserve"> </w:t>
      </w:r>
      <w:r w:rsidRPr="00F96561">
        <w:rPr>
          <w:rtl/>
        </w:rPr>
        <w:t>–</w:t>
      </w:r>
      <w:r w:rsidRPr="00F96561">
        <w:rPr>
          <w:rFonts w:hint="cs"/>
          <w:rtl/>
        </w:rPr>
        <w:t xml:space="preserve"> עם היותה של ישראל מדינה דמוקרטית</w:t>
      </w:r>
      <w:r w:rsidRPr="008B430C">
        <w:rPr>
          <w:rFonts w:hint="cs"/>
          <w:sz w:val="24"/>
          <w:szCs w:val="24"/>
          <w:rtl/>
        </w:rPr>
        <w:t>"</w:t>
      </w:r>
      <w:r>
        <w:rPr>
          <w:rFonts w:hint="cs"/>
          <w:rtl/>
        </w:rPr>
        <w:t xml:space="preserve"> (פסקה 29 לפסק דינה של הנשיאה; ההדגשה הוספה, ההפניה הושמטה </w:t>
      </w:r>
      <w:r>
        <w:rPr>
          <w:rtl/>
        </w:rPr>
        <w:t>–</w:t>
      </w:r>
      <w:r>
        <w:rPr>
          <w:rFonts w:hint="cs"/>
          <w:rtl/>
        </w:rPr>
        <w:t xml:space="preserve"> י' כ').</w:t>
      </w:r>
    </w:p>
    <w:p w:rsidR="003D2318" w:rsidRPr="001A605F" w:rsidRDefault="003D2318" w:rsidP="003D2318">
      <w:pPr>
        <w:pStyle w:val="Ruller5"/>
        <w:rPr>
          <w:rtl/>
        </w:rPr>
      </w:pPr>
    </w:p>
    <w:p w:rsidR="003D2318" w:rsidRDefault="003D2318" w:rsidP="003D2318">
      <w:pPr>
        <w:pStyle w:val="Ruller41"/>
        <w:rPr>
          <w:rtl/>
        </w:rPr>
      </w:pPr>
      <w:r>
        <w:rPr>
          <w:rtl/>
        </w:rPr>
        <w:tab/>
      </w:r>
      <w:r>
        <w:rPr>
          <w:rFonts w:hint="cs"/>
          <w:rtl/>
        </w:rPr>
        <w:t>האמור לעיל מקובל גם עליי.</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ברור כי מבין חמשת העיקרים דלעיל, רלוונטיים לעניינו </w:t>
      </w:r>
      <w:r w:rsidRPr="00F96561">
        <w:rPr>
          <w:rFonts w:ascii="Century" w:hAnsi="Century" w:hint="cs"/>
          <w:rtl/>
        </w:rPr>
        <w:t>"</w:t>
      </w:r>
      <w:r w:rsidRPr="00F96561">
        <w:rPr>
          <w:rFonts w:ascii="Century" w:hAnsi="Century" w:cs="Miriam" w:hint="cs"/>
          <w:b/>
          <w:spacing w:val="0"/>
          <w:szCs w:val="24"/>
          <w:rtl/>
        </w:rPr>
        <w:t>קיום הפרדת רשויות</w:t>
      </w:r>
      <w:r w:rsidRPr="00F96561">
        <w:rPr>
          <w:rFonts w:ascii="Century" w:hAnsi="Century" w:hint="cs"/>
          <w:rtl/>
        </w:rPr>
        <w:t>"</w:t>
      </w:r>
      <w:r>
        <w:rPr>
          <w:rFonts w:hint="cs"/>
          <w:rtl/>
        </w:rPr>
        <w:t xml:space="preserve"> ו-</w:t>
      </w:r>
      <w:r w:rsidRPr="00F96561">
        <w:rPr>
          <w:rFonts w:hint="cs"/>
          <w:rtl/>
        </w:rPr>
        <w:t>"</w:t>
      </w:r>
      <w:r w:rsidRPr="00F96561">
        <w:rPr>
          <w:rFonts w:ascii="Century" w:hAnsi="Century" w:cs="Miriam" w:hint="cs"/>
          <w:b/>
          <w:spacing w:val="0"/>
          <w:szCs w:val="24"/>
          <w:rtl/>
        </w:rPr>
        <w:t>שלטון החוק</w:t>
      </w:r>
      <w:r w:rsidRPr="00F96561">
        <w:rPr>
          <w:rFonts w:hint="cs"/>
          <w:rtl/>
        </w:rPr>
        <w:t>"</w:t>
      </w:r>
      <w:r w:rsidRPr="00012CD0">
        <w:rPr>
          <w:rFonts w:hint="cs"/>
          <w:rtl/>
        </w:rPr>
        <w:t>.</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בהערת אגב אציין כי נטען בפנינו, בעיקר על ידי התנועה למען איכות השלטון בישראל,  כי התיקון דנן פוגע בעצמאותה של הרשות השופטת. להשקפתי, טיעון זה הינו חסר בסיס, שכן סמכות וגדר הסמכות </w:t>
      </w:r>
      <w:r>
        <w:rPr>
          <w:rtl/>
        </w:rPr>
        <w:t>–</w:t>
      </w:r>
      <w:r>
        <w:rPr>
          <w:rFonts w:hint="cs"/>
          <w:rtl/>
        </w:rPr>
        <w:t xml:space="preserve"> לחוד, ועצמאות </w:t>
      </w:r>
      <w:r>
        <w:rPr>
          <w:rtl/>
        </w:rPr>
        <w:t>–</w:t>
      </w:r>
      <w:r>
        <w:rPr>
          <w:rFonts w:hint="cs"/>
          <w:rtl/>
        </w:rPr>
        <w:t xml:space="preserve"> לחוד. כך יכול גוף להיות בעל סמכות מצומצמת ולהיות בעל עצמאות בדרגה גבוהה, וההפך: להיות בעל סמכות רחבה ודרגת עצמאות נמוכה. עניינו של התיקון דנן בהצרת סמכותה של הרשות השופטת, לא בעצמאותה.</w:t>
      </w:r>
    </w:p>
    <w:p w:rsidR="003D2318" w:rsidRPr="001A605F" w:rsidRDefault="003D2318" w:rsidP="003D2318">
      <w:pPr>
        <w:pStyle w:val="Ruller41"/>
        <w:spacing w:line="240" w:lineRule="auto"/>
      </w:pPr>
    </w:p>
    <w:p w:rsidR="003D2318" w:rsidRDefault="003D2318" w:rsidP="00570AC5">
      <w:pPr>
        <w:pStyle w:val="Ruller4"/>
        <w:rPr>
          <w:rtl/>
        </w:rPr>
      </w:pPr>
      <w:r>
        <w:rPr>
          <w:rFonts w:hint="cs"/>
          <w:rtl/>
        </w:rPr>
        <w:t>מקובל גם עליי שהביקורת השיפוטית על פעולותיה של הרשות המבצעת הינה ממרכיביה המרכזיים של עקרון הפרדת הרשויות וכן מרכיב הכרחי בשלטון החוק ובשמירה על החרויות של האזרח. כפי שציין בית משפט זה בעבר:</w:t>
      </w:r>
    </w:p>
    <w:p w:rsidR="003D2318" w:rsidRDefault="003D2318" w:rsidP="003D2318">
      <w:pPr>
        <w:pStyle w:val="Ruller41"/>
        <w:spacing w:line="240" w:lineRule="auto"/>
        <w:rPr>
          <w:rtl/>
        </w:rPr>
      </w:pPr>
    </w:p>
    <w:p w:rsidR="003D2318" w:rsidRPr="00B2205A" w:rsidRDefault="003D2318" w:rsidP="003D2318">
      <w:pPr>
        <w:pStyle w:val="Ruller5"/>
      </w:pPr>
      <w:r>
        <w:rPr>
          <w:rFonts w:hint="cs"/>
          <w:rtl/>
        </w:rPr>
        <w:t>"</w:t>
      </w:r>
      <w:r w:rsidRPr="00B2205A">
        <w:rPr>
          <w:rtl/>
        </w:rPr>
        <w:t>סמכות הביק</w:t>
      </w:r>
      <w:r>
        <w:rPr>
          <w:rtl/>
        </w:rPr>
        <w:t>ורת השיפוטית מייסדת עצמה על תפי</w:t>
      </w:r>
      <w:r>
        <w:rPr>
          <w:rFonts w:hint="cs"/>
          <w:rtl/>
        </w:rPr>
        <w:t>ס</w:t>
      </w:r>
      <w:r w:rsidRPr="00B2205A">
        <w:rPr>
          <w:rtl/>
        </w:rPr>
        <w:t xml:space="preserve">ות יסוד חוקתיות, ובראשן ההכרח להבטיח את </w:t>
      </w:r>
      <w:r>
        <w:rPr>
          <w:rFonts w:hint="cs"/>
          <w:rtl/>
        </w:rPr>
        <w:t>'</w:t>
      </w:r>
      <w:r w:rsidRPr="00B2205A">
        <w:rPr>
          <w:rtl/>
        </w:rPr>
        <w:t>שלטון החוק בשלטון</w:t>
      </w:r>
      <w:r>
        <w:rPr>
          <w:rFonts w:hint="cs"/>
          <w:rtl/>
        </w:rPr>
        <w:t>';</w:t>
      </w:r>
      <w:r w:rsidRPr="00B2205A">
        <w:t xml:space="preserve"> </w:t>
      </w:r>
      <w:r w:rsidRPr="00B2205A">
        <w:rPr>
          <w:rtl/>
        </w:rPr>
        <w:t xml:space="preserve">היא נותנת ביטוי לעיקרון הפרדת הרשויות במובן של יצירת </w:t>
      </w:r>
      <w:r>
        <w:rPr>
          <w:rFonts w:hint="cs"/>
          <w:rtl/>
        </w:rPr>
        <w:t>'...</w:t>
      </w:r>
      <w:r w:rsidRPr="00B2205A">
        <w:rPr>
          <w:rtl/>
        </w:rPr>
        <w:t>איזון</w:t>
      </w:r>
      <w:r>
        <w:rPr>
          <w:rtl/>
        </w:rPr>
        <w:t xml:space="preserve"> ובקרה הדדיים בין הרשויות השונו</w:t>
      </w:r>
      <w:r>
        <w:rPr>
          <w:rFonts w:hint="cs"/>
          <w:rtl/>
        </w:rPr>
        <w:t>ת';</w:t>
      </w:r>
      <w:r w:rsidRPr="00B2205A">
        <w:t xml:space="preserve"> </w:t>
      </w:r>
      <w:r w:rsidRPr="00B2205A">
        <w:rPr>
          <w:rtl/>
        </w:rPr>
        <w:t>היא משקפת את שלטון החוק הפורמאלי והמהותי</w:t>
      </w:r>
      <w:r>
        <w:rPr>
          <w:rFonts w:hint="cs"/>
          <w:rtl/>
        </w:rPr>
        <w:t>;</w:t>
      </w:r>
      <w:r w:rsidRPr="00B2205A">
        <w:rPr>
          <w:rtl/>
        </w:rPr>
        <w:t xml:space="preserve"> היא הכרחית כדי למנוע שימוש ל</w:t>
      </w:r>
      <w:r>
        <w:rPr>
          <w:rtl/>
        </w:rPr>
        <w:t>רעה בכוח ופגיעה בחירות שלא כדין</w:t>
      </w:r>
      <w:r w:rsidRPr="00B2205A">
        <w:rPr>
          <w:rtl/>
        </w:rPr>
        <w:t xml:space="preserve"> ולהבטיח את עקרון חוקיות המ</w:t>
      </w:r>
      <w:r>
        <w:rPr>
          <w:rFonts w:hint="cs"/>
          <w:rtl/>
        </w:rPr>
        <w:t>י</w:t>
      </w:r>
      <w:r w:rsidRPr="00B2205A">
        <w:rPr>
          <w:rtl/>
        </w:rPr>
        <w:t>נהל</w:t>
      </w:r>
      <w:r>
        <w:rPr>
          <w:rFonts w:hint="cs"/>
          <w:rtl/>
        </w:rPr>
        <w:t>;</w:t>
      </w:r>
      <w:r w:rsidRPr="00B2205A">
        <w:rPr>
          <w:rtl/>
        </w:rPr>
        <w:t xml:space="preserve"> היא נותנת ביטוי לע</w:t>
      </w:r>
      <w:r>
        <w:rPr>
          <w:rFonts w:hint="cs"/>
          <w:rtl/>
        </w:rPr>
        <w:t>י</w:t>
      </w:r>
      <w:r w:rsidRPr="00B2205A">
        <w:rPr>
          <w:rtl/>
        </w:rPr>
        <w:t xml:space="preserve">קרון </w:t>
      </w:r>
      <w:r>
        <w:rPr>
          <w:rFonts w:hint="cs"/>
          <w:rtl/>
        </w:rPr>
        <w:t>ש</w:t>
      </w:r>
      <w:r w:rsidRPr="00B2205A">
        <w:rPr>
          <w:rtl/>
        </w:rPr>
        <w:t>לפיו הכ</w:t>
      </w:r>
      <w:r>
        <w:rPr>
          <w:rFonts w:hint="cs"/>
          <w:rtl/>
        </w:rPr>
        <w:t>ו</w:t>
      </w:r>
      <w:r w:rsidRPr="00B2205A">
        <w:rPr>
          <w:rtl/>
        </w:rPr>
        <w:t>ל שווים בפני החוק</w:t>
      </w:r>
      <w:r>
        <w:rPr>
          <w:rFonts w:hint="cs"/>
          <w:rtl/>
        </w:rPr>
        <w:t>;</w:t>
      </w:r>
      <w:r>
        <w:t xml:space="preserve"> </w:t>
      </w:r>
      <w:r w:rsidRPr="00B2205A">
        <w:rPr>
          <w:rtl/>
        </w:rPr>
        <w:t>בלעדיה הופך שיקול-הדעת השלטוני לבלתי מוגבל, ואין זר מכך לאופיו הדמוקרטי של משטרנו</w:t>
      </w:r>
      <w:r>
        <w:rPr>
          <w:rFonts w:hint="cs"/>
          <w:rtl/>
        </w:rPr>
        <w:t>" (</w:t>
      </w:r>
      <w:r w:rsidRPr="00B2205A">
        <w:rPr>
          <w:rFonts w:hint="eastAsia"/>
          <w:rtl/>
        </w:rPr>
        <w:t>בג</w:t>
      </w:r>
      <w:r w:rsidRPr="00B2205A">
        <w:rPr>
          <w:rtl/>
        </w:rPr>
        <w:t>"</w:t>
      </w:r>
      <w:r w:rsidRPr="00B2205A">
        <w:rPr>
          <w:rFonts w:hint="eastAsia"/>
          <w:rtl/>
        </w:rPr>
        <w:t>ץ</w:t>
      </w:r>
      <w:r w:rsidRPr="00B2205A">
        <w:rPr>
          <w:rtl/>
        </w:rPr>
        <w:t xml:space="preserve"> 1661/05 </w:t>
      </w:r>
      <w:r w:rsidRPr="00B2205A">
        <w:rPr>
          <w:rFonts w:ascii="Century" w:hAnsi="Century" w:cs="Miriam" w:hint="eastAsia"/>
          <w:b/>
          <w:spacing w:val="0"/>
          <w:szCs w:val="24"/>
          <w:rtl/>
        </w:rPr>
        <w:t>המועצה</w:t>
      </w:r>
      <w:r w:rsidRPr="00B2205A">
        <w:rPr>
          <w:rFonts w:ascii="Century" w:hAnsi="Century" w:cs="Miriam"/>
          <w:b/>
          <w:spacing w:val="0"/>
          <w:szCs w:val="24"/>
          <w:rtl/>
        </w:rPr>
        <w:t xml:space="preserve"> </w:t>
      </w:r>
      <w:r w:rsidRPr="00B2205A">
        <w:rPr>
          <w:rFonts w:ascii="Century" w:hAnsi="Century" w:cs="Miriam" w:hint="eastAsia"/>
          <w:b/>
          <w:spacing w:val="0"/>
          <w:szCs w:val="24"/>
          <w:rtl/>
        </w:rPr>
        <w:t>האזורית</w:t>
      </w:r>
      <w:r w:rsidRPr="00B2205A">
        <w:rPr>
          <w:rFonts w:ascii="Century" w:hAnsi="Century" w:cs="Miriam"/>
          <w:b/>
          <w:spacing w:val="0"/>
          <w:szCs w:val="24"/>
          <w:rtl/>
        </w:rPr>
        <w:t xml:space="preserve"> </w:t>
      </w:r>
      <w:r w:rsidRPr="00B2205A">
        <w:rPr>
          <w:rFonts w:ascii="Century" w:hAnsi="Century" w:cs="Miriam" w:hint="eastAsia"/>
          <w:b/>
          <w:spacing w:val="0"/>
          <w:szCs w:val="24"/>
          <w:rtl/>
        </w:rPr>
        <w:t>חוף</w:t>
      </w:r>
      <w:r w:rsidRPr="00B2205A">
        <w:rPr>
          <w:rFonts w:ascii="Century" w:hAnsi="Century" w:cs="Miriam"/>
          <w:b/>
          <w:spacing w:val="0"/>
          <w:szCs w:val="24"/>
          <w:rtl/>
        </w:rPr>
        <w:t xml:space="preserve"> </w:t>
      </w:r>
      <w:r w:rsidRPr="00B2205A">
        <w:rPr>
          <w:rFonts w:ascii="Century" w:hAnsi="Century" w:cs="Miriam" w:hint="eastAsia"/>
          <w:b/>
          <w:spacing w:val="0"/>
          <w:szCs w:val="24"/>
          <w:rtl/>
        </w:rPr>
        <w:t>עזה</w:t>
      </w:r>
      <w:r w:rsidRPr="00B2205A">
        <w:rPr>
          <w:rFonts w:ascii="Century" w:hAnsi="Century" w:cs="Miriam"/>
          <w:b/>
          <w:spacing w:val="0"/>
          <w:szCs w:val="24"/>
          <w:rtl/>
        </w:rPr>
        <w:t xml:space="preserve"> </w:t>
      </w:r>
      <w:r w:rsidRPr="00B2205A">
        <w:rPr>
          <w:rFonts w:ascii="Century" w:hAnsi="Century" w:cs="Miriam" w:hint="eastAsia"/>
          <w:b/>
          <w:spacing w:val="0"/>
          <w:szCs w:val="24"/>
          <w:rtl/>
        </w:rPr>
        <w:t>נ</w:t>
      </w:r>
      <w:r w:rsidRPr="00B2205A">
        <w:rPr>
          <w:rFonts w:ascii="Century" w:hAnsi="Century" w:cs="Miriam"/>
          <w:b/>
          <w:spacing w:val="0"/>
          <w:szCs w:val="24"/>
          <w:rtl/>
        </w:rPr>
        <w:t xml:space="preserve">' </w:t>
      </w:r>
      <w:r w:rsidRPr="00B2205A">
        <w:rPr>
          <w:rFonts w:ascii="Century" w:hAnsi="Century" w:cs="Miriam" w:hint="eastAsia"/>
          <w:b/>
          <w:spacing w:val="0"/>
          <w:szCs w:val="24"/>
          <w:rtl/>
        </w:rPr>
        <w:t>כנסת</w:t>
      </w:r>
      <w:r w:rsidRPr="00B2205A">
        <w:rPr>
          <w:rFonts w:ascii="Century" w:hAnsi="Century" w:cs="Miriam"/>
          <w:b/>
          <w:spacing w:val="0"/>
          <w:szCs w:val="24"/>
          <w:rtl/>
        </w:rPr>
        <w:t xml:space="preserve"> </w:t>
      </w:r>
      <w:r w:rsidRPr="00B2205A">
        <w:rPr>
          <w:rFonts w:ascii="Century" w:hAnsi="Century" w:cs="Miriam" w:hint="eastAsia"/>
          <w:b/>
          <w:spacing w:val="0"/>
          <w:szCs w:val="24"/>
          <w:rtl/>
        </w:rPr>
        <w:t>ישראל</w:t>
      </w:r>
      <w:r w:rsidRPr="00B2205A">
        <w:rPr>
          <w:rtl/>
        </w:rPr>
        <w:t xml:space="preserve">, </w:t>
      </w:r>
      <w:r>
        <w:rPr>
          <w:rFonts w:hint="cs"/>
          <w:rtl/>
        </w:rPr>
        <w:t xml:space="preserve">פ"ד </w:t>
      </w:r>
      <w:r w:rsidRPr="00B2205A">
        <w:rPr>
          <w:rFonts w:hint="eastAsia"/>
          <w:rtl/>
        </w:rPr>
        <w:t>נט</w:t>
      </w:r>
      <w:r w:rsidRPr="00B2205A">
        <w:rPr>
          <w:rtl/>
        </w:rPr>
        <w:t>(2) 481</w:t>
      </w:r>
      <w:r>
        <w:rPr>
          <w:rFonts w:hint="cs"/>
          <w:rtl/>
        </w:rPr>
        <w:t>, 756</w:t>
      </w:r>
      <w:r w:rsidRPr="00B2205A">
        <w:rPr>
          <w:rtl/>
        </w:rPr>
        <w:t xml:space="preserve"> (2005)</w:t>
      </w:r>
      <w:r>
        <w:rPr>
          <w:rFonts w:hint="cs"/>
          <w:rtl/>
        </w:rPr>
        <w:t xml:space="preserve">; ההפניות הושמטו </w:t>
      </w:r>
      <w:r>
        <w:rPr>
          <w:rtl/>
        </w:rPr>
        <w:t>–</w:t>
      </w:r>
      <w:r>
        <w:rPr>
          <w:rFonts w:hint="cs"/>
          <w:rtl/>
        </w:rPr>
        <w:t xml:space="preserve"> י' כ'; וראו גם: פסקה 114 לחוות דעתה של הנשיאה; פסקה 98 לחוות דעתו של חברי השופט </w:t>
      </w:r>
      <w:r w:rsidRPr="00B2205A">
        <w:rPr>
          <w:rFonts w:ascii="Century" w:hAnsi="Century" w:cs="Miriam" w:hint="cs"/>
          <w:b/>
          <w:spacing w:val="0"/>
          <w:szCs w:val="24"/>
          <w:rtl/>
        </w:rPr>
        <w:t>א' שטיין</w:t>
      </w:r>
      <w:r>
        <w:rPr>
          <w:rFonts w:hint="cs"/>
          <w:rtl/>
        </w:rPr>
        <w:t>).</w:t>
      </w:r>
    </w:p>
    <w:p w:rsidR="003D2318" w:rsidRPr="00AD671F" w:rsidRDefault="003D2318" w:rsidP="003D2318">
      <w:pPr>
        <w:pStyle w:val="Ruller41"/>
        <w:spacing w:line="240" w:lineRule="auto"/>
      </w:pPr>
    </w:p>
    <w:p w:rsidR="003D2318" w:rsidRPr="00F96561" w:rsidRDefault="003D2318" w:rsidP="003D2318">
      <w:pPr>
        <w:pStyle w:val="Ruller4"/>
        <w:numPr>
          <w:ilvl w:val="0"/>
          <w:numId w:val="0"/>
        </w:numPr>
        <w:rPr>
          <w:rFonts w:ascii="Century" w:hAnsi="Century"/>
          <w:sz w:val="22"/>
          <w:rtl/>
        </w:rPr>
      </w:pPr>
      <w:r>
        <w:rPr>
          <w:rtl/>
        </w:rPr>
        <w:tab/>
      </w:r>
      <w:r>
        <w:rPr>
          <w:rFonts w:hint="cs"/>
          <w:rtl/>
        </w:rPr>
        <w:t xml:space="preserve">הדבר אף אינו שנוי במחלוקת כלל, כעולה מתגובת גורמי הממשלה: </w:t>
      </w:r>
      <w:r w:rsidRPr="00F96561">
        <w:rPr>
          <w:rFonts w:ascii="Century" w:hAnsi="Century" w:hint="cs"/>
          <w:sz w:val="22"/>
          <w:rtl/>
        </w:rPr>
        <w:t>"</w:t>
      </w:r>
      <w:r w:rsidRPr="00F96561">
        <w:rPr>
          <w:rFonts w:ascii="Century" w:hAnsi="Century" w:cs="Miriam" w:hint="cs"/>
          <w:b/>
          <w:spacing w:val="0"/>
          <w:sz w:val="22"/>
          <w:szCs w:val="24"/>
          <w:rtl/>
        </w:rPr>
        <w:t xml:space="preserve">ממשלת ישראל סבורה כי משטר דמוקרטי ושלטון חוק מחייבים את קיומה של מערכת משפט עצמאית וחזקה, שניתן לפנות אליה לקבלת סעד נגד מוסדות השלטון. </w:t>
      </w:r>
      <w:r w:rsidRPr="00F96561">
        <w:rPr>
          <w:rFonts w:ascii="Century" w:hAnsi="Century" w:cs="Miriam" w:hint="cs"/>
          <w:b/>
          <w:spacing w:val="0"/>
          <w:sz w:val="22"/>
          <w:szCs w:val="24"/>
          <w:u w:val="single"/>
          <w:rtl/>
        </w:rPr>
        <w:t>אין מחלוקת כי הביקורת השיפוטית על עבודת הממשלה ויתר הרשויות הכרחית להגנה על האזרח ועל הציבור מפני שרירות ושימוש לרעה בכוח שלטוני</w:t>
      </w:r>
      <w:r w:rsidRPr="00AD671F">
        <w:rPr>
          <w:rFonts w:ascii="Century" w:hAnsi="Century" w:hint="cs"/>
          <w:sz w:val="22"/>
          <w:rtl/>
        </w:rPr>
        <w:t>"</w:t>
      </w:r>
      <w:r>
        <w:rPr>
          <w:rFonts w:ascii="Century" w:hAnsi="Century" w:hint="cs"/>
          <w:sz w:val="22"/>
          <w:rtl/>
        </w:rPr>
        <w:t xml:space="preserve"> (פסקה 168; ההדגשה הוספה </w:t>
      </w:r>
      <w:r>
        <w:rPr>
          <w:rFonts w:ascii="Century" w:hAnsi="Century"/>
          <w:sz w:val="22"/>
          <w:rtl/>
        </w:rPr>
        <w:t>–</w:t>
      </w:r>
      <w:r>
        <w:rPr>
          <w:rFonts w:ascii="Century" w:hAnsi="Century" w:hint="cs"/>
          <w:sz w:val="22"/>
          <w:rtl/>
        </w:rPr>
        <w:t xml:space="preserve"> י' כ').</w:t>
      </w:r>
    </w:p>
    <w:p w:rsidR="003D2318" w:rsidRPr="009D331D"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אין ספק שהתיקון מחליש את הביקורת השיפוטית של בתי המשפט, בעיקר של בית המשפט העליון בשבתו כבית המשפט הגבוה לצדק, על החלטותיהם של הממשלה ושריה. עמדתי על כך שזהו בדיוק פועלו של התיקון, וזוהי גם כוונתם המוצהרת של יוזמיו. בהיבט זה, ניתן לדעתי לקבוע כי התיקון פוגע בעקרון הפרדת הרשויות.</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מסכים אני גם עם העמדה לפיה החלשתה של הביקורת השיפוטית מהווה גם החלשה של שלטון החוק, לעניין אכיפת הדין על כל רשויות המדינה. כך ככלל וכך</w:t>
      </w:r>
      <w:r>
        <w:rPr>
          <w:rFonts w:hint="cs"/>
        </w:rPr>
        <w:t xml:space="preserve"> </w:t>
      </w:r>
      <w:r>
        <w:rPr>
          <w:rFonts w:hint="cs"/>
          <w:rtl/>
        </w:rPr>
        <w:t>(כפי שעוד אעמוד להלן), גם בנסיבות דנן.</w:t>
      </w:r>
    </w:p>
    <w:p w:rsidR="003D2318" w:rsidRDefault="003D2318" w:rsidP="003D2318">
      <w:pPr>
        <w:pStyle w:val="Ruller41"/>
        <w:spacing w:line="240" w:lineRule="auto"/>
        <w:rPr>
          <w:rtl/>
        </w:rPr>
      </w:pPr>
    </w:p>
    <w:p w:rsidR="003D2318" w:rsidRDefault="003D2318" w:rsidP="00570AC5">
      <w:pPr>
        <w:pStyle w:val="Ruller4"/>
        <w:rPr>
          <w:rtl/>
        </w:rPr>
      </w:pPr>
      <w:r>
        <w:rPr>
          <w:rFonts w:hint="cs"/>
          <w:rtl/>
        </w:rPr>
        <w:t>כעולה מהאמור, לדעתי ניתן לקבוע כי יש בתיקון דנן פגיעה בעקרון הפרדת הרשויות וגם פגיעה בעקרון שלטון החוק.</w:t>
      </w:r>
    </w:p>
    <w:p w:rsidR="003D2318" w:rsidRPr="009D331D"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אלא שכבר למדנו לעיל כי אין די בקביעתה של פגיעה כאמור. המבחן לפסילתו של התיקון כמהווה חריגה מסמכותה של הכנסת כרשות המכוננת, הינו מחמיר בהרבה.</w:t>
      </w:r>
    </w:p>
    <w:p w:rsidR="003D2318" w:rsidRDefault="003D2318" w:rsidP="003D2318">
      <w:pPr>
        <w:pStyle w:val="Ruller41"/>
        <w:spacing w:line="240" w:lineRule="auto"/>
        <w:rPr>
          <w:rtl/>
        </w:rPr>
      </w:pPr>
    </w:p>
    <w:p w:rsidR="003D2318" w:rsidRPr="00771E28" w:rsidRDefault="003D2318" w:rsidP="003D2318">
      <w:pPr>
        <w:pStyle w:val="Ruller41"/>
      </w:pPr>
      <w:r>
        <w:rPr>
          <w:rtl/>
        </w:rPr>
        <w:tab/>
      </w:r>
      <w:r>
        <w:rPr>
          <w:rFonts w:hint="cs"/>
          <w:rtl/>
        </w:rPr>
        <w:t xml:space="preserve">עמדה על כך הנשיאה בפסק הדין בעניין </w:t>
      </w:r>
      <w:r w:rsidRPr="00F96561">
        <w:rPr>
          <w:rFonts w:ascii="Century" w:hAnsi="Century" w:cs="Miriam" w:hint="cs"/>
          <w:b/>
          <w:spacing w:val="0"/>
          <w:szCs w:val="24"/>
          <w:rtl/>
        </w:rPr>
        <w:t>חסון</w:t>
      </w:r>
      <w:r>
        <w:rPr>
          <w:rFonts w:hint="cs"/>
          <w:rtl/>
        </w:rPr>
        <w:t>:</w:t>
      </w:r>
    </w:p>
    <w:p w:rsidR="003D2318" w:rsidRPr="00F96561" w:rsidRDefault="003D2318" w:rsidP="003D2318">
      <w:pPr>
        <w:pStyle w:val="Ruller5"/>
        <w:rPr>
          <w:rtl/>
        </w:rPr>
      </w:pPr>
    </w:p>
    <w:p w:rsidR="003D2318" w:rsidRPr="00F96561" w:rsidRDefault="003D2318" w:rsidP="003D2318">
      <w:pPr>
        <w:pStyle w:val="Ruller5"/>
        <w:rPr>
          <w:rtl/>
        </w:rPr>
      </w:pPr>
      <w:r w:rsidRPr="00F96561">
        <w:rPr>
          <w:rFonts w:hint="cs"/>
          <w:rtl/>
        </w:rPr>
        <w:t xml:space="preserve">"המגבלה שחלה על הרשות המכוננת עניינה </w:t>
      </w:r>
      <w:r w:rsidRPr="0073191A">
        <w:rPr>
          <w:rFonts w:ascii="Century" w:hAnsi="Century" w:cs="Miriam" w:hint="cs"/>
          <w:b/>
          <w:spacing w:val="0"/>
          <w:szCs w:val="24"/>
          <w:rtl/>
        </w:rPr>
        <w:t xml:space="preserve">בליבת </w:t>
      </w:r>
      <w:r w:rsidRPr="00F96561">
        <w:rPr>
          <w:rFonts w:hint="cs"/>
          <w:rtl/>
        </w:rPr>
        <w:t xml:space="preserve">הזהות היהודית והדמוקרטית ובה בלבד. המכונן אינו רשאי לשלול </w:t>
      </w:r>
      <w:r w:rsidRPr="00F96561">
        <w:rPr>
          <w:rtl/>
        </w:rPr>
        <w:t>–</w:t>
      </w:r>
      <w:r w:rsidRPr="00F96561">
        <w:rPr>
          <w:rFonts w:hint="cs"/>
          <w:rtl/>
        </w:rPr>
        <w:t xml:space="preserve"> להלכה או למעשה </w:t>
      </w:r>
      <w:r w:rsidRPr="00F96561">
        <w:rPr>
          <w:rtl/>
        </w:rPr>
        <w:t>–</w:t>
      </w:r>
      <w:r w:rsidRPr="00F96561">
        <w:rPr>
          <w:rFonts w:hint="cs"/>
          <w:rtl/>
        </w:rPr>
        <w:t xml:space="preserve"> את קיומה של המדינה כ'יהודית ודמוקרטית', </w:t>
      </w:r>
      <w:r w:rsidRPr="00F96561">
        <w:rPr>
          <w:rFonts w:ascii="Century" w:hAnsi="Century" w:cs="Miriam" w:hint="cs"/>
          <w:b/>
          <w:spacing w:val="0"/>
          <w:szCs w:val="24"/>
          <w:rtl/>
        </w:rPr>
        <w:t>אך הוא רשאי לשרטט, על פי שיקול דעתו, את האופן שבו יבוא לידי ביטוי צירוף מילים זה במסגרת חוק היסוד, אף אם הדבר כרוך באיזונים ובפשרות אשר מגדירים מחדש את אופן התפרשותו של אחד ממרכיבי זהותה של המדינה</w:t>
      </w:r>
      <w:r w:rsidRPr="00F96561">
        <w:rPr>
          <w:rFonts w:hint="cs"/>
          <w:rtl/>
        </w:rPr>
        <w:t>. ברוח זו, בית משפט זה כבר קבע כי רחוקה הדרך בין קביעה לפיה נורמה מסוימת פוגעת פגיעה קשה בזכות יסוד מסוימת ובין המסקנה שנורמה זו שוללת את דרישות המינימום המגדירות מדינה כדמוקרטית</w:t>
      </w:r>
      <w:r w:rsidRPr="003300C8">
        <w:rPr>
          <w:rFonts w:hint="cs"/>
          <w:rtl/>
        </w:rPr>
        <w:t>" (</w:t>
      </w:r>
      <w:r>
        <w:rPr>
          <w:rFonts w:hint="cs"/>
          <w:rtl/>
        </w:rPr>
        <w:t xml:space="preserve">פסקה </w:t>
      </w:r>
      <w:r w:rsidRPr="003300C8">
        <w:rPr>
          <w:rFonts w:hint="cs"/>
          <w:rtl/>
        </w:rPr>
        <w:t>30</w:t>
      </w:r>
      <w:r>
        <w:rPr>
          <w:rFonts w:hint="cs"/>
          <w:rtl/>
        </w:rPr>
        <w:t xml:space="preserve"> לפסק דינה; ההפניה הושמטה, ההדגשה הוספה </w:t>
      </w:r>
      <w:r>
        <w:rPr>
          <w:rtl/>
        </w:rPr>
        <w:t>–</w:t>
      </w:r>
      <w:r>
        <w:rPr>
          <w:rFonts w:hint="cs"/>
          <w:rtl/>
        </w:rPr>
        <w:t xml:space="preserve"> י' כ'</w:t>
      </w:r>
      <w:r w:rsidRPr="003300C8">
        <w:rPr>
          <w:rFonts w:hint="cs"/>
          <w:rtl/>
        </w:rPr>
        <w:t>)</w:t>
      </w:r>
      <w:r>
        <w:rPr>
          <w:rFonts w:hint="cs"/>
          <w:rtl/>
        </w:rPr>
        <w:t>.</w:t>
      </w:r>
    </w:p>
    <w:p w:rsidR="003D2318" w:rsidRPr="003300C8" w:rsidRDefault="003D2318" w:rsidP="003D2318">
      <w:pPr>
        <w:pStyle w:val="Ruller4"/>
        <w:numPr>
          <w:ilvl w:val="0"/>
          <w:numId w:val="0"/>
        </w:numPr>
        <w:spacing w:line="240" w:lineRule="auto"/>
      </w:pPr>
    </w:p>
    <w:p w:rsidR="003D2318" w:rsidRDefault="003D2318" w:rsidP="003D2318">
      <w:pPr>
        <w:pStyle w:val="Ruller41"/>
        <w:rPr>
          <w:b/>
          <w:bCs/>
          <w:rtl/>
        </w:rPr>
      </w:pPr>
      <w:r>
        <w:rPr>
          <w:rtl/>
        </w:rPr>
        <w:tab/>
      </w:r>
      <w:r>
        <w:rPr>
          <w:rFonts w:hint="cs"/>
          <w:rtl/>
        </w:rPr>
        <w:t xml:space="preserve">עמד על כך ובהקשר הספציפי של הצרתה של ביקורת שיפוטית על הרשות המבצעת, פרופ' </w:t>
      </w:r>
      <w:r w:rsidRPr="0073191A">
        <w:rPr>
          <w:rFonts w:ascii="Century" w:hAnsi="Century" w:hint="cs"/>
          <w:rtl/>
        </w:rPr>
        <w:t>אהרן ברק</w:t>
      </w:r>
      <w:r>
        <w:rPr>
          <w:rFonts w:hint="cs"/>
          <w:rtl/>
        </w:rPr>
        <w:t xml:space="preserve">, במאמרו "תיקון של חוקה שאינו חוקתי": </w:t>
      </w:r>
    </w:p>
    <w:p w:rsidR="003D2318" w:rsidRDefault="003D2318" w:rsidP="003D2318">
      <w:pPr>
        <w:pStyle w:val="Ruller41"/>
        <w:spacing w:line="240" w:lineRule="auto"/>
        <w:rPr>
          <w:b/>
          <w:bCs/>
          <w:rtl/>
        </w:rPr>
      </w:pPr>
    </w:p>
    <w:p w:rsidR="003D2318" w:rsidRPr="00007073" w:rsidRDefault="003D2318" w:rsidP="003D2318">
      <w:pPr>
        <w:pStyle w:val="Ruller5"/>
        <w:rPr>
          <w:rFonts w:ascii="Century" w:hAnsi="Century"/>
          <w:rtl/>
        </w:rPr>
      </w:pPr>
      <w:r>
        <w:rPr>
          <w:rFonts w:hint="cs"/>
          <w:rtl/>
        </w:rPr>
        <w:t>"</w:t>
      </w:r>
      <w:r w:rsidRPr="00F96561">
        <w:rPr>
          <w:rFonts w:hint="cs"/>
          <w:rtl/>
        </w:rPr>
        <w:t>ביטול הביקורת השיפוטית הקיימת על חוקתיות החוק והחלפתה בביקורת שיפוטית 'רכה' יותר עשויה להיחשב כפגיעה במבנה הבסיסי של חוקה קיימת. לדעתי, אין לראותה כפגיעה בליבת הדמוקרטיה ועל כן אם הכנסת תמצא לנכון לקבוע הוראות בעניין זה, הסמכות בידה לעשות כן כל עוד מפעל חוקי היסוד לא הסתיים</w:t>
      </w:r>
      <w:r>
        <w:rPr>
          <w:rFonts w:hint="cs"/>
          <w:rtl/>
        </w:rPr>
        <w:t>" (</w:t>
      </w:r>
      <w:r>
        <w:rPr>
          <w:rFonts w:ascii="Century" w:hAnsi="Century" w:cs="Miriam" w:hint="cs"/>
          <w:b/>
          <w:spacing w:val="0"/>
          <w:szCs w:val="24"/>
          <w:rtl/>
        </w:rPr>
        <w:t>שם</w:t>
      </w:r>
      <w:r>
        <w:rPr>
          <w:rFonts w:ascii="Century" w:hAnsi="Century" w:hint="cs"/>
          <w:rtl/>
        </w:rPr>
        <w:t xml:space="preserve">, בעמ' 158; וראו גם: אמנון רובינשטיין וברק מדינה </w:t>
      </w:r>
      <w:r w:rsidRPr="00007073">
        <w:rPr>
          <w:rFonts w:ascii="Century" w:hAnsi="Century" w:cs="Miriam" w:hint="cs"/>
          <w:b/>
          <w:spacing w:val="0"/>
          <w:szCs w:val="24"/>
          <w:rtl/>
        </w:rPr>
        <w:t xml:space="preserve">המשפט החוקתי של מדינת </w:t>
      </w:r>
      <w:r w:rsidRPr="0073191A">
        <w:rPr>
          <w:rFonts w:ascii="Century" w:hAnsi="Century" w:cs="Miriam" w:hint="cs"/>
          <w:b/>
          <w:spacing w:val="0"/>
          <w:szCs w:val="24"/>
          <w:rtl/>
        </w:rPr>
        <w:t xml:space="preserve">ישראל </w:t>
      </w:r>
      <w:r w:rsidRPr="0073191A">
        <w:rPr>
          <w:rFonts w:ascii="Century" w:hAnsi="Century" w:cs="Miriam"/>
          <w:b/>
          <w:spacing w:val="0"/>
          <w:szCs w:val="24"/>
          <w:rtl/>
        </w:rPr>
        <w:t>–</w:t>
      </w:r>
      <w:r w:rsidRPr="0073191A">
        <w:rPr>
          <w:rFonts w:ascii="Century" w:hAnsi="Century" w:cs="Miriam" w:hint="cs"/>
          <w:b/>
          <w:spacing w:val="0"/>
          <w:szCs w:val="24"/>
          <w:rtl/>
        </w:rPr>
        <w:t xml:space="preserve"> עקרונות יסוד</w:t>
      </w:r>
      <w:r>
        <w:rPr>
          <w:rFonts w:ascii="Century" w:hAnsi="Century" w:hint="cs"/>
          <w:rtl/>
        </w:rPr>
        <w:t xml:space="preserve"> 107-106 (2005); פסקה 72 לחוות דעתה של חברתי השופטת </w:t>
      </w:r>
      <w:r w:rsidRPr="00007073">
        <w:rPr>
          <w:rFonts w:ascii="Century" w:hAnsi="Century" w:cs="Miriam" w:hint="cs"/>
          <w:b/>
          <w:spacing w:val="0"/>
          <w:szCs w:val="24"/>
          <w:rtl/>
        </w:rPr>
        <w:t>י' וילנר</w:t>
      </w:r>
      <w:r>
        <w:rPr>
          <w:rFonts w:ascii="Century" w:hAnsi="Century" w:hint="cs"/>
          <w:rtl/>
        </w:rPr>
        <w:t>).</w:t>
      </w:r>
    </w:p>
    <w:p w:rsidR="003D2318" w:rsidRPr="009D331D" w:rsidRDefault="003D2318" w:rsidP="003D2318">
      <w:pPr>
        <w:pStyle w:val="Ruller41"/>
        <w:rPr>
          <w:sz w:val="28"/>
          <w:rtl/>
        </w:rPr>
      </w:pPr>
      <w:r>
        <w:rPr>
          <w:rtl/>
        </w:rPr>
        <w:tab/>
      </w:r>
    </w:p>
    <w:p w:rsidR="003D2318" w:rsidRDefault="003D2318" w:rsidP="00570AC5">
      <w:pPr>
        <w:pStyle w:val="Ruller4"/>
        <w:rPr>
          <w:rtl/>
        </w:rPr>
      </w:pPr>
      <w:r>
        <w:rPr>
          <w:rFonts w:hint="cs"/>
          <w:rtl/>
        </w:rPr>
        <w:t>המסקנה העולה מן האמור הינה שלא כל הסטה של נקודת האיזון בין הרשות השופטת לבין הרשות המבצעת, על דרך הצרתה של הביקורת השיפוטית על הרשות המבצעת, תהווה חריגה מסמכות מצדה של הרשות המכוננת.</w:t>
      </w:r>
    </w:p>
    <w:p w:rsidR="003D2318" w:rsidRPr="009D331D"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לדעתי גם לא ניתן לומר אחרת. אין בסיס לקביעה לפיה נקודת האיזון בין הרשות השופטת לבין הרשות המבצעת הינה קבועה; ואף למעלה מכך אין בסיס לקביעה לפיה נקודת האיזון האמורה יכולה, כעניין שבעקרון, לנוע רק על דרך חיזוקה של הרשות </w:t>
      </w:r>
      <w:r>
        <w:rPr>
          <w:rFonts w:hint="cs"/>
          <w:rtl/>
        </w:rPr>
        <w:lastRenderedPageBreak/>
        <w:t>השופטת. גישה אחרת אינה עולה בקנה אחד עם המבחן עליו עמדנו לעיל לעניין עצם קיומה של מגבלה על סמכותה המכוננת של הכנסת.</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השאלה היא אפוא האם הסטת נקודת האיזון בין הרשות השופטת לרשות המבצעת, על דרך הצרת הביקורת השיפוטית על הרשות המבצעת</w:t>
      </w:r>
      <w:r w:rsidRPr="00F96561">
        <w:rPr>
          <w:rFonts w:ascii="Century" w:hAnsi="Century" w:hint="cs"/>
          <w:rtl/>
        </w:rPr>
        <w:t xml:space="preserve">, </w:t>
      </w:r>
      <w:r w:rsidRPr="00F96561">
        <w:rPr>
          <w:rFonts w:ascii="Century" w:hAnsi="Century" w:cs="Miriam" w:hint="cs"/>
          <w:b/>
          <w:spacing w:val="0"/>
          <w:szCs w:val="24"/>
          <w:rtl/>
        </w:rPr>
        <w:t>כפי שנעשתה בתיקון דנן</w:t>
      </w:r>
      <w:r>
        <w:rPr>
          <w:rFonts w:hint="cs"/>
          <w:rtl/>
        </w:rPr>
        <w:t>, מגיעה כדי שלילת ליבת הזהות הדמוקרטית של המדינה? פגיעה אנושה בגרעינים המינימאליים של מדינת ישראל כמדינה דמוקרטית? 'שבירת כלים' והרס בלתי הפיך של השיטה החוקתית?</w:t>
      </w:r>
    </w:p>
    <w:p w:rsidR="003D2318" w:rsidRPr="00925912" w:rsidRDefault="003D2318" w:rsidP="003D2318">
      <w:pPr>
        <w:pStyle w:val="Ruller41"/>
        <w:spacing w:line="240" w:lineRule="auto"/>
      </w:pPr>
    </w:p>
    <w:p w:rsidR="003D2318" w:rsidRDefault="003D2318" w:rsidP="003D2318">
      <w:pPr>
        <w:pStyle w:val="Ruller41"/>
        <w:rPr>
          <w:rtl/>
        </w:rPr>
      </w:pPr>
      <w:r>
        <w:rPr>
          <w:rtl/>
        </w:rPr>
        <w:tab/>
      </w:r>
      <w:r>
        <w:rPr>
          <w:rFonts w:hint="cs"/>
          <w:rtl/>
        </w:rPr>
        <w:t>ואדגיש, מקובלת עליי ההערה שבחוות דעתה של הנשיאה</w:t>
      </w:r>
      <w:r>
        <w:rPr>
          <w:rFonts w:hint="cs"/>
        </w:rPr>
        <w:t xml:space="preserve"> </w:t>
      </w:r>
      <w:r>
        <w:rPr>
          <w:rFonts w:hint="cs"/>
          <w:rtl/>
        </w:rPr>
        <w:t xml:space="preserve">(פסקה 106), לפיה השאלה אינה האם בעקבות התיקון חדלה מדינת ישראל מלהיות דמוקרטית ושינתה את פניה לדיקטטורה. השאלה היא, בהתאם למבחן שנקבע בפסק הדין בעניין </w:t>
      </w:r>
      <w:r w:rsidRPr="00121946">
        <w:rPr>
          <w:rFonts w:ascii="Century" w:hAnsi="Century" w:cs="Miriam" w:hint="cs"/>
          <w:b/>
          <w:spacing w:val="0"/>
          <w:szCs w:val="24"/>
          <w:rtl/>
        </w:rPr>
        <w:t>חסון</w:t>
      </w:r>
      <w:r>
        <w:rPr>
          <w:rFonts w:hint="cs"/>
          <w:rtl/>
        </w:rPr>
        <w:t>, וכפי שהציגה הנשיאה בחוות דעתה דכאן:</w:t>
      </w:r>
      <w:r w:rsidRPr="009D331D">
        <w:rPr>
          <w:rFonts w:hint="cs"/>
          <w:b/>
          <w:bCs/>
          <w:rtl/>
        </w:rPr>
        <w:t xml:space="preserve"> </w:t>
      </w:r>
      <w:r w:rsidRPr="009D331D">
        <w:rPr>
          <w:rFonts w:ascii="Century" w:hAnsi="Century" w:hint="cs"/>
          <w:rtl/>
        </w:rPr>
        <w:t>"</w:t>
      </w:r>
      <w:r w:rsidRPr="00F96561">
        <w:rPr>
          <w:rFonts w:ascii="Century" w:hAnsi="Century" w:cs="Miriam" w:hint="cs"/>
          <w:b/>
          <w:spacing w:val="0"/>
          <w:szCs w:val="24"/>
          <w:rtl/>
        </w:rPr>
        <w:t>האם חוק היסוד או התיקון לחוק היסוד פוגעים פגיעה כה קשה במאפיינים גרעיניים של המדינה, עד כדי זעזוע אבני הבניין של חוקתנו המתגבשת</w:t>
      </w:r>
      <w:r w:rsidRPr="009D331D">
        <w:rPr>
          <w:rFonts w:ascii="Century" w:hAnsi="Century" w:hint="cs"/>
          <w:rtl/>
        </w:rPr>
        <w:t>"</w:t>
      </w:r>
      <w:r w:rsidRPr="009D331D">
        <w:rPr>
          <w:rFonts w:hint="cs"/>
          <w:rtl/>
        </w:rPr>
        <w:t xml:space="preserve"> </w:t>
      </w:r>
      <w:r>
        <w:rPr>
          <w:rFonts w:hint="cs"/>
          <w:rtl/>
        </w:rPr>
        <w:t xml:space="preserve">(פסקה 106). </w:t>
      </w:r>
    </w:p>
    <w:p w:rsidR="003D2318" w:rsidRDefault="003D2318" w:rsidP="003D2318">
      <w:pPr>
        <w:pStyle w:val="Ruller41"/>
        <w:spacing w:line="240" w:lineRule="auto"/>
        <w:rPr>
          <w:rtl/>
        </w:rPr>
      </w:pPr>
    </w:p>
    <w:p w:rsidR="003D2318" w:rsidRDefault="003D2318" w:rsidP="00570AC5">
      <w:pPr>
        <w:pStyle w:val="Ruller4"/>
        <w:rPr>
          <w:rtl/>
        </w:rPr>
      </w:pPr>
      <w:r>
        <w:rPr>
          <w:rFonts w:hint="cs"/>
          <w:rtl/>
        </w:rPr>
        <w:t xml:space="preserve">את הפגיעה העלולה להיגרם מהתיקון לחוק-יסוד: השפיטה, ניתן לחלק, להבנתי, לשני סוגים </w:t>
      </w:r>
      <w:r>
        <w:rPr>
          <w:rtl/>
        </w:rPr>
        <w:t>–</w:t>
      </w:r>
      <w:r>
        <w:rPr>
          <w:rFonts w:hint="cs"/>
          <w:rtl/>
        </w:rPr>
        <w:t xml:space="preserve"> פגיעה ישירה ופגיעה עקיפה:</w:t>
      </w:r>
    </w:p>
    <w:p w:rsidR="003D2318" w:rsidRDefault="003D2318" w:rsidP="003D2318">
      <w:pPr>
        <w:pStyle w:val="Ruller41"/>
        <w:spacing w:line="240" w:lineRule="auto"/>
        <w:rPr>
          <w:rtl/>
        </w:rPr>
      </w:pPr>
    </w:p>
    <w:p w:rsidR="003D2318" w:rsidRDefault="003D2318" w:rsidP="00570AC5">
      <w:pPr>
        <w:pStyle w:val="Ruller4"/>
        <w:rPr>
          <w:rtl/>
        </w:rPr>
      </w:pPr>
      <w:r w:rsidRPr="009D331D">
        <w:rPr>
          <w:rFonts w:ascii="Century" w:hAnsi="Century" w:cs="Miriam" w:hint="cs"/>
          <w:b/>
          <w:spacing w:val="0"/>
          <w:sz w:val="22"/>
          <w:szCs w:val="24"/>
          <w:rtl/>
        </w:rPr>
        <w:t>פגיעה עקרונית</w:t>
      </w:r>
      <w:r>
        <w:rPr>
          <w:rFonts w:ascii="Century" w:hAnsi="Century" w:cs="Miriam" w:hint="cs"/>
          <w:b/>
          <w:spacing w:val="0"/>
          <w:sz w:val="22"/>
          <w:szCs w:val="24"/>
          <w:rtl/>
        </w:rPr>
        <w:t xml:space="preserve"> </w:t>
      </w:r>
      <w:r w:rsidRPr="009D331D">
        <w:rPr>
          <w:rFonts w:ascii="Century" w:hAnsi="Century" w:cs="Miriam" w:hint="cs"/>
          <w:b/>
          <w:spacing w:val="0"/>
          <w:sz w:val="22"/>
          <w:szCs w:val="24"/>
          <w:rtl/>
        </w:rPr>
        <w:t>/</w:t>
      </w:r>
      <w:r>
        <w:rPr>
          <w:rFonts w:ascii="Century" w:hAnsi="Century" w:cs="Miriam" w:hint="cs"/>
          <w:b/>
          <w:spacing w:val="0"/>
          <w:sz w:val="22"/>
          <w:szCs w:val="24"/>
          <w:rtl/>
        </w:rPr>
        <w:t xml:space="preserve"> </w:t>
      </w:r>
      <w:r w:rsidRPr="00F96561">
        <w:rPr>
          <w:rFonts w:ascii="Century" w:hAnsi="Century" w:cs="Miriam" w:hint="cs"/>
          <w:b/>
          <w:spacing w:val="0"/>
          <w:sz w:val="22"/>
          <w:szCs w:val="24"/>
          <w:rtl/>
        </w:rPr>
        <w:t>ישירה</w:t>
      </w:r>
      <w:r w:rsidRPr="009D331D">
        <w:rPr>
          <w:rFonts w:hint="cs"/>
          <w:rtl/>
        </w:rPr>
        <w:t xml:space="preserve"> </w:t>
      </w:r>
      <w:r>
        <w:rPr>
          <w:rtl/>
        </w:rPr>
        <w:t>–</w:t>
      </w:r>
      <w:r>
        <w:rPr>
          <w:rFonts w:hint="cs"/>
          <w:rtl/>
        </w:rPr>
        <w:t xml:space="preserve"> הנגרמת בעקבות העובדה שקיים "דין" (חובתה של הממשלה ושריה לנהוג בסבירות), ואין "דיין" </w:t>
      </w:r>
      <w:r>
        <w:rPr>
          <w:rtl/>
        </w:rPr>
        <w:t>–</w:t>
      </w:r>
      <w:r>
        <w:rPr>
          <w:rFonts w:hint="cs"/>
          <w:rtl/>
        </w:rPr>
        <w:t xml:space="preserve"> לא ניתן יהיה לאכוף את החובה שבדין, לנהוג בסבירות, על הממשלה ושריה, והיא תיוותר, לפי הנטען, כקליפה ריקה. מנקודת מבט זו, עצם המצב שקיים דין מחד גיסא, ולמעשה חופש להפר אותו מאידך גיסא, בלא כל אפשרות לתגובה שיפוטית, מהווה פגיעה בעקרון שלטון החוק (וראו פסקה 160 לחוות הדעת של הנשיאה). יצוין כי לפי השקפה זו דומה כי הפגיעה הנגרמת בשלטון החוק במצב שיוצר התיקון הינה אף חמורה מהפגיעה שהייתה נגרמת לו הייתה מבוטלת מיסודה החובה המוטלת על הממשלה ושריה לנהוג בסבירות.</w:t>
      </w:r>
    </w:p>
    <w:p w:rsidR="003D2318" w:rsidRPr="009D331D" w:rsidRDefault="003D2318" w:rsidP="003D2318">
      <w:pPr>
        <w:pStyle w:val="Ruller41"/>
        <w:spacing w:line="240" w:lineRule="auto"/>
        <w:rPr>
          <w:rtl/>
        </w:rPr>
      </w:pPr>
    </w:p>
    <w:p w:rsidR="003D2318" w:rsidRDefault="003D2318" w:rsidP="003D2318">
      <w:pPr>
        <w:pStyle w:val="Ruller4"/>
        <w:numPr>
          <w:ilvl w:val="0"/>
          <w:numId w:val="0"/>
        </w:numPr>
        <w:rPr>
          <w:rtl/>
        </w:rPr>
      </w:pPr>
      <w:r>
        <w:rPr>
          <w:rtl/>
        </w:rPr>
        <w:tab/>
      </w:r>
      <w:r>
        <w:rPr>
          <w:rFonts w:hint="cs"/>
          <w:rtl/>
        </w:rPr>
        <w:t>הפגיעה העקרונית / הישירה האחרת הינה ממקומו של הרואה את עצמו נפגע מהחלטה של הממשלה או שר משריה, עקב הפרת החובה לנהוג בסבירות, ונשללת ממנו האפשרות לקבלת סעד משפטי כלשהו בגין כך. אף בכך יש משום פגיעה בעקרון שלטון החוק.</w:t>
      </w:r>
    </w:p>
    <w:p w:rsidR="003D2318" w:rsidRPr="00537D3C"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בהקשר האמור ובהערת אגב, אפשר אף להפנות לשינוי המצער בעמדתם של גורמי הממשלה, מהכרה בקיומה של החובה לנהוג בסבירות לעמדה לפיה אין מדובר כלל בחובה אלא ב-"מידה טובה" (פסקה 38 לטיעון המשלים).</w:t>
      </w:r>
    </w:p>
    <w:p w:rsidR="003D2318" w:rsidRPr="00EE5CCC" w:rsidRDefault="003D2318" w:rsidP="003D2318">
      <w:pPr>
        <w:pStyle w:val="Ruller41"/>
        <w:spacing w:line="240" w:lineRule="auto"/>
      </w:pPr>
    </w:p>
    <w:p w:rsidR="003D2318" w:rsidRDefault="003D2318" w:rsidP="00570AC5">
      <w:pPr>
        <w:pStyle w:val="Ruller4"/>
        <w:rPr>
          <w:rtl/>
        </w:rPr>
      </w:pPr>
      <w:r w:rsidRPr="00F96561">
        <w:rPr>
          <w:rFonts w:ascii="Century" w:hAnsi="Century" w:cs="Miriam" w:hint="cs"/>
          <w:b/>
          <w:spacing w:val="0"/>
          <w:sz w:val="22"/>
          <w:szCs w:val="24"/>
          <w:rtl/>
        </w:rPr>
        <w:t>פגיעה עקיפה</w:t>
      </w:r>
      <w:r>
        <w:rPr>
          <w:rFonts w:hint="cs"/>
          <w:rtl/>
        </w:rPr>
        <w:t xml:space="preserve"> </w:t>
      </w:r>
      <w:r w:rsidRPr="00BB17C5">
        <w:rPr>
          <w:rFonts w:ascii="Century" w:hAnsi="Century" w:cs="Miriam" w:hint="cs"/>
          <w:b/>
          <w:spacing w:val="0"/>
          <w:sz w:val="22"/>
          <w:szCs w:val="24"/>
          <w:rtl/>
        </w:rPr>
        <w:t>/ תפקודית</w:t>
      </w:r>
      <w:r w:rsidRPr="00537D3C">
        <w:rPr>
          <w:rFonts w:hint="cs"/>
          <w:rtl/>
        </w:rPr>
        <w:t xml:space="preserve"> </w:t>
      </w:r>
      <w:r>
        <w:rPr>
          <w:rtl/>
        </w:rPr>
        <w:t>–</w:t>
      </w:r>
      <w:r>
        <w:rPr>
          <w:rFonts w:hint="cs"/>
          <w:rtl/>
        </w:rPr>
        <w:t xml:space="preserve"> המתבטאת בהפקעת אחד מ-"כלי העבודה" אשר ב-"ארגז הכלים" המשרת את בתי המשפט במלאכת הביקורת השיפוטית על הממשלה ושריה, והענקת סעד במקרים המתאימים לכך (וראו פסקה 12 לתגובתה של היועצת המשפטית לממשלה).</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בהקשר זה עומדים העותרים והיועצת המשפטית לממשלה על חשיבותה ומרכזיותה של עילת הסבירות במלאכת הביקורת השיפוטית על מעשי המנהל. בתוך כך, עומדים הם על ההקשרים והנסיבות בהן שלילת עילת הסבירות, ככלי לביקורת שיפוטית על הממשלה ושריה, תביא לשלילת סעד אפקטיבי כלשהו במקרים רבים, ולפגיעה קשה באינטרסים חשובים של הציבור ושל הפרט.</w:t>
      </w:r>
    </w:p>
    <w:p w:rsidR="003D2318" w:rsidRDefault="003D2318" w:rsidP="003D2318">
      <w:pPr>
        <w:pStyle w:val="Ruller41"/>
        <w:spacing w:line="240" w:lineRule="auto"/>
        <w:rPr>
          <w:rtl/>
        </w:rPr>
      </w:pPr>
    </w:p>
    <w:p w:rsidR="003D2318" w:rsidRDefault="003D2318" w:rsidP="003D2318">
      <w:pPr>
        <w:pStyle w:val="Ruller4"/>
        <w:numPr>
          <w:ilvl w:val="0"/>
          <w:numId w:val="0"/>
        </w:numPr>
        <w:rPr>
          <w:rtl/>
        </w:rPr>
      </w:pPr>
      <w:r>
        <w:rPr>
          <w:rtl/>
        </w:rPr>
        <w:tab/>
      </w:r>
      <w:r>
        <w:rPr>
          <w:rFonts w:hint="cs"/>
          <w:rtl/>
        </w:rPr>
        <w:t>במיוחד עמדו היועצת המשפטית לממשלה והעותרים השונים על ההשלכות השליליות שעלולות להיות לביטול עילת הסבירות, לעניין הפיקוח השיפוטי על החלטות הממשלה ושריה, בהקשרים הבאים: מינויי בכירים ומינויים פוליטיים או כאלו המנוגדים לחובה לשמור על טוהר המידות; פיטורי בעלי תפקיד וההשפעה על עצמאותם של בעלי התפקיד בעת כהונתם; מגבלות על ממשלת מעבר; התעלמות משיקולים מקצועיים והעדפת שיקולים פוליטיים צרים.</w:t>
      </w:r>
    </w:p>
    <w:p w:rsidR="003D2318" w:rsidRPr="00537D3C"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וזה המקום להדגיש: איני מזלזל באף לא אחד מהטיעונים האמורים</w:t>
      </w:r>
      <w:r w:rsidRPr="00BB17C5">
        <w:rPr>
          <w:rtl/>
        </w:rPr>
        <w:t xml:space="preserve">, </w:t>
      </w:r>
      <w:r w:rsidRPr="00BB17C5">
        <w:rPr>
          <w:rFonts w:hint="eastAsia"/>
          <w:rtl/>
        </w:rPr>
        <w:t>במיוחד</w:t>
      </w:r>
      <w:r w:rsidRPr="00BB17C5">
        <w:rPr>
          <w:rtl/>
        </w:rPr>
        <w:t xml:space="preserve"> (בלי </w:t>
      </w:r>
      <w:r w:rsidRPr="00BB17C5">
        <w:rPr>
          <w:rFonts w:hint="eastAsia"/>
          <w:rtl/>
        </w:rPr>
        <w:t>לפגוע</w:t>
      </w:r>
      <w:r w:rsidRPr="00BB17C5">
        <w:rPr>
          <w:rtl/>
        </w:rPr>
        <w:t xml:space="preserve"> </w:t>
      </w:r>
      <w:r w:rsidRPr="00BB17C5">
        <w:rPr>
          <w:rFonts w:hint="eastAsia"/>
          <w:rtl/>
        </w:rPr>
        <w:t>חלילה</w:t>
      </w:r>
      <w:r w:rsidRPr="00BB17C5">
        <w:rPr>
          <w:rtl/>
        </w:rPr>
        <w:t xml:space="preserve"> </w:t>
      </w:r>
      <w:r w:rsidRPr="00BB17C5">
        <w:rPr>
          <w:rFonts w:hint="eastAsia"/>
          <w:rtl/>
        </w:rPr>
        <w:t>בעותרים</w:t>
      </w:r>
      <w:r w:rsidRPr="00BB17C5">
        <w:rPr>
          <w:rtl/>
        </w:rPr>
        <w:t xml:space="preserve"> </w:t>
      </w:r>
      <w:r w:rsidRPr="00BB17C5">
        <w:rPr>
          <w:rFonts w:hint="eastAsia"/>
          <w:rtl/>
        </w:rPr>
        <w:t>ובב</w:t>
      </w:r>
      <w:r w:rsidRPr="00BB17C5">
        <w:rPr>
          <w:rtl/>
        </w:rPr>
        <w:t xml:space="preserve">"כ), </w:t>
      </w:r>
      <w:r w:rsidRPr="00BB17C5">
        <w:rPr>
          <w:rFonts w:hint="eastAsia"/>
          <w:rtl/>
        </w:rPr>
        <w:t>משהם</w:t>
      </w:r>
      <w:r w:rsidRPr="00BB17C5">
        <w:rPr>
          <w:rtl/>
        </w:rPr>
        <w:t xml:space="preserve"> </w:t>
      </w:r>
      <w:r w:rsidRPr="00BB17C5">
        <w:rPr>
          <w:rFonts w:hint="eastAsia"/>
          <w:rtl/>
        </w:rPr>
        <w:t>נשמעים</w:t>
      </w:r>
      <w:r w:rsidRPr="00BB17C5">
        <w:rPr>
          <w:rtl/>
        </w:rPr>
        <w:t xml:space="preserve"> </w:t>
      </w:r>
      <w:r w:rsidRPr="00BB17C5">
        <w:rPr>
          <w:rFonts w:hint="eastAsia"/>
          <w:rtl/>
        </w:rPr>
        <w:t>מפיה</w:t>
      </w:r>
      <w:r w:rsidRPr="00BB17C5">
        <w:rPr>
          <w:rtl/>
        </w:rPr>
        <w:t xml:space="preserve"> </w:t>
      </w:r>
      <w:r w:rsidRPr="00BB17C5">
        <w:rPr>
          <w:rFonts w:hint="eastAsia"/>
          <w:rtl/>
        </w:rPr>
        <w:t>של</w:t>
      </w:r>
      <w:r w:rsidRPr="00BB17C5">
        <w:rPr>
          <w:rtl/>
        </w:rPr>
        <w:t xml:space="preserve"> </w:t>
      </w:r>
      <w:r w:rsidRPr="00BB17C5">
        <w:rPr>
          <w:rFonts w:hint="eastAsia"/>
          <w:rtl/>
        </w:rPr>
        <w:t>היועצת</w:t>
      </w:r>
      <w:r w:rsidRPr="00BB17C5">
        <w:rPr>
          <w:rtl/>
        </w:rPr>
        <w:t xml:space="preserve"> </w:t>
      </w:r>
      <w:r w:rsidRPr="00BB17C5">
        <w:rPr>
          <w:rFonts w:hint="eastAsia"/>
          <w:rtl/>
        </w:rPr>
        <w:t>המשפטית</w:t>
      </w:r>
      <w:r w:rsidRPr="00BB17C5">
        <w:rPr>
          <w:rtl/>
        </w:rPr>
        <w:t xml:space="preserve"> </w:t>
      </w:r>
      <w:r w:rsidRPr="00BB17C5">
        <w:rPr>
          <w:rFonts w:hint="eastAsia"/>
          <w:rtl/>
        </w:rPr>
        <w:t>לממשלה</w:t>
      </w:r>
      <w:r w:rsidRPr="00BB17C5">
        <w:rPr>
          <w:rtl/>
        </w:rPr>
        <w:t xml:space="preserve"> </w:t>
      </w:r>
      <w:r w:rsidRPr="00BB17C5">
        <w:rPr>
          <w:rFonts w:hint="eastAsia"/>
          <w:rtl/>
        </w:rPr>
        <w:t>בכבודה</w:t>
      </w:r>
      <w:r w:rsidRPr="00BB17C5">
        <w:rPr>
          <w:rtl/>
        </w:rPr>
        <w:t xml:space="preserve"> </w:t>
      </w:r>
      <w:r w:rsidRPr="00BB17C5">
        <w:rPr>
          <w:rFonts w:hint="eastAsia"/>
          <w:rtl/>
        </w:rPr>
        <w:t>ובעצמה</w:t>
      </w:r>
      <w:r>
        <w:rPr>
          <w:rFonts w:hint="cs"/>
          <w:rtl/>
        </w:rPr>
        <w:t>. אותם חששות, הנוגעים לפגיעה העקיפה / התפקודית, כפי שהוגדרה לעיל, הם לדעתי בעלי המשקל הרב ביותר בטיעונים השונים המבקשים לשכנע שדין העתירות להתקבל.</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אגב כך אציין כי איני חושב שהפגיעה העקרונית / הישירה, עליה עמדתי לעיל, יש בה כדי להוסיף משקל של ממש לעניין ההכרעה דנן. זאת, משום שעל פניה נראה שמדובר בפגיעה בינארית </w:t>
      </w:r>
      <w:r>
        <w:rPr>
          <w:rtl/>
        </w:rPr>
        <w:t>–</w:t>
      </w:r>
      <w:r>
        <w:rPr>
          <w:rFonts w:hint="cs"/>
          <w:rtl/>
        </w:rPr>
        <w:t xml:space="preserve"> אין בה את ההבחנה הנחוצה בין גריעה כלשהי מהיקף הביקורת השיפוטית על הרשות המבצעת לבין גריעה המהווה פגיעה אנושה. אכן, במצב בו מוטלת על הממשלה ושריה חובה אולם לא קיים "דיין" אשר יאכוף את קיומה, יש פגיעה עקרונית מסוימת בשלטון החוק. כך גם מנקודת המבט של העותר הספציפי במקרה עתידי, שלמרות שהפרת החובה גרמה לו לנזק </w:t>
      </w:r>
      <w:r>
        <w:rPr>
          <w:rtl/>
        </w:rPr>
        <w:t>–</w:t>
      </w:r>
      <w:r>
        <w:rPr>
          <w:rFonts w:hint="cs"/>
          <w:rtl/>
        </w:rPr>
        <w:t xml:space="preserve"> אינו יכול לזכות בסעד. אם נתלה את ההכרעה דנן במישור הפגיעה העקרונית / הישירה כאמור, הרי שכל תיקון הגורע מהיקף הביקורת השיפוטית, באשר הוא, יביא בהכרח למסקנה כי יש לבטלו בשל פגיעה בשלטון החוק. ברם, להשקפתי אין די בעצם קיומה של פגיעה כלשהי בשלטון החוק או בהפרדת </w:t>
      </w:r>
      <w:r>
        <w:rPr>
          <w:rFonts w:hint="cs"/>
          <w:rtl/>
        </w:rPr>
        <w:lastRenderedPageBreak/>
        <w:t xml:space="preserve">הרשויות. עסקינן בעניין של מידה </w:t>
      </w:r>
      <w:r>
        <w:rPr>
          <w:rtl/>
        </w:rPr>
        <w:t>–</w:t>
      </w:r>
      <w:r>
        <w:rPr>
          <w:rFonts w:hint="cs"/>
          <w:rtl/>
        </w:rPr>
        <w:t xml:space="preserve"> עד כמה פגיעה זו הינה פגיעה אנושה העומדת במבחן הדווקני והצר הרלוונטי לעניינו. לכן, הטיעונים שהינם בעלי המשקל העיקרי בעניין זה, הינם, לדעתי, הטיעונים במישור הפגיעה העקיפה / תפקודית.</w:t>
      </w:r>
    </w:p>
    <w:p w:rsidR="003D2318" w:rsidRDefault="003D2318" w:rsidP="003D2318">
      <w:pPr>
        <w:pStyle w:val="Ruller41"/>
        <w:spacing w:line="240" w:lineRule="auto"/>
        <w:rPr>
          <w:rtl/>
        </w:rPr>
      </w:pPr>
    </w:p>
    <w:p w:rsidR="003D2318" w:rsidRDefault="003D2318" w:rsidP="00570AC5">
      <w:pPr>
        <w:pStyle w:val="Ruller4"/>
        <w:rPr>
          <w:rtl/>
        </w:rPr>
      </w:pPr>
      <w:r>
        <w:rPr>
          <w:rFonts w:hint="cs"/>
          <w:rtl/>
        </w:rPr>
        <w:t>ועוד קודם שאמשיך, סבורני שראוי להבהיר: פגיעה אנושה בדמוקרטיה יכולה להיגרם לא רק מצעדים שעל פניהם הינם מרחיקי לכת, כדוגמת שלילת זכות הבחירה מחלק מהציבור. היא יכולה להיעשות גם בדרכים אשר לציבור הרחב עלולים להיראות כ-"משפטיים" מובהקים ולכן, כביכול, כחשובים ודרמטיים פחות.</w:t>
      </w:r>
    </w:p>
    <w:p w:rsidR="003D2318" w:rsidRPr="004C4BD5"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כך, כדוגמא בלבד, נניח שיחוקק חוק לפיו בכל סכסוך משפטי שבו רשות מרשויות המדינה הינה צד לו, מנהלי, פלילי, אזרחי או אחר, תעודה חתומה על ידי שר, המפרטת עובדות רלוונטיות, תחשב כראיה מכרעת שאין אחריה ולא כלום לעניין נכונותן של אותן עובדות. תיקון שכזה נחזה להיות עניין שבדיני ראיות ובטכניקה משפטית שרק מי שמקצועם בכך ייראו בו כבעל חשיבות מיוחדת. ניתן אולי לדמיין אפילו שיימצא מי שיטען כי יש להאמין לשרים לא פחות מאשר לשופטים וכי חזקה על שרים שלא יאשרו עובדות שאינן אמת, שאחרת קלונם יתגלה ביום מן הימים ובוחריהם ימאסו בהם. בפועל, משמעו של חוק כזה, לו חלילה היה מחוקק, הינו ביטול כמעט מוחלט של יכולתו של הפרט לעמוד על זכויותיו מול הרשויות, הפקעה למעשה של הזכויות הבסיסיות של כל אזרחי המדינה ופגיעה אנושה בליבת הדמוקרטיה בישראל ובגרעינים המינימאליים של מדינת ישראל כמדינה דמוקרטית.</w:t>
      </w:r>
    </w:p>
    <w:p w:rsidR="003D2318" w:rsidRDefault="003D2318" w:rsidP="003D2318">
      <w:pPr>
        <w:pStyle w:val="Ruller41"/>
        <w:spacing w:line="240" w:lineRule="auto"/>
        <w:rPr>
          <w:rtl/>
        </w:rPr>
      </w:pPr>
    </w:p>
    <w:p w:rsidR="003D2318" w:rsidRDefault="003D2318" w:rsidP="00B06786">
      <w:pPr>
        <w:pStyle w:val="Ruller4"/>
        <w:rPr>
          <w:rtl/>
        </w:rPr>
      </w:pPr>
      <w:r>
        <w:rPr>
          <w:rFonts w:hint="cs"/>
          <w:rtl/>
        </w:rPr>
        <w:t xml:space="preserve">בכפוף להערות אלו, אפנה עתה לבחון את עמידתו של התיקון דנן באמת המידה כפי שהובאה לעיל. </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הערכת מידתה של הפגיעה העלולה להיגרם בעקבות התיקון דנן, תלויה לדעתי במספר היבטים, שחלקם יוזכר להלן:</w:t>
      </w:r>
    </w:p>
    <w:p w:rsidR="003D2318" w:rsidRPr="00F05AFF" w:rsidRDefault="003D2318" w:rsidP="003D2318">
      <w:pPr>
        <w:pStyle w:val="Ruller41"/>
        <w:spacing w:line="240" w:lineRule="auto"/>
        <w:rPr>
          <w:rtl/>
        </w:rPr>
      </w:pPr>
    </w:p>
    <w:p w:rsidR="003D2318" w:rsidRDefault="003D2318" w:rsidP="003D2318">
      <w:pPr>
        <w:pStyle w:val="Ruller41"/>
        <w:rPr>
          <w:rtl/>
        </w:rPr>
      </w:pPr>
      <w:r>
        <w:rPr>
          <w:rFonts w:hint="cs"/>
          <w:rtl/>
        </w:rPr>
        <w:tab/>
      </w:r>
      <w:r w:rsidRPr="00F96561">
        <w:rPr>
          <w:rFonts w:ascii="Century" w:hAnsi="Century" w:cs="Miriam" w:hint="cs"/>
          <w:b/>
          <w:spacing w:val="0"/>
          <w:szCs w:val="24"/>
          <w:rtl/>
        </w:rPr>
        <w:t>היבט ראשון</w:t>
      </w:r>
      <w:r w:rsidRPr="00F05AFF">
        <w:rPr>
          <w:rFonts w:hint="cs"/>
          <w:rtl/>
        </w:rPr>
        <w:t xml:space="preserve"> </w:t>
      </w:r>
      <w:r>
        <w:rPr>
          <w:rtl/>
        </w:rPr>
        <w:t>–</w:t>
      </w:r>
      <w:r>
        <w:rPr>
          <w:rFonts w:hint="cs"/>
          <w:rtl/>
        </w:rPr>
        <w:t xml:space="preserve"> האופן בו ינהגו הממשלה ושריה לכשישוחררו מעול הביקורת השיפוטית על סבירות החלטותיהם. ההערכה כי בהעדר "דיין" תרבינה מאוד ההחלטות של הממשלה ושריה שהיו נפסלות לו הייתה ממשיכה להתקיים עילת הסבירות, אינה חסרת הגיון אולם יכולה גם להתבדות.</w:t>
      </w:r>
    </w:p>
    <w:p w:rsidR="003D2318" w:rsidRDefault="003D2318" w:rsidP="003D2318">
      <w:pPr>
        <w:pStyle w:val="Ruller41"/>
        <w:spacing w:line="240" w:lineRule="auto"/>
        <w:rPr>
          <w:rtl/>
        </w:rPr>
      </w:pPr>
    </w:p>
    <w:p w:rsidR="003D2318" w:rsidRDefault="003D2318" w:rsidP="003D2318">
      <w:pPr>
        <w:pStyle w:val="Ruller41"/>
        <w:rPr>
          <w:rtl/>
        </w:rPr>
      </w:pPr>
      <w:r>
        <w:rPr>
          <w:rtl/>
        </w:rPr>
        <w:tab/>
      </w:r>
      <w:r w:rsidRPr="00F96561">
        <w:rPr>
          <w:rFonts w:ascii="Century" w:hAnsi="Century" w:cs="Miriam" w:hint="cs"/>
          <w:b/>
          <w:spacing w:val="0"/>
          <w:szCs w:val="24"/>
          <w:rtl/>
        </w:rPr>
        <w:t>היבט שני</w:t>
      </w:r>
      <w:r w:rsidRPr="00F05AFF">
        <w:rPr>
          <w:rFonts w:hint="cs"/>
          <w:rtl/>
        </w:rPr>
        <w:t xml:space="preserve"> </w:t>
      </w:r>
      <w:r>
        <w:rPr>
          <w:rtl/>
        </w:rPr>
        <w:t>–</w:t>
      </w:r>
      <w:r>
        <w:rPr>
          <w:rFonts w:hint="cs"/>
          <w:rtl/>
        </w:rPr>
        <w:t xml:space="preserve"> כיצד יפורש התיקון על ידי בתי המשפט ובעיקר על ידי בית משפט זה. בהקשר זה כבר הועלו מספר שאלות בעלות חשיבות: האם הביטול מתייחס לעילת הסבירות "האיזונית" המזוהה עם פסק הדין בבג"ץ 389/80 </w:t>
      </w:r>
      <w:r w:rsidRPr="00F96561">
        <w:rPr>
          <w:rFonts w:ascii="Century" w:hAnsi="Century" w:cs="Miriam" w:hint="cs"/>
          <w:b/>
          <w:spacing w:val="0"/>
          <w:szCs w:val="24"/>
          <w:rtl/>
        </w:rPr>
        <w:t xml:space="preserve">דפי זהב בע"מ </w:t>
      </w:r>
      <w:r w:rsidRPr="00F05AFF">
        <w:rPr>
          <w:rFonts w:ascii="Century" w:hAnsi="Century" w:cs="Miriam" w:hint="cs"/>
          <w:b/>
          <w:spacing w:val="0"/>
          <w:szCs w:val="24"/>
          <w:rtl/>
        </w:rPr>
        <w:t>נ</w:t>
      </w:r>
      <w:r>
        <w:rPr>
          <w:rFonts w:ascii="Century" w:hAnsi="Century" w:cs="Miriam" w:hint="cs"/>
          <w:b/>
          <w:spacing w:val="0"/>
          <w:szCs w:val="24"/>
          <w:rtl/>
        </w:rPr>
        <w:t>'</w:t>
      </w:r>
      <w:r w:rsidRPr="00F96561">
        <w:rPr>
          <w:rFonts w:ascii="Century" w:hAnsi="Century" w:cs="Miriam" w:hint="cs"/>
          <w:b/>
          <w:spacing w:val="0"/>
          <w:szCs w:val="24"/>
          <w:rtl/>
        </w:rPr>
        <w:t xml:space="preserve"> רשות </w:t>
      </w:r>
      <w:r w:rsidRPr="00F96561">
        <w:rPr>
          <w:rFonts w:ascii="Century" w:hAnsi="Century" w:cs="Miriam" w:hint="cs"/>
          <w:b/>
          <w:spacing w:val="0"/>
          <w:szCs w:val="24"/>
          <w:rtl/>
        </w:rPr>
        <w:lastRenderedPageBreak/>
        <w:t>השידור</w:t>
      </w:r>
      <w:r>
        <w:rPr>
          <w:rFonts w:hint="cs"/>
          <w:rtl/>
        </w:rPr>
        <w:t xml:space="preserve">, פ"ד לה(1) 421 (1980), או שמא משמעות התיקון היא ביטול עילת הסבירות אף בנוסחה הצר שקדם להלכה הנ"ל? </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עוד נשאלה השאלה כיצד יפורש התיקון לעניין האצלת סמכויות ונטילת סמכויות על ידי השר? וברי כי תעלינה בעתיד שאלות נוספות.</w:t>
      </w:r>
    </w:p>
    <w:p w:rsidR="003D2318" w:rsidRDefault="003D2318" w:rsidP="003D2318">
      <w:pPr>
        <w:pStyle w:val="Ruller41"/>
        <w:spacing w:line="240" w:lineRule="auto"/>
        <w:rPr>
          <w:rtl/>
        </w:rPr>
      </w:pPr>
    </w:p>
    <w:p w:rsidR="003D2318" w:rsidRDefault="003D2318" w:rsidP="003D2318">
      <w:pPr>
        <w:pStyle w:val="Ruller41"/>
        <w:rPr>
          <w:rtl/>
        </w:rPr>
      </w:pPr>
      <w:r>
        <w:rPr>
          <w:rtl/>
        </w:rPr>
        <w:tab/>
      </w:r>
      <w:r w:rsidRPr="00121946">
        <w:rPr>
          <w:rFonts w:ascii="Century" w:hAnsi="Century" w:cs="Miriam" w:hint="cs"/>
          <w:b/>
          <w:spacing w:val="0"/>
          <w:szCs w:val="24"/>
          <w:rtl/>
        </w:rPr>
        <w:t>היבט שלישי</w:t>
      </w:r>
      <w:r w:rsidRPr="00F05AFF">
        <w:rPr>
          <w:rFonts w:hint="cs"/>
          <w:rtl/>
        </w:rPr>
        <w:t xml:space="preserve"> </w:t>
      </w:r>
      <w:r>
        <w:rPr>
          <w:rtl/>
        </w:rPr>
        <w:t>–</w:t>
      </w:r>
      <w:r>
        <w:rPr>
          <w:rFonts w:hint="cs"/>
          <w:rtl/>
        </w:rPr>
        <w:t xml:space="preserve"> מוסכם גם על גורמי הממשלה (ראו פסקה 172 לתגובתם) כי ביטול עילת הסבירות אינו גורע מיתר עילות הפיקוח השיפוטי על רשויות המנהל. הכנסת מצביעה על כך שזו גם הייתה העמדה הברורה במהלך הדיונים של ועדת החוקה חוק ומשפט בעניינו של התיקון דנן. התשובה לשאלה כיצד ייושמו העילות האחרות (ואולי חדשות שתפותחנה), בנסיבות בהן לא ניתן לעשות שימוש בעילת הסבירות, אף היא מצויה בעתיד. בהקשר זה ברור, לדעתי, שביטול עילת הסבירות אין משמעו שתוכנם של ההחלטה או המעשה כנגדו תוגש עתירה לבית המשפט, יהפוך לבלתי רלוונטי. כך, כפי שברור שתוכנה של החלטה יכול לשלול טענה לקיומם של שיקולים זרים, כך ברי כי תוכנה של ההחלטה יכול לחזק טענה לקיומם של שיקולים זרים. בהקשר זה יצוין כי חברי, השופט </w:t>
      </w:r>
      <w:r w:rsidRPr="00F96561">
        <w:rPr>
          <w:rFonts w:ascii="Century" w:hAnsi="Century" w:cs="Miriam" w:hint="cs"/>
          <w:b/>
          <w:spacing w:val="0"/>
          <w:szCs w:val="24"/>
          <w:rtl/>
        </w:rPr>
        <w:t>א' שטיין</w:t>
      </w:r>
      <w:r>
        <w:rPr>
          <w:rFonts w:hint="cs"/>
          <w:rtl/>
        </w:rPr>
        <w:t xml:space="preserve">, הביע זה מכבר את גישתו לפיה עילת הסבירות מגלמת את העיקרון המשפטי של "הדבר מדבר בעדו" בדיני הנזיקין (סעיף 41 לפקודת הנזיקין [נוסח חדש]), גישה עליה עמד זמן ניכר עוד קודם שנבחרה כלל הכנסת הנוכחית (וראו: עע"ם 1798/20 </w:t>
      </w:r>
      <w:r w:rsidRPr="00F96561">
        <w:rPr>
          <w:rFonts w:ascii="Century" w:hAnsi="Century" w:cs="Miriam" w:hint="cs"/>
          <w:b/>
          <w:spacing w:val="0"/>
          <w:szCs w:val="24"/>
          <w:rtl/>
        </w:rPr>
        <w:t xml:space="preserve">עמותת פורום המזרח התיכון ישראל </w:t>
      </w:r>
      <w:r>
        <w:rPr>
          <w:rFonts w:ascii="Century" w:hAnsi="Century" w:cs="Miriam" w:hint="cs"/>
          <w:b/>
          <w:spacing w:val="0"/>
          <w:szCs w:val="24"/>
          <w:rtl/>
        </w:rPr>
        <w:t>נ'</w:t>
      </w:r>
      <w:r w:rsidRPr="00F96561">
        <w:rPr>
          <w:rFonts w:ascii="Century" w:hAnsi="Century" w:cs="Miriam" w:hint="cs"/>
          <w:b/>
          <w:spacing w:val="0"/>
          <w:szCs w:val="24"/>
          <w:rtl/>
        </w:rPr>
        <w:t xml:space="preserve"> עיריית תל-אביב-יפו</w:t>
      </w:r>
      <w:r>
        <w:rPr>
          <w:rFonts w:hint="cs"/>
          <w:rtl/>
        </w:rPr>
        <w:t xml:space="preserve"> (7.1.2021)). בין אם תאומץ גישה זו, על העברת נטל ההוכחה הנובעת ממנה, למישור המשפט המנהלי, ובין אם לאו, סביר כי השימוש בעילה שעניינה שקילת שיקולים זרים, לרבות האפשרות להסיק מסקנות בעניין זה מתוכנם של ההחלטה או המעשה העומדים לדיון, יגבר.</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כך, כדוגמא נוספת, עילת החריגה מסמכות, על ההבחנה בה, בהקשר הימנעות מהפעלת סמכות, בין סמכות חובה לבין סמכות רשות, עשויה בהחלט להיות רלוונטית, במקרים המתאימים, לעניין אותו חלק בתיקון המתייחס ל</w:t>
      </w:r>
      <w:r w:rsidRPr="00F05AFF">
        <w:rPr>
          <w:rFonts w:ascii="Century" w:hAnsi="Century" w:cs="Miriam" w:hint="cs"/>
          <w:b/>
          <w:spacing w:val="0"/>
          <w:szCs w:val="24"/>
          <w:rtl/>
        </w:rPr>
        <w:t>-</w:t>
      </w:r>
      <w:r w:rsidRPr="00F05AFF">
        <w:rPr>
          <w:rFonts w:ascii="Century" w:hAnsi="Century" w:hint="cs"/>
          <w:rtl/>
        </w:rPr>
        <w:t>"</w:t>
      </w:r>
      <w:r w:rsidRPr="00F05AFF">
        <w:rPr>
          <w:rFonts w:ascii="Century" w:hAnsi="Century" w:cs="Miriam" w:hint="cs"/>
          <w:b/>
          <w:spacing w:val="0"/>
          <w:szCs w:val="24"/>
          <w:rtl/>
        </w:rPr>
        <w:t>...</w:t>
      </w:r>
      <w:r w:rsidRPr="00F96561">
        <w:rPr>
          <w:rFonts w:ascii="Century" w:hAnsi="Century" w:cs="Miriam" w:hint="cs"/>
          <w:b/>
          <w:spacing w:val="0"/>
          <w:szCs w:val="24"/>
          <w:rtl/>
        </w:rPr>
        <w:t>החלטה להימנע מהפעלת כל סמכות</w:t>
      </w:r>
      <w:r>
        <w:rPr>
          <w:rFonts w:hint="cs"/>
          <w:rtl/>
        </w:rPr>
        <w:t>".</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כמו כן, יכול והנטייה המסויגת של בתי המשפט המנהליים (ואף בית משפט זה בשבתו כבית משפט גבוה לצדק), בכל הנוגע לקיום בירור עובדתי, יכולה אף היא לעבור שינוי, והכלים לכך מצויים בדין הקיים.</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ולמותר לציין כי האמור לעיל הינו בגדר דוגמאות להמחשה בלבד.</w:t>
      </w:r>
    </w:p>
    <w:p w:rsidR="003D2318" w:rsidRDefault="003D2318" w:rsidP="003D2318">
      <w:pPr>
        <w:pStyle w:val="Ruller41"/>
        <w:spacing w:line="240" w:lineRule="auto"/>
        <w:rPr>
          <w:rtl/>
        </w:rPr>
      </w:pPr>
    </w:p>
    <w:p w:rsidR="003D2318" w:rsidRDefault="003D2318" w:rsidP="003D2318">
      <w:pPr>
        <w:pStyle w:val="Ruller41"/>
        <w:rPr>
          <w:rtl/>
        </w:rPr>
      </w:pPr>
      <w:r>
        <w:rPr>
          <w:rFonts w:ascii="Century" w:hAnsi="Century" w:cs="Miriam"/>
          <w:b/>
          <w:spacing w:val="0"/>
          <w:szCs w:val="24"/>
          <w:rtl/>
        </w:rPr>
        <w:tab/>
      </w:r>
      <w:r w:rsidRPr="00F96561">
        <w:rPr>
          <w:rFonts w:ascii="Century" w:hAnsi="Century" w:cs="Miriam" w:hint="cs"/>
          <w:b/>
          <w:spacing w:val="0"/>
          <w:szCs w:val="24"/>
          <w:rtl/>
        </w:rPr>
        <w:t>היבט רביעי</w:t>
      </w:r>
      <w:r>
        <w:rPr>
          <w:rFonts w:hint="cs"/>
          <w:rtl/>
        </w:rPr>
        <w:t xml:space="preserve"> </w:t>
      </w:r>
      <w:r>
        <w:rPr>
          <w:rtl/>
        </w:rPr>
        <w:t>–</w:t>
      </w:r>
      <w:r>
        <w:rPr>
          <w:rFonts w:hint="cs"/>
          <w:rtl/>
        </w:rPr>
        <w:t xml:space="preserve"> מה יהיה תוקפן של הלכות מחייבות שנפסקו עובר לכניסתו של התיקון דנן לתוקף? כך, לדוגמא, ההלכות שכבר נפסקו לעניין מגבלותיה של ממשלת </w:t>
      </w:r>
      <w:r>
        <w:rPr>
          <w:rFonts w:hint="cs"/>
          <w:rtl/>
        </w:rPr>
        <w:lastRenderedPageBreak/>
        <w:t>מעבר, יכול ויצמצמו את החששות בעניין זה. לעניין זה דומה שהקביעה לפיה התיקון לא ביטל את חובתם של הממשלה ושריה לנהוג בסבירות, מחזקת את האפשרות לקבוע שההלכות שכבר נקבעו, על בסיס קיומה של חובה זו, שרירות וקיימות.</w:t>
      </w:r>
    </w:p>
    <w:p w:rsidR="003D2318" w:rsidRDefault="003D2318" w:rsidP="003D2318">
      <w:pPr>
        <w:pStyle w:val="Ruller41"/>
        <w:spacing w:line="240" w:lineRule="auto"/>
        <w:rPr>
          <w:rtl/>
        </w:rPr>
      </w:pPr>
    </w:p>
    <w:p w:rsidR="003D2318" w:rsidRPr="00007073" w:rsidRDefault="003D2318" w:rsidP="003D2318">
      <w:pPr>
        <w:pStyle w:val="Ruller41"/>
        <w:rPr>
          <w:rtl/>
        </w:rPr>
      </w:pPr>
      <w:r>
        <w:rPr>
          <w:rFonts w:ascii="Century" w:hAnsi="Century" w:cs="Miriam"/>
          <w:b/>
          <w:spacing w:val="0"/>
          <w:szCs w:val="24"/>
          <w:rtl/>
        </w:rPr>
        <w:tab/>
      </w:r>
      <w:r w:rsidRPr="00F96561">
        <w:rPr>
          <w:rFonts w:ascii="Century" w:hAnsi="Century" w:cs="Miriam" w:hint="cs"/>
          <w:b/>
          <w:spacing w:val="0"/>
          <w:szCs w:val="24"/>
          <w:rtl/>
        </w:rPr>
        <w:t>היבט חמישי</w:t>
      </w:r>
      <w:r w:rsidRPr="00F05AFF">
        <w:rPr>
          <w:rFonts w:hint="cs"/>
          <w:rtl/>
        </w:rPr>
        <w:t xml:space="preserve"> </w:t>
      </w:r>
      <w:r>
        <w:rPr>
          <w:rtl/>
        </w:rPr>
        <w:t>–</w:t>
      </w:r>
      <w:r>
        <w:rPr>
          <w:rFonts w:hint="cs"/>
          <w:rtl/>
        </w:rPr>
        <w:t xml:space="preserve"> הכנסת טוענת כי היא עצמה תמלא תפקיד פעיל יותר בפיקוח על סבירות </w:t>
      </w:r>
      <w:r w:rsidRPr="00007073">
        <w:rPr>
          <w:rFonts w:hint="cs"/>
          <w:rtl/>
        </w:rPr>
        <w:t>החלטותיהם ופעולותיהם של הממשלה ושריה.</w:t>
      </w:r>
    </w:p>
    <w:p w:rsidR="003D2318" w:rsidRPr="00007073" w:rsidRDefault="003D2318" w:rsidP="003D2318">
      <w:pPr>
        <w:pStyle w:val="Ruller41"/>
        <w:spacing w:line="240" w:lineRule="auto"/>
      </w:pPr>
    </w:p>
    <w:p w:rsidR="003D2318" w:rsidRPr="00007073" w:rsidRDefault="003D2318" w:rsidP="00B06786">
      <w:pPr>
        <w:pStyle w:val="Ruller4"/>
        <w:rPr>
          <w:rtl/>
        </w:rPr>
      </w:pPr>
      <w:r w:rsidRPr="00007073">
        <w:rPr>
          <w:rFonts w:hint="cs"/>
          <w:rtl/>
        </w:rPr>
        <w:t>ואחר כל אלה אבקש להבהיר: מסכים אני לדברי הנשיאה (פסקה 152 לחוות דעתה) שכל האמור לעיל לא יהווה פיצוי (ו</w:t>
      </w:r>
      <w:r>
        <w:rPr>
          <w:rFonts w:hint="cs"/>
          <w:rtl/>
        </w:rPr>
        <w:t>לשיטתי יש לסייג</w:t>
      </w:r>
      <w:r w:rsidRPr="00007073">
        <w:rPr>
          <w:rFonts w:hint="cs"/>
          <w:rtl/>
        </w:rPr>
        <w:t xml:space="preserve"> </w:t>
      </w:r>
      <w:r w:rsidRPr="00007073">
        <w:rPr>
          <w:rtl/>
        </w:rPr>
        <w:t>–</w:t>
      </w:r>
      <w:r w:rsidRPr="00007073">
        <w:rPr>
          <w:rFonts w:hint="cs"/>
          <w:rtl/>
        </w:rPr>
        <w:t xml:space="preserve"> לא יהווה פיצוי </w:t>
      </w:r>
      <w:r w:rsidRPr="009E7463">
        <w:rPr>
          <w:rFonts w:ascii="Century" w:hAnsi="Century" w:cs="Miriam" w:hint="cs"/>
          <w:b/>
          <w:spacing w:val="0"/>
          <w:sz w:val="22"/>
          <w:szCs w:val="24"/>
          <w:rtl/>
        </w:rPr>
        <w:t>מלא</w:t>
      </w:r>
      <w:r w:rsidRPr="00007073">
        <w:rPr>
          <w:rFonts w:hint="cs"/>
          <w:rtl/>
        </w:rPr>
        <w:t xml:space="preserve"> או לא יהווה תחליף</w:t>
      </w:r>
      <w:r>
        <w:rPr>
          <w:rFonts w:hint="cs"/>
          <w:rtl/>
        </w:rPr>
        <w:t xml:space="preserve"> </w:t>
      </w:r>
      <w:r w:rsidRPr="009E7463">
        <w:rPr>
          <w:rFonts w:ascii="Century" w:hAnsi="Century" w:cs="Miriam" w:hint="cs"/>
          <w:b/>
          <w:spacing w:val="0"/>
          <w:sz w:val="22"/>
          <w:szCs w:val="24"/>
          <w:rtl/>
        </w:rPr>
        <w:t>מושלם</w:t>
      </w:r>
      <w:r>
        <w:rPr>
          <w:rFonts w:hint="cs"/>
          <w:rtl/>
        </w:rPr>
        <w:t xml:space="preserve">) לכלי החשוב שנלקח מארגז הכלים של הרשות השופטת </w:t>
      </w:r>
      <w:r>
        <w:rPr>
          <w:rtl/>
        </w:rPr>
        <w:t>–</w:t>
      </w:r>
      <w:r>
        <w:rPr>
          <w:rFonts w:hint="cs"/>
          <w:rtl/>
        </w:rPr>
        <w:t xml:space="preserve"> עילת הסבירות בפיקוח שיפוטי על הממשלה ושריה. מסכים אני גם עם התיאור לפיו בעקבות התיקון ייווצרו "חורים שחורים", כבא להמחיש את העובדה שבמקרים מסוימים, לאחר התיקון, לא יוכל עוד בית המשפט להפעיל ביקורת שיפוטית ולהושיט סעד. </w:t>
      </w:r>
      <w:r w:rsidRPr="00F05AFF">
        <w:rPr>
          <w:rFonts w:hint="cs"/>
          <w:rtl/>
        </w:rPr>
        <w:t xml:space="preserve">אוסיף ואציין כי ספק אם תוצאה אחרת הינה אף ראויה, שהרי משמעה שנמצאו הדרכים להגיע לתוצאה השונה מזו שהמחוקק התכוון אליה </w:t>
      </w:r>
      <w:r>
        <w:rPr>
          <w:rFonts w:hint="cs"/>
          <w:rtl/>
        </w:rPr>
        <w:t>ב</w:t>
      </w:r>
      <w:r w:rsidRPr="00F05AFF">
        <w:rPr>
          <w:rFonts w:hint="cs"/>
          <w:rtl/>
        </w:rPr>
        <w:t xml:space="preserve">תיקון. </w:t>
      </w:r>
    </w:p>
    <w:p w:rsidR="003D2318" w:rsidRPr="00F05AFF"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אלא שעדיין יש לבחון האם די בכך כדי לעמוד במבחן הצר והדווקני, עליו עמדתי לעיל, לעניין קביעה שהכנסת חרגה מסמכותה כרשות מכוננת בכינון התיקון לחוק-יסוד: השפיטה.</w:t>
      </w:r>
    </w:p>
    <w:p w:rsidR="003D2318" w:rsidRDefault="003D2318" w:rsidP="003D2318">
      <w:pPr>
        <w:pStyle w:val="Ruller41"/>
        <w:spacing w:line="240" w:lineRule="auto"/>
        <w:rPr>
          <w:rtl/>
        </w:rPr>
      </w:pPr>
    </w:p>
    <w:p w:rsidR="003D2318" w:rsidRDefault="003D2318" w:rsidP="00B06786">
      <w:pPr>
        <w:pStyle w:val="Ruller4"/>
        <w:rPr>
          <w:rtl/>
        </w:rPr>
      </w:pPr>
      <w:r>
        <w:rPr>
          <w:rFonts w:hint="cs"/>
          <w:rtl/>
        </w:rPr>
        <w:t>חזרתי אפוא לשאלה המכרעת: האם הסטת נקודת האיזון בין הרשות השופטת לבין הרשות המבצעת, בעניין הביקורת השיפוטית על הרשות המבצעת, כפי שבוצע בתיקון דנן, מגיעה כדי שלילת ליבת הזהות הדמוקרטית של המדינה? פגיעה אנושה בגרעינים המינימאליים של מדינת ישראל כמדינה דמוקרטית? 'שבירת כלים' והרס בלתי הפיך של השיטה החוקתית?</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עמדתי לעיל על כך שהביקורת השיפוטית על פעולותיה של הרשות המבצעת הינה ממרכיביו המרכזיים של עקרון הפרדת הרשויות, וכן מרכיב הכרחי בשלטון החוק ובשמירה על חרויות האזרח. ביטול הביקורת השיפוטית על הרשות המבצעת ואף על חלק משמעותי ממנה (כפי שהדבר בנסיבות דנן), יכול להוות על כן פגיעה אנושה בגרעינים המינימאליים של מדינת ישראל כמדינה דמוקרטית, כנדרש על פי המבחן עליו עמדתי לעיל.</w:t>
      </w:r>
    </w:p>
    <w:p w:rsidR="003D2318" w:rsidRDefault="003D2318" w:rsidP="003D2318">
      <w:pPr>
        <w:pStyle w:val="Ruller41"/>
        <w:spacing w:line="240" w:lineRule="auto"/>
        <w:rPr>
          <w:rtl/>
        </w:rPr>
      </w:pPr>
    </w:p>
    <w:p w:rsidR="003D2318" w:rsidRDefault="003D2318" w:rsidP="003D2318">
      <w:pPr>
        <w:pStyle w:val="Ruller41"/>
        <w:rPr>
          <w:rtl/>
        </w:rPr>
      </w:pPr>
      <w:r>
        <w:rPr>
          <w:rtl/>
        </w:rPr>
        <w:lastRenderedPageBreak/>
        <w:tab/>
      </w:r>
      <w:r>
        <w:rPr>
          <w:rFonts w:hint="cs"/>
          <w:rtl/>
        </w:rPr>
        <w:t>מאידך גיסא, עמדתי לעיל על כך שלא כל גריעה מהיקף הביקורת השיפוטית על פעולותיה של הרשות המבצעת תחשב כמספקת לקביעה המאוד מרחיקת לכת המבוקשת במסגרת העתירות דנן.</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מדובר אפוא, במידה רבה, בעניין של מידה. תבונתי אינה מגעת כדי להציע נוסחה ברורה ומדויקת לאיתור אותה נקודה שמעבר לה הסטת האיזון בין הרשות השופטת לרשות המבצעת, על דרך הצרת הביקורת השיפוטית על הרשות המבצעת, תצדיק קביעה שהכנסת חרגה מסמכותה המכוננת.</w:t>
      </w:r>
    </w:p>
    <w:p w:rsidR="003D2318" w:rsidRDefault="003D2318" w:rsidP="003D2318">
      <w:pPr>
        <w:pStyle w:val="Ruller41"/>
        <w:spacing w:line="240" w:lineRule="auto"/>
        <w:rPr>
          <w:rtl/>
        </w:rPr>
      </w:pPr>
    </w:p>
    <w:p w:rsidR="003D2318" w:rsidRPr="00F96561" w:rsidRDefault="003D2318" w:rsidP="003D2318">
      <w:pPr>
        <w:pStyle w:val="Ruller41"/>
        <w:rPr>
          <w:rFonts w:ascii="Century" w:hAnsi="Century"/>
          <w:rtl/>
        </w:rPr>
      </w:pPr>
      <w:r>
        <w:rPr>
          <w:rtl/>
        </w:rPr>
        <w:tab/>
      </w:r>
      <w:r>
        <w:rPr>
          <w:rFonts w:hint="cs"/>
          <w:rtl/>
        </w:rPr>
        <w:t xml:space="preserve">מונח שאאמץ לעניין איתורה של אותה נקודה מכרעת, בדומה לדרכו של חברי, השופט </w:t>
      </w:r>
      <w:r w:rsidRPr="00F96561">
        <w:rPr>
          <w:rFonts w:ascii="Century" w:hAnsi="Century" w:cs="Miriam" w:hint="cs"/>
          <w:b/>
          <w:spacing w:val="0"/>
          <w:szCs w:val="24"/>
          <w:rtl/>
        </w:rPr>
        <w:t>א' שטיין</w:t>
      </w:r>
      <w:r>
        <w:rPr>
          <w:rFonts w:hint="cs"/>
          <w:rtl/>
        </w:rPr>
        <w:t xml:space="preserve"> (פסקה 98 לחוות דעתו), הינו זה המתייחס להמשך קיומה של "ביקורת </w:t>
      </w:r>
      <w:r w:rsidRPr="00F96561">
        <w:rPr>
          <w:rFonts w:ascii="Century" w:hAnsi="Century" w:cs="Miriam" w:hint="cs"/>
          <w:b/>
          <w:spacing w:val="0"/>
          <w:szCs w:val="24"/>
          <w:rtl/>
        </w:rPr>
        <w:t>אפקטיבית</w:t>
      </w:r>
      <w:r>
        <w:rPr>
          <w:rFonts w:hint="cs"/>
          <w:rtl/>
        </w:rPr>
        <w:t xml:space="preserve">" של הרשות השופטת על הרשות המבצעת. מודה אני בכך שגם השימוש במונח זה אין בו, כשלעצמו, כדי ללמד מתי הצרה של הביקורת השיפוטית על הרשות המבצעת תגיע כדי קביעה שהביקורת אינה אפקטיבית עוד ומתי לא. עם זאת, אני סבור כי אימוצו של מונח זה יועיל, גם אם באופן מוגבל, ככלי ביטוי לבחינת </w:t>
      </w:r>
      <w:r>
        <w:rPr>
          <w:rFonts w:ascii="Century" w:hAnsi="Century" w:cs="Miriam" w:hint="cs"/>
          <w:b/>
          <w:spacing w:val="0"/>
          <w:szCs w:val="24"/>
          <w:rtl/>
        </w:rPr>
        <w:t>מידת</w:t>
      </w:r>
      <w:r>
        <w:rPr>
          <w:rFonts w:ascii="Century" w:hAnsi="Century" w:hint="cs"/>
          <w:rtl/>
        </w:rPr>
        <w:t xml:space="preserve"> הפגיעה. </w:t>
      </w:r>
    </w:p>
    <w:p w:rsidR="003D2318" w:rsidRDefault="003D2318" w:rsidP="003D2318">
      <w:pPr>
        <w:pStyle w:val="Ruller41"/>
        <w:spacing w:line="240" w:lineRule="auto"/>
        <w:rPr>
          <w:rtl/>
        </w:rPr>
      </w:pPr>
    </w:p>
    <w:p w:rsidR="003D2318" w:rsidRDefault="003D2318" w:rsidP="00B06786">
      <w:pPr>
        <w:pStyle w:val="Ruller4"/>
        <w:rPr>
          <w:rtl/>
        </w:rPr>
      </w:pPr>
      <w:r>
        <w:rPr>
          <w:rFonts w:hint="cs"/>
          <w:rtl/>
        </w:rPr>
        <w:t xml:space="preserve">זוהי העת להזכיר, פעם נוספת, כי ב-"ארגז הכלים" של בית המשפט מצויים כלים חשובים רבים ונוספים, ואזכיר את חלקם, שהינם בעלי זיקה לעילת הסבירות: העילה שעניינה בחובתה של הרשות המנהלית לפעול על בסיס תשתית עובדתית מספקת; העילה שעניינה בחובתה של הרשות המנהלית לשקול את כל השיקולים הרלוונטיים; העילה שעניינה בחובתה של הרשות המנהלית להימנע משקילת שיקולים זרים; העילה שעניינה בחובתה של הרשות המנהלית להימנע מהפלייה; העילה שעניינה בחובתה של הרשות המנהלית לפעול במידתיות; העילה שעניינה בחובתה של הרשות המנהלית לפעול בתום לב; העילה שעניינה בחובתה של הרשות המנהלית לפעול שלא בשרירות. </w:t>
      </w:r>
    </w:p>
    <w:p w:rsidR="003D2318" w:rsidRPr="001468C9" w:rsidRDefault="003D2318" w:rsidP="003D2318">
      <w:pPr>
        <w:pStyle w:val="Ruller41"/>
        <w:spacing w:line="240" w:lineRule="auto"/>
      </w:pPr>
    </w:p>
    <w:p w:rsidR="003D2318" w:rsidRDefault="003D2318" w:rsidP="003D2318">
      <w:pPr>
        <w:pStyle w:val="Ruller4"/>
        <w:numPr>
          <w:ilvl w:val="0"/>
          <w:numId w:val="0"/>
        </w:numPr>
        <w:rPr>
          <w:rtl/>
        </w:rPr>
      </w:pPr>
      <w:r>
        <w:rPr>
          <w:rtl/>
        </w:rPr>
        <w:tab/>
      </w:r>
      <w:r>
        <w:rPr>
          <w:rFonts w:hint="cs"/>
          <w:rtl/>
        </w:rPr>
        <w:t>לאלו מתווספים הכללים המחייבים לעניין תקינות ההליך המנהלי (לרבות הימנעות מניגוד עניינים, מתן זכות טיעון לצד נפגע ועוד).</w:t>
      </w:r>
    </w:p>
    <w:p w:rsidR="003D2318" w:rsidRPr="004C4BD5"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אכן, עילת הסבירות הינה עילה מרכזית וחשובה, ויש בה לעיתים כדי לייתר את הצורך בבחינת מי מהעילות האחרות. כמו כן, וכפי שציינתי לעיל, סביר כי לעיתים לא יימצא לעילת הסבירות תחליף בעילות האחרות.</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יחד עם זאת וכאמור לעיל, קיימות עילות חשובות נוספות. כך, דומה כי עתירות מסוג העתירות דנן היו מוגשות גם לו התיקון היה מבטל, ככל שאמורים הדברים בממשלה או בשריה, את העילה שעניינה בחובה לפעול על יסוד תשתית עובדתית מספקת או את העילה שעניינה בחובה להימנע שקילת שיקולים זרים. קביעה לפיה כל גריעה של </w:t>
      </w:r>
      <w:r>
        <w:rPr>
          <w:rFonts w:hint="cs"/>
          <w:rtl/>
        </w:rPr>
        <w:lastRenderedPageBreak/>
        <w:t>מי מהעילות הנ"ל, בכל האמור לממשלה ושריה, יש בה משום פגיעה אנושה בגרעינים המינימאליים של מדינת ישראל כמדינה דמוקרטית, נראית לי קביעה מרחיקת לכת שאין לה מקום.</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לאמור יש להוסיף את שנאמר לעיל לעניין ההיבטים שיש בהם כדי להשפיע על השלכותיו של התיקון דנן והמצויים כולם בעתיד.</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התוצאה היא שאיני סבור שבמבט כולל, להבדיל מהתמקדות בחששות (שאינם מופרכים) להשלכותיו של התיקון דנן, ניתן לומר שהתיקון יוביל לכך שבמדינת ישראל לא תהא עוד ביקורת אפקטיבית של הרשות השופטת על הרשות המבצעת. ואותם הדברים לעניין התיאור בדבר היווצרותם של "חורים שחורים": איני סבור שבמבט כולל ניתן לומר שה-"שטחים", לעניין הביקורת השיפוטית על הרשות המבצעת (על כלל חלקיה), שיהפכו ל-"חורים שחורים", הינם כה משמעותיים עד שניתן לומר שהפגיעה בביקורת השיפוטית מגיעה כדי פגיעה אנושה בגרעינים המינימאליים של מדינת ישראל כמדינה דמוקרטית. </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לאור האמור, דעתי היא כי אין לקבוע לגבי התיקון דנן כי הינו מגיע כדי שלילת ליבת הזהות הדמוקרטית של המדינה, לפגיעה אנושה בגרעינים המינימאליים של מדינת ישראל כמדינה דמוקרטית או ל-'שבירת כלים' ולהרס בלתי הפיך של השיטה החוקתית.</w:t>
      </w:r>
    </w:p>
    <w:p w:rsidR="003D2318" w:rsidRDefault="003D2318" w:rsidP="003D2318">
      <w:pPr>
        <w:pStyle w:val="Ruller41"/>
        <w:rPr>
          <w:rtl/>
        </w:rPr>
      </w:pPr>
    </w:p>
    <w:p w:rsidR="003D2318" w:rsidRPr="00F96561" w:rsidRDefault="003D2318" w:rsidP="003D2318">
      <w:pPr>
        <w:pStyle w:val="Ruller41"/>
        <w:rPr>
          <w:rFonts w:ascii="Century" w:hAnsi="Century" w:cs="Miriam"/>
          <w:b/>
          <w:spacing w:val="0"/>
          <w:szCs w:val="24"/>
          <w:rtl/>
        </w:rPr>
      </w:pPr>
      <w:r w:rsidRPr="00F96561">
        <w:rPr>
          <w:rFonts w:ascii="Century" w:hAnsi="Century" w:cs="Miriam" w:hint="cs"/>
          <w:b/>
          <w:spacing w:val="0"/>
          <w:szCs w:val="24"/>
          <w:rtl/>
        </w:rPr>
        <w:t>"הקשר רחב", "סלאמי", "עצים ויער", "מדרון חלקלק"</w:t>
      </w:r>
    </w:p>
    <w:p w:rsidR="003D2318" w:rsidRPr="00741E17" w:rsidRDefault="003D2318" w:rsidP="003D2318">
      <w:pPr>
        <w:pStyle w:val="Ruller41"/>
        <w:spacing w:line="240" w:lineRule="auto"/>
        <w:rPr>
          <w:rFonts w:ascii="Century" w:hAnsi="Century" w:cs="Miriam"/>
          <w:b/>
          <w:spacing w:val="0"/>
          <w:szCs w:val="24"/>
          <w:rtl/>
        </w:rPr>
      </w:pPr>
    </w:p>
    <w:p w:rsidR="003D2318" w:rsidRDefault="003D2318" w:rsidP="00B06786">
      <w:pPr>
        <w:pStyle w:val="Ruller4"/>
        <w:rPr>
          <w:rtl/>
        </w:rPr>
      </w:pPr>
      <w:r>
        <w:rPr>
          <w:rFonts w:hint="cs"/>
          <w:rtl/>
        </w:rPr>
        <w:t>טענה מרכזית נוספת שנטענה על ידי העותרים הינה שיש להורות על בטלותו של התיקון לא על דרך בחינתו של התיקון בלבד אלא מתוך ראיה רחבה יותר, כחלק משורת מהלכיה של "הרפורמה המשפטית", שהתיקון דנן הינו רק המהלך הראשון בה. לפי קו הטיעון האמור על בית משפט זה להתגייס ולעצור את מהלכה של "הרפורמה המשפטית" כבר בתחנתה הראשונה.</w:t>
      </w:r>
    </w:p>
    <w:p w:rsidR="003D2318" w:rsidRPr="00741E17"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הניסוחים של אותם טיעונים היו שונים, החל מבקשה שהעתירה תבחן לפי "ההקשר הרחב" של הדברים (ושאין להתבונן ב-"עצים" אלא ב-"יער" כולו), דרך קריאה לבית משפט זה שלא לאפשר לפגוע בעקרונות הדמוקרטיה על פי "שיטת הסלאמי", ולמנוע את התדרדרותה של הדמוקרטיה הישראלית במדרון חלקלק (כל אלו יכונו להלן: </w:t>
      </w:r>
      <w:r>
        <w:rPr>
          <w:rFonts w:ascii="Century" w:hAnsi="Century" w:cs="Miriam" w:hint="cs"/>
          <w:b/>
          <w:spacing w:val="0"/>
          <w:szCs w:val="24"/>
          <w:rtl/>
        </w:rPr>
        <w:t>טיעון הסלאמי</w:t>
      </w:r>
      <w:r>
        <w:rPr>
          <w:rFonts w:ascii="Century" w:hAnsi="Century" w:hint="cs"/>
          <w:rtl/>
        </w:rPr>
        <w:t>)</w:t>
      </w:r>
      <w:r>
        <w:rPr>
          <w:rFonts w:hint="cs"/>
          <w:rtl/>
        </w:rPr>
        <w:t>.</w:t>
      </w:r>
    </w:p>
    <w:p w:rsidR="003D2318" w:rsidRDefault="003D2318" w:rsidP="003D2318">
      <w:pPr>
        <w:pStyle w:val="Ruller41"/>
        <w:spacing w:line="240" w:lineRule="auto"/>
        <w:rPr>
          <w:rtl/>
        </w:rPr>
      </w:pPr>
    </w:p>
    <w:p w:rsidR="003D2318" w:rsidRDefault="003D2318" w:rsidP="003D2318">
      <w:pPr>
        <w:pStyle w:val="Ruller41"/>
        <w:rPr>
          <w:rtl/>
        </w:rPr>
      </w:pPr>
      <w:r>
        <w:rPr>
          <w:rtl/>
        </w:rPr>
        <w:lastRenderedPageBreak/>
        <w:tab/>
      </w:r>
      <w:r>
        <w:rPr>
          <w:rFonts w:hint="cs"/>
          <w:rtl/>
        </w:rPr>
        <w:t>ויודגש: עניינם של הטיעונים דלעיל אינו בנורמות שכבר חוקקו ובטענה שיש לבחון את השלכותיו של התיקון דנן לאור המצב המשפטי הקיים, אלא בצעדים חקיקתיים עתידיים.</w:t>
      </w:r>
    </w:p>
    <w:p w:rsidR="003D2318" w:rsidRDefault="003D2318" w:rsidP="003D2318">
      <w:pPr>
        <w:pStyle w:val="Ruller41"/>
        <w:spacing w:line="240" w:lineRule="auto"/>
        <w:rPr>
          <w:rtl/>
        </w:rPr>
      </w:pPr>
    </w:p>
    <w:p w:rsidR="003D2318" w:rsidRDefault="003D2318" w:rsidP="003D2318">
      <w:pPr>
        <w:pStyle w:val="Ruller41"/>
        <w:rPr>
          <w:b/>
          <w:bCs/>
          <w:rtl/>
        </w:rPr>
      </w:pPr>
      <w:r>
        <w:rPr>
          <w:rtl/>
        </w:rPr>
        <w:tab/>
      </w:r>
      <w:r>
        <w:rPr>
          <w:rFonts w:hint="cs"/>
          <w:rtl/>
        </w:rPr>
        <w:t xml:space="preserve">כך נטען, לדוגמא, בעתירתה של התנועה למען איכות השלטון בישראל כי התיקון הינו: </w:t>
      </w:r>
      <w:r w:rsidRPr="00F96561">
        <w:rPr>
          <w:rFonts w:ascii="Century" w:hAnsi="Century" w:hint="cs"/>
          <w:rtl/>
        </w:rPr>
        <w:t>"</w:t>
      </w:r>
      <w:r w:rsidRPr="00F96561">
        <w:rPr>
          <w:rFonts w:ascii="Century" w:hAnsi="Century" w:cs="Miriam" w:hint="cs"/>
          <w:b/>
          <w:spacing w:val="0"/>
          <w:szCs w:val="24"/>
          <w:rtl/>
        </w:rPr>
        <w:t>אקורד הפתיחה של סיום הפרק הדמוקרטי במדינת ישראל</w:t>
      </w:r>
      <w:r w:rsidRPr="00227322">
        <w:rPr>
          <w:rFonts w:ascii="Century" w:hAnsi="Century" w:hint="cs"/>
          <w:rtl/>
        </w:rPr>
        <w:t>"</w:t>
      </w:r>
      <w:r>
        <w:rPr>
          <w:rFonts w:ascii="Century" w:hAnsi="Century" w:hint="cs"/>
          <w:rtl/>
        </w:rPr>
        <w:t xml:space="preserve"> (פסקה 7)</w:t>
      </w:r>
      <w:r>
        <w:rPr>
          <w:rFonts w:hint="cs"/>
          <w:rtl/>
        </w:rPr>
        <w:t xml:space="preserve">; וכי: </w:t>
      </w:r>
      <w:r w:rsidRPr="00F96561">
        <w:rPr>
          <w:rFonts w:ascii="Century" w:hAnsi="Century" w:hint="cs"/>
          <w:rtl/>
        </w:rPr>
        <w:t>"</w:t>
      </w:r>
      <w:r w:rsidRPr="00F96561">
        <w:rPr>
          <w:rFonts w:ascii="Century" w:hAnsi="Century" w:cs="Miriam" w:hint="cs"/>
          <w:b/>
          <w:spacing w:val="0"/>
          <w:szCs w:val="24"/>
          <w:rtl/>
        </w:rPr>
        <w:t xml:space="preserve">אין לראות בתיקון מושא עתירה זו כעומד בדד. </w:t>
      </w:r>
      <w:r w:rsidRPr="00F96561">
        <w:rPr>
          <w:rFonts w:ascii="Century" w:hAnsi="Century" w:cs="Miriam" w:hint="cs"/>
          <w:b/>
          <w:spacing w:val="0"/>
          <w:szCs w:val="24"/>
          <w:u w:val="single"/>
          <w:rtl/>
        </w:rPr>
        <w:t>אין מקום לראות את העצים ולהתעלם מהיער</w:t>
      </w:r>
      <w:r w:rsidRPr="00227322">
        <w:rPr>
          <w:rFonts w:ascii="Century" w:hAnsi="Century" w:cs="Miriam" w:hint="cs"/>
          <w:b/>
          <w:spacing w:val="0"/>
          <w:szCs w:val="24"/>
          <w:rtl/>
        </w:rPr>
        <w:t>.</w:t>
      </w:r>
      <w:r>
        <w:rPr>
          <w:rFonts w:hint="cs"/>
          <w:rtl/>
        </w:rPr>
        <w:t xml:space="preserve"> </w:t>
      </w:r>
      <w:r w:rsidRPr="00F96561">
        <w:rPr>
          <w:rFonts w:ascii="Century" w:hAnsi="Century" w:cs="Miriam" w:hint="cs"/>
          <w:b/>
          <w:spacing w:val="0"/>
          <w:szCs w:val="24"/>
          <w:rtl/>
        </w:rPr>
        <w:t>על תיקון זה יש להשקיף כחלק אינטגרלי, ראשון וחיוני, מיוזמות החקיקה ומת</w:t>
      </w:r>
      <w:r>
        <w:rPr>
          <w:rFonts w:ascii="Century" w:hAnsi="Century" w:cs="Miriam" w:hint="cs"/>
          <w:b/>
          <w:spacing w:val="0"/>
          <w:szCs w:val="24"/>
          <w:rtl/>
        </w:rPr>
        <w:t>ו</w:t>
      </w:r>
      <w:r w:rsidRPr="00F96561">
        <w:rPr>
          <w:rFonts w:ascii="Century" w:hAnsi="Century" w:cs="Miriam" w:hint="cs"/>
          <w:b/>
          <w:spacing w:val="0"/>
          <w:szCs w:val="24"/>
          <w:rtl/>
        </w:rPr>
        <w:t>כנית השלבים של שר המשפטים יריב לוין שתכליתן לבצע הפיכה משטרית במדינת ישראל. על כן, והגם שטרם הושלמה חקיקת כל רכיבי ה'רפורמה', העותרת תטען כי על בית המשפט הנכבד לבחון את חוקתיות התיקונים החוקתיים האמורים גם באופן מצרפי, ובראייה רחבה על כלל מהלכי הממשלה</w:t>
      </w:r>
      <w:r w:rsidRPr="00F96561">
        <w:rPr>
          <w:rFonts w:ascii="Century" w:hAnsi="Century" w:hint="cs"/>
          <w:rtl/>
        </w:rPr>
        <w:t>"</w:t>
      </w:r>
      <w:r w:rsidRPr="00227322">
        <w:rPr>
          <w:rFonts w:hint="cs"/>
          <w:rtl/>
        </w:rPr>
        <w:t xml:space="preserve"> </w:t>
      </w:r>
      <w:r w:rsidRPr="008B430C">
        <w:rPr>
          <w:rFonts w:hint="cs"/>
          <w:rtl/>
        </w:rPr>
        <w:t>(</w:t>
      </w:r>
      <w:r>
        <w:rPr>
          <w:rFonts w:hint="cs"/>
          <w:rtl/>
        </w:rPr>
        <w:t xml:space="preserve">פסקה 9; </w:t>
      </w:r>
      <w:r w:rsidRPr="008B430C">
        <w:rPr>
          <w:rFonts w:hint="cs"/>
          <w:rtl/>
        </w:rPr>
        <w:t>ההדגשה במקור</w:t>
      </w:r>
      <w:r>
        <w:rPr>
          <w:rFonts w:hint="cs"/>
          <w:rtl/>
        </w:rPr>
        <w:t xml:space="preserve"> </w:t>
      </w:r>
      <w:r>
        <w:rPr>
          <w:rtl/>
        </w:rPr>
        <w:t>–</w:t>
      </w:r>
      <w:r>
        <w:rPr>
          <w:rFonts w:hint="cs"/>
          <w:rtl/>
        </w:rPr>
        <w:t xml:space="preserve"> י' כ'</w:t>
      </w:r>
      <w:r w:rsidRPr="008B430C">
        <w:rPr>
          <w:rFonts w:hint="cs"/>
          <w:rtl/>
        </w:rPr>
        <w:t>).</w:t>
      </w:r>
    </w:p>
    <w:p w:rsidR="003D2318" w:rsidRDefault="003D2318" w:rsidP="003D2318">
      <w:pPr>
        <w:pStyle w:val="Ruller41"/>
        <w:spacing w:line="240" w:lineRule="auto"/>
        <w:rPr>
          <w:b/>
          <w:bCs/>
          <w:rtl/>
        </w:rPr>
      </w:pPr>
    </w:p>
    <w:p w:rsidR="003D2318" w:rsidRDefault="003D2318" w:rsidP="003D2318">
      <w:pPr>
        <w:pStyle w:val="Ruller41"/>
        <w:rPr>
          <w:rtl/>
        </w:rPr>
      </w:pPr>
      <w:r>
        <w:rPr>
          <w:rtl/>
        </w:rPr>
        <w:tab/>
      </w:r>
      <w:r>
        <w:rPr>
          <w:rFonts w:hint="cs"/>
          <w:rtl/>
        </w:rPr>
        <w:t xml:space="preserve">וראו לדוגמא גם בטיעוניה של לשכת עורכי הדין (פסקאות 3, 4 ו-211), וכן בטיעוניה של היועצת המשפטית לממשלה (פסקאות 9, 22 247 ו-343-349). </w:t>
      </w:r>
    </w:p>
    <w:p w:rsidR="003D2318" w:rsidRDefault="003D2318" w:rsidP="003D2318">
      <w:pPr>
        <w:pStyle w:val="Ruller41"/>
        <w:rPr>
          <w:rtl/>
        </w:rPr>
      </w:pPr>
    </w:p>
    <w:p w:rsidR="003D2318" w:rsidRDefault="003D2318" w:rsidP="00B06786">
      <w:pPr>
        <w:pStyle w:val="Ruller4"/>
        <w:rPr>
          <w:rtl/>
        </w:rPr>
      </w:pPr>
      <w:r>
        <w:rPr>
          <w:rFonts w:hint="cs"/>
          <w:rtl/>
        </w:rPr>
        <w:t>טענות מהסוג האמור נתקלות לעיתים קרובות בקושי עובדתי / ראייתי לעניין עצם היות מעשה המנהל או דבר חקיקה הנתקף בעתירה בגדר מהלך ראשון בלבד מקרב שורת מהלכים שיש בהם, יחד, כדי לשנות, באופן מהותי, את התמונה העובדתית.</w:t>
      </w:r>
    </w:p>
    <w:p w:rsidR="003D2318" w:rsidRPr="00227322"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קושי כזה אינו קיים בנסיבות דנן.</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הדברים פורטו בחוות דעתה של הנשיאה וגם כאן אוכל לקצר: ביום 4.1.2023, בסמוך לאחר השבעתה של הממשלה, כינס שר המשפטים וסגן ראש הממשלה, חה"כ יריב לוין, מסיבת עיתונאים, ובה הודיע על מה שכונה על ידו "רפורמת המשילות". במסיבת העיתונאים הציג השר את מה שכונה על ידו "השלב הראשון של הרפורמה", אשר כלל את ארבעת הנושאים הבאים: "שינוי הרכב הוועדה לבחירת שופטים" (כך שתהיה בשליטתן המוחלטת של הממשלה והקואליציה), "הסדרת פסילת חוקים ופסקת התגברות", "ביטול עילת הסבירות", "היועצים המשפטיים" (שמשמעו: "לא עוד כפיפות הממשלה לדרג לא נבחר").</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ואם רשימת ארבעת הצעדים דלעיל אינה מספקת, הובהר, חזור והבהר, כי הינם מייצגים אך ורק את "השלב הראשון", וזאת מבלי להבהיר כמה "שלבים" נוספים צפויים ומה עתיד להיכלל במסגרתם.</w:t>
      </w:r>
    </w:p>
    <w:p w:rsidR="003D2318" w:rsidRDefault="003D2318" w:rsidP="003D2318">
      <w:pPr>
        <w:pStyle w:val="Ruller41"/>
        <w:spacing w:line="240" w:lineRule="auto"/>
        <w:rPr>
          <w:rtl/>
        </w:rPr>
      </w:pPr>
    </w:p>
    <w:p w:rsidR="003D2318" w:rsidRDefault="003D2318" w:rsidP="003D2318">
      <w:pPr>
        <w:pStyle w:val="Ruller41"/>
        <w:rPr>
          <w:rtl/>
        </w:rPr>
      </w:pPr>
      <w:r>
        <w:rPr>
          <w:rtl/>
        </w:rPr>
        <w:lastRenderedPageBreak/>
        <w:tab/>
      </w:r>
      <w:r>
        <w:rPr>
          <w:rFonts w:hint="cs"/>
          <w:rtl/>
        </w:rPr>
        <w:t>לא היה זה "רק" נאום של שר המשפטים וסגן ראש הממשלה, שכן מתברר שבהסכם הקואליציונ</w:t>
      </w:r>
      <w:r>
        <w:rPr>
          <w:rFonts w:hint="eastAsia"/>
          <w:rtl/>
        </w:rPr>
        <w:t>י</w:t>
      </w:r>
      <w:r>
        <w:rPr>
          <w:rFonts w:hint="cs"/>
          <w:rtl/>
        </w:rPr>
        <w:t xml:space="preserve"> שביסוד הקמתה של הממשלה שזה עתה הוקמה, נקבע כי:</w:t>
      </w:r>
    </w:p>
    <w:p w:rsidR="003D2318" w:rsidRDefault="003D2318" w:rsidP="003D2318">
      <w:pPr>
        <w:pStyle w:val="Ruller41"/>
        <w:spacing w:line="240" w:lineRule="auto"/>
        <w:rPr>
          <w:rtl/>
        </w:rPr>
      </w:pPr>
    </w:p>
    <w:p w:rsidR="003D2318" w:rsidRDefault="003D2318" w:rsidP="003D2318">
      <w:pPr>
        <w:pStyle w:val="Ruller5"/>
        <w:rPr>
          <w:rtl/>
        </w:rPr>
      </w:pPr>
      <w:r w:rsidRPr="00F96561">
        <w:rPr>
          <w:rFonts w:hint="cs"/>
          <w:rtl/>
        </w:rPr>
        <w:t>"כל סיעות הקואליציה יתמכו בכל הצעות החוק, לרבות בחוקי יסוד ובתיקונים לחוקי יסוד, כפי שיוצעו על ידי שר המשפטים, ושיעסקו במערכת המשפט ובין היתר בהסדרת מערכת היחסים שבין הכנסת והממשלה לבין מערכת המשפט ובית המשפט העליון ובשיטת בחירת השופטים. כל זאת לשם השבת האיזון הראוי בין הרשויות. החקיקה כאמור תכלול גם חקיקת חוק יסוד: החקיקה ופסקת התגברות. כל הצעות החוק שעניינן הנושאים הנזכרים בסעיף זה תקבלנה עדיפות מוחלטת ומלאה, בכל מקרה ונסיבות, על פני כל חקיקה אחרת...".</w:t>
      </w:r>
    </w:p>
    <w:p w:rsidR="003D2318" w:rsidRDefault="003D2318" w:rsidP="003D2318">
      <w:pPr>
        <w:pStyle w:val="Ruller5"/>
        <w:spacing w:line="360" w:lineRule="auto"/>
        <w:rPr>
          <w:rtl/>
        </w:rPr>
      </w:pPr>
    </w:p>
    <w:p w:rsidR="003D2318" w:rsidRDefault="003D2318" w:rsidP="003D2318">
      <w:pPr>
        <w:pStyle w:val="Ruller41"/>
        <w:rPr>
          <w:rtl/>
        </w:rPr>
      </w:pPr>
      <w:r>
        <w:rPr>
          <w:rtl/>
        </w:rPr>
        <w:tab/>
      </w:r>
      <w:r>
        <w:rPr>
          <w:rFonts w:hint="cs"/>
          <w:rtl/>
        </w:rPr>
        <w:t>על המהלכים מאותה מסיבת עיתונאים ועד לאישור התיקון דנן, בקריאה שניה ושלישית, עמדה הנשיאה בחוות דעתה, ואמנע מלחזור עליהם.</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מבחינה עובדתית, התיקון דנן אכן היה אפוא, למצער בעת שהחלה מלאכת חקיקתו, חלק ממהלך רחב יותר, שגם באשר ליתר מרכיביו, ניתן לומר, בלשון המאופקת הנדרשת, כי הם אינם נעדרי השלכות על הדמוקרטיה הישראלית.</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על כן, מבחינה ציבורית, ניתן להבין, ללא קושי, התייחסות אל התיקון דנן כאל חלק ממהלך כולל. </w:t>
      </w:r>
    </w:p>
    <w:p w:rsidR="003D2318" w:rsidRPr="00994A1A" w:rsidRDefault="003D2318" w:rsidP="003D2318">
      <w:pPr>
        <w:pStyle w:val="Ruller41"/>
        <w:spacing w:line="240" w:lineRule="auto"/>
      </w:pPr>
    </w:p>
    <w:p w:rsidR="003D2318" w:rsidRDefault="003D2318" w:rsidP="00B06786">
      <w:pPr>
        <w:pStyle w:val="Ruller4"/>
        <w:rPr>
          <w:rtl/>
        </w:rPr>
      </w:pPr>
      <w:r>
        <w:rPr>
          <w:rFonts w:hint="cs"/>
          <w:rtl/>
        </w:rPr>
        <w:t>במישור המשפטי, התוצאה הינה, לדעתי, אחרת, ומצווים אנו להתייחס אל התיקון בהתאם למצב המשפטי הקיים במועד בו אנו דנים ולא על יסוד דברי חקיקה אחרים ונוספים הצפויים, לפי הערכה כזו או אחרת ובדרגת ודאות כזו או אחרת, בעתיד.</w:t>
      </w:r>
    </w:p>
    <w:p w:rsidR="003D2318" w:rsidRPr="00454504"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זאת, לא רק משום שאין דרכו של בית משפט זה לדון בעניינים תאורטיים (כמובהר, בהקשר דנן, בפסקה 46 לחוות דעתה של חברתי השופטת </w:t>
      </w:r>
      <w:r w:rsidRPr="00F96561">
        <w:rPr>
          <w:rFonts w:ascii="Century" w:hAnsi="Century" w:cs="Miriam" w:hint="cs"/>
          <w:b/>
          <w:spacing w:val="0"/>
          <w:szCs w:val="24"/>
          <w:rtl/>
        </w:rPr>
        <w:t>י' וילנר</w:t>
      </w:r>
      <w:r>
        <w:rPr>
          <w:rFonts w:hint="cs"/>
          <w:rtl/>
        </w:rPr>
        <w:t>), ובהתפתחויות שיכול שתתרחשנה ויכול שלא, אלא גם אם מניחים שהחשש בדבר חקיקה עתידית נוספת יתגשם. אסביר.</w:t>
      </w:r>
    </w:p>
    <w:p w:rsidR="003D2318" w:rsidRDefault="003D2318" w:rsidP="003D2318">
      <w:pPr>
        <w:pStyle w:val="Ruller41"/>
        <w:spacing w:line="240" w:lineRule="auto"/>
        <w:rPr>
          <w:rtl/>
        </w:rPr>
      </w:pPr>
    </w:p>
    <w:p w:rsidR="003D2318" w:rsidRDefault="003D2318" w:rsidP="00B06786">
      <w:pPr>
        <w:pStyle w:val="Ruller4"/>
      </w:pPr>
      <w:r>
        <w:rPr>
          <w:rFonts w:hint="cs"/>
          <w:rtl/>
        </w:rPr>
        <w:t xml:space="preserve">תחילה חשוב להבחין בין שני טיעונים אשר ביניהם הבדל מכריע בהקשר דנן: </w:t>
      </w:r>
    </w:p>
    <w:p w:rsidR="003D2318" w:rsidRDefault="003D2318" w:rsidP="003D2318">
      <w:pPr>
        <w:pStyle w:val="Ruller4"/>
        <w:numPr>
          <w:ilvl w:val="0"/>
          <w:numId w:val="0"/>
        </w:numPr>
        <w:spacing w:line="240" w:lineRule="auto"/>
        <w:rPr>
          <w:rtl/>
        </w:rPr>
      </w:pPr>
    </w:p>
    <w:p w:rsidR="003D2318" w:rsidRDefault="003D2318" w:rsidP="003D2318">
      <w:pPr>
        <w:pStyle w:val="Ruller4"/>
        <w:numPr>
          <w:ilvl w:val="0"/>
          <w:numId w:val="0"/>
        </w:numPr>
        <w:rPr>
          <w:rtl/>
        </w:rPr>
      </w:pPr>
      <w:r>
        <w:rPr>
          <w:rtl/>
        </w:rPr>
        <w:tab/>
      </w:r>
      <w:r w:rsidRPr="00F96561">
        <w:rPr>
          <w:rFonts w:ascii="Century" w:hAnsi="Century" w:cs="Miriam" w:hint="cs"/>
          <w:b/>
          <w:spacing w:val="0"/>
          <w:sz w:val="22"/>
          <w:szCs w:val="24"/>
          <w:rtl/>
        </w:rPr>
        <w:t>הראשון</w:t>
      </w:r>
      <w:r>
        <w:rPr>
          <w:rFonts w:hint="cs"/>
          <w:rtl/>
        </w:rPr>
        <w:t xml:space="preserve"> </w:t>
      </w:r>
      <w:r>
        <w:rPr>
          <w:rtl/>
        </w:rPr>
        <w:t>–</w:t>
      </w:r>
      <w:r>
        <w:rPr>
          <w:rFonts w:hint="cs"/>
          <w:rtl/>
        </w:rPr>
        <w:t xml:space="preserve"> הטענה שיש לבחון את השלכותיו של דבר חקיקה, בהיותו חלק ממהלך חקיקה רחב יותר, בהתייחס לחלקים מאותו מהלך </w:t>
      </w:r>
      <w:r w:rsidRPr="00F96561">
        <w:rPr>
          <w:rFonts w:ascii="Century" w:hAnsi="Century" w:cs="Miriam" w:hint="cs"/>
          <w:b/>
          <w:spacing w:val="0"/>
          <w:sz w:val="22"/>
          <w:szCs w:val="24"/>
          <w:rtl/>
        </w:rPr>
        <w:t>שכבר בוצעו</w:t>
      </w:r>
      <w:r>
        <w:rPr>
          <w:rFonts w:hint="cs"/>
          <w:rtl/>
        </w:rPr>
        <w:t xml:space="preserve">; </w:t>
      </w:r>
      <w:r w:rsidRPr="00F96561">
        <w:rPr>
          <w:rFonts w:ascii="Century" w:hAnsi="Century" w:cs="Miriam" w:hint="cs"/>
          <w:b/>
          <w:spacing w:val="0"/>
          <w:sz w:val="22"/>
          <w:szCs w:val="24"/>
          <w:rtl/>
        </w:rPr>
        <w:t>השני</w:t>
      </w:r>
      <w:r>
        <w:rPr>
          <w:rFonts w:hint="cs"/>
          <w:rtl/>
        </w:rPr>
        <w:t xml:space="preserve"> </w:t>
      </w:r>
      <w:r>
        <w:rPr>
          <w:rtl/>
        </w:rPr>
        <w:t>–</w:t>
      </w:r>
      <w:r>
        <w:rPr>
          <w:rFonts w:hint="cs"/>
          <w:rtl/>
        </w:rPr>
        <w:t xml:space="preserve"> הטענה שיש לבחון את השלכותיו של דבר חקיקה, בהיותו חלק ממהלך חקיקה רחב יותר, בהתייחס לחלקים מאותו מהלך </w:t>
      </w:r>
      <w:r w:rsidRPr="00F96561">
        <w:rPr>
          <w:rFonts w:ascii="Century" w:hAnsi="Century" w:cs="Miriam" w:hint="cs"/>
          <w:b/>
          <w:spacing w:val="0"/>
          <w:sz w:val="22"/>
          <w:szCs w:val="24"/>
          <w:rtl/>
        </w:rPr>
        <w:t>שטרם בוצעו</w:t>
      </w:r>
      <w:r>
        <w:rPr>
          <w:rFonts w:hint="cs"/>
          <w:rtl/>
        </w:rPr>
        <w:t>.</w:t>
      </w:r>
    </w:p>
    <w:p w:rsidR="003D2318" w:rsidRPr="00454504"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אין כל קושי בטיעון מהסוג הראשון, שכן כל המבוקש במסגרתו הינו להתחשב במצב המשפטי הקיים. לא כך באשר לטיעון מהסוג השני. בעתירות דנן ענייננו בטיעון שהינו, ובאופן המובהק ביותר, מהסוג השני (התיקון דנן הינו דבר החקיקה הראשון והיחיד עד כה שחוקק במסגרת ה-"רפורמה המשפטית").</w:t>
      </w:r>
    </w:p>
    <w:p w:rsidR="003D2318" w:rsidRPr="00EC482B" w:rsidRDefault="003D2318" w:rsidP="003D2318">
      <w:pPr>
        <w:pStyle w:val="Ruller41"/>
        <w:spacing w:line="240" w:lineRule="auto"/>
      </w:pPr>
    </w:p>
    <w:p w:rsidR="003D2318" w:rsidRDefault="003D2318" w:rsidP="00B06786">
      <w:pPr>
        <w:pStyle w:val="Ruller4"/>
        <w:rPr>
          <w:rtl/>
        </w:rPr>
      </w:pPr>
      <w:r>
        <w:rPr>
          <w:rFonts w:hint="cs"/>
          <w:rtl/>
        </w:rPr>
        <w:t>הטיעון מהסוג השני, מעורר על פניו קושי שכן מעצם טיבו הינו בעל חשיבות מהותית אך ורק כאשר מבוקש על בסיסו לפסול דבר חקיקה אשר אין מקום לפסלו כשלעצמו.</w:t>
      </w:r>
    </w:p>
    <w:p w:rsidR="003D2318" w:rsidRPr="00454504"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כך, הטוען שהתיקון דנן, כשלעצמו, הינו בעל השלכות כה קשות על אופייה הדמוקרטי של המדינה, עד שמן הדין לקבוע את בטלותו, אינו נזקק כלל לטיעון המבוסס על חקיקה עתידית שתחמיר עוד יותר את התמונה. כמו כן, כאשר להשקפתו של הטוען המצב הוא שהאפקט המצטבר של התיקון והחקיקה העתידית, יחד, אין בו די כדי להצדיק את ההצהרה על בטלותו של התיקון, אין טעם בטיעון המבוסס על החקיקה העתידית.</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המקרה היחיד בו הטענה המתבססת על השלכותיה של חקיקה עתידית הינה בעלת משקל מהותי, הוא כאשר התיקון כשלעצמו אינו בעל השלכות המצדיקות הצהרה על בטלותו, אולם יחד עם השלכותיה של החקיקה העתידית, התוצאה משתנה.</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התוצאה המבוקשת על ידי מי שמעלה טענה כאמור הינה על פניה בעייתית מאוד: מבקש הוא שיוצהר על תיקון לחוק יסוד שהינו בלתי חוקי למרות שככל שאמורים הדברים בתיקון כשלעצמו אין מקום לכך, וזאת על בסיס התרחשות עתידית, שלהערכתו של הטוען צפויה להתרחש, והשלכותיה.</w:t>
      </w:r>
    </w:p>
    <w:p w:rsidR="003D2318" w:rsidRDefault="003D2318" w:rsidP="003D2318">
      <w:pPr>
        <w:pStyle w:val="Ruller41"/>
        <w:spacing w:line="240" w:lineRule="auto"/>
        <w:rPr>
          <w:rtl/>
        </w:rPr>
      </w:pPr>
    </w:p>
    <w:p w:rsidR="003D2318" w:rsidRDefault="003D2318" w:rsidP="00B06786">
      <w:pPr>
        <w:pStyle w:val="Ruller4"/>
        <w:rPr>
          <w:rtl/>
        </w:rPr>
      </w:pPr>
      <w:r>
        <w:rPr>
          <w:rFonts w:hint="cs"/>
          <w:rtl/>
        </w:rPr>
        <w:t>התוצאה המבוקשת על ידי הטוען את טיעון הסלאמי, הינה גם בלתי מוצדקת. כדי להמחיש את הדבר, נניח שמהלך ה-"רפורמה" כולל שני מעשי חקיקה בלבד. כפי שהבהרתי לעיל, לטיעון הסלאמי שמורה חשיבות מהותית רק אם מניחים שמעשה החקיקה הראשון, כשלעצמו, אינו בעל השלכות המצדיקות את ההצהרה על ביטולו, ורק התוצאה המצרפית של שני דברי החקיקה יחד היא שמצדיקה את ההתערבות השיפוטית.</w:t>
      </w:r>
    </w:p>
    <w:p w:rsidR="003D2318" w:rsidRPr="00454504"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סבור אני שקשה לחלוק על כך שהתוצאה היותר צודקת בנסיבות אלו אינה הצהרה על בטלותו של מעשה החקיקה הראשון אלא מתן הצהרה, במקרה הצורך, רק בעת שיחוקק מעשה החקיקה השני ורק לגבי מעשה החקיקה השני. כך יוותר בתוקפו מעשה החקיקה הראשון (שאין סיבה מספקת לבטלו, כשלעצמו), יבוטל מעשה החקיקה </w:t>
      </w:r>
      <w:r>
        <w:rPr>
          <w:rFonts w:hint="cs"/>
          <w:rtl/>
        </w:rPr>
        <w:lastRenderedPageBreak/>
        <w:t xml:space="preserve">השני, והתוצאה שמבקשים למנוע אותה </w:t>
      </w:r>
      <w:r>
        <w:rPr>
          <w:rtl/>
        </w:rPr>
        <w:t>–</w:t>
      </w:r>
      <w:r>
        <w:rPr>
          <w:rFonts w:hint="cs"/>
          <w:rtl/>
        </w:rPr>
        <w:t xml:space="preserve"> האפקט המצרפי של שני דברי החקיקה </w:t>
      </w:r>
      <w:r>
        <w:rPr>
          <w:rtl/>
        </w:rPr>
        <w:t>–</w:t>
      </w:r>
      <w:r>
        <w:rPr>
          <w:rFonts w:hint="cs"/>
          <w:rtl/>
        </w:rPr>
        <w:t xml:space="preserve"> תמנע.</w:t>
      </w:r>
    </w:p>
    <w:p w:rsidR="003D2318" w:rsidRDefault="003D2318" w:rsidP="003D2318">
      <w:pPr>
        <w:pStyle w:val="Ruller41"/>
        <w:spacing w:line="240" w:lineRule="auto"/>
        <w:rPr>
          <w:rtl/>
        </w:rPr>
      </w:pPr>
    </w:p>
    <w:p w:rsidR="003D2318" w:rsidRDefault="003D2318" w:rsidP="003D2318">
      <w:pPr>
        <w:pStyle w:val="Ruller41"/>
      </w:pPr>
      <w:r>
        <w:rPr>
          <w:rtl/>
        </w:rPr>
        <w:tab/>
      </w:r>
      <w:r>
        <w:rPr>
          <w:rFonts w:hint="cs"/>
          <w:rtl/>
        </w:rPr>
        <w:t>אפשר להסביר את הדברים גם על דרך ההפניה להבחנה שערכתי לעיל בין שני סוגי הטיעונים: כאשר מה שעומד על הפרק הוא דבר החקיקה הראשון, הטיעון כנגדו, בהתבסס על הטענה שהינו חלק ממהלך חקיקה כולל, הינו מהסוג השני (הסוג המתייחס לחקיקה שטרם נחקקה), שאין לו, לדעתי, בסיס. לאחר אי-התערבות במעשה החקיקה הראשון, אם אכן יחוקק מעשה החקיקה השני ותוגש בהקשרו עתירה לבית משפט זה, הטיעון יהיה מהסוג הראשון (הסוג המתייחס למצב המשפטי הקיים, הכולל חקיקה שכבר חוקקה), שאין כל קושי לקבלו.</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להגיון עליו עמדתי לעיל יש חריג, וזאת כאשר אי-ההתערבות בדבר החקיקה הראשון, מחלישה את כוחו של בית המשפט להתערב בדבר החקיקה השני. חריג חשוב זה אינו רלוונטי לענייננו, הן משום שהתיקון דנן עניינו בביקורת שיפוטית על הממשלה ושריה ולא על חקיקה, והן משום שעילת הסבירות אינה רלוונטית ממילא לביקורת שיפוטית על חקיקה. רוצה לומר: דחיית העתירות דנן לא תגרע מכוחו של בית משפט זה בעת שיתבקש לדון בתוקפה של חקיקה עתידית. </w:t>
      </w:r>
    </w:p>
    <w:p w:rsidR="003D2318" w:rsidRDefault="003D2318" w:rsidP="003D2318">
      <w:pPr>
        <w:pStyle w:val="Ruller41"/>
        <w:spacing w:line="240" w:lineRule="auto"/>
        <w:rPr>
          <w:rtl/>
        </w:rPr>
      </w:pPr>
    </w:p>
    <w:p w:rsidR="003D2318" w:rsidRDefault="003D2318" w:rsidP="00B06786">
      <w:pPr>
        <w:pStyle w:val="Ruller4"/>
        <w:rPr>
          <w:rtl/>
        </w:rPr>
      </w:pPr>
      <w:r>
        <w:rPr>
          <w:rFonts w:hint="cs"/>
          <w:rtl/>
        </w:rPr>
        <w:t>ביישום לענייננו, המשמעות היא כי אין כל מקום להורות על בטלותו של התיקון דנן על בסיס הטענות כי הינו חלק ממהלך חקיקתי נרחב שהמשכו בעתיד.</w:t>
      </w:r>
    </w:p>
    <w:p w:rsidR="003D2318" w:rsidRPr="00454504"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יחד עם זאת, המצב המשפטי בישראל, באם תדחנה העתירות דנן והתיקון דנן יוותר בתוקפו, הינו מצב משפטי אחר מזה שהיה קודם לחקיקת התיקון.</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על כן, אם וכאשר תכונן בעתיד חקיקת יסוד שייטען לגביה כי הינה פוגעת פגיעה אנושה </w:t>
      </w:r>
      <w:r w:rsidRPr="00A84062">
        <w:rPr>
          <w:rFonts w:hint="cs"/>
          <w:sz w:val="28"/>
          <w:rtl/>
        </w:rPr>
        <w:t xml:space="preserve">במאפייני הזהות הגרעיניים </w:t>
      </w:r>
      <w:r>
        <w:rPr>
          <w:rFonts w:hint="cs"/>
          <w:sz w:val="28"/>
          <w:rtl/>
        </w:rPr>
        <w:t>ה</w:t>
      </w:r>
      <w:r w:rsidRPr="00A84062">
        <w:rPr>
          <w:rFonts w:hint="cs"/>
          <w:sz w:val="28"/>
          <w:rtl/>
        </w:rPr>
        <w:t>מינימאליים של מדינת ישראל כמדינה דמוקרטית</w:t>
      </w:r>
      <w:r>
        <w:rPr>
          <w:rFonts w:hint="cs"/>
          <w:sz w:val="28"/>
          <w:rtl/>
        </w:rPr>
        <w:t>, טיעון זה ייבחן, בין היתר, לאור המצב שהביקורת השיפוטית על החלטות הממשלה ושריה הינה צרה מזו שהייתה וזאת בעקבות התיקון דנן.</w:t>
      </w:r>
    </w:p>
    <w:p w:rsidR="003D2318" w:rsidRPr="005929DD"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ראוי להזכיר בהקשר זה כי "מאפייני הזהות הגרעיניים המינימאליים של מדינת ישראל כמדינה דמוקרטית", אינם מתמצים בקיומה של ביקורת שיפוטית על הרשות המבצעת. בהתאם, השלכותיו של התיקון דנן יכול ותהיינה רלוונטיות הן בעת שתבחן חקיקה עתידית שעניינה קרוב לעניינו של התיקון דנן והן בעת שתבחן חקיקה עתידית שעניינה במרכיבים חיוניים אחרים של זהותה של המדינה כמדינה דמוקרטית. </w:t>
      </w:r>
    </w:p>
    <w:p w:rsidR="003D2318" w:rsidRDefault="003D2318" w:rsidP="003D2318">
      <w:pPr>
        <w:pStyle w:val="Ruller41"/>
        <w:rPr>
          <w:rtl/>
        </w:rPr>
      </w:pPr>
    </w:p>
    <w:p w:rsidR="003D2318" w:rsidRPr="00F96561" w:rsidRDefault="003D2318" w:rsidP="003D2318">
      <w:pPr>
        <w:pStyle w:val="Ruller41"/>
        <w:rPr>
          <w:rFonts w:ascii="Century" w:hAnsi="Century" w:cs="Miriam"/>
          <w:b/>
          <w:spacing w:val="0"/>
          <w:szCs w:val="24"/>
          <w:rtl/>
        </w:rPr>
      </w:pPr>
      <w:r w:rsidRPr="00F96561">
        <w:rPr>
          <w:rFonts w:ascii="Century" w:hAnsi="Century" w:cs="Miriam" w:hint="cs"/>
          <w:b/>
          <w:spacing w:val="0"/>
          <w:szCs w:val="24"/>
          <w:rtl/>
        </w:rPr>
        <w:t>הטענות האחרות כנגד תקפות התיקון</w:t>
      </w:r>
    </w:p>
    <w:p w:rsidR="003D2318" w:rsidRPr="00614A0B" w:rsidRDefault="003D2318" w:rsidP="003D2318">
      <w:pPr>
        <w:pStyle w:val="Ruller41"/>
        <w:spacing w:line="240" w:lineRule="auto"/>
        <w:rPr>
          <w:rtl/>
        </w:rPr>
      </w:pPr>
    </w:p>
    <w:p w:rsidR="003D2318" w:rsidRDefault="003D2318" w:rsidP="00B06786">
      <w:pPr>
        <w:pStyle w:val="Ruller4"/>
        <w:rPr>
          <w:rtl/>
        </w:rPr>
      </w:pPr>
      <w:r>
        <w:rPr>
          <w:rFonts w:hint="cs"/>
          <w:rtl/>
        </w:rPr>
        <w:t>הטיעון המרכזי הנוסף, המועלה בעתירות אשר בפנינו וכן בעמדתה של היועצת המשפטית לממשלה, מבקש לשכנע כי דין התיקון בטלות משום שנחקק תוך שהכנסת עושה שימוש לרעה בסמכותה המכוננת, וזאת על פי הדוקטרינה המשפטית עליה עמדתי בתחילת חוות דעתי זו</w:t>
      </w:r>
      <w:r>
        <w:rPr>
          <w:rFonts w:hint="cs"/>
        </w:rPr>
        <w:t xml:space="preserve"> </w:t>
      </w:r>
      <w:r>
        <w:rPr>
          <w:rFonts w:hint="cs"/>
          <w:rtl/>
        </w:rPr>
        <w:t>(פסקה 3 לעיל).</w:t>
      </w:r>
    </w:p>
    <w:p w:rsidR="003D2318" w:rsidRPr="00614A0B"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הטיעונים בעניין זה נסמכים על פסק דינו של בית משפט זה, בעניין </w:t>
      </w:r>
      <w:r w:rsidRPr="00F96561">
        <w:rPr>
          <w:rFonts w:ascii="Century" w:hAnsi="Century" w:cs="Miriam" w:hint="cs"/>
          <w:b/>
          <w:spacing w:val="0"/>
          <w:szCs w:val="24"/>
          <w:rtl/>
        </w:rPr>
        <w:t>שפיר</w:t>
      </w:r>
      <w:r>
        <w:rPr>
          <w:rFonts w:hint="cs"/>
          <w:rtl/>
        </w:rPr>
        <w:t xml:space="preserve">. ההלכה שנקבעה בעניין </w:t>
      </w:r>
      <w:r w:rsidRPr="00F96561">
        <w:rPr>
          <w:rFonts w:ascii="Century" w:hAnsi="Century" w:cs="Miriam" w:hint="cs"/>
          <w:b/>
          <w:spacing w:val="0"/>
          <w:szCs w:val="24"/>
          <w:rtl/>
        </w:rPr>
        <w:t xml:space="preserve">שפיר </w:t>
      </w:r>
      <w:r>
        <w:rPr>
          <w:rFonts w:hint="cs"/>
          <w:rtl/>
        </w:rPr>
        <w:t xml:space="preserve">קבעה מבחן דו-שלבי, שנועד "לזהות" האם הנורמה שחוקקה במסגרת תיקון לחוק יסוד הינה נורמה המתאימה במהותה להיכלל בחוק יסוד. כפי שנקבע שם, השלב הראשון הינו "שלב הזיהוי", אשר </w:t>
      </w:r>
      <w:r w:rsidRPr="00F96561">
        <w:rPr>
          <w:rFonts w:ascii="Century" w:hAnsi="Century" w:hint="cs"/>
          <w:rtl/>
        </w:rPr>
        <w:t>"</w:t>
      </w:r>
      <w:r w:rsidRPr="00F96561">
        <w:rPr>
          <w:rFonts w:ascii="Century" w:hAnsi="Century" w:cs="Miriam" w:hint="cs"/>
          <w:b/>
          <w:spacing w:val="0"/>
          <w:szCs w:val="24"/>
          <w:rtl/>
        </w:rPr>
        <w:t>במסגרתו על בית המשפט לבחון אם חוק היסוד או התיקון לו נושאים את המאפיינים וסימני ההיכר של נורמות חוקתיות</w:t>
      </w:r>
      <w:r w:rsidRPr="00F96561">
        <w:rPr>
          <w:rFonts w:ascii="Century" w:hAnsi="Century" w:hint="cs"/>
          <w:rtl/>
        </w:rPr>
        <w:t>"</w:t>
      </w:r>
      <w:r>
        <w:rPr>
          <w:rFonts w:hint="cs"/>
          <w:rtl/>
        </w:rPr>
        <w:t xml:space="preserve"> (פסקה 36 לפסק דינה של הנשיאה בעניין </w:t>
      </w:r>
      <w:r w:rsidRPr="00F96561">
        <w:rPr>
          <w:rFonts w:ascii="Century" w:hAnsi="Century" w:cs="Miriam" w:hint="cs"/>
          <w:b/>
          <w:spacing w:val="0"/>
          <w:szCs w:val="24"/>
          <w:rtl/>
        </w:rPr>
        <w:t>שפיר</w:t>
      </w:r>
      <w:r w:rsidRPr="00F96561">
        <w:rPr>
          <w:rFonts w:ascii="Century" w:hAnsi="Century" w:hint="cs"/>
          <w:rtl/>
        </w:rPr>
        <w:t>;</w:t>
      </w:r>
      <w:r w:rsidRPr="00F96561">
        <w:rPr>
          <w:rFonts w:ascii="Century" w:hAnsi="Century" w:cs="Miriam" w:hint="cs"/>
          <w:b/>
          <w:spacing w:val="0"/>
          <w:szCs w:val="24"/>
          <w:rtl/>
        </w:rPr>
        <w:t xml:space="preserve"> </w:t>
      </w:r>
      <w:r>
        <w:rPr>
          <w:rFonts w:hint="cs"/>
          <w:rtl/>
        </w:rPr>
        <w:t xml:space="preserve">ההדגשה במקור </w:t>
      </w:r>
      <w:r>
        <w:rPr>
          <w:rtl/>
        </w:rPr>
        <w:t>–</w:t>
      </w:r>
      <w:r>
        <w:rPr>
          <w:rFonts w:hint="cs"/>
          <w:rtl/>
        </w:rPr>
        <w:t xml:space="preserve"> י' כ'). אם התיקון אינו עומד ב-"שלב הזיהוי", נבחן, במסגרת השלב השני, את הצידוק לקביעתה של הנורמה בה עסקינן במסגרת חוק יסוד דווקא.</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לעניין שלב הזיהוי, נקבעו על ידי הנשיאה, בפסק הדין בעניין </w:t>
      </w:r>
      <w:r w:rsidRPr="00F96561">
        <w:rPr>
          <w:rFonts w:ascii="Century" w:hAnsi="Century" w:cs="Miriam" w:hint="cs"/>
          <w:b/>
          <w:spacing w:val="0"/>
          <w:szCs w:val="24"/>
          <w:rtl/>
        </w:rPr>
        <w:t>שפיר</w:t>
      </w:r>
      <w:r>
        <w:rPr>
          <w:rFonts w:hint="cs"/>
          <w:rtl/>
        </w:rPr>
        <w:t xml:space="preserve">, שלושה מבחני עזר, שייבחנו להלן: מבחן היציבות, מבחן הכלליות ומבחן ההתאמה למארג החוקתי. חברתי השופטת </w:t>
      </w:r>
      <w:r w:rsidRPr="00614A0B">
        <w:rPr>
          <w:rFonts w:ascii="Century" w:hAnsi="Century" w:cs="Miriam" w:hint="cs"/>
          <w:b/>
          <w:spacing w:val="0"/>
          <w:szCs w:val="24"/>
          <w:rtl/>
        </w:rPr>
        <w:t>ד'</w:t>
      </w:r>
      <w:r w:rsidRPr="00F96561">
        <w:rPr>
          <w:rFonts w:ascii="Century" w:hAnsi="Century" w:cs="Miriam" w:hint="cs"/>
          <w:b/>
          <w:spacing w:val="0"/>
          <w:szCs w:val="24"/>
          <w:rtl/>
        </w:rPr>
        <w:t xml:space="preserve"> ברק-ארז</w:t>
      </w:r>
      <w:r>
        <w:rPr>
          <w:rFonts w:hint="cs"/>
          <w:rtl/>
        </w:rPr>
        <w:t xml:space="preserve">, בחוות דעתה בעניין </w:t>
      </w:r>
      <w:r w:rsidRPr="00F96561">
        <w:rPr>
          <w:rFonts w:ascii="Century" w:hAnsi="Century" w:cs="Miriam" w:hint="cs"/>
          <w:b/>
          <w:spacing w:val="0"/>
          <w:szCs w:val="24"/>
          <w:rtl/>
        </w:rPr>
        <w:t>שפיר</w:t>
      </w:r>
      <w:r>
        <w:rPr>
          <w:rFonts w:hint="cs"/>
          <w:rtl/>
        </w:rPr>
        <w:t>, העדיפה לקבוע, במקום המבחן של התאמה למארג החוקתי, את מבחן "המובחנות", שמשמעו שהתיקון לחוק היסוד לא פלש באופן מובהק לתחומה של רשות אחרת, לרבות לתחומה של הכנסת עצמה כמחוקקת של חוקים "רגילים".</w:t>
      </w:r>
    </w:p>
    <w:p w:rsidR="003D2318" w:rsidRDefault="003D2318" w:rsidP="003D2318">
      <w:pPr>
        <w:pStyle w:val="Ruller41"/>
        <w:spacing w:line="240" w:lineRule="auto"/>
        <w:rPr>
          <w:rtl/>
        </w:rPr>
      </w:pPr>
    </w:p>
    <w:p w:rsidR="003D2318" w:rsidRPr="0039326E" w:rsidRDefault="003D2318" w:rsidP="003D2318">
      <w:pPr>
        <w:pStyle w:val="Ruller41"/>
        <w:rPr>
          <w:rtl/>
        </w:rPr>
      </w:pPr>
      <w:r>
        <w:rPr>
          <w:rtl/>
        </w:rPr>
        <w:tab/>
      </w:r>
      <w:r>
        <w:rPr>
          <w:rFonts w:hint="cs"/>
          <w:rtl/>
        </w:rPr>
        <w:t xml:space="preserve">כמו כן, לא למותר להזכיר כי את </w:t>
      </w:r>
      <w:r w:rsidRPr="0039326E">
        <w:rPr>
          <w:rFonts w:hint="cs"/>
          <w:rtl/>
        </w:rPr>
        <w:t>הדוקטרינה של שימוש לרעה בסמכות מכוננת</w:t>
      </w:r>
      <w:r>
        <w:rPr>
          <w:rFonts w:hint="cs"/>
          <w:rtl/>
        </w:rPr>
        <w:t>, יש להחיל ב</w:t>
      </w:r>
      <w:r>
        <w:rPr>
          <w:rtl/>
        </w:rPr>
        <w:t>זהירות רבה, ו</w:t>
      </w:r>
      <w:r w:rsidRPr="0039326E">
        <w:rPr>
          <w:rtl/>
        </w:rPr>
        <w:t>לשמור אותה למקרים קיצוניים</w:t>
      </w:r>
      <w:r w:rsidRPr="0039326E">
        <w:rPr>
          <w:rFonts w:hint="cs"/>
          <w:rtl/>
        </w:rPr>
        <w:t xml:space="preserve"> </w:t>
      </w:r>
      <w:r>
        <w:rPr>
          <w:rFonts w:hint="cs"/>
          <w:rtl/>
        </w:rPr>
        <w:t>(</w:t>
      </w:r>
      <w:r w:rsidRPr="0039326E">
        <w:rPr>
          <w:rFonts w:hint="cs"/>
          <w:rtl/>
        </w:rPr>
        <w:t xml:space="preserve">בג"ץ 2905/20 </w:t>
      </w:r>
      <w:r w:rsidRPr="00FF696B">
        <w:rPr>
          <w:rFonts w:ascii="Century" w:hAnsi="Century" w:cs="Miriam" w:hint="eastAsia"/>
          <w:b/>
          <w:spacing w:val="0"/>
          <w:szCs w:val="24"/>
          <w:rtl/>
        </w:rPr>
        <w:t>התנועה</w:t>
      </w:r>
      <w:r w:rsidRPr="00FF696B">
        <w:rPr>
          <w:rFonts w:ascii="Century" w:hAnsi="Century" w:cs="Miriam"/>
          <w:b/>
          <w:spacing w:val="0"/>
          <w:szCs w:val="24"/>
          <w:rtl/>
        </w:rPr>
        <w:t xml:space="preserve"> </w:t>
      </w:r>
      <w:r w:rsidRPr="00FF696B">
        <w:rPr>
          <w:rFonts w:ascii="Century" w:hAnsi="Century" w:cs="Miriam" w:hint="eastAsia"/>
          <w:b/>
          <w:spacing w:val="0"/>
          <w:szCs w:val="24"/>
          <w:rtl/>
        </w:rPr>
        <w:t>למען</w:t>
      </w:r>
      <w:r w:rsidRPr="00FF696B">
        <w:rPr>
          <w:rFonts w:ascii="Century" w:hAnsi="Century" w:cs="Miriam"/>
          <w:b/>
          <w:spacing w:val="0"/>
          <w:szCs w:val="24"/>
          <w:rtl/>
        </w:rPr>
        <w:t xml:space="preserve"> </w:t>
      </w:r>
      <w:r w:rsidRPr="00FF696B">
        <w:rPr>
          <w:rFonts w:ascii="Century" w:hAnsi="Century" w:cs="Miriam" w:hint="eastAsia"/>
          <w:b/>
          <w:spacing w:val="0"/>
          <w:szCs w:val="24"/>
          <w:rtl/>
        </w:rPr>
        <w:t>איכות</w:t>
      </w:r>
      <w:r w:rsidRPr="00FF696B">
        <w:rPr>
          <w:rFonts w:ascii="Century" w:hAnsi="Century" w:cs="Miriam"/>
          <w:b/>
          <w:spacing w:val="0"/>
          <w:szCs w:val="24"/>
          <w:rtl/>
        </w:rPr>
        <w:t xml:space="preserve"> </w:t>
      </w:r>
      <w:r w:rsidRPr="00FF696B">
        <w:rPr>
          <w:rFonts w:ascii="Century" w:hAnsi="Century" w:cs="Miriam" w:hint="eastAsia"/>
          <w:b/>
          <w:spacing w:val="0"/>
          <w:szCs w:val="24"/>
          <w:rtl/>
        </w:rPr>
        <w:t>השלטון</w:t>
      </w:r>
      <w:r w:rsidRPr="00FF696B">
        <w:rPr>
          <w:rFonts w:ascii="Century" w:hAnsi="Century" w:cs="Miriam"/>
          <w:b/>
          <w:spacing w:val="0"/>
          <w:szCs w:val="24"/>
          <w:rtl/>
        </w:rPr>
        <w:t xml:space="preserve"> </w:t>
      </w:r>
      <w:r w:rsidRPr="00FF696B">
        <w:rPr>
          <w:rFonts w:ascii="Century" w:hAnsi="Century" w:cs="Miriam" w:hint="eastAsia"/>
          <w:b/>
          <w:spacing w:val="0"/>
          <w:szCs w:val="24"/>
          <w:rtl/>
        </w:rPr>
        <w:t>בישראל</w:t>
      </w:r>
      <w:r w:rsidRPr="00FF696B">
        <w:rPr>
          <w:rFonts w:ascii="Century" w:hAnsi="Century" w:cs="Miriam"/>
          <w:b/>
          <w:spacing w:val="0"/>
          <w:szCs w:val="24"/>
          <w:rtl/>
        </w:rPr>
        <w:t xml:space="preserve"> </w:t>
      </w:r>
      <w:r w:rsidRPr="00FF696B">
        <w:rPr>
          <w:rFonts w:ascii="Century" w:hAnsi="Century" w:cs="Miriam" w:hint="eastAsia"/>
          <w:b/>
          <w:spacing w:val="0"/>
          <w:szCs w:val="24"/>
          <w:rtl/>
        </w:rPr>
        <w:t>נ</w:t>
      </w:r>
      <w:r w:rsidRPr="00FF696B">
        <w:rPr>
          <w:rFonts w:ascii="Century" w:hAnsi="Century" w:cs="Miriam"/>
          <w:b/>
          <w:spacing w:val="0"/>
          <w:szCs w:val="24"/>
          <w:rtl/>
        </w:rPr>
        <w:t xml:space="preserve">' </w:t>
      </w:r>
      <w:r w:rsidRPr="00FF696B">
        <w:rPr>
          <w:rFonts w:ascii="Century" w:hAnsi="Century" w:cs="Miriam" w:hint="eastAsia"/>
          <w:b/>
          <w:spacing w:val="0"/>
          <w:szCs w:val="24"/>
          <w:rtl/>
        </w:rPr>
        <w:t>כנסת</w:t>
      </w:r>
      <w:r w:rsidRPr="00FF696B">
        <w:rPr>
          <w:rFonts w:ascii="Century" w:hAnsi="Century" w:cs="Miriam"/>
          <w:b/>
          <w:spacing w:val="0"/>
          <w:szCs w:val="24"/>
          <w:rtl/>
        </w:rPr>
        <w:t xml:space="preserve"> </w:t>
      </w:r>
      <w:r w:rsidRPr="00FF696B">
        <w:rPr>
          <w:rFonts w:ascii="Century" w:hAnsi="Century" w:cs="Miriam" w:hint="eastAsia"/>
          <w:b/>
          <w:spacing w:val="0"/>
          <w:szCs w:val="24"/>
          <w:rtl/>
        </w:rPr>
        <w:t>ישראל</w:t>
      </w:r>
      <w:r w:rsidRPr="0039326E">
        <w:rPr>
          <w:rFonts w:hint="cs"/>
          <w:rtl/>
        </w:rPr>
        <w:t xml:space="preserve">, </w:t>
      </w:r>
      <w:r>
        <w:rPr>
          <w:rFonts w:hint="cs"/>
          <w:rtl/>
        </w:rPr>
        <w:t xml:space="preserve">פסקה 10 לחוות דעתו של השופט </w:t>
      </w:r>
      <w:r w:rsidRPr="00FF696B">
        <w:rPr>
          <w:rFonts w:ascii="Century" w:hAnsi="Century" w:cs="Miriam" w:hint="eastAsia"/>
          <w:b/>
          <w:spacing w:val="0"/>
          <w:szCs w:val="24"/>
          <w:rtl/>
        </w:rPr>
        <w:t>נ</w:t>
      </w:r>
      <w:r w:rsidRPr="00FF696B">
        <w:rPr>
          <w:rFonts w:ascii="Century" w:hAnsi="Century" w:cs="Miriam"/>
          <w:b/>
          <w:spacing w:val="0"/>
          <w:szCs w:val="24"/>
          <w:rtl/>
        </w:rPr>
        <w:t xml:space="preserve">' </w:t>
      </w:r>
      <w:r w:rsidRPr="00FF696B">
        <w:rPr>
          <w:rFonts w:ascii="Century" w:hAnsi="Century" w:cs="Miriam" w:hint="eastAsia"/>
          <w:b/>
          <w:spacing w:val="0"/>
          <w:szCs w:val="24"/>
          <w:rtl/>
        </w:rPr>
        <w:t>הנדל</w:t>
      </w:r>
      <w:r>
        <w:rPr>
          <w:rFonts w:hint="cs"/>
          <w:b/>
          <w:rtl/>
        </w:rPr>
        <w:t xml:space="preserve">; פסקה 8 לחוות דעתה של השופטת </w:t>
      </w:r>
      <w:r w:rsidRPr="00FF696B">
        <w:rPr>
          <w:rFonts w:ascii="Century" w:hAnsi="Century" w:cs="Miriam" w:hint="eastAsia"/>
          <w:b/>
          <w:spacing w:val="0"/>
          <w:szCs w:val="24"/>
          <w:rtl/>
        </w:rPr>
        <w:t>ע</w:t>
      </w:r>
      <w:r w:rsidRPr="00FF696B">
        <w:rPr>
          <w:rFonts w:ascii="Century" w:hAnsi="Century" w:cs="Miriam"/>
          <w:b/>
          <w:spacing w:val="0"/>
          <w:szCs w:val="24"/>
          <w:rtl/>
        </w:rPr>
        <w:t xml:space="preserve">' </w:t>
      </w:r>
      <w:r w:rsidRPr="00FF696B">
        <w:rPr>
          <w:rFonts w:ascii="Century" w:hAnsi="Century" w:cs="Miriam" w:hint="eastAsia"/>
          <w:b/>
          <w:spacing w:val="0"/>
          <w:szCs w:val="24"/>
          <w:rtl/>
        </w:rPr>
        <w:t>ברון</w:t>
      </w:r>
      <w:r>
        <w:rPr>
          <w:rFonts w:hint="cs"/>
          <w:rtl/>
        </w:rPr>
        <w:t xml:space="preserve">; </w:t>
      </w:r>
      <w:r w:rsidRPr="0039326E">
        <w:rPr>
          <w:rFonts w:hint="cs"/>
          <w:rtl/>
        </w:rPr>
        <w:t xml:space="preserve">פסקה 6 לחוות דעתה של השופטת </w:t>
      </w:r>
      <w:r w:rsidRPr="00FF696B">
        <w:rPr>
          <w:rFonts w:ascii="Century" w:hAnsi="Century" w:cs="Miriam" w:hint="eastAsia"/>
          <w:b/>
          <w:spacing w:val="0"/>
          <w:szCs w:val="24"/>
          <w:rtl/>
        </w:rPr>
        <w:t>ד</w:t>
      </w:r>
      <w:r w:rsidRPr="00FF696B">
        <w:rPr>
          <w:rFonts w:ascii="Century" w:hAnsi="Century" w:cs="Miriam"/>
          <w:b/>
          <w:spacing w:val="0"/>
          <w:szCs w:val="24"/>
          <w:rtl/>
        </w:rPr>
        <w:t xml:space="preserve">' </w:t>
      </w:r>
      <w:r w:rsidRPr="00FF696B">
        <w:rPr>
          <w:rFonts w:ascii="Century" w:hAnsi="Century" w:cs="Miriam" w:hint="eastAsia"/>
          <w:b/>
          <w:spacing w:val="0"/>
          <w:szCs w:val="24"/>
          <w:rtl/>
        </w:rPr>
        <w:t>ברק</w:t>
      </w:r>
      <w:r w:rsidRPr="00FF696B">
        <w:rPr>
          <w:rFonts w:ascii="Century" w:hAnsi="Century" w:cs="Miriam"/>
          <w:b/>
          <w:spacing w:val="0"/>
          <w:szCs w:val="24"/>
          <w:rtl/>
        </w:rPr>
        <w:t>-ארז</w:t>
      </w:r>
      <w:r w:rsidRPr="00D56B44">
        <w:rPr>
          <w:rFonts w:hint="cs"/>
          <w:rtl/>
        </w:rPr>
        <w:t xml:space="preserve"> </w:t>
      </w:r>
      <w:r w:rsidRPr="0039326E">
        <w:rPr>
          <w:rFonts w:hint="cs"/>
          <w:rtl/>
        </w:rPr>
        <w:t>(12.7.2021)</w:t>
      </w:r>
      <w:r>
        <w:rPr>
          <w:rFonts w:hint="cs"/>
          <w:rtl/>
        </w:rPr>
        <w:t xml:space="preserve"> </w:t>
      </w:r>
      <w:r>
        <w:rPr>
          <w:rtl/>
        </w:rPr>
        <w:t xml:space="preserve">(להלן: </w:t>
      </w:r>
      <w:r>
        <w:rPr>
          <w:rFonts w:ascii="Century" w:hAnsi="Century" w:cs="Miriam" w:hint="cs"/>
          <w:b/>
          <w:spacing w:val="0"/>
          <w:szCs w:val="24"/>
          <w:rtl/>
        </w:rPr>
        <w:t>עניין ממשלת החילופים</w:t>
      </w:r>
      <w:r w:rsidRPr="0039326E">
        <w:rPr>
          <w:rFonts w:hint="cs"/>
          <w:rtl/>
        </w:rPr>
        <w:t>)</w:t>
      </w:r>
      <w:r>
        <w:rPr>
          <w:rFonts w:hint="cs"/>
          <w:rtl/>
        </w:rPr>
        <w:t>)</w:t>
      </w:r>
      <w:r w:rsidRPr="0039326E">
        <w:rPr>
          <w:rFonts w:hint="cs"/>
          <w:rtl/>
        </w:rPr>
        <w:t>.</w:t>
      </w:r>
    </w:p>
    <w:p w:rsidR="003D2318" w:rsidRDefault="003D2318" w:rsidP="003D2318">
      <w:pPr>
        <w:pStyle w:val="Ruller41"/>
        <w:spacing w:line="240" w:lineRule="auto"/>
        <w:rPr>
          <w:rtl/>
        </w:rPr>
      </w:pPr>
    </w:p>
    <w:p w:rsidR="003D2318" w:rsidRDefault="003D2318" w:rsidP="003D2318">
      <w:pPr>
        <w:pStyle w:val="Ruller4"/>
        <w:numPr>
          <w:ilvl w:val="0"/>
          <w:numId w:val="0"/>
        </w:numPr>
        <w:rPr>
          <w:rtl/>
        </w:rPr>
      </w:pPr>
      <w:r>
        <w:rPr>
          <w:rtl/>
        </w:rPr>
        <w:tab/>
      </w:r>
      <w:r>
        <w:rPr>
          <w:rFonts w:hint="cs"/>
          <w:rtl/>
        </w:rPr>
        <w:t xml:space="preserve">אפנה עתה ליישם את מבחני העזר שהתוותה הנשיאה בעניין </w:t>
      </w:r>
      <w:r>
        <w:rPr>
          <w:rFonts w:ascii="Century" w:hAnsi="Century" w:cs="Miriam" w:hint="cs"/>
          <w:b/>
          <w:spacing w:val="0"/>
          <w:sz w:val="22"/>
          <w:szCs w:val="24"/>
          <w:rtl/>
        </w:rPr>
        <w:t>שפיר</w:t>
      </w:r>
      <w:r>
        <w:rPr>
          <w:rFonts w:ascii="Century" w:hAnsi="Century" w:hint="cs"/>
          <w:sz w:val="22"/>
          <w:rtl/>
        </w:rPr>
        <w:t xml:space="preserve">, כחלק משלב הזיהוי, </w:t>
      </w:r>
      <w:r>
        <w:rPr>
          <w:rFonts w:hint="cs"/>
          <w:rtl/>
        </w:rPr>
        <w:t>על התיקון דנן:</w:t>
      </w:r>
    </w:p>
    <w:p w:rsidR="003D2318" w:rsidRPr="003D6566" w:rsidRDefault="003D2318" w:rsidP="003D2318">
      <w:pPr>
        <w:pStyle w:val="Ruller41"/>
        <w:spacing w:line="240" w:lineRule="auto"/>
      </w:pPr>
    </w:p>
    <w:p w:rsidR="003D2318" w:rsidRDefault="003D2318" w:rsidP="00B06786">
      <w:pPr>
        <w:pStyle w:val="Ruller4"/>
        <w:rPr>
          <w:rtl/>
        </w:rPr>
      </w:pPr>
      <w:r w:rsidRPr="00F96561">
        <w:rPr>
          <w:rFonts w:ascii="Century" w:hAnsi="Century" w:cs="Miriam" w:hint="cs"/>
          <w:b/>
          <w:spacing w:val="0"/>
          <w:sz w:val="22"/>
          <w:szCs w:val="24"/>
          <w:rtl/>
        </w:rPr>
        <w:t>מבחן היציבות</w:t>
      </w:r>
      <w:r>
        <w:rPr>
          <w:rFonts w:hint="cs"/>
          <w:rtl/>
        </w:rPr>
        <w:t xml:space="preserve"> </w:t>
      </w:r>
      <w:r>
        <w:rPr>
          <w:rtl/>
        </w:rPr>
        <w:t>–</w:t>
      </w:r>
      <w:r>
        <w:rPr>
          <w:rFonts w:hint="cs"/>
          <w:rtl/>
        </w:rPr>
        <w:t xml:space="preserve"> מבקש לבחון, בתמצית, האם ההסדר החקיקתי בו עסקינן נועד להיות הסדר קבע יציב הצופה פני עתיד. איני רואה כל קושי לקבוע שהוראת התיקון דנן עומדת במבחן זה ולא מצאתי טיעון המעורר שאלה של ממש בהקשר זה.</w:t>
      </w:r>
    </w:p>
    <w:p w:rsidR="003D2318" w:rsidRPr="00614A0B" w:rsidRDefault="003D2318" w:rsidP="003D2318">
      <w:pPr>
        <w:pStyle w:val="Ruller41"/>
        <w:spacing w:line="240" w:lineRule="auto"/>
        <w:rPr>
          <w:rtl/>
        </w:rPr>
      </w:pPr>
    </w:p>
    <w:p w:rsidR="003D2318" w:rsidRDefault="003D2318" w:rsidP="00B06786">
      <w:pPr>
        <w:pStyle w:val="Ruller4"/>
        <w:rPr>
          <w:rFonts w:ascii="Century" w:hAnsi="Century"/>
          <w:rtl/>
        </w:rPr>
      </w:pPr>
      <w:r w:rsidRPr="00F96561">
        <w:rPr>
          <w:rFonts w:ascii="Century" w:hAnsi="Century" w:cs="Miriam" w:hint="cs"/>
          <w:b/>
          <w:spacing w:val="0"/>
          <w:sz w:val="22"/>
          <w:szCs w:val="24"/>
          <w:rtl/>
        </w:rPr>
        <w:lastRenderedPageBreak/>
        <w:t>מבחן הכלליות</w:t>
      </w:r>
      <w:r w:rsidRPr="00614A0B">
        <w:rPr>
          <w:rFonts w:hint="cs"/>
          <w:rtl/>
        </w:rPr>
        <w:t xml:space="preserve"> </w:t>
      </w:r>
      <w:r>
        <w:rPr>
          <w:rtl/>
        </w:rPr>
        <w:t>–</w:t>
      </w:r>
      <w:r>
        <w:rPr>
          <w:rFonts w:hint="cs"/>
          <w:rtl/>
        </w:rPr>
        <w:t xml:space="preserve"> מבקש לבחון, בתמצית, האם הנורמה הינה בעלת תחולה כללית ומופשטת, המתייחסת לקבוצה בלתי מסוימת, להבדיל מנורמה פרסונלית. אחת מטענות העותרים הינה כי </w:t>
      </w:r>
      <w:r w:rsidRPr="00492445">
        <w:rPr>
          <w:rFonts w:hint="cs"/>
          <w:rtl/>
        </w:rPr>
        <w:t xml:space="preserve">העובדה שהממשלה היא יוזמת התיקון והיא </w:t>
      </w:r>
      <w:r>
        <w:rPr>
          <w:rFonts w:hint="cs"/>
          <w:rtl/>
        </w:rPr>
        <w:t>הנהנית ממנו, מקנה לו אופי פרסונ</w:t>
      </w:r>
      <w:r w:rsidRPr="00492445">
        <w:rPr>
          <w:rFonts w:hint="cs"/>
          <w:rtl/>
        </w:rPr>
        <w:t>לי</w:t>
      </w:r>
      <w:r>
        <w:rPr>
          <w:rFonts w:hint="cs"/>
          <w:rtl/>
        </w:rPr>
        <w:t xml:space="preserve">, כך שהוא אינו עומד במבחן הכלליות. אין בידי לקבל טענה זו. בעניין </w:t>
      </w:r>
      <w:r w:rsidRPr="00492445">
        <w:rPr>
          <w:rFonts w:ascii="Century" w:hAnsi="Century" w:cs="Miriam" w:hint="cs"/>
          <w:b/>
          <w:spacing w:val="0"/>
          <w:sz w:val="22"/>
          <w:szCs w:val="24"/>
          <w:rtl/>
        </w:rPr>
        <w:t>שפיר</w:t>
      </w:r>
      <w:r>
        <w:rPr>
          <w:rFonts w:hint="cs"/>
          <w:rtl/>
        </w:rPr>
        <w:t>, צוין כי נורמה אינה צולחת את מבחן הכלליות בהיותה נורמה פרסונלית, כאשר היא "</w:t>
      </w:r>
      <w:r w:rsidRPr="00492445">
        <w:rPr>
          <w:rFonts w:ascii="Century" w:hAnsi="Century" w:cs="Miriam"/>
          <w:b/>
          <w:spacing w:val="0"/>
          <w:sz w:val="22"/>
          <w:szCs w:val="24"/>
          <w:rtl/>
        </w:rPr>
        <w:t>מכוונת כל כולה לפתרון קשיים ספציפיים של ממשלה מסוימת וכנסת מסוימת</w:t>
      </w:r>
      <w:r>
        <w:rPr>
          <w:rFonts w:hint="cs"/>
          <w:rtl/>
        </w:rPr>
        <w:t>" (</w:t>
      </w:r>
      <w:r w:rsidRPr="00492445">
        <w:rPr>
          <w:rFonts w:ascii="Century" w:hAnsi="Century" w:cs="Miriam" w:hint="cs"/>
          <w:b/>
          <w:spacing w:val="0"/>
          <w:sz w:val="22"/>
          <w:szCs w:val="24"/>
          <w:rtl/>
        </w:rPr>
        <w:t>שם</w:t>
      </w:r>
      <w:r>
        <w:rPr>
          <w:rFonts w:hint="cs"/>
          <w:rtl/>
        </w:rPr>
        <w:t xml:space="preserve">, פסקה 50 לפסק דינה של הנשיאה; וראו גם: פסקה 26 לחוות דעתה של חברתי השופטת </w:t>
      </w:r>
      <w:r w:rsidRPr="00492445">
        <w:rPr>
          <w:rFonts w:ascii="Century" w:hAnsi="Century" w:cs="Miriam" w:hint="cs"/>
          <w:b/>
          <w:spacing w:val="0"/>
          <w:sz w:val="22"/>
          <w:szCs w:val="24"/>
          <w:rtl/>
        </w:rPr>
        <w:t>ד' ברק-ארז</w:t>
      </w:r>
      <w:r w:rsidRPr="00492445">
        <w:rPr>
          <w:rFonts w:hint="cs"/>
          <w:rtl/>
        </w:rPr>
        <w:t xml:space="preserve"> </w:t>
      </w:r>
      <w:r>
        <w:rPr>
          <w:rFonts w:hint="cs"/>
          <w:rtl/>
        </w:rPr>
        <w:t xml:space="preserve">בעניין </w:t>
      </w:r>
      <w:r w:rsidRPr="00492445">
        <w:rPr>
          <w:rFonts w:ascii="Century" w:hAnsi="Century" w:cs="Miriam" w:hint="cs"/>
          <w:b/>
          <w:spacing w:val="0"/>
          <w:sz w:val="22"/>
          <w:szCs w:val="24"/>
          <w:rtl/>
        </w:rPr>
        <w:t>שפיר</w:t>
      </w:r>
      <w:r>
        <w:rPr>
          <w:rFonts w:hint="cs"/>
          <w:rtl/>
        </w:rPr>
        <w:t xml:space="preserve">; עניין </w:t>
      </w:r>
      <w:r w:rsidRPr="0039326E">
        <w:rPr>
          <w:rFonts w:ascii="Century" w:hAnsi="Century" w:cs="Miriam" w:hint="cs"/>
          <w:b/>
          <w:spacing w:val="0"/>
          <w:sz w:val="22"/>
          <w:szCs w:val="24"/>
          <w:rtl/>
        </w:rPr>
        <w:t>ממשלת החילופים</w:t>
      </w:r>
      <w:r>
        <w:rPr>
          <w:rFonts w:hint="cs"/>
          <w:rtl/>
        </w:rPr>
        <w:t xml:space="preserve">, </w:t>
      </w:r>
      <w:r>
        <w:rPr>
          <w:rFonts w:ascii="Century" w:hAnsi="Century" w:hint="cs"/>
          <w:rtl/>
        </w:rPr>
        <w:t xml:space="preserve">פסקה 12 לחוות דעתו של השופט </w:t>
      </w:r>
      <w:r w:rsidRPr="00492445">
        <w:rPr>
          <w:rFonts w:ascii="Century" w:hAnsi="Century" w:cs="Miriam" w:hint="cs"/>
          <w:b/>
          <w:spacing w:val="0"/>
          <w:sz w:val="22"/>
          <w:szCs w:val="24"/>
          <w:rtl/>
        </w:rPr>
        <w:t>נ' הנדל</w:t>
      </w:r>
      <w:r>
        <w:rPr>
          <w:rFonts w:ascii="Century" w:hAnsi="Century" w:hint="cs"/>
          <w:rtl/>
        </w:rPr>
        <w:t xml:space="preserve">). בענייננו, התיקון מבקש לשנות את מערך הכוחות בין הממשלה לבין הרשות השופטת באופן כללי, ולא לצמצם עצמו אך ורק לממשלה הנוכחית. ככזה, התיקון דנן הינו נורמה  </w:t>
      </w:r>
      <w:r w:rsidRPr="00492445">
        <w:rPr>
          <w:rFonts w:ascii="Century" w:hAnsi="Century" w:hint="cs"/>
          <w:rtl/>
        </w:rPr>
        <w:t>העוסקת בהגדרת היחסים בין רשויות השלטון השונות (ובענייננו ביחס שבין הרשות השופטת לרשות המבצעת)</w:t>
      </w:r>
      <w:r>
        <w:rPr>
          <w:rFonts w:ascii="Century" w:hAnsi="Century" w:hint="cs"/>
          <w:rtl/>
        </w:rPr>
        <w:t>. נורמה מסוג זה</w:t>
      </w:r>
      <w:r w:rsidRPr="00492445">
        <w:rPr>
          <w:rFonts w:ascii="Century" w:hAnsi="Century" w:hint="cs"/>
          <w:rtl/>
        </w:rPr>
        <w:t xml:space="preserve"> הינה</w:t>
      </w:r>
      <w:r>
        <w:rPr>
          <w:rFonts w:ascii="Century" w:hAnsi="Century" w:hint="cs"/>
          <w:rtl/>
        </w:rPr>
        <w:t>,</w:t>
      </w:r>
      <w:r w:rsidRPr="00492445">
        <w:rPr>
          <w:rFonts w:ascii="Century" w:hAnsi="Century" w:hint="cs"/>
          <w:rtl/>
        </w:rPr>
        <w:t xml:space="preserve"> בהגדרה</w:t>
      </w:r>
      <w:r>
        <w:rPr>
          <w:rFonts w:ascii="Century" w:hAnsi="Century" w:hint="cs"/>
          <w:rtl/>
        </w:rPr>
        <w:t>,</w:t>
      </w:r>
      <w:r w:rsidRPr="00492445">
        <w:rPr>
          <w:rFonts w:ascii="Century" w:hAnsi="Century" w:hint="cs"/>
          <w:rtl/>
        </w:rPr>
        <w:t xml:space="preserve"> נורמה כללית</w:t>
      </w:r>
      <w:r>
        <w:rPr>
          <w:rFonts w:ascii="Century" w:hAnsi="Century" w:hint="cs"/>
          <w:rtl/>
        </w:rPr>
        <w:t>,</w:t>
      </w:r>
      <w:r w:rsidRPr="00492445">
        <w:rPr>
          <w:rFonts w:ascii="Century" w:hAnsi="Century" w:hint="cs"/>
          <w:rtl/>
        </w:rPr>
        <w:t xml:space="preserve"> שמקומה הטבעי הוא החוקה. </w:t>
      </w:r>
      <w:r>
        <w:rPr>
          <w:rFonts w:ascii="Century" w:hAnsi="Century" w:hint="cs"/>
          <w:rtl/>
        </w:rPr>
        <w:t xml:space="preserve">לשיטתי, </w:t>
      </w:r>
      <w:r w:rsidRPr="00492445">
        <w:rPr>
          <w:rFonts w:ascii="Century" w:hAnsi="Century" w:hint="cs"/>
          <w:rtl/>
        </w:rPr>
        <w:t>עצם העובדה שהנורמה הרלוונטית מחזקת את כוחה של אחת הרשויות על פני רעותה, אינה הופכת אותה לנורמה "פרסונלית"</w:t>
      </w:r>
      <w:r>
        <w:rPr>
          <w:rFonts w:ascii="Century" w:hAnsi="Century" w:hint="cs"/>
          <w:rtl/>
        </w:rPr>
        <w:t>.</w:t>
      </w:r>
    </w:p>
    <w:p w:rsidR="003D2318" w:rsidRDefault="003D2318" w:rsidP="003D2318">
      <w:pPr>
        <w:pStyle w:val="Ruller41"/>
        <w:spacing w:line="240" w:lineRule="auto"/>
        <w:rPr>
          <w:rFonts w:ascii="Century" w:hAnsi="Century"/>
          <w:rtl/>
        </w:rPr>
      </w:pPr>
    </w:p>
    <w:p w:rsidR="003D2318" w:rsidRDefault="003D2318" w:rsidP="003D2318">
      <w:pPr>
        <w:pStyle w:val="Ruller41"/>
        <w:rPr>
          <w:rFonts w:ascii="Century" w:hAnsi="Century"/>
          <w:rtl/>
        </w:rPr>
      </w:pPr>
      <w:r>
        <w:rPr>
          <w:rFonts w:ascii="Century" w:hAnsi="Century"/>
          <w:rtl/>
        </w:rPr>
        <w:tab/>
      </w:r>
      <w:r>
        <w:rPr>
          <w:rFonts w:ascii="Century" w:hAnsi="Century" w:hint="cs"/>
          <w:rtl/>
        </w:rPr>
        <w:t xml:space="preserve">כמו כן, אף אם המניעים לכינון התיקון נגעו לאינטרסים ספציפיים של הממשלה הנוכחית </w:t>
      </w:r>
      <w:r>
        <w:rPr>
          <w:rFonts w:ascii="Century" w:hAnsi="Century"/>
          <w:rtl/>
        </w:rPr>
        <w:t>–</w:t>
      </w:r>
      <w:r>
        <w:rPr>
          <w:rFonts w:ascii="Century" w:hAnsi="Century" w:hint="cs"/>
          <w:rtl/>
        </w:rPr>
        <w:t xml:space="preserve"> ואיני קובע כך או אחרת </w:t>
      </w:r>
      <w:r>
        <w:rPr>
          <w:rFonts w:ascii="Century" w:hAnsi="Century"/>
          <w:rtl/>
        </w:rPr>
        <w:t>–</w:t>
      </w:r>
      <w:r>
        <w:rPr>
          <w:rFonts w:ascii="Century" w:hAnsi="Century" w:hint="cs"/>
          <w:rtl/>
        </w:rPr>
        <w:t xml:space="preserve"> ממילא אין בכך כדי להוביל לכך שהתיקון לא יצלח את מבחן הכלליות. זאת, שכן הלכה מושרשת עמנו כי בביקורת שיפוטית החוק (או חוק היסוד) הוא העומד לביקורת, ולא מניעיהם של מחוקקיו (או מכונניו) (ראו: </w:t>
      </w:r>
      <w:r w:rsidRPr="00492445">
        <w:rPr>
          <w:rFonts w:ascii="Century" w:hAnsi="Century" w:hint="eastAsia"/>
          <w:rtl/>
        </w:rPr>
        <w:t>בג</w:t>
      </w:r>
      <w:r w:rsidRPr="00492445">
        <w:rPr>
          <w:rFonts w:ascii="Century" w:hAnsi="Century"/>
          <w:rtl/>
        </w:rPr>
        <w:t>"</w:t>
      </w:r>
      <w:r w:rsidRPr="00492445">
        <w:rPr>
          <w:rFonts w:ascii="Century" w:hAnsi="Century" w:hint="eastAsia"/>
          <w:rtl/>
        </w:rPr>
        <w:t>ץ</w:t>
      </w:r>
      <w:r w:rsidRPr="00492445">
        <w:rPr>
          <w:rFonts w:ascii="Century" w:hAnsi="Century"/>
          <w:rtl/>
        </w:rPr>
        <w:t xml:space="preserve"> 4908/10 </w:t>
      </w:r>
      <w:r w:rsidRPr="00492445">
        <w:rPr>
          <w:rFonts w:ascii="Century" w:hAnsi="Century" w:cs="Miriam" w:hint="eastAsia"/>
          <w:b/>
          <w:spacing w:val="0"/>
          <w:szCs w:val="24"/>
          <w:rtl/>
        </w:rPr>
        <w:t>בר</w:t>
      </w:r>
      <w:r w:rsidRPr="00492445">
        <w:rPr>
          <w:rFonts w:ascii="Century" w:hAnsi="Century" w:cs="Miriam"/>
          <w:b/>
          <w:spacing w:val="0"/>
          <w:szCs w:val="24"/>
          <w:rtl/>
        </w:rPr>
        <w:t>-</w:t>
      </w:r>
      <w:r w:rsidRPr="00492445">
        <w:rPr>
          <w:rFonts w:ascii="Century" w:hAnsi="Century" w:cs="Miriam" w:hint="eastAsia"/>
          <w:b/>
          <w:spacing w:val="0"/>
          <w:szCs w:val="24"/>
          <w:rtl/>
        </w:rPr>
        <w:t>און</w:t>
      </w:r>
      <w:r w:rsidRPr="00492445">
        <w:rPr>
          <w:rFonts w:ascii="Century" w:hAnsi="Century" w:cs="Miriam"/>
          <w:b/>
          <w:spacing w:val="0"/>
          <w:szCs w:val="24"/>
          <w:rtl/>
        </w:rPr>
        <w:t xml:space="preserve"> </w:t>
      </w:r>
      <w:r w:rsidRPr="00492445">
        <w:rPr>
          <w:rFonts w:ascii="Century" w:hAnsi="Century" w:cs="Miriam" w:hint="eastAsia"/>
          <w:b/>
          <w:spacing w:val="0"/>
          <w:szCs w:val="24"/>
          <w:rtl/>
        </w:rPr>
        <w:t>נ</w:t>
      </w:r>
      <w:r w:rsidRPr="00492445">
        <w:rPr>
          <w:rFonts w:ascii="Century" w:hAnsi="Century" w:cs="Miriam"/>
          <w:b/>
          <w:spacing w:val="0"/>
          <w:szCs w:val="24"/>
          <w:rtl/>
        </w:rPr>
        <w:t xml:space="preserve">' </w:t>
      </w:r>
      <w:r w:rsidRPr="00492445">
        <w:rPr>
          <w:rFonts w:ascii="Century" w:hAnsi="Century" w:cs="Miriam" w:hint="eastAsia"/>
          <w:b/>
          <w:spacing w:val="0"/>
          <w:szCs w:val="24"/>
          <w:rtl/>
        </w:rPr>
        <w:t>כנסת</w:t>
      </w:r>
      <w:r w:rsidRPr="00492445">
        <w:rPr>
          <w:rFonts w:ascii="Century" w:hAnsi="Century" w:cs="Miriam"/>
          <w:b/>
          <w:spacing w:val="0"/>
          <w:szCs w:val="24"/>
          <w:rtl/>
        </w:rPr>
        <w:t xml:space="preserve"> </w:t>
      </w:r>
      <w:r w:rsidRPr="00492445">
        <w:rPr>
          <w:rFonts w:ascii="Century" w:hAnsi="Century" w:cs="Miriam" w:hint="eastAsia"/>
          <w:b/>
          <w:spacing w:val="0"/>
          <w:szCs w:val="24"/>
          <w:rtl/>
        </w:rPr>
        <w:t>ישראל</w:t>
      </w:r>
      <w:r w:rsidRPr="00492445">
        <w:rPr>
          <w:rFonts w:ascii="Century" w:hAnsi="Century"/>
          <w:rtl/>
        </w:rPr>
        <w:t>,</w:t>
      </w:r>
      <w:r>
        <w:rPr>
          <w:rFonts w:ascii="Century" w:hAnsi="Century" w:hint="cs"/>
          <w:rtl/>
        </w:rPr>
        <w:t xml:space="preserve"> פ"ד סד(3) 275,</w:t>
      </w:r>
      <w:r w:rsidRPr="00492445">
        <w:rPr>
          <w:rFonts w:ascii="Century" w:hAnsi="Century"/>
          <w:rtl/>
        </w:rPr>
        <w:t xml:space="preserve"> </w:t>
      </w:r>
      <w:r w:rsidRPr="00492445">
        <w:rPr>
          <w:rFonts w:ascii="Century" w:hAnsi="Century" w:hint="eastAsia"/>
          <w:rtl/>
        </w:rPr>
        <w:t>פסקה</w:t>
      </w:r>
      <w:r w:rsidRPr="00492445">
        <w:rPr>
          <w:rFonts w:ascii="Century" w:hAnsi="Century"/>
          <w:rtl/>
        </w:rPr>
        <w:t xml:space="preserve"> 17 </w:t>
      </w:r>
      <w:r w:rsidRPr="00492445">
        <w:rPr>
          <w:rFonts w:ascii="Century" w:hAnsi="Century" w:hint="eastAsia"/>
          <w:rtl/>
        </w:rPr>
        <w:t>ל</w:t>
      </w:r>
      <w:r>
        <w:rPr>
          <w:rFonts w:ascii="Century" w:hAnsi="Century" w:hint="cs"/>
          <w:rtl/>
        </w:rPr>
        <w:t>פסק דינה של</w:t>
      </w:r>
      <w:r w:rsidRPr="00492445">
        <w:rPr>
          <w:rFonts w:ascii="Century" w:hAnsi="Century"/>
          <w:rtl/>
        </w:rPr>
        <w:t xml:space="preserve"> </w:t>
      </w:r>
      <w:r w:rsidRPr="00492445">
        <w:rPr>
          <w:rFonts w:ascii="Century" w:hAnsi="Century" w:hint="eastAsia"/>
          <w:rtl/>
        </w:rPr>
        <w:t>הנשיאה</w:t>
      </w:r>
      <w:r w:rsidRPr="00492445">
        <w:rPr>
          <w:rFonts w:ascii="Century" w:hAnsi="Century"/>
          <w:rtl/>
        </w:rPr>
        <w:t xml:space="preserve"> </w:t>
      </w:r>
      <w:r w:rsidRPr="00492445">
        <w:rPr>
          <w:rFonts w:ascii="Century" w:hAnsi="Century" w:cs="Miriam" w:hint="eastAsia"/>
          <w:b/>
          <w:spacing w:val="0"/>
          <w:szCs w:val="24"/>
          <w:rtl/>
        </w:rPr>
        <w:t>ד</w:t>
      </w:r>
      <w:r w:rsidRPr="00492445">
        <w:rPr>
          <w:rFonts w:ascii="Century" w:hAnsi="Century" w:cs="Miriam"/>
          <w:b/>
          <w:spacing w:val="0"/>
          <w:szCs w:val="24"/>
          <w:rtl/>
        </w:rPr>
        <w:t xml:space="preserve">' </w:t>
      </w:r>
      <w:r w:rsidRPr="00492445">
        <w:rPr>
          <w:rFonts w:ascii="Century" w:hAnsi="Century" w:cs="Miriam" w:hint="eastAsia"/>
          <w:b/>
          <w:spacing w:val="0"/>
          <w:szCs w:val="24"/>
          <w:rtl/>
        </w:rPr>
        <w:t>ביניש</w:t>
      </w:r>
      <w:r>
        <w:rPr>
          <w:rFonts w:ascii="Century" w:hAnsi="Century"/>
          <w:rtl/>
        </w:rPr>
        <w:t xml:space="preserve"> (</w:t>
      </w:r>
      <w:r w:rsidRPr="00492445">
        <w:rPr>
          <w:rFonts w:ascii="Century" w:hAnsi="Century"/>
          <w:rtl/>
        </w:rPr>
        <w:t>2011)</w:t>
      </w:r>
      <w:r>
        <w:rPr>
          <w:rFonts w:ascii="Century" w:hAnsi="Century" w:hint="cs"/>
          <w:rtl/>
        </w:rPr>
        <w:t xml:space="preserve">; עניין </w:t>
      </w:r>
      <w:r w:rsidRPr="00492445">
        <w:rPr>
          <w:rFonts w:ascii="Century" w:hAnsi="Century" w:cs="Miriam" w:hint="cs"/>
          <w:b/>
          <w:spacing w:val="0"/>
          <w:szCs w:val="24"/>
          <w:rtl/>
        </w:rPr>
        <w:t>שפיר</w:t>
      </w:r>
      <w:r>
        <w:rPr>
          <w:rFonts w:ascii="Century" w:hAnsi="Century" w:hint="cs"/>
          <w:rtl/>
        </w:rPr>
        <w:t xml:space="preserve">, פסקה 43 לפסק דינה של הנשיאה; עניין </w:t>
      </w:r>
      <w:r w:rsidRPr="00492445">
        <w:rPr>
          <w:rFonts w:ascii="Century" w:hAnsi="Century" w:cs="Miriam" w:hint="cs"/>
          <w:b/>
          <w:spacing w:val="0"/>
          <w:szCs w:val="24"/>
          <w:rtl/>
        </w:rPr>
        <w:t>ממשלת החילופים</w:t>
      </w:r>
      <w:r>
        <w:rPr>
          <w:rFonts w:ascii="Century" w:hAnsi="Century" w:hint="cs"/>
          <w:rtl/>
        </w:rPr>
        <w:t xml:space="preserve">, פסקה 12 לחוות דעתו של השופט </w:t>
      </w:r>
      <w:r w:rsidRPr="00492445">
        <w:rPr>
          <w:rFonts w:ascii="Century" w:hAnsi="Century" w:cs="Miriam" w:hint="cs"/>
          <w:b/>
          <w:spacing w:val="0"/>
          <w:szCs w:val="24"/>
          <w:rtl/>
        </w:rPr>
        <w:t>נ' הנדל</w:t>
      </w:r>
      <w:r>
        <w:rPr>
          <w:rFonts w:ascii="Century" w:hAnsi="Century" w:hint="cs"/>
          <w:rtl/>
        </w:rPr>
        <w:t>).</w:t>
      </w:r>
    </w:p>
    <w:p w:rsidR="003D2318" w:rsidRDefault="003D2318" w:rsidP="003D2318">
      <w:pPr>
        <w:rPr>
          <w:rFonts w:ascii="Calibri" w:hAnsi="Calibri" w:cs="Calibri"/>
          <w:sz w:val="22"/>
          <w:szCs w:val="22"/>
          <w:rtl/>
        </w:rPr>
      </w:pPr>
    </w:p>
    <w:p w:rsidR="003D2318" w:rsidRDefault="003D2318" w:rsidP="00B06786">
      <w:pPr>
        <w:pStyle w:val="Ruller4"/>
        <w:rPr>
          <w:rtl/>
        </w:rPr>
      </w:pPr>
      <w:r>
        <w:rPr>
          <w:rFonts w:hint="cs"/>
          <w:rtl/>
        </w:rPr>
        <w:t xml:space="preserve">טענה נוספת שהועלתה מטעם העותרים הינה כי התיקון הינו נורמה פרסונלית נוכח תחולתו המיידית במישור הזמן. בפסק הדין בעניין </w:t>
      </w:r>
      <w:r w:rsidRPr="00492445">
        <w:rPr>
          <w:rFonts w:cs="Miriam" w:hint="cs"/>
          <w:b/>
          <w:spacing w:val="0"/>
          <w:sz w:val="22"/>
          <w:szCs w:val="24"/>
          <w:rtl/>
        </w:rPr>
        <w:t>ממשלת החילופים</w:t>
      </w:r>
      <w:r w:rsidRPr="00492445">
        <w:rPr>
          <w:rFonts w:hint="cs"/>
          <w:rtl/>
        </w:rPr>
        <w:t xml:space="preserve"> </w:t>
      </w:r>
      <w:r>
        <w:rPr>
          <w:rFonts w:hint="cs"/>
          <w:rtl/>
        </w:rPr>
        <w:t xml:space="preserve">נדרש בית משפט זה בהרחבה לשאלה אימתי עיגון נורמה בחוק יסוד יעלה לכדי שימוש לרעה בסמכות המכוננת, מפאת החלתה האקטיבית (או הרטרואקטיבית). בדעת מיעוט, המשנה לנשיאה (בדימ') </w:t>
      </w:r>
      <w:r w:rsidRPr="00492445">
        <w:rPr>
          <w:rFonts w:cs="Miriam" w:hint="cs"/>
          <w:b/>
          <w:spacing w:val="0"/>
          <w:sz w:val="22"/>
          <w:szCs w:val="24"/>
          <w:rtl/>
        </w:rPr>
        <w:t>ח' מלצר</w:t>
      </w:r>
      <w:r w:rsidRPr="00492445">
        <w:rPr>
          <w:rFonts w:hint="cs"/>
          <w:rtl/>
        </w:rPr>
        <w:t xml:space="preserve"> </w:t>
      </w:r>
      <w:r>
        <w:rPr>
          <w:rFonts w:hint="cs"/>
          <w:rtl/>
        </w:rPr>
        <w:t>סבר כי החלה</w:t>
      </w:r>
      <w:r w:rsidRPr="00492445">
        <w:rPr>
          <w:rFonts w:hint="cs"/>
          <w:rtl/>
        </w:rPr>
        <w:t xml:space="preserve"> מיידית של תיקון חוקתי </w:t>
      </w:r>
      <w:r>
        <w:rPr>
          <w:rFonts w:hint="cs"/>
          <w:rtl/>
        </w:rPr>
        <w:t xml:space="preserve">הופכת את התיקון לנורמה פרסונלית, ומשכך מצא לקבל את העתירות באותו העניין. מנגד, יתר חברי ההרכב מצאו לדחות את העתירות. השופט </w:t>
      </w:r>
      <w:r w:rsidRPr="00492445">
        <w:rPr>
          <w:rFonts w:cs="Miriam" w:hint="cs"/>
          <w:b/>
          <w:spacing w:val="0"/>
          <w:sz w:val="22"/>
          <w:szCs w:val="24"/>
          <w:rtl/>
        </w:rPr>
        <w:t>נ' הנדל</w:t>
      </w:r>
      <w:r w:rsidRPr="00492445">
        <w:rPr>
          <w:rFonts w:hint="cs"/>
          <w:rtl/>
        </w:rPr>
        <w:t xml:space="preserve"> </w:t>
      </w:r>
      <w:r>
        <w:rPr>
          <w:rFonts w:hint="cs"/>
          <w:rtl/>
        </w:rPr>
        <w:t xml:space="preserve">הטעים כי: </w:t>
      </w:r>
    </w:p>
    <w:p w:rsidR="003D2318" w:rsidRDefault="003D2318" w:rsidP="003D2318">
      <w:pPr>
        <w:pStyle w:val="Ruller41"/>
        <w:spacing w:line="240" w:lineRule="auto"/>
        <w:rPr>
          <w:rFonts w:ascii="Century" w:hAnsi="Century"/>
          <w:rtl/>
        </w:rPr>
      </w:pPr>
    </w:p>
    <w:p w:rsidR="003D2318" w:rsidRDefault="003D2318" w:rsidP="003D2318">
      <w:pPr>
        <w:pStyle w:val="Ruller5"/>
        <w:rPr>
          <w:rtl/>
        </w:rPr>
      </w:pPr>
      <w:r>
        <w:rPr>
          <w:rFonts w:hint="cs"/>
          <w:rtl/>
        </w:rPr>
        <w:t>"</w:t>
      </w:r>
      <w:r w:rsidRPr="00492445">
        <w:rPr>
          <w:rFonts w:hint="cs"/>
          <w:rtl/>
        </w:rPr>
        <w:t>א</w:t>
      </w:r>
      <w:r w:rsidRPr="00492445">
        <w:rPr>
          <w:rFonts w:hint="eastAsia"/>
          <w:rtl/>
        </w:rPr>
        <w:t>ינני</w:t>
      </w:r>
      <w:r w:rsidRPr="00492445">
        <w:rPr>
          <w:rtl/>
        </w:rPr>
        <w:t xml:space="preserve"> </w:t>
      </w:r>
      <w:r w:rsidRPr="00492445">
        <w:rPr>
          <w:rFonts w:hint="eastAsia"/>
          <w:rtl/>
        </w:rPr>
        <w:t>סבור</w:t>
      </w:r>
      <w:r w:rsidRPr="00492445">
        <w:rPr>
          <w:rtl/>
        </w:rPr>
        <w:t xml:space="preserve"> </w:t>
      </w:r>
      <w:r w:rsidRPr="00492445">
        <w:rPr>
          <w:rFonts w:hint="eastAsia"/>
          <w:rtl/>
        </w:rPr>
        <w:t>שיש</w:t>
      </w:r>
      <w:r w:rsidRPr="00492445">
        <w:rPr>
          <w:rtl/>
        </w:rPr>
        <w:t xml:space="preserve"> </w:t>
      </w:r>
      <w:r w:rsidRPr="00492445">
        <w:rPr>
          <w:rFonts w:hint="eastAsia"/>
          <w:rtl/>
        </w:rPr>
        <w:t>בתפקיד</w:t>
      </w:r>
      <w:r w:rsidRPr="00492445">
        <w:rPr>
          <w:rtl/>
        </w:rPr>
        <w:t xml:space="preserve"> </w:t>
      </w:r>
      <w:r w:rsidRPr="00492445">
        <w:rPr>
          <w:rFonts w:hint="eastAsia"/>
          <w:rtl/>
        </w:rPr>
        <w:t>המיוחד</w:t>
      </w:r>
      <w:r w:rsidRPr="00492445">
        <w:rPr>
          <w:rtl/>
        </w:rPr>
        <w:t xml:space="preserve"> </w:t>
      </w:r>
      <w:r w:rsidRPr="00492445">
        <w:rPr>
          <w:rFonts w:hint="eastAsia"/>
          <w:rtl/>
        </w:rPr>
        <w:t>והחד</w:t>
      </w:r>
      <w:r w:rsidRPr="00492445">
        <w:rPr>
          <w:rtl/>
        </w:rPr>
        <w:t xml:space="preserve"> </w:t>
      </w:r>
      <w:r w:rsidRPr="00492445">
        <w:rPr>
          <w:rFonts w:hint="eastAsia"/>
          <w:rtl/>
        </w:rPr>
        <w:t>פעמי</w:t>
      </w:r>
      <w:r w:rsidRPr="00492445">
        <w:rPr>
          <w:rtl/>
        </w:rPr>
        <w:t xml:space="preserve"> </w:t>
      </w:r>
      <w:r w:rsidRPr="00492445">
        <w:rPr>
          <w:rFonts w:hint="eastAsia"/>
          <w:rtl/>
        </w:rPr>
        <w:t>שביקשה</w:t>
      </w:r>
      <w:r w:rsidRPr="00492445">
        <w:rPr>
          <w:rtl/>
        </w:rPr>
        <w:t xml:space="preserve"> </w:t>
      </w:r>
      <w:r w:rsidRPr="00492445">
        <w:rPr>
          <w:rFonts w:hint="eastAsia"/>
          <w:rtl/>
        </w:rPr>
        <w:t>הכרזת</w:t>
      </w:r>
      <w:r w:rsidRPr="00492445">
        <w:rPr>
          <w:rtl/>
        </w:rPr>
        <w:t xml:space="preserve"> </w:t>
      </w:r>
      <w:r w:rsidRPr="00492445">
        <w:rPr>
          <w:rFonts w:hint="eastAsia"/>
          <w:rtl/>
        </w:rPr>
        <w:t>העצמאות</w:t>
      </w:r>
      <w:r w:rsidRPr="00492445">
        <w:rPr>
          <w:rtl/>
        </w:rPr>
        <w:t xml:space="preserve"> </w:t>
      </w:r>
      <w:r w:rsidRPr="00492445">
        <w:rPr>
          <w:rFonts w:hint="eastAsia"/>
          <w:rtl/>
        </w:rPr>
        <w:t>להעניק</w:t>
      </w:r>
      <w:r w:rsidRPr="00492445">
        <w:rPr>
          <w:rtl/>
        </w:rPr>
        <w:t xml:space="preserve"> </w:t>
      </w:r>
      <w:r w:rsidRPr="00492445">
        <w:rPr>
          <w:rFonts w:hint="eastAsia"/>
          <w:rtl/>
        </w:rPr>
        <w:t>לאספה</w:t>
      </w:r>
      <w:r w:rsidRPr="00492445">
        <w:rPr>
          <w:rtl/>
        </w:rPr>
        <w:t xml:space="preserve"> </w:t>
      </w:r>
      <w:r w:rsidRPr="00492445">
        <w:rPr>
          <w:rFonts w:hint="eastAsia"/>
          <w:rtl/>
        </w:rPr>
        <w:t>המכוננת</w:t>
      </w:r>
      <w:r w:rsidRPr="00492445">
        <w:rPr>
          <w:rtl/>
        </w:rPr>
        <w:t xml:space="preserve">, </w:t>
      </w:r>
      <w:r w:rsidRPr="00492445">
        <w:rPr>
          <w:rFonts w:hint="eastAsia"/>
          <w:rtl/>
        </w:rPr>
        <w:t>כדי</w:t>
      </w:r>
      <w:r w:rsidRPr="00492445">
        <w:rPr>
          <w:rtl/>
        </w:rPr>
        <w:t xml:space="preserve"> </w:t>
      </w:r>
      <w:r w:rsidRPr="00492445">
        <w:rPr>
          <w:rFonts w:hint="eastAsia"/>
          <w:rtl/>
        </w:rPr>
        <w:t>ללמד</w:t>
      </w:r>
      <w:r w:rsidRPr="00492445">
        <w:rPr>
          <w:rtl/>
        </w:rPr>
        <w:t xml:space="preserve"> </w:t>
      </w:r>
      <w:r w:rsidRPr="00492445">
        <w:rPr>
          <w:rFonts w:hint="eastAsia"/>
          <w:rtl/>
        </w:rPr>
        <w:t>על</w:t>
      </w:r>
      <w:r w:rsidRPr="00492445">
        <w:rPr>
          <w:rtl/>
        </w:rPr>
        <w:t xml:space="preserve"> </w:t>
      </w:r>
      <w:r w:rsidRPr="00492445">
        <w:rPr>
          <w:rFonts w:hint="eastAsia"/>
          <w:rtl/>
        </w:rPr>
        <w:t>כך</w:t>
      </w:r>
      <w:r w:rsidRPr="00492445">
        <w:rPr>
          <w:rtl/>
        </w:rPr>
        <w:t xml:space="preserve"> </w:t>
      </w:r>
      <w:r w:rsidRPr="00492445">
        <w:rPr>
          <w:rFonts w:hint="eastAsia"/>
          <w:rtl/>
        </w:rPr>
        <w:t>שכנסת</w:t>
      </w:r>
      <w:r w:rsidRPr="00492445">
        <w:rPr>
          <w:rtl/>
        </w:rPr>
        <w:t xml:space="preserve"> </w:t>
      </w:r>
      <w:r w:rsidRPr="00492445">
        <w:rPr>
          <w:rFonts w:hint="eastAsia"/>
          <w:rtl/>
        </w:rPr>
        <w:t>ישראל</w:t>
      </w:r>
      <w:r w:rsidRPr="00492445">
        <w:rPr>
          <w:rtl/>
        </w:rPr>
        <w:t xml:space="preserve"> – </w:t>
      </w:r>
      <w:r w:rsidRPr="00492445">
        <w:rPr>
          <w:rFonts w:hint="eastAsia"/>
          <w:rtl/>
        </w:rPr>
        <w:t>החובשת</w:t>
      </w:r>
      <w:r w:rsidRPr="00492445">
        <w:rPr>
          <w:rtl/>
        </w:rPr>
        <w:t xml:space="preserve"> </w:t>
      </w:r>
      <w:r w:rsidRPr="00492445">
        <w:rPr>
          <w:rFonts w:hint="eastAsia"/>
          <w:rtl/>
        </w:rPr>
        <w:t>כיום</w:t>
      </w:r>
      <w:r w:rsidRPr="00492445">
        <w:rPr>
          <w:rtl/>
        </w:rPr>
        <w:t xml:space="preserve"> </w:t>
      </w:r>
      <w:r w:rsidRPr="00492445">
        <w:rPr>
          <w:rFonts w:hint="eastAsia"/>
          <w:rtl/>
        </w:rPr>
        <w:t>שני</w:t>
      </w:r>
      <w:r w:rsidRPr="00492445">
        <w:rPr>
          <w:rtl/>
        </w:rPr>
        <w:t xml:space="preserve"> </w:t>
      </w:r>
      <w:r w:rsidRPr="00492445">
        <w:rPr>
          <w:rFonts w:hint="eastAsia"/>
          <w:rtl/>
        </w:rPr>
        <w:t>כובעים</w:t>
      </w:r>
      <w:r w:rsidRPr="00492445">
        <w:rPr>
          <w:rtl/>
        </w:rPr>
        <w:t xml:space="preserve">, </w:t>
      </w:r>
      <w:r w:rsidRPr="00492445">
        <w:rPr>
          <w:rFonts w:hint="eastAsia"/>
          <w:rtl/>
        </w:rPr>
        <w:t>ועוסקת</w:t>
      </w:r>
      <w:r w:rsidRPr="00492445">
        <w:rPr>
          <w:rtl/>
        </w:rPr>
        <w:t xml:space="preserve"> </w:t>
      </w:r>
      <w:r w:rsidRPr="00492445">
        <w:rPr>
          <w:rFonts w:hint="eastAsia"/>
          <w:rtl/>
        </w:rPr>
        <w:t>בתהליך</w:t>
      </w:r>
      <w:r w:rsidRPr="00492445">
        <w:rPr>
          <w:rtl/>
        </w:rPr>
        <w:t xml:space="preserve"> </w:t>
      </w:r>
      <w:r w:rsidRPr="00492445">
        <w:rPr>
          <w:rFonts w:hint="eastAsia"/>
          <w:rtl/>
        </w:rPr>
        <w:t>מתמשך</w:t>
      </w:r>
      <w:r w:rsidRPr="00492445">
        <w:rPr>
          <w:rtl/>
        </w:rPr>
        <w:t xml:space="preserve"> </w:t>
      </w:r>
      <w:r w:rsidRPr="00492445">
        <w:rPr>
          <w:rFonts w:hint="eastAsia"/>
          <w:rtl/>
        </w:rPr>
        <w:t>של</w:t>
      </w:r>
      <w:r w:rsidRPr="00492445">
        <w:rPr>
          <w:rtl/>
        </w:rPr>
        <w:t xml:space="preserve"> </w:t>
      </w:r>
      <w:r w:rsidRPr="00492445">
        <w:rPr>
          <w:rFonts w:hint="eastAsia"/>
          <w:rtl/>
        </w:rPr>
        <w:t>יצירת</w:t>
      </w:r>
      <w:r w:rsidRPr="00492445">
        <w:rPr>
          <w:rtl/>
        </w:rPr>
        <w:t xml:space="preserve"> </w:t>
      </w:r>
      <w:r w:rsidRPr="00492445">
        <w:rPr>
          <w:rFonts w:hint="eastAsia"/>
          <w:rtl/>
        </w:rPr>
        <w:t>פרקי</w:t>
      </w:r>
      <w:r w:rsidRPr="00492445">
        <w:rPr>
          <w:rtl/>
        </w:rPr>
        <w:t xml:space="preserve"> </w:t>
      </w:r>
      <w:r w:rsidRPr="00492445">
        <w:rPr>
          <w:rFonts w:hint="eastAsia"/>
          <w:rtl/>
        </w:rPr>
        <w:t>חוקה</w:t>
      </w:r>
      <w:r w:rsidRPr="00492445">
        <w:rPr>
          <w:rtl/>
        </w:rPr>
        <w:t xml:space="preserve"> – </w:t>
      </w:r>
      <w:r w:rsidRPr="00492445">
        <w:rPr>
          <w:rFonts w:hint="eastAsia"/>
          <w:rtl/>
        </w:rPr>
        <w:t>נדרשת</w:t>
      </w:r>
      <w:r w:rsidRPr="00492445">
        <w:rPr>
          <w:rtl/>
        </w:rPr>
        <w:t xml:space="preserve"> </w:t>
      </w:r>
      <w:r>
        <w:rPr>
          <w:rFonts w:hint="cs"/>
          <w:rtl/>
        </w:rPr>
        <w:t>'</w:t>
      </w:r>
      <w:r w:rsidRPr="00492445">
        <w:rPr>
          <w:rFonts w:hint="eastAsia"/>
          <w:rtl/>
        </w:rPr>
        <w:t>להתפזר</w:t>
      </w:r>
      <w:r>
        <w:rPr>
          <w:rFonts w:hint="cs"/>
          <w:rtl/>
        </w:rPr>
        <w:t>'</w:t>
      </w:r>
      <w:r w:rsidRPr="00492445">
        <w:rPr>
          <w:rtl/>
        </w:rPr>
        <w:t xml:space="preserve"> </w:t>
      </w:r>
      <w:r w:rsidRPr="00492445">
        <w:rPr>
          <w:rFonts w:hint="eastAsia"/>
          <w:rtl/>
        </w:rPr>
        <w:t>על</w:t>
      </w:r>
      <w:r w:rsidRPr="00492445">
        <w:rPr>
          <w:rtl/>
        </w:rPr>
        <w:t xml:space="preserve"> </w:t>
      </w:r>
      <w:r w:rsidRPr="00492445">
        <w:rPr>
          <w:rFonts w:hint="eastAsia"/>
          <w:rtl/>
        </w:rPr>
        <w:t>מנת</w:t>
      </w:r>
      <w:r w:rsidRPr="00492445">
        <w:rPr>
          <w:rtl/>
        </w:rPr>
        <w:t xml:space="preserve"> </w:t>
      </w:r>
      <w:r w:rsidRPr="00492445">
        <w:rPr>
          <w:rFonts w:hint="eastAsia"/>
          <w:rtl/>
        </w:rPr>
        <w:t>לאפשר</w:t>
      </w:r>
      <w:r w:rsidRPr="00492445">
        <w:rPr>
          <w:rtl/>
        </w:rPr>
        <w:t xml:space="preserve"> </w:t>
      </w:r>
      <w:r w:rsidRPr="00492445">
        <w:rPr>
          <w:rFonts w:hint="eastAsia"/>
          <w:rtl/>
        </w:rPr>
        <w:t>לכל</w:t>
      </w:r>
      <w:r w:rsidRPr="00492445">
        <w:rPr>
          <w:rtl/>
        </w:rPr>
        <w:t xml:space="preserve"> </w:t>
      </w:r>
      <w:r w:rsidRPr="00492445">
        <w:rPr>
          <w:rFonts w:hint="eastAsia"/>
          <w:rtl/>
        </w:rPr>
        <w:t>חוק</w:t>
      </w:r>
      <w:r w:rsidRPr="00492445">
        <w:rPr>
          <w:rtl/>
        </w:rPr>
        <w:t xml:space="preserve"> </w:t>
      </w:r>
      <w:r w:rsidRPr="00492445">
        <w:rPr>
          <w:rFonts w:hint="eastAsia"/>
          <w:rtl/>
        </w:rPr>
        <w:t>יסוד</w:t>
      </w:r>
      <w:r w:rsidRPr="00492445">
        <w:rPr>
          <w:rtl/>
        </w:rPr>
        <w:t xml:space="preserve"> </w:t>
      </w:r>
      <w:r w:rsidRPr="00492445">
        <w:rPr>
          <w:rFonts w:hint="eastAsia"/>
          <w:rtl/>
        </w:rPr>
        <w:t>משטרי</w:t>
      </w:r>
      <w:r w:rsidRPr="00492445">
        <w:rPr>
          <w:rtl/>
        </w:rPr>
        <w:t xml:space="preserve">, </w:t>
      </w:r>
      <w:r w:rsidRPr="00492445">
        <w:rPr>
          <w:rFonts w:hint="eastAsia"/>
          <w:rtl/>
        </w:rPr>
        <w:t>או</w:t>
      </w:r>
      <w:r w:rsidRPr="00492445">
        <w:rPr>
          <w:rtl/>
        </w:rPr>
        <w:t xml:space="preserve"> </w:t>
      </w:r>
      <w:r w:rsidRPr="00492445">
        <w:rPr>
          <w:rFonts w:hint="eastAsia"/>
          <w:rtl/>
        </w:rPr>
        <w:t>תיקון</w:t>
      </w:r>
      <w:r w:rsidRPr="00492445">
        <w:rPr>
          <w:rtl/>
        </w:rPr>
        <w:t xml:space="preserve"> </w:t>
      </w:r>
      <w:r w:rsidRPr="00492445">
        <w:rPr>
          <w:rFonts w:hint="eastAsia"/>
          <w:rtl/>
        </w:rPr>
        <w:lastRenderedPageBreak/>
        <w:t>לו</w:t>
      </w:r>
      <w:r w:rsidRPr="00492445">
        <w:rPr>
          <w:rtl/>
        </w:rPr>
        <w:t xml:space="preserve">, </w:t>
      </w:r>
      <w:r w:rsidRPr="00492445">
        <w:rPr>
          <w:rFonts w:hint="eastAsia"/>
          <w:rtl/>
        </w:rPr>
        <w:t>להיכנס</w:t>
      </w:r>
      <w:r w:rsidRPr="00492445">
        <w:rPr>
          <w:rtl/>
        </w:rPr>
        <w:t xml:space="preserve"> </w:t>
      </w:r>
      <w:r w:rsidRPr="00492445">
        <w:rPr>
          <w:rFonts w:hint="eastAsia"/>
          <w:rtl/>
        </w:rPr>
        <w:t>לתוקף</w:t>
      </w:r>
      <w:r w:rsidRPr="00492445">
        <w:rPr>
          <w:rtl/>
        </w:rPr>
        <w:t xml:space="preserve">. </w:t>
      </w:r>
      <w:r w:rsidRPr="00492445">
        <w:rPr>
          <w:rFonts w:hint="eastAsia"/>
          <w:rtl/>
        </w:rPr>
        <w:t>זאת</w:t>
      </w:r>
      <w:r w:rsidRPr="00492445">
        <w:rPr>
          <w:rtl/>
        </w:rPr>
        <w:t xml:space="preserve"> </w:t>
      </w:r>
      <w:r w:rsidRPr="00492445">
        <w:rPr>
          <w:rFonts w:hint="eastAsia"/>
          <w:rtl/>
        </w:rPr>
        <w:t>ועוד</w:t>
      </w:r>
      <w:r w:rsidRPr="00492445">
        <w:rPr>
          <w:rtl/>
        </w:rPr>
        <w:t xml:space="preserve">, </w:t>
      </w:r>
      <w:r w:rsidRPr="00492445">
        <w:rPr>
          <w:rFonts w:hint="eastAsia"/>
          <w:rtl/>
        </w:rPr>
        <w:t>אין</w:t>
      </w:r>
      <w:r w:rsidRPr="00492445">
        <w:rPr>
          <w:rtl/>
        </w:rPr>
        <w:t xml:space="preserve"> </w:t>
      </w:r>
      <w:r w:rsidRPr="00492445">
        <w:rPr>
          <w:rFonts w:hint="eastAsia"/>
          <w:rtl/>
        </w:rPr>
        <w:t>ביתרונות</w:t>
      </w:r>
      <w:r w:rsidRPr="00492445">
        <w:rPr>
          <w:rtl/>
        </w:rPr>
        <w:t xml:space="preserve"> </w:t>
      </w:r>
      <w:r w:rsidRPr="00492445">
        <w:rPr>
          <w:rFonts w:hint="eastAsia"/>
          <w:rtl/>
        </w:rPr>
        <w:t>המעשיים</w:t>
      </w:r>
      <w:r w:rsidRPr="00492445">
        <w:rPr>
          <w:rtl/>
        </w:rPr>
        <w:t xml:space="preserve"> </w:t>
      </w:r>
      <w:r w:rsidRPr="00492445">
        <w:rPr>
          <w:rFonts w:hint="eastAsia"/>
          <w:rtl/>
        </w:rPr>
        <w:t>שחברי</w:t>
      </w:r>
      <w:r w:rsidRPr="00492445">
        <w:rPr>
          <w:rtl/>
        </w:rPr>
        <w:t xml:space="preserve">, </w:t>
      </w:r>
      <w:r w:rsidRPr="00492445">
        <w:rPr>
          <w:rFonts w:hint="eastAsia"/>
          <w:rtl/>
        </w:rPr>
        <w:t>המשנה</w:t>
      </w:r>
      <w:r w:rsidRPr="00492445">
        <w:rPr>
          <w:rtl/>
        </w:rPr>
        <w:t xml:space="preserve"> </w:t>
      </w:r>
      <w:r w:rsidRPr="00492445">
        <w:rPr>
          <w:rFonts w:hint="eastAsia"/>
          <w:rtl/>
        </w:rPr>
        <w:t>לנשיאה</w:t>
      </w:r>
      <w:r w:rsidRPr="00492445">
        <w:rPr>
          <w:rtl/>
        </w:rPr>
        <w:t xml:space="preserve"> </w:t>
      </w:r>
      <w:r w:rsidRPr="00FF696B">
        <w:rPr>
          <w:rFonts w:ascii="Century" w:hAnsi="Century" w:cs="Miriam" w:hint="eastAsia"/>
          <w:b/>
          <w:spacing w:val="0"/>
          <w:szCs w:val="24"/>
          <w:rtl/>
        </w:rPr>
        <w:t>ח</w:t>
      </w:r>
      <w:r w:rsidRPr="00FF696B">
        <w:rPr>
          <w:rFonts w:ascii="Century" w:hAnsi="Century" w:cs="Miriam"/>
          <w:b/>
          <w:spacing w:val="0"/>
          <w:szCs w:val="24"/>
          <w:rtl/>
        </w:rPr>
        <w:t xml:space="preserve">' </w:t>
      </w:r>
      <w:r w:rsidRPr="00FF696B">
        <w:rPr>
          <w:rFonts w:ascii="Century" w:hAnsi="Century" w:cs="Miriam" w:hint="eastAsia"/>
          <w:b/>
          <w:spacing w:val="0"/>
          <w:szCs w:val="24"/>
          <w:rtl/>
        </w:rPr>
        <w:t>מלצר</w:t>
      </w:r>
      <w:r w:rsidRPr="00492445">
        <w:rPr>
          <w:rtl/>
        </w:rPr>
        <w:t xml:space="preserve">, </w:t>
      </w:r>
      <w:r w:rsidRPr="00492445">
        <w:rPr>
          <w:rFonts w:hint="eastAsia"/>
          <w:rtl/>
        </w:rPr>
        <w:t>מוצא</w:t>
      </w:r>
      <w:r w:rsidRPr="00492445">
        <w:rPr>
          <w:rtl/>
        </w:rPr>
        <w:t xml:space="preserve"> </w:t>
      </w:r>
      <w:r w:rsidRPr="00492445">
        <w:rPr>
          <w:rFonts w:hint="eastAsia"/>
          <w:rtl/>
        </w:rPr>
        <w:t>בדחיית</w:t>
      </w:r>
      <w:r w:rsidRPr="00492445">
        <w:rPr>
          <w:rtl/>
        </w:rPr>
        <w:t xml:space="preserve"> </w:t>
      </w:r>
      <w:r w:rsidRPr="00492445">
        <w:rPr>
          <w:rFonts w:hint="eastAsia"/>
          <w:rtl/>
        </w:rPr>
        <w:t>מועד</w:t>
      </w:r>
      <w:r w:rsidRPr="00492445">
        <w:rPr>
          <w:rtl/>
        </w:rPr>
        <w:t xml:space="preserve"> </w:t>
      </w:r>
      <w:r w:rsidRPr="00492445">
        <w:rPr>
          <w:rFonts w:hint="eastAsia"/>
          <w:rtl/>
        </w:rPr>
        <w:t>התחולה</w:t>
      </w:r>
      <w:r w:rsidRPr="00492445">
        <w:rPr>
          <w:rtl/>
        </w:rPr>
        <w:t xml:space="preserve"> </w:t>
      </w:r>
      <w:r w:rsidRPr="00492445">
        <w:rPr>
          <w:rFonts w:hint="eastAsia"/>
          <w:rtl/>
        </w:rPr>
        <w:t>של</w:t>
      </w:r>
      <w:r w:rsidRPr="00492445">
        <w:rPr>
          <w:rtl/>
        </w:rPr>
        <w:t xml:space="preserve"> </w:t>
      </w:r>
      <w:r w:rsidRPr="00492445">
        <w:rPr>
          <w:rFonts w:hint="eastAsia"/>
          <w:rtl/>
        </w:rPr>
        <w:t>נורמות</w:t>
      </w:r>
      <w:r w:rsidRPr="00492445">
        <w:rPr>
          <w:rtl/>
        </w:rPr>
        <w:t xml:space="preserve"> </w:t>
      </w:r>
      <w:r w:rsidRPr="00492445">
        <w:rPr>
          <w:rFonts w:hint="eastAsia"/>
          <w:rtl/>
        </w:rPr>
        <w:t>משטריות</w:t>
      </w:r>
      <w:r w:rsidRPr="00492445">
        <w:rPr>
          <w:rtl/>
        </w:rPr>
        <w:t xml:space="preserve"> </w:t>
      </w:r>
      <w:r w:rsidRPr="00492445">
        <w:rPr>
          <w:rFonts w:hint="eastAsia"/>
          <w:rtl/>
        </w:rPr>
        <w:t>יסודיות</w:t>
      </w:r>
      <w:r w:rsidRPr="00492445">
        <w:rPr>
          <w:rtl/>
        </w:rPr>
        <w:t xml:space="preserve"> </w:t>
      </w:r>
      <w:r w:rsidRPr="00492445">
        <w:rPr>
          <w:rFonts w:hint="eastAsia"/>
          <w:rtl/>
        </w:rPr>
        <w:t>כדי</w:t>
      </w:r>
      <w:r w:rsidRPr="00492445">
        <w:rPr>
          <w:rtl/>
        </w:rPr>
        <w:t xml:space="preserve"> </w:t>
      </w:r>
      <w:r w:rsidRPr="00492445">
        <w:rPr>
          <w:rFonts w:hint="eastAsia"/>
          <w:rtl/>
        </w:rPr>
        <w:t>לשנות</w:t>
      </w:r>
      <w:r w:rsidRPr="00492445">
        <w:rPr>
          <w:rtl/>
        </w:rPr>
        <w:t xml:space="preserve"> </w:t>
      </w:r>
      <w:r w:rsidRPr="00492445">
        <w:rPr>
          <w:rFonts w:hint="eastAsia"/>
          <w:rtl/>
        </w:rPr>
        <w:t>את</w:t>
      </w:r>
      <w:r w:rsidRPr="00492445">
        <w:rPr>
          <w:rtl/>
        </w:rPr>
        <w:t xml:space="preserve"> </w:t>
      </w:r>
      <w:r w:rsidRPr="00492445">
        <w:rPr>
          <w:rFonts w:hint="eastAsia"/>
          <w:rtl/>
        </w:rPr>
        <w:t>הדין</w:t>
      </w:r>
      <w:r w:rsidRPr="00492445">
        <w:rPr>
          <w:rtl/>
        </w:rPr>
        <w:t xml:space="preserve"> </w:t>
      </w:r>
      <w:r w:rsidRPr="00492445">
        <w:rPr>
          <w:rFonts w:hint="eastAsia"/>
          <w:rtl/>
        </w:rPr>
        <w:t>המצוי</w:t>
      </w:r>
      <w:r w:rsidRPr="00492445">
        <w:rPr>
          <w:rtl/>
        </w:rPr>
        <w:t xml:space="preserve">, </w:t>
      </w:r>
      <w:r w:rsidRPr="00492445">
        <w:rPr>
          <w:rFonts w:hint="eastAsia"/>
          <w:rtl/>
        </w:rPr>
        <w:t>ולאפשר</w:t>
      </w:r>
      <w:r w:rsidRPr="00492445">
        <w:rPr>
          <w:rtl/>
        </w:rPr>
        <w:t xml:space="preserve">, </w:t>
      </w:r>
      <w:r w:rsidRPr="00492445">
        <w:rPr>
          <w:rFonts w:hint="eastAsia"/>
          <w:rtl/>
        </w:rPr>
        <w:t>בשל</w:t>
      </w:r>
      <w:r w:rsidRPr="00492445">
        <w:rPr>
          <w:rtl/>
        </w:rPr>
        <w:t xml:space="preserve"> </w:t>
      </w:r>
      <w:r w:rsidRPr="00492445">
        <w:rPr>
          <w:rFonts w:hint="eastAsia"/>
          <w:rtl/>
        </w:rPr>
        <w:t>כך</w:t>
      </w:r>
      <w:r w:rsidRPr="00492445">
        <w:rPr>
          <w:rtl/>
        </w:rPr>
        <w:t xml:space="preserve">, </w:t>
      </w:r>
      <w:r w:rsidRPr="00492445">
        <w:rPr>
          <w:rFonts w:hint="eastAsia"/>
          <w:rtl/>
        </w:rPr>
        <w:t>התערבות</w:t>
      </w:r>
      <w:r w:rsidRPr="00492445">
        <w:rPr>
          <w:rtl/>
        </w:rPr>
        <w:t xml:space="preserve"> </w:t>
      </w:r>
      <w:r w:rsidRPr="00492445">
        <w:rPr>
          <w:rFonts w:hint="eastAsia"/>
          <w:rtl/>
        </w:rPr>
        <w:t>שיפוטית</w:t>
      </w:r>
      <w:r w:rsidRPr="00492445">
        <w:rPr>
          <w:rtl/>
        </w:rPr>
        <w:t xml:space="preserve"> </w:t>
      </w:r>
      <w:r w:rsidRPr="00492445">
        <w:rPr>
          <w:rFonts w:hint="eastAsia"/>
          <w:rtl/>
        </w:rPr>
        <w:t>בהחלטות</w:t>
      </w:r>
      <w:r w:rsidRPr="00492445">
        <w:rPr>
          <w:rtl/>
        </w:rPr>
        <w:t xml:space="preserve"> </w:t>
      </w:r>
      <w:r w:rsidRPr="00492445">
        <w:rPr>
          <w:rFonts w:hint="eastAsia"/>
          <w:rtl/>
        </w:rPr>
        <w:t>הרשות</w:t>
      </w:r>
      <w:r w:rsidRPr="00492445">
        <w:rPr>
          <w:rtl/>
        </w:rPr>
        <w:t xml:space="preserve"> </w:t>
      </w:r>
      <w:r w:rsidRPr="00492445">
        <w:rPr>
          <w:rFonts w:hint="eastAsia"/>
          <w:rtl/>
        </w:rPr>
        <w:t>המכוננת</w:t>
      </w:r>
      <w:r w:rsidRPr="00492445">
        <w:rPr>
          <w:rFonts w:hint="cs"/>
          <w:rtl/>
        </w:rPr>
        <w:t>.</w:t>
      </w:r>
      <w:r>
        <w:rPr>
          <w:rFonts w:hint="cs"/>
          <w:rtl/>
        </w:rPr>
        <w:t xml:space="preserve"> אסכם, כי </w:t>
      </w:r>
      <w:r w:rsidRPr="00492445">
        <w:rPr>
          <w:rFonts w:hint="eastAsia"/>
          <w:rtl/>
        </w:rPr>
        <w:t>לשיטתי</w:t>
      </w:r>
      <w:r w:rsidRPr="00492445">
        <w:rPr>
          <w:rtl/>
        </w:rPr>
        <w:t xml:space="preserve"> </w:t>
      </w:r>
      <w:r w:rsidRPr="00492445">
        <w:rPr>
          <w:rFonts w:hint="eastAsia"/>
          <w:rtl/>
        </w:rPr>
        <w:t>אין</w:t>
      </w:r>
      <w:r w:rsidRPr="00492445">
        <w:rPr>
          <w:rtl/>
        </w:rPr>
        <w:t xml:space="preserve"> </w:t>
      </w:r>
      <w:r w:rsidRPr="00492445">
        <w:rPr>
          <w:rFonts w:hint="eastAsia"/>
          <w:rtl/>
        </w:rPr>
        <w:t>בדין</w:t>
      </w:r>
      <w:r w:rsidRPr="00492445">
        <w:rPr>
          <w:rtl/>
        </w:rPr>
        <w:t xml:space="preserve"> </w:t>
      </w:r>
      <w:r w:rsidRPr="00492445">
        <w:rPr>
          <w:rFonts w:hint="eastAsia"/>
          <w:rtl/>
        </w:rPr>
        <w:t>הנוהג</w:t>
      </w:r>
      <w:r w:rsidRPr="00492445">
        <w:rPr>
          <w:rtl/>
        </w:rPr>
        <w:t xml:space="preserve"> </w:t>
      </w:r>
      <w:r w:rsidRPr="00492445">
        <w:rPr>
          <w:rFonts w:hint="eastAsia"/>
          <w:rtl/>
        </w:rPr>
        <w:t>בסיס</w:t>
      </w:r>
      <w:r w:rsidRPr="00492445">
        <w:rPr>
          <w:rtl/>
        </w:rPr>
        <w:t xml:space="preserve"> </w:t>
      </w:r>
      <w:r w:rsidRPr="00492445">
        <w:rPr>
          <w:rFonts w:hint="eastAsia"/>
          <w:rtl/>
        </w:rPr>
        <w:t>לנטילת</w:t>
      </w:r>
      <w:r w:rsidRPr="00492445">
        <w:rPr>
          <w:rtl/>
        </w:rPr>
        <w:t xml:space="preserve"> </w:t>
      </w:r>
      <w:r w:rsidRPr="00492445">
        <w:rPr>
          <w:rFonts w:hint="eastAsia"/>
          <w:rtl/>
        </w:rPr>
        <w:t>מעמדו</w:t>
      </w:r>
      <w:r w:rsidRPr="00492445">
        <w:rPr>
          <w:rtl/>
        </w:rPr>
        <w:t xml:space="preserve"> </w:t>
      </w:r>
      <w:r w:rsidRPr="00492445">
        <w:rPr>
          <w:rFonts w:hint="eastAsia"/>
          <w:rtl/>
        </w:rPr>
        <w:t>החוקתי</w:t>
      </w:r>
      <w:r w:rsidRPr="00492445">
        <w:rPr>
          <w:rtl/>
        </w:rPr>
        <w:t xml:space="preserve"> </w:t>
      </w:r>
      <w:r w:rsidRPr="00492445">
        <w:rPr>
          <w:rFonts w:hint="eastAsia"/>
          <w:rtl/>
        </w:rPr>
        <w:t>של</w:t>
      </w:r>
      <w:r w:rsidRPr="00492445">
        <w:rPr>
          <w:rtl/>
        </w:rPr>
        <w:t xml:space="preserve"> </w:t>
      </w:r>
      <w:r w:rsidRPr="00492445">
        <w:rPr>
          <w:rFonts w:hint="eastAsia"/>
          <w:rtl/>
        </w:rPr>
        <w:t>תיקון</w:t>
      </w:r>
      <w:r w:rsidRPr="00492445">
        <w:rPr>
          <w:rtl/>
        </w:rPr>
        <w:t xml:space="preserve"> </w:t>
      </w:r>
      <w:r w:rsidRPr="00492445">
        <w:rPr>
          <w:rFonts w:hint="eastAsia"/>
          <w:rtl/>
        </w:rPr>
        <w:t>משטרי</w:t>
      </w:r>
      <w:r w:rsidRPr="00492445">
        <w:rPr>
          <w:rtl/>
        </w:rPr>
        <w:t xml:space="preserve"> </w:t>
      </w:r>
      <w:r w:rsidRPr="00492445">
        <w:rPr>
          <w:rFonts w:hint="eastAsia"/>
          <w:rtl/>
        </w:rPr>
        <w:t>בעל</w:t>
      </w:r>
      <w:r w:rsidRPr="00492445">
        <w:rPr>
          <w:rtl/>
        </w:rPr>
        <w:t xml:space="preserve"> </w:t>
      </w:r>
      <w:r w:rsidRPr="00492445">
        <w:rPr>
          <w:rFonts w:hint="eastAsia"/>
          <w:rtl/>
        </w:rPr>
        <w:t>תחולה</w:t>
      </w:r>
      <w:r w:rsidRPr="00492445">
        <w:rPr>
          <w:rtl/>
        </w:rPr>
        <w:t xml:space="preserve"> </w:t>
      </w:r>
      <w:r w:rsidRPr="00492445">
        <w:rPr>
          <w:rFonts w:hint="eastAsia"/>
          <w:rtl/>
        </w:rPr>
        <w:t>מיידית</w:t>
      </w:r>
      <w:r w:rsidRPr="00492445">
        <w:rPr>
          <w:rtl/>
        </w:rPr>
        <w:t xml:space="preserve"> – </w:t>
      </w:r>
      <w:r w:rsidRPr="00492445">
        <w:rPr>
          <w:rFonts w:hint="eastAsia"/>
          <w:rtl/>
        </w:rPr>
        <w:t>אלא</w:t>
      </w:r>
      <w:r w:rsidRPr="00492445">
        <w:rPr>
          <w:rtl/>
        </w:rPr>
        <w:t xml:space="preserve"> </w:t>
      </w:r>
      <w:r w:rsidRPr="00492445">
        <w:rPr>
          <w:rFonts w:hint="eastAsia"/>
          <w:rtl/>
        </w:rPr>
        <w:t>אם</w:t>
      </w:r>
      <w:r w:rsidRPr="00492445">
        <w:rPr>
          <w:rtl/>
        </w:rPr>
        <w:t xml:space="preserve"> </w:t>
      </w:r>
      <w:r w:rsidRPr="00492445">
        <w:rPr>
          <w:rFonts w:hint="eastAsia"/>
          <w:rtl/>
        </w:rPr>
        <w:t>דחיית</w:t>
      </w:r>
      <w:r w:rsidRPr="00492445">
        <w:rPr>
          <w:rtl/>
        </w:rPr>
        <w:t xml:space="preserve"> </w:t>
      </w:r>
      <w:r w:rsidRPr="00492445">
        <w:rPr>
          <w:rFonts w:hint="eastAsia"/>
          <w:rtl/>
        </w:rPr>
        <w:t>התחולה</w:t>
      </w:r>
      <w:r w:rsidRPr="00492445">
        <w:rPr>
          <w:rtl/>
        </w:rPr>
        <w:t xml:space="preserve"> </w:t>
      </w:r>
      <w:r w:rsidRPr="00492445">
        <w:rPr>
          <w:rFonts w:hint="eastAsia"/>
          <w:rtl/>
        </w:rPr>
        <w:t>מתחייבת</w:t>
      </w:r>
      <w:r w:rsidRPr="00492445">
        <w:rPr>
          <w:rtl/>
        </w:rPr>
        <w:t xml:space="preserve"> </w:t>
      </w:r>
      <w:r w:rsidRPr="00492445">
        <w:rPr>
          <w:rFonts w:hint="eastAsia"/>
          <w:rtl/>
        </w:rPr>
        <w:t>מתכליתו</w:t>
      </w:r>
      <w:r w:rsidRPr="00492445">
        <w:rPr>
          <w:rtl/>
        </w:rPr>
        <w:t xml:space="preserve">, </w:t>
      </w:r>
      <w:r w:rsidRPr="00492445">
        <w:rPr>
          <w:rFonts w:hint="eastAsia"/>
          <w:rtl/>
        </w:rPr>
        <w:t>כפי</w:t>
      </w:r>
      <w:r w:rsidRPr="00492445">
        <w:rPr>
          <w:rtl/>
        </w:rPr>
        <w:t xml:space="preserve"> </w:t>
      </w:r>
      <w:r w:rsidRPr="00492445">
        <w:rPr>
          <w:rFonts w:hint="eastAsia"/>
          <w:rtl/>
        </w:rPr>
        <w:t>שקרה</w:t>
      </w:r>
      <w:r w:rsidRPr="00492445">
        <w:rPr>
          <w:rtl/>
        </w:rPr>
        <w:t xml:space="preserve"> </w:t>
      </w:r>
      <w:r w:rsidRPr="00492445">
        <w:rPr>
          <w:rFonts w:hint="eastAsia"/>
          <w:rtl/>
        </w:rPr>
        <w:t>בהקשר</w:t>
      </w:r>
      <w:r w:rsidRPr="00492445">
        <w:rPr>
          <w:rtl/>
        </w:rPr>
        <w:t xml:space="preserve"> </w:t>
      </w:r>
      <w:r w:rsidRPr="00492445">
        <w:rPr>
          <w:rFonts w:hint="eastAsia"/>
          <w:rtl/>
        </w:rPr>
        <w:t>של</w:t>
      </w:r>
      <w:r w:rsidRPr="00492445">
        <w:rPr>
          <w:rtl/>
        </w:rPr>
        <w:t xml:space="preserve"> </w:t>
      </w:r>
      <w:r w:rsidRPr="00492445">
        <w:rPr>
          <w:rFonts w:hint="eastAsia"/>
          <w:rtl/>
        </w:rPr>
        <w:t>חוקי</w:t>
      </w:r>
      <w:r w:rsidRPr="00492445">
        <w:rPr>
          <w:rtl/>
        </w:rPr>
        <w:t xml:space="preserve"> </w:t>
      </w:r>
      <w:r w:rsidRPr="00492445">
        <w:rPr>
          <w:rFonts w:hint="eastAsia"/>
          <w:rtl/>
        </w:rPr>
        <w:t>יסוד</w:t>
      </w:r>
      <w:r w:rsidRPr="00492445">
        <w:rPr>
          <w:rtl/>
        </w:rPr>
        <w:t xml:space="preserve"> </w:t>
      </w:r>
      <w:r w:rsidRPr="00492445">
        <w:rPr>
          <w:rFonts w:hint="eastAsia"/>
          <w:rtl/>
        </w:rPr>
        <w:t>הממשלה</w:t>
      </w:r>
      <w:r w:rsidRPr="00492445">
        <w:rPr>
          <w:rtl/>
        </w:rPr>
        <w:t xml:space="preserve"> </w:t>
      </w:r>
      <w:r w:rsidRPr="00492445">
        <w:rPr>
          <w:rFonts w:hint="eastAsia"/>
          <w:rtl/>
        </w:rPr>
        <w:t>האחרונים</w:t>
      </w:r>
      <w:r w:rsidRPr="00492445">
        <w:rPr>
          <w:rtl/>
        </w:rPr>
        <w:t xml:space="preserve">. </w:t>
      </w:r>
      <w:r w:rsidRPr="00492445">
        <w:rPr>
          <w:rFonts w:hint="eastAsia"/>
          <w:rtl/>
        </w:rPr>
        <w:t>תיקון</w:t>
      </w:r>
      <w:r w:rsidRPr="00492445">
        <w:rPr>
          <w:rtl/>
        </w:rPr>
        <w:t xml:space="preserve"> 8, </w:t>
      </w:r>
      <w:r w:rsidRPr="00492445">
        <w:rPr>
          <w:rFonts w:hint="eastAsia"/>
          <w:rtl/>
        </w:rPr>
        <w:t>כמוהו</w:t>
      </w:r>
      <w:r w:rsidRPr="00492445">
        <w:rPr>
          <w:rtl/>
        </w:rPr>
        <w:t xml:space="preserve"> </w:t>
      </w:r>
      <w:r w:rsidRPr="00492445">
        <w:rPr>
          <w:rFonts w:hint="eastAsia"/>
          <w:rtl/>
        </w:rPr>
        <w:t>כתיקונים</w:t>
      </w:r>
      <w:r w:rsidRPr="00492445">
        <w:rPr>
          <w:rtl/>
        </w:rPr>
        <w:t xml:space="preserve"> </w:t>
      </w:r>
      <w:r w:rsidRPr="00492445">
        <w:rPr>
          <w:rFonts w:hint="eastAsia"/>
          <w:rtl/>
        </w:rPr>
        <w:t>משטריים</w:t>
      </w:r>
      <w:r w:rsidRPr="00492445">
        <w:rPr>
          <w:rtl/>
        </w:rPr>
        <w:t xml:space="preserve"> </w:t>
      </w:r>
      <w:r w:rsidRPr="00492445">
        <w:rPr>
          <w:rFonts w:hint="eastAsia"/>
          <w:rtl/>
        </w:rPr>
        <w:t>רבים</w:t>
      </w:r>
      <w:r w:rsidRPr="00492445">
        <w:rPr>
          <w:rtl/>
        </w:rPr>
        <w:t xml:space="preserve"> </w:t>
      </w:r>
      <w:r w:rsidRPr="00492445">
        <w:rPr>
          <w:rFonts w:hint="eastAsia"/>
          <w:rtl/>
        </w:rPr>
        <w:t>שהוחלו</w:t>
      </w:r>
      <w:r w:rsidRPr="00492445">
        <w:rPr>
          <w:rtl/>
        </w:rPr>
        <w:t xml:space="preserve"> </w:t>
      </w:r>
      <w:r w:rsidRPr="00492445">
        <w:rPr>
          <w:rFonts w:hint="eastAsia"/>
          <w:rtl/>
        </w:rPr>
        <w:t>כבר</w:t>
      </w:r>
      <w:r w:rsidRPr="00492445">
        <w:rPr>
          <w:rtl/>
        </w:rPr>
        <w:t xml:space="preserve"> </w:t>
      </w:r>
      <w:r w:rsidRPr="00492445">
        <w:rPr>
          <w:rFonts w:hint="eastAsia"/>
          <w:rtl/>
        </w:rPr>
        <w:t>במהלך</w:t>
      </w:r>
      <w:r w:rsidRPr="00492445">
        <w:rPr>
          <w:rtl/>
        </w:rPr>
        <w:t xml:space="preserve"> </w:t>
      </w:r>
      <w:r w:rsidRPr="00492445">
        <w:rPr>
          <w:rFonts w:hint="eastAsia"/>
          <w:rtl/>
        </w:rPr>
        <w:t>חיי</w:t>
      </w:r>
      <w:r w:rsidRPr="00492445">
        <w:rPr>
          <w:rtl/>
        </w:rPr>
        <w:t xml:space="preserve"> </w:t>
      </w:r>
      <w:r w:rsidRPr="00492445">
        <w:rPr>
          <w:rFonts w:hint="eastAsia"/>
          <w:rtl/>
        </w:rPr>
        <w:t>הכנסת</w:t>
      </w:r>
      <w:r w:rsidRPr="00492445">
        <w:rPr>
          <w:rtl/>
        </w:rPr>
        <w:t xml:space="preserve"> </w:t>
      </w:r>
      <w:r w:rsidRPr="00492445">
        <w:rPr>
          <w:rFonts w:hint="eastAsia"/>
          <w:rtl/>
        </w:rPr>
        <w:t>שכוננה</w:t>
      </w:r>
      <w:r w:rsidRPr="00492445">
        <w:rPr>
          <w:rtl/>
        </w:rPr>
        <w:t xml:space="preserve"> </w:t>
      </w:r>
      <w:r w:rsidRPr="00492445">
        <w:rPr>
          <w:rFonts w:hint="eastAsia"/>
          <w:rtl/>
        </w:rPr>
        <w:t>אותם</w:t>
      </w:r>
      <w:r w:rsidRPr="00492445">
        <w:rPr>
          <w:rtl/>
        </w:rPr>
        <w:t xml:space="preserve">, </w:t>
      </w:r>
      <w:r w:rsidRPr="00492445">
        <w:rPr>
          <w:rFonts w:hint="eastAsia"/>
          <w:rtl/>
        </w:rPr>
        <w:t>אמנם</w:t>
      </w:r>
      <w:r w:rsidRPr="00492445">
        <w:rPr>
          <w:rtl/>
        </w:rPr>
        <w:t xml:space="preserve"> </w:t>
      </w:r>
      <w:r w:rsidRPr="00492445">
        <w:rPr>
          <w:rFonts w:hint="eastAsia"/>
          <w:rtl/>
        </w:rPr>
        <w:t>מכיל</w:t>
      </w:r>
      <w:r w:rsidRPr="00492445">
        <w:rPr>
          <w:rtl/>
        </w:rPr>
        <w:t xml:space="preserve"> </w:t>
      </w:r>
      <w:r w:rsidRPr="00492445">
        <w:rPr>
          <w:rFonts w:hint="eastAsia"/>
          <w:rtl/>
        </w:rPr>
        <w:t>חידוש</w:t>
      </w:r>
      <w:r w:rsidRPr="00492445">
        <w:rPr>
          <w:rtl/>
        </w:rPr>
        <w:t xml:space="preserve"> </w:t>
      </w:r>
      <w:r w:rsidRPr="00492445">
        <w:rPr>
          <w:rFonts w:hint="eastAsia"/>
          <w:rtl/>
        </w:rPr>
        <w:t>חוקתי</w:t>
      </w:r>
      <w:r w:rsidRPr="00492445">
        <w:rPr>
          <w:rtl/>
        </w:rPr>
        <w:t xml:space="preserve">, </w:t>
      </w:r>
      <w:r w:rsidRPr="00492445">
        <w:rPr>
          <w:rFonts w:hint="eastAsia"/>
          <w:rtl/>
        </w:rPr>
        <w:t>אך</w:t>
      </w:r>
      <w:r w:rsidRPr="00492445">
        <w:rPr>
          <w:rtl/>
        </w:rPr>
        <w:t xml:space="preserve"> </w:t>
      </w:r>
      <w:r w:rsidRPr="00492445">
        <w:rPr>
          <w:rFonts w:hint="eastAsia"/>
          <w:rtl/>
        </w:rPr>
        <w:t>אין</w:t>
      </w:r>
      <w:r w:rsidRPr="00492445">
        <w:rPr>
          <w:rtl/>
        </w:rPr>
        <w:t xml:space="preserve"> </w:t>
      </w:r>
      <w:r w:rsidRPr="00492445">
        <w:rPr>
          <w:rFonts w:hint="eastAsia"/>
          <w:rtl/>
        </w:rPr>
        <w:t>בעצם</w:t>
      </w:r>
      <w:r w:rsidRPr="00492445">
        <w:rPr>
          <w:rtl/>
        </w:rPr>
        <w:t xml:space="preserve"> </w:t>
      </w:r>
      <w:r w:rsidRPr="00492445">
        <w:rPr>
          <w:rFonts w:hint="eastAsia"/>
          <w:rtl/>
        </w:rPr>
        <w:t>קיומו</w:t>
      </w:r>
      <w:r w:rsidRPr="00492445">
        <w:rPr>
          <w:rtl/>
        </w:rPr>
        <w:t xml:space="preserve"> </w:t>
      </w:r>
      <w:r w:rsidRPr="00492445">
        <w:rPr>
          <w:rFonts w:hint="eastAsia"/>
          <w:rtl/>
        </w:rPr>
        <w:t>של</w:t>
      </w:r>
      <w:r w:rsidRPr="00492445">
        <w:rPr>
          <w:rtl/>
        </w:rPr>
        <w:t xml:space="preserve"> </w:t>
      </w:r>
      <w:r w:rsidRPr="00492445">
        <w:rPr>
          <w:rFonts w:hint="eastAsia"/>
          <w:rtl/>
        </w:rPr>
        <w:t>חידוש</w:t>
      </w:r>
      <w:r w:rsidRPr="00492445">
        <w:rPr>
          <w:rtl/>
        </w:rPr>
        <w:t xml:space="preserve"> </w:t>
      </w:r>
      <w:r w:rsidRPr="00492445">
        <w:rPr>
          <w:rFonts w:hint="eastAsia"/>
          <w:rtl/>
        </w:rPr>
        <w:t>כזה</w:t>
      </w:r>
      <w:r w:rsidRPr="00492445">
        <w:rPr>
          <w:rtl/>
        </w:rPr>
        <w:t xml:space="preserve"> </w:t>
      </w:r>
      <w:r w:rsidRPr="00492445">
        <w:rPr>
          <w:rFonts w:hint="eastAsia"/>
          <w:rtl/>
        </w:rPr>
        <w:t>כדי</w:t>
      </w:r>
      <w:r w:rsidRPr="00492445">
        <w:rPr>
          <w:rtl/>
        </w:rPr>
        <w:t xml:space="preserve"> </w:t>
      </w:r>
      <w:r w:rsidRPr="00492445">
        <w:rPr>
          <w:rFonts w:hint="eastAsia"/>
          <w:rtl/>
        </w:rPr>
        <w:t>לחייב</w:t>
      </w:r>
      <w:r w:rsidRPr="00492445">
        <w:rPr>
          <w:rtl/>
        </w:rPr>
        <w:t xml:space="preserve"> </w:t>
      </w:r>
      <w:r w:rsidRPr="00492445">
        <w:rPr>
          <w:rFonts w:hint="eastAsia"/>
          <w:rtl/>
        </w:rPr>
        <w:t>את</w:t>
      </w:r>
      <w:r w:rsidRPr="00492445">
        <w:rPr>
          <w:rtl/>
        </w:rPr>
        <w:t xml:space="preserve"> </w:t>
      </w:r>
      <w:r w:rsidRPr="00492445">
        <w:rPr>
          <w:rFonts w:hint="eastAsia"/>
          <w:rtl/>
        </w:rPr>
        <w:t>דחיית</w:t>
      </w:r>
      <w:r w:rsidRPr="00492445">
        <w:rPr>
          <w:rtl/>
        </w:rPr>
        <w:t xml:space="preserve"> </w:t>
      </w:r>
      <w:r w:rsidRPr="00492445">
        <w:rPr>
          <w:rFonts w:hint="eastAsia"/>
          <w:rtl/>
        </w:rPr>
        <w:t>התחולה</w:t>
      </w:r>
      <w:r w:rsidRPr="00492445">
        <w:rPr>
          <w:rFonts w:hint="cs"/>
          <w:rtl/>
        </w:rPr>
        <w:t>"</w:t>
      </w:r>
      <w:r>
        <w:rPr>
          <w:rFonts w:hint="cs"/>
          <w:rtl/>
        </w:rPr>
        <w:t xml:space="preserve"> (פסקאות 18-17 לחוות דעתו).</w:t>
      </w:r>
    </w:p>
    <w:p w:rsidR="003D2318" w:rsidRDefault="003D2318" w:rsidP="003D2318">
      <w:pPr>
        <w:pStyle w:val="Ruller5"/>
        <w:rPr>
          <w:rtl/>
        </w:rPr>
      </w:pPr>
    </w:p>
    <w:p w:rsidR="003D2318" w:rsidRDefault="003D2318" w:rsidP="003D2318">
      <w:pPr>
        <w:pStyle w:val="Ruller4"/>
        <w:numPr>
          <w:ilvl w:val="0"/>
          <w:numId w:val="0"/>
        </w:numPr>
        <w:rPr>
          <w:rtl/>
        </w:rPr>
      </w:pPr>
      <w:r>
        <w:rPr>
          <w:rtl/>
        </w:rPr>
        <w:tab/>
      </w:r>
      <w:r>
        <w:rPr>
          <w:rFonts w:hint="cs"/>
          <w:rtl/>
        </w:rPr>
        <w:t xml:space="preserve">בדומה, חברתי השופטת </w:t>
      </w:r>
      <w:r w:rsidRPr="00492445">
        <w:rPr>
          <w:rFonts w:ascii="Century" w:hAnsi="Century" w:cs="Miriam" w:hint="cs"/>
          <w:b/>
          <w:spacing w:val="0"/>
          <w:sz w:val="22"/>
          <w:szCs w:val="24"/>
          <w:rtl/>
        </w:rPr>
        <w:t>ד' ברק</w:t>
      </w:r>
      <w:r w:rsidRPr="00492445">
        <w:rPr>
          <w:rFonts w:hint="cs"/>
          <w:rtl/>
        </w:rPr>
        <w:t xml:space="preserve"> </w:t>
      </w:r>
      <w:r w:rsidRPr="00C76239">
        <w:rPr>
          <w:rFonts w:ascii="Century" w:hAnsi="Century" w:cs="Miriam" w:hint="cs"/>
          <w:b/>
          <w:spacing w:val="0"/>
          <w:sz w:val="22"/>
          <w:szCs w:val="24"/>
          <w:rtl/>
        </w:rPr>
        <w:t>ארז</w:t>
      </w:r>
      <w:r>
        <w:rPr>
          <w:rFonts w:hint="cs"/>
          <w:rtl/>
        </w:rPr>
        <w:t xml:space="preserve"> קבעה כי:</w:t>
      </w:r>
    </w:p>
    <w:p w:rsidR="003D2318" w:rsidRPr="00492445" w:rsidRDefault="003D2318" w:rsidP="003D2318">
      <w:pPr>
        <w:pStyle w:val="Ruller41"/>
        <w:spacing w:line="240" w:lineRule="auto"/>
        <w:rPr>
          <w:rtl/>
        </w:rPr>
      </w:pPr>
    </w:p>
    <w:p w:rsidR="003D2318" w:rsidRDefault="003D2318" w:rsidP="003D2318">
      <w:pPr>
        <w:pStyle w:val="Ruller5"/>
        <w:rPr>
          <w:rtl/>
        </w:rPr>
      </w:pPr>
      <w:r>
        <w:rPr>
          <w:rFonts w:hint="cs"/>
          <w:rtl/>
        </w:rPr>
        <w:t>"</w:t>
      </w:r>
      <w:r w:rsidRPr="00492445">
        <w:rPr>
          <w:rtl/>
        </w:rPr>
        <w:t>תיקון שתחולתו היא מיידית עלול להיות בלתי רצוי במישור של התרבות הפוליטית ואף לעורר קשיים שונים. אולם, איני סבורה כי עובדה זו כשלעצמה הופכת אותו בהכרח לפרסונלי ועל כן לכזה שאינו עומד בקריטריון הכלליות, כמובנו בהקשרה של דוקטרינת השימוש לרעה בחוקי יסוד</w:t>
      </w:r>
      <w:r>
        <w:rPr>
          <w:rFonts w:hint="cs"/>
          <w:rtl/>
        </w:rPr>
        <w:t>" (פסקה 18 לחוות דעתה).</w:t>
      </w:r>
    </w:p>
    <w:p w:rsidR="003D2318" w:rsidRDefault="003D2318" w:rsidP="003D2318">
      <w:pPr>
        <w:pStyle w:val="Ruller41"/>
        <w:rPr>
          <w:rtl/>
        </w:rPr>
      </w:pPr>
    </w:p>
    <w:p w:rsidR="003D2318" w:rsidRDefault="003D2318" w:rsidP="003D2318">
      <w:pPr>
        <w:pStyle w:val="Ruller41"/>
        <w:rPr>
          <w:rtl/>
        </w:rPr>
      </w:pPr>
      <w:r>
        <w:rPr>
          <w:rtl/>
        </w:rPr>
        <w:tab/>
      </w:r>
      <w:r>
        <w:rPr>
          <w:rFonts w:hint="cs"/>
          <w:rtl/>
        </w:rPr>
        <w:t>בחוות דעתה, הנשיאה הביעה עמדה מורכבת יותר, לפיה אף שככלל החלה מיידית של תיקון חוקתי אין משמעה כי התיקון מהווה שימוש לרעה בסמכות המכוננת, ייתכנו מצבים בהם החלה מיידית של תיקון חוקתי תשווה לו אופי פרסונלי:</w:t>
      </w:r>
    </w:p>
    <w:p w:rsidR="003D2318" w:rsidRDefault="003D2318" w:rsidP="003D2318">
      <w:pPr>
        <w:pStyle w:val="Ruller41"/>
        <w:spacing w:line="240" w:lineRule="auto"/>
        <w:rPr>
          <w:rtl/>
        </w:rPr>
      </w:pPr>
    </w:p>
    <w:p w:rsidR="003D2318" w:rsidRDefault="003D2318" w:rsidP="003D2318">
      <w:pPr>
        <w:pStyle w:val="Ruller5"/>
        <w:rPr>
          <w:rtl/>
        </w:rPr>
      </w:pPr>
      <w:r>
        <w:rPr>
          <w:rFonts w:hint="cs"/>
          <w:rtl/>
        </w:rPr>
        <w:t>"</w:t>
      </w:r>
      <w:r w:rsidRPr="00492445">
        <w:rPr>
          <w:rtl/>
        </w:rPr>
        <w:t xml:space="preserve">נורמה החלה רק ביחס לכנסת או לממשלה ספציפית נושאת במובהק אופי פרסונאלי, ומשכך היא </w:t>
      </w:r>
      <w:r>
        <w:rPr>
          <w:rFonts w:hint="cs"/>
          <w:rtl/>
        </w:rPr>
        <w:t>'</w:t>
      </w:r>
      <w:r w:rsidRPr="00492445">
        <w:rPr>
          <w:rtl/>
        </w:rPr>
        <w:t>מעוררת קושי, ולא ניתן לייחס לה אופי ומעמד חוקתיים</w:t>
      </w:r>
      <w:r>
        <w:rPr>
          <w:rFonts w:hint="cs"/>
          <w:rtl/>
        </w:rPr>
        <w:t>'</w:t>
      </w:r>
      <w:r w:rsidRPr="00492445">
        <w:rPr>
          <w:rtl/>
        </w:rPr>
        <w:t>.</w:t>
      </w:r>
      <w:r>
        <w:rPr>
          <w:rFonts w:hint="cs"/>
          <w:rtl/>
        </w:rPr>
        <w:t xml:space="preserve"> </w:t>
      </w:r>
      <w:r w:rsidRPr="00492445">
        <w:rPr>
          <w:rtl/>
        </w:rPr>
        <w:t>קושי מעין זה עלול, לשיטתי, להתעורר כאשר ההוראה מוחלת </w:t>
      </w:r>
      <w:r w:rsidRPr="00C76239">
        <w:rPr>
          <w:rFonts w:ascii="Century" w:hAnsi="Century" w:cs="Miriam"/>
          <w:b/>
          <w:spacing w:val="0"/>
          <w:szCs w:val="24"/>
          <w:rtl/>
        </w:rPr>
        <w:t>גם</w:t>
      </w:r>
      <w:r w:rsidRPr="00492445">
        <w:rPr>
          <w:rtl/>
        </w:rPr>
        <w:t> על הכנסת המכוננת אותה, ומאפשרת לאותה כנסת ליהנות מ</w:t>
      </w:r>
      <w:r>
        <w:rPr>
          <w:rFonts w:hint="cs"/>
          <w:rtl/>
        </w:rPr>
        <w:t>'</w:t>
      </w:r>
      <w:r w:rsidRPr="00492445">
        <w:rPr>
          <w:rtl/>
        </w:rPr>
        <w:t>הטבות</w:t>
      </w:r>
      <w:r>
        <w:rPr>
          <w:rFonts w:hint="cs"/>
          <w:rtl/>
        </w:rPr>
        <w:t>'</w:t>
      </w:r>
      <w:r w:rsidRPr="00492445">
        <w:rPr>
          <w:rtl/>
        </w:rPr>
        <w:t xml:space="preserve"> מיוחדות בשל אימוץ הנורמה. מצבים מסוג זה מאופיינים בניגוד עניינים מוסדי בין כובעה של הכנסת כרשות מכוננת, אשר אמורה לקבוע נורמות כלליות שיעצבו את דמותה של המדינה לאורך זמן, ובין אותם </w:t>
      </w:r>
      <w:r>
        <w:rPr>
          <w:rFonts w:hint="cs"/>
          <w:rtl/>
        </w:rPr>
        <w:t>'</w:t>
      </w:r>
      <w:r w:rsidRPr="00492445">
        <w:rPr>
          <w:rtl/>
        </w:rPr>
        <w:t>אינטרסים פרטיקולריים</w:t>
      </w:r>
      <w:r>
        <w:rPr>
          <w:rFonts w:hint="cs"/>
          <w:rtl/>
        </w:rPr>
        <w:t>'</w:t>
      </w:r>
      <w:r w:rsidRPr="00492445">
        <w:rPr>
          <w:rtl/>
        </w:rPr>
        <w:t xml:space="preserve"> של חברי הכנסת בכנסת הספציפית</w:t>
      </w:r>
      <w:r>
        <w:rPr>
          <w:rFonts w:hint="cs"/>
          <w:rtl/>
        </w:rPr>
        <w:t xml:space="preserve">" פסקה 15 לחוות דעתה; ההפניות הושמטו </w:t>
      </w:r>
      <w:r>
        <w:rPr>
          <w:rtl/>
        </w:rPr>
        <w:t>–</w:t>
      </w:r>
      <w:r>
        <w:rPr>
          <w:rFonts w:hint="cs"/>
          <w:rtl/>
        </w:rPr>
        <w:t xml:space="preserve"> י' כ').</w:t>
      </w:r>
    </w:p>
    <w:p w:rsidR="003D2318" w:rsidRDefault="003D2318" w:rsidP="003D2318">
      <w:pPr>
        <w:pStyle w:val="Ruller41"/>
        <w:rPr>
          <w:rtl/>
        </w:rPr>
      </w:pPr>
    </w:p>
    <w:p w:rsidR="003D2318" w:rsidRDefault="003D2318" w:rsidP="003D2318">
      <w:pPr>
        <w:pStyle w:val="Ruller41"/>
        <w:rPr>
          <w:rtl/>
        </w:rPr>
      </w:pPr>
      <w:r>
        <w:rPr>
          <w:rtl/>
        </w:rPr>
        <w:tab/>
      </w:r>
      <w:r>
        <w:rPr>
          <w:rFonts w:hint="cs"/>
          <w:rtl/>
        </w:rPr>
        <w:t xml:space="preserve">עם זאת, אף הנשיאה מצאה לדחות את העתירות בעניין </w:t>
      </w:r>
      <w:r w:rsidRPr="001B3DBA">
        <w:rPr>
          <w:rFonts w:ascii="Century" w:hAnsi="Century" w:cs="Miriam" w:hint="cs"/>
          <w:b/>
          <w:spacing w:val="0"/>
          <w:szCs w:val="24"/>
          <w:rtl/>
        </w:rPr>
        <w:t>ממשלת החילופים</w:t>
      </w:r>
      <w:r>
        <w:rPr>
          <w:rFonts w:hint="cs"/>
          <w:rtl/>
        </w:rPr>
        <w:t>, תוך שציינה כי:</w:t>
      </w:r>
    </w:p>
    <w:p w:rsidR="003D2318" w:rsidRDefault="003D2318" w:rsidP="003D2318">
      <w:pPr>
        <w:pStyle w:val="Ruller41"/>
        <w:spacing w:line="240" w:lineRule="auto"/>
        <w:rPr>
          <w:rtl/>
        </w:rPr>
      </w:pPr>
    </w:p>
    <w:p w:rsidR="003D2318" w:rsidRDefault="003D2318" w:rsidP="003D2318">
      <w:pPr>
        <w:pStyle w:val="Ruller5"/>
        <w:rPr>
          <w:rtl/>
        </w:rPr>
      </w:pPr>
      <w:r>
        <w:rPr>
          <w:rFonts w:hint="cs"/>
          <w:rtl/>
        </w:rPr>
        <w:t>"</w:t>
      </w:r>
      <w:r>
        <w:rPr>
          <w:rFonts w:ascii="FrankRuehl" w:hAnsi="FrankRuehl" w:hint="cs"/>
          <w:color w:val="000000"/>
          <w:sz w:val="28"/>
          <w:shd w:val="clear" w:color="auto" w:fill="FFFFFF"/>
          <w:rtl/>
        </w:rPr>
        <w:t>אף</w:t>
      </w:r>
      <w:r w:rsidRPr="00492445">
        <w:rPr>
          <w:rFonts w:ascii="FrankRuehl" w:hAnsi="FrankRuehl"/>
          <w:color w:val="000000"/>
          <w:sz w:val="28"/>
          <w:shd w:val="clear" w:color="auto" w:fill="FFFFFF"/>
          <w:rtl/>
        </w:rPr>
        <w:t xml:space="preserve"> </w:t>
      </w:r>
      <w:r w:rsidRPr="00492445">
        <w:rPr>
          <w:rtl/>
        </w:rPr>
        <w:t xml:space="preserve">אם מקרה פרטי שימש תמריץ לחקיקת חוק היסוד, בענייננו ניכר כי תכלית ההסדר נוגעת לקושי כללי שעשוי להתעורר גם בעתיד – חוסר יציבות שלטונית והיעדר </w:t>
      </w:r>
      <w:r w:rsidRPr="00492445">
        <w:rPr>
          <w:rtl/>
        </w:rPr>
        <w:lastRenderedPageBreak/>
        <w:t>מנגנונים שיפיגו את חוסר האמון בין צדדים פוליטיים</w:t>
      </w:r>
      <w:r>
        <w:rPr>
          <w:rFonts w:hint="cs"/>
          <w:rtl/>
        </w:rPr>
        <w:t>" (פסקה 17 לחוות דעתה).</w:t>
      </w:r>
    </w:p>
    <w:p w:rsidR="003D2318" w:rsidRDefault="003D2318" w:rsidP="003D2318">
      <w:pPr>
        <w:pStyle w:val="Ruller41"/>
        <w:rPr>
          <w:rtl/>
        </w:rPr>
      </w:pPr>
    </w:p>
    <w:p w:rsidR="003D2318" w:rsidRDefault="003D2318" w:rsidP="003D2318">
      <w:pPr>
        <w:pStyle w:val="Ruller41"/>
        <w:rPr>
          <w:rtl/>
        </w:rPr>
      </w:pPr>
      <w:r>
        <w:rPr>
          <w:rtl/>
        </w:rPr>
        <w:tab/>
      </w:r>
      <w:r>
        <w:rPr>
          <w:rFonts w:hint="cs"/>
          <w:rtl/>
        </w:rPr>
        <w:t>לשיטתי, דברים אלו יפים גם לענייננו. כאמור לעיל, התיקון דנן מהווה חלק מ-"רפורמה משפטית" המבקשת לשנות את מערך הכוחות בין רשויות המדינה. בתוך כך, התיקון נועד להתמודד עם מה שיוזמיו רואים בו כ-"קושי" אשר היה קיים גם בעבר, ואשר ללא התיקון עשוי להתעורר גם בעתיד. אשר על כן, סבורני כי עצם החלת התיקון באופן מיידי במישור הזמן, אינה הופכת את כינונו לשימוש לרעה בסמכות המכוננת.</w:t>
      </w:r>
    </w:p>
    <w:p w:rsidR="003D2318" w:rsidRDefault="003D2318" w:rsidP="003D2318">
      <w:pPr>
        <w:pStyle w:val="Ruller41"/>
        <w:spacing w:line="240" w:lineRule="auto"/>
        <w:rPr>
          <w:rtl/>
        </w:rPr>
      </w:pPr>
    </w:p>
    <w:p w:rsidR="003D2318" w:rsidRDefault="003D2318" w:rsidP="003D2318">
      <w:pPr>
        <w:pStyle w:val="Ruller41"/>
        <w:rPr>
          <w:rFonts w:cs="Arial TUR"/>
          <w:szCs w:val="22"/>
        </w:rPr>
      </w:pPr>
      <w:r>
        <w:rPr>
          <w:rFonts w:ascii="FrankRuehl" w:hAnsi="FrankRuehl"/>
          <w:sz w:val="28"/>
          <w:rtl/>
        </w:rPr>
        <w:tab/>
      </w:r>
      <w:r>
        <w:rPr>
          <w:rFonts w:ascii="FrankRuehl" w:hAnsi="FrankRuehl" w:hint="cs"/>
          <w:sz w:val="28"/>
          <w:rtl/>
        </w:rPr>
        <w:t xml:space="preserve">יתר על כן, </w:t>
      </w:r>
      <w:r>
        <w:rPr>
          <w:rFonts w:ascii="FrankRuehl" w:hAnsi="FrankRuehl"/>
          <w:sz w:val="28"/>
          <w:rtl/>
        </w:rPr>
        <w:t xml:space="preserve">קבלת הטענה </w:t>
      </w:r>
      <w:r>
        <w:rPr>
          <w:rFonts w:ascii="FrankRuehl" w:hAnsi="FrankRuehl" w:hint="cs"/>
          <w:sz w:val="28"/>
          <w:rtl/>
        </w:rPr>
        <w:t>בדבר התחולה המיידית,</w:t>
      </w:r>
      <w:r>
        <w:rPr>
          <w:rFonts w:ascii="FrankRuehl" w:hAnsi="FrankRuehl"/>
          <w:sz w:val="28"/>
          <w:rtl/>
        </w:rPr>
        <w:t xml:space="preserve"> גם מובילה ולמצער עלולה להביא לתוצאה שהינה</w:t>
      </w:r>
      <w:r>
        <w:rPr>
          <w:rFonts w:ascii="FrankRuehl" w:hAnsi="FrankRuehl" w:hint="cs"/>
          <w:sz w:val="28"/>
          <w:rtl/>
        </w:rPr>
        <w:t>, לדעתי,</w:t>
      </w:r>
      <w:r>
        <w:rPr>
          <w:rFonts w:ascii="FrankRuehl" w:hAnsi="FrankRuehl"/>
          <w:sz w:val="28"/>
          <w:rtl/>
        </w:rPr>
        <w:t xml:space="preserve"> בגדר אבסורד: נניח שייקבע כלל </w:t>
      </w:r>
      <w:r>
        <w:rPr>
          <w:rFonts w:ascii="FrankRuehl" w:hAnsi="FrankRuehl" w:hint="cs"/>
          <w:sz w:val="28"/>
          <w:rtl/>
        </w:rPr>
        <w:t xml:space="preserve">משפטי גורף </w:t>
      </w:r>
      <w:r>
        <w:rPr>
          <w:rFonts w:ascii="FrankRuehl" w:hAnsi="FrankRuehl"/>
          <w:sz w:val="28"/>
          <w:rtl/>
        </w:rPr>
        <w:t>בהתאם לטיעון האמור, ותיקון מסוג התיקון דנן יוכל להיכנס לתוקף רק עם תחילת כהונתה של הכנסת הבאה. כעת נניח שהכנסת הבאה מבקשת לשנות את התיקון (נניח לתיקון מתון ומאוזן יותר)</w:t>
      </w:r>
      <w:r>
        <w:rPr>
          <w:rFonts w:ascii="FrankRuehl" w:hAnsi="FrankRuehl" w:hint="cs"/>
          <w:sz w:val="28"/>
          <w:rtl/>
        </w:rPr>
        <w:t>.</w:t>
      </w:r>
      <w:r>
        <w:rPr>
          <w:rFonts w:ascii="FrankRuehl" w:hAnsi="FrankRuehl"/>
          <w:sz w:val="28"/>
          <w:rtl/>
        </w:rPr>
        <w:t xml:space="preserve"> גם אותו תיקון, לפי אותו הגיון, אמור להיכנס לתוקף רק בזמן כהונתה של הכנסת שלאחר מכן</w:t>
      </w:r>
      <w:r>
        <w:rPr>
          <w:rFonts w:ascii="FrankRuehl" w:hAnsi="FrankRuehl" w:hint="cs"/>
          <w:sz w:val="28"/>
          <w:rtl/>
        </w:rPr>
        <w:t xml:space="preserve"> ובינתיים יחול התיקון המתון והמאוזן פחות</w:t>
      </w:r>
      <w:r>
        <w:rPr>
          <w:rFonts w:ascii="FrankRuehl" w:hAnsi="FrankRuehl"/>
          <w:sz w:val="28"/>
          <w:rtl/>
        </w:rPr>
        <w:t xml:space="preserve">. והתוצאה: אף כנסת לא תזכה לכך שהמשפט הקיים, בתקופת כהונתה, יהיה לפי השקפתה. </w:t>
      </w:r>
    </w:p>
    <w:p w:rsidR="003D2318" w:rsidRDefault="003D2318" w:rsidP="003D2318">
      <w:pPr>
        <w:pStyle w:val="Ruller41"/>
        <w:spacing w:line="240" w:lineRule="auto"/>
        <w:rPr>
          <w:rFonts w:ascii="FrankRuehl" w:hAnsi="FrankRuehl"/>
          <w:sz w:val="28"/>
        </w:rPr>
      </w:pPr>
    </w:p>
    <w:p w:rsidR="003D2318" w:rsidRDefault="003D2318" w:rsidP="003D2318">
      <w:pPr>
        <w:pStyle w:val="Ruller4"/>
        <w:numPr>
          <w:ilvl w:val="0"/>
          <w:numId w:val="0"/>
        </w:numPr>
        <w:tabs>
          <w:tab w:val="left" w:pos="720"/>
        </w:tabs>
        <w:rPr>
          <w:rFonts w:ascii="FrankRuehl" w:hAnsi="FrankRuehl"/>
          <w:sz w:val="28"/>
        </w:rPr>
      </w:pPr>
      <w:r>
        <w:rPr>
          <w:rFonts w:ascii="FrankRuehl" w:hAnsi="FrankRuehl"/>
          <w:sz w:val="28"/>
          <w:rtl/>
        </w:rPr>
        <w:t xml:space="preserve">           בצד האמור לעיל מקובל עלי כי אכן יכול וקביעת תחולה מיידית לתיקון לחוק יסוד, </w:t>
      </w:r>
      <w:r w:rsidRPr="005A36A9">
        <w:rPr>
          <w:rFonts w:cs="Miriam"/>
          <w:b/>
          <w:spacing w:val="0"/>
          <w:sz w:val="22"/>
          <w:szCs w:val="24"/>
          <w:rtl/>
        </w:rPr>
        <w:t>בהתקיים נסיבות נוספות</w:t>
      </w:r>
      <w:r>
        <w:rPr>
          <w:rFonts w:ascii="FrankRuehl" w:hAnsi="FrankRuehl"/>
          <w:sz w:val="28"/>
          <w:rtl/>
        </w:rPr>
        <w:t>, תעיד על ממד פרסונאלי המצוי ביסוד התיקון. כך, לדוגמא, לו הייתה טענה שהושמעה בפנינו, לפיה ביסוד התיקון הרצון לפטר נושא תפקיד ציבורי מסוים, זוכה לביסוס של ממש, יכול והמסקנה לפיה התיקון הנחזה להיות עקרוני הינו בעצם תיקון בעל ממד פרסונאלי מהותי, היתה אחרת.</w:t>
      </w:r>
    </w:p>
    <w:p w:rsidR="003D2318" w:rsidRPr="005A36A9" w:rsidRDefault="003D2318" w:rsidP="003D2318">
      <w:pPr>
        <w:pStyle w:val="Ruller41"/>
        <w:spacing w:line="240" w:lineRule="auto"/>
        <w:rPr>
          <w:rtl/>
        </w:rPr>
      </w:pPr>
    </w:p>
    <w:p w:rsidR="003D2318" w:rsidRDefault="003D2318" w:rsidP="00B06786">
      <w:pPr>
        <w:pStyle w:val="Ruller4"/>
        <w:rPr>
          <w:rtl/>
        </w:rPr>
      </w:pPr>
      <w:r w:rsidRPr="00F96561">
        <w:rPr>
          <w:rFonts w:ascii="Century" w:hAnsi="Century" w:cs="Miriam" w:hint="cs"/>
          <w:b/>
          <w:spacing w:val="0"/>
          <w:sz w:val="22"/>
          <w:szCs w:val="24"/>
          <w:rtl/>
        </w:rPr>
        <w:t>מבחן ההתאמה למארג החוקתי</w:t>
      </w:r>
      <w:r w:rsidRPr="00366320">
        <w:rPr>
          <w:rFonts w:hint="cs"/>
          <w:rtl/>
        </w:rPr>
        <w:t xml:space="preserve"> </w:t>
      </w:r>
      <w:r>
        <w:rPr>
          <w:rtl/>
        </w:rPr>
        <w:t>–</w:t>
      </w:r>
      <w:r>
        <w:rPr>
          <w:rFonts w:hint="cs"/>
          <w:rtl/>
        </w:rPr>
        <w:t xml:space="preserve"> מבקש לבחון, בתמצית, האם הנורמה מסדירה עניין המתאים להיות מוסדר במסגרת חוק יסוד, תוך השוואה לחקיקת יסוד קיימת. לעניין זה נטען כי עילות הביקורת בהן עושה בית המשפט שימוש, לצורך הביקורת על הרשות המבצעת, אינן קבועות בחוק היסוד (ואף לא בחקיקה "רגילה"), ולכן הסדר לגבי עילת ביקורת ספציפית (עילת הסבירות) והשימוש בה בביקורת שיפוטית על הממשלה ושריה, אינו הסדר שמקומו בחוק יסוד.</w:t>
      </w:r>
    </w:p>
    <w:p w:rsidR="003D2318" w:rsidRPr="00366320"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הטענה האמורה הינה, לדעתי, טענה בעלת משקל רב מהטענות לגבי שני המבחנים הקודמים, אולם גם היא אינה מקובלת עליי: כפי שציינתי לעיל, מקומה הטבעי של הסדרת מערכת היחסים בין רשויות המדינה היא בחוק יסוד. כמו כן, סמכותו של בית המשפט הגבוה לצדק קבועה בסעיף 15 לחוק-יסוד: השפיטה. עניינו של התיקון הוא סיוגה של אותה סמכות. "מיקומו" של התיקון אינו אפוא תמוה על פניו. בנוסף, קיים מתח מסוים בין הטענה לפיה עניינו של התיקון הוא ספציפי מדי כדי להיכלל בתיקון </w:t>
      </w:r>
      <w:r>
        <w:rPr>
          <w:rFonts w:hint="cs"/>
          <w:rtl/>
        </w:rPr>
        <w:lastRenderedPageBreak/>
        <w:t>לחוק יסוד לבין הטענה שהינו בעל השלכות רוחב יוצאות דופן, כפי שנטען על ידי העותרים והיועצת המשפטית לממשלה.</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התוצאה לדעתי אינה משתנה אם מאמצים את מבחן "המובחנות", לפי גישתה של חברתי השופטת </w:t>
      </w:r>
      <w:r>
        <w:rPr>
          <w:rFonts w:ascii="Century" w:hAnsi="Century" w:cs="Miriam" w:hint="cs"/>
          <w:b/>
          <w:spacing w:val="0"/>
          <w:szCs w:val="24"/>
          <w:rtl/>
        </w:rPr>
        <w:t xml:space="preserve">ד' </w:t>
      </w:r>
      <w:r w:rsidRPr="00491453">
        <w:rPr>
          <w:rFonts w:ascii="Century" w:hAnsi="Century" w:cs="Miriam" w:hint="cs"/>
          <w:b/>
          <w:spacing w:val="0"/>
          <w:szCs w:val="24"/>
          <w:rtl/>
        </w:rPr>
        <w:t>ברק-ארז</w:t>
      </w:r>
      <w:r>
        <w:rPr>
          <w:rFonts w:hint="cs"/>
          <w:rtl/>
        </w:rPr>
        <w:t xml:space="preserve"> בעניין </w:t>
      </w:r>
      <w:r w:rsidRPr="00F96561">
        <w:rPr>
          <w:rFonts w:ascii="Century" w:hAnsi="Century" w:cs="Miriam" w:hint="cs"/>
          <w:b/>
          <w:spacing w:val="0"/>
          <w:szCs w:val="24"/>
          <w:rtl/>
        </w:rPr>
        <w:t>שפיר</w:t>
      </w:r>
      <w:r>
        <w:rPr>
          <w:rFonts w:hint="cs"/>
          <w:rtl/>
        </w:rPr>
        <w:t>: מאותם הטעמים שביסוד עמדתי באשר למבחן "ההתאמה למארג החוקתי", לא ניתן לדעתי לקבוע שהתיקון דנן מהווה פלישה מובהקת של הכנסת, במעמדה כרשות המכוננת, אל תחומה של הכנסת במעמדה כרשות המחוקקת.</w:t>
      </w:r>
    </w:p>
    <w:p w:rsidR="003D2318" w:rsidRDefault="003D2318" w:rsidP="003D2318">
      <w:pPr>
        <w:pStyle w:val="Ruller41"/>
        <w:spacing w:line="240" w:lineRule="auto"/>
        <w:rPr>
          <w:rtl/>
        </w:rPr>
      </w:pPr>
    </w:p>
    <w:p w:rsidR="003D2318" w:rsidRPr="0039326E" w:rsidRDefault="003D2318" w:rsidP="00B06786">
      <w:pPr>
        <w:pStyle w:val="Ruller4"/>
        <w:rPr>
          <w:rtl/>
        </w:rPr>
      </w:pPr>
      <w:r>
        <w:rPr>
          <w:rFonts w:hint="cs"/>
          <w:rtl/>
        </w:rPr>
        <w:t xml:space="preserve">כעולה מן המקובץ לעיל, להשקפתי אין מקום לקבוע כי הכנסת, בעת שכוננה </w:t>
      </w:r>
      <w:r w:rsidRPr="0039326E">
        <w:rPr>
          <w:rFonts w:hint="cs"/>
          <w:rtl/>
        </w:rPr>
        <w:t>את התיקון דנן, השתמשה לרעה בסמכותה כרשות מכוננת.</w:t>
      </w:r>
    </w:p>
    <w:p w:rsidR="003D2318" w:rsidRPr="0039326E" w:rsidRDefault="003D2318" w:rsidP="003D2318">
      <w:pPr>
        <w:pStyle w:val="Ruller41"/>
        <w:spacing w:line="240" w:lineRule="auto"/>
      </w:pPr>
    </w:p>
    <w:p w:rsidR="003D2318" w:rsidRDefault="003D2318" w:rsidP="00B06786">
      <w:pPr>
        <w:pStyle w:val="Ruller4"/>
        <w:rPr>
          <w:rtl/>
        </w:rPr>
      </w:pPr>
      <w:r w:rsidRPr="0039326E">
        <w:rPr>
          <w:rFonts w:hint="cs"/>
          <w:rtl/>
        </w:rPr>
        <w:t>טענה אחרת נוגעת לשימוש שנעשה, לצורך חקיקתו של התיקון, בסעיף 80 לתקנון הכנסת, ובאופציה של הנחת הצעת חוק מטעמה של ועדת חוק חוקה ומשפט של הכנסת (ולא כהצעת חוק מטעם הממשלה או כהצעת חוק פרטית).</w:t>
      </w:r>
      <w:r>
        <w:rPr>
          <w:rFonts w:hint="cs"/>
          <w:rtl/>
        </w:rPr>
        <w:t xml:space="preserve"> סעיף 80 לתקנון הכנסת קובע כי:</w:t>
      </w:r>
    </w:p>
    <w:p w:rsidR="003D2318" w:rsidRPr="002D4133" w:rsidRDefault="003D2318" w:rsidP="003D2318">
      <w:pPr>
        <w:pStyle w:val="Ruller41"/>
        <w:spacing w:line="240" w:lineRule="auto"/>
        <w:rPr>
          <w:rtl/>
        </w:rPr>
      </w:pPr>
    </w:p>
    <w:p w:rsidR="003D2318" w:rsidRPr="002D4133" w:rsidRDefault="003D2318" w:rsidP="003D2318">
      <w:pPr>
        <w:pStyle w:val="Ruller5"/>
      </w:pPr>
      <w:r>
        <w:rPr>
          <w:rFonts w:hint="cs"/>
          <w:rtl/>
        </w:rPr>
        <w:t>"</w:t>
      </w:r>
      <w:r w:rsidRPr="002D4133">
        <w:rPr>
          <w:rtl/>
        </w:rPr>
        <w:t>(א)  ועדת הכנסת, ועדת החוקה חוק ומשפט והוועדה לענייני ביקורת המדינה רשאיות ליזום, בתחומי ענייניהן לפי תקנון זה, הצעות חוק בנושאים א</w:t>
      </w:r>
      <w:r>
        <w:rPr>
          <w:rtl/>
        </w:rPr>
        <w:t>לה ולהכינן לקריאה הראשונה: חוקי</w:t>
      </w:r>
      <w:r>
        <w:rPr>
          <w:rFonts w:hint="cs"/>
          <w:rtl/>
        </w:rPr>
        <w:t>-</w:t>
      </w:r>
      <w:r w:rsidRPr="002D4133">
        <w:rPr>
          <w:rtl/>
        </w:rPr>
        <w:t xml:space="preserve">יסוד, </w:t>
      </w:r>
      <w:r>
        <w:rPr>
          <w:rtl/>
        </w:rPr>
        <w:t>עניינים שמתחייבים מתיקון של חוק</w:t>
      </w:r>
      <w:r>
        <w:rPr>
          <w:rFonts w:hint="cs"/>
          <w:rtl/>
        </w:rPr>
        <w:t>-</w:t>
      </w:r>
      <w:r w:rsidRPr="002D4133">
        <w:rPr>
          <w:rtl/>
        </w:rPr>
        <w:t>יסוד ומוצעים לצדו, הכנסת, חברי הכנסת, הבחירות לכנסת, מפלגות, מימון מפלגות ומבקר המדינה.</w:t>
      </w:r>
    </w:p>
    <w:p w:rsidR="003D2318" w:rsidRDefault="003D2318" w:rsidP="003D2318">
      <w:pPr>
        <w:pStyle w:val="Ruller5"/>
        <w:rPr>
          <w:rtl/>
        </w:rPr>
      </w:pPr>
      <w:r w:rsidRPr="002D4133">
        <w:rPr>
          <w:rtl/>
        </w:rPr>
        <w:t>(ב)  הכינה ועדה הצעת חוק לקריאה הראשונה, יורה מזכיר הכנסת על פרסומה ברשומות – הצעות חוק הכנסת, בצירוף דברי הסבר</w:t>
      </w:r>
      <w:r>
        <w:rPr>
          <w:rFonts w:hint="cs"/>
          <w:rtl/>
        </w:rPr>
        <w:t>"</w:t>
      </w:r>
      <w:r w:rsidRPr="002D4133">
        <w:rPr>
          <w:rtl/>
        </w:rPr>
        <w:t>.</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לגבי השימוש בסעיף 80 לתקנון הכנסת בנסיבות העניין דנן, נטענו שתי טענות מרכזיות: </w:t>
      </w:r>
      <w:r w:rsidRPr="002D4133">
        <w:rPr>
          <w:rFonts w:ascii="Century" w:hAnsi="Century" w:cs="Miriam" w:hint="cs"/>
          <w:b/>
          <w:spacing w:val="0"/>
          <w:szCs w:val="24"/>
          <w:rtl/>
        </w:rPr>
        <w:t>הראשונה</w:t>
      </w:r>
      <w:r>
        <w:rPr>
          <w:rFonts w:hint="cs"/>
          <w:rtl/>
        </w:rPr>
        <w:t xml:space="preserve">, </w:t>
      </w:r>
      <w:r w:rsidRPr="002D4133">
        <w:rPr>
          <w:rFonts w:hint="cs"/>
          <w:rtl/>
        </w:rPr>
        <w:t>כי לא הוועדה היא שיזמה את התיקון אלא חה"כ רוטמן, יו"ר הוועדה, וכי למעשה מדובר בהצעת חוק פרטית ש-"התחפשה" להצע</w:t>
      </w:r>
      <w:r>
        <w:rPr>
          <w:rFonts w:hint="cs"/>
          <w:rtl/>
        </w:rPr>
        <w:t xml:space="preserve">ת חוק מטעם הוועדה; </w:t>
      </w:r>
      <w:r w:rsidRPr="002D4133">
        <w:rPr>
          <w:rFonts w:ascii="Century" w:hAnsi="Century" w:cs="Miriam" w:hint="cs"/>
          <w:b/>
          <w:spacing w:val="0"/>
          <w:szCs w:val="24"/>
          <w:rtl/>
        </w:rPr>
        <w:t>השנייה</w:t>
      </w:r>
      <w:r>
        <w:rPr>
          <w:rFonts w:hint="cs"/>
          <w:rtl/>
        </w:rPr>
        <w:t xml:space="preserve">, </w:t>
      </w:r>
      <w:r w:rsidRPr="0039326E">
        <w:rPr>
          <w:rFonts w:hint="cs"/>
          <w:rtl/>
        </w:rPr>
        <w:t xml:space="preserve">כי האפשרות, הקבועה בסעיף 80 לתקנון הכנסת, לוועדת חוק חוקה ומשפט ליזום הצעות חוק, מוגבלת, כקבוע בתקנון, לנושאים ב-"תחומי ענייניהן" של הוועדות, ושימשה בפועל, ברוב המקרים, לעניינים שעוסקים בכנסת עצמה ובמיעוטם של מקרים בעניינים </w:t>
      </w:r>
      <w:r>
        <w:rPr>
          <w:rFonts w:hint="cs"/>
          <w:rtl/>
        </w:rPr>
        <w:t xml:space="preserve">החורגים מכך אולם </w:t>
      </w:r>
      <w:r w:rsidRPr="0039326E">
        <w:rPr>
          <w:rFonts w:hint="cs"/>
          <w:rtl/>
        </w:rPr>
        <w:t>אשר לגביהם היי</w:t>
      </w:r>
      <w:r>
        <w:rPr>
          <w:rFonts w:hint="cs"/>
          <w:rtl/>
        </w:rPr>
        <w:t>תה הסכמה רחבה.</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אשר ל</w:t>
      </w:r>
      <w:r w:rsidRPr="002D4133">
        <w:rPr>
          <w:rFonts w:ascii="Century" w:hAnsi="Century" w:cs="Miriam" w:hint="cs"/>
          <w:b/>
          <w:spacing w:val="0"/>
          <w:szCs w:val="24"/>
          <w:rtl/>
        </w:rPr>
        <w:t>טענה הראשונה</w:t>
      </w:r>
      <w:r>
        <w:rPr>
          <w:rFonts w:hint="cs"/>
          <w:rtl/>
        </w:rPr>
        <w:t xml:space="preserve">, כפי שצוין בתגובת הכנסת, סעיף 80 לתקנון הכנסת אינו כולל כל הוראה מפורשת המכתיבה כי לצורך ייזום הצעת חוק מטעם ועדה נדרשת עבודת הכנה מקדימה, והחלטה של הוועדה על הכנת הצעת החוק. אשר על כן, אינני סבור כי </w:t>
      </w:r>
      <w:r>
        <w:rPr>
          <w:rFonts w:hint="cs"/>
          <w:rtl/>
        </w:rPr>
        <w:lastRenderedPageBreak/>
        <w:t>בענייננו נפל פגם בכך שהצעת התיקון הועלתה לדיון בוועדה על ידי חה"כ רוטמן, יו"ר הוועדה, וממילא ממועד אישורה על ידי הוועדה סבורני כי לא ניתן להתייחס אליה כאל הצעת חוק פרטית ש-"התחפשה" להצעת חוק מטעם הוועדה.</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אשר </w:t>
      </w:r>
      <w:r w:rsidRPr="00F96FBF">
        <w:rPr>
          <w:rFonts w:ascii="Century" w:hAnsi="Century" w:hint="cs"/>
          <w:rtl/>
        </w:rPr>
        <w:t>ל</w:t>
      </w:r>
      <w:r w:rsidRPr="002D4133">
        <w:rPr>
          <w:rFonts w:ascii="Century" w:hAnsi="Century" w:cs="Miriam" w:hint="cs"/>
          <w:b/>
          <w:spacing w:val="0"/>
          <w:szCs w:val="24"/>
          <w:rtl/>
        </w:rPr>
        <w:t>טענה השנייה</w:t>
      </w:r>
      <w:r>
        <w:rPr>
          <w:rFonts w:hint="cs"/>
          <w:rtl/>
        </w:rPr>
        <w:t xml:space="preserve">, אין חולק כי אופן השימוש בפועל בסעיף 80 לתקנון הכנסת נושא משקל בפרשנותו (ראו בג"ץ 706/19 </w:t>
      </w:r>
      <w:r w:rsidRPr="002D4133">
        <w:rPr>
          <w:rFonts w:ascii="Century" w:hAnsi="Century" w:cs="Miriam" w:hint="cs"/>
          <w:b/>
          <w:spacing w:val="0"/>
          <w:szCs w:val="24"/>
          <w:rtl/>
        </w:rPr>
        <w:t>פריג' נ' יושב ראש הכנסת</w:t>
      </w:r>
      <w:r>
        <w:rPr>
          <w:rFonts w:hint="cs"/>
          <w:rtl/>
        </w:rPr>
        <w:t>, פסקה 19 לחוות דעתה של הנשיאה (28.3.2019); וראו פסקה 202 לחוות דעתה של הנשיאה דכאן). על כן, בשים לב לעולה מתיאור האופן בו יושם סעיף 80 לתקנון הכנסת במרוצת השנים כמתואר בחוות דעתה של הנשיאה (פסקה 200), דומה כי טענה זו איננה משוללת יסוד.</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מאידך גיסא, לשון סעיף 80 לתקנון הכנסת אינה מרמזת, בשום צורה, כי סמכות הכנסת ליזום הצעת חוק יסוד שאיננה נוגעת לענייני הכנסת, מוגבלת לעניינים שלגביהם שוררת הסכמה רחבה. לכן, אף אם פרשנות מעין זו עולה בקנה אחד עם נוהגיה של הכנסת, אין זו הפרשנות המתבקשת לסעיף זה. לפיכך, ובשים לב שחברי הוועדה הסתמכו על חוות דעתה של היועצת המשפטית של הכנסת מזמן אמת, לפיה </w:t>
      </w:r>
      <w:r w:rsidRPr="002D4133">
        <w:rPr>
          <w:rFonts w:hint="cs"/>
          <w:rtl/>
        </w:rPr>
        <w:t>אין פגם בקידום הצעת החוק של התיקון כהצעה מטעם הוועדה</w:t>
      </w:r>
      <w:r>
        <w:rPr>
          <w:rFonts w:hint="cs"/>
          <w:rtl/>
        </w:rPr>
        <w:t>, אינני סבור כי די בטעם זה כדי להצדיק את ביטול התיקון בנסיבות דנן.</w:t>
      </w:r>
    </w:p>
    <w:p w:rsidR="003D2318" w:rsidRPr="006D1A96" w:rsidRDefault="003D2318" w:rsidP="003D2318">
      <w:pPr>
        <w:pStyle w:val="Ruller41"/>
        <w:spacing w:line="240" w:lineRule="auto"/>
      </w:pPr>
    </w:p>
    <w:p w:rsidR="003D2318" w:rsidRDefault="003D2318" w:rsidP="00B06786">
      <w:pPr>
        <w:pStyle w:val="Ruller4"/>
        <w:rPr>
          <w:rtl/>
        </w:rPr>
      </w:pPr>
      <w:r w:rsidRPr="00F96561">
        <w:rPr>
          <w:rFonts w:ascii="Century" w:hAnsi="Century" w:cs="Miriam" w:hint="cs"/>
          <w:b/>
          <w:spacing w:val="0"/>
          <w:sz w:val="22"/>
          <w:szCs w:val="24"/>
          <w:rtl/>
        </w:rPr>
        <w:t>תקינות הדיונים</w:t>
      </w:r>
      <w:r w:rsidRPr="00366320">
        <w:rPr>
          <w:rFonts w:hint="cs"/>
          <w:rtl/>
        </w:rPr>
        <w:t xml:space="preserve"> </w:t>
      </w:r>
      <w:r>
        <w:rPr>
          <w:rtl/>
        </w:rPr>
        <w:t>–</w:t>
      </w:r>
      <w:r>
        <w:rPr>
          <w:rFonts w:hint="cs"/>
          <w:rtl/>
        </w:rPr>
        <w:t xml:space="preserve"> נטען כנגד תקינותם של הדיונים שהתקיימו במסגרת הליך חקיקתו של התיקון. בעניין זה הנני מבקש להצטרף לדעתה של הנשיאה (ואף של הכנסת עצמה, ראו פסקה 224 לתגובת הכנסת) שהדיונים לא התקיימו בדרך המיטבית, ומצטרף גם לדעתה של הנשיאה שלא הגיעו הדברים כדי הנסיבות הקיצוניות שבהתקיימותן ניתן לומר שמדובר בפגם היורד לשורשו של עניין (פסקה 195).</w:t>
      </w:r>
    </w:p>
    <w:p w:rsidR="003D2318" w:rsidRPr="00701A60" w:rsidRDefault="003D2318" w:rsidP="003D2318">
      <w:pPr>
        <w:pStyle w:val="Ruller41"/>
        <w:spacing w:line="240" w:lineRule="auto"/>
      </w:pPr>
    </w:p>
    <w:p w:rsidR="003D2318" w:rsidRDefault="003D2318" w:rsidP="003D2318">
      <w:pPr>
        <w:pStyle w:val="Ruller4"/>
        <w:numPr>
          <w:ilvl w:val="0"/>
          <w:numId w:val="0"/>
        </w:numPr>
        <w:rPr>
          <w:rFonts w:ascii="Century" w:hAnsi="Century" w:cs="Miriam"/>
          <w:b/>
          <w:spacing w:val="0"/>
          <w:sz w:val="22"/>
          <w:szCs w:val="24"/>
          <w:rtl/>
        </w:rPr>
      </w:pPr>
      <w:r w:rsidRPr="00F96561">
        <w:rPr>
          <w:rFonts w:ascii="Century" w:hAnsi="Century" w:cs="Miriam" w:hint="cs"/>
          <w:b/>
          <w:spacing w:val="0"/>
          <w:sz w:val="22"/>
          <w:szCs w:val="24"/>
          <w:rtl/>
        </w:rPr>
        <w:t>הערה לגבי "בשלות"</w:t>
      </w:r>
    </w:p>
    <w:p w:rsidR="003D2318" w:rsidRPr="002D4133" w:rsidRDefault="003D2318" w:rsidP="003D2318">
      <w:pPr>
        <w:pStyle w:val="Ruller41"/>
        <w:spacing w:line="240" w:lineRule="auto"/>
        <w:rPr>
          <w:rtl/>
        </w:rPr>
      </w:pPr>
    </w:p>
    <w:p w:rsidR="003D2318" w:rsidRDefault="003D2318" w:rsidP="00B06786">
      <w:pPr>
        <w:pStyle w:val="Ruller4"/>
        <w:rPr>
          <w:rtl/>
        </w:rPr>
      </w:pPr>
      <w:r>
        <w:rPr>
          <w:rFonts w:hint="cs"/>
          <w:rtl/>
        </w:rPr>
        <w:t>הכנסת ביקשה לשכנע כי יש לדחות את העתירות דנן הואיל והסוגיה המועלית בהן אינן "בשלות" להכרעה. זאת בעיקר משום שהשלכותיו של התיקון בו עסקינן בפועל תתבררנה רק בעתיד ולא קיימת, לעת הזאת, תשתית עובדתית לבחינת השאלה האם החששות שמעלים העותרים והיועצת המשפטית לממשלה אכן יתגשמו.</w:t>
      </w:r>
    </w:p>
    <w:p w:rsidR="003D2318" w:rsidRPr="004C4BD5"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חברי, השופט </w:t>
      </w:r>
      <w:r w:rsidRPr="00F96561">
        <w:rPr>
          <w:rFonts w:ascii="Century" w:hAnsi="Century" w:cs="Miriam" w:hint="cs"/>
          <w:b/>
          <w:spacing w:val="0"/>
          <w:szCs w:val="24"/>
          <w:rtl/>
        </w:rPr>
        <w:t>י' אלרון</w:t>
      </w:r>
      <w:r>
        <w:rPr>
          <w:rFonts w:hint="cs"/>
          <w:rtl/>
        </w:rPr>
        <w:t>, מצא לנכון לקבל את הטיעון האמור.</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לצערי, בנסיבות דנן לא ניתן לדעתי לקבל את הטענה: מדובר בתיקון ובעתירות שמיותר לפרט את חשיבותן הציבורית, ולא ניתן להותיר את שאלת תוקפו של התיקון למועד בלתי מוגדר בעתיד. גם העובדה שעסקינן בהוראה הנוגעת לסמכותו של בית </w:t>
      </w:r>
      <w:r>
        <w:rPr>
          <w:rFonts w:hint="cs"/>
          <w:rtl/>
        </w:rPr>
        <w:lastRenderedPageBreak/>
        <w:t xml:space="preserve">משפט, מקשה על דחיית ההכרעה באשר לתוקפה למועד בלתי ידוע בעתיד. בנסיבות אלו, אל מול העובדה שהכרעתנו תינתן קודם שניתן יהיה לבחון את השלכותיו של התיקון בפועל, עומד אינטרס ציבורי מובהק במתן הכרעה </w:t>
      </w:r>
      <w:r w:rsidRPr="00121946">
        <w:rPr>
          <w:rFonts w:hint="cs"/>
          <w:rtl/>
        </w:rPr>
        <w:t xml:space="preserve">(על קיומו של אינטרס ציבורי במתן ההכרעה, ראה פסק הדין בבג"ץ 2311/11 </w:t>
      </w:r>
      <w:r w:rsidRPr="00121946">
        <w:rPr>
          <w:rFonts w:ascii="Century" w:hAnsi="Century" w:cs="Miriam" w:hint="cs"/>
          <w:b/>
          <w:spacing w:val="0"/>
          <w:szCs w:val="24"/>
          <w:rtl/>
        </w:rPr>
        <w:t>סבח נ' הכנסת</w:t>
      </w:r>
      <w:r w:rsidRPr="00121946">
        <w:rPr>
          <w:rFonts w:ascii="Century" w:hAnsi="Century" w:hint="cs"/>
          <w:rtl/>
        </w:rPr>
        <w:t>, פסק</w:t>
      </w:r>
      <w:r>
        <w:rPr>
          <w:rFonts w:ascii="Century" w:hAnsi="Century" w:hint="cs"/>
          <w:rtl/>
        </w:rPr>
        <w:t>אות</w:t>
      </w:r>
      <w:r w:rsidRPr="00121946">
        <w:rPr>
          <w:rFonts w:ascii="Century" w:hAnsi="Century" w:hint="cs"/>
          <w:rtl/>
        </w:rPr>
        <w:t xml:space="preserve"> 16 </w:t>
      </w:r>
      <w:r>
        <w:rPr>
          <w:rFonts w:ascii="Century" w:hAnsi="Century" w:hint="cs"/>
          <w:rtl/>
        </w:rPr>
        <w:t xml:space="preserve">ו-27 </w:t>
      </w:r>
      <w:r w:rsidRPr="00121946">
        <w:rPr>
          <w:rFonts w:ascii="Century" w:hAnsi="Century" w:hint="cs"/>
          <w:rtl/>
        </w:rPr>
        <w:t>לפסק דינו של הנשיא</w:t>
      </w:r>
      <w:r>
        <w:rPr>
          <w:rFonts w:ascii="Century" w:hAnsi="Century" w:cs="Miriam" w:hint="cs"/>
          <w:b/>
          <w:spacing w:val="0"/>
          <w:szCs w:val="24"/>
          <w:rtl/>
        </w:rPr>
        <w:t xml:space="preserve"> א' גרוניס</w:t>
      </w:r>
      <w:r w:rsidRPr="00121946">
        <w:rPr>
          <w:rFonts w:ascii="Century" w:hAnsi="Century" w:cs="Miriam" w:hint="cs"/>
          <w:b/>
          <w:spacing w:val="0"/>
          <w:szCs w:val="24"/>
          <w:rtl/>
        </w:rPr>
        <w:t xml:space="preserve"> </w:t>
      </w:r>
      <w:r w:rsidRPr="00121946">
        <w:rPr>
          <w:rFonts w:ascii="Century" w:hAnsi="Century" w:hint="cs"/>
          <w:rtl/>
        </w:rPr>
        <w:t xml:space="preserve">(17.9.2014); בג"ץ 5744/16 </w:t>
      </w:r>
      <w:r w:rsidRPr="00121946">
        <w:rPr>
          <w:rFonts w:ascii="Century" w:hAnsi="Century" w:cs="Miriam" w:hint="cs"/>
          <w:b/>
          <w:spacing w:val="0"/>
          <w:szCs w:val="24"/>
          <w:rtl/>
        </w:rPr>
        <w:t>בן מאיר נ' הכנסת</w:t>
      </w:r>
      <w:r w:rsidRPr="00121946">
        <w:rPr>
          <w:rFonts w:ascii="Century" w:hAnsi="Century" w:hint="cs"/>
          <w:rtl/>
        </w:rPr>
        <w:t>, פסקה 8 לפסק דינה של הנשיאה (27.5.2018))</w:t>
      </w:r>
      <w:r>
        <w:rPr>
          <w:rFonts w:hint="cs"/>
          <w:rtl/>
        </w:rPr>
        <w:t>. אוסיף ואציין כי ייתכן בהחלט שתהיה, בעתיד, מחלוקת חריפה לגבי המסקנות שיש להסיק מהשלכות כאלו ואחרות של התיקון: כך, לדוגמא, נניח כי יהיו מקרים רבים שבו תדחנה עתירות מהטעם שלמעשה מהותה של העתירה הינה בתקיפת סבירותה של החלטה של הממשלה או שר משריה, ועילה שכזו אינה קיימת עוד, ואף שיהיו מקרים רבים בהם ניתן יהיה להצביע על חוסר נחת של בית המשפט מתוצאה זו. סביר להניח שיוזמיו של התיקון יראו בכך תוצאה מבורכת וראויה ואילו העותרים יראו בכך התממשות חששותיהם</w:t>
      </w:r>
      <w:r w:rsidRPr="00121946">
        <w:rPr>
          <w:rFonts w:ascii="Century" w:hAnsi="Century" w:hint="cs"/>
          <w:rtl/>
        </w:rPr>
        <w:t>.</w:t>
      </w:r>
      <w:r>
        <w:rPr>
          <w:rFonts w:ascii="Century" w:hAnsi="Century" w:hint="cs"/>
          <w:rtl/>
        </w:rPr>
        <w:t xml:space="preserve"> גם משום כך איני רואה מקום לקבלת הטענה בדבר "בשלות" העתירה.</w:t>
      </w:r>
    </w:p>
    <w:p w:rsidR="003D2318" w:rsidRDefault="003D2318" w:rsidP="003D2318">
      <w:pPr>
        <w:pStyle w:val="Ruller41"/>
        <w:spacing w:line="240" w:lineRule="auto"/>
        <w:rPr>
          <w:rtl/>
        </w:rPr>
      </w:pPr>
    </w:p>
    <w:p w:rsidR="003D2318" w:rsidRDefault="003D2318" w:rsidP="003D2318">
      <w:pPr>
        <w:pStyle w:val="Ruller4"/>
        <w:numPr>
          <w:ilvl w:val="0"/>
          <w:numId w:val="0"/>
        </w:numPr>
        <w:rPr>
          <w:rFonts w:ascii="Century" w:hAnsi="Century" w:cs="Miriam"/>
          <w:b/>
          <w:spacing w:val="0"/>
          <w:sz w:val="22"/>
          <w:szCs w:val="24"/>
          <w:rtl/>
        </w:rPr>
      </w:pPr>
      <w:r w:rsidRPr="00121946">
        <w:rPr>
          <w:rFonts w:ascii="Century" w:hAnsi="Century" w:cs="Miriam" w:hint="cs"/>
          <w:b/>
          <w:spacing w:val="0"/>
          <w:sz w:val="22"/>
          <w:szCs w:val="24"/>
          <w:rtl/>
        </w:rPr>
        <w:t>סיכום וסוף דבר</w:t>
      </w:r>
    </w:p>
    <w:p w:rsidR="003D2318" w:rsidRPr="00121946" w:rsidRDefault="003D2318" w:rsidP="003D2318">
      <w:pPr>
        <w:pStyle w:val="Ruller41"/>
        <w:spacing w:line="240" w:lineRule="auto"/>
        <w:rPr>
          <w:rtl/>
        </w:rPr>
      </w:pPr>
    </w:p>
    <w:p w:rsidR="003D2318" w:rsidRDefault="003D2318" w:rsidP="00A63A37">
      <w:pPr>
        <w:pStyle w:val="Ruller4"/>
        <w:rPr>
          <w:rtl/>
        </w:rPr>
      </w:pPr>
      <w:r>
        <w:rPr>
          <w:rFonts w:hint="cs"/>
          <w:rtl/>
        </w:rPr>
        <w:t>סיכום עמדתי, כמפורט לעיל, הינו כדלקמן:</w:t>
      </w:r>
    </w:p>
    <w:p w:rsidR="003D2318" w:rsidRPr="00121946" w:rsidRDefault="003D2318" w:rsidP="003D2318">
      <w:pPr>
        <w:pStyle w:val="Ruller41"/>
        <w:spacing w:line="240" w:lineRule="auto"/>
        <w:rPr>
          <w:rtl/>
        </w:rPr>
      </w:pPr>
    </w:p>
    <w:p w:rsidR="003D2318" w:rsidRDefault="003D2318" w:rsidP="003D2318">
      <w:pPr>
        <w:pStyle w:val="Ruller41"/>
        <w:ind w:left="720"/>
        <w:rPr>
          <w:rtl/>
        </w:rPr>
      </w:pPr>
      <w:r>
        <w:rPr>
          <w:rFonts w:hint="cs"/>
          <w:rtl/>
        </w:rPr>
        <w:t>(-)</w:t>
      </w:r>
      <w:r>
        <w:rPr>
          <w:rtl/>
        </w:rPr>
        <w:tab/>
      </w:r>
      <w:r>
        <w:rPr>
          <w:rFonts w:hint="cs"/>
          <w:rtl/>
        </w:rPr>
        <w:t xml:space="preserve">מקובלת גם עליי עמדתה של הנשיאה, כפי שנקבע בעניין </w:t>
      </w:r>
      <w:r w:rsidRPr="00121946">
        <w:rPr>
          <w:rFonts w:ascii="Century" w:hAnsi="Century" w:cs="Miriam" w:hint="cs"/>
          <w:b/>
          <w:spacing w:val="0"/>
          <w:szCs w:val="24"/>
          <w:rtl/>
        </w:rPr>
        <w:t>חסון</w:t>
      </w:r>
      <w:r>
        <w:rPr>
          <w:rFonts w:hint="cs"/>
          <w:rtl/>
        </w:rPr>
        <w:t xml:space="preserve"> וגם בחוות דעתה דכאן, לפיה סמכותה של הכנסת, כרשות מכוננת, לעניין כינון חוקי יסוד ותיקונם, מוגבלת בכך שהינה כפופה להגדרתה של מדינת ישראל כמדינה יהודית ודמוקרטית. </w:t>
      </w:r>
    </w:p>
    <w:p w:rsidR="003D2318" w:rsidRDefault="003D2318" w:rsidP="003D2318">
      <w:pPr>
        <w:pStyle w:val="Ruller41"/>
        <w:spacing w:line="240" w:lineRule="auto"/>
        <w:ind w:left="720"/>
      </w:pPr>
    </w:p>
    <w:p w:rsidR="003D2318" w:rsidRDefault="003D2318" w:rsidP="003D2318">
      <w:pPr>
        <w:pStyle w:val="Ruller41"/>
        <w:ind w:left="720"/>
        <w:rPr>
          <w:rtl/>
        </w:rPr>
      </w:pPr>
      <w:r>
        <w:rPr>
          <w:rFonts w:hint="cs"/>
          <w:rtl/>
        </w:rPr>
        <w:t>(-)</w:t>
      </w:r>
      <w:r>
        <w:rPr>
          <w:rtl/>
        </w:rPr>
        <w:tab/>
      </w:r>
      <w:r>
        <w:rPr>
          <w:rFonts w:hint="cs"/>
          <w:rtl/>
        </w:rPr>
        <w:t xml:space="preserve">לדעתי, לבית משפט זה, בשבתו כבית המשפט הגבוה לצדק, מוקנית, מכוח סעיפים 15(ג) ו-15(ד)(2) לחוק-יסוד: השפיטה, הסמכות לקבוע, בנסיבות המתאימות, כי הכנסת, בעת שכוננה או תיקנה חוק יסוד, חרגה מסמכותה המכוננת, ולהורות על בטלותו של התיקון. </w:t>
      </w:r>
    </w:p>
    <w:p w:rsidR="003D2318" w:rsidRDefault="003D2318" w:rsidP="003D2318">
      <w:pPr>
        <w:pStyle w:val="Ruller41"/>
        <w:spacing w:line="240" w:lineRule="auto"/>
        <w:ind w:left="720"/>
      </w:pPr>
    </w:p>
    <w:p w:rsidR="003D2318" w:rsidRDefault="003D2318" w:rsidP="003D2318">
      <w:pPr>
        <w:pStyle w:val="Ruller41"/>
        <w:ind w:left="720"/>
        <w:rPr>
          <w:rtl/>
        </w:rPr>
      </w:pPr>
      <w:r>
        <w:rPr>
          <w:rFonts w:hint="cs"/>
          <w:rtl/>
        </w:rPr>
        <w:t>(-)</w:t>
      </w:r>
      <w:r>
        <w:rPr>
          <w:rtl/>
        </w:rPr>
        <w:tab/>
      </w:r>
      <w:r>
        <w:rPr>
          <w:rFonts w:hint="cs"/>
          <w:rtl/>
        </w:rPr>
        <w:t xml:space="preserve">מאמץ אני את דעתה של הנשיאה ושופטים נוספים שפסקו בעניין </w:t>
      </w:r>
      <w:r w:rsidRPr="00121946">
        <w:rPr>
          <w:rFonts w:ascii="Century" w:hAnsi="Century" w:cs="Miriam" w:hint="cs"/>
          <w:b/>
          <w:spacing w:val="0"/>
          <w:szCs w:val="24"/>
          <w:rtl/>
        </w:rPr>
        <w:t>חסון</w:t>
      </w:r>
      <w:r>
        <w:rPr>
          <w:rFonts w:hint="cs"/>
          <w:rtl/>
        </w:rPr>
        <w:t xml:space="preserve">, כי המבחן לעניין חריגתה של הכנסת מגדר סמכותה כאמור לעיל הינו צר ודווקני. בהתאם למבחן זה, </w:t>
      </w:r>
      <w:r w:rsidRPr="006B289E">
        <w:rPr>
          <w:rFonts w:hint="cs"/>
          <w:rtl/>
        </w:rPr>
        <w:t>כדי</w:t>
      </w:r>
      <w:r>
        <w:rPr>
          <w:rFonts w:hint="cs"/>
          <w:rtl/>
        </w:rPr>
        <w:t xml:space="preserve"> שייקבע שכינון או תיקון חוק יסוד נעשה בחריגה מסמכות, על האמור בו לשלול את ליבת הזהות היהודית או הדמוקרטית של המדינה, בכך שהינו פוגע פגיעה אנושה </w:t>
      </w:r>
      <w:r w:rsidRPr="00A84062">
        <w:rPr>
          <w:rFonts w:hint="cs"/>
          <w:sz w:val="28"/>
          <w:rtl/>
        </w:rPr>
        <w:t xml:space="preserve">במאפייני הזהות הגרעיניים </w:t>
      </w:r>
      <w:r>
        <w:rPr>
          <w:rFonts w:hint="cs"/>
          <w:sz w:val="28"/>
          <w:rtl/>
        </w:rPr>
        <w:t>ה</w:t>
      </w:r>
      <w:r w:rsidRPr="00A84062">
        <w:rPr>
          <w:rFonts w:hint="cs"/>
          <w:sz w:val="28"/>
          <w:rtl/>
        </w:rPr>
        <w:t>מינימאליים של מדינת ישראל כמדינה יהודית או כמדינה דמוקרטית</w:t>
      </w:r>
      <w:r>
        <w:rPr>
          <w:rFonts w:hint="cs"/>
          <w:sz w:val="28"/>
          <w:rtl/>
        </w:rPr>
        <w:t>.</w:t>
      </w:r>
    </w:p>
    <w:p w:rsidR="003D2318" w:rsidRDefault="003D2318" w:rsidP="003D2318">
      <w:pPr>
        <w:pStyle w:val="Ruller41"/>
        <w:ind w:left="720"/>
        <w:rPr>
          <w:rtl/>
        </w:rPr>
      </w:pPr>
      <w:r>
        <w:rPr>
          <w:rtl/>
        </w:rPr>
        <w:lastRenderedPageBreak/>
        <w:br/>
      </w:r>
      <w:r>
        <w:rPr>
          <w:rFonts w:hint="cs"/>
          <w:rtl/>
        </w:rPr>
        <w:t>(-)</w:t>
      </w:r>
      <w:r>
        <w:rPr>
          <w:rtl/>
        </w:rPr>
        <w:tab/>
      </w:r>
      <w:r>
        <w:rPr>
          <w:rFonts w:hint="cs"/>
          <w:rtl/>
        </w:rPr>
        <w:t xml:space="preserve">מאמץ אני גם את הקביעה לפיה עקרונות הליבה של הדמוקרטיה, לעניין האמור, הינם: </w:t>
      </w:r>
      <w:r w:rsidRPr="00287B2E">
        <w:rPr>
          <w:rFonts w:hint="cs"/>
          <w:sz w:val="28"/>
          <w:rtl/>
        </w:rPr>
        <w:t>בחירות חופשיות ושוות; הכרה בגרעין של זכויות אדם; קיום הפרדת רשויות; שלטון החוק; ורשות שופטת עצמאית</w:t>
      </w:r>
      <w:r>
        <w:rPr>
          <w:rFonts w:hint="cs"/>
          <w:sz w:val="28"/>
          <w:rtl/>
        </w:rPr>
        <w:t>.</w:t>
      </w:r>
      <w:r>
        <w:rPr>
          <w:rFonts w:hint="cs"/>
          <w:rtl/>
        </w:rPr>
        <w:t xml:space="preserve"> </w:t>
      </w:r>
    </w:p>
    <w:p w:rsidR="003D2318" w:rsidRDefault="003D2318" w:rsidP="003D2318">
      <w:pPr>
        <w:pStyle w:val="Ruller41"/>
        <w:spacing w:line="240" w:lineRule="auto"/>
        <w:ind w:left="720"/>
      </w:pPr>
    </w:p>
    <w:p w:rsidR="003D2318" w:rsidRDefault="003D2318" w:rsidP="003D2318">
      <w:pPr>
        <w:pStyle w:val="Ruller41"/>
        <w:ind w:left="720"/>
        <w:rPr>
          <w:rtl/>
        </w:rPr>
      </w:pPr>
      <w:r>
        <w:rPr>
          <w:rFonts w:hint="cs"/>
          <w:rtl/>
        </w:rPr>
        <w:t>(-)</w:t>
      </w:r>
      <w:r>
        <w:rPr>
          <w:rFonts w:hint="cs"/>
          <w:rtl/>
        </w:rPr>
        <w:tab/>
        <w:t>התיקון דנן יש בו, וזו גם כוונת המכונן, כדי להחליש את הביקורת השיפוטית על הממשלה ושריה. בכך יש, לדעתי, משום פגיעה בעקרון הפרדת הרשויות ופגיעה בעקרון שלטון החוק.</w:t>
      </w:r>
    </w:p>
    <w:p w:rsidR="003D2318" w:rsidRDefault="003D2318" w:rsidP="003D2318">
      <w:pPr>
        <w:pStyle w:val="Ruller41"/>
        <w:spacing w:line="240" w:lineRule="auto"/>
        <w:ind w:left="720"/>
      </w:pPr>
    </w:p>
    <w:p w:rsidR="003D2318" w:rsidRDefault="003D2318" w:rsidP="003D2318">
      <w:pPr>
        <w:pStyle w:val="Ruller41"/>
        <w:ind w:left="720"/>
        <w:rPr>
          <w:rtl/>
        </w:rPr>
      </w:pPr>
      <w:r>
        <w:rPr>
          <w:rFonts w:hint="cs"/>
          <w:rtl/>
        </w:rPr>
        <w:t>(-)</w:t>
      </w:r>
      <w:r>
        <w:rPr>
          <w:rtl/>
        </w:rPr>
        <w:tab/>
      </w:r>
      <w:r>
        <w:rPr>
          <w:rFonts w:hint="cs"/>
          <w:rtl/>
        </w:rPr>
        <w:t xml:space="preserve">הסטת נקודת האיזון בין הרשות השופטת לרשות המבצעת, על דרך הצרת הביקורת השיפוטית על הרשות המבצעת, </w:t>
      </w:r>
      <w:r w:rsidRPr="00121946">
        <w:rPr>
          <w:rFonts w:ascii="Century" w:hAnsi="Century" w:cs="Miriam" w:hint="cs"/>
          <w:b/>
          <w:spacing w:val="0"/>
          <w:szCs w:val="24"/>
          <w:rtl/>
        </w:rPr>
        <w:t>כפי שנעשתה בתיקון דנן</w:t>
      </w:r>
      <w:r>
        <w:rPr>
          <w:rFonts w:hint="cs"/>
          <w:rtl/>
        </w:rPr>
        <w:t>, אינה מגיעה כדי שלילת ליבת הזהות הדמוקרטית של המדינה או לפגיעה אנושה בגרעינים המינימאליים של מדינת ישראל כמדינה דמוקרטית. במצב המשפטי שאחרי התיקון, הביקורת השיפוטית על הרשות המבצעת אמנם תיחלש במידה מסוימת ובהקשר מסוים, אולם לא תגיע למצב בו ניתן יהיה לתארה כבלתי אפקטיבית.</w:t>
      </w:r>
    </w:p>
    <w:p w:rsidR="003D2318" w:rsidRDefault="003D2318" w:rsidP="003D2318">
      <w:pPr>
        <w:pStyle w:val="Ruller41"/>
        <w:spacing w:line="240" w:lineRule="auto"/>
        <w:ind w:left="720"/>
      </w:pPr>
    </w:p>
    <w:p w:rsidR="003D2318" w:rsidRDefault="003D2318" w:rsidP="003D2318">
      <w:pPr>
        <w:pStyle w:val="Ruller41"/>
        <w:ind w:left="720"/>
        <w:rPr>
          <w:rtl/>
        </w:rPr>
      </w:pPr>
      <w:r>
        <w:rPr>
          <w:rFonts w:hint="cs"/>
          <w:rtl/>
        </w:rPr>
        <w:t>(-)</w:t>
      </w:r>
      <w:r>
        <w:rPr>
          <w:rtl/>
        </w:rPr>
        <w:tab/>
      </w:r>
      <w:r>
        <w:rPr>
          <w:rFonts w:hint="cs"/>
          <w:rtl/>
        </w:rPr>
        <w:t>אינני סבור כי יש מקום לבחון את התיקון לאור כלל מרכיביה של "הרפורמה המשפטית", שטרם חוקקו. יחד עם זאת, אם התיקון יישאר בתוקפו, חקיקה עתידית תבחן לאור המצב המשפטי שיהיה קיים במועד חקיקתה, הכולל גם את התיקון והשלכותיו, ויכול שבשל ההשלכות המצרפיות של התיקון דנן ואותה חקיקה עתידית, יהיה מקום לקבוע את בטלותה.</w:t>
      </w:r>
    </w:p>
    <w:p w:rsidR="003D2318" w:rsidRDefault="003D2318" w:rsidP="003D2318">
      <w:pPr>
        <w:pStyle w:val="Ruller41"/>
        <w:spacing w:line="240" w:lineRule="auto"/>
        <w:ind w:left="720"/>
      </w:pPr>
    </w:p>
    <w:p w:rsidR="003D2318" w:rsidRDefault="003D2318" w:rsidP="003D2318">
      <w:pPr>
        <w:pStyle w:val="Ruller41"/>
        <w:ind w:left="720"/>
        <w:rPr>
          <w:rtl/>
        </w:rPr>
      </w:pPr>
      <w:r>
        <w:rPr>
          <w:rFonts w:hint="cs"/>
          <w:rtl/>
        </w:rPr>
        <w:t>(-)</w:t>
      </w:r>
      <w:r>
        <w:rPr>
          <w:rtl/>
        </w:rPr>
        <w:tab/>
      </w:r>
      <w:r>
        <w:rPr>
          <w:rFonts w:hint="cs"/>
          <w:rtl/>
        </w:rPr>
        <w:t>אינני סבור שיש בסיס, בנסיבות דנן, לטענה כי בכך שהנורמה בה עסקינן כוננה בדרך של תיקון חוק יסוד דווקא יש משום שימוש לרעה בסמכות המכוננת של הכנסת.</w:t>
      </w:r>
    </w:p>
    <w:p w:rsidR="003D2318" w:rsidRDefault="003D2318" w:rsidP="003D2318">
      <w:pPr>
        <w:pStyle w:val="Ruller41"/>
        <w:spacing w:line="240" w:lineRule="auto"/>
        <w:ind w:left="720"/>
      </w:pPr>
    </w:p>
    <w:p w:rsidR="003D2318" w:rsidRDefault="003D2318" w:rsidP="003D2318">
      <w:pPr>
        <w:pStyle w:val="Ruller41"/>
        <w:ind w:left="720"/>
        <w:rPr>
          <w:rtl/>
        </w:rPr>
      </w:pPr>
      <w:r>
        <w:rPr>
          <w:rFonts w:hint="cs"/>
          <w:rtl/>
        </w:rPr>
        <w:t>(-)</w:t>
      </w:r>
      <w:r>
        <w:rPr>
          <w:rtl/>
        </w:rPr>
        <w:tab/>
      </w:r>
      <w:r>
        <w:rPr>
          <w:rFonts w:hint="cs"/>
          <w:rtl/>
        </w:rPr>
        <w:t>הטענות לעניין תקינות הליך תיקון חוק היסוד דנן, אינן מצדיקות, לדעתי, את ביטולו.</w:t>
      </w:r>
    </w:p>
    <w:p w:rsidR="003D2318" w:rsidRPr="00715C0D" w:rsidRDefault="003D2318" w:rsidP="003D2318">
      <w:pPr>
        <w:pStyle w:val="Ruller41"/>
        <w:spacing w:line="240" w:lineRule="auto"/>
        <w:ind w:left="720"/>
      </w:pPr>
    </w:p>
    <w:p w:rsidR="003D2318" w:rsidRDefault="003D2318" w:rsidP="003D2318">
      <w:pPr>
        <w:pStyle w:val="Ruller4"/>
        <w:numPr>
          <w:ilvl w:val="0"/>
          <w:numId w:val="0"/>
        </w:numPr>
        <w:rPr>
          <w:rtl/>
        </w:rPr>
      </w:pPr>
      <w:r>
        <w:rPr>
          <w:rtl/>
        </w:rPr>
        <w:tab/>
      </w:r>
      <w:r>
        <w:rPr>
          <w:rFonts w:hint="cs"/>
          <w:rtl/>
        </w:rPr>
        <w:t>התוצאה היא שדין העתירות, לדעתי, להידחות וכך הנני מציע לחברותיי וחבריי שייעשה.</w:t>
      </w:r>
    </w:p>
    <w:p w:rsidR="003D2318" w:rsidRPr="00F96561" w:rsidRDefault="003D2318" w:rsidP="003D2318">
      <w:pPr>
        <w:pStyle w:val="Ruller41"/>
        <w:spacing w:line="240" w:lineRule="auto"/>
        <w:rPr>
          <w:rtl/>
        </w:rPr>
      </w:pPr>
    </w:p>
    <w:p w:rsidR="003D2318" w:rsidRDefault="003D2318" w:rsidP="00A63A37">
      <w:pPr>
        <w:pStyle w:val="Ruller4"/>
        <w:rPr>
          <w:rtl/>
        </w:rPr>
      </w:pPr>
      <w:r>
        <w:rPr>
          <w:rFonts w:hint="cs"/>
          <w:rtl/>
        </w:rPr>
        <w:t xml:space="preserve">וממש לפני סיום אבקש להבהיר: כפי שהדגשתי בגוף חוות דעתי לעיל, הגעתי למסקנה כי דין העתירות להידחות לא משום שהנני מקל ראש בהשפעותיו השליליות האפשריות של התיקון לחוק-יסוד: השפיטה, כפי שפורטו על ידי היועצת המשפטית </w:t>
      </w:r>
      <w:r>
        <w:rPr>
          <w:rFonts w:hint="cs"/>
          <w:rtl/>
        </w:rPr>
        <w:lastRenderedPageBreak/>
        <w:t>לממשלה וכן על ידי העותרים. אין מדובר לדעתי בחששות בעלמא או בעניינים נעדרי חשיבות ואין עסקינן ב-"מכה קלה בכנף". לא על עניין של מה בכך נאבקו מי שנאבקו והתנגדו מי שהתנגדו לתיקון זה.</w:t>
      </w:r>
    </w:p>
    <w:p w:rsidR="003D2318" w:rsidRPr="00F96561"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ברם, השאלה שעליי להכריע בה אינה עד כמה התיקון נושא העתירות דנן הינו לרוחי והאם, להשקפתי, מוטב היה שלא היה נחקק כלל. מלאכת חקיקת חוקי היסוד והתיקונים להם מצויה בסמכותה של הכנסת ולא של בית משפט זה. </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השאלה שעליי להכריע בה היא האם התיקון נושא העתירות דנן מגיע עד כדי הנסיבות הקיצוניות </w:t>
      </w:r>
      <w:r>
        <w:rPr>
          <w:rtl/>
        </w:rPr>
        <w:t>–</w:t>
      </w:r>
      <w:r>
        <w:rPr>
          <w:rFonts w:hint="cs"/>
          <w:rtl/>
        </w:rPr>
        <w:t xml:space="preserve"> פגיעה אנושה </w:t>
      </w:r>
      <w:r w:rsidRPr="00A84062">
        <w:rPr>
          <w:rFonts w:hint="cs"/>
          <w:sz w:val="28"/>
          <w:rtl/>
        </w:rPr>
        <w:t xml:space="preserve">במאפייני הזהות הגרעיניים </w:t>
      </w:r>
      <w:r>
        <w:rPr>
          <w:rFonts w:hint="cs"/>
          <w:sz w:val="28"/>
          <w:rtl/>
        </w:rPr>
        <w:t>ה</w:t>
      </w:r>
      <w:r w:rsidRPr="00A84062">
        <w:rPr>
          <w:rFonts w:hint="cs"/>
          <w:sz w:val="28"/>
          <w:rtl/>
        </w:rPr>
        <w:t xml:space="preserve">מינימאליים של מדינת ישראל כמדינה </w:t>
      </w:r>
      <w:r>
        <w:rPr>
          <w:rFonts w:hint="cs"/>
          <w:sz w:val="28"/>
          <w:rtl/>
        </w:rPr>
        <w:t>יהודית ו</w:t>
      </w:r>
      <w:r w:rsidRPr="00A84062">
        <w:rPr>
          <w:rFonts w:hint="cs"/>
          <w:sz w:val="28"/>
          <w:rtl/>
        </w:rPr>
        <w:t>כמדינה דמוקרטית</w:t>
      </w:r>
      <w:r>
        <w:rPr>
          <w:rFonts w:hint="cs"/>
          <w:rtl/>
        </w:rPr>
        <w:t xml:space="preserve"> </w:t>
      </w:r>
      <w:r>
        <w:rPr>
          <w:rtl/>
        </w:rPr>
        <w:t>–</w:t>
      </w:r>
      <w:r>
        <w:rPr>
          <w:rFonts w:hint="cs"/>
          <w:rtl/>
        </w:rPr>
        <w:t xml:space="preserve"> שרק בהתרחשותן, יעשה בית משפט זה שימוש בסמכות המאוד מרחיקת לכת (סמכות שלהשקפתי מוקנית לו), להורות על ביטול תיקון לחוק יסוד.</w:t>
      </w:r>
    </w:p>
    <w:p w:rsidR="003D2318" w:rsidRDefault="003D2318" w:rsidP="003D2318">
      <w:pPr>
        <w:pStyle w:val="Ruller41"/>
        <w:spacing w:line="240" w:lineRule="auto"/>
        <w:rPr>
          <w:rtl/>
        </w:rPr>
      </w:pPr>
    </w:p>
    <w:p w:rsidR="003D2318" w:rsidRPr="00DA7AE7" w:rsidRDefault="003D2318" w:rsidP="003D2318">
      <w:pPr>
        <w:pStyle w:val="Ruller41"/>
      </w:pPr>
      <w:r>
        <w:rPr>
          <w:rtl/>
        </w:rPr>
        <w:tab/>
      </w:r>
      <w:r>
        <w:rPr>
          <w:rFonts w:hint="cs"/>
          <w:rtl/>
        </w:rPr>
        <w:t>על כך, לדעתי, יש להשיב בשלילה ומכאן התוצאה אליה הגעתי לעיל.</w:t>
      </w:r>
    </w:p>
    <w:p w:rsidR="003D2318" w:rsidRDefault="003D2318" w:rsidP="009B0AFF">
      <w:pPr>
        <w:pStyle w:val="Ruller41"/>
        <w:rPr>
          <w:rtl/>
        </w:rPr>
      </w:pPr>
    </w:p>
    <w:p w:rsidR="00A63A37" w:rsidRDefault="00A63A37" w:rsidP="009B0AFF">
      <w:pPr>
        <w:pStyle w:val="Ruller41"/>
        <w:rPr>
          <w:rtl/>
        </w:rPr>
      </w:pPr>
    </w:p>
    <w:tbl>
      <w:tblPr>
        <w:bidiVisual/>
        <w:tblW w:w="8363" w:type="dxa"/>
        <w:tblLook w:val="01E0" w:firstRow="1" w:lastRow="1" w:firstColumn="1" w:lastColumn="1" w:noHBand="0" w:noVBand="0"/>
      </w:tblPr>
      <w:tblGrid>
        <w:gridCol w:w="2786"/>
        <w:gridCol w:w="2787"/>
        <w:gridCol w:w="2790"/>
      </w:tblGrid>
      <w:tr w:rsidR="00EC32E0" w:rsidTr="00DD4ADA">
        <w:tc>
          <w:tcPr>
            <w:tcW w:w="2842" w:type="dxa"/>
            <w:shd w:val="clear" w:color="auto" w:fill="auto"/>
          </w:tcPr>
          <w:p w:rsidR="00EC32E0" w:rsidRDefault="00EC32E0" w:rsidP="00DD4ADA">
            <w:pPr>
              <w:pStyle w:val="Ruller41"/>
              <w:rPr>
                <w:rtl/>
              </w:rPr>
            </w:pPr>
          </w:p>
        </w:tc>
        <w:tc>
          <w:tcPr>
            <w:tcW w:w="2843" w:type="dxa"/>
            <w:shd w:val="clear" w:color="auto" w:fill="auto"/>
          </w:tcPr>
          <w:p w:rsidR="00EC32E0" w:rsidRDefault="00EC32E0" w:rsidP="00DD4ADA">
            <w:pPr>
              <w:pStyle w:val="Ruller41"/>
              <w:jc w:val="center"/>
              <w:rPr>
                <w:rtl/>
              </w:rPr>
            </w:pPr>
          </w:p>
        </w:tc>
        <w:tc>
          <w:tcPr>
            <w:tcW w:w="2843" w:type="dxa"/>
            <w:shd w:val="clear" w:color="auto" w:fill="auto"/>
          </w:tcPr>
          <w:p w:rsidR="00EC32E0" w:rsidRDefault="00EC32E0" w:rsidP="00DD4ADA">
            <w:pPr>
              <w:pStyle w:val="Ruller41"/>
              <w:jc w:val="center"/>
              <w:rPr>
                <w:rtl/>
              </w:rPr>
            </w:pPr>
            <w:r>
              <w:rPr>
                <w:rtl/>
              </w:rPr>
              <w:t>ש ו פ ט</w:t>
            </w:r>
          </w:p>
        </w:tc>
      </w:tr>
    </w:tbl>
    <w:p w:rsidR="00FF17DB" w:rsidRDefault="00FF17DB" w:rsidP="00FF17DB">
      <w:pPr>
        <w:pStyle w:val="BODYVERDICT"/>
      </w:pPr>
    </w:p>
    <w:p w:rsidR="00FF17DB" w:rsidRPr="000075A3" w:rsidRDefault="00FF17DB" w:rsidP="00FF17DB">
      <w:pPr>
        <w:pStyle w:val="BODYVERDICT"/>
        <w:outlineLvl w:val="0"/>
        <w:rPr>
          <w:rFonts w:cs="Miriam"/>
          <w:sz w:val="24"/>
          <w:szCs w:val="24"/>
          <w:rtl/>
        </w:rPr>
      </w:pPr>
      <w:r w:rsidRPr="00462789">
        <w:rPr>
          <w:rFonts w:cs="Miriam" w:hint="cs"/>
          <w:sz w:val="24"/>
          <w:szCs w:val="24"/>
          <w:u w:val="single"/>
          <w:rtl/>
        </w:rPr>
        <w:t>ממלא מקום הנשיא ע' פוגלמן</w:t>
      </w:r>
      <w:r w:rsidRPr="000075A3">
        <w:rPr>
          <w:rFonts w:cs="Miriam"/>
          <w:sz w:val="24"/>
          <w:szCs w:val="24"/>
          <w:rtl/>
        </w:rPr>
        <w:t>:</w:t>
      </w:r>
    </w:p>
    <w:p w:rsidR="00CB3B01" w:rsidRPr="00BF4BBF" w:rsidRDefault="00CB3B01" w:rsidP="009B0AFF">
      <w:pPr>
        <w:pStyle w:val="Ruller41"/>
        <w:spacing w:line="276" w:lineRule="auto"/>
        <w:jc w:val="left"/>
        <w:rPr>
          <w:rFonts w:ascii="Century" w:hAnsi="Century"/>
          <w:rtl/>
        </w:rPr>
      </w:pPr>
    </w:p>
    <w:p w:rsidR="00CB3B01" w:rsidRPr="006D5DD9" w:rsidRDefault="00CB3B01" w:rsidP="00CB3B01">
      <w:pPr>
        <w:pStyle w:val="Ruller41"/>
        <w:rPr>
          <w:rFonts w:ascii="Century" w:hAnsi="Century"/>
          <w:rtl/>
        </w:rPr>
      </w:pPr>
      <w:r w:rsidRPr="006D5DD9">
        <w:rPr>
          <w:rFonts w:ascii="Century" w:hAnsi="Century"/>
          <w:rtl/>
        </w:rPr>
        <w:tab/>
      </w:r>
      <w:r w:rsidRPr="006D5DD9">
        <w:rPr>
          <w:rFonts w:ascii="Century" w:hAnsi="Century" w:hint="cs"/>
          <w:rtl/>
        </w:rPr>
        <w:t xml:space="preserve">עניינן של העתירות שלפנינו בתיקון מס' 3 לחוק-יסוד: השפיטה (להלן גם: </w:t>
      </w:r>
      <w:r w:rsidRPr="006D5DD9">
        <w:rPr>
          <w:rFonts w:ascii="Century" w:hAnsi="Century" w:cs="Miriam" w:hint="cs"/>
          <w:b/>
          <w:spacing w:val="0"/>
          <w:szCs w:val="24"/>
          <w:rtl/>
        </w:rPr>
        <w:t xml:space="preserve">תיקון מס' 3 </w:t>
      </w:r>
      <w:r w:rsidRPr="006D5DD9">
        <w:rPr>
          <w:rFonts w:ascii="Century" w:hAnsi="Century" w:hint="cs"/>
          <w:rtl/>
        </w:rPr>
        <w:t xml:space="preserve">או </w:t>
      </w:r>
      <w:r w:rsidRPr="006D5DD9">
        <w:rPr>
          <w:rFonts w:ascii="Century" w:hAnsi="Century" w:cs="Miriam" w:hint="cs"/>
          <w:b/>
          <w:spacing w:val="0"/>
          <w:szCs w:val="24"/>
          <w:rtl/>
        </w:rPr>
        <w:t>התיקון</w:t>
      </w:r>
      <w:r w:rsidRPr="006D5DD9">
        <w:rPr>
          <w:rFonts w:ascii="Century" w:hAnsi="Century" w:hint="cs"/>
          <w:rtl/>
        </w:rPr>
        <w:t>), שזו לשונו:</w:t>
      </w:r>
    </w:p>
    <w:p w:rsidR="00CB3B01" w:rsidRPr="006D5DD9" w:rsidRDefault="00CB3B01" w:rsidP="00CB3B01">
      <w:pPr>
        <w:pStyle w:val="Ruller41"/>
        <w:rPr>
          <w:rFonts w:ascii="Century" w:hAnsi="Century"/>
          <w:rtl/>
        </w:rPr>
      </w:pPr>
    </w:p>
    <w:tbl>
      <w:tblPr>
        <w:bidiVisual/>
        <w:tblW w:w="0" w:type="auto"/>
        <w:jc w:val="center"/>
        <w:tblLook w:val="01E0" w:firstRow="1" w:lastRow="1" w:firstColumn="1" w:lastColumn="1" w:noHBand="0" w:noVBand="0"/>
      </w:tblPr>
      <w:tblGrid>
        <w:gridCol w:w="1276"/>
        <w:gridCol w:w="4253"/>
      </w:tblGrid>
      <w:tr w:rsidR="00CB3B01" w:rsidRPr="006D5DD9" w:rsidTr="0004575A">
        <w:trPr>
          <w:jc w:val="center"/>
        </w:trPr>
        <w:tc>
          <w:tcPr>
            <w:tcW w:w="1276" w:type="dxa"/>
          </w:tcPr>
          <w:p w:rsidR="00CB3B01" w:rsidRPr="006D5DD9" w:rsidRDefault="00CB3B01" w:rsidP="0004575A">
            <w:pPr>
              <w:spacing w:before="80" w:after="120" w:line="160" w:lineRule="exact"/>
              <w:rPr>
                <w:rFonts w:cs="Miriam"/>
                <w:sz w:val="10"/>
                <w:szCs w:val="6"/>
                <w:rtl/>
              </w:rPr>
            </w:pPr>
            <w:r w:rsidRPr="006D5DD9">
              <w:rPr>
                <w:rFonts w:cs="Miriam" w:hint="cs"/>
                <w:sz w:val="24"/>
                <w:szCs w:val="20"/>
                <w:rtl/>
              </w:rPr>
              <w:t>בית המשפט העליון</w:t>
            </w:r>
            <w:r w:rsidRPr="006D5DD9">
              <w:rPr>
                <w:rFonts w:cs="Miriam"/>
                <w:sz w:val="24"/>
                <w:szCs w:val="20"/>
                <w:rtl/>
              </w:rPr>
              <w:br/>
            </w:r>
          </w:p>
          <w:p w:rsidR="00CB3B01" w:rsidRPr="006D5DD9" w:rsidRDefault="00CB3B01" w:rsidP="0004575A">
            <w:pPr>
              <w:spacing w:before="80" w:after="120" w:line="160" w:lineRule="exact"/>
              <w:rPr>
                <w:rFonts w:cs="Miriam"/>
                <w:sz w:val="24"/>
                <w:szCs w:val="20"/>
              </w:rPr>
            </w:pPr>
            <w:r w:rsidRPr="006D5DD9">
              <w:rPr>
                <w:rFonts w:cs="Miriam" w:hint="cs"/>
                <w:sz w:val="24"/>
                <w:szCs w:val="20"/>
                <w:rtl/>
              </w:rPr>
              <w:t>(תיקון מס' 3) תשפ"ג-2023</w:t>
            </w:r>
          </w:p>
        </w:tc>
        <w:tc>
          <w:tcPr>
            <w:tcW w:w="4253" w:type="dxa"/>
          </w:tcPr>
          <w:p w:rsidR="00CB3B01" w:rsidRPr="006D5DD9" w:rsidRDefault="00CB3B01" w:rsidP="0004575A">
            <w:pPr>
              <w:pStyle w:val="Ruller41"/>
              <w:spacing w:line="240" w:lineRule="auto"/>
              <w:rPr>
                <w:rFonts w:ascii="Century" w:hAnsi="Century"/>
                <w:rtl/>
              </w:rPr>
            </w:pPr>
            <w:r w:rsidRPr="006D5DD9">
              <w:rPr>
                <w:rFonts w:ascii="Century" w:hAnsi="Century" w:hint="cs"/>
                <w:rtl/>
              </w:rPr>
              <w:t>15. [...]</w:t>
            </w:r>
          </w:p>
          <w:p w:rsidR="00CB3B01" w:rsidRPr="006D5DD9" w:rsidRDefault="00CB3B01" w:rsidP="0004575A">
            <w:pPr>
              <w:pStyle w:val="Ruller41"/>
              <w:spacing w:line="240" w:lineRule="auto"/>
              <w:rPr>
                <w:rFonts w:ascii="Century" w:hAnsi="Century"/>
                <w:rtl/>
              </w:rPr>
            </w:pPr>
          </w:p>
          <w:p w:rsidR="00CB3B01" w:rsidRPr="006D5DD9" w:rsidRDefault="00CB3B01" w:rsidP="0004575A">
            <w:pPr>
              <w:pStyle w:val="Ruller41"/>
              <w:spacing w:line="240" w:lineRule="auto"/>
              <w:rPr>
                <w:rFonts w:ascii="Century" w:hAnsi="Century"/>
              </w:rPr>
            </w:pPr>
            <w:r w:rsidRPr="006D5DD9">
              <w:rPr>
                <w:rFonts w:ascii="Century" w:hAnsi="Century" w:hint="cs"/>
                <w:rtl/>
              </w:rPr>
              <w:t>(ד1) ע</w:t>
            </w:r>
            <w:r w:rsidRPr="006D5DD9">
              <w:rPr>
                <w:rFonts w:ascii="Century" w:hAnsi="Century" w:hint="eastAsia"/>
                <w:rtl/>
              </w:rPr>
              <w:t>ל</w:t>
            </w:r>
            <w:r w:rsidRPr="006D5DD9">
              <w:rPr>
                <w:rFonts w:ascii="Century" w:hAnsi="Century"/>
                <w:rtl/>
              </w:rPr>
              <w:t xml:space="preserve"> </w:t>
            </w:r>
            <w:r w:rsidRPr="006D5DD9">
              <w:rPr>
                <w:rFonts w:ascii="Century" w:hAnsi="Century" w:hint="eastAsia"/>
                <w:rtl/>
              </w:rPr>
              <w:t>אף</w:t>
            </w:r>
            <w:r w:rsidRPr="006D5DD9">
              <w:rPr>
                <w:rFonts w:ascii="Century" w:hAnsi="Century"/>
                <w:rtl/>
              </w:rPr>
              <w:t xml:space="preserve"> </w:t>
            </w:r>
            <w:r w:rsidRPr="006D5DD9">
              <w:rPr>
                <w:rFonts w:ascii="Century" w:hAnsi="Century" w:hint="eastAsia"/>
                <w:rtl/>
              </w:rPr>
              <w:t>האמור</w:t>
            </w:r>
            <w:r w:rsidRPr="006D5DD9">
              <w:rPr>
                <w:rFonts w:ascii="Century" w:hAnsi="Century"/>
                <w:rtl/>
              </w:rPr>
              <w:t xml:space="preserve"> </w:t>
            </w:r>
            <w:r w:rsidRPr="006D5DD9">
              <w:rPr>
                <w:rFonts w:ascii="Century" w:hAnsi="Century" w:hint="eastAsia"/>
                <w:rtl/>
              </w:rPr>
              <w:t>בחוק</w:t>
            </w:r>
            <w:r w:rsidRPr="006D5DD9">
              <w:rPr>
                <w:rFonts w:ascii="Century" w:hAnsi="Century"/>
                <w:rtl/>
              </w:rPr>
              <w:t>-</w:t>
            </w:r>
            <w:r w:rsidRPr="006D5DD9">
              <w:rPr>
                <w:rFonts w:ascii="Century" w:hAnsi="Century" w:hint="eastAsia"/>
                <w:rtl/>
              </w:rPr>
              <w:t>יסוד</w:t>
            </w:r>
            <w:r w:rsidRPr="006D5DD9">
              <w:rPr>
                <w:rFonts w:ascii="Century" w:hAnsi="Century"/>
                <w:rtl/>
              </w:rPr>
              <w:t xml:space="preserve"> </w:t>
            </w:r>
            <w:r w:rsidRPr="006D5DD9">
              <w:rPr>
                <w:rFonts w:ascii="Century" w:hAnsi="Century" w:hint="eastAsia"/>
                <w:rtl/>
              </w:rPr>
              <w:t>זה</w:t>
            </w:r>
            <w:r w:rsidRPr="006D5DD9">
              <w:rPr>
                <w:rFonts w:ascii="Century" w:hAnsi="Century"/>
                <w:rtl/>
              </w:rPr>
              <w:t xml:space="preserve">, </w:t>
            </w:r>
            <w:r w:rsidRPr="006D5DD9">
              <w:rPr>
                <w:rFonts w:ascii="Century" w:hAnsi="Century" w:hint="eastAsia"/>
                <w:rtl/>
              </w:rPr>
              <w:t>מי</w:t>
            </w:r>
            <w:r w:rsidRPr="006D5DD9">
              <w:rPr>
                <w:rFonts w:ascii="Century" w:hAnsi="Century"/>
                <w:rtl/>
              </w:rPr>
              <w:t xml:space="preserve"> </w:t>
            </w:r>
            <w:r w:rsidRPr="006D5DD9">
              <w:rPr>
                <w:rFonts w:ascii="Century" w:hAnsi="Century" w:hint="eastAsia"/>
                <w:rtl/>
              </w:rPr>
              <w:t>שבידו</w:t>
            </w:r>
            <w:r w:rsidRPr="006D5DD9">
              <w:rPr>
                <w:rFonts w:ascii="Century" w:hAnsi="Century"/>
                <w:rtl/>
              </w:rPr>
              <w:t xml:space="preserve"> </w:t>
            </w:r>
            <w:r w:rsidRPr="006D5DD9">
              <w:rPr>
                <w:rFonts w:ascii="Century" w:hAnsi="Century" w:hint="eastAsia"/>
                <w:rtl/>
              </w:rPr>
              <w:t>סמכות</w:t>
            </w:r>
            <w:r w:rsidRPr="006D5DD9">
              <w:rPr>
                <w:rFonts w:ascii="Century" w:hAnsi="Century"/>
                <w:rtl/>
              </w:rPr>
              <w:t xml:space="preserve"> </w:t>
            </w:r>
            <w:r w:rsidRPr="006D5DD9">
              <w:rPr>
                <w:rFonts w:ascii="Century" w:hAnsi="Century" w:hint="eastAsia"/>
                <w:rtl/>
              </w:rPr>
              <w:t>שפיטה</w:t>
            </w:r>
            <w:r w:rsidRPr="006D5DD9">
              <w:rPr>
                <w:rFonts w:ascii="Century" w:hAnsi="Century"/>
                <w:rtl/>
              </w:rPr>
              <w:t xml:space="preserve"> </w:t>
            </w:r>
            <w:r w:rsidRPr="006D5DD9">
              <w:rPr>
                <w:rFonts w:ascii="Century" w:hAnsi="Century" w:hint="eastAsia"/>
                <w:rtl/>
              </w:rPr>
              <w:t>על</w:t>
            </w:r>
            <w:r w:rsidRPr="006D5DD9">
              <w:rPr>
                <w:rFonts w:ascii="Century" w:hAnsi="Century"/>
                <w:rtl/>
              </w:rPr>
              <w:t xml:space="preserve"> </w:t>
            </w:r>
            <w:r w:rsidRPr="006D5DD9">
              <w:rPr>
                <w:rFonts w:ascii="Century" w:hAnsi="Century" w:hint="eastAsia"/>
                <w:rtl/>
              </w:rPr>
              <w:t>פי</w:t>
            </w:r>
            <w:r w:rsidRPr="006D5DD9">
              <w:rPr>
                <w:rFonts w:ascii="Century" w:hAnsi="Century"/>
                <w:rtl/>
              </w:rPr>
              <w:t xml:space="preserve"> </w:t>
            </w:r>
            <w:r w:rsidRPr="006D5DD9">
              <w:rPr>
                <w:rFonts w:ascii="Century" w:hAnsi="Century" w:hint="eastAsia"/>
                <w:rtl/>
              </w:rPr>
              <w:t>דין</w:t>
            </w:r>
            <w:r w:rsidRPr="006D5DD9">
              <w:rPr>
                <w:rFonts w:ascii="Century" w:hAnsi="Century"/>
                <w:rtl/>
              </w:rPr>
              <w:t xml:space="preserve">, </w:t>
            </w:r>
            <w:r w:rsidRPr="006D5DD9">
              <w:rPr>
                <w:rFonts w:ascii="Century" w:hAnsi="Century" w:hint="eastAsia"/>
                <w:rtl/>
              </w:rPr>
              <w:t>לרבות</w:t>
            </w:r>
            <w:r w:rsidRPr="006D5DD9">
              <w:rPr>
                <w:rFonts w:ascii="Century" w:hAnsi="Century"/>
                <w:rtl/>
              </w:rPr>
              <w:t xml:space="preserve"> </w:t>
            </w:r>
            <w:r w:rsidRPr="006D5DD9">
              <w:rPr>
                <w:rFonts w:ascii="Century" w:hAnsi="Century" w:hint="eastAsia"/>
                <w:rtl/>
              </w:rPr>
              <w:t>בית</w:t>
            </w:r>
            <w:r w:rsidRPr="006D5DD9">
              <w:rPr>
                <w:rFonts w:ascii="Century" w:hAnsi="Century"/>
                <w:rtl/>
              </w:rPr>
              <w:t xml:space="preserve"> </w:t>
            </w:r>
            <w:r w:rsidRPr="006D5DD9">
              <w:rPr>
                <w:rFonts w:ascii="Century" w:hAnsi="Century" w:hint="eastAsia"/>
                <w:rtl/>
              </w:rPr>
              <w:t>המשפט</w:t>
            </w:r>
            <w:r w:rsidRPr="006D5DD9">
              <w:rPr>
                <w:rFonts w:ascii="Century" w:hAnsi="Century"/>
                <w:rtl/>
              </w:rPr>
              <w:t xml:space="preserve"> </w:t>
            </w:r>
            <w:r w:rsidRPr="006D5DD9">
              <w:rPr>
                <w:rFonts w:ascii="Century" w:hAnsi="Century" w:hint="eastAsia"/>
                <w:rtl/>
              </w:rPr>
              <w:t>העליון</w:t>
            </w:r>
            <w:r w:rsidRPr="006D5DD9">
              <w:rPr>
                <w:rFonts w:ascii="Century" w:hAnsi="Century"/>
                <w:rtl/>
              </w:rPr>
              <w:t xml:space="preserve"> </w:t>
            </w:r>
            <w:r w:rsidRPr="006D5DD9">
              <w:rPr>
                <w:rFonts w:ascii="Century" w:hAnsi="Century" w:hint="eastAsia"/>
                <w:rtl/>
              </w:rPr>
              <w:t>בשבתו</w:t>
            </w:r>
            <w:r w:rsidRPr="006D5DD9">
              <w:rPr>
                <w:rFonts w:ascii="Century" w:hAnsi="Century"/>
                <w:rtl/>
              </w:rPr>
              <w:t xml:space="preserve"> </w:t>
            </w:r>
            <w:r w:rsidRPr="006D5DD9">
              <w:rPr>
                <w:rFonts w:ascii="Century" w:hAnsi="Century" w:hint="eastAsia"/>
                <w:rtl/>
              </w:rPr>
              <w:t>כבית</w:t>
            </w:r>
            <w:r w:rsidRPr="006D5DD9">
              <w:rPr>
                <w:rFonts w:ascii="Century" w:hAnsi="Century"/>
                <w:rtl/>
              </w:rPr>
              <w:t xml:space="preserve"> </w:t>
            </w:r>
            <w:r w:rsidRPr="006D5DD9">
              <w:rPr>
                <w:rFonts w:ascii="Century" w:hAnsi="Century" w:hint="eastAsia"/>
                <w:rtl/>
              </w:rPr>
              <w:t>משפט</w:t>
            </w:r>
            <w:r w:rsidRPr="006D5DD9">
              <w:rPr>
                <w:rFonts w:ascii="Century" w:hAnsi="Century"/>
                <w:rtl/>
              </w:rPr>
              <w:t xml:space="preserve"> </w:t>
            </w:r>
            <w:r w:rsidRPr="006D5DD9">
              <w:rPr>
                <w:rFonts w:ascii="Century" w:hAnsi="Century" w:hint="eastAsia"/>
                <w:rtl/>
              </w:rPr>
              <w:t>גבוה</w:t>
            </w:r>
            <w:r w:rsidRPr="006D5DD9">
              <w:rPr>
                <w:rFonts w:ascii="Century" w:hAnsi="Century"/>
                <w:rtl/>
              </w:rPr>
              <w:t xml:space="preserve"> </w:t>
            </w:r>
            <w:r w:rsidRPr="006D5DD9">
              <w:rPr>
                <w:rFonts w:ascii="Century" w:hAnsi="Century" w:hint="eastAsia"/>
                <w:rtl/>
              </w:rPr>
              <w:t>לצדק</w:t>
            </w:r>
            <w:r w:rsidRPr="006D5DD9">
              <w:rPr>
                <w:rFonts w:ascii="Century" w:hAnsi="Century"/>
                <w:rtl/>
              </w:rPr>
              <w:t xml:space="preserve">, </w:t>
            </w:r>
            <w:r w:rsidRPr="006D5DD9">
              <w:rPr>
                <w:rFonts w:ascii="Century" w:hAnsi="Century" w:hint="eastAsia"/>
                <w:rtl/>
              </w:rPr>
              <w:t>לא</w:t>
            </w:r>
            <w:r w:rsidRPr="006D5DD9">
              <w:rPr>
                <w:rFonts w:ascii="Century" w:hAnsi="Century"/>
                <w:rtl/>
              </w:rPr>
              <w:t xml:space="preserve"> </w:t>
            </w:r>
            <w:r w:rsidRPr="006D5DD9">
              <w:rPr>
                <w:rFonts w:ascii="Century" w:hAnsi="Century" w:hint="eastAsia"/>
                <w:rtl/>
              </w:rPr>
              <w:t>ידון</w:t>
            </w:r>
            <w:r w:rsidRPr="006D5DD9">
              <w:rPr>
                <w:rFonts w:ascii="Century" w:hAnsi="Century"/>
                <w:rtl/>
              </w:rPr>
              <w:t xml:space="preserve"> </w:t>
            </w:r>
            <w:r w:rsidRPr="006D5DD9">
              <w:rPr>
                <w:rFonts w:ascii="Century" w:hAnsi="Century" w:hint="eastAsia"/>
                <w:rtl/>
              </w:rPr>
              <w:t>בעניין</w:t>
            </w:r>
            <w:r w:rsidRPr="006D5DD9">
              <w:rPr>
                <w:rFonts w:ascii="Century" w:hAnsi="Century"/>
                <w:rtl/>
              </w:rPr>
              <w:t xml:space="preserve"> </w:t>
            </w:r>
            <w:r w:rsidRPr="006D5DD9">
              <w:rPr>
                <w:rFonts w:ascii="Century" w:hAnsi="Century" w:hint="eastAsia"/>
                <w:rtl/>
              </w:rPr>
              <w:t>סבירות</w:t>
            </w:r>
            <w:r w:rsidRPr="006D5DD9">
              <w:rPr>
                <w:rFonts w:ascii="Century" w:hAnsi="Century"/>
                <w:rtl/>
              </w:rPr>
              <w:t xml:space="preserve"> </w:t>
            </w:r>
            <w:r w:rsidRPr="006D5DD9">
              <w:rPr>
                <w:rFonts w:ascii="Century" w:hAnsi="Century" w:hint="eastAsia"/>
                <w:rtl/>
              </w:rPr>
              <w:t>ההחלטה</w:t>
            </w:r>
            <w:r w:rsidRPr="006D5DD9">
              <w:rPr>
                <w:rFonts w:ascii="Century" w:hAnsi="Century"/>
                <w:rtl/>
              </w:rPr>
              <w:t xml:space="preserve"> </w:t>
            </w:r>
            <w:r w:rsidRPr="006D5DD9">
              <w:rPr>
                <w:rFonts w:ascii="Century" w:hAnsi="Century" w:hint="eastAsia"/>
                <w:rtl/>
              </w:rPr>
              <w:t>של</w:t>
            </w:r>
            <w:r w:rsidRPr="006D5DD9">
              <w:rPr>
                <w:rFonts w:ascii="Century" w:hAnsi="Century"/>
                <w:rtl/>
              </w:rPr>
              <w:t xml:space="preserve"> </w:t>
            </w:r>
            <w:r w:rsidRPr="006D5DD9">
              <w:rPr>
                <w:rFonts w:ascii="Century" w:hAnsi="Century" w:hint="eastAsia"/>
                <w:rtl/>
              </w:rPr>
              <w:t>הממשלה</w:t>
            </w:r>
            <w:r w:rsidRPr="006D5DD9">
              <w:rPr>
                <w:rFonts w:ascii="Century" w:hAnsi="Century"/>
                <w:rtl/>
              </w:rPr>
              <w:t xml:space="preserve">, </w:t>
            </w:r>
            <w:r w:rsidRPr="006D5DD9">
              <w:rPr>
                <w:rFonts w:ascii="Century" w:hAnsi="Century" w:hint="eastAsia"/>
                <w:rtl/>
              </w:rPr>
              <w:t>של</w:t>
            </w:r>
            <w:r w:rsidRPr="006D5DD9">
              <w:rPr>
                <w:rFonts w:ascii="Century" w:hAnsi="Century"/>
                <w:rtl/>
              </w:rPr>
              <w:t xml:space="preserve"> </w:t>
            </w:r>
            <w:r w:rsidRPr="006D5DD9">
              <w:rPr>
                <w:rFonts w:ascii="Century" w:hAnsi="Century" w:hint="eastAsia"/>
                <w:rtl/>
              </w:rPr>
              <w:t>ראש</w:t>
            </w:r>
            <w:r w:rsidRPr="006D5DD9">
              <w:rPr>
                <w:rFonts w:ascii="Century" w:hAnsi="Century"/>
                <w:rtl/>
              </w:rPr>
              <w:t xml:space="preserve"> </w:t>
            </w:r>
            <w:r w:rsidRPr="006D5DD9">
              <w:rPr>
                <w:rFonts w:ascii="Century" w:hAnsi="Century" w:hint="eastAsia"/>
                <w:rtl/>
              </w:rPr>
              <w:t>הממשלה</w:t>
            </w:r>
            <w:r w:rsidRPr="006D5DD9">
              <w:rPr>
                <w:rFonts w:ascii="Century" w:hAnsi="Century"/>
                <w:rtl/>
              </w:rPr>
              <w:t xml:space="preserve"> </w:t>
            </w:r>
            <w:r w:rsidRPr="006D5DD9">
              <w:rPr>
                <w:rFonts w:ascii="Century" w:hAnsi="Century" w:hint="eastAsia"/>
                <w:rtl/>
              </w:rPr>
              <w:t>או</w:t>
            </w:r>
            <w:r w:rsidRPr="006D5DD9">
              <w:rPr>
                <w:rFonts w:ascii="Century" w:hAnsi="Century"/>
                <w:rtl/>
              </w:rPr>
              <w:t xml:space="preserve"> </w:t>
            </w:r>
            <w:r w:rsidRPr="006D5DD9">
              <w:rPr>
                <w:rFonts w:ascii="Century" w:hAnsi="Century" w:hint="eastAsia"/>
                <w:rtl/>
              </w:rPr>
              <w:t>של</w:t>
            </w:r>
            <w:r w:rsidRPr="006D5DD9">
              <w:rPr>
                <w:rFonts w:ascii="Century" w:hAnsi="Century"/>
                <w:rtl/>
              </w:rPr>
              <w:t xml:space="preserve"> </w:t>
            </w:r>
            <w:r w:rsidRPr="006D5DD9">
              <w:rPr>
                <w:rFonts w:ascii="Century" w:hAnsi="Century" w:hint="eastAsia"/>
                <w:rtl/>
              </w:rPr>
              <w:t>שר</w:t>
            </w:r>
            <w:r w:rsidRPr="006D5DD9">
              <w:rPr>
                <w:rFonts w:ascii="Century" w:hAnsi="Century"/>
                <w:rtl/>
              </w:rPr>
              <w:t xml:space="preserve"> </w:t>
            </w:r>
            <w:r w:rsidRPr="006D5DD9">
              <w:rPr>
                <w:rFonts w:ascii="Century" w:hAnsi="Century" w:hint="eastAsia"/>
                <w:rtl/>
              </w:rPr>
              <w:t>אחר</w:t>
            </w:r>
            <w:r w:rsidRPr="006D5DD9">
              <w:rPr>
                <w:rFonts w:ascii="Century" w:hAnsi="Century"/>
                <w:rtl/>
              </w:rPr>
              <w:t xml:space="preserve">, </w:t>
            </w:r>
            <w:r w:rsidRPr="006D5DD9">
              <w:rPr>
                <w:rFonts w:ascii="Century" w:hAnsi="Century" w:hint="eastAsia"/>
                <w:rtl/>
              </w:rPr>
              <w:t>ולא</w:t>
            </w:r>
            <w:r w:rsidRPr="006D5DD9">
              <w:rPr>
                <w:rFonts w:ascii="Century" w:hAnsi="Century"/>
                <w:rtl/>
              </w:rPr>
              <w:t xml:space="preserve"> </w:t>
            </w:r>
            <w:r w:rsidRPr="006D5DD9">
              <w:rPr>
                <w:rFonts w:ascii="Century" w:hAnsi="Century" w:hint="eastAsia"/>
                <w:rtl/>
              </w:rPr>
              <w:t>ייתן</w:t>
            </w:r>
            <w:r w:rsidRPr="006D5DD9">
              <w:rPr>
                <w:rFonts w:ascii="Century" w:hAnsi="Century"/>
                <w:rtl/>
              </w:rPr>
              <w:t xml:space="preserve"> </w:t>
            </w:r>
            <w:r w:rsidRPr="006D5DD9">
              <w:rPr>
                <w:rFonts w:ascii="Century" w:hAnsi="Century" w:hint="eastAsia"/>
                <w:rtl/>
              </w:rPr>
              <w:t>צו</w:t>
            </w:r>
            <w:r w:rsidRPr="006D5DD9">
              <w:rPr>
                <w:rFonts w:ascii="Century" w:hAnsi="Century"/>
                <w:rtl/>
              </w:rPr>
              <w:t xml:space="preserve"> </w:t>
            </w:r>
            <w:r w:rsidRPr="006D5DD9">
              <w:rPr>
                <w:rFonts w:ascii="Century" w:hAnsi="Century" w:hint="eastAsia"/>
                <w:rtl/>
              </w:rPr>
              <w:t>בעניין</w:t>
            </w:r>
            <w:r w:rsidRPr="006D5DD9">
              <w:rPr>
                <w:rFonts w:ascii="Century" w:hAnsi="Century"/>
                <w:rtl/>
              </w:rPr>
              <w:t xml:space="preserve"> </w:t>
            </w:r>
            <w:r w:rsidRPr="006D5DD9">
              <w:rPr>
                <w:rFonts w:ascii="Century" w:hAnsi="Century" w:hint="eastAsia"/>
                <w:rtl/>
              </w:rPr>
              <w:t>כאמור</w:t>
            </w:r>
            <w:r w:rsidRPr="006D5DD9">
              <w:rPr>
                <w:rFonts w:ascii="Century" w:hAnsi="Century"/>
                <w:rtl/>
              </w:rPr>
              <w:t xml:space="preserve">; </w:t>
            </w:r>
            <w:r w:rsidRPr="006D5DD9">
              <w:rPr>
                <w:rFonts w:ascii="Century" w:hAnsi="Century" w:hint="eastAsia"/>
                <w:rtl/>
              </w:rPr>
              <w:t>בסעיף</w:t>
            </w:r>
            <w:r w:rsidRPr="006D5DD9">
              <w:rPr>
                <w:rFonts w:ascii="Century" w:hAnsi="Century"/>
                <w:rtl/>
              </w:rPr>
              <w:t xml:space="preserve"> </w:t>
            </w:r>
            <w:r w:rsidRPr="006D5DD9">
              <w:rPr>
                <w:rFonts w:ascii="Century" w:hAnsi="Century" w:hint="eastAsia"/>
                <w:rtl/>
              </w:rPr>
              <w:t>זה</w:t>
            </w:r>
            <w:r w:rsidRPr="006D5DD9">
              <w:rPr>
                <w:rFonts w:ascii="Century" w:hAnsi="Century"/>
                <w:rtl/>
              </w:rPr>
              <w:t>, "</w:t>
            </w:r>
            <w:r w:rsidRPr="006D5DD9">
              <w:rPr>
                <w:rFonts w:ascii="Century" w:hAnsi="Century" w:hint="eastAsia"/>
                <w:rtl/>
              </w:rPr>
              <w:t>החלטה</w:t>
            </w:r>
            <w:r w:rsidRPr="006D5DD9">
              <w:rPr>
                <w:rFonts w:ascii="Century" w:hAnsi="Century"/>
                <w:rtl/>
              </w:rPr>
              <w:t xml:space="preserve">" – </w:t>
            </w:r>
            <w:r w:rsidRPr="006D5DD9">
              <w:rPr>
                <w:rFonts w:ascii="Century" w:hAnsi="Century" w:hint="eastAsia"/>
                <w:rtl/>
              </w:rPr>
              <w:t>כל</w:t>
            </w:r>
            <w:r w:rsidRPr="006D5DD9">
              <w:rPr>
                <w:rFonts w:ascii="Century" w:hAnsi="Century"/>
                <w:rtl/>
              </w:rPr>
              <w:t xml:space="preserve"> </w:t>
            </w:r>
            <w:r w:rsidRPr="006D5DD9">
              <w:rPr>
                <w:rFonts w:ascii="Century" w:hAnsi="Century" w:hint="eastAsia"/>
                <w:rtl/>
              </w:rPr>
              <w:t>החלטה</w:t>
            </w:r>
            <w:r w:rsidRPr="006D5DD9">
              <w:rPr>
                <w:rFonts w:ascii="Century" w:hAnsi="Century"/>
                <w:rtl/>
              </w:rPr>
              <w:t xml:space="preserve">, </w:t>
            </w:r>
            <w:r w:rsidRPr="006D5DD9">
              <w:rPr>
                <w:rFonts w:ascii="Century" w:hAnsi="Century" w:hint="eastAsia"/>
                <w:rtl/>
              </w:rPr>
              <w:t>לרבות</w:t>
            </w:r>
            <w:r w:rsidRPr="006D5DD9">
              <w:rPr>
                <w:rFonts w:ascii="Century" w:hAnsi="Century"/>
                <w:rtl/>
              </w:rPr>
              <w:t xml:space="preserve"> </w:t>
            </w:r>
            <w:r w:rsidRPr="006D5DD9">
              <w:rPr>
                <w:rFonts w:ascii="Century" w:hAnsi="Century" w:hint="eastAsia"/>
                <w:rtl/>
              </w:rPr>
              <w:t>בענייני</w:t>
            </w:r>
            <w:r w:rsidRPr="006D5DD9">
              <w:rPr>
                <w:rFonts w:ascii="Century" w:hAnsi="Century"/>
                <w:rtl/>
              </w:rPr>
              <w:t xml:space="preserve"> </w:t>
            </w:r>
            <w:r w:rsidRPr="006D5DD9">
              <w:rPr>
                <w:rFonts w:ascii="Century" w:hAnsi="Century" w:hint="eastAsia"/>
                <w:rtl/>
              </w:rPr>
              <w:t>מינויים</w:t>
            </w:r>
            <w:r w:rsidRPr="006D5DD9">
              <w:rPr>
                <w:rFonts w:ascii="Century" w:hAnsi="Century"/>
                <w:rtl/>
              </w:rPr>
              <w:t xml:space="preserve"> </w:t>
            </w:r>
            <w:r w:rsidRPr="006D5DD9">
              <w:rPr>
                <w:rFonts w:ascii="Century" w:hAnsi="Century" w:hint="eastAsia"/>
                <w:rtl/>
              </w:rPr>
              <w:t>או</w:t>
            </w:r>
            <w:r w:rsidRPr="006D5DD9">
              <w:rPr>
                <w:rFonts w:ascii="Century" w:hAnsi="Century"/>
                <w:rtl/>
              </w:rPr>
              <w:t xml:space="preserve"> </w:t>
            </w:r>
            <w:r w:rsidRPr="006D5DD9">
              <w:rPr>
                <w:rFonts w:ascii="Century" w:hAnsi="Century" w:hint="eastAsia"/>
                <w:rtl/>
              </w:rPr>
              <w:t>החלטה</w:t>
            </w:r>
            <w:r w:rsidRPr="006D5DD9">
              <w:rPr>
                <w:rFonts w:ascii="Century" w:hAnsi="Century"/>
                <w:rtl/>
              </w:rPr>
              <w:t xml:space="preserve"> </w:t>
            </w:r>
            <w:r w:rsidRPr="006D5DD9">
              <w:rPr>
                <w:rFonts w:ascii="Century" w:hAnsi="Century" w:hint="eastAsia"/>
                <w:rtl/>
              </w:rPr>
              <w:t>להימנע</w:t>
            </w:r>
            <w:r w:rsidRPr="006D5DD9">
              <w:rPr>
                <w:rFonts w:ascii="Century" w:hAnsi="Century"/>
                <w:rtl/>
              </w:rPr>
              <w:t xml:space="preserve"> </w:t>
            </w:r>
            <w:r w:rsidRPr="006D5DD9">
              <w:rPr>
                <w:rFonts w:ascii="Century" w:hAnsi="Century" w:hint="eastAsia"/>
                <w:rtl/>
              </w:rPr>
              <w:t>מהפעלת</w:t>
            </w:r>
            <w:r w:rsidRPr="006D5DD9">
              <w:rPr>
                <w:rFonts w:ascii="Century" w:hAnsi="Century"/>
                <w:rtl/>
              </w:rPr>
              <w:t xml:space="preserve"> </w:t>
            </w:r>
            <w:r w:rsidRPr="006D5DD9">
              <w:rPr>
                <w:rFonts w:ascii="Century" w:hAnsi="Century" w:hint="eastAsia"/>
                <w:rtl/>
              </w:rPr>
              <w:t>כל</w:t>
            </w:r>
            <w:r w:rsidRPr="006D5DD9">
              <w:rPr>
                <w:rFonts w:ascii="Century" w:hAnsi="Century"/>
                <w:rtl/>
              </w:rPr>
              <w:t xml:space="preserve"> </w:t>
            </w:r>
            <w:r w:rsidRPr="006D5DD9">
              <w:rPr>
                <w:rFonts w:ascii="Century" w:hAnsi="Century" w:hint="eastAsia"/>
                <w:rtl/>
              </w:rPr>
              <w:t>סמכות</w:t>
            </w:r>
            <w:r w:rsidRPr="006D5DD9">
              <w:rPr>
                <w:rFonts w:ascii="Century" w:hAnsi="Century" w:hint="cs"/>
                <w:rtl/>
              </w:rPr>
              <w:t>.</w:t>
            </w:r>
          </w:p>
        </w:tc>
      </w:tr>
    </w:tbl>
    <w:p w:rsidR="00CB3B01" w:rsidRPr="006D5DD9" w:rsidRDefault="00CB3B01" w:rsidP="00CB3B01">
      <w:pPr>
        <w:pStyle w:val="Ruller41"/>
        <w:rPr>
          <w:rFonts w:ascii="Century" w:hAnsi="Century"/>
          <w:rtl/>
        </w:rPr>
      </w:pPr>
    </w:p>
    <w:p w:rsidR="00CB3B01" w:rsidRPr="006D5DD9" w:rsidRDefault="00CB3B01" w:rsidP="00CB3B01">
      <w:pPr>
        <w:pStyle w:val="Ruller41"/>
        <w:rPr>
          <w:rFonts w:ascii="Century" w:hAnsi="Century"/>
          <w:rtl/>
        </w:rPr>
      </w:pPr>
      <w:r w:rsidRPr="006D5DD9">
        <w:rPr>
          <w:rFonts w:ascii="Century" w:hAnsi="Century"/>
          <w:rtl/>
        </w:rPr>
        <w:tab/>
      </w:r>
      <w:r w:rsidRPr="006D5DD9">
        <w:rPr>
          <w:rFonts w:ascii="Century" w:hAnsi="Century" w:hint="cs"/>
          <w:rtl/>
        </w:rPr>
        <w:t xml:space="preserve">לאחר שעיינתי בחוות דעתם של חבריי מצאתי לצרף דעתי לחוות דעתה המקיפה והמנומקת של חברתי הנשיאה (בדימ') </w:t>
      </w:r>
      <w:r w:rsidRPr="006D5DD9">
        <w:rPr>
          <w:rFonts w:ascii="Century" w:hAnsi="Century" w:cs="Miriam" w:hint="cs"/>
          <w:b/>
          <w:spacing w:val="0"/>
          <w:szCs w:val="24"/>
          <w:rtl/>
        </w:rPr>
        <w:t>א' חיות</w:t>
      </w:r>
      <w:r w:rsidRPr="006D5DD9">
        <w:rPr>
          <w:rFonts w:ascii="Century" w:hAnsi="Century" w:hint="cs"/>
          <w:rtl/>
        </w:rPr>
        <w:t xml:space="preserve">. אף לשיטתי, בכינונה את תיקון מס' 3 </w:t>
      </w:r>
      <w:r w:rsidRPr="006D5DD9">
        <w:rPr>
          <w:rFonts w:ascii="Century" w:hAnsi="Century" w:hint="cs"/>
          <w:rtl/>
        </w:rPr>
        <w:lastRenderedPageBreak/>
        <w:t xml:space="preserve">לחוק-יסוד: השפיטה חרגה הכנסת מסמכותה המכוננת ואין מנוס מן המסקנה כי יש להורות על בטלותו. </w:t>
      </w:r>
    </w:p>
    <w:p w:rsidR="00CB3B01" w:rsidRPr="006D5DD9" w:rsidRDefault="00CB3B01" w:rsidP="00CB3B01">
      <w:pPr>
        <w:pStyle w:val="Ruller41"/>
        <w:rPr>
          <w:rFonts w:ascii="Century" w:hAnsi="Century"/>
          <w:rtl/>
        </w:rPr>
      </w:pPr>
    </w:p>
    <w:p w:rsidR="00CB3B01" w:rsidRPr="006D5DD9" w:rsidRDefault="00CB3B01" w:rsidP="00CB3B01">
      <w:pPr>
        <w:pStyle w:val="Ruller41"/>
        <w:rPr>
          <w:rFonts w:ascii="Century" w:hAnsi="Century"/>
          <w:rtl/>
        </w:rPr>
      </w:pPr>
      <w:r w:rsidRPr="006D5DD9">
        <w:rPr>
          <w:rFonts w:ascii="Century" w:hAnsi="Century"/>
          <w:rtl/>
        </w:rPr>
        <w:tab/>
      </w:r>
      <w:r w:rsidRPr="006D5DD9">
        <w:rPr>
          <w:rFonts w:ascii="Century" w:hAnsi="Century" w:hint="cs"/>
          <w:rtl/>
        </w:rPr>
        <w:t>חבריי פרסו יריעה רחבה בסוגיות שלפנינו, ועל כן לא ראיתי לשוב על הדברים ולהאריך מעבר לצורך. לצד זאת, מצאתי להתייחס בקצרה למספר סוגיות: ראשית, לשאלה העקרונית שניצבת במוקד ההלי</w:t>
      </w:r>
      <w:r>
        <w:rPr>
          <w:rFonts w:ascii="Century" w:hAnsi="Century" w:hint="cs"/>
          <w:rtl/>
        </w:rPr>
        <w:t>כים</w:t>
      </w:r>
      <w:r w:rsidRPr="006D5DD9">
        <w:rPr>
          <w:rFonts w:ascii="Century" w:hAnsi="Century" w:hint="cs"/>
          <w:rtl/>
        </w:rPr>
        <w:t xml:space="preserve"> דנן והיא הביקורת השיפוטית על חריגה של הכנסת מהסמכות המכוננת; שנית, למתווה </w:t>
      </w:r>
      <w:r>
        <w:rPr>
          <w:rFonts w:ascii="Century" w:hAnsi="Century" w:hint="cs"/>
          <w:rtl/>
        </w:rPr>
        <w:t>הפרשני שהציעו חלק מחבריי בהליכים</w:t>
      </w:r>
      <w:r w:rsidRPr="006D5DD9">
        <w:rPr>
          <w:rFonts w:ascii="Century" w:hAnsi="Century" w:hint="cs"/>
          <w:rtl/>
        </w:rPr>
        <w:t xml:space="preserve"> דנן; ושלישית, </w:t>
      </w:r>
      <w:r>
        <w:rPr>
          <w:rFonts w:ascii="Century" w:hAnsi="Century" w:hint="cs"/>
          <w:rtl/>
        </w:rPr>
        <w:t>ל</w:t>
      </w:r>
      <w:r w:rsidRPr="006D5DD9">
        <w:rPr>
          <w:rFonts w:ascii="Century" w:hAnsi="Century" w:hint="cs"/>
          <w:rtl/>
        </w:rPr>
        <w:t xml:space="preserve">שימוש שנעשה בסעיף 80 לתקנון הכנסת (16.10.2023) (להלן: </w:t>
      </w:r>
      <w:r w:rsidRPr="006D5DD9">
        <w:rPr>
          <w:rFonts w:ascii="Century" w:hAnsi="Century" w:cs="Miriam" w:hint="cs"/>
          <w:b/>
          <w:spacing w:val="0"/>
          <w:szCs w:val="24"/>
          <w:rtl/>
        </w:rPr>
        <w:t xml:space="preserve">תקנון הכנסת </w:t>
      </w:r>
      <w:r w:rsidRPr="006D5DD9">
        <w:rPr>
          <w:rFonts w:ascii="Century" w:hAnsi="Century" w:hint="cs"/>
          <w:rtl/>
        </w:rPr>
        <w:t xml:space="preserve">או </w:t>
      </w:r>
      <w:r w:rsidRPr="006D5DD9">
        <w:rPr>
          <w:rFonts w:ascii="Century" w:hAnsi="Century" w:cs="Miriam" w:hint="cs"/>
          <w:b/>
          <w:spacing w:val="0"/>
          <w:szCs w:val="24"/>
          <w:rtl/>
        </w:rPr>
        <w:t>התקנון</w:t>
      </w:r>
      <w:r w:rsidRPr="006D5DD9">
        <w:rPr>
          <w:rFonts w:ascii="Century" w:hAnsi="Century" w:hint="cs"/>
          <w:rtl/>
        </w:rPr>
        <w:t xml:space="preserve">) בחקיקת תיקון מס' 3. </w:t>
      </w:r>
    </w:p>
    <w:p w:rsidR="00CB3B01" w:rsidRPr="006D5DD9" w:rsidRDefault="00CB3B01" w:rsidP="00CB3B01">
      <w:pPr>
        <w:pStyle w:val="Ruller41"/>
        <w:rPr>
          <w:rFonts w:ascii="Century" w:hAnsi="Century"/>
          <w:rtl/>
        </w:rPr>
      </w:pPr>
    </w:p>
    <w:p w:rsidR="00CB3B01" w:rsidRPr="006D5DD9" w:rsidRDefault="00CB3B01" w:rsidP="00CB3B01">
      <w:pPr>
        <w:pStyle w:val="Ruller41"/>
        <w:rPr>
          <w:rFonts w:ascii="Century" w:hAnsi="Century" w:cs="Miriam"/>
          <w:b/>
          <w:spacing w:val="0"/>
          <w:szCs w:val="24"/>
          <w:rtl/>
        </w:rPr>
      </w:pPr>
      <w:r w:rsidRPr="006D5DD9">
        <w:rPr>
          <w:rFonts w:ascii="Century" w:hAnsi="Century" w:cs="Miriam" w:hint="cs"/>
          <w:b/>
          <w:spacing w:val="0"/>
          <w:szCs w:val="24"/>
          <w:rtl/>
        </w:rPr>
        <w:t>חריגה מהסמכות המכוננת</w:t>
      </w:r>
    </w:p>
    <w:p w:rsidR="00CB3B01" w:rsidRPr="006D5DD9" w:rsidRDefault="00CB3B01" w:rsidP="009B0AFF">
      <w:pPr>
        <w:pStyle w:val="Ruller41"/>
        <w:spacing w:line="276" w:lineRule="auto"/>
        <w:rPr>
          <w:rFonts w:ascii="Century" w:hAnsi="Century" w:cs="Miriam"/>
          <w:b/>
          <w:spacing w:val="0"/>
          <w:szCs w:val="24"/>
          <w:rtl/>
        </w:rPr>
      </w:pPr>
    </w:p>
    <w:p w:rsidR="00CB3B01" w:rsidRPr="006D5DD9" w:rsidRDefault="00CB3B01" w:rsidP="002A1A3A">
      <w:pPr>
        <w:pStyle w:val="Ruller4"/>
        <w:numPr>
          <w:ilvl w:val="0"/>
          <w:numId w:val="19"/>
        </w:numPr>
      </w:pPr>
      <w:r w:rsidRPr="006D5DD9">
        <w:rPr>
          <w:rFonts w:hint="cs"/>
          <w:rtl/>
        </w:rPr>
        <w:t xml:space="preserve">ההכרעה בשאלה אם דינו של תיקון מס' 3 בטלות, מחייבת הכרעה בשאלה מקדימה: האם בית משפט זה מוסמך לקיים ביקורת שיפוטית על תוכנם של חוקי היסוד. דומני כי שאלה זו מעוררת שלוש שאלות משנה: ראשית, האם קיימות מגבלות מהותיות-תוכניות על סמכותה המכוננת של הכנסת; שנית, האם בית משפט זה הוא הגורם המתאים לפקח על גבולות סמכותה של הרשות המכוננת; ושלישית, ככל שהתשובה לשתי השאלות הראשונות חיובית, מהי אמת המידה להתערבותו של בית משפט זה בחוקי היסוד. הדברים כאמור פורטו בהרחבה בחוות דעתם של חבריי, ולכן אביא עמדתי בתמצית. </w:t>
      </w:r>
    </w:p>
    <w:p w:rsidR="00CB3B01" w:rsidRPr="0090010E" w:rsidRDefault="00CB3B01" w:rsidP="00CB3B01">
      <w:pPr>
        <w:pStyle w:val="Ruller4"/>
        <w:numPr>
          <w:ilvl w:val="0"/>
          <w:numId w:val="0"/>
        </w:numPr>
        <w:rPr>
          <w:rtl/>
        </w:rPr>
      </w:pPr>
    </w:p>
    <w:p w:rsidR="00CB3B01" w:rsidRPr="006D5DD9" w:rsidRDefault="00CB3B01" w:rsidP="00CB3B01">
      <w:pPr>
        <w:pStyle w:val="Ruller4"/>
        <w:rPr>
          <w:rtl/>
        </w:rPr>
      </w:pPr>
      <w:r w:rsidRPr="006D5DD9">
        <w:rPr>
          <w:rFonts w:hint="cs"/>
          <w:rtl/>
        </w:rPr>
        <w:t xml:space="preserve">השאלה הראשונה הוכרעה בפסק הדין בעתירות שכוונו לחוקתיותו של חוק-יסוד: ישראל </w:t>
      </w:r>
      <w:r w:rsidRPr="006D5DD9">
        <w:rPr>
          <w:rtl/>
        </w:rPr>
        <w:t>–</w:t>
      </w:r>
      <w:r w:rsidRPr="006D5DD9">
        <w:rPr>
          <w:rFonts w:hint="cs"/>
          <w:rtl/>
        </w:rPr>
        <w:t xml:space="preserve"> מדינת הלאום של העם היהודי (בג"ץ 5555/18 </w:t>
      </w:r>
      <w:r w:rsidRPr="006D5DD9">
        <w:rPr>
          <w:rFonts w:ascii="Century" w:hAnsi="Century" w:cs="Miriam" w:hint="cs"/>
          <w:b/>
          <w:spacing w:val="0"/>
          <w:sz w:val="22"/>
          <w:szCs w:val="24"/>
          <w:rtl/>
        </w:rPr>
        <w:t xml:space="preserve">חסון נ' כנסת ישראל </w:t>
      </w:r>
      <w:r w:rsidRPr="006D5DD9">
        <w:rPr>
          <w:rFonts w:hint="cs"/>
          <w:rtl/>
        </w:rPr>
        <w:t xml:space="preserve">(8.7.2021) (להלן: עניין </w:t>
      </w:r>
      <w:r w:rsidRPr="006D5DD9">
        <w:rPr>
          <w:rFonts w:ascii="Century" w:hAnsi="Century" w:cs="Miriam" w:hint="cs"/>
          <w:b/>
          <w:spacing w:val="0"/>
          <w:sz w:val="22"/>
          <w:szCs w:val="24"/>
          <w:rtl/>
        </w:rPr>
        <w:t>חסון</w:t>
      </w:r>
      <w:r w:rsidRPr="006D5DD9">
        <w:rPr>
          <w:rFonts w:hint="cs"/>
          <w:rtl/>
        </w:rPr>
        <w:t>)). באותו עניין, עמדנו על כך שגם עובר להשלמתו של מפעל החוקה הישראלי, סמכויות הרשות המכוננת אינן בלתי מוגבלות. על הרשות המכוננת, כך נפסק</w:t>
      </w:r>
      <w:r w:rsidRPr="006D5DD9">
        <w:rPr>
          <w:rFonts w:ascii="Century" w:hAnsi="Century" w:hint="cs"/>
          <w:sz w:val="22"/>
          <w:rtl/>
        </w:rPr>
        <w:t xml:space="preserve">, מוטלת מגבלה צרה שנוגעת למאפייני הזהות הגרעיניים של מדינת ישראל כמדינה יהודית ודמוקרטית. כפי שציינה באותו עניין הנשיאה </w:t>
      </w:r>
      <w:r w:rsidRPr="006D5DD9">
        <w:rPr>
          <w:rFonts w:ascii="Century" w:hAnsi="Century" w:cs="Miriam" w:hint="cs"/>
          <w:b/>
          <w:spacing w:val="0"/>
          <w:sz w:val="22"/>
          <w:szCs w:val="24"/>
          <w:rtl/>
        </w:rPr>
        <w:t>חיות</w:t>
      </w:r>
      <w:r w:rsidRPr="006D5DD9">
        <w:rPr>
          <w:rFonts w:ascii="Century" w:hAnsi="Century" w:hint="cs"/>
          <w:sz w:val="22"/>
          <w:rtl/>
        </w:rPr>
        <w:t xml:space="preserve">: </w:t>
      </w:r>
    </w:p>
    <w:p w:rsidR="00CB3B01" w:rsidRPr="006D5DD9" w:rsidRDefault="00CB3B01" w:rsidP="00CB3B01">
      <w:pPr>
        <w:pStyle w:val="Ruller41"/>
      </w:pPr>
    </w:p>
    <w:p w:rsidR="00CB3B01" w:rsidRPr="006D5DD9" w:rsidRDefault="00CB3B01" w:rsidP="00CB3B01">
      <w:pPr>
        <w:pStyle w:val="Ruller5"/>
        <w:rPr>
          <w:rtl/>
        </w:rPr>
      </w:pPr>
      <w:r w:rsidRPr="006D5DD9">
        <w:rPr>
          <w:rFonts w:hint="cs"/>
          <w:rtl/>
        </w:rPr>
        <w:t>"</w:t>
      </w:r>
      <w:r w:rsidRPr="006D5DD9">
        <w:rPr>
          <w:rFonts w:ascii="FrankRuehl" w:hAnsi="FrankRuehl"/>
          <w:color w:val="000000"/>
          <w:sz w:val="28"/>
          <w:rtl/>
        </w:rPr>
        <w:t>הכרזת העצמאות התוותה את אופייה של המדינה כיהודית ודמוקרטית; חוקי היסוד עיגנו שני מרכיבים אלה בזהותה של המדינה באופן מפורש; החקיקה והפסיקה חיזקו וביצרו אותם; וקורות חייה של האומה מאז הקמתה שבו והמחישו כי זו דמותה. על כן, דומה כי אף שהמפעל החוקתי טרם הושלם, זהותה של מדינת ישראל כמדינה יהודית ודמוקרטית אינה ניתנת לערעו</w:t>
      </w:r>
      <w:r w:rsidRPr="006D5DD9">
        <w:rPr>
          <w:rFonts w:hint="cs"/>
          <w:rtl/>
        </w:rPr>
        <w:t xml:space="preserve">ר" (שם, פסקה 29). </w:t>
      </w:r>
    </w:p>
    <w:p w:rsidR="00CB3B01" w:rsidRPr="006D5DD9" w:rsidRDefault="00CB3B01" w:rsidP="00CB3B01">
      <w:pPr>
        <w:pStyle w:val="Ruller4"/>
        <w:numPr>
          <w:ilvl w:val="0"/>
          <w:numId w:val="0"/>
        </w:numPr>
        <w:rPr>
          <w:rtl/>
        </w:rPr>
      </w:pPr>
    </w:p>
    <w:p w:rsidR="00CB3B01" w:rsidRPr="006D5DD9" w:rsidRDefault="00CB3B01" w:rsidP="00CB3B01">
      <w:pPr>
        <w:pStyle w:val="Ruller4"/>
        <w:rPr>
          <w:rtl/>
        </w:rPr>
      </w:pPr>
      <w:r w:rsidRPr="006D5DD9">
        <w:rPr>
          <w:rFonts w:hint="cs"/>
          <w:rtl/>
        </w:rPr>
        <w:t xml:space="preserve">ואולם, בעוד ששאלת קיומן וטיבן של המגבלות שחלות על הרשות המכוננת הוכרעה, שאלת סמכותו של בית משפט זה לבחון חריגה ממגבלות אלו, כמו גם לתת </w:t>
      </w:r>
      <w:r>
        <w:rPr>
          <w:rFonts w:hint="cs"/>
          <w:rtl/>
        </w:rPr>
        <w:t xml:space="preserve">בגינה </w:t>
      </w:r>
      <w:r w:rsidRPr="006D5DD9">
        <w:rPr>
          <w:rFonts w:hint="cs"/>
          <w:rtl/>
        </w:rPr>
        <w:t xml:space="preserve">סעד </w:t>
      </w:r>
      <w:r w:rsidRPr="006D5DD9">
        <w:rPr>
          <w:rtl/>
        </w:rPr>
        <w:t>–</w:t>
      </w:r>
      <w:r w:rsidRPr="006D5DD9">
        <w:rPr>
          <w:rFonts w:hint="cs"/>
          <w:rtl/>
        </w:rPr>
        <w:t xml:space="preserve"> לא נדרשה להכרעה בעניין </w:t>
      </w:r>
      <w:r w:rsidRPr="006D5DD9">
        <w:rPr>
          <w:rFonts w:ascii="Century" w:hAnsi="Century" w:cs="Miriam" w:hint="cs"/>
          <w:b/>
          <w:spacing w:val="0"/>
          <w:sz w:val="22"/>
          <w:szCs w:val="24"/>
          <w:rtl/>
        </w:rPr>
        <w:t>חסון</w:t>
      </w:r>
      <w:r w:rsidRPr="006D5DD9">
        <w:rPr>
          <w:rFonts w:ascii="Century" w:hAnsi="Century" w:hint="cs"/>
          <w:sz w:val="22"/>
          <w:rtl/>
        </w:rPr>
        <w:t xml:space="preserve">. </w:t>
      </w:r>
      <w:r w:rsidRPr="006D5DD9">
        <w:rPr>
          <w:rFonts w:hint="cs"/>
          <w:rtl/>
        </w:rPr>
        <w:t xml:space="preserve">הגם שכך, ציינתי שם כי אני נוטה לגישה שלפיה לבית המשפט סמכות כאמור, והיא נגזרת של אותן מגבלות על הסמכות המכוננת </w:t>
      </w:r>
      <w:r w:rsidRPr="006D5DD9">
        <w:rPr>
          <w:rtl/>
        </w:rPr>
        <w:t>–</w:t>
      </w:r>
      <w:r w:rsidRPr="006D5DD9">
        <w:rPr>
          <w:rFonts w:hint="cs"/>
          <w:rtl/>
        </w:rPr>
        <w:t xml:space="preserve"> וזאת "</w:t>
      </w:r>
      <w:r w:rsidRPr="006D5DD9">
        <w:rPr>
          <w:rFonts w:hint="eastAsia"/>
          <w:rtl/>
        </w:rPr>
        <w:t>על</w:t>
      </w:r>
      <w:r w:rsidRPr="006D5DD9">
        <w:rPr>
          <w:rtl/>
        </w:rPr>
        <w:t xml:space="preserve"> </w:t>
      </w:r>
      <w:r w:rsidRPr="006D5DD9">
        <w:rPr>
          <w:rFonts w:hint="eastAsia"/>
          <w:rtl/>
        </w:rPr>
        <w:t>מנת</w:t>
      </w:r>
      <w:r w:rsidRPr="006D5DD9">
        <w:rPr>
          <w:rtl/>
        </w:rPr>
        <w:t xml:space="preserve"> </w:t>
      </w:r>
      <w:r w:rsidRPr="006D5DD9">
        <w:rPr>
          <w:rFonts w:hint="eastAsia"/>
          <w:rtl/>
        </w:rPr>
        <w:t>שמגבלות</w:t>
      </w:r>
      <w:r w:rsidRPr="006D5DD9">
        <w:rPr>
          <w:rtl/>
        </w:rPr>
        <w:t xml:space="preserve"> </w:t>
      </w:r>
      <w:r w:rsidRPr="006D5DD9">
        <w:rPr>
          <w:rFonts w:hint="eastAsia"/>
          <w:rtl/>
        </w:rPr>
        <w:t>אלו</w:t>
      </w:r>
      <w:r w:rsidRPr="006D5DD9">
        <w:rPr>
          <w:rtl/>
        </w:rPr>
        <w:t xml:space="preserve"> </w:t>
      </w:r>
      <w:r w:rsidRPr="006D5DD9">
        <w:rPr>
          <w:rFonts w:hint="eastAsia"/>
          <w:rtl/>
        </w:rPr>
        <w:t>לא</w:t>
      </w:r>
      <w:r w:rsidRPr="006D5DD9">
        <w:rPr>
          <w:rtl/>
        </w:rPr>
        <w:t xml:space="preserve"> </w:t>
      </w:r>
      <w:r w:rsidRPr="006D5DD9">
        <w:rPr>
          <w:rFonts w:hint="eastAsia"/>
          <w:rtl/>
        </w:rPr>
        <w:t>יהפכו</w:t>
      </w:r>
      <w:r w:rsidRPr="006D5DD9">
        <w:rPr>
          <w:rtl/>
        </w:rPr>
        <w:t xml:space="preserve"> </w:t>
      </w:r>
      <w:r w:rsidRPr="006D5DD9">
        <w:rPr>
          <w:rFonts w:hint="eastAsia"/>
          <w:rtl/>
        </w:rPr>
        <w:t>לאות</w:t>
      </w:r>
      <w:r w:rsidRPr="006D5DD9">
        <w:rPr>
          <w:rtl/>
        </w:rPr>
        <w:t xml:space="preserve"> </w:t>
      </w:r>
      <w:r w:rsidRPr="006D5DD9">
        <w:rPr>
          <w:rFonts w:hint="eastAsia"/>
          <w:rtl/>
        </w:rPr>
        <w:t>מתה</w:t>
      </w:r>
      <w:r w:rsidRPr="006D5DD9">
        <w:rPr>
          <w:rFonts w:hint="cs"/>
          <w:rtl/>
        </w:rPr>
        <w:t xml:space="preserve">" (פסקה 4 לפסק דיני). ההליך שלפנינו מחייב הכרעה בשאלה זו. חברתי הנשיאה (בדימ') </w:t>
      </w:r>
      <w:r w:rsidRPr="006D5DD9">
        <w:rPr>
          <w:rFonts w:ascii="Century" w:hAnsi="Century" w:cs="Miriam" w:hint="cs"/>
          <w:b/>
          <w:spacing w:val="0"/>
          <w:sz w:val="22"/>
          <w:szCs w:val="24"/>
          <w:rtl/>
        </w:rPr>
        <w:t>חיות</w:t>
      </w:r>
      <w:r w:rsidRPr="006D5DD9">
        <w:rPr>
          <w:rFonts w:hint="cs"/>
          <w:rtl/>
        </w:rPr>
        <w:t xml:space="preserve"> עמדה בחוות דעתה על מאפייניו הייחודים של המבנה החוקתי הישראלי ועל האופן שבו </w:t>
      </w:r>
      <w:r>
        <w:rPr>
          <w:rFonts w:hint="cs"/>
          <w:rtl/>
        </w:rPr>
        <w:t>מיושמת</w:t>
      </w:r>
      <w:r w:rsidRPr="006D5DD9">
        <w:rPr>
          <w:rFonts w:hint="cs"/>
          <w:rtl/>
        </w:rPr>
        <w:t xml:space="preserve"> בפועל הסמכות המכוננת בישראל. אף אני, כחברתי הנשיאה </w:t>
      </w:r>
      <w:r w:rsidRPr="006D5DD9">
        <w:rPr>
          <w:rFonts w:ascii="Century" w:hAnsi="Century" w:hint="cs"/>
          <w:sz w:val="22"/>
          <w:rtl/>
        </w:rPr>
        <w:t>(בדימ')</w:t>
      </w:r>
      <w:r w:rsidRPr="006D5DD9">
        <w:rPr>
          <w:rFonts w:hint="cs"/>
          <w:rtl/>
        </w:rPr>
        <w:t xml:space="preserve"> סבור כי שילובם של נתונים אלה מוליך למסקנה כי בית </w:t>
      </w:r>
      <w:r w:rsidRPr="00A97559">
        <w:rPr>
          <w:rFonts w:hint="cs"/>
          <w:rtl/>
        </w:rPr>
        <w:t>משפט זה הוא המוסד אשר מוסמך</w:t>
      </w:r>
      <w:r w:rsidRPr="006D5DD9">
        <w:rPr>
          <w:rFonts w:hint="cs"/>
          <w:rtl/>
        </w:rPr>
        <w:t xml:space="preserve"> לקבוע אם הכנסת חרגה מסמכותה האמורה. </w:t>
      </w:r>
    </w:p>
    <w:p w:rsidR="00CB3B01" w:rsidRPr="006D5DD9" w:rsidRDefault="00CB3B01" w:rsidP="00CB3B01">
      <w:pPr>
        <w:pStyle w:val="Ruller41"/>
      </w:pPr>
    </w:p>
    <w:p w:rsidR="00CB3B01" w:rsidRPr="006D5DD9" w:rsidRDefault="00CB3B01" w:rsidP="00CB3B01">
      <w:pPr>
        <w:pStyle w:val="Ruller4"/>
        <w:rPr>
          <w:rFonts w:ascii="Century" w:hAnsi="Century"/>
          <w:sz w:val="22"/>
          <w:rtl/>
        </w:rPr>
      </w:pPr>
      <w:r w:rsidRPr="006D5DD9">
        <w:rPr>
          <w:rFonts w:ascii="Century" w:hAnsi="Century" w:hint="cs"/>
          <w:sz w:val="22"/>
          <w:rtl/>
        </w:rPr>
        <w:t xml:space="preserve">שאלה שלישית ואחרונה היא מהי אמת המידה להתערבותו של בית משפט זה כאשר חורגת הרשות המכוננת מסמכותה, ובניסוח אחר: מהי מידת הפגיעה של חקיקת יסוד ביסודות הדמוקרטיים או היהודיים של המדינה אשר תקים עילה להתערבות בית המשפט. בעניין </w:t>
      </w:r>
      <w:r w:rsidRPr="006D5DD9">
        <w:rPr>
          <w:rFonts w:ascii="Century" w:hAnsi="Century" w:cs="Miriam" w:hint="cs"/>
          <w:b/>
          <w:spacing w:val="0"/>
          <w:sz w:val="22"/>
          <w:szCs w:val="24"/>
          <w:rtl/>
        </w:rPr>
        <w:t>חסון</w:t>
      </w:r>
      <w:r w:rsidRPr="006D5DD9">
        <w:rPr>
          <w:rFonts w:ascii="Century" w:hAnsi="Century" w:hint="cs"/>
          <w:sz w:val="22"/>
          <w:rtl/>
        </w:rPr>
        <w:t xml:space="preserve">, שבו כזכור לא נדרשה הכרעה בשאלה זו, התייחסה הנשיאה </w:t>
      </w:r>
      <w:r w:rsidRPr="006D5DD9">
        <w:rPr>
          <w:rFonts w:ascii="Century" w:hAnsi="Century" w:cs="Miriam" w:hint="cs"/>
          <w:b/>
          <w:spacing w:val="0"/>
          <w:sz w:val="22"/>
          <w:szCs w:val="24"/>
          <w:rtl/>
        </w:rPr>
        <w:t xml:space="preserve">חיות </w:t>
      </w:r>
      <w:r w:rsidRPr="006D5DD9">
        <w:rPr>
          <w:rFonts w:ascii="Century" w:hAnsi="Century" w:hint="cs"/>
          <w:sz w:val="22"/>
          <w:rtl/>
        </w:rPr>
        <w:t xml:space="preserve">למצבים שבהם חוק היסוד סותר חזיתית את מאפייניה הגרעיניים של מדינת ישראל כמדינה יהודית ודמוקרטית (שם, פסקה 29 לפסק דינה); והשופטת </w:t>
      </w:r>
      <w:r w:rsidRPr="006D5DD9">
        <w:rPr>
          <w:rFonts w:ascii="Century" w:hAnsi="Century" w:cs="Miriam" w:hint="cs"/>
          <w:b/>
          <w:spacing w:val="0"/>
          <w:sz w:val="22"/>
          <w:szCs w:val="24"/>
          <w:rtl/>
        </w:rPr>
        <w:t xml:space="preserve">ד' ברק-ארז </w:t>
      </w:r>
      <w:r w:rsidRPr="006D5DD9">
        <w:rPr>
          <w:rFonts w:ascii="Century" w:hAnsi="Century" w:hint="cs"/>
          <w:sz w:val="22"/>
          <w:rtl/>
        </w:rPr>
        <w:t>התייחסה למצבים של "הרס בלתי הפיך של השיטה החוקתית" (שם, פסקה 16 לפסק דינה).</w:t>
      </w:r>
    </w:p>
    <w:p w:rsidR="00CB3B01" w:rsidRPr="006D5DD9" w:rsidRDefault="00CB3B01" w:rsidP="00CB3B01">
      <w:pPr>
        <w:pStyle w:val="Ruller41"/>
        <w:rPr>
          <w:rtl/>
        </w:rPr>
      </w:pPr>
    </w:p>
    <w:p w:rsidR="00CB3B01" w:rsidRPr="006D5DD9" w:rsidRDefault="00CB3B01" w:rsidP="00CB3B01">
      <w:pPr>
        <w:pStyle w:val="Ruller4"/>
        <w:rPr>
          <w:rFonts w:ascii="Century" w:hAnsi="Century"/>
          <w:sz w:val="22"/>
          <w:rtl/>
        </w:rPr>
      </w:pPr>
      <w:r w:rsidRPr="006D5DD9">
        <w:rPr>
          <w:rFonts w:hint="cs"/>
          <w:rtl/>
        </w:rPr>
        <w:t xml:space="preserve">בחוות דעתם בהליך שלפנינו, התייחסו חלק מחבריי </w:t>
      </w:r>
      <w:r w:rsidRPr="006D5DD9">
        <w:rPr>
          <w:rFonts w:ascii="Century" w:hAnsi="Century" w:hint="cs"/>
          <w:sz w:val="22"/>
          <w:rtl/>
        </w:rPr>
        <w:t>למאפייניו הייחודיים של המפעל החוקתי הישראלי, ובכלל זאת, להיעדרו של הליך ייעודי לכינון נורמות חוקתיות</w:t>
      </w:r>
      <w:r>
        <w:rPr>
          <w:rFonts w:ascii="Century" w:hAnsi="Century" w:hint="cs"/>
          <w:sz w:val="22"/>
          <w:rtl/>
        </w:rPr>
        <w:t xml:space="preserve"> ולתיקונן</w:t>
      </w:r>
      <w:r w:rsidRPr="006D5DD9">
        <w:rPr>
          <w:rFonts w:ascii="Century" w:hAnsi="Century" w:hint="cs"/>
          <w:sz w:val="22"/>
          <w:rtl/>
        </w:rPr>
        <w:t xml:space="preserve"> ו</w:t>
      </w:r>
      <w:r>
        <w:rPr>
          <w:rFonts w:ascii="Century" w:hAnsi="Century" w:hint="cs"/>
          <w:sz w:val="22"/>
          <w:rtl/>
        </w:rPr>
        <w:t xml:space="preserve">כן </w:t>
      </w:r>
      <w:r w:rsidRPr="006D5DD9">
        <w:rPr>
          <w:rFonts w:ascii="Century" w:hAnsi="Century" w:hint="cs"/>
          <w:sz w:val="22"/>
          <w:rtl/>
        </w:rPr>
        <w:t xml:space="preserve">לשליטת הממשלה </w:t>
      </w:r>
      <w:r w:rsidRPr="006D5DD9">
        <w:rPr>
          <w:rFonts w:ascii="Century" w:hAnsi="Century"/>
          <w:sz w:val="22"/>
          <w:rtl/>
        </w:rPr>
        <w:t>–</w:t>
      </w:r>
      <w:r w:rsidRPr="006D5DD9">
        <w:rPr>
          <w:rFonts w:ascii="Century" w:hAnsi="Century" w:hint="cs"/>
          <w:sz w:val="22"/>
          <w:rtl/>
        </w:rPr>
        <w:t xml:space="preserve"> באמצעות הרוב הקואליציוני שלה </w:t>
      </w:r>
      <w:r w:rsidRPr="006D5DD9">
        <w:rPr>
          <w:rFonts w:ascii="Century" w:hAnsi="Century"/>
          <w:sz w:val="22"/>
          <w:rtl/>
        </w:rPr>
        <w:t>–</w:t>
      </w:r>
      <w:r w:rsidRPr="006D5DD9">
        <w:rPr>
          <w:rFonts w:ascii="Century" w:hAnsi="Century" w:hint="cs"/>
          <w:sz w:val="22"/>
          <w:rtl/>
        </w:rPr>
        <w:t xml:space="preserve"> בהפעלת הסמכות המכוננת (ראו למשל פסקאות 81-72 לחוות דעתה של הנשיאה (בדימ') </w:t>
      </w:r>
      <w:r w:rsidRPr="006D5DD9">
        <w:rPr>
          <w:rFonts w:ascii="Century" w:hAnsi="Century" w:cs="Miriam" w:hint="cs"/>
          <w:b/>
          <w:spacing w:val="0"/>
          <w:sz w:val="22"/>
          <w:szCs w:val="24"/>
          <w:rtl/>
        </w:rPr>
        <w:t>חיות</w:t>
      </w:r>
      <w:r w:rsidRPr="006D5DD9">
        <w:rPr>
          <w:rFonts w:ascii="Century" w:hAnsi="Century" w:hint="cs"/>
          <w:sz w:val="22"/>
          <w:rtl/>
        </w:rPr>
        <w:t xml:space="preserve">). ייחודיות זו הובילה בשנים האחרונות לזילות של חוקי היסוד ושל המפעל החוקתי הישראלי, כך שכל רוב קואליציוני משתמש בחוקי היסוד כלוח מחיק, ובאבחה חטופה מוחק, משנה ומוסיף הוראות חוקתיות למימוש צרכיו הנקודתיים. כך באו לעולם תיקונים חוקתיים שבינם לבין תכנון חוקתי ארוך טווח וצופה פני עתיד </w:t>
      </w:r>
      <w:r w:rsidRPr="006D5DD9">
        <w:rPr>
          <w:rFonts w:ascii="Century" w:hAnsi="Century"/>
          <w:sz w:val="22"/>
          <w:rtl/>
        </w:rPr>
        <w:t>–</w:t>
      </w:r>
      <w:r w:rsidRPr="006D5DD9">
        <w:rPr>
          <w:rFonts w:ascii="Century" w:hAnsi="Century" w:hint="cs"/>
          <w:sz w:val="22"/>
          <w:rtl/>
        </w:rPr>
        <w:t xml:space="preserve"> אין ולא כלום.</w:t>
      </w:r>
    </w:p>
    <w:p w:rsidR="00CB3B01" w:rsidRPr="006D5DD9" w:rsidRDefault="00CB3B01" w:rsidP="00CB3B01">
      <w:pPr>
        <w:pStyle w:val="Ruller41"/>
        <w:rPr>
          <w:rtl/>
        </w:rPr>
      </w:pPr>
    </w:p>
    <w:p w:rsidR="00CB3B01" w:rsidRPr="006D5DD9" w:rsidRDefault="00CB3B01" w:rsidP="00CB3B01">
      <w:pPr>
        <w:pStyle w:val="Ruller4"/>
        <w:rPr>
          <w:rtl/>
        </w:rPr>
      </w:pPr>
      <w:r w:rsidRPr="006D5DD9">
        <w:rPr>
          <w:rtl/>
        </w:rPr>
        <w:tab/>
      </w:r>
      <w:r w:rsidRPr="006D5DD9">
        <w:rPr>
          <w:rFonts w:hint="cs"/>
          <w:rtl/>
        </w:rPr>
        <w:t xml:space="preserve">השימוש היומיומי, </w:t>
      </w:r>
      <w:r>
        <w:rPr>
          <w:rFonts w:hint="cs"/>
          <w:rtl/>
        </w:rPr>
        <w:t>ה</w:t>
      </w:r>
      <w:r w:rsidRPr="006D5DD9">
        <w:rPr>
          <w:rFonts w:hint="cs"/>
          <w:rtl/>
        </w:rPr>
        <w:t>אגבי כמעט, של הרוב הקואליציוני בסמכות המכוננת מצטרף להעדרם של מנגנונים משטריים מאזנים אחרים. אמנה מנגנונים אלה להלן בכותרת בלבד אך יובהר כבר עתה, כי חשיבותו של כל</w:t>
      </w:r>
      <w:r>
        <w:rPr>
          <w:rFonts w:hint="cs"/>
          <w:rtl/>
        </w:rPr>
        <w:t xml:space="preserve"> אחד</w:t>
      </w:r>
      <w:r w:rsidRPr="006D5DD9">
        <w:rPr>
          <w:rFonts w:hint="cs"/>
          <w:rtl/>
        </w:rPr>
        <w:t xml:space="preserve"> </w:t>
      </w:r>
      <w:r>
        <w:rPr>
          <w:rFonts w:hint="cs"/>
          <w:rtl/>
        </w:rPr>
        <w:t>ממנגנונים אלה</w:t>
      </w:r>
      <w:r w:rsidRPr="006D5DD9">
        <w:rPr>
          <w:rFonts w:hint="cs"/>
          <w:rtl/>
        </w:rPr>
        <w:t xml:space="preserve"> אינה בעצם קיומו, כי אם במגבלות וברסנים שהוא מטיל על הכוח השלטוני. כך, הרשות המחוקקת </w:t>
      </w:r>
      <w:r w:rsidRPr="006D5DD9">
        <w:rPr>
          <w:rFonts w:hint="cs"/>
          <w:rtl/>
        </w:rPr>
        <w:lastRenderedPageBreak/>
        <w:t xml:space="preserve">בישראל אינה </w:t>
      </w:r>
      <w:r>
        <w:rPr>
          <w:rFonts w:hint="cs"/>
          <w:rtl/>
        </w:rPr>
        <w:t>מורכבת משני בתים נפרדים</w:t>
      </w:r>
      <w:r w:rsidRPr="006D5DD9">
        <w:rPr>
          <w:rFonts w:hint="cs"/>
          <w:rtl/>
        </w:rPr>
        <w:t xml:space="preserve">; אין בישראל </w:t>
      </w:r>
      <w:r>
        <w:rPr>
          <w:rFonts w:hint="cs"/>
          <w:rtl/>
        </w:rPr>
        <w:t xml:space="preserve">משטר </w:t>
      </w:r>
      <w:r w:rsidRPr="006D5DD9">
        <w:rPr>
          <w:rFonts w:hint="cs"/>
          <w:rtl/>
        </w:rPr>
        <w:t>נשיא</w:t>
      </w:r>
      <w:r>
        <w:rPr>
          <w:rFonts w:hint="cs"/>
          <w:rtl/>
        </w:rPr>
        <w:t>ותי שבמסגרתו</w:t>
      </w:r>
      <w:r w:rsidRPr="006D5DD9">
        <w:rPr>
          <w:rFonts w:hint="cs"/>
          <w:rtl/>
        </w:rPr>
        <w:t xml:space="preserve"> נבחר </w:t>
      </w:r>
      <w:r>
        <w:rPr>
          <w:rFonts w:hint="cs"/>
          <w:rtl/>
        </w:rPr>
        <w:t xml:space="preserve">נשיא בעל סמכויות ביצועיות </w:t>
      </w:r>
      <w:r w:rsidRPr="006D5DD9">
        <w:rPr>
          <w:rFonts w:hint="cs"/>
          <w:rtl/>
        </w:rPr>
        <w:t>באופן עצמאי</w:t>
      </w:r>
      <w:r>
        <w:rPr>
          <w:rFonts w:hint="cs"/>
          <w:rtl/>
        </w:rPr>
        <w:t xml:space="preserve"> ונפרד מהבחירות לרשות המחוקקת</w:t>
      </w:r>
      <w:r w:rsidRPr="006D5DD9">
        <w:rPr>
          <w:rFonts w:hint="cs"/>
          <w:rtl/>
        </w:rPr>
        <w:t xml:space="preserve">; </w:t>
      </w:r>
      <w:r>
        <w:rPr>
          <w:rFonts w:hint="cs"/>
          <w:rtl/>
        </w:rPr>
        <w:t xml:space="preserve">שיטת הממשל אינה פדרלית, כך שהכוח השלטוני מרוכז בידי שלטון מרכזי אחד; </w:t>
      </w:r>
      <w:r w:rsidRPr="006D5DD9">
        <w:rPr>
          <w:rFonts w:hint="cs"/>
          <w:rtl/>
        </w:rPr>
        <w:t xml:space="preserve">ואין בישראל שיטת בחירות אזורית (להרחבה ראו עמיחי כהן ויניב רוזנאי "פופוליזם והדמוקרטיה החוקתית בישראל" </w:t>
      </w:r>
      <w:r w:rsidRPr="006D5DD9">
        <w:rPr>
          <w:rFonts w:ascii="Century" w:hAnsi="Century" w:cs="Miriam" w:hint="cs"/>
          <w:b/>
          <w:spacing w:val="0"/>
          <w:szCs w:val="24"/>
          <w:rtl/>
        </w:rPr>
        <w:t xml:space="preserve">עיוני משפט </w:t>
      </w:r>
      <w:r w:rsidRPr="006D5DD9">
        <w:rPr>
          <w:rFonts w:ascii="Century" w:hAnsi="Century" w:hint="cs"/>
          <w:rtl/>
        </w:rPr>
        <w:t>מד(1) 87, 122-117 (2021)</w:t>
      </w:r>
      <w:r w:rsidRPr="006D5DD9">
        <w:rPr>
          <w:rFonts w:hint="cs"/>
          <w:rtl/>
        </w:rPr>
        <w:t xml:space="preserve">). מצב דברים זה, שבו גרעין השליטה </w:t>
      </w:r>
      <w:r w:rsidRPr="006D5DD9">
        <w:rPr>
          <w:rtl/>
        </w:rPr>
        <w:t>–</w:t>
      </w:r>
      <w:r w:rsidRPr="006D5DD9">
        <w:rPr>
          <w:rFonts w:hint="cs"/>
          <w:rtl/>
        </w:rPr>
        <w:t xml:space="preserve"> הן בסמכויות הביצוע, הן בסמכויות החקיקה, הן בסמכויות הכינון </w:t>
      </w:r>
      <w:r w:rsidRPr="006D5DD9">
        <w:rPr>
          <w:rtl/>
        </w:rPr>
        <w:t>–</w:t>
      </w:r>
      <w:r w:rsidRPr="006D5DD9">
        <w:rPr>
          <w:rFonts w:hint="cs"/>
          <w:rtl/>
        </w:rPr>
        <w:t xml:space="preserve"> מוחזק </w:t>
      </w:r>
      <w:r>
        <w:rPr>
          <w:rFonts w:hint="cs"/>
          <w:rtl/>
        </w:rPr>
        <w:t xml:space="preserve">כולו, הלכה למעשה, </w:t>
      </w:r>
      <w:r w:rsidRPr="006D5DD9">
        <w:rPr>
          <w:rFonts w:hint="cs"/>
          <w:rtl/>
        </w:rPr>
        <w:t xml:space="preserve">בידי הממשלה אין לו אח ורע בעולם המערבי. </w:t>
      </w:r>
    </w:p>
    <w:p w:rsidR="00CB3B01" w:rsidRPr="006D5DD9" w:rsidRDefault="00CB3B01" w:rsidP="00CB3B01">
      <w:pPr>
        <w:pStyle w:val="Ruller41"/>
        <w:rPr>
          <w:rtl/>
        </w:rPr>
      </w:pPr>
    </w:p>
    <w:p w:rsidR="00CB3B01" w:rsidRPr="006D5DD9" w:rsidRDefault="00CB3B01" w:rsidP="00CB3B01">
      <w:pPr>
        <w:pStyle w:val="Ruller4"/>
        <w:rPr>
          <w:rtl/>
        </w:rPr>
      </w:pPr>
      <w:r w:rsidRPr="006D5DD9">
        <w:rPr>
          <w:rFonts w:hint="cs"/>
          <w:rtl/>
        </w:rPr>
        <w:t xml:space="preserve">בעיניי, מאפיינים אלה מקרינים במישרין על רף התערבותו של בית משפט זה </w:t>
      </w:r>
      <w:r>
        <w:rPr>
          <w:rFonts w:hint="cs"/>
          <w:rtl/>
        </w:rPr>
        <w:t>בכל הנוגע ל</w:t>
      </w:r>
      <w:r w:rsidRPr="006D5DD9">
        <w:rPr>
          <w:rFonts w:hint="cs"/>
          <w:rtl/>
        </w:rPr>
        <w:t xml:space="preserve">חריגתה של הכנסת מסמכותה המכוננת. ככל שהמנגנון לקביעת הוראות החוקה חלש יותר וחשוף יותר להשפעות זמניות-קואליציוניות </w:t>
      </w:r>
      <w:r w:rsidRPr="006D5DD9">
        <w:rPr>
          <w:rtl/>
        </w:rPr>
        <w:t>–</w:t>
      </w:r>
      <w:r w:rsidRPr="006D5DD9">
        <w:rPr>
          <w:rFonts w:hint="cs"/>
          <w:rtl/>
        </w:rPr>
        <w:t xml:space="preserve"> כך נחלשת ההצדקה ליתן להוראות אלו "חסינות" מביקורת שיפוטית. משכך, ובהינתן מערך האיזונים הרופף </w:t>
      </w:r>
      <w:r>
        <w:rPr>
          <w:rFonts w:hint="cs"/>
          <w:rtl/>
        </w:rPr>
        <w:t xml:space="preserve">והשברירי </w:t>
      </w:r>
      <w:r w:rsidRPr="006D5DD9">
        <w:rPr>
          <w:rFonts w:hint="cs"/>
          <w:rtl/>
        </w:rPr>
        <w:t xml:space="preserve">שקיים בעת הזו במשפט הישראלי, נוטה אני לדעה שדי בכך שחוק יסוד פוגע פגיעה חמורה בעמודי התווך של מדינת ישראל </w:t>
      </w:r>
      <w:r w:rsidRPr="006D5DD9">
        <w:rPr>
          <w:rtl/>
        </w:rPr>
        <w:t>–</w:t>
      </w:r>
      <w:r w:rsidRPr="006D5DD9">
        <w:rPr>
          <w:rFonts w:hint="cs"/>
          <w:rtl/>
        </w:rPr>
        <w:t xml:space="preserve"> זה היהודי או זה הדמוקרטי </w:t>
      </w:r>
      <w:r w:rsidRPr="006D5DD9">
        <w:rPr>
          <w:rtl/>
        </w:rPr>
        <w:t>–</w:t>
      </w:r>
      <w:r w:rsidRPr="006D5DD9">
        <w:rPr>
          <w:rFonts w:hint="cs"/>
          <w:rtl/>
        </w:rPr>
        <w:t xml:space="preserve"> כדי להצדיק את התערבותו של בית משפט זה. ואולם, כפי שציינו גם חלק מחבריי, תיקון מס' 3 אינו מחייב אותנו להכריע בשאלה זו </w:t>
      </w:r>
      <w:r w:rsidRPr="006D5DD9">
        <w:rPr>
          <w:rtl/>
        </w:rPr>
        <w:t>–</w:t>
      </w:r>
      <w:r>
        <w:rPr>
          <w:rFonts w:hint="cs"/>
          <w:rtl/>
        </w:rPr>
        <w:t xml:space="preserve"> </w:t>
      </w:r>
      <w:r w:rsidRPr="006D5DD9">
        <w:rPr>
          <w:rFonts w:hint="cs"/>
          <w:rtl/>
        </w:rPr>
        <w:t xml:space="preserve">מאחר </w:t>
      </w:r>
      <w:r>
        <w:rPr>
          <w:rFonts w:hint="cs"/>
          <w:rtl/>
        </w:rPr>
        <w:t xml:space="preserve">שהוא </w:t>
      </w:r>
      <w:r w:rsidRPr="006D5DD9">
        <w:rPr>
          <w:rFonts w:hint="cs"/>
          <w:rtl/>
        </w:rPr>
        <w:t xml:space="preserve">מצדיק התערבותנו אף לפי הרף המחמיר שנקבע בעניין </w:t>
      </w:r>
      <w:r w:rsidRPr="006D5DD9">
        <w:rPr>
          <w:rFonts w:cs="Miriam" w:hint="cs"/>
          <w:b/>
          <w:spacing w:val="0"/>
          <w:szCs w:val="24"/>
          <w:rtl/>
        </w:rPr>
        <w:t>חסון</w:t>
      </w:r>
      <w:r w:rsidRPr="006D5DD9">
        <w:rPr>
          <w:rFonts w:hint="cs"/>
          <w:rtl/>
        </w:rPr>
        <w:t xml:space="preserve">. </w:t>
      </w:r>
    </w:p>
    <w:p w:rsidR="00CB3B01" w:rsidRPr="006D5DD9" w:rsidRDefault="00CB3B01" w:rsidP="00CB3B01">
      <w:pPr>
        <w:pStyle w:val="Ruller41"/>
      </w:pPr>
    </w:p>
    <w:p w:rsidR="00CB3B01" w:rsidRPr="006D5DD9" w:rsidRDefault="00CB3B01" w:rsidP="00CB3B01">
      <w:pPr>
        <w:pStyle w:val="Ruller4"/>
        <w:rPr>
          <w:rFonts w:ascii="Century" w:hAnsi="Century"/>
          <w:sz w:val="22"/>
        </w:rPr>
      </w:pPr>
      <w:r w:rsidRPr="006D5DD9">
        <w:rPr>
          <w:rFonts w:ascii="Century" w:hAnsi="Century" w:hint="cs"/>
          <w:sz w:val="22"/>
          <w:rtl/>
        </w:rPr>
        <w:t xml:space="preserve">חבריי הנשיאה (בדימ') </w:t>
      </w:r>
      <w:r w:rsidRPr="006D5DD9">
        <w:rPr>
          <w:rFonts w:ascii="Century" w:hAnsi="Century" w:cs="Miriam" w:hint="cs"/>
          <w:b/>
          <w:spacing w:val="0"/>
          <w:sz w:val="22"/>
          <w:szCs w:val="24"/>
          <w:rtl/>
        </w:rPr>
        <w:t>חיות</w:t>
      </w:r>
      <w:r w:rsidRPr="006D5DD9">
        <w:rPr>
          <w:rFonts w:ascii="Century" w:hAnsi="Century" w:hint="cs"/>
          <w:sz w:val="22"/>
          <w:rtl/>
        </w:rPr>
        <w:t xml:space="preserve"> והשופטים </w:t>
      </w:r>
      <w:r w:rsidRPr="006D5DD9">
        <w:rPr>
          <w:rFonts w:ascii="Century" w:hAnsi="Century" w:cs="Miriam" w:hint="cs"/>
          <w:b/>
          <w:spacing w:val="0"/>
          <w:sz w:val="22"/>
          <w:szCs w:val="24"/>
          <w:rtl/>
        </w:rPr>
        <w:t xml:space="preserve">י' עמית </w:t>
      </w:r>
      <w:r w:rsidRPr="006D5DD9">
        <w:rPr>
          <w:rFonts w:ascii="Century" w:hAnsi="Century" w:hint="cs"/>
          <w:sz w:val="22"/>
          <w:rtl/>
        </w:rPr>
        <w:t>ו-</w:t>
      </w:r>
      <w:r w:rsidRPr="006D5DD9">
        <w:rPr>
          <w:rFonts w:ascii="Century" w:hAnsi="Century" w:cs="Miriam" w:hint="cs"/>
          <w:b/>
          <w:spacing w:val="0"/>
          <w:sz w:val="22"/>
          <w:szCs w:val="24"/>
          <w:rtl/>
        </w:rPr>
        <w:t xml:space="preserve">ר' רונן </w:t>
      </w:r>
      <w:r w:rsidRPr="006D5DD9">
        <w:rPr>
          <w:rFonts w:ascii="Century" w:hAnsi="Century" w:hint="cs"/>
          <w:sz w:val="22"/>
          <w:rtl/>
        </w:rPr>
        <w:t>עמדו בחוות דעתם באריכות על פגיעתו של תיקון מס' 3 ביסוד הדמוקרטי של המדינה. ואולם, פטור בלא כלום אי אפשר, ואתייחס אף אני בתמצית לפגיעה זו. תיקון מס' 3 ביקש לנעול את שערי בתי המשפט, לרבות בית משפט זה, מלדון וליתן סעד ביחס להחלטות בלתי סבירות של הממשלה, ראש הממשלה והשרים. עילת הסבירות שפותחה בפסיקת בתי המשפט משך עשרות שנים נועדה להבטיח כי רשויות השלטון לא יקבלו החלטות מבלי לשקול את השיקולים הרלוונטיים ומבלי שערכ</w:t>
      </w:r>
      <w:r>
        <w:rPr>
          <w:rFonts w:ascii="Century" w:hAnsi="Century" w:hint="cs"/>
          <w:sz w:val="22"/>
          <w:rtl/>
        </w:rPr>
        <w:t>ו</w:t>
      </w:r>
      <w:r w:rsidRPr="006D5DD9">
        <w:rPr>
          <w:rFonts w:ascii="Century" w:hAnsi="Century" w:hint="cs"/>
          <w:sz w:val="22"/>
          <w:rtl/>
        </w:rPr>
        <w:t xml:space="preserve"> ביניהם איזון ראוי. בעניין </w:t>
      </w:r>
      <w:r w:rsidRPr="006D5DD9">
        <w:rPr>
          <w:rFonts w:ascii="Century" w:hAnsi="Century" w:cs="Miriam" w:hint="cs"/>
          <w:b/>
          <w:spacing w:val="0"/>
          <w:sz w:val="22"/>
          <w:szCs w:val="24"/>
          <w:rtl/>
        </w:rPr>
        <w:t xml:space="preserve">אמונה </w:t>
      </w:r>
      <w:r w:rsidRPr="006D5DD9">
        <w:rPr>
          <w:rFonts w:ascii="Century" w:hAnsi="Century" w:hint="cs"/>
          <w:sz w:val="22"/>
          <w:rtl/>
        </w:rPr>
        <w:t>נקבע ביחס לעילת הסבירות כי:</w:t>
      </w:r>
    </w:p>
    <w:p w:rsidR="00CB3B01" w:rsidRPr="006D5DD9" w:rsidRDefault="00CB3B01" w:rsidP="00CB3B01">
      <w:pPr>
        <w:pStyle w:val="Ruller4"/>
        <w:numPr>
          <w:ilvl w:val="0"/>
          <w:numId w:val="0"/>
        </w:numPr>
        <w:rPr>
          <w:rFonts w:ascii="Century" w:hAnsi="Century"/>
          <w:sz w:val="22"/>
          <w:rtl/>
        </w:rPr>
      </w:pPr>
    </w:p>
    <w:p w:rsidR="00CB3B01" w:rsidRPr="006D5DD9" w:rsidRDefault="00CB3B01" w:rsidP="00CB3B01">
      <w:pPr>
        <w:pStyle w:val="Ruller5"/>
        <w:rPr>
          <w:rtl/>
        </w:rPr>
      </w:pPr>
      <w:r w:rsidRPr="006D5DD9">
        <w:rPr>
          <w:rtl/>
        </w:rPr>
        <w:t>"</w:t>
      </w:r>
      <w:r w:rsidRPr="006D5DD9">
        <w:rPr>
          <w:rFonts w:hint="eastAsia"/>
          <w:rtl/>
        </w:rPr>
        <w:t>על</w:t>
      </w:r>
      <w:r w:rsidRPr="006D5DD9">
        <w:rPr>
          <w:rtl/>
        </w:rPr>
        <w:t xml:space="preserve"> </w:t>
      </w:r>
      <w:r w:rsidRPr="006D5DD9">
        <w:rPr>
          <w:rFonts w:hint="eastAsia"/>
          <w:rtl/>
        </w:rPr>
        <w:t>פי</w:t>
      </w:r>
      <w:r w:rsidRPr="006D5DD9">
        <w:rPr>
          <w:rtl/>
        </w:rPr>
        <w:t xml:space="preserve"> </w:t>
      </w:r>
      <w:r w:rsidRPr="006D5DD9">
        <w:rPr>
          <w:rFonts w:hint="eastAsia"/>
          <w:rtl/>
        </w:rPr>
        <w:t>תפיסת</w:t>
      </w:r>
      <w:r w:rsidRPr="006D5DD9">
        <w:rPr>
          <w:rtl/>
        </w:rPr>
        <w:t xml:space="preserve"> </w:t>
      </w:r>
      <w:r w:rsidRPr="006D5DD9">
        <w:rPr>
          <w:rFonts w:hint="eastAsia"/>
          <w:rtl/>
        </w:rPr>
        <w:t>המשפט</w:t>
      </w:r>
      <w:r w:rsidRPr="006D5DD9">
        <w:rPr>
          <w:rtl/>
        </w:rPr>
        <w:t xml:space="preserve"> </w:t>
      </w:r>
      <w:r w:rsidRPr="006D5DD9">
        <w:rPr>
          <w:rFonts w:hint="eastAsia"/>
          <w:rtl/>
        </w:rPr>
        <w:t>המינהלי</w:t>
      </w:r>
      <w:r w:rsidRPr="006D5DD9">
        <w:rPr>
          <w:rtl/>
        </w:rPr>
        <w:t xml:space="preserve"> </w:t>
      </w:r>
      <w:r w:rsidRPr="006D5DD9">
        <w:rPr>
          <w:rFonts w:hint="eastAsia"/>
          <w:rtl/>
        </w:rPr>
        <w:t>בדורות</w:t>
      </w:r>
      <w:r w:rsidRPr="006D5DD9">
        <w:rPr>
          <w:rtl/>
        </w:rPr>
        <w:t xml:space="preserve"> </w:t>
      </w:r>
      <w:r w:rsidRPr="006D5DD9">
        <w:rPr>
          <w:rFonts w:hint="eastAsia"/>
          <w:rtl/>
        </w:rPr>
        <w:t>האחרונים</w:t>
      </w:r>
      <w:r w:rsidRPr="006D5DD9">
        <w:rPr>
          <w:rtl/>
        </w:rPr>
        <w:t xml:space="preserve"> </w:t>
      </w:r>
      <w:r w:rsidRPr="006D5DD9">
        <w:rPr>
          <w:rFonts w:hint="eastAsia"/>
          <w:rtl/>
        </w:rPr>
        <w:t>משמשת</w:t>
      </w:r>
      <w:r w:rsidRPr="006D5DD9">
        <w:rPr>
          <w:rtl/>
        </w:rPr>
        <w:t xml:space="preserve"> </w:t>
      </w:r>
      <w:r w:rsidRPr="006D5DD9">
        <w:rPr>
          <w:rFonts w:hint="eastAsia"/>
          <w:rtl/>
        </w:rPr>
        <w:t>עילת</w:t>
      </w:r>
      <w:r w:rsidRPr="006D5DD9">
        <w:rPr>
          <w:rtl/>
        </w:rPr>
        <w:t xml:space="preserve"> </w:t>
      </w:r>
      <w:r w:rsidRPr="006D5DD9">
        <w:rPr>
          <w:rFonts w:hint="eastAsia"/>
          <w:rtl/>
        </w:rPr>
        <w:t>הסבירות</w:t>
      </w:r>
      <w:r w:rsidRPr="006D5DD9">
        <w:rPr>
          <w:rtl/>
        </w:rPr>
        <w:t xml:space="preserve"> </w:t>
      </w:r>
      <w:r w:rsidRPr="006D5DD9">
        <w:rPr>
          <w:rFonts w:hint="eastAsia"/>
          <w:rtl/>
        </w:rPr>
        <w:t>מכשיר</w:t>
      </w:r>
      <w:r w:rsidRPr="006D5DD9">
        <w:rPr>
          <w:rtl/>
        </w:rPr>
        <w:t xml:space="preserve"> </w:t>
      </w:r>
      <w:r w:rsidRPr="006D5DD9">
        <w:rPr>
          <w:rFonts w:hint="eastAsia"/>
          <w:rtl/>
        </w:rPr>
        <w:t>מרכזי</w:t>
      </w:r>
      <w:r w:rsidRPr="006D5DD9">
        <w:rPr>
          <w:rtl/>
        </w:rPr>
        <w:t xml:space="preserve"> </w:t>
      </w:r>
      <w:r w:rsidRPr="006D5DD9">
        <w:rPr>
          <w:rFonts w:hint="eastAsia"/>
          <w:rtl/>
        </w:rPr>
        <w:t>וחיוני</w:t>
      </w:r>
      <w:r w:rsidRPr="006D5DD9">
        <w:rPr>
          <w:rtl/>
        </w:rPr>
        <w:t xml:space="preserve"> </w:t>
      </w:r>
      <w:r w:rsidRPr="006D5DD9">
        <w:rPr>
          <w:rFonts w:hint="eastAsia"/>
          <w:rtl/>
        </w:rPr>
        <w:t>של</w:t>
      </w:r>
      <w:r w:rsidRPr="006D5DD9">
        <w:rPr>
          <w:rtl/>
        </w:rPr>
        <w:t xml:space="preserve"> </w:t>
      </w:r>
      <w:r w:rsidRPr="006D5DD9">
        <w:rPr>
          <w:rFonts w:hint="eastAsia"/>
          <w:rtl/>
        </w:rPr>
        <w:t>הביקורת</w:t>
      </w:r>
      <w:r w:rsidRPr="006D5DD9">
        <w:rPr>
          <w:rtl/>
        </w:rPr>
        <w:t xml:space="preserve"> </w:t>
      </w:r>
      <w:r w:rsidRPr="006D5DD9">
        <w:rPr>
          <w:rFonts w:hint="eastAsia"/>
          <w:rtl/>
        </w:rPr>
        <w:t>השיפוטית</w:t>
      </w:r>
      <w:r w:rsidRPr="006D5DD9">
        <w:rPr>
          <w:rtl/>
        </w:rPr>
        <w:t xml:space="preserve"> </w:t>
      </w:r>
      <w:r w:rsidRPr="006D5DD9">
        <w:rPr>
          <w:rFonts w:hint="eastAsia"/>
          <w:rtl/>
        </w:rPr>
        <w:t>על</w:t>
      </w:r>
      <w:r w:rsidRPr="006D5DD9">
        <w:rPr>
          <w:rtl/>
        </w:rPr>
        <w:t xml:space="preserve"> </w:t>
      </w:r>
      <w:r w:rsidRPr="006D5DD9">
        <w:rPr>
          <w:rFonts w:hint="eastAsia"/>
          <w:rtl/>
        </w:rPr>
        <w:t>המינהל</w:t>
      </w:r>
      <w:r w:rsidRPr="006D5DD9">
        <w:rPr>
          <w:rtl/>
        </w:rPr>
        <w:t xml:space="preserve">, </w:t>
      </w:r>
      <w:r w:rsidRPr="006D5DD9">
        <w:rPr>
          <w:rFonts w:hint="eastAsia"/>
          <w:rtl/>
        </w:rPr>
        <w:t>והיא</w:t>
      </w:r>
      <w:r w:rsidRPr="006D5DD9">
        <w:rPr>
          <w:rtl/>
        </w:rPr>
        <w:t xml:space="preserve"> </w:t>
      </w:r>
      <w:r w:rsidRPr="006D5DD9">
        <w:rPr>
          <w:rFonts w:hint="eastAsia"/>
          <w:rtl/>
        </w:rPr>
        <w:t>ניצבת</w:t>
      </w:r>
      <w:r w:rsidRPr="006D5DD9">
        <w:rPr>
          <w:rtl/>
        </w:rPr>
        <w:t xml:space="preserve"> </w:t>
      </w:r>
      <w:r w:rsidRPr="006D5DD9">
        <w:rPr>
          <w:rFonts w:hint="eastAsia"/>
          <w:rtl/>
        </w:rPr>
        <w:t>במוקד</w:t>
      </w:r>
      <w:r w:rsidRPr="006D5DD9">
        <w:rPr>
          <w:rtl/>
        </w:rPr>
        <w:t xml:space="preserve"> </w:t>
      </w:r>
      <w:r w:rsidRPr="006D5DD9">
        <w:rPr>
          <w:rFonts w:hint="eastAsia"/>
          <w:rtl/>
        </w:rPr>
        <w:t>ההגנה</w:t>
      </w:r>
      <w:r w:rsidRPr="006D5DD9">
        <w:rPr>
          <w:rtl/>
        </w:rPr>
        <w:t xml:space="preserve"> </w:t>
      </w:r>
      <w:r w:rsidRPr="006D5DD9">
        <w:rPr>
          <w:rFonts w:hint="eastAsia"/>
          <w:rtl/>
        </w:rPr>
        <w:t>על</w:t>
      </w:r>
      <w:r w:rsidRPr="006D5DD9">
        <w:rPr>
          <w:rtl/>
        </w:rPr>
        <w:t xml:space="preserve"> </w:t>
      </w:r>
      <w:r w:rsidRPr="006D5DD9">
        <w:rPr>
          <w:rFonts w:hint="eastAsia"/>
          <w:rtl/>
        </w:rPr>
        <w:t>הפרט</w:t>
      </w:r>
      <w:r w:rsidRPr="006D5DD9">
        <w:rPr>
          <w:rtl/>
        </w:rPr>
        <w:t xml:space="preserve"> </w:t>
      </w:r>
      <w:r w:rsidRPr="006D5DD9">
        <w:rPr>
          <w:rFonts w:hint="eastAsia"/>
          <w:rtl/>
        </w:rPr>
        <w:t>והציבור</w:t>
      </w:r>
      <w:r w:rsidRPr="006D5DD9">
        <w:rPr>
          <w:rtl/>
        </w:rPr>
        <w:t xml:space="preserve"> </w:t>
      </w:r>
      <w:r w:rsidRPr="006D5DD9">
        <w:rPr>
          <w:rFonts w:hint="eastAsia"/>
          <w:rtl/>
        </w:rPr>
        <w:t>מפני</w:t>
      </w:r>
      <w:r w:rsidRPr="006D5DD9">
        <w:rPr>
          <w:rtl/>
        </w:rPr>
        <w:t xml:space="preserve"> </w:t>
      </w:r>
      <w:r w:rsidRPr="006D5DD9">
        <w:rPr>
          <w:rFonts w:hint="eastAsia"/>
          <w:rtl/>
        </w:rPr>
        <w:t>שרירות</w:t>
      </w:r>
      <w:r w:rsidRPr="006D5DD9">
        <w:rPr>
          <w:rtl/>
        </w:rPr>
        <w:t xml:space="preserve"> </w:t>
      </w:r>
      <w:r w:rsidRPr="006D5DD9">
        <w:rPr>
          <w:rFonts w:hint="eastAsia"/>
          <w:rtl/>
        </w:rPr>
        <w:t>השלטון</w:t>
      </w:r>
      <w:r w:rsidRPr="006D5DD9">
        <w:rPr>
          <w:rtl/>
        </w:rPr>
        <w:t xml:space="preserve">. [...] </w:t>
      </w:r>
      <w:r w:rsidRPr="006D5DD9">
        <w:rPr>
          <w:rFonts w:hint="eastAsia"/>
          <w:rtl/>
        </w:rPr>
        <w:t>בלא</w:t>
      </w:r>
      <w:r w:rsidRPr="006D5DD9">
        <w:rPr>
          <w:rtl/>
        </w:rPr>
        <w:t xml:space="preserve"> </w:t>
      </w:r>
      <w:r w:rsidRPr="006D5DD9">
        <w:rPr>
          <w:rFonts w:hint="eastAsia"/>
          <w:rtl/>
        </w:rPr>
        <w:t>הבטחה</w:t>
      </w:r>
      <w:r w:rsidRPr="006D5DD9">
        <w:rPr>
          <w:rtl/>
        </w:rPr>
        <w:t xml:space="preserve"> </w:t>
      </w:r>
      <w:r w:rsidRPr="006D5DD9">
        <w:rPr>
          <w:rFonts w:hint="eastAsia"/>
          <w:rtl/>
        </w:rPr>
        <w:t>כי</w:t>
      </w:r>
      <w:r w:rsidRPr="006D5DD9">
        <w:rPr>
          <w:rtl/>
        </w:rPr>
        <w:t xml:space="preserve"> </w:t>
      </w:r>
      <w:r w:rsidRPr="006D5DD9">
        <w:rPr>
          <w:rFonts w:hint="eastAsia"/>
          <w:rtl/>
        </w:rPr>
        <w:t>החלטת</w:t>
      </w:r>
      <w:r w:rsidRPr="006D5DD9">
        <w:rPr>
          <w:rtl/>
        </w:rPr>
        <w:t xml:space="preserve"> </w:t>
      </w:r>
      <w:r w:rsidRPr="006D5DD9">
        <w:rPr>
          <w:rFonts w:hint="eastAsia"/>
          <w:rtl/>
        </w:rPr>
        <w:t>המינהל</w:t>
      </w:r>
      <w:r w:rsidRPr="006D5DD9">
        <w:rPr>
          <w:rtl/>
        </w:rPr>
        <w:t xml:space="preserve"> </w:t>
      </w:r>
      <w:r w:rsidRPr="006D5DD9">
        <w:rPr>
          <w:rFonts w:hint="eastAsia"/>
          <w:rtl/>
        </w:rPr>
        <w:t>תהא</w:t>
      </w:r>
      <w:r w:rsidRPr="006D5DD9">
        <w:rPr>
          <w:rtl/>
        </w:rPr>
        <w:t xml:space="preserve"> </w:t>
      </w:r>
      <w:r w:rsidRPr="006D5DD9">
        <w:rPr>
          <w:rFonts w:hint="eastAsia"/>
          <w:rtl/>
        </w:rPr>
        <w:t>סבירה</w:t>
      </w:r>
      <w:r w:rsidRPr="006D5DD9">
        <w:rPr>
          <w:rtl/>
        </w:rPr>
        <w:t xml:space="preserve"> </w:t>
      </w:r>
      <w:r w:rsidRPr="006D5DD9">
        <w:rPr>
          <w:rFonts w:hint="eastAsia"/>
          <w:rtl/>
        </w:rPr>
        <w:t>ורציונלית</w:t>
      </w:r>
      <w:r w:rsidRPr="006D5DD9">
        <w:rPr>
          <w:rtl/>
        </w:rPr>
        <w:t xml:space="preserve">, </w:t>
      </w:r>
      <w:r w:rsidRPr="006D5DD9">
        <w:rPr>
          <w:rFonts w:hint="eastAsia"/>
          <w:rtl/>
        </w:rPr>
        <w:t>צפויים</w:t>
      </w:r>
      <w:r w:rsidRPr="006D5DD9">
        <w:rPr>
          <w:rtl/>
        </w:rPr>
        <w:t xml:space="preserve"> </w:t>
      </w:r>
      <w:r w:rsidRPr="006D5DD9">
        <w:rPr>
          <w:rFonts w:hint="eastAsia"/>
          <w:rtl/>
        </w:rPr>
        <w:t>הפרט</w:t>
      </w:r>
      <w:r w:rsidRPr="006D5DD9">
        <w:rPr>
          <w:rtl/>
        </w:rPr>
        <w:t xml:space="preserve"> </w:t>
      </w:r>
      <w:r w:rsidRPr="006D5DD9">
        <w:rPr>
          <w:rFonts w:hint="eastAsia"/>
          <w:rtl/>
        </w:rPr>
        <w:t>והציבור</w:t>
      </w:r>
      <w:r w:rsidRPr="006D5DD9">
        <w:rPr>
          <w:rtl/>
        </w:rPr>
        <w:t xml:space="preserve"> </w:t>
      </w:r>
      <w:r w:rsidRPr="006D5DD9">
        <w:rPr>
          <w:rFonts w:hint="eastAsia"/>
          <w:rtl/>
        </w:rPr>
        <w:t>להיפגע</w:t>
      </w:r>
      <w:r w:rsidRPr="006D5DD9">
        <w:rPr>
          <w:rtl/>
        </w:rPr>
        <w:t xml:space="preserve"> </w:t>
      </w:r>
      <w:r w:rsidRPr="006D5DD9">
        <w:rPr>
          <w:rFonts w:hint="eastAsia"/>
          <w:rtl/>
        </w:rPr>
        <w:t>פגיעה</w:t>
      </w:r>
      <w:r w:rsidRPr="006D5DD9">
        <w:rPr>
          <w:rtl/>
        </w:rPr>
        <w:t xml:space="preserve"> </w:t>
      </w:r>
      <w:r w:rsidRPr="006D5DD9">
        <w:rPr>
          <w:rFonts w:hint="eastAsia"/>
          <w:rtl/>
        </w:rPr>
        <w:t>קשה</w:t>
      </w:r>
      <w:r w:rsidRPr="006D5DD9">
        <w:rPr>
          <w:rtl/>
        </w:rPr>
        <w:t xml:space="preserve">. </w:t>
      </w:r>
      <w:r w:rsidRPr="006D5DD9">
        <w:rPr>
          <w:rFonts w:hint="eastAsia"/>
          <w:rtl/>
        </w:rPr>
        <w:t>אין</w:t>
      </w:r>
      <w:r w:rsidRPr="006D5DD9">
        <w:rPr>
          <w:rtl/>
        </w:rPr>
        <w:t xml:space="preserve"> </w:t>
      </w:r>
      <w:r w:rsidRPr="006D5DD9">
        <w:rPr>
          <w:rFonts w:hint="eastAsia"/>
          <w:rtl/>
        </w:rPr>
        <w:t>די</w:t>
      </w:r>
      <w:r w:rsidRPr="006D5DD9">
        <w:rPr>
          <w:rtl/>
        </w:rPr>
        <w:t xml:space="preserve"> </w:t>
      </w:r>
      <w:r w:rsidRPr="006D5DD9">
        <w:rPr>
          <w:rFonts w:hint="eastAsia"/>
          <w:rtl/>
        </w:rPr>
        <w:t>בקבלת</w:t>
      </w:r>
      <w:r w:rsidRPr="006D5DD9">
        <w:rPr>
          <w:rtl/>
        </w:rPr>
        <w:t xml:space="preserve"> </w:t>
      </w:r>
      <w:r w:rsidRPr="006D5DD9">
        <w:rPr>
          <w:rFonts w:hint="eastAsia"/>
          <w:rtl/>
        </w:rPr>
        <w:t>החלטה</w:t>
      </w:r>
      <w:r w:rsidRPr="006D5DD9">
        <w:rPr>
          <w:rtl/>
        </w:rPr>
        <w:t xml:space="preserve"> </w:t>
      </w:r>
      <w:r w:rsidRPr="006D5DD9">
        <w:rPr>
          <w:rFonts w:hint="eastAsia"/>
          <w:rtl/>
        </w:rPr>
        <w:t>מינהלית</w:t>
      </w:r>
      <w:r w:rsidRPr="006D5DD9">
        <w:rPr>
          <w:rtl/>
        </w:rPr>
        <w:t xml:space="preserve"> </w:t>
      </w:r>
      <w:r w:rsidRPr="006D5DD9">
        <w:rPr>
          <w:rFonts w:hint="eastAsia"/>
          <w:rtl/>
        </w:rPr>
        <w:t>בסמכות</w:t>
      </w:r>
      <w:r w:rsidRPr="006D5DD9">
        <w:rPr>
          <w:rtl/>
        </w:rPr>
        <w:t xml:space="preserve"> </w:t>
      </w:r>
      <w:r w:rsidRPr="006D5DD9">
        <w:rPr>
          <w:rFonts w:hint="eastAsia"/>
          <w:rtl/>
        </w:rPr>
        <w:t>ובתום</w:t>
      </w:r>
      <w:r w:rsidRPr="006D5DD9">
        <w:rPr>
          <w:rtl/>
        </w:rPr>
        <w:t xml:space="preserve"> </w:t>
      </w:r>
      <w:r w:rsidRPr="006D5DD9">
        <w:rPr>
          <w:rFonts w:hint="eastAsia"/>
          <w:rtl/>
        </w:rPr>
        <w:t>לב</w:t>
      </w:r>
      <w:r w:rsidRPr="006D5DD9">
        <w:rPr>
          <w:rtl/>
        </w:rPr>
        <w:t xml:space="preserve">. </w:t>
      </w:r>
      <w:r w:rsidRPr="006D5DD9">
        <w:rPr>
          <w:rFonts w:hint="eastAsia"/>
          <w:rtl/>
        </w:rPr>
        <w:t>על</w:t>
      </w:r>
      <w:r w:rsidRPr="006D5DD9">
        <w:rPr>
          <w:rtl/>
        </w:rPr>
        <w:t xml:space="preserve"> </w:t>
      </w:r>
      <w:r w:rsidRPr="006D5DD9">
        <w:rPr>
          <w:rFonts w:hint="eastAsia"/>
          <w:rtl/>
        </w:rPr>
        <w:t>ההחלטה</w:t>
      </w:r>
      <w:r w:rsidRPr="006D5DD9">
        <w:rPr>
          <w:rtl/>
        </w:rPr>
        <w:t xml:space="preserve"> </w:t>
      </w:r>
      <w:r w:rsidRPr="006D5DD9">
        <w:rPr>
          <w:rFonts w:hint="eastAsia"/>
          <w:rtl/>
        </w:rPr>
        <w:t>להיות</w:t>
      </w:r>
      <w:r w:rsidRPr="006D5DD9">
        <w:rPr>
          <w:rtl/>
        </w:rPr>
        <w:t xml:space="preserve"> </w:t>
      </w:r>
      <w:r w:rsidRPr="006D5DD9">
        <w:rPr>
          <w:rFonts w:hint="eastAsia"/>
          <w:rtl/>
        </w:rPr>
        <w:t>רציונלית</w:t>
      </w:r>
      <w:r w:rsidRPr="006D5DD9">
        <w:rPr>
          <w:rtl/>
        </w:rPr>
        <w:t xml:space="preserve"> </w:t>
      </w:r>
      <w:r w:rsidRPr="006D5DD9">
        <w:rPr>
          <w:rFonts w:hint="eastAsia"/>
          <w:rtl/>
        </w:rPr>
        <w:t>ונבונה</w:t>
      </w:r>
      <w:r w:rsidRPr="006D5DD9">
        <w:rPr>
          <w:rtl/>
        </w:rPr>
        <w:t xml:space="preserve"> </w:t>
      </w:r>
      <w:r w:rsidRPr="006D5DD9">
        <w:rPr>
          <w:rFonts w:hint="eastAsia"/>
          <w:rtl/>
        </w:rPr>
        <w:t>במסגרת</w:t>
      </w:r>
      <w:r w:rsidRPr="006D5DD9">
        <w:rPr>
          <w:rtl/>
        </w:rPr>
        <w:t xml:space="preserve"> </w:t>
      </w:r>
      <w:r w:rsidRPr="006D5DD9">
        <w:rPr>
          <w:rFonts w:hint="eastAsia"/>
          <w:rtl/>
        </w:rPr>
        <w:t>מיתחם</w:t>
      </w:r>
      <w:r w:rsidRPr="006D5DD9">
        <w:rPr>
          <w:rtl/>
        </w:rPr>
        <w:t xml:space="preserve"> </w:t>
      </w:r>
      <w:r w:rsidRPr="006D5DD9">
        <w:rPr>
          <w:rFonts w:hint="eastAsia"/>
          <w:rtl/>
        </w:rPr>
        <w:t>שיקול</w:t>
      </w:r>
      <w:r w:rsidRPr="006D5DD9">
        <w:rPr>
          <w:rtl/>
        </w:rPr>
        <w:t xml:space="preserve"> </w:t>
      </w:r>
      <w:r w:rsidRPr="006D5DD9">
        <w:rPr>
          <w:rFonts w:hint="eastAsia"/>
          <w:rtl/>
        </w:rPr>
        <w:t>הדעת</w:t>
      </w:r>
      <w:r w:rsidRPr="006D5DD9">
        <w:rPr>
          <w:rtl/>
        </w:rPr>
        <w:t xml:space="preserve"> </w:t>
      </w:r>
      <w:r w:rsidRPr="006D5DD9">
        <w:rPr>
          <w:rFonts w:hint="eastAsia"/>
          <w:rtl/>
        </w:rPr>
        <w:t>הנתון</w:t>
      </w:r>
      <w:r w:rsidRPr="006D5DD9">
        <w:rPr>
          <w:rtl/>
        </w:rPr>
        <w:t xml:space="preserve"> </w:t>
      </w:r>
      <w:r w:rsidRPr="006D5DD9">
        <w:rPr>
          <w:rFonts w:hint="eastAsia"/>
          <w:rtl/>
        </w:rPr>
        <w:t>לרשות</w:t>
      </w:r>
      <w:r w:rsidRPr="006D5DD9">
        <w:rPr>
          <w:rtl/>
        </w:rPr>
        <w:t xml:space="preserve"> </w:t>
      </w:r>
      <w:r w:rsidRPr="006D5DD9">
        <w:rPr>
          <w:rFonts w:hint="eastAsia"/>
          <w:rtl/>
        </w:rPr>
        <w:t>המוסמכת</w:t>
      </w:r>
      <w:r w:rsidRPr="006D5DD9">
        <w:rPr>
          <w:rtl/>
        </w:rPr>
        <w:t>" (</w:t>
      </w:r>
      <w:r w:rsidRPr="006D5DD9">
        <w:rPr>
          <w:rFonts w:hint="eastAsia"/>
          <w:rtl/>
        </w:rPr>
        <w:t>בג</w:t>
      </w:r>
      <w:r w:rsidRPr="006D5DD9">
        <w:rPr>
          <w:rtl/>
        </w:rPr>
        <w:t>"</w:t>
      </w:r>
      <w:r w:rsidRPr="006D5DD9">
        <w:rPr>
          <w:rFonts w:hint="eastAsia"/>
          <w:rtl/>
        </w:rPr>
        <w:t>ץ</w:t>
      </w:r>
      <w:r w:rsidRPr="006D5DD9">
        <w:rPr>
          <w:rtl/>
        </w:rPr>
        <w:t xml:space="preserve"> 5853/07 </w:t>
      </w:r>
      <w:r w:rsidRPr="006D5DD9">
        <w:rPr>
          <w:rFonts w:ascii="Century" w:hAnsi="Century" w:cs="Miriam" w:hint="eastAsia"/>
          <w:b/>
          <w:spacing w:val="0"/>
          <w:szCs w:val="24"/>
          <w:rtl/>
        </w:rPr>
        <w:t>אמונה</w:t>
      </w:r>
      <w:r w:rsidRPr="006D5DD9">
        <w:rPr>
          <w:rFonts w:ascii="Century" w:hAnsi="Century" w:cs="Miriam"/>
          <w:b/>
          <w:spacing w:val="0"/>
          <w:szCs w:val="24"/>
          <w:rtl/>
        </w:rPr>
        <w:t xml:space="preserve"> </w:t>
      </w:r>
      <w:r w:rsidRPr="006D5DD9">
        <w:rPr>
          <w:rFonts w:ascii="Century" w:hAnsi="Century" w:cs="Miriam" w:hint="eastAsia"/>
          <w:b/>
          <w:spacing w:val="0"/>
          <w:szCs w:val="24"/>
          <w:rtl/>
        </w:rPr>
        <w:t>תנועת</w:t>
      </w:r>
      <w:r w:rsidRPr="006D5DD9">
        <w:rPr>
          <w:rFonts w:ascii="Century" w:hAnsi="Century" w:cs="Miriam"/>
          <w:b/>
          <w:spacing w:val="0"/>
          <w:szCs w:val="24"/>
          <w:rtl/>
        </w:rPr>
        <w:t xml:space="preserve"> </w:t>
      </w:r>
      <w:r w:rsidRPr="006D5DD9">
        <w:rPr>
          <w:rFonts w:ascii="Century" w:hAnsi="Century" w:cs="Miriam" w:hint="eastAsia"/>
          <w:b/>
          <w:spacing w:val="0"/>
          <w:szCs w:val="24"/>
          <w:rtl/>
        </w:rPr>
        <w:t>האישה</w:t>
      </w:r>
      <w:r w:rsidRPr="006D5DD9">
        <w:rPr>
          <w:rFonts w:ascii="Century" w:hAnsi="Century" w:cs="Miriam"/>
          <w:b/>
          <w:spacing w:val="0"/>
          <w:szCs w:val="24"/>
          <w:rtl/>
        </w:rPr>
        <w:t xml:space="preserve"> </w:t>
      </w:r>
      <w:r w:rsidRPr="006D5DD9">
        <w:rPr>
          <w:rFonts w:ascii="Century" w:hAnsi="Century" w:cs="Miriam" w:hint="eastAsia"/>
          <w:b/>
          <w:spacing w:val="0"/>
          <w:szCs w:val="24"/>
          <w:rtl/>
        </w:rPr>
        <w:lastRenderedPageBreak/>
        <w:t>הדתית</w:t>
      </w:r>
      <w:r w:rsidRPr="006D5DD9">
        <w:rPr>
          <w:rFonts w:ascii="Century" w:hAnsi="Century" w:cs="Miriam"/>
          <w:b/>
          <w:spacing w:val="0"/>
          <w:szCs w:val="24"/>
          <w:rtl/>
        </w:rPr>
        <w:t xml:space="preserve"> </w:t>
      </w:r>
      <w:r w:rsidRPr="006D5DD9">
        <w:rPr>
          <w:rFonts w:ascii="Century" w:hAnsi="Century" w:cs="Miriam" w:hint="eastAsia"/>
          <w:b/>
          <w:spacing w:val="0"/>
          <w:szCs w:val="24"/>
          <w:rtl/>
        </w:rPr>
        <w:t>לאומית</w:t>
      </w:r>
      <w:r w:rsidRPr="006D5DD9">
        <w:rPr>
          <w:rFonts w:ascii="Century" w:hAnsi="Century" w:cs="Miriam"/>
          <w:b/>
          <w:spacing w:val="0"/>
          <w:szCs w:val="24"/>
          <w:rtl/>
        </w:rPr>
        <w:t xml:space="preserve"> </w:t>
      </w:r>
      <w:r w:rsidRPr="006D5DD9">
        <w:rPr>
          <w:rFonts w:ascii="Century" w:hAnsi="Century" w:cs="Miriam" w:hint="eastAsia"/>
          <w:b/>
          <w:spacing w:val="0"/>
          <w:szCs w:val="24"/>
          <w:rtl/>
        </w:rPr>
        <w:t>נ</w:t>
      </w:r>
      <w:r w:rsidRPr="006D5DD9">
        <w:rPr>
          <w:rFonts w:ascii="Century" w:hAnsi="Century" w:cs="Miriam"/>
          <w:b/>
          <w:spacing w:val="0"/>
          <w:szCs w:val="24"/>
          <w:rtl/>
        </w:rPr>
        <w:t xml:space="preserve">' </w:t>
      </w:r>
      <w:r w:rsidRPr="006D5DD9">
        <w:rPr>
          <w:rFonts w:ascii="Century" w:hAnsi="Century" w:cs="Miriam" w:hint="eastAsia"/>
          <w:b/>
          <w:spacing w:val="0"/>
          <w:szCs w:val="24"/>
          <w:rtl/>
        </w:rPr>
        <w:t>ראש</w:t>
      </w:r>
      <w:r w:rsidRPr="006D5DD9">
        <w:rPr>
          <w:rFonts w:ascii="Century" w:hAnsi="Century" w:cs="Miriam"/>
          <w:b/>
          <w:spacing w:val="0"/>
          <w:szCs w:val="24"/>
          <w:rtl/>
        </w:rPr>
        <w:t xml:space="preserve"> </w:t>
      </w:r>
      <w:r w:rsidRPr="006D5DD9">
        <w:rPr>
          <w:rFonts w:ascii="Century" w:hAnsi="Century" w:cs="Miriam" w:hint="eastAsia"/>
          <w:b/>
          <w:spacing w:val="0"/>
          <w:szCs w:val="24"/>
          <w:rtl/>
        </w:rPr>
        <w:t>הממשלה</w:t>
      </w:r>
      <w:r w:rsidRPr="006D5DD9">
        <w:rPr>
          <w:rtl/>
        </w:rPr>
        <w:t xml:space="preserve">, </w:t>
      </w:r>
      <w:r w:rsidRPr="006D5DD9">
        <w:rPr>
          <w:rFonts w:hint="eastAsia"/>
          <w:rtl/>
        </w:rPr>
        <w:t>פ</w:t>
      </w:r>
      <w:r w:rsidRPr="006D5DD9">
        <w:rPr>
          <w:rtl/>
        </w:rPr>
        <w:t>"</w:t>
      </w:r>
      <w:r w:rsidRPr="006D5DD9">
        <w:rPr>
          <w:rFonts w:hint="eastAsia"/>
          <w:rtl/>
        </w:rPr>
        <w:t>ד</w:t>
      </w:r>
      <w:r w:rsidRPr="006D5DD9">
        <w:rPr>
          <w:rtl/>
        </w:rPr>
        <w:t xml:space="preserve"> </w:t>
      </w:r>
      <w:r w:rsidRPr="006D5DD9">
        <w:rPr>
          <w:rFonts w:hint="eastAsia"/>
          <w:rtl/>
        </w:rPr>
        <w:t>סב</w:t>
      </w:r>
      <w:r w:rsidRPr="006D5DD9">
        <w:rPr>
          <w:rtl/>
        </w:rPr>
        <w:t xml:space="preserve">(3) 445, 487-486 (2007); </w:t>
      </w:r>
      <w:r w:rsidRPr="006D5DD9">
        <w:rPr>
          <w:rFonts w:hint="eastAsia"/>
          <w:rtl/>
        </w:rPr>
        <w:t>בקשה</w:t>
      </w:r>
      <w:r w:rsidRPr="006D5DD9">
        <w:rPr>
          <w:rtl/>
        </w:rPr>
        <w:t xml:space="preserve"> </w:t>
      </w:r>
      <w:r w:rsidRPr="006D5DD9">
        <w:rPr>
          <w:rFonts w:hint="eastAsia"/>
          <w:rtl/>
        </w:rPr>
        <w:t>לקיים</w:t>
      </w:r>
      <w:r w:rsidRPr="006D5DD9">
        <w:rPr>
          <w:rtl/>
        </w:rPr>
        <w:t xml:space="preserve"> </w:t>
      </w:r>
      <w:r w:rsidRPr="006D5DD9">
        <w:rPr>
          <w:rFonts w:hint="eastAsia"/>
          <w:rtl/>
        </w:rPr>
        <w:t>דיון</w:t>
      </w:r>
      <w:r w:rsidRPr="006D5DD9">
        <w:rPr>
          <w:rtl/>
        </w:rPr>
        <w:t xml:space="preserve"> </w:t>
      </w:r>
      <w:r w:rsidRPr="006D5DD9">
        <w:rPr>
          <w:rFonts w:hint="eastAsia"/>
          <w:rtl/>
        </w:rPr>
        <w:t>נוסף</w:t>
      </w:r>
      <w:r w:rsidRPr="006D5DD9">
        <w:rPr>
          <w:rtl/>
        </w:rPr>
        <w:t xml:space="preserve"> </w:t>
      </w:r>
      <w:r w:rsidRPr="006D5DD9">
        <w:rPr>
          <w:rFonts w:hint="eastAsia"/>
          <w:rtl/>
        </w:rPr>
        <w:t>בפסק</w:t>
      </w:r>
      <w:r w:rsidRPr="006D5DD9">
        <w:rPr>
          <w:rtl/>
        </w:rPr>
        <w:t xml:space="preserve"> </w:t>
      </w:r>
      <w:r w:rsidRPr="006D5DD9">
        <w:rPr>
          <w:rFonts w:hint="eastAsia"/>
          <w:rtl/>
        </w:rPr>
        <w:t>דין</w:t>
      </w:r>
      <w:r w:rsidRPr="006D5DD9">
        <w:rPr>
          <w:rtl/>
        </w:rPr>
        <w:t xml:space="preserve"> </w:t>
      </w:r>
      <w:r w:rsidRPr="006D5DD9">
        <w:rPr>
          <w:rFonts w:hint="eastAsia"/>
          <w:rtl/>
        </w:rPr>
        <w:t>זה</w:t>
      </w:r>
      <w:r w:rsidRPr="006D5DD9">
        <w:rPr>
          <w:rtl/>
        </w:rPr>
        <w:t xml:space="preserve"> </w:t>
      </w:r>
      <w:r w:rsidRPr="006D5DD9">
        <w:rPr>
          <w:rFonts w:hint="eastAsia"/>
          <w:rtl/>
        </w:rPr>
        <w:t>נדחתה</w:t>
      </w:r>
      <w:r w:rsidRPr="006D5DD9">
        <w:rPr>
          <w:rtl/>
        </w:rPr>
        <w:t xml:space="preserve">, </w:t>
      </w:r>
      <w:r w:rsidRPr="006D5DD9">
        <w:rPr>
          <w:rFonts w:hint="eastAsia"/>
          <w:rtl/>
        </w:rPr>
        <w:t>דנג</w:t>
      </w:r>
      <w:r w:rsidRPr="006D5DD9">
        <w:rPr>
          <w:rtl/>
        </w:rPr>
        <w:t>"</w:t>
      </w:r>
      <w:r w:rsidRPr="006D5DD9">
        <w:rPr>
          <w:rFonts w:hint="eastAsia"/>
          <w:rtl/>
        </w:rPr>
        <w:t>ץ</w:t>
      </w:r>
      <w:r w:rsidRPr="006D5DD9">
        <w:rPr>
          <w:rtl/>
        </w:rPr>
        <w:t xml:space="preserve"> 10673/07 </w:t>
      </w:r>
      <w:r w:rsidRPr="006D5DD9">
        <w:rPr>
          <w:rFonts w:ascii="Century" w:hAnsi="Century" w:cs="Miriam" w:hint="eastAsia"/>
          <w:b/>
          <w:spacing w:val="0"/>
          <w:szCs w:val="24"/>
          <w:rtl/>
        </w:rPr>
        <w:t>פורום</w:t>
      </w:r>
      <w:r w:rsidRPr="006D5DD9">
        <w:rPr>
          <w:rFonts w:ascii="Century" w:hAnsi="Century" w:cs="Miriam"/>
          <w:b/>
          <w:spacing w:val="0"/>
          <w:szCs w:val="24"/>
          <w:rtl/>
        </w:rPr>
        <w:t xml:space="preserve"> </w:t>
      </w:r>
      <w:r w:rsidRPr="006D5DD9">
        <w:rPr>
          <w:rFonts w:ascii="Century" w:hAnsi="Century" w:cs="Miriam" w:hint="eastAsia"/>
          <w:b/>
          <w:spacing w:val="0"/>
          <w:szCs w:val="24"/>
          <w:rtl/>
        </w:rPr>
        <w:t>משפטי</w:t>
      </w:r>
      <w:r w:rsidRPr="006D5DD9">
        <w:rPr>
          <w:rFonts w:ascii="Century" w:hAnsi="Century" w:cs="Miriam"/>
          <w:b/>
          <w:spacing w:val="0"/>
          <w:szCs w:val="24"/>
          <w:rtl/>
        </w:rPr>
        <w:t xml:space="preserve"> </w:t>
      </w:r>
      <w:r w:rsidRPr="006D5DD9">
        <w:rPr>
          <w:rFonts w:ascii="Century" w:hAnsi="Century" w:cs="Miriam" w:hint="eastAsia"/>
          <w:b/>
          <w:spacing w:val="0"/>
          <w:szCs w:val="24"/>
          <w:rtl/>
        </w:rPr>
        <w:t>למען</w:t>
      </w:r>
      <w:r w:rsidRPr="006D5DD9">
        <w:rPr>
          <w:rFonts w:ascii="Century" w:hAnsi="Century" w:cs="Miriam"/>
          <w:b/>
          <w:spacing w:val="0"/>
          <w:szCs w:val="24"/>
          <w:rtl/>
        </w:rPr>
        <w:t xml:space="preserve"> </w:t>
      </w:r>
      <w:r w:rsidRPr="006D5DD9">
        <w:rPr>
          <w:rFonts w:ascii="Century" w:hAnsi="Century" w:cs="Miriam" w:hint="eastAsia"/>
          <w:b/>
          <w:spacing w:val="0"/>
          <w:szCs w:val="24"/>
          <w:rtl/>
        </w:rPr>
        <w:t>ארץ</w:t>
      </w:r>
      <w:r w:rsidRPr="006D5DD9">
        <w:rPr>
          <w:rFonts w:ascii="Century" w:hAnsi="Century" w:cs="Miriam"/>
          <w:b/>
          <w:spacing w:val="0"/>
          <w:szCs w:val="24"/>
          <w:rtl/>
        </w:rPr>
        <w:t xml:space="preserve"> </w:t>
      </w:r>
      <w:r w:rsidRPr="006D5DD9">
        <w:rPr>
          <w:rFonts w:ascii="Century" w:hAnsi="Century" w:cs="Miriam" w:hint="eastAsia"/>
          <w:b/>
          <w:spacing w:val="0"/>
          <w:szCs w:val="24"/>
          <w:rtl/>
        </w:rPr>
        <w:t>ישראל</w:t>
      </w:r>
      <w:r w:rsidRPr="006D5DD9">
        <w:rPr>
          <w:rFonts w:ascii="Century" w:hAnsi="Century" w:cs="Miriam"/>
          <w:b/>
          <w:spacing w:val="0"/>
          <w:szCs w:val="24"/>
          <w:rtl/>
        </w:rPr>
        <w:t xml:space="preserve"> </w:t>
      </w:r>
      <w:r w:rsidRPr="006D5DD9">
        <w:rPr>
          <w:rFonts w:ascii="Century" w:hAnsi="Century" w:cs="Miriam" w:hint="eastAsia"/>
          <w:b/>
          <w:spacing w:val="0"/>
          <w:szCs w:val="24"/>
          <w:rtl/>
        </w:rPr>
        <w:t>נ</w:t>
      </w:r>
      <w:r w:rsidRPr="006D5DD9">
        <w:rPr>
          <w:rFonts w:ascii="Century" w:hAnsi="Century" w:cs="Miriam"/>
          <w:b/>
          <w:spacing w:val="0"/>
          <w:szCs w:val="24"/>
          <w:rtl/>
        </w:rPr>
        <w:t xml:space="preserve">' </w:t>
      </w:r>
      <w:r w:rsidRPr="006D5DD9">
        <w:rPr>
          <w:rFonts w:ascii="Century" w:hAnsi="Century" w:cs="Miriam" w:hint="eastAsia"/>
          <w:b/>
          <w:spacing w:val="0"/>
          <w:szCs w:val="24"/>
          <w:rtl/>
        </w:rPr>
        <w:t>ראש</w:t>
      </w:r>
      <w:r w:rsidRPr="006D5DD9">
        <w:rPr>
          <w:rFonts w:ascii="Century" w:hAnsi="Century" w:cs="Miriam"/>
          <w:b/>
          <w:spacing w:val="0"/>
          <w:szCs w:val="24"/>
          <w:rtl/>
        </w:rPr>
        <w:t xml:space="preserve"> </w:t>
      </w:r>
      <w:r w:rsidRPr="006D5DD9">
        <w:rPr>
          <w:rFonts w:ascii="Century" w:hAnsi="Century" w:cs="Miriam" w:hint="eastAsia"/>
          <w:b/>
          <w:spacing w:val="0"/>
          <w:szCs w:val="24"/>
          <w:rtl/>
        </w:rPr>
        <w:t>ממשלת</w:t>
      </w:r>
      <w:r w:rsidRPr="006D5DD9">
        <w:rPr>
          <w:rFonts w:ascii="Century" w:hAnsi="Century" w:cs="Miriam"/>
          <w:b/>
          <w:spacing w:val="0"/>
          <w:szCs w:val="24"/>
          <w:rtl/>
        </w:rPr>
        <w:t xml:space="preserve"> </w:t>
      </w:r>
      <w:r w:rsidRPr="006D5DD9">
        <w:rPr>
          <w:rFonts w:ascii="Century" w:hAnsi="Century" w:cs="Miriam" w:hint="eastAsia"/>
          <w:b/>
          <w:spacing w:val="0"/>
          <w:szCs w:val="24"/>
          <w:rtl/>
        </w:rPr>
        <w:t>ישראל</w:t>
      </w:r>
      <w:r w:rsidRPr="006D5DD9">
        <w:rPr>
          <w:rtl/>
        </w:rPr>
        <w:t xml:space="preserve"> (9.3.2008)</w:t>
      </w:r>
      <w:r w:rsidRPr="006D5DD9">
        <w:rPr>
          <w:rFonts w:hint="cs"/>
          <w:rtl/>
        </w:rPr>
        <w:t xml:space="preserve">; כן ראו דנ"פ 5387/20 </w:t>
      </w:r>
      <w:r w:rsidRPr="006D5DD9">
        <w:rPr>
          <w:rFonts w:ascii="Century" w:hAnsi="Century" w:cs="Miriam" w:hint="cs"/>
          <w:b/>
          <w:spacing w:val="0"/>
          <w:szCs w:val="24"/>
          <w:rtl/>
        </w:rPr>
        <w:t>רותם נ' מדינת ישראל</w:t>
      </w:r>
      <w:r w:rsidRPr="006D5DD9">
        <w:rPr>
          <w:rFonts w:ascii="Century" w:hAnsi="Century" w:hint="cs"/>
          <w:rtl/>
        </w:rPr>
        <w:t>, פסקאות 34-33 לפסק דיני (15.12.2021)</w:t>
      </w:r>
      <w:r w:rsidRPr="006D5DD9">
        <w:rPr>
          <w:rtl/>
        </w:rPr>
        <w:t>).</w:t>
      </w:r>
    </w:p>
    <w:p w:rsidR="00CB3B01" w:rsidRPr="006D5DD9" w:rsidRDefault="00CB3B01" w:rsidP="00CB3B01">
      <w:pPr>
        <w:pStyle w:val="Ruller4"/>
        <w:numPr>
          <w:ilvl w:val="0"/>
          <w:numId w:val="0"/>
        </w:numPr>
        <w:rPr>
          <w:rFonts w:ascii="Century" w:hAnsi="Century"/>
          <w:sz w:val="22"/>
          <w:rtl/>
        </w:rPr>
      </w:pPr>
    </w:p>
    <w:p w:rsidR="00CB3B01" w:rsidRPr="006D5DD9" w:rsidRDefault="00CB3B01" w:rsidP="00CB3B01">
      <w:pPr>
        <w:pStyle w:val="Ruller4"/>
        <w:rPr>
          <w:rtl/>
        </w:rPr>
      </w:pPr>
      <w:r w:rsidRPr="006D5DD9">
        <w:rPr>
          <w:rFonts w:hint="cs"/>
          <w:rtl/>
        </w:rPr>
        <w:t xml:space="preserve">בתיקון מס' 3, שחסם כל אפשרות לדיון בבתי המשפט בטענת חוסר סבירות </w:t>
      </w:r>
      <w:r>
        <w:rPr>
          <w:rFonts w:hint="cs"/>
          <w:rtl/>
        </w:rPr>
        <w:t>ביחס לדרג המיניסטריאלי</w:t>
      </w:r>
      <w:r w:rsidRPr="006D5DD9">
        <w:rPr>
          <w:rFonts w:hint="cs"/>
          <w:rtl/>
        </w:rPr>
        <w:t xml:space="preserve">, מגולמת פגיעה אנושה בעקרון שלטון החוק ובעקרון הפרדת הרשויות </w:t>
      </w:r>
      <w:r w:rsidRPr="006D5DD9">
        <w:rPr>
          <w:rtl/>
        </w:rPr>
        <w:t>–</w:t>
      </w:r>
      <w:r w:rsidRPr="006D5DD9">
        <w:rPr>
          <w:rFonts w:hint="cs"/>
          <w:rtl/>
        </w:rPr>
        <w:t xml:space="preserve"> מהיסודיים שבעקרונות הדמוקרטיה. את פגיעתו של התיקון בעקרונות אל</w:t>
      </w:r>
      <w:r>
        <w:rPr>
          <w:rFonts w:hint="cs"/>
          <w:rtl/>
        </w:rPr>
        <w:t>ה</w:t>
      </w:r>
      <w:r w:rsidRPr="006D5DD9">
        <w:rPr>
          <w:rFonts w:hint="cs"/>
          <w:rtl/>
        </w:rPr>
        <w:t xml:space="preserve"> ניתן לשרטט בשלושה מעגלים:</w:t>
      </w:r>
    </w:p>
    <w:p w:rsidR="00CB3B01" w:rsidRPr="006D5DD9" w:rsidRDefault="00CB3B01" w:rsidP="00CB3B01">
      <w:pPr>
        <w:pStyle w:val="Ruller41"/>
        <w:rPr>
          <w:rtl/>
        </w:rPr>
      </w:pPr>
    </w:p>
    <w:p w:rsidR="00CB3B01" w:rsidRPr="006D5DD9" w:rsidRDefault="00CB3B01" w:rsidP="00CB3B01">
      <w:pPr>
        <w:pStyle w:val="Ruller41"/>
        <w:rPr>
          <w:rtl/>
        </w:rPr>
      </w:pPr>
      <w:r w:rsidRPr="006D5DD9">
        <w:rPr>
          <w:rtl/>
        </w:rPr>
        <w:tab/>
      </w:r>
      <w:r w:rsidRPr="006D5DD9">
        <w:rPr>
          <w:rFonts w:ascii="Century" w:hAnsi="Century" w:cs="Miriam" w:hint="cs"/>
          <w:b/>
          <w:spacing w:val="0"/>
          <w:szCs w:val="24"/>
          <w:rtl/>
        </w:rPr>
        <w:t>במעגל הראשון</w:t>
      </w:r>
      <w:r w:rsidRPr="006D5DD9">
        <w:rPr>
          <w:rFonts w:hint="cs"/>
          <w:rtl/>
        </w:rPr>
        <w:t xml:space="preserve"> ניצב הפרט שנפגע מהחלטה בלתי סבירה. עבור פרט זה, עצם נעילת שערי בית המשפט היא חריגה ותקדימית מאין כמותה. לראשונה </w:t>
      </w:r>
      <w:r>
        <w:rPr>
          <w:rFonts w:hint="cs"/>
          <w:rtl/>
        </w:rPr>
        <w:t>נקבעה</w:t>
      </w:r>
      <w:r w:rsidRPr="006D5DD9">
        <w:rPr>
          <w:rFonts w:hint="cs"/>
          <w:rtl/>
        </w:rPr>
        <w:t xml:space="preserve"> בחוק יסוד הוראה שמונעת ממי שנפגע מהחלטה שלטונית להביאה לבירור לפני הערכאה המתאימה. כפי שכבר צוין בעבר, בהקשר אחר: "</w:t>
      </w:r>
      <w:r w:rsidRPr="006D5DD9">
        <w:rPr>
          <w:rFonts w:hint="eastAsia"/>
          <w:rtl/>
        </w:rPr>
        <w:t>חסימת</w:t>
      </w:r>
      <w:r w:rsidRPr="006D5DD9">
        <w:rPr>
          <w:rtl/>
        </w:rPr>
        <w:t xml:space="preserve"> </w:t>
      </w:r>
      <w:r w:rsidRPr="006D5DD9">
        <w:rPr>
          <w:rFonts w:hint="eastAsia"/>
          <w:rtl/>
        </w:rPr>
        <w:t>הדרך</w:t>
      </w:r>
      <w:r w:rsidRPr="006D5DD9">
        <w:rPr>
          <w:rtl/>
        </w:rPr>
        <w:t xml:space="preserve"> </w:t>
      </w:r>
      <w:r w:rsidRPr="006D5DD9">
        <w:rPr>
          <w:rFonts w:hint="eastAsia"/>
          <w:rtl/>
        </w:rPr>
        <w:t>לבית</w:t>
      </w:r>
      <w:r w:rsidRPr="006D5DD9">
        <w:rPr>
          <w:rtl/>
        </w:rPr>
        <w:t>-</w:t>
      </w:r>
      <w:r w:rsidRPr="006D5DD9">
        <w:rPr>
          <w:rFonts w:hint="eastAsia"/>
          <w:rtl/>
        </w:rPr>
        <w:t>משפט</w:t>
      </w:r>
      <w:r w:rsidRPr="006D5DD9">
        <w:rPr>
          <w:rtl/>
        </w:rPr>
        <w:t xml:space="preserve"> – </w:t>
      </w:r>
      <w:r w:rsidRPr="006D5DD9">
        <w:rPr>
          <w:rFonts w:hint="eastAsia"/>
          <w:rtl/>
        </w:rPr>
        <w:t>בין</w:t>
      </w:r>
      <w:r w:rsidRPr="006D5DD9">
        <w:rPr>
          <w:rtl/>
        </w:rPr>
        <w:t xml:space="preserve"> </w:t>
      </w:r>
      <w:r w:rsidRPr="006D5DD9">
        <w:rPr>
          <w:rFonts w:hint="eastAsia"/>
          <w:rtl/>
        </w:rPr>
        <w:t>במישרין</w:t>
      </w:r>
      <w:r w:rsidRPr="006D5DD9">
        <w:rPr>
          <w:rtl/>
        </w:rPr>
        <w:t xml:space="preserve"> </w:t>
      </w:r>
      <w:r w:rsidRPr="006D5DD9">
        <w:rPr>
          <w:rFonts w:hint="eastAsia"/>
          <w:rtl/>
        </w:rPr>
        <w:t>בין</w:t>
      </w:r>
      <w:r w:rsidRPr="006D5DD9">
        <w:rPr>
          <w:rtl/>
        </w:rPr>
        <w:t xml:space="preserve"> </w:t>
      </w:r>
      <w:r w:rsidRPr="006D5DD9">
        <w:rPr>
          <w:rFonts w:hint="eastAsia"/>
          <w:rtl/>
        </w:rPr>
        <w:t>בעקיפין</w:t>
      </w:r>
      <w:r w:rsidRPr="006D5DD9">
        <w:rPr>
          <w:rtl/>
        </w:rPr>
        <w:t xml:space="preserve"> – </w:t>
      </w:r>
      <w:r w:rsidRPr="006D5DD9">
        <w:rPr>
          <w:rFonts w:hint="eastAsia"/>
          <w:rtl/>
        </w:rPr>
        <w:t>ולו</w:t>
      </w:r>
      <w:r w:rsidRPr="006D5DD9">
        <w:rPr>
          <w:rtl/>
        </w:rPr>
        <w:t xml:space="preserve"> </w:t>
      </w:r>
      <w:r w:rsidRPr="006D5DD9">
        <w:rPr>
          <w:rFonts w:hint="eastAsia"/>
          <w:rtl/>
        </w:rPr>
        <w:t>באורח</w:t>
      </w:r>
      <w:r w:rsidRPr="006D5DD9">
        <w:rPr>
          <w:rtl/>
        </w:rPr>
        <w:t xml:space="preserve"> </w:t>
      </w:r>
      <w:r w:rsidRPr="006D5DD9">
        <w:rPr>
          <w:rFonts w:hint="eastAsia"/>
          <w:rtl/>
        </w:rPr>
        <w:t>חלקי</w:t>
      </w:r>
      <w:r w:rsidRPr="006D5DD9">
        <w:rPr>
          <w:rtl/>
        </w:rPr>
        <w:t xml:space="preserve">, </w:t>
      </w:r>
      <w:r w:rsidRPr="006D5DD9">
        <w:rPr>
          <w:rFonts w:hint="eastAsia"/>
          <w:rtl/>
        </w:rPr>
        <w:t>חותרת</w:t>
      </w:r>
      <w:r w:rsidRPr="006D5DD9">
        <w:rPr>
          <w:rtl/>
        </w:rPr>
        <w:t xml:space="preserve"> </w:t>
      </w:r>
      <w:r w:rsidRPr="006D5DD9">
        <w:rPr>
          <w:rFonts w:hint="eastAsia"/>
          <w:rtl/>
        </w:rPr>
        <w:t>תחת</w:t>
      </w:r>
      <w:r w:rsidRPr="006D5DD9">
        <w:rPr>
          <w:rtl/>
        </w:rPr>
        <w:t xml:space="preserve"> </w:t>
      </w:r>
      <w:r w:rsidRPr="006D5DD9">
        <w:rPr>
          <w:rFonts w:hint="eastAsia"/>
          <w:rtl/>
        </w:rPr>
        <w:t>ה</w:t>
      </w:r>
      <w:r w:rsidRPr="006D5DD9">
        <w:rPr>
          <w:rtl/>
        </w:rPr>
        <w:t>-</w:t>
      </w:r>
      <w:r w:rsidRPr="006D5DD9">
        <w:rPr>
          <w:rFonts w:ascii="Century" w:hAnsi="Century" w:cs="Miriam"/>
          <w:bCs/>
          <w:spacing w:val="0"/>
          <w:szCs w:val="24"/>
        </w:rPr>
        <w:t>raison d’etre</w:t>
      </w:r>
      <w:r w:rsidRPr="006D5DD9">
        <w:rPr>
          <w:rtl/>
        </w:rPr>
        <w:t xml:space="preserve"> </w:t>
      </w:r>
      <w:r w:rsidRPr="006D5DD9">
        <w:rPr>
          <w:rFonts w:hint="eastAsia"/>
          <w:rtl/>
        </w:rPr>
        <w:t>של</w:t>
      </w:r>
      <w:r w:rsidRPr="006D5DD9">
        <w:rPr>
          <w:rtl/>
        </w:rPr>
        <w:t xml:space="preserve"> </w:t>
      </w:r>
      <w:r w:rsidRPr="006D5DD9">
        <w:rPr>
          <w:rFonts w:hint="eastAsia"/>
          <w:rtl/>
        </w:rPr>
        <w:t>הרשות</w:t>
      </w:r>
      <w:r w:rsidRPr="006D5DD9">
        <w:rPr>
          <w:rtl/>
        </w:rPr>
        <w:t xml:space="preserve"> </w:t>
      </w:r>
      <w:r w:rsidRPr="006D5DD9">
        <w:rPr>
          <w:rFonts w:hint="eastAsia"/>
          <w:rtl/>
        </w:rPr>
        <w:t>השופטת</w:t>
      </w:r>
      <w:r w:rsidRPr="006D5DD9">
        <w:rPr>
          <w:rtl/>
        </w:rPr>
        <w:t xml:space="preserve">. </w:t>
      </w:r>
      <w:r w:rsidRPr="006D5DD9">
        <w:rPr>
          <w:rFonts w:hint="eastAsia"/>
          <w:rtl/>
        </w:rPr>
        <w:t>ופגיעה</w:t>
      </w:r>
      <w:r w:rsidRPr="006D5DD9">
        <w:rPr>
          <w:rtl/>
        </w:rPr>
        <w:t xml:space="preserve"> </w:t>
      </w:r>
      <w:r w:rsidRPr="006D5DD9">
        <w:rPr>
          <w:rFonts w:hint="eastAsia"/>
          <w:rtl/>
        </w:rPr>
        <w:t>ברשות</w:t>
      </w:r>
      <w:r w:rsidRPr="006D5DD9">
        <w:rPr>
          <w:rtl/>
        </w:rPr>
        <w:t xml:space="preserve"> </w:t>
      </w:r>
      <w:r w:rsidRPr="006D5DD9">
        <w:rPr>
          <w:rFonts w:hint="eastAsia"/>
          <w:rtl/>
        </w:rPr>
        <w:t>השופטת</w:t>
      </w:r>
      <w:r w:rsidRPr="006D5DD9">
        <w:rPr>
          <w:rtl/>
        </w:rPr>
        <w:t xml:space="preserve"> </w:t>
      </w:r>
      <w:r w:rsidRPr="006D5DD9">
        <w:rPr>
          <w:rFonts w:hint="eastAsia"/>
          <w:rtl/>
        </w:rPr>
        <w:t>פירושה</w:t>
      </w:r>
      <w:r w:rsidRPr="006D5DD9">
        <w:rPr>
          <w:rtl/>
        </w:rPr>
        <w:t xml:space="preserve"> </w:t>
      </w:r>
      <w:r w:rsidRPr="006D5DD9">
        <w:rPr>
          <w:rFonts w:hint="eastAsia"/>
          <w:rtl/>
        </w:rPr>
        <w:t>פגיעה</w:t>
      </w:r>
      <w:r w:rsidRPr="006D5DD9">
        <w:rPr>
          <w:rtl/>
        </w:rPr>
        <w:t xml:space="preserve"> </w:t>
      </w:r>
      <w:r w:rsidRPr="006D5DD9">
        <w:rPr>
          <w:rFonts w:hint="eastAsia"/>
          <w:rtl/>
        </w:rPr>
        <w:t>ביסוד</w:t>
      </w:r>
      <w:r w:rsidRPr="006D5DD9">
        <w:rPr>
          <w:rtl/>
        </w:rPr>
        <w:t xml:space="preserve"> </w:t>
      </w:r>
      <w:r w:rsidRPr="006D5DD9">
        <w:rPr>
          <w:rFonts w:hint="eastAsia"/>
          <w:rtl/>
        </w:rPr>
        <w:t>הדמוקרטי</w:t>
      </w:r>
      <w:r w:rsidRPr="006D5DD9">
        <w:rPr>
          <w:rtl/>
        </w:rPr>
        <w:t xml:space="preserve"> </w:t>
      </w:r>
      <w:r w:rsidRPr="006D5DD9">
        <w:rPr>
          <w:rFonts w:hint="eastAsia"/>
          <w:rtl/>
        </w:rPr>
        <w:t>של</w:t>
      </w:r>
      <w:r w:rsidRPr="006D5DD9">
        <w:rPr>
          <w:rtl/>
        </w:rPr>
        <w:t xml:space="preserve"> </w:t>
      </w:r>
      <w:r w:rsidRPr="006D5DD9">
        <w:rPr>
          <w:rFonts w:hint="eastAsia"/>
          <w:rtl/>
        </w:rPr>
        <w:t>המדינה</w:t>
      </w:r>
      <w:r w:rsidRPr="006D5DD9">
        <w:rPr>
          <w:rtl/>
        </w:rPr>
        <w:t xml:space="preserve">. </w:t>
      </w:r>
      <w:r w:rsidRPr="006D5DD9">
        <w:rPr>
          <w:rFonts w:hint="eastAsia"/>
          <w:rtl/>
        </w:rPr>
        <w:t>באין</w:t>
      </w:r>
      <w:r w:rsidRPr="006D5DD9">
        <w:rPr>
          <w:rtl/>
        </w:rPr>
        <w:t xml:space="preserve"> </w:t>
      </w:r>
      <w:r w:rsidRPr="006D5DD9">
        <w:rPr>
          <w:rFonts w:hint="eastAsia"/>
          <w:rtl/>
        </w:rPr>
        <w:t>רשות</w:t>
      </w:r>
      <w:r w:rsidRPr="006D5DD9">
        <w:rPr>
          <w:rtl/>
        </w:rPr>
        <w:t xml:space="preserve"> </w:t>
      </w:r>
      <w:r w:rsidRPr="006D5DD9">
        <w:rPr>
          <w:rFonts w:hint="eastAsia"/>
          <w:rtl/>
        </w:rPr>
        <w:t>שופטת</w:t>
      </w:r>
      <w:r w:rsidRPr="006D5DD9">
        <w:rPr>
          <w:rtl/>
        </w:rPr>
        <w:t xml:space="preserve">, </w:t>
      </w:r>
      <w:r w:rsidRPr="006D5DD9">
        <w:rPr>
          <w:rFonts w:hint="eastAsia"/>
          <w:rtl/>
        </w:rPr>
        <w:t>באין</w:t>
      </w:r>
      <w:r w:rsidRPr="006D5DD9">
        <w:rPr>
          <w:rtl/>
        </w:rPr>
        <w:t xml:space="preserve"> </w:t>
      </w:r>
      <w:r w:rsidRPr="006D5DD9">
        <w:rPr>
          <w:rFonts w:hint="eastAsia"/>
          <w:rtl/>
        </w:rPr>
        <w:t>ביקורת</w:t>
      </w:r>
      <w:r w:rsidRPr="006D5DD9">
        <w:rPr>
          <w:rtl/>
        </w:rPr>
        <w:t xml:space="preserve"> </w:t>
      </w:r>
      <w:r w:rsidRPr="006D5DD9">
        <w:rPr>
          <w:rFonts w:hint="eastAsia"/>
          <w:rtl/>
        </w:rPr>
        <w:t>על</w:t>
      </w:r>
      <w:r w:rsidRPr="006D5DD9">
        <w:rPr>
          <w:rtl/>
        </w:rPr>
        <w:t xml:space="preserve"> </w:t>
      </w:r>
      <w:r w:rsidRPr="006D5DD9">
        <w:rPr>
          <w:rFonts w:hint="eastAsia"/>
          <w:rtl/>
        </w:rPr>
        <w:t>מעשי</w:t>
      </w:r>
      <w:r w:rsidRPr="006D5DD9">
        <w:rPr>
          <w:rtl/>
        </w:rPr>
        <w:t xml:space="preserve"> </w:t>
      </w:r>
      <w:r w:rsidRPr="006D5DD9">
        <w:rPr>
          <w:rFonts w:hint="eastAsia"/>
          <w:rtl/>
        </w:rPr>
        <w:t>הפרט</w:t>
      </w:r>
      <w:r w:rsidRPr="006D5DD9">
        <w:rPr>
          <w:rtl/>
        </w:rPr>
        <w:t xml:space="preserve"> </w:t>
      </w:r>
      <w:r w:rsidRPr="006D5DD9">
        <w:rPr>
          <w:rFonts w:hint="eastAsia"/>
          <w:rtl/>
        </w:rPr>
        <w:t>והשלטון</w:t>
      </w:r>
      <w:r w:rsidRPr="006D5DD9">
        <w:rPr>
          <w:rtl/>
        </w:rPr>
        <w:t xml:space="preserve">, </w:t>
      </w:r>
      <w:r w:rsidRPr="006D5DD9">
        <w:rPr>
          <w:rFonts w:hint="eastAsia"/>
          <w:rtl/>
        </w:rPr>
        <w:t>ייפרע</w:t>
      </w:r>
      <w:r w:rsidRPr="006D5DD9">
        <w:rPr>
          <w:rtl/>
        </w:rPr>
        <w:t xml:space="preserve"> </w:t>
      </w:r>
      <w:r w:rsidRPr="006D5DD9">
        <w:rPr>
          <w:rFonts w:hint="eastAsia"/>
          <w:rtl/>
        </w:rPr>
        <w:t>עם</w:t>
      </w:r>
      <w:r w:rsidRPr="006D5DD9">
        <w:rPr>
          <w:rtl/>
        </w:rPr>
        <w:t xml:space="preserve"> </w:t>
      </w:r>
      <w:r w:rsidRPr="006D5DD9">
        <w:rPr>
          <w:rFonts w:hint="eastAsia"/>
          <w:rtl/>
        </w:rPr>
        <w:t>ותאבד</w:t>
      </w:r>
      <w:r w:rsidRPr="006D5DD9">
        <w:rPr>
          <w:rtl/>
        </w:rPr>
        <w:t xml:space="preserve"> </w:t>
      </w:r>
      <w:r w:rsidRPr="006D5DD9">
        <w:rPr>
          <w:rFonts w:hint="eastAsia"/>
          <w:rtl/>
        </w:rPr>
        <w:t>ממלכה</w:t>
      </w:r>
      <w:r w:rsidRPr="006D5DD9">
        <w:rPr>
          <w:rFonts w:hint="cs"/>
          <w:rtl/>
        </w:rPr>
        <w:t xml:space="preserve">" (ע"א 733/95 </w:t>
      </w:r>
      <w:r w:rsidRPr="006D5DD9">
        <w:rPr>
          <w:rFonts w:ascii="Century" w:hAnsi="Century" w:cs="Miriam" w:hint="cs"/>
          <w:b/>
          <w:spacing w:val="0"/>
          <w:szCs w:val="24"/>
          <w:rtl/>
        </w:rPr>
        <w:t>ארפל אלומיניום בע"מ נ' קליל תעשיות בע"מ</w:t>
      </w:r>
      <w:r w:rsidRPr="006D5DD9">
        <w:rPr>
          <w:rFonts w:ascii="Century" w:hAnsi="Century" w:hint="cs"/>
          <w:rtl/>
        </w:rPr>
        <w:t>, פ"ד נא(3) 577, 629 (1997)</w:t>
      </w:r>
      <w:r w:rsidRPr="006D5DD9">
        <w:rPr>
          <w:rFonts w:hint="cs"/>
          <w:rtl/>
        </w:rPr>
        <w:t xml:space="preserve">). </w:t>
      </w:r>
      <w:r>
        <w:rPr>
          <w:rFonts w:hint="cs"/>
          <w:rtl/>
        </w:rPr>
        <w:t xml:space="preserve">תיקון מס' 3 </w:t>
      </w:r>
      <w:r w:rsidRPr="006D5DD9">
        <w:rPr>
          <w:rFonts w:hint="cs"/>
          <w:rtl/>
        </w:rPr>
        <w:t>משמיע אפוא לאותם פרטים שנפגעו מהחלטה שלטונית בלתי סבירה שאין להם כתובת למול כוחו ה</w:t>
      </w:r>
      <w:r>
        <w:rPr>
          <w:rFonts w:hint="cs"/>
          <w:rtl/>
        </w:rPr>
        <w:t xml:space="preserve">כמעט </w:t>
      </w:r>
      <w:r w:rsidRPr="006D5DD9">
        <w:rPr>
          <w:rFonts w:hint="cs"/>
          <w:rtl/>
        </w:rPr>
        <w:t xml:space="preserve">בלתי מוגבל של </w:t>
      </w:r>
      <w:r>
        <w:rPr>
          <w:rFonts w:hint="cs"/>
          <w:rtl/>
        </w:rPr>
        <w:t>הדרג המיניסטריאלי. זאת ועוד,</w:t>
      </w:r>
      <w:r w:rsidRPr="006D5DD9">
        <w:rPr>
          <w:rFonts w:hint="cs"/>
          <w:rtl/>
        </w:rPr>
        <w:t xml:space="preserve"> </w:t>
      </w:r>
      <w:r>
        <w:rPr>
          <w:rFonts w:hint="cs"/>
          <w:rtl/>
        </w:rPr>
        <w:t>התיקון</w:t>
      </w:r>
      <w:r w:rsidRPr="006D5DD9">
        <w:rPr>
          <w:rFonts w:hint="cs"/>
          <w:rtl/>
        </w:rPr>
        <w:t xml:space="preserve"> לא רק שמונע מתן סעד, אלא</w:t>
      </w:r>
      <w:r>
        <w:rPr>
          <w:rFonts w:hint="cs"/>
          <w:rtl/>
        </w:rPr>
        <w:t xml:space="preserve"> גם</w:t>
      </w:r>
      <w:r w:rsidRPr="006D5DD9">
        <w:rPr>
          <w:rFonts w:hint="cs"/>
          <w:rtl/>
        </w:rPr>
        <w:t xml:space="preserve"> את עצם </w:t>
      </w:r>
      <w:r>
        <w:rPr>
          <w:rFonts w:hint="cs"/>
          <w:rtl/>
        </w:rPr>
        <w:t xml:space="preserve">קיום </w:t>
      </w:r>
      <w:r w:rsidRPr="006D5DD9">
        <w:rPr>
          <w:rFonts w:hint="cs"/>
          <w:rtl/>
        </w:rPr>
        <w:t>הדיון בטענות</w:t>
      </w:r>
      <w:r>
        <w:rPr>
          <w:rFonts w:hint="cs"/>
          <w:rtl/>
        </w:rPr>
        <w:t>יו של הפרט</w:t>
      </w:r>
      <w:r w:rsidRPr="006D5DD9">
        <w:rPr>
          <w:rFonts w:hint="cs"/>
          <w:rtl/>
        </w:rPr>
        <w:t xml:space="preserve">. מניעת קיום הדיון בסבירות ההחלטה בעניינו של פרט משמעה </w:t>
      </w:r>
      <w:r w:rsidRPr="006D5DD9">
        <w:rPr>
          <w:rtl/>
        </w:rPr>
        <w:t>–</w:t>
      </w:r>
      <w:r w:rsidRPr="006D5DD9">
        <w:rPr>
          <w:rFonts w:hint="cs"/>
          <w:rtl/>
        </w:rPr>
        <w:t xml:space="preserve"> למעשה </w:t>
      </w:r>
      <w:r w:rsidRPr="006D5DD9">
        <w:rPr>
          <w:rtl/>
        </w:rPr>
        <w:t>–</w:t>
      </w:r>
      <w:r w:rsidRPr="006D5DD9">
        <w:rPr>
          <w:rFonts w:hint="cs"/>
          <w:rtl/>
        </w:rPr>
        <w:t xml:space="preserve"> כי ממילא אין טעם בחובת הסבירות שמוטלת על הממשלה, על ראשה ועל השרים (ראו והשוו: ע"א 1480/04 </w:t>
      </w:r>
      <w:r w:rsidRPr="006D5DD9">
        <w:rPr>
          <w:rFonts w:ascii="Century" w:hAnsi="Century" w:cs="Miriam" w:hint="cs"/>
          <w:b/>
          <w:spacing w:val="0"/>
          <w:szCs w:val="24"/>
          <w:rtl/>
        </w:rPr>
        <w:t xml:space="preserve">מליבו ישראל בע"מ נ' מדינת ישראל </w:t>
      </w:r>
      <w:r w:rsidRPr="006D5DD9">
        <w:rPr>
          <w:rFonts w:ascii="Century" w:hAnsi="Century" w:cs="Miriam"/>
          <w:b/>
          <w:spacing w:val="0"/>
          <w:szCs w:val="24"/>
          <w:rtl/>
        </w:rPr>
        <w:t>–</w:t>
      </w:r>
      <w:r w:rsidRPr="006D5DD9">
        <w:rPr>
          <w:rFonts w:ascii="Century" w:hAnsi="Century" w:cs="Miriam" w:hint="cs"/>
          <w:b/>
          <w:spacing w:val="0"/>
          <w:szCs w:val="24"/>
          <w:rtl/>
        </w:rPr>
        <w:t xml:space="preserve"> משרד הבינוי והשיכון</w:t>
      </w:r>
      <w:r w:rsidRPr="006D5DD9">
        <w:rPr>
          <w:rFonts w:ascii="Century" w:hAnsi="Century" w:hint="cs"/>
          <w:rtl/>
        </w:rPr>
        <w:t xml:space="preserve">, פ"ד סא(2) 855, </w:t>
      </w:r>
      <w:r w:rsidRPr="006D5DD9">
        <w:rPr>
          <w:rFonts w:hint="cs"/>
          <w:rtl/>
        </w:rPr>
        <w:t>875 (2006)).</w:t>
      </w:r>
    </w:p>
    <w:p w:rsidR="00CB3B01" w:rsidRPr="006D5DD9" w:rsidRDefault="00CB3B01" w:rsidP="00CB3B01">
      <w:pPr>
        <w:pStyle w:val="Ruller41"/>
        <w:rPr>
          <w:rtl/>
        </w:rPr>
      </w:pPr>
    </w:p>
    <w:p w:rsidR="00CB3B01" w:rsidRPr="006D5DD9" w:rsidRDefault="00CB3B01" w:rsidP="00CB3B01">
      <w:pPr>
        <w:pStyle w:val="Ruller41"/>
        <w:rPr>
          <w:rFonts w:ascii="Century" w:hAnsi="Century"/>
          <w:rtl/>
        </w:rPr>
      </w:pPr>
      <w:r w:rsidRPr="006D5DD9">
        <w:rPr>
          <w:rtl/>
        </w:rPr>
        <w:tab/>
      </w:r>
      <w:r w:rsidRPr="006D5DD9">
        <w:rPr>
          <w:rFonts w:hint="cs"/>
          <w:rtl/>
        </w:rPr>
        <w:t xml:space="preserve">ומכאן </w:t>
      </w:r>
      <w:r w:rsidRPr="006D5DD9">
        <w:rPr>
          <w:rFonts w:ascii="Century" w:hAnsi="Century" w:cs="Miriam" w:hint="cs"/>
          <w:b/>
          <w:spacing w:val="0"/>
          <w:szCs w:val="24"/>
          <w:rtl/>
        </w:rPr>
        <w:t>למעגל השני</w:t>
      </w:r>
      <w:r w:rsidRPr="006D5DD9">
        <w:rPr>
          <w:rFonts w:hint="cs"/>
          <w:rtl/>
        </w:rPr>
        <w:t xml:space="preserve"> </w:t>
      </w:r>
      <w:r w:rsidRPr="006D5DD9">
        <w:rPr>
          <w:rtl/>
        </w:rPr>
        <w:t>–</w:t>
      </w:r>
      <w:r w:rsidRPr="006D5DD9">
        <w:rPr>
          <w:rFonts w:hint="cs"/>
          <w:rtl/>
        </w:rPr>
        <w:t xml:space="preserve"> שבו נמצאים הממשלה, ראש הממשלה והשרים</w:t>
      </w:r>
      <w:r>
        <w:rPr>
          <w:rFonts w:hint="cs"/>
          <w:rtl/>
        </w:rPr>
        <w:t>,</w:t>
      </w:r>
      <w:r w:rsidRPr="006D5DD9">
        <w:rPr>
          <w:rFonts w:hint="cs"/>
          <w:rtl/>
        </w:rPr>
        <w:t xml:space="preserve"> שתיקון מס' 3 מעצים עד מאוד את הכוח שנתון בידיהם. הוראת התיקון מסיר</w:t>
      </w:r>
      <w:r>
        <w:rPr>
          <w:rFonts w:hint="cs"/>
          <w:rtl/>
        </w:rPr>
        <w:t>ה</w:t>
      </w:r>
      <w:r w:rsidRPr="006D5DD9">
        <w:rPr>
          <w:rFonts w:hint="cs"/>
          <w:rtl/>
        </w:rPr>
        <w:t xml:space="preserve"> מהם את מגבלות הכוח שנבעו מעילת הסבירות, ובכך מכרסמות במערכת האיזונים והבלמים הרעועה ממילא בשיטת המשפט הישראלית. ביסוד עקרון הפרדת הרשויות ניצב הצורך למנוע ריכוז של כוח רב מדי בידי אחת מהן. כך, ציין הנשיא </w:t>
      </w:r>
      <w:r w:rsidRPr="006D5DD9">
        <w:rPr>
          <w:rFonts w:ascii="Century" w:hAnsi="Century" w:cs="Miriam" w:hint="cs"/>
          <w:b/>
          <w:spacing w:val="0"/>
          <w:szCs w:val="24"/>
          <w:rtl/>
        </w:rPr>
        <w:t xml:space="preserve">מ' שמגר </w:t>
      </w:r>
      <w:r w:rsidRPr="006D5DD9">
        <w:rPr>
          <w:rFonts w:ascii="Century" w:hAnsi="Century" w:hint="cs"/>
          <w:rtl/>
        </w:rPr>
        <w:t>באחת הפרשות:</w:t>
      </w:r>
    </w:p>
    <w:p w:rsidR="00CB3B01" w:rsidRPr="006D5DD9" w:rsidRDefault="00CB3B01" w:rsidP="00CB3B01">
      <w:pPr>
        <w:pStyle w:val="Ruller41"/>
        <w:rPr>
          <w:rtl/>
        </w:rPr>
      </w:pPr>
    </w:p>
    <w:p w:rsidR="00CB3B01" w:rsidRPr="006D5DD9" w:rsidRDefault="00CB3B01" w:rsidP="00CB3B01">
      <w:pPr>
        <w:pStyle w:val="Ruller5"/>
        <w:rPr>
          <w:rtl/>
        </w:rPr>
      </w:pPr>
      <w:r w:rsidRPr="006D5DD9">
        <w:rPr>
          <w:rFonts w:hint="cs"/>
          <w:rtl/>
        </w:rPr>
        <w:t>"</w:t>
      </w:r>
      <w:r w:rsidRPr="006D5DD9">
        <w:rPr>
          <w:rtl/>
        </w:rPr>
        <w:t xml:space="preserve">הפרדת הרשויות נוצרה כדי ליצור איזון בין הרשויות, שכן רק בדרך זו, היינו על־ידי מניעת ריכוז היתר של הכוח באופן בלעדי בידי רשות אחת, מובטחת הדמוקרטיה ונשמרת חירותם של הפרט ושל הכלל. לשון אחר, הביזור </w:t>
      </w:r>
      <w:r w:rsidRPr="006D5DD9">
        <w:rPr>
          <w:rtl/>
        </w:rPr>
        <w:lastRenderedPageBreak/>
        <w:t>השיטתי והקונספטואלי של הסמכויות בין הרשויות, תוך השלטת עקרונות חוקתיים בדבר פיקוח ובקרה הדדיים, וקביעתם למטרה זו של קשרים וגשרים בין הרשויות השונות, הם שיצרו את הבסיס בעל המרכיבים המשולבים החובקים את כל זרועות השלטון. כך נוצרת מקבילית הכוחות, המקימה ומייצבת את האיזון, שהוא תנאי לקיום החירות ולקיום תקינות הממשל על כל זרועותיו</w:t>
      </w:r>
      <w:r w:rsidRPr="006D5DD9">
        <w:rPr>
          <w:rFonts w:hint="cs"/>
          <w:rtl/>
        </w:rPr>
        <w:t xml:space="preserve">" (בג"ץ 910/86 </w:t>
      </w:r>
      <w:r w:rsidRPr="006D5DD9">
        <w:rPr>
          <w:rFonts w:ascii="Century" w:hAnsi="Century" w:cs="Miriam" w:hint="cs"/>
          <w:b/>
          <w:spacing w:val="0"/>
          <w:szCs w:val="24"/>
          <w:rtl/>
        </w:rPr>
        <w:t>רסלר נ' שר הביטחון</w:t>
      </w:r>
      <w:r w:rsidRPr="006D5DD9">
        <w:rPr>
          <w:rFonts w:ascii="Century" w:hAnsi="Century" w:hint="cs"/>
          <w:rtl/>
        </w:rPr>
        <w:t>, פ"ד מב(2) 441, 518 (1988)</w:t>
      </w:r>
      <w:r w:rsidRPr="006D5DD9">
        <w:rPr>
          <w:rFonts w:hint="cs"/>
          <w:rtl/>
        </w:rPr>
        <w:t>)</w:t>
      </w:r>
      <w:r>
        <w:rPr>
          <w:rFonts w:hint="cs"/>
          <w:rtl/>
        </w:rPr>
        <w:t>.</w:t>
      </w:r>
    </w:p>
    <w:p w:rsidR="00CB3B01" w:rsidRPr="006D5DD9" w:rsidRDefault="00CB3B01" w:rsidP="00CB3B01">
      <w:pPr>
        <w:pStyle w:val="Ruller41"/>
        <w:rPr>
          <w:rFonts w:ascii="Century" w:hAnsi="Century"/>
          <w:rtl/>
        </w:rPr>
      </w:pPr>
    </w:p>
    <w:p w:rsidR="00CB3B01" w:rsidRPr="006D5DD9" w:rsidRDefault="00CB3B01" w:rsidP="00CB3B01">
      <w:pPr>
        <w:pStyle w:val="Ruller41"/>
        <w:rPr>
          <w:rtl/>
        </w:rPr>
      </w:pPr>
      <w:r w:rsidRPr="006D5DD9">
        <w:rPr>
          <w:rFonts w:hint="cs"/>
          <w:rtl/>
        </w:rPr>
        <w:t xml:space="preserve"> </w:t>
      </w:r>
      <w:r w:rsidRPr="006D5DD9">
        <w:rPr>
          <w:rtl/>
        </w:rPr>
        <w:tab/>
      </w:r>
      <w:r w:rsidRPr="006D5DD9">
        <w:rPr>
          <w:rFonts w:hint="cs"/>
          <w:rtl/>
        </w:rPr>
        <w:t xml:space="preserve">החסינות מביקורת שיפוטית בעילת הסבירות שמוענקת להחלטות </w:t>
      </w:r>
      <w:r>
        <w:rPr>
          <w:rFonts w:hint="cs"/>
          <w:rtl/>
        </w:rPr>
        <w:t>הממשלה ו</w:t>
      </w:r>
      <w:r w:rsidRPr="006D5DD9">
        <w:rPr>
          <w:rFonts w:hint="cs"/>
          <w:rtl/>
        </w:rPr>
        <w:t>שרי</w:t>
      </w:r>
      <w:r>
        <w:rPr>
          <w:rFonts w:hint="cs"/>
          <w:rtl/>
        </w:rPr>
        <w:t>ה</w:t>
      </w:r>
      <w:r w:rsidRPr="006D5DD9">
        <w:rPr>
          <w:rFonts w:hint="cs"/>
          <w:rtl/>
        </w:rPr>
        <w:t xml:space="preserve"> י</w:t>
      </w:r>
      <w:r>
        <w:rPr>
          <w:rFonts w:hint="cs"/>
          <w:rtl/>
        </w:rPr>
        <w:t>ו</w:t>
      </w:r>
      <w:r w:rsidRPr="006D5DD9">
        <w:rPr>
          <w:rFonts w:hint="cs"/>
          <w:rtl/>
        </w:rPr>
        <w:t xml:space="preserve">צרת מחוזות נרחבים של שיקול דעת שיוותרו ללא ביקורת שיפוטית אפקטיבית (והדברים פורטו באריכות בחוות דעתם של חבריי; לחלקם אתייחס גם להלן). התיקון מייצר אפוא "שטחים מתים" בביקורת השיפוטית </w:t>
      </w:r>
      <w:r w:rsidRPr="006D5DD9">
        <w:rPr>
          <w:rtl/>
        </w:rPr>
        <w:t>–</w:t>
      </w:r>
      <w:r w:rsidRPr="006D5DD9">
        <w:rPr>
          <w:rFonts w:hint="cs"/>
          <w:rtl/>
        </w:rPr>
        <w:t xml:space="preserve"> שטחים שבהם הממשלה, ראש הממשלה ושריה יחזיקו בכוח שלטוני בלתי מוגבל </w:t>
      </w:r>
      <w:r w:rsidRPr="006D5DD9">
        <w:rPr>
          <w:rtl/>
        </w:rPr>
        <w:t>–</w:t>
      </w:r>
      <w:r w:rsidRPr="006D5DD9">
        <w:rPr>
          <w:rFonts w:hint="cs"/>
          <w:rtl/>
        </w:rPr>
        <w:t xml:space="preserve"> וזאת באופן שחוטא לרעיון הבסיסי של הפרדת רשויות. הדוגמה המובהקת ביותר ה</w:t>
      </w:r>
      <w:r>
        <w:rPr>
          <w:rFonts w:hint="cs"/>
          <w:rtl/>
        </w:rPr>
        <w:t>י</w:t>
      </w:r>
      <w:r w:rsidRPr="006D5DD9">
        <w:rPr>
          <w:rFonts w:hint="cs"/>
          <w:rtl/>
        </w:rPr>
        <w:t>א תחום המינויים</w:t>
      </w:r>
      <w:r>
        <w:rPr>
          <w:rFonts w:hint="cs"/>
          <w:rtl/>
        </w:rPr>
        <w:t xml:space="preserve"> והפיטורים</w:t>
      </w:r>
      <w:r w:rsidRPr="006D5DD9">
        <w:rPr>
          <w:rFonts w:hint="cs"/>
          <w:rtl/>
        </w:rPr>
        <w:t>, שחשיפתו להחלטות בלתי סבירות של דרג מיניסטריאלי תפגע בצורה בלתי הפיכה ב</w:t>
      </w:r>
      <w:r>
        <w:rPr>
          <w:rFonts w:hint="cs"/>
          <w:rtl/>
        </w:rPr>
        <w:t>דמותו של ה</w:t>
      </w:r>
      <w:r w:rsidRPr="006D5DD9">
        <w:rPr>
          <w:rFonts w:hint="cs"/>
          <w:rtl/>
        </w:rPr>
        <w:t>שירות הציבורי, ובהתאם גם בשלטון החוק</w:t>
      </w:r>
      <w:r>
        <w:rPr>
          <w:rFonts w:hint="cs"/>
          <w:rtl/>
        </w:rPr>
        <w:t xml:space="preserve"> (וארחיב בעניין זה בהמשך דבריי)</w:t>
      </w:r>
      <w:r w:rsidRPr="006D5DD9">
        <w:rPr>
          <w:rFonts w:hint="cs"/>
          <w:rtl/>
        </w:rPr>
        <w:t xml:space="preserve">. </w:t>
      </w:r>
    </w:p>
    <w:p w:rsidR="00CB3B01" w:rsidRPr="006D5DD9" w:rsidRDefault="00CB3B01" w:rsidP="00CB3B01">
      <w:pPr>
        <w:pStyle w:val="Ruller41"/>
        <w:rPr>
          <w:rtl/>
        </w:rPr>
      </w:pPr>
    </w:p>
    <w:p w:rsidR="00CB3B01" w:rsidRPr="006D5DD9" w:rsidRDefault="00CB3B01" w:rsidP="00CB3B01">
      <w:pPr>
        <w:pStyle w:val="Ruller41"/>
        <w:rPr>
          <w:rtl/>
        </w:rPr>
      </w:pPr>
      <w:r w:rsidRPr="006D5DD9">
        <w:rPr>
          <w:rtl/>
        </w:rPr>
        <w:tab/>
      </w:r>
      <w:r w:rsidRPr="006D5DD9">
        <w:rPr>
          <w:rFonts w:ascii="Century" w:hAnsi="Century" w:cs="Miriam" w:hint="cs"/>
          <w:b/>
          <w:spacing w:val="0"/>
          <w:szCs w:val="24"/>
          <w:rtl/>
        </w:rPr>
        <w:t>במעגל השלישי</w:t>
      </w:r>
      <w:r w:rsidRPr="006D5DD9">
        <w:rPr>
          <w:rFonts w:hint="cs"/>
          <w:rtl/>
        </w:rPr>
        <w:t xml:space="preserve"> נמצאת שיטתנו המשפטית בכללותה ועקרון שלטון החוק. ביסודו של שלטון החוק ניצב</w:t>
      </w:r>
      <w:r>
        <w:rPr>
          <w:rFonts w:hint="cs"/>
          <w:rtl/>
        </w:rPr>
        <w:t>ת</w:t>
      </w:r>
      <w:r w:rsidRPr="006D5DD9">
        <w:rPr>
          <w:rFonts w:hint="cs"/>
          <w:rtl/>
        </w:rPr>
        <w:t xml:space="preserve"> </w:t>
      </w:r>
      <w:r>
        <w:rPr>
          <w:rFonts w:hint="cs"/>
          <w:rtl/>
        </w:rPr>
        <w:t xml:space="preserve">התפיסה שלפיה </w:t>
      </w:r>
      <w:r w:rsidRPr="006D5DD9">
        <w:rPr>
          <w:rFonts w:hint="cs"/>
          <w:rtl/>
        </w:rPr>
        <w:t xml:space="preserve">אין מי שהוא מעל למשפט </w:t>
      </w:r>
      <w:r w:rsidRPr="006D5DD9">
        <w:rPr>
          <w:rtl/>
        </w:rPr>
        <w:t>–</w:t>
      </w:r>
      <w:r w:rsidRPr="006D5DD9">
        <w:rPr>
          <w:rFonts w:hint="cs"/>
          <w:rtl/>
        </w:rPr>
        <w:t xml:space="preserve"> הכל כפופים לחוק, "מקטון ועד גדול, מן האדם ברחוב ועד ראש הממשלה" (יצחק זמיר "שלטון החוק במדינת ישראל" </w:t>
      </w:r>
      <w:r w:rsidRPr="006D5DD9">
        <w:rPr>
          <w:rFonts w:ascii="Century" w:hAnsi="Century" w:cs="Miriam" w:hint="cs"/>
          <w:b/>
          <w:spacing w:val="0"/>
          <w:szCs w:val="24"/>
          <w:rtl/>
        </w:rPr>
        <w:t xml:space="preserve">הפרקליט </w:t>
      </w:r>
      <w:r w:rsidRPr="006D5DD9">
        <w:rPr>
          <w:rFonts w:hint="cs"/>
          <w:rtl/>
        </w:rPr>
        <w:t>ג</w:t>
      </w:r>
      <w:r w:rsidRPr="006D5DD9">
        <w:rPr>
          <w:rtl/>
        </w:rPr>
        <w:t>ליון מיוחד לכבוד 25 שנים ללשכת עורכי הדין</w:t>
      </w:r>
      <w:r w:rsidRPr="006D5DD9">
        <w:rPr>
          <w:rFonts w:ascii="Century" w:hAnsi="Century" w:hint="cs"/>
          <w:rtl/>
        </w:rPr>
        <w:t xml:space="preserve"> 61 (1987)</w:t>
      </w:r>
      <w:r w:rsidRPr="006D5DD9">
        <w:rPr>
          <w:rFonts w:hint="cs"/>
          <w:rtl/>
        </w:rPr>
        <w:t xml:space="preserve">). ואולם, התיקון מבקש, </w:t>
      </w:r>
      <w:r>
        <w:rPr>
          <w:rFonts w:hint="cs"/>
          <w:rtl/>
        </w:rPr>
        <w:t xml:space="preserve">כפי שניכר </w:t>
      </w:r>
      <w:r w:rsidRPr="006D5DD9">
        <w:rPr>
          <w:rFonts w:hint="cs"/>
          <w:rtl/>
        </w:rPr>
        <w:t xml:space="preserve">כבר בלשונו, לסדוק עקרון זה במובנו הבסיסי ביותר. תיקון מס' 3 מבקש לקבוע כי </w:t>
      </w:r>
      <w:r>
        <w:rPr>
          <w:rFonts w:hint="cs"/>
          <w:rtl/>
        </w:rPr>
        <w:t>הממשלה ו</w:t>
      </w:r>
      <w:r w:rsidRPr="006D5DD9">
        <w:rPr>
          <w:rFonts w:hint="cs"/>
          <w:rtl/>
        </w:rPr>
        <w:t xml:space="preserve">דרג השרים מצוי מעל המשפט: חובת הסבירות שממשיכה על פני הדברים לחול ביחס </w:t>
      </w:r>
      <w:r w:rsidRPr="00EF293F">
        <w:rPr>
          <w:rFonts w:hint="cs"/>
          <w:rtl/>
        </w:rPr>
        <w:t>לרשויות המינהל היא בלתי אכיפה ביחס אליהם. התיקון יוצר, במכוון, מצב שבו "יש דין ואין דיין". מהלך זה סופו (ואולי גם ראשיתו) לפטור את הממשלה והשרים מלבחון אם החלטותיהם סבירות ומאוזנות (</w:t>
      </w:r>
      <w:r w:rsidRPr="00EF293F">
        <w:rPr>
          <w:rFonts w:hint="eastAsia"/>
          <w:rtl/>
        </w:rPr>
        <w:t>בג</w:t>
      </w:r>
      <w:r w:rsidRPr="00EF293F">
        <w:rPr>
          <w:rtl/>
        </w:rPr>
        <w:t>"</w:t>
      </w:r>
      <w:r w:rsidRPr="00EF293F">
        <w:rPr>
          <w:rFonts w:hint="eastAsia"/>
          <w:rtl/>
        </w:rPr>
        <w:t>ץ</w:t>
      </w:r>
      <w:r w:rsidRPr="00EF293F">
        <w:rPr>
          <w:rtl/>
        </w:rPr>
        <w:t xml:space="preserve"> 3997/14 </w:t>
      </w:r>
      <w:r w:rsidRPr="00EF293F">
        <w:rPr>
          <w:rFonts w:ascii="Century" w:hAnsi="Century" w:cs="Miriam" w:hint="eastAsia"/>
          <w:b/>
          <w:spacing w:val="0"/>
          <w:szCs w:val="24"/>
          <w:rtl/>
        </w:rPr>
        <w:t>התנועה</w:t>
      </w:r>
      <w:r w:rsidRPr="00EF293F">
        <w:rPr>
          <w:rFonts w:ascii="Century" w:hAnsi="Century" w:cs="Miriam"/>
          <w:b/>
          <w:spacing w:val="0"/>
          <w:szCs w:val="24"/>
          <w:rtl/>
        </w:rPr>
        <w:t xml:space="preserve"> </w:t>
      </w:r>
      <w:r w:rsidRPr="00EF293F">
        <w:rPr>
          <w:rFonts w:ascii="Century" w:hAnsi="Century" w:cs="Miriam" w:hint="eastAsia"/>
          <w:b/>
          <w:spacing w:val="0"/>
          <w:szCs w:val="24"/>
          <w:rtl/>
        </w:rPr>
        <w:t>למען</w:t>
      </w:r>
      <w:r w:rsidRPr="00EF293F">
        <w:rPr>
          <w:rFonts w:ascii="Century" w:hAnsi="Century" w:cs="Miriam"/>
          <w:b/>
          <w:spacing w:val="0"/>
          <w:szCs w:val="24"/>
          <w:rtl/>
        </w:rPr>
        <w:t xml:space="preserve"> </w:t>
      </w:r>
      <w:r w:rsidRPr="00EF293F">
        <w:rPr>
          <w:rFonts w:ascii="Century" w:hAnsi="Century" w:cs="Miriam" w:hint="eastAsia"/>
          <w:b/>
          <w:spacing w:val="0"/>
          <w:szCs w:val="24"/>
          <w:rtl/>
        </w:rPr>
        <w:t>איכות</w:t>
      </w:r>
      <w:r w:rsidRPr="00EF293F">
        <w:rPr>
          <w:rFonts w:ascii="Century" w:hAnsi="Century" w:cs="Miriam"/>
          <w:b/>
          <w:spacing w:val="0"/>
          <w:szCs w:val="24"/>
          <w:rtl/>
        </w:rPr>
        <w:t xml:space="preserve"> </w:t>
      </w:r>
      <w:r w:rsidRPr="00EF293F">
        <w:rPr>
          <w:rFonts w:ascii="Century" w:hAnsi="Century" w:cs="Miriam" w:hint="eastAsia"/>
          <w:b/>
          <w:spacing w:val="0"/>
          <w:szCs w:val="24"/>
          <w:rtl/>
        </w:rPr>
        <w:t>השלטון</w:t>
      </w:r>
      <w:r w:rsidRPr="00EF293F">
        <w:rPr>
          <w:rFonts w:ascii="Century" w:hAnsi="Century" w:cs="Miriam"/>
          <w:b/>
          <w:spacing w:val="0"/>
          <w:szCs w:val="24"/>
          <w:rtl/>
        </w:rPr>
        <w:t xml:space="preserve"> </w:t>
      </w:r>
      <w:r w:rsidRPr="00EF293F">
        <w:rPr>
          <w:rFonts w:ascii="Century" w:hAnsi="Century" w:cs="Miriam" w:hint="eastAsia"/>
          <w:b/>
          <w:spacing w:val="0"/>
          <w:szCs w:val="24"/>
          <w:rtl/>
        </w:rPr>
        <w:t>בישראל</w:t>
      </w:r>
      <w:r w:rsidRPr="00EF293F">
        <w:rPr>
          <w:rFonts w:ascii="Century" w:hAnsi="Century" w:cs="Miriam"/>
          <w:b/>
          <w:spacing w:val="0"/>
          <w:szCs w:val="24"/>
          <w:rtl/>
        </w:rPr>
        <w:t xml:space="preserve"> </w:t>
      </w:r>
      <w:r w:rsidRPr="00EF293F">
        <w:rPr>
          <w:rFonts w:ascii="Century" w:hAnsi="Century" w:cs="Miriam" w:hint="eastAsia"/>
          <w:b/>
          <w:spacing w:val="0"/>
          <w:szCs w:val="24"/>
          <w:rtl/>
        </w:rPr>
        <w:t>נ</w:t>
      </w:r>
      <w:r w:rsidRPr="00EF293F">
        <w:rPr>
          <w:rFonts w:ascii="Century" w:hAnsi="Century" w:cs="Miriam"/>
          <w:b/>
          <w:spacing w:val="0"/>
          <w:szCs w:val="24"/>
          <w:rtl/>
        </w:rPr>
        <w:t xml:space="preserve">' </w:t>
      </w:r>
      <w:r w:rsidRPr="00EF293F">
        <w:rPr>
          <w:rFonts w:ascii="Century" w:hAnsi="Century" w:cs="Miriam" w:hint="eastAsia"/>
          <w:b/>
          <w:spacing w:val="0"/>
          <w:szCs w:val="24"/>
          <w:rtl/>
        </w:rPr>
        <w:t>שר</w:t>
      </w:r>
      <w:r w:rsidRPr="00EF293F">
        <w:rPr>
          <w:rFonts w:ascii="Century" w:hAnsi="Century" w:cs="Miriam"/>
          <w:b/>
          <w:spacing w:val="0"/>
          <w:szCs w:val="24"/>
          <w:rtl/>
        </w:rPr>
        <w:t xml:space="preserve"> </w:t>
      </w:r>
      <w:r w:rsidRPr="00EF293F">
        <w:rPr>
          <w:rFonts w:ascii="Century" w:hAnsi="Century" w:cs="Miriam" w:hint="eastAsia"/>
          <w:b/>
          <w:spacing w:val="0"/>
          <w:szCs w:val="24"/>
          <w:rtl/>
        </w:rPr>
        <w:t>החוץ</w:t>
      </w:r>
      <w:r w:rsidRPr="00EF293F">
        <w:rPr>
          <w:rtl/>
        </w:rPr>
        <w:t xml:space="preserve">, </w:t>
      </w:r>
      <w:r w:rsidRPr="00EF293F">
        <w:rPr>
          <w:rFonts w:hint="cs"/>
          <w:rtl/>
        </w:rPr>
        <w:t xml:space="preserve">פסקה 2 לפסק הדין של הנשיאה </w:t>
      </w:r>
      <w:r w:rsidRPr="00EF293F">
        <w:rPr>
          <w:rFonts w:ascii="Century" w:hAnsi="Century" w:cs="Miriam" w:hint="cs"/>
          <w:b/>
          <w:spacing w:val="0"/>
          <w:szCs w:val="24"/>
          <w:rtl/>
        </w:rPr>
        <w:t>מ' נאור</w:t>
      </w:r>
      <w:r w:rsidRPr="00EF293F">
        <w:rPr>
          <w:rFonts w:hint="cs"/>
          <w:rtl/>
        </w:rPr>
        <w:t xml:space="preserve"> </w:t>
      </w:r>
      <w:r w:rsidRPr="00EF293F">
        <w:rPr>
          <w:rtl/>
        </w:rPr>
        <w:t>(12.2.2015)</w:t>
      </w:r>
      <w:r w:rsidRPr="00EF293F">
        <w:rPr>
          <w:rFonts w:hint="cs"/>
          <w:rtl/>
        </w:rPr>
        <w:t>).</w:t>
      </w:r>
      <w:r w:rsidRPr="006D5DD9">
        <w:rPr>
          <w:rFonts w:hint="cs"/>
          <w:rtl/>
        </w:rPr>
        <w:t xml:space="preserve"> </w:t>
      </w:r>
    </w:p>
    <w:p w:rsidR="00CB3B01" w:rsidRPr="006D5DD9" w:rsidRDefault="00CB3B01" w:rsidP="00CB3B01">
      <w:pPr>
        <w:pStyle w:val="Ruller41"/>
        <w:rPr>
          <w:rtl/>
        </w:rPr>
      </w:pPr>
    </w:p>
    <w:p w:rsidR="00CB3B01" w:rsidRPr="006D5DD9" w:rsidRDefault="00CB3B01" w:rsidP="00CB3B01">
      <w:pPr>
        <w:pStyle w:val="Ruller4"/>
      </w:pPr>
      <w:r w:rsidRPr="006D5DD9">
        <w:rPr>
          <w:rFonts w:hint="cs"/>
          <w:rtl/>
        </w:rPr>
        <w:t>חומרתה היתרה של הפגיעה בשלושת המעגלים שתוארו לעיל נובעת מכך שמדובר בתיקון גורף ומוחלט, שמונע מכל בית משפט מלדון בעילת הסבירות</w:t>
      </w:r>
      <w:r>
        <w:rPr>
          <w:rFonts w:hint="cs"/>
          <w:rtl/>
        </w:rPr>
        <w:t xml:space="preserve"> ביחס להחלטות הדרג המיניסטריאלי</w:t>
      </w:r>
      <w:r w:rsidRPr="006D5DD9">
        <w:rPr>
          <w:rFonts w:hint="cs"/>
          <w:rtl/>
        </w:rPr>
        <w:t xml:space="preserve">; </w:t>
      </w:r>
      <w:r>
        <w:rPr>
          <w:rFonts w:hint="cs"/>
          <w:rtl/>
        </w:rPr>
        <w:t xml:space="preserve">מכך </w:t>
      </w:r>
      <w:r w:rsidRPr="006D5DD9">
        <w:rPr>
          <w:rFonts w:hint="cs"/>
          <w:rtl/>
        </w:rPr>
        <w:t>שתחולתו הרחבה מתפרסת על כל החלטה (מכל סוג שהוא) של הדרג המיניסטריאלי, על מעשים ועל מחדלים כאחד</w:t>
      </w:r>
      <w:r>
        <w:rPr>
          <w:rFonts w:hint="cs"/>
          <w:rtl/>
        </w:rPr>
        <w:t>, על החלטות מדיניות ועל החלטות אינדיווידואליות כאחד</w:t>
      </w:r>
      <w:r w:rsidRPr="006D5DD9">
        <w:rPr>
          <w:rFonts w:hint="cs"/>
          <w:rtl/>
        </w:rPr>
        <w:t xml:space="preserve">; </w:t>
      </w:r>
      <w:r>
        <w:rPr>
          <w:rFonts w:hint="cs"/>
          <w:rtl/>
        </w:rPr>
        <w:t>מכך שה</w:t>
      </w:r>
      <w:r w:rsidRPr="006D5DD9">
        <w:rPr>
          <w:rFonts w:hint="cs"/>
          <w:rtl/>
        </w:rPr>
        <w:t>תיקון נעדר מנגנו</w:t>
      </w:r>
      <w:r>
        <w:rPr>
          <w:rFonts w:hint="cs"/>
          <w:rtl/>
        </w:rPr>
        <w:t xml:space="preserve">ני פיקוח או איזונים </w:t>
      </w:r>
      <w:r>
        <w:rPr>
          <w:rFonts w:hint="cs"/>
          <w:rtl/>
        </w:rPr>
        <w:lastRenderedPageBreak/>
        <w:t>חליפיים; ומכך ש</w:t>
      </w:r>
      <w:r w:rsidRPr="006D5DD9">
        <w:rPr>
          <w:rFonts w:hint="cs"/>
          <w:rtl/>
        </w:rPr>
        <w:t>עילות אחרות של המשפט</w:t>
      </w:r>
      <w:r>
        <w:rPr>
          <w:rFonts w:hint="cs"/>
          <w:rtl/>
        </w:rPr>
        <w:t xml:space="preserve"> המינהלי במתכונתו הנוכחית אינן יכולות</w:t>
      </w:r>
      <w:r w:rsidRPr="006D5DD9">
        <w:rPr>
          <w:rFonts w:hint="cs"/>
          <w:rtl/>
        </w:rPr>
        <w:t xml:space="preserve"> לשמש חלופה לביקורת שיפוטית</w:t>
      </w:r>
      <w:r>
        <w:rPr>
          <w:rFonts w:hint="cs"/>
          <w:rtl/>
        </w:rPr>
        <w:t xml:space="preserve"> בעילת הסבירות</w:t>
      </w:r>
      <w:r w:rsidRPr="006D5DD9">
        <w:rPr>
          <w:rFonts w:hint="cs"/>
          <w:rtl/>
        </w:rPr>
        <w:t xml:space="preserve">. </w:t>
      </w:r>
    </w:p>
    <w:p w:rsidR="00CB3B01" w:rsidRPr="006D5DD9" w:rsidRDefault="00CB3B01" w:rsidP="00CB3B01">
      <w:pPr>
        <w:pStyle w:val="Ruller4"/>
        <w:numPr>
          <w:ilvl w:val="0"/>
          <w:numId w:val="0"/>
        </w:numPr>
        <w:rPr>
          <w:rFonts w:ascii="Century" w:hAnsi="Century"/>
          <w:sz w:val="22"/>
          <w:rtl/>
        </w:rPr>
      </w:pPr>
    </w:p>
    <w:p w:rsidR="00CB3B01" w:rsidRDefault="00CB3B01" w:rsidP="00CB3B01">
      <w:pPr>
        <w:pStyle w:val="Ruller4"/>
        <w:rPr>
          <w:rFonts w:ascii="Century" w:hAnsi="Century"/>
          <w:sz w:val="22"/>
          <w:rtl/>
        </w:rPr>
      </w:pPr>
      <w:r>
        <w:rPr>
          <w:rFonts w:hint="cs"/>
          <w:rtl/>
        </w:rPr>
        <w:t>הפגיעה שמגולמת ב</w:t>
      </w:r>
      <w:r w:rsidRPr="006D5DD9">
        <w:rPr>
          <w:rFonts w:hint="cs"/>
          <w:rtl/>
        </w:rPr>
        <w:t xml:space="preserve">שלושת המעגלים </w:t>
      </w:r>
      <w:r>
        <w:rPr>
          <w:rFonts w:hint="cs"/>
          <w:rtl/>
        </w:rPr>
        <w:t xml:space="preserve">עולה בעיניי כדי </w:t>
      </w:r>
      <w:r w:rsidRPr="006D5DD9">
        <w:rPr>
          <w:rFonts w:hint="cs"/>
          <w:rtl/>
        </w:rPr>
        <w:t xml:space="preserve">פגיעה אנושה בעקרונות הדמוקרטיים היסודיים ביותר במדינת ישראל. בהשאלה מקביעת בית משפט זה בעניין אחר, הביקורת השיפוטית אינה מבטיחה הגנה יעילה על זכויות האדם </w:t>
      </w:r>
      <w:r w:rsidRPr="006D5DD9">
        <w:rPr>
          <w:rtl/>
        </w:rPr>
        <w:t>–</w:t>
      </w:r>
      <w:r w:rsidRPr="006D5DD9">
        <w:rPr>
          <w:rFonts w:hint="cs"/>
          <w:rtl/>
        </w:rPr>
        <w:t xml:space="preserve"> אך הותרת הדין ללא דיין</w:t>
      </w:r>
      <w:r>
        <w:rPr>
          <w:rFonts w:hint="cs"/>
          <w:rtl/>
        </w:rPr>
        <w:t>,</w:t>
      </w:r>
      <w:r w:rsidRPr="006D5DD9">
        <w:rPr>
          <w:rFonts w:hint="cs"/>
          <w:rtl/>
        </w:rPr>
        <w:t xml:space="preserve"> סופה פגיעה בזכויות אלו (ראו והשוו: רע"פ 2060/97 </w:t>
      </w:r>
      <w:r w:rsidRPr="006D5DD9">
        <w:rPr>
          <w:rFonts w:ascii="Century" w:hAnsi="Century" w:cs="Miriam" w:hint="cs"/>
          <w:b/>
          <w:spacing w:val="0"/>
          <w:sz w:val="22"/>
          <w:szCs w:val="24"/>
          <w:rtl/>
        </w:rPr>
        <w:t xml:space="preserve">וילנצ'יק נ' הפסיכיאטר המחוזי </w:t>
      </w:r>
      <w:r w:rsidRPr="006D5DD9">
        <w:rPr>
          <w:rFonts w:ascii="Century" w:hAnsi="Century" w:cs="Miriam"/>
          <w:b/>
          <w:spacing w:val="0"/>
          <w:sz w:val="22"/>
          <w:szCs w:val="24"/>
          <w:rtl/>
        </w:rPr>
        <w:t>–</w:t>
      </w:r>
      <w:r w:rsidRPr="006D5DD9">
        <w:rPr>
          <w:rFonts w:ascii="Century" w:hAnsi="Century" w:cs="Miriam" w:hint="cs"/>
          <w:b/>
          <w:spacing w:val="0"/>
          <w:sz w:val="22"/>
          <w:szCs w:val="24"/>
          <w:rtl/>
        </w:rPr>
        <w:t xml:space="preserve"> תל-אביב</w:t>
      </w:r>
      <w:r w:rsidRPr="006D5DD9">
        <w:rPr>
          <w:rFonts w:ascii="Century" w:hAnsi="Century" w:hint="cs"/>
          <w:sz w:val="22"/>
          <w:rtl/>
        </w:rPr>
        <w:t>, פ"ד נב(1) 697, 713 (1998)</w:t>
      </w:r>
      <w:r w:rsidRPr="006D5DD9">
        <w:rPr>
          <w:rFonts w:hint="cs"/>
          <w:rtl/>
        </w:rPr>
        <w:t xml:space="preserve">). </w:t>
      </w:r>
      <w:r w:rsidRPr="006D5DD9">
        <w:rPr>
          <w:rFonts w:ascii="Century" w:hAnsi="Century" w:hint="cs"/>
          <w:sz w:val="22"/>
          <w:rtl/>
        </w:rPr>
        <w:t>נוכח האמור לעיל, מקובלת עלי</w:t>
      </w:r>
      <w:r>
        <w:rPr>
          <w:rFonts w:ascii="Century" w:hAnsi="Century" w:hint="cs"/>
          <w:sz w:val="22"/>
          <w:rtl/>
        </w:rPr>
        <w:t>י</w:t>
      </w:r>
      <w:r w:rsidRPr="006D5DD9">
        <w:rPr>
          <w:rFonts w:ascii="Century" w:hAnsi="Century" w:hint="cs"/>
          <w:sz w:val="22"/>
          <w:rtl/>
        </w:rPr>
        <w:t xml:space="preserve"> ללא סייג מסקנת</w:t>
      </w:r>
      <w:r>
        <w:rPr>
          <w:rFonts w:ascii="Century" w:hAnsi="Century" w:hint="cs"/>
          <w:sz w:val="22"/>
          <w:rtl/>
        </w:rPr>
        <w:t>ה של</w:t>
      </w:r>
      <w:r w:rsidRPr="006D5DD9">
        <w:rPr>
          <w:rFonts w:ascii="Century" w:hAnsi="Century" w:hint="cs"/>
          <w:sz w:val="22"/>
          <w:rtl/>
        </w:rPr>
        <w:t xml:space="preserve"> חברתי הנשיאה (בדימ') </w:t>
      </w:r>
      <w:r w:rsidRPr="006D5DD9">
        <w:rPr>
          <w:rFonts w:ascii="Century" w:hAnsi="Century" w:cs="Miriam" w:hint="cs"/>
          <w:b/>
          <w:spacing w:val="0"/>
          <w:sz w:val="22"/>
          <w:szCs w:val="24"/>
          <w:rtl/>
        </w:rPr>
        <w:t>חיות</w:t>
      </w:r>
      <w:r w:rsidRPr="006D5DD9">
        <w:rPr>
          <w:rFonts w:ascii="Century" w:hAnsi="Century" w:hint="cs"/>
          <w:sz w:val="22"/>
          <w:rtl/>
        </w:rPr>
        <w:t xml:space="preserve"> כי תיקון מס' 3 "מערער מן היסוד את מערכת האיזונים והבלמים הרעועה ממילא" (פסקה 178</w:t>
      </w:r>
      <w:r>
        <w:rPr>
          <w:rFonts w:ascii="Century" w:hAnsi="Century" w:hint="cs"/>
          <w:sz w:val="22"/>
          <w:rtl/>
        </w:rPr>
        <w:t xml:space="preserve"> לחוות דעתה</w:t>
      </w:r>
      <w:r w:rsidRPr="006D5DD9">
        <w:rPr>
          <w:rFonts w:ascii="Century" w:hAnsi="Century" w:hint="cs"/>
          <w:sz w:val="22"/>
          <w:rtl/>
        </w:rPr>
        <w:t>) וכי דינו בטלות.</w:t>
      </w:r>
    </w:p>
    <w:p w:rsidR="00CB3B01" w:rsidRPr="003546B0" w:rsidRDefault="00CB3B01" w:rsidP="00CB3B01">
      <w:pPr>
        <w:pStyle w:val="Ruller41"/>
      </w:pPr>
    </w:p>
    <w:p w:rsidR="00CB3B01" w:rsidRPr="008930DB" w:rsidRDefault="00CB3B01" w:rsidP="00CB3B01">
      <w:pPr>
        <w:pStyle w:val="Ruller4"/>
        <w:numPr>
          <w:ilvl w:val="0"/>
          <w:numId w:val="0"/>
        </w:numPr>
        <w:rPr>
          <w:rFonts w:ascii="Century" w:hAnsi="Century" w:cs="Miriam"/>
          <w:b/>
          <w:spacing w:val="0"/>
          <w:sz w:val="22"/>
          <w:szCs w:val="24"/>
          <w:rtl/>
        </w:rPr>
      </w:pPr>
      <w:r>
        <w:rPr>
          <w:rFonts w:ascii="Century" w:hAnsi="Century" w:cs="Miriam" w:hint="cs"/>
          <w:b/>
          <w:spacing w:val="0"/>
          <w:sz w:val="22"/>
          <w:szCs w:val="24"/>
          <w:rtl/>
        </w:rPr>
        <w:t>פרשנות מקיימת</w:t>
      </w:r>
    </w:p>
    <w:p w:rsidR="00CB3B01" w:rsidRPr="008930DB" w:rsidRDefault="00CB3B01" w:rsidP="00FD0954">
      <w:pPr>
        <w:pStyle w:val="Ruller41"/>
        <w:spacing w:line="276" w:lineRule="auto"/>
        <w:rPr>
          <w:rtl/>
        </w:rPr>
      </w:pPr>
    </w:p>
    <w:p w:rsidR="00CB3B01" w:rsidRPr="006D5DD9" w:rsidRDefault="00CB3B01" w:rsidP="002A1A3A">
      <w:pPr>
        <w:pStyle w:val="Ruller41"/>
        <w:numPr>
          <w:ilvl w:val="0"/>
          <w:numId w:val="18"/>
        </w:numPr>
        <w:rPr>
          <w:rFonts w:ascii="Century" w:hAnsi="Century" w:cs="Miriam"/>
          <w:b/>
          <w:spacing w:val="0"/>
          <w:szCs w:val="24"/>
          <w:rtl/>
        </w:rPr>
      </w:pPr>
      <w:r w:rsidRPr="006D5DD9">
        <w:rPr>
          <w:rFonts w:ascii="Century" w:hAnsi="Century" w:cs="Miriam" w:hint="cs"/>
          <w:b/>
          <w:spacing w:val="0"/>
          <w:szCs w:val="24"/>
          <w:rtl/>
        </w:rPr>
        <w:t>הקשיים שבפרשנות מקיימת של התיקון</w:t>
      </w:r>
    </w:p>
    <w:p w:rsidR="00CB3B01" w:rsidRPr="006D5DD9" w:rsidRDefault="00CB3B01" w:rsidP="00FD0954">
      <w:pPr>
        <w:pStyle w:val="Ruller41"/>
        <w:spacing w:line="276" w:lineRule="auto"/>
        <w:rPr>
          <w:rtl/>
        </w:rPr>
      </w:pPr>
    </w:p>
    <w:p w:rsidR="00CB3B01" w:rsidRDefault="00CB3B01" w:rsidP="00CB3B01">
      <w:pPr>
        <w:pStyle w:val="Ruller4"/>
      </w:pPr>
      <w:r w:rsidRPr="006D5DD9">
        <w:rPr>
          <w:rFonts w:hint="cs"/>
          <w:rtl/>
        </w:rPr>
        <w:t xml:space="preserve">חלק מחבריי סבורים </w:t>
      </w:r>
      <w:r w:rsidRPr="006D5DD9">
        <w:rPr>
          <w:rFonts w:ascii="Century" w:hAnsi="Century" w:hint="cs"/>
          <w:sz w:val="22"/>
          <w:rtl/>
        </w:rPr>
        <w:t xml:space="preserve">כי </w:t>
      </w:r>
      <w:r>
        <w:rPr>
          <w:rFonts w:ascii="Century" w:hAnsi="Century" w:hint="cs"/>
          <w:sz w:val="22"/>
          <w:rtl/>
        </w:rPr>
        <w:t xml:space="preserve">ניתן להותיר את תיקון מס' 3 על כנו באמצעות פרשנותו באופן מצמצם. </w:t>
      </w:r>
      <w:r w:rsidRPr="006D5DD9">
        <w:rPr>
          <w:rFonts w:hint="cs"/>
          <w:rtl/>
        </w:rPr>
        <w:t xml:space="preserve">מקובלת עליי הגישה העקרונית שמובאת בחוות דעתם של חבריי, גישה שעליה עמדנו לא אחת בעבר, ושלפיה נקודת המוצא היא שבית המשפט יפנה לפסילת חוק (לא כל שכן חוק יסוד) כ"מוצא אחרון" בלבד (בג"ץ 8948/22 </w:t>
      </w:r>
      <w:r w:rsidRPr="006D5DD9">
        <w:rPr>
          <w:rFonts w:ascii="Century" w:hAnsi="Century" w:cs="Miriam" w:hint="cs"/>
          <w:b/>
          <w:spacing w:val="0"/>
          <w:sz w:val="22"/>
          <w:szCs w:val="24"/>
          <w:rtl/>
        </w:rPr>
        <w:t>שיינפלד נ' הכנסת</w:t>
      </w:r>
      <w:r w:rsidRPr="006D5DD9">
        <w:rPr>
          <w:rFonts w:ascii="Century" w:hAnsi="Century" w:hint="cs"/>
          <w:sz w:val="22"/>
          <w:rtl/>
        </w:rPr>
        <w:t xml:space="preserve">, פסקה 14 לפסק דיני וההפניות שם (18.1.2023); כן ראו והשוו: בג"ץ 5119/23 </w:t>
      </w:r>
      <w:r w:rsidRPr="006D5DD9">
        <w:rPr>
          <w:rFonts w:ascii="Century" w:hAnsi="Century" w:cs="Miriam" w:hint="cs"/>
          <w:b/>
          <w:spacing w:val="0"/>
          <w:sz w:val="22"/>
          <w:szCs w:val="24"/>
          <w:rtl/>
        </w:rPr>
        <w:t>התנועה לטוהר המידות נ' הכנסת</w:t>
      </w:r>
      <w:r w:rsidRPr="006D5DD9">
        <w:rPr>
          <w:rFonts w:ascii="Century" w:hAnsi="Century" w:hint="cs"/>
          <w:sz w:val="22"/>
          <w:rtl/>
        </w:rPr>
        <w:t xml:space="preserve">, פסקה 31 לפסק דיני (26.10.2023) (להלן: עניין </w:t>
      </w:r>
      <w:r w:rsidRPr="006D5DD9">
        <w:rPr>
          <w:rFonts w:ascii="Century" w:hAnsi="Century" w:cs="Miriam" w:hint="cs"/>
          <w:b/>
          <w:spacing w:val="0"/>
          <w:sz w:val="22"/>
          <w:szCs w:val="24"/>
          <w:rtl/>
        </w:rPr>
        <w:t>התנועה לטוהר המידות</w:t>
      </w:r>
      <w:r w:rsidRPr="006D5DD9">
        <w:rPr>
          <w:rFonts w:ascii="Century" w:hAnsi="Century" w:hint="cs"/>
          <w:sz w:val="22"/>
          <w:rtl/>
        </w:rPr>
        <w:t>)</w:t>
      </w:r>
      <w:r w:rsidRPr="006D5DD9">
        <w:rPr>
          <w:rFonts w:hint="cs"/>
          <w:rtl/>
        </w:rPr>
        <w:t xml:space="preserve">). </w:t>
      </w:r>
      <w:r>
        <w:rPr>
          <w:rFonts w:hint="cs"/>
          <w:rtl/>
        </w:rPr>
        <w:t xml:space="preserve">עם זאת, </w:t>
      </w:r>
      <w:r w:rsidRPr="006D5DD9">
        <w:rPr>
          <w:rFonts w:hint="cs"/>
          <w:rtl/>
        </w:rPr>
        <w:t>המתווה המוצע על ידי חלק מחבריי להימנעות מפסילת תיקון מס' 3 מעורר להשקפתי קשיים ניכרים בשורה של מישורים</w:t>
      </w:r>
      <w:r>
        <w:rPr>
          <w:rFonts w:hint="cs"/>
          <w:rtl/>
        </w:rPr>
        <w:t>, וממילא אני סבור כי אין בו כדי לרפא את פגיעתו הקשה של תיקון מס' 3 באופן מלא. אתייחס לדברים בקצרה.</w:t>
      </w:r>
    </w:p>
    <w:p w:rsidR="00CB3B01" w:rsidRDefault="00CB3B01" w:rsidP="00CB3B01">
      <w:pPr>
        <w:pStyle w:val="Ruller4"/>
        <w:numPr>
          <w:ilvl w:val="0"/>
          <w:numId w:val="0"/>
        </w:numPr>
      </w:pPr>
    </w:p>
    <w:p w:rsidR="00CB3B01" w:rsidRPr="006D5DD9" w:rsidRDefault="00CB3B01" w:rsidP="00CB3B01">
      <w:pPr>
        <w:pStyle w:val="Ruller4"/>
        <w:rPr>
          <w:rtl/>
        </w:rPr>
      </w:pPr>
      <w:r w:rsidRPr="006D5DD9">
        <w:rPr>
          <w:rFonts w:ascii="Century" w:hAnsi="Century" w:hint="cs"/>
          <w:sz w:val="22"/>
          <w:rtl/>
        </w:rPr>
        <w:t>לשיטתם</w:t>
      </w:r>
      <w:r>
        <w:rPr>
          <w:rFonts w:ascii="Century" w:hAnsi="Century" w:hint="cs"/>
          <w:sz w:val="22"/>
          <w:rtl/>
        </w:rPr>
        <w:t xml:space="preserve"> של חלק מחבריי </w:t>
      </w:r>
      <w:r w:rsidRPr="006D5DD9">
        <w:rPr>
          <w:rFonts w:ascii="Century" w:hAnsi="Century" w:hint="cs"/>
          <w:sz w:val="22"/>
          <w:rtl/>
        </w:rPr>
        <w:t xml:space="preserve">יש לפרש את התיקון באופן ששולל ביקורת שיפוטית רק בעילת "הסבירות האיזונית", אך מאפשר ביקורת שיפוטית בעילת הסבירות "המקורית", קרי "סבירות של מופרכות" (ראו הגדרות אלו בחוות דעתה של חברתי השופטת </w:t>
      </w:r>
      <w:r w:rsidRPr="006D5DD9">
        <w:rPr>
          <w:rFonts w:ascii="Century" w:hAnsi="Century" w:cs="Miriam" w:hint="cs"/>
          <w:b/>
          <w:spacing w:val="0"/>
          <w:sz w:val="22"/>
          <w:szCs w:val="24"/>
          <w:rtl/>
        </w:rPr>
        <w:t>י' וילנר</w:t>
      </w:r>
      <w:r w:rsidRPr="006D5DD9">
        <w:rPr>
          <w:rFonts w:ascii="Century" w:hAnsi="Century" w:hint="cs"/>
          <w:sz w:val="22"/>
          <w:rtl/>
        </w:rPr>
        <w:t>, פסקאות 16-9; אשתמש בהגדרות אלו</w:t>
      </w:r>
      <w:r>
        <w:rPr>
          <w:rFonts w:ascii="Century" w:hAnsi="Century" w:hint="cs"/>
          <w:sz w:val="22"/>
          <w:rtl/>
        </w:rPr>
        <w:t xml:space="preserve"> להלן, אך זאת</w:t>
      </w:r>
      <w:r w:rsidRPr="006D5DD9">
        <w:rPr>
          <w:rFonts w:ascii="Century" w:hAnsi="Century" w:hint="cs"/>
          <w:sz w:val="22"/>
          <w:rtl/>
        </w:rPr>
        <w:t xml:space="preserve"> מבלי לטעת מסמרות בקיומן של ההבחנות האמורות). חברתי השופטת </w:t>
      </w:r>
      <w:r w:rsidRPr="006D5DD9">
        <w:rPr>
          <w:rFonts w:ascii="Century" w:hAnsi="Century" w:cs="Miriam" w:hint="cs"/>
          <w:b/>
          <w:spacing w:val="0"/>
          <w:sz w:val="22"/>
          <w:szCs w:val="24"/>
          <w:rtl/>
        </w:rPr>
        <w:t xml:space="preserve">וילנר </w:t>
      </w:r>
      <w:r>
        <w:rPr>
          <w:rFonts w:ascii="Century" w:hAnsi="Century" w:hint="cs"/>
          <w:sz w:val="22"/>
          <w:rtl/>
        </w:rPr>
        <w:t xml:space="preserve">פורשת </w:t>
      </w:r>
      <w:r w:rsidRPr="006D5DD9">
        <w:rPr>
          <w:rFonts w:ascii="Century" w:hAnsi="Century" w:hint="cs"/>
          <w:sz w:val="22"/>
          <w:rtl/>
        </w:rPr>
        <w:t xml:space="preserve">בחוות דעתה מהלך פרשני </w:t>
      </w:r>
      <w:r>
        <w:rPr>
          <w:rFonts w:ascii="Century" w:hAnsi="Century" w:hint="cs"/>
          <w:sz w:val="22"/>
          <w:rtl/>
        </w:rPr>
        <w:t>א</w:t>
      </w:r>
      <w:r w:rsidRPr="006D5DD9">
        <w:rPr>
          <w:rFonts w:ascii="Century" w:hAnsi="Century" w:hint="cs"/>
          <w:sz w:val="22"/>
          <w:rtl/>
        </w:rPr>
        <w:t>ש</w:t>
      </w:r>
      <w:r>
        <w:rPr>
          <w:rFonts w:ascii="Century" w:hAnsi="Century" w:hint="cs"/>
          <w:sz w:val="22"/>
          <w:rtl/>
        </w:rPr>
        <w:t xml:space="preserve">ר </w:t>
      </w:r>
      <w:r w:rsidRPr="006D5DD9">
        <w:rPr>
          <w:rFonts w:ascii="Century" w:hAnsi="Century" w:hint="cs"/>
          <w:sz w:val="22"/>
          <w:rtl/>
        </w:rPr>
        <w:t>מוליך</w:t>
      </w:r>
      <w:r>
        <w:rPr>
          <w:rFonts w:ascii="Century" w:hAnsi="Century" w:hint="cs"/>
          <w:sz w:val="22"/>
          <w:rtl/>
        </w:rPr>
        <w:t>,</w:t>
      </w:r>
      <w:r w:rsidRPr="006D5DD9">
        <w:rPr>
          <w:rFonts w:ascii="Century" w:hAnsi="Century" w:hint="cs"/>
          <w:sz w:val="22"/>
          <w:rtl/>
        </w:rPr>
        <w:t xml:space="preserve"> לשיטתה</w:t>
      </w:r>
      <w:r>
        <w:rPr>
          <w:rFonts w:ascii="Century" w:hAnsi="Century" w:hint="cs"/>
          <w:sz w:val="22"/>
          <w:rtl/>
        </w:rPr>
        <w:t>,</w:t>
      </w:r>
      <w:r w:rsidRPr="006D5DD9">
        <w:rPr>
          <w:rFonts w:ascii="Century" w:hAnsi="Century" w:hint="cs"/>
          <w:sz w:val="22"/>
          <w:rtl/>
        </w:rPr>
        <w:t xml:space="preserve"> למסקנה זו (שאליה כאמור מגיעים גם אחרים מחבריי). </w:t>
      </w:r>
      <w:r>
        <w:rPr>
          <w:rFonts w:ascii="Century" w:hAnsi="Century" w:hint="cs"/>
          <w:sz w:val="22"/>
          <w:rtl/>
        </w:rPr>
        <w:t>כאמור, תזה פרשנית זו מעוררת בעיניי קשיים ניכרים בשורה של מישורים</w:t>
      </w:r>
      <w:r w:rsidRPr="006D5DD9">
        <w:rPr>
          <w:rFonts w:ascii="Century" w:hAnsi="Century" w:hint="cs"/>
          <w:sz w:val="22"/>
          <w:rtl/>
        </w:rPr>
        <w:t>.</w:t>
      </w:r>
    </w:p>
    <w:p w:rsidR="00CB3B01" w:rsidRPr="006D5DD9" w:rsidRDefault="00CB3B01" w:rsidP="00CB3B01">
      <w:pPr>
        <w:pStyle w:val="Ruller4"/>
        <w:numPr>
          <w:ilvl w:val="0"/>
          <w:numId w:val="0"/>
        </w:numPr>
        <w:rPr>
          <w:rtl/>
        </w:rPr>
      </w:pPr>
    </w:p>
    <w:p w:rsidR="00CB3B01" w:rsidRPr="006D5DD9" w:rsidRDefault="00CB3B01" w:rsidP="00CB3B01">
      <w:pPr>
        <w:pStyle w:val="Ruller4"/>
      </w:pPr>
      <w:r w:rsidRPr="006D5DD9">
        <w:rPr>
          <w:rFonts w:hint="cs"/>
          <w:rtl/>
        </w:rPr>
        <w:lastRenderedPageBreak/>
        <w:t>הקושי הראשון שקיים לשיטתי בתזה הפרשנית המצמצמת נעוץ</w:t>
      </w:r>
      <w:r>
        <w:rPr>
          <w:rFonts w:hint="cs"/>
          <w:rtl/>
        </w:rPr>
        <w:t xml:space="preserve"> בחוסר הבהירות באשר לתחומי התפרס</w:t>
      </w:r>
      <w:r w:rsidRPr="006D5DD9">
        <w:rPr>
          <w:rFonts w:hint="cs"/>
          <w:rtl/>
        </w:rPr>
        <w:t xml:space="preserve">ותה. חברתי השופטת </w:t>
      </w:r>
      <w:r w:rsidRPr="006D5DD9">
        <w:rPr>
          <w:rFonts w:ascii="Century" w:hAnsi="Century" w:cs="Miriam" w:hint="cs"/>
          <w:b/>
          <w:spacing w:val="0"/>
          <w:sz w:val="22"/>
          <w:szCs w:val="24"/>
          <w:rtl/>
        </w:rPr>
        <w:t>וילנר</w:t>
      </w:r>
      <w:r w:rsidRPr="006D5DD9">
        <w:rPr>
          <w:rFonts w:hint="cs"/>
          <w:rtl/>
        </w:rPr>
        <w:t xml:space="preserve"> מבקשת להציב קו גבול ברור ותחום בין עילת הסבירות שלפני פסק הדין בעניין </w:t>
      </w:r>
      <w:r w:rsidRPr="006D5DD9">
        <w:rPr>
          <w:rFonts w:ascii="Century" w:hAnsi="Century" w:cs="Miriam" w:hint="cs"/>
          <w:b/>
          <w:spacing w:val="0"/>
          <w:sz w:val="22"/>
          <w:szCs w:val="24"/>
          <w:rtl/>
        </w:rPr>
        <w:t xml:space="preserve">דפי זהב </w:t>
      </w:r>
      <w:r w:rsidRPr="006D5DD9">
        <w:rPr>
          <w:rFonts w:ascii="Century" w:hAnsi="Century" w:hint="cs"/>
          <w:sz w:val="22"/>
          <w:rtl/>
        </w:rPr>
        <w:t xml:space="preserve">(בג"ץ 389/80 </w:t>
      </w:r>
      <w:r w:rsidRPr="006D5DD9">
        <w:rPr>
          <w:rFonts w:ascii="Century" w:hAnsi="Century" w:cs="Miriam" w:hint="cs"/>
          <w:b/>
          <w:spacing w:val="0"/>
          <w:sz w:val="22"/>
          <w:szCs w:val="24"/>
          <w:rtl/>
        </w:rPr>
        <w:t>דפי זהב בע"מ נ' רשות השידור</w:t>
      </w:r>
      <w:r w:rsidRPr="006D5DD9">
        <w:rPr>
          <w:rFonts w:ascii="Century" w:hAnsi="Century" w:hint="cs"/>
          <w:sz w:val="22"/>
          <w:rtl/>
        </w:rPr>
        <w:t xml:space="preserve">, פ"ד לה(1) 421 (1980) (להלן: עניין </w:t>
      </w:r>
      <w:r w:rsidRPr="006D5DD9">
        <w:rPr>
          <w:rFonts w:ascii="Century" w:hAnsi="Century" w:cs="Miriam" w:hint="cs"/>
          <w:b/>
          <w:spacing w:val="0"/>
          <w:sz w:val="22"/>
          <w:szCs w:val="24"/>
          <w:rtl/>
        </w:rPr>
        <w:t>דפי זהב</w:t>
      </w:r>
      <w:r w:rsidRPr="006D5DD9">
        <w:rPr>
          <w:rFonts w:ascii="Century" w:hAnsi="Century" w:hint="cs"/>
          <w:sz w:val="22"/>
          <w:rtl/>
        </w:rPr>
        <w:t>))</w:t>
      </w:r>
      <w:r w:rsidRPr="006D5DD9">
        <w:rPr>
          <w:rFonts w:hint="cs"/>
          <w:rtl/>
        </w:rPr>
        <w:t xml:space="preserve"> שלגביה תמשיך ותתקיים ביקורת שיפוטית; לבין עילת הסבירות שלאחר פסק הדין </w:t>
      </w:r>
      <w:r w:rsidRPr="006D5DD9">
        <w:rPr>
          <w:rtl/>
        </w:rPr>
        <w:t>–</w:t>
      </w:r>
      <w:r w:rsidRPr="006D5DD9">
        <w:rPr>
          <w:rFonts w:hint="cs"/>
          <w:rtl/>
        </w:rPr>
        <w:t xml:space="preserve"> שלא תוכל לשמש את בית המשפט בבוחנו את החלטות הממשלה ושריה. </w:t>
      </w:r>
      <w:r>
        <w:rPr>
          <w:rFonts w:hint="cs"/>
          <w:rtl/>
        </w:rPr>
        <w:t>ואולם</w:t>
      </w:r>
      <w:r w:rsidRPr="006D5DD9">
        <w:rPr>
          <w:rFonts w:hint="cs"/>
          <w:rtl/>
        </w:rPr>
        <w:t>,</w:t>
      </w:r>
      <w:r>
        <w:rPr>
          <w:rFonts w:hint="cs"/>
          <w:rtl/>
        </w:rPr>
        <w:t xml:space="preserve"> נדמה ש</w:t>
      </w:r>
      <w:r w:rsidRPr="006D5DD9">
        <w:rPr>
          <w:rFonts w:hint="cs"/>
          <w:rtl/>
        </w:rPr>
        <w:t xml:space="preserve">קיים קושי להצביע על גבולות "הסבירות" שתעמוד בתוקפה אף לאחר תיקון מס' 3 (ראו גם את האמור בהקשר זה בפסקה 15 לחוות דעתה של חברתי השופטת </w:t>
      </w:r>
      <w:r w:rsidRPr="006D5DD9">
        <w:rPr>
          <w:rFonts w:ascii="Century" w:hAnsi="Century" w:cs="Miriam" w:hint="cs"/>
          <w:b/>
          <w:spacing w:val="0"/>
          <w:sz w:val="22"/>
          <w:szCs w:val="24"/>
          <w:rtl/>
        </w:rPr>
        <w:t>רונן</w:t>
      </w:r>
      <w:r w:rsidRPr="006D5DD9">
        <w:rPr>
          <w:rFonts w:hint="cs"/>
          <w:rtl/>
        </w:rPr>
        <w:t>). בהקשר זה מפנה חברתי</w:t>
      </w:r>
      <w:r>
        <w:rPr>
          <w:rFonts w:hint="cs"/>
          <w:rtl/>
        </w:rPr>
        <w:t xml:space="preserve"> השופטת </w:t>
      </w:r>
      <w:r>
        <w:rPr>
          <w:rFonts w:ascii="Century" w:hAnsi="Century" w:cs="Miriam" w:hint="cs"/>
          <w:b/>
          <w:spacing w:val="0"/>
          <w:sz w:val="22"/>
          <w:szCs w:val="24"/>
          <w:rtl/>
        </w:rPr>
        <w:t>וילנר</w:t>
      </w:r>
      <w:r>
        <w:rPr>
          <w:rFonts w:hint="cs"/>
          <w:rtl/>
        </w:rPr>
        <w:t>, בין היתר,</w:t>
      </w:r>
      <w:r w:rsidRPr="006D5DD9">
        <w:rPr>
          <w:rFonts w:hint="cs"/>
          <w:rtl/>
        </w:rPr>
        <w:t xml:space="preserve"> גם לפסק </w:t>
      </w:r>
      <w:r>
        <w:rPr>
          <w:rFonts w:hint="cs"/>
          <w:rtl/>
        </w:rPr>
        <w:t>ה</w:t>
      </w:r>
      <w:r w:rsidRPr="006D5DD9">
        <w:rPr>
          <w:rFonts w:hint="cs"/>
          <w:rtl/>
        </w:rPr>
        <w:t xml:space="preserve">דין בעניין </w:t>
      </w:r>
      <w:r w:rsidRPr="006D5DD9">
        <w:rPr>
          <w:rFonts w:ascii="Century" w:hAnsi="Century" w:cs="Miriam" w:hint="eastAsia"/>
          <w:b/>
          <w:spacing w:val="0"/>
          <w:sz w:val="22"/>
          <w:szCs w:val="24"/>
          <w:rtl/>
        </w:rPr>
        <w:t>דקה</w:t>
      </w:r>
      <w:r w:rsidRPr="006D5DD9">
        <w:rPr>
          <w:rFonts w:hint="cs"/>
          <w:rtl/>
        </w:rPr>
        <w:t xml:space="preserve"> (בג"ץ 156/75 </w:t>
      </w:r>
      <w:r w:rsidRPr="006D5DD9">
        <w:rPr>
          <w:rFonts w:ascii="Century" w:hAnsi="Century" w:cs="Miriam" w:hint="cs"/>
          <w:b/>
          <w:spacing w:val="0"/>
          <w:sz w:val="22"/>
          <w:szCs w:val="24"/>
          <w:rtl/>
        </w:rPr>
        <w:t>דקה נ' שר התחבורה</w:t>
      </w:r>
      <w:r w:rsidRPr="006D5DD9">
        <w:rPr>
          <w:rFonts w:ascii="Century" w:hAnsi="Century" w:hint="cs"/>
          <w:sz w:val="22"/>
          <w:rtl/>
        </w:rPr>
        <w:t>, פ"ד ל(2) 94, 105 (1976</w:t>
      </w:r>
      <w:r w:rsidRPr="006D5DD9">
        <w:rPr>
          <w:rFonts w:hint="cs"/>
          <w:rtl/>
        </w:rPr>
        <w:t xml:space="preserve">) (להלן: עניין </w:t>
      </w:r>
      <w:r w:rsidRPr="006D5DD9">
        <w:rPr>
          <w:rFonts w:ascii="Century" w:hAnsi="Century" w:cs="Miriam" w:hint="cs"/>
          <w:b/>
          <w:spacing w:val="0"/>
          <w:sz w:val="22"/>
          <w:szCs w:val="24"/>
          <w:rtl/>
        </w:rPr>
        <w:t>דקה</w:t>
      </w:r>
      <w:r w:rsidRPr="006D5DD9">
        <w:rPr>
          <w:rFonts w:hint="cs"/>
          <w:rtl/>
        </w:rPr>
        <w:t xml:space="preserve">)). </w:t>
      </w:r>
      <w:r>
        <w:rPr>
          <w:rFonts w:hint="cs"/>
          <w:rtl/>
        </w:rPr>
        <w:t>אך</w:t>
      </w:r>
      <w:r w:rsidRPr="006D5DD9">
        <w:rPr>
          <w:rFonts w:hint="cs"/>
          <w:rtl/>
        </w:rPr>
        <w:t xml:space="preserve"> עיון באמור בפסק הדין מלמד על הקושי להבחין בין קיומה של קטגוריה מובחנת של "סבירות </w:t>
      </w:r>
      <w:r w:rsidRPr="006D5DD9">
        <w:rPr>
          <w:rFonts w:ascii="Century" w:hAnsi="Century" w:cs="Miriam" w:hint="cs"/>
          <w:b/>
          <w:spacing w:val="0"/>
          <w:sz w:val="22"/>
          <w:szCs w:val="24"/>
          <w:rtl/>
        </w:rPr>
        <w:t>דפי זהב</w:t>
      </w:r>
      <w:r w:rsidRPr="006D5DD9">
        <w:rPr>
          <w:rFonts w:ascii="Century" w:hAnsi="Century" w:hint="cs"/>
          <w:sz w:val="22"/>
          <w:rtl/>
        </w:rPr>
        <w:t xml:space="preserve">" לעומת "סבירות </w:t>
      </w:r>
      <w:r w:rsidRPr="006D5DD9">
        <w:rPr>
          <w:rFonts w:ascii="Century" w:hAnsi="Century" w:cs="Miriam" w:hint="cs"/>
          <w:b/>
          <w:spacing w:val="0"/>
          <w:sz w:val="22"/>
          <w:szCs w:val="24"/>
          <w:rtl/>
        </w:rPr>
        <w:t>דקה</w:t>
      </w:r>
      <w:r w:rsidRPr="006D5DD9">
        <w:rPr>
          <w:rFonts w:ascii="Century" w:hAnsi="Century" w:hint="cs"/>
          <w:sz w:val="22"/>
          <w:rtl/>
        </w:rPr>
        <w:t xml:space="preserve">". כך, בעניין </w:t>
      </w:r>
      <w:r w:rsidRPr="006D5DD9">
        <w:rPr>
          <w:rFonts w:ascii="Century" w:hAnsi="Century" w:cs="Miriam" w:hint="cs"/>
          <w:b/>
          <w:spacing w:val="0"/>
          <w:sz w:val="22"/>
          <w:szCs w:val="24"/>
          <w:rtl/>
        </w:rPr>
        <w:t>דקה</w:t>
      </w:r>
      <w:r>
        <w:rPr>
          <w:rFonts w:ascii="Century" w:hAnsi="Century" w:hint="cs"/>
          <w:sz w:val="22"/>
          <w:rtl/>
        </w:rPr>
        <w:t xml:space="preserve"> צוין</w:t>
      </w:r>
      <w:r w:rsidRPr="006D5DD9">
        <w:rPr>
          <w:rFonts w:ascii="Century" w:hAnsi="Century" w:hint="cs"/>
          <w:sz w:val="22"/>
          <w:rtl/>
        </w:rPr>
        <w:t>:</w:t>
      </w:r>
    </w:p>
    <w:p w:rsidR="00CB3B01" w:rsidRPr="006D5DD9" w:rsidRDefault="00CB3B01" w:rsidP="00CB3B01">
      <w:pPr>
        <w:pStyle w:val="Ruller4"/>
        <w:numPr>
          <w:ilvl w:val="0"/>
          <w:numId w:val="0"/>
        </w:numPr>
        <w:rPr>
          <w:rtl/>
        </w:rPr>
      </w:pPr>
    </w:p>
    <w:p w:rsidR="00CB3B01" w:rsidRPr="006D5DD9" w:rsidRDefault="00CB3B01" w:rsidP="00CB3B01">
      <w:pPr>
        <w:pStyle w:val="Ruller5"/>
        <w:rPr>
          <w:rtl/>
        </w:rPr>
      </w:pPr>
      <w:r w:rsidRPr="006D5DD9">
        <w:rPr>
          <w:rFonts w:hint="cs"/>
          <w:rtl/>
        </w:rPr>
        <w:t>"יכולה אי-הסבירות גם להתגלות כאשר היא בגפה: לדוגמה, יכול שיווצרו נסיבות בהן לא נשקל על-ידי הרשות המיניסטריאלית שיקול זר, והובאו בחשבון אך ורק שיקולים שהם רלבנטיים לענין, אולם לשיקולים הרלבנטיים השונים יוחס משקל בפרופורציה כה מעוותת ביניהם לבין עצמם, עד שהמסקנה הסופית הפכה מופרכת מעיקרה, ובשל כך לבלתי סבירה לחלוטין" (שם, בעמ' 105).</w:t>
      </w:r>
    </w:p>
    <w:p w:rsidR="00CB3B01" w:rsidRPr="006D5DD9" w:rsidRDefault="00CB3B01" w:rsidP="00CB3B01">
      <w:pPr>
        <w:pStyle w:val="Ruller4"/>
        <w:numPr>
          <w:ilvl w:val="0"/>
          <w:numId w:val="0"/>
        </w:numPr>
        <w:rPr>
          <w:rtl/>
        </w:rPr>
      </w:pPr>
    </w:p>
    <w:p w:rsidR="00CB3B01" w:rsidRDefault="00CB3B01" w:rsidP="00CB3B01">
      <w:pPr>
        <w:pStyle w:val="Ruller41"/>
        <w:rPr>
          <w:rFonts w:ascii="Century" w:hAnsi="Century"/>
          <w:rtl/>
        </w:rPr>
      </w:pPr>
      <w:r w:rsidRPr="006D5DD9">
        <w:rPr>
          <w:rtl/>
        </w:rPr>
        <w:tab/>
      </w:r>
      <w:r w:rsidRPr="006D5DD9">
        <w:rPr>
          <w:rFonts w:hint="cs"/>
          <w:rtl/>
        </w:rPr>
        <w:t>בעינ</w:t>
      </w:r>
      <w:r>
        <w:rPr>
          <w:rFonts w:hint="cs"/>
          <w:rtl/>
        </w:rPr>
        <w:t>י</w:t>
      </w:r>
      <w:r w:rsidRPr="006D5DD9">
        <w:rPr>
          <w:rFonts w:hint="cs"/>
          <w:rtl/>
        </w:rPr>
        <w:t xml:space="preserve">י, קשה לומר שגישת פסק דין </w:t>
      </w:r>
      <w:r w:rsidRPr="006D5DD9">
        <w:rPr>
          <w:rFonts w:ascii="Century" w:hAnsi="Century" w:cs="Miriam" w:hint="cs"/>
          <w:b/>
          <w:spacing w:val="0"/>
          <w:szCs w:val="24"/>
          <w:rtl/>
        </w:rPr>
        <w:t xml:space="preserve">דקה </w:t>
      </w:r>
      <w:r w:rsidRPr="006D5DD9">
        <w:rPr>
          <w:rFonts w:ascii="Century" w:hAnsi="Century" w:hint="cs"/>
          <w:rtl/>
        </w:rPr>
        <w:t xml:space="preserve">לא משקפת סבירות "איזונית". זו באה לידי ביטוי הן בלשונו של פסק הדין, הן במהותו </w:t>
      </w:r>
      <w:r w:rsidRPr="006D5DD9">
        <w:rPr>
          <w:rFonts w:ascii="Century" w:hAnsi="Century"/>
          <w:rtl/>
        </w:rPr>
        <w:t>–</w:t>
      </w:r>
      <w:r w:rsidRPr="006D5DD9">
        <w:rPr>
          <w:rFonts w:ascii="Century" w:hAnsi="Century" w:hint="cs"/>
          <w:rtl/>
        </w:rPr>
        <w:t xml:space="preserve"> איזוניות. זאת ועוד, עיון בפסק הדין של השופט </w:t>
      </w:r>
      <w:r w:rsidRPr="006D5DD9">
        <w:rPr>
          <w:rFonts w:ascii="Century" w:hAnsi="Century" w:cs="Miriam" w:hint="cs"/>
          <w:b/>
          <w:spacing w:val="0"/>
          <w:szCs w:val="24"/>
          <w:rtl/>
        </w:rPr>
        <w:t>א' ברק</w:t>
      </w:r>
      <w:r w:rsidRPr="006D5DD9">
        <w:rPr>
          <w:rFonts w:ascii="Century" w:hAnsi="Century" w:hint="cs"/>
          <w:rtl/>
        </w:rPr>
        <w:t xml:space="preserve"> בעניין </w:t>
      </w:r>
      <w:r w:rsidRPr="006D5DD9">
        <w:rPr>
          <w:rFonts w:ascii="Century" w:hAnsi="Century" w:cs="Miriam" w:hint="cs"/>
          <w:b/>
          <w:spacing w:val="0"/>
          <w:szCs w:val="24"/>
          <w:rtl/>
        </w:rPr>
        <w:t>דפי זהב</w:t>
      </w:r>
      <w:r w:rsidRPr="006D5DD9">
        <w:rPr>
          <w:rFonts w:ascii="Century" w:hAnsi="Century" w:hint="cs"/>
          <w:rtl/>
        </w:rPr>
        <w:t xml:space="preserve"> מגלה שהוא נשען על האמור לעיל בפסק דין </w:t>
      </w:r>
      <w:r w:rsidRPr="006D5DD9">
        <w:rPr>
          <w:rFonts w:ascii="Century" w:hAnsi="Century" w:cs="Miriam" w:hint="cs"/>
          <w:b/>
          <w:spacing w:val="0"/>
          <w:szCs w:val="24"/>
          <w:rtl/>
        </w:rPr>
        <w:t>דקה</w:t>
      </w:r>
      <w:r w:rsidRPr="006D5DD9">
        <w:rPr>
          <w:rFonts w:ascii="Century" w:hAnsi="Century" w:hint="cs"/>
          <w:rtl/>
        </w:rPr>
        <w:t xml:space="preserve"> וצוין בו במפורש כי רק חוסר סבירות </w:t>
      </w:r>
      <w:r w:rsidRPr="006D5DD9">
        <w:rPr>
          <w:rFonts w:ascii="Century" w:hAnsi="Century" w:cs="Miriam" w:hint="cs"/>
          <w:b/>
          <w:spacing w:val="0"/>
          <w:szCs w:val="24"/>
          <w:rtl/>
        </w:rPr>
        <w:t>קיצוני</w:t>
      </w:r>
      <w:r w:rsidRPr="006D5DD9">
        <w:rPr>
          <w:rFonts w:ascii="Century" w:hAnsi="Century" w:hint="cs"/>
          <w:rtl/>
        </w:rPr>
        <w:t xml:space="preserve"> יוביל לפסילתה של ההחלטה המינהלית (שם, בעמ' 437). אם כן, מהי ההבחנה בין עילת הסבירות בעניין </w:t>
      </w:r>
      <w:r w:rsidRPr="006D5DD9">
        <w:rPr>
          <w:rFonts w:ascii="Century" w:hAnsi="Century" w:cs="Miriam" w:hint="cs"/>
          <w:b/>
          <w:spacing w:val="0"/>
          <w:szCs w:val="24"/>
          <w:rtl/>
        </w:rPr>
        <w:t xml:space="preserve">דקה </w:t>
      </w:r>
      <w:r w:rsidRPr="006D5DD9">
        <w:rPr>
          <w:rFonts w:ascii="Century" w:hAnsi="Century" w:hint="cs"/>
          <w:rtl/>
        </w:rPr>
        <w:t xml:space="preserve">לבין עילת הסבירות בעניין </w:t>
      </w:r>
      <w:r w:rsidRPr="006D5DD9">
        <w:rPr>
          <w:rFonts w:ascii="Century" w:hAnsi="Century" w:cs="Miriam" w:hint="cs"/>
          <w:b/>
          <w:spacing w:val="0"/>
          <w:szCs w:val="24"/>
          <w:rtl/>
        </w:rPr>
        <w:t>דפי זהב</w:t>
      </w:r>
      <w:r w:rsidRPr="006D5DD9">
        <w:rPr>
          <w:rFonts w:ascii="Century" w:hAnsi="Century" w:hint="cs"/>
          <w:rtl/>
        </w:rPr>
        <w:t xml:space="preserve"> (עילת הסבירות ה"איזונית"). </w:t>
      </w:r>
      <w:r>
        <w:rPr>
          <w:rFonts w:hint="cs"/>
          <w:rtl/>
        </w:rPr>
        <w:t xml:space="preserve">כך גם </w:t>
      </w:r>
      <w:r w:rsidRPr="006D5DD9">
        <w:rPr>
          <w:rFonts w:hint="cs"/>
          <w:rtl/>
        </w:rPr>
        <w:t xml:space="preserve">המתווה הפרשני של חזרה לעילת הסבירות "המקורית" מעורר שאלות יישומיות לא פשוטות. בראש ובראשונה נשאלת השאלה </w:t>
      </w:r>
      <w:r w:rsidRPr="006D5DD9">
        <w:rPr>
          <w:rtl/>
        </w:rPr>
        <w:t>–</w:t>
      </w:r>
      <w:r w:rsidRPr="006D5DD9">
        <w:rPr>
          <w:rFonts w:hint="cs"/>
          <w:rtl/>
        </w:rPr>
        <w:t xml:space="preserve"> כיצד הלכה למעשה תיבחן השאלה האם החלטה מינהלית היא "מופרכת" או "בלתי הגיונית"? האם לפי הגישה המצמצמת רשאי בית המשפט לבחון את סבירות ההחלטה בהתאם לאמות המידה בפסק דין </w:t>
      </w:r>
      <w:r w:rsidRPr="006D5DD9">
        <w:rPr>
          <w:rFonts w:ascii="Century" w:hAnsi="Century" w:cs="Miriam" w:hint="cs"/>
          <w:b/>
          <w:spacing w:val="0"/>
          <w:szCs w:val="24"/>
          <w:rtl/>
        </w:rPr>
        <w:t>דקה</w:t>
      </w:r>
      <w:r w:rsidRPr="006D5DD9">
        <w:rPr>
          <w:rFonts w:ascii="Century" w:hAnsi="Century" w:hint="cs"/>
          <w:rtl/>
        </w:rPr>
        <w:t xml:space="preserve">? קשיים יישומיים אלה </w:t>
      </w:r>
      <w:r w:rsidRPr="006D5DD9">
        <w:rPr>
          <w:rFonts w:ascii="Century" w:hAnsi="Century"/>
          <w:rtl/>
        </w:rPr>
        <w:t>–</w:t>
      </w:r>
      <w:r w:rsidRPr="006D5DD9">
        <w:rPr>
          <w:rFonts w:ascii="Century" w:hAnsi="Century" w:hint="cs"/>
          <w:rtl/>
        </w:rPr>
        <w:t xml:space="preserve"> שמטילים ספק באפשרות לקבוע מה בא בגדר הפרשנות המקיימת ומה מחוצה לה </w:t>
      </w:r>
      <w:r w:rsidRPr="006D5DD9">
        <w:rPr>
          <w:rFonts w:ascii="Century" w:hAnsi="Century"/>
          <w:rtl/>
        </w:rPr>
        <w:t>–</w:t>
      </w:r>
      <w:r w:rsidRPr="006D5DD9">
        <w:rPr>
          <w:rFonts w:ascii="Century" w:hAnsi="Century" w:hint="cs"/>
          <w:rtl/>
        </w:rPr>
        <w:t xml:space="preserve"> מקרינים בעיני</w:t>
      </w:r>
      <w:r>
        <w:rPr>
          <w:rFonts w:ascii="Century" w:hAnsi="Century" w:hint="cs"/>
          <w:rtl/>
        </w:rPr>
        <w:t>י</w:t>
      </w:r>
      <w:r w:rsidRPr="006D5DD9">
        <w:rPr>
          <w:rFonts w:ascii="Century" w:hAnsi="Century" w:hint="cs"/>
          <w:rtl/>
        </w:rPr>
        <w:t xml:space="preserve"> במישרין על האפשרות לפנות לאפיק פרשני חלף האפיק החוקתי. </w:t>
      </w:r>
    </w:p>
    <w:p w:rsidR="00CB3B01" w:rsidRDefault="00CB3B01" w:rsidP="00CB3B01">
      <w:pPr>
        <w:pStyle w:val="Ruller41"/>
        <w:rPr>
          <w:rFonts w:ascii="Century" w:hAnsi="Century"/>
          <w:rtl/>
        </w:rPr>
      </w:pPr>
    </w:p>
    <w:p w:rsidR="00CB3B01" w:rsidRPr="005E00A4" w:rsidRDefault="00CB3B01" w:rsidP="00CB3B01">
      <w:pPr>
        <w:pStyle w:val="Ruller4"/>
        <w:rPr>
          <w:rtl/>
        </w:rPr>
      </w:pPr>
      <w:r w:rsidRPr="006D5DD9">
        <w:rPr>
          <w:rFonts w:hint="cs"/>
          <w:rtl/>
        </w:rPr>
        <w:lastRenderedPageBreak/>
        <w:t xml:space="preserve">ודוקו: </w:t>
      </w:r>
      <w:r>
        <w:rPr>
          <w:rFonts w:hint="cs"/>
          <w:rtl/>
        </w:rPr>
        <w:t xml:space="preserve">איני </w:t>
      </w:r>
      <w:r w:rsidRPr="006D5DD9">
        <w:rPr>
          <w:rFonts w:hint="cs"/>
          <w:rtl/>
        </w:rPr>
        <w:t>מבקש ל</w:t>
      </w:r>
      <w:r>
        <w:rPr>
          <w:rFonts w:hint="cs"/>
          <w:rtl/>
        </w:rPr>
        <w:t xml:space="preserve">ומר </w:t>
      </w:r>
      <w:r w:rsidRPr="006D5DD9">
        <w:rPr>
          <w:rFonts w:hint="cs"/>
          <w:rtl/>
        </w:rPr>
        <w:t xml:space="preserve">כי פסק הדין בעניין </w:t>
      </w:r>
      <w:r w:rsidRPr="006D5DD9">
        <w:rPr>
          <w:rFonts w:cs="Miriam" w:hint="cs"/>
          <w:b/>
          <w:spacing w:val="0"/>
          <w:szCs w:val="24"/>
          <w:rtl/>
        </w:rPr>
        <w:t xml:space="preserve">דפי זהב </w:t>
      </w:r>
      <w:r w:rsidRPr="006D5DD9">
        <w:rPr>
          <w:rFonts w:hint="cs"/>
          <w:rtl/>
        </w:rPr>
        <w:t xml:space="preserve">לא היה נקודת ציון חשובה בהתפתחות המשפט המינהלי הישראלי. כל שאני מבקש הוא להבהיר שהחלופה הפרשנית ה"מצמצמת" אינה נשענת </w:t>
      </w:r>
      <w:r>
        <w:rPr>
          <w:rFonts w:hint="cs"/>
          <w:rtl/>
        </w:rPr>
        <w:t xml:space="preserve">בעיניי </w:t>
      </w:r>
      <w:r w:rsidRPr="006D5DD9">
        <w:rPr>
          <w:rFonts w:hint="cs"/>
          <w:rtl/>
        </w:rPr>
        <w:t>על קרקע מוצקה, וכי אין היא מסוגלת להעמיד תזה פרשנית ברורה בדבר גבולותיה של עילת הסבירות שתיוותר לאחר פרשנותו המצמצמת של התיקון.</w:t>
      </w:r>
    </w:p>
    <w:p w:rsidR="00CB3B01" w:rsidRPr="006D5DD9" w:rsidRDefault="00CB3B01" w:rsidP="00CB3B01">
      <w:pPr>
        <w:pStyle w:val="Ruller41"/>
        <w:rPr>
          <w:rtl/>
        </w:rPr>
      </w:pPr>
    </w:p>
    <w:p w:rsidR="00CB3B01" w:rsidRPr="006D5DD9" w:rsidRDefault="00CB3B01" w:rsidP="00CB3B01">
      <w:pPr>
        <w:pStyle w:val="Ruller4"/>
      </w:pPr>
      <w:r w:rsidRPr="006D5DD9">
        <w:rPr>
          <w:rFonts w:hint="cs"/>
          <w:rtl/>
        </w:rPr>
        <w:t>עמימות התזה הפרשנית החלופית מוליכה גם לקשיים בבחינת פרשנות התיקון בהתאם לכללי הפרשנות המקובלים בפסיקתנו. ראשית, בכל הנוגע ללשון התיקון, הרי שהיא על פניה ברורה; התיקון קובע כי בית משפט "</w:t>
      </w:r>
      <w:r w:rsidRPr="006D5DD9">
        <w:rPr>
          <w:rFonts w:ascii="Century" w:hAnsi="Century" w:hint="eastAsia"/>
          <w:rtl/>
        </w:rPr>
        <w:t>לא</w:t>
      </w:r>
      <w:r w:rsidRPr="006D5DD9">
        <w:rPr>
          <w:rFonts w:ascii="Century" w:hAnsi="Century"/>
          <w:rtl/>
        </w:rPr>
        <w:t xml:space="preserve"> </w:t>
      </w:r>
      <w:r w:rsidRPr="006D5DD9">
        <w:rPr>
          <w:rFonts w:ascii="Century" w:hAnsi="Century" w:hint="eastAsia"/>
          <w:rtl/>
        </w:rPr>
        <w:t>ידון</w:t>
      </w:r>
      <w:r w:rsidRPr="006D5DD9">
        <w:rPr>
          <w:rFonts w:ascii="Century" w:hAnsi="Century"/>
          <w:rtl/>
        </w:rPr>
        <w:t xml:space="preserve"> </w:t>
      </w:r>
      <w:r w:rsidRPr="006D5DD9">
        <w:rPr>
          <w:rFonts w:ascii="Century" w:hAnsi="Century" w:hint="eastAsia"/>
          <w:rtl/>
        </w:rPr>
        <w:t>בעניין</w:t>
      </w:r>
      <w:r w:rsidRPr="006D5DD9">
        <w:rPr>
          <w:rFonts w:ascii="Century" w:hAnsi="Century"/>
          <w:rtl/>
        </w:rPr>
        <w:t xml:space="preserve"> </w:t>
      </w:r>
      <w:r w:rsidRPr="006D5DD9">
        <w:rPr>
          <w:rFonts w:ascii="Century" w:hAnsi="Century" w:hint="eastAsia"/>
          <w:rtl/>
        </w:rPr>
        <w:t>סבירות</w:t>
      </w:r>
      <w:r w:rsidRPr="006D5DD9">
        <w:rPr>
          <w:rFonts w:ascii="Century" w:hAnsi="Century"/>
          <w:rtl/>
        </w:rPr>
        <w:t xml:space="preserve"> </w:t>
      </w:r>
      <w:r w:rsidRPr="006D5DD9">
        <w:rPr>
          <w:rFonts w:ascii="Century" w:hAnsi="Century" w:hint="eastAsia"/>
          <w:rtl/>
        </w:rPr>
        <w:t>ההחלטה</w:t>
      </w:r>
      <w:r w:rsidRPr="006D5DD9">
        <w:rPr>
          <w:rFonts w:ascii="Century" w:hAnsi="Century"/>
          <w:rtl/>
        </w:rPr>
        <w:t xml:space="preserve"> </w:t>
      </w:r>
      <w:r w:rsidRPr="006D5DD9">
        <w:rPr>
          <w:rFonts w:ascii="Century" w:hAnsi="Century" w:hint="eastAsia"/>
          <w:rtl/>
        </w:rPr>
        <w:t>של</w:t>
      </w:r>
      <w:r w:rsidRPr="006D5DD9">
        <w:rPr>
          <w:rFonts w:ascii="Century" w:hAnsi="Century"/>
          <w:rtl/>
        </w:rPr>
        <w:t xml:space="preserve"> </w:t>
      </w:r>
      <w:r w:rsidRPr="006D5DD9">
        <w:rPr>
          <w:rFonts w:ascii="Century" w:hAnsi="Century" w:hint="eastAsia"/>
          <w:rtl/>
        </w:rPr>
        <w:t>הממשלה</w:t>
      </w:r>
      <w:r w:rsidRPr="006D5DD9">
        <w:rPr>
          <w:rFonts w:ascii="Century" w:hAnsi="Century"/>
          <w:rtl/>
        </w:rPr>
        <w:t xml:space="preserve">, </w:t>
      </w:r>
      <w:r w:rsidRPr="006D5DD9">
        <w:rPr>
          <w:rFonts w:ascii="Century" w:hAnsi="Century" w:hint="eastAsia"/>
          <w:rtl/>
        </w:rPr>
        <w:t>של</w:t>
      </w:r>
      <w:r w:rsidRPr="006D5DD9">
        <w:rPr>
          <w:rFonts w:ascii="Century" w:hAnsi="Century"/>
          <w:rtl/>
        </w:rPr>
        <w:t xml:space="preserve"> </w:t>
      </w:r>
      <w:r w:rsidRPr="006D5DD9">
        <w:rPr>
          <w:rFonts w:ascii="Century" w:hAnsi="Century" w:hint="eastAsia"/>
          <w:rtl/>
        </w:rPr>
        <w:t>ראש</w:t>
      </w:r>
      <w:r w:rsidRPr="006D5DD9">
        <w:rPr>
          <w:rFonts w:ascii="Century" w:hAnsi="Century"/>
          <w:rtl/>
        </w:rPr>
        <w:t xml:space="preserve"> </w:t>
      </w:r>
      <w:r w:rsidRPr="006D5DD9">
        <w:rPr>
          <w:rFonts w:ascii="Century" w:hAnsi="Century" w:hint="eastAsia"/>
          <w:rtl/>
        </w:rPr>
        <w:t>הממשלה</w:t>
      </w:r>
      <w:r w:rsidRPr="006D5DD9">
        <w:rPr>
          <w:rFonts w:ascii="Century" w:hAnsi="Century"/>
          <w:rtl/>
        </w:rPr>
        <w:t xml:space="preserve"> </w:t>
      </w:r>
      <w:r w:rsidRPr="006D5DD9">
        <w:rPr>
          <w:rFonts w:ascii="Century" w:hAnsi="Century" w:hint="eastAsia"/>
          <w:rtl/>
        </w:rPr>
        <w:t>או</w:t>
      </w:r>
      <w:r w:rsidRPr="006D5DD9">
        <w:rPr>
          <w:rFonts w:ascii="Century" w:hAnsi="Century"/>
          <w:rtl/>
        </w:rPr>
        <w:t xml:space="preserve"> </w:t>
      </w:r>
      <w:r w:rsidRPr="006D5DD9">
        <w:rPr>
          <w:rFonts w:ascii="Century" w:hAnsi="Century" w:hint="eastAsia"/>
          <w:rtl/>
        </w:rPr>
        <w:t>של</w:t>
      </w:r>
      <w:r w:rsidRPr="006D5DD9">
        <w:rPr>
          <w:rFonts w:ascii="Century" w:hAnsi="Century"/>
          <w:rtl/>
        </w:rPr>
        <w:t xml:space="preserve"> </w:t>
      </w:r>
      <w:r w:rsidRPr="006D5DD9">
        <w:rPr>
          <w:rFonts w:ascii="Century" w:hAnsi="Century" w:hint="eastAsia"/>
          <w:rtl/>
        </w:rPr>
        <w:t>שר</w:t>
      </w:r>
      <w:r w:rsidRPr="006D5DD9">
        <w:rPr>
          <w:rFonts w:ascii="Century" w:hAnsi="Century"/>
          <w:rtl/>
        </w:rPr>
        <w:t xml:space="preserve"> </w:t>
      </w:r>
      <w:r w:rsidRPr="006D5DD9">
        <w:rPr>
          <w:rFonts w:ascii="Century" w:hAnsi="Century" w:hint="eastAsia"/>
          <w:rtl/>
        </w:rPr>
        <w:t>אחר</w:t>
      </w:r>
      <w:r w:rsidRPr="006D5DD9">
        <w:rPr>
          <w:rFonts w:hint="cs"/>
          <w:rtl/>
        </w:rPr>
        <w:t xml:space="preserve">". מדובר בלשון רחבה וגורפת שלא מסייגת עצמה לסוג זה או לסוג אחר של סבירות. מכאן, שקיים קושי בעמדה שגורסת כי בניגוד ללשון המפורשת שבה נקט התיקון, בית משפט זה רשאי לדון בסבירות, בנגזרת מצומצמת יותר. לא מצאתי עיגון לשוני לטענה כי הלשון מכוונת רק לסוג מסוים של סבירות </w:t>
      </w:r>
      <w:r w:rsidRPr="006D5DD9">
        <w:rPr>
          <w:rtl/>
        </w:rPr>
        <w:t>–</w:t>
      </w:r>
      <w:r w:rsidRPr="006D5DD9">
        <w:rPr>
          <w:rFonts w:hint="cs"/>
          <w:rtl/>
        </w:rPr>
        <w:t xml:space="preserve"> סוג שאין לו אזכור בלשון הסעיף. לכך יש להוסיף כי כפי שצוין לעיל, ההבחנה המוצעת בין "סוגי הסבירות" כשלעצמה אינה נקיה מספקות, ולפיכך אין בפרשנות המצמצמת המוצעת כדי להצביע על חלופה לשונית ברורה ומוגדרת. </w:t>
      </w:r>
      <w:r w:rsidRPr="006D5DD9">
        <w:rPr>
          <w:rFonts w:ascii="Century" w:hAnsi="Century" w:hint="cs"/>
          <w:sz w:val="22"/>
          <w:rtl/>
        </w:rPr>
        <w:t>מכאן שהקושי במישור הלשון אינו רק בשאלת קיומה של אחיזה בלשון התיקון; כי אם</w:t>
      </w:r>
      <w:r>
        <w:rPr>
          <w:rFonts w:ascii="Century" w:hAnsi="Century" w:hint="cs"/>
          <w:sz w:val="22"/>
          <w:rtl/>
        </w:rPr>
        <w:t xml:space="preserve"> גם</w:t>
      </w:r>
      <w:r w:rsidRPr="006D5DD9">
        <w:rPr>
          <w:rFonts w:ascii="Century" w:hAnsi="Century" w:hint="cs"/>
          <w:sz w:val="22"/>
          <w:rtl/>
        </w:rPr>
        <w:t xml:space="preserve"> בקיומה של חלופה לשונית ברורה וקוהרנטית. </w:t>
      </w:r>
    </w:p>
    <w:p w:rsidR="00CB3B01" w:rsidRPr="006D5DD9" w:rsidRDefault="00CB3B01" w:rsidP="00CB3B01">
      <w:pPr>
        <w:pStyle w:val="Ruller4"/>
        <w:numPr>
          <w:ilvl w:val="0"/>
          <w:numId w:val="0"/>
        </w:numPr>
        <w:rPr>
          <w:rtl/>
        </w:rPr>
      </w:pPr>
    </w:p>
    <w:p w:rsidR="00CB3B01" w:rsidRDefault="00CB3B01" w:rsidP="00CB3B01">
      <w:pPr>
        <w:pStyle w:val="Ruller4"/>
        <w:rPr>
          <w:rtl/>
        </w:rPr>
      </w:pPr>
      <w:r w:rsidRPr="006D5DD9">
        <w:rPr>
          <w:rtl/>
        </w:rPr>
        <w:tab/>
      </w:r>
      <w:r w:rsidRPr="006D5DD9">
        <w:rPr>
          <w:rFonts w:hint="cs"/>
          <w:rtl/>
        </w:rPr>
        <w:t xml:space="preserve">אשר לתכליות התיקון, חברתי השופטת </w:t>
      </w:r>
      <w:r w:rsidRPr="001B77F8">
        <w:rPr>
          <w:rFonts w:ascii="Century" w:hAnsi="Century" w:cs="Miriam" w:hint="cs"/>
          <w:b/>
          <w:spacing w:val="0"/>
          <w:sz w:val="22"/>
          <w:szCs w:val="24"/>
          <w:rtl/>
        </w:rPr>
        <w:t xml:space="preserve">וילנר </w:t>
      </w:r>
      <w:r w:rsidRPr="006D5DD9">
        <w:rPr>
          <w:rFonts w:hint="cs"/>
          <w:rtl/>
        </w:rPr>
        <w:t xml:space="preserve">סבורה כי </w:t>
      </w:r>
      <w:r>
        <w:rPr>
          <w:rFonts w:ascii="Century" w:hAnsi="Century" w:hint="cs"/>
          <w:rtl/>
        </w:rPr>
        <w:t>התכלית האובייקטיבית תומכת בפרשנות המוצעת על ידה, וכי יש לה יסוד אף בתכלית הסובייקטיבית.</w:t>
      </w:r>
      <w:r w:rsidRPr="006D5DD9">
        <w:rPr>
          <w:rFonts w:hint="cs"/>
          <w:rtl/>
        </w:rPr>
        <w:t xml:space="preserve">. ואולם, התכלית הסובייקטיבית שעליה מצביעה חברתי נשענת, בעיקרה, על שני רכיבים שאני מתקשה למצוא בהם עוגן מספיק: דברי ההסבר של תיקון מס' 3 ועמדת הממשלה </w:t>
      </w:r>
      <w:r>
        <w:rPr>
          <w:rFonts w:hint="cs"/>
          <w:rtl/>
        </w:rPr>
        <w:t>בהליכים</w:t>
      </w:r>
      <w:r w:rsidRPr="006D5DD9">
        <w:rPr>
          <w:rFonts w:hint="cs"/>
          <w:rtl/>
        </w:rPr>
        <w:t xml:space="preserve"> שלפנינו. בכל הנוגע להישענות על דברי ההסבר לתיקון, מובן כי יש ליתן לדברי ההסבר משקל בבחינת תכליתו הסובייקטיבית של דבר חקיקה (ראו למשל: בג"ץ 8544/20 </w:t>
      </w:r>
      <w:r w:rsidRPr="001B77F8">
        <w:rPr>
          <w:rFonts w:ascii="Century" w:hAnsi="Century" w:cs="Miriam" w:hint="eastAsia"/>
          <w:b/>
          <w:spacing w:val="0"/>
          <w:sz w:val="22"/>
          <w:szCs w:val="24"/>
          <w:rtl/>
        </w:rPr>
        <w:t>חברת</w:t>
      </w:r>
      <w:r w:rsidRPr="001B77F8">
        <w:rPr>
          <w:rFonts w:ascii="Century" w:hAnsi="Century" w:cs="Miriam"/>
          <w:b/>
          <w:spacing w:val="0"/>
          <w:sz w:val="22"/>
          <w:szCs w:val="24"/>
          <w:rtl/>
        </w:rPr>
        <w:t xml:space="preserve"> </w:t>
      </w:r>
      <w:r w:rsidRPr="001B77F8">
        <w:rPr>
          <w:rFonts w:ascii="Century" w:hAnsi="Century" w:cs="Miriam" w:hint="eastAsia"/>
          <w:b/>
          <w:spacing w:val="0"/>
          <w:sz w:val="22"/>
          <w:szCs w:val="24"/>
          <w:rtl/>
        </w:rPr>
        <w:t>מוקד</w:t>
      </w:r>
      <w:r w:rsidRPr="001B77F8">
        <w:rPr>
          <w:rFonts w:ascii="Century" w:hAnsi="Century" w:cs="Miriam"/>
          <w:b/>
          <w:spacing w:val="0"/>
          <w:sz w:val="22"/>
          <w:szCs w:val="24"/>
          <w:rtl/>
        </w:rPr>
        <w:t xml:space="preserve"> </w:t>
      </w:r>
      <w:r w:rsidRPr="001B77F8">
        <w:rPr>
          <w:rFonts w:ascii="Century" w:hAnsi="Century" w:cs="Miriam" w:hint="eastAsia"/>
          <w:b/>
          <w:spacing w:val="0"/>
          <w:sz w:val="22"/>
          <w:szCs w:val="24"/>
          <w:rtl/>
        </w:rPr>
        <w:t>אנוש</w:t>
      </w:r>
      <w:r w:rsidRPr="001B77F8">
        <w:rPr>
          <w:rFonts w:ascii="Century" w:hAnsi="Century" w:cs="Miriam"/>
          <w:b/>
          <w:spacing w:val="0"/>
          <w:sz w:val="22"/>
          <w:szCs w:val="24"/>
          <w:rtl/>
        </w:rPr>
        <w:t xml:space="preserve"> </w:t>
      </w:r>
      <w:r w:rsidRPr="001B77F8">
        <w:rPr>
          <w:rFonts w:ascii="Century" w:hAnsi="Century" w:cs="Miriam" w:hint="eastAsia"/>
          <w:b/>
          <w:spacing w:val="0"/>
          <w:sz w:val="22"/>
          <w:szCs w:val="24"/>
          <w:rtl/>
        </w:rPr>
        <w:t>בע</w:t>
      </w:r>
      <w:r w:rsidRPr="001B77F8">
        <w:rPr>
          <w:rFonts w:ascii="Century" w:hAnsi="Century" w:cs="Miriam"/>
          <w:b/>
          <w:spacing w:val="0"/>
          <w:sz w:val="22"/>
          <w:szCs w:val="24"/>
          <w:rtl/>
        </w:rPr>
        <w:t>"</w:t>
      </w:r>
      <w:r w:rsidRPr="001B77F8">
        <w:rPr>
          <w:rFonts w:ascii="Century" w:hAnsi="Century" w:cs="Miriam" w:hint="eastAsia"/>
          <w:b/>
          <w:spacing w:val="0"/>
          <w:sz w:val="22"/>
          <w:szCs w:val="24"/>
          <w:rtl/>
        </w:rPr>
        <w:t>מ</w:t>
      </w:r>
      <w:r w:rsidRPr="001B77F8">
        <w:rPr>
          <w:rFonts w:ascii="Century" w:hAnsi="Century" w:cs="Miriam"/>
          <w:b/>
          <w:spacing w:val="0"/>
          <w:sz w:val="22"/>
          <w:szCs w:val="24"/>
          <w:rtl/>
        </w:rPr>
        <w:t xml:space="preserve"> </w:t>
      </w:r>
      <w:r w:rsidRPr="001B77F8">
        <w:rPr>
          <w:rFonts w:ascii="Century" w:hAnsi="Century" w:cs="Miriam" w:hint="eastAsia"/>
          <w:b/>
          <w:spacing w:val="0"/>
          <w:sz w:val="22"/>
          <w:szCs w:val="24"/>
          <w:rtl/>
        </w:rPr>
        <w:t>נ</w:t>
      </w:r>
      <w:r w:rsidRPr="001B77F8">
        <w:rPr>
          <w:rFonts w:ascii="Century" w:hAnsi="Century" w:cs="Miriam"/>
          <w:b/>
          <w:spacing w:val="0"/>
          <w:sz w:val="22"/>
          <w:szCs w:val="24"/>
          <w:rtl/>
        </w:rPr>
        <w:t xml:space="preserve">' </w:t>
      </w:r>
      <w:r w:rsidRPr="001B77F8">
        <w:rPr>
          <w:rFonts w:ascii="Century" w:hAnsi="Century" w:cs="Miriam" w:hint="eastAsia"/>
          <w:b/>
          <w:spacing w:val="0"/>
          <w:sz w:val="22"/>
          <w:szCs w:val="24"/>
          <w:rtl/>
        </w:rPr>
        <w:t>נציב</w:t>
      </w:r>
      <w:r w:rsidRPr="001B77F8">
        <w:rPr>
          <w:rFonts w:ascii="Century" w:hAnsi="Century" w:cs="Miriam"/>
          <w:b/>
          <w:spacing w:val="0"/>
          <w:sz w:val="22"/>
          <w:szCs w:val="24"/>
          <w:rtl/>
        </w:rPr>
        <w:t xml:space="preserve"> </w:t>
      </w:r>
      <w:r w:rsidRPr="001B77F8">
        <w:rPr>
          <w:rFonts w:ascii="Century" w:hAnsi="Century" w:cs="Miriam" w:hint="eastAsia"/>
          <w:b/>
          <w:spacing w:val="0"/>
          <w:sz w:val="22"/>
          <w:szCs w:val="24"/>
          <w:rtl/>
        </w:rPr>
        <w:t>קבילות</w:t>
      </w:r>
      <w:r w:rsidRPr="001B77F8">
        <w:rPr>
          <w:rFonts w:ascii="Century" w:hAnsi="Century" w:cs="Miriam"/>
          <w:b/>
          <w:spacing w:val="0"/>
          <w:sz w:val="22"/>
          <w:szCs w:val="24"/>
          <w:rtl/>
        </w:rPr>
        <w:t xml:space="preserve"> </w:t>
      </w:r>
      <w:r w:rsidRPr="001B77F8">
        <w:rPr>
          <w:rFonts w:ascii="Century" w:hAnsi="Century" w:cs="Miriam" w:hint="eastAsia"/>
          <w:b/>
          <w:spacing w:val="0"/>
          <w:sz w:val="22"/>
          <w:szCs w:val="24"/>
          <w:rtl/>
        </w:rPr>
        <w:t>הציבור</w:t>
      </w:r>
      <w:r w:rsidRPr="001B77F8">
        <w:rPr>
          <w:rFonts w:ascii="Century" w:hAnsi="Century" w:cs="Miriam"/>
          <w:b/>
          <w:spacing w:val="0"/>
          <w:sz w:val="22"/>
          <w:szCs w:val="24"/>
          <w:rtl/>
        </w:rPr>
        <w:t xml:space="preserve"> </w:t>
      </w:r>
      <w:r w:rsidRPr="001B77F8">
        <w:rPr>
          <w:rFonts w:ascii="Century" w:hAnsi="Century" w:cs="Miriam" w:hint="eastAsia"/>
          <w:b/>
          <w:spacing w:val="0"/>
          <w:sz w:val="22"/>
          <w:szCs w:val="24"/>
          <w:rtl/>
        </w:rPr>
        <w:t>למקצועות</w:t>
      </w:r>
      <w:r w:rsidRPr="001B77F8">
        <w:rPr>
          <w:rFonts w:ascii="Century" w:hAnsi="Century" w:cs="Miriam"/>
          <w:b/>
          <w:spacing w:val="0"/>
          <w:sz w:val="22"/>
          <w:szCs w:val="24"/>
          <w:rtl/>
        </w:rPr>
        <w:t xml:space="preserve"> </w:t>
      </w:r>
      <w:r w:rsidRPr="001B77F8">
        <w:rPr>
          <w:rFonts w:ascii="Century" w:hAnsi="Century" w:cs="Miriam" w:hint="eastAsia"/>
          <w:b/>
          <w:spacing w:val="0"/>
          <w:sz w:val="22"/>
          <w:szCs w:val="24"/>
          <w:rtl/>
        </w:rPr>
        <w:t>רפואיים</w:t>
      </w:r>
      <w:r w:rsidRPr="001B77F8">
        <w:rPr>
          <w:rFonts w:ascii="Century" w:hAnsi="Century" w:cs="Miriam"/>
          <w:b/>
          <w:spacing w:val="0"/>
          <w:sz w:val="22"/>
          <w:szCs w:val="24"/>
          <w:rtl/>
        </w:rPr>
        <w:t xml:space="preserve"> </w:t>
      </w:r>
      <w:r w:rsidRPr="001B77F8">
        <w:rPr>
          <w:rFonts w:ascii="Century" w:hAnsi="Century" w:cs="Miriam" w:hint="eastAsia"/>
          <w:b/>
          <w:spacing w:val="0"/>
          <w:sz w:val="22"/>
          <w:szCs w:val="24"/>
          <w:rtl/>
        </w:rPr>
        <w:t>במשרד</w:t>
      </w:r>
      <w:r w:rsidRPr="001B77F8">
        <w:rPr>
          <w:rFonts w:ascii="Century" w:hAnsi="Century" w:cs="Miriam"/>
          <w:b/>
          <w:spacing w:val="0"/>
          <w:sz w:val="22"/>
          <w:szCs w:val="24"/>
          <w:rtl/>
        </w:rPr>
        <w:t xml:space="preserve"> </w:t>
      </w:r>
      <w:r w:rsidRPr="001B77F8">
        <w:rPr>
          <w:rFonts w:ascii="Century" w:hAnsi="Century" w:cs="Miriam" w:hint="eastAsia"/>
          <w:b/>
          <w:spacing w:val="0"/>
          <w:sz w:val="22"/>
          <w:szCs w:val="24"/>
          <w:rtl/>
        </w:rPr>
        <w:t>הבריאות</w:t>
      </w:r>
      <w:r w:rsidRPr="001B77F8">
        <w:rPr>
          <w:rFonts w:ascii="Century" w:hAnsi="Century" w:hint="cs"/>
          <w:sz w:val="22"/>
          <w:rtl/>
        </w:rPr>
        <w:t xml:space="preserve">, פסקה 17 (16.11.2022); בג"ץ 6301/18 </w:t>
      </w:r>
      <w:r w:rsidRPr="001B77F8">
        <w:rPr>
          <w:rFonts w:ascii="Century" w:hAnsi="Century" w:cs="Miriam" w:hint="cs"/>
          <w:b/>
          <w:spacing w:val="0"/>
          <w:sz w:val="22"/>
          <w:szCs w:val="24"/>
          <w:rtl/>
        </w:rPr>
        <w:t>פוזננסקי כץ נ' שרת המשפטים</w:t>
      </w:r>
      <w:r w:rsidRPr="001B77F8">
        <w:rPr>
          <w:rFonts w:ascii="Century" w:hAnsi="Century" w:hint="cs"/>
          <w:sz w:val="22"/>
          <w:rtl/>
        </w:rPr>
        <w:t>, פסקה 40 לפסק דיני (27.12.2018)</w:t>
      </w:r>
      <w:r w:rsidRPr="006D5DD9">
        <w:rPr>
          <w:rFonts w:hint="cs"/>
          <w:rtl/>
        </w:rPr>
        <w:t>). ואולם, במקרה דנן דברי ההסבר</w:t>
      </w:r>
      <w:r>
        <w:rPr>
          <w:rFonts w:hint="cs"/>
          <w:rtl/>
        </w:rPr>
        <w:t xml:space="preserve">, שמבוססים כאמור על ההבחנה המוטלת בספק בין הסבירות במובנה לפני עניין </w:t>
      </w:r>
      <w:r w:rsidRPr="001B77F8">
        <w:rPr>
          <w:rFonts w:ascii="Century" w:hAnsi="Century" w:cs="Miriam" w:hint="cs"/>
          <w:b/>
          <w:spacing w:val="0"/>
          <w:sz w:val="22"/>
          <w:szCs w:val="24"/>
          <w:rtl/>
        </w:rPr>
        <w:t>דפי זהב</w:t>
      </w:r>
      <w:r>
        <w:rPr>
          <w:rFonts w:ascii="Century" w:hAnsi="Century" w:hint="cs"/>
          <w:sz w:val="22"/>
          <w:rtl/>
        </w:rPr>
        <w:t xml:space="preserve"> ולאחריו</w:t>
      </w:r>
      <w:r w:rsidRPr="001B77F8">
        <w:rPr>
          <w:rFonts w:ascii="Century" w:hAnsi="Century" w:hint="cs"/>
          <w:sz w:val="22"/>
          <w:rtl/>
        </w:rPr>
        <w:t>,</w:t>
      </w:r>
      <w:r w:rsidRPr="006D5DD9">
        <w:rPr>
          <w:rFonts w:hint="cs"/>
          <w:rtl/>
        </w:rPr>
        <w:t xml:space="preserve"> נוסחו על ידי הייעוץ המשפטי לוועדת החוקה, חוק ומשפט</w:t>
      </w:r>
      <w:r>
        <w:rPr>
          <w:rFonts w:hint="cs"/>
          <w:rtl/>
        </w:rPr>
        <w:t xml:space="preserve"> של הכנסת</w:t>
      </w:r>
      <w:r w:rsidRPr="006D5DD9">
        <w:rPr>
          <w:rFonts w:hint="cs"/>
          <w:rtl/>
        </w:rPr>
        <w:t xml:space="preserve"> (להלן: </w:t>
      </w:r>
      <w:r w:rsidRPr="001B77F8">
        <w:rPr>
          <w:rFonts w:ascii="Century" w:hAnsi="Century" w:cs="Miriam" w:hint="cs"/>
          <w:b/>
          <w:spacing w:val="0"/>
          <w:sz w:val="22"/>
          <w:szCs w:val="24"/>
          <w:rtl/>
        </w:rPr>
        <w:t>ועדת החוקה</w:t>
      </w:r>
      <w:r w:rsidRPr="006D5DD9">
        <w:rPr>
          <w:rFonts w:hint="cs"/>
          <w:rtl/>
        </w:rPr>
        <w:t>)</w:t>
      </w:r>
      <w:r>
        <w:rPr>
          <w:rFonts w:hint="cs"/>
          <w:rtl/>
        </w:rPr>
        <w:t>,</w:t>
      </w:r>
      <w:r w:rsidRPr="006D5DD9">
        <w:rPr>
          <w:rFonts w:hint="cs"/>
          <w:rtl/>
        </w:rPr>
        <w:t xml:space="preserve"> </w:t>
      </w:r>
      <w:r>
        <w:rPr>
          <w:rFonts w:hint="cs"/>
          <w:rtl/>
        </w:rPr>
        <w:t>ו</w:t>
      </w:r>
      <w:r w:rsidRPr="006D5DD9">
        <w:rPr>
          <w:rFonts w:hint="cs"/>
          <w:rtl/>
        </w:rPr>
        <w:t xml:space="preserve">במסגרת הליך החקיקה הבהיר הייעוץ </w:t>
      </w:r>
      <w:r>
        <w:rPr>
          <w:rFonts w:hint="cs"/>
          <w:rtl/>
        </w:rPr>
        <w:t>ה</w:t>
      </w:r>
      <w:r w:rsidRPr="006D5DD9">
        <w:rPr>
          <w:rFonts w:hint="cs"/>
          <w:rtl/>
        </w:rPr>
        <w:t xml:space="preserve">משפטי שנוסח התיקון לא מותיר </w:t>
      </w:r>
      <w:r>
        <w:rPr>
          <w:rFonts w:hint="cs"/>
          <w:rtl/>
        </w:rPr>
        <w:t>פתח ל</w:t>
      </w:r>
      <w:r w:rsidRPr="006D5DD9">
        <w:rPr>
          <w:rFonts w:hint="cs"/>
          <w:rtl/>
        </w:rPr>
        <w:t xml:space="preserve">עילת סבירות כלשהי ביחס להחלטות הממשלה ומי משריה (ראו גם את דברי הנשיאה (בדימ') </w:t>
      </w:r>
      <w:r w:rsidRPr="001B77F8">
        <w:rPr>
          <w:rFonts w:ascii="Century" w:hAnsi="Century" w:cs="Miriam" w:hint="cs"/>
          <w:b/>
          <w:spacing w:val="0"/>
          <w:sz w:val="22"/>
          <w:szCs w:val="24"/>
          <w:rtl/>
        </w:rPr>
        <w:t>חיות</w:t>
      </w:r>
      <w:r w:rsidRPr="006D5DD9">
        <w:rPr>
          <w:rFonts w:hint="cs"/>
          <w:rtl/>
        </w:rPr>
        <w:t xml:space="preserve"> בהקשר זה בפסקה 130 לחוות דעתה; פסקה 120 לחוות דעתו של השופט </w:t>
      </w:r>
      <w:r w:rsidRPr="001B77F8">
        <w:rPr>
          <w:rFonts w:ascii="Century" w:hAnsi="Century" w:cs="Miriam" w:hint="cs"/>
          <w:b/>
          <w:spacing w:val="0"/>
          <w:sz w:val="22"/>
          <w:szCs w:val="24"/>
          <w:rtl/>
        </w:rPr>
        <w:t>עמית</w:t>
      </w:r>
      <w:r w:rsidRPr="006D5DD9">
        <w:rPr>
          <w:rFonts w:hint="cs"/>
          <w:rtl/>
        </w:rPr>
        <w:t xml:space="preserve">). </w:t>
      </w:r>
    </w:p>
    <w:p w:rsidR="00CB3B01" w:rsidRPr="001B77F8" w:rsidRDefault="00CB3B01" w:rsidP="00CB3B01">
      <w:pPr>
        <w:pStyle w:val="Ruller41"/>
        <w:rPr>
          <w:rtl/>
        </w:rPr>
      </w:pPr>
    </w:p>
    <w:p w:rsidR="00CB3B01" w:rsidRPr="006D5DD9" w:rsidRDefault="00CB3B01" w:rsidP="00CB3B01">
      <w:pPr>
        <w:pStyle w:val="Ruller4"/>
        <w:numPr>
          <w:ilvl w:val="0"/>
          <w:numId w:val="0"/>
        </w:numPr>
        <w:rPr>
          <w:rtl/>
        </w:rPr>
      </w:pPr>
      <w:r w:rsidRPr="006D5DD9">
        <w:rPr>
          <w:rtl/>
        </w:rPr>
        <w:tab/>
      </w:r>
      <w:r w:rsidRPr="006D5DD9">
        <w:rPr>
          <w:rFonts w:hint="cs"/>
          <w:rtl/>
        </w:rPr>
        <w:t xml:space="preserve">מוקשית אף יותר בעיניי היא ההישענות על עמדת </w:t>
      </w:r>
      <w:r>
        <w:rPr>
          <w:rFonts w:hint="cs"/>
          <w:rtl/>
        </w:rPr>
        <w:t xml:space="preserve">משיבי </w:t>
      </w:r>
      <w:r w:rsidRPr="006D5DD9">
        <w:rPr>
          <w:rFonts w:hint="cs"/>
          <w:rtl/>
        </w:rPr>
        <w:t xml:space="preserve">הממשלה </w:t>
      </w:r>
      <w:r>
        <w:rPr>
          <w:rFonts w:hint="cs"/>
          <w:rtl/>
        </w:rPr>
        <w:t>בהליכים</w:t>
      </w:r>
      <w:r w:rsidRPr="006D5DD9">
        <w:rPr>
          <w:rFonts w:hint="cs"/>
          <w:rtl/>
        </w:rPr>
        <w:t xml:space="preserve"> שלפנינו </w:t>
      </w:r>
      <w:r>
        <w:rPr>
          <w:rFonts w:hint="cs"/>
          <w:rtl/>
        </w:rPr>
        <w:t>כתימוכין לתכלית הסובייקטיבית האמורה</w:t>
      </w:r>
      <w:r w:rsidRPr="006D5DD9">
        <w:rPr>
          <w:rFonts w:hint="cs"/>
          <w:rtl/>
        </w:rPr>
        <w:t xml:space="preserve">. תחילה, יש לעמוד על כך שמדובר בעמדה </w:t>
      </w:r>
      <w:r w:rsidRPr="006D5DD9">
        <w:rPr>
          <w:rFonts w:ascii="Century" w:hAnsi="Century" w:cs="Miriam" w:hint="cs"/>
          <w:b/>
          <w:spacing w:val="0"/>
          <w:sz w:val="22"/>
          <w:szCs w:val="24"/>
          <w:rtl/>
        </w:rPr>
        <w:t xml:space="preserve">מאוחרת </w:t>
      </w:r>
      <w:r w:rsidRPr="006D5DD9">
        <w:rPr>
          <w:rFonts w:ascii="Century" w:hAnsi="Century" w:hint="cs"/>
          <w:sz w:val="22"/>
          <w:rtl/>
        </w:rPr>
        <w:t xml:space="preserve">להליך החקיקה, שגובשה אגב מענה לטענות בהליך משפטי תלוי ועומד (ראו והשוו: עע"ם 7368/22 </w:t>
      </w:r>
      <w:r w:rsidRPr="006D5DD9">
        <w:rPr>
          <w:rFonts w:ascii="Century" w:hAnsi="Century" w:cs="Miriam" w:hint="cs"/>
          <w:b/>
          <w:spacing w:val="0"/>
          <w:sz w:val="22"/>
          <w:szCs w:val="24"/>
          <w:rtl/>
        </w:rPr>
        <w:t>משרד הפנים נ' בריל</w:t>
      </w:r>
      <w:r w:rsidRPr="006D5DD9">
        <w:rPr>
          <w:rFonts w:ascii="Century" w:hAnsi="Century" w:hint="cs"/>
          <w:sz w:val="22"/>
          <w:rtl/>
        </w:rPr>
        <w:t xml:space="preserve">, פסקה 28 (7.3.2023); עע"ם 7825/19 </w:t>
      </w:r>
      <w:r w:rsidRPr="006D5DD9">
        <w:rPr>
          <w:rFonts w:ascii="Century" w:hAnsi="Century" w:cs="Miriam" w:hint="cs"/>
          <w:b/>
          <w:spacing w:val="0"/>
          <w:sz w:val="22"/>
          <w:szCs w:val="24"/>
          <w:rtl/>
        </w:rPr>
        <w:t>יוניון מוטורס בע"מ נ' משרד התחבורה והבטיחות בדרכים</w:t>
      </w:r>
      <w:r w:rsidRPr="006D5DD9">
        <w:rPr>
          <w:rFonts w:ascii="Century" w:hAnsi="Century" w:hint="cs"/>
          <w:sz w:val="22"/>
          <w:rtl/>
        </w:rPr>
        <w:t>, פסקה 26 (18.10.2020</w:t>
      </w:r>
      <w:r w:rsidRPr="006D5DD9">
        <w:rPr>
          <w:rFonts w:ascii="Century" w:hAnsi="Century"/>
          <w:sz w:val="22"/>
          <w:rtl/>
        </w:rPr>
        <w:t xml:space="preserve">)). </w:t>
      </w:r>
      <w:r w:rsidRPr="006D5DD9">
        <w:rPr>
          <w:rFonts w:ascii="Century" w:hAnsi="Century" w:hint="eastAsia"/>
          <w:sz w:val="22"/>
          <w:rtl/>
        </w:rPr>
        <w:t>נתונים</w:t>
      </w:r>
      <w:r w:rsidRPr="006D5DD9">
        <w:rPr>
          <w:rFonts w:ascii="Century" w:hAnsi="Century" w:hint="cs"/>
          <w:sz w:val="22"/>
          <w:rtl/>
        </w:rPr>
        <w:t xml:space="preserve"> אלה משליכים על המשקל שיש לתת לעמדה זו </w:t>
      </w:r>
      <w:r w:rsidRPr="006D5DD9">
        <w:rPr>
          <w:rFonts w:ascii="Century" w:hAnsi="Century" w:hint="eastAsia"/>
          <w:sz w:val="22"/>
          <w:rtl/>
        </w:rPr>
        <w:t>בגיבוש</w:t>
      </w:r>
      <w:r w:rsidRPr="006D5DD9">
        <w:rPr>
          <w:rFonts w:ascii="Century" w:hAnsi="Century"/>
          <w:sz w:val="22"/>
          <w:rtl/>
        </w:rPr>
        <w:t xml:space="preserve"> </w:t>
      </w:r>
      <w:r w:rsidRPr="006D5DD9">
        <w:rPr>
          <w:rFonts w:ascii="Century" w:hAnsi="Century" w:hint="eastAsia"/>
          <w:sz w:val="22"/>
          <w:rtl/>
        </w:rPr>
        <w:t>התכלית</w:t>
      </w:r>
      <w:r w:rsidRPr="006D5DD9">
        <w:rPr>
          <w:rFonts w:ascii="Century" w:hAnsi="Century"/>
          <w:sz w:val="22"/>
          <w:rtl/>
        </w:rPr>
        <w:t xml:space="preserve"> </w:t>
      </w:r>
      <w:r w:rsidRPr="006D5DD9">
        <w:rPr>
          <w:rFonts w:ascii="Century" w:hAnsi="Century" w:hint="eastAsia"/>
          <w:sz w:val="22"/>
          <w:rtl/>
        </w:rPr>
        <w:t>הסובייקטיבית</w:t>
      </w:r>
      <w:r w:rsidRPr="006D5DD9">
        <w:rPr>
          <w:rFonts w:ascii="Century" w:hAnsi="Century"/>
          <w:sz w:val="22"/>
          <w:rtl/>
        </w:rPr>
        <w:t>.</w:t>
      </w:r>
      <w:r w:rsidRPr="006D5DD9">
        <w:rPr>
          <w:rFonts w:ascii="Century" w:hAnsi="Century" w:hint="cs"/>
          <w:sz w:val="22"/>
          <w:rtl/>
        </w:rPr>
        <w:t xml:space="preserve"> זאת ועוד, לא מצאתי </w:t>
      </w:r>
      <w:r w:rsidRPr="006D5DD9">
        <w:rPr>
          <w:rFonts w:hint="cs"/>
          <w:rtl/>
        </w:rPr>
        <w:t>טעם מבורר לבכר את דברי משיבי הממשלה בתצהיר התשובה</w:t>
      </w:r>
      <w:r>
        <w:rPr>
          <w:rFonts w:hint="cs"/>
          <w:rtl/>
        </w:rPr>
        <w:t xml:space="preserve"> מטעמם על דברי משיבי הממשלה</w:t>
      </w:r>
      <w:r w:rsidRPr="006D5DD9">
        <w:rPr>
          <w:rFonts w:hint="cs"/>
          <w:rtl/>
        </w:rPr>
        <w:t xml:space="preserve"> בהשלמת הטיעון מטעמם ועל דבריהם בדיון לפנינו </w:t>
      </w:r>
      <w:r w:rsidRPr="006D5DD9">
        <w:rPr>
          <w:rtl/>
        </w:rPr>
        <w:t>–</w:t>
      </w:r>
      <w:r w:rsidRPr="006D5DD9">
        <w:rPr>
          <w:rFonts w:hint="cs"/>
          <w:rtl/>
        </w:rPr>
        <w:t xml:space="preserve"> שמלמדים דווקא כי לשיטתם, התכלית הסובייקטיבית הייתה לבטל אפשרות לביקורת שיפוטית על כל מובן של סבירות ההחלטה ("סבירות מכל סוג שהוא", השלמת הטיעון מטעם משיבי הממשלה מיום 16.10.2023, בעמ' 21).</w:t>
      </w:r>
    </w:p>
    <w:p w:rsidR="00CB3B01" w:rsidRPr="006D5DD9" w:rsidRDefault="00CB3B01" w:rsidP="00CB3B01">
      <w:pPr>
        <w:pStyle w:val="Ruller4"/>
        <w:numPr>
          <w:ilvl w:val="0"/>
          <w:numId w:val="0"/>
        </w:numPr>
        <w:rPr>
          <w:rtl/>
        </w:rPr>
      </w:pPr>
    </w:p>
    <w:p w:rsidR="00CB3B01" w:rsidRPr="006D5DD9" w:rsidRDefault="00CB3B01" w:rsidP="00CB3B01">
      <w:pPr>
        <w:pStyle w:val="Ruller4"/>
        <w:numPr>
          <w:ilvl w:val="0"/>
          <w:numId w:val="0"/>
        </w:numPr>
        <w:rPr>
          <w:rFonts w:ascii="Century" w:hAnsi="Century"/>
          <w:sz w:val="22"/>
          <w:rtl/>
        </w:rPr>
      </w:pPr>
      <w:r w:rsidRPr="006D5DD9">
        <w:rPr>
          <w:rtl/>
        </w:rPr>
        <w:tab/>
      </w:r>
      <w:r w:rsidRPr="006D5DD9">
        <w:rPr>
          <w:rFonts w:hint="cs"/>
          <w:rtl/>
        </w:rPr>
        <w:t>לכך יש להוסיף כי נתונים אחרים</w:t>
      </w:r>
      <w:r>
        <w:rPr>
          <w:rFonts w:hint="cs"/>
          <w:rtl/>
        </w:rPr>
        <w:t xml:space="preserve"> (ובכלל זאת דברי יו"ר ועדת החוקה בהליך החקיקה; כמו גם דחיית הצעות שונות שהועלו לריכוך נוסחו של התיקון) </w:t>
      </w:r>
      <w:r w:rsidRPr="006D5DD9">
        <w:rPr>
          <w:rtl/>
        </w:rPr>
        <w:t>–</w:t>
      </w:r>
      <w:r w:rsidRPr="006D5DD9">
        <w:rPr>
          <w:rFonts w:hint="cs"/>
          <w:rtl/>
        </w:rPr>
        <w:t xml:space="preserve"> </w:t>
      </w:r>
      <w:r>
        <w:rPr>
          <w:rFonts w:hint="cs"/>
          <w:rtl/>
        </w:rPr>
        <w:t xml:space="preserve">מעידים </w:t>
      </w:r>
      <w:r w:rsidRPr="006D5DD9">
        <w:rPr>
          <w:rFonts w:hint="cs"/>
          <w:rtl/>
        </w:rPr>
        <w:t>בעינ</w:t>
      </w:r>
      <w:r>
        <w:rPr>
          <w:rFonts w:hint="cs"/>
          <w:rtl/>
        </w:rPr>
        <w:t>י</w:t>
      </w:r>
      <w:r w:rsidRPr="006D5DD9">
        <w:rPr>
          <w:rFonts w:hint="cs"/>
          <w:rtl/>
        </w:rPr>
        <w:t>י בבירור על תכלית</w:t>
      </w:r>
      <w:r>
        <w:rPr>
          <w:rFonts w:hint="cs"/>
          <w:rtl/>
        </w:rPr>
        <w:t xml:space="preserve"> </w:t>
      </w:r>
      <w:r w:rsidRPr="006D5DD9">
        <w:rPr>
          <w:rFonts w:hint="cs"/>
          <w:rtl/>
        </w:rPr>
        <w:t>סובייקטיבית שונה: כוונת המכונן המפורשת הייתה</w:t>
      </w:r>
      <w:r>
        <w:rPr>
          <w:rFonts w:hint="cs"/>
          <w:rtl/>
        </w:rPr>
        <w:t xml:space="preserve"> למנוע</w:t>
      </w:r>
      <w:r w:rsidRPr="006D5DD9">
        <w:rPr>
          <w:rFonts w:hint="cs"/>
          <w:rtl/>
        </w:rPr>
        <w:t xml:space="preserve"> את האפשרות שבית משפט זה יידרש לבחינת סבירות החלטות</w:t>
      </w:r>
      <w:r>
        <w:rPr>
          <w:rFonts w:hint="cs"/>
          <w:rtl/>
        </w:rPr>
        <w:t xml:space="preserve"> הממשלה, ראש הממשלה ושריה </w:t>
      </w:r>
      <w:r w:rsidRPr="006D5DD9">
        <w:rPr>
          <w:rtl/>
        </w:rPr>
        <w:t>–</w:t>
      </w:r>
      <w:r w:rsidRPr="006D5DD9">
        <w:rPr>
          <w:rFonts w:hint="cs"/>
          <w:rtl/>
        </w:rPr>
        <w:t xml:space="preserve"> סבירות על כל סוגיה (להרחבה, ראו בחוות דעתה של הנשיאה (בדימ') </w:t>
      </w:r>
      <w:r w:rsidRPr="006D5DD9">
        <w:rPr>
          <w:rFonts w:ascii="Century" w:hAnsi="Century" w:cs="Miriam" w:hint="cs"/>
          <w:b/>
          <w:spacing w:val="0"/>
          <w:sz w:val="22"/>
          <w:szCs w:val="24"/>
          <w:rtl/>
        </w:rPr>
        <w:t>חיות</w:t>
      </w:r>
      <w:r w:rsidRPr="006D5DD9">
        <w:rPr>
          <w:rFonts w:ascii="Century" w:hAnsi="Century" w:hint="cs"/>
          <w:sz w:val="22"/>
          <w:rtl/>
        </w:rPr>
        <w:t xml:space="preserve">, פסקאות 131-130; פסקה 120 לחוות דעתו של השופט </w:t>
      </w:r>
      <w:r w:rsidRPr="006D5DD9">
        <w:rPr>
          <w:rFonts w:ascii="Century" w:hAnsi="Century" w:cs="Miriam" w:hint="cs"/>
          <w:b/>
          <w:spacing w:val="0"/>
          <w:sz w:val="22"/>
          <w:szCs w:val="24"/>
          <w:rtl/>
        </w:rPr>
        <w:t>עמית</w:t>
      </w:r>
      <w:r w:rsidRPr="006D5DD9">
        <w:rPr>
          <w:rFonts w:ascii="Century" w:hAnsi="Century" w:hint="cs"/>
          <w:sz w:val="22"/>
          <w:rtl/>
        </w:rPr>
        <w:t xml:space="preserve">; פסקה 14 לחוות דעתה של השופטת </w:t>
      </w:r>
      <w:r w:rsidRPr="006D5DD9">
        <w:rPr>
          <w:rFonts w:ascii="Century" w:hAnsi="Century" w:cs="Miriam" w:hint="cs"/>
          <w:b/>
          <w:spacing w:val="0"/>
          <w:sz w:val="22"/>
          <w:szCs w:val="24"/>
          <w:rtl/>
        </w:rPr>
        <w:t>רונן</w:t>
      </w:r>
      <w:r w:rsidRPr="006D5DD9">
        <w:rPr>
          <w:rFonts w:hint="cs"/>
          <w:rtl/>
        </w:rPr>
        <w:t>). מכאן שקיים בעיני קושי ממשי בעמדה</w:t>
      </w:r>
      <w:r w:rsidRPr="006D5DD9">
        <w:rPr>
          <w:rFonts w:ascii="Century" w:hAnsi="Century" w:cs="Miriam" w:hint="cs"/>
          <w:b/>
          <w:spacing w:val="0"/>
          <w:sz w:val="22"/>
          <w:szCs w:val="24"/>
          <w:rtl/>
        </w:rPr>
        <w:t xml:space="preserve"> </w:t>
      </w:r>
      <w:r w:rsidRPr="006D5DD9">
        <w:rPr>
          <w:rFonts w:ascii="Century" w:hAnsi="Century" w:hint="cs"/>
          <w:sz w:val="22"/>
          <w:rtl/>
        </w:rPr>
        <w:t>שלפיה התכלית הסובייקטיבית של התיקון מלמדת על כוונת המחוקק להותיר עילת סבירות מסוימת בארגז הכ</w:t>
      </w:r>
      <w:r>
        <w:rPr>
          <w:rFonts w:ascii="Century" w:hAnsi="Century" w:hint="cs"/>
          <w:sz w:val="22"/>
          <w:rtl/>
        </w:rPr>
        <w:t xml:space="preserve">לים השיפוטי ביחס להחלטות הממשלה, ראש הממשלה </w:t>
      </w:r>
      <w:r w:rsidRPr="006D5DD9">
        <w:rPr>
          <w:rFonts w:ascii="Century" w:hAnsi="Century" w:hint="cs"/>
          <w:sz w:val="22"/>
          <w:rtl/>
        </w:rPr>
        <w:t>ושריה.</w:t>
      </w:r>
    </w:p>
    <w:p w:rsidR="00CB3B01" w:rsidRPr="006D5DD9" w:rsidRDefault="00CB3B01" w:rsidP="00CB3B01">
      <w:pPr>
        <w:pStyle w:val="Ruller4"/>
        <w:numPr>
          <w:ilvl w:val="0"/>
          <w:numId w:val="0"/>
        </w:numPr>
      </w:pPr>
    </w:p>
    <w:p w:rsidR="00CB3B01" w:rsidRPr="006D5DD9" w:rsidRDefault="00CB3B01" w:rsidP="00CB3B01">
      <w:pPr>
        <w:pStyle w:val="Ruller4"/>
        <w:rPr>
          <w:rtl/>
        </w:rPr>
      </w:pPr>
      <w:r w:rsidRPr="006D5DD9">
        <w:rPr>
          <w:rFonts w:hint="cs"/>
          <w:rtl/>
        </w:rPr>
        <w:t>שונים הם פני הדברים ביחס לתכלית האובייקטיבית, שאכן תומכת בעינ</w:t>
      </w:r>
      <w:r>
        <w:rPr>
          <w:rFonts w:hint="cs"/>
          <w:rtl/>
        </w:rPr>
        <w:t>י</w:t>
      </w:r>
      <w:r w:rsidRPr="006D5DD9">
        <w:rPr>
          <w:rFonts w:hint="cs"/>
          <w:rtl/>
        </w:rPr>
        <w:t xml:space="preserve">י בפרשנות מצמצמת לתיקון מס' 3. כפי שנפסק לא אחת בעבר, הוראות שמגבילות או מצמצמות את סמכות בתי המשפט יש לפרש "על דרך ההקפדה והצמצום" (בג"ץ 294/89 </w:t>
      </w:r>
      <w:r w:rsidRPr="006D5DD9">
        <w:rPr>
          <w:rFonts w:ascii="Century" w:hAnsi="Century" w:cs="Miriam" w:hint="cs"/>
          <w:b/>
          <w:spacing w:val="0"/>
          <w:sz w:val="22"/>
          <w:szCs w:val="24"/>
          <w:rtl/>
        </w:rPr>
        <w:t>המוסד לביטוח לאומי נ' ועדת העררים לפי חוק התגמולים לנפגעי פעולות איבה, התש"ל-1970</w:t>
      </w:r>
      <w:r w:rsidRPr="006D5DD9">
        <w:rPr>
          <w:rFonts w:ascii="Century" w:hAnsi="Century" w:hint="cs"/>
          <w:sz w:val="22"/>
          <w:rtl/>
        </w:rPr>
        <w:t>, פ"ד מה(5) 445, 451</w:t>
      </w:r>
      <w:r w:rsidRPr="006D5DD9">
        <w:rPr>
          <w:rFonts w:hint="cs"/>
          <w:rtl/>
        </w:rPr>
        <w:t xml:space="preserve"> (1991); כן ראו: בג"ץ 264/77 </w:t>
      </w:r>
      <w:r w:rsidRPr="006D5DD9">
        <w:rPr>
          <w:rFonts w:ascii="Century" w:hAnsi="Century" w:cs="Miriam" w:hint="cs"/>
          <w:b/>
          <w:spacing w:val="0"/>
          <w:sz w:val="22"/>
          <w:szCs w:val="24"/>
          <w:rtl/>
        </w:rPr>
        <w:t>משה נ' המוסד לביטוח לאומי</w:t>
      </w:r>
      <w:r w:rsidRPr="006D5DD9">
        <w:rPr>
          <w:rFonts w:ascii="Century" w:hAnsi="Century" w:hint="cs"/>
          <w:sz w:val="22"/>
          <w:rtl/>
        </w:rPr>
        <w:t>, פ"ד לב(1) 678, 687 (1978)</w:t>
      </w:r>
      <w:r>
        <w:rPr>
          <w:rFonts w:hint="cs"/>
          <w:rtl/>
        </w:rPr>
        <w:t>; ו</w:t>
      </w:r>
      <w:r w:rsidRPr="006D5DD9">
        <w:rPr>
          <w:rFonts w:hint="cs"/>
          <w:rtl/>
        </w:rPr>
        <w:t xml:space="preserve">בג"ץ 212/03 </w:t>
      </w:r>
      <w:r w:rsidRPr="006D5DD9">
        <w:rPr>
          <w:rFonts w:ascii="Century" w:hAnsi="Century" w:cs="Miriam" w:hint="cs"/>
          <w:b/>
          <w:spacing w:val="0"/>
          <w:sz w:val="22"/>
          <w:szCs w:val="24"/>
          <w:rtl/>
        </w:rPr>
        <w:t>חרות התנועה הלאומית נ' יושב-ראש ועדת הבחירות המרכזית לכנסת השש-עשרה</w:t>
      </w:r>
      <w:r w:rsidRPr="006D5DD9">
        <w:rPr>
          <w:rFonts w:ascii="Century" w:hAnsi="Century" w:hint="cs"/>
          <w:sz w:val="22"/>
          <w:rtl/>
        </w:rPr>
        <w:t xml:space="preserve">, פ"ד נז(1) 750, 756 (2003); </w:t>
      </w:r>
      <w:r w:rsidRPr="006D5DD9">
        <w:rPr>
          <w:rFonts w:ascii="Century" w:hAnsi="Century" w:hint="eastAsia"/>
          <w:sz w:val="22"/>
          <w:rtl/>
        </w:rPr>
        <w:t>אהרן</w:t>
      </w:r>
      <w:r w:rsidRPr="006D5DD9">
        <w:rPr>
          <w:rFonts w:ascii="Century" w:hAnsi="Century"/>
          <w:sz w:val="22"/>
          <w:rtl/>
        </w:rPr>
        <w:t xml:space="preserve"> </w:t>
      </w:r>
      <w:r w:rsidRPr="00D8762C">
        <w:rPr>
          <w:rFonts w:ascii="Century" w:hAnsi="Century" w:cs="Miriam" w:hint="eastAsia"/>
          <w:b/>
          <w:spacing w:val="0"/>
          <w:sz w:val="22"/>
          <w:szCs w:val="24"/>
          <w:rtl/>
        </w:rPr>
        <w:t>ברק</w:t>
      </w:r>
      <w:r w:rsidRPr="00D8762C">
        <w:rPr>
          <w:rFonts w:ascii="Century" w:hAnsi="Century" w:cs="Miriam"/>
          <w:b/>
          <w:spacing w:val="0"/>
          <w:sz w:val="22"/>
          <w:szCs w:val="24"/>
          <w:rtl/>
        </w:rPr>
        <w:t xml:space="preserve"> </w:t>
      </w:r>
      <w:r w:rsidRPr="00D8762C">
        <w:rPr>
          <w:rFonts w:ascii="Century" w:hAnsi="Century" w:cs="Miriam" w:hint="eastAsia"/>
          <w:b/>
          <w:spacing w:val="0"/>
          <w:sz w:val="22"/>
          <w:szCs w:val="24"/>
          <w:rtl/>
        </w:rPr>
        <w:t>פרשנות</w:t>
      </w:r>
      <w:r w:rsidRPr="00D8762C">
        <w:rPr>
          <w:rFonts w:ascii="Century" w:hAnsi="Century" w:cs="Miriam"/>
          <w:b/>
          <w:spacing w:val="0"/>
          <w:sz w:val="22"/>
          <w:szCs w:val="24"/>
          <w:rtl/>
        </w:rPr>
        <w:t xml:space="preserve"> </w:t>
      </w:r>
      <w:r w:rsidRPr="00D8762C">
        <w:rPr>
          <w:rFonts w:ascii="Century" w:hAnsi="Century" w:cs="Miriam" w:hint="eastAsia"/>
          <w:b/>
          <w:spacing w:val="0"/>
          <w:sz w:val="22"/>
          <w:szCs w:val="24"/>
          <w:rtl/>
        </w:rPr>
        <w:t>במשפט</w:t>
      </w:r>
      <w:r w:rsidRPr="00D8762C">
        <w:rPr>
          <w:rFonts w:ascii="Century" w:hAnsi="Century" w:cs="Miriam"/>
          <w:b/>
          <w:spacing w:val="0"/>
          <w:sz w:val="22"/>
          <w:szCs w:val="24"/>
          <w:rtl/>
        </w:rPr>
        <w:t xml:space="preserve"> – </w:t>
      </w:r>
      <w:r w:rsidRPr="00D8762C">
        <w:rPr>
          <w:rFonts w:ascii="Century" w:hAnsi="Century" w:cs="Miriam" w:hint="eastAsia"/>
          <w:b/>
          <w:spacing w:val="0"/>
          <w:sz w:val="22"/>
          <w:szCs w:val="24"/>
          <w:rtl/>
        </w:rPr>
        <w:t>פרשנות</w:t>
      </w:r>
      <w:r w:rsidRPr="00D8762C">
        <w:rPr>
          <w:rFonts w:ascii="Century" w:hAnsi="Century" w:cs="Miriam"/>
          <w:b/>
          <w:spacing w:val="0"/>
          <w:sz w:val="22"/>
          <w:szCs w:val="24"/>
          <w:rtl/>
        </w:rPr>
        <w:t xml:space="preserve"> </w:t>
      </w:r>
      <w:r w:rsidRPr="00D8762C">
        <w:rPr>
          <w:rFonts w:ascii="Century" w:hAnsi="Century" w:cs="Miriam" w:hint="eastAsia"/>
          <w:b/>
          <w:spacing w:val="0"/>
          <w:sz w:val="22"/>
          <w:szCs w:val="24"/>
          <w:rtl/>
        </w:rPr>
        <w:t>החקיקה</w:t>
      </w:r>
      <w:r w:rsidRPr="006D5DD9">
        <w:rPr>
          <w:rFonts w:ascii="Century" w:hAnsi="Century"/>
          <w:sz w:val="22"/>
          <w:rtl/>
        </w:rPr>
        <w:t xml:space="preserve"> 260 (1993)</w:t>
      </w:r>
      <w:r w:rsidRPr="006D5DD9">
        <w:rPr>
          <w:rFonts w:hint="cs"/>
          <w:rtl/>
        </w:rPr>
        <w:t xml:space="preserve"> (להלן: </w:t>
      </w:r>
      <w:r w:rsidRPr="006D5DD9">
        <w:rPr>
          <w:rFonts w:ascii="Century" w:hAnsi="Century" w:cs="Miriam" w:hint="cs"/>
          <w:b/>
          <w:spacing w:val="0"/>
          <w:sz w:val="22"/>
          <w:szCs w:val="24"/>
          <w:rtl/>
        </w:rPr>
        <w:t>ברק, פרשנות החקיקה</w:t>
      </w:r>
      <w:r w:rsidRPr="006D5DD9">
        <w:rPr>
          <w:rFonts w:hint="cs"/>
          <w:rtl/>
        </w:rPr>
        <w:t xml:space="preserve">)). ביסודו של כלל זה עומדת ההבנה כי ביקורת שיפוטית על מעשי השלטון היא מנשמת אפו של המשטר הדמוקרטי, ולכן הגבלת הביקורת תיעשה רק בנתון ללשון ברורה ומפורשת של המחוקק </w:t>
      </w:r>
      <w:r w:rsidRPr="006D5DD9">
        <w:rPr>
          <w:rFonts w:hint="cs"/>
          <w:rtl/>
        </w:rPr>
        <w:lastRenderedPageBreak/>
        <w:t xml:space="preserve">(ראו למשל: בג"ץ 222/68 </w:t>
      </w:r>
      <w:r w:rsidRPr="006D5DD9">
        <w:rPr>
          <w:rFonts w:ascii="Century" w:hAnsi="Century" w:cs="Miriam" w:hint="cs"/>
          <w:b/>
          <w:spacing w:val="0"/>
          <w:sz w:val="22"/>
          <w:szCs w:val="24"/>
          <w:rtl/>
        </w:rPr>
        <w:t>חוגים לאומיים אגודה רשומה נ' שר המשטרה</w:t>
      </w:r>
      <w:r w:rsidRPr="006D5DD9">
        <w:rPr>
          <w:rFonts w:ascii="Century" w:hAnsi="Century" w:hint="cs"/>
          <w:sz w:val="22"/>
          <w:rtl/>
        </w:rPr>
        <w:t>, פ"ד כד(2) 141, 172 (1970)).</w:t>
      </w:r>
    </w:p>
    <w:p w:rsidR="00CB3B01" w:rsidRPr="006D5DD9" w:rsidRDefault="00CB3B01" w:rsidP="00CB3B01">
      <w:pPr>
        <w:pStyle w:val="Ruller4"/>
        <w:numPr>
          <w:ilvl w:val="0"/>
          <w:numId w:val="0"/>
        </w:numPr>
        <w:rPr>
          <w:rtl/>
        </w:rPr>
      </w:pPr>
    </w:p>
    <w:p w:rsidR="00CB3B01" w:rsidRPr="006D5DD9" w:rsidRDefault="00CB3B01" w:rsidP="00CB3B01">
      <w:pPr>
        <w:pStyle w:val="Ruller4"/>
      </w:pPr>
      <w:r w:rsidRPr="006D5DD9">
        <w:rPr>
          <w:rFonts w:hint="cs"/>
          <w:rtl/>
        </w:rPr>
        <w:t xml:space="preserve">כפי שציינתי אך לאחרונה בעניין </w:t>
      </w:r>
      <w:r w:rsidRPr="006D5DD9">
        <w:rPr>
          <w:rFonts w:ascii="Century" w:hAnsi="Century" w:cs="Miriam" w:hint="cs"/>
          <w:b/>
          <w:spacing w:val="0"/>
          <w:sz w:val="22"/>
          <w:szCs w:val="24"/>
          <w:rtl/>
        </w:rPr>
        <w:t>התנועה לטוהר המידות</w:t>
      </w:r>
      <w:r w:rsidRPr="006D5DD9">
        <w:rPr>
          <w:rFonts w:ascii="Century" w:hAnsi="Century" w:hint="cs"/>
          <w:sz w:val="22"/>
          <w:rtl/>
        </w:rPr>
        <w:t>, בהתנגשות שבין תכלית אובייקטיבית לבין תכלית סובייקטיבית, "</w:t>
      </w:r>
      <w:r w:rsidRPr="006D5DD9">
        <w:rPr>
          <w:rFonts w:hint="cs"/>
          <w:color w:val="000000"/>
          <w:rtl/>
        </w:rPr>
        <w:t>כ</w:t>
      </w:r>
      <w:r w:rsidRPr="006D5DD9">
        <w:rPr>
          <w:color w:val="000000"/>
          <w:rtl/>
        </w:rPr>
        <w:t xml:space="preserve">אשר התכלית הסובייקטיבית אינה מעוגנת בלשון החיקוק </w:t>
      </w:r>
      <w:r w:rsidRPr="006D5DD9">
        <w:rPr>
          <w:rFonts w:hint="cs"/>
          <w:color w:val="000000"/>
          <w:rtl/>
        </w:rPr>
        <w:t>'</w:t>
      </w:r>
      <w:r w:rsidRPr="006D5DD9">
        <w:rPr>
          <w:color w:val="000000"/>
          <w:rtl/>
        </w:rPr>
        <w:t>בצורה מפורשת, חד משמעית וברורה</w:t>
      </w:r>
      <w:r w:rsidRPr="006D5DD9">
        <w:rPr>
          <w:rFonts w:hint="cs"/>
          <w:color w:val="000000"/>
          <w:rtl/>
        </w:rPr>
        <w:t>'</w:t>
      </w:r>
      <w:r w:rsidRPr="006D5DD9">
        <w:rPr>
          <w:color w:val="000000"/>
          <w:rtl/>
        </w:rPr>
        <w:t>, בכוחן של התכליות האובייקטיביות לגבור</w:t>
      </w:r>
      <w:r w:rsidRPr="006D5DD9">
        <w:rPr>
          <w:rFonts w:ascii="Century" w:hAnsi="Century" w:hint="cs"/>
          <w:sz w:val="22"/>
          <w:rtl/>
        </w:rPr>
        <w:t xml:space="preserve">" (פסקה 62 וההפניות שם). דברים אלה נאמרו ביחס לפרשנות חוק, </w:t>
      </w:r>
      <w:r>
        <w:rPr>
          <w:rFonts w:ascii="Century" w:hAnsi="Century" w:hint="cs"/>
          <w:sz w:val="22"/>
          <w:rtl/>
        </w:rPr>
        <w:t xml:space="preserve">וברי כי </w:t>
      </w:r>
      <w:r w:rsidRPr="006D5DD9">
        <w:rPr>
          <w:rFonts w:ascii="Century" w:hAnsi="Century" w:hint="cs"/>
          <w:sz w:val="22"/>
          <w:rtl/>
        </w:rPr>
        <w:t>בכל הנוגע לפרשנות חוקי היסוד, הם מקבלים משנה תוקף. בהקשר</w:t>
      </w:r>
      <w:r w:rsidRPr="006D5DD9">
        <w:rPr>
          <w:rFonts w:hint="cs"/>
          <w:rtl/>
        </w:rPr>
        <w:t xml:space="preserve"> זה מקובלים על</w:t>
      </w:r>
      <w:r>
        <w:rPr>
          <w:rFonts w:hint="cs"/>
          <w:rtl/>
        </w:rPr>
        <w:t>י</w:t>
      </w:r>
      <w:r w:rsidRPr="006D5DD9">
        <w:rPr>
          <w:rFonts w:hint="cs"/>
          <w:rtl/>
        </w:rPr>
        <w:t xml:space="preserve">י דבריה של חברתי השופטת </w:t>
      </w:r>
      <w:r w:rsidRPr="006D5DD9">
        <w:rPr>
          <w:rFonts w:cs="Miriam" w:hint="cs"/>
          <w:b/>
          <w:spacing w:val="0"/>
          <w:szCs w:val="24"/>
          <w:rtl/>
        </w:rPr>
        <w:t>ג' כנפי-שטייניץ</w:t>
      </w:r>
      <w:r w:rsidRPr="006D5DD9">
        <w:rPr>
          <w:rFonts w:hint="cs"/>
          <w:rtl/>
        </w:rPr>
        <w:t xml:space="preserve">, בדבר חשיבותה היתרה של התכלית האובייקטיבית בפרשנות החוקה (פסקה 34 לחוות דעתה). עמד על כך גם השופט </w:t>
      </w:r>
      <w:r w:rsidRPr="006D5DD9">
        <w:rPr>
          <w:rFonts w:ascii="Century" w:hAnsi="Century" w:cs="Miriam" w:hint="cs"/>
          <w:b/>
          <w:spacing w:val="0"/>
          <w:sz w:val="22"/>
          <w:szCs w:val="24"/>
          <w:rtl/>
        </w:rPr>
        <w:t xml:space="preserve">עמית </w:t>
      </w:r>
      <w:r w:rsidRPr="006D5DD9">
        <w:rPr>
          <w:rFonts w:ascii="Century" w:hAnsi="Century" w:hint="cs"/>
          <w:sz w:val="22"/>
          <w:rtl/>
        </w:rPr>
        <w:t xml:space="preserve">בעניין </w:t>
      </w:r>
      <w:r w:rsidRPr="006D5DD9">
        <w:rPr>
          <w:rFonts w:ascii="Century" w:hAnsi="Century" w:cs="Miriam" w:hint="cs"/>
          <w:b/>
          <w:spacing w:val="0"/>
          <w:sz w:val="22"/>
          <w:szCs w:val="24"/>
          <w:rtl/>
        </w:rPr>
        <w:t>חסון</w:t>
      </w:r>
      <w:r w:rsidRPr="006D5DD9">
        <w:rPr>
          <w:rFonts w:ascii="Century" w:hAnsi="Century" w:hint="cs"/>
          <w:sz w:val="22"/>
          <w:rtl/>
        </w:rPr>
        <w:t>:</w:t>
      </w:r>
    </w:p>
    <w:p w:rsidR="00CB3B01" w:rsidRPr="006D5DD9" w:rsidRDefault="00CB3B01" w:rsidP="00CB3B01">
      <w:pPr>
        <w:pStyle w:val="Ruller4"/>
        <w:numPr>
          <w:ilvl w:val="0"/>
          <w:numId w:val="0"/>
        </w:numPr>
        <w:rPr>
          <w:rtl/>
        </w:rPr>
      </w:pPr>
    </w:p>
    <w:p w:rsidR="00CB3B01" w:rsidRPr="006D5DD9" w:rsidRDefault="00CB3B01" w:rsidP="00CB3B01">
      <w:pPr>
        <w:pStyle w:val="Ruller5"/>
        <w:rPr>
          <w:rtl/>
        </w:rPr>
      </w:pPr>
      <w:r w:rsidRPr="006D5DD9">
        <w:rPr>
          <w:rFonts w:hint="cs"/>
          <w:rtl/>
        </w:rPr>
        <w:t>"</w:t>
      </w:r>
      <w:r w:rsidRPr="006D5DD9">
        <w:rPr>
          <w:rFonts w:ascii="FrankRuehl" w:hAnsi="FrankRuehl"/>
          <w:color w:val="000000"/>
          <w:sz w:val="28"/>
          <w:rtl/>
        </w:rPr>
        <w:t>בדיני פרשנות קיימת משרעת שנעה בין הכוונה הסובייקטיבית של יוצר הטכסט לבין הכוונה האובייקטיבית של יוצר הטכסט. בקצה האחד של המשרעת נמצאת הצוואה, שאז הכוונה הסובייקטיבית של המצווה עומדת במוקד הבירור המשפטי. לצידה של הצוואה עומד החוזה. בקצה השני של המשרעת עומד החוק ובסוף הקצה השני עומדת החוקה, חוקי היסוד. פרשנותם של חוקי היסוד נעשית אפוא באספקלריה של התכלית האובייקטיבית, של עקרונות היסוד של השיט</w:t>
      </w:r>
      <w:r w:rsidRPr="006D5DD9">
        <w:rPr>
          <w:rFonts w:hint="cs"/>
          <w:rtl/>
        </w:rPr>
        <w:t>ה" (שם, פסקה 4; כן ראו</w:t>
      </w:r>
      <w:r>
        <w:rPr>
          <w:rFonts w:hint="cs"/>
          <w:rtl/>
        </w:rPr>
        <w:t>:</w:t>
      </w:r>
      <w:r w:rsidRPr="006D5DD9">
        <w:rPr>
          <w:rFonts w:hint="cs"/>
          <w:rtl/>
        </w:rPr>
        <w:t xml:space="preserve"> אהרן ברק </w:t>
      </w:r>
      <w:r w:rsidRPr="006D5DD9">
        <w:rPr>
          <w:rFonts w:ascii="Century" w:hAnsi="Century" w:cs="Miriam" w:hint="cs"/>
          <w:b/>
          <w:spacing w:val="0"/>
          <w:szCs w:val="24"/>
          <w:rtl/>
        </w:rPr>
        <w:t xml:space="preserve">כבוד האדם </w:t>
      </w:r>
      <w:r w:rsidRPr="006D5DD9">
        <w:rPr>
          <w:rFonts w:ascii="Century" w:hAnsi="Century" w:cs="Miriam"/>
          <w:b/>
          <w:spacing w:val="0"/>
          <w:szCs w:val="24"/>
          <w:rtl/>
        </w:rPr>
        <w:t>–</w:t>
      </w:r>
      <w:r w:rsidRPr="006D5DD9">
        <w:rPr>
          <w:rFonts w:ascii="Century" w:hAnsi="Century" w:cs="Miriam" w:hint="cs"/>
          <w:b/>
          <w:spacing w:val="0"/>
          <w:szCs w:val="24"/>
          <w:rtl/>
        </w:rPr>
        <w:t xml:space="preserve"> הזכות החוקתית ובנותיה</w:t>
      </w:r>
      <w:r w:rsidRPr="006D5DD9">
        <w:rPr>
          <w:rFonts w:ascii="Century" w:hAnsi="Century" w:hint="cs"/>
          <w:rtl/>
        </w:rPr>
        <w:t xml:space="preserve"> 200</w:t>
      </w:r>
      <w:r w:rsidRPr="006D5DD9">
        <w:rPr>
          <w:rFonts w:ascii="Century" w:hAnsi="Century" w:cs="Miriam" w:hint="cs"/>
          <w:b/>
          <w:spacing w:val="0"/>
          <w:szCs w:val="24"/>
          <w:rtl/>
        </w:rPr>
        <w:t xml:space="preserve"> </w:t>
      </w:r>
      <w:r w:rsidRPr="006D5DD9">
        <w:rPr>
          <w:rFonts w:ascii="Century" w:hAnsi="Century" w:hint="cs"/>
          <w:rtl/>
        </w:rPr>
        <w:t>(2014)</w:t>
      </w:r>
      <w:r w:rsidRPr="006D5DD9">
        <w:rPr>
          <w:rFonts w:hint="cs"/>
          <w:rtl/>
        </w:rPr>
        <w:t>).</w:t>
      </w:r>
    </w:p>
    <w:p w:rsidR="00CB3B01" w:rsidRPr="006D5DD9" w:rsidRDefault="00CB3B01" w:rsidP="00CB3B01">
      <w:pPr>
        <w:pStyle w:val="Ruller41"/>
        <w:rPr>
          <w:rtl/>
        </w:rPr>
      </w:pPr>
    </w:p>
    <w:p w:rsidR="00CB3B01" w:rsidRPr="006D5DD9" w:rsidRDefault="00CB3B01" w:rsidP="00CB3B01">
      <w:pPr>
        <w:pStyle w:val="Ruller4"/>
        <w:rPr>
          <w:rtl/>
        </w:rPr>
      </w:pPr>
      <w:r w:rsidRPr="006D5DD9">
        <w:rPr>
          <w:rFonts w:hint="cs"/>
          <w:rtl/>
        </w:rPr>
        <w:t xml:space="preserve">חרף האמור לעיל, איני סבור כי הצמצום הפרשני אפשרי במקרה דנן. כנסת ישראל כוננה תיקון שלשונו ברורה ומובהקת: בית משפט זה לא יידרש לסבירות החלטותיהם של הממשלה, של ראש הממשלה או של שר </w:t>
      </w:r>
      <w:r>
        <w:rPr>
          <w:rFonts w:hint="cs"/>
          <w:rtl/>
        </w:rPr>
        <w:t>אחר</w:t>
      </w:r>
      <w:r w:rsidRPr="006D5DD9">
        <w:rPr>
          <w:rFonts w:hint="cs"/>
          <w:rtl/>
        </w:rPr>
        <w:t>. בכך ביקשה, בלשו</w:t>
      </w:r>
      <w:r>
        <w:rPr>
          <w:rFonts w:hint="cs"/>
          <w:rtl/>
        </w:rPr>
        <w:t xml:space="preserve">ן מפורשת, לפטור את </w:t>
      </w:r>
      <w:r w:rsidRPr="006D5DD9">
        <w:rPr>
          <w:rFonts w:hint="cs"/>
          <w:rtl/>
        </w:rPr>
        <w:t xml:space="preserve">פעולותיהם ומחדליהם של הממשלה ושל שריה מביקורת שיפוטית בעילת הסבירות. כפי שציינתי לעיל, החזקה הכללית שלפיה דבר חקיקה לא בא לפגוע בסמכות השיפוט נובעת מכך שככלל, אין לראות במחוקק כמי שביקש למנוע מבית משפט זה ליתן סעד במקרה של הפרת הדין ואין לראות בו כמי שביקש להותיר את הדין ללא דיין (ברק, פרשנות החקיקה, </w:t>
      </w:r>
      <w:r w:rsidRPr="006D5DD9">
        <w:rPr>
          <w:rFonts w:ascii="Century" w:hAnsi="Century" w:hint="cs"/>
          <w:sz w:val="22"/>
          <w:rtl/>
        </w:rPr>
        <w:t>בעמ' 535</w:t>
      </w:r>
      <w:r w:rsidRPr="006D5DD9">
        <w:rPr>
          <w:rFonts w:hint="cs"/>
          <w:rtl/>
        </w:rPr>
        <w:t xml:space="preserve">). ואולם, דומני </w:t>
      </w:r>
      <w:r w:rsidRPr="006D5DD9">
        <w:rPr>
          <w:rtl/>
        </w:rPr>
        <w:t>–</w:t>
      </w:r>
      <w:r w:rsidRPr="006D5DD9">
        <w:rPr>
          <w:rFonts w:hint="cs"/>
          <w:rtl/>
        </w:rPr>
        <w:t xml:space="preserve"> ומכאן הקושי הרב </w:t>
      </w:r>
      <w:r>
        <w:rPr>
          <w:rFonts w:hint="cs"/>
          <w:rtl/>
        </w:rPr>
        <w:t>שבמקרה</w:t>
      </w:r>
      <w:r w:rsidRPr="006D5DD9">
        <w:rPr>
          <w:rFonts w:hint="cs"/>
          <w:rtl/>
        </w:rPr>
        <w:t xml:space="preserve"> דנן </w:t>
      </w:r>
      <w:r w:rsidRPr="006D5DD9">
        <w:rPr>
          <w:rtl/>
        </w:rPr>
        <w:t>–</w:t>
      </w:r>
      <w:r w:rsidRPr="006D5DD9">
        <w:rPr>
          <w:rFonts w:hint="cs"/>
          <w:rtl/>
        </w:rPr>
        <w:t xml:space="preserve"> כי זו הייתה </w:t>
      </w:r>
      <w:r>
        <w:rPr>
          <w:rFonts w:hint="cs"/>
          <w:rtl/>
        </w:rPr>
        <w:t>כוונת</w:t>
      </w:r>
      <w:r w:rsidRPr="006D5DD9">
        <w:rPr>
          <w:rFonts w:hint="cs"/>
          <w:rtl/>
        </w:rPr>
        <w:t xml:space="preserve"> המכונן</w:t>
      </w:r>
      <w:r>
        <w:rPr>
          <w:rFonts w:hint="cs"/>
          <w:rtl/>
        </w:rPr>
        <w:t xml:space="preserve"> המפורשת</w:t>
      </w:r>
      <w:r w:rsidRPr="006D5DD9">
        <w:rPr>
          <w:rFonts w:hint="cs"/>
          <w:rtl/>
        </w:rPr>
        <w:t xml:space="preserve"> בהליך שלפנינו. מדובר במקרה מובהק שבו כוונת המכונן מצאה ביטוי בלשון חדה וברורה, שקיים קושי לצמצמה בדרך פרשנית. לכך מצטרף כאמור הקושי שעליו עמדתי לעיל בדבר עמימותה של החלופה הפרשנית שהוצעה על ידי חלק מחבריי. </w:t>
      </w:r>
    </w:p>
    <w:p w:rsidR="00CB3B01" w:rsidRPr="006D5DD9" w:rsidRDefault="00CB3B01" w:rsidP="00CB3B01">
      <w:pPr>
        <w:pStyle w:val="Ruller41"/>
        <w:rPr>
          <w:rtl/>
        </w:rPr>
      </w:pPr>
    </w:p>
    <w:p w:rsidR="00CB3B01" w:rsidRPr="006D5DD9" w:rsidRDefault="00CB3B01" w:rsidP="002A1A3A">
      <w:pPr>
        <w:pStyle w:val="Ruller41"/>
        <w:numPr>
          <w:ilvl w:val="0"/>
          <w:numId w:val="18"/>
        </w:numPr>
        <w:rPr>
          <w:rFonts w:ascii="Century" w:hAnsi="Century" w:cs="Miriam"/>
          <w:b/>
          <w:spacing w:val="0"/>
          <w:szCs w:val="24"/>
          <w:rtl/>
        </w:rPr>
      </w:pPr>
      <w:r w:rsidRPr="006D5DD9">
        <w:rPr>
          <w:rFonts w:ascii="Century" w:hAnsi="Century" w:cs="Miriam" w:hint="cs"/>
          <w:b/>
          <w:spacing w:val="0"/>
          <w:szCs w:val="24"/>
          <w:rtl/>
        </w:rPr>
        <w:lastRenderedPageBreak/>
        <w:t>היש בכוחה של הפרשנות המצמצמת לסייע?</w:t>
      </w:r>
    </w:p>
    <w:p w:rsidR="00CB3B01" w:rsidRPr="006D5DD9" w:rsidRDefault="00CB3B01" w:rsidP="009B0AFF">
      <w:pPr>
        <w:pStyle w:val="Ruller41"/>
        <w:spacing w:line="276" w:lineRule="auto"/>
        <w:rPr>
          <w:rFonts w:ascii="Century" w:hAnsi="Century" w:cs="Miriam"/>
          <w:b/>
          <w:spacing w:val="0"/>
          <w:szCs w:val="24"/>
          <w:rtl/>
        </w:rPr>
      </w:pPr>
    </w:p>
    <w:p w:rsidR="00CB3B01" w:rsidRPr="006D5DD9" w:rsidRDefault="00CB3B01" w:rsidP="00CB3B01">
      <w:pPr>
        <w:pStyle w:val="Ruller4"/>
        <w:rPr>
          <w:rtl/>
        </w:rPr>
      </w:pPr>
      <w:r w:rsidRPr="006D5DD9">
        <w:rPr>
          <w:rFonts w:hint="cs"/>
          <w:rtl/>
        </w:rPr>
        <w:t xml:space="preserve">כאמור, איני סבור שיש בידינו לאמץ פרשנות מצמצמת </w:t>
      </w:r>
      <w:r>
        <w:rPr>
          <w:rFonts w:hint="cs"/>
          <w:rtl/>
        </w:rPr>
        <w:t>לתיקון מס' 3</w:t>
      </w:r>
      <w:r w:rsidRPr="006D5DD9">
        <w:rPr>
          <w:rFonts w:hint="cs"/>
          <w:rtl/>
        </w:rPr>
        <w:t>, ואולם,</w:t>
      </w:r>
      <w:r>
        <w:rPr>
          <w:rFonts w:hint="cs"/>
          <w:rtl/>
        </w:rPr>
        <w:t xml:space="preserve"> מעבר לצורך אעיר כי</w:t>
      </w:r>
      <w:r w:rsidRPr="006D5DD9">
        <w:rPr>
          <w:rFonts w:hint="cs"/>
          <w:rtl/>
        </w:rPr>
        <w:t xml:space="preserve"> אף בנתון לפרשנות זו (לו הייתי מאמצה),</w:t>
      </w:r>
      <w:r>
        <w:rPr>
          <w:rFonts w:hint="cs"/>
          <w:rtl/>
        </w:rPr>
        <w:t xml:space="preserve"> אני סבור שאין בה כדי להועיל. אכן, </w:t>
      </w:r>
      <w:r w:rsidRPr="006D5DD9">
        <w:rPr>
          <w:rFonts w:hint="cs"/>
          <w:rtl/>
        </w:rPr>
        <w:t xml:space="preserve">דומה כי </w:t>
      </w:r>
      <w:r>
        <w:rPr>
          <w:rFonts w:hint="cs"/>
          <w:rtl/>
        </w:rPr>
        <w:t xml:space="preserve">בין מרבית חבריי </w:t>
      </w:r>
      <w:r w:rsidRPr="006D5DD9">
        <w:rPr>
          <w:rFonts w:hint="cs"/>
          <w:rtl/>
        </w:rPr>
        <w:t xml:space="preserve">שוררת הסכמה שבלעדי פרשנות זו פגיעת התיקון בעקרונות דמוקרטיים בסיסיים היא אנושה (ראו למשל פסקה 98 </w:t>
      </w:r>
      <w:r>
        <w:rPr>
          <w:rFonts w:hint="cs"/>
          <w:rtl/>
        </w:rPr>
        <w:t>ל</w:t>
      </w:r>
      <w:r w:rsidRPr="006D5DD9">
        <w:rPr>
          <w:rFonts w:hint="cs"/>
          <w:rtl/>
        </w:rPr>
        <w:t xml:space="preserve">חוות דעתו של חברי השופט </w:t>
      </w:r>
      <w:r w:rsidRPr="006D5DD9">
        <w:rPr>
          <w:rFonts w:ascii="Century" w:hAnsi="Century" w:cs="Miriam" w:hint="cs"/>
          <w:b/>
          <w:spacing w:val="0"/>
          <w:sz w:val="22"/>
          <w:szCs w:val="24"/>
          <w:rtl/>
        </w:rPr>
        <w:t>א' שטיין</w:t>
      </w:r>
      <w:r w:rsidRPr="006D5DD9">
        <w:rPr>
          <w:rFonts w:hint="cs"/>
          <w:rtl/>
        </w:rPr>
        <w:t xml:space="preserve">). עוד דומה שאין חולק כי הפרשנות המצמצמת שהוצעה לתיקון מקטינה את פגיעתו בהפרדת הרשויות ובשלטון החוק. ואולם, בעיניי, אף לו היינו מאמצים את הפרשנות המצמצמת, הייתה זו מותירה אחריה "חורים שחורים" נורמטיביים </w:t>
      </w:r>
      <w:r>
        <w:rPr>
          <w:rFonts w:hint="cs"/>
          <w:rtl/>
        </w:rPr>
        <w:t>שפגיעתם</w:t>
      </w:r>
      <w:r w:rsidRPr="006D5DD9">
        <w:rPr>
          <w:rFonts w:hint="cs"/>
          <w:rtl/>
        </w:rPr>
        <w:t xml:space="preserve"> בהפרדת הרשויות ובשלטון החוק</w:t>
      </w:r>
      <w:r>
        <w:rPr>
          <w:rFonts w:hint="cs"/>
          <w:rtl/>
        </w:rPr>
        <w:t xml:space="preserve"> משמעותית וחמורה</w:t>
      </w:r>
      <w:r w:rsidRPr="006D5DD9">
        <w:rPr>
          <w:rFonts w:hint="cs"/>
          <w:rtl/>
        </w:rPr>
        <w:t xml:space="preserve">. </w:t>
      </w:r>
    </w:p>
    <w:p w:rsidR="00CB3B01" w:rsidRDefault="00CB3B01" w:rsidP="00CB3B01">
      <w:pPr>
        <w:pStyle w:val="Ruller41"/>
        <w:rPr>
          <w:rtl/>
        </w:rPr>
      </w:pPr>
    </w:p>
    <w:p w:rsidR="00CB3B01" w:rsidRPr="006D5DD9" w:rsidRDefault="00CB3B01" w:rsidP="00CB3B01">
      <w:pPr>
        <w:pStyle w:val="Ruller4"/>
        <w:rPr>
          <w:rtl/>
        </w:rPr>
      </w:pPr>
      <w:r w:rsidRPr="006D5DD9">
        <w:rPr>
          <w:rFonts w:hint="cs"/>
          <w:rtl/>
        </w:rPr>
        <w:t xml:space="preserve">דוגמה </w:t>
      </w:r>
      <w:r>
        <w:rPr>
          <w:rFonts w:hint="cs"/>
          <w:rtl/>
        </w:rPr>
        <w:t>בולטת</w:t>
      </w:r>
      <w:r w:rsidRPr="006D5DD9">
        <w:rPr>
          <w:rFonts w:hint="cs"/>
          <w:rtl/>
        </w:rPr>
        <w:t xml:space="preserve"> שמלמדת על כך שסבירות מסוג מופרכות אין די בה היא תחום המינויים והפיטורים. יתר עילות המשפט המינהלי, לרבות עילת השיקולים הזרים (ובפרט במתכונתה הנוכחית) </w:t>
      </w:r>
      <w:r w:rsidRPr="006D5DD9">
        <w:rPr>
          <w:rtl/>
        </w:rPr>
        <w:t>–</w:t>
      </w:r>
      <w:r w:rsidRPr="006D5DD9">
        <w:rPr>
          <w:rFonts w:hint="cs"/>
          <w:rtl/>
        </w:rPr>
        <w:t xml:space="preserve"> אין בהן כדי לתת מענה לשורת המצבים שהובאו בעבר בפסיקת בית משפט זה, ואשר מלמדות על תפקידה של הסבירות האיזונית בתחום זה. רק לשם ההדגמה, אתייחס בתמצית לפרשת </w:t>
      </w:r>
      <w:r w:rsidRPr="006D5DD9">
        <w:rPr>
          <w:rFonts w:ascii="Century" w:hAnsi="Century" w:cs="Miriam" w:hint="cs"/>
          <w:b/>
          <w:spacing w:val="0"/>
          <w:sz w:val="22"/>
          <w:szCs w:val="24"/>
          <w:rtl/>
        </w:rPr>
        <w:t>פלונית</w:t>
      </w:r>
      <w:r w:rsidRPr="006D5DD9">
        <w:rPr>
          <w:rFonts w:ascii="Century" w:hAnsi="Century" w:hint="cs"/>
          <w:sz w:val="22"/>
          <w:rtl/>
        </w:rPr>
        <w:t xml:space="preserve"> (</w:t>
      </w:r>
      <w:r w:rsidRPr="006D5DD9">
        <w:rPr>
          <w:rFonts w:hint="cs"/>
          <w:rtl/>
        </w:rPr>
        <w:t xml:space="preserve">בג"ץ 1284/99 </w:t>
      </w:r>
      <w:r w:rsidRPr="006D5DD9">
        <w:rPr>
          <w:rFonts w:ascii="Century" w:hAnsi="Century" w:cs="Miriam" w:hint="cs"/>
          <w:b/>
          <w:spacing w:val="0"/>
          <w:sz w:val="22"/>
          <w:szCs w:val="24"/>
          <w:rtl/>
        </w:rPr>
        <w:t>פלונית נ' ראש המטה הכללי</w:t>
      </w:r>
      <w:r w:rsidRPr="006D5DD9">
        <w:rPr>
          <w:rFonts w:ascii="Century" w:hAnsi="Century" w:hint="cs"/>
          <w:sz w:val="22"/>
          <w:rtl/>
        </w:rPr>
        <w:t>, פ"ד נג(2) 62 (1999)</w:t>
      </w:r>
      <w:r w:rsidRPr="006D5DD9">
        <w:rPr>
          <w:rFonts w:hint="cs"/>
          <w:rtl/>
        </w:rPr>
        <w:t>), שעניינה בהחלטת שר הביטחון והרמטכ"ל לקדם לדרגת אלוף קצין שהודה בהתנהגות בלתי הולמת על רקע מיני. בית המשפט הדגיש בפסק הדין כי ההחלטה פגומה באיזון הפנימי שבין השיקולים, וזאת הגם שאינה לוקה בפגמים אחרים מהמשפט המינהלי. וכלשון בית המשפט:</w:t>
      </w:r>
    </w:p>
    <w:p w:rsidR="00CB3B01" w:rsidRPr="006D5DD9" w:rsidRDefault="00CB3B01" w:rsidP="00CB3B01">
      <w:pPr>
        <w:pStyle w:val="Ruller41"/>
        <w:rPr>
          <w:rtl/>
        </w:rPr>
      </w:pPr>
    </w:p>
    <w:p w:rsidR="00CB3B01" w:rsidRPr="006D5DD9" w:rsidRDefault="00CB3B01" w:rsidP="00CB3B01">
      <w:pPr>
        <w:pStyle w:val="Ruller5"/>
        <w:rPr>
          <w:rtl/>
        </w:rPr>
      </w:pPr>
      <w:r w:rsidRPr="006D5DD9">
        <w:rPr>
          <w:rFonts w:hint="cs"/>
          <w:rtl/>
        </w:rPr>
        <w:t xml:space="preserve">"[הרמטכ"ל ושר הביטחון </w:t>
      </w:r>
      <w:r w:rsidRPr="006D5DD9">
        <w:rPr>
          <w:rtl/>
        </w:rPr>
        <w:t>–</w:t>
      </w:r>
      <w:r w:rsidRPr="006D5DD9">
        <w:rPr>
          <w:rFonts w:hint="cs"/>
          <w:rtl/>
        </w:rPr>
        <w:t xml:space="preserve"> ע' פ'] לא נתנו לשיקולים המשמשים בזירה ולאינטרסים הראויים להגנה את משקלם הראוי, כל אחד לעצמו, ואת משקלם היחסי האחד כנגד האחר ולא עשו את האיזון </w:t>
      </w:r>
      <w:r>
        <w:rPr>
          <w:rFonts w:hint="cs"/>
          <w:rtl/>
        </w:rPr>
        <w:t>הנורמטיבי הראוי ביניהם. כמי שמופ</w:t>
      </w:r>
      <w:r w:rsidRPr="006D5DD9">
        <w:rPr>
          <w:rFonts w:hint="cs"/>
          <w:rtl/>
        </w:rPr>
        <w:t xml:space="preserve">קד בראש ובראשונה על הביטחון, הציבו הם בראש מעייניהם את צורכי צה"ל ואת התרומה הגדולה שהמשיב יכול לתרום לצה"ל אם יקודם. אין לנו ספק ברצינות ובכנות שיקולם זה. </w:t>
      </w:r>
      <w:r w:rsidRPr="006D5DD9">
        <w:rPr>
          <w:rFonts w:ascii="Century" w:hAnsi="Century" w:cs="Miriam" w:hint="cs"/>
          <w:b/>
          <w:spacing w:val="0"/>
          <w:szCs w:val="24"/>
          <w:rtl/>
        </w:rPr>
        <w:t>אין לנו ספק שהשיקול נעשה בתום-לב ובלא שרירות</w:t>
      </w:r>
      <w:r w:rsidRPr="006D5DD9">
        <w:rPr>
          <w:rFonts w:hint="cs"/>
          <w:rtl/>
        </w:rPr>
        <w:t xml:space="preserve">. אין אנו מטילים דופי בפן זה של שיקול דעתם [...] אולם, ככל שהדבר מתייחס לפן הערכי-נורמטיבי-מוסרי, נראה לנו, כי נפל פגם מהותי בהחלטה, עקב אי-מתן משקל הולם וראוי לכל אחד מן השיקולים הספונים בפן זה" (ההדגשה הוספה </w:t>
      </w:r>
      <w:r w:rsidRPr="006D5DD9">
        <w:rPr>
          <w:rtl/>
        </w:rPr>
        <w:t>–</w:t>
      </w:r>
      <w:r>
        <w:rPr>
          <w:rFonts w:hint="cs"/>
          <w:rtl/>
        </w:rPr>
        <w:t xml:space="preserve"> ע' פ'; שם, בעמ' 70).</w:t>
      </w:r>
    </w:p>
    <w:p w:rsidR="00CB3B01" w:rsidRPr="006D5DD9" w:rsidRDefault="00CB3B01" w:rsidP="00CB3B01">
      <w:pPr>
        <w:pStyle w:val="Ruller4"/>
        <w:numPr>
          <w:ilvl w:val="0"/>
          <w:numId w:val="0"/>
        </w:numPr>
        <w:rPr>
          <w:rtl/>
        </w:rPr>
      </w:pPr>
    </w:p>
    <w:p w:rsidR="00CB3B01" w:rsidRPr="006D5DD9" w:rsidRDefault="00CB3B01" w:rsidP="00CB3B01">
      <w:pPr>
        <w:pStyle w:val="Ruller41"/>
        <w:rPr>
          <w:rtl/>
        </w:rPr>
      </w:pPr>
      <w:r w:rsidRPr="006D5DD9">
        <w:rPr>
          <w:rtl/>
        </w:rPr>
        <w:tab/>
      </w:r>
      <w:r w:rsidRPr="006D5DD9">
        <w:rPr>
          <w:rFonts w:hint="cs"/>
          <w:rtl/>
        </w:rPr>
        <w:t xml:space="preserve">הנה כי כן, ענייננו בהחלטה שהפגם בה </w:t>
      </w:r>
      <w:r>
        <w:rPr>
          <w:rFonts w:hint="cs"/>
          <w:rtl/>
        </w:rPr>
        <w:t>טמון ב</w:t>
      </w:r>
      <w:r w:rsidRPr="006D5DD9">
        <w:rPr>
          <w:rFonts w:hint="cs"/>
          <w:rtl/>
        </w:rPr>
        <w:t xml:space="preserve">איזון הפנימי בין השיקולים שהוליכו לקבלתה. איונה של עילת הסבירות האיזונית משמעה, הלכה למעשה שלילת כלי ביקורת מרכזי בתחום המינויים והפיטורים. לכך יש להוסיף כי המינויים שעליהם </w:t>
      </w:r>
      <w:r w:rsidRPr="006D5DD9">
        <w:rPr>
          <w:rFonts w:hint="cs"/>
          <w:rtl/>
        </w:rPr>
        <w:lastRenderedPageBreak/>
        <w:t xml:space="preserve">אמונים הממשלה, ראש הממשלה והשרים הם המינויים הבכירים ביותר בשירות המדינה. חסימת הביקורת השיפוטית באופן שמחסן מינויים בלתי סבירים (איזונית), כמו גם פיטורים והימנעות ממינויים, משמעה פתיחת </w:t>
      </w:r>
      <w:r w:rsidRPr="00855D00">
        <w:rPr>
          <w:rFonts w:hint="cs"/>
          <w:rtl/>
        </w:rPr>
        <w:t xml:space="preserve">פתח רחב לפוליטיזציה ולפגיעה בטוהר המידות של המגזר הציבורי (ראו את הפירוט בהקשר זה בחוות דעתה של הנשיאה (בדימ') </w:t>
      </w:r>
      <w:r w:rsidRPr="00855D00">
        <w:rPr>
          <w:rFonts w:ascii="Century" w:hAnsi="Century" w:cs="Miriam" w:hint="cs"/>
          <w:b/>
          <w:spacing w:val="0"/>
          <w:szCs w:val="24"/>
          <w:rtl/>
        </w:rPr>
        <w:t>חיות</w:t>
      </w:r>
      <w:r w:rsidRPr="00855D00">
        <w:rPr>
          <w:rFonts w:ascii="Century" w:hAnsi="Century" w:hint="cs"/>
          <w:rtl/>
        </w:rPr>
        <w:t>, פסקאות 166-162</w:t>
      </w:r>
      <w:r w:rsidRPr="00855D00">
        <w:rPr>
          <w:rFonts w:hint="cs"/>
          <w:rtl/>
        </w:rPr>
        <w:t xml:space="preserve">; ובחוות דעתו של השופט </w:t>
      </w:r>
      <w:r w:rsidRPr="00855D00">
        <w:rPr>
          <w:rFonts w:ascii="Century" w:hAnsi="Century" w:cs="Miriam" w:hint="cs"/>
          <w:b/>
          <w:spacing w:val="0"/>
          <w:szCs w:val="24"/>
          <w:rtl/>
        </w:rPr>
        <w:t>עמית</w:t>
      </w:r>
      <w:r w:rsidRPr="00855D00">
        <w:rPr>
          <w:rFonts w:ascii="Century" w:hAnsi="Century" w:hint="cs"/>
          <w:rtl/>
        </w:rPr>
        <w:t>, פסקאות</w:t>
      </w:r>
      <w:r w:rsidRPr="00855D00">
        <w:rPr>
          <w:rFonts w:hint="cs"/>
          <w:rtl/>
        </w:rPr>
        <w:t xml:space="preserve"> 94-87). זאת, גם במישור התנהלותם של הגורמים הממונים, שידעו שמינויים והמשך כהונתם תלויה אך ברצונו של הדרג המיניסטריאלי, ללא מנגנון פיקוח אפקטיבי. פגיעות</w:t>
      </w:r>
      <w:r w:rsidRPr="006D5DD9">
        <w:rPr>
          <w:rFonts w:hint="cs"/>
          <w:rtl/>
        </w:rPr>
        <w:t xml:space="preserve"> אלו </w:t>
      </w:r>
      <w:r>
        <w:rPr>
          <w:rFonts w:hint="cs"/>
          <w:rtl/>
        </w:rPr>
        <w:t>צפויות לסדוק</w:t>
      </w:r>
      <w:r w:rsidRPr="006D5DD9">
        <w:rPr>
          <w:rFonts w:hint="cs"/>
          <w:rtl/>
        </w:rPr>
        <w:t xml:space="preserve"> בהדרגה את אופיו המקצועי של השירות הציבורי בישראל</w:t>
      </w:r>
      <w:r>
        <w:rPr>
          <w:rFonts w:hint="cs"/>
          <w:rtl/>
        </w:rPr>
        <w:t>,</w:t>
      </w:r>
      <w:r w:rsidRPr="006D5DD9">
        <w:rPr>
          <w:rFonts w:hint="cs"/>
          <w:rtl/>
        </w:rPr>
        <w:t xml:space="preserve"> שהוא יסוד חיוני בשמירה על מינהל תקין בשיטתנו המשפטית (ראו למשל, את מרכזיותה של עילת הסבירות בביקורת השיפוטית על קציבת כהונתו של מפכ"ל המשטרה: בג"ץ 911/21 </w:t>
      </w:r>
      <w:r w:rsidRPr="006D5DD9">
        <w:rPr>
          <w:rFonts w:ascii="Century" w:hAnsi="Century" w:cs="Miriam" w:hint="cs"/>
          <w:b/>
          <w:spacing w:val="0"/>
          <w:szCs w:val="24"/>
          <w:rtl/>
        </w:rPr>
        <w:t>התנועה למען איכות השלטון בישראל נ' ממשלת ישראל</w:t>
      </w:r>
      <w:r w:rsidRPr="006D5DD9">
        <w:rPr>
          <w:rFonts w:ascii="Century" w:hAnsi="Century" w:hint="cs"/>
          <w:rtl/>
        </w:rPr>
        <w:t>, פסקאות 21-15</w:t>
      </w:r>
      <w:r w:rsidRPr="006D5DD9">
        <w:rPr>
          <w:rFonts w:ascii="Century" w:hAnsi="Century" w:cs="Miriam" w:hint="cs"/>
          <w:b/>
          <w:spacing w:val="0"/>
          <w:szCs w:val="24"/>
          <w:rtl/>
        </w:rPr>
        <w:t xml:space="preserve"> </w:t>
      </w:r>
      <w:r w:rsidRPr="006D5DD9">
        <w:rPr>
          <w:rFonts w:ascii="Century" w:hAnsi="Century" w:hint="cs"/>
          <w:rtl/>
        </w:rPr>
        <w:t>(12.12.2021)</w:t>
      </w:r>
      <w:r w:rsidRPr="006D5DD9">
        <w:rPr>
          <w:rFonts w:hint="cs"/>
          <w:rtl/>
        </w:rPr>
        <w:t xml:space="preserve">). </w:t>
      </w:r>
    </w:p>
    <w:p w:rsidR="00CB3B01" w:rsidRDefault="00CB3B01" w:rsidP="00CB3B01">
      <w:pPr>
        <w:pStyle w:val="Ruller41"/>
        <w:rPr>
          <w:rtl/>
        </w:rPr>
      </w:pPr>
    </w:p>
    <w:p w:rsidR="00CB3B01" w:rsidRPr="006D5DD9" w:rsidRDefault="00CB3B01" w:rsidP="00CB3B01">
      <w:pPr>
        <w:pStyle w:val="Ruller4"/>
      </w:pPr>
      <w:r>
        <w:rPr>
          <w:rFonts w:hint="cs"/>
          <w:rtl/>
        </w:rPr>
        <w:t xml:space="preserve">דוגמה נוספת ל"חור שחור" נורמטיבי </w:t>
      </w:r>
      <w:r w:rsidRPr="006D5DD9">
        <w:rPr>
          <w:rFonts w:hint="cs"/>
          <w:rtl/>
        </w:rPr>
        <w:t xml:space="preserve">היא </w:t>
      </w:r>
      <w:r>
        <w:rPr>
          <w:rFonts w:hint="cs"/>
          <w:rtl/>
        </w:rPr>
        <w:t xml:space="preserve">במישור התנהלותן של </w:t>
      </w:r>
      <w:r w:rsidRPr="006D5DD9">
        <w:rPr>
          <w:rFonts w:hint="cs"/>
          <w:rtl/>
        </w:rPr>
        <w:t xml:space="preserve">ממשלות מעבר. מבלי להאריך שלא לצורך (ראו גם פסקה 167 לחוות דעתה של הנשיאה (בדימ') </w:t>
      </w:r>
      <w:r w:rsidRPr="006D5DD9">
        <w:rPr>
          <w:rFonts w:ascii="Century" w:hAnsi="Century" w:cs="Miriam" w:hint="cs"/>
          <w:b/>
          <w:spacing w:val="0"/>
          <w:sz w:val="22"/>
          <w:szCs w:val="24"/>
          <w:rtl/>
        </w:rPr>
        <w:t>חיות</w:t>
      </w:r>
      <w:r w:rsidRPr="006D5DD9">
        <w:rPr>
          <w:rFonts w:hint="cs"/>
          <w:rtl/>
        </w:rPr>
        <w:t xml:space="preserve">), אציין כי </w:t>
      </w:r>
      <w:r w:rsidRPr="006D5DD9">
        <w:rPr>
          <w:rFonts w:ascii="Century" w:hAnsi="Century" w:cs="Miriam" w:hint="cs"/>
          <w:b/>
          <w:spacing w:val="0"/>
          <w:sz w:val="22"/>
          <w:szCs w:val="24"/>
          <w:rtl/>
        </w:rPr>
        <w:t xml:space="preserve">המגבלה על פעילותה של ממשלת מעבר נובעת </w:t>
      </w:r>
      <w:r>
        <w:rPr>
          <w:rFonts w:ascii="Century" w:hAnsi="Century" w:cs="Miriam" w:hint="cs"/>
          <w:b/>
          <w:spacing w:val="0"/>
          <w:sz w:val="22"/>
          <w:szCs w:val="24"/>
          <w:rtl/>
        </w:rPr>
        <w:t xml:space="preserve">כשלעצמה </w:t>
      </w:r>
      <w:r w:rsidRPr="006D5DD9">
        <w:rPr>
          <w:rFonts w:ascii="Century" w:hAnsi="Century" w:cs="Miriam" w:hint="cs"/>
          <w:b/>
          <w:spacing w:val="0"/>
          <w:sz w:val="22"/>
          <w:szCs w:val="24"/>
          <w:rtl/>
        </w:rPr>
        <w:t>מעילת הסבירות האיזונית</w:t>
      </w:r>
      <w:r w:rsidRPr="006D5DD9">
        <w:rPr>
          <w:rFonts w:ascii="Century" w:hAnsi="Century" w:hint="cs"/>
          <w:sz w:val="22"/>
          <w:rtl/>
        </w:rPr>
        <w:t>. כך, בפסק הדין המרכזי שקבע את המגבלות על פעולות ממשל</w:t>
      </w:r>
      <w:r>
        <w:rPr>
          <w:rFonts w:ascii="Century" w:hAnsi="Century" w:hint="cs"/>
          <w:sz w:val="22"/>
          <w:rtl/>
        </w:rPr>
        <w:t>ת מעבר</w:t>
      </w:r>
      <w:r w:rsidRPr="006D5DD9">
        <w:rPr>
          <w:rFonts w:ascii="Century" w:hAnsi="Century" w:hint="cs"/>
          <w:sz w:val="22"/>
          <w:rtl/>
        </w:rPr>
        <w:t>, נפסק בין היתר:</w:t>
      </w:r>
    </w:p>
    <w:p w:rsidR="00CB3B01" w:rsidRPr="006D5DD9" w:rsidRDefault="00CB3B01" w:rsidP="00CB3B01">
      <w:pPr>
        <w:pStyle w:val="Ruller4"/>
        <w:numPr>
          <w:ilvl w:val="0"/>
          <w:numId w:val="0"/>
        </w:numPr>
        <w:rPr>
          <w:rtl/>
        </w:rPr>
      </w:pPr>
    </w:p>
    <w:p w:rsidR="00CB3B01" w:rsidRPr="006D5DD9" w:rsidRDefault="00CB3B01" w:rsidP="00CB3B01">
      <w:pPr>
        <w:pStyle w:val="Ruller5"/>
        <w:rPr>
          <w:rtl/>
        </w:rPr>
      </w:pPr>
      <w:r w:rsidRPr="006D5DD9">
        <w:rPr>
          <w:rFonts w:hint="cs"/>
          <w:rtl/>
        </w:rPr>
        <w:t xml:space="preserve">"מיתחם הסבירות של ראש-ממשלה שהתפטר ושל חברי ממשלתו צר ממיתחם הסבירות של ראש-ממשלה ושל ממשלה המכהנים כרגיל. הטעם לכך הוא זה שעל ראש-ממשלה ועל ממשלה יוצאת זו להביא בחשבון את הנתון המיוחד </w:t>
      </w:r>
      <w:r w:rsidRPr="006D5DD9">
        <w:rPr>
          <w:rtl/>
        </w:rPr>
        <w:t>–</w:t>
      </w:r>
      <w:r w:rsidRPr="006D5DD9">
        <w:rPr>
          <w:rFonts w:hint="cs"/>
          <w:rtl/>
        </w:rPr>
        <w:t xml:space="preserve"> נתון שממשלה ברגיל אינה צריכה להתחשב בו והם תכלית קיומה ומקור סמכותה. זאת ועוד, 'מיתחם' הסבירות של ראש-הממשלה וממשלה אלו משתנה ככל שמועד סיום כהונתו של ראש-הממשלה הנבחר מתקרב והולך [...] 'מיתחם' זה נעשה צר יותר </w:t>
      </w:r>
      <w:r w:rsidRPr="006D5DD9">
        <w:rPr>
          <w:rtl/>
        </w:rPr>
        <w:t>–</w:t>
      </w:r>
      <w:r w:rsidRPr="006D5DD9">
        <w:rPr>
          <w:rFonts w:hint="cs"/>
          <w:rtl/>
        </w:rPr>
        <w:t xml:space="preserve"> והצורך באיפוק ובריסון נדרש יותר </w:t>
      </w:r>
      <w:r w:rsidRPr="006D5DD9">
        <w:rPr>
          <w:rtl/>
        </w:rPr>
        <w:t>–</w:t>
      </w:r>
      <w:r w:rsidRPr="006D5DD9">
        <w:rPr>
          <w:rFonts w:hint="cs"/>
          <w:rtl/>
        </w:rPr>
        <w:t xml:space="preserve"> לאחר הבחירות" (בג"ץ 5167/00 </w:t>
      </w:r>
      <w:r w:rsidRPr="006D5DD9">
        <w:rPr>
          <w:rFonts w:ascii="Century" w:hAnsi="Century" w:cs="Miriam" w:hint="cs"/>
          <w:b/>
          <w:spacing w:val="0"/>
          <w:szCs w:val="24"/>
          <w:rtl/>
        </w:rPr>
        <w:t>וייס נ' ראש-הממשלה של מדינת ישראל</w:t>
      </w:r>
      <w:r w:rsidRPr="006D5DD9">
        <w:rPr>
          <w:rFonts w:ascii="Century" w:hAnsi="Century" w:hint="cs"/>
          <w:rtl/>
        </w:rPr>
        <w:t>, פ"ד נה(2) 455, 470 (2001)</w:t>
      </w:r>
      <w:r w:rsidRPr="006D5DD9">
        <w:rPr>
          <w:rFonts w:hint="cs"/>
          <w:rtl/>
        </w:rPr>
        <w:t xml:space="preserve"> (להלן: עניין </w:t>
      </w:r>
      <w:r w:rsidRPr="006D5DD9">
        <w:rPr>
          <w:rFonts w:ascii="Century" w:hAnsi="Century" w:cs="Miriam" w:hint="cs"/>
          <w:b/>
          <w:spacing w:val="0"/>
          <w:szCs w:val="24"/>
          <w:rtl/>
        </w:rPr>
        <w:t>וייס</w:t>
      </w:r>
      <w:r w:rsidRPr="006D5DD9">
        <w:rPr>
          <w:rFonts w:hint="cs"/>
          <w:rtl/>
        </w:rPr>
        <w:t>)).</w:t>
      </w:r>
    </w:p>
    <w:p w:rsidR="00CB3B01" w:rsidRPr="006D5DD9" w:rsidRDefault="00CB3B01" w:rsidP="00CB3B01">
      <w:pPr>
        <w:pStyle w:val="Ruller4"/>
        <w:numPr>
          <w:ilvl w:val="0"/>
          <w:numId w:val="0"/>
        </w:numPr>
        <w:rPr>
          <w:rtl/>
        </w:rPr>
      </w:pPr>
    </w:p>
    <w:p w:rsidR="00CB3B01" w:rsidRPr="006D5DD9" w:rsidRDefault="00CB3B01" w:rsidP="00CB3B01">
      <w:pPr>
        <w:pStyle w:val="Ruller4"/>
        <w:numPr>
          <w:ilvl w:val="0"/>
          <w:numId w:val="0"/>
        </w:numPr>
        <w:rPr>
          <w:rFonts w:ascii="Century" w:hAnsi="Century"/>
          <w:sz w:val="22"/>
          <w:rtl/>
        </w:rPr>
      </w:pPr>
      <w:r w:rsidRPr="006D5DD9">
        <w:rPr>
          <w:rtl/>
        </w:rPr>
        <w:tab/>
      </w:r>
      <w:r w:rsidRPr="006D5DD9">
        <w:rPr>
          <w:rFonts w:hint="cs"/>
          <w:rtl/>
        </w:rPr>
        <w:t xml:space="preserve">הלכת </w:t>
      </w:r>
      <w:r w:rsidRPr="006D5DD9">
        <w:rPr>
          <w:rFonts w:ascii="Century" w:hAnsi="Century" w:cs="Miriam" w:hint="cs"/>
          <w:b/>
          <w:spacing w:val="0"/>
          <w:sz w:val="22"/>
          <w:szCs w:val="24"/>
          <w:rtl/>
        </w:rPr>
        <w:t xml:space="preserve">וייס </w:t>
      </w:r>
      <w:r w:rsidRPr="006D5DD9">
        <w:rPr>
          <w:rFonts w:ascii="Century" w:hAnsi="Century" w:hint="cs"/>
          <w:sz w:val="22"/>
          <w:rtl/>
        </w:rPr>
        <w:t xml:space="preserve">קובעת כי על ממשלת מעבר לשקול, לצד שיקוליה האחרים בקבלת החלטה, גם את עצם היותה ממשלת מעבר </w:t>
      </w:r>
      <w:r w:rsidRPr="006D5DD9">
        <w:rPr>
          <w:rFonts w:ascii="Century" w:hAnsi="Century"/>
          <w:sz w:val="22"/>
          <w:rtl/>
        </w:rPr>
        <w:t>–</w:t>
      </w:r>
      <w:r w:rsidRPr="006D5DD9">
        <w:rPr>
          <w:rFonts w:ascii="Century" w:hAnsi="Century" w:hint="cs"/>
          <w:sz w:val="22"/>
          <w:rtl/>
        </w:rPr>
        <w:t xml:space="preserve"> את חובתה לפעול בריסון ובאיפוק כממשלה שאינה זוכה עוד לאמון הכנסת לצד חובתה בהבטחת יציבות והמשכיות. הנה כי כן</w:t>
      </w:r>
      <w:r>
        <w:rPr>
          <w:rFonts w:ascii="Century" w:hAnsi="Century" w:hint="cs"/>
          <w:sz w:val="22"/>
          <w:rtl/>
        </w:rPr>
        <w:t>,</w:t>
      </w:r>
      <w:r w:rsidRPr="006D5DD9">
        <w:rPr>
          <w:rFonts w:ascii="Century" w:hAnsi="Century" w:hint="cs"/>
          <w:sz w:val="22"/>
          <w:rtl/>
        </w:rPr>
        <w:t xml:space="preserve"> המגבלות על פעילותן של ממשלות מעבר אין מקורן ב"סבירות של מופרכות", והן גם לא נשענות על חובות אחרות מהמשפט המינהלי. </w:t>
      </w:r>
      <w:r w:rsidRPr="006D5DD9">
        <w:rPr>
          <w:rFonts w:hint="cs"/>
          <w:rtl/>
        </w:rPr>
        <w:t>על</w:t>
      </w:r>
      <w:r>
        <w:rPr>
          <w:rFonts w:hint="cs"/>
          <w:rtl/>
        </w:rPr>
        <w:t xml:space="preserve"> בסיסה של</w:t>
      </w:r>
      <w:r w:rsidRPr="006D5DD9">
        <w:rPr>
          <w:rFonts w:hint="cs"/>
          <w:rtl/>
        </w:rPr>
        <w:t xml:space="preserve"> הלכת </w:t>
      </w:r>
      <w:r w:rsidRPr="006D5DD9">
        <w:rPr>
          <w:rFonts w:ascii="Century" w:hAnsi="Century" w:cs="Miriam" w:hint="cs"/>
          <w:b/>
          <w:spacing w:val="0"/>
          <w:sz w:val="22"/>
          <w:szCs w:val="24"/>
          <w:rtl/>
        </w:rPr>
        <w:t>וייס</w:t>
      </w:r>
      <w:r w:rsidRPr="006D5DD9">
        <w:rPr>
          <w:rFonts w:ascii="Century" w:hAnsi="Century" w:hint="cs"/>
          <w:sz w:val="22"/>
          <w:rtl/>
        </w:rPr>
        <w:t xml:space="preserve"> נבנה גוף פסיקה שעניינו סמכויות ממשלות מעבר</w:t>
      </w:r>
      <w:r>
        <w:rPr>
          <w:rFonts w:ascii="Century" w:hAnsi="Century" w:hint="cs"/>
          <w:sz w:val="22"/>
          <w:rtl/>
        </w:rPr>
        <w:t>,</w:t>
      </w:r>
      <w:r w:rsidRPr="006D5DD9">
        <w:rPr>
          <w:rFonts w:ascii="Century" w:hAnsi="Century" w:hint="cs"/>
          <w:sz w:val="22"/>
          <w:rtl/>
        </w:rPr>
        <w:t xml:space="preserve"> כמו גם </w:t>
      </w:r>
      <w:r>
        <w:rPr>
          <w:rFonts w:ascii="Century" w:hAnsi="Century" w:hint="cs"/>
          <w:sz w:val="22"/>
          <w:rtl/>
        </w:rPr>
        <w:t xml:space="preserve">מכלול של </w:t>
      </w:r>
      <w:r w:rsidRPr="006D5DD9">
        <w:rPr>
          <w:rFonts w:ascii="Century" w:hAnsi="Century" w:hint="cs"/>
          <w:sz w:val="22"/>
          <w:rtl/>
        </w:rPr>
        <w:t>הנחיות ועמדות מטעם היועץ המשפטי לממשלה בסוגיות אלו</w:t>
      </w:r>
      <w:r>
        <w:rPr>
          <w:rFonts w:ascii="Century" w:hAnsi="Century" w:hint="cs"/>
          <w:sz w:val="22"/>
          <w:rtl/>
        </w:rPr>
        <w:t xml:space="preserve"> (</w:t>
      </w:r>
      <w:r w:rsidRPr="006D5DD9">
        <w:rPr>
          <w:rFonts w:ascii="Century" w:hAnsi="Century" w:hint="cs"/>
          <w:sz w:val="22"/>
          <w:rtl/>
        </w:rPr>
        <w:t xml:space="preserve">וראו למשל: בג"ץ 2453/06 </w:t>
      </w:r>
      <w:r w:rsidRPr="006D5DD9">
        <w:rPr>
          <w:rFonts w:ascii="Century" w:hAnsi="Century" w:cs="Miriam" w:hint="cs"/>
          <w:b/>
          <w:spacing w:val="0"/>
          <w:sz w:val="22"/>
          <w:szCs w:val="24"/>
          <w:rtl/>
        </w:rPr>
        <w:t xml:space="preserve">ההסתדרות הרפואית </w:t>
      </w:r>
      <w:r w:rsidRPr="006D5DD9">
        <w:rPr>
          <w:rFonts w:ascii="Century" w:hAnsi="Century" w:cs="Miriam" w:hint="cs"/>
          <w:b/>
          <w:spacing w:val="0"/>
          <w:sz w:val="22"/>
          <w:szCs w:val="24"/>
          <w:rtl/>
        </w:rPr>
        <w:lastRenderedPageBreak/>
        <w:t>בישראל נ' היועץ המשפטי לממשלה</w:t>
      </w:r>
      <w:r w:rsidRPr="006D5DD9">
        <w:rPr>
          <w:rFonts w:ascii="Century" w:hAnsi="Century" w:hint="cs"/>
          <w:sz w:val="22"/>
          <w:rtl/>
        </w:rPr>
        <w:t xml:space="preserve"> (21.3.2006);</w:t>
      </w:r>
      <w:r w:rsidRPr="006D5DD9">
        <w:rPr>
          <w:rFonts w:ascii="Century" w:hAnsi="Century" w:cs="Miriam" w:hint="cs"/>
          <w:b/>
          <w:spacing w:val="0"/>
          <w:sz w:val="22"/>
          <w:szCs w:val="24"/>
          <w:rtl/>
        </w:rPr>
        <w:t xml:space="preserve"> </w:t>
      </w:r>
      <w:r w:rsidRPr="006D5DD9">
        <w:rPr>
          <w:rFonts w:ascii="Century" w:hAnsi="Century" w:hint="cs"/>
          <w:sz w:val="22"/>
          <w:rtl/>
        </w:rPr>
        <w:t xml:space="preserve">בג"ץ 8815/05 </w:t>
      </w:r>
      <w:r w:rsidRPr="006D5DD9">
        <w:rPr>
          <w:rFonts w:ascii="Century" w:hAnsi="Century" w:cs="Miriam" w:hint="cs"/>
          <w:b/>
          <w:spacing w:val="0"/>
          <w:sz w:val="22"/>
          <w:szCs w:val="24"/>
          <w:rtl/>
        </w:rPr>
        <w:t>לנדשטיין נ' שפיגלר</w:t>
      </w:r>
      <w:r w:rsidRPr="006D5DD9">
        <w:rPr>
          <w:rFonts w:ascii="Century" w:hAnsi="Century" w:hint="cs"/>
          <w:sz w:val="22"/>
          <w:rtl/>
        </w:rPr>
        <w:t xml:space="preserve"> (26.12.2005); הנחיית היועץ המשפטי לממשלה 1.1501 "מינויים בתקופת בחירות" (2019); כן ראו מהעת האחרונה: בג"ץ 6654/22 </w:t>
      </w:r>
      <w:r w:rsidRPr="006D5DD9">
        <w:rPr>
          <w:rFonts w:ascii="Century" w:hAnsi="Century" w:cs="Miriam" w:hint="cs"/>
          <w:b/>
          <w:spacing w:val="0"/>
          <w:sz w:val="22"/>
          <w:szCs w:val="24"/>
          <w:rtl/>
        </w:rPr>
        <w:t>פורום קהלת נ' ראש הממשלה</w:t>
      </w:r>
      <w:r w:rsidRPr="006D5DD9">
        <w:rPr>
          <w:rFonts w:ascii="Century" w:hAnsi="Century" w:hint="cs"/>
          <w:sz w:val="22"/>
          <w:rtl/>
        </w:rPr>
        <w:t xml:space="preserve"> (13.12.2022) (להלן: עניין </w:t>
      </w:r>
      <w:r w:rsidRPr="006D5DD9">
        <w:rPr>
          <w:rFonts w:ascii="Century" w:hAnsi="Century" w:cs="Miriam" w:hint="cs"/>
          <w:b/>
          <w:spacing w:val="0"/>
          <w:sz w:val="22"/>
          <w:szCs w:val="24"/>
          <w:rtl/>
        </w:rPr>
        <w:t>פורום קהלת</w:t>
      </w:r>
      <w:r w:rsidRPr="006D5DD9">
        <w:rPr>
          <w:rFonts w:ascii="Century" w:hAnsi="Century" w:hint="cs"/>
          <w:sz w:val="22"/>
          <w:rtl/>
        </w:rPr>
        <w:t xml:space="preserve">); בג"ץ 5403/22 </w:t>
      </w:r>
      <w:r w:rsidRPr="006D5DD9">
        <w:rPr>
          <w:rFonts w:ascii="Century" w:hAnsi="Century" w:cs="Miriam" w:hint="cs"/>
          <w:b/>
          <w:spacing w:val="0"/>
          <w:sz w:val="22"/>
          <w:szCs w:val="24"/>
          <w:rtl/>
        </w:rPr>
        <w:t xml:space="preserve">לביא, זכויות אזרח, מינהל תקין ועידוד התיישבות נ' ראש הממשלה </w:t>
      </w:r>
      <w:r w:rsidRPr="006D5DD9">
        <w:rPr>
          <w:rFonts w:ascii="Century" w:hAnsi="Century" w:hint="cs"/>
          <w:sz w:val="22"/>
          <w:rtl/>
        </w:rPr>
        <w:t xml:space="preserve">(22.9.2022)). בחינת פסיקת בית משפט זה, לרבות </w:t>
      </w:r>
      <w:r>
        <w:rPr>
          <w:rFonts w:ascii="Century" w:hAnsi="Century" w:hint="cs"/>
          <w:sz w:val="22"/>
          <w:rtl/>
        </w:rPr>
        <w:t>מן ה</w:t>
      </w:r>
      <w:r w:rsidRPr="006D5DD9">
        <w:rPr>
          <w:rFonts w:ascii="Century" w:hAnsi="Century" w:hint="cs"/>
          <w:sz w:val="22"/>
          <w:rtl/>
        </w:rPr>
        <w:t xml:space="preserve">שנים האחרונות, בתחום המגבלות שחלות על ממשלות מעבר מלמדת כי היא מסתמכת כל כולה על הלכת </w:t>
      </w:r>
      <w:r w:rsidRPr="006D5DD9">
        <w:rPr>
          <w:rFonts w:ascii="Century" w:hAnsi="Century" w:cs="Miriam" w:hint="cs"/>
          <w:b/>
          <w:spacing w:val="0"/>
          <w:sz w:val="22"/>
          <w:szCs w:val="24"/>
          <w:rtl/>
        </w:rPr>
        <w:t>וייס</w:t>
      </w:r>
      <w:r w:rsidRPr="006D5DD9">
        <w:rPr>
          <w:rFonts w:ascii="Century" w:hAnsi="Century" w:hint="cs"/>
          <w:sz w:val="22"/>
          <w:rtl/>
        </w:rPr>
        <w:t xml:space="preserve"> ועל הסבירות האיזונית </w:t>
      </w:r>
      <w:r w:rsidRPr="006D5DD9">
        <w:rPr>
          <w:rFonts w:ascii="Century" w:hAnsi="Century"/>
          <w:sz w:val="22"/>
          <w:rtl/>
        </w:rPr>
        <w:t>–</w:t>
      </w:r>
      <w:r w:rsidRPr="006D5DD9">
        <w:rPr>
          <w:rFonts w:ascii="Century" w:hAnsi="Century" w:hint="cs"/>
          <w:sz w:val="22"/>
          <w:rtl/>
        </w:rPr>
        <w:t xml:space="preserve"> בין אם הדבר צוין במפורש, בין אם לאו. </w:t>
      </w:r>
    </w:p>
    <w:p w:rsidR="00CB3B01" w:rsidRPr="006D5DD9" w:rsidRDefault="00CB3B01" w:rsidP="00CB3B01">
      <w:pPr>
        <w:pStyle w:val="Ruller41"/>
        <w:rPr>
          <w:rtl/>
        </w:rPr>
      </w:pPr>
    </w:p>
    <w:p w:rsidR="00CB3B01" w:rsidRPr="006D5DD9" w:rsidRDefault="00CB3B01" w:rsidP="00CB3B01">
      <w:pPr>
        <w:pStyle w:val="Ruller41"/>
        <w:rPr>
          <w:rtl/>
        </w:rPr>
      </w:pPr>
      <w:r w:rsidRPr="006D5DD9">
        <w:rPr>
          <w:rtl/>
        </w:rPr>
        <w:tab/>
      </w:r>
      <w:r w:rsidRPr="006D5DD9">
        <w:rPr>
          <w:rFonts w:hint="cs"/>
          <w:rtl/>
        </w:rPr>
        <w:t>איני סבור כי יש בכוחן של עילות אחרות של המשפט המינהלי במתכונתו הנוכחית, ובראשן עילת השיקולים הזרים (שעליה למשל הצביעה הכנסת כעילה חלופית) כדי למתן באופן מספק את הפגיעה שתיגרם עקב ביטול הסבירות האיזונית</w:t>
      </w:r>
      <w:r>
        <w:rPr>
          <w:rFonts w:hint="cs"/>
          <w:rtl/>
        </w:rPr>
        <w:t xml:space="preserve"> בהקשר זה</w:t>
      </w:r>
      <w:r w:rsidRPr="006D5DD9">
        <w:rPr>
          <w:rFonts w:hint="cs"/>
          <w:rtl/>
        </w:rPr>
        <w:t xml:space="preserve">. במקרים רבים, אין מדובר בממשלה שקיבלה החלטה מתוך שיקול זר. </w:t>
      </w:r>
      <w:r>
        <w:rPr>
          <w:rFonts w:hint="cs"/>
          <w:rtl/>
        </w:rPr>
        <w:t xml:space="preserve">נדמה כי המקרה </w:t>
      </w:r>
      <w:r w:rsidRPr="006D5DD9">
        <w:rPr>
          <w:rFonts w:hint="cs"/>
          <w:rtl/>
        </w:rPr>
        <w:t>הפרדיגמטי</w:t>
      </w:r>
      <w:r>
        <w:rPr>
          <w:rFonts w:hint="cs"/>
          <w:rtl/>
        </w:rPr>
        <w:t xml:space="preserve"> הוא מקרה שבו במסגרת ההחלטה שקיבלה הממשלה לא ניתן משקל מספק </w:t>
      </w:r>
      <w:r w:rsidRPr="006D5DD9">
        <w:rPr>
          <w:rFonts w:hint="cs"/>
          <w:rtl/>
        </w:rPr>
        <w:t xml:space="preserve">לריסון </w:t>
      </w:r>
      <w:r>
        <w:rPr>
          <w:rFonts w:hint="cs"/>
          <w:rtl/>
        </w:rPr>
        <w:t>ה</w:t>
      </w:r>
      <w:r w:rsidRPr="006D5DD9">
        <w:rPr>
          <w:rFonts w:hint="cs"/>
          <w:rtl/>
        </w:rPr>
        <w:t xml:space="preserve">מתחייב מכהונתה כממשלת מעבר. כך לדוגמה </w:t>
      </w:r>
      <w:r>
        <w:rPr>
          <w:rFonts w:hint="cs"/>
          <w:rtl/>
        </w:rPr>
        <w:t xml:space="preserve">נטען </w:t>
      </w:r>
      <w:r w:rsidRPr="006D5DD9">
        <w:rPr>
          <w:rFonts w:hint="cs"/>
          <w:rtl/>
        </w:rPr>
        <w:t xml:space="preserve">ביחס למינויים בתקופת ממשלת מעבר (עניין </w:t>
      </w:r>
      <w:r w:rsidRPr="006D5DD9">
        <w:rPr>
          <w:rFonts w:ascii="Century" w:hAnsi="Century" w:cs="Miriam" w:hint="cs"/>
          <w:b/>
          <w:spacing w:val="0"/>
          <w:szCs w:val="24"/>
          <w:rtl/>
        </w:rPr>
        <w:t>לביא</w:t>
      </w:r>
      <w:r w:rsidRPr="006D5DD9">
        <w:rPr>
          <w:rFonts w:ascii="Century" w:hAnsi="Century" w:hint="cs"/>
          <w:rtl/>
        </w:rPr>
        <w:t xml:space="preserve">; </w:t>
      </w:r>
      <w:r w:rsidRPr="006D5DD9">
        <w:rPr>
          <w:rFonts w:ascii="Century" w:hAnsi="Century" w:hint="eastAsia"/>
          <w:rtl/>
        </w:rPr>
        <w:t>בג</w:t>
      </w:r>
      <w:r w:rsidRPr="006D5DD9">
        <w:rPr>
          <w:rFonts w:ascii="Century" w:hAnsi="Century"/>
          <w:rtl/>
        </w:rPr>
        <w:t>"</w:t>
      </w:r>
      <w:r w:rsidRPr="006D5DD9">
        <w:rPr>
          <w:rFonts w:ascii="Century" w:hAnsi="Century" w:hint="eastAsia"/>
          <w:rtl/>
        </w:rPr>
        <w:t>ץ</w:t>
      </w:r>
      <w:r w:rsidRPr="006D5DD9">
        <w:rPr>
          <w:rFonts w:ascii="Century" w:hAnsi="Century"/>
          <w:rtl/>
        </w:rPr>
        <w:t xml:space="preserve"> 1004/15 </w:t>
      </w:r>
      <w:r w:rsidRPr="006D5DD9">
        <w:rPr>
          <w:rFonts w:ascii="Century" w:hAnsi="Century" w:cs="Miriam" w:hint="eastAsia"/>
          <w:b/>
          <w:spacing w:val="0"/>
          <w:szCs w:val="24"/>
          <w:rtl/>
        </w:rPr>
        <w:t>התנועה</w:t>
      </w:r>
      <w:r w:rsidRPr="006D5DD9">
        <w:rPr>
          <w:rFonts w:ascii="Century" w:hAnsi="Century" w:cs="Miriam"/>
          <w:b/>
          <w:spacing w:val="0"/>
          <w:szCs w:val="24"/>
          <w:rtl/>
        </w:rPr>
        <w:t xml:space="preserve"> </w:t>
      </w:r>
      <w:r w:rsidRPr="006D5DD9">
        <w:rPr>
          <w:rFonts w:ascii="Century" w:hAnsi="Century" w:cs="Miriam" w:hint="eastAsia"/>
          <w:b/>
          <w:spacing w:val="0"/>
          <w:szCs w:val="24"/>
          <w:rtl/>
        </w:rPr>
        <w:t>למשילות</w:t>
      </w:r>
      <w:r w:rsidRPr="006D5DD9">
        <w:rPr>
          <w:rFonts w:ascii="Century" w:hAnsi="Century" w:cs="Miriam"/>
          <w:b/>
          <w:spacing w:val="0"/>
          <w:szCs w:val="24"/>
          <w:rtl/>
        </w:rPr>
        <w:t xml:space="preserve"> </w:t>
      </w:r>
      <w:r w:rsidRPr="006D5DD9">
        <w:rPr>
          <w:rFonts w:ascii="Century" w:hAnsi="Century" w:cs="Miriam" w:hint="eastAsia"/>
          <w:b/>
          <w:spacing w:val="0"/>
          <w:szCs w:val="24"/>
          <w:rtl/>
        </w:rPr>
        <w:t>ודמוקרטיה</w:t>
      </w:r>
      <w:r w:rsidRPr="006D5DD9">
        <w:rPr>
          <w:rFonts w:ascii="Century" w:hAnsi="Century" w:cs="Miriam"/>
          <w:b/>
          <w:spacing w:val="0"/>
          <w:szCs w:val="24"/>
          <w:rtl/>
        </w:rPr>
        <w:t xml:space="preserve"> </w:t>
      </w:r>
      <w:r w:rsidRPr="006D5DD9">
        <w:rPr>
          <w:rFonts w:ascii="Century" w:hAnsi="Century" w:cs="Miriam" w:hint="eastAsia"/>
          <w:b/>
          <w:spacing w:val="0"/>
          <w:szCs w:val="24"/>
          <w:rtl/>
        </w:rPr>
        <w:t>נ</w:t>
      </w:r>
      <w:r w:rsidRPr="006D5DD9">
        <w:rPr>
          <w:rFonts w:ascii="Century" w:hAnsi="Century" w:cs="Miriam"/>
          <w:b/>
          <w:spacing w:val="0"/>
          <w:szCs w:val="24"/>
          <w:rtl/>
        </w:rPr>
        <w:t xml:space="preserve">' </w:t>
      </w:r>
      <w:r w:rsidRPr="006D5DD9">
        <w:rPr>
          <w:rFonts w:ascii="Century" w:hAnsi="Century" w:cs="Miriam" w:hint="eastAsia"/>
          <w:b/>
          <w:spacing w:val="0"/>
          <w:szCs w:val="24"/>
          <w:rtl/>
        </w:rPr>
        <w:t>השר</w:t>
      </w:r>
      <w:r w:rsidRPr="006D5DD9">
        <w:rPr>
          <w:rFonts w:ascii="Century" w:hAnsi="Century" w:cs="Miriam"/>
          <w:b/>
          <w:spacing w:val="0"/>
          <w:szCs w:val="24"/>
          <w:rtl/>
        </w:rPr>
        <w:t xml:space="preserve"> </w:t>
      </w:r>
      <w:r w:rsidRPr="006D5DD9">
        <w:rPr>
          <w:rFonts w:ascii="Century" w:hAnsi="Century" w:cs="Miriam" w:hint="eastAsia"/>
          <w:b/>
          <w:spacing w:val="0"/>
          <w:szCs w:val="24"/>
          <w:rtl/>
        </w:rPr>
        <w:t>לבטחון</w:t>
      </w:r>
      <w:r w:rsidRPr="006D5DD9">
        <w:rPr>
          <w:rFonts w:ascii="Century" w:hAnsi="Century" w:cs="Miriam"/>
          <w:b/>
          <w:spacing w:val="0"/>
          <w:szCs w:val="24"/>
          <w:rtl/>
        </w:rPr>
        <w:t xml:space="preserve"> </w:t>
      </w:r>
      <w:r w:rsidRPr="006D5DD9">
        <w:rPr>
          <w:rFonts w:ascii="Century" w:hAnsi="Century" w:cs="Miriam" w:hint="eastAsia"/>
          <w:b/>
          <w:spacing w:val="0"/>
          <w:szCs w:val="24"/>
          <w:rtl/>
        </w:rPr>
        <w:t>פנים</w:t>
      </w:r>
      <w:r w:rsidRPr="006D5DD9">
        <w:rPr>
          <w:rFonts w:ascii="Century" w:hAnsi="Century"/>
          <w:rtl/>
        </w:rPr>
        <w:t xml:space="preserve"> (1.4.2015)</w:t>
      </w:r>
      <w:r w:rsidRPr="006D5DD9">
        <w:rPr>
          <w:rFonts w:hint="cs"/>
          <w:rtl/>
        </w:rPr>
        <w:t xml:space="preserve">; </w:t>
      </w:r>
      <w:r w:rsidRPr="006D5DD9">
        <w:rPr>
          <w:rFonts w:hint="eastAsia"/>
          <w:rtl/>
        </w:rPr>
        <w:t>בג</w:t>
      </w:r>
      <w:r w:rsidRPr="006D5DD9">
        <w:rPr>
          <w:rtl/>
        </w:rPr>
        <w:t>"</w:t>
      </w:r>
      <w:r w:rsidRPr="006D5DD9">
        <w:rPr>
          <w:rFonts w:hint="eastAsia"/>
          <w:rtl/>
        </w:rPr>
        <w:t>ץ</w:t>
      </w:r>
      <w:r w:rsidRPr="006D5DD9">
        <w:rPr>
          <w:rtl/>
        </w:rPr>
        <w:t xml:space="preserve"> 4065/09 </w:t>
      </w:r>
      <w:r w:rsidRPr="006D5DD9">
        <w:rPr>
          <w:rFonts w:ascii="Century" w:hAnsi="Century" w:cs="Miriam" w:hint="eastAsia"/>
          <w:b/>
          <w:spacing w:val="0"/>
          <w:szCs w:val="24"/>
          <w:rtl/>
        </w:rPr>
        <w:t>כהן</w:t>
      </w:r>
      <w:r w:rsidRPr="006D5DD9">
        <w:rPr>
          <w:rFonts w:ascii="Century" w:hAnsi="Century" w:cs="Miriam"/>
          <w:b/>
          <w:spacing w:val="0"/>
          <w:szCs w:val="24"/>
          <w:rtl/>
        </w:rPr>
        <w:t xml:space="preserve"> </w:t>
      </w:r>
      <w:r w:rsidRPr="006D5DD9">
        <w:rPr>
          <w:rFonts w:ascii="Century" w:hAnsi="Century" w:cs="Miriam" w:hint="eastAsia"/>
          <w:b/>
          <w:spacing w:val="0"/>
          <w:szCs w:val="24"/>
          <w:rtl/>
        </w:rPr>
        <w:t>נ</w:t>
      </w:r>
      <w:r w:rsidRPr="006D5DD9">
        <w:rPr>
          <w:rFonts w:ascii="Century" w:hAnsi="Century" w:cs="Miriam"/>
          <w:b/>
          <w:spacing w:val="0"/>
          <w:szCs w:val="24"/>
          <w:rtl/>
        </w:rPr>
        <w:t xml:space="preserve">' </w:t>
      </w:r>
      <w:r w:rsidRPr="006D5DD9">
        <w:rPr>
          <w:rFonts w:ascii="Century" w:hAnsi="Century" w:cs="Miriam" w:hint="eastAsia"/>
          <w:b/>
          <w:spacing w:val="0"/>
          <w:szCs w:val="24"/>
          <w:rtl/>
        </w:rPr>
        <w:t>שר</w:t>
      </w:r>
      <w:r w:rsidRPr="006D5DD9">
        <w:rPr>
          <w:rFonts w:ascii="Century" w:hAnsi="Century" w:cs="Miriam"/>
          <w:b/>
          <w:spacing w:val="0"/>
          <w:szCs w:val="24"/>
          <w:rtl/>
        </w:rPr>
        <w:t xml:space="preserve"> </w:t>
      </w:r>
      <w:r w:rsidRPr="006D5DD9">
        <w:rPr>
          <w:rFonts w:ascii="Century" w:hAnsi="Century" w:cs="Miriam" w:hint="eastAsia"/>
          <w:b/>
          <w:spacing w:val="0"/>
          <w:szCs w:val="24"/>
          <w:rtl/>
        </w:rPr>
        <w:t>הפנים</w:t>
      </w:r>
      <w:r w:rsidRPr="006D5DD9">
        <w:rPr>
          <w:rtl/>
        </w:rPr>
        <w:t xml:space="preserve"> (20.7.2010)</w:t>
      </w:r>
      <w:r w:rsidRPr="006D5DD9">
        <w:rPr>
          <w:rFonts w:hint="cs"/>
          <w:rtl/>
        </w:rPr>
        <w:t xml:space="preserve">); וביחס לניהול משא ומתן או חתימה על הסכמים בתקופת ממשלת מעבר (עניין </w:t>
      </w:r>
      <w:r w:rsidRPr="006D5DD9">
        <w:rPr>
          <w:rFonts w:ascii="Century" w:hAnsi="Century" w:cs="Miriam" w:hint="cs"/>
          <w:b/>
          <w:spacing w:val="0"/>
          <w:szCs w:val="24"/>
          <w:rtl/>
        </w:rPr>
        <w:t>פורום קהלת</w:t>
      </w:r>
      <w:r w:rsidRPr="006D5DD9">
        <w:rPr>
          <w:rFonts w:ascii="Century" w:hAnsi="Century" w:hint="cs"/>
          <w:rtl/>
        </w:rPr>
        <w:t xml:space="preserve">; </w:t>
      </w:r>
      <w:r w:rsidRPr="006D5DD9">
        <w:rPr>
          <w:rFonts w:ascii="Century" w:hAnsi="Century" w:hint="eastAsia"/>
          <w:rtl/>
        </w:rPr>
        <w:t>בג</w:t>
      </w:r>
      <w:r w:rsidRPr="006D5DD9">
        <w:rPr>
          <w:rtl/>
        </w:rPr>
        <w:t>"</w:t>
      </w:r>
      <w:r w:rsidRPr="006D5DD9">
        <w:rPr>
          <w:rFonts w:hint="eastAsia"/>
          <w:rtl/>
        </w:rPr>
        <w:t>ץ</w:t>
      </w:r>
      <w:r w:rsidRPr="006D5DD9">
        <w:rPr>
          <w:rtl/>
        </w:rPr>
        <w:t xml:space="preserve"> 9202/08 </w:t>
      </w:r>
      <w:r w:rsidRPr="006D5DD9">
        <w:rPr>
          <w:rFonts w:ascii="Century" w:hAnsi="Century" w:cs="Miriam" w:hint="eastAsia"/>
          <w:b/>
          <w:spacing w:val="0"/>
          <w:szCs w:val="24"/>
          <w:rtl/>
        </w:rPr>
        <w:t>לבנת</w:t>
      </w:r>
      <w:r w:rsidRPr="006D5DD9">
        <w:rPr>
          <w:rFonts w:ascii="Century" w:hAnsi="Century" w:cs="Miriam"/>
          <w:b/>
          <w:spacing w:val="0"/>
          <w:szCs w:val="24"/>
          <w:rtl/>
        </w:rPr>
        <w:t xml:space="preserve"> </w:t>
      </w:r>
      <w:r w:rsidRPr="006D5DD9">
        <w:rPr>
          <w:rFonts w:ascii="Century" w:hAnsi="Century" w:cs="Miriam" w:hint="eastAsia"/>
          <w:b/>
          <w:spacing w:val="0"/>
          <w:szCs w:val="24"/>
          <w:rtl/>
        </w:rPr>
        <w:t>נ</w:t>
      </w:r>
      <w:r w:rsidRPr="006D5DD9">
        <w:rPr>
          <w:rFonts w:ascii="Century" w:hAnsi="Century" w:cs="Miriam"/>
          <w:b/>
          <w:spacing w:val="0"/>
          <w:szCs w:val="24"/>
          <w:rtl/>
        </w:rPr>
        <w:t xml:space="preserve">' </w:t>
      </w:r>
      <w:r w:rsidRPr="006D5DD9">
        <w:rPr>
          <w:rFonts w:ascii="Century" w:hAnsi="Century" w:cs="Miriam" w:hint="eastAsia"/>
          <w:b/>
          <w:spacing w:val="0"/>
          <w:szCs w:val="24"/>
          <w:rtl/>
        </w:rPr>
        <w:t>ראש</w:t>
      </w:r>
      <w:r w:rsidRPr="006D5DD9">
        <w:rPr>
          <w:rFonts w:ascii="Century" w:hAnsi="Century" w:cs="Miriam"/>
          <w:b/>
          <w:spacing w:val="0"/>
          <w:szCs w:val="24"/>
          <w:rtl/>
        </w:rPr>
        <w:t xml:space="preserve"> </w:t>
      </w:r>
      <w:r w:rsidRPr="006D5DD9">
        <w:rPr>
          <w:rFonts w:ascii="Century" w:hAnsi="Century" w:cs="Miriam" w:hint="eastAsia"/>
          <w:b/>
          <w:spacing w:val="0"/>
          <w:szCs w:val="24"/>
          <w:rtl/>
        </w:rPr>
        <w:t>הממשלה</w:t>
      </w:r>
      <w:r w:rsidRPr="006D5DD9">
        <w:rPr>
          <w:rFonts w:hint="cs"/>
          <w:rtl/>
        </w:rPr>
        <w:t xml:space="preserve"> </w:t>
      </w:r>
      <w:r w:rsidRPr="006D5DD9">
        <w:rPr>
          <w:rtl/>
        </w:rPr>
        <w:t>(4.12.2008)</w:t>
      </w:r>
      <w:r w:rsidRPr="006D5DD9">
        <w:rPr>
          <w:rFonts w:hint="cs"/>
          <w:rtl/>
        </w:rPr>
        <w:t xml:space="preserve">; עניין </w:t>
      </w:r>
      <w:r w:rsidRPr="006D5DD9">
        <w:rPr>
          <w:rFonts w:ascii="Century" w:hAnsi="Century" w:cs="Miriam" w:hint="cs"/>
          <w:b/>
          <w:spacing w:val="0"/>
          <w:szCs w:val="24"/>
          <w:rtl/>
        </w:rPr>
        <w:t>וייס</w:t>
      </w:r>
      <w:r w:rsidRPr="006D5DD9">
        <w:rPr>
          <w:rFonts w:hint="cs"/>
          <w:rtl/>
        </w:rPr>
        <w:t>).</w:t>
      </w:r>
      <w:r>
        <w:rPr>
          <w:rFonts w:hint="cs"/>
          <w:rtl/>
        </w:rPr>
        <w:t xml:space="preserve"> </w:t>
      </w:r>
      <w:r w:rsidRPr="006D5DD9">
        <w:rPr>
          <w:rFonts w:hint="cs"/>
          <w:rtl/>
        </w:rPr>
        <w:t>הפרשנות המצמצמת תותיר אפוא את ממשלות המעבר לפעול</w:t>
      </w:r>
      <w:r>
        <w:rPr>
          <w:rFonts w:hint="cs"/>
          <w:rtl/>
        </w:rPr>
        <w:t xml:space="preserve"> כרצונן, ללא אותן מגבלות</w:t>
      </w:r>
      <w:r w:rsidRPr="006D5DD9">
        <w:rPr>
          <w:rFonts w:hint="cs"/>
          <w:rtl/>
        </w:rPr>
        <w:t xml:space="preserve"> </w:t>
      </w:r>
      <w:r>
        <w:rPr>
          <w:rFonts w:hint="cs"/>
          <w:rtl/>
        </w:rPr>
        <w:t>ה</w:t>
      </w:r>
      <w:r w:rsidRPr="006D5DD9">
        <w:rPr>
          <w:rFonts w:hint="cs"/>
          <w:rtl/>
        </w:rPr>
        <w:t xml:space="preserve">מתחייבות מכך שאין מדובר עוד בממשלה שנהנית מאמון הכנסת. </w:t>
      </w:r>
    </w:p>
    <w:p w:rsidR="00CB3B01" w:rsidRPr="006D5DD9" w:rsidRDefault="00CB3B01" w:rsidP="00CB3B01">
      <w:pPr>
        <w:pStyle w:val="Ruller41"/>
        <w:rPr>
          <w:rtl/>
        </w:rPr>
      </w:pPr>
    </w:p>
    <w:p w:rsidR="00CB3B01" w:rsidRPr="006D5DD9" w:rsidRDefault="00CB3B01" w:rsidP="00CB3B01">
      <w:pPr>
        <w:pStyle w:val="Ruller4"/>
      </w:pPr>
      <w:r w:rsidRPr="006D5DD9">
        <w:rPr>
          <w:rFonts w:hint="cs"/>
          <w:rtl/>
        </w:rPr>
        <w:t xml:space="preserve">תחום </w:t>
      </w:r>
      <w:r>
        <w:rPr>
          <w:rFonts w:hint="cs"/>
          <w:rtl/>
        </w:rPr>
        <w:t>אחר</w:t>
      </w:r>
      <w:r w:rsidRPr="006D5DD9">
        <w:rPr>
          <w:rFonts w:hint="cs"/>
          <w:rtl/>
        </w:rPr>
        <w:t xml:space="preserve"> שיוותר בו "חור שחור" נורמטיבי, אף בהינתן הפרשנות המצמצמת, הוא החלטות פרטניות שמגלמות פגיעה באינטרס </w:t>
      </w:r>
      <w:r w:rsidRPr="006D5DD9">
        <w:rPr>
          <w:rtl/>
        </w:rPr>
        <w:t>–</w:t>
      </w:r>
      <w:r w:rsidRPr="006D5DD9">
        <w:rPr>
          <w:rFonts w:hint="cs"/>
          <w:rtl/>
        </w:rPr>
        <w:t xml:space="preserve"> שלא </w:t>
      </w:r>
      <w:r>
        <w:rPr>
          <w:rFonts w:hint="cs"/>
          <w:rtl/>
        </w:rPr>
        <w:t>עולה</w:t>
      </w:r>
      <w:r w:rsidRPr="006D5DD9">
        <w:rPr>
          <w:rFonts w:hint="cs"/>
          <w:rtl/>
        </w:rPr>
        <w:t xml:space="preserve"> כדי פגיעה בזכות. בניגוד לתפיסה </w:t>
      </w:r>
      <w:r>
        <w:rPr>
          <w:rFonts w:hint="cs"/>
          <w:rtl/>
        </w:rPr>
        <w:t>הרווחת</w:t>
      </w:r>
      <w:r w:rsidRPr="006D5DD9">
        <w:rPr>
          <w:rFonts w:hint="cs"/>
          <w:rtl/>
        </w:rPr>
        <w:t xml:space="preserve"> שלפיה החלטות שרים הן ככלל החלטות רוחביות שמשקפות מדיניות, הרי שלמעשה שרי הממשלה מקבלים מדי יום החלטות רבות שהן יישומיות ואינדיווידואליות (ראו למשל פסקה 144 לחוות דעתה של הנשיאה (בדימ') </w:t>
      </w:r>
      <w:r w:rsidRPr="006D5DD9">
        <w:rPr>
          <w:rFonts w:ascii="Century" w:hAnsi="Century" w:cs="Miriam" w:hint="cs"/>
          <w:b/>
          <w:spacing w:val="0"/>
          <w:sz w:val="22"/>
          <w:szCs w:val="24"/>
          <w:rtl/>
        </w:rPr>
        <w:t>חיות</w:t>
      </w:r>
      <w:r w:rsidRPr="006D5DD9">
        <w:rPr>
          <w:rFonts w:hint="cs"/>
          <w:rtl/>
        </w:rPr>
        <w:t xml:space="preserve">). פעמים רבות, החלטות מעין אלו הן משמעותיות ביותר לפרט, וביחס אליהן עילת הסבירות האיזונית היא כלי הביקורת השיפוטית המרכזי. בין היתר, ניתן להדגים זאת בפסק הדין שעניינו בסירוב שר הביטחון לשינוי כיתוב על המצבות הצבאיות שהוקמו על קברי החללים מאסון המסוקים (בג"ץ 6069/00 </w:t>
      </w:r>
      <w:r w:rsidRPr="006D5DD9">
        <w:rPr>
          <w:rFonts w:ascii="Century" w:hAnsi="Century" w:cs="Miriam" w:hint="cs"/>
          <w:b/>
          <w:spacing w:val="0"/>
          <w:sz w:val="22"/>
          <w:szCs w:val="24"/>
          <w:rtl/>
        </w:rPr>
        <w:t>העמותה להנצחת חללי אסון המסוקים בשאר ישוב נ' שר הביטחון</w:t>
      </w:r>
      <w:r w:rsidRPr="006D5DD9">
        <w:rPr>
          <w:rFonts w:ascii="Century" w:hAnsi="Century" w:hint="cs"/>
          <w:sz w:val="22"/>
          <w:rtl/>
        </w:rPr>
        <w:t>, פ"ד נה(4) 75 (2001)</w:t>
      </w:r>
      <w:r w:rsidRPr="006D5DD9">
        <w:rPr>
          <w:rFonts w:hint="cs"/>
          <w:rtl/>
        </w:rPr>
        <w:t xml:space="preserve">); ובפסק דין שעסק בזכאות לקבל תמריץ כלכלי (בג"ץ 1829/93 </w:t>
      </w:r>
      <w:r w:rsidRPr="006D5DD9">
        <w:rPr>
          <w:rFonts w:ascii="Century" w:hAnsi="Century" w:cs="Miriam" w:hint="cs"/>
          <w:b/>
          <w:spacing w:val="0"/>
          <w:sz w:val="22"/>
          <w:szCs w:val="24"/>
          <w:rtl/>
        </w:rPr>
        <w:t>חברת הנסיעות והתיירות נצרת בע"מ נ' שר האוצר</w:t>
      </w:r>
      <w:r w:rsidRPr="006D5DD9">
        <w:rPr>
          <w:rFonts w:ascii="Century" w:hAnsi="Century" w:hint="cs"/>
          <w:sz w:val="22"/>
          <w:rtl/>
        </w:rPr>
        <w:t>, פ"ד מח(4) 42 (1994)</w:t>
      </w:r>
      <w:r w:rsidRPr="006D5DD9">
        <w:rPr>
          <w:rFonts w:hint="cs"/>
          <w:rtl/>
        </w:rPr>
        <w:t xml:space="preserve">). עילת המידתיות, שאוזכרה לא אחת כעילה חלופית ב"יום שאחרי עילת </w:t>
      </w:r>
      <w:r w:rsidRPr="006D5DD9">
        <w:rPr>
          <w:rFonts w:hint="cs"/>
          <w:rtl/>
        </w:rPr>
        <w:lastRenderedPageBreak/>
        <w:t>הסבירות", אינה יכולה לספק</w:t>
      </w:r>
      <w:r>
        <w:rPr>
          <w:rFonts w:hint="cs"/>
          <w:rtl/>
        </w:rPr>
        <w:t>,</w:t>
      </w:r>
      <w:r w:rsidRPr="006D5DD9">
        <w:rPr>
          <w:rFonts w:hint="cs"/>
          <w:rtl/>
        </w:rPr>
        <w:t xml:space="preserve"> בתצורתה הנוכחית</w:t>
      </w:r>
      <w:r>
        <w:rPr>
          <w:rFonts w:hint="cs"/>
          <w:rtl/>
        </w:rPr>
        <w:t>,</w:t>
      </w:r>
      <w:r w:rsidRPr="006D5DD9">
        <w:rPr>
          <w:rFonts w:hint="cs"/>
          <w:rtl/>
        </w:rPr>
        <w:t xml:space="preserve"> תחליף </w:t>
      </w:r>
      <w:r>
        <w:rPr>
          <w:rFonts w:hint="cs"/>
          <w:rtl/>
        </w:rPr>
        <w:t xml:space="preserve">הולם </w:t>
      </w:r>
      <w:r w:rsidRPr="006D5DD9">
        <w:rPr>
          <w:rFonts w:hint="cs"/>
          <w:rtl/>
        </w:rPr>
        <w:t xml:space="preserve">באותם המקרים שבהם לא ניתן להצביע בהכרח על זכות מוקנית שנפגעה. </w:t>
      </w:r>
      <w:r>
        <w:rPr>
          <w:rFonts w:hint="cs"/>
          <w:rtl/>
        </w:rPr>
        <w:t>הגבלת הביקורת השיפוטית ל</w:t>
      </w:r>
      <w:r w:rsidRPr="006D5DD9">
        <w:rPr>
          <w:rFonts w:hint="cs"/>
          <w:rtl/>
        </w:rPr>
        <w:t>סבירות "המקורית" תותיר</w:t>
      </w:r>
      <w:r>
        <w:rPr>
          <w:rFonts w:hint="cs"/>
          <w:rtl/>
        </w:rPr>
        <w:t xml:space="preserve"> אפוא</w:t>
      </w:r>
      <w:r w:rsidRPr="006D5DD9">
        <w:rPr>
          <w:rFonts w:hint="cs"/>
          <w:rtl/>
        </w:rPr>
        <w:t xml:space="preserve"> במקרים אלה את הפרט ללא אפשרות לקבל סעד.</w:t>
      </w:r>
    </w:p>
    <w:p w:rsidR="00CB3B01" w:rsidRPr="006D5DD9" w:rsidRDefault="00CB3B01" w:rsidP="00CB3B01">
      <w:pPr>
        <w:pStyle w:val="Ruller4"/>
        <w:numPr>
          <w:ilvl w:val="0"/>
          <w:numId w:val="0"/>
        </w:numPr>
        <w:rPr>
          <w:rtl/>
        </w:rPr>
      </w:pPr>
    </w:p>
    <w:p w:rsidR="00CB3B01" w:rsidRPr="006D5DD9" w:rsidRDefault="00CB3B01" w:rsidP="00CB3B01">
      <w:pPr>
        <w:pStyle w:val="Ruller4"/>
        <w:rPr>
          <w:rtl/>
        </w:rPr>
      </w:pPr>
      <w:r w:rsidRPr="006D5DD9">
        <w:rPr>
          <w:rFonts w:hint="cs"/>
          <w:rtl/>
        </w:rPr>
        <w:t xml:space="preserve">כחלק מהמענה לטענה בדבר פגיעה בשלטון החוק בתחומים אלה, נטען לפנינו כי גם אם בית משפט זה לא ידון בחוסר הסבירות, הרי שחובת הסבירות (לרבות הסבירות האיזונית) עודנה בתוקפה ומחייבת את הממשלה ואת שריה (ראו והשוו גם פסקה 76 לחוות דעתה של חברתי השופטת </w:t>
      </w:r>
      <w:r w:rsidRPr="006D5DD9">
        <w:rPr>
          <w:rFonts w:ascii="Century" w:hAnsi="Century" w:cs="Miriam" w:hint="cs"/>
          <w:b/>
          <w:spacing w:val="0"/>
          <w:sz w:val="22"/>
          <w:szCs w:val="24"/>
          <w:rtl/>
        </w:rPr>
        <w:t>וילנר</w:t>
      </w:r>
      <w:r w:rsidRPr="006D5DD9">
        <w:rPr>
          <w:rFonts w:hint="cs"/>
          <w:rtl/>
        </w:rPr>
        <w:t>). בעיני טיעון זה אינו גורע מהפגיעה של תיקון מס' 3 (על פרשנויותיו) בעקרון שלטון החוק (כפי שפירטתי גם בחלקה הראשון של חוות דעתי). קיומה של החובה לפעול בסבירות בלא ערובה מוסדית לאכיפתה</w:t>
      </w:r>
      <w:r>
        <w:rPr>
          <w:rFonts w:hint="cs"/>
          <w:rtl/>
        </w:rPr>
        <w:t>, משול</w:t>
      </w:r>
      <w:r w:rsidRPr="006D5DD9">
        <w:rPr>
          <w:rFonts w:hint="cs"/>
          <w:rtl/>
        </w:rPr>
        <w:t xml:space="preserve"> לביטול חובה זו (ראו גם פסקה 60 לחוות דעתו של השופט</w:t>
      </w:r>
      <w:r w:rsidRPr="006D5DD9">
        <w:rPr>
          <w:rFonts w:ascii="Century" w:hAnsi="Century" w:cs="Miriam" w:hint="cs"/>
          <w:b/>
          <w:spacing w:val="0"/>
          <w:sz w:val="22"/>
          <w:szCs w:val="24"/>
          <w:rtl/>
        </w:rPr>
        <w:t xml:space="preserve"> עמית</w:t>
      </w:r>
      <w:r w:rsidRPr="006D5DD9">
        <w:rPr>
          <w:rFonts w:hint="cs"/>
          <w:rtl/>
        </w:rPr>
        <w:t xml:space="preserve">). עמדנו על כך גם בעבר: </w:t>
      </w:r>
    </w:p>
    <w:p w:rsidR="00CB3B01" w:rsidRPr="006D5DD9" w:rsidRDefault="00CB3B01" w:rsidP="00CB3B01">
      <w:pPr>
        <w:pStyle w:val="Ruller41"/>
        <w:rPr>
          <w:rtl/>
        </w:rPr>
      </w:pPr>
    </w:p>
    <w:p w:rsidR="00CB3B01" w:rsidRPr="006D5DD9" w:rsidRDefault="00CB3B01" w:rsidP="00CB3B01">
      <w:pPr>
        <w:pStyle w:val="Ruller5"/>
        <w:rPr>
          <w:rtl/>
        </w:rPr>
      </w:pPr>
      <w:r w:rsidRPr="006D5DD9">
        <w:rPr>
          <w:rFonts w:hint="cs"/>
          <w:rtl/>
        </w:rPr>
        <w:t xml:space="preserve">"[הביקורת השיפוטית </w:t>
      </w:r>
      <w:r w:rsidRPr="006D5DD9">
        <w:rPr>
          <w:rtl/>
        </w:rPr>
        <w:t>–</w:t>
      </w:r>
      <w:r w:rsidRPr="006D5DD9">
        <w:rPr>
          <w:rFonts w:hint="cs"/>
          <w:rtl/>
        </w:rPr>
        <w:t xml:space="preserve"> ע' פ'] יונקת כוחה מעקרון הפרדת הרשויות ומהצורך להבטיח את חוקיות השלטון [...]. אין כל סיבה, שבית המשפט המינהלי לא יבחן, באמות מידה של חוקיות, את מלוא ההיקף של שיקול הדעת המינהלי, שאם לא כן, יישארו תחומי שיקול-דעת החסינים מביקורת שיפוטית. חסינות זו סופה להוליד אי-קיום החוק, שכן באין דיין אין דין. [...] ביקורת זו חייבת לגעת בכל אחד מהיסודות הקובעים את חוקיות שיקול הדעת [...]. אין מקום להשאיר 'תחומים מתים'" (בג"ץ 680/88 </w:t>
      </w:r>
      <w:r w:rsidRPr="006D5DD9">
        <w:rPr>
          <w:rFonts w:ascii="Century" w:hAnsi="Century" w:cs="Miriam" w:hint="cs"/>
          <w:b/>
          <w:spacing w:val="0"/>
          <w:szCs w:val="24"/>
          <w:rtl/>
        </w:rPr>
        <w:t>שניצר נ' הצנזור הצבאי הראשי</w:t>
      </w:r>
      <w:r w:rsidRPr="006D5DD9">
        <w:rPr>
          <w:rFonts w:ascii="Century" w:hAnsi="Century" w:hint="cs"/>
          <w:rtl/>
        </w:rPr>
        <w:t>, פ"ד מב(4) 617, 639-638 (1989)</w:t>
      </w:r>
      <w:r w:rsidRPr="006D5DD9">
        <w:rPr>
          <w:rFonts w:hint="cs"/>
          <w:rtl/>
        </w:rPr>
        <w:t xml:space="preserve">). </w:t>
      </w:r>
    </w:p>
    <w:p w:rsidR="00CB3B01" w:rsidRPr="006D5DD9" w:rsidRDefault="00CB3B01" w:rsidP="00CB3B01">
      <w:pPr>
        <w:pStyle w:val="Ruller41"/>
        <w:rPr>
          <w:rtl/>
        </w:rPr>
      </w:pPr>
    </w:p>
    <w:p w:rsidR="00CB3B01" w:rsidRPr="006D5DD9" w:rsidRDefault="00CB3B01" w:rsidP="00CB3B01">
      <w:pPr>
        <w:pStyle w:val="Ruller4"/>
        <w:rPr>
          <w:rtl/>
        </w:rPr>
      </w:pPr>
      <w:r w:rsidRPr="006D5DD9">
        <w:rPr>
          <w:rFonts w:hint="cs"/>
          <w:rtl/>
        </w:rPr>
        <w:t xml:space="preserve">לבסוף, אציין שקיים קושי גם בעמדה העקרונית שלפיה אף אם התיקון פוגע פגיעה קשה בעקרונות דמוקרטיים בסיסיים, הרי שבית המשפט יוכל לפתח כלים ודוקטרינות חלופיים להתמודד עם פגיעה זו (ראו גם פסקה 78 לחוות דעתה של השופטת </w:t>
      </w:r>
      <w:r w:rsidRPr="006D5DD9">
        <w:rPr>
          <w:rFonts w:ascii="Century" w:hAnsi="Century" w:cs="Miriam" w:hint="cs"/>
          <w:b/>
          <w:spacing w:val="0"/>
          <w:sz w:val="22"/>
          <w:szCs w:val="24"/>
          <w:rtl/>
        </w:rPr>
        <w:t>וילנר</w:t>
      </w:r>
      <w:r w:rsidRPr="006D5DD9">
        <w:rPr>
          <w:rFonts w:ascii="Century" w:hAnsi="Century" w:hint="cs"/>
          <w:sz w:val="22"/>
          <w:rtl/>
        </w:rPr>
        <w:t xml:space="preserve">; פסקה 48 לחוות דעתה של השופטת </w:t>
      </w:r>
      <w:r>
        <w:rPr>
          <w:rFonts w:ascii="Century" w:hAnsi="Century" w:cs="Miriam" w:hint="cs"/>
          <w:b/>
          <w:spacing w:val="0"/>
          <w:sz w:val="22"/>
          <w:szCs w:val="24"/>
          <w:rtl/>
        </w:rPr>
        <w:t>כנפי-</w:t>
      </w:r>
      <w:r w:rsidRPr="006D5DD9">
        <w:rPr>
          <w:rFonts w:ascii="Century" w:hAnsi="Century" w:cs="Miriam" w:hint="cs"/>
          <w:b/>
          <w:spacing w:val="0"/>
          <w:sz w:val="22"/>
          <w:szCs w:val="24"/>
          <w:rtl/>
        </w:rPr>
        <w:t>שטייניץ</w:t>
      </w:r>
      <w:r w:rsidRPr="006D5DD9">
        <w:rPr>
          <w:rFonts w:hint="cs"/>
          <w:rtl/>
        </w:rPr>
        <w:t xml:space="preserve">). הקושי המרכזי בטיעון זה נעוץ בהנחה כי המכונן מוסמך לפגוע פגיעה אנושה בביקורת השיפוטית, בהפרדת הרשויות ובאיזונים ובבלמים של השיטה. </w:t>
      </w:r>
    </w:p>
    <w:p w:rsidR="00CB3B01" w:rsidRPr="006D5DD9" w:rsidRDefault="00CB3B01" w:rsidP="00CB3B01">
      <w:pPr>
        <w:pStyle w:val="Ruller41"/>
        <w:rPr>
          <w:rtl/>
        </w:rPr>
      </w:pPr>
    </w:p>
    <w:p w:rsidR="00CB3B01" w:rsidRPr="006D5DD9" w:rsidRDefault="00CB3B01" w:rsidP="00CB3B01">
      <w:pPr>
        <w:pStyle w:val="Ruller4"/>
      </w:pPr>
      <w:r w:rsidRPr="006D5DD9">
        <w:rPr>
          <w:rFonts w:hint="cs"/>
          <w:rtl/>
        </w:rPr>
        <w:t xml:space="preserve">הנה כי כן, בתחומים שפורטו לעיל (לצדם של תחומים נוספים שאף בהם הסבירות האיזונית משמשת עילת ביקורת מרכזית), פרשנותו המצמצמת של התיקון מותירה על כנה פגיעה חמורה בשלטון החוק ובהפרדת הרשויות. חלק מחבריי ביקשו להראות שבשיטות משפט אחרות, קיימת עילת סבירות מצומצמת (שדומה לעילת הסבירות "המקורית") </w:t>
      </w:r>
      <w:r w:rsidRPr="006D5DD9">
        <w:rPr>
          <w:rtl/>
        </w:rPr>
        <w:t>–</w:t>
      </w:r>
      <w:r w:rsidRPr="006D5DD9">
        <w:rPr>
          <w:rFonts w:hint="cs"/>
          <w:rtl/>
        </w:rPr>
        <w:t xml:space="preserve"> אך בעיני השוואה זו היא מוקשית שכן היא </w:t>
      </w:r>
      <w:r>
        <w:rPr>
          <w:rFonts w:hint="cs"/>
          <w:rtl/>
        </w:rPr>
        <w:t xml:space="preserve">אינה </w:t>
      </w:r>
      <w:r w:rsidRPr="006D5DD9">
        <w:rPr>
          <w:rFonts w:hint="cs"/>
          <w:rtl/>
        </w:rPr>
        <w:t xml:space="preserve">מתייחסת להקשר הרחב </w:t>
      </w:r>
      <w:r>
        <w:rPr>
          <w:rFonts w:hint="cs"/>
          <w:rtl/>
        </w:rPr>
        <w:t>של מערך</w:t>
      </w:r>
      <w:r w:rsidRPr="006D5DD9">
        <w:rPr>
          <w:rFonts w:hint="cs"/>
          <w:rtl/>
        </w:rPr>
        <w:t xml:space="preserve"> האיזונים והבלמים </w:t>
      </w:r>
      <w:r>
        <w:rPr>
          <w:rFonts w:hint="cs"/>
          <w:rtl/>
        </w:rPr>
        <w:t>הרופף</w:t>
      </w:r>
      <w:r w:rsidRPr="006D5DD9">
        <w:rPr>
          <w:rFonts w:hint="cs"/>
          <w:rtl/>
        </w:rPr>
        <w:t xml:space="preserve"> ממילא בשיטת המשפט הישראלית </w:t>
      </w:r>
      <w:r w:rsidRPr="006D5DD9">
        <w:rPr>
          <w:rFonts w:hint="cs"/>
          <w:rtl/>
        </w:rPr>
        <w:lastRenderedPageBreak/>
        <w:t xml:space="preserve">(ראו גם פסקה 116 לחוות דעתה של הנשיאה (בדימ') </w:t>
      </w:r>
      <w:r w:rsidRPr="006D5DD9">
        <w:rPr>
          <w:rFonts w:ascii="Century" w:hAnsi="Century" w:cs="Miriam" w:hint="cs"/>
          <w:b/>
          <w:spacing w:val="0"/>
          <w:sz w:val="22"/>
          <w:szCs w:val="24"/>
          <w:rtl/>
        </w:rPr>
        <w:t>חיות</w:t>
      </w:r>
      <w:r w:rsidRPr="006D5DD9">
        <w:rPr>
          <w:rFonts w:hint="cs"/>
          <w:rtl/>
        </w:rPr>
        <w:t xml:space="preserve">). במקרה דנן ביקשה הרשות המבצעת </w:t>
      </w:r>
      <w:r w:rsidRPr="006D5DD9">
        <w:rPr>
          <w:rtl/>
        </w:rPr>
        <w:t>–</w:t>
      </w:r>
      <w:r w:rsidRPr="006D5DD9">
        <w:rPr>
          <w:rFonts w:hint="cs"/>
          <w:rtl/>
        </w:rPr>
        <w:t xml:space="preserve"> שממילא כוחה רב והמגבלות עליה מועטות </w:t>
      </w:r>
      <w:r w:rsidRPr="006D5DD9">
        <w:rPr>
          <w:rtl/>
        </w:rPr>
        <w:t>–</w:t>
      </w:r>
      <w:r w:rsidRPr="006D5DD9">
        <w:rPr>
          <w:rFonts w:hint="cs"/>
          <w:rtl/>
        </w:rPr>
        <w:t xml:space="preserve"> לעשות שימוש ברוב הקואליציוני </w:t>
      </w:r>
      <w:r>
        <w:rPr>
          <w:rFonts w:hint="cs"/>
          <w:rtl/>
        </w:rPr>
        <w:t>ש</w:t>
      </w:r>
      <w:r w:rsidRPr="006D5DD9">
        <w:rPr>
          <w:rFonts w:hint="cs"/>
          <w:rtl/>
        </w:rPr>
        <w:t xml:space="preserve">נתון לה כדי להסיר מעליה מנגנון ביקורת. נוכח העדרם של איזונים </w:t>
      </w:r>
      <w:r w:rsidRPr="006D5DD9">
        <w:rPr>
          <w:rFonts w:hint="eastAsia"/>
          <w:rtl/>
        </w:rPr>
        <w:t>ובלמים</w:t>
      </w:r>
      <w:r w:rsidRPr="006D5DD9">
        <w:rPr>
          <w:rFonts w:hint="cs"/>
          <w:rtl/>
        </w:rPr>
        <w:t xml:space="preserve"> משמעותיים אחרים</w:t>
      </w:r>
      <w:r>
        <w:rPr>
          <w:rFonts w:hint="cs"/>
          <w:rtl/>
        </w:rPr>
        <w:t xml:space="preserve"> בשיטתנו</w:t>
      </w:r>
      <w:r w:rsidRPr="006D5DD9">
        <w:rPr>
          <w:rtl/>
        </w:rPr>
        <w:t xml:space="preserve">, </w:t>
      </w:r>
      <w:r w:rsidRPr="006D5DD9">
        <w:rPr>
          <w:rFonts w:hint="eastAsia"/>
          <w:rtl/>
        </w:rPr>
        <w:t>ובשים</w:t>
      </w:r>
      <w:r w:rsidRPr="006D5DD9">
        <w:rPr>
          <w:rtl/>
        </w:rPr>
        <w:t xml:space="preserve"> </w:t>
      </w:r>
      <w:r w:rsidRPr="006D5DD9">
        <w:rPr>
          <w:rFonts w:hint="eastAsia"/>
          <w:rtl/>
        </w:rPr>
        <w:t>לב</w:t>
      </w:r>
      <w:r w:rsidRPr="006D5DD9">
        <w:rPr>
          <w:rtl/>
        </w:rPr>
        <w:t xml:space="preserve"> </w:t>
      </w:r>
      <w:r w:rsidRPr="006D5DD9">
        <w:rPr>
          <w:rFonts w:hint="eastAsia"/>
          <w:rtl/>
        </w:rPr>
        <w:t>לדבריי</w:t>
      </w:r>
      <w:r w:rsidRPr="006D5DD9">
        <w:rPr>
          <w:rtl/>
        </w:rPr>
        <w:t xml:space="preserve"> </w:t>
      </w:r>
      <w:r w:rsidRPr="006D5DD9">
        <w:rPr>
          <w:rFonts w:hint="eastAsia"/>
          <w:rtl/>
        </w:rPr>
        <w:t>לעיל</w:t>
      </w:r>
      <w:r w:rsidRPr="006D5DD9">
        <w:rPr>
          <w:rtl/>
        </w:rPr>
        <w:t xml:space="preserve"> </w:t>
      </w:r>
      <w:r w:rsidRPr="006D5DD9">
        <w:rPr>
          <w:rFonts w:hint="eastAsia"/>
          <w:rtl/>
        </w:rPr>
        <w:t>בדבר</w:t>
      </w:r>
      <w:r w:rsidRPr="006D5DD9">
        <w:rPr>
          <w:rtl/>
        </w:rPr>
        <w:t xml:space="preserve"> </w:t>
      </w:r>
      <w:r w:rsidRPr="006D5DD9">
        <w:rPr>
          <w:rFonts w:ascii="Century" w:hAnsi="Century" w:hint="cs"/>
          <w:sz w:val="22"/>
          <w:rtl/>
        </w:rPr>
        <w:t>ה</w:t>
      </w:r>
      <w:r w:rsidRPr="006D5DD9">
        <w:rPr>
          <w:rFonts w:ascii="Century" w:hAnsi="Century" w:hint="eastAsia"/>
          <w:sz w:val="22"/>
          <w:rtl/>
        </w:rPr>
        <w:t>רף</w:t>
      </w:r>
      <w:r w:rsidRPr="006D5DD9">
        <w:rPr>
          <w:rFonts w:ascii="Century" w:hAnsi="Century"/>
          <w:sz w:val="22"/>
          <w:rtl/>
        </w:rPr>
        <w:t xml:space="preserve"> </w:t>
      </w:r>
      <w:r w:rsidRPr="006D5DD9">
        <w:rPr>
          <w:rFonts w:ascii="Century" w:hAnsi="Century" w:hint="cs"/>
          <w:sz w:val="22"/>
          <w:rtl/>
        </w:rPr>
        <w:t>הראוי ל</w:t>
      </w:r>
      <w:r w:rsidRPr="006D5DD9">
        <w:rPr>
          <w:rFonts w:ascii="Century" w:hAnsi="Century" w:hint="eastAsia"/>
          <w:sz w:val="22"/>
          <w:rtl/>
        </w:rPr>
        <w:t>התערבותו</w:t>
      </w:r>
      <w:r w:rsidRPr="006D5DD9">
        <w:rPr>
          <w:rFonts w:ascii="Century" w:hAnsi="Century"/>
          <w:sz w:val="22"/>
          <w:rtl/>
        </w:rPr>
        <w:t xml:space="preserve"> </w:t>
      </w:r>
      <w:r w:rsidRPr="006D5DD9">
        <w:rPr>
          <w:rFonts w:ascii="Century" w:hAnsi="Century" w:hint="eastAsia"/>
          <w:sz w:val="22"/>
          <w:rtl/>
        </w:rPr>
        <w:t>של</w:t>
      </w:r>
      <w:r w:rsidRPr="006D5DD9">
        <w:rPr>
          <w:rFonts w:ascii="Century" w:hAnsi="Century"/>
          <w:sz w:val="22"/>
          <w:rtl/>
        </w:rPr>
        <w:t xml:space="preserve"> </w:t>
      </w:r>
      <w:r w:rsidRPr="006D5DD9">
        <w:rPr>
          <w:rFonts w:ascii="Century" w:hAnsi="Century" w:hint="eastAsia"/>
          <w:sz w:val="22"/>
          <w:rtl/>
        </w:rPr>
        <w:t>בית</w:t>
      </w:r>
      <w:r w:rsidRPr="006D5DD9">
        <w:rPr>
          <w:rFonts w:ascii="Century" w:hAnsi="Century"/>
          <w:sz w:val="22"/>
          <w:rtl/>
        </w:rPr>
        <w:t xml:space="preserve"> </w:t>
      </w:r>
      <w:r w:rsidRPr="006D5DD9">
        <w:rPr>
          <w:rFonts w:ascii="Century" w:hAnsi="Century" w:hint="eastAsia"/>
          <w:sz w:val="22"/>
          <w:rtl/>
        </w:rPr>
        <w:t>משפט</w:t>
      </w:r>
      <w:r w:rsidRPr="006D5DD9">
        <w:rPr>
          <w:rFonts w:ascii="Century" w:hAnsi="Century"/>
          <w:sz w:val="22"/>
          <w:rtl/>
        </w:rPr>
        <w:t xml:space="preserve"> </w:t>
      </w:r>
      <w:r w:rsidRPr="006D5DD9">
        <w:rPr>
          <w:rFonts w:ascii="Century" w:hAnsi="Century" w:hint="eastAsia"/>
          <w:sz w:val="22"/>
          <w:rtl/>
        </w:rPr>
        <w:t>זה</w:t>
      </w:r>
      <w:r w:rsidRPr="006D5DD9">
        <w:rPr>
          <w:rFonts w:ascii="Century" w:hAnsi="Century"/>
          <w:sz w:val="22"/>
          <w:rtl/>
        </w:rPr>
        <w:t xml:space="preserve"> </w:t>
      </w:r>
      <w:r w:rsidRPr="006D5DD9">
        <w:rPr>
          <w:rFonts w:ascii="Century" w:hAnsi="Century" w:hint="eastAsia"/>
          <w:sz w:val="22"/>
          <w:rtl/>
        </w:rPr>
        <w:t>בשאלת</w:t>
      </w:r>
      <w:r w:rsidRPr="006D5DD9">
        <w:rPr>
          <w:rFonts w:ascii="Century" w:hAnsi="Century"/>
          <w:sz w:val="22"/>
          <w:rtl/>
        </w:rPr>
        <w:t xml:space="preserve"> </w:t>
      </w:r>
      <w:r w:rsidRPr="006D5DD9">
        <w:rPr>
          <w:rFonts w:ascii="Century" w:hAnsi="Century" w:hint="eastAsia"/>
          <w:sz w:val="22"/>
          <w:rtl/>
        </w:rPr>
        <w:t>חריגתה</w:t>
      </w:r>
      <w:r w:rsidRPr="006D5DD9">
        <w:rPr>
          <w:rFonts w:ascii="Century" w:hAnsi="Century"/>
          <w:sz w:val="22"/>
          <w:rtl/>
        </w:rPr>
        <w:t xml:space="preserve"> </w:t>
      </w:r>
      <w:r w:rsidRPr="006D5DD9">
        <w:rPr>
          <w:rFonts w:ascii="Century" w:hAnsi="Century" w:hint="eastAsia"/>
          <w:sz w:val="22"/>
          <w:rtl/>
        </w:rPr>
        <w:t>של</w:t>
      </w:r>
      <w:r w:rsidRPr="006D5DD9">
        <w:rPr>
          <w:rFonts w:ascii="Century" w:hAnsi="Century"/>
          <w:sz w:val="22"/>
          <w:rtl/>
        </w:rPr>
        <w:t xml:space="preserve"> </w:t>
      </w:r>
      <w:r w:rsidRPr="006D5DD9">
        <w:rPr>
          <w:rFonts w:ascii="Century" w:hAnsi="Century" w:hint="eastAsia"/>
          <w:sz w:val="22"/>
          <w:rtl/>
        </w:rPr>
        <w:t>הכנסת</w:t>
      </w:r>
      <w:r w:rsidRPr="006D5DD9">
        <w:rPr>
          <w:rFonts w:ascii="Century" w:hAnsi="Century"/>
          <w:sz w:val="22"/>
          <w:rtl/>
        </w:rPr>
        <w:t xml:space="preserve"> </w:t>
      </w:r>
      <w:r w:rsidRPr="006D5DD9">
        <w:rPr>
          <w:rFonts w:ascii="Century" w:hAnsi="Century" w:hint="eastAsia"/>
          <w:sz w:val="22"/>
          <w:rtl/>
        </w:rPr>
        <w:t>מסמכותה</w:t>
      </w:r>
      <w:r w:rsidRPr="006D5DD9">
        <w:rPr>
          <w:rFonts w:ascii="Century" w:hAnsi="Century"/>
          <w:sz w:val="22"/>
          <w:rtl/>
        </w:rPr>
        <w:t xml:space="preserve"> </w:t>
      </w:r>
      <w:r w:rsidRPr="006D5DD9">
        <w:rPr>
          <w:rFonts w:ascii="Century" w:hAnsi="Century" w:hint="eastAsia"/>
          <w:sz w:val="22"/>
          <w:rtl/>
        </w:rPr>
        <w:t>המכוננת</w:t>
      </w:r>
      <w:r w:rsidRPr="006D5DD9">
        <w:rPr>
          <w:rtl/>
        </w:rPr>
        <w:t xml:space="preserve">, </w:t>
      </w:r>
      <w:r w:rsidRPr="006D5DD9">
        <w:rPr>
          <w:rFonts w:hint="eastAsia"/>
          <w:rtl/>
        </w:rPr>
        <w:t>ייתכן</w:t>
      </w:r>
      <w:r w:rsidRPr="006D5DD9">
        <w:rPr>
          <w:rtl/>
        </w:rPr>
        <w:t xml:space="preserve"> </w:t>
      </w:r>
      <w:r>
        <w:rPr>
          <w:rFonts w:hint="cs"/>
          <w:rtl/>
        </w:rPr>
        <w:t xml:space="preserve">מאוד </w:t>
      </w:r>
      <w:r w:rsidRPr="006D5DD9">
        <w:rPr>
          <w:rFonts w:hint="eastAsia"/>
          <w:rtl/>
        </w:rPr>
        <w:t>שאף</w:t>
      </w:r>
      <w:r w:rsidRPr="006D5DD9">
        <w:rPr>
          <w:rtl/>
        </w:rPr>
        <w:t xml:space="preserve"> </w:t>
      </w:r>
      <w:r w:rsidRPr="006D5DD9">
        <w:rPr>
          <w:rFonts w:hint="eastAsia"/>
          <w:rtl/>
        </w:rPr>
        <w:t>הפגיעה</w:t>
      </w:r>
      <w:r w:rsidRPr="006D5DD9">
        <w:rPr>
          <w:rtl/>
        </w:rPr>
        <w:t xml:space="preserve"> </w:t>
      </w:r>
      <w:r w:rsidRPr="006D5DD9">
        <w:rPr>
          <w:rFonts w:hint="eastAsia"/>
          <w:rtl/>
        </w:rPr>
        <w:t>שנותרה</w:t>
      </w:r>
      <w:r w:rsidRPr="006D5DD9">
        <w:rPr>
          <w:rtl/>
        </w:rPr>
        <w:t xml:space="preserve"> </w:t>
      </w:r>
      <w:r w:rsidRPr="006D5DD9">
        <w:rPr>
          <w:rFonts w:hint="eastAsia"/>
          <w:rtl/>
        </w:rPr>
        <w:t>לאחר</w:t>
      </w:r>
      <w:r w:rsidRPr="006D5DD9">
        <w:rPr>
          <w:rtl/>
        </w:rPr>
        <w:t xml:space="preserve"> </w:t>
      </w:r>
      <w:r w:rsidRPr="006D5DD9">
        <w:rPr>
          <w:rFonts w:hint="eastAsia"/>
          <w:rtl/>
        </w:rPr>
        <w:t>הצמצום</w:t>
      </w:r>
      <w:r w:rsidRPr="006D5DD9">
        <w:rPr>
          <w:rtl/>
        </w:rPr>
        <w:t xml:space="preserve"> </w:t>
      </w:r>
      <w:r w:rsidRPr="006D5DD9">
        <w:rPr>
          <w:rFonts w:hint="eastAsia"/>
          <w:rtl/>
        </w:rPr>
        <w:t>הפרשני</w:t>
      </w:r>
      <w:r w:rsidRPr="006D5DD9">
        <w:rPr>
          <w:rtl/>
        </w:rPr>
        <w:t xml:space="preserve"> </w:t>
      </w:r>
      <w:r w:rsidRPr="006D5DD9">
        <w:rPr>
          <w:rFonts w:hint="eastAsia"/>
          <w:rtl/>
        </w:rPr>
        <w:t>הייתה</w:t>
      </w:r>
      <w:r w:rsidRPr="006D5DD9">
        <w:rPr>
          <w:rtl/>
        </w:rPr>
        <w:t xml:space="preserve"> </w:t>
      </w:r>
      <w:r w:rsidRPr="006D5DD9">
        <w:rPr>
          <w:rFonts w:hint="eastAsia"/>
          <w:rtl/>
        </w:rPr>
        <w:t>עולה</w:t>
      </w:r>
      <w:r w:rsidRPr="006D5DD9">
        <w:rPr>
          <w:rtl/>
        </w:rPr>
        <w:t xml:space="preserve"> </w:t>
      </w:r>
      <w:r w:rsidRPr="006D5DD9">
        <w:rPr>
          <w:rFonts w:hint="eastAsia"/>
          <w:rtl/>
        </w:rPr>
        <w:t>כדי</w:t>
      </w:r>
      <w:r w:rsidRPr="006D5DD9">
        <w:rPr>
          <w:rtl/>
        </w:rPr>
        <w:t xml:space="preserve"> </w:t>
      </w:r>
      <w:r w:rsidRPr="006D5DD9">
        <w:rPr>
          <w:rFonts w:hint="eastAsia"/>
          <w:rtl/>
        </w:rPr>
        <w:t>חריגה</w:t>
      </w:r>
      <w:r w:rsidRPr="006D5DD9">
        <w:rPr>
          <w:rtl/>
        </w:rPr>
        <w:t xml:space="preserve"> </w:t>
      </w:r>
      <w:r w:rsidRPr="006D5DD9">
        <w:rPr>
          <w:rFonts w:hint="eastAsia"/>
          <w:rtl/>
        </w:rPr>
        <w:t>מסמכותה</w:t>
      </w:r>
      <w:r w:rsidRPr="006D5DD9">
        <w:rPr>
          <w:rtl/>
        </w:rPr>
        <w:t xml:space="preserve"> </w:t>
      </w:r>
      <w:r w:rsidRPr="006D5DD9">
        <w:rPr>
          <w:rFonts w:hint="eastAsia"/>
          <w:rtl/>
        </w:rPr>
        <w:t>המכוננת</w:t>
      </w:r>
      <w:r w:rsidRPr="006D5DD9">
        <w:rPr>
          <w:rtl/>
        </w:rPr>
        <w:t xml:space="preserve"> </w:t>
      </w:r>
      <w:r w:rsidRPr="006D5DD9">
        <w:rPr>
          <w:rFonts w:hint="eastAsia"/>
          <w:rtl/>
        </w:rPr>
        <w:t>של</w:t>
      </w:r>
      <w:r w:rsidRPr="006D5DD9">
        <w:rPr>
          <w:rtl/>
        </w:rPr>
        <w:t xml:space="preserve"> </w:t>
      </w:r>
      <w:r w:rsidRPr="006D5DD9">
        <w:rPr>
          <w:rFonts w:hint="eastAsia"/>
          <w:rtl/>
        </w:rPr>
        <w:t>הכנסת</w:t>
      </w:r>
      <w:r w:rsidRPr="006D5DD9">
        <w:rPr>
          <w:rtl/>
        </w:rPr>
        <w:t xml:space="preserve">. </w:t>
      </w:r>
      <w:r w:rsidRPr="006D5DD9">
        <w:rPr>
          <w:rFonts w:hint="eastAsia"/>
          <w:rtl/>
        </w:rPr>
        <w:t>ואולם</w:t>
      </w:r>
      <w:r w:rsidRPr="006D5DD9">
        <w:rPr>
          <w:rtl/>
        </w:rPr>
        <w:t xml:space="preserve">, </w:t>
      </w:r>
      <w:r w:rsidRPr="006D5DD9">
        <w:rPr>
          <w:rFonts w:hint="eastAsia"/>
          <w:rtl/>
        </w:rPr>
        <w:t>כאמור</w:t>
      </w:r>
      <w:r w:rsidRPr="006D5DD9">
        <w:rPr>
          <w:rtl/>
        </w:rPr>
        <w:t xml:space="preserve">, </w:t>
      </w:r>
      <w:r w:rsidRPr="006D5DD9">
        <w:rPr>
          <w:rFonts w:hint="cs"/>
          <w:rtl/>
        </w:rPr>
        <w:t>לא ראיתי לטעת בכך מסמרות</w:t>
      </w:r>
      <w:r w:rsidRPr="006D5DD9">
        <w:rPr>
          <w:rtl/>
        </w:rPr>
        <w:t xml:space="preserve">, </w:t>
      </w:r>
      <w:r w:rsidRPr="006D5DD9">
        <w:rPr>
          <w:rFonts w:hint="eastAsia"/>
          <w:rtl/>
        </w:rPr>
        <w:t>מאחר</w:t>
      </w:r>
      <w:r w:rsidRPr="006D5DD9">
        <w:rPr>
          <w:rtl/>
        </w:rPr>
        <w:t xml:space="preserve"> </w:t>
      </w:r>
      <w:r w:rsidRPr="006D5DD9">
        <w:rPr>
          <w:rFonts w:hint="eastAsia"/>
          <w:rtl/>
        </w:rPr>
        <w:t>שמלכתחילה</w:t>
      </w:r>
      <w:r w:rsidRPr="006D5DD9">
        <w:rPr>
          <w:rtl/>
        </w:rPr>
        <w:t xml:space="preserve"> </w:t>
      </w:r>
      <w:r w:rsidRPr="006D5DD9">
        <w:rPr>
          <w:rFonts w:hint="eastAsia"/>
          <w:rtl/>
        </w:rPr>
        <w:t>איני</w:t>
      </w:r>
      <w:r w:rsidRPr="006D5DD9">
        <w:rPr>
          <w:rtl/>
        </w:rPr>
        <w:t xml:space="preserve"> </w:t>
      </w:r>
      <w:r w:rsidRPr="006D5DD9">
        <w:rPr>
          <w:rFonts w:hint="eastAsia"/>
          <w:rtl/>
        </w:rPr>
        <w:t>סבור</w:t>
      </w:r>
      <w:r w:rsidRPr="006D5DD9">
        <w:rPr>
          <w:rtl/>
        </w:rPr>
        <w:t xml:space="preserve"> </w:t>
      </w:r>
      <w:r w:rsidRPr="006D5DD9">
        <w:rPr>
          <w:rFonts w:hint="eastAsia"/>
          <w:rtl/>
        </w:rPr>
        <w:t>כי</w:t>
      </w:r>
      <w:r w:rsidRPr="006D5DD9">
        <w:rPr>
          <w:rtl/>
        </w:rPr>
        <w:t xml:space="preserve"> </w:t>
      </w:r>
      <w:r w:rsidRPr="006D5DD9">
        <w:rPr>
          <w:rFonts w:hint="eastAsia"/>
          <w:rtl/>
        </w:rPr>
        <w:t>המתווה</w:t>
      </w:r>
      <w:r w:rsidRPr="006D5DD9">
        <w:rPr>
          <w:rtl/>
        </w:rPr>
        <w:t xml:space="preserve"> </w:t>
      </w:r>
      <w:r w:rsidRPr="006D5DD9">
        <w:rPr>
          <w:rFonts w:hint="eastAsia"/>
          <w:rtl/>
        </w:rPr>
        <w:t>הפרשני</w:t>
      </w:r>
      <w:r w:rsidRPr="006D5DD9">
        <w:rPr>
          <w:rtl/>
        </w:rPr>
        <w:t xml:space="preserve"> </w:t>
      </w:r>
      <w:r w:rsidRPr="006D5DD9">
        <w:rPr>
          <w:rFonts w:hint="eastAsia"/>
          <w:rtl/>
        </w:rPr>
        <w:t>אפשרי</w:t>
      </w:r>
      <w:r w:rsidRPr="006D5DD9">
        <w:rPr>
          <w:rtl/>
        </w:rPr>
        <w:t xml:space="preserve"> </w:t>
      </w:r>
      <w:r w:rsidRPr="006D5DD9">
        <w:rPr>
          <w:rFonts w:hint="eastAsia"/>
          <w:rtl/>
        </w:rPr>
        <w:t>ביחס</w:t>
      </w:r>
      <w:r w:rsidRPr="006D5DD9">
        <w:rPr>
          <w:rtl/>
        </w:rPr>
        <w:t xml:space="preserve"> </w:t>
      </w:r>
      <w:r w:rsidRPr="006D5DD9">
        <w:rPr>
          <w:rFonts w:hint="eastAsia"/>
          <w:rtl/>
        </w:rPr>
        <w:t>לתיקון</w:t>
      </w:r>
      <w:r w:rsidRPr="006D5DD9">
        <w:rPr>
          <w:rtl/>
        </w:rPr>
        <w:t xml:space="preserve"> </w:t>
      </w:r>
      <w:r w:rsidRPr="006D5DD9">
        <w:rPr>
          <w:rFonts w:hint="eastAsia"/>
          <w:rtl/>
        </w:rPr>
        <w:t>מס</w:t>
      </w:r>
      <w:r w:rsidRPr="006D5DD9">
        <w:rPr>
          <w:rtl/>
        </w:rPr>
        <w:t>' 3.</w:t>
      </w:r>
    </w:p>
    <w:p w:rsidR="00CB3B01" w:rsidRPr="006D5DD9" w:rsidRDefault="00CB3B01" w:rsidP="00CB3B01">
      <w:pPr>
        <w:pStyle w:val="Ruller41"/>
        <w:rPr>
          <w:rtl/>
        </w:rPr>
      </w:pPr>
    </w:p>
    <w:p w:rsidR="00CB3B01" w:rsidRPr="006D5DD9" w:rsidRDefault="00CB3B01" w:rsidP="00CB3B01">
      <w:pPr>
        <w:pStyle w:val="Ruller41"/>
        <w:rPr>
          <w:rFonts w:ascii="Century" w:hAnsi="Century" w:cs="Miriam"/>
          <w:b/>
          <w:spacing w:val="0"/>
          <w:szCs w:val="24"/>
          <w:rtl/>
        </w:rPr>
      </w:pPr>
      <w:r w:rsidRPr="006D5DD9">
        <w:rPr>
          <w:rFonts w:ascii="Century" w:hAnsi="Century" w:cs="Miriam" w:hint="cs"/>
          <w:b/>
          <w:spacing w:val="0"/>
          <w:szCs w:val="24"/>
          <w:rtl/>
        </w:rPr>
        <w:t xml:space="preserve">לפני סיום </w:t>
      </w:r>
      <w:r w:rsidRPr="006D5DD9">
        <w:rPr>
          <w:rFonts w:ascii="Century" w:hAnsi="Century" w:cs="Miriam"/>
          <w:b/>
          <w:spacing w:val="0"/>
          <w:szCs w:val="24"/>
          <w:rtl/>
        </w:rPr>
        <w:t>–</w:t>
      </w:r>
      <w:r w:rsidRPr="006D5DD9">
        <w:rPr>
          <w:rFonts w:ascii="Century" w:hAnsi="Century" w:cs="Miriam" w:hint="cs"/>
          <w:b/>
          <w:spacing w:val="0"/>
          <w:szCs w:val="24"/>
          <w:rtl/>
        </w:rPr>
        <w:t xml:space="preserve"> על פגם בהליך הכינון</w:t>
      </w:r>
    </w:p>
    <w:p w:rsidR="00CB3B01" w:rsidRPr="006D5DD9" w:rsidRDefault="00CB3B01" w:rsidP="00CB3B01">
      <w:pPr>
        <w:pStyle w:val="Ruller41"/>
        <w:rPr>
          <w:rFonts w:ascii="Century" w:hAnsi="Century" w:cs="Miriam"/>
          <w:b/>
          <w:spacing w:val="0"/>
          <w:szCs w:val="24"/>
          <w:rtl/>
        </w:rPr>
      </w:pPr>
    </w:p>
    <w:p w:rsidR="00CB3B01" w:rsidRPr="006D5DD9" w:rsidRDefault="00CB3B01" w:rsidP="00CB3B01">
      <w:pPr>
        <w:pStyle w:val="Ruller4"/>
        <w:rPr>
          <w:rtl/>
        </w:rPr>
      </w:pPr>
      <w:r w:rsidRPr="006D5DD9">
        <w:rPr>
          <w:rFonts w:hint="cs"/>
          <w:rtl/>
        </w:rPr>
        <w:t>לפני סיום מצאתי להתייחס בקצרה להליך כינונו של תיקון מס' 3. מצטרף אני להערותיה של חברתי הנשיאה (בדימ')</w:t>
      </w:r>
      <w:r w:rsidRPr="006D5DD9">
        <w:rPr>
          <w:rFonts w:ascii="Century" w:hAnsi="Century" w:cs="Miriam" w:hint="cs"/>
          <w:b/>
          <w:spacing w:val="0"/>
          <w:szCs w:val="24"/>
          <w:rtl/>
        </w:rPr>
        <w:t xml:space="preserve"> חיות</w:t>
      </w:r>
      <w:r w:rsidRPr="006D5DD9">
        <w:rPr>
          <w:rFonts w:hint="cs"/>
          <w:rtl/>
        </w:rPr>
        <w:t xml:space="preserve"> בעניין השימוש שנעשה במקרה זה בסעיף 80 לתקנון הכנסת. אף לשיטתי, קידום הצעת החוק כהצעה מטעם ועדת החוקה מעורר קשיים לא מבוטלים, כפי שיפורט להלן. </w:t>
      </w:r>
    </w:p>
    <w:p w:rsidR="00CB3B01" w:rsidRPr="006D5DD9" w:rsidRDefault="00CB3B01" w:rsidP="00CB3B01">
      <w:pPr>
        <w:pStyle w:val="Ruller41"/>
        <w:rPr>
          <w:rtl/>
        </w:rPr>
      </w:pPr>
    </w:p>
    <w:p w:rsidR="00CB3B01" w:rsidRPr="006D5DD9" w:rsidRDefault="00CB3B01" w:rsidP="00CB3B01">
      <w:pPr>
        <w:pStyle w:val="Ruller4"/>
        <w:rPr>
          <w:rtl/>
        </w:rPr>
      </w:pPr>
      <w:r w:rsidRPr="006D5DD9">
        <w:rPr>
          <w:rFonts w:hint="cs"/>
          <w:rtl/>
        </w:rPr>
        <w:t>בפתח הדברים, ובטרם אתייחס לשאלת הפגם הנטען בהליך החקיקה כתוצאה משימוש בסעיף 80 לתקנון, אבקש להתייחס לאמת המידה לביקורת שיפוטית על פגמים בהליך החקיקה כאשר עסקינן בחוק יסוד. כידוע, כאשר מדובר בביקורת שיפוטית על הליך חקיקה של חוק רגיל נקבעה בפסיקתנו אמת מידה מחמירה, שלפיה בית משפט זה יתערב רק במקרים חריגים וקיצוניים, כאשר נפל בהליך החקיקה פגם היורד לשורש ההליך (וראו:</w:t>
      </w:r>
      <w:r w:rsidRPr="006D5DD9">
        <w:rPr>
          <w:rFonts w:hint="eastAsia"/>
          <w:rtl/>
        </w:rPr>
        <w:t xml:space="preserve"> בג</w:t>
      </w:r>
      <w:r w:rsidRPr="006D5DD9">
        <w:rPr>
          <w:rtl/>
        </w:rPr>
        <w:t>"</w:t>
      </w:r>
      <w:r w:rsidRPr="006D5DD9">
        <w:rPr>
          <w:rFonts w:hint="eastAsia"/>
          <w:rtl/>
        </w:rPr>
        <w:t>ץ</w:t>
      </w:r>
      <w:r w:rsidRPr="006D5DD9">
        <w:rPr>
          <w:rtl/>
        </w:rPr>
        <w:t xml:space="preserve"> 10042/16 </w:t>
      </w:r>
      <w:r w:rsidRPr="006D5DD9">
        <w:rPr>
          <w:rFonts w:ascii="Century" w:hAnsi="Century" w:cs="Miriam" w:hint="eastAsia"/>
          <w:b/>
          <w:spacing w:val="0"/>
          <w:szCs w:val="24"/>
          <w:rtl/>
        </w:rPr>
        <w:t>קוונטינסקי</w:t>
      </w:r>
      <w:r w:rsidRPr="006D5DD9">
        <w:rPr>
          <w:rFonts w:ascii="Century" w:hAnsi="Century" w:cs="Miriam"/>
          <w:b/>
          <w:spacing w:val="0"/>
          <w:szCs w:val="24"/>
          <w:rtl/>
        </w:rPr>
        <w:t xml:space="preserve"> </w:t>
      </w:r>
      <w:r w:rsidRPr="006D5DD9">
        <w:rPr>
          <w:rFonts w:ascii="Century" w:hAnsi="Century" w:cs="Miriam" w:hint="eastAsia"/>
          <w:b/>
          <w:spacing w:val="0"/>
          <w:szCs w:val="24"/>
          <w:rtl/>
        </w:rPr>
        <w:t>נ</w:t>
      </w:r>
      <w:r w:rsidRPr="006D5DD9">
        <w:rPr>
          <w:rFonts w:ascii="Century" w:hAnsi="Century" w:cs="Miriam"/>
          <w:b/>
          <w:spacing w:val="0"/>
          <w:szCs w:val="24"/>
          <w:rtl/>
        </w:rPr>
        <w:t xml:space="preserve">' </w:t>
      </w:r>
      <w:r w:rsidRPr="006D5DD9">
        <w:rPr>
          <w:rFonts w:ascii="Century" w:hAnsi="Century" w:cs="Miriam" w:hint="eastAsia"/>
          <w:b/>
          <w:spacing w:val="0"/>
          <w:szCs w:val="24"/>
          <w:rtl/>
        </w:rPr>
        <w:t>כנסת</w:t>
      </w:r>
      <w:r w:rsidRPr="006D5DD9">
        <w:rPr>
          <w:rFonts w:ascii="Century" w:hAnsi="Century" w:cs="Miriam"/>
          <w:b/>
          <w:spacing w:val="0"/>
          <w:szCs w:val="24"/>
          <w:rtl/>
        </w:rPr>
        <w:t xml:space="preserve"> </w:t>
      </w:r>
      <w:r w:rsidRPr="006D5DD9">
        <w:rPr>
          <w:rFonts w:ascii="Century" w:hAnsi="Century" w:cs="Miriam" w:hint="eastAsia"/>
          <w:b/>
          <w:spacing w:val="0"/>
          <w:szCs w:val="24"/>
          <w:rtl/>
        </w:rPr>
        <w:t>ישראל</w:t>
      </w:r>
      <w:r w:rsidRPr="006D5DD9">
        <w:rPr>
          <w:rtl/>
        </w:rPr>
        <w:t xml:space="preserve"> (6.8.2017)</w:t>
      </w:r>
      <w:r>
        <w:rPr>
          <w:rFonts w:hint="cs"/>
          <w:rtl/>
        </w:rPr>
        <w:t xml:space="preserve">; בקשה לקיים דיון נוסף בפסק דין זה נדחתה, דנג"ץ 6571/17 </w:t>
      </w:r>
      <w:r>
        <w:rPr>
          <w:rFonts w:ascii="Century" w:hAnsi="Century" w:cs="Miriam" w:hint="cs"/>
          <w:b/>
          <w:spacing w:val="0"/>
          <w:sz w:val="22"/>
          <w:szCs w:val="24"/>
          <w:rtl/>
        </w:rPr>
        <w:t>היועץ המשפטי לממשלה נ' קוונטינסקי</w:t>
      </w:r>
      <w:r>
        <w:rPr>
          <w:rFonts w:ascii="Century" w:hAnsi="Century" w:hint="cs"/>
          <w:sz w:val="22"/>
          <w:rtl/>
        </w:rPr>
        <w:t xml:space="preserve"> (19.5.2021)</w:t>
      </w:r>
      <w:r w:rsidRPr="006D5DD9">
        <w:rPr>
          <w:rFonts w:hint="cs"/>
          <w:rtl/>
        </w:rPr>
        <w:t xml:space="preserve">). נטען לפנינו כי כאשר מדובר בהליך חקיקתו של חוק יסוד, יש לקבוע אמת מידה שונה, ולאמץ דרישה להליך חקיקה ראוי (ראו למשל סעיף 420 לכתב התשובה של היועצת המשפטית לממשלה). אכן, השילוב הבעייתי שבין חשיבותם ומעמדם של חוקי היסוד לבין הקלות </w:t>
      </w:r>
      <w:r w:rsidRPr="006D5DD9">
        <w:rPr>
          <w:rFonts w:hint="eastAsia"/>
          <w:rtl/>
        </w:rPr>
        <w:t>שבה</w:t>
      </w:r>
      <w:r w:rsidRPr="006D5DD9">
        <w:rPr>
          <w:rtl/>
        </w:rPr>
        <w:t xml:space="preserve"> </w:t>
      </w:r>
      <w:r w:rsidRPr="006D5DD9">
        <w:rPr>
          <w:rFonts w:hint="cs"/>
          <w:rtl/>
        </w:rPr>
        <w:t xml:space="preserve">ניתן לחוקק אותם ולתקנם מעורר שאלה נכבדה בדבר הצורך בביקורת שיפוטית קפדנית יותר על הליך חקיקתם. ואולם, נוכח מסקנתי לעיל </w:t>
      </w:r>
      <w:r>
        <w:rPr>
          <w:rFonts w:hint="cs"/>
          <w:rtl/>
        </w:rPr>
        <w:t xml:space="preserve">שלפיה </w:t>
      </w:r>
      <w:r w:rsidRPr="006D5DD9">
        <w:rPr>
          <w:rFonts w:hint="cs"/>
          <w:rtl/>
        </w:rPr>
        <w:t xml:space="preserve">יש להורות על בטלות התיקון מחמת חריגה מהסמכות המכוננת, איני סבור כי עלינו לטעת מסמרות בשאלה זו במקרה דנן. לצד זאת, לא ניתן להימנע מהתייחסות </w:t>
      </w:r>
      <w:r>
        <w:rPr>
          <w:rFonts w:hint="cs"/>
          <w:rtl/>
        </w:rPr>
        <w:t xml:space="preserve">קצרה </w:t>
      </w:r>
      <w:r w:rsidRPr="006D5DD9">
        <w:rPr>
          <w:rFonts w:hint="cs"/>
          <w:rtl/>
        </w:rPr>
        <w:t>ל</w:t>
      </w:r>
      <w:r>
        <w:rPr>
          <w:rFonts w:hint="cs"/>
          <w:rtl/>
        </w:rPr>
        <w:t xml:space="preserve">מספר </w:t>
      </w:r>
      <w:r w:rsidRPr="006D5DD9">
        <w:rPr>
          <w:rFonts w:hint="cs"/>
          <w:rtl/>
        </w:rPr>
        <w:t>קשיים בהליך הכינון הנדון ולו לצורך הסקת מסקנות במבט צופה פני עתיד.</w:t>
      </w:r>
      <w:r w:rsidRPr="006D5DD9" w:rsidDel="00761CE8">
        <w:rPr>
          <w:rFonts w:hint="cs"/>
          <w:rtl/>
        </w:rPr>
        <w:t xml:space="preserve"> </w:t>
      </w:r>
    </w:p>
    <w:p w:rsidR="00CB3B01" w:rsidRPr="006D5DD9" w:rsidRDefault="00CB3B01" w:rsidP="00CB3B01">
      <w:pPr>
        <w:pStyle w:val="Ruller41"/>
      </w:pPr>
    </w:p>
    <w:p w:rsidR="00CB3B01" w:rsidRPr="006D5DD9" w:rsidRDefault="00CB3B01" w:rsidP="00CB3B01">
      <w:pPr>
        <w:pStyle w:val="Ruller4"/>
        <w:rPr>
          <w:rtl/>
        </w:rPr>
      </w:pPr>
      <w:r w:rsidRPr="006D5DD9">
        <w:rPr>
          <w:rFonts w:hint="cs"/>
          <w:rtl/>
        </w:rPr>
        <w:lastRenderedPageBreak/>
        <w:t xml:space="preserve">סעיף 80 לתקנון הכנסת מאפשר, כמפורט בחוות דעתה של הנשיאה (בדימ') </w:t>
      </w:r>
      <w:r w:rsidRPr="006D5DD9">
        <w:rPr>
          <w:rFonts w:ascii="Century" w:hAnsi="Century" w:cs="Miriam" w:hint="cs"/>
          <w:b/>
          <w:spacing w:val="0"/>
          <w:sz w:val="22"/>
          <w:szCs w:val="24"/>
          <w:rtl/>
        </w:rPr>
        <w:t xml:space="preserve">חיות </w:t>
      </w:r>
      <w:r w:rsidRPr="006D5DD9">
        <w:rPr>
          <w:rFonts w:ascii="Century" w:hAnsi="Century" w:hint="cs"/>
          <w:sz w:val="22"/>
          <w:rtl/>
        </w:rPr>
        <w:t xml:space="preserve">(פסקאות 198-197), לוועדת הכנסת, לוועדת החוקה ולוועדה לענייני ביקורת המדינה ליזום "בתחומי ענייניהן לפי תקנון זה" הצעות חוק בנושאים שמנויים בסעיף ולהכינם לקריאה ראשונה. </w:t>
      </w:r>
      <w:r w:rsidRPr="006D5DD9">
        <w:rPr>
          <w:rFonts w:hint="cs"/>
          <w:rtl/>
        </w:rPr>
        <w:t>חברתי מדגישה בחוות דעתה כי השימוש שנעשה במקרה זה בסעיף 80 לתקנון חורג במידה ניכרת מהפרקטיקה שהתגבשה לאורך השנים, שלפיה הגשת הצעות חוקי יסוד מטעם ועדת החוקה נעשתה ככלל ביחס לעניינים בעלי קשר הדוק לכנסת, כדוגמת ענייני בחירות ומימון מפלגות; או לחלופין, כאשר ההצעה קודמה בהסכמה רחבה (וראו: פסקאות 202-200 לחוות דעתה). אכן, כפי שצוין בעבר, בעת פרשנות הוראות תקנון הכנסת, יש ליתן משקל הולם לפרקטיקה הנוהגת (בג"ץ 706/19</w:t>
      </w:r>
      <w:r w:rsidRPr="006D5DD9">
        <w:rPr>
          <w:rtl/>
        </w:rPr>
        <w:t xml:space="preserve"> </w:t>
      </w:r>
      <w:r w:rsidRPr="006D5DD9">
        <w:rPr>
          <w:rFonts w:ascii="Century" w:hAnsi="Century" w:cs="Miriam" w:hint="eastAsia"/>
          <w:b/>
          <w:spacing w:val="0"/>
          <w:sz w:val="22"/>
          <w:szCs w:val="24"/>
          <w:rtl/>
        </w:rPr>
        <w:t>סגן</w:t>
      </w:r>
      <w:r w:rsidRPr="006D5DD9">
        <w:rPr>
          <w:rFonts w:ascii="Century" w:hAnsi="Century" w:cs="Miriam"/>
          <w:b/>
          <w:spacing w:val="0"/>
          <w:sz w:val="22"/>
          <w:szCs w:val="24"/>
          <w:rtl/>
        </w:rPr>
        <w:t xml:space="preserve"> </w:t>
      </w:r>
      <w:r w:rsidRPr="006D5DD9">
        <w:rPr>
          <w:rFonts w:ascii="Century" w:hAnsi="Century" w:cs="Miriam" w:hint="eastAsia"/>
          <w:b/>
          <w:spacing w:val="0"/>
          <w:sz w:val="22"/>
          <w:szCs w:val="24"/>
          <w:rtl/>
        </w:rPr>
        <w:t>יושב</w:t>
      </w:r>
      <w:r w:rsidRPr="006D5DD9">
        <w:rPr>
          <w:rFonts w:ascii="Century" w:hAnsi="Century" w:cs="Miriam"/>
          <w:b/>
          <w:spacing w:val="0"/>
          <w:sz w:val="22"/>
          <w:szCs w:val="24"/>
          <w:rtl/>
        </w:rPr>
        <w:t xml:space="preserve"> </w:t>
      </w:r>
      <w:r w:rsidRPr="006D5DD9">
        <w:rPr>
          <w:rFonts w:ascii="Century" w:hAnsi="Century" w:cs="Miriam" w:hint="eastAsia"/>
          <w:b/>
          <w:spacing w:val="0"/>
          <w:sz w:val="22"/>
          <w:szCs w:val="24"/>
          <w:rtl/>
        </w:rPr>
        <w:t>ראש</w:t>
      </w:r>
      <w:r w:rsidRPr="006D5DD9">
        <w:rPr>
          <w:rFonts w:ascii="Century" w:hAnsi="Century" w:cs="Miriam"/>
          <w:b/>
          <w:spacing w:val="0"/>
          <w:sz w:val="22"/>
          <w:szCs w:val="24"/>
          <w:rtl/>
        </w:rPr>
        <w:t xml:space="preserve"> </w:t>
      </w:r>
      <w:r w:rsidRPr="006D5DD9">
        <w:rPr>
          <w:rFonts w:ascii="Century" w:hAnsi="Century" w:cs="Miriam" w:hint="eastAsia"/>
          <w:b/>
          <w:spacing w:val="0"/>
          <w:sz w:val="22"/>
          <w:szCs w:val="24"/>
          <w:rtl/>
        </w:rPr>
        <w:t>הכנסת</w:t>
      </w:r>
      <w:r w:rsidRPr="006D5DD9">
        <w:rPr>
          <w:rFonts w:ascii="Century" w:hAnsi="Century" w:cs="Miriam"/>
          <w:b/>
          <w:spacing w:val="0"/>
          <w:sz w:val="22"/>
          <w:szCs w:val="24"/>
          <w:rtl/>
        </w:rPr>
        <w:t xml:space="preserve"> </w:t>
      </w:r>
      <w:r w:rsidRPr="006D5DD9">
        <w:rPr>
          <w:rFonts w:ascii="Century" w:hAnsi="Century" w:cs="Miriam" w:hint="eastAsia"/>
          <w:b/>
          <w:spacing w:val="0"/>
          <w:sz w:val="22"/>
          <w:szCs w:val="24"/>
          <w:rtl/>
        </w:rPr>
        <w:t>נ</w:t>
      </w:r>
      <w:r w:rsidRPr="006D5DD9">
        <w:rPr>
          <w:rFonts w:ascii="Century" w:hAnsi="Century" w:cs="Miriam"/>
          <w:b/>
          <w:spacing w:val="0"/>
          <w:sz w:val="22"/>
          <w:szCs w:val="24"/>
          <w:rtl/>
        </w:rPr>
        <w:t xml:space="preserve">' </w:t>
      </w:r>
      <w:r w:rsidRPr="006D5DD9">
        <w:rPr>
          <w:rFonts w:ascii="Century" w:hAnsi="Century" w:cs="Miriam" w:hint="eastAsia"/>
          <w:b/>
          <w:spacing w:val="0"/>
          <w:sz w:val="22"/>
          <w:szCs w:val="24"/>
          <w:rtl/>
        </w:rPr>
        <w:t>יושב</w:t>
      </w:r>
      <w:r w:rsidRPr="006D5DD9">
        <w:rPr>
          <w:rFonts w:ascii="Century" w:hAnsi="Century" w:cs="Miriam"/>
          <w:b/>
          <w:spacing w:val="0"/>
          <w:sz w:val="22"/>
          <w:szCs w:val="24"/>
          <w:rtl/>
        </w:rPr>
        <w:t xml:space="preserve"> </w:t>
      </w:r>
      <w:r w:rsidRPr="006D5DD9">
        <w:rPr>
          <w:rFonts w:ascii="Century" w:hAnsi="Century" w:cs="Miriam" w:hint="eastAsia"/>
          <w:b/>
          <w:spacing w:val="0"/>
          <w:sz w:val="22"/>
          <w:szCs w:val="24"/>
          <w:rtl/>
        </w:rPr>
        <w:t>ראש</w:t>
      </w:r>
      <w:r w:rsidRPr="006D5DD9">
        <w:rPr>
          <w:rFonts w:ascii="Century" w:hAnsi="Century" w:cs="Miriam"/>
          <w:b/>
          <w:spacing w:val="0"/>
          <w:sz w:val="22"/>
          <w:szCs w:val="24"/>
          <w:rtl/>
        </w:rPr>
        <w:t xml:space="preserve"> </w:t>
      </w:r>
      <w:r w:rsidRPr="006D5DD9">
        <w:rPr>
          <w:rFonts w:ascii="Century" w:hAnsi="Century" w:cs="Miriam" w:hint="eastAsia"/>
          <w:b/>
          <w:spacing w:val="0"/>
          <w:sz w:val="22"/>
          <w:szCs w:val="24"/>
          <w:rtl/>
        </w:rPr>
        <w:t>הכנסת</w:t>
      </w:r>
      <w:r w:rsidRPr="006D5DD9">
        <w:rPr>
          <w:rFonts w:hint="cs"/>
          <w:rtl/>
        </w:rPr>
        <w:t xml:space="preserve">, פסקה 9 (28.3.2019)). בכך יש כדי לבטא את חופש הפעולה הנתון לכנסת לעצב את סדרי עבודתה (ראו גם: </w:t>
      </w:r>
      <w:r w:rsidRPr="006D5DD9">
        <w:rPr>
          <w:rFonts w:ascii="Century" w:hAnsi="Century" w:hint="eastAsia"/>
          <w:sz w:val="22"/>
          <w:rtl/>
        </w:rPr>
        <w:t>אמנון</w:t>
      </w:r>
      <w:r w:rsidRPr="006D5DD9">
        <w:rPr>
          <w:rFonts w:ascii="Century" w:hAnsi="Century"/>
          <w:sz w:val="22"/>
          <w:rtl/>
        </w:rPr>
        <w:t xml:space="preserve"> </w:t>
      </w:r>
      <w:r w:rsidRPr="006D5DD9">
        <w:rPr>
          <w:rFonts w:ascii="Century" w:hAnsi="Century" w:hint="eastAsia"/>
          <w:sz w:val="22"/>
          <w:rtl/>
        </w:rPr>
        <w:t>רובינשטיין</w:t>
      </w:r>
      <w:r w:rsidRPr="006D5DD9">
        <w:rPr>
          <w:rFonts w:ascii="Century" w:hAnsi="Century"/>
          <w:sz w:val="22"/>
          <w:rtl/>
        </w:rPr>
        <w:t xml:space="preserve"> </w:t>
      </w:r>
      <w:r w:rsidRPr="006D5DD9">
        <w:rPr>
          <w:rFonts w:ascii="Century" w:hAnsi="Century" w:hint="eastAsia"/>
          <w:sz w:val="22"/>
          <w:rtl/>
        </w:rPr>
        <w:t>וברק</w:t>
      </w:r>
      <w:r w:rsidRPr="006D5DD9">
        <w:rPr>
          <w:rFonts w:ascii="Century" w:hAnsi="Century"/>
          <w:sz w:val="22"/>
          <w:rtl/>
        </w:rPr>
        <w:t xml:space="preserve"> </w:t>
      </w:r>
      <w:r w:rsidRPr="006D5DD9">
        <w:rPr>
          <w:rFonts w:ascii="Century" w:hAnsi="Century" w:hint="eastAsia"/>
          <w:sz w:val="22"/>
          <w:rtl/>
        </w:rPr>
        <w:t>מדינה</w:t>
      </w:r>
      <w:r w:rsidRPr="006D5DD9">
        <w:rPr>
          <w:rFonts w:ascii="Century" w:hAnsi="Century" w:cs="Miriam"/>
          <w:b/>
          <w:spacing w:val="0"/>
          <w:sz w:val="22"/>
          <w:szCs w:val="24"/>
          <w:rtl/>
        </w:rPr>
        <w:t xml:space="preserve"> </w:t>
      </w:r>
      <w:r w:rsidRPr="006D5DD9">
        <w:rPr>
          <w:rFonts w:ascii="Century" w:hAnsi="Century" w:cs="Miriam" w:hint="eastAsia"/>
          <w:b/>
          <w:spacing w:val="0"/>
          <w:sz w:val="22"/>
          <w:szCs w:val="24"/>
          <w:rtl/>
        </w:rPr>
        <w:t>המשפט</w:t>
      </w:r>
      <w:r w:rsidRPr="006D5DD9">
        <w:rPr>
          <w:rFonts w:ascii="Century" w:hAnsi="Century" w:cs="Miriam"/>
          <w:b/>
          <w:spacing w:val="0"/>
          <w:sz w:val="22"/>
          <w:szCs w:val="24"/>
          <w:rtl/>
        </w:rPr>
        <w:t xml:space="preserve"> </w:t>
      </w:r>
      <w:r w:rsidRPr="006D5DD9">
        <w:rPr>
          <w:rFonts w:ascii="Century" w:hAnsi="Century" w:cs="Miriam" w:hint="eastAsia"/>
          <w:b/>
          <w:spacing w:val="0"/>
          <w:sz w:val="22"/>
          <w:szCs w:val="24"/>
          <w:rtl/>
        </w:rPr>
        <w:t>החוקתי</w:t>
      </w:r>
      <w:r w:rsidRPr="006D5DD9">
        <w:rPr>
          <w:rFonts w:ascii="Century" w:hAnsi="Century" w:cs="Miriam"/>
          <w:b/>
          <w:spacing w:val="0"/>
          <w:sz w:val="22"/>
          <w:szCs w:val="24"/>
          <w:rtl/>
        </w:rPr>
        <w:t xml:space="preserve"> </w:t>
      </w:r>
      <w:r w:rsidRPr="006D5DD9">
        <w:rPr>
          <w:rFonts w:ascii="Century" w:hAnsi="Century" w:cs="Miriam" w:hint="eastAsia"/>
          <w:b/>
          <w:spacing w:val="0"/>
          <w:sz w:val="22"/>
          <w:szCs w:val="24"/>
          <w:rtl/>
        </w:rPr>
        <w:t>של</w:t>
      </w:r>
      <w:r w:rsidRPr="006D5DD9">
        <w:rPr>
          <w:rFonts w:ascii="Century" w:hAnsi="Century" w:cs="Miriam"/>
          <w:b/>
          <w:spacing w:val="0"/>
          <w:sz w:val="22"/>
          <w:szCs w:val="24"/>
          <w:rtl/>
        </w:rPr>
        <w:t xml:space="preserve"> </w:t>
      </w:r>
      <w:r w:rsidRPr="006D5DD9">
        <w:rPr>
          <w:rFonts w:ascii="Century" w:hAnsi="Century" w:cs="Miriam" w:hint="eastAsia"/>
          <w:b/>
          <w:spacing w:val="0"/>
          <w:sz w:val="22"/>
          <w:szCs w:val="24"/>
          <w:rtl/>
        </w:rPr>
        <w:t>מדינת</w:t>
      </w:r>
      <w:r w:rsidRPr="006D5DD9">
        <w:rPr>
          <w:rFonts w:ascii="Century" w:hAnsi="Century" w:cs="Miriam"/>
          <w:b/>
          <w:spacing w:val="0"/>
          <w:sz w:val="22"/>
          <w:szCs w:val="24"/>
          <w:rtl/>
        </w:rPr>
        <w:t xml:space="preserve"> </w:t>
      </w:r>
      <w:r w:rsidRPr="006D5DD9">
        <w:rPr>
          <w:rFonts w:ascii="Century" w:hAnsi="Century" w:cs="Miriam" w:hint="eastAsia"/>
          <w:b/>
          <w:spacing w:val="0"/>
          <w:sz w:val="22"/>
          <w:szCs w:val="24"/>
          <w:rtl/>
        </w:rPr>
        <w:t>ישראל</w:t>
      </w:r>
      <w:r w:rsidRPr="006D5DD9">
        <w:rPr>
          <w:rFonts w:ascii="Century" w:hAnsi="Century" w:cs="Miriam"/>
          <w:b/>
          <w:spacing w:val="0"/>
          <w:sz w:val="22"/>
          <w:szCs w:val="24"/>
          <w:rtl/>
        </w:rPr>
        <w:t xml:space="preserve"> –</w:t>
      </w:r>
      <w:r w:rsidRPr="006D5DD9">
        <w:rPr>
          <w:rFonts w:ascii="Century" w:hAnsi="Century" w:cs="Miriam" w:hint="cs"/>
          <w:b/>
          <w:spacing w:val="0"/>
          <w:sz w:val="22"/>
          <w:szCs w:val="24"/>
          <w:rtl/>
        </w:rPr>
        <w:t xml:space="preserve"> כרך ב:</w:t>
      </w:r>
      <w:r w:rsidRPr="006D5DD9">
        <w:rPr>
          <w:rFonts w:ascii="Century" w:hAnsi="Century" w:cs="Miriam"/>
          <w:b/>
          <w:spacing w:val="0"/>
          <w:sz w:val="22"/>
          <w:szCs w:val="24"/>
          <w:rtl/>
        </w:rPr>
        <w:t xml:space="preserve"> </w:t>
      </w:r>
      <w:r w:rsidRPr="006D5DD9">
        <w:rPr>
          <w:rFonts w:ascii="Century" w:hAnsi="Century" w:cs="Miriam" w:hint="eastAsia"/>
          <w:b/>
          <w:spacing w:val="0"/>
          <w:sz w:val="22"/>
          <w:szCs w:val="24"/>
          <w:rtl/>
        </w:rPr>
        <w:t>רשויות</w:t>
      </w:r>
      <w:r w:rsidRPr="006D5DD9">
        <w:rPr>
          <w:rFonts w:ascii="Century" w:hAnsi="Century" w:cs="Miriam"/>
          <w:b/>
          <w:spacing w:val="0"/>
          <w:sz w:val="22"/>
          <w:szCs w:val="24"/>
          <w:rtl/>
        </w:rPr>
        <w:t xml:space="preserve"> </w:t>
      </w:r>
      <w:r w:rsidRPr="006D5DD9">
        <w:rPr>
          <w:rFonts w:ascii="Century" w:hAnsi="Century" w:cs="Miriam" w:hint="eastAsia"/>
          <w:b/>
          <w:spacing w:val="0"/>
          <w:sz w:val="22"/>
          <w:szCs w:val="24"/>
          <w:rtl/>
        </w:rPr>
        <w:t>השלטון</w:t>
      </w:r>
      <w:r w:rsidRPr="006D5DD9">
        <w:rPr>
          <w:rFonts w:ascii="Century" w:hAnsi="Century" w:cs="Miriam"/>
          <w:b/>
          <w:spacing w:val="0"/>
          <w:sz w:val="22"/>
          <w:szCs w:val="24"/>
          <w:rtl/>
        </w:rPr>
        <w:t xml:space="preserve"> </w:t>
      </w:r>
      <w:r w:rsidRPr="006D5DD9">
        <w:rPr>
          <w:rFonts w:ascii="Century" w:hAnsi="Century" w:cs="Miriam" w:hint="eastAsia"/>
          <w:b/>
          <w:spacing w:val="0"/>
          <w:sz w:val="22"/>
          <w:szCs w:val="24"/>
          <w:rtl/>
        </w:rPr>
        <w:t>ואזרחות</w:t>
      </w:r>
      <w:r w:rsidRPr="006D5DD9">
        <w:rPr>
          <w:rtl/>
        </w:rPr>
        <w:t xml:space="preserve"> 7</w:t>
      </w:r>
      <w:r w:rsidRPr="006D5DD9">
        <w:rPr>
          <w:rFonts w:hint="cs"/>
          <w:rtl/>
        </w:rPr>
        <w:t>09</w:t>
      </w:r>
      <w:r w:rsidRPr="006D5DD9">
        <w:rPr>
          <w:rtl/>
        </w:rPr>
        <w:t xml:space="preserve"> (</w:t>
      </w:r>
      <w:r>
        <w:rPr>
          <w:rFonts w:hint="cs"/>
          <w:rtl/>
        </w:rPr>
        <w:t xml:space="preserve">מהדורה שישית, </w:t>
      </w:r>
      <w:r w:rsidRPr="006D5DD9">
        <w:rPr>
          <w:rtl/>
        </w:rPr>
        <w:t>2005)</w:t>
      </w:r>
      <w:r>
        <w:rPr>
          <w:rFonts w:hint="cs"/>
          <w:rtl/>
        </w:rPr>
        <w:t>)</w:t>
      </w:r>
      <w:r w:rsidRPr="006D5DD9">
        <w:rPr>
          <w:rFonts w:hint="cs"/>
          <w:rtl/>
        </w:rPr>
        <w:t>. משכך, החריגה מהפרקטיקה הנוהגת במקרה דנן יש בה, כשלעצמה, כדי לעורר קושי ממשי.</w:t>
      </w:r>
    </w:p>
    <w:p w:rsidR="00CB3B01" w:rsidRPr="006D5DD9" w:rsidRDefault="00CB3B01" w:rsidP="00CB3B01">
      <w:pPr>
        <w:pStyle w:val="Ruller41"/>
        <w:rPr>
          <w:rtl/>
        </w:rPr>
      </w:pPr>
    </w:p>
    <w:p w:rsidR="00CB3B01" w:rsidRPr="006D5DD9" w:rsidRDefault="00CB3B01" w:rsidP="00CB3B01">
      <w:pPr>
        <w:pStyle w:val="Ruller4"/>
        <w:rPr>
          <w:rtl/>
        </w:rPr>
      </w:pPr>
      <w:r w:rsidRPr="006D5DD9">
        <w:rPr>
          <w:rFonts w:hint="cs"/>
          <w:rtl/>
        </w:rPr>
        <w:t xml:space="preserve">בנוסף, יש לעמוד על כך שמסלול החקיקה של הצעת חוק מטעם ועדה הוא מסלול "מקל" ומקוצר בהשוואה למסלול החקיקה של הצעת חוק פרטית. בפרט, הצעת חוק מטעם ועדה אינה כפופה לדרישה מקדמית של דיון מוקדם במליאת הכנסת ("קריאה טרומית"), או לחובת הנחה של 45 יום. עיון בדיון שהתקיים בוועדת הכנסת בעניינו של סעיף 80 לתקנון </w:t>
      </w:r>
      <w:r>
        <w:rPr>
          <w:rFonts w:hint="cs"/>
          <w:rtl/>
        </w:rPr>
        <w:t xml:space="preserve">(במסגרת דיון על תיקון התקנון) </w:t>
      </w:r>
      <w:r w:rsidRPr="006D5DD9">
        <w:rPr>
          <w:rFonts w:hint="cs"/>
          <w:rtl/>
        </w:rPr>
        <w:t xml:space="preserve">מעלה כי ההצדקה ל"הקלות" אלו טמונה בהנחה כי בהצעות חוק מטעם ועדה ייעשה שימוש במשאבים ובמומחיות של הוועדה כעבודת הכנה, עובר לקידומה בכנסת </w:t>
      </w:r>
      <w:r w:rsidRPr="006D5DD9">
        <w:rPr>
          <w:rtl/>
        </w:rPr>
        <w:t>–</w:t>
      </w:r>
      <w:r w:rsidRPr="006D5DD9">
        <w:rPr>
          <w:rFonts w:hint="cs"/>
          <w:rtl/>
        </w:rPr>
        <w:t xml:space="preserve"> בדומה לעבודת המטה שנעשית ביחס להצעת חוק ממשלתית (שאף היא "פטורה" מקריאה טרומית ומחובת הנחה). קרי,</w:t>
      </w:r>
      <w:r>
        <w:rPr>
          <w:rFonts w:hint="cs"/>
          <w:rtl/>
        </w:rPr>
        <w:t xml:space="preserve"> ההנחה היא ש</w:t>
      </w:r>
      <w:r w:rsidRPr="006D5DD9">
        <w:rPr>
          <w:rFonts w:hint="cs"/>
          <w:rtl/>
        </w:rPr>
        <w:t>הצעות אלו יהיו "בשלות" יותר בהשוואה להצעות חוק פרטיות. וראו בהקשר זה את דבריו של נציג משרד המשפטים באותו הדיון, עו"ד איל זנדברג: "[...]</w:t>
      </w:r>
      <w:r w:rsidRPr="006D5DD9">
        <w:rPr>
          <w:rtl/>
        </w:rPr>
        <w:t xml:space="preserve"> </w:t>
      </w:r>
      <w:r w:rsidRPr="006D5DD9">
        <w:rPr>
          <w:rFonts w:hint="eastAsia"/>
          <w:rtl/>
        </w:rPr>
        <w:t>המשאבים</w:t>
      </w:r>
      <w:r w:rsidRPr="006D5DD9">
        <w:rPr>
          <w:rtl/>
        </w:rPr>
        <w:t xml:space="preserve"> </w:t>
      </w:r>
      <w:r w:rsidRPr="006D5DD9">
        <w:rPr>
          <w:rFonts w:hint="eastAsia"/>
          <w:rtl/>
        </w:rPr>
        <w:t>של</w:t>
      </w:r>
      <w:r w:rsidRPr="006D5DD9">
        <w:rPr>
          <w:rtl/>
        </w:rPr>
        <w:t xml:space="preserve"> </w:t>
      </w:r>
      <w:r w:rsidRPr="006D5DD9">
        <w:rPr>
          <w:rFonts w:hint="eastAsia"/>
          <w:rtl/>
        </w:rPr>
        <w:t>הוועדה</w:t>
      </w:r>
      <w:r w:rsidRPr="006D5DD9">
        <w:rPr>
          <w:rtl/>
        </w:rPr>
        <w:t xml:space="preserve"> </w:t>
      </w:r>
      <w:r w:rsidRPr="006D5DD9">
        <w:rPr>
          <w:rFonts w:hint="eastAsia"/>
          <w:rtl/>
        </w:rPr>
        <w:t>אמורים</w:t>
      </w:r>
      <w:r w:rsidRPr="006D5DD9">
        <w:rPr>
          <w:rtl/>
        </w:rPr>
        <w:t xml:space="preserve"> </w:t>
      </w:r>
      <w:r w:rsidRPr="006D5DD9">
        <w:rPr>
          <w:rFonts w:hint="eastAsia"/>
          <w:rtl/>
        </w:rPr>
        <w:t>להיות</w:t>
      </w:r>
      <w:r w:rsidRPr="006D5DD9">
        <w:rPr>
          <w:rtl/>
        </w:rPr>
        <w:t xml:space="preserve"> </w:t>
      </w:r>
      <w:r w:rsidRPr="006D5DD9">
        <w:rPr>
          <w:rFonts w:hint="eastAsia"/>
          <w:rtl/>
        </w:rPr>
        <w:t>תחליף</w:t>
      </w:r>
      <w:r w:rsidRPr="006D5DD9">
        <w:rPr>
          <w:rtl/>
        </w:rPr>
        <w:t xml:space="preserve">, </w:t>
      </w:r>
      <w:r w:rsidRPr="006D5DD9">
        <w:rPr>
          <w:rFonts w:hint="eastAsia"/>
          <w:rtl/>
        </w:rPr>
        <w:t>וסליחה</w:t>
      </w:r>
      <w:r w:rsidRPr="006D5DD9">
        <w:rPr>
          <w:rtl/>
        </w:rPr>
        <w:t xml:space="preserve"> </w:t>
      </w:r>
      <w:r w:rsidRPr="006D5DD9">
        <w:rPr>
          <w:rFonts w:hint="eastAsia"/>
          <w:rtl/>
        </w:rPr>
        <w:t>שאני</w:t>
      </w:r>
      <w:r w:rsidRPr="006D5DD9">
        <w:rPr>
          <w:rtl/>
        </w:rPr>
        <w:t xml:space="preserve"> </w:t>
      </w:r>
      <w:r w:rsidRPr="006D5DD9">
        <w:rPr>
          <w:rFonts w:hint="eastAsia"/>
          <w:rtl/>
        </w:rPr>
        <w:t>אומר</w:t>
      </w:r>
      <w:r w:rsidRPr="006D5DD9">
        <w:rPr>
          <w:rtl/>
        </w:rPr>
        <w:t xml:space="preserve"> </w:t>
      </w:r>
      <w:r w:rsidRPr="006D5DD9">
        <w:rPr>
          <w:rFonts w:hint="eastAsia"/>
          <w:rtl/>
        </w:rPr>
        <w:t>את</w:t>
      </w:r>
      <w:r w:rsidRPr="006D5DD9">
        <w:rPr>
          <w:rtl/>
        </w:rPr>
        <w:t xml:space="preserve"> </w:t>
      </w:r>
      <w:r w:rsidRPr="006D5DD9">
        <w:rPr>
          <w:rFonts w:hint="eastAsia"/>
          <w:rtl/>
        </w:rPr>
        <w:t>זה</w:t>
      </w:r>
      <w:r w:rsidRPr="006D5DD9">
        <w:rPr>
          <w:rtl/>
        </w:rPr>
        <w:t xml:space="preserve"> </w:t>
      </w:r>
      <w:r w:rsidRPr="006D5DD9">
        <w:rPr>
          <w:rFonts w:hint="eastAsia"/>
          <w:rtl/>
        </w:rPr>
        <w:t>כך</w:t>
      </w:r>
      <w:r w:rsidRPr="006D5DD9">
        <w:rPr>
          <w:rtl/>
        </w:rPr>
        <w:t xml:space="preserve">, </w:t>
      </w:r>
      <w:r w:rsidRPr="006D5DD9">
        <w:rPr>
          <w:rFonts w:hint="eastAsia"/>
          <w:rtl/>
        </w:rPr>
        <w:t>למנגנוני</w:t>
      </w:r>
      <w:r w:rsidRPr="006D5DD9">
        <w:rPr>
          <w:rtl/>
        </w:rPr>
        <w:t xml:space="preserve"> </w:t>
      </w:r>
      <w:r w:rsidRPr="006D5DD9">
        <w:rPr>
          <w:rFonts w:hint="eastAsia"/>
          <w:rtl/>
        </w:rPr>
        <w:t>הממשלה</w:t>
      </w:r>
      <w:r w:rsidRPr="006D5DD9">
        <w:rPr>
          <w:rtl/>
        </w:rPr>
        <w:t xml:space="preserve"> </w:t>
      </w:r>
      <w:r w:rsidRPr="006D5DD9">
        <w:rPr>
          <w:rFonts w:hint="cs"/>
          <w:rtl/>
        </w:rPr>
        <w:t xml:space="preserve">[...] </w:t>
      </w:r>
      <w:r w:rsidRPr="006D5DD9">
        <w:rPr>
          <w:rFonts w:hint="eastAsia"/>
          <w:rtl/>
        </w:rPr>
        <w:t>למה</w:t>
      </w:r>
      <w:r w:rsidRPr="006D5DD9">
        <w:rPr>
          <w:rtl/>
        </w:rPr>
        <w:t xml:space="preserve"> </w:t>
      </w:r>
      <w:r w:rsidRPr="006D5DD9">
        <w:rPr>
          <w:rFonts w:hint="eastAsia"/>
          <w:rtl/>
        </w:rPr>
        <w:t>ועדה</w:t>
      </w:r>
      <w:r w:rsidRPr="006D5DD9">
        <w:rPr>
          <w:rtl/>
        </w:rPr>
        <w:t xml:space="preserve"> </w:t>
      </w:r>
      <w:r w:rsidRPr="006D5DD9">
        <w:rPr>
          <w:rFonts w:hint="eastAsia"/>
          <w:rtl/>
        </w:rPr>
        <w:t>יכולה</w:t>
      </w:r>
      <w:r w:rsidRPr="006D5DD9">
        <w:rPr>
          <w:rtl/>
        </w:rPr>
        <w:t xml:space="preserve"> </w:t>
      </w:r>
      <w:r w:rsidRPr="006D5DD9">
        <w:rPr>
          <w:rFonts w:hint="eastAsia"/>
          <w:rtl/>
        </w:rPr>
        <w:t>לקפוץ</w:t>
      </w:r>
      <w:r w:rsidRPr="006D5DD9">
        <w:rPr>
          <w:rtl/>
        </w:rPr>
        <w:t xml:space="preserve"> </w:t>
      </w:r>
      <w:r w:rsidRPr="006D5DD9">
        <w:rPr>
          <w:rFonts w:hint="eastAsia"/>
          <w:rtl/>
        </w:rPr>
        <w:t>ישר</w:t>
      </w:r>
      <w:r w:rsidRPr="006D5DD9">
        <w:rPr>
          <w:rtl/>
        </w:rPr>
        <w:t xml:space="preserve"> </w:t>
      </w:r>
      <w:r w:rsidRPr="006D5DD9">
        <w:rPr>
          <w:rFonts w:hint="eastAsia"/>
          <w:rtl/>
        </w:rPr>
        <w:t>לקריאה</w:t>
      </w:r>
      <w:r w:rsidRPr="006D5DD9">
        <w:rPr>
          <w:rtl/>
        </w:rPr>
        <w:t xml:space="preserve"> </w:t>
      </w:r>
      <w:r w:rsidRPr="006D5DD9">
        <w:rPr>
          <w:rFonts w:hint="eastAsia"/>
          <w:rtl/>
        </w:rPr>
        <w:t>הראשונה</w:t>
      </w:r>
      <w:r w:rsidRPr="006D5DD9">
        <w:rPr>
          <w:rtl/>
        </w:rPr>
        <w:t xml:space="preserve">? </w:t>
      </w:r>
      <w:r w:rsidRPr="006D5DD9">
        <w:rPr>
          <w:rFonts w:hint="eastAsia"/>
          <w:rtl/>
        </w:rPr>
        <w:t>כי</w:t>
      </w:r>
      <w:r w:rsidRPr="006D5DD9">
        <w:rPr>
          <w:rtl/>
        </w:rPr>
        <w:t xml:space="preserve"> </w:t>
      </w:r>
      <w:r w:rsidRPr="006D5DD9">
        <w:rPr>
          <w:rFonts w:hint="eastAsia"/>
          <w:rtl/>
        </w:rPr>
        <w:t>מניחים</w:t>
      </w:r>
      <w:r w:rsidRPr="006D5DD9">
        <w:rPr>
          <w:rtl/>
        </w:rPr>
        <w:t xml:space="preserve"> </w:t>
      </w:r>
      <w:r w:rsidRPr="006D5DD9">
        <w:rPr>
          <w:rFonts w:ascii="Century" w:hAnsi="Century" w:hint="eastAsia"/>
          <w:sz w:val="22"/>
          <w:rtl/>
        </w:rPr>
        <w:t>שהוועדה</w:t>
      </w:r>
      <w:r w:rsidRPr="006D5DD9">
        <w:rPr>
          <w:rFonts w:ascii="Century" w:hAnsi="Century"/>
          <w:sz w:val="22"/>
          <w:rtl/>
        </w:rPr>
        <w:t xml:space="preserve"> </w:t>
      </w:r>
      <w:r w:rsidRPr="006D5DD9">
        <w:rPr>
          <w:rFonts w:ascii="Century" w:hAnsi="Century" w:hint="eastAsia"/>
          <w:sz w:val="22"/>
          <w:rtl/>
        </w:rPr>
        <w:t>כגוף</w:t>
      </w:r>
      <w:r w:rsidRPr="006D5DD9">
        <w:rPr>
          <w:rFonts w:ascii="Century" w:hAnsi="Century"/>
          <w:sz w:val="22"/>
          <w:rtl/>
        </w:rPr>
        <w:t xml:space="preserve">, </w:t>
      </w:r>
      <w:r w:rsidRPr="006D5DD9">
        <w:rPr>
          <w:rFonts w:ascii="Century" w:hAnsi="Century" w:hint="eastAsia"/>
          <w:sz w:val="22"/>
          <w:rtl/>
        </w:rPr>
        <w:t>יש</w:t>
      </w:r>
      <w:r w:rsidRPr="006D5DD9">
        <w:rPr>
          <w:rFonts w:ascii="Century" w:hAnsi="Century"/>
          <w:sz w:val="22"/>
          <w:rtl/>
        </w:rPr>
        <w:t xml:space="preserve"> </w:t>
      </w:r>
      <w:r w:rsidRPr="006D5DD9">
        <w:rPr>
          <w:rFonts w:ascii="Century" w:hAnsi="Century" w:hint="eastAsia"/>
          <w:sz w:val="22"/>
          <w:rtl/>
        </w:rPr>
        <w:t>לה</w:t>
      </w:r>
      <w:r w:rsidRPr="006D5DD9">
        <w:rPr>
          <w:rFonts w:ascii="Century" w:hAnsi="Century"/>
          <w:sz w:val="22"/>
          <w:rtl/>
        </w:rPr>
        <w:t xml:space="preserve"> </w:t>
      </w:r>
      <w:r w:rsidRPr="006D5DD9">
        <w:rPr>
          <w:rFonts w:ascii="Century" w:hAnsi="Century" w:hint="eastAsia"/>
          <w:sz w:val="22"/>
          <w:rtl/>
        </w:rPr>
        <w:t>יותר</w:t>
      </w:r>
      <w:r w:rsidRPr="006D5DD9">
        <w:rPr>
          <w:rFonts w:ascii="Century" w:hAnsi="Century"/>
          <w:sz w:val="22"/>
          <w:rtl/>
        </w:rPr>
        <w:t xml:space="preserve"> </w:t>
      </w:r>
      <w:r w:rsidRPr="006D5DD9">
        <w:rPr>
          <w:rFonts w:ascii="Century" w:hAnsi="Century" w:hint="eastAsia"/>
          <w:sz w:val="22"/>
          <w:rtl/>
        </w:rPr>
        <w:t>התמחות</w:t>
      </w:r>
      <w:r w:rsidRPr="006D5DD9">
        <w:rPr>
          <w:rFonts w:ascii="Century" w:hAnsi="Century"/>
          <w:sz w:val="22"/>
          <w:rtl/>
        </w:rPr>
        <w:t xml:space="preserve"> </w:t>
      </w:r>
      <w:r w:rsidRPr="006D5DD9">
        <w:rPr>
          <w:rFonts w:ascii="Century" w:hAnsi="Century" w:hint="eastAsia"/>
          <w:sz w:val="22"/>
          <w:rtl/>
        </w:rPr>
        <w:t>ומשאבים</w:t>
      </w:r>
      <w:r w:rsidRPr="006D5DD9">
        <w:rPr>
          <w:rFonts w:ascii="Century" w:hAnsi="Century"/>
          <w:sz w:val="22"/>
          <w:rtl/>
        </w:rPr>
        <w:t xml:space="preserve"> </w:t>
      </w:r>
      <w:r w:rsidRPr="006D5DD9">
        <w:rPr>
          <w:rFonts w:ascii="Century" w:hAnsi="Century" w:hint="eastAsia"/>
          <w:sz w:val="22"/>
          <w:rtl/>
        </w:rPr>
        <w:t>מחבר</w:t>
      </w:r>
      <w:r w:rsidRPr="006D5DD9">
        <w:rPr>
          <w:rFonts w:ascii="Century" w:hAnsi="Century"/>
          <w:sz w:val="22"/>
          <w:rtl/>
        </w:rPr>
        <w:t xml:space="preserve"> </w:t>
      </w:r>
      <w:r w:rsidRPr="006D5DD9">
        <w:rPr>
          <w:rFonts w:ascii="Century" w:hAnsi="Century" w:hint="eastAsia"/>
          <w:sz w:val="22"/>
          <w:rtl/>
        </w:rPr>
        <w:t>הכנסת</w:t>
      </w:r>
      <w:r w:rsidRPr="006D5DD9">
        <w:rPr>
          <w:rFonts w:ascii="Century" w:hAnsi="Century"/>
          <w:sz w:val="22"/>
          <w:rtl/>
        </w:rPr>
        <w:t xml:space="preserve"> </w:t>
      </w:r>
      <w:r w:rsidRPr="006D5DD9">
        <w:rPr>
          <w:rFonts w:ascii="Century" w:hAnsi="Century" w:hint="eastAsia"/>
          <w:sz w:val="22"/>
          <w:rtl/>
        </w:rPr>
        <w:t>הבודד</w:t>
      </w:r>
      <w:r w:rsidRPr="006D5DD9">
        <w:rPr>
          <w:rFonts w:ascii="Century" w:hAnsi="Century"/>
          <w:sz w:val="22"/>
          <w:rtl/>
        </w:rPr>
        <w:t xml:space="preserve"> </w:t>
      </w:r>
      <w:r w:rsidRPr="006D5DD9">
        <w:rPr>
          <w:rFonts w:ascii="Century" w:hAnsi="Century" w:hint="eastAsia"/>
          <w:sz w:val="22"/>
          <w:rtl/>
        </w:rPr>
        <w:t>שמגיש</w:t>
      </w:r>
      <w:r w:rsidRPr="006D5DD9">
        <w:rPr>
          <w:rFonts w:ascii="Century" w:hAnsi="Century"/>
          <w:sz w:val="22"/>
          <w:rtl/>
        </w:rPr>
        <w:t xml:space="preserve"> </w:t>
      </w:r>
      <w:r w:rsidRPr="006D5DD9">
        <w:rPr>
          <w:rFonts w:ascii="Century" w:hAnsi="Century" w:hint="eastAsia"/>
          <w:sz w:val="22"/>
          <w:rtl/>
        </w:rPr>
        <w:t>הצעת</w:t>
      </w:r>
      <w:r w:rsidRPr="006D5DD9">
        <w:rPr>
          <w:rFonts w:ascii="Century" w:hAnsi="Century"/>
          <w:sz w:val="22"/>
          <w:rtl/>
        </w:rPr>
        <w:t xml:space="preserve"> </w:t>
      </w:r>
      <w:r w:rsidRPr="006D5DD9">
        <w:rPr>
          <w:rFonts w:ascii="Century" w:hAnsi="Century" w:hint="eastAsia"/>
          <w:sz w:val="22"/>
          <w:rtl/>
        </w:rPr>
        <w:t>חוק</w:t>
      </w:r>
      <w:r w:rsidRPr="006D5DD9">
        <w:rPr>
          <w:rFonts w:ascii="Century" w:hAnsi="Century" w:hint="cs"/>
          <w:sz w:val="22"/>
          <w:rtl/>
        </w:rPr>
        <w:t>" (</w:t>
      </w:r>
      <w:r w:rsidRPr="006D5DD9">
        <w:rPr>
          <w:rFonts w:hint="cs"/>
          <w:rtl/>
        </w:rPr>
        <w:t xml:space="preserve">פרוטוקול ישיבה 161 של ועדת הכנסת, הכנסת ה-18, 56 (1.3.2011) (להלן: </w:t>
      </w:r>
      <w:r w:rsidRPr="006D5DD9">
        <w:rPr>
          <w:rFonts w:ascii="Century" w:hAnsi="Century" w:cs="Miriam" w:hint="cs"/>
          <w:b/>
          <w:spacing w:val="0"/>
          <w:sz w:val="22"/>
          <w:szCs w:val="24"/>
          <w:rtl/>
        </w:rPr>
        <w:t>פרוטוקול הדיון מיום 1.3.2011</w:t>
      </w:r>
      <w:r w:rsidRPr="006D5DD9">
        <w:rPr>
          <w:rFonts w:hint="cs"/>
          <w:rtl/>
        </w:rPr>
        <w:t xml:space="preserve">)). מקום שבו הצעת החוק </w:t>
      </w:r>
      <w:r>
        <w:rPr>
          <w:rFonts w:hint="cs"/>
          <w:rtl/>
        </w:rPr>
        <w:t xml:space="preserve">מטעם ועדה </w:t>
      </w:r>
      <w:r w:rsidRPr="006D5DD9">
        <w:rPr>
          <w:rFonts w:hint="cs"/>
          <w:rtl/>
        </w:rPr>
        <w:t xml:space="preserve">מקודמת </w:t>
      </w:r>
      <w:r>
        <w:rPr>
          <w:rFonts w:hint="cs"/>
          <w:rtl/>
        </w:rPr>
        <w:t xml:space="preserve">למעשה </w:t>
      </w:r>
      <w:r w:rsidRPr="006D5DD9">
        <w:rPr>
          <w:rFonts w:hint="cs"/>
          <w:rtl/>
        </w:rPr>
        <w:t xml:space="preserve">על ידי חבר כנסת יחיד, ולא נעשה שימוש במנגנונים האמורים, עשויה להתערער עד מאוד ההצדקה לעשות שימוש במסלול המקוצר והמקל </w:t>
      </w:r>
      <w:r w:rsidRPr="006D5DD9">
        <w:rPr>
          <w:rtl/>
        </w:rPr>
        <w:t>–</w:t>
      </w:r>
      <w:r w:rsidRPr="006D5DD9">
        <w:rPr>
          <w:rFonts w:hint="cs"/>
          <w:rtl/>
        </w:rPr>
        <w:t xml:space="preserve"> תוך "עקיפת" הד</w:t>
      </w:r>
      <w:r>
        <w:rPr>
          <w:rFonts w:hint="cs"/>
          <w:rtl/>
        </w:rPr>
        <w:t>רישה לקריאה נוספת ולחובת ההנחה.</w:t>
      </w:r>
    </w:p>
    <w:p w:rsidR="00CB3B01" w:rsidRPr="006D5DD9" w:rsidRDefault="00CB3B01" w:rsidP="00CB3B01">
      <w:pPr>
        <w:pStyle w:val="Ruller41"/>
        <w:rPr>
          <w:rtl/>
        </w:rPr>
      </w:pPr>
    </w:p>
    <w:p w:rsidR="00CB3B01" w:rsidRPr="006D5DD9" w:rsidRDefault="00CB3B01" w:rsidP="00CB3B01">
      <w:pPr>
        <w:pStyle w:val="Ruller4"/>
        <w:rPr>
          <w:rtl/>
        </w:rPr>
      </w:pPr>
      <w:r w:rsidRPr="006D5DD9">
        <w:rPr>
          <w:rFonts w:hint="cs"/>
          <w:rtl/>
        </w:rPr>
        <w:lastRenderedPageBreak/>
        <w:t xml:space="preserve">בשים לב לאמור לעיל בדבר ההקלות שנלוות למסלול הצעת חוק מטעם ועדה, דומה כי </w:t>
      </w:r>
      <w:r>
        <w:rPr>
          <w:rFonts w:hint="cs"/>
          <w:rtl/>
        </w:rPr>
        <w:t xml:space="preserve">בענייננו </w:t>
      </w:r>
      <w:r w:rsidRPr="006D5DD9">
        <w:rPr>
          <w:rFonts w:hint="cs"/>
          <w:rtl/>
        </w:rPr>
        <w:t xml:space="preserve">מתחדדת גם חשיבותה של השאלה מיהו הגורם שמוסמך ליזום הצעת חוק כאמור. כפי שצוין בחוות דעתו של חברי השופט </w:t>
      </w:r>
      <w:r w:rsidRPr="006D5DD9">
        <w:rPr>
          <w:rFonts w:ascii="Century" w:hAnsi="Century" w:cs="Miriam" w:hint="cs"/>
          <w:b/>
          <w:spacing w:val="0"/>
          <w:sz w:val="22"/>
          <w:szCs w:val="24"/>
          <w:rtl/>
        </w:rPr>
        <w:t>י' כשר</w:t>
      </w:r>
      <w:r w:rsidRPr="006D5DD9">
        <w:rPr>
          <w:rFonts w:hint="cs"/>
          <w:rtl/>
        </w:rPr>
        <w:t>, הוראת סעיף 80 לתקנון שותקת באשר לשאל</w:t>
      </w:r>
      <w:r>
        <w:rPr>
          <w:rFonts w:hint="cs"/>
          <w:rtl/>
        </w:rPr>
        <w:t>ת</w:t>
      </w:r>
      <w:r w:rsidRPr="006D5DD9">
        <w:rPr>
          <w:rFonts w:hint="cs"/>
          <w:rtl/>
        </w:rPr>
        <w:t xml:space="preserve"> מיהו</w:t>
      </w:r>
      <w:r>
        <w:rPr>
          <w:rFonts w:hint="cs"/>
          <w:rtl/>
        </w:rPr>
        <w:t>ת</w:t>
      </w:r>
      <w:r w:rsidRPr="006D5DD9">
        <w:rPr>
          <w:rFonts w:hint="cs"/>
          <w:rtl/>
        </w:rPr>
        <w:t xml:space="preserve"> הגורם אשר מוסמך ליזום הצעת חוק בשם ועדה. ואולם, בשונה מחברי</w:t>
      </w:r>
      <w:r>
        <w:rPr>
          <w:rFonts w:hint="cs"/>
          <w:rtl/>
        </w:rPr>
        <w:t xml:space="preserve"> </w:t>
      </w:r>
      <w:r w:rsidRPr="006D5DD9">
        <w:rPr>
          <w:rFonts w:hint="cs"/>
          <w:rtl/>
        </w:rPr>
        <w:t xml:space="preserve">(ראו פסקה 49 לחוות דעתו), איני סבור כי שתיקת התקנון מכריעה סוגיה זו. לעמדתי, שאלה זו היא שאלה מורכבת, והיא מערבת אינטרסים כבדי משקל. כך למשל, נוכח סמכותו של יו"ר הוועדה לקבוע את סדר יומה של הוועדה (סעיף 111(ב)(1) לתקנון הכנסת), עשויה להינתן לו </w:t>
      </w:r>
      <w:r w:rsidRPr="006D5DD9">
        <w:rPr>
          <w:rtl/>
        </w:rPr>
        <w:t>–</w:t>
      </w:r>
      <w:r w:rsidRPr="006D5DD9">
        <w:rPr>
          <w:rFonts w:hint="cs"/>
          <w:rtl/>
        </w:rPr>
        <w:t xml:space="preserve"> הלכה למעשה </w:t>
      </w:r>
      <w:r w:rsidRPr="006D5DD9">
        <w:rPr>
          <w:rtl/>
        </w:rPr>
        <w:t>–</w:t>
      </w:r>
      <w:r w:rsidRPr="006D5DD9">
        <w:rPr>
          <w:rFonts w:hint="cs"/>
          <w:rtl/>
        </w:rPr>
        <w:t xml:space="preserve"> זכות "וטו" בקידום הצעת חוק מטעם הוועדה; כמו גם אפשרות עודפת בהשוואה לחברי כנסת אחרים לקידום הצעות חוק מטעמו תחת הכותרת הצעת חוק מטעם ועדה. איני משוכנע כי לשונו ותכליתו של סעיף 80 מלמדות על כוונה ליתן כוח עודף כאמור ליושבי ראש הוועדות הרלוונטיות. יוער כי סוגיה זו הועלתה בדיוני ועדת הכנסת </w:t>
      </w:r>
      <w:r>
        <w:rPr>
          <w:rFonts w:hint="cs"/>
          <w:rtl/>
        </w:rPr>
        <w:t>ביחס ל</w:t>
      </w:r>
      <w:r w:rsidRPr="006D5DD9">
        <w:rPr>
          <w:rFonts w:hint="cs"/>
          <w:rtl/>
        </w:rPr>
        <w:t xml:space="preserve">סעיף 80 לתקנון, ואף אז הובע החשש כי מנגנון זה "ינוצל לרעה" בידי יו"ר הוועדה (וראו: פרוטוקול הדיון מיום 1.3.2011, בעמ' 60). </w:t>
      </w:r>
    </w:p>
    <w:p w:rsidR="00CB3B01" w:rsidRPr="006D5DD9" w:rsidRDefault="00CB3B01" w:rsidP="00CB3B01">
      <w:pPr>
        <w:pStyle w:val="Ruller4"/>
        <w:numPr>
          <w:ilvl w:val="0"/>
          <w:numId w:val="0"/>
        </w:numPr>
      </w:pPr>
    </w:p>
    <w:p w:rsidR="00CB3B01" w:rsidRPr="006D5DD9" w:rsidRDefault="00CB3B01" w:rsidP="00CB3B01">
      <w:pPr>
        <w:pStyle w:val="Ruller4"/>
      </w:pPr>
      <w:r w:rsidRPr="006D5DD9">
        <w:rPr>
          <w:rtl/>
        </w:rPr>
        <w:tab/>
      </w:r>
      <w:r w:rsidRPr="006D5DD9">
        <w:rPr>
          <w:rFonts w:hint="cs"/>
          <w:rtl/>
        </w:rPr>
        <w:t xml:space="preserve">הסוגיות </w:t>
      </w:r>
      <w:r>
        <w:rPr>
          <w:rFonts w:hint="cs"/>
          <w:rtl/>
        </w:rPr>
        <w:t>שעליהן עמדתי לעיל אינן מחייבות</w:t>
      </w:r>
      <w:r w:rsidRPr="006D5DD9">
        <w:rPr>
          <w:rFonts w:hint="cs"/>
          <w:rtl/>
        </w:rPr>
        <w:t xml:space="preserve"> ביאור ממצה</w:t>
      </w:r>
      <w:r>
        <w:rPr>
          <w:rFonts w:hint="cs"/>
          <w:rtl/>
        </w:rPr>
        <w:t xml:space="preserve"> במקרה דנן</w:t>
      </w:r>
      <w:r w:rsidRPr="006D5DD9">
        <w:rPr>
          <w:rFonts w:hint="cs"/>
          <w:rtl/>
        </w:rPr>
        <w:t>, מאחר שכאמור, הגעתי ל</w:t>
      </w:r>
      <w:r>
        <w:rPr>
          <w:rFonts w:hint="cs"/>
          <w:rtl/>
        </w:rPr>
        <w:t xml:space="preserve">כלל </w:t>
      </w:r>
      <w:r w:rsidRPr="006D5DD9">
        <w:rPr>
          <w:rFonts w:hint="cs"/>
          <w:rtl/>
        </w:rPr>
        <w:t xml:space="preserve">מסקנה כי יש להורות על ביטולו של תיקון מס' 3 בשל תוכנו. </w:t>
      </w:r>
      <w:r>
        <w:rPr>
          <w:rFonts w:hint="cs"/>
          <w:rtl/>
        </w:rPr>
        <w:t>עם זאת</w:t>
      </w:r>
      <w:r w:rsidRPr="006D5DD9">
        <w:rPr>
          <w:rFonts w:hint="cs"/>
          <w:rtl/>
        </w:rPr>
        <w:t xml:space="preserve">, רשמתי לפניי את הצהרת הכנסת שלפיה "נוכח ריבוי הצעות חוק מטעם ועדה בתקופה האחרונה, בוחנת היועצת המשפטית לכנסת במבט צופה פני עתיד אם יש צורך בקביעת הנחיות לקידום הצעת חוק מטעם ועדה, ואם כן </w:t>
      </w:r>
      <w:r w:rsidRPr="006D5DD9">
        <w:rPr>
          <w:rtl/>
        </w:rPr>
        <w:t>–</w:t>
      </w:r>
      <w:r w:rsidRPr="006D5DD9">
        <w:rPr>
          <w:rFonts w:hint="cs"/>
          <w:rtl/>
        </w:rPr>
        <w:t xml:space="preserve"> מהם, ומה הדרך הראויה לעשות זאת" (סעיף 229 לכתב התשובה</w:t>
      </w:r>
      <w:r>
        <w:rPr>
          <w:rFonts w:hint="cs"/>
          <w:rtl/>
        </w:rPr>
        <w:t xml:space="preserve"> מטעמה</w:t>
      </w:r>
      <w:r w:rsidRPr="006D5DD9">
        <w:rPr>
          <w:rFonts w:hint="cs"/>
          <w:rtl/>
        </w:rPr>
        <w:t>). אכן, המורכבויות שתוארו לעיל ביחס לשימוש בסעיף 80 לתקנון הכנסת (כמו גם מורכבויות נוספות שעשויות להתעורר</w:t>
      </w:r>
      <w:r>
        <w:rPr>
          <w:rFonts w:hint="cs"/>
          <w:rtl/>
        </w:rPr>
        <w:t xml:space="preserve"> בהקשר זה</w:t>
      </w:r>
      <w:r w:rsidRPr="006D5DD9">
        <w:rPr>
          <w:rFonts w:hint="cs"/>
          <w:rtl/>
        </w:rPr>
        <w:t xml:space="preserve">), מצדיקות קביעת כללים שייתנו להן מענה. ברי כי אין בהערותיי לעיל, שבהן לא ראיתי לטעת מסמרות, כדי לכבול את שיקול דעתה של הכנסת בקביעת כללים כאמור. </w:t>
      </w:r>
    </w:p>
    <w:p w:rsidR="00CB3B01" w:rsidRDefault="00CB3B01" w:rsidP="00CB3B01">
      <w:pPr>
        <w:pStyle w:val="Ruller41"/>
        <w:rPr>
          <w:rFonts w:ascii="Century" w:hAnsi="Century" w:cs="Miriam"/>
          <w:b/>
          <w:spacing w:val="0"/>
          <w:szCs w:val="24"/>
          <w:rtl/>
        </w:rPr>
      </w:pPr>
    </w:p>
    <w:p w:rsidR="00CB3B01" w:rsidRDefault="00CB3B01" w:rsidP="00CB3B01">
      <w:pPr>
        <w:pStyle w:val="Ruller41"/>
        <w:rPr>
          <w:rFonts w:ascii="Century" w:hAnsi="Century" w:cs="Miriam"/>
          <w:b/>
          <w:spacing w:val="0"/>
          <w:szCs w:val="24"/>
          <w:rtl/>
        </w:rPr>
      </w:pPr>
      <w:r>
        <w:rPr>
          <w:rFonts w:ascii="Century" w:hAnsi="Century" w:cs="Miriam" w:hint="cs"/>
          <w:b/>
          <w:spacing w:val="0"/>
          <w:szCs w:val="24"/>
          <w:rtl/>
        </w:rPr>
        <w:t>אחר הדברים האלה</w:t>
      </w:r>
    </w:p>
    <w:p w:rsidR="00CB3B01" w:rsidRDefault="00CB3B01" w:rsidP="009B0AFF">
      <w:pPr>
        <w:pStyle w:val="Ruller41"/>
        <w:spacing w:line="276" w:lineRule="auto"/>
        <w:rPr>
          <w:rFonts w:ascii="Century" w:hAnsi="Century" w:cs="Miriam"/>
          <w:b/>
          <w:spacing w:val="0"/>
          <w:szCs w:val="24"/>
          <w:rtl/>
        </w:rPr>
      </w:pPr>
    </w:p>
    <w:p w:rsidR="00CB3B01" w:rsidRDefault="00CB3B01" w:rsidP="00CB3B01">
      <w:pPr>
        <w:pStyle w:val="Ruller4"/>
        <w:rPr>
          <w:rFonts w:ascii="Century" w:hAnsi="Century"/>
        </w:rPr>
      </w:pPr>
      <w:r>
        <w:rPr>
          <w:rFonts w:hint="cs"/>
          <w:rtl/>
        </w:rPr>
        <w:t xml:space="preserve">לאחר כתיבת הדברים, עיינתי בחוות דעתם של חבריי וחברותיי, ודומני כי הבדלי הגישות בינינו ברורים ואין הכרח להוסיף ולהרחיב בנושא. </w:t>
      </w:r>
      <w:r>
        <w:rPr>
          <w:rFonts w:ascii="Century" w:hAnsi="Century" w:hint="cs"/>
          <w:rtl/>
        </w:rPr>
        <w:t xml:space="preserve">לצד זאת, ראיתי להתייחס בתמצית לחוות דעתו של חברי השופט </w:t>
      </w:r>
      <w:r>
        <w:rPr>
          <w:rFonts w:ascii="Century" w:hAnsi="Century" w:cs="Miriam" w:hint="cs"/>
          <w:b/>
          <w:spacing w:val="0"/>
          <w:sz w:val="22"/>
          <w:szCs w:val="24"/>
          <w:rtl/>
        </w:rPr>
        <w:t>נ' סולברג</w:t>
      </w:r>
      <w:r>
        <w:rPr>
          <w:rFonts w:ascii="Century" w:hAnsi="Century" w:hint="cs"/>
          <w:sz w:val="22"/>
          <w:rtl/>
        </w:rPr>
        <w:t xml:space="preserve">. בחוות דעתו, נשען חברי על עמדות היסטוריות של שופטי ונשיאי בית משפט זה כדי לתמוך במסקנתו בדבר </w:t>
      </w:r>
      <w:r>
        <w:rPr>
          <w:rFonts w:ascii="Century" w:hAnsi="Century" w:hint="cs"/>
          <w:rtl/>
        </w:rPr>
        <w:t xml:space="preserve">סמכותה הבלתי מוגבלת של הכנסת בכובעה כרשות מכוננת. הישענותו של חברי  על עמדות אלו לוקה במספר מישורים, שעליהם עמדו גם חלק מחבריי (ראו פסקה 205 לחוות דעתה של הנשיאה (בדימ') </w:t>
      </w:r>
      <w:r>
        <w:rPr>
          <w:rFonts w:ascii="Century" w:hAnsi="Century" w:cs="Miriam" w:hint="cs"/>
          <w:b/>
          <w:spacing w:val="0"/>
          <w:sz w:val="22"/>
          <w:szCs w:val="24"/>
          <w:rtl/>
        </w:rPr>
        <w:t>חיות</w:t>
      </w:r>
      <w:r>
        <w:rPr>
          <w:rFonts w:ascii="Century" w:hAnsi="Century" w:hint="cs"/>
          <w:sz w:val="22"/>
          <w:rtl/>
        </w:rPr>
        <w:t xml:space="preserve">; פסקה 128 לחוות דעתו של השופט </w:t>
      </w:r>
      <w:r>
        <w:rPr>
          <w:rFonts w:ascii="Century" w:hAnsi="Century" w:cs="Miriam" w:hint="cs"/>
          <w:b/>
          <w:spacing w:val="0"/>
          <w:sz w:val="22"/>
          <w:szCs w:val="24"/>
          <w:rtl/>
        </w:rPr>
        <w:t>עמית</w:t>
      </w:r>
      <w:r>
        <w:rPr>
          <w:rFonts w:ascii="Century" w:hAnsi="Century" w:hint="cs"/>
          <w:sz w:val="22"/>
          <w:rtl/>
        </w:rPr>
        <w:t xml:space="preserve">; פסקאות 105-102 </w:t>
      </w:r>
      <w:r>
        <w:rPr>
          <w:rFonts w:ascii="Century" w:hAnsi="Century" w:hint="cs"/>
          <w:sz w:val="22"/>
          <w:rtl/>
        </w:rPr>
        <w:lastRenderedPageBreak/>
        <w:t xml:space="preserve">לחוות דעתה של השופטת </w:t>
      </w:r>
      <w:r>
        <w:rPr>
          <w:rFonts w:ascii="Century" w:hAnsi="Century" w:cs="Miriam" w:hint="cs"/>
          <w:b/>
          <w:spacing w:val="0"/>
          <w:sz w:val="22"/>
          <w:szCs w:val="24"/>
          <w:rtl/>
        </w:rPr>
        <w:t>ברק-ארז</w:t>
      </w:r>
      <w:r>
        <w:rPr>
          <w:rFonts w:ascii="Century" w:hAnsi="Century" w:hint="cs"/>
          <w:rtl/>
        </w:rPr>
        <w:t xml:space="preserve">; פסקה 61ד לחוות דעתו של השופט </w:t>
      </w:r>
      <w:r>
        <w:rPr>
          <w:rFonts w:ascii="Century" w:hAnsi="Century" w:cs="Miriam" w:hint="cs"/>
          <w:b/>
          <w:spacing w:val="0"/>
          <w:sz w:val="22"/>
          <w:szCs w:val="24"/>
          <w:rtl/>
        </w:rPr>
        <w:t>ע' גרוסקופף</w:t>
      </w:r>
      <w:r>
        <w:rPr>
          <w:rFonts w:ascii="Century" w:hAnsi="Century" w:hint="cs"/>
          <w:rtl/>
        </w:rPr>
        <w:t xml:space="preserve">). בתמצית, חלק מהעמדות שאליהן מפנה חברי אינן מתייחסות כלל לסמכותה המכוננת של הכנסת, אלא לסמכותה לחוקק חוקים, וחלקן אף הובעו לפני חקיקת חוקי היסוד. </w:t>
      </w:r>
    </w:p>
    <w:p w:rsidR="00CB3B01" w:rsidRDefault="00CB3B01" w:rsidP="00CB3B01">
      <w:pPr>
        <w:pStyle w:val="Ruller4"/>
        <w:numPr>
          <w:ilvl w:val="0"/>
          <w:numId w:val="0"/>
        </w:numPr>
        <w:rPr>
          <w:rFonts w:ascii="Century" w:hAnsi="Century"/>
          <w:rtl/>
        </w:rPr>
      </w:pPr>
    </w:p>
    <w:p w:rsidR="00CB3B01" w:rsidRDefault="00CB3B01" w:rsidP="00CB3B01">
      <w:pPr>
        <w:pStyle w:val="Ruller4"/>
        <w:numPr>
          <w:ilvl w:val="0"/>
          <w:numId w:val="0"/>
        </w:numPr>
        <w:rPr>
          <w:rFonts w:ascii="Century" w:hAnsi="Century"/>
          <w:rtl/>
        </w:rPr>
      </w:pPr>
      <w:r>
        <w:rPr>
          <w:rFonts w:ascii="Century" w:hAnsi="Century"/>
          <w:rtl/>
        </w:rPr>
        <w:tab/>
      </w:r>
      <w:r w:rsidRPr="00C655E7">
        <w:rPr>
          <w:rFonts w:ascii="Century" w:hAnsi="Century" w:hint="cs"/>
          <w:rtl/>
        </w:rPr>
        <w:t>זאת ועוד</w:t>
      </w:r>
      <w:r>
        <w:rPr>
          <w:rFonts w:ascii="Century" w:hAnsi="Century" w:hint="cs"/>
          <w:rtl/>
        </w:rPr>
        <w:t xml:space="preserve"> </w:t>
      </w:r>
      <w:r>
        <w:rPr>
          <w:rFonts w:ascii="Century" w:hAnsi="Century"/>
          <w:rtl/>
        </w:rPr>
        <w:t>–</w:t>
      </w:r>
      <w:r>
        <w:rPr>
          <w:rFonts w:ascii="Century" w:hAnsi="Century" w:hint="cs"/>
          <w:rtl/>
        </w:rPr>
        <w:t xml:space="preserve"> </w:t>
      </w:r>
      <w:r w:rsidRPr="00C655E7">
        <w:rPr>
          <w:rFonts w:ascii="Century" w:hAnsi="Century" w:hint="cs"/>
          <w:rtl/>
        </w:rPr>
        <w:t>סקירתו ההיסטורית</w:t>
      </w:r>
      <w:r>
        <w:rPr>
          <w:rFonts w:ascii="Century" w:hAnsi="Century" w:hint="cs"/>
          <w:rtl/>
        </w:rPr>
        <w:t xml:space="preserve"> של חברי</w:t>
      </w:r>
      <w:r w:rsidRPr="00C655E7">
        <w:rPr>
          <w:rFonts w:ascii="Century" w:hAnsi="Century" w:hint="cs"/>
          <w:rtl/>
        </w:rPr>
        <w:t xml:space="preserve"> מבכרת</w:t>
      </w:r>
      <w:r>
        <w:rPr>
          <w:rFonts w:ascii="Century" w:hAnsi="Century" w:hint="cs"/>
          <w:rtl/>
        </w:rPr>
        <w:t>,</w:t>
      </w:r>
      <w:r w:rsidRPr="00C655E7">
        <w:rPr>
          <w:rFonts w:ascii="Century" w:hAnsi="Century" w:hint="cs"/>
          <w:rtl/>
        </w:rPr>
        <w:t xml:space="preserve"> בלא</w:t>
      </w:r>
      <w:r>
        <w:rPr>
          <w:rFonts w:ascii="Century" w:hAnsi="Century" w:hint="cs"/>
          <w:rtl/>
        </w:rPr>
        <w:t xml:space="preserve"> שניתן לכך</w:t>
      </w:r>
      <w:r w:rsidRPr="00C655E7">
        <w:rPr>
          <w:rFonts w:ascii="Century" w:hAnsi="Century" w:hint="cs"/>
          <w:rtl/>
        </w:rPr>
        <w:t xml:space="preserve"> טעם מבורר</w:t>
      </w:r>
      <w:r>
        <w:rPr>
          <w:rFonts w:ascii="Century" w:hAnsi="Century" w:hint="cs"/>
          <w:rtl/>
        </w:rPr>
        <w:t>,</w:t>
      </w:r>
      <w:r w:rsidRPr="00C655E7">
        <w:rPr>
          <w:rFonts w:ascii="Century" w:hAnsi="Century" w:hint="cs"/>
          <w:rtl/>
        </w:rPr>
        <w:t xml:space="preserve"> את פסיקת בית משפט זה בעשורים הראשונים על פני פסיקתו בשלושת העשורים האחרונים. </w:t>
      </w:r>
      <w:r>
        <w:rPr>
          <w:rFonts w:ascii="Century" w:hAnsi="Century" w:hint="cs"/>
          <w:rtl/>
        </w:rPr>
        <w:t>כידוע, פסיקתו של בית משפט זה מתפתחת, בהתאם לעקרונות המשפט המקובל, עקב בצד אגודל, ממקרה למקרה, בהתאם לנסיבות. כך גם פסיקתנו בעשורים האחרונים</w:t>
      </w:r>
      <w:r w:rsidRPr="00616497">
        <w:rPr>
          <w:rFonts w:ascii="Century" w:hAnsi="Century" w:hint="cs"/>
          <w:rtl/>
        </w:rPr>
        <w:t xml:space="preserve"> </w:t>
      </w:r>
      <w:r>
        <w:rPr>
          <w:rFonts w:ascii="Century" w:hAnsi="Century" w:hint="cs"/>
          <w:rtl/>
        </w:rPr>
        <w:t xml:space="preserve">ביחס לביקורת שיפוטית על חוקי יסוד לא נוצרה "בחלל ריק". גוף פסיקה זה התפתח על רקע שינויי עומק במאפייני הפעלת הסמכות המכוננת, בהיקף השימוש בסמכות זו, בתצורת השימוש בה ובתכלית השימוש בה (ראו בהקשר זה גם פסקאות 83-82 לחוות דעתה של הנשיאה (בדימ') </w:t>
      </w:r>
      <w:r>
        <w:rPr>
          <w:rFonts w:ascii="Century" w:hAnsi="Century" w:cs="Miriam" w:hint="cs"/>
          <w:b/>
          <w:spacing w:val="0"/>
          <w:sz w:val="22"/>
          <w:szCs w:val="24"/>
          <w:rtl/>
        </w:rPr>
        <w:t>חיות</w:t>
      </w:r>
      <w:r>
        <w:rPr>
          <w:rFonts w:ascii="Century" w:hAnsi="Century" w:hint="cs"/>
          <w:rtl/>
        </w:rPr>
        <w:t>). הפסיקה שאליה התייחס חברי קדמה, אפוא, לתהליך השחיקה והזילות במעמדם של חוקי היסוד, תהליך שהגיע לשיאו בשנים האחרונות. תהליך זה לא עמד, וממילא לא יכול היה לעמוד, לנגד עיניהם של מרבית השופטים והנשיאים שאת פסיקתם סקר חברי.</w:t>
      </w:r>
    </w:p>
    <w:p w:rsidR="00CB3B01" w:rsidRDefault="00CB3B01" w:rsidP="00CB3B01">
      <w:pPr>
        <w:pStyle w:val="Ruller41"/>
        <w:rPr>
          <w:rtl/>
        </w:rPr>
      </w:pPr>
    </w:p>
    <w:p w:rsidR="00BF38FF" w:rsidRDefault="00BF38FF" w:rsidP="00BF38FF">
      <w:pPr>
        <w:pStyle w:val="Ruller4"/>
        <w:rPr>
          <w:rtl/>
        </w:rPr>
      </w:pPr>
      <w:r w:rsidRPr="00BF38FF">
        <w:rPr>
          <w:rtl/>
        </w:rPr>
        <w:t>חברי מוסיף ומציין כי הביקורת השיפוטית בדבר חריגת הכנסת מסמכותה המכוננת במתכונת שמוצעת על ידי חלק מחברי דעת הרוב עשויה להוליך אף לפסילת תיקונים שנוסחם גורף פחות מנוסחו של תיקון מס' 3 (פסקה 151 לחוות דעתו). למותר לציין כי את שאלת חריגתה של הכנסת מסמכותה המכוננת יש לבחון על רקע תיקון ספציפי, מאפייני פגיעתו הקונקרטיים בזהותה היהודית והדמוקרטית של המדינה ועל רקע מערך האיזונים והבלמים של השיטה. למעשה, יש לקוות שלא נידרש לשוב ולבחון שאלות קשות אלו.</w:t>
      </w:r>
    </w:p>
    <w:p w:rsidR="00BF38FF" w:rsidRPr="00BF38FF" w:rsidRDefault="00BF38FF" w:rsidP="00BF38FF">
      <w:pPr>
        <w:pStyle w:val="Ruller41"/>
      </w:pPr>
    </w:p>
    <w:p w:rsidR="00CB3B01" w:rsidRDefault="00CB3B01" w:rsidP="00CB3B01">
      <w:pPr>
        <w:pStyle w:val="Ruller4"/>
        <w:rPr>
          <w:rtl/>
        </w:rPr>
      </w:pPr>
      <w:r>
        <w:rPr>
          <w:rFonts w:hint="cs"/>
          <w:rtl/>
        </w:rPr>
        <w:t xml:space="preserve">לבסוף, אשוב ואדגיש כי לשיטתי, מן המבנה המשטרי במדינת ישראל, מתחייבת הקביעה לפיה לבית משפט זה סמכות לבחון את שאלת חריגתה של הכנסת מסמכותה המכוננת. שאם לא כן, המגבלות על הסמכות המכוננת </w:t>
      </w:r>
      <w:r>
        <w:rPr>
          <w:rtl/>
        </w:rPr>
        <w:t>–</w:t>
      </w:r>
      <w:r>
        <w:rPr>
          <w:rFonts w:hint="cs"/>
          <w:rtl/>
        </w:rPr>
        <w:t xml:space="preserve"> שעל קיומן עמד בית משפט זה בעבר </w:t>
      </w:r>
      <w:r>
        <w:rPr>
          <w:rtl/>
        </w:rPr>
        <w:t>–</w:t>
      </w:r>
      <w:r>
        <w:rPr>
          <w:rFonts w:hint="cs"/>
          <w:rtl/>
        </w:rPr>
        <w:t xml:space="preserve"> תהפוכנה בפועל לאות מתה; וכפי שציינו בהליך דנן, באין דיין </w:t>
      </w:r>
      <w:r>
        <w:rPr>
          <w:rtl/>
        </w:rPr>
        <w:t>–</w:t>
      </w:r>
      <w:r>
        <w:rPr>
          <w:rFonts w:hint="cs"/>
          <w:rtl/>
        </w:rPr>
        <w:t xml:space="preserve"> אין דין.</w:t>
      </w:r>
    </w:p>
    <w:p w:rsidR="00CB3B01" w:rsidRPr="006F6D54" w:rsidRDefault="00CB3B01" w:rsidP="00CB3B01">
      <w:pPr>
        <w:pStyle w:val="Ruller41"/>
        <w:rPr>
          <w:rtl/>
        </w:rPr>
      </w:pPr>
    </w:p>
    <w:p w:rsidR="00CB3B01" w:rsidRPr="006D5DD9" w:rsidRDefault="00CB3B01" w:rsidP="00CB3B01">
      <w:pPr>
        <w:pStyle w:val="Ruller41"/>
        <w:rPr>
          <w:rFonts w:ascii="Century" w:hAnsi="Century" w:cs="Miriam"/>
          <w:b/>
          <w:spacing w:val="0"/>
          <w:szCs w:val="24"/>
          <w:rtl/>
        </w:rPr>
      </w:pPr>
      <w:r w:rsidRPr="006D5DD9">
        <w:rPr>
          <w:rFonts w:ascii="Century" w:hAnsi="Century" w:cs="Miriam" w:hint="cs"/>
          <w:b/>
          <w:spacing w:val="0"/>
          <w:szCs w:val="24"/>
          <w:rtl/>
        </w:rPr>
        <w:t>סוף דבר</w:t>
      </w:r>
    </w:p>
    <w:p w:rsidR="00CB3B01" w:rsidRPr="006D5DD9" w:rsidRDefault="00CB3B01" w:rsidP="00815DDA">
      <w:pPr>
        <w:pStyle w:val="Ruller41"/>
        <w:rPr>
          <w:rFonts w:ascii="Century" w:hAnsi="Century" w:cs="Miriam"/>
          <w:b/>
          <w:spacing w:val="0"/>
          <w:szCs w:val="24"/>
          <w:rtl/>
        </w:rPr>
      </w:pPr>
    </w:p>
    <w:p w:rsidR="00CB3B01" w:rsidRPr="00CB3B01" w:rsidRDefault="00CB3B01" w:rsidP="00CB3B01">
      <w:pPr>
        <w:pStyle w:val="Ruller4"/>
        <w:rPr>
          <w:rtl/>
        </w:rPr>
      </w:pPr>
      <w:r w:rsidRPr="006D5DD9">
        <w:rPr>
          <w:rFonts w:hint="cs"/>
          <w:rtl/>
        </w:rPr>
        <w:t xml:space="preserve">בנתון להערותיי לעיל, מצאתי כאמור לצרף דעתי לדעתה של הנשיאה (בדימ') </w:t>
      </w:r>
      <w:r w:rsidRPr="006D5DD9">
        <w:rPr>
          <w:rFonts w:ascii="Century" w:hAnsi="Century" w:cs="Miriam" w:hint="cs"/>
          <w:b/>
          <w:spacing w:val="0"/>
          <w:sz w:val="22"/>
          <w:szCs w:val="24"/>
          <w:rtl/>
        </w:rPr>
        <w:t xml:space="preserve">חיות </w:t>
      </w:r>
      <w:r w:rsidRPr="006D5DD9">
        <w:rPr>
          <w:rFonts w:hint="cs"/>
          <w:rtl/>
        </w:rPr>
        <w:t xml:space="preserve">כי יש להורות על קבלת העתירות שבכותרת ולהכריז על בטלותו של תיקון מס' 3. </w:t>
      </w:r>
    </w:p>
    <w:p w:rsidR="00CB3B01" w:rsidRDefault="00CB3B01" w:rsidP="00FF17DB">
      <w:pPr>
        <w:pStyle w:val="Ruller41"/>
        <w:rPr>
          <w:rtl/>
        </w:rPr>
      </w:pPr>
    </w:p>
    <w:p w:rsidR="00AB5E8B" w:rsidRDefault="00AB5E8B" w:rsidP="004E4926">
      <w:pPr>
        <w:pStyle w:val="Ruller41"/>
        <w:rPr>
          <w:rtl/>
        </w:rPr>
      </w:pPr>
    </w:p>
    <w:tbl>
      <w:tblPr>
        <w:bidiVisual/>
        <w:tblW w:w="8363" w:type="dxa"/>
        <w:tblLook w:val="01E0" w:firstRow="1" w:lastRow="1" w:firstColumn="1" w:lastColumn="1" w:noHBand="0" w:noVBand="0"/>
      </w:tblPr>
      <w:tblGrid>
        <w:gridCol w:w="2783"/>
        <w:gridCol w:w="2783"/>
        <w:gridCol w:w="2797"/>
      </w:tblGrid>
      <w:tr w:rsidR="003F3398" w:rsidTr="00DD4ADA">
        <w:tc>
          <w:tcPr>
            <w:tcW w:w="2842" w:type="dxa"/>
            <w:shd w:val="clear" w:color="auto" w:fill="auto"/>
          </w:tcPr>
          <w:p w:rsidR="003F3398" w:rsidRDefault="003F3398" w:rsidP="002D05BD">
            <w:pPr>
              <w:pStyle w:val="Ruller41"/>
              <w:spacing w:line="276" w:lineRule="auto"/>
            </w:pPr>
          </w:p>
        </w:tc>
        <w:tc>
          <w:tcPr>
            <w:tcW w:w="2843" w:type="dxa"/>
            <w:shd w:val="clear" w:color="auto" w:fill="auto"/>
          </w:tcPr>
          <w:p w:rsidR="003F3398" w:rsidRDefault="003F3398" w:rsidP="002D05BD">
            <w:pPr>
              <w:pStyle w:val="Ruller41"/>
              <w:spacing w:line="276" w:lineRule="auto"/>
              <w:jc w:val="center"/>
              <w:rPr>
                <w:rtl/>
              </w:rPr>
            </w:pPr>
          </w:p>
        </w:tc>
        <w:tc>
          <w:tcPr>
            <w:tcW w:w="2843" w:type="dxa"/>
            <w:shd w:val="clear" w:color="auto" w:fill="auto"/>
          </w:tcPr>
          <w:p w:rsidR="003F3398" w:rsidRDefault="000E5C50" w:rsidP="002D05BD">
            <w:pPr>
              <w:pStyle w:val="Ruller41"/>
              <w:spacing w:line="276" w:lineRule="auto"/>
              <w:jc w:val="center"/>
              <w:rPr>
                <w:rtl/>
              </w:rPr>
            </w:pPr>
            <w:r>
              <w:rPr>
                <w:rFonts w:hint="cs"/>
                <w:rtl/>
              </w:rPr>
              <w:t>מ"מ</w:t>
            </w:r>
            <w:r w:rsidR="003F3398">
              <w:rPr>
                <w:rFonts w:hint="cs"/>
                <w:rtl/>
              </w:rPr>
              <w:t xml:space="preserve"> הנשיא</w:t>
            </w:r>
          </w:p>
        </w:tc>
      </w:tr>
    </w:tbl>
    <w:p w:rsidR="00FF17DB" w:rsidRDefault="00FF17DB" w:rsidP="00FF17DB">
      <w:pPr>
        <w:pStyle w:val="BODYVERDICT"/>
      </w:pPr>
    </w:p>
    <w:p w:rsidR="00FF17DB" w:rsidRPr="00EC32E0" w:rsidRDefault="00FF17DB" w:rsidP="00FF17DB">
      <w:pPr>
        <w:pStyle w:val="BODYVERDICT"/>
        <w:outlineLvl w:val="0"/>
        <w:rPr>
          <w:rFonts w:cs="Miriam"/>
          <w:sz w:val="24"/>
          <w:szCs w:val="24"/>
          <w:u w:val="single"/>
          <w:rtl/>
        </w:rPr>
      </w:pPr>
      <w:r w:rsidRPr="00462789">
        <w:rPr>
          <w:rFonts w:cs="Miriam" w:hint="cs"/>
          <w:sz w:val="24"/>
          <w:szCs w:val="24"/>
          <w:u w:val="single"/>
          <w:rtl/>
        </w:rPr>
        <w:t>השופט ד' מינץ</w:t>
      </w:r>
      <w:r w:rsidRPr="000075A3">
        <w:rPr>
          <w:rFonts w:cs="Miriam"/>
          <w:sz w:val="24"/>
          <w:szCs w:val="24"/>
          <w:rtl/>
        </w:rPr>
        <w:t>:</w:t>
      </w:r>
    </w:p>
    <w:p w:rsidR="00737972" w:rsidRDefault="00737972" w:rsidP="00737972">
      <w:pPr>
        <w:pStyle w:val="Ruller41"/>
        <w:rPr>
          <w:rtl/>
        </w:rPr>
      </w:pPr>
    </w:p>
    <w:p w:rsidR="00737972" w:rsidRPr="00857266" w:rsidRDefault="00737972" w:rsidP="00737972">
      <w:pPr>
        <w:pStyle w:val="Ruller41"/>
        <w:rPr>
          <w:rFonts w:ascii="Century" w:hAnsi="Century" w:cs="Miriam"/>
          <w:b/>
          <w:spacing w:val="0"/>
          <w:szCs w:val="24"/>
          <w:rtl/>
        </w:rPr>
      </w:pPr>
      <w:r w:rsidRPr="00857266">
        <w:rPr>
          <w:rFonts w:ascii="Century" w:hAnsi="Century" w:cs="Miriam" w:hint="cs"/>
          <w:b/>
          <w:spacing w:val="0"/>
          <w:szCs w:val="24"/>
          <w:rtl/>
        </w:rPr>
        <w:t>קשוט עצמך תחילה</w:t>
      </w:r>
    </w:p>
    <w:p w:rsidR="00737972" w:rsidRDefault="00737972" w:rsidP="003D7BFC">
      <w:pPr>
        <w:pStyle w:val="Ruller4"/>
        <w:numPr>
          <w:ilvl w:val="0"/>
          <w:numId w:val="22"/>
        </w:numPr>
      </w:pPr>
      <w:r w:rsidRPr="002E04BD">
        <w:rPr>
          <w:rFonts w:eastAsia="Calibri"/>
          <w:rtl/>
        </w:rPr>
        <w:t>סמכות איננה עניין של מה בכך. היא הבסיס לכל.</w:t>
      </w:r>
      <w:r w:rsidRPr="002E04BD">
        <w:rPr>
          <w:rFonts w:eastAsia="Calibri" w:cs="Times New Roman" w:hint="cs"/>
          <w:szCs w:val="24"/>
          <w:rtl/>
        </w:rPr>
        <w:t xml:space="preserve"> </w:t>
      </w:r>
    </w:p>
    <w:p w:rsidR="00737972" w:rsidRDefault="00737972" w:rsidP="00737972">
      <w:pPr>
        <w:pStyle w:val="Ruller4"/>
        <w:numPr>
          <w:ilvl w:val="0"/>
          <w:numId w:val="0"/>
        </w:numPr>
      </w:pPr>
    </w:p>
    <w:p w:rsidR="00737972" w:rsidRPr="00552F78" w:rsidRDefault="00737972" w:rsidP="00737972">
      <w:pPr>
        <w:pStyle w:val="Ruller4"/>
        <w:numPr>
          <w:ilvl w:val="0"/>
          <w:numId w:val="0"/>
        </w:numPr>
        <w:rPr>
          <w:rtl/>
        </w:rPr>
      </w:pPr>
      <w:r>
        <w:rPr>
          <w:rtl/>
        </w:rPr>
        <w:tab/>
      </w:r>
      <w:r>
        <w:rPr>
          <w:rFonts w:hint="cs"/>
          <w:rtl/>
        </w:rPr>
        <w:t xml:space="preserve">נקודת המוצא היא כי רשות מינהלית אינה רשאית לפעול אלא בגדרי דל"ת אמותיה של הסמכות הנתונה לה על פי חוק. עיקרון זה פורשׂ כנפיו על הכל, ללא הבחנה בין דרגה, מעמד ומשרה, וללא הבחנה בין סוגי פעולות או אפיוני הסמכות (יצחק זמיר </w:t>
      </w:r>
      <w:r w:rsidRPr="00552F78">
        <w:rPr>
          <w:rFonts w:ascii="Century" w:hAnsi="Century" w:cs="Miriam" w:hint="cs"/>
          <w:b/>
          <w:spacing w:val="0"/>
          <w:sz w:val="22"/>
          <w:szCs w:val="24"/>
          <w:rtl/>
        </w:rPr>
        <w:t>הסמכות המ</w:t>
      </w:r>
      <w:r>
        <w:rPr>
          <w:rFonts w:ascii="Century" w:hAnsi="Century" w:cs="Miriam" w:hint="cs"/>
          <w:b/>
          <w:spacing w:val="0"/>
          <w:sz w:val="22"/>
          <w:szCs w:val="24"/>
          <w:rtl/>
        </w:rPr>
        <w:t>י</w:t>
      </w:r>
      <w:r w:rsidRPr="00552F78">
        <w:rPr>
          <w:rFonts w:ascii="Century" w:hAnsi="Century" w:cs="Miriam" w:hint="cs"/>
          <w:b/>
          <w:spacing w:val="0"/>
          <w:sz w:val="22"/>
          <w:szCs w:val="24"/>
          <w:rtl/>
        </w:rPr>
        <w:t>נהלית</w:t>
      </w:r>
      <w:r w:rsidRPr="008348CD">
        <w:rPr>
          <w:rFonts w:hint="cs"/>
          <w:rtl/>
        </w:rPr>
        <w:t xml:space="preserve"> </w:t>
      </w:r>
      <w:r>
        <w:rPr>
          <w:rFonts w:hint="cs"/>
          <w:rtl/>
        </w:rPr>
        <w:t xml:space="preserve">כרך א 76-74 (מהדורה שנייה מורחבת, 2010); דפנה ברק-ארז </w:t>
      </w:r>
      <w:r w:rsidRPr="00654B77">
        <w:rPr>
          <w:rFonts w:ascii="Century" w:hAnsi="Century" w:cs="Miriam" w:hint="cs"/>
          <w:b/>
          <w:spacing w:val="0"/>
          <w:sz w:val="22"/>
          <w:szCs w:val="24"/>
          <w:rtl/>
        </w:rPr>
        <w:t>משפט מינהלי</w:t>
      </w:r>
      <w:r w:rsidRPr="00654B77">
        <w:rPr>
          <w:rFonts w:hint="cs"/>
          <w:rtl/>
        </w:rPr>
        <w:t xml:space="preserve"> </w:t>
      </w:r>
      <w:r>
        <w:rPr>
          <w:rFonts w:hint="cs"/>
          <w:rtl/>
        </w:rPr>
        <w:t>כרך א 126-97 (2010)). חובתה של רשות מינהלית לפעול בסמכות קשורה בטבורה לעקרונות הבסיסיים ביותר של המינהל הציבורי, עיקרון הפרדת הרשויות ועיקרון שלטון החוק.</w:t>
      </w:r>
      <w:r w:rsidRPr="0050462C">
        <w:rPr>
          <w:rFonts w:hint="cs"/>
          <w:rtl/>
        </w:rPr>
        <w:t xml:space="preserve"> </w:t>
      </w:r>
      <w:r>
        <w:rPr>
          <w:rFonts w:hint="cs"/>
          <w:rtl/>
        </w:rPr>
        <w:t xml:space="preserve">עמד על כך בית משפט זה כבר </w:t>
      </w:r>
      <w:r>
        <w:rPr>
          <w:rFonts w:ascii="Century" w:hAnsi="Century" w:hint="cs"/>
          <w:sz w:val="22"/>
          <w:rtl/>
        </w:rPr>
        <w:t xml:space="preserve">בראשית דרכו </w:t>
      </w:r>
      <w:r w:rsidRPr="000E1A21">
        <w:rPr>
          <w:rFonts w:ascii="Century" w:hAnsi="Century" w:hint="cs"/>
          <w:sz w:val="22"/>
          <w:rtl/>
        </w:rPr>
        <w:t>ב</w:t>
      </w:r>
      <w:r w:rsidRPr="000E1A21">
        <w:rPr>
          <w:rFonts w:ascii="Century" w:hAnsi="Century"/>
          <w:sz w:val="22"/>
          <w:rtl/>
        </w:rPr>
        <w:t>בג"ץ</w:t>
      </w:r>
      <w:r w:rsidRPr="000E1A21">
        <w:rPr>
          <w:color w:val="000000"/>
          <w:sz w:val="27"/>
          <w:szCs w:val="27"/>
          <w:rtl/>
        </w:rPr>
        <w:t xml:space="preserve"> </w:t>
      </w:r>
      <w:r w:rsidRPr="00552F78">
        <w:rPr>
          <w:color w:val="000000"/>
          <w:sz w:val="27"/>
          <w:szCs w:val="27"/>
          <w:rtl/>
        </w:rPr>
        <w:t>144/50</w:t>
      </w:r>
      <w:r w:rsidRPr="00552F78">
        <w:rPr>
          <w:rFonts w:ascii="Century" w:hAnsi="Century" w:cs="Miriam"/>
          <w:b/>
          <w:spacing w:val="0"/>
          <w:szCs w:val="24"/>
          <w:rtl/>
        </w:rPr>
        <w:t xml:space="preserve"> שייב נ' שר הבטחון</w:t>
      </w:r>
      <w:r w:rsidRPr="00FC1DA7">
        <w:rPr>
          <w:rStyle w:val="Ruller42"/>
          <w:rtl/>
        </w:rPr>
        <w:t>,</w:t>
      </w:r>
      <w:r w:rsidRPr="00FC1DA7">
        <w:rPr>
          <w:rStyle w:val="Ruller42"/>
        </w:rPr>
        <w:t xml:space="preserve"> </w:t>
      </w:r>
      <w:r w:rsidRPr="00FC1DA7">
        <w:rPr>
          <w:rStyle w:val="Ruller42"/>
          <w:rFonts w:hint="eastAsia"/>
          <w:rtl/>
        </w:rPr>
        <w:t>פ</w:t>
      </w:r>
      <w:r w:rsidRPr="00FC1DA7">
        <w:rPr>
          <w:rStyle w:val="Ruller42"/>
          <w:rtl/>
        </w:rPr>
        <w:t>"</w:t>
      </w:r>
      <w:r w:rsidRPr="00FC1DA7">
        <w:rPr>
          <w:rStyle w:val="Ruller42"/>
          <w:rFonts w:hint="eastAsia"/>
          <w:rtl/>
        </w:rPr>
        <w:t>ד</w:t>
      </w:r>
      <w:r w:rsidRPr="00FC1DA7">
        <w:rPr>
          <w:rStyle w:val="Ruller42"/>
          <w:rtl/>
        </w:rPr>
        <w:t xml:space="preserve"> </w:t>
      </w:r>
      <w:r w:rsidRPr="00FC1DA7">
        <w:rPr>
          <w:rStyle w:val="Ruller42"/>
          <w:rFonts w:hint="eastAsia"/>
          <w:rtl/>
        </w:rPr>
        <w:t>ה</w:t>
      </w:r>
      <w:r w:rsidRPr="00552F78">
        <w:rPr>
          <w:sz w:val="27"/>
          <w:szCs w:val="27"/>
          <w:rtl/>
        </w:rPr>
        <w:t xml:space="preserve"> </w:t>
      </w:r>
      <w:r w:rsidRPr="00552F78">
        <w:rPr>
          <w:rFonts w:hint="cs"/>
          <w:sz w:val="27"/>
          <w:szCs w:val="27"/>
          <w:rtl/>
        </w:rPr>
        <w:t xml:space="preserve">399 </w:t>
      </w:r>
      <w:r w:rsidRPr="00552F78">
        <w:rPr>
          <w:sz w:val="27"/>
          <w:szCs w:val="27"/>
          <w:rtl/>
        </w:rPr>
        <w:t>(1951)</w:t>
      </w:r>
      <w:r w:rsidRPr="00552F78">
        <w:rPr>
          <w:rFonts w:hint="cs"/>
          <w:sz w:val="27"/>
          <w:szCs w:val="27"/>
          <w:rtl/>
        </w:rPr>
        <w:t xml:space="preserve"> (להלן: </w:t>
      </w:r>
      <w:r w:rsidRPr="00FC1DA7">
        <w:rPr>
          <w:rFonts w:ascii="Century" w:hAnsi="Century" w:hint="eastAsia"/>
          <w:sz w:val="22"/>
          <w:rtl/>
        </w:rPr>
        <w:t>עניין</w:t>
      </w:r>
      <w:r w:rsidRPr="00552F78">
        <w:rPr>
          <w:rFonts w:hint="cs"/>
          <w:color w:val="000000"/>
          <w:sz w:val="27"/>
          <w:szCs w:val="27"/>
          <w:rtl/>
        </w:rPr>
        <w:t xml:space="preserve"> </w:t>
      </w:r>
      <w:r w:rsidRPr="00552F78">
        <w:rPr>
          <w:rFonts w:ascii="Century" w:hAnsi="Century" w:cs="Miriam" w:hint="cs"/>
          <w:b/>
          <w:spacing w:val="0"/>
          <w:sz w:val="22"/>
          <w:szCs w:val="24"/>
          <w:rtl/>
        </w:rPr>
        <w:t>שייב</w:t>
      </w:r>
      <w:r w:rsidRPr="00552F78">
        <w:rPr>
          <w:rFonts w:hint="cs"/>
          <w:color w:val="000000"/>
          <w:sz w:val="27"/>
          <w:szCs w:val="27"/>
          <w:rtl/>
        </w:rPr>
        <w:t>):</w:t>
      </w:r>
    </w:p>
    <w:p w:rsidR="00737972" w:rsidRPr="00AF21D9" w:rsidRDefault="00737972" w:rsidP="00737972">
      <w:pPr>
        <w:pStyle w:val="Ruller41"/>
        <w:rPr>
          <w:rtl/>
        </w:rPr>
      </w:pPr>
    </w:p>
    <w:p w:rsidR="00737972" w:rsidRDefault="00737972" w:rsidP="00737972">
      <w:pPr>
        <w:pStyle w:val="Ruller5"/>
        <w:rPr>
          <w:rtl/>
        </w:rPr>
      </w:pPr>
      <w:r>
        <w:rPr>
          <w:rFonts w:hint="cs"/>
          <w:rtl/>
        </w:rPr>
        <w:t>"</w:t>
      </w:r>
      <w:r w:rsidRPr="004B236A">
        <w:rPr>
          <w:rtl/>
        </w:rPr>
        <w:t>אין הרשות המבצעת בת חורין להטיל הגבלות רק מפני</w:t>
      </w:r>
      <w:r>
        <w:rPr>
          <w:rtl/>
        </w:rPr>
        <w:t xml:space="preserve"> שהיא חושבת אותן כרצויות, אלא א</w:t>
      </w:r>
      <w:r>
        <w:rPr>
          <w:rFonts w:hint="cs"/>
          <w:rtl/>
        </w:rPr>
        <w:t>ם</w:t>
      </w:r>
      <w:r w:rsidRPr="004B236A">
        <w:rPr>
          <w:rtl/>
        </w:rPr>
        <w:t xml:space="preserve"> כן </w:t>
      </w:r>
      <w:r w:rsidRPr="002018D9">
        <w:rPr>
          <w:rFonts w:ascii="Century" w:hAnsi="Century" w:cs="Miriam"/>
          <w:b/>
          <w:spacing w:val="0"/>
          <w:szCs w:val="24"/>
          <w:rtl/>
        </w:rPr>
        <w:t>החוק</w:t>
      </w:r>
      <w:r w:rsidRPr="004B236A">
        <w:rPr>
          <w:rtl/>
        </w:rPr>
        <w:t xml:space="preserve">, הדן בענין הנדון, </w:t>
      </w:r>
      <w:r>
        <w:rPr>
          <w:rFonts w:ascii="Century" w:hAnsi="Century" w:cs="Miriam"/>
          <w:b/>
          <w:spacing w:val="0"/>
          <w:szCs w:val="24"/>
          <w:rtl/>
        </w:rPr>
        <w:t>מקנה לה את הסמכ</w:t>
      </w:r>
      <w:r w:rsidRPr="002018D9">
        <w:rPr>
          <w:rFonts w:ascii="Century" w:hAnsi="Century" w:cs="Miriam"/>
          <w:b/>
          <w:spacing w:val="0"/>
          <w:szCs w:val="24"/>
          <w:rtl/>
        </w:rPr>
        <w:t>ות</w:t>
      </w:r>
      <w:r w:rsidRPr="002018D9">
        <w:rPr>
          <w:rtl/>
        </w:rPr>
        <w:t xml:space="preserve"> </w:t>
      </w:r>
      <w:r w:rsidRPr="004B236A">
        <w:rPr>
          <w:rtl/>
        </w:rPr>
        <w:t xml:space="preserve">להטיל את ההגבלות, אם תמצא צורך בהן. אם סמכות כזאת אינה מצוייה בחוק מסויים, על הרשות המבצעת לשכנע ולהניע את המחוקק שסמכות זו תינתן לה, אבל כל עוד לא ניתנה לה, אין היא רשאית ליטול אותה לעצמה, אחרת כל העיקרון של </w:t>
      </w:r>
      <w:r>
        <w:rPr>
          <w:rFonts w:hint="cs"/>
          <w:rtl/>
        </w:rPr>
        <w:t>'</w:t>
      </w:r>
      <w:r>
        <w:rPr>
          <w:rtl/>
        </w:rPr>
        <w:t>שלטון החוק</w:t>
      </w:r>
      <w:r>
        <w:rPr>
          <w:rFonts w:hint="cs"/>
          <w:rtl/>
        </w:rPr>
        <w:t>'</w:t>
      </w:r>
      <w:r w:rsidRPr="004B236A">
        <w:rPr>
          <w:rtl/>
        </w:rPr>
        <w:t>, אחת הערובות למשטר הדימוקרטי במדינה, ייהפך למליצה ריקה</w:t>
      </w:r>
      <w:r>
        <w:rPr>
          <w:rFonts w:hint="cs"/>
          <w:rtl/>
        </w:rPr>
        <w:t>..." (שם, עמ' 411; ההדגשות במקור)</w:t>
      </w:r>
      <w:r>
        <w:rPr>
          <w:rFonts w:hint="cs"/>
          <w:color w:val="000000"/>
          <w:sz w:val="27"/>
          <w:szCs w:val="27"/>
          <w:rtl/>
        </w:rPr>
        <w:t>.</w:t>
      </w:r>
    </w:p>
    <w:p w:rsidR="00737972" w:rsidRDefault="00737972" w:rsidP="00737972">
      <w:pPr>
        <w:pStyle w:val="Ruller4"/>
        <w:numPr>
          <w:ilvl w:val="0"/>
          <w:numId w:val="0"/>
        </w:numPr>
      </w:pPr>
    </w:p>
    <w:p w:rsidR="00737972" w:rsidRDefault="00737972" w:rsidP="00737972">
      <w:pPr>
        <w:pStyle w:val="Ruller4"/>
      </w:pPr>
      <w:r>
        <w:rPr>
          <w:rFonts w:hint="cs"/>
          <w:rtl/>
        </w:rPr>
        <w:t xml:space="preserve">כפועל יוצא מהכלל האמור, ובהינתן חומרת הפגם הטמון בנקיטת פעולה מינהלית תוך חריגה מסמכות, פעולה שכזו נתפשת כנעדרת תוקף ובטלה מעיקרה (ראו למשל: </w:t>
      </w:r>
      <w:r w:rsidRPr="009B3EB0">
        <w:rPr>
          <w:rtl/>
        </w:rPr>
        <w:t xml:space="preserve">בג"ץ 1405/14 </w:t>
      </w:r>
      <w:r w:rsidRPr="009B3EB0">
        <w:rPr>
          <w:rFonts w:ascii="Century" w:hAnsi="Century" w:cs="Miriam"/>
          <w:b/>
          <w:spacing w:val="0"/>
          <w:sz w:val="22"/>
          <w:szCs w:val="24"/>
          <w:rtl/>
        </w:rPr>
        <w:t>סלוין נ' המשנה למנכ"ל משרד הבריאות</w:t>
      </w:r>
      <w:r w:rsidRPr="009B3EB0">
        <w:rPr>
          <w:rFonts w:hint="cs"/>
          <w:rtl/>
        </w:rPr>
        <w:t>, פסקה 25</w:t>
      </w:r>
      <w:r w:rsidRPr="009B3EB0">
        <w:rPr>
          <w:rtl/>
        </w:rPr>
        <w:t> (</w:t>
      </w:r>
      <w:r w:rsidRPr="009B3EB0">
        <w:rPr>
          <w:rFonts w:hint="cs"/>
          <w:rtl/>
        </w:rPr>
        <w:t>7.8.2014</w:t>
      </w:r>
      <w:r w:rsidRPr="009B3EB0">
        <w:rPr>
          <w:rtl/>
        </w:rPr>
        <w:t>)</w:t>
      </w:r>
      <w:r w:rsidRPr="009B3EB0">
        <w:rPr>
          <w:rFonts w:hint="cs"/>
          <w:rtl/>
        </w:rPr>
        <w:t xml:space="preserve"> (להלן: עניין </w:t>
      </w:r>
      <w:r w:rsidRPr="009B3EB0">
        <w:rPr>
          <w:rFonts w:ascii="Century" w:hAnsi="Century" w:cs="Miriam" w:hint="cs"/>
          <w:b/>
          <w:spacing w:val="0"/>
          <w:sz w:val="22"/>
          <w:szCs w:val="24"/>
          <w:rtl/>
        </w:rPr>
        <w:t>סלוין</w:t>
      </w:r>
      <w:r w:rsidRPr="009B3EB0">
        <w:rPr>
          <w:rFonts w:hint="cs"/>
          <w:rtl/>
        </w:rPr>
        <w:t xml:space="preserve">); </w:t>
      </w:r>
      <w:r w:rsidRPr="00054B8D">
        <w:rPr>
          <w:rFonts w:hint="eastAsia"/>
          <w:rtl/>
        </w:rPr>
        <w:t>יצחק</w:t>
      </w:r>
      <w:r w:rsidRPr="00054B8D">
        <w:rPr>
          <w:rtl/>
        </w:rPr>
        <w:t xml:space="preserve"> </w:t>
      </w:r>
      <w:r w:rsidRPr="00054B8D">
        <w:rPr>
          <w:rFonts w:hint="eastAsia"/>
          <w:rtl/>
        </w:rPr>
        <w:t>זמיר</w:t>
      </w:r>
      <w:r>
        <w:rPr>
          <w:rFonts w:hint="cs"/>
          <w:rtl/>
        </w:rPr>
        <w:t xml:space="preserve"> </w:t>
      </w:r>
      <w:r w:rsidRPr="009B3EB0">
        <w:rPr>
          <w:rFonts w:ascii="Century" w:hAnsi="Century" w:cs="Miriam" w:hint="eastAsia"/>
          <w:b/>
          <w:spacing w:val="0"/>
          <w:sz w:val="22"/>
          <w:szCs w:val="24"/>
          <w:rtl/>
        </w:rPr>
        <w:t>הסמכות</w:t>
      </w:r>
      <w:r w:rsidRPr="009B3EB0">
        <w:rPr>
          <w:rFonts w:ascii="Century" w:hAnsi="Century" w:cs="Miriam"/>
          <w:b/>
          <w:spacing w:val="0"/>
          <w:sz w:val="22"/>
          <w:szCs w:val="24"/>
          <w:rtl/>
        </w:rPr>
        <w:t xml:space="preserve"> </w:t>
      </w:r>
      <w:r w:rsidRPr="009B3EB0">
        <w:rPr>
          <w:rFonts w:ascii="Century" w:hAnsi="Century" w:cs="Miriam" w:hint="eastAsia"/>
          <w:b/>
          <w:spacing w:val="0"/>
          <w:sz w:val="22"/>
          <w:szCs w:val="24"/>
          <w:rtl/>
        </w:rPr>
        <w:t>המינהלית</w:t>
      </w:r>
      <w:r w:rsidRPr="009B3EB0">
        <w:rPr>
          <w:rFonts w:hint="cs"/>
          <w:rtl/>
        </w:rPr>
        <w:t xml:space="preserve"> </w:t>
      </w:r>
      <w:r w:rsidRPr="00054B8D">
        <w:rPr>
          <w:rFonts w:hint="eastAsia"/>
          <w:rtl/>
        </w:rPr>
        <w:t>כרך</w:t>
      </w:r>
      <w:r w:rsidRPr="00054B8D">
        <w:rPr>
          <w:rtl/>
        </w:rPr>
        <w:t xml:space="preserve"> </w:t>
      </w:r>
      <w:r w:rsidRPr="00054B8D">
        <w:rPr>
          <w:rFonts w:hint="eastAsia"/>
          <w:rtl/>
        </w:rPr>
        <w:t>ד</w:t>
      </w:r>
      <w:r w:rsidRPr="00054B8D">
        <w:rPr>
          <w:rtl/>
        </w:rPr>
        <w:t xml:space="preserve"> </w:t>
      </w:r>
      <w:r>
        <w:rPr>
          <w:rFonts w:hint="cs"/>
          <w:rtl/>
        </w:rPr>
        <w:t xml:space="preserve">2983 </w:t>
      </w:r>
      <w:r w:rsidRPr="00054B8D">
        <w:rPr>
          <w:rtl/>
        </w:rPr>
        <w:t>(2017)</w:t>
      </w:r>
      <w:r>
        <w:rPr>
          <w:rFonts w:hint="cs"/>
          <w:rtl/>
        </w:rPr>
        <w:t xml:space="preserve">). ההקפדה על קוצו של יוד בהקשר זה באה לידי ביטוי בשורה ארוכה מאוד של מקרים, לגבי מנעד מגוון של סמכויות ובקשר לגופים שלטוניים שונים. </w:t>
      </w:r>
    </w:p>
    <w:p w:rsidR="00737972" w:rsidRDefault="00737972" w:rsidP="00737972">
      <w:pPr>
        <w:pStyle w:val="Ruller4"/>
        <w:numPr>
          <w:ilvl w:val="0"/>
          <w:numId w:val="0"/>
        </w:numPr>
        <w:rPr>
          <w:rtl/>
        </w:rPr>
      </w:pPr>
    </w:p>
    <w:p w:rsidR="00737972" w:rsidRPr="00552F78" w:rsidRDefault="00737972" w:rsidP="00737972">
      <w:pPr>
        <w:pStyle w:val="Ruller4"/>
        <w:numPr>
          <w:ilvl w:val="0"/>
          <w:numId w:val="0"/>
        </w:numPr>
        <w:rPr>
          <w:rtl/>
        </w:rPr>
      </w:pPr>
      <w:r>
        <w:rPr>
          <w:rtl/>
        </w:rPr>
        <w:tab/>
      </w:r>
      <w:r w:rsidRPr="00552F78">
        <w:rPr>
          <w:rFonts w:hint="cs"/>
          <w:rtl/>
        </w:rPr>
        <w:t xml:space="preserve">כך </w:t>
      </w:r>
      <w:r>
        <w:rPr>
          <w:rFonts w:hint="cs"/>
          <w:rtl/>
        </w:rPr>
        <w:t xml:space="preserve">נהג בית משפט זה במשך שנים. </w:t>
      </w:r>
      <w:r w:rsidRPr="00552F78">
        <w:rPr>
          <w:rFonts w:hint="cs"/>
          <w:rtl/>
        </w:rPr>
        <w:t xml:space="preserve">למשל, </w:t>
      </w:r>
      <w:r>
        <w:rPr>
          <w:rFonts w:hint="cs"/>
          <w:rtl/>
        </w:rPr>
        <w:t xml:space="preserve">באחד מפסקי הדין המרכזיים והראשונים שעסקו בסוגיית הסמכות, בוטל איסור שהטילה המשטרה בחוסר סמכות על </w:t>
      </w:r>
      <w:r>
        <w:rPr>
          <w:rFonts w:hint="cs"/>
          <w:rtl/>
        </w:rPr>
        <w:lastRenderedPageBreak/>
        <w:t>עיסוק במשלח יד (</w:t>
      </w:r>
      <w:r w:rsidRPr="00552F78">
        <w:rPr>
          <w:rFonts w:hint="cs"/>
          <w:rtl/>
        </w:rPr>
        <w:t xml:space="preserve">בג"ץ 1/49 </w:t>
      </w:r>
      <w:r w:rsidRPr="00396B8A">
        <w:rPr>
          <w:rFonts w:ascii="Century" w:hAnsi="Century" w:cs="Miriam" w:hint="cs"/>
          <w:b/>
          <w:spacing w:val="0"/>
          <w:sz w:val="22"/>
          <w:szCs w:val="24"/>
          <w:rtl/>
        </w:rPr>
        <w:t>בז'רנו נ' שר המשטרה</w:t>
      </w:r>
      <w:r w:rsidRPr="00552F78">
        <w:rPr>
          <w:rFonts w:hint="cs"/>
          <w:rtl/>
        </w:rPr>
        <w:t>, פ"ד ב 80 (1949)</w:t>
      </w:r>
      <w:r>
        <w:rPr>
          <w:rFonts w:hint="cs"/>
          <w:rtl/>
        </w:rPr>
        <w:t>); ו</w:t>
      </w:r>
      <w:r w:rsidRPr="00552F78">
        <w:rPr>
          <w:rFonts w:hint="cs"/>
          <w:rtl/>
        </w:rPr>
        <w:t xml:space="preserve">בעניין </w:t>
      </w:r>
      <w:r w:rsidRPr="00D440FD">
        <w:rPr>
          <w:rFonts w:ascii="Century" w:hAnsi="Century" w:cs="Miriam" w:hint="cs"/>
          <w:b/>
          <w:spacing w:val="0"/>
          <w:sz w:val="22"/>
          <w:szCs w:val="24"/>
          <w:rtl/>
        </w:rPr>
        <w:t>שייב</w:t>
      </w:r>
      <w:r>
        <w:rPr>
          <w:rFonts w:hint="cs"/>
          <w:rtl/>
        </w:rPr>
        <w:t>, משנת 1951,</w:t>
      </w:r>
      <w:r w:rsidRPr="00D440FD">
        <w:rPr>
          <w:rFonts w:hint="cs"/>
          <w:rtl/>
        </w:rPr>
        <w:t xml:space="preserve"> </w:t>
      </w:r>
      <w:r>
        <w:rPr>
          <w:rFonts w:hint="cs"/>
          <w:rtl/>
        </w:rPr>
        <w:t xml:space="preserve">בוטלה הוראה שניתנה על ידי </w:t>
      </w:r>
      <w:r w:rsidRPr="00552F78">
        <w:rPr>
          <w:rFonts w:hint="cs"/>
          <w:rtl/>
        </w:rPr>
        <w:t xml:space="preserve">שר הביטחון </w:t>
      </w:r>
      <w:r>
        <w:rPr>
          <w:rFonts w:hint="cs"/>
          <w:rtl/>
        </w:rPr>
        <w:t xml:space="preserve">שאסרה על העסקתו של </w:t>
      </w:r>
      <w:r w:rsidRPr="00552F78">
        <w:rPr>
          <w:rFonts w:hint="cs"/>
          <w:rtl/>
        </w:rPr>
        <w:t xml:space="preserve">מורה בבית ספר, </w:t>
      </w:r>
      <w:r>
        <w:rPr>
          <w:rFonts w:hint="cs"/>
          <w:rtl/>
        </w:rPr>
        <w:t>מבלי שהדבר היה נתון לסמכותו.</w:t>
      </w:r>
      <w:r w:rsidDel="004368AE">
        <w:rPr>
          <w:rtl/>
        </w:rPr>
        <w:t xml:space="preserve"> </w:t>
      </w:r>
      <w:r>
        <w:rPr>
          <w:rFonts w:hint="cs"/>
          <w:rtl/>
        </w:rPr>
        <w:t xml:space="preserve">במקרים אחרים בוטלה החלטת </w:t>
      </w:r>
      <w:r w:rsidRPr="00552F78">
        <w:rPr>
          <w:rFonts w:hint="cs"/>
          <w:rtl/>
        </w:rPr>
        <w:t xml:space="preserve">ראש עיר </w:t>
      </w:r>
      <w:r>
        <w:rPr>
          <w:rFonts w:hint="cs"/>
          <w:rtl/>
        </w:rPr>
        <w:t xml:space="preserve">לסגור בתי </w:t>
      </w:r>
      <w:r w:rsidRPr="00552F78">
        <w:rPr>
          <w:rFonts w:hint="cs"/>
          <w:rtl/>
        </w:rPr>
        <w:t xml:space="preserve">ספר </w:t>
      </w:r>
      <w:r>
        <w:rPr>
          <w:rFonts w:hint="cs"/>
          <w:rtl/>
        </w:rPr>
        <w:t>בעירו שניתנה בחוסר סמכות (</w:t>
      </w:r>
      <w:r w:rsidRPr="00552F78">
        <w:rPr>
          <w:rFonts w:hint="cs"/>
          <w:rtl/>
        </w:rPr>
        <w:t xml:space="preserve">בג"ץ 8046/04 </w:t>
      </w:r>
      <w:r w:rsidRPr="00D440FD">
        <w:rPr>
          <w:rFonts w:ascii="Century" w:hAnsi="Century" w:cs="Miriam" w:hint="cs"/>
          <w:b/>
          <w:spacing w:val="0"/>
          <w:szCs w:val="24"/>
          <w:rtl/>
        </w:rPr>
        <w:t>בן עטיה נ' ראש-עיריית בת ים</w:t>
      </w:r>
      <w:r>
        <w:rPr>
          <w:rFonts w:ascii="Century" w:hAnsi="Century" w:cs="Miriam" w:hint="cs"/>
          <w:b/>
          <w:spacing w:val="0"/>
          <w:szCs w:val="24"/>
          <w:rtl/>
        </w:rPr>
        <w:t>, שלומי לחיאני</w:t>
      </w:r>
      <w:r w:rsidRPr="00552F78">
        <w:rPr>
          <w:rFonts w:hint="cs"/>
          <w:rtl/>
        </w:rPr>
        <w:t>, פ"ד נט(4) 29 (2005)</w:t>
      </w:r>
      <w:r>
        <w:rPr>
          <w:rFonts w:hint="cs"/>
          <w:rtl/>
        </w:rPr>
        <w:t xml:space="preserve"> (להלן: עניין </w:t>
      </w:r>
      <w:r w:rsidRPr="00D440FD">
        <w:rPr>
          <w:rFonts w:ascii="Century" w:hAnsi="Century" w:cs="Miriam" w:hint="cs"/>
          <w:b/>
          <w:spacing w:val="0"/>
          <w:szCs w:val="24"/>
          <w:rtl/>
        </w:rPr>
        <w:t>בן עטיה</w:t>
      </w:r>
      <w:r>
        <w:rPr>
          <w:rFonts w:hint="cs"/>
          <w:rtl/>
        </w:rPr>
        <w:t>));</w:t>
      </w:r>
      <w:r w:rsidRPr="00552F78">
        <w:rPr>
          <w:rFonts w:hint="cs"/>
          <w:rtl/>
        </w:rPr>
        <w:t xml:space="preserve"> בוטלה גביי</w:t>
      </w:r>
      <w:r>
        <w:rPr>
          <w:rFonts w:hint="cs"/>
          <w:rtl/>
        </w:rPr>
        <w:t>ה ללא סמכות</w:t>
      </w:r>
      <w:r w:rsidRPr="00552F78">
        <w:rPr>
          <w:rFonts w:hint="cs"/>
          <w:rtl/>
        </w:rPr>
        <w:t xml:space="preserve"> </w:t>
      </w:r>
      <w:r>
        <w:rPr>
          <w:rFonts w:hint="cs"/>
          <w:rtl/>
        </w:rPr>
        <w:t xml:space="preserve">של </w:t>
      </w:r>
      <w:r w:rsidRPr="00552F78">
        <w:rPr>
          <w:rFonts w:hint="cs"/>
          <w:rtl/>
        </w:rPr>
        <w:t xml:space="preserve">אגרה </w:t>
      </w:r>
      <w:r>
        <w:rPr>
          <w:rFonts w:hint="cs"/>
          <w:rtl/>
        </w:rPr>
        <w:t>על ידי עירייה (</w:t>
      </w:r>
      <w:r w:rsidRPr="00552F78">
        <w:rPr>
          <w:rFonts w:hint="cs"/>
          <w:rtl/>
        </w:rPr>
        <w:t xml:space="preserve">ע"א 546/04 </w:t>
      </w:r>
      <w:r w:rsidRPr="00552F78">
        <w:rPr>
          <w:rFonts w:ascii="Century" w:hAnsi="Century" w:cs="Miriam" w:hint="cs"/>
          <w:b/>
          <w:spacing w:val="0"/>
          <w:szCs w:val="24"/>
          <w:rtl/>
        </w:rPr>
        <w:t>עיריית ירושלים נ' שרותי בריאות כללית</w:t>
      </w:r>
      <w:r w:rsidRPr="00552F78">
        <w:rPr>
          <w:rFonts w:hint="cs"/>
          <w:rtl/>
        </w:rPr>
        <w:t xml:space="preserve"> (20.8.2009)</w:t>
      </w:r>
      <w:r>
        <w:rPr>
          <w:rFonts w:hint="cs"/>
          <w:rtl/>
        </w:rPr>
        <w:t>);</w:t>
      </w:r>
      <w:r w:rsidRPr="00552F78">
        <w:rPr>
          <w:rFonts w:hint="cs"/>
          <w:rtl/>
        </w:rPr>
        <w:t xml:space="preserve"> בוטלו צווים שהוצאו בהיעדר סמכות על ידי משטרת ישראל כלפי ספקי גישה לאינטרנט להגבלת הגישה לאתרי הימורים </w:t>
      </w:r>
      <w:r>
        <w:rPr>
          <w:rFonts w:hint="cs"/>
          <w:rtl/>
        </w:rPr>
        <w:t>(</w:t>
      </w:r>
      <w:r w:rsidRPr="00552F78">
        <w:rPr>
          <w:rtl/>
        </w:rPr>
        <w:t>עע"מ 3782/12 </w:t>
      </w:r>
      <w:r w:rsidRPr="00552F78">
        <w:rPr>
          <w:rFonts w:ascii="Century" w:hAnsi="Century" w:cs="Miriam"/>
          <w:b/>
          <w:spacing w:val="0"/>
          <w:szCs w:val="24"/>
          <w:rtl/>
        </w:rPr>
        <w:t>מפקד מחוז תל אביב-יפו במשטרת ישראל נ' איגוד האינטרנט הישראל</w:t>
      </w:r>
      <w:r w:rsidRPr="00552F78">
        <w:rPr>
          <w:rFonts w:ascii="Century" w:hAnsi="Century" w:cs="Miriam" w:hint="cs"/>
          <w:b/>
          <w:spacing w:val="0"/>
          <w:szCs w:val="24"/>
          <w:rtl/>
        </w:rPr>
        <w:t>י</w:t>
      </w:r>
      <w:r w:rsidRPr="00552F78">
        <w:rPr>
          <w:rFonts w:hint="cs"/>
          <w:rtl/>
        </w:rPr>
        <w:t xml:space="preserve">, פ"ד </w:t>
      </w:r>
      <w:r w:rsidRPr="00552F78">
        <w:rPr>
          <w:rtl/>
        </w:rPr>
        <w:t>סו(2) 159 (2013</w:t>
      </w:r>
      <w:r>
        <w:rPr>
          <w:rFonts w:hint="cs"/>
          <w:rtl/>
        </w:rPr>
        <w:t>)</w:t>
      </w:r>
      <w:r w:rsidRPr="00552F78">
        <w:rPr>
          <w:rtl/>
        </w:rPr>
        <w:t>)</w:t>
      </w:r>
      <w:r w:rsidRPr="00552F78">
        <w:rPr>
          <w:rFonts w:hint="cs"/>
          <w:rtl/>
        </w:rPr>
        <w:t>; בוטלה הוראה שניתנה על ידי המשנה למנכ"ל משרד הבריאות להגביל את פעילותו של רופא שנחשד בהפרת הוראות הדין, שכן לא נמצא לכך מקור סמכות</w:t>
      </w:r>
      <w:r>
        <w:rPr>
          <w:rFonts w:hint="cs"/>
          <w:rtl/>
        </w:rPr>
        <w:t xml:space="preserve"> (</w:t>
      </w:r>
      <w:r w:rsidRPr="00552F78">
        <w:rPr>
          <w:rFonts w:hint="cs"/>
          <w:rtl/>
        </w:rPr>
        <w:t>ענ</w:t>
      </w:r>
      <w:r>
        <w:rPr>
          <w:rFonts w:hint="cs"/>
          <w:rtl/>
        </w:rPr>
        <w:t>י</w:t>
      </w:r>
      <w:r w:rsidRPr="00552F78">
        <w:rPr>
          <w:rFonts w:hint="cs"/>
          <w:rtl/>
        </w:rPr>
        <w:t xml:space="preserve">ין </w:t>
      </w:r>
      <w:r w:rsidRPr="00552F78">
        <w:rPr>
          <w:rFonts w:ascii="Century" w:hAnsi="Century" w:cs="Miriam" w:hint="cs"/>
          <w:b/>
          <w:spacing w:val="0"/>
          <w:szCs w:val="24"/>
          <w:rtl/>
        </w:rPr>
        <w:t>סלוין</w:t>
      </w:r>
      <w:r>
        <w:rPr>
          <w:rFonts w:hint="cs"/>
          <w:rtl/>
        </w:rPr>
        <w:t>)</w:t>
      </w:r>
      <w:r w:rsidRPr="00552F78">
        <w:rPr>
          <w:rFonts w:hint="cs"/>
          <w:rtl/>
        </w:rPr>
        <w:t xml:space="preserve">; </w:t>
      </w:r>
      <w:r>
        <w:rPr>
          <w:rFonts w:hint="cs"/>
          <w:rtl/>
        </w:rPr>
        <w:t xml:space="preserve">בוטלה הוראה שניתנה מצד גורמים במשרד הבריאות שאסרה ללא סמכות </w:t>
      </w:r>
      <w:r w:rsidRPr="00552F78">
        <w:rPr>
          <w:rFonts w:hint="cs"/>
          <w:rtl/>
        </w:rPr>
        <w:t xml:space="preserve">על יבוא סיגריות אלקטרוניות </w:t>
      </w:r>
      <w:r>
        <w:rPr>
          <w:rFonts w:hint="cs"/>
          <w:rtl/>
        </w:rPr>
        <w:t>לישראל (</w:t>
      </w:r>
      <w:r w:rsidRPr="00552F78">
        <w:rPr>
          <w:rFonts w:hint="cs"/>
          <w:rtl/>
        </w:rPr>
        <w:t xml:space="preserve">בג"ץ 6665/12 </w:t>
      </w:r>
      <w:r w:rsidRPr="00116DDB">
        <w:rPr>
          <w:rFonts w:ascii="Century" w:hAnsi="Century" w:cs="Miriam" w:hint="cs"/>
          <w:b/>
          <w:spacing w:val="0"/>
          <w:szCs w:val="24"/>
          <w:rtl/>
        </w:rPr>
        <w:t>א.סיג בע"מ נ' המנהל הכללי של משרד הבריאות</w:t>
      </w:r>
      <w:r w:rsidRPr="00116DDB">
        <w:rPr>
          <w:rFonts w:hint="cs"/>
          <w:rtl/>
        </w:rPr>
        <w:t xml:space="preserve"> </w:t>
      </w:r>
      <w:r w:rsidRPr="00552F78">
        <w:rPr>
          <w:rFonts w:hint="cs"/>
          <w:rtl/>
        </w:rPr>
        <w:t>(3.12.2014)</w:t>
      </w:r>
      <w:r>
        <w:rPr>
          <w:rFonts w:hint="cs"/>
          <w:rtl/>
        </w:rPr>
        <w:t xml:space="preserve"> (להלן: עניין </w:t>
      </w:r>
      <w:r w:rsidRPr="000E1A21">
        <w:rPr>
          <w:rFonts w:ascii="Century" w:hAnsi="Century" w:cs="Miriam" w:hint="cs"/>
          <w:b/>
          <w:spacing w:val="0"/>
          <w:sz w:val="22"/>
          <w:szCs w:val="24"/>
          <w:rtl/>
        </w:rPr>
        <w:t>א.סי</w:t>
      </w:r>
      <w:r>
        <w:rPr>
          <w:rFonts w:ascii="Century" w:hAnsi="Century" w:cs="Miriam" w:hint="cs"/>
          <w:b/>
          <w:spacing w:val="0"/>
          <w:sz w:val="22"/>
          <w:szCs w:val="24"/>
          <w:rtl/>
        </w:rPr>
        <w:t>ג</w:t>
      </w:r>
      <w:r>
        <w:rPr>
          <w:rFonts w:hint="cs"/>
          <w:rtl/>
        </w:rPr>
        <w:t>))</w:t>
      </w:r>
      <w:r w:rsidRPr="00552F78">
        <w:rPr>
          <w:rFonts w:hint="cs"/>
          <w:rtl/>
        </w:rPr>
        <w:t xml:space="preserve">; </w:t>
      </w:r>
      <w:r>
        <w:rPr>
          <w:rFonts w:hint="cs"/>
          <w:rtl/>
        </w:rPr>
        <w:t xml:space="preserve">בוטלו </w:t>
      </w:r>
      <w:r w:rsidRPr="00552F78">
        <w:rPr>
          <w:rFonts w:hint="cs"/>
          <w:rtl/>
        </w:rPr>
        <w:t xml:space="preserve">פעולות גביה שנעשו </w:t>
      </w:r>
      <w:r>
        <w:rPr>
          <w:rFonts w:hint="cs"/>
          <w:rtl/>
        </w:rPr>
        <w:t xml:space="preserve">על ידי רשויות מקומיות </w:t>
      </w:r>
      <w:r w:rsidRPr="00552F78">
        <w:rPr>
          <w:rFonts w:hint="cs"/>
          <w:rtl/>
        </w:rPr>
        <w:t>באמצעות חברות גביה פרטיות</w:t>
      </w:r>
      <w:r>
        <w:rPr>
          <w:rFonts w:hint="cs"/>
          <w:rtl/>
        </w:rPr>
        <w:t xml:space="preserve"> ללא מקור הסמכה בדין (</w:t>
      </w:r>
      <w:r>
        <w:rPr>
          <w:rtl/>
        </w:rPr>
        <w:t>בג"ץ</w:t>
      </w:r>
      <w:r>
        <w:rPr>
          <w:rFonts w:hint="cs"/>
          <w:rtl/>
        </w:rPr>
        <w:t xml:space="preserve"> </w:t>
      </w:r>
      <w:r w:rsidRPr="00552F78">
        <w:rPr>
          <w:rtl/>
        </w:rPr>
        <w:t>4113/13 </w:t>
      </w:r>
      <w:r w:rsidRPr="00116DDB">
        <w:rPr>
          <w:rFonts w:ascii="Century" w:hAnsi="Century" w:cs="Miriam"/>
          <w:b/>
          <w:spacing w:val="0"/>
          <w:szCs w:val="24"/>
          <w:rtl/>
        </w:rPr>
        <w:t>לשכת התיאום של הארגונים הכלכליים נ' שר הפנים</w:t>
      </w:r>
      <w:r w:rsidRPr="00116DDB">
        <w:rPr>
          <w:rtl/>
        </w:rPr>
        <w:t> </w:t>
      </w:r>
      <w:r>
        <w:rPr>
          <w:rFonts w:hint="cs"/>
          <w:rtl/>
        </w:rPr>
        <w:t>(26.3.2018)); ועוד ועוד.</w:t>
      </w:r>
    </w:p>
    <w:p w:rsidR="00737972" w:rsidRDefault="00737972" w:rsidP="00737972">
      <w:pPr>
        <w:pStyle w:val="Ruller41"/>
        <w:rPr>
          <w:rtl/>
        </w:rPr>
      </w:pPr>
    </w:p>
    <w:p w:rsidR="00737972" w:rsidRPr="00B33EA2" w:rsidRDefault="00737972" w:rsidP="00737972">
      <w:pPr>
        <w:pStyle w:val="Ruller41"/>
      </w:pPr>
      <w:r>
        <w:rPr>
          <w:rtl/>
        </w:rPr>
        <w:tab/>
      </w:r>
      <w:r>
        <w:rPr>
          <w:rFonts w:hint="cs"/>
          <w:rtl/>
        </w:rPr>
        <w:t xml:space="preserve">כל זאת מבלי להתעלם מהתפתחות עיקרון הבטלות היחסית, אשר נקבע כי עשוי במקרים מסוימים להביא לבטלות חלקית בלבד של הפעולה השלטונית (ע"פ 866/95 </w:t>
      </w:r>
      <w:r w:rsidRPr="00054B8D">
        <w:rPr>
          <w:rFonts w:ascii="Century" w:hAnsi="Century" w:cs="Miriam" w:hint="cs"/>
          <w:b/>
          <w:spacing w:val="0"/>
          <w:szCs w:val="24"/>
          <w:rtl/>
        </w:rPr>
        <w:t>סוסן נ' מדינת</w:t>
      </w:r>
      <w:r w:rsidRPr="00C979C4">
        <w:rPr>
          <w:rFonts w:hint="cs"/>
          <w:rtl/>
        </w:rPr>
        <w:t xml:space="preserve"> </w:t>
      </w:r>
      <w:r w:rsidRPr="00054B8D">
        <w:rPr>
          <w:rFonts w:ascii="Century" w:hAnsi="Century" w:cs="Miriam" w:hint="cs"/>
          <w:b/>
          <w:spacing w:val="0"/>
          <w:szCs w:val="24"/>
          <w:rtl/>
        </w:rPr>
        <w:t>ישראל</w:t>
      </w:r>
      <w:r>
        <w:rPr>
          <w:rFonts w:hint="cs"/>
          <w:rtl/>
        </w:rPr>
        <w:t xml:space="preserve">, פ"ד נ(1) 793, 816 (1996); רע"פ 4398/99 </w:t>
      </w:r>
      <w:r w:rsidRPr="00054B8D">
        <w:rPr>
          <w:rFonts w:ascii="Century" w:hAnsi="Century" w:cs="Miriam" w:hint="cs"/>
          <w:b/>
          <w:spacing w:val="0"/>
          <w:szCs w:val="24"/>
          <w:rtl/>
        </w:rPr>
        <w:t>הראל נ' מדינת ישראל</w:t>
      </w:r>
      <w:r>
        <w:rPr>
          <w:rFonts w:hint="cs"/>
          <w:rtl/>
        </w:rPr>
        <w:t xml:space="preserve">, פ"ד נד(3) 637, 643 (2000); עע"מ 3202/21 </w:t>
      </w:r>
      <w:r w:rsidRPr="00054B8D">
        <w:rPr>
          <w:rFonts w:ascii="Century" w:hAnsi="Century" w:cs="Miriam" w:hint="cs"/>
          <w:b/>
          <w:spacing w:val="0"/>
          <w:szCs w:val="24"/>
          <w:rtl/>
        </w:rPr>
        <w:t>מרכז השלטון האזורי נ' הוועדה הארצית לתכנון ובניה של מתחמים מועדפים לדיור</w:t>
      </w:r>
      <w:r>
        <w:rPr>
          <w:rFonts w:hint="cs"/>
          <w:rtl/>
        </w:rPr>
        <w:t xml:space="preserve">, פסקה 54 (8.8.2023)) </w:t>
      </w:r>
      <w:r>
        <w:rPr>
          <w:rtl/>
        </w:rPr>
        <w:t>–</w:t>
      </w:r>
      <w:r>
        <w:rPr>
          <w:rFonts w:hint="cs"/>
          <w:rtl/>
        </w:rPr>
        <w:t xml:space="preserve"> עיקרון ש</w:t>
      </w:r>
      <w:r w:rsidRPr="008F14FC">
        <w:rPr>
          <w:rFonts w:hint="cs"/>
          <w:rtl/>
        </w:rPr>
        <w:t>רלוונטי פחות</w:t>
      </w:r>
      <w:r>
        <w:rPr>
          <w:rFonts w:hint="cs"/>
          <w:rtl/>
        </w:rPr>
        <w:t xml:space="preserve"> כאשר מדובר ב</w:t>
      </w:r>
      <w:r w:rsidRPr="008F14FC">
        <w:rPr>
          <w:rFonts w:hint="cs"/>
          <w:rtl/>
        </w:rPr>
        <w:t xml:space="preserve">פגם </w:t>
      </w:r>
      <w:r w:rsidRPr="008F14FC">
        <w:rPr>
          <w:rFonts w:ascii="Century" w:hAnsi="Century" w:cs="Miriam" w:hint="cs"/>
          <w:b/>
          <w:spacing w:val="0"/>
          <w:szCs w:val="24"/>
          <w:rtl/>
        </w:rPr>
        <w:t>חמור</w:t>
      </w:r>
      <w:r w:rsidRPr="008F14FC">
        <w:rPr>
          <w:rFonts w:hint="cs"/>
          <w:rtl/>
        </w:rPr>
        <w:t xml:space="preserve"> במישור הסמכות (</w:t>
      </w:r>
      <w:r w:rsidRPr="008F14FC">
        <w:rPr>
          <w:rFonts w:ascii="Century" w:hAnsi="Century" w:hint="cs"/>
          <w:rtl/>
        </w:rPr>
        <w:t xml:space="preserve">רע"פ 2413/99 </w:t>
      </w:r>
      <w:r w:rsidRPr="008F14FC">
        <w:rPr>
          <w:rFonts w:ascii="Century" w:hAnsi="Century" w:cs="Miriam" w:hint="cs"/>
          <w:b/>
          <w:spacing w:val="0"/>
          <w:szCs w:val="24"/>
          <w:rtl/>
        </w:rPr>
        <w:t>גיספן נ' התובע הצבאי הראשי</w:t>
      </w:r>
      <w:r w:rsidRPr="008F14FC">
        <w:rPr>
          <w:rFonts w:ascii="Century" w:hAnsi="Century" w:hint="cs"/>
          <w:rtl/>
        </w:rPr>
        <w:t xml:space="preserve">, פ"ד נה(4) 673, 687-686 (2001); </w:t>
      </w:r>
      <w:r w:rsidRPr="008F14FC">
        <w:rPr>
          <w:rFonts w:hint="cs"/>
          <w:rtl/>
        </w:rPr>
        <w:t xml:space="preserve">עניין </w:t>
      </w:r>
      <w:r w:rsidRPr="008F14FC">
        <w:rPr>
          <w:rFonts w:ascii="Century" w:hAnsi="Century" w:cs="Miriam" w:hint="cs"/>
          <w:b/>
          <w:spacing w:val="0"/>
          <w:szCs w:val="24"/>
          <w:rtl/>
        </w:rPr>
        <w:t>א.סיג</w:t>
      </w:r>
      <w:r w:rsidRPr="008F14FC">
        <w:rPr>
          <w:rFonts w:hint="cs"/>
          <w:rtl/>
        </w:rPr>
        <w:t xml:space="preserve">, פסקה 26; </w:t>
      </w:r>
      <w:r w:rsidRPr="008F14FC">
        <w:rPr>
          <w:rFonts w:hint="eastAsia"/>
          <w:rtl/>
        </w:rPr>
        <w:t>בג</w:t>
      </w:r>
      <w:r w:rsidRPr="008F14FC">
        <w:rPr>
          <w:rFonts w:hint="cs"/>
          <w:rtl/>
        </w:rPr>
        <w:t>"</w:t>
      </w:r>
      <w:r w:rsidRPr="008F14FC">
        <w:rPr>
          <w:rFonts w:hint="eastAsia"/>
          <w:rtl/>
        </w:rPr>
        <w:t>ץ</w:t>
      </w:r>
      <w:r w:rsidRPr="008F14FC">
        <w:rPr>
          <w:rtl/>
        </w:rPr>
        <w:t xml:space="preserve"> 1555/05‏</w:t>
      </w:r>
      <w:r w:rsidRPr="008F14FC">
        <w:rPr>
          <w:rFonts w:ascii="Century" w:hAnsi="Century" w:cs="Miriam"/>
          <w:b/>
          <w:spacing w:val="0"/>
          <w:szCs w:val="24"/>
          <w:rtl/>
        </w:rPr>
        <w:t xml:space="preserve"> </w:t>
      </w:r>
      <w:r w:rsidRPr="008F14FC">
        <w:rPr>
          <w:rFonts w:ascii="Century" w:hAnsi="Century" w:cs="Miriam" w:hint="eastAsia"/>
          <w:b/>
          <w:spacing w:val="0"/>
          <w:szCs w:val="24"/>
          <w:rtl/>
        </w:rPr>
        <w:t>לוי</w:t>
      </w:r>
      <w:r w:rsidRPr="008F14FC">
        <w:rPr>
          <w:rFonts w:ascii="Century" w:hAnsi="Century" w:cs="Miriam"/>
          <w:b/>
          <w:spacing w:val="0"/>
          <w:szCs w:val="24"/>
          <w:rtl/>
        </w:rPr>
        <w:t xml:space="preserve"> </w:t>
      </w:r>
      <w:r w:rsidRPr="008F14FC">
        <w:rPr>
          <w:rFonts w:ascii="Century" w:hAnsi="Century" w:cs="Miriam" w:hint="eastAsia"/>
          <w:b/>
          <w:spacing w:val="0"/>
          <w:szCs w:val="24"/>
          <w:rtl/>
        </w:rPr>
        <w:t>נ</w:t>
      </w:r>
      <w:r w:rsidRPr="008F14FC">
        <w:rPr>
          <w:rFonts w:ascii="Century" w:hAnsi="Century" w:cs="Miriam"/>
          <w:b/>
          <w:spacing w:val="0"/>
          <w:szCs w:val="24"/>
          <w:rtl/>
        </w:rPr>
        <w:t xml:space="preserve">' </w:t>
      </w:r>
      <w:r w:rsidRPr="008F14FC">
        <w:rPr>
          <w:rFonts w:ascii="Century" w:hAnsi="Century" w:cs="Miriam" w:hint="eastAsia"/>
          <w:b/>
          <w:spacing w:val="0"/>
          <w:szCs w:val="24"/>
          <w:rtl/>
        </w:rPr>
        <w:t>בית</w:t>
      </w:r>
      <w:r w:rsidRPr="008F14FC">
        <w:rPr>
          <w:rFonts w:ascii="Century" w:hAnsi="Century" w:cs="Miriam"/>
          <w:b/>
          <w:spacing w:val="0"/>
          <w:szCs w:val="24"/>
          <w:rtl/>
        </w:rPr>
        <w:t xml:space="preserve"> </w:t>
      </w:r>
      <w:r w:rsidRPr="008F14FC">
        <w:rPr>
          <w:rFonts w:ascii="Century" w:hAnsi="Century" w:cs="Miriam" w:hint="eastAsia"/>
          <w:b/>
          <w:spacing w:val="0"/>
          <w:szCs w:val="24"/>
          <w:rtl/>
        </w:rPr>
        <w:t>הדין</w:t>
      </w:r>
      <w:r w:rsidRPr="008F14FC">
        <w:rPr>
          <w:rFonts w:ascii="Century" w:hAnsi="Century" w:cs="Miriam"/>
          <w:b/>
          <w:spacing w:val="0"/>
          <w:szCs w:val="24"/>
          <w:rtl/>
        </w:rPr>
        <w:t xml:space="preserve"> </w:t>
      </w:r>
      <w:r w:rsidRPr="008F14FC">
        <w:rPr>
          <w:rFonts w:ascii="Century" w:hAnsi="Century" w:cs="Miriam" w:hint="eastAsia"/>
          <w:b/>
          <w:spacing w:val="0"/>
          <w:szCs w:val="24"/>
          <w:rtl/>
        </w:rPr>
        <w:t>הרבני</w:t>
      </w:r>
      <w:r w:rsidRPr="008F14FC">
        <w:rPr>
          <w:rFonts w:ascii="Century" w:hAnsi="Century" w:cs="Miriam"/>
          <w:b/>
          <w:spacing w:val="0"/>
          <w:szCs w:val="24"/>
          <w:rtl/>
        </w:rPr>
        <w:t xml:space="preserve"> </w:t>
      </w:r>
      <w:r w:rsidRPr="008F14FC">
        <w:rPr>
          <w:rFonts w:ascii="Century" w:hAnsi="Century" w:cs="Miriam" w:hint="eastAsia"/>
          <w:b/>
          <w:spacing w:val="0"/>
          <w:szCs w:val="24"/>
          <w:rtl/>
        </w:rPr>
        <w:t>האזורי</w:t>
      </w:r>
      <w:r w:rsidRPr="008F14FC">
        <w:rPr>
          <w:rFonts w:ascii="Century" w:hAnsi="Century" w:cs="Miriam"/>
          <w:b/>
          <w:spacing w:val="0"/>
          <w:szCs w:val="24"/>
          <w:rtl/>
        </w:rPr>
        <w:t xml:space="preserve"> </w:t>
      </w:r>
      <w:r w:rsidRPr="008F14FC">
        <w:rPr>
          <w:rFonts w:ascii="Century" w:hAnsi="Century" w:cs="Miriam" w:hint="eastAsia"/>
          <w:b/>
          <w:spacing w:val="0"/>
          <w:szCs w:val="24"/>
          <w:rtl/>
        </w:rPr>
        <w:t>מחוז</w:t>
      </w:r>
      <w:r w:rsidRPr="008F14FC">
        <w:rPr>
          <w:rFonts w:ascii="Century" w:hAnsi="Century" w:cs="Miriam"/>
          <w:b/>
          <w:spacing w:val="0"/>
          <w:szCs w:val="24"/>
          <w:rtl/>
        </w:rPr>
        <w:t xml:space="preserve"> </w:t>
      </w:r>
      <w:r w:rsidRPr="008F14FC">
        <w:rPr>
          <w:rFonts w:ascii="Century" w:hAnsi="Century" w:cs="Miriam" w:hint="eastAsia"/>
          <w:b/>
          <w:spacing w:val="0"/>
          <w:szCs w:val="24"/>
          <w:rtl/>
        </w:rPr>
        <w:t>תל</w:t>
      </w:r>
      <w:r w:rsidRPr="008F14FC">
        <w:rPr>
          <w:rFonts w:ascii="Century" w:hAnsi="Century" w:cs="Miriam"/>
          <w:b/>
          <w:spacing w:val="0"/>
          <w:szCs w:val="24"/>
          <w:rtl/>
        </w:rPr>
        <w:t>-</w:t>
      </w:r>
      <w:r w:rsidRPr="008F14FC">
        <w:rPr>
          <w:rFonts w:ascii="Century" w:hAnsi="Century" w:cs="Miriam" w:hint="eastAsia"/>
          <w:b/>
          <w:spacing w:val="0"/>
          <w:szCs w:val="24"/>
          <w:rtl/>
        </w:rPr>
        <w:t>אביב</w:t>
      </w:r>
      <w:r w:rsidRPr="008F14FC">
        <w:rPr>
          <w:rFonts w:hint="cs"/>
          <w:rtl/>
        </w:rPr>
        <w:t>, פסקה 45 (16.7.2009)</w:t>
      </w:r>
      <w:r>
        <w:rPr>
          <w:rFonts w:hint="cs"/>
          <w:rtl/>
        </w:rPr>
        <w:t xml:space="preserve"> (להלן: עניין </w:t>
      </w:r>
      <w:r w:rsidRPr="00945C46">
        <w:rPr>
          <w:rFonts w:ascii="Century" w:hAnsi="Century" w:cs="Miriam" w:hint="cs"/>
          <w:b/>
          <w:spacing w:val="0"/>
          <w:szCs w:val="24"/>
          <w:rtl/>
        </w:rPr>
        <w:t>לוי</w:t>
      </w:r>
      <w:r>
        <w:rPr>
          <w:rFonts w:hint="cs"/>
          <w:rtl/>
        </w:rPr>
        <w:t>)</w:t>
      </w:r>
      <w:r w:rsidRPr="008F14FC">
        <w:rPr>
          <w:rFonts w:hint="cs"/>
          <w:rtl/>
        </w:rPr>
        <w:t xml:space="preserve">; עניין </w:t>
      </w:r>
      <w:r w:rsidRPr="008F14FC">
        <w:rPr>
          <w:rFonts w:ascii="Century" w:hAnsi="Century" w:cs="Miriam" w:hint="cs"/>
          <w:b/>
          <w:spacing w:val="0"/>
          <w:szCs w:val="24"/>
          <w:rtl/>
        </w:rPr>
        <w:t>סלוין</w:t>
      </w:r>
      <w:r w:rsidRPr="008F14FC">
        <w:rPr>
          <w:rFonts w:hint="cs"/>
          <w:rtl/>
        </w:rPr>
        <w:t>, פסקה 25;</w:t>
      </w:r>
      <w:r w:rsidRPr="008F14FC">
        <w:rPr>
          <w:rFonts w:ascii="Century" w:hAnsi="Century" w:hint="cs"/>
          <w:rtl/>
        </w:rPr>
        <w:t xml:space="preserve"> </w:t>
      </w:r>
      <w:r w:rsidRPr="008F14FC">
        <w:rPr>
          <w:rFonts w:ascii="Century" w:hAnsi="Century"/>
          <w:rtl/>
        </w:rPr>
        <w:t>ע</w:t>
      </w:r>
      <w:r w:rsidRPr="0029428C">
        <w:rPr>
          <w:rFonts w:ascii="Century" w:hAnsi="Century"/>
          <w:rtl/>
        </w:rPr>
        <w:t>"א</w:t>
      </w:r>
      <w:r w:rsidRPr="0029428C">
        <w:rPr>
          <w:rFonts w:ascii="Century" w:hAnsi="Century" w:hint="cs"/>
          <w:rtl/>
        </w:rPr>
        <w:t xml:space="preserve"> </w:t>
      </w:r>
      <w:r>
        <w:rPr>
          <w:rFonts w:ascii="Century" w:hAnsi="Century" w:hint="cs"/>
          <w:rtl/>
        </w:rPr>
        <w:t>4872/17</w:t>
      </w:r>
      <w:r w:rsidRPr="008F14FC">
        <w:rPr>
          <w:rFonts w:ascii="Century" w:hAnsi="Century"/>
          <w:rtl/>
        </w:rPr>
        <w:t> </w:t>
      </w:r>
      <w:r w:rsidRPr="008F14FC">
        <w:rPr>
          <w:rFonts w:ascii="Century" w:hAnsi="Century" w:cs="Miriam"/>
          <w:b/>
          <w:spacing w:val="0"/>
          <w:szCs w:val="24"/>
          <w:rtl/>
        </w:rPr>
        <w:t>המועצה המקומית זכרון יעקב נ' מאיר אפרת אחזקות בע"מ</w:t>
      </w:r>
      <w:r w:rsidRPr="008F14FC">
        <w:rPr>
          <w:rFonts w:ascii="Century" w:hAnsi="Century" w:hint="cs"/>
          <w:rtl/>
        </w:rPr>
        <w:t xml:space="preserve">, פסקה 57 </w:t>
      </w:r>
      <w:r w:rsidRPr="008F14FC">
        <w:rPr>
          <w:rFonts w:ascii="Century" w:hAnsi="Century"/>
          <w:rtl/>
        </w:rPr>
        <w:t>(</w:t>
      </w:r>
      <w:r w:rsidRPr="008F14FC">
        <w:rPr>
          <w:rFonts w:ascii="Century" w:hAnsi="Century" w:hint="cs"/>
          <w:rtl/>
        </w:rPr>
        <w:t>9.10.2018</w:t>
      </w:r>
      <w:r>
        <w:rPr>
          <w:rFonts w:ascii="Century" w:hAnsi="Century" w:hint="cs"/>
          <w:rtl/>
        </w:rPr>
        <w:t xml:space="preserve">)). </w:t>
      </w:r>
    </w:p>
    <w:p w:rsidR="00737972" w:rsidRDefault="00737972" w:rsidP="00737972">
      <w:pPr>
        <w:pStyle w:val="Ruller4"/>
        <w:numPr>
          <w:ilvl w:val="0"/>
          <w:numId w:val="0"/>
        </w:numPr>
        <w:rPr>
          <w:rtl/>
        </w:rPr>
      </w:pPr>
    </w:p>
    <w:p w:rsidR="00737972" w:rsidRDefault="00737972" w:rsidP="00A0648B">
      <w:pPr>
        <w:pStyle w:val="Ruller4"/>
      </w:pPr>
      <w:r>
        <w:rPr>
          <w:rFonts w:hint="cs"/>
          <w:rtl/>
        </w:rPr>
        <w:t xml:space="preserve">טווח הפעולות שאותן רשות מינהלית כלשהי רשאית לנקוט מצוי אפוא כולו בתוך גדר הסמכות הנתונה לה מכוח הדין. הא ותוּ לא. מכוח עיקרון החוקיות אין רשות מרשויות המדינה מוסמכת לבצע פעולה כלשהי מבלי שהוענקה לה בחוק סמכות לעשות כן. מתחתית המדרגה, מאחרון הפקידים, ועד לראשי המערכת </w:t>
      </w:r>
      <w:r>
        <w:rPr>
          <w:rtl/>
        </w:rPr>
        <w:t>–</w:t>
      </w:r>
      <w:r>
        <w:rPr>
          <w:rFonts w:hint="cs"/>
          <w:rtl/>
        </w:rPr>
        <w:t xml:space="preserve"> כולם כאחד כפופים לעיקרון החוקיות, ולגבי כולם </w:t>
      </w:r>
      <w:r>
        <w:rPr>
          <w:rtl/>
        </w:rPr>
        <w:t>–</w:t>
      </w:r>
      <w:r>
        <w:rPr>
          <w:rFonts w:hint="cs"/>
          <w:rtl/>
        </w:rPr>
        <w:t xml:space="preserve"> תהא ההחלטה בטלה אם ניתנה ללא הסמכה מפורשת בחוק. </w:t>
      </w:r>
    </w:p>
    <w:p w:rsidR="00737972" w:rsidRDefault="00737972" w:rsidP="00737972">
      <w:pPr>
        <w:pStyle w:val="Ruller4"/>
        <w:numPr>
          <w:ilvl w:val="0"/>
          <w:numId w:val="0"/>
        </w:numPr>
      </w:pPr>
    </w:p>
    <w:p w:rsidR="00737972" w:rsidRDefault="00737972" w:rsidP="00737972">
      <w:pPr>
        <w:pStyle w:val="Ruller4"/>
      </w:pPr>
      <w:r>
        <w:rPr>
          <w:rFonts w:hint="cs"/>
          <w:rtl/>
        </w:rPr>
        <w:t xml:space="preserve">עיקרון זה חל באותה מידה לגבי מי שממלא תפקיד שיפוטי. ערכאות שיפוטיות כפופות גם הן לעיקרון החוקיות כמו יתר הרשויות השלטון. </w:t>
      </w:r>
      <w:r w:rsidRPr="00A07E28">
        <w:rPr>
          <w:rFonts w:eastAsia="Calibri"/>
          <w:rtl/>
        </w:rPr>
        <w:t xml:space="preserve">הלכה היא מימים ימימה כי לערכאה שיפוטית נתונות הסמכויות שהוענקו לה בחוק ואין לה אלא את אשר הדין נתן בידיה (בג"ץ 26/51 </w:t>
      </w:r>
      <w:r w:rsidRPr="00A07E28">
        <w:rPr>
          <w:rFonts w:ascii="Miriam" w:eastAsia="Calibri" w:hAnsi="Miriam" w:cs="Miriam"/>
          <w:spacing w:val="0"/>
          <w:szCs w:val="24"/>
          <w:rtl/>
        </w:rPr>
        <w:t>מנשה נ' יושב ראש וחברי בית דין הרבנות בירושלים</w:t>
      </w:r>
      <w:r w:rsidRPr="00A07E28">
        <w:rPr>
          <w:rFonts w:eastAsia="Calibri"/>
          <w:rtl/>
        </w:rPr>
        <w:t xml:space="preserve">, פ"ד ה 714, 719-717 (1951); בג"ץ 3269/95 </w:t>
      </w:r>
      <w:r w:rsidRPr="00F03D8F">
        <w:rPr>
          <w:rFonts w:ascii="Century" w:eastAsia="Calibri" w:hAnsi="Century" w:cs="Miriam"/>
          <w:b/>
          <w:spacing w:val="0"/>
          <w:sz w:val="22"/>
          <w:szCs w:val="24"/>
          <w:rtl/>
        </w:rPr>
        <w:t>כץ נ' בית הדין הרבני האזורי בירושלים</w:t>
      </w:r>
      <w:r w:rsidRPr="00A07E28">
        <w:rPr>
          <w:rFonts w:eastAsia="Calibri"/>
          <w:rtl/>
        </w:rPr>
        <w:t xml:space="preserve">, פ"ד נ(4) 590, 604 (1996); </w:t>
      </w:r>
      <w:r>
        <w:rPr>
          <w:rFonts w:eastAsia="Calibri" w:hint="cs"/>
          <w:rtl/>
        </w:rPr>
        <w:t xml:space="preserve">עניין </w:t>
      </w:r>
      <w:r w:rsidRPr="00A07E28">
        <w:rPr>
          <w:rFonts w:ascii="Miriam" w:eastAsia="Calibri" w:hAnsi="Miriam" w:cs="Miriam"/>
          <w:spacing w:val="0"/>
          <w:szCs w:val="24"/>
          <w:rtl/>
        </w:rPr>
        <w:t>לוי</w:t>
      </w:r>
      <w:r>
        <w:rPr>
          <w:rFonts w:eastAsia="Calibri"/>
          <w:rtl/>
        </w:rPr>
        <w:t>, פסקה 18</w:t>
      </w:r>
      <w:r>
        <w:rPr>
          <w:rFonts w:eastAsia="Calibri" w:hint="cs"/>
          <w:rtl/>
        </w:rPr>
        <w:t xml:space="preserve"> לחוות דעתה של השופטת </w:t>
      </w:r>
      <w:r w:rsidRPr="00945C46">
        <w:rPr>
          <w:rFonts w:ascii="Century" w:eastAsia="Calibri" w:hAnsi="Century" w:cs="Miriam" w:hint="cs"/>
          <w:b/>
          <w:spacing w:val="0"/>
          <w:sz w:val="22"/>
          <w:szCs w:val="24"/>
          <w:rtl/>
        </w:rPr>
        <w:t>א' פרוקצ'יה</w:t>
      </w:r>
      <w:r w:rsidRPr="00A07E28">
        <w:rPr>
          <w:rFonts w:eastAsia="Calibri"/>
          <w:rtl/>
        </w:rPr>
        <w:t xml:space="preserve">; בג"ץ 6929/10 </w:t>
      </w:r>
      <w:r w:rsidRPr="00A07E28">
        <w:rPr>
          <w:rFonts w:ascii="Miriam" w:eastAsia="Calibri" w:hAnsi="Miriam" w:cs="Miriam"/>
          <w:spacing w:val="0"/>
          <w:szCs w:val="24"/>
          <w:rtl/>
        </w:rPr>
        <w:t>פלונית נ' בית הדין הרבני הגדול</w:t>
      </w:r>
      <w:r w:rsidRPr="00A07E28">
        <w:rPr>
          <w:rFonts w:eastAsia="Calibri"/>
          <w:rtl/>
        </w:rPr>
        <w:t xml:space="preserve">, פ"ד סו(2) 1, 16 (2013); בג"ץ 7212/09 </w:t>
      </w:r>
      <w:r w:rsidRPr="00A07E28">
        <w:rPr>
          <w:rFonts w:ascii="Miriam" w:eastAsia="Calibri" w:hAnsi="Miriam" w:cs="Miriam"/>
          <w:spacing w:val="0"/>
          <w:szCs w:val="24"/>
          <w:rtl/>
        </w:rPr>
        <w:t>פלוני נ' פלונית</w:t>
      </w:r>
      <w:r w:rsidRPr="00A07E28">
        <w:rPr>
          <w:rFonts w:eastAsia="Calibri"/>
          <w:rtl/>
        </w:rPr>
        <w:t xml:space="preserve">, פסקה 11 (3.7.2013); יצחק זמיר </w:t>
      </w:r>
      <w:r w:rsidRPr="00A07E28">
        <w:rPr>
          <w:rFonts w:ascii="Miriam" w:eastAsia="Calibri" w:hAnsi="Miriam" w:cs="Miriam"/>
          <w:spacing w:val="0"/>
          <w:szCs w:val="24"/>
          <w:rtl/>
        </w:rPr>
        <w:t>הסמכות המינהלית</w:t>
      </w:r>
      <w:r w:rsidRPr="00A07E28">
        <w:rPr>
          <w:rFonts w:eastAsia="Calibri"/>
          <w:rtl/>
        </w:rPr>
        <w:t xml:space="preserve"> כרך ג 1700 (2014)). </w:t>
      </w:r>
      <w:r>
        <w:rPr>
          <w:rFonts w:hint="cs"/>
          <w:rtl/>
        </w:rPr>
        <w:t>וכך נאמר למשל ב</w:t>
      </w:r>
      <w:r w:rsidRPr="00D5355D">
        <w:rPr>
          <w:rtl/>
        </w:rPr>
        <w:t>בש"פ 4972</w:t>
      </w:r>
      <w:r>
        <w:rPr>
          <w:rFonts w:hint="cs"/>
          <w:rtl/>
        </w:rPr>
        <w:t>/</w:t>
      </w:r>
      <w:r w:rsidRPr="00D5355D">
        <w:rPr>
          <w:rtl/>
        </w:rPr>
        <w:t>07 </w:t>
      </w:r>
      <w:r w:rsidRPr="00141B3C">
        <w:rPr>
          <w:rFonts w:cs="Miriam"/>
          <w:b/>
          <w:spacing w:val="0"/>
          <w:szCs w:val="24"/>
          <w:rtl/>
        </w:rPr>
        <w:t>פואז נ' מדינת ישראל</w:t>
      </w:r>
      <w:r>
        <w:rPr>
          <w:rFonts w:hint="cs"/>
          <w:rtl/>
        </w:rPr>
        <w:t xml:space="preserve"> </w:t>
      </w:r>
      <w:r>
        <w:rPr>
          <w:rtl/>
        </w:rPr>
        <w:t>(</w:t>
      </w:r>
      <w:r>
        <w:rPr>
          <w:rFonts w:hint="cs"/>
          <w:rtl/>
        </w:rPr>
        <w:t>20.3.2008</w:t>
      </w:r>
      <w:r>
        <w:rPr>
          <w:rtl/>
        </w:rPr>
        <w:t>)</w:t>
      </w:r>
      <w:r>
        <w:rPr>
          <w:rFonts w:hint="cs"/>
          <w:rtl/>
        </w:rPr>
        <w:t>:</w:t>
      </w:r>
    </w:p>
    <w:p w:rsidR="00737972" w:rsidRDefault="00737972" w:rsidP="00737972">
      <w:pPr>
        <w:pStyle w:val="Ruller4"/>
        <w:numPr>
          <w:ilvl w:val="0"/>
          <w:numId w:val="0"/>
        </w:numPr>
        <w:rPr>
          <w:rtl/>
        </w:rPr>
      </w:pPr>
    </w:p>
    <w:p w:rsidR="00737972" w:rsidRPr="00141B3C" w:rsidRDefault="00737972" w:rsidP="00737972">
      <w:pPr>
        <w:pStyle w:val="Ruller5"/>
      </w:pPr>
      <w:r>
        <w:rPr>
          <w:rFonts w:hint="cs"/>
          <w:rtl/>
        </w:rPr>
        <w:t>"</w:t>
      </w:r>
      <w:r w:rsidRPr="00632855">
        <w:rPr>
          <w:rtl/>
        </w:rPr>
        <w:t xml:space="preserve">אחד </w:t>
      </w:r>
      <w:r w:rsidRPr="00632855">
        <w:rPr>
          <w:rFonts w:hint="cs"/>
          <w:rtl/>
        </w:rPr>
        <w:t xml:space="preserve">המאפיינים </w:t>
      </w:r>
      <w:r w:rsidRPr="00632855">
        <w:rPr>
          <w:rtl/>
        </w:rPr>
        <w:t>החשובים של עקרון שלטון החוק מעוגן ברעיון לפיו השלטון, על כל זרועותיו, פועל במסגרת הסמכויו</w:t>
      </w:r>
      <w:r>
        <w:rPr>
          <w:rtl/>
        </w:rPr>
        <w:t>ת שהחוק היקנה לו, ולא מעבר להן.</w:t>
      </w:r>
      <w:r>
        <w:rPr>
          <w:rFonts w:hint="cs"/>
          <w:rtl/>
        </w:rPr>
        <w:t xml:space="preserve"> </w:t>
      </w:r>
      <w:r w:rsidRPr="00E25506">
        <w:rPr>
          <w:rFonts w:hint="eastAsia"/>
          <w:rtl/>
        </w:rPr>
        <w:t>גדר</w:t>
      </w:r>
      <w:r w:rsidRPr="00E25506">
        <w:rPr>
          <w:rtl/>
        </w:rPr>
        <w:t xml:space="preserve"> </w:t>
      </w:r>
      <w:r w:rsidRPr="00E25506">
        <w:rPr>
          <w:rFonts w:hint="eastAsia"/>
          <w:rtl/>
        </w:rPr>
        <w:t>הסמכויות</w:t>
      </w:r>
      <w:r w:rsidRPr="00E25506">
        <w:rPr>
          <w:rtl/>
        </w:rPr>
        <w:t xml:space="preserve"> </w:t>
      </w:r>
      <w:r w:rsidRPr="00E25506">
        <w:rPr>
          <w:rFonts w:hint="eastAsia"/>
          <w:rtl/>
        </w:rPr>
        <w:t>של</w:t>
      </w:r>
      <w:r w:rsidRPr="00E25506">
        <w:rPr>
          <w:rtl/>
        </w:rPr>
        <w:t xml:space="preserve"> </w:t>
      </w:r>
      <w:r w:rsidRPr="00E25506">
        <w:rPr>
          <w:rFonts w:hint="eastAsia"/>
          <w:rtl/>
        </w:rPr>
        <w:t>זרועות</w:t>
      </w:r>
      <w:r w:rsidRPr="00E25506">
        <w:rPr>
          <w:rtl/>
        </w:rPr>
        <w:t xml:space="preserve"> </w:t>
      </w:r>
      <w:r w:rsidRPr="00E25506">
        <w:rPr>
          <w:rFonts w:hint="eastAsia"/>
          <w:rtl/>
        </w:rPr>
        <w:t>השלטון</w:t>
      </w:r>
      <w:r w:rsidRPr="00E25506">
        <w:rPr>
          <w:rtl/>
        </w:rPr>
        <w:t xml:space="preserve">, </w:t>
      </w:r>
      <w:r w:rsidRPr="00E25506">
        <w:rPr>
          <w:rFonts w:hint="eastAsia"/>
          <w:rtl/>
        </w:rPr>
        <w:t>ובתי</w:t>
      </w:r>
      <w:r w:rsidRPr="00E25506">
        <w:rPr>
          <w:rtl/>
        </w:rPr>
        <w:t xml:space="preserve"> </w:t>
      </w:r>
      <w:r w:rsidRPr="00E25506">
        <w:rPr>
          <w:rFonts w:hint="eastAsia"/>
          <w:rtl/>
        </w:rPr>
        <w:t>המשפט</w:t>
      </w:r>
      <w:r w:rsidRPr="00E25506">
        <w:rPr>
          <w:rtl/>
        </w:rPr>
        <w:t xml:space="preserve"> </w:t>
      </w:r>
      <w:r w:rsidRPr="00E25506">
        <w:rPr>
          <w:rFonts w:hint="eastAsia"/>
          <w:rtl/>
        </w:rPr>
        <w:t>בכלל</w:t>
      </w:r>
      <w:r w:rsidRPr="00E25506">
        <w:rPr>
          <w:rtl/>
        </w:rPr>
        <w:t xml:space="preserve"> </w:t>
      </w:r>
      <w:r w:rsidRPr="00E25506">
        <w:rPr>
          <w:rFonts w:hint="eastAsia"/>
          <w:rtl/>
        </w:rPr>
        <w:t>זה</w:t>
      </w:r>
      <w:r w:rsidRPr="00E25506">
        <w:rPr>
          <w:rtl/>
        </w:rPr>
        <w:t xml:space="preserve">, </w:t>
      </w:r>
      <w:r w:rsidRPr="00E25506">
        <w:rPr>
          <w:rFonts w:hint="eastAsia"/>
          <w:rtl/>
        </w:rPr>
        <w:t>מוגדר</w:t>
      </w:r>
      <w:r w:rsidRPr="00E25506">
        <w:rPr>
          <w:rtl/>
        </w:rPr>
        <w:t xml:space="preserve"> </w:t>
      </w:r>
      <w:r w:rsidRPr="00E25506">
        <w:rPr>
          <w:rFonts w:hint="eastAsia"/>
          <w:rtl/>
        </w:rPr>
        <w:t>בחוק</w:t>
      </w:r>
      <w:r>
        <w:rPr>
          <w:rFonts w:hint="cs"/>
          <w:rtl/>
        </w:rPr>
        <w:t xml:space="preserve">. [...] </w:t>
      </w:r>
      <w:r w:rsidRPr="008E3D23">
        <w:rPr>
          <w:rtl/>
        </w:rPr>
        <w:t>חריגה מסמכות שהחוק העניק לרשות שלטונית, אינה מסתכמת בהפרה של ההסדר החקיקתי, שהוא מקור החיות המשפטי לפעולת הרשות. היא עלולה לפגוע ביסודות המהותיים של שלטון החוק ועקרון הפרדת הרשויות, ולכרסם בכלל היסוד המהווה תשתית למינהל ציבורי תקין לפיו אין לרשות שלטונית אלא הסמכויות שהוקנו לה בדין</w:t>
      </w:r>
      <w:r>
        <w:rPr>
          <w:rFonts w:hint="cs"/>
          <w:rtl/>
        </w:rPr>
        <w:t>" (שם, פסקה 6).</w:t>
      </w:r>
    </w:p>
    <w:p w:rsidR="00737972" w:rsidRDefault="00737972" w:rsidP="00737972">
      <w:pPr>
        <w:pStyle w:val="Ruller4"/>
        <w:numPr>
          <w:ilvl w:val="0"/>
          <w:numId w:val="0"/>
        </w:numPr>
      </w:pPr>
    </w:p>
    <w:p w:rsidR="00737972" w:rsidRPr="00141B3C" w:rsidRDefault="00737972" w:rsidP="00737972">
      <w:pPr>
        <w:pStyle w:val="Ruller4"/>
        <w:numPr>
          <w:ilvl w:val="0"/>
          <w:numId w:val="0"/>
        </w:numPr>
      </w:pPr>
      <w:r>
        <w:rPr>
          <w:rFonts w:eastAsia="Calibri"/>
          <w:rtl/>
        </w:rPr>
        <w:tab/>
      </w:r>
      <w:r w:rsidRPr="00A07E28">
        <w:rPr>
          <w:rFonts w:eastAsia="Calibri"/>
          <w:rtl/>
        </w:rPr>
        <w:t xml:space="preserve">בית משפט זה חזר והדגיש כי </w:t>
      </w:r>
      <w:r>
        <w:rPr>
          <w:rFonts w:eastAsia="Calibri" w:hint="cs"/>
          <w:rtl/>
        </w:rPr>
        <w:t>אל</w:t>
      </w:r>
      <w:r w:rsidRPr="00A07E28">
        <w:rPr>
          <w:rFonts w:eastAsia="Calibri"/>
          <w:rtl/>
        </w:rPr>
        <w:t xml:space="preserve"> לערכאה שיפוטית ממלכתית לחרוג מגדרי הפעולות והסמכויות שהוענקו לה בחוק</w:t>
      </w:r>
      <w:r w:rsidRPr="00A07E28">
        <w:rPr>
          <w:rFonts w:eastAsia="Calibri" w:hint="cs"/>
          <w:rtl/>
        </w:rPr>
        <w:t>, וכך גם הובהר לא אחת כי:</w:t>
      </w:r>
    </w:p>
    <w:p w:rsidR="00737972" w:rsidRDefault="00737972" w:rsidP="00737972">
      <w:pPr>
        <w:pStyle w:val="Ruller4"/>
        <w:numPr>
          <w:ilvl w:val="0"/>
          <w:numId w:val="0"/>
        </w:numPr>
        <w:rPr>
          <w:rFonts w:eastAsia="Calibri"/>
          <w:rtl/>
        </w:rPr>
      </w:pPr>
    </w:p>
    <w:p w:rsidR="00737972" w:rsidRPr="00141B3C" w:rsidRDefault="00737972" w:rsidP="00737972">
      <w:pPr>
        <w:pStyle w:val="Ruller5"/>
        <w:rPr>
          <w:rFonts w:eastAsia="Calibri" w:cs="Times New Roman"/>
          <w:szCs w:val="24"/>
        </w:rPr>
      </w:pPr>
      <w:r w:rsidRPr="00141B3C">
        <w:rPr>
          <w:rFonts w:eastAsia="Calibri"/>
          <w:rtl/>
        </w:rPr>
        <w:t>"מחובתנו לשמור על כך ששום גוף במדינה לא יטול לעצמו סמכות שיפוטית ממלכתית אלא על-פי אסמכת</w:t>
      </w:r>
      <w:r>
        <w:rPr>
          <w:rFonts w:eastAsia="Calibri" w:hint="cs"/>
          <w:rtl/>
        </w:rPr>
        <w:t>ה</w:t>
      </w:r>
      <w:r w:rsidRPr="00141B3C">
        <w:rPr>
          <w:rFonts w:eastAsia="Calibri"/>
          <w:rtl/>
        </w:rPr>
        <w:t xml:space="preserve"> חוקית ברורה ומפורשת" (בג"ץ 30/76‏ </w:t>
      </w:r>
      <w:r w:rsidRPr="00141B3C">
        <w:rPr>
          <w:rFonts w:ascii="Miriam" w:eastAsia="Calibri" w:hAnsi="Miriam" w:cs="Miriam"/>
          <w:spacing w:val="0"/>
          <w:szCs w:val="24"/>
          <w:rtl/>
        </w:rPr>
        <w:t>‏סיהו נ' בית-הדין הדתי לעדת היהודים הקראים</w:t>
      </w:r>
      <w:r w:rsidRPr="00141B3C">
        <w:rPr>
          <w:rFonts w:eastAsia="Calibri"/>
          <w:rtl/>
        </w:rPr>
        <w:t xml:space="preserve">, פ"ד לא(1) 13, 18-17 (1977)). </w:t>
      </w:r>
    </w:p>
    <w:p w:rsidR="00737972" w:rsidRPr="00141B3C" w:rsidRDefault="00737972" w:rsidP="00737972">
      <w:pPr>
        <w:pStyle w:val="Ruller4"/>
        <w:numPr>
          <w:ilvl w:val="0"/>
          <w:numId w:val="0"/>
        </w:numPr>
        <w:rPr>
          <w:rFonts w:eastAsia="Calibri" w:cs="Times New Roman"/>
          <w:szCs w:val="24"/>
        </w:rPr>
      </w:pPr>
    </w:p>
    <w:p w:rsidR="00737972" w:rsidRPr="00141B3C" w:rsidRDefault="00737972" w:rsidP="00737972">
      <w:pPr>
        <w:pStyle w:val="Ruller4"/>
        <w:rPr>
          <w:rFonts w:eastAsia="Calibri" w:cs="Times New Roman"/>
          <w:szCs w:val="24"/>
        </w:rPr>
      </w:pPr>
      <w:r w:rsidRPr="00141B3C">
        <w:rPr>
          <w:rFonts w:eastAsia="Calibri"/>
          <w:rtl/>
        </w:rPr>
        <w:t>חריגה מסמכות, גם של גוף שיפוט</w:t>
      </w:r>
      <w:r>
        <w:rPr>
          <w:rFonts w:eastAsia="Calibri" w:hint="cs"/>
          <w:rtl/>
        </w:rPr>
        <w:t>י</w:t>
      </w:r>
      <w:r w:rsidRPr="00141B3C">
        <w:rPr>
          <w:rFonts w:eastAsia="Calibri"/>
          <w:rtl/>
        </w:rPr>
        <w:t>, הייתה עוד מימים ימימה נושא לביקורת חריפה: "שיטת המשפט רואה בחומרה פעילותו של גוף שיפוט</w:t>
      </w:r>
      <w:r>
        <w:rPr>
          <w:rFonts w:eastAsia="Calibri" w:hint="cs"/>
          <w:rtl/>
        </w:rPr>
        <w:t>י</w:t>
      </w:r>
      <w:r w:rsidRPr="00141B3C">
        <w:rPr>
          <w:rFonts w:eastAsia="Calibri"/>
          <w:rtl/>
        </w:rPr>
        <w:t xml:space="preserve"> אל מעבר לגדרים שהדין הציב לו" (בג"ץ 6103/93 </w:t>
      </w:r>
      <w:r w:rsidRPr="00141B3C">
        <w:rPr>
          <w:rFonts w:ascii="Miriam" w:eastAsia="Calibri" w:hAnsi="Miriam" w:cs="Miriam"/>
          <w:spacing w:val="0"/>
          <w:szCs w:val="24"/>
          <w:rtl/>
        </w:rPr>
        <w:t>לוי נ' בית הדין הרבני הגדול בירושלים</w:t>
      </w:r>
      <w:r w:rsidRPr="00141B3C">
        <w:rPr>
          <w:rFonts w:eastAsia="Calibri"/>
          <w:rtl/>
        </w:rPr>
        <w:t>, פ"ד מח(4) 591, 616 (1994)).</w:t>
      </w:r>
      <w:r w:rsidRPr="00D219D7">
        <w:rPr>
          <w:rFonts w:ascii="FrankRuehl" w:eastAsia="Calibri" w:hAnsi="FrankRuehl"/>
          <w:sz w:val="28"/>
          <w:rtl/>
        </w:rPr>
        <w:t xml:space="preserve"> וכך נאמר בבג"ץ </w:t>
      </w:r>
      <w:r>
        <w:rPr>
          <w:rFonts w:ascii="FrankRuehl" w:eastAsia="Calibri" w:hAnsi="FrankRuehl" w:hint="cs"/>
          <w:sz w:val="28"/>
          <w:rtl/>
        </w:rPr>
        <w:t>8638/03</w:t>
      </w:r>
      <w:r w:rsidRPr="00D219D7">
        <w:rPr>
          <w:rFonts w:ascii="FrankRuehl" w:eastAsia="Calibri" w:hAnsi="FrankRuehl"/>
          <w:sz w:val="28"/>
          <w:rtl/>
        </w:rPr>
        <w:t xml:space="preserve"> </w:t>
      </w:r>
      <w:r w:rsidRPr="00D219D7">
        <w:rPr>
          <w:rFonts w:ascii="Miriam" w:eastAsia="Calibri" w:hAnsi="Miriam" w:cs="Miriam"/>
          <w:spacing w:val="0"/>
          <w:szCs w:val="24"/>
          <w:rtl/>
        </w:rPr>
        <w:t>אמיר נ' בית הדין הרבני הגדול בירושלים</w:t>
      </w:r>
      <w:r w:rsidRPr="00D219D7">
        <w:rPr>
          <w:rFonts w:ascii="FrankRuehl" w:eastAsia="Calibri" w:hAnsi="FrankRuehl"/>
          <w:sz w:val="28"/>
          <w:rtl/>
        </w:rPr>
        <w:t>, פ"ד סא(1) 259 (2006):</w:t>
      </w:r>
    </w:p>
    <w:p w:rsidR="00737972" w:rsidRPr="0090010E" w:rsidRDefault="00737972" w:rsidP="00737972">
      <w:pPr>
        <w:adjustRightInd/>
        <w:jc w:val="both"/>
        <w:textAlignment w:val="auto"/>
        <w:rPr>
          <w:rFonts w:ascii="FrankRuehl" w:eastAsia="Calibri" w:hAnsi="FrankRuehl"/>
          <w:sz w:val="28"/>
          <w:rtl/>
        </w:rPr>
      </w:pPr>
    </w:p>
    <w:p w:rsidR="00737972" w:rsidRPr="00D219D7" w:rsidRDefault="00737972" w:rsidP="00737972">
      <w:pPr>
        <w:pStyle w:val="Ruller5"/>
        <w:rPr>
          <w:rFonts w:eastAsia="Calibri"/>
          <w:rtl/>
        </w:rPr>
      </w:pPr>
      <w:r w:rsidRPr="00D219D7">
        <w:rPr>
          <w:rFonts w:eastAsia="Calibri"/>
          <w:rtl/>
        </w:rPr>
        <w:lastRenderedPageBreak/>
        <w:t xml:space="preserve">"לכל ערכאת שיפוט ממלכתית [...] אין אלא את אותן סמכויות שיפוט שחוק המדינה העניק לה; החוק הוא שהקימה, הוא שהגדיר את סמכויותיה, והוא שייחדן לה. </w:t>
      </w:r>
      <w:r>
        <w:rPr>
          <w:rFonts w:eastAsia="Calibri"/>
          <w:rtl/>
        </w:rPr>
        <w:t>בעשותו כן, הניח החוק, כחלק מתפי</w:t>
      </w:r>
      <w:r>
        <w:rPr>
          <w:rFonts w:eastAsia="Calibri" w:hint="cs"/>
          <w:rtl/>
        </w:rPr>
        <w:t>ש</w:t>
      </w:r>
      <w:r w:rsidRPr="00D219D7">
        <w:rPr>
          <w:rFonts w:eastAsia="Calibri"/>
          <w:rtl/>
        </w:rPr>
        <w:t>ת יסוד בממשל דמוקרטי, כי במתן סמכויות שיפוט טמונות, בה בעת, גם מגבלות כ</w:t>
      </w:r>
      <w:r>
        <w:rPr>
          <w:rFonts w:eastAsia="Calibri" w:hint="cs"/>
          <w:rtl/>
        </w:rPr>
        <w:t>ו</w:t>
      </w:r>
      <w:r w:rsidRPr="00D219D7">
        <w:rPr>
          <w:rFonts w:eastAsia="Calibri"/>
          <w:rtl/>
        </w:rPr>
        <w:t xml:space="preserve">ח השיפוט. כל אשר לא ניתן לערכאה השיפוטית, מצוי מחוץ ומעבר לכוחה, ואל לה לחרוג מגדרי פעולתה המוכרים על עבר תחומים שלא הופקדו בידיה, ובאחריותה. זהו עקרון החוקיות המאפיין את מבנה </w:t>
      </w:r>
      <w:r>
        <w:rPr>
          <w:rFonts w:eastAsia="Calibri"/>
          <w:rtl/>
        </w:rPr>
        <w:t xml:space="preserve">השלטון הדמוקרטי, </w:t>
      </w:r>
      <w:r>
        <w:rPr>
          <w:rFonts w:eastAsia="Calibri" w:hint="cs"/>
          <w:rtl/>
        </w:rPr>
        <w:t>ש</w:t>
      </w:r>
      <w:r>
        <w:rPr>
          <w:rFonts w:eastAsia="Calibri"/>
          <w:rtl/>
        </w:rPr>
        <w:t>עליו נשענת תפי</w:t>
      </w:r>
      <w:r>
        <w:rPr>
          <w:rFonts w:eastAsia="Calibri" w:hint="cs"/>
          <w:rtl/>
        </w:rPr>
        <w:t>ש</w:t>
      </w:r>
      <w:r w:rsidRPr="00D219D7">
        <w:rPr>
          <w:rFonts w:eastAsia="Calibri"/>
          <w:rtl/>
        </w:rPr>
        <w:t>ת מעמדן של רשויות</w:t>
      </w:r>
      <w:r>
        <w:rPr>
          <w:rFonts w:eastAsia="Calibri"/>
          <w:rtl/>
        </w:rPr>
        <w:t xml:space="preserve"> השלטון, ומערכות השיפוט בכלל זה</w:t>
      </w:r>
      <w:r>
        <w:rPr>
          <w:rFonts w:eastAsia="Calibri" w:hint="cs"/>
          <w:rtl/>
        </w:rPr>
        <w:t>.</w:t>
      </w:r>
      <w:r w:rsidRPr="00D219D7">
        <w:rPr>
          <w:rFonts w:eastAsia="Calibri"/>
          <w:rtl/>
        </w:rPr>
        <w:t xml:space="preserve"> על יסוד ע</w:t>
      </w:r>
      <w:r>
        <w:rPr>
          <w:rFonts w:eastAsia="Calibri" w:hint="cs"/>
          <w:rtl/>
        </w:rPr>
        <w:t>י</w:t>
      </w:r>
      <w:r w:rsidRPr="00D219D7">
        <w:rPr>
          <w:rFonts w:eastAsia="Calibri"/>
          <w:rtl/>
        </w:rPr>
        <w:t>קרון זה מתפרש מרחב הסמכויות הנתון לערכאות השיפוט הממלכתיות..." (שם, עמ' 279).</w:t>
      </w:r>
    </w:p>
    <w:p w:rsidR="00737972" w:rsidRPr="00D219D7" w:rsidRDefault="00737972" w:rsidP="00737972">
      <w:pPr>
        <w:adjustRightInd/>
        <w:spacing w:line="360" w:lineRule="auto"/>
        <w:jc w:val="both"/>
        <w:textAlignment w:val="auto"/>
        <w:rPr>
          <w:rFonts w:ascii="FrankRuehl" w:eastAsia="Calibri" w:hAnsi="FrankRuehl"/>
          <w:sz w:val="28"/>
          <w:rtl/>
        </w:rPr>
      </w:pPr>
    </w:p>
    <w:p w:rsidR="00737972" w:rsidRDefault="00737972" w:rsidP="00737972">
      <w:pPr>
        <w:pStyle w:val="Ruller4"/>
        <w:numPr>
          <w:ilvl w:val="0"/>
          <w:numId w:val="0"/>
        </w:numPr>
        <w:rPr>
          <w:rFonts w:eastAsia="Calibri"/>
          <w:rtl/>
        </w:rPr>
      </w:pPr>
      <w:r>
        <w:rPr>
          <w:rFonts w:eastAsia="Calibri"/>
          <w:rtl/>
        </w:rPr>
        <w:tab/>
      </w:r>
      <w:r w:rsidRPr="00D219D7">
        <w:rPr>
          <w:rFonts w:eastAsia="Calibri"/>
          <w:rtl/>
        </w:rPr>
        <w:t>תפיסה דמוקרטית מחייבת כי לצד סמכויות השיפוט יוכרו גם מגבלות כ</w:t>
      </w:r>
      <w:r>
        <w:rPr>
          <w:rFonts w:eastAsia="Calibri" w:hint="cs"/>
          <w:rtl/>
        </w:rPr>
        <w:t>ו</w:t>
      </w:r>
      <w:r w:rsidRPr="00D219D7">
        <w:rPr>
          <w:rFonts w:eastAsia="Calibri"/>
          <w:rtl/>
        </w:rPr>
        <w:t xml:space="preserve">ח השיפוט. עיקרון החוקיות, הנמנה על מאפייני השלטון הדמוקרטי מחייבנו להכיר בכך כי אין לאפשר לשום ערכאה שיפוטית לחרוג מחוץ לכוחה. החוק הוא שתוחם את כוחה וסמכויותיה (רע"א 1465/07‏ </w:t>
      </w:r>
      <w:r w:rsidRPr="00D219D7">
        <w:rPr>
          <w:rFonts w:ascii="Miriam" w:eastAsia="Calibri" w:hAnsi="Miriam" w:cs="Miriam"/>
          <w:spacing w:val="0"/>
          <w:szCs w:val="24"/>
          <w:rtl/>
        </w:rPr>
        <w:t>בני וצביקה בע"מ נ' אשתאול מושב עובדים להתיישבות חקלאית שיתופית בע"מ</w:t>
      </w:r>
      <w:r w:rsidRPr="00D219D7">
        <w:rPr>
          <w:rFonts w:eastAsia="Calibri"/>
          <w:rtl/>
        </w:rPr>
        <w:t>, פסקה 13 (17.12.2009)). וכך</w:t>
      </w:r>
      <w:r>
        <w:rPr>
          <w:rFonts w:eastAsia="Calibri" w:hint="cs"/>
          <w:rtl/>
        </w:rPr>
        <w:t>:</w:t>
      </w:r>
      <w:r w:rsidRPr="00D219D7">
        <w:rPr>
          <w:rFonts w:eastAsia="Calibri"/>
          <w:rtl/>
        </w:rPr>
        <w:t xml:space="preserve"> </w:t>
      </w:r>
    </w:p>
    <w:p w:rsidR="00737972" w:rsidRDefault="00737972" w:rsidP="00737972">
      <w:pPr>
        <w:pStyle w:val="Ruller4"/>
        <w:numPr>
          <w:ilvl w:val="0"/>
          <w:numId w:val="0"/>
        </w:numPr>
        <w:rPr>
          <w:rFonts w:eastAsia="Calibri"/>
          <w:rtl/>
        </w:rPr>
      </w:pPr>
    </w:p>
    <w:p w:rsidR="00737972" w:rsidRPr="00D219D7" w:rsidRDefault="00737972" w:rsidP="00737972">
      <w:pPr>
        <w:pStyle w:val="Ruller5"/>
        <w:rPr>
          <w:rFonts w:eastAsia="Calibri"/>
          <w:rtl/>
        </w:rPr>
      </w:pPr>
      <w:r w:rsidRPr="00D219D7">
        <w:rPr>
          <w:rFonts w:eastAsia="Calibri"/>
          <w:rtl/>
        </w:rPr>
        <w:t>"כל סמכות אשר לא הוקנתה לערכאת השיפוט ממילא מצויה מעבר לכוחה וסמכויותיה" (</w:t>
      </w:r>
      <w:r>
        <w:rPr>
          <w:rFonts w:eastAsia="Calibri" w:hint="cs"/>
          <w:rtl/>
        </w:rPr>
        <w:t xml:space="preserve">עניין </w:t>
      </w:r>
      <w:r w:rsidRPr="00D219D7">
        <w:rPr>
          <w:rFonts w:ascii="Miriam" w:eastAsia="Calibri" w:hAnsi="Miriam" w:cs="Miriam"/>
          <w:spacing w:val="0"/>
          <w:szCs w:val="24"/>
          <w:rtl/>
        </w:rPr>
        <w:t>לוי</w:t>
      </w:r>
      <w:r w:rsidRPr="00D219D7">
        <w:rPr>
          <w:rFonts w:eastAsia="Calibri"/>
          <w:rtl/>
        </w:rPr>
        <w:t xml:space="preserve">, פסקה 17 </w:t>
      </w:r>
      <w:r>
        <w:rPr>
          <w:rFonts w:eastAsia="Calibri" w:hint="cs"/>
          <w:rtl/>
        </w:rPr>
        <w:t xml:space="preserve">לחוות דעתה </w:t>
      </w:r>
      <w:r w:rsidRPr="00D219D7">
        <w:rPr>
          <w:rFonts w:eastAsia="Calibri"/>
          <w:rtl/>
        </w:rPr>
        <w:t xml:space="preserve">של השופטת </w:t>
      </w:r>
      <w:r w:rsidRPr="00B33EA2">
        <w:rPr>
          <w:rFonts w:ascii="Century" w:eastAsia="Calibri" w:hAnsi="Century" w:cs="Miriam"/>
          <w:b/>
          <w:spacing w:val="0"/>
          <w:szCs w:val="24"/>
          <w:rtl/>
        </w:rPr>
        <w:t>א' פרוקצ'יה</w:t>
      </w:r>
      <w:r>
        <w:rPr>
          <w:rFonts w:eastAsia="Calibri" w:hint="cs"/>
          <w:rtl/>
        </w:rPr>
        <w:t>).</w:t>
      </w:r>
    </w:p>
    <w:p w:rsidR="00737972" w:rsidRPr="00D219D7" w:rsidRDefault="00737972" w:rsidP="00737972">
      <w:pPr>
        <w:adjustRightInd/>
        <w:spacing w:line="360" w:lineRule="auto"/>
        <w:jc w:val="both"/>
        <w:textAlignment w:val="auto"/>
        <w:rPr>
          <w:rFonts w:ascii="FrankRuehl" w:eastAsia="Calibri" w:hAnsi="FrankRuehl"/>
          <w:color w:val="000000"/>
          <w:sz w:val="28"/>
          <w:shd w:val="clear" w:color="auto" w:fill="FFFFFF"/>
          <w:rtl/>
        </w:rPr>
      </w:pPr>
    </w:p>
    <w:p w:rsidR="00737972" w:rsidRPr="00857266" w:rsidRDefault="00737972" w:rsidP="00737972">
      <w:pPr>
        <w:pStyle w:val="Ruller4"/>
        <w:rPr>
          <w:rFonts w:eastAsia="Calibri"/>
          <w:rtl/>
        </w:rPr>
      </w:pPr>
      <w:r w:rsidRPr="00D219D7">
        <w:rPr>
          <w:rFonts w:eastAsia="Calibri"/>
          <w:rtl/>
        </w:rPr>
        <w:t xml:space="preserve">נדמה כי אין צורך להאריך בדבר נכונות דברים אלה לכל ערכאה שיפוטית </w:t>
      </w:r>
      <w:r w:rsidRPr="00B33EA2">
        <w:rPr>
          <w:rFonts w:ascii="Century" w:eastAsia="Calibri" w:hAnsi="Century" w:cs="Miriam"/>
          <w:b/>
          <w:spacing w:val="0"/>
          <w:sz w:val="22"/>
          <w:szCs w:val="24"/>
          <w:rtl/>
        </w:rPr>
        <w:t>באשר היא</w:t>
      </w:r>
      <w:r w:rsidRPr="00D219D7">
        <w:rPr>
          <w:rFonts w:eastAsia="Calibri"/>
          <w:rtl/>
        </w:rPr>
        <w:t xml:space="preserve">. </w:t>
      </w:r>
      <w:r>
        <w:rPr>
          <w:rFonts w:eastAsia="Calibri" w:hint="cs"/>
          <w:rtl/>
        </w:rPr>
        <w:t xml:space="preserve">בית משפט זה בשבתו כבית המשפט הגבוה לצדק אינו שונה מערכאות שיפוטיות אחרות בהקשר זה. </w:t>
      </w:r>
      <w:r w:rsidRPr="00D219D7">
        <w:rPr>
          <w:rFonts w:eastAsia="Calibri"/>
          <w:rtl/>
        </w:rPr>
        <w:t>אין לאפשר מצב של איפה ואיפה</w:t>
      </w:r>
      <w:r>
        <w:rPr>
          <w:rFonts w:eastAsia="Calibri" w:hint="cs"/>
          <w:rtl/>
        </w:rPr>
        <w:t>.</w:t>
      </w:r>
      <w:r w:rsidRPr="00D219D7">
        <w:rPr>
          <w:rFonts w:eastAsia="Calibri"/>
          <w:rtl/>
        </w:rPr>
        <w:t xml:space="preserve"> בית משפט זה, ככל ערכאה שיפוטית, כפוף לאותן מושכלות יסוד.</w:t>
      </w:r>
      <w:r>
        <w:rPr>
          <w:rFonts w:eastAsia="Calibri" w:hint="cs"/>
          <w:rtl/>
        </w:rPr>
        <w:t xml:space="preserve"> </w:t>
      </w:r>
      <w:r w:rsidRPr="004A5CC2">
        <w:rPr>
          <w:rFonts w:eastAsia="Calibri" w:hint="eastAsia"/>
          <w:rtl/>
        </w:rPr>
        <w:t>דמו</w:t>
      </w:r>
      <w:r w:rsidRPr="004A5CC2">
        <w:rPr>
          <w:rFonts w:eastAsia="Calibri"/>
          <w:rtl/>
        </w:rPr>
        <w:t xml:space="preserve"> </w:t>
      </w:r>
      <w:r w:rsidRPr="004A5CC2">
        <w:rPr>
          <w:rFonts w:eastAsia="Calibri" w:hint="eastAsia"/>
          <w:rtl/>
        </w:rPr>
        <w:t>של</w:t>
      </w:r>
      <w:r w:rsidRPr="004A5CC2">
        <w:rPr>
          <w:rFonts w:eastAsia="Calibri"/>
          <w:rtl/>
        </w:rPr>
        <w:t xml:space="preserve"> </w:t>
      </w:r>
      <w:r w:rsidRPr="004A5CC2">
        <w:rPr>
          <w:rFonts w:eastAsia="Calibri" w:hint="eastAsia"/>
          <w:rtl/>
        </w:rPr>
        <w:t>בית</w:t>
      </w:r>
      <w:r w:rsidRPr="004A5CC2">
        <w:rPr>
          <w:rFonts w:eastAsia="Calibri"/>
          <w:rtl/>
        </w:rPr>
        <w:t xml:space="preserve"> </w:t>
      </w:r>
      <w:r w:rsidRPr="004A5CC2">
        <w:rPr>
          <w:rFonts w:eastAsia="Calibri" w:hint="eastAsia"/>
          <w:rtl/>
        </w:rPr>
        <w:t>משפט</w:t>
      </w:r>
      <w:r w:rsidRPr="004A5CC2">
        <w:rPr>
          <w:rFonts w:eastAsia="Calibri"/>
          <w:rtl/>
        </w:rPr>
        <w:t xml:space="preserve"> </w:t>
      </w:r>
      <w:r w:rsidRPr="004A5CC2">
        <w:rPr>
          <w:rFonts w:eastAsia="Calibri" w:hint="eastAsia"/>
          <w:rtl/>
        </w:rPr>
        <w:t>זה</w:t>
      </w:r>
      <w:r w:rsidRPr="004A5CC2">
        <w:rPr>
          <w:rFonts w:eastAsia="Calibri"/>
          <w:rtl/>
        </w:rPr>
        <w:t xml:space="preserve"> </w:t>
      </w:r>
      <w:r w:rsidRPr="004A5CC2">
        <w:rPr>
          <w:rFonts w:eastAsia="Calibri" w:hint="eastAsia"/>
          <w:rtl/>
        </w:rPr>
        <w:t>אינו</w:t>
      </w:r>
      <w:r w:rsidRPr="004A5CC2">
        <w:rPr>
          <w:rFonts w:eastAsia="Calibri"/>
          <w:rtl/>
        </w:rPr>
        <w:t xml:space="preserve"> </w:t>
      </w:r>
      <w:r w:rsidRPr="004A5CC2">
        <w:rPr>
          <w:rFonts w:eastAsia="Calibri" w:hint="eastAsia"/>
          <w:rtl/>
        </w:rPr>
        <w:t>אדום</w:t>
      </w:r>
      <w:r w:rsidRPr="004A5CC2">
        <w:rPr>
          <w:rFonts w:eastAsia="Calibri"/>
          <w:rtl/>
        </w:rPr>
        <w:t xml:space="preserve"> </w:t>
      </w:r>
      <w:r w:rsidRPr="004A5CC2">
        <w:rPr>
          <w:rFonts w:eastAsia="Calibri" w:hint="eastAsia"/>
          <w:rtl/>
        </w:rPr>
        <w:t>יותר</w:t>
      </w:r>
      <w:r w:rsidRPr="004A5CC2">
        <w:rPr>
          <w:rFonts w:eastAsia="Calibri"/>
          <w:rtl/>
        </w:rPr>
        <w:t xml:space="preserve"> </w:t>
      </w:r>
      <w:r w:rsidRPr="004A5CC2">
        <w:rPr>
          <w:rFonts w:eastAsia="Calibri" w:hint="eastAsia"/>
          <w:rtl/>
        </w:rPr>
        <w:t>מכל</w:t>
      </w:r>
      <w:r w:rsidRPr="004A5CC2">
        <w:rPr>
          <w:rFonts w:eastAsia="Calibri"/>
          <w:rtl/>
        </w:rPr>
        <w:t xml:space="preserve"> </w:t>
      </w:r>
      <w:r w:rsidRPr="004A5CC2">
        <w:rPr>
          <w:rFonts w:eastAsia="Calibri" w:hint="eastAsia"/>
          <w:rtl/>
        </w:rPr>
        <w:t>ערכאה</w:t>
      </w:r>
      <w:r w:rsidRPr="004A5CC2">
        <w:rPr>
          <w:rFonts w:eastAsia="Calibri"/>
          <w:rtl/>
        </w:rPr>
        <w:t xml:space="preserve"> </w:t>
      </w:r>
      <w:r w:rsidRPr="004A5CC2">
        <w:rPr>
          <w:rFonts w:eastAsia="Calibri" w:hint="eastAsia"/>
          <w:rtl/>
        </w:rPr>
        <w:t>שיפוטית</w:t>
      </w:r>
      <w:r w:rsidRPr="004A5CC2">
        <w:rPr>
          <w:rFonts w:eastAsia="Calibri"/>
          <w:rtl/>
        </w:rPr>
        <w:t xml:space="preserve"> </w:t>
      </w:r>
      <w:r w:rsidRPr="004A5CC2">
        <w:rPr>
          <w:rFonts w:eastAsia="Calibri" w:hint="eastAsia"/>
          <w:rtl/>
        </w:rPr>
        <w:t>אחרת</w:t>
      </w:r>
      <w:r w:rsidRPr="004A5CC2">
        <w:rPr>
          <w:rFonts w:eastAsia="Calibri"/>
          <w:rtl/>
        </w:rPr>
        <w:t>.</w:t>
      </w:r>
      <w:r>
        <w:rPr>
          <w:rFonts w:eastAsia="Calibri" w:hint="cs"/>
          <w:rtl/>
        </w:rPr>
        <w:t xml:space="preserve"> כך מספרת הגמרא (בבלי, </w:t>
      </w:r>
      <w:r w:rsidRPr="00C65165">
        <w:rPr>
          <w:rFonts w:ascii="Century" w:eastAsia="Calibri" w:hAnsi="Century" w:cs="Miriam" w:hint="cs"/>
          <w:b/>
          <w:spacing w:val="0"/>
          <w:sz w:val="22"/>
          <w:szCs w:val="24"/>
          <w:rtl/>
        </w:rPr>
        <w:t>בבא בתרא</w:t>
      </w:r>
      <w:r w:rsidRPr="00C65165">
        <w:rPr>
          <w:rFonts w:eastAsia="Calibri" w:hint="cs"/>
          <w:rtl/>
        </w:rPr>
        <w:t xml:space="preserve"> </w:t>
      </w:r>
      <w:r>
        <w:rPr>
          <w:rFonts w:eastAsia="Calibri" w:hint="cs"/>
          <w:rtl/>
        </w:rPr>
        <w:t>ס, ע"א-ע"ב)</w:t>
      </w:r>
      <w:r w:rsidRPr="00857266">
        <w:rPr>
          <w:rFonts w:eastAsia="Calibri" w:hint="cs"/>
          <w:rtl/>
        </w:rPr>
        <w:t>:</w:t>
      </w:r>
    </w:p>
    <w:p w:rsidR="00737972" w:rsidRDefault="00737972" w:rsidP="00737972">
      <w:pPr>
        <w:pStyle w:val="Ruller41"/>
        <w:rPr>
          <w:rFonts w:eastAsia="Calibri"/>
          <w:rtl/>
        </w:rPr>
      </w:pPr>
    </w:p>
    <w:p w:rsidR="00737972" w:rsidRDefault="00737972" w:rsidP="00737972">
      <w:pPr>
        <w:pStyle w:val="Ruller5"/>
        <w:rPr>
          <w:rFonts w:eastAsia="Calibri"/>
          <w:rtl/>
        </w:rPr>
      </w:pPr>
      <w:r>
        <w:rPr>
          <w:rFonts w:eastAsia="Calibri" w:hint="cs"/>
          <w:rtl/>
        </w:rPr>
        <w:t>"</w:t>
      </w:r>
      <w:r w:rsidRPr="00E2098C">
        <w:rPr>
          <w:rFonts w:eastAsia="Calibri" w:hint="eastAsia"/>
          <w:rtl/>
        </w:rPr>
        <w:t>ר</w:t>
      </w:r>
      <w:r w:rsidRPr="00E2098C">
        <w:rPr>
          <w:rFonts w:eastAsia="Calibri"/>
          <w:rtl/>
        </w:rPr>
        <w:t xml:space="preserve">' </w:t>
      </w:r>
      <w:r w:rsidRPr="00E2098C">
        <w:rPr>
          <w:rFonts w:eastAsia="Calibri" w:hint="eastAsia"/>
          <w:rtl/>
        </w:rPr>
        <w:t>ינאי</w:t>
      </w:r>
      <w:r w:rsidRPr="00E2098C">
        <w:rPr>
          <w:rFonts w:eastAsia="Calibri"/>
          <w:rtl/>
        </w:rPr>
        <w:t xml:space="preserve"> </w:t>
      </w:r>
      <w:r w:rsidRPr="00E2098C">
        <w:rPr>
          <w:rFonts w:eastAsia="Calibri" w:hint="eastAsia"/>
          <w:rtl/>
        </w:rPr>
        <w:t>הוה</w:t>
      </w:r>
      <w:r w:rsidRPr="00E2098C">
        <w:rPr>
          <w:rFonts w:eastAsia="Calibri"/>
          <w:rtl/>
        </w:rPr>
        <w:t xml:space="preserve"> </w:t>
      </w:r>
      <w:r w:rsidRPr="00E2098C">
        <w:rPr>
          <w:rFonts w:eastAsia="Calibri" w:hint="eastAsia"/>
          <w:rtl/>
        </w:rPr>
        <w:t>ליה</w:t>
      </w:r>
      <w:r w:rsidRPr="00E2098C">
        <w:rPr>
          <w:rFonts w:eastAsia="Calibri"/>
          <w:rtl/>
        </w:rPr>
        <w:t xml:space="preserve"> </w:t>
      </w:r>
      <w:r w:rsidRPr="00E2098C">
        <w:rPr>
          <w:rFonts w:eastAsia="Calibri" w:hint="eastAsia"/>
          <w:rtl/>
        </w:rPr>
        <w:t>אילן</w:t>
      </w:r>
      <w:r w:rsidRPr="00E2098C">
        <w:rPr>
          <w:rFonts w:eastAsia="Calibri"/>
          <w:rtl/>
        </w:rPr>
        <w:t xml:space="preserve"> </w:t>
      </w:r>
      <w:r w:rsidRPr="00E2098C">
        <w:rPr>
          <w:rFonts w:eastAsia="Calibri" w:hint="eastAsia"/>
          <w:rtl/>
        </w:rPr>
        <w:t>הנוטה</w:t>
      </w:r>
      <w:r w:rsidRPr="00E2098C">
        <w:rPr>
          <w:rFonts w:eastAsia="Calibri"/>
          <w:rtl/>
        </w:rPr>
        <w:t xml:space="preserve"> </w:t>
      </w:r>
      <w:r w:rsidRPr="00E2098C">
        <w:rPr>
          <w:rFonts w:eastAsia="Calibri" w:hint="eastAsia"/>
          <w:rtl/>
        </w:rPr>
        <w:t>לרשות</w:t>
      </w:r>
      <w:r w:rsidRPr="00E2098C">
        <w:rPr>
          <w:rFonts w:eastAsia="Calibri"/>
          <w:rtl/>
        </w:rPr>
        <w:t xml:space="preserve"> </w:t>
      </w:r>
      <w:r w:rsidRPr="00E2098C">
        <w:rPr>
          <w:rFonts w:eastAsia="Calibri" w:hint="eastAsia"/>
          <w:rtl/>
        </w:rPr>
        <w:t>הרבים</w:t>
      </w:r>
      <w:r>
        <w:rPr>
          <w:rFonts w:eastAsia="Calibri" w:hint="cs"/>
          <w:rtl/>
        </w:rPr>
        <w:t>.</w:t>
      </w:r>
      <w:r w:rsidRPr="00E2098C">
        <w:rPr>
          <w:rFonts w:eastAsia="Calibri"/>
          <w:rtl/>
        </w:rPr>
        <w:t xml:space="preserve"> </w:t>
      </w:r>
      <w:r w:rsidRPr="00E2098C">
        <w:rPr>
          <w:rFonts w:eastAsia="Calibri" w:hint="eastAsia"/>
          <w:rtl/>
        </w:rPr>
        <w:t>הוה</w:t>
      </w:r>
      <w:r w:rsidRPr="00E2098C">
        <w:rPr>
          <w:rFonts w:eastAsia="Calibri"/>
          <w:rtl/>
        </w:rPr>
        <w:t xml:space="preserve"> </w:t>
      </w:r>
      <w:r w:rsidRPr="00E2098C">
        <w:rPr>
          <w:rFonts w:eastAsia="Calibri" w:hint="eastAsia"/>
          <w:rtl/>
        </w:rPr>
        <w:t>ההוא</w:t>
      </w:r>
      <w:r w:rsidRPr="00E2098C">
        <w:rPr>
          <w:rFonts w:eastAsia="Calibri"/>
          <w:rtl/>
        </w:rPr>
        <w:t xml:space="preserve"> </w:t>
      </w:r>
      <w:r w:rsidRPr="00E2098C">
        <w:rPr>
          <w:rFonts w:eastAsia="Calibri" w:hint="eastAsia"/>
          <w:rtl/>
        </w:rPr>
        <w:t>גברא</w:t>
      </w:r>
      <w:r w:rsidRPr="00E2098C">
        <w:rPr>
          <w:rFonts w:eastAsia="Calibri"/>
          <w:rtl/>
        </w:rPr>
        <w:t xml:space="preserve"> </w:t>
      </w:r>
      <w:r w:rsidRPr="00E2098C">
        <w:rPr>
          <w:rFonts w:eastAsia="Calibri" w:hint="eastAsia"/>
          <w:rtl/>
        </w:rPr>
        <w:t>דהוה</w:t>
      </w:r>
      <w:r w:rsidRPr="00E2098C">
        <w:rPr>
          <w:rFonts w:eastAsia="Calibri"/>
          <w:rtl/>
        </w:rPr>
        <w:t xml:space="preserve"> </w:t>
      </w:r>
      <w:r w:rsidRPr="00E2098C">
        <w:rPr>
          <w:rFonts w:eastAsia="Calibri" w:hint="eastAsia"/>
          <w:rtl/>
        </w:rPr>
        <w:t>ליה</w:t>
      </w:r>
      <w:r w:rsidRPr="00E2098C">
        <w:rPr>
          <w:rFonts w:eastAsia="Calibri"/>
          <w:rtl/>
        </w:rPr>
        <w:t xml:space="preserve"> </w:t>
      </w:r>
      <w:r w:rsidRPr="00E2098C">
        <w:rPr>
          <w:rFonts w:eastAsia="Calibri" w:hint="eastAsia"/>
          <w:rtl/>
        </w:rPr>
        <w:t>נמי</w:t>
      </w:r>
      <w:r w:rsidRPr="00E2098C">
        <w:rPr>
          <w:rFonts w:eastAsia="Calibri"/>
          <w:rtl/>
        </w:rPr>
        <w:t xml:space="preserve"> </w:t>
      </w:r>
      <w:r>
        <w:rPr>
          <w:rFonts w:eastAsia="Calibri" w:hint="cs"/>
          <w:rtl/>
        </w:rPr>
        <w:t xml:space="preserve">(היה איש אחד שגם לו היה) </w:t>
      </w:r>
      <w:r w:rsidRPr="00E2098C">
        <w:rPr>
          <w:rFonts w:eastAsia="Calibri" w:hint="eastAsia"/>
          <w:rtl/>
        </w:rPr>
        <w:t>אילן</w:t>
      </w:r>
      <w:r w:rsidRPr="00E2098C">
        <w:rPr>
          <w:rFonts w:eastAsia="Calibri"/>
          <w:rtl/>
        </w:rPr>
        <w:t xml:space="preserve"> </w:t>
      </w:r>
      <w:r w:rsidRPr="00E2098C">
        <w:rPr>
          <w:rFonts w:eastAsia="Calibri" w:hint="eastAsia"/>
          <w:rtl/>
        </w:rPr>
        <w:t>הנוטה</w:t>
      </w:r>
      <w:r w:rsidRPr="00E2098C">
        <w:rPr>
          <w:rFonts w:eastAsia="Calibri"/>
          <w:rtl/>
        </w:rPr>
        <w:t xml:space="preserve"> </w:t>
      </w:r>
      <w:r w:rsidRPr="00E2098C">
        <w:rPr>
          <w:rFonts w:eastAsia="Calibri" w:hint="eastAsia"/>
          <w:rtl/>
        </w:rPr>
        <w:t>לרשות</w:t>
      </w:r>
      <w:r w:rsidRPr="00E2098C">
        <w:rPr>
          <w:rFonts w:eastAsia="Calibri"/>
          <w:rtl/>
        </w:rPr>
        <w:t xml:space="preserve"> </w:t>
      </w:r>
      <w:r w:rsidRPr="00E2098C">
        <w:rPr>
          <w:rFonts w:eastAsia="Calibri" w:hint="eastAsia"/>
          <w:rtl/>
        </w:rPr>
        <w:t>הרבים</w:t>
      </w:r>
      <w:r>
        <w:rPr>
          <w:rFonts w:eastAsia="Calibri" w:hint="cs"/>
          <w:rtl/>
        </w:rPr>
        <w:t>.</w:t>
      </w:r>
      <w:r w:rsidRPr="00E2098C">
        <w:rPr>
          <w:rFonts w:eastAsia="Calibri"/>
          <w:rtl/>
        </w:rPr>
        <w:t xml:space="preserve"> </w:t>
      </w:r>
      <w:r w:rsidRPr="00E2098C">
        <w:rPr>
          <w:rFonts w:eastAsia="Calibri" w:hint="eastAsia"/>
          <w:rtl/>
        </w:rPr>
        <w:t>אתו</w:t>
      </w:r>
      <w:r w:rsidRPr="00E2098C">
        <w:rPr>
          <w:rFonts w:eastAsia="Calibri"/>
          <w:rtl/>
        </w:rPr>
        <w:t xml:space="preserve"> </w:t>
      </w:r>
      <w:r w:rsidRPr="00E2098C">
        <w:rPr>
          <w:rFonts w:eastAsia="Calibri" w:hint="eastAsia"/>
          <w:rtl/>
        </w:rPr>
        <w:t>בני</w:t>
      </w:r>
      <w:r w:rsidRPr="00E2098C">
        <w:rPr>
          <w:rFonts w:eastAsia="Calibri"/>
          <w:rtl/>
        </w:rPr>
        <w:t xml:space="preserve"> </w:t>
      </w:r>
      <w:r w:rsidRPr="00E2098C">
        <w:rPr>
          <w:rFonts w:eastAsia="Calibri" w:hint="eastAsia"/>
          <w:rtl/>
        </w:rPr>
        <w:t>רשות</w:t>
      </w:r>
      <w:r w:rsidRPr="00E2098C">
        <w:rPr>
          <w:rFonts w:eastAsia="Calibri"/>
          <w:rtl/>
        </w:rPr>
        <w:t xml:space="preserve"> </w:t>
      </w:r>
      <w:r w:rsidRPr="00E2098C">
        <w:rPr>
          <w:rFonts w:eastAsia="Calibri" w:hint="eastAsia"/>
          <w:rtl/>
        </w:rPr>
        <w:t>הרבים</w:t>
      </w:r>
      <w:r w:rsidRPr="00E2098C">
        <w:rPr>
          <w:rFonts w:eastAsia="Calibri"/>
          <w:rtl/>
        </w:rPr>
        <w:t xml:space="preserve"> </w:t>
      </w:r>
      <w:r w:rsidRPr="00E2098C">
        <w:rPr>
          <w:rFonts w:eastAsia="Calibri" w:hint="eastAsia"/>
          <w:rtl/>
        </w:rPr>
        <w:t>הוו</w:t>
      </w:r>
      <w:r w:rsidRPr="00E2098C">
        <w:rPr>
          <w:rFonts w:eastAsia="Calibri"/>
          <w:rtl/>
        </w:rPr>
        <w:t xml:space="preserve"> </w:t>
      </w:r>
      <w:r w:rsidRPr="00E2098C">
        <w:rPr>
          <w:rFonts w:eastAsia="Calibri" w:hint="eastAsia"/>
          <w:rtl/>
        </w:rPr>
        <w:t>קא</w:t>
      </w:r>
      <w:r w:rsidRPr="00E2098C">
        <w:rPr>
          <w:rFonts w:eastAsia="Calibri"/>
          <w:rtl/>
        </w:rPr>
        <w:t xml:space="preserve"> </w:t>
      </w:r>
      <w:r w:rsidRPr="00E2098C">
        <w:rPr>
          <w:rFonts w:eastAsia="Calibri" w:hint="eastAsia"/>
          <w:rtl/>
        </w:rPr>
        <w:t>מעכבי</w:t>
      </w:r>
      <w:r w:rsidRPr="00E2098C">
        <w:rPr>
          <w:rFonts w:eastAsia="Calibri"/>
          <w:rtl/>
        </w:rPr>
        <w:t xml:space="preserve"> </w:t>
      </w:r>
      <w:r w:rsidRPr="00E2098C">
        <w:rPr>
          <w:rFonts w:eastAsia="Calibri" w:hint="eastAsia"/>
          <w:rtl/>
        </w:rPr>
        <w:t>עילויה</w:t>
      </w:r>
      <w:r>
        <w:rPr>
          <w:rFonts w:eastAsia="Calibri" w:hint="cs"/>
          <w:rtl/>
        </w:rPr>
        <w:t xml:space="preserve"> (באו בני רשות הרבים ועיכבו על אותו אדם מלקיים את אילנו). </w:t>
      </w:r>
      <w:r w:rsidRPr="00E2098C">
        <w:rPr>
          <w:rFonts w:eastAsia="Calibri" w:hint="eastAsia"/>
          <w:rtl/>
        </w:rPr>
        <w:t>אתא</w:t>
      </w:r>
      <w:r w:rsidRPr="00E2098C">
        <w:rPr>
          <w:rFonts w:eastAsia="Calibri"/>
          <w:rtl/>
        </w:rPr>
        <w:t xml:space="preserve"> </w:t>
      </w:r>
      <w:r w:rsidRPr="00E2098C">
        <w:rPr>
          <w:rFonts w:eastAsia="Calibri" w:hint="eastAsia"/>
          <w:rtl/>
        </w:rPr>
        <w:t>לקמיה</w:t>
      </w:r>
      <w:r w:rsidRPr="00E2098C">
        <w:rPr>
          <w:rFonts w:eastAsia="Calibri"/>
          <w:rtl/>
        </w:rPr>
        <w:t xml:space="preserve"> </w:t>
      </w:r>
      <w:r w:rsidRPr="00E2098C">
        <w:rPr>
          <w:rFonts w:eastAsia="Calibri" w:hint="eastAsia"/>
          <w:rtl/>
        </w:rPr>
        <w:t>דר</w:t>
      </w:r>
      <w:r w:rsidRPr="00E2098C">
        <w:rPr>
          <w:rFonts w:eastAsia="Calibri"/>
          <w:rtl/>
        </w:rPr>
        <w:t xml:space="preserve">' </w:t>
      </w:r>
      <w:r w:rsidRPr="00E2098C">
        <w:rPr>
          <w:rFonts w:eastAsia="Calibri" w:hint="eastAsia"/>
          <w:rtl/>
        </w:rPr>
        <w:t>ינאי</w:t>
      </w:r>
      <w:r>
        <w:rPr>
          <w:rFonts w:eastAsia="Calibri" w:hint="cs"/>
          <w:rtl/>
        </w:rPr>
        <w:t xml:space="preserve"> (בא לפני ר' ינאי לשאול את הדין).</w:t>
      </w:r>
      <w:r w:rsidRPr="00E2098C">
        <w:rPr>
          <w:rFonts w:eastAsia="Calibri"/>
          <w:rtl/>
        </w:rPr>
        <w:t xml:space="preserve"> </w:t>
      </w:r>
      <w:r w:rsidRPr="00E2098C">
        <w:rPr>
          <w:rFonts w:eastAsia="Calibri" w:hint="eastAsia"/>
          <w:rtl/>
        </w:rPr>
        <w:t>א</w:t>
      </w:r>
      <w:r>
        <w:rPr>
          <w:rFonts w:eastAsia="Calibri" w:hint="cs"/>
          <w:rtl/>
        </w:rPr>
        <w:t>מר ליה (אמר לו ר' ינאי לאיש)</w:t>
      </w:r>
      <w:r w:rsidRPr="00E2098C">
        <w:rPr>
          <w:rFonts w:eastAsia="Calibri"/>
          <w:rtl/>
        </w:rPr>
        <w:t>:</w:t>
      </w:r>
      <w:r>
        <w:rPr>
          <w:rFonts w:eastAsia="Calibri" w:hint="cs"/>
          <w:rtl/>
        </w:rPr>
        <w:t xml:space="preserve"> "</w:t>
      </w:r>
      <w:r w:rsidRPr="00E2098C">
        <w:rPr>
          <w:rFonts w:eastAsia="Calibri" w:hint="eastAsia"/>
          <w:rtl/>
        </w:rPr>
        <w:t>זיל</w:t>
      </w:r>
      <w:r w:rsidRPr="00E2098C">
        <w:rPr>
          <w:rFonts w:eastAsia="Calibri"/>
          <w:rtl/>
        </w:rPr>
        <w:t xml:space="preserve"> </w:t>
      </w:r>
      <w:r w:rsidRPr="00E2098C">
        <w:rPr>
          <w:rFonts w:eastAsia="Calibri" w:hint="eastAsia"/>
          <w:rtl/>
        </w:rPr>
        <w:t>האידנא</w:t>
      </w:r>
      <w:r w:rsidRPr="00E2098C">
        <w:rPr>
          <w:rFonts w:eastAsia="Calibri"/>
          <w:rtl/>
        </w:rPr>
        <w:t xml:space="preserve"> </w:t>
      </w:r>
      <w:r w:rsidRPr="00E2098C">
        <w:rPr>
          <w:rFonts w:eastAsia="Calibri" w:hint="eastAsia"/>
          <w:rtl/>
        </w:rPr>
        <w:t>ותא</w:t>
      </w:r>
      <w:r w:rsidRPr="00E2098C">
        <w:rPr>
          <w:rFonts w:eastAsia="Calibri"/>
          <w:rtl/>
        </w:rPr>
        <w:t xml:space="preserve"> </w:t>
      </w:r>
      <w:r w:rsidRPr="00E2098C">
        <w:rPr>
          <w:rFonts w:eastAsia="Calibri" w:hint="eastAsia"/>
          <w:rtl/>
        </w:rPr>
        <w:t>למחר</w:t>
      </w:r>
      <w:r>
        <w:rPr>
          <w:rFonts w:eastAsia="Calibri" w:hint="cs"/>
          <w:rtl/>
        </w:rPr>
        <w:t>" (לך עכשיו ובא מחר)</w:t>
      </w:r>
      <w:r w:rsidRPr="00E2098C">
        <w:rPr>
          <w:rFonts w:eastAsia="Calibri"/>
          <w:rtl/>
        </w:rPr>
        <w:t xml:space="preserve">. </w:t>
      </w:r>
      <w:r w:rsidRPr="00E2098C">
        <w:rPr>
          <w:rFonts w:eastAsia="Calibri" w:hint="eastAsia"/>
          <w:rtl/>
        </w:rPr>
        <w:t>בליליא</w:t>
      </w:r>
      <w:r w:rsidRPr="00E2098C">
        <w:rPr>
          <w:rFonts w:eastAsia="Calibri"/>
          <w:rtl/>
        </w:rPr>
        <w:t xml:space="preserve"> </w:t>
      </w:r>
      <w:r w:rsidRPr="00E2098C">
        <w:rPr>
          <w:rFonts w:eastAsia="Calibri" w:hint="eastAsia"/>
          <w:rtl/>
        </w:rPr>
        <w:t>שדר</w:t>
      </w:r>
      <w:r w:rsidRPr="00E2098C">
        <w:rPr>
          <w:rFonts w:eastAsia="Calibri"/>
          <w:rtl/>
        </w:rPr>
        <w:t xml:space="preserve"> </w:t>
      </w:r>
      <w:r w:rsidRPr="00E2098C">
        <w:rPr>
          <w:rFonts w:eastAsia="Calibri" w:hint="eastAsia"/>
          <w:rtl/>
        </w:rPr>
        <w:t>קצייה</w:t>
      </w:r>
      <w:r w:rsidRPr="00E2098C">
        <w:rPr>
          <w:rFonts w:eastAsia="Calibri"/>
          <w:rtl/>
        </w:rPr>
        <w:t xml:space="preserve"> </w:t>
      </w:r>
      <w:r w:rsidRPr="00E2098C">
        <w:rPr>
          <w:rFonts w:eastAsia="Calibri" w:hint="eastAsia"/>
          <w:rtl/>
        </w:rPr>
        <w:t>לההוא</w:t>
      </w:r>
      <w:r w:rsidRPr="00E2098C">
        <w:rPr>
          <w:rFonts w:eastAsia="Calibri"/>
          <w:rtl/>
        </w:rPr>
        <w:t xml:space="preserve"> </w:t>
      </w:r>
      <w:r w:rsidRPr="00E2098C">
        <w:rPr>
          <w:rFonts w:eastAsia="Calibri" w:hint="eastAsia"/>
          <w:rtl/>
        </w:rPr>
        <w:t>דידיה</w:t>
      </w:r>
      <w:r>
        <w:rPr>
          <w:rFonts w:eastAsia="Calibri" w:hint="cs"/>
          <w:rtl/>
        </w:rPr>
        <w:t xml:space="preserve"> (בלילה שלח ר' ינאי שליח לקצוץ את אילנו שלו)</w:t>
      </w:r>
      <w:r w:rsidRPr="00E2098C">
        <w:rPr>
          <w:rFonts w:eastAsia="Calibri"/>
          <w:rtl/>
        </w:rPr>
        <w:t xml:space="preserve">. </w:t>
      </w:r>
      <w:r w:rsidRPr="00E2098C">
        <w:rPr>
          <w:rFonts w:eastAsia="Calibri" w:hint="eastAsia"/>
          <w:rtl/>
        </w:rPr>
        <w:t>למחר</w:t>
      </w:r>
      <w:r w:rsidRPr="00E2098C">
        <w:rPr>
          <w:rFonts w:eastAsia="Calibri"/>
          <w:rtl/>
        </w:rPr>
        <w:t xml:space="preserve"> </w:t>
      </w:r>
      <w:r w:rsidRPr="00E2098C">
        <w:rPr>
          <w:rFonts w:eastAsia="Calibri" w:hint="eastAsia"/>
          <w:rtl/>
        </w:rPr>
        <w:t>אתא</w:t>
      </w:r>
      <w:r w:rsidRPr="00E2098C">
        <w:rPr>
          <w:rFonts w:eastAsia="Calibri"/>
          <w:rtl/>
        </w:rPr>
        <w:t xml:space="preserve"> </w:t>
      </w:r>
      <w:r w:rsidRPr="00E2098C">
        <w:rPr>
          <w:rFonts w:eastAsia="Calibri" w:hint="eastAsia"/>
          <w:rtl/>
        </w:rPr>
        <w:t>לקמיה</w:t>
      </w:r>
      <w:r>
        <w:rPr>
          <w:rFonts w:eastAsia="Calibri" w:hint="cs"/>
          <w:rtl/>
        </w:rPr>
        <w:t xml:space="preserve"> (למחרת בא האיש לפני ר' ינאי). אמר ליה (אמר לו ר' ינאי):</w:t>
      </w:r>
      <w:r w:rsidRPr="00E2098C">
        <w:rPr>
          <w:rFonts w:eastAsia="Calibri"/>
          <w:rtl/>
        </w:rPr>
        <w:t xml:space="preserve"> </w:t>
      </w:r>
      <w:r w:rsidRPr="00E2098C">
        <w:rPr>
          <w:rFonts w:eastAsia="Calibri" w:hint="eastAsia"/>
          <w:rtl/>
        </w:rPr>
        <w:t>זיל</w:t>
      </w:r>
      <w:r w:rsidRPr="00E2098C">
        <w:rPr>
          <w:rFonts w:eastAsia="Calibri"/>
          <w:rtl/>
        </w:rPr>
        <w:t xml:space="preserve"> </w:t>
      </w:r>
      <w:r w:rsidRPr="00E2098C">
        <w:rPr>
          <w:rFonts w:eastAsia="Calibri" w:hint="eastAsia"/>
          <w:rtl/>
        </w:rPr>
        <w:t>קוץ</w:t>
      </w:r>
      <w:r>
        <w:rPr>
          <w:rFonts w:eastAsia="Calibri" w:hint="cs"/>
          <w:rtl/>
        </w:rPr>
        <w:t xml:space="preserve"> (לך קצוץ את אילנך)</w:t>
      </w:r>
      <w:r w:rsidRPr="00E2098C">
        <w:rPr>
          <w:rFonts w:eastAsia="Calibri"/>
          <w:rtl/>
        </w:rPr>
        <w:t xml:space="preserve">. </w:t>
      </w:r>
      <w:r w:rsidRPr="00E2098C">
        <w:rPr>
          <w:rFonts w:eastAsia="Calibri" w:hint="eastAsia"/>
          <w:rtl/>
        </w:rPr>
        <w:t>א</w:t>
      </w:r>
      <w:r>
        <w:rPr>
          <w:rFonts w:eastAsia="Calibri" w:hint="cs"/>
          <w:rtl/>
        </w:rPr>
        <w:t>מר ליה (אמר לו האיש)</w:t>
      </w:r>
      <w:r w:rsidRPr="00E2098C">
        <w:rPr>
          <w:rFonts w:eastAsia="Calibri"/>
          <w:rtl/>
        </w:rPr>
        <w:t xml:space="preserve">: </w:t>
      </w:r>
      <w:r w:rsidRPr="00E2098C">
        <w:rPr>
          <w:rFonts w:eastAsia="Calibri" w:hint="eastAsia"/>
          <w:rtl/>
        </w:rPr>
        <w:t>הא</w:t>
      </w:r>
      <w:r w:rsidRPr="00E2098C">
        <w:rPr>
          <w:rFonts w:eastAsia="Calibri"/>
          <w:rtl/>
        </w:rPr>
        <w:t xml:space="preserve"> </w:t>
      </w:r>
      <w:r w:rsidRPr="00E2098C">
        <w:rPr>
          <w:rFonts w:eastAsia="Calibri" w:hint="eastAsia"/>
          <w:rtl/>
        </w:rPr>
        <w:t>מר</w:t>
      </w:r>
      <w:r w:rsidRPr="00E2098C">
        <w:rPr>
          <w:rFonts w:eastAsia="Calibri"/>
          <w:rtl/>
        </w:rPr>
        <w:t xml:space="preserve"> </w:t>
      </w:r>
      <w:r w:rsidRPr="00E2098C">
        <w:rPr>
          <w:rFonts w:eastAsia="Calibri" w:hint="eastAsia"/>
          <w:rtl/>
        </w:rPr>
        <w:t>נמי</w:t>
      </w:r>
      <w:r w:rsidRPr="00E2098C">
        <w:rPr>
          <w:rFonts w:eastAsia="Calibri"/>
          <w:rtl/>
        </w:rPr>
        <w:t xml:space="preserve"> </w:t>
      </w:r>
      <w:r w:rsidRPr="00E2098C">
        <w:rPr>
          <w:rFonts w:eastAsia="Calibri" w:hint="eastAsia"/>
          <w:rtl/>
        </w:rPr>
        <w:t>אית</w:t>
      </w:r>
      <w:r w:rsidRPr="00E2098C">
        <w:rPr>
          <w:rFonts w:eastAsia="Calibri"/>
          <w:rtl/>
        </w:rPr>
        <w:t xml:space="preserve"> </w:t>
      </w:r>
      <w:r w:rsidRPr="00E2098C">
        <w:rPr>
          <w:rFonts w:eastAsia="Calibri" w:hint="eastAsia"/>
          <w:rtl/>
        </w:rPr>
        <w:t>ליה</w:t>
      </w:r>
      <w:r w:rsidRPr="00E2098C">
        <w:rPr>
          <w:rFonts w:eastAsia="Calibri"/>
          <w:rtl/>
        </w:rPr>
        <w:t>!</w:t>
      </w:r>
      <w:r>
        <w:rPr>
          <w:rFonts w:eastAsia="Calibri" w:hint="cs"/>
          <w:rtl/>
        </w:rPr>
        <w:t xml:space="preserve"> (הרי גם לך אדוני יש אילן הנוטה לרשות הרבים). </w:t>
      </w:r>
      <w:r w:rsidRPr="00E2098C">
        <w:rPr>
          <w:rFonts w:eastAsia="Calibri" w:hint="eastAsia"/>
          <w:rtl/>
        </w:rPr>
        <w:t>א</w:t>
      </w:r>
      <w:r>
        <w:rPr>
          <w:rFonts w:eastAsia="Calibri" w:hint="cs"/>
          <w:rtl/>
        </w:rPr>
        <w:t>מר ליה (אמר לו ר' ינאי)</w:t>
      </w:r>
      <w:r w:rsidRPr="00E2098C">
        <w:rPr>
          <w:rFonts w:eastAsia="Calibri"/>
          <w:rtl/>
        </w:rPr>
        <w:t xml:space="preserve">: </w:t>
      </w:r>
      <w:r w:rsidRPr="00E2098C">
        <w:rPr>
          <w:rFonts w:eastAsia="Calibri" w:hint="eastAsia"/>
          <w:rtl/>
        </w:rPr>
        <w:t>זיל</w:t>
      </w:r>
      <w:r w:rsidRPr="00E2098C">
        <w:rPr>
          <w:rFonts w:eastAsia="Calibri"/>
          <w:rtl/>
        </w:rPr>
        <w:t xml:space="preserve"> </w:t>
      </w:r>
      <w:r w:rsidRPr="00E2098C">
        <w:rPr>
          <w:rFonts w:eastAsia="Calibri" w:hint="eastAsia"/>
          <w:rtl/>
        </w:rPr>
        <w:t>חזי</w:t>
      </w:r>
      <w:r w:rsidRPr="00E2098C">
        <w:rPr>
          <w:rFonts w:eastAsia="Calibri"/>
          <w:rtl/>
        </w:rPr>
        <w:t xml:space="preserve">, </w:t>
      </w:r>
      <w:r w:rsidRPr="00E2098C">
        <w:rPr>
          <w:rFonts w:eastAsia="Calibri" w:hint="eastAsia"/>
          <w:rtl/>
        </w:rPr>
        <w:t>אי</w:t>
      </w:r>
      <w:r w:rsidRPr="00E2098C">
        <w:rPr>
          <w:rFonts w:eastAsia="Calibri"/>
          <w:rtl/>
        </w:rPr>
        <w:t xml:space="preserve"> </w:t>
      </w:r>
      <w:r w:rsidRPr="00E2098C">
        <w:rPr>
          <w:rFonts w:eastAsia="Calibri" w:hint="eastAsia"/>
          <w:rtl/>
        </w:rPr>
        <w:t>קוץ</w:t>
      </w:r>
      <w:r w:rsidRPr="00E2098C">
        <w:rPr>
          <w:rFonts w:eastAsia="Calibri"/>
          <w:rtl/>
        </w:rPr>
        <w:t xml:space="preserve"> </w:t>
      </w:r>
      <w:r w:rsidRPr="00E2098C">
        <w:rPr>
          <w:rFonts w:eastAsia="Calibri" w:hint="eastAsia"/>
          <w:rtl/>
        </w:rPr>
        <w:t>דידי</w:t>
      </w:r>
      <w:r w:rsidRPr="00E2098C">
        <w:rPr>
          <w:rFonts w:eastAsia="Calibri"/>
          <w:rtl/>
        </w:rPr>
        <w:t xml:space="preserve"> </w:t>
      </w:r>
      <w:r w:rsidRPr="00E2098C">
        <w:rPr>
          <w:rFonts w:eastAsia="Calibri" w:hint="eastAsia"/>
          <w:rtl/>
        </w:rPr>
        <w:t>קוץ</w:t>
      </w:r>
      <w:r w:rsidRPr="00E2098C">
        <w:rPr>
          <w:rFonts w:eastAsia="Calibri"/>
          <w:rtl/>
        </w:rPr>
        <w:t xml:space="preserve"> </w:t>
      </w:r>
      <w:r w:rsidRPr="00E2098C">
        <w:rPr>
          <w:rFonts w:eastAsia="Calibri" w:hint="eastAsia"/>
          <w:rtl/>
        </w:rPr>
        <w:t>דידך</w:t>
      </w:r>
      <w:r w:rsidRPr="00E2098C">
        <w:rPr>
          <w:rFonts w:eastAsia="Calibri"/>
          <w:rtl/>
        </w:rPr>
        <w:t xml:space="preserve">, </w:t>
      </w:r>
      <w:r w:rsidRPr="00E2098C">
        <w:rPr>
          <w:rFonts w:eastAsia="Calibri" w:hint="eastAsia"/>
          <w:rtl/>
        </w:rPr>
        <w:t>אי</w:t>
      </w:r>
      <w:r w:rsidRPr="00E2098C">
        <w:rPr>
          <w:rFonts w:eastAsia="Calibri"/>
          <w:rtl/>
        </w:rPr>
        <w:t xml:space="preserve"> </w:t>
      </w:r>
      <w:r w:rsidRPr="00E2098C">
        <w:rPr>
          <w:rFonts w:eastAsia="Calibri" w:hint="eastAsia"/>
          <w:rtl/>
        </w:rPr>
        <w:t>לא</w:t>
      </w:r>
      <w:r w:rsidRPr="00E2098C">
        <w:rPr>
          <w:rFonts w:eastAsia="Calibri"/>
          <w:rtl/>
        </w:rPr>
        <w:t xml:space="preserve"> </w:t>
      </w:r>
      <w:r w:rsidRPr="00E2098C">
        <w:rPr>
          <w:rFonts w:eastAsia="Calibri" w:hint="eastAsia"/>
          <w:rtl/>
        </w:rPr>
        <w:t>קוץ</w:t>
      </w:r>
      <w:r w:rsidRPr="00E2098C">
        <w:rPr>
          <w:rFonts w:eastAsia="Calibri"/>
          <w:rtl/>
        </w:rPr>
        <w:t xml:space="preserve"> </w:t>
      </w:r>
      <w:r w:rsidRPr="00E2098C">
        <w:rPr>
          <w:rFonts w:eastAsia="Calibri" w:hint="eastAsia"/>
          <w:rtl/>
        </w:rPr>
        <w:t>דידי</w:t>
      </w:r>
      <w:r w:rsidRPr="00E2098C">
        <w:rPr>
          <w:rFonts w:eastAsia="Calibri"/>
          <w:rtl/>
        </w:rPr>
        <w:t xml:space="preserve"> </w:t>
      </w:r>
      <w:r w:rsidRPr="00E2098C">
        <w:rPr>
          <w:rFonts w:eastAsia="Calibri" w:hint="eastAsia"/>
          <w:rtl/>
        </w:rPr>
        <w:t>לא</w:t>
      </w:r>
      <w:r w:rsidRPr="00E2098C">
        <w:rPr>
          <w:rFonts w:eastAsia="Calibri"/>
          <w:rtl/>
        </w:rPr>
        <w:t xml:space="preserve"> </w:t>
      </w:r>
      <w:r w:rsidRPr="00E2098C">
        <w:rPr>
          <w:rFonts w:eastAsia="Calibri" w:hint="eastAsia"/>
          <w:rtl/>
        </w:rPr>
        <w:t>תקוץ</w:t>
      </w:r>
      <w:r w:rsidRPr="00E2098C">
        <w:rPr>
          <w:rFonts w:eastAsia="Calibri"/>
          <w:rtl/>
        </w:rPr>
        <w:t xml:space="preserve"> </w:t>
      </w:r>
      <w:r w:rsidRPr="00E2098C">
        <w:rPr>
          <w:rFonts w:eastAsia="Calibri" w:hint="eastAsia"/>
          <w:rtl/>
        </w:rPr>
        <w:t>את</w:t>
      </w:r>
      <w:r>
        <w:rPr>
          <w:rFonts w:eastAsia="Calibri" w:hint="cs"/>
          <w:rtl/>
        </w:rPr>
        <w:t xml:space="preserve"> (לך וראה אם שלי </w:t>
      </w:r>
      <w:r>
        <w:rPr>
          <w:rFonts w:eastAsia="Calibri" w:hint="cs"/>
          <w:rtl/>
        </w:rPr>
        <w:lastRenderedPageBreak/>
        <w:t>קצוץ, קצוץ את שלך ואם שלי אינו קצוץ, אל תקצוץ את שלך)</w:t>
      </w:r>
      <w:r w:rsidRPr="00E2098C">
        <w:rPr>
          <w:rFonts w:eastAsia="Calibri"/>
          <w:rtl/>
        </w:rPr>
        <w:t>.</w:t>
      </w:r>
      <w:r>
        <w:rPr>
          <w:rFonts w:eastAsia="Calibri" w:hint="cs"/>
          <w:rtl/>
        </w:rPr>
        <w:t>"</w:t>
      </w:r>
    </w:p>
    <w:p w:rsidR="00737972" w:rsidRDefault="00737972" w:rsidP="00737972">
      <w:pPr>
        <w:pStyle w:val="Ruller41"/>
        <w:rPr>
          <w:rFonts w:eastAsia="Calibri"/>
          <w:rtl/>
        </w:rPr>
      </w:pPr>
    </w:p>
    <w:p w:rsidR="00737972" w:rsidRDefault="00737972" w:rsidP="00737972">
      <w:pPr>
        <w:pStyle w:val="Ruller41"/>
        <w:rPr>
          <w:rFonts w:eastAsia="Calibri"/>
          <w:rtl/>
        </w:rPr>
      </w:pPr>
      <w:r>
        <w:rPr>
          <w:rFonts w:eastAsia="Calibri"/>
          <w:rtl/>
        </w:rPr>
        <w:tab/>
      </w:r>
      <w:r>
        <w:rPr>
          <w:rFonts w:eastAsia="Calibri" w:hint="cs"/>
          <w:rtl/>
        </w:rPr>
        <w:t>בהמשך הגמרא שואלת:</w:t>
      </w:r>
    </w:p>
    <w:p w:rsidR="00737972" w:rsidRDefault="00737972" w:rsidP="00737972">
      <w:pPr>
        <w:pStyle w:val="Ruller41"/>
        <w:rPr>
          <w:rFonts w:eastAsia="Calibri"/>
          <w:rtl/>
        </w:rPr>
      </w:pPr>
    </w:p>
    <w:p w:rsidR="00737972" w:rsidRDefault="00737972" w:rsidP="00737972">
      <w:pPr>
        <w:pStyle w:val="Ruller5"/>
        <w:rPr>
          <w:rFonts w:eastAsia="Calibri"/>
          <w:rtl/>
        </w:rPr>
      </w:pPr>
      <w:r>
        <w:rPr>
          <w:rFonts w:eastAsia="Calibri" w:hint="cs"/>
          <w:rtl/>
        </w:rPr>
        <w:t>"</w:t>
      </w:r>
      <w:r w:rsidRPr="00E2098C">
        <w:rPr>
          <w:rFonts w:eastAsia="Calibri" w:hint="eastAsia"/>
          <w:rtl/>
        </w:rPr>
        <w:t>מעיקרא</w:t>
      </w:r>
      <w:r w:rsidRPr="00E2098C">
        <w:rPr>
          <w:rFonts w:eastAsia="Calibri"/>
          <w:rtl/>
        </w:rPr>
        <w:t xml:space="preserve"> </w:t>
      </w:r>
      <w:r w:rsidRPr="00E2098C">
        <w:rPr>
          <w:rFonts w:eastAsia="Calibri" w:hint="eastAsia"/>
          <w:rtl/>
        </w:rPr>
        <w:t>מאי</w:t>
      </w:r>
      <w:r w:rsidRPr="00E2098C">
        <w:rPr>
          <w:rFonts w:eastAsia="Calibri"/>
          <w:rtl/>
        </w:rPr>
        <w:t xml:space="preserve"> </w:t>
      </w:r>
      <w:r w:rsidRPr="00E2098C">
        <w:rPr>
          <w:rFonts w:eastAsia="Calibri" w:hint="eastAsia"/>
          <w:rtl/>
        </w:rPr>
        <w:t>סבר</w:t>
      </w:r>
      <w:r w:rsidRPr="00E2098C">
        <w:rPr>
          <w:rFonts w:eastAsia="Calibri"/>
          <w:rtl/>
        </w:rPr>
        <w:t xml:space="preserve"> </w:t>
      </w:r>
      <w:r w:rsidRPr="00E2098C">
        <w:rPr>
          <w:rFonts w:eastAsia="Calibri" w:hint="eastAsia"/>
          <w:rtl/>
        </w:rPr>
        <w:t>ולבסוף</w:t>
      </w:r>
      <w:r w:rsidRPr="00E2098C">
        <w:rPr>
          <w:rFonts w:eastAsia="Calibri"/>
          <w:rtl/>
        </w:rPr>
        <w:t xml:space="preserve"> </w:t>
      </w:r>
      <w:r w:rsidRPr="00E2098C">
        <w:rPr>
          <w:rFonts w:eastAsia="Calibri" w:hint="eastAsia"/>
          <w:rtl/>
        </w:rPr>
        <w:t>מאי</w:t>
      </w:r>
      <w:r w:rsidRPr="00E2098C">
        <w:rPr>
          <w:rFonts w:eastAsia="Calibri"/>
          <w:rtl/>
        </w:rPr>
        <w:t xml:space="preserve"> </w:t>
      </w:r>
      <w:r w:rsidRPr="00E2098C">
        <w:rPr>
          <w:rFonts w:eastAsia="Calibri" w:hint="eastAsia"/>
          <w:rtl/>
        </w:rPr>
        <w:t>סבר</w:t>
      </w:r>
      <w:r w:rsidRPr="00E2098C">
        <w:rPr>
          <w:rFonts w:eastAsia="Calibri"/>
          <w:rtl/>
        </w:rPr>
        <w:t xml:space="preserve">? </w:t>
      </w:r>
      <w:r>
        <w:rPr>
          <w:rFonts w:eastAsia="Calibri" w:hint="cs"/>
          <w:rtl/>
        </w:rPr>
        <w:t xml:space="preserve">(מתחילה מה סבר ר' ינאי שלא קצץ את אילנו ומה סבר בסוף שכן קצץ). </w:t>
      </w:r>
      <w:r w:rsidRPr="00E2098C">
        <w:rPr>
          <w:rFonts w:eastAsia="Calibri" w:hint="eastAsia"/>
          <w:rtl/>
        </w:rPr>
        <w:t>מעיקרא</w:t>
      </w:r>
      <w:r w:rsidRPr="00E2098C">
        <w:rPr>
          <w:rFonts w:eastAsia="Calibri"/>
          <w:rtl/>
        </w:rPr>
        <w:t xml:space="preserve"> </w:t>
      </w:r>
      <w:r w:rsidRPr="00E2098C">
        <w:rPr>
          <w:rFonts w:eastAsia="Calibri" w:hint="eastAsia"/>
          <w:rtl/>
        </w:rPr>
        <w:t>סבר</w:t>
      </w:r>
      <w:r w:rsidRPr="00E2098C">
        <w:rPr>
          <w:rFonts w:eastAsia="Calibri"/>
          <w:rtl/>
        </w:rPr>
        <w:t xml:space="preserve">: </w:t>
      </w:r>
      <w:r w:rsidRPr="00E2098C">
        <w:rPr>
          <w:rFonts w:eastAsia="Calibri" w:hint="eastAsia"/>
          <w:rtl/>
        </w:rPr>
        <w:t>ניחא</w:t>
      </w:r>
      <w:r w:rsidRPr="00E2098C">
        <w:rPr>
          <w:rFonts w:eastAsia="Calibri"/>
          <w:rtl/>
        </w:rPr>
        <w:t xml:space="preserve"> </w:t>
      </w:r>
      <w:r w:rsidRPr="00E2098C">
        <w:rPr>
          <w:rFonts w:eastAsia="Calibri" w:hint="eastAsia"/>
          <w:rtl/>
        </w:rPr>
        <w:t>להו</w:t>
      </w:r>
      <w:r w:rsidRPr="00E2098C">
        <w:rPr>
          <w:rFonts w:eastAsia="Calibri"/>
          <w:rtl/>
        </w:rPr>
        <w:t xml:space="preserve"> </w:t>
      </w:r>
      <w:r w:rsidRPr="00E2098C">
        <w:rPr>
          <w:rFonts w:eastAsia="Calibri" w:hint="eastAsia"/>
          <w:rtl/>
        </w:rPr>
        <w:t>לבני</w:t>
      </w:r>
      <w:r w:rsidRPr="00E2098C">
        <w:rPr>
          <w:rFonts w:eastAsia="Calibri"/>
          <w:rtl/>
        </w:rPr>
        <w:t xml:space="preserve"> </w:t>
      </w:r>
      <w:r>
        <w:rPr>
          <w:rFonts w:eastAsia="Calibri" w:hint="cs"/>
          <w:rtl/>
        </w:rPr>
        <w:t>רשות הרבים</w:t>
      </w:r>
      <w:r w:rsidRPr="00E2098C">
        <w:rPr>
          <w:rFonts w:eastAsia="Calibri"/>
          <w:rtl/>
        </w:rPr>
        <w:t xml:space="preserve"> </w:t>
      </w:r>
      <w:r w:rsidRPr="00E2098C">
        <w:rPr>
          <w:rFonts w:eastAsia="Calibri" w:hint="eastAsia"/>
          <w:rtl/>
        </w:rPr>
        <w:t>דיתבי</w:t>
      </w:r>
      <w:r w:rsidRPr="00E2098C">
        <w:rPr>
          <w:rFonts w:eastAsia="Calibri"/>
          <w:rtl/>
        </w:rPr>
        <w:t xml:space="preserve"> </w:t>
      </w:r>
      <w:r w:rsidRPr="00E2098C">
        <w:rPr>
          <w:rFonts w:eastAsia="Calibri" w:hint="eastAsia"/>
          <w:rtl/>
        </w:rPr>
        <w:t>בטוליה</w:t>
      </w:r>
      <w:r w:rsidRPr="00E2098C">
        <w:rPr>
          <w:rFonts w:eastAsia="Calibri"/>
          <w:rtl/>
        </w:rPr>
        <w:t xml:space="preserve">, </w:t>
      </w:r>
      <w:r w:rsidRPr="00E2098C">
        <w:rPr>
          <w:rFonts w:eastAsia="Calibri" w:hint="eastAsia"/>
          <w:rtl/>
        </w:rPr>
        <w:t>כיון</w:t>
      </w:r>
      <w:r w:rsidRPr="00E2098C">
        <w:rPr>
          <w:rFonts w:eastAsia="Calibri"/>
          <w:rtl/>
        </w:rPr>
        <w:t xml:space="preserve"> </w:t>
      </w:r>
      <w:r w:rsidRPr="00E2098C">
        <w:rPr>
          <w:rFonts w:eastAsia="Calibri" w:hint="eastAsia"/>
          <w:rtl/>
        </w:rPr>
        <w:t>דחזא</w:t>
      </w:r>
      <w:r w:rsidRPr="00E2098C">
        <w:rPr>
          <w:rFonts w:eastAsia="Calibri"/>
          <w:rtl/>
        </w:rPr>
        <w:t xml:space="preserve"> </w:t>
      </w:r>
      <w:r w:rsidRPr="00E2098C">
        <w:rPr>
          <w:rFonts w:eastAsia="Calibri" w:hint="eastAsia"/>
          <w:rtl/>
        </w:rPr>
        <w:t>דקא</w:t>
      </w:r>
      <w:r w:rsidRPr="00E2098C">
        <w:rPr>
          <w:rFonts w:eastAsia="Calibri"/>
          <w:rtl/>
        </w:rPr>
        <w:t xml:space="preserve"> </w:t>
      </w:r>
      <w:r w:rsidRPr="00E2098C">
        <w:rPr>
          <w:rFonts w:eastAsia="Calibri" w:hint="eastAsia"/>
          <w:rtl/>
        </w:rPr>
        <w:t>מעכבי</w:t>
      </w:r>
      <w:r w:rsidRPr="00E2098C">
        <w:rPr>
          <w:rFonts w:eastAsia="Calibri"/>
          <w:rtl/>
        </w:rPr>
        <w:t xml:space="preserve">, </w:t>
      </w:r>
      <w:r w:rsidRPr="00E2098C">
        <w:rPr>
          <w:rFonts w:eastAsia="Calibri" w:hint="eastAsia"/>
          <w:rtl/>
        </w:rPr>
        <w:t>שדר</w:t>
      </w:r>
      <w:r w:rsidRPr="00E2098C">
        <w:rPr>
          <w:rFonts w:eastAsia="Calibri"/>
          <w:rtl/>
        </w:rPr>
        <w:t xml:space="preserve"> </w:t>
      </w:r>
      <w:r w:rsidRPr="00E2098C">
        <w:rPr>
          <w:rFonts w:eastAsia="Calibri" w:hint="eastAsia"/>
          <w:rtl/>
        </w:rPr>
        <w:t>קצייה</w:t>
      </w:r>
      <w:r>
        <w:rPr>
          <w:rFonts w:eastAsia="Calibri" w:hint="cs"/>
          <w:rtl/>
        </w:rPr>
        <w:t xml:space="preserve"> (מתחילה סבר שנוח להם לבני רשות הרבים באילנו הנוטה על רשות הרבים מאחר שהם יושבים בצילו, אך כיוון שראה שהיו מוחים על אילנו של האיש השני, שלח לקצוץ את שלו)</w:t>
      </w:r>
      <w:r w:rsidRPr="00E2098C">
        <w:rPr>
          <w:rFonts w:eastAsia="Calibri"/>
          <w:rtl/>
        </w:rPr>
        <w:t>.</w:t>
      </w:r>
      <w:r>
        <w:rPr>
          <w:rFonts w:eastAsia="Calibri" w:hint="cs"/>
          <w:rtl/>
        </w:rPr>
        <w:t>"</w:t>
      </w:r>
    </w:p>
    <w:p w:rsidR="00737972" w:rsidRDefault="00737972" w:rsidP="00737972">
      <w:pPr>
        <w:pStyle w:val="Ruller41"/>
        <w:rPr>
          <w:rFonts w:eastAsia="Calibri"/>
          <w:rtl/>
        </w:rPr>
      </w:pPr>
    </w:p>
    <w:p w:rsidR="00737972" w:rsidRDefault="00737972" w:rsidP="00737972">
      <w:pPr>
        <w:pStyle w:val="Ruller41"/>
        <w:rPr>
          <w:rFonts w:eastAsia="Calibri"/>
          <w:rtl/>
        </w:rPr>
      </w:pPr>
      <w:r>
        <w:rPr>
          <w:rFonts w:eastAsia="Calibri"/>
          <w:rtl/>
        </w:rPr>
        <w:tab/>
      </w:r>
      <w:r>
        <w:rPr>
          <w:rFonts w:eastAsia="Calibri" w:hint="cs"/>
          <w:rtl/>
        </w:rPr>
        <w:t>ועל כך שואלת הגמרא:</w:t>
      </w:r>
    </w:p>
    <w:p w:rsidR="00737972" w:rsidRDefault="00737972" w:rsidP="00737972">
      <w:pPr>
        <w:pStyle w:val="Ruller41"/>
        <w:rPr>
          <w:rFonts w:eastAsia="Calibri"/>
          <w:rtl/>
        </w:rPr>
      </w:pPr>
    </w:p>
    <w:p w:rsidR="00737972" w:rsidRDefault="00737972" w:rsidP="00737972">
      <w:pPr>
        <w:pStyle w:val="Ruller5"/>
        <w:rPr>
          <w:rFonts w:eastAsia="Calibri"/>
          <w:rtl/>
        </w:rPr>
      </w:pPr>
      <w:r>
        <w:rPr>
          <w:rFonts w:eastAsia="Calibri" w:hint="cs"/>
          <w:rtl/>
        </w:rPr>
        <w:t>"</w:t>
      </w:r>
      <w:r w:rsidRPr="00E2098C">
        <w:rPr>
          <w:rFonts w:eastAsia="Calibri" w:hint="eastAsia"/>
          <w:rtl/>
        </w:rPr>
        <w:t>ולימא</w:t>
      </w:r>
      <w:r w:rsidRPr="00E2098C">
        <w:rPr>
          <w:rFonts w:eastAsia="Calibri"/>
          <w:rtl/>
        </w:rPr>
        <w:t xml:space="preserve"> </w:t>
      </w:r>
      <w:r w:rsidRPr="00E2098C">
        <w:rPr>
          <w:rFonts w:eastAsia="Calibri" w:hint="eastAsia"/>
          <w:rtl/>
        </w:rPr>
        <w:t>ליה</w:t>
      </w:r>
      <w:r w:rsidRPr="00E2098C">
        <w:rPr>
          <w:rFonts w:eastAsia="Calibri"/>
          <w:rtl/>
        </w:rPr>
        <w:t xml:space="preserve">: </w:t>
      </w:r>
      <w:r w:rsidRPr="00E2098C">
        <w:rPr>
          <w:rFonts w:eastAsia="Calibri" w:hint="eastAsia"/>
          <w:rtl/>
        </w:rPr>
        <w:t>זיל</w:t>
      </w:r>
      <w:r w:rsidRPr="00E2098C">
        <w:rPr>
          <w:rFonts w:eastAsia="Calibri"/>
          <w:rtl/>
        </w:rPr>
        <w:t xml:space="preserve"> </w:t>
      </w:r>
      <w:r w:rsidRPr="00E2098C">
        <w:rPr>
          <w:rFonts w:eastAsia="Calibri" w:hint="eastAsia"/>
          <w:rtl/>
        </w:rPr>
        <w:t>קוץ</w:t>
      </w:r>
      <w:r w:rsidRPr="00E2098C">
        <w:rPr>
          <w:rFonts w:eastAsia="Calibri"/>
          <w:rtl/>
        </w:rPr>
        <w:t xml:space="preserve"> </w:t>
      </w:r>
      <w:r w:rsidRPr="00E2098C">
        <w:rPr>
          <w:rFonts w:eastAsia="Calibri" w:hint="eastAsia"/>
          <w:rtl/>
        </w:rPr>
        <w:t>דידך</w:t>
      </w:r>
      <w:r w:rsidRPr="00E2098C">
        <w:rPr>
          <w:rFonts w:eastAsia="Calibri"/>
          <w:rtl/>
        </w:rPr>
        <w:t xml:space="preserve"> </w:t>
      </w:r>
      <w:r w:rsidRPr="00E2098C">
        <w:rPr>
          <w:rFonts w:eastAsia="Calibri" w:hint="eastAsia"/>
          <w:rtl/>
        </w:rPr>
        <w:t>והדר</w:t>
      </w:r>
      <w:r w:rsidRPr="00E2098C">
        <w:rPr>
          <w:rFonts w:eastAsia="Calibri"/>
          <w:rtl/>
        </w:rPr>
        <w:t xml:space="preserve"> </w:t>
      </w:r>
      <w:r w:rsidRPr="00E2098C">
        <w:rPr>
          <w:rFonts w:eastAsia="Calibri" w:hint="eastAsia"/>
          <w:rtl/>
        </w:rPr>
        <w:t>אקוץ</w:t>
      </w:r>
      <w:r w:rsidRPr="00E2098C">
        <w:rPr>
          <w:rFonts w:eastAsia="Calibri"/>
          <w:rtl/>
        </w:rPr>
        <w:t xml:space="preserve"> </w:t>
      </w:r>
      <w:r w:rsidRPr="00E2098C">
        <w:rPr>
          <w:rFonts w:eastAsia="Calibri" w:hint="eastAsia"/>
          <w:rtl/>
        </w:rPr>
        <w:t>דידי</w:t>
      </w:r>
      <w:r w:rsidRPr="00E2098C">
        <w:rPr>
          <w:rFonts w:eastAsia="Calibri"/>
          <w:rtl/>
        </w:rPr>
        <w:t xml:space="preserve">! </w:t>
      </w:r>
      <w:r>
        <w:rPr>
          <w:rFonts w:eastAsia="Calibri" w:hint="cs"/>
          <w:rtl/>
        </w:rPr>
        <w:t xml:space="preserve">(ושיאמר לאיש לך קצוץ את שלך ולאחר מכן אקצוץ את שלי </w:t>
      </w:r>
      <w:r>
        <w:rPr>
          <w:rFonts w:eastAsia="Calibri"/>
          <w:rtl/>
        </w:rPr>
        <w:t>–</w:t>
      </w:r>
      <w:r>
        <w:rPr>
          <w:rFonts w:eastAsia="Calibri" w:hint="cs"/>
          <w:rtl/>
        </w:rPr>
        <w:t xml:space="preserve"> היינו מדוע דחה ר' ינאי את פסק דינו עד אחר שיקצוץ בעצמו בעוד שבינתיים נמשך הנזק לבני רשות הרבים)."</w:t>
      </w:r>
    </w:p>
    <w:p w:rsidR="00737972" w:rsidRDefault="00737972" w:rsidP="00737972">
      <w:pPr>
        <w:pStyle w:val="Ruller41"/>
        <w:rPr>
          <w:rFonts w:eastAsia="Calibri"/>
          <w:rtl/>
        </w:rPr>
      </w:pPr>
    </w:p>
    <w:p w:rsidR="00737972" w:rsidRDefault="00737972" w:rsidP="00737972">
      <w:pPr>
        <w:pStyle w:val="Ruller41"/>
        <w:rPr>
          <w:rFonts w:eastAsia="Calibri"/>
          <w:rtl/>
        </w:rPr>
      </w:pPr>
      <w:r>
        <w:rPr>
          <w:rFonts w:eastAsia="Calibri"/>
          <w:rtl/>
        </w:rPr>
        <w:tab/>
      </w:r>
      <w:r>
        <w:rPr>
          <w:rFonts w:eastAsia="Calibri" w:hint="cs"/>
          <w:rtl/>
        </w:rPr>
        <w:t xml:space="preserve">והתשובה: </w:t>
      </w:r>
    </w:p>
    <w:p w:rsidR="00737972" w:rsidRDefault="00737972" w:rsidP="00737972">
      <w:pPr>
        <w:pStyle w:val="Ruller41"/>
        <w:spacing w:line="240" w:lineRule="auto"/>
        <w:ind w:right="1276"/>
        <w:rPr>
          <w:rFonts w:eastAsia="Calibri"/>
          <w:rtl/>
        </w:rPr>
      </w:pPr>
    </w:p>
    <w:p w:rsidR="00737972" w:rsidRPr="00E32B14" w:rsidRDefault="00737972" w:rsidP="00737972">
      <w:pPr>
        <w:pStyle w:val="Ruller5"/>
        <w:rPr>
          <w:rtl/>
        </w:rPr>
      </w:pPr>
      <w:r>
        <w:rPr>
          <w:rFonts w:hint="cs"/>
          <w:rtl/>
        </w:rPr>
        <w:t>"</w:t>
      </w:r>
      <w:r w:rsidRPr="00E32B14">
        <w:rPr>
          <w:rFonts w:hint="eastAsia"/>
          <w:rtl/>
        </w:rPr>
        <w:t>משום</w:t>
      </w:r>
      <w:r w:rsidRPr="00E32B14">
        <w:rPr>
          <w:rtl/>
        </w:rPr>
        <w:t xml:space="preserve"> </w:t>
      </w:r>
      <w:r w:rsidRPr="00E32B14">
        <w:rPr>
          <w:rFonts w:hint="eastAsia"/>
          <w:rtl/>
        </w:rPr>
        <w:t>דריש</w:t>
      </w:r>
      <w:r w:rsidRPr="00E32B14">
        <w:rPr>
          <w:rtl/>
        </w:rPr>
        <w:t xml:space="preserve"> </w:t>
      </w:r>
      <w:r w:rsidRPr="00E32B14">
        <w:rPr>
          <w:rFonts w:hint="eastAsia"/>
          <w:rtl/>
        </w:rPr>
        <w:t>לקיש</w:t>
      </w:r>
      <w:r w:rsidRPr="00E32B14">
        <w:rPr>
          <w:rtl/>
        </w:rPr>
        <w:t xml:space="preserve">, </w:t>
      </w:r>
      <w:r w:rsidRPr="00E32B14">
        <w:rPr>
          <w:rFonts w:hint="eastAsia"/>
          <w:rtl/>
        </w:rPr>
        <w:t>דאמר</w:t>
      </w:r>
      <w:r w:rsidRPr="00E32B14">
        <w:rPr>
          <w:rtl/>
        </w:rPr>
        <w:t xml:space="preserve">: </w:t>
      </w:r>
      <w:r>
        <w:rPr>
          <w:rFonts w:hint="cs"/>
          <w:rtl/>
        </w:rPr>
        <w:t>'</w:t>
      </w:r>
      <w:r w:rsidRPr="00E32B14">
        <w:rPr>
          <w:rFonts w:hint="eastAsia"/>
          <w:rtl/>
        </w:rPr>
        <w:t>התקוששו</w:t>
      </w:r>
      <w:r w:rsidRPr="00E32B14">
        <w:rPr>
          <w:rtl/>
        </w:rPr>
        <w:t xml:space="preserve"> </w:t>
      </w:r>
      <w:r w:rsidRPr="00E32B14">
        <w:rPr>
          <w:rFonts w:hint="eastAsia"/>
          <w:rtl/>
        </w:rPr>
        <w:t>וקושו</w:t>
      </w:r>
      <w:r>
        <w:rPr>
          <w:rFonts w:hint="cs"/>
          <w:rtl/>
        </w:rPr>
        <w:t>'</w:t>
      </w:r>
      <w:r w:rsidRPr="00E32B14">
        <w:rPr>
          <w:rFonts w:hint="cs"/>
          <w:rtl/>
        </w:rPr>
        <w:t xml:space="preserve"> (צפניה ב, 1)</w:t>
      </w:r>
      <w:r w:rsidRPr="00E32B14">
        <w:rPr>
          <w:rtl/>
        </w:rPr>
        <w:t xml:space="preserve"> – </w:t>
      </w:r>
      <w:r w:rsidRPr="00E32B14">
        <w:rPr>
          <w:rFonts w:hint="eastAsia"/>
          <w:rtl/>
        </w:rPr>
        <w:t>קשוט</w:t>
      </w:r>
      <w:r w:rsidRPr="00E32B14">
        <w:rPr>
          <w:rtl/>
        </w:rPr>
        <w:t xml:space="preserve"> </w:t>
      </w:r>
      <w:r w:rsidRPr="00E32B14">
        <w:rPr>
          <w:rFonts w:hint="eastAsia"/>
          <w:rtl/>
        </w:rPr>
        <w:t>עצמך</w:t>
      </w:r>
      <w:r w:rsidRPr="00E32B14">
        <w:rPr>
          <w:rtl/>
        </w:rPr>
        <w:t xml:space="preserve"> </w:t>
      </w:r>
      <w:r w:rsidRPr="00E32B14">
        <w:rPr>
          <w:rFonts w:hint="eastAsia"/>
          <w:rtl/>
        </w:rPr>
        <w:t>ואח</w:t>
      </w:r>
      <w:r w:rsidRPr="00E32B14">
        <w:rPr>
          <w:rtl/>
        </w:rPr>
        <w:t>"</w:t>
      </w:r>
      <w:r w:rsidRPr="00E32B14">
        <w:rPr>
          <w:rFonts w:hint="eastAsia"/>
          <w:rtl/>
        </w:rPr>
        <w:t>כ</w:t>
      </w:r>
      <w:r w:rsidRPr="00E32B14">
        <w:rPr>
          <w:rtl/>
        </w:rPr>
        <w:t xml:space="preserve"> </w:t>
      </w:r>
      <w:r w:rsidRPr="00E32B14">
        <w:rPr>
          <w:rFonts w:hint="eastAsia"/>
          <w:rtl/>
        </w:rPr>
        <w:t>קשוט</w:t>
      </w:r>
      <w:r w:rsidRPr="00E32B14">
        <w:rPr>
          <w:rtl/>
        </w:rPr>
        <w:t xml:space="preserve"> </w:t>
      </w:r>
      <w:r w:rsidRPr="00E32B14">
        <w:rPr>
          <w:rFonts w:hint="eastAsia"/>
          <w:rtl/>
        </w:rPr>
        <w:t>אחרים</w:t>
      </w:r>
      <w:r w:rsidRPr="00E32B14">
        <w:rPr>
          <w:rtl/>
        </w:rPr>
        <w:t>.</w:t>
      </w:r>
      <w:r>
        <w:rPr>
          <w:rFonts w:hint="cs"/>
          <w:rtl/>
        </w:rPr>
        <w:t>"</w:t>
      </w:r>
      <w:r w:rsidRPr="00E32B14">
        <w:rPr>
          <w:rtl/>
        </w:rPr>
        <w:t> </w:t>
      </w:r>
    </w:p>
    <w:p w:rsidR="00737972" w:rsidRPr="00E32B14" w:rsidRDefault="00737972" w:rsidP="00737972">
      <w:pPr>
        <w:pStyle w:val="Ruller41"/>
        <w:rPr>
          <w:rFonts w:ascii="FrankRuehl" w:hAnsi="FrankRuehl"/>
          <w:color w:val="000000"/>
          <w:sz w:val="28"/>
          <w:rtl/>
        </w:rPr>
      </w:pPr>
    </w:p>
    <w:p w:rsidR="00737972" w:rsidRPr="00141B3C" w:rsidRDefault="00737972" w:rsidP="00737972">
      <w:pPr>
        <w:pStyle w:val="Ruller41"/>
        <w:rPr>
          <w:rFonts w:ascii="FrankRuehl" w:hAnsi="FrankRuehl"/>
          <w:color w:val="000000"/>
          <w:sz w:val="28"/>
          <w:rtl/>
        </w:rPr>
      </w:pPr>
      <w:r w:rsidRPr="00E32B14">
        <w:rPr>
          <w:rFonts w:ascii="FrankRuehl" w:hAnsi="FrankRuehl"/>
          <w:color w:val="000000"/>
          <w:sz w:val="28"/>
          <w:rtl/>
        </w:rPr>
        <w:tab/>
      </w:r>
      <w:r w:rsidRPr="00141B3C">
        <w:rPr>
          <w:rFonts w:ascii="FrankRuehl" w:hAnsi="FrankRuehl" w:hint="eastAsia"/>
          <w:color w:val="000000"/>
          <w:sz w:val="28"/>
          <w:rtl/>
        </w:rPr>
        <w:t>מכאן</w:t>
      </w:r>
      <w:r w:rsidRPr="00141B3C">
        <w:rPr>
          <w:rFonts w:ascii="FrankRuehl" w:hAnsi="FrankRuehl"/>
          <w:color w:val="000000"/>
          <w:sz w:val="28"/>
          <w:rtl/>
        </w:rPr>
        <w:t xml:space="preserve"> לומדים מוסר השכל עצום. ראשית</w:t>
      </w:r>
      <w:r>
        <w:rPr>
          <w:rFonts w:ascii="FrankRuehl" w:hAnsi="FrankRuehl" w:hint="cs"/>
          <w:color w:val="000000"/>
          <w:sz w:val="28"/>
          <w:rtl/>
        </w:rPr>
        <w:t>,</w:t>
      </w:r>
      <w:r w:rsidRPr="00141B3C">
        <w:rPr>
          <w:rFonts w:ascii="FrankRuehl" w:hAnsi="FrankRuehl"/>
          <w:color w:val="000000"/>
          <w:sz w:val="28"/>
          <w:rtl/>
        </w:rPr>
        <w:t xml:space="preserve"> פסיקתו </w:t>
      </w:r>
      <w:r w:rsidRPr="00141B3C">
        <w:rPr>
          <w:rFonts w:ascii="FrankRuehl" w:hAnsi="FrankRuehl" w:hint="eastAsia"/>
          <w:color w:val="000000"/>
          <w:sz w:val="28"/>
          <w:rtl/>
        </w:rPr>
        <w:t>של</w:t>
      </w:r>
      <w:r w:rsidRPr="00141B3C">
        <w:rPr>
          <w:rFonts w:ascii="FrankRuehl" w:hAnsi="FrankRuehl"/>
          <w:color w:val="000000"/>
          <w:sz w:val="28"/>
          <w:rtl/>
        </w:rPr>
        <w:t xml:space="preserve"> בעל הסמכות </w:t>
      </w:r>
      <w:r>
        <w:rPr>
          <w:rFonts w:ascii="FrankRuehl" w:hAnsi="FrankRuehl" w:hint="cs"/>
          <w:color w:val="000000"/>
          <w:sz w:val="28"/>
          <w:rtl/>
        </w:rPr>
        <w:t xml:space="preserve">השיפוטית </w:t>
      </w:r>
      <w:r w:rsidRPr="00141B3C">
        <w:rPr>
          <w:rFonts w:ascii="FrankRuehl" w:hAnsi="FrankRuehl"/>
          <w:color w:val="000000"/>
          <w:sz w:val="28"/>
          <w:rtl/>
        </w:rPr>
        <w:t xml:space="preserve">אינה עניין </w:t>
      </w:r>
      <w:r w:rsidRPr="00141B3C">
        <w:rPr>
          <w:rFonts w:ascii="FrankRuehl" w:hAnsi="FrankRuehl" w:hint="eastAsia"/>
          <w:color w:val="000000"/>
          <w:sz w:val="28"/>
          <w:rtl/>
        </w:rPr>
        <w:t>שמקורו</w:t>
      </w:r>
      <w:r w:rsidRPr="00141B3C">
        <w:rPr>
          <w:rFonts w:ascii="FrankRuehl" w:hAnsi="FrankRuehl"/>
          <w:color w:val="000000"/>
          <w:sz w:val="28"/>
          <w:rtl/>
        </w:rPr>
        <w:t xml:space="preserve"> </w:t>
      </w:r>
      <w:r w:rsidRPr="00141B3C">
        <w:rPr>
          <w:rFonts w:ascii="FrankRuehl" w:hAnsi="FrankRuehl" w:hint="eastAsia"/>
          <w:color w:val="000000"/>
          <w:sz w:val="28"/>
          <w:rtl/>
        </w:rPr>
        <w:t>בתחושה</w:t>
      </w:r>
      <w:r w:rsidRPr="00141B3C">
        <w:rPr>
          <w:rFonts w:ascii="FrankRuehl" w:hAnsi="FrankRuehl"/>
          <w:color w:val="000000"/>
          <w:sz w:val="28"/>
          <w:rtl/>
        </w:rPr>
        <w:t xml:space="preserve"> מה </w:t>
      </w:r>
      <w:r w:rsidRPr="00141B3C">
        <w:rPr>
          <w:rFonts w:ascii="FrankRuehl" w:hAnsi="FrankRuehl" w:hint="eastAsia"/>
          <w:color w:val="000000"/>
          <w:sz w:val="28"/>
          <w:rtl/>
        </w:rPr>
        <w:t>מטיב</w:t>
      </w:r>
      <w:r w:rsidRPr="00141B3C">
        <w:rPr>
          <w:rFonts w:ascii="FrankRuehl" w:hAnsi="FrankRuehl"/>
          <w:color w:val="000000"/>
          <w:sz w:val="28"/>
          <w:rtl/>
        </w:rPr>
        <w:t xml:space="preserve"> </w:t>
      </w:r>
      <w:r w:rsidRPr="00141B3C">
        <w:rPr>
          <w:rFonts w:ascii="FrankRuehl" w:hAnsi="FrankRuehl" w:hint="eastAsia"/>
          <w:color w:val="000000"/>
          <w:sz w:val="28"/>
          <w:rtl/>
        </w:rPr>
        <w:t>עם</w:t>
      </w:r>
      <w:r w:rsidRPr="00141B3C">
        <w:rPr>
          <w:rFonts w:ascii="FrankRuehl" w:hAnsi="FrankRuehl"/>
          <w:color w:val="000000"/>
          <w:sz w:val="28"/>
          <w:rtl/>
        </w:rPr>
        <w:t xml:space="preserve"> </w:t>
      </w:r>
      <w:r w:rsidRPr="00141B3C">
        <w:rPr>
          <w:rFonts w:ascii="FrankRuehl" w:hAnsi="FrankRuehl" w:hint="eastAsia"/>
          <w:color w:val="000000"/>
          <w:sz w:val="28"/>
          <w:rtl/>
        </w:rPr>
        <w:t>הציבור</w:t>
      </w:r>
      <w:r w:rsidRPr="00141B3C">
        <w:rPr>
          <w:rFonts w:ascii="FrankRuehl" w:hAnsi="FrankRuehl"/>
          <w:color w:val="000000"/>
          <w:sz w:val="28"/>
          <w:rtl/>
        </w:rPr>
        <w:t xml:space="preserve"> ומה לא</w:t>
      </w:r>
      <w:r>
        <w:rPr>
          <w:rFonts w:ascii="FrankRuehl" w:hAnsi="FrankRuehl" w:hint="cs"/>
          <w:color w:val="000000"/>
          <w:sz w:val="28"/>
          <w:rtl/>
        </w:rPr>
        <w:t>. מה נחוץ ומה לא</w:t>
      </w:r>
      <w:r w:rsidRPr="00141B3C">
        <w:rPr>
          <w:rFonts w:ascii="FrankRuehl" w:hAnsi="FrankRuehl"/>
          <w:color w:val="000000"/>
          <w:sz w:val="28"/>
          <w:rtl/>
        </w:rPr>
        <w:t>. המקור הוא בדין</w:t>
      </w:r>
      <w:r>
        <w:rPr>
          <w:rFonts w:ascii="FrankRuehl" w:hAnsi="FrankRuehl" w:hint="cs"/>
          <w:color w:val="000000"/>
          <w:sz w:val="28"/>
          <w:rtl/>
        </w:rPr>
        <w:t xml:space="preserve"> ולא בטעם האישי</w:t>
      </w:r>
      <w:r w:rsidRPr="00141B3C">
        <w:rPr>
          <w:rFonts w:ascii="FrankRuehl" w:hAnsi="FrankRuehl"/>
          <w:color w:val="000000"/>
          <w:sz w:val="28"/>
          <w:rtl/>
        </w:rPr>
        <w:t xml:space="preserve">. </w:t>
      </w:r>
      <w:r w:rsidRPr="00141B3C">
        <w:rPr>
          <w:rFonts w:ascii="FrankRuehl" w:hAnsi="FrankRuehl" w:hint="eastAsia"/>
          <w:color w:val="000000"/>
          <w:sz w:val="28"/>
          <w:rtl/>
        </w:rPr>
        <w:t>שנית</w:t>
      </w:r>
      <w:r w:rsidRPr="00141B3C">
        <w:rPr>
          <w:rFonts w:ascii="FrankRuehl" w:hAnsi="FrankRuehl"/>
          <w:color w:val="000000"/>
          <w:sz w:val="28"/>
          <w:rtl/>
        </w:rPr>
        <w:t xml:space="preserve">, </w:t>
      </w:r>
      <w:r w:rsidRPr="00141B3C">
        <w:rPr>
          <w:rFonts w:ascii="FrankRuehl" w:hAnsi="FrankRuehl" w:hint="eastAsia"/>
          <w:color w:val="000000"/>
          <w:sz w:val="28"/>
          <w:rtl/>
        </w:rPr>
        <w:t>על</w:t>
      </w:r>
      <w:r w:rsidRPr="00141B3C">
        <w:rPr>
          <w:rFonts w:ascii="FrankRuehl" w:hAnsi="FrankRuehl"/>
          <w:color w:val="000000"/>
          <w:sz w:val="28"/>
          <w:rtl/>
        </w:rPr>
        <w:t xml:space="preserve"> </w:t>
      </w:r>
      <w:r w:rsidRPr="00141B3C">
        <w:rPr>
          <w:rFonts w:ascii="FrankRuehl" w:hAnsi="FrankRuehl" w:hint="eastAsia"/>
          <w:color w:val="000000"/>
          <w:sz w:val="28"/>
          <w:rtl/>
        </w:rPr>
        <w:t>הפוסק</w:t>
      </w:r>
      <w:r w:rsidRPr="00141B3C">
        <w:rPr>
          <w:rFonts w:ascii="FrankRuehl" w:hAnsi="FrankRuehl"/>
          <w:color w:val="000000"/>
          <w:sz w:val="28"/>
          <w:rtl/>
        </w:rPr>
        <w:t xml:space="preserve"> "</w:t>
      </w:r>
      <w:r w:rsidRPr="00141B3C">
        <w:rPr>
          <w:rFonts w:ascii="FrankRuehl" w:hAnsi="FrankRuehl" w:hint="eastAsia"/>
          <w:color w:val="000000"/>
          <w:sz w:val="28"/>
          <w:rtl/>
        </w:rPr>
        <w:t>לקשוט</w:t>
      </w:r>
      <w:r w:rsidRPr="00141B3C">
        <w:rPr>
          <w:rFonts w:ascii="FrankRuehl" w:hAnsi="FrankRuehl"/>
          <w:color w:val="000000"/>
          <w:sz w:val="28"/>
          <w:rtl/>
        </w:rPr>
        <w:t xml:space="preserve"> עצמו תחילה</w:t>
      </w:r>
      <w:r>
        <w:rPr>
          <w:rFonts w:ascii="FrankRuehl" w:hAnsi="FrankRuehl" w:hint="cs"/>
          <w:color w:val="000000"/>
          <w:sz w:val="28"/>
          <w:rtl/>
        </w:rPr>
        <w:t>"</w:t>
      </w:r>
      <w:r w:rsidRPr="00141B3C">
        <w:rPr>
          <w:rFonts w:ascii="FrankRuehl" w:hAnsi="FrankRuehl"/>
          <w:color w:val="000000"/>
          <w:sz w:val="28"/>
          <w:rtl/>
        </w:rPr>
        <w:t xml:space="preserve"> ו</w:t>
      </w:r>
      <w:r>
        <w:rPr>
          <w:rFonts w:ascii="FrankRuehl" w:hAnsi="FrankRuehl" w:hint="cs"/>
          <w:color w:val="000000"/>
          <w:sz w:val="28"/>
          <w:rtl/>
        </w:rPr>
        <w:t>ל</w:t>
      </w:r>
      <w:r w:rsidRPr="00141B3C">
        <w:rPr>
          <w:rFonts w:ascii="FrankRuehl" w:hAnsi="FrankRuehl" w:hint="eastAsia"/>
          <w:color w:val="000000"/>
          <w:sz w:val="28"/>
          <w:rtl/>
        </w:rPr>
        <w:t>החיל</w:t>
      </w:r>
      <w:r w:rsidRPr="00141B3C">
        <w:rPr>
          <w:rFonts w:ascii="FrankRuehl" w:hAnsi="FrankRuehl"/>
          <w:color w:val="000000"/>
          <w:sz w:val="28"/>
          <w:rtl/>
        </w:rPr>
        <w:t xml:space="preserve"> </w:t>
      </w:r>
      <w:r w:rsidRPr="00141B3C">
        <w:rPr>
          <w:rFonts w:ascii="FrankRuehl" w:hAnsi="FrankRuehl" w:hint="eastAsia"/>
          <w:color w:val="000000"/>
          <w:sz w:val="28"/>
          <w:rtl/>
        </w:rPr>
        <w:t>על</w:t>
      </w:r>
      <w:r w:rsidRPr="00141B3C">
        <w:rPr>
          <w:rFonts w:ascii="FrankRuehl" w:hAnsi="FrankRuehl"/>
          <w:color w:val="000000"/>
          <w:sz w:val="28"/>
          <w:rtl/>
        </w:rPr>
        <w:t xml:space="preserve"> </w:t>
      </w:r>
      <w:r w:rsidRPr="00141B3C">
        <w:rPr>
          <w:rFonts w:ascii="FrankRuehl" w:hAnsi="FrankRuehl" w:hint="eastAsia"/>
          <w:color w:val="000000"/>
          <w:sz w:val="28"/>
          <w:rtl/>
        </w:rPr>
        <w:t>עצמו</w:t>
      </w:r>
      <w:r w:rsidRPr="00141B3C">
        <w:rPr>
          <w:rFonts w:ascii="FrankRuehl" w:hAnsi="FrankRuehl"/>
          <w:color w:val="000000"/>
          <w:sz w:val="28"/>
          <w:rtl/>
        </w:rPr>
        <w:t xml:space="preserve"> </w:t>
      </w:r>
      <w:r w:rsidRPr="00141B3C">
        <w:rPr>
          <w:rFonts w:ascii="FrankRuehl" w:hAnsi="FrankRuehl" w:hint="eastAsia"/>
          <w:color w:val="000000"/>
          <w:sz w:val="28"/>
          <w:rtl/>
        </w:rPr>
        <w:t>את</w:t>
      </w:r>
      <w:r w:rsidRPr="00141B3C">
        <w:rPr>
          <w:rFonts w:ascii="FrankRuehl" w:hAnsi="FrankRuehl"/>
          <w:color w:val="000000"/>
          <w:sz w:val="28"/>
          <w:rtl/>
        </w:rPr>
        <w:t xml:space="preserve"> </w:t>
      </w:r>
      <w:r w:rsidRPr="00141B3C">
        <w:rPr>
          <w:rFonts w:ascii="FrankRuehl" w:hAnsi="FrankRuehl" w:hint="eastAsia"/>
          <w:color w:val="000000"/>
          <w:sz w:val="28"/>
          <w:rtl/>
        </w:rPr>
        <w:t>הדין</w:t>
      </w:r>
      <w:r w:rsidRPr="00141B3C">
        <w:rPr>
          <w:rFonts w:ascii="FrankRuehl" w:hAnsi="FrankRuehl"/>
          <w:color w:val="000000"/>
          <w:sz w:val="28"/>
          <w:rtl/>
        </w:rPr>
        <w:t xml:space="preserve"> </w:t>
      </w:r>
      <w:r w:rsidRPr="00141B3C">
        <w:rPr>
          <w:rFonts w:ascii="FrankRuehl" w:hAnsi="FrankRuehl" w:hint="eastAsia"/>
          <w:color w:val="000000"/>
          <w:sz w:val="28"/>
          <w:rtl/>
        </w:rPr>
        <w:t>עובר</w:t>
      </w:r>
      <w:r w:rsidRPr="00141B3C">
        <w:rPr>
          <w:rFonts w:ascii="FrankRuehl" w:hAnsi="FrankRuehl"/>
          <w:color w:val="000000"/>
          <w:sz w:val="28"/>
          <w:rtl/>
        </w:rPr>
        <w:t xml:space="preserve"> </w:t>
      </w:r>
      <w:r w:rsidRPr="00141B3C">
        <w:rPr>
          <w:rFonts w:ascii="FrankRuehl" w:hAnsi="FrankRuehl" w:hint="eastAsia"/>
          <w:color w:val="000000"/>
          <w:sz w:val="28"/>
          <w:rtl/>
        </w:rPr>
        <w:t>להעברת</w:t>
      </w:r>
      <w:r w:rsidRPr="00141B3C">
        <w:rPr>
          <w:rFonts w:ascii="FrankRuehl" w:hAnsi="FrankRuehl"/>
          <w:color w:val="000000"/>
          <w:sz w:val="28"/>
          <w:rtl/>
        </w:rPr>
        <w:t xml:space="preserve"> </w:t>
      </w:r>
      <w:r w:rsidRPr="00141B3C">
        <w:rPr>
          <w:rFonts w:ascii="FrankRuehl" w:hAnsi="FrankRuehl" w:hint="eastAsia"/>
          <w:color w:val="000000"/>
          <w:sz w:val="28"/>
          <w:rtl/>
        </w:rPr>
        <w:t>ביקורת</w:t>
      </w:r>
      <w:r w:rsidRPr="00141B3C">
        <w:rPr>
          <w:rFonts w:ascii="FrankRuehl" w:hAnsi="FrankRuehl"/>
          <w:color w:val="000000"/>
          <w:sz w:val="28"/>
          <w:rtl/>
        </w:rPr>
        <w:t xml:space="preserve"> </w:t>
      </w:r>
      <w:r w:rsidRPr="00141B3C">
        <w:rPr>
          <w:rFonts w:ascii="FrankRuehl" w:hAnsi="FrankRuehl" w:hint="eastAsia"/>
          <w:color w:val="000000"/>
          <w:sz w:val="28"/>
          <w:rtl/>
        </w:rPr>
        <w:t>והחלת</w:t>
      </w:r>
      <w:r w:rsidRPr="00141B3C">
        <w:rPr>
          <w:rFonts w:ascii="FrankRuehl" w:hAnsi="FrankRuehl"/>
          <w:color w:val="000000"/>
          <w:sz w:val="28"/>
          <w:rtl/>
        </w:rPr>
        <w:t xml:space="preserve"> </w:t>
      </w:r>
      <w:r w:rsidRPr="00141B3C">
        <w:rPr>
          <w:rFonts w:ascii="FrankRuehl" w:hAnsi="FrankRuehl" w:hint="eastAsia"/>
          <w:color w:val="000000"/>
          <w:sz w:val="28"/>
          <w:rtl/>
        </w:rPr>
        <w:t>הדין</w:t>
      </w:r>
      <w:r w:rsidRPr="00141B3C">
        <w:rPr>
          <w:rFonts w:ascii="FrankRuehl" w:hAnsi="FrankRuehl"/>
          <w:color w:val="000000"/>
          <w:sz w:val="28"/>
          <w:rtl/>
        </w:rPr>
        <w:t xml:space="preserve"> </w:t>
      </w:r>
      <w:r w:rsidRPr="00141B3C">
        <w:rPr>
          <w:rFonts w:ascii="FrankRuehl" w:hAnsi="FrankRuehl" w:hint="eastAsia"/>
          <w:color w:val="000000"/>
          <w:sz w:val="28"/>
          <w:rtl/>
        </w:rPr>
        <w:t>על</w:t>
      </w:r>
      <w:r w:rsidRPr="00141B3C">
        <w:rPr>
          <w:rFonts w:ascii="FrankRuehl" w:hAnsi="FrankRuehl"/>
          <w:color w:val="000000"/>
          <w:sz w:val="28"/>
          <w:rtl/>
        </w:rPr>
        <w:t xml:space="preserve"> </w:t>
      </w:r>
      <w:r w:rsidRPr="00141B3C">
        <w:rPr>
          <w:rFonts w:ascii="FrankRuehl" w:hAnsi="FrankRuehl" w:hint="eastAsia"/>
          <w:color w:val="000000"/>
          <w:sz w:val="28"/>
          <w:rtl/>
        </w:rPr>
        <w:t>זולתו</w:t>
      </w:r>
      <w:r w:rsidRPr="00141B3C">
        <w:rPr>
          <w:rFonts w:ascii="FrankRuehl" w:hAnsi="FrankRuehl"/>
          <w:color w:val="000000"/>
          <w:sz w:val="28"/>
          <w:rtl/>
        </w:rPr>
        <w:t>. ודי לחכימא ברמיזא.</w:t>
      </w:r>
      <w:r>
        <w:rPr>
          <w:rFonts w:ascii="FrankRuehl" w:hAnsi="FrankRuehl" w:hint="cs"/>
          <w:color w:val="000000"/>
          <w:sz w:val="28"/>
          <w:rtl/>
        </w:rPr>
        <w:t xml:space="preserve"> או שמא לא </w:t>
      </w:r>
      <w:r w:rsidRPr="003E283F">
        <w:rPr>
          <w:rFonts w:ascii="FrankRuehl" w:hAnsi="FrankRuehl" w:hint="eastAsia"/>
          <w:color w:val="000000"/>
          <w:sz w:val="28"/>
          <w:rtl/>
        </w:rPr>
        <w:t>די</w:t>
      </w:r>
      <w:r>
        <w:rPr>
          <w:rFonts w:ascii="FrankRuehl" w:hAnsi="FrankRuehl" w:hint="cs"/>
          <w:color w:val="000000"/>
          <w:sz w:val="28"/>
          <w:rtl/>
        </w:rPr>
        <w:t>.</w:t>
      </w:r>
    </w:p>
    <w:p w:rsidR="00737972" w:rsidRDefault="00737972" w:rsidP="00737972">
      <w:pPr>
        <w:pStyle w:val="Ruller41"/>
        <w:rPr>
          <w:rFonts w:ascii="David" w:hAnsi="David" w:cs="David"/>
          <w:color w:val="000000"/>
          <w:sz w:val="24"/>
          <w:szCs w:val="24"/>
          <w:rtl/>
        </w:rPr>
      </w:pPr>
    </w:p>
    <w:p w:rsidR="00737972" w:rsidRPr="008F14FC" w:rsidRDefault="00737972" w:rsidP="00737972">
      <w:pPr>
        <w:pStyle w:val="Ruller4"/>
        <w:numPr>
          <w:ilvl w:val="0"/>
          <w:numId w:val="0"/>
        </w:numPr>
        <w:rPr>
          <w:rFonts w:ascii="Century" w:hAnsi="Century" w:cs="Miriam"/>
          <w:b/>
          <w:spacing w:val="0"/>
          <w:sz w:val="22"/>
          <w:szCs w:val="24"/>
          <w:rtl/>
        </w:rPr>
      </w:pPr>
      <w:r>
        <w:rPr>
          <w:rFonts w:ascii="Century" w:hAnsi="Century" w:cs="Miriam" w:hint="cs"/>
          <w:b/>
          <w:spacing w:val="0"/>
          <w:sz w:val="22"/>
          <w:szCs w:val="24"/>
          <w:rtl/>
        </w:rPr>
        <w:t xml:space="preserve">מקור סמכות </w:t>
      </w:r>
      <w:r>
        <w:rPr>
          <w:rFonts w:ascii="Century" w:hAnsi="Century" w:cs="Miriam"/>
          <w:b/>
          <w:spacing w:val="0"/>
          <w:sz w:val="22"/>
          <w:szCs w:val="24"/>
          <w:rtl/>
        </w:rPr>
        <w:t>–</w:t>
      </w:r>
      <w:r>
        <w:rPr>
          <w:rFonts w:ascii="Century" w:hAnsi="Century" w:cs="Miriam" w:hint="cs"/>
          <w:b/>
          <w:spacing w:val="0"/>
          <w:sz w:val="22"/>
          <w:szCs w:val="24"/>
          <w:rtl/>
        </w:rPr>
        <w:t xml:space="preserve"> </w:t>
      </w:r>
      <w:r w:rsidRPr="008F14FC">
        <w:rPr>
          <w:rFonts w:ascii="Century" w:hAnsi="Century" w:cs="Miriam" w:hint="cs"/>
          <w:b/>
          <w:spacing w:val="0"/>
          <w:sz w:val="22"/>
          <w:szCs w:val="24"/>
          <w:rtl/>
        </w:rPr>
        <w:t>אין</w:t>
      </w:r>
    </w:p>
    <w:p w:rsidR="00737972" w:rsidRDefault="00737972" w:rsidP="00737972">
      <w:pPr>
        <w:pStyle w:val="Ruller4"/>
      </w:pPr>
      <w:r>
        <w:rPr>
          <w:rFonts w:hint="cs"/>
          <w:rtl/>
        </w:rPr>
        <w:t xml:space="preserve">אין חולק כי חוקי היסוד בישראל אינם מקנים סמכות </w:t>
      </w:r>
      <w:r w:rsidRPr="008F14FC">
        <w:rPr>
          <w:rFonts w:ascii="Century" w:hAnsi="Century" w:cs="Miriam" w:hint="cs"/>
          <w:b/>
          <w:spacing w:val="0"/>
          <w:sz w:val="22"/>
          <w:szCs w:val="24"/>
          <w:rtl/>
        </w:rPr>
        <w:t>מפורשת</w:t>
      </w:r>
      <w:r w:rsidRPr="008F14FC">
        <w:rPr>
          <w:rFonts w:hint="cs"/>
          <w:rtl/>
        </w:rPr>
        <w:t xml:space="preserve"> </w:t>
      </w:r>
      <w:r>
        <w:rPr>
          <w:rFonts w:hint="cs"/>
          <w:rtl/>
        </w:rPr>
        <w:t xml:space="preserve">לבית המשפט לערוך ביקורת שיפוטית מהותית על חוקי היסוד. אין בחוקי היסוד כל הוראה בנוגע למגבלות כלשהן המוטלות על הכנסת בבואה לחוקק חוקי יסוד, ואין בהם כל הוראה המסמיכה גוף שיפוטי כלשהו, לרבות בית משפט זה, לפסול חוק יסוד. הדברים בעיניי פשוטים, נהירים ומובנים, ואולם נוכח החשיבות הרבה שיוחסה לנושא זה בעתירות דנן, שבתי ועיינתי היטב בחוקי היסוד שנחקקו בישראל כדי להתרשם שמא נעלמה ממני </w:t>
      </w:r>
      <w:r>
        <w:rPr>
          <w:rFonts w:hint="cs"/>
          <w:rtl/>
        </w:rPr>
        <w:lastRenderedPageBreak/>
        <w:t xml:space="preserve">הלכה. עיינתי ולא מצאתי. הדברים ברורים ונחרצים: אין מקור סמכות המאפשר לבית משפט זה לדון בתוקפו של חוק יסוד, ובוודאי שלא לפסול אותו. </w:t>
      </w:r>
    </w:p>
    <w:p w:rsidR="00737972" w:rsidRDefault="00737972" w:rsidP="00737972">
      <w:pPr>
        <w:pStyle w:val="Ruller4"/>
        <w:numPr>
          <w:ilvl w:val="0"/>
          <w:numId w:val="0"/>
        </w:numPr>
        <w:rPr>
          <w:rtl/>
        </w:rPr>
      </w:pPr>
    </w:p>
    <w:p w:rsidR="00737972" w:rsidRDefault="00737972" w:rsidP="00737972">
      <w:pPr>
        <w:pStyle w:val="Ruller4"/>
        <w:numPr>
          <w:ilvl w:val="0"/>
          <w:numId w:val="0"/>
        </w:numPr>
        <w:rPr>
          <w:rtl/>
        </w:rPr>
      </w:pPr>
      <w:r>
        <w:rPr>
          <w:rtl/>
        </w:rPr>
        <w:tab/>
      </w:r>
      <w:r>
        <w:rPr>
          <w:rFonts w:hint="cs"/>
          <w:rtl/>
        </w:rPr>
        <w:t xml:space="preserve">לא מצאתי, לא בחומר הרב שהונח לפנינו ולא בחוות דעתם של חבריי, תשובה מספקת לשאלה כה בסיסית, יסודית והכרחית שאמורה לעמוד בבסיסו של כל דיון משפטי כגון זה, והמסמיכה אותנו לערוך דיון מן הסוג שחבריי מבקשים לערוך. לא מצאתי תשובה הולמת לשאלה זו, ואף לא קצה חוט לפתרון. על כך אעמוד בהרחבה להלן, ואתחיל מהבסיס </w:t>
      </w:r>
      <w:r>
        <w:rPr>
          <w:rtl/>
        </w:rPr>
        <w:t>–</w:t>
      </w:r>
      <w:r>
        <w:rPr>
          <w:rFonts w:hint="cs"/>
          <w:rtl/>
        </w:rPr>
        <w:t xml:space="preserve"> שהוא גם נקודת המוצא לדיון, בעניין סמכותו של בית משפט זה לבקר חוקים "רגילים".</w:t>
      </w:r>
    </w:p>
    <w:p w:rsidR="00737972" w:rsidRDefault="00737972" w:rsidP="00737972">
      <w:pPr>
        <w:pStyle w:val="Ruller41"/>
        <w:rPr>
          <w:rtl/>
        </w:rPr>
      </w:pPr>
    </w:p>
    <w:p w:rsidR="00737972" w:rsidRDefault="00737972" w:rsidP="00737972">
      <w:pPr>
        <w:pStyle w:val="Ruller4"/>
      </w:pPr>
      <w:r>
        <w:rPr>
          <w:rFonts w:hint="cs"/>
          <w:rtl/>
        </w:rPr>
        <w:t>ואקדים דבר. מודע אני, כפי שהצבעתי בעבר בעניין יישום הוראת סעיף 7א לחוק יסוד: הכנסת, שדעתי לא נשמעה ומצאתי עצמי "כקול קורא במדבר" (</w:t>
      </w:r>
      <w:r w:rsidRPr="005237B6">
        <w:rPr>
          <w:rFonts w:hint="eastAsia"/>
          <w:rtl/>
        </w:rPr>
        <w:t>א</w:t>
      </w:r>
      <w:r>
        <w:rPr>
          <w:rFonts w:hint="cs"/>
          <w:rtl/>
        </w:rPr>
        <w:t>"</w:t>
      </w:r>
      <w:r w:rsidRPr="005237B6">
        <w:rPr>
          <w:rFonts w:hint="eastAsia"/>
          <w:rtl/>
        </w:rPr>
        <w:t>ב</w:t>
      </w:r>
      <w:r>
        <w:rPr>
          <w:rtl/>
        </w:rPr>
        <w:t xml:space="preserve"> 1156/21</w:t>
      </w:r>
      <w:r>
        <w:rPr>
          <w:rFonts w:hint="cs"/>
          <w:rtl/>
        </w:rPr>
        <w:t xml:space="preserve"> </w:t>
      </w:r>
      <w:r w:rsidRPr="006E4E1F">
        <w:rPr>
          <w:rFonts w:ascii="Century" w:hAnsi="Century" w:cs="Miriam" w:hint="eastAsia"/>
          <w:b/>
          <w:spacing w:val="0"/>
          <w:sz w:val="22"/>
          <w:szCs w:val="24"/>
          <w:rtl/>
        </w:rPr>
        <w:t>ועדת</w:t>
      </w:r>
      <w:r w:rsidRPr="006E4E1F">
        <w:rPr>
          <w:rFonts w:ascii="Century" w:hAnsi="Century" w:cs="Miriam"/>
          <w:b/>
          <w:spacing w:val="0"/>
          <w:sz w:val="22"/>
          <w:szCs w:val="24"/>
          <w:rtl/>
        </w:rPr>
        <w:t xml:space="preserve"> </w:t>
      </w:r>
      <w:r w:rsidRPr="006E4E1F">
        <w:rPr>
          <w:rFonts w:ascii="Century" w:hAnsi="Century" w:cs="Miriam" w:hint="eastAsia"/>
          <w:b/>
          <w:spacing w:val="0"/>
          <w:sz w:val="22"/>
          <w:szCs w:val="24"/>
          <w:rtl/>
        </w:rPr>
        <w:t>הבחירות</w:t>
      </w:r>
      <w:r w:rsidRPr="006E4E1F">
        <w:rPr>
          <w:rFonts w:ascii="Century" w:hAnsi="Century" w:cs="Miriam"/>
          <w:b/>
          <w:spacing w:val="0"/>
          <w:sz w:val="22"/>
          <w:szCs w:val="24"/>
          <w:rtl/>
        </w:rPr>
        <w:t xml:space="preserve"> </w:t>
      </w:r>
      <w:r w:rsidRPr="006E4E1F">
        <w:rPr>
          <w:rFonts w:ascii="Century" w:hAnsi="Century" w:cs="Miriam" w:hint="eastAsia"/>
          <w:b/>
          <w:spacing w:val="0"/>
          <w:sz w:val="22"/>
          <w:szCs w:val="24"/>
          <w:rtl/>
        </w:rPr>
        <w:t>המרכזית</w:t>
      </w:r>
      <w:r w:rsidRPr="006E4E1F">
        <w:rPr>
          <w:rFonts w:ascii="Century" w:hAnsi="Century" w:cs="Miriam"/>
          <w:b/>
          <w:spacing w:val="0"/>
          <w:sz w:val="22"/>
          <w:szCs w:val="24"/>
          <w:rtl/>
        </w:rPr>
        <w:t xml:space="preserve"> </w:t>
      </w:r>
      <w:r w:rsidRPr="006E4E1F">
        <w:rPr>
          <w:rFonts w:ascii="Century" w:hAnsi="Century" w:cs="Miriam" w:hint="eastAsia"/>
          <w:b/>
          <w:spacing w:val="0"/>
          <w:sz w:val="22"/>
          <w:szCs w:val="24"/>
          <w:rtl/>
        </w:rPr>
        <w:t>לכנסת</w:t>
      </w:r>
      <w:r w:rsidRPr="006E4E1F">
        <w:rPr>
          <w:rFonts w:ascii="Century" w:hAnsi="Century" w:cs="Miriam"/>
          <w:b/>
          <w:spacing w:val="0"/>
          <w:sz w:val="22"/>
          <w:szCs w:val="24"/>
          <w:rtl/>
        </w:rPr>
        <w:t xml:space="preserve"> </w:t>
      </w:r>
      <w:r w:rsidRPr="006E4E1F">
        <w:rPr>
          <w:rFonts w:ascii="Century" w:hAnsi="Century" w:cs="Miriam" w:hint="eastAsia"/>
          <w:b/>
          <w:spacing w:val="0"/>
          <w:sz w:val="22"/>
          <w:szCs w:val="24"/>
          <w:rtl/>
        </w:rPr>
        <w:t>ה</w:t>
      </w:r>
      <w:r w:rsidRPr="006E4E1F">
        <w:rPr>
          <w:rFonts w:ascii="Century" w:hAnsi="Century" w:cs="Miriam"/>
          <w:b/>
          <w:spacing w:val="0"/>
          <w:sz w:val="22"/>
          <w:szCs w:val="24"/>
          <w:rtl/>
        </w:rPr>
        <w:t xml:space="preserve">-24 </w:t>
      </w:r>
      <w:r w:rsidRPr="006E4E1F">
        <w:rPr>
          <w:rFonts w:ascii="Century" w:hAnsi="Century" w:cs="Miriam" w:hint="eastAsia"/>
          <w:b/>
          <w:spacing w:val="0"/>
          <w:sz w:val="22"/>
          <w:szCs w:val="24"/>
          <w:rtl/>
        </w:rPr>
        <w:t>נ</w:t>
      </w:r>
      <w:r w:rsidRPr="006E4E1F">
        <w:rPr>
          <w:rFonts w:ascii="Century" w:hAnsi="Century" w:cs="Miriam"/>
          <w:b/>
          <w:spacing w:val="0"/>
          <w:sz w:val="22"/>
          <w:szCs w:val="24"/>
          <w:rtl/>
        </w:rPr>
        <w:t xml:space="preserve">' </w:t>
      </w:r>
      <w:r w:rsidRPr="006E4E1F">
        <w:rPr>
          <w:rFonts w:ascii="Century" w:hAnsi="Century" w:cs="Miriam" w:hint="eastAsia"/>
          <w:b/>
          <w:spacing w:val="0"/>
          <w:sz w:val="22"/>
          <w:szCs w:val="24"/>
          <w:rtl/>
        </w:rPr>
        <w:t>מראענה</w:t>
      </w:r>
      <w:r>
        <w:rPr>
          <w:rFonts w:hint="cs"/>
          <w:rtl/>
        </w:rPr>
        <w:t xml:space="preserve"> (28.2.2021) (להלן: עניין </w:t>
      </w:r>
      <w:r w:rsidRPr="006E4E1F">
        <w:rPr>
          <w:rFonts w:ascii="Century" w:hAnsi="Century" w:cs="Miriam" w:hint="eastAsia"/>
          <w:b/>
          <w:spacing w:val="0"/>
          <w:sz w:val="22"/>
          <w:szCs w:val="24"/>
          <w:rtl/>
        </w:rPr>
        <w:t>מראענה</w:t>
      </w:r>
      <w:r>
        <w:rPr>
          <w:rFonts w:hint="cs"/>
          <w:rtl/>
        </w:rPr>
        <w:t>)). הפעם חש אני כי הנני לא רק קול קורא במדבר אלא בבחינת הנער שקורא בקול צלול וברור: "המלך הוא עירום" (</w:t>
      </w:r>
      <w:r w:rsidRPr="000E1A21">
        <w:rPr>
          <w:rFonts w:hint="eastAsia"/>
          <w:rtl/>
        </w:rPr>
        <w:t>הנס</w:t>
      </w:r>
      <w:r w:rsidRPr="000E1A21">
        <w:rPr>
          <w:rtl/>
        </w:rPr>
        <w:t xml:space="preserve"> </w:t>
      </w:r>
      <w:r w:rsidRPr="000E1A21">
        <w:rPr>
          <w:rFonts w:hint="eastAsia"/>
          <w:rtl/>
        </w:rPr>
        <w:t>כריסטיאן</w:t>
      </w:r>
      <w:r w:rsidRPr="000E1A21">
        <w:rPr>
          <w:rtl/>
        </w:rPr>
        <w:t xml:space="preserve"> </w:t>
      </w:r>
      <w:r w:rsidRPr="000E1A21">
        <w:rPr>
          <w:rFonts w:hint="eastAsia"/>
          <w:rtl/>
        </w:rPr>
        <w:t>אנדרסן</w:t>
      </w:r>
      <w:r>
        <w:rPr>
          <w:rFonts w:hint="cs"/>
          <w:rtl/>
        </w:rPr>
        <w:t xml:space="preserve"> </w:t>
      </w:r>
      <w:r w:rsidRPr="003E283F">
        <w:rPr>
          <w:rFonts w:ascii="Century" w:hAnsi="Century" w:cs="Miriam" w:hint="cs"/>
          <w:b/>
          <w:spacing w:val="0"/>
          <w:sz w:val="22"/>
          <w:szCs w:val="24"/>
          <w:rtl/>
        </w:rPr>
        <w:t>בגדי המלך החדשים</w:t>
      </w:r>
      <w:r>
        <w:rPr>
          <w:rFonts w:hint="cs"/>
          <w:rtl/>
        </w:rPr>
        <w:t xml:space="preserve"> (</w:t>
      </w:r>
      <w:r w:rsidRPr="000E1A21">
        <w:rPr>
          <w:rtl/>
        </w:rPr>
        <w:t>1837</w:t>
      </w:r>
      <w:r>
        <w:rPr>
          <w:rFonts w:hint="cs"/>
          <w:rtl/>
        </w:rPr>
        <w:t>))</w:t>
      </w:r>
      <w:r w:rsidRPr="000E1A21">
        <w:rPr>
          <w:rtl/>
        </w:rPr>
        <w:t>.</w:t>
      </w:r>
      <w:r>
        <w:rPr>
          <w:rFonts w:hint="cs"/>
          <w:rtl/>
        </w:rPr>
        <w:t xml:space="preserve"> ברם לעתים אין מנוס "ו</w:t>
      </w:r>
      <w:r w:rsidRPr="00D270A9">
        <w:rPr>
          <w:rFonts w:hint="eastAsia"/>
          <w:rtl/>
        </w:rPr>
        <w:t>אי</w:t>
      </w:r>
      <w:r w:rsidRPr="00D270A9">
        <w:rPr>
          <w:rtl/>
        </w:rPr>
        <w:t xml:space="preserve"> </w:t>
      </w:r>
      <w:r w:rsidRPr="00D270A9">
        <w:rPr>
          <w:rFonts w:hint="eastAsia"/>
          <w:rtl/>
        </w:rPr>
        <w:t>לאו</w:t>
      </w:r>
      <w:r w:rsidRPr="00D270A9">
        <w:rPr>
          <w:rtl/>
        </w:rPr>
        <w:t xml:space="preserve"> </w:t>
      </w:r>
      <w:r w:rsidRPr="00D270A9">
        <w:rPr>
          <w:rFonts w:hint="eastAsia"/>
          <w:rtl/>
        </w:rPr>
        <w:t>דדלאי</w:t>
      </w:r>
      <w:r w:rsidRPr="00D270A9">
        <w:rPr>
          <w:rtl/>
        </w:rPr>
        <w:t xml:space="preserve"> </w:t>
      </w:r>
      <w:r w:rsidRPr="00D270A9">
        <w:rPr>
          <w:rFonts w:hint="eastAsia"/>
          <w:rtl/>
        </w:rPr>
        <w:t>לך</w:t>
      </w:r>
      <w:r w:rsidRPr="00D270A9">
        <w:rPr>
          <w:rtl/>
        </w:rPr>
        <w:t xml:space="preserve"> </w:t>
      </w:r>
      <w:r w:rsidRPr="00D270A9">
        <w:rPr>
          <w:rFonts w:hint="eastAsia"/>
          <w:rtl/>
        </w:rPr>
        <w:t>חספא</w:t>
      </w:r>
      <w:r>
        <w:rPr>
          <w:rFonts w:hint="cs"/>
          <w:rtl/>
        </w:rPr>
        <w:t>,</w:t>
      </w:r>
      <w:r w:rsidRPr="00D270A9">
        <w:rPr>
          <w:rtl/>
        </w:rPr>
        <w:t xml:space="preserve"> </w:t>
      </w:r>
      <w:r>
        <w:rPr>
          <w:rFonts w:hint="cs"/>
          <w:rtl/>
        </w:rPr>
        <w:t xml:space="preserve">לא </w:t>
      </w:r>
      <w:r w:rsidRPr="00D270A9">
        <w:rPr>
          <w:rFonts w:hint="eastAsia"/>
          <w:rtl/>
        </w:rPr>
        <w:t>משכחת</w:t>
      </w:r>
      <w:r w:rsidRPr="00D270A9">
        <w:rPr>
          <w:rtl/>
        </w:rPr>
        <w:t xml:space="preserve"> </w:t>
      </w:r>
      <w:r w:rsidRPr="00D270A9">
        <w:rPr>
          <w:rFonts w:hint="eastAsia"/>
          <w:rtl/>
        </w:rPr>
        <w:t>מרגניתא</w:t>
      </w:r>
      <w:r w:rsidRPr="00D270A9">
        <w:rPr>
          <w:rtl/>
        </w:rPr>
        <w:t xml:space="preserve"> </w:t>
      </w:r>
      <w:r w:rsidRPr="00D270A9">
        <w:rPr>
          <w:rFonts w:hint="eastAsia"/>
          <w:rtl/>
        </w:rPr>
        <w:t>תותה</w:t>
      </w:r>
      <w:r>
        <w:rPr>
          <w:rFonts w:hint="cs"/>
          <w:rtl/>
        </w:rPr>
        <w:t xml:space="preserve">" (אילולי הייתי מרים את החרס מהקרקע </w:t>
      </w:r>
      <w:r>
        <w:rPr>
          <w:rFonts w:hint="eastAsia"/>
          <w:rtl/>
        </w:rPr>
        <w:t>עבור</w:t>
      </w:r>
      <w:r>
        <w:rPr>
          <w:rFonts w:hint="cs"/>
          <w:rtl/>
        </w:rPr>
        <w:t xml:space="preserve"> זולתי, המרגלית החבויה תחתיו לא הייתה נמצאת) (בבלי, </w:t>
      </w:r>
      <w:r w:rsidRPr="006E4E1F">
        <w:rPr>
          <w:rFonts w:ascii="Century" w:hAnsi="Century" w:cs="Miriam" w:hint="cs"/>
          <w:b/>
          <w:spacing w:val="0"/>
          <w:sz w:val="22"/>
          <w:szCs w:val="24"/>
          <w:rtl/>
        </w:rPr>
        <w:t>בבא מציעא</w:t>
      </w:r>
      <w:r w:rsidRPr="006E4E1F">
        <w:rPr>
          <w:rFonts w:hint="cs"/>
          <w:rtl/>
        </w:rPr>
        <w:t xml:space="preserve"> </w:t>
      </w:r>
      <w:r>
        <w:rPr>
          <w:rFonts w:hint="cs"/>
          <w:rtl/>
        </w:rPr>
        <w:t>יז, ע"ב). בעיניי</w:t>
      </w:r>
      <w:r w:rsidRPr="006E4E1F">
        <w:rPr>
          <w:rtl/>
        </w:rPr>
        <w:t xml:space="preserve"> </w:t>
      </w:r>
      <w:r w:rsidRPr="006E4E1F">
        <w:rPr>
          <w:rFonts w:hint="cs"/>
          <w:rtl/>
        </w:rPr>
        <w:t>נראה כי לעניין חוות דעתם של חברי</w:t>
      </w:r>
      <w:r>
        <w:rPr>
          <w:rFonts w:hint="cs"/>
          <w:rtl/>
        </w:rPr>
        <w:t>י</w:t>
      </w:r>
      <w:r w:rsidRPr="006E4E1F">
        <w:rPr>
          <w:rFonts w:hint="cs"/>
          <w:rtl/>
        </w:rPr>
        <w:t xml:space="preserve"> </w:t>
      </w:r>
      <w:r>
        <w:rPr>
          <w:rFonts w:hint="cs"/>
          <w:rtl/>
        </w:rPr>
        <w:t xml:space="preserve">יפה הביטוי "לפום חורפא שבשתא" (שמחמת חריפותם נקלעו לכלל טעות) (בבלי, </w:t>
      </w:r>
      <w:r w:rsidRPr="00EF6488">
        <w:rPr>
          <w:rFonts w:ascii="Century" w:hAnsi="Century" w:cs="Miriam" w:hint="cs"/>
          <w:b/>
          <w:spacing w:val="0"/>
          <w:sz w:val="22"/>
          <w:szCs w:val="24"/>
          <w:rtl/>
        </w:rPr>
        <w:t>נדה</w:t>
      </w:r>
      <w:r w:rsidRPr="00EF6488">
        <w:rPr>
          <w:rFonts w:hint="cs"/>
          <w:rtl/>
        </w:rPr>
        <w:t xml:space="preserve"> </w:t>
      </w:r>
      <w:r>
        <w:rPr>
          <w:rFonts w:hint="cs"/>
          <w:rtl/>
        </w:rPr>
        <w:t>לג, ע"ב).</w:t>
      </w:r>
    </w:p>
    <w:p w:rsidR="00737972" w:rsidRPr="0090010E" w:rsidRDefault="00737972" w:rsidP="00737972">
      <w:pPr>
        <w:pStyle w:val="Ruller4"/>
        <w:numPr>
          <w:ilvl w:val="0"/>
          <w:numId w:val="0"/>
        </w:numPr>
      </w:pPr>
    </w:p>
    <w:p w:rsidR="00737972" w:rsidRDefault="00737972" w:rsidP="00737972">
      <w:pPr>
        <w:pStyle w:val="Ruller4"/>
      </w:pPr>
      <w:r>
        <w:rPr>
          <w:rFonts w:hint="cs"/>
          <w:rtl/>
        </w:rPr>
        <w:t xml:space="preserve">נקודת המוצא, </w:t>
      </w:r>
      <w:r>
        <w:rPr>
          <w:rFonts w:hint="eastAsia"/>
          <w:rtl/>
        </w:rPr>
        <w:t>כפי</w:t>
      </w:r>
      <w:r>
        <w:rPr>
          <w:rtl/>
        </w:rPr>
        <w:t xml:space="preserve"> </w:t>
      </w:r>
      <w:r>
        <w:rPr>
          <w:rFonts w:hint="eastAsia"/>
          <w:rtl/>
        </w:rPr>
        <w:t>שציינתי</w:t>
      </w:r>
      <w:r>
        <w:rPr>
          <w:rtl/>
        </w:rPr>
        <w:t xml:space="preserve"> </w:t>
      </w:r>
      <w:r>
        <w:rPr>
          <w:rFonts w:hint="cs"/>
          <w:rtl/>
        </w:rPr>
        <w:t xml:space="preserve">בעבר, היא כי </w:t>
      </w:r>
      <w:r>
        <w:rPr>
          <w:rFonts w:hint="eastAsia"/>
          <w:rtl/>
        </w:rPr>
        <w:t>שאלת</w:t>
      </w:r>
      <w:r>
        <w:rPr>
          <w:rtl/>
        </w:rPr>
        <w:t xml:space="preserve"> </w:t>
      </w:r>
      <w:r>
        <w:rPr>
          <w:rFonts w:hint="eastAsia"/>
          <w:rtl/>
        </w:rPr>
        <w:t>סמכותו</w:t>
      </w:r>
      <w:r>
        <w:rPr>
          <w:rtl/>
        </w:rPr>
        <w:t xml:space="preserve"> </w:t>
      </w:r>
      <w:r>
        <w:rPr>
          <w:rFonts w:hint="eastAsia"/>
          <w:rtl/>
        </w:rPr>
        <w:t>של</w:t>
      </w:r>
      <w:r>
        <w:rPr>
          <w:rtl/>
        </w:rPr>
        <w:t xml:space="preserve"> </w:t>
      </w:r>
      <w:r>
        <w:rPr>
          <w:rFonts w:hint="eastAsia"/>
          <w:rtl/>
        </w:rPr>
        <w:t>בית</w:t>
      </w:r>
      <w:r>
        <w:rPr>
          <w:rtl/>
        </w:rPr>
        <w:t xml:space="preserve"> </w:t>
      </w:r>
      <w:r>
        <w:rPr>
          <w:rFonts w:hint="eastAsia"/>
          <w:rtl/>
        </w:rPr>
        <w:t>משפט</w:t>
      </w:r>
      <w:r>
        <w:rPr>
          <w:rtl/>
        </w:rPr>
        <w:t xml:space="preserve"> </w:t>
      </w:r>
      <w:r>
        <w:rPr>
          <w:rFonts w:hint="cs"/>
          <w:rtl/>
        </w:rPr>
        <w:t xml:space="preserve">זה </w:t>
      </w:r>
      <w:r>
        <w:rPr>
          <w:rFonts w:hint="eastAsia"/>
          <w:rtl/>
        </w:rPr>
        <w:t>לבקר</w:t>
      </w:r>
      <w:r>
        <w:rPr>
          <w:rtl/>
        </w:rPr>
        <w:t xml:space="preserve"> </w:t>
      </w:r>
      <w:r>
        <w:rPr>
          <w:rFonts w:hint="eastAsia"/>
          <w:rtl/>
        </w:rPr>
        <w:t>חוקים</w:t>
      </w:r>
      <w:r>
        <w:rPr>
          <w:rtl/>
        </w:rPr>
        <w:t xml:space="preserve"> </w:t>
      </w:r>
      <w:r w:rsidRPr="007313ED">
        <w:rPr>
          <w:rFonts w:ascii="Century" w:hAnsi="Century" w:cs="Miriam" w:hint="cs"/>
          <w:b/>
          <w:spacing w:val="0"/>
          <w:sz w:val="22"/>
          <w:szCs w:val="24"/>
          <w:rtl/>
        </w:rPr>
        <w:t>רגילים</w:t>
      </w:r>
      <w:r>
        <w:rPr>
          <w:rFonts w:hint="cs"/>
          <w:rtl/>
        </w:rPr>
        <w:t xml:space="preserve"> </w:t>
      </w:r>
      <w:r>
        <w:rPr>
          <w:rFonts w:hint="eastAsia"/>
          <w:rtl/>
        </w:rPr>
        <w:t>אינה</w:t>
      </w:r>
      <w:r>
        <w:rPr>
          <w:rtl/>
        </w:rPr>
        <w:t xml:space="preserve"> </w:t>
      </w:r>
      <w:r>
        <w:rPr>
          <w:rFonts w:hint="eastAsia"/>
          <w:rtl/>
        </w:rPr>
        <w:t>מושתתת</w:t>
      </w:r>
      <w:r>
        <w:rPr>
          <w:rFonts w:hint="cs"/>
          <w:rtl/>
        </w:rPr>
        <w:t>,</w:t>
      </w:r>
      <w:r>
        <w:rPr>
          <w:rtl/>
        </w:rPr>
        <w:t xml:space="preserve"> </w:t>
      </w:r>
      <w:r>
        <w:rPr>
          <w:rFonts w:hint="cs"/>
          <w:rtl/>
        </w:rPr>
        <w:t xml:space="preserve">במלוא הצניעות, </w:t>
      </w:r>
      <w:r>
        <w:rPr>
          <w:rFonts w:hint="eastAsia"/>
          <w:rtl/>
        </w:rPr>
        <w:t>על</w:t>
      </w:r>
      <w:r>
        <w:rPr>
          <w:rtl/>
        </w:rPr>
        <w:t xml:space="preserve"> </w:t>
      </w:r>
      <w:r>
        <w:rPr>
          <w:rFonts w:hint="eastAsia"/>
          <w:rtl/>
        </w:rPr>
        <w:t>יסודות</w:t>
      </w:r>
      <w:r>
        <w:rPr>
          <w:rtl/>
        </w:rPr>
        <w:t xml:space="preserve"> </w:t>
      </w:r>
      <w:r>
        <w:rPr>
          <w:rFonts w:hint="cs"/>
          <w:rtl/>
        </w:rPr>
        <w:t>איתנים</w:t>
      </w:r>
      <w:r>
        <w:rPr>
          <w:rtl/>
        </w:rPr>
        <w:t xml:space="preserve">. </w:t>
      </w:r>
      <w:r>
        <w:rPr>
          <w:rFonts w:hint="eastAsia"/>
          <w:rtl/>
        </w:rPr>
        <w:t>וזאת</w:t>
      </w:r>
      <w:r>
        <w:rPr>
          <w:rtl/>
        </w:rPr>
        <w:t xml:space="preserve"> </w:t>
      </w:r>
      <w:r>
        <w:rPr>
          <w:rFonts w:hint="eastAsia"/>
          <w:rtl/>
        </w:rPr>
        <w:t>על</w:t>
      </w:r>
      <w:r>
        <w:rPr>
          <w:rtl/>
        </w:rPr>
        <w:t xml:space="preserve"> </w:t>
      </w:r>
      <w:r>
        <w:rPr>
          <w:rFonts w:hint="eastAsia"/>
          <w:rtl/>
        </w:rPr>
        <w:t>אף</w:t>
      </w:r>
      <w:r>
        <w:rPr>
          <w:rtl/>
        </w:rPr>
        <w:t xml:space="preserve"> </w:t>
      </w:r>
      <w:r>
        <w:rPr>
          <w:rFonts w:hint="eastAsia"/>
          <w:rtl/>
        </w:rPr>
        <w:t>שאין</w:t>
      </w:r>
      <w:r>
        <w:rPr>
          <w:rtl/>
        </w:rPr>
        <w:t xml:space="preserve"> </w:t>
      </w:r>
      <w:r>
        <w:rPr>
          <w:rFonts w:hint="eastAsia"/>
          <w:rtl/>
        </w:rPr>
        <w:t>מדובר</w:t>
      </w:r>
      <w:r>
        <w:rPr>
          <w:rtl/>
        </w:rPr>
        <w:t xml:space="preserve"> </w:t>
      </w:r>
      <w:r>
        <w:rPr>
          <w:rFonts w:hint="eastAsia"/>
          <w:rtl/>
        </w:rPr>
        <w:t>בשאלה</w:t>
      </w:r>
      <w:r>
        <w:rPr>
          <w:rtl/>
        </w:rPr>
        <w:t xml:space="preserve"> </w:t>
      </w:r>
      <w:r>
        <w:rPr>
          <w:rFonts w:hint="eastAsia"/>
          <w:rtl/>
        </w:rPr>
        <w:t>משנית</w:t>
      </w:r>
      <w:r>
        <w:rPr>
          <w:rtl/>
        </w:rPr>
        <w:t xml:space="preserve"> </w:t>
      </w:r>
      <w:r>
        <w:rPr>
          <w:rFonts w:hint="eastAsia"/>
          <w:rtl/>
        </w:rPr>
        <w:t>כי</w:t>
      </w:r>
      <w:r>
        <w:rPr>
          <w:rtl/>
        </w:rPr>
        <w:t xml:space="preserve"> </w:t>
      </w:r>
      <w:r>
        <w:rPr>
          <w:rFonts w:hint="eastAsia"/>
          <w:rtl/>
        </w:rPr>
        <w:t>אם</w:t>
      </w:r>
      <w:r>
        <w:rPr>
          <w:rtl/>
        </w:rPr>
        <w:t xml:space="preserve"> </w:t>
      </w:r>
      <w:r>
        <w:rPr>
          <w:rFonts w:hint="eastAsia"/>
          <w:rtl/>
        </w:rPr>
        <w:t>בשאלה</w:t>
      </w:r>
      <w:r>
        <w:rPr>
          <w:rtl/>
        </w:rPr>
        <w:t xml:space="preserve"> </w:t>
      </w:r>
      <w:r>
        <w:rPr>
          <w:rFonts w:hint="eastAsia"/>
          <w:rtl/>
        </w:rPr>
        <w:t>יסודית</w:t>
      </w:r>
      <w:r>
        <w:rPr>
          <w:rtl/>
        </w:rPr>
        <w:t xml:space="preserve"> </w:t>
      </w:r>
      <w:r>
        <w:rPr>
          <w:rFonts w:hint="eastAsia"/>
          <w:rtl/>
        </w:rPr>
        <w:t>שהיה</w:t>
      </w:r>
      <w:r>
        <w:rPr>
          <w:rtl/>
        </w:rPr>
        <w:t xml:space="preserve"> </w:t>
      </w:r>
      <w:r>
        <w:rPr>
          <w:rFonts w:hint="eastAsia"/>
          <w:rtl/>
        </w:rPr>
        <w:t>ראוי</w:t>
      </w:r>
      <w:r>
        <w:rPr>
          <w:rtl/>
        </w:rPr>
        <w:t xml:space="preserve"> </w:t>
      </w:r>
      <w:r>
        <w:rPr>
          <w:rFonts w:hint="eastAsia"/>
          <w:rtl/>
        </w:rPr>
        <w:t>לה</w:t>
      </w:r>
      <w:r>
        <w:rPr>
          <w:rtl/>
        </w:rPr>
        <w:t xml:space="preserve"> </w:t>
      </w:r>
      <w:r>
        <w:rPr>
          <w:rFonts w:hint="eastAsia"/>
          <w:rtl/>
        </w:rPr>
        <w:t>לקבל</w:t>
      </w:r>
      <w:r>
        <w:rPr>
          <w:rtl/>
        </w:rPr>
        <w:t xml:space="preserve"> </w:t>
      </w:r>
      <w:r>
        <w:rPr>
          <w:rFonts w:hint="eastAsia"/>
          <w:rtl/>
        </w:rPr>
        <w:t>מענה</w:t>
      </w:r>
      <w:r>
        <w:rPr>
          <w:rtl/>
        </w:rPr>
        <w:t xml:space="preserve"> </w:t>
      </w:r>
      <w:r>
        <w:rPr>
          <w:rFonts w:hint="eastAsia"/>
          <w:rtl/>
        </w:rPr>
        <w:t>ברור</w:t>
      </w:r>
      <w:r>
        <w:rPr>
          <w:rtl/>
        </w:rPr>
        <w:t xml:space="preserve">, </w:t>
      </w:r>
      <w:r>
        <w:rPr>
          <w:rFonts w:hint="cs"/>
          <w:rtl/>
        </w:rPr>
        <w:t xml:space="preserve">מבורר ויסודי. אכן אין חולק כי ביקורת </w:t>
      </w:r>
      <w:r>
        <w:rPr>
          <w:rFonts w:hint="eastAsia"/>
          <w:rtl/>
        </w:rPr>
        <w:t>שיפוטית</w:t>
      </w:r>
      <w:r>
        <w:rPr>
          <w:rtl/>
        </w:rPr>
        <w:t xml:space="preserve"> </w:t>
      </w:r>
      <w:r>
        <w:rPr>
          <w:rFonts w:hint="eastAsia"/>
          <w:rtl/>
        </w:rPr>
        <w:t>על</w:t>
      </w:r>
      <w:r>
        <w:rPr>
          <w:rtl/>
        </w:rPr>
        <w:t xml:space="preserve"> </w:t>
      </w:r>
      <w:r>
        <w:rPr>
          <w:rFonts w:hint="eastAsia"/>
          <w:rtl/>
        </w:rPr>
        <w:t>חוקים</w:t>
      </w:r>
      <w:r>
        <w:rPr>
          <w:rtl/>
        </w:rPr>
        <w:t xml:space="preserve"> </w:t>
      </w:r>
      <w:r>
        <w:rPr>
          <w:rFonts w:hint="eastAsia"/>
          <w:rtl/>
        </w:rPr>
        <w:t>מכוח</w:t>
      </w:r>
      <w:r>
        <w:rPr>
          <w:rtl/>
        </w:rPr>
        <w:t xml:space="preserve"> </w:t>
      </w:r>
      <w:r>
        <w:rPr>
          <w:rFonts w:hint="eastAsia"/>
          <w:rtl/>
        </w:rPr>
        <w:t>חוקי</w:t>
      </w:r>
      <w:r>
        <w:rPr>
          <w:rtl/>
        </w:rPr>
        <w:t xml:space="preserve"> </w:t>
      </w:r>
      <w:r>
        <w:rPr>
          <w:rFonts w:hint="eastAsia"/>
          <w:rtl/>
        </w:rPr>
        <w:t>היסוד</w:t>
      </w:r>
      <w:r>
        <w:rPr>
          <w:rtl/>
        </w:rPr>
        <w:t xml:space="preserve"> </w:t>
      </w:r>
      <w:r>
        <w:rPr>
          <w:rFonts w:hint="eastAsia"/>
          <w:rtl/>
        </w:rPr>
        <w:t>היא</w:t>
      </w:r>
      <w:r>
        <w:rPr>
          <w:rtl/>
        </w:rPr>
        <w:t xml:space="preserve"> </w:t>
      </w:r>
      <w:r>
        <w:rPr>
          <w:rFonts w:hint="eastAsia"/>
          <w:rtl/>
        </w:rPr>
        <w:t>מציאות</w:t>
      </w:r>
      <w:r>
        <w:rPr>
          <w:rtl/>
        </w:rPr>
        <w:t xml:space="preserve"> </w:t>
      </w:r>
      <w:r>
        <w:rPr>
          <w:rFonts w:hint="eastAsia"/>
          <w:rtl/>
        </w:rPr>
        <w:t>שקנתה</w:t>
      </w:r>
      <w:r>
        <w:rPr>
          <w:rtl/>
        </w:rPr>
        <w:t xml:space="preserve"> </w:t>
      </w:r>
      <w:r>
        <w:rPr>
          <w:rFonts w:hint="eastAsia"/>
          <w:rtl/>
        </w:rPr>
        <w:t>לה</w:t>
      </w:r>
      <w:r>
        <w:rPr>
          <w:rtl/>
        </w:rPr>
        <w:t xml:space="preserve"> </w:t>
      </w:r>
      <w:r>
        <w:rPr>
          <w:rFonts w:hint="eastAsia"/>
          <w:rtl/>
        </w:rPr>
        <w:t>שב</w:t>
      </w:r>
      <w:r>
        <w:rPr>
          <w:rFonts w:hint="cs"/>
          <w:rtl/>
        </w:rPr>
        <w:t>י</w:t>
      </w:r>
      <w:r>
        <w:rPr>
          <w:rFonts w:hint="eastAsia"/>
          <w:rtl/>
        </w:rPr>
        <w:t>ת</w:t>
      </w:r>
      <w:r>
        <w:rPr>
          <w:rFonts w:hint="cs"/>
          <w:rtl/>
        </w:rPr>
        <w:t xml:space="preserve">ה בעקבות פסק הדין בעניין </w:t>
      </w:r>
      <w:r w:rsidRPr="00837C56">
        <w:rPr>
          <w:rFonts w:ascii="Century" w:hAnsi="Century" w:cs="Miriam" w:hint="cs"/>
          <w:b/>
          <w:spacing w:val="0"/>
          <w:sz w:val="22"/>
          <w:szCs w:val="24"/>
          <w:rtl/>
        </w:rPr>
        <w:t>בנק המזרחי</w:t>
      </w:r>
      <w:r w:rsidRPr="0002617E">
        <w:rPr>
          <w:rFonts w:hint="cs"/>
          <w:rtl/>
        </w:rPr>
        <w:t xml:space="preserve"> </w:t>
      </w:r>
      <w:r>
        <w:rPr>
          <w:rFonts w:hint="cs"/>
          <w:rtl/>
        </w:rPr>
        <w:t>(</w:t>
      </w:r>
      <w:r>
        <w:rPr>
          <w:rFonts w:hint="eastAsia"/>
          <w:rtl/>
        </w:rPr>
        <w:t>ע</w:t>
      </w:r>
      <w:r>
        <w:rPr>
          <w:rtl/>
        </w:rPr>
        <w:t>"</w:t>
      </w:r>
      <w:r>
        <w:rPr>
          <w:rFonts w:hint="eastAsia"/>
          <w:rtl/>
        </w:rPr>
        <w:t>א</w:t>
      </w:r>
      <w:r>
        <w:rPr>
          <w:rtl/>
        </w:rPr>
        <w:t xml:space="preserve"> 6821/93 </w:t>
      </w:r>
      <w:r w:rsidRPr="00837C56">
        <w:rPr>
          <w:rFonts w:ascii="Century" w:hAnsi="Century" w:cs="Miriam" w:hint="eastAsia"/>
          <w:b/>
          <w:spacing w:val="0"/>
          <w:sz w:val="22"/>
          <w:szCs w:val="24"/>
          <w:rtl/>
        </w:rPr>
        <w:t>בנק</w:t>
      </w:r>
      <w:r w:rsidRPr="00837C56">
        <w:rPr>
          <w:rFonts w:ascii="Century" w:hAnsi="Century" w:cs="Miriam"/>
          <w:b/>
          <w:spacing w:val="0"/>
          <w:sz w:val="22"/>
          <w:szCs w:val="24"/>
          <w:rtl/>
        </w:rPr>
        <w:t xml:space="preserve"> </w:t>
      </w:r>
      <w:r w:rsidRPr="00837C56">
        <w:rPr>
          <w:rFonts w:ascii="Century" w:hAnsi="Century" w:cs="Miriam" w:hint="eastAsia"/>
          <w:b/>
          <w:spacing w:val="0"/>
          <w:sz w:val="22"/>
          <w:szCs w:val="24"/>
          <w:rtl/>
        </w:rPr>
        <w:t>המזרחי</w:t>
      </w:r>
      <w:r w:rsidRPr="00837C56">
        <w:rPr>
          <w:rFonts w:ascii="Century" w:hAnsi="Century" w:cs="Miriam"/>
          <w:b/>
          <w:spacing w:val="0"/>
          <w:sz w:val="22"/>
          <w:szCs w:val="24"/>
          <w:rtl/>
        </w:rPr>
        <w:t xml:space="preserve"> </w:t>
      </w:r>
      <w:r w:rsidRPr="00837C56">
        <w:rPr>
          <w:rFonts w:ascii="Century" w:hAnsi="Century" w:cs="Miriam" w:hint="eastAsia"/>
          <w:b/>
          <w:spacing w:val="0"/>
          <w:sz w:val="22"/>
          <w:szCs w:val="24"/>
          <w:rtl/>
        </w:rPr>
        <w:t>המאוחד</w:t>
      </w:r>
      <w:r w:rsidRPr="00837C56">
        <w:rPr>
          <w:rFonts w:ascii="Century" w:hAnsi="Century" w:cs="Miriam"/>
          <w:b/>
          <w:spacing w:val="0"/>
          <w:sz w:val="22"/>
          <w:szCs w:val="24"/>
          <w:rtl/>
        </w:rPr>
        <w:t xml:space="preserve"> </w:t>
      </w:r>
      <w:r w:rsidRPr="00837C56">
        <w:rPr>
          <w:rFonts w:ascii="Century" w:hAnsi="Century" w:cs="Miriam" w:hint="eastAsia"/>
          <w:b/>
          <w:spacing w:val="0"/>
          <w:sz w:val="22"/>
          <w:szCs w:val="24"/>
          <w:rtl/>
        </w:rPr>
        <w:t>בע</w:t>
      </w:r>
      <w:r w:rsidRPr="00837C56">
        <w:rPr>
          <w:rFonts w:ascii="Century" w:hAnsi="Century" w:cs="Miriam"/>
          <w:b/>
          <w:spacing w:val="0"/>
          <w:sz w:val="22"/>
          <w:szCs w:val="24"/>
          <w:rtl/>
        </w:rPr>
        <w:t>"</w:t>
      </w:r>
      <w:r w:rsidRPr="00837C56">
        <w:rPr>
          <w:rFonts w:ascii="Century" w:hAnsi="Century" w:cs="Miriam" w:hint="eastAsia"/>
          <w:b/>
          <w:spacing w:val="0"/>
          <w:sz w:val="22"/>
          <w:szCs w:val="24"/>
          <w:rtl/>
        </w:rPr>
        <w:t>מ</w:t>
      </w:r>
      <w:r w:rsidRPr="00837C56">
        <w:rPr>
          <w:rFonts w:ascii="Century" w:hAnsi="Century" w:cs="Miriam"/>
          <w:b/>
          <w:spacing w:val="0"/>
          <w:sz w:val="22"/>
          <w:szCs w:val="24"/>
          <w:rtl/>
        </w:rPr>
        <w:t xml:space="preserve"> </w:t>
      </w:r>
      <w:r w:rsidRPr="00837C56">
        <w:rPr>
          <w:rFonts w:ascii="Century" w:hAnsi="Century" w:cs="Miriam" w:hint="eastAsia"/>
          <w:b/>
          <w:spacing w:val="0"/>
          <w:sz w:val="22"/>
          <w:szCs w:val="24"/>
          <w:rtl/>
        </w:rPr>
        <w:t>נ</w:t>
      </w:r>
      <w:r w:rsidRPr="00837C56">
        <w:rPr>
          <w:rFonts w:ascii="Century" w:hAnsi="Century" w:cs="Miriam"/>
          <w:b/>
          <w:spacing w:val="0"/>
          <w:sz w:val="22"/>
          <w:szCs w:val="24"/>
          <w:rtl/>
        </w:rPr>
        <w:t xml:space="preserve">' </w:t>
      </w:r>
      <w:r w:rsidRPr="00837C56">
        <w:rPr>
          <w:rFonts w:ascii="Century" w:hAnsi="Century" w:cs="Miriam" w:hint="eastAsia"/>
          <w:b/>
          <w:spacing w:val="0"/>
          <w:sz w:val="22"/>
          <w:szCs w:val="24"/>
          <w:rtl/>
        </w:rPr>
        <w:t>מגדל</w:t>
      </w:r>
      <w:r w:rsidRPr="00837C56">
        <w:rPr>
          <w:rFonts w:ascii="Century" w:hAnsi="Century" w:cs="Miriam"/>
          <w:b/>
          <w:spacing w:val="0"/>
          <w:sz w:val="22"/>
          <w:szCs w:val="24"/>
          <w:rtl/>
        </w:rPr>
        <w:t xml:space="preserve"> </w:t>
      </w:r>
      <w:r w:rsidRPr="00837C56">
        <w:rPr>
          <w:rFonts w:ascii="Century" w:hAnsi="Century" w:cs="Miriam" w:hint="eastAsia"/>
          <w:b/>
          <w:spacing w:val="0"/>
          <w:sz w:val="22"/>
          <w:szCs w:val="24"/>
          <w:rtl/>
        </w:rPr>
        <w:t>כפר</w:t>
      </w:r>
      <w:r w:rsidRPr="00837C56">
        <w:rPr>
          <w:rFonts w:ascii="Century" w:hAnsi="Century" w:cs="Miriam"/>
          <w:b/>
          <w:spacing w:val="0"/>
          <w:sz w:val="22"/>
          <w:szCs w:val="24"/>
          <w:rtl/>
        </w:rPr>
        <w:t xml:space="preserve"> </w:t>
      </w:r>
      <w:r w:rsidRPr="00837C56">
        <w:rPr>
          <w:rFonts w:ascii="Century" w:hAnsi="Century" w:cs="Miriam" w:hint="eastAsia"/>
          <w:b/>
          <w:spacing w:val="0"/>
          <w:sz w:val="22"/>
          <w:szCs w:val="24"/>
          <w:rtl/>
        </w:rPr>
        <w:t>שיתופי</w:t>
      </w:r>
      <w:r>
        <w:rPr>
          <w:rtl/>
        </w:rPr>
        <w:t xml:space="preserve">, </w:t>
      </w:r>
      <w:r>
        <w:rPr>
          <w:rFonts w:hint="eastAsia"/>
          <w:rtl/>
        </w:rPr>
        <w:t>פ</w:t>
      </w:r>
      <w:r>
        <w:rPr>
          <w:rtl/>
        </w:rPr>
        <w:t>"</w:t>
      </w:r>
      <w:r>
        <w:rPr>
          <w:rFonts w:hint="eastAsia"/>
          <w:rtl/>
        </w:rPr>
        <w:t>ד</w:t>
      </w:r>
      <w:r>
        <w:rPr>
          <w:rtl/>
        </w:rPr>
        <w:t xml:space="preserve"> </w:t>
      </w:r>
      <w:r>
        <w:rPr>
          <w:rFonts w:hint="eastAsia"/>
          <w:rtl/>
        </w:rPr>
        <w:t>מט</w:t>
      </w:r>
      <w:r>
        <w:rPr>
          <w:rFonts w:hint="cs"/>
          <w:rtl/>
        </w:rPr>
        <w:t xml:space="preserve"> </w:t>
      </w:r>
      <w:r>
        <w:rPr>
          <w:rtl/>
        </w:rPr>
        <w:t>(4) 221, 403 (1995)</w:t>
      </w:r>
      <w:r>
        <w:rPr>
          <w:rFonts w:hint="cs"/>
          <w:rtl/>
        </w:rPr>
        <w:t xml:space="preserve"> (להלן: עניין </w:t>
      </w:r>
      <w:r w:rsidRPr="00FB58FB">
        <w:rPr>
          <w:rFonts w:ascii="Century" w:hAnsi="Century" w:cs="Miriam" w:hint="cs"/>
          <w:b/>
          <w:spacing w:val="0"/>
          <w:sz w:val="22"/>
          <w:szCs w:val="24"/>
          <w:rtl/>
        </w:rPr>
        <w:t>בנק המזרחי</w:t>
      </w:r>
      <w:r>
        <w:rPr>
          <w:rFonts w:hint="cs"/>
          <w:rtl/>
        </w:rPr>
        <w:t>)</w:t>
      </w:r>
      <w:r>
        <w:rPr>
          <w:rtl/>
        </w:rPr>
        <w:t xml:space="preserve">), </w:t>
      </w:r>
      <w:r>
        <w:rPr>
          <w:rFonts w:hint="cs"/>
          <w:rtl/>
        </w:rPr>
        <w:t xml:space="preserve">אך אין בכך כדי להעיד שמדובר במציאות </w:t>
      </w:r>
      <w:r>
        <w:rPr>
          <w:rFonts w:hint="eastAsia"/>
          <w:rtl/>
        </w:rPr>
        <w:t>מובנת</w:t>
      </w:r>
      <w:r>
        <w:rPr>
          <w:rtl/>
        </w:rPr>
        <w:t xml:space="preserve"> </w:t>
      </w:r>
      <w:r>
        <w:rPr>
          <w:rFonts w:hint="eastAsia"/>
          <w:rtl/>
        </w:rPr>
        <w:t>מאליה</w:t>
      </w:r>
      <w:r>
        <w:rPr>
          <w:rtl/>
        </w:rPr>
        <w:t xml:space="preserve"> (</w:t>
      </w:r>
      <w:r>
        <w:rPr>
          <w:rFonts w:hint="eastAsia"/>
          <w:rtl/>
        </w:rPr>
        <w:t>ראו</w:t>
      </w:r>
      <w:r>
        <w:rPr>
          <w:rtl/>
        </w:rPr>
        <w:t xml:space="preserve"> </w:t>
      </w:r>
      <w:r>
        <w:rPr>
          <w:rFonts w:hint="eastAsia"/>
          <w:rtl/>
        </w:rPr>
        <w:t>למשל</w:t>
      </w:r>
      <w:r>
        <w:rPr>
          <w:rtl/>
        </w:rPr>
        <w:t xml:space="preserve">: </w:t>
      </w:r>
      <w:r>
        <w:rPr>
          <w:rFonts w:hint="eastAsia"/>
          <w:rtl/>
        </w:rPr>
        <w:t>רות</w:t>
      </w:r>
      <w:r>
        <w:rPr>
          <w:rtl/>
        </w:rPr>
        <w:t xml:space="preserve"> </w:t>
      </w:r>
      <w:r>
        <w:rPr>
          <w:rFonts w:hint="eastAsia"/>
          <w:rtl/>
        </w:rPr>
        <w:t>גביזון</w:t>
      </w:r>
      <w:r>
        <w:rPr>
          <w:rtl/>
        </w:rPr>
        <w:t xml:space="preserve"> "</w:t>
      </w:r>
      <w:r>
        <w:rPr>
          <w:rFonts w:hint="eastAsia"/>
          <w:rtl/>
        </w:rPr>
        <w:t>מדינה</w:t>
      </w:r>
      <w:r>
        <w:rPr>
          <w:rtl/>
        </w:rPr>
        <w:t xml:space="preserve"> </w:t>
      </w:r>
      <w:r>
        <w:rPr>
          <w:rFonts w:hint="eastAsia"/>
          <w:rtl/>
        </w:rPr>
        <w:t>יהודית</w:t>
      </w:r>
      <w:r>
        <w:rPr>
          <w:rtl/>
        </w:rPr>
        <w:t xml:space="preserve"> </w:t>
      </w:r>
      <w:r>
        <w:rPr>
          <w:rFonts w:hint="eastAsia"/>
          <w:rtl/>
        </w:rPr>
        <w:t>ודמוקרטית</w:t>
      </w:r>
      <w:r>
        <w:rPr>
          <w:rtl/>
        </w:rPr>
        <w:t xml:space="preserve">: </w:t>
      </w:r>
      <w:r>
        <w:rPr>
          <w:rFonts w:hint="eastAsia"/>
          <w:rtl/>
        </w:rPr>
        <w:t>זהות</w:t>
      </w:r>
      <w:r>
        <w:rPr>
          <w:rtl/>
        </w:rPr>
        <w:t xml:space="preserve"> </w:t>
      </w:r>
      <w:r>
        <w:rPr>
          <w:rFonts w:hint="eastAsia"/>
          <w:rtl/>
        </w:rPr>
        <w:t>פוליטית</w:t>
      </w:r>
      <w:r>
        <w:rPr>
          <w:rtl/>
        </w:rPr>
        <w:t xml:space="preserve">, </w:t>
      </w:r>
      <w:r>
        <w:rPr>
          <w:rFonts w:hint="eastAsia"/>
          <w:rtl/>
        </w:rPr>
        <w:t>אידיאולוגיה</w:t>
      </w:r>
      <w:r>
        <w:rPr>
          <w:rtl/>
        </w:rPr>
        <w:t xml:space="preserve"> </w:t>
      </w:r>
      <w:r>
        <w:rPr>
          <w:rFonts w:hint="eastAsia"/>
          <w:rtl/>
        </w:rPr>
        <w:t>ומשפט</w:t>
      </w:r>
      <w:r>
        <w:rPr>
          <w:rtl/>
        </w:rPr>
        <w:t xml:space="preserve">" </w:t>
      </w:r>
      <w:r w:rsidRPr="0043732F">
        <w:rPr>
          <w:rFonts w:ascii="Century" w:hAnsi="Century" w:cs="Miriam" w:hint="eastAsia"/>
          <w:b/>
          <w:spacing w:val="0"/>
          <w:sz w:val="22"/>
          <w:szCs w:val="24"/>
          <w:rtl/>
        </w:rPr>
        <w:t>עיוני</w:t>
      </w:r>
      <w:r w:rsidRPr="0043732F">
        <w:rPr>
          <w:rFonts w:ascii="Century" w:hAnsi="Century" w:cs="Miriam"/>
          <w:b/>
          <w:spacing w:val="0"/>
          <w:sz w:val="22"/>
          <w:szCs w:val="24"/>
          <w:rtl/>
        </w:rPr>
        <w:t xml:space="preserve"> </w:t>
      </w:r>
      <w:r w:rsidRPr="0043732F">
        <w:rPr>
          <w:rFonts w:ascii="Century" w:hAnsi="Century" w:cs="Miriam" w:hint="eastAsia"/>
          <w:b/>
          <w:spacing w:val="0"/>
          <w:sz w:val="22"/>
          <w:szCs w:val="24"/>
          <w:rtl/>
        </w:rPr>
        <w:t>משפט</w:t>
      </w:r>
      <w:r w:rsidRPr="0043732F">
        <w:rPr>
          <w:rtl/>
        </w:rPr>
        <w:t xml:space="preserve"> </w:t>
      </w:r>
      <w:r>
        <w:rPr>
          <w:rFonts w:hint="eastAsia"/>
          <w:rtl/>
        </w:rPr>
        <w:t>יט</w:t>
      </w:r>
      <w:r>
        <w:rPr>
          <w:rtl/>
        </w:rPr>
        <w:t xml:space="preserve">(3) </w:t>
      </w:r>
      <w:r>
        <w:rPr>
          <w:rFonts w:hint="cs"/>
          <w:rtl/>
        </w:rPr>
        <w:t>631</w:t>
      </w:r>
      <w:r>
        <w:rPr>
          <w:rtl/>
        </w:rPr>
        <w:t xml:space="preserve"> (1995)</w:t>
      </w:r>
      <w:r>
        <w:rPr>
          <w:rFonts w:hint="cs"/>
          <w:rtl/>
        </w:rPr>
        <w:t xml:space="preserve"> (להלן: </w:t>
      </w:r>
      <w:r w:rsidRPr="00803B19">
        <w:rPr>
          <w:rFonts w:ascii="Century" w:hAnsi="Century" w:cs="Miriam" w:hint="cs"/>
          <w:b/>
          <w:spacing w:val="0"/>
          <w:sz w:val="22"/>
          <w:szCs w:val="24"/>
          <w:rtl/>
        </w:rPr>
        <w:t>גביזון, מדינה יהודית ודמוקרטית</w:t>
      </w:r>
      <w:r>
        <w:rPr>
          <w:rFonts w:hint="cs"/>
          <w:rtl/>
        </w:rPr>
        <w:t>); מ</w:t>
      </w:r>
      <w:r w:rsidRPr="0046121F">
        <w:rPr>
          <w:rFonts w:hint="eastAsia"/>
          <w:rtl/>
        </w:rPr>
        <w:t>שה</w:t>
      </w:r>
      <w:r w:rsidRPr="0046121F">
        <w:rPr>
          <w:rtl/>
        </w:rPr>
        <w:t xml:space="preserve"> </w:t>
      </w:r>
      <w:r w:rsidRPr="0046121F">
        <w:rPr>
          <w:rFonts w:hint="eastAsia"/>
          <w:rtl/>
        </w:rPr>
        <w:t>לנדוי</w:t>
      </w:r>
      <w:r w:rsidRPr="0046121F">
        <w:rPr>
          <w:rtl/>
        </w:rPr>
        <w:t xml:space="preserve"> "</w:t>
      </w:r>
      <w:r w:rsidRPr="0046121F">
        <w:rPr>
          <w:rFonts w:hint="eastAsia"/>
          <w:rtl/>
        </w:rPr>
        <w:t>מתן</w:t>
      </w:r>
      <w:r w:rsidRPr="0046121F">
        <w:rPr>
          <w:rtl/>
        </w:rPr>
        <w:t xml:space="preserve"> </w:t>
      </w:r>
      <w:r w:rsidRPr="0046121F">
        <w:rPr>
          <w:rFonts w:hint="eastAsia"/>
          <w:rtl/>
        </w:rPr>
        <w:t>חוקה</w:t>
      </w:r>
      <w:r w:rsidRPr="0046121F">
        <w:rPr>
          <w:rtl/>
        </w:rPr>
        <w:t xml:space="preserve"> </w:t>
      </w:r>
      <w:r w:rsidRPr="0046121F">
        <w:rPr>
          <w:rFonts w:hint="eastAsia"/>
          <w:rtl/>
        </w:rPr>
        <w:t>לישראל</w:t>
      </w:r>
      <w:r w:rsidRPr="0046121F">
        <w:rPr>
          <w:rtl/>
        </w:rPr>
        <w:t xml:space="preserve"> </w:t>
      </w:r>
      <w:r w:rsidRPr="0046121F">
        <w:rPr>
          <w:rFonts w:hint="eastAsia"/>
          <w:rtl/>
        </w:rPr>
        <w:t>בדרך</w:t>
      </w:r>
      <w:r w:rsidRPr="0046121F">
        <w:rPr>
          <w:rtl/>
        </w:rPr>
        <w:t xml:space="preserve"> </w:t>
      </w:r>
      <w:r w:rsidRPr="0046121F">
        <w:rPr>
          <w:rFonts w:hint="eastAsia"/>
          <w:rtl/>
        </w:rPr>
        <w:t>פסיקת</w:t>
      </w:r>
      <w:r w:rsidRPr="0046121F">
        <w:rPr>
          <w:rtl/>
        </w:rPr>
        <w:t xml:space="preserve"> </w:t>
      </w:r>
      <w:r w:rsidRPr="0046121F">
        <w:rPr>
          <w:rFonts w:hint="eastAsia"/>
          <w:rtl/>
        </w:rPr>
        <w:t>בית</w:t>
      </w:r>
      <w:r w:rsidRPr="0046121F">
        <w:rPr>
          <w:rtl/>
        </w:rPr>
        <w:t>-</w:t>
      </w:r>
      <w:r w:rsidRPr="0046121F">
        <w:rPr>
          <w:rFonts w:hint="eastAsia"/>
          <w:rtl/>
        </w:rPr>
        <w:t>המשפט</w:t>
      </w:r>
      <w:r w:rsidRPr="0046121F">
        <w:rPr>
          <w:rtl/>
        </w:rPr>
        <w:t xml:space="preserve">" </w:t>
      </w:r>
      <w:r w:rsidRPr="0046121F">
        <w:rPr>
          <w:rFonts w:ascii="Century" w:hAnsi="Century" w:cs="Miriam" w:hint="eastAsia"/>
          <w:b/>
          <w:spacing w:val="0"/>
          <w:sz w:val="22"/>
          <w:szCs w:val="24"/>
          <w:rtl/>
        </w:rPr>
        <w:t>משפט</w:t>
      </w:r>
      <w:r w:rsidRPr="0046121F">
        <w:rPr>
          <w:rFonts w:ascii="Century" w:hAnsi="Century" w:cs="Miriam"/>
          <w:b/>
          <w:spacing w:val="0"/>
          <w:sz w:val="22"/>
          <w:szCs w:val="24"/>
          <w:rtl/>
        </w:rPr>
        <w:t xml:space="preserve"> </w:t>
      </w:r>
      <w:r w:rsidRPr="0046121F">
        <w:rPr>
          <w:rFonts w:ascii="Century" w:hAnsi="Century" w:cs="Miriam" w:hint="eastAsia"/>
          <w:b/>
          <w:spacing w:val="0"/>
          <w:sz w:val="22"/>
          <w:szCs w:val="24"/>
          <w:rtl/>
        </w:rPr>
        <w:t>וממשל</w:t>
      </w:r>
      <w:r w:rsidRPr="0046121F">
        <w:rPr>
          <w:rtl/>
        </w:rPr>
        <w:t xml:space="preserve"> </w:t>
      </w:r>
      <w:r w:rsidRPr="0046121F">
        <w:rPr>
          <w:rFonts w:hint="eastAsia"/>
          <w:rtl/>
        </w:rPr>
        <w:t>ג</w:t>
      </w:r>
      <w:r>
        <w:rPr>
          <w:rtl/>
        </w:rPr>
        <w:t xml:space="preserve"> 697, 702 (1996)</w:t>
      </w:r>
      <w:r>
        <w:rPr>
          <w:rFonts w:hint="cs"/>
          <w:rtl/>
        </w:rPr>
        <w:t xml:space="preserve">; </w:t>
      </w:r>
      <w:r>
        <w:rPr>
          <w:rFonts w:hint="eastAsia"/>
          <w:rtl/>
        </w:rPr>
        <w:t>יוסף</w:t>
      </w:r>
      <w:r>
        <w:rPr>
          <w:rtl/>
        </w:rPr>
        <w:t xml:space="preserve"> </w:t>
      </w:r>
      <w:r>
        <w:rPr>
          <w:rFonts w:hint="eastAsia"/>
          <w:rtl/>
        </w:rPr>
        <w:t>מ</w:t>
      </w:r>
      <w:r>
        <w:rPr>
          <w:rtl/>
        </w:rPr>
        <w:t xml:space="preserve">' </w:t>
      </w:r>
      <w:r>
        <w:rPr>
          <w:rFonts w:hint="eastAsia"/>
          <w:rtl/>
        </w:rPr>
        <w:t>אדרעי</w:t>
      </w:r>
      <w:r>
        <w:rPr>
          <w:rtl/>
        </w:rPr>
        <w:t xml:space="preserve"> "</w:t>
      </w:r>
      <w:r>
        <w:rPr>
          <w:rFonts w:hint="eastAsia"/>
          <w:rtl/>
        </w:rPr>
        <w:t>מהפכה</w:t>
      </w:r>
      <w:r>
        <w:rPr>
          <w:rtl/>
        </w:rPr>
        <w:t xml:space="preserve"> </w:t>
      </w:r>
      <w:r>
        <w:rPr>
          <w:rFonts w:hint="eastAsia"/>
          <w:rtl/>
        </w:rPr>
        <w:t>חוקתית</w:t>
      </w:r>
      <w:r>
        <w:rPr>
          <w:rtl/>
        </w:rPr>
        <w:t xml:space="preserve">: </w:t>
      </w:r>
      <w:r>
        <w:rPr>
          <w:rFonts w:hint="eastAsia"/>
          <w:rtl/>
        </w:rPr>
        <w:t>האומנם</w:t>
      </w:r>
      <w:r>
        <w:rPr>
          <w:rtl/>
        </w:rPr>
        <w:t>?"</w:t>
      </w:r>
      <w:r>
        <w:rPr>
          <w:rFonts w:hint="cs"/>
          <w:rtl/>
        </w:rPr>
        <w:t xml:space="preserve"> </w:t>
      </w:r>
      <w:r w:rsidRPr="0046121F">
        <w:rPr>
          <w:rFonts w:ascii="Century" w:hAnsi="Century" w:cs="Miriam" w:hint="eastAsia"/>
          <w:b/>
          <w:spacing w:val="0"/>
          <w:sz w:val="22"/>
          <w:szCs w:val="24"/>
          <w:rtl/>
        </w:rPr>
        <w:t>משפט</w:t>
      </w:r>
      <w:r w:rsidRPr="0046121F">
        <w:rPr>
          <w:rFonts w:ascii="Century" w:hAnsi="Century" w:cs="Miriam"/>
          <w:b/>
          <w:spacing w:val="0"/>
          <w:sz w:val="22"/>
          <w:szCs w:val="24"/>
          <w:rtl/>
        </w:rPr>
        <w:t xml:space="preserve"> </w:t>
      </w:r>
      <w:r w:rsidRPr="0046121F">
        <w:rPr>
          <w:rFonts w:ascii="Century" w:hAnsi="Century" w:cs="Miriam" w:hint="eastAsia"/>
          <w:b/>
          <w:spacing w:val="0"/>
          <w:sz w:val="22"/>
          <w:szCs w:val="24"/>
          <w:rtl/>
        </w:rPr>
        <w:t>וממשל</w:t>
      </w:r>
      <w:r w:rsidRPr="0046121F">
        <w:rPr>
          <w:rtl/>
        </w:rPr>
        <w:t xml:space="preserve"> </w:t>
      </w:r>
      <w:r>
        <w:rPr>
          <w:rFonts w:hint="eastAsia"/>
          <w:rtl/>
        </w:rPr>
        <w:t>ג</w:t>
      </w:r>
      <w:r>
        <w:rPr>
          <w:rtl/>
        </w:rPr>
        <w:t xml:space="preserve"> 453, 460 (1996);</w:t>
      </w:r>
      <w:r>
        <w:rPr>
          <w:rFonts w:hint="cs"/>
          <w:rtl/>
        </w:rPr>
        <w:t xml:space="preserve"> עלי זלצברגר "הסמכות המכוננת בישראל </w:t>
      </w:r>
      <w:r>
        <w:rPr>
          <w:rtl/>
        </w:rPr>
        <w:t>–</w:t>
      </w:r>
      <w:r>
        <w:rPr>
          <w:rFonts w:hint="cs"/>
          <w:rtl/>
        </w:rPr>
        <w:t xml:space="preserve"> שתי הערות אגב לאימרות אגב, או הזמנה לפתיחת הדיון מחדש" </w:t>
      </w:r>
      <w:r w:rsidRPr="00106214">
        <w:rPr>
          <w:rFonts w:ascii="Century" w:hAnsi="Century" w:cs="Miriam" w:hint="cs"/>
          <w:b/>
          <w:spacing w:val="0"/>
          <w:sz w:val="22"/>
          <w:szCs w:val="24"/>
          <w:rtl/>
        </w:rPr>
        <w:t>משפט וממשל</w:t>
      </w:r>
      <w:r w:rsidRPr="00EF6488">
        <w:rPr>
          <w:rFonts w:hint="cs"/>
          <w:rtl/>
        </w:rPr>
        <w:t xml:space="preserve"> </w:t>
      </w:r>
      <w:r>
        <w:rPr>
          <w:rFonts w:hint="cs"/>
          <w:rtl/>
        </w:rPr>
        <w:t xml:space="preserve">ג 679 (1996); </w:t>
      </w:r>
      <w:r>
        <w:rPr>
          <w:rFonts w:hint="eastAsia"/>
          <w:rtl/>
        </w:rPr>
        <w:t>יהושע</w:t>
      </w:r>
      <w:r>
        <w:rPr>
          <w:rtl/>
        </w:rPr>
        <w:t xml:space="preserve"> (</w:t>
      </w:r>
      <w:r>
        <w:rPr>
          <w:rFonts w:hint="eastAsia"/>
          <w:rtl/>
        </w:rPr>
        <w:t>שוקי</w:t>
      </w:r>
      <w:r>
        <w:rPr>
          <w:rtl/>
        </w:rPr>
        <w:t xml:space="preserve">) </w:t>
      </w:r>
      <w:r>
        <w:rPr>
          <w:rFonts w:hint="eastAsia"/>
          <w:rtl/>
        </w:rPr>
        <w:t>שגב</w:t>
      </w:r>
      <w:r>
        <w:rPr>
          <w:rtl/>
        </w:rPr>
        <w:t xml:space="preserve"> "</w:t>
      </w:r>
      <w:r>
        <w:rPr>
          <w:rFonts w:hint="eastAsia"/>
          <w:rtl/>
        </w:rPr>
        <w:t>מדוע</w:t>
      </w:r>
      <w:r>
        <w:rPr>
          <w:rtl/>
        </w:rPr>
        <w:t xml:space="preserve"> </w:t>
      </w:r>
      <w:r>
        <w:rPr>
          <w:rFonts w:hint="eastAsia"/>
          <w:rtl/>
        </w:rPr>
        <w:t>לישראל</w:t>
      </w:r>
      <w:r>
        <w:rPr>
          <w:rtl/>
        </w:rPr>
        <w:t xml:space="preserve"> </w:t>
      </w:r>
      <w:r>
        <w:rPr>
          <w:rFonts w:hint="eastAsia"/>
          <w:rtl/>
        </w:rPr>
        <w:t>אין</w:t>
      </w:r>
      <w:r>
        <w:rPr>
          <w:rtl/>
        </w:rPr>
        <w:t xml:space="preserve"> </w:t>
      </w:r>
      <w:r>
        <w:rPr>
          <w:rFonts w:hint="eastAsia"/>
          <w:rtl/>
        </w:rPr>
        <w:t>ולא</w:t>
      </w:r>
      <w:r>
        <w:rPr>
          <w:rtl/>
        </w:rPr>
        <w:t xml:space="preserve"> </w:t>
      </w:r>
      <w:r>
        <w:rPr>
          <w:rFonts w:hint="eastAsia"/>
          <w:rtl/>
        </w:rPr>
        <w:t>תהיה</w:t>
      </w:r>
      <w:r>
        <w:rPr>
          <w:rtl/>
        </w:rPr>
        <w:t xml:space="preserve"> </w:t>
      </w:r>
      <w:r>
        <w:rPr>
          <w:rFonts w:hint="eastAsia"/>
          <w:rtl/>
        </w:rPr>
        <w:t>חוקה</w:t>
      </w:r>
      <w:r>
        <w:rPr>
          <w:rtl/>
        </w:rPr>
        <w:t xml:space="preserve"> </w:t>
      </w:r>
      <w:r>
        <w:rPr>
          <w:rtl/>
        </w:rPr>
        <w:lastRenderedPageBreak/>
        <w:t>(</w:t>
      </w:r>
      <w:r>
        <w:rPr>
          <w:rFonts w:hint="eastAsia"/>
          <w:rtl/>
        </w:rPr>
        <w:t>לפחות</w:t>
      </w:r>
      <w:r>
        <w:rPr>
          <w:rtl/>
        </w:rPr>
        <w:t xml:space="preserve"> </w:t>
      </w:r>
      <w:r>
        <w:rPr>
          <w:rFonts w:hint="eastAsia"/>
          <w:rtl/>
        </w:rPr>
        <w:t>בעתיד</w:t>
      </w:r>
      <w:r>
        <w:rPr>
          <w:rtl/>
        </w:rPr>
        <w:t xml:space="preserve"> </w:t>
      </w:r>
      <w:r>
        <w:rPr>
          <w:rFonts w:hint="eastAsia"/>
          <w:rtl/>
        </w:rPr>
        <w:t>הנראה</w:t>
      </w:r>
      <w:r>
        <w:rPr>
          <w:rtl/>
        </w:rPr>
        <w:t xml:space="preserve"> </w:t>
      </w:r>
      <w:r>
        <w:rPr>
          <w:rFonts w:hint="eastAsia"/>
          <w:rtl/>
        </w:rPr>
        <w:t>לעין</w:t>
      </w:r>
      <w:r>
        <w:rPr>
          <w:rtl/>
        </w:rPr>
        <w:t xml:space="preserve">)? </w:t>
      </w:r>
      <w:r>
        <w:rPr>
          <w:rFonts w:hint="eastAsia"/>
          <w:rtl/>
        </w:rPr>
        <w:t>על</w:t>
      </w:r>
      <w:r>
        <w:rPr>
          <w:rtl/>
        </w:rPr>
        <w:t xml:space="preserve"> </w:t>
      </w:r>
      <w:r>
        <w:rPr>
          <w:rFonts w:hint="eastAsia"/>
          <w:rtl/>
        </w:rPr>
        <w:t>סגולותיה</w:t>
      </w:r>
      <w:r>
        <w:rPr>
          <w:rtl/>
        </w:rPr>
        <w:t xml:space="preserve"> </w:t>
      </w:r>
      <w:r>
        <w:rPr>
          <w:rFonts w:hint="eastAsia"/>
          <w:rtl/>
        </w:rPr>
        <w:t>של</w:t>
      </w:r>
      <w:r>
        <w:rPr>
          <w:rtl/>
        </w:rPr>
        <w:t xml:space="preserve"> '</w:t>
      </w:r>
      <w:r>
        <w:rPr>
          <w:rFonts w:hint="eastAsia"/>
          <w:rtl/>
        </w:rPr>
        <w:t>ההחלטה</w:t>
      </w:r>
      <w:r>
        <w:rPr>
          <w:rtl/>
        </w:rPr>
        <w:t xml:space="preserve"> </w:t>
      </w:r>
      <w:r>
        <w:rPr>
          <w:rFonts w:hint="eastAsia"/>
          <w:rtl/>
        </w:rPr>
        <w:t>שלא</w:t>
      </w:r>
      <w:r>
        <w:rPr>
          <w:rtl/>
        </w:rPr>
        <w:t xml:space="preserve"> </w:t>
      </w:r>
      <w:r>
        <w:rPr>
          <w:rFonts w:hint="eastAsia"/>
          <w:rtl/>
        </w:rPr>
        <w:t>להחליט</w:t>
      </w:r>
      <w:r>
        <w:rPr>
          <w:rtl/>
        </w:rPr>
        <w:t xml:space="preserve">'" </w:t>
      </w:r>
      <w:r w:rsidRPr="0043732F">
        <w:rPr>
          <w:rFonts w:ascii="Century" w:hAnsi="Century" w:cs="Miriam" w:hint="eastAsia"/>
          <w:b/>
          <w:spacing w:val="0"/>
          <w:sz w:val="22"/>
          <w:szCs w:val="24"/>
          <w:rtl/>
        </w:rPr>
        <w:t>מאזני</w:t>
      </w:r>
      <w:r w:rsidRPr="0043732F">
        <w:rPr>
          <w:rFonts w:ascii="Century" w:hAnsi="Century" w:cs="Miriam"/>
          <w:b/>
          <w:spacing w:val="0"/>
          <w:sz w:val="22"/>
          <w:szCs w:val="24"/>
          <w:rtl/>
        </w:rPr>
        <w:t xml:space="preserve"> </w:t>
      </w:r>
      <w:r w:rsidRPr="0043732F">
        <w:rPr>
          <w:rFonts w:ascii="Century" w:hAnsi="Century" w:cs="Miriam" w:hint="eastAsia"/>
          <w:b/>
          <w:spacing w:val="0"/>
          <w:sz w:val="22"/>
          <w:szCs w:val="24"/>
          <w:rtl/>
        </w:rPr>
        <w:t>משפט</w:t>
      </w:r>
      <w:r w:rsidRPr="0043732F">
        <w:rPr>
          <w:rtl/>
        </w:rPr>
        <w:t xml:space="preserve"> </w:t>
      </w:r>
      <w:r>
        <w:rPr>
          <w:rFonts w:hint="eastAsia"/>
          <w:rtl/>
        </w:rPr>
        <w:t>ה</w:t>
      </w:r>
      <w:r>
        <w:rPr>
          <w:rtl/>
        </w:rPr>
        <w:t xml:space="preserve"> 125 (2006)</w:t>
      </w:r>
      <w:r>
        <w:rPr>
          <w:rFonts w:hint="cs"/>
          <w:rtl/>
        </w:rPr>
        <w:t xml:space="preserve"> (להלן: </w:t>
      </w:r>
      <w:r w:rsidRPr="00163331">
        <w:rPr>
          <w:rFonts w:ascii="Century" w:hAnsi="Century" w:cs="Miriam" w:hint="cs"/>
          <w:b/>
          <w:spacing w:val="0"/>
          <w:sz w:val="22"/>
          <w:szCs w:val="24"/>
          <w:rtl/>
        </w:rPr>
        <w:t>שגב</w:t>
      </w:r>
      <w:r w:rsidRPr="00F468DF">
        <w:rPr>
          <w:rFonts w:ascii="Century" w:hAnsi="Century" w:cs="Miriam"/>
          <w:b/>
          <w:spacing w:val="0"/>
          <w:sz w:val="22"/>
          <w:szCs w:val="24"/>
          <w:rtl/>
        </w:rPr>
        <w:t xml:space="preserve">, </w:t>
      </w:r>
      <w:r w:rsidRPr="00FC1DA7">
        <w:rPr>
          <w:rFonts w:ascii="Century" w:hAnsi="Century" w:cs="Miriam" w:hint="eastAsia"/>
          <w:b/>
          <w:spacing w:val="0"/>
          <w:sz w:val="22"/>
          <w:szCs w:val="24"/>
          <w:rtl/>
        </w:rPr>
        <w:t>מדוע</w:t>
      </w:r>
      <w:r w:rsidRPr="00FC1DA7">
        <w:rPr>
          <w:rFonts w:ascii="Century" w:hAnsi="Century" w:cs="Miriam"/>
          <w:b/>
          <w:spacing w:val="0"/>
          <w:sz w:val="22"/>
          <w:szCs w:val="24"/>
          <w:rtl/>
        </w:rPr>
        <w:t xml:space="preserve"> </w:t>
      </w:r>
      <w:r w:rsidRPr="00FC1DA7">
        <w:rPr>
          <w:rFonts w:ascii="Century" w:hAnsi="Century" w:cs="Miriam" w:hint="eastAsia"/>
          <w:b/>
          <w:spacing w:val="0"/>
          <w:sz w:val="22"/>
          <w:szCs w:val="24"/>
          <w:rtl/>
        </w:rPr>
        <w:t>לישראל</w:t>
      </w:r>
      <w:r w:rsidRPr="00FC1DA7">
        <w:rPr>
          <w:rFonts w:ascii="Century" w:hAnsi="Century" w:cs="Miriam"/>
          <w:b/>
          <w:spacing w:val="0"/>
          <w:sz w:val="22"/>
          <w:szCs w:val="24"/>
          <w:rtl/>
        </w:rPr>
        <w:t xml:space="preserve"> </w:t>
      </w:r>
      <w:r w:rsidRPr="00FC1DA7">
        <w:rPr>
          <w:rFonts w:ascii="Century" w:hAnsi="Century" w:cs="Miriam" w:hint="eastAsia"/>
          <w:b/>
          <w:spacing w:val="0"/>
          <w:sz w:val="22"/>
          <w:szCs w:val="24"/>
          <w:rtl/>
        </w:rPr>
        <w:t>אין</w:t>
      </w:r>
      <w:r w:rsidRPr="00FC1DA7">
        <w:rPr>
          <w:rFonts w:ascii="Century" w:hAnsi="Century" w:cs="Miriam"/>
          <w:b/>
          <w:spacing w:val="0"/>
          <w:sz w:val="22"/>
          <w:szCs w:val="24"/>
          <w:rtl/>
        </w:rPr>
        <w:t xml:space="preserve"> </w:t>
      </w:r>
      <w:r w:rsidRPr="00FC1DA7">
        <w:rPr>
          <w:rFonts w:ascii="Century" w:hAnsi="Century" w:cs="Miriam" w:hint="eastAsia"/>
          <w:b/>
          <w:spacing w:val="0"/>
          <w:sz w:val="22"/>
          <w:szCs w:val="24"/>
          <w:rtl/>
        </w:rPr>
        <w:t>ולא</w:t>
      </w:r>
      <w:r w:rsidRPr="00FC1DA7">
        <w:rPr>
          <w:rFonts w:ascii="Century" w:hAnsi="Century" w:cs="Miriam"/>
          <w:b/>
          <w:spacing w:val="0"/>
          <w:sz w:val="22"/>
          <w:szCs w:val="24"/>
          <w:rtl/>
        </w:rPr>
        <w:t xml:space="preserve"> </w:t>
      </w:r>
      <w:r w:rsidRPr="00FC1DA7">
        <w:rPr>
          <w:rFonts w:ascii="Century" w:hAnsi="Century" w:cs="Miriam" w:hint="eastAsia"/>
          <w:b/>
          <w:spacing w:val="0"/>
          <w:sz w:val="22"/>
          <w:szCs w:val="24"/>
          <w:rtl/>
        </w:rPr>
        <w:t>תהיה</w:t>
      </w:r>
      <w:r w:rsidRPr="00FC1DA7">
        <w:rPr>
          <w:rFonts w:ascii="Century" w:hAnsi="Century" w:cs="Miriam"/>
          <w:b/>
          <w:spacing w:val="0"/>
          <w:sz w:val="22"/>
          <w:szCs w:val="24"/>
          <w:rtl/>
        </w:rPr>
        <w:t xml:space="preserve"> </w:t>
      </w:r>
      <w:r w:rsidRPr="00FC1DA7">
        <w:rPr>
          <w:rFonts w:ascii="Century" w:hAnsi="Century" w:cs="Miriam" w:hint="eastAsia"/>
          <w:b/>
          <w:spacing w:val="0"/>
          <w:sz w:val="22"/>
          <w:szCs w:val="24"/>
          <w:rtl/>
        </w:rPr>
        <w:t>חוקה</w:t>
      </w:r>
      <w:r>
        <w:rPr>
          <w:rFonts w:hint="cs"/>
          <w:rtl/>
        </w:rPr>
        <w:t>)</w:t>
      </w:r>
      <w:r>
        <w:rPr>
          <w:rtl/>
        </w:rPr>
        <w:t xml:space="preserve">; </w:t>
      </w:r>
      <w:r>
        <w:rPr>
          <w:rFonts w:hint="eastAsia"/>
          <w:rtl/>
        </w:rPr>
        <w:t>גדעון</w:t>
      </w:r>
      <w:r>
        <w:rPr>
          <w:rtl/>
        </w:rPr>
        <w:t xml:space="preserve"> </w:t>
      </w:r>
      <w:r>
        <w:rPr>
          <w:rFonts w:hint="eastAsia"/>
          <w:rtl/>
        </w:rPr>
        <w:t>ספיר</w:t>
      </w:r>
      <w:r>
        <w:rPr>
          <w:rtl/>
        </w:rPr>
        <w:t xml:space="preserve"> "</w:t>
      </w:r>
      <w:r>
        <w:rPr>
          <w:rFonts w:hint="eastAsia"/>
          <w:rtl/>
        </w:rPr>
        <w:t>המהפכה</w:t>
      </w:r>
      <w:r>
        <w:rPr>
          <w:rtl/>
        </w:rPr>
        <w:t xml:space="preserve"> </w:t>
      </w:r>
      <w:r>
        <w:rPr>
          <w:rFonts w:hint="eastAsia"/>
          <w:rtl/>
        </w:rPr>
        <w:t>החוקתית</w:t>
      </w:r>
      <w:r>
        <w:rPr>
          <w:rtl/>
        </w:rPr>
        <w:t xml:space="preserve"> – </w:t>
      </w:r>
      <w:r>
        <w:rPr>
          <w:rFonts w:hint="eastAsia"/>
          <w:rtl/>
        </w:rPr>
        <w:t>איך</w:t>
      </w:r>
      <w:r>
        <w:rPr>
          <w:rtl/>
        </w:rPr>
        <w:t xml:space="preserve"> </w:t>
      </w:r>
      <w:r>
        <w:rPr>
          <w:rFonts w:hint="eastAsia"/>
          <w:rtl/>
        </w:rPr>
        <w:t>זה</w:t>
      </w:r>
      <w:r>
        <w:rPr>
          <w:rtl/>
        </w:rPr>
        <w:t xml:space="preserve"> </w:t>
      </w:r>
      <w:r>
        <w:rPr>
          <w:rFonts w:hint="eastAsia"/>
          <w:rtl/>
        </w:rPr>
        <w:t>קרה</w:t>
      </w:r>
      <w:r>
        <w:rPr>
          <w:rtl/>
        </w:rPr>
        <w:t xml:space="preserve">?" </w:t>
      </w:r>
      <w:r w:rsidRPr="0002617E">
        <w:rPr>
          <w:rFonts w:ascii="Century" w:hAnsi="Century" w:cs="Miriam" w:hint="eastAsia"/>
          <w:b/>
          <w:spacing w:val="0"/>
          <w:sz w:val="22"/>
          <w:szCs w:val="24"/>
          <w:rtl/>
        </w:rPr>
        <w:t>משפט</w:t>
      </w:r>
      <w:r w:rsidRPr="0002617E">
        <w:rPr>
          <w:rFonts w:ascii="Century" w:hAnsi="Century" w:cs="Miriam"/>
          <w:b/>
          <w:spacing w:val="0"/>
          <w:sz w:val="22"/>
          <w:szCs w:val="24"/>
          <w:rtl/>
        </w:rPr>
        <w:t xml:space="preserve"> </w:t>
      </w:r>
      <w:r w:rsidRPr="0002617E">
        <w:rPr>
          <w:rFonts w:ascii="Century" w:hAnsi="Century" w:cs="Miriam" w:hint="eastAsia"/>
          <w:b/>
          <w:spacing w:val="0"/>
          <w:sz w:val="22"/>
          <w:szCs w:val="24"/>
          <w:rtl/>
        </w:rPr>
        <w:t>וממשל</w:t>
      </w:r>
      <w:r w:rsidRPr="0002617E">
        <w:rPr>
          <w:rtl/>
        </w:rPr>
        <w:t xml:space="preserve"> </w:t>
      </w:r>
      <w:r>
        <w:rPr>
          <w:rFonts w:hint="eastAsia"/>
          <w:rtl/>
        </w:rPr>
        <w:t>יא</w:t>
      </w:r>
      <w:r>
        <w:rPr>
          <w:rtl/>
        </w:rPr>
        <w:t xml:space="preserve"> 571 (2008)). </w:t>
      </w:r>
      <w:r>
        <w:rPr>
          <w:rFonts w:hint="cs"/>
          <w:rtl/>
        </w:rPr>
        <w:t xml:space="preserve">כל המוסיף על האמור בספרות זו </w:t>
      </w:r>
      <w:r>
        <w:rPr>
          <w:rtl/>
        </w:rPr>
        <w:t>–</w:t>
      </w:r>
      <w:r>
        <w:rPr>
          <w:rFonts w:hint="cs"/>
          <w:rtl/>
        </w:rPr>
        <w:t xml:space="preserve"> גורע. על כן אין בכוונתי לחזור על דברי הביקורת אשר פורטו בהרחבה בספרות, ולהם גם הדים בעמדות השונות </w:t>
      </w:r>
      <w:r w:rsidRPr="008A6265">
        <w:rPr>
          <w:rFonts w:ascii="Century" w:hAnsi="Century" w:hint="cs"/>
          <w:sz w:val="22"/>
          <w:rtl/>
        </w:rPr>
        <w:t>בעניין</w:t>
      </w:r>
      <w:r w:rsidRPr="008A6265">
        <w:rPr>
          <w:rFonts w:ascii="Century" w:hAnsi="Century" w:cs="Miriam" w:hint="cs"/>
          <w:b/>
          <w:spacing w:val="0"/>
          <w:sz w:val="22"/>
          <w:szCs w:val="24"/>
          <w:rtl/>
        </w:rPr>
        <w:t xml:space="preserve"> בנק המזרחי</w:t>
      </w:r>
      <w:r w:rsidRPr="008A6265">
        <w:rPr>
          <w:rFonts w:hint="cs"/>
          <w:rtl/>
        </w:rPr>
        <w:t xml:space="preserve"> </w:t>
      </w:r>
      <w:r>
        <w:rPr>
          <w:rFonts w:hint="cs"/>
          <w:rtl/>
        </w:rPr>
        <w:t>עצמו. עם זאת, מתיר אני לעצמי להעלות מספר הסתייגויות להלכה במסגרת זו. לעניות דעתי, תשובה מפורשת, מפורטת וברורה טרם ניתנה לסוגיית הסמכות לבקר</w:t>
      </w:r>
      <w:r w:rsidR="008A6057">
        <w:rPr>
          <w:rFonts w:hint="cs"/>
          <w:rtl/>
        </w:rPr>
        <w:t xml:space="preserve"> חוקים, זאת</w:t>
      </w:r>
      <w:r>
        <w:rPr>
          <w:rFonts w:hint="cs"/>
          <w:rtl/>
        </w:rPr>
        <w:t xml:space="preserve"> מפאת העובדה שמדובר במציאות שצברה תאוצה, חלחלה עמוק לתוך המלאכה השיפוטית ואין מי שיתהה על הראשונות. </w:t>
      </w:r>
    </w:p>
    <w:p w:rsidR="00737972" w:rsidRDefault="00737972" w:rsidP="00737972">
      <w:pPr>
        <w:pStyle w:val="Ruller4"/>
        <w:numPr>
          <w:ilvl w:val="0"/>
          <w:numId w:val="0"/>
        </w:numPr>
        <w:rPr>
          <w:rtl/>
        </w:rPr>
      </w:pPr>
    </w:p>
    <w:p w:rsidR="00737972" w:rsidRDefault="00737972" w:rsidP="00737972">
      <w:pPr>
        <w:pStyle w:val="Ruller4"/>
        <w:rPr>
          <w:rtl/>
        </w:rPr>
      </w:pPr>
      <w:r>
        <w:rPr>
          <w:rFonts w:hint="cs"/>
          <w:rtl/>
        </w:rPr>
        <w:t xml:space="preserve">חברי השופט </w:t>
      </w:r>
      <w:r>
        <w:rPr>
          <w:rFonts w:ascii="Century" w:hAnsi="Century" w:cs="Miriam" w:hint="cs"/>
          <w:b/>
          <w:spacing w:val="0"/>
          <w:sz w:val="22"/>
          <w:szCs w:val="24"/>
          <w:rtl/>
        </w:rPr>
        <w:t xml:space="preserve">י' </w:t>
      </w:r>
      <w:r w:rsidRPr="005470B7">
        <w:rPr>
          <w:rFonts w:ascii="Century" w:hAnsi="Century" w:cs="Miriam" w:hint="cs"/>
          <w:b/>
          <w:spacing w:val="0"/>
          <w:sz w:val="22"/>
          <w:szCs w:val="24"/>
          <w:rtl/>
        </w:rPr>
        <w:t>עמית</w:t>
      </w:r>
      <w:r>
        <w:rPr>
          <w:rFonts w:hint="cs"/>
          <w:rtl/>
        </w:rPr>
        <w:t xml:space="preserve"> דוחה בהינף יד את התהיות שהעליתי בעבר בדבר סמכות בית משפט זה לבטל חוקים רגילים באומרו כי </w:t>
      </w:r>
      <w:r w:rsidRPr="00FB58FB">
        <w:rPr>
          <w:rFonts w:ascii="Century" w:hAnsi="Century" w:cs="Miriam" w:hint="cs"/>
          <w:b/>
          <w:spacing w:val="0"/>
          <w:sz w:val="22"/>
          <w:szCs w:val="24"/>
          <w:rtl/>
        </w:rPr>
        <w:t>אין להן בסיס</w:t>
      </w:r>
      <w:r>
        <w:rPr>
          <w:rFonts w:hint="cs"/>
          <w:rtl/>
        </w:rPr>
        <w:t xml:space="preserve"> (פסקה 10 לחוות דעתו). תחילה דוחה חברי את הטענה כי קיימת עמימות ביחס לכוונת המחוקק-המכונן בכל הקשור לסוגיית הביקורת השיפוטית על חוקים, בהפנותו למאמר של אמנון רובינשטיין "סיפורם של חוקי-היסוד" </w:t>
      </w:r>
      <w:r w:rsidRPr="007D447D">
        <w:rPr>
          <w:rFonts w:ascii="Century" w:hAnsi="Century" w:cs="Miriam" w:hint="cs"/>
          <w:b/>
          <w:spacing w:val="0"/>
          <w:sz w:val="22"/>
          <w:szCs w:val="24"/>
          <w:rtl/>
        </w:rPr>
        <w:t>משפט ועסקים</w:t>
      </w:r>
      <w:r w:rsidRPr="007D447D">
        <w:rPr>
          <w:rFonts w:hint="cs"/>
          <w:rtl/>
        </w:rPr>
        <w:t xml:space="preserve"> </w:t>
      </w:r>
      <w:r>
        <w:rPr>
          <w:rFonts w:hint="cs"/>
          <w:rtl/>
        </w:rPr>
        <w:t xml:space="preserve">יד 79 (2012) (להלן: </w:t>
      </w:r>
      <w:r w:rsidRPr="00504395">
        <w:rPr>
          <w:rFonts w:ascii="Century" w:hAnsi="Century" w:cs="Miriam" w:hint="eastAsia"/>
          <w:b/>
          <w:spacing w:val="0"/>
          <w:sz w:val="22"/>
          <w:szCs w:val="24"/>
          <w:rtl/>
        </w:rPr>
        <w:t>רובינשטיין</w:t>
      </w:r>
      <w:r>
        <w:rPr>
          <w:rFonts w:ascii="Century" w:hAnsi="Century" w:cs="Miriam" w:hint="cs"/>
          <w:b/>
          <w:spacing w:val="0"/>
          <w:sz w:val="22"/>
          <w:szCs w:val="24"/>
          <w:rtl/>
        </w:rPr>
        <w:t>,</w:t>
      </w:r>
      <w:r w:rsidRPr="00935AA4">
        <w:rPr>
          <w:rtl/>
        </w:rPr>
        <w:t xml:space="preserve"> </w:t>
      </w:r>
      <w:r w:rsidRPr="00090C65">
        <w:rPr>
          <w:rFonts w:ascii="Century" w:hAnsi="Century" w:cs="Miriam" w:hint="cs"/>
          <w:b/>
          <w:spacing w:val="0"/>
          <w:sz w:val="22"/>
          <w:szCs w:val="24"/>
          <w:rtl/>
        </w:rPr>
        <w:t>סיפורם של חוקי-היסוד</w:t>
      </w:r>
      <w:r>
        <w:rPr>
          <w:rFonts w:hint="cs"/>
          <w:rtl/>
        </w:rPr>
        <w:t xml:space="preserve">), בו צוין כי מהפרוטוקולים של הדיונים בוועדת החוקה, חוק ומשפט של הכנסת בנוגע לחקיקת חוקי היסוד עולה כי חברי הכנסת היו ערים לכך שחוקי היסוד נותנים בידי בית המשפט את הסמכות לפסילת חוק וכי "נושא הביקורת השיפוטית היה ידוע לחברי-הכנסת מיומו הראשון של הליך החקיקה" (שם, עמ' 108); ובהפנותו לדבריו של חבר הכנסת אוריאל לין, שעמד בראש ועדת החוקה, אשר "העיד" כי המהפכה החוקתית הייתה מעשה מודע ומכוון של הכנסת (אוריאל לין ושלומי לויה </w:t>
      </w:r>
      <w:r w:rsidRPr="00337CC8">
        <w:rPr>
          <w:rFonts w:ascii="Century" w:hAnsi="Century" w:cs="Miriam" w:hint="cs"/>
          <w:b/>
          <w:spacing w:val="0"/>
          <w:sz w:val="22"/>
          <w:szCs w:val="24"/>
          <w:rtl/>
        </w:rPr>
        <w:t>כיצד שונתה השיטה הפוליטית בישראל</w:t>
      </w:r>
      <w:r w:rsidRPr="00337CC8">
        <w:rPr>
          <w:rFonts w:hint="cs"/>
          <w:rtl/>
        </w:rPr>
        <w:t xml:space="preserve"> </w:t>
      </w:r>
      <w:r w:rsidRPr="00504395">
        <w:rPr>
          <w:rFonts w:ascii="Century" w:hAnsi="Century" w:cs="Miriam"/>
          <w:b/>
          <w:spacing w:val="0"/>
          <w:sz w:val="22"/>
          <w:szCs w:val="24"/>
          <w:rtl/>
        </w:rPr>
        <w:t>2022-1990</w:t>
      </w:r>
      <w:r w:rsidRPr="00C66885">
        <w:rPr>
          <w:rtl/>
        </w:rPr>
        <w:t xml:space="preserve"> </w:t>
      </w:r>
      <w:r>
        <w:rPr>
          <w:rFonts w:hint="cs"/>
          <w:rtl/>
        </w:rPr>
        <w:t xml:space="preserve">(מהדורה שנייה, 2022)). "עדויות" אלה מכריעות את הכף לשיטת חברי בהתייחס לסוגיה הנכבדה הנוגעת להשתלשלות חקיקת חוקי היסוד </w:t>
      </w:r>
      <w:r>
        <w:rPr>
          <w:rtl/>
        </w:rPr>
        <w:t>–</w:t>
      </w:r>
      <w:r>
        <w:rPr>
          <w:rFonts w:hint="cs"/>
          <w:rtl/>
        </w:rPr>
        <w:t xml:space="preserve"> חוק יסוד: חופש העיסוק וחוק יסוד: כבוד האדם וחירותו </w:t>
      </w:r>
      <w:r>
        <w:rPr>
          <w:rtl/>
        </w:rPr>
        <w:t>–</w:t>
      </w:r>
      <w:r>
        <w:rPr>
          <w:rFonts w:hint="cs"/>
          <w:rtl/>
        </w:rPr>
        <w:t xml:space="preserve"> וכוונת המחוקק-המכונן שעמדה ביסודם. </w:t>
      </w:r>
    </w:p>
    <w:p w:rsidR="00737972" w:rsidRDefault="00737972" w:rsidP="00737972">
      <w:pPr>
        <w:pStyle w:val="Ruller41"/>
        <w:rPr>
          <w:rtl/>
        </w:rPr>
      </w:pPr>
    </w:p>
    <w:p w:rsidR="00737972" w:rsidRDefault="00737972" w:rsidP="00737972">
      <w:pPr>
        <w:pStyle w:val="Ruller41"/>
        <w:rPr>
          <w:rtl/>
        </w:rPr>
      </w:pPr>
      <w:r>
        <w:rPr>
          <w:rtl/>
        </w:rPr>
        <w:tab/>
      </w:r>
      <w:r>
        <w:rPr>
          <w:rFonts w:hint="cs"/>
          <w:rtl/>
        </w:rPr>
        <w:t>ברם, בראשית הדברים יש לציין כי כלל לא ברור אם לצורך הכרעה בשאלת קיומה של סמכות לבקר דבר חקיקה דרושה כניסה ל"מכונת הזמן" לשם הבירור ההיסטורי בהתייחס לכוונתו הסובייקטיבית של המחוקק-המכונן משנת 1992 או 1994, כדוגמת זה אליו מכוון חברי. אולם שעה שחברי הכניס ראשו לתוך קלחת זו, אעמיד דברים מבחינתי על דיוקם ולוּ כדי להפיס את הדעת וכדי לבסס את חוות דעתי כיאות.</w:t>
      </w:r>
    </w:p>
    <w:p w:rsidR="00737972" w:rsidRDefault="00737972" w:rsidP="00737972">
      <w:pPr>
        <w:pStyle w:val="Ruller41"/>
        <w:rPr>
          <w:rtl/>
        </w:rPr>
      </w:pPr>
    </w:p>
    <w:p w:rsidR="00737972" w:rsidRDefault="00737972" w:rsidP="00737972">
      <w:pPr>
        <w:pStyle w:val="Ruller4"/>
        <w:rPr>
          <w:rtl/>
        </w:rPr>
      </w:pPr>
      <w:r w:rsidRPr="00222554">
        <w:rPr>
          <w:rFonts w:hint="eastAsia"/>
          <w:rtl/>
        </w:rPr>
        <w:t>הנחת</w:t>
      </w:r>
      <w:r w:rsidRPr="00222554">
        <w:rPr>
          <w:rtl/>
        </w:rPr>
        <w:t xml:space="preserve"> </w:t>
      </w:r>
      <w:r w:rsidRPr="00222554">
        <w:rPr>
          <w:rFonts w:hint="eastAsia"/>
          <w:rtl/>
        </w:rPr>
        <w:t>היסוד</w:t>
      </w:r>
      <w:r w:rsidRPr="00222554">
        <w:rPr>
          <w:rtl/>
        </w:rPr>
        <w:t xml:space="preserve"> </w:t>
      </w:r>
      <w:r w:rsidRPr="00222554">
        <w:rPr>
          <w:rFonts w:hint="eastAsia"/>
          <w:rtl/>
        </w:rPr>
        <w:t>היא</w:t>
      </w:r>
      <w:r w:rsidRPr="00222554">
        <w:rPr>
          <w:rtl/>
        </w:rPr>
        <w:t xml:space="preserve"> </w:t>
      </w:r>
      <w:r w:rsidRPr="00222554">
        <w:rPr>
          <w:rFonts w:hint="eastAsia"/>
          <w:rtl/>
        </w:rPr>
        <w:t>כי</w:t>
      </w:r>
      <w:r w:rsidRPr="00222554">
        <w:rPr>
          <w:rtl/>
        </w:rPr>
        <w:t xml:space="preserve"> </w:t>
      </w:r>
      <w:r w:rsidRPr="00222554">
        <w:rPr>
          <w:rFonts w:hint="eastAsia"/>
          <w:rtl/>
        </w:rPr>
        <w:t>הניסיון</w:t>
      </w:r>
      <w:r w:rsidRPr="00222554">
        <w:rPr>
          <w:rtl/>
        </w:rPr>
        <w:t xml:space="preserve"> </w:t>
      </w:r>
      <w:r w:rsidRPr="00222554">
        <w:rPr>
          <w:rFonts w:hint="eastAsia"/>
          <w:rtl/>
        </w:rPr>
        <w:t>ללמוד</w:t>
      </w:r>
      <w:r w:rsidRPr="00222554">
        <w:rPr>
          <w:rtl/>
        </w:rPr>
        <w:t xml:space="preserve"> </w:t>
      </w:r>
      <w:r w:rsidRPr="00222554">
        <w:rPr>
          <w:rFonts w:hint="eastAsia"/>
          <w:rtl/>
        </w:rPr>
        <w:t>על</w:t>
      </w:r>
      <w:r w:rsidRPr="00222554">
        <w:rPr>
          <w:rtl/>
        </w:rPr>
        <w:t xml:space="preserve"> "</w:t>
      </w:r>
      <w:r w:rsidRPr="00222554">
        <w:rPr>
          <w:rFonts w:hint="eastAsia"/>
          <w:rtl/>
        </w:rPr>
        <w:t>כוונת</w:t>
      </w:r>
      <w:r w:rsidRPr="00222554">
        <w:rPr>
          <w:rtl/>
        </w:rPr>
        <w:t xml:space="preserve"> </w:t>
      </w:r>
      <w:r w:rsidRPr="00222554">
        <w:rPr>
          <w:rFonts w:hint="eastAsia"/>
          <w:rtl/>
        </w:rPr>
        <w:t>המחוקק</w:t>
      </w:r>
      <w:r w:rsidRPr="00222554">
        <w:rPr>
          <w:rtl/>
        </w:rPr>
        <w:t xml:space="preserve">" </w:t>
      </w:r>
      <w:r w:rsidRPr="00222554">
        <w:rPr>
          <w:rFonts w:hint="eastAsia"/>
          <w:rtl/>
        </w:rPr>
        <w:t>מתוך</w:t>
      </w:r>
      <w:r w:rsidRPr="00222554">
        <w:rPr>
          <w:rtl/>
        </w:rPr>
        <w:t xml:space="preserve"> </w:t>
      </w:r>
      <w:r w:rsidRPr="00222554">
        <w:rPr>
          <w:rFonts w:hint="eastAsia"/>
          <w:rtl/>
        </w:rPr>
        <w:t>דברי</w:t>
      </w:r>
      <w:r w:rsidRPr="00222554">
        <w:rPr>
          <w:rtl/>
        </w:rPr>
        <w:t xml:space="preserve"> </w:t>
      </w:r>
      <w:r w:rsidRPr="00222554">
        <w:rPr>
          <w:rFonts w:hint="eastAsia"/>
          <w:rtl/>
        </w:rPr>
        <w:t>פרוטוקול</w:t>
      </w:r>
      <w:r w:rsidRPr="00222554">
        <w:rPr>
          <w:rtl/>
        </w:rPr>
        <w:t xml:space="preserve"> </w:t>
      </w:r>
      <w:r w:rsidRPr="00222554">
        <w:rPr>
          <w:rFonts w:hint="eastAsia"/>
          <w:rtl/>
        </w:rPr>
        <w:t>איזו</w:t>
      </w:r>
      <w:r w:rsidRPr="00222554">
        <w:rPr>
          <w:rtl/>
        </w:rPr>
        <w:t xml:space="preserve"> </w:t>
      </w:r>
      <w:r w:rsidRPr="00222554">
        <w:rPr>
          <w:rFonts w:hint="eastAsia"/>
          <w:rtl/>
        </w:rPr>
        <w:t>מוועדות</w:t>
      </w:r>
      <w:r w:rsidRPr="00222554">
        <w:rPr>
          <w:rtl/>
        </w:rPr>
        <w:t xml:space="preserve"> </w:t>
      </w:r>
      <w:r w:rsidRPr="00222554">
        <w:rPr>
          <w:rFonts w:hint="eastAsia"/>
          <w:rtl/>
        </w:rPr>
        <w:t>הכנסת</w:t>
      </w:r>
      <w:r w:rsidRPr="00222554">
        <w:rPr>
          <w:rtl/>
        </w:rPr>
        <w:t xml:space="preserve"> </w:t>
      </w:r>
      <w:r w:rsidRPr="00222554">
        <w:rPr>
          <w:rFonts w:hint="eastAsia"/>
          <w:rtl/>
        </w:rPr>
        <w:t>הוא</w:t>
      </w:r>
      <w:r w:rsidRPr="00222554">
        <w:rPr>
          <w:rtl/>
        </w:rPr>
        <w:t xml:space="preserve"> </w:t>
      </w:r>
      <w:r w:rsidRPr="00222554">
        <w:rPr>
          <w:rFonts w:hint="eastAsia"/>
          <w:rtl/>
        </w:rPr>
        <w:t>פעמים</w:t>
      </w:r>
      <w:r w:rsidRPr="00222554">
        <w:rPr>
          <w:rtl/>
        </w:rPr>
        <w:t xml:space="preserve"> </w:t>
      </w:r>
      <w:r w:rsidRPr="00222554">
        <w:rPr>
          <w:rFonts w:hint="eastAsia"/>
          <w:rtl/>
        </w:rPr>
        <w:t>רבות</w:t>
      </w:r>
      <w:r w:rsidRPr="00222554">
        <w:rPr>
          <w:rtl/>
        </w:rPr>
        <w:t xml:space="preserve"> </w:t>
      </w:r>
      <w:r w:rsidRPr="00222554">
        <w:rPr>
          <w:rFonts w:hint="eastAsia"/>
          <w:rtl/>
        </w:rPr>
        <w:t>מורכב</w:t>
      </w:r>
      <w:r w:rsidRPr="00222554">
        <w:rPr>
          <w:rtl/>
        </w:rPr>
        <w:t xml:space="preserve"> (</w:t>
      </w:r>
      <w:r w:rsidRPr="00222554">
        <w:rPr>
          <w:rFonts w:hint="eastAsia"/>
          <w:rtl/>
        </w:rPr>
        <w:t>וראו</w:t>
      </w:r>
      <w:r w:rsidRPr="00222554">
        <w:rPr>
          <w:rtl/>
        </w:rPr>
        <w:t xml:space="preserve"> </w:t>
      </w:r>
      <w:r w:rsidRPr="00222554">
        <w:rPr>
          <w:rFonts w:hint="eastAsia"/>
          <w:rtl/>
        </w:rPr>
        <w:t>למשל</w:t>
      </w:r>
      <w:r w:rsidRPr="00222554">
        <w:rPr>
          <w:rtl/>
        </w:rPr>
        <w:t xml:space="preserve">: </w:t>
      </w:r>
      <w:r w:rsidRPr="00222554">
        <w:rPr>
          <w:rFonts w:hint="eastAsia"/>
          <w:rtl/>
        </w:rPr>
        <w:t>רע</w:t>
      </w:r>
      <w:r w:rsidRPr="00222554">
        <w:rPr>
          <w:rtl/>
        </w:rPr>
        <w:t>"</w:t>
      </w:r>
      <w:r w:rsidRPr="00222554">
        <w:rPr>
          <w:rFonts w:hint="eastAsia"/>
          <w:rtl/>
        </w:rPr>
        <w:t>א</w:t>
      </w:r>
      <w:r w:rsidRPr="00222554">
        <w:rPr>
          <w:rtl/>
        </w:rPr>
        <w:t xml:space="preserve"> 10011/17 </w:t>
      </w:r>
      <w:r w:rsidRPr="00222554">
        <w:rPr>
          <w:rFonts w:ascii="Century" w:hAnsi="Century" w:cs="Miriam" w:hint="eastAsia"/>
          <w:b/>
          <w:spacing w:val="0"/>
          <w:sz w:val="22"/>
          <w:szCs w:val="24"/>
          <w:rtl/>
        </w:rPr>
        <w:t>מי</w:t>
      </w:r>
      <w:r w:rsidRPr="00222554">
        <w:rPr>
          <w:rFonts w:ascii="Century" w:hAnsi="Century" w:cs="Miriam"/>
          <w:b/>
          <w:spacing w:val="0"/>
          <w:sz w:val="22"/>
          <w:szCs w:val="24"/>
          <w:rtl/>
        </w:rPr>
        <w:t>-</w:t>
      </w:r>
      <w:r w:rsidRPr="00222554">
        <w:rPr>
          <w:rFonts w:ascii="Century" w:hAnsi="Century" w:cs="Miriam" w:hint="eastAsia"/>
          <w:b/>
          <w:spacing w:val="0"/>
          <w:sz w:val="22"/>
          <w:szCs w:val="24"/>
          <w:rtl/>
        </w:rPr>
        <w:t>טל</w:t>
      </w:r>
      <w:r w:rsidRPr="00222554">
        <w:rPr>
          <w:rFonts w:ascii="Century" w:hAnsi="Century" w:cs="Miriam"/>
          <w:b/>
          <w:spacing w:val="0"/>
          <w:sz w:val="22"/>
          <w:szCs w:val="24"/>
          <w:rtl/>
        </w:rPr>
        <w:t xml:space="preserve"> </w:t>
      </w:r>
      <w:r w:rsidRPr="00222554">
        <w:rPr>
          <w:rFonts w:ascii="Century" w:hAnsi="Century" w:cs="Miriam" w:hint="eastAsia"/>
          <w:b/>
          <w:spacing w:val="0"/>
          <w:sz w:val="22"/>
          <w:szCs w:val="24"/>
          <w:rtl/>
        </w:rPr>
        <w:t>הנדסה</w:t>
      </w:r>
      <w:r w:rsidRPr="00222554">
        <w:rPr>
          <w:rFonts w:ascii="Century" w:hAnsi="Century" w:cs="Miriam"/>
          <w:b/>
          <w:spacing w:val="0"/>
          <w:sz w:val="22"/>
          <w:szCs w:val="24"/>
          <w:rtl/>
        </w:rPr>
        <w:t xml:space="preserve"> </w:t>
      </w:r>
      <w:r w:rsidRPr="00222554">
        <w:rPr>
          <w:rFonts w:ascii="Century" w:hAnsi="Century" w:cs="Miriam" w:hint="eastAsia"/>
          <w:b/>
          <w:spacing w:val="0"/>
          <w:sz w:val="22"/>
          <w:szCs w:val="24"/>
          <w:rtl/>
        </w:rPr>
        <w:t>ושירותים</w:t>
      </w:r>
      <w:r w:rsidRPr="00222554">
        <w:rPr>
          <w:rFonts w:ascii="Century" w:hAnsi="Century" w:cs="Miriam"/>
          <w:b/>
          <w:spacing w:val="0"/>
          <w:sz w:val="22"/>
          <w:szCs w:val="24"/>
          <w:rtl/>
        </w:rPr>
        <w:t xml:space="preserve"> </w:t>
      </w:r>
      <w:r w:rsidRPr="00222554">
        <w:rPr>
          <w:rFonts w:ascii="Century" w:hAnsi="Century" w:cs="Miriam" w:hint="eastAsia"/>
          <w:b/>
          <w:spacing w:val="0"/>
          <w:sz w:val="22"/>
          <w:szCs w:val="24"/>
          <w:rtl/>
        </w:rPr>
        <w:t>בע</w:t>
      </w:r>
      <w:r w:rsidRPr="00222554">
        <w:rPr>
          <w:rFonts w:ascii="Century" w:hAnsi="Century" w:cs="Miriam"/>
          <w:b/>
          <w:spacing w:val="0"/>
          <w:sz w:val="22"/>
          <w:szCs w:val="24"/>
          <w:rtl/>
        </w:rPr>
        <w:t>"</w:t>
      </w:r>
      <w:r w:rsidRPr="00222554">
        <w:rPr>
          <w:rFonts w:ascii="Century" w:hAnsi="Century" w:cs="Miriam" w:hint="eastAsia"/>
          <w:b/>
          <w:spacing w:val="0"/>
          <w:sz w:val="22"/>
          <w:szCs w:val="24"/>
          <w:rtl/>
        </w:rPr>
        <w:t>מ</w:t>
      </w:r>
      <w:r w:rsidRPr="00222554">
        <w:rPr>
          <w:rFonts w:ascii="Century" w:hAnsi="Century" w:cs="Miriam"/>
          <w:b/>
          <w:spacing w:val="0"/>
          <w:sz w:val="22"/>
          <w:szCs w:val="24"/>
          <w:rtl/>
        </w:rPr>
        <w:t xml:space="preserve"> </w:t>
      </w:r>
      <w:r w:rsidRPr="00222554">
        <w:rPr>
          <w:rFonts w:ascii="Century" w:hAnsi="Century" w:cs="Miriam" w:hint="eastAsia"/>
          <w:b/>
          <w:spacing w:val="0"/>
          <w:sz w:val="22"/>
          <w:szCs w:val="24"/>
          <w:rtl/>
        </w:rPr>
        <w:t>נ</w:t>
      </w:r>
      <w:r w:rsidRPr="00222554">
        <w:rPr>
          <w:rFonts w:ascii="Century" w:hAnsi="Century" w:cs="Miriam"/>
          <w:b/>
          <w:spacing w:val="0"/>
          <w:sz w:val="22"/>
          <w:szCs w:val="24"/>
          <w:rtl/>
        </w:rPr>
        <w:t xml:space="preserve">' </w:t>
      </w:r>
      <w:r w:rsidRPr="00222554">
        <w:rPr>
          <w:rFonts w:ascii="Century" w:hAnsi="Century" w:cs="Miriam" w:hint="eastAsia"/>
          <w:b/>
          <w:spacing w:val="0"/>
          <w:sz w:val="22"/>
          <w:szCs w:val="24"/>
          <w:rtl/>
        </w:rPr>
        <w:t>סלמאן</w:t>
      </w:r>
      <w:r w:rsidRPr="00222554">
        <w:rPr>
          <w:rtl/>
        </w:rPr>
        <w:t xml:space="preserve">, </w:t>
      </w:r>
      <w:r w:rsidRPr="00222554">
        <w:rPr>
          <w:rFonts w:hint="eastAsia"/>
          <w:rtl/>
        </w:rPr>
        <w:t>פסקה</w:t>
      </w:r>
      <w:r w:rsidRPr="00222554">
        <w:rPr>
          <w:rtl/>
        </w:rPr>
        <w:t xml:space="preserve"> 40 </w:t>
      </w:r>
      <w:r w:rsidRPr="00222554">
        <w:rPr>
          <w:rFonts w:hint="eastAsia"/>
          <w:rtl/>
        </w:rPr>
        <w:t>לחוות</w:t>
      </w:r>
      <w:r w:rsidRPr="00222554">
        <w:rPr>
          <w:rtl/>
        </w:rPr>
        <w:t xml:space="preserve"> </w:t>
      </w:r>
      <w:r w:rsidRPr="00222554">
        <w:rPr>
          <w:rFonts w:hint="eastAsia"/>
          <w:rtl/>
        </w:rPr>
        <w:t>דעתו</w:t>
      </w:r>
      <w:r w:rsidRPr="00222554">
        <w:rPr>
          <w:rtl/>
        </w:rPr>
        <w:t xml:space="preserve"> </w:t>
      </w:r>
      <w:r w:rsidRPr="00222554">
        <w:rPr>
          <w:rFonts w:hint="eastAsia"/>
          <w:rtl/>
        </w:rPr>
        <w:t>של</w:t>
      </w:r>
      <w:r w:rsidRPr="00222554">
        <w:rPr>
          <w:rtl/>
        </w:rPr>
        <w:t xml:space="preserve"> </w:t>
      </w:r>
      <w:r w:rsidRPr="00222554">
        <w:rPr>
          <w:rFonts w:hint="eastAsia"/>
          <w:rtl/>
        </w:rPr>
        <w:t>השופט</w:t>
      </w:r>
      <w:r w:rsidRPr="00222554">
        <w:rPr>
          <w:rtl/>
        </w:rPr>
        <w:t xml:space="preserve"> </w:t>
      </w:r>
      <w:r w:rsidRPr="00222554">
        <w:rPr>
          <w:rFonts w:ascii="Century" w:hAnsi="Century" w:cs="Miriam" w:hint="eastAsia"/>
          <w:b/>
          <w:spacing w:val="0"/>
          <w:sz w:val="22"/>
          <w:szCs w:val="24"/>
          <w:rtl/>
        </w:rPr>
        <w:t>מ</w:t>
      </w:r>
      <w:r w:rsidRPr="00222554">
        <w:rPr>
          <w:rFonts w:ascii="Century" w:hAnsi="Century" w:cs="Miriam"/>
          <w:b/>
          <w:spacing w:val="0"/>
          <w:sz w:val="22"/>
          <w:szCs w:val="24"/>
          <w:rtl/>
        </w:rPr>
        <w:t xml:space="preserve">' </w:t>
      </w:r>
      <w:r w:rsidRPr="00222554">
        <w:rPr>
          <w:rFonts w:ascii="Century" w:hAnsi="Century" w:cs="Miriam" w:hint="eastAsia"/>
          <w:b/>
          <w:spacing w:val="0"/>
          <w:sz w:val="22"/>
          <w:szCs w:val="24"/>
          <w:rtl/>
        </w:rPr>
        <w:t>מזוז</w:t>
      </w:r>
      <w:r w:rsidRPr="00222554">
        <w:rPr>
          <w:rtl/>
        </w:rPr>
        <w:t xml:space="preserve"> (19.8.2019); </w:t>
      </w:r>
      <w:r w:rsidRPr="00222554">
        <w:rPr>
          <w:rFonts w:hint="eastAsia"/>
          <w:rtl/>
        </w:rPr>
        <w:lastRenderedPageBreak/>
        <w:t>בג</w:t>
      </w:r>
      <w:r w:rsidRPr="00222554">
        <w:rPr>
          <w:rtl/>
        </w:rPr>
        <w:t>"</w:t>
      </w:r>
      <w:r w:rsidRPr="00222554">
        <w:rPr>
          <w:rFonts w:hint="eastAsia"/>
          <w:rtl/>
        </w:rPr>
        <w:t>ץ</w:t>
      </w:r>
      <w:r w:rsidRPr="00222554">
        <w:rPr>
          <w:rtl/>
        </w:rPr>
        <w:t xml:space="preserve"> 5555/18 </w:t>
      </w:r>
      <w:r w:rsidRPr="00222554">
        <w:rPr>
          <w:rFonts w:ascii="Century" w:hAnsi="Century" w:cs="Miriam" w:hint="eastAsia"/>
          <w:b/>
          <w:spacing w:val="0"/>
          <w:sz w:val="22"/>
          <w:szCs w:val="24"/>
          <w:rtl/>
        </w:rPr>
        <w:t>חסון</w:t>
      </w:r>
      <w:r w:rsidRPr="00222554">
        <w:rPr>
          <w:rFonts w:ascii="Century" w:hAnsi="Century" w:cs="Miriam"/>
          <w:b/>
          <w:spacing w:val="0"/>
          <w:sz w:val="22"/>
          <w:szCs w:val="24"/>
          <w:rtl/>
        </w:rPr>
        <w:t xml:space="preserve"> </w:t>
      </w:r>
      <w:r w:rsidRPr="00222554">
        <w:rPr>
          <w:rFonts w:ascii="Century" w:hAnsi="Century" w:cs="Miriam" w:hint="eastAsia"/>
          <w:b/>
          <w:spacing w:val="0"/>
          <w:sz w:val="22"/>
          <w:szCs w:val="24"/>
          <w:rtl/>
        </w:rPr>
        <w:t>נ</w:t>
      </w:r>
      <w:r w:rsidRPr="00222554">
        <w:rPr>
          <w:rFonts w:ascii="Century" w:hAnsi="Century" w:cs="Miriam"/>
          <w:b/>
          <w:spacing w:val="0"/>
          <w:sz w:val="22"/>
          <w:szCs w:val="24"/>
          <w:rtl/>
        </w:rPr>
        <w:t xml:space="preserve">' </w:t>
      </w:r>
      <w:r w:rsidRPr="00222554">
        <w:rPr>
          <w:rFonts w:ascii="Century" w:hAnsi="Century" w:cs="Miriam" w:hint="eastAsia"/>
          <w:b/>
          <w:spacing w:val="0"/>
          <w:sz w:val="22"/>
          <w:szCs w:val="24"/>
          <w:rtl/>
        </w:rPr>
        <w:t>כנסת</w:t>
      </w:r>
      <w:r w:rsidRPr="00222554">
        <w:rPr>
          <w:rFonts w:ascii="Century" w:hAnsi="Century" w:cs="Miriam"/>
          <w:b/>
          <w:spacing w:val="0"/>
          <w:sz w:val="22"/>
          <w:szCs w:val="24"/>
          <w:rtl/>
        </w:rPr>
        <w:t xml:space="preserve"> </w:t>
      </w:r>
      <w:r w:rsidRPr="00222554">
        <w:rPr>
          <w:rFonts w:ascii="Century" w:hAnsi="Century" w:cs="Miriam" w:hint="eastAsia"/>
          <w:b/>
          <w:spacing w:val="0"/>
          <w:sz w:val="22"/>
          <w:szCs w:val="24"/>
          <w:rtl/>
        </w:rPr>
        <w:t>ישראל</w:t>
      </w:r>
      <w:r w:rsidRPr="00222554">
        <w:rPr>
          <w:rtl/>
        </w:rPr>
        <w:t xml:space="preserve">, </w:t>
      </w:r>
      <w:r w:rsidRPr="00222554">
        <w:rPr>
          <w:rFonts w:hint="eastAsia"/>
          <w:rtl/>
        </w:rPr>
        <w:t>פסקה</w:t>
      </w:r>
      <w:r w:rsidRPr="00222554">
        <w:rPr>
          <w:rtl/>
        </w:rPr>
        <w:t xml:space="preserve"> 76 </w:t>
      </w:r>
      <w:r w:rsidRPr="00222554">
        <w:rPr>
          <w:rFonts w:hint="eastAsia"/>
          <w:rtl/>
        </w:rPr>
        <w:t>לחוות</w:t>
      </w:r>
      <w:r w:rsidRPr="00222554">
        <w:rPr>
          <w:rtl/>
        </w:rPr>
        <w:t xml:space="preserve"> </w:t>
      </w:r>
      <w:r w:rsidRPr="00222554">
        <w:rPr>
          <w:rFonts w:hint="eastAsia"/>
          <w:rtl/>
        </w:rPr>
        <w:t>דעתה</w:t>
      </w:r>
      <w:r w:rsidRPr="00222554">
        <w:rPr>
          <w:rtl/>
        </w:rPr>
        <w:t xml:space="preserve"> </w:t>
      </w:r>
      <w:r w:rsidRPr="00222554">
        <w:rPr>
          <w:rFonts w:hint="eastAsia"/>
          <w:rtl/>
        </w:rPr>
        <w:t>של</w:t>
      </w:r>
      <w:r w:rsidRPr="00222554">
        <w:rPr>
          <w:rtl/>
        </w:rPr>
        <w:t xml:space="preserve"> </w:t>
      </w:r>
      <w:r w:rsidRPr="00222554">
        <w:rPr>
          <w:rFonts w:hint="eastAsia"/>
          <w:rtl/>
        </w:rPr>
        <w:t>הנשיאה</w:t>
      </w:r>
      <w:r w:rsidRPr="00222554">
        <w:rPr>
          <w:rtl/>
        </w:rPr>
        <w:t xml:space="preserve"> (</w:t>
      </w:r>
      <w:r w:rsidRPr="00222554">
        <w:rPr>
          <w:rFonts w:hint="eastAsia"/>
          <w:rtl/>
        </w:rPr>
        <w:t>בדימ</w:t>
      </w:r>
      <w:r w:rsidRPr="00222554">
        <w:rPr>
          <w:rtl/>
        </w:rPr>
        <w:t>') (</w:t>
      </w:r>
      <w:r w:rsidRPr="00222554">
        <w:rPr>
          <w:rFonts w:hint="eastAsia"/>
          <w:rtl/>
        </w:rPr>
        <w:t>להלן</w:t>
      </w:r>
      <w:r w:rsidRPr="00222554">
        <w:rPr>
          <w:rtl/>
        </w:rPr>
        <w:t xml:space="preserve">: </w:t>
      </w:r>
      <w:r w:rsidRPr="00222554">
        <w:rPr>
          <w:rFonts w:hint="eastAsia"/>
          <w:rtl/>
        </w:rPr>
        <w:t>עניין</w:t>
      </w:r>
      <w:r w:rsidRPr="00222554">
        <w:rPr>
          <w:rtl/>
        </w:rPr>
        <w:t xml:space="preserve"> </w:t>
      </w:r>
      <w:r w:rsidRPr="00222554">
        <w:rPr>
          <w:rFonts w:ascii="Century" w:hAnsi="Century" w:cs="Miriam" w:hint="eastAsia"/>
          <w:b/>
          <w:spacing w:val="0"/>
          <w:sz w:val="22"/>
          <w:szCs w:val="24"/>
          <w:rtl/>
        </w:rPr>
        <w:t>חוק</w:t>
      </w:r>
      <w:r w:rsidRPr="00222554">
        <w:rPr>
          <w:rFonts w:ascii="Century" w:hAnsi="Century" w:cs="Miriam"/>
          <w:b/>
          <w:spacing w:val="0"/>
          <w:sz w:val="22"/>
          <w:szCs w:val="24"/>
          <w:rtl/>
        </w:rPr>
        <w:t xml:space="preserve"> </w:t>
      </w:r>
      <w:r w:rsidRPr="00222554">
        <w:rPr>
          <w:rFonts w:ascii="Century" w:hAnsi="Century" w:cs="Miriam" w:hint="eastAsia"/>
          <w:b/>
          <w:spacing w:val="0"/>
          <w:sz w:val="22"/>
          <w:szCs w:val="24"/>
          <w:rtl/>
        </w:rPr>
        <w:t>הלאום</w:t>
      </w:r>
      <w:r w:rsidRPr="00222554">
        <w:rPr>
          <w:rtl/>
        </w:rPr>
        <w:t xml:space="preserve">); </w:t>
      </w:r>
      <w:r w:rsidRPr="00222554">
        <w:rPr>
          <w:rFonts w:hint="eastAsia"/>
          <w:rtl/>
        </w:rPr>
        <w:t>וראו</w:t>
      </w:r>
      <w:r w:rsidRPr="00222554">
        <w:rPr>
          <w:rtl/>
        </w:rPr>
        <w:t xml:space="preserve"> </w:t>
      </w:r>
      <w:r w:rsidRPr="00222554">
        <w:rPr>
          <w:rFonts w:hint="eastAsia"/>
          <w:rtl/>
        </w:rPr>
        <w:t>גם</w:t>
      </w:r>
      <w:r w:rsidRPr="00222554">
        <w:rPr>
          <w:rtl/>
        </w:rPr>
        <w:t xml:space="preserve"> </w:t>
      </w:r>
      <w:r w:rsidRPr="00222554">
        <w:rPr>
          <w:rFonts w:hint="eastAsia"/>
          <w:rtl/>
        </w:rPr>
        <w:t>עמדתו</w:t>
      </w:r>
      <w:r w:rsidRPr="00222554">
        <w:rPr>
          <w:rtl/>
        </w:rPr>
        <w:t xml:space="preserve"> </w:t>
      </w:r>
      <w:r w:rsidRPr="00222554">
        <w:rPr>
          <w:rFonts w:hint="eastAsia"/>
          <w:rtl/>
        </w:rPr>
        <w:t>של</w:t>
      </w:r>
      <w:r w:rsidRPr="00222554">
        <w:rPr>
          <w:rtl/>
        </w:rPr>
        <w:t xml:space="preserve"> </w:t>
      </w:r>
      <w:r>
        <w:rPr>
          <w:rFonts w:hint="cs"/>
          <w:rtl/>
        </w:rPr>
        <w:t xml:space="preserve">הנשיא (בדימ') </w:t>
      </w:r>
      <w:r w:rsidRPr="00222554">
        <w:rPr>
          <w:rFonts w:ascii="Century" w:hAnsi="Century" w:cs="Miriam" w:hint="eastAsia"/>
          <w:b/>
          <w:spacing w:val="0"/>
          <w:sz w:val="22"/>
          <w:szCs w:val="24"/>
          <w:rtl/>
        </w:rPr>
        <w:t>מ</w:t>
      </w:r>
      <w:r w:rsidRPr="00222554">
        <w:rPr>
          <w:rFonts w:ascii="Century" w:hAnsi="Century" w:cs="Miriam"/>
          <w:b/>
          <w:spacing w:val="0"/>
          <w:sz w:val="22"/>
          <w:szCs w:val="24"/>
          <w:rtl/>
        </w:rPr>
        <w:t xml:space="preserve">' </w:t>
      </w:r>
      <w:r w:rsidRPr="00222554">
        <w:rPr>
          <w:rFonts w:ascii="Century" w:hAnsi="Century" w:cs="Miriam" w:hint="eastAsia"/>
          <w:b/>
          <w:spacing w:val="0"/>
          <w:sz w:val="22"/>
          <w:szCs w:val="24"/>
          <w:rtl/>
        </w:rPr>
        <w:t>שמגר</w:t>
      </w:r>
      <w:r w:rsidRPr="00222554">
        <w:rPr>
          <w:rtl/>
        </w:rPr>
        <w:t xml:space="preserve">, </w:t>
      </w:r>
      <w:r w:rsidRPr="00222554">
        <w:rPr>
          <w:rFonts w:hint="eastAsia"/>
          <w:rtl/>
        </w:rPr>
        <w:t>בהתייחס</w:t>
      </w:r>
      <w:r w:rsidRPr="00222554">
        <w:rPr>
          <w:rtl/>
        </w:rPr>
        <w:t xml:space="preserve"> </w:t>
      </w:r>
      <w:r w:rsidRPr="00222554">
        <w:rPr>
          <w:rFonts w:hint="eastAsia"/>
          <w:rtl/>
        </w:rPr>
        <w:t>באופן</w:t>
      </w:r>
      <w:r w:rsidRPr="00222554">
        <w:rPr>
          <w:rtl/>
        </w:rPr>
        <w:t xml:space="preserve"> </w:t>
      </w:r>
      <w:r w:rsidRPr="00222554">
        <w:rPr>
          <w:rFonts w:hint="eastAsia"/>
          <w:rtl/>
        </w:rPr>
        <w:t>ספציפי</w:t>
      </w:r>
      <w:r w:rsidRPr="00222554">
        <w:rPr>
          <w:rtl/>
        </w:rPr>
        <w:t xml:space="preserve"> </w:t>
      </w:r>
      <w:r w:rsidRPr="00222554">
        <w:rPr>
          <w:rFonts w:hint="eastAsia"/>
          <w:rtl/>
        </w:rPr>
        <w:t>לסוגיה</w:t>
      </w:r>
      <w:r w:rsidRPr="00222554">
        <w:rPr>
          <w:rtl/>
        </w:rPr>
        <w:t xml:space="preserve"> </w:t>
      </w:r>
      <w:r w:rsidRPr="00222554">
        <w:rPr>
          <w:rFonts w:hint="eastAsia"/>
          <w:rtl/>
        </w:rPr>
        <w:t>מושא</w:t>
      </w:r>
      <w:r w:rsidRPr="00222554">
        <w:rPr>
          <w:rtl/>
        </w:rPr>
        <w:t xml:space="preserve"> </w:t>
      </w:r>
      <w:r w:rsidRPr="00222554">
        <w:rPr>
          <w:rFonts w:hint="eastAsia"/>
          <w:rtl/>
        </w:rPr>
        <w:t>ענייננו</w:t>
      </w:r>
      <w:r w:rsidRPr="00222554">
        <w:rPr>
          <w:rtl/>
        </w:rPr>
        <w:t xml:space="preserve">: </w:t>
      </w:r>
      <w:r w:rsidRPr="00222554">
        <w:rPr>
          <w:rFonts w:hint="eastAsia"/>
          <w:rtl/>
        </w:rPr>
        <w:t>עניין</w:t>
      </w:r>
      <w:r w:rsidRPr="00222554">
        <w:rPr>
          <w:rtl/>
        </w:rPr>
        <w:t xml:space="preserve"> </w:t>
      </w:r>
      <w:r w:rsidRPr="00222554">
        <w:rPr>
          <w:rFonts w:ascii="Century" w:hAnsi="Century" w:cs="Miriam" w:hint="eastAsia"/>
          <w:b/>
          <w:spacing w:val="0"/>
          <w:sz w:val="22"/>
          <w:szCs w:val="24"/>
          <w:rtl/>
        </w:rPr>
        <w:t>בנק</w:t>
      </w:r>
      <w:r w:rsidRPr="00222554">
        <w:rPr>
          <w:rFonts w:ascii="Century" w:hAnsi="Century" w:cs="Miriam"/>
          <w:b/>
          <w:spacing w:val="0"/>
          <w:sz w:val="22"/>
          <w:szCs w:val="24"/>
          <w:rtl/>
        </w:rPr>
        <w:t xml:space="preserve"> </w:t>
      </w:r>
      <w:r w:rsidRPr="00222554">
        <w:rPr>
          <w:rFonts w:ascii="Century" w:hAnsi="Century" w:cs="Miriam" w:hint="eastAsia"/>
          <w:b/>
          <w:spacing w:val="0"/>
          <w:sz w:val="22"/>
          <w:szCs w:val="24"/>
          <w:rtl/>
        </w:rPr>
        <w:t>המזרחי</w:t>
      </w:r>
      <w:r w:rsidRPr="00222554">
        <w:rPr>
          <w:rtl/>
        </w:rPr>
        <w:t xml:space="preserve">, </w:t>
      </w:r>
      <w:r w:rsidRPr="00222554">
        <w:rPr>
          <w:rFonts w:hint="eastAsia"/>
          <w:rtl/>
        </w:rPr>
        <w:t>עמ</w:t>
      </w:r>
      <w:r w:rsidRPr="00222554">
        <w:rPr>
          <w:rtl/>
        </w:rPr>
        <w:t>' 314-313),</w:t>
      </w:r>
      <w:r>
        <w:rPr>
          <w:rFonts w:hint="cs"/>
          <w:rtl/>
        </w:rPr>
        <w:t xml:space="preserve"> בוודאי שעה שאין חולק כי מדובר בסוגיה שהייתה שנויה במחלוקת והיו לה תומכים ומתנגדים מקצוות שונים שהביעו עמדתם בסוגיה במהלך הדיונים. העובדה שחלק מהמעורבים בהליך החקיקה ראו את פני הדברים באופן מסוים, אינה משכנעת כי כך בהכרח היו הדברים. בכל מקרה, קשה להסתמך על התרשמות רטרוספקטיבית של חברי כנסת מסוימים המנסים להציג את העבר באור מסוים, וסיבותיהם עימם. במקרה זה, לא רק שקיימות "עדויות" אחרות המצביעות על הלך דברים שונה, אלא שעיון בפרוטוקולי הוועדה מגלה תמונה מורכבת יותר מהתמונה המוחלטת עליה נסמך חברי השופט </w:t>
      </w:r>
      <w:r w:rsidRPr="00FB58FB">
        <w:rPr>
          <w:rFonts w:ascii="Century" w:hAnsi="Century" w:cs="Miriam" w:hint="eastAsia"/>
          <w:b/>
          <w:spacing w:val="0"/>
          <w:sz w:val="22"/>
          <w:szCs w:val="24"/>
          <w:rtl/>
        </w:rPr>
        <w:t>עמית</w:t>
      </w:r>
      <w:r w:rsidRPr="000D55DF">
        <w:rPr>
          <w:rFonts w:hint="cs"/>
          <w:rtl/>
        </w:rPr>
        <w:t xml:space="preserve"> </w:t>
      </w:r>
      <w:r>
        <w:rPr>
          <w:rFonts w:hint="cs"/>
          <w:rtl/>
        </w:rPr>
        <w:t>בדבריו.</w:t>
      </w:r>
    </w:p>
    <w:p w:rsidR="00737972" w:rsidRDefault="00737972" w:rsidP="00737972">
      <w:pPr>
        <w:pStyle w:val="Ruller41"/>
        <w:rPr>
          <w:rtl/>
        </w:rPr>
      </w:pPr>
    </w:p>
    <w:p w:rsidR="00737972" w:rsidRDefault="00737972" w:rsidP="00737972">
      <w:pPr>
        <w:pStyle w:val="Ruller4"/>
      </w:pPr>
      <w:r>
        <w:rPr>
          <w:rFonts w:hint="cs"/>
          <w:rtl/>
        </w:rPr>
        <w:t>כך, "עדות" המצביעה על התרשמות שונה מזו שתוארה על ידי חברי באה לידי ביטוי בתיאורה של יהודית קרפ, המשנה ליועץ המשפטי לממשלה באותה עת שליוותה גם היא את הליך החקיקה, את מהלך הדיונים בהצעות החוק: "מהדברים שנאמרו בכנסת קשה להסיק מסקנות לעניין הלך מחשבה, הסכמה או אחדות-דעים בסוגיית המעמד הנורמטיבי של חוקי-היסוד וסמכות בית-המשפט לפסול חוקים שאינם מתיישבים עמו" (</w:t>
      </w:r>
      <w:r w:rsidRPr="007D447D">
        <w:rPr>
          <w:rFonts w:hint="eastAsia"/>
          <w:rtl/>
        </w:rPr>
        <w:t>יהודית</w:t>
      </w:r>
      <w:r w:rsidRPr="007D447D">
        <w:rPr>
          <w:rtl/>
        </w:rPr>
        <w:t xml:space="preserve"> </w:t>
      </w:r>
      <w:r w:rsidRPr="007D447D">
        <w:rPr>
          <w:rFonts w:hint="eastAsia"/>
          <w:rtl/>
        </w:rPr>
        <w:t>קרפ</w:t>
      </w:r>
      <w:r w:rsidRPr="007D447D">
        <w:rPr>
          <w:rtl/>
        </w:rPr>
        <w:t xml:space="preserve"> "</w:t>
      </w:r>
      <w:r w:rsidRPr="007D447D">
        <w:rPr>
          <w:rFonts w:hint="eastAsia"/>
          <w:rtl/>
        </w:rPr>
        <w:t>חוק</w:t>
      </w:r>
      <w:r w:rsidRPr="007D447D">
        <w:rPr>
          <w:rtl/>
        </w:rPr>
        <w:t>-</w:t>
      </w:r>
      <w:r w:rsidRPr="007D447D">
        <w:rPr>
          <w:rFonts w:hint="eastAsia"/>
          <w:rtl/>
        </w:rPr>
        <w:t>יסוד</w:t>
      </w:r>
      <w:r w:rsidRPr="007D447D">
        <w:rPr>
          <w:rtl/>
        </w:rPr>
        <w:t xml:space="preserve">: </w:t>
      </w:r>
      <w:r w:rsidRPr="007D447D">
        <w:rPr>
          <w:rFonts w:hint="eastAsia"/>
          <w:rtl/>
        </w:rPr>
        <w:t>כבוד</w:t>
      </w:r>
      <w:r w:rsidRPr="007D447D">
        <w:rPr>
          <w:rtl/>
        </w:rPr>
        <w:t xml:space="preserve"> </w:t>
      </w:r>
      <w:r w:rsidRPr="007D447D">
        <w:rPr>
          <w:rFonts w:hint="eastAsia"/>
          <w:rtl/>
        </w:rPr>
        <w:t>האדם</w:t>
      </w:r>
      <w:r w:rsidRPr="007D447D">
        <w:rPr>
          <w:rtl/>
        </w:rPr>
        <w:t xml:space="preserve"> </w:t>
      </w:r>
      <w:r w:rsidRPr="007D447D">
        <w:rPr>
          <w:rFonts w:hint="eastAsia"/>
          <w:rtl/>
        </w:rPr>
        <w:t>וחירותו</w:t>
      </w:r>
      <w:r w:rsidRPr="007D447D">
        <w:rPr>
          <w:rtl/>
        </w:rPr>
        <w:t xml:space="preserve"> </w:t>
      </w:r>
      <w:r>
        <w:rPr>
          <w:rtl/>
        </w:rPr>
        <w:t>–</w:t>
      </w:r>
      <w:r>
        <w:rPr>
          <w:rFonts w:hint="cs"/>
          <w:rtl/>
        </w:rPr>
        <w:t xml:space="preserve"> </w:t>
      </w:r>
      <w:r w:rsidRPr="007D447D">
        <w:rPr>
          <w:rFonts w:hint="eastAsia"/>
          <w:rtl/>
        </w:rPr>
        <w:t>ביוגרפיה</w:t>
      </w:r>
      <w:r w:rsidRPr="007D447D">
        <w:rPr>
          <w:rtl/>
        </w:rPr>
        <w:t xml:space="preserve"> </w:t>
      </w:r>
      <w:r w:rsidRPr="007D447D">
        <w:rPr>
          <w:rFonts w:hint="eastAsia"/>
          <w:rtl/>
        </w:rPr>
        <w:t>של</w:t>
      </w:r>
      <w:r w:rsidRPr="007D447D">
        <w:rPr>
          <w:rtl/>
        </w:rPr>
        <w:t xml:space="preserve"> </w:t>
      </w:r>
      <w:r w:rsidRPr="007D447D">
        <w:rPr>
          <w:rFonts w:hint="eastAsia"/>
          <w:rtl/>
        </w:rPr>
        <w:t>מאבקי</w:t>
      </w:r>
      <w:r w:rsidRPr="007D447D">
        <w:rPr>
          <w:rtl/>
        </w:rPr>
        <w:t xml:space="preserve"> </w:t>
      </w:r>
      <w:r w:rsidRPr="007D447D">
        <w:rPr>
          <w:rFonts w:hint="eastAsia"/>
          <w:rtl/>
        </w:rPr>
        <w:t>כוח</w:t>
      </w:r>
      <w:r w:rsidRPr="007D447D">
        <w:rPr>
          <w:rtl/>
        </w:rPr>
        <w:t xml:space="preserve">" </w:t>
      </w:r>
      <w:r w:rsidRPr="007D447D">
        <w:rPr>
          <w:rFonts w:ascii="Century" w:hAnsi="Century" w:cs="Miriam" w:hint="cs"/>
          <w:b/>
          <w:spacing w:val="0"/>
          <w:sz w:val="22"/>
          <w:szCs w:val="24"/>
          <w:rtl/>
        </w:rPr>
        <w:t>משפט וממשל</w:t>
      </w:r>
      <w:r w:rsidRPr="007D447D">
        <w:rPr>
          <w:rFonts w:hint="cs"/>
          <w:rtl/>
        </w:rPr>
        <w:t xml:space="preserve"> </w:t>
      </w:r>
      <w:r>
        <w:rPr>
          <w:rFonts w:hint="cs"/>
          <w:rtl/>
        </w:rPr>
        <w:t xml:space="preserve">א 323, 365 (1992) (להלן: </w:t>
      </w:r>
      <w:r w:rsidRPr="00D6021A">
        <w:rPr>
          <w:rFonts w:ascii="Century" w:hAnsi="Century" w:cs="Miriam" w:hint="cs"/>
          <w:b/>
          <w:spacing w:val="0"/>
          <w:sz w:val="22"/>
          <w:szCs w:val="24"/>
          <w:rtl/>
        </w:rPr>
        <w:t>קרפ</w:t>
      </w:r>
      <w:r>
        <w:rPr>
          <w:rFonts w:hint="cs"/>
          <w:rtl/>
        </w:rPr>
        <w:t xml:space="preserve">)). דברים אלה נאמרו "בזמן אמת" לאחר חקיקת חוקי היסוד ועוד טרם ניתן פסק הדין בעניין </w:t>
      </w:r>
      <w:r w:rsidRPr="004A7208">
        <w:rPr>
          <w:rFonts w:ascii="Century" w:hAnsi="Century" w:cs="Miriam" w:hint="cs"/>
          <w:b/>
          <w:spacing w:val="0"/>
          <w:sz w:val="22"/>
          <w:szCs w:val="24"/>
          <w:rtl/>
        </w:rPr>
        <w:t>בנק המזרחי</w:t>
      </w:r>
      <w:r>
        <w:rPr>
          <w:rFonts w:hint="cs"/>
          <w:rtl/>
        </w:rPr>
        <w:t xml:space="preserve">, ולכן תרומתם לעניין משמעותית ביותר. </w:t>
      </w:r>
    </w:p>
    <w:p w:rsidR="00737972" w:rsidRPr="00163331" w:rsidRDefault="00737972" w:rsidP="00737972">
      <w:pPr>
        <w:pStyle w:val="Ruller4"/>
        <w:numPr>
          <w:ilvl w:val="0"/>
          <w:numId w:val="0"/>
        </w:numPr>
      </w:pPr>
    </w:p>
    <w:p w:rsidR="00737972" w:rsidRDefault="00737972" w:rsidP="00737972">
      <w:pPr>
        <w:pStyle w:val="Ruller4"/>
      </w:pPr>
      <w:r>
        <w:rPr>
          <w:rFonts w:hint="cs"/>
          <w:rtl/>
        </w:rPr>
        <w:t xml:space="preserve">בנוסף, לצורך עמידה על "כוונת" המחוקק-המכונן יש להיזכר ברקע שקדם להצעת החוק, אשר מסייע להבנת התמונה השלמה של הדיון שהתקיים בכנסת לאישור חוקי היסוד. אין חולק כי חוקי היסוד קודמו על רקע פשרה, "מתוך הבנה שעלינו ליצור הסכמה רחבה של כל סיעות הבית" (ח"כ אוריאל לין, יו"ר ועדת החוקה, חוק ומשפט של הכנסת באותה עת, </w:t>
      </w:r>
      <w:r w:rsidRPr="008F14FC">
        <w:rPr>
          <w:rFonts w:hint="cs"/>
          <w:rtl/>
        </w:rPr>
        <w:t>פרוטוקול ישיבה 398 של הכנסת ה-12, עמ' 3782</w:t>
      </w:r>
      <w:r>
        <w:rPr>
          <w:rFonts w:hint="cs"/>
          <w:rtl/>
        </w:rPr>
        <w:t xml:space="preserve"> </w:t>
      </w:r>
      <w:r w:rsidRPr="008F14FC">
        <w:rPr>
          <w:rFonts w:hint="cs"/>
          <w:rtl/>
        </w:rPr>
        <w:t>(17.3.1992</w:t>
      </w:r>
      <w:r>
        <w:rPr>
          <w:rFonts w:hint="cs"/>
          <w:rtl/>
        </w:rPr>
        <w:t xml:space="preserve">)), ולאחר שניסיונות קודמים לחוקק הצעות חוק מקיפות שגובשו במשרד המשפטים (הצעת חוק יסוד: זכויות היסוד של האדם והצעת חוק יסוד: החקיקה) </w:t>
      </w:r>
      <w:r>
        <w:rPr>
          <w:rtl/>
        </w:rPr>
        <w:t>–</w:t>
      </w:r>
      <w:r>
        <w:rPr>
          <w:rFonts w:hint="cs"/>
          <w:rtl/>
        </w:rPr>
        <w:t xml:space="preserve"> לא צלחו (וראו: אהרן ברק "המהפכה החוקתית </w:t>
      </w:r>
      <w:r>
        <w:rPr>
          <w:rtl/>
        </w:rPr>
        <w:t>–</w:t>
      </w:r>
      <w:r>
        <w:rPr>
          <w:rFonts w:hint="cs"/>
          <w:rtl/>
        </w:rPr>
        <w:t xml:space="preserve"> בת מצווה" </w:t>
      </w:r>
      <w:r w:rsidRPr="00E04C24">
        <w:rPr>
          <w:rFonts w:ascii="Century" w:hAnsi="Century" w:cs="Miriam" w:hint="cs"/>
          <w:b/>
          <w:spacing w:val="0"/>
          <w:sz w:val="22"/>
          <w:szCs w:val="24"/>
          <w:rtl/>
        </w:rPr>
        <w:t>משפט ועסקים</w:t>
      </w:r>
      <w:r w:rsidRPr="00E04C24">
        <w:rPr>
          <w:rFonts w:hint="cs"/>
          <w:rtl/>
        </w:rPr>
        <w:t xml:space="preserve"> </w:t>
      </w:r>
      <w:r>
        <w:rPr>
          <w:rFonts w:hint="cs"/>
          <w:rtl/>
        </w:rPr>
        <w:t xml:space="preserve">א 3, 11-10 (2004) (להלן: </w:t>
      </w:r>
      <w:r w:rsidRPr="007B0F10">
        <w:rPr>
          <w:rFonts w:ascii="Century" w:hAnsi="Century" w:cs="Miriam" w:hint="cs"/>
          <w:b/>
          <w:spacing w:val="0"/>
          <w:sz w:val="22"/>
          <w:szCs w:val="24"/>
          <w:rtl/>
        </w:rPr>
        <w:t>ברק, בת מצווה</w:t>
      </w:r>
      <w:r>
        <w:rPr>
          <w:rFonts w:hint="cs"/>
          <w:rtl/>
        </w:rPr>
        <w:t>); יהושע שופמן "</w:t>
      </w:r>
      <w:r w:rsidRPr="00A57885">
        <w:rPr>
          <w:rFonts w:ascii="Century" w:hAnsi="Century" w:hint="cs"/>
          <w:sz w:val="22"/>
          <w:rtl/>
        </w:rPr>
        <w:t>המהפכה החוקתית</w:t>
      </w:r>
      <w:r>
        <w:rPr>
          <w:rFonts w:hint="cs"/>
          <w:rtl/>
        </w:rPr>
        <w:t>"</w:t>
      </w:r>
      <w:r w:rsidRPr="00FF3D1F">
        <w:rPr>
          <w:rFonts w:hint="cs"/>
          <w:rtl/>
        </w:rPr>
        <w:t xml:space="preserve"> </w:t>
      </w:r>
      <w:r w:rsidRPr="00A57885">
        <w:rPr>
          <w:rFonts w:ascii="Century" w:hAnsi="Century" w:cs="Miriam" w:hint="cs"/>
          <w:b/>
          <w:spacing w:val="0"/>
          <w:sz w:val="22"/>
          <w:szCs w:val="24"/>
          <w:rtl/>
        </w:rPr>
        <w:t>שורשים במשפט</w:t>
      </w:r>
      <w:r w:rsidRPr="00FF3D1F">
        <w:rPr>
          <w:rFonts w:hint="cs"/>
          <w:rtl/>
        </w:rPr>
        <w:t xml:space="preserve"> </w:t>
      </w:r>
      <w:r>
        <w:rPr>
          <w:rFonts w:hint="cs"/>
          <w:rtl/>
        </w:rPr>
        <w:t xml:space="preserve">461, 462 (2020)). בתוך כך, ברקע לחקיקת חוקי היסוד עמד הכישלון להסדיר </w:t>
      </w:r>
      <w:r w:rsidRPr="006073FD">
        <w:rPr>
          <w:rFonts w:hint="eastAsia"/>
          <w:rtl/>
        </w:rPr>
        <w:t>את</w:t>
      </w:r>
      <w:r w:rsidRPr="006073FD">
        <w:rPr>
          <w:rtl/>
        </w:rPr>
        <w:t xml:space="preserve"> </w:t>
      </w:r>
      <w:r w:rsidRPr="006073FD">
        <w:rPr>
          <w:rFonts w:hint="eastAsia"/>
          <w:rtl/>
        </w:rPr>
        <w:t>אופן</w:t>
      </w:r>
      <w:r w:rsidRPr="006073FD">
        <w:rPr>
          <w:rtl/>
        </w:rPr>
        <w:t xml:space="preserve"> </w:t>
      </w:r>
      <w:r w:rsidRPr="006073FD">
        <w:rPr>
          <w:rFonts w:hint="eastAsia"/>
          <w:rtl/>
        </w:rPr>
        <w:t>כינון</w:t>
      </w:r>
      <w:r w:rsidRPr="006073FD">
        <w:rPr>
          <w:rtl/>
        </w:rPr>
        <w:t xml:space="preserve"> </w:t>
      </w:r>
      <w:r w:rsidRPr="006073FD">
        <w:rPr>
          <w:rFonts w:hint="eastAsia"/>
          <w:rtl/>
        </w:rPr>
        <w:t>החוקה</w:t>
      </w:r>
      <w:r w:rsidRPr="006073FD">
        <w:rPr>
          <w:rtl/>
        </w:rPr>
        <w:t xml:space="preserve">, </w:t>
      </w:r>
      <w:r w:rsidRPr="006073FD">
        <w:rPr>
          <w:rFonts w:hint="eastAsia"/>
          <w:rtl/>
        </w:rPr>
        <w:t>ובכלל</w:t>
      </w:r>
      <w:r w:rsidRPr="006073FD">
        <w:rPr>
          <w:rtl/>
        </w:rPr>
        <w:t xml:space="preserve"> </w:t>
      </w:r>
      <w:r w:rsidRPr="006073FD">
        <w:rPr>
          <w:rFonts w:hint="eastAsia"/>
          <w:rtl/>
        </w:rPr>
        <w:t>זה</w:t>
      </w:r>
      <w:r w:rsidRPr="006073FD">
        <w:rPr>
          <w:rtl/>
        </w:rPr>
        <w:t xml:space="preserve"> </w:t>
      </w:r>
      <w:r w:rsidRPr="006073FD">
        <w:rPr>
          <w:rFonts w:hint="eastAsia"/>
          <w:rtl/>
        </w:rPr>
        <w:t>להסמיך</w:t>
      </w:r>
      <w:r w:rsidRPr="006073FD">
        <w:rPr>
          <w:rtl/>
        </w:rPr>
        <w:t xml:space="preserve"> </w:t>
      </w:r>
      <w:r>
        <w:rPr>
          <w:rFonts w:hint="cs"/>
          <w:rtl/>
        </w:rPr>
        <w:t xml:space="preserve">באופן מפורש </w:t>
      </w:r>
      <w:r w:rsidRPr="006073FD">
        <w:rPr>
          <w:rFonts w:hint="eastAsia"/>
          <w:rtl/>
        </w:rPr>
        <w:t>את</w:t>
      </w:r>
      <w:r w:rsidRPr="006073FD">
        <w:rPr>
          <w:rtl/>
        </w:rPr>
        <w:t xml:space="preserve"> </w:t>
      </w:r>
      <w:r w:rsidRPr="006073FD">
        <w:rPr>
          <w:rFonts w:hint="eastAsia"/>
          <w:rtl/>
        </w:rPr>
        <w:t>בית</w:t>
      </w:r>
      <w:r w:rsidRPr="006073FD">
        <w:rPr>
          <w:rtl/>
        </w:rPr>
        <w:t xml:space="preserve"> </w:t>
      </w:r>
      <w:r w:rsidRPr="006073FD">
        <w:rPr>
          <w:rFonts w:hint="eastAsia"/>
          <w:rtl/>
        </w:rPr>
        <w:t>משפט</w:t>
      </w:r>
      <w:r w:rsidRPr="006073FD">
        <w:rPr>
          <w:rtl/>
        </w:rPr>
        <w:t xml:space="preserve"> </w:t>
      </w:r>
      <w:r w:rsidRPr="006073FD">
        <w:rPr>
          <w:rFonts w:hint="eastAsia"/>
          <w:rtl/>
        </w:rPr>
        <w:t>זה</w:t>
      </w:r>
      <w:r>
        <w:rPr>
          <w:rFonts w:hint="cs"/>
          <w:rtl/>
        </w:rPr>
        <w:t xml:space="preserve"> </w:t>
      </w:r>
      <w:r w:rsidRPr="006073FD">
        <w:rPr>
          <w:rFonts w:hint="eastAsia"/>
          <w:rtl/>
        </w:rPr>
        <w:t>להכריז</w:t>
      </w:r>
      <w:r w:rsidRPr="006073FD">
        <w:rPr>
          <w:rtl/>
        </w:rPr>
        <w:t xml:space="preserve"> </w:t>
      </w:r>
      <w:r w:rsidRPr="006073FD">
        <w:rPr>
          <w:rFonts w:hint="eastAsia"/>
          <w:rtl/>
        </w:rPr>
        <w:t>על</w:t>
      </w:r>
      <w:r w:rsidRPr="006073FD">
        <w:rPr>
          <w:rtl/>
        </w:rPr>
        <w:t xml:space="preserve"> </w:t>
      </w:r>
      <w:r w:rsidRPr="006073FD">
        <w:rPr>
          <w:rFonts w:hint="eastAsia"/>
          <w:rtl/>
        </w:rPr>
        <w:t>בטלות</w:t>
      </w:r>
      <w:r w:rsidRPr="006073FD">
        <w:rPr>
          <w:rtl/>
        </w:rPr>
        <w:t xml:space="preserve"> </w:t>
      </w:r>
      <w:r w:rsidRPr="006073FD">
        <w:rPr>
          <w:rFonts w:hint="eastAsia"/>
          <w:rtl/>
        </w:rPr>
        <w:t>חוק</w:t>
      </w:r>
      <w:r>
        <w:rPr>
          <w:rFonts w:hint="cs"/>
          <w:rtl/>
        </w:rPr>
        <w:t>, עניין שקיבל ביטוי ב</w:t>
      </w:r>
      <w:r w:rsidRPr="006073FD">
        <w:rPr>
          <w:rFonts w:hint="eastAsia"/>
          <w:rtl/>
        </w:rPr>
        <w:t>הצעת</w:t>
      </w:r>
      <w:r w:rsidRPr="006073FD">
        <w:rPr>
          <w:rtl/>
        </w:rPr>
        <w:t xml:space="preserve"> </w:t>
      </w:r>
      <w:r w:rsidRPr="006073FD">
        <w:rPr>
          <w:rFonts w:hint="eastAsia"/>
          <w:rtl/>
        </w:rPr>
        <w:t>חוק</w:t>
      </w:r>
      <w:r w:rsidRPr="006073FD">
        <w:rPr>
          <w:rtl/>
        </w:rPr>
        <w:t xml:space="preserve"> </w:t>
      </w:r>
      <w:r w:rsidRPr="006073FD">
        <w:rPr>
          <w:rFonts w:hint="eastAsia"/>
          <w:rtl/>
        </w:rPr>
        <w:t>יסוד</w:t>
      </w:r>
      <w:r w:rsidRPr="006073FD">
        <w:rPr>
          <w:rtl/>
        </w:rPr>
        <w:t xml:space="preserve">: </w:t>
      </w:r>
      <w:r w:rsidRPr="006073FD">
        <w:rPr>
          <w:rFonts w:hint="eastAsia"/>
          <w:rtl/>
        </w:rPr>
        <w:t>החקיקה</w:t>
      </w:r>
      <w:r w:rsidRPr="006073FD">
        <w:rPr>
          <w:rtl/>
        </w:rPr>
        <w:t xml:space="preserve"> </w:t>
      </w:r>
      <w:r>
        <w:rPr>
          <w:rFonts w:hint="cs"/>
          <w:rtl/>
        </w:rPr>
        <w:t xml:space="preserve">שלא קודמה (וראו: </w:t>
      </w:r>
      <w:r w:rsidRPr="006073FD">
        <w:rPr>
          <w:rFonts w:hint="eastAsia"/>
          <w:rtl/>
        </w:rPr>
        <w:t>דן</w:t>
      </w:r>
      <w:r w:rsidRPr="006073FD">
        <w:rPr>
          <w:rtl/>
        </w:rPr>
        <w:t xml:space="preserve"> </w:t>
      </w:r>
      <w:r w:rsidRPr="006073FD">
        <w:rPr>
          <w:rFonts w:hint="eastAsia"/>
          <w:rtl/>
        </w:rPr>
        <w:t>מרידור</w:t>
      </w:r>
      <w:r w:rsidRPr="006073FD">
        <w:rPr>
          <w:rtl/>
        </w:rPr>
        <w:t xml:space="preserve"> "</w:t>
      </w:r>
      <w:r w:rsidRPr="006073FD">
        <w:rPr>
          <w:rFonts w:hint="eastAsia"/>
          <w:rtl/>
        </w:rPr>
        <w:t>עיקרים</w:t>
      </w:r>
      <w:r w:rsidRPr="006073FD">
        <w:rPr>
          <w:rtl/>
        </w:rPr>
        <w:t xml:space="preserve"> </w:t>
      </w:r>
      <w:r w:rsidRPr="006073FD">
        <w:rPr>
          <w:rFonts w:hint="eastAsia"/>
          <w:rtl/>
        </w:rPr>
        <w:t>בהצעת</w:t>
      </w:r>
      <w:r w:rsidRPr="006073FD">
        <w:rPr>
          <w:rtl/>
        </w:rPr>
        <w:t xml:space="preserve"> </w:t>
      </w:r>
      <w:r w:rsidRPr="006073FD">
        <w:rPr>
          <w:rFonts w:hint="eastAsia"/>
          <w:rtl/>
        </w:rPr>
        <w:t>חוק</w:t>
      </w:r>
      <w:r w:rsidRPr="006073FD">
        <w:rPr>
          <w:rtl/>
        </w:rPr>
        <w:t xml:space="preserve"> </w:t>
      </w:r>
      <w:r w:rsidRPr="006073FD">
        <w:rPr>
          <w:rFonts w:hint="eastAsia"/>
          <w:rtl/>
        </w:rPr>
        <w:t>יסוד</w:t>
      </w:r>
      <w:r w:rsidRPr="006073FD">
        <w:rPr>
          <w:rtl/>
        </w:rPr>
        <w:t xml:space="preserve">: </w:t>
      </w:r>
      <w:r w:rsidRPr="006073FD">
        <w:rPr>
          <w:rFonts w:hint="eastAsia"/>
          <w:rtl/>
        </w:rPr>
        <w:lastRenderedPageBreak/>
        <w:t>החקיקה</w:t>
      </w:r>
      <w:r>
        <w:rPr>
          <w:rtl/>
        </w:rPr>
        <w:t>"</w:t>
      </w:r>
      <w:r w:rsidRPr="006073FD">
        <w:rPr>
          <w:rtl/>
        </w:rPr>
        <w:t xml:space="preserve"> </w:t>
      </w:r>
      <w:r w:rsidRPr="006073FD">
        <w:rPr>
          <w:rFonts w:ascii="Century" w:hAnsi="Century" w:cs="Miriam" w:hint="eastAsia"/>
          <w:b/>
          <w:spacing w:val="0"/>
          <w:sz w:val="22"/>
          <w:szCs w:val="24"/>
          <w:rtl/>
        </w:rPr>
        <w:t>משפט</w:t>
      </w:r>
      <w:r w:rsidRPr="006073FD">
        <w:rPr>
          <w:rFonts w:ascii="Century" w:hAnsi="Century" w:cs="Miriam"/>
          <w:b/>
          <w:spacing w:val="0"/>
          <w:sz w:val="22"/>
          <w:szCs w:val="24"/>
          <w:rtl/>
        </w:rPr>
        <w:t xml:space="preserve"> </w:t>
      </w:r>
      <w:r w:rsidRPr="006073FD">
        <w:rPr>
          <w:rFonts w:ascii="Century" w:hAnsi="Century" w:cs="Miriam" w:hint="eastAsia"/>
          <w:b/>
          <w:spacing w:val="0"/>
          <w:sz w:val="22"/>
          <w:szCs w:val="24"/>
          <w:rtl/>
        </w:rPr>
        <w:t>וממשל</w:t>
      </w:r>
      <w:r w:rsidRPr="006073FD">
        <w:rPr>
          <w:rtl/>
        </w:rPr>
        <w:t xml:space="preserve"> </w:t>
      </w:r>
      <w:r w:rsidRPr="006073FD">
        <w:rPr>
          <w:rFonts w:hint="eastAsia"/>
          <w:rtl/>
        </w:rPr>
        <w:t>א</w:t>
      </w:r>
      <w:r w:rsidRPr="006073FD">
        <w:rPr>
          <w:rtl/>
        </w:rPr>
        <w:t xml:space="preserve"> 387 (1992)</w:t>
      </w:r>
      <w:r>
        <w:rPr>
          <w:rFonts w:hint="cs"/>
          <w:rtl/>
        </w:rPr>
        <w:t xml:space="preserve">). בהקשר זה גם אין לתהות על כך שלאורך הדרך התעוררה סוגיית הביקורת השיפוטית, ואין תמה כי נושא זה היה "ידוע" לחברי הכנסת. נושא הביקורת השיפוטית אכן עלה במהלך הדיונים לא פעם ולא פעמיים, כחלק </w:t>
      </w:r>
      <w:r w:rsidRPr="00035344">
        <w:rPr>
          <w:rFonts w:ascii="Century" w:hAnsi="Century" w:hint="cs"/>
          <w:sz w:val="22"/>
          <w:rtl/>
        </w:rPr>
        <w:t>מהנושאים השנויים במחלוקת</w:t>
      </w:r>
      <w:r>
        <w:rPr>
          <w:rFonts w:hint="cs"/>
          <w:rtl/>
        </w:rPr>
        <w:t xml:space="preserve">. </w:t>
      </w:r>
    </w:p>
    <w:p w:rsidR="00737972" w:rsidRDefault="00737972" w:rsidP="00737972">
      <w:pPr>
        <w:pStyle w:val="Ruller4"/>
        <w:numPr>
          <w:ilvl w:val="0"/>
          <w:numId w:val="0"/>
        </w:numPr>
      </w:pPr>
    </w:p>
    <w:p w:rsidR="00737972" w:rsidRDefault="00737972" w:rsidP="00737972">
      <w:pPr>
        <w:pStyle w:val="Ruller4"/>
        <w:rPr>
          <w:rtl/>
        </w:rPr>
      </w:pPr>
      <w:r>
        <w:rPr>
          <w:rFonts w:hint="cs"/>
          <w:rtl/>
        </w:rPr>
        <w:t xml:space="preserve">וכך, הקולות שהושמעו במהלך הדיונים היו שונים ומגוונים בהתייחס לאפשרות כי הוראות חוקי היסוד, ובעיקר הוראות פסקת ההגבלה, מאפשרות ביקורת שיפוטית. במהלך הדיונים בוועדת החוקה הודגשו הרגישות הרבה והזהירות הנדרשת בקביעת הוראות שמשמעותן יצירת ביקורת שיפוטית מפורשת על ידי בית המשפט, וכן צוינה האפשרות שקביעה מפורשת בנושא תחרוג מטווח הפשרה וההסכמה אליה הגיעו הסיעות (ראו למשל התייחסויות לנושא הביקורת השיפוטית: פרוטוקול ישיבה 275 של ועדת החוקה, חוק ומשפט, הכנסת ה-12, עמ' 14-13 (1.7.1991) (להלן: </w:t>
      </w:r>
      <w:r>
        <w:rPr>
          <w:rFonts w:ascii="Century" w:hAnsi="Century" w:cs="Miriam" w:hint="cs"/>
          <w:b/>
          <w:spacing w:val="0"/>
          <w:sz w:val="22"/>
          <w:szCs w:val="24"/>
          <w:rtl/>
        </w:rPr>
        <w:t>ה</w:t>
      </w:r>
      <w:r w:rsidRPr="004E6761">
        <w:rPr>
          <w:rFonts w:ascii="Century" w:hAnsi="Century" w:cs="Miriam" w:hint="cs"/>
          <w:b/>
          <w:spacing w:val="0"/>
          <w:sz w:val="22"/>
          <w:szCs w:val="24"/>
          <w:rtl/>
        </w:rPr>
        <w:t>דיון מיום 1.7.1991</w:t>
      </w:r>
      <w:r>
        <w:rPr>
          <w:rFonts w:hint="cs"/>
          <w:rtl/>
        </w:rPr>
        <w:t xml:space="preserve">); פרוטוקול ישיבה 342 של ועדת החוקה, חוק ומשפט, הכנסת ה-12, עמ' 10-9, 16 ו-32 (5.2.1992) (להלן: </w:t>
      </w:r>
      <w:r>
        <w:rPr>
          <w:rFonts w:ascii="Century" w:hAnsi="Century" w:cs="Miriam" w:hint="cs"/>
          <w:b/>
          <w:spacing w:val="0"/>
          <w:sz w:val="22"/>
          <w:szCs w:val="24"/>
          <w:rtl/>
        </w:rPr>
        <w:t>ה</w:t>
      </w:r>
      <w:r w:rsidRPr="004E6761">
        <w:rPr>
          <w:rFonts w:ascii="Century" w:hAnsi="Century" w:cs="Miriam" w:hint="cs"/>
          <w:b/>
          <w:spacing w:val="0"/>
          <w:sz w:val="22"/>
          <w:szCs w:val="24"/>
          <w:rtl/>
        </w:rPr>
        <w:t>דיון מיום 5.2.1992</w:t>
      </w:r>
      <w:r>
        <w:rPr>
          <w:rFonts w:hint="cs"/>
          <w:rtl/>
        </w:rPr>
        <w:t xml:space="preserve">)). בין שלל ההתבטאויות, במהלך הדיון מיום 1.7.1991 הבהיר נציג משרד המשפטים כי בניגוד להצעות חוק יסוד אחרות, לא נכללת </w:t>
      </w:r>
      <w:r w:rsidRPr="004A28FA">
        <w:rPr>
          <w:rFonts w:hint="eastAsia"/>
          <w:rtl/>
        </w:rPr>
        <w:t>בהצעות</w:t>
      </w:r>
      <w:r>
        <w:rPr>
          <w:rFonts w:hint="cs"/>
          <w:rtl/>
        </w:rPr>
        <w:t xml:space="preserve"> חוקי היסוד הוראה מפורשת על פיה הוראה הנוגדת הוראה בחוק יסוד תהא בטלה, ועל כן "</w:t>
      </w:r>
      <w:r w:rsidRPr="00A57885">
        <w:rPr>
          <w:rFonts w:ascii="Century" w:hAnsi="Century" w:cs="Miriam" w:hint="cs"/>
          <w:b/>
          <w:spacing w:val="0"/>
          <w:szCs w:val="24"/>
          <w:rtl/>
        </w:rPr>
        <w:t>השאלה של המעמד העליון והעדיף של חוק יסוד זה על פני חוקים אחרים נשארת בלתי מפורשת בצורה חד-משמעית</w:t>
      </w:r>
      <w:r>
        <w:rPr>
          <w:rFonts w:hint="cs"/>
          <w:rtl/>
        </w:rPr>
        <w:t>" (שם, עמ' 12).</w:t>
      </w:r>
    </w:p>
    <w:p w:rsidR="00737972" w:rsidRDefault="00737972" w:rsidP="00737972">
      <w:pPr>
        <w:pStyle w:val="Ruller4"/>
        <w:numPr>
          <w:ilvl w:val="0"/>
          <w:numId w:val="0"/>
        </w:numPr>
      </w:pPr>
    </w:p>
    <w:p w:rsidR="00737972" w:rsidRDefault="00737972" w:rsidP="00737972">
      <w:pPr>
        <w:pStyle w:val="Ruller4"/>
      </w:pPr>
      <w:r>
        <w:rPr>
          <w:rFonts w:hint="cs"/>
          <w:rtl/>
        </w:rPr>
        <w:t xml:space="preserve">גם אם ניקח בחשבון התבטאויות מהן עולה כי חלק מחברי הכנסת ראו את סעיפי החוק כמקנים סמכות לערוך ביקורת שיפוטית (למשל מפי ח"כ אמנון רובינשטיין: "בוודאי. אפשר להבהיר זאת במשפט נוסף בסעיף 8 [לחוק יסוד: כבוד האדם וחירותו </w:t>
      </w:r>
      <w:r>
        <w:rPr>
          <w:rtl/>
        </w:rPr>
        <w:t>–</w:t>
      </w:r>
      <w:r>
        <w:rPr>
          <w:rFonts w:hint="cs"/>
          <w:rtl/>
        </w:rPr>
        <w:t xml:space="preserve"> ד.מ.], אם כי לדעתי סעיף 8 בנוסח המונח לפנינו כבר אומר זאת" (דיון מיום 5.2.1992, עמ' 10)), לכל היותר מדובר בקולות שונים שעלו במהלך הדיון אשר מדרך הטבע, חלקם סותרים זה את זה ואין בנמצא הכרעה חד-משמעית בדבר כוונת המחוקקים-המכוננים לבסס ביקורת מסוג זה.</w:t>
      </w:r>
    </w:p>
    <w:p w:rsidR="00737972" w:rsidRPr="005B52C3" w:rsidRDefault="00737972" w:rsidP="00737972">
      <w:pPr>
        <w:pStyle w:val="Ruller41"/>
        <w:rPr>
          <w:rtl/>
        </w:rPr>
      </w:pPr>
    </w:p>
    <w:p w:rsidR="00737972" w:rsidRDefault="00737972" w:rsidP="00737972">
      <w:pPr>
        <w:pStyle w:val="Ruller4"/>
        <w:rPr>
          <w:rtl/>
        </w:rPr>
      </w:pPr>
      <w:r>
        <w:rPr>
          <w:rFonts w:hint="cs"/>
          <w:rtl/>
        </w:rPr>
        <w:t xml:space="preserve">אם בכלל ניתן להסיק מבליל הדעות שנשמעו במהלך הליכי החקיקה מסקנה קוהרנטית נחרצת, הרי שזו טמונה בהתייחסויות מפי ח"כ לין, יו"ר הוועדה כאמור. לכל אורך הדרך נזהר ח"כ לין מלהביע עמדה מפורשת בסוגיה. הוא הבהיר כי מדובר בנושא "פרובלמטי" (דיון מיום 1.7.1991, עמ' 14-13) אשר טעון ליבון נפרד (למשל: דיון מיום 5.2.1992, עמ' 16), ובדיון האחרון שהתקיים בהצעת חוק יסוד: כבוד האדם וחירותו </w:t>
      </w:r>
      <w:r>
        <w:rPr>
          <w:rFonts w:hint="cs"/>
          <w:rtl/>
        </w:rPr>
        <w:lastRenderedPageBreak/>
        <w:t>בהכנה לקריאה שנייה ושלישית, כאשר חזרו והועלו חששות כי נוסח החוק יאפשר ביטול חוקים מסוימים, הבהיר יו"ר הוועדה:</w:t>
      </w:r>
    </w:p>
    <w:p w:rsidR="00737972" w:rsidRDefault="00737972" w:rsidP="00737972">
      <w:pPr>
        <w:pStyle w:val="Ruller5"/>
        <w:rPr>
          <w:rtl/>
        </w:rPr>
      </w:pPr>
    </w:p>
    <w:p w:rsidR="00737972" w:rsidRDefault="00737972" w:rsidP="00737972">
      <w:pPr>
        <w:pStyle w:val="Ruller5"/>
        <w:rPr>
          <w:rtl/>
        </w:rPr>
      </w:pPr>
      <w:r>
        <w:rPr>
          <w:rFonts w:hint="cs"/>
          <w:rtl/>
        </w:rPr>
        <w:t xml:space="preserve">"ההבדל הגדול בין החוק הזה [...] ובין חוקים אחרים שעמדו לעיניכם, כמו חוק יסוד: זכויות האדם, או חוק יסוד: החקיקה, הוא בהקמת בית המשפט העליון כבית משפט לחוקה. </w:t>
      </w:r>
      <w:r w:rsidRPr="001B461A">
        <w:rPr>
          <w:rFonts w:ascii="Century" w:hAnsi="Century" w:cs="Miriam" w:hint="eastAsia"/>
          <w:b/>
          <w:spacing w:val="0"/>
          <w:szCs w:val="24"/>
          <w:rtl/>
        </w:rPr>
        <w:t>באותן</w:t>
      </w:r>
      <w:r w:rsidRPr="001B461A">
        <w:rPr>
          <w:rFonts w:ascii="Century" w:hAnsi="Century" w:cs="Miriam"/>
          <w:b/>
          <w:spacing w:val="0"/>
          <w:szCs w:val="24"/>
          <w:rtl/>
        </w:rPr>
        <w:t xml:space="preserve"> </w:t>
      </w:r>
      <w:r w:rsidRPr="001B461A">
        <w:rPr>
          <w:rFonts w:ascii="Century" w:hAnsi="Century" w:cs="Miriam" w:hint="eastAsia"/>
          <w:b/>
          <w:spacing w:val="0"/>
          <w:szCs w:val="24"/>
          <w:rtl/>
        </w:rPr>
        <w:t>הצעות</w:t>
      </w:r>
      <w:r w:rsidRPr="001B461A">
        <w:rPr>
          <w:rFonts w:ascii="Century" w:hAnsi="Century" w:cs="Miriam"/>
          <w:b/>
          <w:spacing w:val="0"/>
          <w:szCs w:val="24"/>
          <w:rtl/>
        </w:rPr>
        <w:t xml:space="preserve"> </w:t>
      </w:r>
      <w:r w:rsidRPr="001B461A">
        <w:rPr>
          <w:rFonts w:ascii="Century" w:hAnsi="Century" w:cs="Miriam" w:hint="eastAsia"/>
          <w:b/>
          <w:spacing w:val="0"/>
          <w:szCs w:val="24"/>
          <w:rtl/>
        </w:rPr>
        <w:t>חוק</w:t>
      </w:r>
      <w:r w:rsidRPr="001B461A">
        <w:rPr>
          <w:rFonts w:ascii="Century" w:hAnsi="Century" w:cs="Miriam"/>
          <w:b/>
          <w:spacing w:val="0"/>
          <w:szCs w:val="24"/>
          <w:rtl/>
        </w:rPr>
        <w:t xml:space="preserve"> </w:t>
      </w:r>
      <w:r w:rsidRPr="001B461A">
        <w:rPr>
          <w:rFonts w:ascii="Century" w:hAnsi="Century" w:cs="Miriam" w:hint="eastAsia"/>
          <w:b/>
          <w:spacing w:val="0"/>
          <w:szCs w:val="24"/>
          <w:rtl/>
        </w:rPr>
        <w:t>בית</w:t>
      </w:r>
      <w:r w:rsidRPr="001B461A">
        <w:rPr>
          <w:rFonts w:ascii="Century" w:hAnsi="Century" w:cs="Miriam"/>
          <w:b/>
          <w:spacing w:val="0"/>
          <w:szCs w:val="24"/>
          <w:rtl/>
        </w:rPr>
        <w:t xml:space="preserve"> </w:t>
      </w:r>
      <w:r w:rsidRPr="001B461A">
        <w:rPr>
          <w:rFonts w:ascii="Century" w:hAnsi="Century" w:cs="Miriam" w:hint="eastAsia"/>
          <w:b/>
          <w:spacing w:val="0"/>
          <w:szCs w:val="24"/>
          <w:rtl/>
        </w:rPr>
        <w:t>המשפט</w:t>
      </w:r>
      <w:r w:rsidRPr="001B461A">
        <w:rPr>
          <w:rFonts w:ascii="Century" w:hAnsi="Century" w:cs="Miriam"/>
          <w:b/>
          <w:spacing w:val="0"/>
          <w:szCs w:val="24"/>
          <w:rtl/>
        </w:rPr>
        <w:t xml:space="preserve"> </w:t>
      </w:r>
      <w:r w:rsidRPr="001B461A">
        <w:rPr>
          <w:rFonts w:ascii="Century" w:hAnsi="Century" w:cs="Miriam" w:hint="eastAsia"/>
          <w:b/>
          <w:spacing w:val="0"/>
          <w:szCs w:val="24"/>
          <w:rtl/>
        </w:rPr>
        <w:t>העליון</w:t>
      </w:r>
      <w:r w:rsidRPr="001B461A">
        <w:rPr>
          <w:rFonts w:ascii="Century" w:hAnsi="Century" w:cs="Miriam"/>
          <w:b/>
          <w:spacing w:val="0"/>
          <w:szCs w:val="24"/>
          <w:rtl/>
        </w:rPr>
        <w:t xml:space="preserve"> </w:t>
      </w:r>
      <w:r w:rsidRPr="001B461A">
        <w:rPr>
          <w:rFonts w:ascii="Century" w:hAnsi="Century" w:cs="Miriam" w:hint="eastAsia"/>
          <w:b/>
          <w:spacing w:val="0"/>
          <w:szCs w:val="24"/>
          <w:rtl/>
        </w:rPr>
        <w:t>קיבל</w:t>
      </w:r>
      <w:r w:rsidRPr="001B461A">
        <w:rPr>
          <w:rFonts w:ascii="Century" w:hAnsi="Century" w:cs="Miriam"/>
          <w:b/>
          <w:spacing w:val="0"/>
          <w:szCs w:val="24"/>
          <w:rtl/>
        </w:rPr>
        <w:t xml:space="preserve"> </w:t>
      </w:r>
      <w:r w:rsidRPr="001B461A">
        <w:rPr>
          <w:rFonts w:ascii="Century" w:hAnsi="Century" w:cs="Miriam" w:hint="eastAsia"/>
          <w:b/>
          <w:spacing w:val="0"/>
          <w:szCs w:val="24"/>
          <w:rtl/>
        </w:rPr>
        <w:t>כוח</w:t>
      </w:r>
      <w:r w:rsidRPr="001B461A">
        <w:rPr>
          <w:rFonts w:ascii="Century" w:hAnsi="Century" w:cs="Miriam"/>
          <w:b/>
          <w:spacing w:val="0"/>
          <w:szCs w:val="24"/>
          <w:rtl/>
        </w:rPr>
        <w:t xml:space="preserve"> </w:t>
      </w:r>
      <w:r w:rsidRPr="001B461A">
        <w:rPr>
          <w:rFonts w:ascii="Century" w:hAnsi="Century" w:cs="Miriam" w:hint="eastAsia"/>
          <w:b/>
          <w:spacing w:val="0"/>
          <w:szCs w:val="24"/>
          <w:rtl/>
        </w:rPr>
        <w:t>לבטל</w:t>
      </w:r>
      <w:r w:rsidRPr="001B461A">
        <w:rPr>
          <w:rFonts w:ascii="Century" w:hAnsi="Century" w:cs="Miriam"/>
          <w:b/>
          <w:spacing w:val="0"/>
          <w:szCs w:val="24"/>
          <w:rtl/>
        </w:rPr>
        <w:t xml:space="preserve"> </w:t>
      </w:r>
      <w:r w:rsidRPr="001B461A">
        <w:rPr>
          <w:rFonts w:ascii="Century" w:hAnsi="Century" w:cs="Miriam" w:hint="eastAsia"/>
          <w:b/>
          <w:spacing w:val="0"/>
          <w:szCs w:val="24"/>
          <w:rtl/>
        </w:rPr>
        <w:t>חוקים</w:t>
      </w:r>
      <w:r w:rsidRPr="001B461A">
        <w:rPr>
          <w:rFonts w:ascii="Century" w:hAnsi="Century" w:cs="Miriam"/>
          <w:b/>
          <w:spacing w:val="0"/>
          <w:szCs w:val="24"/>
          <w:rtl/>
        </w:rPr>
        <w:t xml:space="preserve">. </w:t>
      </w:r>
      <w:r w:rsidRPr="001B461A">
        <w:rPr>
          <w:rFonts w:ascii="Century" w:hAnsi="Century" w:cs="Miriam" w:hint="eastAsia"/>
          <w:b/>
          <w:spacing w:val="0"/>
          <w:szCs w:val="24"/>
          <w:rtl/>
        </w:rPr>
        <w:t>פה</w:t>
      </w:r>
      <w:r w:rsidRPr="001B461A">
        <w:rPr>
          <w:rFonts w:ascii="Century" w:hAnsi="Century" w:cs="Miriam"/>
          <w:b/>
          <w:spacing w:val="0"/>
          <w:szCs w:val="24"/>
          <w:rtl/>
        </w:rPr>
        <w:t xml:space="preserve"> </w:t>
      </w:r>
      <w:r w:rsidRPr="001B461A">
        <w:rPr>
          <w:rFonts w:ascii="Century" w:hAnsi="Century" w:cs="Miriam" w:hint="eastAsia"/>
          <w:b/>
          <w:spacing w:val="0"/>
          <w:szCs w:val="24"/>
          <w:rtl/>
        </w:rPr>
        <w:t>אנחנו</w:t>
      </w:r>
      <w:r w:rsidRPr="001B461A">
        <w:rPr>
          <w:rFonts w:ascii="Century" w:hAnsi="Century" w:cs="Miriam"/>
          <w:b/>
          <w:spacing w:val="0"/>
          <w:szCs w:val="24"/>
          <w:rtl/>
        </w:rPr>
        <w:t xml:space="preserve"> </w:t>
      </w:r>
      <w:r w:rsidRPr="001B461A">
        <w:rPr>
          <w:rFonts w:ascii="Century" w:hAnsi="Century" w:cs="Miriam" w:hint="eastAsia"/>
          <w:b/>
          <w:spacing w:val="0"/>
          <w:szCs w:val="24"/>
          <w:rtl/>
        </w:rPr>
        <w:t>לא</w:t>
      </w:r>
      <w:r w:rsidRPr="001B461A">
        <w:rPr>
          <w:rFonts w:ascii="Century" w:hAnsi="Century" w:cs="Miriam"/>
          <w:b/>
          <w:spacing w:val="0"/>
          <w:szCs w:val="24"/>
          <w:rtl/>
        </w:rPr>
        <w:t xml:space="preserve"> </w:t>
      </w:r>
      <w:r w:rsidRPr="001B461A">
        <w:rPr>
          <w:rFonts w:ascii="Century" w:hAnsi="Century" w:cs="Miriam" w:hint="eastAsia"/>
          <w:b/>
          <w:spacing w:val="0"/>
          <w:szCs w:val="24"/>
          <w:rtl/>
        </w:rPr>
        <w:t>עוסקים</w:t>
      </w:r>
      <w:r w:rsidRPr="001B461A">
        <w:rPr>
          <w:rFonts w:ascii="Century" w:hAnsi="Century" w:cs="Miriam"/>
          <w:b/>
          <w:spacing w:val="0"/>
          <w:szCs w:val="24"/>
          <w:rtl/>
        </w:rPr>
        <w:t xml:space="preserve"> </w:t>
      </w:r>
      <w:r w:rsidRPr="001B461A">
        <w:rPr>
          <w:rFonts w:ascii="Century" w:hAnsi="Century" w:cs="Miriam" w:hint="eastAsia"/>
          <w:b/>
          <w:spacing w:val="0"/>
          <w:szCs w:val="24"/>
          <w:rtl/>
        </w:rPr>
        <w:t>בנושא</w:t>
      </w:r>
      <w:r w:rsidRPr="001B461A">
        <w:rPr>
          <w:rFonts w:ascii="Century" w:hAnsi="Century" w:cs="Miriam"/>
          <w:b/>
          <w:spacing w:val="0"/>
          <w:szCs w:val="24"/>
          <w:rtl/>
        </w:rPr>
        <w:t xml:space="preserve"> </w:t>
      </w:r>
      <w:r w:rsidRPr="001B461A">
        <w:rPr>
          <w:rFonts w:ascii="Century" w:hAnsi="Century" w:cs="Miriam" w:hint="eastAsia"/>
          <w:b/>
          <w:spacing w:val="0"/>
          <w:szCs w:val="24"/>
          <w:rtl/>
        </w:rPr>
        <w:t>הזה</w:t>
      </w:r>
      <w:r w:rsidRPr="001B461A">
        <w:rPr>
          <w:rFonts w:ascii="Century" w:hAnsi="Century" w:cs="Miriam"/>
          <w:b/>
          <w:spacing w:val="0"/>
          <w:szCs w:val="24"/>
          <w:rtl/>
        </w:rPr>
        <w:t xml:space="preserve">, </w:t>
      </w:r>
      <w:r w:rsidRPr="001B461A">
        <w:rPr>
          <w:rFonts w:ascii="Century" w:hAnsi="Century" w:cs="Miriam" w:hint="eastAsia"/>
          <w:b/>
          <w:spacing w:val="0"/>
          <w:szCs w:val="24"/>
          <w:rtl/>
        </w:rPr>
        <w:t>פה</w:t>
      </w:r>
      <w:r w:rsidRPr="001B461A">
        <w:rPr>
          <w:rFonts w:ascii="Century" w:hAnsi="Century" w:cs="Miriam"/>
          <w:b/>
          <w:spacing w:val="0"/>
          <w:szCs w:val="24"/>
          <w:rtl/>
        </w:rPr>
        <w:t xml:space="preserve"> </w:t>
      </w:r>
      <w:r w:rsidRPr="001B461A">
        <w:rPr>
          <w:rFonts w:ascii="Century" w:hAnsi="Century" w:cs="Miriam" w:hint="eastAsia"/>
          <w:b/>
          <w:spacing w:val="0"/>
          <w:szCs w:val="24"/>
          <w:rtl/>
        </w:rPr>
        <w:t>אנחנו</w:t>
      </w:r>
      <w:r w:rsidRPr="001B461A">
        <w:rPr>
          <w:rFonts w:ascii="Century" w:hAnsi="Century" w:cs="Miriam"/>
          <w:b/>
          <w:spacing w:val="0"/>
          <w:szCs w:val="24"/>
          <w:rtl/>
        </w:rPr>
        <w:t xml:space="preserve"> </w:t>
      </w:r>
      <w:r w:rsidRPr="001B461A">
        <w:rPr>
          <w:rFonts w:ascii="Century" w:hAnsi="Century" w:cs="Miriam" w:hint="eastAsia"/>
          <w:b/>
          <w:spacing w:val="0"/>
          <w:szCs w:val="24"/>
          <w:rtl/>
        </w:rPr>
        <w:t>לא</w:t>
      </w:r>
      <w:r w:rsidRPr="001B461A">
        <w:rPr>
          <w:rFonts w:ascii="Century" w:hAnsi="Century" w:cs="Miriam"/>
          <w:b/>
          <w:spacing w:val="0"/>
          <w:szCs w:val="24"/>
          <w:rtl/>
        </w:rPr>
        <w:t xml:space="preserve"> </w:t>
      </w:r>
      <w:r w:rsidRPr="001B461A">
        <w:rPr>
          <w:rFonts w:ascii="Century" w:hAnsi="Century" w:cs="Miriam" w:hint="eastAsia"/>
          <w:b/>
          <w:spacing w:val="0"/>
          <w:szCs w:val="24"/>
          <w:rtl/>
        </w:rPr>
        <w:t>נותנים</w:t>
      </w:r>
      <w:r w:rsidRPr="001B461A">
        <w:rPr>
          <w:rFonts w:ascii="Century" w:hAnsi="Century" w:cs="Miriam"/>
          <w:b/>
          <w:spacing w:val="0"/>
          <w:szCs w:val="24"/>
          <w:rtl/>
        </w:rPr>
        <w:t xml:space="preserve"> </w:t>
      </w:r>
      <w:r w:rsidRPr="001B461A">
        <w:rPr>
          <w:rFonts w:ascii="Century" w:hAnsi="Century" w:cs="Miriam" w:hint="eastAsia"/>
          <w:b/>
          <w:spacing w:val="0"/>
          <w:szCs w:val="24"/>
          <w:rtl/>
        </w:rPr>
        <w:t>לבית</w:t>
      </w:r>
      <w:r w:rsidRPr="001B461A">
        <w:rPr>
          <w:rFonts w:ascii="Century" w:hAnsi="Century" w:cs="Miriam"/>
          <w:b/>
          <w:spacing w:val="0"/>
          <w:szCs w:val="24"/>
          <w:rtl/>
        </w:rPr>
        <w:t xml:space="preserve"> </w:t>
      </w:r>
      <w:r w:rsidRPr="001B461A">
        <w:rPr>
          <w:rFonts w:ascii="Century" w:hAnsi="Century" w:cs="Miriam" w:hint="eastAsia"/>
          <w:b/>
          <w:spacing w:val="0"/>
          <w:szCs w:val="24"/>
          <w:rtl/>
        </w:rPr>
        <w:t>המשפט</w:t>
      </w:r>
      <w:r w:rsidRPr="001B461A">
        <w:rPr>
          <w:rFonts w:ascii="Century" w:hAnsi="Century" w:cs="Miriam"/>
          <w:b/>
          <w:spacing w:val="0"/>
          <w:szCs w:val="24"/>
          <w:rtl/>
        </w:rPr>
        <w:t xml:space="preserve"> </w:t>
      </w:r>
      <w:r w:rsidRPr="001B461A">
        <w:rPr>
          <w:rFonts w:ascii="Century" w:hAnsi="Century" w:cs="Miriam" w:hint="eastAsia"/>
          <w:b/>
          <w:spacing w:val="0"/>
          <w:szCs w:val="24"/>
          <w:rtl/>
        </w:rPr>
        <w:t>העליון</w:t>
      </w:r>
      <w:r w:rsidRPr="001B461A">
        <w:rPr>
          <w:rFonts w:ascii="Century" w:hAnsi="Century" w:cs="Miriam"/>
          <w:b/>
          <w:spacing w:val="0"/>
          <w:szCs w:val="24"/>
          <w:rtl/>
        </w:rPr>
        <w:t xml:space="preserve"> </w:t>
      </w:r>
      <w:r w:rsidRPr="001B461A">
        <w:rPr>
          <w:rFonts w:ascii="Century" w:hAnsi="Century" w:cs="Miriam" w:hint="eastAsia"/>
          <w:b/>
          <w:spacing w:val="0"/>
          <w:szCs w:val="24"/>
          <w:rtl/>
        </w:rPr>
        <w:t>את</w:t>
      </w:r>
      <w:r w:rsidRPr="001B461A">
        <w:rPr>
          <w:rFonts w:ascii="Century" w:hAnsi="Century" w:cs="Miriam"/>
          <w:b/>
          <w:spacing w:val="0"/>
          <w:szCs w:val="24"/>
          <w:rtl/>
        </w:rPr>
        <w:t xml:space="preserve"> </w:t>
      </w:r>
      <w:r w:rsidRPr="001B461A">
        <w:rPr>
          <w:rFonts w:ascii="Century" w:hAnsi="Century" w:cs="Miriam" w:hint="eastAsia"/>
          <w:b/>
          <w:spacing w:val="0"/>
          <w:szCs w:val="24"/>
          <w:rtl/>
        </w:rPr>
        <w:t>הכוח</w:t>
      </w:r>
      <w:r w:rsidRPr="001B461A">
        <w:rPr>
          <w:rFonts w:ascii="Century" w:hAnsi="Century" w:cs="Miriam"/>
          <w:b/>
          <w:spacing w:val="0"/>
          <w:szCs w:val="24"/>
          <w:rtl/>
        </w:rPr>
        <w:t xml:space="preserve"> </w:t>
      </w:r>
      <w:r w:rsidRPr="001B461A">
        <w:rPr>
          <w:rFonts w:ascii="Century" w:hAnsi="Century" w:cs="Miriam" w:hint="eastAsia"/>
          <w:b/>
          <w:spacing w:val="0"/>
          <w:szCs w:val="24"/>
          <w:rtl/>
        </w:rPr>
        <w:t>הזה</w:t>
      </w:r>
      <w:r>
        <w:rPr>
          <w:rFonts w:hint="cs"/>
          <w:rtl/>
        </w:rPr>
        <w:t xml:space="preserve">" (פרוטוקול ישיבה 356 של ועדת החוקה, חוק ומשפט, הכנסת ה-12, עמ' 34 (9.3.1992); ההדגשה אינה במקור </w:t>
      </w:r>
      <w:r>
        <w:rPr>
          <w:rFonts w:hint="eastAsia"/>
          <w:rtl/>
        </w:rPr>
        <w:t>–</w:t>
      </w:r>
      <w:r>
        <w:rPr>
          <w:rFonts w:hint="cs"/>
          <w:rtl/>
        </w:rPr>
        <w:t xml:space="preserve"> ד.מ.).</w:t>
      </w:r>
    </w:p>
    <w:p w:rsidR="00737972" w:rsidRPr="00F45F06" w:rsidRDefault="00737972" w:rsidP="00737972">
      <w:pPr>
        <w:pStyle w:val="Ruller41"/>
      </w:pPr>
    </w:p>
    <w:p w:rsidR="00737972" w:rsidRDefault="00737972" w:rsidP="00737972">
      <w:pPr>
        <w:pStyle w:val="Ruller4"/>
        <w:numPr>
          <w:ilvl w:val="0"/>
          <w:numId w:val="0"/>
        </w:numPr>
        <w:rPr>
          <w:rtl/>
        </w:rPr>
      </w:pPr>
      <w:r>
        <w:rPr>
          <w:rtl/>
        </w:rPr>
        <w:tab/>
      </w:r>
      <w:r>
        <w:rPr>
          <w:rFonts w:hint="cs"/>
          <w:rtl/>
        </w:rPr>
        <w:t xml:space="preserve">גם במהלך הדיון במליאה הדגיש יו"ר הוועדה, וביתר שאת, כי אין הכוונה לבסס במהלך זה סמכות לערוך ביקורת שיפוטית המאפשרת לבטל חוקים, אולי על מנת "לפייס" את דעת המתנגדים: </w:t>
      </w:r>
    </w:p>
    <w:p w:rsidR="00737972" w:rsidRDefault="00737972" w:rsidP="00737972">
      <w:pPr>
        <w:pStyle w:val="Ruller41"/>
        <w:rPr>
          <w:rtl/>
        </w:rPr>
      </w:pPr>
    </w:p>
    <w:p w:rsidR="00737972" w:rsidRDefault="00737972" w:rsidP="00737972">
      <w:pPr>
        <w:pStyle w:val="Ruller5"/>
        <w:rPr>
          <w:rtl/>
        </w:rPr>
      </w:pPr>
      <w:r>
        <w:rPr>
          <w:rtl/>
        </w:rPr>
        <w:t>"</w:t>
      </w:r>
      <w:r>
        <w:rPr>
          <w:rFonts w:hint="cs"/>
          <w:rtl/>
        </w:rPr>
        <w:t>...</w:t>
      </w:r>
      <w:r>
        <w:rPr>
          <w:rFonts w:hint="eastAsia"/>
          <w:rtl/>
        </w:rPr>
        <w:t>אנחנו</w:t>
      </w:r>
      <w:r>
        <w:rPr>
          <w:rtl/>
        </w:rPr>
        <w:t xml:space="preserve"> </w:t>
      </w:r>
      <w:r>
        <w:rPr>
          <w:rFonts w:hint="eastAsia"/>
          <w:rtl/>
        </w:rPr>
        <w:t>לא</w:t>
      </w:r>
      <w:r>
        <w:rPr>
          <w:rtl/>
        </w:rPr>
        <w:t xml:space="preserve"> </w:t>
      </w:r>
      <w:r>
        <w:rPr>
          <w:rFonts w:hint="eastAsia"/>
          <w:rtl/>
        </w:rPr>
        <w:t>מעבירים</w:t>
      </w:r>
      <w:r>
        <w:rPr>
          <w:rtl/>
        </w:rPr>
        <w:t xml:space="preserve"> </w:t>
      </w:r>
      <w:r>
        <w:rPr>
          <w:rFonts w:hint="eastAsia"/>
          <w:rtl/>
        </w:rPr>
        <w:t>את</w:t>
      </w:r>
      <w:r>
        <w:rPr>
          <w:rtl/>
        </w:rPr>
        <w:t xml:space="preserve"> </w:t>
      </w:r>
      <w:r>
        <w:rPr>
          <w:rFonts w:hint="eastAsia"/>
          <w:rtl/>
        </w:rPr>
        <w:t>המשקל</w:t>
      </w:r>
      <w:r>
        <w:rPr>
          <w:rtl/>
        </w:rPr>
        <w:t xml:space="preserve"> </w:t>
      </w:r>
      <w:r>
        <w:rPr>
          <w:rFonts w:hint="eastAsia"/>
          <w:rtl/>
        </w:rPr>
        <w:t>לבית</w:t>
      </w:r>
      <w:r>
        <w:rPr>
          <w:rtl/>
        </w:rPr>
        <w:t xml:space="preserve"> </w:t>
      </w:r>
      <w:r>
        <w:rPr>
          <w:rFonts w:hint="eastAsia"/>
          <w:rtl/>
        </w:rPr>
        <w:t>המשפט</w:t>
      </w:r>
      <w:r>
        <w:rPr>
          <w:rtl/>
        </w:rPr>
        <w:t xml:space="preserve"> </w:t>
      </w:r>
      <w:r>
        <w:rPr>
          <w:rFonts w:hint="eastAsia"/>
          <w:rtl/>
        </w:rPr>
        <w:t>העליון</w:t>
      </w:r>
      <w:r>
        <w:rPr>
          <w:rtl/>
        </w:rPr>
        <w:t xml:space="preserve">. </w:t>
      </w:r>
      <w:r>
        <w:rPr>
          <w:rFonts w:hint="eastAsia"/>
          <w:rtl/>
        </w:rPr>
        <w:t>אנחנו</w:t>
      </w:r>
      <w:r>
        <w:rPr>
          <w:rtl/>
        </w:rPr>
        <w:t xml:space="preserve"> </w:t>
      </w:r>
      <w:r>
        <w:rPr>
          <w:rFonts w:hint="eastAsia"/>
          <w:rtl/>
        </w:rPr>
        <w:t>לא</w:t>
      </w:r>
      <w:r>
        <w:rPr>
          <w:rtl/>
        </w:rPr>
        <w:t xml:space="preserve"> </w:t>
      </w:r>
      <w:r>
        <w:rPr>
          <w:rFonts w:hint="eastAsia"/>
          <w:rtl/>
        </w:rPr>
        <w:t>עושים</w:t>
      </w:r>
      <w:r>
        <w:rPr>
          <w:rtl/>
        </w:rPr>
        <w:t xml:space="preserve"> </w:t>
      </w:r>
      <w:r>
        <w:rPr>
          <w:rFonts w:hint="eastAsia"/>
          <w:rtl/>
        </w:rPr>
        <w:t>כפי</w:t>
      </w:r>
      <w:r>
        <w:rPr>
          <w:rtl/>
        </w:rPr>
        <w:t xml:space="preserve"> </w:t>
      </w:r>
      <w:r>
        <w:rPr>
          <w:rFonts w:hint="eastAsia"/>
          <w:rtl/>
        </w:rPr>
        <w:t>שהוצע</w:t>
      </w:r>
      <w:r>
        <w:rPr>
          <w:rtl/>
        </w:rPr>
        <w:t xml:space="preserve"> </w:t>
      </w:r>
      <w:r>
        <w:rPr>
          <w:rFonts w:hint="eastAsia"/>
          <w:rtl/>
        </w:rPr>
        <w:t>בחוק</w:t>
      </w:r>
      <w:r>
        <w:rPr>
          <w:rFonts w:hint="cs"/>
          <w:rtl/>
        </w:rPr>
        <w:t>-</w:t>
      </w:r>
      <w:r>
        <w:rPr>
          <w:rFonts w:hint="eastAsia"/>
          <w:rtl/>
        </w:rPr>
        <w:t>יסוד</w:t>
      </w:r>
      <w:r>
        <w:rPr>
          <w:rtl/>
        </w:rPr>
        <w:t xml:space="preserve">: </w:t>
      </w:r>
      <w:r>
        <w:rPr>
          <w:rFonts w:hint="eastAsia"/>
          <w:rtl/>
        </w:rPr>
        <w:t>החקיקה</w:t>
      </w:r>
      <w:r>
        <w:rPr>
          <w:rtl/>
        </w:rPr>
        <w:t xml:space="preserve"> </w:t>
      </w:r>
      <w:r>
        <w:rPr>
          <w:rFonts w:hint="eastAsia"/>
          <w:rtl/>
        </w:rPr>
        <w:t>או</w:t>
      </w:r>
      <w:r>
        <w:rPr>
          <w:rtl/>
        </w:rPr>
        <w:t xml:space="preserve"> </w:t>
      </w:r>
      <w:r>
        <w:rPr>
          <w:rFonts w:hint="eastAsia"/>
          <w:rtl/>
        </w:rPr>
        <w:t>בחוק</w:t>
      </w:r>
      <w:r>
        <w:rPr>
          <w:rtl/>
        </w:rPr>
        <w:t>-</w:t>
      </w:r>
      <w:r>
        <w:rPr>
          <w:rFonts w:hint="eastAsia"/>
          <w:rtl/>
        </w:rPr>
        <w:t>יסוד</w:t>
      </w:r>
      <w:r>
        <w:rPr>
          <w:rtl/>
        </w:rPr>
        <w:t xml:space="preserve">: </w:t>
      </w:r>
      <w:r>
        <w:rPr>
          <w:rFonts w:hint="eastAsia"/>
          <w:rtl/>
        </w:rPr>
        <w:t>זכויות</w:t>
      </w:r>
      <w:r>
        <w:rPr>
          <w:rtl/>
        </w:rPr>
        <w:t xml:space="preserve"> </w:t>
      </w:r>
      <w:r>
        <w:rPr>
          <w:rFonts w:hint="eastAsia"/>
          <w:rtl/>
        </w:rPr>
        <w:t>האדם</w:t>
      </w:r>
      <w:r>
        <w:rPr>
          <w:rtl/>
        </w:rPr>
        <w:t xml:space="preserve">, </w:t>
      </w:r>
      <w:r>
        <w:rPr>
          <w:rFonts w:hint="eastAsia"/>
          <w:rtl/>
        </w:rPr>
        <w:t>שהוגשו</w:t>
      </w:r>
      <w:r>
        <w:rPr>
          <w:rtl/>
        </w:rPr>
        <w:t xml:space="preserve"> </w:t>
      </w:r>
      <w:r>
        <w:rPr>
          <w:rFonts w:hint="eastAsia"/>
          <w:rtl/>
        </w:rPr>
        <w:t>בזמנם</w:t>
      </w:r>
      <w:r>
        <w:rPr>
          <w:rtl/>
        </w:rPr>
        <w:t xml:space="preserve">. </w:t>
      </w:r>
      <w:r>
        <w:rPr>
          <w:rFonts w:hint="eastAsia"/>
          <w:rtl/>
        </w:rPr>
        <w:t>אין</w:t>
      </w:r>
      <w:r>
        <w:rPr>
          <w:rtl/>
        </w:rPr>
        <w:t xml:space="preserve"> </w:t>
      </w:r>
      <w:r>
        <w:rPr>
          <w:rFonts w:hint="eastAsia"/>
          <w:rtl/>
        </w:rPr>
        <w:t>מוקם</w:t>
      </w:r>
      <w:r>
        <w:rPr>
          <w:rtl/>
        </w:rPr>
        <w:t xml:space="preserve"> </w:t>
      </w:r>
      <w:r>
        <w:rPr>
          <w:rFonts w:hint="eastAsia"/>
          <w:rtl/>
        </w:rPr>
        <w:t>בית</w:t>
      </w:r>
      <w:r>
        <w:rPr>
          <w:rFonts w:hint="cs"/>
          <w:rtl/>
        </w:rPr>
        <w:t>-</w:t>
      </w:r>
      <w:r>
        <w:rPr>
          <w:rFonts w:hint="eastAsia"/>
          <w:rtl/>
        </w:rPr>
        <w:t>משפט</w:t>
      </w:r>
      <w:r>
        <w:rPr>
          <w:rtl/>
        </w:rPr>
        <w:t xml:space="preserve"> </w:t>
      </w:r>
      <w:r>
        <w:rPr>
          <w:rFonts w:hint="eastAsia"/>
          <w:rtl/>
        </w:rPr>
        <w:t>לחוקה</w:t>
      </w:r>
      <w:r>
        <w:rPr>
          <w:rtl/>
        </w:rPr>
        <w:t xml:space="preserve">, </w:t>
      </w:r>
      <w:r>
        <w:rPr>
          <w:rFonts w:hint="eastAsia"/>
          <w:rtl/>
        </w:rPr>
        <w:t>ואין</w:t>
      </w:r>
      <w:r>
        <w:rPr>
          <w:rtl/>
        </w:rPr>
        <w:t xml:space="preserve"> </w:t>
      </w:r>
      <w:r>
        <w:rPr>
          <w:rFonts w:hint="eastAsia"/>
          <w:rtl/>
        </w:rPr>
        <w:t>מוקם</w:t>
      </w:r>
      <w:r>
        <w:rPr>
          <w:rtl/>
        </w:rPr>
        <w:t xml:space="preserve"> </w:t>
      </w:r>
      <w:r>
        <w:rPr>
          <w:rFonts w:hint="eastAsia"/>
          <w:rtl/>
        </w:rPr>
        <w:t>בית</w:t>
      </w:r>
      <w:r>
        <w:rPr>
          <w:rFonts w:hint="cs"/>
          <w:rtl/>
        </w:rPr>
        <w:t>-</w:t>
      </w:r>
      <w:r>
        <w:rPr>
          <w:rFonts w:hint="eastAsia"/>
          <w:rtl/>
        </w:rPr>
        <w:t>משפט</w:t>
      </w:r>
      <w:r>
        <w:rPr>
          <w:rtl/>
        </w:rPr>
        <w:t xml:space="preserve"> </w:t>
      </w:r>
      <w:r>
        <w:rPr>
          <w:rFonts w:hint="eastAsia"/>
          <w:rtl/>
        </w:rPr>
        <w:t>שמקבל</w:t>
      </w:r>
      <w:r>
        <w:rPr>
          <w:rtl/>
        </w:rPr>
        <w:t xml:space="preserve"> </w:t>
      </w:r>
      <w:r>
        <w:rPr>
          <w:rFonts w:hint="eastAsia"/>
          <w:rtl/>
        </w:rPr>
        <w:t>כוח</w:t>
      </w:r>
      <w:r>
        <w:rPr>
          <w:rtl/>
        </w:rPr>
        <w:t xml:space="preserve"> </w:t>
      </w:r>
      <w:r>
        <w:rPr>
          <w:rFonts w:hint="eastAsia"/>
          <w:rtl/>
        </w:rPr>
        <w:t>לבטל</w:t>
      </w:r>
      <w:r>
        <w:rPr>
          <w:rtl/>
        </w:rPr>
        <w:t xml:space="preserve"> </w:t>
      </w:r>
      <w:r>
        <w:rPr>
          <w:rFonts w:hint="eastAsia"/>
          <w:rtl/>
        </w:rPr>
        <w:t>חוקים</w:t>
      </w:r>
      <w:r>
        <w:rPr>
          <w:rtl/>
        </w:rPr>
        <w:t>" (</w:t>
      </w:r>
      <w:r>
        <w:rPr>
          <w:rFonts w:hint="eastAsia"/>
          <w:rtl/>
        </w:rPr>
        <w:t>שם</w:t>
      </w:r>
      <w:r>
        <w:rPr>
          <w:rtl/>
        </w:rPr>
        <w:t xml:space="preserve">, </w:t>
      </w:r>
      <w:r>
        <w:rPr>
          <w:rFonts w:hint="eastAsia"/>
          <w:rtl/>
        </w:rPr>
        <w:t>עמ</w:t>
      </w:r>
      <w:r>
        <w:rPr>
          <w:rtl/>
        </w:rPr>
        <w:t>' 3783).</w:t>
      </w:r>
    </w:p>
    <w:p w:rsidR="00737972" w:rsidRDefault="00737972" w:rsidP="00737972">
      <w:pPr>
        <w:pStyle w:val="Ruller41"/>
        <w:rPr>
          <w:rtl/>
        </w:rPr>
      </w:pPr>
    </w:p>
    <w:p w:rsidR="00737972" w:rsidRDefault="00737972" w:rsidP="00737972">
      <w:pPr>
        <w:pStyle w:val="Ruller41"/>
        <w:rPr>
          <w:rtl/>
        </w:rPr>
      </w:pPr>
      <w:r>
        <w:rPr>
          <w:rtl/>
        </w:rPr>
        <w:tab/>
      </w:r>
      <w:r>
        <w:rPr>
          <w:rFonts w:hint="cs"/>
          <w:rtl/>
        </w:rPr>
        <w:t xml:space="preserve">בהמשך לדברים אלו, הקשו במהלך הדיון ח"כ מיכאל </w:t>
      </w:r>
      <w:r>
        <w:rPr>
          <w:rFonts w:hint="eastAsia"/>
          <w:rtl/>
        </w:rPr>
        <w:t>איתן</w:t>
      </w:r>
      <w:r>
        <w:rPr>
          <w:rtl/>
        </w:rPr>
        <w:t xml:space="preserve"> </w:t>
      </w:r>
      <w:r>
        <w:rPr>
          <w:rFonts w:hint="eastAsia"/>
          <w:rtl/>
        </w:rPr>
        <w:t>ו</w:t>
      </w:r>
      <w:r>
        <w:rPr>
          <w:rFonts w:hint="cs"/>
          <w:rtl/>
        </w:rPr>
        <w:t xml:space="preserve">ח"כ אליקים </w:t>
      </w:r>
      <w:r>
        <w:rPr>
          <w:rFonts w:hint="eastAsia"/>
          <w:rtl/>
        </w:rPr>
        <w:t>העצני</w:t>
      </w:r>
      <w:r>
        <w:rPr>
          <w:rtl/>
        </w:rPr>
        <w:t xml:space="preserve"> </w:t>
      </w:r>
      <w:r>
        <w:rPr>
          <w:rFonts w:hint="cs"/>
          <w:rtl/>
        </w:rPr>
        <w:t>על יו"ר הוועדה, תוך הפנייה להוראת סעיף 8 שבחוק יסוד: כבוד האדם וחירותו הקובע כי "</w:t>
      </w:r>
      <w:r w:rsidRPr="00684915">
        <w:rPr>
          <w:rFonts w:hint="eastAsia"/>
          <w:rtl/>
        </w:rPr>
        <w:t>אין</w:t>
      </w:r>
      <w:r w:rsidRPr="00684915">
        <w:rPr>
          <w:rtl/>
        </w:rPr>
        <w:t xml:space="preserve"> </w:t>
      </w:r>
      <w:r w:rsidRPr="00684915">
        <w:rPr>
          <w:rFonts w:hint="eastAsia"/>
          <w:rtl/>
        </w:rPr>
        <w:t>פוגעים</w:t>
      </w:r>
      <w:r w:rsidRPr="00684915">
        <w:rPr>
          <w:rtl/>
        </w:rPr>
        <w:t xml:space="preserve"> </w:t>
      </w:r>
      <w:r w:rsidRPr="00684915">
        <w:rPr>
          <w:rFonts w:hint="eastAsia"/>
          <w:rtl/>
        </w:rPr>
        <w:t>בזכויות</w:t>
      </w:r>
      <w:r w:rsidRPr="00684915">
        <w:rPr>
          <w:rtl/>
        </w:rPr>
        <w:t xml:space="preserve"> </w:t>
      </w:r>
      <w:r w:rsidRPr="00684915">
        <w:rPr>
          <w:rFonts w:hint="eastAsia"/>
          <w:rtl/>
        </w:rPr>
        <w:t>שלפי</w:t>
      </w:r>
      <w:r w:rsidRPr="00684915">
        <w:rPr>
          <w:rtl/>
        </w:rPr>
        <w:t xml:space="preserve"> </w:t>
      </w:r>
      <w:r w:rsidRPr="00684915">
        <w:rPr>
          <w:rFonts w:hint="eastAsia"/>
          <w:rtl/>
        </w:rPr>
        <w:t>חוק</w:t>
      </w:r>
      <w:r w:rsidRPr="00684915">
        <w:rPr>
          <w:rtl/>
        </w:rPr>
        <w:t>-</w:t>
      </w:r>
      <w:r w:rsidRPr="00684915">
        <w:rPr>
          <w:rFonts w:hint="eastAsia"/>
          <w:rtl/>
        </w:rPr>
        <w:t>יסוד</w:t>
      </w:r>
      <w:r w:rsidRPr="00684915">
        <w:rPr>
          <w:rtl/>
        </w:rPr>
        <w:t xml:space="preserve"> </w:t>
      </w:r>
      <w:r w:rsidRPr="00684915">
        <w:rPr>
          <w:rFonts w:hint="eastAsia"/>
          <w:rtl/>
        </w:rPr>
        <w:t>זה</w:t>
      </w:r>
      <w:r w:rsidRPr="00684915">
        <w:rPr>
          <w:rtl/>
        </w:rPr>
        <w:t xml:space="preserve"> </w:t>
      </w:r>
      <w:r w:rsidRPr="00684915">
        <w:rPr>
          <w:rFonts w:hint="eastAsia"/>
          <w:rtl/>
        </w:rPr>
        <w:t>אלא</w:t>
      </w:r>
      <w:r w:rsidRPr="00684915">
        <w:rPr>
          <w:rtl/>
        </w:rPr>
        <w:t xml:space="preserve"> </w:t>
      </w:r>
      <w:r w:rsidRPr="00684915">
        <w:rPr>
          <w:rFonts w:hint="eastAsia"/>
          <w:rtl/>
        </w:rPr>
        <w:t>בחוק</w:t>
      </w:r>
      <w:r w:rsidRPr="00684915">
        <w:rPr>
          <w:rtl/>
        </w:rPr>
        <w:t xml:space="preserve"> </w:t>
      </w:r>
      <w:r w:rsidRPr="00684915">
        <w:rPr>
          <w:rFonts w:hint="eastAsia"/>
          <w:rtl/>
        </w:rPr>
        <w:t>ההולם</w:t>
      </w:r>
      <w:r w:rsidRPr="00684915">
        <w:rPr>
          <w:rtl/>
        </w:rPr>
        <w:t xml:space="preserve"> </w:t>
      </w:r>
      <w:r w:rsidRPr="00684915">
        <w:rPr>
          <w:rFonts w:hint="eastAsia"/>
          <w:rtl/>
        </w:rPr>
        <w:t>את</w:t>
      </w:r>
      <w:r w:rsidRPr="00684915">
        <w:rPr>
          <w:rtl/>
        </w:rPr>
        <w:t xml:space="preserve"> </w:t>
      </w:r>
      <w:r w:rsidRPr="00684915">
        <w:rPr>
          <w:rFonts w:hint="eastAsia"/>
          <w:rtl/>
        </w:rPr>
        <w:t>ערכיה</w:t>
      </w:r>
      <w:r w:rsidRPr="00684915">
        <w:rPr>
          <w:rtl/>
        </w:rPr>
        <w:t xml:space="preserve"> </w:t>
      </w:r>
      <w:r w:rsidRPr="00684915">
        <w:rPr>
          <w:rFonts w:hint="eastAsia"/>
          <w:rtl/>
        </w:rPr>
        <w:t>של</w:t>
      </w:r>
      <w:r w:rsidRPr="00684915">
        <w:rPr>
          <w:rtl/>
        </w:rPr>
        <w:t xml:space="preserve"> </w:t>
      </w:r>
      <w:r w:rsidRPr="00684915">
        <w:rPr>
          <w:rFonts w:hint="eastAsia"/>
          <w:rtl/>
        </w:rPr>
        <w:t>מדינת</w:t>
      </w:r>
      <w:r w:rsidRPr="00684915">
        <w:rPr>
          <w:rtl/>
        </w:rPr>
        <w:t xml:space="preserve"> </w:t>
      </w:r>
      <w:r w:rsidRPr="00684915">
        <w:rPr>
          <w:rFonts w:hint="eastAsia"/>
          <w:rtl/>
        </w:rPr>
        <w:t>ישראל</w:t>
      </w:r>
      <w:r>
        <w:rPr>
          <w:rFonts w:hint="cs"/>
          <w:rtl/>
        </w:rPr>
        <w:t>...", ובתגובה הובהר כי אין הכוונה לביטול חקיקה על ידי בית המשפט. וכך היו חילופי הדברים:</w:t>
      </w:r>
    </w:p>
    <w:p w:rsidR="00737972" w:rsidRDefault="00737972" w:rsidP="00737972">
      <w:pPr>
        <w:pStyle w:val="Ruller41"/>
        <w:rPr>
          <w:rtl/>
        </w:rPr>
      </w:pPr>
    </w:p>
    <w:p w:rsidR="00737972" w:rsidRDefault="00737972" w:rsidP="00737972">
      <w:pPr>
        <w:pStyle w:val="Ruller5"/>
        <w:rPr>
          <w:rtl/>
        </w:rPr>
      </w:pPr>
      <w:r>
        <w:rPr>
          <w:rFonts w:hint="cs"/>
          <w:rtl/>
        </w:rPr>
        <w:t>"מיכאל איתן: מה זה סעיף 8?</w:t>
      </w:r>
    </w:p>
    <w:p w:rsidR="00737972" w:rsidRDefault="00737972" w:rsidP="00737972">
      <w:pPr>
        <w:pStyle w:val="Ruller5"/>
        <w:rPr>
          <w:rtl/>
        </w:rPr>
      </w:pPr>
      <w:r>
        <w:rPr>
          <w:rFonts w:hint="cs"/>
          <w:rtl/>
        </w:rPr>
        <w:t xml:space="preserve">אוריאל לין: סעיף 8 אומר, וזה סעיף בעל חשיבות עצומה, שכן אפשר לתכלית ראויה, אם זה הולם את ערכיה של מדינת ישראל </w:t>
      </w:r>
      <w:r>
        <w:rPr>
          <w:rtl/>
        </w:rPr>
        <w:t>–</w:t>
      </w:r>
      <w:r>
        <w:rPr>
          <w:rFonts w:hint="cs"/>
          <w:rtl/>
        </w:rPr>
        <w:t xml:space="preserve"> וערכיה של מדינת ישראל הוגדרו בסעיף 1, שאלה ערכיה כמדינה יהודית ודמוקרטית </w:t>
      </w:r>
      <w:r>
        <w:rPr>
          <w:rtl/>
        </w:rPr>
        <w:t>–</w:t>
      </w:r>
      <w:r>
        <w:rPr>
          <w:rFonts w:hint="cs"/>
          <w:rtl/>
        </w:rPr>
        <w:t xml:space="preserve"> אפשר לתכלית ראויה, במידה שאינה עולה על הנדרש בחוק, לצמצם זכויות יסוד על-פי חוק-יסוד זה.</w:t>
      </w:r>
    </w:p>
    <w:p w:rsidR="00737972" w:rsidRDefault="00737972" w:rsidP="00737972">
      <w:pPr>
        <w:pStyle w:val="Ruller5"/>
        <w:rPr>
          <w:rtl/>
        </w:rPr>
      </w:pPr>
      <w:r>
        <w:rPr>
          <w:rFonts w:hint="cs"/>
          <w:rtl/>
        </w:rPr>
        <w:t>מיכאל איתן: אבל אין ביטול חוקי הכנסת.</w:t>
      </w:r>
    </w:p>
    <w:p w:rsidR="00737972" w:rsidRDefault="00737972" w:rsidP="00737972">
      <w:pPr>
        <w:pStyle w:val="Ruller5"/>
        <w:rPr>
          <w:rtl/>
        </w:rPr>
      </w:pPr>
      <w:r>
        <w:rPr>
          <w:rFonts w:hint="cs"/>
          <w:rtl/>
        </w:rPr>
        <w:t>אליקים העצני: ומי יקבע? איפה הפרמטרים?</w:t>
      </w:r>
    </w:p>
    <w:p w:rsidR="00737972" w:rsidRDefault="00737972" w:rsidP="00737972">
      <w:pPr>
        <w:pStyle w:val="Ruller5"/>
        <w:rPr>
          <w:rtl/>
        </w:rPr>
      </w:pPr>
      <w:r>
        <w:rPr>
          <w:rFonts w:hint="cs"/>
          <w:rtl/>
        </w:rPr>
        <w:t xml:space="preserve">מיכאל איתן: סעיף 4 </w:t>
      </w:r>
      <w:r>
        <w:rPr>
          <w:rtl/>
        </w:rPr>
        <w:t>–</w:t>
      </w:r>
      <w:r>
        <w:rPr>
          <w:rFonts w:hint="cs"/>
          <w:rtl/>
        </w:rPr>
        <w:t xml:space="preserve"> מה זה ערכיה של מדינה יהודית? זו שאלה פוליטית, זו לא שאלה משפטית.</w:t>
      </w:r>
    </w:p>
    <w:p w:rsidR="00737972" w:rsidRDefault="00737972" w:rsidP="00737972">
      <w:pPr>
        <w:pStyle w:val="Ruller5"/>
        <w:rPr>
          <w:rtl/>
        </w:rPr>
      </w:pPr>
      <w:r>
        <w:rPr>
          <w:rFonts w:hint="cs"/>
          <w:rtl/>
        </w:rPr>
        <w:lastRenderedPageBreak/>
        <w:t>אוריאל לין: מחוקק קובע ובית-המשפט קובע. זוהי המערכת הקיימת היום ואין לך אחרת. אין לך מערכת אחרת. גם היום בית-המשפט יכול לפרש חוקים.</w:t>
      </w:r>
    </w:p>
    <w:p w:rsidR="00737972" w:rsidRDefault="00737972" w:rsidP="00737972">
      <w:pPr>
        <w:pStyle w:val="Ruller5"/>
        <w:rPr>
          <w:rtl/>
        </w:rPr>
      </w:pPr>
      <w:r>
        <w:rPr>
          <w:rFonts w:hint="cs"/>
          <w:rtl/>
        </w:rPr>
        <w:t>מיכאל איתן: אבל לא לפסול חוקים.</w:t>
      </w:r>
    </w:p>
    <w:p w:rsidR="00737972" w:rsidRDefault="00737972" w:rsidP="00737972">
      <w:pPr>
        <w:pStyle w:val="Ruller5"/>
        <w:rPr>
          <w:rtl/>
        </w:rPr>
      </w:pPr>
      <w:r>
        <w:rPr>
          <w:rFonts w:hint="cs"/>
          <w:rtl/>
        </w:rPr>
        <w:t xml:space="preserve">אוריאל לין: אין צורך לפסול חוקים. לא פוסלים חוק. החוק צריך להיעשות לתכלית ראויה. לא סתם חוק שרירותי. משום שאלה חירויות היסוד של הפרט, שכולנו מאמינים בהן [...]" (שם, עמ' 3783). </w:t>
      </w:r>
    </w:p>
    <w:p w:rsidR="00737972" w:rsidRDefault="00737972" w:rsidP="00737972">
      <w:pPr>
        <w:pStyle w:val="Ruller41"/>
        <w:rPr>
          <w:rtl/>
        </w:rPr>
      </w:pPr>
    </w:p>
    <w:p w:rsidR="00737972" w:rsidRDefault="00737972" w:rsidP="00737972">
      <w:pPr>
        <w:pStyle w:val="Ruller41"/>
        <w:rPr>
          <w:rtl/>
        </w:rPr>
      </w:pPr>
      <w:r>
        <w:rPr>
          <w:rtl/>
        </w:rPr>
        <w:tab/>
      </w:r>
      <w:r>
        <w:rPr>
          <w:rFonts w:hint="cs"/>
          <w:rtl/>
        </w:rPr>
        <w:t>וכך גם בהמשך, ח"כ לין הרגיע והבהיר את המתנגדים והחוששים כי אין הכוונה "להעביר את הכוח למערכת בתי המשפט":</w:t>
      </w:r>
    </w:p>
    <w:p w:rsidR="00737972" w:rsidRDefault="00737972" w:rsidP="00737972">
      <w:pPr>
        <w:pStyle w:val="Ruller41"/>
        <w:rPr>
          <w:rtl/>
        </w:rPr>
      </w:pPr>
    </w:p>
    <w:p w:rsidR="00737972" w:rsidRDefault="00737972" w:rsidP="00737972">
      <w:pPr>
        <w:pStyle w:val="Ruller5"/>
        <w:rPr>
          <w:rtl/>
        </w:rPr>
      </w:pPr>
      <w:r>
        <w:rPr>
          <w:rtl/>
        </w:rPr>
        <w:t>"</w:t>
      </w:r>
      <w:r>
        <w:rPr>
          <w:rFonts w:hint="cs"/>
          <w:rtl/>
        </w:rPr>
        <w:t xml:space="preserve">רבותי חברי הכנסת, כל החששות שהובעו כאן במהלך הדיון היו ידועים היטב לוועדה, ואנחנו התייחסנו אליהם במהלך הדיון בוועדה. הייתי אומר: לאחר 44 שנים, הבה נאמר לעם ישראל: כן, אנחנו מעזים לתת לכם חוק-יסוד: כבוד האדם וחירותו. על אף ההיסוסים, על אף הבעיות, אנחנו רוצים באיזו נקודת זמן לשים את הגבול ולומר: לא נאמר לכם עוד שזה בלתי אפשרי. נאמר לכם: כן, אנחנו מוכנים לעשות את זה. ואני אומר לחברי הבית: בואו נעשה את הניסיון. </w:t>
      </w:r>
      <w:r w:rsidRPr="00E04C24">
        <w:rPr>
          <w:rFonts w:ascii="Century" w:hAnsi="Century" w:cs="Miriam" w:hint="cs"/>
          <w:b/>
          <w:spacing w:val="0"/>
          <w:szCs w:val="24"/>
          <w:rtl/>
        </w:rPr>
        <w:t xml:space="preserve">הכוח לא הועבר למערכת בתי-המשפט. </w:t>
      </w:r>
      <w:r w:rsidRPr="00E04C24">
        <w:rPr>
          <w:rFonts w:ascii="Century" w:hAnsi="Century" w:cs="Miriam" w:hint="eastAsia"/>
          <w:b/>
          <w:spacing w:val="0"/>
          <w:szCs w:val="24"/>
          <w:rtl/>
        </w:rPr>
        <w:t>הכוח</w:t>
      </w:r>
      <w:r w:rsidRPr="00E04C24">
        <w:rPr>
          <w:rFonts w:ascii="Century" w:hAnsi="Century" w:cs="Miriam"/>
          <w:b/>
          <w:spacing w:val="0"/>
          <w:szCs w:val="24"/>
          <w:rtl/>
        </w:rPr>
        <w:t xml:space="preserve"> </w:t>
      </w:r>
      <w:r w:rsidRPr="00E04C24">
        <w:rPr>
          <w:rFonts w:ascii="Century" w:hAnsi="Century" w:cs="Miriam" w:hint="eastAsia"/>
          <w:b/>
          <w:spacing w:val="0"/>
          <w:szCs w:val="24"/>
          <w:rtl/>
        </w:rPr>
        <w:t>נשאר</w:t>
      </w:r>
      <w:r w:rsidRPr="00E04C24">
        <w:rPr>
          <w:rFonts w:ascii="Century" w:hAnsi="Century" w:cs="Miriam"/>
          <w:b/>
          <w:spacing w:val="0"/>
          <w:szCs w:val="24"/>
          <w:rtl/>
        </w:rPr>
        <w:t xml:space="preserve"> </w:t>
      </w:r>
      <w:r w:rsidRPr="00E04C24">
        <w:rPr>
          <w:rFonts w:ascii="Century" w:hAnsi="Century" w:cs="Miriam" w:hint="eastAsia"/>
          <w:b/>
          <w:spacing w:val="0"/>
          <w:szCs w:val="24"/>
          <w:rtl/>
        </w:rPr>
        <w:t>בבית</w:t>
      </w:r>
      <w:r w:rsidRPr="00E04C24">
        <w:rPr>
          <w:rFonts w:ascii="Century" w:hAnsi="Century" w:cs="Miriam"/>
          <w:b/>
          <w:spacing w:val="0"/>
          <w:szCs w:val="24"/>
          <w:rtl/>
        </w:rPr>
        <w:t xml:space="preserve"> </w:t>
      </w:r>
      <w:r w:rsidRPr="00E04C24">
        <w:rPr>
          <w:rFonts w:ascii="Century" w:hAnsi="Century" w:cs="Miriam" w:hint="eastAsia"/>
          <w:b/>
          <w:spacing w:val="0"/>
          <w:szCs w:val="24"/>
          <w:rtl/>
        </w:rPr>
        <w:t>הזה</w:t>
      </w:r>
      <w:r>
        <w:rPr>
          <w:rFonts w:hint="cs"/>
          <w:rtl/>
        </w:rPr>
        <w:t xml:space="preserve">. </w:t>
      </w:r>
      <w:r>
        <w:rPr>
          <w:rFonts w:hint="eastAsia"/>
          <w:rtl/>
        </w:rPr>
        <w:t>ואם</w:t>
      </w:r>
      <w:r>
        <w:rPr>
          <w:rtl/>
        </w:rPr>
        <w:t xml:space="preserve"> </w:t>
      </w:r>
      <w:r>
        <w:rPr>
          <w:rFonts w:hint="eastAsia"/>
          <w:rtl/>
        </w:rPr>
        <w:t>חלילה</w:t>
      </w:r>
      <w:r>
        <w:rPr>
          <w:rtl/>
        </w:rPr>
        <w:t xml:space="preserve"> </w:t>
      </w:r>
      <w:r>
        <w:rPr>
          <w:rFonts w:hint="eastAsia"/>
          <w:rtl/>
        </w:rPr>
        <w:t>יסתבר</w:t>
      </w:r>
      <w:r>
        <w:rPr>
          <w:rtl/>
        </w:rPr>
        <w:t xml:space="preserve"> </w:t>
      </w:r>
      <w:r>
        <w:rPr>
          <w:rFonts w:hint="eastAsia"/>
          <w:rtl/>
        </w:rPr>
        <w:t>מהנסיון</w:t>
      </w:r>
      <w:r>
        <w:rPr>
          <w:rtl/>
        </w:rPr>
        <w:t xml:space="preserve"> </w:t>
      </w:r>
      <w:r>
        <w:rPr>
          <w:rFonts w:hint="eastAsia"/>
          <w:rtl/>
        </w:rPr>
        <w:t>עם</w:t>
      </w:r>
      <w:r>
        <w:rPr>
          <w:rtl/>
        </w:rPr>
        <w:t xml:space="preserve"> </w:t>
      </w:r>
      <w:r>
        <w:rPr>
          <w:rFonts w:hint="eastAsia"/>
          <w:rtl/>
        </w:rPr>
        <w:t>החוק</w:t>
      </w:r>
      <w:r>
        <w:rPr>
          <w:rtl/>
        </w:rPr>
        <w:t xml:space="preserve"> </w:t>
      </w:r>
      <w:r>
        <w:rPr>
          <w:rFonts w:hint="eastAsia"/>
          <w:rtl/>
        </w:rPr>
        <w:t>הזה</w:t>
      </w:r>
      <w:r>
        <w:rPr>
          <w:rtl/>
        </w:rPr>
        <w:t xml:space="preserve"> </w:t>
      </w:r>
      <w:r>
        <w:rPr>
          <w:rFonts w:hint="eastAsia"/>
          <w:rtl/>
        </w:rPr>
        <w:t>שאנחנו</w:t>
      </w:r>
      <w:r>
        <w:rPr>
          <w:rtl/>
        </w:rPr>
        <w:t xml:space="preserve"> </w:t>
      </w:r>
      <w:r>
        <w:rPr>
          <w:rFonts w:hint="eastAsia"/>
          <w:rtl/>
        </w:rPr>
        <w:t>טעינו</w:t>
      </w:r>
      <w:r>
        <w:rPr>
          <w:rtl/>
        </w:rPr>
        <w:t xml:space="preserve">, </w:t>
      </w:r>
      <w:r>
        <w:rPr>
          <w:rFonts w:hint="eastAsia"/>
          <w:rtl/>
        </w:rPr>
        <w:t>והפרשנות</w:t>
      </w:r>
      <w:r>
        <w:rPr>
          <w:rtl/>
        </w:rPr>
        <w:t xml:space="preserve"> </w:t>
      </w:r>
      <w:r>
        <w:rPr>
          <w:rFonts w:hint="eastAsia"/>
          <w:rtl/>
        </w:rPr>
        <w:t>הניתנת</w:t>
      </w:r>
      <w:r>
        <w:rPr>
          <w:rtl/>
        </w:rPr>
        <w:t xml:space="preserve"> </w:t>
      </w:r>
      <w:r>
        <w:rPr>
          <w:rFonts w:hint="eastAsia"/>
          <w:rtl/>
        </w:rPr>
        <w:t>לחוק</w:t>
      </w:r>
      <w:r>
        <w:rPr>
          <w:rtl/>
        </w:rPr>
        <w:t xml:space="preserve"> </w:t>
      </w:r>
      <w:r>
        <w:rPr>
          <w:rFonts w:hint="eastAsia"/>
          <w:rtl/>
        </w:rPr>
        <w:t>אינה</w:t>
      </w:r>
      <w:r>
        <w:rPr>
          <w:rtl/>
        </w:rPr>
        <w:t xml:space="preserve"> </w:t>
      </w:r>
      <w:r>
        <w:rPr>
          <w:rFonts w:hint="eastAsia"/>
          <w:rtl/>
        </w:rPr>
        <w:t>על</w:t>
      </w:r>
      <w:r>
        <w:rPr>
          <w:rFonts w:hint="cs"/>
          <w:rtl/>
        </w:rPr>
        <w:t>-</w:t>
      </w:r>
      <w:r>
        <w:rPr>
          <w:rFonts w:hint="eastAsia"/>
          <w:rtl/>
        </w:rPr>
        <w:t>פי</w:t>
      </w:r>
      <w:r>
        <w:rPr>
          <w:rtl/>
        </w:rPr>
        <w:t xml:space="preserve"> </w:t>
      </w:r>
      <w:r>
        <w:rPr>
          <w:rFonts w:hint="eastAsia"/>
          <w:rtl/>
        </w:rPr>
        <w:t>כוונתו</w:t>
      </w:r>
      <w:r>
        <w:rPr>
          <w:rtl/>
        </w:rPr>
        <w:t xml:space="preserve"> </w:t>
      </w:r>
      <w:r>
        <w:rPr>
          <w:rFonts w:hint="eastAsia"/>
          <w:rtl/>
        </w:rPr>
        <w:t>האמיתית</w:t>
      </w:r>
      <w:r>
        <w:rPr>
          <w:rtl/>
        </w:rPr>
        <w:t xml:space="preserve"> </w:t>
      </w:r>
      <w:r>
        <w:rPr>
          <w:rFonts w:hint="eastAsia"/>
          <w:rtl/>
        </w:rPr>
        <w:t>של</w:t>
      </w:r>
      <w:r>
        <w:rPr>
          <w:rtl/>
        </w:rPr>
        <w:t xml:space="preserve"> </w:t>
      </w:r>
      <w:r>
        <w:rPr>
          <w:rFonts w:hint="eastAsia"/>
          <w:rtl/>
        </w:rPr>
        <w:t>המחוקק</w:t>
      </w:r>
      <w:r>
        <w:rPr>
          <w:rtl/>
        </w:rPr>
        <w:t xml:space="preserve">, </w:t>
      </w:r>
      <w:r>
        <w:rPr>
          <w:rFonts w:hint="eastAsia"/>
          <w:rtl/>
        </w:rPr>
        <w:t>יש</w:t>
      </w:r>
      <w:r>
        <w:rPr>
          <w:rtl/>
        </w:rPr>
        <w:t xml:space="preserve"> </w:t>
      </w:r>
      <w:r>
        <w:rPr>
          <w:rFonts w:hint="eastAsia"/>
          <w:rtl/>
        </w:rPr>
        <w:t>בידי</w:t>
      </w:r>
      <w:r>
        <w:rPr>
          <w:rtl/>
        </w:rPr>
        <w:t xml:space="preserve"> </w:t>
      </w:r>
      <w:r>
        <w:rPr>
          <w:rFonts w:hint="eastAsia"/>
          <w:rtl/>
        </w:rPr>
        <w:t>הכנסת</w:t>
      </w:r>
      <w:r>
        <w:rPr>
          <w:rtl/>
        </w:rPr>
        <w:t xml:space="preserve"> </w:t>
      </w:r>
      <w:r>
        <w:rPr>
          <w:rFonts w:hint="cs"/>
          <w:rtl/>
        </w:rPr>
        <w:t xml:space="preserve">הכוח </w:t>
      </w:r>
      <w:r>
        <w:rPr>
          <w:rFonts w:hint="eastAsia"/>
          <w:rtl/>
        </w:rPr>
        <w:t>לשנות</w:t>
      </w:r>
      <w:r>
        <w:rPr>
          <w:rtl/>
        </w:rPr>
        <w:t xml:space="preserve"> </w:t>
      </w:r>
      <w:r>
        <w:rPr>
          <w:rFonts w:hint="eastAsia"/>
          <w:rtl/>
        </w:rPr>
        <w:t>את</w:t>
      </w:r>
      <w:r>
        <w:rPr>
          <w:rtl/>
        </w:rPr>
        <w:t xml:space="preserve"> </w:t>
      </w:r>
      <w:r>
        <w:rPr>
          <w:rFonts w:hint="eastAsia"/>
          <w:rtl/>
        </w:rPr>
        <w:t>החוק</w:t>
      </w:r>
      <w:r>
        <w:rPr>
          <w:rtl/>
        </w:rPr>
        <w:t>" (</w:t>
      </w:r>
      <w:r>
        <w:rPr>
          <w:rFonts w:hint="eastAsia"/>
          <w:rtl/>
        </w:rPr>
        <w:t>שם</w:t>
      </w:r>
      <w:r>
        <w:rPr>
          <w:rtl/>
        </w:rPr>
        <w:t xml:space="preserve">, </w:t>
      </w:r>
      <w:r>
        <w:rPr>
          <w:rFonts w:hint="eastAsia"/>
          <w:rtl/>
        </w:rPr>
        <w:t>עמ</w:t>
      </w:r>
      <w:r>
        <w:rPr>
          <w:rtl/>
        </w:rPr>
        <w:t>' 3788</w:t>
      </w:r>
      <w:r>
        <w:rPr>
          <w:rFonts w:hint="cs"/>
          <w:rtl/>
        </w:rPr>
        <w:t xml:space="preserve">; ההדגשות אינן במקור </w:t>
      </w:r>
      <w:r>
        <w:rPr>
          <w:rFonts w:hint="eastAsia"/>
          <w:rtl/>
        </w:rPr>
        <w:t>–</w:t>
      </w:r>
      <w:r>
        <w:rPr>
          <w:rFonts w:hint="cs"/>
          <w:rtl/>
        </w:rPr>
        <w:t xml:space="preserve"> ד.מ.</w:t>
      </w:r>
      <w:r>
        <w:rPr>
          <w:rtl/>
        </w:rPr>
        <w:t>).</w:t>
      </w:r>
    </w:p>
    <w:p w:rsidR="00737972" w:rsidRDefault="00737972" w:rsidP="00737972">
      <w:pPr>
        <w:pStyle w:val="Ruller41"/>
        <w:rPr>
          <w:rtl/>
        </w:rPr>
      </w:pPr>
    </w:p>
    <w:p w:rsidR="00737972" w:rsidRDefault="00737972" w:rsidP="00737972">
      <w:pPr>
        <w:pStyle w:val="Ruller41"/>
        <w:rPr>
          <w:rtl/>
        </w:rPr>
      </w:pPr>
      <w:r>
        <w:rPr>
          <w:rtl/>
        </w:rPr>
        <w:tab/>
      </w:r>
      <w:r>
        <w:rPr>
          <w:rFonts w:hint="cs"/>
          <w:rtl/>
        </w:rPr>
        <w:t xml:space="preserve">נוכח </w:t>
      </w:r>
      <w:r w:rsidRPr="007B0F10">
        <w:rPr>
          <w:rFonts w:hint="cs"/>
          <w:rtl/>
        </w:rPr>
        <w:t xml:space="preserve">התבטאויות חד-משמעיות אלה, ברי כי אין מקום להסתמך על תיאור מצב הדברים מאוחר יותר על ידי לין, על פיו חברי הכנסת העניקו במודע </w:t>
      </w:r>
      <w:r>
        <w:rPr>
          <w:rFonts w:hint="cs"/>
          <w:rtl/>
        </w:rPr>
        <w:t>ל</w:t>
      </w:r>
      <w:r w:rsidRPr="007B0F10">
        <w:rPr>
          <w:rFonts w:hint="cs"/>
          <w:rtl/>
        </w:rPr>
        <w:t xml:space="preserve">בתי המשפט את סמכות הביקורת השיפוטית על דבר חקיקה הפוגע בזכויות יסוד (למשל: אוריאל לין "חוקי-היסוד כחלק מהחוקה הישראלית הכתובה" </w:t>
      </w:r>
      <w:r w:rsidRPr="007B0F10">
        <w:rPr>
          <w:rFonts w:ascii="Century" w:hAnsi="Century" w:cs="Miriam" w:hint="cs"/>
          <w:b/>
          <w:spacing w:val="0"/>
          <w:szCs w:val="24"/>
          <w:rtl/>
        </w:rPr>
        <w:t>המשפט</w:t>
      </w:r>
      <w:r w:rsidRPr="007B0F10">
        <w:rPr>
          <w:rFonts w:hint="cs"/>
          <w:rtl/>
        </w:rPr>
        <w:t xml:space="preserve"> ה 267 (2000); אוריא</w:t>
      </w:r>
      <w:r>
        <w:rPr>
          <w:rFonts w:hint="cs"/>
          <w:rtl/>
        </w:rPr>
        <w:t xml:space="preserve">ל לין ושלומי לויה </w:t>
      </w:r>
      <w:r w:rsidRPr="008561CD">
        <w:rPr>
          <w:rtl/>
        </w:rPr>
        <w:t>"</w:t>
      </w:r>
      <w:r w:rsidRPr="008561CD">
        <w:rPr>
          <w:rFonts w:hint="eastAsia"/>
          <w:rtl/>
        </w:rPr>
        <w:t>כיצד</w:t>
      </w:r>
      <w:r w:rsidRPr="008561CD">
        <w:rPr>
          <w:rtl/>
        </w:rPr>
        <w:t xml:space="preserve"> </w:t>
      </w:r>
      <w:r w:rsidRPr="008561CD">
        <w:rPr>
          <w:rFonts w:hint="eastAsia"/>
          <w:rtl/>
        </w:rPr>
        <w:t>הצליחה</w:t>
      </w:r>
      <w:r w:rsidRPr="008561CD">
        <w:rPr>
          <w:rtl/>
        </w:rPr>
        <w:t xml:space="preserve"> </w:t>
      </w:r>
      <w:r w:rsidRPr="008561CD">
        <w:rPr>
          <w:rFonts w:hint="eastAsia"/>
          <w:rtl/>
        </w:rPr>
        <w:t>ועדת</w:t>
      </w:r>
      <w:r w:rsidRPr="008561CD">
        <w:rPr>
          <w:rtl/>
        </w:rPr>
        <w:t xml:space="preserve"> </w:t>
      </w:r>
      <w:r w:rsidRPr="008561CD">
        <w:rPr>
          <w:rFonts w:hint="eastAsia"/>
          <w:rtl/>
        </w:rPr>
        <w:t>החוקה</w:t>
      </w:r>
      <w:r w:rsidRPr="008561CD">
        <w:rPr>
          <w:rtl/>
        </w:rPr>
        <w:t xml:space="preserve"> </w:t>
      </w:r>
      <w:r w:rsidRPr="008561CD">
        <w:rPr>
          <w:rFonts w:hint="eastAsia"/>
          <w:rtl/>
        </w:rPr>
        <w:t>בכנסת</w:t>
      </w:r>
      <w:r w:rsidRPr="008561CD">
        <w:rPr>
          <w:rtl/>
        </w:rPr>
        <w:t xml:space="preserve"> </w:t>
      </w:r>
      <w:r w:rsidRPr="008561CD">
        <w:rPr>
          <w:rFonts w:hint="eastAsia"/>
          <w:rtl/>
        </w:rPr>
        <w:t>השתים</w:t>
      </w:r>
      <w:r w:rsidRPr="008561CD">
        <w:rPr>
          <w:rtl/>
        </w:rPr>
        <w:t>-</w:t>
      </w:r>
      <w:r w:rsidRPr="008561CD">
        <w:rPr>
          <w:rFonts w:hint="eastAsia"/>
          <w:rtl/>
        </w:rPr>
        <w:t>עשרה</w:t>
      </w:r>
      <w:r w:rsidRPr="008561CD">
        <w:rPr>
          <w:rtl/>
        </w:rPr>
        <w:t xml:space="preserve"> </w:t>
      </w:r>
      <w:r w:rsidRPr="008561CD">
        <w:rPr>
          <w:rFonts w:hint="eastAsia"/>
          <w:rtl/>
        </w:rPr>
        <w:t>במקום</w:t>
      </w:r>
      <w:r w:rsidRPr="008561CD">
        <w:rPr>
          <w:rtl/>
        </w:rPr>
        <w:t xml:space="preserve"> </w:t>
      </w:r>
      <w:r w:rsidRPr="008561CD">
        <w:rPr>
          <w:rFonts w:hint="eastAsia"/>
          <w:rtl/>
        </w:rPr>
        <w:t>שבו</w:t>
      </w:r>
      <w:r w:rsidRPr="008561CD">
        <w:rPr>
          <w:rtl/>
        </w:rPr>
        <w:t xml:space="preserve"> </w:t>
      </w:r>
      <w:r w:rsidRPr="008561CD">
        <w:rPr>
          <w:rFonts w:hint="eastAsia"/>
          <w:rtl/>
        </w:rPr>
        <w:t>נכשלו</w:t>
      </w:r>
      <w:r w:rsidRPr="008561CD">
        <w:rPr>
          <w:rtl/>
        </w:rPr>
        <w:t xml:space="preserve"> </w:t>
      </w:r>
      <w:r w:rsidRPr="008561CD">
        <w:rPr>
          <w:rFonts w:hint="eastAsia"/>
          <w:rtl/>
        </w:rPr>
        <w:t>אחרים</w:t>
      </w:r>
      <w:r w:rsidRPr="008561CD">
        <w:rPr>
          <w:rtl/>
        </w:rPr>
        <w:t xml:space="preserve">: </w:t>
      </w:r>
      <w:r w:rsidRPr="008561CD">
        <w:rPr>
          <w:rFonts w:hint="eastAsia"/>
          <w:rtl/>
        </w:rPr>
        <w:t>דגשים</w:t>
      </w:r>
      <w:r w:rsidRPr="008561CD">
        <w:rPr>
          <w:rtl/>
        </w:rPr>
        <w:t xml:space="preserve"> </w:t>
      </w:r>
      <w:r w:rsidRPr="008561CD">
        <w:rPr>
          <w:rFonts w:hint="eastAsia"/>
          <w:rtl/>
        </w:rPr>
        <w:t>והרהורים</w:t>
      </w:r>
      <w:r w:rsidRPr="008561CD">
        <w:rPr>
          <w:rtl/>
        </w:rPr>
        <w:t xml:space="preserve"> </w:t>
      </w:r>
      <w:r w:rsidRPr="008561CD">
        <w:rPr>
          <w:rFonts w:hint="eastAsia"/>
          <w:rtl/>
        </w:rPr>
        <w:t>לגבי</w:t>
      </w:r>
      <w:r w:rsidRPr="008561CD">
        <w:rPr>
          <w:rtl/>
        </w:rPr>
        <w:t xml:space="preserve"> </w:t>
      </w:r>
      <w:r w:rsidRPr="008561CD">
        <w:rPr>
          <w:rFonts w:hint="eastAsia"/>
          <w:rtl/>
        </w:rPr>
        <w:t>העתיד</w:t>
      </w:r>
      <w:r>
        <w:rPr>
          <w:rtl/>
        </w:rPr>
        <w:t>"</w:t>
      </w:r>
      <w:r w:rsidRPr="008561CD">
        <w:rPr>
          <w:rFonts w:hint="eastAsia"/>
          <w:rtl/>
        </w:rPr>
        <w:t xml:space="preserve"> </w:t>
      </w:r>
      <w:r w:rsidRPr="008561CD">
        <w:rPr>
          <w:rFonts w:ascii="Century" w:hAnsi="Century" w:cs="Miriam" w:hint="eastAsia"/>
          <w:b/>
          <w:spacing w:val="0"/>
          <w:szCs w:val="24"/>
          <w:rtl/>
        </w:rPr>
        <w:t>משפט</w:t>
      </w:r>
      <w:r w:rsidRPr="008561CD">
        <w:rPr>
          <w:rFonts w:ascii="Century" w:hAnsi="Century" w:cs="Miriam"/>
          <w:b/>
          <w:spacing w:val="0"/>
          <w:szCs w:val="24"/>
          <w:rtl/>
        </w:rPr>
        <w:t xml:space="preserve"> </w:t>
      </w:r>
      <w:r w:rsidRPr="008561CD">
        <w:rPr>
          <w:rFonts w:ascii="Century" w:hAnsi="Century" w:cs="Miriam" w:hint="eastAsia"/>
          <w:b/>
          <w:spacing w:val="0"/>
          <w:szCs w:val="24"/>
          <w:rtl/>
        </w:rPr>
        <w:t>ועסקים</w:t>
      </w:r>
      <w:r w:rsidRPr="008561CD">
        <w:rPr>
          <w:b/>
          <w:rtl/>
        </w:rPr>
        <w:t xml:space="preserve"> </w:t>
      </w:r>
      <w:r w:rsidRPr="008561CD">
        <w:rPr>
          <w:rFonts w:hint="eastAsia"/>
          <w:b/>
          <w:rtl/>
        </w:rPr>
        <w:t>יד</w:t>
      </w:r>
      <w:r w:rsidRPr="008561CD">
        <w:rPr>
          <w:b/>
          <w:rtl/>
        </w:rPr>
        <w:t xml:space="preserve"> </w:t>
      </w:r>
      <w:r>
        <w:rPr>
          <w:rFonts w:hint="cs"/>
          <w:b/>
          <w:rtl/>
        </w:rPr>
        <w:t xml:space="preserve">261 </w:t>
      </w:r>
      <w:r w:rsidRPr="008561CD">
        <w:rPr>
          <w:b/>
          <w:rtl/>
        </w:rPr>
        <w:t>(</w:t>
      </w:r>
      <w:r>
        <w:rPr>
          <w:rFonts w:hint="cs"/>
          <w:b/>
          <w:rtl/>
        </w:rPr>
        <w:t>2012</w:t>
      </w:r>
      <w:r w:rsidRPr="008561CD">
        <w:rPr>
          <w:b/>
          <w:rtl/>
        </w:rPr>
        <w:t>)</w:t>
      </w:r>
      <w:r>
        <w:rPr>
          <w:rFonts w:hint="cs"/>
          <w:b/>
          <w:rtl/>
        </w:rPr>
        <w:t xml:space="preserve"> (</w:t>
      </w:r>
      <w:r w:rsidRPr="007B0F10">
        <w:rPr>
          <w:rFonts w:hint="cs"/>
          <w:b/>
          <w:rtl/>
        </w:rPr>
        <w:t xml:space="preserve">להלן: </w:t>
      </w:r>
      <w:r w:rsidRPr="007B0F10">
        <w:rPr>
          <w:rFonts w:ascii="Century" w:hAnsi="Century" w:cs="Miriam" w:hint="cs"/>
          <w:b/>
          <w:spacing w:val="0"/>
          <w:szCs w:val="24"/>
          <w:rtl/>
        </w:rPr>
        <w:t>לין ולויה</w:t>
      </w:r>
      <w:r w:rsidRPr="007B0F10">
        <w:rPr>
          <w:rFonts w:hint="cs"/>
          <w:b/>
          <w:rtl/>
        </w:rPr>
        <w:t xml:space="preserve">)). </w:t>
      </w:r>
      <w:r>
        <w:rPr>
          <w:rFonts w:hint="cs"/>
          <w:b/>
          <w:rtl/>
        </w:rPr>
        <w:t xml:space="preserve">כעולה מהמובאות לעיל, </w:t>
      </w:r>
      <w:r w:rsidRPr="007B0F10">
        <w:rPr>
          <w:rFonts w:hint="cs"/>
          <w:b/>
          <w:rtl/>
        </w:rPr>
        <w:t>לצד</w:t>
      </w:r>
      <w:r>
        <w:rPr>
          <w:rFonts w:hint="cs"/>
          <w:b/>
          <w:rtl/>
        </w:rPr>
        <w:t xml:space="preserve"> אמירות המבקשות לבסס ביקורת שיפוטית, נאמרו במהלך הליך החקיקה אמירות חד-משמעיות ונחרצות על פיהן "אין לחשוש" כי מדובר בהליך אשר יעניק לבית המשפט את הכוח לבטל חוקים. וזאת בעיקר על ידי הגורם אשר עמד בראש הוועדה, ניהל את מהלך הדיון וקידם את החקיקה. אף </w:t>
      </w:r>
      <w:r>
        <w:rPr>
          <w:rFonts w:hint="cs"/>
          <w:rtl/>
        </w:rPr>
        <w:t xml:space="preserve">בתיאוריו המאוחרים של לין קיים הד לכך שבאותו זמן הועדפה בחירה של הוראת חוק "מאופקת" על פני הוראה "לא-מנומסת" המבהירה כי </w:t>
      </w:r>
      <w:r w:rsidRPr="007B0F10">
        <w:rPr>
          <w:rFonts w:hint="cs"/>
          <w:rtl/>
        </w:rPr>
        <w:t xml:space="preserve">לבית המשפט העליון הסמכות לבטל </w:t>
      </w:r>
      <w:r>
        <w:rPr>
          <w:rFonts w:hint="cs"/>
          <w:rtl/>
        </w:rPr>
        <w:t xml:space="preserve">את </w:t>
      </w:r>
      <w:r w:rsidRPr="007B0F10">
        <w:rPr>
          <w:rFonts w:hint="cs"/>
          <w:rtl/>
        </w:rPr>
        <w:t xml:space="preserve">חוקי </w:t>
      </w:r>
      <w:r>
        <w:rPr>
          <w:rFonts w:hint="cs"/>
          <w:rtl/>
        </w:rPr>
        <w:t>ה</w:t>
      </w:r>
      <w:r w:rsidRPr="007B0F10">
        <w:rPr>
          <w:rFonts w:hint="cs"/>
          <w:rtl/>
        </w:rPr>
        <w:t>כנסת, מהחשש שניסוח בוטה היה מכשיל את המהלך (</w:t>
      </w:r>
      <w:r w:rsidRPr="007B0F10">
        <w:rPr>
          <w:rFonts w:ascii="Century" w:hAnsi="Century" w:cs="Miriam" w:hint="cs"/>
          <w:b/>
          <w:spacing w:val="0"/>
          <w:szCs w:val="24"/>
          <w:rtl/>
        </w:rPr>
        <w:t>לין ולויה</w:t>
      </w:r>
      <w:r w:rsidRPr="007B0F10">
        <w:rPr>
          <w:rFonts w:hint="cs"/>
          <w:rtl/>
        </w:rPr>
        <w:t>, ע</w:t>
      </w:r>
      <w:r>
        <w:rPr>
          <w:rFonts w:hint="cs"/>
          <w:rtl/>
        </w:rPr>
        <w:t xml:space="preserve">מ' 284). גם בדברים אלה, יש כדי לתמוך בהיבט מסוים הנוגע לעמימות, או לכל הפחות המורכבות, שעמדה בבסיס </w:t>
      </w:r>
      <w:r>
        <w:rPr>
          <w:rFonts w:hint="cs"/>
          <w:rtl/>
        </w:rPr>
        <w:lastRenderedPageBreak/>
        <w:t>העניין. גם לין עצמו טורח אפוא להדגיש כי לא היה מקום לצאת "בריש גלי" באמירה מפורשת המקנה סמכות לערוך ביקורת שיפוטית, בשל החשש כי מהלך שכזה יסוכל.</w:t>
      </w:r>
    </w:p>
    <w:p w:rsidR="00737972" w:rsidRDefault="00737972" w:rsidP="00737972">
      <w:pPr>
        <w:pStyle w:val="Ruller41"/>
        <w:rPr>
          <w:rtl/>
        </w:rPr>
      </w:pPr>
    </w:p>
    <w:p w:rsidR="00737972" w:rsidRDefault="00737972" w:rsidP="00737972">
      <w:pPr>
        <w:pStyle w:val="Ruller4"/>
      </w:pPr>
      <w:r>
        <w:rPr>
          <w:rFonts w:hint="cs"/>
          <w:rtl/>
        </w:rPr>
        <w:t xml:space="preserve">אם כן, תשובה ברורה בנוגע להלך הרוח של המחוקקים-המכוננים </w:t>
      </w:r>
      <w:r>
        <w:rPr>
          <w:rtl/>
        </w:rPr>
        <w:t>–</w:t>
      </w:r>
      <w:r>
        <w:rPr>
          <w:rFonts w:hint="cs"/>
          <w:rtl/>
        </w:rPr>
        <w:t xml:space="preserve"> אַין. עדויות על אודות כוונת המחוקק ניתן למצוא לכאן ולכאן, הן בפרוטוקולים של דיוני הכנסת וועדותיה והן בהתייחסויות מאוחרות יותר של משתתפי הדיון. ניתן לסכם כי התשובות שניתנו לאורך השנים לשאלות אלה היו תלויות בנקודת ההשקפה ובעיני המתבונן. וכך גם, התשובה לשאלה הנלווית, האם בחוקי היסוד </w:t>
      </w:r>
      <w:r w:rsidRPr="00A31F5B">
        <w:rPr>
          <w:rFonts w:ascii="Century" w:hAnsi="Century" w:cs="Miriam" w:hint="cs"/>
          <w:b/>
          <w:spacing w:val="0"/>
          <w:szCs w:val="24"/>
          <w:rtl/>
        </w:rPr>
        <w:t>לבדם</w:t>
      </w:r>
      <w:r w:rsidRPr="00A31F5B">
        <w:rPr>
          <w:rFonts w:hint="cs"/>
          <w:rtl/>
        </w:rPr>
        <w:t xml:space="preserve"> </w:t>
      </w:r>
      <w:r>
        <w:rPr>
          <w:rFonts w:hint="cs"/>
          <w:rtl/>
        </w:rPr>
        <w:t xml:space="preserve">היה טמון הכוח לחולל את אותה מהפכה חוקתית, שהנגזרת ממנה היא סמכותם של בתי המשפט לערוך ביקורת שיפוטית, איננה כה פשוטה. בהקשר זה יש לציין את דבריו של השופט </w:t>
      </w:r>
      <w:r w:rsidRPr="00163331">
        <w:rPr>
          <w:rFonts w:ascii="Century" w:hAnsi="Century" w:cs="Miriam" w:hint="cs"/>
          <w:b/>
          <w:spacing w:val="0"/>
          <w:sz w:val="22"/>
          <w:szCs w:val="24"/>
          <w:rtl/>
        </w:rPr>
        <w:t>ברק</w:t>
      </w:r>
      <w:r w:rsidRPr="00163331">
        <w:rPr>
          <w:rFonts w:hint="cs"/>
          <w:rtl/>
        </w:rPr>
        <w:t xml:space="preserve"> </w:t>
      </w:r>
      <w:r>
        <w:rPr>
          <w:rFonts w:hint="cs"/>
          <w:rtl/>
        </w:rPr>
        <w:t>עצמו באחד ממאמריו: "אמת, עד לפסק-הדין בעניין בנק המזרחי היה אפשר לטעון [...] כי חוקי-היסוד בדבר זכויות האדם לא חוללו כל מהפכה חוקתית, לא בגדרי המשפט המצוי ולא בגדרי המשפט הרצוי, אולם טענה זו אינה נכונה עוד לאחר פסק-הדין בעניין בנק המזרחי. פסק-דין זה קבע כי חוקי-היסוד מצויים ברמה נורמטיבית גבוהה יותר מחקיקה רגילה" (</w:t>
      </w:r>
      <w:r w:rsidRPr="007B0F10">
        <w:rPr>
          <w:rFonts w:ascii="Century" w:hAnsi="Century" w:cs="Miriam" w:hint="cs"/>
          <w:b/>
          <w:spacing w:val="0"/>
          <w:szCs w:val="24"/>
          <w:rtl/>
        </w:rPr>
        <w:t>ברק, בת מצווה</w:t>
      </w:r>
      <w:r>
        <w:rPr>
          <w:rFonts w:hint="cs"/>
          <w:rtl/>
        </w:rPr>
        <w:t xml:space="preserve">, עמ' 14). ובגישה מרוככת יותר: "המהפכה החוקתית התאפשרה בשנת 1992 בזכות שיתוף-הפעולה בין הרשות המכוננת והרשות השופטת. כל אחת משתי הרשויות הללו לא יכלה להוליד מהפכה זו בפעולתה שלה בלבד. רק איחוד הכוחות בין הכנסת לבין בית המשפט הוביל למהפכה החוקתית" (שם, עמ' 19). היינו, הד לגישה שפסק הדין בעניין </w:t>
      </w:r>
      <w:r w:rsidRPr="00163331">
        <w:rPr>
          <w:rFonts w:ascii="Century" w:hAnsi="Century" w:cs="Miriam" w:hint="cs"/>
          <w:b/>
          <w:spacing w:val="0"/>
          <w:sz w:val="22"/>
          <w:szCs w:val="24"/>
          <w:rtl/>
        </w:rPr>
        <w:t>בנק המזרחי</w:t>
      </w:r>
      <w:r w:rsidRPr="00163331">
        <w:rPr>
          <w:rFonts w:hint="cs"/>
          <w:rtl/>
        </w:rPr>
        <w:t xml:space="preserve"> </w:t>
      </w:r>
      <w:r>
        <w:rPr>
          <w:rFonts w:hint="cs"/>
          <w:rtl/>
        </w:rPr>
        <w:t xml:space="preserve">הוא "קו פרשת המים" שחצה את ההיסטוריה </w:t>
      </w:r>
      <w:r>
        <w:rPr>
          <w:rtl/>
        </w:rPr>
        <w:t>–</w:t>
      </w:r>
      <w:r>
        <w:rPr>
          <w:rFonts w:hint="cs"/>
          <w:rtl/>
        </w:rPr>
        <w:t xml:space="preserve"> ולא חוקי היסוד לבדם </w:t>
      </w:r>
      <w:r>
        <w:rPr>
          <w:rtl/>
        </w:rPr>
        <w:t>–</w:t>
      </w:r>
      <w:r>
        <w:rPr>
          <w:rFonts w:hint="cs"/>
          <w:rtl/>
        </w:rPr>
        <w:t xml:space="preserve"> קיים בדבריו של השופט </w:t>
      </w:r>
      <w:r w:rsidRPr="00F9107F">
        <w:rPr>
          <w:rFonts w:ascii="Century" w:hAnsi="Century" w:cs="Miriam" w:hint="eastAsia"/>
          <w:b/>
          <w:spacing w:val="0"/>
          <w:sz w:val="22"/>
          <w:szCs w:val="24"/>
          <w:rtl/>
        </w:rPr>
        <w:t>ברק</w:t>
      </w:r>
      <w:r>
        <w:rPr>
          <w:rFonts w:hint="cs"/>
          <w:rtl/>
        </w:rPr>
        <w:t xml:space="preserve"> עצמו.</w:t>
      </w:r>
    </w:p>
    <w:p w:rsidR="00737972" w:rsidRDefault="00737972" w:rsidP="00737972">
      <w:pPr>
        <w:pStyle w:val="Ruller4"/>
        <w:numPr>
          <w:ilvl w:val="0"/>
          <w:numId w:val="0"/>
        </w:numPr>
      </w:pPr>
    </w:p>
    <w:p w:rsidR="00737972" w:rsidRPr="008A6265" w:rsidRDefault="00737972" w:rsidP="00737972">
      <w:pPr>
        <w:pStyle w:val="Ruller4"/>
        <w:rPr>
          <w:rtl/>
        </w:rPr>
      </w:pPr>
      <w:r>
        <w:rPr>
          <w:rFonts w:hint="cs"/>
          <w:rtl/>
        </w:rPr>
        <w:t xml:space="preserve">על כך יש להוסיף כי לא רק שעולה כי חקיקת חוקי היסוד בשנת 1992 לא לוותה בהכרח בחגיגיות "המתבקשת" בהצהרה ברורה על כינונה של חוקה, ועל כך יורחב גם להלן (כן ראו למשל: </w:t>
      </w:r>
      <w:r w:rsidRPr="008A6265">
        <w:rPr>
          <w:rFonts w:ascii="Century" w:hAnsi="Century" w:cs="Miriam" w:hint="cs"/>
          <w:b/>
          <w:spacing w:val="0"/>
          <w:sz w:val="22"/>
          <w:szCs w:val="24"/>
          <w:rtl/>
        </w:rPr>
        <w:t>קרפ</w:t>
      </w:r>
      <w:r>
        <w:rPr>
          <w:rFonts w:hint="cs"/>
          <w:rtl/>
        </w:rPr>
        <w:t xml:space="preserve">, עמ' 326; אור בסוק "עשור ל'מהפכה החוקתית' </w:t>
      </w:r>
      <w:r>
        <w:rPr>
          <w:rtl/>
        </w:rPr>
        <w:t>–</w:t>
      </w:r>
      <w:r>
        <w:rPr>
          <w:rFonts w:hint="cs"/>
          <w:rtl/>
        </w:rPr>
        <w:t xml:space="preserve"> בחינת התהליך החוקתי בישראל דרך פריזמה היסטורית-השוואתית" </w:t>
      </w:r>
      <w:r w:rsidRPr="00A529AD">
        <w:rPr>
          <w:rFonts w:ascii="Century" w:hAnsi="Century" w:cs="Miriam" w:hint="cs"/>
          <w:b/>
          <w:spacing w:val="0"/>
          <w:sz w:val="22"/>
          <w:szCs w:val="24"/>
          <w:rtl/>
        </w:rPr>
        <w:t>משפט וממשל</w:t>
      </w:r>
      <w:r w:rsidRPr="00A529AD">
        <w:rPr>
          <w:rFonts w:hint="cs"/>
          <w:rtl/>
        </w:rPr>
        <w:t xml:space="preserve"> </w:t>
      </w:r>
      <w:r>
        <w:rPr>
          <w:rFonts w:hint="cs"/>
          <w:rtl/>
        </w:rPr>
        <w:t xml:space="preserve">ו 451 (2003)); ולא רק </w:t>
      </w:r>
      <w:r w:rsidRPr="00BC1B22">
        <w:rPr>
          <w:rFonts w:hint="cs"/>
          <w:rtl/>
        </w:rPr>
        <w:t>ש</w:t>
      </w:r>
      <w:r>
        <w:rPr>
          <w:rFonts w:hint="cs"/>
          <w:rtl/>
        </w:rPr>
        <w:t xml:space="preserve">השופט </w:t>
      </w:r>
      <w:r w:rsidRPr="008A6265">
        <w:rPr>
          <w:rFonts w:ascii="Century" w:hAnsi="Century" w:cs="Miriam" w:hint="cs"/>
          <w:b/>
          <w:spacing w:val="0"/>
          <w:szCs w:val="24"/>
          <w:rtl/>
        </w:rPr>
        <w:t>ברק</w:t>
      </w:r>
      <w:r w:rsidRPr="00A31F5B">
        <w:rPr>
          <w:rFonts w:hint="cs"/>
          <w:rtl/>
        </w:rPr>
        <w:t xml:space="preserve"> </w:t>
      </w:r>
      <w:r>
        <w:rPr>
          <w:rFonts w:hint="cs"/>
          <w:rtl/>
        </w:rPr>
        <w:t xml:space="preserve">עצמו התבטא בזמן אמת כחושש מ"משבר לגיטימיות, אשר מקורו בצורת חקיקה של חוקי היסוד. לא קדמה להם הכנה מספקת של הציבור. המהפיכה החוקתית התרחשה בשקט, כמעט בהחבא" (ציטוט בשמו של השופט </w:t>
      </w:r>
      <w:r w:rsidRPr="008A6265">
        <w:rPr>
          <w:rFonts w:ascii="Century" w:hAnsi="Century" w:cs="Miriam" w:hint="cs"/>
          <w:b/>
          <w:spacing w:val="0"/>
          <w:szCs w:val="24"/>
          <w:rtl/>
        </w:rPr>
        <w:t>ברק</w:t>
      </w:r>
      <w:r w:rsidRPr="00D6021A">
        <w:rPr>
          <w:rFonts w:hint="cs"/>
          <w:rtl/>
        </w:rPr>
        <w:t xml:space="preserve"> </w:t>
      </w:r>
      <w:r>
        <w:rPr>
          <w:rFonts w:hint="cs"/>
          <w:rtl/>
        </w:rPr>
        <w:t xml:space="preserve">בתוך </w:t>
      </w:r>
      <w:r w:rsidRPr="00F30455">
        <w:rPr>
          <w:rFonts w:hint="eastAsia"/>
          <w:rtl/>
        </w:rPr>
        <w:t>רבקה</w:t>
      </w:r>
      <w:r w:rsidRPr="00F30455">
        <w:rPr>
          <w:rtl/>
        </w:rPr>
        <w:t xml:space="preserve"> </w:t>
      </w:r>
      <w:r w:rsidRPr="00F30455">
        <w:rPr>
          <w:rFonts w:hint="eastAsia"/>
          <w:rtl/>
        </w:rPr>
        <w:t>ווייל</w:t>
      </w:r>
      <w:r w:rsidRPr="00F30455">
        <w:rPr>
          <w:rtl/>
        </w:rPr>
        <w:t xml:space="preserve"> "</w:t>
      </w:r>
      <w:r w:rsidRPr="00F30455">
        <w:rPr>
          <w:rFonts w:hint="eastAsia"/>
          <w:rtl/>
        </w:rPr>
        <w:t>עשרים</w:t>
      </w:r>
      <w:r w:rsidRPr="00F30455">
        <w:rPr>
          <w:rtl/>
        </w:rPr>
        <w:t xml:space="preserve"> </w:t>
      </w:r>
      <w:r w:rsidRPr="00F30455">
        <w:rPr>
          <w:rFonts w:hint="eastAsia"/>
          <w:rtl/>
        </w:rPr>
        <w:t>שנה</w:t>
      </w:r>
      <w:r w:rsidRPr="00F30455">
        <w:rPr>
          <w:rtl/>
        </w:rPr>
        <w:t xml:space="preserve"> </w:t>
      </w:r>
      <w:r w:rsidRPr="00F30455">
        <w:rPr>
          <w:rFonts w:hint="eastAsia"/>
          <w:rtl/>
        </w:rPr>
        <w:t>לבנק</w:t>
      </w:r>
      <w:r w:rsidRPr="00F30455">
        <w:rPr>
          <w:rtl/>
        </w:rPr>
        <w:t xml:space="preserve"> </w:t>
      </w:r>
      <w:r w:rsidRPr="00F30455">
        <w:rPr>
          <w:rFonts w:hint="eastAsia"/>
          <w:rtl/>
        </w:rPr>
        <w:t>המזרחי</w:t>
      </w:r>
      <w:r w:rsidRPr="00F30455">
        <w:rPr>
          <w:rtl/>
        </w:rPr>
        <w:t xml:space="preserve">: </w:t>
      </w:r>
      <w:r w:rsidRPr="00F30455">
        <w:rPr>
          <w:rFonts w:hint="eastAsia"/>
          <w:rtl/>
        </w:rPr>
        <w:t>סיפורה</w:t>
      </w:r>
      <w:r w:rsidRPr="00F30455">
        <w:rPr>
          <w:rtl/>
        </w:rPr>
        <w:t xml:space="preserve"> </w:t>
      </w:r>
      <w:r w:rsidRPr="00F30455">
        <w:rPr>
          <w:rFonts w:hint="eastAsia"/>
          <w:rtl/>
        </w:rPr>
        <w:t>הפיקנטי</w:t>
      </w:r>
      <w:r w:rsidRPr="00F30455">
        <w:rPr>
          <w:rtl/>
        </w:rPr>
        <w:t xml:space="preserve"> </w:t>
      </w:r>
      <w:r w:rsidRPr="00F30455">
        <w:rPr>
          <w:rFonts w:hint="eastAsia"/>
          <w:rtl/>
        </w:rPr>
        <w:t>של</w:t>
      </w:r>
      <w:r w:rsidRPr="00F30455">
        <w:rPr>
          <w:rtl/>
        </w:rPr>
        <w:t xml:space="preserve"> </w:t>
      </w:r>
      <w:r w:rsidRPr="00F30455">
        <w:rPr>
          <w:rFonts w:hint="eastAsia"/>
          <w:rtl/>
        </w:rPr>
        <w:t>חוקת</w:t>
      </w:r>
      <w:r w:rsidRPr="00F30455">
        <w:rPr>
          <w:rtl/>
        </w:rPr>
        <w:t xml:space="preserve"> </w:t>
      </w:r>
      <w:r w:rsidRPr="00F30455">
        <w:rPr>
          <w:rFonts w:hint="eastAsia"/>
          <w:rtl/>
        </w:rPr>
        <w:t>הכלאיים</w:t>
      </w:r>
      <w:r w:rsidRPr="00F30455">
        <w:rPr>
          <w:rtl/>
        </w:rPr>
        <w:t xml:space="preserve"> </w:t>
      </w:r>
      <w:r w:rsidRPr="00F30455">
        <w:rPr>
          <w:rFonts w:hint="eastAsia"/>
          <w:rtl/>
        </w:rPr>
        <w:t>הישראלית</w:t>
      </w:r>
      <w:r w:rsidRPr="00F30455">
        <w:rPr>
          <w:rtl/>
        </w:rPr>
        <w:t xml:space="preserve">" </w:t>
      </w:r>
      <w:r w:rsidRPr="008A6265">
        <w:rPr>
          <w:rFonts w:ascii="Century" w:hAnsi="Century" w:cs="Miriam" w:hint="cs"/>
          <w:b/>
          <w:spacing w:val="0"/>
          <w:szCs w:val="24"/>
          <w:rtl/>
        </w:rPr>
        <w:t>עיוני משפט</w:t>
      </w:r>
      <w:r w:rsidRPr="00F30455">
        <w:rPr>
          <w:rFonts w:hint="cs"/>
          <w:rtl/>
        </w:rPr>
        <w:t xml:space="preserve"> </w:t>
      </w:r>
      <w:r>
        <w:rPr>
          <w:rFonts w:hint="cs"/>
          <w:rtl/>
        </w:rPr>
        <w:t xml:space="preserve">לח 501, 546 (2016) (להלן: </w:t>
      </w:r>
      <w:r>
        <w:rPr>
          <w:rFonts w:ascii="Century" w:hAnsi="Century" w:cs="Miriam" w:hint="cs"/>
          <w:b/>
          <w:spacing w:val="0"/>
          <w:szCs w:val="24"/>
          <w:rtl/>
        </w:rPr>
        <w:t xml:space="preserve">ווייל, </w:t>
      </w:r>
      <w:r w:rsidRPr="008A6265">
        <w:rPr>
          <w:rFonts w:ascii="Century" w:hAnsi="Century" w:cs="Miriam" w:hint="cs"/>
          <w:b/>
          <w:spacing w:val="0"/>
          <w:szCs w:val="24"/>
          <w:rtl/>
        </w:rPr>
        <w:t>עשרים שנה לבנק המזרחי</w:t>
      </w:r>
      <w:r>
        <w:rPr>
          <w:rFonts w:hint="cs"/>
          <w:rtl/>
        </w:rPr>
        <w:t>)); הרי שגם</w:t>
      </w:r>
      <w:r w:rsidRPr="00A31F5B">
        <w:rPr>
          <w:rFonts w:hint="cs"/>
          <w:rtl/>
        </w:rPr>
        <w:t xml:space="preserve"> </w:t>
      </w:r>
      <w:r>
        <w:rPr>
          <w:rFonts w:hint="cs"/>
          <w:rtl/>
        </w:rPr>
        <w:t xml:space="preserve">את הטענה כי הרשות המכוננת אישררה באופן מוחלט את המהלך בשנת 1994, בעת שתוקנו חוקי היסוד, כפי שטען חברי השופט </w:t>
      </w:r>
      <w:r>
        <w:rPr>
          <w:rFonts w:ascii="Century" w:hAnsi="Century" w:cs="Miriam" w:hint="cs"/>
          <w:b/>
          <w:spacing w:val="0"/>
          <w:szCs w:val="24"/>
          <w:rtl/>
        </w:rPr>
        <w:t xml:space="preserve">י' </w:t>
      </w:r>
      <w:r w:rsidRPr="008A6265">
        <w:rPr>
          <w:rFonts w:ascii="Century" w:hAnsi="Century" w:cs="Miriam" w:hint="cs"/>
          <w:b/>
          <w:spacing w:val="0"/>
          <w:szCs w:val="24"/>
          <w:rtl/>
        </w:rPr>
        <w:t>עמית</w:t>
      </w:r>
      <w:r>
        <w:rPr>
          <w:rFonts w:hint="cs"/>
          <w:rtl/>
        </w:rPr>
        <w:t xml:space="preserve">, קשה לקבל כאקסיומה. יש לקחת בחשבון כי תיקון חוקי היסוד </w:t>
      </w:r>
      <w:r w:rsidRPr="00D6021A">
        <w:rPr>
          <w:rFonts w:hint="cs"/>
          <w:rtl/>
        </w:rPr>
        <w:t xml:space="preserve">בשנת 1994 נעשה על רקע נקודתי בניסיון להתמודד </w:t>
      </w:r>
      <w:r w:rsidRPr="00D6021A">
        <w:rPr>
          <w:rFonts w:hint="cs"/>
          <w:rtl/>
        </w:rPr>
        <w:lastRenderedPageBreak/>
        <w:t xml:space="preserve">עם פסק הדין בעניין </w:t>
      </w:r>
      <w:r w:rsidRPr="008A6265">
        <w:rPr>
          <w:rFonts w:ascii="Century" w:hAnsi="Century" w:cs="Miriam" w:hint="cs"/>
          <w:b/>
          <w:spacing w:val="0"/>
          <w:szCs w:val="24"/>
          <w:rtl/>
        </w:rPr>
        <w:t>מיטראל</w:t>
      </w:r>
      <w:r w:rsidRPr="00D6021A">
        <w:rPr>
          <w:rFonts w:hint="cs"/>
          <w:rtl/>
        </w:rPr>
        <w:t xml:space="preserve"> (בג"ץ 3872/93 </w:t>
      </w:r>
      <w:r w:rsidRPr="008A6265">
        <w:rPr>
          <w:rFonts w:ascii="Century" w:hAnsi="Century" w:cs="Miriam" w:hint="cs"/>
          <w:b/>
          <w:spacing w:val="0"/>
          <w:szCs w:val="24"/>
          <w:rtl/>
        </w:rPr>
        <w:t>מיטראל בע"מ נ' ראש הממשלה ושר הדתות, מר יצחק רבין</w:t>
      </w:r>
      <w:r w:rsidRPr="00D6021A">
        <w:rPr>
          <w:rFonts w:hint="cs"/>
          <w:rtl/>
        </w:rPr>
        <w:t>, פ"ד</w:t>
      </w:r>
      <w:r>
        <w:rPr>
          <w:rFonts w:hint="cs"/>
          <w:rtl/>
        </w:rPr>
        <w:t xml:space="preserve"> מז</w:t>
      </w:r>
      <w:r w:rsidRPr="00D6021A">
        <w:rPr>
          <w:rFonts w:hint="cs"/>
          <w:rtl/>
        </w:rPr>
        <w:t>(5) 485 (1993)), בו נק</w:t>
      </w:r>
      <w:r>
        <w:rPr>
          <w:rFonts w:hint="cs"/>
          <w:rtl/>
        </w:rPr>
        <w:t xml:space="preserve">בע כי הוראה האוסרת על ייבוא בשר שאינו כשר לארץ עומדת בניגוד לחוק היסוד האמור, ועל רקע הצעת פשרה מצד השופט </w:t>
      </w:r>
      <w:r w:rsidRPr="008A6265">
        <w:rPr>
          <w:rFonts w:ascii="Century" w:hAnsi="Century" w:cs="Miriam" w:hint="cs"/>
          <w:b/>
          <w:spacing w:val="0"/>
          <w:szCs w:val="24"/>
          <w:rtl/>
        </w:rPr>
        <w:t>ברק</w:t>
      </w:r>
      <w:r w:rsidRPr="004C5BF6">
        <w:rPr>
          <w:rFonts w:hint="cs"/>
          <w:rtl/>
        </w:rPr>
        <w:t xml:space="preserve"> </w:t>
      </w:r>
      <w:r>
        <w:rPr>
          <w:rFonts w:hint="cs"/>
          <w:rtl/>
        </w:rPr>
        <w:t>בדמות מכתב שנשלח על ידו אל יו"ר ועדת החוקה, חוק ומשפט של הכנסת (המכתב פורסם במלואו ב</w:t>
      </w:r>
      <w:r w:rsidRPr="008A6265">
        <w:rPr>
          <w:rFonts w:ascii="Century" w:hAnsi="Century" w:cs="Miriam" w:hint="cs"/>
          <w:b/>
          <w:spacing w:val="0"/>
          <w:szCs w:val="24"/>
          <w:rtl/>
        </w:rPr>
        <w:t>משפט וממשל</w:t>
      </w:r>
      <w:r w:rsidRPr="004C5BF6">
        <w:rPr>
          <w:rFonts w:hint="cs"/>
          <w:rtl/>
        </w:rPr>
        <w:t xml:space="preserve"> </w:t>
      </w:r>
      <w:r>
        <w:rPr>
          <w:rFonts w:hint="cs"/>
          <w:rtl/>
        </w:rPr>
        <w:t>ב 545 (1994) (אהרן ברק "על התיקונים בחוק-יסוד: חופש העיסוק")), המתמקד בהערות נקודתיות לחוק היסוד, ככל הנראה על רקע ניסיון למנוע סיכול המפעל החוקתי כולו (</w:t>
      </w:r>
      <w:r w:rsidRPr="00D6021A">
        <w:rPr>
          <w:rFonts w:hint="cs"/>
          <w:rtl/>
        </w:rPr>
        <w:t xml:space="preserve">ראו למשל: גדעון ספיר </w:t>
      </w:r>
      <w:r w:rsidRPr="008A6265">
        <w:rPr>
          <w:rFonts w:ascii="Century" w:hAnsi="Century" w:cs="Miriam" w:hint="cs"/>
          <w:b/>
          <w:spacing w:val="0"/>
          <w:szCs w:val="24"/>
          <w:rtl/>
        </w:rPr>
        <w:t>המהפכה החוקתית</w:t>
      </w:r>
      <w:r w:rsidRPr="00D6021A">
        <w:rPr>
          <w:rFonts w:hint="cs"/>
          <w:rtl/>
        </w:rPr>
        <w:t xml:space="preserve"> </w:t>
      </w:r>
      <w:r w:rsidRPr="00BC1B22">
        <w:rPr>
          <w:rFonts w:ascii="Century" w:hAnsi="Century" w:cs="Miriam" w:hint="cs"/>
          <w:b/>
          <w:spacing w:val="0"/>
          <w:sz w:val="22"/>
          <w:szCs w:val="24"/>
          <w:rtl/>
        </w:rPr>
        <w:t>עבר, הווה, עתיד</w:t>
      </w:r>
      <w:r w:rsidRPr="00BC1B22">
        <w:rPr>
          <w:rFonts w:hint="cs"/>
          <w:rtl/>
        </w:rPr>
        <w:t xml:space="preserve"> </w:t>
      </w:r>
      <w:r>
        <w:rPr>
          <w:rFonts w:hint="cs"/>
          <w:rtl/>
        </w:rPr>
        <w:t xml:space="preserve">122-121 (2010)). מכל מקום הדעות בדבר טיב המעמד, והאופן שבו תפסה את עצמה הכנסת כרשות מכוננת באותו רגע, חלוקות ואינן חד-משמעיות (וראו למשל: </w:t>
      </w:r>
      <w:r>
        <w:rPr>
          <w:rFonts w:ascii="Century" w:hAnsi="Century" w:cs="Miriam" w:hint="cs"/>
          <w:b/>
          <w:spacing w:val="0"/>
          <w:sz w:val="22"/>
          <w:szCs w:val="24"/>
          <w:rtl/>
        </w:rPr>
        <w:t>ו</w:t>
      </w:r>
      <w:r w:rsidRPr="00FE6C4D">
        <w:rPr>
          <w:rFonts w:ascii="Century" w:hAnsi="Century" w:cs="Miriam" w:hint="cs"/>
          <w:b/>
          <w:spacing w:val="0"/>
          <w:sz w:val="22"/>
          <w:szCs w:val="24"/>
          <w:rtl/>
        </w:rPr>
        <w:t>וייל,</w:t>
      </w:r>
      <w:r w:rsidRPr="00FE6C4D">
        <w:rPr>
          <w:rFonts w:hint="cs"/>
          <w:rtl/>
        </w:rPr>
        <w:t xml:space="preserve"> </w:t>
      </w:r>
      <w:r w:rsidRPr="008A6265">
        <w:rPr>
          <w:rFonts w:ascii="Century" w:hAnsi="Century" w:cs="Miriam" w:hint="cs"/>
          <w:b/>
          <w:spacing w:val="0"/>
          <w:szCs w:val="24"/>
          <w:rtl/>
        </w:rPr>
        <w:t>עשרים שנה לבנק המזרחי</w:t>
      </w:r>
      <w:r>
        <w:rPr>
          <w:rFonts w:hint="cs"/>
          <w:rtl/>
        </w:rPr>
        <w:t>, עמ' 547;</w:t>
      </w:r>
      <w:r>
        <w:t xml:space="preserve">Rivka Weill, </w:t>
      </w:r>
      <w:r w:rsidRPr="008A6265">
        <w:rPr>
          <w:i/>
          <w:iCs/>
        </w:rPr>
        <w:t>Hybrid Constitutionalism: The Israeli Case for Judicial Review and Why We Should Care</w:t>
      </w:r>
      <w:r>
        <w:t xml:space="preserve">, 30(2) </w:t>
      </w:r>
      <w:r w:rsidRPr="008A6265">
        <w:rPr>
          <w:smallCaps/>
        </w:rPr>
        <w:t>Berk. J. Int'l L.</w:t>
      </w:r>
      <w:r>
        <w:t xml:space="preserve"> 349, 377-378 (2012)</w:t>
      </w:r>
      <w:r>
        <w:rPr>
          <w:rFonts w:hint="cs"/>
          <w:rtl/>
        </w:rPr>
        <w:t>).</w:t>
      </w:r>
    </w:p>
    <w:p w:rsidR="00737972" w:rsidRDefault="00737972" w:rsidP="00737972">
      <w:pPr>
        <w:pStyle w:val="Ruller4"/>
        <w:numPr>
          <w:ilvl w:val="0"/>
          <w:numId w:val="0"/>
        </w:numPr>
      </w:pPr>
    </w:p>
    <w:p w:rsidR="00737972" w:rsidRPr="004C43DF" w:rsidRDefault="00737972" w:rsidP="00737972">
      <w:pPr>
        <w:pStyle w:val="Ruller4"/>
      </w:pPr>
      <w:r>
        <w:rPr>
          <w:rFonts w:hint="cs"/>
          <w:rtl/>
        </w:rPr>
        <w:t xml:space="preserve">ומכאן לטענתו של חברי השופט </w:t>
      </w:r>
      <w:r w:rsidRPr="00640BDC">
        <w:rPr>
          <w:rFonts w:ascii="Century" w:hAnsi="Century" w:cs="Miriam" w:hint="cs"/>
          <w:b/>
          <w:spacing w:val="0"/>
          <w:sz w:val="22"/>
          <w:szCs w:val="24"/>
          <w:rtl/>
        </w:rPr>
        <w:t>עמית</w:t>
      </w:r>
      <w:r>
        <w:rPr>
          <w:rFonts w:hint="cs"/>
          <w:rtl/>
        </w:rPr>
        <w:t xml:space="preserve"> כי ניתן למצוא בסיס לסמכותו של בית משפט זה לבטל חוקים גם בפסקת ההגבלה. לדעתי קשה למצוא מקור סמכות בעצם קיומה של פסקת ההגבלה </w:t>
      </w:r>
      <w:r>
        <w:rPr>
          <w:rtl/>
        </w:rPr>
        <w:t>–</w:t>
      </w:r>
      <w:r>
        <w:rPr>
          <w:rFonts w:hint="cs"/>
          <w:rtl/>
        </w:rPr>
        <w:t xml:space="preserve"> בשניים בלבד מחוקי היסוד (חוק יסוד: כבוד האדם וחירותו וחוק יסוד: חופש העיסוק) </w:t>
      </w:r>
      <w:r>
        <w:rPr>
          <w:rtl/>
        </w:rPr>
        <w:t>–</w:t>
      </w:r>
      <w:r>
        <w:rPr>
          <w:rFonts w:hint="cs"/>
          <w:rtl/>
        </w:rPr>
        <w:t xml:space="preserve"> המגדירה את התנאים אשר בהתקיימם ניתן להגביל את הזכויות המוגנות בחוקי יסוד. </w:t>
      </w:r>
    </w:p>
    <w:p w:rsidR="00737972" w:rsidRPr="00847AFA" w:rsidRDefault="00737972" w:rsidP="00737972">
      <w:pPr>
        <w:pStyle w:val="Ruller4"/>
        <w:numPr>
          <w:ilvl w:val="0"/>
          <w:numId w:val="0"/>
        </w:numPr>
        <w:rPr>
          <w:rtl/>
        </w:rPr>
      </w:pPr>
    </w:p>
    <w:p w:rsidR="00737972" w:rsidRDefault="00737972" w:rsidP="00737972">
      <w:pPr>
        <w:pStyle w:val="Ruller4"/>
        <w:numPr>
          <w:ilvl w:val="0"/>
          <w:numId w:val="0"/>
        </w:numPr>
        <w:rPr>
          <w:rtl/>
        </w:rPr>
      </w:pPr>
      <w:r>
        <w:rPr>
          <w:rtl/>
        </w:rPr>
        <w:tab/>
      </w:r>
      <w:r>
        <w:rPr>
          <w:rFonts w:hint="cs"/>
          <w:rtl/>
        </w:rPr>
        <w:t xml:space="preserve">ראשית, אינני סבור </w:t>
      </w:r>
      <w:r w:rsidRPr="00035344">
        <w:rPr>
          <w:rFonts w:hint="cs"/>
          <w:rtl/>
        </w:rPr>
        <w:t xml:space="preserve">כי ניתן למצוא בהוראות פסקת ההגבלה </w:t>
      </w:r>
      <w:r>
        <w:rPr>
          <w:rFonts w:hint="cs"/>
          <w:rtl/>
        </w:rPr>
        <w:t xml:space="preserve">סמכות מפורשת וברורה לביטול חוקים. אין מדובר ב"פסקת עליונות" ברורה שמשמעותה כי חקיקה הסותרת הוראות אלו </w:t>
      </w:r>
      <w:r>
        <w:rPr>
          <w:rtl/>
        </w:rPr>
        <w:t>–</w:t>
      </w:r>
      <w:r>
        <w:rPr>
          <w:rFonts w:hint="cs"/>
          <w:rtl/>
        </w:rPr>
        <w:t xml:space="preserve"> בטלה מעיקרא וכי </w:t>
      </w:r>
      <w:r w:rsidRPr="00163331">
        <w:rPr>
          <w:rFonts w:ascii="Century" w:hAnsi="Century" w:cs="Miriam" w:hint="cs"/>
          <w:b/>
          <w:spacing w:val="0"/>
          <w:sz w:val="22"/>
          <w:szCs w:val="24"/>
          <w:rtl/>
        </w:rPr>
        <w:t>בסמכותו של בית המשפט</w:t>
      </w:r>
      <w:r w:rsidRPr="00163331">
        <w:rPr>
          <w:rFonts w:hint="cs"/>
          <w:rtl/>
        </w:rPr>
        <w:t xml:space="preserve"> </w:t>
      </w:r>
      <w:r>
        <w:rPr>
          <w:rFonts w:hint="cs"/>
          <w:rtl/>
        </w:rPr>
        <w:t xml:space="preserve">להורות על כך (וראו למשל: זאב סגל "הדרך לביקורת שיפוטית על חוקתיות של חוקים </w:t>
      </w:r>
      <w:r>
        <w:rPr>
          <w:rtl/>
        </w:rPr>
        <w:t>–</w:t>
      </w:r>
      <w:r>
        <w:rPr>
          <w:rFonts w:hint="cs"/>
          <w:rtl/>
        </w:rPr>
        <w:t xml:space="preserve"> הסמכות להכריז על אי-חוקתיות חקיקה </w:t>
      </w:r>
      <w:r>
        <w:rPr>
          <w:rtl/>
        </w:rPr>
        <w:t>–</w:t>
      </w:r>
      <w:r>
        <w:rPr>
          <w:rFonts w:hint="cs"/>
          <w:rtl/>
        </w:rPr>
        <w:t xml:space="preserve"> למי?" </w:t>
      </w:r>
      <w:r w:rsidRPr="00A07E28">
        <w:rPr>
          <w:rFonts w:ascii="Century" w:hAnsi="Century" w:cs="Miriam" w:hint="cs"/>
          <w:b/>
          <w:spacing w:val="0"/>
          <w:sz w:val="22"/>
          <w:szCs w:val="24"/>
          <w:rtl/>
        </w:rPr>
        <w:t>משפטים</w:t>
      </w:r>
      <w:r w:rsidRPr="00A07E28">
        <w:rPr>
          <w:rFonts w:hint="cs"/>
          <w:rtl/>
        </w:rPr>
        <w:t xml:space="preserve"> </w:t>
      </w:r>
      <w:r w:rsidRPr="00C232EB">
        <w:rPr>
          <w:rFonts w:hint="cs"/>
          <w:rtl/>
        </w:rPr>
        <w:t>כח</w:t>
      </w:r>
      <w:r w:rsidRPr="008C283F">
        <w:rPr>
          <w:rFonts w:hint="cs"/>
          <w:rtl/>
        </w:rPr>
        <w:t xml:space="preserve"> </w:t>
      </w:r>
      <w:r>
        <w:rPr>
          <w:rFonts w:hint="cs"/>
          <w:rtl/>
        </w:rPr>
        <w:t xml:space="preserve">239, 241 (1997)). כאמור לעיל, נושא זה אף עלה לדיון במסגרת הדיונים בהצעת חוק יסוד: כבוד האדם וחירותו ובהצעת חוק יסוד: חופש העיסוק, בוועדת החוקה, חוק ומשפט של הכנסת, תוך השוואה של הנוסח הקיים לנוסח הצעות חוק קודמות אשר כללו "סעיף עליונות" ברור. כך למשל התבטא נציג משרד המשפטים בדיון: </w:t>
      </w:r>
    </w:p>
    <w:p w:rsidR="00737972" w:rsidRDefault="00737972" w:rsidP="00737972">
      <w:pPr>
        <w:pStyle w:val="Ruller41"/>
        <w:rPr>
          <w:rtl/>
        </w:rPr>
      </w:pPr>
    </w:p>
    <w:p w:rsidR="00737972" w:rsidRDefault="00737972" w:rsidP="00737972">
      <w:pPr>
        <w:pStyle w:val="Ruller5"/>
        <w:rPr>
          <w:rtl/>
        </w:rPr>
      </w:pPr>
      <w:r>
        <w:rPr>
          <w:rFonts w:hint="cs"/>
          <w:rtl/>
        </w:rPr>
        <w:t xml:space="preserve">"... בכל הנוסחאות, החל בהצעה הראשונה משנת 1973 שועדת החוקה חוק ומשפט הניחה על שולחן הכנסת </w:t>
      </w:r>
      <w:r>
        <w:rPr>
          <w:rtl/>
        </w:rPr>
        <w:t>–</w:t>
      </w:r>
      <w:r>
        <w:rPr>
          <w:rFonts w:hint="cs"/>
          <w:rtl/>
        </w:rPr>
        <w:t xml:space="preserve"> חוק יסוד: זכויות האדם והאזרח </w:t>
      </w:r>
      <w:r>
        <w:rPr>
          <w:rtl/>
        </w:rPr>
        <w:t>–</w:t>
      </w:r>
      <w:r>
        <w:rPr>
          <w:rFonts w:hint="cs"/>
          <w:rtl/>
        </w:rPr>
        <w:t xml:space="preserve"> היתה הוראה מפורשת שכל הוראה בחוק הנוגדת את חוק היסוד, בטלה. הוראה כזאת לא קיימת כאן. כך שהשאלה של המעמד העליון והעדיף של חוק יסוד זה על פני חוקים אחרים נשארת </w:t>
      </w:r>
      <w:r>
        <w:rPr>
          <w:rFonts w:hint="cs"/>
          <w:rtl/>
        </w:rPr>
        <w:lastRenderedPageBreak/>
        <w:t>בלתי מפורשת בצורה חד-משמעית" (דיון בוועדת החוקה, חוק ומשפט של הכנסת מיום 1.7.1991, עמ' 12)</w:t>
      </w:r>
    </w:p>
    <w:p w:rsidR="00737972" w:rsidRDefault="00737972" w:rsidP="00737972">
      <w:pPr>
        <w:pStyle w:val="Ruller4"/>
        <w:numPr>
          <w:ilvl w:val="0"/>
          <w:numId w:val="0"/>
        </w:numPr>
        <w:rPr>
          <w:rtl/>
        </w:rPr>
      </w:pPr>
    </w:p>
    <w:p w:rsidR="00737972" w:rsidRPr="00090C65" w:rsidRDefault="00737972" w:rsidP="00737972">
      <w:pPr>
        <w:pStyle w:val="Ruller4"/>
        <w:numPr>
          <w:ilvl w:val="0"/>
          <w:numId w:val="0"/>
        </w:numPr>
        <w:rPr>
          <w:rFonts w:ascii="Century" w:hAnsi="Century"/>
          <w:sz w:val="22"/>
          <w:rtl/>
        </w:rPr>
      </w:pPr>
      <w:r>
        <w:rPr>
          <w:rtl/>
        </w:rPr>
        <w:tab/>
      </w:r>
      <w:r>
        <w:rPr>
          <w:rFonts w:hint="cs"/>
          <w:rtl/>
        </w:rPr>
        <w:t xml:space="preserve">הדגש בפסקת ההגבלה שבחוקי </w:t>
      </w:r>
      <w:r w:rsidRPr="008A6265">
        <w:rPr>
          <w:rFonts w:ascii="Century" w:hAnsi="Century" w:hint="cs"/>
          <w:sz w:val="22"/>
          <w:rtl/>
        </w:rPr>
        <w:t xml:space="preserve">היסוד הוא בהגבלת כוחה של </w:t>
      </w:r>
      <w:r w:rsidRPr="008A6265">
        <w:rPr>
          <w:rFonts w:ascii="Century" w:hAnsi="Century" w:cs="Miriam" w:hint="cs"/>
          <w:b/>
          <w:spacing w:val="0"/>
          <w:sz w:val="22"/>
          <w:szCs w:val="24"/>
          <w:rtl/>
        </w:rPr>
        <w:t>הכנסת</w:t>
      </w:r>
      <w:r w:rsidRPr="008A6265">
        <w:rPr>
          <w:rFonts w:hint="cs"/>
          <w:rtl/>
        </w:rPr>
        <w:t xml:space="preserve"> </w:t>
      </w:r>
      <w:r w:rsidRPr="008A6265">
        <w:rPr>
          <w:rFonts w:ascii="Century" w:hAnsi="Century" w:cs="Miriam" w:hint="cs"/>
          <w:b/>
          <w:spacing w:val="0"/>
          <w:sz w:val="22"/>
          <w:szCs w:val="24"/>
          <w:rtl/>
        </w:rPr>
        <w:t>עצמה</w:t>
      </w:r>
      <w:r w:rsidRPr="008A6265">
        <w:rPr>
          <w:rFonts w:hint="cs"/>
          <w:rtl/>
        </w:rPr>
        <w:t xml:space="preserve"> </w:t>
      </w:r>
      <w:r>
        <w:rPr>
          <w:rFonts w:hint="cs"/>
          <w:rtl/>
        </w:rPr>
        <w:t xml:space="preserve">לפגוע בזכויות הנמנות באותם חוקי יסוד. אולם כפי שכבר ציינה חברתי הנשיאה (בדימ'), מבחינה עיונית </w:t>
      </w:r>
      <w:r w:rsidRPr="008A6265">
        <w:rPr>
          <w:rFonts w:ascii="Century" w:hAnsi="Century" w:hint="cs"/>
          <w:sz w:val="22"/>
          <w:rtl/>
        </w:rPr>
        <w:t>הגבלת כוחה</w:t>
      </w:r>
      <w:r w:rsidRPr="008A6265">
        <w:rPr>
          <w:rFonts w:hint="cs"/>
          <w:rtl/>
        </w:rPr>
        <w:t xml:space="preserve"> </w:t>
      </w:r>
      <w:r>
        <w:rPr>
          <w:rFonts w:hint="cs"/>
          <w:rtl/>
        </w:rPr>
        <w:t xml:space="preserve">של הכנסת </w:t>
      </w:r>
      <w:r w:rsidRPr="008A6265">
        <w:rPr>
          <w:rFonts w:hint="cs"/>
          <w:rtl/>
        </w:rPr>
        <w:t xml:space="preserve">עצמה </w:t>
      </w:r>
      <w:r>
        <w:rPr>
          <w:rFonts w:hint="cs"/>
          <w:rtl/>
        </w:rPr>
        <w:t xml:space="preserve">אינה מובילה בהכרח למסקנה כי חריגה מסמכות תהווה עילה </w:t>
      </w:r>
      <w:r w:rsidRPr="008A6265">
        <w:rPr>
          <w:rFonts w:ascii="Century" w:hAnsi="Century" w:cs="Miriam" w:hint="cs"/>
          <w:b/>
          <w:spacing w:val="0"/>
          <w:sz w:val="22"/>
          <w:szCs w:val="24"/>
          <w:rtl/>
        </w:rPr>
        <w:t>לביקורת שיפוטית</w:t>
      </w:r>
      <w:r w:rsidRPr="008A6265">
        <w:rPr>
          <w:rFonts w:hint="cs"/>
          <w:rtl/>
        </w:rPr>
        <w:t xml:space="preserve"> </w:t>
      </w:r>
      <w:r>
        <w:rPr>
          <w:rFonts w:hint="cs"/>
          <w:rtl/>
        </w:rPr>
        <w:t xml:space="preserve">(פסקה 69 לחוות דעתה). מדובר בשתי סוגיות נפרדות (וראו למשל באשר למנגנוני הביקורת הפרלמנטרית מאז חקיקת חוקי היסוד: </w:t>
      </w:r>
      <w:r>
        <w:rPr>
          <w:rFonts w:ascii="Century" w:hAnsi="Century" w:cs="Miriam" w:hint="cs"/>
          <w:b/>
          <w:spacing w:val="0"/>
          <w:sz w:val="22"/>
          <w:szCs w:val="24"/>
          <w:rtl/>
        </w:rPr>
        <w:t xml:space="preserve">רובינשטיין, </w:t>
      </w:r>
      <w:r w:rsidRPr="00C232EB">
        <w:rPr>
          <w:rFonts w:ascii="Century" w:hAnsi="Century" w:cs="Miriam" w:hint="cs"/>
          <w:b/>
          <w:spacing w:val="0"/>
          <w:sz w:val="22"/>
          <w:szCs w:val="24"/>
          <w:rtl/>
        </w:rPr>
        <w:t>סיפורם של חוקי</w:t>
      </w:r>
      <w:r>
        <w:rPr>
          <w:rFonts w:ascii="Century" w:hAnsi="Century" w:cs="Miriam" w:hint="cs"/>
          <w:b/>
          <w:spacing w:val="0"/>
          <w:sz w:val="22"/>
          <w:szCs w:val="24"/>
          <w:rtl/>
        </w:rPr>
        <w:t>-</w:t>
      </w:r>
      <w:r w:rsidRPr="00C232EB">
        <w:rPr>
          <w:rFonts w:ascii="Century" w:hAnsi="Century" w:cs="Miriam" w:hint="cs"/>
          <w:b/>
          <w:spacing w:val="0"/>
          <w:sz w:val="22"/>
          <w:szCs w:val="24"/>
          <w:rtl/>
        </w:rPr>
        <w:t>היסו</w:t>
      </w:r>
      <w:r>
        <w:rPr>
          <w:rFonts w:ascii="Century" w:hAnsi="Century" w:cs="Miriam" w:hint="cs"/>
          <w:b/>
          <w:spacing w:val="0"/>
          <w:sz w:val="22"/>
          <w:szCs w:val="24"/>
          <w:rtl/>
        </w:rPr>
        <w:t>ד</w:t>
      </w:r>
      <w:r w:rsidRPr="0009458F">
        <w:rPr>
          <w:rFonts w:ascii="Century" w:hAnsi="Century"/>
          <w:sz w:val="22"/>
          <w:rtl/>
        </w:rPr>
        <w:t>,</w:t>
      </w:r>
      <w:r w:rsidRPr="00090C65">
        <w:rPr>
          <w:rFonts w:ascii="Century" w:hAnsi="Century" w:hint="cs"/>
          <w:sz w:val="22"/>
          <w:rtl/>
        </w:rPr>
        <w:t xml:space="preserve"> עמ' 105).</w:t>
      </w:r>
    </w:p>
    <w:p w:rsidR="00737972" w:rsidRDefault="00737972" w:rsidP="00737972">
      <w:pPr>
        <w:pStyle w:val="Ruller41"/>
        <w:rPr>
          <w:rtl/>
        </w:rPr>
      </w:pPr>
    </w:p>
    <w:p w:rsidR="00737972" w:rsidRDefault="00737972" w:rsidP="00737972">
      <w:pPr>
        <w:pStyle w:val="Ruller4"/>
        <w:rPr>
          <w:rtl/>
        </w:rPr>
      </w:pPr>
      <w:r>
        <w:rPr>
          <w:rFonts w:hint="cs"/>
          <w:rtl/>
        </w:rPr>
        <w:t xml:space="preserve">יתר על כן, אם בתחילת הדרך </w:t>
      </w:r>
      <w:r w:rsidRPr="004810A9">
        <w:rPr>
          <w:rFonts w:ascii="Century" w:hAnsi="Century" w:hint="cs"/>
          <w:sz w:val="22"/>
          <w:rtl/>
        </w:rPr>
        <w:t>הסמכות לבטל חוקים</w:t>
      </w:r>
      <w:r w:rsidRPr="004810A9">
        <w:rPr>
          <w:rFonts w:ascii="Century" w:hAnsi="Century" w:cs="Miriam" w:hint="cs"/>
          <w:b/>
          <w:spacing w:val="0"/>
          <w:szCs w:val="24"/>
          <w:rtl/>
        </w:rPr>
        <w:t xml:space="preserve"> </w:t>
      </w:r>
      <w:r w:rsidRPr="004810A9">
        <w:rPr>
          <w:rFonts w:ascii="Century" w:hAnsi="Century" w:hint="cs"/>
          <w:sz w:val="22"/>
          <w:rtl/>
        </w:rPr>
        <w:t>נשענה בעניין</w:t>
      </w:r>
      <w:r w:rsidRPr="004810A9">
        <w:rPr>
          <w:rFonts w:ascii="Century" w:hAnsi="Century" w:cs="Miriam" w:hint="cs"/>
          <w:b/>
          <w:spacing w:val="0"/>
          <w:szCs w:val="24"/>
          <w:rtl/>
        </w:rPr>
        <w:t xml:space="preserve"> בנק המזרחי </w:t>
      </w:r>
      <w:r w:rsidRPr="004810A9">
        <w:rPr>
          <w:rFonts w:ascii="Century" w:hAnsi="Century" w:hint="cs"/>
          <w:sz w:val="22"/>
          <w:rtl/>
        </w:rPr>
        <w:t>על</w:t>
      </w:r>
      <w:r w:rsidRPr="004810A9">
        <w:rPr>
          <w:rFonts w:ascii="Century" w:hAnsi="Century" w:cs="Miriam" w:hint="cs"/>
          <w:b/>
          <w:spacing w:val="0"/>
          <w:szCs w:val="24"/>
          <w:rtl/>
        </w:rPr>
        <w:t xml:space="preserve"> </w:t>
      </w:r>
      <w:r>
        <w:rPr>
          <w:rFonts w:hint="cs"/>
          <w:rtl/>
        </w:rPr>
        <w:t xml:space="preserve">עליונותם של חוקי היסוד </w:t>
      </w:r>
      <w:r w:rsidRPr="004810A9">
        <w:rPr>
          <w:rFonts w:ascii="Century" w:hAnsi="Century" w:hint="cs"/>
          <w:sz w:val="22"/>
          <w:rtl/>
        </w:rPr>
        <w:t>שנכללה בהם פסקת הגבלה</w:t>
      </w:r>
      <w:r>
        <w:rPr>
          <w:rFonts w:ascii="Century" w:hAnsi="Century" w:hint="cs"/>
          <w:sz w:val="22"/>
          <w:rtl/>
        </w:rPr>
        <w:t xml:space="preserve"> בלבד</w:t>
      </w:r>
      <w:r>
        <w:rPr>
          <w:rFonts w:hint="cs"/>
          <w:rtl/>
        </w:rPr>
        <w:t xml:space="preserve">, תוך ניסיון להסתמך על מוצא פי המחוקק-המכונן (עניין </w:t>
      </w:r>
      <w:r w:rsidRPr="004810A9">
        <w:rPr>
          <w:rFonts w:ascii="Century" w:hAnsi="Century" w:cs="Miriam" w:hint="cs"/>
          <w:b/>
          <w:spacing w:val="0"/>
          <w:sz w:val="22"/>
          <w:szCs w:val="24"/>
          <w:rtl/>
        </w:rPr>
        <w:t>בנק המזרחי</w:t>
      </w:r>
      <w:r>
        <w:rPr>
          <w:rFonts w:hint="cs"/>
          <w:rtl/>
        </w:rPr>
        <w:t>, עמ' 409-408)</w:t>
      </w:r>
      <w:r>
        <w:rPr>
          <w:rFonts w:ascii="Century" w:hAnsi="Century" w:hint="cs"/>
          <w:sz w:val="22"/>
          <w:rtl/>
        </w:rPr>
        <w:t xml:space="preserve">; </w:t>
      </w:r>
      <w:r>
        <w:rPr>
          <w:rFonts w:hint="cs"/>
          <w:rtl/>
        </w:rPr>
        <w:t>בהמשך סמכות זו הורחבה לגבי כלל חוקי היסוד תוך "השאלת" פסקת ההגבלה ליתר חוקי היסוד, חרף העובדה שלא קיים לכך עוגן כלשהו בחוקי היסוד האחרים (</w:t>
      </w:r>
      <w:r w:rsidRPr="000C2C63">
        <w:rPr>
          <w:rFonts w:hint="eastAsia"/>
          <w:rtl/>
        </w:rPr>
        <w:t>ע</w:t>
      </w:r>
      <w:r w:rsidRPr="000C2C63">
        <w:rPr>
          <w:rtl/>
        </w:rPr>
        <w:t>"</w:t>
      </w:r>
      <w:r w:rsidRPr="000C2C63">
        <w:rPr>
          <w:rFonts w:hint="eastAsia"/>
          <w:rtl/>
        </w:rPr>
        <w:t>ב</w:t>
      </w:r>
      <w:r w:rsidRPr="000C2C63">
        <w:rPr>
          <w:rtl/>
        </w:rPr>
        <w:t xml:space="preserve"> 92/03‏ </w:t>
      </w:r>
      <w:r w:rsidRPr="004810A9">
        <w:rPr>
          <w:rFonts w:ascii="Century" w:hAnsi="Century" w:cs="Miriam" w:hint="eastAsia"/>
          <w:b/>
          <w:spacing w:val="0"/>
          <w:sz w:val="22"/>
          <w:szCs w:val="24"/>
          <w:rtl/>
        </w:rPr>
        <w:t>מופז</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נ</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יושב</w:t>
      </w:r>
      <w:r w:rsidRPr="004810A9">
        <w:rPr>
          <w:rFonts w:ascii="Century" w:hAnsi="Century" w:cs="Miriam"/>
          <w:b/>
          <w:spacing w:val="0"/>
          <w:sz w:val="22"/>
          <w:szCs w:val="24"/>
          <w:rtl/>
        </w:rPr>
        <w:t>-</w:t>
      </w:r>
      <w:r w:rsidRPr="004810A9">
        <w:rPr>
          <w:rFonts w:ascii="Century" w:hAnsi="Century" w:cs="Miriam" w:hint="eastAsia"/>
          <w:b/>
          <w:spacing w:val="0"/>
          <w:sz w:val="22"/>
          <w:szCs w:val="24"/>
          <w:rtl/>
        </w:rPr>
        <w:t>ראש</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ועדת</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הבחירות</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המרכזית</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לכנסת</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השש</w:t>
      </w:r>
      <w:r w:rsidRPr="004810A9">
        <w:rPr>
          <w:rFonts w:ascii="Century" w:hAnsi="Century" w:cs="Miriam"/>
          <w:b/>
          <w:spacing w:val="0"/>
          <w:sz w:val="22"/>
          <w:szCs w:val="24"/>
          <w:rtl/>
        </w:rPr>
        <w:t>-</w:t>
      </w:r>
      <w:r w:rsidRPr="004810A9">
        <w:rPr>
          <w:rFonts w:ascii="Century" w:hAnsi="Century" w:cs="Miriam" w:hint="eastAsia"/>
          <w:b/>
          <w:spacing w:val="0"/>
          <w:sz w:val="22"/>
          <w:szCs w:val="24"/>
          <w:rtl/>
        </w:rPr>
        <w:t>עשרה</w:t>
      </w:r>
      <w:r w:rsidRPr="000C2C63">
        <w:rPr>
          <w:rtl/>
        </w:rPr>
        <w:t xml:space="preserve">, </w:t>
      </w:r>
      <w:r w:rsidRPr="000C2C63">
        <w:rPr>
          <w:rFonts w:hint="eastAsia"/>
          <w:rtl/>
        </w:rPr>
        <w:t>פ</w:t>
      </w:r>
      <w:r>
        <w:rPr>
          <w:rFonts w:hint="cs"/>
          <w:rtl/>
        </w:rPr>
        <w:t>"</w:t>
      </w:r>
      <w:r w:rsidRPr="000C2C63">
        <w:rPr>
          <w:rFonts w:hint="eastAsia"/>
          <w:rtl/>
        </w:rPr>
        <w:t>ד</w:t>
      </w:r>
      <w:r w:rsidRPr="000C2C63">
        <w:rPr>
          <w:rtl/>
        </w:rPr>
        <w:t xml:space="preserve"> </w:t>
      </w:r>
      <w:r w:rsidRPr="000C2C63">
        <w:rPr>
          <w:rFonts w:hint="eastAsia"/>
          <w:rtl/>
        </w:rPr>
        <w:t>נז</w:t>
      </w:r>
      <w:r w:rsidRPr="000C2C63">
        <w:rPr>
          <w:rtl/>
        </w:rPr>
        <w:t>(3) 793</w:t>
      </w:r>
      <w:r>
        <w:rPr>
          <w:rFonts w:hint="cs"/>
          <w:rtl/>
        </w:rPr>
        <w:t xml:space="preserve"> (2003); </w:t>
      </w:r>
      <w:r>
        <w:rPr>
          <w:rFonts w:hint="eastAsia"/>
          <w:rtl/>
        </w:rPr>
        <w:t>בג</w:t>
      </w:r>
      <w:r>
        <w:rPr>
          <w:rtl/>
        </w:rPr>
        <w:t>"</w:t>
      </w:r>
      <w:r>
        <w:rPr>
          <w:rFonts w:hint="eastAsia"/>
          <w:rtl/>
        </w:rPr>
        <w:t>ץ</w:t>
      </w:r>
      <w:r>
        <w:rPr>
          <w:rtl/>
        </w:rPr>
        <w:t xml:space="preserve"> 212/03‏</w:t>
      </w:r>
      <w:r>
        <w:rPr>
          <w:rFonts w:hint="cs"/>
          <w:rtl/>
        </w:rPr>
        <w:t xml:space="preserve"> </w:t>
      </w:r>
      <w:r w:rsidRPr="004810A9">
        <w:rPr>
          <w:rFonts w:ascii="Century" w:hAnsi="Century" w:cs="Miriam" w:hint="eastAsia"/>
          <w:b/>
          <w:spacing w:val="0"/>
          <w:sz w:val="22"/>
          <w:szCs w:val="24"/>
          <w:rtl/>
        </w:rPr>
        <w:t>חרות</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התנועה</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הלאומית</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נ</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יושב</w:t>
      </w:r>
      <w:r w:rsidRPr="004810A9">
        <w:rPr>
          <w:rFonts w:ascii="Century" w:hAnsi="Century" w:cs="Miriam"/>
          <w:b/>
          <w:spacing w:val="0"/>
          <w:sz w:val="22"/>
          <w:szCs w:val="24"/>
          <w:rtl/>
        </w:rPr>
        <w:t>-</w:t>
      </w:r>
      <w:r w:rsidRPr="004810A9">
        <w:rPr>
          <w:rFonts w:ascii="Century" w:hAnsi="Century" w:cs="Miriam" w:hint="eastAsia"/>
          <w:b/>
          <w:spacing w:val="0"/>
          <w:sz w:val="22"/>
          <w:szCs w:val="24"/>
          <w:rtl/>
        </w:rPr>
        <w:t>ראש</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ועדת</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הבחירות</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המרכזית</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לכנסת</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השש</w:t>
      </w:r>
      <w:r w:rsidRPr="004810A9">
        <w:rPr>
          <w:rFonts w:ascii="Century" w:hAnsi="Century" w:cs="Miriam"/>
          <w:b/>
          <w:spacing w:val="0"/>
          <w:sz w:val="22"/>
          <w:szCs w:val="24"/>
          <w:rtl/>
        </w:rPr>
        <w:t>-</w:t>
      </w:r>
      <w:r w:rsidRPr="004810A9">
        <w:rPr>
          <w:rFonts w:ascii="Century" w:hAnsi="Century" w:cs="Miriam" w:hint="eastAsia"/>
          <w:b/>
          <w:spacing w:val="0"/>
          <w:sz w:val="22"/>
          <w:szCs w:val="24"/>
          <w:rtl/>
        </w:rPr>
        <w:t>עשרה</w:t>
      </w:r>
      <w:r w:rsidRPr="004810A9">
        <w:rPr>
          <w:rFonts w:ascii="Century" w:hAnsi="Century" w:cs="Miriam"/>
          <w:b/>
          <w:spacing w:val="0"/>
          <w:sz w:val="22"/>
          <w:szCs w:val="24"/>
          <w:rtl/>
        </w:rPr>
        <w:t>,</w:t>
      </w:r>
      <w:r w:rsidRPr="004810A9">
        <w:rPr>
          <w:rFonts w:ascii="Century" w:hAnsi="Century" w:cs="Miriam" w:hint="cs"/>
          <w:b/>
          <w:spacing w:val="0"/>
          <w:sz w:val="22"/>
          <w:szCs w:val="24"/>
          <w:rtl/>
        </w:rPr>
        <w:t xml:space="preserve"> כבוד השופט מישאל חשין</w:t>
      </w:r>
      <w:r>
        <w:rPr>
          <w:rFonts w:hint="cs"/>
          <w:rtl/>
        </w:rPr>
        <w:t>,</w:t>
      </w:r>
      <w:r>
        <w:rPr>
          <w:rtl/>
        </w:rPr>
        <w:t xml:space="preserve"> </w:t>
      </w:r>
      <w:r>
        <w:rPr>
          <w:rFonts w:hint="eastAsia"/>
          <w:rtl/>
        </w:rPr>
        <w:t>פ</w:t>
      </w:r>
      <w:r>
        <w:rPr>
          <w:rFonts w:hint="cs"/>
          <w:rtl/>
        </w:rPr>
        <w:t>"</w:t>
      </w:r>
      <w:r>
        <w:rPr>
          <w:rFonts w:hint="eastAsia"/>
          <w:rtl/>
        </w:rPr>
        <w:t>ד</w:t>
      </w:r>
      <w:r>
        <w:rPr>
          <w:rtl/>
        </w:rPr>
        <w:t xml:space="preserve"> </w:t>
      </w:r>
      <w:r>
        <w:rPr>
          <w:rFonts w:hint="eastAsia"/>
          <w:rtl/>
        </w:rPr>
        <w:t>נז</w:t>
      </w:r>
      <w:r>
        <w:rPr>
          <w:rtl/>
        </w:rPr>
        <w:t>(1) 750</w:t>
      </w:r>
      <w:r>
        <w:rPr>
          <w:rFonts w:hint="cs"/>
          <w:rtl/>
        </w:rPr>
        <w:t xml:space="preserve"> (2003); </w:t>
      </w:r>
      <w:r w:rsidRPr="000C2C63">
        <w:rPr>
          <w:rFonts w:hint="eastAsia"/>
          <w:rtl/>
        </w:rPr>
        <w:t>אהרן</w:t>
      </w:r>
      <w:r w:rsidRPr="000C2C63">
        <w:rPr>
          <w:rtl/>
        </w:rPr>
        <w:t xml:space="preserve"> </w:t>
      </w:r>
      <w:r w:rsidRPr="000C2C63">
        <w:rPr>
          <w:rFonts w:hint="eastAsia"/>
          <w:rtl/>
        </w:rPr>
        <w:t>ברק</w:t>
      </w:r>
      <w:r w:rsidRPr="000C2C63">
        <w:rPr>
          <w:rtl/>
        </w:rPr>
        <w:t xml:space="preserve"> </w:t>
      </w:r>
      <w:r w:rsidRPr="004810A9">
        <w:rPr>
          <w:rFonts w:ascii="Century" w:hAnsi="Century" w:cs="Miriam" w:hint="eastAsia"/>
          <w:b/>
          <w:spacing w:val="0"/>
          <w:sz w:val="22"/>
          <w:szCs w:val="24"/>
          <w:rtl/>
        </w:rPr>
        <w:t>מבחר</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כתבים</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ג</w:t>
      </w:r>
      <w:r w:rsidRPr="004810A9">
        <w:rPr>
          <w:rFonts w:ascii="Century" w:hAnsi="Century" w:cs="Miriam"/>
          <w:b/>
          <w:spacing w:val="0"/>
          <w:sz w:val="22"/>
          <w:szCs w:val="24"/>
          <w:rtl/>
        </w:rPr>
        <w:t xml:space="preserve"> –</w:t>
      </w:r>
      <w:r w:rsidRPr="004810A9">
        <w:rPr>
          <w:rFonts w:ascii="Century" w:hAnsi="Century" w:cs="Miriam" w:hint="cs"/>
          <w:b/>
          <w:spacing w:val="0"/>
          <w:sz w:val="22"/>
          <w:szCs w:val="24"/>
          <w:rtl/>
        </w:rPr>
        <w:t xml:space="preserve"> </w:t>
      </w:r>
      <w:r w:rsidRPr="004810A9">
        <w:rPr>
          <w:rFonts w:ascii="Century" w:hAnsi="Century" w:cs="Miriam" w:hint="eastAsia"/>
          <w:b/>
          <w:spacing w:val="0"/>
          <w:sz w:val="22"/>
          <w:szCs w:val="24"/>
          <w:rtl/>
        </w:rPr>
        <w:t>עיונים</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חוקתיים</w:t>
      </w:r>
      <w:r>
        <w:rPr>
          <w:rFonts w:hint="cs"/>
          <w:rtl/>
        </w:rPr>
        <w:t xml:space="preserve"> 746</w:t>
      </w:r>
      <w:r w:rsidRPr="000C2C63">
        <w:rPr>
          <w:rtl/>
        </w:rPr>
        <w:t xml:space="preserve"> (2017)</w:t>
      </w:r>
      <w:r>
        <w:rPr>
          <w:rFonts w:hint="cs"/>
          <w:rtl/>
        </w:rPr>
        <w:t xml:space="preserve"> (להלן: </w:t>
      </w:r>
      <w:r w:rsidRPr="00FC1DA7">
        <w:rPr>
          <w:rFonts w:ascii="Century" w:hAnsi="Century" w:cs="Miriam" w:hint="eastAsia"/>
          <w:b/>
          <w:spacing w:val="0"/>
          <w:sz w:val="22"/>
          <w:szCs w:val="24"/>
          <w:rtl/>
        </w:rPr>
        <w:t>ברק</w:t>
      </w:r>
      <w:r w:rsidRPr="00FC1DA7">
        <w:rPr>
          <w:rFonts w:ascii="Century" w:hAnsi="Century" w:cs="Miriam"/>
          <w:b/>
          <w:spacing w:val="0"/>
          <w:sz w:val="22"/>
          <w:szCs w:val="24"/>
          <w:rtl/>
        </w:rPr>
        <w:t xml:space="preserve">, </w:t>
      </w:r>
      <w:r w:rsidRPr="00FC1DA7">
        <w:rPr>
          <w:rFonts w:ascii="Century" w:hAnsi="Century" w:cs="Miriam" w:hint="eastAsia"/>
          <w:b/>
          <w:spacing w:val="0"/>
          <w:sz w:val="22"/>
          <w:szCs w:val="24"/>
          <w:rtl/>
        </w:rPr>
        <w:t>עיונים</w:t>
      </w:r>
      <w:r w:rsidRPr="00FC1DA7">
        <w:rPr>
          <w:rFonts w:ascii="Century" w:hAnsi="Century" w:cs="Miriam"/>
          <w:b/>
          <w:spacing w:val="0"/>
          <w:sz w:val="22"/>
          <w:szCs w:val="24"/>
          <w:rtl/>
        </w:rPr>
        <w:t xml:space="preserve"> </w:t>
      </w:r>
      <w:r w:rsidRPr="00FC1DA7">
        <w:rPr>
          <w:rFonts w:ascii="Century" w:hAnsi="Century" w:cs="Miriam" w:hint="eastAsia"/>
          <w:b/>
          <w:spacing w:val="0"/>
          <w:sz w:val="22"/>
          <w:szCs w:val="24"/>
          <w:rtl/>
        </w:rPr>
        <w:t>חוקתיים</w:t>
      </w:r>
      <w:r>
        <w:rPr>
          <w:rFonts w:hint="cs"/>
          <w:rtl/>
        </w:rPr>
        <w:t xml:space="preserve">); וראו: אריאל בנדור "ארבע מהפכות חוקתיות?" </w:t>
      </w:r>
      <w:r w:rsidRPr="00C232EB">
        <w:rPr>
          <w:rFonts w:ascii="Century" w:hAnsi="Century" w:cs="Miriam" w:hint="cs"/>
          <w:b/>
          <w:spacing w:val="0"/>
          <w:sz w:val="22"/>
          <w:szCs w:val="24"/>
          <w:rtl/>
        </w:rPr>
        <w:t>משפט וממשל</w:t>
      </w:r>
      <w:r w:rsidRPr="00C232EB">
        <w:rPr>
          <w:rFonts w:hint="cs"/>
          <w:rtl/>
        </w:rPr>
        <w:t xml:space="preserve"> </w:t>
      </w:r>
      <w:r>
        <w:rPr>
          <w:rFonts w:hint="cs"/>
          <w:rtl/>
        </w:rPr>
        <w:t xml:space="preserve">ו 305 (2003) (להלן: </w:t>
      </w:r>
      <w:r w:rsidRPr="00955B54">
        <w:rPr>
          <w:rFonts w:ascii="Century" w:hAnsi="Century" w:cs="Miriam" w:hint="cs"/>
          <w:b/>
          <w:spacing w:val="0"/>
          <w:sz w:val="22"/>
          <w:szCs w:val="24"/>
          <w:rtl/>
        </w:rPr>
        <w:t>בנדור, ארבע מהפכות חוקתיות</w:t>
      </w:r>
      <w:r>
        <w:rPr>
          <w:rFonts w:hint="cs"/>
          <w:rtl/>
        </w:rPr>
        <w:t>)). אם פסקת ההגבלה הקבועה בחוקי יסוד היא היא אפוא מקור סמכות, מאיפה שאבה לה סמכות "פסקת ההגבלה השיפוטית" שצמחה על רקע "</w:t>
      </w:r>
      <w:r w:rsidRPr="00AD572A">
        <w:rPr>
          <w:rFonts w:ascii="Century" w:hAnsi="Century" w:cs="Miriam" w:hint="cs"/>
          <w:b/>
          <w:spacing w:val="0"/>
          <w:sz w:val="22"/>
          <w:szCs w:val="24"/>
          <w:rtl/>
        </w:rPr>
        <w:t>השראה</w:t>
      </w:r>
      <w:r>
        <w:rPr>
          <w:rFonts w:hint="cs"/>
          <w:rtl/>
        </w:rPr>
        <w:t>"</w:t>
      </w:r>
      <w:r w:rsidRPr="00AD572A">
        <w:rPr>
          <w:rFonts w:hint="cs"/>
          <w:rtl/>
        </w:rPr>
        <w:t xml:space="preserve"> </w:t>
      </w:r>
      <w:r>
        <w:rPr>
          <w:rFonts w:hint="cs"/>
          <w:rtl/>
        </w:rPr>
        <w:t xml:space="preserve">בלבד מאחותה הכתובה? (וראו עוד בקשר להתפתחות זו: </w:t>
      </w:r>
      <w:r w:rsidRPr="006C35A8">
        <w:rPr>
          <w:rFonts w:hint="eastAsia"/>
          <w:rtl/>
        </w:rPr>
        <w:t>ה</w:t>
      </w:r>
      <w:r>
        <w:rPr>
          <w:rFonts w:hint="cs"/>
          <w:rtl/>
        </w:rPr>
        <w:t>לל</w:t>
      </w:r>
      <w:r w:rsidRPr="006C35A8">
        <w:rPr>
          <w:rtl/>
        </w:rPr>
        <w:t xml:space="preserve"> </w:t>
      </w:r>
      <w:r w:rsidRPr="006C35A8">
        <w:rPr>
          <w:rFonts w:hint="eastAsia"/>
          <w:rtl/>
        </w:rPr>
        <w:t>סומר</w:t>
      </w:r>
      <w:r>
        <w:rPr>
          <w:rFonts w:hint="cs"/>
          <w:rtl/>
        </w:rPr>
        <w:t xml:space="preserve"> </w:t>
      </w:r>
      <w:r w:rsidRPr="006C35A8">
        <w:rPr>
          <w:rtl/>
        </w:rPr>
        <w:t>"</w:t>
      </w:r>
      <w:r w:rsidRPr="006C35A8">
        <w:rPr>
          <w:rFonts w:hint="eastAsia"/>
          <w:rtl/>
        </w:rPr>
        <w:t>מילדות</w:t>
      </w:r>
      <w:r w:rsidRPr="006C35A8">
        <w:rPr>
          <w:rtl/>
        </w:rPr>
        <w:t xml:space="preserve"> </w:t>
      </w:r>
      <w:r w:rsidRPr="006C35A8">
        <w:rPr>
          <w:rFonts w:hint="eastAsia"/>
          <w:rtl/>
        </w:rPr>
        <w:t>לבגרות</w:t>
      </w:r>
      <w:r w:rsidRPr="006C35A8">
        <w:rPr>
          <w:rtl/>
        </w:rPr>
        <w:t xml:space="preserve">: </w:t>
      </w:r>
      <w:r w:rsidRPr="006C35A8">
        <w:rPr>
          <w:rFonts w:hint="eastAsia"/>
          <w:rtl/>
        </w:rPr>
        <w:t>סוגיות</w:t>
      </w:r>
      <w:r w:rsidRPr="006C35A8">
        <w:rPr>
          <w:rtl/>
        </w:rPr>
        <w:t xml:space="preserve"> </w:t>
      </w:r>
      <w:r w:rsidRPr="006C35A8">
        <w:rPr>
          <w:rFonts w:hint="eastAsia"/>
          <w:rtl/>
        </w:rPr>
        <w:t>פתוחות</w:t>
      </w:r>
      <w:r w:rsidRPr="006C35A8">
        <w:rPr>
          <w:rtl/>
        </w:rPr>
        <w:t xml:space="preserve"> </w:t>
      </w:r>
      <w:r w:rsidRPr="006C35A8">
        <w:rPr>
          <w:rFonts w:hint="eastAsia"/>
          <w:rtl/>
        </w:rPr>
        <w:t>ביישומה</w:t>
      </w:r>
      <w:r w:rsidRPr="006C35A8">
        <w:rPr>
          <w:rtl/>
        </w:rPr>
        <w:t xml:space="preserve"> </w:t>
      </w:r>
      <w:r w:rsidRPr="006C35A8">
        <w:rPr>
          <w:rFonts w:hint="eastAsia"/>
          <w:rtl/>
        </w:rPr>
        <w:t>של</w:t>
      </w:r>
      <w:r w:rsidRPr="006C35A8">
        <w:rPr>
          <w:rtl/>
        </w:rPr>
        <w:t xml:space="preserve"> </w:t>
      </w:r>
      <w:r w:rsidRPr="006C35A8">
        <w:rPr>
          <w:rFonts w:hint="eastAsia"/>
          <w:rtl/>
        </w:rPr>
        <w:t>המהפכה</w:t>
      </w:r>
      <w:r w:rsidRPr="006C35A8">
        <w:rPr>
          <w:rtl/>
        </w:rPr>
        <w:t xml:space="preserve"> </w:t>
      </w:r>
      <w:r w:rsidRPr="006C35A8">
        <w:rPr>
          <w:rFonts w:hint="eastAsia"/>
          <w:rtl/>
        </w:rPr>
        <w:t>החוקתית</w:t>
      </w:r>
      <w:r>
        <w:rPr>
          <w:rtl/>
        </w:rPr>
        <w:t>"</w:t>
      </w:r>
      <w:r>
        <w:rPr>
          <w:rFonts w:hint="cs"/>
          <w:rtl/>
        </w:rPr>
        <w:t xml:space="preserve"> </w:t>
      </w:r>
      <w:r w:rsidRPr="004810A9">
        <w:rPr>
          <w:rFonts w:ascii="Century" w:hAnsi="Century" w:cs="Miriam" w:hint="eastAsia"/>
          <w:b/>
          <w:spacing w:val="0"/>
          <w:sz w:val="22"/>
          <w:szCs w:val="24"/>
          <w:rtl/>
        </w:rPr>
        <w:t>משפט</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ועסקים</w:t>
      </w:r>
      <w:r w:rsidRPr="006C35A8">
        <w:rPr>
          <w:rtl/>
        </w:rPr>
        <w:t xml:space="preserve"> </w:t>
      </w:r>
      <w:r w:rsidRPr="006C35A8">
        <w:rPr>
          <w:rFonts w:hint="eastAsia"/>
          <w:rtl/>
        </w:rPr>
        <w:t>א</w:t>
      </w:r>
      <w:r w:rsidRPr="006C35A8">
        <w:rPr>
          <w:rtl/>
        </w:rPr>
        <w:t xml:space="preserve"> </w:t>
      </w:r>
      <w:r>
        <w:rPr>
          <w:rFonts w:hint="cs"/>
          <w:rtl/>
        </w:rPr>
        <w:t xml:space="preserve">59, 65-64 </w:t>
      </w:r>
      <w:r w:rsidRPr="006C35A8">
        <w:rPr>
          <w:rtl/>
        </w:rPr>
        <w:t>(</w:t>
      </w:r>
      <w:r>
        <w:rPr>
          <w:rFonts w:hint="cs"/>
          <w:rtl/>
        </w:rPr>
        <w:t xml:space="preserve">2004); וכן ראו עמדתו של השופט </w:t>
      </w:r>
      <w:r w:rsidRPr="0009458F">
        <w:rPr>
          <w:rFonts w:ascii="Century" w:hAnsi="Century" w:cs="Miriam" w:hint="eastAsia"/>
          <w:b/>
          <w:spacing w:val="0"/>
          <w:sz w:val="22"/>
          <w:szCs w:val="24"/>
          <w:rtl/>
        </w:rPr>
        <w:t>ברק</w:t>
      </w:r>
      <w:r w:rsidRPr="00342DB8">
        <w:rPr>
          <w:rtl/>
        </w:rPr>
        <w:t xml:space="preserve"> </w:t>
      </w:r>
      <w:r>
        <w:rPr>
          <w:rFonts w:hint="cs"/>
          <w:rtl/>
        </w:rPr>
        <w:t xml:space="preserve">כי היעדר הכרעה בעניין </w:t>
      </w:r>
      <w:r w:rsidRPr="00AD572A">
        <w:rPr>
          <w:rFonts w:ascii="Century" w:hAnsi="Century" w:cs="Miriam" w:hint="cs"/>
          <w:b/>
          <w:spacing w:val="0"/>
          <w:sz w:val="22"/>
          <w:szCs w:val="24"/>
          <w:rtl/>
        </w:rPr>
        <w:t>בנק המזרחי</w:t>
      </w:r>
      <w:r w:rsidRPr="00AD572A">
        <w:rPr>
          <w:rFonts w:hint="cs"/>
          <w:rtl/>
        </w:rPr>
        <w:t xml:space="preserve"> </w:t>
      </w:r>
      <w:r>
        <w:rPr>
          <w:rFonts w:hint="cs"/>
          <w:rtl/>
        </w:rPr>
        <w:t>בקשר לסמכות לפסול חקיקה רגילה גם בהיעדר "פסקת הגבלה", מקורו ב"טעות" (</w:t>
      </w:r>
      <w:r w:rsidRPr="00C232EB">
        <w:rPr>
          <w:rFonts w:ascii="Century" w:hAnsi="Century" w:cs="Miriam" w:hint="cs"/>
          <w:b/>
          <w:spacing w:val="0"/>
          <w:sz w:val="22"/>
          <w:szCs w:val="24"/>
          <w:rtl/>
        </w:rPr>
        <w:t>ברק, בת מצווה</w:t>
      </w:r>
      <w:r>
        <w:rPr>
          <w:rFonts w:hint="cs"/>
          <w:rtl/>
        </w:rPr>
        <w:t>, עמ' 32, ה"ש 134)). לחב</w:t>
      </w:r>
      <w:r>
        <w:rPr>
          <w:rFonts w:hint="eastAsia"/>
          <w:rtl/>
        </w:rPr>
        <w:t>ר</w:t>
      </w:r>
      <w:r>
        <w:rPr>
          <w:rFonts w:hint="cs"/>
          <w:rtl/>
        </w:rPr>
        <w:t>ַי הפתרונים, לא לי.</w:t>
      </w:r>
    </w:p>
    <w:p w:rsidR="00737972" w:rsidRDefault="00737972" w:rsidP="00737972">
      <w:pPr>
        <w:pStyle w:val="Ruller41"/>
        <w:rPr>
          <w:rtl/>
        </w:rPr>
      </w:pPr>
    </w:p>
    <w:p w:rsidR="00737972" w:rsidRDefault="00737972" w:rsidP="00737972">
      <w:pPr>
        <w:pStyle w:val="Ruller4"/>
        <w:numPr>
          <w:ilvl w:val="0"/>
          <w:numId w:val="0"/>
        </w:numPr>
      </w:pPr>
      <w:r>
        <w:rPr>
          <w:rtl/>
        </w:rPr>
        <w:tab/>
      </w:r>
      <w:r>
        <w:rPr>
          <w:rFonts w:hint="cs"/>
          <w:rtl/>
        </w:rPr>
        <w:t>ולבסוף, גם אין בסעיף "שמירת הדינים" שהוזכר על ידי חברי, אשר נועד להתמודד עם הכלל הבסיסי על פיו חוק מאוחר גובר על חוק מוקדם, כדי לבסס סמכות לביקורת שיפוטית של חוקים.</w:t>
      </w:r>
    </w:p>
    <w:p w:rsidR="00737972" w:rsidRDefault="00737972" w:rsidP="00737972">
      <w:pPr>
        <w:pStyle w:val="Ruller4"/>
        <w:numPr>
          <w:ilvl w:val="0"/>
          <w:numId w:val="0"/>
        </w:numPr>
      </w:pPr>
    </w:p>
    <w:p w:rsidR="00737972" w:rsidRDefault="00737972" w:rsidP="00737972">
      <w:pPr>
        <w:pStyle w:val="Ruller4"/>
        <w:rPr>
          <w:rFonts w:ascii="FrankRuehl" w:hAnsi="FrankRuehl"/>
          <w:color w:val="000000"/>
          <w:sz w:val="28"/>
          <w:rtl/>
        </w:rPr>
      </w:pPr>
      <w:r w:rsidRPr="004C5BF6">
        <w:rPr>
          <w:rFonts w:hint="cs"/>
          <w:rtl/>
        </w:rPr>
        <w:t xml:space="preserve">בשולי הדברים </w:t>
      </w:r>
      <w:r>
        <w:rPr>
          <w:rFonts w:hint="cs"/>
          <w:rtl/>
        </w:rPr>
        <w:t xml:space="preserve">ולסיום פרק זה אוסיף </w:t>
      </w:r>
      <w:r w:rsidRPr="004C5BF6">
        <w:rPr>
          <w:rFonts w:hint="cs"/>
          <w:rtl/>
        </w:rPr>
        <w:t xml:space="preserve">כי </w:t>
      </w:r>
      <w:r>
        <w:rPr>
          <w:rFonts w:hint="cs"/>
          <w:rtl/>
        </w:rPr>
        <w:t>ה</w:t>
      </w:r>
      <w:r w:rsidRPr="004C5BF6">
        <w:rPr>
          <w:rFonts w:hint="cs"/>
          <w:rtl/>
        </w:rPr>
        <w:t>הפניה של חברי</w:t>
      </w:r>
      <w:r>
        <w:rPr>
          <w:rFonts w:hint="cs"/>
          <w:rtl/>
        </w:rPr>
        <w:t xml:space="preserve"> השופט</w:t>
      </w:r>
      <w:r w:rsidRPr="004C5BF6">
        <w:rPr>
          <w:rFonts w:hint="cs"/>
          <w:rtl/>
        </w:rPr>
        <w:t xml:space="preserve"> </w:t>
      </w:r>
      <w:r w:rsidRPr="00C232EB">
        <w:rPr>
          <w:rFonts w:ascii="Century" w:hAnsi="Century" w:cs="Miriam" w:hint="cs"/>
          <w:b/>
          <w:spacing w:val="0"/>
          <w:szCs w:val="24"/>
          <w:rtl/>
        </w:rPr>
        <w:t>עמית</w:t>
      </w:r>
      <w:r w:rsidRPr="004C5BF6">
        <w:rPr>
          <w:rFonts w:hint="cs"/>
          <w:rtl/>
        </w:rPr>
        <w:t xml:space="preserve"> </w:t>
      </w:r>
      <w:r>
        <w:rPr>
          <w:rFonts w:hint="cs"/>
          <w:rtl/>
        </w:rPr>
        <w:t xml:space="preserve">בסוגיית הסמכות </w:t>
      </w:r>
      <w:r w:rsidRPr="004C5BF6">
        <w:rPr>
          <w:rFonts w:hint="cs"/>
          <w:rtl/>
        </w:rPr>
        <w:t xml:space="preserve">לפסק הדין בעניין </w:t>
      </w:r>
      <w:r w:rsidRPr="00C232EB">
        <w:rPr>
          <w:szCs w:val="24"/>
        </w:rPr>
        <w:t>Marbury v. Madison, 5 U.S. 137 (1803)</w:t>
      </w:r>
      <w:r w:rsidRPr="00C232EB">
        <w:rPr>
          <w:szCs w:val="24"/>
          <w:rtl/>
        </w:rPr>
        <w:t xml:space="preserve"> </w:t>
      </w:r>
      <w:r>
        <w:rPr>
          <w:rFonts w:hint="cs"/>
          <w:rtl/>
        </w:rPr>
        <w:t xml:space="preserve">בפסקה 10 לחוות </w:t>
      </w:r>
      <w:r>
        <w:rPr>
          <w:rFonts w:hint="cs"/>
          <w:rtl/>
        </w:rPr>
        <w:lastRenderedPageBreak/>
        <w:t xml:space="preserve">דעתו </w:t>
      </w:r>
      <w:r w:rsidRPr="004C5BF6">
        <w:rPr>
          <w:rFonts w:hint="cs"/>
          <w:rtl/>
        </w:rPr>
        <w:t>איננה מובנית מאליה</w:t>
      </w:r>
      <w:r>
        <w:rPr>
          <w:rFonts w:hint="cs"/>
          <w:rtl/>
        </w:rPr>
        <w:t>, בלשון המעטה</w:t>
      </w:r>
      <w:r w:rsidRPr="004C5BF6">
        <w:rPr>
          <w:rFonts w:hint="cs"/>
          <w:rtl/>
        </w:rPr>
        <w:t xml:space="preserve">. </w:t>
      </w:r>
      <w:r>
        <w:rPr>
          <w:rFonts w:hint="cs"/>
          <w:rtl/>
        </w:rPr>
        <w:t>לא רק ש</w:t>
      </w:r>
      <w:r w:rsidRPr="004C5BF6">
        <w:rPr>
          <w:rFonts w:hint="cs"/>
          <w:rtl/>
        </w:rPr>
        <w:t xml:space="preserve">כפי שחברי עצמו ציין בפסקה 20 לחוות דעתו, ההשוואה </w:t>
      </w:r>
      <w:r>
        <w:rPr>
          <w:rFonts w:hint="cs"/>
          <w:rtl/>
        </w:rPr>
        <w:t>בין שיטת משפטנו לשיטת ה</w:t>
      </w:r>
      <w:r w:rsidRPr="004C5BF6">
        <w:rPr>
          <w:rFonts w:hint="cs"/>
          <w:rtl/>
        </w:rPr>
        <w:t>משפט האמריקאי</w:t>
      </w:r>
      <w:r>
        <w:rPr>
          <w:rFonts w:hint="cs"/>
          <w:rtl/>
        </w:rPr>
        <w:t xml:space="preserve">ת איננה ממן העניין </w:t>
      </w:r>
      <w:r>
        <w:rPr>
          <w:rtl/>
        </w:rPr>
        <w:t>–</w:t>
      </w:r>
      <w:r>
        <w:rPr>
          <w:rFonts w:hint="cs"/>
          <w:rtl/>
        </w:rPr>
        <w:t xml:space="preserve"> שכן "יש להישמר מפני העתקה של מאפיין אחד ממדינה דמוקרטית מסוימת, תוך השמטה של מאפיינים משלימים שקיימים בשיטת המשטר של אותה מדינה" </w:t>
      </w:r>
      <w:r>
        <w:rPr>
          <w:rtl/>
        </w:rPr>
        <w:t>–</w:t>
      </w:r>
      <w:r>
        <w:rPr>
          <w:rFonts w:hint="cs"/>
          <w:rtl/>
        </w:rPr>
        <w:t xml:space="preserve"> אלא שבסוגיה שהעלה חברי בדבר סמכותו של בית משפט זה לבקר חוקים בהיעדר "חוקה" מפורשת, ההשוואה לפסיקת בית המשפט בארצות הברית מוקשית ביותר. ודאי לא נעלמה מעיני חברי העובדה שפסק הדין בעניין </w:t>
      </w:r>
      <w:r w:rsidRPr="00C232EB">
        <w:rPr>
          <w:szCs w:val="24"/>
        </w:rPr>
        <w:t>Marbury v. Madison</w:t>
      </w:r>
      <w:r>
        <w:rPr>
          <w:rFonts w:hint="cs"/>
          <w:rtl/>
        </w:rPr>
        <w:t xml:space="preserve"> ניתן על רקע קיומה הבלתי שנוי במחלוקת של </w:t>
      </w:r>
      <w:r w:rsidRPr="004C5BF6">
        <w:rPr>
          <w:rFonts w:hint="cs"/>
          <w:rtl/>
        </w:rPr>
        <w:t>חוקה כתובה</w:t>
      </w:r>
      <w:r>
        <w:rPr>
          <w:rFonts w:hint="cs"/>
          <w:rtl/>
        </w:rPr>
        <w:t xml:space="preserve"> שכוננה 16 שנה קודם לכן</w:t>
      </w:r>
      <w:r w:rsidRPr="004C5BF6">
        <w:rPr>
          <w:rFonts w:hint="cs"/>
          <w:rtl/>
        </w:rPr>
        <w:t>, מה שאין כן במדינתנו</w:t>
      </w:r>
      <w:r>
        <w:rPr>
          <w:rFonts w:hint="cs"/>
          <w:rtl/>
        </w:rPr>
        <w:t xml:space="preserve">. כמו כן, מבלי שיהיה בכך כדי למצות את ההבדלים בין הדוקטרינות שהתפתחו בהקשר זה בישראל לבין מערכת הכללים שהתפתחה בארצות הברית, הרי שהדיון יהיה חסר לחלוטין ללא התבוננות על הבדל מרכזי אחד לפחות </w:t>
      </w:r>
      <w:r>
        <w:rPr>
          <w:rtl/>
        </w:rPr>
        <w:t>–</w:t>
      </w:r>
      <w:r>
        <w:rPr>
          <w:rFonts w:hint="cs"/>
          <w:rtl/>
        </w:rPr>
        <w:t xml:space="preserve"> בארצות הברית פותחו </w:t>
      </w:r>
      <w:r w:rsidRPr="001154B4">
        <w:rPr>
          <w:rFonts w:ascii="Century" w:hAnsi="Century" w:cs="Miriam" w:hint="cs"/>
          <w:b/>
          <w:spacing w:val="0"/>
          <w:sz w:val="22"/>
          <w:szCs w:val="24"/>
          <w:rtl/>
        </w:rPr>
        <w:t>שבעה</w:t>
      </w:r>
      <w:r w:rsidRPr="001154B4">
        <w:rPr>
          <w:rFonts w:hint="cs"/>
          <w:rtl/>
        </w:rPr>
        <w:t xml:space="preserve"> </w:t>
      </w:r>
      <w:r>
        <w:rPr>
          <w:rFonts w:hint="cs"/>
          <w:rtl/>
        </w:rPr>
        <w:t xml:space="preserve">כללים להתווית הריסון השיפוטי שיש לנקוט בטרם יכריז בית משפט על בטלותו של דבר חקיקה ("כללי אשוונדר" שפותחו </w:t>
      </w:r>
      <w:r w:rsidRPr="004C5BF6">
        <w:rPr>
          <w:rFonts w:hint="cs"/>
          <w:rtl/>
        </w:rPr>
        <w:t>בעניין</w:t>
      </w:r>
      <w:r w:rsidRPr="0053289D">
        <w:rPr>
          <w:rFonts w:cs="Calibri Light"/>
          <w:color w:val="000000"/>
          <w:szCs w:val="24"/>
        </w:rPr>
        <w:t>Ashwander v</w:t>
      </w:r>
      <w:r>
        <w:rPr>
          <w:rFonts w:cs="Calibri Light"/>
          <w:color w:val="000000"/>
          <w:szCs w:val="24"/>
        </w:rPr>
        <w:t>.</w:t>
      </w:r>
      <w:r w:rsidRPr="0053289D">
        <w:rPr>
          <w:rFonts w:cs="Calibri Light"/>
          <w:color w:val="000000"/>
          <w:szCs w:val="24"/>
        </w:rPr>
        <w:t xml:space="preserve"> Tennessee Valley</w:t>
      </w:r>
      <w:r>
        <w:rPr>
          <w:rFonts w:cs="Calibri Light"/>
          <w:color w:val="000000"/>
          <w:szCs w:val="24"/>
        </w:rPr>
        <w:t xml:space="preserve"> </w:t>
      </w:r>
      <w:r w:rsidRPr="0053289D">
        <w:rPr>
          <w:rFonts w:cs="Calibri Light"/>
          <w:color w:val="000000"/>
          <w:szCs w:val="24"/>
        </w:rPr>
        <w:t>Authority 297 U.S 288 (1936)</w:t>
      </w:r>
      <w:r w:rsidRPr="00C232EB">
        <w:rPr>
          <w:rFonts w:ascii="FrankRuehl" w:hAnsi="FrankRuehl" w:hint="cs"/>
          <w:color w:val="000000"/>
          <w:sz w:val="28"/>
          <w:rtl/>
        </w:rPr>
        <w:t>)</w:t>
      </w:r>
      <w:r>
        <w:rPr>
          <w:rFonts w:ascii="FrankRuehl" w:hAnsi="FrankRuehl" w:hint="cs"/>
          <w:color w:val="000000"/>
          <w:sz w:val="28"/>
          <w:rtl/>
        </w:rPr>
        <w:t>.</w:t>
      </w:r>
      <w:r w:rsidRPr="00C232EB">
        <w:rPr>
          <w:rFonts w:ascii="FrankRuehl" w:hAnsi="FrankRuehl" w:hint="cs"/>
          <w:color w:val="000000"/>
          <w:sz w:val="28"/>
          <w:rtl/>
        </w:rPr>
        <w:t xml:space="preserve"> אף שכללים אלה הוזכרו בעניין </w:t>
      </w:r>
      <w:r w:rsidRPr="001154B4">
        <w:rPr>
          <w:rFonts w:ascii="Century" w:hAnsi="Century" w:cs="Miriam" w:hint="cs"/>
          <w:b/>
          <w:spacing w:val="0"/>
          <w:sz w:val="22"/>
          <w:szCs w:val="24"/>
          <w:rtl/>
        </w:rPr>
        <w:t>בנק המזרחי</w:t>
      </w:r>
      <w:r>
        <w:rPr>
          <w:rFonts w:ascii="FrankRuehl" w:hAnsi="FrankRuehl" w:hint="cs"/>
          <w:color w:val="000000"/>
          <w:sz w:val="28"/>
          <w:rtl/>
        </w:rPr>
        <w:t xml:space="preserve"> (שם, עמ' 350-349), </w:t>
      </w:r>
      <w:r w:rsidRPr="00C232EB">
        <w:rPr>
          <w:rFonts w:ascii="FrankRuehl" w:hAnsi="FrankRuehl" w:hint="cs"/>
          <w:color w:val="000000"/>
          <w:sz w:val="28"/>
          <w:rtl/>
        </w:rPr>
        <w:t xml:space="preserve">ובפרשות מאוחרות יותר (ראו למשל: </w:t>
      </w:r>
      <w:r w:rsidRPr="00AB7B0E">
        <w:rPr>
          <w:rFonts w:ascii="FrankRuehl" w:hAnsi="FrankRuehl" w:hint="eastAsia"/>
          <w:color w:val="000000"/>
          <w:sz w:val="28"/>
          <w:rtl/>
        </w:rPr>
        <w:t>בג</w:t>
      </w:r>
      <w:r>
        <w:rPr>
          <w:rFonts w:ascii="FrankRuehl" w:hAnsi="FrankRuehl" w:hint="cs"/>
          <w:color w:val="000000"/>
          <w:sz w:val="28"/>
          <w:rtl/>
        </w:rPr>
        <w:t>"</w:t>
      </w:r>
      <w:r w:rsidRPr="00AB7B0E">
        <w:rPr>
          <w:rFonts w:ascii="FrankRuehl" w:hAnsi="FrankRuehl" w:hint="eastAsia"/>
          <w:color w:val="000000"/>
          <w:sz w:val="28"/>
          <w:rtl/>
        </w:rPr>
        <w:t>ץ</w:t>
      </w:r>
      <w:r w:rsidRPr="00AB7B0E">
        <w:rPr>
          <w:rFonts w:ascii="FrankRuehl" w:hAnsi="FrankRuehl"/>
          <w:color w:val="000000"/>
          <w:sz w:val="28"/>
          <w:rtl/>
        </w:rPr>
        <w:t xml:space="preserve"> 5969/20 </w:t>
      </w:r>
      <w:r w:rsidRPr="00AB7B0E">
        <w:rPr>
          <w:rFonts w:ascii="Century" w:hAnsi="Century" w:cs="Miriam" w:hint="eastAsia"/>
          <w:b/>
          <w:spacing w:val="0"/>
          <w:sz w:val="22"/>
          <w:szCs w:val="24"/>
          <w:rtl/>
        </w:rPr>
        <w:t>שפיר</w:t>
      </w:r>
      <w:r w:rsidRPr="00AB7B0E">
        <w:rPr>
          <w:rFonts w:ascii="Century" w:hAnsi="Century" w:cs="Miriam"/>
          <w:b/>
          <w:spacing w:val="0"/>
          <w:sz w:val="22"/>
          <w:szCs w:val="24"/>
          <w:rtl/>
        </w:rPr>
        <w:t xml:space="preserve"> </w:t>
      </w:r>
      <w:r w:rsidRPr="00AB7B0E">
        <w:rPr>
          <w:rFonts w:ascii="Century" w:hAnsi="Century" w:cs="Miriam" w:hint="eastAsia"/>
          <w:b/>
          <w:spacing w:val="0"/>
          <w:sz w:val="22"/>
          <w:szCs w:val="24"/>
          <w:rtl/>
        </w:rPr>
        <w:t>נ</w:t>
      </w:r>
      <w:r w:rsidRPr="00AB7B0E">
        <w:rPr>
          <w:rFonts w:ascii="Century" w:hAnsi="Century" w:cs="Miriam"/>
          <w:b/>
          <w:spacing w:val="0"/>
          <w:sz w:val="22"/>
          <w:szCs w:val="24"/>
          <w:rtl/>
        </w:rPr>
        <w:t xml:space="preserve">' </w:t>
      </w:r>
      <w:r w:rsidRPr="00AB7B0E">
        <w:rPr>
          <w:rFonts w:ascii="Century" w:hAnsi="Century" w:cs="Miriam" w:hint="eastAsia"/>
          <w:b/>
          <w:spacing w:val="0"/>
          <w:sz w:val="22"/>
          <w:szCs w:val="24"/>
          <w:rtl/>
        </w:rPr>
        <w:t>הכנסת</w:t>
      </w:r>
      <w:r>
        <w:rPr>
          <w:rFonts w:ascii="FrankRuehl" w:hAnsi="FrankRuehl" w:hint="cs"/>
          <w:color w:val="000000"/>
          <w:sz w:val="28"/>
          <w:rtl/>
        </w:rPr>
        <w:t xml:space="preserve">, פסקה </w:t>
      </w:r>
      <w:r w:rsidRPr="00C232EB">
        <w:rPr>
          <w:rFonts w:ascii="FrankRuehl" w:hAnsi="FrankRuehl" w:hint="cs"/>
          <w:color w:val="000000"/>
          <w:sz w:val="28"/>
          <w:rtl/>
        </w:rPr>
        <w:t>9 ל</w:t>
      </w:r>
      <w:r>
        <w:rPr>
          <w:rFonts w:ascii="FrankRuehl" w:hAnsi="FrankRuehl" w:hint="cs"/>
          <w:color w:val="000000"/>
          <w:sz w:val="28"/>
          <w:rtl/>
        </w:rPr>
        <w:t xml:space="preserve">חוות דעתו של השופט </w:t>
      </w:r>
      <w:r w:rsidRPr="00AB7B0E">
        <w:rPr>
          <w:rFonts w:ascii="Century" w:hAnsi="Century" w:cs="Miriam" w:hint="cs"/>
          <w:b/>
          <w:spacing w:val="0"/>
          <w:sz w:val="22"/>
          <w:szCs w:val="24"/>
          <w:rtl/>
        </w:rPr>
        <w:t>נ' סולברג</w:t>
      </w:r>
      <w:r w:rsidRPr="00AB7B0E">
        <w:rPr>
          <w:rFonts w:ascii="FrankRuehl" w:hAnsi="FrankRuehl" w:hint="cs"/>
          <w:color w:val="000000"/>
          <w:sz w:val="28"/>
          <w:rtl/>
        </w:rPr>
        <w:t xml:space="preserve"> (23.5.2021)</w:t>
      </w:r>
      <w:r>
        <w:rPr>
          <w:rFonts w:ascii="FrankRuehl" w:hAnsi="FrankRuehl" w:hint="cs"/>
          <w:color w:val="000000"/>
          <w:sz w:val="28"/>
          <w:rtl/>
        </w:rPr>
        <w:t xml:space="preserve"> (להלן: עניין </w:t>
      </w:r>
      <w:r w:rsidRPr="00AB7B0E">
        <w:rPr>
          <w:rFonts w:ascii="Century" w:hAnsi="Century" w:cs="Miriam" w:hint="cs"/>
          <w:b/>
          <w:spacing w:val="0"/>
          <w:sz w:val="22"/>
          <w:szCs w:val="24"/>
          <w:rtl/>
        </w:rPr>
        <w:t>שפיר</w:t>
      </w:r>
      <w:r>
        <w:rPr>
          <w:rFonts w:ascii="FrankRuehl" w:hAnsi="FrankRuehl" w:hint="cs"/>
          <w:color w:val="000000"/>
          <w:sz w:val="28"/>
          <w:rtl/>
        </w:rPr>
        <w:t xml:space="preserve">); </w:t>
      </w:r>
      <w:r w:rsidRPr="00615A6C">
        <w:rPr>
          <w:rFonts w:ascii="FrankRuehl" w:hAnsi="FrankRuehl" w:hint="eastAsia"/>
          <w:color w:val="000000"/>
          <w:sz w:val="28"/>
          <w:rtl/>
        </w:rPr>
        <w:t>בג</w:t>
      </w:r>
      <w:r>
        <w:rPr>
          <w:rFonts w:ascii="FrankRuehl" w:hAnsi="FrankRuehl" w:hint="cs"/>
          <w:color w:val="000000"/>
          <w:sz w:val="28"/>
          <w:rtl/>
        </w:rPr>
        <w:t>"</w:t>
      </w:r>
      <w:r w:rsidRPr="00615A6C">
        <w:rPr>
          <w:rFonts w:ascii="FrankRuehl" w:hAnsi="FrankRuehl" w:hint="eastAsia"/>
          <w:color w:val="000000"/>
          <w:sz w:val="28"/>
          <w:rtl/>
        </w:rPr>
        <w:t>ץ</w:t>
      </w:r>
      <w:r>
        <w:rPr>
          <w:rFonts w:ascii="FrankRuehl" w:hAnsi="FrankRuehl"/>
          <w:color w:val="000000"/>
          <w:sz w:val="28"/>
          <w:rtl/>
        </w:rPr>
        <w:t xml:space="preserve"> 5119/23</w:t>
      </w:r>
      <w:r w:rsidRPr="00615A6C">
        <w:rPr>
          <w:rFonts w:ascii="FrankRuehl" w:hAnsi="FrankRuehl"/>
          <w:color w:val="000000"/>
          <w:sz w:val="28"/>
          <w:rtl/>
        </w:rPr>
        <w:t xml:space="preserve">‏ </w:t>
      </w:r>
      <w:r w:rsidRPr="00615A6C">
        <w:rPr>
          <w:rFonts w:ascii="Century" w:hAnsi="Century" w:cs="Miriam" w:hint="eastAsia"/>
          <w:b/>
          <w:spacing w:val="0"/>
          <w:sz w:val="22"/>
          <w:szCs w:val="24"/>
          <w:rtl/>
        </w:rPr>
        <w:t>התנועה</w:t>
      </w:r>
      <w:r w:rsidRPr="00615A6C">
        <w:rPr>
          <w:rFonts w:ascii="Century" w:hAnsi="Century" w:cs="Miriam"/>
          <w:b/>
          <w:spacing w:val="0"/>
          <w:sz w:val="22"/>
          <w:szCs w:val="24"/>
          <w:rtl/>
        </w:rPr>
        <w:t xml:space="preserve"> </w:t>
      </w:r>
      <w:r w:rsidRPr="00615A6C">
        <w:rPr>
          <w:rFonts w:ascii="Century" w:hAnsi="Century" w:cs="Miriam" w:hint="eastAsia"/>
          <w:b/>
          <w:spacing w:val="0"/>
          <w:sz w:val="22"/>
          <w:szCs w:val="24"/>
          <w:rtl/>
        </w:rPr>
        <w:t>לטוהר</w:t>
      </w:r>
      <w:r w:rsidRPr="00615A6C">
        <w:rPr>
          <w:rFonts w:ascii="Century" w:hAnsi="Century" w:cs="Miriam"/>
          <w:b/>
          <w:spacing w:val="0"/>
          <w:sz w:val="22"/>
          <w:szCs w:val="24"/>
          <w:rtl/>
        </w:rPr>
        <w:t xml:space="preserve"> </w:t>
      </w:r>
      <w:r w:rsidRPr="00615A6C">
        <w:rPr>
          <w:rFonts w:ascii="Century" w:hAnsi="Century" w:cs="Miriam" w:hint="eastAsia"/>
          <w:b/>
          <w:spacing w:val="0"/>
          <w:sz w:val="22"/>
          <w:szCs w:val="24"/>
          <w:rtl/>
        </w:rPr>
        <w:t>המידות</w:t>
      </w:r>
      <w:r w:rsidRPr="00615A6C">
        <w:rPr>
          <w:rFonts w:ascii="Century" w:hAnsi="Century" w:cs="Miriam"/>
          <w:b/>
          <w:spacing w:val="0"/>
          <w:sz w:val="22"/>
          <w:szCs w:val="24"/>
          <w:rtl/>
        </w:rPr>
        <w:t xml:space="preserve"> </w:t>
      </w:r>
      <w:r w:rsidRPr="00615A6C">
        <w:rPr>
          <w:rFonts w:ascii="Century" w:hAnsi="Century" w:cs="Miriam" w:hint="eastAsia"/>
          <w:b/>
          <w:spacing w:val="0"/>
          <w:sz w:val="22"/>
          <w:szCs w:val="24"/>
          <w:rtl/>
        </w:rPr>
        <w:t>נ</w:t>
      </w:r>
      <w:r w:rsidRPr="00615A6C">
        <w:rPr>
          <w:rFonts w:ascii="Century" w:hAnsi="Century" w:cs="Miriam"/>
          <w:b/>
          <w:spacing w:val="0"/>
          <w:sz w:val="22"/>
          <w:szCs w:val="24"/>
          <w:rtl/>
        </w:rPr>
        <w:t xml:space="preserve">' </w:t>
      </w:r>
      <w:r w:rsidRPr="00615A6C">
        <w:rPr>
          <w:rFonts w:ascii="Century" w:hAnsi="Century" w:cs="Miriam" w:hint="eastAsia"/>
          <w:b/>
          <w:spacing w:val="0"/>
          <w:sz w:val="22"/>
          <w:szCs w:val="24"/>
          <w:rtl/>
        </w:rPr>
        <w:t>הכנסת</w:t>
      </w:r>
      <w:r>
        <w:rPr>
          <w:rFonts w:ascii="FrankRuehl" w:hAnsi="FrankRuehl" w:hint="cs"/>
          <w:color w:val="000000"/>
          <w:sz w:val="28"/>
          <w:rtl/>
        </w:rPr>
        <w:t xml:space="preserve">, פסקה 31 לחוות דעתו של ממלא מקום הנשיא </w:t>
      </w:r>
      <w:r w:rsidRPr="00FC1DA7">
        <w:rPr>
          <w:rFonts w:ascii="Century" w:hAnsi="Century" w:cs="Miriam" w:hint="eastAsia"/>
          <w:b/>
          <w:spacing w:val="0"/>
          <w:sz w:val="22"/>
          <w:szCs w:val="24"/>
          <w:rtl/>
        </w:rPr>
        <w:t>ע</w:t>
      </w:r>
      <w:r w:rsidRPr="00FC1DA7">
        <w:rPr>
          <w:rFonts w:ascii="Century" w:hAnsi="Century" w:cs="Miriam"/>
          <w:b/>
          <w:spacing w:val="0"/>
          <w:sz w:val="22"/>
          <w:szCs w:val="24"/>
          <w:rtl/>
        </w:rPr>
        <w:t xml:space="preserve">' </w:t>
      </w:r>
      <w:r w:rsidRPr="00FC1DA7">
        <w:rPr>
          <w:rFonts w:ascii="Century" w:hAnsi="Century" w:cs="Miriam" w:hint="eastAsia"/>
          <w:b/>
          <w:spacing w:val="0"/>
          <w:sz w:val="22"/>
          <w:szCs w:val="24"/>
          <w:rtl/>
        </w:rPr>
        <w:t>פוגלמן</w:t>
      </w:r>
      <w:r w:rsidRPr="00094AF4">
        <w:rPr>
          <w:rFonts w:ascii="FrankRuehl" w:hAnsi="FrankRuehl" w:hint="cs"/>
          <w:color w:val="000000"/>
          <w:sz w:val="28"/>
          <w:rtl/>
        </w:rPr>
        <w:t xml:space="preserve"> </w:t>
      </w:r>
      <w:r>
        <w:rPr>
          <w:rFonts w:ascii="FrankRuehl" w:hAnsi="FrankRuehl" w:hint="cs"/>
          <w:color w:val="000000"/>
          <w:sz w:val="28"/>
          <w:rtl/>
        </w:rPr>
        <w:t>(</w:t>
      </w:r>
      <w:r w:rsidRPr="00615A6C">
        <w:rPr>
          <w:rtl/>
        </w:rPr>
        <w:t>26.10.2023)</w:t>
      </w:r>
      <w:r>
        <w:rPr>
          <w:rFonts w:ascii="FrankRuehl" w:hAnsi="FrankRuehl" w:hint="cs"/>
          <w:color w:val="000000"/>
          <w:sz w:val="28"/>
          <w:rtl/>
        </w:rPr>
        <w:t>),</w:t>
      </w:r>
      <w:r w:rsidRPr="00C232EB">
        <w:rPr>
          <w:rFonts w:ascii="FrankRuehl" w:hAnsi="FrankRuehl" w:hint="cs"/>
          <w:color w:val="000000"/>
          <w:sz w:val="28"/>
          <w:rtl/>
        </w:rPr>
        <w:t xml:space="preserve"> </w:t>
      </w:r>
      <w:r>
        <w:rPr>
          <w:rFonts w:ascii="FrankRuehl" w:hAnsi="FrankRuehl" w:hint="cs"/>
          <w:color w:val="000000"/>
          <w:sz w:val="28"/>
          <w:rtl/>
        </w:rPr>
        <w:t xml:space="preserve">הם </w:t>
      </w:r>
      <w:r w:rsidRPr="00C232EB">
        <w:rPr>
          <w:rFonts w:ascii="FrankRuehl" w:hAnsi="FrankRuehl" w:hint="cs"/>
          <w:color w:val="000000"/>
          <w:sz w:val="28"/>
          <w:rtl/>
        </w:rPr>
        <w:t xml:space="preserve">לא אומצו </w:t>
      </w:r>
      <w:r>
        <w:rPr>
          <w:rFonts w:ascii="FrankRuehl" w:hAnsi="FrankRuehl" w:hint="cs"/>
          <w:color w:val="000000"/>
          <w:sz w:val="28"/>
          <w:rtl/>
        </w:rPr>
        <w:t xml:space="preserve">לשיטת משפטנו </w:t>
      </w:r>
      <w:r w:rsidRPr="00C232EB">
        <w:rPr>
          <w:rFonts w:ascii="FrankRuehl" w:hAnsi="FrankRuehl" w:hint="cs"/>
          <w:color w:val="000000"/>
          <w:sz w:val="28"/>
          <w:rtl/>
        </w:rPr>
        <w:t>ככתבם וכלשונם.</w:t>
      </w:r>
    </w:p>
    <w:p w:rsidR="00737972" w:rsidRPr="004C5BF6" w:rsidRDefault="00737972" w:rsidP="00737972">
      <w:pPr>
        <w:pStyle w:val="Ruller41"/>
      </w:pPr>
    </w:p>
    <w:p w:rsidR="00737972" w:rsidRPr="0053289D" w:rsidRDefault="00737972" w:rsidP="00737972">
      <w:pPr>
        <w:pStyle w:val="Ruller41"/>
        <w:rPr>
          <w:rFonts w:ascii="Century" w:hAnsi="Century" w:cs="Miriam"/>
          <w:b/>
          <w:spacing w:val="0"/>
          <w:szCs w:val="24"/>
          <w:rtl/>
        </w:rPr>
      </w:pPr>
      <w:r>
        <w:rPr>
          <w:rFonts w:ascii="Century" w:hAnsi="Century" w:cs="Miriam" w:hint="cs"/>
          <w:b/>
          <w:spacing w:val="0"/>
          <w:szCs w:val="24"/>
          <w:rtl/>
        </w:rPr>
        <w:t>סעיף 15</w:t>
      </w:r>
      <w:r w:rsidRPr="0053289D">
        <w:rPr>
          <w:rFonts w:ascii="Century" w:hAnsi="Century" w:cs="Miriam" w:hint="cs"/>
          <w:b/>
          <w:spacing w:val="0"/>
          <w:szCs w:val="24"/>
          <w:rtl/>
        </w:rPr>
        <w:t xml:space="preserve"> לחוק יסוד: השפיטה</w:t>
      </w:r>
    </w:p>
    <w:p w:rsidR="00737972" w:rsidRDefault="00737972" w:rsidP="00737972">
      <w:pPr>
        <w:pStyle w:val="Ruller4"/>
      </w:pPr>
      <w:r>
        <w:rPr>
          <w:rFonts w:hint="cs"/>
          <w:rtl/>
        </w:rPr>
        <w:t>אוסיף להשלמת התמונה כי לעניות דעתי לא ניתן למצוא מקור סמכות לביקורת שיפוטית על דברי חקיקה (</w:t>
      </w:r>
      <w:r w:rsidRPr="0022103B">
        <w:rPr>
          <w:rFonts w:hint="eastAsia"/>
          <w:rtl/>
        </w:rPr>
        <w:t>חקיקה</w:t>
      </w:r>
      <w:r w:rsidRPr="0022103B">
        <w:rPr>
          <w:rtl/>
        </w:rPr>
        <w:t xml:space="preserve"> </w:t>
      </w:r>
      <w:r w:rsidRPr="0022103B">
        <w:rPr>
          <w:rFonts w:hint="eastAsia"/>
          <w:rtl/>
        </w:rPr>
        <w:t>רגילה</w:t>
      </w:r>
      <w:r w:rsidRPr="0022103B">
        <w:rPr>
          <w:rtl/>
        </w:rPr>
        <w:t xml:space="preserve"> </w:t>
      </w:r>
      <w:r w:rsidRPr="0022103B">
        <w:rPr>
          <w:rFonts w:hint="eastAsia"/>
          <w:rtl/>
        </w:rPr>
        <w:t>ובוודאי</w:t>
      </w:r>
      <w:r w:rsidRPr="0022103B">
        <w:rPr>
          <w:rtl/>
        </w:rPr>
        <w:t xml:space="preserve"> </w:t>
      </w:r>
      <w:r w:rsidRPr="0022103B">
        <w:rPr>
          <w:rFonts w:hint="eastAsia"/>
          <w:rtl/>
        </w:rPr>
        <w:t>לא</w:t>
      </w:r>
      <w:r w:rsidRPr="0022103B">
        <w:rPr>
          <w:rtl/>
        </w:rPr>
        <w:t xml:space="preserve"> </w:t>
      </w:r>
      <w:r w:rsidRPr="0022103B">
        <w:rPr>
          <w:rFonts w:hint="eastAsia"/>
          <w:rtl/>
        </w:rPr>
        <w:t>חקיקת</w:t>
      </w:r>
      <w:r w:rsidRPr="0022103B">
        <w:rPr>
          <w:rtl/>
        </w:rPr>
        <w:t xml:space="preserve"> </w:t>
      </w:r>
      <w:r w:rsidRPr="0022103B">
        <w:rPr>
          <w:rFonts w:hint="eastAsia"/>
          <w:rtl/>
        </w:rPr>
        <w:t>יסוד</w:t>
      </w:r>
      <w:r>
        <w:rPr>
          <w:rFonts w:hint="cs"/>
          <w:rtl/>
        </w:rPr>
        <w:t xml:space="preserve">) בהוראות סעיף 15(ג) או 15(ד)(2) לחוק יסוד: השפיטה, עליהן ביקשו להישען חלק מחבריי. </w:t>
      </w:r>
    </w:p>
    <w:p w:rsidR="00737972" w:rsidRDefault="00737972" w:rsidP="00737972">
      <w:pPr>
        <w:pStyle w:val="Ruller4"/>
        <w:numPr>
          <w:ilvl w:val="0"/>
          <w:numId w:val="0"/>
        </w:numPr>
      </w:pPr>
    </w:p>
    <w:p w:rsidR="00737972" w:rsidRDefault="00737972" w:rsidP="00737972">
      <w:pPr>
        <w:pStyle w:val="Ruller4"/>
        <w:numPr>
          <w:ilvl w:val="0"/>
          <w:numId w:val="0"/>
        </w:numPr>
        <w:rPr>
          <w:rtl/>
        </w:rPr>
      </w:pPr>
      <w:r>
        <w:rPr>
          <w:rtl/>
        </w:rPr>
        <w:tab/>
      </w:r>
      <w:r>
        <w:rPr>
          <w:rFonts w:hint="cs"/>
          <w:rtl/>
        </w:rPr>
        <w:t>ראשית, משמעותן הטבעית של המילים "סעד למען הצדק" שבסעיף 15(ג) לחוק יסוד: השפיטה בו התמקדו חבריי, איננה כוללת את האפשרות לבטל חוק (</w:t>
      </w:r>
      <w:r w:rsidRPr="00401975">
        <w:rPr>
          <w:rFonts w:hint="cs"/>
          <w:rtl/>
        </w:rPr>
        <w:t>א</w:t>
      </w:r>
      <w:r w:rsidRPr="00955B54">
        <w:rPr>
          <w:rFonts w:hint="cs"/>
          <w:rtl/>
        </w:rPr>
        <w:t>מנון רייכמן "</w:t>
      </w:r>
      <w:r w:rsidRPr="00955B54">
        <w:rPr>
          <w:rFonts w:hint="eastAsia"/>
          <w:rtl/>
        </w:rPr>
        <w:t>גשרון</w:t>
      </w:r>
      <w:r w:rsidRPr="00955B54">
        <w:rPr>
          <w:rtl/>
        </w:rPr>
        <w:t xml:space="preserve"> </w:t>
      </w:r>
      <w:r w:rsidRPr="00955B54">
        <w:rPr>
          <w:rFonts w:hint="eastAsia"/>
          <w:rtl/>
        </w:rPr>
        <w:t>צר</w:t>
      </w:r>
      <w:r w:rsidRPr="00955B54">
        <w:rPr>
          <w:rtl/>
        </w:rPr>
        <w:t xml:space="preserve"> </w:t>
      </w:r>
      <w:r w:rsidRPr="00955B54">
        <w:rPr>
          <w:rFonts w:hint="eastAsia"/>
          <w:rtl/>
        </w:rPr>
        <w:t>מאוד</w:t>
      </w:r>
      <w:r w:rsidRPr="00955B54">
        <w:rPr>
          <w:rtl/>
        </w:rPr>
        <w:t xml:space="preserve">: </w:t>
      </w:r>
      <w:r w:rsidRPr="00955B54">
        <w:rPr>
          <w:rFonts w:hint="eastAsia"/>
          <w:rtl/>
        </w:rPr>
        <w:t>חוקה</w:t>
      </w:r>
      <w:r w:rsidRPr="00955B54">
        <w:rPr>
          <w:rtl/>
        </w:rPr>
        <w:t xml:space="preserve">, </w:t>
      </w:r>
      <w:r w:rsidRPr="00955B54">
        <w:rPr>
          <w:rFonts w:hint="eastAsia"/>
          <w:rtl/>
        </w:rPr>
        <w:t>צדק</w:t>
      </w:r>
      <w:r w:rsidRPr="00955B54">
        <w:rPr>
          <w:rtl/>
        </w:rPr>
        <w:t xml:space="preserve">, </w:t>
      </w:r>
      <w:r w:rsidRPr="00955B54">
        <w:rPr>
          <w:rFonts w:hint="eastAsia"/>
          <w:rtl/>
        </w:rPr>
        <w:t>יושר</w:t>
      </w:r>
      <w:r w:rsidRPr="00955B54">
        <w:rPr>
          <w:rtl/>
        </w:rPr>
        <w:t xml:space="preserve"> </w:t>
      </w:r>
      <w:r w:rsidRPr="00955B54">
        <w:rPr>
          <w:rFonts w:hint="eastAsia"/>
          <w:rtl/>
        </w:rPr>
        <w:t>וסעד</w:t>
      </w:r>
      <w:r w:rsidRPr="00955B54">
        <w:rPr>
          <w:rFonts w:hint="cs"/>
          <w:rtl/>
        </w:rPr>
        <w:t xml:space="preserve"> </w:t>
      </w:r>
      <w:r w:rsidRPr="00955B54">
        <w:rPr>
          <w:rFonts w:hint="eastAsia"/>
          <w:rtl/>
        </w:rPr>
        <w:t>בעקבות</w:t>
      </w:r>
      <w:r w:rsidRPr="00955B54">
        <w:rPr>
          <w:rtl/>
        </w:rPr>
        <w:t xml:space="preserve"> </w:t>
      </w:r>
      <w:r w:rsidRPr="00955B54">
        <w:rPr>
          <w:rFonts w:hint="eastAsia"/>
          <w:rtl/>
        </w:rPr>
        <w:t>פרשת</w:t>
      </w:r>
      <w:r w:rsidRPr="00955B54">
        <w:rPr>
          <w:rtl/>
        </w:rPr>
        <w:t xml:space="preserve"> </w:t>
      </w:r>
      <w:r>
        <w:rPr>
          <w:rFonts w:hint="cs"/>
          <w:rtl/>
        </w:rPr>
        <w:t>'</w:t>
      </w:r>
      <w:r w:rsidRPr="00955B54">
        <w:rPr>
          <w:rFonts w:hint="eastAsia"/>
          <w:rtl/>
        </w:rPr>
        <w:t>הפורום</w:t>
      </w:r>
      <w:r w:rsidRPr="00955B54">
        <w:rPr>
          <w:rtl/>
        </w:rPr>
        <w:t xml:space="preserve"> </w:t>
      </w:r>
      <w:r>
        <w:rPr>
          <w:rFonts w:hint="eastAsia"/>
          <w:rtl/>
        </w:rPr>
        <w:t>ל</w:t>
      </w:r>
      <w:r w:rsidRPr="00955B54">
        <w:rPr>
          <w:rFonts w:hint="eastAsia"/>
          <w:rtl/>
        </w:rPr>
        <w:t>דו־קיום</w:t>
      </w:r>
      <w:r w:rsidRPr="00955B54">
        <w:rPr>
          <w:rtl/>
        </w:rPr>
        <w:t xml:space="preserve"> </w:t>
      </w:r>
      <w:r>
        <w:rPr>
          <w:rFonts w:hint="eastAsia"/>
          <w:rtl/>
        </w:rPr>
        <w:t>בנגב</w:t>
      </w:r>
      <w:r>
        <w:rPr>
          <w:rFonts w:hint="cs"/>
          <w:rtl/>
        </w:rPr>
        <w:t>'"</w:t>
      </w:r>
      <w:r w:rsidRPr="00955B54">
        <w:rPr>
          <w:rFonts w:hint="cs"/>
          <w:rtl/>
        </w:rPr>
        <w:t xml:space="preserve"> </w:t>
      </w:r>
      <w:r w:rsidRPr="00955B54">
        <w:rPr>
          <w:rFonts w:ascii="Century" w:hAnsi="Century" w:cs="Miriam" w:hint="cs"/>
          <w:b/>
          <w:spacing w:val="0"/>
          <w:sz w:val="22"/>
          <w:szCs w:val="24"/>
          <w:rtl/>
        </w:rPr>
        <w:t>משפטים</w:t>
      </w:r>
      <w:r w:rsidRPr="00955B54">
        <w:rPr>
          <w:rFonts w:hint="cs"/>
          <w:rtl/>
        </w:rPr>
        <w:t xml:space="preserve"> לז </w:t>
      </w:r>
      <w:r>
        <w:rPr>
          <w:rFonts w:hint="cs"/>
          <w:rtl/>
        </w:rPr>
        <w:t>701,</w:t>
      </w:r>
      <w:r w:rsidRPr="00955B54">
        <w:rPr>
          <w:rFonts w:hint="cs"/>
          <w:rtl/>
        </w:rPr>
        <w:t xml:space="preserve"> 726 (</w:t>
      </w:r>
      <w:r>
        <w:rPr>
          <w:rFonts w:hint="cs"/>
          <w:rtl/>
        </w:rPr>
        <w:t>2007</w:t>
      </w:r>
      <w:r w:rsidRPr="00955B54">
        <w:rPr>
          <w:rFonts w:hint="cs"/>
          <w:rtl/>
        </w:rPr>
        <w:t>)</w:t>
      </w:r>
      <w:r>
        <w:rPr>
          <w:rFonts w:hint="cs"/>
          <w:rtl/>
        </w:rPr>
        <w:t xml:space="preserve"> (להלן: </w:t>
      </w:r>
      <w:r w:rsidRPr="00955B54">
        <w:rPr>
          <w:rFonts w:ascii="Century" w:hAnsi="Century" w:cs="Miriam" w:hint="cs"/>
          <w:b/>
          <w:spacing w:val="0"/>
          <w:sz w:val="22"/>
          <w:szCs w:val="24"/>
          <w:rtl/>
        </w:rPr>
        <w:t>רייכמן</w:t>
      </w:r>
      <w:r>
        <w:rPr>
          <w:rFonts w:hint="cs"/>
          <w:rtl/>
        </w:rPr>
        <w:t>)</w:t>
      </w:r>
      <w:r w:rsidRPr="00955B54">
        <w:rPr>
          <w:rFonts w:hint="cs"/>
          <w:rtl/>
        </w:rPr>
        <w:t xml:space="preserve">; וראו גם: אריאל בנדור "המעמד המשפטי של חוקי-יסוד" </w:t>
      </w:r>
      <w:r w:rsidRPr="00955B54">
        <w:rPr>
          <w:rFonts w:ascii="Century" w:hAnsi="Century" w:cs="Miriam" w:hint="cs"/>
          <w:b/>
          <w:spacing w:val="0"/>
          <w:sz w:val="22"/>
          <w:szCs w:val="24"/>
          <w:rtl/>
        </w:rPr>
        <w:t>ספר ברנזון</w:t>
      </w:r>
      <w:r w:rsidRPr="00955B54">
        <w:rPr>
          <w:rFonts w:hint="cs"/>
          <w:rtl/>
        </w:rPr>
        <w:t xml:space="preserve"> כרך ב 119, 168 (</w:t>
      </w:r>
      <w:r>
        <w:rPr>
          <w:rFonts w:hint="cs"/>
          <w:rtl/>
        </w:rPr>
        <w:t xml:space="preserve">2000) (להלן: </w:t>
      </w:r>
      <w:r w:rsidRPr="00955B54">
        <w:rPr>
          <w:rFonts w:ascii="Century" w:hAnsi="Century" w:cs="Miriam" w:hint="cs"/>
          <w:b/>
          <w:spacing w:val="0"/>
          <w:sz w:val="22"/>
          <w:szCs w:val="24"/>
          <w:rtl/>
        </w:rPr>
        <w:t>בנדור, המעמד המשפט של חוקי-יסוד</w:t>
      </w:r>
      <w:r>
        <w:rPr>
          <w:rFonts w:hint="cs"/>
          <w:rtl/>
        </w:rPr>
        <w:t>)). בנוסף</w:t>
      </w:r>
      <w:r w:rsidRPr="00C571A8">
        <w:rPr>
          <w:rFonts w:hint="cs"/>
          <w:rtl/>
        </w:rPr>
        <w:t>, ו</w:t>
      </w:r>
      <w:r>
        <w:rPr>
          <w:rFonts w:hint="cs"/>
          <w:rtl/>
        </w:rPr>
        <w:t xml:space="preserve">בהקשר הדברים לענייננו אף </w:t>
      </w:r>
      <w:r w:rsidRPr="00C571A8">
        <w:rPr>
          <w:rFonts w:hint="cs"/>
          <w:rtl/>
        </w:rPr>
        <w:t xml:space="preserve">זאת עיקר, אין כל אינדיקציה לכך שחוק יסוד: השפיטה הסמיך את בית המשפט </w:t>
      </w:r>
      <w:r>
        <w:rPr>
          <w:rFonts w:hint="cs"/>
          <w:rtl/>
        </w:rPr>
        <w:t xml:space="preserve">לבטל </w:t>
      </w:r>
      <w:r w:rsidRPr="004269B3">
        <w:rPr>
          <w:rFonts w:ascii="Century" w:hAnsi="Century" w:cs="Miriam" w:hint="cs"/>
          <w:b/>
          <w:spacing w:val="0"/>
          <w:sz w:val="22"/>
          <w:szCs w:val="24"/>
          <w:rtl/>
        </w:rPr>
        <w:t>חקיקה ראשית של הכנסת</w:t>
      </w:r>
      <w:r>
        <w:rPr>
          <w:rFonts w:ascii="Century" w:hAnsi="Century" w:hint="cs"/>
          <w:sz w:val="22"/>
          <w:rtl/>
        </w:rPr>
        <w:t>,</w:t>
      </w:r>
      <w:r>
        <w:rPr>
          <w:rFonts w:hint="cs"/>
          <w:rtl/>
        </w:rPr>
        <w:t xml:space="preserve"> </w:t>
      </w:r>
      <w:r w:rsidRPr="0022103B">
        <w:rPr>
          <w:rFonts w:hint="eastAsia"/>
          <w:rtl/>
        </w:rPr>
        <w:t>קל</w:t>
      </w:r>
      <w:r w:rsidRPr="0022103B">
        <w:rPr>
          <w:rtl/>
        </w:rPr>
        <w:t xml:space="preserve"> </w:t>
      </w:r>
      <w:r w:rsidRPr="0022103B">
        <w:rPr>
          <w:rFonts w:hint="eastAsia"/>
          <w:rtl/>
        </w:rPr>
        <w:t>וחומר</w:t>
      </w:r>
      <w:r w:rsidRPr="0022103B">
        <w:rPr>
          <w:rtl/>
        </w:rPr>
        <w:t xml:space="preserve"> </w:t>
      </w:r>
      <w:r w:rsidRPr="0022103B">
        <w:rPr>
          <w:rFonts w:hint="eastAsia"/>
          <w:rtl/>
        </w:rPr>
        <w:t>לא</w:t>
      </w:r>
      <w:r w:rsidRPr="0022103B">
        <w:rPr>
          <w:rtl/>
        </w:rPr>
        <w:t xml:space="preserve"> </w:t>
      </w:r>
      <w:r w:rsidRPr="0022103B">
        <w:rPr>
          <w:rFonts w:hint="eastAsia"/>
          <w:rtl/>
        </w:rPr>
        <w:t>חקיקת</w:t>
      </w:r>
      <w:r w:rsidRPr="0022103B">
        <w:rPr>
          <w:rtl/>
        </w:rPr>
        <w:t xml:space="preserve"> </w:t>
      </w:r>
      <w:r w:rsidRPr="0022103B">
        <w:rPr>
          <w:rFonts w:hint="eastAsia"/>
          <w:rtl/>
        </w:rPr>
        <w:t>יסוד</w:t>
      </w:r>
      <w:r>
        <w:rPr>
          <w:rFonts w:hint="cs"/>
          <w:rtl/>
        </w:rPr>
        <w:t xml:space="preserve">. בדברי ההסבר משנת 1978 הובהר באופן מפורש כי נושא סמכותו של בית המשפט לבצע ביקורת שיפוטית על חוקים ידון בחוק-יסוד נפרד (הצעת חוק יסוד: </w:t>
      </w:r>
      <w:r>
        <w:rPr>
          <w:rFonts w:hint="cs"/>
          <w:rtl/>
        </w:rPr>
        <w:lastRenderedPageBreak/>
        <w:t xml:space="preserve">בתי המשפט, ה"ח 1348; להלן: </w:t>
      </w:r>
      <w:r w:rsidRPr="00955B54">
        <w:rPr>
          <w:rFonts w:ascii="Century" w:hAnsi="Century" w:cs="Miriam" w:hint="cs"/>
          <w:b/>
          <w:spacing w:val="0"/>
          <w:sz w:val="22"/>
          <w:szCs w:val="24"/>
          <w:rtl/>
        </w:rPr>
        <w:t>דברי ההסבר</w:t>
      </w:r>
      <w:r>
        <w:rPr>
          <w:rFonts w:hint="cs"/>
          <w:rtl/>
        </w:rPr>
        <w:t>). וכך נאמר בדברי ההסבר בהתייחס בין היתר לסעיף קטן (ה) הקובע כי "</w:t>
      </w:r>
      <w:r w:rsidRPr="00BF0851">
        <w:rPr>
          <w:rFonts w:hint="eastAsia"/>
          <w:rtl/>
        </w:rPr>
        <w:t>סמכויות</w:t>
      </w:r>
      <w:r w:rsidRPr="00BF0851">
        <w:rPr>
          <w:rtl/>
        </w:rPr>
        <w:t xml:space="preserve"> </w:t>
      </w:r>
      <w:r w:rsidRPr="00BF0851">
        <w:rPr>
          <w:rFonts w:hint="eastAsia"/>
          <w:rtl/>
        </w:rPr>
        <w:t>אחרות</w:t>
      </w:r>
      <w:r w:rsidRPr="00BF0851">
        <w:rPr>
          <w:rtl/>
        </w:rPr>
        <w:t xml:space="preserve"> </w:t>
      </w:r>
      <w:r w:rsidRPr="00BF0851">
        <w:rPr>
          <w:rFonts w:hint="eastAsia"/>
          <w:rtl/>
        </w:rPr>
        <w:t>של</w:t>
      </w:r>
      <w:r w:rsidRPr="00BF0851">
        <w:rPr>
          <w:rtl/>
        </w:rPr>
        <w:t xml:space="preserve"> </w:t>
      </w:r>
      <w:r w:rsidRPr="00BF0851">
        <w:rPr>
          <w:rFonts w:hint="eastAsia"/>
          <w:rtl/>
        </w:rPr>
        <w:t>בית</w:t>
      </w:r>
      <w:r w:rsidRPr="00BF0851">
        <w:rPr>
          <w:rtl/>
        </w:rPr>
        <w:t xml:space="preserve"> </w:t>
      </w:r>
      <w:r w:rsidRPr="00BF0851">
        <w:rPr>
          <w:rFonts w:hint="eastAsia"/>
          <w:rtl/>
        </w:rPr>
        <w:t>המשפט</w:t>
      </w:r>
      <w:r w:rsidRPr="00BF0851">
        <w:rPr>
          <w:rtl/>
        </w:rPr>
        <w:t xml:space="preserve"> </w:t>
      </w:r>
      <w:r w:rsidRPr="00BF0851">
        <w:rPr>
          <w:rFonts w:hint="eastAsia"/>
          <w:rtl/>
        </w:rPr>
        <w:t>העליון</w:t>
      </w:r>
      <w:r w:rsidRPr="00BF0851">
        <w:rPr>
          <w:rtl/>
        </w:rPr>
        <w:t xml:space="preserve"> </w:t>
      </w:r>
      <w:r w:rsidRPr="00BF0851">
        <w:rPr>
          <w:rFonts w:hint="eastAsia"/>
          <w:rtl/>
        </w:rPr>
        <w:t>ייקבעו</w:t>
      </w:r>
      <w:r w:rsidRPr="00BF0851">
        <w:rPr>
          <w:rtl/>
        </w:rPr>
        <w:t xml:space="preserve"> </w:t>
      </w:r>
      <w:r w:rsidRPr="00BF0851">
        <w:rPr>
          <w:rFonts w:hint="eastAsia"/>
          <w:rtl/>
        </w:rPr>
        <w:t>בחוק</w:t>
      </w:r>
      <w:r>
        <w:rPr>
          <w:rFonts w:hint="cs"/>
          <w:rtl/>
        </w:rPr>
        <w:t>" (ובלשון הצעת החוק: "סמכויות אחרות של בית המשפט העליון ייקבעו בחוק-יסוד או בחוק"), בלשון בהירה, פשוטה וחד-משמעית:</w:t>
      </w:r>
    </w:p>
    <w:p w:rsidR="00737972" w:rsidRDefault="00737972" w:rsidP="00737972">
      <w:pPr>
        <w:pStyle w:val="Ruller4"/>
        <w:numPr>
          <w:ilvl w:val="0"/>
          <w:numId w:val="0"/>
        </w:numPr>
        <w:rPr>
          <w:rtl/>
        </w:rPr>
      </w:pPr>
    </w:p>
    <w:p w:rsidR="00737972" w:rsidRDefault="00737972" w:rsidP="00737972">
      <w:pPr>
        <w:pStyle w:val="Ruller5"/>
        <w:rPr>
          <w:rtl/>
        </w:rPr>
      </w:pPr>
      <w:r>
        <w:rPr>
          <w:rFonts w:hint="cs"/>
          <w:rtl/>
        </w:rPr>
        <w:t xml:space="preserve">"הסעיף מרמז על האפשרות להקנות סמכויות לבית המשפט העליון בתפקידו כבית משפט לחוקה. חוק היסוד הנוכחי עדיין אינו מקנה סמכות כזאת, אולם משתוקנה </w:t>
      </w:r>
      <w:r>
        <w:rPr>
          <w:rtl/>
        </w:rPr>
        <w:t>–</w:t>
      </w:r>
      <w:r>
        <w:rPr>
          <w:rFonts w:hint="cs"/>
          <w:rtl/>
        </w:rPr>
        <w:t xml:space="preserve"> תהיה הקביעה בחוק יסוד" (</w:t>
      </w:r>
      <w:r w:rsidRPr="00955B54">
        <w:rPr>
          <w:rFonts w:ascii="Century" w:hAnsi="Century" w:cs="Miriam" w:hint="cs"/>
          <w:b/>
          <w:spacing w:val="0"/>
          <w:szCs w:val="24"/>
          <w:rtl/>
        </w:rPr>
        <w:t>דברי ההסבר</w:t>
      </w:r>
      <w:r>
        <w:rPr>
          <w:rFonts w:hint="cs"/>
          <w:rtl/>
        </w:rPr>
        <w:t>, עמ' 245).</w:t>
      </w:r>
    </w:p>
    <w:p w:rsidR="00737972" w:rsidRDefault="00737972" w:rsidP="00737972">
      <w:pPr>
        <w:pStyle w:val="Ruller4"/>
        <w:numPr>
          <w:ilvl w:val="0"/>
          <w:numId w:val="0"/>
        </w:numPr>
        <w:rPr>
          <w:rtl/>
        </w:rPr>
      </w:pPr>
    </w:p>
    <w:p w:rsidR="00737972" w:rsidRDefault="00737972" w:rsidP="00737972">
      <w:pPr>
        <w:pStyle w:val="Ruller4"/>
        <w:numPr>
          <w:ilvl w:val="0"/>
          <w:numId w:val="0"/>
        </w:numPr>
      </w:pPr>
      <w:r>
        <w:rPr>
          <w:rtl/>
        </w:rPr>
        <w:tab/>
      </w:r>
      <w:r>
        <w:rPr>
          <w:rFonts w:hint="cs"/>
          <w:rtl/>
        </w:rPr>
        <w:t>הנה כי כן, המכונן הבהיר בעת חקיקת חוק יסוד: השפיטה ברחל בתך הקטנה, כי "</w:t>
      </w:r>
      <w:r w:rsidRPr="00401975">
        <w:rPr>
          <w:rFonts w:ascii="Century" w:hAnsi="Century" w:cs="Miriam" w:hint="cs"/>
          <w:b/>
          <w:spacing w:val="0"/>
          <w:szCs w:val="24"/>
          <w:rtl/>
        </w:rPr>
        <w:t>חוק היסוד הנוכחי עדיין אינו מקנה סמכות זו</w:t>
      </w:r>
      <w:r>
        <w:rPr>
          <w:rFonts w:hint="cs"/>
          <w:rtl/>
        </w:rPr>
        <w:t xml:space="preserve">". גם מהדיון שהתקיים בהצעת החוק עולה כי הסמכויות המנויות בסעיף 15 לחוק יסוד: השפיטה (סעיף 19 להצעת החוק) לא נועדו לשמש כבסיס לביטול דבר חקיקה. כך, בדיונים שהתקיימו בוועדת המשנה לחוקי-יסוד של ועדת החוקה, חוק ומשפט של הכנסת ה-10 צוין כי סעיף קטן (ה) בא לרמז על האפשרות לקבוע הוראות באשר לסמכותו של בית המשפט העליון בחוק יסוד נפרד, "חוק יסוד: החקיקה" (פרוטוקול ישיבה 14 של ועדת המשנה לחוקי-יסוד של ועדת החוקה, חוק ומשפט, הכנסת ה-10 (16.11.1982)). האזכור בחוק יסוד: השפיטה נועד להתמודד עם האפשרות כי תעלה בעתיד טענה שלא ניתן להקנות סמכויות נוספות לבית המשפט העליון בחוק יסוד נפרד מבלי שבא זכרה של הסמכות הנוספת בחוק יסוד: השפיטה (שם, עמ' 3 לפרוטוקול). הנחת היסוד ונקודת המוצא של המחוקק-המכונן, הייתה אפוא כי </w:t>
      </w:r>
      <w:r w:rsidRPr="00955B54">
        <w:rPr>
          <w:rFonts w:ascii="Century" w:hAnsi="Century" w:cs="Miriam" w:hint="cs"/>
          <w:b/>
          <w:spacing w:val="0"/>
          <w:sz w:val="22"/>
          <w:szCs w:val="24"/>
          <w:rtl/>
        </w:rPr>
        <w:t>אין די</w:t>
      </w:r>
      <w:r w:rsidRPr="00955B54">
        <w:rPr>
          <w:rFonts w:hint="cs"/>
          <w:rtl/>
        </w:rPr>
        <w:t xml:space="preserve"> </w:t>
      </w:r>
      <w:r>
        <w:rPr>
          <w:rFonts w:hint="cs"/>
          <w:rtl/>
        </w:rPr>
        <w:t>בהוראת סעיף 15 לחוק יסוד: השפיטה כדי לבסס סמכות זו. במאמר מוסגר יצוין אם אכן היה ניתן לצקת לסעיף 15 לחוק יסוד: השפיטה משמעות המקנה סמכות לביטול דברי חקיקה (או אף חקיקת יסוד כטענת חלק מחבריי), הרי ששנת 1984, שנת פרסום חוק יסוד: השפיטה הייתה השנה שבה היה מתחולל "המהפך" שהיה מאפשר לבית המשפט לעשות זאת. לא כך היה הדבר, כידוע.</w:t>
      </w:r>
    </w:p>
    <w:p w:rsidR="00737972" w:rsidRPr="00CD6B95" w:rsidRDefault="00737972" w:rsidP="00737972">
      <w:pPr>
        <w:pStyle w:val="Ruller4"/>
        <w:numPr>
          <w:ilvl w:val="0"/>
          <w:numId w:val="0"/>
        </w:numPr>
        <w:rPr>
          <w:rtl/>
        </w:rPr>
      </w:pPr>
    </w:p>
    <w:p w:rsidR="00737972" w:rsidRDefault="00737972" w:rsidP="00737972">
      <w:pPr>
        <w:pStyle w:val="Ruller4"/>
        <w:rPr>
          <w:rtl/>
        </w:rPr>
      </w:pPr>
      <w:r>
        <w:rPr>
          <w:rFonts w:hint="cs"/>
          <w:rtl/>
        </w:rPr>
        <w:t xml:space="preserve">מנקודת מוצא זו, גם פשוט ובהיר מדוע גם </w:t>
      </w:r>
      <w:r w:rsidRPr="00401975">
        <w:rPr>
          <w:rFonts w:hint="cs"/>
          <w:rtl/>
        </w:rPr>
        <w:t xml:space="preserve">בעניין </w:t>
      </w:r>
      <w:r w:rsidRPr="00401975">
        <w:rPr>
          <w:rFonts w:cs="Miriam" w:hint="cs"/>
          <w:b/>
          <w:spacing w:val="0"/>
          <w:sz w:val="22"/>
          <w:szCs w:val="24"/>
          <w:rtl/>
        </w:rPr>
        <w:t>בנק המזרחי</w:t>
      </w:r>
      <w:r>
        <w:rPr>
          <w:rFonts w:hint="cs"/>
          <w:rtl/>
        </w:rPr>
        <w:t xml:space="preserve"> לא הסתמך בית משפט זה על הוראת סעיף 15 לחוק יסוד</w:t>
      </w:r>
      <w:r w:rsidRPr="00401975">
        <w:rPr>
          <w:rFonts w:hint="cs"/>
          <w:rtl/>
        </w:rPr>
        <w:t xml:space="preserve">: השפיטה </w:t>
      </w:r>
      <w:r>
        <w:rPr>
          <w:rFonts w:hint="cs"/>
          <w:rtl/>
        </w:rPr>
        <w:t>כמקור</w:t>
      </w:r>
      <w:r w:rsidRPr="00401975">
        <w:rPr>
          <w:rFonts w:hint="cs"/>
          <w:rtl/>
        </w:rPr>
        <w:t xml:space="preserve"> סמכות לקיום </w:t>
      </w:r>
      <w:r w:rsidRPr="00401975">
        <w:rPr>
          <w:rFonts w:hint="eastAsia"/>
          <w:rtl/>
        </w:rPr>
        <w:t>ביקורת</w:t>
      </w:r>
      <w:r w:rsidRPr="00401975">
        <w:rPr>
          <w:rtl/>
        </w:rPr>
        <w:t xml:space="preserve"> </w:t>
      </w:r>
      <w:r w:rsidRPr="00401975">
        <w:rPr>
          <w:rFonts w:hint="eastAsia"/>
          <w:rtl/>
        </w:rPr>
        <w:t>שיפוטית</w:t>
      </w:r>
      <w:r w:rsidRPr="00401975">
        <w:rPr>
          <w:rtl/>
        </w:rPr>
        <w:t xml:space="preserve"> </w:t>
      </w:r>
      <w:r w:rsidRPr="00401975">
        <w:rPr>
          <w:rFonts w:hint="eastAsia"/>
          <w:rtl/>
        </w:rPr>
        <w:t>על</w:t>
      </w:r>
      <w:r w:rsidRPr="00401975">
        <w:rPr>
          <w:rtl/>
        </w:rPr>
        <w:t xml:space="preserve"> </w:t>
      </w:r>
      <w:r w:rsidRPr="00401975">
        <w:rPr>
          <w:rFonts w:hint="eastAsia"/>
          <w:rtl/>
        </w:rPr>
        <w:t>חקיקה</w:t>
      </w:r>
      <w:r w:rsidRPr="00401975">
        <w:rPr>
          <w:rtl/>
        </w:rPr>
        <w:t xml:space="preserve"> </w:t>
      </w:r>
      <w:r w:rsidRPr="00401975">
        <w:rPr>
          <w:rFonts w:hint="eastAsia"/>
          <w:rtl/>
        </w:rPr>
        <w:t>ראשית</w:t>
      </w:r>
      <w:r w:rsidRPr="00401975">
        <w:rPr>
          <w:rFonts w:hint="cs"/>
          <w:rtl/>
        </w:rPr>
        <w:t xml:space="preserve"> (אף כי היה זה </w:t>
      </w:r>
      <w:r>
        <w:rPr>
          <w:rFonts w:hint="cs"/>
          <w:rtl/>
        </w:rPr>
        <w:t xml:space="preserve">מדובר לכאורה ב"פיתרון" </w:t>
      </w:r>
      <w:r w:rsidRPr="00401975">
        <w:rPr>
          <w:rFonts w:hint="cs"/>
          <w:rtl/>
        </w:rPr>
        <w:t xml:space="preserve">קל </w:t>
      </w:r>
      <w:r>
        <w:rPr>
          <w:rFonts w:hint="cs"/>
          <w:rtl/>
        </w:rPr>
        <w:t>ופשוט ליישום</w:t>
      </w:r>
      <w:r w:rsidRPr="00401975">
        <w:rPr>
          <w:rFonts w:hint="cs"/>
          <w:rtl/>
        </w:rPr>
        <w:t xml:space="preserve">), </w:t>
      </w:r>
      <w:r>
        <w:rPr>
          <w:rFonts w:hint="cs"/>
          <w:rtl/>
        </w:rPr>
        <w:t xml:space="preserve">אלא </w:t>
      </w:r>
      <w:r w:rsidRPr="00401975">
        <w:rPr>
          <w:rFonts w:hint="cs"/>
          <w:rtl/>
        </w:rPr>
        <w:t xml:space="preserve">נדרש לפתח תיאוריה המתבססת על עליונותם </w:t>
      </w:r>
      <w:r w:rsidRPr="00401975">
        <w:rPr>
          <w:rFonts w:hint="eastAsia"/>
          <w:rtl/>
        </w:rPr>
        <w:t>הנורמטיבית</w:t>
      </w:r>
      <w:r w:rsidRPr="00401975">
        <w:rPr>
          <w:rtl/>
        </w:rPr>
        <w:t xml:space="preserve"> </w:t>
      </w:r>
      <w:r w:rsidRPr="00401975">
        <w:rPr>
          <w:rFonts w:hint="eastAsia"/>
          <w:rtl/>
        </w:rPr>
        <w:t>של</w:t>
      </w:r>
      <w:r w:rsidRPr="00401975">
        <w:rPr>
          <w:rtl/>
        </w:rPr>
        <w:t xml:space="preserve"> </w:t>
      </w:r>
      <w:r w:rsidRPr="00401975">
        <w:rPr>
          <w:rFonts w:hint="eastAsia"/>
          <w:rtl/>
        </w:rPr>
        <w:t>חוקי</w:t>
      </w:r>
      <w:r w:rsidRPr="00401975">
        <w:rPr>
          <w:rtl/>
        </w:rPr>
        <w:t xml:space="preserve"> </w:t>
      </w:r>
      <w:r w:rsidRPr="00401975">
        <w:rPr>
          <w:rFonts w:hint="eastAsia"/>
          <w:rtl/>
        </w:rPr>
        <w:t>היסוד</w:t>
      </w:r>
      <w:r w:rsidRPr="00401975">
        <w:rPr>
          <w:rFonts w:hint="cs"/>
          <w:rtl/>
        </w:rPr>
        <w:t xml:space="preserve"> (וראו למשל: </w:t>
      </w:r>
      <w:r w:rsidRPr="00AD572A">
        <w:rPr>
          <w:rFonts w:hint="cs"/>
          <w:rtl/>
        </w:rPr>
        <w:t xml:space="preserve">אהרן ברק "המהפכה החוקתית: זכויות יסוד מוגנות" </w:t>
      </w:r>
      <w:r w:rsidRPr="00FC1DA7">
        <w:rPr>
          <w:rFonts w:ascii="Century" w:hAnsi="Century" w:cs="Miriam" w:hint="eastAsia"/>
          <w:b/>
          <w:spacing w:val="0"/>
          <w:sz w:val="22"/>
          <w:szCs w:val="24"/>
          <w:rtl/>
        </w:rPr>
        <w:t>משפט</w:t>
      </w:r>
      <w:r w:rsidRPr="00262061">
        <w:rPr>
          <w:rtl/>
        </w:rPr>
        <w:t xml:space="preserve"> </w:t>
      </w:r>
      <w:r w:rsidRPr="00401975">
        <w:rPr>
          <w:rFonts w:cs="Miriam" w:hint="cs"/>
          <w:b/>
          <w:spacing w:val="0"/>
          <w:szCs w:val="24"/>
          <w:rtl/>
        </w:rPr>
        <w:t>ממשל</w:t>
      </w:r>
      <w:r w:rsidRPr="00AD572A">
        <w:rPr>
          <w:rFonts w:hint="cs"/>
          <w:rtl/>
        </w:rPr>
        <w:t xml:space="preserve"> א 9, 12-10 (</w:t>
      </w:r>
      <w:r>
        <w:rPr>
          <w:rFonts w:hint="cs"/>
          <w:rtl/>
        </w:rPr>
        <w:t>1993</w:t>
      </w:r>
      <w:r w:rsidRPr="00AD572A">
        <w:rPr>
          <w:rFonts w:hint="cs"/>
          <w:rtl/>
        </w:rPr>
        <w:t>)</w:t>
      </w:r>
      <w:r>
        <w:rPr>
          <w:rFonts w:hint="cs"/>
          <w:rtl/>
        </w:rPr>
        <w:t xml:space="preserve"> (להלן: </w:t>
      </w:r>
      <w:r w:rsidRPr="00620A54">
        <w:rPr>
          <w:rFonts w:ascii="Century" w:hAnsi="Century" w:cs="Miriam" w:hint="cs"/>
          <w:b/>
          <w:spacing w:val="0"/>
          <w:sz w:val="22"/>
          <w:szCs w:val="24"/>
          <w:rtl/>
        </w:rPr>
        <w:t>ברק, זכויות יסוד מוגנות</w:t>
      </w:r>
      <w:r w:rsidRPr="003E0B02">
        <w:rPr>
          <w:rFonts w:ascii="Century" w:hAnsi="Century"/>
          <w:sz w:val="22"/>
          <w:rtl/>
        </w:rPr>
        <w:t>)</w:t>
      </w:r>
      <w:r w:rsidRPr="00401975">
        <w:rPr>
          <w:rFonts w:hint="cs"/>
          <w:rtl/>
        </w:rPr>
        <w:t xml:space="preserve">). התפיסה שהשתרשה עד לאותה עת הייתה כי למחוקק נתונה סמכות </w:t>
      </w:r>
      <w:r>
        <w:rPr>
          <w:rFonts w:hint="cs"/>
          <w:rtl/>
        </w:rPr>
        <w:t>מוחלטת שאין לבית המשפט דריסת רגל בה, בכל הקשור לתוכנו של הסדר חקיקתי (</w:t>
      </w:r>
      <w:r w:rsidRPr="0093746B">
        <w:rPr>
          <w:rFonts w:hint="eastAsia"/>
          <w:rtl/>
        </w:rPr>
        <w:t>בג</w:t>
      </w:r>
      <w:r w:rsidRPr="0093746B">
        <w:rPr>
          <w:rtl/>
        </w:rPr>
        <w:t>"</w:t>
      </w:r>
      <w:r w:rsidRPr="0093746B">
        <w:rPr>
          <w:rFonts w:hint="eastAsia"/>
          <w:rtl/>
        </w:rPr>
        <w:t>ץ</w:t>
      </w:r>
      <w:r w:rsidRPr="0093746B">
        <w:rPr>
          <w:rtl/>
        </w:rPr>
        <w:t xml:space="preserve"> 172/89 </w:t>
      </w:r>
      <w:r w:rsidRPr="0093746B">
        <w:rPr>
          <w:rFonts w:ascii="Century" w:hAnsi="Century" w:cs="Miriam" w:hint="eastAsia"/>
          <w:b/>
          <w:spacing w:val="0"/>
          <w:sz w:val="22"/>
          <w:szCs w:val="24"/>
          <w:rtl/>
        </w:rPr>
        <w:t>תנועת</w:t>
      </w:r>
      <w:r w:rsidRPr="0093746B">
        <w:rPr>
          <w:rFonts w:ascii="Century" w:hAnsi="Century" w:cs="Miriam"/>
          <w:b/>
          <w:spacing w:val="0"/>
          <w:sz w:val="22"/>
          <w:szCs w:val="24"/>
          <w:rtl/>
        </w:rPr>
        <w:t xml:space="preserve"> </w:t>
      </w:r>
      <w:r w:rsidRPr="0093746B">
        <w:rPr>
          <w:rFonts w:ascii="Century" w:hAnsi="Century" w:cs="Miriam" w:hint="eastAsia"/>
          <w:b/>
          <w:spacing w:val="0"/>
          <w:sz w:val="22"/>
          <w:szCs w:val="24"/>
          <w:rtl/>
        </w:rPr>
        <w:t>לאו</w:t>
      </w:r>
      <w:r w:rsidRPr="0093746B">
        <w:rPr>
          <w:rFonts w:ascii="Century" w:hAnsi="Century" w:cs="Miriam"/>
          <w:b/>
          <w:spacing w:val="0"/>
          <w:sz w:val="22"/>
          <w:szCs w:val="24"/>
          <w:rtl/>
        </w:rPr>
        <w:t>"</w:t>
      </w:r>
      <w:r w:rsidRPr="0093746B">
        <w:rPr>
          <w:rFonts w:ascii="Century" w:hAnsi="Century" w:cs="Miriam" w:hint="eastAsia"/>
          <w:b/>
          <w:spacing w:val="0"/>
          <w:sz w:val="22"/>
          <w:szCs w:val="24"/>
          <w:rtl/>
        </w:rPr>
        <w:t>ר</w:t>
      </w:r>
      <w:r w:rsidRPr="0093746B">
        <w:rPr>
          <w:rFonts w:ascii="Century" w:hAnsi="Century" w:cs="Miriam"/>
          <w:b/>
          <w:spacing w:val="0"/>
          <w:sz w:val="22"/>
          <w:szCs w:val="24"/>
          <w:rtl/>
        </w:rPr>
        <w:t xml:space="preserve"> – </w:t>
      </w:r>
      <w:r w:rsidRPr="0093746B">
        <w:rPr>
          <w:rFonts w:ascii="Century" w:hAnsi="Century" w:cs="Miriam" w:hint="eastAsia"/>
          <w:b/>
          <w:spacing w:val="0"/>
          <w:sz w:val="22"/>
          <w:szCs w:val="24"/>
          <w:rtl/>
        </w:rPr>
        <w:t>לב</w:t>
      </w:r>
      <w:r w:rsidRPr="0093746B">
        <w:rPr>
          <w:rFonts w:ascii="Century" w:hAnsi="Century" w:cs="Miriam"/>
          <w:b/>
          <w:spacing w:val="0"/>
          <w:sz w:val="22"/>
          <w:szCs w:val="24"/>
          <w:rtl/>
        </w:rPr>
        <w:t xml:space="preserve"> </w:t>
      </w:r>
      <w:r w:rsidRPr="0093746B">
        <w:rPr>
          <w:rFonts w:ascii="Century" w:hAnsi="Century" w:cs="Miriam" w:hint="eastAsia"/>
          <w:b/>
          <w:spacing w:val="0"/>
          <w:sz w:val="22"/>
          <w:szCs w:val="24"/>
          <w:rtl/>
        </w:rPr>
        <w:t>אחד</w:t>
      </w:r>
      <w:r w:rsidRPr="0093746B">
        <w:rPr>
          <w:rFonts w:ascii="Century" w:hAnsi="Century" w:cs="Miriam"/>
          <w:b/>
          <w:spacing w:val="0"/>
          <w:sz w:val="22"/>
          <w:szCs w:val="24"/>
          <w:rtl/>
        </w:rPr>
        <w:t xml:space="preserve"> </w:t>
      </w:r>
      <w:r w:rsidRPr="0093746B">
        <w:rPr>
          <w:rFonts w:ascii="Century" w:hAnsi="Century" w:cs="Miriam" w:hint="eastAsia"/>
          <w:b/>
          <w:spacing w:val="0"/>
          <w:sz w:val="22"/>
          <w:szCs w:val="24"/>
          <w:rtl/>
        </w:rPr>
        <w:t>ורוח</w:t>
      </w:r>
      <w:r w:rsidRPr="0093746B">
        <w:rPr>
          <w:rFonts w:ascii="Century" w:hAnsi="Century" w:cs="Miriam"/>
          <w:b/>
          <w:spacing w:val="0"/>
          <w:sz w:val="22"/>
          <w:szCs w:val="24"/>
          <w:rtl/>
        </w:rPr>
        <w:t xml:space="preserve"> </w:t>
      </w:r>
      <w:r w:rsidRPr="0093746B">
        <w:rPr>
          <w:rFonts w:ascii="Century" w:hAnsi="Century" w:cs="Miriam" w:hint="eastAsia"/>
          <w:b/>
          <w:spacing w:val="0"/>
          <w:sz w:val="22"/>
          <w:szCs w:val="24"/>
          <w:rtl/>
        </w:rPr>
        <w:t>חדשה</w:t>
      </w:r>
      <w:r w:rsidRPr="0093746B">
        <w:rPr>
          <w:rFonts w:ascii="Century" w:hAnsi="Century" w:cs="Miriam"/>
          <w:b/>
          <w:spacing w:val="0"/>
          <w:sz w:val="22"/>
          <w:szCs w:val="24"/>
          <w:rtl/>
        </w:rPr>
        <w:t xml:space="preserve"> </w:t>
      </w:r>
      <w:r w:rsidRPr="0093746B">
        <w:rPr>
          <w:rFonts w:ascii="Century" w:hAnsi="Century" w:cs="Miriam" w:hint="eastAsia"/>
          <w:b/>
          <w:spacing w:val="0"/>
          <w:sz w:val="22"/>
          <w:szCs w:val="24"/>
          <w:rtl/>
        </w:rPr>
        <w:t>נ</w:t>
      </w:r>
      <w:r w:rsidRPr="0093746B">
        <w:rPr>
          <w:rFonts w:ascii="Century" w:hAnsi="Century" w:cs="Miriam"/>
          <w:b/>
          <w:spacing w:val="0"/>
          <w:sz w:val="22"/>
          <w:szCs w:val="24"/>
          <w:rtl/>
        </w:rPr>
        <w:t xml:space="preserve">' </w:t>
      </w:r>
      <w:r w:rsidRPr="0093746B">
        <w:rPr>
          <w:rFonts w:ascii="Century" w:hAnsi="Century" w:cs="Miriam" w:hint="eastAsia"/>
          <w:b/>
          <w:spacing w:val="0"/>
          <w:sz w:val="22"/>
          <w:szCs w:val="24"/>
          <w:rtl/>
        </w:rPr>
        <w:t>יושב</w:t>
      </w:r>
      <w:r w:rsidRPr="0093746B">
        <w:rPr>
          <w:rFonts w:ascii="Century" w:hAnsi="Century" w:cs="Miriam"/>
          <w:b/>
          <w:spacing w:val="0"/>
          <w:sz w:val="22"/>
          <w:szCs w:val="24"/>
          <w:rtl/>
        </w:rPr>
        <w:t>-</w:t>
      </w:r>
      <w:r w:rsidRPr="0093746B">
        <w:rPr>
          <w:rFonts w:ascii="Century" w:hAnsi="Century" w:cs="Miriam" w:hint="eastAsia"/>
          <w:b/>
          <w:spacing w:val="0"/>
          <w:sz w:val="22"/>
          <w:szCs w:val="24"/>
          <w:rtl/>
        </w:rPr>
        <w:t>ראש</w:t>
      </w:r>
      <w:r w:rsidRPr="0093746B">
        <w:rPr>
          <w:rFonts w:ascii="Century" w:hAnsi="Century" w:cs="Miriam"/>
          <w:b/>
          <w:spacing w:val="0"/>
          <w:sz w:val="22"/>
          <w:szCs w:val="24"/>
          <w:rtl/>
        </w:rPr>
        <w:t xml:space="preserve"> </w:t>
      </w:r>
      <w:r w:rsidRPr="0093746B">
        <w:rPr>
          <w:rFonts w:ascii="Century" w:hAnsi="Century" w:cs="Miriam" w:hint="eastAsia"/>
          <w:b/>
          <w:spacing w:val="0"/>
          <w:sz w:val="22"/>
          <w:szCs w:val="24"/>
          <w:rtl/>
        </w:rPr>
        <w:lastRenderedPageBreak/>
        <w:t>הכנסת</w:t>
      </w:r>
      <w:r w:rsidRPr="0093746B">
        <w:rPr>
          <w:rtl/>
        </w:rPr>
        <w:t xml:space="preserve">, </w:t>
      </w:r>
      <w:r w:rsidRPr="0093746B">
        <w:rPr>
          <w:rFonts w:hint="eastAsia"/>
          <w:rtl/>
        </w:rPr>
        <w:t>פ</w:t>
      </w:r>
      <w:r w:rsidRPr="0093746B">
        <w:rPr>
          <w:rtl/>
        </w:rPr>
        <w:t>"</w:t>
      </w:r>
      <w:r w:rsidRPr="0093746B">
        <w:rPr>
          <w:rFonts w:hint="eastAsia"/>
          <w:rtl/>
        </w:rPr>
        <w:t>ד</w:t>
      </w:r>
      <w:r>
        <w:rPr>
          <w:rtl/>
        </w:rPr>
        <w:t xml:space="preserve"> </w:t>
      </w:r>
      <w:r w:rsidRPr="0093746B">
        <w:rPr>
          <w:rFonts w:hint="eastAsia"/>
          <w:rtl/>
        </w:rPr>
        <w:t>מד</w:t>
      </w:r>
      <w:r>
        <w:rPr>
          <w:rtl/>
        </w:rPr>
        <w:t>(3)</w:t>
      </w:r>
      <w:r>
        <w:rPr>
          <w:rFonts w:hint="cs"/>
          <w:rtl/>
        </w:rPr>
        <w:t xml:space="preserve"> </w:t>
      </w:r>
      <w:r w:rsidRPr="0093746B">
        <w:rPr>
          <w:rtl/>
        </w:rPr>
        <w:t>529</w:t>
      </w:r>
      <w:r>
        <w:rPr>
          <w:rFonts w:hint="cs"/>
          <w:rtl/>
        </w:rPr>
        <w:t>, 555</w:t>
      </w:r>
      <w:r w:rsidRPr="0093746B">
        <w:rPr>
          <w:rtl/>
        </w:rPr>
        <w:t xml:space="preserve"> (1990)</w:t>
      </w:r>
      <w:r>
        <w:rPr>
          <w:rFonts w:hint="cs"/>
          <w:rtl/>
        </w:rPr>
        <w:t xml:space="preserve"> (להלן: עניין </w:t>
      </w:r>
      <w:r w:rsidRPr="003A75B0">
        <w:rPr>
          <w:rFonts w:ascii="Century" w:hAnsi="Century" w:cs="Miriam" w:hint="cs"/>
          <w:b/>
          <w:spacing w:val="0"/>
          <w:sz w:val="22"/>
          <w:szCs w:val="24"/>
          <w:rtl/>
        </w:rPr>
        <w:t>לאו"ר</w:t>
      </w:r>
      <w:r>
        <w:rPr>
          <w:rFonts w:hint="cs"/>
          <w:rtl/>
        </w:rPr>
        <w:t xml:space="preserve">); ע"א 450/70 </w:t>
      </w:r>
      <w:r w:rsidRPr="00401975">
        <w:rPr>
          <w:rFonts w:cs="Miriam" w:hint="cs"/>
          <w:b/>
          <w:spacing w:val="0"/>
          <w:szCs w:val="24"/>
          <w:rtl/>
        </w:rPr>
        <w:t xml:space="preserve">רוגוזינסקי </w:t>
      </w:r>
      <w:r w:rsidRPr="00401975">
        <w:rPr>
          <w:rFonts w:cs="Miriam" w:hint="eastAsia"/>
          <w:b/>
          <w:spacing w:val="0"/>
          <w:szCs w:val="24"/>
          <w:rtl/>
        </w:rPr>
        <w:t>נ</w:t>
      </w:r>
      <w:r w:rsidRPr="00401975">
        <w:rPr>
          <w:rFonts w:cs="Miriam"/>
          <w:b/>
          <w:spacing w:val="0"/>
          <w:szCs w:val="24"/>
          <w:rtl/>
        </w:rPr>
        <w:t xml:space="preserve">' </w:t>
      </w:r>
      <w:r w:rsidRPr="00401975">
        <w:rPr>
          <w:rFonts w:cs="Miriam" w:hint="eastAsia"/>
          <w:b/>
          <w:spacing w:val="0"/>
          <w:szCs w:val="24"/>
          <w:rtl/>
        </w:rPr>
        <w:t>מדינת</w:t>
      </w:r>
      <w:r w:rsidRPr="00401975">
        <w:rPr>
          <w:rFonts w:cs="Miriam"/>
          <w:b/>
          <w:spacing w:val="0"/>
          <w:szCs w:val="24"/>
          <w:rtl/>
        </w:rPr>
        <w:t xml:space="preserve"> </w:t>
      </w:r>
      <w:r w:rsidRPr="00401975">
        <w:rPr>
          <w:rFonts w:cs="Miriam" w:hint="eastAsia"/>
          <w:b/>
          <w:spacing w:val="0"/>
          <w:szCs w:val="24"/>
          <w:rtl/>
        </w:rPr>
        <w:t>ישראל</w:t>
      </w:r>
      <w:r w:rsidRPr="0026266B">
        <w:rPr>
          <w:rtl/>
        </w:rPr>
        <w:t xml:space="preserve">, </w:t>
      </w:r>
      <w:r w:rsidRPr="0026266B">
        <w:rPr>
          <w:rFonts w:hint="eastAsia"/>
          <w:rtl/>
        </w:rPr>
        <w:t>פ</w:t>
      </w:r>
      <w:r w:rsidRPr="0026266B">
        <w:rPr>
          <w:rtl/>
        </w:rPr>
        <w:t>"</w:t>
      </w:r>
      <w:r w:rsidRPr="0026266B">
        <w:rPr>
          <w:rFonts w:hint="eastAsia"/>
          <w:rtl/>
        </w:rPr>
        <w:t>ד</w:t>
      </w:r>
      <w:r w:rsidRPr="0026266B">
        <w:rPr>
          <w:rtl/>
        </w:rPr>
        <w:t xml:space="preserve"> </w:t>
      </w:r>
      <w:r w:rsidRPr="0026266B">
        <w:rPr>
          <w:rFonts w:hint="eastAsia"/>
          <w:rtl/>
        </w:rPr>
        <w:t>כו</w:t>
      </w:r>
      <w:r w:rsidRPr="0026266B">
        <w:rPr>
          <w:rtl/>
        </w:rPr>
        <w:t>(1) 129</w:t>
      </w:r>
      <w:r w:rsidRPr="0026266B">
        <w:rPr>
          <w:rFonts w:hint="cs"/>
          <w:rtl/>
        </w:rPr>
        <w:t xml:space="preserve"> </w:t>
      </w:r>
      <w:r>
        <w:rPr>
          <w:rFonts w:hint="cs"/>
          <w:rtl/>
        </w:rPr>
        <w:t xml:space="preserve">(1972) (להלן: עניין </w:t>
      </w:r>
      <w:r w:rsidRPr="00FC1DA7">
        <w:rPr>
          <w:rFonts w:ascii="Century" w:hAnsi="Century" w:cs="Miriam" w:hint="eastAsia"/>
          <w:b/>
          <w:spacing w:val="0"/>
          <w:sz w:val="22"/>
          <w:szCs w:val="24"/>
          <w:rtl/>
        </w:rPr>
        <w:t>רוגוזינסקי</w:t>
      </w:r>
      <w:r>
        <w:rPr>
          <w:rFonts w:hint="cs"/>
          <w:rtl/>
        </w:rPr>
        <w:t>);</w:t>
      </w:r>
      <w:r>
        <w:rPr>
          <w:rFonts w:hint="cs"/>
        </w:rPr>
        <w:t xml:space="preserve"> </w:t>
      </w:r>
      <w:r w:rsidRPr="00A57885">
        <w:rPr>
          <w:rFonts w:hint="eastAsia"/>
          <w:rtl/>
        </w:rPr>
        <w:t>בג</w:t>
      </w:r>
      <w:r>
        <w:rPr>
          <w:rFonts w:hint="cs"/>
          <w:rtl/>
        </w:rPr>
        <w:t>"</w:t>
      </w:r>
      <w:r w:rsidRPr="00A57885">
        <w:rPr>
          <w:rFonts w:hint="eastAsia"/>
          <w:rtl/>
        </w:rPr>
        <w:t>ץ</w:t>
      </w:r>
      <w:r w:rsidRPr="00A57885">
        <w:rPr>
          <w:rtl/>
        </w:rPr>
        <w:t xml:space="preserve"> 148/73‏ </w:t>
      </w:r>
      <w:r w:rsidRPr="00401975">
        <w:rPr>
          <w:rFonts w:cs="Miriam" w:hint="eastAsia"/>
          <w:b/>
          <w:spacing w:val="0"/>
          <w:sz w:val="22"/>
          <w:szCs w:val="24"/>
          <w:rtl/>
        </w:rPr>
        <w:t>קניאל</w:t>
      </w:r>
      <w:r w:rsidRPr="00401975">
        <w:rPr>
          <w:rFonts w:cs="Miriam"/>
          <w:b/>
          <w:spacing w:val="0"/>
          <w:sz w:val="22"/>
          <w:szCs w:val="24"/>
          <w:rtl/>
        </w:rPr>
        <w:t xml:space="preserve"> </w:t>
      </w:r>
      <w:r w:rsidRPr="00401975">
        <w:rPr>
          <w:rFonts w:cs="Miriam" w:hint="eastAsia"/>
          <w:b/>
          <w:spacing w:val="0"/>
          <w:sz w:val="22"/>
          <w:szCs w:val="24"/>
          <w:rtl/>
        </w:rPr>
        <w:t>נ</w:t>
      </w:r>
      <w:r w:rsidRPr="00401975">
        <w:rPr>
          <w:rFonts w:cs="Miriam"/>
          <w:b/>
          <w:spacing w:val="0"/>
          <w:sz w:val="22"/>
          <w:szCs w:val="24"/>
          <w:rtl/>
        </w:rPr>
        <w:t xml:space="preserve">' </w:t>
      </w:r>
      <w:r w:rsidRPr="00401975">
        <w:rPr>
          <w:rFonts w:cs="Miriam" w:hint="eastAsia"/>
          <w:b/>
          <w:spacing w:val="0"/>
          <w:sz w:val="22"/>
          <w:szCs w:val="24"/>
          <w:rtl/>
        </w:rPr>
        <w:t>שר</w:t>
      </w:r>
      <w:r w:rsidRPr="00401975">
        <w:rPr>
          <w:rFonts w:cs="Miriam"/>
          <w:b/>
          <w:spacing w:val="0"/>
          <w:sz w:val="22"/>
          <w:szCs w:val="24"/>
          <w:rtl/>
        </w:rPr>
        <w:t xml:space="preserve"> </w:t>
      </w:r>
      <w:r w:rsidRPr="00401975">
        <w:rPr>
          <w:rFonts w:cs="Miriam" w:hint="eastAsia"/>
          <w:b/>
          <w:spacing w:val="0"/>
          <w:sz w:val="22"/>
          <w:szCs w:val="24"/>
          <w:rtl/>
        </w:rPr>
        <w:t>המשפטים</w:t>
      </w:r>
      <w:r w:rsidRPr="00A57885">
        <w:rPr>
          <w:rtl/>
        </w:rPr>
        <w:t xml:space="preserve">, </w:t>
      </w:r>
      <w:r w:rsidRPr="00A57885">
        <w:rPr>
          <w:rFonts w:hint="eastAsia"/>
          <w:rtl/>
        </w:rPr>
        <w:t>פ</w:t>
      </w:r>
      <w:r>
        <w:rPr>
          <w:rFonts w:hint="cs"/>
          <w:rtl/>
        </w:rPr>
        <w:t>"</w:t>
      </w:r>
      <w:r w:rsidRPr="00A57885">
        <w:rPr>
          <w:rFonts w:hint="eastAsia"/>
          <w:rtl/>
        </w:rPr>
        <w:t>ד</w:t>
      </w:r>
      <w:r w:rsidRPr="00A57885">
        <w:rPr>
          <w:rtl/>
        </w:rPr>
        <w:t xml:space="preserve"> </w:t>
      </w:r>
      <w:r w:rsidRPr="00A57885">
        <w:rPr>
          <w:rFonts w:hint="eastAsia"/>
          <w:rtl/>
        </w:rPr>
        <w:t>כז</w:t>
      </w:r>
      <w:r w:rsidRPr="00A57885">
        <w:rPr>
          <w:rtl/>
        </w:rPr>
        <w:t>(1) 794</w:t>
      </w:r>
      <w:r>
        <w:rPr>
          <w:rFonts w:hint="cs"/>
          <w:rtl/>
        </w:rPr>
        <w:t xml:space="preserve"> (1973); ראו גם: </w:t>
      </w:r>
      <w:r w:rsidRPr="00F00286">
        <w:rPr>
          <w:rFonts w:hint="eastAsia"/>
          <w:rtl/>
        </w:rPr>
        <w:t>איתי</w:t>
      </w:r>
      <w:r w:rsidRPr="00F00286">
        <w:rPr>
          <w:rtl/>
        </w:rPr>
        <w:t xml:space="preserve"> </w:t>
      </w:r>
      <w:r w:rsidRPr="00F00286">
        <w:rPr>
          <w:rFonts w:hint="eastAsia"/>
          <w:rtl/>
        </w:rPr>
        <w:t>בר</w:t>
      </w:r>
      <w:r w:rsidRPr="00F00286">
        <w:rPr>
          <w:rtl/>
        </w:rPr>
        <w:t>-</w:t>
      </w:r>
      <w:r w:rsidRPr="00F00286">
        <w:rPr>
          <w:rFonts w:hint="eastAsia"/>
          <w:rtl/>
        </w:rPr>
        <w:t>סימן</w:t>
      </w:r>
      <w:r w:rsidRPr="00F00286">
        <w:rPr>
          <w:rtl/>
        </w:rPr>
        <w:t>-</w:t>
      </w:r>
      <w:r w:rsidRPr="00F00286">
        <w:rPr>
          <w:rFonts w:hint="eastAsia"/>
          <w:rtl/>
        </w:rPr>
        <w:t>טוב</w:t>
      </w:r>
      <w:r w:rsidRPr="00F00286">
        <w:rPr>
          <w:rtl/>
        </w:rPr>
        <w:t xml:space="preserve"> "</w:t>
      </w:r>
      <w:r w:rsidRPr="00F00286">
        <w:rPr>
          <w:rFonts w:hint="eastAsia"/>
          <w:rtl/>
        </w:rPr>
        <w:t>מהפכה</w:t>
      </w:r>
      <w:r w:rsidRPr="00F00286">
        <w:rPr>
          <w:rtl/>
        </w:rPr>
        <w:t xml:space="preserve"> </w:t>
      </w:r>
      <w:r w:rsidRPr="00F00286">
        <w:rPr>
          <w:rFonts w:hint="eastAsia"/>
          <w:rtl/>
        </w:rPr>
        <w:t>או</w:t>
      </w:r>
      <w:r w:rsidRPr="00F00286">
        <w:rPr>
          <w:rtl/>
        </w:rPr>
        <w:t xml:space="preserve"> </w:t>
      </w:r>
      <w:r w:rsidRPr="00F00286">
        <w:rPr>
          <w:rFonts w:hint="eastAsia"/>
          <w:rtl/>
        </w:rPr>
        <w:t>המשכיות</w:t>
      </w:r>
      <w:r w:rsidRPr="00F00286">
        <w:rPr>
          <w:rtl/>
        </w:rPr>
        <w:t xml:space="preserve">? </w:t>
      </w:r>
      <w:r w:rsidRPr="00F00286">
        <w:rPr>
          <w:rFonts w:hint="eastAsia"/>
          <w:rtl/>
        </w:rPr>
        <w:t>מקומו</w:t>
      </w:r>
      <w:r w:rsidRPr="00F00286">
        <w:rPr>
          <w:rtl/>
        </w:rPr>
        <w:t xml:space="preserve"> </w:t>
      </w:r>
      <w:r w:rsidRPr="00F00286">
        <w:rPr>
          <w:rFonts w:hint="eastAsia"/>
          <w:rtl/>
        </w:rPr>
        <w:t>של</w:t>
      </w:r>
      <w:r w:rsidRPr="00F00286">
        <w:rPr>
          <w:rtl/>
        </w:rPr>
        <w:t xml:space="preserve"> </w:t>
      </w:r>
      <w:r w:rsidRPr="00F00286">
        <w:rPr>
          <w:rFonts w:hint="eastAsia"/>
          <w:rtl/>
        </w:rPr>
        <w:t>פסק</w:t>
      </w:r>
      <w:r w:rsidRPr="00F00286">
        <w:rPr>
          <w:rtl/>
        </w:rPr>
        <w:t>-</w:t>
      </w:r>
      <w:r w:rsidRPr="00F00286">
        <w:rPr>
          <w:rFonts w:hint="eastAsia"/>
          <w:rtl/>
        </w:rPr>
        <w:t>דין</w:t>
      </w:r>
      <w:r w:rsidRPr="00F00286">
        <w:rPr>
          <w:rtl/>
        </w:rPr>
        <w:t xml:space="preserve"> </w:t>
      </w:r>
      <w:r w:rsidRPr="00F00286">
        <w:rPr>
          <w:rFonts w:hint="eastAsia"/>
          <w:rtl/>
        </w:rPr>
        <w:t>בנק</w:t>
      </w:r>
      <w:r w:rsidRPr="00F00286">
        <w:rPr>
          <w:rtl/>
        </w:rPr>
        <w:t xml:space="preserve"> </w:t>
      </w:r>
      <w:r w:rsidRPr="00F00286">
        <w:rPr>
          <w:rFonts w:hint="eastAsia"/>
          <w:rtl/>
        </w:rPr>
        <w:t>המזרחי</w:t>
      </w:r>
      <w:r w:rsidRPr="00F00286">
        <w:rPr>
          <w:rtl/>
        </w:rPr>
        <w:t xml:space="preserve"> </w:t>
      </w:r>
      <w:r w:rsidRPr="00F00286">
        <w:rPr>
          <w:rFonts w:hint="eastAsia"/>
          <w:rtl/>
        </w:rPr>
        <w:t>בהתפתחות</w:t>
      </w:r>
      <w:r w:rsidRPr="00F00286">
        <w:rPr>
          <w:rtl/>
        </w:rPr>
        <w:t xml:space="preserve"> </w:t>
      </w:r>
      <w:r w:rsidRPr="00F00286">
        <w:rPr>
          <w:rFonts w:hint="eastAsia"/>
          <w:rtl/>
        </w:rPr>
        <w:t>המודלים</w:t>
      </w:r>
      <w:r w:rsidRPr="00F00286">
        <w:rPr>
          <w:rtl/>
        </w:rPr>
        <w:t xml:space="preserve"> </w:t>
      </w:r>
      <w:r w:rsidRPr="00F00286">
        <w:rPr>
          <w:rFonts w:hint="eastAsia"/>
          <w:rtl/>
        </w:rPr>
        <w:t>של</w:t>
      </w:r>
      <w:r w:rsidRPr="00F00286">
        <w:rPr>
          <w:rtl/>
        </w:rPr>
        <w:t xml:space="preserve"> </w:t>
      </w:r>
      <w:r w:rsidRPr="00F00286">
        <w:rPr>
          <w:rFonts w:hint="eastAsia"/>
          <w:rtl/>
        </w:rPr>
        <w:t>ביקורת</w:t>
      </w:r>
      <w:r w:rsidRPr="00F00286">
        <w:rPr>
          <w:rtl/>
        </w:rPr>
        <w:t xml:space="preserve"> </w:t>
      </w:r>
      <w:r w:rsidRPr="00F00286">
        <w:rPr>
          <w:rFonts w:hint="eastAsia"/>
          <w:rtl/>
        </w:rPr>
        <w:t>שיפוטית</w:t>
      </w:r>
      <w:r w:rsidRPr="00F00286">
        <w:rPr>
          <w:rtl/>
        </w:rPr>
        <w:t xml:space="preserve"> </w:t>
      </w:r>
      <w:r w:rsidRPr="00F00286">
        <w:rPr>
          <w:rFonts w:hint="eastAsia"/>
          <w:rtl/>
        </w:rPr>
        <w:t>בישראל</w:t>
      </w:r>
      <w:r w:rsidRPr="00F00286">
        <w:rPr>
          <w:rtl/>
        </w:rPr>
        <w:t xml:space="preserve">" </w:t>
      </w:r>
      <w:r w:rsidRPr="00401975">
        <w:rPr>
          <w:rFonts w:cs="Miriam" w:hint="cs"/>
          <w:b/>
          <w:spacing w:val="0"/>
          <w:szCs w:val="24"/>
          <w:rtl/>
        </w:rPr>
        <w:t>משפט וממשל</w:t>
      </w:r>
      <w:r w:rsidRPr="00D42145">
        <w:rPr>
          <w:rFonts w:hint="cs"/>
          <w:rtl/>
        </w:rPr>
        <w:t xml:space="preserve"> </w:t>
      </w:r>
      <w:r>
        <w:rPr>
          <w:rFonts w:hint="cs"/>
          <w:rtl/>
        </w:rPr>
        <w:t xml:space="preserve">יט 271 (2018); יאיר שגיא "פסק-הדין שעשה היסטוריה: עיון היסטוריוגרפי בפסק-הדין בפרשת בנק המזרחי" </w:t>
      </w:r>
      <w:r w:rsidRPr="00401975">
        <w:rPr>
          <w:rFonts w:cs="Miriam" w:hint="cs"/>
          <w:b/>
          <w:spacing w:val="0"/>
          <w:szCs w:val="24"/>
          <w:rtl/>
        </w:rPr>
        <w:t>משפט וממשל</w:t>
      </w:r>
      <w:r>
        <w:rPr>
          <w:rFonts w:hint="cs"/>
          <w:rtl/>
        </w:rPr>
        <w:t xml:space="preserve"> יט 325, 337 (2018)). לא בכדי, </w:t>
      </w:r>
      <w:r w:rsidRPr="00401975">
        <w:rPr>
          <w:rFonts w:hint="cs"/>
          <w:rtl/>
        </w:rPr>
        <w:t xml:space="preserve">גם לפני </w:t>
      </w:r>
      <w:r>
        <w:rPr>
          <w:rFonts w:hint="cs"/>
          <w:rtl/>
        </w:rPr>
        <w:t xml:space="preserve">המהפכה החוקתית </w:t>
      </w:r>
      <w:r w:rsidRPr="00401975">
        <w:rPr>
          <w:rFonts w:hint="cs"/>
          <w:rtl/>
        </w:rPr>
        <w:t xml:space="preserve">וגם לאחר מכן, סעיף 15 </w:t>
      </w:r>
      <w:r>
        <w:rPr>
          <w:rFonts w:hint="cs"/>
          <w:rtl/>
        </w:rPr>
        <w:t xml:space="preserve">לחוק יסוד: השפיטה </w:t>
      </w:r>
      <w:r w:rsidRPr="00401975">
        <w:rPr>
          <w:rFonts w:hint="cs"/>
          <w:rtl/>
        </w:rPr>
        <w:t xml:space="preserve">לא שימש </w:t>
      </w:r>
      <w:r>
        <w:rPr>
          <w:rFonts w:hint="cs"/>
          <w:rtl/>
        </w:rPr>
        <w:t>מסד עצמאי ונפרד לביטול חוקים בשל תוכנם.</w:t>
      </w:r>
    </w:p>
    <w:p w:rsidR="00737972" w:rsidRPr="00CD6B95" w:rsidRDefault="00737972" w:rsidP="00737972">
      <w:pPr>
        <w:pStyle w:val="Ruller41"/>
      </w:pPr>
    </w:p>
    <w:p w:rsidR="00737972" w:rsidRDefault="00737972" w:rsidP="00737972">
      <w:pPr>
        <w:pStyle w:val="Ruller4"/>
        <w:rPr>
          <w:rtl/>
        </w:rPr>
      </w:pPr>
      <w:r>
        <w:rPr>
          <w:rFonts w:hint="cs"/>
          <w:rtl/>
        </w:rPr>
        <w:t xml:space="preserve">לכל היותר, בפסק דין יוצא דופן, בהסתמך על הוראת סעיף 15(ג) שעניינה מתן "סעד למתן הצדק" </w:t>
      </w:r>
      <w:r w:rsidRPr="00DB30CD">
        <w:rPr>
          <w:rFonts w:ascii="Century" w:hAnsi="Century" w:hint="cs"/>
          <w:rtl/>
        </w:rPr>
        <w:t>ניתן על ידי בית משפט זה</w:t>
      </w:r>
      <w:r w:rsidRPr="00DB30CD">
        <w:rPr>
          <w:rFonts w:ascii="Century" w:hAnsi="Century" w:cs="Miriam" w:hint="cs"/>
          <w:b/>
          <w:spacing w:val="0"/>
          <w:szCs w:val="24"/>
          <w:rtl/>
        </w:rPr>
        <w:t xml:space="preserve"> </w:t>
      </w:r>
      <w:r w:rsidRPr="00DB30CD">
        <w:rPr>
          <w:rFonts w:ascii="Century" w:hAnsi="Century" w:hint="cs"/>
          <w:rtl/>
        </w:rPr>
        <w:t>סעד</w:t>
      </w:r>
      <w:r w:rsidRPr="00DB30CD">
        <w:rPr>
          <w:rFonts w:ascii="Century" w:hAnsi="Century" w:cs="Miriam" w:hint="cs"/>
          <w:b/>
          <w:spacing w:val="0"/>
          <w:szCs w:val="24"/>
          <w:rtl/>
        </w:rPr>
        <w:t xml:space="preserve"> בניגוד</w:t>
      </w:r>
      <w:r w:rsidRPr="00B85DF7">
        <w:rPr>
          <w:rFonts w:hint="cs"/>
          <w:rtl/>
        </w:rPr>
        <w:t xml:space="preserve"> </w:t>
      </w:r>
      <w:r>
        <w:rPr>
          <w:rFonts w:hint="cs"/>
          <w:rtl/>
        </w:rPr>
        <w:t xml:space="preserve">לחוק </w:t>
      </w:r>
      <w:r w:rsidRPr="00C571A8">
        <w:rPr>
          <w:rFonts w:hint="cs"/>
          <w:rtl/>
        </w:rPr>
        <w:t>(</w:t>
      </w:r>
      <w:r w:rsidRPr="00C571A8">
        <w:rPr>
          <w:rFonts w:hint="eastAsia"/>
          <w:rtl/>
        </w:rPr>
        <w:t>בג</w:t>
      </w:r>
      <w:r w:rsidRPr="00C571A8">
        <w:rPr>
          <w:rtl/>
        </w:rPr>
        <w:t>"</w:t>
      </w:r>
      <w:r w:rsidRPr="00C571A8">
        <w:rPr>
          <w:rFonts w:hint="eastAsia"/>
          <w:rtl/>
        </w:rPr>
        <w:t>ץ</w:t>
      </w:r>
      <w:r w:rsidRPr="00C571A8">
        <w:rPr>
          <w:rtl/>
        </w:rPr>
        <w:t xml:space="preserve"> 3511/02‏ </w:t>
      </w:r>
      <w:r w:rsidRPr="00DB30CD">
        <w:rPr>
          <w:rFonts w:ascii="Century" w:hAnsi="Century" w:cs="Miriam" w:hint="eastAsia"/>
          <w:b/>
          <w:spacing w:val="0"/>
          <w:szCs w:val="24"/>
          <w:rtl/>
        </w:rPr>
        <w:t>עמותת</w:t>
      </w:r>
      <w:r w:rsidRPr="00DB30CD">
        <w:rPr>
          <w:rFonts w:ascii="Century" w:hAnsi="Century" w:cs="Miriam"/>
          <w:b/>
          <w:spacing w:val="0"/>
          <w:szCs w:val="24"/>
          <w:rtl/>
        </w:rPr>
        <w:t xml:space="preserve"> "</w:t>
      </w:r>
      <w:r w:rsidRPr="00DB30CD">
        <w:rPr>
          <w:rFonts w:ascii="Century" w:hAnsi="Century" w:cs="Miriam" w:hint="eastAsia"/>
          <w:b/>
          <w:spacing w:val="0"/>
          <w:szCs w:val="24"/>
          <w:rtl/>
        </w:rPr>
        <w:t>הפורום</w:t>
      </w:r>
      <w:r w:rsidRPr="00DB30CD">
        <w:rPr>
          <w:rFonts w:ascii="Century" w:hAnsi="Century" w:cs="Miriam"/>
          <w:b/>
          <w:spacing w:val="0"/>
          <w:szCs w:val="24"/>
          <w:rtl/>
        </w:rPr>
        <w:t xml:space="preserve"> </w:t>
      </w:r>
      <w:r w:rsidRPr="00DB30CD">
        <w:rPr>
          <w:rFonts w:ascii="Century" w:hAnsi="Century" w:cs="Miriam" w:hint="eastAsia"/>
          <w:b/>
          <w:spacing w:val="0"/>
          <w:szCs w:val="24"/>
          <w:rtl/>
        </w:rPr>
        <w:t>לדו</w:t>
      </w:r>
      <w:r w:rsidRPr="00DB30CD">
        <w:rPr>
          <w:rFonts w:ascii="Century" w:hAnsi="Century" w:cs="Miriam"/>
          <w:b/>
          <w:spacing w:val="0"/>
          <w:szCs w:val="24"/>
          <w:rtl/>
        </w:rPr>
        <w:t xml:space="preserve"> </w:t>
      </w:r>
      <w:r w:rsidRPr="00DB30CD">
        <w:rPr>
          <w:rFonts w:ascii="Century" w:hAnsi="Century" w:cs="Miriam" w:hint="eastAsia"/>
          <w:b/>
          <w:spacing w:val="0"/>
          <w:szCs w:val="24"/>
          <w:rtl/>
        </w:rPr>
        <w:t>קיום</w:t>
      </w:r>
      <w:r w:rsidRPr="00DB30CD">
        <w:rPr>
          <w:rFonts w:ascii="Century" w:hAnsi="Century" w:cs="Miriam"/>
          <w:b/>
          <w:spacing w:val="0"/>
          <w:szCs w:val="24"/>
          <w:rtl/>
        </w:rPr>
        <w:t xml:space="preserve"> </w:t>
      </w:r>
      <w:r w:rsidRPr="00DB30CD">
        <w:rPr>
          <w:rFonts w:ascii="Century" w:hAnsi="Century" w:cs="Miriam" w:hint="eastAsia"/>
          <w:b/>
          <w:spacing w:val="0"/>
          <w:szCs w:val="24"/>
          <w:rtl/>
        </w:rPr>
        <w:t>בנגב</w:t>
      </w:r>
      <w:r w:rsidRPr="00DB30CD">
        <w:rPr>
          <w:rFonts w:ascii="Century" w:hAnsi="Century" w:cs="Miriam"/>
          <w:b/>
          <w:spacing w:val="0"/>
          <w:szCs w:val="24"/>
          <w:rtl/>
        </w:rPr>
        <w:t xml:space="preserve">" </w:t>
      </w:r>
      <w:r w:rsidRPr="00DB30CD">
        <w:rPr>
          <w:rFonts w:ascii="Century" w:hAnsi="Century" w:cs="Miriam" w:hint="eastAsia"/>
          <w:b/>
          <w:spacing w:val="0"/>
          <w:szCs w:val="24"/>
          <w:rtl/>
        </w:rPr>
        <w:t>נ</w:t>
      </w:r>
      <w:r w:rsidRPr="00DB30CD">
        <w:rPr>
          <w:rFonts w:ascii="Century" w:hAnsi="Century" w:cs="Miriam"/>
          <w:b/>
          <w:spacing w:val="0"/>
          <w:szCs w:val="24"/>
          <w:rtl/>
        </w:rPr>
        <w:t xml:space="preserve">' </w:t>
      </w:r>
      <w:r w:rsidRPr="00DB30CD">
        <w:rPr>
          <w:rFonts w:ascii="Century" w:hAnsi="Century" w:cs="Miriam" w:hint="eastAsia"/>
          <w:b/>
          <w:spacing w:val="0"/>
          <w:szCs w:val="24"/>
          <w:rtl/>
        </w:rPr>
        <w:t>משרד</w:t>
      </w:r>
      <w:r w:rsidRPr="00DB30CD">
        <w:rPr>
          <w:rFonts w:ascii="Century" w:hAnsi="Century" w:cs="Miriam"/>
          <w:b/>
          <w:spacing w:val="0"/>
          <w:szCs w:val="24"/>
          <w:rtl/>
        </w:rPr>
        <w:t xml:space="preserve"> </w:t>
      </w:r>
      <w:r w:rsidRPr="00DB30CD">
        <w:rPr>
          <w:rFonts w:ascii="Century" w:hAnsi="Century" w:cs="Miriam" w:hint="eastAsia"/>
          <w:b/>
          <w:spacing w:val="0"/>
          <w:szCs w:val="24"/>
          <w:rtl/>
        </w:rPr>
        <w:t>התשתיות</w:t>
      </w:r>
      <w:r w:rsidRPr="00C571A8">
        <w:rPr>
          <w:rtl/>
        </w:rPr>
        <w:t xml:space="preserve">, </w:t>
      </w:r>
      <w:r w:rsidRPr="00C571A8">
        <w:rPr>
          <w:rFonts w:hint="eastAsia"/>
          <w:rtl/>
        </w:rPr>
        <w:t>פ</w:t>
      </w:r>
      <w:r>
        <w:rPr>
          <w:rFonts w:hint="cs"/>
          <w:rtl/>
        </w:rPr>
        <w:t>"</w:t>
      </w:r>
      <w:r w:rsidRPr="00C571A8">
        <w:rPr>
          <w:rFonts w:hint="eastAsia"/>
          <w:rtl/>
        </w:rPr>
        <w:t>ד</w:t>
      </w:r>
      <w:r w:rsidRPr="00C571A8">
        <w:rPr>
          <w:rtl/>
        </w:rPr>
        <w:t xml:space="preserve"> </w:t>
      </w:r>
      <w:r w:rsidRPr="00C571A8">
        <w:rPr>
          <w:rFonts w:hint="eastAsia"/>
          <w:rtl/>
        </w:rPr>
        <w:t>נז</w:t>
      </w:r>
      <w:r w:rsidRPr="00C571A8">
        <w:rPr>
          <w:rtl/>
        </w:rPr>
        <w:t>(2) 102</w:t>
      </w:r>
      <w:r>
        <w:rPr>
          <w:rFonts w:hint="cs"/>
          <w:rtl/>
        </w:rPr>
        <w:t xml:space="preserve"> (2003) (להלן: עניין </w:t>
      </w:r>
      <w:r w:rsidRPr="00DB30CD">
        <w:rPr>
          <w:rFonts w:ascii="Century" w:hAnsi="Century" w:cs="Miriam" w:hint="cs"/>
          <w:b/>
          <w:spacing w:val="0"/>
          <w:sz w:val="22"/>
          <w:szCs w:val="24"/>
          <w:rtl/>
        </w:rPr>
        <w:t>הפורום לדו קיום בנגב</w:t>
      </w:r>
      <w:r>
        <w:rPr>
          <w:rFonts w:hint="cs"/>
          <w:rtl/>
        </w:rPr>
        <w:t xml:space="preserve">). אלא שפסק דין זה נתפס כמרחיק לכת ועורר ביקורת רבה (ראו למשל: יצחק זמיר "שיקול הצדק בהחלטות מנהליות" </w:t>
      </w:r>
      <w:r w:rsidRPr="00DB30CD">
        <w:rPr>
          <w:rFonts w:ascii="Century" w:hAnsi="Century" w:cs="Miriam" w:hint="cs"/>
          <w:b/>
          <w:spacing w:val="0"/>
          <w:szCs w:val="24"/>
          <w:rtl/>
        </w:rPr>
        <w:t>משפט וממשל</w:t>
      </w:r>
      <w:r w:rsidRPr="002D65C6">
        <w:rPr>
          <w:rFonts w:hint="cs"/>
          <w:rtl/>
        </w:rPr>
        <w:t xml:space="preserve"> </w:t>
      </w:r>
      <w:r>
        <w:rPr>
          <w:rFonts w:hint="cs"/>
          <w:rtl/>
        </w:rPr>
        <w:t xml:space="preserve">ז 623, 636-635 (2005); </w:t>
      </w:r>
      <w:r w:rsidRPr="00955B54">
        <w:rPr>
          <w:rFonts w:ascii="Century" w:hAnsi="Century" w:cs="Miriam" w:hint="cs"/>
          <w:b/>
          <w:spacing w:val="0"/>
          <w:sz w:val="22"/>
          <w:szCs w:val="24"/>
          <w:rtl/>
        </w:rPr>
        <w:t>בנדור, ארבע מהפכות חוקתיות</w:t>
      </w:r>
      <w:r>
        <w:rPr>
          <w:rFonts w:hint="cs"/>
          <w:rtl/>
        </w:rPr>
        <w:t xml:space="preserve">; </w:t>
      </w:r>
      <w:r w:rsidRPr="00955B54">
        <w:rPr>
          <w:rFonts w:ascii="Century" w:hAnsi="Century" w:cs="Miriam" w:hint="cs"/>
          <w:b/>
          <w:spacing w:val="0"/>
          <w:sz w:val="22"/>
          <w:szCs w:val="24"/>
          <w:rtl/>
        </w:rPr>
        <w:t>רייכמן</w:t>
      </w:r>
      <w:r>
        <w:rPr>
          <w:rFonts w:hint="cs"/>
          <w:rtl/>
        </w:rPr>
        <w:t>). כך גם הובהר בפסיקה מאוחרת יותר, בהתייחס לפסק הדין האמור, כי אין די בסעיף 15(ג) כדי להקים עילת התערבות על ידי בית משפט זה "בניגוד לדבר חקיקה מפורש" (</w:t>
      </w:r>
      <w:r w:rsidRPr="00C571A8">
        <w:rPr>
          <w:rFonts w:hint="eastAsia"/>
          <w:rtl/>
        </w:rPr>
        <w:t>בג</w:t>
      </w:r>
      <w:r>
        <w:rPr>
          <w:rFonts w:hint="cs"/>
          <w:rtl/>
        </w:rPr>
        <w:t>"</w:t>
      </w:r>
      <w:r w:rsidRPr="00C571A8">
        <w:rPr>
          <w:rFonts w:hint="eastAsia"/>
          <w:rtl/>
        </w:rPr>
        <w:t>ץ</w:t>
      </w:r>
      <w:r>
        <w:rPr>
          <w:rtl/>
        </w:rPr>
        <w:t xml:space="preserve"> 2755/12</w:t>
      </w:r>
      <w:r>
        <w:rPr>
          <w:rFonts w:hint="cs"/>
          <w:rtl/>
        </w:rPr>
        <w:t xml:space="preserve"> </w:t>
      </w:r>
      <w:r w:rsidRPr="00DB30CD">
        <w:rPr>
          <w:rFonts w:ascii="Century" w:hAnsi="Century" w:cs="Miriam" w:hint="eastAsia"/>
          <w:b/>
          <w:spacing w:val="0"/>
          <w:szCs w:val="24"/>
          <w:rtl/>
        </w:rPr>
        <w:t>ששר</w:t>
      </w:r>
      <w:r w:rsidRPr="00DB30CD">
        <w:rPr>
          <w:rFonts w:ascii="Century" w:hAnsi="Century" w:cs="Miriam"/>
          <w:b/>
          <w:spacing w:val="0"/>
          <w:szCs w:val="24"/>
          <w:rtl/>
        </w:rPr>
        <w:t xml:space="preserve"> </w:t>
      </w:r>
      <w:r w:rsidRPr="00DB30CD">
        <w:rPr>
          <w:rFonts w:ascii="Century" w:hAnsi="Century" w:cs="Miriam" w:hint="eastAsia"/>
          <w:b/>
          <w:spacing w:val="0"/>
          <w:szCs w:val="24"/>
          <w:rtl/>
        </w:rPr>
        <w:t>נ</w:t>
      </w:r>
      <w:r w:rsidRPr="00DB30CD">
        <w:rPr>
          <w:rFonts w:ascii="Century" w:hAnsi="Century" w:cs="Miriam"/>
          <w:b/>
          <w:spacing w:val="0"/>
          <w:szCs w:val="24"/>
          <w:rtl/>
        </w:rPr>
        <w:t xml:space="preserve">' </w:t>
      </w:r>
      <w:r w:rsidRPr="00DB30CD">
        <w:rPr>
          <w:rFonts w:ascii="Century" w:hAnsi="Century" w:cs="Miriam" w:hint="eastAsia"/>
          <w:b/>
          <w:spacing w:val="0"/>
          <w:szCs w:val="24"/>
          <w:rtl/>
        </w:rPr>
        <w:t>שר</w:t>
      </w:r>
      <w:r w:rsidRPr="00DB30CD">
        <w:rPr>
          <w:rFonts w:ascii="Century" w:hAnsi="Century" w:cs="Miriam"/>
          <w:b/>
          <w:spacing w:val="0"/>
          <w:szCs w:val="24"/>
          <w:rtl/>
        </w:rPr>
        <w:t xml:space="preserve"> </w:t>
      </w:r>
      <w:r w:rsidRPr="00DB30CD">
        <w:rPr>
          <w:rFonts w:ascii="Century" w:hAnsi="Century" w:cs="Miriam" w:hint="eastAsia"/>
          <w:b/>
          <w:spacing w:val="0"/>
          <w:szCs w:val="24"/>
          <w:rtl/>
        </w:rPr>
        <w:t>הביטחון</w:t>
      </w:r>
      <w:r w:rsidRPr="00DB30CD">
        <w:rPr>
          <w:rFonts w:ascii="Century" w:hAnsi="Century" w:cs="Miriam"/>
          <w:b/>
          <w:spacing w:val="0"/>
          <w:szCs w:val="24"/>
          <w:rtl/>
        </w:rPr>
        <w:t xml:space="preserve">, </w:t>
      </w:r>
      <w:r w:rsidRPr="00DB30CD">
        <w:rPr>
          <w:rFonts w:ascii="Century" w:hAnsi="Century" w:cs="Miriam" w:hint="eastAsia"/>
          <w:b/>
          <w:spacing w:val="0"/>
          <w:szCs w:val="24"/>
          <w:rtl/>
        </w:rPr>
        <w:t>מר</w:t>
      </w:r>
      <w:r w:rsidRPr="00DB30CD">
        <w:rPr>
          <w:rFonts w:ascii="Century" w:hAnsi="Century" w:cs="Miriam"/>
          <w:b/>
          <w:spacing w:val="0"/>
          <w:szCs w:val="24"/>
          <w:rtl/>
        </w:rPr>
        <w:t xml:space="preserve"> </w:t>
      </w:r>
      <w:r w:rsidRPr="00DB30CD">
        <w:rPr>
          <w:rFonts w:ascii="Century" w:hAnsi="Century" w:cs="Miriam" w:hint="eastAsia"/>
          <w:b/>
          <w:spacing w:val="0"/>
          <w:szCs w:val="24"/>
          <w:rtl/>
        </w:rPr>
        <w:t>אהוד</w:t>
      </w:r>
      <w:r w:rsidRPr="00DB30CD">
        <w:rPr>
          <w:rFonts w:ascii="Century" w:hAnsi="Century" w:cs="Miriam"/>
          <w:b/>
          <w:spacing w:val="0"/>
          <w:szCs w:val="24"/>
          <w:rtl/>
        </w:rPr>
        <w:t xml:space="preserve"> </w:t>
      </w:r>
      <w:r w:rsidRPr="00DB30CD">
        <w:rPr>
          <w:rFonts w:ascii="Century" w:hAnsi="Century" w:cs="Miriam" w:hint="eastAsia"/>
          <w:b/>
          <w:spacing w:val="0"/>
          <w:szCs w:val="24"/>
          <w:rtl/>
        </w:rPr>
        <w:t>ברק</w:t>
      </w:r>
      <w:r>
        <w:rPr>
          <w:rFonts w:hint="cs"/>
          <w:rtl/>
        </w:rPr>
        <w:t xml:space="preserve">, פסקה 12 (18.6.2013)). בכל מקרה, לא עמדה על הפרק האפשרות להביא </w:t>
      </w:r>
      <w:r w:rsidRPr="00DB30CD">
        <w:rPr>
          <w:rFonts w:ascii="Century" w:hAnsi="Century" w:hint="cs"/>
          <w:sz w:val="22"/>
          <w:rtl/>
        </w:rPr>
        <w:t>לביטול</w:t>
      </w:r>
      <w:r w:rsidRPr="00DB30CD">
        <w:rPr>
          <w:rFonts w:hint="cs"/>
          <w:rtl/>
        </w:rPr>
        <w:t xml:space="preserve"> </w:t>
      </w:r>
      <w:r>
        <w:rPr>
          <w:rFonts w:hint="cs"/>
          <w:rtl/>
        </w:rPr>
        <w:t xml:space="preserve">סעיף חוק מכוח הוראת 15(ג) לחוק יסוד: השפיטה, להבדיל מביטול סעיף חוק כסעד חוקתי שהשתרש כאמור בפסיקה מכוח תיאוריה נפרדת (חלק מהמבקרים אף ציינו כי ניתן היה להצדיק את פסק הדין שניתן בעניין </w:t>
      </w:r>
      <w:r w:rsidRPr="00DB30CD">
        <w:rPr>
          <w:rFonts w:ascii="Century" w:hAnsi="Century" w:cs="Miriam" w:hint="cs"/>
          <w:b/>
          <w:spacing w:val="0"/>
          <w:sz w:val="22"/>
          <w:szCs w:val="24"/>
          <w:rtl/>
        </w:rPr>
        <w:t>הפורום לדו קיום בנגב</w:t>
      </w:r>
      <w:r>
        <w:rPr>
          <w:rFonts w:hint="cs"/>
          <w:rtl/>
        </w:rPr>
        <w:t xml:space="preserve"> אם היה מסתמך על סעד </w:t>
      </w:r>
      <w:r w:rsidRPr="00DB30CD">
        <w:rPr>
          <w:rFonts w:ascii="Century" w:hAnsi="Century" w:cs="Miriam" w:hint="cs"/>
          <w:b/>
          <w:spacing w:val="0"/>
          <w:szCs w:val="24"/>
          <w:rtl/>
        </w:rPr>
        <w:t>חוקתי</w:t>
      </w:r>
      <w:r>
        <w:rPr>
          <w:rFonts w:hint="cs"/>
          <w:rtl/>
        </w:rPr>
        <w:t xml:space="preserve"> כמקור סמכות משלים, וראו למשל: דפנה ברק-ארז </w:t>
      </w:r>
      <w:r w:rsidRPr="00DB30CD">
        <w:rPr>
          <w:rFonts w:ascii="Century" w:hAnsi="Century" w:cs="Miriam" w:hint="cs"/>
          <w:b/>
          <w:spacing w:val="0"/>
          <w:szCs w:val="24"/>
          <w:rtl/>
        </w:rPr>
        <w:t xml:space="preserve">משפט מינהלי </w:t>
      </w:r>
      <w:r w:rsidRPr="00DB30CD">
        <w:rPr>
          <w:rFonts w:ascii="Century" w:hAnsi="Century" w:cs="Miriam"/>
          <w:b/>
          <w:spacing w:val="0"/>
          <w:szCs w:val="24"/>
          <w:rtl/>
        </w:rPr>
        <w:t>–</w:t>
      </w:r>
      <w:r w:rsidRPr="00DB30CD">
        <w:rPr>
          <w:rFonts w:ascii="Century" w:hAnsi="Century" w:cs="Miriam" w:hint="cs"/>
          <w:b/>
          <w:spacing w:val="0"/>
          <w:szCs w:val="24"/>
          <w:rtl/>
        </w:rPr>
        <w:t xml:space="preserve"> משפט מינהלי דיוני</w:t>
      </w:r>
      <w:r w:rsidRPr="002D65C6">
        <w:rPr>
          <w:rFonts w:hint="cs"/>
          <w:rtl/>
        </w:rPr>
        <w:t xml:space="preserve"> </w:t>
      </w:r>
      <w:r>
        <w:rPr>
          <w:rFonts w:hint="cs"/>
          <w:rtl/>
        </w:rPr>
        <w:t xml:space="preserve">כרך ד 60 (2017) (להלן: </w:t>
      </w:r>
      <w:r w:rsidRPr="003E0B02">
        <w:rPr>
          <w:rFonts w:ascii="Century" w:hAnsi="Century" w:cs="Miriam" w:hint="eastAsia"/>
          <w:b/>
          <w:spacing w:val="0"/>
          <w:sz w:val="22"/>
          <w:szCs w:val="24"/>
          <w:rtl/>
        </w:rPr>
        <w:t>משפט</w:t>
      </w:r>
      <w:r w:rsidRPr="003E0B02">
        <w:rPr>
          <w:rFonts w:ascii="Century" w:hAnsi="Century" w:cs="Miriam"/>
          <w:b/>
          <w:spacing w:val="0"/>
          <w:sz w:val="22"/>
          <w:szCs w:val="24"/>
          <w:rtl/>
        </w:rPr>
        <w:t xml:space="preserve"> </w:t>
      </w:r>
      <w:r w:rsidRPr="003E0B02">
        <w:rPr>
          <w:rFonts w:ascii="Century" w:hAnsi="Century" w:cs="Miriam" w:hint="eastAsia"/>
          <w:b/>
          <w:spacing w:val="0"/>
          <w:sz w:val="22"/>
          <w:szCs w:val="24"/>
          <w:rtl/>
        </w:rPr>
        <w:t>מינהלי</w:t>
      </w:r>
      <w:r w:rsidRPr="003E0B02">
        <w:rPr>
          <w:rFonts w:ascii="Century" w:hAnsi="Century" w:cs="Miriam"/>
          <w:b/>
          <w:spacing w:val="0"/>
          <w:sz w:val="22"/>
          <w:szCs w:val="24"/>
          <w:rtl/>
        </w:rPr>
        <w:t xml:space="preserve"> </w:t>
      </w:r>
      <w:r w:rsidRPr="003E0B02">
        <w:rPr>
          <w:rFonts w:ascii="Century" w:hAnsi="Century" w:cs="Miriam" w:hint="eastAsia"/>
          <w:b/>
          <w:spacing w:val="0"/>
          <w:sz w:val="22"/>
          <w:szCs w:val="24"/>
          <w:rtl/>
        </w:rPr>
        <w:t>דיוני</w:t>
      </w:r>
      <w:r>
        <w:rPr>
          <w:rFonts w:hint="cs"/>
          <w:rtl/>
        </w:rPr>
        <w:t>)).</w:t>
      </w:r>
    </w:p>
    <w:p w:rsidR="00737972" w:rsidRPr="00B837EF" w:rsidRDefault="00737972" w:rsidP="00737972">
      <w:pPr>
        <w:pStyle w:val="Ruller4"/>
        <w:numPr>
          <w:ilvl w:val="0"/>
          <w:numId w:val="0"/>
        </w:numPr>
        <w:rPr>
          <w:rtl/>
        </w:rPr>
      </w:pPr>
    </w:p>
    <w:p w:rsidR="00737972" w:rsidRDefault="00737972" w:rsidP="00737972">
      <w:pPr>
        <w:pStyle w:val="Ruller4"/>
        <w:rPr>
          <w:rtl/>
        </w:rPr>
      </w:pPr>
      <w:r w:rsidRPr="00C03FAD">
        <w:rPr>
          <w:rFonts w:hint="cs"/>
          <w:rtl/>
        </w:rPr>
        <w:t>סיכומם של דברים,</w:t>
      </w:r>
      <w:r>
        <w:rPr>
          <w:rFonts w:hint="cs"/>
          <w:rtl/>
        </w:rPr>
        <w:t xml:space="preserve"> סמכותו של בית משפט זה להתערב בדבר חקיקה היא בגדר סמכות "מתגלגלת" שצברה תאוצה למן ימי המהפכה החוקתית. תחילתה בהסתמכות על הוראות פסקת ההגבלה ובסופה לבשה צורה של כלי גורף המופעל בהתייחס לחוקי היסוד כולם, גם ללא "פסקת הגבלה" מפורשת. לעניות דעתי, הדברים לא רק הוצאו מהקשרם, אלא יצאו היום מכלל שליטה. </w:t>
      </w:r>
    </w:p>
    <w:p w:rsidR="00737972" w:rsidRPr="00EA3423" w:rsidRDefault="00737972" w:rsidP="00737972">
      <w:pPr>
        <w:pStyle w:val="Ruller41"/>
        <w:rPr>
          <w:rtl/>
        </w:rPr>
      </w:pPr>
    </w:p>
    <w:p w:rsidR="00737972" w:rsidRPr="007B7F79" w:rsidRDefault="00737972" w:rsidP="00737972">
      <w:pPr>
        <w:pStyle w:val="Ruller41"/>
        <w:rPr>
          <w:rtl/>
        </w:rPr>
      </w:pPr>
      <w:r w:rsidRPr="007B7F79">
        <w:rPr>
          <w:rtl/>
        </w:rPr>
        <w:tab/>
      </w:r>
      <w:r w:rsidRPr="007B7F79">
        <w:rPr>
          <w:rFonts w:hint="cs"/>
          <w:rtl/>
        </w:rPr>
        <w:t xml:space="preserve">ומכאן </w:t>
      </w:r>
      <w:r w:rsidRPr="007B7F79">
        <w:rPr>
          <w:rtl/>
        </w:rPr>
        <w:t>–</w:t>
      </w:r>
      <w:r w:rsidRPr="007B7F79">
        <w:rPr>
          <w:rFonts w:hint="cs"/>
          <w:rtl/>
        </w:rPr>
        <w:t xml:space="preserve"> לסמכות להתערב בחוקי יסוד.</w:t>
      </w:r>
    </w:p>
    <w:p w:rsidR="00737972" w:rsidRDefault="00737972" w:rsidP="00737972">
      <w:pPr>
        <w:pStyle w:val="Ruller4"/>
        <w:numPr>
          <w:ilvl w:val="0"/>
          <w:numId w:val="0"/>
        </w:numPr>
        <w:rPr>
          <w:rtl/>
        </w:rPr>
      </w:pPr>
    </w:p>
    <w:p w:rsidR="00737972" w:rsidRPr="00B837EF" w:rsidRDefault="00737972" w:rsidP="00737972">
      <w:pPr>
        <w:pStyle w:val="Ruller41"/>
        <w:rPr>
          <w:rFonts w:ascii="Century" w:hAnsi="Century" w:cs="Miriam"/>
          <w:b/>
          <w:spacing w:val="0"/>
          <w:szCs w:val="24"/>
          <w:rtl/>
        </w:rPr>
      </w:pPr>
      <w:r w:rsidRPr="0053289D">
        <w:rPr>
          <w:rFonts w:ascii="Century" w:hAnsi="Century" w:cs="Miriam" w:hint="cs"/>
          <w:b/>
          <w:spacing w:val="0"/>
          <w:szCs w:val="24"/>
          <w:rtl/>
        </w:rPr>
        <w:t>התערבות בחוקי יסוד</w:t>
      </w:r>
    </w:p>
    <w:p w:rsidR="00737972" w:rsidRPr="00B837EF" w:rsidRDefault="00737972" w:rsidP="00737972">
      <w:pPr>
        <w:pStyle w:val="Ruller4"/>
        <w:rPr>
          <w:rtl/>
        </w:rPr>
      </w:pPr>
      <w:r w:rsidRPr="00B837EF">
        <w:rPr>
          <w:rFonts w:hint="cs"/>
          <w:rtl/>
        </w:rPr>
        <w:lastRenderedPageBreak/>
        <w:t>לדעתי כאמור</w:t>
      </w:r>
      <w:r>
        <w:rPr>
          <w:rFonts w:hint="cs"/>
          <w:rtl/>
        </w:rPr>
        <w:t>,</w:t>
      </w:r>
      <w:r w:rsidRPr="00B837EF">
        <w:rPr>
          <w:rFonts w:hint="cs"/>
          <w:rtl/>
        </w:rPr>
        <w:t xml:space="preserve"> </w:t>
      </w:r>
      <w:r>
        <w:rPr>
          <w:rFonts w:hint="cs"/>
          <w:rtl/>
        </w:rPr>
        <w:t>הסמכות לבקר חוקים רגילים אינה מושתתת על יסודות איתנים, בלשון המעטה</w:t>
      </w:r>
      <w:r w:rsidRPr="00B837EF">
        <w:rPr>
          <w:rFonts w:hint="cs"/>
          <w:rtl/>
        </w:rPr>
        <w:t xml:space="preserve">. אולם אינני עיוור לכך שבית משפט זה פילס לו </w:t>
      </w:r>
      <w:r>
        <w:rPr>
          <w:rFonts w:hint="cs"/>
          <w:rtl/>
        </w:rPr>
        <w:t xml:space="preserve">כאמור </w:t>
      </w:r>
      <w:r w:rsidRPr="00B837EF">
        <w:rPr>
          <w:rFonts w:hint="cs"/>
          <w:rtl/>
        </w:rPr>
        <w:t>דרך שונה, והמציאות על פיה בית משפט זה מוסמך לבקר חוקים קנתה לה שב</w:t>
      </w:r>
      <w:r>
        <w:rPr>
          <w:rFonts w:hint="cs"/>
          <w:rtl/>
        </w:rPr>
        <w:t>י</w:t>
      </w:r>
      <w:r w:rsidRPr="00B837EF">
        <w:rPr>
          <w:rFonts w:hint="cs"/>
          <w:rtl/>
        </w:rPr>
        <w:t>ת</w:t>
      </w:r>
      <w:r>
        <w:rPr>
          <w:rFonts w:hint="cs"/>
          <w:rtl/>
        </w:rPr>
        <w:t>ה</w:t>
      </w:r>
      <w:r w:rsidRPr="00B837EF">
        <w:rPr>
          <w:rFonts w:hint="cs"/>
          <w:rtl/>
        </w:rPr>
        <w:t>. מנקודת מוצא זו</w:t>
      </w:r>
      <w:r>
        <w:rPr>
          <w:rFonts w:hint="cs"/>
          <w:rtl/>
        </w:rPr>
        <w:t xml:space="preserve">, </w:t>
      </w:r>
      <w:r w:rsidRPr="00E666F7">
        <w:rPr>
          <w:rFonts w:hint="cs"/>
          <w:rtl/>
        </w:rPr>
        <w:t xml:space="preserve">האמת הפשוטה צריכה להיאמר: כאשר בית משפט זה בעניין </w:t>
      </w:r>
      <w:r w:rsidRPr="00B837EF">
        <w:rPr>
          <w:rFonts w:ascii="Century" w:hAnsi="Century" w:cs="Miriam" w:hint="cs"/>
          <w:b/>
          <w:spacing w:val="0"/>
          <w:sz w:val="22"/>
          <w:szCs w:val="24"/>
          <w:rtl/>
        </w:rPr>
        <w:t>בנק המזרחי</w:t>
      </w:r>
      <w:r w:rsidRPr="006073FD">
        <w:rPr>
          <w:rFonts w:hint="cs"/>
          <w:rtl/>
        </w:rPr>
        <w:t xml:space="preserve"> </w:t>
      </w:r>
      <w:r w:rsidRPr="00E666F7">
        <w:rPr>
          <w:rFonts w:hint="cs"/>
          <w:rtl/>
        </w:rPr>
        <w:t xml:space="preserve">אימץ, על בסיס חוקי היסוד, תיאוריה על פיה </w:t>
      </w:r>
      <w:r>
        <w:rPr>
          <w:rFonts w:hint="cs"/>
          <w:rtl/>
        </w:rPr>
        <w:t xml:space="preserve">מוקנית לו </w:t>
      </w:r>
      <w:r w:rsidRPr="008068D2">
        <w:rPr>
          <w:rFonts w:hint="cs"/>
          <w:rtl/>
        </w:rPr>
        <w:t>סמכות לקיים ביקורת שיפוטית בהתבסס על אותם חוק</w:t>
      </w:r>
      <w:r>
        <w:rPr>
          <w:rFonts w:hint="cs"/>
          <w:rtl/>
        </w:rPr>
        <w:t>י</w:t>
      </w:r>
      <w:r w:rsidRPr="008068D2">
        <w:rPr>
          <w:rFonts w:hint="cs"/>
          <w:rtl/>
        </w:rPr>
        <w:t xml:space="preserve"> יסוד כ"חוקה", מיניה וביה הוענקה </w:t>
      </w:r>
      <w:r w:rsidRPr="00B837EF">
        <w:rPr>
          <w:rFonts w:ascii="Century" w:hAnsi="Century" w:cs="Miriam" w:hint="cs"/>
          <w:b/>
          <w:spacing w:val="0"/>
          <w:sz w:val="22"/>
          <w:szCs w:val="24"/>
          <w:rtl/>
        </w:rPr>
        <w:t>לכנסת</w:t>
      </w:r>
      <w:r w:rsidRPr="00D0556D">
        <w:rPr>
          <w:rFonts w:hint="cs"/>
          <w:rtl/>
        </w:rPr>
        <w:t xml:space="preserve"> </w:t>
      </w:r>
      <w:r>
        <w:rPr>
          <w:rFonts w:hint="cs"/>
          <w:rtl/>
        </w:rPr>
        <w:t xml:space="preserve">היכולת </w:t>
      </w:r>
      <w:r w:rsidRPr="008068D2">
        <w:rPr>
          <w:rFonts w:hint="cs"/>
          <w:rtl/>
        </w:rPr>
        <w:t xml:space="preserve">לקבוע, לשנות ואף לבטל את תוכנם של חוקי היסוד כחלק מ"חוקתה" של </w:t>
      </w:r>
      <w:r>
        <w:rPr>
          <w:rFonts w:hint="cs"/>
          <w:rtl/>
        </w:rPr>
        <w:t xml:space="preserve">המדינה </w:t>
      </w:r>
      <w:r w:rsidRPr="008068D2">
        <w:rPr>
          <w:rFonts w:hint="cs"/>
          <w:rtl/>
        </w:rPr>
        <w:t>(</w:t>
      </w:r>
      <w:r>
        <w:rPr>
          <w:rFonts w:hint="cs"/>
          <w:rtl/>
        </w:rPr>
        <w:t xml:space="preserve">יואב </w:t>
      </w:r>
      <w:r w:rsidRPr="00955B54">
        <w:rPr>
          <w:rFonts w:hint="cs"/>
          <w:rtl/>
        </w:rPr>
        <w:t xml:space="preserve">דותן "חוקה למדינת ישראל? </w:t>
      </w:r>
      <w:r w:rsidRPr="00955B54">
        <w:rPr>
          <w:rtl/>
        </w:rPr>
        <w:t>–</w:t>
      </w:r>
      <w:r w:rsidRPr="00955B54">
        <w:rPr>
          <w:rFonts w:hint="cs"/>
          <w:rtl/>
        </w:rPr>
        <w:t xml:space="preserve"> הדיאלוג </w:t>
      </w:r>
      <w:r w:rsidRPr="00955B54">
        <w:rPr>
          <w:rFonts w:hint="eastAsia"/>
          <w:rtl/>
        </w:rPr>
        <w:t>הקונסטיטוציוני</w:t>
      </w:r>
      <w:r w:rsidRPr="00955B54">
        <w:rPr>
          <w:rtl/>
        </w:rPr>
        <w:t xml:space="preserve"> </w:t>
      </w:r>
      <w:r w:rsidRPr="00955B54">
        <w:rPr>
          <w:rFonts w:hint="eastAsia"/>
          <w:rtl/>
        </w:rPr>
        <w:t>לאחר</w:t>
      </w:r>
      <w:r>
        <w:rPr>
          <w:rtl/>
        </w:rPr>
        <w:t xml:space="preserve"> </w:t>
      </w:r>
      <w:r>
        <w:rPr>
          <w:rFonts w:hint="cs"/>
          <w:rtl/>
        </w:rPr>
        <w:t>'</w:t>
      </w:r>
      <w:r w:rsidRPr="00955B54">
        <w:rPr>
          <w:rFonts w:hint="eastAsia"/>
          <w:rtl/>
        </w:rPr>
        <w:t>המהפכה</w:t>
      </w:r>
      <w:r w:rsidRPr="00955B54">
        <w:rPr>
          <w:rtl/>
        </w:rPr>
        <w:t xml:space="preserve"> </w:t>
      </w:r>
      <w:r w:rsidRPr="00955B54">
        <w:rPr>
          <w:rFonts w:hint="eastAsia"/>
          <w:rtl/>
        </w:rPr>
        <w:t>החוקתית</w:t>
      </w:r>
      <w:r>
        <w:rPr>
          <w:rFonts w:hint="cs"/>
          <w:rtl/>
        </w:rPr>
        <w:t>'</w:t>
      </w:r>
      <w:r w:rsidRPr="00955B54">
        <w:rPr>
          <w:rtl/>
        </w:rPr>
        <w:t xml:space="preserve">" </w:t>
      </w:r>
      <w:r w:rsidRPr="00B837EF">
        <w:rPr>
          <w:rFonts w:ascii="Century" w:hAnsi="Century" w:cs="Miriam" w:hint="cs"/>
          <w:b/>
          <w:spacing w:val="0"/>
          <w:sz w:val="22"/>
          <w:szCs w:val="24"/>
          <w:rtl/>
        </w:rPr>
        <w:t>משפטים</w:t>
      </w:r>
      <w:r>
        <w:rPr>
          <w:rFonts w:hint="cs"/>
          <w:rtl/>
        </w:rPr>
        <w:t xml:space="preserve"> כ</w:t>
      </w:r>
      <w:r w:rsidRPr="00955B54">
        <w:rPr>
          <w:rFonts w:hint="cs"/>
          <w:rtl/>
        </w:rPr>
        <w:t>ח</w:t>
      </w:r>
      <w:r>
        <w:rPr>
          <w:rFonts w:hint="cs"/>
          <w:rtl/>
        </w:rPr>
        <w:t xml:space="preserve"> 149,</w:t>
      </w:r>
      <w:r w:rsidRPr="00955B54">
        <w:rPr>
          <w:rFonts w:hint="cs"/>
          <w:rtl/>
        </w:rPr>
        <w:t xml:space="preserve"> 185</w:t>
      </w:r>
      <w:r>
        <w:rPr>
          <w:rFonts w:hint="cs"/>
          <w:rtl/>
        </w:rPr>
        <w:t xml:space="preserve"> (1997) (להלן: </w:t>
      </w:r>
      <w:r w:rsidRPr="00B837EF">
        <w:rPr>
          <w:rFonts w:ascii="Century" w:hAnsi="Century" w:cs="Miriam" w:hint="cs"/>
          <w:b/>
          <w:spacing w:val="0"/>
          <w:sz w:val="22"/>
          <w:szCs w:val="24"/>
          <w:rtl/>
        </w:rPr>
        <w:t>דותן, חוקה למדינת ישראל</w:t>
      </w:r>
      <w:r w:rsidRPr="00880D26">
        <w:rPr>
          <w:rFonts w:ascii="Century" w:hAnsi="Century" w:hint="cs"/>
          <w:sz w:val="22"/>
          <w:rtl/>
        </w:rPr>
        <w:t>)</w:t>
      </w:r>
      <w:r w:rsidRPr="008068D2">
        <w:rPr>
          <w:rFonts w:hint="cs"/>
          <w:rtl/>
        </w:rPr>
        <w:t>).</w:t>
      </w:r>
      <w:r>
        <w:rPr>
          <w:rFonts w:hint="cs"/>
          <w:rtl/>
        </w:rPr>
        <w:t xml:space="preserve"> </w:t>
      </w:r>
      <w:r>
        <w:rPr>
          <w:rFonts w:hint="eastAsia"/>
          <w:rtl/>
        </w:rPr>
        <w:t>הבחירה</w:t>
      </w:r>
      <w:r>
        <w:rPr>
          <w:rtl/>
        </w:rPr>
        <w:t xml:space="preserve"> </w:t>
      </w:r>
      <w:r>
        <w:rPr>
          <w:rFonts w:hint="eastAsia"/>
          <w:rtl/>
        </w:rPr>
        <w:t>להכיר</w:t>
      </w:r>
      <w:r>
        <w:rPr>
          <w:rtl/>
        </w:rPr>
        <w:t xml:space="preserve"> </w:t>
      </w:r>
      <w:r>
        <w:rPr>
          <w:rFonts w:hint="eastAsia"/>
          <w:rtl/>
        </w:rPr>
        <w:t>ב</w:t>
      </w:r>
      <w:r>
        <w:rPr>
          <w:rtl/>
        </w:rPr>
        <w:t>"</w:t>
      </w:r>
      <w:r>
        <w:rPr>
          <w:rFonts w:hint="eastAsia"/>
          <w:rtl/>
        </w:rPr>
        <w:t>חוקה</w:t>
      </w:r>
      <w:r>
        <w:rPr>
          <w:rtl/>
        </w:rPr>
        <w:t xml:space="preserve">" </w:t>
      </w:r>
      <w:r>
        <w:rPr>
          <w:rFonts w:hint="eastAsia"/>
          <w:rtl/>
        </w:rPr>
        <w:t>לא</w:t>
      </w:r>
      <w:r>
        <w:rPr>
          <w:rtl/>
        </w:rPr>
        <w:t xml:space="preserve"> </w:t>
      </w:r>
      <w:r>
        <w:rPr>
          <w:rFonts w:hint="eastAsia"/>
          <w:rtl/>
        </w:rPr>
        <w:t>הייתה</w:t>
      </w:r>
      <w:r>
        <w:rPr>
          <w:rtl/>
        </w:rPr>
        <w:t xml:space="preserve"> </w:t>
      </w:r>
      <w:r>
        <w:rPr>
          <w:rFonts w:hint="eastAsia"/>
          <w:rtl/>
        </w:rPr>
        <w:t>מובנת</w:t>
      </w:r>
      <w:r>
        <w:rPr>
          <w:rtl/>
        </w:rPr>
        <w:t xml:space="preserve"> </w:t>
      </w:r>
      <w:r>
        <w:rPr>
          <w:rFonts w:hint="eastAsia"/>
          <w:rtl/>
        </w:rPr>
        <w:t>מאליה</w:t>
      </w:r>
      <w:r>
        <w:rPr>
          <w:rFonts w:hint="cs"/>
          <w:rtl/>
        </w:rPr>
        <w:t xml:space="preserve"> (אמנון רובינשטיין וברק מדינה </w:t>
      </w:r>
      <w:r w:rsidRPr="00B837EF">
        <w:rPr>
          <w:rFonts w:ascii="Century" w:hAnsi="Century" w:cs="Miriam" w:hint="cs"/>
          <w:b/>
          <w:spacing w:val="0"/>
          <w:sz w:val="22"/>
          <w:szCs w:val="24"/>
          <w:rtl/>
        </w:rPr>
        <w:t>המשפט החוקתי של מדינת ישראל</w:t>
      </w:r>
      <w:r w:rsidRPr="00C232EB">
        <w:rPr>
          <w:rFonts w:hint="cs"/>
          <w:rtl/>
        </w:rPr>
        <w:t xml:space="preserve"> </w:t>
      </w:r>
      <w:r>
        <w:rPr>
          <w:rFonts w:hint="cs"/>
          <w:rtl/>
        </w:rPr>
        <w:t>כרך א 93 (מהדורה שישית, 2005))</w:t>
      </w:r>
      <w:r>
        <w:rPr>
          <w:rtl/>
        </w:rPr>
        <w:t xml:space="preserve">. </w:t>
      </w:r>
      <w:r>
        <w:rPr>
          <w:rFonts w:hint="cs"/>
          <w:rtl/>
        </w:rPr>
        <w:t xml:space="preserve">ביקורת שיפוטית על חוקים בהיעדר חוקה "נוקשה" שגובשה על רקע דיון ציבורי והליך לקבלת הסכמה רחבה, איננה פשוטה (וראו למשל: </w:t>
      </w:r>
      <w:r w:rsidRPr="008A1CFF">
        <w:rPr>
          <w:rFonts w:hint="eastAsia"/>
          <w:rtl/>
        </w:rPr>
        <w:t>רות</w:t>
      </w:r>
      <w:r w:rsidRPr="008A1CFF">
        <w:rPr>
          <w:rtl/>
        </w:rPr>
        <w:t xml:space="preserve"> </w:t>
      </w:r>
      <w:r w:rsidRPr="008A1CFF">
        <w:rPr>
          <w:rFonts w:hint="eastAsia"/>
          <w:rtl/>
        </w:rPr>
        <w:t>גביזון</w:t>
      </w:r>
      <w:r w:rsidRPr="008A1CFF">
        <w:rPr>
          <w:rtl/>
        </w:rPr>
        <w:t xml:space="preserve"> "</w:t>
      </w:r>
      <w:r w:rsidRPr="008A1CFF">
        <w:rPr>
          <w:rFonts w:hint="eastAsia"/>
          <w:rtl/>
        </w:rPr>
        <w:t>המהפכה</w:t>
      </w:r>
      <w:r w:rsidRPr="008A1CFF">
        <w:rPr>
          <w:rtl/>
        </w:rPr>
        <w:t xml:space="preserve"> </w:t>
      </w:r>
      <w:r w:rsidRPr="008A1CFF">
        <w:rPr>
          <w:rFonts w:hint="eastAsia"/>
          <w:rtl/>
        </w:rPr>
        <w:t>החוקתית</w:t>
      </w:r>
      <w:r>
        <w:rPr>
          <w:rtl/>
        </w:rPr>
        <w:t xml:space="preserve"> –</w:t>
      </w:r>
      <w:r w:rsidRPr="008A1CFF">
        <w:rPr>
          <w:rtl/>
        </w:rPr>
        <w:t xml:space="preserve"> </w:t>
      </w:r>
      <w:r w:rsidRPr="008A1CFF">
        <w:rPr>
          <w:rFonts w:hint="eastAsia"/>
          <w:rtl/>
        </w:rPr>
        <w:t>תיאור</w:t>
      </w:r>
      <w:r w:rsidRPr="008A1CFF">
        <w:rPr>
          <w:rtl/>
        </w:rPr>
        <w:t xml:space="preserve"> </w:t>
      </w:r>
      <w:r w:rsidRPr="008A1CFF">
        <w:rPr>
          <w:rFonts w:hint="eastAsia"/>
          <w:rtl/>
        </w:rPr>
        <w:t>המציאות</w:t>
      </w:r>
      <w:r w:rsidRPr="008A1CFF">
        <w:rPr>
          <w:rtl/>
        </w:rPr>
        <w:t xml:space="preserve"> </w:t>
      </w:r>
      <w:r w:rsidRPr="008A1CFF">
        <w:rPr>
          <w:rFonts w:hint="eastAsia"/>
          <w:rtl/>
        </w:rPr>
        <w:t>או</w:t>
      </w:r>
      <w:r w:rsidRPr="008A1CFF">
        <w:rPr>
          <w:rtl/>
        </w:rPr>
        <w:t xml:space="preserve"> </w:t>
      </w:r>
      <w:r w:rsidRPr="008A1CFF">
        <w:rPr>
          <w:rFonts w:hint="eastAsia"/>
          <w:rtl/>
        </w:rPr>
        <w:t>נבואה</w:t>
      </w:r>
      <w:r w:rsidRPr="008A1CFF">
        <w:rPr>
          <w:rtl/>
        </w:rPr>
        <w:t xml:space="preserve"> </w:t>
      </w:r>
      <w:r w:rsidRPr="008A1CFF">
        <w:rPr>
          <w:rFonts w:hint="eastAsia"/>
          <w:rtl/>
        </w:rPr>
        <w:t>המגשימה</w:t>
      </w:r>
      <w:r w:rsidRPr="008A1CFF">
        <w:rPr>
          <w:rtl/>
        </w:rPr>
        <w:t xml:space="preserve"> </w:t>
      </w:r>
      <w:r w:rsidRPr="008A1CFF">
        <w:rPr>
          <w:rFonts w:hint="eastAsia"/>
          <w:rtl/>
        </w:rPr>
        <w:t>את</w:t>
      </w:r>
      <w:r w:rsidRPr="008A1CFF">
        <w:rPr>
          <w:rtl/>
        </w:rPr>
        <w:t xml:space="preserve"> </w:t>
      </w:r>
      <w:r w:rsidRPr="008A1CFF">
        <w:rPr>
          <w:rFonts w:hint="eastAsia"/>
          <w:rtl/>
        </w:rPr>
        <w:t>עצמה</w:t>
      </w:r>
      <w:r>
        <w:rPr>
          <w:rtl/>
        </w:rPr>
        <w:t>?"</w:t>
      </w:r>
      <w:r>
        <w:rPr>
          <w:rFonts w:hint="cs"/>
          <w:rtl/>
        </w:rPr>
        <w:t xml:space="preserve"> </w:t>
      </w:r>
      <w:r w:rsidRPr="00B837EF">
        <w:rPr>
          <w:rFonts w:ascii="Century" w:hAnsi="Century" w:cs="Miriam" w:hint="eastAsia"/>
          <w:b/>
          <w:spacing w:val="0"/>
          <w:sz w:val="22"/>
          <w:szCs w:val="24"/>
          <w:rtl/>
        </w:rPr>
        <w:t>משפטים</w:t>
      </w:r>
      <w:r w:rsidRPr="008A1CFF">
        <w:rPr>
          <w:rtl/>
        </w:rPr>
        <w:t xml:space="preserve"> </w:t>
      </w:r>
      <w:r w:rsidRPr="008A1CFF">
        <w:rPr>
          <w:rFonts w:hint="eastAsia"/>
          <w:rtl/>
        </w:rPr>
        <w:t>כח</w:t>
      </w:r>
      <w:r w:rsidRPr="008A1CFF">
        <w:rPr>
          <w:rtl/>
        </w:rPr>
        <w:t xml:space="preserve"> </w:t>
      </w:r>
      <w:r>
        <w:rPr>
          <w:rFonts w:hint="cs"/>
          <w:rtl/>
        </w:rPr>
        <w:t xml:space="preserve">21 </w:t>
      </w:r>
      <w:r w:rsidRPr="008A1CFF">
        <w:rPr>
          <w:rtl/>
        </w:rPr>
        <w:t>(</w:t>
      </w:r>
      <w:r>
        <w:rPr>
          <w:rFonts w:hint="cs"/>
          <w:rtl/>
        </w:rPr>
        <w:t>1997</w:t>
      </w:r>
      <w:r w:rsidRPr="008A1CFF">
        <w:rPr>
          <w:rtl/>
        </w:rPr>
        <w:t>)</w:t>
      </w:r>
      <w:r>
        <w:rPr>
          <w:rFonts w:hint="cs"/>
          <w:rtl/>
        </w:rPr>
        <w:t xml:space="preserve"> (להלן: </w:t>
      </w:r>
      <w:r w:rsidRPr="00B837EF">
        <w:rPr>
          <w:rFonts w:ascii="Century" w:hAnsi="Century" w:cs="Miriam" w:hint="cs"/>
          <w:b/>
          <w:spacing w:val="0"/>
          <w:sz w:val="22"/>
          <w:szCs w:val="24"/>
          <w:rtl/>
        </w:rPr>
        <w:t>גביזון</w:t>
      </w:r>
      <w:r>
        <w:rPr>
          <w:rFonts w:ascii="Century" w:hAnsi="Century" w:cs="Miriam" w:hint="cs"/>
          <w:b/>
          <w:spacing w:val="0"/>
          <w:sz w:val="22"/>
          <w:szCs w:val="24"/>
          <w:rtl/>
        </w:rPr>
        <w:t>, המהפכה החוקתית</w:t>
      </w:r>
      <w:r>
        <w:rPr>
          <w:rFonts w:hint="cs"/>
          <w:rtl/>
        </w:rPr>
        <w:t xml:space="preserve">)). וכך גם הלבשת הכנסת בכובע של "רשות מכוננת" בהתעלם מהפרדת הרשויות המתבקשת </w:t>
      </w:r>
      <w:r>
        <w:rPr>
          <w:rFonts w:hint="eastAsia"/>
          <w:rtl/>
        </w:rPr>
        <w:t>בין</w:t>
      </w:r>
      <w:r>
        <w:rPr>
          <w:rtl/>
        </w:rPr>
        <w:t xml:space="preserve"> </w:t>
      </w:r>
      <w:r>
        <w:rPr>
          <w:rFonts w:hint="eastAsia"/>
          <w:rtl/>
        </w:rPr>
        <w:t>הרשות</w:t>
      </w:r>
      <w:r>
        <w:rPr>
          <w:rtl/>
        </w:rPr>
        <w:t xml:space="preserve"> </w:t>
      </w:r>
      <w:r>
        <w:rPr>
          <w:rFonts w:hint="eastAsia"/>
          <w:rtl/>
        </w:rPr>
        <w:t>המחוקקת</w:t>
      </w:r>
      <w:r>
        <w:rPr>
          <w:rtl/>
        </w:rPr>
        <w:t xml:space="preserve"> </w:t>
      </w:r>
      <w:r>
        <w:rPr>
          <w:rFonts w:hint="eastAsia"/>
          <w:rtl/>
        </w:rPr>
        <w:t>לרשות</w:t>
      </w:r>
      <w:r>
        <w:rPr>
          <w:rtl/>
        </w:rPr>
        <w:t xml:space="preserve"> </w:t>
      </w:r>
      <w:r>
        <w:rPr>
          <w:rFonts w:hint="eastAsia"/>
          <w:rtl/>
        </w:rPr>
        <w:t>המכוננת</w:t>
      </w:r>
      <w:r>
        <w:rPr>
          <w:rtl/>
        </w:rPr>
        <w:t xml:space="preserve"> </w:t>
      </w:r>
      <w:r>
        <w:rPr>
          <w:rFonts w:hint="cs"/>
          <w:rtl/>
        </w:rPr>
        <w:t xml:space="preserve">מגלה קושי נוסף </w:t>
      </w:r>
      <w:r>
        <w:rPr>
          <w:rtl/>
        </w:rPr>
        <w:t>(</w:t>
      </w:r>
      <w:r>
        <w:rPr>
          <w:rFonts w:hint="cs"/>
          <w:rtl/>
        </w:rPr>
        <w:t xml:space="preserve">וראו: </w:t>
      </w:r>
      <w:r>
        <w:rPr>
          <w:rFonts w:hint="eastAsia"/>
          <w:rtl/>
        </w:rPr>
        <w:t>עלי</w:t>
      </w:r>
      <w:r>
        <w:rPr>
          <w:rtl/>
        </w:rPr>
        <w:t xml:space="preserve"> </w:t>
      </w:r>
      <w:r>
        <w:rPr>
          <w:rFonts w:hint="eastAsia"/>
          <w:rtl/>
        </w:rPr>
        <w:t>זלצברגר</w:t>
      </w:r>
      <w:r>
        <w:rPr>
          <w:rtl/>
        </w:rPr>
        <w:t xml:space="preserve"> </w:t>
      </w:r>
      <w:r>
        <w:rPr>
          <w:rFonts w:hint="cs"/>
          <w:rtl/>
        </w:rPr>
        <w:t>ו</w:t>
      </w:r>
      <w:r>
        <w:rPr>
          <w:rFonts w:hint="eastAsia"/>
          <w:rtl/>
        </w:rPr>
        <w:t>אלכסנדר</w:t>
      </w:r>
      <w:r>
        <w:rPr>
          <w:rtl/>
        </w:rPr>
        <w:t xml:space="preserve"> (</w:t>
      </w:r>
      <w:r>
        <w:rPr>
          <w:rFonts w:hint="eastAsia"/>
          <w:rtl/>
        </w:rPr>
        <w:t>סנדי</w:t>
      </w:r>
      <w:r>
        <w:rPr>
          <w:rtl/>
        </w:rPr>
        <w:t xml:space="preserve">) </w:t>
      </w:r>
      <w:r>
        <w:rPr>
          <w:rFonts w:hint="eastAsia"/>
          <w:rtl/>
        </w:rPr>
        <w:t>קדר</w:t>
      </w:r>
      <w:r>
        <w:rPr>
          <w:rtl/>
        </w:rPr>
        <w:t xml:space="preserve"> "</w:t>
      </w:r>
      <w:r>
        <w:rPr>
          <w:rFonts w:hint="eastAsia"/>
          <w:rtl/>
        </w:rPr>
        <w:t>המהפכה</w:t>
      </w:r>
      <w:r>
        <w:rPr>
          <w:rtl/>
        </w:rPr>
        <w:t xml:space="preserve"> </w:t>
      </w:r>
      <w:r>
        <w:rPr>
          <w:rFonts w:hint="eastAsia"/>
          <w:rtl/>
        </w:rPr>
        <w:t>השקטה</w:t>
      </w:r>
      <w:r>
        <w:rPr>
          <w:rtl/>
        </w:rPr>
        <w:t xml:space="preserve"> – </w:t>
      </w:r>
      <w:r>
        <w:rPr>
          <w:rFonts w:hint="eastAsia"/>
          <w:rtl/>
        </w:rPr>
        <w:t>עוד</w:t>
      </w:r>
      <w:r>
        <w:rPr>
          <w:rtl/>
        </w:rPr>
        <w:t xml:space="preserve"> </w:t>
      </w:r>
      <w:r>
        <w:rPr>
          <w:rFonts w:hint="eastAsia"/>
          <w:rtl/>
        </w:rPr>
        <w:t>על</w:t>
      </w:r>
      <w:r>
        <w:rPr>
          <w:rtl/>
        </w:rPr>
        <w:t xml:space="preserve"> </w:t>
      </w:r>
      <w:r>
        <w:rPr>
          <w:rFonts w:hint="eastAsia"/>
          <w:rtl/>
        </w:rPr>
        <w:t>הביקורת</w:t>
      </w:r>
      <w:r>
        <w:rPr>
          <w:rtl/>
        </w:rPr>
        <w:t xml:space="preserve"> </w:t>
      </w:r>
      <w:r>
        <w:rPr>
          <w:rFonts w:hint="eastAsia"/>
          <w:rtl/>
        </w:rPr>
        <w:t>השיפוטית</w:t>
      </w:r>
      <w:r>
        <w:rPr>
          <w:rtl/>
        </w:rPr>
        <w:t xml:space="preserve"> </w:t>
      </w:r>
      <w:r>
        <w:rPr>
          <w:rFonts w:hint="eastAsia"/>
          <w:rtl/>
        </w:rPr>
        <w:t>לפי</w:t>
      </w:r>
      <w:r>
        <w:rPr>
          <w:rtl/>
        </w:rPr>
        <w:t xml:space="preserve"> </w:t>
      </w:r>
      <w:r>
        <w:rPr>
          <w:rFonts w:hint="eastAsia"/>
          <w:rtl/>
        </w:rPr>
        <w:t>חוקי</w:t>
      </w:r>
      <w:r>
        <w:rPr>
          <w:rtl/>
        </w:rPr>
        <w:t>-</w:t>
      </w:r>
      <w:r>
        <w:rPr>
          <w:rFonts w:hint="eastAsia"/>
          <w:rtl/>
        </w:rPr>
        <w:t>היסוד</w:t>
      </w:r>
      <w:r>
        <w:rPr>
          <w:rtl/>
        </w:rPr>
        <w:t xml:space="preserve"> </w:t>
      </w:r>
      <w:r>
        <w:rPr>
          <w:rFonts w:hint="eastAsia"/>
          <w:rtl/>
        </w:rPr>
        <w:t>החדשים</w:t>
      </w:r>
      <w:r>
        <w:rPr>
          <w:rtl/>
        </w:rPr>
        <w:t xml:space="preserve">" </w:t>
      </w:r>
      <w:r w:rsidRPr="00B837EF">
        <w:rPr>
          <w:rFonts w:ascii="Century" w:hAnsi="Century" w:cs="Miriam" w:hint="eastAsia"/>
          <w:b/>
          <w:spacing w:val="0"/>
          <w:sz w:val="22"/>
          <w:szCs w:val="24"/>
          <w:rtl/>
        </w:rPr>
        <w:t>משפט</w:t>
      </w:r>
      <w:r w:rsidRPr="00B837EF">
        <w:rPr>
          <w:rFonts w:ascii="Century" w:hAnsi="Century" w:cs="Miriam"/>
          <w:b/>
          <w:spacing w:val="0"/>
          <w:sz w:val="22"/>
          <w:szCs w:val="24"/>
          <w:rtl/>
        </w:rPr>
        <w:t xml:space="preserve"> </w:t>
      </w:r>
      <w:r w:rsidRPr="00B837EF">
        <w:rPr>
          <w:rFonts w:ascii="Century" w:hAnsi="Century" w:cs="Miriam" w:hint="eastAsia"/>
          <w:b/>
          <w:spacing w:val="0"/>
          <w:sz w:val="22"/>
          <w:szCs w:val="24"/>
          <w:rtl/>
        </w:rPr>
        <w:t>וממשל</w:t>
      </w:r>
      <w:r w:rsidRPr="008A1CFF">
        <w:rPr>
          <w:rtl/>
        </w:rPr>
        <w:t xml:space="preserve"> </w:t>
      </w:r>
      <w:r>
        <w:rPr>
          <w:rFonts w:hint="eastAsia"/>
          <w:rtl/>
        </w:rPr>
        <w:t>ד</w:t>
      </w:r>
      <w:r>
        <w:rPr>
          <w:rtl/>
        </w:rPr>
        <w:t xml:space="preserve"> 489, 499 (1998)).</w:t>
      </w:r>
      <w:r>
        <w:rPr>
          <w:rFonts w:hint="cs"/>
          <w:rtl/>
        </w:rPr>
        <w:t xml:space="preserve"> אולם </w:t>
      </w:r>
      <w:r>
        <w:rPr>
          <w:rFonts w:hint="eastAsia"/>
          <w:rtl/>
        </w:rPr>
        <w:t>משהועמדה</w:t>
      </w:r>
      <w:r>
        <w:rPr>
          <w:rtl/>
        </w:rPr>
        <w:t xml:space="preserve"> </w:t>
      </w:r>
      <w:r>
        <w:rPr>
          <w:rFonts w:hint="eastAsia"/>
          <w:rtl/>
        </w:rPr>
        <w:t>סמכותה</w:t>
      </w:r>
      <w:r>
        <w:rPr>
          <w:rtl/>
        </w:rPr>
        <w:t xml:space="preserve"> </w:t>
      </w:r>
      <w:r>
        <w:rPr>
          <w:rFonts w:hint="eastAsia"/>
          <w:rtl/>
        </w:rPr>
        <w:t>של</w:t>
      </w:r>
      <w:r>
        <w:rPr>
          <w:rtl/>
        </w:rPr>
        <w:t xml:space="preserve"> </w:t>
      </w:r>
      <w:r>
        <w:rPr>
          <w:rFonts w:hint="eastAsia"/>
          <w:rtl/>
        </w:rPr>
        <w:t>הרשות</w:t>
      </w:r>
      <w:r>
        <w:rPr>
          <w:rtl/>
        </w:rPr>
        <w:t xml:space="preserve"> </w:t>
      </w:r>
      <w:r>
        <w:rPr>
          <w:rFonts w:hint="eastAsia"/>
          <w:rtl/>
        </w:rPr>
        <w:t>המכוננת</w:t>
      </w:r>
      <w:r>
        <w:rPr>
          <w:rtl/>
        </w:rPr>
        <w:t xml:space="preserve"> </w:t>
      </w:r>
      <w:r>
        <w:rPr>
          <w:rFonts w:hint="eastAsia"/>
          <w:rtl/>
        </w:rPr>
        <w:t>לכונן</w:t>
      </w:r>
      <w:r>
        <w:rPr>
          <w:rtl/>
        </w:rPr>
        <w:t xml:space="preserve"> "</w:t>
      </w:r>
      <w:r>
        <w:rPr>
          <w:rFonts w:hint="eastAsia"/>
          <w:rtl/>
        </w:rPr>
        <w:t>חוקה</w:t>
      </w:r>
      <w:r>
        <w:rPr>
          <w:rtl/>
        </w:rPr>
        <w:t xml:space="preserve">", </w:t>
      </w:r>
      <w:r>
        <w:rPr>
          <w:rFonts w:hint="cs"/>
          <w:rtl/>
        </w:rPr>
        <w:t>בהסתמך על קיומו של מדרג נורמטיבי, קשה עד בלתי אפשרי כי בית מ</w:t>
      </w:r>
      <w:r>
        <w:rPr>
          <w:rFonts w:hint="eastAsia"/>
          <w:rtl/>
        </w:rPr>
        <w:t>שפט</w:t>
      </w:r>
      <w:r>
        <w:rPr>
          <w:rtl/>
        </w:rPr>
        <w:t xml:space="preserve"> </w:t>
      </w:r>
      <w:r>
        <w:rPr>
          <w:rFonts w:hint="eastAsia"/>
          <w:rtl/>
        </w:rPr>
        <w:t>זה</w:t>
      </w:r>
      <w:r>
        <w:rPr>
          <w:rtl/>
        </w:rPr>
        <w:t xml:space="preserve"> </w:t>
      </w:r>
      <w:r>
        <w:rPr>
          <w:rFonts w:hint="eastAsia"/>
          <w:rtl/>
        </w:rPr>
        <w:t>ייטול</w:t>
      </w:r>
      <w:r>
        <w:rPr>
          <w:rtl/>
        </w:rPr>
        <w:t xml:space="preserve"> </w:t>
      </w:r>
      <w:r>
        <w:rPr>
          <w:rFonts w:hint="eastAsia"/>
          <w:rtl/>
        </w:rPr>
        <w:t>לעצמו</w:t>
      </w:r>
      <w:r>
        <w:rPr>
          <w:rtl/>
        </w:rPr>
        <w:t xml:space="preserve"> </w:t>
      </w:r>
      <w:r>
        <w:rPr>
          <w:rFonts w:hint="eastAsia"/>
          <w:rtl/>
        </w:rPr>
        <w:t>את</w:t>
      </w:r>
      <w:r>
        <w:rPr>
          <w:rtl/>
        </w:rPr>
        <w:t xml:space="preserve"> </w:t>
      </w:r>
      <w:r>
        <w:rPr>
          <w:rFonts w:hint="eastAsia"/>
          <w:rtl/>
        </w:rPr>
        <w:t>המושכות</w:t>
      </w:r>
      <w:r>
        <w:rPr>
          <w:rtl/>
        </w:rPr>
        <w:t xml:space="preserve"> </w:t>
      </w:r>
      <w:r>
        <w:rPr>
          <w:rFonts w:hint="eastAsia"/>
          <w:rtl/>
        </w:rPr>
        <w:t>להכרה</w:t>
      </w:r>
      <w:r>
        <w:rPr>
          <w:rtl/>
        </w:rPr>
        <w:t xml:space="preserve"> </w:t>
      </w:r>
      <w:r>
        <w:rPr>
          <w:rFonts w:hint="eastAsia"/>
          <w:rtl/>
        </w:rPr>
        <w:t>בביקורת</w:t>
      </w:r>
      <w:r>
        <w:rPr>
          <w:rtl/>
        </w:rPr>
        <w:t xml:space="preserve"> </w:t>
      </w:r>
      <w:r>
        <w:rPr>
          <w:rFonts w:hint="eastAsia"/>
          <w:rtl/>
        </w:rPr>
        <w:t>שיפוטית</w:t>
      </w:r>
      <w:r>
        <w:rPr>
          <w:rtl/>
        </w:rPr>
        <w:t xml:space="preserve"> </w:t>
      </w:r>
      <w:r>
        <w:rPr>
          <w:rFonts w:hint="eastAsia"/>
          <w:rtl/>
        </w:rPr>
        <w:t>שיש</w:t>
      </w:r>
      <w:r>
        <w:rPr>
          <w:rtl/>
        </w:rPr>
        <w:t xml:space="preserve"> </w:t>
      </w:r>
      <w:r>
        <w:rPr>
          <w:rFonts w:hint="eastAsia"/>
          <w:rtl/>
        </w:rPr>
        <w:t>בה</w:t>
      </w:r>
      <w:r>
        <w:rPr>
          <w:rtl/>
        </w:rPr>
        <w:t xml:space="preserve"> </w:t>
      </w:r>
      <w:r>
        <w:rPr>
          <w:rFonts w:hint="eastAsia"/>
          <w:rtl/>
        </w:rPr>
        <w:t>כדי</w:t>
      </w:r>
      <w:r>
        <w:rPr>
          <w:rtl/>
        </w:rPr>
        <w:t xml:space="preserve"> </w:t>
      </w:r>
      <w:r>
        <w:rPr>
          <w:rFonts w:hint="eastAsia"/>
          <w:rtl/>
        </w:rPr>
        <w:t>להתגבר</w:t>
      </w:r>
      <w:r>
        <w:rPr>
          <w:rtl/>
        </w:rPr>
        <w:t xml:space="preserve"> </w:t>
      </w:r>
      <w:r>
        <w:rPr>
          <w:rFonts w:hint="eastAsia"/>
          <w:rtl/>
        </w:rPr>
        <w:t>על</w:t>
      </w:r>
      <w:r>
        <w:rPr>
          <w:rtl/>
        </w:rPr>
        <w:t xml:space="preserve"> </w:t>
      </w:r>
      <w:r>
        <w:rPr>
          <w:rFonts w:hint="eastAsia"/>
          <w:rtl/>
        </w:rPr>
        <w:t>אותה</w:t>
      </w:r>
      <w:r>
        <w:rPr>
          <w:rtl/>
        </w:rPr>
        <w:t xml:space="preserve"> "</w:t>
      </w:r>
      <w:r>
        <w:rPr>
          <w:rFonts w:hint="eastAsia"/>
          <w:rtl/>
        </w:rPr>
        <w:t>חוקה</w:t>
      </w:r>
      <w:r>
        <w:rPr>
          <w:rtl/>
        </w:rPr>
        <w:t xml:space="preserve">". </w:t>
      </w:r>
      <w:r w:rsidRPr="008068D2">
        <w:rPr>
          <w:rFonts w:hint="cs"/>
          <w:rtl/>
        </w:rPr>
        <w:t xml:space="preserve">הניסיון </w:t>
      </w:r>
      <w:r>
        <w:rPr>
          <w:rFonts w:hint="cs"/>
          <w:rtl/>
        </w:rPr>
        <w:t>של</w:t>
      </w:r>
      <w:r w:rsidRPr="008068D2">
        <w:rPr>
          <w:rFonts w:hint="cs"/>
          <w:rtl/>
        </w:rPr>
        <w:t xml:space="preserve"> בית המשפט </w:t>
      </w:r>
      <w:r>
        <w:rPr>
          <w:rFonts w:hint="cs"/>
          <w:rtl/>
        </w:rPr>
        <w:t xml:space="preserve">להעביר תחת שבט ביקורתו </w:t>
      </w:r>
      <w:r w:rsidRPr="008068D2">
        <w:rPr>
          <w:rFonts w:hint="cs"/>
          <w:rtl/>
        </w:rPr>
        <w:t xml:space="preserve">את </w:t>
      </w:r>
      <w:r>
        <w:rPr>
          <w:rFonts w:hint="cs"/>
          <w:rtl/>
        </w:rPr>
        <w:t>אותה חוקה, הוא מוקשה ביותר</w:t>
      </w:r>
      <w:r w:rsidRPr="008068D2">
        <w:rPr>
          <w:rFonts w:hint="cs"/>
          <w:rtl/>
        </w:rPr>
        <w:t xml:space="preserve"> וחותר תחת אותה הדרך שבית המשפט עצמו פסע בה בגדרי "המהפכה החוקתית"</w:t>
      </w:r>
      <w:r>
        <w:rPr>
          <w:rFonts w:hint="cs"/>
          <w:rtl/>
        </w:rPr>
        <w:t xml:space="preserve"> אשר רוממה את מעמדה של "החוקה" בהתבסס על "תורת הסמכות המכוננת" (</w:t>
      </w:r>
      <w:r w:rsidRPr="00B837EF">
        <w:rPr>
          <w:rFonts w:ascii="Century" w:hAnsi="Century" w:cs="Miriam" w:hint="cs"/>
          <w:b/>
          <w:spacing w:val="0"/>
          <w:sz w:val="22"/>
          <w:szCs w:val="24"/>
          <w:rtl/>
        </w:rPr>
        <w:t>דותן, חוקה למדינת ישראל</w:t>
      </w:r>
      <w:r w:rsidRPr="003A75B0">
        <w:rPr>
          <w:rFonts w:hint="cs"/>
          <w:rtl/>
        </w:rPr>
        <w:t>,</w:t>
      </w:r>
      <w:r>
        <w:rPr>
          <w:rFonts w:hint="cs"/>
          <w:rtl/>
        </w:rPr>
        <w:t xml:space="preserve"> עמ'</w:t>
      </w:r>
      <w:r w:rsidRPr="003A75B0">
        <w:rPr>
          <w:rFonts w:hint="cs"/>
          <w:rtl/>
        </w:rPr>
        <w:t xml:space="preserve"> 187-186</w:t>
      </w:r>
      <w:r>
        <w:rPr>
          <w:rFonts w:hint="cs"/>
          <w:rtl/>
        </w:rPr>
        <w:t xml:space="preserve">; ראו גם: </w:t>
      </w:r>
      <w:r>
        <w:rPr>
          <w:rFonts w:hint="eastAsia"/>
          <w:rtl/>
        </w:rPr>
        <w:t>יואב</w:t>
      </w:r>
      <w:r>
        <w:rPr>
          <w:rtl/>
        </w:rPr>
        <w:t xml:space="preserve"> </w:t>
      </w:r>
      <w:r>
        <w:rPr>
          <w:rFonts w:hint="eastAsia"/>
          <w:rtl/>
        </w:rPr>
        <w:t>דותן</w:t>
      </w:r>
      <w:r>
        <w:rPr>
          <w:rtl/>
        </w:rPr>
        <w:t xml:space="preserve"> "</w:t>
      </w:r>
      <w:r>
        <w:rPr>
          <w:rFonts w:hint="eastAsia"/>
          <w:rtl/>
        </w:rPr>
        <w:t>חצי</w:t>
      </w:r>
      <w:r>
        <w:rPr>
          <w:rtl/>
        </w:rPr>
        <w:t xml:space="preserve"> </w:t>
      </w:r>
      <w:r>
        <w:rPr>
          <w:rFonts w:hint="eastAsia"/>
          <w:rtl/>
        </w:rPr>
        <w:t>יובל</w:t>
      </w:r>
      <w:r>
        <w:rPr>
          <w:rtl/>
        </w:rPr>
        <w:t xml:space="preserve"> </w:t>
      </w:r>
      <w:r>
        <w:rPr>
          <w:rFonts w:hint="eastAsia"/>
          <w:rtl/>
        </w:rPr>
        <w:t>לפסק</w:t>
      </w:r>
      <w:r>
        <w:rPr>
          <w:rtl/>
        </w:rPr>
        <w:t xml:space="preserve"> </w:t>
      </w:r>
      <w:r>
        <w:rPr>
          <w:rFonts w:hint="eastAsia"/>
          <w:rtl/>
        </w:rPr>
        <w:t>דין</w:t>
      </w:r>
      <w:r>
        <w:rPr>
          <w:rtl/>
        </w:rPr>
        <w:t xml:space="preserve"> </w:t>
      </w:r>
      <w:r>
        <w:rPr>
          <w:rFonts w:hint="eastAsia"/>
          <w:rtl/>
        </w:rPr>
        <w:t>בנק</w:t>
      </w:r>
      <w:r>
        <w:rPr>
          <w:rtl/>
        </w:rPr>
        <w:t xml:space="preserve"> </w:t>
      </w:r>
      <w:r>
        <w:rPr>
          <w:rFonts w:hint="eastAsia"/>
          <w:rtl/>
        </w:rPr>
        <w:t>המזרחי</w:t>
      </w:r>
      <w:r>
        <w:rPr>
          <w:rtl/>
        </w:rPr>
        <w:t xml:space="preserve">: </w:t>
      </w:r>
      <w:r>
        <w:rPr>
          <w:rFonts w:hint="eastAsia"/>
          <w:rtl/>
        </w:rPr>
        <w:t>שאון</w:t>
      </w:r>
      <w:r>
        <w:rPr>
          <w:rtl/>
        </w:rPr>
        <w:t xml:space="preserve"> </w:t>
      </w:r>
      <w:r>
        <w:rPr>
          <w:rFonts w:hint="eastAsia"/>
          <w:rtl/>
        </w:rPr>
        <w:t>תופי</w:t>
      </w:r>
      <w:r>
        <w:rPr>
          <w:rtl/>
        </w:rPr>
        <w:t xml:space="preserve"> </w:t>
      </w:r>
      <w:r>
        <w:rPr>
          <w:rFonts w:hint="eastAsia"/>
          <w:rtl/>
        </w:rPr>
        <w:t>המהפכה</w:t>
      </w:r>
      <w:r>
        <w:rPr>
          <w:rtl/>
        </w:rPr>
        <w:t xml:space="preserve"> </w:t>
      </w:r>
      <w:r>
        <w:rPr>
          <w:rFonts w:hint="eastAsia"/>
          <w:rtl/>
        </w:rPr>
        <w:t>וקולו</w:t>
      </w:r>
      <w:r>
        <w:rPr>
          <w:rtl/>
        </w:rPr>
        <w:t xml:space="preserve"> </w:t>
      </w:r>
      <w:r>
        <w:rPr>
          <w:rFonts w:hint="eastAsia"/>
          <w:rtl/>
        </w:rPr>
        <w:t>של</w:t>
      </w:r>
      <w:r>
        <w:rPr>
          <w:rtl/>
        </w:rPr>
        <w:t xml:space="preserve"> </w:t>
      </w:r>
      <w:r>
        <w:rPr>
          <w:rFonts w:hint="eastAsia"/>
          <w:rtl/>
        </w:rPr>
        <w:t>הפיקולו</w:t>
      </w:r>
      <w:r>
        <w:rPr>
          <w:rtl/>
        </w:rPr>
        <w:t xml:space="preserve"> – </w:t>
      </w:r>
      <w:r>
        <w:rPr>
          <w:rFonts w:hint="eastAsia"/>
          <w:rtl/>
        </w:rPr>
        <w:t>מורשתו</w:t>
      </w:r>
      <w:r>
        <w:rPr>
          <w:rtl/>
        </w:rPr>
        <w:t xml:space="preserve"> </w:t>
      </w:r>
      <w:r>
        <w:rPr>
          <w:rFonts w:hint="eastAsia"/>
          <w:rtl/>
        </w:rPr>
        <w:t>החוקתית</w:t>
      </w:r>
      <w:r>
        <w:rPr>
          <w:rtl/>
        </w:rPr>
        <w:t xml:space="preserve"> </w:t>
      </w:r>
      <w:r>
        <w:rPr>
          <w:rFonts w:hint="eastAsia"/>
          <w:rtl/>
        </w:rPr>
        <w:t>של</w:t>
      </w:r>
      <w:r>
        <w:rPr>
          <w:rtl/>
        </w:rPr>
        <w:t xml:space="preserve"> </w:t>
      </w:r>
      <w:r>
        <w:rPr>
          <w:rFonts w:hint="eastAsia"/>
          <w:rtl/>
        </w:rPr>
        <w:t>השופט</w:t>
      </w:r>
      <w:r>
        <w:rPr>
          <w:rtl/>
        </w:rPr>
        <w:t xml:space="preserve"> </w:t>
      </w:r>
      <w:r>
        <w:rPr>
          <w:rFonts w:hint="eastAsia"/>
          <w:rtl/>
        </w:rPr>
        <w:t>מישאל</w:t>
      </w:r>
      <w:r>
        <w:rPr>
          <w:rtl/>
        </w:rPr>
        <w:t xml:space="preserve"> </w:t>
      </w:r>
      <w:r>
        <w:rPr>
          <w:rFonts w:hint="eastAsia"/>
          <w:rtl/>
        </w:rPr>
        <w:t>חשין</w:t>
      </w:r>
      <w:r>
        <w:rPr>
          <w:rtl/>
        </w:rPr>
        <w:t xml:space="preserve">" </w:t>
      </w:r>
      <w:r w:rsidRPr="00B837EF">
        <w:rPr>
          <w:rFonts w:ascii="Century" w:hAnsi="Century" w:cs="Miriam" w:hint="eastAsia"/>
          <w:b/>
          <w:spacing w:val="0"/>
          <w:szCs w:val="24"/>
          <w:rtl/>
        </w:rPr>
        <w:t>משפטים</w:t>
      </w:r>
      <w:r w:rsidRPr="00B837EF">
        <w:rPr>
          <w:rFonts w:ascii="Century" w:hAnsi="Century" w:cs="Miriam"/>
          <w:b/>
          <w:spacing w:val="0"/>
          <w:szCs w:val="24"/>
          <w:rtl/>
        </w:rPr>
        <w:t xml:space="preserve"> </w:t>
      </w:r>
      <w:r w:rsidRPr="00B837EF">
        <w:rPr>
          <w:rFonts w:ascii="Century" w:hAnsi="Century" w:cs="Miriam" w:hint="eastAsia"/>
          <w:b/>
          <w:spacing w:val="0"/>
          <w:szCs w:val="24"/>
          <w:rtl/>
        </w:rPr>
        <w:t>ועסקים</w:t>
      </w:r>
      <w:r w:rsidRPr="008A1CFF">
        <w:rPr>
          <w:rtl/>
        </w:rPr>
        <w:t xml:space="preserve"> </w:t>
      </w:r>
      <w:r>
        <w:rPr>
          <w:rFonts w:hint="eastAsia"/>
          <w:rtl/>
        </w:rPr>
        <w:t>כו</w:t>
      </w:r>
      <w:r>
        <w:rPr>
          <w:rtl/>
        </w:rPr>
        <w:t xml:space="preserve"> 1, 32-31 (</w:t>
      </w:r>
      <w:r>
        <w:rPr>
          <w:rFonts w:hint="cs"/>
          <w:rtl/>
        </w:rPr>
        <w:t xml:space="preserve">2022) (להלן: </w:t>
      </w:r>
      <w:r w:rsidRPr="00B837EF">
        <w:rPr>
          <w:rFonts w:ascii="Century" w:hAnsi="Century" w:cs="Miriam" w:hint="cs"/>
          <w:b/>
          <w:spacing w:val="0"/>
          <w:sz w:val="22"/>
          <w:szCs w:val="24"/>
          <w:rtl/>
        </w:rPr>
        <w:t>דותן, חצי יובל לפסק דין בנק המזרחי</w:t>
      </w:r>
      <w:r>
        <w:rPr>
          <w:rFonts w:hint="cs"/>
          <w:rtl/>
        </w:rPr>
        <w:t>)).</w:t>
      </w:r>
    </w:p>
    <w:p w:rsidR="00737972" w:rsidRDefault="00737972" w:rsidP="00737972">
      <w:pPr>
        <w:pStyle w:val="Ruller41"/>
        <w:rPr>
          <w:rtl/>
        </w:rPr>
      </w:pPr>
    </w:p>
    <w:p w:rsidR="00737972" w:rsidRDefault="00737972" w:rsidP="00737972">
      <w:pPr>
        <w:pStyle w:val="Ruller4"/>
        <w:rPr>
          <w:rtl/>
        </w:rPr>
      </w:pPr>
      <w:r>
        <w:rPr>
          <w:rFonts w:hint="cs"/>
          <w:rtl/>
        </w:rPr>
        <w:t xml:space="preserve">נזכיר בהקשר זה כי במשך עשרות שנים, הרבה אחרי שבאה לאוויר העולם הכרזת העצמאות, ולפני "המהפכה החוקתית", התפיסה המושרשת הייתה כי אין בכוחם של "עקרונות היסוד של השיטה" כדי להביא לביטולה של הוראה כלשהי מספר החוקים. כפי שהתבטא בהקשר זה השופט </w:t>
      </w:r>
      <w:r w:rsidRPr="007F1F8A">
        <w:rPr>
          <w:rFonts w:ascii="Century" w:hAnsi="Century" w:cs="Miriam" w:hint="cs"/>
          <w:b/>
          <w:spacing w:val="0"/>
          <w:sz w:val="22"/>
          <w:szCs w:val="24"/>
          <w:rtl/>
        </w:rPr>
        <w:t>א' ברק</w:t>
      </w:r>
      <w:r>
        <w:rPr>
          <w:rFonts w:hint="cs"/>
          <w:rtl/>
        </w:rPr>
        <w:t>:</w:t>
      </w:r>
    </w:p>
    <w:p w:rsidR="00737972" w:rsidRPr="007F1F8A" w:rsidRDefault="00737972" w:rsidP="00737972">
      <w:pPr>
        <w:pStyle w:val="Ruller41"/>
        <w:rPr>
          <w:rtl/>
        </w:rPr>
      </w:pPr>
    </w:p>
    <w:p w:rsidR="00737972" w:rsidRPr="003A75B0" w:rsidRDefault="00737972" w:rsidP="00737972">
      <w:pPr>
        <w:pStyle w:val="Ruller5"/>
        <w:rPr>
          <w:rtl/>
        </w:rPr>
      </w:pPr>
      <w:r>
        <w:rPr>
          <w:rFonts w:hint="cs"/>
          <w:rtl/>
        </w:rPr>
        <w:t xml:space="preserve">"עליונות המחוקק נתפסה כמשתרעת גם על חקיקת חוקים הנוגדים זכויות אדם. נסיונות להביא לבטלותם של חוקים </w:t>
      </w:r>
      <w:r>
        <w:rPr>
          <w:rFonts w:hint="cs"/>
          <w:rtl/>
        </w:rPr>
        <w:lastRenderedPageBreak/>
        <w:t>שפגעו בעיקרון זה או אחר מעקרונות היסוד של השיטה ובזכות זו או אחרת מזכויות היסוד, נכשלו</w:t>
      </w:r>
      <w:r w:rsidRPr="003A75B0">
        <w:rPr>
          <w:rFonts w:hint="cs"/>
          <w:rtl/>
        </w:rPr>
        <w:t>" (</w:t>
      </w:r>
      <w:r w:rsidRPr="00620A54">
        <w:rPr>
          <w:rFonts w:ascii="Century" w:hAnsi="Century" w:cs="Miriam" w:hint="cs"/>
          <w:b/>
          <w:spacing w:val="0"/>
          <w:szCs w:val="24"/>
          <w:rtl/>
        </w:rPr>
        <w:t>ברק, זכויות יסוד מוגנות</w:t>
      </w:r>
      <w:r>
        <w:rPr>
          <w:rFonts w:hint="cs"/>
          <w:rtl/>
        </w:rPr>
        <w:t>, עמ' 11).</w:t>
      </w:r>
    </w:p>
    <w:p w:rsidR="00737972" w:rsidRPr="003A75B0" w:rsidRDefault="00737972" w:rsidP="00737972">
      <w:pPr>
        <w:pStyle w:val="Ruller41"/>
        <w:rPr>
          <w:rtl/>
        </w:rPr>
      </w:pPr>
    </w:p>
    <w:p w:rsidR="00737972" w:rsidRDefault="00737972" w:rsidP="00737972">
      <w:pPr>
        <w:pStyle w:val="Ruller41"/>
        <w:rPr>
          <w:rtl/>
        </w:rPr>
      </w:pPr>
      <w:r w:rsidRPr="003A75B0">
        <w:rPr>
          <w:rtl/>
        </w:rPr>
        <w:tab/>
      </w:r>
      <w:r w:rsidRPr="003A75B0">
        <w:rPr>
          <w:rFonts w:hint="cs"/>
          <w:rtl/>
        </w:rPr>
        <w:t>הנחת היסוד שהשתרשה וקיבלה ביטוי חד-משמעי בפסיקה, הייתה כי:</w:t>
      </w:r>
    </w:p>
    <w:p w:rsidR="00737972" w:rsidRDefault="00737972" w:rsidP="00737972">
      <w:pPr>
        <w:pStyle w:val="Ruller41"/>
        <w:rPr>
          <w:rtl/>
        </w:rPr>
      </w:pPr>
    </w:p>
    <w:p w:rsidR="00737972" w:rsidRDefault="00737972" w:rsidP="00737972">
      <w:pPr>
        <w:pStyle w:val="Ruller5"/>
        <w:rPr>
          <w:rtl/>
        </w:rPr>
      </w:pPr>
      <w:r>
        <w:rPr>
          <w:rFonts w:hint="cs"/>
          <w:rtl/>
        </w:rPr>
        <w:t xml:space="preserve">"אין </w:t>
      </w:r>
      <w:r w:rsidRPr="007F1F8A">
        <w:rPr>
          <w:rFonts w:hint="eastAsia"/>
          <w:rtl/>
        </w:rPr>
        <w:t>בית</w:t>
      </w:r>
      <w:r w:rsidRPr="007F1F8A">
        <w:rPr>
          <w:rtl/>
        </w:rPr>
        <w:t xml:space="preserve"> </w:t>
      </w:r>
      <w:r w:rsidRPr="007F1F8A">
        <w:rPr>
          <w:rFonts w:hint="eastAsia"/>
          <w:rtl/>
        </w:rPr>
        <w:t>המשפט</w:t>
      </w:r>
      <w:r w:rsidRPr="007F1F8A">
        <w:rPr>
          <w:rtl/>
        </w:rPr>
        <w:t xml:space="preserve"> </w:t>
      </w:r>
      <w:r w:rsidRPr="007F1F8A">
        <w:rPr>
          <w:rFonts w:hint="eastAsia"/>
          <w:rtl/>
        </w:rPr>
        <w:t>נוטל</w:t>
      </w:r>
      <w:r w:rsidRPr="007F1F8A">
        <w:rPr>
          <w:rtl/>
        </w:rPr>
        <w:t xml:space="preserve"> </w:t>
      </w:r>
      <w:r w:rsidRPr="007F1F8A">
        <w:rPr>
          <w:rFonts w:hint="eastAsia"/>
          <w:rtl/>
        </w:rPr>
        <w:t>לעצמו</w:t>
      </w:r>
      <w:r w:rsidRPr="007F1F8A">
        <w:rPr>
          <w:rtl/>
        </w:rPr>
        <w:t xml:space="preserve"> </w:t>
      </w:r>
      <w:r w:rsidRPr="007F1F8A">
        <w:rPr>
          <w:rFonts w:hint="eastAsia"/>
          <w:rtl/>
        </w:rPr>
        <w:t>סמכות</w:t>
      </w:r>
      <w:r w:rsidRPr="007F1F8A">
        <w:rPr>
          <w:rtl/>
        </w:rPr>
        <w:t xml:space="preserve"> </w:t>
      </w:r>
      <w:r w:rsidRPr="007F1F8A">
        <w:rPr>
          <w:rFonts w:hint="eastAsia"/>
          <w:rtl/>
        </w:rPr>
        <w:t>זו</w:t>
      </w:r>
      <w:r w:rsidRPr="007F1F8A">
        <w:rPr>
          <w:rtl/>
        </w:rPr>
        <w:t xml:space="preserve"> </w:t>
      </w:r>
      <w:r w:rsidRPr="007F1F8A">
        <w:rPr>
          <w:rFonts w:hint="eastAsia"/>
          <w:rtl/>
        </w:rPr>
        <w:t>להכריז</w:t>
      </w:r>
      <w:r w:rsidRPr="007F1F8A">
        <w:rPr>
          <w:rtl/>
        </w:rPr>
        <w:t xml:space="preserve"> </w:t>
      </w:r>
      <w:r w:rsidRPr="007F1F8A">
        <w:rPr>
          <w:rFonts w:hint="eastAsia"/>
          <w:rtl/>
        </w:rPr>
        <w:t>על</w:t>
      </w:r>
      <w:r w:rsidRPr="007F1F8A">
        <w:rPr>
          <w:rtl/>
        </w:rPr>
        <w:t xml:space="preserve"> </w:t>
      </w:r>
      <w:r w:rsidRPr="007F1F8A">
        <w:rPr>
          <w:rFonts w:hint="eastAsia"/>
          <w:rtl/>
        </w:rPr>
        <w:t>בטלותו</w:t>
      </w:r>
      <w:r w:rsidRPr="007F1F8A">
        <w:rPr>
          <w:rtl/>
        </w:rPr>
        <w:t xml:space="preserve"> </w:t>
      </w:r>
      <w:r w:rsidRPr="007F1F8A">
        <w:rPr>
          <w:rFonts w:hint="eastAsia"/>
          <w:rtl/>
        </w:rPr>
        <w:t>של</w:t>
      </w:r>
      <w:r w:rsidRPr="007F1F8A">
        <w:rPr>
          <w:rtl/>
        </w:rPr>
        <w:t xml:space="preserve"> </w:t>
      </w:r>
      <w:r w:rsidRPr="007F1F8A">
        <w:rPr>
          <w:rFonts w:hint="eastAsia"/>
          <w:rtl/>
        </w:rPr>
        <w:t>חוק</w:t>
      </w:r>
      <w:r w:rsidRPr="007F1F8A">
        <w:rPr>
          <w:rtl/>
        </w:rPr>
        <w:t xml:space="preserve"> </w:t>
      </w:r>
      <w:r w:rsidRPr="007F1F8A">
        <w:rPr>
          <w:rFonts w:hint="eastAsia"/>
          <w:rtl/>
        </w:rPr>
        <w:t>הנוגד</w:t>
      </w:r>
      <w:r w:rsidRPr="007F1F8A">
        <w:rPr>
          <w:rtl/>
        </w:rPr>
        <w:t xml:space="preserve"> </w:t>
      </w:r>
      <w:r w:rsidRPr="007F1F8A">
        <w:rPr>
          <w:rFonts w:hint="eastAsia"/>
          <w:rtl/>
        </w:rPr>
        <w:t>עקרונות</w:t>
      </w:r>
      <w:r w:rsidRPr="007F1F8A">
        <w:rPr>
          <w:rtl/>
        </w:rPr>
        <w:t xml:space="preserve"> </w:t>
      </w:r>
      <w:r w:rsidRPr="007F1F8A">
        <w:rPr>
          <w:rFonts w:hint="eastAsia"/>
          <w:rtl/>
        </w:rPr>
        <w:t>יסוד</w:t>
      </w:r>
      <w:r w:rsidRPr="007F1F8A">
        <w:rPr>
          <w:rtl/>
        </w:rPr>
        <w:t xml:space="preserve"> </w:t>
      </w:r>
      <w:r w:rsidRPr="007F1F8A">
        <w:rPr>
          <w:rFonts w:hint="eastAsia"/>
          <w:rtl/>
        </w:rPr>
        <w:t>של</w:t>
      </w:r>
      <w:r w:rsidRPr="007F1F8A">
        <w:rPr>
          <w:rtl/>
        </w:rPr>
        <w:t xml:space="preserve"> </w:t>
      </w:r>
      <w:r w:rsidRPr="007F1F8A">
        <w:rPr>
          <w:rFonts w:hint="eastAsia"/>
          <w:rtl/>
        </w:rPr>
        <w:t>שיטתנו</w:t>
      </w:r>
      <w:r w:rsidRPr="007F1F8A">
        <w:rPr>
          <w:rtl/>
        </w:rPr>
        <w:t xml:space="preserve">. </w:t>
      </w:r>
      <w:r w:rsidRPr="007F1F8A">
        <w:rPr>
          <w:rFonts w:hint="eastAsia"/>
          <w:rtl/>
        </w:rPr>
        <w:t>תפיסה</w:t>
      </w:r>
      <w:r w:rsidRPr="007F1F8A">
        <w:rPr>
          <w:rtl/>
        </w:rPr>
        <w:t xml:space="preserve"> </w:t>
      </w:r>
      <w:r w:rsidRPr="007F1F8A">
        <w:rPr>
          <w:rFonts w:hint="eastAsia"/>
          <w:rtl/>
        </w:rPr>
        <w:t>זו</w:t>
      </w:r>
      <w:r w:rsidRPr="007F1F8A">
        <w:rPr>
          <w:rtl/>
        </w:rPr>
        <w:t xml:space="preserve">, </w:t>
      </w:r>
      <w:r w:rsidRPr="007F1F8A">
        <w:rPr>
          <w:rFonts w:hint="eastAsia"/>
          <w:rtl/>
        </w:rPr>
        <w:t>קיבלנוה</w:t>
      </w:r>
      <w:r w:rsidRPr="007F1F8A">
        <w:rPr>
          <w:rtl/>
        </w:rPr>
        <w:t xml:space="preserve"> </w:t>
      </w:r>
      <w:r w:rsidRPr="007F1F8A">
        <w:rPr>
          <w:rFonts w:hint="eastAsia"/>
          <w:rtl/>
        </w:rPr>
        <w:t>בירושה</w:t>
      </w:r>
      <w:r w:rsidRPr="007F1F8A">
        <w:rPr>
          <w:rtl/>
        </w:rPr>
        <w:t xml:space="preserve"> </w:t>
      </w:r>
      <w:r w:rsidRPr="007F1F8A">
        <w:rPr>
          <w:rFonts w:hint="eastAsia"/>
          <w:rtl/>
        </w:rPr>
        <w:t>מהתפיסה</w:t>
      </w:r>
      <w:r w:rsidRPr="007F1F8A">
        <w:rPr>
          <w:rtl/>
        </w:rPr>
        <w:t xml:space="preserve"> </w:t>
      </w:r>
      <w:r w:rsidRPr="007F1F8A">
        <w:rPr>
          <w:rFonts w:hint="eastAsia"/>
          <w:rtl/>
        </w:rPr>
        <w:t>האנגלית</w:t>
      </w:r>
      <w:r w:rsidRPr="007F1F8A">
        <w:rPr>
          <w:rtl/>
        </w:rPr>
        <w:t xml:space="preserve"> </w:t>
      </w:r>
      <w:r w:rsidRPr="007F1F8A">
        <w:rPr>
          <w:rFonts w:hint="eastAsia"/>
          <w:rtl/>
        </w:rPr>
        <w:t>ופיתחנו</w:t>
      </w:r>
      <w:r w:rsidRPr="007F1F8A">
        <w:rPr>
          <w:rtl/>
        </w:rPr>
        <w:t xml:space="preserve"> </w:t>
      </w:r>
      <w:r w:rsidRPr="007F1F8A">
        <w:rPr>
          <w:rFonts w:hint="eastAsia"/>
          <w:rtl/>
        </w:rPr>
        <w:t>אותה</w:t>
      </w:r>
      <w:r w:rsidRPr="007F1F8A">
        <w:rPr>
          <w:rtl/>
        </w:rPr>
        <w:t xml:space="preserve"> </w:t>
      </w:r>
      <w:r w:rsidRPr="007F1F8A">
        <w:rPr>
          <w:rFonts w:hint="eastAsia"/>
          <w:rtl/>
        </w:rPr>
        <w:t>על</w:t>
      </w:r>
      <w:r w:rsidRPr="007F1F8A">
        <w:rPr>
          <w:rtl/>
        </w:rPr>
        <w:t xml:space="preserve"> </w:t>
      </w:r>
      <w:r w:rsidRPr="007F1F8A">
        <w:rPr>
          <w:rFonts w:hint="eastAsia"/>
          <w:rtl/>
        </w:rPr>
        <w:t>רקע</w:t>
      </w:r>
      <w:r w:rsidRPr="007F1F8A">
        <w:rPr>
          <w:rtl/>
        </w:rPr>
        <w:t xml:space="preserve"> </w:t>
      </w:r>
      <w:r w:rsidRPr="007F1F8A">
        <w:rPr>
          <w:rFonts w:hint="eastAsia"/>
          <w:rtl/>
        </w:rPr>
        <w:t>המציאות</w:t>
      </w:r>
      <w:r w:rsidRPr="007F1F8A">
        <w:rPr>
          <w:rtl/>
        </w:rPr>
        <w:t xml:space="preserve"> </w:t>
      </w:r>
      <w:r w:rsidRPr="007F1F8A">
        <w:rPr>
          <w:rFonts w:hint="eastAsia"/>
          <w:rtl/>
        </w:rPr>
        <w:t>של</w:t>
      </w:r>
      <w:r w:rsidRPr="007F1F8A">
        <w:rPr>
          <w:rtl/>
        </w:rPr>
        <w:t xml:space="preserve"> </w:t>
      </w:r>
      <w:r w:rsidRPr="007F1F8A">
        <w:rPr>
          <w:rFonts w:hint="eastAsia"/>
          <w:rtl/>
        </w:rPr>
        <w:t>הדמוקרטיה</w:t>
      </w:r>
      <w:r w:rsidRPr="007F1F8A">
        <w:rPr>
          <w:rtl/>
        </w:rPr>
        <w:t xml:space="preserve"> </w:t>
      </w:r>
      <w:r w:rsidRPr="007F1F8A">
        <w:rPr>
          <w:rFonts w:hint="eastAsia"/>
          <w:rtl/>
        </w:rPr>
        <w:t>שלנו</w:t>
      </w:r>
      <w:r w:rsidRPr="007F1F8A">
        <w:rPr>
          <w:rtl/>
        </w:rPr>
        <w:t xml:space="preserve">. </w:t>
      </w:r>
      <w:r w:rsidRPr="007F1F8A">
        <w:rPr>
          <w:rFonts w:hint="eastAsia"/>
          <w:rtl/>
        </w:rPr>
        <w:t>כך</w:t>
      </w:r>
      <w:r w:rsidRPr="007F1F8A">
        <w:rPr>
          <w:rtl/>
        </w:rPr>
        <w:t xml:space="preserve"> </w:t>
      </w:r>
      <w:r w:rsidRPr="007F1F8A">
        <w:rPr>
          <w:rFonts w:hint="eastAsia"/>
          <w:rtl/>
        </w:rPr>
        <w:t>אנו</w:t>
      </w:r>
      <w:r w:rsidRPr="007F1F8A">
        <w:rPr>
          <w:rtl/>
        </w:rPr>
        <w:t xml:space="preserve"> </w:t>
      </w:r>
      <w:r w:rsidRPr="007F1F8A">
        <w:rPr>
          <w:rFonts w:hint="eastAsia"/>
          <w:rtl/>
        </w:rPr>
        <w:t>נוהגים</w:t>
      </w:r>
      <w:r w:rsidRPr="007F1F8A">
        <w:rPr>
          <w:rtl/>
        </w:rPr>
        <w:t xml:space="preserve"> </w:t>
      </w:r>
      <w:r w:rsidRPr="007F1F8A">
        <w:rPr>
          <w:rFonts w:hint="eastAsia"/>
          <w:rtl/>
        </w:rPr>
        <w:t>זה</w:t>
      </w:r>
      <w:r w:rsidRPr="007F1F8A">
        <w:rPr>
          <w:rtl/>
        </w:rPr>
        <w:t xml:space="preserve"> </w:t>
      </w:r>
      <w:r w:rsidRPr="007F1F8A">
        <w:rPr>
          <w:rFonts w:hint="eastAsia"/>
          <w:rtl/>
        </w:rPr>
        <w:t>למעלה</w:t>
      </w:r>
      <w:r w:rsidRPr="007F1F8A">
        <w:rPr>
          <w:rtl/>
        </w:rPr>
        <w:t xml:space="preserve"> </w:t>
      </w:r>
      <w:r w:rsidRPr="007F1F8A">
        <w:rPr>
          <w:rFonts w:hint="eastAsia"/>
          <w:rtl/>
        </w:rPr>
        <w:t>מארבעים</w:t>
      </w:r>
      <w:r w:rsidRPr="007F1F8A">
        <w:rPr>
          <w:rtl/>
        </w:rPr>
        <w:t xml:space="preserve"> </w:t>
      </w:r>
      <w:r w:rsidRPr="007F1F8A">
        <w:rPr>
          <w:rFonts w:hint="eastAsia"/>
          <w:rtl/>
        </w:rPr>
        <w:t>שנה</w:t>
      </w:r>
      <w:r w:rsidRPr="007F1F8A">
        <w:rPr>
          <w:rtl/>
        </w:rPr>
        <w:t xml:space="preserve">. </w:t>
      </w:r>
      <w:r w:rsidRPr="007F1F8A">
        <w:rPr>
          <w:rFonts w:hint="eastAsia"/>
          <w:rtl/>
        </w:rPr>
        <w:t>היא</w:t>
      </w:r>
      <w:r w:rsidRPr="007F1F8A">
        <w:rPr>
          <w:rtl/>
        </w:rPr>
        <w:t xml:space="preserve"> </w:t>
      </w:r>
      <w:r w:rsidRPr="007F1F8A">
        <w:rPr>
          <w:rFonts w:hint="eastAsia"/>
          <w:rtl/>
        </w:rPr>
        <w:t>משקפת</w:t>
      </w:r>
      <w:r w:rsidRPr="007F1F8A">
        <w:rPr>
          <w:rtl/>
        </w:rPr>
        <w:t xml:space="preserve"> </w:t>
      </w:r>
      <w:r w:rsidRPr="007F1F8A">
        <w:rPr>
          <w:rFonts w:hint="eastAsia"/>
          <w:rtl/>
        </w:rPr>
        <w:t>את</w:t>
      </w:r>
      <w:r w:rsidRPr="007F1F8A">
        <w:rPr>
          <w:rtl/>
        </w:rPr>
        <w:t xml:space="preserve"> </w:t>
      </w:r>
      <w:r w:rsidRPr="007F1F8A">
        <w:rPr>
          <w:rFonts w:hint="eastAsia"/>
          <w:rtl/>
        </w:rPr>
        <w:t>ההסכמה</w:t>
      </w:r>
      <w:r w:rsidRPr="007F1F8A">
        <w:rPr>
          <w:rtl/>
        </w:rPr>
        <w:t xml:space="preserve"> </w:t>
      </w:r>
      <w:r w:rsidRPr="007F1F8A">
        <w:rPr>
          <w:rFonts w:hint="eastAsia"/>
          <w:rtl/>
        </w:rPr>
        <w:t>החברתית</w:t>
      </w:r>
      <w:r w:rsidRPr="007F1F8A">
        <w:rPr>
          <w:rtl/>
        </w:rPr>
        <w:t xml:space="preserve"> </w:t>
      </w:r>
      <w:r w:rsidRPr="007F1F8A">
        <w:rPr>
          <w:rFonts w:hint="eastAsia"/>
          <w:rtl/>
        </w:rPr>
        <w:t>בישראל</w:t>
      </w:r>
      <w:r w:rsidRPr="007F1F8A">
        <w:rPr>
          <w:rtl/>
        </w:rPr>
        <w:t xml:space="preserve">, </w:t>
      </w:r>
      <w:r w:rsidRPr="007F1F8A">
        <w:rPr>
          <w:rFonts w:hint="eastAsia"/>
          <w:rtl/>
        </w:rPr>
        <w:t>והיא</w:t>
      </w:r>
      <w:r w:rsidRPr="007F1F8A">
        <w:rPr>
          <w:rtl/>
        </w:rPr>
        <w:t xml:space="preserve"> </w:t>
      </w:r>
      <w:r w:rsidRPr="007F1F8A">
        <w:rPr>
          <w:rFonts w:hint="eastAsia"/>
          <w:rtl/>
        </w:rPr>
        <w:t>נהנית</w:t>
      </w:r>
      <w:r w:rsidRPr="007F1F8A">
        <w:rPr>
          <w:rtl/>
        </w:rPr>
        <w:t xml:space="preserve"> </w:t>
      </w:r>
      <w:r w:rsidRPr="007F1F8A">
        <w:rPr>
          <w:rFonts w:hint="eastAsia"/>
          <w:rtl/>
        </w:rPr>
        <w:t>מקונצנזוס</w:t>
      </w:r>
      <w:r w:rsidRPr="007F1F8A">
        <w:rPr>
          <w:rtl/>
        </w:rPr>
        <w:t xml:space="preserve"> </w:t>
      </w:r>
      <w:r w:rsidRPr="007F1F8A">
        <w:rPr>
          <w:rFonts w:hint="eastAsia"/>
          <w:rtl/>
        </w:rPr>
        <w:t>של</w:t>
      </w:r>
      <w:r w:rsidRPr="007F1F8A">
        <w:rPr>
          <w:rtl/>
        </w:rPr>
        <w:t xml:space="preserve"> </w:t>
      </w:r>
      <w:r w:rsidRPr="007F1F8A">
        <w:rPr>
          <w:rFonts w:hint="eastAsia"/>
          <w:rtl/>
        </w:rPr>
        <w:t>הציבור</w:t>
      </w:r>
      <w:r w:rsidRPr="007F1F8A">
        <w:rPr>
          <w:rtl/>
        </w:rPr>
        <w:t xml:space="preserve"> </w:t>
      </w:r>
      <w:r w:rsidRPr="007F1F8A">
        <w:rPr>
          <w:rFonts w:hint="eastAsia"/>
          <w:rtl/>
        </w:rPr>
        <w:t>הנאור</w:t>
      </w:r>
      <w:r>
        <w:rPr>
          <w:rFonts w:hint="cs"/>
          <w:rtl/>
        </w:rPr>
        <w:t xml:space="preserve">" (עניין </w:t>
      </w:r>
      <w:r w:rsidRPr="003A75B0">
        <w:rPr>
          <w:rFonts w:ascii="Century" w:hAnsi="Century" w:cs="Miriam" w:hint="cs"/>
          <w:b/>
          <w:spacing w:val="0"/>
          <w:szCs w:val="24"/>
          <w:rtl/>
        </w:rPr>
        <w:t>לאו"ר</w:t>
      </w:r>
      <w:r>
        <w:rPr>
          <w:rFonts w:hint="cs"/>
          <w:rtl/>
        </w:rPr>
        <w:t>, עמ' 554).</w:t>
      </w:r>
    </w:p>
    <w:p w:rsidR="00737972" w:rsidRDefault="00737972" w:rsidP="00737972">
      <w:pPr>
        <w:pStyle w:val="Ruller41"/>
        <w:rPr>
          <w:rtl/>
        </w:rPr>
      </w:pPr>
    </w:p>
    <w:p w:rsidR="00737972" w:rsidRPr="00BD4172" w:rsidRDefault="00737972" w:rsidP="00737972">
      <w:pPr>
        <w:pStyle w:val="Ruller41"/>
        <w:rPr>
          <w:rtl/>
        </w:rPr>
      </w:pPr>
      <w:r>
        <w:rPr>
          <w:rtl/>
        </w:rPr>
        <w:tab/>
      </w:r>
      <w:r>
        <w:rPr>
          <w:rFonts w:hint="cs"/>
          <w:rtl/>
        </w:rPr>
        <w:t xml:space="preserve">דברים אלה באו לידי ביטוי ציורי בפסק דינו של השופט </w:t>
      </w:r>
      <w:r w:rsidRPr="007F1F8A">
        <w:rPr>
          <w:rFonts w:ascii="Century" w:hAnsi="Century" w:cs="Miriam" w:hint="cs"/>
          <w:b/>
          <w:spacing w:val="0"/>
          <w:szCs w:val="24"/>
          <w:rtl/>
        </w:rPr>
        <w:t>ברנזון</w:t>
      </w:r>
      <w:r w:rsidRPr="007F1F8A">
        <w:rPr>
          <w:rFonts w:hint="cs"/>
          <w:rtl/>
        </w:rPr>
        <w:t xml:space="preserve"> </w:t>
      </w:r>
      <w:r>
        <w:rPr>
          <w:rFonts w:hint="cs"/>
          <w:rtl/>
        </w:rPr>
        <w:t>ב</w:t>
      </w:r>
      <w:r w:rsidRPr="00BD4172">
        <w:rPr>
          <w:rFonts w:hint="eastAsia"/>
          <w:rtl/>
        </w:rPr>
        <w:t>בג</w:t>
      </w:r>
      <w:r w:rsidRPr="00BD4172">
        <w:rPr>
          <w:rFonts w:hint="cs"/>
          <w:rtl/>
        </w:rPr>
        <w:t>"ץ</w:t>
      </w:r>
      <w:r w:rsidRPr="00BD4172">
        <w:rPr>
          <w:rtl/>
        </w:rPr>
        <w:t xml:space="preserve"> 188/63 </w:t>
      </w:r>
      <w:r w:rsidRPr="00BD4172">
        <w:rPr>
          <w:rFonts w:ascii="Century" w:hAnsi="Century" w:cs="Miriam" w:hint="eastAsia"/>
          <w:b/>
          <w:spacing w:val="0"/>
          <w:szCs w:val="24"/>
          <w:rtl/>
        </w:rPr>
        <w:t>אלאזהרי</w:t>
      </w:r>
      <w:r w:rsidRPr="00BD4172">
        <w:rPr>
          <w:rFonts w:ascii="Century" w:hAnsi="Century" w:cs="Miriam"/>
          <w:b/>
          <w:spacing w:val="0"/>
          <w:szCs w:val="24"/>
          <w:rtl/>
        </w:rPr>
        <w:t xml:space="preserve"> </w:t>
      </w:r>
      <w:r w:rsidRPr="00BD4172">
        <w:rPr>
          <w:rFonts w:ascii="Century" w:hAnsi="Century" w:cs="Miriam" w:hint="eastAsia"/>
          <w:b/>
          <w:spacing w:val="0"/>
          <w:szCs w:val="24"/>
          <w:rtl/>
        </w:rPr>
        <w:t>נ</w:t>
      </w:r>
      <w:r w:rsidRPr="00BD4172">
        <w:rPr>
          <w:rFonts w:ascii="Century" w:hAnsi="Century" w:cs="Miriam"/>
          <w:b/>
          <w:spacing w:val="0"/>
          <w:szCs w:val="24"/>
          <w:rtl/>
        </w:rPr>
        <w:t xml:space="preserve">' </w:t>
      </w:r>
      <w:r w:rsidRPr="00BD4172">
        <w:rPr>
          <w:rFonts w:ascii="Century" w:hAnsi="Century" w:cs="Miriam" w:hint="eastAsia"/>
          <w:b/>
          <w:spacing w:val="0"/>
          <w:szCs w:val="24"/>
          <w:rtl/>
        </w:rPr>
        <w:t>שר</w:t>
      </w:r>
      <w:r w:rsidRPr="00BD4172">
        <w:rPr>
          <w:rFonts w:ascii="Century" w:hAnsi="Century" w:cs="Miriam"/>
          <w:b/>
          <w:spacing w:val="0"/>
          <w:szCs w:val="24"/>
          <w:rtl/>
        </w:rPr>
        <w:t xml:space="preserve"> </w:t>
      </w:r>
      <w:r w:rsidRPr="00BD4172">
        <w:rPr>
          <w:rFonts w:ascii="Century" w:hAnsi="Century" w:cs="Miriam" w:hint="eastAsia"/>
          <w:b/>
          <w:spacing w:val="0"/>
          <w:szCs w:val="24"/>
          <w:rtl/>
        </w:rPr>
        <w:t>הפנים</w:t>
      </w:r>
      <w:r w:rsidRPr="00BD4172">
        <w:rPr>
          <w:rtl/>
        </w:rPr>
        <w:t xml:space="preserve">‏, </w:t>
      </w:r>
      <w:r w:rsidRPr="00BD4172">
        <w:rPr>
          <w:rFonts w:hint="eastAsia"/>
          <w:rtl/>
        </w:rPr>
        <w:t>פ</w:t>
      </w:r>
      <w:r>
        <w:rPr>
          <w:rFonts w:hint="cs"/>
          <w:rtl/>
        </w:rPr>
        <w:t>"</w:t>
      </w:r>
      <w:r w:rsidRPr="00BD4172">
        <w:rPr>
          <w:rFonts w:hint="eastAsia"/>
          <w:rtl/>
        </w:rPr>
        <w:t>ד</w:t>
      </w:r>
      <w:r w:rsidRPr="00BD4172">
        <w:rPr>
          <w:rtl/>
        </w:rPr>
        <w:t xml:space="preserve"> </w:t>
      </w:r>
      <w:r w:rsidRPr="00BD4172">
        <w:rPr>
          <w:rFonts w:hint="eastAsia"/>
          <w:rtl/>
        </w:rPr>
        <w:t>יט</w:t>
      </w:r>
      <w:r>
        <w:rPr>
          <w:rFonts w:hint="cs"/>
          <w:rtl/>
        </w:rPr>
        <w:t xml:space="preserve">(1) </w:t>
      </w:r>
      <w:r w:rsidRPr="00BD4172">
        <w:rPr>
          <w:rtl/>
        </w:rPr>
        <w:t>337</w:t>
      </w:r>
      <w:r>
        <w:rPr>
          <w:rFonts w:hint="cs"/>
          <w:rtl/>
        </w:rPr>
        <w:t xml:space="preserve"> (1965):</w:t>
      </w:r>
    </w:p>
    <w:p w:rsidR="00737972" w:rsidRDefault="00737972" w:rsidP="00737972">
      <w:pPr>
        <w:pStyle w:val="Ruller41"/>
        <w:rPr>
          <w:rtl/>
        </w:rPr>
      </w:pPr>
    </w:p>
    <w:p w:rsidR="00737972" w:rsidRDefault="00737972" w:rsidP="00737972">
      <w:pPr>
        <w:pStyle w:val="Ruller5"/>
        <w:rPr>
          <w:rtl/>
        </w:rPr>
      </w:pPr>
      <w:r>
        <w:rPr>
          <w:rFonts w:hint="cs"/>
          <w:rtl/>
        </w:rPr>
        <w:t>"</w:t>
      </w:r>
      <w:r>
        <w:rPr>
          <w:rFonts w:hint="eastAsia"/>
          <w:rtl/>
        </w:rPr>
        <w:t>חושבני</w:t>
      </w:r>
      <w:r>
        <w:rPr>
          <w:rtl/>
        </w:rPr>
        <w:t xml:space="preserve">, </w:t>
      </w:r>
      <w:r>
        <w:rPr>
          <w:rFonts w:hint="eastAsia"/>
          <w:rtl/>
        </w:rPr>
        <w:t>כי</w:t>
      </w:r>
      <w:r>
        <w:rPr>
          <w:rtl/>
        </w:rPr>
        <w:t xml:space="preserve"> </w:t>
      </w:r>
      <w:r>
        <w:rPr>
          <w:rFonts w:hint="eastAsia"/>
          <w:rtl/>
        </w:rPr>
        <w:t>הכל</w:t>
      </w:r>
      <w:r>
        <w:rPr>
          <w:rtl/>
        </w:rPr>
        <w:t xml:space="preserve"> </w:t>
      </w:r>
      <w:r>
        <w:rPr>
          <w:rFonts w:hint="eastAsia"/>
          <w:rtl/>
        </w:rPr>
        <w:t>מסכימים</w:t>
      </w:r>
      <w:r>
        <w:rPr>
          <w:rtl/>
        </w:rPr>
        <w:t xml:space="preserve"> </w:t>
      </w:r>
      <w:r>
        <w:rPr>
          <w:rFonts w:hint="eastAsia"/>
          <w:rtl/>
        </w:rPr>
        <w:t>שאין</w:t>
      </w:r>
      <w:r>
        <w:rPr>
          <w:rtl/>
        </w:rPr>
        <w:t xml:space="preserve"> </w:t>
      </w:r>
      <w:r>
        <w:rPr>
          <w:rFonts w:hint="eastAsia"/>
          <w:rtl/>
        </w:rPr>
        <w:t>בתי</w:t>
      </w:r>
      <w:r>
        <w:rPr>
          <w:rFonts w:hint="cs"/>
          <w:rtl/>
        </w:rPr>
        <w:t>-</w:t>
      </w:r>
      <w:r>
        <w:rPr>
          <w:rFonts w:hint="eastAsia"/>
          <w:rtl/>
        </w:rPr>
        <w:t>המשפט</w:t>
      </w:r>
      <w:r>
        <w:rPr>
          <w:rtl/>
        </w:rPr>
        <w:t xml:space="preserve"> </w:t>
      </w:r>
      <w:r>
        <w:rPr>
          <w:rFonts w:hint="eastAsia"/>
          <w:rtl/>
        </w:rPr>
        <w:t>יכולים</w:t>
      </w:r>
      <w:r>
        <w:rPr>
          <w:rtl/>
        </w:rPr>
        <w:t xml:space="preserve"> </w:t>
      </w:r>
      <w:r>
        <w:rPr>
          <w:rFonts w:hint="eastAsia"/>
          <w:rtl/>
        </w:rPr>
        <w:t>להרהר</w:t>
      </w:r>
      <w:r>
        <w:rPr>
          <w:rtl/>
        </w:rPr>
        <w:t xml:space="preserve"> </w:t>
      </w:r>
      <w:r>
        <w:rPr>
          <w:rFonts w:hint="eastAsia"/>
          <w:rtl/>
        </w:rPr>
        <w:t>אחרי</w:t>
      </w:r>
      <w:r>
        <w:rPr>
          <w:rtl/>
        </w:rPr>
        <w:t xml:space="preserve"> </w:t>
      </w:r>
      <w:r>
        <w:rPr>
          <w:rFonts w:hint="eastAsia"/>
          <w:rtl/>
        </w:rPr>
        <w:t>מידותיו</w:t>
      </w:r>
      <w:r>
        <w:rPr>
          <w:rtl/>
        </w:rPr>
        <w:t xml:space="preserve"> </w:t>
      </w:r>
      <w:r>
        <w:rPr>
          <w:rFonts w:hint="eastAsia"/>
          <w:rtl/>
        </w:rPr>
        <w:t>של</w:t>
      </w:r>
      <w:r>
        <w:rPr>
          <w:rtl/>
        </w:rPr>
        <w:t xml:space="preserve"> </w:t>
      </w:r>
      <w:r>
        <w:rPr>
          <w:rFonts w:hint="eastAsia"/>
          <w:rtl/>
        </w:rPr>
        <w:t>המחוקק</w:t>
      </w:r>
      <w:r>
        <w:rPr>
          <w:rtl/>
        </w:rPr>
        <w:t xml:space="preserve"> </w:t>
      </w:r>
      <w:r>
        <w:rPr>
          <w:rFonts w:hint="eastAsia"/>
          <w:rtl/>
        </w:rPr>
        <w:t>הריבוני</w:t>
      </w:r>
      <w:r>
        <w:rPr>
          <w:rFonts w:hint="cs"/>
          <w:rtl/>
        </w:rPr>
        <w:t>,</w:t>
      </w:r>
      <w:r>
        <w:rPr>
          <w:rtl/>
        </w:rPr>
        <w:t xml:space="preserve"> </w:t>
      </w:r>
      <w:r>
        <w:rPr>
          <w:rFonts w:hint="eastAsia"/>
          <w:rtl/>
        </w:rPr>
        <w:t>כפי</w:t>
      </w:r>
      <w:r>
        <w:rPr>
          <w:rtl/>
        </w:rPr>
        <w:t xml:space="preserve"> </w:t>
      </w:r>
      <w:r>
        <w:rPr>
          <w:rFonts w:hint="eastAsia"/>
          <w:rtl/>
        </w:rPr>
        <w:t>שהן</w:t>
      </w:r>
      <w:r>
        <w:rPr>
          <w:rtl/>
        </w:rPr>
        <w:t xml:space="preserve"> </w:t>
      </w:r>
      <w:r>
        <w:rPr>
          <w:rFonts w:hint="eastAsia"/>
          <w:rtl/>
        </w:rPr>
        <w:t>מוצאות</w:t>
      </w:r>
      <w:r>
        <w:rPr>
          <w:rtl/>
        </w:rPr>
        <w:t xml:space="preserve"> </w:t>
      </w:r>
      <w:r>
        <w:rPr>
          <w:rFonts w:hint="eastAsia"/>
          <w:rtl/>
        </w:rPr>
        <w:t>את</w:t>
      </w:r>
      <w:r>
        <w:rPr>
          <w:rtl/>
        </w:rPr>
        <w:t xml:space="preserve"> </w:t>
      </w:r>
      <w:r>
        <w:rPr>
          <w:rFonts w:hint="eastAsia"/>
          <w:rtl/>
        </w:rPr>
        <w:t>ביטויין</w:t>
      </w:r>
      <w:r>
        <w:rPr>
          <w:rtl/>
        </w:rPr>
        <w:t xml:space="preserve"> </w:t>
      </w:r>
      <w:r>
        <w:rPr>
          <w:rFonts w:hint="eastAsia"/>
          <w:rtl/>
        </w:rPr>
        <w:t>בחוקים</w:t>
      </w:r>
      <w:r>
        <w:rPr>
          <w:rtl/>
        </w:rPr>
        <w:t xml:space="preserve"> </w:t>
      </w:r>
      <w:r>
        <w:rPr>
          <w:rFonts w:hint="eastAsia"/>
          <w:rtl/>
        </w:rPr>
        <w:t>המתקבלים</w:t>
      </w:r>
      <w:r>
        <w:rPr>
          <w:rtl/>
        </w:rPr>
        <w:t xml:space="preserve"> </w:t>
      </w:r>
      <w:r>
        <w:rPr>
          <w:rFonts w:hint="eastAsia"/>
          <w:rtl/>
        </w:rPr>
        <w:t>על</w:t>
      </w:r>
      <w:r>
        <w:rPr>
          <w:rFonts w:hint="cs"/>
          <w:rtl/>
        </w:rPr>
        <w:t>-</w:t>
      </w:r>
      <w:r>
        <w:rPr>
          <w:rFonts w:hint="eastAsia"/>
          <w:rtl/>
        </w:rPr>
        <w:t>ידיו</w:t>
      </w:r>
      <w:r>
        <w:rPr>
          <w:rtl/>
        </w:rPr>
        <w:t xml:space="preserve">. </w:t>
      </w:r>
      <w:r>
        <w:rPr>
          <w:rFonts w:hint="eastAsia"/>
          <w:rtl/>
        </w:rPr>
        <w:t>בית</w:t>
      </w:r>
      <w:r>
        <w:rPr>
          <w:rtl/>
        </w:rPr>
        <w:t xml:space="preserve"> </w:t>
      </w:r>
      <w:r>
        <w:rPr>
          <w:rFonts w:hint="eastAsia"/>
          <w:rtl/>
        </w:rPr>
        <w:t>המשפט</w:t>
      </w:r>
      <w:r>
        <w:rPr>
          <w:rtl/>
        </w:rPr>
        <w:t xml:space="preserve"> </w:t>
      </w:r>
      <w:r>
        <w:rPr>
          <w:rFonts w:hint="eastAsia"/>
          <w:rtl/>
        </w:rPr>
        <w:t>יכול</w:t>
      </w:r>
      <w:r>
        <w:rPr>
          <w:rtl/>
        </w:rPr>
        <w:t xml:space="preserve"> </w:t>
      </w:r>
      <w:r>
        <w:rPr>
          <w:rFonts w:hint="eastAsia"/>
          <w:rtl/>
        </w:rPr>
        <w:t>רק</w:t>
      </w:r>
      <w:r>
        <w:rPr>
          <w:rtl/>
        </w:rPr>
        <w:t xml:space="preserve"> </w:t>
      </w:r>
      <w:r>
        <w:rPr>
          <w:rFonts w:hint="eastAsia"/>
          <w:rtl/>
        </w:rPr>
        <w:t>לפרש</w:t>
      </w:r>
      <w:r>
        <w:rPr>
          <w:rtl/>
        </w:rPr>
        <w:t xml:space="preserve"> </w:t>
      </w:r>
      <w:r>
        <w:rPr>
          <w:rFonts w:hint="eastAsia"/>
          <w:rtl/>
        </w:rPr>
        <w:t>חוק</w:t>
      </w:r>
      <w:r>
        <w:rPr>
          <w:rtl/>
        </w:rPr>
        <w:t xml:space="preserve"> </w:t>
      </w:r>
      <w:r>
        <w:rPr>
          <w:rFonts w:hint="eastAsia"/>
          <w:rtl/>
        </w:rPr>
        <w:t>הכנסת</w:t>
      </w:r>
      <w:r>
        <w:rPr>
          <w:rtl/>
        </w:rPr>
        <w:t xml:space="preserve"> </w:t>
      </w:r>
      <w:r>
        <w:rPr>
          <w:rFonts w:hint="eastAsia"/>
          <w:rtl/>
        </w:rPr>
        <w:t>ולא</w:t>
      </w:r>
      <w:r>
        <w:rPr>
          <w:rtl/>
        </w:rPr>
        <w:t xml:space="preserve"> </w:t>
      </w:r>
      <w:r>
        <w:rPr>
          <w:rFonts w:hint="eastAsia"/>
          <w:rtl/>
        </w:rPr>
        <w:t>להעמיד</w:t>
      </w:r>
      <w:r>
        <w:rPr>
          <w:rtl/>
        </w:rPr>
        <w:t xml:space="preserve"> </w:t>
      </w:r>
      <w:r>
        <w:rPr>
          <w:rFonts w:hint="eastAsia"/>
          <w:rtl/>
        </w:rPr>
        <w:t>בסימן</w:t>
      </w:r>
      <w:r>
        <w:rPr>
          <w:rtl/>
        </w:rPr>
        <w:t xml:space="preserve"> </w:t>
      </w:r>
      <w:r>
        <w:rPr>
          <w:rFonts w:hint="eastAsia"/>
          <w:rtl/>
        </w:rPr>
        <w:t>שאלה</w:t>
      </w:r>
      <w:r>
        <w:rPr>
          <w:rtl/>
        </w:rPr>
        <w:t xml:space="preserve"> </w:t>
      </w:r>
      <w:r>
        <w:rPr>
          <w:rFonts w:hint="eastAsia"/>
          <w:rtl/>
        </w:rPr>
        <w:t>תוקפו</w:t>
      </w:r>
      <w:r>
        <w:rPr>
          <w:rtl/>
        </w:rPr>
        <w:t xml:space="preserve"> </w:t>
      </w:r>
      <w:r>
        <w:rPr>
          <w:rFonts w:hint="eastAsia"/>
          <w:rtl/>
        </w:rPr>
        <w:t>של</w:t>
      </w:r>
      <w:r>
        <w:rPr>
          <w:rtl/>
        </w:rPr>
        <w:t xml:space="preserve"> </w:t>
      </w:r>
      <w:r>
        <w:rPr>
          <w:rFonts w:hint="eastAsia"/>
          <w:rtl/>
        </w:rPr>
        <w:t>חוק</w:t>
      </w:r>
      <w:r>
        <w:rPr>
          <w:rtl/>
        </w:rPr>
        <w:t xml:space="preserve"> </w:t>
      </w:r>
      <w:r>
        <w:rPr>
          <w:rFonts w:hint="eastAsia"/>
          <w:rtl/>
        </w:rPr>
        <w:t>ונכונות</w:t>
      </w:r>
      <w:r>
        <w:rPr>
          <w:rtl/>
        </w:rPr>
        <w:t xml:space="preserve"> </w:t>
      </w:r>
      <w:r>
        <w:rPr>
          <w:rFonts w:hint="eastAsia"/>
          <w:rtl/>
        </w:rPr>
        <w:t>הדברים</w:t>
      </w:r>
      <w:r>
        <w:rPr>
          <w:rtl/>
        </w:rPr>
        <w:t xml:space="preserve"> </w:t>
      </w:r>
      <w:r>
        <w:rPr>
          <w:rFonts w:hint="eastAsia"/>
          <w:rtl/>
        </w:rPr>
        <w:t>האמורים</w:t>
      </w:r>
      <w:r>
        <w:rPr>
          <w:rtl/>
        </w:rPr>
        <w:t xml:space="preserve"> </w:t>
      </w:r>
      <w:r>
        <w:rPr>
          <w:rFonts w:hint="eastAsia"/>
          <w:rtl/>
        </w:rPr>
        <w:t>בו</w:t>
      </w:r>
      <w:r>
        <w:rPr>
          <w:rtl/>
        </w:rPr>
        <w:t>.</w:t>
      </w:r>
      <w:r>
        <w:rPr>
          <w:rFonts w:hint="cs"/>
          <w:rtl/>
        </w:rPr>
        <w:t xml:space="preserve"> [...]</w:t>
      </w:r>
      <w:r>
        <w:rPr>
          <w:rtl/>
        </w:rPr>
        <w:t xml:space="preserve"> </w:t>
      </w:r>
    </w:p>
    <w:p w:rsidR="00737972" w:rsidRDefault="00737972" w:rsidP="00737972">
      <w:pPr>
        <w:pStyle w:val="Ruller5"/>
        <w:rPr>
          <w:rtl/>
        </w:rPr>
      </w:pPr>
    </w:p>
    <w:p w:rsidR="00737972" w:rsidRDefault="00737972" w:rsidP="00737972">
      <w:pPr>
        <w:pStyle w:val="Ruller5"/>
        <w:rPr>
          <w:rtl/>
        </w:rPr>
      </w:pPr>
      <w:r>
        <w:rPr>
          <w:rFonts w:hint="eastAsia"/>
          <w:rtl/>
        </w:rPr>
        <w:t>הוא</w:t>
      </w:r>
      <w:r>
        <w:rPr>
          <w:rtl/>
        </w:rPr>
        <w:t xml:space="preserve"> </w:t>
      </w:r>
      <w:r>
        <w:rPr>
          <w:rFonts w:hint="eastAsia"/>
          <w:rtl/>
        </w:rPr>
        <w:t>הדין</w:t>
      </w:r>
      <w:r>
        <w:rPr>
          <w:rtl/>
        </w:rPr>
        <w:t xml:space="preserve">, </w:t>
      </w:r>
      <w:r>
        <w:rPr>
          <w:rFonts w:hint="eastAsia"/>
          <w:rtl/>
        </w:rPr>
        <w:t>לדעתי</w:t>
      </w:r>
      <w:r>
        <w:rPr>
          <w:rtl/>
        </w:rPr>
        <w:t xml:space="preserve">, </w:t>
      </w:r>
      <w:r>
        <w:rPr>
          <w:rFonts w:hint="eastAsia"/>
          <w:rtl/>
        </w:rPr>
        <w:t>כשמדובר</w:t>
      </w:r>
      <w:r>
        <w:rPr>
          <w:rtl/>
        </w:rPr>
        <w:t xml:space="preserve"> </w:t>
      </w:r>
      <w:r>
        <w:rPr>
          <w:rFonts w:hint="eastAsia"/>
          <w:rtl/>
        </w:rPr>
        <w:t>לא</w:t>
      </w:r>
      <w:r>
        <w:rPr>
          <w:rtl/>
        </w:rPr>
        <w:t xml:space="preserve"> </w:t>
      </w:r>
      <w:r>
        <w:rPr>
          <w:rFonts w:hint="eastAsia"/>
          <w:rtl/>
        </w:rPr>
        <w:t>בעשיית</w:t>
      </w:r>
      <w:r>
        <w:rPr>
          <w:rtl/>
        </w:rPr>
        <w:t xml:space="preserve"> </w:t>
      </w:r>
      <w:r>
        <w:rPr>
          <w:rFonts w:hint="eastAsia"/>
          <w:rtl/>
        </w:rPr>
        <w:t>חוק</w:t>
      </w:r>
      <w:r>
        <w:rPr>
          <w:rtl/>
        </w:rPr>
        <w:t xml:space="preserve"> </w:t>
      </w:r>
      <w:r>
        <w:rPr>
          <w:rFonts w:hint="eastAsia"/>
          <w:rtl/>
        </w:rPr>
        <w:t>אלא</w:t>
      </w:r>
      <w:r>
        <w:rPr>
          <w:rtl/>
        </w:rPr>
        <w:t xml:space="preserve"> </w:t>
      </w:r>
      <w:r>
        <w:rPr>
          <w:rFonts w:hint="eastAsia"/>
          <w:rtl/>
        </w:rPr>
        <w:t>בשלילת</w:t>
      </w:r>
      <w:r>
        <w:rPr>
          <w:rtl/>
        </w:rPr>
        <w:t xml:space="preserve"> </w:t>
      </w:r>
      <w:r>
        <w:rPr>
          <w:rFonts w:hint="eastAsia"/>
          <w:rtl/>
        </w:rPr>
        <w:t>תוקפו</w:t>
      </w:r>
      <w:r>
        <w:rPr>
          <w:rtl/>
        </w:rPr>
        <w:t xml:space="preserve">, </w:t>
      </w:r>
      <w:r>
        <w:rPr>
          <w:rFonts w:hint="eastAsia"/>
          <w:rtl/>
        </w:rPr>
        <w:t>שבשני</w:t>
      </w:r>
      <w:r>
        <w:rPr>
          <w:rtl/>
        </w:rPr>
        <w:t xml:space="preserve"> </w:t>
      </w:r>
      <w:r>
        <w:rPr>
          <w:rFonts w:hint="eastAsia"/>
          <w:rtl/>
        </w:rPr>
        <w:t>המקרים</w:t>
      </w:r>
      <w:r>
        <w:rPr>
          <w:rtl/>
        </w:rPr>
        <w:t xml:space="preserve"> </w:t>
      </w:r>
      <w:r>
        <w:rPr>
          <w:rFonts w:hint="eastAsia"/>
          <w:rtl/>
        </w:rPr>
        <w:t>זו</w:t>
      </w:r>
      <w:r>
        <w:rPr>
          <w:rtl/>
        </w:rPr>
        <w:t xml:space="preserve"> </w:t>
      </w:r>
      <w:r>
        <w:rPr>
          <w:rFonts w:hint="eastAsia"/>
          <w:rtl/>
        </w:rPr>
        <w:t>היא</w:t>
      </w:r>
      <w:r>
        <w:rPr>
          <w:rtl/>
        </w:rPr>
        <w:t xml:space="preserve"> </w:t>
      </w:r>
      <w:r>
        <w:rPr>
          <w:rFonts w:hint="eastAsia"/>
          <w:rtl/>
        </w:rPr>
        <w:t>התערבות</w:t>
      </w:r>
      <w:r>
        <w:rPr>
          <w:rtl/>
        </w:rPr>
        <w:t xml:space="preserve"> </w:t>
      </w:r>
      <w:r>
        <w:rPr>
          <w:rFonts w:hint="eastAsia"/>
          <w:rtl/>
        </w:rPr>
        <w:t>שרירותית</w:t>
      </w:r>
      <w:r>
        <w:rPr>
          <w:rtl/>
        </w:rPr>
        <w:t xml:space="preserve"> </w:t>
      </w:r>
      <w:r>
        <w:rPr>
          <w:rFonts w:hint="eastAsia"/>
          <w:rtl/>
        </w:rPr>
        <w:t>מצד</w:t>
      </w:r>
      <w:r>
        <w:rPr>
          <w:rtl/>
        </w:rPr>
        <w:t xml:space="preserve"> </w:t>
      </w:r>
      <w:r>
        <w:rPr>
          <w:rFonts w:hint="eastAsia"/>
          <w:rtl/>
        </w:rPr>
        <w:t>בית</w:t>
      </w:r>
      <w:r>
        <w:rPr>
          <w:rFonts w:hint="cs"/>
          <w:rtl/>
        </w:rPr>
        <w:t>-</w:t>
      </w:r>
      <w:r>
        <w:rPr>
          <w:rFonts w:hint="eastAsia"/>
          <w:rtl/>
        </w:rPr>
        <w:t>המשפט</w:t>
      </w:r>
      <w:r>
        <w:rPr>
          <w:rtl/>
        </w:rPr>
        <w:t xml:space="preserve"> </w:t>
      </w:r>
      <w:r>
        <w:rPr>
          <w:rFonts w:hint="eastAsia"/>
          <w:rtl/>
        </w:rPr>
        <w:t>בסמכות</w:t>
      </w:r>
      <w:r>
        <w:rPr>
          <w:rtl/>
        </w:rPr>
        <w:t xml:space="preserve"> </w:t>
      </w:r>
      <w:r>
        <w:rPr>
          <w:rFonts w:hint="eastAsia"/>
          <w:rtl/>
        </w:rPr>
        <w:t>הבלעדית</w:t>
      </w:r>
      <w:r>
        <w:rPr>
          <w:rtl/>
        </w:rPr>
        <w:t xml:space="preserve"> </w:t>
      </w:r>
      <w:r>
        <w:rPr>
          <w:rFonts w:hint="eastAsia"/>
          <w:rtl/>
        </w:rPr>
        <w:t>של</w:t>
      </w:r>
      <w:r>
        <w:rPr>
          <w:rtl/>
        </w:rPr>
        <w:t xml:space="preserve"> </w:t>
      </w:r>
      <w:r>
        <w:rPr>
          <w:rFonts w:hint="eastAsia"/>
          <w:rtl/>
        </w:rPr>
        <w:t>המחוקק</w:t>
      </w:r>
      <w:r>
        <w:rPr>
          <w:rtl/>
        </w:rPr>
        <w:t xml:space="preserve">. </w:t>
      </w:r>
      <w:r>
        <w:rPr>
          <w:rFonts w:hint="eastAsia"/>
          <w:rtl/>
        </w:rPr>
        <w:t>אחרי</w:t>
      </w:r>
      <w:r>
        <w:rPr>
          <w:rtl/>
        </w:rPr>
        <w:t xml:space="preserve"> </w:t>
      </w:r>
      <w:r>
        <w:rPr>
          <w:rFonts w:hint="eastAsia"/>
          <w:rtl/>
        </w:rPr>
        <w:t>שחוק</w:t>
      </w:r>
      <w:r>
        <w:rPr>
          <w:rtl/>
        </w:rPr>
        <w:t xml:space="preserve"> </w:t>
      </w:r>
      <w:r>
        <w:rPr>
          <w:rFonts w:hint="eastAsia"/>
          <w:rtl/>
        </w:rPr>
        <w:t>נתקבל</w:t>
      </w:r>
      <w:r>
        <w:rPr>
          <w:rtl/>
        </w:rPr>
        <w:t xml:space="preserve"> </w:t>
      </w:r>
      <w:r>
        <w:rPr>
          <w:rFonts w:hint="eastAsia"/>
          <w:rtl/>
        </w:rPr>
        <w:t>בכנסת</w:t>
      </w:r>
      <w:r>
        <w:rPr>
          <w:rtl/>
        </w:rPr>
        <w:t xml:space="preserve"> </w:t>
      </w:r>
      <w:r>
        <w:rPr>
          <w:rFonts w:hint="eastAsia"/>
          <w:rtl/>
        </w:rPr>
        <w:t>ופורסם</w:t>
      </w:r>
      <w:r>
        <w:rPr>
          <w:rtl/>
        </w:rPr>
        <w:t xml:space="preserve"> </w:t>
      </w:r>
      <w:r>
        <w:rPr>
          <w:rFonts w:hint="eastAsia"/>
          <w:rtl/>
        </w:rPr>
        <w:t>ברשומות</w:t>
      </w:r>
      <w:r>
        <w:rPr>
          <w:rtl/>
        </w:rPr>
        <w:t xml:space="preserve">, </w:t>
      </w:r>
      <w:r>
        <w:rPr>
          <w:rFonts w:hint="eastAsia"/>
          <w:rtl/>
        </w:rPr>
        <w:t>עלינו</w:t>
      </w:r>
      <w:r>
        <w:rPr>
          <w:rtl/>
        </w:rPr>
        <w:t xml:space="preserve"> </w:t>
      </w:r>
      <w:r>
        <w:rPr>
          <w:rFonts w:hint="eastAsia"/>
          <w:rtl/>
        </w:rPr>
        <w:t>להרכין</w:t>
      </w:r>
      <w:r>
        <w:rPr>
          <w:rtl/>
        </w:rPr>
        <w:t xml:space="preserve"> </w:t>
      </w:r>
      <w:r>
        <w:rPr>
          <w:rFonts w:hint="eastAsia"/>
          <w:rtl/>
        </w:rPr>
        <w:t>ראש</w:t>
      </w:r>
      <w:r>
        <w:rPr>
          <w:rtl/>
        </w:rPr>
        <w:t xml:space="preserve"> </w:t>
      </w:r>
      <w:r>
        <w:rPr>
          <w:rFonts w:hint="eastAsia"/>
          <w:rtl/>
        </w:rPr>
        <w:t>בפניו</w:t>
      </w:r>
      <w:r>
        <w:rPr>
          <w:rtl/>
        </w:rPr>
        <w:t xml:space="preserve"> </w:t>
      </w:r>
      <w:r>
        <w:rPr>
          <w:rFonts w:hint="eastAsia"/>
          <w:rtl/>
        </w:rPr>
        <w:t>ולא</w:t>
      </w:r>
      <w:r>
        <w:rPr>
          <w:rtl/>
        </w:rPr>
        <w:t xml:space="preserve"> </w:t>
      </w:r>
      <w:r>
        <w:rPr>
          <w:rFonts w:hint="eastAsia"/>
          <w:rtl/>
        </w:rPr>
        <w:t>להרהר</w:t>
      </w:r>
      <w:r>
        <w:rPr>
          <w:rtl/>
        </w:rPr>
        <w:t xml:space="preserve"> </w:t>
      </w:r>
      <w:r>
        <w:rPr>
          <w:rFonts w:hint="eastAsia"/>
          <w:rtl/>
        </w:rPr>
        <w:t>אחרי</w:t>
      </w:r>
      <w:r>
        <w:rPr>
          <w:rtl/>
        </w:rPr>
        <w:t xml:space="preserve"> </w:t>
      </w:r>
      <w:r>
        <w:rPr>
          <w:rFonts w:hint="eastAsia"/>
          <w:rtl/>
        </w:rPr>
        <w:t>הוראותיו</w:t>
      </w:r>
      <w:r>
        <w:rPr>
          <w:rtl/>
        </w:rPr>
        <w:t xml:space="preserve">, </w:t>
      </w:r>
      <w:r>
        <w:rPr>
          <w:rFonts w:hint="eastAsia"/>
          <w:rtl/>
        </w:rPr>
        <w:t>קביעותיו</w:t>
      </w:r>
      <w:r>
        <w:rPr>
          <w:rtl/>
        </w:rPr>
        <w:t xml:space="preserve"> </w:t>
      </w:r>
      <w:r>
        <w:rPr>
          <w:rFonts w:hint="eastAsia"/>
          <w:rtl/>
        </w:rPr>
        <w:t>והנחותיו</w:t>
      </w:r>
      <w:r>
        <w:rPr>
          <w:rtl/>
        </w:rPr>
        <w:t xml:space="preserve">. </w:t>
      </w:r>
      <w:r>
        <w:rPr>
          <w:rFonts w:hint="eastAsia"/>
          <w:rtl/>
        </w:rPr>
        <w:t>הכנסת</w:t>
      </w:r>
      <w:r>
        <w:rPr>
          <w:rtl/>
        </w:rPr>
        <w:t xml:space="preserve"> </w:t>
      </w:r>
      <w:r>
        <w:rPr>
          <w:rFonts w:hint="eastAsia"/>
          <w:rtl/>
        </w:rPr>
        <w:t>נוסכת</w:t>
      </w:r>
      <w:r>
        <w:rPr>
          <w:rtl/>
        </w:rPr>
        <w:t xml:space="preserve"> </w:t>
      </w:r>
      <w:r>
        <w:rPr>
          <w:rFonts w:hint="eastAsia"/>
          <w:rtl/>
        </w:rPr>
        <w:t>את</w:t>
      </w:r>
      <w:r>
        <w:rPr>
          <w:rtl/>
        </w:rPr>
        <w:t xml:space="preserve"> </w:t>
      </w:r>
      <w:r>
        <w:rPr>
          <w:rFonts w:hint="eastAsia"/>
          <w:rtl/>
        </w:rPr>
        <w:t>יינה</w:t>
      </w:r>
      <w:r>
        <w:rPr>
          <w:rtl/>
        </w:rPr>
        <w:t xml:space="preserve"> </w:t>
      </w:r>
      <w:r>
        <w:rPr>
          <w:rFonts w:hint="eastAsia"/>
          <w:rtl/>
        </w:rPr>
        <w:t>לתוך</w:t>
      </w:r>
      <w:r>
        <w:rPr>
          <w:rtl/>
        </w:rPr>
        <w:t xml:space="preserve"> </w:t>
      </w:r>
      <w:r>
        <w:rPr>
          <w:rFonts w:hint="eastAsia"/>
          <w:rtl/>
        </w:rPr>
        <w:t>קנקן</w:t>
      </w:r>
      <w:r>
        <w:rPr>
          <w:rtl/>
        </w:rPr>
        <w:t xml:space="preserve"> </w:t>
      </w:r>
      <w:r>
        <w:rPr>
          <w:rFonts w:hint="eastAsia"/>
          <w:rtl/>
        </w:rPr>
        <w:t>החוק</w:t>
      </w:r>
      <w:r>
        <w:rPr>
          <w:rtl/>
        </w:rPr>
        <w:t xml:space="preserve">, </w:t>
      </w:r>
      <w:r>
        <w:rPr>
          <w:rFonts w:hint="eastAsia"/>
          <w:rtl/>
        </w:rPr>
        <w:t>ובית</w:t>
      </w:r>
      <w:r>
        <w:rPr>
          <w:rFonts w:hint="cs"/>
          <w:rtl/>
        </w:rPr>
        <w:t>-</w:t>
      </w:r>
      <w:r>
        <w:rPr>
          <w:rFonts w:hint="eastAsia"/>
          <w:rtl/>
        </w:rPr>
        <w:t>המשפט</w:t>
      </w:r>
      <w:r>
        <w:rPr>
          <w:rtl/>
        </w:rPr>
        <w:t xml:space="preserve"> </w:t>
      </w:r>
      <w:r>
        <w:rPr>
          <w:rFonts w:hint="eastAsia"/>
          <w:rtl/>
        </w:rPr>
        <w:t>יכול</w:t>
      </w:r>
      <w:r>
        <w:rPr>
          <w:rtl/>
        </w:rPr>
        <w:t xml:space="preserve"> </w:t>
      </w:r>
      <w:r>
        <w:rPr>
          <w:rFonts w:hint="eastAsia"/>
          <w:rtl/>
        </w:rPr>
        <w:t>רק</w:t>
      </w:r>
      <w:r>
        <w:rPr>
          <w:rtl/>
        </w:rPr>
        <w:t xml:space="preserve"> </w:t>
      </w:r>
      <w:r>
        <w:rPr>
          <w:rFonts w:hint="eastAsia"/>
          <w:rtl/>
        </w:rPr>
        <w:t>לומר</w:t>
      </w:r>
      <w:r>
        <w:rPr>
          <w:rtl/>
        </w:rPr>
        <w:t xml:space="preserve">, </w:t>
      </w:r>
      <w:r>
        <w:rPr>
          <w:rFonts w:hint="eastAsia"/>
          <w:rtl/>
        </w:rPr>
        <w:t>בדרך</w:t>
      </w:r>
      <w:r>
        <w:rPr>
          <w:rtl/>
        </w:rPr>
        <w:t xml:space="preserve"> </w:t>
      </w:r>
      <w:r>
        <w:rPr>
          <w:rFonts w:hint="eastAsia"/>
          <w:rtl/>
        </w:rPr>
        <w:t>של</w:t>
      </w:r>
      <w:r>
        <w:rPr>
          <w:rtl/>
        </w:rPr>
        <w:t xml:space="preserve"> </w:t>
      </w:r>
      <w:r>
        <w:rPr>
          <w:rFonts w:hint="eastAsia"/>
          <w:rtl/>
        </w:rPr>
        <w:t>פירוש</w:t>
      </w:r>
      <w:r>
        <w:rPr>
          <w:rtl/>
        </w:rPr>
        <w:t xml:space="preserve"> </w:t>
      </w:r>
      <w:r>
        <w:rPr>
          <w:rFonts w:hint="eastAsia"/>
          <w:rtl/>
        </w:rPr>
        <w:t>החוק</w:t>
      </w:r>
      <w:r>
        <w:rPr>
          <w:rtl/>
        </w:rPr>
        <w:t xml:space="preserve">, </w:t>
      </w:r>
      <w:r>
        <w:rPr>
          <w:rFonts w:hint="eastAsia"/>
          <w:rtl/>
        </w:rPr>
        <w:t>מהו</w:t>
      </w:r>
      <w:r>
        <w:rPr>
          <w:rtl/>
        </w:rPr>
        <w:t xml:space="preserve"> </w:t>
      </w:r>
      <w:r>
        <w:rPr>
          <w:rFonts w:hint="eastAsia"/>
          <w:rtl/>
        </w:rPr>
        <w:t>טעמו</w:t>
      </w:r>
      <w:r>
        <w:rPr>
          <w:rtl/>
        </w:rPr>
        <w:t xml:space="preserve"> </w:t>
      </w:r>
      <w:r>
        <w:rPr>
          <w:rFonts w:hint="eastAsia"/>
          <w:rtl/>
        </w:rPr>
        <w:t>של</w:t>
      </w:r>
      <w:r>
        <w:rPr>
          <w:rtl/>
        </w:rPr>
        <w:t xml:space="preserve"> </w:t>
      </w:r>
      <w:r>
        <w:rPr>
          <w:rFonts w:hint="eastAsia"/>
          <w:rtl/>
        </w:rPr>
        <w:t>היין</w:t>
      </w:r>
      <w:r>
        <w:rPr>
          <w:rtl/>
        </w:rPr>
        <w:t xml:space="preserve">. </w:t>
      </w:r>
      <w:r>
        <w:rPr>
          <w:rFonts w:hint="eastAsia"/>
          <w:rtl/>
        </w:rPr>
        <w:t>הוא</w:t>
      </w:r>
      <w:r>
        <w:rPr>
          <w:rtl/>
        </w:rPr>
        <w:t xml:space="preserve"> </w:t>
      </w:r>
      <w:r>
        <w:rPr>
          <w:rFonts w:hint="eastAsia"/>
          <w:rtl/>
        </w:rPr>
        <w:t>אינו</w:t>
      </w:r>
      <w:r>
        <w:rPr>
          <w:rtl/>
        </w:rPr>
        <w:t xml:space="preserve"> </w:t>
      </w:r>
      <w:r>
        <w:rPr>
          <w:rFonts w:hint="eastAsia"/>
          <w:rtl/>
        </w:rPr>
        <w:t>יכול</w:t>
      </w:r>
      <w:r>
        <w:rPr>
          <w:rtl/>
        </w:rPr>
        <w:t xml:space="preserve"> </w:t>
      </w:r>
      <w:r>
        <w:rPr>
          <w:rFonts w:hint="eastAsia"/>
          <w:rtl/>
        </w:rPr>
        <w:t>לומר</w:t>
      </w:r>
      <w:r>
        <w:rPr>
          <w:rtl/>
        </w:rPr>
        <w:t xml:space="preserve"> </w:t>
      </w:r>
      <w:r>
        <w:rPr>
          <w:rFonts w:hint="eastAsia"/>
          <w:rtl/>
        </w:rPr>
        <w:t>שהקנקן</w:t>
      </w:r>
      <w:r>
        <w:rPr>
          <w:rtl/>
        </w:rPr>
        <w:t xml:space="preserve"> </w:t>
      </w:r>
      <w:r>
        <w:rPr>
          <w:rFonts w:hint="eastAsia"/>
          <w:rtl/>
        </w:rPr>
        <w:t>ריק</w:t>
      </w:r>
      <w:r>
        <w:rPr>
          <w:rtl/>
        </w:rPr>
        <w:t xml:space="preserve"> </w:t>
      </w:r>
      <w:r>
        <w:rPr>
          <w:rFonts w:hint="eastAsia"/>
          <w:rtl/>
        </w:rPr>
        <w:t>מיין</w:t>
      </w:r>
      <w:r>
        <w:rPr>
          <w:rtl/>
        </w:rPr>
        <w:t xml:space="preserve"> </w:t>
      </w:r>
      <w:r>
        <w:rPr>
          <w:rFonts w:hint="eastAsia"/>
          <w:rtl/>
        </w:rPr>
        <w:t>בניגוד</w:t>
      </w:r>
      <w:r>
        <w:rPr>
          <w:rtl/>
        </w:rPr>
        <w:t xml:space="preserve"> </w:t>
      </w:r>
      <w:r>
        <w:rPr>
          <w:rFonts w:hint="eastAsia"/>
          <w:rtl/>
        </w:rPr>
        <w:t>לאמור</w:t>
      </w:r>
      <w:r>
        <w:rPr>
          <w:rtl/>
        </w:rPr>
        <w:t xml:space="preserve"> </w:t>
      </w:r>
      <w:r>
        <w:rPr>
          <w:rFonts w:hint="eastAsia"/>
          <w:rtl/>
        </w:rPr>
        <w:t>בחוק</w:t>
      </w:r>
      <w:r>
        <w:rPr>
          <w:rtl/>
        </w:rPr>
        <w:t xml:space="preserve"> </w:t>
      </w:r>
      <w:r>
        <w:rPr>
          <w:rFonts w:hint="eastAsia"/>
          <w:rtl/>
        </w:rPr>
        <w:t>עצמו</w:t>
      </w:r>
      <w:r>
        <w:rPr>
          <w:rFonts w:hint="cs"/>
          <w:rtl/>
        </w:rPr>
        <w:t>" (שם, עמ' 349).</w:t>
      </w:r>
    </w:p>
    <w:p w:rsidR="00737972" w:rsidRDefault="00737972" w:rsidP="00737972">
      <w:pPr>
        <w:pStyle w:val="Ruller41"/>
        <w:rPr>
          <w:rtl/>
        </w:rPr>
      </w:pPr>
    </w:p>
    <w:p w:rsidR="00737972" w:rsidRDefault="00737972" w:rsidP="00737972">
      <w:pPr>
        <w:pStyle w:val="Ruller41"/>
        <w:rPr>
          <w:rtl/>
        </w:rPr>
      </w:pPr>
      <w:r>
        <w:rPr>
          <w:rtl/>
        </w:rPr>
        <w:tab/>
      </w:r>
      <w:r>
        <w:rPr>
          <w:rFonts w:hint="cs"/>
          <w:rtl/>
        </w:rPr>
        <w:t xml:space="preserve">עמדה זו תוארה כמייצגת את "הלכת היסוד של המשפט הקונסטיטוציוני בישראל, הלכה המקובלת על שופטי בית המשפט העליון ועל מורי המשפט כאחד: 'דעת הכל היא'" (יזהר טל "מחוקק כל יכול </w:t>
      </w:r>
      <w:r>
        <w:rPr>
          <w:rtl/>
        </w:rPr>
        <w:t>–</w:t>
      </w:r>
      <w:r>
        <w:rPr>
          <w:rFonts w:hint="cs"/>
          <w:rtl/>
        </w:rPr>
        <w:t xml:space="preserve"> האמנם?" </w:t>
      </w:r>
      <w:r w:rsidRPr="003A75B0">
        <w:rPr>
          <w:rFonts w:ascii="Century" w:hAnsi="Century" w:cs="Miriam" w:hint="cs"/>
          <w:b/>
          <w:spacing w:val="0"/>
          <w:szCs w:val="24"/>
          <w:rtl/>
        </w:rPr>
        <w:t>עיוני משפט</w:t>
      </w:r>
      <w:r w:rsidRPr="003A75B0">
        <w:rPr>
          <w:rFonts w:hint="cs"/>
          <w:rtl/>
        </w:rPr>
        <w:t xml:space="preserve"> </w:t>
      </w:r>
      <w:r>
        <w:rPr>
          <w:rFonts w:hint="cs"/>
          <w:rtl/>
        </w:rPr>
        <w:t xml:space="preserve">י(2) 361, 362 (1984)). והנה, בשנים 1995-1992 נפל דבר. בין אם היה זה מוצא פי הרשות המכוננת, בין אם מוצא פיו של בית משפט זה, ובין אם מדובר היה בתוצר שיתוף הפעולה בין הרשויות כטענתו של השופט </w:t>
      </w:r>
      <w:r w:rsidRPr="001F79D4">
        <w:rPr>
          <w:rFonts w:ascii="Century" w:hAnsi="Century" w:cs="Miriam" w:hint="cs"/>
          <w:b/>
          <w:spacing w:val="0"/>
          <w:szCs w:val="24"/>
          <w:rtl/>
        </w:rPr>
        <w:t>ברק</w:t>
      </w:r>
      <w:r>
        <w:rPr>
          <w:rFonts w:hint="cs"/>
          <w:rtl/>
        </w:rPr>
        <w:t xml:space="preserve"> כאמור לעיל, אין חולק כי "המהפכה החוקתית" הביאה עמה שינוי תפיסתי עמוק בהיבט הביקורת השיפוטית על תוכנם של חוקים, תוך הכתרת חוקי היסוד בכתר של "חוקה" למדינת ישראל. </w:t>
      </w:r>
      <w:r w:rsidRPr="00260431">
        <w:rPr>
          <w:rFonts w:hint="eastAsia"/>
          <w:rtl/>
        </w:rPr>
        <w:t>כתר</w:t>
      </w:r>
      <w:r w:rsidRPr="00260431">
        <w:rPr>
          <w:rtl/>
        </w:rPr>
        <w:t xml:space="preserve"> </w:t>
      </w:r>
      <w:r w:rsidRPr="00260431">
        <w:rPr>
          <w:rFonts w:hint="eastAsia"/>
          <w:rtl/>
        </w:rPr>
        <w:t>ה</w:t>
      </w:r>
      <w:r w:rsidRPr="00260431">
        <w:rPr>
          <w:rtl/>
        </w:rPr>
        <w:t xml:space="preserve">"חוקה" </w:t>
      </w:r>
      <w:r w:rsidRPr="00260431">
        <w:rPr>
          <w:rFonts w:hint="eastAsia"/>
          <w:rtl/>
        </w:rPr>
        <w:t>ו</w:t>
      </w:r>
      <w:r w:rsidRPr="00260431">
        <w:rPr>
          <w:rtl/>
        </w:rPr>
        <w:t xml:space="preserve">"תורת </w:t>
      </w:r>
      <w:r w:rsidRPr="00260431">
        <w:rPr>
          <w:rFonts w:hint="eastAsia"/>
          <w:rtl/>
        </w:rPr>
        <w:t>הסמכות</w:t>
      </w:r>
      <w:r w:rsidRPr="00260431">
        <w:rPr>
          <w:rtl/>
        </w:rPr>
        <w:t xml:space="preserve"> </w:t>
      </w:r>
      <w:r w:rsidRPr="00260431">
        <w:rPr>
          <w:rFonts w:hint="eastAsia"/>
          <w:rtl/>
        </w:rPr>
        <w:t>המכוננת</w:t>
      </w:r>
      <w:r w:rsidRPr="00260431">
        <w:rPr>
          <w:rtl/>
        </w:rPr>
        <w:t xml:space="preserve">" </w:t>
      </w:r>
      <w:r w:rsidRPr="00260431">
        <w:rPr>
          <w:rFonts w:hint="eastAsia"/>
          <w:rtl/>
        </w:rPr>
        <w:t>הם</w:t>
      </w:r>
      <w:r w:rsidRPr="00260431">
        <w:rPr>
          <w:rtl/>
        </w:rPr>
        <w:t xml:space="preserve"> </w:t>
      </w:r>
      <w:r w:rsidRPr="00260431">
        <w:rPr>
          <w:rFonts w:hint="eastAsia"/>
          <w:rtl/>
        </w:rPr>
        <w:t>אלו</w:t>
      </w:r>
      <w:r w:rsidRPr="00260431">
        <w:rPr>
          <w:rtl/>
        </w:rPr>
        <w:t xml:space="preserve"> </w:t>
      </w:r>
      <w:r w:rsidRPr="00260431">
        <w:rPr>
          <w:rFonts w:hint="eastAsia"/>
          <w:rtl/>
        </w:rPr>
        <w:t>אשר</w:t>
      </w:r>
      <w:r w:rsidRPr="00260431">
        <w:rPr>
          <w:rtl/>
        </w:rPr>
        <w:t xml:space="preserve"> </w:t>
      </w:r>
      <w:r w:rsidRPr="00260431">
        <w:rPr>
          <w:rFonts w:hint="eastAsia"/>
          <w:rtl/>
        </w:rPr>
        <w:t>עמדו</w:t>
      </w:r>
      <w:r w:rsidRPr="00260431">
        <w:rPr>
          <w:rtl/>
        </w:rPr>
        <w:t xml:space="preserve"> </w:t>
      </w:r>
      <w:r w:rsidRPr="00260431">
        <w:rPr>
          <w:rFonts w:hint="eastAsia"/>
          <w:rtl/>
        </w:rPr>
        <w:t>בבסיס</w:t>
      </w:r>
      <w:r w:rsidRPr="00260431">
        <w:rPr>
          <w:rtl/>
        </w:rPr>
        <w:t xml:space="preserve"> </w:t>
      </w:r>
      <w:r w:rsidRPr="00260431">
        <w:rPr>
          <w:rFonts w:hint="eastAsia"/>
          <w:rtl/>
        </w:rPr>
        <w:t>סמכות</w:t>
      </w:r>
      <w:r w:rsidRPr="00260431">
        <w:rPr>
          <w:rtl/>
        </w:rPr>
        <w:t xml:space="preserve"> </w:t>
      </w:r>
      <w:r w:rsidRPr="00260431">
        <w:rPr>
          <w:rFonts w:hint="eastAsia"/>
          <w:rtl/>
        </w:rPr>
        <w:t>זו</w:t>
      </w:r>
      <w:r w:rsidRPr="00260431">
        <w:rPr>
          <w:rtl/>
        </w:rPr>
        <w:t xml:space="preserve">, </w:t>
      </w:r>
      <w:r w:rsidRPr="00260431">
        <w:rPr>
          <w:rFonts w:hint="eastAsia"/>
          <w:rtl/>
        </w:rPr>
        <w:t>ולא</w:t>
      </w:r>
      <w:r w:rsidRPr="00260431">
        <w:rPr>
          <w:rtl/>
        </w:rPr>
        <w:t xml:space="preserve"> </w:t>
      </w:r>
      <w:r w:rsidRPr="00260431">
        <w:rPr>
          <w:rFonts w:hint="cs"/>
          <w:rtl/>
        </w:rPr>
        <w:t>"</w:t>
      </w:r>
      <w:r w:rsidRPr="00260431">
        <w:rPr>
          <w:rFonts w:hint="eastAsia"/>
          <w:rtl/>
        </w:rPr>
        <w:t>עקרונות</w:t>
      </w:r>
      <w:r w:rsidRPr="00260431">
        <w:rPr>
          <w:rtl/>
        </w:rPr>
        <w:t xml:space="preserve"> </w:t>
      </w:r>
      <w:r w:rsidRPr="00260431">
        <w:rPr>
          <w:rFonts w:hint="eastAsia"/>
          <w:rtl/>
        </w:rPr>
        <w:t>היסוד</w:t>
      </w:r>
      <w:r w:rsidRPr="00260431">
        <w:rPr>
          <w:rtl/>
        </w:rPr>
        <w:t xml:space="preserve"> </w:t>
      </w:r>
      <w:r w:rsidRPr="00260431">
        <w:rPr>
          <w:rFonts w:hint="eastAsia"/>
          <w:rtl/>
        </w:rPr>
        <w:t>של</w:t>
      </w:r>
      <w:r w:rsidRPr="00260431">
        <w:rPr>
          <w:rtl/>
        </w:rPr>
        <w:t xml:space="preserve"> </w:t>
      </w:r>
      <w:r w:rsidRPr="00260431">
        <w:rPr>
          <w:rFonts w:hint="eastAsia"/>
          <w:rtl/>
        </w:rPr>
        <w:t>השיטה</w:t>
      </w:r>
      <w:r w:rsidRPr="00260431">
        <w:rPr>
          <w:rFonts w:hint="cs"/>
          <w:rtl/>
        </w:rPr>
        <w:t>"</w:t>
      </w:r>
      <w:r>
        <w:rPr>
          <w:rFonts w:hint="cs"/>
          <w:rtl/>
        </w:rPr>
        <w:t>.</w:t>
      </w:r>
    </w:p>
    <w:p w:rsidR="00737972" w:rsidRDefault="00737972" w:rsidP="00737972">
      <w:pPr>
        <w:pStyle w:val="Ruller41"/>
        <w:rPr>
          <w:rtl/>
        </w:rPr>
      </w:pPr>
    </w:p>
    <w:p w:rsidR="00737972" w:rsidRPr="00DE5473" w:rsidRDefault="00737972" w:rsidP="00737972">
      <w:pPr>
        <w:pStyle w:val="Ruller4"/>
        <w:rPr>
          <w:rtl/>
        </w:rPr>
      </w:pPr>
      <w:r>
        <w:rPr>
          <w:rFonts w:hint="cs"/>
          <w:rtl/>
        </w:rPr>
        <w:t xml:space="preserve">כפי שציינתי בעניין </w:t>
      </w:r>
      <w:r w:rsidRPr="00B17E7A">
        <w:rPr>
          <w:rFonts w:ascii="Century" w:hAnsi="Century" w:cs="Miriam" w:hint="cs"/>
          <w:b/>
          <w:spacing w:val="0"/>
          <w:sz w:val="22"/>
          <w:szCs w:val="24"/>
          <w:rtl/>
        </w:rPr>
        <w:t>שפיר</w:t>
      </w:r>
      <w:r w:rsidRPr="00E556FB">
        <w:rPr>
          <w:rFonts w:hint="cs"/>
          <w:rtl/>
        </w:rPr>
        <w:t xml:space="preserve"> </w:t>
      </w:r>
      <w:r>
        <w:rPr>
          <w:rFonts w:hint="cs"/>
          <w:rtl/>
        </w:rPr>
        <w:t xml:space="preserve">(פסקה 11 לחוות דעתי), דעת הרוב בעניין </w:t>
      </w:r>
      <w:r w:rsidRPr="00B17E7A">
        <w:rPr>
          <w:rFonts w:ascii="Century" w:hAnsi="Century" w:cs="Miriam" w:hint="cs"/>
          <w:b/>
          <w:spacing w:val="0"/>
          <w:sz w:val="22"/>
          <w:szCs w:val="24"/>
          <w:rtl/>
        </w:rPr>
        <w:t>בנק המזרחי</w:t>
      </w:r>
      <w:r w:rsidRPr="00B17E7A">
        <w:rPr>
          <w:rFonts w:hint="cs"/>
          <w:rtl/>
        </w:rPr>
        <w:t xml:space="preserve"> </w:t>
      </w:r>
      <w:r>
        <w:rPr>
          <w:rFonts w:hint="cs"/>
          <w:rtl/>
        </w:rPr>
        <w:t xml:space="preserve">דחתה את גישתו של השופט </w:t>
      </w:r>
      <w:r w:rsidRPr="00B17E7A">
        <w:rPr>
          <w:rFonts w:ascii="Century" w:hAnsi="Century" w:cs="Miriam" w:hint="cs"/>
          <w:b/>
          <w:spacing w:val="0"/>
          <w:sz w:val="22"/>
          <w:szCs w:val="24"/>
          <w:rtl/>
        </w:rPr>
        <w:t>מ' חשין</w:t>
      </w:r>
      <w:r>
        <w:rPr>
          <w:rFonts w:hint="cs"/>
          <w:rtl/>
        </w:rPr>
        <w:t xml:space="preserve"> אשר הביע הסתייגות מיצירת "חוקה" מבלי שנעשה מהלך ברור לכינונהּ, ובמענה לתמיהה </w:t>
      </w:r>
      <w:r>
        <w:rPr>
          <w:rtl/>
        </w:rPr>
        <w:t>–</w:t>
      </w:r>
      <w:r>
        <w:rPr>
          <w:rFonts w:hint="cs"/>
          <w:rtl/>
        </w:rPr>
        <w:t xml:space="preserve"> האם בית המשפט הוא שיקבע את גדרי החוקה? (שם, עמ' 516) </w:t>
      </w:r>
      <w:r>
        <w:rPr>
          <w:rtl/>
        </w:rPr>
        <w:t>–</w:t>
      </w:r>
      <w:r>
        <w:rPr>
          <w:rFonts w:hint="cs"/>
          <w:rtl/>
        </w:rPr>
        <w:t xml:space="preserve"> ניתנה התשובה הברורה: "</w:t>
      </w:r>
      <w:r w:rsidRPr="00B17E7A">
        <w:rPr>
          <w:rFonts w:hint="eastAsia"/>
          <w:rtl/>
        </w:rPr>
        <w:t>תשובתה</w:t>
      </w:r>
      <w:r w:rsidRPr="00B17E7A">
        <w:rPr>
          <w:rtl/>
        </w:rPr>
        <w:t xml:space="preserve"> </w:t>
      </w:r>
      <w:r w:rsidRPr="00B17E7A">
        <w:rPr>
          <w:rFonts w:hint="eastAsia"/>
          <w:rtl/>
        </w:rPr>
        <w:t>של</w:t>
      </w:r>
      <w:r w:rsidRPr="00B17E7A">
        <w:rPr>
          <w:rtl/>
        </w:rPr>
        <w:t xml:space="preserve"> </w:t>
      </w:r>
      <w:r w:rsidRPr="00B17E7A">
        <w:rPr>
          <w:rFonts w:hint="eastAsia"/>
          <w:rtl/>
        </w:rPr>
        <w:t>תורת</w:t>
      </w:r>
      <w:r w:rsidRPr="00B17E7A">
        <w:rPr>
          <w:rtl/>
        </w:rPr>
        <w:t xml:space="preserve"> </w:t>
      </w:r>
      <w:r w:rsidRPr="00B17E7A">
        <w:rPr>
          <w:rFonts w:hint="eastAsia"/>
          <w:rtl/>
        </w:rPr>
        <w:t>הסמכות</w:t>
      </w:r>
      <w:r w:rsidRPr="00B17E7A">
        <w:rPr>
          <w:rtl/>
        </w:rPr>
        <w:t xml:space="preserve"> </w:t>
      </w:r>
      <w:r w:rsidRPr="00B17E7A">
        <w:rPr>
          <w:rFonts w:hint="eastAsia"/>
          <w:rtl/>
        </w:rPr>
        <w:t>המכוננת</w:t>
      </w:r>
      <w:r w:rsidRPr="00B17E7A">
        <w:rPr>
          <w:rtl/>
        </w:rPr>
        <w:t xml:space="preserve"> </w:t>
      </w:r>
      <w:r w:rsidRPr="00B17E7A">
        <w:rPr>
          <w:rFonts w:hint="eastAsia"/>
          <w:rtl/>
        </w:rPr>
        <w:t>להבחנה</w:t>
      </w:r>
      <w:r w:rsidRPr="00B17E7A">
        <w:rPr>
          <w:rtl/>
        </w:rPr>
        <w:t xml:space="preserve"> </w:t>
      </w:r>
      <w:r w:rsidRPr="00B17E7A">
        <w:rPr>
          <w:rFonts w:hint="eastAsia"/>
          <w:rtl/>
        </w:rPr>
        <w:t>בין</w:t>
      </w:r>
      <w:r w:rsidRPr="00B17E7A">
        <w:rPr>
          <w:rtl/>
        </w:rPr>
        <w:t xml:space="preserve"> </w:t>
      </w:r>
      <w:r w:rsidRPr="00B17E7A">
        <w:rPr>
          <w:rFonts w:hint="eastAsia"/>
          <w:rtl/>
        </w:rPr>
        <w:t>מעשה</w:t>
      </w:r>
      <w:r w:rsidRPr="00B17E7A">
        <w:rPr>
          <w:rtl/>
        </w:rPr>
        <w:t xml:space="preserve"> </w:t>
      </w:r>
      <w:r w:rsidRPr="00B17E7A">
        <w:rPr>
          <w:rFonts w:hint="eastAsia"/>
          <w:rtl/>
        </w:rPr>
        <w:t>חוקה</w:t>
      </w:r>
      <w:r w:rsidRPr="00B17E7A">
        <w:rPr>
          <w:rtl/>
        </w:rPr>
        <w:t xml:space="preserve"> </w:t>
      </w:r>
      <w:r w:rsidRPr="00B17E7A">
        <w:rPr>
          <w:rFonts w:hint="eastAsia"/>
          <w:rtl/>
        </w:rPr>
        <w:t>למעשה</w:t>
      </w:r>
      <w:r w:rsidRPr="00B17E7A">
        <w:rPr>
          <w:rtl/>
        </w:rPr>
        <w:t xml:space="preserve"> </w:t>
      </w:r>
      <w:r w:rsidRPr="00B17E7A">
        <w:rPr>
          <w:rFonts w:hint="eastAsia"/>
          <w:rtl/>
        </w:rPr>
        <w:t>חקיקה</w:t>
      </w:r>
      <w:r w:rsidRPr="00B17E7A">
        <w:rPr>
          <w:rtl/>
        </w:rPr>
        <w:t xml:space="preserve"> </w:t>
      </w:r>
      <w:r w:rsidRPr="00B17E7A">
        <w:rPr>
          <w:rFonts w:hint="eastAsia"/>
          <w:rtl/>
        </w:rPr>
        <w:t>היא</w:t>
      </w:r>
      <w:r w:rsidRPr="00B17E7A">
        <w:rPr>
          <w:rtl/>
        </w:rPr>
        <w:t xml:space="preserve"> </w:t>
      </w:r>
      <w:r w:rsidRPr="00B17E7A">
        <w:rPr>
          <w:rFonts w:hint="eastAsia"/>
          <w:rtl/>
        </w:rPr>
        <w:t>פשוטה</w:t>
      </w:r>
      <w:r w:rsidRPr="00B17E7A">
        <w:rPr>
          <w:rtl/>
        </w:rPr>
        <w:t xml:space="preserve"> </w:t>
      </w:r>
      <w:r w:rsidRPr="00B17E7A">
        <w:rPr>
          <w:rFonts w:hint="eastAsia"/>
          <w:rtl/>
        </w:rPr>
        <w:t>וברורה</w:t>
      </w:r>
      <w:r w:rsidRPr="00B17E7A">
        <w:rPr>
          <w:rtl/>
        </w:rPr>
        <w:t xml:space="preserve">, </w:t>
      </w:r>
      <w:r w:rsidRPr="00B17E7A">
        <w:rPr>
          <w:rFonts w:hint="eastAsia"/>
          <w:rtl/>
        </w:rPr>
        <w:t>שהרי</w:t>
      </w:r>
      <w:r w:rsidRPr="00B17E7A">
        <w:rPr>
          <w:rtl/>
        </w:rPr>
        <w:t xml:space="preserve"> </w:t>
      </w:r>
      <w:r w:rsidRPr="00B17E7A">
        <w:rPr>
          <w:rFonts w:hint="eastAsia"/>
          <w:rtl/>
        </w:rPr>
        <w:t>היא</w:t>
      </w:r>
      <w:r w:rsidRPr="00B17E7A">
        <w:rPr>
          <w:rtl/>
        </w:rPr>
        <w:t xml:space="preserve"> </w:t>
      </w:r>
      <w:r w:rsidRPr="00B17E7A">
        <w:rPr>
          <w:rFonts w:hint="eastAsia"/>
          <w:rtl/>
        </w:rPr>
        <w:t>נזקקת</w:t>
      </w:r>
      <w:r w:rsidRPr="00B17E7A">
        <w:rPr>
          <w:rtl/>
        </w:rPr>
        <w:t xml:space="preserve"> </w:t>
      </w:r>
      <w:r w:rsidRPr="00B17E7A">
        <w:rPr>
          <w:rFonts w:hint="eastAsia"/>
          <w:rtl/>
        </w:rPr>
        <w:t>למבחן</w:t>
      </w:r>
      <w:r w:rsidRPr="00B17E7A">
        <w:rPr>
          <w:rtl/>
        </w:rPr>
        <w:t xml:space="preserve"> </w:t>
      </w:r>
      <w:r w:rsidRPr="00B17E7A">
        <w:rPr>
          <w:rFonts w:hint="eastAsia"/>
          <w:rtl/>
        </w:rPr>
        <w:t>צורני</w:t>
      </w:r>
      <w:r w:rsidRPr="00B17E7A">
        <w:rPr>
          <w:rtl/>
        </w:rPr>
        <w:t xml:space="preserve"> </w:t>
      </w:r>
      <w:r w:rsidRPr="00B17E7A">
        <w:rPr>
          <w:rFonts w:hint="eastAsia"/>
          <w:rtl/>
        </w:rPr>
        <w:t>פשוט</w:t>
      </w:r>
      <w:r w:rsidRPr="00B17E7A">
        <w:rPr>
          <w:rtl/>
        </w:rPr>
        <w:t>" (</w:t>
      </w:r>
      <w:r w:rsidRPr="00B17E7A">
        <w:rPr>
          <w:rFonts w:hint="eastAsia"/>
          <w:rtl/>
        </w:rPr>
        <w:t>שם</w:t>
      </w:r>
      <w:r w:rsidRPr="00B17E7A">
        <w:rPr>
          <w:rtl/>
        </w:rPr>
        <w:t xml:space="preserve">, </w:t>
      </w:r>
      <w:r w:rsidRPr="00B17E7A">
        <w:rPr>
          <w:rFonts w:hint="eastAsia"/>
          <w:rtl/>
        </w:rPr>
        <w:t>עמ</w:t>
      </w:r>
      <w:r w:rsidRPr="00B17E7A">
        <w:rPr>
          <w:rtl/>
        </w:rPr>
        <w:t>' 394).</w:t>
      </w:r>
      <w:r>
        <w:rPr>
          <w:rFonts w:hint="cs"/>
          <w:rtl/>
        </w:rPr>
        <w:t xml:space="preserve"> האפשרות לבחון את חוקתיות השימוש בדיבור "חוק יסוד" נותרה ב"צריך עיון", אך בין כך ובין כך לא הונח כל בסיס רעיוני לבחינה שכזו. אדרבה, הותרת אפשרות זו בצריך עיון עומדת בסתירה חזיתית למענה שניתן כאמור </w:t>
      </w:r>
      <w:r>
        <w:rPr>
          <w:rFonts w:hint="eastAsia"/>
          <w:rtl/>
        </w:rPr>
        <w:t>בדמות</w:t>
      </w:r>
      <w:r>
        <w:rPr>
          <w:rtl/>
        </w:rPr>
        <w:t xml:space="preserve"> </w:t>
      </w:r>
      <w:r>
        <w:rPr>
          <w:rFonts w:hint="eastAsia"/>
          <w:rtl/>
        </w:rPr>
        <w:t>ההבחנה</w:t>
      </w:r>
      <w:r>
        <w:rPr>
          <w:rtl/>
        </w:rPr>
        <w:t xml:space="preserve"> </w:t>
      </w:r>
      <w:r>
        <w:rPr>
          <w:rFonts w:hint="eastAsia"/>
          <w:rtl/>
        </w:rPr>
        <w:t>הצורנית</w:t>
      </w:r>
      <w:r>
        <w:rPr>
          <w:rtl/>
        </w:rPr>
        <w:t xml:space="preserve"> </w:t>
      </w:r>
      <w:r>
        <w:rPr>
          <w:rFonts w:hint="eastAsia"/>
          <w:rtl/>
        </w:rPr>
        <w:t>הברורה</w:t>
      </w:r>
      <w:r>
        <w:rPr>
          <w:rtl/>
        </w:rPr>
        <w:t xml:space="preserve"> </w:t>
      </w:r>
      <w:r>
        <w:rPr>
          <w:rFonts w:hint="eastAsia"/>
          <w:rtl/>
        </w:rPr>
        <w:t>בין</w:t>
      </w:r>
      <w:r>
        <w:rPr>
          <w:rtl/>
        </w:rPr>
        <w:t xml:space="preserve"> </w:t>
      </w:r>
      <w:r>
        <w:rPr>
          <w:rFonts w:hint="eastAsia"/>
          <w:rtl/>
        </w:rPr>
        <w:t>דבר</w:t>
      </w:r>
      <w:r>
        <w:rPr>
          <w:rtl/>
        </w:rPr>
        <w:t xml:space="preserve"> </w:t>
      </w:r>
      <w:r>
        <w:rPr>
          <w:rFonts w:hint="eastAsia"/>
          <w:rtl/>
        </w:rPr>
        <w:t>חקיקה</w:t>
      </w:r>
      <w:r>
        <w:rPr>
          <w:rtl/>
        </w:rPr>
        <w:t xml:space="preserve"> </w:t>
      </w:r>
      <w:r>
        <w:rPr>
          <w:rFonts w:hint="eastAsia"/>
          <w:rtl/>
        </w:rPr>
        <w:t>לדבר</w:t>
      </w:r>
      <w:r>
        <w:rPr>
          <w:rtl/>
        </w:rPr>
        <w:t xml:space="preserve"> </w:t>
      </w:r>
      <w:r>
        <w:rPr>
          <w:rFonts w:hint="eastAsia"/>
          <w:rtl/>
        </w:rPr>
        <w:t>חוקה</w:t>
      </w:r>
      <w:r>
        <w:rPr>
          <w:rFonts w:hint="cs"/>
          <w:rtl/>
        </w:rPr>
        <w:t>, העומדת בבסיסה של "תורת הסמכות המכוננת"</w:t>
      </w:r>
      <w:r>
        <w:rPr>
          <w:rtl/>
        </w:rPr>
        <w:t xml:space="preserve">. </w:t>
      </w:r>
      <w:r>
        <w:rPr>
          <w:rFonts w:hint="cs"/>
          <w:rtl/>
        </w:rPr>
        <w:t xml:space="preserve">כל אחת מהגישות שיוצגו על ידי השופטים </w:t>
      </w:r>
      <w:r w:rsidRPr="006F6F3D">
        <w:rPr>
          <w:rFonts w:ascii="Century" w:hAnsi="Century" w:cs="Miriam" w:hint="cs"/>
          <w:b/>
          <w:spacing w:val="0"/>
          <w:szCs w:val="24"/>
          <w:rtl/>
        </w:rPr>
        <w:t>א' ברק</w:t>
      </w:r>
      <w:r w:rsidRPr="007E7B69">
        <w:rPr>
          <w:rFonts w:hint="cs"/>
          <w:rtl/>
        </w:rPr>
        <w:t xml:space="preserve"> </w:t>
      </w:r>
      <w:r>
        <w:rPr>
          <w:rFonts w:hint="cs"/>
          <w:rtl/>
        </w:rPr>
        <w:t>ו-</w:t>
      </w:r>
      <w:r w:rsidRPr="006F6F3D">
        <w:rPr>
          <w:rFonts w:ascii="Century" w:hAnsi="Century" w:cs="Miriam" w:hint="cs"/>
          <w:b/>
          <w:spacing w:val="0"/>
          <w:szCs w:val="24"/>
          <w:rtl/>
        </w:rPr>
        <w:t>מ' חשין</w:t>
      </w:r>
      <w:r w:rsidRPr="007E7B69">
        <w:rPr>
          <w:rFonts w:hint="cs"/>
          <w:rtl/>
        </w:rPr>
        <w:t xml:space="preserve"> </w:t>
      </w:r>
      <w:r>
        <w:rPr>
          <w:rFonts w:hint="cs"/>
          <w:rtl/>
        </w:rPr>
        <w:t xml:space="preserve">בעניין </w:t>
      </w:r>
      <w:r w:rsidRPr="006F6F3D">
        <w:rPr>
          <w:rFonts w:ascii="Century" w:hAnsi="Century" w:cs="Miriam" w:hint="cs"/>
          <w:b/>
          <w:spacing w:val="0"/>
          <w:szCs w:val="24"/>
          <w:rtl/>
        </w:rPr>
        <w:t>בנק</w:t>
      </w:r>
      <w:r w:rsidRPr="007E7B69">
        <w:rPr>
          <w:rFonts w:hint="cs"/>
          <w:rtl/>
        </w:rPr>
        <w:t xml:space="preserve"> </w:t>
      </w:r>
      <w:r w:rsidRPr="006F6F3D">
        <w:rPr>
          <w:rFonts w:ascii="Century" w:hAnsi="Century" w:cs="Miriam" w:hint="cs"/>
          <w:b/>
          <w:spacing w:val="0"/>
          <w:szCs w:val="24"/>
          <w:rtl/>
        </w:rPr>
        <w:t>המזרחי</w:t>
      </w:r>
      <w:r w:rsidRPr="007E7B69">
        <w:rPr>
          <w:rFonts w:hint="cs"/>
          <w:rtl/>
        </w:rPr>
        <w:t xml:space="preserve"> </w:t>
      </w:r>
      <w:r>
        <w:rPr>
          <w:rFonts w:hint="cs"/>
          <w:rtl/>
        </w:rPr>
        <w:t xml:space="preserve">בנוגע לקיומה או להיעדרה של חוקה בשיטת משפטנו ומקור הסמכות לביצוע ביקורת שיפוטית על דבר חקיקה מבטאת תפיסה שונה (וראו למשל: יהושע (שוקי) שגב "'ההיית או חלמתי חלום' השופט חשין על סמכותה המכוננת של הכנסת" </w:t>
      </w:r>
      <w:r w:rsidRPr="006F6F3D">
        <w:rPr>
          <w:rFonts w:ascii="Century" w:hAnsi="Century" w:cs="Miriam" w:hint="cs"/>
          <w:b/>
          <w:spacing w:val="0"/>
          <w:szCs w:val="24"/>
          <w:rtl/>
        </w:rPr>
        <w:t>מאזני משפט</w:t>
      </w:r>
      <w:r w:rsidRPr="007E7B69">
        <w:rPr>
          <w:rFonts w:hint="cs"/>
          <w:rtl/>
        </w:rPr>
        <w:t xml:space="preserve"> </w:t>
      </w:r>
      <w:r>
        <w:rPr>
          <w:rFonts w:hint="cs"/>
          <w:rtl/>
        </w:rPr>
        <w:t>ו 461 (התשס"ז); עלי זלצברגר "</w:t>
      </w:r>
      <w:r w:rsidRPr="006F6F3D">
        <w:rPr>
          <w:rFonts w:ascii="Century" w:hAnsi="Century" w:hint="cs"/>
          <w:rtl/>
        </w:rPr>
        <w:t>הסמכות המכוננת בישראל</w:t>
      </w:r>
      <w:r>
        <w:rPr>
          <w:rFonts w:hint="cs"/>
          <w:rtl/>
        </w:rPr>
        <w:t>"</w:t>
      </w:r>
      <w:r w:rsidRPr="007E7B69">
        <w:rPr>
          <w:rFonts w:hint="cs"/>
          <w:rtl/>
        </w:rPr>
        <w:t xml:space="preserve"> </w:t>
      </w:r>
      <w:r w:rsidRPr="006F6F3D">
        <w:rPr>
          <w:rFonts w:ascii="Century" w:hAnsi="Century" w:cs="Miriam" w:hint="cs"/>
          <w:b/>
          <w:spacing w:val="0"/>
          <w:szCs w:val="24"/>
          <w:rtl/>
        </w:rPr>
        <w:t>משפט וממשל</w:t>
      </w:r>
      <w:r w:rsidRPr="007E7B69">
        <w:rPr>
          <w:rFonts w:hint="cs"/>
          <w:rtl/>
        </w:rPr>
        <w:t xml:space="preserve"> </w:t>
      </w:r>
      <w:r>
        <w:rPr>
          <w:rFonts w:hint="cs"/>
          <w:rtl/>
        </w:rPr>
        <w:t>ג 679 (1996</w:t>
      </w:r>
      <w:r w:rsidRPr="00A31F5B">
        <w:rPr>
          <w:rFonts w:hint="cs"/>
          <w:rtl/>
        </w:rPr>
        <w:t xml:space="preserve">)). חוקה פורמלית מזה, וחוקה שאינה פורמלית מזה; </w:t>
      </w:r>
      <w:r>
        <w:rPr>
          <w:rFonts w:hint="cs"/>
          <w:rtl/>
        </w:rPr>
        <w:t xml:space="preserve">דמוקרטיה של שתי דרגות מזה, ודמוקרטיה של דרגה אחת מזה. ברם, הגישה שנבחרה והועלתה על נס בשיח המשפטי ובפסיקת בית משפט זה במשך העשורים שחלפו מאז, היא הגישה הטקסטואלית-צורנית (ראו למשל: אורי אהרונסון "המהפכה החוקתית: הדור הבא" </w:t>
      </w:r>
      <w:r w:rsidRPr="006F6F3D">
        <w:rPr>
          <w:rFonts w:ascii="Century" w:hAnsi="Century" w:cs="Miriam" w:hint="cs"/>
          <w:b/>
          <w:spacing w:val="0"/>
          <w:szCs w:val="24"/>
          <w:rtl/>
        </w:rPr>
        <w:t>מחקרי משפט</w:t>
      </w:r>
      <w:r w:rsidRPr="00F3416F">
        <w:rPr>
          <w:rFonts w:hint="cs"/>
          <w:rtl/>
        </w:rPr>
        <w:t xml:space="preserve"> </w:t>
      </w:r>
      <w:r>
        <w:rPr>
          <w:rFonts w:hint="cs"/>
          <w:rtl/>
        </w:rPr>
        <w:t>לד 1, 6 (2021)). זו הייתה הבחירה.</w:t>
      </w:r>
      <w:r w:rsidRPr="00BD5988">
        <w:rPr>
          <w:rFonts w:hint="eastAsia"/>
          <w:rtl/>
        </w:rPr>
        <w:t xml:space="preserve"> </w:t>
      </w:r>
      <w:r w:rsidRPr="00FF6AB3">
        <w:rPr>
          <w:rFonts w:hint="eastAsia"/>
          <w:rtl/>
        </w:rPr>
        <w:t>בהמשך</w:t>
      </w:r>
      <w:r w:rsidRPr="00FF6AB3">
        <w:rPr>
          <w:rtl/>
        </w:rPr>
        <w:t xml:space="preserve"> </w:t>
      </w:r>
      <w:r w:rsidRPr="00FF6AB3">
        <w:rPr>
          <w:rFonts w:hint="eastAsia"/>
          <w:rtl/>
        </w:rPr>
        <w:t>לבחירה</w:t>
      </w:r>
      <w:r w:rsidRPr="00FF6AB3">
        <w:rPr>
          <w:rtl/>
        </w:rPr>
        <w:t xml:space="preserve"> </w:t>
      </w:r>
      <w:r w:rsidRPr="00FF6AB3">
        <w:rPr>
          <w:rFonts w:hint="eastAsia"/>
          <w:rtl/>
        </w:rPr>
        <w:t>זו</w:t>
      </w:r>
      <w:r w:rsidRPr="00FF6AB3">
        <w:rPr>
          <w:rtl/>
        </w:rPr>
        <w:t xml:space="preserve">, </w:t>
      </w:r>
      <w:r w:rsidRPr="00FF6AB3">
        <w:rPr>
          <w:rFonts w:hint="eastAsia"/>
          <w:rtl/>
        </w:rPr>
        <w:t>בית</w:t>
      </w:r>
      <w:r w:rsidRPr="00FF6AB3">
        <w:rPr>
          <w:rtl/>
        </w:rPr>
        <w:t xml:space="preserve"> </w:t>
      </w:r>
      <w:r w:rsidRPr="00FF6AB3">
        <w:rPr>
          <w:rFonts w:hint="eastAsia"/>
          <w:rtl/>
        </w:rPr>
        <w:t>המשפט</w:t>
      </w:r>
      <w:r w:rsidRPr="00FF6AB3">
        <w:rPr>
          <w:rtl/>
        </w:rPr>
        <w:t xml:space="preserve"> </w:t>
      </w:r>
      <w:r w:rsidRPr="00FF6AB3">
        <w:rPr>
          <w:rFonts w:hint="eastAsia"/>
          <w:rtl/>
        </w:rPr>
        <w:t>אינו</w:t>
      </w:r>
      <w:r w:rsidRPr="00FF6AB3">
        <w:rPr>
          <w:rtl/>
        </w:rPr>
        <w:t xml:space="preserve"> </w:t>
      </w:r>
      <w:r w:rsidRPr="00FF6AB3">
        <w:rPr>
          <w:rFonts w:hint="eastAsia"/>
          <w:rtl/>
        </w:rPr>
        <w:t>יכול</w:t>
      </w:r>
      <w:r w:rsidRPr="00FF6AB3">
        <w:rPr>
          <w:rtl/>
        </w:rPr>
        <w:t xml:space="preserve"> </w:t>
      </w:r>
      <w:r w:rsidRPr="00FF6AB3">
        <w:rPr>
          <w:rFonts w:hint="eastAsia"/>
          <w:rtl/>
        </w:rPr>
        <w:t>לתור</w:t>
      </w:r>
      <w:r w:rsidRPr="00FF6AB3">
        <w:rPr>
          <w:rtl/>
        </w:rPr>
        <w:t xml:space="preserve"> </w:t>
      </w:r>
      <w:r w:rsidRPr="00FF6AB3">
        <w:rPr>
          <w:rFonts w:hint="eastAsia"/>
          <w:rtl/>
        </w:rPr>
        <w:t>לו</w:t>
      </w:r>
      <w:r w:rsidRPr="00FF6AB3">
        <w:rPr>
          <w:rtl/>
        </w:rPr>
        <w:t xml:space="preserve"> </w:t>
      </w:r>
      <w:r w:rsidRPr="00FF6AB3">
        <w:rPr>
          <w:rFonts w:hint="eastAsia"/>
          <w:rtl/>
        </w:rPr>
        <w:t>כרצונו</w:t>
      </w:r>
      <w:r w:rsidRPr="00FF6AB3">
        <w:rPr>
          <w:rtl/>
        </w:rPr>
        <w:t xml:space="preserve"> </w:t>
      </w:r>
      <w:r w:rsidRPr="00FF6AB3">
        <w:rPr>
          <w:rFonts w:hint="eastAsia"/>
          <w:rtl/>
        </w:rPr>
        <w:t>אחר</w:t>
      </w:r>
      <w:r w:rsidRPr="00FF6AB3">
        <w:rPr>
          <w:rtl/>
        </w:rPr>
        <w:t xml:space="preserve"> </w:t>
      </w:r>
      <w:r w:rsidRPr="00FF6AB3">
        <w:rPr>
          <w:rFonts w:hint="eastAsia"/>
          <w:rtl/>
        </w:rPr>
        <w:t>נורמות</w:t>
      </w:r>
      <w:r w:rsidRPr="00FF6AB3">
        <w:rPr>
          <w:rtl/>
        </w:rPr>
        <w:t xml:space="preserve"> </w:t>
      </w:r>
      <w:r w:rsidRPr="00FF6AB3">
        <w:rPr>
          <w:rFonts w:hint="eastAsia"/>
          <w:rtl/>
        </w:rPr>
        <w:t>שונות</w:t>
      </w:r>
      <w:r w:rsidRPr="00FF6AB3">
        <w:rPr>
          <w:rtl/>
        </w:rPr>
        <w:t xml:space="preserve">, </w:t>
      </w:r>
      <w:r w:rsidRPr="00FF6AB3">
        <w:rPr>
          <w:rFonts w:hint="eastAsia"/>
          <w:rtl/>
        </w:rPr>
        <w:t>על</w:t>
      </w:r>
      <w:r w:rsidRPr="00FF6AB3">
        <w:rPr>
          <w:rtl/>
        </w:rPr>
        <w:t xml:space="preserve"> </w:t>
      </w:r>
      <w:r w:rsidRPr="00FF6AB3">
        <w:rPr>
          <w:rFonts w:hint="eastAsia"/>
          <w:rtl/>
        </w:rPr>
        <w:t>מנת</w:t>
      </w:r>
      <w:r w:rsidRPr="00FF6AB3">
        <w:rPr>
          <w:rtl/>
        </w:rPr>
        <w:t xml:space="preserve"> </w:t>
      </w:r>
      <w:r w:rsidRPr="00FF6AB3">
        <w:rPr>
          <w:rFonts w:hint="eastAsia"/>
          <w:rtl/>
        </w:rPr>
        <w:t>להרחיב</w:t>
      </w:r>
      <w:r w:rsidRPr="00FF6AB3">
        <w:rPr>
          <w:rtl/>
        </w:rPr>
        <w:t xml:space="preserve"> </w:t>
      </w:r>
      <w:r w:rsidRPr="00FF6AB3">
        <w:rPr>
          <w:rFonts w:hint="eastAsia"/>
          <w:rtl/>
        </w:rPr>
        <w:t>את</w:t>
      </w:r>
      <w:r w:rsidRPr="00FF6AB3">
        <w:rPr>
          <w:rtl/>
        </w:rPr>
        <w:t xml:space="preserve"> </w:t>
      </w:r>
      <w:r w:rsidRPr="00FF6AB3">
        <w:rPr>
          <w:rFonts w:hint="eastAsia"/>
          <w:rtl/>
        </w:rPr>
        <w:t>סל</w:t>
      </w:r>
      <w:r w:rsidRPr="00FF6AB3">
        <w:rPr>
          <w:rtl/>
        </w:rPr>
        <w:t xml:space="preserve"> </w:t>
      </w:r>
      <w:r w:rsidRPr="00FF6AB3">
        <w:rPr>
          <w:rFonts w:hint="eastAsia"/>
          <w:rtl/>
        </w:rPr>
        <w:t>הכלים</w:t>
      </w:r>
      <w:r w:rsidRPr="00FF6AB3">
        <w:rPr>
          <w:rtl/>
        </w:rPr>
        <w:t xml:space="preserve"> </w:t>
      </w:r>
      <w:r w:rsidRPr="00FF6AB3">
        <w:rPr>
          <w:rFonts w:hint="eastAsia"/>
          <w:rtl/>
        </w:rPr>
        <w:t>שברשותו</w:t>
      </w:r>
      <w:r w:rsidRPr="00FF6AB3">
        <w:rPr>
          <w:rtl/>
        </w:rPr>
        <w:t>.</w:t>
      </w:r>
      <w:r>
        <w:rPr>
          <w:rFonts w:hint="cs"/>
          <w:rtl/>
        </w:rPr>
        <w:t xml:space="preserve"> </w:t>
      </w:r>
    </w:p>
    <w:p w:rsidR="00737972" w:rsidRDefault="00737972" w:rsidP="00737972">
      <w:pPr>
        <w:pStyle w:val="Ruller41"/>
        <w:rPr>
          <w:rtl/>
        </w:rPr>
      </w:pPr>
    </w:p>
    <w:p w:rsidR="00737972" w:rsidRDefault="00737972" w:rsidP="00737972">
      <w:pPr>
        <w:pStyle w:val="Ruller4"/>
      </w:pPr>
      <w:r>
        <w:rPr>
          <w:rFonts w:hint="cs"/>
          <w:rtl/>
        </w:rPr>
        <w:t xml:space="preserve">במצב דברים זה, דוקטרינות שעניינן החלת ביקורת שיפוטית על תוכנו של הטקסט החוקתי חותרות תחת שורש ההכרה בסמכות המכוננת. אין מדובר בקושי טכני או פרוצדורלי. מדובר בקושי מהותי החותר תחת תפיסות עומק יסודיות. פסילת חוקי יסוד על בסיס תוכנם בהינתן עקרונות יסוד עליונים עומדת בסתירה חזיתית וקשה עם הבסיס התאורטי עליו הושתתה הסמכות לביצוע ביקורת שיפוטית בעניין </w:t>
      </w:r>
      <w:r w:rsidRPr="00FD6C55">
        <w:rPr>
          <w:rFonts w:ascii="Century" w:hAnsi="Century" w:cs="Miriam" w:hint="cs"/>
          <w:b/>
          <w:spacing w:val="0"/>
          <w:sz w:val="22"/>
          <w:szCs w:val="24"/>
          <w:rtl/>
        </w:rPr>
        <w:t>בנק המזרחי</w:t>
      </w:r>
      <w:r>
        <w:rPr>
          <w:rFonts w:hint="cs"/>
          <w:rtl/>
        </w:rPr>
        <w:t xml:space="preserve">, על פיו הכנסת בכובעה כרשות מכוננת, היא זו שקובעת את </w:t>
      </w:r>
      <w:r w:rsidRPr="006F6F3D">
        <w:rPr>
          <w:rFonts w:hint="cs"/>
          <w:rtl/>
        </w:rPr>
        <w:t>הנורמות החוקתיות (</w:t>
      </w:r>
      <w:r w:rsidRPr="00827318">
        <w:rPr>
          <w:rFonts w:ascii="Century" w:hAnsi="Century" w:cs="Miriam" w:hint="cs"/>
          <w:b/>
          <w:spacing w:val="0"/>
          <w:sz w:val="22"/>
          <w:szCs w:val="24"/>
          <w:rtl/>
        </w:rPr>
        <w:t>דותן, חצי יובל לפסק דין בנק המזרחי</w:t>
      </w:r>
      <w:r>
        <w:rPr>
          <w:rFonts w:hint="cs"/>
          <w:rtl/>
        </w:rPr>
        <w:t>, עמ' 32</w:t>
      </w:r>
      <w:r w:rsidRPr="006F6F3D">
        <w:rPr>
          <w:rFonts w:hint="cs"/>
          <w:rtl/>
        </w:rPr>
        <w:t xml:space="preserve">; </w:t>
      </w:r>
      <w:r w:rsidRPr="006F6F3D">
        <w:rPr>
          <w:rFonts w:hint="eastAsia"/>
          <w:rtl/>
        </w:rPr>
        <w:t>ברק</w:t>
      </w:r>
      <w:r w:rsidRPr="006F6F3D">
        <w:rPr>
          <w:rtl/>
        </w:rPr>
        <w:t xml:space="preserve"> </w:t>
      </w:r>
      <w:r w:rsidRPr="006F6F3D">
        <w:rPr>
          <w:rFonts w:hint="eastAsia"/>
          <w:rtl/>
        </w:rPr>
        <w:t>מדינה</w:t>
      </w:r>
      <w:r w:rsidRPr="006F6F3D">
        <w:rPr>
          <w:rtl/>
        </w:rPr>
        <w:t xml:space="preserve"> </w:t>
      </w:r>
      <w:r w:rsidRPr="006F6F3D">
        <w:rPr>
          <w:rFonts w:hint="eastAsia"/>
          <w:rtl/>
        </w:rPr>
        <w:t>ועשור</w:t>
      </w:r>
      <w:r w:rsidRPr="006F6F3D">
        <w:rPr>
          <w:rtl/>
        </w:rPr>
        <w:t xml:space="preserve"> </w:t>
      </w:r>
      <w:r w:rsidRPr="006F6F3D">
        <w:rPr>
          <w:rFonts w:hint="eastAsia"/>
          <w:rtl/>
        </w:rPr>
        <w:t>ויצמן</w:t>
      </w:r>
      <w:r w:rsidRPr="006F6F3D">
        <w:rPr>
          <w:rtl/>
        </w:rPr>
        <w:t xml:space="preserve"> "</w:t>
      </w:r>
      <w:r w:rsidRPr="006F6F3D">
        <w:rPr>
          <w:rFonts w:hint="eastAsia"/>
          <w:rtl/>
        </w:rPr>
        <w:t>המהפכה</w:t>
      </w:r>
      <w:r w:rsidRPr="006F6F3D">
        <w:rPr>
          <w:rtl/>
        </w:rPr>
        <w:t xml:space="preserve"> </w:t>
      </w:r>
      <w:r w:rsidRPr="006F6F3D">
        <w:rPr>
          <w:rFonts w:hint="eastAsia"/>
          <w:rtl/>
        </w:rPr>
        <w:t>החוקתית</w:t>
      </w:r>
      <w:r w:rsidRPr="006F6F3D">
        <w:rPr>
          <w:rtl/>
        </w:rPr>
        <w:t xml:space="preserve"> </w:t>
      </w:r>
      <w:r w:rsidRPr="006F6F3D">
        <w:rPr>
          <w:rFonts w:hint="eastAsia"/>
          <w:rtl/>
        </w:rPr>
        <w:t>או</w:t>
      </w:r>
      <w:r w:rsidRPr="006F6F3D">
        <w:rPr>
          <w:rtl/>
        </w:rPr>
        <w:t xml:space="preserve"> </w:t>
      </w:r>
      <w:r w:rsidRPr="006F6F3D">
        <w:rPr>
          <w:rFonts w:hint="eastAsia"/>
          <w:rtl/>
        </w:rPr>
        <w:t>מהפכת</w:t>
      </w:r>
      <w:r>
        <w:rPr>
          <w:rtl/>
        </w:rPr>
        <w:t xml:space="preserve"> </w:t>
      </w:r>
      <w:r w:rsidRPr="006F6F3D">
        <w:rPr>
          <w:rFonts w:hint="eastAsia"/>
          <w:rtl/>
        </w:rPr>
        <w:t>זכויות</w:t>
      </w:r>
      <w:r w:rsidRPr="006F6F3D">
        <w:rPr>
          <w:rtl/>
        </w:rPr>
        <w:t xml:space="preserve"> </w:t>
      </w:r>
      <w:r w:rsidRPr="006F6F3D">
        <w:rPr>
          <w:rFonts w:hint="eastAsia"/>
          <w:rtl/>
        </w:rPr>
        <w:t>האדם</w:t>
      </w:r>
      <w:r w:rsidRPr="006F6F3D">
        <w:rPr>
          <w:rtl/>
        </w:rPr>
        <w:t xml:space="preserve">? </w:t>
      </w:r>
      <w:r w:rsidRPr="006F6F3D">
        <w:rPr>
          <w:rFonts w:hint="eastAsia"/>
          <w:rtl/>
        </w:rPr>
        <w:t>על</w:t>
      </w:r>
      <w:r w:rsidRPr="006F6F3D">
        <w:rPr>
          <w:rtl/>
        </w:rPr>
        <w:t xml:space="preserve"> </w:t>
      </w:r>
      <w:r w:rsidRPr="006F6F3D">
        <w:rPr>
          <w:rFonts w:hint="eastAsia"/>
          <w:rtl/>
        </w:rPr>
        <w:t>העיגון</w:t>
      </w:r>
      <w:r w:rsidRPr="006F6F3D">
        <w:rPr>
          <w:rtl/>
        </w:rPr>
        <w:t xml:space="preserve"> </w:t>
      </w:r>
      <w:r w:rsidRPr="006F6F3D">
        <w:rPr>
          <w:rFonts w:hint="eastAsia"/>
          <w:rtl/>
        </w:rPr>
        <w:t>החוקתי</w:t>
      </w:r>
      <w:r w:rsidRPr="006F6F3D">
        <w:rPr>
          <w:rtl/>
        </w:rPr>
        <w:t xml:space="preserve"> </w:t>
      </w:r>
      <w:r w:rsidRPr="006F6F3D">
        <w:rPr>
          <w:rFonts w:hint="eastAsia"/>
          <w:rtl/>
        </w:rPr>
        <w:t>של</w:t>
      </w:r>
      <w:r w:rsidRPr="006F6F3D">
        <w:rPr>
          <w:rtl/>
        </w:rPr>
        <w:t xml:space="preserve"> </w:t>
      </w:r>
      <w:r w:rsidRPr="006F6F3D">
        <w:rPr>
          <w:rFonts w:hint="eastAsia"/>
          <w:rtl/>
        </w:rPr>
        <w:t>הנור</w:t>
      </w:r>
      <w:r>
        <w:rPr>
          <w:rFonts w:hint="eastAsia"/>
          <w:rtl/>
        </w:rPr>
        <w:t>מות</w:t>
      </w:r>
      <w:r>
        <w:rPr>
          <w:rtl/>
        </w:rPr>
        <w:t xml:space="preserve"> </w:t>
      </w:r>
      <w:r>
        <w:rPr>
          <w:rFonts w:hint="eastAsia"/>
          <w:rtl/>
        </w:rPr>
        <w:t>המוסדיות</w:t>
      </w:r>
      <w:r>
        <w:rPr>
          <w:rtl/>
        </w:rPr>
        <w:t xml:space="preserve">" </w:t>
      </w:r>
      <w:r w:rsidRPr="00FD6C55">
        <w:rPr>
          <w:rFonts w:ascii="Century" w:hAnsi="Century" w:cs="Miriam" w:hint="eastAsia"/>
          <w:b/>
          <w:spacing w:val="0"/>
          <w:szCs w:val="24"/>
          <w:rtl/>
        </w:rPr>
        <w:t>עיוני</w:t>
      </w:r>
      <w:r w:rsidRPr="00FD6C55">
        <w:rPr>
          <w:rFonts w:ascii="Century" w:hAnsi="Century" w:cs="Miriam"/>
          <w:b/>
          <w:spacing w:val="0"/>
          <w:szCs w:val="24"/>
          <w:rtl/>
        </w:rPr>
        <w:t xml:space="preserve"> </w:t>
      </w:r>
      <w:r w:rsidRPr="00FD6C55">
        <w:rPr>
          <w:rFonts w:ascii="Century" w:hAnsi="Century" w:cs="Miriam" w:hint="eastAsia"/>
          <w:b/>
          <w:spacing w:val="0"/>
          <w:szCs w:val="24"/>
          <w:rtl/>
        </w:rPr>
        <w:t>משפט</w:t>
      </w:r>
      <w:r>
        <w:rPr>
          <w:rtl/>
        </w:rPr>
        <w:t xml:space="preserve"> </w:t>
      </w:r>
      <w:r>
        <w:rPr>
          <w:rFonts w:hint="eastAsia"/>
          <w:rtl/>
        </w:rPr>
        <w:t>מ</w:t>
      </w:r>
      <w:r>
        <w:rPr>
          <w:rtl/>
        </w:rPr>
        <w:t xml:space="preserve"> 595, 606 (2017)</w:t>
      </w:r>
      <w:r>
        <w:rPr>
          <w:rFonts w:hint="cs"/>
          <w:rtl/>
        </w:rPr>
        <w:t xml:space="preserve">). הדברים נכונים </w:t>
      </w:r>
      <w:r w:rsidRPr="001F035F">
        <w:rPr>
          <w:rFonts w:ascii="FrankRuehl" w:hAnsi="FrankRuehl" w:hint="cs"/>
          <w:color w:val="000000"/>
          <w:sz w:val="28"/>
          <w:rtl/>
        </w:rPr>
        <w:t xml:space="preserve">גם לגבי פיתוח "המבחן הדו-שלבי" לזיהוי חוק יסוד תחת הכותרת של "שימוש לרעה בסמכות מכוננת" (למשל עניין </w:t>
      </w:r>
      <w:r w:rsidRPr="001F035F">
        <w:rPr>
          <w:rFonts w:ascii="Century" w:hAnsi="Century" w:cs="Miriam" w:hint="cs"/>
          <w:b/>
          <w:spacing w:val="0"/>
          <w:sz w:val="22"/>
          <w:szCs w:val="24"/>
          <w:rtl/>
        </w:rPr>
        <w:t>שפיר</w:t>
      </w:r>
      <w:r w:rsidRPr="001F035F">
        <w:rPr>
          <w:rFonts w:ascii="FrankRuehl" w:hAnsi="FrankRuehl" w:hint="cs"/>
          <w:color w:val="000000"/>
          <w:sz w:val="28"/>
          <w:rtl/>
        </w:rPr>
        <w:t xml:space="preserve">, פסקאות 45-36 לחוות דעתה של הנשיאה (בדימ')) אשר גם בו יש </w:t>
      </w:r>
      <w:r w:rsidRPr="001F035F">
        <w:rPr>
          <w:rFonts w:ascii="FrankRuehl" w:hAnsi="FrankRuehl"/>
          <w:color w:val="000000"/>
          <w:sz w:val="28"/>
          <w:rtl/>
        </w:rPr>
        <w:t xml:space="preserve">במובן מסוים, משום שמיטת הקרקע מתחת להכרה בעליונותם של חוקי היסוד ובסמכותה המכוננת של </w:t>
      </w:r>
      <w:r w:rsidRPr="001F035F">
        <w:rPr>
          <w:rFonts w:ascii="FrankRuehl" w:hAnsi="FrankRuehl" w:hint="cs"/>
          <w:color w:val="000000"/>
          <w:sz w:val="28"/>
          <w:rtl/>
        </w:rPr>
        <w:t xml:space="preserve">הכנסת (שם, פסקה 6 </w:t>
      </w:r>
      <w:r w:rsidRPr="001F035F">
        <w:rPr>
          <w:rFonts w:ascii="FrankRuehl" w:hAnsi="FrankRuehl" w:hint="cs"/>
          <w:color w:val="000000"/>
          <w:sz w:val="28"/>
          <w:rtl/>
        </w:rPr>
        <w:lastRenderedPageBreak/>
        <w:t>לחוות דעתי).</w:t>
      </w:r>
      <w:r>
        <w:rPr>
          <w:rFonts w:hint="cs"/>
          <w:rtl/>
        </w:rPr>
        <w:t xml:space="preserve"> </w:t>
      </w:r>
      <w:r w:rsidRPr="00101D94">
        <w:rPr>
          <w:rFonts w:hint="eastAsia"/>
          <w:rtl/>
        </w:rPr>
        <w:t>אך</w:t>
      </w:r>
      <w:r w:rsidRPr="00101D94">
        <w:rPr>
          <w:rtl/>
        </w:rPr>
        <w:t xml:space="preserve"> </w:t>
      </w:r>
      <w:r w:rsidRPr="00101D94">
        <w:rPr>
          <w:rFonts w:hint="eastAsia"/>
          <w:rtl/>
        </w:rPr>
        <w:t>לא</w:t>
      </w:r>
      <w:r w:rsidRPr="00101D94">
        <w:rPr>
          <w:rtl/>
        </w:rPr>
        <w:t xml:space="preserve"> </w:t>
      </w:r>
      <w:r w:rsidRPr="00101D94">
        <w:rPr>
          <w:rFonts w:hint="eastAsia"/>
          <w:rtl/>
        </w:rPr>
        <w:t>ראיתי</w:t>
      </w:r>
      <w:r w:rsidRPr="00101D94">
        <w:rPr>
          <w:rtl/>
        </w:rPr>
        <w:t xml:space="preserve"> </w:t>
      </w:r>
      <w:r w:rsidRPr="00101D94">
        <w:rPr>
          <w:rFonts w:hint="eastAsia"/>
          <w:rtl/>
        </w:rPr>
        <w:t>להאריך</w:t>
      </w:r>
      <w:r w:rsidRPr="00101D94">
        <w:rPr>
          <w:rtl/>
        </w:rPr>
        <w:t xml:space="preserve"> </w:t>
      </w:r>
      <w:r w:rsidRPr="00101D94">
        <w:rPr>
          <w:rFonts w:hint="eastAsia"/>
          <w:rtl/>
        </w:rPr>
        <w:t>עוד</w:t>
      </w:r>
      <w:r w:rsidRPr="00101D94">
        <w:rPr>
          <w:rtl/>
        </w:rPr>
        <w:t xml:space="preserve"> </w:t>
      </w:r>
      <w:r w:rsidRPr="00101D94">
        <w:rPr>
          <w:rFonts w:hint="eastAsia"/>
          <w:rtl/>
        </w:rPr>
        <w:t>בסוגיה</w:t>
      </w:r>
      <w:r w:rsidRPr="00101D94">
        <w:rPr>
          <w:rtl/>
        </w:rPr>
        <w:t xml:space="preserve"> </w:t>
      </w:r>
      <w:r w:rsidRPr="00101D94">
        <w:rPr>
          <w:rFonts w:hint="eastAsia"/>
          <w:rtl/>
        </w:rPr>
        <w:t>האמורה</w:t>
      </w:r>
      <w:r w:rsidRPr="00101D94">
        <w:rPr>
          <w:rtl/>
        </w:rPr>
        <w:t xml:space="preserve"> </w:t>
      </w:r>
      <w:r w:rsidRPr="00101D94">
        <w:rPr>
          <w:rFonts w:hint="eastAsia"/>
          <w:rtl/>
        </w:rPr>
        <w:t>שעה</w:t>
      </w:r>
      <w:r w:rsidRPr="00101D94">
        <w:rPr>
          <w:rtl/>
        </w:rPr>
        <w:t xml:space="preserve"> </w:t>
      </w:r>
      <w:r w:rsidRPr="00101D94">
        <w:rPr>
          <w:rFonts w:hint="eastAsia"/>
          <w:rtl/>
        </w:rPr>
        <w:t>שזו</w:t>
      </w:r>
      <w:r w:rsidRPr="00101D94">
        <w:rPr>
          <w:rtl/>
        </w:rPr>
        <w:t xml:space="preserve"> </w:t>
      </w:r>
      <w:r w:rsidRPr="00101D94">
        <w:rPr>
          <w:rFonts w:hint="eastAsia"/>
          <w:rtl/>
        </w:rPr>
        <w:t>אינה</w:t>
      </w:r>
      <w:r w:rsidRPr="00101D94">
        <w:rPr>
          <w:rtl/>
        </w:rPr>
        <w:t xml:space="preserve"> </w:t>
      </w:r>
      <w:r w:rsidRPr="00101D94">
        <w:rPr>
          <w:rFonts w:hint="eastAsia"/>
          <w:rtl/>
        </w:rPr>
        <w:t>עומדת</w:t>
      </w:r>
      <w:r w:rsidRPr="00101D94">
        <w:rPr>
          <w:rtl/>
        </w:rPr>
        <w:t xml:space="preserve"> </w:t>
      </w:r>
      <w:r w:rsidRPr="00101D94">
        <w:rPr>
          <w:rFonts w:hint="eastAsia"/>
          <w:rtl/>
        </w:rPr>
        <w:t>במרכז</w:t>
      </w:r>
      <w:r w:rsidRPr="00101D94">
        <w:rPr>
          <w:rtl/>
        </w:rPr>
        <w:t xml:space="preserve"> </w:t>
      </w:r>
      <w:r w:rsidRPr="00101D94">
        <w:rPr>
          <w:rFonts w:hint="eastAsia"/>
          <w:rtl/>
        </w:rPr>
        <w:t>הדיון</w:t>
      </w:r>
      <w:r w:rsidRPr="00101D94">
        <w:rPr>
          <w:rtl/>
        </w:rPr>
        <w:t xml:space="preserve"> </w:t>
      </w:r>
      <w:r w:rsidRPr="00101D94">
        <w:rPr>
          <w:rFonts w:hint="eastAsia"/>
          <w:rtl/>
        </w:rPr>
        <w:t>שלפנינו</w:t>
      </w:r>
      <w:r w:rsidRPr="00101D94">
        <w:rPr>
          <w:rtl/>
        </w:rPr>
        <w:t>.</w:t>
      </w:r>
    </w:p>
    <w:p w:rsidR="00737972" w:rsidRDefault="00737972" w:rsidP="00737972">
      <w:pPr>
        <w:pStyle w:val="Ruller4"/>
        <w:numPr>
          <w:ilvl w:val="0"/>
          <w:numId w:val="0"/>
        </w:numPr>
      </w:pPr>
    </w:p>
    <w:p w:rsidR="00737972" w:rsidRDefault="00737972" w:rsidP="00737972">
      <w:pPr>
        <w:pStyle w:val="Ruller4"/>
        <w:rPr>
          <w:rtl/>
        </w:rPr>
      </w:pPr>
      <w:r>
        <w:rPr>
          <w:rFonts w:hint="cs"/>
          <w:rtl/>
        </w:rPr>
        <w:t xml:space="preserve">פשיטא בעיני אפוא </w:t>
      </w:r>
      <w:r w:rsidRPr="00260431">
        <w:rPr>
          <w:rtl/>
        </w:rPr>
        <w:t xml:space="preserve">כי </w:t>
      </w:r>
      <w:r w:rsidRPr="00260431">
        <w:rPr>
          <w:rFonts w:hint="eastAsia"/>
          <w:rtl/>
        </w:rPr>
        <w:t>כאז</w:t>
      </w:r>
      <w:r w:rsidRPr="00260431">
        <w:rPr>
          <w:rtl/>
        </w:rPr>
        <w:t xml:space="preserve"> </w:t>
      </w:r>
      <w:r w:rsidRPr="00260431">
        <w:rPr>
          <w:rFonts w:hint="eastAsia"/>
          <w:rtl/>
        </w:rPr>
        <w:t>כן</w:t>
      </w:r>
      <w:r w:rsidRPr="00260431">
        <w:rPr>
          <w:rtl/>
        </w:rPr>
        <w:t xml:space="preserve"> </w:t>
      </w:r>
      <w:r w:rsidRPr="00260431">
        <w:rPr>
          <w:rFonts w:hint="eastAsia"/>
          <w:rtl/>
        </w:rPr>
        <w:t>היום</w:t>
      </w:r>
      <w:r w:rsidRPr="00260431">
        <w:rPr>
          <w:rtl/>
        </w:rPr>
        <w:t xml:space="preserve">, </w:t>
      </w:r>
      <w:r w:rsidRPr="00260431">
        <w:rPr>
          <w:rFonts w:hint="eastAsia"/>
          <w:rtl/>
        </w:rPr>
        <w:t>אין</w:t>
      </w:r>
      <w:r w:rsidRPr="00260431">
        <w:rPr>
          <w:rtl/>
        </w:rPr>
        <w:t xml:space="preserve"> </w:t>
      </w:r>
      <w:r w:rsidRPr="00260431">
        <w:rPr>
          <w:rFonts w:hint="eastAsia"/>
          <w:rtl/>
        </w:rPr>
        <w:t>בכוחם</w:t>
      </w:r>
      <w:r w:rsidRPr="00260431">
        <w:rPr>
          <w:rtl/>
        </w:rPr>
        <w:t xml:space="preserve"> </w:t>
      </w:r>
      <w:r w:rsidRPr="00260431">
        <w:rPr>
          <w:rFonts w:hint="eastAsia"/>
          <w:rtl/>
        </w:rPr>
        <w:t>של</w:t>
      </w:r>
      <w:r w:rsidRPr="00260431">
        <w:rPr>
          <w:rtl/>
        </w:rPr>
        <w:t xml:space="preserve"> </w:t>
      </w:r>
      <w:r>
        <w:rPr>
          <w:rFonts w:hint="cs"/>
          <w:rtl/>
        </w:rPr>
        <w:t>"</w:t>
      </w:r>
      <w:r w:rsidRPr="00260431">
        <w:rPr>
          <w:rFonts w:hint="eastAsia"/>
          <w:rtl/>
        </w:rPr>
        <w:t>עקרונות</w:t>
      </w:r>
      <w:r w:rsidRPr="00260431">
        <w:rPr>
          <w:rtl/>
        </w:rPr>
        <w:t xml:space="preserve"> </w:t>
      </w:r>
      <w:r w:rsidRPr="00260431">
        <w:rPr>
          <w:rFonts w:hint="eastAsia"/>
          <w:rtl/>
        </w:rPr>
        <w:t>היסוד</w:t>
      </w:r>
      <w:r w:rsidRPr="00260431">
        <w:rPr>
          <w:rtl/>
        </w:rPr>
        <w:t xml:space="preserve"> </w:t>
      </w:r>
      <w:r w:rsidRPr="00260431">
        <w:rPr>
          <w:rFonts w:hint="eastAsia"/>
          <w:rtl/>
        </w:rPr>
        <w:t>של</w:t>
      </w:r>
      <w:r w:rsidRPr="00260431">
        <w:rPr>
          <w:rtl/>
        </w:rPr>
        <w:t xml:space="preserve"> </w:t>
      </w:r>
      <w:r w:rsidRPr="00260431">
        <w:rPr>
          <w:rFonts w:hint="eastAsia"/>
          <w:rtl/>
        </w:rPr>
        <w:t>השיטה</w:t>
      </w:r>
      <w:r>
        <w:rPr>
          <w:rFonts w:hint="cs"/>
          <w:rtl/>
        </w:rPr>
        <w:t>"</w:t>
      </w:r>
      <w:r w:rsidRPr="00260431">
        <w:rPr>
          <w:rtl/>
        </w:rPr>
        <w:t xml:space="preserve"> </w:t>
      </w:r>
      <w:r w:rsidRPr="00260431">
        <w:rPr>
          <w:rFonts w:hint="eastAsia"/>
          <w:rtl/>
        </w:rPr>
        <w:t>כדי</w:t>
      </w:r>
      <w:r w:rsidRPr="00260431">
        <w:rPr>
          <w:rtl/>
        </w:rPr>
        <w:t xml:space="preserve"> </w:t>
      </w:r>
      <w:r w:rsidRPr="00260431">
        <w:rPr>
          <w:rFonts w:hint="eastAsia"/>
          <w:rtl/>
        </w:rPr>
        <w:t>למלא</w:t>
      </w:r>
      <w:r w:rsidRPr="00260431">
        <w:rPr>
          <w:rtl/>
        </w:rPr>
        <w:t xml:space="preserve"> </w:t>
      </w:r>
      <w:r w:rsidRPr="00260431">
        <w:rPr>
          <w:rFonts w:hint="eastAsia"/>
          <w:rtl/>
        </w:rPr>
        <w:t>את</w:t>
      </w:r>
      <w:r w:rsidRPr="00260431">
        <w:rPr>
          <w:rtl/>
        </w:rPr>
        <w:t xml:space="preserve"> </w:t>
      </w:r>
      <w:r w:rsidRPr="00260431">
        <w:rPr>
          <w:rFonts w:hint="eastAsia"/>
          <w:rtl/>
        </w:rPr>
        <w:t>החסר</w:t>
      </w:r>
      <w:r w:rsidRPr="00260431">
        <w:rPr>
          <w:rtl/>
        </w:rPr>
        <w:t xml:space="preserve"> </w:t>
      </w:r>
      <w:r w:rsidRPr="00260431">
        <w:rPr>
          <w:rFonts w:hint="eastAsia"/>
          <w:rtl/>
        </w:rPr>
        <w:t>של</w:t>
      </w:r>
      <w:r w:rsidRPr="00260431">
        <w:rPr>
          <w:rtl/>
        </w:rPr>
        <w:t xml:space="preserve"> </w:t>
      </w:r>
      <w:r w:rsidRPr="00260431">
        <w:rPr>
          <w:rFonts w:hint="eastAsia"/>
          <w:rtl/>
        </w:rPr>
        <w:t>חוקה</w:t>
      </w:r>
      <w:r w:rsidRPr="00260431">
        <w:rPr>
          <w:rtl/>
        </w:rPr>
        <w:t xml:space="preserve"> </w:t>
      </w:r>
      <w:r w:rsidRPr="00260431">
        <w:rPr>
          <w:rFonts w:hint="eastAsia"/>
          <w:rtl/>
        </w:rPr>
        <w:t>כתובה</w:t>
      </w:r>
      <w:r w:rsidRPr="00260431">
        <w:rPr>
          <w:rtl/>
        </w:rPr>
        <w:t xml:space="preserve">, </w:t>
      </w:r>
      <w:r w:rsidRPr="00260431">
        <w:rPr>
          <w:rFonts w:hint="eastAsia"/>
          <w:rtl/>
        </w:rPr>
        <w:t>אשר</w:t>
      </w:r>
      <w:r w:rsidRPr="00260431">
        <w:rPr>
          <w:rtl/>
        </w:rPr>
        <w:t xml:space="preserve"> </w:t>
      </w:r>
      <w:r w:rsidRPr="00260431">
        <w:rPr>
          <w:rFonts w:hint="eastAsia"/>
          <w:rtl/>
        </w:rPr>
        <w:t>טרם</w:t>
      </w:r>
      <w:r w:rsidRPr="00260431">
        <w:rPr>
          <w:rtl/>
        </w:rPr>
        <w:t xml:space="preserve"> </w:t>
      </w:r>
      <w:r w:rsidRPr="00260431">
        <w:rPr>
          <w:rFonts w:hint="eastAsia"/>
          <w:rtl/>
        </w:rPr>
        <w:t>התגבשה</w:t>
      </w:r>
      <w:r w:rsidRPr="00260431">
        <w:rPr>
          <w:rtl/>
        </w:rPr>
        <w:t xml:space="preserve">, </w:t>
      </w:r>
      <w:r w:rsidRPr="00260431">
        <w:rPr>
          <w:rFonts w:hint="eastAsia"/>
          <w:rtl/>
        </w:rPr>
        <w:t>לכל</w:t>
      </w:r>
      <w:r w:rsidRPr="00260431">
        <w:rPr>
          <w:rtl/>
        </w:rPr>
        <w:t xml:space="preserve"> </w:t>
      </w:r>
      <w:r w:rsidRPr="00260431">
        <w:rPr>
          <w:rFonts w:hint="eastAsia"/>
          <w:rtl/>
        </w:rPr>
        <w:t>הדעות</w:t>
      </w:r>
      <w:r w:rsidRPr="00260431">
        <w:rPr>
          <w:rtl/>
        </w:rPr>
        <w:t xml:space="preserve">, </w:t>
      </w:r>
      <w:r w:rsidRPr="00260431">
        <w:rPr>
          <w:rFonts w:hint="eastAsia"/>
          <w:rtl/>
        </w:rPr>
        <w:t>באופן</w:t>
      </w:r>
      <w:r w:rsidRPr="00260431">
        <w:rPr>
          <w:rtl/>
        </w:rPr>
        <w:t xml:space="preserve"> </w:t>
      </w:r>
      <w:r w:rsidRPr="00260431">
        <w:rPr>
          <w:rFonts w:hint="eastAsia"/>
          <w:rtl/>
        </w:rPr>
        <w:t>מלא</w:t>
      </w:r>
      <w:r w:rsidRPr="00260431">
        <w:rPr>
          <w:rtl/>
        </w:rPr>
        <w:t xml:space="preserve">. </w:t>
      </w:r>
      <w:r w:rsidRPr="00260431">
        <w:rPr>
          <w:rFonts w:hint="eastAsia"/>
          <w:rtl/>
        </w:rPr>
        <w:t>משאת</w:t>
      </w:r>
      <w:r w:rsidRPr="00260431">
        <w:rPr>
          <w:rtl/>
        </w:rPr>
        <w:t xml:space="preserve"> </w:t>
      </w:r>
      <w:r w:rsidRPr="00260431">
        <w:rPr>
          <w:rFonts w:hint="eastAsia"/>
          <w:rtl/>
        </w:rPr>
        <w:t>הנפש</w:t>
      </w:r>
      <w:r w:rsidRPr="00260431">
        <w:rPr>
          <w:rtl/>
        </w:rPr>
        <w:t xml:space="preserve"> </w:t>
      </w:r>
      <w:r w:rsidRPr="00260431">
        <w:rPr>
          <w:rFonts w:hint="eastAsia"/>
          <w:rtl/>
        </w:rPr>
        <w:t>כי</w:t>
      </w:r>
      <w:r w:rsidRPr="00260431">
        <w:rPr>
          <w:rtl/>
        </w:rPr>
        <w:t xml:space="preserve"> </w:t>
      </w:r>
      <w:r w:rsidRPr="00260431">
        <w:rPr>
          <w:rFonts w:hint="eastAsia"/>
          <w:rtl/>
        </w:rPr>
        <w:t>עקרונות</w:t>
      </w:r>
      <w:r w:rsidRPr="00260431">
        <w:rPr>
          <w:rtl/>
        </w:rPr>
        <w:t xml:space="preserve"> </w:t>
      </w:r>
      <w:r w:rsidRPr="00260431">
        <w:rPr>
          <w:rFonts w:hint="eastAsia"/>
          <w:rtl/>
        </w:rPr>
        <w:t>היסוד</w:t>
      </w:r>
      <w:r w:rsidRPr="00260431">
        <w:rPr>
          <w:rtl/>
        </w:rPr>
        <w:t xml:space="preserve"> </w:t>
      </w:r>
      <w:r w:rsidRPr="00260431">
        <w:rPr>
          <w:rFonts w:hint="eastAsia"/>
          <w:rtl/>
        </w:rPr>
        <w:t>יקבלו</w:t>
      </w:r>
      <w:r w:rsidRPr="00260431">
        <w:rPr>
          <w:rtl/>
        </w:rPr>
        <w:t xml:space="preserve"> </w:t>
      </w:r>
      <w:r w:rsidRPr="00260431">
        <w:rPr>
          <w:rFonts w:hint="eastAsia"/>
          <w:rtl/>
        </w:rPr>
        <w:t>ביטוי</w:t>
      </w:r>
      <w:r w:rsidRPr="00260431">
        <w:rPr>
          <w:rtl/>
        </w:rPr>
        <w:t xml:space="preserve"> </w:t>
      </w:r>
      <w:r w:rsidRPr="00260431">
        <w:rPr>
          <w:rFonts w:hint="eastAsia"/>
          <w:rtl/>
        </w:rPr>
        <w:t>מפורש</w:t>
      </w:r>
      <w:r w:rsidRPr="00260431">
        <w:rPr>
          <w:rtl/>
        </w:rPr>
        <w:t xml:space="preserve"> </w:t>
      </w:r>
      <w:r w:rsidRPr="00260431">
        <w:rPr>
          <w:rFonts w:hint="eastAsia"/>
          <w:rtl/>
        </w:rPr>
        <w:t>וברור</w:t>
      </w:r>
      <w:r w:rsidRPr="00260431">
        <w:rPr>
          <w:rtl/>
        </w:rPr>
        <w:t xml:space="preserve"> </w:t>
      </w:r>
      <w:r w:rsidRPr="00260431">
        <w:rPr>
          <w:rFonts w:hint="eastAsia"/>
          <w:rtl/>
        </w:rPr>
        <w:t>בחוקה</w:t>
      </w:r>
      <w:r w:rsidRPr="00260431">
        <w:rPr>
          <w:rtl/>
        </w:rPr>
        <w:t xml:space="preserve"> </w:t>
      </w:r>
      <w:r w:rsidRPr="00260431">
        <w:rPr>
          <w:rFonts w:hint="eastAsia"/>
          <w:rtl/>
        </w:rPr>
        <w:t>כתובה</w:t>
      </w:r>
      <w:r w:rsidRPr="00260431">
        <w:rPr>
          <w:rtl/>
        </w:rPr>
        <w:t xml:space="preserve">, </w:t>
      </w:r>
      <w:r w:rsidRPr="00260431">
        <w:rPr>
          <w:rFonts w:hint="eastAsia"/>
          <w:rtl/>
        </w:rPr>
        <w:t>אינה</w:t>
      </w:r>
      <w:r w:rsidRPr="00260431">
        <w:rPr>
          <w:rtl/>
        </w:rPr>
        <w:t xml:space="preserve"> </w:t>
      </w:r>
      <w:r w:rsidRPr="00260431">
        <w:rPr>
          <w:rFonts w:hint="eastAsia"/>
          <w:rtl/>
        </w:rPr>
        <w:t>יכולה</w:t>
      </w:r>
      <w:r w:rsidRPr="00260431">
        <w:rPr>
          <w:rtl/>
        </w:rPr>
        <w:t xml:space="preserve"> </w:t>
      </w:r>
      <w:r w:rsidRPr="00260431">
        <w:rPr>
          <w:rFonts w:hint="eastAsia"/>
          <w:rtl/>
        </w:rPr>
        <w:t>לבוא</w:t>
      </w:r>
      <w:r w:rsidRPr="00260431">
        <w:rPr>
          <w:rtl/>
        </w:rPr>
        <w:t xml:space="preserve"> </w:t>
      </w:r>
      <w:r w:rsidRPr="00260431">
        <w:rPr>
          <w:rFonts w:hint="eastAsia"/>
          <w:rtl/>
        </w:rPr>
        <w:t>חלף</w:t>
      </w:r>
      <w:r w:rsidRPr="00260431">
        <w:rPr>
          <w:rtl/>
        </w:rPr>
        <w:t xml:space="preserve"> </w:t>
      </w:r>
      <w:r w:rsidRPr="00260431">
        <w:rPr>
          <w:rFonts w:hint="eastAsia"/>
          <w:rtl/>
        </w:rPr>
        <w:t>מקור</w:t>
      </w:r>
      <w:r w:rsidRPr="00260431">
        <w:rPr>
          <w:rtl/>
        </w:rPr>
        <w:t xml:space="preserve"> </w:t>
      </w:r>
      <w:r w:rsidRPr="00260431">
        <w:rPr>
          <w:rFonts w:hint="eastAsia"/>
          <w:rtl/>
        </w:rPr>
        <w:t>סמכות</w:t>
      </w:r>
      <w:r w:rsidRPr="00260431">
        <w:rPr>
          <w:rtl/>
        </w:rPr>
        <w:t xml:space="preserve"> </w:t>
      </w:r>
      <w:r w:rsidRPr="00260431">
        <w:rPr>
          <w:rFonts w:hint="eastAsia"/>
          <w:rtl/>
        </w:rPr>
        <w:t>מפורש</w:t>
      </w:r>
      <w:r w:rsidRPr="00260431">
        <w:rPr>
          <w:rtl/>
        </w:rPr>
        <w:t>.</w:t>
      </w:r>
      <w:r>
        <w:rPr>
          <w:rFonts w:hint="cs"/>
          <w:rtl/>
        </w:rPr>
        <w:t xml:space="preserve"> </w:t>
      </w:r>
      <w:r w:rsidRPr="00260431">
        <w:rPr>
          <w:rFonts w:hint="eastAsia"/>
          <w:rtl/>
        </w:rPr>
        <w:t>מעבר</w:t>
      </w:r>
      <w:r w:rsidRPr="00260431">
        <w:rPr>
          <w:rtl/>
        </w:rPr>
        <w:t xml:space="preserve"> </w:t>
      </w:r>
      <w:r w:rsidRPr="00260431">
        <w:rPr>
          <w:rFonts w:hint="eastAsia"/>
          <w:rtl/>
        </w:rPr>
        <w:t>לכך</w:t>
      </w:r>
      <w:r w:rsidRPr="00260431">
        <w:rPr>
          <w:rtl/>
        </w:rPr>
        <w:t>,</w:t>
      </w:r>
      <w:r>
        <w:rPr>
          <w:rFonts w:hint="cs"/>
          <w:rtl/>
        </w:rPr>
        <w:t xml:space="preserve"> אם לבית המשפט סמכות אינהרנטית מכוח "עקרונות יסוד" בלתי כתובים לפעול ללא מקור סמכות מפורש, בין אם לפסילת חוקים, בין אם לפסילת חוקי יסוד, מה בכלל הצורך בכינון "חוקה" מכוחה ניתנה הסמכות לבצע ביקורת שיפוטית? מה לי חוק רגיל, מה לי חוק יסוד. זו במובן מסוים גישתו המוקשית בעיניי של חברי השופט </w:t>
      </w:r>
      <w:r w:rsidRPr="001F035F">
        <w:rPr>
          <w:rFonts w:ascii="Century" w:hAnsi="Century" w:cs="Miriam" w:hint="cs"/>
          <w:b/>
          <w:spacing w:val="0"/>
          <w:szCs w:val="24"/>
          <w:rtl/>
        </w:rPr>
        <w:t>א' שטיין</w:t>
      </w:r>
      <w:r>
        <w:rPr>
          <w:rFonts w:hint="cs"/>
          <w:rtl/>
        </w:rPr>
        <w:t xml:space="preserve">. </w:t>
      </w:r>
    </w:p>
    <w:p w:rsidR="00737972" w:rsidRDefault="00737972" w:rsidP="00737972">
      <w:pPr>
        <w:pStyle w:val="Ruller41"/>
        <w:rPr>
          <w:rtl/>
        </w:rPr>
      </w:pPr>
    </w:p>
    <w:p w:rsidR="00737972" w:rsidRPr="00E76475" w:rsidRDefault="00737972" w:rsidP="00737972">
      <w:pPr>
        <w:pStyle w:val="Ruller4"/>
        <w:rPr>
          <w:rtl/>
        </w:rPr>
      </w:pPr>
      <w:r>
        <w:rPr>
          <w:rFonts w:hint="cs"/>
          <w:rtl/>
        </w:rPr>
        <w:t xml:space="preserve">בהקשר זה אעיר במאמר מוסגר אגב אזכור גישתו של חברי השופט </w:t>
      </w:r>
      <w:r w:rsidRPr="002D6687">
        <w:rPr>
          <w:rFonts w:ascii="Century" w:hAnsi="Century" w:cs="Miriam" w:hint="cs"/>
          <w:b/>
          <w:spacing w:val="0"/>
          <w:szCs w:val="24"/>
          <w:rtl/>
        </w:rPr>
        <w:t>שטיין</w:t>
      </w:r>
      <w:r>
        <w:rPr>
          <w:rFonts w:hint="cs"/>
          <w:rtl/>
        </w:rPr>
        <w:t xml:space="preserve">, כי דומה שגישה זו אינה מתבססת על מקור סמכות כלשהו זולת מגילת העצמאות, אשר המגמה המרכזית בפסיקה הייתה מאז ומתמיד לראות בה ככלי פרשני ולא כמקור סמכות עצמאי (וראו למשל: עניין </w:t>
      </w:r>
      <w:r w:rsidRPr="001B591D">
        <w:rPr>
          <w:rFonts w:ascii="Century" w:hAnsi="Century" w:cs="Miriam" w:hint="eastAsia"/>
          <w:b/>
          <w:spacing w:val="0"/>
          <w:szCs w:val="24"/>
          <w:rtl/>
        </w:rPr>
        <w:t>בנק</w:t>
      </w:r>
      <w:r w:rsidRPr="001B591D">
        <w:rPr>
          <w:rFonts w:ascii="Century" w:hAnsi="Century" w:cs="Miriam"/>
          <w:b/>
          <w:spacing w:val="0"/>
          <w:szCs w:val="24"/>
          <w:rtl/>
        </w:rPr>
        <w:t xml:space="preserve"> </w:t>
      </w:r>
      <w:r w:rsidRPr="001B591D">
        <w:rPr>
          <w:rFonts w:ascii="Century" w:hAnsi="Century" w:cs="Miriam" w:hint="eastAsia"/>
          <w:b/>
          <w:spacing w:val="0"/>
          <w:szCs w:val="24"/>
          <w:rtl/>
        </w:rPr>
        <w:t>המזרחי</w:t>
      </w:r>
      <w:r>
        <w:rPr>
          <w:rFonts w:hint="cs"/>
          <w:rtl/>
        </w:rPr>
        <w:t xml:space="preserve">, עמ' 451; בג"ץ 73/53 </w:t>
      </w:r>
      <w:r w:rsidRPr="001B591D">
        <w:rPr>
          <w:rFonts w:ascii="Century" w:hAnsi="Century" w:cs="Miriam" w:hint="eastAsia"/>
          <w:b/>
          <w:spacing w:val="0"/>
          <w:szCs w:val="24"/>
          <w:rtl/>
        </w:rPr>
        <w:t>חברת</w:t>
      </w:r>
      <w:r w:rsidRPr="001B591D">
        <w:rPr>
          <w:rFonts w:ascii="Century" w:hAnsi="Century" w:cs="Miriam"/>
          <w:b/>
          <w:spacing w:val="0"/>
          <w:szCs w:val="24"/>
          <w:rtl/>
        </w:rPr>
        <w:t xml:space="preserve"> "קול </w:t>
      </w:r>
      <w:r w:rsidRPr="001B591D">
        <w:rPr>
          <w:rFonts w:ascii="Century" w:hAnsi="Century" w:cs="Miriam" w:hint="eastAsia"/>
          <w:b/>
          <w:spacing w:val="0"/>
          <w:szCs w:val="24"/>
          <w:rtl/>
        </w:rPr>
        <w:t>העם</w:t>
      </w:r>
      <w:r w:rsidRPr="001B591D">
        <w:rPr>
          <w:rFonts w:ascii="Century" w:hAnsi="Century" w:cs="Miriam"/>
          <w:b/>
          <w:spacing w:val="0"/>
          <w:szCs w:val="24"/>
          <w:rtl/>
        </w:rPr>
        <w:t xml:space="preserve">" </w:t>
      </w:r>
      <w:r w:rsidRPr="001B591D">
        <w:rPr>
          <w:rFonts w:ascii="Century" w:hAnsi="Century" w:cs="Miriam" w:hint="eastAsia"/>
          <w:b/>
          <w:spacing w:val="0"/>
          <w:szCs w:val="24"/>
          <w:rtl/>
        </w:rPr>
        <w:t>בע</w:t>
      </w:r>
      <w:r w:rsidRPr="001B591D">
        <w:rPr>
          <w:rFonts w:ascii="Century" w:hAnsi="Century" w:cs="Miriam"/>
          <w:b/>
          <w:spacing w:val="0"/>
          <w:szCs w:val="24"/>
          <w:rtl/>
        </w:rPr>
        <w:t xml:space="preserve">"מ </w:t>
      </w:r>
      <w:r w:rsidRPr="001B591D">
        <w:rPr>
          <w:rFonts w:ascii="Century" w:hAnsi="Century" w:cs="Miriam" w:hint="eastAsia"/>
          <w:b/>
          <w:spacing w:val="0"/>
          <w:szCs w:val="24"/>
          <w:rtl/>
        </w:rPr>
        <w:t>נ</w:t>
      </w:r>
      <w:r w:rsidRPr="001B591D">
        <w:rPr>
          <w:rFonts w:ascii="Century" w:hAnsi="Century" w:cs="Miriam"/>
          <w:b/>
          <w:spacing w:val="0"/>
          <w:szCs w:val="24"/>
          <w:rtl/>
        </w:rPr>
        <w:t xml:space="preserve">' </w:t>
      </w:r>
      <w:r w:rsidRPr="001B591D">
        <w:rPr>
          <w:rFonts w:ascii="Century" w:hAnsi="Century" w:cs="Miriam" w:hint="eastAsia"/>
          <w:b/>
          <w:spacing w:val="0"/>
          <w:szCs w:val="24"/>
          <w:rtl/>
        </w:rPr>
        <w:t>שר</w:t>
      </w:r>
      <w:r w:rsidRPr="001B591D">
        <w:rPr>
          <w:rFonts w:ascii="Century" w:hAnsi="Century" w:cs="Miriam"/>
          <w:b/>
          <w:spacing w:val="0"/>
          <w:szCs w:val="24"/>
          <w:rtl/>
        </w:rPr>
        <w:t xml:space="preserve"> </w:t>
      </w:r>
      <w:r w:rsidRPr="001B591D">
        <w:rPr>
          <w:rFonts w:ascii="Century" w:hAnsi="Century" w:cs="Miriam" w:hint="eastAsia"/>
          <w:b/>
          <w:spacing w:val="0"/>
          <w:szCs w:val="24"/>
          <w:rtl/>
        </w:rPr>
        <w:t>הפנים</w:t>
      </w:r>
      <w:r>
        <w:rPr>
          <w:rFonts w:hint="cs"/>
          <w:rtl/>
        </w:rPr>
        <w:t xml:space="preserve">, פ"ד ז 871, 884 (1953); עניין </w:t>
      </w:r>
      <w:r w:rsidRPr="005237B6">
        <w:rPr>
          <w:rFonts w:ascii="Century" w:hAnsi="Century" w:cs="Miriam" w:hint="cs"/>
          <w:b/>
          <w:spacing w:val="0"/>
          <w:sz w:val="22"/>
          <w:szCs w:val="24"/>
          <w:rtl/>
        </w:rPr>
        <w:t>חוק הלאום</w:t>
      </w:r>
      <w:r>
        <w:rPr>
          <w:rFonts w:hint="cs"/>
          <w:rtl/>
        </w:rPr>
        <w:t xml:space="preserve">, פסקה 13 לחוות דעתי; עניין </w:t>
      </w:r>
      <w:r w:rsidRPr="001B591D">
        <w:rPr>
          <w:rFonts w:ascii="Century" w:hAnsi="Century" w:cs="Miriam" w:hint="eastAsia"/>
          <w:b/>
          <w:spacing w:val="0"/>
          <w:szCs w:val="24"/>
          <w:rtl/>
        </w:rPr>
        <w:t>רוגוזינסקי</w:t>
      </w:r>
      <w:r>
        <w:rPr>
          <w:rFonts w:hint="cs"/>
          <w:rtl/>
        </w:rPr>
        <w:t xml:space="preserve">, עמ' 135; בג"ץ 3390/16 </w:t>
      </w:r>
      <w:r w:rsidRPr="001B591D">
        <w:rPr>
          <w:rFonts w:ascii="Century" w:hAnsi="Century" w:cs="Miriam" w:hint="eastAsia"/>
          <w:b/>
          <w:spacing w:val="0"/>
          <w:szCs w:val="24"/>
          <w:rtl/>
        </w:rPr>
        <w:t>עדאלה</w:t>
      </w:r>
      <w:r w:rsidRPr="001B591D">
        <w:rPr>
          <w:rFonts w:ascii="Century" w:hAnsi="Century" w:cs="Miriam"/>
          <w:b/>
          <w:spacing w:val="0"/>
          <w:szCs w:val="24"/>
          <w:rtl/>
        </w:rPr>
        <w:t xml:space="preserve"> – המרכז </w:t>
      </w:r>
      <w:r w:rsidRPr="001B591D">
        <w:rPr>
          <w:rFonts w:ascii="Century" w:hAnsi="Century" w:cs="Miriam" w:hint="eastAsia"/>
          <w:b/>
          <w:spacing w:val="0"/>
          <w:szCs w:val="24"/>
          <w:rtl/>
        </w:rPr>
        <w:t>המשפטי</w:t>
      </w:r>
      <w:r w:rsidRPr="001B591D">
        <w:rPr>
          <w:rFonts w:ascii="Century" w:hAnsi="Century" w:cs="Miriam"/>
          <w:b/>
          <w:spacing w:val="0"/>
          <w:szCs w:val="24"/>
          <w:rtl/>
        </w:rPr>
        <w:t xml:space="preserve"> </w:t>
      </w:r>
      <w:r w:rsidRPr="001B591D">
        <w:rPr>
          <w:rFonts w:ascii="Century" w:hAnsi="Century" w:cs="Miriam" w:hint="eastAsia"/>
          <w:b/>
          <w:spacing w:val="0"/>
          <w:szCs w:val="24"/>
          <w:rtl/>
        </w:rPr>
        <w:t>לזכויות</w:t>
      </w:r>
      <w:r w:rsidRPr="001B591D">
        <w:rPr>
          <w:rFonts w:ascii="Century" w:hAnsi="Century" w:cs="Miriam"/>
          <w:b/>
          <w:spacing w:val="0"/>
          <w:szCs w:val="24"/>
          <w:rtl/>
        </w:rPr>
        <w:t xml:space="preserve"> </w:t>
      </w:r>
      <w:r w:rsidRPr="001B591D">
        <w:rPr>
          <w:rFonts w:ascii="Century" w:hAnsi="Century" w:cs="Miriam" w:hint="eastAsia"/>
          <w:b/>
          <w:spacing w:val="0"/>
          <w:szCs w:val="24"/>
          <w:rtl/>
        </w:rPr>
        <w:t>המיעוט</w:t>
      </w:r>
      <w:r w:rsidRPr="001B591D">
        <w:rPr>
          <w:rFonts w:ascii="Century" w:hAnsi="Century" w:cs="Miriam"/>
          <w:b/>
          <w:spacing w:val="0"/>
          <w:szCs w:val="24"/>
          <w:rtl/>
        </w:rPr>
        <w:t xml:space="preserve"> </w:t>
      </w:r>
      <w:r w:rsidRPr="001B591D">
        <w:rPr>
          <w:rFonts w:ascii="Century" w:hAnsi="Century" w:cs="Miriam" w:hint="eastAsia"/>
          <w:b/>
          <w:spacing w:val="0"/>
          <w:szCs w:val="24"/>
          <w:rtl/>
        </w:rPr>
        <w:t>הערבי</w:t>
      </w:r>
      <w:r w:rsidRPr="001B591D">
        <w:rPr>
          <w:rFonts w:ascii="Century" w:hAnsi="Century" w:cs="Miriam"/>
          <w:b/>
          <w:spacing w:val="0"/>
          <w:szCs w:val="24"/>
          <w:rtl/>
        </w:rPr>
        <w:t xml:space="preserve"> </w:t>
      </w:r>
      <w:r w:rsidRPr="001B591D">
        <w:rPr>
          <w:rFonts w:ascii="Century" w:hAnsi="Century" w:cs="Miriam" w:hint="eastAsia"/>
          <w:b/>
          <w:spacing w:val="0"/>
          <w:szCs w:val="24"/>
          <w:rtl/>
        </w:rPr>
        <w:t>בישראל</w:t>
      </w:r>
      <w:r w:rsidRPr="001B591D">
        <w:rPr>
          <w:rFonts w:ascii="Century" w:hAnsi="Century" w:cs="Miriam"/>
          <w:b/>
          <w:spacing w:val="0"/>
          <w:szCs w:val="24"/>
          <w:rtl/>
        </w:rPr>
        <w:t xml:space="preserve"> </w:t>
      </w:r>
      <w:r w:rsidRPr="001B591D">
        <w:rPr>
          <w:rFonts w:ascii="Century" w:hAnsi="Century" w:cs="Miriam" w:hint="eastAsia"/>
          <w:b/>
          <w:spacing w:val="0"/>
          <w:szCs w:val="24"/>
          <w:rtl/>
        </w:rPr>
        <w:t>נ</w:t>
      </w:r>
      <w:r w:rsidRPr="001B591D">
        <w:rPr>
          <w:rFonts w:ascii="Century" w:hAnsi="Century" w:cs="Miriam"/>
          <w:b/>
          <w:spacing w:val="0"/>
          <w:szCs w:val="24"/>
          <w:rtl/>
        </w:rPr>
        <w:t xml:space="preserve">' </w:t>
      </w:r>
      <w:r w:rsidRPr="001B591D">
        <w:rPr>
          <w:rFonts w:ascii="Century" w:hAnsi="Century" w:cs="Miriam" w:hint="eastAsia"/>
          <w:b/>
          <w:spacing w:val="0"/>
          <w:szCs w:val="24"/>
          <w:rtl/>
        </w:rPr>
        <w:t>הכנסת</w:t>
      </w:r>
      <w:r>
        <w:rPr>
          <w:rFonts w:hint="cs"/>
          <w:rtl/>
        </w:rPr>
        <w:t xml:space="preserve">, פסקה 68 לחוות דעתו של השופט </w:t>
      </w:r>
      <w:r w:rsidRPr="005C7A15">
        <w:rPr>
          <w:rFonts w:ascii="Century" w:hAnsi="Century" w:cs="Miriam" w:hint="cs"/>
          <w:b/>
          <w:spacing w:val="0"/>
          <w:sz w:val="22"/>
          <w:szCs w:val="24"/>
          <w:rtl/>
        </w:rPr>
        <w:t>נ' סולברג</w:t>
      </w:r>
      <w:r w:rsidRPr="005C7A15">
        <w:rPr>
          <w:rFonts w:hint="cs"/>
          <w:rtl/>
        </w:rPr>
        <w:t xml:space="preserve"> </w:t>
      </w:r>
      <w:r>
        <w:rPr>
          <w:rFonts w:hint="cs"/>
          <w:rtl/>
        </w:rPr>
        <w:t xml:space="preserve">(8.7.2021); </w:t>
      </w:r>
      <w:r w:rsidRPr="0079516D">
        <w:rPr>
          <w:rFonts w:hint="cs"/>
          <w:rtl/>
        </w:rPr>
        <w:t xml:space="preserve">אליקים רובינשטיין ונעם סולברג "הכרזת העצמאות של מדינת ישראל </w:t>
      </w:r>
      <w:r w:rsidRPr="0079516D">
        <w:rPr>
          <w:rtl/>
        </w:rPr>
        <w:t>–</w:t>
      </w:r>
      <w:r w:rsidRPr="0079516D">
        <w:rPr>
          <w:rFonts w:hint="cs"/>
          <w:rtl/>
        </w:rPr>
        <w:t xml:space="preserve"> אחרי בלותה (כמעט) היתה לה עדנה" אליקים רובינשטיין </w:t>
      </w:r>
      <w:r w:rsidRPr="0079516D">
        <w:rPr>
          <w:rFonts w:ascii="Century" w:hAnsi="Century" w:cs="Miriam" w:hint="eastAsia"/>
          <w:b/>
          <w:spacing w:val="0"/>
          <w:szCs w:val="24"/>
          <w:rtl/>
        </w:rPr>
        <w:t>נתיבי</w:t>
      </w:r>
      <w:r w:rsidRPr="0079516D">
        <w:rPr>
          <w:rFonts w:ascii="Century" w:hAnsi="Century" w:cs="Miriam"/>
          <w:b/>
          <w:spacing w:val="0"/>
          <w:szCs w:val="24"/>
          <w:rtl/>
        </w:rPr>
        <w:t xml:space="preserve"> </w:t>
      </w:r>
      <w:r w:rsidRPr="0079516D">
        <w:rPr>
          <w:rFonts w:ascii="Century" w:hAnsi="Century" w:cs="Miriam" w:hint="eastAsia"/>
          <w:b/>
          <w:spacing w:val="0"/>
          <w:szCs w:val="24"/>
          <w:rtl/>
        </w:rPr>
        <w:t>ממשל</w:t>
      </w:r>
      <w:r w:rsidRPr="0079516D">
        <w:rPr>
          <w:rFonts w:ascii="Century" w:hAnsi="Century" w:cs="Miriam"/>
          <w:b/>
          <w:spacing w:val="0"/>
          <w:szCs w:val="24"/>
          <w:rtl/>
        </w:rPr>
        <w:t xml:space="preserve"> </w:t>
      </w:r>
      <w:r w:rsidRPr="0079516D">
        <w:rPr>
          <w:rFonts w:ascii="Century" w:hAnsi="Century" w:cs="Miriam" w:hint="eastAsia"/>
          <w:b/>
          <w:spacing w:val="0"/>
          <w:szCs w:val="24"/>
          <w:rtl/>
        </w:rPr>
        <w:t>ומשפט</w:t>
      </w:r>
      <w:r w:rsidRPr="0079516D">
        <w:rPr>
          <w:rFonts w:hint="cs"/>
          <w:rtl/>
        </w:rPr>
        <w:t xml:space="preserve"> 179, 188-187 (2003)).</w:t>
      </w:r>
      <w:r>
        <w:rPr>
          <w:rFonts w:hint="cs"/>
          <w:rtl/>
        </w:rPr>
        <w:t xml:space="preserve"> בנוסף אעיר כי הניסיון של חברי להיתלות במגילת העצמאות כעוגן חיצוני נפרד המאפשר פסילת דברי חקיקה ואף חקיקת יסוד, לוקה להשקפתי בחסר. מדובר הלכה למעשה בהכתרת מגילת העצמאות כ"חוקה" החדשה-ישנה של מדינת ישראל. אף כי אין </w:t>
      </w:r>
      <w:r>
        <w:rPr>
          <w:rFonts w:hint="eastAsia"/>
          <w:rtl/>
        </w:rPr>
        <w:t>מודל</w:t>
      </w:r>
      <w:r>
        <w:rPr>
          <w:rtl/>
        </w:rPr>
        <w:t xml:space="preserve"> </w:t>
      </w:r>
      <w:r>
        <w:rPr>
          <w:rFonts w:hint="eastAsia"/>
          <w:rtl/>
        </w:rPr>
        <w:t>חד</w:t>
      </w:r>
      <w:r>
        <w:rPr>
          <w:rtl/>
        </w:rPr>
        <w:t>-</w:t>
      </w:r>
      <w:r>
        <w:rPr>
          <w:rFonts w:hint="eastAsia"/>
          <w:rtl/>
        </w:rPr>
        <w:t>משמעי</w:t>
      </w:r>
      <w:r>
        <w:rPr>
          <w:rtl/>
        </w:rPr>
        <w:t xml:space="preserve"> </w:t>
      </w:r>
      <w:r>
        <w:rPr>
          <w:rFonts w:hint="eastAsia"/>
          <w:rtl/>
        </w:rPr>
        <w:t>המגדיר</w:t>
      </w:r>
      <w:r>
        <w:rPr>
          <w:rtl/>
        </w:rPr>
        <w:t xml:space="preserve"> </w:t>
      </w:r>
      <w:r>
        <w:rPr>
          <w:rFonts w:hint="eastAsia"/>
          <w:rtl/>
        </w:rPr>
        <w:t>מהי</w:t>
      </w:r>
      <w:r>
        <w:rPr>
          <w:rtl/>
        </w:rPr>
        <w:t xml:space="preserve"> "</w:t>
      </w:r>
      <w:r>
        <w:rPr>
          <w:rFonts w:hint="eastAsia"/>
          <w:rtl/>
        </w:rPr>
        <w:t>חוקה</w:t>
      </w:r>
      <w:r>
        <w:rPr>
          <w:rtl/>
        </w:rPr>
        <w:t>"</w:t>
      </w:r>
      <w:r>
        <w:rPr>
          <w:rFonts w:hint="cs"/>
          <w:rtl/>
        </w:rPr>
        <w:t xml:space="preserve">, מקובל להתייחס לשני מאפיינים מרכזיים של חוקה: "עליונות", </w:t>
      </w:r>
      <w:r>
        <w:rPr>
          <w:rFonts w:hint="eastAsia"/>
          <w:rtl/>
        </w:rPr>
        <w:t>היינו</w:t>
      </w:r>
      <w:r>
        <w:rPr>
          <w:rtl/>
        </w:rPr>
        <w:t xml:space="preserve"> </w:t>
      </w:r>
      <w:r>
        <w:rPr>
          <w:rFonts w:hint="cs"/>
          <w:rtl/>
        </w:rPr>
        <w:t xml:space="preserve">כי היא נהנית </w:t>
      </w:r>
      <w:r>
        <w:rPr>
          <w:rFonts w:hint="eastAsia"/>
          <w:rtl/>
        </w:rPr>
        <w:t>ממעמד</w:t>
      </w:r>
      <w:r>
        <w:rPr>
          <w:rtl/>
        </w:rPr>
        <w:t xml:space="preserve"> </w:t>
      </w:r>
      <w:r>
        <w:rPr>
          <w:rFonts w:hint="eastAsia"/>
          <w:rtl/>
        </w:rPr>
        <w:t>נורמטיבי</w:t>
      </w:r>
      <w:r>
        <w:rPr>
          <w:rtl/>
        </w:rPr>
        <w:t xml:space="preserve"> </w:t>
      </w:r>
      <w:r>
        <w:rPr>
          <w:rFonts w:hint="eastAsia"/>
          <w:rtl/>
        </w:rPr>
        <w:t>עליון</w:t>
      </w:r>
      <w:r>
        <w:rPr>
          <w:rtl/>
        </w:rPr>
        <w:t xml:space="preserve">; </w:t>
      </w:r>
      <w:r>
        <w:rPr>
          <w:rFonts w:hint="eastAsia"/>
          <w:rtl/>
        </w:rPr>
        <w:t>ו</w:t>
      </w:r>
      <w:r>
        <w:rPr>
          <w:rtl/>
        </w:rPr>
        <w:t>"</w:t>
      </w:r>
      <w:r>
        <w:rPr>
          <w:rFonts w:hint="eastAsia"/>
          <w:rtl/>
        </w:rPr>
        <w:t>נוקשות</w:t>
      </w:r>
      <w:r>
        <w:rPr>
          <w:rtl/>
        </w:rPr>
        <w:t xml:space="preserve">", </w:t>
      </w:r>
      <w:r>
        <w:rPr>
          <w:rFonts w:hint="eastAsia"/>
          <w:rtl/>
        </w:rPr>
        <w:t>היינו</w:t>
      </w:r>
      <w:r>
        <w:rPr>
          <w:rtl/>
        </w:rPr>
        <w:t xml:space="preserve"> </w:t>
      </w:r>
      <w:r>
        <w:rPr>
          <w:rFonts w:hint="cs"/>
          <w:rtl/>
        </w:rPr>
        <w:t>קיומו של מנגנון מיוחד לצורך שינוי הוראותיה (</w:t>
      </w:r>
      <w:r w:rsidRPr="009C6849">
        <w:rPr>
          <w:rFonts w:ascii="Century" w:hAnsi="Century" w:cs="Miriam" w:hint="cs"/>
          <w:b/>
          <w:spacing w:val="0"/>
          <w:sz w:val="22"/>
          <w:szCs w:val="24"/>
          <w:rtl/>
        </w:rPr>
        <w:t>גביזון</w:t>
      </w:r>
      <w:r>
        <w:rPr>
          <w:rFonts w:ascii="Century" w:hAnsi="Century" w:cs="Miriam" w:hint="cs"/>
          <w:b/>
          <w:spacing w:val="0"/>
          <w:sz w:val="22"/>
          <w:szCs w:val="24"/>
          <w:rtl/>
        </w:rPr>
        <w:t>, המהפכה החוקתית</w:t>
      </w:r>
      <w:r>
        <w:rPr>
          <w:rFonts w:hint="cs"/>
          <w:rtl/>
        </w:rPr>
        <w:t xml:space="preserve">, עמ' 35; אמנון רובינשטיין וברק מדינה "החוקה של מדינת ישראל" </w:t>
      </w:r>
      <w:r w:rsidRPr="009C6849">
        <w:rPr>
          <w:rFonts w:ascii="Century" w:hAnsi="Century" w:cs="Miriam" w:hint="eastAsia"/>
          <w:b/>
          <w:spacing w:val="0"/>
          <w:sz w:val="22"/>
          <w:szCs w:val="24"/>
          <w:rtl/>
        </w:rPr>
        <w:t>המשפט</w:t>
      </w:r>
      <w:r w:rsidRPr="00BB639A">
        <w:rPr>
          <w:rFonts w:hint="cs"/>
          <w:rtl/>
        </w:rPr>
        <w:t xml:space="preserve"> </w:t>
      </w:r>
      <w:r>
        <w:rPr>
          <w:rFonts w:hint="cs"/>
          <w:rtl/>
        </w:rPr>
        <w:t>ח 291,</w:t>
      </w:r>
      <w:r w:rsidRPr="007B2245">
        <w:rPr>
          <w:rFonts w:hint="cs"/>
          <w:rtl/>
        </w:rPr>
        <w:t xml:space="preserve"> 296 (</w:t>
      </w:r>
      <w:r>
        <w:rPr>
          <w:rFonts w:hint="cs"/>
          <w:rtl/>
        </w:rPr>
        <w:t>2003</w:t>
      </w:r>
      <w:r w:rsidRPr="007B2245">
        <w:rPr>
          <w:rFonts w:hint="cs"/>
          <w:rtl/>
        </w:rPr>
        <w:t>)</w:t>
      </w:r>
      <w:r>
        <w:rPr>
          <w:rFonts w:hint="cs"/>
          <w:rtl/>
        </w:rPr>
        <w:t xml:space="preserve"> (להלן: </w:t>
      </w:r>
      <w:r w:rsidRPr="00D567AC">
        <w:rPr>
          <w:rFonts w:ascii="Century" w:hAnsi="Century" w:cs="Miriam" w:hint="eastAsia"/>
          <w:b/>
          <w:spacing w:val="0"/>
          <w:sz w:val="22"/>
          <w:szCs w:val="24"/>
          <w:rtl/>
        </w:rPr>
        <w:t>רובינשטיין</w:t>
      </w:r>
      <w:r w:rsidRPr="00D567AC">
        <w:rPr>
          <w:rFonts w:ascii="Century" w:hAnsi="Century" w:cs="Miriam"/>
          <w:b/>
          <w:spacing w:val="0"/>
          <w:sz w:val="22"/>
          <w:szCs w:val="24"/>
          <w:rtl/>
        </w:rPr>
        <w:t xml:space="preserve"> </w:t>
      </w:r>
      <w:r w:rsidRPr="00D567AC">
        <w:rPr>
          <w:rFonts w:ascii="Century" w:hAnsi="Century" w:cs="Miriam" w:hint="eastAsia"/>
          <w:b/>
          <w:spacing w:val="0"/>
          <w:sz w:val="22"/>
          <w:szCs w:val="24"/>
          <w:rtl/>
        </w:rPr>
        <w:t>ומדינה</w:t>
      </w:r>
      <w:r>
        <w:rPr>
          <w:rFonts w:ascii="Century" w:hAnsi="Century" w:cs="Miriam" w:hint="cs"/>
          <w:b/>
          <w:spacing w:val="0"/>
          <w:sz w:val="22"/>
          <w:szCs w:val="24"/>
          <w:rtl/>
        </w:rPr>
        <w:t>, החוקה של מדינת ישראל</w:t>
      </w:r>
      <w:r w:rsidRPr="007B2245">
        <w:rPr>
          <w:rFonts w:hint="cs"/>
          <w:rtl/>
        </w:rPr>
        <w:t>)</w:t>
      </w:r>
      <w:r>
        <w:rPr>
          <w:rFonts w:hint="cs"/>
          <w:rtl/>
        </w:rPr>
        <w:t>)</w:t>
      </w:r>
      <w:r w:rsidRPr="007B2245">
        <w:rPr>
          <w:rFonts w:hint="cs"/>
          <w:rtl/>
        </w:rPr>
        <w:t xml:space="preserve">. </w:t>
      </w:r>
      <w:r>
        <w:rPr>
          <w:rFonts w:hint="cs"/>
          <w:rtl/>
        </w:rPr>
        <w:t xml:space="preserve">אכן </w:t>
      </w:r>
      <w:r w:rsidRPr="007B2245">
        <w:rPr>
          <w:rFonts w:hint="cs"/>
          <w:rtl/>
        </w:rPr>
        <w:t xml:space="preserve">חברי השופט </w:t>
      </w:r>
      <w:r w:rsidRPr="009C6849">
        <w:rPr>
          <w:rFonts w:ascii="Century" w:hAnsi="Century" w:cs="Miriam" w:hint="eastAsia"/>
          <w:spacing w:val="0"/>
          <w:sz w:val="22"/>
          <w:szCs w:val="24"/>
          <w:rtl/>
        </w:rPr>
        <w:t>שטיין</w:t>
      </w:r>
      <w:r w:rsidRPr="007B2245">
        <w:rPr>
          <w:rFonts w:hint="cs"/>
          <w:rtl/>
        </w:rPr>
        <w:t xml:space="preserve"> עיטר לכאורה את מגילת העצמאות הן במאפיין העליונות (פסקה 36 לחוות דעתו) והן במאפיין הנוקשות </w:t>
      </w:r>
      <w:r>
        <w:rPr>
          <w:rtl/>
        </w:rPr>
        <w:t>–</w:t>
      </w:r>
      <w:r>
        <w:rPr>
          <w:rFonts w:hint="cs"/>
          <w:rtl/>
        </w:rPr>
        <w:t xml:space="preserve"> שלא לומר נצחיות </w:t>
      </w:r>
      <w:r w:rsidRPr="007B2245">
        <w:rPr>
          <w:rFonts w:hint="cs"/>
          <w:rtl/>
        </w:rPr>
        <w:t xml:space="preserve">(פסקה 54 לחוות דעתו). </w:t>
      </w:r>
      <w:r>
        <w:rPr>
          <w:rFonts w:hint="cs"/>
          <w:rtl/>
        </w:rPr>
        <w:t xml:space="preserve">ברם, </w:t>
      </w:r>
      <w:r w:rsidRPr="007B2245">
        <w:rPr>
          <w:rFonts w:hint="cs"/>
          <w:rtl/>
        </w:rPr>
        <w:t xml:space="preserve">זאת </w:t>
      </w:r>
      <w:r>
        <w:rPr>
          <w:rFonts w:hint="cs"/>
          <w:rtl/>
        </w:rPr>
        <w:t xml:space="preserve">עשה </w:t>
      </w:r>
      <w:r w:rsidRPr="007B2245">
        <w:rPr>
          <w:rFonts w:hint="cs"/>
          <w:rtl/>
        </w:rPr>
        <w:t>גם כן בניגוד מוחלט לגישה המקובלת כי הכרזת העצמאות אינה החוקה של מדינת ישראל (</w:t>
      </w:r>
      <w:r w:rsidRPr="007B2245">
        <w:rPr>
          <w:rFonts w:hint="eastAsia"/>
          <w:rtl/>
        </w:rPr>
        <w:t>אהרן</w:t>
      </w:r>
      <w:r w:rsidRPr="007B2245">
        <w:rPr>
          <w:rtl/>
        </w:rPr>
        <w:t xml:space="preserve"> </w:t>
      </w:r>
      <w:r w:rsidRPr="007B2245">
        <w:rPr>
          <w:rFonts w:hint="eastAsia"/>
          <w:rtl/>
        </w:rPr>
        <w:t>ברק</w:t>
      </w:r>
      <w:r w:rsidRPr="007B2245">
        <w:rPr>
          <w:rtl/>
        </w:rPr>
        <w:t xml:space="preserve"> "</w:t>
      </w:r>
      <w:r w:rsidRPr="007B2245">
        <w:rPr>
          <w:rFonts w:hint="eastAsia"/>
          <w:rtl/>
        </w:rPr>
        <w:t>מגילת</w:t>
      </w:r>
      <w:r w:rsidRPr="007B2245">
        <w:rPr>
          <w:rtl/>
        </w:rPr>
        <w:t xml:space="preserve"> </w:t>
      </w:r>
      <w:r w:rsidRPr="007B2245">
        <w:rPr>
          <w:rFonts w:hint="eastAsia"/>
          <w:rtl/>
        </w:rPr>
        <w:t>העצמאות</w:t>
      </w:r>
      <w:r w:rsidRPr="007B2245">
        <w:rPr>
          <w:rtl/>
        </w:rPr>
        <w:t xml:space="preserve"> </w:t>
      </w:r>
      <w:r w:rsidRPr="007B2245">
        <w:rPr>
          <w:rFonts w:hint="eastAsia"/>
          <w:rtl/>
        </w:rPr>
        <w:t>והכנסת</w:t>
      </w:r>
      <w:r w:rsidRPr="007B2245">
        <w:rPr>
          <w:rtl/>
        </w:rPr>
        <w:t xml:space="preserve"> </w:t>
      </w:r>
      <w:r w:rsidRPr="007B2245">
        <w:rPr>
          <w:rFonts w:hint="eastAsia"/>
          <w:rtl/>
        </w:rPr>
        <w:t>כרשות</w:t>
      </w:r>
      <w:r w:rsidRPr="007B2245">
        <w:rPr>
          <w:rtl/>
        </w:rPr>
        <w:t xml:space="preserve"> </w:t>
      </w:r>
      <w:r w:rsidRPr="007B2245">
        <w:rPr>
          <w:rFonts w:hint="eastAsia"/>
          <w:rtl/>
        </w:rPr>
        <w:t>מכוננת</w:t>
      </w:r>
      <w:r w:rsidRPr="007B2245">
        <w:rPr>
          <w:rtl/>
        </w:rPr>
        <w:t xml:space="preserve">" </w:t>
      </w:r>
      <w:r w:rsidRPr="009C6849">
        <w:rPr>
          <w:rFonts w:ascii="Century" w:hAnsi="Century" w:cs="Miriam" w:hint="eastAsia"/>
          <w:b/>
          <w:spacing w:val="0"/>
          <w:sz w:val="22"/>
          <w:szCs w:val="24"/>
          <w:rtl/>
        </w:rPr>
        <w:t>חוקים</w:t>
      </w:r>
      <w:r w:rsidRPr="00996A69">
        <w:rPr>
          <w:rtl/>
        </w:rPr>
        <w:t xml:space="preserve"> </w:t>
      </w:r>
      <w:r w:rsidRPr="007B2245">
        <w:rPr>
          <w:rFonts w:hint="eastAsia"/>
          <w:rtl/>
        </w:rPr>
        <w:t>יא</w:t>
      </w:r>
      <w:r w:rsidRPr="007B2245">
        <w:rPr>
          <w:rtl/>
        </w:rPr>
        <w:t xml:space="preserve"> 9</w:t>
      </w:r>
      <w:r>
        <w:rPr>
          <w:rFonts w:hint="cs"/>
          <w:rtl/>
        </w:rPr>
        <w:t xml:space="preserve">, 36 </w:t>
      </w:r>
      <w:r w:rsidRPr="007B2245">
        <w:rPr>
          <w:rtl/>
        </w:rPr>
        <w:t xml:space="preserve">(2018); </w:t>
      </w:r>
      <w:r w:rsidRPr="007B2245">
        <w:rPr>
          <w:rFonts w:hint="eastAsia"/>
          <w:rtl/>
        </w:rPr>
        <w:t>אהרן</w:t>
      </w:r>
      <w:r w:rsidRPr="007B2245">
        <w:rPr>
          <w:rtl/>
        </w:rPr>
        <w:t xml:space="preserve"> </w:t>
      </w:r>
      <w:r w:rsidRPr="007B2245">
        <w:rPr>
          <w:rFonts w:hint="eastAsia"/>
          <w:rtl/>
        </w:rPr>
        <w:t>ברק</w:t>
      </w:r>
      <w:r w:rsidRPr="007B2245">
        <w:rPr>
          <w:rtl/>
        </w:rPr>
        <w:t xml:space="preserve"> "</w:t>
      </w:r>
      <w:r w:rsidRPr="007B2245">
        <w:rPr>
          <w:rFonts w:hint="eastAsia"/>
          <w:rtl/>
        </w:rPr>
        <w:t>מגילת</w:t>
      </w:r>
      <w:r w:rsidRPr="007B2245">
        <w:rPr>
          <w:rtl/>
        </w:rPr>
        <w:t xml:space="preserve"> </w:t>
      </w:r>
      <w:r w:rsidRPr="007B2245">
        <w:rPr>
          <w:rFonts w:hint="eastAsia"/>
          <w:rtl/>
        </w:rPr>
        <w:t>העצמאות</w:t>
      </w:r>
      <w:r w:rsidRPr="007B2245">
        <w:rPr>
          <w:rtl/>
        </w:rPr>
        <w:t xml:space="preserve"> </w:t>
      </w:r>
      <w:r w:rsidRPr="007B2245">
        <w:rPr>
          <w:rFonts w:hint="eastAsia"/>
          <w:rtl/>
        </w:rPr>
        <w:lastRenderedPageBreak/>
        <w:t>והכנסת</w:t>
      </w:r>
      <w:r w:rsidRPr="007B2245">
        <w:rPr>
          <w:rtl/>
        </w:rPr>
        <w:t xml:space="preserve"> </w:t>
      </w:r>
      <w:r w:rsidRPr="007B2245">
        <w:rPr>
          <w:rFonts w:hint="eastAsia"/>
          <w:rtl/>
        </w:rPr>
        <w:t>כרשות</w:t>
      </w:r>
      <w:r w:rsidRPr="007B2245">
        <w:rPr>
          <w:rtl/>
        </w:rPr>
        <w:t xml:space="preserve"> </w:t>
      </w:r>
      <w:r w:rsidRPr="007B2245">
        <w:rPr>
          <w:rFonts w:hint="eastAsia"/>
          <w:rtl/>
        </w:rPr>
        <w:t>מכוננת</w:t>
      </w:r>
      <w:r w:rsidRPr="007B2245">
        <w:rPr>
          <w:rtl/>
        </w:rPr>
        <w:t xml:space="preserve">" </w:t>
      </w:r>
      <w:r w:rsidRPr="009C6849">
        <w:rPr>
          <w:szCs w:val="24"/>
        </w:rPr>
        <w:t>ICON-S-IL Blog</w:t>
      </w:r>
      <w:r w:rsidRPr="009C6849">
        <w:rPr>
          <w:szCs w:val="24"/>
          <w:rtl/>
        </w:rPr>
        <w:t xml:space="preserve"> </w:t>
      </w:r>
      <w:r>
        <w:rPr>
          <w:rtl/>
        </w:rPr>
        <w:t>(22.3.2020)</w:t>
      </w:r>
      <w:r>
        <w:rPr>
          <w:rFonts w:hint="cs"/>
          <w:rtl/>
        </w:rPr>
        <w:t xml:space="preserve">). </w:t>
      </w:r>
      <w:r w:rsidRPr="007B2245">
        <w:rPr>
          <w:rFonts w:hint="cs"/>
          <w:rtl/>
        </w:rPr>
        <w:t xml:space="preserve">לא בכדי במדינת ישראל לא כוננה חוקה במהלך 75 שנות קיומה. המחלוקות החברתיות השונות, הדילמות בקשר לסוגיות יסוד </w:t>
      </w:r>
      <w:r>
        <w:rPr>
          <w:rFonts w:hint="cs"/>
          <w:rtl/>
        </w:rPr>
        <w:t>ו</w:t>
      </w:r>
      <w:r w:rsidRPr="007B2245">
        <w:rPr>
          <w:rFonts w:hint="cs"/>
          <w:rtl/>
        </w:rPr>
        <w:t xml:space="preserve">הקושי במציאת הסכמה רחבה, כל אלה ועוד מנעו ומונעים כינונה של חוקה (ראו </w:t>
      </w:r>
      <w:r>
        <w:rPr>
          <w:rFonts w:hint="cs"/>
          <w:rtl/>
        </w:rPr>
        <w:t xml:space="preserve">למשל: </w:t>
      </w:r>
      <w:r w:rsidRPr="007B2245">
        <w:rPr>
          <w:rFonts w:hint="cs"/>
          <w:rtl/>
        </w:rPr>
        <w:t xml:space="preserve">סקירה אצל </w:t>
      </w:r>
      <w:r w:rsidRPr="009C6849">
        <w:rPr>
          <w:rFonts w:ascii="Century" w:hAnsi="Century" w:cs="Miriam" w:hint="eastAsia"/>
          <w:spacing w:val="0"/>
          <w:szCs w:val="24"/>
          <w:rtl/>
        </w:rPr>
        <w:t>גביזון</w:t>
      </w:r>
      <w:r>
        <w:rPr>
          <w:rFonts w:ascii="Century" w:hAnsi="Century" w:cs="Miriam" w:hint="cs"/>
          <w:spacing w:val="0"/>
          <w:szCs w:val="24"/>
          <w:rtl/>
        </w:rPr>
        <w:t>, המהפכה החוקתית</w:t>
      </w:r>
      <w:r w:rsidRPr="007B2245">
        <w:rPr>
          <w:rFonts w:hint="cs"/>
          <w:rtl/>
        </w:rPr>
        <w:t>, עמודים 93-83</w:t>
      </w:r>
      <w:r>
        <w:rPr>
          <w:rFonts w:hint="cs"/>
          <w:rtl/>
        </w:rPr>
        <w:t>;</w:t>
      </w:r>
      <w:r w:rsidRPr="007B2245">
        <w:rPr>
          <w:rFonts w:hint="cs"/>
          <w:rtl/>
        </w:rPr>
        <w:t xml:space="preserve"> </w:t>
      </w:r>
      <w:r w:rsidRPr="00E76475">
        <w:rPr>
          <w:rFonts w:hint="cs"/>
          <w:rtl/>
        </w:rPr>
        <w:t xml:space="preserve">וכן: </w:t>
      </w:r>
      <w:r w:rsidRPr="00D567AC">
        <w:rPr>
          <w:rFonts w:ascii="Century" w:hAnsi="Century" w:cs="Miriam" w:hint="eastAsia"/>
          <w:b/>
          <w:spacing w:val="0"/>
          <w:sz w:val="22"/>
          <w:szCs w:val="24"/>
          <w:rtl/>
        </w:rPr>
        <w:t>שג</w:t>
      </w:r>
      <w:r w:rsidRPr="009B3527">
        <w:rPr>
          <w:rFonts w:ascii="Century" w:hAnsi="Century" w:cs="Miriam" w:hint="eastAsia"/>
          <w:b/>
          <w:spacing w:val="0"/>
          <w:sz w:val="22"/>
          <w:szCs w:val="24"/>
          <w:rtl/>
        </w:rPr>
        <w:t>ב</w:t>
      </w:r>
      <w:r w:rsidRPr="00F468DF">
        <w:rPr>
          <w:rFonts w:ascii="Century" w:hAnsi="Century" w:cs="Miriam"/>
          <w:b/>
          <w:spacing w:val="0"/>
          <w:sz w:val="22"/>
          <w:szCs w:val="24"/>
          <w:rtl/>
        </w:rPr>
        <w:t xml:space="preserve">, </w:t>
      </w:r>
      <w:r w:rsidRPr="00454D71">
        <w:rPr>
          <w:rFonts w:ascii="Century" w:hAnsi="Century" w:cs="Miriam" w:hint="eastAsia"/>
          <w:b/>
          <w:spacing w:val="0"/>
          <w:sz w:val="22"/>
          <w:szCs w:val="24"/>
          <w:rtl/>
        </w:rPr>
        <w:t>מדוע</w:t>
      </w:r>
      <w:r w:rsidRPr="00454D71">
        <w:rPr>
          <w:rFonts w:ascii="Century" w:hAnsi="Century" w:cs="Miriam"/>
          <w:b/>
          <w:spacing w:val="0"/>
          <w:sz w:val="22"/>
          <w:szCs w:val="24"/>
          <w:rtl/>
        </w:rPr>
        <w:t xml:space="preserve"> </w:t>
      </w:r>
      <w:r w:rsidRPr="00454D71">
        <w:rPr>
          <w:rFonts w:ascii="Century" w:hAnsi="Century" w:cs="Miriam" w:hint="eastAsia"/>
          <w:b/>
          <w:spacing w:val="0"/>
          <w:sz w:val="22"/>
          <w:szCs w:val="24"/>
          <w:rtl/>
        </w:rPr>
        <w:t>לישראל</w:t>
      </w:r>
      <w:r w:rsidRPr="00454D71">
        <w:rPr>
          <w:rFonts w:ascii="Century" w:hAnsi="Century" w:cs="Miriam"/>
          <w:b/>
          <w:spacing w:val="0"/>
          <w:sz w:val="22"/>
          <w:szCs w:val="24"/>
          <w:rtl/>
        </w:rPr>
        <w:t xml:space="preserve"> </w:t>
      </w:r>
      <w:r w:rsidRPr="00454D71">
        <w:rPr>
          <w:rFonts w:ascii="Century" w:hAnsi="Century" w:cs="Miriam" w:hint="eastAsia"/>
          <w:b/>
          <w:spacing w:val="0"/>
          <w:sz w:val="22"/>
          <w:szCs w:val="24"/>
          <w:rtl/>
        </w:rPr>
        <w:t>אין</w:t>
      </w:r>
      <w:r w:rsidRPr="00454D71">
        <w:rPr>
          <w:rFonts w:ascii="Century" w:hAnsi="Century" w:cs="Miriam"/>
          <w:b/>
          <w:spacing w:val="0"/>
          <w:sz w:val="22"/>
          <w:szCs w:val="24"/>
          <w:rtl/>
        </w:rPr>
        <w:t xml:space="preserve"> </w:t>
      </w:r>
      <w:r w:rsidRPr="00454D71">
        <w:rPr>
          <w:rFonts w:ascii="Century" w:hAnsi="Century" w:cs="Miriam" w:hint="eastAsia"/>
          <w:b/>
          <w:spacing w:val="0"/>
          <w:sz w:val="22"/>
          <w:szCs w:val="24"/>
          <w:rtl/>
        </w:rPr>
        <w:t>ולא</w:t>
      </w:r>
      <w:r w:rsidRPr="00454D71">
        <w:rPr>
          <w:rFonts w:ascii="Century" w:hAnsi="Century" w:cs="Miriam"/>
          <w:b/>
          <w:spacing w:val="0"/>
          <w:sz w:val="22"/>
          <w:szCs w:val="24"/>
          <w:rtl/>
        </w:rPr>
        <w:t xml:space="preserve"> </w:t>
      </w:r>
      <w:r w:rsidRPr="00454D71">
        <w:rPr>
          <w:rFonts w:ascii="Century" w:hAnsi="Century" w:cs="Miriam" w:hint="eastAsia"/>
          <w:b/>
          <w:spacing w:val="0"/>
          <w:sz w:val="22"/>
          <w:szCs w:val="24"/>
          <w:rtl/>
        </w:rPr>
        <w:t>תהיה</w:t>
      </w:r>
      <w:r w:rsidRPr="00454D71">
        <w:rPr>
          <w:rFonts w:ascii="Century" w:hAnsi="Century" w:cs="Miriam"/>
          <w:b/>
          <w:spacing w:val="0"/>
          <w:sz w:val="22"/>
          <w:szCs w:val="24"/>
          <w:rtl/>
        </w:rPr>
        <w:t xml:space="preserve"> </w:t>
      </w:r>
      <w:r w:rsidRPr="00454D71">
        <w:rPr>
          <w:rFonts w:ascii="Century" w:hAnsi="Century" w:cs="Miriam" w:hint="eastAsia"/>
          <w:b/>
          <w:spacing w:val="0"/>
          <w:sz w:val="22"/>
          <w:szCs w:val="24"/>
          <w:rtl/>
        </w:rPr>
        <w:t>חוקה</w:t>
      </w:r>
      <w:r w:rsidRPr="00E76475">
        <w:rPr>
          <w:rFonts w:hint="cs"/>
          <w:rtl/>
        </w:rPr>
        <w:t xml:space="preserve">). "המהפכה החוקתית" ביקשה </w:t>
      </w:r>
      <w:r w:rsidRPr="00E76475">
        <w:rPr>
          <w:rFonts w:hint="eastAsia"/>
          <w:rtl/>
        </w:rPr>
        <w:t>למצוא</w:t>
      </w:r>
      <w:r w:rsidRPr="00E76475">
        <w:rPr>
          <w:rFonts w:hint="cs"/>
          <w:rtl/>
        </w:rPr>
        <w:t xml:space="preserve"> חוקה בתוך הקיים, וקשייה בצידה כפי שפירטתי לעיל. </w:t>
      </w:r>
      <w:r>
        <w:rPr>
          <w:rFonts w:hint="cs"/>
          <w:rtl/>
        </w:rPr>
        <w:t xml:space="preserve">ברם גם </w:t>
      </w:r>
      <w:r w:rsidRPr="00E76475">
        <w:rPr>
          <w:rFonts w:hint="cs"/>
          <w:rtl/>
        </w:rPr>
        <w:t xml:space="preserve">הניסיון </w:t>
      </w:r>
      <w:r>
        <w:rPr>
          <w:rFonts w:hint="cs"/>
          <w:rtl/>
        </w:rPr>
        <w:t xml:space="preserve">לפתור את סוגיית מצוקת החוקה </w:t>
      </w:r>
      <w:r w:rsidRPr="00E76475">
        <w:rPr>
          <w:rFonts w:hint="cs"/>
          <w:rtl/>
        </w:rPr>
        <w:t xml:space="preserve">אשר לה אנו נכספים </w:t>
      </w:r>
      <w:r>
        <w:rPr>
          <w:rFonts w:hint="cs"/>
          <w:rtl/>
        </w:rPr>
        <w:t xml:space="preserve">באמצעות אותו מסמך היסטורי של מגילת העצמאות, </w:t>
      </w:r>
      <w:r w:rsidRPr="00E76475">
        <w:rPr>
          <w:rFonts w:hint="cs"/>
          <w:rtl/>
        </w:rPr>
        <w:t xml:space="preserve">הוא </w:t>
      </w:r>
      <w:r>
        <w:rPr>
          <w:rFonts w:hint="cs"/>
          <w:rtl/>
        </w:rPr>
        <w:t xml:space="preserve">בעיני אפוא </w:t>
      </w:r>
      <w:r w:rsidRPr="00E76475">
        <w:rPr>
          <w:rFonts w:hint="cs"/>
          <w:rtl/>
        </w:rPr>
        <w:t xml:space="preserve">קשה ביותר. </w:t>
      </w:r>
    </w:p>
    <w:p w:rsidR="00737972" w:rsidRPr="00E76475" w:rsidRDefault="00737972" w:rsidP="00737972">
      <w:pPr>
        <w:pStyle w:val="Ruller41"/>
        <w:rPr>
          <w:rtl/>
        </w:rPr>
      </w:pPr>
    </w:p>
    <w:p w:rsidR="00737972" w:rsidRPr="00A055AD" w:rsidRDefault="00737972" w:rsidP="00737972">
      <w:pPr>
        <w:pStyle w:val="Ruller41"/>
        <w:rPr>
          <w:rtl/>
        </w:rPr>
      </w:pPr>
      <w:r w:rsidRPr="00E76475">
        <w:rPr>
          <w:rtl/>
        </w:rPr>
        <w:tab/>
      </w:r>
      <w:r w:rsidRPr="00E76475">
        <w:rPr>
          <w:rFonts w:hint="eastAsia"/>
          <w:rtl/>
        </w:rPr>
        <w:t>מעבר</w:t>
      </w:r>
      <w:r w:rsidRPr="00E76475">
        <w:rPr>
          <w:rtl/>
        </w:rPr>
        <w:t xml:space="preserve"> </w:t>
      </w:r>
      <w:r w:rsidRPr="00E76475">
        <w:rPr>
          <w:rFonts w:hint="eastAsia"/>
          <w:rtl/>
        </w:rPr>
        <w:t>לכך</w:t>
      </w:r>
      <w:r w:rsidRPr="00E76475">
        <w:rPr>
          <w:rtl/>
        </w:rPr>
        <w:t xml:space="preserve"> </w:t>
      </w:r>
      <w:r>
        <w:rPr>
          <w:rFonts w:hint="cs"/>
          <w:rtl/>
        </w:rPr>
        <w:t xml:space="preserve">ומעל הכל, </w:t>
      </w:r>
      <w:r w:rsidRPr="00E76475">
        <w:rPr>
          <w:rFonts w:hint="eastAsia"/>
          <w:rtl/>
        </w:rPr>
        <w:t>זיהוי</w:t>
      </w:r>
      <w:r w:rsidRPr="00E76475">
        <w:rPr>
          <w:rtl/>
        </w:rPr>
        <w:t xml:space="preserve"> </w:t>
      </w:r>
      <w:r w:rsidRPr="00E76475">
        <w:rPr>
          <w:rFonts w:hint="eastAsia"/>
          <w:rtl/>
        </w:rPr>
        <w:t>מועצת</w:t>
      </w:r>
      <w:r w:rsidRPr="00E76475">
        <w:rPr>
          <w:rtl/>
        </w:rPr>
        <w:t xml:space="preserve"> </w:t>
      </w:r>
      <w:r w:rsidRPr="00E76475">
        <w:rPr>
          <w:rFonts w:hint="eastAsia"/>
          <w:rtl/>
        </w:rPr>
        <w:t>העם</w:t>
      </w:r>
      <w:r w:rsidRPr="00E76475">
        <w:rPr>
          <w:rtl/>
        </w:rPr>
        <w:t xml:space="preserve"> </w:t>
      </w:r>
      <w:r w:rsidRPr="00E76475">
        <w:rPr>
          <w:rFonts w:hint="eastAsia"/>
          <w:rtl/>
        </w:rPr>
        <w:t>כבעלת</w:t>
      </w:r>
      <w:r w:rsidRPr="00E76475">
        <w:rPr>
          <w:rtl/>
        </w:rPr>
        <w:t xml:space="preserve"> </w:t>
      </w:r>
      <w:r w:rsidRPr="00E76475">
        <w:rPr>
          <w:rFonts w:hint="eastAsia"/>
          <w:rtl/>
        </w:rPr>
        <w:t>הסמכות</w:t>
      </w:r>
      <w:r w:rsidRPr="00E76475">
        <w:rPr>
          <w:rtl/>
        </w:rPr>
        <w:t xml:space="preserve"> </w:t>
      </w:r>
      <w:r w:rsidRPr="00E76475">
        <w:rPr>
          <w:rFonts w:hint="eastAsia"/>
          <w:rtl/>
        </w:rPr>
        <w:t>ליצור</w:t>
      </w:r>
      <w:r w:rsidRPr="00E76475">
        <w:rPr>
          <w:rtl/>
        </w:rPr>
        <w:t xml:space="preserve"> </w:t>
      </w:r>
      <w:r w:rsidRPr="00E76475">
        <w:rPr>
          <w:rFonts w:hint="eastAsia"/>
          <w:rtl/>
        </w:rPr>
        <w:t>מסמך</w:t>
      </w:r>
      <w:r w:rsidRPr="00E76475">
        <w:rPr>
          <w:rtl/>
        </w:rPr>
        <w:t xml:space="preserve"> </w:t>
      </w:r>
      <w:r w:rsidRPr="00E76475">
        <w:rPr>
          <w:rFonts w:hint="eastAsia"/>
          <w:rtl/>
        </w:rPr>
        <w:t>בעל</w:t>
      </w:r>
      <w:r w:rsidRPr="00E76475">
        <w:rPr>
          <w:rtl/>
        </w:rPr>
        <w:t xml:space="preserve"> </w:t>
      </w:r>
      <w:r w:rsidRPr="00E76475">
        <w:rPr>
          <w:rFonts w:hint="eastAsia"/>
          <w:rtl/>
        </w:rPr>
        <w:t>משמעות</w:t>
      </w:r>
      <w:r w:rsidRPr="00E76475">
        <w:rPr>
          <w:rtl/>
        </w:rPr>
        <w:t xml:space="preserve"> </w:t>
      </w:r>
      <w:r w:rsidRPr="00E76475">
        <w:rPr>
          <w:rFonts w:hint="eastAsia"/>
          <w:rtl/>
        </w:rPr>
        <w:t>מכוננת</w:t>
      </w:r>
      <w:r w:rsidRPr="00E76475">
        <w:rPr>
          <w:rtl/>
        </w:rPr>
        <w:t xml:space="preserve"> </w:t>
      </w:r>
      <w:r w:rsidRPr="00E76475">
        <w:rPr>
          <w:rFonts w:hint="eastAsia"/>
          <w:rtl/>
        </w:rPr>
        <w:t>הוא</w:t>
      </w:r>
      <w:r w:rsidRPr="00E76475">
        <w:rPr>
          <w:rtl/>
        </w:rPr>
        <w:t xml:space="preserve"> </w:t>
      </w:r>
      <w:r w:rsidRPr="00E76475">
        <w:rPr>
          <w:rFonts w:hint="eastAsia"/>
          <w:rtl/>
        </w:rPr>
        <w:t>בלתי</w:t>
      </w:r>
      <w:r w:rsidRPr="00E76475">
        <w:rPr>
          <w:rtl/>
        </w:rPr>
        <w:t xml:space="preserve"> </w:t>
      </w:r>
      <w:r w:rsidRPr="00E76475">
        <w:rPr>
          <w:rFonts w:hint="eastAsia"/>
          <w:rtl/>
        </w:rPr>
        <w:t>מתקבל</w:t>
      </w:r>
      <w:r w:rsidRPr="00E76475">
        <w:rPr>
          <w:rtl/>
        </w:rPr>
        <w:t xml:space="preserve"> </w:t>
      </w:r>
      <w:r w:rsidRPr="00E76475">
        <w:rPr>
          <w:rFonts w:hint="eastAsia"/>
          <w:rtl/>
        </w:rPr>
        <w:t>על</w:t>
      </w:r>
      <w:r w:rsidRPr="00E76475">
        <w:rPr>
          <w:rtl/>
        </w:rPr>
        <w:t xml:space="preserve"> </w:t>
      </w:r>
      <w:r w:rsidRPr="00E76475">
        <w:rPr>
          <w:rFonts w:hint="eastAsia"/>
          <w:rtl/>
        </w:rPr>
        <w:t>הדעת</w:t>
      </w:r>
      <w:r w:rsidRPr="00E76475">
        <w:rPr>
          <w:rtl/>
        </w:rPr>
        <w:t xml:space="preserve">, </w:t>
      </w:r>
      <w:r w:rsidRPr="00E76475">
        <w:rPr>
          <w:rFonts w:hint="eastAsia"/>
          <w:rtl/>
        </w:rPr>
        <w:t>נוכח</w:t>
      </w:r>
      <w:r w:rsidRPr="00E76475">
        <w:rPr>
          <w:rtl/>
        </w:rPr>
        <w:t xml:space="preserve"> </w:t>
      </w:r>
      <w:r w:rsidRPr="00E76475">
        <w:rPr>
          <w:rFonts w:hint="eastAsia"/>
          <w:rtl/>
        </w:rPr>
        <w:t>העובדה</w:t>
      </w:r>
      <w:r w:rsidRPr="00E76475">
        <w:rPr>
          <w:rtl/>
        </w:rPr>
        <w:t xml:space="preserve"> </w:t>
      </w:r>
      <w:r w:rsidRPr="00E76475">
        <w:rPr>
          <w:rFonts w:hint="eastAsia"/>
          <w:rtl/>
        </w:rPr>
        <w:t>שאין</w:t>
      </w:r>
      <w:r w:rsidRPr="00E76475">
        <w:rPr>
          <w:rtl/>
        </w:rPr>
        <w:t xml:space="preserve"> </w:t>
      </w:r>
      <w:r w:rsidRPr="00E76475">
        <w:rPr>
          <w:rFonts w:hint="eastAsia"/>
          <w:rtl/>
        </w:rPr>
        <w:t>חולק</w:t>
      </w:r>
      <w:r w:rsidRPr="00E76475">
        <w:rPr>
          <w:rtl/>
        </w:rPr>
        <w:t xml:space="preserve"> </w:t>
      </w:r>
      <w:r w:rsidRPr="00E76475">
        <w:rPr>
          <w:rFonts w:hint="eastAsia"/>
          <w:rtl/>
        </w:rPr>
        <w:t>כי</w:t>
      </w:r>
      <w:r w:rsidRPr="00E76475">
        <w:rPr>
          <w:rtl/>
        </w:rPr>
        <w:t xml:space="preserve"> </w:t>
      </w:r>
      <w:r w:rsidRPr="00E76475">
        <w:rPr>
          <w:rFonts w:hint="eastAsia"/>
          <w:rtl/>
        </w:rPr>
        <w:t>אין</w:t>
      </w:r>
      <w:r w:rsidRPr="00E76475">
        <w:rPr>
          <w:rtl/>
        </w:rPr>
        <w:t xml:space="preserve"> </w:t>
      </w:r>
      <w:r w:rsidRPr="00E76475">
        <w:rPr>
          <w:rFonts w:hint="eastAsia"/>
          <w:rtl/>
        </w:rPr>
        <w:t>מדובר</w:t>
      </w:r>
      <w:r w:rsidRPr="00E76475">
        <w:rPr>
          <w:rtl/>
        </w:rPr>
        <w:t xml:space="preserve"> </w:t>
      </w:r>
      <w:r w:rsidRPr="00E76475">
        <w:rPr>
          <w:rFonts w:hint="eastAsia"/>
          <w:rtl/>
        </w:rPr>
        <w:t>בגוף</w:t>
      </w:r>
      <w:r w:rsidRPr="00E76475">
        <w:rPr>
          <w:rtl/>
        </w:rPr>
        <w:t xml:space="preserve"> </w:t>
      </w:r>
      <w:r w:rsidRPr="00E76475">
        <w:rPr>
          <w:rFonts w:hint="eastAsia"/>
          <w:rtl/>
        </w:rPr>
        <w:t>נבחר</w:t>
      </w:r>
      <w:r w:rsidRPr="00E76475">
        <w:rPr>
          <w:rFonts w:hint="cs"/>
          <w:rtl/>
        </w:rPr>
        <w:t xml:space="preserve"> אלא מזדמן</w:t>
      </w:r>
      <w:r w:rsidRPr="00E76475">
        <w:rPr>
          <w:rtl/>
        </w:rPr>
        <w:t xml:space="preserve">, </w:t>
      </w:r>
      <w:r w:rsidRPr="00E76475">
        <w:rPr>
          <w:rFonts w:hint="eastAsia"/>
          <w:rtl/>
        </w:rPr>
        <w:t>בשונה</w:t>
      </w:r>
      <w:r w:rsidRPr="00E76475">
        <w:rPr>
          <w:rtl/>
        </w:rPr>
        <w:t xml:space="preserve"> </w:t>
      </w:r>
      <w:r w:rsidRPr="00E76475">
        <w:rPr>
          <w:rFonts w:hint="eastAsia"/>
          <w:rtl/>
        </w:rPr>
        <w:t>מהכנסת</w:t>
      </w:r>
      <w:r w:rsidRPr="00E76475">
        <w:rPr>
          <w:rtl/>
        </w:rPr>
        <w:t xml:space="preserve"> </w:t>
      </w:r>
      <w:r w:rsidRPr="00E76475">
        <w:rPr>
          <w:rFonts w:hint="eastAsia"/>
          <w:rtl/>
        </w:rPr>
        <w:t>אשר</w:t>
      </w:r>
      <w:r w:rsidRPr="00E76475">
        <w:rPr>
          <w:rtl/>
        </w:rPr>
        <w:t xml:space="preserve"> </w:t>
      </w:r>
      <w:r w:rsidRPr="00E76475">
        <w:rPr>
          <w:rFonts w:hint="cs"/>
          <w:rtl/>
        </w:rPr>
        <w:t xml:space="preserve">נבחרה בבחירות דמוקרטיות </w:t>
      </w:r>
      <w:r w:rsidRPr="00E76475">
        <w:rPr>
          <w:rFonts w:hint="eastAsia"/>
          <w:rtl/>
        </w:rPr>
        <w:t>על</w:t>
      </w:r>
      <w:r w:rsidRPr="00E76475">
        <w:rPr>
          <w:rtl/>
        </w:rPr>
        <w:t xml:space="preserve"> </w:t>
      </w:r>
      <w:r w:rsidRPr="00E76475">
        <w:rPr>
          <w:rFonts w:hint="eastAsia"/>
          <w:rtl/>
        </w:rPr>
        <w:t>ידי</w:t>
      </w:r>
      <w:r w:rsidRPr="00E76475">
        <w:rPr>
          <w:rtl/>
        </w:rPr>
        <w:t xml:space="preserve"> </w:t>
      </w:r>
      <w:r w:rsidRPr="00E76475">
        <w:rPr>
          <w:rFonts w:hint="eastAsia"/>
          <w:rtl/>
        </w:rPr>
        <w:t>העם</w:t>
      </w:r>
      <w:r w:rsidRPr="00E76475">
        <w:rPr>
          <w:rtl/>
        </w:rPr>
        <w:t>-</w:t>
      </w:r>
      <w:r w:rsidRPr="00E76475">
        <w:rPr>
          <w:rFonts w:hint="eastAsia"/>
          <w:rtl/>
        </w:rPr>
        <w:t>הריבון</w:t>
      </w:r>
      <w:r w:rsidRPr="00E76475">
        <w:rPr>
          <w:rtl/>
        </w:rPr>
        <w:t>.</w:t>
      </w:r>
      <w:r w:rsidRPr="00E76475">
        <w:rPr>
          <w:rFonts w:hint="cs"/>
          <w:rtl/>
        </w:rPr>
        <w:t xml:space="preserve"> בעיניי, כל המוסיף על כך, גורע.</w:t>
      </w:r>
    </w:p>
    <w:p w:rsidR="00737972" w:rsidRPr="00AB7B0E" w:rsidRDefault="00737972" w:rsidP="00737972">
      <w:pPr>
        <w:pStyle w:val="Ruller41"/>
        <w:rPr>
          <w:rtl/>
        </w:rPr>
      </w:pPr>
    </w:p>
    <w:p w:rsidR="00737972" w:rsidRDefault="00737972" w:rsidP="00737972">
      <w:pPr>
        <w:pStyle w:val="Ruller4"/>
      </w:pPr>
      <w:r>
        <w:rPr>
          <w:rFonts w:hint="cs"/>
          <w:rtl/>
        </w:rPr>
        <w:t xml:space="preserve">אוסיף בשולי דיון זה כי הניסיון לתלות את תחילתו של המהלך </w:t>
      </w:r>
      <w:r>
        <w:rPr>
          <w:rtl/>
        </w:rPr>
        <w:t>–</w:t>
      </w:r>
      <w:r>
        <w:rPr>
          <w:rFonts w:hint="cs"/>
          <w:rtl/>
        </w:rPr>
        <w:t xml:space="preserve"> ההכרה בסמכותו של בית המשפט לבקר חוקי יסוד </w:t>
      </w:r>
      <w:r>
        <w:rPr>
          <w:rtl/>
        </w:rPr>
        <w:t>–</w:t>
      </w:r>
      <w:r>
        <w:rPr>
          <w:rFonts w:hint="cs"/>
          <w:rtl/>
        </w:rPr>
        <w:t xml:space="preserve"> בהערת אגב שהושארה בצריך עיון בעניין </w:t>
      </w:r>
      <w:r w:rsidRPr="00F3416F">
        <w:rPr>
          <w:rFonts w:ascii="Century" w:hAnsi="Century" w:cs="Miriam" w:hint="cs"/>
          <w:b/>
          <w:spacing w:val="0"/>
          <w:sz w:val="22"/>
          <w:szCs w:val="24"/>
          <w:rtl/>
        </w:rPr>
        <w:t>בנק המזרחי</w:t>
      </w:r>
      <w:r>
        <w:rPr>
          <w:rFonts w:hint="cs"/>
          <w:rtl/>
        </w:rPr>
        <w:t xml:space="preserve">, הינו גם כן מוקשה ביותר. כפי שפורט לעיל, </w:t>
      </w:r>
      <w:r>
        <w:rPr>
          <w:rFonts w:ascii="FrankRuehl" w:hAnsi="FrankRuehl" w:hint="cs"/>
          <w:color w:val="000000"/>
          <w:sz w:val="28"/>
          <w:rtl/>
        </w:rPr>
        <w:t>ה</w:t>
      </w:r>
      <w:r>
        <w:rPr>
          <w:rFonts w:ascii="FrankRuehl" w:hAnsi="FrankRuehl"/>
          <w:color w:val="000000"/>
          <w:sz w:val="28"/>
          <w:rtl/>
        </w:rPr>
        <w:t xml:space="preserve">מבחן </w:t>
      </w:r>
      <w:r>
        <w:rPr>
          <w:rFonts w:ascii="FrankRuehl" w:hAnsi="FrankRuehl" w:hint="cs"/>
          <w:color w:val="000000"/>
          <w:sz w:val="28"/>
          <w:rtl/>
        </w:rPr>
        <w:t>ה</w:t>
      </w:r>
      <w:r>
        <w:rPr>
          <w:rFonts w:ascii="FrankRuehl" w:hAnsi="FrankRuehl"/>
          <w:color w:val="000000"/>
          <w:sz w:val="28"/>
          <w:rtl/>
        </w:rPr>
        <w:t xml:space="preserve">צורני </w:t>
      </w:r>
      <w:r>
        <w:rPr>
          <w:rFonts w:ascii="FrankRuehl" w:hAnsi="FrankRuehl" w:hint="cs"/>
          <w:color w:val="000000"/>
          <w:sz w:val="28"/>
          <w:rtl/>
        </w:rPr>
        <w:t xml:space="preserve">שנקבע באותו עניין </w:t>
      </w:r>
      <w:r>
        <w:rPr>
          <w:rFonts w:ascii="FrankRuehl" w:hAnsi="FrankRuehl"/>
          <w:color w:val="000000"/>
          <w:sz w:val="28"/>
          <w:rtl/>
        </w:rPr>
        <w:t xml:space="preserve">לזיהוי </w:t>
      </w:r>
      <w:r>
        <w:rPr>
          <w:rFonts w:ascii="FrankRuehl" w:hAnsi="FrankRuehl" w:hint="cs"/>
          <w:color w:val="000000"/>
          <w:sz w:val="28"/>
          <w:rtl/>
        </w:rPr>
        <w:t>נורמות חוקתיות, הוא זה שעמד בבסיס "תורת הסמכות המכוננת" מכוחה סבר בית משפט זה כי בסמכותו להפעיל ביקורת שיפוטית על חוקים (שם, עמ' 403).</w:t>
      </w:r>
      <w:r>
        <w:rPr>
          <w:rFonts w:hint="cs"/>
          <w:rtl/>
        </w:rPr>
        <w:t xml:space="preserve"> העובדה שנשאלה כבר באותה עת השאלה האם ניתן לעשות שימוש לרעה בדיבור "חוק יסוד", אין בה כדי להוכיח דבר. כפי שצוין שם, "שאלה זו איננה פשוטה כלל ועיקר, והתשובה לה יורדת לשורשי היחסים בין הסמכות המכוננת (של הכנסת) לבין הסמכות השופטת (של בתי המשפט)" (שם, עמ' 406). מדובר אפוא בשאלה כבדה, מורכבת ומסובכת הנוגעת לעומק חלוקת הסמכויות שבין הרשות המחוקקת-מכוננת לבין הרשות השופטת, אשר לה השלכות עמוקות על עיקרון הפרדת הרשויות. </w:t>
      </w:r>
    </w:p>
    <w:p w:rsidR="00737972" w:rsidRDefault="00737972" w:rsidP="00737972">
      <w:pPr>
        <w:pStyle w:val="Ruller4"/>
        <w:numPr>
          <w:ilvl w:val="0"/>
          <w:numId w:val="0"/>
        </w:numPr>
      </w:pPr>
    </w:p>
    <w:p w:rsidR="00737972" w:rsidRPr="00E119EB" w:rsidRDefault="00737972" w:rsidP="00737972">
      <w:pPr>
        <w:pStyle w:val="Ruller4"/>
        <w:rPr>
          <w:rtl/>
        </w:rPr>
      </w:pPr>
      <w:r>
        <w:rPr>
          <w:rFonts w:hint="cs"/>
          <w:rtl/>
        </w:rPr>
        <w:t xml:space="preserve">ה"מחירים" של הבחירה במבחן הצורני לזיהוי נורמה חוקתית היו ברורים לכל, ובהם בעיקר כי על פי מבחן זה לא נערכת "ועדת קבלה" לנורמה חוקתית לצורך זיהויה ככזו. הנחת היסוד הייתה כי </w:t>
      </w:r>
      <w:r w:rsidRPr="00517FEE">
        <w:rPr>
          <w:rtl/>
        </w:rPr>
        <w:t>"</w:t>
      </w:r>
      <w:r w:rsidRPr="00517FEE">
        <w:rPr>
          <w:rFonts w:hint="eastAsia"/>
          <w:rtl/>
        </w:rPr>
        <w:t>הדוגל</w:t>
      </w:r>
      <w:r w:rsidRPr="00517FEE">
        <w:rPr>
          <w:rtl/>
        </w:rPr>
        <w:t xml:space="preserve"> </w:t>
      </w:r>
      <w:r w:rsidRPr="00517FEE">
        <w:rPr>
          <w:rFonts w:hint="eastAsia"/>
          <w:rtl/>
        </w:rPr>
        <w:t>בסמכות</w:t>
      </w:r>
      <w:r w:rsidRPr="00517FEE">
        <w:rPr>
          <w:rtl/>
        </w:rPr>
        <w:t xml:space="preserve"> </w:t>
      </w:r>
      <w:r w:rsidRPr="00517FEE">
        <w:rPr>
          <w:rFonts w:hint="eastAsia"/>
          <w:rtl/>
        </w:rPr>
        <w:t>מכוננת</w:t>
      </w:r>
      <w:r w:rsidRPr="00517FEE">
        <w:rPr>
          <w:rtl/>
        </w:rPr>
        <w:t xml:space="preserve"> </w:t>
      </w:r>
      <w:r w:rsidRPr="00517FEE">
        <w:rPr>
          <w:rFonts w:hint="eastAsia"/>
          <w:rtl/>
        </w:rPr>
        <w:t>כמקור</w:t>
      </w:r>
      <w:r w:rsidRPr="00517FEE">
        <w:rPr>
          <w:rtl/>
        </w:rPr>
        <w:t xml:space="preserve"> </w:t>
      </w:r>
      <w:r w:rsidRPr="00517FEE">
        <w:rPr>
          <w:rFonts w:hint="eastAsia"/>
          <w:rtl/>
        </w:rPr>
        <w:t>סמכות</w:t>
      </w:r>
      <w:r w:rsidRPr="00517FEE">
        <w:rPr>
          <w:rtl/>
        </w:rPr>
        <w:t xml:space="preserve"> </w:t>
      </w:r>
      <w:r w:rsidRPr="00517FEE">
        <w:rPr>
          <w:rFonts w:hint="eastAsia"/>
          <w:rtl/>
        </w:rPr>
        <w:t>לחקיקתם</w:t>
      </w:r>
      <w:r w:rsidRPr="00517FEE">
        <w:rPr>
          <w:rtl/>
        </w:rPr>
        <w:t xml:space="preserve"> </w:t>
      </w:r>
      <w:r w:rsidRPr="00517FEE">
        <w:rPr>
          <w:rFonts w:hint="eastAsia"/>
          <w:rtl/>
        </w:rPr>
        <w:t>של</w:t>
      </w:r>
      <w:r w:rsidRPr="00517FEE">
        <w:rPr>
          <w:rtl/>
        </w:rPr>
        <w:t xml:space="preserve"> </w:t>
      </w:r>
      <w:r w:rsidRPr="00517FEE">
        <w:rPr>
          <w:rFonts w:hint="eastAsia"/>
          <w:rtl/>
        </w:rPr>
        <w:t>חוקי</w:t>
      </w:r>
      <w:r w:rsidRPr="00517FEE">
        <w:rPr>
          <w:rtl/>
        </w:rPr>
        <w:t>-</w:t>
      </w:r>
      <w:r w:rsidRPr="00517FEE">
        <w:rPr>
          <w:rFonts w:hint="eastAsia"/>
          <w:rtl/>
        </w:rPr>
        <w:t>יסוד</w:t>
      </w:r>
      <w:r w:rsidRPr="00517FEE">
        <w:rPr>
          <w:rtl/>
        </w:rPr>
        <w:t xml:space="preserve"> </w:t>
      </w:r>
      <w:r w:rsidRPr="00517FEE">
        <w:rPr>
          <w:rFonts w:hint="eastAsia"/>
          <w:rtl/>
        </w:rPr>
        <w:t>חייב</w:t>
      </w:r>
      <w:r w:rsidRPr="00517FEE">
        <w:rPr>
          <w:rtl/>
        </w:rPr>
        <w:t xml:space="preserve"> </w:t>
      </w:r>
      <w:r w:rsidRPr="00517FEE">
        <w:rPr>
          <w:rFonts w:hint="eastAsia"/>
          <w:rtl/>
        </w:rPr>
        <w:t>גם</w:t>
      </w:r>
      <w:r w:rsidRPr="00517FEE">
        <w:rPr>
          <w:rtl/>
        </w:rPr>
        <w:t xml:space="preserve"> </w:t>
      </w:r>
      <w:r w:rsidRPr="00517FEE">
        <w:rPr>
          <w:rFonts w:hint="eastAsia"/>
          <w:rtl/>
        </w:rPr>
        <w:t>לדגול</w:t>
      </w:r>
      <w:r w:rsidRPr="00517FEE">
        <w:rPr>
          <w:rtl/>
        </w:rPr>
        <w:t xml:space="preserve"> </w:t>
      </w:r>
      <w:r w:rsidRPr="00517FEE">
        <w:rPr>
          <w:rFonts w:hint="eastAsia"/>
          <w:rtl/>
        </w:rPr>
        <w:t>בגישה</w:t>
      </w:r>
      <w:r w:rsidRPr="00517FEE">
        <w:rPr>
          <w:rtl/>
        </w:rPr>
        <w:t xml:space="preserve"> </w:t>
      </w:r>
      <w:r w:rsidRPr="00517FEE">
        <w:rPr>
          <w:rFonts w:hint="eastAsia"/>
          <w:rtl/>
        </w:rPr>
        <w:t>פורמלית</w:t>
      </w:r>
      <w:r w:rsidRPr="00517FEE">
        <w:rPr>
          <w:rtl/>
        </w:rPr>
        <w:t xml:space="preserve"> </w:t>
      </w:r>
      <w:r w:rsidRPr="00517FEE">
        <w:rPr>
          <w:rFonts w:hint="eastAsia"/>
          <w:rtl/>
        </w:rPr>
        <w:t>או</w:t>
      </w:r>
      <w:r w:rsidRPr="00517FEE">
        <w:rPr>
          <w:rtl/>
        </w:rPr>
        <w:t xml:space="preserve"> </w:t>
      </w:r>
      <w:r w:rsidRPr="00517FEE">
        <w:rPr>
          <w:rFonts w:hint="eastAsia"/>
          <w:rtl/>
        </w:rPr>
        <w:t>פורמליסטית</w:t>
      </w:r>
      <w:r w:rsidRPr="00517FEE">
        <w:rPr>
          <w:rtl/>
        </w:rPr>
        <w:t xml:space="preserve"> </w:t>
      </w:r>
      <w:r w:rsidRPr="00517FEE">
        <w:rPr>
          <w:rFonts w:hint="eastAsia"/>
          <w:rtl/>
        </w:rPr>
        <w:t>לגבי</w:t>
      </w:r>
      <w:r w:rsidRPr="00517FEE">
        <w:rPr>
          <w:rtl/>
        </w:rPr>
        <w:t xml:space="preserve"> </w:t>
      </w:r>
      <w:r w:rsidRPr="00517FEE">
        <w:rPr>
          <w:rFonts w:hint="eastAsia"/>
          <w:rtl/>
        </w:rPr>
        <w:t>אמצעי</w:t>
      </w:r>
      <w:r w:rsidRPr="00517FEE">
        <w:rPr>
          <w:rtl/>
        </w:rPr>
        <w:t xml:space="preserve"> </w:t>
      </w:r>
      <w:r w:rsidRPr="00517FEE">
        <w:rPr>
          <w:rFonts w:hint="eastAsia"/>
          <w:rtl/>
        </w:rPr>
        <w:t>הזיהוי</w:t>
      </w:r>
      <w:r w:rsidRPr="00517FEE">
        <w:rPr>
          <w:rtl/>
        </w:rPr>
        <w:t xml:space="preserve"> </w:t>
      </w:r>
      <w:r w:rsidRPr="00517FEE">
        <w:rPr>
          <w:rFonts w:hint="eastAsia"/>
          <w:rtl/>
        </w:rPr>
        <w:t>של</w:t>
      </w:r>
      <w:r w:rsidRPr="00517FEE">
        <w:rPr>
          <w:rtl/>
        </w:rPr>
        <w:t xml:space="preserve"> </w:t>
      </w:r>
      <w:r w:rsidRPr="00517FEE">
        <w:rPr>
          <w:rFonts w:hint="eastAsia"/>
          <w:rtl/>
        </w:rPr>
        <w:t>הנורמות</w:t>
      </w:r>
      <w:r w:rsidRPr="00517FEE">
        <w:rPr>
          <w:rtl/>
        </w:rPr>
        <w:t xml:space="preserve"> </w:t>
      </w:r>
      <w:r w:rsidRPr="00517FEE">
        <w:rPr>
          <w:rFonts w:hint="eastAsia"/>
          <w:rtl/>
        </w:rPr>
        <w:t>הנהנות</w:t>
      </w:r>
      <w:r w:rsidRPr="00517FEE">
        <w:rPr>
          <w:rtl/>
        </w:rPr>
        <w:t xml:space="preserve"> </w:t>
      </w:r>
      <w:r w:rsidRPr="00517FEE">
        <w:rPr>
          <w:rFonts w:hint="eastAsia"/>
          <w:rtl/>
        </w:rPr>
        <w:t>מעליונות</w:t>
      </w:r>
      <w:r w:rsidRPr="00517FEE">
        <w:rPr>
          <w:rtl/>
        </w:rPr>
        <w:t xml:space="preserve"> </w:t>
      </w:r>
      <w:r w:rsidRPr="00517FEE">
        <w:rPr>
          <w:rFonts w:hint="eastAsia"/>
          <w:rtl/>
        </w:rPr>
        <w:t>נורמטיבית</w:t>
      </w:r>
      <w:r w:rsidRPr="00517FEE">
        <w:rPr>
          <w:rtl/>
        </w:rPr>
        <w:t>" (</w:t>
      </w:r>
      <w:r w:rsidRPr="00517FEE">
        <w:rPr>
          <w:rFonts w:hint="eastAsia"/>
          <w:rtl/>
        </w:rPr>
        <w:t>קלוד</w:t>
      </w:r>
      <w:r w:rsidRPr="00517FEE">
        <w:rPr>
          <w:rtl/>
        </w:rPr>
        <w:t xml:space="preserve"> </w:t>
      </w:r>
      <w:r w:rsidRPr="00517FEE">
        <w:rPr>
          <w:rFonts w:hint="eastAsia"/>
          <w:rtl/>
        </w:rPr>
        <w:t>קליין</w:t>
      </w:r>
      <w:r w:rsidRPr="00517FEE">
        <w:rPr>
          <w:rtl/>
        </w:rPr>
        <w:t xml:space="preserve"> "</w:t>
      </w:r>
      <w:r w:rsidRPr="00517FEE">
        <w:rPr>
          <w:rFonts w:hint="eastAsia"/>
          <w:rtl/>
        </w:rPr>
        <w:t>בעקבות</w:t>
      </w:r>
      <w:r w:rsidRPr="00517FEE">
        <w:rPr>
          <w:rtl/>
        </w:rPr>
        <w:t xml:space="preserve"> </w:t>
      </w:r>
      <w:r w:rsidRPr="00517FEE">
        <w:rPr>
          <w:rFonts w:hint="eastAsia"/>
          <w:rtl/>
        </w:rPr>
        <w:t>פסק</w:t>
      </w:r>
      <w:r w:rsidRPr="00517FEE">
        <w:rPr>
          <w:rtl/>
        </w:rPr>
        <w:t>-</w:t>
      </w:r>
      <w:r w:rsidRPr="00517FEE">
        <w:rPr>
          <w:rFonts w:hint="eastAsia"/>
          <w:rtl/>
        </w:rPr>
        <w:t>הדין</w:t>
      </w:r>
      <w:r w:rsidRPr="00517FEE">
        <w:rPr>
          <w:rtl/>
        </w:rPr>
        <w:t xml:space="preserve"> </w:t>
      </w:r>
      <w:r w:rsidRPr="00517FEE">
        <w:rPr>
          <w:rFonts w:hint="eastAsia"/>
          <w:rtl/>
        </w:rPr>
        <w:t>בנק</w:t>
      </w:r>
      <w:r w:rsidRPr="00517FEE">
        <w:rPr>
          <w:rtl/>
        </w:rPr>
        <w:t xml:space="preserve"> </w:t>
      </w:r>
      <w:r w:rsidRPr="00517FEE">
        <w:rPr>
          <w:rFonts w:hint="eastAsia"/>
          <w:rtl/>
        </w:rPr>
        <w:t>המזרחי</w:t>
      </w:r>
      <w:r>
        <w:rPr>
          <w:rtl/>
        </w:rPr>
        <w:t xml:space="preserve"> </w:t>
      </w:r>
      <w:r w:rsidRPr="00517FEE">
        <w:rPr>
          <w:rtl/>
        </w:rPr>
        <w:t xml:space="preserve">– </w:t>
      </w:r>
      <w:r w:rsidRPr="00517FEE">
        <w:rPr>
          <w:rFonts w:hint="eastAsia"/>
          <w:rtl/>
        </w:rPr>
        <w:t>הסמכות</w:t>
      </w:r>
      <w:r w:rsidRPr="00517FEE">
        <w:rPr>
          <w:rtl/>
        </w:rPr>
        <w:t xml:space="preserve"> </w:t>
      </w:r>
      <w:r w:rsidRPr="00517FEE">
        <w:rPr>
          <w:rFonts w:hint="eastAsia"/>
          <w:rtl/>
        </w:rPr>
        <w:t>המכוננת</w:t>
      </w:r>
      <w:r w:rsidRPr="00517FEE">
        <w:rPr>
          <w:rtl/>
        </w:rPr>
        <w:t xml:space="preserve"> </w:t>
      </w:r>
      <w:r w:rsidRPr="00517FEE">
        <w:rPr>
          <w:rFonts w:hint="eastAsia"/>
          <w:rtl/>
        </w:rPr>
        <w:t>בראי</w:t>
      </w:r>
      <w:r w:rsidRPr="00517FEE">
        <w:rPr>
          <w:rtl/>
        </w:rPr>
        <w:t xml:space="preserve"> </w:t>
      </w:r>
      <w:r w:rsidRPr="00517FEE">
        <w:rPr>
          <w:rFonts w:hint="eastAsia"/>
          <w:rtl/>
        </w:rPr>
        <w:t>בית</w:t>
      </w:r>
      <w:r w:rsidRPr="00517FEE">
        <w:rPr>
          <w:rtl/>
        </w:rPr>
        <w:t>-</w:t>
      </w:r>
      <w:r w:rsidRPr="00517FEE">
        <w:rPr>
          <w:rFonts w:hint="eastAsia"/>
          <w:rtl/>
        </w:rPr>
        <w:t>המשפט</w:t>
      </w:r>
      <w:r w:rsidRPr="00517FEE">
        <w:rPr>
          <w:rtl/>
        </w:rPr>
        <w:t xml:space="preserve"> </w:t>
      </w:r>
      <w:r w:rsidRPr="00517FEE">
        <w:rPr>
          <w:rFonts w:hint="eastAsia"/>
          <w:rtl/>
        </w:rPr>
        <w:t>העליון</w:t>
      </w:r>
      <w:r w:rsidRPr="00517FEE">
        <w:rPr>
          <w:rtl/>
        </w:rPr>
        <w:t xml:space="preserve">" </w:t>
      </w:r>
      <w:r w:rsidRPr="00E119EB">
        <w:rPr>
          <w:rFonts w:ascii="Century" w:hAnsi="Century" w:cs="Miriam" w:hint="eastAsia"/>
          <w:b/>
          <w:spacing w:val="0"/>
          <w:szCs w:val="24"/>
          <w:rtl/>
        </w:rPr>
        <w:t>משפטים</w:t>
      </w:r>
      <w:r w:rsidRPr="00517FEE">
        <w:rPr>
          <w:rtl/>
        </w:rPr>
        <w:t xml:space="preserve"> </w:t>
      </w:r>
      <w:r w:rsidRPr="00517FEE">
        <w:rPr>
          <w:rFonts w:hint="eastAsia"/>
          <w:rtl/>
        </w:rPr>
        <w:t>כח</w:t>
      </w:r>
      <w:r w:rsidRPr="00517FEE">
        <w:rPr>
          <w:rtl/>
        </w:rPr>
        <w:t xml:space="preserve"> 341, 353 (</w:t>
      </w:r>
      <w:r>
        <w:rPr>
          <w:rFonts w:hint="cs"/>
          <w:rtl/>
        </w:rPr>
        <w:t>1997</w:t>
      </w:r>
      <w:r w:rsidRPr="00517FEE">
        <w:rPr>
          <w:rtl/>
        </w:rPr>
        <w:t>)).</w:t>
      </w:r>
      <w:r>
        <w:rPr>
          <w:rFonts w:hint="cs"/>
          <w:rtl/>
        </w:rPr>
        <w:t xml:space="preserve"> גישה כזו מחייבת נקודת מוצא לפיה אין זה מתפקידו של </w:t>
      </w:r>
      <w:r w:rsidRPr="00E119EB">
        <w:rPr>
          <w:rFonts w:ascii="Century" w:hAnsi="Century" w:cs="Miriam" w:hint="cs"/>
          <w:b/>
          <w:spacing w:val="0"/>
          <w:szCs w:val="24"/>
          <w:rtl/>
        </w:rPr>
        <w:t>בית המשפט</w:t>
      </w:r>
      <w:r w:rsidRPr="001F035F">
        <w:rPr>
          <w:rFonts w:hint="cs"/>
          <w:rtl/>
        </w:rPr>
        <w:t xml:space="preserve"> לקבוע אם דבר חקיקה מתאים </w:t>
      </w:r>
      <w:r w:rsidRPr="001F035F">
        <w:rPr>
          <w:rFonts w:hint="cs"/>
          <w:rtl/>
        </w:rPr>
        <w:lastRenderedPageBreak/>
        <w:t xml:space="preserve">מבחינת תוכנו להיכלל בחוקה וכי זהו תפקידו של המחוקק-המכונן (וראו גם: </w:t>
      </w:r>
      <w:r w:rsidRPr="001F035F">
        <w:rPr>
          <w:rFonts w:hint="eastAsia"/>
          <w:rtl/>
        </w:rPr>
        <w:t>בג</w:t>
      </w:r>
      <w:r w:rsidRPr="001F035F">
        <w:rPr>
          <w:rFonts w:hint="cs"/>
          <w:rtl/>
        </w:rPr>
        <w:t>"</w:t>
      </w:r>
      <w:r w:rsidRPr="001F035F">
        <w:rPr>
          <w:rFonts w:hint="eastAsia"/>
          <w:rtl/>
        </w:rPr>
        <w:t>ץ</w:t>
      </w:r>
      <w:r>
        <w:rPr>
          <w:rtl/>
        </w:rPr>
        <w:t xml:space="preserve"> 4908/10</w:t>
      </w:r>
      <w:r w:rsidRPr="00E119EB">
        <w:rPr>
          <w:rFonts w:ascii="Century" w:hAnsi="Century" w:cs="Miriam"/>
          <w:b/>
          <w:spacing w:val="0"/>
          <w:szCs w:val="24"/>
          <w:rtl/>
        </w:rPr>
        <w:t xml:space="preserve"> </w:t>
      </w:r>
      <w:r w:rsidRPr="00E119EB">
        <w:rPr>
          <w:rFonts w:ascii="Century" w:hAnsi="Century" w:cs="Miriam" w:hint="eastAsia"/>
          <w:b/>
          <w:spacing w:val="0"/>
          <w:szCs w:val="24"/>
          <w:rtl/>
        </w:rPr>
        <w:t>בר</w:t>
      </w:r>
      <w:r w:rsidRPr="00E119EB">
        <w:rPr>
          <w:rFonts w:ascii="Century" w:hAnsi="Century" w:cs="Miriam"/>
          <w:b/>
          <w:spacing w:val="0"/>
          <w:szCs w:val="24"/>
          <w:rtl/>
        </w:rPr>
        <w:t>-</w:t>
      </w:r>
      <w:r w:rsidRPr="00E119EB">
        <w:rPr>
          <w:rFonts w:ascii="Century" w:hAnsi="Century" w:cs="Miriam" w:hint="eastAsia"/>
          <w:b/>
          <w:spacing w:val="0"/>
          <w:szCs w:val="24"/>
          <w:rtl/>
        </w:rPr>
        <w:t>און</w:t>
      </w:r>
      <w:r w:rsidRPr="00E119EB">
        <w:rPr>
          <w:rFonts w:ascii="Century" w:hAnsi="Century" w:cs="Miriam"/>
          <w:b/>
          <w:spacing w:val="0"/>
          <w:szCs w:val="24"/>
          <w:rtl/>
        </w:rPr>
        <w:t xml:space="preserve"> </w:t>
      </w:r>
      <w:r w:rsidRPr="00E119EB">
        <w:rPr>
          <w:rFonts w:ascii="Century" w:hAnsi="Century" w:cs="Miriam" w:hint="eastAsia"/>
          <w:b/>
          <w:spacing w:val="0"/>
          <w:szCs w:val="24"/>
          <w:rtl/>
        </w:rPr>
        <w:t>נ</w:t>
      </w:r>
      <w:r w:rsidRPr="00E119EB">
        <w:rPr>
          <w:rFonts w:ascii="Century" w:hAnsi="Century" w:cs="Miriam"/>
          <w:b/>
          <w:spacing w:val="0"/>
          <w:szCs w:val="24"/>
          <w:rtl/>
        </w:rPr>
        <w:t xml:space="preserve">' </w:t>
      </w:r>
      <w:r w:rsidRPr="00E119EB">
        <w:rPr>
          <w:rFonts w:ascii="Century" w:hAnsi="Century" w:cs="Miriam" w:hint="eastAsia"/>
          <w:b/>
          <w:spacing w:val="0"/>
          <w:szCs w:val="24"/>
          <w:rtl/>
        </w:rPr>
        <w:t>כנסת</w:t>
      </w:r>
      <w:r w:rsidRPr="00E119EB">
        <w:rPr>
          <w:rFonts w:ascii="Century" w:hAnsi="Century" w:cs="Miriam"/>
          <w:b/>
          <w:spacing w:val="0"/>
          <w:szCs w:val="24"/>
          <w:rtl/>
        </w:rPr>
        <w:t xml:space="preserve"> </w:t>
      </w:r>
      <w:r w:rsidRPr="00E119EB">
        <w:rPr>
          <w:rFonts w:ascii="Century" w:hAnsi="Century" w:cs="Miriam" w:hint="eastAsia"/>
          <w:b/>
          <w:spacing w:val="0"/>
          <w:szCs w:val="24"/>
          <w:rtl/>
        </w:rPr>
        <w:t>ישראל</w:t>
      </w:r>
      <w:r w:rsidRPr="001F035F">
        <w:rPr>
          <w:rtl/>
        </w:rPr>
        <w:t xml:space="preserve">, </w:t>
      </w:r>
      <w:r w:rsidRPr="001F035F">
        <w:rPr>
          <w:rFonts w:hint="eastAsia"/>
          <w:rtl/>
        </w:rPr>
        <w:t>פ</w:t>
      </w:r>
      <w:r w:rsidRPr="001F035F">
        <w:rPr>
          <w:rFonts w:hint="cs"/>
          <w:rtl/>
        </w:rPr>
        <w:t>"</w:t>
      </w:r>
      <w:r w:rsidRPr="001F035F">
        <w:rPr>
          <w:rFonts w:hint="eastAsia"/>
          <w:rtl/>
        </w:rPr>
        <w:t>ד</w:t>
      </w:r>
      <w:r w:rsidRPr="001F035F">
        <w:rPr>
          <w:rtl/>
        </w:rPr>
        <w:t xml:space="preserve"> </w:t>
      </w:r>
      <w:r w:rsidRPr="001F035F">
        <w:rPr>
          <w:rFonts w:hint="eastAsia"/>
          <w:rtl/>
        </w:rPr>
        <w:t>סד</w:t>
      </w:r>
      <w:r w:rsidRPr="001F035F">
        <w:rPr>
          <w:rtl/>
        </w:rPr>
        <w:t>(3) 275</w:t>
      </w:r>
      <w:r w:rsidRPr="001F035F">
        <w:rPr>
          <w:rFonts w:hint="cs"/>
          <w:rtl/>
        </w:rPr>
        <w:t>, 294-293 (2011)). הגוף שבידו הסמכות המכוננת ה</w:t>
      </w:r>
      <w:r>
        <w:rPr>
          <w:rFonts w:hint="cs"/>
          <w:rtl/>
        </w:rPr>
        <w:t>וא בעל הסמכות לקבוע את "כללי המשחק" של השיטה המשפטית הבאים לידי ביטוי בצורת "חוקה" (</w:t>
      </w:r>
      <w:r w:rsidRPr="00C71BEE">
        <w:rPr>
          <w:rFonts w:ascii="Century" w:hAnsi="Century" w:cs="Miriam" w:hint="cs"/>
          <w:b/>
          <w:spacing w:val="0"/>
          <w:sz w:val="22"/>
          <w:szCs w:val="24"/>
          <w:rtl/>
        </w:rPr>
        <w:t>רובינשטיין ומדינה</w:t>
      </w:r>
      <w:r>
        <w:rPr>
          <w:rFonts w:ascii="Century" w:hAnsi="Century" w:cs="Miriam" w:hint="cs"/>
          <w:b/>
          <w:spacing w:val="0"/>
          <w:sz w:val="22"/>
          <w:szCs w:val="24"/>
          <w:rtl/>
        </w:rPr>
        <w:t>, החוקה של מדינת ישראל</w:t>
      </w:r>
      <w:r>
        <w:rPr>
          <w:rFonts w:hint="cs"/>
          <w:rtl/>
        </w:rPr>
        <w:t xml:space="preserve">, עמ' </w:t>
      </w:r>
      <w:r w:rsidRPr="00A57B57">
        <w:rPr>
          <w:rtl/>
        </w:rPr>
        <w:t>296 (2003)</w:t>
      </w:r>
      <w:r>
        <w:rPr>
          <w:rFonts w:hint="cs"/>
          <w:rtl/>
        </w:rPr>
        <w:t xml:space="preserve">). וכפי שהתבטא בהקשר זה השופט </w:t>
      </w:r>
      <w:r w:rsidRPr="00E119EB">
        <w:rPr>
          <w:rFonts w:ascii="Century" w:hAnsi="Century" w:cs="Miriam" w:hint="cs"/>
          <w:b/>
          <w:spacing w:val="0"/>
          <w:szCs w:val="24"/>
          <w:rtl/>
        </w:rPr>
        <w:t>ברק</w:t>
      </w:r>
      <w:r>
        <w:rPr>
          <w:rFonts w:hint="cs"/>
          <w:rtl/>
        </w:rPr>
        <w:t>: "</w:t>
      </w:r>
      <w:r>
        <w:rPr>
          <w:rFonts w:hint="eastAsia"/>
          <w:rtl/>
        </w:rPr>
        <w:t>אין</w:t>
      </w:r>
      <w:r>
        <w:rPr>
          <w:rtl/>
        </w:rPr>
        <w:t xml:space="preserve"> </w:t>
      </w:r>
      <w:r>
        <w:rPr>
          <w:rFonts w:hint="eastAsia"/>
          <w:rtl/>
        </w:rPr>
        <w:t>זה</w:t>
      </w:r>
      <w:r>
        <w:rPr>
          <w:rtl/>
        </w:rPr>
        <w:t xml:space="preserve"> </w:t>
      </w:r>
      <w:r>
        <w:rPr>
          <w:rFonts w:hint="eastAsia"/>
          <w:rtl/>
        </w:rPr>
        <w:t>ראוי</w:t>
      </w:r>
      <w:r>
        <w:rPr>
          <w:rtl/>
        </w:rPr>
        <w:t xml:space="preserve"> </w:t>
      </w:r>
      <w:r>
        <w:rPr>
          <w:rFonts w:hint="eastAsia"/>
          <w:rtl/>
        </w:rPr>
        <w:t>ליצור</w:t>
      </w:r>
      <w:r>
        <w:rPr>
          <w:rtl/>
        </w:rPr>
        <w:t xml:space="preserve"> </w:t>
      </w:r>
      <w:r>
        <w:rPr>
          <w:rFonts w:hint="eastAsia"/>
          <w:rtl/>
        </w:rPr>
        <w:t>חוסר</w:t>
      </w:r>
      <w:r>
        <w:rPr>
          <w:rtl/>
        </w:rPr>
        <w:t xml:space="preserve"> </w:t>
      </w:r>
      <w:r>
        <w:rPr>
          <w:rFonts w:hint="eastAsia"/>
          <w:rtl/>
        </w:rPr>
        <w:t>ודאות</w:t>
      </w:r>
      <w:r>
        <w:rPr>
          <w:rtl/>
        </w:rPr>
        <w:t xml:space="preserve"> </w:t>
      </w:r>
      <w:r>
        <w:rPr>
          <w:rFonts w:hint="eastAsia"/>
          <w:rtl/>
        </w:rPr>
        <w:t>באשר</w:t>
      </w:r>
      <w:r>
        <w:rPr>
          <w:rtl/>
        </w:rPr>
        <w:t xml:space="preserve"> </w:t>
      </w:r>
      <w:r>
        <w:rPr>
          <w:rFonts w:hint="eastAsia"/>
          <w:rtl/>
        </w:rPr>
        <w:t>לעצם</w:t>
      </w:r>
      <w:r>
        <w:rPr>
          <w:rtl/>
        </w:rPr>
        <w:t xml:space="preserve"> </w:t>
      </w:r>
      <w:r>
        <w:rPr>
          <w:rFonts w:hint="eastAsia"/>
          <w:rtl/>
        </w:rPr>
        <w:t>זיהוין</w:t>
      </w:r>
      <w:r>
        <w:rPr>
          <w:rtl/>
        </w:rPr>
        <w:t xml:space="preserve"> </w:t>
      </w:r>
      <w:r>
        <w:rPr>
          <w:rFonts w:hint="eastAsia"/>
          <w:rtl/>
        </w:rPr>
        <w:t>של</w:t>
      </w:r>
      <w:r>
        <w:rPr>
          <w:rtl/>
        </w:rPr>
        <w:t xml:space="preserve"> </w:t>
      </w:r>
      <w:r>
        <w:rPr>
          <w:rFonts w:hint="eastAsia"/>
          <w:rtl/>
        </w:rPr>
        <w:t>ההוראות</w:t>
      </w:r>
      <w:r>
        <w:rPr>
          <w:rtl/>
        </w:rPr>
        <w:t xml:space="preserve"> </w:t>
      </w:r>
      <w:r>
        <w:rPr>
          <w:rFonts w:hint="eastAsia"/>
          <w:rtl/>
        </w:rPr>
        <w:t>החוקתיות</w:t>
      </w:r>
      <w:r>
        <w:rPr>
          <w:rtl/>
        </w:rPr>
        <w:t xml:space="preserve">, </w:t>
      </w:r>
      <w:r>
        <w:rPr>
          <w:rFonts w:hint="eastAsia"/>
          <w:rtl/>
        </w:rPr>
        <w:t>ואין</w:t>
      </w:r>
      <w:r>
        <w:rPr>
          <w:rtl/>
        </w:rPr>
        <w:t xml:space="preserve"> </w:t>
      </w:r>
      <w:r>
        <w:rPr>
          <w:rFonts w:hint="eastAsia"/>
          <w:rtl/>
        </w:rPr>
        <w:t>זה</w:t>
      </w:r>
      <w:r>
        <w:rPr>
          <w:rtl/>
        </w:rPr>
        <w:t xml:space="preserve"> </w:t>
      </w:r>
      <w:r>
        <w:rPr>
          <w:rFonts w:hint="eastAsia"/>
          <w:rtl/>
        </w:rPr>
        <w:t>ראוי</w:t>
      </w:r>
      <w:r>
        <w:rPr>
          <w:rtl/>
        </w:rPr>
        <w:t xml:space="preserve"> </w:t>
      </w:r>
      <w:r>
        <w:rPr>
          <w:rFonts w:hint="eastAsia"/>
          <w:rtl/>
        </w:rPr>
        <w:t>להטיל</w:t>
      </w:r>
      <w:r>
        <w:rPr>
          <w:rtl/>
        </w:rPr>
        <w:t xml:space="preserve"> </w:t>
      </w:r>
      <w:r>
        <w:rPr>
          <w:rFonts w:hint="eastAsia"/>
          <w:rtl/>
        </w:rPr>
        <w:t>תפקיד</w:t>
      </w:r>
      <w:r>
        <w:rPr>
          <w:rtl/>
        </w:rPr>
        <w:t xml:space="preserve"> </w:t>
      </w:r>
      <w:r>
        <w:rPr>
          <w:rFonts w:hint="eastAsia"/>
          <w:rtl/>
        </w:rPr>
        <w:t>זה</w:t>
      </w:r>
      <w:r>
        <w:rPr>
          <w:rtl/>
        </w:rPr>
        <w:t xml:space="preserve"> </w:t>
      </w:r>
      <w:r>
        <w:rPr>
          <w:rFonts w:hint="eastAsia"/>
          <w:rtl/>
        </w:rPr>
        <w:t>על</w:t>
      </w:r>
      <w:r>
        <w:rPr>
          <w:rtl/>
        </w:rPr>
        <w:t xml:space="preserve"> </w:t>
      </w:r>
      <w:r>
        <w:rPr>
          <w:rFonts w:hint="eastAsia"/>
          <w:rtl/>
        </w:rPr>
        <w:t>הרשות</w:t>
      </w:r>
      <w:r>
        <w:rPr>
          <w:rtl/>
        </w:rPr>
        <w:t xml:space="preserve"> </w:t>
      </w:r>
      <w:r>
        <w:rPr>
          <w:rFonts w:hint="eastAsia"/>
          <w:rtl/>
        </w:rPr>
        <w:t>השופטת</w:t>
      </w:r>
      <w:r>
        <w:rPr>
          <w:rtl/>
        </w:rPr>
        <w:t>" (</w:t>
      </w:r>
      <w:r w:rsidRPr="00E119EB">
        <w:rPr>
          <w:rFonts w:ascii="Century" w:hAnsi="Century" w:cs="Miriam" w:hint="cs"/>
          <w:b/>
          <w:spacing w:val="0"/>
          <w:szCs w:val="24"/>
          <w:rtl/>
        </w:rPr>
        <w:t>ברק, זכויות יסוד מוגנות</w:t>
      </w:r>
      <w:r>
        <w:rPr>
          <w:rtl/>
        </w:rPr>
        <w:t xml:space="preserve">, </w:t>
      </w:r>
      <w:r>
        <w:rPr>
          <w:rFonts w:hint="cs"/>
          <w:rtl/>
        </w:rPr>
        <w:t>עמ</w:t>
      </w:r>
      <w:r w:rsidRPr="00E119EB">
        <w:rPr>
          <w:rFonts w:hint="cs"/>
          <w:rtl/>
        </w:rPr>
        <w:t xml:space="preserve">' </w:t>
      </w:r>
      <w:r w:rsidRPr="00E119EB">
        <w:rPr>
          <w:rtl/>
        </w:rPr>
        <w:t>20</w:t>
      </w:r>
      <w:r w:rsidRPr="00E119EB">
        <w:rPr>
          <w:rFonts w:hint="cs"/>
          <w:rtl/>
        </w:rPr>
        <w:t xml:space="preserve">). </w:t>
      </w:r>
      <w:r w:rsidRPr="00E119EB">
        <w:rPr>
          <w:rFonts w:hint="eastAsia"/>
          <w:rtl/>
        </w:rPr>
        <w:t>אינני</w:t>
      </w:r>
      <w:r w:rsidRPr="00E119EB">
        <w:rPr>
          <w:rtl/>
        </w:rPr>
        <w:t xml:space="preserve"> </w:t>
      </w:r>
      <w:r w:rsidRPr="00E119EB">
        <w:rPr>
          <w:rFonts w:hint="eastAsia"/>
          <w:rtl/>
        </w:rPr>
        <w:t>מתעלם</w:t>
      </w:r>
      <w:r w:rsidRPr="00E119EB">
        <w:rPr>
          <w:rtl/>
        </w:rPr>
        <w:t xml:space="preserve"> </w:t>
      </w:r>
      <w:r w:rsidRPr="00E119EB">
        <w:rPr>
          <w:rFonts w:hint="eastAsia"/>
          <w:rtl/>
        </w:rPr>
        <w:t>בהקשר</w:t>
      </w:r>
      <w:r w:rsidRPr="00E119EB">
        <w:rPr>
          <w:rtl/>
        </w:rPr>
        <w:t xml:space="preserve"> </w:t>
      </w:r>
      <w:r w:rsidRPr="00E119EB">
        <w:rPr>
          <w:rFonts w:hint="eastAsia"/>
          <w:rtl/>
        </w:rPr>
        <w:t>זה</w:t>
      </w:r>
      <w:r w:rsidRPr="00E119EB">
        <w:rPr>
          <w:rtl/>
        </w:rPr>
        <w:t xml:space="preserve"> </w:t>
      </w:r>
      <w:r w:rsidRPr="00E119EB">
        <w:rPr>
          <w:rFonts w:hint="eastAsia"/>
          <w:rtl/>
        </w:rPr>
        <w:t>מפיתוחה</w:t>
      </w:r>
      <w:r w:rsidRPr="00E119EB">
        <w:rPr>
          <w:rtl/>
        </w:rPr>
        <w:t xml:space="preserve"> </w:t>
      </w:r>
      <w:r w:rsidRPr="00E119EB">
        <w:rPr>
          <w:rFonts w:hint="eastAsia"/>
          <w:rtl/>
        </w:rPr>
        <w:t>של</w:t>
      </w:r>
      <w:r w:rsidRPr="00E119EB">
        <w:rPr>
          <w:rtl/>
        </w:rPr>
        <w:t xml:space="preserve"> </w:t>
      </w:r>
      <w:r w:rsidRPr="00E119EB">
        <w:rPr>
          <w:rFonts w:hint="eastAsia"/>
          <w:rtl/>
        </w:rPr>
        <w:t>דוקטרינת</w:t>
      </w:r>
      <w:r w:rsidRPr="00E119EB">
        <w:rPr>
          <w:rtl/>
        </w:rPr>
        <w:t xml:space="preserve"> "</w:t>
      </w:r>
      <w:r w:rsidRPr="00E119EB">
        <w:rPr>
          <w:rFonts w:hint="eastAsia"/>
          <w:rtl/>
        </w:rPr>
        <w:t>השימוש</w:t>
      </w:r>
      <w:r w:rsidRPr="00E119EB">
        <w:rPr>
          <w:rtl/>
        </w:rPr>
        <w:t xml:space="preserve"> </w:t>
      </w:r>
      <w:r w:rsidRPr="00E119EB">
        <w:rPr>
          <w:rFonts w:hint="eastAsia"/>
          <w:rtl/>
        </w:rPr>
        <w:t>לרעה</w:t>
      </w:r>
      <w:r w:rsidRPr="00E119EB">
        <w:rPr>
          <w:rtl/>
        </w:rPr>
        <w:t xml:space="preserve"> </w:t>
      </w:r>
      <w:r w:rsidRPr="00E119EB">
        <w:rPr>
          <w:rFonts w:hint="eastAsia"/>
          <w:rtl/>
        </w:rPr>
        <w:t>בסמכות</w:t>
      </w:r>
      <w:r w:rsidRPr="00E119EB">
        <w:rPr>
          <w:rtl/>
        </w:rPr>
        <w:t xml:space="preserve"> </w:t>
      </w:r>
      <w:r w:rsidRPr="00E119EB">
        <w:rPr>
          <w:rFonts w:hint="eastAsia"/>
          <w:rtl/>
        </w:rPr>
        <w:t>מכוננת</w:t>
      </w:r>
      <w:r w:rsidRPr="00E119EB">
        <w:rPr>
          <w:rtl/>
        </w:rPr>
        <w:t xml:space="preserve">" </w:t>
      </w:r>
      <w:r w:rsidRPr="00D15646">
        <w:rPr>
          <w:rFonts w:hint="eastAsia"/>
          <w:rtl/>
        </w:rPr>
        <w:t>אשר</w:t>
      </w:r>
      <w:r w:rsidRPr="00D15646">
        <w:rPr>
          <w:rtl/>
        </w:rPr>
        <w:t xml:space="preserve"> </w:t>
      </w:r>
      <w:r w:rsidRPr="00D15646">
        <w:rPr>
          <w:rFonts w:hint="eastAsia"/>
          <w:rtl/>
        </w:rPr>
        <w:t>עניינה</w:t>
      </w:r>
      <w:r w:rsidRPr="00D15646">
        <w:rPr>
          <w:rtl/>
        </w:rPr>
        <w:t xml:space="preserve"> </w:t>
      </w:r>
      <w:r w:rsidRPr="00E119EB">
        <w:rPr>
          <w:rFonts w:hint="cs"/>
          <w:rtl/>
        </w:rPr>
        <w:t xml:space="preserve">לכאורה </w:t>
      </w:r>
      <w:r w:rsidRPr="00E119EB">
        <w:rPr>
          <w:rFonts w:hint="eastAsia"/>
          <w:rtl/>
        </w:rPr>
        <w:t>בשאלה</w:t>
      </w:r>
      <w:r w:rsidRPr="00E119EB">
        <w:rPr>
          <w:rtl/>
        </w:rPr>
        <w:t xml:space="preserve"> </w:t>
      </w:r>
      <w:r w:rsidRPr="00E119EB">
        <w:rPr>
          <w:rFonts w:hint="eastAsia"/>
          <w:rtl/>
        </w:rPr>
        <w:t>אם</w:t>
      </w:r>
      <w:r w:rsidRPr="00E119EB">
        <w:rPr>
          <w:rtl/>
        </w:rPr>
        <w:t xml:space="preserve"> </w:t>
      </w:r>
      <w:r w:rsidRPr="00E119EB">
        <w:rPr>
          <w:rFonts w:hint="eastAsia"/>
          <w:rtl/>
        </w:rPr>
        <w:t>נורמה</w:t>
      </w:r>
      <w:r w:rsidRPr="00E119EB">
        <w:rPr>
          <w:rtl/>
        </w:rPr>
        <w:t xml:space="preserve"> </w:t>
      </w:r>
      <w:r w:rsidRPr="00E119EB">
        <w:rPr>
          <w:rFonts w:hint="eastAsia"/>
          <w:rtl/>
        </w:rPr>
        <w:t>מסוימת</w:t>
      </w:r>
      <w:r w:rsidRPr="00E119EB">
        <w:rPr>
          <w:rtl/>
        </w:rPr>
        <w:t xml:space="preserve"> </w:t>
      </w:r>
      <w:r w:rsidRPr="00E119EB">
        <w:rPr>
          <w:rFonts w:hint="eastAsia"/>
          <w:rtl/>
        </w:rPr>
        <w:t>מתאימה</w:t>
      </w:r>
      <w:r w:rsidRPr="00E119EB">
        <w:rPr>
          <w:rtl/>
        </w:rPr>
        <w:t xml:space="preserve"> </w:t>
      </w:r>
      <w:r w:rsidRPr="00E119EB">
        <w:rPr>
          <w:rFonts w:hint="eastAsia"/>
          <w:rtl/>
        </w:rPr>
        <w:t>להיחשב</w:t>
      </w:r>
      <w:r w:rsidRPr="00E119EB">
        <w:rPr>
          <w:rtl/>
        </w:rPr>
        <w:t xml:space="preserve"> </w:t>
      </w:r>
      <w:r w:rsidRPr="00E119EB">
        <w:rPr>
          <w:rFonts w:hint="eastAsia"/>
          <w:rtl/>
        </w:rPr>
        <w:t>כנורמה</w:t>
      </w:r>
      <w:r w:rsidRPr="00E119EB">
        <w:rPr>
          <w:rtl/>
        </w:rPr>
        <w:t xml:space="preserve"> </w:t>
      </w:r>
      <w:r w:rsidRPr="00E119EB">
        <w:rPr>
          <w:rFonts w:hint="eastAsia"/>
          <w:rtl/>
        </w:rPr>
        <w:t>חוקתית</w:t>
      </w:r>
      <w:r w:rsidRPr="00E119EB">
        <w:rPr>
          <w:rtl/>
        </w:rPr>
        <w:t xml:space="preserve"> </w:t>
      </w:r>
      <w:r w:rsidRPr="00E119EB">
        <w:rPr>
          <w:rFonts w:hint="eastAsia"/>
          <w:rtl/>
        </w:rPr>
        <w:t>מבחינת</w:t>
      </w:r>
      <w:r w:rsidRPr="00E119EB">
        <w:rPr>
          <w:rtl/>
        </w:rPr>
        <w:t xml:space="preserve"> </w:t>
      </w:r>
      <w:r w:rsidRPr="00E119EB">
        <w:rPr>
          <w:rFonts w:hint="eastAsia"/>
          <w:rtl/>
        </w:rPr>
        <w:t>מאפייניה</w:t>
      </w:r>
      <w:r w:rsidRPr="00E119EB">
        <w:rPr>
          <w:rtl/>
        </w:rPr>
        <w:t xml:space="preserve"> (</w:t>
      </w:r>
      <w:r w:rsidRPr="00E119EB">
        <w:rPr>
          <w:rFonts w:hint="eastAsia"/>
          <w:rtl/>
        </w:rPr>
        <w:t>עניין</w:t>
      </w:r>
      <w:r w:rsidRPr="00E119EB">
        <w:rPr>
          <w:rtl/>
        </w:rPr>
        <w:t xml:space="preserve"> </w:t>
      </w:r>
      <w:r w:rsidRPr="00E119EB">
        <w:rPr>
          <w:rFonts w:ascii="Century" w:hAnsi="Century" w:cs="Miriam" w:hint="eastAsia"/>
          <w:b/>
          <w:spacing w:val="0"/>
          <w:szCs w:val="24"/>
          <w:rtl/>
        </w:rPr>
        <w:t>חוק</w:t>
      </w:r>
      <w:r w:rsidRPr="00E119EB">
        <w:rPr>
          <w:rFonts w:ascii="Century" w:hAnsi="Century" w:cs="Miriam"/>
          <w:b/>
          <w:spacing w:val="0"/>
          <w:szCs w:val="24"/>
          <w:rtl/>
        </w:rPr>
        <w:t xml:space="preserve"> </w:t>
      </w:r>
      <w:r w:rsidRPr="00E119EB">
        <w:rPr>
          <w:rFonts w:ascii="Century" w:hAnsi="Century" w:cs="Miriam" w:hint="eastAsia"/>
          <w:b/>
          <w:spacing w:val="0"/>
          <w:szCs w:val="24"/>
          <w:rtl/>
        </w:rPr>
        <w:t>הלאום</w:t>
      </w:r>
      <w:r w:rsidRPr="00E119EB">
        <w:rPr>
          <w:rtl/>
        </w:rPr>
        <w:t xml:space="preserve">, </w:t>
      </w:r>
      <w:r w:rsidRPr="00E119EB">
        <w:rPr>
          <w:rFonts w:hint="eastAsia"/>
          <w:rtl/>
        </w:rPr>
        <w:t>פסקאות</w:t>
      </w:r>
      <w:r w:rsidRPr="00E119EB">
        <w:rPr>
          <w:rtl/>
        </w:rPr>
        <w:t xml:space="preserve"> 37-32 </w:t>
      </w:r>
      <w:r w:rsidRPr="00E119EB">
        <w:rPr>
          <w:rFonts w:hint="eastAsia"/>
          <w:rtl/>
        </w:rPr>
        <w:t>לחוות</w:t>
      </w:r>
      <w:r w:rsidRPr="00E119EB">
        <w:rPr>
          <w:rtl/>
        </w:rPr>
        <w:t xml:space="preserve"> </w:t>
      </w:r>
      <w:r w:rsidRPr="00E119EB">
        <w:rPr>
          <w:rFonts w:hint="eastAsia"/>
          <w:rtl/>
        </w:rPr>
        <w:t>דעתה</w:t>
      </w:r>
      <w:r w:rsidRPr="00E119EB">
        <w:rPr>
          <w:rtl/>
        </w:rPr>
        <w:t xml:space="preserve"> </w:t>
      </w:r>
      <w:r w:rsidRPr="00E119EB">
        <w:rPr>
          <w:rFonts w:hint="eastAsia"/>
          <w:rtl/>
        </w:rPr>
        <w:t>של</w:t>
      </w:r>
      <w:r w:rsidRPr="00E119EB">
        <w:rPr>
          <w:rtl/>
        </w:rPr>
        <w:t xml:space="preserve"> </w:t>
      </w:r>
      <w:r w:rsidRPr="00E119EB">
        <w:rPr>
          <w:rFonts w:hint="eastAsia"/>
          <w:rtl/>
        </w:rPr>
        <w:t>הנשיא</w:t>
      </w:r>
      <w:r>
        <w:rPr>
          <w:rFonts w:hint="cs"/>
          <w:rtl/>
        </w:rPr>
        <w:t>ה</w:t>
      </w:r>
      <w:r w:rsidRPr="00E119EB">
        <w:rPr>
          <w:rtl/>
        </w:rPr>
        <w:t xml:space="preserve"> (</w:t>
      </w:r>
      <w:r w:rsidRPr="00E119EB">
        <w:rPr>
          <w:rFonts w:hint="eastAsia"/>
          <w:rtl/>
        </w:rPr>
        <w:t>בדימ</w:t>
      </w:r>
      <w:r w:rsidRPr="00E119EB">
        <w:rPr>
          <w:rtl/>
        </w:rPr>
        <w:t xml:space="preserve">'); </w:t>
      </w:r>
      <w:r w:rsidRPr="00E119EB">
        <w:rPr>
          <w:rFonts w:hint="eastAsia"/>
          <w:rtl/>
        </w:rPr>
        <w:t>עניין</w:t>
      </w:r>
      <w:r w:rsidRPr="00E119EB">
        <w:rPr>
          <w:rtl/>
        </w:rPr>
        <w:t xml:space="preserve"> </w:t>
      </w:r>
      <w:r w:rsidRPr="00E119EB">
        <w:rPr>
          <w:rFonts w:ascii="Century" w:hAnsi="Century" w:cs="Miriam" w:hint="eastAsia"/>
          <w:b/>
          <w:spacing w:val="0"/>
          <w:szCs w:val="24"/>
          <w:rtl/>
        </w:rPr>
        <w:t>שפיר</w:t>
      </w:r>
      <w:r w:rsidRPr="00E119EB">
        <w:rPr>
          <w:rtl/>
        </w:rPr>
        <w:t xml:space="preserve">, </w:t>
      </w:r>
      <w:r w:rsidRPr="00E119EB">
        <w:rPr>
          <w:rFonts w:hint="eastAsia"/>
          <w:rtl/>
        </w:rPr>
        <w:t>פסקה</w:t>
      </w:r>
      <w:r w:rsidRPr="00E119EB">
        <w:rPr>
          <w:rtl/>
        </w:rPr>
        <w:t xml:space="preserve"> 31 </w:t>
      </w:r>
      <w:r w:rsidRPr="00E119EB">
        <w:rPr>
          <w:rFonts w:hint="eastAsia"/>
          <w:rtl/>
        </w:rPr>
        <w:t>לחוות</w:t>
      </w:r>
      <w:r w:rsidRPr="00E119EB">
        <w:rPr>
          <w:rtl/>
        </w:rPr>
        <w:t xml:space="preserve"> </w:t>
      </w:r>
      <w:r w:rsidRPr="00E119EB">
        <w:rPr>
          <w:rFonts w:hint="eastAsia"/>
          <w:rtl/>
        </w:rPr>
        <w:t>דעתה</w:t>
      </w:r>
      <w:r w:rsidRPr="00E119EB">
        <w:rPr>
          <w:rtl/>
        </w:rPr>
        <w:t xml:space="preserve"> </w:t>
      </w:r>
      <w:r w:rsidRPr="00E119EB">
        <w:rPr>
          <w:rFonts w:hint="eastAsia"/>
          <w:rtl/>
        </w:rPr>
        <w:t>של</w:t>
      </w:r>
      <w:r w:rsidRPr="00E119EB">
        <w:rPr>
          <w:rtl/>
        </w:rPr>
        <w:t xml:space="preserve"> </w:t>
      </w:r>
      <w:r w:rsidRPr="00E119EB">
        <w:rPr>
          <w:rFonts w:hint="eastAsia"/>
          <w:rtl/>
        </w:rPr>
        <w:t>הנשיאה</w:t>
      </w:r>
      <w:r w:rsidRPr="00E119EB">
        <w:rPr>
          <w:rtl/>
        </w:rPr>
        <w:t xml:space="preserve"> (</w:t>
      </w:r>
      <w:r w:rsidRPr="00E119EB">
        <w:rPr>
          <w:rFonts w:hint="eastAsia"/>
          <w:rtl/>
        </w:rPr>
        <w:t>בדימ</w:t>
      </w:r>
      <w:r w:rsidRPr="00E119EB">
        <w:rPr>
          <w:rtl/>
        </w:rPr>
        <w:t xml:space="preserve">')), </w:t>
      </w:r>
      <w:r w:rsidRPr="00E119EB">
        <w:rPr>
          <w:rFonts w:hint="eastAsia"/>
          <w:rtl/>
        </w:rPr>
        <w:t>כמעין</w:t>
      </w:r>
      <w:r w:rsidRPr="00E119EB">
        <w:rPr>
          <w:rtl/>
        </w:rPr>
        <w:t xml:space="preserve"> </w:t>
      </w:r>
      <w:r w:rsidRPr="00E119EB">
        <w:rPr>
          <w:rFonts w:hint="eastAsia"/>
          <w:rtl/>
        </w:rPr>
        <w:t>פיתוח</w:t>
      </w:r>
      <w:r w:rsidRPr="00E119EB">
        <w:rPr>
          <w:rtl/>
        </w:rPr>
        <w:t xml:space="preserve"> </w:t>
      </w:r>
      <w:r w:rsidRPr="00E119EB">
        <w:rPr>
          <w:rFonts w:hint="eastAsia"/>
          <w:rtl/>
        </w:rPr>
        <w:t>של</w:t>
      </w:r>
      <w:r w:rsidRPr="00E119EB">
        <w:rPr>
          <w:rtl/>
        </w:rPr>
        <w:t xml:space="preserve"> </w:t>
      </w:r>
      <w:r w:rsidRPr="00E119EB">
        <w:rPr>
          <w:rFonts w:hint="eastAsia"/>
          <w:rtl/>
        </w:rPr>
        <w:t>המבחן</w:t>
      </w:r>
      <w:r w:rsidRPr="00E119EB">
        <w:rPr>
          <w:rtl/>
        </w:rPr>
        <w:t xml:space="preserve"> </w:t>
      </w:r>
      <w:r w:rsidRPr="00E119EB">
        <w:rPr>
          <w:rFonts w:hint="eastAsia"/>
          <w:rtl/>
        </w:rPr>
        <w:t>הצורני</w:t>
      </w:r>
      <w:r w:rsidRPr="00E119EB">
        <w:rPr>
          <w:rtl/>
        </w:rPr>
        <w:t xml:space="preserve">. </w:t>
      </w:r>
      <w:r w:rsidRPr="00E119EB">
        <w:rPr>
          <w:rFonts w:hint="eastAsia"/>
          <w:rtl/>
        </w:rPr>
        <w:t>אולם</w:t>
      </w:r>
      <w:r w:rsidRPr="00E119EB">
        <w:rPr>
          <w:rtl/>
        </w:rPr>
        <w:t xml:space="preserve"> </w:t>
      </w:r>
      <w:r w:rsidRPr="00E119EB">
        <w:rPr>
          <w:rFonts w:hint="cs"/>
          <w:rtl/>
        </w:rPr>
        <w:t>גם דוקטרינה זו לוקה ב</w:t>
      </w:r>
      <w:r w:rsidRPr="00E119EB">
        <w:rPr>
          <w:rFonts w:hint="eastAsia"/>
          <w:rtl/>
        </w:rPr>
        <w:t>זליגה</w:t>
      </w:r>
      <w:r w:rsidRPr="00E119EB">
        <w:rPr>
          <w:rtl/>
        </w:rPr>
        <w:t xml:space="preserve"> </w:t>
      </w:r>
      <w:r w:rsidRPr="00E119EB">
        <w:rPr>
          <w:rFonts w:hint="eastAsia"/>
          <w:rtl/>
        </w:rPr>
        <w:t>קלה</w:t>
      </w:r>
      <w:r w:rsidRPr="00E119EB">
        <w:rPr>
          <w:rtl/>
        </w:rPr>
        <w:t xml:space="preserve"> </w:t>
      </w:r>
      <w:r w:rsidRPr="00E119EB">
        <w:rPr>
          <w:rFonts w:hint="eastAsia"/>
          <w:rtl/>
        </w:rPr>
        <w:t>מדי</w:t>
      </w:r>
      <w:r w:rsidRPr="00E119EB">
        <w:rPr>
          <w:rtl/>
        </w:rPr>
        <w:t xml:space="preserve"> </w:t>
      </w:r>
      <w:r w:rsidRPr="00E119EB">
        <w:rPr>
          <w:rFonts w:hint="eastAsia"/>
          <w:rtl/>
        </w:rPr>
        <w:t>אל</w:t>
      </w:r>
      <w:r w:rsidRPr="00E119EB">
        <w:rPr>
          <w:rtl/>
        </w:rPr>
        <w:t xml:space="preserve"> </w:t>
      </w:r>
      <w:r w:rsidRPr="00E119EB">
        <w:rPr>
          <w:rFonts w:hint="eastAsia"/>
          <w:rtl/>
        </w:rPr>
        <w:t>עבר</w:t>
      </w:r>
      <w:r w:rsidRPr="00E119EB">
        <w:rPr>
          <w:rtl/>
        </w:rPr>
        <w:t xml:space="preserve"> </w:t>
      </w:r>
      <w:r w:rsidRPr="00E119EB">
        <w:rPr>
          <w:rFonts w:hint="eastAsia"/>
          <w:rtl/>
        </w:rPr>
        <w:t>בחינה</w:t>
      </w:r>
      <w:r w:rsidRPr="00E119EB">
        <w:rPr>
          <w:rtl/>
        </w:rPr>
        <w:t xml:space="preserve"> </w:t>
      </w:r>
      <w:r w:rsidRPr="00E119EB">
        <w:rPr>
          <w:rFonts w:hint="eastAsia"/>
          <w:rtl/>
        </w:rPr>
        <w:t>מהותית</w:t>
      </w:r>
      <w:r w:rsidRPr="00E119EB">
        <w:rPr>
          <w:rtl/>
        </w:rPr>
        <w:t xml:space="preserve"> </w:t>
      </w:r>
      <w:r w:rsidRPr="00E119EB">
        <w:rPr>
          <w:rFonts w:hint="eastAsia"/>
          <w:rtl/>
        </w:rPr>
        <w:t>של</w:t>
      </w:r>
      <w:r w:rsidRPr="00E119EB">
        <w:rPr>
          <w:rtl/>
        </w:rPr>
        <w:t xml:space="preserve"> </w:t>
      </w:r>
      <w:r w:rsidRPr="00E119EB">
        <w:rPr>
          <w:rFonts w:hint="eastAsia"/>
          <w:rtl/>
        </w:rPr>
        <w:t>תוכנם</w:t>
      </w:r>
      <w:r w:rsidRPr="00E119EB">
        <w:rPr>
          <w:rtl/>
        </w:rPr>
        <w:t xml:space="preserve"> </w:t>
      </w:r>
      <w:r w:rsidRPr="00E119EB">
        <w:rPr>
          <w:rFonts w:hint="eastAsia"/>
          <w:rtl/>
        </w:rPr>
        <w:t>של</w:t>
      </w:r>
      <w:r w:rsidRPr="00E119EB">
        <w:rPr>
          <w:rtl/>
        </w:rPr>
        <w:t xml:space="preserve"> </w:t>
      </w:r>
      <w:r w:rsidRPr="00E119EB">
        <w:rPr>
          <w:rFonts w:hint="eastAsia"/>
          <w:rtl/>
        </w:rPr>
        <w:t>חוקי</w:t>
      </w:r>
      <w:r w:rsidRPr="00E119EB">
        <w:rPr>
          <w:rtl/>
        </w:rPr>
        <w:t xml:space="preserve"> </w:t>
      </w:r>
      <w:r w:rsidRPr="00E119EB">
        <w:rPr>
          <w:rFonts w:hint="eastAsia"/>
          <w:rtl/>
        </w:rPr>
        <w:t>היסוד</w:t>
      </w:r>
      <w:r w:rsidRPr="00E119EB">
        <w:rPr>
          <w:rtl/>
        </w:rPr>
        <w:t xml:space="preserve"> (</w:t>
      </w:r>
      <w:r w:rsidRPr="00E119EB">
        <w:rPr>
          <w:rFonts w:hint="eastAsia"/>
          <w:rtl/>
        </w:rPr>
        <w:t>עניין</w:t>
      </w:r>
      <w:r w:rsidRPr="00E119EB">
        <w:rPr>
          <w:rtl/>
        </w:rPr>
        <w:t xml:space="preserve"> </w:t>
      </w:r>
      <w:r w:rsidRPr="00E119EB">
        <w:rPr>
          <w:rFonts w:ascii="Century" w:hAnsi="Century" w:cs="Miriam" w:hint="eastAsia"/>
          <w:b/>
          <w:spacing w:val="0"/>
          <w:szCs w:val="24"/>
          <w:rtl/>
        </w:rPr>
        <w:t>שפיר</w:t>
      </w:r>
      <w:r w:rsidRPr="00E119EB">
        <w:rPr>
          <w:rtl/>
        </w:rPr>
        <w:t xml:space="preserve">, </w:t>
      </w:r>
      <w:r w:rsidRPr="00E119EB">
        <w:rPr>
          <w:rFonts w:hint="eastAsia"/>
          <w:rtl/>
        </w:rPr>
        <w:t>פסקה</w:t>
      </w:r>
      <w:r w:rsidRPr="00E119EB">
        <w:rPr>
          <w:rtl/>
        </w:rPr>
        <w:t xml:space="preserve"> 12 </w:t>
      </w:r>
      <w:r w:rsidRPr="00E119EB">
        <w:rPr>
          <w:rFonts w:hint="eastAsia"/>
          <w:rtl/>
        </w:rPr>
        <w:t>לחוות</w:t>
      </w:r>
      <w:r w:rsidRPr="00E119EB">
        <w:rPr>
          <w:rtl/>
        </w:rPr>
        <w:t xml:space="preserve"> </w:t>
      </w:r>
      <w:r w:rsidRPr="00E119EB">
        <w:rPr>
          <w:rFonts w:hint="eastAsia"/>
          <w:rtl/>
        </w:rPr>
        <w:t>דעתי</w:t>
      </w:r>
      <w:r w:rsidRPr="00E119EB">
        <w:rPr>
          <w:rtl/>
        </w:rPr>
        <w:t xml:space="preserve">; </w:t>
      </w:r>
      <w:r w:rsidRPr="00E119EB">
        <w:rPr>
          <w:rFonts w:hint="eastAsia"/>
          <w:rtl/>
        </w:rPr>
        <w:t>עניין</w:t>
      </w:r>
      <w:r w:rsidRPr="00E119EB">
        <w:rPr>
          <w:rtl/>
        </w:rPr>
        <w:t xml:space="preserve"> </w:t>
      </w:r>
      <w:r w:rsidRPr="00E119EB">
        <w:rPr>
          <w:rFonts w:ascii="Century" w:hAnsi="Century" w:cs="Miriam" w:hint="eastAsia"/>
          <w:b/>
          <w:spacing w:val="0"/>
          <w:szCs w:val="24"/>
          <w:rtl/>
        </w:rPr>
        <w:t>ממשלת</w:t>
      </w:r>
      <w:r w:rsidRPr="00E119EB">
        <w:rPr>
          <w:rFonts w:ascii="Century" w:hAnsi="Century" w:cs="Miriam"/>
          <w:b/>
          <w:spacing w:val="0"/>
          <w:szCs w:val="24"/>
          <w:rtl/>
        </w:rPr>
        <w:t xml:space="preserve"> </w:t>
      </w:r>
      <w:r w:rsidRPr="00E119EB">
        <w:rPr>
          <w:rFonts w:ascii="Century" w:hAnsi="Century" w:cs="Miriam" w:hint="eastAsia"/>
          <w:b/>
          <w:spacing w:val="0"/>
          <w:szCs w:val="24"/>
          <w:rtl/>
        </w:rPr>
        <w:t>הח</w:t>
      </w:r>
      <w:r>
        <w:rPr>
          <w:rFonts w:ascii="Century" w:hAnsi="Century" w:cs="Miriam" w:hint="cs"/>
          <w:b/>
          <w:spacing w:val="0"/>
          <w:szCs w:val="24"/>
          <w:rtl/>
        </w:rPr>
        <w:t>י</w:t>
      </w:r>
      <w:r w:rsidRPr="00E119EB">
        <w:rPr>
          <w:rFonts w:ascii="Century" w:hAnsi="Century" w:cs="Miriam" w:hint="eastAsia"/>
          <w:b/>
          <w:spacing w:val="0"/>
          <w:szCs w:val="24"/>
          <w:rtl/>
        </w:rPr>
        <w:t>לופים</w:t>
      </w:r>
      <w:r w:rsidRPr="00E119EB">
        <w:rPr>
          <w:rtl/>
        </w:rPr>
        <w:t xml:space="preserve">, </w:t>
      </w:r>
      <w:r w:rsidRPr="00E119EB">
        <w:rPr>
          <w:rFonts w:hint="eastAsia"/>
          <w:rtl/>
        </w:rPr>
        <w:t>פסקה</w:t>
      </w:r>
      <w:r w:rsidRPr="00E119EB">
        <w:rPr>
          <w:rtl/>
        </w:rPr>
        <w:t xml:space="preserve"> 15 </w:t>
      </w:r>
      <w:r w:rsidRPr="00E119EB">
        <w:rPr>
          <w:rFonts w:hint="eastAsia"/>
          <w:rtl/>
        </w:rPr>
        <w:t>לחוות</w:t>
      </w:r>
      <w:r w:rsidRPr="00E119EB">
        <w:rPr>
          <w:rtl/>
        </w:rPr>
        <w:t xml:space="preserve"> </w:t>
      </w:r>
      <w:r w:rsidRPr="00E119EB">
        <w:rPr>
          <w:rFonts w:hint="eastAsia"/>
          <w:rtl/>
        </w:rPr>
        <w:t>דעתי</w:t>
      </w:r>
      <w:r w:rsidRPr="00E119EB">
        <w:rPr>
          <w:rtl/>
        </w:rPr>
        <w:t xml:space="preserve"> (12.7.2021)) </w:t>
      </w:r>
      <w:r w:rsidRPr="00E119EB">
        <w:rPr>
          <w:rFonts w:hint="cs"/>
          <w:rtl/>
        </w:rPr>
        <w:t>ו</w:t>
      </w:r>
      <w:r w:rsidRPr="00E119EB">
        <w:rPr>
          <w:rFonts w:hint="eastAsia"/>
          <w:rtl/>
        </w:rPr>
        <w:t>אין</w:t>
      </w:r>
      <w:r w:rsidRPr="00E119EB">
        <w:rPr>
          <w:rtl/>
        </w:rPr>
        <w:t xml:space="preserve"> </w:t>
      </w:r>
      <w:r w:rsidRPr="00E119EB">
        <w:rPr>
          <w:rFonts w:hint="cs"/>
          <w:rtl/>
        </w:rPr>
        <w:t>זה ה</w:t>
      </w:r>
      <w:r w:rsidRPr="00E119EB">
        <w:rPr>
          <w:rFonts w:hint="eastAsia"/>
          <w:rtl/>
        </w:rPr>
        <w:t>מקום</w:t>
      </w:r>
      <w:r w:rsidRPr="00E119EB">
        <w:rPr>
          <w:rtl/>
        </w:rPr>
        <w:t xml:space="preserve"> </w:t>
      </w:r>
      <w:r w:rsidRPr="00E119EB">
        <w:rPr>
          <w:rFonts w:hint="eastAsia"/>
          <w:rtl/>
        </w:rPr>
        <w:t>להאריך</w:t>
      </w:r>
      <w:r w:rsidRPr="00E119EB">
        <w:rPr>
          <w:rtl/>
        </w:rPr>
        <w:t xml:space="preserve"> </w:t>
      </w:r>
      <w:r w:rsidRPr="00E119EB">
        <w:rPr>
          <w:rFonts w:hint="eastAsia"/>
          <w:rtl/>
        </w:rPr>
        <w:t>בכך</w:t>
      </w:r>
      <w:r w:rsidRPr="00E119EB">
        <w:rPr>
          <w:rFonts w:hint="cs"/>
          <w:rtl/>
        </w:rPr>
        <w:t>.</w:t>
      </w:r>
    </w:p>
    <w:p w:rsidR="00737972" w:rsidRDefault="00737972" w:rsidP="00737972">
      <w:pPr>
        <w:pStyle w:val="Ruller41"/>
        <w:rPr>
          <w:rtl/>
        </w:rPr>
      </w:pPr>
    </w:p>
    <w:p w:rsidR="00737972" w:rsidRDefault="00737972" w:rsidP="00737972">
      <w:pPr>
        <w:pStyle w:val="Ruller4"/>
        <w:rPr>
          <w:rtl/>
        </w:rPr>
      </w:pPr>
      <w:r>
        <w:rPr>
          <w:rtl/>
        </w:rPr>
        <w:tab/>
      </w:r>
      <w:r>
        <w:rPr>
          <w:rFonts w:hint="cs"/>
          <w:rtl/>
        </w:rPr>
        <w:t xml:space="preserve">במסגרת זו אציין כי עצם העובדה שחוקי היסוד ניתנים לשינוי בקלות יחסית, אינה בגדר חידוש, ובוודאי שאין בכך כדי לבסס "הצדקה" לביקורת שיפוטית. כפי שציינתי בעבר, הקלות והפשטות שבהן ניתן לתקן את חוקי היסוד אף שימשו כטיעון תומך בעניין </w:t>
      </w:r>
      <w:r w:rsidRPr="00996A69">
        <w:rPr>
          <w:rFonts w:ascii="Century" w:hAnsi="Century" w:cs="Miriam" w:hint="cs"/>
          <w:b/>
          <w:spacing w:val="0"/>
          <w:sz w:val="22"/>
          <w:szCs w:val="24"/>
          <w:rtl/>
        </w:rPr>
        <w:t>בנק המזרחי</w:t>
      </w:r>
      <w:r w:rsidRPr="00B837EF">
        <w:rPr>
          <w:rFonts w:hint="cs"/>
          <w:rtl/>
        </w:rPr>
        <w:t xml:space="preserve"> </w:t>
      </w:r>
      <w:r>
        <w:rPr>
          <w:rFonts w:hint="cs"/>
          <w:rtl/>
        </w:rPr>
        <w:t>להכרה בסמכותה המכוננת של הכנסת (שם,</w:t>
      </w:r>
      <w:r w:rsidRPr="00996A69">
        <w:rPr>
          <w:rFonts w:hint="cs"/>
          <w:rtl/>
        </w:rPr>
        <w:t xml:space="preserve"> </w:t>
      </w:r>
      <w:r>
        <w:rPr>
          <w:rFonts w:hint="cs"/>
          <w:rtl/>
        </w:rPr>
        <w:t xml:space="preserve">עמ' 424; </w:t>
      </w:r>
      <w:r w:rsidRPr="00F34398">
        <w:rPr>
          <w:rFonts w:hint="eastAsia"/>
          <w:rtl/>
        </w:rPr>
        <w:t>ראו</w:t>
      </w:r>
      <w:r w:rsidRPr="00F34398">
        <w:rPr>
          <w:rtl/>
        </w:rPr>
        <w:t xml:space="preserve"> </w:t>
      </w:r>
      <w:r w:rsidRPr="00F34398">
        <w:rPr>
          <w:rFonts w:hint="eastAsia"/>
          <w:rtl/>
        </w:rPr>
        <w:t>גם</w:t>
      </w:r>
      <w:r w:rsidRPr="00F34398">
        <w:rPr>
          <w:rtl/>
        </w:rPr>
        <w:t xml:space="preserve">: </w:t>
      </w:r>
      <w:r w:rsidRPr="00F34398">
        <w:rPr>
          <w:rFonts w:hint="eastAsia"/>
          <w:rtl/>
        </w:rPr>
        <w:t>אורי</w:t>
      </w:r>
      <w:r w:rsidRPr="00F34398">
        <w:rPr>
          <w:rtl/>
        </w:rPr>
        <w:t xml:space="preserve"> </w:t>
      </w:r>
      <w:r w:rsidRPr="00F34398">
        <w:rPr>
          <w:rFonts w:hint="eastAsia"/>
          <w:rtl/>
        </w:rPr>
        <w:t>אהרונסון</w:t>
      </w:r>
      <w:r w:rsidRPr="00F34398">
        <w:rPr>
          <w:rtl/>
        </w:rPr>
        <w:t xml:space="preserve"> "</w:t>
      </w:r>
      <w:r w:rsidRPr="00F34398">
        <w:rPr>
          <w:rFonts w:hint="eastAsia"/>
          <w:rtl/>
        </w:rPr>
        <w:t>מדוע</w:t>
      </w:r>
      <w:r w:rsidRPr="00F34398">
        <w:rPr>
          <w:rtl/>
        </w:rPr>
        <w:t xml:space="preserve"> </w:t>
      </w:r>
      <w:r w:rsidRPr="00F34398">
        <w:rPr>
          <w:rFonts w:hint="eastAsia"/>
          <w:rtl/>
        </w:rPr>
        <w:t>לא</w:t>
      </w:r>
      <w:r w:rsidRPr="00F34398">
        <w:rPr>
          <w:rtl/>
        </w:rPr>
        <w:t xml:space="preserve"> </w:t>
      </w:r>
      <w:r w:rsidRPr="00F34398">
        <w:rPr>
          <w:rFonts w:hint="eastAsia"/>
          <w:rtl/>
        </w:rPr>
        <w:t>ביטלה</w:t>
      </w:r>
      <w:r w:rsidRPr="00F34398">
        <w:rPr>
          <w:rtl/>
        </w:rPr>
        <w:t xml:space="preserve"> </w:t>
      </w:r>
      <w:r w:rsidRPr="00F34398">
        <w:rPr>
          <w:rFonts w:hint="eastAsia"/>
          <w:rtl/>
        </w:rPr>
        <w:t>הכנסת</w:t>
      </w:r>
      <w:r>
        <w:rPr>
          <w:rtl/>
        </w:rPr>
        <w:t xml:space="preserve"> </w:t>
      </w:r>
      <w:r w:rsidRPr="00F34398">
        <w:rPr>
          <w:rFonts w:hint="eastAsia"/>
          <w:rtl/>
        </w:rPr>
        <w:t>את</w:t>
      </w:r>
      <w:r w:rsidRPr="00F34398">
        <w:rPr>
          <w:rtl/>
        </w:rPr>
        <w:t xml:space="preserve"> </w:t>
      </w:r>
      <w:r w:rsidRPr="00F34398">
        <w:rPr>
          <w:rFonts w:hint="eastAsia"/>
          <w:rtl/>
        </w:rPr>
        <w:t>חוק</w:t>
      </w:r>
      <w:r w:rsidRPr="00F34398">
        <w:rPr>
          <w:rtl/>
        </w:rPr>
        <w:t xml:space="preserve"> </w:t>
      </w:r>
      <w:r w:rsidRPr="00F34398">
        <w:rPr>
          <w:rFonts w:hint="eastAsia"/>
          <w:rtl/>
        </w:rPr>
        <w:t>יסוד</w:t>
      </w:r>
      <w:r w:rsidRPr="00F34398">
        <w:rPr>
          <w:rtl/>
        </w:rPr>
        <w:t xml:space="preserve">: </w:t>
      </w:r>
      <w:r w:rsidRPr="00F34398">
        <w:rPr>
          <w:rFonts w:hint="eastAsia"/>
          <w:rtl/>
        </w:rPr>
        <w:t>כבוד</w:t>
      </w:r>
      <w:r w:rsidRPr="00F34398">
        <w:rPr>
          <w:rtl/>
        </w:rPr>
        <w:t xml:space="preserve"> </w:t>
      </w:r>
      <w:r w:rsidRPr="00F34398">
        <w:rPr>
          <w:rFonts w:hint="eastAsia"/>
          <w:rtl/>
        </w:rPr>
        <w:t>האדם</w:t>
      </w:r>
      <w:r w:rsidRPr="00F34398">
        <w:rPr>
          <w:rtl/>
        </w:rPr>
        <w:t xml:space="preserve"> </w:t>
      </w:r>
      <w:r w:rsidRPr="00F34398">
        <w:rPr>
          <w:rFonts w:hint="eastAsia"/>
          <w:rtl/>
        </w:rPr>
        <w:t>וחירותו</w:t>
      </w:r>
      <w:r w:rsidRPr="00F34398">
        <w:rPr>
          <w:rtl/>
        </w:rPr>
        <w:t xml:space="preserve">? </w:t>
      </w:r>
      <w:r w:rsidRPr="00F34398">
        <w:rPr>
          <w:rFonts w:hint="eastAsia"/>
          <w:rtl/>
        </w:rPr>
        <w:t>על</w:t>
      </w:r>
      <w:r w:rsidRPr="00F34398">
        <w:rPr>
          <w:rtl/>
        </w:rPr>
        <w:t xml:space="preserve"> </w:t>
      </w:r>
      <w:r w:rsidRPr="00F34398">
        <w:rPr>
          <w:rFonts w:hint="eastAsia"/>
          <w:rtl/>
        </w:rPr>
        <w:t>הסטטוס</w:t>
      </w:r>
      <w:r w:rsidRPr="00F34398">
        <w:rPr>
          <w:rtl/>
        </w:rPr>
        <w:t>-</w:t>
      </w:r>
      <w:r w:rsidRPr="00F34398">
        <w:rPr>
          <w:rFonts w:hint="eastAsia"/>
          <w:rtl/>
        </w:rPr>
        <w:t>קוו</w:t>
      </w:r>
      <w:r w:rsidRPr="00F34398">
        <w:rPr>
          <w:rtl/>
        </w:rPr>
        <w:t xml:space="preserve"> </w:t>
      </w:r>
      <w:r w:rsidRPr="00F34398">
        <w:rPr>
          <w:rFonts w:hint="eastAsia"/>
          <w:rtl/>
        </w:rPr>
        <w:t>כקושי</w:t>
      </w:r>
      <w:r w:rsidRPr="00F34398">
        <w:rPr>
          <w:rtl/>
        </w:rPr>
        <w:t xml:space="preserve"> </w:t>
      </w:r>
      <w:r w:rsidRPr="00F34398">
        <w:rPr>
          <w:rFonts w:hint="eastAsia"/>
          <w:rtl/>
        </w:rPr>
        <w:t>אנטי</w:t>
      </w:r>
      <w:r w:rsidRPr="00F34398">
        <w:rPr>
          <w:rtl/>
        </w:rPr>
        <w:t xml:space="preserve"> </w:t>
      </w:r>
      <w:r w:rsidRPr="00F34398">
        <w:rPr>
          <w:rFonts w:hint="eastAsia"/>
          <w:rtl/>
        </w:rPr>
        <w:t>רובני</w:t>
      </w:r>
      <w:r w:rsidRPr="00F34398">
        <w:rPr>
          <w:rtl/>
        </w:rPr>
        <w:t xml:space="preserve">" </w:t>
      </w:r>
      <w:r w:rsidRPr="00996A69">
        <w:rPr>
          <w:rFonts w:ascii="Century" w:hAnsi="Century" w:cs="Miriam" w:hint="eastAsia"/>
          <w:b/>
          <w:spacing w:val="0"/>
          <w:sz w:val="22"/>
          <w:szCs w:val="24"/>
          <w:rtl/>
        </w:rPr>
        <w:t>עיוני</w:t>
      </w:r>
      <w:r w:rsidRPr="00996A69">
        <w:rPr>
          <w:rFonts w:ascii="Century" w:hAnsi="Century" w:cs="Miriam"/>
          <w:b/>
          <w:spacing w:val="0"/>
          <w:sz w:val="22"/>
          <w:szCs w:val="24"/>
          <w:rtl/>
        </w:rPr>
        <w:t xml:space="preserve"> </w:t>
      </w:r>
      <w:r w:rsidRPr="00996A69">
        <w:rPr>
          <w:rFonts w:ascii="Century" w:hAnsi="Century" w:cs="Miriam" w:hint="eastAsia"/>
          <w:b/>
          <w:spacing w:val="0"/>
          <w:sz w:val="22"/>
          <w:szCs w:val="24"/>
          <w:rtl/>
        </w:rPr>
        <w:t>משפט</w:t>
      </w:r>
      <w:r w:rsidRPr="00B837EF">
        <w:rPr>
          <w:rtl/>
        </w:rPr>
        <w:t xml:space="preserve"> </w:t>
      </w:r>
      <w:r w:rsidRPr="00F34398">
        <w:rPr>
          <w:rFonts w:hint="eastAsia"/>
          <w:rtl/>
        </w:rPr>
        <w:t>לז</w:t>
      </w:r>
      <w:r>
        <w:rPr>
          <w:rtl/>
        </w:rPr>
        <w:t xml:space="preserve"> 509, 552 (2016)</w:t>
      </w:r>
      <w:r>
        <w:rPr>
          <w:rFonts w:hint="cs"/>
          <w:rtl/>
        </w:rPr>
        <w:t xml:space="preserve"> (להלן: </w:t>
      </w:r>
      <w:r w:rsidRPr="00F62471">
        <w:rPr>
          <w:rFonts w:ascii="Century" w:hAnsi="Century" w:cs="Miriam" w:hint="eastAsia"/>
          <w:b/>
          <w:spacing w:val="0"/>
          <w:sz w:val="22"/>
          <w:szCs w:val="24"/>
          <w:rtl/>
        </w:rPr>
        <w:t>אהרונסון</w:t>
      </w:r>
      <w:r>
        <w:rPr>
          <w:rFonts w:hint="cs"/>
          <w:rtl/>
        </w:rPr>
        <w:t>)).</w:t>
      </w:r>
    </w:p>
    <w:p w:rsidR="00737972" w:rsidRPr="00996A69" w:rsidRDefault="00737972" w:rsidP="00737972">
      <w:pPr>
        <w:pStyle w:val="Ruller41"/>
      </w:pPr>
    </w:p>
    <w:p w:rsidR="00737972" w:rsidRDefault="00737972" w:rsidP="00737972">
      <w:pPr>
        <w:pStyle w:val="Ruller4"/>
        <w:rPr>
          <w:rtl/>
        </w:rPr>
      </w:pPr>
      <w:r>
        <w:rPr>
          <w:rFonts w:hint="cs"/>
          <w:rtl/>
        </w:rPr>
        <w:t xml:space="preserve">מעבר לכך, בהתייחס לאמור בחוות דעת חברי השופט </w:t>
      </w:r>
      <w:r w:rsidRPr="00B837EF">
        <w:rPr>
          <w:rFonts w:ascii="Century" w:hAnsi="Century" w:cs="Miriam" w:hint="cs"/>
          <w:b/>
          <w:spacing w:val="0"/>
          <w:szCs w:val="24"/>
          <w:rtl/>
        </w:rPr>
        <w:t>עמית</w:t>
      </w:r>
      <w:r w:rsidRPr="00DD2579">
        <w:rPr>
          <w:rFonts w:hint="cs"/>
          <w:rtl/>
        </w:rPr>
        <w:t xml:space="preserve"> </w:t>
      </w:r>
      <w:r>
        <w:rPr>
          <w:rFonts w:hint="cs"/>
          <w:rtl/>
        </w:rPr>
        <w:t xml:space="preserve">המבקש למצוא פסול בהיעדר ה"חגיגיות", בציינו שחוק-יסוד: השפיטה (תיקון מס' 3) (להלן: </w:t>
      </w:r>
      <w:r w:rsidRPr="0029428C">
        <w:rPr>
          <w:rFonts w:ascii="Century" w:hAnsi="Century" w:cs="Miriam" w:hint="cs"/>
          <w:b/>
          <w:spacing w:val="0"/>
          <w:sz w:val="22"/>
          <w:szCs w:val="24"/>
          <w:rtl/>
        </w:rPr>
        <w:t>התיקון</w:t>
      </w:r>
      <w:r>
        <w:rPr>
          <w:rFonts w:hint="cs"/>
          <w:rtl/>
        </w:rPr>
        <w:t xml:space="preserve"> </w:t>
      </w:r>
      <w:r w:rsidRPr="00A067BE">
        <w:rPr>
          <w:rFonts w:ascii="Century" w:hAnsi="Century" w:cs="Miriam" w:hint="cs"/>
          <w:b/>
          <w:spacing w:val="0"/>
          <w:sz w:val="22"/>
          <w:szCs w:val="24"/>
          <w:rtl/>
        </w:rPr>
        <w:t>לחוק היסוד</w:t>
      </w:r>
      <w:r w:rsidRPr="00A067BE">
        <w:rPr>
          <w:rFonts w:hint="cs"/>
          <w:rtl/>
        </w:rPr>
        <w:t xml:space="preserve"> </w:t>
      </w:r>
      <w:r>
        <w:rPr>
          <w:rFonts w:hint="cs"/>
          <w:rtl/>
        </w:rPr>
        <w:t xml:space="preserve">או </w:t>
      </w:r>
      <w:r w:rsidRPr="00A067BE">
        <w:rPr>
          <w:rFonts w:ascii="Century" w:hAnsi="Century" w:cs="Miriam" w:hint="cs"/>
          <w:b/>
          <w:spacing w:val="0"/>
          <w:sz w:val="22"/>
          <w:szCs w:val="24"/>
          <w:rtl/>
        </w:rPr>
        <w:t>התיקון</w:t>
      </w:r>
      <w:r>
        <w:rPr>
          <w:rFonts w:hint="cs"/>
          <w:rtl/>
        </w:rPr>
        <w:t xml:space="preserve">) מושא דיוננו "לא היה יום חג אלא יום של חול" (פסקה 25 לחוות דעתו). לא רק שקשה לומר שהיה זה "סתם יום של חול", שכן מדובר היה ביום דרמטי במיוחד כאשר "העם" והכנסת היו מודעים גם מודעים לגודל המעמד; אלא שגם אם היינו שואפים אולי לראות את יום חקיקתו של חוק יסוד כיום חגיגי שבו "הכנסת לובשת לבן ומצטחצחת בהתרגשות לקראת המאורע ולא יום קטנות פוליטי" (עניין </w:t>
      </w:r>
      <w:r w:rsidRPr="00B837EF">
        <w:rPr>
          <w:rFonts w:ascii="Century" w:hAnsi="Century" w:cs="Miriam" w:hint="cs"/>
          <w:b/>
          <w:spacing w:val="0"/>
          <w:sz w:val="22"/>
          <w:szCs w:val="24"/>
          <w:rtl/>
        </w:rPr>
        <w:t>שפיר</w:t>
      </w:r>
      <w:r>
        <w:rPr>
          <w:rFonts w:hint="cs"/>
          <w:rtl/>
        </w:rPr>
        <w:t>, פסקה 4 לחוות דעתו של חברי), הלכה למעשה יישום מבחן ה"הצטחצחות" עשוי להביא לריקון ספר החוקים מחוקי היסוד שנחקקו בו. די בכך שנזכיר כי חוק יסוד: כבוד האדם וחירותו הנחשב ל"עמוד תווך בפסיקה הישראלית" (</w:t>
      </w:r>
      <w:r w:rsidRPr="00451EC3">
        <w:rPr>
          <w:rFonts w:hint="eastAsia"/>
          <w:rtl/>
        </w:rPr>
        <w:t>דנ</w:t>
      </w:r>
      <w:r>
        <w:rPr>
          <w:rFonts w:hint="cs"/>
          <w:rtl/>
        </w:rPr>
        <w:t>"</w:t>
      </w:r>
      <w:r w:rsidRPr="00451EC3">
        <w:rPr>
          <w:rFonts w:hint="eastAsia"/>
          <w:rtl/>
        </w:rPr>
        <w:t>א</w:t>
      </w:r>
      <w:r>
        <w:rPr>
          <w:rtl/>
        </w:rPr>
        <w:t xml:space="preserve"> 2121/12 ‏</w:t>
      </w:r>
      <w:r w:rsidRPr="00B837EF">
        <w:rPr>
          <w:rFonts w:ascii="Century" w:hAnsi="Century" w:cs="Miriam" w:hint="eastAsia"/>
          <w:b/>
          <w:spacing w:val="0"/>
          <w:szCs w:val="24"/>
          <w:rtl/>
        </w:rPr>
        <w:t>פלוני</w:t>
      </w:r>
      <w:r w:rsidRPr="00B837EF">
        <w:rPr>
          <w:rFonts w:ascii="Century" w:hAnsi="Century" w:cs="Miriam"/>
          <w:b/>
          <w:spacing w:val="0"/>
          <w:szCs w:val="24"/>
          <w:rtl/>
        </w:rPr>
        <w:t xml:space="preserve"> </w:t>
      </w:r>
      <w:r w:rsidRPr="00B837EF">
        <w:rPr>
          <w:rFonts w:ascii="Century" w:hAnsi="Century" w:cs="Miriam" w:hint="eastAsia"/>
          <w:b/>
          <w:spacing w:val="0"/>
          <w:szCs w:val="24"/>
          <w:rtl/>
        </w:rPr>
        <w:t>נ</w:t>
      </w:r>
      <w:r w:rsidRPr="00B837EF">
        <w:rPr>
          <w:rFonts w:ascii="Century" w:hAnsi="Century" w:cs="Miriam"/>
          <w:b/>
          <w:spacing w:val="0"/>
          <w:szCs w:val="24"/>
          <w:rtl/>
        </w:rPr>
        <w:t xml:space="preserve">' </w:t>
      </w:r>
      <w:r>
        <w:rPr>
          <w:rFonts w:ascii="Century" w:hAnsi="Century" w:cs="Miriam" w:hint="cs"/>
          <w:b/>
          <w:spacing w:val="0"/>
          <w:szCs w:val="24"/>
          <w:rtl/>
        </w:rPr>
        <w:t>דיין-</w:t>
      </w:r>
      <w:r w:rsidRPr="00B837EF">
        <w:rPr>
          <w:rFonts w:ascii="Century" w:hAnsi="Century" w:cs="Miriam" w:hint="eastAsia"/>
          <w:b/>
          <w:spacing w:val="0"/>
          <w:szCs w:val="24"/>
          <w:rtl/>
        </w:rPr>
        <w:t>אורבך</w:t>
      </w:r>
      <w:r w:rsidRPr="00451EC3">
        <w:rPr>
          <w:rtl/>
        </w:rPr>
        <w:t xml:space="preserve">, </w:t>
      </w:r>
      <w:r w:rsidRPr="00451EC3">
        <w:rPr>
          <w:rFonts w:hint="eastAsia"/>
          <w:rtl/>
        </w:rPr>
        <w:t>פ</w:t>
      </w:r>
      <w:r>
        <w:rPr>
          <w:rFonts w:hint="cs"/>
          <w:rtl/>
        </w:rPr>
        <w:t>"</w:t>
      </w:r>
      <w:r w:rsidRPr="00451EC3">
        <w:rPr>
          <w:rFonts w:hint="eastAsia"/>
          <w:rtl/>
        </w:rPr>
        <w:t>ד</w:t>
      </w:r>
      <w:r w:rsidRPr="00451EC3">
        <w:rPr>
          <w:rtl/>
        </w:rPr>
        <w:t xml:space="preserve"> </w:t>
      </w:r>
      <w:r w:rsidRPr="00451EC3">
        <w:rPr>
          <w:rFonts w:hint="eastAsia"/>
          <w:rtl/>
        </w:rPr>
        <w:t>סז</w:t>
      </w:r>
      <w:r w:rsidRPr="00451EC3">
        <w:rPr>
          <w:rtl/>
        </w:rPr>
        <w:t>(1) 667</w:t>
      </w:r>
      <w:r>
        <w:rPr>
          <w:rFonts w:hint="cs"/>
          <w:rtl/>
        </w:rPr>
        <w:t xml:space="preserve">, 777 (2014)) אושר בקריאה שלישית תחת נוכחות דלה במיוחד במליאה, בשל </w:t>
      </w:r>
      <w:r>
        <w:rPr>
          <w:rFonts w:hint="cs"/>
          <w:rtl/>
        </w:rPr>
        <w:lastRenderedPageBreak/>
        <w:t xml:space="preserve">שינוי סדר היום ברגע האחרון שנבע משיקולים פוליטיים נקודתיים. כפי שמתאר אמנון רובינשטיין במאמרו </w:t>
      </w:r>
      <w:r w:rsidRPr="00B837EF">
        <w:rPr>
          <w:rFonts w:ascii="Century" w:hAnsi="Century" w:cs="Miriam" w:hint="cs"/>
          <w:b/>
          <w:spacing w:val="0"/>
          <w:sz w:val="22"/>
          <w:szCs w:val="24"/>
          <w:rtl/>
        </w:rPr>
        <w:t>סיפורם של חוקי</w:t>
      </w:r>
      <w:r>
        <w:rPr>
          <w:rFonts w:ascii="Century" w:hAnsi="Century" w:cs="Miriam" w:hint="cs"/>
          <w:b/>
          <w:spacing w:val="0"/>
          <w:sz w:val="22"/>
          <w:szCs w:val="24"/>
          <w:rtl/>
        </w:rPr>
        <w:t>-</w:t>
      </w:r>
      <w:r w:rsidRPr="00B837EF">
        <w:rPr>
          <w:rFonts w:ascii="Century" w:hAnsi="Century" w:cs="Miriam" w:hint="cs"/>
          <w:b/>
          <w:spacing w:val="0"/>
          <w:sz w:val="22"/>
          <w:szCs w:val="24"/>
          <w:rtl/>
        </w:rPr>
        <w:t>היסוד</w:t>
      </w:r>
      <w:r>
        <w:rPr>
          <w:rFonts w:hint="cs"/>
          <w:rtl/>
        </w:rPr>
        <w:t xml:space="preserve">: </w:t>
      </w:r>
    </w:p>
    <w:p w:rsidR="00737972" w:rsidRDefault="00737972" w:rsidP="00737972">
      <w:pPr>
        <w:pStyle w:val="Ruller41"/>
        <w:tabs>
          <w:tab w:val="left" w:pos="6827"/>
        </w:tabs>
        <w:rPr>
          <w:rtl/>
        </w:rPr>
      </w:pPr>
    </w:p>
    <w:p w:rsidR="00737972" w:rsidRDefault="00737972" w:rsidP="00737972">
      <w:pPr>
        <w:pStyle w:val="Ruller5"/>
        <w:rPr>
          <w:rtl/>
        </w:rPr>
      </w:pPr>
      <w:r>
        <w:rPr>
          <w:rFonts w:hint="cs"/>
          <w:rtl/>
        </w:rPr>
        <w:t>"בבוקרו של ה-17.3.1992 ביקש ממני יושב-ראש הכנסת דב שילנסקי לדחות את ההצבעה על החוק ולקיימה רק לאחר ההצבעה על התיקונים לחוק הערבות, שאותה יזם חבר-הכנסת שמעון שיטרית. הנימוק היה שתיקוני חוק הערבות חשובים לחבר-הכנסת שיטרית כחלק ממסע הבחירות שלו, וכי אין שום בעיה בשינוי סדר ההצבעה. אני, בחולשתי, הסכמתי להצעה, אך התניתי זאת בכך שחבר-הכנסת שיטרית ידאג לכך שחברי סיעתו יישארו להצבעה על חוקי-היסוד. בהצבעה על תיקוני חוק הערבות השתתפו שישה-עשר חברי-כנסת מ'העבודה', ומייד לאחריה החלו חלקם לעזוב את אולם המליאה. בראותי זאת רצתי אל דלת היציאה בניסיון לחסום את יציאתם ולהזכיר להם את הבטחתם להישאר להצבעה (זו גם הסיבה לעובדה שלא נאמתי בדיון החשוב שהתקיים בהצעת חוק-היסוד שיזמתי), אך הכל היה לשווא. חברי-כנסת מה'עבודה' עזבו את המליאה, ובהצבעה על חוק-יסוד: כבוד האדם וחירותו השתתפו רק שבעה מחברי סיעת 'העבודה'. אילו רק אחד מהעוזבים היה מסכים להישאר, הייתה נופלת ההסתייגות לגבי שריון החוק, וחוק יסוד: כבוד האדם וחירותו, כמו אחיו על חופש העיסוק, היה משוריין" (שם, עמ' 95).</w:t>
      </w:r>
    </w:p>
    <w:p w:rsidR="00737972" w:rsidRDefault="00737972" w:rsidP="00737972">
      <w:pPr>
        <w:pStyle w:val="Ruller41"/>
        <w:tabs>
          <w:tab w:val="left" w:pos="6827"/>
        </w:tabs>
        <w:rPr>
          <w:rtl/>
        </w:rPr>
      </w:pPr>
    </w:p>
    <w:p w:rsidR="00737972" w:rsidRDefault="00737972" w:rsidP="00737972">
      <w:pPr>
        <w:pStyle w:val="Ruller41"/>
        <w:tabs>
          <w:tab w:val="left" w:pos="6827"/>
        </w:tabs>
        <w:rPr>
          <w:rtl/>
        </w:rPr>
      </w:pPr>
      <w:r>
        <w:rPr>
          <w:rtl/>
        </w:rPr>
        <w:tab/>
      </w:r>
      <w:r>
        <w:rPr>
          <w:rFonts w:hint="cs"/>
          <w:rtl/>
        </w:rPr>
        <w:t xml:space="preserve">הנה כי כן, גם הנוכחים במעמד חקיקת חוק יסוד: כבוד האדם וחירותו שאין חולק על מרכזיותו וחשיבותו, לא הסתנוורו, בלשון המעטה מעוצמת האירוע. סדר היום הוכתב בשל צורך רגעי על רקע תקופת הפריימריז. חלק נכבד מהנוכחים עזבו את המקום מבלי משים, רגע לפני ההצבעה הקריטית </w:t>
      </w:r>
      <w:r>
        <w:rPr>
          <w:rtl/>
        </w:rPr>
        <w:t>–</w:t>
      </w:r>
      <w:r>
        <w:rPr>
          <w:rFonts w:hint="cs"/>
          <w:rtl/>
        </w:rPr>
        <w:t xml:space="preserve"> בעוד ח"כ רובינשטיין מנסה בכוח הזרוע לבלום נטישה זו באמצעות חסימת דלת היציאה </w:t>
      </w:r>
      <w:r>
        <w:rPr>
          <w:rtl/>
        </w:rPr>
        <w:t>–</w:t>
      </w:r>
      <w:r>
        <w:rPr>
          <w:rFonts w:hint="cs"/>
          <w:rtl/>
        </w:rPr>
        <w:t xml:space="preserve"> ולא הבחינו כלל כי לנגד עיניהם מתרחש אירוע חגיגי של חג ורגע של גדוּלה (וראו גם: </w:t>
      </w:r>
      <w:r w:rsidRPr="00163331">
        <w:rPr>
          <w:rFonts w:ascii="Century" w:hAnsi="Century" w:cs="Miriam" w:hint="cs"/>
          <w:b/>
          <w:spacing w:val="0"/>
          <w:szCs w:val="24"/>
          <w:rtl/>
        </w:rPr>
        <w:t>קרפ</w:t>
      </w:r>
      <w:r>
        <w:rPr>
          <w:rFonts w:hint="cs"/>
          <w:rtl/>
        </w:rPr>
        <w:t>, עמ' 330-326). מדובר היה אפוא ב"סתם יום חולין" שהיה בו חסד, ובו דרכי חברי הכנסת הצטלבו.</w:t>
      </w:r>
    </w:p>
    <w:p w:rsidR="00737972" w:rsidRPr="00D640BA" w:rsidRDefault="00737972" w:rsidP="00737972">
      <w:pPr>
        <w:pStyle w:val="Ruller41"/>
        <w:rPr>
          <w:rtl/>
        </w:rPr>
      </w:pPr>
    </w:p>
    <w:p w:rsidR="00737972" w:rsidRPr="00F62471" w:rsidRDefault="00737972" w:rsidP="00737972">
      <w:pPr>
        <w:pStyle w:val="Ruller4"/>
        <w:rPr>
          <w:b/>
          <w:bCs/>
          <w:rtl/>
        </w:rPr>
      </w:pPr>
      <w:r>
        <w:rPr>
          <w:rFonts w:hint="cs"/>
          <w:rtl/>
        </w:rPr>
        <w:t>אם כן, בהתחשב בהתפתחות המשפט החוקתי במדינתנו, אין בסיס לביקורת שיפוטית על נורמות המעוגנות בחוקי היסוד. מדובר במהלך אשר חותר תחת הלגיטימציה שרכש לו בית משפט זה להתערב בדברי חקיקה, בהסתמך על אותם חוקי יסוד</w:t>
      </w:r>
      <w:r w:rsidRPr="00F62471">
        <w:rPr>
          <w:rFonts w:hint="cs"/>
          <w:rtl/>
        </w:rPr>
        <w:t>. ואין צריך לומר כי לא ניתן להסיק שיש לבית משפט זה סמכות לבקר חוקי יסוד ללא סמכות מפורשת בחוק אלא באופן מרומז בלבד.</w:t>
      </w:r>
    </w:p>
    <w:p w:rsidR="00737972" w:rsidRDefault="00737972" w:rsidP="00737972">
      <w:pPr>
        <w:pStyle w:val="Ruller41"/>
        <w:rPr>
          <w:rtl/>
        </w:rPr>
      </w:pPr>
    </w:p>
    <w:p w:rsidR="00737972" w:rsidRPr="00F62471" w:rsidRDefault="00737972" w:rsidP="00737972">
      <w:pPr>
        <w:pStyle w:val="Ruller41"/>
        <w:rPr>
          <w:rFonts w:ascii="Century" w:hAnsi="Century" w:cs="Miriam"/>
          <w:b/>
          <w:spacing w:val="0"/>
          <w:szCs w:val="24"/>
          <w:rtl/>
        </w:rPr>
      </w:pPr>
      <w:r>
        <w:rPr>
          <w:rFonts w:ascii="Century" w:hAnsi="Century" w:cs="Miriam" w:hint="cs"/>
          <w:b/>
          <w:spacing w:val="0"/>
          <w:szCs w:val="24"/>
          <w:rtl/>
        </w:rPr>
        <w:t xml:space="preserve">נימוקים משלימים </w:t>
      </w:r>
      <w:r>
        <w:rPr>
          <w:rFonts w:ascii="Century" w:hAnsi="Century" w:cs="Miriam"/>
          <w:b/>
          <w:spacing w:val="0"/>
          <w:szCs w:val="24"/>
          <w:rtl/>
        </w:rPr>
        <w:t>–</w:t>
      </w:r>
      <w:r>
        <w:rPr>
          <w:rFonts w:ascii="Century" w:hAnsi="Century" w:cs="Miriam" w:hint="cs"/>
          <w:b/>
          <w:spacing w:val="0"/>
          <w:szCs w:val="24"/>
          <w:rtl/>
        </w:rPr>
        <w:t xml:space="preserve"> "צורך", "הכרח" ו-"גישה רווחת"</w:t>
      </w:r>
    </w:p>
    <w:p w:rsidR="00737972" w:rsidRDefault="00737972" w:rsidP="00737972">
      <w:pPr>
        <w:pStyle w:val="Ruller4"/>
      </w:pPr>
      <w:r>
        <w:rPr>
          <w:rFonts w:hint="cs"/>
          <w:rtl/>
        </w:rPr>
        <w:lastRenderedPageBreak/>
        <w:t xml:space="preserve">מבלי לפגוע בכל האמור, חברתי הנשיאה (בדימ') ציינה בחוות דעתה כי בית משפט זה הוא "הגורם המתאים" לעמוד על המשמר "מפני פריצת גבולות סמכותה המכוננת של הכנסת"; כי קיים "צורך" בגורם אשר ישמש כבלם לאותם מצבים קיצונים שבהם הכנסת עלולה לפרוץ את גבולות סמכותה המכוננת (פסקה 85); כי "אין כיום גוף אחר מלבד בית המשפט" (פסקה 88). בדרך דומה הילכו גם חלק מחבריי השופטים. ברם, עם כל הכבוד, אין מדובר בטיעונים אשר יש בכוחם לבסס סמכות יש מאין. יש בנימוקים אלה לדעתי "הנחת המבוקש". </w:t>
      </w:r>
    </w:p>
    <w:p w:rsidR="00737972" w:rsidRDefault="00737972" w:rsidP="00737972">
      <w:pPr>
        <w:pStyle w:val="Ruller4"/>
        <w:numPr>
          <w:ilvl w:val="0"/>
          <w:numId w:val="0"/>
        </w:numPr>
      </w:pPr>
    </w:p>
    <w:p w:rsidR="00737972" w:rsidRPr="00C5364C" w:rsidRDefault="00737972" w:rsidP="00737972">
      <w:pPr>
        <w:pStyle w:val="Ruller4"/>
        <w:rPr>
          <w:rtl/>
        </w:rPr>
      </w:pPr>
      <w:r w:rsidRPr="00C5364C">
        <w:rPr>
          <w:rFonts w:hint="cs"/>
          <w:b/>
          <w:rtl/>
        </w:rPr>
        <w:t xml:space="preserve">השאלה האם </w:t>
      </w:r>
      <w:r w:rsidRPr="00C5364C">
        <w:rPr>
          <w:rFonts w:ascii="Century" w:hAnsi="Century" w:cs="Miriam" w:hint="cs"/>
          <w:b/>
          <w:spacing w:val="0"/>
          <w:szCs w:val="24"/>
          <w:rtl/>
        </w:rPr>
        <w:t>ראוי</w:t>
      </w:r>
      <w:r w:rsidRPr="00C5364C">
        <w:rPr>
          <w:rFonts w:hint="cs"/>
          <w:b/>
          <w:rtl/>
        </w:rPr>
        <w:t xml:space="preserve">, </w:t>
      </w:r>
      <w:r w:rsidRPr="00C5364C">
        <w:rPr>
          <w:rFonts w:ascii="Century" w:hAnsi="Century" w:cs="Miriam" w:hint="cs"/>
          <w:b/>
          <w:spacing w:val="0"/>
          <w:szCs w:val="24"/>
          <w:rtl/>
        </w:rPr>
        <w:t>נחוץ</w:t>
      </w:r>
      <w:r w:rsidRPr="00C5364C">
        <w:rPr>
          <w:rFonts w:hint="cs"/>
          <w:b/>
          <w:rtl/>
        </w:rPr>
        <w:t xml:space="preserve"> או אף "</w:t>
      </w:r>
      <w:r w:rsidRPr="00C5364C">
        <w:rPr>
          <w:rFonts w:ascii="Century" w:hAnsi="Century" w:cs="Miriam" w:hint="cs"/>
          <w:b/>
          <w:spacing w:val="0"/>
          <w:szCs w:val="24"/>
          <w:rtl/>
        </w:rPr>
        <w:t>הכרחי</w:t>
      </w:r>
      <w:r w:rsidRPr="00C5364C">
        <w:rPr>
          <w:rFonts w:hint="cs"/>
          <w:b/>
          <w:rtl/>
        </w:rPr>
        <w:t xml:space="preserve">" כי בית משפט זה יערוך ביקורת שיפוטית על חוקי יסוד, איננה יכולה לשמש בסיס להכרעה בסוגיית </w:t>
      </w:r>
      <w:r w:rsidRPr="00C5364C">
        <w:rPr>
          <w:rFonts w:ascii="Century" w:hAnsi="Century" w:cs="Miriam" w:hint="cs"/>
          <w:b/>
          <w:spacing w:val="0"/>
          <w:szCs w:val="24"/>
          <w:rtl/>
        </w:rPr>
        <w:t>הסמכות</w:t>
      </w:r>
      <w:r w:rsidRPr="00C5364C">
        <w:rPr>
          <w:rFonts w:hint="cs"/>
          <w:b/>
          <w:rtl/>
        </w:rPr>
        <w:t>. צורך אינו מהווה מקור סמכות. נחיצות איננה מקימה סמכות. ובוודאי שאין בכוחם וביכולתם של שופטי בית משפט זה להניח כי זהו הדבר ההכרחי משום ש"אין מישהו אחר"</w:t>
      </w:r>
      <w:r>
        <w:rPr>
          <w:rFonts w:hint="cs"/>
          <w:b/>
          <w:rtl/>
        </w:rPr>
        <w:t xml:space="preserve"> שיעשה את המלאכה</w:t>
      </w:r>
      <w:r w:rsidRPr="00C5364C">
        <w:rPr>
          <w:rFonts w:hint="cs"/>
          <w:b/>
          <w:rtl/>
        </w:rPr>
        <w:t>.</w:t>
      </w:r>
      <w:r>
        <w:rPr>
          <w:rFonts w:hint="cs"/>
          <w:b/>
          <w:rtl/>
        </w:rPr>
        <w:t xml:space="preserve"> </w:t>
      </w:r>
      <w:r w:rsidRPr="00C5364C">
        <w:rPr>
          <w:rFonts w:hint="cs"/>
          <w:b/>
          <w:rtl/>
        </w:rPr>
        <w:t>בית המשפט אינו הסמכות המכוננת. בית המשפט איננו הסמכות המחוקקת.</w:t>
      </w:r>
      <w:r>
        <w:rPr>
          <w:rFonts w:hint="cs"/>
          <w:b/>
          <w:rtl/>
        </w:rPr>
        <w:t xml:space="preserve"> משל היינו "המבוגר האחראי".</w:t>
      </w:r>
      <w:r w:rsidRPr="00C5364C">
        <w:rPr>
          <w:rFonts w:hint="cs"/>
          <w:b/>
          <w:rtl/>
        </w:rPr>
        <w:t xml:space="preserve"> בית המשפט כבודו במקומו מונח. לא מעבר לכך.</w:t>
      </w:r>
    </w:p>
    <w:p w:rsidR="00737972" w:rsidRDefault="00737972" w:rsidP="00737972">
      <w:pPr>
        <w:pStyle w:val="Ruller41"/>
        <w:rPr>
          <w:b/>
          <w:bCs/>
          <w:rtl/>
        </w:rPr>
      </w:pPr>
    </w:p>
    <w:p w:rsidR="00737972" w:rsidRDefault="00737972" w:rsidP="00737972">
      <w:pPr>
        <w:pStyle w:val="Ruller4"/>
        <w:rPr>
          <w:rtl/>
        </w:rPr>
      </w:pPr>
      <w:r>
        <w:rPr>
          <w:rFonts w:hint="cs"/>
          <w:rtl/>
        </w:rPr>
        <w:t xml:space="preserve">לעניין זה עלינו להזכיר בכנות, כי רשויות מינהל שונות אשר העלו לפני בית משפט זה במשך שנים, נוכח מחלוקות שהתגלעו בדבר סוגיית הסמכות, טענות מסוג זה </w:t>
      </w:r>
      <w:r>
        <w:rPr>
          <w:rtl/>
        </w:rPr>
        <w:t>–</w:t>
      </w:r>
      <w:r>
        <w:rPr>
          <w:rFonts w:hint="cs"/>
          <w:rtl/>
        </w:rPr>
        <w:t xml:space="preserve"> כי הסמכות נתונה להן לבצע דבר כלשהו, שכן מדובר בעניין </w:t>
      </w:r>
      <w:r w:rsidRPr="00D440FD">
        <w:rPr>
          <w:rFonts w:ascii="Century" w:hAnsi="Century" w:cs="Miriam" w:hint="cs"/>
          <w:spacing w:val="0"/>
          <w:sz w:val="22"/>
          <w:szCs w:val="24"/>
          <w:rtl/>
        </w:rPr>
        <w:t>ראוי</w:t>
      </w:r>
      <w:r>
        <w:rPr>
          <w:rFonts w:hint="cs"/>
          <w:rtl/>
        </w:rPr>
        <w:t xml:space="preserve">, שכן מדובר בדבר </w:t>
      </w:r>
      <w:r w:rsidRPr="00D440FD">
        <w:rPr>
          <w:rFonts w:ascii="Century" w:hAnsi="Century" w:cs="Miriam" w:hint="cs"/>
          <w:spacing w:val="0"/>
          <w:sz w:val="22"/>
          <w:szCs w:val="24"/>
          <w:rtl/>
        </w:rPr>
        <w:t>רצוי</w:t>
      </w:r>
      <w:r>
        <w:rPr>
          <w:rFonts w:hint="cs"/>
          <w:rtl/>
        </w:rPr>
        <w:t xml:space="preserve">, שכן קיימת </w:t>
      </w:r>
      <w:r w:rsidRPr="00706C96">
        <w:rPr>
          <w:rFonts w:ascii="Century" w:hAnsi="Century" w:cs="Miriam" w:hint="cs"/>
          <w:spacing w:val="0"/>
          <w:sz w:val="22"/>
          <w:szCs w:val="24"/>
          <w:rtl/>
        </w:rPr>
        <w:t>הצדקה</w:t>
      </w:r>
      <w:r w:rsidRPr="00706C96">
        <w:rPr>
          <w:rFonts w:hint="cs"/>
          <w:rtl/>
        </w:rPr>
        <w:t xml:space="preserve"> </w:t>
      </w:r>
      <w:r>
        <w:rPr>
          <w:rFonts w:hint="cs"/>
          <w:rtl/>
        </w:rPr>
        <w:t xml:space="preserve">לכך </w:t>
      </w:r>
      <w:r>
        <w:rPr>
          <w:rtl/>
        </w:rPr>
        <w:t>–</w:t>
      </w:r>
      <w:r>
        <w:rPr>
          <w:rFonts w:hint="cs"/>
          <w:rtl/>
        </w:rPr>
        <w:t xml:space="preserve"> נדחו מכל וכל. טענות מסוג זה, כי "</w:t>
      </w:r>
      <w:r w:rsidRPr="00B33EA2">
        <w:rPr>
          <w:rFonts w:ascii="Century" w:hAnsi="Century" w:cs="Miriam" w:hint="cs"/>
          <w:b/>
          <w:spacing w:val="0"/>
          <w:sz w:val="22"/>
          <w:szCs w:val="24"/>
          <w:rtl/>
        </w:rPr>
        <w:t>כך ראוי וכך נכון</w:t>
      </w:r>
      <w:r>
        <w:rPr>
          <w:rFonts w:hint="cs"/>
          <w:rtl/>
        </w:rPr>
        <w:t xml:space="preserve">" לא התקבלו על ידי בית משפט זה ולוּ פעם אחת, כמבססות מקור סמכות, ואף נדחו בשפה ברורה וחדה. ולא בכדי. טענות מסוג זה אינן יכולות להצדיק הענקת סמכות שאיננה נתונה בדין (ראו למשל: עניין </w:t>
      </w:r>
      <w:r w:rsidRPr="00B33EA2">
        <w:rPr>
          <w:rFonts w:ascii="Century" w:hAnsi="Century" w:cs="Miriam" w:hint="cs"/>
          <w:b/>
          <w:spacing w:val="0"/>
          <w:sz w:val="22"/>
          <w:szCs w:val="24"/>
          <w:rtl/>
        </w:rPr>
        <w:t>בן עטיה</w:t>
      </w:r>
      <w:r>
        <w:rPr>
          <w:rFonts w:hint="cs"/>
          <w:rtl/>
        </w:rPr>
        <w:t xml:space="preserve">, עמ' 37; עניין </w:t>
      </w:r>
      <w:r w:rsidRPr="00B33EA2">
        <w:rPr>
          <w:rFonts w:ascii="Century" w:hAnsi="Century" w:cs="Miriam" w:hint="cs"/>
          <w:b/>
          <w:spacing w:val="0"/>
          <w:sz w:val="22"/>
          <w:szCs w:val="24"/>
          <w:rtl/>
        </w:rPr>
        <w:t>שייב</w:t>
      </w:r>
      <w:r>
        <w:rPr>
          <w:rFonts w:hint="cs"/>
          <w:rtl/>
        </w:rPr>
        <w:t xml:space="preserve">, עמ' 411: </w:t>
      </w:r>
      <w:r w:rsidRPr="00B84B20">
        <w:rPr>
          <w:rFonts w:hint="cs"/>
          <w:rtl/>
        </w:rPr>
        <w:t>"</w:t>
      </w:r>
      <w:r w:rsidRPr="00B84B20">
        <w:rPr>
          <w:rtl/>
        </w:rPr>
        <w:t>אין הרשות המבצעת בת חורין להטיל הגבלות רק מפני שהיא חושבת אותן כרצויות,</w:t>
      </w:r>
      <w:r w:rsidRPr="00B84B20">
        <w:rPr>
          <w:rFonts w:hint="cs"/>
          <w:rtl/>
        </w:rPr>
        <w:t xml:space="preserve"> </w:t>
      </w:r>
      <w:r w:rsidRPr="00B84B20">
        <w:rPr>
          <w:rtl/>
        </w:rPr>
        <w:t>אלא א</w:t>
      </w:r>
      <w:r w:rsidRPr="00B84B20">
        <w:rPr>
          <w:rFonts w:hint="cs"/>
          <w:rtl/>
        </w:rPr>
        <w:t>ם</w:t>
      </w:r>
      <w:r w:rsidRPr="00B84B20">
        <w:rPr>
          <w:rtl/>
        </w:rPr>
        <w:t xml:space="preserve"> כן </w:t>
      </w:r>
      <w:r w:rsidRPr="00B84B20">
        <w:rPr>
          <w:rFonts w:ascii="Century" w:hAnsi="Century" w:cs="Miriam"/>
          <w:spacing w:val="0"/>
          <w:szCs w:val="24"/>
          <w:rtl/>
        </w:rPr>
        <w:t>החוק</w:t>
      </w:r>
      <w:r w:rsidRPr="00B84B20">
        <w:rPr>
          <w:rtl/>
        </w:rPr>
        <w:t xml:space="preserve">, הדן בענין הנדון, </w:t>
      </w:r>
      <w:r w:rsidRPr="00B84B20">
        <w:rPr>
          <w:rFonts w:ascii="Century" w:hAnsi="Century" w:cs="Miriam"/>
          <w:spacing w:val="0"/>
          <w:szCs w:val="24"/>
          <w:rtl/>
        </w:rPr>
        <w:t>מקנה לה את הסמכות</w:t>
      </w:r>
      <w:r w:rsidRPr="00B84B20">
        <w:rPr>
          <w:rtl/>
        </w:rPr>
        <w:t xml:space="preserve"> להטיל את ההגבלות</w:t>
      </w:r>
      <w:r w:rsidRPr="00B84B20">
        <w:rPr>
          <w:rFonts w:hint="cs"/>
          <w:rtl/>
        </w:rPr>
        <w:t>" (ההדגשה במקור)).</w:t>
      </w:r>
    </w:p>
    <w:p w:rsidR="00737972" w:rsidRDefault="00737972" w:rsidP="00737972">
      <w:pPr>
        <w:pStyle w:val="Ruller41"/>
        <w:rPr>
          <w:rtl/>
        </w:rPr>
      </w:pPr>
    </w:p>
    <w:p w:rsidR="00737972" w:rsidRPr="00B544F7" w:rsidRDefault="00737972" w:rsidP="00737972">
      <w:pPr>
        <w:pStyle w:val="Ruller4"/>
      </w:pPr>
      <w:r>
        <w:rPr>
          <w:rFonts w:hint="cs"/>
          <w:rtl/>
        </w:rPr>
        <w:t xml:space="preserve">בנקל ניתן לשער </w:t>
      </w:r>
      <w:r w:rsidRPr="00654B77">
        <w:rPr>
          <w:rFonts w:hint="cs"/>
          <w:rtl/>
        </w:rPr>
        <w:t xml:space="preserve">מה היה פוסק בית משפט זה אם </w:t>
      </w:r>
      <w:r>
        <w:rPr>
          <w:rFonts w:hint="cs"/>
          <w:rtl/>
        </w:rPr>
        <w:t xml:space="preserve">בתיק המתנהל לפניו היה צריך להידרש לשאלת התנהלותו של </w:t>
      </w:r>
      <w:r w:rsidRPr="00654B77">
        <w:rPr>
          <w:rFonts w:hint="cs"/>
          <w:rtl/>
        </w:rPr>
        <w:t xml:space="preserve">פקיד רישוי ברשות מקומית </w:t>
      </w:r>
      <w:r>
        <w:rPr>
          <w:rFonts w:hint="cs"/>
          <w:rtl/>
        </w:rPr>
        <w:t>אשר ה</w:t>
      </w:r>
      <w:r w:rsidRPr="00654B77">
        <w:rPr>
          <w:rFonts w:hint="cs"/>
          <w:rtl/>
        </w:rPr>
        <w:t xml:space="preserve">עניק רישיון </w:t>
      </w:r>
      <w:r>
        <w:rPr>
          <w:rFonts w:hint="cs"/>
          <w:rtl/>
        </w:rPr>
        <w:t xml:space="preserve">מסוים </w:t>
      </w:r>
      <w:r w:rsidRPr="00654B77">
        <w:rPr>
          <w:rFonts w:hint="cs"/>
          <w:rtl/>
        </w:rPr>
        <w:t>ללא סמכות</w:t>
      </w:r>
      <w:r>
        <w:rPr>
          <w:rFonts w:hint="cs"/>
          <w:rtl/>
        </w:rPr>
        <w:t>,</w:t>
      </w:r>
      <w:r w:rsidRPr="00654B77">
        <w:rPr>
          <w:rFonts w:hint="cs"/>
          <w:rtl/>
        </w:rPr>
        <w:t xml:space="preserve"> בטענה כי קיים </w:t>
      </w:r>
      <w:r>
        <w:rPr>
          <w:rFonts w:hint="cs"/>
          <w:rtl/>
        </w:rPr>
        <w:t>"</w:t>
      </w:r>
      <w:r w:rsidRPr="00654B77">
        <w:rPr>
          <w:rFonts w:hint="cs"/>
          <w:rtl/>
        </w:rPr>
        <w:t>צורך</w:t>
      </w:r>
      <w:r>
        <w:rPr>
          <w:rFonts w:hint="cs"/>
          <w:rtl/>
        </w:rPr>
        <w:t>"</w:t>
      </w:r>
      <w:r w:rsidRPr="00654B77">
        <w:rPr>
          <w:rFonts w:hint="cs"/>
          <w:rtl/>
        </w:rPr>
        <w:t xml:space="preserve"> או </w:t>
      </w:r>
      <w:r>
        <w:rPr>
          <w:rFonts w:hint="cs"/>
          <w:rtl/>
        </w:rPr>
        <w:t>"</w:t>
      </w:r>
      <w:r w:rsidRPr="00654B77">
        <w:rPr>
          <w:rFonts w:hint="cs"/>
          <w:rtl/>
        </w:rPr>
        <w:t>הצדקה</w:t>
      </w:r>
      <w:r>
        <w:rPr>
          <w:rFonts w:hint="cs"/>
          <w:rtl/>
        </w:rPr>
        <w:t>"</w:t>
      </w:r>
      <w:r w:rsidRPr="00654B77">
        <w:rPr>
          <w:rFonts w:hint="cs"/>
          <w:rtl/>
        </w:rPr>
        <w:t xml:space="preserve"> לכך. </w:t>
      </w:r>
      <w:r>
        <w:rPr>
          <w:rFonts w:hint="cs"/>
          <w:rtl/>
        </w:rPr>
        <w:t>בית משפט זה היה דוחה את הטענה מכל וכל, תוך הבהרה כי אין מדובר בשיקול אשר יש בכוחו להקנות סמכות לגורם מינהלי כלשהו. על אותו משקל ניתן רק לשער מה היה פוסק בית משפט זה במקרה שבו היה בית דין רבני חורג מסמכותו תוך הסתמכות על עקרונות יהודיים בשל "צורך" ו"נחיצות".</w:t>
      </w:r>
    </w:p>
    <w:p w:rsidR="00737972" w:rsidRDefault="00737972" w:rsidP="00737972">
      <w:pPr>
        <w:pStyle w:val="Ruller41"/>
        <w:rPr>
          <w:u w:val="single"/>
          <w:rtl/>
        </w:rPr>
      </w:pPr>
    </w:p>
    <w:p w:rsidR="00737972" w:rsidRDefault="00737972" w:rsidP="00737972">
      <w:pPr>
        <w:pStyle w:val="Ruller4"/>
        <w:rPr>
          <w:u w:val="single"/>
          <w:rtl/>
        </w:rPr>
      </w:pPr>
      <w:r>
        <w:rPr>
          <w:rFonts w:hint="cs"/>
          <w:rtl/>
        </w:rPr>
        <w:lastRenderedPageBreak/>
        <w:t xml:space="preserve">אוסיף כי הטענה שבית משפט זה הוא "הגורם המתאים" לפיקוח על גבולות סמכותה של הרשות המכוננת </w:t>
      </w:r>
      <w:r>
        <w:rPr>
          <w:rtl/>
        </w:rPr>
        <w:t>–</w:t>
      </w:r>
      <w:r>
        <w:rPr>
          <w:rFonts w:hint="cs"/>
          <w:rtl/>
        </w:rPr>
        <w:t xml:space="preserve"> מעבר לכך שכאמור חולק אני מכל וכל על רלוונטיות השאלה בדבר זהות "הגורם המתאים" לעניין מישור הסמכות </w:t>
      </w:r>
      <w:r>
        <w:rPr>
          <w:rtl/>
        </w:rPr>
        <w:t>–</w:t>
      </w:r>
      <w:r>
        <w:rPr>
          <w:rFonts w:hint="cs"/>
          <w:rtl/>
        </w:rPr>
        <w:t xml:space="preserve"> ראויה לבירור ואיננה מובנת מאליה. אין זה מובן מאליו כלל להפקיד את בית המשפט "בראש הפירמידה" באופן שיש בכוחו לעצב את גדריהן של סמכויות הרשויות כולן. לא רק שאין בסיס עובדתי לטענה כי בית המשפט </w:t>
      </w:r>
      <w:r>
        <w:rPr>
          <w:rtl/>
        </w:rPr>
        <w:t>–</w:t>
      </w:r>
      <w:r>
        <w:rPr>
          <w:rFonts w:hint="cs"/>
          <w:rtl/>
        </w:rPr>
        <w:t xml:space="preserve"> כעיקרון </w:t>
      </w:r>
      <w:r>
        <w:rPr>
          <w:rtl/>
        </w:rPr>
        <w:t>–</w:t>
      </w:r>
      <w:r>
        <w:rPr>
          <w:rFonts w:hint="cs"/>
          <w:rtl/>
        </w:rPr>
        <w:t xml:space="preserve"> מקבל החלטות "טוב" יותר משל המחוקק בכל עניין ובכל היבט, אף הטענה כי בית המשפט מממש את הערכים החוקתיים באופן "המתאים" ביותר, טעונה דיון (וראו למשל: </w:t>
      </w:r>
      <w:r w:rsidRPr="0080446A">
        <w:rPr>
          <w:rFonts w:hint="cs"/>
          <w:rtl/>
        </w:rPr>
        <w:t xml:space="preserve">אלון הראל "הזכות לביקורת שיפוטית" </w:t>
      </w:r>
      <w:r w:rsidRPr="0080446A">
        <w:rPr>
          <w:rFonts w:ascii="Century" w:hAnsi="Century" w:cs="Miriam" w:hint="cs"/>
          <w:b/>
          <w:spacing w:val="0"/>
          <w:szCs w:val="24"/>
          <w:rtl/>
        </w:rPr>
        <w:t>משפטים</w:t>
      </w:r>
      <w:r w:rsidRPr="0080446A">
        <w:rPr>
          <w:rFonts w:hint="cs"/>
          <w:rtl/>
        </w:rPr>
        <w:t xml:space="preserve"> מ 239 (</w:t>
      </w:r>
      <w:r>
        <w:rPr>
          <w:rFonts w:hint="cs"/>
          <w:rtl/>
        </w:rPr>
        <w:t xml:space="preserve">2011)). </w:t>
      </w:r>
    </w:p>
    <w:p w:rsidR="00737972" w:rsidRPr="007F1F8A" w:rsidRDefault="00737972" w:rsidP="00737972">
      <w:pPr>
        <w:pStyle w:val="Ruller41"/>
        <w:rPr>
          <w:u w:val="single"/>
          <w:rtl/>
        </w:rPr>
      </w:pPr>
    </w:p>
    <w:p w:rsidR="00737972" w:rsidRPr="00E509AA" w:rsidRDefault="00737972" w:rsidP="00737972">
      <w:pPr>
        <w:pStyle w:val="Ruller4"/>
        <w:rPr>
          <w:u w:val="single"/>
          <w:rtl/>
        </w:rPr>
      </w:pPr>
      <w:r>
        <w:rPr>
          <w:rFonts w:hint="cs"/>
          <w:rtl/>
        </w:rPr>
        <w:t xml:space="preserve">בשולי פרק זה, אציין כי </w:t>
      </w:r>
      <w:r w:rsidRPr="006F686D">
        <w:rPr>
          <w:rFonts w:hint="cs"/>
          <w:rtl/>
        </w:rPr>
        <w:t xml:space="preserve">חברי השופט </w:t>
      </w:r>
      <w:r w:rsidRPr="006F686D">
        <w:rPr>
          <w:rFonts w:ascii="Century" w:hAnsi="Century" w:cs="Miriam" w:hint="cs"/>
          <w:b/>
          <w:spacing w:val="0"/>
          <w:szCs w:val="24"/>
          <w:rtl/>
        </w:rPr>
        <w:t>עמית</w:t>
      </w:r>
      <w:r w:rsidRPr="006F686D">
        <w:rPr>
          <w:rFonts w:hint="cs"/>
          <w:rtl/>
        </w:rPr>
        <w:t xml:space="preserve"> </w:t>
      </w:r>
      <w:r>
        <w:rPr>
          <w:rFonts w:hint="cs"/>
          <w:rtl/>
        </w:rPr>
        <w:t>מציין כי עצם העובדה שהועלתה לאחרונה הצעת חוק על פיה לבית המשפט העליון לא תהא נתונה סמכות לדון בתוקפו של חוק יסוד</w:t>
      </w:r>
      <w:r w:rsidRPr="00996A69">
        <w:rPr>
          <w:rFonts w:hint="cs"/>
          <w:rtl/>
        </w:rPr>
        <w:t xml:space="preserve"> </w:t>
      </w:r>
      <w:r>
        <w:rPr>
          <w:rFonts w:hint="cs"/>
          <w:rtl/>
        </w:rPr>
        <w:t xml:space="preserve">(הצעת חוק (תיקון מס' 3) (חיזוק הפרדת רשויות), ה"ח 947) "תומכת במסקנה כי הגישה הרווחת היא שיש כיום סמכות כזו". אלא שכמעט </w:t>
      </w:r>
      <w:r w:rsidRPr="00CB2316">
        <w:rPr>
          <w:rFonts w:hint="cs"/>
          <w:rtl/>
        </w:rPr>
        <w:t>אין צריך לומר כי אין בכוחה של "גישה רווחת" כדי לשמש מקור סמכות</w:t>
      </w:r>
      <w:r>
        <w:rPr>
          <w:rFonts w:hint="cs"/>
          <w:rtl/>
        </w:rPr>
        <w:t xml:space="preserve">. על פי שיטת משפטנו, פעילות ללא הסמכה בחוק על בסיס "נוהג" קיים, אינה הופכת מעשה בלתי חוקי לחוקי (ראו למשל: </w:t>
      </w:r>
      <w:r w:rsidRPr="00C5364C">
        <w:rPr>
          <w:rFonts w:hint="cs"/>
          <w:rtl/>
        </w:rPr>
        <w:t xml:space="preserve">עניין </w:t>
      </w:r>
      <w:r w:rsidRPr="00C5364C">
        <w:rPr>
          <w:rFonts w:ascii="Century" w:hAnsi="Century" w:cs="Miriam" w:hint="cs"/>
          <w:b/>
          <w:spacing w:val="0"/>
          <w:sz w:val="22"/>
          <w:szCs w:val="24"/>
          <w:rtl/>
        </w:rPr>
        <w:t>סלוין</w:t>
      </w:r>
      <w:r>
        <w:rPr>
          <w:rFonts w:hint="cs"/>
          <w:rtl/>
        </w:rPr>
        <w:t xml:space="preserve">, פסקה 39). </w:t>
      </w:r>
      <w:r w:rsidRPr="00CB2316">
        <w:rPr>
          <w:rFonts w:hint="cs"/>
          <w:rtl/>
        </w:rPr>
        <w:t>לא ברור</w:t>
      </w:r>
      <w:r>
        <w:rPr>
          <w:rFonts w:hint="cs"/>
          <w:rtl/>
        </w:rPr>
        <w:t xml:space="preserve"> כיצד דיון בדבר גישה רווחת עשוי</w:t>
      </w:r>
      <w:r w:rsidRPr="00CB2316">
        <w:rPr>
          <w:rFonts w:hint="cs"/>
          <w:rtl/>
        </w:rPr>
        <w:t xml:space="preserve"> לתרום לשאלת קיומו של מקור סמכות מבורר לביסוס ביקורת שיפוטית חריגה וקיצונית של ביטול חקיקת יסוד. בכל מקרה, הנחת היסודות לקיומה </w:t>
      </w:r>
      <w:r>
        <w:rPr>
          <w:rFonts w:hint="cs"/>
          <w:rtl/>
        </w:rPr>
        <w:t xml:space="preserve">של </w:t>
      </w:r>
      <w:r w:rsidRPr="00CB2316">
        <w:rPr>
          <w:rFonts w:hint="cs"/>
          <w:rtl/>
        </w:rPr>
        <w:t xml:space="preserve">"גישה רווחת" כאמור על העובדה שהוגשה הצעת חוק בנושא הינה </w:t>
      </w:r>
      <w:r>
        <w:rPr>
          <w:rFonts w:hint="cs"/>
          <w:rtl/>
        </w:rPr>
        <w:t>מוקשית ביותר</w:t>
      </w:r>
      <w:r w:rsidRPr="00CB2316">
        <w:rPr>
          <w:rFonts w:hint="cs"/>
          <w:rtl/>
        </w:rPr>
        <w:t xml:space="preserve">. המסקנות שניתן להסיק </w:t>
      </w:r>
      <w:r>
        <w:rPr>
          <w:rFonts w:hint="cs"/>
          <w:rtl/>
        </w:rPr>
        <w:t>מ</w:t>
      </w:r>
      <w:r w:rsidRPr="00CB2316">
        <w:rPr>
          <w:rFonts w:hint="cs"/>
          <w:rtl/>
        </w:rPr>
        <w:t xml:space="preserve">עצם העובדה </w:t>
      </w:r>
      <w:r w:rsidRPr="00E76475">
        <w:rPr>
          <w:rFonts w:hint="cs"/>
          <w:rtl/>
        </w:rPr>
        <w:t>שהוגשה הצעת חוק לגבי המצב שקדם לה או לגבי תפיסה רווחת או קיימת, הן דלות</w:t>
      </w:r>
      <w:r>
        <w:rPr>
          <w:rFonts w:hint="cs"/>
          <w:rtl/>
        </w:rPr>
        <w:t xml:space="preserve"> (והשוו: פסקה 16 לחוות דעתו של חברי השופט </w:t>
      </w:r>
      <w:r w:rsidRPr="00E3724D">
        <w:rPr>
          <w:rFonts w:ascii="Century" w:hAnsi="Century" w:cs="Miriam" w:hint="cs"/>
          <w:b/>
          <w:spacing w:val="0"/>
          <w:sz w:val="22"/>
          <w:szCs w:val="24"/>
          <w:rtl/>
        </w:rPr>
        <w:t>עמית</w:t>
      </w:r>
      <w:r>
        <w:rPr>
          <w:rFonts w:hint="cs"/>
          <w:rtl/>
        </w:rPr>
        <w:t>)</w:t>
      </w:r>
      <w:r w:rsidRPr="00E76475">
        <w:rPr>
          <w:rFonts w:hint="cs"/>
          <w:rtl/>
        </w:rPr>
        <w:t xml:space="preserve">. </w:t>
      </w:r>
    </w:p>
    <w:p w:rsidR="00737972" w:rsidRPr="00E509AA" w:rsidRDefault="00737972" w:rsidP="00737972">
      <w:pPr>
        <w:pStyle w:val="Ruller4"/>
        <w:numPr>
          <w:ilvl w:val="0"/>
          <w:numId w:val="0"/>
        </w:numPr>
        <w:rPr>
          <w:u w:val="single"/>
          <w:rtl/>
        </w:rPr>
      </w:pPr>
    </w:p>
    <w:p w:rsidR="00737972" w:rsidRDefault="00737972" w:rsidP="00737972">
      <w:pPr>
        <w:pStyle w:val="Ruller4"/>
        <w:rPr>
          <w:rtl/>
        </w:rPr>
      </w:pPr>
      <w:r w:rsidRPr="00E76475">
        <w:rPr>
          <w:rFonts w:hint="cs"/>
          <w:rtl/>
        </w:rPr>
        <w:t>לא למותר לציין כי במשך השנים הוגשו הצעות חוק שונות המבקשות לעגן את עליונותם של חוקי היסוד על דברי חקיקה רגילה (הצעת חוק יסוד</w:t>
      </w:r>
      <w:r>
        <w:rPr>
          <w:rFonts w:hint="cs"/>
          <w:rtl/>
        </w:rPr>
        <w:t xml:space="preserve">: החקיקה, ה"ח 2988 משנת 2001; הצעת חוק יסוד: החקיקה פ/1383/22; הצעת חוק יסוד: החקיקה פ/1843/17; הצעת חוק יסוד: החקיקה פ/981/23 משנת 2020; וכן </w:t>
      </w:r>
      <w:r w:rsidRPr="00CB2316">
        <w:rPr>
          <w:rFonts w:hint="cs"/>
          <w:rtl/>
        </w:rPr>
        <w:t xml:space="preserve">תזכיר חוק </w:t>
      </w:r>
      <w:r w:rsidRPr="00AE1758">
        <w:rPr>
          <w:rFonts w:ascii="Century" w:hAnsi="Century" w:cs="Miriam" w:hint="cs"/>
          <w:b/>
          <w:spacing w:val="0"/>
          <w:szCs w:val="24"/>
          <w:rtl/>
        </w:rPr>
        <w:t>ממשלתי</w:t>
      </w:r>
      <w:r w:rsidRPr="00CB2316">
        <w:rPr>
          <w:rFonts w:hint="cs"/>
          <w:rtl/>
        </w:rPr>
        <w:t xml:space="preserve"> חוק יסוד: החקיקה</w:t>
      </w:r>
      <w:r>
        <w:rPr>
          <w:rFonts w:hint="cs"/>
          <w:rtl/>
        </w:rPr>
        <w:t xml:space="preserve"> שהופץ </w:t>
      </w:r>
      <w:r w:rsidRPr="00CB2316">
        <w:rPr>
          <w:rFonts w:hint="cs"/>
          <w:rtl/>
        </w:rPr>
        <w:t xml:space="preserve">בשנת 2017 </w:t>
      </w:r>
      <w:r>
        <w:rPr>
          <w:rFonts w:hint="cs"/>
          <w:rtl/>
        </w:rPr>
        <w:t xml:space="preserve">ובו </w:t>
      </w:r>
      <w:r w:rsidRPr="00CB2316">
        <w:rPr>
          <w:rFonts w:hint="cs"/>
          <w:rtl/>
        </w:rPr>
        <w:t>הוצע לעגן "</w:t>
      </w:r>
      <w:r w:rsidRPr="00CB2316">
        <w:rPr>
          <w:rFonts w:hint="eastAsia"/>
          <w:rtl/>
        </w:rPr>
        <w:t>בצורה</w:t>
      </w:r>
      <w:r w:rsidRPr="00CB2316">
        <w:rPr>
          <w:rtl/>
        </w:rPr>
        <w:t xml:space="preserve"> </w:t>
      </w:r>
      <w:r w:rsidRPr="00CB2316">
        <w:rPr>
          <w:rFonts w:hint="eastAsia"/>
          <w:rtl/>
        </w:rPr>
        <w:t>מפורשת</w:t>
      </w:r>
      <w:r w:rsidRPr="00CB2316">
        <w:rPr>
          <w:rtl/>
        </w:rPr>
        <w:t xml:space="preserve"> </w:t>
      </w:r>
      <w:r w:rsidRPr="00CB2316">
        <w:rPr>
          <w:rFonts w:hint="eastAsia"/>
          <w:rtl/>
        </w:rPr>
        <w:t>את</w:t>
      </w:r>
      <w:r w:rsidRPr="00CB2316">
        <w:rPr>
          <w:rtl/>
        </w:rPr>
        <w:t xml:space="preserve"> </w:t>
      </w:r>
      <w:r w:rsidRPr="00CB2316">
        <w:rPr>
          <w:rFonts w:hint="eastAsia"/>
          <w:rtl/>
        </w:rPr>
        <w:t>סמכות</w:t>
      </w:r>
      <w:r w:rsidRPr="00CB2316">
        <w:rPr>
          <w:rtl/>
        </w:rPr>
        <w:t xml:space="preserve"> </w:t>
      </w:r>
      <w:r w:rsidRPr="00CB2316">
        <w:rPr>
          <w:rFonts w:hint="eastAsia"/>
          <w:rtl/>
        </w:rPr>
        <w:t>בית</w:t>
      </w:r>
      <w:r w:rsidRPr="00CB2316">
        <w:rPr>
          <w:rtl/>
        </w:rPr>
        <w:t xml:space="preserve"> </w:t>
      </w:r>
      <w:r w:rsidRPr="00CB2316">
        <w:rPr>
          <w:rFonts w:hint="eastAsia"/>
          <w:rtl/>
        </w:rPr>
        <w:t>המשפט</w:t>
      </w:r>
      <w:r w:rsidRPr="00CB2316">
        <w:rPr>
          <w:rtl/>
        </w:rPr>
        <w:t xml:space="preserve"> </w:t>
      </w:r>
      <w:r w:rsidRPr="00CB2316">
        <w:rPr>
          <w:rFonts w:hint="eastAsia"/>
          <w:rtl/>
        </w:rPr>
        <w:t>העליון</w:t>
      </w:r>
      <w:r w:rsidRPr="00CB2316">
        <w:rPr>
          <w:rtl/>
        </w:rPr>
        <w:t xml:space="preserve"> </w:t>
      </w:r>
      <w:r w:rsidRPr="00CB2316">
        <w:rPr>
          <w:rFonts w:hint="eastAsia"/>
          <w:rtl/>
        </w:rPr>
        <w:t>לבקר</w:t>
      </w:r>
      <w:r w:rsidRPr="00CB2316">
        <w:rPr>
          <w:rtl/>
        </w:rPr>
        <w:t xml:space="preserve"> </w:t>
      </w:r>
      <w:r w:rsidRPr="00CB2316">
        <w:rPr>
          <w:rFonts w:hint="eastAsia"/>
          <w:rtl/>
        </w:rPr>
        <w:t>את</w:t>
      </w:r>
      <w:r w:rsidRPr="00CB2316">
        <w:rPr>
          <w:rtl/>
        </w:rPr>
        <w:t xml:space="preserve"> </w:t>
      </w:r>
      <w:r w:rsidRPr="00CB2316">
        <w:rPr>
          <w:rFonts w:hint="eastAsia"/>
          <w:rtl/>
        </w:rPr>
        <w:t>חקיקת</w:t>
      </w:r>
      <w:r w:rsidRPr="00CB2316">
        <w:rPr>
          <w:rtl/>
        </w:rPr>
        <w:t xml:space="preserve"> </w:t>
      </w:r>
      <w:r w:rsidRPr="00CB2316">
        <w:rPr>
          <w:rFonts w:hint="eastAsia"/>
          <w:rtl/>
        </w:rPr>
        <w:t>הכנסת</w:t>
      </w:r>
      <w:r w:rsidRPr="00CB2316">
        <w:rPr>
          <w:rtl/>
        </w:rPr>
        <w:t xml:space="preserve"> </w:t>
      </w:r>
      <w:r w:rsidRPr="00CB2316">
        <w:rPr>
          <w:rFonts w:hint="eastAsia"/>
          <w:rtl/>
        </w:rPr>
        <w:t>ולפסול</w:t>
      </w:r>
      <w:r w:rsidRPr="00CB2316">
        <w:rPr>
          <w:rtl/>
        </w:rPr>
        <w:t xml:space="preserve"> </w:t>
      </w:r>
      <w:r w:rsidRPr="00CB2316">
        <w:rPr>
          <w:rFonts w:hint="eastAsia"/>
          <w:rtl/>
        </w:rPr>
        <w:t>חוקים</w:t>
      </w:r>
      <w:r w:rsidRPr="00CB2316">
        <w:rPr>
          <w:rtl/>
        </w:rPr>
        <w:t xml:space="preserve"> </w:t>
      </w:r>
      <w:r w:rsidRPr="00CB2316">
        <w:rPr>
          <w:rFonts w:hint="eastAsia"/>
          <w:rtl/>
        </w:rPr>
        <w:t>במקרים</w:t>
      </w:r>
      <w:r w:rsidRPr="00CB2316">
        <w:rPr>
          <w:rtl/>
        </w:rPr>
        <w:t xml:space="preserve"> </w:t>
      </w:r>
      <w:r w:rsidRPr="00CB2316">
        <w:rPr>
          <w:rFonts w:hint="eastAsia"/>
          <w:rtl/>
        </w:rPr>
        <w:t>המתאימים</w:t>
      </w:r>
      <w:r>
        <w:rPr>
          <w:rFonts w:hint="cs"/>
          <w:rtl/>
        </w:rPr>
        <w:t xml:space="preserve">"). זאת על אף שאין חולק כי </w:t>
      </w:r>
      <w:r w:rsidRPr="00AE1758">
        <w:rPr>
          <w:rFonts w:ascii="Century" w:hAnsi="Century" w:hint="cs"/>
          <w:rtl/>
        </w:rPr>
        <w:t>התפיסה שהשתרשה בפסיקתנו</w:t>
      </w:r>
      <w:r w:rsidRPr="00AE1758">
        <w:rPr>
          <w:rFonts w:ascii="Century" w:hAnsi="Century" w:cs="Miriam" w:hint="cs"/>
          <w:b/>
          <w:spacing w:val="0"/>
          <w:szCs w:val="24"/>
          <w:rtl/>
        </w:rPr>
        <w:t xml:space="preserve"> </w:t>
      </w:r>
      <w:r>
        <w:rPr>
          <w:rFonts w:hint="cs"/>
          <w:rtl/>
        </w:rPr>
        <w:t xml:space="preserve">היא כי בסמכותו של בית משפט זה לקיים ביקורת שיפוטית על דברי חקיקה "רגילים" (גם אם לשיטתי כאמור, מדובר בסמכות הבנויה על אדנים רעועים ולא היה מקום להשרישה). כלום יש מי שסבור כי העובדה שבהצעות חוק התבקש לעגן את עליונותם של חוקי היסוד על דבר חקיקה </w:t>
      </w:r>
      <w:r>
        <w:rPr>
          <w:rFonts w:hint="cs"/>
          <w:rtl/>
        </w:rPr>
        <w:lastRenderedPageBreak/>
        <w:t>"רגיל", משמעותה כי "הגישה הרווחת" בעניין זה היא הפוכה, ויש בכך כדי להשליך גם על שאלת סמכותו של בית משפט זה להתערב בהוראות חקיקה</w:t>
      </w:r>
      <w:r w:rsidRPr="00DB3C71">
        <w:rPr>
          <w:rFonts w:hint="cs"/>
          <w:rtl/>
        </w:rPr>
        <w:t>?</w:t>
      </w:r>
      <w:r w:rsidRPr="00E509AA">
        <w:rPr>
          <w:rFonts w:hint="cs"/>
          <w:rtl/>
        </w:rPr>
        <w:t xml:space="preserve"> אדרבה,</w:t>
      </w:r>
      <w:r>
        <w:rPr>
          <w:rFonts w:hint="cs"/>
          <w:rtl/>
        </w:rPr>
        <w:t xml:space="preserve"> הואיל והכנסת חולקת על פרישת היקף סמכותו של בית משפט זה לבקר חוקי יסוד, הצעת החוק האמורה הייתה בבחינת ניסיון "להקדים תרופה למכה". </w:t>
      </w:r>
      <w:r w:rsidRPr="006E6544">
        <w:rPr>
          <w:rFonts w:hint="eastAsia"/>
          <w:rtl/>
        </w:rPr>
        <w:t>ולא</w:t>
      </w:r>
      <w:r w:rsidRPr="006E6544">
        <w:rPr>
          <w:rtl/>
        </w:rPr>
        <w:t xml:space="preserve"> </w:t>
      </w:r>
      <w:r w:rsidRPr="006E6544">
        <w:rPr>
          <w:rFonts w:hint="eastAsia"/>
          <w:rtl/>
        </w:rPr>
        <w:t>בכדי</w:t>
      </w:r>
      <w:r w:rsidRPr="006E6544">
        <w:rPr>
          <w:rtl/>
        </w:rPr>
        <w:t xml:space="preserve"> </w:t>
      </w:r>
      <w:r w:rsidRPr="006E6544">
        <w:rPr>
          <w:rFonts w:hint="eastAsia"/>
          <w:rtl/>
        </w:rPr>
        <w:t>יש</w:t>
      </w:r>
      <w:r w:rsidRPr="006E6544">
        <w:rPr>
          <w:rtl/>
        </w:rPr>
        <w:t xml:space="preserve"> </w:t>
      </w:r>
      <w:r w:rsidRPr="006E6544">
        <w:rPr>
          <w:rFonts w:hint="eastAsia"/>
          <w:rtl/>
        </w:rPr>
        <w:t>רגליים</w:t>
      </w:r>
      <w:r w:rsidRPr="006E6544">
        <w:rPr>
          <w:rtl/>
        </w:rPr>
        <w:t xml:space="preserve"> </w:t>
      </w:r>
      <w:r w:rsidRPr="006E6544">
        <w:rPr>
          <w:rFonts w:hint="eastAsia"/>
          <w:rtl/>
        </w:rPr>
        <w:t>לחשש</w:t>
      </w:r>
      <w:r w:rsidRPr="006E6544">
        <w:rPr>
          <w:rtl/>
        </w:rPr>
        <w:t xml:space="preserve"> </w:t>
      </w:r>
      <w:r w:rsidRPr="006E6544">
        <w:rPr>
          <w:rFonts w:hint="eastAsia"/>
          <w:rtl/>
        </w:rPr>
        <w:t>האמור</w:t>
      </w:r>
      <w:r w:rsidRPr="006E6544">
        <w:rPr>
          <w:rtl/>
        </w:rPr>
        <w:t xml:space="preserve">, </w:t>
      </w:r>
      <w:r w:rsidRPr="006E6544">
        <w:rPr>
          <w:rFonts w:hint="eastAsia"/>
          <w:rtl/>
        </w:rPr>
        <w:t>וחוות</w:t>
      </w:r>
      <w:r w:rsidRPr="006E6544">
        <w:rPr>
          <w:rtl/>
        </w:rPr>
        <w:t xml:space="preserve"> </w:t>
      </w:r>
      <w:r w:rsidRPr="006E6544">
        <w:rPr>
          <w:rFonts w:hint="eastAsia"/>
          <w:rtl/>
        </w:rPr>
        <w:t>דעתם</w:t>
      </w:r>
      <w:r w:rsidRPr="006E6544">
        <w:rPr>
          <w:rtl/>
        </w:rPr>
        <w:t xml:space="preserve"> </w:t>
      </w:r>
      <w:r w:rsidRPr="006E6544">
        <w:rPr>
          <w:rFonts w:hint="eastAsia"/>
          <w:rtl/>
        </w:rPr>
        <w:t>של</w:t>
      </w:r>
      <w:r w:rsidRPr="006E6544">
        <w:rPr>
          <w:rtl/>
        </w:rPr>
        <w:t xml:space="preserve"> </w:t>
      </w:r>
      <w:r w:rsidRPr="006E6544">
        <w:rPr>
          <w:rFonts w:hint="eastAsia"/>
          <w:rtl/>
        </w:rPr>
        <w:t>חלק</w:t>
      </w:r>
      <w:r w:rsidRPr="006E6544">
        <w:rPr>
          <w:rtl/>
        </w:rPr>
        <w:t xml:space="preserve"> </w:t>
      </w:r>
      <w:r w:rsidRPr="006E6544">
        <w:rPr>
          <w:rFonts w:hint="eastAsia"/>
          <w:rtl/>
        </w:rPr>
        <w:t>מחבריי</w:t>
      </w:r>
      <w:r w:rsidRPr="006E6544">
        <w:rPr>
          <w:rtl/>
        </w:rPr>
        <w:t xml:space="preserve"> </w:t>
      </w:r>
      <w:r w:rsidRPr="006E6544">
        <w:rPr>
          <w:rFonts w:hint="eastAsia"/>
          <w:rtl/>
        </w:rPr>
        <w:t>בפסק</w:t>
      </w:r>
      <w:r w:rsidRPr="006E6544">
        <w:rPr>
          <w:rtl/>
        </w:rPr>
        <w:t xml:space="preserve"> </w:t>
      </w:r>
      <w:r w:rsidRPr="006E6544">
        <w:rPr>
          <w:rFonts w:hint="eastAsia"/>
          <w:rtl/>
        </w:rPr>
        <w:t>דין</w:t>
      </w:r>
      <w:r w:rsidRPr="006E6544">
        <w:rPr>
          <w:rtl/>
        </w:rPr>
        <w:t xml:space="preserve"> </w:t>
      </w:r>
      <w:r w:rsidRPr="006E6544">
        <w:rPr>
          <w:rFonts w:hint="eastAsia"/>
          <w:rtl/>
        </w:rPr>
        <w:t>זה</w:t>
      </w:r>
      <w:r w:rsidRPr="006E6544">
        <w:rPr>
          <w:rtl/>
        </w:rPr>
        <w:t xml:space="preserve"> </w:t>
      </w:r>
      <w:r w:rsidRPr="006E6544">
        <w:rPr>
          <w:rFonts w:hint="eastAsia"/>
          <w:rtl/>
        </w:rPr>
        <w:t>מוכיחות</w:t>
      </w:r>
      <w:r w:rsidRPr="006E6544">
        <w:rPr>
          <w:rtl/>
        </w:rPr>
        <w:t xml:space="preserve"> זאת</w:t>
      </w:r>
      <w:r>
        <w:rPr>
          <w:rFonts w:hint="cs"/>
          <w:rtl/>
        </w:rPr>
        <w:t xml:space="preserve">. </w:t>
      </w:r>
    </w:p>
    <w:p w:rsidR="00737972" w:rsidRDefault="00737972" w:rsidP="00737972">
      <w:pPr>
        <w:pStyle w:val="Ruller41"/>
        <w:rPr>
          <w:b/>
          <w:bCs/>
          <w:u w:val="single"/>
          <w:rtl/>
        </w:rPr>
      </w:pPr>
    </w:p>
    <w:p w:rsidR="00737972" w:rsidRPr="00A07E28" w:rsidRDefault="00737972" w:rsidP="00737972">
      <w:pPr>
        <w:pStyle w:val="Ruller41"/>
        <w:rPr>
          <w:rFonts w:ascii="Century" w:hAnsi="Century" w:cs="Miriam"/>
          <w:b/>
          <w:spacing w:val="0"/>
          <w:szCs w:val="24"/>
          <w:rtl/>
        </w:rPr>
      </w:pPr>
      <w:r w:rsidRPr="00A07E28">
        <w:rPr>
          <w:rFonts w:ascii="Century" w:hAnsi="Century" w:cs="Miriam" w:hint="cs"/>
          <w:b/>
          <w:spacing w:val="0"/>
          <w:szCs w:val="24"/>
          <w:rtl/>
        </w:rPr>
        <w:t>המדרון החלקלק</w:t>
      </w:r>
    </w:p>
    <w:p w:rsidR="00737972" w:rsidRDefault="00737972" w:rsidP="00737972">
      <w:pPr>
        <w:pStyle w:val="Ruller4"/>
        <w:rPr>
          <w:rtl/>
        </w:rPr>
      </w:pPr>
      <w:r>
        <w:rPr>
          <w:rFonts w:hint="cs"/>
          <w:rtl/>
        </w:rPr>
        <w:t xml:space="preserve">הדברים שנאמרו על ידי בעבר בקשר לשאלת הסמכות, מקבלים הפעם משנה תוקף, חיזוק ותיקוף. לא רק שבית משפט זה מאמץ לחיקו דוקטרינות המאפשרות ביקורת על חוקי יסוד העומדות כאמור בסתירה חזיתית עם התפיסה ממנה שאב את סמכויותיו לבקר חוקים רגילים, התוצר שיוצא מתחת ידו נעדר גבולות גזרה ברורים. דוקטרינות אלו הצומחות "יש מאין" כסוס פרא מחוסר רסן, ללא כל מקור סמכות, משוחררות הלכה למעשה מכל הגבלה, ונעדרות מסגרת כללים ברורה שיש בכוחה לתחם את גבולותיהן. בהיעדר מקור סמכות, ללא </w:t>
      </w:r>
      <w:r w:rsidRPr="00BE6FC7">
        <w:rPr>
          <w:rFonts w:hint="cs"/>
          <w:rtl/>
        </w:rPr>
        <w:t xml:space="preserve">גבולות, "איש הישר בעיניו יעשה". </w:t>
      </w:r>
      <w:r w:rsidRPr="00BE6FC7">
        <w:rPr>
          <w:rFonts w:hint="eastAsia"/>
          <w:rtl/>
        </w:rPr>
        <w:t>הריסון</w:t>
      </w:r>
      <w:r w:rsidRPr="00BE6FC7">
        <w:rPr>
          <w:rtl/>
        </w:rPr>
        <w:t xml:space="preserve"> </w:t>
      </w:r>
      <w:r w:rsidRPr="00BE6FC7">
        <w:rPr>
          <w:rFonts w:hint="eastAsia"/>
          <w:rtl/>
        </w:rPr>
        <w:t>העצמי</w:t>
      </w:r>
      <w:r w:rsidRPr="00BE6FC7">
        <w:rPr>
          <w:rtl/>
        </w:rPr>
        <w:t xml:space="preserve"> </w:t>
      </w:r>
      <w:r w:rsidRPr="00BE6FC7">
        <w:rPr>
          <w:rFonts w:hint="eastAsia"/>
          <w:rtl/>
        </w:rPr>
        <w:t>שבית</w:t>
      </w:r>
      <w:r w:rsidRPr="00BE6FC7">
        <w:rPr>
          <w:rtl/>
        </w:rPr>
        <w:t xml:space="preserve"> </w:t>
      </w:r>
      <w:r w:rsidRPr="00BE6FC7">
        <w:rPr>
          <w:rFonts w:hint="eastAsia"/>
          <w:rtl/>
        </w:rPr>
        <w:t>המשפט</w:t>
      </w:r>
      <w:r w:rsidRPr="00BE6FC7">
        <w:rPr>
          <w:rtl/>
        </w:rPr>
        <w:t xml:space="preserve"> </w:t>
      </w:r>
      <w:r w:rsidRPr="00BE6FC7">
        <w:rPr>
          <w:rFonts w:hint="eastAsia"/>
          <w:rtl/>
        </w:rPr>
        <w:t>טוען</w:t>
      </w:r>
      <w:r w:rsidRPr="00BE6FC7">
        <w:rPr>
          <w:rtl/>
        </w:rPr>
        <w:t xml:space="preserve"> </w:t>
      </w:r>
      <w:r w:rsidRPr="00BE6FC7">
        <w:rPr>
          <w:rFonts w:hint="eastAsia"/>
          <w:rtl/>
        </w:rPr>
        <w:t>שהוא</w:t>
      </w:r>
      <w:r w:rsidRPr="00BE6FC7">
        <w:rPr>
          <w:rtl/>
        </w:rPr>
        <w:t xml:space="preserve"> </w:t>
      </w:r>
      <w:r w:rsidRPr="00BE6FC7">
        <w:rPr>
          <w:rFonts w:hint="eastAsia"/>
          <w:rtl/>
        </w:rPr>
        <w:t>נוקט</w:t>
      </w:r>
      <w:r w:rsidRPr="00BE6FC7">
        <w:rPr>
          <w:rtl/>
        </w:rPr>
        <w:t xml:space="preserve"> </w:t>
      </w:r>
      <w:r w:rsidRPr="00BE6FC7">
        <w:rPr>
          <w:rFonts w:hint="eastAsia"/>
          <w:rtl/>
        </w:rPr>
        <w:t>בו</w:t>
      </w:r>
      <w:r w:rsidRPr="00BE6FC7">
        <w:rPr>
          <w:rtl/>
        </w:rPr>
        <w:t xml:space="preserve">, </w:t>
      </w:r>
      <w:r w:rsidRPr="00BE6FC7">
        <w:rPr>
          <w:rFonts w:hint="eastAsia"/>
          <w:rtl/>
        </w:rPr>
        <w:t>תוך</w:t>
      </w:r>
      <w:r w:rsidRPr="00BE6FC7">
        <w:rPr>
          <w:rtl/>
        </w:rPr>
        <w:t xml:space="preserve"> </w:t>
      </w:r>
      <w:r w:rsidRPr="00BE6FC7">
        <w:rPr>
          <w:rFonts w:hint="cs"/>
          <w:rtl/>
        </w:rPr>
        <w:t>אימוץ אמת מידה כביכול זהירה ומרוסנת (ראו למשל</w:t>
      </w:r>
      <w:r>
        <w:rPr>
          <w:rFonts w:hint="cs"/>
          <w:rtl/>
        </w:rPr>
        <w:t>:</w:t>
      </w:r>
      <w:r w:rsidRPr="00BE6FC7">
        <w:rPr>
          <w:rFonts w:hint="cs"/>
          <w:rtl/>
        </w:rPr>
        <w:t xml:space="preserve"> </w:t>
      </w:r>
      <w:r w:rsidRPr="00BE6FC7">
        <w:rPr>
          <w:rFonts w:hint="eastAsia"/>
          <w:rtl/>
        </w:rPr>
        <w:t>עניין</w:t>
      </w:r>
      <w:r w:rsidRPr="00BE6FC7">
        <w:rPr>
          <w:rtl/>
        </w:rPr>
        <w:t xml:space="preserve"> </w:t>
      </w:r>
      <w:r w:rsidRPr="00BE6FC7">
        <w:rPr>
          <w:rFonts w:ascii="Century" w:hAnsi="Century" w:cs="Miriam" w:hint="eastAsia"/>
          <w:b/>
          <w:spacing w:val="0"/>
          <w:sz w:val="22"/>
          <w:szCs w:val="24"/>
          <w:rtl/>
        </w:rPr>
        <w:t>חוק</w:t>
      </w:r>
      <w:r w:rsidRPr="00BE6FC7">
        <w:rPr>
          <w:rFonts w:ascii="Century" w:hAnsi="Century" w:cs="Miriam"/>
          <w:b/>
          <w:spacing w:val="0"/>
          <w:sz w:val="22"/>
          <w:szCs w:val="24"/>
          <w:rtl/>
        </w:rPr>
        <w:t xml:space="preserve"> </w:t>
      </w:r>
      <w:r w:rsidRPr="00BE6FC7">
        <w:rPr>
          <w:rFonts w:ascii="Century" w:hAnsi="Century" w:cs="Miriam" w:hint="eastAsia"/>
          <w:b/>
          <w:spacing w:val="0"/>
          <w:sz w:val="22"/>
          <w:szCs w:val="24"/>
          <w:rtl/>
        </w:rPr>
        <w:t>הלאום</w:t>
      </w:r>
      <w:r w:rsidRPr="00BE6FC7">
        <w:rPr>
          <w:rtl/>
        </w:rPr>
        <w:t xml:space="preserve">, </w:t>
      </w:r>
      <w:r w:rsidRPr="00BE6FC7">
        <w:rPr>
          <w:rFonts w:hint="eastAsia"/>
          <w:rtl/>
        </w:rPr>
        <w:t>פסקה</w:t>
      </w:r>
      <w:r w:rsidRPr="00BE6FC7">
        <w:rPr>
          <w:rtl/>
        </w:rPr>
        <w:t xml:space="preserve"> 29 </w:t>
      </w:r>
      <w:r w:rsidRPr="00BE6FC7">
        <w:rPr>
          <w:rFonts w:hint="eastAsia"/>
          <w:rtl/>
        </w:rPr>
        <w:t>לחוות</w:t>
      </w:r>
      <w:r w:rsidRPr="00BE6FC7">
        <w:rPr>
          <w:rtl/>
        </w:rPr>
        <w:t xml:space="preserve"> </w:t>
      </w:r>
      <w:r w:rsidRPr="00BE6FC7">
        <w:rPr>
          <w:rFonts w:hint="eastAsia"/>
          <w:rtl/>
        </w:rPr>
        <w:t>דעתה</w:t>
      </w:r>
      <w:r w:rsidRPr="00BE6FC7">
        <w:rPr>
          <w:rtl/>
        </w:rPr>
        <w:t xml:space="preserve"> </w:t>
      </w:r>
      <w:r w:rsidRPr="00BE6FC7">
        <w:rPr>
          <w:rFonts w:hint="eastAsia"/>
          <w:rtl/>
        </w:rPr>
        <w:t>של</w:t>
      </w:r>
      <w:r w:rsidRPr="00BE6FC7">
        <w:rPr>
          <w:rtl/>
        </w:rPr>
        <w:t xml:space="preserve"> </w:t>
      </w:r>
      <w:r w:rsidRPr="00BE6FC7">
        <w:rPr>
          <w:rFonts w:hint="eastAsia"/>
          <w:rtl/>
        </w:rPr>
        <w:t>חברתי</w:t>
      </w:r>
      <w:r w:rsidRPr="00BE6FC7">
        <w:rPr>
          <w:rtl/>
        </w:rPr>
        <w:t xml:space="preserve"> </w:t>
      </w:r>
      <w:r w:rsidRPr="00BE6FC7">
        <w:rPr>
          <w:rFonts w:hint="eastAsia"/>
          <w:rtl/>
        </w:rPr>
        <w:t>הנשיאה</w:t>
      </w:r>
      <w:r w:rsidRPr="00BE6FC7">
        <w:rPr>
          <w:rtl/>
        </w:rPr>
        <w:t xml:space="preserve"> (</w:t>
      </w:r>
      <w:r w:rsidRPr="00BE6FC7">
        <w:rPr>
          <w:rFonts w:hint="eastAsia"/>
          <w:rtl/>
        </w:rPr>
        <w:t>בדימ</w:t>
      </w:r>
      <w:r w:rsidRPr="00BE6FC7">
        <w:rPr>
          <w:rtl/>
        </w:rPr>
        <w:t xml:space="preserve">'); </w:t>
      </w:r>
      <w:r w:rsidRPr="00BE6FC7">
        <w:rPr>
          <w:rFonts w:hint="eastAsia"/>
          <w:rtl/>
        </w:rPr>
        <w:t>בג</w:t>
      </w:r>
      <w:r w:rsidRPr="00BE6FC7">
        <w:rPr>
          <w:rtl/>
        </w:rPr>
        <w:t>"</w:t>
      </w:r>
      <w:r w:rsidRPr="00BE6FC7">
        <w:rPr>
          <w:rFonts w:hint="eastAsia"/>
          <w:rtl/>
        </w:rPr>
        <w:t>ץ</w:t>
      </w:r>
      <w:r w:rsidRPr="00BE6FC7">
        <w:rPr>
          <w:rtl/>
        </w:rPr>
        <w:t xml:space="preserve"> 2905/20 </w:t>
      </w:r>
      <w:r w:rsidRPr="00BE6FC7">
        <w:rPr>
          <w:rFonts w:ascii="Century" w:hAnsi="Century" w:cs="Miriam" w:hint="eastAsia"/>
          <w:b/>
          <w:spacing w:val="0"/>
          <w:sz w:val="22"/>
          <w:szCs w:val="24"/>
          <w:rtl/>
        </w:rPr>
        <w:t>התנועה</w:t>
      </w:r>
      <w:r w:rsidRPr="00BE6FC7">
        <w:rPr>
          <w:rFonts w:ascii="Century" w:hAnsi="Century" w:cs="Miriam"/>
          <w:b/>
          <w:spacing w:val="0"/>
          <w:sz w:val="22"/>
          <w:szCs w:val="24"/>
          <w:rtl/>
        </w:rPr>
        <w:t xml:space="preserve"> </w:t>
      </w:r>
      <w:r w:rsidRPr="00BE6FC7">
        <w:rPr>
          <w:rFonts w:ascii="Century" w:hAnsi="Century" w:cs="Miriam" w:hint="eastAsia"/>
          <w:b/>
          <w:spacing w:val="0"/>
          <w:sz w:val="22"/>
          <w:szCs w:val="24"/>
          <w:rtl/>
        </w:rPr>
        <w:t>למען</w:t>
      </w:r>
      <w:r w:rsidRPr="00BE6FC7">
        <w:rPr>
          <w:rFonts w:ascii="Century" w:hAnsi="Century" w:cs="Miriam"/>
          <w:b/>
          <w:spacing w:val="0"/>
          <w:sz w:val="22"/>
          <w:szCs w:val="24"/>
          <w:rtl/>
        </w:rPr>
        <w:t xml:space="preserve"> </w:t>
      </w:r>
      <w:r w:rsidRPr="00BE6FC7">
        <w:rPr>
          <w:rFonts w:ascii="Century" w:hAnsi="Century" w:cs="Miriam" w:hint="eastAsia"/>
          <w:b/>
          <w:spacing w:val="0"/>
          <w:sz w:val="22"/>
          <w:szCs w:val="24"/>
          <w:rtl/>
        </w:rPr>
        <w:t>איכות</w:t>
      </w:r>
      <w:r w:rsidRPr="00BE6FC7">
        <w:rPr>
          <w:rFonts w:ascii="Century" w:hAnsi="Century" w:cs="Miriam"/>
          <w:b/>
          <w:spacing w:val="0"/>
          <w:sz w:val="22"/>
          <w:szCs w:val="24"/>
          <w:rtl/>
        </w:rPr>
        <w:t xml:space="preserve"> </w:t>
      </w:r>
      <w:r w:rsidRPr="00BE6FC7">
        <w:rPr>
          <w:rFonts w:ascii="Century" w:hAnsi="Century" w:cs="Miriam" w:hint="eastAsia"/>
          <w:b/>
          <w:spacing w:val="0"/>
          <w:sz w:val="22"/>
          <w:szCs w:val="24"/>
          <w:rtl/>
        </w:rPr>
        <w:t>השלטון</w:t>
      </w:r>
      <w:r w:rsidRPr="00BE6FC7">
        <w:rPr>
          <w:rFonts w:ascii="Century" w:hAnsi="Century" w:cs="Miriam"/>
          <w:b/>
          <w:spacing w:val="0"/>
          <w:sz w:val="22"/>
          <w:szCs w:val="24"/>
          <w:rtl/>
        </w:rPr>
        <w:t xml:space="preserve"> </w:t>
      </w:r>
      <w:r w:rsidRPr="00BE6FC7">
        <w:rPr>
          <w:rFonts w:ascii="Century" w:hAnsi="Century" w:cs="Miriam" w:hint="eastAsia"/>
          <w:b/>
          <w:spacing w:val="0"/>
          <w:sz w:val="22"/>
          <w:szCs w:val="24"/>
          <w:rtl/>
        </w:rPr>
        <w:t>בישראל</w:t>
      </w:r>
      <w:r w:rsidRPr="00BE6FC7">
        <w:rPr>
          <w:rFonts w:ascii="Century" w:hAnsi="Century" w:cs="Miriam"/>
          <w:b/>
          <w:spacing w:val="0"/>
          <w:sz w:val="22"/>
          <w:szCs w:val="24"/>
          <w:rtl/>
        </w:rPr>
        <w:t xml:space="preserve"> </w:t>
      </w:r>
      <w:r w:rsidRPr="00BE6FC7">
        <w:rPr>
          <w:rFonts w:ascii="Century" w:hAnsi="Century" w:cs="Miriam" w:hint="eastAsia"/>
          <w:b/>
          <w:spacing w:val="0"/>
          <w:sz w:val="22"/>
          <w:szCs w:val="24"/>
          <w:rtl/>
        </w:rPr>
        <w:t>נ</w:t>
      </w:r>
      <w:r w:rsidRPr="00BE6FC7">
        <w:rPr>
          <w:rFonts w:ascii="Century" w:hAnsi="Century" w:cs="Miriam"/>
          <w:b/>
          <w:spacing w:val="0"/>
          <w:sz w:val="22"/>
          <w:szCs w:val="24"/>
          <w:rtl/>
        </w:rPr>
        <w:t xml:space="preserve">' </w:t>
      </w:r>
      <w:r w:rsidRPr="00BE6FC7">
        <w:rPr>
          <w:rFonts w:ascii="Century" w:hAnsi="Century" w:cs="Miriam" w:hint="eastAsia"/>
          <w:b/>
          <w:spacing w:val="0"/>
          <w:sz w:val="22"/>
          <w:szCs w:val="24"/>
          <w:rtl/>
        </w:rPr>
        <w:t>כנסת</w:t>
      </w:r>
      <w:r w:rsidRPr="00BE6FC7">
        <w:rPr>
          <w:rFonts w:ascii="Century" w:hAnsi="Century" w:cs="Miriam"/>
          <w:b/>
          <w:spacing w:val="0"/>
          <w:sz w:val="22"/>
          <w:szCs w:val="24"/>
          <w:rtl/>
        </w:rPr>
        <w:t xml:space="preserve"> </w:t>
      </w:r>
      <w:r w:rsidRPr="00BE6FC7">
        <w:rPr>
          <w:rFonts w:ascii="Century" w:hAnsi="Century" w:cs="Miriam" w:hint="eastAsia"/>
          <w:b/>
          <w:spacing w:val="0"/>
          <w:sz w:val="22"/>
          <w:szCs w:val="24"/>
          <w:rtl/>
        </w:rPr>
        <w:t>ישראל</w:t>
      </w:r>
      <w:r w:rsidRPr="00BE6FC7">
        <w:rPr>
          <w:rtl/>
        </w:rPr>
        <w:t xml:space="preserve">, </w:t>
      </w:r>
      <w:r w:rsidRPr="00BE6FC7">
        <w:rPr>
          <w:rFonts w:hint="cs"/>
          <w:rtl/>
        </w:rPr>
        <w:t xml:space="preserve">פסקה 20 לחוות דעתה של חברתי השופטת </w:t>
      </w:r>
      <w:r w:rsidRPr="00BE6FC7">
        <w:rPr>
          <w:rFonts w:ascii="Century" w:hAnsi="Century" w:cs="Miriam" w:hint="cs"/>
          <w:b/>
          <w:spacing w:val="0"/>
          <w:sz w:val="22"/>
          <w:szCs w:val="24"/>
          <w:rtl/>
        </w:rPr>
        <w:t>ד'</w:t>
      </w:r>
      <w:r w:rsidRPr="00BE6FC7">
        <w:rPr>
          <w:rFonts w:hint="cs"/>
          <w:rtl/>
        </w:rPr>
        <w:t xml:space="preserve"> </w:t>
      </w:r>
      <w:r w:rsidRPr="00BE6FC7">
        <w:rPr>
          <w:rFonts w:ascii="Century" w:hAnsi="Century" w:cs="Miriam" w:hint="cs"/>
          <w:b/>
          <w:spacing w:val="0"/>
          <w:sz w:val="22"/>
          <w:szCs w:val="24"/>
          <w:rtl/>
        </w:rPr>
        <w:t>ברק-ארז</w:t>
      </w:r>
      <w:r w:rsidRPr="00BE6FC7">
        <w:rPr>
          <w:rtl/>
        </w:rPr>
        <w:t xml:space="preserve"> (12.7.2021) (</w:t>
      </w:r>
      <w:r w:rsidRPr="00BE6FC7">
        <w:rPr>
          <w:rFonts w:hint="eastAsia"/>
          <w:rtl/>
        </w:rPr>
        <w:t>להלן</w:t>
      </w:r>
      <w:r w:rsidRPr="00BE6FC7">
        <w:rPr>
          <w:rtl/>
        </w:rPr>
        <w:t xml:space="preserve">: </w:t>
      </w:r>
      <w:r w:rsidRPr="00BE6FC7">
        <w:rPr>
          <w:rFonts w:hint="eastAsia"/>
          <w:rtl/>
        </w:rPr>
        <w:t>עניין</w:t>
      </w:r>
      <w:r w:rsidRPr="00BE6FC7">
        <w:rPr>
          <w:rtl/>
        </w:rPr>
        <w:t xml:space="preserve"> </w:t>
      </w:r>
      <w:r w:rsidRPr="00BE6FC7">
        <w:rPr>
          <w:rFonts w:ascii="Century" w:hAnsi="Century" w:cs="Miriam" w:hint="eastAsia"/>
          <w:b/>
          <w:spacing w:val="0"/>
          <w:sz w:val="22"/>
          <w:szCs w:val="24"/>
          <w:rtl/>
        </w:rPr>
        <w:t>ממשלת</w:t>
      </w:r>
      <w:r w:rsidRPr="00BE6FC7">
        <w:rPr>
          <w:rFonts w:ascii="Century" w:hAnsi="Century" w:cs="Miriam"/>
          <w:b/>
          <w:spacing w:val="0"/>
          <w:sz w:val="22"/>
          <w:szCs w:val="24"/>
          <w:rtl/>
        </w:rPr>
        <w:t xml:space="preserve"> </w:t>
      </w:r>
      <w:r w:rsidRPr="00BE6FC7">
        <w:rPr>
          <w:rFonts w:ascii="Century" w:hAnsi="Century" w:cs="Miriam" w:hint="eastAsia"/>
          <w:b/>
          <w:spacing w:val="0"/>
          <w:sz w:val="22"/>
          <w:szCs w:val="24"/>
          <w:rtl/>
        </w:rPr>
        <w:t>הח</w:t>
      </w:r>
      <w:r>
        <w:rPr>
          <w:rFonts w:ascii="Century" w:hAnsi="Century" w:cs="Miriam" w:hint="cs"/>
          <w:b/>
          <w:spacing w:val="0"/>
          <w:sz w:val="22"/>
          <w:szCs w:val="24"/>
          <w:rtl/>
        </w:rPr>
        <w:t>י</w:t>
      </w:r>
      <w:r w:rsidRPr="00BE6FC7">
        <w:rPr>
          <w:rFonts w:ascii="Century" w:hAnsi="Century" w:cs="Miriam" w:hint="eastAsia"/>
          <w:b/>
          <w:spacing w:val="0"/>
          <w:sz w:val="22"/>
          <w:szCs w:val="24"/>
          <w:rtl/>
        </w:rPr>
        <w:t>לופים</w:t>
      </w:r>
      <w:r w:rsidRPr="00BE6FC7">
        <w:rPr>
          <w:rtl/>
        </w:rPr>
        <w:t>)</w:t>
      </w:r>
      <w:r w:rsidRPr="00BE6FC7">
        <w:rPr>
          <w:rFonts w:hint="cs"/>
          <w:rtl/>
        </w:rPr>
        <w:t xml:space="preserve">) </w:t>
      </w:r>
      <w:r w:rsidRPr="00BE6FC7">
        <w:rPr>
          <w:rFonts w:hint="eastAsia"/>
          <w:rtl/>
        </w:rPr>
        <w:t>מהווה</w:t>
      </w:r>
      <w:r w:rsidRPr="00BE6FC7">
        <w:rPr>
          <w:rtl/>
        </w:rPr>
        <w:t xml:space="preserve"> </w:t>
      </w:r>
      <w:r w:rsidRPr="00BE6FC7">
        <w:rPr>
          <w:rFonts w:hint="eastAsia"/>
          <w:rtl/>
        </w:rPr>
        <w:t>בענייני</w:t>
      </w:r>
      <w:r w:rsidRPr="00BE6FC7">
        <w:rPr>
          <w:rtl/>
        </w:rPr>
        <w:t xml:space="preserve"> </w:t>
      </w:r>
      <w:r w:rsidRPr="00BE6FC7">
        <w:rPr>
          <w:rFonts w:hint="eastAsia"/>
          <w:rtl/>
        </w:rPr>
        <w:t>רק</w:t>
      </w:r>
      <w:r w:rsidRPr="00BE6FC7">
        <w:rPr>
          <w:rtl/>
        </w:rPr>
        <w:t xml:space="preserve"> </w:t>
      </w:r>
      <w:r w:rsidRPr="00BE6FC7">
        <w:rPr>
          <w:rFonts w:hint="eastAsia"/>
          <w:rtl/>
        </w:rPr>
        <w:t>נחמה</w:t>
      </w:r>
      <w:r w:rsidRPr="00BE6FC7">
        <w:rPr>
          <w:rtl/>
        </w:rPr>
        <w:t xml:space="preserve"> </w:t>
      </w:r>
      <w:r w:rsidRPr="00BE6FC7">
        <w:rPr>
          <w:rFonts w:hint="eastAsia"/>
          <w:rtl/>
        </w:rPr>
        <w:t>פורתא</w:t>
      </w:r>
      <w:r w:rsidRPr="00BE6FC7">
        <w:rPr>
          <w:rtl/>
        </w:rPr>
        <w:t xml:space="preserve">, </w:t>
      </w:r>
      <w:r w:rsidRPr="00BE6FC7">
        <w:rPr>
          <w:rFonts w:hint="eastAsia"/>
          <w:rtl/>
        </w:rPr>
        <w:t>ופסק</w:t>
      </w:r>
      <w:r w:rsidRPr="00BE6FC7">
        <w:rPr>
          <w:rtl/>
        </w:rPr>
        <w:t xml:space="preserve"> </w:t>
      </w:r>
      <w:r w:rsidRPr="00BE6FC7">
        <w:rPr>
          <w:rFonts w:hint="eastAsia"/>
          <w:rtl/>
        </w:rPr>
        <w:t>דין</w:t>
      </w:r>
      <w:r w:rsidRPr="00BE6FC7">
        <w:rPr>
          <w:rtl/>
        </w:rPr>
        <w:t xml:space="preserve"> </w:t>
      </w:r>
      <w:r w:rsidRPr="00BE6FC7">
        <w:rPr>
          <w:rFonts w:hint="eastAsia"/>
          <w:rtl/>
        </w:rPr>
        <w:t>זה</w:t>
      </w:r>
      <w:r w:rsidRPr="00BE6FC7">
        <w:rPr>
          <w:rtl/>
        </w:rPr>
        <w:t xml:space="preserve"> </w:t>
      </w:r>
      <w:r w:rsidRPr="00BE6FC7">
        <w:rPr>
          <w:rFonts w:hint="cs"/>
          <w:rtl/>
        </w:rPr>
        <w:t>מעיד על כך כמאה עדים</w:t>
      </w:r>
      <w:r w:rsidRPr="00BE6FC7">
        <w:rPr>
          <w:rtl/>
        </w:rPr>
        <w:t>.</w:t>
      </w:r>
      <w:r>
        <w:rPr>
          <w:rFonts w:hint="cs"/>
          <w:rtl/>
        </w:rPr>
        <w:t xml:space="preserve"> </w:t>
      </w:r>
    </w:p>
    <w:p w:rsidR="00737972" w:rsidRDefault="00737972" w:rsidP="00737972">
      <w:pPr>
        <w:pStyle w:val="Ruller4"/>
        <w:numPr>
          <w:ilvl w:val="0"/>
          <w:numId w:val="0"/>
        </w:numPr>
        <w:rPr>
          <w:rFonts w:ascii="Arial TUR" w:hAnsi="Arial TUR"/>
          <w:sz w:val="22"/>
          <w:rtl/>
        </w:rPr>
      </w:pPr>
    </w:p>
    <w:p w:rsidR="00737972" w:rsidRDefault="00737972" w:rsidP="00737972">
      <w:pPr>
        <w:pStyle w:val="Ruller4"/>
        <w:numPr>
          <w:ilvl w:val="0"/>
          <w:numId w:val="0"/>
        </w:numPr>
        <w:rPr>
          <w:rtl/>
        </w:rPr>
      </w:pPr>
      <w:r>
        <w:rPr>
          <w:rtl/>
        </w:rPr>
        <w:tab/>
      </w:r>
      <w:r>
        <w:rPr>
          <w:rFonts w:hint="cs"/>
          <w:rtl/>
        </w:rPr>
        <w:t>בכך, לנגד עינינו עולה וצפה הזליגה אל עבר מחוזות רחוקים ומרחיקי לכת. וארחיב.</w:t>
      </w:r>
    </w:p>
    <w:p w:rsidR="00737972" w:rsidRDefault="00737972" w:rsidP="00737972">
      <w:pPr>
        <w:pStyle w:val="Ruller41"/>
        <w:tabs>
          <w:tab w:val="left" w:pos="6827"/>
        </w:tabs>
        <w:rPr>
          <w:rtl/>
        </w:rPr>
      </w:pPr>
    </w:p>
    <w:p w:rsidR="00737972" w:rsidRDefault="00737972" w:rsidP="00737972">
      <w:pPr>
        <w:pStyle w:val="Ruller4"/>
        <w:rPr>
          <w:rtl/>
        </w:rPr>
      </w:pPr>
      <w:r>
        <w:rPr>
          <w:rFonts w:hint="cs"/>
          <w:rtl/>
        </w:rPr>
        <w:t xml:space="preserve">הנחת היסוד הייתה מאז ומעולם כי נדרשת מידה רבה מאוד של זהירות בעת הפעלת ביקורת שיפוטית המביאה לכדי ביטול </w:t>
      </w:r>
      <w:r w:rsidRPr="00EB7C80">
        <w:rPr>
          <w:rFonts w:ascii="Century" w:hAnsi="Century" w:hint="cs"/>
          <w:sz w:val="22"/>
          <w:rtl/>
        </w:rPr>
        <w:t xml:space="preserve">דבר חקיקה "רגיל" שיצא </w:t>
      </w:r>
      <w:r>
        <w:rPr>
          <w:rFonts w:ascii="Century" w:hAnsi="Century" w:hint="cs"/>
          <w:sz w:val="22"/>
          <w:rtl/>
        </w:rPr>
        <w:t xml:space="preserve">מתחת </w:t>
      </w:r>
      <w:r w:rsidRPr="00EB7C80">
        <w:rPr>
          <w:rFonts w:ascii="Century" w:hAnsi="Century" w:hint="cs"/>
          <w:sz w:val="22"/>
          <w:rtl/>
        </w:rPr>
        <w:t>ידי הכנסת</w:t>
      </w:r>
      <w:r>
        <w:rPr>
          <w:rFonts w:hint="cs"/>
          <w:rtl/>
        </w:rPr>
        <w:t xml:space="preserve">, שהיא בגדר "נשק יום הדין" (ובנוסחה המחמירה יותר של השופט </w:t>
      </w:r>
      <w:r w:rsidRPr="00EB7C80">
        <w:rPr>
          <w:rFonts w:ascii="Century" w:hAnsi="Century" w:cs="Miriam" w:hint="cs"/>
          <w:b/>
          <w:spacing w:val="0"/>
          <w:sz w:val="22"/>
          <w:szCs w:val="24"/>
          <w:rtl/>
        </w:rPr>
        <w:t>ברק</w:t>
      </w:r>
      <w:r w:rsidRPr="00EB7C80">
        <w:rPr>
          <w:rFonts w:hint="cs"/>
          <w:rtl/>
        </w:rPr>
        <w:t xml:space="preserve"> </w:t>
      </w:r>
      <w:r>
        <w:rPr>
          <w:rtl/>
        </w:rPr>
        <w:t>–</w:t>
      </w:r>
      <w:r>
        <w:rPr>
          <w:rFonts w:hint="cs"/>
          <w:rtl/>
        </w:rPr>
        <w:t xml:space="preserve"> "</w:t>
      </w:r>
      <w:r w:rsidRPr="00EB7C80">
        <w:rPr>
          <w:rFonts w:ascii="Century" w:hAnsi="Century" w:cs="Miriam" w:hint="cs"/>
          <w:b/>
          <w:spacing w:val="0"/>
          <w:sz w:val="22"/>
          <w:szCs w:val="24"/>
          <w:rtl/>
        </w:rPr>
        <w:t>נשק לא קונבנציונלי</w:t>
      </w:r>
      <w:r>
        <w:rPr>
          <w:rFonts w:hint="cs"/>
          <w:rtl/>
        </w:rPr>
        <w:t>" (</w:t>
      </w:r>
      <w:r w:rsidRPr="00EB7C80">
        <w:rPr>
          <w:rFonts w:hint="eastAsia"/>
          <w:rtl/>
        </w:rPr>
        <w:t>אהרן</w:t>
      </w:r>
      <w:r w:rsidRPr="00EB7C80">
        <w:rPr>
          <w:rtl/>
        </w:rPr>
        <w:t xml:space="preserve"> </w:t>
      </w:r>
      <w:r w:rsidRPr="00EB7C80">
        <w:rPr>
          <w:rFonts w:hint="eastAsia"/>
          <w:rtl/>
        </w:rPr>
        <w:t>ברק</w:t>
      </w:r>
      <w:r w:rsidRPr="00EB7C80">
        <w:rPr>
          <w:rtl/>
        </w:rPr>
        <w:t xml:space="preserve"> "</w:t>
      </w:r>
      <w:r w:rsidRPr="00EB7C80">
        <w:rPr>
          <w:rFonts w:hint="eastAsia"/>
          <w:rtl/>
        </w:rPr>
        <w:t>זכויות</w:t>
      </w:r>
      <w:r w:rsidRPr="00EB7C80">
        <w:rPr>
          <w:rtl/>
        </w:rPr>
        <w:t xml:space="preserve"> </w:t>
      </w:r>
      <w:r w:rsidRPr="00EB7C80">
        <w:rPr>
          <w:rFonts w:hint="eastAsia"/>
          <w:rtl/>
        </w:rPr>
        <w:t>אדם</w:t>
      </w:r>
      <w:r w:rsidRPr="00EB7C80">
        <w:rPr>
          <w:rtl/>
        </w:rPr>
        <w:t xml:space="preserve"> </w:t>
      </w:r>
      <w:r w:rsidRPr="00EB7C80">
        <w:rPr>
          <w:rFonts w:hint="eastAsia"/>
          <w:rtl/>
        </w:rPr>
        <w:t>מוגנות</w:t>
      </w:r>
      <w:r w:rsidRPr="00EB7C80">
        <w:rPr>
          <w:rtl/>
        </w:rPr>
        <w:t xml:space="preserve">: </w:t>
      </w:r>
      <w:r w:rsidRPr="00EB7C80">
        <w:rPr>
          <w:rFonts w:hint="eastAsia"/>
          <w:rtl/>
        </w:rPr>
        <w:t>ההיקף</w:t>
      </w:r>
      <w:r w:rsidRPr="00EB7C80">
        <w:rPr>
          <w:rtl/>
        </w:rPr>
        <w:t xml:space="preserve"> </w:t>
      </w:r>
      <w:r w:rsidRPr="00EB7C80">
        <w:rPr>
          <w:rFonts w:hint="eastAsia"/>
          <w:rtl/>
        </w:rPr>
        <w:t>וההגבלות</w:t>
      </w:r>
      <w:r>
        <w:rPr>
          <w:rtl/>
        </w:rPr>
        <w:t>"</w:t>
      </w:r>
      <w:r>
        <w:rPr>
          <w:rFonts w:hint="cs"/>
          <w:rtl/>
        </w:rPr>
        <w:t xml:space="preserve"> </w:t>
      </w:r>
      <w:r w:rsidRPr="00EB7C80">
        <w:rPr>
          <w:rFonts w:ascii="Century" w:hAnsi="Century" w:cs="Miriam" w:hint="cs"/>
          <w:b/>
          <w:spacing w:val="0"/>
          <w:sz w:val="22"/>
          <w:szCs w:val="24"/>
          <w:rtl/>
        </w:rPr>
        <w:t>משפט וממשל</w:t>
      </w:r>
      <w:r w:rsidRPr="00EB7C80">
        <w:rPr>
          <w:rFonts w:hint="cs"/>
          <w:rtl/>
        </w:rPr>
        <w:t xml:space="preserve"> </w:t>
      </w:r>
      <w:r>
        <w:rPr>
          <w:rFonts w:hint="cs"/>
          <w:rtl/>
        </w:rPr>
        <w:t>א (1992)), אליה יש לפנות רק כאשר "כלו כל הקיצין" (</w:t>
      </w:r>
      <w:r w:rsidRPr="00EB7C80">
        <w:rPr>
          <w:rFonts w:hint="eastAsia"/>
          <w:rtl/>
        </w:rPr>
        <w:t>בג</w:t>
      </w:r>
      <w:r>
        <w:rPr>
          <w:rFonts w:hint="cs"/>
          <w:rtl/>
        </w:rPr>
        <w:t>"</w:t>
      </w:r>
      <w:r w:rsidRPr="00EB7C80">
        <w:rPr>
          <w:rFonts w:hint="eastAsia"/>
          <w:rtl/>
        </w:rPr>
        <w:t>ץ</w:t>
      </w:r>
      <w:r w:rsidRPr="00EB7C80">
        <w:rPr>
          <w:rtl/>
        </w:rPr>
        <w:t xml:space="preserve"> 9098/01‏ </w:t>
      </w:r>
      <w:r w:rsidRPr="00EB7C80">
        <w:rPr>
          <w:rFonts w:ascii="Century" w:hAnsi="Century" w:cs="Miriam" w:hint="eastAsia"/>
          <w:b/>
          <w:spacing w:val="0"/>
          <w:sz w:val="22"/>
          <w:szCs w:val="24"/>
          <w:rtl/>
        </w:rPr>
        <w:t>גניס</w:t>
      </w:r>
      <w:r w:rsidRPr="00EB7C80">
        <w:rPr>
          <w:rFonts w:ascii="Century" w:hAnsi="Century" w:cs="Miriam"/>
          <w:b/>
          <w:spacing w:val="0"/>
          <w:sz w:val="22"/>
          <w:szCs w:val="24"/>
          <w:rtl/>
        </w:rPr>
        <w:t xml:space="preserve"> </w:t>
      </w:r>
      <w:r w:rsidRPr="00EB7C80">
        <w:rPr>
          <w:rFonts w:ascii="Century" w:hAnsi="Century" w:cs="Miriam" w:hint="eastAsia"/>
          <w:b/>
          <w:spacing w:val="0"/>
          <w:sz w:val="22"/>
          <w:szCs w:val="24"/>
          <w:rtl/>
        </w:rPr>
        <w:t>נ</w:t>
      </w:r>
      <w:r w:rsidRPr="00EB7C80">
        <w:rPr>
          <w:rFonts w:ascii="Century" w:hAnsi="Century" w:cs="Miriam"/>
          <w:b/>
          <w:spacing w:val="0"/>
          <w:sz w:val="22"/>
          <w:szCs w:val="24"/>
          <w:rtl/>
        </w:rPr>
        <w:t xml:space="preserve">' </w:t>
      </w:r>
      <w:r w:rsidRPr="00EB7C80">
        <w:rPr>
          <w:rFonts w:ascii="Century" w:hAnsi="Century" w:cs="Miriam" w:hint="eastAsia"/>
          <w:b/>
          <w:spacing w:val="0"/>
          <w:sz w:val="22"/>
          <w:szCs w:val="24"/>
          <w:rtl/>
        </w:rPr>
        <w:t>משרד</w:t>
      </w:r>
      <w:r w:rsidRPr="00EB7C80">
        <w:rPr>
          <w:rFonts w:ascii="Century" w:hAnsi="Century" w:cs="Miriam"/>
          <w:b/>
          <w:spacing w:val="0"/>
          <w:sz w:val="22"/>
          <w:szCs w:val="24"/>
          <w:rtl/>
        </w:rPr>
        <w:t xml:space="preserve"> </w:t>
      </w:r>
      <w:r w:rsidRPr="00EB7C80">
        <w:rPr>
          <w:rFonts w:ascii="Century" w:hAnsi="Century" w:cs="Miriam" w:hint="eastAsia"/>
          <w:b/>
          <w:spacing w:val="0"/>
          <w:sz w:val="22"/>
          <w:szCs w:val="24"/>
          <w:rtl/>
        </w:rPr>
        <w:t>הבינוי</w:t>
      </w:r>
      <w:r w:rsidRPr="00EB7C80">
        <w:rPr>
          <w:rFonts w:ascii="Century" w:hAnsi="Century" w:cs="Miriam"/>
          <w:b/>
          <w:spacing w:val="0"/>
          <w:sz w:val="22"/>
          <w:szCs w:val="24"/>
          <w:rtl/>
        </w:rPr>
        <w:t xml:space="preserve"> </w:t>
      </w:r>
      <w:r w:rsidRPr="00EB7C80">
        <w:rPr>
          <w:rFonts w:ascii="Century" w:hAnsi="Century" w:cs="Miriam" w:hint="eastAsia"/>
          <w:b/>
          <w:spacing w:val="0"/>
          <w:sz w:val="22"/>
          <w:szCs w:val="24"/>
          <w:rtl/>
        </w:rPr>
        <w:t>והשיכון</w:t>
      </w:r>
      <w:r>
        <w:rPr>
          <w:rFonts w:hint="cs"/>
          <w:rtl/>
        </w:rPr>
        <w:t xml:space="preserve">, פ"ד נט(4) 241, 286 (2005); כן ראו: </w:t>
      </w:r>
      <w:r>
        <w:rPr>
          <w:rFonts w:hint="eastAsia"/>
          <w:rtl/>
        </w:rPr>
        <w:t>בג</w:t>
      </w:r>
      <w:r>
        <w:rPr>
          <w:rtl/>
        </w:rPr>
        <w:t>"</w:t>
      </w:r>
      <w:r>
        <w:rPr>
          <w:rFonts w:hint="eastAsia"/>
          <w:rtl/>
        </w:rPr>
        <w:t>ץ</w:t>
      </w:r>
      <w:r>
        <w:rPr>
          <w:rtl/>
        </w:rPr>
        <w:t xml:space="preserve"> 7956/10</w:t>
      </w:r>
      <w:r>
        <w:rPr>
          <w:rFonts w:hint="cs"/>
          <w:rtl/>
        </w:rPr>
        <w:t xml:space="preserve"> </w:t>
      </w:r>
      <w:r w:rsidRPr="00EB7C80">
        <w:rPr>
          <w:rFonts w:ascii="Century" w:hAnsi="Century" w:cs="Miriam" w:hint="eastAsia"/>
          <w:b/>
          <w:spacing w:val="0"/>
          <w:sz w:val="22"/>
          <w:szCs w:val="24"/>
          <w:rtl/>
        </w:rPr>
        <w:t>גבאי</w:t>
      </w:r>
      <w:r w:rsidRPr="00EB7C80">
        <w:rPr>
          <w:rFonts w:ascii="Century" w:hAnsi="Century" w:cs="Miriam"/>
          <w:b/>
          <w:spacing w:val="0"/>
          <w:sz w:val="22"/>
          <w:szCs w:val="24"/>
          <w:rtl/>
        </w:rPr>
        <w:t xml:space="preserve"> </w:t>
      </w:r>
      <w:r w:rsidRPr="00EB7C80">
        <w:rPr>
          <w:rFonts w:ascii="Century" w:hAnsi="Century" w:cs="Miriam" w:hint="eastAsia"/>
          <w:b/>
          <w:spacing w:val="0"/>
          <w:sz w:val="22"/>
          <w:szCs w:val="24"/>
          <w:rtl/>
        </w:rPr>
        <w:t>נ</w:t>
      </w:r>
      <w:r w:rsidRPr="00EB7C80">
        <w:rPr>
          <w:rFonts w:ascii="Century" w:hAnsi="Century" w:cs="Miriam"/>
          <w:b/>
          <w:spacing w:val="0"/>
          <w:sz w:val="22"/>
          <w:szCs w:val="24"/>
          <w:rtl/>
        </w:rPr>
        <w:t xml:space="preserve">' </w:t>
      </w:r>
      <w:r w:rsidRPr="00EB7C80">
        <w:rPr>
          <w:rFonts w:ascii="Century" w:hAnsi="Century" w:cs="Miriam" w:hint="eastAsia"/>
          <w:b/>
          <w:spacing w:val="0"/>
          <w:sz w:val="22"/>
          <w:szCs w:val="24"/>
          <w:rtl/>
        </w:rPr>
        <w:t>שר</w:t>
      </w:r>
      <w:r w:rsidRPr="00EB7C80">
        <w:rPr>
          <w:rFonts w:ascii="Century" w:hAnsi="Century" w:cs="Miriam"/>
          <w:b/>
          <w:spacing w:val="0"/>
          <w:sz w:val="22"/>
          <w:szCs w:val="24"/>
          <w:rtl/>
        </w:rPr>
        <w:t xml:space="preserve"> </w:t>
      </w:r>
      <w:r w:rsidRPr="00EB7C80">
        <w:rPr>
          <w:rFonts w:ascii="Century" w:hAnsi="Century" w:cs="Miriam" w:hint="eastAsia"/>
          <w:b/>
          <w:spacing w:val="0"/>
          <w:sz w:val="22"/>
          <w:szCs w:val="24"/>
          <w:rtl/>
        </w:rPr>
        <w:t>האוצר</w:t>
      </w:r>
      <w:r>
        <w:rPr>
          <w:rFonts w:hint="cs"/>
          <w:rtl/>
        </w:rPr>
        <w:t xml:space="preserve">, פסקה כ"ב (19.11.2012)). </w:t>
      </w:r>
      <w:r w:rsidRPr="00EB7C80">
        <w:rPr>
          <w:rFonts w:hint="eastAsia"/>
          <w:rtl/>
        </w:rPr>
        <w:t>על</w:t>
      </w:r>
      <w:r w:rsidRPr="00EB7C80">
        <w:rPr>
          <w:rtl/>
        </w:rPr>
        <w:t xml:space="preserve"> </w:t>
      </w:r>
      <w:r w:rsidRPr="00EB7C80">
        <w:rPr>
          <w:rFonts w:hint="eastAsia"/>
          <w:rtl/>
        </w:rPr>
        <w:t>הריסון</w:t>
      </w:r>
      <w:r w:rsidRPr="00EB7C80">
        <w:rPr>
          <w:rtl/>
        </w:rPr>
        <w:t xml:space="preserve"> </w:t>
      </w:r>
      <w:r w:rsidRPr="00EB7C80">
        <w:rPr>
          <w:rFonts w:hint="eastAsia"/>
          <w:rtl/>
        </w:rPr>
        <w:t>הרב</w:t>
      </w:r>
      <w:r w:rsidRPr="00EB7C80">
        <w:rPr>
          <w:rtl/>
        </w:rPr>
        <w:t xml:space="preserve"> </w:t>
      </w:r>
      <w:r w:rsidRPr="00EB7C80">
        <w:rPr>
          <w:rFonts w:hint="eastAsia"/>
          <w:rtl/>
        </w:rPr>
        <w:t>המתחייב</w:t>
      </w:r>
      <w:r w:rsidRPr="00EB7C80">
        <w:rPr>
          <w:rtl/>
        </w:rPr>
        <w:t xml:space="preserve"> </w:t>
      </w:r>
      <w:r w:rsidRPr="00EB7C80">
        <w:rPr>
          <w:rFonts w:hint="eastAsia"/>
          <w:rtl/>
        </w:rPr>
        <w:t>בביקורת</w:t>
      </w:r>
      <w:r w:rsidRPr="00EB7C80">
        <w:rPr>
          <w:rtl/>
        </w:rPr>
        <w:t xml:space="preserve"> </w:t>
      </w:r>
      <w:r w:rsidRPr="00EB7C80">
        <w:rPr>
          <w:rFonts w:hint="eastAsia"/>
          <w:rtl/>
        </w:rPr>
        <w:t>חוקתית</w:t>
      </w:r>
      <w:r w:rsidRPr="00EB7C80">
        <w:rPr>
          <w:rtl/>
        </w:rPr>
        <w:t xml:space="preserve"> </w:t>
      </w:r>
      <w:r w:rsidRPr="00EB7C80">
        <w:rPr>
          <w:rFonts w:hint="eastAsia"/>
          <w:rtl/>
        </w:rPr>
        <w:t>על</w:t>
      </w:r>
      <w:r w:rsidRPr="00EB7C80">
        <w:rPr>
          <w:rtl/>
        </w:rPr>
        <w:t xml:space="preserve"> </w:t>
      </w:r>
      <w:r>
        <w:rPr>
          <w:rFonts w:hint="cs"/>
          <w:rtl/>
        </w:rPr>
        <w:t xml:space="preserve">דברי חקיקה "רגילה" </w:t>
      </w:r>
      <w:r w:rsidRPr="00EB7C80">
        <w:rPr>
          <w:rFonts w:hint="eastAsia"/>
          <w:rtl/>
        </w:rPr>
        <w:t>עמד</w:t>
      </w:r>
      <w:r w:rsidRPr="00EB7C80">
        <w:rPr>
          <w:rtl/>
        </w:rPr>
        <w:t xml:space="preserve"> </w:t>
      </w:r>
      <w:r>
        <w:rPr>
          <w:rFonts w:hint="cs"/>
          <w:rtl/>
        </w:rPr>
        <w:t xml:space="preserve">בזמנו </w:t>
      </w:r>
      <w:r w:rsidRPr="00EB7C80">
        <w:rPr>
          <w:rFonts w:hint="eastAsia"/>
          <w:rtl/>
        </w:rPr>
        <w:t>השופט</w:t>
      </w:r>
      <w:r w:rsidRPr="00EB7C80">
        <w:rPr>
          <w:rtl/>
        </w:rPr>
        <w:t xml:space="preserve"> </w:t>
      </w:r>
      <w:r w:rsidRPr="00EB7C80">
        <w:rPr>
          <w:rFonts w:ascii="Century" w:hAnsi="Century" w:cs="Miriam" w:hint="eastAsia"/>
          <w:b/>
          <w:spacing w:val="0"/>
          <w:sz w:val="22"/>
          <w:szCs w:val="24"/>
          <w:rtl/>
        </w:rPr>
        <w:t>זמיר</w:t>
      </w:r>
      <w:r w:rsidRPr="00EB7C80">
        <w:rPr>
          <w:rtl/>
        </w:rPr>
        <w:t xml:space="preserve"> </w:t>
      </w:r>
      <w:r w:rsidRPr="00EB7C80">
        <w:rPr>
          <w:rFonts w:hint="eastAsia"/>
          <w:rtl/>
        </w:rPr>
        <w:t>בבג</w:t>
      </w:r>
      <w:r w:rsidRPr="00EB7C80">
        <w:rPr>
          <w:rtl/>
        </w:rPr>
        <w:t>"</w:t>
      </w:r>
      <w:r>
        <w:rPr>
          <w:rFonts w:hint="cs"/>
          <w:rtl/>
        </w:rPr>
        <w:t>ץ</w:t>
      </w:r>
      <w:r w:rsidRPr="00EB7C80">
        <w:rPr>
          <w:rtl/>
        </w:rPr>
        <w:t xml:space="preserve"> 7111/95 </w:t>
      </w:r>
      <w:r w:rsidRPr="00EB7C80">
        <w:rPr>
          <w:rFonts w:ascii="Century" w:hAnsi="Century" w:cs="Miriam" w:hint="eastAsia"/>
          <w:b/>
          <w:spacing w:val="0"/>
          <w:sz w:val="22"/>
          <w:szCs w:val="24"/>
          <w:rtl/>
        </w:rPr>
        <w:t>מרכז</w:t>
      </w:r>
      <w:r w:rsidRPr="00EB7C80">
        <w:rPr>
          <w:rFonts w:ascii="Century" w:hAnsi="Century" w:cs="Miriam"/>
          <w:b/>
          <w:spacing w:val="0"/>
          <w:sz w:val="22"/>
          <w:szCs w:val="24"/>
          <w:rtl/>
        </w:rPr>
        <w:t xml:space="preserve"> </w:t>
      </w:r>
      <w:r w:rsidRPr="00EB7C80">
        <w:rPr>
          <w:rFonts w:ascii="Century" w:hAnsi="Century" w:cs="Miriam" w:hint="eastAsia"/>
          <w:b/>
          <w:spacing w:val="0"/>
          <w:sz w:val="22"/>
          <w:szCs w:val="24"/>
          <w:rtl/>
        </w:rPr>
        <w:t>השלטון</w:t>
      </w:r>
      <w:r w:rsidRPr="00EB7C80">
        <w:rPr>
          <w:rFonts w:ascii="Century" w:hAnsi="Century" w:cs="Miriam"/>
          <w:b/>
          <w:spacing w:val="0"/>
          <w:sz w:val="22"/>
          <w:szCs w:val="24"/>
          <w:rtl/>
        </w:rPr>
        <w:t xml:space="preserve"> </w:t>
      </w:r>
      <w:r w:rsidRPr="00EB7C80">
        <w:rPr>
          <w:rFonts w:ascii="Century" w:hAnsi="Century" w:cs="Miriam" w:hint="eastAsia"/>
          <w:b/>
          <w:spacing w:val="0"/>
          <w:sz w:val="22"/>
          <w:szCs w:val="24"/>
          <w:rtl/>
        </w:rPr>
        <w:t>המקומי</w:t>
      </w:r>
      <w:r w:rsidRPr="00EB7C80">
        <w:rPr>
          <w:rFonts w:ascii="Century" w:hAnsi="Century" w:cs="Miriam"/>
          <w:b/>
          <w:spacing w:val="0"/>
          <w:sz w:val="22"/>
          <w:szCs w:val="24"/>
          <w:rtl/>
        </w:rPr>
        <w:t xml:space="preserve"> </w:t>
      </w:r>
      <w:r w:rsidRPr="00EB7C80">
        <w:rPr>
          <w:rFonts w:ascii="Century" w:hAnsi="Century" w:cs="Miriam" w:hint="eastAsia"/>
          <w:b/>
          <w:spacing w:val="0"/>
          <w:sz w:val="22"/>
          <w:szCs w:val="24"/>
          <w:rtl/>
        </w:rPr>
        <w:t>נ</w:t>
      </w:r>
      <w:r w:rsidRPr="00EB7C80">
        <w:rPr>
          <w:rFonts w:ascii="Century" w:hAnsi="Century" w:cs="Miriam"/>
          <w:b/>
          <w:spacing w:val="0"/>
          <w:sz w:val="22"/>
          <w:szCs w:val="24"/>
          <w:rtl/>
        </w:rPr>
        <w:t xml:space="preserve">' </w:t>
      </w:r>
      <w:r w:rsidRPr="00EB7C80">
        <w:rPr>
          <w:rFonts w:ascii="Century" w:hAnsi="Century" w:cs="Miriam" w:hint="eastAsia"/>
          <w:b/>
          <w:spacing w:val="0"/>
          <w:sz w:val="22"/>
          <w:szCs w:val="24"/>
          <w:rtl/>
        </w:rPr>
        <w:t>הכנסת</w:t>
      </w:r>
      <w:r w:rsidRPr="00EB7C80">
        <w:rPr>
          <w:rtl/>
        </w:rPr>
        <w:t xml:space="preserve">, </w:t>
      </w:r>
      <w:r>
        <w:rPr>
          <w:rFonts w:hint="eastAsia"/>
          <w:rtl/>
        </w:rPr>
        <w:t>פ</w:t>
      </w:r>
      <w:r>
        <w:rPr>
          <w:rFonts w:hint="cs"/>
          <w:rtl/>
        </w:rPr>
        <w:t>"ד</w:t>
      </w:r>
      <w:r w:rsidRPr="00EB7C80">
        <w:rPr>
          <w:rtl/>
        </w:rPr>
        <w:t xml:space="preserve"> </w:t>
      </w:r>
      <w:r w:rsidRPr="00EB7C80">
        <w:rPr>
          <w:rFonts w:hint="eastAsia"/>
          <w:rtl/>
        </w:rPr>
        <w:t>נ</w:t>
      </w:r>
      <w:r>
        <w:rPr>
          <w:rtl/>
        </w:rPr>
        <w:t>(3) 485</w:t>
      </w:r>
      <w:r>
        <w:rPr>
          <w:rFonts w:hint="cs"/>
          <w:rtl/>
        </w:rPr>
        <w:t xml:space="preserve"> (1996), דברים אשר לא נס ליחם ונראה כי חשוב לחזור ולשננם:</w:t>
      </w:r>
    </w:p>
    <w:p w:rsidR="00737972" w:rsidRDefault="00737972" w:rsidP="00737972">
      <w:pPr>
        <w:pStyle w:val="Ruller41"/>
        <w:rPr>
          <w:rtl/>
        </w:rPr>
      </w:pPr>
    </w:p>
    <w:p w:rsidR="00737972" w:rsidRDefault="00737972" w:rsidP="00737972">
      <w:pPr>
        <w:pStyle w:val="Ruller5"/>
        <w:rPr>
          <w:rtl/>
        </w:rPr>
      </w:pPr>
      <w:r>
        <w:rPr>
          <w:rFonts w:hint="cs"/>
          <w:rtl/>
        </w:rPr>
        <w:lastRenderedPageBreak/>
        <w:t>"</w:t>
      </w:r>
      <w:r>
        <w:rPr>
          <w:rFonts w:hint="eastAsia"/>
          <w:rtl/>
        </w:rPr>
        <w:t>אכן</w:t>
      </w:r>
      <w:r>
        <w:rPr>
          <w:rtl/>
        </w:rPr>
        <w:t xml:space="preserve">, </w:t>
      </w:r>
      <w:r>
        <w:rPr>
          <w:rFonts w:hint="eastAsia"/>
          <w:rtl/>
        </w:rPr>
        <w:t>כיום</w:t>
      </w:r>
      <w:r>
        <w:rPr>
          <w:rtl/>
        </w:rPr>
        <w:t xml:space="preserve"> </w:t>
      </w:r>
      <w:r>
        <w:rPr>
          <w:rFonts w:hint="eastAsia"/>
          <w:rtl/>
        </w:rPr>
        <w:t>הלכה</w:t>
      </w:r>
      <w:r>
        <w:rPr>
          <w:rtl/>
        </w:rPr>
        <w:t xml:space="preserve"> </w:t>
      </w:r>
      <w:r>
        <w:rPr>
          <w:rFonts w:hint="eastAsia"/>
          <w:rtl/>
        </w:rPr>
        <w:t>היא</w:t>
      </w:r>
      <w:r>
        <w:rPr>
          <w:rtl/>
        </w:rPr>
        <w:t xml:space="preserve"> </w:t>
      </w:r>
      <w:r>
        <w:rPr>
          <w:rFonts w:hint="eastAsia"/>
          <w:rtl/>
        </w:rPr>
        <w:t>שחוקי</w:t>
      </w:r>
      <w:r>
        <w:rPr>
          <w:rtl/>
        </w:rPr>
        <w:t xml:space="preserve"> </w:t>
      </w:r>
      <w:r>
        <w:rPr>
          <w:rFonts w:hint="eastAsia"/>
          <w:rtl/>
        </w:rPr>
        <w:t>היסוד</w:t>
      </w:r>
      <w:r>
        <w:rPr>
          <w:rtl/>
        </w:rPr>
        <w:t xml:space="preserve"> </w:t>
      </w:r>
      <w:r>
        <w:rPr>
          <w:rFonts w:hint="eastAsia"/>
          <w:rtl/>
        </w:rPr>
        <w:t>הקנו</w:t>
      </w:r>
      <w:r>
        <w:rPr>
          <w:rtl/>
        </w:rPr>
        <w:t xml:space="preserve"> </w:t>
      </w:r>
      <w:r>
        <w:rPr>
          <w:rFonts w:hint="eastAsia"/>
          <w:rtl/>
        </w:rPr>
        <w:t>לבית</w:t>
      </w:r>
      <w:r>
        <w:rPr>
          <w:rtl/>
        </w:rPr>
        <w:t xml:space="preserve"> </w:t>
      </w:r>
      <w:r>
        <w:rPr>
          <w:rFonts w:hint="eastAsia"/>
          <w:rtl/>
        </w:rPr>
        <w:t>המשפט</w:t>
      </w:r>
      <w:r>
        <w:rPr>
          <w:rtl/>
        </w:rPr>
        <w:t xml:space="preserve"> </w:t>
      </w:r>
      <w:r>
        <w:rPr>
          <w:rFonts w:hint="eastAsia"/>
          <w:rtl/>
        </w:rPr>
        <w:t>סמכות</w:t>
      </w:r>
      <w:r>
        <w:rPr>
          <w:rtl/>
        </w:rPr>
        <w:t xml:space="preserve"> </w:t>
      </w:r>
      <w:r>
        <w:rPr>
          <w:rFonts w:hint="eastAsia"/>
          <w:rtl/>
        </w:rPr>
        <w:t>לבטל</w:t>
      </w:r>
      <w:r>
        <w:rPr>
          <w:rtl/>
        </w:rPr>
        <w:t xml:space="preserve"> </w:t>
      </w:r>
      <w:r>
        <w:rPr>
          <w:rFonts w:hint="eastAsia"/>
          <w:rtl/>
        </w:rPr>
        <w:t>חוקים</w:t>
      </w:r>
      <w:r>
        <w:rPr>
          <w:rtl/>
        </w:rPr>
        <w:t xml:space="preserve">. </w:t>
      </w:r>
      <w:r>
        <w:rPr>
          <w:rFonts w:hint="cs"/>
          <w:rtl/>
        </w:rPr>
        <w:t xml:space="preserve">[...] </w:t>
      </w:r>
      <w:r>
        <w:rPr>
          <w:rFonts w:hint="eastAsia"/>
          <w:rtl/>
        </w:rPr>
        <w:t>יש</w:t>
      </w:r>
      <w:r>
        <w:rPr>
          <w:rtl/>
        </w:rPr>
        <w:t xml:space="preserve"> </w:t>
      </w:r>
      <w:r>
        <w:rPr>
          <w:rFonts w:hint="eastAsia"/>
          <w:rtl/>
        </w:rPr>
        <w:t>לשמור</w:t>
      </w:r>
      <w:r>
        <w:rPr>
          <w:rtl/>
        </w:rPr>
        <w:t xml:space="preserve"> </w:t>
      </w:r>
      <w:r>
        <w:rPr>
          <w:rFonts w:hint="eastAsia"/>
          <w:rtl/>
        </w:rPr>
        <w:t>עליה</w:t>
      </w:r>
      <w:r>
        <w:rPr>
          <w:rtl/>
        </w:rPr>
        <w:t xml:space="preserve"> </w:t>
      </w:r>
      <w:r>
        <w:rPr>
          <w:rFonts w:hint="eastAsia"/>
          <w:rtl/>
        </w:rPr>
        <w:t>היטב</w:t>
      </w:r>
      <w:r>
        <w:rPr>
          <w:rtl/>
        </w:rPr>
        <w:t xml:space="preserve">, </w:t>
      </w:r>
      <w:r>
        <w:rPr>
          <w:rFonts w:hint="eastAsia"/>
          <w:rtl/>
        </w:rPr>
        <w:t>כדי</w:t>
      </w:r>
      <w:r>
        <w:rPr>
          <w:rtl/>
        </w:rPr>
        <w:t xml:space="preserve"> </w:t>
      </w:r>
      <w:r>
        <w:rPr>
          <w:rFonts w:hint="eastAsia"/>
          <w:rtl/>
        </w:rPr>
        <w:t>שניתן</w:t>
      </w:r>
      <w:r>
        <w:rPr>
          <w:rtl/>
        </w:rPr>
        <w:t xml:space="preserve"> </w:t>
      </w:r>
      <w:r>
        <w:rPr>
          <w:rFonts w:hint="eastAsia"/>
          <w:rtl/>
        </w:rPr>
        <w:t>יהיה</w:t>
      </w:r>
      <w:r>
        <w:rPr>
          <w:rtl/>
        </w:rPr>
        <w:t xml:space="preserve"> </w:t>
      </w:r>
      <w:r>
        <w:rPr>
          <w:rFonts w:hint="eastAsia"/>
          <w:rtl/>
        </w:rPr>
        <w:t>לעשות</w:t>
      </w:r>
      <w:r>
        <w:rPr>
          <w:rtl/>
        </w:rPr>
        <w:t xml:space="preserve"> </w:t>
      </w:r>
      <w:r>
        <w:rPr>
          <w:rFonts w:hint="eastAsia"/>
          <w:rtl/>
        </w:rPr>
        <w:t>בה</w:t>
      </w:r>
      <w:r>
        <w:rPr>
          <w:rtl/>
        </w:rPr>
        <w:t xml:space="preserve"> </w:t>
      </w:r>
      <w:r>
        <w:rPr>
          <w:rFonts w:hint="eastAsia"/>
          <w:rtl/>
        </w:rPr>
        <w:t>שימוש</w:t>
      </w:r>
      <w:r>
        <w:rPr>
          <w:rtl/>
        </w:rPr>
        <w:t xml:space="preserve"> </w:t>
      </w:r>
      <w:r>
        <w:rPr>
          <w:rFonts w:hint="eastAsia"/>
          <w:rtl/>
        </w:rPr>
        <w:t>במקרה</w:t>
      </w:r>
      <w:r>
        <w:rPr>
          <w:rtl/>
        </w:rPr>
        <w:t xml:space="preserve"> </w:t>
      </w:r>
      <w:r>
        <w:rPr>
          <w:rFonts w:hint="eastAsia"/>
          <w:rtl/>
        </w:rPr>
        <w:t>הראוי</w:t>
      </w:r>
      <w:r>
        <w:rPr>
          <w:rtl/>
        </w:rPr>
        <w:t xml:space="preserve">. </w:t>
      </w:r>
      <w:r>
        <w:rPr>
          <w:rFonts w:hint="eastAsia"/>
          <w:rtl/>
        </w:rPr>
        <w:t>אך</w:t>
      </w:r>
      <w:r>
        <w:rPr>
          <w:rtl/>
        </w:rPr>
        <w:t xml:space="preserve"> </w:t>
      </w:r>
      <w:r>
        <w:rPr>
          <w:rFonts w:hint="eastAsia"/>
          <w:rtl/>
        </w:rPr>
        <w:t>דווקא</w:t>
      </w:r>
      <w:r>
        <w:rPr>
          <w:rtl/>
        </w:rPr>
        <w:t xml:space="preserve"> </w:t>
      </w:r>
      <w:r>
        <w:rPr>
          <w:rFonts w:hint="eastAsia"/>
          <w:rtl/>
        </w:rPr>
        <w:t>בשל</w:t>
      </w:r>
      <w:r>
        <w:rPr>
          <w:rtl/>
        </w:rPr>
        <w:t xml:space="preserve"> </w:t>
      </w:r>
      <w:r>
        <w:rPr>
          <w:rFonts w:hint="eastAsia"/>
          <w:rtl/>
        </w:rPr>
        <w:t>כך</w:t>
      </w:r>
      <w:r>
        <w:rPr>
          <w:rtl/>
        </w:rPr>
        <w:t xml:space="preserve"> </w:t>
      </w:r>
      <w:r>
        <w:rPr>
          <w:rFonts w:hint="eastAsia"/>
          <w:rtl/>
        </w:rPr>
        <w:t>יש</w:t>
      </w:r>
      <w:r>
        <w:rPr>
          <w:rtl/>
        </w:rPr>
        <w:t xml:space="preserve"> </w:t>
      </w:r>
      <w:r>
        <w:rPr>
          <w:rFonts w:hint="eastAsia"/>
          <w:rtl/>
        </w:rPr>
        <w:t>להיזהר</w:t>
      </w:r>
      <w:r>
        <w:rPr>
          <w:rtl/>
        </w:rPr>
        <w:t xml:space="preserve"> </w:t>
      </w:r>
      <w:r>
        <w:rPr>
          <w:rFonts w:hint="eastAsia"/>
          <w:rtl/>
        </w:rPr>
        <w:t>מאוד</w:t>
      </w:r>
      <w:r>
        <w:rPr>
          <w:rtl/>
        </w:rPr>
        <w:t xml:space="preserve"> </w:t>
      </w:r>
      <w:r>
        <w:rPr>
          <w:rFonts w:hint="eastAsia"/>
          <w:rtl/>
        </w:rPr>
        <w:t>שלא</w:t>
      </w:r>
      <w:r>
        <w:rPr>
          <w:rtl/>
        </w:rPr>
        <w:t xml:space="preserve"> </w:t>
      </w:r>
      <w:r>
        <w:rPr>
          <w:rFonts w:hint="eastAsia"/>
          <w:rtl/>
        </w:rPr>
        <w:t>תהיה</w:t>
      </w:r>
      <w:r>
        <w:rPr>
          <w:rtl/>
        </w:rPr>
        <w:t xml:space="preserve"> </w:t>
      </w:r>
      <w:r>
        <w:rPr>
          <w:rFonts w:hint="eastAsia"/>
          <w:rtl/>
        </w:rPr>
        <w:t>כעושר</w:t>
      </w:r>
      <w:r>
        <w:rPr>
          <w:rtl/>
        </w:rPr>
        <w:t xml:space="preserve"> </w:t>
      </w:r>
      <w:r>
        <w:rPr>
          <w:rFonts w:hint="eastAsia"/>
          <w:rtl/>
        </w:rPr>
        <w:t>השמור</w:t>
      </w:r>
      <w:r>
        <w:rPr>
          <w:rtl/>
        </w:rPr>
        <w:t xml:space="preserve"> </w:t>
      </w:r>
      <w:r>
        <w:rPr>
          <w:rFonts w:hint="eastAsia"/>
          <w:rtl/>
        </w:rPr>
        <w:t>לבעליו</w:t>
      </w:r>
      <w:r>
        <w:rPr>
          <w:rtl/>
        </w:rPr>
        <w:t xml:space="preserve"> </w:t>
      </w:r>
      <w:r>
        <w:rPr>
          <w:rFonts w:hint="eastAsia"/>
          <w:rtl/>
        </w:rPr>
        <w:t>לרעתו</w:t>
      </w:r>
      <w:r>
        <w:rPr>
          <w:rtl/>
        </w:rPr>
        <w:t xml:space="preserve">. </w:t>
      </w:r>
      <w:r>
        <w:rPr>
          <w:rFonts w:hint="eastAsia"/>
          <w:rtl/>
        </w:rPr>
        <w:t>כבר</w:t>
      </w:r>
      <w:r>
        <w:rPr>
          <w:rtl/>
        </w:rPr>
        <w:t xml:space="preserve"> </w:t>
      </w:r>
      <w:r>
        <w:rPr>
          <w:rFonts w:hint="eastAsia"/>
          <w:rtl/>
        </w:rPr>
        <w:t>אמר</w:t>
      </w:r>
      <w:r>
        <w:rPr>
          <w:rtl/>
        </w:rPr>
        <w:t xml:space="preserve"> </w:t>
      </w:r>
      <w:r w:rsidRPr="007A7C2F">
        <w:rPr>
          <w:rFonts w:ascii="Century" w:hAnsi="Century" w:cs="Miriam" w:hint="eastAsia"/>
          <w:b/>
          <w:spacing w:val="0"/>
          <w:szCs w:val="24"/>
          <w:rtl/>
        </w:rPr>
        <w:t>הנשיא</w:t>
      </w:r>
      <w:r w:rsidRPr="007A7C2F">
        <w:rPr>
          <w:rFonts w:ascii="Century" w:hAnsi="Century" w:cs="Miriam"/>
          <w:b/>
          <w:spacing w:val="0"/>
          <w:szCs w:val="24"/>
          <w:rtl/>
        </w:rPr>
        <w:t xml:space="preserve"> </w:t>
      </w:r>
      <w:r w:rsidRPr="007A7C2F">
        <w:rPr>
          <w:rFonts w:ascii="Century" w:hAnsi="Century" w:cs="Miriam" w:hint="eastAsia"/>
          <w:b/>
          <w:spacing w:val="0"/>
          <w:szCs w:val="24"/>
          <w:rtl/>
        </w:rPr>
        <w:t>ברק</w:t>
      </w:r>
      <w:r>
        <w:rPr>
          <w:rtl/>
        </w:rPr>
        <w:t xml:space="preserve">, </w:t>
      </w:r>
      <w:r>
        <w:rPr>
          <w:rFonts w:hint="eastAsia"/>
          <w:rtl/>
        </w:rPr>
        <w:t>שהסמכות</w:t>
      </w:r>
      <w:r>
        <w:rPr>
          <w:rtl/>
        </w:rPr>
        <w:t xml:space="preserve"> </w:t>
      </w:r>
      <w:r>
        <w:rPr>
          <w:rFonts w:hint="eastAsia"/>
          <w:rtl/>
        </w:rPr>
        <w:t>של</w:t>
      </w:r>
      <w:r>
        <w:rPr>
          <w:rtl/>
        </w:rPr>
        <w:t xml:space="preserve"> </w:t>
      </w:r>
      <w:r>
        <w:rPr>
          <w:rFonts w:hint="eastAsia"/>
          <w:rtl/>
        </w:rPr>
        <w:t>בית</w:t>
      </w:r>
      <w:r>
        <w:rPr>
          <w:rtl/>
        </w:rPr>
        <w:t>-</w:t>
      </w:r>
      <w:r>
        <w:rPr>
          <w:rFonts w:hint="eastAsia"/>
          <w:rtl/>
        </w:rPr>
        <w:t>משפט</w:t>
      </w:r>
      <w:r>
        <w:rPr>
          <w:rtl/>
        </w:rPr>
        <w:t xml:space="preserve"> </w:t>
      </w:r>
      <w:r>
        <w:rPr>
          <w:rFonts w:hint="eastAsia"/>
          <w:rtl/>
        </w:rPr>
        <w:t>לבטל</w:t>
      </w:r>
      <w:r>
        <w:rPr>
          <w:rtl/>
        </w:rPr>
        <w:t xml:space="preserve"> </w:t>
      </w:r>
      <w:r>
        <w:rPr>
          <w:rFonts w:hint="eastAsia"/>
          <w:rtl/>
        </w:rPr>
        <w:t>חוקים</w:t>
      </w:r>
      <w:r>
        <w:rPr>
          <w:rtl/>
        </w:rPr>
        <w:t xml:space="preserve"> </w:t>
      </w:r>
      <w:r>
        <w:rPr>
          <w:rFonts w:hint="eastAsia"/>
          <w:rtl/>
        </w:rPr>
        <w:t>דומה</w:t>
      </w:r>
      <w:r>
        <w:rPr>
          <w:rtl/>
        </w:rPr>
        <w:t xml:space="preserve"> </w:t>
      </w:r>
      <w:r>
        <w:rPr>
          <w:rFonts w:hint="eastAsia"/>
          <w:rtl/>
        </w:rPr>
        <w:t>לנשק</w:t>
      </w:r>
      <w:r>
        <w:rPr>
          <w:rtl/>
        </w:rPr>
        <w:t xml:space="preserve"> </w:t>
      </w:r>
      <w:r>
        <w:rPr>
          <w:rFonts w:hint="eastAsia"/>
          <w:rtl/>
        </w:rPr>
        <w:t>בלתי</w:t>
      </w:r>
      <w:r>
        <w:rPr>
          <w:rtl/>
        </w:rPr>
        <w:t xml:space="preserve"> </w:t>
      </w:r>
      <w:r>
        <w:rPr>
          <w:rFonts w:hint="eastAsia"/>
          <w:rtl/>
        </w:rPr>
        <w:t>קונבנציונלי</w:t>
      </w:r>
      <w:r>
        <w:rPr>
          <w:rFonts w:hint="cs"/>
          <w:rtl/>
        </w:rPr>
        <w:t xml:space="preserve"> [...]. </w:t>
      </w:r>
      <w:r>
        <w:rPr>
          <w:rFonts w:hint="eastAsia"/>
          <w:rtl/>
        </w:rPr>
        <w:t>כל</w:t>
      </w:r>
      <w:r>
        <w:rPr>
          <w:rtl/>
        </w:rPr>
        <w:t xml:space="preserve"> </w:t>
      </w:r>
      <w:r>
        <w:rPr>
          <w:rFonts w:hint="eastAsia"/>
          <w:rtl/>
        </w:rPr>
        <w:t>אחד</w:t>
      </w:r>
      <w:r>
        <w:rPr>
          <w:rtl/>
        </w:rPr>
        <w:t xml:space="preserve"> </w:t>
      </w:r>
      <w:r>
        <w:rPr>
          <w:rFonts w:hint="eastAsia"/>
          <w:rtl/>
        </w:rPr>
        <w:t>יודע</w:t>
      </w:r>
      <w:r>
        <w:rPr>
          <w:rtl/>
        </w:rPr>
        <w:t xml:space="preserve"> </w:t>
      </w:r>
      <w:r>
        <w:rPr>
          <w:rFonts w:hint="eastAsia"/>
          <w:rtl/>
        </w:rPr>
        <w:t>עד</w:t>
      </w:r>
      <w:r>
        <w:rPr>
          <w:rtl/>
        </w:rPr>
        <w:t xml:space="preserve"> </w:t>
      </w:r>
      <w:r>
        <w:rPr>
          <w:rFonts w:hint="eastAsia"/>
          <w:rtl/>
        </w:rPr>
        <w:t>כמה</w:t>
      </w:r>
      <w:r>
        <w:rPr>
          <w:rtl/>
        </w:rPr>
        <w:t xml:space="preserve"> </w:t>
      </w:r>
      <w:r>
        <w:rPr>
          <w:rFonts w:hint="eastAsia"/>
          <w:rtl/>
        </w:rPr>
        <w:t>נשק</w:t>
      </w:r>
      <w:r>
        <w:rPr>
          <w:rtl/>
        </w:rPr>
        <w:t xml:space="preserve"> </w:t>
      </w:r>
      <w:r>
        <w:rPr>
          <w:rFonts w:hint="eastAsia"/>
          <w:rtl/>
        </w:rPr>
        <w:t>כזה</w:t>
      </w:r>
      <w:r>
        <w:rPr>
          <w:rtl/>
        </w:rPr>
        <w:t xml:space="preserve"> </w:t>
      </w:r>
      <w:r>
        <w:rPr>
          <w:rFonts w:hint="eastAsia"/>
          <w:rtl/>
        </w:rPr>
        <w:t>עלול</w:t>
      </w:r>
      <w:r>
        <w:rPr>
          <w:rtl/>
        </w:rPr>
        <w:t xml:space="preserve"> </w:t>
      </w:r>
      <w:r>
        <w:rPr>
          <w:rFonts w:hint="eastAsia"/>
          <w:rtl/>
        </w:rPr>
        <w:t>להיות</w:t>
      </w:r>
      <w:r>
        <w:rPr>
          <w:rtl/>
        </w:rPr>
        <w:t xml:space="preserve"> </w:t>
      </w:r>
      <w:r>
        <w:rPr>
          <w:rFonts w:hint="eastAsia"/>
          <w:rtl/>
        </w:rPr>
        <w:t>הרסני</w:t>
      </w:r>
      <w:r>
        <w:rPr>
          <w:rtl/>
        </w:rPr>
        <w:t xml:space="preserve">, </w:t>
      </w:r>
      <w:r>
        <w:rPr>
          <w:rFonts w:hint="eastAsia"/>
          <w:rtl/>
        </w:rPr>
        <w:t>אם</w:t>
      </w:r>
      <w:r>
        <w:rPr>
          <w:rtl/>
        </w:rPr>
        <w:t xml:space="preserve"> </w:t>
      </w:r>
      <w:r>
        <w:rPr>
          <w:rFonts w:hint="eastAsia"/>
          <w:rtl/>
        </w:rPr>
        <w:t>כי</w:t>
      </w:r>
      <w:r>
        <w:rPr>
          <w:rtl/>
        </w:rPr>
        <w:t xml:space="preserve"> </w:t>
      </w:r>
      <w:r>
        <w:rPr>
          <w:rFonts w:hint="eastAsia"/>
          <w:rtl/>
        </w:rPr>
        <w:t>לא</w:t>
      </w:r>
      <w:r>
        <w:rPr>
          <w:rtl/>
        </w:rPr>
        <w:t xml:space="preserve"> </w:t>
      </w:r>
      <w:r>
        <w:rPr>
          <w:rFonts w:hint="eastAsia"/>
          <w:rtl/>
        </w:rPr>
        <w:t>כל</w:t>
      </w:r>
      <w:r>
        <w:rPr>
          <w:rtl/>
        </w:rPr>
        <w:t xml:space="preserve"> </w:t>
      </w:r>
      <w:r>
        <w:rPr>
          <w:rFonts w:hint="eastAsia"/>
          <w:rtl/>
        </w:rPr>
        <w:t>אחד</w:t>
      </w:r>
      <w:r>
        <w:rPr>
          <w:rtl/>
        </w:rPr>
        <w:t xml:space="preserve"> </w:t>
      </w:r>
      <w:r>
        <w:rPr>
          <w:rFonts w:hint="eastAsia"/>
          <w:rtl/>
        </w:rPr>
        <w:t>מבין</w:t>
      </w:r>
      <w:r>
        <w:rPr>
          <w:rtl/>
        </w:rPr>
        <w:t xml:space="preserve"> </w:t>
      </w:r>
      <w:r>
        <w:rPr>
          <w:rFonts w:hint="eastAsia"/>
          <w:rtl/>
        </w:rPr>
        <w:t>עד</w:t>
      </w:r>
      <w:r>
        <w:rPr>
          <w:rtl/>
        </w:rPr>
        <w:t xml:space="preserve"> </w:t>
      </w:r>
      <w:r>
        <w:rPr>
          <w:rFonts w:hint="eastAsia"/>
          <w:rtl/>
        </w:rPr>
        <w:t>היכן</w:t>
      </w:r>
      <w:r>
        <w:rPr>
          <w:rtl/>
        </w:rPr>
        <w:t xml:space="preserve"> </w:t>
      </w:r>
      <w:r>
        <w:rPr>
          <w:rFonts w:hint="eastAsia"/>
          <w:rtl/>
        </w:rPr>
        <w:t>עלול</w:t>
      </w:r>
      <w:r>
        <w:rPr>
          <w:rtl/>
        </w:rPr>
        <w:t xml:space="preserve"> </w:t>
      </w:r>
      <w:r>
        <w:rPr>
          <w:rFonts w:hint="eastAsia"/>
          <w:rtl/>
        </w:rPr>
        <w:t>ההרס</w:t>
      </w:r>
      <w:r>
        <w:rPr>
          <w:rtl/>
        </w:rPr>
        <w:t xml:space="preserve"> </w:t>
      </w:r>
      <w:r>
        <w:rPr>
          <w:rFonts w:hint="eastAsia"/>
          <w:rtl/>
        </w:rPr>
        <w:t>להתפשט</w:t>
      </w:r>
      <w:r>
        <w:rPr>
          <w:rtl/>
        </w:rPr>
        <w:t xml:space="preserve">. </w:t>
      </w:r>
      <w:r>
        <w:rPr>
          <w:rFonts w:hint="eastAsia"/>
          <w:rtl/>
        </w:rPr>
        <w:t>מי</w:t>
      </w:r>
      <w:r>
        <w:rPr>
          <w:rtl/>
        </w:rPr>
        <w:t xml:space="preserve"> </w:t>
      </w:r>
      <w:r>
        <w:rPr>
          <w:rFonts w:hint="eastAsia"/>
          <w:rtl/>
        </w:rPr>
        <w:t>שמופקד</w:t>
      </w:r>
      <w:r>
        <w:rPr>
          <w:rtl/>
        </w:rPr>
        <w:t xml:space="preserve"> </w:t>
      </w:r>
      <w:r>
        <w:rPr>
          <w:rFonts w:hint="eastAsia"/>
          <w:rtl/>
        </w:rPr>
        <w:t>על</w:t>
      </w:r>
      <w:r>
        <w:rPr>
          <w:rtl/>
        </w:rPr>
        <w:t xml:space="preserve"> </w:t>
      </w:r>
      <w:r>
        <w:rPr>
          <w:rFonts w:hint="eastAsia"/>
          <w:rtl/>
        </w:rPr>
        <w:t>נשק</w:t>
      </w:r>
      <w:r>
        <w:rPr>
          <w:rtl/>
        </w:rPr>
        <w:t xml:space="preserve"> </w:t>
      </w:r>
      <w:r>
        <w:rPr>
          <w:rFonts w:hint="eastAsia"/>
          <w:rtl/>
        </w:rPr>
        <w:t>כזה</w:t>
      </w:r>
      <w:r>
        <w:rPr>
          <w:rtl/>
        </w:rPr>
        <w:t xml:space="preserve"> </w:t>
      </w:r>
      <w:r>
        <w:rPr>
          <w:rFonts w:hint="eastAsia"/>
          <w:rtl/>
        </w:rPr>
        <w:t>מחויב</w:t>
      </w:r>
      <w:r>
        <w:rPr>
          <w:rtl/>
        </w:rPr>
        <w:t xml:space="preserve"> </w:t>
      </w:r>
      <w:r>
        <w:rPr>
          <w:rFonts w:hint="eastAsia"/>
          <w:rtl/>
        </w:rPr>
        <w:t>באיפוק</w:t>
      </w:r>
      <w:r>
        <w:rPr>
          <w:rtl/>
        </w:rPr>
        <w:t xml:space="preserve"> </w:t>
      </w:r>
      <w:r>
        <w:rPr>
          <w:rFonts w:hint="eastAsia"/>
          <w:rtl/>
        </w:rPr>
        <w:t>מרבי</w:t>
      </w:r>
      <w:r>
        <w:rPr>
          <w:rtl/>
        </w:rPr>
        <w:t xml:space="preserve">. </w:t>
      </w:r>
      <w:r>
        <w:rPr>
          <w:rFonts w:hint="eastAsia"/>
          <w:rtl/>
        </w:rPr>
        <w:t>אוי</w:t>
      </w:r>
      <w:r>
        <w:rPr>
          <w:rtl/>
        </w:rPr>
        <w:t xml:space="preserve"> </w:t>
      </w:r>
      <w:r>
        <w:rPr>
          <w:rFonts w:hint="eastAsia"/>
          <w:rtl/>
        </w:rPr>
        <w:t>לסמכות</w:t>
      </w:r>
      <w:r>
        <w:rPr>
          <w:rtl/>
        </w:rPr>
        <w:t xml:space="preserve"> </w:t>
      </w:r>
      <w:r>
        <w:rPr>
          <w:rFonts w:hint="eastAsia"/>
          <w:rtl/>
        </w:rPr>
        <w:t>שאין</w:t>
      </w:r>
      <w:r>
        <w:rPr>
          <w:rtl/>
        </w:rPr>
        <w:t xml:space="preserve"> </w:t>
      </w:r>
      <w:r>
        <w:rPr>
          <w:rFonts w:hint="eastAsia"/>
          <w:rtl/>
        </w:rPr>
        <w:t>עמה</w:t>
      </w:r>
      <w:r>
        <w:rPr>
          <w:rtl/>
        </w:rPr>
        <w:t xml:space="preserve"> </w:t>
      </w:r>
      <w:r>
        <w:rPr>
          <w:rFonts w:hint="eastAsia"/>
          <w:rtl/>
        </w:rPr>
        <w:t>אחריו</w:t>
      </w:r>
      <w:r>
        <w:rPr>
          <w:rFonts w:hint="cs"/>
          <w:rtl/>
        </w:rPr>
        <w:t>ת" (שם, עמ' 496).</w:t>
      </w:r>
    </w:p>
    <w:p w:rsidR="00737972" w:rsidRDefault="00737972" w:rsidP="00737972">
      <w:pPr>
        <w:pStyle w:val="Ruller41"/>
        <w:rPr>
          <w:rtl/>
        </w:rPr>
      </w:pPr>
    </w:p>
    <w:p w:rsidR="00737972" w:rsidRDefault="00737972" w:rsidP="00737972">
      <w:pPr>
        <w:pStyle w:val="Ruller41"/>
        <w:rPr>
          <w:rtl/>
        </w:rPr>
      </w:pPr>
      <w:r>
        <w:rPr>
          <w:rtl/>
        </w:rPr>
        <w:tab/>
      </w:r>
      <w:r>
        <w:rPr>
          <w:rFonts w:hint="cs"/>
          <w:rtl/>
        </w:rPr>
        <w:t>גם לפי התפיסה שחוקי היסוד הקנו לבית המשפט סמכות לבטל חוקים, מתחייבת נקיטת אמת מידה זהירה ומרוסנת ביותר בעת שימוש בסמכות זו. "אוי לסמכות שאין עמה אחריות".</w:t>
      </w:r>
    </w:p>
    <w:p w:rsidR="00737972" w:rsidRDefault="00737972" w:rsidP="00737972">
      <w:pPr>
        <w:pStyle w:val="Ruller4"/>
        <w:numPr>
          <w:ilvl w:val="0"/>
          <w:numId w:val="0"/>
        </w:numPr>
      </w:pPr>
    </w:p>
    <w:p w:rsidR="00737972" w:rsidRPr="00714CBF" w:rsidRDefault="00737972" w:rsidP="00737972">
      <w:pPr>
        <w:pStyle w:val="Ruller4"/>
      </w:pPr>
      <w:r>
        <w:rPr>
          <w:rFonts w:hint="cs"/>
          <w:rtl/>
        </w:rPr>
        <w:t xml:space="preserve">על אחת כמה וכמה שהדיון בהיקף הביקורת השיפוטית על חוקי יסוד (גם לעמדה המניחה קיומה של סמכות כאמור), יַצא מתוך נקודת הנחה מרוסנת, זהירה ומאופקת. האפשרות התיאורטית הרחוקה של התערבות </w:t>
      </w:r>
      <w:r w:rsidRPr="00EB7C80">
        <w:rPr>
          <w:rFonts w:ascii="Century" w:hAnsi="Century" w:cs="Miriam" w:hint="cs"/>
          <w:b/>
          <w:spacing w:val="0"/>
          <w:sz w:val="22"/>
          <w:szCs w:val="24"/>
          <w:rtl/>
        </w:rPr>
        <w:t>בתוכנם</w:t>
      </w:r>
      <w:r w:rsidRPr="007B7F79">
        <w:rPr>
          <w:rFonts w:hint="cs"/>
          <w:rtl/>
        </w:rPr>
        <w:t xml:space="preserve"> </w:t>
      </w:r>
      <w:r>
        <w:rPr>
          <w:rFonts w:hint="cs"/>
          <w:rtl/>
        </w:rPr>
        <w:t>של חוקי יסוד, הועלתה בעבר לגבי מצבי דחק קיצוניים, בהתייחס לאפשרות ההיפותטית שבה יבוא לפני בית המשפט חוק יסוד ה"שולל את תכונות המינימום הדרושות למשטר דמוקרטי" (</w:t>
      </w:r>
      <w:r>
        <w:rPr>
          <w:rFonts w:hint="eastAsia"/>
          <w:rtl/>
        </w:rPr>
        <w:t>בג</w:t>
      </w:r>
      <w:r>
        <w:rPr>
          <w:rFonts w:hint="cs"/>
          <w:rtl/>
        </w:rPr>
        <w:t>"</w:t>
      </w:r>
      <w:r>
        <w:rPr>
          <w:rFonts w:hint="eastAsia"/>
          <w:rtl/>
        </w:rPr>
        <w:t>ץ</w:t>
      </w:r>
      <w:r>
        <w:rPr>
          <w:rtl/>
        </w:rPr>
        <w:t xml:space="preserve"> 6427/02 </w:t>
      </w:r>
      <w:r w:rsidRPr="00EB7C80">
        <w:rPr>
          <w:rFonts w:ascii="Century" w:hAnsi="Century" w:cs="Miriam" w:hint="eastAsia"/>
          <w:b/>
          <w:spacing w:val="0"/>
          <w:sz w:val="22"/>
          <w:szCs w:val="24"/>
          <w:rtl/>
        </w:rPr>
        <w:t>התנועה</w:t>
      </w:r>
      <w:r w:rsidRPr="00EB7C80">
        <w:rPr>
          <w:rFonts w:ascii="Century" w:hAnsi="Century" w:cs="Miriam"/>
          <w:b/>
          <w:spacing w:val="0"/>
          <w:sz w:val="22"/>
          <w:szCs w:val="24"/>
          <w:rtl/>
        </w:rPr>
        <w:t xml:space="preserve"> </w:t>
      </w:r>
      <w:r w:rsidRPr="00EB7C80">
        <w:rPr>
          <w:rFonts w:ascii="Century" w:hAnsi="Century" w:cs="Miriam" w:hint="eastAsia"/>
          <w:b/>
          <w:spacing w:val="0"/>
          <w:sz w:val="22"/>
          <w:szCs w:val="24"/>
          <w:rtl/>
        </w:rPr>
        <w:t>לאיכות</w:t>
      </w:r>
      <w:r w:rsidRPr="00EB7C80">
        <w:rPr>
          <w:rFonts w:ascii="Century" w:hAnsi="Century" w:cs="Miriam"/>
          <w:b/>
          <w:spacing w:val="0"/>
          <w:sz w:val="22"/>
          <w:szCs w:val="24"/>
          <w:rtl/>
        </w:rPr>
        <w:t xml:space="preserve"> </w:t>
      </w:r>
      <w:r w:rsidRPr="00EB7C80">
        <w:rPr>
          <w:rFonts w:ascii="Century" w:hAnsi="Century" w:cs="Miriam" w:hint="eastAsia"/>
          <w:b/>
          <w:spacing w:val="0"/>
          <w:sz w:val="22"/>
          <w:szCs w:val="24"/>
          <w:rtl/>
        </w:rPr>
        <w:t>השלטון</w:t>
      </w:r>
      <w:r w:rsidRPr="00EB7C80">
        <w:rPr>
          <w:rFonts w:ascii="Century" w:hAnsi="Century" w:cs="Miriam"/>
          <w:b/>
          <w:spacing w:val="0"/>
          <w:sz w:val="22"/>
          <w:szCs w:val="24"/>
          <w:rtl/>
        </w:rPr>
        <w:t xml:space="preserve"> </w:t>
      </w:r>
      <w:r w:rsidRPr="00EB7C80">
        <w:rPr>
          <w:rFonts w:ascii="Century" w:hAnsi="Century" w:cs="Miriam" w:hint="eastAsia"/>
          <w:b/>
          <w:spacing w:val="0"/>
          <w:sz w:val="22"/>
          <w:szCs w:val="24"/>
          <w:rtl/>
        </w:rPr>
        <w:t>בישראל</w:t>
      </w:r>
      <w:r w:rsidRPr="00EB7C80">
        <w:rPr>
          <w:rFonts w:ascii="Century" w:hAnsi="Century" w:cs="Miriam"/>
          <w:b/>
          <w:spacing w:val="0"/>
          <w:sz w:val="22"/>
          <w:szCs w:val="24"/>
          <w:rtl/>
        </w:rPr>
        <w:t xml:space="preserve"> </w:t>
      </w:r>
      <w:r w:rsidRPr="00EB7C80">
        <w:rPr>
          <w:rFonts w:ascii="Century" w:hAnsi="Century" w:cs="Miriam" w:hint="eastAsia"/>
          <w:b/>
          <w:spacing w:val="0"/>
          <w:sz w:val="22"/>
          <w:szCs w:val="24"/>
          <w:rtl/>
        </w:rPr>
        <w:t>נ</w:t>
      </w:r>
      <w:r w:rsidRPr="00EB7C80">
        <w:rPr>
          <w:rFonts w:ascii="Century" w:hAnsi="Century" w:cs="Miriam"/>
          <w:b/>
          <w:spacing w:val="0"/>
          <w:sz w:val="22"/>
          <w:szCs w:val="24"/>
          <w:rtl/>
        </w:rPr>
        <w:t xml:space="preserve">' </w:t>
      </w:r>
      <w:r w:rsidRPr="00EB7C80">
        <w:rPr>
          <w:rFonts w:ascii="Century" w:hAnsi="Century" w:cs="Miriam" w:hint="eastAsia"/>
          <w:b/>
          <w:spacing w:val="0"/>
          <w:sz w:val="22"/>
          <w:szCs w:val="24"/>
          <w:rtl/>
        </w:rPr>
        <w:t>הכנסת</w:t>
      </w:r>
      <w:r>
        <w:rPr>
          <w:rtl/>
        </w:rPr>
        <w:t xml:space="preserve">, </w:t>
      </w:r>
      <w:r>
        <w:rPr>
          <w:rFonts w:hint="eastAsia"/>
          <w:rtl/>
        </w:rPr>
        <w:t>פ</w:t>
      </w:r>
      <w:r>
        <w:rPr>
          <w:rFonts w:hint="cs"/>
          <w:rtl/>
        </w:rPr>
        <w:t>"</w:t>
      </w:r>
      <w:r>
        <w:rPr>
          <w:rFonts w:hint="eastAsia"/>
          <w:rtl/>
        </w:rPr>
        <w:t>ד</w:t>
      </w:r>
      <w:r>
        <w:rPr>
          <w:rtl/>
        </w:rPr>
        <w:t xml:space="preserve"> </w:t>
      </w:r>
      <w:r>
        <w:rPr>
          <w:rFonts w:hint="eastAsia"/>
          <w:rtl/>
        </w:rPr>
        <w:t>סא</w:t>
      </w:r>
      <w:r>
        <w:rPr>
          <w:rtl/>
        </w:rPr>
        <w:t>(1) 619</w:t>
      </w:r>
      <w:r>
        <w:rPr>
          <w:rFonts w:hint="cs"/>
          <w:rtl/>
        </w:rPr>
        <w:t xml:space="preserve">, 717 (2006) (להלן: עניין </w:t>
      </w:r>
      <w:r w:rsidRPr="00F4720F">
        <w:rPr>
          <w:rFonts w:ascii="Century" w:hAnsi="Century" w:cs="Miriam" w:hint="cs"/>
          <w:b/>
          <w:spacing w:val="0"/>
          <w:sz w:val="22"/>
          <w:szCs w:val="24"/>
          <w:rtl/>
        </w:rPr>
        <w:t>התנועה למען איכות השלטון בישראל</w:t>
      </w:r>
      <w:r>
        <w:rPr>
          <w:rFonts w:hint="cs"/>
          <w:rtl/>
        </w:rPr>
        <w:t xml:space="preserve">)), אפשרות רחוקה וערטילאית שגבולותיה נותרו </w:t>
      </w:r>
      <w:r w:rsidRPr="00714CBF">
        <w:rPr>
          <w:rFonts w:hint="cs"/>
          <w:rtl/>
        </w:rPr>
        <w:t>בצריך עיון.</w:t>
      </w:r>
    </w:p>
    <w:p w:rsidR="00737972" w:rsidRPr="00714CBF" w:rsidRDefault="00737972" w:rsidP="00737972">
      <w:pPr>
        <w:pStyle w:val="Ruller4"/>
        <w:numPr>
          <w:ilvl w:val="0"/>
          <w:numId w:val="0"/>
        </w:numPr>
      </w:pPr>
    </w:p>
    <w:p w:rsidR="00737972" w:rsidRPr="00714CBF" w:rsidRDefault="00737972" w:rsidP="00737972">
      <w:pPr>
        <w:pStyle w:val="Ruller4"/>
        <w:rPr>
          <w:rtl/>
        </w:rPr>
      </w:pPr>
      <w:r w:rsidRPr="00714CBF">
        <w:rPr>
          <w:rFonts w:hint="cs"/>
          <w:rtl/>
        </w:rPr>
        <w:t>בהמשך הדרך, הוזכרו שתי דוקטרינות בפסיקה, בקשר לסוגיית ההתערבות בחוקי היסוד. האחת, דוקטרינת "השימוש לרעה בסמכות מכוננת", המתיימרת לעסוק בהיבטים הצורניים של חוקי היסוד ולא בתוכנם (וראו בהקשר זה: פסקה 59 לחוות דעת חברתי הנשיאה (בדימ')</w:t>
      </w:r>
      <w:r>
        <w:rPr>
          <w:rFonts w:hint="cs"/>
          <w:rtl/>
        </w:rPr>
        <w:t>;</w:t>
      </w:r>
      <w:r w:rsidRPr="00714CBF">
        <w:rPr>
          <w:rFonts w:hint="cs"/>
          <w:rtl/>
        </w:rPr>
        <w:t xml:space="preserve"> </w:t>
      </w:r>
      <w:r w:rsidRPr="002F38A4">
        <w:rPr>
          <w:rFonts w:hint="eastAsia"/>
          <w:rtl/>
        </w:rPr>
        <w:t>אציין</w:t>
      </w:r>
      <w:r w:rsidRPr="002F38A4">
        <w:rPr>
          <w:rtl/>
        </w:rPr>
        <w:t xml:space="preserve"> </w:t>
      </w:r>
      <w:r w:rsidRPr="002F38A4">
        <w:rPr>
          <w:rFonts w:hint="eastAsia"/>
          <w:rtl/>
        </w:rPr>
        <w:t>במאמר</w:t>
      </w:r>
      <w:r w:rsidRPr="002F38A4">
        <w:rPr>
          <w:rtl/>
        </w:rPr>
        <w:t xml:space="preserve"> </w:t>
      </w:r>
      <w:r w:rsidRPr="002F38A4">
        <w:rPr>
          <w:rFonts w:hint="eastAsia"/>
          <w:rtl/>
        </w:rPr>
        <w:t>מוסגר</w:t>
      </w:r>
      <w:r w:rsidRPr="002F38A4">
        <w:rPr>
          <w:rtl/>
        </w:rPr>
        <w:t xml:space="preserve"> </w:t>
      </w:r>
      <w:r w:rsidRPr="002F38A4">
        <w:rPr>
          <w:rFonts w:hint="eastAsia"/>
          <w:rtl/>
        </w:rPr>
        <w:t>כי</w:t>
      </w:r>
      <w:r w:rsidRPr="002F38A4">
        <w:rPr>
          <w:rtl/>
        </w:rPr>
        <w:t xml:space="preserve"> </w:t>
      </w:r>
      <w:r w:rsidRPr="002F38A4">
        <w:rPr>
          <w:rFonts w:hint="eastAsia"/>
          <w:rtl/>
        </w:rPr>
        <w:t>עמדתי</w:t>
      </w:r>
      <w:r w:rsidRPr="002F38A4">
        <w:rPr>
          <w:rtl/>
        </w:rPr>
        <w:t xml:space="preserve"> </w:t>
      </w:r>
      <w:r w:rsidRPr="002F38A4">
        <w:rPr>
          <w:rFonts w:hint="eastAsia"/>
          <w:rtl/>
        </w:rPr>
        <w:t>בעבר</w:t>
      </w:r>
      <w:r w:rsidRPr="002F38A4">
        <w:rPr>
          <w:rtl/>
        </w:rPr>
        <w:t xml:space="preserve"> </w:t>
      </w:r>
      <w:r w:rsidRPr="002F38A4">
        <w:rPr>
          <w:rFonts w:hint="eastAsia"/>
          <w:rtl/>
        </w:rPr>
        <w:t>בקצרה</w:t>
      </w:r>
      <w:r w:rsidRPr="002F38A4">
        <w:rPr>
          <w:rtl/>
        </w:rPr>
        <w:t xml:space="preserve"> </w:t>
      </w:r>
      <w:r w:rsidRPr="002F38A4">
        <w:rPr>
          <w:rFonts w:hint="eastAsia"/>
          <w:rtl/>
        </w:rPr>
        <w:t>על</w:t>
      </w:r>
      <w:r w:rsidRPr="002F38A4">
        <w:rPr>
          <w:rtl/>
        </w:rPr>
        <w:t xml:space="preserve"> </w:t>
      </w:r>
      <w:r w:rsidRPr="002F38A4">
        <w:rPr>
          <w:rFonts w:hint="eastAsia"/>
          <w:rtl/>
        </w:rPr>
        <w:t>הסכנות</w:t>
      </w:r>
      <w:r w:rsidRPr="002F38A4">
        <w:rPr>
          <w:rtl/>
        </w:rPr>
        <w:t xml:space="preserve"> </w:t>
      </w:r>
      <w:r w:rsidRPr="002F38A4">
        <w:rPr>
          <w:rFonts w:hint="eastAsia"/>
          <w:rtl/>
        </w:rPr>
        <w:t>הרובצות</w:t>
      </w:r>
      <w:r w:rsidRPr="002F38A4">
        <w:rPr>
          <w:rtl/>
        </w:rPr>
        <w:t xml:space="preserve"> </w:t>
      </w:r>
      <w:r w:rsidRPr="002F38A4">
        <w:rPr>
          <w:rFonts w:hint="eastAsia"/>
          <w:rtl/>
        </w:rPr>
        <w:t>לפתחה</w:t>
      </w:r>
      <w:r w:rsidRPr="002F38A4">
        <w:rPr>
          <w:rtl/>
        </w:rPr>
        <w:t xml:space="preserve"> </w:t>
      </w:r>
      <w:r w:rsidRPr="002F38A4">
        <w:rPr>
          <w:rFonts w:hint="eastAsia"/>
          <w:rtl/>
        </w:rPr>
        <w:t>של</w:t>
      </w:r>
      <w:r w:rsidRPr="002F38A4">
        <w:rPr>
          <w:rtl/>
        </w:rPr>
        <w:t xml:space="preserve"> </w:t>
      </w:r>
      <w:r w:rsidRPr="002F38A4">
        <w:rPr>
          <w:rFonts w:hint="eastAsia"/>
          <w:rtl/>
        </w:rPr>
        <w:t>הדוקטרינה</w:t>
      </w:r>
      <w:r w:rsidRPr="002F38A4">
        <w:rPr>
          <w:rtl/>
        </w:rPr>
        <w:t xml:space="preserve"> </w:t>
      </w:r>
      <w:r w:rsidRPr="002F38A4">
        <w:rPr>
          <w:rFonts w:hint="eastAsia"/>
          <w:rtl/>
        </w:rPr>
        <w:t>ה</w:t>
      </w:r>
      <w:r w:rsidRPr="002F38A4">
        <w:rPr>
          <w:rtl/>
        </w:rPr>
        <w:t>"</w:t>
      </w:r>
      <w:r w:rsidRPr="002F38A4">
        <w:rPr>
          <w:rFonts w:hint="eastAsia"/>
          <w:rtl/>
        </w:rPr>
        <w:t>צורנית</w:t>
      </w:r>
      <w:r w:rsidRPr="002F38A4">
        <w:rPr>
          <w:rtl/>
        </w:rPr>
        <w:t xml:space="preserve">" </w:t>
      </w:r>
      <w:r w:rsidRPr="002F38A4">
        <w:rPr>
          <w:rFonts w:hint="eastAsia"/>
          <w:rtl/>
        </w:rPr>
        <w:t>כביכול</w:t>
      </w:r>
      <w:r w:rsidRPr="002F38A4">
        <w:rPr>
          <w:rtl/>
        </w:rPr>
        <w:t xml:space="preserve"> (</w:t>
      </w:r>
      <w:r w:rsidRPr="002F38A4">
        <w:rPr>
          <w:rFonts w:hint="eastAsia"/>
          <w:rtl/>
        </w:rPr>
        <w:t>עניין</w:t>
      </w:r>
      <w:r w:rsidRPr="002F38A4">
        <w:rPr>
          <w:rtl/>
        </w:rPr>
        <w:t xml:space="preserve"> </w:t>
      </w:r>
      <w:r w:rsidRPr="002F38A4">
        <w:rPr>
          <w:rFonts w:ascii="Century" w:hAnsi="Century" w:cs="Miriam" w:hint="eastAsia"/>
          <w:b/>
          <w:spacing w:val="0"/>
          <w:sz w:val="22"/>
          <w:szCs w:val="24"/>
          <w:rtl/>
        </w:rPr>
        <w:t>שפיר</w:t>
      </w:r>
      <w:r w:rsidRPr="002F38A4">
        <w:rPr>
          <w:rtl/>
        </w:rPr>
        <w:t xml:space="preserve">, </w:t>
      </w:r>
      <w:r w:rsidRPr="002F38A4">
        <w:rPr>
          <w:rFonts w:hint="eastAsia"/>
          <w:rtl/>
        </w:rPr>
        <w:t>פסקה</w:t>
      </w:r>
      <w:r w:rsidRPr="002F38A4">
        <w:rPr>
          <w:rtl/>
        </w:rPr>
        <w:t xml:space="preserve"> 12 </w:t>
      </w:r>
      <w:r w:rsidRPr="002F38A4">
        <w:rPr>
          <w:rFonts w:hint="eastAsia"/>
          <w:rtl/>
        </w:rPr>
        <w:t>לחוות</w:t>
      </w:r>
      <w:r w:rsidRPr="002F38A4">
        <w:rPr>
          <w:rtl/>
        </w:rPr>
        <w:t xml:space="preserve"> </w:t>
      </w:r>
      <w:r w:rsidRPr="002F38A4">
        <w:rPr>
          <w:rFonts w:hint="eastAsia"/>
          <w:rtl/>
        </w:rPr>
        <w:t>דעתי</w:t>
      </w:r>
      <w:r w:rsidRPr="002F38A4">
        <w:rPr>
          <w:rtl/>
        </w:rPr>
        <w:t xml:space="preserve">; </w:t>
      </w:r>
      <w:r w:rsidRPr="002F38A4">
        <w:rPr>
          <w:rFonts w:hint="eastAsia"/>
          <w:rtl/>
        </w:rPr>
        <w:t>עניין</w:t>
      </w:r>
      <w:r w:rsidRPr="002F38A4">
        <w:rPr>
          <w:rtl/>
        </w:rPr>
        <w:t xml:space="preserve"> </w:t>
      </w:r>
      <w:r w:rsidRPr="002F38A4">
        <w:rPr>
          <w:rFonts w:ascii="Century" w:hAnsi="Century" w:cs="Miriam" w:hint="eastAsia"/>
          <w:b/>
          <w:spacing w:val="0"/>
          <w:sz w:val="22"/>
          <w:szCs w:val="24"/>
          <w:rtl/>
        </w:rPr>
        <w:t>ממשלת</w:t>
      </w:r>
      <w:r w:rsidRPr="002F38A4">
        <w:rPr>
          <w:rFonts w:ascii="Century" w:hAnsi="Century" w:cs="Miriam"/>
          <w:b/>
          <w:spacing w:val="0"/>
          <w:sz w:val="22"/>
          <w:szCs w:val="24"/>
          <w:rtl/>
        </w:rPr>
        <w:t xml:space="preserve"> </w:t>
      </w:r>
      <w:r w:rsidRPr="002F38A4">
        <w:rPr>
          <w:rFonts w:ascii="Century" w:hAnsi="Century" w:cs="Miriam" w:hint="eastAsia"/>
          <w:b/>
          <w:spacing w:val="0"/>
          <w:sz w:val="22"/>
          <w:szCs w:val="24"/>
          <w:rtl/>
        </w:rPr>
        <w:t>הח</w:t>
      </w:r>
      <w:r>
        <w:rPr>
          <w:rFonts w:ascii="Century" w:hAnsi="Century" w:cs="Miriam" w:hint="cs"/>
          <w:b/>
          <w:spacing w:val="0"/>
          <w:sz w:val="22"/>
          <w:szCs w:val="24"/>
          <w:rtl/>
        </w:rPr>
        <w:t>י</w:t>
      </w:r>
      <w:r w:rsidRPr="002F38A4">
        <w:rPr>
          <w:rFonts w:ascii="Century" w:hAnsi="Century" w:cs="Miriam" w:hint="eastAsia"/>
          <w:b/>
          <w:spacing w:val="0"/>
          <w:sz w:val="22"/>
          <w:szCs w:val="24"/>
          <w:rtl/>
        </w:rPr>
        <w:t>לופים</w:t>
      </w:r>
      <w:r w:rsidRPr="002F38A4">
        <w:rPr>
          <w:rtl/>
        </w:rPr>
        <w:t xml:space="preserve">, </w:t>
      </w:r>
      <w:r w:rsidRPr="002F38A4">
        <w:rPr>
          <w:rFonts w:hint="eastAsia"/>
          <w:rtl/>
        </w:rPr>
        <w:t>פסקה</w:t>
      </w:r>
      <w:r w:rsidRPr="002F38A4">
        <w:rPr>
          <w:rtl/>
        </w:rPr>
        <w:t xml:space="preserve"> 15 </w:t>
      </w:r>
      <w:r w:rsidRPr="002F38A4">
        <w:rPr>
          <w:rFonts w:hint="eastAsia"/>
          <w:rtl/>
        </w:rPr>
        <w:t>לחוות</w:t>
      </w:r>
      <w:r w:rsidRPr="002F38A4">
        <w:rPr>
          <w:rtl/>
        </w:rPr>
        <w:t xml:space="preserve"> </w:t>
      </w:r>
      <w:r w:rsidRPr="002F38A4">
        <w:rPr>
          <w:rFonts w:hint="eastAsia"/>
          <w:rtl/>
        </w:rPr>
        <w:t>דעתי</w:t>
      </w:r>
      <w:r w:rsidRPr="002F38A4">
        <w:rPr>
          <w:rtl/>
        </w:rPr>
        <w:t xml:space="preserve">) </w:t>
      </w:r>
      <w:r w:rsidRPr="002F38A4">
        <w:rPr>
          <w:rFonts w:hint="eastAsia"/>
          <w:rtl/>
        </w:rPr>
        <w:t>אך</w:t>
      </w:r>
      <w:r w:rsidRPr="002F38A4">
        <w:rPr>
          <w:rtl/>
        </w:rPr>
        <w:t xml:space="preserve"> </w:t>
      </w:r>
      <w:r w:rsidRPr="002F38A4">
        <w:rPr>
          <w:rFonts w:hint="eastAsia"/>
          <w:rtl/>
        </w:rPr>
        <w:t>כאמור</w:t>
      </w:r>
      <w:r w:rsidRPr="002F38A4">
        <w:rPr>
          <w:rtl/>
        </w:rPr>
        <w:t xml:space="preserve"> </w:t>
      </w:r>
      <w:r w:rsidRPr="00714CBF">
        <w:rPr>
          <w:rFonts w:hint="eastAsia"/>
          <w:rtl/>
        </w:rPr>
        <w:t>אין</w:t>
      </w:r>
      <w:r w:rsidRPr="00714CBF">
        <w:rPr>
          <w:rtl/>
        </w:rPr>
        <w:t xml:space="preserve"> </w:t>
      </w:r>
      <w:r w:rsidRPr="00714CBF">
        <w:rPr>
          <w:rFonts w:hint="eastAsia"/>
          <w:rtl/>
        </w:rPr>
        <w:t>מקום</w:t>
      </w:r>
      <w:r w:rsidRPr="00714CBF">
        <w:rPr>
          <w:rtl/>
        </w:rPr>
        <w:t xml:space="preserve"> </w:t>
      </w:r>
      <w:r w:rsidRPr="002F38A4">
        <w:rPr>
          <w:rFonts w:hint="eastAsia"/>
          <w:rtl/>
        </w:rPr>
        <w:t>להאריך</w:t>
      </w:r>
      <w:r w:rsidRPr="002F38A4">
        <w:rPr>
          <w:rtl/>
        </w:rPr>
        <w:t xml:space="preserve"> </w:t>
      </w:r>
      <w:r w:rsidRPr="002F38A4">
        <w:rPr>
          <w:rFonts w:hint="eastAsia"/>
          <w:rtl/>
        </w:rPr>
        <w:t>בכך</w:t>
      </w:r>
      <w:r w:rsidRPr="002F38A4">
        <w:rPr>
          <w:rtl/>
        </w:rPr>
        <w:t xml:space="preserve"> </w:t>
      </w:r>
      <w:r w:rsidRPr="002F38A4">
        <w:rPr>
          <w:rFonts w:hint="eastAsia"/>
          <w:rtl/>
        </w:rPr>
        <w:t>כעת</w:t>
      </w:r>
      <w:r w:rsidRPr="00714CBF">
        <w:rPr>
          <w:rFonts w:hint="cs"/>
          <w:rtl/>
        </w:rPr>
        <w:t xml:space="preserve">). </w:t>
      </w:r>
    </w:p>
    <w:p w:rsidR="00737972" w:rsidRPr="00714CBF" w:rsidRDefault="00737972" w:rsidP="00737972">
      <w:pPr>
        <w:pStyle w:val="Ruller4"/>
        <w:numPr>
          <w:ilvl w:val="0"/>
          <w:numId w:val="0"/>
        </w:numPr>
        <w:rPr>
          <w:rtl/>
        </w:rPr>
      </w:pPr>
    </w:p>
    <w:p w:rsidR="00737972" w:rsidRDefault="00737972" w:rsidP="00737972">
      <w:pPr>
        <w:pStyle w:val="Ruller4"/>
        <w:numPr>
          <w:ilvl w:val="0"/>
          <w:numId w:val="0"/>
        </w:numPr>
      </w:pPr>
      <w:r w:rsidRPr="00714CBF">
        <w:rPr>
          <w:rtl/>
        </w:rPr>
        <w:tab/>
      </w:r>
      <w:r w:rsidRPr="00714CBF">
        <w:rPr>
          <w:rFonts w:hint="cs"/>
          <w:rtl/>
        </w:rPr>
        <w:t>השנייה, דוקטרינת "התיקון החוקתי שאינו חוקתי", אשר הובהרה על ידי בית משפט זה הבעייתיות הרבה באימוצה, נוכח העובדה ש</w:t>
      </w:r>
      <w:r w:rsidRPr="00714CBF">
        <w:rPr>
          <w:rFonts w:hint="eastAsia"/>
          <w:rtl/>
        </w:rPr>
        <w:t>סמכותו</w:t>
      </w:r>
      <w:r w:rsidRPr="00714CBF">
        <w:rPr>
          <w:rtl/>
        </w:rPr>
        <w:t xml:space="preserve"> </w:t>
      </w:r>
      <w:r w:rsidRPr="00714CBF">
        <w:rPr>
          <w:rFonts w:hint="eastAsia"/>
          <w:rtl/>
        </w:rPr>
        <w:t>של</w:t>
      </w:r>
      <w:r w:rsidRPr="00714CBF">
        <w:rPr>
          <w:rtl/>
        </w:rPr>
        <w:t xml:space="preserve"> </w:t>
      </w:r>
      <w:r w:rsidRPr="00714CBF">
        <w:rPr>
          <w:rFonts w:hint="eastAsia"/>
          <w:rtl/>
        </w:rPr>
        <w:t>בית</w:t>
      </w:r>
      <w:r w:rsidRPr="00714CBF">
        <w:rPr>
          <w:rtl/>
        </w:rPr>
        <w:t xml:space="preserve"> </w:t>
      </w:r>
      <w:r w:rsidRPr="00714CBF">
        <w:rPr>
          <w:rFonts w:hint="eastAsia"/>
          <w:rtl/>
        </w:rPr>
        <w:t>משפט</w:t>
      </w:r>
      <w:r w:rsidRPr="00714CBF">
        <w:rPr>
          <w:rtl/>
        </w:rPr>
        <w:t xml:space="preserve"> </w:t>
      </w:r>
      <w:r w:rsidRPr="00714CBF">
        <w:rPr>
          <w:rFonts w:hint="eastAsia"/>
          <w:rtl/>
        </w:rPr>
        <w:t>זה</w:t>
      </w:r>
      <w:r w:rsidRPr="00714CBF">
        <w:rPr>
          <w:rtl/>
        </w:rPr>
        <w:t xml:space="preserve"> </w:t>
      </w:r>
      <w:r w:rsidRPr="00714CBF">
        <w:rPr>
          <w:rFonts w:hint="eastAsia"/>
          <w:rtl/>
        </w:rPr>
        <w:t>לקיים</w:t>
      </w:r>
      <w:r w:rsidRPr="00714CBF">
        <w:rPr>
          <w:rtl/>
        </w:rPr>
        <w:t xml:space="preserve"> </w:t>
      </w:r>
      <w:r w:rsidRPr="00714CBF">
        <w:rPr>
          <w:rFonts w:hint="eastAsia"/>
          <w:rtl/>
        </w:rPr>
        <w:t>ביקורת</w:t>
      </w:r>
      <w:r w:rsidRPr="00714CBF">
        <w:rPr>
          <w:rtl/>
        </w:rPr>
        <w:t xml:space="preserve"> </w:t>
      </w:r>
      <w:r w:rsidRPr="00714CBF">
        <w:rPr>
          <w:rFonts w:hint="eastAsia"/>
          <w:rtl/>
        </w:rPr>
        <w:t>שיפוטית</w:t>
      </w:r>
      <w:r w:rsidRPr="00AD6DAD">
        <w:rPr>
          <w:rtl/>
        </w:rPr>
        <w:t xml:space="preserve"> </w:t>
      </w:r>
      <w:r w:rsidRPr="00AD6DAD">
        <w:rPr>
          <w:rFonts w:hint="eastAsia"/>
          <w:rtl/>
        </w:rPr>
        <w:t>על</w:t>
      </w:r>
      <w:r w:rsidRPr="00AD6DAD">
        <w:rPr>
          <w:rtl/>
        </w:rPr>
        <w:t xml:space="preserve"> </w:t>
      </w:r>
      <w:r w:rsidRPr="00AD6DAD">
        <w:rPr>
          <w:rFonts w:hint="eastAsia"/>
          <w:rtl/>
        </w:rPr>
        <w:t>חקיקה</w:t>
      </w:r>
      <w:r w:rsidRPr="00AD6DAD">
        <w:rPr>
          <w:rtl/>
        </w:rPr>
        <w:t xml:space="preserve"> </w:t>
      </w:r>
      <w:r w:rsidRPr="00AD6DAD">
        <w:rPr>
          <w:rFonts w:hint="eastAsia"/>
          <w:rtl/>
        </w:rPr>
        <w:t>ראשית</w:t>
      </w:r>
      <w:r w:rsidRPr="00AD6DAD">
        <w:rPr>
          <w:rtl/>
        </w:rPr>
        <w:t xml:space="preserve"> </w:t>
      </w:r>
      <w:r w:rsidRPr="00AD6DAD">
        <w:rPr>
          <w:rFonts w:hint="eastAsia"/>
          <w:rtl/>
        </w:rPr>
        <w:t>נגזרת</w:t>
      </w:r>
      <w:r w:rsidRPr="00AD6DAD">
        <w:rPr>
          <w:rtl/>
        </w:rPr>
        <w:t xml:space="preserve"> </w:t>
      </w:r>
      <w:r w:rsidRPr="00AD6DAD">
        <w:rPr>
          <w:rFonts w:hint="eastAsia"/>
          <w:rtl/>
        </w:rPr>
        <w:t>מהעליונות</w:t>
      </w:r>
      <w:r w:rsidRPr="00AD6DAD">
        <w:rPr>
          <w:rtl/>
        </w:rPr>
        <w:t xml:space="preserve"> </w:t>
      </w:r>
      <w:r w:rsidRPr="00AD6DAD">
        <w:rPr>
          <w:rFonts w:hint="eastAsia"/>
          <w:rtl/>
        </w:rPr>
        <w:t>הנורמטיבית</w:t>
      </w:r>
      <w:r w:rsidRPr="00AD6DAD">
        <w:rPr>
          <w:rtl/>
        </w:rPr>
        <w:t xml:space="preserve"> </w:t>
      </w:r>
      <w:r w:rsidRPr="00AD6DAD">
        <w:rPr>
          <w:rFonts w:hint="eastAsia"/>
          <w:rtl/>
        </w:rPr>
        <w:t>של</w:t>
      </w:r>
      <w:r w:rsidRPr="00AD6DAD">
        <w:rPr>
          <w:rtl/>
        </w:rPr>
        <w:t xml:space="preserve"> </w:t>
      </w:r>
      <w:r w:rsidRPr="00AD6DAD">
        <w:rPr>
          <w:rFonts w:hint="eastAsia"/>
          <w:rtl/>
        </w:rPr>
        <w:t>חוקי</w:t>
      </w:r>
      <w:r w:rsidRPr="00AD6DAD">
        <w:rPr>
          <w:rtl/>
        </w:rPr>
        <w:t xml:space="preserve"> </w:t>
      </w:r>
      <w:r w:rsidRPr="00AD6DAD">
        <w:rPr>
          <w:rFonts w:hint="eastAsia"/>
          <w:rtl/>
        </w:rPr>
        <w:t>היסוד</w:t>
      </w:r>
      <w:r>
        <w:rPr>
          <w:rFonts w:hint="cs"/>
          <w:rtl/>
        </w:rPr>
        <w:t xml:space="preserve"> וכן בהינתן השלב שבו מצוי תהליך גיבוש החוקה הישראלית (</w:t>
      </w:r>
      <w:r w:rsidRPr="00A10674">
        <w:rPr>
          <w:rFonts w:hint="eastAsia"/>
          <w:rtl/>
        </w:rPr>
        <w:t>בג</w:t>
      </w:r>
      <w:r>
        <w:rPr>
          <w:rFonts w:hint="cs"/>
          <w:rtl/>
        </w:rPr>
        <w:t>"</w:t>
      </w:r>
      <w:r w:rsidRPr="00A10674">
        <w:rPr>
          <w:rFonts w:hint="eastAsia"/>
          <w:rtl/>
        </w:rPr>
        <w:t>ץ</w:t>
      </w:r>
      <w:r>
        <w:rPr>
          <w:rtl/>
        </w:rPr>
        <w:t xml:space="preserve"> 5744/16 ‏</w:t>
      </w:r>
      <w:r w:rsidRPr="00A10674">
        <w:rPr>
          <w:rFonts w:ascii="Century" w:hAnsi="Century" w:cs="Miriam" w:hint="cs"/>
          <w:b/>
          <w:spacing w:val="0"/>
          <w:sz w:val="22"/>
          <w:szCs w:val="24"/>
          <w:rtl/>
        </w:rPr>
        <w:t>ב</w:t>
      </w:r>
      <w:r w:rsidRPr="00A10674">
        <w:rPr>
          <w:rFonts w:ascii="Century" w:hAnsi="Century" w:cs="Miriam" w:hint="eastAsia"/>
          <w:b/>
          <w:spacing w:val="0"/>
          <w:sz w:val="22"/>
          <w:szCs w:val="24"/>
          <w:rtl/>
        </w:rPr>
        <w:t>ן</w:t>
      </w:r>
      <w:r w:rsidRPr="00A10674">
        <w:rPr>
          <w:rFonts w:ascii="Century" w:hAnsi="Century" w:cs="Miriam"/>
          <w:b/>
          <w:spacing w:val="0"/>
          <w:sz w:val="22"/>
          <w:szCs w:val="24"/>
          <w:rtl/>
        </w:rPr>
        <w:t xml:space="preserve"> </w:t>
      </w:r>
      <w:r w:rsidRPr="00A10674">
        <w:rPr>
          <w:rFonts w:ascii="Century" w:hAnsi="Century" w:cs="Miriam" w:hint="eastAsia"/>
          <w:b/>
          <w:spacing w:val="0"/>
          <w:sz w:val="22"/>
          <w:szCs w:val="24"/>
          <w:rtl/>
        </w:rPr>
        <w:t>מאיר</w:t>
      </w:r>
      <w:r w:rsidRPr="00A10674">
        <w:rPr>
          <w:rFonts w:ascii="Century" w:hAnsi="Century" w:cs="Miriam"/>
          <w:b/>
          <w:spacing w:val="0"/>
          <w:sz w:val="22"/>
          <w:szCs w:val="24"/>
          <w:rtl/>
        </w:rPr>
        <w:t xml:space="preserve"> </w:t>
      </w:r>
      <w:r w:rsidRPr="00A10674">
        <w:rPr>
          <w:rFonts w:ascii="Century" w:hAnsi="Century" w:cs="Miriam" w:hint="eastAsia"/>
          <w:b/>
          <w:spacing w:val="0"/>
          <w:sz w:val="22"/>
          <w:szCs w:val="24"/>
          <w:rtl/>
        </w:rPr>
        <w:t>נ</w:t>
      </w:r>
      <w:r w:rsidRPr="00A10674">
        <w:rPr>
          <w:rFonts w:ascii="Century" w:hAnsi="Century" w:cs="Miriam"/>
          <w:b/>
          <w:spacing w:val="0"/>
          <w:sz w:val="22"/>
          <w:szCs w:val="24"/>
          <w:rtl/>
        </w:rPr>
        <w:t xml:space="preserve">' </w:t>
      </w:r>
      <w:r w:rsidRPr="00A10674">
        <w:rPr>
          <w:rFonts w:ascii="Century" w:hAnsi="Century" w:cs="Miriam" w:hint="eastAsia"/>
          <w:b/>
          <w:spacing w:val="0"/>
          <w:sz w:val="22"/>
          <w:szCs w:val="24"/>
          <w:rtl/>
        </w:rPr>
        <w:t>הכנסת</w:t>
      </w:r>
      <w:r>
        <w:rPr>
          <w:rFonts w:hint="cs"/>
          <w:rtl/>
        </w:rPr>
        <w:t xml:space="preserve">, פסקה 25 לחוות דעתה של חברתי הנשיאה (בדימ') (27.5.2018) (להלן: עניין </w:t>
      </w:r>
      <w:r w:rsidRPr="00B837EF">
        <w:rPr>
          <w:rFonts w:ascii="Century" w:hAnsi="Century" w:cs="Miriam" w:hint="cs"/>
          <w:b/>
          <w:spacing w:val="0"/>
          <w:sz w:val="22"/>
          <w:szCs w:val="24"/>
          <w:rtl/>
        </w:rPr>
        <w:t>חוק ההדחה</w:t>
      </w:r>
      <w:r>
        <w:rPr>
          <w:rFonts w:hint="cs"/>
          <w:rtl/>
        </w:rPr>
        <w:t xml:space="preserve">); עניין </w:t>
      </w:r>
      <w:r w:rsidRPr="008B2A83">
        <w:rPr>
          <w:rFonts w:ascii="Century" w:hAnsi="Century" w:cs="Miriam" w:hint="cs"/>
          <w:b/>
          <w:spacing w:val="0"/>
          <w:sz w:val="22"/>
          <w:szCs w:val="24"/>
          <w:rtl/>
        </w:rPr>
        <w:t>חוק הלאום</w:t>
      </w:r>
      <w:r>
        <w:rPr>
          <w:rFonts w:hint="cs"/>
          <w:rtl/>
        </w:rPr>
        <w:t>, פסקה 16 לחוות דעתה של חברתי הנשיאה (בדימ')).</w:t>
      </w:r>
    </w:p>
    <w:p w:rsidR="00737972" w:rsidRDefault="00737972" w:rsidP="00737972">
      <w:pPr>
        <w:pStyle w:val="Ruller4"/>
        <w:numPr>
          <w:ilvl w:val="0"/>
          <w:numId w:val="0"/>
        </w:numPr>
      </w:pPr>
      <w:r>
        <w:rPr>
          <w:rFonts w:hint="cs"/>
          <w:rtl/>
        </w:rPr>
        <w:lastRenderedPageBreak/>
        <w:tab/>
      </w:r>
    </w:p>
    <w:p w:rsidR="00737972" w:rsidRDefault="00737972" w:rsidP="00737972">
      <w:pPr>
        <w:pStyle w:val="Ruller4"/>
      </w:pPr>
      <w:r>
        <w:rPr>
          <w:rFonts w:hint="cs"/>
          <w:rtl/>
        </w:rPr>
        <w:t xml:space="preserve">באותן פרשות הובהר כי אין מקום לזליגה למצב שבו בית משפט זה יביא להזרמת "עקרונות ה'חוקה הראויה" (עניין </w:t>
      </w:r>
      <w:r w:rsidRPr="00BF0C0D">
        <w:rPr>
          <w:rFonts w:ascii="Century" w:hAnsi="Century" w:cs="Miriam" w:hint="cs"/>
          <w:b/>
          <w:spacing w:val="0"/>
          <w:sz w:val="22"/>
          <w:szCs w:val="24"/>
          <w:rtl/>
        </w:rPr>
        <w:t>ממשלת הח</w:t>
      </w:r>
      <w:r>
        <w:rPr>
          <w:rFonts w:ascii="Century" w:hAnsi="Century" w:cs="Miriam" w:hint="cs"/>
          <w:b/>
          <w:spacing w:val="0"/>
          <w:sz w:val="22"/>
          <w:szCs w:val="24"/>
          <w:rtl/>
        </w:rPr>
        <w:t>י</w:t>
      </w:r>
      <w:r w:rsidRPr="00BF0C0D">
        <w:rPr>
          <w:rFonts w:ascii="Century" w:hAnsi="Century" w:cs="Miriam" w:hint="cs"/>
          <w:b/>
          <w:spacing w:val="0"/>
          <w:sz w:val="22"/>
          <w:szCs w:val="24"/>
          <w:rtl/>
        </w:rPr>
        <w:t>לופים</w:t>
      </w:r>
      <w:r>
        <w:rPr>
          <w:rFonts w:hint="cs"/>
          <w:rtl/>
        </w:rPr>
        <w:t xml:space="preserve">, פסקה 10 לחוות דעתו של השופט </w:t>
      </w:r>
      <w:r w:rsidRPr="00BF0C0D">
        <w:rPr>
          <w:rFonts w:ascii="Century" w:hAnsi="Century" w:cs="Miriam" w:hint="cs"/>
          <w:b/>
          <w:spacing w:val="0"/>
          <w:sz w:val="22"/>
          <w:szCs w:val="24"/>
          <w:rtl/>
        </w:rPr>
        <w:t>נ' הנדל</w:t>
      </w:r>
      <w:r>
        <w:rPr>
          <w:rFonts w:hint="cs"/>
          <w:rtl/>
        </w:rPr>
        <w:t xml:space="preserve">) וכי יש לנקוט "משנה ריסון" בעת דיון במגבלות החלות על השימוש בסמכות מכוננת (עניין </w:t>
      </w:r>
      <w:r w:rsidRPr="00BF0C0D">
        <w:rPr>
          <w:rFonts w:ascii="Century" w:hAnsi="Century" w:cs="Miriam" w:hint="cs"/>
          <w:b/>
          <w:spacing w:val="0"/>
          <w:sz w:val="22"/>
          <w:szCs w:val="24"/>
          <w:rtl/>
        </w:rPr>
        <w:t>ממשלת הח</w:t>
      </w:r>
      <w:r>
        <w:rPr>
          <w:rFonts w:ascii="Century" w:hAnsi="Century" w:cs="Miriam" w:hint="cs"/>
          <w:b/>
          <w:spacing w:val="0"/>
          <w:sz w:val="22"/>
          <w:szCs w:val="24"/>
          <w:rtl/>
        </w:rPr>
        <w:t>י</w:t>
      </w:r>
      <w:r w:rsidRPr="00BF0C0D">
        <w:rPr>
          <w:rFonts w:ascii="Century" w:hAnsi="Century" w:cs="Miriam" w:hint="cs"/>
          <w:b/>
          <w:spacing w:val="0"/>
          <w:sz w:val="22"/>
          <w:szCs w:val="24"/>
          <w:rtl/>
        </w:rPr>
        <w:t>לופים</w:t>
      </w:r>
      <w:r>
        <w:rPr>
          <w:rFonts w:hint="cs"/>
          <w:rtl/>
        </w:rPr>
        <w:t xml:space="preserve">, פסקה 20 לחוות דעתה של חברתי השופטת </w:t>
      </w:r>
      <w:r w:rsidRPr="00BF0C0D">
        <w:rPr>
          <w:rFonts w:ascii="Century" w:hAnsi="Century" w:cs="Miriam" w:hint="cs"/>
          <w:b/>
          <w:spacing w:val="0"/>
          <w:sz w:val="22"/>
          <w:szCs w:val="24"/>
          <w:rtl/>
        </w:rPr>
        <w:t>ד'</w:t>
      </w:r>
      <w:r w:rsidRPr="00BF0C0D">
        <w:rPr>
          <w:rFonts w:hint="cs"/>
          <w:rtl/>
        </w:rPr>
        <w:t xml:space="preserve"> </w:t>
      </w:r>
      <w:r w:rsidRPr="00BF0C0D">
        <w:rPr>
          <w:rFonts w:ascii="Century" w:hAnsi="Century" w:cs="Miriam" w:hint="cs"/>
          <w:b/>
          <w:spacing w:val="0"/>
          <w:sz w:val="22"/>
          <w:szCs w:val="24"/>
          <w:rtl/>
        </w:rPr>
        <w:t>ברק-ארז</w:t>
      </w:r>
      <w:r>
        <w:rPr>
          <w:rFonts w:hint="cs"/>
          <w:rtl/>
        </w:rPr>
        <w:t>). גם בשלב מאוחר יותר, הובהר כי מדובר במגבלות "צרות ביותר, ונוגעות למצבים חריגים של שינוי חוקתי השולל את ליבת הזהות היהודית או הדמוקרטית של המדינה" וכן "במצבים שבהם הוראה חוקתית פוגעת פגיעה אנושה באופייה היה</w:t>
      </w:r>
      <w:r w:rsidRPr="00A86007">
        <w:rPr>
          <w:rFonts w:hint="cs"/>
          <w:rtl/>
        </w:rPr>
        <w:t>ודי או הדמוקרטי של המדינה..."</w:t>
      </w:r>
      <w:r>
        <w:rPr>
          <w:rFonts w:hint="cs"/>
          <w:rtl/>
        </w:rPr>
        <w:t xml:space="preserve"> </w:t>
      </w:r>
      <w:r w:rsidRPr="00A86007">
        <w:rPr>
          <w:rFonts w:hint="cs"/>
          <w:rtl/>
        </w:rPr>
        <w:t xml:space="preserve">(עניין </w:t>
      </w:r>
      <w:r w:rsidRPr="00A86007">
        <w:rPr>
          <w:rFonts w:ascii="Century" w:hAnsi="Century" w:cs="Miriam" w:hint="cs"/>
          <w:b/>
          <w:spacing w:val="0"/>
          <w:sz w:val="22"/>
          <w:szCs w:val="24"/>
          <w:rtl/>
        </w:rPr>
        <w:t>חוק הלאום</w:t>
      </w:r>
      <w:r w:rsidRPr="00A86007">
        <w:rPr>
          <w:rFonts w:hint="cs"/>
          <w:rtl/>
        </w:rPr>
        <w:t xml:space="preserve">, פסקה 29 לחוות דעתה של חברתי הנשיאה (בדימ')). חברתי השופטת </w:t>
      </w:r>
      <w:r>
        <w:rPr>
          <w:rFonts w:ascii="Century" w:hAnsi="Century" w:cs="Miriam" w:hint="cs"/>
          <w:b/>
          <w:spacing w:val="0"/>
          <w:sz w:val="22"/>
          <w:szCs w:val="24"/>
          <w:rtl/>
        </w:rPr>
        <w:t xml:space="preserve">ד' </w:t>
      </w:r>
      <w:r w:rsidRPr="00A86007">
        <w:rPr>
          <w:rFonts w:ascii="Century" w:hAnsi="Century" w:cs="Miriam" w:hint="cs"/>
          <w:b/>
          <w:spacing w:val="0"/>
          <w:sz w:val="22"/>
          <w:szCs w:val="24"/>
          <w:rtl/>
        </w:rPr>
        <w:t>ברק-ארז</w:t>
      </w:r>
      <w:r w:rsidRPr="00A86007">
        <w:rPr>
          <w:rFonts w:hint="cs"/>
          <w:rtl/>
        </w:rPr>
        <w:t xml:space="preserve"> ציינ</w:t>
      </w:r>
      <w:r>
        <w:rPr>
          <w:rFonts w:hint="cs"/>
          <w:rtl/>
        </w:rPr>
        <w:t>ה כי מדובר ב"מצבי קיצון" בלבד, בהם מדובר בחוק יסוד "שמהווה 'שבירת כלים', במובן של הרס בלתי הפיך של שיטה חוקתית" (</w:t>
      </w:r>
      <w:r w:rsidRPr="00A86007">
        <w:rPr>
          <w:rFonts w:hint="cs"/>
          <w:rtl/>
        </w:rPr>
        <w:t xml:space="preserve">עניין </w:t>
      </w:r>
      <w:r w:rsidRPr="00A86007">
        <w:rPr>
          <w:rFonts w:ascii="Century" w:hAnsi="Century" w:cs="Miriam" w:hint="cs"/>
          <w:b/>
          <w:spacing w:val="0"/>
          <w:sz w:val="22"/>
          <w:szCs w:val="24"/>
          <w:rtl/>
        </w:rPr>
        <w:t>חוק הלאום</w:t>
      </w:r>
      <w:r>
        <w:rPr>
          <w:rFonts w:hint="cs"/>
          <w:rtl/>
        </w:rPr>
        <w:t>, פסקה 16 לחוות דעתה).</w:t>
      </w:r>
    </w:p>
    <w:p w:rsidR="00737972" w:rsidRPr="0053289D" w:rsidRDefault="00737972" w:rsidP="00737972">
      <w:pPr>
        <w:pStyle w:val="Ruller4"/>
        <w:numPr>
          <w:ilvl w:val="0"/>
          <w:numId w:val="0"/>
        </w:numPr>
      </w:pPr>
    </w:p>
    <w:p w:rsidR="00737972" w:rsidRDefault="00737972" w:rsidP="00737972">
      <w:pPr>
        <w:pStyle w:val="Ruller4"/>
        <w:rPr>
          <w:rtl/>
        </w:rPr>
      </w:pPr>
      <w:r>
        <w:rPr>
          <w:rFonts w:hint="cs"/>
          <w:rtl/>
        </w:rPr>
        <w:t xml:space="preserve">הדיון בקשר לביקורת שיפוטית על תוכנם של חוקי היסוד נסוב אפוא עד כה על </w:t>
      </w:r>
      <w:r w:rsidRPr="00B26569">
        <w:rPr>
          <w:rFonts w:ascii="Century" w:hAnsi="Century" w:cs="Miriam" w:hint="cs"/>
          <w:b/>
          <w:spacing w:val="0"/>
          <w:sz w:val="22"/>
          <w:szCs w:val="24"/>
          <w:rtl/>
        </w:rPr>
        <w:t>מקרי קיצון</w:t>
      </w:r>
      <w:r>
        <w:rPr>
          <w:rFonts w:hint="cs"/>
          <w:rtl/>
        </w:rPr>
        <w:t xml:space="preserve">, </w:t>
      </w:r>
      <w:r w:rsidRPr="00B26569">
        <w:rPr>
          <w:rFonts w:ascii="Century" w:hAnsi="Century" w:cs="Miriam" w:hint="cs"/>
          <w:b/>
          <w:spacing w:val="0"/>
          <w:sz w:val="22"/>
          <w:szCs w:val="24"/>
          <w:rtl/>
        </w:rPr>
        <w:t>חריגים וגורפים</w:t>
      </w:r>
      <w:r>
        <w:rPr>
          <w:rFonts w:hint="cs"/>
          <w:rtl/>
        </w:rPr>
        <w:t xml:space="preserve">, המהווים </w:t>
      </w:r>
      <w:r w:rsidRPr="00B26569">
        <w:rPr>
          <w:rFonts w:ascii="Century" w:hAnsi="Century" w:cs="Miriam" w:hint="cs"/>
          <w:b/>
          <w:spacing w:val="0"/>
          <w:sz w:val="22"/>
          <w:szCs w:val="24"/>
          <w:rtl/>
        </w:rPr>
        <w:t>הרס מוחלט</w:t>
      </w:r>
      <w:r w:rsidRPr="00517FEE">
        <w:rPr>
          <w:rFonts w:hint="cs"/>
          <w:rtl/>
        </w:rPr>
        <w:t xml:space="preserve"> </w:t>
      </w:r>
      <w:r>
        <w:rPr>
          <w:rFonts w:hint="cs"/>
          <w:rtl/>
        </w:rPr>
        <w:t xml:space="preserve">("בלתי הפיך") של היסודות הדמוקרטים ושל ערכי היסוד. אני סברתי אז וכך אני סבור גם היום, כי אין מקום לבסס דוקטרינה שלמה על בסיס תרחישי אימים קיצוניים ותסריטי בלהות. וכך התבטאתי בעבר בעניין </w:t>
      </w:r>
      <w:r w:rsidRPr="00EB7C80">
        <w:rPr>
          <w:rFonts w:ascii="Century" w:hAnsi="Century" w:cs="Miriam" w:hint="cs"/>
          <w:b/>
          <w:spacing w:val="0"/>
          <w:sz w:val="22"/>
          <w:szCs w:val="24"/>
          <w:rtl/>
        </w:rPr>
        <w:t>ממשלת הח</w:t>
      </w:r>
      <w:r>
        <w:rPr>
          <w:rFonts w:ascii="Century" w:hAnsi="Century" w:cs="Miriam" w:hint="cs"/>
          <w:b/>
          <w:spacing w:val="0"/>
          <w:sz w:val="22"/>
          <w:szCs w:val="24"/>
          <w:rtl/>
        </w:rPr>
        <w:t>י</w:t>
      </w:r>
      <w:r w:rsidRPr="00EB7C80">
        <w:rPr>
          <w:rFonts w:ascii="Century" w:hAnsi="Century" w:cs="Miriam" w:hint="cs"/>
          <w:b/>
          <w:spacing w:val="0"/>
          <w:sz w:val="22"/>
          <w:szCs w:val="24"/>
          <w:rtl/>
        </w:rPr>
        <w:t>לופים</w:t>
      </w:r>
      <w:r>
        <w:rPr>
          <w:rFonts w:hint="cs"/>
          <w:rtl/>
        </w:rPr>
        <w:t>:</w:t>
      </w:r>
    </w:p>
    <w:p w:rsidR="00737972" w:rsidRPr="008F3792" w:rsidRDefault="00737972" w:rsidP="00737972">
      <w:pPr>
        <w:pStyle w:val="Ruller41"/>
      </w:pPr>
    </w:p>
    <w:p w:rsidR="00737972" w:rsidRDefault="00737972" w:rsidP="00737972">
      <w:pPr>
        <w:pStyle w:val="Ruller5"/>
        <w:rPr>
          <w:rtl/>
        </w:rPr>
      </w:pPr>
      <w:r>
        <w:rPr>
          <w:rFonts w:hint="cs"/>
          <w:rtl/>
        </w:rPr>
        <w:t>"</w:t>
      </w:r>
      <w:r>
        <w:rPr>
          <w:rFonts w:hint="eastAsia"/>
          <w:rtl/>
        </w:rPr>
        <w:t>ישאל</w:t>
      </w:r>
      <w:r>
        <w:rPr>
          <w:rtl/>
        </w:rPr>
        <w:t xml:space="preserve"> </w:t>
      </w:r>
      <w:r>
        <w:rPr>
          <w:rFonts w:hint="eastAsia"/>
          <w:rtl/>
        </w:rPr>
        <w:t>השואל</w:t>
      </w:r>
      <w:r>
        <w:rPr>
          <w:rtl/>
        </w:rPr>
        <w:t xml:space="preserve">, </w:t>
      </w:r>
      <w:r>
        <w:rPr>
          <w:rFonts w:hint="eastAsia"/>
          <w:rtl/>
        </w:rPr>
        <w:t>האם</w:t>
      </w:r>
      <w:r>
        <w:rPr>
          <w:rtl/>
        </w:rPr>
        <w:t xml:space="preserve"> </w:t>
      </w:r>
      <w:r>
        <w:rPr>
          <w:rFonts w:hint="eastAsia"/>
          <w:rtl/>
        </w:rPr>
        <w:t>אין</w:t>
      </w:r>
      <w:r>
        <w:rPr>
          <w:rtl/>
        </w:rPr>
        <w:t xml:space="preserve"> </w:t>
      </w:r>
      <w:r>
        <w:rPr>
          <w:rFonts w:hint="eastAsia"/>
          <w:rtl/>
        </w:rPr>
        <w:t>לדבר</w:t>
      </w:r>
      <w:r>
        <w:rPr>
          <w:rtl/>
        </w:rPr>
        <w:t xml:space="preserve"> </w:t>
      </w:r>
      <w:r>
        <w:rPr>
          <w:rFonts w:hint="eastAsia"/>
          <w:rtl/>
        </w:rPr>
        <w:t>גבול</w:t>
      </w:r>
      <w:r>
        <w:rPr>
          <w:rtl/>
        </w:rPr>
        <w:t xml:space="preserve">? </w:t>
      </w:r>
      <w:r>
        <w:rPr>
          <w:rFonts w:hint="eastAsia"/>
          <w:rtl/>
        </w:rPr>
        <w:t>האם</w:t>
      </w:r>
      <w:r>
        <w:rPr>
          <w:rtl/>
        </w:rPr>
        <w:t xml:space="preserve"> </w:t>
      </w:r>
      <w:r>
        <w:rPr>
          <w:rFonts w:hint="eastAsia"/>
          <w:rtl/>
        </w:rPr>
        <w:t>אין</w:t>
      </w:r>
      <w:r>
        <w:rPr>
          <w:rtl/>
        </w:rPr>
        <w:t xml:space="preserve"> </w:t>
      </w:r>
      <w:r>
        <w:rPr>
          <w:rFonts w:hint="eastAsia"/>
          <w:rtl/>
        </w:rPr>
        <w:t>להעלות</w:t>
      </w:r>
      <w:r>
        <w:rPr>
          <w:rtl/>
        </w:rPr>
        <w:t xml:space="preserve"> </w:t>
      </w:r>
      <w:r>
        <w:rPr>
          <w:rFonts w:hint="eastAsia"/>
          <w:rtl/>
        </w:rPr>
        <w:t>על</w:t>
      </w:r>
      <w:r>
        <w:rPr>
          <w:rtl/>
        </w:rPr>
        <w:t xml:space="preserve"> </w:t>
      </w:r>
      <w:r>
        <w:rPr>
          <w:rFonts w:hint="eastAsia"/>
          <w:rtl/>
        </w:rPr>
        <w:t>הדעת</w:t>
      </w:r>
      <w:r>
        <w:rPr>
          <w:rtl/>
        </w:rPr>
        <w:t xml:space="preserve"> </w:t>
      </w:r>
      <w:r>
        <w:rPr>
          <w:rFonts w:hint="eastAsia"/>
          <w:rtl/>
        </w:rPr>
        <w:t>מקרה</w:t>
      </w:r>
      <w:r>
        <w:rPr>
          <w:rtl/>
        </w:rPr>
        <w:t xml:space="preserve"> </w:t>
      </w:r>
      <w:r>
        <w:rPr>
          <w:rFonts w:hint="eastAsia"/>
          <w:rtl/>
        </w:rPr>
        <w:t>קיצוני</w:t>
      </w:r>
      <w:r>
        <w:rPr>
          <w:rtl/>
        </w:rPr>
        <w:t xml:space="preserve">, </w:t>
      </w:r>
      <w:r>
        <w:rPr>
          <w:rFonts w:hint="eastAsia"/>
          <w:rtl/>
        </w:rPr>
        <w:t>חריג</w:t>
      </w:r>
      <w:r>
        <w:rPr>
          <w:rtl/>
        </w:rPr>
        <w:t xml:space="preserve"> </w:t>
      </w:r>
      <w:r>
        <w:rPr>
          <w:rFonts w:hint="eastAsia"/>
          <w:rtl/>
        </w:rPr>
        <w:t>וחמור</w:t>
      </w:r>
      <w:r>
        <w:rPr>
          <w:rtl/>
        </w:rPr>
        <w:t xml:space="preserve"> </w:t>
      </w:r>
      <w:r>
        <w:rPr>
          <w:rFonts w:hint="eastAsia"/>
          <w:rtl/>
        </w:rPr>
        <w:t>במיוחד</w:t>
      </w:r>
      <w:r>
        <w:rPr>
          <w:rtl/>
        </w:rPr>
        <w:t xml:space="preserve"> </w:t>
      </w:r>
      <w:r>
        <w:rPr>
          <w:rFonts w:hint="eastAsia"/>
          <w:rtl/>
        </w:rPr>
        <w:t>אשר</w:t>
      </w:r>
      <w:r>
        <w:rPr>
          <w:rtl/>
        </w:rPr>
        <w:t xml:space="preserve"> </w:t>
      </w:r>
      <w:r>
        <w:rPr>
          <w:rFonts w:hint="eastAsia"/>
          <w:rtl/>
        </w:rPr>
        <w:t>בית</w:t>
      </w:r>
      <w:r>
        <w:rPr>
          <w:rtl/>
        </w:rPr>
        <w:t xml:space="preserve"> </w:t>
      </w:r>
      <w:r>
        <w:rPr>
          <w:rFonts w:hint="eastAsia"/>
          <w:rtl/>
        </w:rPr>
        <w:t>המשפט</w:t>
      </w:r>
      <w:r>
        <w:rPr>
          <w:rtl/>
        </w:rPr>
        <w:t xml:space="preserve"> </w:t>
      </w:r>
      <w:r>
        <w:rPr>
          <w:rFonts w:hint="eastAsia"/>
          <w:rtl/>
        </w:rPr>
        <w:t>לא</w:t>
      </w:r>
      <w:r>
        <w:rPr>
          <w:rtl/>
        </w:rPr>
        <w:t xml:space="preserve"> </w:t>
      </w:r>
      <w:r>
        <w:rPr>
          <w:rFonts w:hint="eastAsia"/>
          <w:rtl/>
        </w:rPr>
        <w:t>יוכל</w:t>
      </w:r>
      <w:r>
        <w:rPr>
          <w:rtl/>
        </w:rPr>
        <w:t xml:space="preserve"> </w:t>
      </w:r>
      <w:r>
        <w:rPr>
          <w:rFonts w:hint="eastAsia"/>
          <w:rtl/>
        </w:rPr>
        <w:t>לעמוד</w:t>
      </w:r>
      <w:r>
        <w:rPr>
          <w:rtl/>
        </w:rPr>
        <w:t xml:space="preserve"> </w:t>
      </w:r>
      <w:r>
        <w:rPr>
          <w:rFonts w:hint="eastAsia"/>
          <w:rtl/>
        </w:rPr>
        <w:t>מנגד</w:t>
      </w:r>
      <w:r>
        <w:rPr>
          <w:rtl/>
        </w:rPr>
        <w:t xml:space="preserve"> </w:t>
      </w:r>
      <w:r>
        <w:rPr>
          <w:rFonts w:hint="eastAsia"/>
          <w:rtl/>
        </w:rPr>
        <w:t>נוכח</w:t>
      </w:r>
      <w:r>
        <w:rPr>
          <w:rtl/>
        </w:rPr>
        <w:t xml:space="preserve"> </w:t>
      </w:r>
      <w:r>
        <w:rPr>
          <w:rFonts w:hint="eastAsia"/>
          <w:rtl/>
        </w:rPr>
        <w:t>עיגונן</w:t>
      </w:r>
      <w:r>
        <w:rPr>
          <w:rtl/>
        </w:rPr>
        <w:t xml:space="preserve"> </w:t>
      </w:r>
      <w:r>
        <w:rPr>
          <w:rFonts w:hint="eastAsia"/>
          <w:rtl/>
        </w:rPr>
        <w:t>של</w:t>
      </w:r>
      <w:r>
        <w:rPr>
          <w:rtl/>
        </w:rPr>
        <w:t xml:space="preserve"> </w:t>
      </w:r>
      <w:r>
        <w:rPr>
          <w:rFonts w:hint="eastAsia"/>
          <w:rtl/>
        </w:rPr>
        <w:t>נורמות</w:t>
      </w:r>
      <w:r>
        <w:rPr>
          <w:rtl/>
        </w:rPr>
        <w:t xml:space="preserve"> </w:t>
      </w:r>
      <w:r>
        <w:rPr>
          <w:rFonts w:hint="eastAsia"/>
          <w:rtl/>
        </w:rPr>
        <w:t>על</w:t>
      </w:r>
      <w:r>
        <w:rPr>
          <w:rtl/>
        </w:rPr>
        <w:t>-</w:t>
      </w:r>
      <w:r>
        <w:rPr>
          <w:rFonts w:hint="eastAsia"/>
          <w:rtl/>
        </w:rPr>
        <w:t>חוקיות</w:t>
      </w:r>
      <w:r>
        <w:rPr>
          <w:rtl/>
        </w:rPr>
        <w:t xml:space="preserve"> </w:t>
      </w:r>
      <w:r>
        <w:rPr>
          <w:rFonts w:hint="eastAsia"/>
          <w:rtl/>
        </w:rPr>
        <w:t>ועל</w:t>
      </w:r>
      <w:r>
        <w:rPr>
          <w:rtl/>
        </w:rPr>
        <w:t>-</w:t>
      </w:r>
      <w:r>
        <w:rPr>
          <w:rFonts w:hint="eastAsia"/>
          <w:rtl/>
        </w:rPr>
        <w:t>חוקתיות</w:t>
      </w:r>
      <w:r>
        <w:rPr>
          <w:rtl/>
        </w:rPr>
        <w:t xml:space="preserve"> </w:t>
      </w:r>
      <w:r>
        <w:rPr>
          <w:rFonts w:hint="eastAsia"/>
          <w:rtl/>
        </w:rPr>
        <w:t>בלתי</w:t>
      </w:r>
      <w:r>
        <w:rPr>
          <w:rtl/>
        </w:rPr>
        <w:t xml:space="preserve"> </w:t>
      </w:r>
      <w:r>
        <w:rPr>
          <w:rFonts w:hint="eastAsia"/>
          <w:rtl/>
        </w:rPr>
        <w:t>מתקבלות</w:t>
      </w:r>
      <w:r>
        <w:rPr>
          <w:rtl/>
        </w:rPr>
        <w:t xml:space="preserve"> </w:t>
      </w:r>
      <w:r>
        <w:rPr>
          <w:rFonts w:hint="eastAsia"/>
          <w:rtl/>
        </w:rPr>
        <w:t>על</w:t>
      </w:r>
      <w:r>
        <w:rPr>
          <w:rtl/>
        </w:rPr>
        <w:t xml:space="preserve"> </w:t>
      </w:r>
      <w:r>
        <w:rPr>
          <w:rFonts w:hint="eastAsia"/>
          <w:rtl/>
        </w:rPr>
        <w:t>הדעת</w:t>
      </w:r>
      <w:r>
        <w:rPr>
          <w:rtl/>
        </w:rPr>
        <w:t xml:space="preserve"> </w:t>
      </w:r>
      <w:r>
        <w:rPr>
          <w:rFonts w:hint="eastAsia"/>
          <w:rtl/>
        </w:rPr>
        <w:t>על</w:t>
      </w:r>
      <w:r>
        <w:rPr>
          <w:rtl/>
        </w:rPr>
        <w:t xml:space="preserve"> </w:t>
      </w:r>
      <w:r>
        <w:rPr>
          <w:rFonts w:hint="eastAsia"/>
          <w:rtl/>
        </w:rPr>
        <w:t>יד</w:t>
      </w:r>
      <w:r>
        <w:rPr>
          <w:rtl/>
        </w:rPr>
        <w:t xml:space="preserve"> </w:t>
      </w:r>
      <w:r>
        <w:rPr>
          <w:rFonts w:hint="eastAsia"/>
          <w:rtl/>
        </w:rPr>
        <w:t>הרשות</w:t>
      </w:r>
      <w:r>
        <w:rPr>
          <w:rtl/>
        </w:rPr>
        <w:t xml:space="preserve"> </w:t>
      </w:r>
      <w:r>
        <w:rPr>
          <w:rFonts w:hint="eastAsia"/>
          <w:rtl/>
        </w:rPr>
        <w:t>המחוקקת</w:t>
      </w:r>
      <w:r>
        <w:rPr>
          <w:rtl/>
        </w:rPr>
        <w:t xml:space="preserve"> </w:t>
      </w:r>
      <w:r>
        <w:rPr>
          <w:rFonts w:hint="eastAsia"/>
          <w:rtl/>
        </w:rPr>
        <w:t>או</w:t>
      </w:r>
      <w:r>
        <w:rPr>
          <w:rtl/>
        </w:rPr>
        <w:t xml:space="preserve"> </w:t>
      </w:r>
      <w:r>
        <w:rPr>
          <w:rFonts w:hint="eastAsia"/>
          <w:rtl/>
        </w:rPr>
        <w:t>המכוננת</w:t>
      </w:r>
      <w:r>
        <w:rPr>
          <w:rtl/>
        </w:rPr>
        <w:t xml:space="preserve">? </w:t>
      </w:r>
      <w:r>
        <w:rPr>
          <w:rFonts w:hint="eastAsia"/>
          <w:rtl/>
        </w:rPr>
        <w:t>האם</w:t>
      </w:r>
      <w:r>
        <w:rPr>
          <w:rtl/>
        </w:rPr>
        <w:t xml:space="preserve"> </w:t>
      </w:r>
      <w:r>
        <w:rPr>
          <w:rFonts w:hint="eastAsia"/>
          <w:rtl/>
        </w:rPr>
        <w:t>לא</w:t>
      </w:r>
      <w:r>
        <w:rPr>
          <w:rtl/>
        </w:rPr>
        <w:t xml:space="preserve"> </w:t>
      </w:r>
      <w:r>
        <w:rPr>
          <w:rFonts w:hint="eastAsia"/>
          <w:rtl/>
        </w:rPr>
        <w:t>ייתכנו</w:t>
      </w:r>
      <w:r>
        <w:rPr>
          <w:rtl/>
        </w:rPr>
        <w:t xml:space="preserve"> </w:t>
      </w:r>
      <w:r>
        <w:rPr>
          <w:rFonts w:hint="eastAsia"/>
          <w:rtl/>
        </w:rPr>
        <w:t>מצבים</w:t>
      </w:r>
      <w:r>
        <w:rPr>
          <w:rtl/>
        </w:rPr>
        <w:t xml:space="preserve"> </w:t>
      </w:r>
      <w:r>
        <w:rPr>
          <w:rFonts w:hint="eastAsia"/>
          <w:rtl/>
        </w:rPr>
        <w:t>בהם</w:t>
      </w:r>
      <w:r>
        <w:rPr>
          <w:rtl/>
        </w:rPr>
        <w:t xml:space="preserve"> </w:t>
      </w:r>
      <w:r>
        <w:rPr>
          <w:rFonts w:hint="eastAsia"/>
          <w:rtl/>
        </w:rPr>
        <w:t>חוקי</w:t>
      </w:r>
      <w:r>
        <w:rPr>
          <w:rtl/>
        </w:rPr>
        <w:t xml:space="preserve"> </w:t>
      </w:r>
      <w:r>
        <w:rPr>
          <w:rFonts w:hint="eastAsia"/>
          <w:rtl/>
        </w:rPr>
        <w:t>הכנסת</w:t>
      </w:r>
      <w:r>
        <w:rPr>
          <w:rtl/>
        </w:rPr>
        <w:t xml:space="preserve"> </w:t>
      </w:r>
      <w:r>
        <w:rPr>
          <w:rFonts w:hint="cs"/>
          <w:rtl/>
        </w:rPr>
        <w:t>'</w:t>
      </w:r>
      <w:r>
        <w:rPr>
          <w:rFonts w:hint="eastAsia"/>
          <w:rtl/>
        </w:rPr>
        <w:t>הרגילים</w:t>
      </w:r>
      <w:r>
        <w:rPr>
          <w:rFonts w:hint="cs"/>
          <w:rtl/>
        </w:rPr>
        <w:t>'</w:t>
      </w:r>
      <w:r>
        <w:rPr>
          <w:rtl/>
        </w:rPr>
        <w:t xml:space="preserve"> </w:t>
      </w:r>
      <w:r>
        <w:rPr>
          <w:rFonts w:hint="eastAsia"/>
          <w:rtl/>
        </w:rPr>
        <w:t>או</w:t>
      </w:r>
      <w:r>
        <w:rPr>
          <w:rtl/>
        </w:rPr>
        <w:t xml:space="preserve"> </w:t>
      </w:r>
      <w:r>
        <w:rPr>
          <w:rFonts w:hint="eastAsia"/>
          <w:rtl/>
        </w:rPr>
        <w:t>חוקי</w:t>
      </w:r>
      <w:r>
        <w:rPr>
          <w:rtl/>
        </w:rPr>
        <w:t xml:space="preserve"> </w:t>
      </w:r>
      <w:r>
        <w:rPr>
          <w:rFonts w:hint="eastAsia"/>
          <w:rtl/>
        </w:rPr>
        <w:t>היסוד</w:t>
      </w:r>
      <w:r>
        <w:rPr>
          <w:rtl/>
        </w:rPr>
        <w:t xml:space="preserve"> </w:t>
      </w:r>
      <w:r>
        <w:rPr>
          <w:rFonts w:hint="eastAsia"/>
          <w:rtl/>
        </w:rPr>
        <w:t>יסתרו</w:t>
      </w:r>
      <w:r>
        <w:rPr>
          <w:rtl/>
        </w:rPr>
        <w:t xml:space="preserve"> </w:t>
      </w:r>
      <w:r>
        <w:rPr>
          <w:rFonts w:hint="eastAsia"/>
          <w:rtl/>
        </w:rPr>
        <w:t>באופן</w:t>
      </w:r>
      <w:r>
        <w:rPr>
          <w:rtl/>
        </w:rPr>
        <w:t xml:space="preserve"> </w:t>
      </w:r>
      <w:r>
        <w:rPr>
          <w:rFonts w:hint="eastAsia"/>
          <w:rtl/>
        </w:rPr>
        <w:t>ישיר</w:t>
      </w:r>
      <w:r>
        <w:rPr>
          <w:rtl/>
        </w:rPr>
        <w:t xml:space="preserve"> </w:t>
      </w:r>
      <w:r>
        <w:rPr>
          <w:rFonts w:hint="eastAsia"/>
          <w:rtl/>
        </w:rPr>
        <w:t>את</w:t>
      </w:r>
      <w:r>
        <w:rPr>
          <w:rtl/>
        </w:rPr>
        <w:t xml:space="preserve"> </w:t>
      </w:r>
      <w:r>
        <w:rPr>
          <w:rFonts w:hint="eastAsia"/>
          <w:rtl/>
        </w:rPr>
        <w:t>העקרונות</w:t>
      </w:r>
      <w:r>
        <w:rPr>
          <w:rtl/>
        </w:rPr>
        <w:t xml:space="preserve"> </w:t>
      </w:r>
      <w:r>
        <w:rPr>
          <w:rFonts w:hint="eastAsia"/>
          <w:rtl/>
        </w:rPr>
        <w:t>הדמוקרטיים</w:t>
      </w:r>
      <w:r>
        <w:rPr>
          <w:rtl/>
        </w:rPr>
        <w:t>-</w:t>
      </w:r>
      <w:r>
        <w:rPr>
          <w:rFonts w:hint="eastAsia"/>
          <w:rtl/>
        </w:rPr>
        <w:t>היהודיים</w:t>
      </w:r>
      <w:r>
        <w:rPr>
          <w:rtl/>
        </w:rPr>
        <w:t xml:space="preserve"> </w:t>
      </w:r>
      <w:r>
        <w:rPr>
          <w:rFonts w:hint="eastAsia"/>
          <w:rtl/>
        </w:rPr>
        <w:t>של</w:t>
      </w:r>
      <w:r>
        <w:rPr>
          <w:rtl/>
        </w:rPr>
        <w:t xml:space="preserve"> </w:t>
      </w:r>
      <w:r>
        <w:rPr>
          <w:rFonts w:hint="eastAsia"/>
          <w:rtl/>
        </w:rPr>
        <w:t>המדינה</w:t>
      </w:r>
      <w:r>
        <w:rPr>
          <w:rtl/>
        </w:rPr>
        <w:t xml:space="preserve">? </w:t>
      </w:r>
      <w:r>
        <w:rPr>
          <w:rFonts w:hint="eastAsia"/>
          <w:rtl/>
        </w:rPr>
        <w:t>גם</w:t>
      </w:r>
      <w:r>
        <w:rPr>
          <w:rtl/>
        </w:rPr>
        <w:t xml:space="preserve"> </w:t>
      </w:r>
      <w:r>
        <w:rPr>
          <w:rFonts w:hint="eastAsia"/>
          <w:rtl/>
        </w:rPr>
        <w:t>במצבים</w:t>
      </w:r>
      <w:r>
        <w:rPr>
          <w:rtl/>
        </w:rPr>
        <w:t xml:space="preserve"> </w:t>
      </w:r>
      <w:r>
        <w:rPr>
          <w:rFonts w:hint="eastAsia"/>
          <w:rtl/>
        </w:rPr>
        <w:t>כאלה</w:t>
      </w:r>
      <w:r>
        <w:rPr>
          <w:rtl/>
        </w:rPr>
        <w:t xml:space="preserve"> </w:t>
      </w:r>
      <w:r>
        <w:rPr>
          <w:rFonts w:hint="eastAsia"/>
          <w:rtl/>
        </w:rPr>
        <w:t>אין</w:t>
      </w:r>
      <w:r>
        <w:rPr>
          <w:rtl/>
        </w:rPr>
        <w:t xml:space="preserve"> </w:t>
      </w:r>
      <w:r>
        <w:rPr>
          <w:rFonts w:hint="eastAsia"/>
          <w:rtl/>
        </w:rPr>
        <w:t>מקום</w:t>
      </w:r>
      <w:r>
        <w:rPr>
          <w:rtl/>
        </w:rPr>
        <w:t xml:space="preserve"> </w:t>
      </w:r>
      <w:r>
        <w:rPr>
          <w:rFonts w:hint="eastAsia"/>
          <w:rtl/>
        </w:rPr>
        <w:t>להתערבות</w:t>
      </w:r>
      <w:r>
        <w:rPr>
          <w:rtl/>
        </w:rPr>
        <w:t xml:space="preserve"> </w:t>
      </w:r>
      <w:r>
        <w:rPr>
          <w:rFonts w:hint="eastAsia"/>
          <w:rtl/>
        </w:rPr>
        <w:t>בית</w:t>
      </w:r>
      <w:r>
        <w:rPr>
          <w:rtl/>
        </w:rPr>
        <w:t xml:space="preserve"> </w:t>
      </w:r>
      <w:r>
        <w:rPr>
          <w:rFonts w:hint="eastAsia"/>
          <w:rtl/>
        </w:rPr>
        <w:t>המשפט</w:t>
      </w:r>
      <w:r>
        <w:rPr>
          <w:rtl/>
        </w:rPr>
        <w:t xml:space="preserve">? </w:t>
      </w:r>
      <w:r>
        <w:rPr>
          <w:rFonts w:hint="eastAsia"/>
          <w:rtl/>
        </w:rPr>
        <w:t>אין</w:t>
      </w:r>
      <w:r>
        <w:rPr>
          <w:rtl/>
        </w:rPr>
        <w:t xml:space="preserve"> </w:t>
      </w:r>
      <w:r>
        <w:rPr>
          <w:rFonts w:hint="eastAsia"/>
          <w:rtl/>
        </w:rPr>
        <w:t>מקום</w:t>
      </w:r>
      <w:r>
        <w:rPr>
          <w:rtl/>
        </w:rPr>
        <w:t xml:space="preserve"> </w:t>
      </w:r>
      <w:r>
        <w:rPr>
          <w:rFonts w:hint="eastAsia"/>
          <w:rtl/>
        </w:rPr>
        <w:t>לבסס</w:t>
      </w:r>
      <w:r>
        <w:rPr>
          <w:rtl/>
        </w:rPr>
        <w:t xml:space="preserve"> </w:t>
      </w:r>
      <w:r>
        <w:rPr>
          <w:rFonts w:hint="eastAsia"/>
          <w:rtl/>
        </w:rPr>
        <w:t>דוקטרינה</w:t>
      </w:r>
      <w:r>
        <w:rPr>
          <w:rtl/>
        </w:rPr>
        <w:t xml:space="preserve"> </w:t>
      </w:r>
      <w:r>
        <w:rPr>
          <w:rFonts w:hint="eastAsia"/>
          <w:rtl/>
        </w:rPr>
        <w:t>שלמה</w:t>
      </w:r>
      <w:r>
        <w:rPr>
          <w:rtl/>
        </w:rPr>
        <w:t xml:space="preserve"> </w:t>
      </w:r>
      <w:r>
        <w:rPr>
          <w:rFonts w:hint="eastAsia"/>
          <w:rtl/>
        </w:rPr>
        <w:t>על</w:t>
      </w:r>
      <w:r>
        <w:rPr>
          <w:rtl/>
        </w:rPr>
        <w:t xml:space="preserve"> </w:t>
      </w:r>
      <w:r>
        <w:rPr>
          <w:rFonts w:hint="eastAsia"/>
          <w:rtl/>
        </w:rPr>
        <w:t>בסיס</w:t>
      </w:r>
      <w:r>
        <w:rPr>
          <w:rtl/>
        </w:rPr>
        <w:t xml:space="preserve"> </w:t>
      </w:r>
      <w:r>
        <w:rPr>
          <w:rFonts w:hint="eastAsia"/>
          <w:rtl/>
        </w:rPr>
        <w:t>תרחישי</w:t>
      </w:r>
      <w:r>
        <w:rPr>
          <w:rtl/>
        </w:rPr>
        <w:t xml:space="preserve"> </w:t>
      </w:r>
      <w:r>
        <w:rPr>
          <w:rFonts w:hint="eastAsia"/>
          <w:rtl/>
        </w:rPr>
        <w:t>אימים</w:t>
      </w:r>
      <w:r>
        <w:rPr>
          <w:rtl/>
        </w:rPr>
        <w:t xml:space="preserve"> </w:t>
      </w:r>
      <w:r>
        <w:rPr>
          <w:rFonts w:hint="eastAsia"/>
          <w:rtl/>
        </w:rPr>
        <w:t>קיצוניים</w:t>
      </w:r>
      <w:r>
        <w:rPr>
          <w:rtl/>
        </w:rPr>
        <w:t xml:space="preserve"> </w:t>
      </w:r>
      <w:r>
        <w:rPr>
          <w:rFonts w:hint="eastAsia"/>
          <w:rtl/>
        </w:rPr>
        <w:t>הכוללים</w:t>
      </w:r>
      <w:r>
        <w:rPr>
          <w:rtl/>
        </w:rPr>
        <w:t xml:space="preserve"> </w:t>
      </w:r>
      <w:r>
        <w:rPr>
          <w:rFonts w:hint="eastAsia"/>
          <w:rtl/>
        </w:rPr>
        <w:t>את</w:t>
      </w:r>
      <w:r>
        <w:rPr>
          <w:rtl/>
        </w:rPr>
        <w:t xml:space="preserve"> </w:t>
      </w:r>
      <w:r>
        <w:rPr>
          <w:rFonts w:hint="eastAsia"/>
          <w:rtl/>
        </w:rPr>
        <w:t>אובדן</w:t>
      </w:r>
      <w:r>
        <w:rPr>
          <w:rtl/>
        </w:rPr>
        <w:t xml:space="preserve"> </w:t>
      </w:r>
      <w:r>
        <w:rPr>
          <w:rFonts w:hint="eastAsia"/>
          <w:rtl/>
        </w:rPr>
        <w:t>רכיבי</w:t>
      </w:r>
      <w:r>
        <w:rPr>
          <w:rtl/>
        </w:rPr>
        <w:t xml:space="preserve"> </w:t>
      </w:r>
      <w:r>
        <w:rPr>
          <w:rFonts w:hint="eastAsia"/>
          <w:rtl/>
        </w:rPr>
        <w:t>היסוד</w:t>
      </w:r>
      <w:r>
        <w:rPr>
          <w:rtl/>
        </w:rPr>
        <w:t xml:space="preserve"> </w:t>
      </w:r>
      <w:r>
        <w:rPr>
          <w:rFonts w:hint="eastAsia"/>
          <w:rtl/>
        </w:rPr>
        <w:t>הבסיסיים</w:t>
      </w:r>
      <w:r>
        <w:rPr>
          <w:rtl/>
        </w:rPr>
        <w:t xml:space="preserve"> </w:t>
      </w:r>
      <w:r>
        <w:rPr>
          <w:rFonts w:hint="eastAsia"/>
          <w:rtl/>
        </w:rPr>
        <w:t>ביותר</w:t>
      </w:r>
      <w:r>
        <w:rPr>
          <w:rtl/>
        </w:rPr>
        <w:t xml:space="preserve"> </w:t>
      </w:r>
      <w:r>
        <w:rPr>
          <w:rFonts w:hint="eastAsia"/>
          <w:rtl/>
        </w:rPr>
        <w:t>של</w:t>
      </w:r>
      <w:r>
        <w:rPr>
          <w:rtl/>
        </w:rPr>
        <w:t xml:space="preserve"> </w:t>
      </w:r>
      <w:r>
        <w:rPr>
          <w:rFonts w:hint="eastAsia"/>
          <w:rtl/>
        </w:rPr>
        <w:t>שיטת</w:t>
      </w:r>
      <w:r>
        <w:rPr>
          <w:rtl/>
        </w:rPr>
        <w:t xml:space="preserve"> </w:t>
      </w:r>
      <w:r>
        <w:rPr>
          <w:rFonts w:hint="eastAsia"/>
          <w:rtl/>
        </w:rPr>
        <w:t>משפטנו</w:t>
      </w:r>
      <w:r>
        <w:rPr>
          <w:rtl/>
        </w:rPr>
        <w:t xml:space="preserve">. </w:t>
      </w:r>
      <w:r>
        <w:rPr>
          <w:rFonts w:hint="eastAsia"/>
          <w:rtl/>
        </w:rPr>
        <w:t>כפי</w:t>
      </w:r>
      <w:r>
        <w:rPr>
          <w:rtl/>
        </w:rPr>
        <w:t xml:space="preserve"> </w:t>
      </w:r>
      <w:r>
        <w:rPr>
          <w:rFonts w:hint="eastAsia"/>
          <w:rtl/>
        </w:rPr>
        <w:t>שחזקה</w:t>
      </w:r>
      <w:r>
        <w:rPr>
          <w:rtl/>
        </w:rPr>
        <w:t xml:space="preserve"> </w:t>
      </w:r>
      <w:r>
        <w:rPr>
          <w:rFonts w:hint="eastAsia"/>
          <w:rtl/>
        </w:rPr>
        <w:t>על</w:t>
      </w:r>
      <w:r>
        <w:rPr>
          <w:rtl/>
        </w:rPr>
        <w:t xml:space="preserve"> </w:t>
      </w:r>
      <w:r>
        <w:rPr>
          <w:rFonts w:hint="eastAsia"/>
          <w:rtl/>
        </w:rPr>
        <w:t>בית</w:t>
      </w:r>
      <w:r>
        <w:rPr>
          <w:rtl/>
        </w:rPr>
        <w:t xml:space="preserve"> </w:t>
      </w:r>
      <w:r>
        <w:rPr>
          <w:rFonts w:hint="eastAsia"/>
          <w:rtl/>
        </w:rPr>
        <w:t>משפט</w:t>
      </w:r>
      <w:r>
        <w:rPr>
          <w:rtl/>
        </w:rPr>
        <w:t xml:space="preserve"> </w:t>
      </w:r>
      <w:r>
        <w:rPr>
          <w:rFonts w:hint="eastAsia"/>
          <w:rtl/>
        </w:rPr>
        <w:t>זה</w:t>
      </w:r>
      <w:r>
        <w:rPr>
          <w:rtl/>
        </w:rPr>
        <w:t xml:space="preserve"> </w:t>
      </w:r>
      <w:r>
        <w:rPr>
          <w:rFonts w:hint="eastAsia"/>
          <w:rtl/>
        </w:rPr>
        <w:t>שלא</w:t>
      </w:r>
      <w:r>
        <w:rPr>
          <w:rtl/>
        </w:rPr>
        <w:t xml:space="preserve"> </w:t>
      </w:r>
      <w:r>
        <w:rPr>
          <w:rFonts w:hint="eastAsia"/>
          <w:rtl/>
        </w:rPr>
        <w:t>יחתור</w:t>
      </w:r>
      <w:r>
        <w:rPr>
          <w:rtl/>
        </w:rPr>
        <w:t xml:space="preserve"> </w:t>
      </w:r>
      <w:r>
        <w:rPr>
          <w:rFonts w:hint="eastAsia"/>
          <w:rtl/>
        </w:rPr>
        <w:t>תחת</w:t>
      </w:r>
      <w:r>
        <w:rPr>
          <w:rtl/>
        </w:rPr>
        <w:t xml:space="preserve"> </w:t>
      </w:r>
      <w:r>
        <w:rPr>
          <w:rFonts w:hint="eastAsia"/>
          <w:rtl/>
        </w:rPr>
        <w:t>ערכי</w:t>
      </w:r>
      <w:r>
        <w:rPr>
          <w:rtl/>
        </w:rPr>
        <w:t xml:space="preserve"> </w:t>
      </w:r>
      <w:r>
        <w:rPr>
          <w:rFonts w:hint="eastAsia"/>
          <w:rtl/>
        </w:rPr>
        <w:t>היסוד</w:t>
      </w:r>
      <w:r>
        <w:rPr>
          <w:rtl/>
        </w:rPr>
        <w:t xml:space="preserve">, </w:t>
      </w:r>
      <w:r>
        <w:rPr>
          <w:rFonts w:hint="eastAsia"/>
          <w:rtl/>
        </w:rPr>
        <w:t>לא</w:t>
      </w:r>
      <w:r>
        <w:rPr>
          <w:rtl/>
        </w:rPr>
        <w:t xml:space="preserve"> </w:t>
      </w:r>
      <w:r>
        <w:rPr>
          <w:rFonts w:hint="eastAsia"/>
          <w:rtl/>
        </w:rPr>
        <w:t>יקבל</w:t>
      </w:r>
      <w:r>
        <w:rPr>
          <w:rtl/>
        </w:rPr>
        <w:t xml:space="preserve"> </w:t>
      </w:r>
      <w:r>
        <w:rPr>
          <w:rFonts w:hint="eastAsia"/>
          <w:rtl/>
        </w:rPr>
        <w:t>החלטה</w:t>
      </w:r>
      <w:r>
        <w:rPr>
          <w:rtl/>
        </w:rPr>
        <w:t xml:space="preserve"> </w:t>
      </w:r>
      <w:r>
        <w:rPr>
          <w:rFonts w:hint="eastAsia"/>
          <w:rtl/>
        </w:rPr>
        <w:t>הפוגעת</w:t>
      </w:r>
      <w:r>
        <w:rPr>
          <w:rtl/>
        </w:rPr>
        <w:t xml:space="preserve"> </w:t>
      </w:r>
      <w:r>
        <w:rPr>
          <w:rFonts w:hint="eastAsia"/>
          <w:rtl/>
        </w:rPr>
        <w:t>בערכי</w:t>
      </w:r>
      <w:r>
        <w:rPr>
          <w:rtl/>
        </w:rPr>
        <w:t xml:space="preserve"> </w:t>
      </w:r>
      <w:r>
        <w:rPr>
          <w:rFonts w:hint="eastAsia"/>
          <w:rtl/>
        </w:rPr>
        <w:t>היסוד</w:t>
      </w:r>
      <w:r>
        <w:rPr>
          <w:rtl/>
        </w:rPr>
        <w:t xml:space="preserve"> </w:t>
      </w:r>
      <w:r>
        <w:rPr>
          <w:rFonts w:hint="eastAsia"/>
          <w:rtl/>
        </w:rPr>
        <w:t>השורשיים</w:t>
      </w:r>
      <w:r>
        <w:rPr>
          <w:rtl/>
        </w:rPr>
        <w:t xml:space="preserve"> </w:t>
      </w:r>
      <w:r>
        <w:rPr>
          <w:rFonts w:hint="eastAsia"/>
          <w:rtl/>
        </w:rPr>
        <w:t>של</w:t>
      </w:r>
      <w:r>
        <w:rPr>
          <w:rtl/>
        </w:rPr>
        <w:t xml:space="preserve"> </w:t>
      </w:r>
      <w:r>
        <w:rPr>
          <w:rFonts w:hint="eastAsia"/>
          <w:rtl/>
        </w:rPr>
        <w:t>שיטת</w:t>
      </w:r>
      <w:r>
        <w:rPr>
          <w:rtl/>
        </w:rPr>
        <w:t xml:space="preserve"> </w:t>
      </w:r>
      <w:r>
        <w:rPr>
          <w:rFonts w:hint="eastAsia"/>
          <w:rtl/>
        </w:rPr>
        <w:t>משפטנו</w:t>
      </w:r>
      <w:r>
        <w:rPr>
          <w:rtl/>
        </w:rPr>
        <w:t xml:space="preserve"> (</w:t>
      </w:r>
      <w:r>
        <w:rPr>
          <w:rFonts w:hint="eastAsia"/>
          <w:rtl/>
        </w:rPr>
        <w:t>אף</w:t>
      </w:r>
      <w:r>
        <w:rPr>
          <w:rtl/>
        </w:rPr>
        <w:t xml:space="preserve"> </w:t>
      </w:r>
      <w:r>
        <w:rPr>
          <w:rFonts w:hint="eastAsia"/>
          <w:rtl/>
        </w:rPr>
        <w:t>כי</w:t>
      </w:r>
      <w:r>
        <w:rPr>
          <w:rtl/>
        </w:rPr>
        <w:t xml:space="preserve"> </w:t>
      </w:r>
      <w:r>
        <w:rPr>
          <w:rFonts w:hint="eastAsia"/>
          <w:rtl/>
        </w:rPr>
        <w:t>באופן</w:t>
      </w:r>
      <w:r>
        <w:rPr>
          <w:rtl/>
        </w:rPr>
        <w:t xml:space="preserve"> </w:t>
      </w:r>
      <w:r>
        <w:rPr>
          <w:rFonts w:hint="cs"/>
          <w:rtl/>
        </w:rPr>
        <w:t>'</w:t>
      </w:r>
      <w:r>
        <w:rPr>
          <w:rFonts w:hint="eastAsia"/>
          <w:rtl/>
        </w:rPr>
        <w:t>טכני</w:t>
      </w:r>
      <w:r>
        <w:rPr>
          <w:rFonts w:hint="cs"/>
          <w:rtl/>
        </w:rPr>
        <w:t>'</w:t>
      </w:r>
      <w:r>
        <w:rPr>
          <w:rtl/>
        </w:rPr>
        <w:t xml:space="preserve"> </w:t>
      </w:r>
      <w:r>
        <w:rPr>
          <w:rFonts w:hint="eastAsia"/>
          <w:rtl/>
        </w:rPr>
        <w:t>היכולת</w:t>
      </w:r>
      <w:r>
        <w:rPr>
          <w:rtl/>
        </w:rPr>
        <w:t xml:space="preserve"> </w:t>
      </w:r>
      <w:r>
        <w:rPr>
          <w:rFonts w:hint="eastAsia"/>
          <w:rtl/>
        </w:rPr>
        <w:t>לעשות</w:t>
      </w:r>
      <w:r>
        <w:rPr>
          <w:rtl/>
        </w:rPr>
        <w:t xml:space="preserve"> </w:t>
      </w:r>
      <w:r>
        <w:rPr>
          <w:rFonts w:hint="eastAsia"/>
          <w:rtl/>
        </w:rPr>
        <w:t>כן</w:t>
      </w:r>
      <w:r>
        <w:rPr>
          <w:rtl/>
        </w:rPr>
        <w:t xml:space="preserve"> </w:t>
      </w:r>
      <w:r>
        <w:rPr>
          <w:rFonts w:hint="eastAsia"/>
          <w:rtl/>
        </w:rPr>
        <w:t>מסורה</w:t>
      </w:r>
      <w:r>
        <w:rPr>
          <w:rtl/>
        </w:rPr>
        <w:t xml:space="preserve"> </w:t>
      </w:r>
      <w:r>
        <w:rPr>
          <w:rFonts w:hint="eastAsia"/>
          <w:rtl/>
        </w:rPr>
        <w:t>בידו</w:t>
      </w:r>
      <w:r>
        <w:rPr>
          <w:rtl/>
        </w:rPr>
        <w:t xml:space="preserve">), </w:t>
      </w:r>
      <w:r>
        <w:rPr>
          <w:rFonts w:hint="eastAsia"/>
          <w:rtl/>
        </w:rPr>
        <w:t>חזקה</w:t>
      </w:r>
      <w:r>
        <w:rPr>
          <w:rtl/>
        </w:rPr>
        <w:t xml:space="preserve"> </w:t>
      </w:r>
      <w:r>
        <w:rPr>
          <w:rFonts w:hint="eastAsia"/>
          <w:rtl/>
        </w:rPr>
        <w:t>על</w:t>
      </w:r>
      <w:r>
        <w:rPr>
          <w:rtl/>
        </w:rPr>
        <w:t xml:space="preserve"> </w:t>
      </w:r>
      <w:r>
        <w:rPr>
          <w:rFonts w:hint="eastAsia"/>
          <w:rtl/>
        </w:rPr>
        <w:t>הכנסת</w:t>
      </w:r>
      <w:r>
        <w:rPr>
          <w:rtl/>
        </w:rPr>
        <w:t xml:space="preserve">, </w:t>
      </w:r>
      <w:r>
        <w:rPr>
          <w:rFonts w:hint="eastAsia"/>
          <w:rtl/>
        </w:rPr>
        <w:t>כי</w:t>
      </w:r>
      <w:r>
        <w:rPr>
          <w:rtl/>
        </w:rPr>
        <w:t xml:space="preserve"> </w:t>
      </w:r>
      <w:r>
        <w:rPr>
          <w:rFonts w:hint="eastAsia"/>
          <w:rtl/>
        </w:rPr>
        <w:t>לא</w:t>
      </w:r>
      <w:r>
        <w:rPr>
          <w:rtl/>
        </w:rPr>
        <w:t xml:space="preserve"> </w:t>
      </w:r>
      <w:r>
        <w:rPr>
          <w:rFonts w:hint="eastAsia"/>
          <w:rtl/>
        </w:rPr>
        <w:t>תביאנו</w:t>
      </w:r>
      <w:r>
        <w:rPr>
          <w:rtl/>
        </w:rPr>
        <w:t xml:space="preserve"> </w:t>
      </w:r>
      <w:r>
        <w:rPr>
          <w:rFonts w:hint="eastAsia"/>
          <w:rtl/>
        </w:rPr>
        <w:t>לכדי</w:t>
      </w:r>
      <w:r>
        <w:rPr>
          <w:rtl/>
        </w:rPr>
        <w:t xml:space="preserve"> </w:t>
      </w:r>
      <w:r>
        <w:rPr>
          <w:rFonts w:hint="eastAsia"/>
          <w:rtl/>
        </w:rPr>
        <w:t>תרחיש</w:t>
      </w:r>
      <w:r>
        <w:rPr>
          <w:rtl/>
        </w:rPr>
        <w:t xml:space="preserve"> </w:t>
      </w:r>
      <w:r>
        <w:rPr>
          <w:rFonts w:hint="eastAsia"/>
          <w:rtl/>
        </w:rPr>
        <w:t>בלהות</w:t>
      </w:r>
      <w:r>
        <w:rPr>
          <w:rtl/>
        </w:rPr>
        <w:t xml:space="preserve"> </w:t>
      </w:r>
      <w:r>
        <w:rPr>
          <w:rFonts w:hint="eastAsia"/>
          <w:rtl/>
        </w:rPr>
        <w:t>מעין</w:t>
      </w:r>
      <w:r>
        <w:rPr>
          <w:rtl/>
        </w:rPr>
        <w:t xml:space="preserve"> </w:t>
      </w:r>
      <w:r>
        <w:rPr>
          <w:rFonts w:hint="eastAsia"/>
          <w:rtl/>
        </w:rPr>
        <w:t>זה</w:t>
      </w:r>
      <w:r>
        <w:rPr>
          <w:rtl/>
        </w:rPr>
        <w:t xml:space="preserve"> </w:t>
      </w:r>
      <w:r>
        <w:rPr>
          <w:rFonts w:hint="eastAsia"/>
          <w:rtl/>
        </w:rPr>
        <w:t>אשר</w:t>
      </w:r>
      <w:r>
        <w:rPr>
          <w:rtl/>
        </w:rPr>
        <w:t xml:space="preserve"> </w:t>
      </w:r>
      <w:r>
        <w:rPr>
          <w:rFonts w:hint="cs"/>
          <w:rtl/>
        </w:rPr>
        <w:t>'</w:t>
      </w:r>
      <w:r>
        <w:rPr>
          <w:rFonts w:hint="eastAsia"/>
          <w:rtl/>
        </w:rPr>
        <w:t>מוטב</w:t>
      </w:r>
      <w:r>
        <w:rPr>
          <w:rtl/>
        </w:rPr>
        <w:t xml:space="preserve"> </w:t>
      </w:r>
      <w:r>
        <w:rPr>
          <w:rFonts w:hint="eastAsia"/>
          <w:rtl/>
        </w:rPr>
        <w:t>אם</w:t>
      </w:r>
      <w:r>
        <w:rPr>
          <w:rtl/>
        </w:rPr>
        <w:t xml:space="preserve"> </w:t>
      </w:r>
      <w:r>
        <w:rPr>
          <w:rFonts w:hint="eastAsia"/>
          <w:rtl/>
        </w:rPr>
        <w:t>לא</w:t>
      </w:r>
      <w:r>
        <w:rPr>
          <w:rtl/>
        </w:rPr>
        <w:t xml:space="preserve"> </w:t>
      </w:r>
      <w:r>
        <w:rPr>
          <w:rFonts w:hint="eastAsia"/>
          <w:rtl/>
        </w:rPr>
        <w:t>יתרחש</w:t>
      </w:r>
      <w:r>
        <w:rPr>
          <w:rtl/>
        </w:rPr>
        <w:t xml:space="preserve"> </w:t>
      </w:r>
      <w:r>
        <w:rPr>
          <w:rFonts w:hint="eastAsia"/>
          <w:rtl/>
        </w:rPr>
        <w:t>לעולם</w:t>
      </w:r>
      <w:r>
        <w:rPr>
          <w:rFonts w:hint="cs"/>
          <w:rtl/>
        </w:rPr>
        <w:t>'</w:t>
      </w:r>
      <w:r>
        <w:rPr>
          <w:rtl/>
        </w:rPr>
        <w:t xml:space="preserve"> (</w:t>
      </w:r>
      <w:r>
        <w:rPr>
          <w:rFonts w:hint="eastAsia"/>
          <w:rtl/>
        </w:rPr>
        <w:t>עניין</w:t>
      </w:r>
      <w:r>
        <w:rPr>
          <w:rtl/>
        </w:rPr>
        <w:t xml:space="preserve"> </w:t>
      </w:r>
      <w:r w:rsidRPr="008F3792">
        <w:rPr>
          <w:rFonts w:ascii="Century" w:hAnsi="Century" w:cs="Miriam" w:hint="eastAsia"/>
          <w:b/>
          <w:spacing w:val="0"/>
          <w:szCs w:val="24"/>
          <w:rtl/>
        </w:rPr>
        <w:t>בר</w:t>
      </w:r>
      <w:r w:rsidRPr="008F3792">
        <w:rPr>
          <w:rFonts w:ascii="Century" w:hAnsi="Century" w:cs="Miriam"/>
          <w:b/>
          <w:spacing w:val="0"/>
          <w:szCs w:val="24"/>
          <w:rtl/>
        </w:rPr>
        <w:t>-</w:t>
      </w:r>
      <w:r w:rsidRPr="008F3792">
        <w:rPr>
          <w:rFonts w:ascii="Century" w:hAnsi="Century" w:cs="Miriam" w:hint="eastAsia"/>
          <w:b/>
          <w:spacing w:val="0"/>
          <w:szCs w:val="24"/>
          <w:rtl/>
        </w:rPr>
        <w:t>און</w:t>
      </w:r>
      <w:r>
        <w:rPr>
          <w:rtl/>
        </w:rPr>
        <w:t xml:space="preserve">, </w:t>
      </w:r>
      <w:r>
        <w:rPr>
          <w:rFonts w:hint="eastAsia"/>
          <w:rtl/>
        </w:rPr>
        <w:t>עמ</w:t>
      </w:r>
      <w:r>
        <w:rPr>
          <w:rtl/>
        </w:rPr>
        <w:t xml:space="preserve">' 312). </w:t>
      </w:r>
      <w:r>
        <w:rPr>
          <w:rFonts w:hint="eastAsia"/>
          <w:rtl/>
        </w:rPr>
        <w:t>על</w:t>
      </w:r>
      <w:r>
        <w:rPr>
          <w:rtl/>
        </w:rPr>
        <w:t xml:space="preserve"> </w:t>
      </w:r>
      <w:r>
        <w:rPr>
          <w:rFonts w:hint="eastAsia"/>
          <w:rtl/>
        </w:rPr>
        <w:t>כגון</w:t>
      </w:r>
      <w:r>
        <w:rPr>
          <w:rtl/>
        </w:rPr>
        <w:t xml:space="preserve"> </w:t>
      </w:r>
      <w:r>
        <w:rPr>
          <w:rFonts w:hint="eastAsia"/>
          <w:rtl/>
        </w:rPr>
        <w:t>דא</w:t>
      </w:r>
      <w:r>
        <w:rPr>
          <w:rtl/>
        </w:rPr>
        <w:t xml:space="preserve"> </w:t>
      </w:r>
      <w:r>
        <w:rPr>
          <w:rFonts w:hint="eastAsia"/>
          <w:rtl/>
        </w:rPr>
        <w:t>נאמר</w:t>
      </w:r>
      <w:r>
        <w:rPr>
          <w:rtl/>
        </w:rPr>
        <w:t xml:space="preserve"> </w:t>
      </w:r>
      <w:r>
        <w:rPr>
          <w:rFonts w:hint="eastAsia"/>
          <w:rtl/>
        </w:rPr>
        <w:t>על</w:t>
      </w:r>
      <w:r>
        <w:rPr>
          <w:rtl/>
        </w:rPr>
        <w:t xml:space="preserve"> </w:t>
      </w:r>
      <w:r>
        <w:rPr>
          <w:rFonts w:hint="eastAsia"/>
          <w:rtl/>
        </w:rPr>
        <w:t>ידי</w:t>
      </w:r>
      <w:r>
        <w:rPr>
          <w:rtl/>
        </w:rPr>
        <w:t xml:space="preserve"> </w:t>
      </w:r>
      <w:r>
        <w:rPr>
          <w:rFonts w:hint="eastAsia"/>
          <w:rtl/>
        </w:rPr>
        <w:t>השופט</w:t>
      </w:r>
      <w:r>
        <w:rPr>
          <w:rtl/>
        </w:rPr>
        <w:t xml:space="preserve"> </w:t>
      </w:r>
      <w:r>
        <w:rPr>
          <w:rFonts w:hint="eastAsia"/>
          <w:rtl/>
        </w:rPr>
        <w:t>האמריקני</w:t>
      </w:r>
      <w:r>
        <w:rPr>
          <w:rtl/>
        </w:rPr>
        <w:t xml:space="preserve"> </w:t>
      </w:r>
      <w:r>
        <w:rPr>
          <w:rFonts w:hint="eastAsia"/>
          <w:rtl/>
        </w:rPr>
        <w:t>לרנד</w:t>
      </w:r>
      <w:r>
        <w:rPr>
          <w:rtl/>
        </w:rPr>
        <w:t xml:space="preserve"> </w:t>
      </w:r>
      <w:r>
        <w:rPr>
          <w:rFonts w:hint="eastAsia"/>
          <w:rtl/>
        </w:rPr>
        <w:t>הנד</w:t>
      </w:r>
      <w:r>
        <w:rPr>
          <w:rtl/>
        </w:rPr>
        <w:t>:</w:t>
      </w:r>
    </w:p>
    <w:p w:rsidR="00737972" w:rsidRDefault="00737972" w:rsidP="00737972">
      <w:pPr>
        <w:pStyle w:val="Ruller5"/>
        <w:rPr>
          <w:rtl/>
        </w:rPr>
      </w:pPr>
    </w:p>
    <w:p w:rsidR="00737972" w:rsidRPr="004F1C14" w:rsidRDefault="00737972" w:rsidP="00737972">
      <w:pPr>
        <w:pStyle w:val="Ruller5"/>
        <w:jc w:val="right"/>
        <w:rPr>
          <w:rFonts w:ascii="Garamond" w:hAnsi="Garamond"/>
          <w:sz w:val="24"/>
          <w:szCs w:val="24"/>
        </w:rPr>
      </w:pPr>
      <w:r w:rsidRPr="004F1C14">
        <w:rPr>
          <w:rFonts w:ascii="Garamond" w:hAnsi="Garamond"/>
          <w:sz w:val="24"/>
          <w:szCs w:val="24"/>
        </w:rPr>
        <w:t>'A society so riven that the spirit of moderation is gone, no court can save.'</w:t>
      </w:r>
    </w:p>
    <w:p w:rsidR="00737972" w:rsidRDefault="00737972" w:rsidP="00737972">
      <w:pPr>
        <w:pStyle w:val="Ruller5"/>
        <w:jc w:val="right"/>
        <w:rPr>
          <w:rtl/>
        </w:rPr>
      </w:pPr>
    </w:p>
    <w:p w:rsidR="00737972" w:rsidRDefault="00737972" w:rsidP="00737972">
      <w:pPr>
        <w:pStyle w:val="Ruller5"/>
        <w:rPr>
          <w:rtl/>
        </w:rPr>
      </w:pPr>
      <w:r>
        <w:rPr>
          <w:rFonts w:ascii="Garamond" w:hAnsi="Garamond"/>
          <w:sz w:val="24"/>
          <w:szCs w:val="24"/>
        </w:rPr>
        <w:lastRenderedPageBreak/>
        <w:t>(Learned Hand, The Contribution of an Independent Judiciary to Civilization, in The Spirit Of Liberty 155, 164-165 (Irving Dilliard ed. 1953 [1942]))</w:t>
      </w:r>
      <w:r>
        <w:t xml:space="preserve"> </w:t>
      </w:r>
    </w:p>
    <w:p w:rsidR="00737972" w:rsidRDefault="00737972" w:rsidP="00737972">
      <w:pPr>
        <w:pStyle w:val="Ruller5"/>
      </w:pPr>
    </w:p>
    <w:p w:rsidR="00737972" w:rsidRDefault="00737972" w:rsidP="00737972">
      <w:pPr>
        <w:pStyle w:val="Ruller5"/>
        <w:rPr>
          <w:rtl/>
        </w:rPr>
      </w:pPr>
      <w:r>
        <w:rPr>
          <w:rFonts w:hint="eastAsia"/>
          <w:rtl/>
        </w:rPr>
        <w:t>ואין</w:t>
      </w:r>
      <w:r>
        <w:rPr>
          <w:rtl/>
        </w:rPr>
        <w:t xml:space="preserve"> </w:t>
      </w:r>
      <w:r>
        <w:rPr>
          <w:rFonts w:hint="eastAsia"/>
          <w:rtl/>
        </w:rPr>
        <w:t>צריך</w:t>
      </w:r>
      <w:r>
        <w:rPr>
          <w:rtl/>
        </w:rPr>
        <w:t xml:space="preserve"> </w:t>
      </w:r>
      <w:r>
        <w:rPr>
          <w:rFonts w:hint="eastAsia"/>
          <w:rtl/>
        </w:rPr>
        <w:t>לומר</w:t>
      </w:r>
      <w:r>
        <w:rPr>
          <w:rtl/>
        </w:rPr>
        <w:t xml:space="preserve"> </w:t>
      </w:r>
      <w:r>
        <w:rPr>
          <w:rFonts w:hint="eastAsia"/>
          <w:rtl/>
        </w:rPr>
        <w:t>כי</w:t>
      </w:r>
      <w:r>
        <w:rPr>
          <w:rtl/>
        </w:rPr>
        <w:t xml:space="preserve"> </w:t>
      </w:r>
      <w:r>
        <w:rPr>
          <w:rFonts w:hint="eastAsia"/>
          <w:rtl/>
        </w:rPr>
        <w:t>אף</w:t>
      </w:r>
      <w:r>
        <w:rPr>
          <w:rtl/>
        </w:rPr>
        <w:t xml:space="preserve"> </w:t>
      </w:r>
      <w:r>
        <w:rPr>
          <w:rFonts w:hint="eastAsia"/>
          <w:rtl/>
        </w:rPr>
        <w:t>קיים</w:t>
      </w:r>
      <w:r>
        <w:rPr>
          <w:rtl/>
        </w:rPr>
        <w:t xml:space="preserve"> </w:t>
      </w:r>
      <w:r>
        <w:rPr>
          <w:rFonts w:hint="eastAsia"/>
          <w:rtl/>
        </w:rPr>
        <w:t>קושי</w:t>
      </w:r>
      <w:r>
        <w:rPr>
          <w:rtl/>
        </w:rPr>
        <w:t xml:space="preserve"> </w:t>
      </w:r>
      <w:r>
        <w:rPr>
          <w:rFonts w:hint="eastAsia"/>
          <w:rtl/>
        </w:rPr>
        <w:t>משמעותי</w:t>
      </w:r>
      <w:r>
        <w:rPr>
          <w:rtl/>
        </w:rPr>
        <w:t xml:space="preserve"> </w:t>
      </w:r>
      <w:r>
        <w:rPr>
          <w:rFonts w:hint="eastAsia"/>
          <w:rtl/>
        </w:rPr>
        <w:t>לומר</w:t>
      </w:r>
      <w:r>
        <w:rPr>
          <w:rtl/>
        </w:rPr>
        <w:t xml:space="preserve"> </w:t>
      </w:r>
      <w:r>
        <w:rPr>
          <w:rFonts w:hint="eastAsia"/>
          <w:rtl/>
        </w:rPr>
        <w:t>כי</w:t>
      </w:r>
      <w:r>
        <w:rPr>
          <w:rtl/>
        </w:rPr>
        <w:t xml:space="preserve"> </w:t>
      </w:r>
      <w:r>
        <w:rPr>
          <w:rFonts w:hint="eastAsia"/>
          <w:rtl/>
        </w:rPr>
        <w:t>בית</w:t>
      </w:r>
      <w:r>
        <w:rPr>
          <w:rtl/>
        </w:rPr>
        <w:t xml:space="preserve"> </w:t>
      </w:r>
      <w:r>
        <w:rPr>
          <w:rFonts w:hint="eastAsia"/>
          <w:rtl/>
        </w:rPr>
        <w:t>משפט</w:t>
      </w:r>
      <w:r>
        <w:rPr>
          <w:rtl/>
        </w:rPr>
        <w:t xml:space="preserve"> </w:t>
      </w:r>
      <w:r>
        <w:rPr>
          <w:rFonts w:hint="eastAsia"/>
          <w:rtl/>
        </w:rPr>
        <w:t>הוא</w:t>
      </w:r>
      <w:r>
        <w:rPr>
          <w:rtl/>
        </w:rPr>
        <w:t xml:space="preserve"> </w:t>
      </w:r>
      <w:r>
        <w:rPr>
          <w:rFonts w:hint="eastAsia"/>
          <w:rtl/>
        </w:rPr>
        <w:t>המוסד</w:t>
      </w:r>
      <w:r>
        <w:rPr>
          <w:rtl/>
        </w:rPr>
        <w:t xml:space="preserve"> </w:t>
      </w:r>
      <w:r>
        <w:rPr>
          <w:rFonts w:hint="eastAsia"/>
          <w:rtl/>
        </w:rPr>
        <w:t>המשמש</w:t>
      </w:r>
      <w:r>
        <w:rPr>
          <w:rtl/>
        </w:rPr>
        <w:t xml:space="preserve"> </w:t>
      </w:r>
      <w:r>
        <w:rPr>
          <w:rFonts w:hint="eastAsia"/>
          <w:rtl/>
        </w:rPr>
        <w:t>כמצפן</w:t>
      </w:r>
      <w:r>
        <w:rPr>
          <w:rtl/>
        </w:rPr>
        <w:t xml:space="preserve"> </w:t>
      </w:r>
      <w:r>
        <w:rPr>
          <w:rFonts w:hint="eastAsia"/>
          <w:rtl/>
        </w:rPr>
        <w:t>ערכי</w:t>
      </w:r>
      <w:r>
        <w:rPr>
          <w:rtl/>
        </w:rPr>
        <w:t xml:space="preserve"> </w:t>
      </w:r>
      <w:r>
        <w:rPr>
          <w:rFonts w:hint="eastAsia"/>
          <w:rtl/>
        </w:rPr>
        <w:t>לקביעת</w:t>
      </w:r>
      <w:r>
        <w:rPr>
          <w:rtl/>
        </w:rPr>
        <w:t xml:space="preserve"> </w:t>
      </w:r>
      <w:r>
        <w:rPr>
          <w:rFonts w:hint="eastAsia"/>
          <w:rtl/>
        </w:rPr>
        <w:t>הנורמות</w:t>
      </w:r>
      <w:r>
        <w:rPr>
          <w:rtl/>
        </w:rPr>
        <w:t xml:space="preserve"> </w:t>
      </w:r>
      <w:r>
        <w:rPr>
          <w:rFonts w:hint="eastAsia"/>
          <w:rtl/>
        </w:rPr>
        <w:t>של</w:t>
      </w:r>
      <w:r>
        <w:rPr>
          <w:rtl/>
        </w:rPr>
        <w:t xml:space="preserve"> </w:t>
      </w:r>
      <w:r>
        <w:rPr>
          <w:rFonts w:hint="eastAsia"/>
          <w:rtl/>
        </w:rPr>
        <w:t>הרשות</w:t>
      </w:r>
      <w:r>
        <w:rPr>
          <w:rtl/>
        </w:rPr>
        <w:t xml:space="preserve"> </w:t>
      </w:r>
      <w:r>
        <w:rPr>
          <w:rFonts w:hint="eastAsia"/>
          <w:rtl/>
        </w:rPr>
        <w:t>המכוננת</w:t>
      </w:r>
      <w:r>
        <w:rPr>
          <w:rtl/>
        </w:rPr>
        <w:t xml:space="preserve">. </w:t>
      </w:r>
      <w:r>
        <w:rPr>
          <w:rFonts w:hint="eastAsia"/>
          <w:rtl/>
        </w:rPr>
        <w:t>לא</w:t>
      </w:r>
      <w:r>
        <w:rPr>
          <w:rtl/>
        </w:rPr>
        <w:t xml:space="preserve"> </w:t>
      </w:r>
      <w:r>
        <w:rPr>
          <w:rFonts w:hint="eastAsia"/>
          <w:rtl/>
        </w:rPr>
        <w:t>בידנו</w:t>
      </w:r>
      <w:r>
        <w:rPr>
          <w:rtl/>
        </w:rPr>
        <w:t xml:space="preserve"> </w:t>
      </w:r>
      <w:r>
        <w:rPr>
          <w:rFonts w:hint="eastAsia"/>
          <w:rtl/>
        </w:rPr>
        <w:t>הדבר</w:t>
      </w:r>
      <w:r>
        <w:rPr>
          <w:rtl/>
        </w:rPr>
        <w:t>.</w:t>
      </w:r>
    </w:p>
    <w:p w:rsidR="00737972" w:rsidRDefault="00737972" w:rsidP="00737972">
      <w:pPr>
        <w:pStyle w:val="Ruller5"/>
        <w:rPr>
          <w:rtl/>
        </w:rPr>
      </w:pPr>
    </w:p>
    <w:p w:rsidR="00737972" w:rsidRDefault="00737972" w:rsidP="00737972">
      <w:pPr>
        <w:pStyle w:val="Ruller5"/>
        <w:rPr>
          <w:rtl/>
        </w:rPr>
      </w:pPr>
      <w:r>
        <w:rPr>
          <w:rFonts w:hint="eastAsia"/>
          <w:rtl/>
        </w:rPr>
        <w:t>על</w:t>
      </w:r>
      <w:r>
        <w:rPr>
          <w:rtl/>
        </w:rPr>
        <w:t xml:space="preserve"> </w:t>
      </w:r>
      <w:r>
        <w:rPr>
          <w:rFonts w:hint="eastAsia"/>
          <w:rtl/>
        </w:rPr>
        <w:t>כך</w:t>
      </w:r>
      <w:r>
        <w:rPr>
          <w:rtl/>
        </w:rPr>
        <w:t xml:space="preserve"> </w:t>
      </w:r>
      <w:r>
        <w:rPr>
          <w:rFonts w:hint="eastAsia"/>
          <w:rtl/>
        </w:rPr>
        <w:t>יש</w:t>
      </w:r>
      <w:r>
        <w:rPr>
          <w:rtl/>
        </w:rPr>
        <w:t xml:space="preserve"> </w:t>
      </w:r>
      <w:r>
        <w:rPr>
          <w:rFonts w:hint="eastAsia"/>
          <w:rtl/>
        </w:rPr>
        <w:t>להוסיף</w:t>
      </w:r>
      <w:r>
        <w:rPr>
          <w:rtl/>
        </w:rPr>
        <w:t xml:space="preserve"> </w:t>
      </w:r>
      <w:r>
        <w:rPr>
          <w:rFonts w:hint="eastAsia"/>
          <w:rtl/>
        </w:rPr>
        <w:t>כי</w:t>
      </w:r>
      <w:r>
        <w:rPr>
          <w:rtl/>
        </w:rPr>
        <w:t xml:space="preserve"> </w:t>
      </w:r>
      <w:r>
        <w:rPr>
          <w:rFonts w:hint="eastAsia"/>
          <w:rtl/>
        </w:rPr>
        <w:t>את</w:t>
      </w:r>
      <w:r>
        <w:rPr>
          <w:rtl/>
        </w:rPr>
        <w:t xml:space="preserve"> </w:t>
      </w:r>
      <w:r>
        <w:rPr>
          <w:rFonts w:hint="eastAsia"/>
          <w:rtl/>
        </w:rPr>
        <w:t>ההתייחסות</w:t>
      </w:r>
      <w:r>
        <w:rPr>
          <w:rtl/>
        </w:rPr>
        <w:t xml:space="preserve"> </w:t>
      </w:r>
      <w:r>
        <w:rPr>
          <w:rFonts w:hint="eastAsia"/>
          <w:rtl/>
        </w:rPr>
        <w:t>לתרחישים</w:t>
      </w:r>
      <w:r>
        <w:rPr>
          <w:rtl/>
        </w:rPr>
        <w:t xml:space="preserve"> </w:t>
      </w:r>
      <w:r>
        <w:rPr>
          <w:rFonts w:hint="eastAsia"/>
          <w:rtl/>
        </w:rPr>
        <w:t>דמיוניים</w:t>
      </w:r>
      <w:r>
        <w:rPr>
          <w:rtl/>
        </w:rPr>
        <w:t xml:space="preserve"> </w:t>
      </w:r>
      <w:r>
        <w:rPr>
          <w:rFonts w:hint="eastAsia"/>
          <w:rtl/>
        </w:rPr>
        <w:t>הרי</w:t>
      </w:r>
      <w:r>
        <w:rPr>
          <w:rtl/>
        </w:rPr>
        <w:t>-</w:t>
      </w:r>
      <w:r>
        <w:rPr>
          <w:rFonts w:hint="eastAsia"/>
          <w:rtl/>
        </w:rPr>
        <w:t>אסון</w:t>
      </w:r>
      <w:r>
        <w:rPr>
          <w:rtl/>
        </w:rPr>
        <w:t xml:space="preserve"> </w:t>
      </w:r>
      <w:r>
        <w:rPr>
          <w:rFonts w:hint="eastAsia"/>
          <w:rtl/>
        </w:rPr>
        <w:t>יש</w:t>
      </w:r>
      <w:r>
        <w:rPr>
          <w:rtl/>
        </w:rPr>
        <w:t xml:space="preserve"> </w:t>
      </w:r>
      <w:r>
        <w:rPr>
          <w:rFonts w:hint="eastAsia"/>
          <w:rtl/>
        </w:rPr>
        <w:t>לבחון</w:t>
      </w:r>
      <w:r>
        <w:rPr>
          <w:rtl/>
        </w:rPr>
        <w:t xml:space="preserve"> </w:t>
      </w:r>
      <w:r>
        <w:rPr>
          <w:rFonts w:hint="eastAsia"/>
          <w:rtl/>
        </w:rPr>
        <w:t>על</w:t>
      </w:r>
      <w:r>
        <w:rPr>
          <w:rtl/>
        </w:rPr>
        <w:t xml:space="preserve"> </w:t>
      </w:r>
      <w:r>
        <w:rPr>
          <w:rFonts w:hint="eastAsia"/>
          <w:rtl/>
        </w:rPr>
        <w:t>רקע</w:t>
      </w:r>
      <w:r>
        <w:rPr>
          <w:rtl/>
        </w:rPr>
        <w:t xml:space="preserve"> </w:t>
      </w:r>
      <w:r>
        <w:rPr>
          <w:rFonts w:hint="eastAsia"/>
          <w:rtl/>
        </w:rPr>
        <w:t>התנאים</w:t>
      </w:r>
      <w:r>
        <w:rPr>
          <w:rtl/>
        </w:rPr>
        <w:t xml:space="preserve"> </w:t>
      </w:r>
      <w:r>
        <w:rPr>
          <w:rFonts w:hint="eastAsia"/>
          <w:rtl/>
        </w:rPr>
        <w:t>המוסדיים</w:t>
      </w:r>
      <w:r>
        <w:rPr>
          <w:rtl/>
        </w:rPr>
        <w:t xml:space="preserve"> </w:t>
      </w:r>
      <w:r>
        <w:rPr>
          <w:rFonts w:hint="eastAsia"/>
          <w:rtl/>
        </w:rPr>
        <w:t>שבהם</w:t>
      </w:r>
      <w:r>
        <w:rPr>
          <w:rtl/>
        </w:rPr>
        <w:t xml:space="preserve"> </w:t>
      </w:r>
      <w:r>
        <w:rPr>
          <w:rFonts w:hint="eastAsia"/>
          <w:rtl/>
        </w:rPr>
        <w:t>הכנסת</w:t>
      </w:r>
      <w:r>
        <w:rPr>
          <w:rtl/>
        </w:rPr>
        <w:t xml:space="preserve"> </w:t>
      </w:r>
      <w:r>
        <w:rPr>
          <w:rFonts w:hint="eastAsia"/>
          <w:rtl/>
        </w:rPr>
        <w:t>פועלת</w:t>
      </w:r>
      <w:r>
        <w:rPr>
          <w:rtl/>
        </w:rPr>
        <w:t xml:space="preserve">. </w:t>
      </w:r>
      <w:r>
        <w:rPr>
          <w:rFonts w:hint="eastAsia"/>
          <w:rtl/>
        </w:rPr>
        <w:t>בכלל</w:t>
      </w:r>
      <w:r>
        <w:rPr>
          <w:rtl/>
        </w:rPr>
        <w:t xml:space="preserve"> </w:t>
      </w:r>
      <w:r>
        <w:rPr>
          <w:rFonts w:hint="eastAsia"/>
          <w:rtl/>
        </w:rPr>
        <w:t>זה</w:t>
      </w:r>
      <w:r>
        <w:rPr>
          <w:rtl/>
        </w:rPr>
        <w:t xml:space="preserve">, </w:t>
      </w:r>
      <w:r>
        <w:rPr>
          <w:rFonts w:hint="eastAsia"/>
          <w:rtl/>
        </w:rPr>
        <w:t>יש</w:t>
      </w:r>
      <w:r>
        <w:rPr>
          <w:rtl/>
        </w:rPr>
        <w:t xml:space="preserve"> </w:t>
      </w:r>
      <w:r>
        <w:rPr>
          <w:rFonts w:hint="eastAsia"/>
          <w:rtl/>
        </w:rPr>
        <w:t>למנות</w:t>
      </w:r>
      <w:r>
        <w:rPr>
          <w:rtl/>
        </w:rPr>
        <w:t xml:space="preserve"> </w:t>
      </w:r>
      <w:r>
        <w:rPr>
          <w:rFonts w:hint="eastAsia"/>
          <w:rtl/>
        </w:rPr>
        <w:t>את</w:t>
      </w:r>
      <w:r>
        <w:rPr>
          <w:rtl/>
        </w:rPr>
        <w:t xml:space="preserve"> </w:t>
      </w:r>
      <w:r>
        <w:rPr>
          <w:rFonts w:hint="eastAsia"/>
          <w:rtl/>
        </w:rPr>
        <w:t>תהליכי</w:t>
      </w:r>
      <w:r>
        <w:rPr>
          <w:rtl/>
        </w:rPr>
        <w:t xml:space="preserve"> </w:t>
      </w:r>
      <w:r>
        <w:rPr>
          <w:rFonts w:hint="eastAsia"/>
          <w:rtl/>
        </w:rPr>
        <w:t>החקיקה</w:t>
      </w:r>
      <w:r>
        <w:rPr>
          <w:rtl/>
        </w:rPr>
        <w:t xml:space="preserve"> </w:t>
      </w:r>
      <w:r>
        <w:rPr>
          <w:rFonts w:hint="eastAsia"/>
          <w:rtl/>
        </w:rPr>
        <w:t>המורכבים</w:t>
      </w:r>
      <w:r>
        <w:rPr>
          <w:rtl/>
        </w:rPr>
        <w:t xml:space="preserve"> </w:t>
      </w:r>
      <w:r>
        <w:rPr>
          <w:rFonts w:hint="eastAsia"/>
          <w:rtl/>
        </w:rPr>
        <w:t>הכוללים</w:t>
      </w:r>
      <w:r>
        <w:rPr>
          <w:rtl/>
        </w:rPr>
        <w:t xml:space="preserve"> </w:t>
      </w:r>
      <w:r>
        <w:rPr>
          <w:rFonts w:hint="eastAsia"/>
          <w:rtl/>
        </w:rPr>
        <w:t>שלוש</w:t>
      </w:r>
      <w:r>
        <w:rPr>
          <w:rtl/>
        </w:rPr>
        <w:t xml:space="preserve"> </w:t>
      </w:r>
      <w:r>
        <w:rPr>
          <w:rFonts w:hint="eastAsia"/>
          <w:rtl/>
        </w:rPr>
        <w:t>קריאות</w:t>
      </w:r>
      <w:r>
        <w:rPr>
          <w:rtl/>
        </w:rPr>
        <w:t xml:space="preserve"> </w:t>
      </w:r>
      <w:r>
        <w:rPr>
          <w:rFonts w:hint="eastAsia"/>
          <w:rtl/>
        </w:rPr>
        <w:t>במליאה</w:t>
      </w:r>
      <w:r>
        <w:rPr>
          <w:rtl/>
        </w:rPr>
        <w:t xml:space="preserve"> </w:t>
      </w:r>
      <w:r>
        <w:rPr>
          <w:rFonts w:hint="eastAsia"/>
          <w:rtl/>
        </w:rPr>
        <w:t>ודיון</w:t>
      </w:r>
      <w:r>
        <w:rPr>
          <w:rtl/>
        </w:rPr>
        <w:t xml:space="preserve"> </w:t>
      </w:r>
      <w:r>
        <w:rPr>
          <w:rFonts w:hint="eastAsia"/>
          <w:rtl/>
        </w:rPr>
        <w:t>בוועדה</w:t>
      </w:r>
      <w:r>
        <w:rPr>
          <w:rtl/>
        </w:rPr>
        <w:t xml:space="preserve"> </w:t>
      </w:r>
      <w:r>
        <w:rPr>
          <w:rFonts w:hint="eastAsia"/>
          <w:rtl/>
        </w:rPr>
        <w:t>מוועדת</w:t>
      </w:r>
      <w:r>
        <w:rPr>
          <w:rtl/>
        </w:rPr>
        <w:t xml:space="preserve"> </w:t>
      </w:r>
      <w:r>
        <w:rPr>
          <w:rFonts w:hint="eastAsia"/>
          <w:rtl/>
        </w:rPr>
        <w:t>הכנסת</w:t>
      </w:r>
      <w:r>
        <w:rPr>
          <w:rtl/>
        </w:rPr>
        <w:t xml:space="preserve"> </w:t>
      </w:r>
      <w:r>
        <w:rPr>
          <w:rFonts w:hint="eastAsia"/>
          <w:rtl/>
        </w:rPr>
        <w:t>המקשה</w:t>
      </w:r>
      <w:r>
        <w:rPr>
          <w:rtl/>
        </w:rPr>
        <w:t xml:space="preserve"> </w:t>
      </w:r>
      <w:r>
        <w:rPr>
          <w:rFonts w:hint="eastAsia"/>
          <w:rtl/>
        </w:rPr>
        <w:t>על</w:t>
      </w:r>
      <w:r>
        <w:rPr>
          <w:rtl/>
        </w:rPr>
        <w:t xml:space="preserve"> </w:t>
      </w:r>
      <w:r>
        <w:rPr>
          <w:rFonts w:hint="eastAsia"/>
          <w:rtl/>
        </w:rPr>
        <w:t>יכולתו</w:t>
      </w:r>
      <w:r>
        <w:rPr>
          <w:rtl/>
        </w:rPr>
        <w:t xml:space="preserve"> </w:t>
      </w:r>
      <w:r>
        <w:rPr>
          <w:rFonts w:hint="eastAsia"/>
          <w:rtl/>
        </w:rPr>
        <w:t>של</w:t>
      </w:r>
      <w:r>
        <w:rPr>
          <w:rtl/>
        </w:rPr>
        <w:t xml:space="preserve"> </w:t>
      </w:r>
      <w:r>
        <w:rPr>
          <w:rFonts w:hint="eastAsia"/>
          <w:rtl/>
        </w:rPr>
        <w:t>רוב</w:t>
      </w:r>
      <w:r>
        <w:rPr>
          <w:rtl/>
        </w:rPr>
        <w:t xml:space="preserve"> </w:t>
      </w:r>
      <w:r>
        <w:rPr>
          <w:rFonts w:hint="eastAsia"/>
          <w:rtl/>
        </w:rPr>
        <w:t>מִקרִי</w:t>
      </w:r>
      <w:r>
        <w:rPr>
          <w:rtl/>
        </w:rPr>
        <w:t xml:space="preserve"> </w:t>
      </w:r>
      <w:r>
        <w:rPr>
          <w:rFonts w:hint="eastAsia"/>
          <w:rtl/>
        </w:rPr>
        <w:t>להעביר</w:t>
      </w:r>
      <w:r>
        <w:rPr>
          <w:rtl/>
        </w:rPr>
        <w:t xml:space="preserve"> </w:t>
      </w:r>
      <w:r>
        <w:rPr>
          <w:rFonts w:hint="eastAsia"/>
          <w:rtl/>
        </w:rPr>
        <w:t>חקיקה</w:t>
      </w:r>
      <w:r>
        <w:rPr>
          <w:rtl/>
        </w:rPr>
        <w:t xml:space="preserve"> </w:t>
      </w:r>
      <w:r>
        <w:rPr>
          <w:rFonts w:hint="eastAsia"/>
          <w:rtl/>
        </w:rPr>
        <w:t>בחטף</w:t>
      </w:r>
      <w:r>
        <w:rPr>
          <w:rtl/>
        </w:rPr>
        <w:t xml:space="preserve">; </w:t>
      </w:r>
      <w:r>
        <w:rPr>
          <w:rFonts w:hint="eastAsia"/>
          <w:rtl/>
        </w:rPr>
        <w:t>העובדה</w:t>
      </w:r>
      <w:r>
        <w:rPr>
          <w:rtl/>
        </w:rPr>
        <w:t xml:space="preserve"> </w:t>
      </w:r>
      <w:r>
        <w:rPr>
          <w:rFonts w:hint="eastAsia"/>
          <w:rtl/>
        </w:rPr>
        <w:t>שהכנסת</w:t>
      </w:r>
      <w:r>
        <w:rPr>
          <w:rtl/>
        </w:rPr>
        <w:t xml:space="preserve"> </w:t>
      </w:r>
      <w:r>
        <w:rPr>
          <w:rFonts w:hint="eastAsia"/>
          <w:rtl/>
        </w:rPr>
        <w:t>היא</w:t>
      </w:r>
      <w:r>
        <w:rPr>
          <w:rtl/>
        </w:rPr>
        <w:t xml:space="preserve"> </w:t>
      </w:r>
      <w:r>
        <w:rPr>
          <w:rFonts w:hint="eastAsia"/>
          <w:rtl/>
        </w:rPr>
        <w:t>גוף</w:t>
      </w:r>
      <w:r>
        <w:rPr>
          <w:rtl/>
        </w:rPr>
        <w:t xml:space="preserve"> </w:t>
      </w:r>
      <w:r>
        <w:rPr>
          <w:rFonts w:hint="eastAsia"/>
          <w:rtl/>
        </w:rPr>
        <w:t>הטרוגני</w:t>
      </w:r>
      <w:r>
        <w:rPr>
          <w:rtl/>
        </w:rPr>
        <w:t xml:space="preserve"> </w:t>
      </w:r>
      <w:r>
        <w:rPr>
          <w:rFonts w:hint="eastAsia"/>
          <w:rtl/>
        </w:rPr>
        <w:t>ובלתי</w:t>
      </w:r>
      <w:r>
        <w:rPr>
          <w:rtl/>
        </w:rPr>
        <w:t xml:space="preserve"> </w:t>
      </w:r>
      <w:r>
        <w:rPr>
          <w:rFonts w:hint="eastAsia"/>
          <w:rtl/>
        </w:rPr>
        <w:t>מתואם</w:t>
      </w:r>
      <w:r>
        <w:rPr>
          <w:rtl/>
        </w:rPr>
        <w:t xml:space="preserve"> </w:t>
      </w:r>
      <w:r>
        <w:rPr>
          <w:rFonts w:hint="eastAsia"/>
          <w:rtl/>
        </w:rPr>
        <w:t>אשר</w:t>
      </w:r>
      <w:r>
        <w:rPr>
          <w:rtl/>
        </w:rPr>
        <w:t xml:space="preserve"> </w:t>
      </w:r>
      <w:r>
        <w:rPr>
          <w:rFonts w:hint="eastAsia"/>
          <w:rtl/>
        </w:rPr>
        <w:t>מרכיב</w:t>
      </w:r>
      <w:r>
        <w:rPr>
          <w:rtl/>
        </w:rPr>
        <w:t xml:space="preserve"> </w:t>
      </w:r>
      <w:r>
        <w:rPr>
          <w:rFonts w:hint="eastAsia"/>
          <w:rtl/>
        </w:rPr>
        <w:t>משמעותי</w:t>
      </w:r>
      <w:r>
        <w:rPr>
          <w:rtl/>
        </w:rPr>
        <w:t xml:space="preserve"> </w:t>
      </w:r>
      <w:r>
        <w:rPr>
          <w:rFonts w:hint="eastAsia"/>
          <w:rtl/>
        </w:rPr>
        <w:t>בעיצוב</w:t>
      </w:r>
      <w:r>
        <w:rPr>
          <w:rtl/>
        </w:rPr>
        <w:t xml:space="preserve"> </w:t>
      </w:r>
      <w:r>
        <w:rPr>
          <w:rFonts w:hint="eastAsia"/>
          <w:rtl/>
        </w:rPr>
        <w:t>הישגיו</w:t>
      </w:r>
      <w:r>
        <w:rPr>
          <w:rtl/>
        </w:rPr>
        <w:t xml:space="preserve"> </w:t>
      </w:r>
      <w:r>
        <w:rPr>
          <w:rFonts w:hint="eastAsia"/>
          <w:rtl/>
        </w:rPr>
        <w:t>כולל</w:t>
      </w:r>
      <w:r>
        <w:rPr>
          <w:rtl/>
        </w:rPr>
        <w:t xml:space="preserve"> </w:t>
      </w:r>
      <w:r>
        <w:rPr>
          <w:rFonts w:hint="eastAsia"/>
          <w:rtl/>
        </w:rPr>
        <w:t>משא</w:t>
      </w:r>
      <w:r>
        <w:rPr>
          <w:rtl/>
        </w:rPr>
        <w:t xml:space="preserve"> </w:t>
      </w:r>
      <w:r>
        <w:rPr>
          <w:rFonts w:hint="eastAsia"/>
          <w:rtl/>
        </w:rPr>
        <w:t>ומתן</w:t>
      </w:r>
      <w:r>
        <w:rPr>
          <w:rtl/>
        </w:rPr>
        <w:t xml:space="preserve"> </w:t>
      </w:r>
      <w:r>
        <w:rPr>
          <w:rFonts w:hint="eastAsia"/>
          <w:rtl/>
        </w:rPr>
        <w:t>להשגת</w:t>
      </w:r>
      <w:r>
        <w:rPr>
          <w:rtl/>
        </w:rPr>
        <w:t xml:space="preserve"> </w:t>
      </w:r>
      <w:r>
        <w:rPr>
          <w:rFonts w:hint="eastAsia"/>
          <w:rtl/>
        </w:rPr>
        <w:t>פשרות</w:t>
      </w:r>
      <w:r>
        <w:rPr>
          <w:rtl/>
        </w:rPr>
        <w:t xml:space="preserve"> </w:t>
      </w:r>
      <w:r>
        <w:rPr>
          <w:rFonts w:hint="eastAsia"/>
          <w:rtl/>
        </w:rPr>
        <w:t>שמונעות</w:t>
      </w:r>
      <w:r>
        <w:rPr>
          <w:rtl/>
        </w:rPr>
        <w:t xml:space="preserve"> </w:t>
      </w:r>
      <w:r>
        <w:rPr>
          <w:rFonts w:hint="eastAsia"/>
          <w:rtl/>
        </w:rPr>
        <w:t>מימוש</w:t>
      </w:r>
      <w:r>
        <w:rPr>
          <w:rtl/>
        </w:rPr>
        <w:t xml:space="preserve"> </w:t>
      </w:r>
      <w:r>
        <w:rPr>
          <w:rFonts w:hint="eastAsia"/>
          <w:rtl/>
        </w:rPr>
        <w:t>מלא</w:t>
      </w:r>
      <w:r>
        <w:rPr>
          <w:rtl/>
        </w:rPr>
        <w:t xml:space="preserve"> </w:t>
      </w:r>
      <w:r>
        <w:rPr>
          <w:rFonts w:hint="eastAsia"/>
          <w:rtl/>
        </w:rPr>
        <w:t>של</w:t>
      </w:r>
      <w:r>
        <w:rPr>
          <w:rtl/>
        </w:rPr>
        <w:t xml:space="preserve"> </w:t>
      </w:r>
      <w:r>
        <w:rPr>
          <w:rFonts w:hint="eastAsia"/>
          <w:rtl/>
        </w:rPr>
        <w:t>אידיאולוגיה</w:t>
      </w:r>
      <w:r>
        <w:rPr>
          <w:rtl/>
        </w:rPr>
        <w:t xml:space="preserve"> </w:t>
      </w:r>
      <w:r>
        <w:rPr>
          <w:rFonts w:hint="eastAsia"/>
          <w:rtl/>
        </w:rPr>
        <w:t>מסוימת</w:t>
      </w:r>
      <w:r>
        <w:rPr>
          <w:rtl/>
        </w:rPr>
        <w:t xml:space="preserve">, </w:t>
      </w:r>
      <w:r>
        <w:rPr>
          <w:rFonts w:hint="eastAsia"/>
          <w:rtl/>
        </w:rPr>
        <w:t>בוודאי</w:t>
      </w:r>
      <w:r>
        <w:rPr>
          <w:rtl/>
        </w:rPr>
        <w:t xml:space="preserve"> </w:t>
      </w:r>
      <w:r>
        <w:rPr>
          <w:rFonts w:hint="eastAsia"/>
          <w:rtl/>
        </w:rPr>
        <w:t>אידיאולוגיה</w:t>
      </w:r>
      <w:r>
        <w:rPr>
          <w:rtl/>
        </w:rPr>
        <w:t xml:space="preserve"> </w:t>
      </w:r>
      <w:r>
        <w:rPr>
          <w:rFonts w:hint="eastAsia"/>
          <w:rtl/>
        </w:rPr>
        <w:t>קיצונית</w:t>
      </w:r>
      <w:r>
        <w:rPr>
          <w:rtl/>
        </w:rPr>
        <w:t xml:space="preserve">; </w:t>
      </w:r>
      <w:r>
        <w:rPr>
          <w:rFonts w:hint="eastAsia"/>
          <w:rtl/>
        </w:rPr>
        <w:t>רשת</w:t>
      </w:r>
      <w:r>
        <w:rPr>
          <w:rtl/>
        </w:rPr>
        <w:t xml:space="preserve"> </w:t>
      </w:r>
      <w:r>
        <w:rPr>
          <w:rFonts w:hint="eastAsia"/>
          <w:rtl/>
        </w:rPr>
        <w:t>עניפה</w:t>
      </w:r>
      <w:r>
        <w:rPr>
          <w:rtl/>
        </w:rPr>
        <w:t xml:space="preserve"> </w:t>
      </w:r>
      <w:r>
        <w:rPr>
          <w:rFonts w:hint="eastAsia"/>
          <w:rtl/>
        </w:rPr>
        <w:t>של</w:t>
      </w:r>
      <w:r>
        <w:rPr>
          <w:rtl/>
        </w:rPr>
        <w:t xml:space="preserve"> </w:t>
      </w:r>
      <w:r>
        <w:rPr>
          <w:rFonts w:hint="eastAsia"/>
          <w:rtl/>
        </w:rPr>
        <w:t>ייעוץ</w:t>
      </w:r>
      <w:r>
        <w:rPr>
          <w:rtl/>
        </w:rPr>
        <w:t xml:space="preserve"> </w:t>
      </w:r>
      <w:r>
        <w:rPr>
          <w:rFonts w:hint="eastAsia"/>
          <w:rtl/>
        </w:rPr>
        <w:t>משפטי</w:t>
      </w:r>
      <w:r>
        <w:rPr>
          <w:rtl/>
        </w:rPr>
        <w:t xml:space="preserve"> </w:t>
      </w:r>
      <w:r>
        <w:rPr>
          <w:rFonts w:hint="eastAsia"/>
          <w:rtl/>
        </w:rPr>
        <w:t>המלווה</w:t>
      </w:r>
      <w:r>
        <w:rPr>
          <w:rtl/>
        </w:rPr>
        <w:t xml:space="preserve"> </w:t>
      </w:r>
      <w:r>
        <w:rPr>
          <w:rFonts w:hint="eastAsia"/>
          <w:rtl/>
        </w:rPr>
        <w:t>את</w:t>
      </w:r>
      <w:r>
        <w:rPr>
          <w:rtl/>
        </w:rPr>
        <w:t xml:space="preserve"> </w:t>
      </w:r>
      <w:r>
        <w:rPr>
          <w:rFonts w:hint="eastAsia"/>
          <w:rtl/>
        </w:rPr>
        <w:t>הליך</w:t>
      </w:r>
      <w:r>
        <w:rPr>
          <w:rtl/>
        </w:rPr>
        <w:t xml:space="preserve"> </w:t>
      </w:r>
      <w:r>
        <w:rPr>
          <w:rFonts w:hint="eastAsia"/>
          <w:rtl/>
        </w:rPr>
        <w:t>החקיקה</w:t>
      </w:r>
      <w:r>
        <w:rPr>
          <w:rtl/>
        </w:rPr>
        <w:t xml:space="preserve"> </w:t>
      </w:r>
      <w:r>
        <w:rPr>
          <w:rFonts w:hint="eastAsia"/>
          <w:rtl/>
        </w:rPr>
        <w:t>ועוד</w:t>
      </w:r>
      <w:r>
        <w:rPr>
          <w:rtl/>
        </w:rPr>
        <w:t xml:space="preserve"> </w:t>
      </w:r>
      <w:r>
        <w:rPr>
          <w:rFonts w:hint="cs"/>
          <w:rtl/>
        </w:rPr>
        <w:t>[...]" (שם, פסקאות 13-12 לחוות דעתי).</w:t>
      </w:r>
    </w:p>
    <w:p w:rsidR="00737972" w:rsidRPr="008F3792" w:rsidRDefault="00737972" w:rsidP="00737972">
      <w:pPr>
        <w:pStyle w:val="Ruller4"/>
        <w:numPr>
          <w:ilvl w:val="0"/>
          <w:numId w:val="0"/>
        </w:numPr>
      </w:pPr>
    </w:p>
    <w:p w:rsidR="00737972" w:rsidRPr="00BE6FC7" w:rsidRDefault="00737972" w:rsidP="00737972">
      <w:pPr>
        <w:pStyle w:val="Ruller4"/>
        <w:rPr>
          <w:rtl/>
        </w:rPr>
      </w:pPr>
      <w:r>
        <w:rPr>
          <w:rFonts w:hint="cs"/>
          <w:rtl/>
        </w:rPr>
        <w:t xml:space="preserve">לטעמים שמניתי בעבר מצטרף המקרה דנן, המביא לידי ביטוי באופן המוחשי והממשי ביותר את הסכנות הכרוכות בפיתוח דוקטרינות כאלו, הנעדרות מקור סמכות ברור וגדריהן פורחים באוויר. שכן במקרה זה, </w:t>
      </w:r>
      <w:r w:rsidRPr="00AE7C36">
        <w:rPr>
          <w:rFonts w:hint="cs"/>
          <w:rtl/>
        </w:rPr>
        <w:t xml:space="preserve">כפי שיפורט </w:t>
      </w:r>
      <w:r>
        <w:rPr>
          <w:rFonts w:hint="cs"/>
          <w:rtl/>
        </w:rPr>
        <w:t xml:space="preserve">בהמשך, התרחקנו שנות אור מתיאור המצבים הקיצוניים, החריפים וה"בלתי נסבלים" בגינם ניתן בכלל להעלות על הדעת, גם לשיטה הסוברת כי הדבר בגדר סמכותו של בית משפט זה, דיון על התערבות בחוקי היסוד. ובכל זאת, חרף נקודת מוצא על פיה אין לאפשר לבית המשפט דריסת רגל בהיכל הקודש של "החוקה", אלא אם מדובר במקרה קיצוני, בוטה וחריג ביותר המבטא "הרס מוחלט" של עקרונות הדמוקרטיה, הגענו היום למצב שבו </w:t>
      </w:r>
      <w:r w:rsidRPr="00BE6FC7">
        <w:rPr>
          <w:rFonts w:hint="eastAsia"/>
          <w:rtl/>
        </w:rPr>
        <w:t>עומדת</w:t>
      </w:r>
      <w:r w:rsidRPr="00BE6FC7">
        <w:rPr>
          <w:rtl/>
        </w:rPr>
        <w:t xml:space="preserve"> </w:t>
      </w:r>
      <w:r w:rsidRPr="00BE6FC7">
        <w:rPr>
          <w:rFonts w:hint="eastAsia"/>
          <w:rtl/>
        </w:rPr>
        <w:t>על</w:t>
      </w:r>
      <w:r w:rsidRPr="00BE6FC7">
        <w:rPr>
          <w:rtl/>
        </w:rPr>
        <w:t xml:space="preserve"> </w:t>
      </w:r>
      <w:r w:rsidRPr="00BE6FC7">
        <w:rPr>
          <w:rFonts w:hint="eastAsia"/>
          <w:rtl/>
        </w:rPr>
        <w:t>הפרק</w:t>
      </w:r>
      <w:r>
        <w:rPr>
          <w:rFonts w:hint="cs"/>
          <w:rtl/>
        </w:rPr>
        <w:t xml:space="preserve"> פסילת חוק יסוד שיש בו משום התערבות בעילה מסוימת בהיבט מסו</w:t>
      </w:r>
      <w:r w:rsidRPr="00BE6FC7">
        <w:rPr>
          <w:rFonts w:hint="cs"/>
          <w:rtl/>
        </w:rPr>
        <w:t xml:space="preserve">ים של הביקורת השיפוטית על ידי בית </w:t>
      </w:r>
      <w:r>
        <w:rPr>
          <w:rFonts w:hint="cs"/>
          <w:rtl/>
        </w:rPr>
        <w:t>ה</w:t>
      </w:r>
      <w:r w:rsidRPr="00BE6FC7">
        <w:rPr>
          <w:rFonts w:hint="cs"/>
          <w:rtl/>
        </w:rPr>
        <w:t xml:space="preserve">משפט. </w:t>
      </w:r>
    </w:p>
    <w:p w:rsidR="00737972" w:rsidRPr="00BE6FC7" w:rsidRDefault="00737972" w:rsidP="00737972">
      <w:pPr>
        <w:pStyle w:val="Ruller41"/>
        <w:rPr>
          <w:rtl/>
        </w:rPr>
      </w:pPr>
    </w:p>
    <w:p w:rsidR="00737972" w:rsidRPr="00BE6FC7" w:rsidRDefault="00737972" w:rsidP="00737972">
      <w:pPr>
        <w:pStyle w:val="Ruller4"/>
      </w:pPr>
      <w:r>
        <w:rPr>
          <w:rFonts w:hint="cs"/>
          <w:rtl/>
        </w:rPr>
        <w:t xml:space="preserve">הנה כי כן, </w:t>
      </w:r>
      <w:r w:rsidRPr="00BE6FC7">
        <w:rPr>
          <w:rFonts w:hint="eastAsia"/>
          <w:rtl/>
        </w:rPr>
        <w:t>פתיחת</w:t>
      </w:r>
      <w:r w:rsidRPr="00BE6FC7">
        <w:rPr>
          <w:rtl/>
        </w:rPr>
        <w:t xml:space="preserve"> </w:t>
      </w:r>
      <w:r w:rsidRPr="00BE6FC7">
        <w:rPr>
          <w:rFonts w:hint="eastAsia"/>
          <w:rtl/>
        </w:rPr>
        <w:t>האפשרות</w:t>
      </w:r>
      <w:r w:rsidRPr="00BE6FC7">
        <w:rPr>
          <w:rtl/>
        </w:rPr>
        <w:t xml:space="preserve"> </w:t>
      </w:r>
      <w:r w:rsidRPr="00BE6FC7">
        <w:rPr>
          <w:rFonts w:hint="eastAsia"/>
          <w:rtl/>
        </w:rPr>
        <w:t>להתערב</w:t>
      </w:r>
      <w:r w:rsidRPr="00BE6FC7">
        <w:rPr>
          <w:rtl/>
        </w:rPr>
        <w:t xml:space="preserve"> </w:t>
      </w:r>
      <w:r w:rsidRPr="00BE6FC7">
        <w:rPr>
          <w:rFonts w:hint="eastAsia"/>
          <w:rtl/>
        </w:rPr>
        <w:t>בחוקי</w:t>
      </w:r>
      <w:r w:rsidRPr="00BE6FC7">
        <w:rPr>
          <w:rtl/>
        </w:rPr>
        <w:t xml:space="preserve"> </w:t>
      </w:r>
      <w:r w:rsidRPr="00BE6FC7">
        <w:rPr>
          <w:rFonts w:hint="eastAsia"/>
          <w:rtl/>
        </w:rPr>
        <w:t>יסוד</w:t>
      </w:r>
      <w:r w:rsidRPr="00BE6FC7">
        <w:rPr>
          <w:rtl/>
        </w:rPr>
        <w:t xml:space="preserve">, </w:t>
      </w:r>
      <w:r w:rsidRPr="00BE6FC7">
        <w:rPr>
          <w:rFonts w:hint="eastAsia"/>
          <w:rtl/>
        </w:rPr>
        <w:t>ללא</w:t>
      </w:r>
      <w:r w:rsidRPr="00BE6FC7">
        <w:rPr>
          <w:rtl/>
        </w:rPr>
        <w:t xml:space="preserve"> </w:t>
      </w:r>
      <w:r w:rsidRPr="00BE6FC7">
        <w:rPr>
          <w:rFonts w:hint="eastAsia"/>
          <w:rtl/>
        </w:rPr>
        <w:t>מקור</w:t>
      </w:r>
      <w:r w:rsidRPr="00BE6FC7">
        <w:rPr>
          <w:rtl/>
        </w:rPr>
        <w:t xml:space="preserve"> </w:t>
      </w:r>
      <w:r w:rsidRPr="00BE6FC7">
        <w:rPr>
          <w:rFonts w:hint="eastAsia"/>
          <w:rtl/>
        </w:rPr>
        <w:t>סמכות</w:t>
      </w:r>
      <w:r w:rsidRPr="00BE6FC7">
        <w:rPr>
          <w:rtl/>
        </w:rPr>
        <w:t xml:space="preserve"> </w:t>
      </w:r>
      <w:r w:rsidRPr="00BE6FC7">
        <w:rPr>
          <w:rFonts w:hint="eastAsia"/>
          <w:rtl/>
        </w:rPr>
        <w:t>מפורש</w:t>
      </w:r>
      <w:r w:rsidRPr="00BE6FC7">
        <w:rPr>
          <w:rtl/>
        </w:rPr>
        <w:t xml:space="preserve">, </w:t>
      </w:r>
      <w:r w:rsidRPr="00BE6FC7">
        <w:rPr>
          <w:rFonts w:hint="eastAsia"/>
          <w:rtl/>
        </w:rPr>
        <w:t>ובהסתמך</w:t>
      </w:r>
      <w:r w:rsidRPr="00BE6FC7">
        <w:rPr>
          <w:rtl/>
        </w:rPr>
        <w:t xml:space="preserve"> </w:t>
      </w:r>
      <w:r w:rsidRPr="00BE6FC7">
        <w:rPr>
          <w:rFonts w:hint="eastAsia"/>
          <w:rtl/>
        </w:rPr>
        <w:t>על</w:t>
      </w:r>
      <w:r w:rsidRPr="00BE6FC7">
        <w:rPr>
          <w:rtl/>
        </w:rPr>
        <w:t xml:space="preserve"> </w:t>
      </w:r>
      <w:r w:rsidRPr="00BE6FC7">
        <w:rPr>
          <w:rFonts w:hint="eastAsia"/>
          <w:rtl/>
        </w:rPr>
        <w:t>נוסחה</w:t>
      </w:r>
      <w:r w:rsidRPr="00BE6FC7">
        <w:rPr>
          <w:rtl/>
        </w:rPr>
        <w:t xml:space="preserve"> </w:t>
      </w:r>
      <w:r w:rsidRPr="00BE6FC7">
        <w:rPr>
          <w:rFonts w:hint="eastAsia"/>
          <w:rtl/>
        </w:rPr>
        <w:t>פתוחה</w:t>
      </w:r>
      <w:r w:rsidRPr="00BE6FC7">
        <w:rPr>
          <w:rtl/>
        </w:rPr>
        <w:t xml:space="preserve"> </w:t>
      </w:r>
      <w:r w:rsidRPr="00BE6FC7">
        <w:rPr>
          <w:rFonts w:hint="eastAsia"/>
          <w:rtl/>
        </w:rPr>
        <w:t>ובלתי</w:t>
      </w:r>
      <w:r w:rsidRPr="00BE6FC7">
        <w:rPr>
          <w:rtl/>
        </w:rPr>
        <w:t xml:space="preserve"> </w:t>
      </w:r>
      <w:r w:rsidRPr="00BE6FC7">
        <w:rPr>
          <w:rFonts w:hint="eastAsia"/>
          <w:rtl/>
        </w:rPr>
        <w:t>מוגדרת</w:t>
      </w:r>
      <w:r w:rsidRPr="00BE6FC7">
        <w:rPr>
          <w:rtl/>
        </w:rPr>
        <w:t xml:space="preserve"> </w:t>
      </w:r>
      <w:r w:rsidRPr="00BE6FC7">
        <w:rPr>
          <w:rFonts w:hint="eastAsia"/>
          <w:rtl/>
        </w:rPr>
        <w:t>דיה</w:t>
      </w:r>
      <w:r>
        <w:rPr>
          <w:rFonts w:hint="cs"/>
          <w:rtl/>
        </w:rPr>
        <w:t xml:space="preserve"> </w:t>
      </w:r>
      <w:r w:rsidRPr="00BE6FC7">
        <w:rPr>
          <w:rFonts w:hint="eastAsia"/>
          <w:rtl/>
        </w:rPr>
        <w:t>מותירה</w:t>
      </w:r>
      <w:r w:rsidRPr="00BE6FC7">
        <w:rPr>
          <w:rtl/>
        </w:rPr>
        <w:t xml:space="preserve"> </w:t>
      </w:r>
      <w:r w:rsidRPr="00BE6FC7">
        <w:rPr>
          <w:rFonts w:hint="eastAsia"/>
          <w:rtl/>
        </w:rPr>
        <w:t>פתח</w:t>
      </w:r>
      <w:r w:rsidRPr="00BE6FC7">
        <w:rPr>
          <w:rtl/>
        </w:rPr>
        <w:t xml:space="preserve"> </w:t>
      </w:r>
      <w:r w:rsidRPr="00BE6FC7">
        <w:rPr>
          <w:rFonts w:hint="eastAsia"/>
          <w:rtl/>
        </w:rPr>
        <w:t>רחב</w:t>
      </w:r>
      <w:r w:rsidRPr="00BE6FC7">
        <w:rPr>
          <w:rtl/>
        </w:rPr>
        <w:t xml:space="preserve"> </w:t>
      </w:r>
      <w:r w:rsidRPr="00BE6FC7">
        <w:rPr>
          <w:rFonts w:hint="eastAsia"/>
          <w:rtl/>
        </w:rPr>
        <w:t>הנתון</w:t>
      </w:r>
      <w:r w:rsidRPr="00BE6FC7">
        <w:rPr>
          <w:rtl/>
        </w:rPr>
        <w:t xml:space="preserve"> </w:t>
      </w:r>
      <w:r w:rsidRPr="00BE6FC7">
        <w:rPr>
          <w:rFonts w:hint="eastAsia"/>
          <w:rtl/>
        </w:rPr>
        <w:t>לפרשנות</w:t>
      </w:r>
      <w:r w:rsidRPr="00BE6FC7">
        <w:rPr>
          <w:rtl/>
        </w:rPr>
        <w:t xml:space="preserve"> </w:t>
      </w:r>
      <w:r w:rsidRPr="00BE6FC7">
        <w:rPr>
          <w:rFonts w:hint="eastAsia"/>
          <w:rtl/>
        </w:rPr>
        <w:t>משתנה</w:t>
      </w:r>
      <w:r w:rsidRPr="00BE6FC7">
        <w:rPr>
          <w:rtl/>
        </w:rPr>
        <w:t xml:space="preserve"> </w:t>
      </w:r>
      <w:r w:rsidRPr="00BE6FC7">
        <w:rPr>
          <w:rFonts w:hint="eastAsia"/>
          <w:rtl/>
        </w:rPr>
        <w:t>ובלתי</w:t>
      </w:r>
      <w:r w:rsidRPr="00BE6FC7">
        <w:rPr>
          <w:rtl/>
        </w:rPr>
        <w:t xml:space="preserve"> </w:t>
      </w:r>
      <w:r w:rsidRPr="00BE6FC7">
        <w:rPr>
          <w:rFonts w:hint="eastAsia"/>
          <w:rtl/>
        </w:rPr>
        <w:t>ברורה</w:t>
      </w:r>
      <w:r w:rsidRPr="00BE6FC7">
        <w:rPr>
          <w:rtl/>
        </w:rPr>
        <w:t xml:space="preserve"> </w:t>
      </w:r>
      <w:r w:rsidRPr="00BE6FC7">
        <w:rPr>
          <w:rFonts w:hint="eastAsia"/>
          <w:rtl/>
        </w:rPr>
        <w:t>לגבי</w:t>
      </w:r>
      <w:r w:rsidRPr="00BE6FC7">
        <w:rPr>
          <w:rtl/>
        </w:rPr>
        <w:t xml:space="preserve"> </w:t>
      </w:r>
      <w:r w:rsidRPr="00BE6FC7">
        <w:rPr>
          <w:rFonts w:hint="eastAsia"/>
          <w:rtl/>
        </w:rPr>
        <w:t>טווח</w:t>
      </w:r>
      <w:r w:rsidRPr="00BE6FC7">
        <w:rPr>
          <w:rtl/>
        </w:rPr>
        <w:t xml:space="preserve"> </w:t>
      </w:r>
      <w:r w:rsidRPr="00BE6FC7">
        <w:rPr>
          <w:rFonts w:hint="eastAsia"/>
          <w:rtl/>
        </w:rPr>
        <w:t>היקף</w:t>
      </w:r>
      <w:r w:rsidRPr="00BE6FC7">
        <w:rPr>
          <w:rtl/>
        </w:rPr>
        <w:t xml:space="preserve"> </w:t>
      </w:r>
      <w:r w:rsidRPr="00BE6FC7">
        <w:rPr>
          <w:rFonts w:hint="eastAsia"/>
          <w:rtl/>
        </w:rPr>
        <w:t>הביקורת</w:t>
      </w:r>
      <w:r w:rsidRPr="00BE6FC7">
        <w:rPr>
          <w:rtl/>
        </w:rPr>
        <w:t xml:space="preserve"> </w:t>
      </w:r>
      <w:r w:rsidRPr="00BE6FC7">
        <w:rPr>
          <w:rFonts w:hint="eastAsia"/>
          <w:rtl/>
        </w:rPr>
        <w:t>השיפוטית</w:t>
      </w:r>
      <w:r w:rsidRPr="00BE6FC7">
        <w:rPr>
          <w:rtl/>
        </w:rPr>
        <w:t xml:space="preserve"> </w:t>
      </w:r>
      <w:r w:rsidRPr="00BE6FC7">
        <w:rPr>
          <w:rFonts w:hint="eastAsia"/>
          <w:rtl/>
        </w:rPr>
        <w:t>על</w:t>
      </w:r>
      <w:r w:rsidRPr="00BE6FC7">
        <w:rPr>
          <w:rtl/>
        </w:rPr>
        <w:t xml:space="preserve"> </w:t>
      </w:r>
      <w:r w:rsidRPr="00BE6FC7">
        <w:rPr>
          <w:rFonts w:hint="eastAsia"/>
          <w:rtl/>
        </w:rPr>
        <w:t>חוקי</w:t>
      </w:r>
      <w:r w:rsidRPr="00BE6FC7">
        <w:rPr>
          <w:rtl/>
        </w:rPr>
        <w:t xml:space="preserve"> </w:t>
      </w:r>
      <w:r w:rsidRPr="00BE6FC7">
        <w:rPr>
          <w:rFonts w:hint="eastAsia"/>
          <w:rtl/>
        </w:rPr>
        <w:t>יסוד</w:t>
      </w:r>
      <w:r w:rsidRPr="00BE6FC7">
        <w:rPr>
          <w:rtl/>
        </w:rPr>
        <w:t xml:space="preserve">. </w:t>
      </w:r>
      <w:r>
        <w:rPr>
          <w:rFonts w:hint="cs"/>
          <w:rtl/>
        </w:rPr>
        <w:t xml:space="preserve">זאת </w:t>
      </w:r>
      <w:r w:rsidRPr="00BE6FC7">
        <w:rPr>
          <w:rFonts w:hint="eastAsia"/>
          <w:rtl/>
        </w:rPr>
        <w:t>בין</w:t>
      </w:r>
      <w:r w:rsidRPr="00BE6FC7">
        <w:rPr>
          <w:rtl/>
        </w:rPr>
        <w:t xml:space="preserve"> </w:t>
      </w:r>
      <w:r w:rsidRPr="00BE6FC7">
        <w:rPr>
          <w:rFonts w:hint="eastAsia"/>
          <w:rtl/>
        </w:rPr>
        <w:t>אם</w:t>
      </w:r>
      <w:r w:rsidRPr="00BE6FC7">
        <w:rPr>
          <w:rtl/>
        </w:rPr>
        <w:t xml:space="preserve"> </w:t>
      </w:r>
      <w:r w:rsidRPr="00BE6FC7">
        <w:rPr>
          <w:rFonts w:hint="eastAsia"/>
          <w:rtl/>
        </w:rPr>
        <w:t>מדובר</w:t>
      </w:r>
      <w:r w:rsidRPr="00BE6FC7">
        <w:rPr>
          <w:rtl/>
        </w:rPr>
        <w:t xml:space="preserve"> </w:t>
      </w:r>
      <w:r w:rsidRPr="00BE6FC7">
        <w:rPr>
          <w:rFonts w:hint="eastAsia"/>
          <w:rtl/>
        </w:rPr>
        <w:t>ב</w:t>
      </w:r>
      <w:r w:rsidRPr="00BE6FC7">
        <w:rPr>
          <w:rtl/>
        </w:rPr>
        <w:t>"</w:t>
      </w:r>
      <w:r w:rsidRPr="00BE6FC7">
        <w:rPr>
          <w:rFonts w:hint="eastAsia"/>
          <w:rtl/>
        </w:rPr>
        <w:t>שלילת</w:t>
      </w:r>
      <w:r w:rsidRPr="00BE6FC7">
        <w:rPr>
          <w:rtl/>
        </w:rPr>
        <w:t xml:space="preserve"> </w:t>
      </w:r>
      <w:r w:rsidRPr="00BE6FC7">
        <w:rPr>
          <w:rFonts w:hint="eastAsia"/>
          <w:rtl/>
        </w:rPr>
        <w:t>ליבת</w:t>
      </w:r>
      <w:r w:rsidRPr="00BE6FC7">
        <w:rPr>
          <w:rtl/>
        </w:rPr>
        <w:t xml:space="preserve"> </w:t>
      </w:r>
      <w:r w:rsidRPr="00BE6FC7">
        <w:rPr>
          <w:rFonts w:hint="eastAsia"/>
          <w:rtl/>
        </w:rPr>
        <w:t>הזהות</w:t>
      </w:r>
      <w:r w:rsidRPr="00BE6FC7">
        <w:rPr>
          <w:rtl/>
        </w:rPr>
        <w:t xml:space="preserve"> </w:t>
      </w:r>
      <w:r w:rsidRPr="00BE6FC7">
        <w:rPr>
          <w:rFonts w:hint="eastAsia"/>
          <w:rtl/>
        </w:rPr>
        <w:t>היהודית</w:t>
      </w:r>
      <w:r w:rsidRPr="00BE6FC7">
        <w:rPr>
          <w:rtl/>
        </w:rPr>
        <w:t xml:space="preserve"> </w:t>
      </w:r>
      <w:r w:rsidRPr="00BE6FC7">
        <w:rPr>
          <w:rFonts w:hint="eastAsia"/>
          <w:rtl/>
        </w:rPr>
        <w:t>או</w:t>
      </w:r>
      <w:r w:rsidRPr="00BE6FC7">
        <w:rPr>
          <w:rtl/>
        </w:rPr>
        <w:t xml:space="preserve"> </w:t>
      </w:r>
      <w:r w:rsidRPr="00BE6FC7">
        <w:rPr>
          <w:rFonts w:hint="eastAsia"/>
          <w:rtl/>
        </w:rPr>
        <w:t>הדמוקרטית</w:t>
      </w:r>
      <w:r w:rsidRPr="00BE6FC7">
        <w:rPr>
          <w:rtl/>
        </w:rPr>
        <w:t xml:space="preserve"> </w:t>
      </w:r>
      <w:r w:rsidRPr="00BE6FC7">
        <w:rPr>
          <w:rFonts w:hint="eastAsia"/>
          <w:rtl/>
        </w:rPr>
        <w:t>של</w:t>
      </w:r>
      <w:r w:rsidRPr="00BE6FC7">
        <w:rPr>
          <w:rtl/>
        </w:rPr>
        <w:t xml:space="preserve"> </w:t>
      </w:r>
      <w:r w:rsidRPr="00BE6FC7">
        <w:rPr>
          <w:rFonts w:hint="eastAsia"/>
          <w:rtl/>
        </w:rPr>
        <w:t>המדינה</w:t>
      </w:r>
      <w:r w:rsidRPr="00BE6FC7">
        <w:rPr>
          <w:rtl/>
        </w:rPr>
        <w:t xml:space="preserve">" </w:t>
      </w:r>
      <w:r>
        <w:rPr>
          <w:rFonts w:hint="cs"/>
          <w:rtl/>
        </w:rPr>
        <w:t xml:space="preserve">על פי "דוקטרינת התיקון החוקתי שאינו חוקתי" שעד כה הובהרו בפסיקתנו בעיקר בעיותיה וקשייה; </w:t>
      </w:r>
      <w:r w:rsidRPr="00BE6FC7">
        <w:rPr>
          <w:rFonts w:hint="eastAsia"/>
          <w:rtl/>
        </w:rPr>
        <w:t>ובין</w:t>
      </w:r>
      <w:r w:rsidRPr="00BE6FC7">
        <w:rPr>
          <w:rtl/>
        </w:rPr>
        <w:t xml:space="preserve"> </w:t>
      </w:r>
      <w:r w:rsidRPr="00BE6FC7">
        <w:rPr>
          <w:rFonts w:hint="eastAsia"/>
          <w:rtl/>
        </w:rPr>
        <w:t>אם</w:t>
      </w:r>
      <w:r w:rsidRPr="00BE6FC7">
        <w:rPr>
          <w:rtl/>
        </w:rPr>
        <w:t xml:space="preserve"> </w:t>
      </w:r>
      <w:r>
        <w:rPr>
          <w:rFonts w:hint="cs"/>
          <w:rtl/>
        </w:rPr>
        <w:t>ב</w:t>
      </w:r>
      <w:r w:rsidRPr="00BE6FC7">
        <w:rPr>
          <w:rFonts w:hint="eastAsia"/>
          <w:rtl/>
        </w:rPr>
        <w:t>נוסחה</w:t>
      </w:r>
      <w:r w:rsidRPr="00BE6FC7">
        <w:rPr>
          <w:rtl/>
        </w:rPr>
        <w:t xml:space="preserve"> </w:t>
      </w:r>
      <w:r>
        <w:rPr>
          <w:rFonts w:hint="cs"/>
          <w:rtl/>
        </w:rPr>
        <w:t>אחרת ("פגיעה ב"לב הפועם של 'החוקה נוסח ישראל'" או "פגיעה כה קשה במאפיינים גרעיניים של המדינה, עד כדי זעזוע אבני הבניין של חוקתנו המתגבשת")</w:t>
      </w:r>
      <w:r w:rsidRPr="00BE6FC7">
        <w:rPr>
          <w:rtl/>
        </w:rPr>
        <w:t xml:space="preserve"> </w:t>
      </w:r>
      <w:r w:rsidRPr="00BE6FC7">
        <w:rPr>
          <w:rFonts w:hint="eastAsia"/>
          <w:rtl/>
        </w:rPr>
        <w:t>תחת</w:t>
      </w:r>
      <w:r w:rsidRPr="00BE6FC7">
        <w:rPr>
          <w:rtl/>
        </w:rPr>
        <w:t xml:space="preserve"> </w:t>
      </w:r>
      <w:r w:rsidRPr="00BE6FC7">
        <w:rPr>
          <w:rFonts w:hint="eastAsia"/>
          <w:rtl/>
        </w:rPr>
        <w:t>הכותרת</w:t>
      </w:r>
      <w:r w:rsidRPr="00BE6FC7">
        <w:rPr>
          <w:rtl/>
        </w:rPr>
        <w:t xml:space="preserve"> </w:t>
      </w:r>
      <w:r w:rsidRPr="00BE6FC7">
        <w:rPr>
          <w:rFonts w:hint="eastAsia"/>
          <w:rtl/>
        </w:rPr>
        <w:t>של</w:t>
      </w:r>
      <w:r w:rsidRPr="00BE6FC7">
        <w:rPr>
          <w:rtl/>
        </w:rPr>
        <w:t xml:space="preserve"> "</w:t>
      </w:r>
      <w:r w:rsidRPr="00BE6FC7">
        <w:rPr>
          <w:rFonts w:hint="eastAsia"/>
          <w:rtl/>
        </w:rPr>
        <w:t>חריגה</w:t>
      </w:r>
      <w:r w:rsidRPr="00BE6FC7">
        <w:rPr>
          <w:rtl/>
        </w:rPr>
        <w:t xml:space="preserve"> </w:t>
      </w:r>
      <w:r w:rsidRPr="00BE6FC7">
        <w:rPr>
          <w:rFonts w:hint="eastAsia"/>
          <w:rtl/>
        </w:rPr>
        <w:t>מסמכות</w:t>
      </w:r>
      <w:r w:rsidRPr="00BE6FC7">
        <w:rPr>
          <w:rtl/>
        </w:rPr>
        <w:t xml:space="preserve"> </w:t>
      </w:r>
      <w:r w:rsidRPr="00BE6FC7">
        <w:rPr>
          <w:rFonts w:hint="eastAsia"/>
          <w:rtl/>
        </w:rPr>
        <w:t>מכוננת</w:t>
      </w:r>
      <w:r w:rsidRPr="00BE6FC7">
        <w:rPr>
          <w:rtl/>
        </w:rPr>
        <w:t>"</w:t>
      </w:r>
      <w:r>
        <w:rPr>
          <w:rFonts w:hint="cs"/>
          <w:rtl/>
        </w:rPr>
        <w:t xml:space="preserve"> (הנוסחאות הבאות לידי ביטוי בחוות דעת חבריי הן רבות ושונות והזכרתי רק את חלקן מחמת קוצר היריעה). </w:t>
      </w:r>
      <w:r w:rsidRPr="00BE6FC7">
        <w:rPr>
          <w:rFonts w:hint="eastAsia"/>
          <w:rtl/>
        </w:rPr>
        <w:t>העובדה</w:t>
      </w:r>
      <w:r w:rsidRPr="00BE6FC7">
        <w:rPr>
          <w:rtl/>
        </w:rPr>
        <w:t xml:space="preserve"> </w:t>
      </w:r>
      <w:r w:rsidRPr="00BE6FC7">
        <w:rPr>
          <w:rFonts w:hint="eastAsia"/>
          <w:rtl/>
        </w:rPr>
        <w:t>שכל</w:t>
      </w:r>
      <w:r w:rsidRPr="00BE6FC7">
        <w:rPr>
          <w:rtl/>
        </w:rPr>
        <w:t xml:space="preserve"> </w:t>
      </w:r>
      <w:r w:rsidRPr="00BE6FC7">
        <w:rPr>
          <w:rFonts w:hint="eastAsia"/>
          <w:rtl/>
        </w:rPr>
        <w:t>אחד</w:t>
      </w:r>
      <w:r w:rsidRPr="00BE6FC7">
        <w:rPr>
          <w:rtl/>
        </w:rPr>
        <w:t xml:space="preserve"> </w:t>
      </w:r>
      <w:r w:rsidRPr="00BE6FC7">
        <w:rPr>
          <w:rFonts w:hint="eastAsia"/>
          <w:rtl/>
        </w:rPr>
        <w:lastRenderedPageBreak/>
        <w:t>מחבריי</w:t>
      </w:r>
      <w:r w:rsidRPr="00BE6FC7">
        <w:rPr>
          <w:rtl/>
        </w:rPr>
        <w:t xml:space="preserve"> </w:t>
      </w:r>
      <w:r w:rsidRPr="00BE6FC7">
        <w:rPr>
          <w:rFonts w:hint="eastAsia"/>
          <w:rtl/>
        </w:rPr>
        <w:t>מצביע</w:t>
      </w:r>
      <w:r w:rsidRPr="00BE6FC7">
        <w:rPr>
          <w:rtl/>
        </w:rPr>
        <w:t xml:space="preserve"> </w:t>
      </w:r>
      <w:r w:rsidRPr="00BE6FC7">
        <w:rPr>
          <w:rFonts w:hint="eastAsia"/>
          <w:rtl/>
        </w:rPr>
        <w:t>על</w:t>
      </w:r>
      <w:r w:rsidRPr="00BE6FC7">
        <w:rPr>
          <w:rtl/>
        </w:rPr>
        <w:t xml:space="preserve"> </w:t>
      </w:r>
      <w:r w:rsidRPr="00BE6FC7">
        <w:rPr>
          <w:rFonts w:hint="eastAsia"/>
          <w:rtl/>
        </w:rPr>
        <w:t>מקורות</w:t>
      </w:r>
      <w:r w:rsidRPr="00BE6FC7">
        <w:rPr>
          <w:rtl/>
        </w:rPr>
        <w:t xml:space="preserve"> </w:t>
      </w:r>
      <w:r w:rsidRPr="00BE6FC7">
        <w:rPr>
          <w:rFonts w:hint="eastAsia"/>
          <w:rtl/>
        </w:rPr>
        <w:t>סמכות</w:t>
      </w:r>
      <w:r w:rsidRPr="00BE6FC7">
        <w:rPr>
          <w:rtl/>
        </w:rPr>
        <w:t xml:space="preserve"> </w:t>
      </w:r>
      <w:r w:rsidRPr="00BE6FC7">
        <w:rPr>
          <w:rFonts w:hint="eastAsia"/>
          <w:rtl/>
        </w:rPr>
        <w:t>שונים</w:t>
      </w:r>
      <w:r w:rsidRPr="00BE6FC7">
        <w:rPr>
          <w:rtl/>
        </w:rPr>
        <w:t xml:space="preserve">, </w:t>
      </w:r>
      <w:r w:rsidRPr="00BE6FC7">
        <w:rPr>
          <w:rFonts w:hint="eastAsia"/>
          <w:rtl/>
        </w:rPr>
        <w:t>ומקור</w:t>
      </w:r>
      <w:r w:rsidRPr="00BE6FC7">
        <w:rPr>
          <w:rtl/>
        </w:rPr>
        <w:t xml:space="preserve"> </w:t>
      </w:r>
      <w:r w:rsidRPr="00BE6FC7">
        <w:rPr>
          <w:rFonts w:hint="eastAsia"/>
          <w:rtl/>
        </w:rPr>
        <w:t>הסמכות</w:t>
      </w:r>
      <w:r w:rsidRPr="00BE6FC7">
        <w:rPr>
          <w:rtl/>
        </w:rPr>
        <w:t xml:space="preserve"> </w:t>
      </w:r>
      <w:r w:rsidRPr="00BE6FC7">
        <w:rPr>
          <w:rFonts w:hint="eastAsia"/>
          <w:rtl/>
        </w:rPr>
        <w:t>נותר</w:t>
      </w:r>
      <w:r w:rsidRPr="00BE6FC7">
        <w:rPr>
          <w:rtl/>
        </w:rPr>
        <w:t xml:space="preserve"> </w:t>
      </w:r>
      <w:r w:rsidRPr="00BE6FC7">
        <w:rPr>
          <w:rFonts w:hint="eastAsia"/>
          <w:rtl/>
        </w:rPr>
        <w:t>מעורפל</w:t>
      </w:r>
      <w:r w:rsidRPr="00BE6FC7">
        <w:rPr>
          <w:rtl/>
        </w:rPr>
        <w:t xml:space="preserve"> </w:t>
      </w:r>
      <w:r w:rsidRPr="00BE6FC7">
        <w:rPr>
          <w:rFonts w:hint="eastAsia"/>
          <w:rtl/>
        </w:rPr>
        <w:t>גם</w:t>
      </w:r>
      <w:r w:rsidRPr="00BE6FC7">
        <w:rPr>
          <w:rtl/>
        </w:rPr>
        <w:t xml:space="preserve"> </w:t>
      </w:r>
      <w:r w:rsidRPr="00BE6FC7">
        <w:rPr>
          <w:rFonts w:hint="eastAsia"/>
          <w:rtl/>
        </w:rPr>
        <w:t>בחוות</w:t>
      </w:r>
      <w:r w:rsidRPr="00BE6FC7">
        <w:rPr>
          <w:rtl/>
        </w:rPr>
        <w:t xml:space="preserve"> </w:t>
      </w:r>
      <w:r w:rsidRPr="00BE6FC7">
        <w:rPr>
          <w:rFonts w:hint="eastAsia"/>
          <w:rtl/>
        </w:rPr>
        <w:t>דעתם</w:t>
      </w:r>
      <w:r w:rsidRPr="00BE6FC7">
        <w:rPr>
          <w:rtl/>
        </w:rPr>
        <w:t xml:space="preserve"> (</w:t>
      </w:r>
      <w:r w:rsidRPr="00BE6FC7">
        <w:rPr>
          <w:rFonts w:hint="eastAsia"/>
          <w:rtl/>
        </w:rPr>
        <w:t>ראו</w:t>
      </w:r>
      <w:r w:rsidRPr="00BE6FC7">
        <w:rPr>
          <w:rtl/>
        </w:rPr>
        <w:t xml:space="preserve"> </w:t>
      </w:r>
      <w:r w:rsidRPr="00BE6FC7">
        <w:rPr>
          <w:rFonts w:hint="eastAsia"/>
          <w:rtl/>
        </w:rPr>
        <w:t>למשל</w:t>
      </w:r>
      <w:r w:rsidRPr="00BE6FC7">
        <w:rPr>
          <w:rtl/>
        </w:rPr>
        <w:t xml:space="preserve">: </w:t>
      </w:r>
      <w:r w:rsidRPr="00BE6FC7">
        <w:rPr>
          <w:rFonts w:hint="eastAsia"/>
          <w:rtl/>
        </w:rPr>
        <w:t>פסקה</w:t>
      </w:r>
      <w:r w:rsidRPr="00BE6FC7">
        <w:rPr>
          <w:rtl/>
        </w:rPr>
        <w:t xml:space="preserve"> 19 </w:t>
      </w:r>
      <w:r w:rsidRPr="00BE6FC7">
        <w:rPr>
          <w:rFonts w:hint="eastAsia"/>
          <w:rtl/>
        </w:rPr>
        <w:t>לחוות</w:t>
      </w:r>
      <w:r w:rsidRPr="00BE6FC7">
        <w:rPr>
          <w:rtl/>
        </w:rPr>
        <w:t xml:space="preserve"> </w:t>
      </w:r>
      <w:r w:rsidRPr="00BE6FC7">
        <w:rPr>
          <w:rFonts w:hint="eastAsia"/>
          <w:rtl/>
        </w:rPr>
        <w:t>דעתו</w:t>
      </w:r>
      <w:r w:rsidRPr="00BE6FC7">
        <w:rPr>
          <w:rtl/>
        </w:rPr>
        <w:t xml:space="preserve"> </w:t>
      </w:r>
      <w:r w:rsidRPr="00BE6FC7">
        <w:rPr>
          <w:rFonts w:hint="eastAsia"/>
          <w:rtl/>
        </w:rPr>
        <w:t>של</w:t>
      </w:r>
      <w:r w:rsidRPr="00BE6FC7">
        <w:rPr>
          <w:rtl/>
        </w:rPr>
        <w:t xml:space="preserve"> </w:t>
      </w:r>
      <w:r w:rsidRPr="00BE6FC7">
        <w:rPr>
          <w:rFonts w:hint="eastAsia"/>
          <w:rtl/>
        </w:rPr>
        <w:t>חברי</w:t>
      </w:r>
      <w:r>
        <w:rPr>
          <w:rFonts w:hint="cs"/>
          <w:rtl/>
        </w:rPr>
        <w:t xml:space="preserve"> השופט</w:t>
      </w:r>
      <w:r w:rsidRPr="0058167D">
        <w:rPr>
          <w:rFonts w:ascii="Century" w:hAnsi="Century" w:cs="Miriam" w:hint="cs"/>
          <w:b/>
          <w:spacing w:val="0"/>
          <w:sz w:val="22"/>
          <w:szCs w:val="24"/>
          <w:rtl/>
        </w:rPr>
        <w:t xml:space="preserve"> </w:t>
      </w:r>
      <w:r w:rsidRPr="0058167D">
        <w:rPr>
          <w:rFonts w:ascii="Century" w:hAnsi="Century" w:cs="Miriam" w:hint="eastAsia"/>
          <w:b/>
          <w:spacing w:val="0"/>
          <w:sz w:val="22"/>
          <w:szCs w:val="24"/>
          <w:rtl/>
        </w:rPr>
        <w:t>ע</w:t>
      </w:r>
      <w:r w:rsidRPr="00BE6FC7">
        <w:rPr>
          <w:rFonts w:ascii="Century" w:hAnsi="Century" w:cs="Miriam" w:hint="eastAsia"/>
          <w:b/>
          <w:spacing w:val="0"/>
          <w:sz w:val="22"/>
          <w:szCs w:val="24"/>
          <w:rtl/>
        </w:rPr>
        <w:t>מית</w:t>
      </w:r>
      <w:r w:rsidRPr="00BE6FC7">
        <w:rPr>
          <w:rtl/>
        </w:rPr>
        <w:t xml:space="preserve"> </w:t>
      </w:r>
      <w:r w:rsidRPr="00BE6FC7">
        <w:rPr>
          <w:rFonts w:hint="eastAsia"/>
          <w:rtl/>
        </w:rPr>
        <w:t>המדגיש</w:t>
      </w:r>
      <w:r w:rsidRPr="00BE6FC7">
        <w:rPr>
          <w:rtl/>
        </w:rPr>
        <w:t xml:space="preserve"> </w:t>
      </w:r>
      <w:r w:rsidRPr="00BE6FC7">
        <w:rPr>
          <w:rFonts w:hint="eastAsia"/>
          <w:rtl/>
        </w:rPr>
        <w:t>כי</w:t>
      </w:r>
      <w:r w:rsidRPr="00BE6FC7">
        <w:rPr>
          <w:rtl/>
        </w:rPr>
        <w:t xml:space="preserve"> </w:t>
      </w:r>
      <w:r w:rsidRPr="00BE6FC7">
        <w:rPr>
          <w:rFonts w:hint="eastAsia"/>
          <w:rtl/>
        </w:rPr>
        <w:t>אף</w:t>
      </w:r>
      <w:r w:rsidRPr="00BE6FC7">
        <w:rPr>
          <w:rtl/>
        </w:rPr>
        <w:t xml:space="preserve"> </w:t>
      </w:r>
      <w:r w:rsidRPr="00BE6FC7">
        <w:rPr>
          <w:rFonts w:hint="eastAsia"/>
          <w:rtl/>
        </w:rPr>
        <w:t>אין</w:t>
      </w:r>
      <w:r w:rsidRPr="00BE6FC7">
        <w:rPr>
          <w:rtl/>
        </w:rPr>
        <w:t xml:space="preserve"> </w:t>
      </w:r>
      <w:r w:rsidRPr="00BE6FC7">
        <w:rPr>
          <w:rFonts w:hint="eastAsia"/>
          <w:rtl/>
        </w:rPr>
        <w:t>צורך</w:t>
      </w:r>
      <w:r w:rsidRPr="00BE6FC7">
        <w:rPr>
          <w:rtl/>
        </w:rPr>
        <w:t xml:space="preserve"> </w:t>
      </w:r>
      <w:r w:rsidRPr="00BE6FC7">
        <w:rPr>
          <w:rFonts w:hint="eastAsia"/>
          <w:rtl/>
        </w:rPr>
        <w:t>לשיטתו</w:t>
      </w:r>
      <w:r w:rsidRPr="00BE6FC7">
        <w:rPr>
          <w:rtl/>
        </w:rPr>
        <w:t xml:space="preserve"> </w:t>
      </w:r>
      <w:r w:rsidRPr="00BE6FC7">
        <w:rPr>
          <w:rFonts w:hint="eastAsia"/>
          <w:rtl/>
        </w:rPr>
        <w:t>להכריע</w:t>
      </w:r>
      <w:r w:rsidRPr="00BE6FC7">
        <w:rPr>
          <w:rtl/>
        </w:rPr>
        <w:t xml:space="preserve"> </w:t>
      </w:r>
      <w:r w:rsidRPr="00BE6FC7">
        <w:rPr>
          <w:rFonts w:hint="eastAsia"/>
          <w:rtl/>
        </w:rPr>
        <w:t>בדבר</w:t>
      </w:r>
      <w:r w:rsidRPr="00BE6FC7">
        <w:rPr>
          <w:rtl/>
        </w:rPr>
        <w:t xml:space="preserve"> </w:t>
      </w:r>
      <w:r w:rsidRPr="00BE6FC7">
        <w:rPr>
          <w:rFonts w:hint="eastAsia"/>
          <w:rtl/>
        </w:rPr>
        <w:t>מקור</w:t>
      </w:r>
      <w:r w:rsidRPr="00BE6FC7">
        <w:rPr>
          <w:rtl/>
        </w:rPr>
        <w:t xml:space="preserve"> </w:t>
      </w:r>
      <w:r w:rsidRPr="00BE6FC7">
        <w:rPr>
          <w:rFonts w:hint="eastAsia"/>
          <w:rtl/>
        </w:rPr>
        <w:t>הסמכות</w:t>
      </w:r>
      <w:r w:rsidRPr="00BE6FC7">
        <w:rPr>
          <w:rtl/>
        </w:rPr>
        <w:t xml:space="preserve">), </w:t>
      </w:r>
      <w:r w:rsidRPr="00BE6FC7">
        <w:rPr>
          <w:rFonts w:hint="eastAsia"/>
          <w:rtl/>
        </w:rPr>
        <w:t>משליכה</w:t>
      </w:r>
      <w:r w:rsidRPr="00BE6FC7">
        <w:rPr>
          <w:rtl/>
        </w:rPr>
        <w:t xml:space="preserve"> </w:t>
      </w:r>
      <w:r w:rsidRPr="00BE6FC7">
        <w:rPr>
          <w:rFonts w:hint="eastAsia"/>
          <w:rtl/>
        </w:rPr>
        <w:t>גם</w:t>
      </w:r>
      <w:r w:rsidRPr="00BE6FC7">
        <w:rPr>
          <w:rtl/>
        </w:rPr>
        <w:t xml:space="preserve"> </w:t>
      </w:r>
      <w:r w:rsidRPr="00BE6FC7">
        <w:rPr>
          <w:rFonts w:hint="eastAsia"/>
          <w:rtl/>
        </w:rPr>
        <w:t>על</w:t>
      </w:r>
      <w:r w:rsidRPr="00BE6FC7">
        <w:rPr>
          <w:rtl/>
        </w:rPr>
        <w:t xml:space="preserve"> </w:t>
      </w:r>
      <w:r w:rsidRPr="00BE6FC7">
        <w:rPr>
          <w:rFonts w:hint="eastAsia"/>
          <w:rtl/>
        </w:rPr>
        <w:t>אמת</w:t>
      </w:r>
      <w:r w:rsidRPr="00BE6FC7">
        <w:rPr>
          <w:rtl/>
        </w:rPr>
        <w:t xml:space="preserve"> </w:t>
      </w:r>
      <w:r w:rsidRPr="00BE6FC7">
        <w:rPr>
          <w:rFonts w:hint="eastAsia"/>
          <w:rtl/>
        </w:rPr>
        <w:t>המידה</w:t>
      </w:r>
      <w:r w:rsidRPr="00BE6FC7">
        <w:rPr>
          <w:rtl/>
        </w:rPr>
        <w:t xml:space="preserve"> </w:t>
      </w:r>
      <w:r w:rsidRPr="00BE6FC7">
        <w:rPr>
          <w:rFonts w:hint="eastAsia"/>
          <w:rtl/>
        </w:rPr>
        <w:t>המעורפלת</w:t>
      </w:r>
      <w:r w:rsidRPr="00BE6FC7">
        <w:rPr>
          <w:rtl/>
        </w:rPr>
        <w:t xml:space="preserve"> </w:t>
      </w:r>
      <w:r w:rsidRPr="00BE6FC7">
        <w:rPr>
          <w:rFonts w:hint="eastAsia"/>
          <w:rtl/>
        </w:rPr>
        <w:t>שקשה</w:t>
      </w:r>
      <w:r w:rsidRPr="00BE6FC7">
        <w:rPr>
          <w:rtl/>
        </w:rPr>
        <w:t xml:space="preserve"> </w:t>
      </w:r>
      <w:r w:rsidRPr="00BE6FC7">
        <w:rPr>
          <w:rFonts w:hint="eastAsia"/>
          <w:rtl/>
        </w:rPr>
        <w:t>לעמוד</w:t>
      </w:r>
      <w:r w:rsidRPr="00BE6FC7">
        <w:rPr>
          <w:rtl/>
        </w:rPr>
        <w:t xml:space="preserve"> </w:t>
      </w:r>
      <w:r w:rsidRPr="00BE6FC7">
        <w:rPr>
          <w:rFonts w:hint="eastAsia"/>
          <w:rtl/>
        </w:rPr>
        <w:t>על</w:t>
      </w:r>
      <w:r w:rsidRPr="00BE6FC7">
        <w:rPr>
          <w:rtl/>
        </w:rPr>
        <w:t xml:space="preserve"> </w:t>
      </w:r>
      <w:r w:rsidRPr="00BE6FC7">
        <w:rPr>
          <w:rFonts w:hint="eastAsia"/>
          <w:rtl/>
        </w:rPr>
        <w:t>גבולותיה</w:t>
      </w:r>
      <w:r w:rsidRPr="00BE6FC7">
        <w:rPr>
          <w:rtl/>
        </w:rPr>
        <w:t xml:space="preserve">, </w:t>
      </w:r>
      <w:r w:rsidRPr="00BE6FC7">
        <w:rPr>
          <w:rFonts w:hint="cs"/>
          <w:rtl/>
        </w:rPr>
        <w:t>ו</w:t>
      </w:r>
      <w:r w:rsidRPr="00BE6FC7">
        <w:rPr>
          <w:rFonts w:hint="eastAsia"/>
          <w:rtl/>
        </w:rPr>
        <w:t>על</w:t>
      </w:r>
      <w:r w:rsidRPr="00BE6FC7">
        <w:rPr>
          <w:rtl/>
        </w:rPr>
        <w:t xml:space="preserve"> </w:t>
      </w:r>
      <w:r w:rsidRPr="00BE6FC7">
        <w:rPr>
          <w:rFonts w:hint="eastAsia"/>
          <w:rtl/>
        </w:rPr>
        <w:t>אופיה</w:t>
      </w:r>
      <w:r w:rsidRPr="00BE6FC7">
        <w:rPr>
          <w:rtl/>
        </w:rPr>
        <w:t xml:space="preserve"> </w:t>
      </w:r>
      <w:r w:rsidRPr="00BE6FC7">
        <w:rPr>
          <w:rFonts w:hint="eastAsia"/>
          <w:rtl/>
        </w:rPr>
        <w:t>הגמיש</w:t>
      </w:r>
      <w:r w:rsidRPr="00BE6FC7">
        <w:rPr>
          <w:rtl/>
        </w:rPr>
        <w:t xml:space="preserve">, </w:t>
      </w:r>
      <w:r w:rsidRPr="00BE6FC7">
        <w:rPr>
          <w:rFonts w:hint="eastAsia"/>
          <w:rtl/>
        </w:rPr>
        <w:t>הרעוע</w:t>
      </w:r>
      <w:r w:rsidRPr="00BE6FC7">
        <w:rPr>
          <w:rtl/>
        </w:rPr>
        <w:t xml:space="preserve"> </w:t>
      </w:r>
      <w:r w:rsidRPr="00BE6FC7">
        <w:rPr>
          <w:rFonts w:hint="eastAsia"/>
          <w:rtl/>
        </w:rPr>
        <w:t>והבלתי</w:t>
      </w:r>
      <w:r w:rsidRPr="00BE6FC7">
        <w:rPr>
          <w:rtl/>
        </w:rPr>
        <w:t xml:space="preserve"> </w:t>
      </w:r>
      <w:r w:rsidRPr="00BE6FC7">
        <w:rPr>
          <w:rFonts w:hint="eastAsia"/>
          <w:rtl/>
        </w:rPr>
        <w:t>יציב</w:t>
      </w:r>
      <w:r w:rsidRPr="00BE6FC7">
        <w:rPr>
          <w:rtl/>
        </w:rPr>
        <w:t xml:space="preserve"> </w:t>
      </w:r>
      <w:r w:rsidRPr="00BE6FC7">
        <w:rPr>
          <w:rFonts w:hint="eastAsia"/>
          <w:rtl/>
        </w:rPr>
        <w:t>של</w:t>
      </w:r>
      <w:r w:rsidRPr="00BE6FC7">
        <w:rPr>
          <w:rtl/>
        </w:rPr>
        <w:t xml:space="preserve"> </w:t>
      </w:r>
      <w:r w:rsidRPr="00BE6FC7">
        <w:rPr>
          <w:rFonts w:hint="eastAsia"/>
          <w:rtl/>
        </w:rPr>
        <w:t>ה</w:t>
      </w:r>
      <w:r w:rsidRPr="00BE6FC7">
        <w:rPr>
          <w:rtl/>
        </w:rPr>
        <w:t>"</w:t>
      </w:r>
      <w:r w:rsidRPr="00BE6FC7">
        <w:rPr>
          <w:rFonts w:hint="eastAsia"/>
          <w:rtl/>
        </w:rPr>
        <w:t>דוקטרינה</w:t>
      </w:r>
      <w:r w:rsidRPr="00BE6FC7">
        <w:rPr>
          <w:rtl/>
        </w:rPr>
        <w:t>".</w:t>
      </w:r>
      <w:r w:rsidRPr="00BE6FC7">
        <w:rPr>
          <w:rFonts w:hint="cs"/>
          <w:rtl/>
        </w:rPr>
        <w:t xml:space="preserve"> </w:t>
      </w:r>
    </w:p>
    <w:p w:rsidR="00737972" w:rsidRPr="00BE6FC7" w:rsidRDefault="00737972" w:rsidP="00737972">
      <w:pPr>
        <w:pStyle w:val="Ruller4"/>
        <w:numPr>
          <w:ilvl w:val="0"/>
          <w:numId w:val="0"/>
        </w:numPr>
      </w:pPr>
    </w:p>
    <w:p w:rsidR="00737972" w:rsidRDefault="00737972" w:rsidP="00737972">
      <w:pPr>
        <w:pStyle w:val="Ruller4"/>
        <w:rPr>
          <w:rtl/>
        </w:rPr>
      </w:pPr>
      <w:r w:rsidRPr="00BE6FC7">
        <w:rPr>
          <w:rFonts w:hint="cs"/>
          <w:rtl/>
        </w:rPr>
        <w:t>כאמור לעיל, גם לעמדת הסוברים כי קיימת סמכות לקיים ביקורת שיפ</w:t>
      </w:r>
      <w:r>
        <w:rPr>
          <w:rFonts w:hint="cs"/>
          <w:rtl/>
        </w:rPr>
        <w:t>וטית על חוקי יסוד, התערבות שיפוטית כזו תהא שמורה למקרים קיצונים וחריגים במיוחד, למצבים של פגיעה אנושה, חריפה וקשה בליבת הזהות "היהודית" או "הדמוקרטית". אולם תהא אשר תהא הלשון אשר עומדת על צמצום הביקורת השיפוטית והחלת דוקטרינה זו רק באותם מצבים חריגים וקיצוניים בלבד (</w:t>
      </w:r>
      <w:r w:rsidRPr="00A30C4D">
        <w:rPr>
          <w:rFonts w:hint="cs"/>
          <w:rtl/>
        </w:rPr>
        <w:t>וראו למשל פסקה 94 לחוות דעתה של חברתי הנשיאה</w:t>
      </w:r>
      <w:r>
        <w:rPr>
          <w:rFonts w:hint="cs"/>
          <w:rtl/>
        </w:rPr>
        <w:t xml:space="preserve"> (בדימ')), הרי שבהיעדר הסכמה חברתית-ציבורית ברורה לגבי תוכנם המפורט והמדויק של עקרונות הליבה (וראו למשל דיון בנושא זה: </w:t>
      </w:r>
      <w:r w:rsidRPr="000257CF">
        <w:rPr>
          <w:rFonts w:hint="eastAsia"/>
          <w:rtl/>
        </w:rPr>
        <w:t>אריאל</w:t>
      </w:r>
      <w:r w:rsidRPr="000257CF">
        <w:rPr>
          <w:rtl/>
        </w:rPr>
        <w:t xml:space="preserve"> </w:t>
      </w:r>
      <w:r w:rsidRPr="000257CF">
        <w:rPr>
          <w:rFonts w:hint="eastAsia"/>
          <w:rtl/>
        </w:rPr>
        <w:t>רוזן</w:t>
      </w:r>
      <w:r w:rsidRPr="000257CF">
        <w:rPr>
          <w:rtl/>
        </w:rPr>
        <w:t>-</w:t>
      </w:r>
      <w:r w:rsidRPr="000257CF">
        <w:rPr>
          <w:rFonts w:hint="eastAsia"/>
          <w:rtl/>
        </w:rPr>
        <w:t>צבי</w:t>
      </w:r>
      <w:r w:rsidRPr="000257CF">
        <w:rPr>
          <w:rtl/>
        </w:rPr>
        <w:t xml:space="preserve"> "'</w:t>
      </w:r>
      <w:r w:rsidRPr="000257CF">
        <w:rPr>
          <w:rFonts w:hint="eastAsia"/>
          <w:rtl/>
        </w:rPr>
        <w:t>מדינה</w:t>
      </w:r>
      <w:r w:rsidRPr="000257CF">
        <w:rPr>
          <w:rtl/>
        </w:rPr>
        <w:t xml:space="preserve"> </w:t>
      </w:r>
      <w:r w:rsidRPr="000257CF">
        <w:rPr>
          <w:rFonts w:hint="eastAsia"/>
          <w:rtl/>
        </w:rPr>
        <w:t>יהודית</w:t>
      </w:r>
      <w:r w:rsidRPr="000257CF">
        <w:rPr>
          <w:rtl/>
        </w:rPr>
        <w:t xml:space="preserve"> </w:t>
      </w:r>
      <w:r w:rsidRPr="000257CF">
        <w:rPr>
          <w:rFonts w:hint="eastAsia"/>
          <w:rtl/>
        </w:rPr>
        <w:t>ודמוקרטית</w:t>
      </w:r>
      <w:r w:rsidRPr="000257CF">
        <w:rPr>
          <w:rtl/>
        </w:rPr>
        <w:t xml:space="preserve">': </w:t>
      </w:r>
      <w:r w:rsidRPr="000257CF">
        <w:rPr>
          <w:rFonts w:hint="eastAsia"/>
          <w:rtl/>
        </w:rPr>
        <w:t>אבהות</w:t>
      </w:r>
      <w:r w:rsidRPr="000257CF">
        <w:rPr>
          <w:rtl/>
        </w:rPr>
        <w:t xml:space="preserve"> </w:t>
      </w:r>
      <w:r w:rsidRPr="000257CF">
        <w:rPr>
          <w:rFonts w:hint="eastAsia"/>
          <w:rtl/>
        </w:rPr>
        <w:t>רוחנית</w:t>
      </w:r>
      <w:r w:rsidRPr="000257CF">
        <w:rPr>
          <w:rtl/>
        </w:rPr>
        <w:t xml:space="preserve">, </w:t>
      </w:r>
      <w:r w:rsidRPr="000257CF">
        <w:rPr>
          <w:rFonts w:hint="eastAsia"/>
          <w:rtl/>
        </w:rPr>
        <w:t>ניכור</w:t>
      </w:r>
      <w:r w:rsidRPr="000257CF">
        <w:rPr>
          <w:rtl/>
        </w:rPr>
        <w:t xml:space="preserve"> </w:t>
      </w:r>
      <w:r w:rsidRPr="000257CF">
        <w:rPr>
          <w:rFonts w:hint="eastAsia"/>
          <w:rtl/>
        </w:rPr>
        <w:t>וסימביוזה</w:t>
      </w:r>
      <w:r w:rsidRPr="000257CF">
        <w:rPr>
          <w:rtl/>
        </w:rPr>
        <w:t xml:space="preserve"> – </w:t>
      </w:r>
      <w:r w:rsidRPr="000257CF">
        <w:rPr>
          <w:rFonts w:hint="eastAsia"/>
          <w:rtl/>
        </w:rPr>
        <w:t>האפשר</w:t>
      </w:r>
      <w:r w:rsidRPr="000257CF">
        <w:rPr>
          <w:rtl/>
        </w:rPr>
        <w:t xml:space="preserve"> </w:t>
      </w:r>
      <w:r w:rsidRPr="000257CF">
        <w:rPr>
          <w:rFonts w:hint="eastAsia"/>
          <w:rtl/>
        </w:rPr>
        <w:t>לרבע</w:t>
      </w:r>
      <w:r w:rsidRPr="000257CF">
        <w:rPr>
          <w:rtl/>
        </w:rPr>
        <w:t xml:space="preserve"> </w:t>
      </w:r>
      <w:r w:rsidRPr="000257CF">
        <w:rPr>
          <w:rFonts w:hint="eastAsia"/>
          <w:rtl/>
        </w:rPr>
        <w:t>את</w:t>
      </w:r>
      <w:r w:rsidRPr="000257CF">
        <w:rPr>
          <w:rtl/>
        </w:rPr>
        <w:t xml:space="preserve"> </w:t>
      </w:r>
      <w:r w:rsidRPr="000257CF">
        <w:rPr>
          <w:rFonts w:hint="eastAsia"/>
          <w:rtl/>
        </w:rPr>
        <w:t>המעגל</w:t>
      </w:r>
      <w:r>
        <w:rPr>
          <w:rtl/>
        </w:rPr>
        <w:t>?</w:t>
      </w:r>
      <w:r>
        <w:rPr>
          <w:rFonts w:hint="cs"/>
          <w:rtl/>
        </w:rPr>
        <w:t>"</w:t>
      </w:r>
      <w:r w:rsidRPr="000257CF">
        <w:rPr>
          <w:rtl/>
        </w:rPr>
        <w:t xml:space="preserve"> </w:t>
      </w:r>
      <w:r w:rsidRPr="007F3BEE">
        <w:rPr>
          <w:rFonts w:ascii="Century" w:hAnsi="Century" w:cs="Miriam" w:hint="eastAsia"/>
          <w:b/>
          <w:spacing w:val="0"/>
          <w:szCs w:val="24"/>
          <w:rtl/>
        </w:rPr>
        <w:t>עיוני</w:t>
      </w:r>
      <w:r w:rsidRPr="007F3BEE">
        <w:rPr>
          <w:rFonts w:ascii="Century" w:hAnsi="Century" w:cs="Miriam"/>
          <w:b/>
          <w:spacing w:val="0"/>
          <w:szCs w:val="24"/>
          <w:rtl/>
        </w:rPr>
        <w:t xml:space="preserve"> </w:t>
      </w:r>
      <w:r w:rsidRPr="007F3BEE">
        <w:rPr>
          <w:rFonts w:ascii="Century" w:hAnsi="Century" w:cs="Miriam" w:hint="eastAsia"/>
          <w:b/>
          <w:spacing w:val="0"/>
          <w:szCs w:val="24"/>
          <w:rtl/>
        </w:rPr>
        <w:t>משפט</w:t>
      </w:r>
      <w:r w:rsidRPr="000257CF">
        <w:rPr>
          <w:rtl/>
        </w:rPr>
        <w:t xml:space="preserve"> </w:t>
      </w:r>
      <w:r w:rsidRPr="000257CF">
        <w:rPr>
          <w:rFonts w:hint="eastAsia"/>
          <w:rtl/>
        </w:rPr>
        <w:t>יט</w:t>
      </w:r>
      <w:r w:rsidRPr="000257CF">
        <w:rPr>
          <w:rtl/>
        </w:rPr>
        <w:t xml:space="preserve"> 479, 491 (1995)</w:t>
      </w:r>
      <w:r>
        <w:rPr>
          <w:rFonts w:hint="cs"/>
          <w:rtl/>
        </w:rPr>
        <w:t xml:space="preserve">; </w:t>
      </w:r>
      <w:r w:rsidRPr="007F3BEE">
        <w:rPr>
          <w:rFonts w:ascii="Century" w:hAnsi="Century" w:cs="Miriam" w:hint="cs"/>
          <w:b/>
          <w:spacing w:val="0"/>
          <w:szCs w:val="24"/>
          <w:rtl/>
        </w:rPr>
        <w:t>גביזון, מדינה יהודית ודמוקרטית</w:t>
      </w:r>
      <w:r>
        <w:rPr>
          <w:rFonts w:hint="cs"/>
          <w:rtl/>
        </w:rPr>
        <w:t xml:space="preserve">; יצחק זמיר </w:t>
      </w:r>
      <w:r w:rsidRPr="007F3BEE">
        <w:rPr>
          <w:rFonts w:ascii="Century" w:hAnsi="Century" w:cs="Miriam" w:hint="cs"/>
          <w:b/>
          <w:spacing w:val="0"/>
          <w:szCs w:val="24"/>
          <w:rtl/>
        </w:rPr>
        <w:t>הסמכות המינהלית</w:t>
      </w:r>
      <w:r w:rsidRPr="008348CD">
        <w:rPr>
          <w:rFonts w:hint="cs"/>
          <w:rtl/>
        </w:rPr>
        <w:t xml:space="preserve"> </w:t>
      </w:r>
      <w:r>
        <w:rPr>
          <w:rFonts w:hint="cs"/>
          <w:rtl/>
        </w:rPr>
        <w:t xml:space="preserve">כרך א 72-59 (מהדורה שנייה מורחבת, 2010); מנחם מאוטנר "הויכוח בין מנחם אלון לבין אהרן ברק על הזהות התרבותית של המשפט הישראלי" </w:t>
      </w:r>
      <w:r w:rsidRPr="007F3BEE">
        <w:rPr>
          <w:rFonts w:ascii="Century" w:hAnsi="Century" w:cs="Miriam" w:hint="cs"/>
          <w:b/>
          <w:spacing w:val="0"/>
          <w:szCs w:val="24"/>
          <w:rtl/>
        </w:rPr>
        <w:t>ה</w:t>
      </w:r>
      <w:r w:rsidRPr="007F3BEE">
        <w:rPr>
          <w:rFonts w:ascii="Century" w:hAnsi="Century" w:cs="Miriam" w:hint="eastAsia"/>
          <w:b/>
          <w:spacing w:val="0"/>
          <w:szCs w:val="24"/>
          <w:rtl/>
        </w:rPr>
        <w:t>לכה</w:t>
      </w:r>
      <w:r w:rsidRPr="007F3BEE">
        <w:rPr>
          <w:rFonts w:ascii="Century" w:hAnsi="Century" w:cs="Miriam"/>
          <w:b/>
          <w:spacing w:val="0"/>
          <w:szCs w:val="24"/>
          <w:rtl/>
        </w:rPr>
        <w:t xml:space="preserve"> </w:t>
      </w:r>
      <w:r w:rsidRPr="007F3BEE">
        <w:rPr>
          <w:rFonts w:ascii="Century" w:hAnsi="Century" w:cs="Miriam" w:hint="eastAsia"/>
          <w:b/>
          <w:spacing w:val="0"/>
          <w:szCs w:val="24"/>
          <w:rtl/>
        </w:rPr>
        <w:t>ומשפט</w:t>
      </w:r>
      <w:r w:rsidRPr="007F3BEE">
        <w:rPr>
          <w:rFonts w:ascii="Century" w:hAnsi="Century" w:cs="Miriam"/>
          <w:b/>
          <w:spacing w:val="0"/>
          <w:szCs w:val="24"/>
          <w:rtl/>
        </w:rPr>
        <w:t xml:space="preserve">: </w:t>
      </w:r>
      <w:r w:rsidRPr="007F3BEE">
        <w:rPr>
          <w:rFonts w:ascii="Century" w:hAnsi="Century" w:cs="Miriam" w:hint="eastAsia"/>
          <w:b/>
          <w:spacing w:val="0"/>
          <w:szCs w:val="24"/>
          <w:rtl/>
        </w:rPr>
        <w:t>ספר</w:t>
      </w:r>
      <w:r w:rsidRPr="007F3BEE">
        <w:rPr>
          <w:rFonts w:ascii="Century" w:hAnsi="Century" w:cs="Miriam"/>
          <w:b/>
          <w:spacing w:val="0"/>
          <w:szCs w:val="24"/>
          <w:rtl/>
        </w:rPr>
        <w:t xml:space="preserve"> </w:t>
      </w:r>
      <w:r w:rsidRPr="007F3BEE">
        <w:rPr>
          <w:rFonts w:ascii="Century" w:hAnsi="Century" w:cs="Miriam" w:hint="eastAsia"/>
          <w:b/>
          <w:spacing w:val="0"/>
          <w:szCs w:val="24"/>
          <w:rtl/>
        </w:rPr>
        <w:t>הזיכרון</w:t>
      </w:r>
      <w:r w:rsidRPr="007F3BEE">
        <w:rPr>
          <w:rFonts w:ascii="Century" w:hAnsi="Century" w:cs="Miriam"/>
          <w:b/>
          <w:spacing w:val="0"/>
          <w:szCs w:val="24"/>
          <w:rtl/>
        </w:rPr>
        <w:t xml:space="preserve"> </w:t>
      </w:r>
      <w:r w:rsidRPr="007F3BEE">
        <w:rPr>
          <w:rFonts w:ascii="Century" w:hAnsi="Century" w:cs="Miriam" w:hint="eastAsia"/>
          <w:b/>
          <w:spacing w:val="0"/>
          <w:szCs w:val="24"/>
          <w:rtl/>
        </w:rPr>
        <w:t>למנחם</w:t>
      </w:r>
      <w:r w:rsidRPr="007F3BEE">
        <w:rPr>
          <w:rFonts w:ascii="Century" w:hAnsi="Century" w:cs="Miriam"/>
          <w:b/>
          <w:spacing w:val="0"/>
          <w:szCs w:val="24"/>
          <w:rtl/>
        </w:rPr>
        <w:t xml:space="preserve"> </w:t>
      </w:r>
      <w:r w:rsidRPr="007F3BEE">
        <w:rPr>
          <w:rFonts w:ascii="Century" w:hAnsi="Century" w:cs="Miriam" w:hint="eastAsia"/>
          <w:b/>
          <w:spacing w:val="0"/>
          <w:szCs w:val="24"/>
          <w:rtl/>
        </w:rPr>
        <w:t>אלון</w:t>
      </w:r>
      <w:r>
        <w:rPr>
          <w:rFonts w:ascii="Century" w:hAnsi="Century" w:cs="Miriam" w:hint="cs"/>
          <w:b/>
          <w:spacing w:val="0"/>
          <w:szCs w:val="24"/>
          <w:rtl/>
        </w:rPr>
        <w:t xml:space="preserve"> </w:t>
      </w:r>
      <w:r w:rsidRPr="00D567AC">
        <w:rPr>
          <w:rFonts w:ascii="Century" w:hAnsi="Century"/>
          <w:sz w:val="22"/>
          <w:rtl/>
        </w:rPr>
        <w:t>109</w:t>
      </w:r>
      <w:r>
        <w:rPr>
          <w:rFonts w:ascii="Century" w:hAnsi="Century" w:hint="cs"/>
          <w:sz w:val="22"/>
          <w:rtl/>
        </w:rPr>
        <w:t xml:space="preserve"> </w:t>
      </w:r>
      <w:r w:rsidRPr="007941E8">
        <w:rPr>
          <w:rtl/>
        </w:rPr>
        <w:t>(2018)</w:t>
      </w:r>
      <w:r>
        <w:rPr>
          <w:rFonts w:hint="cs"/>
          <w:rtl/>
        </w:rPr>
        <w:t xml:space="preserve">) </w:t>
      </w:r>
      <w:r>
        <w:rPr>
          <w:rtl/>
        </w:rPr>
        <w:t>–</w:t>
      </w:r>
      <w:r>
        <w:rPr>
          <w:rFonts w:hint="cs"/>
          <w:rtl/>
        </w:rPr>
        <w:t xml:space="preserve"> הותרת ניסוח עמום ומופשט למבחן ההתערבות יוצרת מיניה וביה פתח רחב, תלוי תפיסות ערכיות שונות, באשר לקיומה של "פגיעה אנושה" כאמור. תחת הכותרת של "חריגה מסמכות מכוננת" או כל כותרת מקבילה, על בית המשפט לבחון "פגיעה אנושה" בעקרונות יסוד שגדריהם שנויים במחלוקות ערכיות, חברתיות וציבוריות, ולהן פנים רבות.</w:t>
      </w:r>
    </w:p>
    <w:p w:rsidR="00737972" w:rsidRPr="00A055AD" w:rsidRDefault="00737972" w:rsidP="00737972">
      <w:pPr>
        <w:pStyle w:val="Ruller41"/>
      </w:pPr>
    </w:p>
    <w:p w:rsidR="00737972" w:rsidRDefault="00737972" w:rsidP="00737972">
      <w:pPr>
        <w:pStyle w:val="Ruller4"/>
      </w:pPr>
      <w:r>
        <w:rPr>
          <w:rFonts w:hint="cs"/>
          <w:rtl/>
        </w:rPr>
        <w:t xml:space="preserve">וישאל השואל </w:t>
      </w:r>
      <w:r>
        <w:rPr>
          <w:rtl/>
        </w:rPr>
        <w:t>–</w:t>
      </w:r>
      <w:r>
        <w:rPr>
          <w:rFonts w:hint="cs"/>
          <w:rtl/>
        </w:rPr>
        <w:t xml:space="preserve"> הרי אין בכך כל חידוש, שכן גם בדיון שעניינו יישום סעיף 7א(א)(1) לחוק יסוד: הכנסת מוטלת על בית משפט זה המשימה לפרוט לכדי תוכן קונקרטי את המונח "שלילת קיומה של מדינת ישראל כמדינה יהודית ודמוקרטית", ולקבוע מהם אותם עקרונות אשר שלילתם מצדיקה את ההגבלה מכוח אותו סעיף. אולם, לא בכדי בית משפט זה בחר בגישה מרוסנת ביותר בעת יישום הוראת סעיף זה; קבע כי ההגבלות מכוחו הן מינימליות ביותר; יצק לו רף מחמיר ביותר, פרשנות שמשמעותה כמעט </w:t>
      </w:r>
      <w:r>
        <w:rPr>
          <w:rtl/>
        </w:rPr>
        <w:t>–</w:t>
      </w:r>
      <w:r>
        <w:rPr>
          <w:rFonts w:hint="cs"/>
          <w:rtl/>
        </w:rPr>
        <w:t xml:space="preserve"> או לא </w:t>
      </w:r>
      <w:r w:rsidRPr="00F67AB5">
        <w:rPr>
          <w:rFonts w:hint="cs"/>
          <w:rtl/>
        </w:rPr>
        <w:t xml:space="preserve">כמעט </w:t>
      </w:r>
      <w:r w:rsidRPr="00F67AB5">
        <w:rPr>
          <w:rtl/>
        </w:rPr>
        <w:t>–</w:t>
      </w:r>
      <w:r w:rsidRPr="00F67AB5">
        <w:rPr>
          <w:rFonts w:hint="cs"/>
          <w:rtl/>
        </w:rPr>
        <w:t xml:space="preserve"> ריקונ</w:t>
      </w:r>
      <w:r>
        <w:rPr>
          <w:rFonts w:hint="cs"/>
          <w:rtl/>
        </w:rPr>
        <w:t>ו</w:t>
      </w:r>
      <w:r w:rsidRPr="00F67AB5">
        <w:rPr>
          <w:rFonts w:hint="cs"/>
          <w:rtl/>
        </w:rPr>
        <w:t xml:space="preserve"> מכל תוכן </w:t>
      </w:r>
      <w:r w:rsidRPr="00BE6FC7">
        <w:rPr>
          <w:rFonts w:hint="eastAsia"/>
          <w:rtl/>
        </w:rPr>
        <w:t>והעמדת</w:t>
      </w:r>
      <w:r w:rsidRPr="00BE6FC7">
        <w:rPr>
          <w:rtl/>
        </w:rPr>
        <w:t xml:space="preserve"> </w:t>
      </w:r>
      <w:r w:rsidRPr="00BE6FC7">
        <w:rPr>
          <w:rFonts w:hint="eastAsia"/>
          <w:rtl/>
        </w:rPr>
        <w:t>דברי</w:t>
      </w:r>
      <w:r w:rsidRPr="00BE6FC7">
        <w:rPr>
          <w:rtl/>
        </w:rPr>
        <w:t xml:space="preserve"> </w:t>
      </w:r>
      <w:r w:rsidRPr="00BE6FC7">
        <w:rPr>
          <w:rFonts w:hint="eastAsia"/>
          <w:rtl/>
        </w:rPr>
        <w:t>המחוקק</w:t>
      </w:r>
      <w:r w:rsidRPr="00BE6FC7">
        <w:rPr>
          <w:rtl/>
        </w:rPr>
        <w:t xml:space="preserve"> </w:t>
      </w:r>
      <w:r w:rsidRPr="00BE6FC7">
        <w:rPr>
          <w:rFonts w:hint="eastAsia"/>
          <w:rtl/>
        </w:rPr>
        <w:t>כתיאורטיים</w:t>
      </w:r>
      <w:r w:rsidRPr="00BE6FC7">
        <w:rPr>
          <w:rtl/>
        </w:rPr>
        <w:t xml:space="preserve"> </w:t>
      </w:r>
      <w:r w:rsidRPr="00BE6FC7">
        <w:rPr>
          <w:rFonts w:hint="eastAsia"/>
          <w:rtl/>
        </w:rPr>
        <w:t>בלבד</w:t>
      </w:r>
      <w:r w:rsidRPr="00F67AB5">
        <w:rPr>
          <w:rFonts w:hint="cs"/>
          <w:rtl/>
        </w:rPr>
        <w:t xml:space="preserve"> (ראו ביקורת שהשמעתי בעניין זה: עניין </w:t>
      </w:r>
      <w:r w:rsidRPr="00F67AB5">
        <w:rPr>
          <w:rFonts w:ascii="Century" w:hAnsi="Century" w:cs="Miriam" w:hint="cs"/>
          <w:b/>
          <w:spacing w:val="0"/>
          <w:sz w:val="22"/>
          <w:szCs w:val="24"/>
          <w:rtl/>
        </w:rPr>
        <w:t>מראענה</w:t>
      </w:r>
      <w:r w:rsidRPr="00F67AB5">
        <w:rPr>
          <w:rFonts w:hint="cs"/>
          <w:rtl/>
        </w:rPr>
        <w:t>, פסקאות 3-1</w:t>
      </w:r>
      <w:r>
        <w:rPr>
          <w:rFonts w:hint="cs"/>
          <w:rtl/>
        </w:rPr>
        <w:t xml:space="preserve"> לחוות דעתי</w:t>
      </w:r>
      <w:r w:rsidRPr="00F67AB5">
        <w:rPr>
          <w:rFonts w:hint="cs"/>
          <w:rtl/>
        </w:rPr>
        <w:t xml:space="preserve">; </w:t>
      </w:r>
      <w:r w:rsidRPr="00F67AB5">
        <w:rPr>
          <w:rFonts w:hint="eastAsia"/>
          <w:rtl/>
        </w:rPr>
        <w:t>א</w:t>
      </w:r>
      <w:r w:rsidRPr="00F67AB5">
        <w:rPr>
          <w:rtl/>
        </w:rPr>
        <w:t>"</w:t>
      </w:r>
      <w:r w:rsidRPr="00F67AB5">
        <w:rPr>
          <w:rFonts w:hint="eastAsia"/>
          <w:rtl/>
        </w:rPr>
        <w:t>ב</w:t>
      </w:r>
      <w:r w:rsidRPr="00F67AB5">
        <w:rPr>
          <w:rtl/>
        </w:rPr>
        <w:t xml:space="preserve"> 1806/19 </w:t>
      </w:r>
      <w:r w:rsidRPr="00F67AB5">
        <w:rPr>
          <w:rFonts w:ascii="Century" w:hAnsi="Century" w:cs="Miriam" w:hint="eastAsia"/>
          <w:b/>
          <w:spacing w:val="0"/>
          <w:sz w:val="22"/>
          <w:szCs w:val="24"/>
          <w:rtl/>
        </w:rPr>
        <w:t>ועדת</w:t>
      </w:r>
      <w:r w:rsidRPr="00F67AB5">
        <w:rPr>
          <w:rFonts w:ascii="Century" w:hAnsi="Century" w:cs="Miriam"/>
          <w:b/>
          <w:spacing w:val="0"/>
          <w:sz w:val="22"/>
          <w:szCs w:val="24"/>
          <w:rtl/>
        </w:rPr>
        <w:t xml:space="preserve"> </w:t>
      </w:r>
      <w:r w:rsidRPr="00F67AB5">
        <w:rPr>
          <w:rFonts w:ascii="Century" w:hAnsi="Century" w:cs="Miriam" w:hint="eastAsia"/>
          <w:b/>
          <w:spacing w:val="0"/>
          <w:sz w:val="22"/>
          <w:szCs w:val="24"/>
          <w:rtl/>
        </w:rPr>
        <w:t>הבחירות</w:t>
      </w:r>
      <w:r w:rsidRPr="00F67AB5">
        <w:rPr>
          <w:rFonts w:ascii="Century" w:hAnsi="Century" w:cs="Miriam"/>
          <w:b/>
          <w:spacing w:val="0"/>
          <w:sz w:val="22"/>
          <w:szCs w:val="24"/>
          <w:rtl/>
        </w:rPr>
        <w:t xml:space="preserve"> </w:t>
      </w:r>
      <w:r w:rsidRPr="00F67AB5">
        <w:rPr>
          <w:rFonts w:ascii="Century" w:hAnsi="Century" w:cs="Miriam" w:hint="eastAsia"/>
          <w:b/>
          <w:spacing w:val="0"/>
          <w:sz w:val="22"/>
          <w:szCs w:val="24"/>
          <w:rtl/>
        </w:rPr>
        <w:t>המרכזית</w:t>
      </w:r>
      <w:r w:rsidRPr="00F67AB5">
        <w:rPr>
          <w:rFonts w:ascii="Century" w:hAnsi="Century" w:cs="Miriam"/>
          <w:b/>
          <w:spacing w:val="0"/>
          <w:sz w:val="22"/>
          <w:szCs w:val="24"/>
          <w:rtl/>
        </w:rPr>
        <w:t xml:space="preserve"> </w:t>
      </w:r>
      <w:r w:rsidRPr="00F67AB5">
        <w:rPr>
          <w:rFonts w:ascii="Century" w:hAnsi="Century" w:cs="Miriam" w:hint="eastAsia"/>
          <w:b/>
          <w:spacing w:val="0"/>
          <w:sz w:val="22"/>
          <w:szCs w:val="24"/>
          <w:rtl/>
        </w:rPr>
        <w:t>לכנסת</w:t>
      </w:r>
      <w:r w:rsidRPr="00F67AB5">
        <w:rPr>
          <w:rFonts w:ascii="Century" w:hAnsi="Century" w:cs="Miriam"/>
          <w:b/>
          <w:spacing w:val="0"/>
          <w:sz w:val="22"/>
          <w:szCs w:val="24"/>
          <w:rtl/>
        </w:rPr>
        <w:t xml:space="preserve"> </w:t>
      </w:r>
      <w:r w:rsidRPr="00F67AB5">
        <w:rPr>
          <w:rFonts w:ascii="Century" w:hAnsi="Century" w:cs="Miriam" w:hint="eastAsia"/>
          <w:b/>
          <w:spacing w:val="0"/>
          <w:sz w:val="22"/>
          <w:szCs w:val="24"/>
          <w:rtl/>
        </w:rPr>
        <w:t>ה</w:t>
      </w:r>
      <w:r w:rsidRPr="00F67AB5">
        <w:rPr>
          <w:rFonts w:ascii="Century" w:hAnsi="Century" w:cs="Miriam"/>
          <w:b/>
          <w:spacing w:val="0"/>
          <w:sz w:val="22"/>
          <w:szCs w:val="24"/>
          <w:rtl/>
        </w:rPr>
        <w:t>-</w:t>
      </w:r>
      <w:r w:rsidRPr="002F38A4">
        <w:rPr>
          <w:rFonts w:ascii="Century" w:hAnsi="Century" w:cs="Miriam"/>
          <w:b/>
          <w:spacing w:val="0"/>
          <w:sz w:val="22"/>
          <w:szCs w:val="24"/>
          <w:rtl/>
        </w:rPr>
        <w:t xml:space="preserve">21 </w:t>
      </w:r>
      <w:r w:rsidRPr="002F38A4">
        <w:rPr>
          <w:rFonts w:ascii="Century" w:hAnsi="Century" w:cs="Miriam" w:hint="eastAsia"/>
          <w:b/>
          <w:spacing w:val="0"/>
          <w:sz w:val="22"/>
          <w:szCs w:val="24"/>
          <w:rtl/>
        </w:rPr>
        <w:t>נ</w:t>
      </w:r>
      <w:r w:rsidRPr="002F38A4">
        <w:rPr>
          <w:rFonts w:ascii="Century" w:hAnsi="Century" w:cs="Miriam"/>
          <w:b/>
          <w:spacing w:val="0"/>
          <w:sz w:val="22"/>
          <w:szCs w:val="24"/>
          <w:rtl/>
        </w:rPr>
        <w:t xml:space="preserve">' </w:t>
      </w:r>
      <w:r w:rsidRPr="002F38A4">
        <w:rPr>
          <w:rFonts w:ascii="Century" w:hAnsi="Century" w:cs="Miriam" w:hint="eastAsia"/>
          <w:b/>
          <w:spacing w:val="0"/>
          <w:sz w:val="22"/>
          <w:szCs w:val="24"/>
          <w:rtl/>
        </w:rPr>
        <w:t>כסיף</w:t>
      </w:r>
      <w:r w:rsidRPr="002F38A4">
        <w:rPr>
          <w:rtl/>
        </w:rPr>
        <w:t xml:space="preserve">, </w:t>
      </w:r>
      <w:r w:rsidRPr="002F38A4">
        <w:rPr>
          <w:rFonts w:hint="cs"/>
          <w:rtl/>
        </w:rPr>
        <w:t>פסקה 40</w:t>
      </w:r>
      <w:r>
        <w:rPr>
          <w:rFonts w:hint="cs"/>
          <w:rtl/>
        </w:rPr>
        <w:t xml:space="preserve"> לחוות דעתי</w:t>
      </w:r>
      <w:r w:rsidRPr="002F38A4">
        <w:rPr>
          <w:rFonts w:hint="cs"/>
          <w:rtl/>
        </w:rPr>
        <w:t xml:space="preserve"> </w:t>
      </w:r>
      <w:r w:rsidRPr="002F38A4">
        <w:rPr>
          <w:rtl/>
        </w:rPr>
        <w:t>(18.7.2019)</w:t>
      </w:r>
      <w:r w:rsidRPr="002F38A4">
        <w:rPr>
          <w:rFonts w:hint="cs"/>
          <w:rtl/>
        </w:rPr>
        <w:t xml:space="preserve"> (להלן: עניין </w:t>
      </w:r>
      <w:r w:rsidRPr="002F38A4">
        <w:rPr>
          <w:rFonts w:ascii="Century" w:hAnsi="Century" w:cs="Miriam" w:hint="cs"/>
          <w:b/>
          <w:spacing w:val="0"/>
          <w:sz w:val="22"/>
          <w:szCs w:val="24"/>
          <w:rtl/>
        </w:rPr>
        <w:t>כסיף</w:t>
      </w:r>
      <w:r w:rsidRPr="002F38A4">
        <w:rPr>
          <w:rFonts w:hint="cs"/>
          <w:rtl/>
        </w:rPr>
        <w:t>)</w:t>
      </w:r>
      <w:r w:rsidRPr="002F38A4">
        <w:rPr>
          <w:rtl/>
        </w:rPr>
        <w:t xml:space="preserve">; </w:t>
      </w:r>
      <w:r w:rsidRPr="002F38A4">
        <w:rPr>
          <w:rFonts w:hint="eastAsia"/>
          <w:rtl/>
        </w:rPr>
        <w:t>א</w:t>
      </w:r>
      <w:r w:rsidRPr="002F38A4">
        <w:rPr>
          <w:rtl/>
        </w:rPr>
        <w:t>"</w:t>
      </w:r>
      <w:r w:rsidRPr="002F38A4">
        <w:rPr>
          <w:rFonts w:hint="eastAsia"/>
          <w:rtl/>
        </w:rPr>
        <w:t>ב</w:t>
      </w:r>
      <w:r w:rsidRPr="002F38A4">
        <w:rPr>
          <w:rtl/>
        </w:rPr>
        <w:t xml:space="preserve"> 852/20 </w:t>
      </w:r>
      <w:r w:rsidRPr="002F38A4">
        <w:rPr>
          <w:rFonts w:ascii="Century" w:hAnsi="Century" w:cs="Miriam" w:hint="eastAsia"/>
          <w:b/>
          <w:spacing w:val="0"/>
          <w:sz w:val="22"/>
          <w:szCs w:val="24"/>
          <w:rtl/>
        </w:rPr>
        <w:t>ועדת</w:t>
      </w:r>
      <w:r w:rsidRPr="002F38A4">
        <w:rPr>
          <w:rFonts w:ascii="Century" w:hAnsi="Century" w:cs="Miriam"/>
          <w:b/>
          <w:spacing w:val="0"/>
          <w:sz w:val="22"/>
          <w:szCs w:val="24"/>
          <w:rtl/>
        </w:rPr>
        <w:t xml:space="preserve"> </w:t>
      </w:r>
      <w:r w:rsidRPr="002F38A4">
        <w:rPr>
          <w:rFonts w:ascii="Century" w:hAnsi="Century" w:cs="Miriam" w:hint="eastAsia"/>
          <w:b/>
          <w:spacing w:val="0"/>
          <w:sz w:val="22"/>
          <w:szCs w:val="24"/>
          <w:rtl/>
        </w:rPr>
        <w:t>הבחירות</w:t>
      </w:r>
      <w:r w:rsidRPr="002F38A4">
        <w:rPr>
          <w:rFonts w:ascii="Century" w:hAnsi="Century" w:cs="Miriam"/>
          <w:b/>
          <w:spacing w:val="0"/>
          <w:sz w:val="22"/>
          <w:szCs w:val="24"/>
          <w:rtl/>
        </w:rPr>
        <w:t xml:space="preserve"> </w:t>
      </w:r>
      <w:r w:rsidRPr="002F38A4">
        <w:rPr>
          <w:rFonts w:ascii="Century" w:hAnsi="Century" w:cs="Miriam" w:hint="eastAsia"/>
          <w:b/>
          <w:spacing w:val="0"/>
          <w:sz w:val="22"/>
          <w:szCs w:val="24"/>
          <w:rtl/>
        </w:rPr>
        <w:t>המרכזית</w:t>
      </w:r>
      <w:r w:rsidRPr="002F38A4">
        <w:rPr>
          <w:rFonts w:ascii="Century" w:hAnsi="Century" w:cs="Miriam"/>
          <w:b/>
          <w:spacing w:val="0"/>
          <w:sz w:val="22"/>
          <w:szCs w:val="24"/>
          <w:rtl/>
        </w:rPr>
        <w:t xml:space="preserve"> </w:t>
      </w:r>
      <w:r w:rsidRPr="002F38A4">
        <w:rPr>
          <w:rFonts w:ascii="Century" w:hAnsi="Century" w:cs="Miriam" w:hint="eastAsia"/>
          <w:b/>
          <w:spacing w:val="0"/>
          <w:sz w:val="22"/>
          <w:szCs w:val="24"/>
          <w:rtl/>
        </w:rPr>
        <w:t>לכנסת</w:t>
      </w:r>
      <w:r w:rsidRPr="002F38A4">
        <w:rPr>
          <w:rFonts w:ascii="Century" w:hAnsi="Century" w:cs="Miriam"/>
          <w:b/>
          <w:spacing w:val="0"/>
          <w:sz w:val="22"/>
          <w:szCs w:val="24"/>
          <w:rtl/>
        </w:rPr>
        <w:t xml:space="preserve"> </w:t>
      </w:r>
      <w:r w:rsidRPr="002F38A4">
        <w:rPr>
          <w:rFonts w:ascii="Century" w:hAnsi="Century" w:cs="Miriam" w:hint="eastAsia"/>
          <w:b/>
          <w:spacing w:val="0"/>
          <w:sz w:val="22"/>
          <w:szCs w:val="24"/>
          <w:rtl/>
        </w:rPr>
        <w:t>ה</w:t>
      </w:r>
      <w:r w:rsidRPr="002F38A4">
        <w:rPr>
          <w:rFonts w:ascii="Century" w:hAnsi="Century" w:cs="Miriam"/>
          <w:b/>
          <w:spacing w:val="0"/>
          <w:sz w:val="22"/>
          <w:szCs w:val="24"/>
          <w:rtl/>
        </w:rPr>
        <w:t xml:space="preserve">-23 </w:t>
      </w:r>
      <w:r w:rsidRPr="002F38A4">
        <w:rPr>
          <w:rFonts w:ascii="Century" w:hAnsi="Century" w:cs="Miriam" w:hint="eastAsia"/>
          <w:b/>
          <w:spacing w:val="0"/>
          <w:sz w:val="22"/>
          <w:szCs w:val="24"/>
          <w:rtl/>
        </w:rPr>
        <w:t>נ</w:t>
      </w:r>
      <w:r w:rsidRPr="002F38A4">
        <w:rPr>
          <w:rFonts w:ascii="Century" w:hAnsi="Century" w:cs="Miriam"/>
          <w:b/>
          <w:spacing w:val="0"/>
          <w:sz w:val="22"/>
          <w:szCs w:val="24"/>
          <w:rtl/>
        </w:rPr>
        <w:t xml:space="preserve">' </w:t>
      </w:r>
      <w:r w:rsidRPr="002F38A4">
        <w:rPr>
          <w:rFonts w:ascii="Century" w:hAnsi="Century" w:cs="Miriam" w:hint="eastAsia"/>
          <w:b/>
          <w:spacing w:val="0"/>
          <w:sz w:val="22"/>
          <w:szCs w:val="24"/>
          <w:rtl/>
        </w:rPr>
        <w:t>יזבק</w:t>
      </w:r>
      <w:r w:rsidRPr="002F38A4">
        <w:rPr>
          <w:rtl/>
        </w:rPr>
        <w:t xml:space="preserve">, </w:t>
      </w:r>
      <w:r w:rsidRPr="002F38A4">
        <w:rPr>
          <w:rFonts w:hint="eastAsia"/>
          <w:rtl/>
        </w:rPr>
        <w:t>פסקה</w:t>
      </w:r>
      <w:r w:rsidRPr="002F38A4">
        <w:rPr>
          <w:rtl/>
        </w:rPr>
        <w:t xml:space="preserve"> </w:t>
      </w:r>
      <w:r w:rsidRPr="002F38A4">
        <w:rPr>
          <w:rFonts w:hint="cs"/>
          <w:rtl/>
        </w:rPr>
        <w:t xml:space="preserve">14 </w:t>
      </w:r>
      <w:r w:rsidRPr="002F38A4">
        <w:rPr>
          <w:rFonts w:hint="eastAsia"/>
          <w:rtl/>
        </w:rPr>
        <w:t>לחוות</w:t>
      </w:r>
      <w:r w:rsidRPr="002F38A4">
        <w:rPr>
          <w:rtl/>
        </w:rPr>
        <w:t xml:space="preserve"> </w:t>
      </w:r>
      <w:r w:rsidRPr="002F38A4">
        <w:rPr>
          <w:rFonts w:hint="eastAsia"/>
          <w:rtl/>
        </w:rPr>
        <w:t>דעתי</w:t>
      </w:r>
      <w:r w:rsidRPr="002F38A4">
        <w:rPr>
          <w:rtl/>
        </w:rPr>
        <w:t xml:space="preserve"> (9.2.2020</w:t>
      </w:r>
      <w:r w:rsidRPr="002F38A4">
        <w:rPr>
          <w:rFonts w:hint="cs"/>
          <w:rtl/>
        </w:rPr>
        <w:t xml:space="preserve">)). </w:t>
      </w:r>
      <w:r w:rsidRPr="002F38A4">
        <w:rPr>
          <w:rFonts w:hint="eastAsia"/>
          <w:rtl/>
        </w:rPr>
        <w:t>גם</w:t>
      </w:r>
      <w:r w:rsidRPr="002F38A4">
        <w:rPr>
          <w:rtl/>
        </w:rPr>
        <w:t xml:space="preserve"> </w:t>
      </w:r>
      <w:r w:rsidRPr="002F38A4">
        <w:rPr>
          <w:rFonts w:hint="eastAsia"/>
          <w:rtl/>
        </w:rPr>
        <w:t>במקרים</w:t>
      </w:r>
      <w:r w:rsidRPr="002F38A4">
        <w:rPr>
          <w:rtl/>
        </w:rPr>
        <w:t xml:space="preserve"> </w:t>
      </w:r>
      <w:r w:rsidRPr="002F38A4">
        <w:rPr>
          <w:rFonts w:hint="eastAsia"/>
          <w:rtl/>
        </w:rPr>
        <w:t>שבהם</w:t>
      </w:r>
      <w:r w:rsidRPr="002F38A4">
        <w:rPr>
          <w:rtl/>
        </w:rPr>
        <w:t xml:space="preserve"> </w:t>
      </w:r>
      <w:r w:rsidRPr="002F38A4">
        <w:rPr>
          <w:rFonts w:hint="cs"/>
          <w:rtl/>
        </w:rPr>
        <w:t xml:space="preserve">הוצגו </w:t>
      </w:r>
      <w:r w:rsidRPr="002F38A4">
        <w:rPr>
          <w:rFonts w:hint="eastAsia"/>
          <w:rtl/>
        </w:rPr>
        <w:t>ראיות</w:t>
      </w:r>
      <w:r w:rsidRPr="002F38A4">
        <w:rPr>
          <w:rtl/>
        </w:rPr>
        <w:t xml:space="preserve"> </w:t>
      </w:r>
      <w:r w:rsidRPr="002F38A4">
        <w:rPr>
          <w:rFonts w:hint="eastAsia"/>
          <w:rtl/>
        </w:rPr>
        <w:t>בוטות</w:t>
      </w:r>
      <w:r w:rsidRPr="002F38A4">
        <w:rPr>
          <w:rtl/>
        </w:rPr>
        <w:t xml:space="preserve"> </w:t>
      </w:r>
      <w:r w:rsidRPr="002F38A4">
        <w:rPr>
          <w:rFonts w:hint="eastAsia"/>
          <w:rtl/>
        </w:rPr>
        <w:t>וברורות</w:t>
      </w:r>
      <w:r w:rsidRPr="002F38A4">
        <w:rPr>
          <w:rtl/>
        </w:rPr>
        <w:t xml:space="preserve">, </w:t>
      </w:r>
      <w:r w:rsidRPr="002F38A4">
        <w:rPr>
          <w:rFonts w:hint="eastAsia"/>
          <w:rtl/>
        </w:rPr>
        <w:t>בית</w:t>
      </w:r>
      <w:r w:rsidRPr="002F38A4">
        <w:rPr>
          <w:rtl/>
        </w:rPr>
        <w:t xml:space="preserve"> </w:t>
      </w:r>
      <w:r w:rsidRPr="002F38A4">
        <w:rPr>
          <w:rFonts w:hint="cs"/>
          <w:rtl/>
        </w:rPr>
        <w:t>ה</w:t>
      </w:r>
      <w:r w:rsidRPr="002F38A4">
        <w:rPr>
          <w:rFonts w:hint="eastAsia"/>
          <w:rtl/>
        </w:rPr>
        <w:t>משפט</w:t>
      </w:r>
      <w:r w:rsidRPr="002F38A4">
        <w:rPr>
          <w:rtl/>
        </w:rPr>
        <w:t xml:space="preserve"> </w:t>
      </w:r>
      <w:r w:rsidRPr="002F38A4">
        <w:rPr>
          <w:rFonts w:hint="eastAsia"/>
          <w:rtl/>
        </w:rPr>
        <w:t>עשה</w:t>
      </w:r>
      <w:r w:rsidRPr="002F38A4">
        <w:rPr>
          <w:rtl/>
        </w:rPr>
        <w:t xml:space="preserve"> </w:t>
      </w:r>
      <w:r w:rsidRPr="002F38A4">
        <w:rPr>
          <w:rFonts w:hint="cs"/>
          <w:rtl/>
        </w:rPr>
        <w:lastRenderedPageBreak/>
        <w:t xml:space="preserve">מאמצים רבים </w:t>
      </w:r>
      <w:r w:rsidRPr="002F38A4">
        <w:rPr>
          <w:rFonts w:hint="eastAsia"/>
          <w:rtl/>
        </w:rPr>
        <w:t>להימנע</w:t>
      </w:r>
      <w:r w:rsidRPr="002F38A4">
        <w:rPr>
          <w:rtl/>
        </w:rPr>
        <w:t xml:space="preserve"> </w:t>
      </w:r>
      <w:r w:rsidRPr="002F38A4">
        <w:rPr>
          <w:rFonts w:hint="eastAsia"/>
          <w:rtl/>
        </w:rPr>
        <w:t>מלצקת</w:t>
      </w:r>
      <w:r w:rsidRPr="002F38A4">
        <w:rPr>
          <w:rtl/>
        </w:rPr>
        <w:t xml:space="preserve"> </w:t>
      </w:r>
      <w:r w:rsidRPr="002F38A4">
        <w:rPr>
          <w:rFonts w:hint="eastAsia"/>
          <w:rtl/>
        </w:rPr>
        <w:t>תוכן</w:t>
      </w:r>
      <w:r w:rsidRPr="002F38A4">
        <w:rPr>
          <w:rtl/>
        </w:rPr>
        <w:t xml:space="preserve"> </w:t>
      </w:r>
      <w:r w:rsidRPr="002F38A4">
        <w:rPr>
          <w:rFonts w:hint="eastAsia"/>
          <w:rtl/>
        </w:rPr>
        <w:t>מעשי</w:t>
      </w:r>
      <w:r w:rsidRPr="002F38A4">
        <w:rPr>
          <w:rtl/>
        </w:rPr>
        <w:t xml:space="preserve"> </w:t>
      </w:r>
      <w:r w:rsidRPr="002F38A4">
        <w:rPr>
          <w:rFonts w:hint="eastAsia"/>
          <w:rtl/>
        </w:rPr>
        <w:t>להגבלה</w:t>
      </w:r>
      <w:r w:rsidRPr="002F38A4">
        <w:rPr>
          <w:rtl/>
        </w:rPr>
        <w:t xml:space="preserve"> </w:t>
      </w:r>
      <w:r w:rsidRPr="002F38A4">
        <w:rPr>
          <w:rFonts w:hint="eastAsia"/>
          <w:rtl/>
        </w:rPr>
        <w:t>הקבועה</w:t>
      </w:r>
      <w:r w:rsidRPr="002F38A4">
        <w:rPr>
          <w:rtl/>
        </w:rPr>
        <w:t xml:space="preserve"> </w:t>
      </w:r>
      <w:r w:rsidRPr="002F38A4">
        <w:rPr>
          <w:rFonts w:hint="eastAsia"/>
          <w:rtl/>
        </w:rPr>
        <w:t>בסעיף</w:t>
      </w:r>
      <w:r w:rsidRPr="002F38A4">
        <w:rPr>
          <w:rtl/>
        </w:rPr>
        <w:t xml:space="preserve"> (</w:t>
      </w:r>
      <w:r w:rsidRPr="002F38A4">
        <w:rPr>
          <w:rFonts w:hint="eastAsia"/>
          <w:rtl/>
        </w:rPr>
        <w:t>ראו</w:t>
      </w:r>
      <w:r w:rsidRPr="002F38A4">
        <w:rPr>
          <w:rtl/>
        </w:rPr>
        <w:t xml:space="preserve"> </w:t>
      </w:r>
      <w:r w:rsidRPr="002F38A4">
        <w:rPr>
          <w:rFonts w:hint="eastAsia"/>
          <w:rtl/>
        </w:rPr>
        <w:t>למשל</w:t>
      </w:r>
      <w:r w:rsidRPr="002F38A4">
        <w:rPr>
          <w:rtl/>
        </w:rPr>
        <w:t xml:space="preserve">: </w:t>
      </w:r>
      <w:r w:rsidRPr="002F38A4">
        <w:rPr>
          <w:rFonts w:hint="eastAsia"/>
          <w:rtl/>
        </w:rPr>
        <w:t>עניין</w:t>
      </w:r>
      <w:r w:rsidRPr="002F38A4">
        <w:rPr>
          <w:rtl/>
        </w:rPr>
        <w:t xml:space="preserve"> </w:t>
      </w:r>
      <w:r w:rsidRPr="002F38A4">
        <w:rPr>
          <w:rFonts w:ascii="Century" w:hAnsi="Century" w:cs="Miriam" w:hint="eastAsia"/>
          <w:b/>
          <w:spacing w:val="0"/>
          <w:sz w:val="22"/>
          <w:szCs w:val="24"/>
          <w:rtl/>
        </w:rPr>
        <w:t>כסיף</w:t>
      </w:r>
      <w:r w:rsidRPr="002F38A4">
        <w:rPr>
          <w:rtl/>
        </w:rPr>
        <w:t xml:space="preserve">, </w:t>
      </w:r>
      <w:r w:rsidRPr="002F38A4">
        <w:rPr>
          <w:rFonts w:hint="eastAsia"/>
          <w:rtl/>
        </w:rPr>
        <w:t>פסקאות</w:t>
      </w:r>
      <w:r w:rsidRPr="002F38A4">
        <w:rPr>
          <w:rtl/>
        </w:rPr>
        <w:t xml:space="preserve"> 39-23 </w:t>
      </w:r>
      <w:r w:rsidRPr="002F38A4">
        <w:rPr>
          <w:rFonts w:hint="eastAsia"/>
          <w:rtl/>
        </w:rPr>
        <w:t>לחוות</w:t>
      </w:r>
      <w:r w:rsidRPr="002F38A4">
        <w:rPr>
          <w:rtl/>
        </w:rPr>
        <w:t xml:space="preserve"> </w:t>
      </w:r>
      <w:r w:rsidRPr="002F38A4">
        <w:rPr>
          <w:rFonts w:hint="eastAsia"/>
          <w:rtl/>
        </w:rPr>
        <w:t>דעתי</w:t>
      </w:r>
      <w:r w:rsidRPr="002F38A4">
        <w:rPr>
          <w:rtl/>
        </w:rPr>
        <w:t>).</w:t>
      </w:r>
      <w:r w:rsidRPr="002F38A4">
        <w:rPr>
          <w:rFonts w:hint="cs"/>
          <w:rtl/>
        </w:rPr>
        <w:t xml:space="preserve"> קיימת אפוא מידה של אירוניה בטענה כי מושגים אלה </w:t>
      </w:r>
      <w:r w:rsidRPr="002F38A4">
        <w:rPr>
          <w:rtl/>
        </w:rPr>
        <w:t>–</w:t>
      </w:r>
      <w:r w:rsidRPr="002F38A4">
        <w:rPr>
          <w:rFonts w:hint="cs"/>
          <w:rtl/>
        </w:rPr>
        <w:t xml:space="preserve"> "יהודית ודמוקרטית" </w:t>
      </w:r>
      <w:r w:rsidRPr="002F38A4">
        <w:rPr>
          <w:rtl/>
        </w:rPr>
        <w:t>–</w:t>
      </w:r>
      <w:r w:rsidRPr="002F38A4">
        <w:rPr>
          <w:rFonts w:hint="cs"/>
          <w:rtl/>
        </w:rPr>
        <w:t xml:space="preserve"> זוכים לתרגום מעשי על ידי בית משפט זה כדבר יום ביומו בעת יישום</w:t>
      </w:r>
      <w:r>
        <w:rPr>
          <w:rFonts w:hint="cs"/>
          <w:rtl/>
        </w:rPr>
        <w:t xml:space="preserve"> הוראת סעיף 7א(א)(1) האמורה, וכי יש ליישם את האמור על ענייננו.</w:t>
      </w:r>
    </w:p>
    <w:p w:rsidR="00737972" w:rsidRDefault="00737972" w:rsidP="00737972">
      <w:pPr>
        <w:pStyle w:val="Ruller4"/>
        <w:numPr>
          <w:ilvl w:val="0"/>
          <w:numId w:val="0"/>
        </w:numPr>
      </w:pPr>
    </w:p>
    <w:p w:rsidR="00737972" w:rsidRDefault="00737972" w:rsidP="00737972">
      <w:pPr>
        <w:pStyle w:val="Ruller4"/>
      </w:pPr>
      <w:r>
        <w:rPr>
          <w:rFonts w:hint="cs"/>
          <w:rtl/>
        </w:rPr>
        <w:t>אדרבה, שמח הייתי אם חבריי היו מאמצים את הביקורת שהשמעתי בעניין זה לגבי יישום הוראת סעיף 7א(א)(1) וקובעים כי אין מדובר בהוראת חוק שהמחוקק השחית לריק את מילותיו לשם תפארת המליצה. אולם שעה שאין כך הדבר, ריקון מתוכן של הוראה המאפשרת שלילת מועמד או רשימה להיבחר על בסיס עיקרון של "שלילת קיומה של מדינת ישראל כיהודית ודמוקרטית"; ושימוש בנוסחה דומה כזו או אחרת לצורך עשיית שימוש בכלי הקיצוני של ביטול חוק יסוד, מהווה בהקשר זה במידה רבה אחיזה בחבל משני קצותיו.</w:t>
      </w:r>
    </w:p>
    <w:p w:rsidR="00737972" w:rsidRPr="0076515C" w:rsidRDefault="00737972" w:rsidP="00737972">
      <w:pPr>
        <w:pStyle w:val="Ruller4"/>
        <w:numPr>
          <w:ilvl w:val="0"/>
          <w:numId w:val="0"/>
        </w:numPr>
      </w:pPr>
    </w:p>
    <w:p w:rsidR="00737972" w:rsidRDefault="00737972" w:rsidP="00737972">
      <w:pPr>
        <w:pStyle w:val="Ruller4"/>
      </w:pPr>
      <w:r>
        <w:rPr>
          <w:rFonts w:hint="cs"/>
          <w:rtl/>
        </w:rPr>
        <w:t xml:space="preserve">בעניין זה טוענת אמנם חברתי הנשיאה (בדימ') כי אין להשוות בין המבחנים שגובשו לעניין עילת הפסילה לפי סעיף 7א לחוק יסוד: הכנסת לבין המבחנים הנוגעים לחריגה מסמכות מכוננת (וכך גם עולה מחוות דעתו של חברי השופט </w:t>
      </w:r>
      <w:r w:rsidRPr="00A45F5D">
        <w:rPr>
          <w:rFonts w:ascii="Century" w:hAnsi="Century" w:cs="Miriam" w:hint="eastAsia"/>
          <w:b/>
          <w:spacing w:val="0"/>
          <w:sz w:val="22"/>
          <w:szCs w:val="24"/>
          <w:rtl/>
        </w:rPr>
        <w:t>עמית</w:t>
      </w:r>
      <w:r>
        <w:rPr>
          <w:rFonts w:hint="cs"/>
          <w:rtl/>
        </w:rPr>
        <w:t xml:space="preserve">, פסקה 115). אולם קשה להלום סברה זו. ראשית, אף חברתי שואבת השראה לענייננו מפרשנות מונחים אלה ("יהודית ודמוקרטית") בפסיקת בית משפט זה בקשר להוראת סעיף 7א(א)(1) לחוק יסוד: הכנסת (למשל בפסקה 103 לחוות דעתה). שנית, מבין השיטין עולה כי לעמדת חברתי, רף הפגיעה בזכות לבחור ולהיבחר צריך להיות </w:t>
      </w:r>
      <w:r w:rsidRPr="00A45F5D">
        <w:rPr>
          <w:rFonts w:ascii="Century" w:hAnsi="Century" w:cs="Miriam" w:hint="eastAsia"/>
          <w:b/>
          <w:spacing w:val="0"/>
          <w:sz w:val="22"/>
          <w:szCs w:val="24"/>
          <w:rtl/>
        </w:rPr>
        <w:t>גבוה</w:t>
      </w:r>
      <w:r w:rsidRPr="0076515C">
        <w:rPr>
          <w:rFonts w:hint="cs"/>
          <w:rtl/>
        </w:rPr>
        <w:t xml:space="preserve"> </w:t>
      </w:r>
      <w:r>
        <w:rPr>
          <w:rFonts w:hint="cs"/>
          <w:rtl/>
        </w:rPr>
        <w:t xml:space="preserve">יותר מאשר רף ההתערבות בסמכותה המכוננת של הכנסת בשל ההגבלה הטמונה בסעיף 7א שמשמעותה "הרחקה מראש" ולא התמודדות עם תוצר מוגמר. אף אם הזכות לבחור ולהיבחר היא-היא "נשמת אפו של כל משטר דמוקרטי" (כפי שהפנתה חברתי לעניין </w:t>
      </w:r>
      <w:r w:rsidRPr="00A45F5D">
        <w:rPr>
          <w:rFonts w:ascii="Century" w:hAnsi="Century" w:cs="Miriam" w:hint="eastAsia"/>
          <w:b/>
          <w:spacing w:val="0"/>
          <w:sz w:val="22"/>
          <w:szCs w:val="24"/>
          <w:rtl/>
        </w:rPr>
        <w:t>כסיף</w:t>
      </w:r>
      <w:r>
        <w:rPr>
          <w:rFonts w:hint="cs"/>
          <w:rtl/>
        </w:rPr>
        <w:t xml:space="preserve">, פסקאות 3 ו-12 לחוות דעתה); הרי שניתן לומר כי סמכותה של הרשות המכוננת היא-היא הביטוי הדמוקרטי הנעלה ביותר. היא לא רק "נשמת אפו" של המשטר הדמוקרטי, אלא היא הביטוי המלא ביותר ל"דמוקרטיה" עצמה. </w:t>
      </w:r>
    </w:p>
    <w:p w:rsidR="00737972" w:rsidRDefault="00737972" w:rsidP="00737972">
      <w:pPr>
        <w:pStyle w:val="Ruller4"/>
        <w:numPr>
          <w:ilvl w:val="0"/>
          <w:numId w:val="0"/>
        </w:numPr>
      </w:pPr>
    </w:p>
    <w:p w:rsidR="00737972" w:rsidRDefault="00737972" w:rsidP="00737972">
      <w:pPr>
        <w:pStyle w:val="Ruller4"/>
      </w:pPr>
      <w:r>
        <w:rPr>
          <w:rFonts w:hint="cs"/>
          <w:rtl/>
        </w:rPr>
        <w:t xml:space="preserve">ובמילים אחרות, נניח שאכן מדובר היה ברשימה השוללת את "קיומה של מדינת ישראל כמדינה יהודית ודמוקרטית" והיה יוצא מתחת ידיה דבר חקיקת יסוד המבטא שלילה זו. האם אז היה מקום להבחנה בין רף ההתערבות ב"זכות לבחור ולהיבחר" של מועמד או רשימה כזו; לבין רף ההתערבות בתוצר חקיקת יסוד של רשימה כזו? הנחת היסוד בדברי חברתי היא כי אין מדובר בקיומו של קושי </w:t>
      </w:r>
      <w:r w:rsidRPr="00A45F5D">
        <w:rPr>
          <w:rFonts w:ascii="Century" w:hAnsi="Century" w:cs="Miriam" w:hint="eastAsia"/>
          <w:b/>
          <w:spacing w:val="0"/>
          <w:sz w:val="22"/>
          <w:szCs w:val="24"/>
          <w:rtl/>
        </w:rPr>
        <w:t>מעשי</w:t>
      </w:r>
      <w:r w:rsidRPr="00C52F22">
        <w:rPr>
          <w:rFonts w:hint="cs"/>
          <w:rtl/>
        </w:rPr>
        <w:t xml:space="preserve"> </w:t>
      </w:r>
      <w:r>
        <w:rPr>
          <w:rFonts w:hint="cs"/>
          <w:rtl/>
        </w:rPr>
        <w:t xml:space="preserve">להוכחת התקיימות עילת פסילה מסוימת בשלב שבו מדובר בהתמודדות לכנסת בלבד, אלא כי באופן </w:t>
      </w:r>
      <w:r>
        <w:rPr>
          <w:rFonts w:ascii="Century" w:hAnsi="Century" w:cs="Miriam" w:hint="cs"/>
          <w:b/>
          <w:spacing w:val="0"/>
          <w:sz w:val="22"/>
          <w:szCs w:val="24"/>
          <w:rtl/>
        </w:rPr>
        <w:t>עיוני</w:t>
      </w:r>
      <w:r>
        <w:rPr>
          <w:rFonts w:ascii="Century" w:hAnsi="Century" w:hint="cs"/>
          <w:sz w:val="22"/>
          <w:rtl/>
        </w:rPr>
        <w:t xml:space="preserve"> הזכות </w:t>
      </w:r>
      <w:r>
        <w:rPr>
          <w:rFonts w:ascii="Century" w:hAnsi="Century" w:hint="cs"/>
          <w:sz w:val="22"/>
          <w:rtl/>
        </w:rPr>
        <w:lastRenderedPageBreak/>
        <w:t>לבחור ולהיבחר, הכוללת הגבלה מראש של התמודדות בכנסת, מכתיבה רף התערבות שונה.</w:t>
      </w:r>
      <w:r>
        <w:rPr>
          <w:rFonts w:hint="cs"/>
          <w:rtl/>
        </w:rPr>
        <w:t xml:space="preserve"> הדברים קשים. </w:t>
      </w:r>
    </w:p>
    <w:p w:rsidR="00737972" w:rsidRDefault="00737972" w:rsidP="00737972">
      <w:pPr>
        <w:pStyle w:val="Ruller4"/>
        <w:numPr>
          <w:ilvl w:val="0"/>
          <w:numId w:val="0"/>
        </w:numPr>
        <w:rPr>
          <w:rtl/>
        </w:rPr>
      </w:pPr>
    </w:p>
    <w:p w:rsidR="00737972" w:rsidRDefault="00737972" w:rsidP="00737972">
      <w:pPr>
        <w:pStyle w:val="Ruller4"/>
        <w:rPr>
          <w:rtl/>
        </w:rPr>
      </w:pPr>
      <w:r w:rsidRPr="00625767">
        <w:rPr>
          <w:rFonts w:hint="cs"/>
          <w:rtl/>
        </w:rPr>
        <w:t xml:space="preserve">אוסיף בשולי הדברים כי לא בכדי באופן דומה, גם המבחן הראשון שבפסקת ההגבלה </w:t>
      </w:r>
      <w:r w:rsidRPr="00625767">
        <w:rPr>
          <w:rtl/>
        </w:rPr>
        <w:t>–</w:t>
      </w:r>
      <w:r w:rsidRPr="00625767">
        <w:rPr>
          <w:rFonts w:hint="cs"/>
          <w:rtl/>
        </w:rPr>
        <w:t xml:space="preserve"> הקובע כי פגיעה בחוק יסוד מותרת רק ב"</w:t>
      </w:r>
      <w:r w:rsidRPr="00625767">
        <w:rPr>
          <w:rFonts w:hint="eastAsia"/>
          <w:rtl/>
        </w:rPr>
        <w:t>חוק</w:t>
      </w:r>
      <w:r w:rsidRPr="00625767">
        <w:rPr>
          <w:rtl/>
        </w:rPr>
        <w:t xml:space="preserve"> </w:t>
      </w:r>
      <w:r w:rsidRPr="00625767">
        <w:rPr>
          <w:rFonts w:hint="eastAsia"/>
          <w:rtl/>
        </w:rPr>
        <w:t>ההולם</w:t>
      </w:r>
      <w:r w:rsidRPr="00625767">
        <w:rPr>
          <w:rtl/>
        </w:rPr>
        <w:t xml:space="preserve"> </w:t>
      </w:r>
      <w:r w:rsidRPr="00625767">
        <w:rPr>
          <w:rFonts w:hint="eastAsia"/>
          <w:rtl/>
        </w:rPr>
        <w:t>את</w:t>
      </w:r>
      <w:r w:rsidRPr="00625767">
        <w:rPr>
          <w:rtl/>
        </w:rPr>
        <w:t xml:space="preserve"> </w:t>
      </w:r>
      <w:r w:rsidRPr="00625767">
        <w:rPr>
          <w:rFonts w:hint="eastAsia"/>
          <w:rtl/>
        </w:rPr>
        <w:t>ערכיה</w:t>
      </w:r>
      <w:r w:rsidRPr="00625767">
        <w:rPr>
          <w:rtl/>
        </w:rPr>
        <w:t xml:space="preserve"> </w:t>
      </w:r>
      <w:r w:rsidRPr="00625767">
        <w:rPr>
          <w:rFonts w:hint="eastAsia"/>
          <w:rtl/>
        </w:rPr>
        <w:t>של</w:t>
      </w:r>
      <w:r w:rsidRPr="00625767">
        <w:rPr>
          <w:rtl/>
        </w:rPr>
        <w:t xml:space="preserve"> </w:t>
      </w:r>
      <w:r w:rsidRPr="00625767">
        <w:rPr>
          <w:rFonts w:hint="eastAsia"/>
          <w:rtl/>
        </w:rPr>
        <w:t>מדינת</w:t>
      </w:r>
      <w:r w:rsidRPr="00625767">
        <w:rPr>
          <w:rtl/>
        </w:rPr>
        <w:t xml:space="preserve"> </w:t>
      </w:r>
      <w:r w:rsidRPr="00625767">
        <w:rPr>
          <w:rFonts w:hint="eastAsia"/>
          <w:rtl/>
        </w:rPr>
        <w:t>ישראל</w:t>
      </w:r>
      <w:r w:rsidRPr="00625767">
        <w:rPr>
          <w:rFonts w:hint="cs"/>
          <w:rtl/>
        </w:rPr>
        <w:t>", כאשר ערכים אלה פורשו כ"ערכיה של המדינה כיהודית ודמוקרטית" (בהתאם לסעיפי המטרה שבחוק יסוד: כבוד האדם וח</w:t>
      </w:r>
      <w:r>
        <w:rPr>
          <w:rFonts w:hint="cs"/>
          <w:rtl/>
        </w:rPr>
        <w:t>י</w:t>
      </w:r>
      <w:r w:rsidRPr="00625767">
        <w:rPr>
          <w:rFonts w:hint="cs"/>
          <w:rtl/>
        </w:rPr>
        <w:t xml:space="preserve">רותו וחוק יסוד: חופש העיסוק) הקשור גם לדרישת ה"תכלית ראויה" </w:t>
      </w:r>
      <w:r w:rsidRPr="00625767">
        <w:rPr>
          <w:rtl/>
        </w:rPr>
        <w:t>–</w:t>
      </w:r>
      <w:r>
        <w:rPr>
          <w:rFonts w:hint="cs"/>
          <w:rtl/>
        </w:rPr>
        <w:t xml:space="preserve"> כמעט רוקן מכל מתוכן (וראו: </w:t>
      </w:r>
      <w:r w:rsidRPr="00625767">
        <w:rPr>
          <w:rFonts w:hint="eastAsia"/>
          <w:rtl/>
        </w:rPr>
        <w:t>אהרן</w:t>
      </w:r>
      <w:r w:rsidRPr="00625767">
        <w:rPr>
          <w:rtl/>
        </w:rPr>
        <w:t xml:space="preserve"> </w:t>
      </w:r>
      <w:r w:rsidRPr="00625767">
        <w:rPr>
          <w:rFonts w:hint="eastAsia"/>
          <w:rtl/>
        </w:rPr>
        <w:t>ברק</w:t>
      </w:r>
      <w:r w:rsidRPr="00625767">
        <w:rPr>
          <w:rtl/>
        </w:rPr>
        <w:t xml:space="preserve"> </w:t>
      </w:r>
      <w:r w:rsidRPr="00625767">
        <w:rPr>
          <w:rFonts w:ascii="Century" w:hAnsi="Century" w:cs="Miriam" w:hint="eastAsia"/>
          <w:b/>
          <w:spacing w:val="0"/>
          <w:sz w:val="22"/>
          <w:szCs w:val="24"/>
          <w:rtl/>
        </w:rPr>
        <w:t>חוק</w:t>
      </w:r>
      <w:r w:rsidRPr="00625767">
        <w:rPr>
          <w:rFonts w:ascii="Century" w:hAnsi="Century" w:cs="Miriam"/>
          <w:b/>
          <w:spacing w:val="0"/>
          <w:sz w:val="22"/>
          <w:szCs w:val="24"/>
          <w:rtl/>
        </w:rPr>
        <w:t>-</w:t>
      </w:r>
      <w:r w:rsidRPr="00625767">
        <w:rPr>
          <w:rFonts w:ascii="Century" w:hAnsi="Century" w:cs="Miriam" w:hint="eastAsia"/>
          <w:b/>
          <w:spacing w:val="0"/>
          <w:sz w:val="22"/>
          <w:szCs w:val="24"/>
          <w:rtl/>
        </w:rPr>
        <w:t>יסוד</w:t>
      </w:r>
      <w:r w:rsidRPr="00625767">
        <w:rPr>
          <w:rFonts w:ascii="Century" w:hAnsi="Century" w:cs="Miriam"/>
          <w:b/>
          <w:spacing w:val="0"/>
          <w:sz w:val="22"/>
          <w:szCs w:val="24"/>
          <w:rtl/>
        </w:rPr>
        <w:t xml:space="preserve">: </w:t>
      </w:r>
      <w:r w:rsidRPr="00625767">
        <w:rPr>
          <w:rFonts w:ascii="Century" w:hAnsi="Century" w:cs="Miriam" w:hint="eastAsia"/>
          <w:b/>
          <w:spacing w:val="0"/>
          <w:sz w:val="22"/>
          <w:szCs w:val="24"/>
          <w:rtl/>
        </w:rPr>
        <w:t>כבוד</w:t>
      </w:r>
      <w:r w:rsidRPr="00625767">
        <w:rPr>
          <w:rFonts w:ascii="Century" w:hAnsi="Century" w:cs="Miriam"/>
          <w:b/>
          <w:spacing w:val="0"/>
          <w:sz w:val="22"/>
          <w:szCs w:val="24"/>
          <w:rtl/>
        </w:rPr>
        <w:t xml:space="preserve"> </w:t>
      </w:r>
      <w:r w:rsidRPr="00625767">
        <w:rPr>
          <w:rFonts w:ascii="Century" w:hAnsi="Century" w:cs="Miriam" w:hint="eastAsia"/>
          <w:b/>
          <w:spacing w:val="0"/>
          <w:sz w:val="22"/>
          <w:szCs w:val="24"/>
          <w:rtl/>
        </w:rPr>
        <w:t>האדם</w:t>
      </w:r>
      <w:r w:rsidRPr="00625767">
        <w:rPr>
          <w:rFonts w:ascii="Century" w:hAnsi="Century" w:cs="Miriam"/>
          <w:b/>
          <w:spacing w:val="0"/>
          <w:sz w:val="22"/>
          <w:szCs w:val="24"/>
          <w:rtl/>
        </w:rPr>
        <w:t xml:space="preserve"> </w:t>
      </w:r>
      <w:r w:rsidRPr="00625767">
        <w:rPr>
          <w:rFonts w:ascii="Century" w:hAnsi="Century" w:cs="Miriam" w:hint="eastAsia"/>
          <w:b/>
          <w:spacing w:val="0"/>
          <w:sz w:val="22"/>
          <w:szCs w:val="24"/>
          <w:rtl/>
        </w:rPr>
        <w:t>וחירותו</w:t>
      </w:r>
      <w:r w:rsidRPr="00625767">
        <w:rPr>
          <w:rFonts w:ascii="Century" w:hAnsi="Century" w:cs="Miriam"/>
          <w:b/>
          <w:spacing w:val="0"/>
          <w:sz w:val="22"/>
          <w:szCs w:val="24"/>
          <w:rtl/>
        </w:rPr>
        <w:t xml:space="preserve"> </w:t>
      </w:r>
      <w:r w:rsidRPr="00625767">
        <w:rPr>
          <w:rFonts w:ascii="Century" w:hAnsi="Century" w:cs="Miriam" w:hint="eastAsia"/>
          <w:b/>
          <w:spacing w:val="0"/>
          <w:sz w:val="22"/>
          <w:szCs w:val="24"/>
          <w:rtl/>
        </w:rPr>
        <w:t>וחוק</w:t>
      </w:r>
      <w:r w:rsidRPr="00625767">
        <w:rPr>
          <w:rFonts w:ascii="Century" w:hAnsi="Century" w:cs="Miriam"/>
          <w:b/>
          <w:spacing w:val="0"/>
          <w:sz w:val="22"/>
          <w:szCs w:val="24"/>
          <w:rtl/>
        </w:rPr>
        <w:t>-</w:t>
      </w:r>
      <w:r w:rsidRPr="00625767">
        <w:rPr>
          <w:rFonts w:ascii="Century" w:hAnsi="Century" w:cs="Miriam" w:hint="eastAsia"/>
          <w:b/>
          <w:spacing w:val="0"/>
          <w:sz w:val="22"/>
          <w:szCs w:val="24"/>
          <w:rtl/>
        </w:rPr>
        <w:t>יסוד</w:t>
      </w:r>
      <w:r w:rsidRPr="00625767">
        <w:rPr>
          <w:rFonts w:ascii="Century" w:hAnsi="Century" w:cs="Miriam"/>
          <w:b/>
          <w:spacing w:val="0"/>
          <w:sz w:val="22"/>
          <w:szCs w:val="24"/>
          <w:rtl/>
        </w:rPr>
        <w:t xml:space="preserve">: </w:t>
      </w:r>
      <w:r w:rsidRPr="00625767">
        <w:rPr>
          <w:rFonts w:ascii="Century" w:hAnsi="Century" w:cs="Miriam" w:hint="eastAsia"/>
          <w:b/>
          <w:spacing w:val="0"/>
          <w:sz w:val="22"/>
          <w:szCs w:val="24"/>
          <w:rtl/>
        </w:rPr>
        <w:t>חופש</w:t>
      </w:r>
      <w:r w:rsidRPr="00625767">
        <w:rPr>
          <w:rFonts w:ascii="Century" w:hAnsi="Century" w:cs="Miriam"/>
          <w:b/>
          <w:spacing w:val="0"/>
          <w:sz w:val="22"/>
          <w:szCs w:val="24"/>
          <w:rtl/>
        </w:rPr>
        <w:t xml:space="preserve"> </w:t>
      </w:r>
      <w:r w:rsidRPr="00625767">
        <w:rPr>
          <w:rFonts w:ascii="Century" w:hAnsi="Century" w:cs="Miriam" w:hint="eastAsia"/>
          <w:b/>
          <w:spacing w:val="0"/>
          <w:sz w:val="22"/>
          <w:szCs w:val="24"/>
          <w:rtl/>
        </w:rPr>
        <w:t>העיסוק</w:t>
      </w:r>
      <w:r w:rsidRPr="00625767">
        <w:rPr>
          <w:rtl/>
        </w:rPr>
        <w:t xml:space="preserve"> </w:t>
      </w:r>
      <w:r w:rsidRPr="00625767">
        <w:rPr>
          <w:rFonts w:hint="eastAsia"/>
          <w:rtl/>
        </w:rPr>
        <w:t>כרך</w:t>
      </w:r>
      <w:r>
        <w:rPr>
          <w:rFonts w:hint="cs"/>
          <w:rtl/>
        </w:rPr>
        <w:t xml:space="preserve"> ג</w:t>
      </w:r>
      <w:r w:rsidRPr="00625767">
        <w:rPr>
          <w:rtl/>
        </w:rPr>
        <w:t xml:space="preserve"> </w:t>
      </w:r>
      <w:r>
        <w:rPr>
          <w:rFonts w:hint="cs"/>
          <w:rtl/>
        </w:rPr>
        <w:t xml:space="preserve">1834-1833 </w:t>
      </w:r>
      <w:r w:rsidRPr="00625767">
        <w:rPr>
          <w:rtl/>
        </w:rPr>
        <w:t>(2023‏)</w:t>
      </w:r>
      <w:r>
        <w:rPr>
          <w:rFonts w:hint="cs"/>
          <w:rtl/>
        </w:rPr>
        <w:t>).</w:t>
      </w:r>
    </w:p>
    <w:p w:rsidR="00737972" w:rsidRPr="00625767" w:rsidRDefault="00737972" w:rsidP="00737972">
      <w:pPr>
        <w:pStyle w:val="Ruller41"/>
      </w:pPr>
    </w:p>
    <w:p w:rsidR="00737972" w:rsidRDefault="00737972" w:rsidP="00737972">
      <w:pPr>
        <w:pStyle w:val="Ruller4"/>
        <w:rPr>
          <w:rtl/>
        </w:rPr>
      </w:pPr>
      <w:r>
        <w:rPr>
          <w:rFonts w:hint="cs"/>
          <w:rtl/>
        </w:rPr>
        <w:t>מכל מקום, הבעייתיות במבחן המעורפל, אשר לו נוסחים שונים, ונכנה אותו באופן כללי כמבחן "זעזוע ליבת הזהות הדמוקרטית והיהודית" באה לידי ביטוי מלא במקרה דנן, בו רואים חלק מחבריי את התיקון לחוק היסוד כפוגע אנושות בליבת עקרונות דמוקרטיים מהותיים, בעוד אחרים סבורים כי אין מדובר בפגיעה כלל, או בפגיעה קלה בלבד. ניתן רק לשער כי אם אכן היה מדובר במקרה חריג וקיצוני "המדבר בעד עצמו", הזועק לשמיים, המרעיד את אמות הסיפים באופן שאינו מותיר ספק בדבר הנחיצות בהתערבות החריגה, הקיצונית והבוטה מצד בית המשפט בנורמה המכוננת, הייתה לכך הסכמה רחבה בבית משפט זה, מקיר לקיר. אך לא כך הם פני הדברים ויחסי הכוחות בין השופטים השונים והרוב המזדמן לכיוון ביטול התיקון מוכיח בעיני כמאה עדים שאין המדובר בתיקון המוביל כלל להתמוטטות הדמוקרטיה.</w:t>
      </w:r>
    </w:p>
    <w:p w:rsidR="00737972" w:rsidRPr="007941E8" w:rsidRDefault="00737972" w:rsidP="00737972">
      <w:pPr>
        <w:pStyle w:val="Ruller41"/>
        <w:rPr>
          <w:rtl/>
        </w:rPr>
      </w:pPr>
    </w:p>
    <w:p w:rsidR="00737972" w:rsidRDefault="00737972" w:rsidP="00737972">
      <w:pPr>
        <w:pStyle w:val="Ruller4"/>
        <w:rPr>
          <w:rtl/>
        </w:rPr>
      </w:pPr>
      <w:r>
        <w:rPr>
          <w:rFonts w:hint="cs"/>
          <w:rtl/>
        </w:rPr>
        <w:t xml:space="preserve">אך גם בכך לא תם הדיון. כאמור, חברי השופט </w:t>
      </w:r>
      <w:r w:rsidRPr="00AA3F5D">
        <w:rPr>
          <w:rFonts w:ascii="Century" w:hAnsi="Century" w:cs="Miriam" w:hint="cs"/>
          <w:b/>
          <w:spacing w:val="0"/>
          <w:sz w:val="22"/>
          <w:szCs w:val="24"/>
          <w:rtl/>
        </w:rPr>
        <w:t>עמית</w:t>
      </w:r>
      <w:r w:rsidRPr="00AA3F5D">
        <w:rPr>
          <w:rFonts w:hint="cs"/>
          <w:rtl/>
        </w:rPr>
        <w:t xml:space="preserve"> </w:t>
      </w:r>
      <w:r>
        <w:rPr>
          <w:rFonts w:hint="cs"/>
          <w:rtl/>
        </w:rPr>
        <w:t xml:space="preserve">בנה קומה נוספת בחוות דעתו, בה העלה את אפשרות הזליגה אל עבר הנמכה מפורשת של רף ההתערבות בחוקי היסוד (פסקה 38 לחוות דעתו). </w:t>
      </w:r>
      <w:r w:rsidRPr="00BE2051">
        <w:rPr>
          <w:rFonts w:hint="eastAsia"/>
          <w:rtl/>
        </w:rPr>
        <w:t>נראה</w:t>
      </w:r>
      <w:r w:rsidRPr="00BE2051">
        <w:rPr>
          <w:rtl/>
        </w:rPr>
        <w:t xml:space="preserve"> </w:t>
      </w:r>
      <w:r w:rsidRPr="00BE2051">
        <w:rPr>
          <w:rFonts w:hint="eastAsia"/>
          <w:rtl/>
        </w:rPr>
        <w:t>כי</w:t>
      </w:r>
      <w:r w:rsidRPr="00BE2051">
        <w:rPr>
          <w:rtl/>
        </w:rPr>
        <w:t xml:space="preserve"> </w:t>
      </w:r>
      <w:r w:rsidRPr="00BE2051">
        <w:rPr>
          <w:rFonts w:hint="eastAsia"/>
          <w:rtl/>
        </w:rPr>
        <w:t>לגישה</w:t>
      </w:r>
      <w:r w:rsidRPr="00BE2051">
        <w:rPr>
          <w:rtl/>
        </w:rPr>
        <w:t xml:space="preserve"> </w:t>
      </w:r>
      <w:r w:rsidRPr="00BE2051">
        <w:rPr>
          <w:rFonts w:hint="eastAsia"/>
          <w:rtl/>
        </w:rPr>
        <w:t>זו</w:t>
      </w:r>
      <w:r w:rsidRPr="00BE2051">
        <w:rPr>
          <w:rtl/>
        </w:rPr>
        <w:t xml:space="preserve">, </w:t>
      </w:r>
      <w:r>
        <w:rPr>
          <w:rFonts w:hint="cs"/>
          <w:rtl/>
        </w:rPr>
        <w:t xml:space="preserve">על בית המשפט לקחת לידיו את המושכות לקבוע </w:t>
      </w:r>
      <w:r w:rsidRPr="00BE2051">
        <w:rPr>
          <w:rFonts w:hint="cs"/>
          <w:rtl/>
        </w:rPr>
        <w:t>ישירות</w:t>
      </w:r>
      <w:r w:rsidRPr="007941E8">
        <w:rPr>
          <w:rFonts w:hint="cs"/>
          <w:rtl/>
        </w:rPr>
        <w:t xml:space="preserve"> </w:t>
      </w:r>
      <w:r>
        <w:rPr>
          <w:rFonts w:hint="cs"/>
          <w:rtl/>
        </w:rPr>
        <w:t xml:space="preserve">את תכני החוקה. השאלה העומדת על הפרק לפי עמדה זו אינה עוד האם חרגה הכנסת מסמכותה המכוננת (תוך פגיעה אנושה בעקרונות הליבה), אלא </w:t>
      </w:r>
      <w:r>
        <w:rPr>
          <w:rtl/>
        </w:rPr>
        <w:t>–</w:t>
      </w:r>
      <w:r>
        <w:rPr>
          <w:rFonts w:hint="cs"/>
          <w:rtl/>
        </w:rPr>
        <w:t xml:space="preserve"> תוך סטייה ניכרת ומרחיקת לכת מתפקידו של בית משפט זה </w:t>
      </w:r>
      <w:r>
        <w:rPr>
          <w:rtl/>
        </w:rPr>
        <w:t>–</w:t>
      </w:r>
      <w:r>
        <w:rPr>
          <w:rFonts w:hint="cs"/>
          <w:rtl/>
        </w:rPr>
        <w:t xml:space="preserve"> האם מדובר ב"מסר החינוכי-תדמיתי של החוקה בישראל? האם אלה הערכים שהחוקה אמורה להנחיל ולהשריש בתודעת הציבור?" (פסקה 60 </w:t>
      </w:r>
      <w:r w:rsidRPr="009E4670">
        <w:rPr>
          <w:rFonts w:hint="cs"/>
          <w:rtl/>
        </w:rPr>
        <w:t xml:space="preserve">לחוות דעתו של חברי השופט </w:t>
      </w:r>
      <w:r w:rsidRPr="009E4670">
        <w:rPr>
          <w:rFonts w:ascii="Century" w:hAnsi="Century" w:cs="Miriam" w:hint="cs"/>
          <w:b/>
          <w:spacing w:val="0"/>
          <w:sz w:val="22"/>
          <w:szCs w:val="24"/>
          <w:rtl/>
        </w:rPr>
        <w:t>עמית</w:t>
      </w:r>
      <w:r w:rsidRPr="009E4670">
        <w:rPr>
          <w:rFonts w:hint="cs"/>
          <w:rtl/>
        </w:rPr>
        <w:t>). אין זה מ</w:t>
      </w:r>
      <w:r w:rsidRPr="009E4670">
        <w:rPr>
          <w:rFonts w:hint="eastAsia"/>
          <w:rtl/>
        </w:rPr>
        <w:t>תפקידו</w:t>
      </w:r>
      <w:r w:rsidRPr="009E4670">
        <w:rPr>
          <w:rtl/>
        </w:rPr>
        <w:t xml:space="preserve"> </w:t>
      </w:r>
      <w:r w:rsidRPr="009E4670">
        <w:rPr>
          <w:rFonts w:hint="eastAsia"/>
          <w:rtl/>
        </w:rPr>
        <w:t>של</w:t>
      </w:r>
      <w:r w:rsidRPr="009E4670">
        <w:rPr>
          <w:rtl/>
        </w:rPr>
        <w:t xml:space="preserve"> </w:t>
      </w:r>
      <w:r w:rsidRPr="009E4670">
        <w:rPr>
          <w:rFonts w:hint="eastAsia"/>
          <w:rtl/>
        </w:rPr>
        <w:t>בית</w:t>
      </w:r>
      <w:r w:rsidRPr="009E4670">
        <w:rPr>
          <w:rtl/>
        </w:rPr>
        <w:t xml:space="preserve"> </w:t>
      </w:r>
      <w:r w:rsidRPr="009E4670">
        <w:rPr>
          <w:rFonts w:hint="eastAsia"/>
          <w:rtl/>
        </w:rPr>
        <w:t>משפט</w:t>
      </w:r>
      <w:r w:rsidRPr="009E4670">
        <w:rPr>
          <w:rtl/>
        </w:rPr>
        <w:t xml:space="preserve"> </w:t>
      </w:r>
      <w:r w:rsidRPr="009E4670">
        <w:rPr>
          <w:rFonts w:hint="eastAsia"/>
          <w:rtl/>
        </w:rPr>
        <w:t>זה</w:t>
      </w:r>
      <w:r w:rsidRPr="009E4670">
        <w:rPr>
          <w:rtl/>
        </w:rPr>
        <w:t xml:space="preserve"> </w:t>
      </w:r>
      <w:r w:rsidRPr="009E4670">
        <w:rPr>
          <w:rFonts w:hint="eastAsia"/>
          <w:rtl/>
        </w:rPr>
        <w:t>לבחון</w:t>
      </w:r>
      <w:r w:rsidRPr="009E4670">
        <w:rPr>
          <w:rtl/>
        </w:rPr>
        <w:t xml:space="preserve"> </w:t>
      </w:r>
      <w:r w:rsidRPr="009E4670">
        <w:rPr>
          <w:rFonts w:hint="eastAsia"/>
          <w:rtl/>
        </w:rPr>
        <w:t>את</w:t>
      </w:r>
      <w:r w:rsidRPr="009E4670">
        <w:rPr>
          <w:rtl/>
        </w:rPr>
        <w:t xml:space="preserve"> </w:t>
      </w:r>
      <w:r w:rsidRPr="009E4670">
        <w:rPr>
          <w:rFonts w:ascii="Century" w:hAnsi="Century" w:hint="eastAsia"/>
          <w:sz w:val="22"/>
          <w:rtl/>
        </w:rPr>
        <w:t>הערכים</w:t>
      </w:r>
      <w:r w:rsidRPr="009E4670">
        <w:rPr>
          <w:rtl/>
        </w:rPr>
        <w:t xml:space="preserve"> </w:t>
      </w:r>
      <w:r w:rsidRPr="009E4670">
        <w:rPr>
          <w:rFonts w:hint="eastAsia"/>
          <w:rtl/>
        </w:rPr>
        <w:t>שאותם</w:t>
      </w:r>
      <w:r w:rsidRPr="009E4670">
        <w:rPr>
          <w:rtl/>
        </w:rPr>
        <w:t xml:space="preserve"> </w:t>
      </w:r>
      <w:r w:rsidRPr="009E4670">
        <w:rPr>
          <w:rFonts w:hint="eastAsia"/>
          <w:rtl/>
        </w:rPr>
        <w:t>אמורה</w:t>
      </w:r>
      <w:r w:rsidRPr="009E4670">
        <w:rPr>
          <w:rtl/>
        </w:rPr>
        <w:t xml:space="preserve"> </w:t>
      </w:r>
      <w:r w:rsidRPr="009E4670">
        <w:rPr>
          <w:rFonts w:hint="eastAsia"/>
          <w:rtl/>
        </w:rPr>
        <w:t>החוקה</w:t>
      </w:r>
      <w:r w:rsidRPr="009E4670">
        <w:rPr>
          <w:rtl/>
        </w:rPr>
        <w:t xml:space="preserve"> </w:t>
      </w:r>
      <w:r w:rsidRPr="009E4670">
        <w:rPr>
          <w:rFonts w:hint="eastAsia"/>
          <w:rtl/>
        </w:rPr>
        <w:t>להשריש</w:t>
      </w:r>
      <w:r w:rsidRPr="009E4670">
        <w:rPr>
          <w:rFonts w:hint="cs"/>
          <w:rtl/>
        </w:rPr>
        <w:t xml:space="preserve">. אין </w:t>
      </w:r>
      <w:r w:rsidRPr="009E4670">
        <w:rPr>
          <w:rFonts w:hint="eastAsia"/>
          <w:rtl/>
        </w:rPr>
        <w:t>להעלות</w:t>
      </w:r>
      <w:r w:rsidRPr="009E4670">
        <w:rPr>
          <w:rtl/>
        </w:rPr>
        <w:t xml:space="preserve"> </w:t>
      </w:r>
      <w:r w:rsidRPr="009E4670">
        <w:rPr>
          <w:rFonts w:hint="eastAsia"/>
          <w:rtl/>
        </w:rPr>
        <w:t>על</w:t>
      </w:r>
      <w:r w:rsidRPr="009E4670">
        <w:rPr>
          <w:rtl/>
        </w:rPr>
        <w:t xml:space="preserve"> </w:t>
      </w:r>
      <w:r w:rsidRPr="009E4670">
        <w:rPr>
          <w:rFonts w:hint="eastAsia"/>
          <w:rtl/>
        </w:rPr>
        <w:t>הדעת</w:t>
      </w:r>
      <w:r w:rsidRPr="009E4670">
        <w:rPr>
          <w:rtl/>
        </w:rPr>
        <w:t xml:space="preserve"> </w:t>
      </w:r>
      <w:r w:rsidRPr="009E4670">
        <w:rPr>
          <w:rFonts w:hint="eastAsia"/>
          <w:rtl/>
        </w:rPr>
        <w:t>התערבות</w:t>
      </w:r>
      <w:r w:rsidRPr="009E4670">
        <w:rPr>
          <w:rtl/>
        </w:rPr>
        <w:t xml:space="preserve"> </w:t>
      </w:r>
      <w:r w:rsidRPr="009E4670">
        <w:rPr>
          <w:rFonts w:hint="eastAsia"/>
          <w:rtl/>
        </w:rPr>
        <w:t>בחוק</w:t>
      </w:r>
      <w:r w:rsidRPr="009E4670">
        <w:rPr>
          <w:rtl/>
        </w:rPr>
        <w:t xml:space="preserve"> </w:t>
      </w:r>
      <w:r w:rsidRPr="009E4670">
        <w:rPr>
          <w:rFonts w:hint="eastAsia"/>
          <w:rtl/>
        </w:rPr>
        <w:t>יסוד</w:t>
      </w:r>
      <w:r w:rsidRPr="009E4670">
        <w:rPr>
          <w:rtl/>
        </w:rPr>
        <w:t xml:space="preserve"> (</w:t>
      </w:r>
      <w:r w:rsidRPr="009E4670">
        <w:rPr>
          <w:rFonts w:hint="eastAsia"/>
          <w:rtl/>
        </w:rPr>
        <w:t>או</w:t>
      </w:r>
      <w:r w:rsidRPr="009E4670">
        <w:rPr>
          <w:rtl/>
        </w:rPr>
        <w:t xml:space="preserve"> </w:t>
      </w:r>
      <w:r w:rsidRPr="009E4670">
        <w:rPr>
          <w:rFonts w:hint="eastAsia"/>
          <w:rtl/>
        </w:rPr>
        <w:t>אף</w:t>
      </w:r>
      <w:r w:rsidRPr="009E4670">
        <w:rPr>
          <w:rtl/>
        </w:rPr>
        <w:t xml:space="preserve"> </w:t>
      </w:r>
      <w:r w:rsidRPr="009E4670">
        <w:rPr>
          <w:rFonts w:hint="eastAsia"/>
          <w:rtl/>
        </w:rPr>
        <w:t>בחוק</w:t>
      </w:r>
      <w:r w:rsidRPr="009E4670">
        <w:rPr>
          <w:rtl/>
        </w:rPr>
        <w:t xml:space="preserve"> "</w:t>
      </w:r>
      <w:r w:rsidRPr="009E4670">
        <w:rPr>
          <w:rFonts w:hint="eastAsia"/>
          <w:rtl/>
        </w:rPr>
        <w:t>רגיל</w:t>
      </w:r>
      <w:r w:rsidRPr="009E4670">
        <w:rPr>
          <w:rtl/>
        </w:rPr>
        <w:t xml:space="preserve">") </w:t>
      </w:r>
      <w:r w:rsidRPr="009E4670">
        <w:rPr>
          <w:rFonts w:hint="eastAsia"/>
          <w:rtl/>
        </w:rPr>
        <w:t>רק</w:t>
      </w:r>
      <w:r w:rsidRPr="009E4670">
        <w:rPr>
          <w:rtl/>
        </w:rPr>
        <w:t xml:space="preserve"> </w:t>
      </w:r>
      <w:r w:rsidRPr="009E4670">
        <w:rPr>
          <w:rFonts w:hint="eastAsia"/>
          <w:rtl/>
        </w:rPr>
        <w:t>משום</w:t>
      </w:r>
      <w:r w:rsidRPr="009E4670">
        <w:rPr>
          <w:rtl/>
        </w:rPr>
        <w:t xml:space="preserve"> </w:t>
      </w:r>
      <w:r w:rsidRPr="009E4670">
        <w:rPr>
          <w:rFonts w:hint="eastAsia"/>
          <w:rtl/>
        </w:rPr>
        <w:t>שהוא</w:t>
      </w:r>
      <w:r w:rsidRPr="009E4670">
        <w:rPr>
          <w:rtl/>
        </w:rPr>
        <w:t xml:space="preserve"> </w:t>
      </w:r>
      <w:r w:rsidRPr="009E4670">
        <w:rPr>
          <w:rFonts w:hint="eastAsia"/>
          <w:rtl/>
        </w:rPr>
        <w:t>נושא</w:t>
      </w:r>
      <w:r w:rsidRPr="009E4670">
        <w:rPr>
          <w:rtl/>
        </w:rPr>
        <w:t xml:space="preserve"> </w:t>
      </w:r>
      <w:r w:rsidRPr="009E4670">
        <w:rPr>
          <w:rFonts w:hint="eastAsia"/>
          <w:rtl/>
        </w:rPr>
        <w:t>מסר</w:t>
      </w:r>
      <w:r w:rsidRPr="009E4670">
        <w:rPr>
          <w:rtl/>
        </w:rPr>
        <w:t xml:space="preserve"> </w:t>
      </w:r>
      <w:r w:rsidRPr="009E4670">
        <w:rPr>
          <w:rFonts w:ascii="Century" w:hAnsi="Century" w:cs="Miriam" w:hint="eastAsia"/>
          <w:b/>
          <w:spacing w:val="0"/>
          <w:sz w:val="22"/>
          <w:szCs w:val="24"/>
          <w:rtl/>
        </w:rPr>
        <w:t>חינוכי</w:t>
      </w:r>
      <w:r w:rsidRPr="009E4670">
        <w:rPr>
          <w:rFonts w:ascii="Century" w:hAnsi="Century" w:cs="Miriam"/>
          <w:b/>
          <w:spacing w:val="0"/>
          <w:sz w:val="22"/>
          <w:szCs w:val="24"/>
          <w:rtl/>
        </w:rPr>
        <w:t>-</w:t>
      </w:r>
      <w:r w:rsidRPr="009E4670">
        <w:rPr>
          <w:rFonts w:ascii="Century" w:hAnsi="Century" w:cs="Miriam" w:hint="eastAsia"/>
          <w:b/>
          <w:spacing w:val="0"/>
          <w:sz w:val="22"/>
          <w:szCs w:val="24"/>
          <w:rtl/>
        </w:rPr>
        <w:t>תדמיתי</w:t>
      </w:r>
      <w:r w:rsidRPr="009E4670">
        <w:rPr>
          <w:rtl/>
        </w:rPr>
        <w:t xml:space="preserve"> </w:t>
      </w:r>
      <w:r w:rsidRPr="009E4670">
        <w:rPr>
          <w:rFonts w:hint="eastAsia"/>
          <w:rtl/>
        </w:rPr>
        <w:t>שאינו</w:t>
      </w:r>
      <w:r w:rsidRPr="009E4670">
        <w:rPr>
          <w:rtl/>
        </w:rPr>
        <w:t xml:space="preserve"> </w:t>
      </w:r>
      <w:r w:rsidRPr="009E4670">
        <w:rPr>
          <w:rFonts w:hint="eastAsia"/>
          <w:rtl/>
        </w:rPr>
        <w:t>לרוחנו</w:t>
      </w:r>
      <w:r w:rsidRPr="009E4670">
        <w:rPr>
          <w:rFonts w:hint="cs"/>
          <w:rtl/>
        </w:rPr>
        <w:t>. נראה</w:t>
      </w:r>
      <w:r>
        <w:rPr>
          <w:rFonts w:hint="cs"/>
          <w:rtl/>
        </w:rPr>
        <w:t xml:space="preserve"> כי יש לחזור ולהזכיר בהקשר זה עקרונות יסוד </w:t>
      </w:r>
      <w:r>
        <w:rPr>
          <w:rFonts w:hint="cs"/>
          <w:rtl/>
        </w:rPr>
        <w:lastRenderedPageBreak/>
        <w:t>ברורים באשר לחלוקת התפקידים בין הרשויות הראשונות, וזאת אף בהתייחס לביקורת שיפוטית על דבר חקיקה "רגיל", קל וחומר בן בנו של קל וחומר לעניין חקיקת יסוד:</w:t>
      </w:r>
    </w:p>
    <w:p w:rsidR="00737972" w:rsidRDefault="00737972" w:rsidP="00737972">
      <w:pPr>
        <w:pStyle w:val="Ruller41"/>
        <w:rPr>
          <w:rtl/>
        </w:rPr>
      </w:pPr>
    </w:p>
    <w:p w:rsidR="00737972" w:rsidRDefault="00737972" w:rsidP="00737972">
      <w:pPr>
        <w:pStyle w:val="Ruller5"/>
        <w:rPr>
          <w:rtl/>
        </w:rPr>
      </w:pPr>
      <w:r>
        <w:rPr>
          <w:rFonts w:hint="cs"/>
          <w:rtl/>
        </w:rPr>
        <w:t>"</w:t>
      </w:r>
      <w:r w:rsidRPr="0079462A">
        <w:rPr>
          <w:rFonts w:hint="eastAsia"/>
          <w:rtl/>
        </w:rPr>
        <w:t>בית</w:t>
      </w:r>
      <w:r w:rsidRPr="0079462A">
        <w:rPr>
          <w:rtl/>
        </w:rPr>
        <w:t>-</w:t>
      </w:r>
      <w:r w:rsidRPr="0079462A">
        <w:rPr>
          <w:rFonts w:hint="eastAsia"/>
          <w:rtl/>
        </w:rPr>
        <w:t>המשפט</w:t>
      </w:r>
      <w:r w:rsidRPr="0079462A">
        <w:rPr>
          <w:rtl/>
        </w:rPr>
        <w:t xml:space="preserve"> </w:t>
      </w:r>
      <w:r w:rsidRPr="0079462A">
        <w:rPr>
          <w:rFonts w:hint="eastAsia"/>
          <w:rtl/>
        </w:rPr>
        <w:t>לא</w:t>
      </w:r>
      <w:r w:rsidRPr="0079462A">
        <w:rPr>
          <w:rtl/>
        </w:rPr>
        <w:t xml:space="preserve"> </w:t>
      </w:r>
      <w:r w:rsidRPr="0079462A">
        <w:rPr>
          <w:rFonts w:hint="eastAsia"/>
          <w:rtl/>
        </w:rPr>
        <w:t>בא</w:t>
      </w:r>
      <w:r w:rsidRPr="0079462A">
        <w:rPr>
          <w:rtl/>
        </w:rPr>
        <w:t xml:space="preserve"> </w:t>
      </w:r>
      <w:r w:rsidRPr="0079462A">
        <w:rPr>
          <w:rFonts w:hint="eastAsia"/>
          <w:rtl/>
        </w:rPr>
        <w:t>להחליף</w:t>
      </w:r>
      <w:r w:rsidRPr="0079462A">
        <w:rPr>
          <w:rtl/>
        </w:rPr>
        <w:t xml:space="preserve"> </w:t>
      </w:r>
      <w:r w:rsidRPr="0079462A">
        <w:rPr>
          <w:rFonts w:hint="eastAsia"/>
          <w:rtl/>
        </w:rPr>
        <w:t>את</w:t>
      </w:r>
      <w:r w:rsidRPr="0079462A">
        <w:rPr>
          <w:rtl/>
        </w:rPr>
        <w:t xml:space="preserve"> </w:t>
      </w:r>
      <w:r w:rsidRPr="0079462A">
        <w:rPr>
          <w:rFonts w:hint="eastAsia"/>
          <w:rtl/>
        </w:rPr>
        <w:t>שיקוליו</w:t>
      </w:r>
      <w:r w:rsidRPr="0079462A">
        <w:rPr>
          <w:rtl/>
        </w:rPr>
        <w:t xml:space="preserve"> </w:t>
      </w:r>
      <w:r w:rsidRPr="0079462A">
        <w:rPr>
          <w:rFonts w:hint="eastAsia"/>
          <w:rtl/>
        </w:rPr>
        <w:t>של</w:t>
      </w:r>
      <w:r w:rsidRPr="0079462A">
        <w:rPr>
          <w:rtl/>
        </w:rPr>
        <w:t xml:space="preserve"> </w:t>
      </w:r>
      <w:r w:rsidRPr="0079462A">
        <w:rPr>
          <w:rFonts w:hint="eastAsia"/>
          <w:rtl/>
        </w:rPr>
        <w:t>המחוקק</w:t>
      </w:r>
      <w:r w:rsidRPr="0079462A">
        <w:rPr>
          <w:rtl/>
        </w:rPr>
        <w:t xml:space="preserve"> </w:t>
      </w:r>
      <w:r w:rsidRPr="0079462A">
        <w:rPr>
          <w:rFonts w:hint="eastAsia"/>
          <w:rtl/>
        </w:rPr>
        <w:t>בשיקוליו</w:t>
      </w:r>
      <w:r w:rsidRPr="0079462A">
        <w:rPr>
          <w:rtl/>
        </w:rPr>
        <w:t xml:space="preserve"> </w:t>
      </w:r>
      <w:r w:rsidRPr="0079462A">
        <w:rPr>
          <w:rFonts w:hint="eastAsia"/>
          <w:rtl/>
        </w:rPr>
        <w:t>שלו</w:t>
      </w:r>
      <w:r w:rsidRPr="0079462A">
        <w:rPr>
          <w:rtl/>
        </w:rPr>
        <w:t xml:space="preserve">. </w:t>
      </w:r>
      <w:r w:rsidRPr="0079462A">
        <w:rPr>
          <w:rFonts w:hint="eastAsia"/>
          <w:rtl/>
        </w:rPr>
        <w:t>בית</w:t>
      </w:r>
      <w:r w:rsidRPr="0079462A">
        <w:rPr>
          <w:rtl/>
        </w:rPr>
        <w:t>-</w:t>
      </w:r>
      <w:r w:rsidRPr="0079462A">
        <w:rPr>
          <w:rFonts w:hint="eastAsia"/>
          <w:rtl/>
        </w:rPr>
        <w:t>המשפט</w:t>
      </w:r>
      <w:r w:rsidRPr="0079462A">
        <w:rPr>
          <w:rtl/>
        </w:rPr>
        <w:t xml:space="preserve"> </w:t>
      </w:r>
      <w:r w:rsidRPr="0079462A">
        <w:rPr>
          <w:rFonts w:hint="eastAsia"/>
          <w:rtl/>
        </w:rPr>
        <w:t>אינו</w:t>
      </w:r>
      <w:r w:rsidRPr="0079462A">
        <w:rPr>
          <w:rtl/>
        </w:rPr>
        <w:t xml:space="preserve"> </w:t>
      </w:r>
      <w:r w:rsidRPr="0079462A">
        <w:rPr>
          <w:rFonts w:hint="eastAsia"/>
          <w:rtl/>
        </w:rPr>
        <w:t>נכנס</w:t>
      </w:r>
      <w:r w:rsidRPr="0079462A">
        <w:rPr>
          <w:rtl/>
        </w:rPr>
        <w:t xml:space="preserve"> </w:t>
      </w:r>
      <w:r w:rsidRPr="0079462A">
        <w:rPr>
          <w:rFonts w:hint="eastAsia"/>
          <w:rtl/>
        </w:rPr>
        <w:t>לנעליו</w:t>
      </w:r>
      <w:r w:rsidRPr="0079462A">
        <w:rPr>
          <w:rtl/>
        </w:rPr>
        <w:t xml:space="preserve"> </w:t>
      </w:r>
      <w:r w:rsidRPr="0079462A">
        <w:rPr>
          <w:rFonts w:hint="eastAsia"/>
          <w:rtl/>
        </w:rPr>
        <w:t>של</w:t>
      </w:r>
      <w:r w:rsidRPr="0079462A">
        <w:rPr>
          <w:rtl/>
        </w:rPr>
        <w:t xml:space="preserve"> </w:t>
      </w:r>
      <w:r w:rsidRPr="0079462A">
        <w:rPr>
          <w:rFonts w:hint="eastAsia"/>
          <w:rtl/>
        </w:rPr>
        <w:t>המחוקק</w:t>
      </w:r>
      <w:r w:rsidRPr="0079462A">
        <w:rPr>
          <w:rtl/>
        </w:rPr>
        <w:t xml:space="preserve">. </w:t>
      </w:r>
      <w:r w:rsidRPr="0079462A">
        <w:rPr>
          <w:rFonts w:hint="eastAsia"/>
          <w:rtl/>
        </w:rPr>
        <w:t>הוא</w:t>
      </w:r>
      <w:r w:rsidRPr="0079462A">
        <w:rPr>
          <w:rtl/>
        </w:rPr>
        <w:t xml:space="preserve"> </w:t>
      </w:r>
      <w:r w:rsidRPr="0079462A">
        <w:rPr>
          <w:rFonts w:hint="eastAsia"/>
          <w:rtl/>
        </w:rPr>
        <w:t>אינו</w:t>
      </w:r>
      <w:r w:rsidRPr="0079462A">
        <w:rPr>
          <w:rtl/>
        </w:rPr>
        <w:t xml:space="preserve"> </w:t>
      </w:r>
      <w:r w:rsidRPr="0079462A">
        <w:rPr>
          <w:rFonts w:hint="eastAsia"/>
          <w:rtl/>
        </w:rPr>
        <w:t>שואל</w:t>
      </w:r>
      <w:r w:rsidRPr="0079462A">
        <w:rPr>
          <w:rtl/>
        </w:rPr>
        <w:t xml:space="preserve"> </w:t>
      </w:r>
      <w:r w:rsidRPr="0079462A">
        <w:rPr>
          <w:rFonts w:hint="eastAsia"/>
          <w:rtl/>
        </w:rPr>
        <w:t>את</w:t>
      </w:r>
      <w:r w:rsidRPr="0079462A">
        <w:rPr>
          <w:rtl/>
        </w:rPr>
        <w:t xml:space="preserve"> </w:t>
      </w:r>
      <w:r w:rsidRPr="0079462A">
        <w:rPr>
          <w:rFonts w:hint="eastAsia"/>
          <w:rtl/>
        </w:rPr>
        <w:t>עצמו</w:t>
      </w:r>
      <w:r w:rsidRPr="0079462A">
        <w:rPr>
          <w:rtl/>
        </w:rPr>
        <w:t xml:space="preserve"> </w:t>
      </w:r>
      <w:r w:rsidRPr="0079462A">
        <w:rPr>
          <w:rFonts w:hint="eastAsia"/>
          <w:rtl/>
        </w:rPr>
        <w:t>מהם</w:t>
      </w:r>
      <w:r w:rsidRPr="0079462A">
        <w:rPr>
          <w:rtl/>
        </w:rPr>
        <w:t xml:space="preserve"> </w:t>
      </w:r>
      <w:r w:rsidRPr="0079462A">
        <w:rPr>
          <w:rFonts w:hint="eastAsia"/>
          <w:rtl/>
        </w:rPr>
        <w:t>האמצעים</w:t>
      </w:r>
      <w:r w:rsidRPr="0079462A">
        <w:rPr>
          <w:rtl/>
        </w:rPr>
        <w:t xml:space="preserve"> </w:t>
      </w:r>
      <w:r w:rsidRPr="0079462A">
        <w:rPr>
          <w:rFonts w:hint="eastAsia"/>
          <w:rtl/>
        </w:rPr>
        <w:t>שהוא</w:t>
      </w:r>
      <w:r w:rsidRPr="0079462A">
        <w:rPr>
          <w:rtl/>
        </w:rPr>
        <w:t xml:space="preserve"> </w:t>
      </w:r>
      <w:r w:rsidRPr="0079462A">
        <w:rPr>
          <w:rFonts w:hint="eastAsia"/>
          <w:rtl/>
        </w:rPr>
        <w:t>היה</w:t>
      </w:r>
      <w:r w:rsidRPr="0079462A">
        <w:rPr>
          <w:rtl/>
        </w:rPr>
        <w:t xml:space="preserve"> </w:t>
      </w:r>
      <w:r w:rsidRPr="0079462A">
        <w:rPr>
          <w:rFonts w:hint="eastAsia"/>
          <w:rtl/>
        </w:rPr>
        <w:t>בוחר</w:t>
      </w:r>
      <w:r w:rsidRPr="0079462A">
        <w:rPr>
          <w:rtl/>
        </w:rPr>
        <w:t xml:space="preserve"> </w:t>
      </w:r>
      <w:r w:rsidRPr="0079462A">
        <w:rPr>
          <w:rFonts w:hint="eastAsia"/>
          <w:rtl/>
        </w:rPr>
        <w:t>אילו</w:t>
      </w:r>
      <w:r w:rsidRPr="0079462A">
        <w:rPr>
          <w:rtl/>
        </w:rPr>
        <w:t xml:space="preserve"> </w:t>
      </w:r>
      <w:r w:rsidRPr="0079462A">
        <w:rPr>
          <w:rFonts w:hint="eastAsia"/>
          <w:rtl/>
        </w:rPr>
        <w:t>היה</w:t>
      </w:r>
      <w:r w:rsidRPr="0079462A">
        <w:rPr>
          <w:rtl/>
        </w:rPr>
        <w:t xml:space="preserve"> </w:t>
      </w:r>
      <w:r w:rsidRPr="0079462A">
        <w:rPr>
          <w:rFonts w:hint="eastAsia"/>
          <w:rtl/>
        </w:rPr>
        <w:t>חבר</w:t>
      </w:r>
      <w:r w:rsidRPr="0079462A">
        <w:rPr>
          <w:rtl/>
        </w:rPr>
        <w:t xml:space="preserve"> </w:t>
      </w:r>
      <w:r w:rsidRPr="0079462A">
        <w:rPr>
          <w:rFonts w:hint="eastAsia"/>
          <w:rtl/>
        </w:rPr>
        <w:t>בגוף</w:t>
      </w:r>
      <w:r w:rsidRPr="0079462A">
        <w:rPr>
          <w:rtl/>
        </w:rPr>
        <w:t xml:space="preserve"> </w:t>
      </w:r>
      <w:r w:rsidRPr="0079462A">
        <w:rPr>
          <w:rFonts w:hint="eastAsia"/>
          <w:rtl/>
        </w:rPr>
        <w:t>המחוקק</w:t>
      </w:r>
      <w:r w:rsidRPr="0079462A">
        <w:rPr>
          <w:rtl/>
        </w:rPr>
        <w:t xml:space="preserve">. </w:t>
      </w:r>
      <w:r w:rsidRPr="0079462A">
        <w:rPr>
          <w:rFonts w:hint="eastAsia"/>
          <w:rtl/>
        </w:rPr>
        <w:t>בית</w:t>
      </w:r>
      <w:r w:rsidRPr="0079462A">
        <w:rPr>
          <w:rtl/>
        </w:rPr>
        <w:t>-</w:t>
      </w:r>
      <w:r w:rsidRPr="0079462A">
        <w:rPr>
          <w:rFonts w:hint="eastAsia"/>
          <w:rtl/>
        </w:rPr>
        <w:t>המשפט</w:t>
      </w:r>
      <w:r w:rsidRPr="0079462A">
        <w:rPr>
          <w:rtl/>
        </w:rPr>
        <w:t xml:space="preserve"> </w:t>
      </w:r>
      <w:r w:rsidRPr="0079462A">
        <w:rPr>
          <w:rFonts w:hint="eastAsia"/>
          <w:rtl/>
        </w:rPr>
        <w:t>מפעיל</w:t>
      </w:r>
      <w:r w:rsidRPr="0079462A">
        <w:rPr>
          <w:rtl/>
        </w:rPr>
        <w:t xml:space="preserve"> </w:t>
      </w:r>
      <w:r w:rsidRPr="0079462A">
        <w:rPr>
          <w:rFonts w:hint="eastAsia"/>
          <w:rtl/>
        </w:rPr>
        <w:t>ביקורת</w:t>
      </w:r>
      <w:r w:rsidRPr="0079462A">
        <w:rPr>
          <w:rtl/>
        </w:rPr>
        <w:t xml:space="preserve"> </w:t>
      </w:r>
      <w:r w:rsidRPr="0079462A">
        <w:rPr>
          <w:rFonts w:hint="eastAsia"/>
          <w:rtl/>
        </w:rPr>
        <w:t>שיפוטית</w:t>
      </w:r>
      <w:r w:rsidRPr="0079462A">
        <w:rPr>
          <w:rtl/>
        </w:rPr>
        <w:t xml:space="preserve">. </w:t>
      </w:r>
      <w:r w:rsidRPr="0079462A">
        <w:rPr>
          <w:rFonts w:hint="eastAsia"/>
          <w:rtl/>
        </w:rPr>
        <w:t>הוא</w:t>
      </w:r>
      <w:r w:rsidRPr="0079462A">
        <w:rPr>
          <w:rtl/>
        </w:rPr>
        <w:t xml:space="preserve"> </w:t>
      </w:r>
      <w:r w:rsidRPr="0079462A">
        <w:rPr>
          <w:rFonts w:hint="eastAsia"/>
          <w:rtl/>
        </w:rPr>
        <w:t>בוחן</w:t>
      </w:r>
      <w:r w:rsidRPr="0079462A">
        <w:rPr>
          <w:rtl/>
        </w:rPr>
        <w:t xml:space="preserve"> </w:t>
      </w:r>
      <w:r w:rsidRPr="0079462A">
        <w:rPr>
          <w:rFonts w:hint="eastAsia"/>
          <w:rtl/>
        </w:rPr>
        <w:t>את</w:t>
      </w:r>
      <w:r w:rsidRPr="0079462A">
        <w:rPr>
          <w:rtl/>
        </w:rPr>
        <w:t xml:space="preserve"> </w:t>
      </w:r>
      <w:r w:rsidRPr="0079462A">
        <w:rPr>
          <w:rFonts w:hint="eastAsia"/>
          <w:rtl/>
        </w:rPr>
        <w:t>חוקתיות</w:t>
      </w:r>
      <w:r w:rsidRPr="0079462A">
        <w:rPr>
          <w:rtl/>
        </w:rPr>
        <w:t xml:space="preserve"> </w:t>
      </w:r>
      <w:r w:rsidRPr="0079462A">
        <w:rPr>
          <w:rFonts w:hint="eastAsia"/>
          <w:rtl/>
        </w:rPr>
        <w:t>החוק</w:t>
      </w:r>
      <w:r w:rsidRPr="0079462A">
        <w:rPr>
          <w:rtl/>
        </w:rPr>
        <w:t xml:space="preserve">, </w:t>
      </w:r>
      <w:r w:rsidRPr="0079462A">
        <w:rPr>
          <w:rFonts w:hint="eastAsia"/>
          <w:rtl/>
        </w:rPr>
        <w:t>לא</w:t>
      </w:r>
      <w:r w:rsidRPr="0079462A">
        <w:rPr>
          <w:rtl/>
        </w:rPr>
        <w:t xml:space="preserve"> </w:t>
      </w:r>
      <w:r w:rsidRPr="0079462A">
        <w:rPr>
          <w:rFonts w:hint="eastAsia"/>
          <w:rtl/>
        </w:rPr>
        <w:t>את</w:t>
      </w:r>
      <w:r w:rsidRPr="0079462A">
        <w:rPr>
          <w:rtl/>
        </w:rPr>
        <w:t xml:space="preserve"> </w:t>
      </w:r>
      <w:r w:rsidRPr="0079462A">
        <w:rPr>
          <w:rFonts w:hint="eastAsia"/>
          <w:rtl/>
        </w:rPr>
        <w:t>תבונתו</w:t>
      </w:r>
      <w:r w:rsidRPr="0079462A">
        <w:rPr>
          <w:rtl/>
        </w:rPr>
        <w:t xml:space="preserve">. </w:t>
      </w:r>
      <w:r w:rsidRPr="0079462A">
        <w:rPr>
          <w:rFonts w:hint="eastAsia"/>
          <w:rtl/>
        </w:rPr>
        <w:t>השאלה</w:t>
      </w:r>
      <w:r w:rsidRPr="0079462A">
        <w:rPr>
          <w:rtl/>
        </w:rPr>
        <w:t xml:space="preserve"> </w:t>
      </w:r>
      <w:r w:rsidRPr="0079462A">
        <w:rPr>
          <w:rFonts w:hint="eastAsia"/>
          <w:rtl/>
        </w:rPr>
        <w:t>אינה</w:t>
      </w:r>
      <w:r w:rsidRPr="0079462A">
        <w:rPr>
          <w:rtl/>
        </w:rPr>
        <w:t xml:space="preserve"> </w:t>
      </w:r>
      <w:r w:rsidRPr="0079462A">
        <w:rPr>
          <w:rFonts w:hint="eastAsia"/>
          <w:rtl/>
        </w:rPr>
        <w:t>אם</w:t>
      </w:r>
      <w:r w:rsidRPr="0079462A">
        <w:rPr>
          <w:rtl/>
        </w:rPr>
        <w:t xml:space="preserve"> </w:t>
      </w:r>
      <w:r w:rsidRPr="0079462A">
        <w:rPr>
          <w:rFonts w:hint="eastAsia"/>
          <w:rtl/>
        </w:rPr>
        <w:t>החוק</w:t>
      </w:r>
      <w:r w:rsidRPr="0079462A">
        <w:rPr>
          <w:rtl/>
        </w:rPr>
        <w:t xml:space="preserve"> </w:t>
      </w:r>
      <w:r w:rsidRPr="0079462A">
        <w:rPr>
          <w:rFonts w:hint="eastAsia"/>
          <w:rtl/>
        </w:rPr>
        <w:t>טוב</w:t>
      </w:r>
      <w:r w:rsidRPr="0079462A">
        <w:rPr>
          <w:rtl/>
        </w:rPr>
        <w:t xml:space="preserve">, </w:t>
      </w:r>
      <w:r w:rsidRPr="0079462A">
        <w:rPr>
          <w:rFonts w:hint="eastAsia"/>
          <w:rtl/>
        </w:rPr>
        <w:t>יעיל</w:t>
      </w:r>
      <w:r w:rsidRPr="0079462A">
        <w:rPr>
          <w:rtl/>
        </w:rPr>
        <w:t xml:space="preserve">, </w:t>
      </w:r>
      <w:r w:rsidRPr="0079462A">
        <w:rPr>
          <w:rFonts w:hint="eastAsia"/>
          <w:rtl/>
        </w:rPr>
        <w:t>מוצדק</w:t>
      </w:r>
      <w:r w:rsidRPr="0079462A">
        <w:rPr>
          <w:rtl/>
        </w:rPr>
        <w:t xml:space="preserve">. </w:t>
      </w:r>
      <w:r w:rsidRPr="00A45F5D">
        <w:rPr>
          <w:rFonts w:hint="eastAsia"/>
          <w:rtl/>
        </w:rPr>
        <w:t>השאלה</w:t>
      </w:r>
      <w:r w:rsidRPr="00A45F5D">
        <w:rPr>
          <w:rtl/>
        </w:rPr>
        <w:t xml:space="preserve"> </w:t>
      </w:r>
      <w:r w:rsidRPr="00A45F5D">
        <w:rPr>
          <w:rFonts w:hint="eastAsia"/>
          <w:rtl/>
        </w:rPr>
        <w:t>הינה</w:t>
      </w:r>
      <w:r w:rsidRPr="00A45F5D">
        <w:rPr>
          <w:rtl/>
        </w:rPr>
        <w:t xml:space="preserve"> </w:t>
      </w:r>
      <w:r w:rsidRPr="00A45F5D">
        <w:rPr>
          <w:rFonts w:hint="eastAsia"/>
          <w:rtl/>
        </w:rPr>
        <w:t>אם</w:t>
      </w:r>
      <w:r w:rsidRPr="00A45F5D">
        <w:rPr>
          <w:rtl/>
        </w:rPr>
        <w:t xml:space="preserve"> </w:t>
      </w:r>
      <w:r w:rsidRPr="00A45F5D">
        <w:rPr>
          <w:rFonts w:hint="eastAsia"/>
          <w:rtl/>
        </w:rPr>
        <w:t>הוא</w:t>
      </w:r>
      <w:r w:rsidRPr="00A45F5D">
        <w:rPr>
          <w:rtl/>
        </w:rPr>
        <w:t xml:space="preserve"> </w:t>
      </w:r>
      <w:r w:rsidRPr="00A45F5D">
        <w:rPr>
          <w:rFonts w:hint="eastAsia"/>
          <w:rtl/>
        </w:rPr>
        <w:t>חוקתי</w:t>
      </w:r>
      <w:r w:rsidRPr="00A45F5D">
        <w:rPr>
          <w:rFonts w:hint="cs"/>
          <w:rtl/>
        </w:rPr>
        <w:t>" (</w:t>
      </w:r>
      <w:r>
        <w:rPr>
          <w:rFonts w:hint="eastAsia"/>
          <w:rtl/>
        </w:rPr>
        <w:t>בג</w:t>
      </w:r>
      <w:r>
        <w:rPr>
          <w:rtl/>
        </w:rPr>
        <w:t>"</w:t>
      </w:r>
      <w:r>
        <w:rPr>
          <w:rFonts w:hint="eastAsia"/>
          <w:rtl/>
        </w:rPr>
        <w:t>ץ</w:t>
      </w:r>
      <w:r>
        <w:rPr>
          <w:rtl/>
        </w:rPr>
        <w:t xml:space="preserve"> 1715/97</w:t>
      </w:r>
      <w:r>
        <w:rPr>
          <w:rFonts w:hint="cs"/>
          <w:rtl/>
        </w:rPr>
        <w:t xml:space="preserve"> </w:t>
      </w:r>
      <w:r w:rsidRPr="00333DE1">
        <w:rPr>
          <w:rFonts w:ascii="Century" w:hAnsi="Century" w:cs="Miriam" w:hint="eastAsia"/>
          <w:b/>
          <w:spacing w:val="0"/>
          <w:szCs w:val="24"/>
          <w:rtl/>
        </w:rPr>
        <w:t>לשכת</w:t>
      </w:r>
      <w:r w:rsidRPr="00333DE1">
        <w:rPr>
          <w:rFonts w:ascii="Century" w:hAnsi="Century" w:cs="Miriam"/>
          <w:b/>
          <w:spacing w:val="0"/>
          <w:szCs w:val="24"/>
          <w:rtl/>
        </w:rPr>
        <w:t xml:space="preserve"> </w:t>
      </w:r>
      <w:r w:rsidRPr="00333DE1">
        <w:rPr>
          <w:rFonts w:ascii="Century" w:hAnsi="Century" w:cs="Miriam" w:hint="eastAsia"/>
          <w:b/>
          <w:spacing w:val="0"/>
          <w:szCs w:val="24"/>
          <w:rtl/>
        </w:rPr>
        <w:t>מנהלי</w:t>
      </w:r>
      <w:r w:rsidRPr="00333DE1">
        <w:rPr>
          <w:rFonts w:ascii="Century" w:hAnsi="Century" w:cs="Miriam"/>
          <w:b/>
          <w:spacing w:val="0"/>
          <w:szCs w:val="24"/>
          <w:rtl/>
        </w:rPr>
        <w:t xml:space="preserve"> </w:t>
      </w:r>
      <w:r w:rsidRPr="00333DE1">
        <w:rPr>
          <w:rFonts w:ascii="Century" w:hAnsi="Century" w:cs="Miriam" w:hint="eastAsia"/>
          <w:b/>
          <w:spacing w:val="0"/>
          <w:szCs w:val="24"/>
          <w:rtl/>
        </w:rPr>
        <w:t>ההשקעות</w:t>
      </w:r>
      <w:r w:rsidRPr="00333DE1">
        <w:rPr>
          <w:rFonts w:ascii="Century" w:hAnsi="Century" w:cs="Miriam"/>
          <w:b/>
          <w:spacing w:val="0"/>
          <w:szCs w:val="24"/>
          <w:rtl/>
        </w:rPr>
        <w:t xml:space="preserve"> </w:t>
      </w:r>
      <w:r w:rsidRPr="00333DE1">
        <w:rPr>
          <w:rFonts w:ascii="Century" w:hAnsi="Century" w:cs="Miriam" w:hint="eastAsia"/>
          <w:b/>
          <w:spacing w:val="0"/>
          <w:szCs w:val="24"/>
          <w:rtl/>
        </w:rPr>
        <w:t>בישראל</w:t>
      </w:r>
      <w:r w:rsidRPr="00333DE1">
        <w:rPr>
          <w:rFonts w:ascii="Century" w:hAnsi="Century" w:cs="Miriam"/>
          <w:b/>
          <w:spacing w:val="0"/>
          <w:szCs w:val="24"/>
          <w:rtl/>
        </w:rPr>
        <w:t xml:space="preserve"> </w:t>
      </w:r>
      <w:r w:rsidRPr="00333DE1">
        <w:rPr>
          <w:rFonts w:ascii="Century" w:hAnsi="Century" w:cs="Miriam" w:hint="eastAsia"/>
          <w:b/>
          <w:spacing w:val="0"/>
          <w:szCs w:val="24"/>
          <w:rtl/>
        </w:rPr>
        <w:t>נ</w:t>
      </w:r>
      <w:r w:rsidRPr="00333DE1">
        <w:rPr>
          <w:rFonts w:ascii="Century" w:hAnsi="Century" w:cs="Miriam"/>
          <w:b/>
          <w:spacing w:val="0"/>
          <w:szCs w:val="24"/>
          <w:rtl/>
        </w:rPr>
        <w:t xml:space="preserve">' </w:t>
      </w:r>
      <w:r w:rsidRPr="00333DE1">
        <w:rPr>
          <w:rFonts w:ascii="Century" w:hAnsi="Century" w:cs="Miriam" w:hint="eastAsia"/>
          <w:b/>
          <w:spacing w:val="0"/>
          <w:szCs w:val="24"/>
          <w:rtl/>
        </w:rPr>
        <w:t>שר</w:t>
      </w:r>
      <w:r w:rsidRPr="00333DE1">
        <w:rPr>
          <w:rFonts w:ascii="Century" w:hAnsi="Century" w:cs="Miriam"/>
          <w:b/>
          <w:spacing w:val="0"/>
          <w:szCs w:val="24"/>
          <w:rtl/>
        </w:rPr>
        <w:t xml:space="preserve"> </w:t>
      </w:r>
      <w:r w:rsidRPr="00333DE1">
        <w:rPr>
          <w:rFonts w:ascii="Century" w:hAnsi="Century" w:cs="Miriam" w:hint="eastAsia"/>
          <w:b/>
          <w:spacing w:val="0"/>
          <w:szCs w:val="24"/>
          <w:rtl/>
        </w:rPr>
        <w:t>האוצר</w:t>
      </w:r>
      <w:r>
        <w:rPr>
          <w:rFonts w:hint="cs"/>
          <w:rtl/>
        </w:rPr>
        <w:t>,</w:t>
      </w:r>
      <w:r w:rsidRPr="005A6F31">
        <w:rPr>
          <w:rFonts w:hint="eastAsia"/>
          <w:rtl/>
        </w:rPr>
        <w:t xml:space="preserve"> </w:t>
      </w:r>
      <w:r>
        <w:rPr>
          <w:rFonts w:hint="eastAsia"/>
          <w:rtl/>
        </w:rPr>
        <w:t>פ</w:t>
      </w:r>
      <w:r>
        <w:rPr>
          <w:rFonts w:hint="cs"/>
          <w:rtl/>
        </w:rPr>
        <w:t>"</w:t>
      </w:r>
      <w:r>
        <w:rPr>
          <w:rFonts w:hint="eastAsia"/>
          <w:rtl/>
        </w:rPr>
        <w:t>ד</w:t>
      </w:r>
      <w:r>
        <w:rPr>
          <w:rtl/>
        </w:rPr>
        <w:t xml:space="preserve"> </w:t>
      </w:r>
      <w:r>
        <w:rPr>
          <w:rFonts w:hint="eastAsia"/>
          <w:rtl/>
        </w:rPr>
        <w:t>נא</w:t>
      </w:r>
      <w:r>
        <w:rPr>
          <w:rtl/>
        </w:rPr>
        <w:t>(4) 367</w:t>
      </w:r>
      <w:r>
        <w:rPr>
          <w:rFonts w:hint="cs"/>
          <w:rtl/>
        </w:rPr>
        <w:t xml:space="preserve">, </w:t>
      </w:r>
      <w:r w:rsidRPr="00A45F5D">
        <w:rPr>
          <w:rFonts w:hint="cs"/>
          <w:rtl/>
        </w:rPr>
        <w:t>387-386</w:t>
      </w:r>
      <w:r>
        <w:rPr>
          <w:rFonts w:hint="cs"/>
          <w:rtl/>
        </w:rPr>
        <w:t xml:space="preserve"> (1997)</w:t>
      </w:r>
      <w:r w:rsidRPr="00A45F5D">
        <w:rPr>
          <w:rFonts w:hint="cs"/>
          <w:rtl/>
        </w:rPr>
        <w:t>)</w:t>
      </w:r>
      <w:r>
        <w:rPr>
          <w:rFonts w:hint="cs"/>
          <w:rtl/>
        </w:rPr>
        <w:t>.</w:t>
      </w:r>
    </w:p>
    <w:p w:rsidR="00737972" w:rsidRPr="00A45F5D" w:rsidRDefault="00737972" w:rsidP="00737972">
      <w:pPr>
        <w:pStyle w:val="Ruller41"/>
        <w:rPr>
          <w:rtl/>
        </w:rPr>
      </w:pPr>
    </w:p>
    <w:p w:rsidR="00737972" w:rsidRPr="00A45F5D" w:rsidRDefault="00737972" w:rsidP="00737972">
      <w:pPr>
        <w:pStyle w:val="Ruller41"/>
        <w:rPr>
          <w:rtl/>
        </w:rPr>
      </w:pPr>
      <w:r w:rsidRPr="00A45F5D">
        <w:rPr>
          <w:rtl/>
        </w:rPr>
        <w:tab/>
      </w:r>
      <w:r w:rsidRPr="00A45F5D">
        <w:rPr>
          <w:rFonts w:hint="eastAsia"/>
          <w:rtl/>
        </w:rPr>
        <w:t>לא</w:t>
      </w:r>
      <w:r w:rsidRPr="00A45F5D">
        <w:rPr>
          <w:rtl/>
        </w:rPr>
        <w:t xml:space="preserve"> </w:t>
      </w:r>
      <w:r w:rsidRPr="00A45F5D">
        <w:rPr>
          <w:rFonts w:hint="eastAsia"/>
          <w:rtl/>
        </w:rPr>
        <w:t>זו</w:t>
      </w:r>
      <w:r w:rsidRPr="00A45F5D">
        <w:rPr>
          <w:rtl/>
        </w:rPr>
        <w:t xml:space="preserve"> </w:t>
      </w:r>
      <w:r w:rsidRPr="00A45F5D">
        <w:rPr>
          <w:rFonts w:hint="eastAsia"/>
          <w:rtl/>
        </w:rPr>
        <w:t>בלבד</w:t>
      </w:r>
      <w:r w:rsidRPr="00A45F5D">
        <w:rPr>
          <w:rtl/>
        </w:rPr>
        <w:t xml:space="preserve"> </w:t>
      </w:r>
      <w:r w:rsidRPr="00A45F5D">
        <w:rPr>
          <w:rFonts w:hint="eastAsia"/>
          <w:rtl/>
        </w:rPr>
        <w:t>שבית</w:t>
      </w:r>
      <w:r w:rsidRPr="00A45F5D">
        <w:rPr>
          <w:rtl/>
        </w:rPr>
        <w:t xml:space="preserve"> </w:t>
      </w:r>
      <w:r w:rsidRPr="00A45F5D">
        <w:rPr>
          <w:rFonts w:hint="eastAsia"/>
          <w:rtl/>
        </w:rPr>
        <w:t>המשפט</w:t>
      </w:r>
      <w:r w:rsidRPr="00A45F5D">
        <w:rPr>
          <w:rtl/>
        </w:rPr>
        <w:t xml:space="preserve"> </w:t>
      </w:r>
      <w:r w:rsidRPr="00A45F5D">
        <w:rPr>
          <w:rFonts w:hint="eastAsia"/>
          <w:rtl/>
        </w:rPr>
        <w:t>אינו</w:t>
      </w:r>
      <w:r w:rsidRPr="00A45F5D">
        <w:rPr>
          <w:rtl/>
        </w:rPr>
        <w:t xml:space="preserve"> </w:t>
      </w:r>
      <w:r w:rsidRPr="00A45F5D">
        <w:rPr>
          <w:rFonts w:hint="eastAsia"/>
          <w:rtl/>
        </w:rPr>
        <w:t>רשאי</w:t>
      </w:r>
      <w:r w:rsidRPr="00A45F5D">
        <w:rPr>
          <w:rtl/>
        </w:rPr>
        <w:t xml:space="preserve"> </w:t>
      </w:r>
      <w:r w:rsidRPr="00A45F5D">
        <w:rPr>
          <w:rFonts w:hint="eastAsia"/>
          <w:rtl/>
        </w:rPr>
        <w:t>להיכנס</w:t>
      </w:r>
      <w:r w:rsidRPr="00A45F5D">
        <w:rPr>
          <w:rtl/>
        </w:rPr>
        <w:t xml:space="preserve"> לנעליו של המחוקק ולשאול את עצמו א</w:t>
      </w:r>
      <w:r>
        <w:rPr>
          <w:rFonts w:hint="cs"/>
          <w:rtl/>
        </w:rPr>
        <w:t>י</w:t>
      </w:r>
      <w:r w:rsidRPr="00A45F5D">
        <w:rPr>
          <w:rtl/>
        </w:rPr>
        <w:t xml:space="preserve">לו תכנים הוא עצמו היה </w:t>
      </w:r>
      <w:r w:rsidRPr="00A45F5D">
        <w:rPr>
          <w:rFonts w:hint="eastAsia"/>
          <w:rtl/>
        </w:rPr>
        <w:t>מחוקק</w:t>
      </w:r>
      <w:r w:rsidRPr="00A45F5D">
        <w:rPr>
          <w:rtl/>
        </w:rPr>
        <w:t xml:space="preserve"> בחוק לוּ הדבר היה בידו; אלא </w:t>
      </w:r>
      <w:r>
        <w:rPr>
          <w:rFonts w:hint="cs"/>
          <w:rtl/>
        </w:rPr>
        <w:t xml:space="preserve">שלא יכול </w:t>
      </w:r>
      <w:r w:rsidRPr="00A45F5D">
        <w:rPr>
          <w:rtl/>
        </w:rPr>
        <w:t xml:space="preserve">להיות </w:t>
      </w:r>
      <w:r>
        <w:rPr>
          <w:rFonts w:hint="cs"/>
          <w:rtl/>
        </w:rPr>
        <w:t>ש</w:t>
      </w:r>
      <w:r w:rsidRPr="00A45F5D">
        <w:rPr>
          <w:rtl/>
        </w:rPr>
        <w:t xml:space="preserve">תפקידו של בית המשפט </w:t>
      </w:r>
      <w:r>
        <w:rPr>
          <w:rFonts w:hint="cs"/>
          <w:rtl/>
        </w:rPr>
        <w:t xml:space="preserve">הוא </w:t>
      </w:r>
      <w:r w:rsidRPr="00A45F5D">
        <w:rPr>
          <w:rtl/>
        </w:rPr>
        <w:t xml:space="preserve">לעצב מבחינה </w:t>
      </w:r>
      <w:r w:rsidRPr="00A45F5D">
        <w:rPr>
          <w:rFonts w:ascii="Century" w:hAnsi="Century" w:cs="Miriam" w:hint="eastAsia"/>
          <w:b/>
          <w:spacing w:val="0"/>
          <w:szCs w:val="24"/>
          <w:rtl/>
        </w:rPr>
        <w:t>חינוכית</w:t>
      </w:r>
      <w:r w:rsidRPr="00A45F5D">
        <w:rPr>
          <w:rtl/>
        </w:rPr>
        <w:t xml:space="preserve"> ו</w:t>
      </w:r>
      <w:r w:rsidRPr="00A45F5D">
        <w:rPr>
          <w:rFonts w:ascii="Century" w:hAnsi="Century" w:cs="Miriam" w:hint="eastAsia"/>
          <w:b/>
          <w:spacing w:val="0"/>
          <w:szCs w:val="24"/>
          <w:rtl/>
        </w:rPr>
        <w:t>תדמיתית</w:t>
      </w:r>
      <w:r w:rsidRPr="00A45F5D">
        <w:rPr>
          <w:rtl/>
        </w:rPr>
        <w:t xml:space="preserve"> את הער</w:t>
      </w:r>
      <w:r w:rsidRPr="00A45F5D">
        <w:rPr>
          <w:rFonts w:hint="cs"/>
          <w:rtl/>
        </w:rPr>
        <w:t>כ</w:t>
      </w:r>
      <w:r w:rsidRPr="00A45F5D">
        <w:rPr>
          <w:rFonts w:hint="eastAsia"/>
          <w:rtl/>
        </w:rPr>
        <w:t>ים</w:t>
      </w:r>
      <w:r w:rsidRPr="00A45F5D">
        <w:rPr>
          <w:rtl/>
        </w:rPr>
        <w:t xml:space="preserve"> </w:t>
      </w:r>
      <w:r w:rsidRPr="00A45F5D">
        <w:rPr>
          <w:rFonts w:hint="eastAsia"/>
          <w:rtl/>
        </w:rPr>
        <w:t>היסודיים</w:t>
      </w:r>
      <w:r w:rsidRPr="00A45F5D">
        <w:rPr>
          <w:rtl/>
        </w:rPr>
        <w:t xml:space="preserve"> </w:t>
      </w:r>
      <w:r w:rsidRPr="00A45F5D">
        <w:rPr>
          <w:rFonts w:hint="eastAsia"/>
          <w:rtl/>
        </w:rPr>
        <w:t>שצריכים</w:t>
      </w:r>
      <w:r w:rsidRPr="00A45F5D">
        <w:rPr>
          <w:rtl/>
        </w:rPr>
        <w:t xml:space="preserve"> </w:t>
      </w:r>
      <w:r w:rsidRPr="00A45F5D">
        <w:rPr>
          <w:rFonts w:hint="eastAsia"/>
          <w:rtl/>
        </w:rPr>
        <w:t>לבוא</w:t>
      </w:r>
      <w:r w:rsidRPr="00A45F5D">
        <w:rPr>
          <w:rtl/>
        </w:rPr>
        <w:t xml:space="preserve"> </w:t>
      </w:r>
      <w:r w:rsidRPr="00A45F5D">
        <w:rPr>
          <w:rFonts w:hint="eastAsia"/>
          <w:rtl/>
        </w:rPr>
        <w:t>לידי</w:t>
      </w:r>
      <w:r w:rsidRPr="00A45F5D">
        <w:rPr>
          <w:rtl/>
        </w:rPr>
        <w:t xml:space="preserve"> </w:t>
      </w:r>
      <w:r w:rsidRPr="00A45F5D">
        <w:rPr>
          <w:rFonts w:hint="eastAsia"/>
          <w:rtl/>
        </w:rPr>
        <w:t>ביטוי</w:t>
      </w:r>
      <w:r w:rsidRPr="00A45F5D">
        <w:rPr>
          <w:rtl/>
        </w:rPr>
        <w:t xml:space="preserve"> </w:t>
      </w:r>
      <w:r w:rsidRPr="00A45F5D">
        <w:rPr>
          <w:rFonts w:hint="eastAsia"/>
          <w:rtl/>
        </w:rPr>
        <w:t>ב</w:t>
      </w:r>
      <w:r w:rsidRPr="00A45F5D">
        <w:rPr>
          <w:rtl/>
        </w:rPr>
        <w:t xml:space="preserve">"חוקה". גם לעמדה הסוברת כי סמכותו של בית משפט כוללת סמכות ביקורת על חוקי היסוד, הדגש הוא </w:t>
      </w:r>
      <w:r w:rsidRPr="00A45F5D">
        <w:rPr>
          <w:rFonts w:ascii="Century" w:hAnsi="Century" w:cs="Miriam" w:hint="eastAsia"/>
          <w:b/>
          <w:spacing w:val="0"/>
          <w:szCs w:val="24"/>
          <w:rtl/>
        </w:rPr>
        <w:t>בגבולות</w:t>
      </w:r>
      <w:r w:rsidRPr="00A45F5D">
        <w:rPr>
          <w:rFonts w:ascii="Century" w:hAnsi="Century" w:cs="Miriam"/>
          <w:b/>
          <w:spacing w:val="0"/>
          <w:szCs w:val="24"/>
          <w:rtl/>
        </w:rPr>
        <w:t xml:space="preserve"> </w:t>
      </w:r>
      <w:r w:rsidRPr="00A45F5D">
        <w:rPr>
          <w:rFonts w:ascii="Century" w:hAnsi="Century" w:cs="Miriam" w:hint="eastAsia"/>
          <w:b/>
          <w:spacing w:val="0"/>
          <w:szCs w:val="24"/>
          <w:rtl/>
        </w:rPr>
        <w:t>סמכותה</w:t>
      </w:r>
      <w:r w:rsidRPr="00A45F5D">
        <w:rPr>
          <w:rtl/>
        </w:rPr>
        <w:t xml:space="preserve"> של הרשות המכוננת</w:t>
      </w:r>
      <w:r w:rsidRPr="00A45F5D">
        <w:rPr>
          <w:rFonts w:hint="cs"/>
          <w:rtl/>
        </w:rPr>
        <w:t xml:space="preserve"> (לשיטת חברתי הנשיאה</w:t>
      </w:r>
      <w:r>
        <w:rPr>
          <w:rFonts w:hint="cs"/>
          <w:rtl/>
        </w:rPr>
        <w:t xml:space="preserve"> </w:t>
      </w:r>
      <w:r w:rsidRPr="00A45F5D">
        <w:rPr>
          <w:rFonts w:hint="cs"/>
          <w:rtl/>
        </w:rPr>
        <w:t>(בדימ')</w:t>
      </w:r>
      <w:r>
        <w:rPr>
          <w:rFonts w:hint="cs"/>
          <w:rtl/>
        </w:rPr>
        <w:t>)</w:t>
      </w:r>
      <w:r w:rsidRPr="00A45F5D">
        <w:rPr>
          <w:rFonts w:hint="cs"/>
          <w:rtl/>
        </w:rPr>
        <w:t xml:space="preserve"> או בקיומם של עקרונות יסוד העומדים בסתירה חזיתית להם</w:t>
      </w:r>
      <w:r w:rsidRPr="00A45F5D">
        <w:rPr>
          <w:rtl/>
        </w:rPr>
        <w:t xml:space="preserve">. </w:t>
      </w:r>
      <w:r w:rsidRPr="00A45F5D">
        <w:rPr>
          <w:rFonts w:hint="eastAsia"/>
          <w:rtl/>
        </w:rPr>
        <w:t>ההצדקה</w:t>
      </w:r>
      <w:r w:rsidRPr="00A45F5D">
        <w:rPr>
          <w:rtl/>
        </w:rPr>
        <w:t xml:space="preserve"> </w:t>
      </w:r>
      <w:r w:rsidRPr="00A45F5D">
        <w:rPr>
          <w:rFonts w:hint="eastAsia"/>
          <w:rtl/>
        </w:rPr>
        <w:t>הנטענת</w:t>
      </w:r>
      <w:r w:rsidRPr="00A45F5D">
        <w:rPr>
          <w:rtl/>
        </w:rPr>
        <w:t xml:space="preserve"> </w:t>
      </w:r>
      <w:r w:rsidRPr="00A45F5D">
        <w:rPr>
          <w:rFonts w:hint="eastAsia"/>
          <w:rtl/>
        </w:rPr>
        <w:t>לביקורת</w:t>
      </w:r>
      <w:r w:rsidRPr="00A45F5D">
        <w:rPr>
          <w:rtl/>
        </w:rPr>
        <w:t xml:space="preserve"> </w:t>
      </w:r>
      <w:r w:rsidRPr="00A45F5D">
        <w:rPr>
          <w:rFonts w:hint="eastAsia"/>
          <w:rtl/>
        </w:rPr>
        <w:t>זו</w:t>
      </w:r>
      <w:r w:rsidRPr="00A45F5D">
        <w:rPr>
          <w:rtl/>
        </w:rPr>
        <w:t xml:space="preserve"> </w:t>
      </w:r>
      <w:r w:rsidRPr="00A45F5D">
        <w:rPr>
          <w:rFonts w:hint="eastAsia"/>
          <w:rtl/>
        </w:rPr>
        <w:t>היא</w:t>
      </w:r>
      <w:r w:rsidRPr="00A45F5D">
        <w:rPr>
          <w:rtl/>
        </w:rPr>
        <w:t xml:space="preserve"> </w:t>
      </w:r>
      <w:r w:rsidRPr="00A45F5D">
        <w:rPr>
          <w:rFonts w:hint="eastAsia"/>
          <w:rtl/>
        </w:rPr>
        <w:t>כי</w:t>
      </w:r>
      <w:r w:rsidRPr="00A45F5D">
        <w:rPr>
          <w:rtl/>
        </w:rPr>
        <w:t xml:space="preserve"> </w:t>
      </w:r>
      <w:r w:rsidRPr="00A45F5D">
        <w:rPr>
          <w:rFonts w:hint="eastAsia"/>
          <w:rtl/>
        </w:rPr>
        <w:t>הרשות</w:t>
      </w:r>
      <w:r w:rsidRPr="00A45F5D">
        <w:rPr>
          <w:rtl/>
        </w:rPr>
        <w:t xml:space="preserve"> </w:t>
      </w:r>
      <w:r w:rsidRPr="00A45F5D">
        <w:rPr>
          <w:rFonts w:hint="eastAsia"/>
          <w:rtl/>
        </w:rPr>
        <w:t>המכוננת</w:t>
      </w:r>
      <w:r w:rsidRPr="00A45F5D">
        <w:rPr>
          <w:rtl/>
        </w:rPr>
        <w:t xml:space="preserve"> </w:t>
      </w:r>
      <w:r w:rsidRPr="00A45F5D">
        <w:rPr>
          <w:rFonts w:hint="eastAsia"/>
          <w:rtl/>
        </w:rPr>
        <w:t>חצתה</w:t>
      </w:r>
      <w:r w:rsidRPr="00A45F5D">
        <w:rPr>
          <w:rtl/>
        </w:rPr>
        <w:t xml:space="preserve"> </w:t>
      </w:r>
      <w:r w:rsidRPr="00A45F5D">
        <w:rPr>
          <w:rFonts w:hint="eastAsia"/>
          <w:rtl/>
        </w:rPr>
        <w:t>את</w:t>
      </w:r>
      <w:r w:rsidRPr="00A45F5D">
        <w:rPr>
          <w:rtl/>
        </w:rPr>
        <w:t xml:space="preserve"> </w:t>
      </w:r>
      <w:r w:rsidRPr="00A45F5D">
        <w:rPr>
          <w:rFonts w:hint="eastAsia"/>
          <w:rtl/>
        </w:rPr>
        <w:t>הגבו</w:t>
      </w:r>
      <w:r w:rsidRPr="00A45F5D">
        <w:rPr>
          <w:rFonts w:hint="cs"/>
          <w:rtl/>
        </w:rPr>
        <w:t>ל שאותו היא לא הייתה רשאית או מוסמכת לחצות.</w:t>
      </w:r>
      <w:r w:rsidRPr="00A45F5D">
        <w:rPr>
          <w:rtl/>
        </w:rPr>
        <w:t xml:space="preserve"> </w:t>
      </w:r>
      <w:r w:rsidRPr="00A45F5D">
        <w:rPr>
          <w:rFonts w:ascii="Century" w:hAnsi="Century" w:cs="Miriam" w:hint="eastAsia"/>
          <w:b/>
          <w:spacing w:val="0"/>
          <w:szCs w:val="24"/>
          <w:rtl/>
        </w:rPr>
        <w:t>לעולם</w:t>
      </w:r>
      <w:r w:rsidRPr="00A45F5D">
        <w:rPr>
          <w:rtl/>
        </w:rPr>
        <w:t xml:space="preserve"> השאלה אינה יכולה להיות מהם הערכים החינוכיים הנכונים והמתאימים להיכלל בחוקה; אלא אך ורק האם מתקיימות עילות ביקורת שיפוטיות מבוררות. </w:t>
      </w:r>
      <w:r w:rsidRPr="0059019A">
        <w:rPr>
          <w:rFonts w:hint="eastAsia"/>
          <w:rtl/>
        </w:rPr>
        <w:t>דברים</w:t>
      </w:r>
      <w:r w:rsidRPr="0059019A">
        <w:rPr>
          <w:rtl/>
        </w:rPr>
        <w:t xml:space="preserve"> אלה בדבר "</w:t>
      </w:r>
      <w:r w:rsidRPr="0059019A">
        <w:rPr>
          <w:rFonts w:hint="eastAsia"/>
          <w:rtl/>
        </w:rPr>
        <w:t>ההתאמה</w:t>
      </w:r>
      <w:r w:rsidRPr="0059019A">
        <w:rPr>
          <w:rtl/>
        </w:rPr>
        <w:t xml:space="preserve"> </w:t>
      </w:r>
      <w:r w:rsidRPr="0059019A">
        <w:rPr>
          <w:rFonts w:hint="eastAsia"/>
          <w:rtl/>
        </w:rPr>
        <w:t>החינוכית</w:t>
      </w:r>
      <w:r w:rsidRPr="0059019A">
        <w:rPr>
          <w:rtl/>
        </w:rPr>
        <w:t xml:space="preserve">-תדמיתית" </w:t>
      </w:r>
      <w:r w:rsidRPr="0059019A">
        <w:rPr>
          <w:rFonts w:hint="eastAsia"/>
          <w:rtl/>
        </w:rPr>
        <w:t>של</w:t>
      </w:r>
      <w:r w:rsidRPr="0059019A">
        <w:rPr>
          <w:rtl/>
        </w:rPr>
        <w:t xml:space="preserve"> הוראות חוק היסוד </w:t>
      </w:r>
      <w:r w:rsidRPr="0059019A">
        <w:rPr>
          <w:rFonts w:hint="eastAsia"/>
          <w:rtl/>
        </w:rPr>
        <w:t>מבטאים</w:t>
      </w:r>
      <w:r w:rsidRPr="0059019A">
        <w:rPr>
          <w:rtl/>
        </w:rPr>
        <w:t xml:space="preserve"> יותר מכל </w:t>
      </w:r>
      <w:r w:rsidRPr="0059019A">
        <w:rPr>
          <w:rFonts w:hint="eastAsia"/>
          <w:rtl/>
        </w:rPr>
        <w:t>לעניות</w:t>
      </w:r>
      <w:r w:rsidRPr="0059019A">
        <w:rPr>
          <w:rtl/>
        </w:rPr>
        <w:t xml:space="preserve"> דעתי </w:t>
      </w:r>
      <w:r w:rsidRPr="0059019A">
        <w:rPr>
          <w:rFonts w:hint="eastAsia"/>
          <w:rtl/>
        </w:rPr>
        <w:t>את</w:t>
      </w:r>
      <w:r w:rsidRPr="0059019A">
        <w:rPr>
          <w:rtl/>
        </w:rPr>
        <w:t xml:space="preserve"> </w:t>
      </w:r>
      <w:r w:rsidRPr="0059019A">
        <w:rPr>
          <w:rFonts w:hint="eastAsia"/>
          <w:rtl/>
        </w:rPr>
        <w:t>חציית</w:t>
      </w:r>
      <w:r w:rsidRPr="0059019A">
        <w:rPr>
          <w:rtl/>
        </w:rPr>
        <w:t xml:space="preserve"> </w:t>
      </w:r>
      <w:r w:rsidRPr="0059019A">
        <w:rPr>
          <w:rFonts w:hint="eastAsia"/>
          <w:rtl/>
        </w:rPr>
        <w:t>הגבול</w:t>
      </w:r>
      <w:r w:rsidRPr="0059019A">
        <w:rPr>
          <w:rtl/>
        </w:rPr>
        <w:t xml:space="preserve"> </w:t>
      </w:r>
      <w:r w:rsidRPr="0059019A">
        <w:rPr>
          <w:rFonts w:hint="eastAsia"/>
          <w:rtl/>
        </w:rPr>
        <w:t>על</w:t>
      </w:r>
      <w:r w:rsidRPr="0059019A">
        <w:rPr>
          <w:rtl/>
        </w:rPr>
        <w:t xml:space="preserve"> </w:t>
      </w:r>
      <w:r w:rsidRPr="0059019A">
        <w:rPr>
          <w:rFonts w:hint="eastAsia"/>
          <w:rtl/>
        </w:rPr>
        <w:t>ידי</w:t>
      </w:r>
      <w:r w:rsidRPr="0059019A">
        <w:rPr>
          <w:rtl/>
        </w:rPr>
        <w:t xml:space="preserve"> </w:t>
      </w:r>
      <w:r w:rsidRPr="0059019A">
        <w:rPr>
          <w:rFonts w:hint="eastAsia"/>
          <w:rtl/>
        </w:rPr>
        <w:t>בית</w:t>
      </w:r>
      <w:r w:rsidRPr="0059019A">
        <w:rPr>
          <w:rtl/>
        </w:rPr>
        <w:t xml:space="preserve"> </w:t>
      </w:r>
      <w:r w:rsidRPr="0059019A">
        <w:rPr>
          <w:rFonts w:hint="eastAsia"/>
          <w:rtl/>
        </w:rPr>
        <w:t>משפט</w:t>
      </w:r>
      <w:r w:rsidRPr="0059019A">
        <w:rPr>
          <w:rtl/>
        </w:rPr>
        <w:t xml:space="preserve"> </w:t>
      </w:r>
      <w:r w:rsidRPr="0059019A">
        <w:rPr>
          <w:rFonts w:hint="eastAsia"/>
          <w:rtl/>
        </w:rPr>
        <w:t>זה</w:t>
      </w:r>
      <w:r w:rsidRPr="00A45F5D">
        <w:rPr>
          <w:rtl/>
        </w:rPr>
        <w:t>.</w:t>
      </w:r>
    </w:p>
    <w:p w:rsidR="00737972" w:rsidRPr="00A45F5D" w:rsidRDefault="00737972" w:rsidP="00737972">
      <w:pPr>
        <w:pStyle w:val="Ruller41"/>
        <w:rPr>
          <w:rtl/>
        </w:rPr>
      </w:pPr>
    </w:p>
    <w:p w:rsidR="00737972" w:rsidRPr="00A45F5D" w:rsidRDefault="00737972" w:rsidP="00737972">
      <w:pPr>
        <w:pStyle w:val="Ruller41"/>
        <w:rPr>
          <w:rFonts w:ascii="Century" w:hAnsi="Century" w:cs="Miriam"/>
          <w:b/>
          <w:spacing w:val="0"/>
          <w:szCs w:val="24"/>
        </w:rPr>
      </w:pPr>
      <w:r w:rsidRPr="00A45F5D">
        <w:rPr>
          <w:rFonts w:ascii="Century" w:hAnsi="Century" w:cs="Miriam" w:hint="cs"/>
          <w:b/>
          <w:spacing w:val="0"/>
          <w:szCs w:val="24"/>
          <w:rtl/>
        </w:rPr>
        <w:t>עיקרון הפרדת הרשויות ועיקרון שלטון החוק</w:t>
      </w:r>
    </w:p>
    <w:p w:rsidR="00737972" w:rsidRDefault="00737972" w:rsidP="00737972">
      <w:pPr>
        <w:pStyle w:val="Ruller4"/>
        <w:rPr>
          <w:rtl/>
        </w:rPr>
      </w:pPr>
      <w:r w:rsidRPr="00A45F5D">
        <w:rPr>
          <w:rFonts w:hint="cs"/>
          <w:rtl/>
        </w:rPr>
        <w:t xml:space="preserve">אם בעניין </w:t>
      </w:r>
      <w:r>
        <w:rPr>
          <w:rFonts w:ascii="Century" w:hAnsi="Century" w:cs="Miriam" w:hint="cs"/>
          <w:b/>
          <w:spacing w:val="0"/>
          <w:szCs w:val="24"/>
          <w:rtl/>
        </w:rPr>
        <w:t>ממשלת החי</w:t>
      </w:r>
      <w:r w:rsidRPr="00A45F5D">
        <w:rPr>
          <w:rFonts w:ascii="Century" w:hAnsi="Century" w:cs="Miriam" w:hint="cs"/>
          <w:b/>
          <w:spacing w:val="0"/>
          <w:szCs w:val="24"/>
          <w:rtl/>
        </w:rPr>
        <w:t>לופים</w:t>
      </w:r>
      <w:r w:rsidRPr="00A45F5D">
        <w:rPr>
          <w:rFonts w:hint="cs"/>
          <w:rtl/>
        </w:rPr>
        <w:t xml:space="preserve"> ציינתי כי </w:t>
      </w:r>
      <w:r w:rsidRPr="00A45F5D">
        <w:rPr>
          <w:rFonts w:ascii="FrankRuehl" w:hAnsi="FrankRuehl"/>
          <w:color w:val="000000"/>
          <w:sz w:val="28"/>
          <w:rtl/>
        </w:rPr>
        <w:t xml:space="preserve">עצם הדיון </w:t>
      </w:r>
      <w:r w:rsidRPr="00A45F5D">
        <w:rPr>
          <w:rFonts w:ascii="FrankRuehl" w:hAnsi="FrankRuehl" w:hint="cs"/>
          <w:color w:val="000000"/>
          <w:sz w:val="28"/>
          <w:rtl/>
        </w:rPr>
        <w:t xml:space="preserve">על התערבות שיפוטית בחוקי יסוד </w:t>
      </w:r>
      <w:r w:rsidRPr="00A45F5D">
        <w:rPr>
          <w:rFonts w:ascii="FrankRuehl" w:hAnsi="FrankRuehl"/>
          <w:color w:val="000000"/>
          <w:sz w:val="28"/>
          <w:rtl/>
        </w:rPr>
        <w:t>חותר לטעמי תחת מושכלות יסוד, ביניהם ע</w:t>
      </w:r>
      <w:r w:rsidRPr="00A45F5D">
        <w:rPr>
          <w:rFonts w:ascii="FrankRuehl" w:hAnsi="FrankRuehl" w:hint="cs"/>
          <w:color w:val="000000"/>
          <w:sz w:val="28"/>
          <w:rtl/>
        </w:rPr>
        <w:t>י</w:t>
      </w:r>
      <w:r w:rsidRPr="00A45F5D">
        <w:rPr>
          <w:rFonts w:ascii="FrankRuehl" w:hAnsi="FrankRuehl"/>
          <w:color w:val="000000"/>
          <w:sz w:val="28"/>
          <w:rtl/>
        </w:rPr>
        <w:t>קרון הפרדת הרשויות</w:t>
      </w:r>
      <w:r w:rsidRPr="00A45F5D">
        <w:rPr>
          <w:rFonts w:ascii="FrankRuehl" w:hAnsi="FrankRuehl" w:hint="cs"/>
          <w:color w:val="000000"/>
          <w:sz w:val="28"/>
          <w:rtl/>
        </w:rPr>
        <w:t xml:space="preserve"> (שם, פסקה 1 לחוות דעתי), הרי שהדיון אליו התגלגלנו בעת הזו אינו רק חותר תחת עיקרון</w:t>
      </w:r>
      <w:r w:rsidRPr="007B7F79">
        <w:rPr>
          <w:rFonts w:ascii="FrankRuehl" w:hAnsi="FrankRuehl" w:hint="cs"/>
          <w:color w:val="000000"/>
          <w:sz w:val="28"/>
          <w:rtl/>
        </w:rPr>
        <w:t xml:space="preserve"> הפרדת הרשויות</w:t>
      </w:r>
      <w:r>
        <w:rPr>
          <w:rFonts w:ascii="FrankRuehl" w:hAnsi="FrankRuehl" w:hint="cs"/>
          <w:color w:val="000000"/>
          <w:sz w:val="28"/>
          <w:rtl/>
        </w:rPr>
        <w:t>,</w:t>
      </w:r>
      <w:r w:rsidRPr="007B7F79">
        <w:rPr>
          <w:rFonts w:ascii="FrankRuehl" w:hAnsi="FrankRuehl" w:hint="cs"/>
          <w:color w:val="000000"/>
          <w:sz w:val="28"/>
          <w:rtl/>
        </w:rPr>
        <w:t xml:space="preserve"> אלא אף רומס אותו ברגל גסה. ולא רק אותו, אלא גם את עיקרון שלטון החוק ממנו מבקשים חבריי, המוצאים בהוראות חוק היסוד כר פורה להתערבות, להיבנות. </w:t>
      </w:r>
      <w:r>
        <w:rPr>
          <w:rFonts w:hint="cs"/>
          <w:rtl/>
        </w:rPr>
        <w:t>ארחיב לגבי כל אחד מהיבטים אלה.</w:t>
      </w:r>
    </w:p>
    <w:p w:rsidR="00737972" w:rsidRDefault="00737972" w:rsidP="00737972">
      <w:pPr>
        <w:pStyle w:val="Ruller41"/>
        <w:rPr>
          <w:rtl/>
        </w:rPr>
      </w:pPr>
    </w:p>
    <w:p w:rsidR="00737972" w:rsidRDefault="00737972" w:rsidP="00737972">
      <w:pPr>
        <w:pStyle w:val="Ruller41"/>
        <w:rPr>
          <w:rtl/>
        </w:rPr>
      </w:pPr>
      <w:r w:rsidRPr="008F7D04">
        <w:rPr>
          <w:rFonts w:ascii="Century" w:hAnsi="Century" w:cs="Miriam"/>
          <w:b/>
          <w:spacing w:val="0"/>
          <w:szCs w:val="24"/>
          <w:rtl/>
        </w:rPr>
        <w:tab/>
      </w:r>
      <w:r w:rsidRPr="008F7D04">
        <w:rPr>
          <w:rFonts w:ascii="Century" w:hAnsi="Century" w:cs="Miriam" w:hint="cs"/>
          <w:b/>
          <w:spacing w:val="0"/>
          <w:szCs w:val="24"/>
          <w:rtl/>
        </w:rPr>
        <w:t>עיקרון הפרדת הרשויות</w:t>
      </w:r>
      <w:r>
        <w:rPr>
          <w:rFonts w:hint="cs"/>
          <w:rtl/>
        </w:rPr>
        <w:t xml:space="preserve">: אכן, עיקרון הפרדת הרשויות מבטא לא רק הפרדה בין הרשויות השונות וביזור הסמכויות בין גופים שונים, אלא גם פיקוח הדדי מוגדר (בג"ץ 306/81 </w:t>
      </w:r>
      <w:r w:rsidRPr="0079462A">
        <w:rPr>
          <w:rFonts w:ascii="Century" w:hAnsi="Century" w:cs="Miriam" w:hint="cs"/>
          <w:b/>
          <w:spacing w:val="0"/>
          <w:szCs w:val="24"/>
          <w:rtl/>
        </w:rPr>
        <w:t>שרון נ' ועדת הכנסת</w:t>
      </w:r>
      <w:r>
        <w:rPr>
          <w:rFonts w:hint="cs"/>
          <w:rtl/>
        </w:rPr>
        <w:t xml:space="preserve">, פ"ד לה(4) 118, 141 (1981)). הפרדת הרשויות אין </w:t>
      </w:r>
      <w:r>
        <w:rPr>
          <w:rFonts w:hint="cs"/>
          <w:rtl/>
        </w:rPr>
        <w:lastRenderedPageBreak/>
        <w:t>משמעותה הפרדה הרמטית כי אם מערכת של "איזונים ובלמים" בין המערכות השונות, אם כי "התשתית היא בעיקרון ההפרדה, וכי אותם 'איזונים ובלמים' בנויים על אותה תשתית" (</w:t>
      </w:r>
      <w:r w:rsidRPr="008F7D04">
        <w:rPr>
          <w:rFonts w:hint="eastAsia"/>
          <w:rtl/>
        </w:rPr>
        <w:t>בג</w:t>
      </w:r>
      <w:r w:rsidRPr="008F7D04">
        <w:rPr>
          <w:rtl/>
        </w:rPr>
        <w:t>"</w:t>
      </w:r>
      <w:r w:rsidRPr="008F7D04">
        <w:rPr>
          <w:rFonts w:hint="eastAsia"/>
          <w:rtl/>
        </w:rPr>
        <w:t>ץ</w:t>
      </w:r>
      <w:r w:rsidRPr="008F7D04">
        <w:rPr>
          <w:rtl/>
        </w:rPr>
        <w:t xml:space="preserve"> 164</w:t>
      </w:r>
      <w:r>
        <w:rPr>
          <w:rFonts w:hint="cs"/>
          <w:rtl/>
        </w:rPr>
        <w:t>/</w:t>
      </w:r>
      <w:r w:rsidRPr="008F7D04">
        <w:rPr>
          <w:rtl/>
        </w:rPr>
        <w:t xml:space="preserve">97 </w:t>
      </w:r>
      <w:r w:rsidRPr="008F7D04">
        <w:rPr>
          <w:rFonts w:ascii="Century" w:hAnsi="Century" w:cs="Miriam" w:hint="eastAsia"/>
          <w:b/>
          <w:spacing w:val="0"/>
          <w:szCs w:val="24"/>
          <w:rtl/>
        </w:rPr>
        <w:t>קונטרם</w:t>
      </w:r>
      <w:r w:rsidRPr="008F7D04">
        <w:rPr>
          <w:rFonts w:ascii="Century" w:hAnsi="Century" w:cs="Miriam"/>
          <w:b/>
          <w:spacing w:val="0"/>
          <w:szCs w:val="24"/>
          <w:rtl/>
        </w:rPr>
        <w:t xml:space="preserve"> </w:t>
      </w:r>
      <w:r w:rsidRPr="008F7D04">
        <w:rPr>
          <w:rFonts w:ascii="Century" w:hAnsi="Century" w:cs="Miriam" w:hint="eastAsia"/>
          <w:b/>
          <w:spacing w:val="0"/>
          <w:szCs w:val="24"/>
          <w:rtl/>
        </w:rPr>
        <w:t>בע</w:t>
      </w:r>
      <w:r w:rsidRPr="008F7D04">
        <w:rPr>
          <w:rFonts w:ascii="Century" w:hAnsi="Century" w:cs="Miriam"/>
          <w:b/>
          <w:spacing w:val="0"/>
          <w:szCs w:val="24"/>
          <w:rtl/>
        </w:rPr>
        <w:t>"</w:t>
      </w:r>
      <w:r w:rsidRPr="008F7D04">
        <w:rPr>
          <w:rFonts w:ascii="Century" w:hAnsi="Century" w:cs="Miriam" w:hint="eastAsia"/>
          <w:b/>
          <w:spacing w:val="0"/>
          <w:szCs w:val="24"/>
          <w:rtl/>
        </w:rPr>
        <w:t>מ</w:t>
      </w:r>
      <w:r w:rsidRPr="008F7D04">
        <w:rPr>
          <w:rFonts w:ascii="Century" w:hAnsi="Century" w:cs="Miriam"/>
          <w:b/>
          <w:spacing w:val="0"/>
          <w:szCs w:val="24"/>
          <w:rtl/>
        </w:rPr>
        <w:t xml:space="preserve"> </w:t>
      </w:r>
      <w:r w:rsidRPr="008F7D04">
        <w:rPr>
          <w:rFonts w:ascii="Century" w:hAnsi="Century" w:cs="Miriam" w:hint="eastAsia"/>
          <w:b/>
          <w:spacing w:val="0"/>
          <w:szCs w:val="24"/>
          <w:rtl/>
        </w:rPr>
        <w:t>נ</w:t>
      </w:r>
      <w:r w:rsidRPr="008F7D04">
        <w:rPr>
          <w:rFonts w:ascii="Century" w:hAnsi="Century" w:cs="Miriam"/>
          <w:b/>
          <w:spacing w:val="0"/>
          <w:szCs w:val="24"/>
          <w:rtl/>
        </w:rPr>
        <w:t xml:space="preserve">' </w:t>
      </w:r>
      <w:r w:rsidRPr="008F7D04">
        <w:rPr>
          <w:rFonts w:ascii="Century" w:hAnsi="Century" w:cs="Miriam" w:hint="eastAsia"/>
          <w:b/>
          <w:spacing w:val="0"/>
          <w:szCs w:val="24"/>
          <w:rtl/>
        </w:rPr>
        <w:t>משרד</w:t>
      </w:r>
      <w:r w:rsidRPr="008F7D04">
        <w:rPr>
          <w:rFonts w:ascii="Century" w:hAnsi="Century" w:cs="Miriam"/>
          <w:b/>
          <w:spacing w:val="0"/>
          <w:szCs w:val="24"/>
          <w:rtl/>
        </w:rPr>
        <w:t xml:space="preserve"> </w:t>
      </w:r>
      <w:r w:rsidRPr="008F7D04">
        <w:rPr>
          <w:rFonts w:ascii="Century" w:hAnsi="Century" w:cs="Miriam" w:hint="eastAsia"/>
          <w:b/>
          <w:spacing w:val="0"/>
          <w:szCs w:val="24"/>
          <w:rtl/>
        </w:rPr>
        <w:t>האוצר</w:t>
      </w:r>
      <w:r>
        <w:rPr>
          <w:rFonts w:ascii="Century" w:hAnsi="Century" w:cs="Miriam" w:hint="cs"/>
          <w:b/>
          <w:spacing w:val="0"/>
          <w:szCs w:val="24"/>
          <w:rtl/>
        </w:rPr>
        <w:t>,</w:t>
      </w:r>
      <w:r w:rsidRPr="008F7D04">
        <w:rPr>
          <w:rFonts w:ascii="Century" w:hAnsi="Century" w:cs="Miriam"/>
          <w:b/>
          <w:spacing w:val="0"/>
          <w:szCs w:val="24"/>
          <w:rtl/>
        </w:rPr>
        <w:t xml:space="preserve"> </w:t>
      </w:r>
      <w:r w:rsidRPr="008F7D04">
        <w:rPr>
          <w:rFonts w:ascii="Century" w:hAnsi="Century" w:cs="Miriam" w:hint="eastAsia"/>
          <w:b/>
          <w:spacing w:val="0"/>
          <w:szCs w:val="24"/>
          <w:rtl/>
        </w:rPr>
        <w:t>אגף</w:t>
      </w:r>
      <w:r w:rsidRPr="008F7D04">
        <w:rPr>
          <w:rFonts w:ascii="Century" w:hAnsi="Century" w:cs="Miriam"/>
          <w:b/>
          <w:spacing w:val="0"/>
          <w:szCs w:val="24"/>
          <w:rtl/>
        </w:rPr>
        <w:t xml:space="preserve"> </w:t>
      </w:r>
      <w:r w:rsidRPr="008F7D04">
        <w:rPr>
          <w:rFonts w:ascii="Century" w:hAnsi="Century" w:cs="Miriam" w:hint="eastAsia"/>
          <w:b/>
          <w:spacing w:val="0"/>
          <w:szCs w:val="24"/>
          <w:rtl/>
        </w:rPr>
        <w:t>המכס</w:t>
      </w:r>
      <w:r w:rsidRPr="008F7D04">
        <w:rPr>
          <w:rFonts w:ascii="Century" w:hAnsi="Century" w:cs="Miriam"/>
          <w:b/>
          <w:spacing w:val="0"/>
          <w:szCs w:val="24"/>
          <w:rtl/>
        </w:rPr>
        <w:t xml:space="preserve"> </w:t>
      </w:r>
      <w:r w:rsidRPr="008F7D04">
        <w:rPr>
          <w:rFonts w:ascii="Century" w:hAnsi="Century" w:cs="Miriam" w:hint="eastAsia"/>
          <w:b/>
          <w:spacing w:val="0"/>
          <w:szCs w:val="24"/>
          <w:rtl/>
        </w:rPr>
        <w:t>והמע</w:t>
      </w:r>
      <w:r w:rsidRPr="008F7D04">
        <w:rPr>
          <w:rFonts w:ascii="Century" w:hAnsi="Century" w:cs="Miriam"/>
          <w:b/>
          <w:spacing w:val="0"/>
          <w:szCs w:val="24"/>
          <w:rtl/>
        </w:rPr>
        <w:t>"</w:t>
      </w:r>
      <w:r w:rsidRPr="008F7D04">
        <w:rPr>
          <w:rFonts w:ascii="Century" w:hAnsi="Century" w:cs="Miriam" w:hint="eastAsia"/>
          <w:b/>
          <w:spacing w:val="0"/>
          <w:szCs w:val="24"/>
          <w:rtl/>
        </w:rPr>
        <w:t>מ</w:t>
      </w:r>
      <w:r>
        <w:rPr>
          <w:rFonts w:hint="cs"/>
          <w:rtl/>
        </w:rPr>
        <w:t>,</w:t>
      </w:r>
      <w:r w:rsidRPr="008F7D04">
        <w:rPr>
          <w:rtl/>
        </w:rPr>
        <w:t xml:space="preserve"> </w:t>
      </w:r>
      <w:r w:rsidRPr="008F7D04">
        <w:rPr>
          <w:rFonts w:hint="eastAsia"/>
          <w:rtl/>
        </w:rPr>
        <w:t>פ</w:t>
      </w:r>
      <w:r w:rsidRPr="008F7D04">
        <w:rPr>
          <w:rtl/>
        </w:rPr>
        <w:t>"</w:t>
      </w:r>
      <w:r w:rsidRPr="008F7D04">
        <w:rPr>
          <w:rFonts w:hint="eastAsia"/>
          <w:rtl/>
        </w:rPr>
        <w:t>ד</w:t>
      </w:r>
      <w:r w:rsidRPr="008F7D04">
        <w:rPr>
          <w:rtl/>
        </w:rPr>
        <w:t xml:space="preserve"> </w:t>
      </w:r>
      <w:r w:rsidRPr="008F7D04">
        <w:rPr>
          <w:rFonts w:hint="eastAsia"/>
          <w:rtl/>
        </w:rPr>
        <w:t>נב</w:t>
      </w:r>
      <w:r w:rsidRPr="008F7D04">
        <w:rPr>
          <w:rtl/>
        </w:rPr>
        <w:t>(1) 289</w:t>
      </w:r>
      <w:r>
        <w:rPr>
          <w:rFonts w:hint="cs"/>
          <w:rtl/>
        </w:rPr>
        <w:t>, 388 (1998)). עיקרון הפרדת הרשויות הוא גם העומד ביסוד הצורך לנקוט בזהירות בעת שקילת ביטול דבר חקיקה (אף לעמדה כי קיימת סמכות לכך), ובוודאי חקיקת יסוד. בהקשר זה נאמר ב</w:t>
      </w:r>
      <w:r w:rsidRPr="0079462A">
        <w:rPr>
          <w:rFonts w:hint="eastAsia"/>
          <w:rtl/>
        </w:rPr>
        <w:t>בג</w:t>
      </w:r>
      <w:r w:rsidRPr="0079462A">
        <w:rPr>
          <w:rtl/>
        </w:rPr>
        <w:t>"</w:t>
      </w:r>
      <w:r w:rsidRPr="0079462A">
        <w:rPr>
          <w:rFonts w:hint="eastAsia"/>
          <w:rtl/>
        </w:rPr>
        <w:t>ץ</w:t>
      </w:r>
      <w:r w:rsidRPr="0079462A">
        <w:rPr>
          <w:rtl/>
        </w:rPr>
        <w:t xml:space="preserve"> 366/03‏ </w:t>
      </w:r>
      <w:r w:rsidRPr="0079462A">
        <w:rPr>
          <w:rFonts w:ascii="Century" w:hAnsi="Century" w:cs="Miriam" w:hint="eastAsia"/>
          <w:b/>
          <w:spacing w:val="0"/>
          <w:szCs w:val="24"/>
          <w:rtl/>
        </w:rPr>
        <w:t>עמותת</w:t>
      </w:r>
      <w:r w:rsidRPr="0079462A">
        <w:rPr>
          <w:rFonts w:ascii="Century" w:hAnsi="Century" w:cs="Miriam"/>
          <w:b/>
          <w:spacing w:val="0"/>
          <w:szCs w:val="24"/>
          <w:rtl/>
        </w:rPr>
        <w:t xml:space="preserve"> </w:t>
      </w:r>
      <w:r w:rsidRPr="0079462A">
        <w:rPr>
          <w:rFonts w:ascii="Century" w:hAnsi="Century" w:cs="Miriam" w:hint="eastAsia"/>
          <w:b/>
          <w:spacing w:val="0"/>
          <w:szCs w:val="24"/>
          <w:rtl/>
        </w:rPr>
        <w:t>מחויבות</w:t>
      </w:r>
      <w:r w:rsidRPr="0079462A">
        <w:rPr>
          <w:rFonts w:ascii="Century" w:hAnsi="Century" w:cs="Miriam"/>
          <w:b/>
          <w:spacing w:val="0"/>
          <w:szCs w:val="24"/>
          <w:rtl/>
        </w:rPr>
        <w:t xml:space="preserve"> </w:t>
      </w:r>
      <w:r w:rsidRPr="0079462A">
        <w:rPr>
          <w:rFonts w:ascii="Century" w:hAnsi="Century" w:cs="Miriam" w:hint="eastAsia"/>
          <w:b/>
          <w:spacing w:val="0"/>
          <w:szCs w:val="24"/>
          <w:rtl/>
        </w:rPr>
        <w:t>לשלום</w:t>
      </w:r>
      <w:r w:rsidRPr="0079462A">
        <w:rPr>
          <w:rFonts w:ascii="Century" w:hAnsi="Century" w:cs="Miriam"/>
          <w:b/>
          <w:spacing w:val="0"/>
          <w:szCs w:val="24"/>
          <w:rtl/>
        </w:rPr>
        <w:t xml:space="preserve"> </w:t>
      </w:r>
      <w:r w:rsidRPr="0079462A">
        <w:rPr>
          <w:rFonts w:ascii="Century" w:hAnsi="Century" w:cs="Miriam" w:hint="eastAsia"/>
          <w:b/>
          <w:spacing w:val="0"/>
          <w:szCs w:val="24"/>
          <w:rtl/>
        </w:rPr>
        <w:t>וצדק</w:t>
      </w:r>
      <w:r w:rsidRPr="0079462A">
        <w:rPr>
          <w:rFonts w:ascii="Century" w:hAnsi="Century" w:cs="Miriam"/>
          <w:b/>
          <w:spacing w:val="0"/>
          <w:szCs w:val="24"/>
          <w:rtl/>
        </w:rPr>
        <w:t xml:space="preserve"> </w:t>
      </w:r>
      <w:r w:rsidRPr="0079462A">
        <w:rPr>
          <w:rFonts w:ascii="Century" w:hAnsi="Century" w:cs="Miriam" w:hint="eastAsia"/>
          <w:b/>
          <w:spacing w:val="0"/>
          <w:szCs w:val="24"/>
          <w:rtl/>
        </w:rPr>
        <w:t>חברתי</w:t>
      </w:r>
      <w:r w:rsidRPr="0079462A">
        <w:rPr>
          <w:rFonts w:ascii="Century" w:hAnsi="Century" w:cs="Miriam"/>
          <w:b/>
          <w:spacing w:val="0"/>
          <w:szCs w:val="24"/>
          <w:rtl/>
        </w:rPr>
        <w:t xml:space="preserve"> </w:t>
      </w:r>
      <w:r w:rsidRPr="0079462A">
        <w:rPr>
          <w:rFonts w:ascii="Century" w:hAnsi="Century" w:cs="Miriam" w:hint="eastAsia"/>
          <w:b/>
          <w:spacing w:val="0"/>
          <w:szCs w:val="24"/>
          <w:rtl/>
        </w:rPr>
        <w:t>נ</w:t>
      </w:r>
      <w:r w:rsidRPr="0079462A">
        <w:rPr>
          <w:rFonts w:ascii="Century" w:hAnsi="Century" w:cs="Miriam"/>
          <w:b/>
          <w:spacing w:val="0"/>
          <w:szCs w:val="24"/>
          <w:rtl/>
        </w:rPr>
        <w:t xml:space="preserve">' </w:t>
      </w:r>
      <w:r w:rsidRPr="0079462A">
        <w:rPr>
          <w:rFonts w:ascii="Century" w:hAnsi="Century" w:cs="Miriam" w:hint="eastAsia"/>
          <w:b/>
          <w:spacing w:val="0"/>
          <w:szCs w:val="24"/>
          <w:rtl/>
        </w:rPr>
        <w:t>שר</w:t>
      </w:r>
      <w:r w:rsidRPr="0079462A">
        <w:rPr>
          <w:rFonts w:ascii="Century" w:hAnsi="Century" w:cs="Miriam"/>
          <w:b/>
          <w:spacing w:val="0"/>
          <w:szCs w:val="24"/>
          <w:rtl/>
        </w:rPr>
        <w:t xml:space="preserve"> </w:t>
      </w:r>
      <w:r w:rsidRPr="0079462A">
        <w:rPr>
          <w:rFonts w:ascii="Century" w:hAnsi="Century" w:cs="Miriam" w:hint="eastAsia"/>
          <w:b/>
          <w:spacing w:val="0"/>
          <w:szCs w:val="24"/>
          <w:rtl/>
        </w:rPr>
        <w:t>האוצר</w:t>
      </w:r>
      <w:r w:rsidRPr="0079462A">
        <w:rPr>
          <w:rtl/>
        </w:rPr>
        <w:t xml:space="preserve">, </w:t>
      </w:r>
      <w:r w:rsidRPr="0079462A">
        <w:rPr>
          <w:rFonts w:hint="eastAsia"/>
          <w:rtl/>
        </w:rPr>
        <w:t>פ</w:t>
      </w:r>
      <w:r>
        <w:rPr>
          <w:rFonts w:hint="cs"/>
          <w:rtl/>
        </w:rPr>
        <w:t>"</w:t>
      </w:r>
      <w:r w:rsidRPr="0079462A">
        <w:rPr>
          <w:rFonts w:hint="eastAsia"/>
          <w:rtl/>
        </w:rPr>
        <w:t>ד</w:t>
      </w:r>
      <w:r w:rsidRPr="0079462A">
        <w:rPr>
          <w:rtl/>
        </w:rPr>
        <w:t xml:space="preserve"> </w:t>
      </w:r>
      <w:r w:rsidRPr="0079462A">
        <w:rPr>
          <w:rFonts w:hint="eastAsia"/>
          <w:rtl/>
        </w:rPr>
        <w:t>ס</w:t>
      </w:r>
      <w:r w:rsidRPr="0079462A">
        <w:rPr>
          <w:rtl/>
        </w:rPr>
        <w:t>(3) 464</w:t>
      </w:r>
      <w:r>
        <w:rPr>
          <w:rFonts w:hint="cs"/>
          <w:rtl/>
        </w:rPr>
        <w:t xml:space="preserve"> (2006) כי:</w:t>
      </w:r>
    </w:p>
    <w:p w:rsidR="00737972" w:rsidRDefault="00737972" w:rsidP="00737972">
      <w:pPr>
        <w:pStyle w:val="Ruller41"/>
        <w:rPr>
          <w:rtl/>
        </w:rPr>
      </w:pPr>
    </w:p>
    <w:p w:rsidR="00737972" w:rsidRDefault="00737972" w:rsidP="00737972">
      <w:pPr>
        <w:pStyle w:val="Ruller5"/>
        <w:rPr>
          <w:rtl/>
        </w:rPr>
      </w:pPr>
      <w:r>
        <w:rPr>
          <w:rFonts w:hint="cs"/>
          <w:rtl/>
        </w:rPr>
        <w:t>"</w:t>
      </w:r>
      <w:r w:rsidRPr="0079462A">
        <w:rPr>
          <w:rFonts w:hint="eastAsia"/>
          <w:rtl/>
        </w:rPr>
        <w:t>רובצת</w:t>
      </w:r>
      <w:r w:rsidRPr="0079462A">
        <w:rPr>
          <w:rtl/>
        </w:rPr>
        <w:t xml:space="preserve"> </w:t>
      </w:r>
      <w:r w:rsidRPr="0079462A">
        <w:rPr>
          <w:rFonts w:hint="eastAsia"/>
          <w:rtl/>
        </w:rPr>
        <w:t>עלינו</w:t>
      </w:r>
      <w:r w:rsidRPr="0079462A">
        <w:rPr>
          <w:rtl/>
        </w:rPr>
        <w:t xml:space="preserve"> </w:t>
      </w:r>
      <w:r w:rsidRPr="0079462A">
        <w:rPr>
          <w:rFonts w:hint="eastAsia"/>
          <w:rtl/>
        </w:rPr>
        <w:t>בכל</w:t>
      </w:r>
      <w:r w:rsidRPr="0079462A">
        <w:rPr>
          <w:rtl/>
        </w:rPr>
        <w:t xml:space="preserve"> </w:t>
      </w:r>
      <w:r w:rsidRPr="0079462A">
        <w:rPr>
          <w:rFonts w:hint="eastAsia"/>
          <w:rtl/>
        </w:rPr>
        <w:t>כובדה</w:t>
      </w:r>
      <w:r w:rsidRPr="0079462A">
        <w:rPr>
          <w:rtl/>
        </w:rPr>
        <w:t xml:space="preserve"> </w:t>
      </w:r>
      <w:r w:rsidRPr="0079462A">
        <w:rPr>
          <w:rFonts w:hint="eastAsia"/>
          <w:rtl/>
        </w:rPr>
        <w:t>ועוצמתה</w:t>
      </w:r>
      <w:r w:rsidRPr="0079462A">
        <w:rPr>
          <w:rtl/>
        </w:rPr>
        <w:t xml:space="preserve"> </w:t>
      </w:r>
      <w:r w:rsidRPr="0079462A">
        <w:rPr>
          <w:rFonts w:hint="eastAsia"/>
          <w:rtl/>
        </w:rPr>
        <w:t>דוקטרינת</w:t>
      </w:r>
      <w:r w:rsidRPr="0079462A">
        <w:rPr>
          <w:rtl/>
        </w:rPr>
        <w:t xml:space="preserve"> </w:t>
      </w:r>
      <w:r w:rsidRPr="0079462A">
        <w:rPr>
          <w:rFonts w:hint="eastAsia"/>
          <w:rtl/>
        </w:rPr>
        <w:t>ביזור</w:t>
      </w:r>
      <w:r w:rsidRPr="0079462A">
        <w:rPr>
          <w:rtl/>
        </w:rPr>
        <w:t xml:space="preserve"> </w:t>
      </w:r>
      <w:r w:rsidRPr="0079462A">
        <w:rPr>
          <w:rFonts w:hint="eastAsia"/>
          <w:rtl/>
        </w:rPr>
        <w:t>הסמכויות</w:t>
      </w:r>
      <w:r w:rsidRPr="0079462A">
        <w:rPr>
          <w:rtl/>
        </w:rPr>
        <w:t xml:space="preserve"> </w:t>
      </w:r>
      <w:r w:rsidRPr="0079462A">
        <w:rPr>
          <w:rFonts w:hint="eastAsia"/>
          <w:rtl/>
        </w:rPr>
        <w:t>והפרדת</w:t>
      </w:r>
      <w:r w:rsidRPr="0079462A">
        <w:rPr>
          <w:rtl/>
        </w:rPr>
        <w:t xml:space="preserve"> </w:t>
      </w:r>
      <w:r w:rsidRPr="0079462A">
        <w:rPr>
          <w:rFonts w:hint="eastAsia"/>
          <w:rtl/>
        </w:rPr>
        <w:t>הרשויות</w:t>
      </w:r>
      <w:r w:rsidRPr="0079462A">
        <w:rPr>
          <w:rtl/>
        </w:rPr>
        <w:t xml:space="preserve">, </w:t>
      </w:r>
      <w:r w:rsidRPr="0079462A">
        <w:rPr>
          <w:rFonts w:hint="eastAsia"/>
          <w:rtl/>
        </w:rPr>
        <w:t>והיא</w:t>
      </w:r>
      <w:r w:rsidRPr="0079462A">
        <w:rPr>
          <w:rtl/>
        </w:rPr>
        <w:t xml:space="preserve"> </w:t>
      </w:r>
      <w:r w:rsidRPr="0079462A">
        <w:rPr>
          <w:rFonts w:hint="eastAsia"/>
          <w:rtl/>
        </w:rPr>
        <w:t>דוקטרינה</w:t>
      </w:r>
      <w:r w:rsidRPr="0079462A">
        <w:rPr>
          <w:rtl/>
        </w:rPr>
        <w:t xml:space="preserve"> </w:t>
      </w:r>
      <w:r w:rsidRPr="0079462A">
        <w:rPr>
          <w:rFonts w:hint="eastAsia"/>
          <w:rtl/>
        </w:rPr>
        <w:t>שעלינו</w:t>
      </w:r>
      <w:r w:rsidRPr="0079462A">
        <w:rPr>
          <w:rtl/>
        </w:rPr>
        <w:t xml:space="preserve"> </w:t>
      </w:r>
      <w:r w:rsidRPr="0079462A">
        <w:rPr>
          <w:rFonts w:hint="eastAsia"/>
          <w:rtl/>
        </w:rPr>
        <w:t>להיזהר</w:t>
      </w:r>
      <w:r w:rsidRPr="0079462A">
        <w:rPr>
          <w:rtl/>
        </w:rPr>
        <w:t xml:space="preserve"> </w:t>
      </w:r>
      <w:r w:rsidRPr="0079462A">
        <w:rPr>
          <w:rFonts w:hint="eastAsia"/>
          <w:rtl/>
        </w:rPr>
        <w:t>בכבודה</w:t>
      </w:r>
      <w:r w:rsidRPr="0079462A">
        <w:rPr>
          <w:rtl/>
        </w:rPr>
        <w:t xml:space="preserve"> </w:t>
      </w:r>
      <w:r w:rsidRPr="0079462A">
        <w:rPr>
          <w:rFonts w:hint="eastAsia"/>
          <w:rtl/>
        </w:rPr>
        <w:t>עד</w:t>
      </w:r>
      <w:r w:rsidRPr="0079462A">
        <w:rPr>
          <w:rtl/>
        </w:rPr>
        <w:t>-</w:t>
      </w:r>
      <w:r w:rsidRPr="0079462A">
        <w:rPr>
          <w:rFonts w:hint="eastAsia"/>
          <w:rtl/>
        </w:rPr>
        <w:t>מאוד</w:t>
      </w:r>
      <w:r w:rsidRPr="0079462A">
        <w:rPr>
          <w:rtl/>
        </w:rPr>
        <w:t xml:space="preserve">. </w:t>
      </w:r>
      <w:r w:rsidRPr="0079462A">
        <w:rPr>
          <w:rFonts w:hint="eastAsia"/>
          <w:rtl/>
        </w:rPr>
        <w:t>זהיר</w:t>
      </w:r>
      <w:r w:rsidRPr="0079462A">
        <w:rPr>
          <w:rtl/>
        </w:rPr>
        <w:t>-</w:t>
      </w:r>
      <w:r w:rsidRPr="0079462A">
        <w:rPr>
          <w:rFonts w:hint="eastAsia"/>
          <w:rtl/>
        </w:rPr>
        <w:t>זהיר</w:t>
      </w:r>
      <w:r w:rsidRPr="0079462A">
        <w:rPr>
          <w:rtl/>
        </w:rPr>
        <w:t xml:space="preserve"> </w:t>
      </w:r>
      <w:r w:rsidRPr="0079462A">
        <w:rPr>
          <w:rFonts w:hint="eastAsia"/>
          <w:rtl/>
        </w:rPr>
        <w:t>נהלך</w:t>
      </w:r>
      <w:r w:rsidRPr="0079462A">
        <w:rPr>
          <w:rtl/>
        </w:rPr>
        <w:t xml:space="preserve"> </w:t>
      </w:r>
      <w:r w:rsidRPr="0079462A">
        <w:rPr>
          <w:rFonts w:hint="eastAsia"/>
          <w:rtl/>
        </w:rPr>
        <w:t>עד</w:t>
      </w:r>
      <w:r w:rsidRPr="0079462A">
        <w:rPr>
          <w:rtl/>
        </w:rPr>
        <w:t xml:space="preserve"> </w:t>
      </w:r>
      <w:r w:rsidRPr="0079462A">
        <w:rPr>
          <w:rFonts w:hint="eastAsia"/>
          <w:rtl/>
        </w:rPr>
        <w:t>שנורה</w:t>
      </w:r>
      <w:r w:rsidRPr="0079462A">
        <w:rPr>
          <w:rtl/>
        </w:rPr>
        <w:t xml:space="preserve"> </w:t>
      </w:r>
      <w:r w:rsidRPr="0079462A">
        <w:rPr>
          <w:rFonts w:hint="eastAsia"/>
          <w:rtl/>
        </w:rPr>
        <w:t>על</w:t>
      </w:r>
      <w:r w:rsidRPr="0079462A">
        <w:rPr>
          <w:rtl/>
        </w:rPr>
        <w:t xml:space="preserve"> </w:t>
      </w:r>
      <w:r w:rsidRPr="0079462A">
        <w:rPr>
          <w:rFonts w:hint="eastAsia"/>
          <w:rtl/>
        </w:rPr>
        <w:t>פסלותה</w:t>
      </w:r>
      <w:r w:rsidRPr="0079462A">
        <w:rPr>
          <w:rtl/>
        </w:rPr>
        <w:t xml:space="preserve"> </w:t>
      </w:r>
      <w:r w:rsidRPr="0079462A">
        <w:rPr>
          <w:rFonts w:hint="eastAsia"/>
          <w:rtl/>
        </w:rPr>
        <w:t>של</w:t>
      </w:r>
      <w:r w:rsidRPr="0079462A">
        <w:rPr>
          <w:rtl/>
        </w:rPr>
        <w:t xml:space="preserve"> </w:t>
      </w:r>
      <w:r w:rsidRPr="0079462A">
        <w:rPr>
          <w:rFonts w:hint="eastAsia"/>
          <w:rtl/>
        </w:rPr>
        <w:t>הוראה</w:t>
      </w:r>
      <w:r w:rsidRPr="0079462A">
        <w:rPr>
          <w:rtl/>
        </w:rPr>
        <w:t xml:space="preserve"> </w:t>
      </w:r>
      <w:r w:rsidRPr="0079462A">
        <w:rPr>
          <w:rFonts w:hint="eastAsia"/>
          <w:rtl/>
        </w:rPr>
        <w:t>שבחוק</w:t>
      </w:r>
      <w:r w:rsidRPr="0079462A">
        <w:rPr>
          <w:rtl/>
        </w:rPr>
        <w:t xml:space="preserve"> </w:t>
      </w:r>
      <w:r w:rsidRPr="0079462A">
        <w:rPr>
          <w:rFonts w:hint="eastAsia"/>
          <w:rtl/>
        </w:rPr>
        <w:t>הכנסת</w:t>
      </w:r>
      <w:r w:rsidRPr="0079462A">
        <w:rPr>
          <w:rtl/>
        </w:rPr>
        <w:t xml:space="preserve"> </w:t>
      </w:r>
      <w:r>
        <w:rPr>
          <w:rFonts w:hint="cs"/>
          <w:rtl/>
        </w:rPr>
        <w:t>[...]</w:t>
      </w:r>
      <w:r w:rsidRPr="0079462A">
        <w:rPr>
          <w:rtl/>
        </w:rPr>
        <w:t xml:space="preserve">. </w:t>
      </w:r>
      <w:r w:rsidRPr="0079462A">
        <w:rPr>
          <w:rFonts w:hint="eastAsia"/>
          <w:rtl/>
        </w:rPr>
        <w:t>זהירות</w:t>
      </w:r>
      <w:r w:rsidRPr="0079462A">
        <w:rPr>
          <w:rtl/>
        </w:rPr>
        <w:t>-</w:t>
      </w:r>
      <w:r w:rsidRPr="0079462A">
        <w:rPr>
          <w:rFonts w:hint="eastAsia"/>
          <w:rtl/>
        </w:rPr>
        <w:t>יתר</w:t>
      </w:r>
      <w:r w:rsidRPr="0079462A">
        <w:rPr>
          <w:rtl/>
        </w:rPr>
        <w:t xml:space="preserve"> </w:t>
      </w:r>
      <w:r w:rsidRPr="0079462A">
        <w:rPr>
          <w:rFonts w:hint="eastAsia"/>
          <w:rtl/>
        </w:rPr>
        <w:t>זו</w:t>
      </w:r>
      <w:r w:rsidRPr="0079462A">
        <w:rPr>
          <w:rtl/>
        </w:rPr>
        <w:t xml:space="preserve"> </w:t>
      </w:r>
      <w:r w:rsidRPr="0079462A">
        <w:rPr>
          <w:rFonts w:hint="eastAsia"/>
          <w:rtl/>
        </w:rPr>
        <w:t>עטפה</w:t>
      </w:r>
      <w:r w:rsidRPr="0079462A">
        <w:rPr>
          <w:rtl/>
        </w:rPr>
        <w:t xml:space="preserve"> </w:t>
      </w:r>
      <w:r w:rsidRPr="0079462A">
        <w:rPr>
          <w:rFonts w:hint="eastAsia"/>
          <w:rtl/>
        </w:rPr>
        <w:t>עצמה</w:t>
      </w:r>
      <w:r w:rsidRPr="0079462A">
        <w:rPr>
          <w:rtl/>
        </w:rPr>
        <w:t xml:space="preserve"> </w:t>
      </w:r>
      <w:r w:rsidRPr="0079462A">
        <w:rPr>
          <w:rFonts w:hint="eastAsia"/>
          <w:rtl/>
        </w:rPr>
        <w:t>בדוקטרינה</w:t>
      </w:r>
      <w:r w:rsidRPr="0079462A">
        <w:rPr>
          <w:rtl/>
        </w:rPr>
        <w:t xml:space="preserve">, </w:t>
      </w:r>
      <w:r w:rsidRPr="0079462A">
        <w:rPr>
          <w:rFonts w:hint="eastAsia"/>
          <w:rtl/>
        </w:rPr>
        <w:t>ואותה</w:t>
      </w:r>
      <w:r w:rsidRPr="0079462A">
        <w:rPr>
          <w:rtl/>
        </w:rPr>
        <w:t xml:space="preserve"> </w:t>
      </w:r>
      <w:r w:rsidRPr="0079462A">
        <w:rPr>
          <w:rFonts w:hint="eastAsia"/>
          <w:rtl/>
        </w:rPr>
        <w:t>דוקטרינה</w:t>
      </w:r>
      <w:r w:rsidRPr="0079462A">
        <w:rPr>
          <w:rtl/>
        </w:rPr>
        <w:t xml:space="preserve"> </w:t>
      </w:r>
      <w:r w:rsidRPr="0079462A">
        <w:rPr>
          <w:rFonts w:hint="eastAsia"/>
          <w:rtl/>
        </w:rPr>
        <w:t>מזהירה</w:t>
      </w:r>
      <w:r w:rsidRPr="0079462A">
        <w:rPr>
          <w:rtl/>
        </w:rPr>
        <w:t xml:space="preserve"> </w:t>
      </w:r>
      <w:r w:rsidRPr="0079462A">
        <w:rPr>
          <w:rFonts w:hint="eastAsia"/>
          <w:rtl/>
        </w:rPr>
        <w:t>אותנו</w:t>
      </w:r>
      <w:r w:rsidRPr="0079462A">
        <w:rPr>
          <w:rtl/>
        </w:rPr>
        <w:t xml:space="preserve"> </w:t>
      </w:r>
      <w:r w:rsidRPr="0079462A">
        <w:rPr>
          <w:rFonts w:hint="eastAsia"/>
          <w:rtl/>
        </w:rPr>
        <w:t>באורח</w:t>
      </w:r>
      <w:r w:rsidRPr="0079462A">
        <w:rPr>
          <w:rtl/>
        </w:rPr>
        <w:t xml:space="preserve"> </w:t>
      </w:r>
      <w:r w:rsidRPr="0079462A">
        <w:rPr>
          <w:rFonts w:hint="eastAsia"/>
          <w:rtl/>
        </w:rPr>
        <w:t>מפורש</w:t>
      </w:r>
      <w:r w:rsidRPr="0079462A">
        <w:rPr>
          <w:rtl/>
        </w:rPr>
        <w:t xml:space="preserve"> </w:t>
      </w:r>
      <w:r w:rsidRPr="0079462A">
        <w:rPr>
          <w:rFonts w:hint="eastAsia"/>
          <w:rtl/>
        </w:rPr>
        <w:t>ומפורט</w:t>
      </w:r>
      <w:r w:rsidRPr="0079462A">
        <w:rPr>
          <w:rtl/>
        </w:rPr>
        <w:t xml:space="preserve"> </w:t>
      </w:r>
      <w:r w:rsidRPr="0079462A">
        <w:rPr>
          <w:rFonts w:hint="eastAsia"/>
          <w:rtl/>
        </w:rPr>
        <w:t>מפני</w:t>
      </w:r>
      <w:r w:rsidRPr="0079462A">
        <w:rPr>
          <w:rtl/>
        </w:rPr>
        <w:t xml:space="preserve"> </w:t>
      </w:r>
      <w:r w:rsidRPr="0079462A">
        <w:rPr>
          <w:rFonts w:hint="eastAsia"/>
          <w:rtl/>
        </w:rPr>
        <w:t>התערבות</w:t>
      </w:r>
      <w:r w:rsidRPr="0079462A">
        <w:rPr>
          <w:rtl/>
        </w:rPr>
        <w:t xml:space="preserve"> </w:t>
      </w:r>
      <w:r w:rsidRPr="0079462A">
        <w:rPr>
          <w:rFonts w:hint="eastAsia"/>
          <w:rtl/>
        </w:rPr>
        <w:t>במעשי</w:t>
      </w:r>
      <w:r w:rsidRPr="0079462A">
        <w:rPr>
          <w:rtl/>
        </w:rPr>
        <w:t xml:space="preserve"> </w:t>
      </w:r>
      <w:r w:rsidRPr="0079462A">
        <w:rPr>
          <w:rFonts w:hint="eastAsia"/>
          <w:rtl/>
        </w:rPr>
        <w:t>חקיקה</w:t>
      </w:r>
      <w:r w:rsidRPr="0079462A">
        <w:rPr>
          <w:rtl/>
        </w:rPr>
        <w:t xml:space="preserve"> </w:t>
      </w:r>
      <w:r w:rsidRPr="0079462A">
        <w:rPr>
          <w:rFonts w:hint="eastAsia"/>
          <w:rtl/>
        </w:rPr>
        <w:t>של</w:t>
      </w:r>
      <w:r w:rsidRPr="0079462A">
        <w:rPr>
          <w:rtl/>
        </w:rPr>
        <w:t xml:space="preserve"> </w:t>
      </w:r>
      <w:r w:rsidRPr="0079462A">
        <w:rPr>
          <w:rFonts w:hint="eastAsia"/>
          <w:rtl/>
        </w:rPr>
        <w:t>הכנסת</w:t>
      </w:r>
      <w:r w:rsidRPr="0079462A">
        <w:rPr>
          <w:rtl/>
        </w:rPr>
        <w:t xml:space="preserve"> </w:t>
      </w:r>
      <w:r w:rsidRPr="0079462A">
        <w:rPr>
          <w:rFonts w:hint="eastAsia"/>
          <w:rtl/>
        </w:rPr>
        <w:t>שמא</w:t>
      </w:r>
      <w:r w:rsidRPr="0079462A">
        <w:rPr>
          <w:rtl/>
        </w:rPr>
        <w:t xml:space="preserve"> </w:t>
      </w:r>
      <w:r w:rsidRPr="0079462A">
        <w:rPr>
          <w:rFonts w:hint="eastAsia"/>
          <w:rtl/>
        </w:rPr>
        <w:t>יעבור</w:t>
      </w:r>
      <w:r w:rsidRPr="0079462A">
        <w:rPr>
          <w:rtl/>
        </w:rPr>
        <w:t xml:space="preserve"> </w:t>
      </w:r>
      <w:r w:rsidRPr="0079462A">
        <w:rPr>
          <w:rFonts w:hint="eastAsia"/>
          <w:rtl/>
        </w:rPr>
        <w:t>בית</w:t>
      </w:r>
      <w:r w:rsidRPr="0079462A">
        <w:rPr>
          <w:rtl/>
        </w:rPr>
        <w:t xml:space="preserve"> </w:t>
      </w:r>
      <w:r w:rsidRPr="0079462A">
        <w:rPr>
          <w:rFonts w:hint="eastAsia"/>
          <w:rtl/>
        </w:rPr>
        <w:t>המשפט</w:t>
      </w:r>
      <w:r w:rsidRPr="0079462A">
        <w:rPr>
          <w:rtl/>
        </w:rPr>
        <w:t xml:space="preserve"> </w:t>
      </w:r>
      <w:r w:rsidRPr="0079462A">
        <w:rPr>
          <w:rFonts w:hint="eastAsia"/>
          <w:rtl/>
        </w:rPr>
        <w:t>ויחרוש</w:t>
      </w:r>
      <w:r w:rsidRPr="0079462A">
        <w:rPr>
          <w:rtl/>
        </w:rPr>
        <w:t xml:space="preserve"> </w:t>
      </w:r>
      <w:r w:rsidRPr="0079462A">
        <w:rPr>
          <w:rFonts w:hint="eastAsia"/>
          <w:rtl/>
        </w:rPr>
        <w:t>שלא</w:t>
      </w:r>
      <w:r w:rsidRPr="0079462A">
        <w:rPr>
          <w:rtl/>
        </w:rPr>
        <w:t xml:space="preserve"> </w:t>
      </w:r>
      <w:r w:rsidRPr="0079462A">
        <w:rPr>
          <w:rFonts w:hint="eastAsia"/>
          <w:rtl/>
        </w:rPr>
        <w:t>בהיתר</w:t>
      </w:r>
      <w:r w:rsidRPr="0079462A">
        <w:rPr>
          <w:rtl/>
        </w:rPr>
        <w:t xml:space="preserve"> </w:t>
      </w:r>
      <w:r w:rsidRPr="0079462A">
        <w:rPr>
          <w:rFonts w:hint="eastAsia"/>
          <w:rtl/>
        </w:rPr>
        <w:t>בשדהָ</w:t>
      </w:r>
      <w:r w:rsidRPr="0079462A">
        <w:rPr>
          <w:rtl/>
        </w:rPr>
        <w:t xml:space="preserve"> </w:t>
      </w:r>
      <w:r w:rsidRPr="0079462A">
        <w:rPr>
          <w:rFonts w:hint="eastAsia"/>
          <w:rtl/>
        </w:rPr>
        <w:t>של</w:t>
      </w:r>
      <w:r w:rsidRPr="0079462A">
        <w:rPr>
          <w:rtl/>
        </w:rPr>
        <w:t xml:space="preserve"> </w:t>
      </w:r>
      <w:r w:rsidRPr="0079462A">
        <w:rPr>
          <w:rFonts w:hint="eastAsia"/>
          <w:rtl/>
        </w:rPr>
        <w:t>הרשות</w:t>
      </w:r>
      <w:r w:rsidRPr="0079462A">
        <w:rPr>
          <w:rtl/>
        </w:rPr>
        <w:t xml:space="preserve"> </w:t>
      </w:r>
      <w:r w:rsidRPr="0079462A">
        <w:rPr>
          <w:rFonts w:hint="eastAsia"/>
          <w:rtl/>
        </w:rPr>
        <w:t>המחוקקת</w:t>
      </w:r>
      <w:r>
        <w:rPr>
          <w:rFonts w:hint="cs"/>
          <w:rtl/>
        </w:rPr>
        <w:t>" (שם, עמ' 518).</w:t>
      </w:r>
    </w:p>
    <w:p w:rsidR="00737972" w:rsidRDefault="00737972" w:rsidP="00737972">
      <w:pPr>
        <w:pStyle w:val="Ruller41"/>
        <w:rPr>
          <w:rtl/>
        </w:rPr>
      </w:pPr>
    </w:p>
    <w:p w:rsidR="00737972" w:rsidRDefault="00737972" w:rsidP="00737972">
      <w:pPr>
        <w:pStyle w:val="Ruller41"/>
        <w:rPr>
          <w:rtl/>
        </w:rPr>
      </w:pPr>
      <w:r>
        <w:rPr>
          <w:rtl/>
        </w:rPr>
        <w:tab/>
      </w:r>
      <w:r w:rsidRPr="00A30C4D">
        <w:rPr>
          <w:rFonts w:hint="cs"/>
          <w:rtl/>
        </w:rPr>
        <w:t xml:space="preserve">יצירת דוקטרינה בלתי מוגדרת המאפשרת התערבות </w:t>
      </w:r>
      <w:r w:rsidRPr="00A30C4D">
        <w:rPr>
          <w:rFonts w:ascii="Century" w:hAnsi="Century" w:cs="Miriam" w:hint="cs"/>
          <w:b/>
          <w:spacing w:val="0"/>
          <w:szCs w:val="24"/>
          <w:rtl/>
        </w:rPr>
        <w:t>בחוקי יסוד</w:t>
      </w:r>
      <w:r w:rsidRPr="00A30C4D">
        <w:rPr>
          <w:rFonts w:hint="cs"/>
          <w:rtl/>
        </w:rPr>
        <w:t xml:space="preserve"> על בסיס מבחן מעורפל וללא יצירת מנגנון ברור לקביעת רף חציית קו הגבול, אינ</w:t>
      </w:r>
      <w:r>
        <w:rPr>
          <w:rFonts w:hint="cs"/>
          <w:rtl/>
        </w:rPr>
        <w:t>נה עומדת, בלשון המעטה, בסטנדרט הזהירות</w:t>
      </w:r>
      <w:r w:rsidRPr="00A30C4D">
        <w:rPr>
          <w:rFonts w:hint="cs"/>
          <w:rtl/>
        </w:rPr>
        <w:t xml:space="preserve"> האמור.</w:t>
      </w:r>
      <w:r>
        <w:rPr>
          <w:rFonts w:hint="cs"/>
          <w:rtl/>
        </w:rPr>
        <w:t xml:space="preserve"> מעבר לכך, למול ההתערבות בחוק יסוד עומד תמרור אזהרה בדמות אחד מהנדבכים היסודיים של עיקרון הפרדת הרשויות, והוא כי כל גורם שמוענק לו כוח ההכרעה עלול לנצל כוח זה </w:t>
      </w:r>
      <w:r w:rsidRPr="00A30C4D">
        <w:rPr>
          <w:rFonts w:hint="cs"/>
          <w:rtl/>
        </w:rPr>
        <w:t xml:space="preserve">לרעה אם לא יהיו מנגנונים שיפקחו עליו ויאזנו את הסמכויות שניתנו לו (יואב דותן "הביקורת השיפוטית במסגרת חוקה: שאלת האחריותיות </w:t>
      </w:r>
      <w:r w:rsidRPr="00A30C4D">
        <w:rPr>
          <w:rtl/>
        </w:rPr>
        <w:t>–</w:t>
      </w:r>
      <w:r w:rsidRPr="00A30C4D">
        <w:rPr>
          <w:rFonts w:hint="cs"/>
          <w:rtl/>
        </w:rPr>
        <w:t xml:space="preserve"> מבט השוואתי" </w:t>
      </w:r>
      <w:r w:rsidRPr="008832E7">
        <w:rPr>
          <w:rFonts w:ascii="Century" w:hAnsi="Century" w:cs="Miriam" w:hint="cs"/>
          <w:b/>
          <w:spacing w:val="0"/>
          <w:szCs w:val="24"/>
          <w:rtl/>
        </w:rPr>
        <w:t>משפט וממשל</w:t>
      </w:r>
      <w:r w:rsidRPr="008832E7">
        <w:rPr>
          <w:rFonts w:hint="cs"/>
          <w:rtl/>
        </w:rPr>
        <w:t xml:space="preserve"> </w:t>
      </w:r>
      <w:r w:rsidRPr="00A30C4D">
        <w:rPr>
          <w:rFonts w:hint="cs"/>
          <w:rtl/>
        </w:rPr>
        <w:t>י 489, 494 (2007)</w:t>
      </w:r>
      <w:r>
        <w:rPr>
          <w:rFonts w:hint="cs"/>
          <w:rtl/>
        </w:rPr>
        <w:t xml:space="preserve"> (להלן: </w:t>
      </w:r>
      <w:r w:rsidRPr="006B5CE9">
        <w:rPr>
          <w:rFonts w:ascii="Century" w:hAnsi="Century" w:cs="Miriam" w:hint="cs"/>
          <w:b/>
          <w:spacing w:val="0"/>
          <w:szCs w:val="24"/>
          <w:rtl/>
        </w:rPr>
        <w:t>דותן, מבט השוואתי</w:t>
      </w:r>
      <w:r>
        <w:rPr>
          <w:rFonts w:hint="cs"/>
          <w:rtl/>
        </w:rPr>
        <w:t>)</w:t>
      </w:r>
      <w:r w:rsidRPr="00A30C4D">
        <w:rPr>
          <w:rFonts w:hint="cs"/>
          <w:rtl/>
        </w:rPr>
        <w:t xml:space="preserve">). </w:t>
      </w:r>
      <w:r>
        <w:rPr>
          <w:rFonts w:hint="cs"/>
          <w:rtl/>
        </w:rPr>
        <w:t>מנגנון התערבות עמום ומעורפל המכשיר טווח רחב של מקרים המאפשרים התערבות בנורמה מכוננת ללא שהותוו דרכי פעולה ברורות לעשות כן מכוח סמכות מפורשת, מעצים קושי זה.</w:t>
      </w:r>
    </w:p>
    <w:p w:rsidR="00737972" w:rsidRDefault="00737972" w:rsidP="00737972">
      <w:pPr>
        <w:pStyle w:val="Ruller41"/>
        <w:rPr>
          <w:rtl/>
        </w:rPr>
      </w:pPr>
    </w:p>
    <w:p w:rsidR="00737972" w:rsidRDefault="00737972" w:rsidP="00737972">
      <w:pPr>
        <w:pStyle w:val="Ruller41"/>
        <w:rPr>
          <w:rtl/>
        </w:rPr>
      </w:pPr>
      <w:r>
        <w:rPr>
          <w:rFonts w:ascii="Century" w:hAnsi="Century" w:cs="Miriam"/>
          <w:b/>
          <w:spacing w:val="0"/>
          <w:szCs w:val="24"/>
          <w:rtl/>
        </w:rPr>
        <w:tab/>
      </w:r>
      <w:r w:rsidRPr="0079462A">
        <w:rPr>
          <w:rFonts w:ascii="Century" w:hAnsi="Century" w:cs="Miriam" w:hint="cs"/>
          <w:b/>
          <w:spacing w:val="0"/>
          <w:szCs w:val="24"/>
          <w:rtl/>
        </w:rPr>
        <w:t>עיקרון שלטון החוק</w:t>
      </w:r>
      <w:r>
        <w:rPr>
          <w:rFonts w:hint="cs"/>
          <w:rtl/>
        </w:rPr>
        <w:t xml:space="preserve">: ראשית ייאמר כי אחד מהיבטיו של עיקרון זה הוא עיקרון חוקיות המינהל, לפיו רשות מינהלית אינה יכולה לנקוט פעולה מבלי שהוסמכה לכך בחוק. דיון בסוגיה זו ערכתי לעיל בתחילת חוות דעתי ולא אשוב עליו כעת, והדברים ברורים. עצם השימוש בסמכות לבטל דבר חקיקת יסוד בהיעדר הסמכה מפורשת מהווה פגיעה מרכזית בעיקרון שלטון החוק. מעבר לכך, בקשר לעיקרון השלטון החוק נאמר עוד מימים ימימה כי </w:t>
      </w:r>
      <w:r w:rsidRPr="00654B77">
        <w:rPr>
          <w:rtl/>
        </w:rPr>
        <w:t>"</w:t>
      </w:r>
      <w:r w:rsidRPr="00654B77">
        <w:rPr>
          <w:rFonts w:hint="eastAsia"/>
          <w:rtl/>
        </w:rPr>
        <w:t>ביטויו</w:t>
      </w:r>
      <w:r w:rsidRPr="00654B77">
        <w:rPr>
          <w:rtl/>
        </w:rPr>
        <w:t xml:space="preserve"> </w:t>
      </w:r>
      <w:r w:rsidRPr="00654B77">
        <w:rPr>
          <w:rFonts w:hint="eastAsia"/>
          <w:rtl/>
        </w:rPr>
        <w:t>העיקרי</w:t>
      </w:r>
      <w:r>
        <w:rPr>
          <w:rFonts w:hint="cs"/>
          <w:rtl/>
        </w:rPr>
        <w:t xml:space="preserve"> [...]</w:t>
      </w:r>
      <w:r w:rsidRPr="00654B77">
        <w:rPr>
          <w:rtl/>
        </w:rPr>
        <w:t xml:space="preserve"> </w:t>
      </w:r>
      <w:r w:rsidRPr="00654B77">
        <w:rPr>
          <w:rFonts w:hint="eastAsia"/>
          <w:rtl/>
        </w:rPr>
        <w:t>הוא</w:t>
      </w:r>
      <w:r w:rsidRPr="00654B77">
        <w:rPr>
          <w:rtl/>
        </w:rPr>
        <w:t xml:space="preserve"> </w:t>
      </w:r>
      <w:r w:rsidRPr="00654B77">
        <w:rPr>
          <w:rFonts w:hint="eastAsia"/>
          <w:rtl/>
        </w:rPr>
        <w:t>בכך</w:t>
      </w:r>
      <w:r w:rsidRPr="00654B77">
        <w:rPr>
          <w:rtl/>
        </w:rPr>
        <w:t xml:space="preserve"> </w:t>
      </w:r>
      <w:r w:rsidRPr="00654B77">
        <w:rPr>
          <w:rFonts w:hint="eastAsia"/>
          <w:rtl/>
        </w:rPr>
        <w:t>שהוא</w:t>
      </w:r>
      <w:r w:rsidRPr="00654B77">
        <w:rPr>
          <w:rtl/>
        </w:rPr>
        <w:t xml:space="preserve"> </w:t>
      </w:r>
      <w:r w:rsidRPr="00654B77">
        <w:rPr>
          <w:rFonts w:hint="eastAsia"/>
          <w:rtl/>
        </w:rPr>
        <w:t>אינו</w:t>
      </w:r>
      <w:r w:rsidRPr="00654B77">
        <w:rPr>
          <w:rtl/>
        </w:rPr>
        <w:t xml:space="preserve"> </w:t>
      </w:r>
      <w:r w:rsidRPr="00654B77">
        <w:rPr>
          <w:rFonts w:hint="eastAsia"/>
          <w:rtl/>
        </w:rPr>
        <w:t>שלטונם</w:t>
      </w:r>
      <w:r w:rsidRPr="00654B77">
        <w:rPr>
          <w:rtl/>
        </w:rPr>
        <w:t xml:space="preserve"> </w:t>
      </w:r>
      <w:r w:rsidRPr="00654B77">
        <w:rPr>
          <w:rFonts w:hint="eastAsia"/>
          <w:rtl/>
        </w:rPr>
        <w:t>של</w:t>
      </w:r>
      <w:r w:rsidRPr="00654B77">
        <w:rPr>
          <w:rtl/>
        </w:rPr>
        <w:t xml:space="preserve"> </w:t>
      </w:r>
      <w:r w:rsidRPr="00654B77">
        <w:rPr>
          <w:rFonts w:hint="eastAsia"/>
          <w:rtl/>
        </w:rPr>
        <w:t>אנשים</w:t>
      </w:r>
      <w:r w:rsidRPr="00654B77">
        <w:rPr>
          <w:rtl/>
        </w:rPr>
        <w:t xml:space="preserve"> – </w:t>
      </w:r>
      <w:r w:rsidRPr="00654B77">
        <w:rPr>
          <w:rFonts w:hint="eastAsia"/>
          <w:rtl/>
        </w:rPr>
        <w:t>לפי</w:t>
      </w:r>
      <w:r w:rsidRPr="00654B77">
        <w:rPr>
          <w:rtl/>
        </w:rPr>
        <w:t xml:space="preserve"> </w:t>
      </w:r>
      <w:r w:rsidRPr="00654B77">
        <w:rPr>
          <w:rFonts w:hint="eastAsia"/>
          <w:rtl/>
        </w:rPr>
        <w:t>החלטותיהם</w:t>
      </w:r>
      <w:r w:rsidRPr="00654B77">
        <w:rPr>
          <w:rtl/>
        </w:rPr>
        <w:t xml:space="preserve">, </w:t>
      </w:r>
      <w:r w:rsidRPr="00654B77">
        <w:rPr>
          <w:rFonts w:hint="eastAsia"/>
          <w:rtl/>
        </w:rPr>
        <w:t>שיקוליהם</w:t>
      </w:r>
      <w:r w:rsidRPr="00654B77">
        <w:rPr>
          <w:rtl/>
        </w:rPr>
        <w:t xml:space="preserve"> </w:t>
      </w:r>
      <w:r w:rsidRPr="00654B77">
        <w:rPr>
          <w:rFonts w:hint="eastAsia"/>
          <w:rtl/>
        </w:rPr>
        <w:t>ומאווייהם</w:t>
      </w:r>
      <w:r w:rsidRPr="00654B77">
        <w:rPr>
          <w:rtl/>
        </w:rPr>
        <w:t xml:space="preserve"> </w:t>
      </w:r>
      <w:r w:rsidRPr="00654B77">
        <w:rPr>
          <w:rFonts w:hint="eastAsia"/>
          <w:rtl/>
        </w:rPr>
        <w:t>הבלתי</w:t>
      </w:r>
      <w:r w:rsidRPr="00654B77">
        <w:rPr>
          <w:rtl/>
        </w:rPr>
        <w:t xml:space="preserve"> </w:t>
      </w:r>
      <w:r w:rsidRPr="00654B77">
        <w:rPr>
          <w:rFonts w:hint="eastAsia"/>
          <w:rtl/>
        </w:rPr>
        <w:t>מוגבלים</w:t>
      </w:r>
      <w:r w:rsidRPr="00654B77">
        <w:rPr>
          <w:rtl/>
        </w:rPr>
        <w:t xml:space="preserve"> – </w:t>
      </w:r>
      <w:r w:rsidRPr="00654B77">
        <w:rPr>
          <w:rFonts w:hint="eastAsia"/>
          <w:rtl/>
        </w:rPr>
        <w:t>אלא</w:t>
      </w:r>
      <w:r w:rsidRPr="00654B77">
        <w:rPr>
          <w:rtl/>
        </w:rPr>
        <w:t xml:space="preserve"> </w:t>
      </w:r>
      <w:r w:rsidRPr="00654B77">
        <w:rPr>
          <w:rFonts w:hint="eastAsia"/>
          <w:rtl/>
        </w:rPr>
        <w:t>בכך</w:t>
      </w:r>
      <w:r w:rsidRPr="00654B77">
        <w:rPr>
          <w:rtl/>
        </w:rPr>
        <w:t xml:space="preserve"> </w:t>
      </w:r>
      <w:r w:rsidRPr="00654B77">
        <w:rPr>
          <w:rFonts w:hint="eastAsia"/>
          <w:rtl/>
        </w:rPr>
        <w:t>שהוא</w:t>
      </w:r>
      <w:r w:rsidRPr="00654B77">
        <w:rPr>
          <w:rtl/>
        </w:rPr>
        <w:t xml:space="preserve"> </w:t>
      </w:r>
      <w:r w:rsidRPr="00654B77">
        <w:rPr>
          <w:rFonts w:hint="eastAsia"/>
          <w:rtl/>
        </w:rPr>
        <w:t>נשען</w:t>
      </w:r>
      <w:r w:rsidRPr="00654B77">
        <w:rPr>
          <w:rtl/>
        </w:rPr>
        <w:t xml:space="preserve"> </w:t>
      </w:r>
      <w:r w:rsidRPr="00654B77">
        <w:rPr>
          <w:rFonts w:hint="eastAsia"/>
          <w:rtl/>
        </w:rPr>
        <w:t>על</w:t>
      </w:r>
      <w:r w:rsidRPr="00654B77">
        <w:rPr>
          <w:rtl/>
        </w:rPr>
        <w:t xml:space="preserve"> </w:t>
      </w:r>
      <w:r w:rsidRPr="00654B77">
        <w:rPr>
          <w:rFonts w:hint="eastAsia"/>
          <w:rtl/>
        </w:rPr>
        <w:t>הוראותיהן</w:t>
      </w:r>
      <w:r w:rsidRPr="00654B77">
        <w:rPr>
          <w:rtl/>
        </w:rPr>
        <w:t xml:space="preserve"> </w:t>
      </w:r>
      <w:r w:rsidRPr="00654B77">
        <w:rPr>
          <w:rFonts w:hint="eastAsia"/>
          <w:rtl/>
        </w:rPr>
        <w:t>של</w:t>
      </w:r>
      <w:r w:rsidRPr="00654B77">
        <w:rPr>
          <w:rtl/>
        </w:rPr>
        <w:t xml:space="preserve"> </w:t>
      </w:r>
      <w:r w:rsidRPr="00654B77">
        <w:rPr>
          <w:rFonts w:hint="eastAsia"/>
          <w:rtl/>
        </w:rPr>
        <w:t>נורמות</w:t>
      </w:r>
      <w:r w:rsidRPr="00654B77">
        <w:rPr>
          <w:rtl/>
        </w:rPr>
        <w:t xml:space="preserve"> </w:t>
      </w:r>
      <w:r w:rsidRPr="00654B77">
        <w:rPr>
          <w:rFonts w:hint="eastAsia"/>
          <w:rtl/>
        </w:rPr>
        <w:t>יציבות</w:t>
      </w:r>
      <w:r w:rsidRPr="00654B77">
        <w:rPr>
          <w:rtl/>
        </w:rPr>
        <w:t xml:space="preserve">, </w:t>
      </w:r>
      <w:r w:rsidRPr="00654B77">
        <w:rPr>
          <w:rFonts w:hint="eastAsia"/>
          <w:rtl/>
        </w:rPr>
        <w:t>השוות</w:t>
      </w:r>
      <w:r w:rsidRPr="00654B77">
        <w:rPr>
          <w:rtl/>
        </w:rPr>
        <w:t xml:space="preserve"> </w:t>
      </w:r>
      <w:r w:rsidRPr="00654B77">
        <w:rPr>
          <w:rFonts w:hint="eastAsia"/>
          <w:rtl/>
        </w:rPr>
        <w:t>לכול</w:t>
      </w:r>
      <w:r w:rsidRPr="00654B77">
        <w:rPr>
          <w:rtl/>
        </w:rPr>
        <w:t xml:space="preserve"> </w:t>
      </w:r>
      <w:r w:rsidRPr="00654B77">
        <w:rPr>
          <w:rFonts w:hint="eastAsia"/>
          <w:rtl/>
        </w:rPr>
        <w:t>ואשר</w:t>
      </w:r>
      <w:r w:rsidRPr="00654B77">
        <w:rPr>
          <w:rtl/>
        </w:rPr>
        <w:t xml:space="preserve"> </w:t>
      </w:r>
      <w:r w:rsidRPr="00654B77">
        <w:rPr>
          <w:rFonts w:hint="eastAsia"/>
          <w:rtl/>
        </w:rPr>
        <w:t>מחייבות</w:t>
      </w:r>
      <w:r w:rsidRPr="00654B77">
        <w:rPr>
          <w:rtl/>
        </w:rPr>
        <w:t xml:space="preserve"> </w:t>
      </w:r>
      <w:r w:rsidRPr="00654B77">
        <w:rPr>
          <w:rFonts w:hint="eastAsia"/>
          <w:rtl/>
        </w:rPr>
        <w:t>את</w:t>
      </w:r>
      <w:r w:rsidRPr="00654B77">
        <w:rPr>
          <w:rtl/>
        </w:rPr>
        <w:t xml:space="preserve"> </w:t>
      </w:r>
      <w:r w:rsidRPr="00654B77">
        <w:rPr>
          <w:rFonts w:hint="eastAsia"/>
          <w:rtl/>
        </w:rPr>
        <w:t>הכול</w:t>
      </w:r>
      <w:r w:rsidRPr="00654B77">
        <w:rPr>
          <w:rtl/>
        </w:rPr>
        <w:t xml:space="preserve"> </w:t>
      </w:r>
      <w:r w:rsidRPr="00654B77">
        <w:rPr>
          <w:rFonts w:hint="eastAsia"/>
          <w:rtl/>
        </w:rPr>
        <w:t>במידה</w:t>
      </w:r>
      <w:r w:rsidRPr="00654B77">
        <w:rPr>
          <w:rtl/>
        </w:rPr>
        <w:t xml:space="preserve"> </w:t>
      </w:r>
      <w:r w:rsidRPr="00654B77">
        <w:rPr>
          <w:rFonts w:hint="eastAsia"/>
          <w:rtl/>
        </w:rPr>
        <w:t>זהה</w:t>
      </w:r>
      <w:r>
        <w:rPr>
          <w:rtl/>
        </w:rPr>
        <w:t>"</w:t>
      </w:r>
      <w:r>
        <w:rPr>
          <w:rFonts w:hint="cs"/>
          <w:rtl/>
        </w:rPr>
        <w:t xml:space="preserve"> (</w:t>
      </w:r>
      <w:r w:rsidRPr="00654B77">
        <w:rPr>
          <w:rFonts w:hint="eastAsia"/>
          <w:rtl/>
        </w:rPr>
        <w:t>ע</w:t>
      </w:r>
      <w:r w:rsidRPr="00654B77">
        <w:rPr>
          <w:rtl/>
        </w:rPr>
        <w:t>"</w:t>
      </w:r>
      <w:r w:rsidRPr="00654B77">
        <w:rPr>
          <w:rFonts w:hint="eastAsia"/>
          <w:rtl/>
        </w:rPr>
        <w:t>ב</w:t>
      </w:r>
      <w:r w:rsidRPr="00654B77">
        <w:rPr>
          <w:rtl/>
        </w:rPr>
        <w:t xml:space="preserve"> </w:t>
      </w:r>
      <w:r w:rsidRPr="00654B77">
        <w:rPr>
          <w:rtl/>
        </w:rPr>
        <w:lastRenderedPageBreak/>
        <w:t xml:space="preserve">2/84 </w:t>
      </w:r>
      <w:r w:rsidRPr="00892D7B">
        <w:rPr>
          <w:rFonts w:ascii="Century" w:hAnsi="Century" w:cs="Miriam" w:hint="eastAsia"/>
          <w:b/>
          <w:spacing w:val="0"/>
          <w:szCs w:val="24"/>
          <w:rtl/>
        </w:rPr>
        <w:t>ניימן</w:t>
      </w:r>
      <w:r w:rsidRPr="00892D7B">
        <w:rPr>
          <w:rFonts w:ascii="Century" w:hAnsi="Century" w:cs="Miriam"/>
          <w:b/>
          <w:spacing w:val="0"/>
          <w:szCs w:val="24"/>
          <w:rtl/>
        </w:rPr>
        <w:t xml:space="preserve"> </w:t>
      </w:r>
      <w:r w:rsidRPr="00892D7B">
        <w:rPr>
          <w:rFonts w:ascii="Century" w:hAnsi="Century" w:cs="Miriam" w:hint="eastAsia"/>
          <w:b/>
          <w:spacing w:val="0"/>
          <w:szCs w:val="24"/>
          <w:rtl/>
        </w:rPr>
        <w:t>נ</w:t>
      </w:r>
      <w:r w:rsidRPr="00892D7B">
        <w:rPr>
          <w:rFonts w:ascii="Century" w:hAnsi="Century" w:cs="Miriam"/>
          <w:b/>
          <w:spacing w:val="0"/>
          <w:szCs w:val="24"/>
          <w:rtl/>
        </w:rPr>
        <w:t xml:space="preserve">' </w:t>
      </w:r>
      <w:r>
        <w:rPr>
          <w:rFonts w:ascii="Century" w:hAnsi="Century" w:cs="Miriam" w:hint="cs"/>
          <w:b/>
          <w:spacing w:val="0"/>
          <w:szCs w:val="24"/>
          <w:rtl/>
        </w:rPr>
        <w:t>יו"ר</w:t>
      </w:r>
      <w:r w:rsidRPr="00892D7B">
        <w:rPr>
          <w:rFonts w:ascii="Century" w:hAnsi="Century" w:cs="Miriam"/>
          <w:b/>
          <w:spacing w:val="0"/>
          <w:szCs w:val="24"/>
          <w:rtl/>
        </w:rPr>
        <w:t xml:space="preserve"> </w:t>
      </w:r>
      <w:r w:rsidRPr="00892D7B">
        <w:rPr>
          <w:rFonts w:ascii="Century" w:hAnsi="Century" w:cs="Miriam" w:hint="eastAsia"/>
          <w:b/>
          <w:spacing w:val="0"/>
          <w:szCs w:val="24"/>
          <w:rtl/>
        </w:rPr>
        <w:t>ועדת</w:t>
      </w:r>
      <w:r w:rsidRPr="00892D7B">
        <w:rPr>
          <w:rFonts w:ascii="Century" w:hAnsi="Century" w:cs="Miriam"/>
          <w:b/>
          <w:spacing w:val="0"/>
          <w:szCs w:val="24"/>
          <w:rtl/>
        </w:rPr>
        <w:t xml:space="preserve"> </w:t>
      </w:r>
      <w:r w:rsidRPr="00892D7B">
        <w:rPr>
          <w:rFonts w:ascii="Century" w:hAnsi="Century" w:cs="Miriam" w:hint="eastAsia"/>
          <w:b/>
          <w:spacing w:val="0"/>
          <w:szCs w:val="24"/>
          <w:rtl/>
        </w:rPr>
        <w:t>הבחירות</w:t>
      </w:r>
      <w:r w:rsidRPr="00892D7B">
        <w:rPr>
          <w:rFonts w:ascii="Century" w:hAnsi="Century" w:cs="Miriam"/>
          <w:b/>
          <w:spacing w:val="0"/>
          <w:szCs w:val="24"/>
          <w:rtl/>
        </w:rPr>
        <w:t xml:space="preserve"> </w:t>
      </w:r>
      <w:r w:rsidRPr="00892D7B">
        <w:rPr>
          <w:rFonts w:ascii="Century" w:hAnsi="Century" w:cs="Miriam" w:hint="eastAsia"/>
          <w:b/>
          <w:spacing w:val="0"/>
          <w:szCs w:val="24"/>
          <w:rtl/>
        </w:rPr>
        <w:t>המרכזית</w:t>
      </w:r>
      <w:r w:rsidRPr="00892D7B">
        <w:rPr>
          <w:rFonts w:ascii="Century" w:hAnsi="Century" w:cs="Miriam"/>
          <w:b/>
          <w:spacing w:val="0"/>
          <w:szCs w:val="24"/>
          <w:rtl/>
        </w:rPr>
        <w:t xml:space="preserve"> </w:t>
      </w:r>
      <w:r w:rsidRPr="00892D7B">
        <w:rPr>
          <w:rFonts w:ascii="Century" w:hAnsi="Century" w:cs="Miriam" w:hint="eastAsia"/>
          <w:b/>
          <w:spacing w:val="0"/>
          <w:szCs w:val="24"/>
          <w:rtl/>
        </w:rPr>
        <w:t>לכנסת</w:t>
      </w:r>
      <w:r w:rsidRPr="00892D7B">
        <w:rPr>
          <w:rFonts w:ascii="Century" w:hAnsi="Century" w:cs="Miriam"/>
          <w:b/>
          <w:spacing w:val="0"/>
          <w:szCs w:val="24"/>
          <w:rtl/>
        </w:rPr>
        <w:t xml:space="preserve"> </w:t>
      </w:r>
      <w:r w:rsidRPr="00892D7B">
        <w:rPr>
          <w:rFonts w:ascii="Century" w:hAnsi="Century" w:cs="Miriam" w:hint="eastAsia"/>
          <w:b/>
          <w:spacing w:val="0"/>
          <w:szCs w:val="24"/>
          <w:rtl/>
        </w:rPr>
        <w:t>האחת</w:t>
      </w:r>
      <w:r w:rsidRPr="00892D7B">
        <w:rPr>
          <w:rFonts w:ascii="Century" w:hAnsi="Century" w:cs="Miriam"/>
          <w:b/>
          <w:spacing w:val="0"/>
          <w:szCs w:val="24"/>
          <w:rtl/>
        </w:rPr>
        <w:t>-</w:t>
      </w:r>
      <w:r w:rsidRPr="00892D7B">
        <w:rPr>
          <w:rFonts w:ascii="Century" w:hAnsi="Century" w:cs="Miriam" w:hint="eastAsia"/>
          <w:b/>
          <w:spacing w:val="0"/>
          <w:szCs w:val="24"/>
          <w:rtl/>
        </w:rPr>
        <w:t>עשרה</w:t>
      </w:r>
      <w:r w:rsidRPr="00654B77">
        <w:rPr>
          <w:rtl/>
        </w:rPr>
        <w:t xml:space="preserve">, </w:t>
      </w:r>
      <w:r w:rsidRPr="00654B77">
        <w:rPr>
          <w:rFonts w:hint="eastAsia"/>
          <w:rtl/>
        </w:rPr>
        <w:t>פ</w:t>
      </w:r>
      <w:r w:rsidRPr="00654B77">
        <w:rPr>
          <w:rtl/>
        </w:rPr>
        <w:t>"</w:t>
      </w:r>
      <w:r w:rsidRPr="00654B77">
        <w:rPr>
          <w:rFonts w:hint="eastAsia"/>
          <w:rtl/>
        </w:rPr>
        <w:t>ד</w:t>
      </w:r>
      <w:r w:rsidRPr="00654B77">
        <w:rPr>
          <w:rtl/>
        </w:rPr>
        <w:t xml:space="preserve"> </w:t>
      </w:r>
      <w:r w:rsidRPr="00654B77">
        <w:rPr>
          <w:rFonts w:hint="eastAsia"/>
          <w:rtl/>
        </w:rPr>
        <w:t>לט</w:t>
      </w:r>
      <w:r w:rsidRPr="00654B77">
        <w:rPr>
          <w:rtl/>
        </w:rPr>
        <w:t>(2) 225, 261 (1984)</w:t>
      </w:r>
      <w:r>
        <w:rPr>
          <w:rFonts w:hint="cs"/>
          <w:rtl/>
        </w:rPr>
        <w:t xml:space="preserve"> (להלן: עניין </w:t>
      </w:r>
      <w:r w:rsidRPr="00960E63">
        <w:rPr>
          <w:rFonts w:ascii="Century" w:hAnsi="Century" w:cs="Miriam" w:hint="cs"/>
          <w:b/>
          <w:spacing w:val="0"/>
          <w:szCs w:val="24"/>
          <w:rtl/>
        </w:rPr>
        <w:t>ניימן</w:t>
      </w:r>
      <w:r>
        <w:rPr>
          <w:rFonts w:hint="cs"/>
          <w:rtl/>
        </w:rPr>
        <w:t>))</w:t>
      </w:r>
      <w:r w:rsidRPr="00654B77">
        <w:rPr>
          <w:rtl/>
        </w:rPr>
        <w:t>.</w:t>
      </w:r>
      <w:r>
        <w:rPr>
          <w:rFonts w:hint="cs"/>
          <w:rtl/>
        </w:rPr>
        <w:t xml:space="preserve"> לנגד עינינו צפה ועולה "דוקטרינה" מחוסרת רסן חדשה, עמומה וחסרת גבולות שאין בינה לבין שלטון החוק </w:t>
      </w:r>
      <w:r>
        <w:rPr>
          <w:rtl/>
        </w:rPr>
        <w:t>–</w:t>
      </w:r>
      <w:r>
        <w:rPr>
          <w:rFonts w:hint="cs"/>
          <w:rtl/>
        </w:rPr>
        <w:t xml:space="preserve"> המחייב כאמור נורמות יציבות החלות על הכל באופן שווה </w:t>
      </w:r>
      <w:r>
        <w:rPr>
          <w:rtl/>
        </w:rPr>
        <w:t>–</w:t>
      </w:r>
      <w:r>
        <w:rPr>
          <w:rFonts w:hint="cs"/>
          <w:rtl/>
        </w:rPr>
        <w:t xml:space="preserve"> מאומה. לא "נורמה" ברורה ומסודרת המבוססת על אדני סמכות יציבים מונחת לפנינו, כי אם מהלך החותר תחת ערכי היסוד הדמוקרטים הבסיסיים ביותר </w:t>
      </w:r>
      <w:r>
        <w:rPr>
          <w:rtl/>
        </w:rPr>
        <w:t>–</w:t>
      </w:r>
      <w:r>
        <w:rPr>
          <w:rFonts w:hint="cs"/>
          <w:rtl/>
        </w:rPr>
        <w:t xml:space="preserve"> עיקרון הפרדת הרשויות, עיקרון החוקיות ועיקרון שלטון החוק. </w:t>
      </w:r>
    </w:p>
    <w:p w:rsidR="00737972" w:rsidRDefault="00737972" w:rsidP="00737972">
      <w:pPr>
        <w:pStyle w:val="Ruller41"/>
        <w:rPr>
          <w:rtl/>
        </w:rPr>
      </w:pPr>
    </w:p>
    <w:p w:rsidR="00737972" w:rsidRDefault="00737972" w:rsidP="00737972">
      <w:pPr>
        <w:pStyle w:val="Ruller41"/>
        <w:rPr>
          <w:rtl/>
        </w:rPr>
      </w:pPr>
      <w:r>
        <w:rPr>
          <w:rtl/>
        </w:rPr>
        <w:tab/>
      </w:r>
      <w:r>
        <w:rPr>
          <w:rFonts w:hint="cs"/>
          <w:rtl/>
        </w:rPr>
        <w:t xml:space="preserve">בנוסף, נקודת המוצא שאין עליה חולק, היא כי </w:t>
      </w:r>
      <w:r w:rsidRPr="007B7F79">
        <w:rPr>
          <w:rFonts w:hint="cs"/>
          <w:rtl/>
        </w:rPr>
        <w:t xml:space="preserve">אין כל </w:t>
      </w:r>
      <w:r>
        <w:rPr>
          <w:rFonts w:hint="cs"/>
          <w:rtl/>
        </w:rPr>
        <w:t>פגיעה בערכי ה</w:t>
      </w:r>
      <w:r w:rsidRPr="007B7F79">
        <w:rPr>
          <w:rFonts w:hint="cs"/>
          <w:rtl/>
        </w:rPr>
        <w:t>דמוקרטי</w:t>
      </w:r>
      <w:r>
        <w:rPr>
          <w:rFonts w:hint="cs"/>
          <w:rtl/>
        </w:rPr>
        <w:t>ה</w:t>
      </w:r>
      <w:r w:rsidRPr="007B7F79">
        <w:rPr>
          <w:rFonts w:hint="cs"/>
          <w:rtl/>
        </w:rPr>
        <w:t xml:space="preserve"> בכך שהרשות המכוננת קובעת את גבולותיה</w:t>
      </w:r>
      <w:r>
        <w:rPr>
          <w:rFonts w:hint="cs"/>
          <w:rtl/>
        </w:rPr>
        <w:t>ן</w:t>
      </w:r>
      <w:r w:rsidRPr="007B7F79">
        <w:rPr>
          <w:rFonts w:hint="cs"/>
          <w:rtl/>
        </w:rPr>
        <w:t xml:space="preserve"> של הרשויות האחרות. כפי שציינה חברתי הנשיאה (בדימ') בעניין </w:t>
      </w:r>
      <w:r w:rsidRPr="00B26569">
        <w:rPr>
          <w:rFonts w:ascii="Century" w:hAnsi="Century" w:cs="Miriam" w:hint="cs"/>
          <w:spacing w:val="0"/>
          <w:szCs w:val="24"/>
          <w:rtl/>
        </w:rPr>
        <w:t>שפיר</w:t>
      </w:r>
      <w:r w:rsidRPr="007B7F79">
        <w:rPr>
          <w:rFonts w:hint="cs"/>
          <w:rtl/>
        </w:rPr>
        <w:t xml:space="preserve"> "</w:t>
      </w:r>
      <w:r w:rsidRPr="00B26569">
        <w:rPr>
          <w:rFonts w:ascii="Century" w:hAnsi="Century"/>
          <w:rtl/>
        </w:rPr>
        <w:t>הרשות המכוננת היא זו שיוצרת את הנורמות החוקתיות אשר מגדירות את גבולותיהן וסמכויותיהן של הרשויות האחרות</w:t>
      </w:r>
      <w:r w:rsidRPr="00B26569">
        <w:rPr>
          <w:rFonts w:ascii="Century" w:hAnsi="Century" w:hint="cs"/>
          <w:rtl/>
        </w:rPr>
        <w:t xml:space="preserve">" (פסקה 59 </w:t>
      </w:r>
      <w:r>
        <w:rPr>
          <w:rFonts w:ascii="Century" w:hAnsi="Century" w:hint="cs"/>
          <w:rtl/>
        </w:rPr>
        <w:t>לחוות דעתה</w:t>
      </w:r>
      <w:r w:rsidRPr="00B26569">
        <w:rPr>
          <w:rFonts w:ascii="Century" w:hAnsi="Century" w:hint="cs"/>
          <w:rtl/>
        </w:rPr>
        <w:t>).</w:t>
      </w:r>
      <w:r w:rsidRPr="007B7F79">
        <w:rPr>
          <w:rFonts w:hint="cs"/>
          <w:rtl/>
        </w:rPr>
        <w:t xml:space="preserve"> לעניין זה יפים גם דברי</w:t>
      </w:r>
      <w:r>
        <w:rPr>
          <w:rFonts w:hint="cs"/>
          <w:rtl/>
        </w:rPr>
        <w:t xml:space="preserve"> השופט</w:t>
      </w:r>
      <w:r w:rsidRPr="007B7F79">
        <w:rPr>
          <w:rFonts w:hint="cs"/>
          <w:rtl/>
        </w:rPr>
        <w:t xml:space="preserve"> </w:t>
      </w:r>
      <w:r w:rsidRPr="00B26569">
        <w:rPr>
          <w:rFonts w:ascii="Century" w:hAnsi="Century" w:cs="Miriam" w:hint="cs"/>
          <w:spacing w:val="0"/>
          <w:szCs w:val="24"/>
          <w:rtl/>
        </w:rPr>
        <w:t>ברק</w:t>
      </w:r>
      <w:r w:rsidRPr="007B7F79">
        <w:rPr>
          <w:rFonts w:hint="cs"/>
          <w:rtl/>
        </w:rPr>
        <w:t>, ככתבם וכלשונם, באשר לסמכותה של הרשות</w:t>
      </w:r>
      <w:r>
        <w:rPr>
          <w:rFonts w:hint="cs"/>
          <w:rtl/>
        </w:rPr>
        <w:t xml:space="preserve"> המכוננת לקבוע את "כללי המשחק" (</w:t>
      </w:r>
      <w:r w:rsidRPr="00566222">
        <w:rPr>
          <w:rFonts w:hint="eastAsia"/>
          <w:rtl/>
        </w:rPr>
        <w:t>אהרן</w:t>
      </w:r>
      <w:r w:rsidRPr="00566222">
        <w:rPr>
          <w:rtl/>
        </w:rPr>
        <w:t xml:space="preserve"> </w:t>
      </w:r>
      <w:r w:rsidRPr="00566222">
        <w:rPr>
          <w:rFonts w:hint="eastAsia"/>
          <w:rtl/>
        </w:rPr>
        <w:t>ברק</w:t>
      </w:r>
      <w:r w:rsidRPr="00566222">
        <w:rPr>
          <w:rtl/>
        </w:rPr>
        <w:t xml:space="preserve"> "</w:t>
      </w:r>
      <w:r w:rsidRPr="00566222">
        <w:rPr>
          <w:rFonts w:hint="eastAsia"/>
          <w:rtl/>
        </w:rPr>
        <w:t>הפרלמנט</w:t>
      </w:r>
      <w:r w:rsidRPr="00566222">
        <w:rPr>
          <w:rtl/>
        </w:rPr>
        <w:t xml:space="preserve"> </w:t>
      </w:r>
      <w:r w:rsidRPr="00566222">
        <w:rPr>
          <w:rFonts w:hint="eastAsia"/>
          <w:rtl/>
        </w:rPr>
        <w:t>ובית</w:t>
      </w:r>
      <w:r w:rsidRPr="00566222">
        <w:rPr>
          <w:rtl/>
        </w:rPr>
        <w:t>-</w:t>
      </w:r>
      <w:r w:rsidRPr="00566222">
        <w:rPr>
          <w:rFonts w:hint="eastAsia"/>
          <w:rtl/>
        </w:rPr>
        <w:t>המשפט</w:t>
      </w:r>
      <w:r w:rsidRPr="00566222">
        <w:rPr>
          <w:rtl/>
        </w:rPr>
        <w:t xml:space="preserve"> </w:t>
      </w:r>
      <w:r w:rsidRPr="00566222">
        <w:rPr>
          <w:rFonts w:hint="eastAsia"/>
          <w:rtl/>
        </w:rPr>
        <w:t>העליון</w:t>
      </w:r>
      <w:r w:rsidRPr="00566222">
        <w:rPr>
          <w:rtl/>
        </w:rPr>
        <w:t xml:space="preserve"> </w:t>
      </w:r>
      <w:r>
        <w:rPr>
          <w:rtl/>
        </w:rPr>
        <w:t>–</w:t>
      </w:r>
      <w:r>
        <w:rPr>
          <w:rFonts w:hint="cs"/>
          <w:rtl/>
        </w:rPr>
        <w:t xml:space="preserve"> </w:t>
      </w:r>
      <w:r w:rsidRPr="00566222">
        <w:rPr>
          <w:rFonts w:hint="eastAsia"/>
          <w:rtl/>
        </w:rPr>
        <w:t>מבט</w:t>
      </w:r>
      <w:r w:rsidRPr="00566222">
        <w:rPr>
          <w:rtl/>
        </w:rPr>
        <w:t xml:space="preserve"> </w:t>
      </w:r>
      <w:r w:rsidRPr="00566222">
        <w:rPr>
          <w:rFonts w:hint="eastAsia"/>
          <w:rtl/>
        </w:rPr>
        <w:t>לעתיד</w:t>
      </w:r>
      <w:r w:rsidRPr="00566222">
        <w:rPr>
          <w:rtl/>
        </w:rPr>
        <w:t xml:space="preserve">" </w:t>
      </w:r>
      <w:r w:rsidRPr="00566222">
        <w:rPr>
          <w:rFonts w:ascii="Century" w:hAnsi="Century" w:cs="Miriam" w:hint="cs"/>
          <w:b/>
          <w:spacing w:val="0"/>
          <w:szCs w:val="24"/>
          <w:rtl/>
        </w:rPr>
        <w:t>הפרקליט</w:t>
      </w:r>
      <w:r w:rsidRPr="00566222">
        <w:rPr>
          <w:rFonts w:hint="cs"/>
          <w:rtl/>
        </w:rPr>
        <w:t xml:space="preserve"> מה </w:t>
      </w:r>
      <w:r>
        <w:rPr>
          <w:rFonts w:hint="cs"/>
          <w:rtl/>
        </w:rPr>
        <w:t>5</w:t>
      </w:r>
      <w:r w:rsidRPr="00566222">
        <w:rPr>
          <w:rFonts w:hint="cs"/>
          <w:rtl/>
        </w:rPr>
        <w:t xml:space="preserve"> (</w:t>
      </w:r>
      <w:r>
        <w:rPr>
          <w:rFonts w:hint="cs"/>
          <w:rtl/>
        </w:rPr>
        <w:t>2000</w:t>
      </w:r>
      <w:r w:rsidRPr="00566222">
        <w:rPr>
          <w:rFonts w:hint="cs"/>
          <w:rtl/>
        </w:rPr>
        <w:t>)</w:t>
      </w:r>
      <w:r>
        <w:rPr>
          <w:rFonts w:hint="cs"/>
          <w:rtl/>
        </w:rPr>
        <w:t>):</w:t>
      </w:r>
    </w:p>
    <w:p w:rsidR="00737972" w:rsidRPr="00566222" w:rsidRDefault="00737972" w:rsidP="00737972">
      <w:pPr>
        <w:pStyle w:val="Ruller41"/>
        <w:rPr>
          <w:rtl/>
        </w:rPr>
      </w:pPr>
    </w:p>
    <w:p w:rsidR="00737972" w:rsidRDefault="00737972" w:rsidP="00737972">
      <w:pPr>
        <w:pStyle w:val="Ruller5"/>
        <w:rPr>
          <w:rtl/>
        </w:rPr>
      </w:pPr>
      <w:r>
        <w:rPr>
          <w:rFonts w:hint="cs"/>
          <w:rtl/>
        </w:rPr>
        <w:t xml:space="preserve">"... אף, שהכנסת אינה ריבונית, הכנסת היא עליונה. אכן, יש לה לכנסת ייחוד משלה. מעקרון הדמוקרטיה נובע שהכנסת היא הביטוי המלא של הדמוקרטיה הפורמלית שלנו. היא נבחרה על-ידי העם. רק היא הוסמכה לחוקק את חוקי המדינה. ייחוד זה </w:t>
      </w:r>
      <w:r>
        <w:rPr>
          <w:rtl/>
        </w:rPr>
        <w:t>–</w:t>
      </w:r>
      <w:r>
        <w:rPr>
          <w:rFonts w:hint="cs"/>
          <w:rtl/>
        </w:rPr>
        <w:t xml:space="preserve"> אותו אני מבטא בתאור של הכנסת העליונה </w:t>
      </w:r>
      <w:r>
        <w:rPr>
          <w:rtl/>
        </w:rPr>
        <w:t>–</w:t>
      </w:r>
      <w:r>
        <w:rPr>
          <w:rFonts w:hint="cs"/>
          <w:rtl/>
        </w:rPr>
        <w:t xml:space="preserve"> מתבטא בכוחה של הכנסת </w:t>
      </w:r>
      <w:r>
        <w:rPr>
          <w:rtl/>
        </w:rPr>
        <w:t>–</w:t>
      </w:r>
      <w:r>
        <w:rPr>
          <w:rFonts w:hint="cs"/>
          <w:rtl/>
        </w:rPr>
        <w:t xml:space="preserve"> בכפוף לחוקת המדינה </w:t>
      </w:r>
      <w:r>
        <w:rPr>
          <w:rtl/>
        </w:rPr>
        <w:t>–</w:t>
      </w:r>
      <w:r>
        <w:rPr>
          <w:rFonts w:hint="cs"/>
          <w:rtl/>
        </w:rPr>
        <w:t xml:space="preserve"> לשנות את מבנה הסמכויות של הרשויות השונות. תפקיד זה של הכנסת הוא כפול: האחד, בהיות הכנסת שלנו גם בגדר אסיפה מכוננת, היא זו הקובעת את החוקה שלנו. זהו מעמד מיוחד במינו, ממנו נהנית הכנסת שלנו. [...] הכנסת שלנו </w:t>
      </w:r>
      <w:r>
        <w:rPr>
          <w:rtl/>
        </w:rPr>
        <w:t>–</w:t>
      </w:r>
      <w:r>
        <w:rPr>
          <w:rFonts w:hint="cs"/>
          <w:rtl/>
        </w:rPr>
        <w:t xml:space="preserve"> כמו פרלמנטים אחרים </w:t>
      </w:r>
      <w:r>
        <w:rPr>
          <w:rtl/>
        </w:rPr>
        <w:t>–</w:t>
      </w:r>
      <w:r>
        <w:rPr>
          <w:rFonts w:hint="cs"/>
          <w:rtl/>
        </w:rPr>
        <w:t xml:space="preserve"> היא בעלת כוח לשנות את החוקה. זו סמכות מכוננת נגזרת. שנית, בהיות הכנסת רשות מחוקקת, היא יכולה </w:t>
      </w:r>
      <w:r>
        <w:rPr>
          <w:rtl/>
        </w:rPr>
        <w:t>–</w:t>
      </w:r>
      <w:r>
        <w:rPr>
          <w:rFonts w:hint="cs"/>
          <w:rtl/>
        </w:rPr>
        <w:t xml:space="preserve"> באמצעות החוקים ובמסגרת החוקה </w:t>
      </w:r>
      <w:r>
        <w:rPr>
          <w:rtl/>
        </w:rPr>
        <w:t>–</w:t>
      </w:r>
      <w:r>
        <w:rPr>
          <w:rFonts w:hint="cs"/>
          <w:rtl/>
        </w:rPr>
        <w:t xml:space="preserve"> לשנות את מבנה הסמכויות של הרשויות השונות. כולנו חייבים לפעול לפי כללי המשחק. הכנסת </w:t>
      </w:r>
      <w:r>
        <w:rPr>
          <w:rtl/>
        </w:rPr>
        <w:t>–</w:t>
      </w:r>
      <w:r>
        <w:rPr>
          <w:rFonts w:hint="cs"/>
          <w:rtl/>
        </w:rPr>
        <w:t xml:space="preserve"> ורק היא </w:t>
      </w:r>
      <w:r>
        <w:rPr>
          <w:rtl/>
        </w:rPr>
        <w:t>–</w:t>
      </w:r>
      <w:r>
        <w:rPr>
          <w:rFonts w:hint="cs"/>
          <w:rtl/>
        </w:rPr>
        <w:t xml:space="preserve"> יכולה לשנות את כללי המשחק. הסמכות שמוענקת לרשות המבצעת ולרשות השופטת היא הסמכות שהכנסת </w:t>
      </w:r>
      <w:r>
        <w:rPr>
          <w:rtl/>
        </w:rPr>
        <w:t>–</w:t>
      </w:r>
      <w:r>
        <w:rPr>
          <w:rFonts w:hint="cs"/>
          <w:rtl/>
        </w:rPr>
        <w:t xml:space="preserve"> בכובע של הרשות המכוננת (חוקי היסוד) או בכובע של הרשות המחוקקת (חוקים רגילים) </w:t>
      </w:r>
      <w:r>
        <w:rPr>
          <w:rtl/>
        </w:rPr>
        <w:t>–</w:t>
      </w:r>
      <w:r>
        <w:rPr>
          <w:rFonts w:hint="cs"/>
          <w:rtl/>
        </w:rPr>
        <w:t xml:space="preserve"> מעניקה להם. אין הם יכולים להעניק לעצמם סמכויות אלא רק לקבלן מכוחה של הכנסת. במובן זה הכנסת היא עליונה" (שם, עמ' 7-6).</w:t>
      </w:r>
    </w:p>
    <w:p w:rsidR="00737972" w:rsidRPr="00566222" w:rsidRDefault="00737972" w:rsidP="00737972">
      <w:pPr>
        <w:pStyle w:val="Ruller5"/>
        <w:rPr>
          <w:rtl/>
        </w:rPr>
      </w:pPr>
    </w:p>
    <w:p w:rsidR="00737972" w:rsidRPr="007B7F79" w:rsidRDefault="00737972" w:rsidP="00737972">
      <w:pPr>
        <w:pStyle w:val="Ruller41"/>
        <w:rPr>
          <w:rFonts w:ascii="Century" w:hAnsi="Century"/>
          <w:rtl/>
        </w:rPr>
      </w:pPr>
      <w:r>
        <w:rPr>
          <w:rtl/>
        </w:rPr>
        <w:tab/>
      </w:r>
      <w:r w:rsidRPr="007B7F79">
        <w:rPr>
          <w:rFonts w:hint="cs"/>
          <w:rtl/>
        </w:rPr>
        <w:t xml:space="preserve">ובלשונו של המשנה לנשיא </w:t>
      </w:r>
      <w:r>
        <w:rPr>
          <w:rFonts w:hint="cs"/>
          <w:rtl/>
        </w:rPr>
        <w:t>(</w:t>
      </w:r>
      <w:r w:rsidRPr="007B7F79">
        <w:rPr>
          <w:rFonts w:hint="cs"/>
          <w:rtl/>
        </w:rPr>
        <w:t xml:space="preserve">בדימ') </w:t>
      </w:r>
      <w:r w:rsidRPr="007B7F79">
        <w:rPr>
          <w:rFonts w:ascii="Century" w:hAnsi="Century" w:cs="Miriam" w:hint="cs"/>
          <w:spacing w:val="0"/>
          <w:szCs w:val="24"/>
          <w:rtl/>
        </w:rPr>
        <w:t xml:space="preserve">מ' חשין </w:t>
      </w:r>
      <w:r>
        <w:rPr>
          <w:rFonts w:ascii="Century" w:hAnsi="Century" w:hint="cs"/>
          <w:rtl/>
        </w:rPr>
        <w:t>ב</w:t>
      </w:r>
      <w:r w:rsidRPr="007B7F79">
        <w:rPr>
          <w:rFonts w:ascii="Century" w:hAnsi="Century" w:hint="eastAsia"/>
          <w:rtl/>
        </w:rPr>
        <w:t>בג</w:t>
      </w:r>
      <w:r w:rsidRPr="007B7F79">
        <w:rPr>
          <w:rFonts w:ascii="Century" w:hAnsi="Century" w:hint="cs"/>
          <w:rtl/>
        </w:rPr>
        <w:t>"</w:t>
      </w:r>
      <w:r w:rsidRPr="007B7F79">
        <w:rPr>
          <w:rFonts w:ascii="Century" w:hAnsi="Century" w:hint="eastAsia"/>
          <w:rtl/>
        </w:rPr>
        <w:t>ץ</w:t>
      </w:r>
      <w:r w:rsidRPr="007B7F79">
        <w:rPr>
          <w:rFonts w:ascii="Century" w:hAnsi="Century"/>
          <w:rtl/>
        </w:rPr>
        <w:t xml:space="preserve"> 11163/03</w:t>
      </w:r>
      <w:r w:rsidRPr="007B7F79">
        <w:rPr>
          <w:rFonts w:ascii="Century" w:hAnsi="Century" w:hint="cs"/>
          <w:rtl/>
        </w:rPr>
        <w:t xml:space="preserve"> </w:t>
      </w:r>
      <w:r w:rsidRPr="007B7F79">
        <w:rPr>
          <w:rFonts w:ascii="Century" w:hAnsi="Century" w:cs="Miriam" w:hint="eastAsia"/>
          <w:spacing w:val="0"/>
          <w:szCs w:val="24"/>
          <w:rtl/>
        </w:rPr>
        <w:t>ועדת</w:t>
      </w:r>
      <w:r w:rsidRPr="007B7F79">
        <w:rPr>
          <w:rFonts w:ascii="Century" w:hAnsi="Century" w:cs="Miriam"/>
          <w:spacing w:val="0"/>
          <w:szCs w:val="24"/>
          <w:rtl/>
        </w:rPr>
        <w:t xml:space="preserve"> </w:t>
      </w:r>
      <w:r w:rsidRPr="007B7F79">
        <w:rPr>
          <w:rFonts w:ascii="Century" w:hAnsi="Century" w:cs="Miriam" w:hint="eastAsia"/>
          <w:spacing w:val="0"/>
          <w:szCs w:val="24"/>
          <w:rtl/>
        </w:rPr>
        <w:t>המעקב</w:t>
      </w:r>
      <w:r w:rsidRPr="007B7F79">
        <w:rPr>
          <w:rFonts w:ascii="Century" w:hAnsi="Century" w:cs="Miriam"/>
          <w:spacing w:val="0"/>
          <w:szCs w:val="24"/>
          <w:rtl/>
        </w:rPr>
        <w:t xml:space="preserve"> </w:t>
      </w:r>
      <w:r w:rsidRPr="007B7F79">
        <w:rPr>
          <w:rFonts w:ascii="Century" w:hAnsi="Century" w:cs="Miriam" w:hint="eastAsia"/>
          <w:spacing w:val="0"/>
          <w:szCs w:val="24"/>
          <w:rtl/>
        </w:rPr>
        <w:t>העליונה</w:t>
      </w:r>
      <w:r w:rsidRPr="007B7F79">
        <w:rPr>
          <w:rFonts w:ascii="Century" w:hAnsi="Century" w:cs="Miriam"/>
          <w:spacing w:val="0"/>
          <w:szCs w:val="24"/>
          <w:rtl/>
        </w:rPr>
        <w:t xml:space="preserve"> </w:t>
      </w:r>
      <w:r w:rsidRPr="007B7F79">
        <w:rPr>
          <w:rFonts w:ascii="Century" w:hAnsi="Century" w:cs="Miriam" w:hint="eastAsia"/>
          <w:spacing w:val="0"/>
          <w:szCs w:val="24"/>
          <w:rtl/>
        </w:rPr>
        <w:t>לענייני</w:t>
      </w:r>
      <w:r w:rsidRPr="007B7F79">
        <w:rPr>
          <w:rFonts w:ascii="Century" w:hAnsi="Century" w:cs="Miriam"/>
          <w:spacing w:val="0"/>
          <w:szCs w:val="24"/>
          <w:rtl/>
        </w:rPr>
        <w:t xml:space="preserve"> </w:t>
      </w:r>
      <w:r w:rsidRPr="007B7F79">
        <w:rPr>
          <w:rFonts w:ascii="Century" w:hAnsi="Century" w:cs="Miriam" w:hint="eastAsia"/>
          <w:spacing w:val="0"/>
          <w:szCs w:val="24"/>
          <w:rtl/>
        </w:rPr>
        <w:t>הערבים</w:t>
      </w:r>
      <w:r w:rsidRPr="007B7F79">
        <w:rPr>
          <w:rFonts w:ascii="Century" w:hAnsi="Century" w:cs="Miriam"/>
          <w:spacing w:val="0"/>
          <w:szCs w:val="24"/>
          <w:rtl/>
        </w:rPr>
        <w:t xml:space="preserve"> </w:t>
      </w:r>
      <w:r w:rsidRPr="007B7F79">
        <w:rPr>
          <w:rFonts w:ascii="Century" w:hAnsi="Century" w:cs="Miriam" w:hint="eastAsia"/>
          <w:spacing w:val="0"/>
          <w:szCs w:val="24"/>
          <w:rtl/>
        </w:rPr>
        <w:t>בישראל</w:t>
      </w:r>
      <w:r w:rsidRPr="007B7F79">
        <w:rPr>
          <w:rFonts w:ascii="Century" w:hAnsi="Century" w:cs="Miriam"/>
          <w:spacing w:val="0"/>
          <w:szCs w:val="24"/>
          <w:rtl/>
        </w:rPr>
        <w:t xml:space="preserve"> </w:t>
      </w:r>
      <w:r w:rsidRPr="007B7F79">
        <w:rPr>
          <w:rFonts w:ascii="Century" w:hAnsi="Century" w:cs="Miriam" w:hint="eastAsia"/>
          <w:spacing w:val="0"/>
          <w:szCs w:val="24"/>
          <w:rtl/>
        </w:rPr>
        <w:t>נ</w:t>
      </w:r>
      <w:r w:rsidRPr="007B7F79">
        <w:rPr>
          <w:rFonts w:ascii="Century" w:hAnsi="Century" w:cs="Miriam"/>
          <w:spacing w:val="0"/>
          <w:szCs w:val="24"/>
          <w:rtl/>
        </w:rPr>
        <w:t xml:space="preserve">' </w:t>
      </w:r>
      <w:r w:rsidRPr="007B7F79">
        <w:rPr>
          <w:rFonts w:ascii="Century" w:hAnsi="Century" w:cs="Miriam" w:hint="eastAsia"/>
          <w:spacing w:val="0"/>
          <w:szCs w:val="24"/>
          <w:rtl/>
        </w:rPr>
        <w:t>ראש</w:t>
      </w:r>
      <w:r w:rsidRPr="007B7F79">
        <w:rPr>
          <w:rFonts w:ascii="Century" w:hAnsi="Century" w:cs="Miriam"/>
          <w:spacing w:val="0"/>
          <w:szCs w:val="24"/>
          <w:rtl/>
        </w:rPr>
        <w:t xml:space="preserve"> </w:t>
      </w:r>
      <w:r w:rsidRPr="007B7F79">
        <w:rPr>
          <w:rFonts w:ascii="Century" w:hAnsi="Century" w:cs="Miriam" w:hint="eastAsia"/>
          <w:spacing w:val="0"/>
          <w:szCs w:val="24"/>
          <w:rtl/>
        </w:rPr>
        <w:t>ממשלת</w:t>
      </w:r>
      <w:r w:rsidRPr="007B7F79">
        <w:rPr>
          <w:rFonts w:ascii="Century" w:hAnsi="Century" w:cs="Miriam"/>
          <w:spacing w:val="0"/>
          <w:szCs w:val="24"/>
          <w:rtl/>
        </w:rPr>
        <w:t xml:space="preserve"> </w:t>
      </w:r>
      <w:r w:rsidRPr="007B7F79">
        <w:rPr>
          <w:rFonts w:ascii="Century" w:hAnsi="Century" w:cs="Miriam" w:hint="eastAsia"/>
          <w:spacing w:val="0"/>
          <w:szCs w:val="24"/>
          <w:rtl/>
        </w:rPr>
        <w:t>ישראל</w:t>
      </w:r>
      <w:r w:rsidRPr="007B7F79">
        <w:rPr>
          <w:rFonts w:ascii="Century" w:hAnsi="Century"/>
          <w:rtl/>
        </w:rPr>
        <w:t xml:space="preserve">, </w:t>
      </w:r>
      <w:r w:rsidRPr="007B7F79">
        <w:rPr>
          <w:rFonts w:ascii="Century" w:hAnsi="Century" w:hint="eastAsia"/>
          <w:rtl/>
        </w:rPr>
        <w:t>פ</w:t>
      </w:r>
      <w:r w:rsidRPr="007B7F79">
        <w:rPr>
          <w:rFonts w:ascii="Century" w:hAnsi="Century" w:hint="cs"/>
          <w:rtl/>
        </w:rPr>
        <w:t>"</w:t>
      </w:r>
      <w:r w:rsidRPr="007B7F79">
        <w:rPr>
          <w:rFonts w:ascii="Century" w:hAnsi="Century" w:hint="eastAsia"/>
          <w:rtl/>
        </w:rPr>
        <w:t>ד</w:t>
      </w:r>
      <w:r w:rsidRPr="007B7F79">
        <w:rPr>
          <w:rFonts w:ascii="Century" w:hAnsi="Century"/>
          <w:rtl/>
        </w:rPr>
        <w:t xml:space="preserve"> </w:t>
      </w:r>
      <w:r w:rsidRPr="007B7F79">
        <w:rPr>
          <w:rFonts w:ascii="Century" w:hAnsi="Century" w:hint="eastAsia"/>
          <w:rtl/>
        </w:rPr>
        <w:t>סא</w:t>
      </w:r>
      <w:r w:rsidRPr="007B7F79">
        <w:rPr>
          <w:rFonts w:ascii="Century" w:hAnsi="Century"/>
          <w:rtl/>
        </w:rPr>
        <w:t>(1) 1</w:t>
      </w:r>
      <w:r w:rsidRPr="007B7F79">
        <w:rPr>
          <w:rFonts w:ascii="Century" w:hAnsi="Century" w:hint="cs"/>
          <w:rtl/>
        </w:rPr>
        <w:t xml:space="preserve"> (2006):</w:t>
      </w:r>
    </w:p>
    <w:p w:rsidR="00737972" w:rsidRPr="00847AFA" w:rsidRDefault="00737972" w:rsidP="00737972">
      <w:pPr>
        <w:pStyle w:val="Ruller41"/>
        <w:rPr>
          <w:rFonts w:ascii="Century" w:hAnsi="Century"/>
          <w:rtl/>
        </w:rPr>
      </w:pPr>
    </w:p>
    <w:p w:rsidR="00737972" w:rsidRPr="00847AFA" w:rsidRDefault="00737972" w:rsidP="00737972">
      <w:pPr>
        <w:pStyle w:val="Ruller5"/>
        <w:rPr>
          <w:rtl/>
        </w:rPr>
      </w:pPr>
      <w:r>
        <w:rPr>
          <w:rFonts w:hint="cs"/>
          <w:rtl/>
        </w:rPr>
        <w:lastRenderedPageBreak/>
        <w:t>"א</w:t>
      </w:r>
      <w:r w:rsidRPr="00847AFA">
        <w:rPr>
          <w:rFonts w:hint="eastAsia"/>
          <w:rtl/>
        </w:rPr>
        <w:t>כן</w:t>
      </w:r>
      <w:r w:rsidRPr="00847AFA">
        <w:rPr>
          <w:rtl/>
        </w:rPr>
        <w:t xml:space="preserve">, </w:t>
      </w:r>
      <w:r w:rsidRPr="00847AFA">
        <w:rPr>
          <w:rFonts w:hint="eastAsia"/>
          <w:rtl/>
        </w:rPr>
        <w:t>ישראל</w:t>
      </w:r>
      <w:r w:rsidRPr="00847AFA">
        <w:rPr>
          <w:rtl/>
        </w:rPr>
        <w:t xml:space="preserve"> </w:t>
      </w:r>
      <w:r w:rsidRPr="00847AFA">
        <w:rPr>
          <w:rFonts w:hint="eastAsia"/>
          <w:rtl/>
        </w:rPr>
        <w:t>היא</w:t>
      </w:r>
      <w:r w:rsidRPr="00847AFA">
        <w:rPr>
          <w:rtl/>
        </w:rPr>
        <w:t xml:space="preserve"> </w:t>
      </w:r>
      <w:r w:rsidRPr="00847AFA">
        <w:rPr>
          <w:rFonts w:hint="eastAsia"/>
          <w:rtl/>
        </w:rPr>
        <w:t>מדינה</w:t>
      </w:r>
      <w:r w:rsidRPr="00847AFA">
        <w:rPr>
          <w:rtl/>
        </w:rPr>
        <w:t xml:space="preserve"> </w:t>
      </w:r>
      <w:r w:rsidRPr="00847AFA">
        <w:rPr>
          <w:rFonts w:hint="eastAsia"/>
          <w:rtl/>
        </w:rPr>
        <w:t>דמוקרטית</w:t>
      </w:r>
      <w:r w:rsidRPr="00847AFA">
        <w:rPr>
          <w:rtl/>
        </w:rPr>
        <w:t xml:space="preserve"> </w:t>
      </w:r>
      <w:r>
        <w:rPr>
          <w:rtl/>
        </w:rPr>
        <w:t>–</w:t>
      </w:r>
      <w:r w:rsidRPr="00847AFA">
        <w:rPr>
          <w:rtl/>
        </w:rPr>
        <w:t xml:space="preserve"> </w:t>
      </w:r>
      <w:r w:rsidRPr="00847AFA">
        <w:rPr>
          <w:rFonts w:hint="eastAsia"/>
          <w:rtl/>
        </w:rPr>
        <w:t>כך</w:t>
      </w:r>
      <w:r w:rsidRPr="00847AFA">
        <w:rPr>
          <w:rtl/>
        </w:rPr>
        <w:t xml:space="preserve"> </w:t>
      </w:r>
      <w:r w:rsidRPr="00847AFA">
        <w:rPr>
          <w:rFonts w:hint="eastAsia"/>
          <w:rtl/>
        </w:rPr>
        <w:t>גם</w:t>
      </w:r>
      <w:r w:rsidRPr="00847AFA">
        <w:rPr>
          <w:rtl/>
        </w:rPr>
        <w:t xml:space="preserve"> </w:t>
      </w:r>
      <w:r w:rsidRPr="00847AFA">
        <w:rPr>
          <w:rFonts w:hint="eastAsia"/>
          <w:rtl/>
        </w:rPr>
        <w:t>מצהירים</w:t>
      </w:r>
      <w:r w:rsidRPr="00847AFA">
        <w:rPr>
          <w:rtl/>
        </w:rPr>
        <w:t xml:space="preserve"> </w:t>
      </w:r>
      <w:r w:rsidRPr="00847AFA">
        <w:rPr>
          <w:rFonts w:hint="eastAsia"/>
          <w:rtl/>
        </w:rPr>
        <w:t>בחגיגיות</w:t>
      </w:r>
      <w:r w:rsidRPr="00847AFA">
        <w:rPr>
          <w:rtl/>
        </w:rPr>
        <w:t xml:space="preserve"> </w:t>
      </w:r>
      <w:r w:rsidRPr="00847AFA">
        <w:rPr>
          <w:rFonts w:hint="eastAsia"/>
          <w:rtl/>
        </w:rPr>
        <w:t>חוק</w:t>
      </w:r>
      <w:r w:rsidRPr="00847AFA">
        <w:rPr>
          <w:rtl/>
        </w:rPr>
        <w:t>-</w:t>
      </w:r>
      <w:r w:rsidRPr="00847AFA">
        <w:rPr>
          <w:rFonts w:hint="eastAsia"/>
          <w:rtl/>
        </w:rPr>
        <w:t>יסוד</w:t>
      </w:r>
      <w:r w:rsidRPr="00847AFA">
        <w:rPr>
          <w:rtl/>
        </w:rPr>
        <w:t xml:space="preserve">: </w:t>
      </w:r>
      <w:r w:rsidRPr="00847AFA">
        <w:rPr>
          <w:rFonts w:hint="eastAsia"/>
          <w:rtl/>
        </w:rPr>
        <w:t>כבוד</w:t>
      </w:r>
      <w:r w:rsidRPr="00847AFA">
        <w:rPr>
          <w:rtl/>
        </w:rPr>
        <w:t xml:space="preserve"> </w:t>
      </w:r>
      <w:r w:rsidRPr="00847AFA">
        <w:rPr>
          <w:rFonts w:hint="eastAsia"/>
          <w:rtl/>
        </w:rPr>
        <w:t>האדם</w:t>
      </w:r>
      <w:r w:rsidRPr="00847AFA">
        <w:rPr>
          <w:rtl/>
        </w:rPr>
        <w:t xml:space="preserve"> </w:t>
      </w:r>
      <w:r w:rsidRPr="00847AFA">
        <w:rPr>
          <w:rFonts w:hint="eastAsia"/>
          <w:rtl/>
        </w:rPr>
        <w:t>וחירותו</w:t>
      </w:r>
      <w:r w:rsidRPr="00847AFA">
        <w:rPr>
          <w:rtl/>
        </w:rPr>
        <w:t xml:space="preserve">, </w:t>
      </w:r>
      <w:r w:rsidRPr="00847AFA">
        <w:rPr>
          <w:rFonts w:hint="eastAsia"/>
          <w:rtl/>
        </w:rPr>
        <w:t>בסעיף</w:t>
      </w:r>
      <w:r w:rsidRPr="00847AFA">
        <w:rPr>
          <w:rtl/>
        </w:rPr>
        <w:t xml:space="preserve"> 1</w:t>
      </w:r>
      <w:r w:rsidRPr="00847AFA">
        <w:rPr>
          <w:rFonts w:hint="eastAsia"/>
          <w:rtl/>
        </w:rPr>
        <w:t>א</w:t>
      </w:r>
      <w:r w:rsidRPr="00847AFA">
        <w:rPr>
          <w:rtl/>
        </w:rPr>
        <w:t xml:space="preserve"> </w:t>
      </w:r>
      <w:r w:rsidRPr="00847AFA">
        <w:rPr>
          <w:rFonts w:hint="eastAsia"/>
          <w:rtl/>
        </w:rPr>
        <w:t>בו</w:t>
      </w:r>
      <w:r w:rsidRPr="00847AFA">
        <w:rPr>
          <w:rtl/>
        </w:rPr>
        <w:t xml:space="preserve">, </w:t>
      </w:r>
      <w:r w:rsidRPr="00847AFA">
        <w:rPr>
          <w:rFonts w:hint="eastAsia"/>
          <w:rtl/>
        </w:rPr>
        <w:t>וחוק</w:t>
      </w:r>
      <w:r w:rsidRPr="00847AFA">
        <w:rPr>
          <w:rtl/>
        </w:rPr>
        <w:t>-</w:t>
      </w:r>
      <w:r w:rsidRPr="00847AFA">
        <w:rPr>
          <w:rFonts w:hint="eastAsia"/>
          <w:rtl/>
        </w:rPr>
        <w:t>יסוד</w:t>
      </w:r>
      <w:r w:rsidRPr="00847AFA">
        <w:rPr>
          <w:rtl/>
        </w:rPr>
        <w:t xml:space="preserve">: </w:t>
      </w:r>
      <w:r w:rsidRPr="00847AFA">
        <w:rPr>
          <w:rFonts w:hint="eastAsia"/>
          <w:rtl/>
        </w:rPr>
        <w:t>חופש</w:t>
      </w:r>
      <w:r w:rsidRPr="00847AFA">
        <w:rPr>
          <w:rtl/>
        </w:rPr>
        <w:t xml:space="preserve"> </w:t>
      </w:r>
      <w:r w:rsidRPr="00847AFA">
        <w:rPr>
          <w:rFonts w:hint="eastAsia"/>
          <w:rtl/>
        </w:rPr>
        <w:t>העיסוק</w:t>
      </w:r>
      <w:r w:rsidRPr="00847AFA">
        <w:rPr>
          <w:rtl/>
        </w:rPr>
        <w:t xml:space="preserve">, </w:t>
      </w:r>
      <w:r w:rsidRPr="00847AFA">
        <w:rPr>
          <w:rFonts w:hint="eastAsia"/>
          <w:rtl/>
        </w:rPr>
        <w:t>בסעיף</w:t>
      </w:r>
      <w:r w:rsidRPr="00847AFA">
        <w:rPr>
          <w:rtl/>
        </w:rPr>
        <w:t xml:space="preserve"> 2 </w:t>
      </w:r>
      <w:r w:rsidRPr="00847AFA">
        <w:rPr>
          <w:rFonts w:hint="eastAsia"/>
          <w:rtl/>
        </w:rPr>
        <w:t>בו</w:t>
      </w:r>
      <w:r w:rsidRPr="00847AFA">
        <w:rPr>
          <w:rtl/>
        </w:rPr>
        <w:t xml:space="preserve"> </w:t>
      </w:r>
      <w:r>
        <w:rPr>
          <w:rtl/>
        </w:rPr>
        <w:t>–</w:t>
      </w:r>
      <w:r w:rsidRPr="00847AFA">
        <w:rPr>
          <w:rtl/>
        </w:rPr>
        <w:t xml:space="preserve"> </w:t>
      </w:r>
      <w:r w:rsidRPr="00847AFA">
        <w:rPr>
          <w:rFonts w:hint="eastAsia"/>
          <w:rtl/>
        </w:rPr>
        <w:t>והגם</w:t>
      </w:r>
      <w:r w:rsidRPr="00847AFA">
        <w:rPr>
          <w:rtl/>
        </w:rPr>
        <w:t xml:space="preserve"> </w:t>
      </w:r>
      <w:r w:rsidRPr="00847AFA">
        <w:rPr>
          <w:rFonts w:hint="eastAsia"/>
          <w:rtl/>
        </w:rPr>
        <w:t>שהמתבונן</w:t>
      </w:r>
      <w:r w:rsidRPr="00847AFA">
        <w:rPr>
          <w:rtl/>
        </w:rPr>
        <w:t xml:space="preserve"> </w:t>
      </w:r>
      <w:r w:rsidRPr="00847AFA">
        <w:rPr>
          <w:rFonts w:hint="eastAsia"/>
          <w:rtl/>
        </w:rPr>
        <w:t>מן</w:t>
      </w:r>
      <w:r w:rsidRPr="00847AFA">
        <w:rPr>
          <w:rtl/>
        </w:rPr>
        <w:t xml:space="preserve"> </w:t>
      </w:r>
      <w:r w:rsidRPr="00847AFA">
        <w:rPr>
          <w:rFonts w:hint="eastAsia"/>
          <w:rtl/>
        </w:rPr>
        <w:t>הצד</w:t>
      </w:r>
      <w:r w:rsidRPr="00847AFA">
        <w:rPr>
          <w:rtl/>
        </w:rPr>
        <w:t xml:space="preserve"> </w:t>
      </w:r>
      <w:r w:rsidRPr="00847AFA">
        <w:rPr>
          <w:rFonts w:hint="eastAsia"/>
          <w:rtl/>
        </w:rPr>
        <w:t>יכול</w:t>
      </w:r>
      <w:r w:rsidRPr="00847AFA">
        <w:rPr>
          <w:rtl/>
        </w:rPr>
        <w:t xml:space="preserve"> </w:t>
      </w:r>
      <w:r w:rsidRPr="00847AFA">
        <w:rPr>
          <w:rFonts w:hint="eastAsia"/>
          <w:rtl/>
        </w:rPr>
        <w:t>לדמות</w:t>
      </w:r>
      <w:r w:rsidRPr="00847AFA">
        <w:rPr>
          <w:rtl/>
        </w:rPr>
        <w:t xml:space="preserve"> </w:t>
      </w:r>
      <w:r w:rsidRPr="00847AFA">
        <w:rPr>
          <w:rFonts w:hint="eastAsia"/>
          <w:rtl/>
        </w:rPr>
        <w:t>בנפשו</w:t>
      </w:r>
      <w:r w:rsidRPr="00847AFA">
        <w:rPr>
          <w:rtl/>
        </w:rPr>
        <w:t xml:space="preserve"> </w:t>
      </w:r>
      <w:r w:rsidRPr="00847AFA">
        <w:rPr>
          <w:rFonts w:hint="eastAsia"/>
          <w:rtl/>
        </w:rPr>
        <w:t>לעיתים</w:t>
      </w:r>
      <w:r w:rsidRPr="00847AFA">
        <w:rPr>
          <w:rtl/>
        </w:rPr>
        <w:t xml:space="preserve"> </w:t>
      </w:r>
      <w:r w:rsidRPr="00847AFA">
        <w:rPr>
          <w:rFonts w:hint="eastAsia"/>
          <w:rtl/>
        </w:rPr>
        <w:t>כי</w:t>
      </w:r>
      <w:r w:rsidRPr="00847AFA">
        <w:rPr>
          <w:rtl/>
        </w:rPr>
        <w:t xml:space="preserve"> </w:t>
      </w:r>
      <w:r w:rsidRPr="00847AFA">
        <w:rPr>
          <w:rFonts w:hint="eastAsia"/>
          <w:rtl/>
        </w:rPr>
        <w:t>הממשלה</w:t>
      </w:r>
      <w:r w:rsidRPr="00847AFA">
        <w:rPr>
          <w:rtl/>
        </w:rPr>
        <w:t xml:space="preserve"> </w:t>
      </w:r>
      <w:r w:rsidRPr="00847AFA">
        <w:rPr>
          <w:rFonts w:hint="eastAsia"/>
          <w:rtl/>
        </w:rPr>
        <w:t>היא</w:t>
      </w:r>
      <w:r w:rsidRPr="00847AFA">
        <w:rPr>
          <w:rtl/>
        </w:rPr>
        <w:t xml:space="preserve"> </w:t>
      </w:r>
      <w:r w:rsidRPr="00847AFA">
        <w:rPr>
          <w:rFonts w:hint="eastAsia"/>
          <w:rtl/>
        </w:rPr>
        <w:t>הגוף</w:t>
      </w:r>
      <w:r w:rsidRPr="00847AFA">
        <w:rPr>
          <w:rtl/>
        </w:rPr>
        <w:t xml:space="preserve"> </w:t>
      </w:r>
      <w:r w:rsidRPr="00847AFA">
        <w:rPr>
          <w:rFonts w:hint="eastAsia"/>
          <w:rtl/>
        </w:rPr>
        <w:t>העליון</w:t>
      </w:r>
      <w:r w:rsidRPr="00847AFA">
        <w:rPr>
          <w:rtl/>
        </w:rPr>
        <w:t xml:space="preserve"> </w:t>
      </w:r>
      <w:r w:rsidRPr="00847AFA">
        <w:rPr>
          <w:rFonts w:hint="eastAsia"/>
          <w:rtl/>
        </w:rPr>
        <w:t>במדינה</w:t>
      </w:r>
      <w:r w:rsidRPr="00847AFA">
        <w:rPr>
          <w:rtl/>
        </w:rPr>
        <w:t xml:space="preserve"> </w:t>
      </w:r>
      <w:r>
        <w:rPr>
          <w:rtl/>
        </w:rPr>
        <w:t>–</w:t>
      </w:r>
      <w:r w:rsidRPr="00847AFA">
        <w:rPr>
          <w:rtl/>
        </w:rPr>
        <w:t xml:space="preserve"> </w:t>
      </w:r>
      <w:r w:rsidRPr="00847AFA">
        <w:rPr>
          <w:rFonts w:hint="eastAsia"/>
          <w:rtl/>
        </w:rPr>
        <w:t>היא</w:t>
      </w:r>
      <w:r w:rsidRPr="00847AFA">
        <w:rPr>
          <w:rtl/>
        </w:rPr>
        <w:t xml:space="preserve"> </w:t>
      </w:r>
      <w:r w:rsidRPr="00847AFA">
        <w:rPr>
          <w:rFonts w:hint="eastAsia"/>
          <w:rtl/>
        </w:rPr>
        <w:t>ולא</w:t>
      </w:r>
      <w:r w:rsidRPr="00847AFA">
        <w:rPr>
          <w:rtl/>
        </w:rPr>
        <w:t xml:space="preserve"> </w:t>
      </w:r>
      <w:r w:rsidRPr="00847AFA">
        <w:rPr>
          <w:rFonts w:hint="eastAsia"/>
          <w:rtl/>
        </w:rPr>
        <w:t>הכנסת</w:t>
      </w:r>
      <w:r w:rsidRPr="00847AFA">
        <w:rPr>
          <w:rtl/>
        </w:rPr>
        <w:t xml:space="preserve"> (</w:t>
      </w:r>
      <w:r w:rsidRPr="00847AFA">
        <w:rPr>
          <w:rFonts w:hint="eastAsia"/>
          <w:rtl/>
        </w:rPr>
        <w:t>ראו</w:t>
      </w:r>
      <w:r w:rsidRPr="00847AFA">
        <w:rPr>
          <w:rtl/>
        </w:rPr>
        <w:t xml:space="preserve">, </w:t>
      </w:r>
      <w:r w:rsidRPr="00847AFA">
        <w:rPr>
          <w:rFonts w:hint="eastAsia"/>
          <w:rtl/>
        </w:rPr>
        <w:t>למשל</w:t>
      </w:r>
      <w:r w:rsidRPr="00847AFA">
        <w:rPr>
          <w:rtl/>
        </w:rPr>
        <w:t xml:space="preserve">, </w:t>
      </w:r>
      <w:r w:rsidRPr="00847AFA">
        <w:rPr>
          <w:rFonts w:hint="eastAsia"/>
          <w:rtl/>
        </w:rPr>
        <w:t>הדיון</w:t>
      </w:r>
      <w:r w:rsidRPr="00847AFA">
        <w:rPr>
          <w:rtl/>
        </w:rPr>
        <w:t xml:space="preserve"> </w:t>
      </w:r>
      <w:r w:rsidRPr="00847AFA">
        <w:rPr>
          <w:rFonts w:hint="eastAsia"/>
          <w:rtl/>
        </w:rPr>
        <w:t>בחוקי</w:t>
      </w:r>
      <w:r w:rsidRPr="00847AFA">
        <w:rPr>
          <w:rtl/>
        </w:rPr>
        <w:t xml:space="preserve"> </w:t>
      </w:r>
      <w:r w:rsidRPr="00847AFA">
        <w:rPr>
          <w:rFonts w:hint="eastAsia"/>
          <w:rtl/>
        </w:rPr>
        <w:t>ההסדרים</w:t>
      </w:r>
      <w:r w:rsidRPr="00847AFA">
        <w:rPr>
          <w:rtl/>
        </w:rPr>
        <w:t xml:space="preserve"> </w:t>
      </w:r>
      <w:r w:rsidRPr="00847AFA">
        <w:rPr>
          <w:rFonts w:hint="eastAsia"/>
          <w:rtl/>
        </w:rPr>
        <w:t>בפרשת</w:t>
      </w:r>
      <w:r w:rsidRPr="00847AFA">
        <w:rPr>
          <w:rtl/>
        </w:rPr>
        <w:t xml:space="preserve"> </w:t>
      </w:r>
      <w:r w:rsidRPr="00AE30AB">
        <w:rPr>
          <w:rFonts w:ascii="Century" w:hAnsi="Century" w:cs="Miriam" w:hint="eastAsia"/>
          <w:b/>
          <w:spacing w:val="0"/>
          <w:szCs w:val="24"/>
          <w:rtl/>
        </w:rPr>
        <w:t>ארגון</w:t>
      </w:r>
      <w:r w:rsidRPr="00AE30AB">
        <w:rPr>
          <w:rFonts w:ascii="Century" w:hAnsi="Century" w:cs="Miriam"/>
          <w:b/>
          <w:spacing w:val="0"/>
          <w:szCs w:val="24"/>
          <w:rtl/>
        </w:rPr>
        <w:t xml:space="preserve"> </w:t>
      </w:r>
      <w:r w:rsidRPr="00AE30AB">
        <w:rPr>
          <w:rFonts w:ascii="Century" w:hAnsi="Century" w:cs="Miriam" w:hint="eastAsia"/>
          <w:b/>
          <w:spacing w:val="0"/>
          <w:szCs w:val="24"/>
          <w:rtl/>
        </w:rPr>
        <w:t>מגדלי</w:t>
      </w:r>
      <w:r w:rsidRPr="00AE30AB">
        <w:rPr>
          <w:rFonts w:ascii="Century" w:hAnsi="Century" w:cs="Miriam"/>
          <w:b/>
          <w:spacing w:val="0"/>
          <w:szCs w:val="24"/>
          <w:rtl/>
        </w:rPr>
        <w:t xml:space="preserve"> </w:t>
      </w:r>
      <w:r w:rsidRPr="00AE30AB">
        <w:rPr>
          <w:rFonts w:ascii="Century" w:hAnsi="Century" w:cs="Miriam" w:hint="eastAsia"/>
          <w:b/>
          <w:spacing w:val="0"/>
          <w:szCs w:val="24"/>
          <w:rtl/>
        </w:rPr>
        <w:t>העופות</w:t>
      </w:r>
      <w:r w:rsidRPr="00AE30AB">
        <w:rPr>
          <w:rFonts w:ascii="Century" w:hAnsi="Century" w:cs="Miriam"/>
          <w:b/>
          <w:spacing w:val="0"/>
          <w:szCs w:val="24"/>
          <w:rtl/>
        </w:rPr>
        <w:t xml:space="preserve"> </w:t>
      </w:r>
      <w:r w:rsidRPr="00AE30AB">
        <w:rPr>
          <w:rFonts w:ascii="Century" w:hAnsi="Century" w:cs="Miriam" w:hint="eastAsia"/>
          <w:b/>
          <w:spacing w:val="0"/>
          <w:szCs w:val="24"/>
          <w:rtl/>
        </w:rPr>
        <w:t>בישראל</w:t>
      </w:r>
      <w:r w:rsidRPr="00847AFA">
        <w:rPr>
          <w:rtl/>
        </w:rPr>
        <w:t xml:space="preserve">) </w:t>
      </w:r>
      <w:r>
        <w:rPr>
          <w:rtl/>
        </w:rPr>
        <w:t>–</w:t>
      </w:r>
      <w:r w:rsidRPr="00847AFA">
        <w:rPr>
          <w:rtl/>
        </w:rPr>
        <w:t xml:space="preserve"> </w:t>
      </w:r>
      <w:r w:rsidRPr="00847AFA">
        <w:rPr>
          <w:rFonts w:hint="eastAsia"/>
          <w:rtl/>
        </w:rPr>
        <w:t>אל</w:t>
      </w:r>
      <w:r w:rsidRPr="00847AFA">
        <w:rPr>
          <w:rtl/>
        </w:rPr>
        <w:t>-</w:t>
      </w:r>
      <w:r w:rsidRPr="00847AFA">
        <w:rPr>
          <w:rFonts w:hint="eastAsia"/>
          <w:rtl/>
        </w:rPr>
        <w:t>נא</w:t>
      </w:r>
      <w:r w:rsidRPr="00847AFA">
        <w:rPr>
          <w:rtl/>
        </w:rPr>
        <w:t xml:space="preserve"> </w:t>
      </w:r>
      <w:r w:rsidRPr="00847AFA">
        <w:rPr>
          <w:rFonts w:hint="eastAsia"/>
          <w:rtl/>
        </w:rPr>
        <w:t>נלך</w:t>
      </w:r>
      <w:r w:rsidRPr="00847AFA">
        <w:rPr>
          <w:rtl/>
        </w:rPr>
        <w:t xml:space="preserve"> </w:t>
      </w:r>
      <w:r w:rsidRPr="00847AFA">
        <w:rPr>
          <w:rFonts w:hint="eastAsia"/>
          <w:rtl/>
        </w:rPr>
        <w:t>שולל</w:t>
      </w:r>
      <w:r w:rsidRPr="00847AFA">
        <w:rPr>
          <w:rtl/>
        </w:rPr>
        <w:t xml:space="preserve"> </w:t>
      </w:r>
      <w:r w:rsidRPr="00847AFA">
        <w:rPr>
          <w:rFonts w:hint="eastAsia"/>
          <w:rtl/>
        </w:rPr>
        <w:t>ואל</w:t>
      </w:r>
      <w:r w:rsidRPr="00847AFA">
        <w:rPr>
          <w:rtl/>
        </w:rPr>
        <w:t>-</w:t>
      </w:r>
      <w:r w:rsidRPr="00847AFA">
        <w:rPr>
          <w:rFonts w:hint="eastAsia"/>
          <w:rtl/>
        </w:rPr>
        <w:t>נא</w:t>
      </w:r>
      <w:r w:rsidRPr="00847AFA">
        <w:rPr>
          <w:rtl/>
        </w:rPr>
        <w:t xml:space="preserve"> </w:t>
      </w:r>
      <w:r w:rsidRPr="00847AFA">
        <w:rPr>
          <w:rFonts w:hint="eastAsia"/>
          <w:rtl/>
        </w:rPr>
        <w:t>נתיר</w:t>
      </w:r>
      <w:r w:rsidRPr="00847AFA">
        <w:rPr>
          <w:rtl/>
        </w:rPr>
        <w:t xml:space="preserve"> </w:t>
      </w:r>
      <w:r w:rsidRPr="00847AFA">
        <w:rPr>
          <w:rFonts w:hint="eastAsia"/>
          <w:rtl/>
        </w:rPr>
        <w:t>לתמונה</w:t>
      </w:r>
      <w:r w:rsidRPr="00847AFA">
        <w:rPr>
          <w:rtl/>
        </w:rPr>
        <w:t xml:space="preserve"> </w:t>
      </w:r>
      <w:r w:rsidRPr="00847AFA">
        <w:rPr>
          <w:rFonts w:hint="eastAsia"/>
          <w:rtl/>
        </w:rPr>
        <w:t>שגויה</w:t>
      </w:r>
      <w:r w:rsidRPr="00847AFA">
        <w:rPr>
          <w:rtl/>
        </w:rPr>
        <w:t xml:space="preserve"> </w:t>
      </w:r>
      <w:r w:rsidRPr="00847AFA">
        <w:rPr>
          <w:rFonts w:hint="eastAsia"/>
          <w:rtl/>
        </w:rPr>
        <w:t>זו</w:t>
      </w:r>
      <w:r w:rsidRPr="00847AFA">
        <w:rPr>
          <w:rtl/>
        </w:rPr>
        <w:t xml:space="preserve"> </w:t>
      </w:r>
      <w:r w:rsidRPr="00847AFA">
        <w:rPr>
          <w:rFonts w:hint="eastAsia"/>
          <w:rtl/>
        </w:rPr>
        <w:t>להטעותנו</w:t>
      </w:r>
      <w:r w:rsidRPr="00847AFA">
        <w:rPr>
          <w:rtl/>
        </w:rPr>
        <w:t xml:space="preserve">. </w:t>
      </w:r>
      <w:r w:rsidRPr="00847AFA">
        <w:rPr>
          <w:rFonts w:hint="eastAsia"/>
          <w:rtl/>
        </w:rPr>
        <w:t>הכנסת</w:t>
      </w:r>
      <w:r w:rsidRPr="00847AFA">
        <w:rPr>
          <w:rtl/>
        </w:rPr>
        <w:t xml:space="preserve"> </w:t>
      </w:r>
      <w:r w:rsidRPr="00847AFA">
        <w:rPr>
          <w:rFonts w:hint="eastAsia"/>
          <w:rtl/>
        </w:rPr>
        <w:t>היא</w:t>
      </w:r>
      <w:r w:rsidRPr="00847AFA">
        <w:rPr>
          <w:rtl/>
        </w:rPr>
        <w:t xml:space="preserve"> </w:t>
      </w:r>
      <w:r w:rsidRPr="00847AFA">
        <w:rPr>
          <w:rFonts w:hint="eastAsia"/>
          <w:rtl/>
        </w:rPr>
        <w:t>בית</w:t>
      </w:r>
      <w:r w:rsidRPr="00847AFA">
        <w:rPr>
          <w:rtl/>
        </w:rPr>
        <w:t xml:space="preserve"> </w:t>
      </w:r>
      <w:r w:rsidRPr="00847AFA">
        <w:rPr>
          <w:rFonts w:hint="eastAsia"/>
          <w:rtl/>
        </w:rPr>
        <w:t>הנבחרים</w:t>
      </w:r>
      <w:r w:rsidRPr="00847AFA">
        <w:rPr>
          <w:rtl/>
        </w:rPr>
        <w:t xml:space="preserve"> </w:t>
      </w:r>
      <w:r w:rsidRPr="00847AFA">
        <w:rPr>
          <w:rFonts w:hint="eastAsia"/>
          <w:rtl/>
        </w:rPr>
        <w:t>של</w:t>
      </w:r>
      <w:r w:rsidRPr="00847AFA">
        <w:rPr>
          <w:rtl/>
        </w:rPr>
        <w:t xml:space="preserve"> </w:t>
      </w:r>
      <w:r w:rsidRPr="00847AFA">
        <w:rPr>
          <w:rFonts w:hint="eastAsia"/>
          <w:rtl/>
        </w:rPr>
        <w:t>המדינה</w:t>
      </w:r>
      <w:r w:rsidRPr="00847AFA">
        <w:rPr>
          <w:rtl/>
        </w:rPr>
        <w:t xml:space="preserve">; </w:t>
      </w:r>
      <w:r w:rsidRPr="00847AFA">
        <w:rPr>
          <w:rFonts w:hint="eastAsia"/>
          <w:rtl/>
        </w:rPr>
        <w:t>היא</w:t>
      </w:r>
      <w:r w:rsidRPr="00847AFA">
        <w:rPr>
          <w:rtl/>
        </w:rPr>
        <w:t xml:space="preserve"> </w:t>
      </w:r>
      <w:r w:rsidRPr="00847AFA">
        <w:rPr>
          <w:rFonts w:hint="eastAsia"/>
          <w:rtl/>
        </w:rPr>
        <w:t>הרשות</w:t>
      </w:r>
      <w:r w:rsidRPr="00847AFA">
        <w:rPr>
          <w:rtl/>
        </w:rPr>
        <w:t xml:space="preserve"> </w:t>
      </w:r>
      <w:r w:rsidRPr="00847AFA">
        <w:rPr>
          <w:rFonts w:hint="eastAsia"/>
          <w:rtl/>
        </w:rPr>
        <w:t>המחוקקת</w:t>
      </w:r>
      <w:r w:rsidRPr="00847AFA">
        <w:rPr>
          <w:rtl/>
        </w:rPr>
        <w:t xml:space="preserve"> </w:t>
      </w:r>
      <w:r w:rsidRPr="00847AFA">
        <w:rPr>
          <w:rFonts w:hint="eastAsia"/>
          <w:rtl/>
        </w:rPr>
        <w:t>העליונה</w:t>
      </w:r>
      <w:r w:rsidRPr="00847AFA">
        <w:rPr>
          <w:rtl/>
        </w:rPr>
        <w:t xml:space="preserve">, </w:t>
      </w:r>
      <w:r w:rsidRPr="00847AFA">
        <w:rPr>
          <w:rFonts w:hint="eastAsia"/>
          <w:rtl/>
        </w:rPr>
        <w:t>והממשלה</w:t>
      </w:r>
      <w:r w:rsidRPr="00847AFA">
        <w:rPr>
          <w:rtl/>
        </w:rPr>
        <w:t xml:space="preserve"> </w:t>
      </w:r>
      <w:r w:rsidRPr="00847AFA">
        <w:rPr>
          <w:rFonts w:hint="eastAsia"/>
          <w:rtl/>
        </w:rPr>
        <w:t>היא</w:t>
      </w:r>
      <w:r w:rsidRPr="00847AFA">
        <w:rPr>
          <w:rtl/>
        </w:rPr>
        <w:t xml:space="preserve"> </w:t>
      </w:r>
      <w:r w:rsidRPr="00847AFA">
        <w:rPr>
          <w:rFonts w:hint="eastAsia"/>
          <w:rtl/>
        </w:rPr>
        <w:t>הרשות</w:t>
      </w:r>
      <w:r w:rsidRPr="00847AFA">
        <w:rPr>
          <w:rtl/>
        </w:rPr>
        <w:t xml:space="preserve"> </w:t>
      </w:r>
      <w:r w:rsidRPr="00847AFA">
        <w:rPr>
          <w:rFonts w:hint="eastAsia"/>
          <w:rtl/>
        </w:rPr>
        <w:t>המבצעת</w:t>
      </w:r>
      <w:r w:rsidRPr="00847AFA">
        <w:rPr>
          <w:rtl/>
        </w:rPr>
        <w:t xml:space="preserve">; </w:t>
      </w:r>
      <w:r w:rsidRPr="00847AFA">
        <w:rPr>
          <w:rFonts w:hint="eastAsia"/>
          <w:rtl/>
        </w:rPr>
        <w:t>הכנסת</w:t>
      </w:r>
      <w:r w:rsidRPr="00847AFA">
        <w:rPr>
          <w:rtl/>
        </w:rPr>
        <w:t xml:space="preserve"> </w:t>
      </w:r>
      <w:r w:rsidRPr="00847AFA">
        <w:rPr>
          <w:rFonts w:hint="eastAsia"/>
          <w:rtl/>
        </w:rPr>
        <w:t>נבחרת</w:t>
      </w:r>
      <w:r w:rsidRPr="00847AFA">
        <w:rPr>
          <w:rtl/>
        </w:rPr>
        <w:t xml:space="preserve"> </w:t>
      </w:r>
      <w:r w:rsidRPr="00847AFA">
        <w:rPr>
          <w:rFonts w:hint="eastAsia"/>
          <w:rtl/>
        </w:rPr>
        <w:t>בבחירות</w:t>
      </w:r>
      <w:r w:rsidRPr="00847AFA">
        <w:rPr>
          <w:rtl/>
        </w:rPr>
        <w:t xml:space="preserve"> </w:t>
      </w:r>
      <w:r w:rsidRPr="00847AFA">
        <w:rPr>
          <w:rFonts w:hint="eastAsia"/>
          <w:rtl/>
        </w:rPr>
        <w:t>כלליות</w:t>
      </w:r>
      <w:r w:rsidRPr="00847AFA">
        <w:rPr>
          <w:rtl/>
        </w:rPr>
        <w:t xml:space="preserve"> </w:t>
      </w:r>
      <w:r w:rsidRPr="00847AFA">
        <w:rPr>
          <w:rFonts w:hint="eastAsia"/>
          <w:rtl/>
        </w:rPr>
        <w:t>וחופשיות</w:t>
      </w:r>
      <w:r w:rsidRPr="00847AFA">
        <w:rPr>
          <w:rtl/>
        </w:rPr>
        <w:t xml:space="preserve"> </w:t>
      </w:r>
      <w:r w:rsidRPr="00847AFA">
        <w:rPr>
          <w:rFonts w:hint="eastAsia"/>
          <w:rtl/>
        </w:rPr>
        <w:t>וזוכה</w:t>
      </w:r>
      <w:r w:rsidRPr="00847AFA">
        <w:rPr>
          <w:rtl/>
        </w:rPr>
        <w:t xml:space="preserve"> </w:t>
      </w:r>
      <w:r w:rsidRPr="00847AFA">
        <w:rPr>
          <w:rFonts w:hint="eastAsia"/>
          <w:rtl/>
        </w:rPr>
        <w:t>לאמונו</w:t>
      </w:r>
      <w:r w:rsidRPr="00847AFA">
        <w:rPr>
          <w:rtl/>
        </w:rPr>
        <w:t xml:space="preserve"> </w:t>
      </w:r>
      <w:r w:rsidRPr="00847AFA">
        <w:rPr>
          <w:rFonts w:hint="eastAsia"/>
          <w:rtl/>
        </w:rPr>
        <w:t>של</w:t>
      </w:r>
      <w:r w:rsidRPr="00847AFA">
        <w:rPr>
          <w:rtl/>
        </w:rPr>
        <w:t xml:space="preserve"> </w:t>
      </w:r>
      <w:r w:rsidRPr="00847AFA">
        <w:rPr>
          <w:rFonts w:hint="eastAsia"/>
          <w:rtl/>
        </w:rPr>
        <w:t>העם</w:t>
      </w:r>
      <w:r w:rsidRPr="00847AFA">
        <w:rPr>
          <w:rtl/>
        </w:rPr>
        <w:t xml:space="preserve"> (</w:t>
      </w:r>
      <w:r w:rsidRPr="00847AFA">
        <w:rPr>
          <w:rFonts w:hint="eastAsia"/>
          <w:rtl/>
        </w:rPr>
        <w:t>סעיפים</w:t>
      </w:r>
      <w:r w:rsidRPr="00847AFA">
        <w:rPr>
          <w:rtl/>
        </w:rPr>
        <w:t xml:space="preserve"> 4 </w:t>
      </w:r>
      <w:r w:rsidRPr="00847AFA">
        <w:rPr>
          <w:rFonts w:hint="eastAsia"/>
          <w:rtl/>
        </w:rPr>
        <w:t>ו</w:t>
      </w:r>
      <w:r w:rsidRPr="00847AFA">
        <w:rPr>
          <w:rtl/>
        </w:rPr>
        <w:t xml:space="preserve">-5 </w:t>
      </w:r>
      <w:r w:rsidRPr="00847AFA">
        <w:rPr>
          <w:rFonts w:hint="eastAsia"/>
          <w:rtl/>
        </w:rPr>
        <w:t>לחוק</w:t>
      </w:r>
      <w:r w:rsidRPr="00847AFA">
        <w:rPr>
          <w:rtl/>
        </w:rPr>
        <w:t>-</w:t>
      </w:r>
      <w:r w:rsidRPr="00847AFA">
        <w:rPr>
          <w:rFonts w:hint="eastAsia"/>
          <w:rtl/>
        </w:rPr>
        <w:t>יסוד</w:t>
      </w:r>
      <w:r w:rsidRPr="00847AFA">
        <w:rPr>
          <w:rtl/>
        </w:rPr>
        <w:t xml:space="preserve">: </w:t>
      </w:r>
      <w:r w:rsidRPr="00847AFA">
        <w:rPr>
          <w:rFonts w:hint="eastAsia"/>
          <w:rtl/>
        </w:rPr>
        <w:t>הכנסת</w:t>
      </w:r>
      <w:r w:rsidRPr="00847AFA">
        <w:rPr>
          <w:rtl/>
        </w:rPr>
        <w:t xml:space="preserve">), </w:t>
      </w:r>
      <w:r w:rsidRPr="00847AFA">
        <w:rPr>
          <w:rFonts w:hint="eastAsia"/>
          <w:rtl/>
        </w:rPr>
        <w:t>ואילו</w:t>
      </w:r>
      <w:r w:rsidRPr="00847AFA">
        <w:rPr>
          <w:rtl/>
        </w:rPr>
        <w:t xml:space="preserve"> </w:t>
      </w:r>
      <w:r w:rsidRPr="00847AFA">
        <w:rPr>
          <w:rFonts w:hint="eastAsia"/>
          <w:rtl/>
        </w:rPr>
        <w:t>הממשלה</w:t>
      </w:r>
      <w:r w:rsidRPr="00847AFA">
        <w:rPr>
          <w:rtl/>
        </w:rPr>
        <w:t xml:space="preserve"> </w:t>
      </w:r>
      <w:r w:rsidRPr="00847AFA">
        <w:rPr>
          <w:rFonts w:hint="eastAsia"/>
          <w:rtl/>
        </w:rPr>
        <w:t>מכהנת</w:t>
      </w:r>
      <w:r w:rsidRPr="00847AFA">
        <w:rPr>
          <w:rtl/>
        </w:rPr>
        <w:t xml:space="preserve"> </w:t>
      </w:r>
      <w:r w:rsidRPr="00847AFA">
        <w:rPr>
          <w:rFonts w:hint="eastAsia"/>
          <w:rtl/>
        </w:rPr>
        <w:t>רק</w:t>
      </w:r>
      <w:r w:rsidRPr="00847AFA">
        <w:rPr>
          <w:rtl/>
        </w:rPr>
        <w:t xml:space="preserve"> </w:t>
      </w:r>
      <w:r w:rsidRPr="00847AFA">
        <w:rPr>
          <w:rFonts w:hint="eastAsia"/>
          <w:rtl/>
        </w:rPr>
        <w:t>מכוח</w:t>
      </w:r>
      <w:r w:rsidRPr="00847AFA">
        <w:rPr>
          <w:rtl/>
        </w:rPr>
        <w:t xml:space="preserve"> </w:t>
      </w:r>
      <w:r w:rsidRPr="00847AFA">
        <w:rPr>
          <w:rFonts w:hint="eastAsia"/>
          <w:rtl/>
        </w:rPr>
        <w:t>אמון</w:t>
      </w:r>
      <w:r w:rsidRPr="00847AFA">
        <w:rPr>
          <w:rtl/>
        </w:rPr>
        <w:t xml:space="preserve"> </w:t>
      </w:r>
      <w:r w:rsidRPr="00847AFA">
        <w:rPr>
          <w:rFonts w:hint="eastAsia"/>
          <w:rtl/>
        </w:rPr>
        <w:t>הכנסת</w:t>
      </w:r>
      <w:r w:rsidRPr="00847AFA">
        <w:rPr>
          <w:rtl/>
        </w:rPr>
        <w:t xml:space="preserve"> (</w:t>
      </w:r>
      <w:r w:rsidRPr="00847AFA">
        <w:rPr>
          <w:rFonts w:hint="eastAsia"/>
          <w:rtl/>
        </w:rPr>
        <w:t>סעיף</w:t>
      </w:r>
      <w:r w:rsidRPr="00847AFA">
        <w:rPr>
          <w:rtl/>
        </w:rPr>
        <w:t xml:space="preserve"> 3 </w:t>
      </w:r>
      <w:r w:rsidRPr="00847AFA">
        <w:rPr>
          <w:rFonts w:hint="eastAsia"/>
          <w:rtl/>
        </w:rPr>
        <w:t>לחוק</w:t>
      </w:r>
      <w:r w:rsidRPr="00847AFA">
        <w:rPr>
          <w:rtl/>
        </w:rPr>
        <w:t>-</w:t>
      </w:r>
      <w:r w:rsidRPr="00847AFA">
        <w:rPr>
          <w:rFonts w:hint="eastAsia"/>
          <w:rtl/>
        </w:rPr>
        <w:t>יסוד</w:t>
      </w:r>
      <w:r w:rsidRPr="00847AFA">
        <w:rPr>
          <w:rtl/>
        </w:rPr>
        <w:t xml:space="preserve">: </w:t>
      </w:r>
      <w:r w:rsidRPr="00847AFA">
        <w:rPr>
          <w:rFonts w:hint="eastAsia"/>
          <w:rtl/>
        </w:rPr>
        <w:t>הממשלה</w:t>
      </w:r>
      <w:r w:rsidRPr="00847AFA">
        <w:rPr>
          <w:rtl/>
        </w:rPr>
        <w:t xml:space="preserve">). </w:t>
      </w:r>
      <w:r w:rsidRPr="00847AFA">
        <w:rPr>
          <w:rFonts w:hint="eastAsia"/>
          <w:rtl/>
        </w:rPr>
        <w:t>מתוך</w:t>
      </w:r>
      <w:r w:rsidRPr="00847AFA">
        <w:rPr>
          <w:rtl/>
        </w:rPr>
        <w:t xml:space="preserve"> </w:t>
      </w:r>
      <w:r w:rsidRPr="00847AFA">
        <w:rPr>
          <w:rFonts w:hint="eastAsia"/>
          <w:rtl/>
        </w:rPr>
        <w:t>שהכנסת</w:t>
      </w:r>
      <w:r w:rsidRPr="00847AFA">
        <w:rPr>
          <w:rtl/>
        </w:rPr>
        <w:t xml:space="preserve"> </w:t>
      </w:r>
      <w:r w:rsidRPr="00847AFA">
        <w:rPr>
          <w:rFonts w:hint="eastAsia"/>
          <w:rtl/>
        </w:rPr>
        <w:t>נבחרת</w:t>
      </w:r>
      <w:r w:rsidRPr="00847AFA">
        <w:rPr>
          <w:rtl/>
        </w:rPr>
        <w:t xml:space="preserve"> </w:t>
      </w:r>
      <w:r w:rsidRPr="00847AFA">
        <w:rPr>
          <w:rFonts w:hint="eastAsia"/>
          <w:rtl/>
        </w:rPr>
        <w:t>בידי</w:t>
      </w:r>
      <w:r w:rsidRPr="00847AFA">
        <w:rPr>
          <w:rtl/>
        </w:rPr>
        <w:t xml:space="preserve"> </w:t>
      </w:r>
      <w:r w:rsidRPr="00847AFA">
        <w:rPr>
          <w:rFonts w:hint="eastAsia"/>
          <w:rtl/>
        </w:rPr>
        <w:t>אזרחי</w:t>
      </w:r>
      <w:r w:rsidRPr="00847AFA">
        <w:rPr>
          <w:rtl/>
        </w:rPr>
        <w:t xml:space="preserve"> </w:t>
      </w:r>
      <w:r w:rsidRPr="00847AFA">
        <w:rPr>
          <w:rFonts w:hint="eastAsia"/>
          <w:rtl/>
        </w:rPr>
        <w:t>המדינה</w:t>
      </w:r>
      <w:r w:rsidRPr="00847AFA">
        <w:rPr>
          <w:rtl/>
        </w:rPr>
        <w:t xml:space="preserve"> </w:t>
      </w:r>
      <w:r w:rsidRPr="00847AFA">
        <w:rPr>
          <w:rFonts w:hint="eastAsia"/>
          <w:rtl/>
        </w:rPr>
        <w:t>כולם</w:t>
      </w:r>
      <w:r w:rsidRPr="00847AFA">
        <w:rPr>
          <w:rtl/>
        </w:rPr>
        <w:t xml:space="preserve">, </w:t>
      </w:r>
      <w:r w:rsidRPr="00847AFA">
        <w:rPr>
          <w:rFonts w:hint="eastAsia"/>
          <w:rtl/>
        </w:rPr>
        <w:t>מייצגת</w:t>
      </w:r>
      <w:r w:rsidRPr="00847AFA">
        <w:rPr>
          <w:rtl/>
        </w:rPr>
        <w:t xml:space="preserve"> </w:t>
      </w:r>
      <w:r w:rsidRPr="00847AFA">
        <w:rPr>
          <w:rFonts w:hint="eastAsia"/>
          <w:rtl/>
        </w:rPr>
        <w:t>היא</w:t>
      </w:r>
      <w:r w:rsidRPr="00847AFA">
        <w:rPr>
          <w:rtl/>
        </w:rPr>
        <w:t xml:space="preserve"> </w:t>
      </w:r>
      <w:r w:rsidRPr="00847AFA">
        <w:rPr>
          <w:rFonts w:hint="eastAsia"/>
          <w:rtl/>
        </w:rPr>
        <w:t>את</w:t>
      </w:r>
      <w:r w:rsidRPr="00847AFA">
        <w:rPr>
          <w:rtl/>
        </w:rPr>
        <w:t xml:space="preserve"> </w:t>
      </w:r>
      <w:r w:rsidRPr="00847AFA">
        <w:rPr>
          <w:rFonts w:hint="eastAsia"/>
          <w:rtl/>
        </w:rPr>
        <w:t>האזרחים</w:t>
      </w:r>
      <w:r w:rsidRPr="00847AFA">
        <w:rPr>
          <w:rtl/>
        </w:rPr>
        <w:t xml:space="preserve"> </w:t>
      </w:r>
      <w:r w:rsidRPr="00847AFA">
        <w:rPr>
          <w:rFonts w:hint="eastAsia"/>
          <w:rtl/>
        </w:rPr>
        <w:t>ומשמשת</w:t>
      </w:r>
      <w:r w:rsidRPr="00847AFA">
        <w:rPr>
          <w:rtl/>
        </w:rPr>
        <w:t xml:space="preserve"> </w:t>
      </w:r>
      <w:r w:rsidRPr="00847AFA">
        <w:rPr>
          <w:rFonts w:hint="eastAsia"/>
          <w:rtl/>
        </w:rPr>
        <w:t>היא</w:t>
      </w:r>
      <w:r w:rsidRPr="00847AFA">
        <w:rPr>
          <w:rtl/>
        </w:rPr>
        <w:t xml:space="preserve"> </w:t>
      </w:r>
      <w:r w:rsidRPr="00847AFA">
        <w:rPr>
          <w:rFonts w:hint="eastAsia"/>
          <w:rtl/>
        </w:rPr>
        <w:t>להם</w:t>
      </w:r>
      <w:r w:rsidRPr="00847AFA">
        <w:rPr>
          <w:rtl/>
        </w:rPr>
        <w:t xml:space="preserve"> </w:t>
      </w:r>
      <w:r w:rsidRPr="00847AFA">
        <w:rPr>
          <w:rFonts w:hint="eastAsia"/>
          <w:rtl/>
        </w:rPr>
        <w:t>לפה</w:t>
      </w:r>
      <w:r w:rsidRPr="00847AFA">
        <w:rPr>
          <w:rtl/>
        </w:rPr>
        <w:t xml:space="preserve">. </w:t>
      </w:r>
      <w:r w:rsidRPr="00847AFA">
        <w:rPr>
          <w:rFonts w:hint="eastAsia"/>
          <w:rtl/>
        </w:rPr>
        <w:t>משידענו</w:t>
      </w:r>
      <w:r w:rsidRPr="00847AFA">
        <w:rPr>
          <w:rtl/>
        </w:rPr>
        <w:t xml:space="preserve"> </w:t>
      </w:r>
      <w:r w:rsidRPr="00847AFA">
        <w:rPr>
          <w:rFonts w:hint="eastAsia"/>
          <w:rtl/>
        </w:rPr>
        <w:t>כך</w:t>
      </w:r>
      <w:r w:rsidRPr="00847AFA">
        <w:rPr>
          <w:rtl/>
        </w:rPr>
        <w:t xml:space="preserve">, </w:t>
      </w:r>
      <w:r w:rsidRPr="00847AFA">
        <w:rPr>
          <w:rFonts w:hint="eastAsia"/>
          <w:rtl/>
        </w:rPr>
        <w:t>נוסיף</w:t>
      </w:r>
      <w:r w:rsidRPr="00847AFA">
        <w:rPr>
          <w:rtl/>
        </w:rPr>
        <w:t xml:space="preserve"> </w:t>
      </w:r>
      <w:r w:rsidRPr="00847AFA">
        <w:rPr>
          <w:rFonts w:hint="eastAsia"/>
          <w:rtl/>
        </w:rPr>
        <w:t>ונדע</w:t>
      </w:r>
      <w:r w:rsidRPr="00847AFA">
        <w:rPr>
          <w:rtl/>
        </w:rPr>
        <w:t xml:space="preserve"> </w:t>
      </w:r>
      <w:r w:rsidRPr="00847AFA">
        <w:rPr>
          <w:rFonts w:hint="eastAsia"/>
          <w:rtl/>
        </w:rPr>
        <w:t>ממילא</w:t>
      </w:r>
      <w:r w:rsidRPr="00847AFA">
        <w:rPr>
          <w:rtl/>
        </w:rPr>
        <w:t xml:space="preserve"> </w:t>
      </w:r>
      <w:r w:rsidRPr="00847AFA">
        <w:rPr>
          <w:rFonts w:hint="eastAsia"/>
          <w:rtl/>
        </w:rPr>
        <w:t>כי</w:t>
      </w:r>
      <w:r w:rsidRPr="00847AFA">
        <w:rPr>
          <w:rtl/>
        </w:rPr>
        <w:t xml:space="preserve"> </w:t>
      </w:r>
      <w:r w:rsidRPr="00847AFA">
        <w:rPr>
          <w:rFonts w:hint="eastAsia"/>
          <w:rtl/>
        </w:rPr>
        <w:t>בידי</w:t>
      </w:r>
      <w:r w:rsidRPr="00847AFA">
        <w:rPr>
          <w:rtl/>
        </w:rPr>
        <w:t xml:space="preserve"> </w:t>
      </w:r>
      <w:r w:rsidRPr="00847AFA">
        <w:rPr>
          <w:rFonts w:hint="eastAsia"/>
          <w:rtl/>
        </w:rPr>
        <w:t>הכנסת</w:t>
      </w:r>
      <w:r w:rsidRPr="00847AFA">
        <w:rPr>
          <w:rtl/>
        </w:rPr>
        <w:t xml:space="preserve"> </w:t>
      </w:r>
      <w:r>
        <w:rPr>
          <w:rtl/>
        </w:rPr>
        <w:t>–</w:t>
      </w:r>
      <w:r w:rsidRPr="00847AFA">
        <w:rPr>
          <w:rtl/>
        </w:rPr>
        <w:t xml:space="preserve"> </w:t>
      </w:r>
      <w:r w:rsidRPr="00847AFA">
        <w:rPr>
          <w:rFonts w:hint="eastAsia"/>
          <w:rtl/>
        </w:rPr>
        <w:t>ובידי</w:t>
      </w:r>
      <w:r w:rsidRPr="00847AFA">
        <w:rPr>
          <w:rtl/>
        </w:rPr>
        <w:t xml:space="preserve"> </w:t>
      </w:r>
      <w:r w:rsidRPr="00847AFA">
        <w:rPr>
          <w:rFonts w:hint="eastAsia"/>
          <w:rtl/>
        </w:rPr>
        <w:t>הכנסת</w:t>
      </w:r>
      <w:r w:rsidRPr="00847AFA">
        <w:rPr>
          <w:rtl/>
        </w:rPr>
        <w:t xml:space="preserve"> </w:t>
      </w:r>
      <w:r w:rsidRPr="00847AFA">
        <w:rPr>
          <w:rFonts w:hint="eastAsia"/>
          <w:rtl/>
        </w:rPr>
        <w:t>בלבד</w:t>
      </w:r>
      <w:r w:rsidRPr="00847AFA">
        <w:rPr>
          <w:rtl/>
        </w:rPr>
        <w:t xml:space="preserve"> </w:t>
      </w:r>
      <w:r>
        <w:rPr>
          <w:rtl/>
        </w:rPr>
        <w:t>–</w:t>
      </w:r>
      <w:r w:rsidRPr="00847AFA">
        <w:rPr>
          <w:rtl/>
        </w:rPr>
        <w:t xml:space="preserve"> </w:t>
      </w:r>
      <w:r w:rsidRPr="00847AFA">
        <w:rPr>
          <w:rFonts w:hint="eastAsia"/>
          <w:rtl/>
        </w:rPr>
        <w:t>ניתנה</w:t>
      </w:r>
      <w:r w:rsidRPr="00847AFA">
        <w:rPr>
          <w:rtl/>
        </w:rPr>
        <w:t xml:space="preserve"> </w:t>
      </w:r>
      <w:r w:rsidRPr="00847AFA">
        <w:rPr>
          <w:rFonts w:hint="eastAsia"/>
          <w:rtl/>
        </w:rPr>
        <w:t>הסמכות</w:t>
      </w:r>
      <w:r w:rsidRPr="00847AFA">
        <w:rPr>
          <w:rtl/>
        </w:rPr>
        <w:t xml:space="preserve"> </w:t>
      </w:r>
      <w:r w:rsidRPr="00847AFA">
        <w:rPr>
          <w:rFonts w:hint="eastAsia"/>
          <w:rtl/>
        </w:rPr>
        <w:t>להכריע</w:t>
      </w:r>
      <w:r w:rsidRPr="00847AFA">
        <w:rPr>
          <w:rtl/>
        </w:rPr>
        <w:t xml:space="preserve"> </w:t>
      </w:r>
      <w:r w:rsidRPr="00847AFA">
        <w:rPr>
          <w:rFonts w:hint="eastAsia"/>
          <w:rtl/>
        </w:rPr>
        <w:t>בסוגיות</w:t>
      </w:r>
      <w:r w:rsidRPr="00847AFA">
        <w:rPr>
          <w:rtl/>
        </w:rPr>
        <w:t>-</w:t>
      </w:r>
      <w:r w:rsidRPr="00847AFA">
        <w:rPr>
          <w:rFonts w:hint="eastAsia"/>
          <w:rtl/>
        </w:rPr>
        <w:t>יסוד</w:t>
      </w:r>
      <w:r w:rsidRPr="00847AFA">
        <w:rPr>
          <w:rtl/>
        </w:rPr>
        <w:t xml:space="preserve"> </w:t>
      </w:r>
      <w:r w:rsidRPr="00847AFA">
        <w:rPr>
          <w:rFonts w:hint="eastAsia"/>
          <w:rtl/>
        </w:rPr>
        <w:t>של</w:t>
      </w:r>
      <w:r w:rsidRPr="00847AFA">
        <w:rPr>
          <w:rtl/>
        </w:rPr>
        <w:t xml:space="preserve"> </w:t>
      </w:r>
      <w:r w:rsidRPr="00847AFA">
        <w:rPr>
          <w:rFonts w:hint="eastAsia"/>
          <w:rtl/>
        </w:rPr>
        <w:t>המדינה</w:t>
      </w:r>
      <w:r w:rsidRPr="00847AFA">
        <w:rPr>
          <w:rtl/>
        </w:rPr>
        <w:t xml:space="preserve">, </w:t>
      </w:r>
      <w:r w:rsidRPr="00847AFA">
        <w:rPr>
          <w:rFonts w:hint="eastAsia"/>
          <w:rtl/>
        </w:rPr>
        <w:t>קרא</w:t>
      </w:r>
      <w:r w:rsidRPr="00847AFA">
        <w:rPr>
          <w:rtl/>
        </w:rPr>
        <w:t xml:space="preserve">, </w:t>
      </w:r>
      <w:r w:rsidRPr="00847AFA">
        <w:rPr>
          <w:rFonts w:hint="eastAsia"/>
          <w:rtl/>
        </w:rPr>
        <w:t>לקבוע</w:t>
      </w:r>
      <w:r w:rsidRPr="00847AFA">
        <w:rPr>
          <w:rtl/>
        </w:rPr>
        <w:t xml:space="preserve"> </w:t>
      </w:r>
      <w:r w:rsidRPr="00847AFA">
        <w:rPr>
          <w:rFonts w:hint="eastAsia"/>
          <w:rtl/>
        </w:rPr>
        <w:t>הסדרים</w:t>
      </w:r>
      <w:r w:rsidRPr="00847AFA">
        <w:rPr>
          <w:rtl/>
        </w:rPr>
        <w:t xml:space="preserve"> </w:t>
      </w:r>
      <w:r w:rsidRPr="00847AFA">
        <w:rPr>
          <w:rFonts w:hint="eastAsia"/>
          <w:rtl/>
        </w:rPr>
        <w:t>ראשוניים</w:t>
      </w:r>
      <w:r w:rsidRPr="00847AFA">
        <w:rPr>
          <w:rtl/>
        </w:rPr>
        <w:t xml:space="preserve"> </w:t>
      </w:r>
      <w:r w:rsidRPr="00847AFA">
        <w:rPr>
          <w:rFonts w:hint="eastAsia"/>
          <w:rtl/>
        </w:rPr>
        <w:t>להנהגת</w:t>
      </w:r>
      <w:r w:rsidRPr="00847AFA">
        <w:rPr>
          <w:rtl/>
        </w:rPr>
        <w:t xml:space="preserve"> </w:t>
      </w:r>
      <w:r w:rsidRPr="00847AFA">
        <w:rPr>
          <w:rFonts w:hint="eastAsia"/>
          <w:rtl/>
        </w:rPr>
        <w:t>המדינה</w:t>
      </w:r>
      <w:r w:rsidRPr="00847AFA">
        <w:rPr>
          <w:rtl/>
        </w:rPr>
        <w:t xml:space="preserve"> </w:t>
      </w:r>
      <w:r w:rsidRPr="00847AFA">
        <w:rPr>
          <w:rFonts w:hint="eastAsia"/>
          <w:rtl/>
        </w:rPr>
        <w:t>ויושביה</w:t>
      </w:r>
      <w:r>
        <w:rPr>
          <w:rFonts w:hint="cs"/>
          <w:rtl/>
        </w:rPr>
        <w:t>" (שם, עמ' 63).</w:t>
      </w:r>
    </w:p>
    <w:p w:rsidR="00737972" w:rsidRPr="00847AFA" w:rsidRDefault="00737972" w:rsidP="00737972">
      <w:pPr>
        <w:pStyle w:val="Ruller41"/>
        <w:rPr>
          <w:rFonts w:ascii="Century" w:hAnsi="Century"/>
          <w:rtl/>
        </w:rPr>
      </w:pPr>
    </w:p>
    <w:p w:rsidR="00737972" w:rsidRDefault="00737972" w:rsidP="00737972">
      <w:pPr>
        <w:pStyle w:val="Ruller41"/>
        <w:rPr>
          <w:rFonts w:ascii="Century" w:hAnsi="Century"/>
          <w:rtl/>
        </w:rPr>
      </w:pPr>
      <w:r>
        <w:rPr>
          <w:rFonts w:ascii="Century" w:hAnsi="Century"/>
          <w:rtl/>
        </w:rPr>
        <w:tab/>
      </w:r>
      <w:r>
        <w:rPr>
          <w:rFonts w:ascii="Century" w:hAnsi="Century" w:hint="cs"/>
          <w:rtl/>
        </w:rPr>
        <w:t>קביעת "כללי המשחק" על ידי הכנסת בחוק יסוד אינה מהווה אפוא כשלעצמה פגיעה בשלטון החוק.</w:t>
      </w:r>
    </w:p>
    <w:p w:rsidR="00737972" w:rsidRDefault="00737972" w:rsidP="00737972">
      <w:pPr>
        <w:pStyle w:val="Ruller41"/>
        <w:rPr>
          <w:rFonts w:ascii="Century" w:hAnsi="Century"/>
          <w:rtl/>
        </w:rPr>
      </w:pPr>
    </w:p>
    <w:p w:rsidR="00737972" w:rsidRDefault="00737972" w:rsidP="00737972">
      <w:pPr>
        <w:pStyle w:val="Ruller4"/>
        <w:rPr>
          <w:rtl/>
        </w:rPr>
      </w:pPr>
      <w:r>
        <w:rPr>
          <w:rFonts w:hint="cs"/>
          <w:rtl/>
        </w:rPr>
        <w:t xml:space="preserve">בעבר ציינתי כי נטילת סמכות לבקר חוקי יסוד מעלה את החשש כי </w:t>
      </w:r>
      <w:r w:rsidRPr="00517FEE">
        <w:rPr>
          <w:rFonts w:hint="eastAsia"/>
          <w:rtl/>
        </w:rPr>
        <w:t>התאוריה</w:t>
      </w:r>
      <w:r w:rsidRPr="00517FEE">
        <w:rPr>
          <w:rtl/>
        </w:rPr>
        <w:t xml:space="preserve"> </w:t>
      </w:r>
      <w:r w:rsidRPr="00517FEE">
        <w:rPr>
          <w:rFonts w:hint="eastAsia"/>
          <w:rtl/>
        </w:rPr>
        <w:t>בדבר</w:t>
      </w:r>
      <w:r w:rsidRPr="00517FEE">
        <w:rPr>
          <w:rtl/>
        </w:rPr>
        <w:t xml:space="preserve"> </w:t>
      </w:r>
      <w:r w:rsidRPr="00517FEE">
        <w:rPr>
          <w:rFonts w:hint="eastAsia"/>
          <w:rtl/>
        </w:rPr>
        <w:t>עליונות</w:t>
      </w:r>
      <w:r w:rsidRPr="00517FEE">
        <w:rPr>
          <w:rtl/>
        </w:rPr>
        <w:t xml:space="preserve"> </w:t>
      </w:r>
      <w:r w:rsidRPr="00517FEE">
        <w:rPr>
          <w:rFonts w:hint="eastAsia"/>
          <w:rtl/>
        </w:rPr>
        <w:t>חוקי</w:t>
      </w:r>
      <w:r w:rsidRPr="00517FEE">
        <w:rPr>
          <w:rtl/>
        </w:rPr>
        <w:t xml:space="preserve"> </w:t>
      </w:r>
      <w:r w:rsidRPr="00517FEE">
        <w:rPr>
          <w:rFonts w:hint="eastAsia"/>
          <w:rtl/>
        </w:rPr>
        <w:t>היסוד</w:t>
      </w:r>
      <w:r w:rsidRPr="00517FEE">
        <w:rPr>
          <w:rtl/>
        </w:rPr>
        <w:t xml:space="preserve"> </w:t>
      </w:r>
      <w:r>
        <w:rPr>
          <w:rFonts w:hint="cs"/>
          <w:rtl/>
        </w:rPr>
        <w:t>איננה כּנה</w:t>
      </w:r>
      <w:r w:rsidRPr="00517FEE">
        <w:rPr>
          <w:rtl/>
        </w:rPr>
        <w:t xml:space="preserve">, </w:t>
      </w:r>
      <w:r w:rsidRPr="00517FEE">
        <w:rPr>
          <w:rFonts w:hint="eastAsia"/>
          <w:rtl/>
        </w:rPr>
        <w:t>כי</w:t>
      </w:r>
      <w:r w:rsidRPr="00517FEE">
        <w:rPr>
          <w:rtl/>
        </w:rPr>
        <w:t xml:space="preserve"> </w:t>
      </w:r>
      <w:r w:rsidRPr="00517FEE">
        <w:rPr>
          <w:rFonts w:hint="eastAsia"/>
          <w:rtl/>
        </w:rPr>
        <w:t>אם</w:t>
      </w:r>
      <w:r w:rsidRPr="00517FEE">
        <w:rPr>
          <w:rtl/>
        </w:rPr>
        <w:t xml:space="preserve"> </w:t>
      </w:r>
      <w:r w:rsidRPr="00517FEE">
        <w:rPr>
          <w:rFonts w:hint="eastAsia"/>
          <w:rtl/>
        </w:rPr>
        <w:t>נועדה</w:t>
      </w:r>
      <w:r w:rsidRPr="00517FEE">
        <w:rPr>
          <w:rtl/>
        </w:rPr>
        <w:t xml:space="preserve"> </w:t>
      </w:r>
      <w:r w:rsidRPr="00517FEE">
        <w:rPr>
          <w:rFonts w:hint="eastAsia"/>
          <w:rtl/>
        </w:rPr>
        <w:t>אך</w:t>
      </w:r>
      <w:r w:rsidRPr="00517FEE">
        <w:rPr>
          <w:rtl/>
        </w:rPr>
        <w:t xml:space="preserve"> </w:t>
      </w:r>
      <w:r w:rsidRPr="00517FEE">
        <w:rPr>
          <w:rFonts w:hint="eastAsia"/>
          <w:rtl/>
        </w:rPr>
        <w:t>ורק</w:t>
      </w:r>
      <w:r w:rsidRPr="00517FEE">
        <w:rPr>
          <w:rtl/>
        </w:rPr>
        <w:t xml:space="preserve"> </w:t>
      </w:r>
      <w:r w:rsidRPr="00517FEE">
        <w:rPr>
          <w:rFonts w:hint="eastAsia"/>
          <w:rtl/>
        </w:rPr>
        <w:t>לאפשר</w:t>
      </w:r>
      <w:r w:rsidRPr="00517FEE">
        <w:rPr>
          <w:rtl/>
        </w:rPr>
        <w:t xml:space="preserve"> </w:t>
      </w:r>
      <w:r w:rsidRPr="00517FEE">
        <w:rPr>
          <w:rFonts w:hint="eastAsia"/>
          <w:rtl/>
        </w:rPr>
        <w:t>ביקורת</w:t>
      </w:r>
      <w:r w:rsidRPr="00517FEE">
        <w:rPr>
          <w:rtl/>
        </w:rPr>
        <w:t xml:space="preserve"> </w:t>
      </w:r>
      <w:r w:rsidRPr="00517FEE">
        <w:rPr>
          <w:rFonts w:hint="eastAsia"/>
          <w:rtl/>
        </w:rPr>
        <w:t>שיפוטית</w:t>
      </w:r>
      <w:r w:rsidRPr="00517FEE">
        <w:rPr>
          <w:rtl/>
        </w:rPr>
        <w:t xml:space="preserve"> </w:t>
      </w:r>
      <w:r w:rsidRPr="00517FEE">
        <w:rPr>
          <w:rFonts w:hint="eastAsia"/>
          <w:rtl/>
        </w:rPr>
        <w:t>על</w:t>
      </w:r>
      <w:r w:rsidRPr="00517FEE">
        <w:rPr>
          <w:rtl/>
        </w:rPr>
        <w:t xml:space="preserve"> </w:t>
      </w:r>
      <w:r w:rsidRPr="00517FEE">
        <w:rPr>
          <w:rFonts w:hint="eastAsia"/>
          <w:rtl/>
        </w:rPr>
        <w:t>חוקים</w:t>
      </w:r>
      <w:r w:rsidRPr="00517FEE">
        <w:rPr>
          <w:rtl/>
        </w:rPr>
        <w:t xml:space="preserve"> (</w:t>
      </w:r>
      <w:r w:rsidRPr="005C7A15">
        <w:rPr>
          <w:rFonts w:hint="eastAsia"/>
          <w:rtl/>
        </w:rPr>
        <w:t>בג</w:t>
      </w:r>
      <w:r>
        <w:rPr>
          <w:rFonts w:hint="cs"/>
          <w:rtl/>
        </w:rPr>
        <w:t>"</w:t>
      </w:r>
      <w:r w:rsidRPr="005C7A15">
        <w:rPr>
          <w:rFonts w:hint="eastAsia"/>
          <w:rtl/>
        </w:rPr>
        <w:t>ץ</w:t>
      </w:r>
      <w:r w:rsidRPr="005C7A15">
        <w:rPr>
          <w:rtl/>
        </w:rPr>
        <w:t xml:space="preserve"> 8948/22 </w:t>
      </w:r>
      <w:r w:rsidRPr="005C7A15">
        <w:rPr>
          <w:rFonts w:ascii="Century" w:hAnsi="Century" w:cs="Miriam" w:hint="eastAsia"/>
          <w:b/>
          <w:spacing w:val="0"/>
          <w:sz w:val="22"/>
          <w:szCs w:val="24"/>
          <w:rtl/>
        </w:rPr>
        <w:t>שיינפלד</w:t>
      </w:r>
      <w:r w:rsidRPr="005C7A15">
        <w:rPr>
          <w:rFonts w:ascii="Century" w:hAnsi="Century" w:cs="Miriam"/>
          <w:b/>
          <w:spacing w:val="0"/>
          <w:sz w:val="22"/>
          <w:szCs w:val="24"/>
          <w:rtl/>
        </w:rPr>
        <w:t xml:space="preserve"> </w:t>
      </w:r>
      <w:r w:rsidRPr="005C7A15">
        <w:rPr>
          <w:rFonts w:ascii="Century" w:hAnsi="Century" w:cs="Miriam" w:hint="eastAsia"/>
          <w:b/>
          <w:spacing w:val="0"/>
          <w:sz w:val="22"/>
          <w:szCs w:val="24"/>
          <w:rtl/>
        </w:rPr>
        <w:t>נ</w:t>
      </w:r>
      <w:r w:rsidRPr="005C7A15">
        <w:rPr>
          <w:rFonts w:ascii="Century" w:hAnsi="Century" w:cs="Miriam"/>
          <w:b/>
          <w:spacing w:val="0"/>
          <w:sz w:val="22"/>
          <w:szCs w:val="24"/>
          <w:rtl/>
        </w:rPr>
        <w:t xml:space="preserve">' </w:t>
      </w:r>
      <w:r w:rsidRPr="005C7A15">
        <w:rPr>
          <w:rFonts w:ascii="Century" w:hAnsi="Century" w:cs="Miriam" w:hint="eastAsia"/>
          <w:b/>
          <w:spacing w:val="0"/>
          <w:sz w:val="22"/>
          <w:szCs w:val="24"/>
          <w:rtl/>
        </w:rPr>
        <w:t>הכנסת</w:t>
      </w:r>
      <w:r>
        <w:rPr>
          <w:rFonts w:hint="cs"/>
          <w:rtl/>
        </w:rPr>
        <w:t xml:space="preserve">, פסקה 9 לחוות דעתי (18.1.2023); </w:t>
      </w:r>
      <w:r w:rsidRPr="00517FEE">
        <w:rPr>
          <w:rFonts w:hint="eastAsia"/>
          <w:rtl/>
        </w:rPr>
        <w:t>וראו</w:t>
      </w:r>
      <w:r w:rsidRPr="00517FEE">
        <w:rPr>
          <w:rtl/>
        </w:rPr>
        <w:t xml:space="preserve">: </w:t>
      </w:r>
      <w:r w:rsidRPr="00955B54">
        <w:rPr>
          <w:rFonts w:ascii="Century" w:hAnsi="Century" w:cs="Miriam" w:hint="cs"/>
          <w:b/>
          <w:spacing w:val="0"/>
          <w:sz w:val="22"/>
          <w:szCs w:val="24"/>
          <w:rtl/>
        </w:rPr>
        <w:t>בנדור, המעמד המשפטי של חוקי-יסוד</w:t>
      </w:r>
      <w:r>
        <w:rPr>
          <w:rFonts w:hint="cs"/>
          <w:rtl/>
        </w:rPr>
        <w:t xml:space="preserve">, עמ' </w:t>
      </w:r>
      <w:r w:rsidRPr="00517FEE">
        <w:rPr>
          <w:rtl/>
        </w:rPr>
        <w:t>168)</w:t>
      </w:r>
      <w:r>
        <w:rPr>
          <w:rFonts w:hint="cs"/>
          <w:rtl/>
        </w:rPr>
        <w:t>. כך ציינתי אז, ודברים אלה רלוונטיים יותר מתמיד כיום. תוך רמיסת עקרונות יסוד בשיטתנו המשפטית, חבריי מוצאים נתיב לפסילת חקיקת יסוד, בלי שניתן מענה של ממש לקשיים שהתעוררו באימוץ הדוקטרינות הנזכרות לעיל, וזאת בהתאם ל"צורך" העומד לשיטתם בעת הזו על הפרק.</w:t>
      </w:r>
    </w:p>
    <w:p w:rsidR="00737972" w:rsidRDefault="00737972" w:rsidP="00737972">
      <w:pPr>
        <w:pStyle w:val="Ruller41"/>
        <w:rPr>
          <w:rFonts w:ascii="Century" w:hAnsi="Century"/>
          <w:rtl/>
        </w:rPr>
      </w:pPr>
    </w:p>
    <w:p w:rsidR="00737972" w:rsidRDefault="00737972" w:rsidP="00737972">
      <w:pPr>
        <w:pStyle w:val="Ruller4"/>
        <w:rPr>
          <w:rtl/>
        </w:rPr>
      </w:pPr>
      <w:r>
        <w:rPr>
          <w:rFonts w:hint="cs"/>
          <w:rtl/>
        </w:rPr>
        <w:t xml:space="preserve">בעניין זה יש להעיר כי </w:t>
      </w:r>
      <w:r w:rsidRPr="007B7F79">
        <w:rPr>
          <w:rFonts w:hint="cs"/>
          <w:rtl/>
        </w:rPr>
        <w:t xml:space="preserve">דמוקרטיה מורכבת ממכלול היבטים. הנחת יסוד כי תפקידו של בית המשפט להגן מפני עוצמתו של הרוב איננה מגלה את התמונה המלאה. דמוקרטיה איננה </w:t>
      </w:r>
      <w:r w:rsidRPr="00B837EF">
        <w:rPr>
          <w:rFonts w:ascii="Century" w:hAnsi="Century" w:cs="Miriam" w:hint="cs"/>
          <w:b/>
          <w:spacing w:val="0"/>
          <w:sz w:val="22"/>
          <w:szCs w:val="24"/>
          <w:rtl/>
        </w:rPr>
        <w:t>רק</w:t>
      </w:r>
      <w:r w:rsidRPr="009E07D2">
        <w:rPr>
          <w:rFonts w:hint="cs"/>
          <w:rtl/>
        </w:rPr>
        <w:t xml:space="preserve"> </w:t>
      </w:r>
      <w:r w:rsidRPr="00B837EF">
        <w:rPr>
          <w:rFonts w:ascii="Century" w:hAnsi="Century" w:hint="cs"/>
          <w:sz w:val="22"/>
          <w:rtl/>
        </w:rPr>
        <w:t>מגבלות</w:t>
      </w:r>
      <w:r w:rsidRPr="009E07D2">
        <w:rPr>
          <w:rFonts w:hint="cs"/>
          <w:rtl/>
        </w:rPr>
        <w:t xml:space="preserve"> </w:t>
      </w:r>
      <w:r w:rsidRPr="007B7F79">
        <w:rPr>
          <w:rFonts w:hint="cs"/>
          <w:rtl/>
        </w:rPr>
        <w:t>החלות על שלטון הרוב. על המוסדות השונים מוטלת בראש ובראשונה החובה להגן על "שלטון הרוב" במובן של מימוש רצון הרוב (</w:t>
      </w:r>
      <w:r>
        <w:rPr>
          <w:rFonts w:hint="cs"/>
          <w:rtl/>
        </w:rPr>
        <w:t xml:space="preserve">והשוו: </w:t>
      </w:r>
      <w:r w:rsidRPr="007B7F79">
        <w:rPr>
          <w:rFonts w:hint="cs"/>
          <w:rtl/>
        </w:rPr>
        <w:t xml:space="preserve">בג"ץ 2144/20 </w:t>
      </w:r>
      <w:r w:rsidRPr="00B837EF">
        <w:rPr>
          <w:rFonts w:ascii="Century" w:hAnsi="Century" w:cs="Miriam" w:hint="cs"/>
          <w:b/>
          <w:spacing w:val="0"/>
          <w:sz w:val="22"/>
          <w:szCs w:val="24"/>
          <w:rtl/>
        </w:rPr>
        <w:t>התנועה למען איכות השלטון בישראל נ' יושב ראש הכנסת</w:t>
      </w:r>
      <w:r w:rsidRPr="009E07D2">
        <w:rPr>
          <w:rFonts w:hint="cs"/>
          <w:rtl/>
        </w:rPr>
        <w:t xml:space="preserve"> </w:t>
      </w:r>
      <w:r>
        <w:rPr>
          <w:rFonts w:hint="cs"/>
          <w:rtl/>
        </w:rPr>
        <w:t>(23.3.2020)</w:t>
      </w:r>
      <w:r w:rsidRPr="007B7F79">
        <w:rPr>
          <w:rFonts w:hint="cs"/>
          <w:rtl/>
        </w:rPr>
        <w:t>).</w:t>
      </w:r>
      <w:r w:rsidRPr="00B837EF">
        <w:rPr>
          <w:rFonts w:ascii="Century" w:hAnsi="Century" w:hint="cs"/>
          <w:rtl/>
        </w:rPr>
        <w:t xml:space="preserve"> דמוקרטיה משקפת בחירה של העם את נציגיו והיא קודם כל מזדהה עם מרכזיותו של הגוף המחוקק שבמסגרתו פועלים אותם נציגים. דמוקרטיה היא קודם כל, "ריבונות העם. ריבונות זו מוצאת מהכוח אל הפועל בבחירות חופשיות הנערכות לעתים מזומנות, ובהן העם בוחר את נציגיו אשר ישקפו את השקפותיו. דמוקרטיה בהיבט זה מזדהה עם שלטון </w:t>
      </w:r>
      <w:r w:rsidRPr="00B837EF">
        <w:rPr>
          <w:rFonts w:ascii="Century" w:hAnsi="Century" w:hint="cs"/>
          <w:rtl/>
        </w:rPr>
        <w:lastRenderedPageBreak/>
        <w:t>הרוב ועם מרכזיותו של הגוף המחוקק שבמסגרתו פועלים נציגי העם. זהו היבט פורמלי של הדמוקרטיה. הוא בעל חשיבות מרכזית, שכן בלעדיו המשטר אינו דמוקרטי" (</w:t>
      </w:r>
      <w:r w:rsidRPr="00D567AC">
        <w:rPr>
          <w:rFonts w:ascii="Century" w:hAnsi="Century" w:cs="Miriam" w:hint="eastAsia"/>
          <w:b/>
          <w:spacing w:val="0"/>
          <w:sz w:val="22"/>
          <w:szCs w:val="24"/>
          <w:rtl/>
        </w:rPr>
        <w:t>ברק</w:t>
      </w:r>
      <w:r>
        <w:rPr>
          <w:rFonts w:ascii="Century" w:hAnsi="Century" w:cs="Miriam" w:hint="cs"/>
          <w:b/>
          <w:spacing w:val="0"/>
          <w:sz w:val="22"/>
          <w:szCs w:val="24"/>
          <w:rtl/>
        </w:rPr>
        <w:t>,</w:t>
      </w:r>
      <w:r w:rsidRPr="00D567AC">
        <w:rPr>
          <w:rFonts w:ascii="Century" w:hAnsi="Century" w:cs="Miriam"/>
          <w:b/>
          <w:spacing w:val="0"/>
          <w:sz w:val="22"/>
          <w:szCs w:val="24"/>
          <w:rtl/>
        </w:rPr>
        <w:t xml:space="preserve"> </w:t>
      </w:r>
      <w:r w:rsidRPr="00D567AC">
        <w:rPr>
          <w:rFonts w:ascii="Century" w:hAnsi="Century" w:cs="Miriam" w:hint="eastAsia"/>
          <w:b/>
          <w:spacing w:val="0"/>
          <w:sz w:val="22"/>
          <w:szCs w:val="24"/>
          <w:rtl/>
        </w:rPr>
        <w:t>עיונים</w:t>
      </w:r>
      <w:r w:rsidRPr="00D567AC">
        <w:rPr>
          <w:rFonts w:ascii="Century" w:hAnsi="Century" w:cs="Miriam"/>
          <w:b/>
          <w:spacing w:val="0"/>
          <w:sz w:val="22"/>
          <w:szCs w:val="24"/>
          <w:rtl/>
        </w:rPr>
        <w:t xml:space="preserve"> </w:t>
      </w:r>
      <w:r w:rsidRPr="00D567AC">
        <w:rPr>
          <w:rFonts w:ascii="Century" w:hAnsi="Century" w:cs="Miriam" w:hint="eastAsia"/>
          <w:b/>
          <w:spacing w:val="0"/>
          <w:sz w:val="22"/>
          <w:szCs w:val="24"/>
          <w:rtl/>
        </w:rPr>
        <w:t>חוקתיים</w:t>
      </w:r>
      <w:r>
        <w:rPr>
          <w:rFonts w:ascii="Century" w:hAnsi="Century" w:hint="cs"/>
          <w:rtl/>
        </w:rPr>
        <w:t>, עמ'</w:t>
      </w:r>
      <w:r w:rsidRPr="00B837EF">
        <w:rPr>
          <w:rFonts w:ascii="Century" w:hAnsi="Century" w:hint="cs"/>
          <w:rtl/>
        </w:rPr>
        <w:t xml:space="preserve"> 102). </w:t>
      </w:r>
    </w:p>
    <w:p w:rsidR="00737972" w:rsidRDefault="00737972" w:rsidP="00737972">
      <w:pPr>
        <w:pStyle w:val="Ruller4"/>
        <w:numPr>
          <w:ilvl w:val="0"/>
          <w:numId w:val="0"/>
        </w:numPr>
        <w:rPr>
          <w:rFonts w:ascii="Century" w:hAnsi="Century"/>
        </w:rPr>
      </w:pPr>
    </w:p>
    <w:p w:rsidR="00737972" w:rsidRPr="006B55DF" w:rsidRDefault="00737972" w:rsidP="00737972">
      <w:pPr>
        <w:pStyle w:val="Ruller4"/>
        <w:numPr>
          <w:ilvl w:val="0"/>
          <w:numId w:val="0"/>
        </w:numPr>
        <w:rPr>
          <w:rFonts w:ascii="Century" w:hAnsi="Century"/>
        </w:rPr>
      </w:pPr>
      <w:r>
        <w:rPr>
          <w:rFonts w:ascii="Century" w:hAnsi="Century"/>
          <w:rtl/>
        </w:rPr>
        <w:tab/>
      </w:r>
      <w:r w:rsidRPr="006B55DF">
        <w:rPr>
          <w:rFonts w:ascii="Century" w:hAnsi="Century" w:hint="cs"/>
          <w:rtl/>
        </w:rPr>
        <w:t>אכן, דמוקרטיה איננה רק בעלת היבט פורמלי, היא משקפת מכלול ערכים מהותיים, ביניהם עיקרון הפרדת הרשויות, עיקרון שלטון החוק, זכויות אדם ועוד</w:t>
      </w:r>
      <w:r>
        <w:rPr>
          <w:rFonts w:ascii="Century" w:hAnsi="Century" w:hint="cs"/>
          <w:rtl/>
        </w:rPr>
        <w:t>, אשר יש בכוחם לרסן את כוחו של הרוב</w:t>
      </w:r>
      <w:r w:rsidRPr="006B55DF">
        <w:rPr>
          <w:rFonts w:ascii="Century" w:hAnsi="Century" w:hint="cs"/>
          <w:rtl/>
        </w:rPr>
        <w:t xml:space="preserve">. </w:t>
      </w:r>
      <w:r>
        <w:rPr>
          <w:rFonts w:ascii="Century" w:hAnsi="Century" w:hint="cs"/>
          <w:rtl/>
        </w:rPr>
        <w:t xml:space="preserve">על כך אין חולק. </w:t>
      </w:r>
      <w:r w:rsidRPr="006B55DF">
        <w:rPr>
          <w:rFonts w:ascii="Century" w:hAnsi="Century" w:hint="cs"/>
          <w:rtl/>
        </w:rPr>
        <w:t>אולם אין בכך כדי להצדיק "היפוך היוצרות" כדוגמת הדרך בה הולכים חלק מחבריי, הנוטים, כך נראה, לייחס לעקרונות הדמוקרטיה הפורמלית מעין "חזקת אי-תקינות".</w:t>
      </w:r>
      <w:r>
        <w:rPr>
          <w:rFonts w:ascii="Century" w:hAnsi="Century" w:hint="cs"/>
          <w:rtl/>
        </w:rPr>
        <w:t xml:space="preserve"> מטעם זה, גם העובדה שחברי ה</w:t>
      </w:r>
      <w:r w:rsidRPr="00A45F5D">
        <w:rPr>
          <w:rFonts w:ascii="Century" w:hAnsi="Century" w:cs="Miriam" w:hint="eastAsia"/>
          <w:b/>
          <w:spacing w:val="0"/>
          <w:sz w:val="22"/>
          <w:szCs w:val="24"/>
          <w:rtl/>
        </w:rPr>
        <w:t>אופוזיציה</w:t>
      </w:r>
      <w:r w:rsidRPr="006B55DF">
        <w:rPr>
          <w:rFonts w:ascii="Century" w:hAnsi="Century" w:hint="cs"/>
          <w:rtl/>
        </w:rPr>
        <w:t xml:space="preserve"> </w:t>
      </w:r>
      <w:r>
        <w:rPr>
          <w:rFonts w:ascii="Century" w:hAnsi="Century" w:hint="cs"/>
          <w:rtl/>
        </w:rPr>
        <w:t xml:space="preserve">לא תמכו בתיקון לחוק היסוד (פסקאות 21 ו-30 לחוות דעתה של חברי השופטת </w:t>
      </w:r>
      <w:r>
        <w:rPr>
          <w:rFonts w:ascii="Century" w:hAnsi="Century" w:cs="Miriam" w:hint="cs"/>
          <w:b/>
          <w:spacing w:val="0"/>
          <w:sz w:val="22"/>
          <w:szCs w:val="24"/>
          <w:rtl/>
        </w:rPr>
        <w:t xml:space="preserve">ר' </w:t>
      </w:r>
      <w:r w:rsidRPr="00A45F5D">
        <w:rPr>
          <w:rFonts w:ascii="Century" w:hAnsi="Century" w:cs="Miriam" w:hint="eastAsia"/>
          <w:b/>
          <w:spacing w:val="0"/>
          <w:sz w:val="22"/>
          <w:szCs w:val="24"/>
          <w:rtl/>
        </w:rPr>
        <w:t>רונן</w:t>
      </w:r>
      <w:r>
        <w:rPr>
          <w:rFonts w:ascii="Century" w:hAnsi="Century" w:hint="cs"/>
          <w:rtl/>
        </w:rPr>
        <w:t xml:space="preserve">; עובדה שניתן לה משקל גם בחוות דעתה של חברתי הנשיאה (בדימ')) אינה יכולה להוות בסיס לביקורת שיפוטית מוגברת. </w:t>
      </w:r>
    </w:p>
    <w:p w:rsidR="00737972" w:rsidRDefault="00737972" w:rsidP="00737972">
      <w:pPr>
        <w:pStyle w:val="Ruller4"/>
        <w:numPr>
          <w:ilvl w:val="0"/>
          <w:numId w:val="0"/>
        </w:numPr>
        <w:rPr>
          <w:rFonts w:ascii="Century" w:hAnsi="Century"/>
        </w:rPr>
      </w:pPr>
    </w:p>
    <w:p w:rsidR="00737972" w:rsidRDefault="00737972" w:rsidP="00737972">
      <w:pPr>
        <w:pStyle w:val="Ruller4"/>
        <w:rPr>
          <w:rtl/>
        </w:rPr>
      </w:pPr>
      <w:r w:rsidRPr="00B278E9">
        <w:rPr>
          <w:rFonts w:ascii="Century" w:hAnsi="Century" w:hint="cs"/>
          <w:rtl/>
        </w:rPr>
        <w:t xml:space="preserve">בהקשר זה, אינני סבור כי יש </w:t>
      </w:r>
      <w:r>
        <w:rPr>
          <w:rFonts w:ascii="Century" w:hAnsi="Century" w:hint="cs"/>
          <w:rtl/>
        </w:rPr>
        <w:t xml:space="preserve">לתת </w:t>
      </w:r>
      <w:r w:rsidRPr="00B278E9">
        <w:rPr>
          <w:rFonts w:ascii="Century" w:hAnsi="Century" w:hint="cs"/>
          <w:rtl/>
        </w:rPr>
        <w:t xml:space="preserve">ל"גירעון הדמוקרטי" בדמות ההשפעה שיש לממשלה על הכנסת כרשות מחוקקת, משקל מכריע לעניין זה, כפי שנעשה על ידי </w:t>
      </w:r>
      <w:r>
        <w:rPr>
          <w:rFonts w:ascii="Century" w:hAnsi="Century" w:hint="cs"/>
          <w:rtl/>
        </w:rPr>
        <w:t>חלק מ</w:t>
      </w:r>
      <w:r w:rsidRPr="00B278E9">
        <w:rPr>
          <w:rFonts w:ascii="Century" w:hAnsi="Century" w:hint="cs"/>
          <w:rtl/>
        </w:rPr>
        <w:t xml:space="preserve">חבריי. זאת עד כדי "הרמת מסך" </w:t>
      </w:r>
      <w:r>
        <w:rPr>
          <w:rFonts w:ascii="Century" w:hAnsi="Century" w:hint="cs"/>
          <w:rtl/>
        </w:rPr>
        <w:t xml:space="preserve">לרשות המכוננת על ידי חברתי השופטת </w:t>
      </w:r>
      <w:r w:rsidRPr="00A45F5D">
        <w:rPr>
          <w:rFonts w:ascii="Century" w:hAnsi="Century" w:cs="Miriam" w:hint="eastAsia"/>
          <w:b/>
          <w:spacing w:val="0"/>
          <w:sz w:val="22"/>
          <w:szCs w:val="24"/>
          <w:rtl/>
        </w:rPr>
        <w:t>רונן</w:t>
      </w:r>
      <w:r w:rsidRPr="00330911">
        <w:rPr>
          <w:rFonts w:ascii="Century" w:hAnsi="Century" w:hint="cs"/>
          <w:rtl/>
        </w:rPr>
        <w:t xml:space="preserve"> </w:t>
      </w:r>
      <w:r>
        <w:rPr>
          <w:rFonts w:ascii="Century" w:hAnsi="Century" w:hint="cs"/>
          <w:rtl/>
        </w:rPr>
        <w:t>(תוך השראה, כך נראה, מהוראת סעיף 6 לחוק החברות, התשנ"ט-1999 ממנו שואבת חברתי מעט מדבריה) המייחסת</w:t>
      </w:r>
      <w:r w:rsidRPr="00B278E9">
        <w:rPr>
          <w:rFonts w:ascii="Century" w:hAnsi="Century" w:hint="cs"/>
          <w:rtl/>
        </w:rPr>
        <w:t xml:space="preserve"> </w:t>
      </w:r>
      <w:r>
        <w:rPr>
          <w:rFonts w:ascii="Century" w:hAnsi="Century" w:hint="cs"/>
          <w:rtl/>
        </w:rPr>
        <w:t xml:space="preserve">את </w:t>
      </w:r>
      <w:r w:rsidRPr="00B278E9">
        <w:rPr>
          <w:rFonts w:ascii="Century" w:hAnsi="Century" w:hint="cs"/>
          <w:rtl/>
        </w:rPr>
        <w:t xml:space="preserve">חקיקת חוק היסוד </w:t>
      </w:r>
      <w:r>
        <w:rPr>
          <w:rFonts w:ascii="Century" w:hAnsi="Century" w:hint="cs"/>
          <w:rtl/>
        </w:rPr>
        <w:t>ל</w:t>
      </w:r>
      <w:r w:rsidRPr="00B278E9">
        <w:rPr>
          <w:rFonts w:ascii="Century" w:hAnsi="Century" w:hint="cs"/>
          <w:rtl/>
        </w:rPr>
        <w:t xml:space="preserve">רשות המבצעת ממש. </w:t>
      </w:r>
      <w:r>
        <w:rPr>
          <w:rFonts w:hint="cs"/>
          <w:rtl/>
        </w:rPr>
        <w:t>אכן, בעבר הצביע בית המשפט על מגמה של התחזקות מעמדה של הממשלה על פני מעמדה של הכנסת (ראו למשל:</w:t>
      </w:r>
      <w:r w:rsidRPr="00D5324F">
        <w:rPr>
          <w:rFonts w:hint="eastAsia"/>
          <w:rtl/>
        </w:rPr>
        <w:t xml:space="preserve"> בג</w:t>
      </w:r>
      <w:r>
        <w:rPr>
          <w:rFonts w:hint="cs"/>
          <w:rtl/>
        </w:rPr>
        <w:t>"</w:t>
      </w:r>
      <w:r w:rsidRPr="00D5324F">
        <w:rPr>
          <w:rFonts w:hint="eastAsia"/>
          <w:rtl/>
        </w:rPr>
        <w:t>ץ</w:t>
      </w:r>
      <w:r w:rsidRPr="00D5324F">
        <w:rPr>
          <w:rtl/>
        </w:rPr>
        <w:t xml:space="preserve"> 4374/15 </w:t>
      </w:r>
      <w:r w:rsidRPr="00024302">
        <w:rPr>
          <w:rFonts w:ascii="Century" w:hAnsi="Century" w:cs="Miriam" w:hint="eastAsia"/>
          <w:b/>
          <w:spacing w:val="0"/>
          <w:szCs w:val="24"/>
          <w:rtl/>
        </w:rPr>
        <w:t>התנועה</w:t>
      </w:r>
      <w:r w:rsidRPr="00024302">
        <w:rPr>
          <w:rFonts w:ascii="Century" w:hAnsi="Century" w:cs="Miriam"/>
          <w:b/>
          <w:spacing w:val="0"/>
          <w:szCs w:val="24"/>
          <w:rtl/>
        </w:rPr>
        <w:t xml:space="preserve"> </w:t>
      </w:r>
      <w:r w:rsidRPr="00024302">
        <w:rPr>
          <w:rFonts w:ascii="Century" w:hAnsi="Century" w:cs="Miriam" w:hint="eastAsia"/>
          <w:b/>
          <w:spacing w:val="0"/>
          <w:szCs w:val="24"/>
          <w:rtl/>
        </w:rPr>
        <w:t>למען</w:t>
      </w:r>
      <w:r w:rsidRPr="00024302">
        <w:rPr>
          <w:rFonts w:ascii="Century" w:hAnsi="Century" w:cs="Miriam"/>
          <w:b/>
          <w:spacing w:val="0"/>
          <w:szCs w:val="24"/>
          <w:rtl/>
        </w:rPr>
        <w:t xml:space="preserve"> </w:t>
      </w:r>
      <w:r w:rsidRPr="00024302">
        <w:rPr>
          <w:rFonts w:ascii="Century" w:hAnsi="Century" w:cs="Miriam" w:hint="eastAsia"/>
          <w:b/>
          <w:spacing w:val="0"/>
          <w:szCs w:val="24"/>
          <w:rtl/>
        </w:rPr>
        <w:t>איכות</w:t>
      </w:r>
      <w:r w:rsidRPr="00024302">
        <w:rPr>
          <w:rFonts w:ascii="Century" w:hAnsi="Century" w:cs="Miriam"/>
          <w:b/>
          <w:spacing w:val="0"/>
          <w:szCs w:val="24"/>
          <w:rtl/>
        </w:rPr>
        <w:t xml:space="preserve"> </w:t>
      </w:r>
      <w:r w:rsidRPr="00024302">
        <w:rPr>
          <w:rFonts w:ascii="Century" w:hAnsi="Century" w:cs="Miriam" w:hint="eastAsia"/>
          <w:b/>
          <w:spacing w:val="0"/>
          <w:szCs w:val="24"/>
          <w:rtl/>
        </w:rPr>
        <w:t>השלטון</w:t>
      </w:r>
      <w:r w:rsidRPr="00024302">
        <w:rPr>
          <w:rFonts w:ascii="Century" w:hAnsi="Century" w:cs="Miriam"/>
          <w:b/>
          <w:spacing w:val="0"/>
          <w:szCs w:val="24"/>
          <w:rtl/>
        </w:rPr>
        <w:t xml:space="preserve"> </w:t>
      </w:r>
      <w:r w:rsidRPr="00024302">
        <w:rPr>
          <w:rFonts w:ascii="Century" w:hAnsi="Century" w:cs="Miriam" w:hint="eastAsia"/>
          <w:b/>
          <w:spacing w:val="0"/>
          <w:szCs w:val="24"/>
          <w:rtl/>
        </w:rPr>
        <w:t>בישראל</w:t>
      </w:r>
      <w:r w:rsidRPr="00024302">
        <w:rPr>
          <w:rFonts w:ascii="Century" w:hAnsi="Century" w:cs="Miriam"/>
          <w:b/>
          <w:spacing w:val="0"/>
          <w:szCs w:val="24"/>
          <w:rtl/>
        </w:rPr>
        <w:t xml:space="preserve"> (</w:t>
      </w:r>
      <w:r w:rsidRPr="00024302">
        <w:rPr>
          <w:rFonts w:ascii="Century" w:hAnsi="Century" w:cs="Miriam" w:hint="eastAsia"/>
          <w:b/>
          <w:spacing w:val="0"/>
          <w:szCs w:val="24"/>
          <w:rtl/>
        </w:rPr>
        <w:t>ע</w:t>
      </w:r>
      <w:r w:rsidRPr="00024302">
        <w:rPr>
          <w:rFonts w:ascii="Century" w:hAnsi="Century" w:cs="Miriam"/>
          <w:b/>
          <w:spacing w:val="0"/>
          <w:szCs w:val="24"/>
          <w:rtl/>
        </w:rPr>
        <w:t>"</w:t>
      </w:r>
      <w:r w:rsidRPr="00024302">
        <w:rPr>
          <w:rFonts w:ascii="Century" w:hAnsi="Century" w:cs="Miriam" w:hint="eastAsia"/>
          <w:b/>
          <w:spacing w:val="0"/>
          <w:szCs w:val="24"/>
          <w:rtl/>
        </w:rPr>
        <w:t>ר</w:t>
      </w:r>
      <w:r w:rsidRPr="00024302">
        <w:rPr>
          <w:rFonts w:ascii="Century" w:hAnsi="Century" w:cs="Miriam"/>
          <w:b/>
          <w:spacing w:val="0"/>
          <w:szCs w:val="24"/>
          <w:rtl/>
        </w:rPr>
        <w:t xml:space="preserve">) </w:t>
      </w:r>
      <w:r w:rsidRPr="00024302">
        <w:rPr>
          <w:rFonts w:ascii="Century" w:hAnsi="Century" w:cs="Miriam" w:hint="eastAsia"/>
          <w:b/>
          <w:spacing w:val="0"/>
          <w:szCs w:val="24"/>
          <w:rtl/>
        </w:rPr>
        <w:t>נ</w:t>
      </w:r>
      <w:r w:rsidRPr="00024302">
        <w:rPr>
          <w:rFonts w:ascii="Century" w:hAnsi="Century" w:cs="Miriam"/>
          <w:b/>
          <w:spacing w:val="0"/>
          <w:szCs w:val="24"/>
          <w:rtl/>
        </w:rPr>
        <w:t xml:space="preserve">' </w:t>
      </w:r>
      <w:r w:rsidRPr="00024302">
        <w:rPr>
          <w:rFonts w:ascii="Century" w:hAnsi="Century" w:cs="Miriam" w:hint="eastAsia"/>
          <w:b/>
          <w:spacing w:val="0"/>
          <w:szCs w:val="24"/>
          <w:rtl/>
        </w:rPr>
        <w:t>ראש</w:t>
      </w:r>
      <w:r w:rsidRPr="00024302">
        <w:rPr>
          <w:rFonts w:ascii="Century" w:hAnsi="Century" w:cs="Miriam"/>
          <w:b/>
          <w:spacing w:val="0"/>
          <w:szCs w:val="24"/>
          <w:rtl/>
        </w:rPr>
        <w:t xml:space="preserve"> </w:t>
      </w:r>
      <w:r w:rsidRPr="00024302">
        <w:rPr>
          <w:rFonts w:ascii="Century" w:hAnsi="Century" w:cs="Miriam" w:hint="eastAsia"/>
          <w:b/>
          <w:spacing w:val="0"/>
          <w:szCs w:val="24"/>
          <w:rtl/>
        </w:rPr>
        <w:t>ממשלת</w:t>
      </w:r>
      <w:r w:rsidRPr="00024302">
        <w:rPr>
          <w:rFonts w:ascii="Century" w:hAnsi="Century" w:cs="Miriam"/>
          <w:b/>
          <w:spacing w:val="0"/>
          <w:szCs w:val="24"/>
          <w:rtl/>
        </w:rPr>
        <w:t xml:space="preserve"> </w:t>
      </w:r>
      <w:r w:rsidRPr="00024302">
        <w:rPr>
          <w:rFonts w:ascii="Century" w:hAnsi="Century" w:cs="Miriam" w:hint="eastAsia"/>
          <w:b/>
          <w:spacing w:val="0"/>
          <w:szCs w:val="24"/>
          <w:rtl/>
        </w:rPr>
        <w:t>ישראל</w:t>
      </w:r>
      <w:r w:rsidRPr="00A04D69">
        <w:rPr>
          <w:rFonts w:ascii="Century" w:hAnsi="Century" w:hint="cs"/>
          <w:sz w:val="22"/>
          <w:rtl/>
        </w:rPr>
        <w:t>,</w:t>
      </w:r>
      <w:r>
        <w:rPr>
          <w:rFonts w:hint="cs"/>
          <w:rtl/>
        </w:rPr>
        <w:t xml:space="preserve"> פסקה 8 לחוות דעתה של הנשיאה (בדימ') (27.3.2016); </w:t>
      </w:r>
      <w:r w:rsidRPr="00911687">
        <w:rPr>
          <w:rFonts w:hint="cs"/>
          <w:rtl/>
        </w:rPr>
        <w:t xml:space="preserve">בג"ץ 10042/16 </w:t>
      </w:r>
      <w:r w:rsidRPr="00911687">
        <w:rPr>
          <w:rFonts w:ascii="Century" w:hAnsi="Century" w:cs="Miriam" w:hint="cs"/>
          <w:b/>
          <w:spacing w:val="0"/>
          <w:szCs w:val="24"/>
          <w:rtl/>
        </w:rPr>
        <w:t>ק</w:t>
      </w:r>
      <w:r w:rsidRPr="00911687">
        <w:rPr>
          <w:rFonts w:ascii="Century" w:hAnsi="Century" w:cs="Miriam" w:hint="eastAsia"/>
          <w:b/>
          <w:spacing w:val="0"/>
          <w:szCs w:val="24"/>
          <w:rtl/>
        </w:rPr>
        <w:t>וונטינסקי</w:t>
      </w:r>
      <w:r w:rsidRPr="00911687">
        <w:rPr>
          <w:rFonts w:ascii="Century" w:hAnsi="Century" w:cs="Miriam"/>
          <w:b/>
          <w:spacing w:val="0"/>
          <w:szCs w:val="24"/>
          <w:rtl/>
        </w:rPr>
        <w:t xml:space="preserve"> </w:t>
      </w:r>
      <w:r w:rsidRPr="00911687">
        <w:rPr>
          <w:rFonts w:ascii="Century" w:hAnsi="Century" w:cs="Miriam" w:hint="eastAsia"/>
          <w:b/>
          <w:spacing w:val="0"/>
          <w:szCs w:val="24"/>
          <w:rtl/>
        </w:rPr>
        <w:t>נ</w:t>
      </w:r>
      <w:r w:rsidRPr="00911687">
        <w:rPr>
          <w:rFonts w:ascii="Century" w:hAnsi="Century" w:cs="Miriam"/>
          <w:b/>
          <w:spacing w:val="0"/>
          <w:szCs w:val="24"/>
          <w:rtl/>
        </w:rPr>
        <w:t xml:space="preserve">' </w:t>
      </w:r>
      <w:r w:rsidRPr="00911687">
        <w:rPr>
          <w:rFonts w:ascii="Century" w:hAnsi="Century" w:cs="Miriam" w:hint="eastAsia"/>
          <w:b/>
          <w:spacing w:val="0"/>
          <w:szCs w:val="24"/>
          <w:rtl/>
        </w:rPr>
        <w:t>כנסת</w:t>
      </w:r>
      <w:r w:rsidRPr="00911687">
        <w:rPr>
          <w:rFonts w:ascii="Century" w:hAnsi="Century" w:cs="Miriam"/>
          <w:b/>
          <w:spacing w:val="0"/>
          <w:szCs w:val="24"/>
          <w:rtl/>
        </w:rPr>
        <w:t xml:space="preserve"> </w:t>
      </w:r>
      <w:r w:rsidRPr="00911687">
        <w:rPr>
          <w:rFonts w:ascii="Century" w:hAnsi="Century" w:cs="Miriam" w:hint="eastAsia"/>
          <w:b/>
          <w:spacing w:val="0"/>
          <w:szCs w:val="24"/>
          <w:rtl/>
        </w:rPr>
        <w:t>ישראל</w:t>
      </w:r>
      <w:r>
        <w:rPr>
          <w:rFonts w:hint="cs"/>
          <w:rtl/>
        </w:rPr>
        <w:t xml:space="preserve">, פסקה 39 לחוות דעתו של השופט </w:t>
      </w:r>
      <w:r w:rsidRPr="00911687">
        <w:rPr>
          <w:rFonts w:ascii="Century" w:hAnsi="Century" w:cs="Miriam" w:hint="cs"/>
          <w:b/>
          <w:spacing w:val="0"/>
          <w:szCs w:val="24"/>
          <w:rtl/>
        </w:rPr>
        <w:t>נ' סולברג</w:t>
      </w:r>
      <w:r w:rsidRPr="00911687">
        <w:rPr>
          <w:rFonts w:hint="cs"/>
          <w:rtl/>
        </w:rPr>
        <w:t xml:space="preserve"> </w:t>
      </w:r>
      <w:r>
        <w:rPr>
          <w:rFonts w:hint="cs"/>
          <w:rtl/>
        </w:rPr>
        <w:t>(6.8.2017)).</w:t>
      </w:r>
      <w:r w:rsidRPr="00911687">
        <w:rPr>
          <w:rFonts w:hint="cs"/>
          <w:rtl/>
        </w:rPr>
        <w:t xml:space="preserve"> </w:t>
      </w:r>
      <w:r>
        <w:rPr>
          <w:rFonts w:hint="cs"/>
          <w:rtl/>
        </w:rPr>
        <w:t xml:space="preserve">אולם מכאן ועד הקביעה כי התחזקות זו של הממשלה על פני הכנסת ממחישה את ה"צורך" בדבר קיום ביקורת שיפוטית על חוקי יסוד (או אף </w:t>
      </w:r>
      <w:r w:rsidRPr="00A671B3">
        <w:rPr>
          <w:rFonts w:ascii="Century" w:hAnsi="Century" w:hint="cs"/>
          <w:rtl/>
        </w:rPr>
        <w:t>מחייבת</w:t>
      </w:r>
      <w:r w:rsidRPr="00A671B3">
        <w:rPr>
          <w:rFonts w:ascii="Century" w:hAnsi="Century" w:cs="Miriam" w:hint="cs"/>
          <w:b/>
          <w:spacing w:val="0"/>
          <w:szCs w:val="24"/>
          <w:rtl/>
        </w:rPr>
        <w:t xml:space="preserve"> </w:t>
      </w:r>
      <w:r>
        <w:rPr>
          <w:rFonts w:ascii="Century" w:hAnsi="Century" w:cs="Miriam" w:hint="cs"/>
          <w:b/>
          <w:spacing w:val="0"/>
          <w:szCs w:val="24"/>
          <w:rtl/>
        </w:rPr>
        <w:t xml:space="preserve">הרחבה והעמקה </w:t>
      </w:r>
      <w:r>
        <w:rPr>
          <w:rFonts w:hint="cs"/>
          <w:rtl/>
        </w:rPr>
        <w:t xml:space="preserve">של היקף הביקורת, כשיטת חלק מחבריי), הדרך ארוכה. </w:t>
      </w:r>
    </w:p>
    <w:p w:rsidR="00737972" w:rsidRDefault="00737972" w:rsidP="00737972">
      <w:pPr>
        <w:pStyle w:val="Ruller41"/>
        <w:rPr>
          <w:rtl/>
        </w:rPr>
      </w:pPr>
      <w:r>
        <w:rPr>
          <w:rtl/>
        </w:rPr>
        <w:tab/>
      </w:r>
    </w:p>
    <w:p w:rsidR="00737972" w:rsidRPr="00891FFA" w:rsidRDefault="00737972" w:rsidP="00737972">
      <w:pPr>
        <w:pStyle w:val="Ruller4"/>
      </w:pPr>
      <w:r>
        <w:rPr>
          <w:rFonts w:hint="cs"/>
          <w:rtl/>
        </w:rPr>
        <w:t xml:space="preserve">אין זה המקום לעמוד על מכלול יחסי הכוחות המורכבים שבין הכנסת לממשלה, אך די אם אציין כי יש רבדים נוספים לתמונה. ניתן לומר כי המצב שבו הממשלה מורכבת מחברי הפרלמנט עצמם ומהווה "החלק המוביל" של הפרלמנט, הוא מאפיין "קלאסי" של משטר דמוקרטי (יגאל מרזל "חובת האמון של הממשלה כלפי הכנסת" </w:t>
      </w:r>
      <w:r w:rsidRPr="001F145F">
        <w:rPr>
          <w:rFonts w:ascii="Century" w:hAnsi="Century" w:cs="Miriam" w:hint="cs"/>
          <w:b/>
          <w:spacing w:val="0"/>
          <w:szCs w:val="24"/>
          <w:rtl/>
        </w:rPr>
        <w:t>חובות האמון בדין הישראלי</w:t>
      </w:r>
      <w:r w:rsidRPr="001F145F">
        <w:rPr>
          <w:rFonts w:hint="cs"/>
          <w:rtl/>
        </w:rPr>
        <w:t xml:space="preserve"> </w:t>
      </w:r>
      <w:r>
        <w:rPr>
          <w:rFonts w:hint="cs"/>
          <w:rtl/>
        </w:rPr>
        <w:t>1, 13 (2016)). חולשה מסוימת מצד הכנסת היא בחירה מודעת של שיטה דמוקרטית (</w:t>
      </w:r>
      <w:r w:rsidRPr="00000DA1">
        <w:rPr>
          <w:rFonts w:hint="eastAsia"/>
          <w:rtl/>
        </w:rPr>
        <w:t>רבקה</w:t>
      </w:r>
      <w:r w:rsidRPr="00000DA1">
        <w:rPr>
          <w:rtl/>
        </w:rPr>
        <w:t xml:space="preserve"> </w:t>
      </w:r>
      <w:r w:rsidRPr="00000DA1">
        <w:rPr>
          <w:rFonts w:hint="eastAsia"/>
          <w:rtl/>
        </w:rPr>
        <w:t>ווייל</w:t>
      </w:r>
      <w:r w:rsidRPr="00000DA1">
        <w:rPr>
          <w:rtl/>
        </w:rPr>
        <w:t xml:space="preserve"> "</w:t>
      </w:r>
      <w:r w:rsidRPr="00000DA1">
        <w:rPr>
          <w:rFonts w:hint="eastAsia"/>
          <w:rtl/>
        </w:rPr>
        <w:t>האם</w:t>
      </w:r>
      <w:r w:rsidRPr="00000DA1">
        <w:rPr>
          <w:rtl/>
        </w:rPr>
        <w:t xml:space="preserve"> </w:t>
      </w:r>
      <w:r w:rsidRPr="00000DA1">
        <w:rPr>
          <w:rFonts w:hint="eastAsia"/>
          <w:rtl/>
        </w:rPr>
        <w:t>הכנסת</w:t>
      </w:r>
      <w:r w:rsidRPr="00000DA1">
        <w:rPr>
          <w:rtl/>
        </w:rPr>
        <w:t xml:space="preserve"> </w:t>
      </w:r>
      <w:r w:rsidRPr="00000DA1">
        <w:rPr>
          <w:rFonts w:hint="eastAsia"/>
          <w:rtl/>
        </w:rPr>
        <w:t>זקוקה</w:t>
      </w:r>
      <w:r w:rsidRPr="00000DA1">
        <w:rPr>
          <w:rtl/>
        </w:rPr>
        <w:t xml:space="preserve"> </w:t>
      </w:r>
      <w:r w:rsidRPr="00000DA1">
        <w:rPr>
          <w:rFonts w:hint="eastAsia"/>
          <w:rtl/>
        </w:rPr>
        <w:t>לעזרתו</w:t>
      </w:r>
      <w:r w:rsidRPr="00000DA1">
        <w:rPr>
          <w:rtl/>
        </w:rPr>
        <w:t xml:space="preserve"> </w:t>
      </w:r>
      <w:r w:rsidRPr="00000DA1">
        <w:rPr>
          <w:rFonts w:hint="eastAsia"/>
          <w:rtl/>
        </w:rPr>
        <w:t>של</w:t>
      </w:r>
      <w:r w:rsidRPr="00000DA1">
        <w:rPr>
          <w:rtl/>
        </w:rPr>
        <w:t xml:space="preserve"> </w:t>
      </w:r>
      <w:r w:rsidRPr="00000DA1">
        <w:rPr>
          <w:rFonts w:hint="eastAsia"/>
          <w:rtl/>
        </w:rPr>
        <w:t>בית</w:t>
      </w:r>
      <w:r w:rsidRPr="00000DA1">
        <w:rPr>
          <w:rtl/>
        </w:rPr>
        <w:t xml:space="preserve"> </w:t>
      </w:r>
      <w:r w:rsidRPr="00000DA1">
        <w:rPr>
          <w:rFonts w:hint="eastAsia"/>
          <w:rtl/>
        </w:rPr>
        <w:t>המשפט</w:t>
      </w:r>
      <w:r w:rsidRPr="00000DA1">
        <w:rPr>
          <w:rtl/>
        </w:rPr>
        <w:t xml:space="preserve">?" </w:t>
      </w:r>
      <w:r w:rsidRPr="00A87236">
        <w:rPr>
          <w:szCs w:val="24"/>
        </w:rPr>
        <w:t>ICON-S-IL Blog</w:t>
      </w:r>
      <w:r w:rsidRPr="00000DA1">
        <w:rPr>
          <w:rtl/>
        </w:rPr>
        <w:t>‏ (5.8.2022)</w:t>
      </w:r>
      <w:r>
        <w:rPr>
          <w:rFonts w:hint="cs"/>
          <w:rtl/>
        </w:rPr>
        <w:t xml:space="preserve">). גם במדינות דמוקרטיות נוספות מועלות טענות לשחיקה של </w:t>
      </w:r>
      <w:r>
        <w:rPr>
          <w:rFonts w:hint="cs"/>
          <w:rtl/>
        </w:rPr>
        <w:lastRenderedPageBreak/>
        <w:t>הפרלמנט, ואין מדובר בהכרח בהיבט ייחודי לדמוקרטיה הישראלית המצדיק הפעלת כלים חריגים לשם התמודדות עם התופעה (ראו:</w:t>
      </w:r>
      <w:r w:rsidRPr="00891FFA">
        <w:rPr>
          <w:rFonts w:ascii="Century" w:hAnsi="Century" w:hint="eastAsia"/>
          <w:rtl/>
        </w:rPr>
        <w:t xml:space="preserve"> </w:t>
      </w:r>
      <w:r w:rsidRPr="00BD5988">
        <w:rPr>
          <w:rFonts w:ascii="Century" w:hAnsi="Century" w:hint="eastAsia"/>
          <w:rtl/>
        </w:rPr>
        <w:t>יואב</w:t>
      </w:r>
      <w:r w:rsidRPr="00BD5988">
        <w:rPr>
          <w:rFonts w:ascii="Century" w:hAnsi="Century"/>
          <w:rtl/>
        </w:rPr>
        <w:t xml:space="preserve"> </w:t>
      </w:r>
      <w:r w:rsidRPr="00BD5988">
        <w:rPr>
          <w:rFonts w:ascii="Century" w:hAnsi="Century" w:hint="eastAsia"/>
          <w:rtl/>
        </w:rPr>
        <w:t>דותן</w:t>
      </w:r>
      <w:r w:rsidRPr="00BD5988">
        <w:rPr>
          <w:rFonts w:ascii="Century" w:hAnsi="Century"/>
          <w:rtl/>
        </w:rPr>
        <w:t xml:space="preserve"> </w:t>
      </w:r>
      <w:r w:rsidRPr="00BD5988">
        <w:rPr>
          <w:rFonts w:ascii="Century" w:hAnsi="Century" w:cs="Miriam" w:hint="eastAsia"/>
          <w:b/>
          <w:spacing w:val="0"/>
          <w:szCs w:val="24"/>
          <w:rtl/>
        </w:rPr>
        <w:t>ביקורת</w:t>
      </w:r>
      <w:r w:rsidRPr="00BD5988">
        <w:rPr>
          <w:rFonts w:ascii="Century" w:hAnsi="Century" w:cs="Miriam"/>
          <w:b/>
          <w:spacing w:val="0"/>
          <w:szCs w:val="24"/>
          <w:rtl/>
        </w:rPr>
        <w:t xml:space="preserve"> </w:t>
      </w:r>
      <w:r w:rsidRPr="00BD5988">
        <w:rPr>
          <w:rFonts w:ascii="Century" w:hAnsi="Century" w:cs="Miriam" w:hint="eastAsia"/>
          <w:b/>
          <w:spacing w:val="0"/>
          <w:szCs w:val="24"/>
          <w:rtl/>
        </w:rPr>
        <w:t>שיפוטית</w:t>
      </w:r>
      <w:r w:rsidRPr="00BD5988">
        <w:rPr>
          <w:rFonts w:ascii="Century" w:hAnsi="Century" w:cs="Miriam"/>
          <w:b/>
          <w:spacing w:val="0"/>
          <w:szCs w:val="24"/>
          <w:rtl/>
        </w:rPr>
        <w:t xml:space="preserve"> </w:t>
      </w:r>
      <w:r w:rsidRPr="00BD5988">
        <w:rPr>
          <w:rFonts w:ascii="Century" w:hAnsi="Century" w:cs="Miriam" w:hint="eastAsia"/>
          <w:b/>
          <w:spacing w:val="0"/>
          <w:szCs w:val="24"/>
          <w:rtl/>
        </w:rPr>
        <w:t>על</w:t>
      </w:r>
      <w:r w:rsidRPr="00BD5988">
        <w:rPr>
          <w:rFonts w:ascii="Century" w:hAnsi="Century" w:cs="Miriam"/>
          <w:b/>
          <w:spacing w:val="0"/>
          <w:szCs w:val="24"/>
          <w:rtl/>
        </w:rPr>
        <w:t xml:space="preserve"> </w:t>
      </w:r>
      <w:r w:rsidRPr="00BD5988">
        <w:rPr>
          <w:rFonts w:ascii="Century" w:hAnsi="Century" w:cs="Miriam" w:hint="eastAsia"/>
          <w:b/>
          <w:spacing w:val="0"/>
          <w:szCs w:val="24"/>
          <w:rtl/>
        </w:rPr>
        <w:t>שיקול</w:t>
      </w:r>
      <w:r w:rsidRPr="00BD5988">
        <w:rPr>
          <w:rFonts w:ascii="Century" w:hAnsi="Century" w:cs="Miriam"/>
          <w:b/>
          <w:spacing w:val="0"/>
          <w:szCs w:val="24"/>
          <w:rtl/>
        </w:rPr>
        <w:t xml:space="preserve"> </w:t>
      </w:r>
      <w:r w:rsidRPr="00BD5988">
        <w:rPr>
          <w:rFonts w:ascii="Century" w:hAnsi="Century" w:cs="Miriam" w:hint="eastAsia"/>
          <w:b/>
          <w:spacing w:val="0"/>
          <w:szCs w:val="24"/>
          <w:rtl/>
        </w:rPr>
        <w:t>דעת</w:t>
      </w:r>
      <w:r w:rsidRPr="00BD5988">
        <w:rPr>
          <w:rFonts w:ascii="Century" w:hAnsi="Century" w:cs="Miriam"/>
          <w:b/>
          <w:spacing w:val="0"/>
          <w:szCs w:val="24"/>
          <w:rtl/>
        </w:rPr>
        <w:t xml:space="preserve"> </w:t>
      </w:r>
      <w:r w:rsidRPr="00BD5988">
        <w:rPr>
          <w:rFonts w:ascii="Century" w:hAnsi="Century" w:cs="Miriam" w:hint="eastAsia"/>
          <w:b/>
          <w:spacing w:val="0"/>
          <w:szCs w:val="24"/>
          <w:rtl/>
        </w:rPr>
        <w:t>מינהלי</w:t>
      </w:r>
      <w:r w:rsidRPr="00BD5988">
        <w:rPr>
          <w:rFonts w:ascii="Century" w:hAnsi="Century"/>
          <w:rtl/>
        </w:rPr>
        <w:t xml:space="preserve"> </w:t>
      </w:r>
      <w:r w:rsidRPr="00BD5988">
        <w:rPr>
          <w:rFonts w:ascii="Century" w:hAnsi="Century" w:hint="eastAsia"/>
          <w:rtl/>
        </w:rPr>
        <w:t>כרך</w:t>
      </w:r>
      <w:r w:rsidRPr="00BD5988">
        <w:rPr>
          <w:rFonts w:ascii="Century" w:hAnsi="Century"/>
          <w:rtl/>
        </w:rPr>
        <w:t xml:space="preserve"> </w:t>
      </w:r>
      <w:r w:rsidRPr="00BD5988">
        <w:rPr>
          <w:rFonts w:ascii="Century" w:hAnsi="Century" w:hint="eastAsia"/>
          <w:rtl/>
        </w:rPr>
        <w:t>א</w:t>
      </w:r>
      <w:r>
        <w:rPr>
          <w:rFonts w:ascii="Century" w:hAnsi="Century"/>
          <w:rtl/>
        </w:rPr>
        <w:t xml:space="preserve"> 238</w:t>
      </w:r>
      <w:r>
        <w:rPr>
          <w:rFonts w:ascii="Century" w:hAnsi="Century" w:hint="cs"/>
          <w:rtl/>
        </w:rPr>
        <w:t xml:space="preserve">, ה"ש 84 </w:t>
      </w:r>
      <w:r w:rsidRPr="00BD5988">
        <w:rPr>
          <w:rFonts w:ascii="Century" w:hAnsi="Century"/>
          <w:rtl/>
        </w:rPr>
        <w:t>(2022) (</w:t>
      </w:r>
      <w:r w:rsidRPr="00BD5988">
        <w:rPr>
          <w:rFonts w:ascii="Century" w:hAnsi="Century" w:hint="eastAsia"/>
          <w:rtl/>
        </w:rPr>
        <w:t>להלן</w:t>
      </w:r>
      <w:r w:rsidRPr="00BD5988">
        <w:rPr>
          <w:rFonts w:ascii="Century" w:hAnsi="Century"/>
          <w:rtl/>
        </w:rPr>
        <w:t xml:space="preserve">: </w:t>
      </w:r>
      <w:r w:rsidRPr="00BD5988">
        <w:rPr>
          <w:rFonts w:ascii="Century" w:hAnsi="Century" w:cs="Miriam" w:hint="eastAsia"/>
          <w:b/>
          <w:spacing w:val="0"/>
          <w:szCs w:val="24"/>
          <w:rtl/>
        </w:rPr>
        <w:t>דותן</w:t>
      </w:r>
      <w:r w:rsidRPr="00BD5988">
        <w:rPr>
          <w:rFonts w:ascii="Century" w:hAnsi="Century" w:cs="Miriam"/>
          <w:b/>
          <w:spacing w:val="0"/>
          <w:szCs w:val="24"/>
          <w:rtl/>
        </w:rPr>
        <w:t xml:space="preserve">, </w:t>
      </w:r>
      <w:r w:rsidRPr="00BD5988">
        <w:rPr>
          <w:rFonts w:ascii="Century" w:hAnsi="Century" w:cs="Miriam" w:hint="eastAsia"/>
          <w:b/>
          <w:spacing w:val="0"/>
          <w:szCs w:val="24"/>
          <w:rtl/>
        </w:rPr>
        <w:t>ביקורת</w:t>
      </w:r>
      <w:r w:rsidRPr="00BD5988">
        <w:rPr>
          <w:rFonts w:ascii="Century" w:hAnsi="Century" w:cs="Miriam"/>
          <w:b/>
          <w:spacing w:val="0"/>
          <w:szCs w:val="24"/>
          <w:rtl/>
        </w:rPr>
        <w:t xml:space="preserve"> </w:t>
      </w:r>
      <w:r w:rsidRPr="00BD5988">
        <w:rPr>
          <w:rFonts w:ascii="Century" w:hAnsi="Century" w:cs="Miriam" w:hint="eastAsia"/>
          <w:b/>
          <w:spacing w:val="0"/>
          <w:szCs w:val="24"/>
          <w:rtl/>
        </w:rPr>
        <w:t>שיפוטית</w:t>
      </w:r>
      <w:r w:rsidRPr="00BD5988">
        <w:rPr>
          <w:rFonts w:ascii="Century" w:hAnsi="Century"/>
          <w:rtl/>
        </w:rPr>
        <w:t>)).</w:t>
      </w:r>
    </w:p>
    <w:p w:rsidR="00737972" w:rsidRDefault="00737972" w:rsidP="00737972">
      <w:pPr>
        <w:pStyle w:val="Ruller4"/>
        <w:numPr>
          <w:ilvl w:val="0"/>
          <w:numId w:val="0"/>
        </w:numPr>
        <w:rPr>
          <w:rtl/>
        </w:rPr>
      </w:pPr>
      <w:r>
        <w:rPr>
          <w:rtl/>
        </w:rPr>
        <w:t xml:space="preserve"> </w:t>
      </w:r>
    </w:p>
    <w:p w:rsidR="00737972" w:rsidRDefault="00737972" w:rsidP="00737972">
      <w:pPr>
        <w:pStyle w:val="Ruller4"/>
        <w:rPr>
          <w:rtl/>
        </w:rPr>
      </w:pPr>
      <w:r>
        <w:rPr>
          <w:rFonts w:hint="cs"/>
          <w:rtl/>
        </w:rPr>
        <w:t xml:space="preserve">גם בהתייחס באופן נקודתי יותר למצב הדברים בישראל, היו שהצביעו על כך שהתזה על פיה </w:t>
      </w:r>
      <w:r w:rsidRPr="00752DE0">
        <w:rPr>
          <w:rFonts w:hint="cs"/>
          <w:rtl/>
        </w:rPr>
        <w:t xml:space="preserve">הממשלה </w:t>
      </w:r>
      <w:r>
        <w:rPr>
          <w:rFonts w:hint="cs"/>
          <w:rtl/>
        </w:rPr>
        <w:t xml:space="preserve">התחזקה ואף השתלטה </w:t>
      </w:r>
      <w:r w:rsidRPr="00752DE0">
        <w:rPr>
          <w:rFonts w:hint="cs"/>
          <w:rtl/>
        </w:rPr>
        <w:t xml:space="preserve">על פעילות הכנסת איננה משקפת את </w:t>
      </w:r>
      <w:r>
        <w:rPr>
          <w:rFonts w:hint="cs"/>
          <w:rtl/>
        </w:rPr>
        <w:t xml:space="preserve">אופי המשטר בישראל במשך כל השנים </w:t>
      </w:r>
      <w:r w:rsidRPr="00752DE0">
        <w:rPr>
          <w:rFonts w:hint="cs"/>
          <w:rtl/>
        </w:rPr>
        <w:t xml:space="preserve">על כל רבדיו (רבקה וויל "הלכת יולי אדלשטיין וכרונולוגיית יחסי הכוחות" </w:t>
      </w:r>
      <w:r w:rsidRPr="00752DE0">
        <w:rPr>
          <w:rFonts w:ascii="Century" w:hAnsi="Century" w:cs="Miriam" w:hint="cs"/>
          <w:b/>
          <w:spacing w:val="0"/>
          <w:szCs w:val="24"/>
          <w:rtl/>
        </w:rPr>
        <w:t>עיוני משפט</w:t>
      </w:r>
      <w:r w:rsidRPr="00752DE0">
        <w:rPr>
          <w:rFonts w:hint="cs"/>
          <w:rtl/>
        </w:rPr>
        <w:t xml:space="preserve"> מד 321 (2021)</w:t>
      </w:r>
      <w:r>
        <w:rPr>
          <w:rFonts w:hint="cs"/>
          <w:rtl/>
        </w:rPr>
        <w:t xml:space="preserve"> (להלן: </w:t>
      </w:r>
      <w:r w:rsidRPr="00DF242C">
        <w:rPr>
          <w:rFonts w:ascii="Century" w:hAnsi="Century" w:cs="Miriam" w:hint="cs"/>
          <w:b/>
          <w:spacing w:val="0"/>
          <w:szCs w:val="24"/>
          <w:rtl/>
        </w:rPr>
        <w:t>וויל, הלכת יולי אדלשטיין</w:t>
      </w:r>
      <w:r w:rsidRPr="00752DE0">
        <w:rPr>
          <w:rFonts w:hint="cs"/>
          <w:rtl/>
        </w:rPr>
        <w:t>)</w:t>
      </w:r>
      <w:r>
        <w:rPr>
          <w:rFonts w:hint="cs"/>
          <w:rtl/>
        </w:rPr>
        <w:t>). על דרך הכלל, הממשלות בישראל אינן יציבות ושורדות במשך כשנתיים בממוצע; במשך שנים ישראל התמודדה עם מציאות של ממשלות מעבר ארוכות אשר חל עליהן הכלל על פיו עליהן לנהוג בשל כך</w:t>
      </w:r>
      <w:r w:rsidRPr="0064490D">
        <w:rPr>
          <w:rFonts w:hint="cs"/>
          <w:rtl/>
        </w:rPr>
        <w:t xml:space="preserve"> </w:t>
      </w:r>
      <w:r>
        <w:rPr>
          <w:rFonts w:hint="cs"/>
          <w:rtl/>
        </w:rPr>
        <w:t>בריסון ובאיפוק רב, וזאת מכוח פסיקת בית משפט זה (בג"ץ 5167/00</w:t>
      </w:r>
      <w:r w:rsidRPr="00DA29CE">
        <w:rPr>
          <w:rtl/>
        </w:rPr>
        <w:t xml:space="preserve"> </w:t>
      </w:r>
      <w:r w:rsidRPr="005F67EE">
        <w:rPr>
          <w:rFonts w:ascii="Century" w:hAnsi="Century" w:cs="Miriam" w:hint="eastAsia"/>
          <w:b/>
          <w:spacing w:val="0"/>
          <w:szCs w:val="24"/>
          <w:rtl/>
        </w:rPr>
        <w:t>וייס</w:t>
      </w:r>
      <w:r w:rsidRPr="005F67EE">
        <w:rPr>
          <w:rFonts w:ascii="Century" w:hAnsi="Century" w:cs="Miriam"/>
          <w:b/>
          <w:spacing w:val="0"/>
          <w:szCs w:val="24"/>
          <w:rtl/>
        </w:rPr>
        <w:t xml:space="preserve"> </w:t>
      </w:r>
      <w:r w:rsidRPr="005F67EE">
        <w:rPr>
          <w:rFonts w:ascii="Century" w:hAnsi="Century" w:cs="Miriam" w:hint="eastAsia"/>
          <w:b/>
          <w:spacing w:val="0"/>
          <w:szCs w:val="24"/>
          <w:rtl/>
        </w:rPr>
        <w:t>נ</w:t>
      </w:r>
      <w:r w:rsidRPr="005F67EE">
        <w:rPr>
          <w:rFonts w:ascii="Century" w:hAnsi="Century" w:cs="Miriam"/>
          <w:b/>
          <w:spacing w:val="0"/>
          <w:szCs w:val="24"/>
          <w:rtl/>
        </w:rPr>
        <w:t xml:space="preserve">' </w:t>
      </w:r>
      <w:r w:rsidRPr="005F67EE">
        <w:rPr>
          <w:rFonts w:ascii="Century" w:hAnsi="Century" w:cs="Miriam" w:hint="eastAsia"/>
          <w:b/>
          <w:spacing w:val="0"/>
          <w:szCs w:val="24"/>
          <w:rtl/>
        </w:rPr>
        <w:t>ראש</w:t>
      </w:r>
      <w:r>
        <w:rPr>
          <w:rFonts w:ascii="Century" w:hAnsi="Century" w:cs="Miriam" w:hint="cs"/>
          <w:b/>
          <w:spacing w:val="0"/>
          <w:szCs w:val="24"/>
          <w:rtl/>
        </w:rPr>
        <w:t>-</w:t>
      </w:r>
      <w:r w:rsidRPr="005F67EE">
        <w:rPr>
          <w:rFonts w:ascii="Century" w:hAnsi="Century" w:cs="Miriam" w:hint="eastAsia"/>
          <w:b/>
          <w:spacing w:val="0"/>
          <w:szCs w:val="24"/>
          <w:rtl/>
        </w:rPr>
        <w:t>הממשלה</w:t>
      </w:r>
      <w:r>
        <w:rPr>
          <w:rFonts w:ascii="Century" w:hAnsi="Century" w:cs="Miriam" w:hint="cs"/>
          <w:b/>
          <w:spacing w:val="0"/>
          <w:szCs w:val="24"/>
          <w:rtl/>
        </w:rPr>
        <w:t xml:space="preserve"> של מדינת ישראל</w:t>
      </w:r>
      <w:r w:rsidRPr="00DA29CE">
        <w:rPr>
          <w:rtl/>
        </w:rPr>
        <w:t xml:space="preserve">, </w:t>
      </w:r>
      <w:r w:rsidRPr="00DA29CE">
        <w:rPr>
          <w:rFonts w:hint="eastAsia"/>
          <w:rtl/>
        </w:rPr>
        <w:t>פ</w:t>
      </w:r>
      <w:r w:rsidRPr="00DA29CE">
        <w:rPr>
          <w:rtl/>
        </w:rPr>
        <w:t>"</w:t>
      </w:r>
      <w:r w:rsidRPr="00DA29CE">
        <w:rPr>
          <w:rFonts w:hint="eastAsia"/>
          <w:rtl/>
        </w:rPr>
        <w:t>ד</w:t>
      </w:r>
      <w:r w:rsidRPr="00DA29CE">
        <w:rPr>
          <w:rtl/>
        </w:rPr>
        <w:t xml:space="preserve"> </w:t>
      </w:r>
      <w:r w:rsidRPr="00DA29CE">
        <w:rPr>
          <w:rFonts w:hint="eastAsia"/>
          <w:rtl/>
        </w:rPr>
        <w:t>נה</w:t>
      </w:r>
      <w:r w:rsidRPr="00DA29CE">
        <w:rPr>
          <w:rtl/>
        </w:rPr>
        <w:t>(2) 455, 468 (2001)</w:t>
      </w:r>
      <w:r>
        <w:rPr>
          <w:rFonts w:hint="cs"/>
          <w:rtl/>
        </w:rPr>
        <w:t xml:space="preserve">; </w:t>
      </w:r>
      <w:r w:rsidRPr="0064490D">
        <w:rPr>
          <w:rFonts w:hint="eastAsia"/>
          <w:rtl/>
        </w:rPr>
        <w:t>בג</w:t>
      </w:r>
      <w:r>
        <w:rPr>
          <w:rFonts w:hint="cs"/>
          <w:rtl/>
        </w:rPr>
        <w:t>"</w:t>
      </w:r>
      <w:r w:rsidRPr="0064490D">
        <w:rPr>
          <w:rFonts w:hint="eastAsia"/>
          <w:rtl/>
        </w:rPr>
        <w:t>ץ</w:t>
      </w:r>
      <w:r w:rsidRPr="0064490D">
        <w:rPr>
          <w:rtl/>
        </w:rPr>
        <w:t xml:space="preserve"> 6197/22 </w:t>
      </w:r>
      <w:r w:rsidRPr="00BE2051">
        <w:rPr>
          <w:rFonts w:ascii="Century" w:hAnsi="Century" w:cs="Miriam" w:hint="eastAsia"/>
          <w:b/>
          <w:spacing w:val="0"/>
          <w:szCs w:val="24"/>
          <w:rtl/>
        </w:rPr>
        <w:t>איגוד</w:t>
      </w:r>
      <w:r w:rsidRPr="00BE2051">
        <w:rPr>
          <w:rFonts w:ascii="Century" w:hAnsi="Century" w:cs="Miriam"/>
          <w:b/>
          <w:spacing w:val="0"/>
          <w:szCs w:val="24"/>
          <w:rtl/>
        </w:rPr>
        <w:t xml:space="preserve"> </w:t>
      </w:r>
      <w:r w:rsidRPr="00BE2051">
        <w:rPr>
          <w:rFonts w:ascii="Century" w:hAnsi="Century" w:cs="Miriam" w:hint="eastAsia"/>
          <w:b/>
          <w:spacing w:val="0"/>
          <w:szCs w:val="24"/>
          <w:rtl/>
        </w:rPr>
        <w:t>רבני</w:t>
      </w:r>
      <w:r w:rsidRPr="00BE2051">
        <w:rPr>
          <w:rFonts w:ascii="Century" w:hAnsi="Century" w:cs="Miriam"/>
          <w:b/>
          <w:spacing w:val="0"/>
          <w:szCs w:val="24"/>
          <w:rtl/>
        </w:rPr>
        <w:t xml:space="preserve"> </w:t>
      </w:r>
      <w:r w:rsidRPr="00BE2051">
        <w:rPr>
          <w:rFonts w:ascii="Century" w:hAnsi="Century" w:cs="Miriam" w:hint="eastAsia"/>
          <w:b/>
          <w:spacing w:val="0"/>
          <w:szCs w:val="24"/>
          <w:rtl/>
        </w:rPr>
        <w:t>הקהילות</w:t>
      </w:r>
      <w:r w:rsidRPr="00BE2051">
        <w:rPr>
          <w:rFonts w:ascii="Century" w:hAnsi="Century" w:cs="Miriam"/>
          <w:b/>
          <w:spacing w:val="0"/>
          <w:szCs w:val="24"/>
          <w:rtl/>
        </w:rPr>
        <w:t xml:space="preserve"> </w:t>
      </w:r>
      <w:r w:rsidRPr="00BE2051">
        <w:rPr>
          <w:rFonts w:ascii="Century" w:hAnsi="Century" w:cs="Miriam" w:hint="eastAsia"/>
          <w:b/>
          <w:spacing w:val="0"/>
          <w:szCs w:val="24"/>
          <w:rtl/>
        </w:rPr>
        <w:t>בישראל</w:t>
      </w:r>
      <w:r w:rsidRPr="00BE2051">
        <w:rPr>
          <w:rFonts w:ascii="Century" w:hAnsi="Century" w:cs="Miriam"/>
          <w:b/>
          <w:spacing w:val="0"/>
          <w:szCs w:val="24"/>
          <w:rtl/>
        </w:rPr>
        <w:t xml:space="preserve"> </w:t>
      </w:r>
      <w:r w:rsidRPr="00BE2051">
        <w:rPr>
          <w:rFonts w:ascii="Century" w:hAnsi="Century" w:cs="Miriam" w:hint="eastAsia"/>
          <w:b/>
          <w:spacing w:val="0"/>
          <w:szCs w:val="24"/>
          <w:rtl/>
        </w:rPr>
        <w:t>נ</w:t>
      </w:r>
      <w:r w:rsidRPr="00BE2051">
        <w:rPr>
          <w:rFonts w:ascii="Century" w:hAnsi="Century" w:cs="Miriam"/>
          <w:b/>
          <w:spacing w:val="0"/>
          <w:szCs w:val="24"/>
          <w:rtl/>
        </w:rPr>
        <w:t xml:space="preserve">' </w:t>
      </w:r>
      <w:r w:rsidRPr="00BE2051">
        <w:rPr>
          <w:rFonts w:ascii="Century" w:hAnsi="Century" w:cs="Miriam" w:hint="eastAsia"/>
          <w:b/>
          <w:spacing w:val="0"/>
          <w:szCs w:val="24"/>
          <w:rtl/>
        </w:rPr>
        <w:t>שרת</w:t>
      </w:r>
      <w:r w:rsidRPr="00BE2051">
        <w:rPr>
          <w:rFonts w:ascii="Century" w:hAnsi="Century" w:cs="Miriam"/>
          <w:b/>
          <w:spacing w:val="0"/>
          <w:szCs w:val="24"/>
          <w:rtl/>
        </w:rPr>
        <w:t xml:space="preserve"> </w:t>
      </w:r>
      <w:r w:rsidRPr="00BE2051">
        <w:rPr>
          <w:rFonts w:ascii="Century" w:hAnsi="Century" w:cs="Miriam" w:hint="eastAsia"/>
          <w:b/>
          <w:spacing w:val="0"/>
          <w:szCs w:val="24"/>
          <w:rtl/>
        </w:rPr>
        <w:t>החינוך</w:t>
      </w:r>
      <w:r>
        <w:rPr>
          <w:rFonts w:hint="cs"/>
          <w:rtl/>
        </w:rPr>
        <w:t>, פסקה 8 (8.12.2022); בג"ץ</w:t>
      </w:r>
      <w:r w:rsidRPr="0064490D">
        <w:rPr>
          <w:rtl/>
        </w:rPr>
        <w:t xml:space="preserve"> 6654/22</w:t>
      </w:r>
      <w:r>
        <w:rPr>
          <w:rFonts w:hint="cs"/>
          <w:rtl/>
        </w:rPr>
        <w:t xml:space="preserve"> </w:t>
      </w:r>
      <w:r w:rsidRPr="00BE2051">
        <w:rPr>
          <w:rFonts w:ascii="Century" w:hAnsi="Century" w:cs="Miriam" w:hint="eastAsia"/>
          <w:b/>
          <w:spacing w:val="0"/>
          <w:szCs w:val="24"/>
          <w:rtl/>
        </w:rPr>
        <w:t>פורום</w:t>
      </w:r>
      <w:r w:rsidRPr="00BE2051">
        <w:rPr>
          <w:rFonts w:ascii="Century" w:hAnsi="Century" w:cs="Miriam"/>
          <w:b/>
          <w:spacing w:val="0"/>
          <w:szCs w:val="24"/>
          <w:rtl/>
        </w:rPr>
        <w:t xml:space="preserve"> </w:t>
      </w:r>
      <w:r w:rsidRPr="00BE2051">
        <w:rPr>
          <w:rFonts w:ascii="Century" w:hAnsi="Century" w:cs="Miriam" w:hint="eastAsia"/>
          <w:b/>
          <w:spacing w:val="0"/>
          <w:szCs w:val="24"/>
          <w:rtl/>
        </w:rPr>
        <w:t>קהלת</w:t>
      </w:r>
      <w:r w:rsidRPr="00BE2051">
        <w:rPr>
          <w:rFonts w:ascii="Century" w:hAnsi="Century" w:cs="Miriam"/>
          <w:b/>
          <w:spacing w:val="0"/>
          <w:szCs w:val="24"/>
          <w:rtl/>
        </w:rPr>
        <w:t xml:space="preserve"> </w:t>
      </w:r>
      <w:r w:rsidRPr="00BE2051">
        <w:rPr>
          <w:rFonts w:ascii="Century" w:hAnsi="Century" w:cs="Miriam" w:hint="eastAsia"/>
          <w:b/>
          <w:spacing w:val="0"/>
          <w:szCs w:val="24"/>
          <w:rtl/>
        </w:rPr>
        <w:t>נ</w:t>
      </w:r>
      <w:r w:rsidRPr="00BE2051">
        <w:rPr>
          <w:rFonts w:ascii="Century" w:hAnsi="Century" w:cs="Miriam"/>
          <w:b/>
          <w:spacing w:val="0"/>
          <w:szCs w:val="24"/>
          <w:rtl/>
        </w:rPr>
        <w:t xml:space="preserve">' </w:t>
      </w:r>
      <w:r w:rsidRPr="00BE2051">
        <w:rPr>
          <w:rFonts w:ascii="Century" w:hAnsi="Century" w:cs="Miriam" w:hint="eastAsia"/>
          <w:b/>
          <w:spacing w:val="0"/>
          <w:szCs w:val="24"/>
          <w:rtl/>
        </w:rPr>
        <w:t>ראש</w:t>
      </w:r>
      <w:r w:rsidRPr="00BE2051">
        <w:rPr>
          <w:rFonts w:ascii="Century" w:hAnsi="Century" w:cs="Miriam"/>
          <w:b/>
          <w:spacing w:val="0"/>
          <w:szCs w:val="24"/>
          <w:rtl/>
        </w:rPr>
        <w:t xml:space="preserve"> </w:t>
      </w:r>
      <w:r w:rsidRPr="00BE2051">
        <w:rPr>
          <w:rFonts w:ascii="Century" w:hAnsi="Century" w:cs="Miriam" w:hint="eastAsia"/>
          <w:b/>
          <w:spacing w:val="0"/>
          <w:szCs w:val="24"/>
          <w:rtl/>
        </w:rPr>
        <w:t>הממשלה</w:t>
      </w:r>
      <w:r>
        <w:rPr>
          <w:rFonts w:hint="cs"/>
          <w:rtl/>
        </w:rPr>
        <w:t>, פסקאות 7-6 לחוות דעתה של הנשיאה (בדימ') (13.1.2022)); חלק מהמנגנונים שמקובל לתאר ככאלה המחלישים את הכנסת והמחזקים את הממשלה נועדו להתמודד עם החולשה המובנית של הממשלה כפועל יוצא משיטת הבחירות היחסיות; ועוד. על כך יוסף ואולי אף זאת עיקר, כי "הממשלה מכהנת מכוח אמון הכנסת"</w:t>
      </w:r>
      <w:r>
        <w:t xml:space="preserve"> </w:t>
      </w:r>
      <w:r>
        <w:rPr>
          <w:rFonts w:hint="cs"/>
          <w:rtl/>
        </w:rPr>
        <w:t xml:space="preserve">כלשון סעיף 3 לחוק יסוד: הממשלה, כאשר בידי </w:t>
      </w:r>
      <w:r w:rsidRPr="00EB37B7">
        <w:rPr>
          <w:rFonts w:ascii="Century" w:hAnsi="Century" w:cs="Miriam" w:hint="cs"/>
          <w:b/>
          <w:spacing w:val="0"/>
          <w:szCs w:val="24"/>
          <w:rtl/>
        </w:rPr>
        <w:t>הכנסת</w:t>
      </w:r>
      <w:r w:rsidRPr="00EB37B7">
        <w:rPr>
          <w:rFonts w:hint="cs"/>
          <w:rtl/>
        </w:rPr>
        <w:t xml:space="preserve"> </w:t>
      </w:r>
      <w:r>
        <w:rPr>
          <w:rFonts w:hint="cs"/>
          <w:rtl/>
        </w:rPr>
        <w:t xml:space="preserve">הכוח להביא לסיום הממשלה בהצבעת אי-אמון. כך נוכחנו בדבר במו עינינו, בתקופת כהונת הממשלה הקודמת (הממשלה ה-36), כאשר הספיקה פרישתה של חברת כנסת אחת (ח"כ עידית סילמן) כדי להתניע את הפלת הממשלה כולה. </w:t>
      </w:r>
    </w:p>
    <w:p w:rsidR="00737972" w:rsidRDefault="00737972" w:rsidP="00737972">
      <w:pPr>
        <w:pStyle w:val="Ruller41"/>
        <w:rPr>
          <w:rtl/>
        </w:rPr>
      </w:pPr>
    </w:p>
    <w:p w:rsidR="00737972" w:rsidRDefault="00737972" w:rsidP="00737972">
      <w:pPr>
        <w:pStyle w:val="Ruller4"/>
        <w:rPr>
          <w:rtl/>
        </w:rPr>
      </w:pPr>
      <w:r>
        <w:rPr>
          <w:rFonts w:hint="cs"/>
          <w:rtl/>
        </w:rPr>
        <w:t xml:space="preserve">דיון מסוג זה גם לעולם יהיה חסר אם נתעלם מהיבט התגברות </w:t>
      </w:r>
      <w:r w:rsidRPr="00DF242C">
        <w:rPr>
          <w:rFonts w:ascii="Century" w:hAnsi="Century" w:cs="Miriam" w:hint="cs"/>
          <w:b/>
          <w:spacing w:val="0"/>
          <w:szCs w:val="24"/>
          <w:rtl/>
        </w:rPr>
        <w:t>הפיקוח המשפטי</w:t>
      </w:r>
      <w:r w:rsidRPr="00DF242C">
        <w:rPr>
          <w:rFonts w:hint="cs"/>
          <w:rtl/>
        </w:rPr>
        <w:t xml:space="preserve"> </w:t>
      </w:r>
      <w:r>
        <w:rPr>
          <w:rFonts w:hint="cs"/>
          <w:rtl/>
        </w:rPr>
        <w:t xml:space="preserve">מצד בתי המשפט הן על הממשלה והן על הכנסת (וראו למשל: </w:t>
      </w:r>
      <w:r w:rsidRPr="00DF242C">
        <w:rPr>
          <w:rFonts w:ascii="Century" w:hAnsi="Century" w:cs="Miriam" w:hint="cs"/>
          <w:b/>
          <w:spacing w:val="0"/>
          <w:szCs w:val="24"/>
          <w:rtl/>
        </w:rPr>
        <w:t>וויל, הלכת יולי אדלשטיין</w:t>
      </w:r>
      <w:r>
        <w:rPr>
          <w:rFonts w:hint="cs"/>
          <w:rtl/>
        </w:rPr>
        <w:t xml:space="preserve">, עמ' 336; </w:t>
      </w:r>
      <w:r w:rsidRPr="00261715">
        <w:rPr>
          <w:rFonts w:ascii="Century" w:hAnsi="Century" w:cs="Miriam" w:hint="cs"/>
          <w:b/>
          <w:spacing w:val="0"/>
          <w:szCs w:val="24"/>
          <w:rtl/>
        </w:rPr>
        <w:t>דותן, הביקורת השיפוטית</w:t>
      </w:r>
      <w:r>
        <w:rPr>
          <w:rFonts w:hint="cs"/>
          <w:rtl/>
        </w:rPr>
        <w:t>, עמ' 94-93). ההכרעה כי בית משפט זה הוא שצריך "להיכנס לזירה" לאור חולשתה של הכנסת או התגברות חוזקה של הממשלה, אינה יכולה לעמוד ללא בדיקה עצמית מקיפה בדבר היקף סמכויותיו של בית משפט זה והמקום שהוא קנה לעצמו בתוך צלעות המשולש.</w:t>
      </w:r>
    </w:p>
    <w:p w:rsidR="00737972" w:rsidRDefault="00737972" w:rsidP="00737972">
      <w:pPr>
        <w:pStyle w:val="Ruller41"/>
        <w:rPr>
          <w:rtl/>
        </w:rPr>
      </w:pPr>
    </w:p>
    <w:p w:rsidR="00737972" w:rsidRDefault="00737972" w:rsidP="00737972">
      <w:pPr>
        <w:pStyle w:val="Ruller4"/>
        <w:rPr>
          <w:rtl/>
        </w:rPr>
      </w:pPr>
      <w:r>
        <w:rPr>
          <w:rFonts w:hint="cs"/>
          <w:rtl/>
        </w:rPr>
        <w:t xml:space="preserve">מכל מקום, אינני מוצא מקום להאריך מילים בדבר הטענה כי בישראל עסקינן בדמוקרטיה "מוחלשת" או בלשונו של חברי השופט </w:t>
      </w:r>
      <w:r w:rsidRPr="00A45F5D">
        <w:rPr>
          <w:rFonts w:ascii="Century" w:hAnsi="Century" w:cs="Miriam" w:hint="eastAsia"/>
          <w:b/>
          <w:spacing w:val="0"/>
          <w:sz w:val="22"/>
          <w:szCs w:val="24"/>
          <w:rtl/>
        </w:rPr>
        <w:t>עמית</w:t>
      </w:r>
      <w:r w:rsidRPr="00C2366A">
        <w:rPr>
          <w:rFonts w:hint="cs"/>
          <w:rtl/>
        </w:rPr>
        <w:t xml:space="preserve"> </w:t>
      </w:r>
      <w:r>
        <w:rPr>
          <w:rtl/>
        </w:rPr>
        <w:t>–</w:t>
      </w:r>
      <w:r>
        <w:rPr>
          <w:rFonts w:hint="cs"/>
          <w:rtl/>
        </w:rPr>
        <w:t xml:space="preserve"> שאינה "משוכללת", הזקוקה והנדרשת, ולוּ בשל חולשה זו לבדה, ל"הצלה" על ידי בית המשפט. אני גאה מאוד בקיומנו כדמוקרטיה עיקשת, חזקה ומשמעותית בעולם בכלל ובלב המזרח התיכון </w:t>
      </w:r>
      <w:r>
        <w:rPr>
          <w:rFonts w:hint="cs"/>
          <w:rtl/>
        </w:rPr>
        <w:lastRenderedPageBreak/>
        <w:t>בפרט. זאת בוודאי בהתחשב בייחודיות המציאות הישראלית, בהינתן האתגרים המורכבים איתם נדרשת מדינתנו הקטנה להתמודד חדשים לבקרים, וביניהם האיומים הביטחוניים השונים המעמידים לפתחנו אתגרים קשים ומורכבים, כפי שגם אנו חשים על בשרנו בחודשים האחרונים ממש.</w:t>
      </w:r>
      <w:r>
        <w:rPr>
          <w:rtl/>
        </w:rPr>
        <w:t xml:space="preserve"> </w:t>
      </w:r>
    </w:p>
    <w:p w:rsidR="00737972" w:rsidRDefault="00737972" w:rsidP="00737972">
      <w:pPr>
        <w:pStyle w:val="Ruller41"/>
        <w:rPr>
          <w:rtl/>
        </w:rPr>
      </w:pPr>
    </w:p>
    <w:p w:rsidR="00737972" w:rsidRDefault="00737972" w:rsidP="00737972">
      <w:pPr>
        <w:pStyle w:val="Ruller4"/>
        <w:rPr>
          <w:rtl/>
        </w:rPr>
      </w:pPr>
      <w:r>
        <w:rPr>
          <w:rFonts w:hint="cs"/>
          <w:rtl/>
        </w:rPr>
        <w:t>ככל שיטת משטר דמוקרטית, גם שיטת המשטר במדינת ישראל מבוססת על קיומה של מערכת בלמים ואיזונים. בתוך כך, נשמעים קולות שונים בדבר היקף הביקורת השיפוטית על פעולות הממשלה והכנסת. הדיון והבירור לגבי נקודת האיזון הרצויה, לגבי תיחום פעולותיהן השונות של כלל הרשויות, אינו פוגע מעצם טיבו ב"דמוקרטיה". אדרבה. ניתן לומר כי ביטול חוק יסוד בהתבסס על דוקטרינה מעורפלת, הוא זה הטומן בחובו מחיר לא מבוטל, מנקודת מבט דמוקרטית.</w:t>
      </w:r>
    </w:p>
    <w:p w:rsidR="00737972" w:rsidRDefault="00737972" w:rsidP="00737972">
      <w:pPr>
        <w:pStyle w:val="Ruller41"/>
        <w:rPr>
          <w:b/>
          <w:bCs/>
          <w:u w:val="single"/>
          <w:rtl/>
        </w:rPr>
      </w:pPr>
    </w:p>
    <w:p w:rsidR="00737972" w:rsidRPr="0069122B" w:rsidRDefault="00737972" w:rsidP="00737972">
      <w:pPr>
        <w:pStyle w:val="Ruller41"/>
        <w:rPr>
          <w:rFonts w:ascii="Century" w:hAnsi="Century" w:cs="Miriam"/>
          <w:b/>
          <w:spacing w:val="0"/>
          <w:szCs w:val="24"/>
          <w:rtl/>
        </w:rPr>
      </w:pPr>
      <w:r w:rsidRPr="0069122B">
        <w:rPr>
          <w:rFonts w:ascii="Century" w:hAnsi="Century" w:cs="Miriam" w:hint="cs"/>
          <w:b/>
          <w:spacing w:val="0"/>
          <w:szCs w:val="24"/>
          <w:rtl/>
        </w:rPr>
        <w:t>על הסבירות</w:t>
      </w:r>
      <w:r>
        <w:rPr>
          <w:rFonts w:ascii="Century" w:hAnsi="Century" w:cs="Miriam" w:hint="cs"/>
          <w:b/>
          <w:spacing w:val="0"/>
          <w:szCs w:val="24"/>
          <w:rtl/>
        </w:rPr>
        <w:t>, על קצה המזלג</w:t>
      </w:r>
    </w:p>
    <w:p w:rsidR="00737972" w:rsidRDefault="00737972" w:rsidP="00737972">
      <w:pPr>
        <w:pStyle w:val="Ruller4"/>
        <w:rPr>
          <w:rtl/>
        </w:rPr>
      </w:pPr>
      <w:r w:rsidRPr="00475889">
        <w:rPr>
          <w:rFonts w:hint="eastAsia"/>
          <w:rtl/>
        </w:rPr>
        <w:t>כאמור</w:t>
      </w:r>
      <w:r w:rsidRPr="00475889">
        <w:rPr>
          <w:rtl/>
        </w:rPr>
        <w:t xml:space="preserve"> </w:t>
      </w:r>
      <w:r w:rsidRPr="00475889">
        <w:rPr>
          <w:rFonts w:hint="eastAsia"/>
          <w:rtl/>
        </w:rPr>
        <w:t>לעיל</w:t>
      </w:r>
      <w:r w:rsidRPr="00475889">
        <w:rPr>
          <w:rtl/>
        </w:rPr>
        <w:t xml:space="preserve">, </w:t>
      </w:r>
      <w:r w:rsidRPr="00475889">
        <w:rPr>
          <w:rFonts w:hint="eastAsia"/>
          <w:rtl/>
        </w:rPr>
        <w:t>לעמדתי</w:t>
      </w:r>
      <w:r w:rsidRPr="00475889">
        <w:rPr>
          <w:rtl/>
        </w:rPr>
        <w:t xml:space="preserve"> </w:t>
      </w:r>
      <w:r w:rsidRPr="00475889">
        <w:rPr>
          <w:rFonts w:hint="eastAsia"/>
          <w:rtl/>
        </w:rPr>
        <w:t>כלל</w:t>
      </w:r>
      <w:r w:rsidRPr="00475889">
        <w:rPr>
          <w:rtl/>
        </w:rPr>
        <w:t xml:space="preserve"> </w:t>
      </w:r>
      <w:r w:rsidRPr="00475889">
        <w:rPr>
          <w:rFonts w:hint="eastAsia"/>
          <w:rtl/>
        </w:rPr>
        <w:t>אין</w:t>
      </w:r>
      <w:r w:rsidRPr="00475889">
        <w:rPr>
          <w:rtl/>
        </w:rPr>
        <w:t xml:space="preserve"> </w:t>
      </w:r>
      <w:r w:rsidRPr="00475889">
        <w:rPr>
          <w:rFonts w:hint="eastAsia"/>
          <w:rtl/>
        </w:rPr>
        <w:t>בית</w:t>
      </w:r>
      <w:r w:rsidRPr="00475889">
        <w:rPr>
          <w:rtl/>
        </w:rPr>
        <w:t xml:space="preserve"> </w:t>
      </w:r>
      <w:r w:rsidRPr="00475889">
        <w:rPr>
          <w:rFonts w:hint="eastAsia"/>
          <w:rtl/>
        </w:rPr>
        <w:t>משפט</w:t>
      </w:r>
      <w:r w:rsidRPr="00475889">
        <w:rPr>
          <w:rtl/>
        </w:rPr>
        <w:t xml:space="preserve"> </w:t>
      </w:r>
      <w:r w:rsidRPr="00475889">
        <w:rPr>
          <w:rFonts w:hint="eastAsia"/>
          <w:rtl/>
        </w:rPr>
        <w:t>זה</w:t>
      </w:r>
      <w:r w:rsidRPr="00475889">
        <w:rPr>
          <w:rtl/>
        </w:rPr>
        <w:t xml:space="preserve"> </w:t>
      </w:r>
      <w:r w:rsidRPr="00475889">
        <w:rPr>
          <w:rFonts w:hint="eastAsia"/>
          <w:rtl/>
        </w:rPr>
        <w:t>מוסמך</w:t>
      </w:r>
      <w:r w:rsidRPr="00475889">
        <w:rPr>
          <w:rtl/>
        </w:rPr>
        <w:t xml:space="preserve"> </w:t>
      </w:r>
      <w:r>
        <w:rPr>
          <w:rFonts w:hint="cs"/>
          <w:rtl/>
        </w:rPr>
        <w:t>לבקר חוקי יסוד</w:t>
      </w:r>
      <w:r w:rsidRPr="00475889">
        <w:rPr>
          <w:rtl/>
        </w:rPr>
        <w:t xml:space="preserve">, </w:t>
      </w:r>
      <w:r>
        <w:rPr>
          <w:rFonts w:hint="cs"/>
          <w:rtl/>
        </w:rPr>
        <w:t xml:space="preserve">כאשר </w:t>
      </w:r>
      <w:r w:rsidRPr="00475889">
        <w:rPr>
          <w:rFonts w:hint="eastAsia"/>
          <w:rtl/>
        </w:rPr>
        <w:t>פעולה</w:t>
      </w:r>
      <w:r w:rsidRPr="00475889">
        <w:rPr>
          <w:rtl/>
        </w:rPr>
        <w:t xml:space="preserve"> </w:t>
      </w:r>
      <w:r w:rsidRPr="00475889">
        <w:rPr>
          <w:rFonts w:hint="eastAsia"/>
          <w:rtl/>
        </w:rPr>
        <w:t>בחוסר</w:t>
      </w:r>
      <w:r w:rsidRPr="00475889">
        <w:rPr>
          <w:rtl/>
        </w:rPr>
        <w:t xml:space="preserve"> </w:t>
      </w:r>
      <w:r w:rsidRPr="00475889">
        <w:rPr>
          <w:rFonts w:hint="eastAsia"/>
          <w:rtl/>
        </w:rPr>
        <w:t>סמכות</w:t>
      </w:r>
      <w:r w:rsidRPr="00475889">
        <w:rPr>
          <w:rtl/>
        </w:rPr>
        <w:t xml:space="preserve"> </w:t>
      </w:r>
      <w:r w:rsidRPr="00475889">
        <w:rPr>
          <w:rFonts w:hint="eastAsia"/>
          <w:rtl/>
        </w:rPr>
        <w:t>לוקה</w:t>
      </w:r>
      <w:r w:rsidRPr="00475889">
        <w:rPr>
          <w:rtl/>
        </w:rPr>
        <w:t xml:space="preserve"> </w:t>
      </w:r>
      <w:r w:rsidRPr="00475889">
        <w:rPr>
          <w:rFonts w:hint="eastAsia"/>
          <w:rtl/>
        </w:rPr>
        <w:t>בפגם</w:t>
      </w:r>
      <w:r w:rsidRPr="00475889">
        <w:rPr>
          <w:rtl/>
        </w:rPr>
        <w:t xml:space="preserve"> </w:t>
      </w:r>
      <w:r w:rsidRPr="00475889">
        <w:rPr>
          <w:rFonts w:hint="eastAsia"/>
          <w:rtl/>
        </w:rPr>
        <w:t>חריף</w:t>
      </w:r>
      <w:r w:rsidRPr="00475889">
        <w:rPr>
          <w:rtl/>
        </w:rPr>
        <w:t xml:space="preserve"> </w:t>
      </w:r>
      <w:r w:rsidRPr="00475889">
        <w:rPr>
          <w:rFonts w:hint="eastAsia"/>
          <w:rtl/>
        </w:rPr>
        <w:t>ביותר</w:t>
      </w:r>
      <w:r>
        <w:rPr>
          <w:rFonts w:hint="cs"/>
          <w:rtl/>
        </w:rPr>
        <w:t xml:space="preserve">. </w:t>
      </w:r>
      <w:r w:rsidRPr="00475889">
        <w:rPr>
          <w:rFonts w:hint="eastAsia"/>
          <w:rtl/>
        </w:rPr>
        <w:t>גם</w:t>
      </w:r>
      <w:r w:rsidRPr="00475889">
        <w:rPr>
          <w:rtl/>
        </w:rPr>
        <w:t xml:space="preserve"> </w:t>
      </w:r>
      <w:r>
        <w:rPr>
          <w:rFonts w:hint="cs"/>
          <w:rtl/>
        </w:rPr>
        <w:t xml:space="preserve">מנקודת המוצא של חבריי, </w:t>
      </w:r>
      <w:r w:rsidRPr="00475889">
        <w:rPr>
          <w:rFonts w:hint="eastAsia"/>
          <w:rtl/>
        </w:rPr>
        <w:t>המכירה</w:t>
      </w:r>
      <w:r w:rsidRPr="00475889">
        <w:rPr>
          <w:rtl/>
        </w:rPr>
        <w:t xml:space="preserve"> </w:t>
      </w:r>
      <w:r w:rsidRPr="00475889">
        <w:rPr>
          <w:rFonts w:hint="eastAsia"/>
          <w:rtl/>
        </w:rPr>
        <w:t>בסמכות</w:t>
      </w:r>
      <w:r w:rsidRPr="00475889">
        <w:rPr>
          <w:rtl/>
        </w:rPr>
        <w:t xml:space="preserve"> </w:t>
      </w:r>
      <w:r w:rsidRPr="00475889">
        <w:rPr>
          <w:rFonts w:hint="eastAsia"/>
          <w:rtl/>
        </w:rPr>
        <w:t>לבקר</w:t>
      </w:r>
      <w:r w:rsidRPr="00475889">
        <w:rPr>
          <w:rtl/>
        </w:rPr>
        <w:t xml:space="preserve"> </w:t>
      </w:r>
      <w:r w:rsidRPr="00475889">
        <w:rPr>
          <w:rFonts w:hint="eastAsia"/>
          <w:rtl/>
        </w:rPr>
        <w:t>חוקי</w:t>
      </w:r>
      <w:r w:rsidRPr="00475889">
        <w:rPr>
          <w:rtl/>
        </w:rPr>
        <w:t xml:space="preserve"> </w:t>
      </w:r>
      <w:r w:rsidRPr="00475889">
        <w:rPr>
          <w:rFonts w:hint="eastAsia"/>
          <w:rtl/>
        </w:rPr>
        <w:t>יסוד</w:t>
      </w:r>
      <w:r w:rsidRPr="00475889">
        <w:rPr>
          <w:rtl/>
        </w:rPr>
        <w:t xml:space="preserve">, </w:t>
      </w:r>
      <w:r w:rsidRPr="00475889">
        <w:rPr>
          <w:rFonts w:hint="eastAsia"/>
          <w:rtl/>
        </w:rPr>
        <w:t>אמת</w:t>
      </w:r>
      <w:r w:rsidRPr="00475889">
        <w:rPr>
          <w:rtl/>
        </w:rPr>
        <w:t xml:space="preserve"> </w:t>
      </w:r>
      <w:r w:rsidRPr="00475889">
        <w:rPr>
          <w:rFonts w:hint="eastAsia"/>
          <w:rtl/>
        </w:rPr>
        <w:t>המידה</w:t>
      </w:r>
      <w:r w:rsidRPr="00475889">
        <w:rPr>
          <w:rtl/>
        </w:rPr>
        <w:t xml:space="preserve"> </w:t>
      </w:r>
      <w:r w:rsidRPr="00475889">
        <w:rPr>
          <w:rFonts w:hint="eastAsia"/>
          <w:rtl/>
        </w:rPr>
        <w:t>להפעל</w:t>
      </w:r>
      <w:r>
        <w:rPr>
          <w:rFonts w:hint="cs"/>
          <w:rtl/>
        </w:rPr>
        <w:t>ת</w:t>
      </w:r>
      <w:r w:rsidRPr="00475889">
        <w:rPr>
          <w:rFonts w:hint="eastAsia"/>
          <w:rtl/>
        </w:rPr>
        <w:t>ה</w:t>
      </w:r>
      <w:r w:rsidRPr="00475889">
        <w:rPr>
          <w:rtl/>
        </w:rPr>
        <w:t xml:space="preserve"> </w:t>
      </w:r>
      <w:r>
        <w:rPr>
          <w:rFonts w:hint="cs"/>
          <w:rtl/>
        </w:rPr>
        <w:t xml:space="preserve">הינה </w:t>
      </w:r>
      <w:r w:rsidRPr="00475889">
        <w:rPr>
          <w:rFonts w:hint="eastAsia"/>
          <w:rtl/>
        </w:rPr>
        <w:t>עמומה</w:t>
      </w:r>
      <w:r w:rsidRPr="00475889">
        <w:rPr>
          <w:rtl/>
        </w:rPr>
        <w:t xml:space="preserve"> </w:t>
      </w:r>
      <w:r w:rsidRPr="00475889">
        <w:rPr>
          <w:rFonts w:hint="eastAsia"/>
          <w:rtl/>
        </w:rPr>
        <w:t>ביותר</w:t>
      </w:r>
      <w:r>
        <w:rPr>
          <w:rFonts w:hint="cs"/>
          <w:rtl/>
        </w:rPr>
        <w:t xml:space="preserve">, </w:t>
      </w:r>
      <w:r w:rsidRPr="00475889">
        <w:rPr>
          <w:rFonts w:hint="eastAsia"/>
          <w:rtl/>
        </w:rPr>
        <w:t>נסמכת</w:t>
      </w:r>
      <w:r w:rsidRPr="00475889">
        <w:rPr>
          <w:rtl/>
        </w:rPr>
        <w:t xml:space="preserve"> </w:t>
      </w:r>
      <w:r w:rsidRPr="00475889">
        <w:rPr>
          <w:rFonts w:hint="eastAsia"/>
          <w:rtl/>
        </w:rPr>
        <w:t>על</w:t>
      </w:r>
      <w:r w:rsidRPr="00475889">
        <w:rPr>
          <w:rtl/>
        </w:rPr>
        <w:t xml:space="preserve"> </w:t>
      </w:r>
      <w:r w:rsidRPr="00475889">
        <w:rPr>
          <w:rFonts w:hint="eastAsia"/>
          <w:rtl/>
        </w:rPr>
        <w:t>עקרונות</w:t>
      </w:r>
      <w:r w:rsidRPr="00475889">
        <w:rPr>
          <w:rtl/>
        </w:rPr>
        <w:t xml:space="preserve"> </w:t>
      </w:r>
      <w:r w:rsidRPr="00475889">
        <w:rPr>
          <w:rFonts w:hint="eastAsia"/>
          <w:rtl/>
        </w:rPr>
        <w:t>מעורפלים</w:t>
      </w:r>
      <w:r>
        <w:rPr>
          <w:rFonts w:hint="cs"/>
          <w:rtl/>
        </w:rPr>
        <w:t xml:space="preserve"> ופיתוחה מהווה בפני עצמו לעניות דעתי ביטוי לגירעון דמוקרטי ופגיעה בערכי יסוד דמוקרטיים</w:t>
      </w:r>
      <w:r w:rsidRPr="00475889">
        <w:rPr>
          <w:rtl/>
        </w:rPr>
        <w:t xml:space="preserve">. </w:t>
      </w:r>
      <w:r>
        <w:rPr>
          <w:rFonts w:hint="cs"/>
          <w:rtl/>
        </w:rPr>
        <w:t>מכאן כי לשיטתי איננו נדרשים כלל לשאלת הביקורת השיפוטית במקרה זה.</w:t>
      </w:r>
    </w:p>
    <w:p w:rsidR="00737972" w:rsidRPr="0064490D" w:rsidRDefault="00737972" w:rsidP="00737972">
      <w:pPr>
        <w:pStyle w:val="Ruller41"/>
        <w:rPr>
          <w:rtl/>
        </w:rPr>
      </w:pPr>
    </w:p>
    <w:p w:rsidR="00737972" w:rsidRDefault="00737972" w:rsidP="00737972">
      <w:pPr>
        <w:pStyle w:val="Ruller4"/>
        <w:numPr>
          <w:ilvl w:val="0"/>
          <w:numId w:val="0"/>
        </w:numPr>
        <w:rPr>
          <w:rtl/>
        </w:rPr>
      </w:pPr>
      <w:r>
        <w:rPr>
          <w:rtl/>
        </w:rPr>
        <w:tab/>
      </w:r>
      <w:r>
        <w:rPr>
          <w:rFonts w:hint="cs"/>
          <w:rtl/>
        </w:rPr>
        <w:t xml:space="preserve">ברם, פטור בלא כלום אי אפשר. על כן אוסיף מספר מילים לגופו של התיקון מושא דיוננו, ובעיקר בכל הנוגע לסוגיה הכללית של פרשנות התיקון ולנקודת האיזון שבין התכלית הסובייקטיבית לתכלית האובייקטיבית, בעיקר בחוקי יסוד. זאת הגם כי מסכים אני עם עמדת חברי השופט </w:t>
      </w:r>
      <w:r w:rsidRPr="0079516D">
        <w:rPr>
          <w:rFonts w:ascii="Century" w:hAnsi="Century" w:cs="Miriam" w:hint="cs"/>
          <w:b/>
          <w:spacing w:val="0"/>
          <w:sz w:val="22"/>
          <w:szCs w:val="24"/>
          <w:rtl/>
        </w:rPr>
        <w:t>י' אלרון</w:t>
      </w:r>
      <w:r>
        <w:rPr>
          <w:rFonts w:hint="cs"/>
          <w:rtl/>
        </w:rPr>
        <w:t>, כי גם דיון בקשר לפרשנות התיקון הינו במידה רבה מוקדם וחסר בשלות טרם יושמו ועוצבו גבולותיו בפסיקת בית המשפט.</w:t>
      </w:r>
    </w:p>
    <w:p w:rsidR="00737972" w:rsidRPr="00F6363B" w:rsidRDefault="00737972" w:rsidP="00737972">
      <w:pPr>
        <w:pStyle w:val="Ruller4"/>
        <w:numPr>
          <w:ilvl w:val="0"/>
          <w:numId w:val="0"/>
        </w:numPr>
      </w:pPr>
    </w:p>
    <w:p w:rsidR="00737972" w:rsidRDefault="00737972" w:rsidP="00737972">
      <w:pPr>
        <w:pStyle w:val="Ruller4"/>
      </w:pPr>
      <w:r>
        <w:rPr>
          <w:rFonts w:hint="cs"/>
          <w:rtl/>
        </w:rPr>
        <w:t xml:space="preserve">חבריי עמדו בהרחבה על המשמעויות השונות שניתנו לעילת ה"סבירות", על התפתחותה בפסיקת בית משפט זה ועל הביקורת שנשמעה בקשר אליה מכיוונים שונים. אין מקום לחזור על סקירה זו. די בכך שאציין כי התיקון בא לעולם על רקע מחלוקת שנתגלעה באשר להיקף גבולותיה ויישומה הראוי של עילה זו, אשר מצאה לה הדים בפסיקת שופטי בית משפט זה ובקרב מלומדים שונים ונבחרי ציבור. נדמה כי עיקר הדיון בעת הזו מתכנס סביב פרשנות התיקון, האם ההוראה שעוגנה במסגרתו סובלת "פרשנות מצמצמת" על פיה מדובר בצמצום עילת הסבירות לימיה טרם הלכת </w:t>
      </w:r>
      <w:r w:rsidRPr="00AB2790">
        <w:rPr>
          <w:rFonts w:ascii="Century" w:hAnsi="Century" w:cs="Miriam" w:hint="cs"/>
          <w:b/>
          <w:spacing w:val="0"/>
          <w:sz w:val="22"/>
          <w:szCs w:val="24"/>
          <w:rtl/>
        </w:rPr>
        <w:t>דפי זהב</w:t>
      </w:r>
      <w:r>
        <w:rPr>
          <w:rFonts w:hint="cs"/>
          <w:rtl/>
        </w:rPr>
        <w:t xml:space="preserve"> (</w:t>
      </w:r>
      <w:r w:rsidRPr="0064490D">
        <w:rPr>
          <w:rFonts w:hint="eastAsia"/>
          <w:rtl/>
        </w:rPr>
        <w:t>בג</w:t>
      </w:r>
      <w:r w:rsidRPr="0064490D">
        <w:rPr>
          <w:rtl/>
        </w:rPr>
        <w:t>"</w:t>
      </w:r>
      <w:r w:rsidRPr="0064490D">
        <w:rPr>
          <w:rFonts w:hint="eastAsia"/>
          <w:rtl/>
        </w:rPr>
        <w:t>ץ</w:t>
      </w:r>
      <w:r>
        <w:rPr>
          <w:rtl/>
        </w:rPr>
        <w:t xml:space="preserve"> </w:t>
      </w:r>
      <w:r>
        <w:rPr>
          <w:rtl/>
        </w:rPr>
        <w:lastRenderedPageBreak/>
        <w:t>389</w:t>
      </w:r>
      <w:r>
        <w:rPr>
          <w:rFonts w:hint="cs"/>
          <w:rtl/>
        </w:rPr>
        <w:t>/</w:t>
      </w:r>
      <w:r w:rsidRPr="0064490D">
        <w:rPr>
          <w:rtl/>
        </w:rPr>
        <w:t xml:space="preserve">80 </w:t>
      </w:r>
      <w:r w:rsidRPr="0064490D">
        <w:rPr>
          <w:rFonts w:ascii="Century" w:hAnsi="Century" w:cs="Miriam" w:hint="eastAsia"/>
          <w:b/>
          <w:spacing w:val="0"/>
          <w:sz w:val="22"/>
          <w:szCs w:val="24"/>
          <w:rtl/>
        </w:rPr>
        <w:t>דפי</w:t>
      </w:r>
      <w:r w:rsidRPr="0064490D">
        <w:rPr>
          <w:rFonts w:ascii="Century" w:hAnsi="Century" w:cs="Miriam"/>
          <w:b/>
          <w:spacing w:val="0"/>
          <w:sz w:val="22"/>
          <w:szCs w:val="24"/>
          <w:rtl/>
        </w:rPr>
        <w:t xml:space="preserve"> </w:t>
      </w:r>
      <w:r w:rsidRPr="0064490D">
        <w:rPr>
          <w:rFonts w:ascii="Century" w:hAnsi="Century" w:cs="Miriam" w:hint="eastAsia"/>
          <w:b/>
          <w:spacing w:val="0"/>
          <w:sz w:val="22"/>
          <w:szCs w:val="24"/>
          <w:rtl/>
        </w:rPr>
        <w:t>זהב</w:t>
      </w:r>
      <w:r w:rsidRPr="0064490D">
        <w:rPr>
          <w:rFonts w:ascii="Century" w:hAnsi="Century" w:cs="Miriam"/>
          <w:b/>
          <w:spacing w:val="0"/>
          <w:sz w:val="22"/>
          <w:szCs w:val="24"/>
          <w:rtl/>
        </w:rPr>
        <w:t xml:space="preserve"> </w:t>
      </w:r>
      <w:r w:rsidRPr="0064490D">
        <w:rPr>
          <w:rFonts w:ascii="Century" w:hAnsi="Century" w:cs="Miriam" w:hint="eastAsia"/>
          <w:b/>
          <w:spacing w:val="0"/>
          <w:sz w:val="22"/>
          <w:szCs w:val="24"/>
          <w:rtl/>
        </w:rPr>
        <w:t>בע</w:t>
      </w:r>
      <w:r w:rsidRPr="0064490D">
        <w:rPr>
          <w:rFonts w:ascii="Century" w:hAnsi="Century" w:cs="Miriam"/>
          <w:b/>
          <w:spacing w:val="0"/>
          <w:sz w:val="22"/>
          <w:szCs w:val="24"/>
          <w:rtl/>
        </w:rPr>
        <w:t>"</w:t>
      </w:r>
      <w:r w:rsidRPr="0064490D">
        <w:rPr>
          <w:rFonts w:ascii="Century" w:hAnsi="Century" w:cs="Miriam" w:hint="eastAsia"/>
          <w:b/>
          <w:spacing w:val="0"/>
          <w:sz w:val="22"/>
          <w:szCs w:val="24"/>
          <w:rtl/>
        </w:rPr>
        <w:t>מ</w:t>
      </w:r>
      <w:r w:rsidRPr="0064490D">
        <w:rPr>
          <w:rFonts w:ascii="Century" w:hAnsi="Century" w:cs="Miriam"/>
          <w:b/>
          <w:spacing w:val="0"/>
          <w:sz w:val="22"/>
          <w:szCs w:val="24"/>
          <w:rtl/>
        </w:rPr>
        <w:t xml:space="preserve"> </w:t>
      </w:r>
      <w:r w:rsidRPr="0064490D">
        <w:rPr>
          <w:rFonts w:ascii="Century" w:hAnsi="Century" w:cs="Miriam" w:hint="eastAsia"/>
          <w:b/>
          <w:spacing w:val="0"/>
          <w:sz w:val="22"/>
          <w:szCs w:val="24"/>
          <w:rtl/>
        </w:rPr>
        <w:t>נ</w:t>
      </w:r>
      <w:r w:rsidRPr="0064490D">
        <w:rPr>
          <w:rFonts w:ascii="Century" w:hAnsi="Century" w:cs="Miriam"/>
          <w:b/>
          <w:spacing w:val="0"/>
          <w:sz w:val="22"/>
          <w:szCs w:val="24"/>
          <w:rtl/>
        </w:rPr>
        <w:t xml:space="preserve">' </w:t>
      </w:r>
      <w:r w:rsidRPr="0064490D">
        <w:rPr>
          <w:rFonts w:ascii="Century" w:hAnsi="Century" w:cs="Miriam" w:hint="eastAsia"/>
          <w:b/>
          <w:spacing w:val="0"/>
          <w:sz w:val="22"/>
          <w:szCs w:val="24"/>
          <w:rtl/>
        </w:rPr>
        <w:t>רשות</w:t>
      </w:r>
      <w:r w:rsidRPr="0064490D">
        <w:rPr>
          <w:rFonts w:ascii="Century" w:hAnsi="Century" w:cs="Miriam"/>
          <w:b/>
          <w:spacing w:val="0"/>
          <w:sz w:val="22"/>
          <w:szCs w:val="24"/>
          <w:rtl/>
        </w:rPr>
        <w:t xml:space="preserve"> </w:t>
      </w:r>
      <w:r w:rsidRPr="0064490D">
        <w:rPr>
          <w:rFonts w:ascii="Century" w:hAnsi="Century" w:cs="Miriam" w:hint="eastAsia"/>
          <w:b/>
          <w:spacing w:val="0"/>
          <w:sz w:val="22"/>
          <w:szCs w:val="24"/>
          <w:rtl/>
        </w:rPr>
        <w:t>השידור</w:t>
      </w:r>
      <w:r w:rsidRPr="0064490D">
        <w:rPr>
          <w:rtl/>
        </w:rPr>
        <w:t xml:space="preserve">, </w:t>
      </w:r>
      <w:r w:rsidRPr="0064490D">
        <w:rPr>
          <w:rFonts w:hint="eastAsia"/>
          <w:rtl/>
        </w:rPr>
        <w:t>פ</w:t>
      </w:r>
      <w:r w:rsidRPr="0064490D">
        <w:rPr>
          <w:rtl/>
        </w:rPr>
        <w:t>"</w:t>
      </w:r>
      <w:r w:rsidRPr="0064490D">
        <w:rPr>
          <w:rFonts w:hint="eastAsia"/>
          <w:rtl/>
        </w:rPr>
        <w:t>ד</w:t>
      </w:r>
      <w:r w:rsidRPr="0064490D">
        <w:rPr>
          <w:rtl/>
        </w:rPr>
        <w:t xml:space="preserve"> </w:t>
      </w:r>
      <w:r w:rsidRPr="0064490D">
        <w:rPr>
          <w:rFonts w:hint="eastAsia"/>
          <w:rtl/>
        </w:rPr>
        <w:t>לה</w:t>
      </w:r>
      <w:r w:rsidRPr="0064490D">
        <w:rPr>
          <w:rtl/>
        </w:rPr>
        <w:t>(1) 421</w:t>
      </w:r>
      <w:r>
        <w:rPr>
          <w:rFonts w:hint="cs"/>
          <w:rtl/>
        </w:rPr>
        <w:t xml:space="preserve"> (1981) (להלן: עניין </w:t>
      </w:r>
      <w:r w:rsidRPr="00D567AC">
        <w:rPr>
          <w:rFonts w:ascii="Century" w:hAnsi="Century" w:cs="Miriam" w:hint="eastAsia"/>
          <w:b/>
          <w:spacing w:val="0"/>
          <w:sz w:val="22"/>
          <w:szCs w:val="24"/>
          <w:rtl/>
        </w:rPr>
        <w:t>דפי</w:t>
      </w:r>
      <w:r w:rsidRPr="00D567AC">
        <w:rPr>
          <w:rFonts w:ascii="Century" w:hAnsi="Century" w:cs="Miriam"/>
          <w:b/>
          <w:spacing w:val="0"/>
          <w:sz w:val="22"/>
          <w:szCs w:val="24"/>
          <w:rtl/>
        </w:rPr>
        <w:t xml:space="preserve"> </w:t>
      </w:r>
      <w:r w:rsidRPr="00D567AC">
        <w:rPr>
          <w:rFonts w:ascii="Century" w:hAnsi="Century" w:cs="Miriam" w:hint="eastAsia"/>
          <w:b/>
          <w:spacing w:val="0"/>
          <w:sz w:val="22"/>
          <w:szCs w:val="24"/>
          <w:rtl/>
        </w:rPr>
        <w:t>זהב</w:t>
      </w:r>
      <w:r>
        <w:rPr>
          <w:rFonts w:hint="cs"/>
          <w:rtl/>
        </w:rPr>
        <w:t>)), או שמא מדובר בהוראה שאיננה מאפשרת דיון בעילת הסבירות בכל מובניה, לגבי הממשלה ושריה. מעמד בכורה נתנו חלק מחבריי ל</w:t>
      </w:r>
      <w:r w:rsidRPr="006B5CE9">
        <w:rPr>
          <w:rFonts w:ascii="Century" w:hAnsi="Century" w:cs="Miriam" w:hint="cs"/>
          <w:b/>
          <w:spacing w:val="0"/>
          <w:sz w:val="22"/>
          <w:szCs w:val="24"/>
          <w:rtl/>
        </w:rPr>
        <w:t>תכלית</w:t>
      </w:r>
      <w:r w:rsidRPr="006B5CE9">
        <w:rPr>
          <w:rFonts w:hint="cs"/>
          <w:rtl/>
        </w:rPr>
        <w:t xml:space="preserve"> </w:t>
      </w:r>
      <w:r w:rsidRPr="006B5CE9">
        <w:rPr>
          <w:rFonts w:ascii="Century" w:hAnsi="Century" w:cs="Miriam" w:hint="cs"/>
          <w:b/>
          <w:spacing w:val="0"/>
          <w:sz w:val="22"/>
          <w:szCs w:val="24"/>
          <w:rtl/>
        </w:rPr>
        <w:t>הסובייקטיבית</w:t>
      </w:r>
      <w:r w:rsidRPr="006B5CE9">
        <w:rPr>
          <w:rFonts w:hint="cs"/>
          <w:rtl/>
        </w:rPr>
        <w:t xml:space="preserve"> </w:t>
      </w:r>
      <w:r>
        <w:rPr>
          <w:rFonts w:hint="cs"/>
          <w:rtl/>
        </w:rPr>
        <w:t xml:space="preserve">של התיקון, בקבעם כי זו, בצירוף </w:t>
      </w:r>
      <w:r w:rsidRPr="006B5CE9">
        <w:rPr>
          <w:rFonts w:ascii="Century" w:hAnsi="Century" w:cs="Miriam" w:hint="cs"/>
          <w:b/>
          <w:spacing w:val="0"/>
          <w:sz w:val="22"/>
          <w:szCs w:val="24"/>
          <w:rtl/>
        </w:rPr>
        <w:t>לשון</w:t>
      </w:r>
      <w:r w:rsidRPr="006B5CE9">
        <w:rPr>
          <w:rFonts w:hint="cs"/>
          <w:rtl/>
        </w:rPr>
        <w:t xml:space="preserve"> </w:t>
      </w:r>
      <w:r>
        <w:rPr>
          <w:rFonts w:hint="cs"/>
          <w:rtl/>
        </w:rPr>
        <w:t xml:space="preserve">החוק, אינן מותירות פתח לפרשנות המצמצמת בה בחרה חברתי השופטת </w:t>
      </w:r>
      <w:r w:rsidRPr="006B5CE9">
        <w:rPr>
          <w:rFonts w:ascii="Century" w:hAnsi="Century" w:cs="Miriam" w:hint="cs"/>
          <w:b/>
          <w:spacing w:val="0"/>
          <w:sz w:val="22"/>
          <w:szCs w:val="24"/>
          <w:rtl/>
        </w:rPr>
        <w:t>י' וילנר</w:t>
      </w:r>
      <w:r>
        <w:rPr>
          <w:rFonts w:hint="cs"/>
          <w:rtl/>
        </w:rPr>
        <w:t>. בעניין זה חלוק אני על חבריי. וארחיב.</w:t>
      </w:r>
    </w:p>
    <w:p w:rsidR="00737972" w:rsidRPr="00841B26" w:rsidRDefault="00737972" w:rsidP="00737972">
      <w:pPr>
        <w:pStyle w:val="Ruller4"/>
        <w:numPr>
          <w:ilvl w:val="0"/>
          <w:numId w:val="0"/>
        </w:numPr>
        <w:rPr>
          <w:rtl/>
        </w:rPr>
      </w:pPr>
    </w:p>
    <w:p w:rsidR="00737972" w:rsidRDefault="00737972" w:rsidP="00737972">
      <w:pPr>
        <w:pStyle w:val="Ruller4"/>
        <w:rPr>
          <w:rtl/>
        </w:rPr>
      </w:pPr>
      <w:r>
        <w:rPr>
          <w:rFonts w:hint="cs"/>
          <w:rtl/>
        </w:rPr>
        <w:t xml:space="preserve">שנים רבות לפני שהונחו היסודות לפיתוחה של דוקטרינה המאפשרת </w:t>
      </w:r>
      <w:r w:rsidRPr="00841B26">
        <w:rPr>
          <w:rFonts w:ascii="Century" w:hAnsi="Century" w:cs="Miriam" w:hint="eastAsia"/>
          <w:b/>
          <w:spacing w:val="0"/>
          <w:sz w:val="22"/>
          <w:szCs w:val="24"/>
          <w:rtl/>
        </w:rPr>
        <w:t>לעמת</w:t>
      </w:r>
      <w:r w:rsidRPr="00C608C7">
        <w:rPr>
          <w:rFonts w:hint="cs"/>
          <w:rtl/>
        </w:rPr>
        <w:t xml:space="preserve"> </w:t>
      </w:r>
      <w:r>
        <w:rPr>
          <w:rFonts w:hint="cs"/>
          <w:rtl/>
        </w:rPr>
        <w:t xml:space="preserve">את חוקי היסוד עם עקרונות היסוד, עמדתו העקבית של בית משפט זה הייתה כי </w:t>
      </w:r>
      <w:r w:rsidRPr="006955E7">
        <w:rPr>
          <w:rFonts w:ascii="Century" w:hAnsi="Century" w:hint="eastAsia"/>
          <w:rtl/>
        </w:rPr>
        <w:t>מחויבים</w:t>
      </w:r>
      <w:r w:rsidRPr="006955E7">
        <w:rPr>
          <w:rFonts w:ascii="Century" w:hAnsi="Century"/>
          <w:rtl/>
        </w:rPr>
        <w:t xml:space="preserve"> </w:t>
      </w:r>
      <w:r w:rsidRPr="00E5574C">
        <w:rPr>
          <w:rFonts w:ascii="Century" w:hAnsi="Century" w:hint="eastAsia"/>
          <w:rtl/>
        </w:rPr>
        <w:t>אנו</w:t>
      </w:r>
      <w:r w:rsidRPr="0054710D">
        <w:rPr>
          <w:rFonts w:ascii="Century" w:hAnsi="Century"/>
          <w:rtl/>
        </w:rPr>
        <w:t xml:space="preserve"> </w:t>
      </w:r>
      <w:r w:rsidRPr="0008146B">
        <w:rPr>
          <w:rFonts w:ascii="Century" w:hAnsi="Century" w:hint="eastAsia"/>
          <w:rtl/>
        </w:rPr>
        <w:t>לקרוא</w:t>
      </w:r>
      <w:r w:rsidRPr="0008146B">
        <w:rPr>
          <w:rFonts w:ascii="Century" w:hAnsi="Century"/>
          <w:rtl/>
        </w:rPr>
        <w:t xml:space="preserve"> </w:t>
      </w:r>
      <w:r w:rsidRPr="0008146B">
        <w:rPr>
          <w:rFonts w:ascii="Century" w:hAnsi="Century" w:hint="eastAsia"/>
          <w:rtl/>
        </w:rPr>
        <w:t>את</w:t>
      </w:r>
      <w:r w:rsidRPr="0008146B">
        <w:rPr>
          <w:rFonts w:ascii="Century" w:hAnsi="Century"/>
          <w:rtl/>
        </w:rPr>
        <w:t xml:space="preserve"> </w:t>
      </w:r>
      <w:r w:rsidRPr="00D31841">
        <w:rPr>
          <w:rFonts w:ascii="Century" w:hAnsi="Century" w:hint="eastAsia"/>
          <w:rtl/>
        </w:rPr>
        <w:t>הטקסט</w:t>
      </w:r>
      <w:r w:rsidRPr="00DB3C71">
        <w:rPr>
          <w:rFonts w:ascii="Century" w:hAnsi="Century"/>
          <w:rtl/>
        </w:rPr>
        <w:t xml:space="preserve"> </w:t>
      </w:r>
      <w:r w:rsidRPr="00DB3C71">
        <w:rPr>
          <w:rFonts w:ascii="Century" w:hAnsi="Century" w:hint="eastAsia"/>
          <w:rtl/>
        </w:rPr>
        <w:t>החוקתי</w:t>
      </w:r>
      <w:r w:rsidRPr="00DB3C71">
        <w:rPr>
          <w:rFonts w:ascii="Century" w:hAnsi="Century"/>
          <w:rtl/>
        </w:rPr>
        <w:t xml:space="preserve"> </w:t>
      </w:r>
      <w:r w:rsidRPr="00DB3C71">
        <w:rPr>
          <w:rFonts w:ascii="Century" w:hAnsi="Century" w:hint="eastAsia"/>
          <w:rtl/>
        </w:rPr>
        <w:t>במבט</w:t>
      </w:r>
      <w:r w:rsidRPr="00DB3C71">
        <w:rPr>
          <w:rFonts w:ascii="Century" w:hAnsi="Century"/>
          <w:rtl/>
        </w:rPr>
        <w:t xml:space="preserve"> </w:t>
      </w:r>
      <w:r w:rsidRPr="00FF200B">
        <w:rPr>
          <w:rFonts w:ascii="Century" w:hAnsi="Century" w:hint="eastAsia"/>
          <w:rtl/>
        </w:rPr>
        <w:t>רחב</w:t>
      </w:r>
      <w:r w:rsidRPr="001176D3">
        <w:rPr>
          <w:rFonts w:ascii="Century" w:hAnsi="Century"/>
          <w:rtl/>
        </w:rPr>
        <w:t xml:space="preserve"> </w:t>
      </w:r>
      <w:r w:rsidRPr="00D37E47">
        <w:rPr>
          <w:rFonts w:ascii="Century" w:hAnsi="Century" w:hint="eastAsia"/>
          <w:rtl/>
        </w:rPr>
        <w:t>ולצקת</w:t>
      </w:r>
      <w:r w:rsidRPr="007A164B">
        <w:rPr>
          <w:rFonts w:ascii="Century" w:hAnsi="Century"/>
          <w:rtl/>
        </w:rPr>
        <w:t xml:space="preserve"> </w:t>
      </w:r>
      <w:r w:rsidRPr="007A164B">
        <w:rPr>
          <w:rFonts w:ascii="Century" w:hAnsi="Century" w:hint="eastAsia"/>
          <w:rtl/>
        </w:rPr>
        <w:t>לתוכו</w:t>
      </w:r>
      <w:r w:rsidRPr="00847A2B">
        <w:rPr>
          <w:rFonts w:ascii="Century" w:hAnsi="Century"/>
          <w:rtl/>
        </w:rPr>
        <w:t xml:space="preserve"> </w:t>
      </w:r>
      <w:r w:rsidRPr="00847A2B">
        <w:rPr>
          <w:rFonts w:ascii="Century" w:hAnsi="Century" w:hint="eastAsia"/>
          <w:rtl/>
        </w:rPr>
        <w:t>את</w:t>
      </w:r>
      <w:r w:rsidRPr="003A1748">
        <w:rPr>
          <w:rFonts w:ascii="Century" w:hAnsi="Century"/>
          <w:rtl/>
        </w:rPr>
        <w:t xml:space="preserve"> </w:t>
      </w:r>
      <w:r w:rsidRPr="00FB58FB">
        <w:rPr>
          <w:rFonts w:ascii="Century" w:hAnsi="Century" w:hint="eastAsia"/>
          <w:rtl/>
        </w:rPr>
        <w:t>התכלית</w:t>
      </w:r>
      <w:r w:rsidRPr="00FB58FB">
        <w:rPr>
          <w:rFonts w:ascii="Century" w:hAnsi="Century"/>
          <w:rtl/>
        </w:rPr>
        <w:t xml:space="preserve"> </w:t>
      </w:r>
      <w:r w:rsidRPr="00041381">
        <w:rPr>
          <w:rFonts w:ascii="Century" w:hAnsi="Century" w:hint="eastAsia"/>
          <w:rtl/>
        </w:rPr>
        <w:t>האובייקטיבית</w:t>
      </w:r>
      <w:r w:rsidRPr="00640BDC">
        <w:rPr>
          <w:rFonts w:ascii="Century" w:hAnsi="Century"/>
          <w:rtl/>
        </w:rPr>
        <w:t xml:space="preserve"> </w:t>
      </w:r>
      <w:r w:rsidRPr="00DE5473">
        <w:rPr>
          <w:rFonts w:ascii="Century" w:hAnsi="Century" w:hint="eastAsia"/>
          <w:rtl/>
        </w:rPr>
        <w:t>ההכרחית</w:t>
      </w:r>
      <w:r w:rsidRPr="001F035F">
        <w:rPr>
          <w:rFonts w:ascii="Century" w:hAnsi="Century"/>
          <w:rtl/>
        </w:rPr>
        <w:t xml:space="preserve"> </w:t>
      </w:r>
      <w:r w:rsidRPr="001F035F">
        <w:rPr>
          <w:rFonts w:ascii="Century" w:hAnsi="Century" w:hint="eastAsia"/>
          <w:rtl/>
        </w:rPr>
        <w:t>לצורך</w:t>
      </w:r>
      <w:r w:rsidRPr="001F035F">
        <w:rPr>
          <w:rFonts w:ascii="Century" w:hAnsi="Century"/>
          <w:rtl/>
        </w:rPr>
        <w:t xml:space="preserve"> </w:t>
      </w:r>
      <w:r>
        <w:rPr>
          <w:rFonts w:hint="cs"/>
          <w:rtl/>
        </w:rPr>
        <w:t xml:space="preserve">"הגשמת עקרונותיה היסודיים של השיטה" (עניין </w:t>
      </w:r>
      <w:r w:rsidRPr="006955E7">
        <w:rPr>
          <w:rFonts w:ascii="Century" w:hAnsi="Century" w:cs="Miriam" w:hint="eastAsia"/>
          <w:b/>
          <w:spacing w:val="0"/>
          <w:szCs w:val="24"/>
          <w:rtl/>
        </w:rPr>
        <w:t>ניימן</w:t>
      </w:r>
      <w:r>
        <w:rPr>
          <w:rFonts w:hint="cs"/>
          <w:rtl/>
        </w:rPr>
        <w:t xml:space="preserve">, עמ' 306). נקבע כי עלינו להביאו "לידי הרמוניה עם יסודות המשטר החוקתי הקיים במדינה" (בג"ץ 428/86 </w:t>
      </w:r>
      <w:r w:rsidRPr="00841B26">
        <w:rPr>
          <w:rFonts w:ascii="Century" w:hAnsi="Century" w:cs="Miriam" w:hint="eastAsia"/>
          <w:b/>
          <w:spacing w:val="0"/>
          <w:sz w:val="22"/>
          <w:szCs w:val="24"/>
          <w:rtl/>
        </w:rPr>
        <w:t>ברזילי</w:t>
      </w:r>
      <w:r w:rsidRPr="00841B26">
        <w:rPr>
          <w:rFonts w:ascii="Century" w:hAnsi="Century" w:cs="Miriam"/>
          <w:b/>
          <w:spacing w:val="0"/>
          <w:sz w:val="22"/>
          <w:szCs w:val="24"/>
          <w:rtl/>
        </w:rPr>
        <w:t xml:space="preserve"> </w:t>
      </w:r>
      <w:r w:rsidRPr="00841B26">
        <w:rPr>
          <w:rFonts w:ascii="Century" w:hAnsi="Century" w:cs="Miriam" w:hint="eastAsia"/>
          <w:b/>
          <w:spacing w:val="0"/>
          <w:sz w:val="22"/>
          <w:szCs w:val="24"/>
          <w:rtl/>
        </w:rPr>
        <w:t>נ</w:t>
      </w:r>
      <w:r w:rsidRPr="00841B26">
        <w:rPr>
          <w:rFonts w:ascii="Century" w:hAnsi="Century" w:cs="Miriam"/>
          <w:b/>
          <w:spacing w:val="0"/>
          <w:sz w:val="22"/>
          <w:szCs w:val="24"/>
          <w:rtl/>
        </w:rPr>
        <w:t xml:space="preserve">' </w:t>
      </w:r>
      <w:r w:rsidRPr="00841B26">
        <w:rPr>
          <w:rFonts w:ascii="Century" w:hAnsi="Century" w:cs="Miriam" w:hint="eastAsia"/>
          <w:b/>
          <w:spacing w:val="0"/>
          <w:sz w:val="22"/>
          <w:szCs w:val="24"/>
          <w:rtl/>
        </w:rPr>
        <w:t>ממשלת</w:t>
      </w:r>
      <w:r w:rsidRPr="00841B26">
        <w:rPr>
          <w:rFonts w:ascii="Century" w:hAnsi="Century" w:cs="Miriam"/>
          <w:b/>
          <w:spacing w:val="0"/>
          <w:sz w:val="22"/>
          <w:szCs w:val="24"/>
          <w:rtl/>
        </w:rPr>
        <w:t xml:space="preserve"> </w:t>
      </w:r>
      <w:r w:rsidRPr="00841B26">
        <w:rPr>
          <w:rFonts w:ascii="Century" w:hAnsi="Century" w:cs="Miriam" w:hint="eastAsia"/>
          <w:b/>
          <w:spacing w:val="0"/>
          <w:sz w:val="22"/>
          <w:szCs w:val="24"/>
          <w:rtl/>
        </w:rPr>
        <w:t>ישראל</w:t>
      </w:r>
      <w:r>
        <w:rPr>
          <w:rFonts w:hint="cs"/>
          <w:rtl/>
        </w:rPr>
        <w:t>,</w:t>
      </w:r>
      <w:r>
        <w:rPr>
          <w:rtl/>
        </w:rPr>
        <w:t xml:space="preserve"> </w:t>
      </w:r>
      <w:r>
        <w:rPr>
          <w:rFonts w:hint="eastAsia"/>
          <w:rtl/>
        </w:rPr>
        <w:t>פ</w:t>
      </w:r>
      <w:r>
        <w:rPr>
          <w:rFonts w:hint="cs"/>
          <w:rtl/>
        </w:rPr>
        <w:t>"</w:t>
      </w:r>
      <w:r>
        <w:rPr>
          <w:rFonts w:hint="eastAsia"/>
          <w:rtl/>
        </w:rPr>
        <w:t>ד</w:t>
      </w:r>
      <w:r>
        <w:rPr>
          <w:rtl/>
        </w:rPr>
        <w:t xml:space="preserve"> </w:t>
      </w:r>
      <w:r>
        <w:rPr>
          <w:rFonts w:hint="eastAsia"/>
          <w:rtl/>
        </w:rPr>
        <w:t>מ</w:t>
      </w:r>
      <w:r>
        <w:rPr>
          <w:rtl/>
        </w:rPr>
        <w:t>(3) 505</w:t>
      </w:r>
      <w:r>
        <w:rPr>
          <w:rFonts w:hint="cs"/>
          <w:rtl/>
        </w:rPr>
        <w:t>, 595 (1986)), בהתחשב "באופיו של המוסד השלטוני והשיטה המשטרית כולה" (</w:t>
      </w:r>
      <w:r w:rsidRPr="00F4720F">
        <w:rPr>
          <w:rFonts w:hint="eastAsia"/>
          <w:rtl/>
        </w:rPr>
        <w:t>בג</w:t>
      </w:r>
      <w:r>
        <w:rPr>
          <w:rFonts w:hint="cs"/>
          <w:rtl/>
        </w:rPr>
        <w:t>"</w:t>
      </w:r>
      <w:r w:rsidRPr="00F4720F">
        <w:rPr>
          <w:rFonts w:hint="eastAsia"/>
          <w:rtl/>
        </w:rPr>
        <w:t>ץ</w:t>
      </w:r>
      <w:r>
        <w:rPr>
          <w:rtl/>
        </w:rPr>
        <w:t xml:space="preserve"> 7510/19</w:t>
      </w:r>
      <w:r w:rsidRPr="00F4720F">
        <w:rPr>
          <w:rtl/>
        </w:rPr>
        <w:t xml:space="preserve"> </w:t>
      </w:r>
      <w:r w:rsidRPr="00841B26">
        <w:rPr>
          <w:rFonts w:ascii="Century" w:hAnsi="Century" w:cs="Miriam" w:hint="eastAsia"/>
          <w:b/>
          <w:spacing w:val="0"/>
          <w:sz w:val="22"/>
          <w:szCs w:val="24"/>
          <w:rtl/>
        </w:rPr>
        <w:t>אור</w:t>
      </w:r>
      <w:r w:rsidRPr="00841B26">
        <w:rPr>
          <w:rFonts w:ascii="Century" w:hAnsi="Century" w:cs="Miriam"/>
          <w:b/>
          <w:spacing w:val="0"/>
          <w:sz w:val="22"/>
          <w:szCs w:val="24"/>
          <w:rtl/>
        </w:rPr>
        <w:t>-</w:t>
      </w:r>
      <w:r w:rsidRPr="00841B26">
        <w:rPr>
          <w:rFonts w:ascii="Century" w:hAnsi="Century" w:cs="Miriam" w:hint="eastAsia"/>
          <w:b/>
          <w:spacing w:val="0"/>
          <w:sz w:val="22"/>
          <w:szCs w:val="24"/>
          <w:rtl/>
        </w:rPr>
        <w:t>הכהן</w:t>
      </w:r>
      <w:r w:rsidRPr="00841B26">
        <w:rPr>
          <w:rFonts w:ascii="Century" w:hAnsi="Century" w:cs="Miriam"/>
          <w:b/>
          <w:spacing w:val="0"/>
          <w:sz w:val="22"/>
          <w:szCs w:val="24"/>
          <w:rtl/>
        </w:rPr>
        <w:t xml:space="preserve"> </w:t>
      </w:r>
      <w:r w:rsidRPr="00841B26">
        <w:rPr>
          <w:rFonts w:ascii="Century" w:hAnsi="Century" w:cs="Miriam" w:hint="eastAsia"/>
          <w:b/>
          <w:spacing w:val="0"/>
          <w:sz w:val="22"/>
          <w:szCs w:val="24"/>
          <w:rtl/>
        </w:rPr>
        <w:t>נ</w:t>
      </w:r>
      <w:r w:rsidRPr="00841B26">
        <w:rPr>
          <w:rFonts w:ascii="Century" w:hAnsi="Century" w:cs="Miriam"/>
          <w:b/>
          <w:spacing w:val="0"/>
          <w:sz w:val="22"/>
          <w:szCs w:val="24"/>
          <w:rtl/>
        </w:rPr>
        <w:t xml:space="preserve">' </w:t>
      </w:r>
      <w:r w:rsidRPr="00841B26">
        <w:rPr>
          <w:rFonts w:ascii="Century" w:hAnsi="Century" w:cs="Miriam" w:hint="eastAsia"/>
          <w:b/>
          <w:spacing w:val="0"/>
          <w:sz w:val="22"/>
          <w:szCs w:val="24"/>
          <w:rtl/>
        </w:rPr>
        <w:t>ראש</w:t>
      </w:r>
      <w:r w:rsidRPr="00841B26">
        <w:rPr>
          <w:rFonts w:ascii="Century" w:hAnsi="Century" w:cs="Miriam"/>
          <w:b/>
          <w:spacing w:val="0"/>
          <w:sz w:val="22"/>
          <w:szCs w:val="24"/>
          <w:rtl/>
        </w:rPr>
        <w:t xml:space="preserve"> </w:t>
      </w:r>
      <w:r w:rsidRPr="00841B26">
        <w:rPr>
          <w:rFonts w:ascii="Century" w:hAnsi="Century" w:cs="Miriam" w:hint="eastAsia"/>
          <w:b/>
          <w:spacing w:val="0"/>
          <w:sz w:val="22"/>
          <w:szCs w:val="24"/>
          <w:rtl/>
        </w:rPr>
        <w:t>הממשלה</w:t>
      </w:r>
      <w:r>
        <w:rPr>
          <w:rFonts w:hint="cs"/>
          <w:rtl/>
        </w:rPr>
        <w:t xml:space="preserve">, פסקה 11 (9.1.2020) (להלן: עניין </w:t>
      </w:r>
      <w:r w:rsidRPr="00D567AC">
        <w:rPr>
          <w:rFonts w:ascii="Century" w:hAnsi="Century" w:cs="Miriam" w:hint="eastAsia"/>
          <w:b/>
          <w:spacing w:val="0"/>
          <w:sz w:val="22"/>
          <w:szCs w:val="24"/>
          <w:rtl/>
        </w:rPr>
        <w:t>אור</w:t>
      </w:r>
      <w:r w:rsidRPr="00D567AC">
        <w:rPr>
          <w:rFonts w:ascii="Century" w:hAnsi="Century" w:cs="Miriam"/>
          <w:b/>
          <w:spacing w:val="0"/>
          <w:sz w:val="22"/>
          <w:szCs w:val="24"/>
          <w:rtl/>
        </w:rPr>
        <w:t>-</w:t>
      </w:r>
      <w:r w:rsidRPr="00D567AC">
        <w:rPr>
          <w:rFonts w:ascii="Century" w:hAnsi="Century" w:cs="Miriam" w:hint="eastAsia"/>
          <w:b/>
          <w:spacing w:val="0"/>
          <w:sz w:val="22"/>
          <w:szCs w:val="24"/>
          <w:rtl/>
        </w:rPr>
        <w:t>הכהן</w:t>
      </w:r>
      <w:r>
        <w:rPr>
          <w:rFonts w:hint="cs"/>
          <w:rtl/>
        </w:rPr>
        <w:t>)).</w:t>
      </w:r>
    </w:p>
    <w:p w:rsidR="00737972" w:rsidRPr="00841B26" w:rsidRDefault="00737972" w:rsidP="00737972">
      <w:pPr>
        <w:pStyle w:val="Ruller41"/>
        <w:rPr>
          <w:rtl/>
        </w:rPr>
      </w:pPr>
    </w:p>
    <w:p w:rsidR="00737972" w:rsidRDefault="00737972" w:rsidP="00737972">
      <w:pPr>
        <w:pStyle w:val="Ruller4"/>
      </w:pPr>
      <w:r>
        <w:rPr>
          <w:rFonts w:hint="cs"/>
          <w:rtl/>
        </w:rPr>
        <w:t>אמת, נקודת האחיזה היא בלשון. אולם התפיסה היא, ככל שמדובר בחוקי יסוד, כי מבין האפשרויות שיש להן עיגון לשוני, יש ליתן לטקסט החוקתי משמעות המשקפת איזון בין ההיסטוריה של התפתחותו, תכליתו האובייקטיבית ועקרונות היסוד של השיטה:</w:t>
      </w:r>
    </w:p>
    <w:p w:rsidR="00737972" w:rsidRDefault="00737972" w:rsidP="00737972">
      <w:pPr>
        <w:pStyle w:val="Ruller4"/>
        <w:numPr>
          <w:ilvl w:val="0"/>
          <w:numId w:val="0"/>
        </w:numPr>
        <w:rPr>
          <w:rtl/>
        </w:rPr>
      </w:pPr>
      <w:r>
        <w:rPr>
          <w:rFonts w:hint="cs"/>
          <w:rtl/>
        </w:rPr>
        <w:t xml:space="preserve"> </w:t>
      </w:r>
    </w:p>
    <w:p w:rsidR="00737972" w:rsidRPr="00B13185" w:rsidRDefault="00737972" w:rsidP="00737972">
      <w:pPr>
        <w:pStyle w:val="Ruller5"/>
        <w:rPr>
          <w:rFonts w:ascii="Century" w:hAnsi="Century"/>
          <w:rtl/>
        </w:rPr>
      </w:pPr>
      <w:r>
        <w:rPr>
          <w:rFonts w:hint="cs"/>
          <w:rtl/>
        </w:rPr>
        <w:t xml:space="preserve">"פרשנות מתוך מבט רחב אינה מוגבלת אך למשמעות המילים בהקשר המילולי-היסטורי שבו הן נוצרו. היא נותנת ללשון החוק מובן בהקשרן ההיסטורי ובמסגרת תפיסות היסוד המודרניות" (אהרן </w:t>
      </w:r>
      <w:r w:rsidRPr="00F4720F">
        <w:rPr>
          <w:rFonts w:hint="eastAsia"/>
          <w:rtl/>
        </w:rPr>
        <w:t>ברק</w:t>
      </w:r>
      <w:r w:rsidRPr="00F4720F">
        <w:rPr>
          <w:rtl/>
        </w:rPr>
        <w:t xml:space="preserve"> </w:t>
      </w:r>
      <w:r w:rsidRPr="00106214">
        <w:rPr>
          <w:rFonts w:ascii="Century" w:hAnsi="Century" w:cs="Miriam" w:hint="eastAsia"/>
          <w:b/>
          <w:spacing w:val="0"/>
          <w:szCs w:val="24"/>
          <w:rtl/>
        </w:rPr>
        <w:t>פרשנות</w:t>
      </w:r>
      <w:r w:rsidRPr="00106214">
        <w:rPr>
          <w:rFonts w:ascii="Century" w:hAnsi="Century" w:cs="Miriam"/>
          <w:b/>
          <w:spacing w:val="0"/>
          <w:szCs w:val="24"/>
          <w:rtl/>
        </w:rPr>
        <w:t xml:space="preserve"> </w:t>
      </w:r>
      <w:r w:rsidRPr="00106214">
        <w:rPr>
          <w:rFonts w:ascii="Century" w:hAnsi="Century" w:cs="Miriam" w:hint="eastAsia"/>
          <w:b/>
          <w:spacing w:val="0"/>
          <w:szCs w:val="24"/>
          <w:rtl/>
        </w:rPr>
        <w:t>תכליתית</w:t>
      </w:r>
      <w:r w:rsidRPr="00106214">
        <w:rPr>
          <w:rFonts w:ascii="Century" w:hAnsi="Century" w:cs="Miriam" w:hint="cs"/>
          <w:b/>
          <w:spacing w:val="0"/>
          <w:szCs w:val="24"/>
          <w:rtl/>
        </w:rPr>
        <w:t xml:space="preserve"> במשפט</w:t>
      </w:r>
      <w:r w:rsidRPr="00F4720F">
        <w:rPr>
          <w:rFonts w:hint="cs"/>
          <w:rtl/>
        </w:rPr>
        <w:t xml:space="preserve"> </w:t>
      </w:r>
      <w:r>
        <w:rPr>
          <w:rFonts w:hint="cs"/>
          <w:rtl/>
        </w:rPr>
        <w:t xml:space="preserve">461 (2003) (להלן: </w:t>
      </w:r>
      <w:r w:rsidRPr="00106214">
        <w:rPr>
          <w:rFonts w:ascii="Century" w:hAnsi="Century" w:cs="Miriam" w:hint="cs"/>
          <w:b/>
          <w:spacing w:val="0"/>
          <w:szCs w:val="24"/>
          <w:rtl/>
        </w:rPr>
        <w:t>ברק, פרשנות במשפט</w:t>
      </w:r>
      <w:r w:rsidRPr="00B13185">
        <w:rPr>
          <w:rFonts w:ascii="Century" w:hAnsi="Century" w:hint="cs"/>
          <w:rtl/>
        </w:rPr>
        <w:t>))</w:t>
      </w:r>
      <w:r>
        <w:rPr>
          <w:rFonts w:ascii="Century" w:hAnsi="Century" w:hint="cs"/>
          <w:rtl/>
        </w:rPr>
        <w:t>.</w:t>
      </w:r>
      <w:r w:rsidRPr="00B13185">
        <w:rPr>
          <w:rFonts w:ascii="Century" w:hAnsi="Century" w:hint="cs"/>
          <w:rtl/>
        </w:rPr>
        <w:t xml:space="preserve"> </w:t>
      </w:r>
    </w:p>
    <w:p w:rsidR="00737972" w:rsidRDefault="00737972" w:rsidP="00737972">
      <w:pPr>
        <w:pStyle w:val="Ruller4"/>
        <w:numPr>
          <w:ilvl w:val="0"/>
          <w:numId w:val="0"/>
        </w:numPr>
        <w:rPr>
          <w:rtl/>
        </w:rPr>
      </w:pPr>
    </w:p>
    <w:p w:rsidR="00737972" w:rsidRDefault="00737972" w:rsidP="00737972">
      <w:pPr>
        <w:pStyle w:val="Ruller4"/>
        <w:rPr>
          <w:rtl/>
        </w:rPr>
      </w:pPr>
      <w:r>
        <w:rPr>
          <w:rFonts w:hint="cs"/>
          <w:rtl/>
        </w:rPr>
        <w:t>הנחת היסוד היא אפוא כי הוראה חוקתית יש לפרש מתוך "מבט רחב", ולא "באופן טכני", שכן המערך החוקתי אינו מורכב רק מהטקסט החוקתי עצמו (</w:t>
      </w:r>
      <w:r w:rsidRPr="00155F17">
        <w:rPr>
          <w:rFonts w:hint="eastAsia"/>
          <w:rtl/>
        </w:rPr>
        <w:t>בג</w:t>
      </w:r>
      <w:r w:rsidRPr="00155F17">
        <w:rPr>
          <w:rtl/>
        </w:rPr>
        <w:t>"</w:t>
      </w:r>
      <w:r w:rsidRPr="00155F17">
        <w:rPr>
          <w:rFonts w:hint="eastAsia"/>
          <w:rtl/>
        </w:rPr>
        <w:t>ץ</w:t>
      </w:r>
      <w:r>
        <w:rPr>
          <w:rtl/>
        </w:rPr>
        <w:t xml:space="preserve"> 1384/98‏</w:t>
      </w:r>
      <w:r w:rsidRPr="00155F17">
        <w:rPr>
          <w:rtl/>
        </w:rPr>
        <w:t xml:space="preserve"> </w:t>
      </w:r>
      <w:r w:rsidRPr="00F4720F">
        <w:rPr>
          <w:rFonts w:ascii="Century" w:hAnsi="Century" w:cs="Miriam" w:hint="eastAsia"/>
          <w:b/>
          <w:spacing w:val="0"/>
          <w:szCs w:val="24"/>
          <w:rtl/>
        </w:rPr>
        <w:t>אבני</w:t>
      </w:r>
      <w:r w:rsidRPr="00F4720F">
        <w:rPr>
          <w:rFonts w:ascii="Century" w:hAnsi="Century" w:cs="Miriam"/>
          <w:b/>
          <w:spacing w:val="0"/>
          <w:szCs w:val="24"/>
          <w:rtl/>
        </w:rPr>
        <w:t xml:space="preserve"> </w:t>
      </w:r>
      <w:r w:rsidRPr="00F4720F">
        <w:rPr>
          <w:rFonts w:ascii="Century" w:hAnsi="Century" w:cs="Miriam" w:hint="eastAsia"/>
          <w:b/>
          <w:spacing w:val="0"/>
          <w:szCs w:val="24"/>
          <w:rtl/>
        </w:rPr>
        <w:t>נ</w:t>
      </w:r>
      <w:r w:rsidRPr="00F4720F">
        <w:rPr>
          <w:rFonts w:ascii="Century" w:hAnsi="Century" w:cs="Miriam"/>
          <w:b/>
          <w:spacing w:val="0"/>
          <w:szCs w:val="24"/>
          <w:rtl/>
        </w:rPr>
        <w:t xml:space="preserve">' </w:t>
      </w:r>
      <w:r w:rsidRPr="00F4720F">
        <w:rPr>
          <w:rFonts w:ascii="Century" w:hAnsi="Century" w:cs="Miriam" w:hint="eastAsia"/>
          <w:b/>
          <w:spacing w:val="0"/>
          <w:szCs w:val="24"/>
          <w:rtl/>
        </w:rPr>
        <w:t>ראש</w:t>
      </w:r>
      <w:r w:rsidRPr="00F4720F">
        <w:rPr>
          <w:rFonts w:ascii="Century" w:hAnsi="Century" w:cs="Miriam" w:hint="cs"/>
          <w:b/>
          <w:spacing w:val="0"/>
          <w:szCs w:val="24"/>
          <w:rtl/>
        </w:rPr>
        <w:t>-</w:t>
      </w:r>
      <w:r w:rsidRPr="00F4720F">
        <w:rPr>
          <w:rFonts w:ascii="Century" w:hAnsi="Century" w:cs="Miriam" w:hint="eastAsia"/>
          <w:b/>
          <w:spacing w:val="0"/>
          <w:szCs w:val="24"/>
          <w:rtl/>
        </w:rPr>
        <w:t>הממשלה</w:t>
      </w:r>
      <w:r w:rsidRPr="00F4720F">
        <w:rPr>
          <w:rFonts w:ascii="Century" w:hAnsi="Century" w:cs="Miriam"/>
          <w:b/>
          <w:spacing w:val="0"/>
          <w:szCs w:val="24"/>
          <w:rtl/>
        </w:rPr>
        <w:t xml:space="preserve"> –</w:t>
      </w:r>
      <w:r w:rsidRPr="00F4720F">
        <w:rPr>
          <w:rFonts w:ascii="Century" w:hAnsi="Century" w:cs="Miriam" w:hint="cs"/>
          <w:b/>
          <w:spacing w:val="0"/>
          <w:szCs w:val="24"/>
          <w:rtl/>
        </w:rPr>
        <w:t xml:space="preserve"> בנימין נתניהו</w:t>
      </w:r>
      <w:r w:rsidRPr="00155F17">
        <w:rPr>
          <w:rtl/>
        </w:rPr>
        <w:t xml:space="preserve">‏, </w:t>
      </w:r>
      <w:r w:rsidRPr="00155F17">
        <w:rPr>
          <w:rFonts w:hint="eastAsia"/>
          <w:rtl/>
        </w:rPr>
        <w:t>פ</w:t>
      </w:r>
      <w:r>
        <w:rPr>
          <w:rFonts w:hint="cs"/>
          <w:rtl/>
        </w:rPr>
        <w:t>"</w:t>
      </w:r>
      <w:r w:rsidRPr="00155F17">
        <w:rPr>
          <w:rFonts w:hint="eastAsia"/>
          <w:rtl/>
        </w:rPr>
        <w:t>ד</w:t>
      </w:r>
      <w:r w:rsidRPr="00155F17">
        <w:rPr>
          <w:rtl/>
        </w:rPr>
        <w:t xml:space="preserve"> </w:t>
      </w:r>
      <w:r w:rsidRPr="00155F17">
        <w:rPr>
          <w:rFonts w:hint="eastAsia"/>
          <w:rtl/>
        </w:rPr>
        <w:t>נב</w:t>
      </w:r>
      <w:r w:rsidRPr="00155F17">
        <w:rPr>
          <w:rtl/>
        </w:rPr>
        <w:t>(5) 206</w:t>
      </w:r>
      <w:r>
        <w:rPr>
          <w:rFonts w:hint="cs"/>
          <w:rtl/>
        </w:rPr>
        <w:t>,</w:t>
      </w:r>
      <w:r w:rsidRPr="00155F17">
        <w:rPr>
          <w:rFonts w:hint="cs"/>
          <w:rtl/>
        </w:rPr>
        <w:t xml:space="preserve"> </w:t>
      </w:r>
      <w:r>
        <w:rPr>
          <w:rFonts w:hint="cs"/>
          <w:rtl/>
        </w:rPr>
        <w:t xml:space="preserve">209 (1998); </w:t>
      </w:r>
      <w:r w:rsidRPr="00A86007">
        <w:rPr>
          <w:rFonts w:hint="cs"/>
          <w:rtl/>
        </w:rPr>
        <w:t xml:space="preserve">עניין </w:t>
      </w:r>
      <w:r w:rsidRPr="00F4720F">
        <w:rPr>
          <w:rFonts w:ascii="Century" w:hAnsi="Century" w:cs="Miriam" w:hint="cs"/>
          <w:b/>
          <w:spacing w:val="0"/>
          <w:szCs w:val="24"/>
          <w:rtl/>
        </w:rPr>
        <w:t>חוק הלאום</w:t>
      </w:r>
      <w:r>
        <w:rPr>
          <w:rFonts w:hint="cs"/>
          <w:rtl/>
        </w:rPr>
        <w:t>, פסקה 20 לחוות דעתה של חברתי הנשיאה (בדימ');</w:t>
      </w:r>
      <w:r w:rsidRPr="00960E63">
        <w:rPr>
          <w:rFonts w:hint="eastAsia"/>
          <w:rtl/>
        </w:rPr>
        <w:t xml:space="preserve"> </w:t>
      </w:r>
      <w:r>
        <w:rPr>
          <w:rFonts w:hint="cs"/>
          <w:rtl/>
        </w:rPr>
        <w:t xml:space="preserve">עניין </w:t>
      </w:r>
      <w:r w:rsidRPr="00F4720F">
        <w:rPr>
          <w:rFonts w:ascii="Century" w:hAnsi="Century" w:cs="Miriam" w:hint="cs"/>
          <w:b/>
          <w:spacing w:val="0"/>
          <w:szCs w:val="24"/>
          <w:rtl/>
        </w:rPr>
        <w:t>התנועה למען איכות השלטון בישראל</w:t>
      </w:r>
      <w:r w:rsidRPr="00960E63">
        <w:rPr>
          <w:rtl/>
        </w:rPr>
        <w:t>,</w:t>
      </w:r>
      <w:r>
        <w:rPr>
          <w:rFonts w:hint="cs"/>
          <w:rtl/>
        </w:rPr>
        <w:t xml:space="preserve"> עמ'</w:t>
      </w:r>
      <w:r w:rsidRPr="00960E63">
        <w:rPr>
          <w:rtl/>
        </w:rPr>
        <w:t xml:space="preserve"> </w:t>
      </w:r>
      <w:r>
        <w:rPr>
          <w:rFonts w:hint="cs"/>
          <w:rtl/>
        </w:rPr>
        <w:t>674-673). כן הובהר כי נ</w:t>
      </w:r>
      <w:r w:rsidRPr="00C608C7">
        <w:rPr>
          <w:rFonts w:hint="eastAsia"/>
          <w:rtl/>
        </w:rPr>
        <w:t>קודת</w:t>
      </w:r>
      <w:r w:rsidRPr="00C608C7">
        <w:rPr>
          <w:rtl/>
        </w:rPr>
        <w:t xml:space="preserve"> </w:t>
      </w:r>
      <w:r w:rsidRPr="00C608C7">
        <w:rPr>
          <w:rFonts w:hint="eastAsia"/>
          <w:rtl/>
        </w:rPr>
        <w:t>מבט</w:t>
      </w:r>
      <w:r w:rsidRPr="00C608C7">
        <w:rPr>
          <w:rtl/>
        </w:rPr>
        <w:t xml:space="preserve"> </w:t>
      </w:r>
      <w:r>
        <w:rPr>
          <w:rFonts w:hint="cs"/>
          <w:rtl/>
        </w:rPr>
        <w:t>"</w:t>
      </w:r>
      <w:r w:rsidRPr="00C608C7">
        <w:rPr>
          <w:rFonts w:hint="eastAsia"/>
          <w:rtl/>
        </w:rPr>
        <w:t>רחבה</w:t>
      </w:r>
      <w:r>
        <w:rPr>
          <w:rFonts w:hint="cs"/>
          <w:rtl/>
        </w:rPr>
        <w:t>"</w:t>
      </w:r>
      <w:r w:rsidRPr="00C608C7">
        <w:rPr>
          <w:rtl/>
        </w:rPr>
        <w:t xml:space="preserve"> </w:t>
      </w:r>
      <w:r w:rsidRPr="00C608C7">
        <w:rPr>
          <w:rFonts w:hint="eastAsia"/>
          <w:rtl/>
        </w:rPr>
        <w:t>אין</w:t>
      </w:r>
      <w:r w:rsidRPr="00C608C7">
        <w:rPr>
          <w:rtl/>
        </w:rPr>
        <w:t xml:space="preserve"> </w:t>
      </w:r>
      <w:r w:rsidRPr="00C608C7">
        <w:rPr>
          <w:rFonts w:hint="eastAsia"/>
          <w:rtl/>
        </w:rPr>
        <w:t>משמעה</w:t>
      </w:r>
      <w:r w:rsidRPr="00C608C7">
        <w:rPr>
          <w:rtl/>
        </w:rPr>
        <w:t xml:space="preserve"> </w:t>
      </w:r>
      <w:r w:rsidRPr="00C608C7">
        <w:rPr>
          <w:rFonts w:hint="eastAsia"/>
          <w:rtl/>
        </w:rPr>
        <w:t>בהכרח</w:t>
      </w:r>
      <w:r w:rsidRPr="00C608C7">
        <w:rPr>
          <w:rtl/>
        </w:rPr>
        <w:t xml:space="preserve"> </w:t>
      </w:r>
      <w:r w:rsidRPr="00C608C7">
        <w:rPr>
          <w:rFonts w:hint="eastAsia"/>
          <w:rtl/>
        </w:rPr>
        <w:t>פרשנות</w:t>
      </w:r>
      <w:r w:rsidRPr="00C608C7">
        <w:rPr>
          <w:rtl/>
        </w:rPr>
        <w:t xml:space="preserve"> </w:t>
      </w:r>
      <w:r w:rsidRPr="00C608C7">
        <w:rPr>
          <w:rFonts w:hint="eastAsia"/>
          <w:rtl/>
        </w:rPr>
        <w:t>מרחיבה</w:t>
      </w:r>
      <w:r>
        <w:rPr>
          <w:rFonts w:hint="cs"/>
          <w:rtl/>
        </w:rPr>
        <w:t>, ו</w:t>
      </w:r>
      <w:r w:rsidRPr="00C608C7">
        <w:rPr>
          <w:rFonts w:hint="eastAsia"/>
          <w:rtl/>
        </w:rPr>
        <w:t>יש</w:t>
      </w:r>
      <w:r w:rsidRPr="00C608C7">
        <w:rPr>
          <w:rtl/>
        </w:rPr>
        <w:t xml:space="preserve"> </w:t>
      </w:r>
      <w:r w:rsidRPr="00C608C7">
        <w:rPr>
          <w:rFonts w:hint="eastAsia"/>
          <w:rtl/>
        </w:rPr>
        <w:t>שנקודת</w:t>
      </w:r>
      <w:r w:rsidRPr="00C608C7">
        <w:rPr>
          <w:rtl/>
        </w:rPr>
        <w:t xml:space="preserve"> </w:t>
      </w:r>
      <w:r w:rsidRPr="00C608C7">
        <w:rPr>
          <w:rFonts w:hint="eastAsia"/>
          <w:rtl/>
        </w:rPr>
        <w:t>המבט</w:t>
      </w:r>
      <w:r w:rsidRPr="00C608C7">
        <w:rPr>
          <w:rtl/>
        </w:rPr>
        <w:t xml:space="preserve"> </w:t>
      </w:r>
      <w:r w:rsidRPr="00C608C7">
        <w:rPr>
          <w:rFonts w:hint="eastAsia"/>
          <w:rtl/>
        </w:rPr>
        <w:t>הרחבה</w:t>
      </w:r>
      <w:r w:rsidRPr="00C608C7">
        <w:rPr>
          <w:rtl/>
        </w:rPr>
        <w:t xml:space="preserve"> </w:t>
      </w:r>
      <w:r w:rsidRPr="00C608C7">
        <w:rPr>
          <w:rFonts w:hint="eastAsia"/>
          <w:rtl/>
        </w:rPr>
        <w:t>תוביל</w:t>
      </w:r>
      <w:r w:rsidRPr="00C608C7">
        <w:rPr>
          <w:rtl/>
        </w:rPr>
        <w:t xml:space="preserve"> </w:t>
      </w:r>
      <w:r w:rsidRPr="00C608C7">
        <w:rPr>
          <w:rFonts w:hint="eastAsia"/>
          <w:rtl/>
        </w:rPr>
        <w:t>דווקא</w:t>
      </w:r>
      <w:r w:rsidRPr="00C608C7">
        <w:rPr>
          <w:rtl/>
        </w:rPr>
        <w:t xml:space="preserve"> </w:t>
      </w:r>
      <w:r w:rsidRPr="00C608C7">
        <w:rPr>
          <w:rFonts w:hint="eastAsia"/>
          <w:rtl/>
        </w:rPr>
        <w:t>לפרשנות</w:t>
      </w:r>
      <w:r w:rsidRPr="00C608C7">
        <w:rPr>
          <w:rtl/>
        </w:rPr>
        <w:t xml:space="preserve"> </w:t>
      </w:r>
      <w:r w:rsidRPr="00C608C7">
        <w:rPr>
          <w:rFonts w:hint="eastAsia"/>
          <w:rtl/>
        </w:rPr>
        <w:t>מצמצמת</w:t>
      </w:r>
      <w:r w:rsidRPr="00C608C7">
        <w:rPr>
          <w:rtl/>
        </w:rPr>
        <w:t xml:space="preserve"> (</w:t>
      </w:r>
      <w:r w:rsidRPr="00C608C7">
        <w:rPr>
          <w:rFonts w:hint="eastAsia"/>
          <w:rtl/>
        </w:rPr>
        <w:t>ראו</w:t>
      </w:r>
      <w:r w:rsidRPr="00C608C7">
        <w:rPr>
          <w:rtl/>
        </w:rPr>
        <w:t xml:space="preserve">: </w:t>
      </w:r>
      <w:r>
        <w:rPr>
          <w:rFonts w:hint="cs"/>
          <w:rtl/>
        </w:rPr>
        <w:t xml:space="preserve">עניין </w:t>
      </w:r>
      <w:r w:rsidRPr="00106214">
        <w:rPr>
          <w:rFonts w:ascii="Century" w:hAnsi="Century" w:cs="Miriam" w:hint="eastAsia"/>
          <w:b/>
          <w:spacing w:val="0"/>
          <w:szCs w:val="24"/>
          <w:rtl/>
        </w:rPr>
        <w:t>אור</w:t>
      </w:r>
      <w:r w:rsidRPr="00106214">
        <w:rPr>
          <w:rFonts w:ascii="Century" w:hAnsi="Century" w:cs="Miriam"/>
          <w:b/>
          <w:spacing w:val="0"/>
          <w:szCs w:val="24"/>
          <w:rtl/>
        </w:rPr>
        <w:t>-</w:t>
      </w:r>
      <w:r w:rsidRPr="00106214">
        <w:rPr>
          <w:rFonts w:ascii="Century" w:hAnsi="Century" w:cs="Miriam" w:hint="eastAsia"/>
          <w:b/>
          <w:spacing w:val="0"/>
          <w:szCs w:val="24"/>
          <w:rtl/>
        </w:rPr>
        <w:t>הכהן</w:t>
      </w:r>
      <w:r w:rsidRPr="00C608C7">
        <w:rPr>
          <w:rtl/>
        </w:rPr>
        <w:t xml:space="preserve">, </w:t>
      </w:r>
      <w:r w:rsidRPr="00C608C7">
        <w:rPr>
          <w:rFonts w:hint="eastAsia"/>
          <w:rtl/>
        </w:rPr>
        <w:t>פסקה</w:t>
      </w:r>
      <w:r>
        <w:rPr>
          <w:rtl/>
        </w:rPr>
        <w:t xml:space="preserve"> 11</w:t>
      </w:r>
      <w:r>
        <w:rPr>
          <w:rFonts w:hint="cs"/>
          <w:rtl/>
        </w:rPr>
        <w:t xml:space="preserve">; </w:t>
      </w:r>
      <w:r w:rsidRPr="00106214">
        <w:rPr>
          <w:rFonts w:ascii="Century" w:hAnsi="Century" w:cs="Miriam" w:hint="cs"/>
          <w:b/>
          <w:spacing w:val="0"/>
          <w:szCs w:val="24"/>
          <w:rtl/>
        </w:rPr>
        <w:t>ברק, פרשנות במשפט</w:t>
      </w:r>
      <w:r>
        <w:rPr>
          <w:rFonts w:hint="cs"/>
          <w:rtl/>
        </w:rPr>
        <w:t>, עמ'</w:t>
      </w:r>
      <w:r w:rsidRPr="00B13185">
        <w:rPr>
          <w:rFonts w:hint="cs"/>
          <w:rtl/>
        </w:rPr>
        <w:t xml:space="preserve"> </w:t>
      </w:r>
      <w:r>
        <w:rPr>
          <w:rFonts w:hint="cs"/>
          <w:rtl/>
        </w:rPr>
        <w:t>462-460). אף נאמר כי הוראות חוק יסוד יש לפרש "מתוך 'נדיבות'" (</w:t>
      </w:r>
      <w:r w:rsidRPr="00697264">
        <w:rPr>
          <w:rFonts w:hint="eastAsia"/>
          <w:rtl/>
        </w:rPr>
        <w:t>בג</w:t>
      </w:r>
      <w:r w:rsidRPr="00697264">
        <w:rPr>
          <w:rtl/>
        </w:rPr>
        <w:t>"</w:t>
      </w:r>
      <w:r w:rsidRPr="00697264">
        <w:rPr>
          <w:rFonts w:hint="eastAsia"/>
          <w:rtl/>
        </w:rPr>
        <w:t>ץ</w:t>
      </w:r>
      <w:r w:rsidRPr="00697264">
        <w:rPr>
          <w:rtl/>
        </w:rPr>
        <w:t xml:space="preserve"> </w:t>
      </w:r>
      <w:r>
        <w:rPr>
          <w:rFonts w:hint="cs"/>
          <w:rtl/>
        </w:rPr>
        <w:t xml:space="preserve">2481/93 </w:t>
      </w:r>
      <w:r w:rsidRPr="006955E7">
        <w:rPr>
          <w:rFonts w:ascii="Century" w:hAnsi="Century" w:cs="Miriam" w:hint="eastAsia"/>
          <w:b/>
          <w:spacing w:val="0"/>
          <w:szCs w:val="24"/>
          <w:rtl/>
        </w:rPr>
        <w:t>דיין</w:t>
      </w:r>
      <w:r w:rsidRPr="006955E7">
        <w:rPr>
          <w:rFonts w:ascii="Century" w:hAnsi="Century" w:cs="Miriam"/>
          <w:b/>
          <w:spacing w:val="0"/>
          <w:szCs w:val="24"/>
          <w:rtl/>
        </w:rPr>
        <w:t xml:space="preserve"> </w:t>
      </w:r>
      <w:r w:rsidRPr="00E5574C">
        <w:rPr>
          <w:rFonts w:ascii="Century" w:hAnsi="Century" w:cs="Miriam" w:hint="eastAsia"/>
          <w:b/>
          <w:spacing w:val="0"/>
          <w:szCs w:val="24"/>
          <w:rtl/>
        </w:rPr>
        <w:t>נ</w:t>
      </w:r>
      <w:r w:rsidRPr="0054710D">
        <w:rPr>
          <w:rFonts w:ascii="Century" w:hAnsi="Century" w:cs="Miriam"/>
          <w:b/>
          <w:spacing w:val="0"/>
          <w:szCs w:val="24"/>
          <w:rtl/>
        </w:rPr>
        <w:t xml:space="preserve">' </w:t>
      </w:r>
      <w:r w:rsidRPr="0008146B">
        <w:rPr>
          <w:rFonts w:ascii="Century" w:hAnsi="Century" w:cs="Miriam" w:hint="eastAsia"/>
          <w:b/>
          <w:spacing w:val="0"/>
          <w:szCs w:val="24"/>
          <w:rtl/>
        </w:rPr>
        <w:t>ניצב</w:t>
      </w:r>
      <w:r w:rsidRPr="0008146B">
        <w:rPr>
          <w:rFonts w:ascii="Century" w:hAnsi="Century" w:cs="Miriam"/>
          <w:b/>
          <w:spacing w:val="0"/>
          <w:szCs w:val="24"/>
          <w:rtl/>
        </w:rPr>
        <w:t xml:space="preserve"> </w:t>
      </w:r>
      <w:r w:rsidRPr="0008146B">
        <w:rPr>
          <w:rFonts w:ascii="Century" w:hAnsi="Century" w:cs="Miriam" w:hint="eastAsia"/>
          <w:b/>
          <w:spacing w:val="0"/>
          <w:szCs w:val="24"/>
          <w:rtl/>
        </w:rPr>
        <w:t>יהודה</w:t>
      </w:r>
      <w:r w:rsidRPr="0008146B">
        <w:rPr>
          <w:rFonts w:ascii="Century" w:hAnsi="Century" w:cs="Miriam"/>
          <w:b/>
          <w:spacing w:val="0"/>
          <w:szCs w:val="24"/>
          <w:rtl/>
        </w:rPr>
        <w:t xml:space="preserve"> </w:t>
      </w:r>
      <w:r w:rsidRPr="00D31841">
        <w:rPr>
          <w:rFonts w:ascii="Century" w:hAnsi="Century" w:cs="Miriam" w:hint="eastAsia"/>
          <w:b/>
          <w:spacing w:val="0"/>
          <w:szCs w:val="24"/>
          <w:rtl/>
        </w:rPr>
        <w:t>וילק</w:t>
      </w:r>
      <w:r w:rsidRPr="00DB3C71">
        <w:rPr>
          <w:rFonts w:ascii="Century" w:hAnsi="Century" w:cs="Miriam"/>
          <w:b/>
          <w:spacing w:val="0"/>
          <w:szCs w:val="24"/>
          <w:rtl/>
        </w:rPr>
        <w:t xml:space="preserve">, </w:t>
      </w:r>
      <w:r w:rsidRPr="00DB3C71">
        <w:rPr>
          <w:rFonts w:ascii="Century" w:hAnsi="Century" w:cs="Miriam" w:hint="eastAsia"/>
          <w:b/>
          <w:spacing w:val="0"/>
          <w:szCs w:val="24"/>
          <w:rtl/>
        </w:rPr>
        <w:t>מפקד</w:t>
      </w:r>
      <w:r w:rsidRPr="00DB3C71">
        <w:rPr>
          <w:rFonts w:ascii="Century" w:hAnsi="Century" w:cs="Miriam"/>
          <w:b/>
          <w:spacing w:val="0"/>
          <w:szCs w:val="24"/>
          <w:rtl/>
        </w:rPr>
        <w:t xml:space="preserve"> </w:t>
      </w:r>
      <w:r w:rsidRPr="00DB3C71">
        <w:rPr>
          <w:rFonts w:ascii="Century" w:hAnsi="Century" w:cs="Miriam" w:hint="eastAsia"/>
          <w:b/>
          <w:spacing w:val="0"/>
          <w:szCs w:val="24"/>
          <w:rtl/>
        </w:rPr>
        <w:t>מחוז</w:t>
      </w:r>
      <w:r w:rsidRPr="00DB3C71">
        <w:rPr>
          <w:rFonts w:ascii="Century" w:hAnsi="Century" w:cs="Miriam"/>
          <w:b/>
          <w:spacing w:val="0"/>
          <w:szCs w:val="24"/>
          <w:rtl/>
        </w:rPr>
        <w:t xml:space="preserve"> </w:t>
      </w:r>
      <w:r w:rsidRPr="00FF200B">
        <w:rPr>
          <w:rFonts w:ascii="Century" w:hAnsi="Century" w:cs="Miriam" w:hint="eastAsia"/>
          <w:b/>
          <w:spacing w:val="0"/>
          <w:szCs w:val="24"/>
          <w:rtl/>
        </w:rPr>
        <w:t>ירושלים</w:t>
      </w:r>
      <w:r w:rsidRPr="00697264">
        <w:rPr>
          <w:rtl/>
        </w:rPr>
        <w:t xml:space="preserve">, </w:t>
      </w:r>
      <w:r>
        <w:rPr>
          <w:rFonts w:hint="cs"/>
          <w:rtl/>
        </w:rPr>
        <w:t xml:space="preserve">פ"ד </w:t>
      </w:r>
      <w:r w:rsidRPr="00697264">
        <w:rPr>
          <w:rFonts w:hint="eastAsia"/>
          <w:rtl/>
        </w:rPr>
        <w:t>מח</w:t>
      </w:r>
      <w:r w:rsidRPr="00697264">
        <w:rPr>
          <w:rtl/>
        </w:rPr>
        <w:t>(2) 456</w:t>
      </w:r>
      <w:r>
        <w:rPr>
          <w:rFonts w:hint="cs"/>
          <w:rtl/>
        </w:rPr>
        <w:t xml:space="preserve">, 470 (1994)) ולהעניק לו מובן המאפשר לו "לקיים את תפקידו </w:t>
      </w:r>
      <w:r>
        <w:rPr>
          <w:rFonts w:hint="cs"/>
          <w:rtl/>
        </w:rPr>
        <w:lastRenderedPageBreak/>
        <w:t xml:space="preserve">בהווה ובעתיד בצורה הראויה ביותר" (עניין </w:t>
      </w:r>
      <w:r w:rsidRPr="006955E7">
        <w:rPr>
          <w:rFonts w:ascii="Century" w:hAnsi="Century" w:cs="Miriam" w:hint="eastAsia"/>
          <w:b/>
          <w:spacing w:val="0"/>
          <w:szCs w:val="24"/>
          <w:rtl/>
        </w:rPr>
        <w:t>בנק</w:t>
      </w:r>
      <w:r w:rsidRPr="006955E7">
        <w:rPr>
          <w:rFonts w:ascii="Century" w:hAnsi="Century" w:cs="Miriam"/>
          <w:b/>
          <w:spacing w:val="0"/>
          <w:szCs w:val="24"/>
          <w:rtl/>
        </w:rPr>
        <w:t xml:space="preserve"> </w:t>
      </w:r>
      <w:r w:rsidRPr="00E5574C">
        <w:rPr>
          <w:rFonts w:ascii="Century" w:hAnsi="Century" w:cs="Miriam" w:hint="eastAsia"/>
          <w:b/>
          <w:spacing w:val="0"/>
          <w:szCs w:val="24"/>
          <w:rtl/>
        </w:rPr>
        <w:t>המזרחי</w:t>
      </w:r>
      <w:r>
        <w:rPr>
          <w:rFonts w:hint="cs"/>
          <w:rtl/>
        </w:rPr>
        <w:t xml:space="preserve">, עמ' 429). כך גם בעניין </w:t>
      </w:r>
      <w:r w:rsidRPr="006955E7">
        <w:rPr>
          <w:rFonts w:ascii="Century" w:hAnsi="Century" w:cs="Miriam" w:hint="eastAsia"/>
          <w:b/>
          <w:spacing w:val="0"/>
          <w:szCs w:val="24"/>
          <w:rtl/>
        </w:rPr>
        <w:t>ניימן</w:t>
      </w:r>
      <w:r w:rsidRPr="00960E63">
        <w:rPr>
          <w:rFonts w:hint="cs"/>
          <w:rtl/>
        </w:rPr>
        <w:t xml:space="preserve"> </w:t>
      </w:r>
      <w:r>
        <w:rPr>
          <w:rFonts w:hint="cs"/>
          <w:rtl/>
        </w:rPr>
        <w:t>צוין כי:</w:t>
      </w:r>
    </w:p>
    <w:p w:rsidR="00737972" w:rsidRDefault="00737972" w:rsidP="00737972">
      <w:pPr>
        <w:pStyle w:val="Ruller41"/>
        <w:rPr>
          <w:rtl/>
        </w:rPr>
      </w:pPr>
    </w:p>
    <w:p w:rsidR="00737972" w:rsidRDefault="00737972" w:rsidP="00737972">
      <w:pPr>
        <w:pStyle w:val="Ruller5"/>
        <w:rPr>
          <w:rtl/>
        </w:rPr>
      </w:pPr>
      <w:r>
        <w:rPr>
          <w:rtl/>
        </w:rPr>
        <w:t>"</w:t>
      </w:r>
      <w:r>
        <w:rPr>
          <w:rFonts w:hint="eastAsia"/>
          <w:rtl/>
        </w:rPr>
        <w:t>הוראות</w:t>
      </w:r>
      <w:r>
        <w:rPr>
          <w:rtl/>
        </w:rPr>
        <w:t xml:space="preserve"> </w:t>
      </w:r>
      <w:r>
        <w:rPr>
          <w:rFonts w:hint="eastAsia"/>
          <w:rtl/>
        </w:rPr>
        <w:t>יסוד</w:t>
      </w:r>
      <w:r>
        <w:rPr>
          <w:rtl/>
        </w:rPr>
        <w:t xml:space="preserve"> </w:t>
      </w:r>
      <w:r>
        <w:rPr>
          <w:rFonts w:hint="eastAsia"/>
          <w:rtl/>
        </w:rPr>
        <w:t>יש</w:t>
      </w:r>
      <w:r>
        <w:rPr>
          <w:rtl/>
        </w:rPr>
        <w:t xml:space="preserve"> </w:t>
      </w:r>
      <w:r>
        <w:rPr>
          <w:rFonts w:hint="eastAsia"/>
          <w:rtl/>
        </w:rPr>
        <w:t>לפרש</w:t>
      </w:r>
      <w:r>
        <w:rPr>
          <w:rtl/>
        </w:rPr>
        <w:t xml:space="preserve"> </w:t>
      </w:r>
      <w:r>
        <w:rPr>
          <w:rFonts w:hint="eastAsia"/>
          <w:rtl/>
        </w:rPr>
        <w:t>מתוך</w:t>
      </w:r>
      <w:r>
        <w:rPr>
          <w:rtl/>
        </w:rPr>
        <w:t xml:space="preserve"> '</w:t>
      </w:r>
      <w:r>
        <w:rPr>
          <w:rFonts w:hint="eastAsia"/>
          <w:rtl/>
        </w:rPr>
        <w:t>מבט</w:t>
      </w:r>
      <w:r>
        <w:rPr>
          <w:rtl/>
        </w:rPr>
        <w:t xml:space="preserve"> </w:t>
      </w:r>
      <w:r>
        <w:rPr>
          <w:rFonts w:hint="eastAsia"/>
          <w:rtl/>
        </w:rPr>
        <w:t>רחב</w:t>
      </w:r>
      <w:r>
        <w:rPr>
          <w:rtl/>
        </w:rPr>
        <w:t xml:space="preserve">' [...] </w:t>
      </w:r>
      <w:r>
        <w:rPr>
          <w:rFonts w:hint="eastAsia"/>
          <w:rtl/>
        </w:rPr>
        <w:t>ומתוך</w:t>
      </w:r>
      <w:r>
        <w:rPr>
          <w:rtl/>
        </w:rPr>
        <w:t xml:space="preserve"> </w:t>
      </w:r>
      <w:r>
        <w:rPr>
          <w:rFonts w:hint="eastAsia"/>
          <w:rtl/>
        </w:rPr>
        <w:t>הבנה</w:t>
      </w:r>
      <w:r>
        <w:rPr>
          <w:rtl/>
        </w:rPr>
        <w:t xml:space="preserve">, </w:t>
      </w:r>
      <w:r>
        <w:rPr>
          <w:rFonts w:hint="eastAsia"/>
          <w:rtl/>
        </w:rPr>
        <w:t>כי</w:t>
      </w:r>
      <w:r>
        <w:rPr>
          <w:rtl/>
        </w:rPr>
        <w:t xml:space="preserve"> </w:t>
      </w:r>
      <w:r>
        <w:rPr>
          <w:rFonts w:hint="eastAsia"/>
          <w:rtl/>
        </w:rPr>
        <w:t>עניין</w:t>
      </w:r>
      <w:r>
        <w:rPr>
          <w:rtl/>
        </w:rPr>
        <w:t xml:space="preserve"> </w:t>
      </w:r>
      <w:r>
        <w:rPr>
          <w:rFonts w:hint="eastAsia"/>
          <w:rtl/>
        </w:rPr>
        <w:t>לנו</w:t>
      </w:r>
      <w:r>
        <w:rPr>
          <w:rtl/>
        </w:rPr>
        <w:t xml:space="preserve"> </w:t>
      </w:r>
      <w:r>
        <w:rPr>
          <w:rFonts w:hint="eastAsia"/>
          <w:rtl/>
        </w:rPr>
        <w:t>בהוראה</w:t>
      </w:r>
      <w:r>
        <w:rPr>
          <w:rtl/>
        </w:rPr>
        <w:t xml:space="preserve"> </w:t>
      </w:r>
      <w:r>
        <w:rPr>
          <w:rFonts w:hint="eastAsia"/>
          <w:rtl/>
        </w:rPr>
        <w:t>הקובעת</w:t>
      </w:r>
      <w:r>
        <w:rPr>
          <w:rtl/>
        </w:rPr>
        <w:t xml:space="preserve"> </w:t>
      </w:r>
      <w:r>
        <w:rPr>
          <w:rFonts w:hint="eastAsia"/>
          <w:rtl/>
        </w:rPr>
        <w:t>אורחות</w:t>
      </w:r>
      <w:r>
        <w:rPr>
          <w:rtl/>
        </w:rPr>
        <w:t xml:space="preserve"> </w:t>
      </w:r>
      <w:r>
        <w:rPr>
          <w:rFonts w:hint="eastAsia"/>
          <w:rtl/>
        </w:rPr>
        <w:t>חיים</w:t>
      </w:r>
      <w:r>
        <w:rPr>
          <w:rFonts w:hint="cs"/>
          <w:rtl/>
        </w:rPr>
        <w:t xml:space="preserve"> [</w:t>
      </w:r>
      <w:r>
        <w:rPr>
          <w:rtl/>
        </w:rPr>
        <w:t>...</w:t>
      </w:r>
      <w:r>
        <w:rPr>
          <w:rFonts w:hint="cs"/>
          <w:rtl/>
        </w:rPr>
        <w:t>].</w:t>
      </w:r>
      <w:r>
        <w:rPr>
          <w:rtl/>
        </w:rPr>
        <w:t xml:space="preserve"> </w:t>
      </w:r>
      <w:r>
        <w:rPr>
          <w:rFonts w:hint="eastAsia"/>
          <w:rtl/>
        </w:rPr>
        <w:t>עניין</w:t>
      </w:r>
      <w:r>
        <w:rPr>
          <w:rtl/>
        </w:rPr>
        <w:t xml:space="preserve"> </w:t>
      </w:r>
      <w:r>
        <w:rPr>
          <w:rFonts w:hint="eastAsia"/>
          <w:rtl/>
        </w:rPr>
        <w:t>לנו</w:t>
      </w:r>
      <w:r>
        <w:rPr>
          <w:rtl/>
        </w:rPr>
        <w:t xml:space="preserve"> </w:t>
      </w:r>
      <w:r>
        <w:rPr>
          <w:rFonts w:hint="eastAsia"/>
          <w:rtl/>
        </w:rPr>
        <w:t>בניסיון</w:t>
      </w:r>
      <w:r>
        <w:rPr>
          <w:rtl/>
        </w:rPr>
        <w:t xml:space="preserve"> </w:t>
      </w:r>
      <w:r>
        <w:rPr>
          <w:rFonts w:hint="eastAsia"/>
          <w:rtl/>
        </w:rPr>
        <w:t>אנושי</w:t>
      </w:r>
      <w:r>
        <w:rPr>
          <w:rtl/>
        </w:rPr>
        <w:t xml:space="preserve">, </w:t>
      </w:r>
      <w:r>
        <w:rPr>
          <w:rFonts w:hint="eastAsia"/>
          <w:rtl/>
        </w:rPr>
        <w:t>החייב</w:t>
      </w:r>
      <w:r>
        <w:rPr>
          <w:rtl/>
        </w:rPr>
        <w:t xml:space="preserve"> </w:t>
      </w:r>
      <w:r>
        <w:rPr>
          <w:rFonts w:hint="eastAsia"/>
          <w:rtl/>
        </w:rPr>
        <w:t>להתאים</w:t>
      </w:r>
      <w:r>
        <w:rPr>
          <w:rtl/>
        </w:rPr>
        <w:t xml:space="preserve"> </w:t>
      </w:r>
      <w:r>
        <w:rPr>
          <w:rFonts w:hint="eastAsia"/>
          <w:rtl/>
        </w:rPr>
        <w:t>עצמו</w:t>
      </w:r>
      <w:r>
        <w:rPr>
          <w:rtl/>
        </w:rPr>
        <w:t xml:space="preserve"> </w:t>
      </w:r>
      <w:r>
        <w:rPr>
          <w:rFonts w:hint="eastAsia"/>
          <w:rtl/>
        </w:rPr>
        <w:t>למציאות</w:t>
      </w:r>
      <w:r>
        <w:rPr>
          <w:rtl/>
        </w:rPr>
        <w:t xml:space="preserve"> </w:t>
      </w:r>
      <w:r>
        <w:rPr>
          <w:rFonts w:hint="eastAsia"/>
          <w:rtl/>
        </w:rPr>
        <w:t>חיים</w:t>
      </w:r>
      <w:r>
        <w:rPr>
          <w:rtl/>
        </w:rPr>
        <w:t xml:space="preserve"> </w:t>
      </w:r>
      <w:r>
        <w:rPr>
          <w:rFonts w:hint="eastAsia"/>
          <w:rtl/>
        </w:rPr>
        <w:t>משתנה</w:t>
      </w:r>
      <w:r>
        <w:rPr>
          <w:rtl/>
        </w:rPr>
        <w:t xml:space="preserve">. </w:t>
      </w:r>
      <w:r>
        <w:rPr>
          <w:rFonts w:hint="eastAsia"/>
          <w:rtl/>
        </w:rPr>
        <w:t>אם</w:t>
      </w:r>
      <w:r>
        <w:rPr>
          <w:rtl/>
        </w:rPr>
        <w:t xml:space="preserve"> </w:t>
      </w:r>
      <w:r>
        <w:rPr>
          <w:rFonts w:hint="eastAsia"/>
          <w:rtl/>
        </w:rPr>
        <w:t>אמרנו</w:t>
      </w:r>
      <w:r>
        <w:rPr>
          <w:rtl/>
        </w:rPr>
        <w:t xml:space="preserve"> </w:t>
      </w:r>
      <w:r>
        <w:rPr>
          <w:rFonts w:hint="eastAsia"/>
          <w:rtl/>
        </w:rPr>
        <w:t>על</w:t>
      </w:r>
      <w:r>
        <w:rPr>
          <w:rtl/>
        </w:rPr>
        <w:t xml:space="preserve"> </w:t>
      </w:r>
      <w:r>
        <w:rPr>
          <w:rFonts w:hint="eastAsia"/>
          <w:rtl/>
        </w:rPr>
        <w:t>חוק</w:t>
      </w:r>
      <w:r>
        <w:rPr>
          <w:rtl/>
        </w:rPr>
        <w:t xml:space="preserve"> </w:t>
      </w:r>
      <w:r>
        <w:rPr>
          <w:rFonts w:hint="eastAsia"/>
          <w:rtl/>
        </w:rPr>
        <w:t>רגיל</w:t>
      </w:r>
      <w:r>
        <w:rPr>
          <w:rtl/>
        </w:rPr>
        <w:t xml:space="preserve">, </w:t>
      </w:r>
      <w:r>
        <w:rPr>
          <w:rFonts w:hint="eastAsia"/>
          <w:rtl/>
        </w:rPr>
        <w:t>כי</w:t>
      </w:r>
      <w:r>
        <w:rPr>
          <w:rtl/>
        </w:rPr>
        <w:t xml:space="preserve"> </w:t>
      </w:r>
      <w:r>
        <w:rPr>
          <w:rFonts w:hint="eastAsia"/>
          <w:rtl/>
        </w:rPr>
        <w:t>אין</w:t>
      </w:r>
      <w:r>
        <w:rPr>
          <w:rtl/>
        </w:rPr>
        <w:t xml:space="preserve"> </w:t>
      </w:r>
      <w:r>
        <w:rPr>
          <w:rFonts w:hint="eastAsia"/>
          <w:rtl/>
        </w:rPr>
        <w:t>הוא</w:t>
      </w:r>
      <w:r>
        <w:rPr>
          <w:rtl/>
        </w:rPr>
        <w:t xml:space="preserve"> </w:t>
      </w:r>
      <w:r>
        <w:rPr>
          <w:rFonts w:hint="eastAsia"/>
          <w:rtl/>
        </w:rPr>
        <w:t>מבצר</w:t>
      </w:r>
      <w:r>
        <w:rPr>
          <w:rtl/>
        </w:rPr>
        <w:t xml:space="preserve"> </w:t>
      </w:r>
      <w:r>
        <w:rPr>
          <w:rFonts w:hint="eastAsia"/>
          <w:rtl/>
        </w:rPr>
        <w:t>הנכבש</w:t>
      </w:r>
      <w:r>
        <w:rPr>
          <w:rtl/>
        </w:rPr>
        <w:t xml:space="preserve"> </w:t>
      </w:r>
      <w:r>
        <w:rPr>
          <w:rFonts w:hint="eastAsia"/>
          <w:rtl/>
        </w:rPr>
        <w:t>בעזרת</w:t>
      </w:r>
      <w:r>
        <w:rPr>
          <w:rtl/>
        </w:rPr>
        <w:t xml:space="preserve"> </w:t>
      </w:r>
      <w:r>
        <w:rPr>
          <w:rFonts w:hint="eastAsia"/>
          <w:rtl/>
        </w:rPr>
        <w:t>מילון</w:t>
      </w:r>
      <w:r>
        <w:rPr>
          <w:rtl/>
        </w:rPr>
        <w:t xml:space="preserve"> </w:t>
      </w:r>
      <w:r>
        <w:rPr>
          <w:rFonts w:hint="eastAsia"/>
          <w:rtl/>
        </w:rPr>
        <w:t>אלא</w:t>
      </w:r>
      <w:r>
        <w:rPr>
          <w:rtl/>
        </w:rPr>
        <w:t xml:space="preserve"> </w:t>
      </w:r>
      <w:r>
        <w:rPr>
          <w:rFonts w:hint="eastAsia"/>
          <w:rtl/>
        </w:rPr>
        <w:t>עטיפה</w:t>
      </w:r>
      <w:r>
        <w:rPr>
          <w:rtl/>
        </w:rPr>
        <w:t xml:space="preserve"> </w:t>
      </w:r>
      <w:r>
        <w:rPr>
          <w:rFonts w:hint="eastAsia"/>
          <w:rtl/>
        </w:rPr>
        <w:t>לרעיון</w:t>
      </w:r>
      <w:r>
        <w:rPr>
          <w:rtl/>
        </w:rPr>
        <w:t xml:space="preserve"> </w:t>
      </w:r>
      <w:r>
        <w:rPr>
          <w:rFonts w:hint="eastAsia"/>
          <w:rtl/>
        </w:rPr>
        <w:t>חקיקתי</w:t>
      </w:r>
      <w:r>
        <w:rPr>
          <w:rtl/>
        </w:rPr>
        <w:t xml:space="preserve"> </w:t>
      </w:r>
      <w:r>
        <w:rPr>
          <w:rFonts w:hint="eastAsia"/>
          <w:rtl/>
        </w:rPr>
        <w:t>חי</w:t>
      </w:r>
      <w:r>
        <w:rPr>
          <w:rFonts w:hint="cs"/>
          <w:rtl/>
        </w:rPr>
        <w:t xml:space="preserve"> [</w:t>
      </w:r>
      <w:r>
        <w:rPr>
          <w:rtl/>
        </w:rPr>
        <w:t>..</w:t>
      </w:r>
      <w:r>
        <w:rPr>
          <w:rFonts w:hint="cs"/>
          <w:rtl/>
        </w:rPr>
        <w:t xml:space="preserve">.], </w:t>
      </w:r>
      <w:r>
        <w:rPr>
          <w:rFonts w:hint="eastAsia"/>
          <w:rtl/>
        </w:rPr>
        <w:t>הרי</w:t>
      </w:r>
      <w:r>
        <w:rPr>
          <w:rtl/>
        </w:rPr>
        <w:t xml:space="preserve"> </w:t>
      </w:r>
      <w:r>
        <w:rPr>
          <w:rFonts w:hint="eastAsia"/>
          <w:rtl/>
        </w:rPr>
        <w:t>על</w:t>
      </w:r>
      <w:r>
        <w:rPr>
          <w:rtl/>
        </w:rPr>
        <w:t xml:space="preserve"> </w:t>
      </w:r>
      <w:r>
        <w:rPr>
          <w:rFonts w:hint="eastAsia"/>
          <w:rtl/>
        </w:rPr>
        <w:t>אחת</w:t>
      </w:r>
      <w:r>
        <w:rPr>
          <w:rtl/>
        </w:rPr>
        <w:t xml:space="preserve"> </w:t>
      </w:r>
      <w:r>
        <w:rPr>
          <w:rFonts w:hint="eastAsia"/>
          <w:rtl/>
        </w:rPr>
        <w:t>כמה</w:t>
      </w:r>
      <w:r>
        <w:rPr>
          <w:rtl/>
        </w:rPr>
        <w:t xml:space="preserve"> </w:t>
      </w:r>
      <w:r>
        <w:rPr>
          <w:rFonts w:hint="eastAsia"/>
          <w:rtl/>
        </w:rPr>
        <w:t>וכמה</w:t>
      </w:r>
      <w:r>
        <w:rPr>
          <w:rtl/>
        </w:rPr>
        <w:t xml:space="preserve"> </w:t>
      </w:r>
      <w:r>
        <w:rPr>
          <w:rFonts w:hint="eastAsia"/>
          <w:rtl/>
        </w:rPr>
        <w:t>שגישה</w:t>
      </w:r>
      <w:r>
        <w:rPr>
          <w:rtl/>
        </w:rPr>
        <w:t xml:space="preserve"> </w:t>
      </w:r>
      <w:r>
        <w:rPr>
          <w:rFonts w:hint="eastAsia"/>
          <w:rtl/>
        </w:rPr>
        <w:t>זו</w:t>
      </w:r>
      <w:r>
        <w:rPr>
          <w:rtl/>
        </w:rPr>
        <w:t xml:space="preserve"> </w:t>
      </w:r>
      <w:r>
        <w:rPr>
          <w:rFonts w:hint="eastAsia"/>
          <w:rtl/>
        </w:rPr>
        <w:t>צריכה</w:t>
      </w:r>
      <w:r>
        <w:rPr>
          <w:rtl/>
        </w:rPr>
        <w:t xml:space="preserve"> </w:t>
      </w:r>
      <w:r>
        <w:rPr>
          <w:rFonts w:hint="eastAsia"/>
          <w:rtl/>
        </w:rPr>
        <w:t>להדריכנו</w:t>
      </w:r>
      <w:r>
        <w:rPr>
          <w:rtl/>
        </w:rPr>
        <w:t xml:space="preserve"> </w:t>
      </w:r>
      <w:r>
        <w:rPr>
          <w:rFonts w:hint="eastAsia"/>
          <w:rtl/>
        </w:rPr>
        <w:t>לעניין</w:t>
      </w:r>
      <w:r>
        <w:rPr>
          <w:rtl/>
        </w:rPr>
        <w:t xml:space="preserve"> </w:t>
      </w:r>
      <w:r>
        <w:rPr>
          <w:rFonts w:hint="eastAsia"/>
          <w:rtl/>
        </w:rPr>
        <w:t>פירושן</w:t>
      </w:r>
      <w:r>
        <w:rPr>
          <w:rtl/>
        </w:rPr>
        <w:t xml:space="preserve"> </w:t>
      </w:r>
      <w:r>
        <w:rPr>
          <w:rFonts w:hint="eastAsia"/>
          <w:rtl/>
        </w:rPr>
        <w:t>של</w:t>
      </w:r>
      <w:r>
        <w:rPr>
          <w:rtl/>
        </w:rPr>
        <w:t xml:space="preserve"> </w:t>
      </w:r>
      <w:r>
        <w:rPr>
          <w:rFonts w:hint="eastAsia"/>
          <w:rtl/>
        </w:rPr>
        <w:t>הוראות</w:t>
      </w:r>
      <w:r>
        <w:rPr>
          <w:rtl/>
        </w:rPr>
        <w:t xml:space="preserve"> </w:t>
      </w:r>
      <w:r>
        <w:rPr>
          <w:rFonts w:hint="eastAsia"/>
          <w:rtl/>
        </w:rPr>
        <w:t>בעלות</w:t>
      </w:r>
      <w:r>
        <w:rPr>
          <w:rtl/>
        </w:rPr>
        <w:t xml:space="preserve"> </w:t>
      </w:r>
      <w:r>
        <w:rPr>
          <w:rFonts w:hint="eastAsia"/>
          <w:rtl/>
        </w:rPr>
        <w:t>אופי</w:t>
      </w:r>
      <w:r>
        <w:rPr>
          <w:rtl/>
        </w:rPr>
        <w:t xml:space="preserve"> </w:t>
      </w:r>
      <w:r>
        <w:rPr>
          <w:rFonts w:hint="eastAsia"/>
          <w:rtl/>
        </w:rPr>
        <w:t>חוקתי</w:t>
      </w:r>
      <w:r>
        <w:rPr>
          <w:rtl/>
        </w:rPr>
        <w:t>" (</w:t>
      </w:r>
      <w:r>
        <w:rPr>
          <w:rFonts w:hint="eastAsia"/>
          <w:rtl/>
        </w:rPr>
        <w:t>שם</w:t>
      </w:r>
      <w:r>
        <w:rPr>
          <w:rtl/>
        </w:rPr>
        <w:t xml:space="preserve">, </w:t>
      </w:r>
      <w:r>
        <w:rPr>
          <w:rFonts w:hint="eastAsia"/>
          <w:rtl/>
        </w:rPr>
        <w:t>עמ</w:t>
      </w:r>
      <w:r>
        <w:rPr>
          <w:rtl/>
        </w:rPr>
        <w:t>' 306).</w:t>
      </w:r>
    </w:p>
    <w:p w:rsidR="00737972" w:rsidRDefault="00737972" w:rsidP="00737972">
      <w:pPr>
        <w:pStyle w:val="Ruller41"/>
        <w:rPr>
          <w:rtl/>
        </w:rPr>
      </w:pPr>
    </w:p>
    <w:p w:rsidR="00737972" w:rsidRDefault="00737972" w:rsidP="00737972">
      <w:pPr>
        <w:pStyle w:val="Ruller41"/>
        <w:rPr>
          <w:rtl/>
        </w:rPr>
      </w:pPr>
      <w:r>
        <w:rPr>
          <w:rFonts w:ascii="FrankRuehl" w:hAnsi="FrankRuehl"/>
          <w:color w:val="000000"/>
          <w:sz w:val="28"/>
          <w:rtl/>
        </w:rPr>
        <w:tab/>
      </w:r>
      <w:r>
        <w:rPr>
          <w:rFonts w:ascii="FrankRuehl" w:hAnsi="FrankRuehl" w:hint="cs"/>
          <w:color w:val="000000"/>
          <w:sz w:val="28"/>
          <w:rtl/>
        </w:rPr>
        <w:t xml:space="preserve">הכלל הוא אם כן כי חוק יסוד יש לפרש מתוך "מבט רחב" באופן המשקף את "תפיסות היסוד" שהוא נועד להגשים כטקסט חוקתי. זו הנחת המוצא שלא היה חולק עליה. מכאן אפוא, כי הרבה לפני שנזקקים אנו לדוקטרינות המאפשרות לעשות שימוש בעקרונות היסוד כ"חרב" המונפת על חוק היסוד, מצווים אנו להתייחס לעקרונות אלה כ"מגן" על ההוראה החוקתית. היינו, </w:t>
      </w:r>
      <w:r>
        <w:rPr>
          <w:rFonts w:hint="cs"/>
          <w:rtl/>
        </w:rPr>
        <w:t xml:space="preserve">חובה עלינו ליתן לאותם התוצרים של הרשות המכוננת את הפרשנות </w:t>
      </w:r>
      <w:r w:rsidRPr="0079516D">
        <w:rPr>
          <w:rFonts w:ascii="Century" w:hAnsi="Century" w:cs="Miriam" w:hint="cs"/>
          <w:b/>
          <w:spacing w:val="0"/>
          <w:szCs w:val="24"/>
          <w:rtl/>
        </w:rPr>
        <w:t>המיטיבה ביותר</w:t>
      </w:r>
      <w:r w:rsidRPr="0079516D">
        <w:rPr>
          <w:rFonts w:hint="cs"/>
          <w:rtl/>
        </w:rPr>
        <w:t xml:space="preserve"> </w:t>
      </w:r>
      <w:r>
        <w:rPr>
          <w:rFonts w:hint="cs"/>
          <w:rtl/>
        </w:rPr>
        <w:t xml:space="preserve">להגשמת עקרונות השיטה. </w:t>
      </w:r>
    </w:p>
    <w:p w:rsidR="00737972" w:rsidRDefault="00737972" w:rsidP="00737972">
      <w:pPr>
        <w:pStyle w:val="Ruller41"/>
        <w:rPr>
          <w:rtl/>
        </w:rPr>
      </w:pPr>
    </w:p>
    <w:p w:rsidR="00737972" w:rsidRPr="006955E7" w:rsidRDefault="00737972" w:rsidP="00737972">
      <w:pPr>
        <w:pStyle w:val="Ruller4"/>
        <w:rPr>
          <w:rtl/>
        </w:rPr>
      </w:pPr>
      <w:r>
        <w:rPr>
          <w:rFonts w:hint="cs"/>
          <w:rtl/>
        </w:rPr>
        <w:t xml:space="preserve">חבריי הטוענים כי דינו של תיקון חוק היסוד בטלות, סבורים כי הלשון אינה סובלת פרשנות לפיה מדובר בצמצום של עילת הסבירות וכי התכלית הסובייקטיבית עומדת בסתירה לכך. בעניין זה, העמדה כי לשונו של התיקון לחוק היסוד "גורפת", בלתי מסויגת ואינה מותירה מקום "לשום ספק" באשר להיקף תחולתו (כפי שהתנסחה למשל חברתי הנשיאה (בדימ') בפסקה 125 לחוות דעתה) קשה בעיני. מושג "הסבירות" עצמו נטוע בעמימות. ניתוח היקפו וגדריו לא ברורים. על כן הכרחי ליצוק תוכן להסדר שמבקש התיקון לחוק היסוד לכונן. בכך לא קיים כל חידוש שכן העמימות והיעדר הקונקרטיזציה הם מנת חלקו </w:t>
      </w:r>
      <w:r w:rsidRPr="00915B10">
        <w:rPr>
          <w:rFonts w:ascii="Century" w:hAnsi="Century" w:hint="eastAsia"/>
          <w:sz w:val="22"/>
          <w:rtl/>
        </w:rPr>
        <w:t>הטבעית</w:t>
      </w:r>
      <w:r w:rsidRPr="006955E7">
        <w:rPr>
          <w:rtl/>
        </w:rPr>
        <w:t xml:space="preserve"> </w:t>
      </w:r>
      <w:r>
        <w:rPr>
          <w:rFonts w:hint="cs"/>
          <w:rtl/>
        </w:rPr>
        <w:t xml:space="preserve">של כל חוק יסוד (בוודאי נכון הדבר לשיטת חבריי, שכן "כלליות" הינו אחד המאפיינים לזיהוי נורמה חוקתית לפי המבחן הדו-שלבי שפותח בעניין </w:t>
      </w:r>
      <w:r w:rsidRPr="007A745A">
        <w:rPr>
          <w:rFonts w:ascii="Century" w:hAnsi="Century" w:cs="Miriam" w:hint="cs"/>
          <w:b/>
          <w:spacing w:val="0"/>
          <w:sz w:val="22"/>
          <w:szCs w:val="24"/>
          <w:rtl/>
        </w:rPr>
        <w:t>שפיר</w:t>
      </w:r>
      <w:r>
        <w:rPr>
          <w:rFonts w:hint="cs"/>
          <w:rtl/>
        </w:rPr>
        <w:t xml:space="preserve">). בניגוד לחוקים רגילים שבהם קיימת חשיבות בפירוט מעשי-קונקרטי באשר לאופן הפעלתם במצבים ספציפיים עתידיים, חוקי היסוד </w:t>
      </w:r>
      <w:r w:rsidRPr="00915B10">
        <w:rPr>
          <w:rFonts w:ascii="Century" w:hAnsi="Century" w:cs="Miriam" w:hint="eastAsia"/>
          <w:b/>
          <w:spacing w:val="0"/>
          <w:sz w:val="22"/>
          <w:szCs w:val="24"/>
          <w:rtl/>
        </w:rPr>
        <w:t>מטבעם</w:t>
      </w:r>
      <w:r w:rsidRPr="006955E7">
        <w:rPr>
          <w:rtl/>
        </w:rPr>
        <w:t xml:space="preserve"> </w:t>
      </w:r>
      <w:r>
        <w:rPr>
          <w:rFonts w:hint="cs"/>
          <w:rtl/>
        </w:rPr>
        <w:t>מנוסחים באופן עמום ו"פתוח" (</w:t>
      </w:r>
      <w:r w:rsidRPr="006955E7">
        <w:rPr>
          <w:rFonts w:ascii="Century" w:hAnsi="Century" w:cs="Miriam" w:hint="eastAsia"/>
          <w:b/>
          <w:spacing w:val="0"/>
          <w:szCs w:val="24"/>
          <w:rtl/>
        </w:rPr>
        <w:t>דותן</w:t>
      </w:r>
      <w:r w:rsidRPr="006955E7">
        <w:rPr>
          <w:rFonts w:ascii="Century" w:hAnsi="Century" w:cs="Miriam"/>
          <w:b/>
          <w:spacing w:val="0"/>
          <w:szCs w:val="24"/>
          <w:rtl/>
        </w:rPr>
        <w:t xml:space="preserve">, </w:t>
      </w:r>
      <w:r w:rsidRPr="00E5574C">
        <w:rPr>
          <w:rFonts w:ascii="Century" w:hAnsi="Century" w:cs="Miriam" w:hint="eastAsia"/>
          <w:b/>
          <w:spacing w:val="0"/>
          <w:szCs w:val="24"/>
          <w:rtl/>
        </w:rPr>
        <w:t>מבט</w:t>
      </w:r>
      <w:r w:rsidRPr="0054710D">
        <w:rPr>
          <w:rFonts w:ascii="Century" w:hAnsi="Century" w:cs="Miriam"/>
          <w:b/>
          <w:spacing w:val="0"/>
          <w:szCs w:val="24"/>
          <w:rtl/>
        </w:rPr>
        <w:t xml:space="preserve"> </w:t>
      </w:r>
      <w:r w:rsidRPr="0008146B">
        <w:rPr>
          <w:rFonts w:ascii="Century" w:hAnsi="Century" w:cs="Miriam" w:hint="eastAsia"/>
          <w:b/>
          <w:spacing w:val="0"/>
          <w:szCs w:val="24"/>
          <w:rtl/>
        </w:rPr>
        <w:t>השוואתי</w:t>
      </w:r>
      <w:r w:rsidRPr="006B5CE9">
        <w:rPr>
          <w:rFonts w:hint="cs"/>
          <w:rtl/>
        </w:rPr>
        <w:t xml:space="preserve">, </w:t>
      </w:r>
      <w:r>
        <w:rPr>
          <w:rFonts w:hint="cs"/>
          <w:rtl/>
        </w:rPr>
        <w:t xml:space="preserve">עמ' </w:t>
      </w:r>
      <w:r w:rsidRPr="006B5CE9">
        <w:rPr>
          <w:rFonts w:hint="cs"/>
          <w:rtl/>
        </w:rPr>
        <w:t>497</w:t>
      </w:r>
      <w:r>
        <w:rPr>
          <w:rFonts w:hint="cs"/>
          <w:rtl/>
        </w:rPr>
        <w:t xml:space="preserve">). הנחת היסוד היא כי מושג סתמי-כללי בחוק יסוד </w:t>
      </w:r>
      <w:r w:rsidRPr="00915B10">
        <w:rPr>
          <w:rFonts w:ascii="Century" w:hAnsi="Century" w:cs="Miriam" w:hint="eastAsia"/>
          <w:b/>
          <w:spacing w:val="0"/>
          <w:sz w:val="22"/>
          <w:szCs w:val="24"/>
          <w:rtl/>
        </w:rPr>
        <w:t>לעולם</w:t>
      </w:r>
      <w:r w:rsidRPr="006955E7">
        <w:rPr>
          <w:rtl/>
        </w:rPr>
        <w:t xml:space="preserve"> </w:t>
      </w:r>
      <w:r>
        <w:rPr>
          <w:rFonts w:hint="cs"/>
          <w:rtl/>
        </w:rPr>
        <w:t>יהיה טעון פרשנות, ואף פרשנות מדוקדקת המגדירה את גבולותיו בתוך ההקשר הכללי.</w:t>
      </w:r>
    </w:p>
    <w:p w:rsidR="00737972" w:rsidRDefault="00737972" w:rsidP="00737972">
      <w:pPr>
        <w:pStyle w:val="Ruller41"/>
        <w:rPr>
          <w:rtl/>
        </w:rPr>
      </w:pPr>
    </w:p>
    <w:p w:rsidR="00737972" w:rsidRDefault="00737972" w:rsidP="00737972">
      <w:pPr>
        <w:pStyle w:val="Ruller4"/>
      </w:pPr>
      <w:r>
        <w:rPr>
          <w:rFonts w:hint="cs"/>
          <w:rtl/>
        </w:rPr>
        <w:t xml:space="preserve">נתמקד לשם הדוגמה במילים המפורסמות "אין פוגעים בקנינו של אדם" שבסעיף 3 לחוק יסוד: כבוד האדם וחירותו. מדובר בהצהרה כללית אשר ניתן ללמוד ממנה מעט מאוד באשר להיקף התפרשותה של הזכות אותה מבקש הסעיף לעגן. מהו </w:t>
      </w:r>
      <w:r>
        <w:rPr>
          <w:rFonts w:hint="cs"/>
          <w:rtl/>
        </w:rPr>
        <w:lastRenderedPageBreak/>
        <w:t xml:space="preserve">"קנין"? כל קנין פרטי </w:t>
      </w:r>
      <w:r w:rsidRPr="003141C5">
        <w:rPr>
          <w:rFonts w:hint="eastAsia"/>
          <w:rtl/>
        </w:rPr>
        <w:t>במשמע</w:t>
      </w:r>
      <w:r>
        <w:rPr>
          <w:rFonts w:hint="cs"/>
          <w:rtl/>
        </w:rPr>
        <w:t xml:space="preserve">? המילה "קנין" טומנת בחובה טווח פרשנויות עצום, שמשמעותו היקף התפרשות רחב ביותר של ההגנה על הזכות (וראו: </w:t>
      </w:r>
      <w:r w:rsidRPr="006B5CE9">
        <w:rPr>
          <w:rFonts w:ascii="Century" w:hAnsi="Century" w:cs="Miriam" w:hint="cs"/>
          <w:b/>
          <w:spacing w:val="0"/>
          <w:sz w:val="22"/>
          <w:szCs w:val="24"/>
          <w:rtl/>
        </w:rPr>
        <w:t>דותן, מבט השוואתי</w:t>
      </w:r>
      <w:r w:rsidRPr="00F6363B">
        <w:rPr>
          <w:rFonts w:hint="cs"/>
          <w:rtl/>
        </w:rPr>
        <w:t>,</w:t>
      </w:r>
      <w:r>
        <w:rPr>
          <w:rFonts w:hint="cs"/>
          <w:rtl/>
        </w:rPr>
        <w:t xml:space="preserve"> עמ'</w:t>
      </w:r>
      <w:r w:rsidRPr="00F6363B">
        <w:rPr>
          <w:rFonts w:hint="cs"/>
          <w:rtl/>
        </w:rPr>
        <w:t xml:space="preserve"> 498</w:t>
      </w:r>
      <w:r>
        <w:rPr>
          <w:rFonts w:hint="cs"/>
          <w:rtl/>
        </w:rPr>
        <w:t xml:space="preserve">). נניח לשם הדוגמה כי לפנינו הייתה מונחת עתירה המעלה על המוקד סעיף זה. האם בית המשפט היה קובע כי מבחינה </w:t>
      </w:r>
      <w:r w:rsidRPr="005E3B04">
        <w:rPr>
          <w:rFonts w:ascii="Century" w:hAnsi="Century" w:cs="Miriam" w:hint="cs"/>
          <w:b/>
          <w:spacing w:val="0"/>
          <w:sz w:val="22"/>
          <w:szCs w:val="24"/>
          <w:rtl/>
        </w:rPr>
        <w:t>לשונית</w:t>
      </w:r>
      <w:r w:rsidRPr="005E3B04">
        <w:rPr>
          <w:rFonts w:hint="cs"/>
          <w:rtl/>
        </w:rPr>
        <w:t xml:space="preserve"> </w:t>
      </w:r>
      <w:r>
        <w:rPr>
          <w:rFonts w:hint="cs"/>
          <w:rtl/>
        </w:rPr>
        <w:t xml:space="preserve">הפרשנות היחידה האפשרית והקיימת היא כי המילה "קנין" כוללת בתוכה את מנעד האפשרויות </w:t>
      </w:r>
      <w:r w:rsidRPr="005E3B04">
        <w:rPr>
          <w:rFonts w:ascii="Century" w:hAnsi="Century" w:cs="Miriam" w:hint="cs"/>
          <w:b/>
          <w:spacing w:val="0"/>
          <w:sz w:val="22"/>
          <w:szCs w:val="24"/>
          <w:rtl/>
        </w:rPr>
        <w:t>הרחב</w:t>
      </w:r>
      <w:r w:rsidRPr="005E3B04">
        <w:rPr>
          <w:rFonts w:hint="cs"/>
          <w:rtl/>
        </w:rPr>
        <w:t xml:space="preserve"> </w:t>
      </w:r>
      <w:r>
        <w:rPr>
          <w:rFonts w:hint="cs"/>
          <w:rtl/>
        </w:rPr>
        <w:t xml:space="preserve">ביותר למושג זה, ומכאן ש"אין פוגעים בקנינו של אדם" הוא ביטוי קיצוני, הרסני ומרחיק לכת העומד בניגוד מוחלט לעקרונות דמוקרטיים אחרים? או שמא, היה בית המשפט יוצק למונח זה תוכן בהתחשב במציאות המשפטי הקיימת, בהתחשב ב"ניסיון האנושי, החייב להתאים עצמו למציאות חיים המשתנה" (עניין </w:t>
      </w:r>
      <w:r w:rsidRPr="007075C7">
        <w:rPr>
          <w:rFonts w:ascii="Century" w:hAnsi="Century" w:cs="Miriam" w:hint="cs"/>
          <w:b/>
          <w:spacing w:val="0"/>
          <w:sz w:val="22"/>
          <w:szCs w:val="24"/>
          <w:rtl/>
        </w:rPr>
        <w:t>ניימן</w:t>
      </w:r>
      <w:r w:rsidRPr="007075C7">
        <w:rPr>
          <w:rFonts w:hint="cs"/>
          <w:rtl/>
        </w:rPr>
        <w:t xml:space="preserve"> </w:t>
      </w:r>
      <w:r>
        <w:rPr>
          <w:rFonts w:hint="cs"/>
          <w:rtl/>
        </w:rPr>
        <w:t xml:space="preserve">לעיל) בהינתן ההקשר ההיסטורי וחקיקתי הכללי ותפיסות היסוד? </w:t>
      </w:r>
    </w:p>
    <w:p w:rsidR="00737972" w:rsidRDefault="00737972" w:rsidP="00737972">
      <w:pPr>
        <w:pStyle w:val="Ruller4"/>
        <w:numPr>
          <w:ilvl w:val="0"/>
          <w:numId w:val="0"/>
        </w:numPr>
        <w:rPr>
          <w:rtl/>
        </w:rPr>
      </w:pPr>
    </w:p>
    <w:p w:rsidR="00737972" w:rsidRPr="00915B10" w:rsidRDefault="00737972" w:rsidP="00737972">
      <w:pPr>
        <w:pStyle w:val="Ruller4"/>
        <w:rPr>
          <w:rFonts w:ascii="FrankRuehl" w:hAnsi="FrankRuehl"/>
          <w:color w:val="000000"/>
          <w:sz w:val="28"/>
          <w:rtl/>
        </w:rPr>
      </w:pPr>
      <w:r w:rsidRPr="00BC292A">
        <w:rPr>
          <w:rFonts w:ascii="FrankRuehl" w:hAnsi="FrankRuehl" w:hint="eastAsia"/>
          <w:color w:val="000000"/>
          <w:sz w:val="28"/>
          <w:rtl/>
        </w:rPr>
        <w:t>מנקודת</w:t>
      </w:r>
      <w:r w:rsidRPr="00BC292A">
        <w:rPr>
          <w:rFonts w:ascii="FrankRuehl" w:hAnsi="FrankRuehl"/>
          <w:color w:val="000000"/>
          <w:sz w:val="28"/>
          <w:rtl/>
        </w:rPr>
        <w:t xml:space="preserve"> מבט </w:t>
      </w:r>
      <w:r>
        <w:rPr>
          <w:rFonts w:ascii="FrankRuehl" w:hAnsi="FrankRuehl" w:hint="cs"/>
          <w:color w:val="000000"/>
          <w:sz w:val="28"/>
          <w:rtl/>
        </w:rPr>
        <w:t>זו</w:t>
      </w:r>
      <w:r w:rsidRPr="00BC292A">
        <w:rPr>
          <w:rFonts w:ascii="FrankRuehl" w:hAnsi="FrankRuehl"/>
          <w:color w:val="000000"/>
          <w:sz w:val="28"/>
          <w:rtl/>
        </w:rPr>
        <w:t xml:space="preserve">, קשה </w:t>
      </w:r>
      <w:r w:rsidRPr="00BC292A">
        <w:rPr>
          <w:rFonts w:ascii="FrankRuehl" w:hAnsi="FrankRuehl" w:hint="eastAsia"/>
          <w:color w:val="000000"/>
          <w:sz w:val="28"/>
          <w:rtl/>
        </w:rPr>
        <w:t>בעיניי</w:t>
      </w:r>
      <w:r w:rsidRPr="00BC292A">
        <w:rPr>
          <w:rFonts w:ascii="FrankRuehl" w:hAnsi="FrankRuehl"/>
          <w:color w:val="000000"/>
          <w:sz w:val="28"/>
          <w:rtl/>
        </w:rPr>
        <w:t xml:space="preserve"> </w:t>
      </w:r>
      <w:r w:rsidRPr="00BC292A">
        <w:rPr>
          <w:rFonts w:ascii="FrankRuehl" w:hAnsi="FrankRuehl" w:hint="eastAsia"/>
          <w:color w:val="000000"/>
          <w:sz w:val="28"/>
          <w:rtl/>
        </w:rPr>
        <w:t>הגישה</w:t>
      </w:r>
      <w:r w:rsidRPr="00BC292A">
        <w:rPr>
          <w:rFonts w:ascii="FrankRuehl" w:hAnsi="FrankRuehl"/>
          <w:color w:val="000000"/>
          <w:sz w:val="28"/>
          <w:rtl/>
        </w:rPr>
        <w:t xml:space="preserve"> </w:t>
      </w:r>
      <w:r w:rsidRPr="00BC292A">
        <w:rPr>
          <w:rFonts w:ascii="FrankRuehl" w:hAnsi="FrankRuehl" w:hint="eastAsia"/>
          <w:color w:val="000000"/>
          <w:sz w:val="28"/>
          <w:rtl/>
        </w:rPr>
        <w:t>על</w:t>
      </w:r>
      <w:r w:rsidRPr="00BC292A">
        <w:rPr>
          <w:rFonts w:ascii="FrankRuehl" w:hAnsi="FrankRuehl"/>
          <w:color w:val="000000"/>
          <w:sz w:val="28"/>
          <w:rtl/>
        </w:rPr>
        <w:t xml:space="preserve"> פיה </w:t>
      </w:r>
      <w:r w:rsidRPr="00BC292A">
        <w:rPr>
          <w:rFonts w:ascii="FrankRuehl" w:hAnsi="FrankRuehl" w:hint="eastAsia"/>
          <w:color w:val="000000"/>
          <w:sz w:val="28"/>
          <w:rtl/>
        </w:rPr>
        <w:t>הלשון</w:t>
      </w:r>
      <w:r w:rsidRPr="00BC292A">
        <w:rPr>
          <w:rFonts w:ascii="FrankRuehl" w:hAnsi="FrankRuehl"/>
          <w:color w:val="000000"/>
          <w:sz w:val="28"/>
          <w:rtl/>
        </w:rPr>
        <w:t xml:space="preserve"> </w:t>
      </w:r>
      <w:r w:rsidRPr="00915B10">
        <w:rPr>
          <w:rFonts w:ascii="Century" w:hAnsi="Century" w:cs="Miriam" w:hint="eastAsia"/>
          <w:b/>
          <w:spacing w:val="0"/>
          <w:sz w:val="22"/>
          <w:szCs w:val="24"/>
          <w:rtl/>
        </w:rPr>
        <w:t>הכללית</w:t>
      </w:r>
      <w:r w:rsidRPr="00BC292A">
        <w:rPr>
          <w:rFonts w:ascii="FrankRuehl" w:hAnsi="FrankRuehl"/>
          <w:color w:val="000000"/>
          <w:sz w:val="28"/>
          <w:rtl/>
        </w:rPr>
        <w:t xml:space="preserve"> </w:t>
      </w:r>
      <w:r>
        <w:rPr>
          <w:rFonts w:ascii="FrankRuehl" w:hAnsi="FrankRuehl" w:hint="cs"/>
          <w:color w:val="000000"/>
          <w:sz w:val="28"/>
          <w:rtl/>
        </w:rPr>
        <w:t xml:space="preserve">(של המונח "סבירות") </w:t>
      </w:r>
      <w:r w:rsidRPr="00BC292A">
        <w:rPr>
          <w:rFonts w:ascii="FrankRuehl" w:hAnsi="FrankRuehl" w:hint="eastAsia"/>
          <w:color w:val="000000"/>
          <w:sz w:val="28"/>
          <w:rtl/>
        </w:rPr>
        <w:t>מקבלת</w:t>
      </w:r>
      <w:r w:rsidRPr="00BC292A">
        <w:rPr>
          <w:rFonts w:ascii="FrankRuehl" w:hAnsi="FrankRuehl"/>
          <w:color w:val="000000"/>
          <w:sz w:val="28"/>
          <w:rtl/>
        </w:rPr>
        <w:t xml:space="preserve"> על ידי חלק מחבריי משמעות </w:t>
      </w:r>
      <w:r w:rsidRPr="00915B10">
        <w:rPr>
          <w:rFonts w:ascii="Century" w:hAnsi="Century" w:cs="Miriam" w:hint="eastAsia"/>
          <w:b/>
          <w:spacing w:val="0"/>
          <w:sz w:val="22"/>
          <w:szCs w:val="24"/>
          <w:rtl/>
        </w:rPr>
        <w:t>גורפת</w:t>
      </w:r>
      <w:r>
        <w:rPr>
          <w:rFonts w:ascii="FrankRuehl" w:hAnsi="FrankRuehl" w:hint="cs"/>
          <w:color w:val="000000"/>
          <w:sz w:val="28"/>
          <w:rtl/>
        </w:rPr>
        <w:t>,</w:t>
      </w:r>
      <w:r w:rsidRPr="00BC292A">
        <w:rPr>
          <w:rFonts w:ascii="FrankRuehl" w:hAnsi="FrankRuehl"/>
          <w:color w:val="000000"/>
          <w:sz w:val="28"/>
          <w:rtl/>
        </w:rPr>
        <w:t xml:space="preserve"> </w:t>
      </w:r>
      <w:r>
        <w:rPr>
          <w:rFonts w:ascii="FrankRuehl" w:hAnsi="FrankRuehl" w:hint="cs"/>
          <w:color w:val="000000"/>
          <w:sz w:val="28"/>
          <w:rtl/>
        </w:rPr>
        <w:t xml:space="preserve">"חד-משמעית" ונטולת ספק באשר להיקפו של המושג. </w:t>
      </w:r>
      <w:r>
        <w:rPr>
          <w:rFonts w:hint="cs"/>
          <w:rtl/>
        </w:rPr>
        <w:t xml:space="preserve">עצם העובדה שנעשה שימוש במונח "סבירות" כמונח </w:t>
      </w:r>
      <w:r w:rsidRPr="00BC292A">
        <w:rPr>
          <w:rFonts w:ascii="Century" w:hAnsi="Century" w:cs="Miriam" w:hint="eastAsia"/>
          <w:b/>
          <w:spacing w:val="0"/>
          <w:szCs w:val="24"/>
          <w:rtl/>
        </w:rPr>
        <w:t>כללי</w:t>
      </w:r>
      <w:r>
        <w:rPr>
          <w:rFonts w:hint="cs"/>
          <w:rtl/>
        </w:rPr>
        <w:t xml:space="preserve"> ולא מוגדר, שעה שמדובר במונח שבחוק יסוד, אינה יכולה לשמש כבסיס לטענה כי הלשון </w:t>
      </w:r>
      <w:r w:rsidRPr="00BC292A">
        <w:rPr>
          <w:rFonts w:ascii="Century" w:hAnsi="Century" w:cs="Miriam" w:hint="eastAsia"/>
          <w:b/>
          <w:spacing w:val="0"/>
          <w:szCs w:val="24"/>
          <w:rtl/>
        </w:rPr>
        <w:t>נוגדת</w:t>
      </w:r>
      <w:r w:rsidRPr="0079516D">
        <w:rPr>
          <w:rFonts w:hint="cs"/>
          <w:rtl/>
        </w:rPr>
        <w:t xml:space="preserve"> </w:t>
      </w:r>
      <w:r>
        <w:rPr>
          <w:rFonts w:hint="cs"/>
          <w:rtl/>
        </w:rPr>
        <w:t>פרשנות הממקמת את המונח בהקשר המציאותי, ההיסטורי, המשפטי והחוקתי המדויק שלו.</w:t>
      </w:r>
      <w:r w:rsidRPr="00BC292A">
        <w:rPr>
          <w:rFonts w:ascii="Century" w:hAnsi="Century"/>
          <w:rtl/>
        </w:rPr>
        <w:t xml:space="preserve"> </w:t>
      </w:r>
      <w:r w:rsidRPr="00BC292A">
        <w:rPr>
          <w:rFonts w:ascii="Century" w:hAnsi="Century" w:hint="eastAsia"/>
          <w:rtl/>
        </w:rPr>
        <w:t>מדובר</w:t>
      </w:r>
      <w:r w:rsidRPr="00BC292A">
        <w:rPr>
          <w:rFonts w:ascii="Century" w:hAnsi="Century"/>
          <w:rtl/>
        </w:rPr>
        <w:t xml:space="preserve"> </w:t>
      </w:r>
      <w:r w:rsidRPr="00BC292A">
        <w:rPr>
          <w:rFonts w:ascii="Century" w:hAnsi="Century" w:hint="eastAsia"/>
          <w:rtl/>
        </w:rPr>
        <w:t>בחתירה</w:t>
      </w:r>
      <w:r w:rsidRPr="00BC292A">
        <w:rPr>
          <w:rFonts w:ascii="Century" w:hAnsi="Century"/>
          <w:rtl/>
        </w:rPr>
        <w:t xml:space="preserve"> </w:t>
      </w:r>
      <w:r w:rsidRPr="00BC292A">
        <w:rPr>
          <w:rFonts w:ascii="Century" w:hAnsi="Century" w:hint="eastAsia"/>
          <w:rtl/>
        </w:rPr>
        <w:t>תחת</w:t>
      </w:r>
      <w:r w:rsidRPr="00BC292A">
        <w:rPr>
          <w:rFonts w:ascii="Century" w:hAnsi="Century"/>
          <w:rtl/>
        </w:rPr>
        <w:t xml:space="preserve"> </w:t>
      </w:r>
      <w:r w:rsidRPr="00BC292A">
        <w:rPr>
          <w:rFonts w:ascii="Century" w:hAnsi="Century" w:hint="eastAsia"/>
          <w:rtl/>
        </w:rPr>
        <w:t>כללי</w:t>
      </w:r>
      <w:r w:rsidRPr="00BC292A">
        <w:rPr>
          <w:rFonts w:ascii="Century" w:hAnsi="Century"/>
          <w:rtl/>
        </w:rPr>
        <w:t xml:space="preserve"> </w:t>
      </w:r>
      <w:r w:rsidRPr="00BC292A">
        <w:rPr>
          <w:rFonts w:ascii="Century" w:hAnsi="Century" w:hint="eastAsia"/>
          <w:rtl/>
        </w:rPr>
        <w:t>הפרשנות</w:t>
      </w:r>
      <w:r w:rsidRPr="00BC292A">
        <w:rPr>
          <w:rFonts w:ascii="Century" w:hAnsi="Century"/>
          <w:rtl/>
        </w:rPr>
        <w:t xml:space="preserve"> </w:t>
      </w:r>
      <w:r w:rsidRPr="00BC292A">
        <w:rPr>
          <w:rFonts w:ascii="Century" w:hAnsi="Century" w:hint="eastAsia"/>
          <w:rtl/>
        </w:rPr>
        <w:t>שהוכתבו</w:t>
      </w:r>
      <w:r w:rsidRPr="00BC292A">
        <w:rPr>
          <w:rFonts w:ascii="Century" w:hAnsi="Century"/>
          <w:rtl/>
        </w:rPr>
        <w:t xml:space="preserve"> </w:t>
      </w:r>
      <w:r w:rsidRPr="00BC292A">
        <w:rPr>
          <w:rFonts w:ascii="Century" w:hAnsi="Century" w:hint="eastAsia"/>
          <w:rtl/>
        </w:rPr>
        <w:t>בקשר</w:t>
      </w:r>
      <w:r w:rsidRPr="00BC292A">
        <w:rPr>
          <w:rFonts w:ascii="Century" w:hAnsi="Century"/>
          <w:rtl/>
        </w:rPr>
        <w:t xml:space="preserve"> </w:t>
      </w:r>
      <w:r w:rsidRPr="00BC292A">
        <w:rPr>
          <w:rFonts w:ascii="Century" w:hAnsi="Century" w:hint="eastAsia"/>
          <w:rtl/>
        </w:rPr>
        <w:t>לחוקי</w:t>
      </w:r>
      <w:r w:rsidRPr="00BC292A">
        <w:rPr>
          <w:rFonts w:ascii="Century" w:hAnsi="Century"/>
          <w:rtl/>
        </w:rPr>
        <w:t xml:space="preserve"> </w:t>
      </w:r>
      <w:r w:rsidRPr="00BC292A">
        <w:rPr>
          <w:rFonts w:ascii="Century" w:hAnsi="Century" w:hint="eastAsia"/>
          <w:rtl/>
        </w:rPr>
        <w:t>יסוד</w:t>
      </w:r>
      <w:r w:rsidRPr="00BC292A">
        <w:rPr>
          <w:rFonts w:ascii="Century" w:hAnsi="Century"/>
          <w:rtl/>
        </w:rPr>
        <w:t xml:space="preserve">, </w:t>
      </w:r>
      <w:r w:rsidRPr="00BC292A">
        <w:rPr>
          <w:rFonts w:ascii="Century" w:hAnsi="Century" w:hint="eastAsia"/>
          <w:rtl/>
        </w:rPr>
        <w:t>ויש</w:t>
      </w:r>
      <w:r w:rsidRPr="00BC292A">
        <w:rPr>
          <w:rFonts w:ascii="Century" w:hAnsi="Century"/>
          <w:rtl/>
        </w:rPr>
        <w:t xml:space="preserve"> </w:t>
      </w:r>
      <w:r w:rsidRPr="00BC292A">
        <w:rPr>
          <w:rFonts w:ascii="Century" w:hAnsi="Century" w:hint="eastAsia"/>
          <w:rtl/>
        </w:rPr>
        <w:t>בה</w:t>
      </w:r>
      <w:r w:rsidRPr="00BC292A">
        <w:rPr>
          <w:rFonts w:ascii="Century" w:hAnsi="Century"/>
          <w:rtl/>
        </w:rPr>
        <w:t xml:space="preserve"> </w:t>
      </w:r>
      <w:r w:rsidRPr="00BC292A">
        <w:rPr>
          <w:rFonts w:ascii="Century" w:hAnsi="Century" w:hint="eastAsia"/>
          <w:rtl/>
        </w:rPr>
        <w:t>כדי</w:t>
      </w:r>
      <w:r w:rsidRPr="00BC292A">
        <w:rPr>
          <w:rFonts w:ascii="Century" w:hAnsi="Century"/>
          <w:rtl/>
        </w:rPr>
        <w:t xml:space="preserve"> </w:t>
      </w:r>
      <w:r w:rsidRPr="00BC292A">
        <w:rPr>
          <w:rFonts w:ascii="Century" w:hAnsi="Century" w:hint="eastAsia"/>
          <w:rtl/>
        </w:rPr>
        <w:t>לערער</w:t>
      </w:r>
      <w:r w:rsidRPr="00BC292A">
        <w:rPr>
          <w:rFonts w:ascii="Century" w:hAnsi="Century"/>
          <w:rtl/>
        </w:rPr>
        <w:t xml:space="preserve"> </w:t>
      </w:r>
      <w:r w:rsidRPr="00BC292A">
        <w:rPr>
          <w:rFonts w:ascii="Century" w:hAnsi="Century" w:hint="eastAsia"/>
          <w:rtl/>
        </w:rPr>
        <w:t>את</w:t>
      </w:r>
      <w:r w:rsidRPr="00BC292A">
        <w:rPr>
          <w:rFonts w:ascii="Century" w:hAnsi="Century"/>
          <w:rtl/>
        </w:rPr>
        <w:t xml:space="preserve"> </w:t>
      </w:r>
      <w:r w:rsidRPr="00BC292A">
        <w:rPr>
          <w:rFonts w:ascii="Century" w:hAnsi="Century" w:hint="eastAsia"/>
          <w:rtl/>
        </w:rPr>
        <w:t>האופן</w:t>
      </w:r>
      <w:r w:rsidRPr="00BC292A">
        <w:rPr>
          <w:rFonts w:ascii="Century" w:hAnsi="Century"/>
          <w:rtl/>
        </w:rPr>
        <w:t xml:space="preserve"> </w:t>
      </w:r>
      <w:r w:rsidRPr="00BC292A">
        <w:rPr>
          <w:rFonts w:ascii="Century" w:hAnsi="Century" w:hint="eastAsia"/>
          <w:rtl/>
        </w:rPr>
        <w:t>היסודי</w:t>
      </w:r>
      <w:r w:rsidRPr="00BC292A">
        <w:rPr>
          <w:rFonts w:ascii="Century" w:hAnsi="Century"/>
          <w:rtl/>
        </w:rPr>
        <w:t xml:space="preserve"> </w:t>
      </w:r>
      <w:r w:rsidRPr="00BC292A">
        <w:rPr>
          <w:rFonts w:ascii="Century" w:hAnsi="Century" w:hint="eastAsia"/>
          <w:rtl/>
        </w:rPr>
        <w:t>ביותר</w:t>
      </w:r>
      <w:r w:rsidRPr="00BC292A">
        <w:rPr>
          <w:rFonts w:ascii="Century" w:hAnsi="Century"/>
          <w:rtl/>
        </w:rPr>
        <w:t xml:space="preserve"> </w:t>
      </w:r>
      <w:r w:rsidRPr="00BC292A">
        <w:rPr>
          <w:rFonts w:ascii="Century" w:hAnsi="Century" w:hint="eastAsia"/>
          <w:rtl/>
        </w:rPr>
        <w:t>שבו</w:t>
      </w:r>
      <w:r w:rsidRPr="00BC292A">
        <w:rPr>
          <w:rFonts w:ascii="Century" w:hAnsi="Century"/>
          <w:rtl/>
        </w:rPr>
        <w:t xml:space="preserve"> </w:t>
      </w:r>
      <w:r w:rsidRPr="00BC292A">
        <w:rPr>
          <w:rFonts w:ascii="Century" w:hAnsi="Century" w:hint="eastAsia"/>
          <w:rtl/>
        </w:rPr>
        <w:t>עלינו</w:t>
      </w:r>
      <w:r w:rsidRPr="00BC292A">
        <w:rPr>
          <w:rFonts w:ascii="Century" w:hAnsi="Century"/>
          <w:rtl/>
        </w:rPr>
        <w:t xml:space="preserve"> </w:t>
      </w:r>
      <w:r w:rsidRPr="00BC292A">
        <w:rPr>
          <w:rFonts w:ascii="Century" w:hAnsi="Century" w:hint="eastAsia"/>
          <w:rtl/>
        </w:rPr>
        <w:t>לקרוא</w:t>
      </w:r>
      <w:r w:rsidRPr="00BC292A">
        <w:rPr>
          <w:rFonts w:ascii="Century" w:hAnsi="Century"/>
          <w:rtl/>
        </w:rPr>
        <w:t xml:space="preserve">, </w:t>
      </w:r>
      <w:r w:rsidRPr="00BC292A">
        <w:rPr>
          <w:rFonts w:ascii="Century" w:hAnsi="Century" w:hint="eastAsia"/>
          <w:rtl/>
        </w:rPr>
        <w:t>לפרש</w:t>
      </w:r>
      <w:r w:rsidRPr="00BC292A">
        <w:rPr>
          <w:rFonts w:ascii="Century" w:hAnsi="Century"/>
          <w:rtl/>
        </w:rPr>
        <w:t xml:space="preserve"> </w:t>
      </w:r>
      <w:r w:rsidRPr="00BC292A">
        <w:rPr>
          <w:rFonts w:ascii="Century" w:hAnsi="Century" w:hint="eastAsia"/>
          <w:rtl/>
        </w:rPr>
        <w:t>וליישם</w:t>
      </w:r>
      <w:r w:rsidRPr="00BC292A">
        <w:rPr>
          <w:rFonts w:ascii="Century" w:hAnsi="Century"/>
          <w:rtl/>
        </w:rPr>
        <w:t xml:space="preserve"> </w:t>
      </w:r>
      <w:r w:rsidRPr="00BC292A">
        <w:rPr>
          <w:rFonts w:ascii="Century" w:hAnsi="Century" w:hint="eastAsia"/>
          <w:rtl/>
        </w:rPr>
        <w:t>אותם</w:t>
      </w:r>
      <w:r w:rsidRPr="00BC292A">
        <w:rPr>
          <w:rFonts w:ascii="Century" w:hAnsi="Century"/>
          <w:rtl/>
        </w:rPr>
        <w:t xml:space="preserve">. </w:t>
      </w:r>
    </w:p>
    <w:p w:rsidR="00737972" w:rsidRDefault="00737972" w:rsidP="00737972">
      <w:pPr>
        <w:pStyle w:val="Ruller4"/>
        <w:numPr>
          <w:ilvl w:val="0"/>
          <w:numId w:val="0"/>
        </w:numPr>
        <w:rPr>
          <w:rFonts w:ascii="FrankRuehl" w:hAnsi="FrankRuehl"/>
          <w:color w:val="000000"/>
          <w:sz w:val="28"/>
          <w:rtl/>
        </w:rPr>
      </w:pPr>
    </w:p>
    <w:p w:rsidR="00737972" w:rsidRPr="005C7A15" w:rsidRDefault="00737972" w:rsidP="00737972">
      <w:pPr>
        <w:pStyle w:val="Ruller4"/>
        <w:rPr>
          <w:rtl/>
        </w:rPr>
      </w:pPr>
      <w:r>
        <w:rPr>
          <w:rFonts w:hint="cs"/>
          <w:rtl/>
        </w:rPr>
        <w:t xml:space="preserve">ואדגיש, כשלעצמי כאמור אינני סבור כי גבולותיו של המונח זקוקים לביאור מדויק בעת הזו והנחות יסוד רבות שמניחים חבריי התומכים בביטול ההוראה אינן מקובלות עליי. </w:t>
      </w:r>
      <w:r w:rsidRPr="007075C7">
        <w:rPr>
          <w:rFonts w:ascii="Century" w:hAnsi="Century" w:hint="cs"/>
          <w:sz w:val="22"/>
          <w:rtl/>
        </w:rPr>
        <w:t xml:space="preserve">אולם על </w:t>
      </w:r>
      <w:r w:rsidRPr="007075C7">
        <w:rPr>
          <w:rFonts w:ascii="Century" w:hAnsi="Century" w:hint="eastAsia"/>
          <w:sz w:val="22"/>
          <w:rtl/>
        </w:rPr>
        <w:t>חבריי</w:t>
      </w:r>
      <w:r w:rsidRPr="007075C7">
        <w:rPr>
          <w:rFonts w:ascii="Century" w:hAnsi="Century"/>
          <w:sz w:val="22"/>
          <w:rtl/>
        </w:rPr>
        <w:t xml:space="preserve"> </w:t>
      </w:r>
      <w:r w:rsidRPr="007075C7">
        <w:rPr>
          <w:rFonts w:ascii="Century" w:hAnsi="Century" w:hint="cs"/>
          <w:sz w:val="22"/>
          <w:rtl/>
        </w:rPr>
        <w:t xml:space="preserve">הסוברים כי פרשנות </w:t>
      </w:r>
      <w:r w:rsidRPr="007075C7">
        <w:rPr>
          <w:rFonts w:ascii="Century" w:hAnsi="Century" w:hint="eastAsia"/>
          <w:sz w:val="22"/>
          <w:rtl/>
        </w:rPr>
        <w:t>גורפת</w:t>
      </w:r>
      <w:r w:rsidRPr="007075C7">
        <w:rPr>
          <w:rFonts w:ascii="Century" w:hAnsi="Century"/>
          <w:sz w:val="22"/>
          <w:rtl/>
        </w:rPr>
        <w:t xml:space="preserve"> </w:t>
      </w:r>
      <w:r w:rsidRPr="007075C7">
        <w:rPr>
          <w:rFonts w:ascii="Century" w:hAnsi="Century" w:hint="cs"/>
          <w:sz w:val="22"/>
          <w:rtl/>
        </w:rPr>
        <w:t xml:space="preserve">של המונח "סבירות" מכתיבה בטלות ההוראה, מוטלת בראש ובראשונה החובה לתור אחר משמעות המגשימה את </w:t>
      </w:r>
      <w:r>
        <w:rPr>
          <w:rFonts w:ascii="Century" w:hAnsi="Century" w:hint="cs"/>
          <w:sz w:val="22"/>
          <w:rtl/>
        </w:rPr>
        <w:t>"</w:t>
      </w:r>
      <w:r w:rsidRPr="007075C7">
        <w:rPr>
          <w:rFonts w:ascii="Century" w:hAnsi="Century" w:hint="cs"/>
          <w:sz w:val="22"/>
          <w:rtl/>
        </w:rPr>
        <w:t>עקרונות היסוד של השיטה</w:t>
      </w:r>
      <w:r>
        <w:rPr>
          <w:rFonts w:ascii="Century" w:hAnsi="Century" w:hint="cs"/>
          <w:sz w:val="22"/>
          <w:rtl/>
        </w:rPr>
        <w:t>"</w:t>
      </w:r>
      <w:r w:rsidRPr="007075C7">
        <w:rPr>
          <w:rFonts w:ascii="Century" w:hAnsi="Century" w:hint="cs"/>
          <w:sz w:val="22"/>
          <w:rtl/>
        </w:rPr>
        <w:t xml:space="preserve">. אם </w:t>
      </w:r>
      <w:r w:rsidRPr="007075C7">
        <w:rPr>
          <w:rFonts w:ascii="Century" w:hAnsi="Century" w:hint="eastAsia"/>
          <w:sz w:val="22"/>
          <w:rtl/>
        </w:rPr>
        <w:t>לעמדתם</w:t>
      </w:r>
      <w:r w:rsidRPr="007075C7">
        <w:rPr>
          <w:rFonts w:ascii="Century" w:hAnsi="Century"/>
          <w:sz w:val="22"/>
          <w:rtl/>
        </w:rPr>
        <w:t xml:space="preserve"> </w:t>
      </w:r>
      <w:r w:rsidRPr="007075C7">
        <w:rPr>
          <w:rFonts w:ascii="Century" w:hAnsi="Century" w:hint="cs"/>
          <w:sz w:val="22"/>
          <w:rtl/>
        </w:rPr>
        <w:t xml:space="preserve">פרשנות </w:t>
      </w:r>
      <w:r w:rsidRPr="007075C7">
        <w:rPr>
          <w:rFonts w:ascii="Century" w:hAnsi="Century" w:hint="eastAsia"/>
          <w:sz w:val="22"/>
          <w:rtl/>
        </w:rPr>
        <w:t>גורפת</w:t>
      </w:r>
      <w:r w:rsidRPr="007075C7">
        <w:rPr>
          <w:rFonts w:ascii="Century" w:hAnsi="Century" w:hint="cs"/>
          <w:sz w:val="22"/>
          <w:rtl/>
        </w:rPr>
        <w:t xml:space="preserve"> </w:t>
      </w:r>
      <w:r w:rsidRPr="00015F66">
        <w:rPr>
          <w:rFonts w:ascii="Century" w:hAnsi="Century" w:hint="eastAsia"/>
          <w:sz w:val="22"/>
          <w:rtl/>
        </w:rPr>
        <w:t>של</w:t>
      </w:r>
      <w:r w:rsidRPr="00015F66">
        <w:rPr>
          <w:rFonts w:ascii="Century" w:hAnsi="Century"/>
          <w:sz w:val="22"/>
          <w:rtl/>
        </w:rPr>
        <w:t xml:space="preserve"> </w:t>
      </w:r>
      <w:r w:rsidRPr="007075C7">
        <w:rPr>
          <w:rFonts w:ascii="Century" w:hAnsi="Century" w:hint="cs"/>
          <w:sz w:val="22"/>
          <w:rtl/>
        </w:rPr>
        <w:t xml:space="preserve">ההוראה </w:t>
      </w:r>
      <w:r w:rsidRPr="00015F66">
        <w:rPr>
          <w:rFonts w:ascii="Century" w:hAnsi="Century" w:hint="eastAsia"/>
          <w:sz w:val="22"/>
          <w:rtl/>
        </w:rPr>
        <w:t>משמעותה</w:t>
      </w:r>
      <w:r w:rsidRPr="00015F66">
        <w:rPr>
          <w:rFonts w:ascii="Century" w:hAnsi="Century"/>
          <w:sz w:val="22"/>
          <w:rtl/>
        </w:rPr>
        <w:t xml:space="preserve"> </w:t>
      </w:r>
      <w:r w:rsidRPr="00015F66">
        <w:rPr>
          <w:rFonts w:ascii="Century" w:hAnsi="Century" w:hint="eastAsia"/>
          <w:sz w:val="22"/>
          <w:rtl/>
        </w:rPr>
        <w:t>פגיעה</w:t>
      </w:r>
      <w:r w:rsidRPr="00015F66">
        <w:rPr>
          <w:rFonts w:ascii="Century" w:hAnsi="Century"/>
          <w:sz w:val="22"/>
          <w:rtl/>
        </w:rPr>
        <w:t xml:space="preserve"> </w:t>
      </w:r>
      <w:r w:rsidRPr="00015F66">
        <w:rPr>
          <w:rFonts w:ascii="Century" w:hAnsi="Century" w:hint="eastAsia"/>
          <w:sz w:val="22"/>
          <w:rtl/>
        </w:rPr>
        <w:t>חסרת</w:t>
      </w:r>
      <w:r w:rsidRPr="00015F66">
        <w:rPr>
          <w:rFonts w:ascii="Century" w:hAnsi="Century"/>
          <w:sz w:val="22"/>
          <w:rtl/>
        </w:rPr>
        <w:t xml:space="preserve"> </w:t>
      </w:r>
      <w:r>
        <w:rPr>
          <w:rFonts w:ascii="Century" w:hAnsi="Century" w:hint="cs"/>
          <w:sz w:val="22"/>
          <w:rtl/>
        </w:rPr>
        <w:t>גבולות</w:t>
      </w:r>
      <w:r w:rsidRPr="007075C7">
        <w:rPr>
          <w:rFonts w:ascii="Century" w:hAnsi="Century"/>
          <w:sz w:val="22"/>
          <w:rtl/>
        </w:rPr>
        <w:t xml:space="preserve"> </w:t>
      </w:r>
      <w:r w:rsidRPr="007075C7">
        <w:rPr>
          <w:rFonts w:ascii="Century" w:hAnsi="Century" w:hint="eastAsia"/>
          <w:sz w:val="22"/>
          <w:rtl/>
        </w:rPr>
        <w:t>בעקרון</w:t>
      </w:r>
      <w:r w:rsidRPr="007075C7">
        <w:rPr>
          <w:rFonts w:ascii="Century" w:hAnsi="Century"/>
          <w:sz w:val="22"/>
          <w:rtl/>
        </w:rPr>
        <w:t xml:space="preserve"> </w:t>
      </w:r>
      <w:r w:rsidRPr="007075C7">
        <w:rPr>
          <w:rFonts w:ascii="Century" w:hAnsi="Century" w:hint="eastAsia"/>
          <w:sz w:val="22"/>
          <w:rtl/>
        </w:rPr>
        <w:t>הפרדת</w:t>
      </w:r>
      <w:r w:rsidRPr="007075C7">
        <w:rPr>
          <w:rFonts w:ascii="Century" w:hAnsi="Century"/>
          <w:sz w:val="22"/>
          <w:rtl/>
        </w:rPr>
        <w:t xml:space="preserve"> </w:t>
      </w:r>
      <w:r w:rsidRPr="007075C7">
        <w:rPr>
          <w:rFonts w:ascii="Century" w:hAnsi="Century" w:hint="eastAsia"/>
          <w:sz w:val="22"/>
          <w:rtl/>
        </w:rPr>
        <w:t>הרשויות</w:t>
      </w:r>
      <w:r w:rsidRPr="007075C7">
        <w:rPr>
          <w:rFonts w:ascii="Century" w:hAnsi="Century"/>
          <w:sz w:val="22"/>
          <w:rtl/>
        </w:rPr>
        <w:t xml:space="preserve"> </w:t>
      </w:r>
      <w:r w:rsidRPr="007075C7">
        <w:rPr>
          <w:rFonts w:ascii="Century" w:hAnsi="Century" w:hint="eastAsia"/>
          <w:sz w:val="22"/>
          <w:rtl/>
        </w:rPr>
        <w:t>ועקרון</w:t>
      </w:r>
      <w:r w:rsidRPr="007075C7">
        <w:rPr>
          <w:rFonts w:ascii="Century" w:hAnsi="Century"/>
          <w:sz w:val="22"/>
          <w:rtl/>
        </w:rPr>
        <w:t xml:space="preserve"> </w:t>
      </w:r>
      <w:r w:rsidRPr="007075C7">
        <w:rPr>
          <w:rFonts w:ascii="Century" w:hAnsi="Century" w:hint="eastAsia"/>
          <w:sz w:val="22"/>
          <w:rtl/>
        </w:rPr>
        <w:t>שלטון</w:t>
      </w:r>
      <w:r w:rsidRPr="007075C7">
        <w:rPr>
          <w:rFonts w:ascii="Century" w:hAnsi="Century"/>
          <w:sz w:val="22"/>
          <w:rtl/>
        </w:rPr>
        <w:t xml:space="preserve"> </w:t>
      </w:r>
      <w:r w:rsidRPr="007075C7">
        <w:rPr>
          <w:rFonts w:ascii="Century" w:hAnsi="Century" w:hint="eastAsia"/>
          <w:sz w:val="22"/>
          <w:rtl/>
        </w:rPr>
        <w:t>החוק</w:t>
      </w:r>
      <w:r w:rsidRPr="007075C7">
        <w:rPr>
          <w:rFonts w:ascii="Century" w:hAnsi="Century"/>
          <w:sz w:val="22"/>
          <w:rtl/>
        </w:rPr>
        <w:t xml:space="preserve"> </w:t>
      </w:r>
      <w:r w:rsidRPr="007075C7">
        <w:rPr>
          <w:rFonts w:ascii="Century" w:hAnsi="Century" w:hint="eastAsia"/>
          <w:sz w:val="22"/>
          <w:rtl/>
        </w:rPr>
        <w:t>או</w:t>
      </w:r>
      <w:r w:rsidRPr="007075C7">
        <w:rPr>
          <w:rFonts w:ascii="Century" w:hAnsi="Century"/>
          <w:sz w:val="22"/>
          <w:rtl/>
        </w:rPr>
        <w:t xml:space="preserve"> </w:t>
      </w:r>
      <w:r w:rsidRPr="007075C7">
        <w:rPr>
          <w:rFonts w:ascii="Century" w:hAnsi="Century" w:hint="eastAsia"/>
          <w:sz w:val="22"/>
          <w:rtl/>
        </w:rPr>
        <w:t>בכל</w:t>
      </w:r>
      <w:r w:rsidRPr="007075C7">
        <w:rPr>
          <w:rFonts w:ascii="Century" w:hAnsi="Century"/>
          <w:sz w:val="22"/>
          <w:rtl/>
        </w:rPr>
        <w:t xml:space="preserve"> </w:t>
      </w:r>
      <w:r w:rsidRPr="007075C7">
        <w:rPr>
          <w:rFonts w:ascii="Century" w:hAnsi="Century" w:hint="eastAsia"/>
          <w:sz w:val="22"/>
          <w:rtl/>
        </w:rPr>
        <w:t>עיקרון</w:t>
      </w:r>
      <w:r w:rsidRPr="007075C7">
        <w:rPr>
          <w:rFonts w:ascii="Century" w:hAnsi="Century"/>
          <w:sz w:val="22"/>
          <w:rtl/>
        </w:rPr>
        <w:t xml:space="preserve"> </w:t>
      </w:r>
      <w:r w:rsidRPr="007075C7">
        <w:rPr>
          <w:rFonts w:ascii="Century" w:hAnsi="Century" w:hint="eastAsia"/>
          <w:sz w:val="22"/>
          <w:rtl/>
        </w:rPr>
        <w:t>דמוקרטי</w:t>
      </w:r>
      <w:r w:rsidRPr="007075C7">
        <w:rPr>
          <w:rFonts w:ascii="Century" w:hAnsi="Century"/>
          <w:sz w:val="22"/>
          <w:rtl/>
        </w:rPr>
        <w:t xml:space="preserve"> </w:t>
      </w:r>
      <w:r w:rsidRPr="007075C7">
        <w:rPr>
          <w:rFonts w:ascii="Century" w:hAnsi="Century" w:hint="eastAsia"/>
          <w:sz w:val="22"/>
          <w:rtl/>
        </w:rPr>
        <w:t>יסודי</w:t>
      </w:r>
      <w:r w:rsidRPr="007075C7">
        <w:rPr>
          <w:rFonts w:ascii="Century" w:hAnsi="Century"/>
          <w:sz w:val="22"/>
          <w:rtl/>
        </w:rPr>
        <w:t xml:space="preserve"> </w:t>
      </w:r>
      <w:r w:rsidRPr="007075C7">
        <w:rPr>
          <w:rFonts w:ascii="Century" w:hAnsi="Century" w:hint="eastAsia"/>
          <w:sz w:val="22"/>
          <w:rtl/>
        </w:rPr>
        <w:t>אחר</w:t>
      </w:r>
      <w:r w:rsidRPr="007075C7">
        <w:rPr>
          <w:rFonts w:ascii="Century" w:hAnsi="Century"/>
          <w:sz w:val="22"/>
          <w:rtl/>
        </w:rPr>
        <w:t xml:space="preserve">, </w:t>
      </w:r>
      <w:r>
        <w:rPr>
          <w:rFonts w:ascii="Century" w:hAnsi="Century" w:hint="cs"/>
          <w:sz w:val="22"/>
          <w:rtl/>
        </w:rPr>
        <w:t xml:space="preserve">עליהם </w:t>
      </w:r>
      <w:r w:rsidRPr="007075C7">
        <w:rPr>
          <w:rFonts w:ascii="Century" w:hAnsi="Century" w:hint="cs"/>
          <w:sz w:val="22"/>
          <w:rtl/>
        </w:rPr>
        <w:t xml:space="preserve">לתור אחר פרשנות המביאה את ההסדר החוקתי לידי </w:t>
      </w:r>
      <w:r w:rsidRPr="007075C7">
        <w:rPr>
          <w:rFonts w:ascii="Century" w:hAnsi="Century" w:hint="eastAsia"/>
          <w:sz w:val="22"/>
          <w:rtl/>
        </w:rPr>
        <w:t>הרמוניה</w:t>
      </w:r>
      <w:r w:rsidRPr="00015F66">
        <w:rPr>
          <w:rFonts w:ascii="Century" w:hAnsi="Century"/>
          <w:sz w:val="22"/>
          <w:rtl/>
        </w:rPr>
        <w:t xml:space="preserve"> </w:t>
      </w:r>
      <w:r w:rsidRPr="00015F66">
        <w:rPr>
          <w:rFonts w:ascii="Century" w:hAnsi="Century" w:hint="cs"/>
          <w:sz w:val="22"/>
          <w:rtl/>
        </w:rPr>
        <w:t xml:space="preserve">עם יסודות המשטר החוקתי. בהקשר זה, אינני סבור כי לשון ההוראה היא זו </w:t>
      </w:r>
      <w:r w:rsidRPr="00CA14B0">
        <w:rPr>
          <w:rFonts w:ascii="Century" w:hAnsi="Century" w:hint="cs"/>
          <w:sz w:val="22"/>
          <w:rtl/>
        </w:rPr>
        <w:t>העומדת</w:t>
      </w:r>
      <w:r w:rsidRPr="007075C7">
        <w:rPr>
          <w:rFonts w:ascii="Century" w:hAnsi="Century" w:hint="cs"/>
          <w:sz w:val="22"/>
          <w:rtl/>
        </w:rPr>
        <w:t xml:space="preserve"> </w:t>
      </w:r>
      <w:r>
        <w:rPr>
          <w:rFonts w:ascii="Century" w:hAnsi="Century" w:hint="cs"/>
          <w:sz w:val="22"/>
          <w:rtl/>
        </w:rPr>
        <w:t>בדרכם של חבריי לעשות כן, או ההופכת את מלאכם זו לקשה יתר על המידה או מלאכותית. אדרבה, הלשון היא עמומה-כללית-"פתוחה" ומאפשרת יציקת תוכן משמעותי לתוכה.</w:t>
      </w:r>
      <w:r>
        <w:rPr>
          <w:rFonts w:hint="cs"/>
          <w:rtl/>
        </w:rPr>
        <w:t xml:space="preserve"> ה</w:t>
      </w:r>
      <w:r w:rsidRPr="005C7A15">
        <w:rPr>
          <w:rFonts w:hint="cs"/>
          <w:rtl/>
        </w:rPr>
        <w:t xml:space="preserve">טענה כי המובן המילולי של המונח "סבירות" בהוראת חוק היסוד </w:t>
      </w:r>
      <w:r>
        <w:rPr>
          <w:rFonts w:hint="cs"/>
          <w:rtl/>
        </w:rPr>
        <w:t xml:space="preserve">מסוגל </w:t>
      </w:r>
      <w:r w:rsidRPr="005C7A15">
        <w:rPr>
          <w:rFonts w:hint="cs"/>
          <w:rtl/>
        </w:rPr>
        <w:t xml:space="preserve">לבטא </w:t>
      </w:r>
      <w:r w:rsidRPr="00915B10">
        <w:rPr>
          <w:rFonts w:ascii="Century" w:hAnsi="Century" w:cs="Miriam" w:hint="eastAsia"/>
          <w:b/>
          <w:spacing w:val="0"/>
          <w:sz w:val="22"/>
          <w:szCs w:val="24"/>
          <w:rtl/>
        </w:rPr>
        <w:t>אך</w:t>
      </w:r>
      <w:r w:rsidRPr="00915B10">
        <w:rPr>
          <w:rFonts w:ascii="Century" w:hAnsi="Century" w:cs="Miriam"/>
          <w:b/>
          <w:spacing w:val="0"/>
          <w:sz w:val="22"/>
          <w:szCs w:val="24"/>
          <w:rtl/>
        </w:rPr>
        <w:t xml:space="preserve"> </w:t>
      </w:r>
      <w:r w:rsidRPr="00915B10">
        <w:rPr>
          <w:rFonts w:ascii="Century" w:hAnsi="Century" w:cs="Miriam" w:hint="eastAsia"/>
          <w:b/>
          <w:spacing w:val="0"/>
          <w:sz w:val="22"/>
          <w:szCs w:val="24"/>
          <w:rtl/>
        </w:rPr>
        <w:t>ורק</w:t>
      </w:r>
      <w:r w:rsidRPr="00BC292A">
        <w:rPr>
          <w:rtl/>
        </w:rPr>
        <w:t xml:space="preserve"> </w:t>
      </w:r>
      <w:r w:rsidRPr="005C7A15">
        <w:rPr>
          <w:rFonts w:hint="cs"/>
          <w:rtl/>
        </w:rPr>
        <w:t xml:space="preserve">היבט גורף וחסר הבחנה של סוגים שונים, מונחים שונים ופרשנויות </w:t>
      </w:r>
      <w:r>
        <w:rPr>
          <w:rFonts w:hint="cs"/>
          <w:rtl/>
        </w:rPr>
        <w:t xml:space="preserve">המוכרות בדין </w:t>
      </w:r>
      <w:r w:rsidRPr="005C7A15">
        <w:rPr>
          <w:rFonts w:hint="cs"/>
          <w:rtl/>
        </w:rPr>
        <w:t>של "סבירות", היא מוקשית</w:t>
      </w:r>
      <w:r>
        <w:rPr>
          <w:rFonts w:hint="cs"/>
          <w:rtl/>
        </w:rPr>
        <w:t>, והיא עצמה חסרת עוגן בסעיף</w:t>
      </w:r>
      <w:r w:rsidRPr="005C7A15">
        <w:rPr>
          <w:rFonts w:hint="cs"/>
          <w:rtl/>
        </w:rPr>
        <w:t>.</w:t>
      </w:r>
    </w:p>
    <w:p w:rsidR="00737972" w:rsidRDefault="00737972" w:rsidP="00737972">
      <w:pPr>
        <w:pStyle w:val="Ruller41"/>
        <w:rPr>
          <w:rFonts w:ascii="Century" w:hAnsi="Century"/>
          <w:rtl/>
        </w:rPr>
      </w:pPr>
    </w:p>
    <w:p w:rsidR="00737972" w:rsidRDefault="00737972" w:rsidP="00737972">
      <w:pPr>
        <w:pStyle w:val="Ruller4"/>
        <w:rPr>
          <w:rtl/>
        </w:rPr>
      </w:pPr>
      <w:r>
        <w:rPr>
          <w:rFonts w:hint="cs"/>
          <w:rtl/>
        </w:rPr>
        <w:lastRenderedPageBreak/>
        <w:t xml:space="preserve">אוסיף כי במקרים אחרים, בית משפט זה עשה כל שביכולתו לקרוא את הלשון ככזו המגשימה את עקרונות היסוד של השיטה, גם כאשר נדרש לכך מאמץ רב בהרבה. רק לשם הדוגמה, אזכיר כי בעניין </w:t>
      </w:r>
      <w:r w:rsidRPr="00793D83">
        <w:rPr>
          <w:rFonts w:ascii="Century" w:hAnsi="Century" w:cs="Miriam" w:hint="cs"/>
          <w:b/>
          <w:spacing w:val="0"/>
          <w:szCs w:val="24"/>
          <w:rtl/>
        </w:rPr>
        <w:t>ניימן</w:t>
      </w:r>
      <w:r w:rsidRPr="00793D83">
        <w:rPr>
          <w:rFonts w:hint="cs"/>
          <w:rtl/>
        </w:rPr>
        <w:t xml:space="preserve"> </w:t>
      </w:r>
      <w:r>
        <w:rPr>
          <w:rFonts w:hint="cs"/>
          <w:rtl/>
        </w:rPr>
        <w:t xml:space="preserve">נקבע כי "מותר" לפרש את לשונה של הוראת יסוד חוקתית הקובעת סמכות </w:t>
      </w:r>
      <w:r w:rsidRPr="00960E63">
        <w:rPr>
          <w:rFonts w:ascii="Century" w:hAnsi="Century" w:cs="Miriam" w:hint="cs"/>
          <w:b/>
          <w:spacing w:val="0"/>
          <w:szCs w:val="24"/>
          <w:rtl/>
        </w:rPr>
        <w:t>חובה</w:t>
      </w:r>
      <w:r>
        <w:rPr>
          <w:rFonts w:hint="cs"/>
          <w:rtl/>
        </w:rPr>
        <w:t xml:space="preserve">, באופן המקנה </w:t>
      </w:r>
      <w:r w:rsidRPr="00960E63">
        <w:rPr>
          <w:rFonts w:ascii="Century" w:hAnsi="Century" w:cs="Miriam" w:hint="cs"/>
          <w:b/>
          <w:spacing w:val="0"/>
          <w:szCs w:val="24"/>
          <w:rtl/>
        </w:rPr>
        <w:t>שיקול דעת</w:t>
      </w:r>
      <w:r w:rsidRPr="00960E63">
        <w:rPr>
          <w:rFonts w:hint="cs"/>
          <w:rtl/>
        </w:rPr>
        <w:t xml:space="preserve"> </w:t>
      </w:r>
      <w:r>
        <w:rPr>
          <w:rFonts w:hint="cs"/>
          <w:rtl/>
        </w:rPr>
        <w:t xml:space="preserve">לבעל הסמכות </w:t>
      </w:r>
      <w:r>
        <w:rPr>
          <w:rtl/>
        </w:rPr>
        <w:t>–</w:t>
      </w:r>
      <w:r>
        <w:rPr>
          <w:rFonts w:hint="cs"/>
          <w:rtl/>
        </w:rPr>
        <w:t xml:space="preserve"> גם תוך סטייה משמעותית מלשונה של ההוראה </w:t>
      </w:r>
      <w:r>
        <w:rPr>
          <w:rtl/>
        </w:rPr>
        <w:t>–</w:t>
      </w:r>
      <w:r>
        <w:rPr>
          <w:rFonts w:hint="cs"/>
          <w:rtl/>
        </w:rPr>
        <w:t xml:space="preserve"> אם "מתן שיקול דעת זה חיוני הוא להגשמת עקרונותיה היסודיים של השיטה" (שם, עמ' 306). הנחת היסוד היא כאמור כי פרשנות חוקי יסוד היא פרשנות "המתבססת על אחדות חוקתית. זו פרשנות שאינה מוגבלת אך למשמעות המילים בהקשר המילולי-היסטורי שבו הן נוצרו, אלא מקיימת אותן בהקשרן ההיסטורי ובמסגרת תפישות-היסוד החוקתיות המודרניות" (</w:t>
      </w:r>
      <w:r w:rsidRPr="00882DEF">
        <w:rPr>
          <w:rFonts w:hint="eastAsia"/>
          <w:rtl/>
        </w:rPr>
        <w:t>אהרן</w:t>
      </w:r>
      <w:r w:rsidRPr="00882DEF">
        <w:rPr>
          <w:rtl/>
        </w:rPr>
        <w:t xml:space="preserve"> </w:t>
      </w:r>
      <w:r w:rsidRPr="00882DEF">
        <w:rPr>
          <w:rFonts w:hint="eastAsia"/>
          <w:rtl/>
        </w:rPr>
        <w:t>ברק</w:t>
      </w:r>
      <w:r w:rsidRPr="00882DEF">
        <w:rPr>
          <w:rtl/>
        </w:rPr>
        <w:t xml:space="preserve"> "</w:t>
      </w:r>
      <w:r w:rsidRPr="00882DEF">
        <w:rPr>
          <w:rFonts w:hint="eastAsia"/>
          <w:rtl/>
        </w:rPr>
        <w:t>פרשנותם</w:t>
      </w:r>
      <w:r w:rsidRPr="00882DEF">
        <w:rPr>
          <w:rtl/>
        </w:rPr>
        <w:t xml:space="preserve"> </w:t>
      </w:r>
      <w:r w:rsidRPr="00882DEF">
        <w:rPr>
          <w:rFonts w:hint="eastAsia"/>
          <w:rtl/>
        </w:rPr>
        <w:t>של</w:t>
      </w:r>
      <w:r w:rsidRPr="00882DEF">
        <w:rPr>
          <w:rtl/>
        </w:rPr>
        <w:t xml:space="preserve"> </w:t>
      </w:r>
      <w:r w:rsidRPr="00882DEF">
        <w:rPr>
          <w:rFonts w:hint="eastAsia"/>
          <w:rtl/>
        </w:rPr>
        <w:t>חוקי</w:t>
      </w:r>
      <w:r w:rsidRPr="00882DEF">
        <w:rPr>
          <w:rtl/>
        </w:rPr>
        <w:t>-</w:t>
      </w:r>
      <w:r w:rsidRPr="00882DEF">
        <w:rPr>
          <w:rFonts w:hint="eastAsia"/>
          <w:rtl/>
        </w:rPr>
        <w:t>יסוד</w:t>
      </w:r>
      <w:r>
        <w:rPr>
          <w:rtl/>
        </w:rPr>
        <w:t xml:space="preserve">" </w:t>
      </w:r>
      <w:r w:rsidRPr="00882DEF">
        <w:rPr>
          <w:rFonts w:ascii="Century" w:hAnsi="Century" w:cs="Miriam" w:hint="cs"/>
          <w:b/>
          <w:spacing w:val="0"/>
          <w:szCs w:val="24"/>
          <w:rtl/>
        </w:rPr>
        <w:t>משפטים</w:t>
      </w:r>
      <w:r w:rsidRPr="00882DEF">
        <w:rPr>
          <w:rFonts w:hint="cs"/>
          <w:rtl/>
        </w:rPr>
        <w:t xml:space="preserve"> </w:t>
      </w:r>
      <w:r>
        <w:rPr>
          <w:rFonts w:hint="cs"/>
          <w:rtl/>
        </w:rPr>
        <w:t xml:space="preserve">כב 31, 54 (1992)). </w:t>
      </w:r>
    </w:p>
    <w:p w:rsidR="00737972" w:rsidRPr="00841B26" w:rsidRDefault="00737972" w:rsidP="00737972">
      <w:pPr>
        <w:pStyle w:val="Ruller41"/>
      </w:pPr>
    </w:p>
    <w:p w:rsidR="00737972" w:rsidRPr="00BC292A" w:rsidRDefault="00737972" w:rsidP="00737972">
      <w:pPr>
        <w:pStyle w:val="Ruller4"/>
        <w:rPr>
          <w:rFonts w:ascii="Century" w:hAnsi="Century"/>
          <w:rtl/>
        </w:rPr>
      </w:pPr>
      <w:r>
        <w:rPr>
          <w:rFonts w:hint="cs"/>
          <w:rtl/>
        </w:rPr>
        <w:t xml:space="preserve">על אחת כמה וכמה שלא ניתן להתעלם בהקשר זה, כפי שהצביעה חברתי השופטת </w:t>
      </w:r>
      <w:r w:rsidRPr="00BC292A">
        <w:rPr>
          <w:rFonts w:ascii="Century" w:hAnsi="Century" w:cs="Miriam" w:hint="eastAsia"/>
          <w:b/>
          <w:spacing w:val="0"/>
          <w:szCs w:val="24"/>
          <w:rtl/>
        </w:rPr>
        <w:t>י</w:t>
      </w:r>
      <w:r w:rsidRPr="00BC292A">
        <w:rPr>
          <w:rFonts w:ascii="Century" w:hAnsi="Century" w:cs="Miriam"/>
          <w:b/>
          <w:spacing w:val="0"/>
          <w:szCs w:val="24"/>
          <w:rtl/>
        </w:rPr>
        <w:t xml:space="preserve">' </w:t>
      </w:r>
      <w:r w:rsidRPr="00BC292A">
        <w:rPr>
          <w:rFonts w:ascii="Century" w:hAnsi="Century" w:cs="Miriam" w:hint="eastAsia"/>
          <w:b/>
          <w:spacing w:val="0"/>
          <w:szCs w:val="24"/>
          <w:rtl/>
        </w:rPr>
        <w:t>וילנר</w:t>
      </w:r>
      <w:r>
        <w:rPr>
          <w:rFonts w:hint="cs"/>
          <w:rtl/>
        </w:rPr>
        <w:t xml:space="preserve">, מההקשר הרחב של הדיון המתקיים בשנים האחרונות בקשר לעילת הסבירות, ובהתחשב בכך שהשיח על אודות עילה זו מתייחס רובו ככולו לסבירות כמובנה בפסק הדין בעניין </w:t>
      </w:r>
      <w:r w:rsidRPr="00BC292A">
        <w:rPr>
          <w:rFonts w:ascii="Century" w:hAnsi="Century" w:cs="Miriam" w:hint="eastAsia"/>
          <w:b/>
          <w:spacing w:val="0"/>
          <w:szCs w:val="24"/>
          <w:rtl/>
        </w:rPr>
        <w:t>דפי</w:t>
      </w:r>
      <w:r w:rsidRPr="00BC292A">
        <w:rPr>
          <w:rFonts w:ascii="Century" w:hAnsi="Century" w:cs="Miriam"/>
          <w:b/>
          <w:spacing w:val="0"/>
          <w:szCs w:val="24"/>
          <w:rtl/>
        </w:rPr>
        <w:t xml:space="preserve"> </w:t>
      </w:r>
      <w:r w:rsidRPr="00BC292A">
        <w:rPr>
          <w:rFonts w:ascii="Century" w:hAnsi="Century" w:cs="Miriam" w:hint="eastAsia"/>
          <w:b/>
          <w:spacing w:val="0"/>
          <w:szCs w:val="24"/>
          <w:rtl/>
        </w:rPr>
        <w:t>זהב</w:t>
      </w:r>
      <w:r w:rsidRPr="00BC292A">
        <w:rPr>
          <w:rFonts w:ascii="Century" w:hAnsi="Century"/>
          <w:rtl/>
        </w:rPr>
        <w:t xml:space="preserve"> (</w:t>
      </w:r>
      <w:r w:rsidRPr="00BC292A">
        <w:rPr>
          <w:rFonts w:ascii="Century" w:hAnsi="Century" w:hint="eastAsia"/>
          <w:rtl/>
        </w:rPr>
        <w:t>ראו</w:t>
      </w:r>
      <w:r w:rsidRPr="00BC292A">
        <w:rPr>
          <w:rFonts w:ascii="Century" w:hAnsi="Century"/>
          <w:rtl/>
        </w:rPr>
        <w:t xml:space="preserve"> </w:t>
      </w:r>
      <w:r w:rsidRPr="00BC292A">
        <w:rPr>
          <w:rFonts w:ascii="Century" w:hAnsi="Century" w:hint="eastAsia"/>
          <w:rtl/>
        </w:rPr>
        <w:t>האסמכתאות</w:t>
      </w:r>
      <w:r w:rsidRPr="00BC292A">
        <w:rPr>
          <w:rFonts w:ascii="Century" w:hAnsi="Century"/>
          <w:rtl/>
        </w:rPr>
        <w:t xml:space="preserve"> </w:t>
      </w:r>
      <w:r w:rsidRPr="00BC292A">
        <w:rPr>
          <w:rFonts w:ascii="Century" w:hAnsi="Century" w:hint="eastAsia"/>
          <w:rtl/>
        </w:rPr>
        <w:t>בפסקה</w:t>
      </w:r>
      <w:r w:rsidRPr="00BC292A">
        <w:rPr>
          <w:rFonts w:ascii="Century" w:hAnsi="Century"/>
          <w:rtl/>
        </w:rPr>
        <w:t xml:space="preserve"> 45 </w:t>
      </w:r>
      <w:r w:rsidRPr="00BC292A">
        <w:rPr>
          <w:rFonts w:ascii="Century" w:hAnsi="Century" w:hint="eastAsia"/>
          <w:rtl/>
        </w:rPr>
        <w:t>לחברתי</w:t>
      </w:r>
      <w:r w:rsidRPr="00BC292A">
        <w:rPr>
          <w:rFonts w:ascii="Century" w:hAnsi="Century"/>
          <w:rtl/>
        </w:rPr>
        <w:t xml:space="preserve">); </w:t>
      </w:r>
      <w:r w:rsidRPr="00BC292A">
        <w:rPr>
          <w:rFonts w:ascii="Century" w:hAnsi="Century" w:hint="eastAsia"/>
          <w:rtl/>
        </w:rPr>
        <w:t>מדברי</w:t>
      </w:r>
      <w:r w:rsidRPr="00BC292A">
        <w:rPr>
          <w:rFonts w:ascii="Century" w:hAnsi="Century"/>
          <w:rtl/>
        </w:rPr>
        <w:t xml:space="preserve"> </w:t>
      </w:r>
      <w:r w:rsidRPr="00BC292A">
        <w:rPr>
          <w:rFonts w:ascii="Century" w:hAnsi="Century" w:hint="eastAsia"/>
          <w:rtl/>
        </w:rPr>
        <w:t>ההסבר</w:t>
      </w:r>
      <w:r w:rsidRPr="00BC292A">
        <w:rPr>
          <w:rFonts w:ascii="Century" w:hAnsi="Century"/>
          <w:rtl/>
        </w:rPr>
        <w:t xml:space="preserve"> </w:t>
      </w:r>
      <w:r>
        <w:rPr>
          <w:rFonts w:ascii="Century" w:hAnsi="Century" w:hint="cs"/>
          <w:rtl/>
        </w:rPr>
        <w:t xml:space="preserve">לחוק </w:t>
      </w:r>
      <w:r w:rsidRPr="00BC292A">
        <w:rPr>
          <w:rFonts w:ascii="Century" w:hAnsi="Century" w:hint="eastAsia"/>
          <w:rtl/>
        </w:rPr>
        <w:t>המפנים</w:t>
      </w:r>
      <w:r w:rsidRPr="00BC292A">
        <w:rPr>
          <w:rFonts w:ascii="Century" w:hAnsi="Century"/>
          <w:rtl/>
        </w:rPr>
        <w:t xml:space="preserve"> </w:t>
      </w:r>
      <w:r w:rsidRPr="00BC292A">
        <w:rPr>
          <w:rFonts w:ascii="Century" w:hAnsi="Century" w:hint="eastAsia"/>
          <w:rtl/>
        </w:rPr>
        <w:t>בהקשר</w:t>
      </w:r>
      <w:r w:rsidRPr="00BC292A">
        <w:rPr>
          <w:rFonts w:ascii="Century" w:hAnsi="Century"/>
          <w:rtl/>
        </w:rPr>
        <w:t xml:space="preserve"> </w:t>
      </w:r>
      <w:r w:rsidRPr="00BC292A">
        <w:rPr>
          <w:rFonts w:ascii="Century" w:hAnsi="Century" w:hint="eastAsia"/>
          <w:rtl/>
        </w:rPr>
        <w:t>זה</w:t>
      </w:r>
      <w:r w:rsidRPr="00BC292A">
        <w:rPr>
          <w:rFonts w:ascii="Century" w:hAnsi="Century"/>
          <w:rtl/>
        </w:rPr>
        <w:t xml:space="preserve"> </w:t>
      </w:r>
      <w:r w:rsidRPr="00BC292A">
        <w:rPr>
          <w:rFonts w:ascii="Century" w:hAnsi="Century" w:hint="eastAsia"/>
          <w:rtl/>
        </w:rPr>
        <w:t>באופן</w:t>
      </w:r>
      <w:r w:rsidRPr="00BC292A">
        <w:rPr>
          <w:rFonts w:ascii="Century" w:hAnsi="Century"/>
          <w:rtl/>
        </w:rPr>
        <w:t xml:space="preserve"> </w:t>
      </w:r>
      <w:r>
        <w:rPr>
          <w:rFonts w:ascii="Century" w:hAnsi="Century" w:hint="cs"/>
          <w:rtl/>
        </w:rPr>
        <w:t xml:space="preserve">מפורש </w:t>
      </w:r>
      <w:r w:rsidRPr="00BC292A">
        <w:rPr>
          <w:rFonts w:ascii="Century" w:hAnsi="Century" w:hint="eastAsia"/>
          <w:rtl/>
        </w:rPr>
        <w:t>לעניין</w:t>
      </w:r>
      <w:r w:rsidRPr="00BC292A">
        <w:rPr>
          <w:rFonts w:ascii="Century" w:hAnsi="Century"/>
          <w:rtl/>
        </w:rPr>
        <w:t xml:space="preserve"> </w:t>
      </w:r>
      <w:r w:rsidRPr="00BC292A">
        <w:rPr>
          <w:rFonts w:ascii="Century" w:hAnsi="Century" w:cs="Miriam" w:hint="eastAsia"/>
          <w:b/>
          <w:spacing w:val="0"/>
          <w:szCs w:val="24"/>
          <w:rtl/>
        </w:rPr>
        <w:t>דפי</w:t>
      </w:r>
      <w:r w:rsidRPr="00BC292A">
        <w:rPr>
          <w:rFonts w:ascii="Century" w:hAnsi="Century" w:cs="Miriam"/>
          <w:b/>
          <w:spacing w:val="0"/>
          <w:szCs w:val="24"/>
          <w:rtl/>
        </w:rPr>
        <w:t xml:space="preserve"> </w:t>
      </w:r>
      <w:r w:rsidRPr="00BC292A">
        <w:rPr>
          <w:rFonts w:ascii="Century" w:hAnsi="Century" w:cs="Miriam" w:hint="eastAsia"/>
          <w:b/>
          <w:spacing w:val="0"/>
          <w:szCs w:val="24"/>
          <w:rtl/>
        </w:rPr>
        <w:t>זהב</w:t>
      </w:r>
      <w:r w:rsidRPr="00BC292A">
        <w:rPr>
          <w:rFonts w:ascii="Century" w:hAnsi="Century"/>
          <w:rtl/>
        </w:rPr>
        <w:t xml:space="preserve"> </w:t>
      </w:r>
      <w:r w:rsidRPr="00BC292A">
        <w:rPr>
          <w:rFonts w:ascii="Century" w:hAnsi="Century" w:hint="eastAsia"/>
          <w:rtl/>
        </w:rPr>
        <w:t>ומציינים</w:t>
      </w:r>
      <w:r w:rsidRPr="00BC292A">
        <w:rPr>
          <w:rFonts w:ascii="Century" w:hAnsi="Century"/>
          <w:rtl/>
        </w:rPr>
        <w:t xml:space="preserve"> </w:t>
      </w:r>
      <w:r w:rsidRPr="00BC292A">
        <w:rPr>
          <w:rFonts w:ascii="Century" w:hAnsi="Century" w:hint="eastAsia"/>
          <w:rtl/>
        </w:rPr>
        <w:t>את</w:t>
      </w:r>
      <w:r w:rsidRPr="00BC292A">
        <w:rPr>
          <w:rFonts w:ascii="Century" w:hAnsi="Century"/>
          <w:rtl/>
        </w:rPr>
        <w:t xml:space="preserve"> </w:t>
      </w:r>
      <w:r w:rsidRPr="00BC292A">
        <w:rPr>
          <w:rFonts w:ascii="Century" w:hAnsi="Century" w:hint="eastAsia"/>
          <w:rtl/>
        </w:rPr>
        <w:t>הביקורת</w:t>
      </w:r>
      <w:r w:rsidRPr="00BC292A">
        <w:rPr>
          <w:rFonts w:ascii="Century" w:hAnsi="Century"/>
          <w:rtl/>
        </w:rPr>
        <w:t xml:space="preserve"> </w:t>
      </w:r>
      <w:r w:rsidRPr="00BC292A">
        <w:rPr>
          <w:rFonts w:ascii="Century" w:hAnsi="Century" w:hint="eastAsia"/>
          <w:rtl/>
        </w:rPr>
        <w:t>שנשמעה</w:t>
      </w:r>
      <w:r w:rsidRPr="00BC292A">
        <w:rPr>
          <w:rFonts w:ascii="Century" w:hAnsi="Century"/>
          <w:rtl/>
        </w:rPr>
        <w:t xml:space="preserve"> </w:t>
      </w:r>
      <w:r w:rsidRPr="00BC292A">
        <w:rPr>
          <w:rFonts w:ascii="Century" w:hAnsi="Century" w:hint="eastAsia"/>
          <w:rtl/>
        </w:rPr>
        <w:t>על</w:t>
      </w:r>
      <w:r w:rsidRPr="00BC292A">
        <w:rPr>
          <w:rFonts w:ascii="Century" w:hAnsi="Century"/>
          <w:rtl/>
        </w:rPr>
        <w:t xml:space="preserve"> </w:t>
      </w:r>
      <w:r w:rsidRPr="00BC292A">
        <w:rPr>
          <w:rFonts w:ascii="Century" w:hAnsi="Century" w:hint="eastAsia"/>
          <w:rtl/>
        </w:rPr>
        <w:t>שימוש</w:t>
      </w:r>
      <w:r w:rsidRPr="00BC292A">
        <w:rPr>
          <w:rFonts w:ascii="Century" w:hAnsi="Century"/>
          <w:rtl/>
        </w:rPr>
        <w:t xml:space="preserve"> </w:t>
      </w:r>
      <w:r w:rsidRPr="00BC292A">
        <w:rPr>
          <w:rFonts w:ascii="Century" w:hAnsi="Century" w:hint="eastAsia"/>
          <w:rtl/>
        </w:rPr>
        <w:t>בחוסר</w:t>
      </w:r>
      <w:r w:rsidRPr="00BC292A">
        <w:rPr>
          <w:rFonts w:ascii="Century" w:hAnsi="Century"/>
          <w:rtl/>
        </w:rPr>
        <w:t xml:space="preserve"> </w:t>
      </w:r>
      <w:r w:rsidRPr="00BC292A">
        <w:rPr>
          <w:rFonts w:ascii="Century" w:hAnsi="Century" w:hint="eastAsia"/>
          <w:rtl/>
        </w:rPr>
        <w:t>סבירות</w:t>
      </w:r>
      <w:r w:rsidRPr="00BC292A">
        <w:rPr>
          <w:rFonts w:ascii="Century" w:hAnsi="Century"/>
          <w:rtl/>
        </w:rPr>
        <w:t xml:space="preserve"> "</w:t>
      </w:r>
      <w:r w:rsidRPr="00BC292A">
        <w:rPr>
          <w:rFonts w:ascii="Century" w:hAnsi="Century" w:hint="eastAsia"/>
          <w:rtl/>
        </w:rPr>
        <w:t>במובנה</w:t>
      </w:r>
      <w:r w:rsidRPr="00BC292A">
        <w:rPr>
          <w:rFonts w:ascii="Century" w:hAnsi="Century"/>
          <w:rtl/>
        </w:rPr>
        <w:t xml:space="preserve"> </w:t>
      </w:r>
      <w:r w:rsidRPr="00BC292A">
        <w:rPr>
          <w:rFonts w:ascii="Century" w:hAnsi="Century" w:hint="eastAsia"/>
          <w:rtl/>
        </w:rPr>
        <w:t>זה</w:t>
      </w:r>
      <w:r w:rsidRPr="00BC292A">
        <w:rPr>
          <w:rFonts w:ascii="Century" w:hAnsi="Century"/>
          <w:rtl/>
        </w:rPr>
        <w:t xml:space="preserve">", </w:t>
      </w:r>
      <w:r w:rsidRPr="00BC292A">
        <w:rPr>
          <w:rFonts w:ascii="Century" w:hAnsi="Century" w:hint="eastAsia"/>
          <w:rtl/>
        </w:rPr>
        <w:t>היינו</w:t>
      </w:r>
      <w:r w:rsidRPr="00BC292A">
        <w:rPr>
          <w:rFonts w:ascii="Century" w:hAnsi="Century"/>
          <w:rtl/>
        </w:rPr>
        <w:t xml:space="preserve"> </w:t>
      </w:r>
      <w:r w:rsidRPr="00BC292A">
        <w:rPr>
          <w:rFonts w:ascii="Century" w:hAnsi="Century" w:hint="eastAsia"/>
          <w:rtl/>
        </w:rPr>
        <w:t>כפי</w:t>
      </w:r>
      <w:r w:rsidRPr="00BC292A">
        <w:rPr>
          <w:rFonts w:ascii="Century" w:hAnsi="Century"/>
          <w:rtl/>
        </w:rPr>
        <w:t xml:space="preserve"> </w:t>
      </w:r>
      <w:r w:rsidRPr="00BC292A">
        <w:rPr>
          <w:rFonts w:ascii="Century" w:hAnsi="Century" w:hint="eastAsia"/>
          <w:rtl/>
        </w:rPr>
        <w:t>שפורשה</w:t>
      </w:r>
      <w:r w:rsidRPr="00BC292A">
        <w:rPr>
          <w:rFonts w:ascii="Century" w:hAnsi="Century"/>
          <w:rtl/>
        </w:rPr>
        <w:t xml:space="preserve"> </w:t>
      </w:r>
      <w:r w:rsidRPr="00BC292A">
        <w:rPr>
          <w:rFonts w:ascii="Century" w:hAnsi="Century" w:hint="eastAsia"/>
          <w:rtl/>
        </w:rPr>
        <w:t>בעניין</w:t>
      </w:r>
      <w:r w:rsidRPr="00BC292A">
        <w:rPr>
          <w:rFonts w:ascii="Century" w:hAnsi="Century"/>
          <w:rtl/>
        </w:rPr>
        <w:t xml:space="preserve"> </w:t>
      </w:r>
      <w:r w:rsidRPr="00BC292A">
        <w:rPr>
          <w:rFonts w:ascii="Century" w:hAnsi="Century" w:cs="Miriam" w:hint="eastAsia"/>
          <w:b/>
          <w:spacing w:val="0"/>
          <w:szCs w:val="24"/>
          <w:rtl/>
        </w:rPr>
        <w:t>דפי</w:t>
      </w:r>
      <w:r w:rsidRPr="00BC292A">
        <w:rPr>
          <w:rFonts w:ascii="Century" w:hAnsi="Century" w:cs="Miriam"/>
          <w:b/>
          <w:spacing w:val="0"/>
          <w:szCs w:val="24"/>
          <w:rtl/>
        </w:rPr>
        <w:t xml:space="preserve"> </w:t>
      </w:r>
      <w:r w:rsidRPr="00BC292A">
        <w:rPr>
          <w:rFonts w:ascii="Century" w:hAnsi="Century" w:cs="Miriam" w:hint="eastAsia"/>
          <w:b/>
          <w:spacing w:val="0"/>
          <w:szCs w:val="24"/>
          <w:rtl/>
        </w:rPr>
        <w:t>זהב</w:t>
      </w:r>
      <w:r w:rsidRPr="00BC292A">
        <w:rPr>
          <w:rFonts w:ascii="Century" w:hAnsi="Century"/>
          <w:rtl/>
        </w:rPr>
        <w:t xml:space="preserve">; </w:t>
      </w:r>
      <w:r w:rsidRPr="00BC292A">
        <w:rPr>
          <w:rFonts w:ascii="Century" w:hAnsi="Century" w:hint="eastAsia"/>
          <w:rtl/>
        </w:rPr>
        <w:t>מהביטויים</w:t>
      </w:r>
      <w:r w:rsidRPr="00BC292A">
        <w:rPr>
          <w:rFonts w:ascii="Century" w:hAnsi="Century"/>
          <w:rtl/>
        </w:rPr>
        <w:t xml:space="preserve"> </w:t>
      </w:r>
      <w:r w:rsidRPr="00BC292A">
        <w:rPr>
          <w:rFonts w:ascii="Century" w:hAnsi="Century" w:hint="eastAsia"/>
          <w:rtl/>
        </w:rPr>
        <w:t>השונים</w:t>
      </w:r>
      <w:r w:rsidRPr="00BC292A">
        <w:rPr>
          <w:rFonts w:ascii="Century" w:hAnsi="Century"/>
          <w:rtl/>
        </w:rPr>
        <w:t xml:space="preserve"> </w:t>
      </w:r>
      <w:r w:rsidRPr="00BC292A">
        <w:rPr>
          <w:rFonts w:ascii="Century" w:hAnsi="Century" w:hint="eastAsia"/>
          <w:rtl/>
        </w:rPr>
        <w:t>בדבר</w:t>
      </w:r>
      <w:r w:rsidRPr="00BC292A">
        <w:rPr>
          <w:rFonts w:ascii="Century" w:hAnsi="Century"/>
          <w:rtl/>
        </w:rPr>
        <w:t xml:space="preserve"> </w:t>
      </w:r>
      <w:r w:rsidRPr="00BC292A">
        <w:rPr>
          <w:rFonts w:ascii="Century" w:hAnsi="Century" w:hint="eastAsia"/>
          <w:rtl/>
        </w:rPr>
        <w:t>התכלית</w:t>
      </w:r>
      <w:r w:rsidRPr="00BC292A">
        <w:rPr>
          <w:rFonts w:ascii="Century" w:hAnsi="Century"/>
          <w:rtl/>
        </w:rPr>
        <w:t xml:space="preserve"> </w:t>
      </w:r>
      <w:r w:rsidRPr="00BC292A">
        <w:rPr>
          <w:rFonts w:ascii="Century" w:hAnsi="Century" w:hint="eastAsia"/>
          <w:rtl/>
        </w:rPr>
        <w:t>הסובייקטיבית</w:t>
      </w:r>
      <w:r w:rsidRPr="00BC292A">
        <w:rPr>
          <w:rFonts w:ascii="Century" w:hAnsi="Century"/>
          <w:rtl/>
        </w:rPr>
        <w:t xml:space="preserve"> </w:t>
      </w:r>
      <w:r w:rsidRPr="00BC292A">
        <w:rPr>
          <w:rFonts w:ascii="Century" w:hAnsi="Century" w:hint="eastAsia"/>
          <w:rtl/>
        </w:rPr>
        <w:t>המכוונת</w:t>
      </w:r>
      <w:r w:rsidRPr="00BC292A">
        <w:rPr>
          <w:rFonts w:ascii="Century" w:hAnsi="Century"/>
          <w:rtl/>
        </w:rPr>
        <w:t xml:space="preserve"> </w:t>
      </w:r>
      <w:r w:rsidRPr="00BC292A">
        <w:rPr>
          <w:rFonts w:ascii="Century" w:hAnsi="Century" w:hint="eastAsia"/>
          <w:rtl/>
        </w:rPr>
        <w:t>לפרשנות</w:t>
      </w:r>
      <w:r w:rsidRPr="00BC292A">
        <w:rPr>
          <w:rFonts w:ascii="Century" w:hAnsi="Century"/>
          <w:rtl/>
        </w:rPr>
        <w:t xml:space="preserve"> </w:t>
      </w:r>
      <w:r w:rsidRPr="00BC292A">
        <w:rPr>
          <w:rFonts w:ascii="Century" w:hAnsi="Century" w:hint="eastAsia"/>
          <w:rtl/>
        </w:rPr>
        <w:t>מסוג</w:t>
      </w:r>
      <w:r w:rsidRPr="00BC292A">
        <w:rPr>
          <w:rFonts w:ascii="Century" w:hAnsi="Century"/>
          <w:rtl/>
        </w:rPr>
        <w:t xml:space="preserve"> </w:t>
      </w:r>
      <w:r w:rsidRPr="00BC292A">
        <w:rPr>
          <w:rFonts w:ascii="Century" w:hAnsi="Century" w:hint="eastAsia"/>
          <w:rtl/>
        </w:rPr>
        <w:t>זה</w:t>
      </w:r>
      <w:r w:rsidRPr="00BC292A">
        <w:rPr>
          <w:rFonts w:ascii="Century" w:hAnsi="Century"/>
          <w:rtl/>
        </w:rPr>
        <w:t xml:space="preserve"> </w:t>
      </w:r>
      <w:r w:rsidRPr="00BC292A">
        <w:rPr>
          <w:rFonts w:ascii="Century" w:hAnsi="Century" w:hint="eastAsia"/>
          <w:rtl/>
        </w:rPr>
        <w:t>בטענות</w:t>
      </w:r>
      <w:r w:rsidRPr="00BC292A">
        <w:rPr>
          <w:rFonts w:ascii="Century" w:hAnsi="Century"/>
          <w:rtl/>
        </w:rPr>
        <w:t xml:space="preserve"> </w:t>
      </w:r>
      <w:r w:rsidRPr="00BC292A">
        <w:rPr>
          <w:rFonts w:ascii="Century" w:hAnsi="Century" w:hint="eastAsia"/>
          <w:rtl/>
        </w:rPr>
        <w:t>הממשלה</w:t>
      </w:r>
      <w:r w:rsidRPr="00BC292A">
        <w:rPr>
          <w:rFonts w:ascii="Century" w:hAnsi="Century"/>
          <w:rtl/>
        </w:rPr>
        <w:t xml:space="preserve"> </w:t>
      </w:r>
      <w:r w:rsidRPr="00BC292A">
        <w:rPr>
          <w:rFonts w:ascii="Century" w:hAnsi="Century" w:hint="eastAsia"/>
          <w:rtl/>
        </w:rPr>
        <w:t>בתצהיר</w:t>
      </w:r>
      <w:r w:rsidRPr="00BC292A">
        <w:rPr>
          <w:rFonts w:ascii="Century" w:hAnsi="Century"/>
          <w:rtl/>
        </w:rPr>
        <w:t xml:space="preserve"> </w:t>
      </w:r>
      <w:r w:rsidRPr="00BC292A">
        <w:rPr>
          <w:rFonts w:ascii="Century" w:hAnsi="Century" w:hint="eastAsia"/>
          <w:rtl/>
        </w:rPr>
        <w:t>תשובה</w:t>
      </w:r>
      <w:r w:rsidRPr="00BC292A">
        <w:rPr>
          <w:rFonts w:ascii="Century" w:hAnsi="Century"/>
          <w:rtl/>
        </w:rPr>
        <w:t xml:space="preserve"> </w:t>
      </w:r>
      <w:r w:rsidRPr="00BC292A">
        <w:rPr>
          <w:rFonts w:ascii="Century" w:hAnsi="Century" w:hint="eastAsia"/>
          <w:rtl/>
        </w:rPr>
        <w:t>מטעמה</w:t>
      </w:r>
      <w:r>
        <w:rPr>
          <w:rFonts w:ascii="Century" w:hAnsi="Century" w:hint="cs"/>
          <w:rtl/>
        </w:rPr>
        <w:t>;</w:t>
      </w:r>
      <w:r w:rsidRPr="00BC292A">
        <w:rPr>
          <w:rFonts w:ascii="Century" w:hAnsi="Century"/>
          <w:rtl/>
        </w:rPr>
        <w:t xml:space="preserve"> </w:t>
      </w:r>
      <w:r w:rsidRPr="00BC292A">
        <w:rPr>
          <w:rFonts w:ascii="Century" w:hAnsi="Century" w:hint="eastAsia"/>
          <w:rtl/>
        </w:rPr>
        <w:t>ועוד</w:t>
      </w:r>
      <w:r w:rsidRPr="00BC292A">
        <w:rPr>
          <w:rFonts w:ascii="Century" w:hAnsi="Century"/>
          <w:rtl/>
        </w:rPr>
        <w:t xml:space="preserve">. </w:t>
      </w:r>
    </w:p>
    <w:p w:rsidR="00737972" w:rsidRPr="006955E7" w:rsidRDefault="00737972" w:rsidP="00737972">
      <w:pPr>
        <w:pStyle w:val="Ruller41"/>
      </w:pPr>
    </w:p>
    <w:p w:rsidR="00737972" w:rsidRDefault="00737972" w:rsidP="00737972">
      <w:pPr>
        <w:pStyle w:val="Ruller4"/>
        <w:rPr>
          <w:rtl/>
        </w:rPr>
      </w:pPr>
      <w:r>
        <w:rPr>
          <w:rFonts w:hint="cs"/>
          <w:rtl/>
        </w:rPr>
        <w:t xml:space="preserve">אכן, התכלית הסובייקטיבית של התיקון כשלעצמה אינה חד משמעית והיא נושאת אופי כפול. אולם בהקשר זה עלינו לחזור על הכלל שהוזכר לעיל, על פיו איתור "כוונת המחוקק" באופן נחרץ על בסיס אמירות שונות בדיוני ועדה מוועדות הכנסת אינו כה פשוט, בלשון המעטה. זאת ודאי כאשר דברי ההסבר תומכים בפרשנות שונה. ומעבר לכך, גם כאשר מדובר בדבר חקיקה רגיל, ההלכה הפסוקה מורה לנו כי התכלית הסובייקטיבית אינה חזות הכל. במקרה של סתירה בין התכלית הסובייקטיבית לתכלית האובייקטיבית, אם החוק לא נותן ביטוי לשוני ראוי לתכלית הסובייקטיבית דווקא, ידה של התכלית האובייקטיבית ככלל תהא על העליונה </w:t>
      </w:r>
      <w:r w:rsidRPr="0079516D">
        <w:rPr>
          <w:rtl/>
        </w:rPr>
        <w:t>(</w:t>
      </w:r>
      <w:r w:rsidRPr="0079516D">
        <w:rPr>
          <w:rFonts w:hint="eastAsia"/>
          <w:rtl/>
        </w:rPr>
        <w:t>בג</w:t>
      </w:r>
      <w:r w:rsidRPr="0079516D">
        <w:rPr>
          <w:rtl/>
        </w:rPr>
        <w:t>"</w:t>
      </w:r>
      <w:r w:rsidRPr="0079516D">
        <w:rPr>
          <w:rFonts w:hint="eastAsia"/>
          <w:rtl/>
        </w:rPr>
        <w:t>ץ</w:t>
      </w:r>
      <w:r w:rsidRPr="0079516D">
        <w:rPr>
          <w:rtl/>
        </w:rPr>
        <w:t xml:space="preserve"> 3262/95 </w:t>
      </w:r>
      <w:r w:rsidRPr="005359CE">
        <w:rPr>
          <w:rFonts w:ascii="Century" w:hAnsi="Century" w:cs="Miriam" w:hint="eastAsia"/>
          <w:b/>
          <w:spacing w:val="0"/>
          <w:sz w:val="22"/>
          <w:szCs w:val="24"/>
          <w:rtl/>
        </w:rPr>
        <w:t>פורז</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נ</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ממשלת</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ישראל</w:t>
      </w:r>
      <w:r w:rsidRPr="0079516D">
        <w:rPr>
          <w:rtl/>
        </w:rPr>
        <w:t xml:space="preserve">, </w:t>
      </w:r>
      <w:r w:rsidRPr="0079516D">
        <w:rPr>
          <w:rFonts w:hint="eastAsia"/>
          <w:rtl/>
        </w:rPr>
        <w:t>פ</w:t>
      </w:r>
      <w:r w:rsidRPr="0079516D">
        <w:rPr>
          <w:rtl/>
        </w:rPr>
        <w:t>"</w:t>
      </w:r>
      <w:r w:rsidRPr="0079516D">
        <w:rPr>
          <w:rFonts w:hint="eastAsia"/>
          <w:rtl/>
        </w:rPr>
        <w:t>ד</w:t>
      </w:r>
      <w:r w:rsidRPr="0079516D">
        <w:rPr>
          <w:rtl/>
        </w:rPr>
        <w:t xml:space="preserve"> </w:t>
      </w:r>
      <w:r w:rsidRPr="0079516D">
        <w:rPr>
          <w:rFonts w:hint="eastAsia"/>
          <w:rtl/>
        </w:rPr>
        <w:t>מט</w:t>
      </w:r>
      <w:r w:rsidRPr="0079516D">
        <w:rPr>
          <w:rtl/>
        </w:rPr>
        <w:t>(3) 153, 158 (1995)</w:t>
      </w:r>
      <w:r>
        <w:rPr>
          <w:rFonts w:hint="cs"/>
          <w:rtl/>
        </w:rPr>
        <w:t>;</w:t>
      </w:r>
      <w:r w:rsidRPr="0079516D">
        <w:rPr>
          <w:rFonts w:hint="eastAsia"/>
          <w:rtl/>
        </w:rPr>
        <w:t xml:space="preserve"> ע</w:t>
      </w:r>
      <w:r w:rsidRPr="0079516D">
        <w:rPr>
          <w:rtl/>
        </w:rPr>
        <w:t>"</w:t>
      </w:r>
      <w:r w:rsidRPr="0079516D">
        <w:rPr>
          <w:rFonts w:hint="eastAsia"/>
          <w:rtl/>
        </w:rPr>
        <w:t>א</w:t>
      </w:r>
      <w:r w:rsidRPr="0079516D">
        <w:rPr>
          <w:rtl/>
        </w:rPr>
        <w:t xml:space="preserve"> 2112/95 </w:t>
      </w:r>
      <w:r w:rsidRPr="005359CE">
        <w:rPr>
          <w:rFonts w:ascii="Century" w:hAnsi="Century" w:cs="Miriam" w:hint="eastAsia"/>
          <w:b/>
          <w:spacing w:val="0"/>
          <w:sz w:val="22"/>
          <w:szCs w:val="24"/>
          <w:rtl/>
        </w:rPr>
        <w:t>אגף</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המכס</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והמע</w:t>
      </w:r>
      <w:r w:rsidRPr="005359CE">
        <w:rPr>
          <w:rFonts w:ascii="Century" w:hAnsi="Century" w:cs="Miriam"/>
          <w:b/>
          <w:spacing w:val="0"/>
          <w:sz w:val="22"/>
          <w:szCs w:val="24"/>
          <w:rtl/>
        </w:rPr>
        <w:t>"</w:t>
      </w:r>
      <w:r w:rsidRPr="005359CE">
        <w:rPr>
          <w:rFonts w:ascii="Century" w:hAnsi="Century" w:cs="Miriam" w:hint="eastAsia"/>
          <w:b/>
          <w:spacing w:val="0"/>
          <w:sz w:val="22"/>
          <w:szCs w:val="24"/>
          <w:rtl/>
        </w:rPr>
        <w:t>מ</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נ</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אלקה</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אחזקות</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בע</w:t>
      </w:r>
      <w:r w:rsidRPr="005359CE">
        <w:rPr>
          <w:rFonts w:ascii="Century" w:hAnsi="Century" w:cs="Miriam"/>
          <w:b/>
          <w:spacing w:val="0"/>
          <w:sz w:val="22"/>
          <w:szCs w:val="24"/>
          <w:rtl/>
        </w:rPr>
        <w:t>"</w:t>
      </w:r>
      <w:r w:rsidRPr="005359CE">
        <w:rPr>
          <w:rFonts w:ascii="Century" w:hAnsi="Century" w:cs="Miriam" w:hint="eastAsia"/>
          <w:b/>
          <w:spacing w:val="0"/>
          <w:sz w:val="22"/>
          <w:szCs w:val="24"/>
          <w:rtl/>
        </w:rPr>
        <w:t>מ</w:t>
      </w:r>
      <w:r w:rsidRPr="0079516D">
        <w:rPr>
          <w:rtl/>
        </w:rPr>
        <w:t xml:space="preserve">, </w:t>
      </w:r>
      <w:r w:rsidRPr="0079516D">
        <w:rPr>
          <w:rFonts w:hint="eastAsia"/>
          <w:rtl/>
        </w:rPr>
        <w:t>פ</w:t>
      </w:r>
      <w:r w:rsidRPr="0079516D">
        <w:rPr>
          <w:rtl/>
        </w:rPr>
        <w:t>"</w:t>
      </w:r>
      <w:r w:rsidRPr="0079516D">
        <w:rPr>
          <w:rFonts w:hint="eastAsia"/>
          <w:rtl/>
        </w:rPr>
        <w:t>ד</w:t>
      </w:r>
      <w:r w:rsidRPr="0079516D">
        <w:rPr>
          <w:rtl/>
        </w:rPr>
        <w:t xml:space="preserve"> </w:t>
      </w:r>
      <w:r w:rsidRPr="0079516D">
        <w:rPr>
          <w:rFonts w:hint="eastAsia"/>
          <w:rtl/>
        </w:rPr>
        <w:t>נג</w:t>
      </w:r>
      <w:r w:rsidRPr="0079516D">
        <w:rPr>
          <w:rtl/>
        </w:rPr>
        <w:t xml:space="preserve">(5) 769, </w:t>
      </w:r>
      <w:r>
        <w:rPr>
          <w:rFonts w:hint="cs"/>
          <w:rtl/>
        </w:rPr>
        <w:t xml:space="preserve">796-794 </w:t>
      </w:r>
      <w:r w:rsidRPr="0079516D">
        <w:rPr>
          <w:rtl/>
        </w:rPr>
        <w:t xml:space="preserve">(1999); </w:t>
      </w:r>
      <w:r w:rsidRPr="0079516D">
        <w:rPr>
          <w:rFonts w:hint="eastAsia"/>
          <w:rtl/>
        </w:rPr>
        <w:t>דנג</w:t>
      </w:r>
      <w:r w:rsidRPr="0079516D">
        <w:rPr>
          <w:rtl/>
        </w:rPr>
        <w:t>"</w:t>
      </w:r>
      <w:r w:rsidRPr="0079516D">
        <w:rPr>
          <w:rFonts w:hint="eastAsia"/>
          <w:rtl/>
        </w:rPr>
        <w:t>ץ</w:t>
      </w:r>
      <w:r w:rsidRPr="0079516D">
        <w:rPr>
          <w:rtl/>
        </w:rPr>
        <w:t xml:space="preserve"> </w:t>
      </w:r>
      <w:r>
        <w:rPr>
          <w:rFonts w:hint="cs"/>
          <w:rtl/>
        </w:rPr>
        <w:t>5026/</w:t>
      </w:r>
      <w:r w:rsidRPr="0079516D">
        <w:rPr>
          <w:rtl/>
        </w:rPr>
        <w:t xml:space="preserve">16 </w:t>
      </w:r>
      <w:r w:rsidRPr="005359CE">
        <w:rPr>
          <w:rFonts w:ascii="Century" w:hAnsi="Century" w:cs="Miriam" w:hint="eastAsia"/>
          <w:b/>
          <w:spacing w:val="0"/>
          <w:sz w:val="22"/>
          <w:szCs w:val="24"/>
          <w:rtl/>
        </w:rPr>
        <w:t>גיני</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נ</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הרבנות</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הראשית</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לישראל</w:t>
      </w:r>
      <w:r w:rsidRPr="0079516D">
        <w:rPr>
          <w:rtl/>
        </w:rPr>
        <w:t xml:space="preserve">, </w:t>
      </w:r>
      <w:r w:rsidRPr="0079516D">
        <w:rPr>
          <w:rFonts w:hint="eastAsia"/>
          <w:rtl/>
        </w:rPr>
        <w:t>פסקאות</w:t>
      </w:r>
      <w:r w:rsidRPr="0079516D">
        <w:rPr>
          <w:rtl/>
        </w:rPr>
        <w:t xml:space="preserve"> 25-24 </w:t>
      </w:r>
      <w:r>
        <w:rPr>
          <w:rFonts w:hint="cs"/>
          <w:rtl/>
        </w:rPr>
        <w:t xml:space="preserve">לחוות דעתה </w:t>
      </w:r>
      <w:r w:rsidRPr="0079516D">
        <w:rPr>
          <w:rFonts w:hint="eastAsia"/>
          <w:rtl/>
        </w:rPr>
        <w:t>של</w:t>
      </w:r>
      <w:r w:rsidRPr="0079516D">
        <w:rPr>
          <w:rtl/>
        </w:rPr>
        <w:t xml:space="preserve"> </w:t>
      </w:r>
      <w:r w:rsidRPr="0079516D">
        <w:rPr>
          <w:rFonts w:hint="eastAsia"/>
          <w:rtl/>
        </w:rPr>
        <w:t>הנשיאה</w:t>
      </w:r>
      <w:r w:rsidRPr="0079516D">
        <w:rPr>
          <w:rtl/>
        </w:rPr>
        <w:t xml:space="preserve"> </w:t>
      </w:r>
      <w:r w:rsidRPr="005359CE">
        <w:rPr>
          <w:rFonts w:ascii="Century" w:hAnsi="Century" w:cs="Miriam" w:hint="eastAsia"/>
          <w:b/>
          <w:spacing w:val="0"/>
          <w:sz w:val="22"/>
          <w:szCs w:val="24"/>
          <w:rtl/>
        </w:rPr>
        <w:t>מ</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נאור</w:t>
      </w:r>
      <w:r w:rsidRPr="0079516D">
        <w:rPr>
          <w:rtl/>
        </w:rPr>
        <w:t xml:space="preserve"> (12.9.2017</w:t>
      </w:r>
      <w:r>
        <w:rPr>
          <w:rFonts w:hint="cs"/>
          <w:rtl/>
        </w:rPr>
        <w:t xml:space="preserve">)). על אחת כמה וכמה שבפרשנות חוקי היסוד כאמור לא התכלית הסובייקטיבית היא המכרעת, אלא התכלית האובייקטיבית המשקפת כאמור "את תפיסות היסוד, את הערכים ואת המטרות שהטקסט </w:t>
      </w:r>
      <w:r>
        <w:rPr>
          <w:rFonts w:hint="cs"/>
          <w:rtl/>
        </w:rPr>
        <w:lastRenderedPageBreak/>
        <w:t>החוקתי נועד להגשים במדינה דמוקרטית" (</w:t>
      </w:r>
      <w:r w:rsidRPr="00882DEF">
        <w:rPr>
          <w:rFonts w:hint="eastAsia"/>
          <w:rtl/>
        </w:rPr>
        <w:t>בג</w:t>
      </w:r>
      <w:r>
        <w:rPr>
          <w:rFonts w:hint="cs"/>
          <w:rtl/>
        </w:rPr>
        <w:t>"</w:t>
      </w:r>
      <w:r w:rsidRPr="00882DEF">
        <w:rPr>
          <w:rFonts w:hint="eastAsia"/>
          <w:rtl/>
        </w:rPr>
        <w:t>ץ</w:t>
      </w:r>
      <w:r w:rsidRPr="00882DEF">
        <w:rPr>
          <w:rtl/>
        </w:rPr>
        <w:t xml:space="preserve"> 3132/15 </w:t>
      </w:r>
      <w:r w:rsidRPr="005359CE">
        <w:rPr>
          <w:rFonts w:ascii="Century" w:hAnsi="Century" w:cs="Miriam" w:hint="eastAsia"/>
          <w:b/>
          <w:spacing w:val="0"/>
          <w:sz w:val="22"/>
          <w:szCs w:val="24"/>
          <w:rtl/>
        </w:rPr>
        <w:t>מפלגת</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יש</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עתיד</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בראשות</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יאיר</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לפיד</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נ</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ראש</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ממשלת</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ישראל</w:t>
      </w:r>
      <w:r>
        <w:rPr>
          <w:rFonts w:hint="cs"/>
          <w:rtl/>
        </w:rPr>
        <w:t xml:space="preserve">, פסקה 15 לחוות דעתה של הנשיאה </w:t>
      </w:r>
      <w:r w:rsidRPr="005359CE">
        <w:rPr>
          <w:rFonts w:ascii="Century" w:hAnsi="Century" w:cs="Miriam" w:hint="cs"/>
          <w:b/>
          <w:spacing w:val="0"/>
          <w:sz w:val="22"/>
          <w:szCs w:val="24"/>
          <w:rtl/>
        </w:rPr>
        <w:t>מ' נאור</w:t>
      </w:r>
      <w:r w:rsidRPr="00882DEF">
        <w:rPr>
          <w:rFonts w:hint="cs"/>
          <w:rtl/>
        </w:rPr>
        <w:t xml:space="preserve"> </w:t>
      </w:r>
      <w:r>
        <w:rPr>
          <w:rFonts w:hint="cs"/>
          <w:rtl/>
        </w:rPr>
        <w:t xml:space="preserve">(13.4.2016); וראו גם: עניין </w:t>
      </w:r>
      <w:r w:rsidRPr="005359CE">
        <w:rPr>
          <w:rFonts w:ascii="Century" w:hAnsi="Century" w:cs="Miriam" w:hint="cs"/>
          <w:b/>
          <w:spacing w:val="0"/>
          <w:sz w:val="22"/>
          <w:szCs w:val="24"/>
          <w:rtl/>
        </w:rPr>
        <w:t>התנועה למען איכות השלטון בישראל</w:t>
      </w:r>
      <w:r>
        <w:rPr>
          <w:rFonts w:hint="cs"/>
          <w:rtl/>
        </w:rPr>
        <w:t>, עמ' 674).</w:t>
      </w:r>
    </w:p>
    <w:p w:rsidR="00737972" w:rsidRPr="005359CE" w:rsidRDefault="00737972" w:rsidP="00737972">
      <w:pPr>
        <w:pStyle w:val="Ruller41"/>
        <w:rPr>
          <w:rtl/>
        </w:rPr>
      </w:pPr>
    </w:p>
    <w:p w:rsidR="00737972" w:rsidRDefault="00737972" w:rsidP="00737972">
      <w:pPr>
        <w:pStyle w:val="Ruller4"/>
        <w:rPr>
          <w:rtl/>
        </w:rPr>
      </w:pPr>
      <w:r>
        <w:rPr>
          <w:rFonts w:hint="cs"/>
          <w:rtl/>
        </w:rPr>
        <w:t xml:space="preserve">עוד חשוב להדגיש, אחרי הכל, כי המשפט המינהלי אינו נותר יתום, גם לאחר התיקון האמור, כפי שהצביעו גם חלק מחבריי בחוות דעתם. התיקון לחוק היסוד אינו מונע כליל עריכת ביקורת שיפוטית על החלטות הממשלה והשרים, אינו מעניק להם שיקול דעת מוחלט וגורף ואינו מעניק חסינות להחלטותיהם. אכן, היקפו המדויק ותוכנו הקונקרטי ראויים לבירור, תיחום ופרשנות. אולם בכל מקרה, מכאן ועד לפגיעה "אנושה ורב-מימדית" במאפייניה הגרעיניים המינימליים של מדינת ישראל כדמוקרטית, הדרך רחוקה עד מאוד, שלא לומר כמרחק מזרח ממערב. ביקורת שיפוטית על מעשי המינהל עודנה מורכבת מסבך עילות מינהליות שונות שפותחו בפסיקה, בכללן החובה לפעול במידתיות, לנהוג בהגינות ובתום לב, להימנע מלשקול שיקולים זרים ולהימנע מהפליה. אכן, במשך השנים "בלעה" עילת הסבירות חלק מעילות הביקורת. ברם בהקשר זה עוד חזון למועד באשר להשלכותיו של התיקון, בין אם בין היתר בפיתוח עילות ביקורת מינהליות נוספות ובין אם בפיתוחן של אלו הקיימות (וראו בהקשר זה התייחסויות מטעם הכנסת הן בפסקאות 18-16 להשלמת הטיעון והן בפסקה 318 לתצהיר התשובה מטעמה).  </w:t>
      </w:r>
    </w:p>
    <w:p w:rsidR="00737972" w:rsidRPr="00AB4334" w:rsidRDefault="00737972" w:rsidP="00737972">
      <w:pPr>
        <w:pStyle w:val="Ruller41"/>
        <w:rPr>
          <w:rtl/>
        </w:rPr>
      </w:pPr>
    </w:p>
    <w:p w:rsidR="00737972" w:rsidRDefault="00737972" w:rsidP="00737972">
      <w:pPr>
        <w:pStyle w:val="Ruller4"/>
        <w:rPr>
          <w:rtl/>
        </w:rPr>
      </w:pPr>
      <w:r>
        <w:rPr>
          <w:rFonts w:hint="cs"/>
          <w:rtl/>
        </w:rPr>
        <w:t xml:space="preserve">ובאשר לטענת חלק מחבריי כי עילות הביקורת האחרות אינן יכולות לשמש "תחליף אפקטיבי" לעילת הסבירות. אין חולק שהיקף השימוש בעילת הסבירות הלך והתרחב עם השנים, ואין חולק כי התרחבות זו שימשה כר פורה לשיח משפטי נרחב וביקורתי. כך גם אין חולק כי אין בנמצא הגבלות קונקרטיות על השימוש שנעשה בעילת הסבירות כמקור להתערבות ו"מתחם הסבירות אינו אלא פרי יצירתו של בית המשפט עצמו, אשר ברצותו </w:t>
      </w:r>
      <w:r>
        <w:rPr>
          <w:rtl/>
        </w:rPr>
        <w:t>–</w:t>
      </w:r>
      <w:r>
        <w:rPr>
          <w:rFonts w:hint="cs"/>
          <w:rtl/>
        </w:rPr>
        <w:t xml:space="preserve"> מרחיב, וברצותו </w:t>
      </w:r>
      <w:r>
        <w:rPr>
          <w:rtl/>
        </w:rPr>
        <w:t>–</w:t>
      </w:r>
      <w:r>
        <w:rPr>
          <w:rFonts w:hint="cs"/>
          <w:rtl/>
        </w:rPr>
        <w:t xml:space="preserve"> מקצר" </w:t>
      </w:r>
      <w:r w:rsidRPr="009B3B29">
        <w:rPr>
          <w:rFonts w:hint="cs"/>
          <w:rtl/>
        </w:rPr>
        <w:t>(</w:t>
      </w:r>
      <w:r w:rsidRPr="00B6585B">
        <w:rPr>
          <w:rFonts w:hint="cs"/>
          <w:rtl/>
        </w:rPr>
        <w:t>דפנה</w:t>
      </w:r>
      <w:r>
        <w:rPr>
          <w:rFonts w:hint="cs"/>
          <w:rtl/>
        </w:rPr>
        <w:t xml:space="preserve"> </w:t>
      </w:r>
      <w:r w:rsidRPr="00B6585B">
        <w:rPr>
          <w:rFonts w:hint="cs"/>
          <w:rtl/>
        </w:rPr>
        <w:t>ברק</w:t>
      </w:r>
      <w:r>
        <w:rPr>
          <w:rFonts w:hint="cs"/>
          <w:rtl/>
        </w:rPr>
        <w:t>-</w:t>
      </w:r>
      <w:r w:rsidRPr="00B6585B">
        <w:rPr>
          <w:rFonts w:hint="cs"/>
          <w:rtl/>
        </w:rPr>
        <w:t xml:space="preserve">ארז </w:t>
      </w:r>
      <w:r w:rsidRPr="00B6585B">
        <w:rPr>
          <w:rFonts w:ascii="Century" w:hAnsi="Century" w:cs="Miriam" w:hint="cs"/>
          <w:spacing w:val="0"/>
          <w:sz w:val="22"/>
          <w:szCs w:val="24"/>
          <w:rtl/>
        </w:rPr>
        <w:t>משפט מינהלי</w:t>
      </w:r>
      <w:r w:rsidRPr="00B6585B">
        <w:rPr>
          <w:rFonts w:hint="cs"/>
          <w:rtl/>
        </w:rPr>
        <w:t xml:space="preserve"> כרך ב </w:t>
      </w:r>
      <w:r>
        <w:rPr>
          <w:rFonts w:hint="cs"/>
          <w:rtl/>
        </w:rPr>
        <w:t>764-763</w:t>
      </w:r>
      <w:r w:rsidRPr="009B3B29">
        <w:rPr>
          <w:rFonts w:hint="cs"/>
          <w:rtl/>
        </w:rPr>
        <w:t xml:space="preserve"> (2010)). אכן, אין חולק כי </w:t>
      </w:r>
      <w:r w:rsidRPr="008759D4">
        <w:rPr>
          <w:rFonts w:hint="cs"/>
          <w:rtl/>
        </w:rPr>
        <w:t>בניגוד לעילות בי</w:t>
      </w:r>
      <w:r>
        <w:rPr>
          <w:rFonts w:hint="cs"/>
          <w:rtl/>
        </w:rPr>
        <w:t>קורת אחרות "שהתכנים שלהן ותחומי התפרסותן הם מובנים ומוסכמים יחסית, הרי עילת הסבירות מרכזת אליה את עיקר המחלוקות המתודולוגיות והעקרוניות הנוגעות להיקף הביקורת המשפטית" (</w:t>
      </w:r>
      <w:r w:rsidRPr="00B6585B">
        <w:rPr>
          <w:rFonts w:ascii="Century" w:hAnsi="Century" w:cs="Miriam" w:hint="cs"/>
          <w:b/>
          <w:spacing w:val="0"/>
          <w:sz w:val="22"/>
          <w:szCs w:val="24"/>
          <w:rtl/>
        </w:rPr>
        <w:t>דותן, ביקורת שיפוטית</w:t>
      </w:r>
      <w:r>
        <w:rPr>
          <w:rFonts w:hint="cs"/>
          <w:rtl/>
        </w:rPr>
        <w:t xml:space="preserve">, עמ' 209). מנקודת מבט זו, מוקשית ביותר הטענה כי יתר עילות ההתערבות הן קונקרטיות מדי, מוגדרות מדי, כוללות קווי גזרה ברורים מדי, ולכן אין בכוחן למלא את החלל. אדרבה, הביקורת על עילת הסבירות מתמקדת בדיוק ברכיבים אלה </w:t>
      </w:r>
      <w:r>
        <w:rPr>
          <w:rtl/>
        </w:rPr>
        <w:t>–</w:t>
      </w:r>
      <w:r>
        <w:rPr>
          <w:rFonts w:hint="cs"/>
          <w:rtl/>
        </w:rPr>
        <w:t xml:space="preserve"> היותה חסרת גבולות גזרה, עמומה, מצויה ברמת הפשטה גבוהה ומעניקה לבית המשפט מנדט בלתי מוגבל בנושאים שלגביהם לאו דווקא עדיפה השקפתו (ראו למשל: יואב דותן "שני מושגים של ריסון </w:t>
      </w:r>
      <w:r>
        <w:rPr>
          <w:rtl/>
        </w:rPr>
        <w:t>–</w:t>
      </w:r>
      <w:r>
        <w:rPr>
          <w:rFonts w:hint="cs"/>
          <w:rtl/>
        </w:rPr>
        <w:t xml:space="preserve"> וסבירות" </w:t>
      </w:r>
      <w:r w:rsidRPr="005B6387">
        <w:rPr>
          <w:rFonts w:ascii="Century" w:hAnsi="Century" w:cs="Miriam" w:hint="eastAsia"/>
          <w:b/>
          <w:spacing w:val="0"/>
          <w:sz w:val="22"/>
          <w:szCs w:val="24"/>
          <w:rtl/>
        </w:rPr>
        <w:t>משפטים</w:t>
      </w:r>
      <w:r w:rsidRPr="00FC67B6">
        <w:rPr>
          <w:rFonts w:hint="cs"/>
          <w:rtl/>
        </w:rPr>
        <w:t xml:space="preserve"> </w:t>
      </w:r>
      <w:r>
        <w:rPr>
          <w:rFonts w:hint="cs"/>
          <w:rtl/>
        </w:rPr>
        <w:t xml:space="preserve">נא 673, 683 (2022); נעם סולברג "על ערכים סובייקטיביים ושופטים אובייקטיביים" </w:t>
      </w:r>
      <w:r w:rsidRPr="00B6585B">
        <w:rPr>
          <w:rFonts w:ascii="Century" w:hAnsi="Century" w:cs="Miriam" w:hint="cs"/>
          <w:b/>
          <w:spacing w:val="0"/>
          <w:sz w:val="22"/>
          <w:szCs w:val="24"/>
          <w:rtl/>
        </w:rPr>
        <w:t>השילוח</w:t>
      </w:r>
      <w:r w:rsidRPr="007738EF">
        <w:rPr>
          <w:rFonts w:hint="cs"/>
          <w:rtl/>
        </w:rPr>
        <w:t xml:space="preserve"> </w:t>
      </w:r>
      <w:r>
        <w:rPr>
          <w:rFonts w:hint="cs"/>
          <w:rtl/>
        </w:rPr>
        <w:t xml:space="preserve">18 (2020); </w:t>
      </w:r>
      <w:r w:rsidRPr="007738EF">
        <w:rPr>
          <w:rFonts w:hint="eastAsia"/>
          <w:rtl/>
        </w:rPr>
        <w:t>בג</w:t>
      </w:r>
      <w:r w:rsidRPr="007738EF">
        <w:rPr>
          <w:rtl/>
        </w:rPr>
        <w:t>"</w:t>
      </w:r>
      <w:r w:rsidRPr="007738EF">
        <w:rPr>
          <w:rFonts w:hint="eastAsia"/>
          <w:rtl/>
        </w:rPr>
        <w:t>ץ</w:t>
      </w:r>
      <w:r w:rsidRPr="007738EF">
        <w:rPr>
          <w:rtl/>
        </w:rPr>
        <w:t xml:space="preserve"> </w:t>
      </w:r>
      <w:r w:rsidRPr="007738EF">
        <w:rPr>
          <w:rtl/>
        </w:rPr>
        <w:lastRenderedPageBreak/>
        <w:t xml:space="preserve">5853/07 </w:t>
      </w:r>
      <w:r w:rsidRPr="00B6585B">
        <w:rPr>
          <w:rFonts w:ascii="Century" w:hAnsi="Century" w:cs="Miriam" w:hint="eastAsia"/>
          <w:b/>
          <w:spacing w:val="0"/>
          <w:sz w:val="22"/>
          <w:szCs w:val="24"/>
          <w:rtl/>
        </w:rPr>
        <w:t>אמונה</w:t>
      </w:r>
      <w:r w:rsidRPr="00B6585B">
        <w:rPr>
          <w:rFonts w:ascii="Century" w:hAnsi="Century" w:cs="Miriam"/>
          <w:b/>
          <w:spacing w:val="0"/>
          <w:sz w:val="22"/>
          <w:szCs w:val="24"/>
          <w:rtl/>
        </w:rPr>
        <w:t xml:space="preserve"> – </w:t>
      </w:r>
      <w:r w:rsidRPr="00B6585B">
        <w:rPr>
          <w:rFonts w:ascii="Century" w:hAnsi="Century" w:cs="Miriam" w:hint="eastAsia"/>
          <w:b/>
          <w:spacing w:val="0"/>
          <w:sz w:val="22"/>
          <w:szCs w:val="24"/>
          <w:rtl/>
        </w:rPr>
        <w:t>תנועת</w:t>
      </w:r>
      <w:r w:rsidRPr="00B6585B">
        <w:rPr>
          <w:rFonts w:ascii="Century" w:hAnsi="Century" w:cs="Miriam"/>
          <w:b/>
          <w:spacing w:val="0"/>
          <w:sz w:val="22"/>
          <w:szCs w:val="24"/>
          <w:rtl/>
        </w:rPr>
        <w:t xml:space="preserve"> </w:t>
      </w:r>
      <w:r w:rsidRPr="00B6585B">
        <w:rPr>
          <w:rFonts w:ascii="Century" w:hAnsi="Century" w:cs="Miriam" w:hint="eastAsia"/>
          <w:b/>
          <w:spacing w:val="0"/>
          <w:sz w:val="22"/>
          <w:szCs w:val="24"/>
          <w:rtl/>
        </w:rPr>
        <w:t>האשה</w:t>
      </w:r>
      <w:r w:rsidRPr="00B6585B">
        <w:rPr>
          <w:rFonts w:ascii="Century" w:hAnsi="Century" w:cs="Miriam"/>
          <w:b/>
          <w:spacing w:val="0"/>
          <w:sz w:val="22"/>
          <w:szCs w:val="24"/>
          <w:rtl/>
        </w:rPr>
        <w:t xml:space="preserve"> </w:t>
      </w:r>
      <w:r w:rsidRPr="00B6585B">
        <w:rPr>
          <w:rFonts w:ascii="Century" w:hAnsi="Century" w:cs="Miriam" w:hint="eastAsia"/>
          <w:b/>
          <w:spacing w:val="0"/>
          <w:sz w:val="22"/>
          <w:szCs w:val="24"/>
          <w:rtl/>
        </w:rPr>
        <w:t>הדתית</w:t>
      </w:r>
      <w:r w:rsidRPr="00B6585B">
        <w:rPr>
          <w:rFonts w:ascii="Century" w:hAnsi="Century" w:cs="Miriam"/>
          <w:b/>
          <w:spacing w:val="0"/>
          <w:sz w:val="22"/>
          <w:szCs w:val="24"/>
          <w:rtl/>
        </w:rPr>
        <w:t xml:space="preserve"> </w:t>
      </w:r>
      <w:r w:rsidRPr="00B6585B">
        <w:rPr>
          <w:rFonts w:ascii="Century" w:hAnsi="Century" w:cs="Miriam" w:hint="eastAsia"/>
          <w:b/>
          <w:spacing w:val="0"/>
          <w:sz w:val="22"/>
          <w:szCs w:val="24"/>
          <w:rtl/>
        </w:rPr>
        <w:t>לאומית</w:t>
      </w:r>
      <w:r w:rsidRPr="00B6585B">
        <w:rPr>
          <w:rFonts w:ascii="Century" w:hAnsi="Century" w:cs="Miriam"/>
          <w:b/>
          <w:spacing w:val="0"/>
          <w:sz w:val="22"/>
          <w:szCs w:val="24"/>
          <w:rtl/>
        </w:rPr>
        <w:t xml:space="preserve"> </w:t>
      </w:r>
      <w:r w:rsidRPr="00B6585B">
        <w:rPr>
          <w:rFonts w:ascii="Century" w:hAnsi="Century" w:cs="Miriam" w:hint="eastAsia"/>
          <w:b/>
          <w:spacing w:val="0"/>
          <w:sz w:val="22"/>
          <w:szCs w:val="24"/>
          <w:rtl/>
        </w:rPr>
        <w:t>נ</w:t>
      </w:r>
      <w:r w:rsidRPr="00B6585B">
        <w:rPr>
          <w:rFonts w:ascii="Century" w:hAnsi="Century" w:cs="Miriam"/>
          <w:b/>
          <w:spacing w:val="0"/>
          <w:sz w:val="22"/>
          <w:szCs w:val="24"/>
          <w:rtl/>
        </w:rPr>
        <w:t xml:space="preserve">' </w:t>
      </w:r>
      <w:r w:rsidRPr="00B6585B">
        <w:rPr>
          <w:rFonts w:ascii="Century" w:hAnsi="Century" w:cs="Miriam" w:hint="eastAsia"/>
          <w:b/>
          <w:spacing w:val="0"/>
          <w:sz w:val="22"/>
          <w:szCs w:val="24"/>
          <w:rtl/>
        </w:rPr>
        <w:t>ראש</w:t>
      </w:r>
      <w:r w:rsidRPr="00B6585B">
        <w:rPr>
          <w:rFonts w:ascii="Century" w:hAnsi="Century" w:cs="Miriam"/>
          <w:b/>
          <w:spacing w:val="0"/>
          <w:sz w:val="22"/>
          <w:szCs w:val="24"/>
          <w:rtl/>
        </w:rPr>
        <w:t xml:space="preserve"> </w:t>
      </w:r>
      <w:r w:rsidRPr="00B6585B">
        <w:rPr>
          <w:rFonts w:ascii="Century" w:hAnsi="Century" w:cs="Miriam" w:hint="eastAsia"/>
          <w:b/>
          <w:spacing w:val="0"/>
          <w:sz w:val="22"/>
          <w:szCs w:val="24"/>
          <w:rtl/>
        </w:rPr>
        <w:t>הממשלה</w:t>
      </w:r>
      <w:r>
        <w:rPr>
          <w:rFonts w:ascii="Century" w:hAnsi="Century" w:cs="Miriam" w:hint="cs"/>
          <w:b/>
          <w:spacing w:val="0"/>
          <w:sz w:val="22"/>
          <w:szCs w:val="24"/>
          <w:rtl/>
        </w:rPr>
        <w:t>, אהוד אולמרט</w:t>
      </w:r>
      <w:r>
        <w:rPr>
          <w:rFonts w:hint="cs"/>
          <w:rtl/>
        </w:rPr>
        <w:t xml:space="preserve">, </w:t>
      </w:r>
      <w:r w:rsidRPr="007738EF">
        <w:rPr>
          <w:rFonts w:hint="eastAsia"/>
          <w:rtl/>
        </w:rPr>
        <w:t>פ</w:t>
      </w:r>
      <w:r w:rsidRPr="007738EF">
        <w:rPr>
          <w:rtl/>
        </w:rPr>
        <w:t>"</w:t>
      </w:r>
      <w:r w:rsidRPr="007738EF">
        <w:rPr>
          <w:rFonts w:hint="eastAsia"/>
          <w:rtl/>
        </w:rPr>
        <w:t>ד</w:t>
      </w:r>
      <w:r w:rsidRPr="007738EF">
        <w:rPr>
          <w:rtl/>
        </w:rPr>
        <w:t xml:space="preserve"> </w:t>
      </w:r>
      <w:r w:rsidRPr="007738EF">
        <w:rPr>
          <w:rFonts w:hint="eastAsia"/>
          <w:rtl/>
        </w:rPr>
        <w:t>סב</w:t>
      </w:r>
      <w:r w:rsidRPr="007738EF">
        <w:rPr>
          <w:rtl/>
        </w:rPr>
        <w:t xml:space="preserve">(3) 445, </w:t>
      </w:r>
      <w:r>
        <w:rPr>
          <w:rFonts w:hint="cs"/>
          <w:rtl/>
        </w:rPr>
        <w:t>525-521</w:t>
      </w:r>
      <w:r w:rsidRPr="007738EF">
        <w:rPr>
          <w:rtl/>
        </w:rPr>
        <w:t xml:space="preserve"> (</w:t>
      </w:r>
      <w:r>
        <w:rPr>
          <w:rFonts w:hint="cs"/>
          <w:rtl/>
        </w:rPr>
        <w:t>2008-2007</w:t>
      </w:r>
      <w:r w:rsidRPr="007738EF">
        <w:rPr>
          <w:rtl/>
        </w:rPr>
        <w:t>)</w:t>
      </w:r>
      <w:r>
        <w:rPr>
          <w:rFonts w:hint="cs"/>
          <w:rtl/>
        </w:rPr>
        <w:t xml:space="preserve">; </w:t>
      </w:r>
      <w:r w:rsidRPr="007738EF">
        <w:rPr>
          <w:rFonts w:hint="eastAsia"/>
          <w:rtl/>
        </w:rPr>
        <w:t>בג</w:t>
      </w:r>
      <w:r>
        <w:rPr>
          <w:rFonts w:hint="cs"/>
          <w:rtl/>
        </w:rPr>
        <w:t>"</w:t>
      </w:r>
      <w:r w:rsidRPr="007738EF">
        <w:rPr>
          <w:rFonts w:hint="eastAsia"/>
          <w:rtl/>
        </w:rPr>
        <w:t>ץ</w:t>
      </w:r>
      <w:r w:rsidRPr="007738EF">
        <w:rPr>
          <w:rtl/>
        </w:rPr>
        <w:t xml:space="preserve"> 43/16 </w:t>
      </w:r>
      <w:r w:rsidRPr="00B6585B">
        <w:rPr>
          <w:rFonts w:ascii="Century" w:hAnsi="Century" w:cs="Miriam" w:hint="eastAsia"/>
          <w:b/>
          <w:spacing w:val="0"/>
          <w:sz w:val="22"/>
          <w:szCs w:val="24"/>
          <w:rtl/>
        </w:rPr>
        <w:t>תנועת</w:t>
      </w:r>
      <w:r w:rsidRPr="00B6585B">
        <w:rPr>
          <w:rFonts w:ascii="Century" w:hAnsi="Century" w:cs="Miriam"/>
          <w:b/>
          <w:spacing w:val="0"/>
          <w:sz w:val="22"/>
          <w:szCs w:val="24"/>
          <w:rtl/>
        </w:rPr>
        <w:t xml:space="preserve"> </w:t>
      </w:r>
      <w:r w:rsidRPr="00B6585B">
        <w:rPr>
          <w:rFonts w:ascii="Century" w:hAnsi="Century" w:cs="Miriam" w:hint="eastAsia"/>
          <w:b/>
          <w:spacing w:val="0"/>
          <w:sz w:val="22"/>
          <w:szCs w:val="24"/>
          <w:rtl/>
        </w:rPr>
        <w:t>אומ</w:t>
      </w:r>
      <w:r w:rsidRPr="00B6585B">
        <w:rPr>
          <w:rFonts w:ascii="Century" w:hAnsi="Century" w:cs="Miriam"/>
          <w:b/>
          <w:spacing w:val="0"/>
          <w:sz w:val="22"/>
          <w:szCs w:val="24"/>
          <w:rtl/>
        </w:rPr>
        <w:t>"</w:t>
      </w:r>
      <w:r w:rsidRPr="00B6585B">
        <w:rPr>
          <w:rFonts w:ascii="Century" w:hAnsi="Century" w:cs="Miriam" w:hint="eastAsia"/>
          <w:b/>
          <w:spacing w:val="0"/>
          <w:sz w:val="22"/>
          <w:szCs w:val="24"/>
          <w:rtl/>
        </w:rPr>
        <w:t>ץ</w:t>
      </w:r>
      <w:r w:rsidRPr="00B6585B">
        <w:rPr>
          <w:rFonts w:ascii="Century" w:hAnsi="Century" w:cs="Miriam"/>
          <w:b/>
          <w:spacing w:val="0"/>
          <w:sz w:val="22"/>
          <w:szCs w:val="24"/>
          <w:rtl/>
        </w:rPr>
        <w:t xml:space="preserve"> </w:t>
      </w:r>
      <w:r w:rsidRPr="00B6585B">
        <w:rPr>
          <w:rFonts w:ascii="Century" w:hAnsi="Century" w:cs="Miriam" w:hint="eastAsia"/>
          <w:b/>
          <w:spacing w:val="0"/>
          <w:sz w:val="22"/>
          <w:szCs w:val="24"/>
          <w:rtl/>
        </w:rPr>
        <w:t>אזרחים</w:t>
      </w:r>
      <w:r w:rsidRPr="00B6585B">
        <w:rPr>
          <w:rFonts w:ascii="Century" w:hAnsi="Century" w:cs="Miriam"/>
          <w:b/>
          <w:spacing w:val="0"/>
          <w:sz w:val="22"/>
          <w:szCs w:val="24"/>
          <w:rtl/>
        </w:rPr>
        <w:t xml:space="preserve"> </w:t>
      </w:r>
      <w:r w:rsidRPr="00B6585B">
        <w:rPr>
          <w:rFonts w:ascii="Century" w:hAnsi="Century" w:cs="Miriam" w:hint="eastAsia"/>
          <w:b/>
          <w:spacing w:val="0"/>
          <w:sz w:val="22"/>
          <w:szCs w:val="24"/>
          <w:rtl/>
        </w:rPr>
        <w:t>למען</w:t>
      </w:r>
      <w:r w:rsidRPr="00B6585B">
        <w:rPr>
          <w:rFonts w:ascii="Century" w:hAnsi="Century" w:cs="Miriam"/>
          <w:b/>
          <w:spacing w:val="0"/>
          <w:sz w:val="22"/>
          <w:szCs w:val="24"/>
          <w:rtl/>
        </w:rPr>
        <w:t xml:space="preserve"> </w:t>
      </w:r>
      <w:r w:rsidRPr="00B6585B">
        <w:rPr>
          <w:rFonts w:ascii="Century" w:hAnsi="Century" w:cs="Miriam" w:hint="eastAsia"/>
          <w:b/>
          <w:spacing w:val="0"/>
          <w:sz w:val="22"/>
          <w:szCs w:val="24"/>
          <w:rtl/>
        </w:rPr>
        <w:t>מינהל</w:t>
      </w:r>
      <w:r w:rsidRPr="00B6585B">
        <w:rPr>
          <w:rFonts w:ascii="Century" w:hAnsi="Century" w:cs="Miriam"/>
          <w:b/>
          <w:spacing w:val="0"/>
          <w:sz w:val="22"/>
          <w:szCs w:val="24"/>
          <w:rtl/>
        </w:rPr>
        <w:t xml:space="preserve"> </w:t>
      </w:r>
      <w:r w:rsidRPr="00B6585B">
        <w:rPr>
          <w:rFonts w:ascii="Century" w:hAnsi="Century" w:cs="Miriam" w:hint="eastAsia"/>
          <w:b/>
          <w:spacing w:val="0"/>
          <w:sz w:val="22"/>
          <w:szCs w:val="24"/>
          <w:rtl/>
        </w:rPr>
        <w:t>תקין</w:t>
      </w:r>
      <w:r w:rsidRPr="00B6585B">
        <w:rPr>
          <w:rFonts w:ascii="Century" w:hAnsi="Century" w:cs="Miriam"/>
          <w:b/>
          <w:spacing w:val="0"/>
          <w:sz w:val="22"/>
          <w:szCs w:val="24"/>
          <w:rtl/>
        </w:rPr>
        <w:t xml:space="preserve"> </w:t>
      </w:r>
      <w:r w:rsidRPr="00B6585B">
        <w:rPr>
          <w:rFonts w:ascii="Century" w:hAnsi="Century" w:cs="Miriam" w:hint="eastAsia"/>
          <w:b/>
          <w:spacing w:val="0"/>
          <w:sz w:val="22"/>
          <w:szCs w:val="24"/>
          <w:rtl/>
        </w:rPr>
        <w:t>וצדק</w:t>
      </w:r>
      <w:r w:rsidRPr="00B6585B">
        <w:rPr>
          <w:rFonts w:ascii="Century" w:hAnsi="Century" w:cs="Miriam"/>
          <w:b/>
          <w:spacing w:val="0"/>
          <w:sz w:val="22"/>
          <w:szCs w:val="24"/>
          <w:rtl/>
        </w:rPr>
        <w:t xml:space="preserve"> </w:t>
      </w:r>
      <w:r w:rsidRPr="00B6585B">
        <w:rPr>
          <w:rFonts w:ascii="Century" w:hAnsi="Century" w:cs="Miriam" w:hint="eastAsia"/>
          <w:b/>
          <w:spacing w:val="0"/>
          <w:sz w:val="22"/>
          <w:szCs w:val="24"/>
          <w:rtl/>
        </w:rPr>
        <w:t>חברתי</w:t>
      </w:r>
      <w:r w:rsidRPr="00B6585B">
        <w:rPr>
          <w:rFonts w:ascii="Century" w:hAnsi="Century" w:cs="Miriam"/>
          <w:b/>
          <w:spacing w:val="0"/>
          <w:sz w:val="22"/>
          <w:szCs w:val="24"/>
          <w:rtl/>
        </w:rPr>
        <w:t xml:space="preserve"> </w:t>
      </w:r>
      <w:r w:rsidRPr="00B6585B">
        <w:rPr>
          <w:rFonts w:ascii="Century" w:hAnsi="Century" w:cs="Miriam" w:hint="eastAsia"/>
          <w:b/>
          <w:spacing w:val="0"/>
          <w:sz w:val="22"/>
          <w:szCs w:val="24"/>
          <w:rtl/>
        </w:rPr>
        <w:t>ומשפטי</w:t>
      </w:r>
      <w:r w:rsidRPr="00B6585B">
        <w:rPr>
          <w:rFonts w:ascii="Century" w:hAnsi="Century" w:cs="Miriam"/>
          <w:b/>
          <w:spacing w:val="0"/>
          <w:sz w:val="22"/>
          <w:szCs w:val="24"/>
          <w:rtl/>
        </w:rPr>
        <w:t xml:space="preserve"> </w:t>
      </w:r>
      <w:r w:rsidRPr="00B6585B">
        <w:rPr>
          <w:rFonts w:ascii="Century" w:hAnsi="Century" w:cs="Miriam" w:hint="eastAsia"/>
          <w:b/>
          <w:spacing w:val="0"/>
          <w:sz w:val="22"/>
          <w:szCs w:val="24"/>
          <w:rtl/>
        </w:rPr>
        <w:t>נ</w:t>
      </w:r>
      <w:r w:rsidRPr="00B6585B">
        <w:rPr>
          <w:rFonts w:ascii="Century" w:hAnsi="Century" w:cs="Miriam"/>
          <w:b/>
          <w:spacing w:val="0"/>
          <w:sz w:val="22"/>
          <w:szCs w:val="24"/>
          <w:rtl/>
        </w:rPr>
        <w:t xml:space="preserve">' </w:t>
      </w:r>
      <w:r w:rsidRPr="00B6585B">
        <w:rPr>
          <w:rFonts w:ascii="Century" w:hAnsi="Century" w:cs="Miriam" w:hint="eastAsia"/>
          <w:b/>
          <w:spacing w:val="0"/>
          <w:sz w:val="22"/>
          <w:szCs w:val="24"/>
          <w:rtl/>
        </w:rPr>
        <w:t>ממשלת</w:t>
      </w:r>
      <w:r w:rsidRPr="00B6585B">
        <w:rPr>
          <w:rFonts w:ascii="Century" w:hAnsi="Century" w:cs="Miriam"/>
          <w:b/>
          <w:spacing w:val="0"/>
          <w:sz w:val="22"/>
          <w:szCs w:val="24"/>
          <w:rtl/>
        </w:rPr>
        <w:t xml:space="preserve"> </w:t>
      </w:r>
      <w:r w:rsidRPr="00B6585B">
        <w:rPr>
          <w:rFonts w:ascii="Century" w:hAnsi="Century" w:cs="Miriam" w:hint="eastAsia"/>
          <w:b/>
          <w:spacing w:val="0"/>
          <w:sz w:val="22"/>
          <w:szCs w:val="24"/>
          <w:rtl/>
        </w:rPr>
        <w:t>ישראל</w:t>
      </w:r>
      <w:r>
        <w:rPr>
          <w:rFonts w:hint="cs"/>
          <w:rtl/>
        </w:rPr>
        <w:t xml:space="preserve">, פסקה 15 לחוות דעתו של השופט </w:t>
      </w:r>
      <w:r w:rsidRPr="005B6387">
        <w:rPr>
          <w:rFonts w:ascii="Century" w:hAnsi="Century" w:cs="Miriam" w:hint="eastAsia"/>
          <w:b/>
          <w:spacing w:val="0"/>
          <w:sz w:val="22"/>
          <w:szCs w:val="24"/>
          <w:rtl/>
        </w:rPr>
        <w:t>נ</w:t>
      </w:r>
      <w:r w:rsidRPr="005B6387">
        <w:rPr>
          <w:rFonts w:ascii="Century" w:hAnsi="Century" w:cs="Miriam"/>
          <w:b/>
          <w:spacing w:val="0"/>
          <w:sz w:val="22"/>
          <w:szCs w:val="24"/>
          <w:rtl/>
        </w:rPr>
        <w:t xml:space="preserve">' </w:t>
      </w:r>
      <w:r w:rsidRPr="005B6387">
        <w:rPr>
          <w:rFonts w:ascii="Century" w:hAnsi="Century" w:cs="Miriam" w:hint="eastAsia"/>
          <w:b/>
          <w:spacing w:val="0"/>
          <w:sz w:val="22"/>
          <w:szCs w:val="24"/>
          <w:rtl/>
        </w:rPr>
        <w:t>סולברג</w:t>
      </w:r>
      <w:r w:rsidRPr="00FC67B6">
        <w:rPr>
          <w:rFonts w:hint="cs"/>
          <w:rtl/>
        </w:rPr>
        <w:t xml:space="preserve"> </w:t>
      </w:r>
      <w:r>
        <w:rPr>
          <w:rFonts w:hint="cs"/>
          <w:rtl/>
        </w:rPr>
        <w:t>(1.3.2016)). הטענה כי "עמימות" זו עדיפה דווקא משום שהיא נותנת לבית המשפט כר רחב להתערבות שאינו מנת חלקן של יתר עילות ההתערבות, רק ממחישה את הבעייתיות הטמונה בעילה זו ומחדדת את הביקורת על בית משפט זה בעיצובן של עילות ביקורת שאין להן כמעט גבול.</w:t>
      </w:r>
    </w:p>
    <w:p w:rsidR="00737972" w:rsidRDefault="00737972" w:rsidP="00737972">
      <w:pPr>
        <w:pStyle w:val="Ruller41"/>
        <w:rPr>
          <w:rFonts w:ascii="Garamond" w:hAnsi="Garamond"/>
          <w:sz w:val="24"/>
          <w:rtl/>
        </w:rPr>
      </w:pPr>
    </w:p>
    <w:p w:rsidR="00737972" w:rsidRDefault="00737972" w:rsidP="00737972">
      <w:pPr>
        <w:pStyle w:val="Ruller4"/>
        <w:rPr>
          <w:rtl/>
        </w:rPr>
      </w:pPr>
      <w:r>
        <w:rPr>
          <w:rFonts w:hint="cs"/>
          <w:rtl/>
        </w:rPr>
        <w:t xml:space="preserve">ומעל הכל, יש לזכור כי עצם הגבלת היקף הביקורת השיפוטית על ידי בית משפט זה בהתייחס לעילת התערבות מינהלית שכולה "יציר הפסיקה", איננה מהווה משום "חציית גבול" מצד המחוקק או המכונן. </w:t>
      </w:r>
      <w:r w:rsidRPr="00BD5988">
        <w:rPr>
          <w:rFonts w:ascii="Century" w:hAnsi="Century" w:hint="eastAsia"/>
          <w:rtl/>
        </w:rPr>
        <w:t>הנחת</w:t>
      </w:r>
      <w:r w:rsidRPr="00BD5988">
        <w:rPr>
          <w:rFonts w:ascii="Century" w:hAnsi="Century"/>
          <w:rtl/>
        </w:rPr>
        <w:t xml:space="preserve"> </w:t>
      </w:r>
      <w:r w:rsidRPr="00BD5988">
        <w:rPr>
          <w:rFonts w:ascii="Century" w:hAnsi="Century" w:hint="eastAsia"/>
          <w:rtl/>
        </w:rPr>
        <w:t>היסוד</w:t>
      </w:r>
      <w:r w:rsidRPr="00BD5988">
        <w:rPr>
          <w:rFonts w:ascii="Century" w:hAnsi="Century"/>
          <w:rtl/>
        </w:rPr>
        <w:t xml:space="preserve"> </w:t>
      </w:r>
      <w:r w:rsidRPr="00BD5988">
        <w:rPr>
          <w:rFonts w:ascii="Century" w:hAnsi="Century" w:hint="eastAsia"/>
          <w:rtl/>
        </w:rPr>
        <w:t>היא</w:t>
      </w:r>
      <w:r w:rsidRPr="00BD5988">
        <w:rPr>
          <w:rFonts w:ascii="Century" w:hAnsi="Century"/>
          <w:rtl/>
        </w:rPr>
        <w:t xml:space="preserve"> </w:t>
      </w:r>
      <w:r w:rsidRPr="00BD5988">
        <w:rPr>
          <w:rFonts w:ascii="Century" w:hAnsi="Century" w:hint="eastAsia"/>
          <w:rtl/>
        </w:rPr>
        <w:t>כי</w:t>
      </w:r>
      <w:r w:rsidRPr="00BD5988">
        <w:rPr>
          <w:rFonts w:ascii="Century" w:hAnsi="Century"/>
          <w:rtl/>
        </w:rPr>
        <w:t xml:space="preserve"> </w:t>
      </w:r>
      <w:r w:rsidRPr="00BD5988">
        <w:rPr>
          <w:rFonts w:ascii="Century" w:hAnsi="Century" w:hint="eastAsia"/>
          <w:rtl/>
        </w:rPr>
        <w:t>המחוקק</w:t>
      </w:r>
      <w:r w:rsidRPr="00BD5988">
        <w:rPr>
          <w:rFonts w:ascii="Century" w:hAnsi="Century"/>
          <w:rtl/>
        </w:rPr>
        <w:t xml:space="preserve"> </w:t>
      </w:r>
      <w:r w:rsidRPr="00BD5988">
        <w:rPr>
          <w:rFonts w:ascii="Century" w:hAnsi="Century" w:hint="eastAsia"/>
          <w:rtl/>
        </w:rPr>
        <w:t>רשאי</w:t>
      </w:r>
      <w:r w:rsidRPr="00BD5988">
        <w:rPr>
          <w:rFonts w:ascii="Century" w:hAnsi="Century"/>
          <w:rtl/>
        </w:rPr>
        <w:t xml:space="preserve"> </w:t>
      </w:r>
      <w:r>
        <w:rPr>
          <w:rFonts w:hint="cs"/>
          <w:rtl/>
        </w:rPr>
        <w:t xml:space="preserve">להגיב להתפתחות כלל פסיקתי. ברי כי לכנסת הסמכות "להגיב" לגבי עיצוב היקף הביקורת השיפוטית במישור הפעולה שבין שתי הרשויות: הרשות השופטת והרשות המבצעת. התערבות מעין זו, ברמת העיקרון, אף מתחייבת מכוח העקרונות הדמוקרטים </w:t>
      </w:r>
      <w:r w:rsidRPr="00BD5988">
        <w:rPr>
          <w:rFonts w:ascii="Century" w:hAnsi="Century"/>
          <w:rtl/>
        </w:rPr>
        <w:t>(</w:t>
      </w:r>
      <w:r w:rsidRPr="00BD5988">
        <w:rPr>
          <w:rFonts w:ascii="Century" w:hAnsi="Century" w:cs="Miriam" w:hint="eastAsia"/>
          <w:b/>
          <w:spacing w:val="0"/>
          <w:szCs w:val="24"/>
          <w:rtl/>
        </w:rPr>
        <w:t>דותן</w:t>
      </w:r>
      <w:r w:rsidRPr="00BD5988">
        <w:rPr>
          <w:rFonts w:ascii="Century" w:hAnsi="Century" w:cs="Miriam"/>
          <w:b/>
          <w:spacing w:val="0"/>
          <w:szCs w:val="24"/>
          <w:rtl/>
        </w:rPr>
        <w:t xml:space="preserve">, </w:t>
      </w:r>
      <w:r w:rsidRPr="00BD5988">
        <w:rPr>
          <w:rFonts w:ascii="Century" w:hAnsi="Century" w:cs="Miriam" w:hint="eastAsia"/>
          <w:b/>
          <w:spacing w:val="0"/>
          <w:szCs w:val="24"/>
          <w:rtl/>
        </w:rPr>
        <w:t>ביקורת</w:t>
      </w:r>
      <w:r w:rsidRPr="00BD5988">
        <w:rPr>
          <w:rFonts w:ascii="Century" w:hAnsi="Century" w:cs="Miriam"/>
          <w:b/>
          <w:spacing w:val="0"/>
          <w:szCs w:val="24"/>
          <w:rtl/>
        </w:rPr>
        <w:t xml:space="preserve"> </w:t>
      </w:r>
      <w:r w:rsidRPr="00BD5988">
        <w:rPr>
          <w:rFonts w:ascii="Century" w:hAnsi="Century" w:cs="Miriam" w:hint="eastAsia"/>
          <w:b/>
          <w:spacing w:val="0"/>
          <w:szCs w:val="24"/>
          <w:rtl/>
        </w:rPr>
        <w:t>שיפוטית</w:t>
      </w:r>
      <w:r>
        <w:rPr>
          <w:rFonts w:ascii="Century" w:hAnsi="Century" w:hint="cs"/>
          <w:rtl/>
        </w:rPr>
        <w:t>, עמ' 238</w:t>
      </w:r>
      <w:r w:rsidRPr="00BD5988">
        <w:rPr>
          <w:rFonts w:ascii="Century" w:hAnsi="Century"/>
          <w:rtl/>
        </w:rPr>
        <w:t>).</w:t>
      </w:r>
    </w:p>
    <w:p w:rsidR="00737972" w:rsidRDefault="00737972" w:rsidP="00737972">
      <w:pPr>
        <w:pStyle w:val="Ruller41"/>
        <w:rPr>
          <w:rtl/>
        </w:rPr>
      </w:pPr>
    </w:p>
    <w:p w:rsidR="00737972" w:rsidRDefault="00737972" w:rsidP="00737972">
      <w:pPr>
        <w:pStyle w:val="Ruller4"/>
      </w:pPr>
      <w:r>
        <w:rPr>
          <w:rFonts w:hint="cs"/>
          <w:rtl/>
        </w:rPr>
        <w:t>אוסיף בהקשר זה כי ההצדקה לביקורת חוקתית נשענת לא מעט על ההנחה כי פסיקת בית משפט זה איננה "סוף פסוק חוקתי" שכן לכנסת עומדת הסמכות להשיב את המצב לקדמותו באמצעות חקיקה, אם פסיקת בית המשפט אינה מקובלת עליה (</w:t>
      </w:r>
      <w:r>
        <w:rPr>
          <w:rFonts w:hint="eastAsia"/>
          <w:rtl/>
        </w:rPr>
        <w:t>סוזי</w:t>
      </w:r>
      <w:r>
        <w:rPr>
          <w:rtl/>
        </w:rPr>
        <w:t xml:space="preserve"> </w:t>
      </w:r>
      <w:r>
        <w:rPr>
          <w:rFonts w:hint="eastAsia"/>
          <w:rtl/>
        </w:rPr>
        <w:t>נבות</w:t>
      </w:r>
      <w:r>
        <w:rPr>
          <w:rtl/>
        </w:rPr>
        <w:t xml:space="preserve"> "</w:t>
      </w:r>
      <w:r>
        <w:rPr>
          <w:rFonts w:hint="eastAsia"/>
          <w:rtl/>
        </w:rPr>
        <w:t>הדיאלוג</w:t>
      </w:r>
      <w:r>
        <w:rPr>
          <w:rtl/>
        </w:rPr>
        <w:t xml:space="preserve"> </w:t>
      </w:r>
      <w:r>
        <w:rPr>
          <w:rFonts w:hint="eastAsia"/>
          <w:rtl/>
        </w:rPr>
        <w:t>החוקתי</w:t>
      </w:r>
      <w:r>
        <w:rPr>
          <w:rtl/>
        </w:rPr>
        <w:t xml:space="preserve">: </w:t>
      </w:r>
      <w:r>
        <w:rPr>
          <w:rFonts w:hint="eastAsia"/>
          <w:rtl/>
        </w:rPr>
        <w:t>דו</w:t>
      </w:r>
      <w:r>
        <w:rPr>
          <w:rtl/>
        </w:rPr>
        <w:t>-</w:t>
      </w:r>
      <w:r>
        <w:rPr>
          <w:rFonts w:hint="eastAsia"/>
          <w:rtl/>
        </w:rPr>
        <w:t>שיח</w:t>
      </w:r>
      <w:r>
        <w:rPr>
          <w:rtl/>
        </w:rPr>
        <w:t xml:space="preserve"> </w:t>
      </w:r>
      <w:r>
        <w:rPr>
          <w:rFonts w:hint="eastAsia"/>
          <w:rtl/>
        </w:rPr>
        <w:t>בכלים</w:t>
      </w:r>
      <w:r>
        <w:rPr>
          <w:rtl/>
        </w:rPr>
        <w:t xml:space="preserve"> </w:t>
      </w:r>
      <w:r>
        <w:rPr>
          <w:rFonts w:hint="eastAsia"/>
          <w:rtl/>
        </w:rPr>
        <w:t>מוסדיים</w:t>
      </w:r>
      <w:r>
        <w:rPr>
          <w:rtl/>
        </w:rPr>
        <w:t xml:space="preserve">" </w:t>
      </w:r>
      <w:r w:rsidRPr="00106214">
        <w:rPr>
          <w:rFonts w:ascii="Century" w:hAnsi="Century" w:cs="Miriam" w:hint="eastAsia"/>
          <w:b/>
          <w:spacing w:val="0"/>
          <w:szCs w:val="24"/>
          <w:rtl/>
        </w:rPr>
        <w:t>משפטים</w:t>
      </w:r>
      <w:r w:rsidRPr="00106214">
        <w:rPr>
          <w:rFonts w:ascii="Century" w:hAnsi="Century" w:cs="Miriam"/>
          <w:b/>
          <w:spacing w:val="0"/>
          <w:szCs w:val="24"/>
          <w:rtl/>
        </w:rPr>
        <w:t xml:space="preserve"> </w:t>
      </w:r>
      <w:r w:rsidRPr="00106214">
        <w:rPr>
          <w:rFonts w:ascii="Century" w:hAnsi="Century" w:cs="Miriam" w:hint="eastAsia"/>
          <w:b/>
          <w:spacing w:val="0"/>
          <w:szCs w:val="24"/>
          <w:rtl/>
        </w:rPr>
        <w:t>על</w:t>
      </w:r>
      <w:r w:rsidRPr="00106214">
        <w:rPr>
          <w:rFonts w:ascii="Century" w:hAnsi="Century" w:cs="Miriam"/>
          <w:b/>
          <w:spacing w:val="0"/>
          <w:szCs w:val="24"/>
          <w:rtl/>
        </w:rPr>
        <w:t xml:space="preserve"> </w:t>
      </w:r>
      <w:r w:rsidRPr="00106214">
        <w:rPr>
          <w:rFonts w:ascii="Century" w:hAnsi="Century" w:cs="Miriam" w:hint="eastAsia"/>
          <w:b/>
          <w:spacing w:val="0"/>
          <w:szCs w:val="24"/>
          <w:rtl/>
        </w:rPr>
        <w:t>אתר</w:t>
      </w:r>
      <w:r w:rsidRPr="00106214">
        <w:rPr>
          <w:rtl/>
        </w:rPr>
        <w:t xml:space="preserve"> </w:t>
      </w:r>
      <w:r>
        <w:rPr>
          <w:rFonts w:hint="eastAsia"/>
          <w:rtl/>
        </w:rPr>
        <w:t>יב</w:t>
      </w:r>
      <w:r>
        <w:rPr>
          <w:rtl/>
        </w:rPr>
        <w:t xml:space="preserve"> 99, 106 (</w:t>
      </w:r>
      <w:r>
        <w:rPr>
          <w:rFonts w:hint="cs"/>
          <w:rtl/>
        </w:rPr>
        <w:t>2018</w:t>
      </w:r>
      <w:r>
        <w:rPr>
          <w:rtl/>
        </w:rPr>
        <w:t>)</w:t>
      </w:r>
      <w:r>
        <w:rPr>
          <w:rFonts w:hint="cs"/>
          <w:rtl/>
        </w:rPr>
        <w:t xml:space="preserve">; ראו גם: </w:t>
      </w:r>
      <w:r w:rsidRPr="00AA186E">
        <w:rPr>
          <w:rFonts w:ascii="Century" w:hAnsi="Century" w:cs="Miriam" w:hint="eastAsia"/>
          <w:b/>
          <w:spacing w:val="0"/>
          <w:szCs w:val="24"/>
          <w:rtl/>
        </w:rPr>
        <w:t>דותן</w:t>
      </w:r>
      <w:r w:rsidRPr="00AA186E">
        <w:rPr>
          <w:rFonts w:ascii="Century" w:hAnsi="Century" w:cs="Miriam"/>
          <w:b/>
          <w:spacing w:val="0"/>
          <w:szCs w:val="24"/>
          <w:rtl/>
        </w:rPr>
        <w:t xml:space="preserve">, </w:t>
      </w:r>
      <w:r w:rsidRPr="00AA186E">
        <w:rPr>
          <w:rFonts w:ascii="Century" w:hAnsi="Century" w:cs="Miriam" w:hint="eastAsia"/>
          <w:b/>
          <w:spacing w:val="0"/>
          <w:szCs w:val="24"/>
          <w:rtl/>
        </w:rPr>
        <w:t>חוקה</w:t>
      </w:r>
      <w:r w:rsidRPr="00AA186E">
        <w:rPr>
          <w:rFonts w:ascii="Century" w:hAnsi="Century" w:cs="Miriam"/>
          <w:b/>
          <w:spacing w:val="0"/>
          <w:szCs w:val="24"/>
          <w:rtl/>
        </w:rPr>
        <w:t xml:space="preserve"> </w:t>
      </w:r>
      <w:r w:rsidRPr="00AA186E">
        <w:rPr>
          <w:rFonts w:ascii="Century" w:hAnsi="Century" w:cs="Miriam" w:hint="eastAsia"/>
          <w:b/>
          <w:spacing w:val="0"/>
          <w:szCs w:val="24"/>
          <w:rtl/>
        </w:rPr>
        <w:t>למדינת</w:t>
      </w:r>
      <w:r w:rsidRPr="00AA186E">
        <w:rPr>
          <w:rFonts w:ascii="Century" w:hAnsi="Century" w:cs="Miriam"/>
          <w:b/>
          <w:spacing w:val="0"/>
          <w:szCs w:val="24"/>
          <w:rtl/>
        </w:rPr>
        <w:t xml:space="preserve"> </w:t>
      </w:r>
      <w:r w:rsidRPr="00AA186E">
        <w:rPr>
          <w:rFonts w:ascii="Century" w:hAnsi="Century" w:cs="Miriam" w:hint="eastAsia"/>
          <w:b/>
          <w:spacing w:val="0"/>
          <w:szCs w:val="24"/>
          <w:rtl/>
        </w:rPr>
        <w:t>ישראל</w:t>
      </w:r>
      <w:r>
        <w:rPr>
          <w:rFonts w:hint="cs"/>
          <w:rtl/>
        </w:rPr>
        <w:t xml:space="preserve">, עמ' 149). כך גם כלפי הכנסת מושמעת לעתים הביקורת, </w:t>
      </w:r>
      <w:r>
        <w:rPr>
          <w:rFonts w:hint="eastAsia"/>
          <w:rtl/>
        </w:rPr>
        <w:t>מדוע</w:t>
      </w:r>
      <w:r>
        <w:rPr>
          <w:rtl/>
        </w:rPr>
        <w:t xml:space="preserve"> </w:t>
      </w:r>
      <w:r>
        <w:rPr>
          <w:rFonts w:hint="eastAsia"/>
          <w:rtl/>
        </w:rPr>
        <w:t>לא</w:t>
      </w:r>
      <w:r>
        <w:rPr>
          <w:rtl/>
        </w:rPr>
        <w:t xml:space="preserve"> </w:t>
      </w:r>
      <w:r>
        <w:rPr>
          <w:rFonts w:hint="eastAsia"/>
          <w:rtl/>
        </w:rPr>
        <w:t>קודם</w:t>
      </w:r>
      <w:r>
        <w:rPr>
          <w:rtl/>
        </w:rPr>
        <w:t xml:space="preserve"> </w:t>
      </w:r>
      <w:r>
        <w:rPr>
          <w:rFonts w:hint="eastAsia"/>
          <w:rtl/>
        </w:rPr>
        <w:t>מהלך</w:t>
      </w:r>
      <w:r>
        <w:rPr>
          <w:rtl/>
        </w:rPr>
        <w:t xml:space="preserve"> </w:t>
      </w:r>
      <w:r>
        <w:rPr>
          <w:rFonts w:hint="cs"/>
          <w:rtl/>
        </w:rPr>
        <w:t xml:space="preserve">חקיקתי </w:t>
      </w:r>
      <w:r>
        <w:rPr>
          <w:rFonts w:hint="eastAsia"/>
          <w:rtl/>
        </w:rPr>
        <w:t>להסגה</w:t>
      </w:r>
      <w:r>
        <w:rPr>
          <w:rtl/>
        </w:rPr>
        <w:t xml:space="preserve"> </w:t>
      </w:r>
      <w:r>
        <w:rPr>
          <w:rFonts w:hint="eastAsia"/>
          <w:rtl/>
        </w:rPr>
        <w:t>לאחור</w:t>
      </w:r>
      <w:r>
        <w:rPr>
          <w:rtl/>
        </w:rPr>
        <w:t xml:space="preserve"> </w:t>
      </w:r>
      <w:r>
        <w:rPr>
          <w:rFonts w:hint="cs"/>
          <w:rtl/>
        </w:rPr>
        <w:t xml:space="preserve">של </w:t>
      </w:r>
      <w:r>
        <w:rPr>
          <w:rFonts w:hint="eastAsia"/>
          <w:rtl/>
        </w:rPr>
        <w:t>פסק</w:t>
      </w:r>
      <w:r>
        <w:rPr>
          <w:rtl/>
        </w:rPr>
        <w:t xml:space="preserve"> </w:t>
      </w:r>
      <w:r>
        <w:rPr>
          <w:rFonts w:hint="cs"/>
          <w:rtl/>
        </w:rPr>
        <w:t>ה</w:t>
      </w:r>
      <w:r>
        <w:rPr>
          <w:rFonts w:hint="eastAsia"/>
          <w:rtl/>
        </w:rPr>
        <w:t>דין</w:t>
      </w:r>
      <w:r>
        <w:rPr>
          <w:rtl/>
        </w:rPr>
        <w:t xml:space="preserve"> </w:t>
      </w:r>
      <w:r>
        <w:rPr>
          <w:rFonts w:hint="cs"/>
          <w:rtl/>
        </w:rPr>
        <w:t xml:space="preserve">שניתן בעניין </w:t>
      </w:r>
      <w:r w:rsidRPr="00AA186E">
        <w:rPr>
          <w:rFonts w:ascii="Century" w:hAnsi="Century" w:cs="Miriam" w:hint="eastAsia"/>
          <w:b/>
          <w:spacing w:val="0"/>
          <w:szCs w:val="24"/>
          <w:rtl/>
        </w:rPr>
        <w:t>בנק</w:t>
      </w:r>
      <w:r w:rsidRPr="00AA186E">
        <w:rPr>
          <w:rFonts w:ascii="Century" w:hAnsi="Century" w:cs="Miriam"/>
          <w:b/>
          <w:spacing w:val="0"/>
          <w:szCs w:val="24"/>
          <w:rtl/>
        </w:rPr>
        <w:t xml:space="preserve"> </w:t>
      </w:r>
      <w:r w:rsidRPr="00AA186E">
        <w:rPr>
          <w:rFonts w:ascii="Century" w:hAnsi="Century" w:cs="Miriam" w:hint="eastAsia"/>
          <w:b/>
          <w:spacing w:val="0"/>
          <w:szCs w:val="24"/>
          <w:rtl/>
        </w:rPr>
        <w:t>המזרחי</w:t>
      </w:r>
      <w:r>
        <w:rPr>
          <w:rtl/>
        </w:rPr>
        <w:t xml:space="preserve"> </w:t>
      </w:r>
      <w:r>
        <w:rPr>
          <w:rFonts w:hint="cs"/>
          <w:rtl/>
        </w:rPr>
        <w:t>(</w:t>
      </w:r>
      <w:r>
        <w:rPr>
          <w:rFonts w:hint="eastAsia"/>
          <w:rtl/>
        </w:rPr>
        <w:t>רון</w:t>
      </w:r>
      <w:r>
        <w:rPr>
          <w:rtl/>
        </w:rPr>
        <w:t xml:space="preserve"> </w:t>
      </w:r>
      <w:r>
        <w:rPr>
          <w:rFonts w:hint="eastAsia"/>
          <w:rtl/>
        </w:rPr>
        <w:t>חריס</w:t>
      </w:r>
      <w:r>
        <w:rPr>
          <w:rtl/>
        </w:rPr>
        <w:t xml:space="preserve"> "</w:t>
      </w:r>
      <w:r>
        <w:rPr>
          <w:rFonts w:hint="eastAsia"/>
          <w:rtl/>
        </w:rPr>
        <w:t>העבר</w:t>
      </w:r>
      <w:r>
        <w:rPr>
          <w:rtl/>
        </w:rPr>
        <w:t xml:space="preserve"> </w:t>
      </w:r>
      <w:r>
        <w:rPr>
          <w:rFonts w:hint="eastAsia"/>
          <w:rtl/>
        </w:rPr>
        <w:t>המדומיין</w:t>
      </w:r>
      <w:r>
        <w:rPr>
          <w:rtl/>
        </w:rPr>
        <w:t xml:space="preserve"> </w:t>
      </w:r>
      <w:r>
        <w:rPr>
          <w:rFonts w:hint="eastAsia"/>
          <w:rtl/>
        </w:rPr>
        <w:t>של</w:t>
      </w:r>
      <w:r>
        <w:rPr>
          <w:rtl/>
        </w:rPr>
        <w:t xml:space="preserve"> </w:t>
      </w:r>
      <w:r>
        <w:rPr>
          <w:rFonts w:hint="eastAsia"/>
          <w:rtl/>
        </w:rPr>
        <w:t>בית</w:t>
      </w:r>
      <w:r>
        <w:rPr>
          <w:rtl/>
        </w:rPr>
        <w:t xml:space="preserve"> </w:t>
      </w:r>
      <w:r>
        <w:rPr>
          <w:rFonts w:hint="eastAsia"/>
          <w:rtl/>
        </w:rPr>
        <w:t>המשפט</w:t>
      </w:r>
      <w:r>
        <w:rPr>
          <w:rtl/>
        </w:rPr>
        <w:t xml:space="preserve"> </w:t>
      </w:r>
      <w:r>
        <w:rPr>
          <w:rFonts w:hint="eastAsia"/>
          <w:rtl/>
        </w:rPr>
        <w:t>העליון</w:t>
      </w:r>
      <w:r>
        <w:rPr>
          <w:rFonts w:hint="cs"/>
          <w:rtl/>
        </w:rPr>
        <w:t>: השימוש בנרטיבים היסטוריים על ידי מבקרי בית המשפט</w:t>
      </w:r>
      <w:r>
        <w:rPr>
          <w:rtl/>
        </w:rPr>
        <w:t xml:space="preserve">" </w:t>
      </w:r>
      <w:r w:rsidRPr="003A5C74">
        <w:rPr>
          <w:rFonts w:ascii="Century" w:hAnsi="Century" w:cs="Miriam" w:hint="eastAsia"/>
          <w:b/>
          <w:spacing w:val="0"/>
          <w:szCs w:val="24"/>
          <w:rtl/>
        </w:rPr>
        <w:t>עיוני</w:t>
      </w:r>
      <w:r w:rsidRPr="003A5C74">
        <w:rPr>
          <w:rFonts w:ascii="Century" w:hAnsi="Century" w:cs="Miriam"/>
          <w:b/>
          <w:spacing w:val="0"/>
          <w:szCs w:val="24"/>
          <w:rtl/>
        </w:rPr>
        <w:t xml:space="preserve"> </w:t>
      </w:r>
      <w:r w:rsidRPr="003A5C74">
        <w:rPr>
          <w:rFonts w:ascii="Century" w:hAnsi="Century" w:cs="Miriam" w:hint="eastAsia"/>
          <w:b/>
          <w:spacing w:val="0"/>
          <w:szCs w:val="24"/>
          <w:rtl/>
        </w:rPr>
        <w:t>משפט</w:t>
      </w:r>
      <w:r w:rsidRPr="003A5C74">
        <w:rPr>
          <w:rtl/>
        </w:rPr>
        <w:t xml:space="preserve"> </w:t>
      </w:r>
      <w:r>
        <w:rPr>
          <w:rFonts w:hint="eastAsia"/>
          <w:rtl/>
        </w:rPr>
        <w:t>מד</w:t>
      </w:r>
      <w:r>
        <w:rPr>
          <w:rtl/>
        </w:rPr>
        <w:t xml:space="preserve"> 49, 81-80 (</w:t>
      </w:r>
      <w:r>
        <w:rPr>
          <w:rFonts w:hint="cs"/>
          <w:rtl/>
        </w:rPr>
        <w:t>2021</w:t>
      </w:r>
      <w:r>
        <w:rPr>
          <w:rtl/>
        </w:rPr>
        <w:t>)</w:t>
      </w:r>
      <w:r>
        <w:rPr>
          <w:rFonts w:hint="cs"/>
          <w:rtl/>
        </w:rPr>
        <w:t xml:space="preserve">; </w:t>
      </w:r>
      <w:r w:rsidRPr="00AA186E">
        <w:rPr>
          <w:rFonts w:ascii="Century" w:hAnsi="Century" w:cs="Miriam" w:hint="eastAsia"/>
          <w:b/>
          <w:spacing w:val="0"/>
          <w:szCs w:val="24"/>
          <w:rtl/>
        </w:rPr>
        <w:t>אהרונסון</w:t>
      </w:r>
      <w:r>
        <w:rPr>
          <w:rFonts w:hint="cs"/>
          <w:rtl/>
        </w:rPr>
        <w:t xml:space="preserve">; ראו גם: </w:t>
      </w:r>
      <w:r w:rsidRPr="008868AE">
        <w:rPr>
          <w:rFonts w:hint="eastAsia"/>
          <w:rtl/>
        </w:rPr>
        <w:t>אהרן</w:t>
      </w:r>
      <w:r w:rsidRPr="008868AE">
        <w:rPr>
          <w:rtl/>
        </w:rPr>
        <w:t xml:space="preserve"> </w:t>
      </w:r>
      <w:r w:rsidRPr="008868AE">
        <w:rPr>
          <w:rFonts w:hint="eastAsia"/>
          <w:rtl/>
        </w:rPr>
        <w:t>ברק</w:t>
      </w:r>
      <w:r>
        <w:rPr>
          <w:rFonts w:hint="cs"/>
          <w:rtl/>
        </w:rPr>
        <w:t xml:space="preserve"> </w:t>
      </w:r>
      <w:r w:rsidRPr="008868AE">
        <w:rPr>
          <w:rFonts w:ascii="Century" w:hAnsi="Century" w:cs="Miriam" w:hint="eastAsia"/>
          <w:b/>
          <w:spacing w:val="0"/>
          <w:szCs w:val="24"/>
          <w:rtl/>
        </w:rPr>
        <w:t>חוק</w:t>
      </w:r>
      <w:r w:rsidRPr="008868AE">
        <w:rPr>
          <w:rFonts w:ascii="Century" w:hAnsi="Century" w:cs="Miriam"/>
          <w:b/>
          <w:spacing w:val="0"/>
          <w:szCs w:val="24"/>
          <w:rtl/>
        </w:rPr>
        <w:t>-</w:t>
      </w:r>
      <w:r w:rsidRPr="008868AE">
        <w:rPr>
          <w:rFonts w:ascii="Century" w:hAnsi="Century" w:cs="Miriam" w:hint="eastAsia"/>
          <w:b/>
          <w:spacing w:val="0"/>
          <w:szCs w:val="24"/>
          <w:rtl/>
        </w:rPr>
        <w:t>יסוד</w:t>
      </w:r>
      <w:r w:rsidRPr="008868AE">
        <w:rPr>
          <w:rFonts w:ascii="Century" w:hAnsi="Century" w:cs="Miriam"/>
          <w:b/>
          <w:spacing w:val="0"/>
          <w:szCs w:val="24"/>
          <w:rtl/>
        </w:rPr>
        <w:t xml:space="preserve">: </w:t>
      </w:r>
      <w:r w:rsidRPr="008868AE">
        <w:rPr>
          <w:rFonts w:ascii="Century" w:hAnsi="Century" w:cs="Miriam" w:hint="eastAsia"/>
          <w:b/>
          <w:spacing w:val="0"/>
          <w:szCs w:val="24"/>
          <w:rtl/>
        </w:rPr>
        <w:t>כבוד</w:t>
      </w:r>
      <w:r w:rsidRPr="008868AE">
        <w:rPr>
          <w:rFonts w:ascii="Century" w:hAnsi="Century" w:cs="Miriam"/>
          <w:b/>
          <w:spacing w:val="0"/>
          <w:szCs w:val="24"/>
          <w:rtl/>
        </w:rPr>
        <w:t xml:space="preserve"> </w:t>
      </w:r>
      <w:r w:rsidRPr="008868AE">
        <w:rPr>
          <w:rFonts w:ascii="Century" w:hAnsi="Century" w:cs="Miriam" w:hint="eastAsia"/>
          <w:b/>
          <w:spacing w:val="0"/>
          <w:szCs w:val="24"/>
          <w:rtl/>
        </w:rPr>
        <w:t>האדם</w:t>
      </w:r>
      <w:r w:rsidRPr="008868AE">
        <w:rPr>
          <w:rFonts w:ascii="Century" w:hAnsi="Century" w:cs="Miriam"/>
          <w:b/>
          <w:spacing w:val="0"/>
          <w:szCs w:val="24"/>
          <w:rtl/>
        </w:rPr>
        <w:t xml:space="preserve"> </w:t>
      </w:r>
      <w:r w:rsidRPr="008868AE">
        <w:rPr>
          <w:rFonts w:ascii="Century" w:hAnsi="Century" w:cs="Miriam" w:hint="eastAsia"/>
          <w:b/>
          <w:spacing w:val="0"/>
          <w:szCs w:val="24"/>
          <w:rtl/>
        </w:rPr>
        <w:t>וחירותו</w:t>
      </w:r>
      <w:r w:rsidRPr="008868AE">
        <w:rPr>
          <w:rFonts w:ascii="Century" w:hAnsi="Century" w:cs="Miriam"/>
          <w:b/>
          <w:spacing w:val="0"/>
          <w:szCs w:val="24"/>
          <w:rtl/>
        </w:rPr>
        <w:t xml:space="preserve"> </w:t>
      </w:r>
      <w:r w:rsidRPr="008868AE">
        <w:rPr>
          <w:rFonts w:ascii="Century" w:hAnsi="Century" w:cs="Miriam" w:hint="eastAsia"/>
          <w:b/>
          <w:spacing w:val="0"/>
          <w:szCs w:val="24"/>
          <w:rtl/>
        </w:rPr>
        <w:t>וחוק</w:t>
      </w:r>
      <w:r w:rsidRPr="008868AE">
        <w:rPr>
          <w:rFonts w:ascii="Century" w:hAnsi="Century" w:cs="Miriam"/>
          <w:b/>
          <w:spacing w:val="0"/>
          <w:szCs w:val="24"/>
          <w:rtl/>
        </w:rPr>
        <w:t>-</w:t>
      </w:r>
      <w:r w:rsidRPr="008868AE">
        <w:rPr>
          <w:rFonts w:ascii="Century" w:hAnsi="Century" w:cs="Miriam" w:hint="eastAsia"/>
          <w:b/>
          <w:spacing w:val="0"/>
          <w:szCs w:val="24"/>
          <w:rtl/>
        </w:rPr>
        <w:t>יסוד</w:t>
      </w:r>
      <w:r w:rsidRPr="008868AE">
        <w:rPr>
          <w:rFonts w:ascii="Century" w:hAnsi="Century" w:cs="Miriam"/>
          <w:b/>
          <w:spacing w:val="0"/>
          <w:szCs w:val="24"/>
          <w:rtl/>
        </w:rPr>
        <w:t xml:space="preserve">: </w:t>
      </w:r>
      <w:r w:rsidRPr="008868AE">
        <w:rPr>
          <w:rFonts w:ascii="Century" w:hAnsi="Century" w:cs="Miriam" w:hint="eastAsia"/>
          <w:b/>
          <w:spacing w:val="0"/>
          <w:szCs w:val="24"/>
          <w:rtl/>
        </w:rPr>
        <w:t>חופש</w:t>
      </w:r>
      <w:r w:rsidRPr="008868AE">
        <w:rPr>
          <w:rFonts w:ascii="Century" w:hAnsi="Century" w:cs="Miriam"/>
          <w:b/>
          <w:spacing w:val="0"/>
          <w:szCs w:val="24"/>
          <w:rtl/>
        </w:rPr>
        <w:t xml:space="preserve"> </w:t>
      </w:r>
      <w:r w:rsidRPr="008868AE">
        <w:rPr>
          <w:rFonts w:ascii="Century" w:hAnsi="Century" w:cs="Miriam" w:hint="eastAsia"/>
          <w:b/>
          <w:spacing w:val="0"/>
          <w:szCs w:val="24"/>
          <w:rtl/>
        </w:rPr>
        <w:t>העיסוק</w:t>
      </w:r>
      <w:r w:rsidRPr="008868AE">
        <w:rPr>
          <w:rtl/>
        </w:rPr>
        <w:t xml:space="preserve"> </w:t>
      </w:r>
      <w:r w:rsidRPr="008868AE">
        <w:rPr>
          <w:rFonts w:hint="eastAsia"/>
          <w:rtl/>
        </w:rPr>
        <w:t>כרך</w:t>
      </w:r>
      <w:r w:rsidRPr="008868AE">
        <w:rPr>
          <w:rtl/>
        </w:rPr>
        <w:t xml:space="preserve"> </w:t>
      </w:r>
      <w:r w:rsidRPr="008868AE">
        <w:rPr>
          <w:rFonts w:hint="eastAsia"/>
          <w:rtl/>
        </w:rPr>
        <w:t>ד</w:t>
      </w:r>
      <w:r w:rsidRPr="008868AE">
        <w:rPr>
          <w:rtl/>
        </w:rPr>
        <w:t xml:space="preserve"> </w:t>
      </w:r>
      <w:r>
        <w:rPr>
          <w:rFonts w:hint="cs"/>
          <w:rtl/>
        </w:rPr>
        <w:t xml:space="preserve">1716 </w:t>
      </w:r>
      <w:r w:rsidRPr="008868AE">
        <w:rPr>
          <w:rtl/>
        </w:rPr>
        <w:t>(2023‏)</w:t>
      </w:r>
      <w:r>
        <w:rPr>
          <w:rFonts w:hint="cs"/>
          <w:rtl/>
        </w:rPr>
        <w:t xml:space="preserve"> שם מציין השופט </w:t>
      </w:r>
      <w:r w:rsidRPr="009328F0">
        <w:rPr>
          <w:rFonts w:ascii="Century" w:hAnsi="Century" w:cs="Miriam" w:hint="cs"/>
          <w:b/>
          <w:spacing w:val="0"/>
          <w:sz w:val="22"/>
          <w:szCs w:val="24"/>
          <w:rtl/>
        </w:rPr>
        <w:t>ברק</w:t>
      </w:r>
      <w:r>
        <w:rPr>
          <w:rFonts w:hint="cs"/>
          <w:rtl/>
        </w:rPr>
        <w:t xml:space="preserve"> כי בעת כתיבת פסק הדין בעניין </w:t>
      </w:r>
      <w:r>
        <w:rPr>
          <w:rFonts w:ascii="Century" w:hAnsi="Century" w:cs="Miriam" w:hint="cs"/>
          <w:b/>
          <w:spacing w:val="0"/>
          <w:szCs w:val="24"/>
          <w:rtl/>
        </w:rPr>
        <w:t xml:space="preserve">בנק המזרחי </w:t>
      </w:r>
      <w:r>
        <w:rPr>
          <w:rFonts w:hint="cs"/>
          <w:rtl/>
        </w:rPr>
        <w:t xml:space="preserve">סבר כי אם הכנסת לא תרצה בפסק הדין "בידיה הסמכות לבטלו או לשנותו"). הנחת היסוד, שעמדה בבסיס ההצדקה לביקורת חוקתית, היא אפוא כי לוּ רצה המחוקק-המכונן, יכול היה להשיב את "המהפכה החוקתית" לאחור. ממנה גם נגזרת ההנחה כי לכנסת הסמכות להעמיד את היקף הביקורת השיפוטית על סדרה הראוי. אולם הנחות יסוד אלו נסדקות נוכח תגובתו של בית משפט זה למהלך הנוכחי של הכנסת. בהקשר זה שבה ומרחפת מעלינו האזהרה "להימנע מזליגה </w:t>
      </w:r>
      <w:r>
        <w:rPr>
          <w:rFonts w:hint="eastAsia"/>
          <w:rtl/>
        </w:rPr>
        <w:t>ממצב</w:t>
      </w:r>
      <w:r>
        <w:rPr>
          <w:rtl/>
        </w:rPr>
        <w:t xml:space="preserve"> </w:t>
      </w:r>
      <w:r>
        <w:rPr>
          <w:rFonts w:hint="eastAsia"/>
          <w:rtl/>
        </w:rPr>
        <w:t>של</w:t>
      </w:r>
      <w:r>
        <w:rPr>
          <w:rtl/>
        </w:rPr>
        <w:t xml:space="preserve"> </w:t>
      </w:r>
      <w:r>
        <w:rPr>
          <w:rFonts w:hint="cs"/>
          <w:rtl/>
        </w:rPr>
        <w:t>'</w:t>
      </w:r>
      <w:r>
        <w:rPr>
          <w:rFonts w:hint="eastAsia"/>
          <w:rtl/>
        </w:rPr>
        <w:t>דיאלוג</w:t>
      </w:r>
      <w:r>
        <w:rPr>
          <w:rFonts w:hint="cs"/>
          <w:rtl/>
        </w:rPr>
        <w:t>'</w:t>
      </w:r>
      <w:r>
        <w:rPr>
          <w:rtl/>
        </w:rPr>
        <w:t xml:space="preserve"> </w:t>
      </w:r>
      <w:r>
        <w:rPr>
          <w:rFonts w:hint="eastAsia"/>
          <w:rtl/>
        </w:rPr>
        <w:t>חוקתי</w:t>
      </w:r>
      <w:r>
        <w:rPr>
          <w:rtl/>
        </w:rPr>
        <w:t xml:space="preserve"> </w:t>
      </w:r>
      <w:r>
        <w:rPr>
          <w:rFonts w:hint="eastAsia"/>
          <w:rtl/>
        </w:rPr>
        <w:t>בין</w:t>
      </w:r>
      <w:r>
        <w:rPr>
          <w:rtl/>
        </w:rPr>
        <w:t xml:space="preserve"> </w:t>
      </w:r>
      <w:r>
        <w:rPr>
          <w:rFonts w:hint="eastAsia"/>
          <w:rtl/>
        </w:rPr>
        <w:t>בית</w:t>
      </w:r>
      <w:r>
        <w:rPr>
          <w:rtl/>
        </w:rPr>
        <w:t xml:space="preserve"> </w:t>
      </w:r>
      <w:r>
        <w:rPr>
          <w:rFonts w:hint="eastAsia"/>
          <w:rtl/>
        </w:rPr>
        <w:t>המשפט</w:t>
      </w:r>
      <w:r>
        <w:rPr>
          <w:rtl/>
        </w:rPr>
        <w:t xml:space="preserve"> </w:t>
      </w:r>
      <w:r>
        <w:rPr>
          <w:rFonts w:hint="eastAsia"/>
          <w:rtl/>
        </w:rPr>
        <w:t>לבין</w:t>
      </w:r>
      <w:r>
        <w:rPr>
          <w:rtl/>
        </w:rPr>
        <w:t xml:space="preserve"> </w:t>
      </w:r>
      <w:r>
        <w:rPr>
          <w:rFonts w:hint="eastAsia"/>
          <w:rtl/>
        </w:rPr>
        <w:t>הכנסת</w:t>
      </w:r>
      <w:r>
        <w:rPr>
          <w:rtl/>
        </w:rPr>
        <w:t xml:space="preserve">, </w:t>
      </w:r>
      <w:r>
        <w:rPr>
          <w:rFonts w:hint="eastAsia"/>
          <w:rtl/>
        </w:rPr>
        <w:t>ל</w:t>
      </w:r>
      <w:r>
        <w:rPr>
          <w:rFonts w:hint="cs"/>
          <w:rtl/>
        </w:rPr>
        <w:t>'</w:t>
      </w:r>
      <w:r>
        <w:rPr>
          <w:rFonts w:hint="eastAsia"/>
          <w:rtl/>
        </w:rPr>
        <w:t>מונולוג</w:t>
      </w:r>
      <w:r>
        <w:rPr>
          <w:rFonts w:hint="cs"/>
          <w:rtl/>
        </w:rPr>
        <w:t>'</w:t>
      </w:r>
      <w:r>
        <w:rPr>
          <w:rtl/>
        </w:rPr>
        <w:t xml:space="preserve"> </w:t>
      </w:r>
      <w:r>
        <w:rPr>
          <w:rFonts w:hint="eastAsia"/>
          <w:rtl/>
        </w:rPr>
        <w:t>שבו</w:t>
      </w:r>
      <w:r>
        <w:rPr>
          <w:rtl/>
        </w:rPr>
        <w:t xml:space="preserve"> </w:t>
      </w:r>
      <w:r>
        <w:rPr>
          <w:rFonts w:hint="eastAsia"/>
          <w:rtl/>
        </w:rPr>
        <w:t>בית</w:t>
      </w:r>
      <w:r>
        <w:rPr>
          <w:rtl/>
        </w:rPr>
        <w:t xml:space="preserve"> </w:t>
      </w:r>
      <w:r>
        <w:rPr>
          <w:rFonts w:hint="eastAsia"/>
          <w:rtl/>
        </w:rPr>
        <w:t>המשפט</w:t>
      </w:r>
      <w:r>
        <w:rPr>
          <w:rtl/>
        </w:rPr>
        <w:t xml:space="preserve"> </w:t>
      </w:r>
      <w:r>
        <w:rPr>
          <w:rFonts w:hint="eastAsia"/>
          <w:rtl/>
        </w:rPr>
        <w:t>מכתיב</w:t>
      </w:r>
      <w:r>
        <w:rPr>
          <w:rtl/>
        </w:rPr>
        <w:t xml:space="preserve"> </w:t>
      </w:r>
      <w:r>
        <w:rPr>
          <w:rFonts w:hint="eastAsia"/>
          <w:rtl/>
        </w:rPr>
        <w:t>את</w:t>
      </w:r>
      <w:r>
        <w:rPr>
          <w:rtl/>
        </w:rPr>
        <w:t xml:space="preserve"> </w:t>
      </w:r>
      <w:r>
        <w:rPr>
          <w:rFonts w:hint="eastAsia"/>
          <w:rtl/>
        </w:rPr>
        <w:t>כללי</w:t>
      </w:r>
      <w:r>
        <w:rPr>
          <w:rtl/>
        </w:rPr>
        <w:t xml:space="preserve"> </w:t>
      </w:r>
      <w:r>
        <w:rPr>
          <w:rFonts w:hint="eastAsia"/>
          <w:rtl/>
        </w:rPr>
        <w:t>המשחק</w:t>
      </w:r>
      <w:r>
        <w:rPr>
          <w:rtl/>
        </w:rPr>
        <w:t xml:space="preserve"> </w:t>
      </w:r>
      <w:r>
        <w:rPr>
          <w:rFonts w:hint="eastAsia"/>
          <w:rtl/>
        </w:rPr>
        <w:t>ואת</w:t>
      </w:r>
      <w:r>
        <w:rPr>
          <w:rtl/>
        </w:rPr>
        <w:t xml:space="preserve"> </w:t>
      </w:r>
      <w:r>
        <w:rPr>
          <w:rFonts w:hint="eastAsia"/>
          <w:rtl/>
        </w:rPr>
        <w:t>נורמות</w:t>
      </w:r>
      <w:r>
        <w:rPr>
          <w:rtl/>
        </w:rPr>
        <w:t xml:space="preserve"> </w:t>
      </w:r>
      <w:r>
        <w:rPr>
          <w:rFonts w:hint="eastAsia"/>
          <w:rtl/>
        </w:rPr>
        <w:t>היסוד</w:t>
      </w:r>
      <w:r>
        <w:rPr>
          <w:rtl/>
        </w:rPr>
        <w:t xml:space="preserve"> </w:t>
      </w:r>
      <w:r>
        <w:rPr>
          <w:rFonts w:hint="eastAsia"/>
          <w:rtl/>
        </w:rPr>
        <w:t>במקום</w:t>
      </w:r>
      <w:r>
        <w:rPr>
          <w:rtl/>
        </w:rPr>
        <w:t xml:space="preserve"> </w:t>
      </w:r>
      <w:r>
        <w:rPr>
          <w:rFonts w:hint="eastAsia"/>
          <w:rtl/>
        </w:rPr>
        <w:t>הרשות</w:t>
      </w:r>
      <w:r>
        <w:rPr>
          <w:rtl/>
        </w:rPr>
        <w:t xml:space="preserve"> </w:t>
      </w:r>
      <w:r>
        <w:rPr>
          <w:rFonts w:hint="eastAsia"/>
          <w:rtl/>
        </w:rPr>
        <w:t>המכוננת</w:t>
      </w:r>
      <w:r>
        <w:rPr>
          <w:rFonts w:hint="cs"/>
          <w:rtl/>
        </w:rPr>
        <w:t xml:space="preserve">" (עניין </w:t>
      </w:r>
      <w:r w:rsidRPr="000A43A1">
        <w:rPr>
          <w:rFonts w:ascii="Century" w:hAnsi="Century" w:cs="Miriam" w:hint="cs"/>
          <w:b/>
          <w:spacing w:val="0"/>
          <w:szCs w:val="24"/>
          <w:rtl/>
        </w:rPr>
        <w:t>ממשלת הח</w:t>
      </w:r>
      <w:r>
        <w:rPr>
          <w:rFonts w:ascii="Century" w:hAnsi="Century" w:cs="Miriam" w:hint="cs"/>
          <w:b/>
          <w:spacing w:val="0"/>
          <w:szCs w:val="24"/>
          <w:rtl/>
        </w:rPr>
        <w:t>י</w:t>
      </w:r>
      <w:r w:rsidRPr="000A43A1">
        <w:rPr>
          <w:rFonts w:ascii="Century" w:hAnsi="Century" w:cs="Miriam" w:hint="cs"/>
          <w:b/>
          <w:spacing w:val="0"/>
          <w:szCs w:val="24"/>
          <w:rtl/>
        </w:rPr>
        <w:t>לופים</w:t>
      </w:r>
      <w:r>
        <w:rPr>
          <w:rFonts w:hint="cs"/>
          <w:rtl/>
        </w:rPr>
        <w:t>, פסקה 11 לחוות דעתי).</w:t>
      </w:r>
    </w:p>
    <w:p w:rsidR="00737972" w:rsidRDefault="00737972" w:rsidP="00737972">
      <w:pPr>
        <w:pStyle w:val="Ruller4"/>
        <w:numPr>
          <w:ilvl w:val="0"/>
          <w:numId w:val="0"/>
        </w:numPr>
      </w:pPr>
    </w:p>
    <w:p w:rsidR="00737972" w:rsidRPr="00937523" w:rsidRDefault="00737972" w:rsidP="00737972">
      <w:pPr>
        <w:pStyle w:val="Ruller4"/>
        <w:rPr>
          <w:rtl/>
        </w:rPr>
      </w:pPr>
      <w:r w:rsidRPr="003645FB">
        <w:rPr>
          <w:rFonts w:hint="eastAsia"/>
          <w:rtl/>
        </w:rPr>
        <w:t>ההתערבות</w:t>
      </w:r>
      <w:r w:rsidRPr="003645FB">
        <w:rPr>
          <w:rtl/>
        </w:rPr>
        <w:t xml:space="preserve"> </w:t>
      </w:r>
      <w:r w:rsidRPr="003645FB">
        <w:rPr>
          <w:rFonts w:hint="eastAsia"/>
          <w:rtl/>
        </w:rPr>
        <w:t>על</w:t>
      </w:r>
      <w:r w:rsidRPr="003645FB">
        <w:rPr>
          <w:rtl/>
        </w:rPr>
        <w:t xml:space="preserve"> </w:t>
      </w:r>
      <w:r w:rsidRPr="003645FB">
        <w:rPr>
          <w:rFonts w:hint="eastAsia"/>
          <w:rtl/>
        </w:rPr>
        <w:t>ידי</w:t>
      </w:r>
      <w:r w:rsidRPr="003645FB">
        <w:rPr>
          <w:rtl/>
        </w:rPr>
        <w:t xml:space="preserve"> </w:t>
      </w:r>
      <w:r w:rsidRPr="003645FB">
        <w:rPr>
          <w:rFonts w:hint="eastAsia"/>
          <w:rtl/>
        </w:rPr>
        <w:t>בית</w:t>
      </w:r>
      <w:r w:rsidRPr="003645FB">
        <w:rPr>
          <w:rtl/>
        </w:rPr>
        <w:t xml:space="preserve"> </w:t>
      </w:r>
      <w:r w:rsidRPr="003645FB">
        <w:rPr>
          <w:rFonts w:hint="eastAsia"/>
          <w:rtl/>
        </w:rPr>
        <w:t>המשפט</w:t>
      </w:r>
      <w:r w:rsidRPr="003645FB">
        <w:rPr>
          <w:rtl/>
        </w:rPr>
        <w:t xml:space="preserve"> </w:t>
      </w:r>
      <w:r w:rsidRPr="003645FB">
        <w:rPr>
          <w:rFonts w:hint="eastAsia"/>
          <w:rtl/>
        </w:rPr>
        <w:t>בנורמה</w:t>
      </w:r>
      <w:r w:rsidRPr="003645FB">
        <w:rPr>
          <w:rtl/>
        </w:rPr>
        <w:t xml:space="preserve"> </w:t>
      </w:r>
      <w:r w:rsidRPr="003645FB">
        <w:rPr>
          <w:rFonts w:hint="eastAsia"/>
          <w:rtl/>
        </w:rPr>
        <w:t>מכוננת</w:t>
      </w:r>
      <w:r>
        <w:rPr>
          <w:rFonts w:hint="cs"/>
          <w:rtl/>
        </w:rPr>
        <w:t xml:space="preserve"> </w:t>
      </w:r>
      <w:r w:rsidRPr="003645FB">
        <w:rPr>
          <w:rFonts w:hint="eastAsia"/>
          <w:rtl/>
        </w:rPr>
        <w:t>הופכת</w:t>
      </w:r>
      <w:r w:rsidRPr="003645FB">
        <w:rPr>
          <w:rtl/>
        </w:rPr>
        <w:t xml:space="preserve"> </w:t>
      </w:r>
      <w:r w:rsidRPr="003645FB">
        <w:rPr>
          <w:rFonts w:hint="eastAsia"/>
          <w:rtl/>
        </w:rPr>
        <w:t>את</w:t>
      </w:r>
      <w:r w:rsidRPr="003645FB">
        <w:rPr>
          <w:rtl/>
        </w:rPr>
        <w:t xml:space="preserve"> </w:t>
      </w:r>
      <w:r w:rsidRPr="003645FB">
        <w:rPr>
          <w:rFonts w:hint="eastAsia"/>
          <w:rtl/>
        </w:rPr>
        <w:t>בית</w:t>
      </w:r>
      <w:r w:rsidRPr="003645FB">
        <w:rPr>
          <w:rtl/>
        </w:rPr>
        <w:t xml:space="preserve"> </w:t>
      </w:r>
      <w:r w:rsidRPr="003645FB">
        <w:rPr>
          <w:rFonts w:hint="eastAsia"/>
          <w:rtl/>
        </w:rPr>
        <w:t>המשפט</w:t>
      </w:r>
      <w:r w:rsidRPr="003645FB">
        <w:rPr>
          <w:rtl/>
        </w:rPr>
        <w:t xml:space="preserve"> </w:t>
      </w:r>
      <w:r w:rsidRPr="003645FB">
        <w:rPr>
          <w:rFonts w:hint="eastAsia"/>
          <w:rtl/>
        </w:rPr>
        <w:t>הלכה</w:t>
      </w:r>
      <w:r w:rsidRPr="003645FB">
        <w:rPr>
          <w:rtl/>
        </w:rPr>
        <w:t xml:space="preserve"> </w:t>
      </w:r>
      <w:r w:rsidRPr="003645FB">
        <w:rPr>
          <w:rFonts w:hint="eastAsia"/>
          <w:rtl/>
        </w:rPr>
        <w:t>למעשה</w:t>
      </w:r>
      <w:r w:rsidRPr="003645FB">
        <w:rPr>
          <w:rtl/>
        </w:rPr>
        <w:t xml:space="preserve"> </w:t>
      </w:r>
      <w:r w:rsidRPr="003645FB">
        <w:rPr>
          <w:rFonts w:hint="eastAsia"/>
          <w:rtl/>
        </w:rPr>
        <w:t>לבעל</w:t>
      </w:r>
      <w:r w:rsidRPr="003645FB">
        <w:rPr>
          <w:rtl/>
        </w:rPr>
        <w:t xml:space="preserve"> "</w:t>
      </w:r>
      <w:r w:rsidRPr="003645FB">
        <w:rPr>
          <w:rFonts w:hint="eastAsia"/>
          <w:rtl/>
        </w:rPr>
        <w:t>המילה</w:t>
      </w:r>
      <w:r w:rsidRPr="003645FB">
        <w:rPr>
          <w:rtl/>
        </w:rPr>
        <w:t xml:space="preserve"> </w:t>
      </w:r>
      <w:r w:rsidRPr="003645FB">
        <w:rPr>
          <w:rFonts w:hint="eastAsia"/>
          <w:rtl/>
        </w:rPr>
        <w:t>האחרונה</w:t>
      </w:r>
      <w:r w:rsidRPr="003645FB">
        <w:rPr>
          <w:rtl/>
        </w:rPr>
        <w:t>" (</w:t>
      </w:r>
      <w:r>
        <w:rPr>
          <w:rFonts w:hint="cs"/>
          <w:rtl/>
        </w:rPr>
        <w:t xml:space="preserve">ראו: </w:t>
      </w:r>
      <w:r w:rsidRPr="00937523">
        <w:rPr>
          <w:rFonts w:ascii="Century" w:hAnsi="Century" w:cs="Miriam" w:hint="eastAsia"/>
          <w:b/>
          <w:spacing w:val="0"/>
          <w:sz w:val="22"/>
          <w:szCs w:val="24"/>
          <w:rtl/>
        </w:rPr>
        <w:t>ו</w:t>
      </w:r>
      <w:r>
        <w:rPr>
          <w:rFonts w:ascii="Century" w:hAnsi="Century" w:cs="Miriam" w:hint="cs"/>
          <w:b/>
          <w:spacing w:val="0"/>
          <w:sz w:val="22"/>
          <w:szCs w:val="24"/>
          <w:rtl/>
        </w:rPr>
        <w:t>ו</w:t>
      </w:r>
      <w:r w:rsidRPr="00937523">
        <w:rPr>
          <w:rFonts w:ascii="Century" w:hAnsi="Century" w:cs="Miriam" w:hint="eastAsia"/>
          <w:b/>
          <w:spacing w:val="0"/>
          <w:sz w:val="22"/>
          <w:szCs w:val="24"/>
          <w:rtl/>
        </w:rPr>
        <w:t>ייל</w:t>
      </w:r>
      <w:r w:rsidRPr="00937523">
        <w:rPr>
          <w:rFonts w:ascii="Century" w:hAnsi="Century" w:cs="Miriam" w:hint="cs"/>
          <w:b/>
          <w:spacing w:val="0"/>
          <w:sz w:val="22"/>
          <w:szCs w:val="24"/>
          <w:rtl/>
        </w:rPr>
        <w:t xml:space="preserve">, </w:t>
      </w:r>
      <w:r w:rsidRPr="00937523">
        <w:rPr>
          <w:rFonts w:ascii="Century" w:hAnsi="Century" w:cs="Miriam" w:hint="eastAsia"/>
          <w:b/>
          <w:spacing w:val="0"/>
          <w:sz w:val="22"/>
          <w:szCs w:val="24"/>
          <w:rtl/>
        </w:rPr>
        <w:t>עשרים</w:t>
      </w:r>
      <w:r w:rsidRPr="00937523">
        <w:rPr>
          <w:rFonts w:ascii="Century" w:hAnsi="Century" w:cs="Miriam"/>
          <w:b/>
          <w:spacing w:val="0"/>
          <w:sz w:val="22"/>
          <w:szCs w:val="24"/>
          <w:rtl/>
        </w:rPr>
        <w:t xml:space="preserve"> </w:t>
      </w:r>
      <w:r w:rsidRPr="00937523">
        <w:rPr>
          <w:rFonts w:ascii="Century" w:hAnsi="Century" w:cs="Miriam" w:hint="eastAsia"/>
          <w:b/>
          <w:spacing w:val="0"/>
          <w:sz w:val="22"/>
          <w:szCs w:val="24"/>
          <w:rtl/>
        </w:rPr>
        <w:t>שנה</w:t>
      </w:r>
      <w:r w:rsidRPr="00937523">
        <w:rPr>
          <w:rFonts w:ascii="Century" w:hAnsi="Century" w:cs="Miriam"/>
          <w:b/>
          <w:spacing w:val="0"/>
          <w:sz w:val="22"/>
          <w:szCs w:val="24"/>
          <w:rtl/>
        </w:rPr>
        <w:t xml:space="preserve"> </w:t>
      </w:r>
      <w:r w:rsidRPr="00937523">
        <w:rPr>
          <w:rFonts w:ascii="Century" w:hAnsi="Century" w:cs="Miriam" w:hint="eastAsia"/>
          <w:b/>
          <w:spacing w:val="0"/>
          <w:sz w:val="22"/>
          <w:szCs w:val="24"/>
          <w:rtl/>
        </w:rPr>
        <w:t>לבנק</w:t>
      </w:r>
      <w:r w:rsidRPr="00937523">
        <w:rPr>
          <w:rFonts w:ascii="Century" w:hAnsi="Century" w:cs="Miriam"/>
          <w:b/>
          <w:spacing w:val="0"/>
          <w:sz w:val="22"/>
          <w:szCs w:val="24"/>
          <w:rtl/>
        </w:rPr>
        <w:t xml:space="preserve"> </w:t>
      </w:r>
      <w:r w:rsidRPr="00937523">
        <w:rPr>
          <w:rFonts w:ascii="Century" w:hAnsi="Century" w:cs="Miriam" w:hint="eastAsia"/>
          <w:b/>
          <w:spacing w:val="0"/>
          <w:sz w:val="22"/>
          <w:szCs w:val="24"/>
          <w:rtl/>
        </w:rPr>
        <w:t>המזרחי</w:t>
      </w:r>
      <w:r>
        <w:rPr>
          <w:rFonts w:hint="cs"/>
          <w:rtl/>
        </w:rPr>
        <w:t>, עמ'</w:t>
      </w:r>
      <w:r>
        <w:rPr>
          <w:rtl/>
        </w:rPr>
        <w:t xml:space="preserve"> 564</w:t>
      </w:r>
      <w:r w:rsidRPr="003645FB">
        <w:rPr>
          <w:rtl/>
        </w:rPr>
        <w:t>)</w:t>
      </w:r>
      <w:r>
        <w:rPr>
          <w:rFonts w:hint="cs"/>
          <w:rtl/>
        </w:rPr>
        <w:t xml:space="preserve">. בנסיבות כגון אלה שבענייננו, בהן עומדת על הפרק סוגיה הקשורה להתייחסות של הרשות המכוננת לפיתוח </w:t>
      </w:r>
      <w:r w:rsidRPr="00937523">
        <w:rPr>
          <w:rFonts w:ascii="Century" w:hAnsi="Century" w:cs="Miriam" w:hint="cs"/>
          <w:b/>
          <w:spacing w:val="0"/>
          <w:szCs w:val="24"/>
          <w:rtl/>
        </w:rPr>
        <w:t>היבט מסוים</w:t>
      </w:r>
      <w:r w:rsidRPr="003645FB">
        <w:rPr>
          <w:rFonts w:hint="cs"/>
          <w:rtl/>
        </w:rPr>
        <w:t xml:space="preserve"> </w:t>
      </w:r>
      <w:r>
        <w:rPr>
          <w:rFonts w:hint="cs"/>
          <w:rtl/>
        </w:rPr>
        <w:t xml:space="preserve">של </w:t>
      </w:r>
      <w:r w:rsidRPr="00937523">
        <w:rPr>
          <w:rFonts w:ascii="Century" w:hAnsi="Century" w:cs="Miriam" w:hint="cs"/>
          <w:b/>
          <w:spacing w:val="0"/>
          <w:szCs w:val="24"/>
          <w:rtl/>
        </w:rPr>
        <w:t>ביקורת שיפוטית</w:t>
      </w:r>
      <w:r w:rsidRPr="003645FB">
        <w:rPr>
          <w:rFonts w:hint="cs"/>
          <w:rtl/>
        </w:rPr>
        <w:t xml:space="preserve"> </w:t>
      </w:r>
      <w:r>
        <w:rPr>
          <w:rFonts w:hint="cs"/>
          <w:rtl/>
        </w:rPr>
        <w:t xml:space="preserve">שפותח כולו בפסיקה, עלינו להביט על עצמנו ולשאול </w:t>
      </w:r>
      <w:r>
        <w:rPr>
          <w:rtl/>
        </w:rPr>
        <w:t>–</w:t>
      </w:r>
      <w:r>
        <w:rPr>
          <w:rFonts w:hint="cs"/>
          <w:rtl/>
        </w:rPr>
        <w:t xml:space="preserve"> בכנות </w:t>
      </w:r>
      <w:r>
        <w:rPr>
          <w:rtl/>
        </w:rPr>
        <w:t>–</w:t>
      </w:r>
      <w:r>
        <w:rPr>
          <w:rFonts w:hint="cs"/>
          <w:rtl/>
        </w:rPr>
        <w:t xml:space="preserve"> האם אין מדובר בנושא שבו אנו עצמנו מצויים ב"ניגוד עניינים מוסדי" (מושג שהעלתה חברתי השופטת </w:t>
      </w:r>
      <w:r w:rsidRPr="00937523">
        <w:rPr>
          <w:rFonts w:ascii="Century" w:hAnsi="Century" w:cs="Miriam" w:hint="cs"/>
          <w:b/>
          <w:spacing w:val="0"/>
          <w:szCs w:val="24"/>
          <w:rtl/>
        </w:rPr>
        <w:t>רונן</w:t>
      </w:r>
      <w:r>
        <w:rPr>
          <w:rFonts w:hint="cs"/>
          <w:rtl/>
        </w:rPr>
        <w:t xml:space="preserve"> בהתייחס בעיקר לרשות המכוננת). האם זה המקרה המתאים לעשות שימוש בנשק כה חריף וקיצוני בו מבקשים חלק מחבריי לעשות שימוש. לטעמי, התיקון לחוק היסוד מושא ענייננו אינו מחליש את שלטון החוק או את עיקרון הפרדת הרשויות; ביטולו הוא הפוגע בעקרונות דמוקרטיים. שוב בעניין זה קורא אני בקול צלול "המלך הוא עירום". </w:t>
      </w:r>
    </w:p>
    <w:p w:rsidR="00737972" w:rsidRDefault="00737972" w:rsidP="00737972">
      <w:pPr>
        <w:pStyle w:val="Ruller41"/>
        <w:rPr>
          <w:rtl/>
        </w:rPr>
      </w:pPr>
    </w:p>
    <w:p w:rsidR="00737972" w:rsidRDefault="00737972" w:rsidP="00737972">
      <w:pPr>
        <w:pStyle w:val="Ruller4"/>
        <w:rPr>
          <w:rtl/>
        </w:rPr>
      </w:pPr>
      <w:r w:rsidRPr="00553D6D">
        <w:rPr>
          <w:rFonts w:ascii="Century" w:hAnsi="Century" w:cs="Miriam" w:hint="cs"/>
          <w:b/>
          <w:spacing w:val="0"/>
          <w:sz w:val="22"/>
          <w:szCs w:val="24"/>
          <w:rtl/>
        </w:rPr>
        <w:t>לסיכום</w:t>
      </w:r>
      <w:r>
        <w:rPr>
          <w:rFonts w:hint="cs"/>
          <w:rtl/>
        </w:rPr>
        <w:t xml:space="preserve">: </w:t>
      </w:r>
      <w:r w:rsidRPr="00475889">
        <w:rPr>
          <w:rFonts w:hint="eastAsia"/>
          <w:rtl/>
        </w:rPr>
        <w:t>כאמור</w:t>
      </w:r>
      <w:r w:rsidRPr="00475889">
        <w:rPr>
          <w:rtl/>
        </w:rPr>
        <w:t xml:space="preserve"> </w:t>
      </w:r>
      <w:r w:rsidRPr="00475889">
        <w:rPr>
          <w:rFonts w:hint="eastAsia"/>
          <w:rtl/>
        </w:rPr>
        <w:t>לעיל</w:t>
      </w:r>
      <w:r w:rsidRPr="00475889">
        <w:rPr>
          <w:rtl/>
        </w:rPr>
        <w:t xml:space="preserve">, </w:t>
      </w:r>
      <w:r>
        <w:rPr>
          <w:rFonts w:hint="cs"/>
          <w:rtl/>
        </w:rPr>
        <w:t xml:space="preserve">לעמדתי נקודת המוצא היא כי </w:t>
      </w:r>
      <w:r w:rsidRPr="00475889">
        <w:rPr>
          <w:rFonts w:hint="eastAsia"/>
          <w:rtl/>
        </w:rPr>
        <w:t>כלל</w:t>
      </w:r>
      <w:r w:rsidRPr="00475889">
        <w:rPr>
          <w:rtl/>
        </w:rPr>
        <w:t xml:space="preserve"> </w:t>
      </w:r>
      <w:r w:rsidRPr="00475889">
        <w:rPr>
          <w:rFonts w:hint="eastAsia"/>
          <w:rtl/>
        </w:rPr>
        <w:t>אין</w:t>
      </w:r>
      <w:r w:rsidRPr="00475889">
        <w:rPr>
          <w:rtl/>
        </w:rPr>
        <w:t xml:space="preserve"> </w:t>
      </w:r>
      <w:r w:rsidRPr="00475889">
        <w:rPr>
          <w:rFonts w:hint="eastAsia"/>
          <w:rtl/>
        </w:rPr>
        <w:t>בית</w:t>
      </w:r>
      <w:r w:rsidRPr="00475889">
        <w:rPr>
          <w:rtl/>
        </w:rPr>
        <w:t xml:space="preserve"> </w:t>
      </w:r>
      <w:r w:rsidRPr="00475889">
        <w:rPr>
          <w:rFonts w:hint="eastAsia"/>
          <w:rtl/>
        </w:rPr>
        <w:t>משפט</w:t>
      </w:r>
      <w:r w:rsidRPr="00475889">
        <w:rPr>
          <w:rtl/>
        </w:rPr>
        <w:t xml:space="preserve"> </w:t>
      </w:r>
      <w:r w:rsidRPr="00475889">
        <w:rPr>
          <w:rFonts w:hint="eastAsia"/>
          <w:rtl/>
        </w:rPr>
        <w:t>זה</w:t>
      </w:r>
      <w:r w:rsidRPr="00475889">
        <w:rPr>
          <w:rtl/>
        </w:rPr>
        <w:t xml:space="preserve"> </w:t>
      </w:r>
      <w:r w:rsidRPr="00475889">
        <w:rPr>
          <w:rFonts w:hint="eastAsia"/>
          <w:rtl/>
        </w:rPr>
        <w:t>מוסמך</w:t>
      </w:r>
      <w:r w:rsidRPr="00475889">
        <w:rPr>
          <w:rtl/>
        </w:rPr>
        <w:t xml:space="preserve"> </w:t>
      </w:r>
      <w:r>
        <w:rPr>
          <w:rFonts w:hint="cs"/>
          <w:rtl/>
        </w:rPr>
        <w:t xml:space="preserve">לבקר חוקי יסוד. </w:t>
      </w:r>
      <w:r w:rsidRPr="00475889">
        <w:rPr>
          <w:rFonts w:hint="eastAsia"/>
          <w:rtl/>
        </w:rPr>
        <w:t>גם</w:t>
      </w:r>
      <w:r w:rsidRPr="00475889">
        <w:rPr>
          <w:rtl/>
        </w:rPr>
        <w:t xml:space="preserve"> </w:t>
      </w:r>
      <w:r>
        <w:rPr>
          <w:rFonts w:hint="cs"/>
          <w:rtl/>
        </w:rPr>
        <w:t xml:space="preserve">מנקודת מבטם של חבריי </w:t>
      </w:r>
      <w:r w:rsidRPr="00475889">
        <w:rPr>
          <w:rFonts w:hint="eastAsia"/>
          <w:rtl/>
        </w:rPr>
        <w:t>המכירה</w:t>
      </w:r>
      <w:r w:rsidRPr="00475889">
        <w:rPr>
          <w:rtl/>
        </w:rPr>
        <w:t xml:space="preserve"> </w:t>
      </w:r>
      <w:r w:rsidRPr="00475889">
        <w:rPr>
          <w:rFonts w:hint="eastAsia"/>
          <w:rtl/>
        </w:rPr>
        <w:t>בסמכות</w:t>
      </w:r>
      <w:r w:rsidRPr="00475889">
        <w:rPr>
          <w:rtl/>
        </w:rPr>
        <w:t xml:space="preserve"> </w:t>
      </w:r>
      <w:r w:rsidRPr="00475889">
        <w:rPr>
          <w:rFonts w:hint="eastAsia"/>
          <w:rtl/>
        </w:rPr>
        <w:t>לבקר</w:t>
      </w:r>
      <w:r w:rsidRPr="00475889">
        <w:rPr>
          <w:rtl/>
        </w:rPr>
        <w:t xml:space="preserve"> </w:t>
      </w:r>
      <w:r w:rsidRPr="00475889">
        <w:rPr>
          <w:rFonts w:hint="eastAsia"/>
          <w:rtl/>
        </w:rPr>
        <w:t>חוקי</w:t>
      </w:r>
      <w:r w:rsidRPr="00475889">
        <w:rPr>
          <w:rtl/>
        </w:rPr>
        <w:t xml:space="preserve"> </w:t>
      </w:r>
      <w:r w:rsidRPr="00475889">
        <w:rPr>
          <w:rFonts w:hint="eastAsia"/>
          <w:rtl/>
        </w:rPr>
        <w:t>יסוד</w:t>
      </w:r>
      <w:r w:rsidRPr="00475889">
        <w:rPr>
          <w:rtl/>
        </w:rPr>
        <w:t xml:space="preserve">, </w:t>
      </w:r>
      <w:r w:rsidRPr="00475889">
        <w:rPr>
          <w:rFonts w:hint="eastAsia"/>
          <w:rtl/>
        </w:rPr>
        <w:t>אמת</w:t>
      </w:r>
      <w:r w:rsidRPr="00475889">
        <w:rPr>
          <w:rtl/>
        </w:rPr>
        <w:t xml:space="preserve"> </w:t>
      </w:r>
      <w:r w:rsidRPr="00475889">
        <w:rPr>
          <w:rFonts w:hint="eastAsia"/>
          <w:rtl/>
        </w:rPr>
        <w:t>המידה</w:t>
      </w:r>
      <w:r w:rsidRPr="00475889">
        <w:rPr>
          <w:rtl/>
        </w:rPr>
        <w:t xml:space="preserve"> </w:t>
      </w:r>
      <w:r w:rsidRPr="00475889">
        <w:rPr>
          <w:rFonts w:hint="eastAsia"/>
          <w:rtl/>
        </w:rPr>
        <w:t>להפעל</w:t>
      </w:r>
      <w:r>
        <w:rPr>
          <w:rFonts w:hint="cs"/>
          <w:rtl/>
        </w:rPr>
        <w:t>ת</w:t>
      </w:r>
      <w:r w:rsidRPr="00475889">
        <w:rPr>
          <w:rFonts w:hint="eastAsia"/>
          <w:rtl/>
        </w:rPr>
        <w:t>ה</w:t>
      </w:r>
      <w:r w:rsidRPr="00475889">
        <w:rPr>
          <w:rtl/>
        </w:rPr>
        <w:t xml:space="preserve"> </w:t>
      </w:r>
      <w:r>
        <w:rPr>
          <w:rFonts w:hint="cs"/>
          <w:rtl/>
        </w:rPr>
        <w:t xml:space="preserve">הינה </w:t>
      </w:r>
      <w:r w:rsidRPr="00475889">
        <w:rPr>
          <w:rFonts w:hint="eastAsia"/>
          <w:rtl/>
        </w:rPr>
        <w:t>עמומה</w:t>
      </w:r>
      <w:r w:rsidRPr="00475889">
        <w:rPr>
          <w:rtl/>
        </w:rPr>
        <w:t xml:space="preserve"> </w:t>
      </w:r>
      <w:r w:rsidRPr="00475889">
        <w:rPr>
          <w:rFonts w:hint="eastAsia"/>
          <w:rtl/>
        </w:rPr>
        <w:t>ביותר</w:t>
      </w:r>
      <w:r>
        <w:rPr>
          <w:rFonts w:hint="cs"/>
          <w:rtl/>
        </w:rPr>
        <w:t xml:space="preserve"> וקשייה רבים</w:t>
      </w:r>
      <w:r w:rsidRPr="00475889">
        <w:rPr>
          <w:rtl/>
        </w:rPr>
        <w:t xml:space="preserve">. </w:t>
      </w:r>
      <w:r>
        <w:rPr>
          <w:rFonts w:hint="cs"/>
          <w:rtl/>
        </w:rPr>
        <w:t xml:space="preserve">מכל מקום, התיקון לחוק היסוד רחוק כמזרח ממערב מקשת המצבים שאף לשיטת חבריי מצדיקים התערבות, ובכל מקרה מסכים אני כי טרם בשלה השעה לדון בהיקפו ובגדריו. אם דעתי הייתה נשמעת אפוא, היינו דוחים את העתירות על ראשן, קרבן וכרעיהן. </w:t>
      </w:r>
      <w:r w:rsidRPr="00F9107F">
        <w:rPr>
          <w:rFonts w:hint="cs"/>
          <w:rtl/>
        </w:rPr>
        <w:t xml:space="preserve">במישור המעשי, ולוּ לצורך "הקטנת הנזק" ובבחינת </w:t>
      </w:r>
      <w:r>
        <w:rPr>
          <w:rFonts w:hint="cs"/>
          <w:rtl/>
        </w:rPr>
        <w:t>"</w:t>
      </w:r>
      <w:r w:rsidRPr="00F9107F">
        <w:rPr>
          <w:rFonts w:hint="cs"/>
          <w:rtl/>
        </w:rPr>
        <w:t>הרע במיעוטו</w:t>
      </w:r>
      <w:r>
        <w:rPr>
          <w:rFonts w:hint="cs"/>
          <w:rtl/>
        </w:rPr>
        <w:t>"</w:t>
      </w:r>
      <w:r w:rsidRPr="00F9107F">
        <w:rPr>
          <w:rFonts w:hint="cs"/>
          <w:rtl/>
        </w:rPr>
        <w:t xml:space="preserve">, אם קולי </w:t>
      </w:r>
      <w:r>
        <w:rPr>
          <w:rFonts w:hint="cs"/>
          <w:rtl/>
        </w:rPr>
        <w:t xml:space="preserve">היה נדרש לשם גיבוש </w:t>
      </w:r>
      <w:r w:rsidRPr="00F9107F">
        <w:rPr>
          <w:rFonts w:hint="cs"/>
          <w:rtl/>
        </w:rPr>
        <w:t xml:space="preserve">רוב לעמדת השופטת </w:t>
      </w:r>
      <w:r w:rsidRPr="00F9107F">
        <w:rPr>
          <w:rFonts w:ascii="Century" w:hAnsi="Century" w:cs="Miriam" w:hint="eastAsia"/>
          <w:b/>
          <w:spacing w:val="0"/>
          <w:sz w:val="22"/>
          <w:szCs w:val="24"/>
          <w:rtl/>
        </w:rPr>
        <w:t>י</w:t>
      </w:r>
      <w:r w:rsidRPr="00F9107F">
        <w:rPr>
          <w:rFonts w:ascii="Century" w:hAnsi="Century" w:cs="Miriam"/>
          <w:b/>
          <w:spacing w:val="0"/>
          <w:sz w:val="22"/>
          <w:szCs w:val="24"/>
          <w:rtl/>
        </w:rPr>
        <w:t xml:space="preserve">' </w:t>
      </w:r>
      <w:r w:rsidRPr="00F9107F">
        <w:rPr>
          <w:rFonts w:ascii="Century" w:hAnsi="Century" w:cs="Miriam" w:hint="eastAsia"/>
          <w:b/>
          <w:spacing w:val="0"/>
          <w:sz w:val="22"/>
          <w:szCs w:val="24"/>
          <w:rtl/>
        </w:rPr>
        <w:t>וילנר</w:t>
      </w:r>
      <w:r w:rsidRPr="00F9107F">
        <w:rPr>
          <w:rFonts w:hint="cs"/>
          <w:rtl/>
        </w:rPr>
        <w:t xml:space="preserve"> בדבר פרשנות מצמצמת של התיקון, </w:t>
      </w:r>
      <w:r>
        <w:rPr>
          <w:rFonts w:hint="cs"/>
          <w:rtl/>
        </w:rPr>
        <w:t xml:space="preserve">הייתי מצרף אני </w:t>
      </w:r>
      <w:r w:rsidRPr="00F9107F">
        <w:rPr>
          <w:rFonts w:hint="cs"/>
          <w:rtl/>
        </w:rPr>
        <w:t xml:space="preserve">את קולי </w:t>
      </w:r>
      <w:r>
        <w:rPr>
          <w:rFonts w:hint="cs"/>
          <w:rtl/>
        </w:rPr>
        <w:t>בהתאם.</w:t>
      </w:r>
    </w:p>
    <w:p w:rsidR="00737972" w:rsidRDefault="00737972" w:rsidP="00737972">
      <w:pPr>
        <w:pStyle w:val="Ruller41"/>
        <w:rPr>
          <w:rtl/>
        </w:rPr>
      </w:pPr>
    </w:p>
    <w:p w:rsidR="00737972" w:rsidRDefault="00737972" w:rsidP="00737972">
      <w:pPr>
        <w:pStyle w:val="Ruller4"/>
      </w:pPr>
      <w:r>
        <w:rPr>
          <w:rFonts w:hint="cs"/>
          <w:rtl/>
        </w:rPr>
        <w:t xml:space="preserve">לאחר קריאת חוות דעתם של חבריי והתוספות להן, אוסיף מילים אחדות. </w:t>
      </w:r>
    </w:p>
    <w:p w:rsidR="00737972" w:rsidRDefault="00737972" w:rsidP="00737972">
      <w:pPr>
        <w:pStyle w:val="Ruller4"/>
        <w:numPr>
          <w:ilvl w:val="0"/>
          <w:numId w:val="0"/>
        </w:numPr>
        <w:rPr>
          <w:rtl/>
        </w:rPr>
      </w:pPr>
    </w:p>
    <w:p w:rsidR="00737972" w:rsidRDefault="00737972" w:rsidP="00737972">
      <w:pPr>
        <w:pStyle w:val="Ruller4"/>
        <w:numPr>
          <w:ilvl w:val="0"/>
          <w:numId w:val="0"/>
        </w:numPr>
        <w:rPr>
          <w:rtl/>
        </w:rPr>
      </w:pPr>
      <w:r>
        <w:rPr>
          <w:rtl/>
        </w:rPr>
        <w:tab/>
      </w:r>
      <w:r>
        <w:rPr>
          <w:rFonts w:hint="cs"/>
          <w:rtl/>
        </w:rPr>
        <w:t>אינני סבור כי ניתן לומר שמדובר בתיקון שמשמעותו סכנה מוחשית, הרסנית ואנושה לדמוקרטיה, כפי שהתבטאו חלק מחבריי בחוות דעתם. כדבריהם שמדובר ב"תיקון קיצוני וחריג בכל קנה מידה" ה"מתנגש חזיתית בליבת שניים ממאפייניה הגרעיניים של מדינת ישראל כמדינה דמוקרטית" (חוות דעתה של הנשיאה (בדימ'), פסקה 176) וה"מערער מן היסוד את מערכת האיזונים והבלמים הרעועה ממילא" (פסקה 178);</w:t>
      </w:r>
      <w:r w:rsidRPr="00C037EC">
        <w:rPr>
          <w:rFonts w:hint="cs"/>
          <w:rtl/>
        </w:rPr>
        <w:t xml:space="preserve"> </w:t>
      </w:r>
      <w:r>
        <w:rPr>
          <w:rFonts w:hint="cs"/>
          <w:rtl/>
        </w:rPr>
        <w:t xml:space="preserve">המהווה "פגיעה אנושה בעקרונות הדמוקרטיים היסודיים ביותר במדינת ישראל" (חוות דעתו של מ"מ הנשיא, פסקה 11); הממיט "הרס" על המשפט המינהלי (חוות דעתו של חברי השופט </w:t>
      </w:r>
      <w:r w:rsidRPr="00727E3D">
        <w:rPr>
          <w:rFonts w:ascii="Century" w:hAnsi="Century" w:cs="Miriam" w:hint="cs"/>
          <w:b/>
          <w:spacing w:val="0"/>
          <w:szCs w:val="24"/>
          <w:rtl/>
        </w:rPr>
        <w:t>עמית</w:t>
      </w:r>
      <w:r>
        <w:rPr>
          <w:rFonts w:hint="cs"/>
          <w:rtl/>
        </w:rPr>
        <w:t xml:space="preserve">, פסקה 116) ויוצר "חור שחור נורמטיבי, כזה שכוח הכבידה העוצמתי שלו שואב אליו שורה ארוכה של ערכים ונושאים עד שלא נודע כי באו אל קרבו" (פסקה 100); הפוגע "פגיעה אנושה" ב"אבני הבסיס של שיטתנו החוקתית" (חוות </w:t>
      </w:r>
      <w:r>
        <w:rPr>
          <w:rFonts w:hint="cs"/>
          <w:rtl/>
        </w:rPr>
        <w:lastRenderedPageBreak/>
        <w:t xml:space="preserve">דעתה של חברתי השופטת </w:t>
      </w:r>
      <w:r w:rsidRPr="00727E3D">
        <w:rPr>
          <w:rFonts w:ascii="Century" w:hAnsi="Century" w:cs="Miriam" w:hint="cs"/>
          <w:b/>
          <w:spacing w:val="0"/>
          <w:szCs w:val="24"/>
          <w:rtl/>
        </w:rPr>
        <w:t>ברק-ארז</w:t>
      </w:r>
      <w:r>
        <w:rPr>
          <w:rFonts w:hint="cs"/>
          <w:rtl/>
        </w:rPr>
        <w:t xml:space="preserve">, פסקה 27) ובדמוקרטיה (פסקה 35); כאשר "מרחפות מעל מדינת ישראל סכנות קיומיות, מחוץ ומבית... הדמוקרטיה הישראלית נתונה בימים אלה בסכנה מבית, והיא מגולמת בתיקון" (חוות דעתה של חברתי השופטת </w:t>
      </w:r>
      <w:r w:rsidRPr="00727E3D">
        <w:rPr>
          <w:rFonts w:ascii="Century" w:hAnsi="Century" w:cs="Miriam" w:hint="cs"/>
          <w:b/>
          <w:spacing w:val="0"/>
          <w:szCs w:val="24"/>
          <w:rtl/>
        </w:rPr>
        <w:t>ברון</w:t>
      </w:r>
      <w:r>
        <w:rPr>
          <w:rFonts w:hint="cs"/>
          <w:rtl/>
        </w:rPr>
        <w:t xml:space="preserve">, פסקה 1) היוצר "סכנה מוחשית לתקינות המינהל הציבורי ולשלטון החוק" (פסקה 28); ה"עלול אף לגרום לנזקים קשים לדמוקרטיה הישראלית" (חוות דעתו של חברי השופט </w:t>
      </w:r>
      <w:r w:rsidRPr="00727E3D">
        <w:rPr>
          <w:rFonts w:ascii="Century" w:hAnsi="Century" w:cs="Miriam" w:hint="cs"/>
          <w:b/>
          <w:spacing w:val="0"/>
          <w:szCs w:val="24"/>
          <w:rtl/>
        </w:rPr>
        <w:t>גרוסקופף</w:t>
      </w:r>
      <w:r>
        <w:rPr>
          <w:rFonts w:hint="cs"/>
          <w:rtl/>
        </w:rPr>
        <w:t xml:space="preserve">, פסקה 76) והמסיט את "נתיב הספינה ל'מים מסוכנים' </w:t>
      </w:r>
      <w:r>
        <w:rPr>
          <w:rtl/>
        </w:rPr>
        <w:t>–</w:t>
      </w:r>
      <w:r>
        <w:rPr>
          <w:rFonts w:hint="cs"/>
          <w:rtl/>
        </w:rPr>
        <w:t xml:space="preserve"> מסוכנים מאד" (פסקה 85); המהווה "מקרה קצה של פגיעה קשה ומהותית בגרעין הדמוקרטי של מדינת ישראל" (חוות דעתו של חברי השופט </w:t>
      </w:r>
      <w:r w:rsidRPr="00727E3D">
        <w:rPr>
          <w:rFonts w:ascii="Century" w:hAnsi="Century" w:cs="Miriam" w:hint="cs"/>
          <w:b/>
          <w:spacing w:val="0"/>
          <w:szCs w:val="24"/>
          <w:rtl/>
        </w:rPr>
        <w:t>כבוב,</w:t>
      </w:r>
      <w:r w:rsidRPr="00C037EC">
        <w:rPr>
          <w:rFonts w:hint="cs"/>
          <w:rtl/>
        </w:rPr>
        <w:t xml:space="preserve"> </w:t>
      </w:r>
      <w:r>
        <w:rPr>
          <w:rFonts w:hint="cs"/>
          <w:rtl/>
        </w:rPr>
        <w:t xml:space="preserve">פסקה 99); והפוגע "פגיעה קשה בעקרונות הדמוקרטיים של מדינת ישראל" (חוות דעתה של חברתי השופטת </w:t>
      </w:r>
      <w:r w:rsidRPr="00727E3D">
        <w:rPr>
          <w:rFonts w:ascii="Century" w:hAnsi="Century" w:cs="Miriam" w:hint="cs"/>
          <w:b/>
          <w:spacing w:val="0"/>
          <w:szCs w:val="24"/>
          <w:rtl/>
        </w:rPr>
        <w:t>רונן</w:t>
      </w:r>
      <w:r>
        <w:rPr>
          <w:rFonts w:hint="cs"/>
          <w:rtl/>
        </w:rPr>
        <w:t>, פסקה 42).</w:t>
      </w:r>
    </w:p>
    <w:p w:rsidR="00737972" w:rsidRDefault="00737972" w:rsidP="00737972">
      <w:pPr>
        <w:pStyle w:val="Ruller41"/>
        <w:rPr>
          <w:rtl/>
        </w:rPr>
      </w:pPr>
    </w:p>
    <w:p w:rsidR="00737972" w:rsidRDefault="00737972" w:rsidP="00737972">
      <w:pPr>
        <w:pStyle w:val="Ruller41"/>
        <w:rPr>
          <w:rtl/>
        </w:rPr>
      </w:pPr>
      <w:r>
        <w:rPr>
          <w:rtl/>
        </w:rPr>
        <w:tab/>
      </w:r>
      <w:r>
        <w:rPr>
          <w:rFonts w:hint="cs"/>
          <w:rtl/>
        </w:rPr>
        <w:t xml:space="preserve">להשקפתי תיאורים אלו אינם משקפים נכון את המצב החוקתי לאחר התיקון. לא קרוב לכך. צל הרים כהרים. ודאי בהתחשב ברוב הדחוק של השופטים התומכים בביטול התיקון לעומת המתנגדים לכך, דבר המצביע כשלעצמו על חולשת הטענה לקריסת המבנה הדמוקרטי בישראל עד היסוד. </w:t>
      </w:r>
    </w:p>
    <w:p w:rsidR="00737972" w:rsidRDefault="00737972" w:rsidP="00737972">
      <w:pPr>
        <w:pStyle w:val="Ruller41"/>
        <w:rPr>
          <w:rtl/>
        </w:rPr>
      </w:pPr>
    </w:p>
    <w:p w:rsidR="00EC32E0" w:rsidRDefault="00EC32E0" w:rsidP="00EC32E0">
      <w:pPr>
        <w:pStyle w:val="Ruller41"/>
        <w:rPr>
          <w:rtl/>
        </w:rPr>
      </w:pPr>
    </w:p>
    <w:tbl>
      <w:tblPr>
        <w:bidiVisual/>
        <w:tblW w:w="8363" w:type="dxa"/>
        <w:tblLook w:val="01E0" w:firstRow="1" w:lastRow="1" w:firstColumn="1" w:lastColumn="1" w:noHBand="0" w:noVBand="0"/>
      </w:tblPr>
      <w:tblGrid>
        <w:gridCol w:w="2786"/>
        <w:gridCol w:w="2787"/>
        <w:gridCol w:w="2790"/>
      </w:tblGrid>
      <w:tr w:rsidR="00EC32E0" w:rsidTr="00DD4ADA">
        <w:tc>
          <w:tcPr>
            <w:tcW w:w="2842" w:type="dxa"/>
            <w:shd w:val="clear" w:color="auto" w:fill="auto"/>
          </w:tcPr>
          <w:p w:rsidR="00EC32E0" w:rsidRDefault="00EC32E0" w:rsidP="00DD4ADA">
            <w:pPr>
              <w:pStyle w:val="Ruller41"/>
              <w:rPr>
                <w:rtl/>
              </w:rPr>
            </w:pPr>
          </w:p>
        </w:tc>
        <w:tc>
          <w:tcPr>
            <w:tcW w:w="2843" w:type="dxa"/>
            <w:shd w:val="clear" w:color="auto" w:fill="auto"/>
          </w:tcPr>
          <w:p w:rsidR="00EC32E0" w:rsidRDefault="00EC32E0" w:rsidP="00DD4ADA">
            <w:pPr>
              <w:pStyle w:val="Ruller41"/>
              <w:jc w:val="center"/>
              <w:rPr>
                <w:rtl/>
              </w:rPr>
            </w:pPr>
          </w:p>
        </w:tc>
        <w:tc>
          <w:tcPr>
            <w:tcW w:w="2843" w:type="dxa"/>
            <w:shd w:val="clear" w:color="auto" w:fill="auto"/>
          </w:tcPr>
          <w:p w:rsidR="00EC32E0" w:rsidRDefault="00EC32E0" w:rsidP="00DD4ADA">
            <w:pPr>
              <w:pStyle w:val="Ruller41"/>
              <w:jc w:val="center"/>
              <w:rPr>
                <w:rtl/>
              </w:rPr>
            </w:pPr>
            <w:r>
              <w:rPr>
                <w:rtl/>
              </w:rPr>
              <w:t>ש ו פ ט</w:t>
            </w:r>
          </w:p>
        </w:tc>
      </w:tr>
    </w:tbl>
    <w:p w:rsidR="00FF17DB" w:rsidRDefault="00FF17DB" w:rsidP="008B4A55">
      <w:pPr>
        <w:pStyle w:val="BODYVERDICT"/>
        <w:spacing w:line="360" w:lineRule="auto"/>
      </w:pPr>
    </w:p>
    <w:p w:rsidR="00FF17DB" w:rsidRDefault="00FF17DB" w:rsidP="00FF17DB">
      <w:pPr>
        <w:pStyle w:val="BODYVERDICT"/>
        <w:outlineLvl w:val="0"/>
        <w:rPr>
          <w:rFonts w:cs="Miriam"/>
          <w:sz w:val="24"/>
          <w:szCs w:val="24"/>
          <w:u w:val="single"/>
          <w:rtl/>
        </w:rPr>
      </w:pPr>
      <w:r w:rsidRPr="00462789">
        <w:rPr>
          <w:rFonts w:cs="Miriam" w:hint="cs"/>
          <w:sz w:val="24"/>
          <w:szCs w:val="24"/>
          <w:u w:val="single"/>
          <w:rtl/>
        </w:rPr>
        <w:t>השופט ח' כבוב</w:t>
      </w:r>
      <w:r w:rsidRPr="000075A3">
        <w:rPr>
          <w:rFonts w:cs="Miriam"/>
          <w:sz w:val="24"/>
          <w:szCs w:val="24"/>
          <w:rtl/>
        </w:rPr>
        <w:t>:</w:t>
      </w:r>
    </w:p>
    <w:p w:rsidR="00D61E12" w:rsidRPr="009763D1" w:rsidRDefault="00D61E12" w:rsidP="00D61E12">
      <w:pPr>
        <w:pStyle w:val="BODYVERDICT"/>
        <w:spacing w:line="360" w:lineRule="auto"/>
        <w:rPr>
          <w:rFonts w:ascii="Century" w:hAnsi="Century" w:cs="Miriam"/>
          <w:szCs w:val="24"/>
          <w:rtl/>
        </w:rPr>
      </w:pPr>
    </w:p>
    <w:p w:rsidR="00D61E12" w:rsidRDefault="00D61E12" w:rsidP="002A1A3A">
      <w:pPr>
        <w:pStyle w:val="Ruller4"/>
        <w:numPr>
          <w:ilvl w:val="0"/>
          <w:numId w:val="17"/>
        </w:numPr>
        <w:spacing w:after="240"/>
      </w:pPr>
      <w:r>
        <w:rPr>
          <w:rFonts w:hint="cs"/>
          <w:rtl/>
        </w:rPr>
        <w:t xml:space="preserve">עניינן של העתירות שבכותרת בתיקון מס' 3 לחוק-יסוד: השפיטה, במסגרתו נקבע בסעיף 15(ד1), כדלהלן: </w:t>
      </w:r>
    </w:p>
    <w:p w:rsidR="00D61E12" w:rsidRDefault="00D61E12" w:rsidP="00D61E12">
      <w:pPr>
        <w:pStyle w:val="Ruller5"/>
        <w:spacing w:before="240" w:after="240"/>
      </w:pPr>
      <w:r>
        <w:rPr>
          <w:rFonts w:hint="cs"/>
          <w:rtl/>
        </w:rPr>
        <w:t>"</w:t>
      </w:r>
      <w:r w:rsidRPr="00960B51">
        <w:rPr>
          <w:rtl/>
        </w:rPr>
        <w:t xml:space="preserve">על אף האמור בחוק-יסוד זה, מי שבידו סמכות שפיטה על פי דין, לרבות בית המשפט העליון בשבתו כבית משפט גבוה לצדק, לא ידון בעניין סבירות ההחלטה של הממשלה, של ראש הממשלה או של שר אחר, ולא ייתן צו בעניין כאמור; בסעיף זה, </w:t>
      </w:r>
      <w:r>
        <w:rPr>
          <w:rFonts w:hint="cs"/>
          <w:rtl/>
        </w:rPr>
        <w:t>'</w:t>
      </w:r>
      <w:r w:rsidRPr="00960B51">
        <w:rPr>
          <w:rtl/>
        </w:rPr>
        <w:t>החלטה</w:t>
      </w:r>
      <w:r>
        <w:rPr>
          <w:rFonts w:hint="cs"/>
          <w:rtl/>
        </w:rPr>
        <w:t>'</w:t>
      </w:r>
      <w:r w:rsidRPr="00960B51">
        <w:rPr>
          <w:rtl/>
        </w:rPr>
        <w:t xml:space="preserve"> – כל החלטה, לרבות בענייני מינויים או החלטה להימנע מהפעלת כל סמכות</w:t>
      </w:r>
      <w:r>
        <w:rPr>
          <w:rFonts w:hint="cs"/>
          <w:rtl/>
        </w:rPr>
        <w:t xml:space="preserve">" (להלן גם: </w:t>
      </w:r>
      <w:r w:rsidRPr="00011760">
        <w:rPr>
          <w:rFonts w:ascii="Century" w:hAnsi="Century" w:cs="Miriam" w:hint="eastAsia"/>
          <w:b/>
          <w:spacing w:val="0"/>
          <w:szCs w:val="24"/>
          <w:rtl/>
        </w:rPr>
        <w:t>תיקון</w:t>
      </w:r>
      <w:r w:rsidRPr="00011760">
        <w:rPr>
          <w:rFonts w:ascii="Century" w:hAnsi="Century" w:cs="Miriam"/>
          <w:b/>
          <w:spacing w:val="0"/>
          <w:szCs w:val="24"/>
          <w:rtl/>
        </w:rPr>
        <w:t xml:space="preserve"> </w:t>
      </w:r>
      <w:r w:rsidRPr="00011760">
        <w:rPr>
          <w:rFonts w:ascii="Century" w:hAnsi="Century" w:cs="Miriam" w:hint="eastAsia"/>
          <w:b/>
          <w:spacing w:val="0"/>
          <w:szCs w:val="24"/>
          <w:rtl/>
        </w:rPr>
        <w:t>מס</w:t>
      </w:r>
      <w:r w:rsidRPr="00011760">
        <w:rPr>
          <w:rFonts w:ascii="Century" w:hAnsi="Century" w:cs="Miriam"/>
          <w:b/>
          <w:spacing w:val="0"/>
          <w:szCs w:val="24"/>
          <w:rtl/>
        </w:rPr>
        <w:t xml:space="preserve">' 3 </w:t>
      </w:r>
      <w:r>
        <w:rPr>
          <w:rFonts w:hint="cs"/>
          <w:rtl/>
        </w:rPr>
        <w:t xml:space="preserve">או </w:t>
      </w:r>
      <w:r w:rsidRPr="00011760">
        <w:rPr>
          <w:rFonts w:ascii="Century" w:hAnsi="Century" w:cs="Miriam" w:hint="eastAsia"/>
          <w:b/>
          <w:spacing w:val="0"/>
          <w:szCs w:val="24"/>
          <w:rtl/>
        </w:rPr>
        <w:t>סעיף</w:t>
      </w:r>
      <w:r w:rsidRPr="00011760">
        <w:rPr>
          <w:rFonts w:ascii="Century" w:hAnsi="Century" w:cs="Miriam"/>
          <w:b/>
          <w:spacing w:val="0"/>
          <w:szCs w:val="24"/>
          <w:rtl/>
        </w:rPr>
        <w:t xml:space="preserve"> 15(</w:t>
      </w:r>
      <w:r w:rsidRPr="00011760">
        <w:rPr>
          <w:rFonts w:ascii="Century" w:hAnsi="Century" w:cs="Miriam" w:hint="eastAsia"/>
          <w:b/>
          <w:spacing w:val="0"/>
          <w:szCs w:val="24"/>
          <w:rtl/>
        </w:rPr>
        <w:t>ד</w:t>
      </w:r>
      <w:r w:rsidRPr="00011760">
        <w:rPr>
          <w:rFonts w:ascii="Century" w:hAnsi="Century" w:cs="Miriam"/>
          <w:b/>
          <w:spacing w:val="0"/>
          <w:szCs w:val="24"/>
          <w:rtl/>
        </w:rPr>
        <w:t>1)</w:t>
      </w:r>
      <w:r>
        <w:rPr>
          <w:rFonts w:hint="cs"/>
          <w:rtl/>
        </w:rPr>
        <w:t>)</w:t>
      </w:r>
      <w:r w:rsidRPr="00960B51">
        <w:rPr>
          <w:rtl/>
        </w:rPr>
        <w:t>.</w:t>
      </w:r>
    </w:p>
    <w:p w:rsidR="00D61E12" w:rsidRDefault="00D61E12" w:rsidP="00D61E12">
      <w:pPr>
        <w:pStyle w:val="Ruller4"/>
        <w:numPr>
          <w:ilvl w:val="0"/>
          <w:numId w:val="0"/>
        </w:numPr>
        <w:spacing w:before="240" w:after="240"/>
      </w:pPr>
      <w:r>
        <w:rPr>
          <w:rtl/>
        </w:rPr>
        <w:tab/>
      </w:r>
      <w:r w:rsidRPr="000E10E6">
        <w:rPr>
          <w:rFonts w:hint="cs"/>
          <w:rtl/>
        </w:rPr>
        <w:t>השאלות המתעוררות בעתירות</w:t>
      </w:r>
      <w:r>
        <w:rPr>
          <w:rFonts w:hint="cs"/>
          <w:rtl/>
        </w:rPr>
        <w:t xml:space="preserve"> שלפנינו ניתנות לחלוקה לשלוש קטגוריות:</w:t>
      </w:r>
    </w:p>
    <w:p w:rsidR="00D61E12" w:rsidRPr="005847E8" w:rsidRDefault="00D61E12" w:rsidP="00D61E12">
      <w:pPr>
        <w:pStyle w:val="Ruller41"/>
        <w:spacing w:before="240" w:after="240"/>
        <w:rPr>
          <w:rtl/>
        </w:rPr>
      </w:pPr>
      <w:r>
        <w:rPr>
          <w:rtl/>
        </w:rPr>
        <w:tab/>
      </w:r>
      <w:r w:rsidRPr="00011760">
        <w:rPr>
          <w:rFonts w:ascii="Century" w:hAnsi="Century" w:cs="Miriam" w:hint="eastAsia"/>
          <w:b/>
          <w:spacing w:val="0"/>
          <w:szCs w:val="24"/>
          <w:rtl/>
        </w:rPr>
        <w:t>הסמכות</w:t>
      </w:r>
      <w:r w:rsidRPr="00B65627">
        <w:rPr>
          <w:rFonts w:ascii="Century" w:hAnsi="Century"/>
          <w:rtl/>
        </w:rPr>
        <w:t>.</w:t>
      </w:r>
      <w:r w:rsidRPr="00011760">
        <w:rPr>
          <w:rFonts w:ascii="Century" w:hAnsi="Century" w:cs="Miriam"/>
          <w:b/>
          <w:spacing w:val="0"/>
          <w:szCs w:val="24"/>
          <w:rtl/>
        </w:rPr>
        <w:t xml:space="preserve"> </w:t>
      </w:r>
      <w:r w:rsidRPr="00B65627">
        <w:rPr>
          <w:rFonts w:ascii="Century" w:hAnsi="Century" w:hint="eastAsia"/>
          <w:rtl/>
        </w:rPr>
        <w:t>האם</w:t>
      </w:r>
      <w:r w:rsidRPr="00B65627">
        <w:rPr>
          <w:rFonts w:ascii="Century" w:hAnsi="Century"/>
          <w:rtl/>
        </w:rPr>
        <w:t xml:space="preserve"> </w:t>
      </w:r>
      <w:r w:rsidRPr="00B65627">
        <w:rPr>
          <w:rFonts w:ascii="Century" w:hAnsi="Century" w:hint="eastAsia"/>
          <w:rtl/>
        </w:rPr>
        <w:t>קיימת</w:t>
      </w:r>
      <w:r w:rsidRPr="00B65627">
        <w:rPr>
          <w:rFonts w:ascii="Century" w:hAnsi="Century"/>
          <w:rtl/>
        </w:rPr>
        <w:t xml:space="preserve"> </w:t>
      </w:r>
      <w:r w:rsidRPr="00B65627">
        <w:rPr>
          <w:rFonts w:ascii="Century" w:hAnsi="Century" w:hint="eastAsia"/>
          <w:rtl/>
        </w:rPr>
        <w:t>מגבלה</w:t>
      </w:r>
      <w:r w:rsidRPr="00B65627">
        <w:rPr>
          <w:rFonts w:ascii="Century" w:hAnsi="Century"/>
          <w:rtl/>
        </w:rPr>
        <w:t xml:space="preserve"> </w:t>
      </w:r>
      <w:r w:rsidRPr="00B65627">
        <w:rPr>
          <w:rFonts w:ascii="Century" w:hAnsi="Century" w:hint="eastAsia"/>
          <w:rtl/>
        </w:rPr>
        <w:t>על</w:t>
      </w:r>
      <w:r w:rsidRPr="00B65627">
        <w:rPr>
          <w:rFonts w:ascii="Century" w:hAnsi="Century"/>
          <w:rtl/>
        </w:rPr>
        <w:t xml:space="preserve"> </w:t>
      </w:r>
      <w:r w:rsidRPr="00B65627">
        <w:rPr>
          <w:rFonts w:ascii="Century" w:hAnsi="Century" w:hint="eastAsia"/>
          <w:rtl/>
        </w:rPr>
        <w:t>הסמכות</w:t>
      </w:r>
      <w:r w:rsidRPr="00B65627">
        <w:rPr>
          <w:rFonts w:ascii="Century" w:hAnsi="Century"/>
          <w:rtl/>
        </w:rPr>
        <w:t xml:space="preserve"> </w:t>
      </w:r>
      <w:r w:rsidRPr="00B65627">
        <w:rPr>
          <w:rFonts w:ascii="Century" w:hAnsi="Century" w:hint="eastAsia"/>
          <w:rtl/>
        </w:rPr>
        <w:t>המכוננת</w:t>
      </w:r>
      <w:r w:rsidRPr="00B65627">
        <w:rPr>
          <w:rFonts w:ascii="Century" w:hAnsi="Century"/>
          <w:rtl/>
        </w:rPr>
        <w:t xml:space="preserve"> </w:t>
      </w:r>
      <w:r w:rsidRPr="00B65627">
        <w:rPr>
          <w:rFonts w:ascii="Century" w:hAnsi="Century" w:hint="eastAsia"/>
          <w:rtl/>
        </w:rPr>
        <w:t>של</w:t>
      </w:r>
      <w:r w:rsidRPr="00B65627">
        <w:rPr>
          <w:rFonts w:ascii="Century" w:hAnsi="Century"/>
          <w:rtl/>
        </w:rPr>
        <w:t xml:space="preserve"> </w:t>
      </w:r>
      <w:r w:rsidRPr="00B65627">
        <w:rPr>
          <w:rFonts w:ascii="Century" w:hAnsi="Century" w:hint="eastAsia"/>
          <w:rtl/>
        </w:rPr>
        <w:t>הכנסת</w:t>
      </w:r>
      <w:r w:rsidRPr="00B65627">
        <w:rPr>
          <w:rFonts w:ascii="Century" w:hAnsi="Century"/>
          <w:rtl/>
        </w:rPr>
        <w:t xml:space="preserve">, </w:t>
      </w:r>
      <w:r w:rsidRPr="00B65627">
        <w:rPr>
          <w:rFonts w:ascii="Century" w:hAnsi="Century" w:hint="eastAsia"/>
          <w:rtl/>
        </w:rPr>
        <w:t>והאם</w:t>
      </w:r>
      <w:r w:rsidRPr="00B65627">
        <w:rPr>
          <w:rFonts w:ascii="Century" w:hAnsi="Century"/>
          <w:rtl/>
        </w:rPr>
        <w:t xml:space="preserve"> </w:t>
      </w:r>
      <w:r w:rsidRPr="00B65627">
        <w:rPr>
          <w:rFonts w:ascii="Century" w:hAnsi="Century" w:hint="eastAsia"/>
          <w:rtl/>
        </w:rPr>
        <w:t>לבית</w:t>
      </w:r>
      <w:r w:rsidRPr="00B65627">
        <w:rPr>
          <w:rFonts w:ascii="Century" w:hAnsi="Century"/>
          <w:rtl/>
        </w:rPr>
        <w:t xml:space="preserve"> </w:t>
      </w:r>
      <w:r w:rsidRPr="00B65627">
        <w:rPr>
          <w:rFonts w:ascii="Century" w:hAnsi="Century" w:hint="eastAsia"/>
          <w:rtl/>
        </w:rPr>
        <w:t>משפט</w:t>
      </w:r>
      <w:r w:rsidRPr="00B65627">
        <w:rPr>
          <w:rFonts w:ascii="Century" w:hAnsi="Century"/>
          <w:rtl/>
        </w:rPr>
        <w:t xml:space="preserve"> </w:t>
      </w:r>
      <w:r>
        <w:rPr>
          <w:rFonts w:ascii="Century" w:hAnsi="Century" w:hint="cs"/>
          <w:rtl/>
        </w:rPr>
        <w:t xml:space="preserve">זה </w:t>
      </w:r>
      <w:r w:rsidRPr="00B65627">
        <w:rPr>
          <w:rFonts w:ascii="Century" w:hAnsi="Century" w:hint="eastAsia"/>
          <w:rtl/>
        </w:rPr>
        <w:t>סמכות</w:t>
      </w:r>
      <w:r w:rsidRPr="00B65627">
        <w:rPr>
          <w:rFonts w:ascii="Century" w:hAnsi="Century"/>
          <w:rtl/>
        </w:rPr>
        <w:t xml:space="preserve"> </w:t>
      </w:r>
      <w:r w:rsidRPr="00B65627">
        <w:rPr>
          <w:rFonts w:ascii="Century" w:hAnsi="Century" w:hint="eastAsia"/>
          <w:rtl/>
        </w:rPr>
        <w:t>לדון</w:t>
      </w:r>
      <w:r w:rsidRPr="00B65627">
        <w:rPr>
          <w:rFonts w:ascii="Century" w:hAnsi="Century"/>
          <w:rtl/>
        </w:rPr>
        <w:t xml:space="preserve"> </w:t>
      </w:r>
      <w:r w:rsidRPr="00B65627">
        <w:rPr>
          <w:rFonts w:ascii="Century" w:hAnsi="Century" w:hint="eastAsia"/>
          <w:rtl/>
        </w:rPr>
        <w:t>בתוקפו</w:t>
      </w:r>
      <w:r w:rsidRPr="00B65627">
        <w:rPr>
          <w:rFonts w:ascii="Century" w:hAnsi="Century"/>
          <w:rtl/>
        </w:rPr>
        <w:t xml:space="preserve"> </w:t>
      </w:r>
      <w:r w:rsidRPr="00B65627">
        <w:rPr>
          <w:rFonts w:ascii="Century" w:hAnsi="Century" w:hint="eastAsia"/>
          <w:rtl/>
        </w:rPr>
        <w:t>של</w:t>
      </w:r>
      <w:r w:rsidRPr="00B65627">
        <w:rPr>
          <w:rFonts w:ascii="Century" w:hAnsi="Century"/>
          <w:rtl/>
        </w:rPr>
        <w:t xml:space="preserve"> </w:t>
      </w:r>
      <w:r>
        <w:rPr>
          <w:rFonts w:ascii="Century" w:hAnsi="Century" w:hint="eastAsia"/>
          <w:rtl/>
        </w:rPr>
        <w:t>חוק-יסוד</w:t>
      </w:r>
      <w:r w:rsidRPr="00B65627">
        <w:rPr>
          <w:rFonts w:ascii="Century" w:hAnsi="Century"/>
          <w:rtl/>
        </w:rPr>
        <w:t>?</w:t>
      </w:r>
      <w:r w:rsidRPr="0005204A">
        <w:rPr>
          <w:rFonts w:hint="cs"/>
          <w:rtl/>
        </w:rPr>
        <w:t xml:space="preserve"> </w:t>
      </w:r>
      <w:r>
        <w:rPr>
          <w:rFonts w:hint="cs"/>
          <w:rtl/>
        </w:rPr>
        <w:t xml:space="preserve">שאלה זו נחלקת לכמה שאלות משנה: מה הם </w:t>
      </w:r>
      <w:r w:rsidRPr="00011760">
        <w:rPr>
          <w:rFonts w:ascii="Century" w:hAnsi="Century" w:cs="Miriam" w:hint="eastAsia"/>
          <w:b/>
          <w:spacing w:val="0"/>
          <w:szCs w:val="24"/>
          <w:rtl/>
        </w:rPr>
        <w:t>גבולות</w:t>
      </w:r>
      <w:r w:rsidRPr="005847E8">
        <w:rPr>
          <w:rFonts w:hint="cs"/>
          <w:rtl/>
        </w:rPr>
        <w:t xml:space="preserve"> </w:t>
      </w:r>
      <w:r>
        <w:rPr>
          <w:rFonts w:hint="cs"/>
          <w:rtl/>
        </w:rPr>
        <w:t xml:space="preserve">סמכותה של הכנסת כרשות המכוננת, ככל שקיימים כאלו? האם בית המשפט הוא הגורם שבידיו הסמכות לפקח אחר המגבלות המוטלות על הכנסת בפועלה כרשות </w:t>
      </w:r>
      <w:r>
        <w:rPr>
          <w:rFonts w:hint="cs"/>
          <w:rtl/>
        </w:rPr>
        <w:lastRenderedPageBreak/>
        <w:t xml:space="preserve">מכוננת, ואם כן מה </w:t>
      </w:r>
      <w:r>
        <w:rPr>
          <w:rFonts w:ascii="Century" w:hAnsi="Century" w:cs="Miriam" w:hint="cs"/>
          <w:b/>
          <w:spacing w:val="0"/>
          <w:szCs w:val="24"/>
          <w:rtl/>
        </w:rPr>
        <w:t xml:space="preserve">מקור </w:t>
      </w:r>
      <w:r>
        <w:rPr>
          <w:rFonts w:ascii="Century" w:hAnsi="Century" w:hint="cs"/>
          <w:rtl/>
        </w:rPr>
        <w:t>הסמכות האמורה</w:t>
      </w:r>
      <w:r>
        <w:rPr>
          <w:rFonts w:hint="cs"/>
          <w:rtl/>
        </w:rPr>
        <w:t xml:space="preserve">? מהי </w:t>
      </w:r>
      <w:r w:rsidRPr="00E2335C">
        <w:rPr>
          <w:rFonts w:ascii="Century" w:hAnsi="Century" w:cs="Miriam" w:hint="cs"/>
          <w:b/>
          <w:spacing w:val="0"/>
          <w:szCs w:val="24"/>
          <w:rtl/>
        </w:rPr>
        <w:t>מהות</w:t>
      </w:r>
      <w:r w:rsidRPr="00E2335C">
        <w:rPr>
          <w:rFonts w:hint="cs"/>
          <w:rtl/>
        </w:rPr>
        <w:t xml:space="preserve"> </w:t>
      </w:r>
      <w:r>
        <w:rPr>
          <w:rFonts w:hint="cs"/>
          <w:rtl/>
        </w:rPr>
        <w:t>הביקורת שבית המשפט מוסמך להעביר על חוקי-יסוד</w:t>
      </w:r>
      <w:r w:rsidRPr="002E3F7C">
        <w:rPr>
          <w:rFonts w:ascii="Garamond" w:hAnsi="Garamond"/>
          <w:sz w:val="24"/>
          <w:rtl/>
        </w:rPr>
        <w:t xml:space="preserve"> </w:t>
      </w:r>
      <w:r w:rsidRPr="002E3F7C">
        <w:rPr>
          <w:rFonts w:ascii="Garamond" w:hAnsi="Garamond" w:hint="cs"/>
          <w:sz w:val="24"/>
          <w:rtl/>
        </w:rPr>
        <w:t>ו</w:t>
      </w:r>
      <w:r w:rsidRPr="002E3F7C">
        <w:rPr>
          <w:rFonts w:ascii="Century" w:hAnsi="Century" w:cs="Miriam" w:hint="eastAsia"/>
          <w:b/>
          <w:spacing w:val="0"/>
          <w:szCs w:val="24"/>
          <w:rtl/>
        </w:rPr>
        <w:t>הנסיבות</w:t>
      </w:r>
      <w:r w:rsidRPr="002E3F7C">
        <w:rPr>
          <w:rFonts w:ascii="Garamond" w:hAnsi="Garamond"/>
          <w:sz w:val="24"/>
          <w:rtl/>
        </w:rPr>
        <w:t xml:space="preserve"> </w:t>
      </w:r>
      <w:r w:rsidRPr="002E3F7C">
        <w:rPr>
          <w:rFonts w:ascii="Garamond" w:hAnsi="Garamond" w:hint="eastAsia"/>
          <w:sz w:val="24"/>
          <w:rtl/>
        </w:rPr>
        <w:t>שבהן</w:t>
      </w:r>
      <w:r w:rsidRPr="002E3F7C">
        <w:rPr>
          <w:rFonts w:ascii="Garamond" w:hAnsi="Garamond"/>
          <w:sz w:val="24"/>
          <w:rtl/>
        </w:rPr>
        <w:t xml:space="preserve"> </w:t>
      </w:r>
      <w:r w:rsidRPr="002E3F7C">
        <w:rPr>
          <w:rFonts w:ascii="Garamond" w:hAnsi="Garamond" w:hint="eastAsia"/>
          <w:sz w:val="24"/>
          <w:rtl/>
        </w:rPr>
        <w:t>יורה</w:t>
      </w:r>
      <w:r w:rsidRPr="002E3F7C">
        <w:rPr>
          <w:rFonts w:ascii="Garamond" w:hAnsi="Garamond"/>
          <w:sz w:val="24"/>
          <w:rtl/>
        </w:rPr>
        <w:t xml:space="preserve"> </w:t>
      </w:r>
      <w:r w:rsidRPr="002E3F7C">
        <w:rPr>
          <w:rFonts w:ascii="Garamond" w:hAnsi="Garamond" w:hint="eastAsia"/>
          <w:sz w:val="24"/>
          <w:rtl/>
        </w:rPr>
        <w:t>בית</w:t>
      </w:r>
      <w:r w:rsidRPr="002E3F7C">
        <w:rPr>
          <w:rFonts w:ascii="Garamond" w:hAnsi="Garamond"/>
          <w:sz w:val="24"/>
          <w:rtl/>
        </w:rPr>
        <w:t xml:space="preserve"> </w:t>
      </w:r>
      <w:r w:rsidRPr="002E3F7C">
        <w:rPr>
          <w:rFonts w:ascii="Garamond" w:hAnsi="Garamond" w:hint="eastAsia"/>
          <w:sz w:val="24"/>
          <w:rtl/>
        </w:rPr>
        <w:t>המשפט</w:t>
      </w:r>
      <w:r w:rsidRPr="002E3F7C">
        <w:rPr>
          <w:rFonts w:ascii="Garamond" w:hAnsi="Garamond"/>
          <w:sz w:val="24"/>
          <w:rtl/>
        </w:rPr>
        <w:t xml:space="preserve"> </w:t>
      </w:r>
      <w:r w:rsidRPr="002E3F7C">
        <w:rPr>
          <w:rFonts w:ascii="Garamond" w:hAnsi="Garamond" w:hint="eastAsia"/>
          <w:sz w:val="24"/>
          <w:rtl/>
        </w:rPr>
        <w:t>על</w:t>
      </w:r>
      <w:r w:rsidRPr="002E3F7C">
        <w:rPr>
          <w:rFonts w:ascii="Garamond" w:hAnsi="Garamond"/>
          <w:sz w:val="24"/>
          <w:rtl/>
        </w:rPr>
        <w:t xml:space="preserve"> </w:t>
      </w:r>
      <w:r w:rsidRPr="002E3F7C">
        <w:rPr>
          <w:rFonts w:ascii="Garamond" w:hAnsi="Garamond" w:hint="eastAsia"/>
          <w:sz w:val="24"/>
          <w:rtl/>
        </w:rPr>
        <w:t>בטלות</w:t>
      </w:r>
      <w:r w:rsidRPr="002E3F7C">
        <w:rPr>
          <w:rFonts w:ascii="Garamond" w:hAnsi="Garamond"/>
          <w:sz w:val="24"/>
          <w:rtl/>
        </w:rPr>
        <w:t xml:space="preserve"> </w:t>
      </w:r>
      <w:r>
        <w:rPr>
          <w:rFonts w:ascii="Garamond" w:hAnsi="Garamond" w:hint="eastAsia"/>
          <w:sz w:val="24"/>
          <w:rtl/>
        </w:rPr>
        <w:t>חוק-יסוד</w:t>
      </w:r>
      <w:r>
        <w:rPr>
          <w:rFonts w:ascii="Garamond" w:hAnsi="Garamond" w:hint="cs"/>
          <w:sz w:val="24"/>
          <w:rtl/>
        </w:rPr>
        <w:t>?</w:t>
      </w:r>
    </w:p>
    <w:p w:rsidR="00D61E12" w:rsidRPr="0005204A" w:rsidRDefault="00D61E12" w:rsidP="00D61E12">
      <w:pPr>
        <w:pStyle w:val="Ruller4"/>
        <w:numPr>
          <w:ilvl w:val="0"/>
          <w:numId w:val="0"/>
        </w:numPr>
        <w:spacing w:before="240" w:after="240"/>
        <w:rPr>
          <w:rtl/>
        </w:rPr>
      </w:pPr>
      <w:r>
        <w:rPr>
          <w:rtl/>
        </w:rPr>
        <w:tab/>
      </w:r>
      <w:r>
        <w:rPr>
          <w:rFonts w:ascii="Century" w:hAnsi="Century" w:cs="Miriam" w:hint="cs"/>
          <w:b/>
          <w:spacing w:val="0"/>
          <w:sz w:val="22"/>
          <w:szCs w:val="24"/>
          <w:rtl/>
        </w:rPr>
        <w:t>הפרשנות</w:t>
      </w:r>
      <w:r w:rsidRPr="00B65627">
        <w:rPr>
          <w:rFonts w:ascii="Century" w:hAnsi="Century" w:hint="cs"/>
          <w:sz w:val="22"/>
          <w:rtl/>
        </w:rPr>
        <w:t>.</w:t>
      </w:r>
      <w:r>
        <w:rPr>
          <w:rFonts w:ascii="Century" w:hAnsi="Century" w:cs="Miriam" w:hint="cs"/>
          <w:b/>
          <w:spacing w:val="0"/>
          <w:sz w:val="22"/>
          <w:szCs w:val="24"/>
          <w:rtl/>
        </w:rPr>
        <w:t xml:space="preserve"> </w:t>
      </w:r>
      <w:r w:rsidRPr="00B65627">
        <w:rPr>
          <w:rFonts w:ascii="Century" w:hAnsi="Century" w:hint="eastAsia"/>
          <w:sz w:val="22"/>
          <w:rtl/>
        </w:rPr>
        <w:t>מה</w:t>
      </w:r>
      <w:r>
        <w:rPr>
          <w:rFonts w:ascii="Century" w:hAnsi="Century" w:hint="cs"/>
          <w:sz w:val="22"/>
          <w:rtl/>
        </w:rPr>
        <w:t>י</w:t>
      </w:r>
      <w:r w:rsidRPr="00B65627">
        <w:rPr>
          <w:rFonts w:ascii="Century" w:hAnsi="Century"/>
          <w:sz w:val="22"/>
          <w:rtl/>
        </w:rPr>
        <w:t xml:space="preserve"> </w:t>
      </w:r>
      <w:r w:rsidRPr="00B65627">
        <w:rPr>
          <w:rFonts w:ascii="Century" w:hAnsi="Century" w:hint="eastAsia"/>
          <w:sz w:val="22"/>
          <w:rtl/>
        </w:rPr>
        <w:t>הפרש</w:t>
      </w:r>
      <w:r>
        <w:rPr>
          <w:rFonts w:ascii="Century" w:hAnsi="Century" w:hint="cs"/>
          <w:sz w:val="22"/>
          <w:rtl/>
        </w:rPr>
        <w:t>נות</w:t>
      </w:r>
      <w:r w:rsidRPr="00B65627">
        <w:rPr>
          <w:rFonts w:ascii="Century" w:hAnsi="Century"/>
          <w:sz w:val="22"/>
          <w:rtl/>
        </w:rPr>
        <w:t xml:space="preserve"> </w:t>
      </w:r>
      <w:r>
        <w:rPr>
          <w:rFonts w:ascii="Century" w:hAnsi="Century" w:hint="cs"/>
          <w:sz w:val="22"/>
          <w:rtl/>
        </w:rPr>
        <w:t xml:space="preserve">הנכונה </w:t>
      </w:r>
      <w:r w:rsidRPr="00B65627">
        <w:rPr>
          <w:rFonts w:ascii="Century" w:hAnsi="Century" w:hint="eastAsia"/>
          <w:sz w:val="22"/>
          <w:rtl/>
        </w:rPr>
        <w:t>של</w:t>
      </w:r>
      <w:r w:rsidRPr="00B65627">
        <w:rPr>
          <w:rFonts w:ascii="Century" w:hAnsi="Century"/>
          <w:sz w:val="22"/>
          <w:rtl/>
        </w:rPr>
        <w:t xml:space="preserve"> </w:t>
      </w:r>
      <w:r w:rsidRPr="00B65627">
        <w:rPr>
          <w:rFonts w:ascii="Century" w:hAnsi="Century" w:hint="eastAsia"/>
          <w:sz w:val="22"/>
          <w:rtl/>
        </w:rPr>
        <w:t>תיקון</w:t>
      </w:r>
      <w:r w:rsidRPr="00B65627">
        <w:rPr>
          <w:rFonts w:ascii="Century" w:hAnsi="Century"/>
          <w:sz w:val="22"/>
          <w:rtl/>
        </w:rPr>
        <w:t xml:space="preserve"> </w:t>
      </w:r>
      <w:r>
        <w:rPr>
          <w:rFonts w:ascii="Century" w:hAnsi="Century" w:hint="cs"/>
          <w:sz w:val="22"/>
          <w:rtl/>
        </w:rPr>
        <w:t>מס' 3</w:t>
      </w:r>
      <w:r>
        <w:rPr>
          <w:rFonts w:hint="cs"/>
          <w:rtl/>
        </w:rPr>
        <w:t>,</w:t>
      </w:r>
      <w:r w:rsidRPr="008A2DF7">
        <w:rPr>
          <w:rFonts w:hint="cs"/>
          <w:rtl/>
        </w:rPr>
        <w:t xml:space="preserve"> </w:t>
      </w:r>
      <w:r>
        <w:rPr>
          <w:rFonts w:hint="cs"/>
          <w:rtl/>
        </w:rPr>
        <w:t>ובפרט, מה פירוש התיבה "</w:t>
      </w:r>
      <w:r w:rsidRPr="00621870">
        <w:rPr>
          <w:rFonts w:ascii="Century" w:hAnsi="Century" w:cs="Miriam" w:hint="cs"/>
          <w:b/>
          <w:spacing w:val="0"/>
          <w:sz w:val="22"/>
          <w:szCs w:val="24"/>
          <w:rtl/>
        </w:rPr>
        <w:t>סבירות</w:t>
      </w:r>
      <w:r>
        <w:rPr>
          <w:rFonts w:hint="cs"/>
          <w:rtl/>
        </w:rPr>
        <w:t>" במסגרת התיקון; ומהן השלכות התיקון בהתאם לפרשנותו הנכונה?</w:t>
      </w:r>
    </w:p>
    <w:p w:rsidR="00D61E12" w:rsidRDefault="00D61E12" w:rsidP="00D61E12">
      <w:pPr>
        <w:pStyle w:val="Ruller4"/>
        <w:numPr>
          <w:ilvl w:val="0"/>
          <w:numId w:val="0"/>
        </w:numPr>
        <w:spacing w:before="240" w:after="240"/>
        <w:rPr>
          <w:rtl/>
        </w:rPr>
      </w:pPr>
      <w:r>
        <w:rPr>
          <w:rFonts w:ascii="Century" w:hAnsi="Century" w:cs="Miriam"/>
          <w:b/>
          <w:spacing w:val="0"/>
          <w:sz w:val="22"/>
          <w:szCs w:val="24"/>
          <w:rtl/>
        </w:rPr>
        <w:tab/>
      </w:r>
      <w:r>
        <w:rPr>
          <w:rFonts w:ascii="Century" w:hAnsi="Century" w:cs="Miriam" w:hint="cs"/>
          <w:b/>
          <w:spacing w:val="0"/>
          <w:sz w:val="22"/>
          <w:szCs w:val="24"/>
          <w:rtl/>
        </w:rPr>
        <w:t>עילת ההתערבות והסעד</w:t>
      </w:r>
      <w:r w:rsidRPr="00B65627">
        <w:rPr>
          <w:rFonts w:ascii="Century" w:hAnsi="Century" w:hint="cs"/>
          <w:sz w:val="22"/>
          <w:rtl/>
        </w:rPr>
        <w:t>.</w:t>
      </w:r>
      <w:r>
        <w:rPr>
          <w:rFonts w:ascii="Century" w:hAnsi="Century" w:cs="Miriam" w:hint="cs"/>
          <w:b/>
          <w:spacing w:val="0"/>
          <w:sz w:val="22"/>
          <w:szCs w:val="24"/>
          <w:rtl/>
        </w:rPr>
        <w:t xml:space="preserve"> </w:t>
      </w:r>
      <w:r>
        <w:rPr>
          <w:rFonts w:hint="cs"/>
          <w:rtl/>
        </w:rPr>
        <w:t>בהינתן פרשנות התיקון והשלכותיה, האם קמה עילה להתערבות שיפוטית, ו</w:t>
      </w:r>
      <w:r w:rsidRPr="00B65627">
        <w:rPr>
          <w:rFonts w:ascii="Century" w:hAnsi="Century" w:hint="eastAsia"/>
          <w:sz w:val="22"/>
          <w:rtl/>
        </w:rPr>
        <w:t>האם</w:t>
      </w:r>
      <w:r w:rsidRPr="00B65627">
        <w:rPr>
          <w:rFonts w:ascii="Century" w:hAnsi="Century"/>
          <w:sz w:val="22"/>
          <w:rtl/>
        </w:rPr>
        <w:t xml:space="preserve"> </w:t>
      </w:r>
      <w:r>
        <w:rPr>
          <w:rFonts w:ascii="Century" w:hAnsi="Century" w:hint="cs"/>
          <w:sz w:val="22"/>
          <w:rtl/>
        </w:rPr>
        <w:t>נדרש לבטל את</w:t>
      </w:r>
      <w:r w:rsidRPr="00B65627">
        <w:rPr>
          <w:rFonts w:ascii="Century" w:hAnsi="Century"/>
          <w:sz w:val="22"/>
          <w:rtl/>
        </w:rPr>
        <w:t xml:space="preserve"> </w:t>
      </w:r>
      <w:r w:rsidRPr="00B65627">
        <w:rPr>
          <w:rFonts w:ascii="Century" w:hAnsi="Century" w:hint="eastAsia"/>
          <w:sz w:val="22"/>
          <w:rtl/>
        </w:rPr>
        <w:t>סעיף</w:t>
      </w:r>
      <w:r w:rsidRPr="00B65627">
        <w:rPr>
          <w:rFonts w:ascii="Century" w:hAnsi="Century"/>
          <w:sz w:val="22"/>
          <w:rtl/>
        </w:rPr>
        <w:t xml:space="preserve"> 15(</w:t>
      </w:r>
      <w:r w:rsidRPr="00B65627">
        <w:rPr>
          <w:rFonts w:ascii="Century" w:hAnsi="Century" w:hint="eastAsia"/>
          <w:sz w:val="22"/>
          <w:rtl/>
        </w:rPr>
        <w:t>ד</w:t>
      </w:r>
      <w:r w:rsidRPr="00B65627">
        <w:rPr>
          <w:rFonts w:ascii="Century" w:hAnsi="Century"/>
          <w:sz w:val="22"/>
          <w:rtl/>
        </w:rPr>
        <w:t xml:space="preserve">1) </w:t>
      </w:r>
      <w:r w:rsidRPr="00B65627">
        <w:rPr>
          <w:rFonts w:ascii="Century" w:hAnsi="Century" w:hint="eastAsia"/>
          <w:sz w:val="22"/>
          <w:rtl/>
        </w:rPr>
        <w:t>ל</w:t>
      </w:r>
      <w:r>
        <w:rPr>
          <w:rFonts w:ascii="Century" w:hAnsi="Century" w:hint="eastAsia"/>
          <w:sz w:val="22"/>
          <w:rtl/>
        </w:rPr>
        <w:t>חוק-יסוד</w:t>
      </w:r>
      <w:r w:rsidRPr="00B65627">
        <w:rPr>
          <w:rFonts w:ascii="Century" w:hAnsi="Century"/>
          <w:sz w:val="22"/>
          <w:rtl/>
        </w:rPr>
        <w:t xml:space="preserve">: </w:t>
      </w:r>
      <w:r w:rsidRPr="00B65627">
        <w:rPr>
          <w:rFonts w:ascii="Century" w:hAnsi="Century" w:hint="eastAsia"/>
          <w:sz w:val="22"/>
          <w:rtl/>
        </w:rPr>
        <w:t>השפיטה</w:t>
      </w:r>
      <w:r w:rsidRPr="00B65627">
        <w:rPr>
          <w:rFonts w:ascii="Century" w:hAnsi="Century"/>
          <w:sz w:val="22"/>
          <w:rtl/>
        </w:rPr>
        <w:t>?</w:t>
      </w:r>
      <w:r w:rsidRPr="008A2DF7">
        <w:rPr>
          <w:rFonts w:hint="cs"/>
          <w:rtl/>
        </w:rPr>
        <w:t xml:space="preserve"> </w:t>
      </w:r>
    </w:p>
    <w:p w:rsidR="00D61E12" w:rsidRDefault="00D61E12" w:rsidP="00D61E12">
      <w:pPr>
        <w:pStyle w:val="Ruller4"/>
        <w:numPr>
          <w:ilvl w:val="0"/>
          <w:numId w:val="0"/>
        </w:numPr>
        <w:spacing w:before="240" w:after="240"/>
        <w:rPr>
          <w:rtl/>
        </w:rPr>
      </w:pPr>
      <w:r>
        <w:rPr>
          <w:rtl/>
        </w:rPr>
        <w:tab/>
      </w:r>
      <w:r>
        <w:rPr>
          <w:rFonts w:hint="cs"/>
          <w:rtl/>
        </w:rPr>
        <w:t>אפנה אפוא לדון בסוגיות שעל הפרק, על-פי סדרן. בפתח הדברים אציין, כי לאחר שקראתי את חוות דעתם המפורטות של חברותיי וחבריי, לא מצאתי מקום להרחיב בניתוח של כלל הסוגיות שזכו להתייחסות כזו או אחרת בעתירות שלפנינו. חוות דעתי תהיה ממוקדת במידה הנדרשת להבהרת עמדתי העקרונית בסוגיות שעל הפרק, וגם אז, הדבר ייעשה בקיצור ככל הניתן. טענות שלא בא זכרן בחוות דעתי, לא היה בהן כדי לשנות מעמדתי העקרונית.</w:t>
      </w:r>
    </w:p>
    <w:p w:rsidR="00D61E12" w:rsidRDefault="00D61E12" w:rsidP="002A1A3A">
      <w:pPr>
        <w:pStyle w:val="Ruller41"/>
        <w:numPr>
          <w:ilvl w:val="0"/>
          <w:numId w:val="16"/>
        </w:numPr>
        <w:spacing w:before="240" w:after="240"/>
        <w:rPr>
          <w:rFonts w:ascii="Century" w:hAnsi="Century" w:cs="Miriam"/>
          <w:b/>
          <w:spacing w:val="0"/>
          <w:szCs w:val="24"/>
          <w:rtl/>
        </w:rPr>
      </w:pPr>
      <w:r w:rsidRPr="0005204A">
        <w:rPr>
          <w:rFonts w:ascii="Century" w:hAnsi="Century" w:cs="Miriam" w:hint="cs"/>
          <w:b/>
          <w:spacing w:val="0"/>
          <w:szCs w:val="24"/>
          <w:rtl/>
        </w:rPr>
        <w:t>האם קיימ</w:t>
      </w:r>
      <w:r>
        <w:rPr>
          <w:rFonts w:ascii="Century" w:hAnsi="Century" w:cs="Miriam" w:hint="cs"/>
          <w:b/>
          <w:spacing w:val="0"/>
          <w:szCs w:val="24"/>
          <w:rtl/>
        </w:rPr>
        <w:t>ו</w:t>
      </w:r>
      <w:r w:rsidRPr="0005204A">
        <w:rPr>
          <w:rFonts w:ascii="Century" w:hAnsi="Century" w:cs="Miriam" w:hint="cs"/>
          <w:b/>
          <w:spacing w:val="0"/>
          <w:szCs w:val="24"/>
          <w:rtl/>
        </w:rPr>
        <w:t xml:space="preserve">ת </w:t>
      </w:r>
      <w:r>
        <w:rPr>
          <w:rFonts w:ascii="Century" w:hAnsi="Century" w:cs="Miriam" w:hint="cs"/>
          <w:b/>
          <w:spacing w:val="0"/>
          <w:szCs w:val="24"/>
          <w:rtl/>
        </w:rPr>
        <w:t>מגבלות כלשהן על הסמכות המכוננת של הכנסת</w:t>
      </w:r>
      <w:r w:rsidRPr="007317F2">
        <w:rPr>
          <w:rFonts w:ascii="Century" w:hAnsi="Century" w:cs="Miriam" w:hint="cs"/>
          <w:b/>
          <w:spacing w:val="0"/>
          <w:szCs w:val="24"/>
          <w:rtl/>
        </w:rPr>
        <w:t xml:space="preserve">; </w:t>
      </w:r>
      <w:r w:rsidRPr="00413B68">
        <w:rPr>
          <w:rFonts w:ascii="Century" w:hAnsi="Century" w:cs="Miriam" w:hint="eastAsia"/>
          <w:b/>
          <w:spacing w:val="0"/>
          <w:szCs w:val="24"/>
          <w:rtl/>
        </w:rPr>
        <w:t>והאם</w:t>
      </w:r>
      <w:r w:rsidRPr="00413B68">
        <w:rPr>
          <w:rFonts w:ascii="Century" w:hAnsi="Century" w:cs="Miriam"/>
          <w:b/>
          <w:spacing w:val="0"/>
          <w:szCs w:val="24"/>
          <w:rtl/>
        </w:rPr>
        <w:t xml:space="preserve"> </w:t>
      </w:r>
      <w:r w:rsidRPr="00011760">
        <w:rPr>
          <w:rFonts w:ascii="Century" w:hAnsi="Century" w:cs="Miriam" w:hint="eastAsia"/>
          <w:b/>
          <w:spacing w:val="0"/>
          <w:szCs w:val="24"/>
          <w:rtl/>
        </w:rPr>
        <w:t>בית</w:t>
      </w:r>
      <w:r w:rsidRPr="00011760">
        <w:rPr>
          <w:rFonts w:ascii="Century" w:hAnsi="Century" w:cs="Miriam"/>
          <w:b/>
          <w:spacing w:val="0"/>
          <w:szCs w:val="24"/>
          <w:rtl/>
        </w:rPr>
        <w:t xml:space="preserve"> </w:t>
      </w:r>
      <w:r w:rsidRPr="00011760">
        <w:rPr>
          <w:rFonts w:ascii="Century" w:hAnsi="Century" w:cs="Miriam" w:hint="eastAsia"/>
          <w:b/>
          <w:spacing w:val="0"/>
          <w:szCs w:val="24"/>
          <w:rtl/>
        </w:rPr>
        <w:t>ה</w:t>
      </w:r>
      <w:r w:rsidRPr="007317F2">
        <w:rPr>
          <w:rFonts w:ascii="Century" w:hAnsi="Century" w:cs="Miriam" w:hint="eastAsia"/>
          <w:b/>
          <w:spacing w:val="0"/>
          <w:szCs w:val="24"/>
          <w:rtl/>
        </w:rPr>
        <w:t>משפט</w:t>
      </w:r>
      <w:r w:rsidRPr="007317F2">
        <w:rPr>
          <w:rFonts w:ascii="Century" w:hAnsi="Century" w:cs="Miriam"/>
          <w:b/>
          <w:spacing w:val="0"/>
          <w:szCs w:val="24"/>
          <w:rtl/>
        </w:rPr>
        <w:t xml:space="preserve"> </w:t>
      </w:r>
      <w:r w:rsidRPr="00011760">
        <w:rPr>
          <w:rFonts w:ascii="Century" w:hAnsi="Century" w:cs="Miriam" w:hint="eastAsia"/>
          <w:b/>
          <w:spacing w:val="0"/>
          <w:szCs w:val="24"/>
          <w:rtl/>
        </w:rPr>
        <w:t>הוא</w:t>
      </w:r>
      <w:r w:rsidRPr="00011760">
        <w:rPr>
          <w:rFonts w:ascii="Century" w:hAnsi="Century" w:cs="Miriam"/>
          <w:b/>
          <w:spacing w:val="0"/>
          <w:szCs w:val="24"/>
          <w:rtl/>
        </w:rPr>
        <w:t xml:space="preserve"> </w:t>
      </w:r>
      <w:r w:rsidRPr="00011760">
        <w:rPr>
          <w:rFonts w:ascii="Century" w:hAnsi="Century" w:cs="Miriam" w:hint="eastAsia"/>
          <w:b/>
          <w:spacing w:val="0"/>
          <w:szCs w:val="24"/>
          <w:rtl/>
        </w:rPr>
        <w:t>הגורם</w:t>
      </w:r>
      <w:r w:rsidRPr="00011760">
        <w:rPr>
          <w:rFonts w:ascii="Century" w:hAnsi="Century" w:cs="Miriam"/>
          <w:b/>
          <w:spacing w:val="0"/>
          <w:szCs w:val="24"/>
          <w:rtl/>
        </w:rPr>
        <w:t xml:space="preserve"> </w:t>
      </w:r>
      <w:r w:rsidRPr="00011760">
        <w:rPr>
          <w:rFonts w:ascii="Century" w:hAnsi="Century" w:cs="Miriam" w:hint="eastAsia"/>
          <w:b/>
          <w:spacing w:val="0"/>
          <w:szCs w:val="24"/>
          <w:rtl/>
        </w:rPr>
        <w:t>המוסמך</w:t>
      </w:r>
      <w:r w:rsidRPr="00011760">
        <w:rPr>
          <w:rFonts w:ascii="Century" w:hAnsi="Century" w:cs="Miriam"/>
          <w:b/>
          <w:spacing w:val="0"/>
          <w:szCs w:val="24"/>
          <w:rtl/>
        </w:rPr>
        <w:t xml:space="preserve"> </w:t>
      </w:r>
      <w:r w:rsidRPr="00011760">
        <w:rPr>
          <w:rFonts w:ascii="Century" w:hAnsi="Century" w:cs="Miriam" w:hint="eastAsia"/>
          <w:b/>
          <w:spacing w:val="0"/>
          <w:szCs w:val="24"/>
          <w:rtl/>
        </w:rPr>
        <w:t>לאכוף</w:t>
      </w:r>
      <w:r w:rsidRPr="00011760">
        <w:rPr>
          <w:rFonts w:ascii="Century" w:hAnsi="Century" w:cs="Miriam"/>
          <w:b/>
          <w:spacing w:val="0"/>
          <w:szCs w:val="24"/>
          <w:rtl/>
        </w:rPr>
        <w:t xml:space="preserve"> </w:t>
      </w:r>
      <w:r w:rsidRPr="00011760">
        <w:rPr>
          <w:rFonts w:ascii="Century" w:hAnsi="Century" w:cs="Miriam" w:hint="eastAsia"/>
          <w:b/>
          <w:spacing w:val="0"/>
          <w:szCs w:val="24"/>
          <w:rtl/>
        </w:rPr>
        <w:t>את</w:t>
      </w:r>
      <w:r w:rsidRPr="00011760">
        <w:rPr>
          <w:rFonts w:ascii="Century" w:hAnsi="Century" w:cs="Miriam"/>
          <w:b/>
          <w:spacing w:val="0"/>
          <w:szCs w:val="24"/>
          <w:rtl/>
        </w:rPr>
        <w:t xml:space="preserve"> </w:t>
      </w:r>
      <w:r w:rsidRPr="00011760">
        <w:rPr>
          <w:rFonts w:ascii="Century" w:hAnsi="Century" w:cs="Miriam" w:hint="eastAsia"/>
          <w:b/>
          <w:spacing w:val="0"/>
          <w:szCs w:val="24"/>
          <w:rtl/>
        </w:rPr>
        <w:t>המגבלות</w:t>
      </w:r>
      <w:r w:rsidRPr="00011760">
        <w:rPr>
          <w:rFonts w:ascii="Century" w:hAnsi="Century" w:cs="Miriam"/>
          <w:b/>
          <w:spacing w:val="0"/>
          <w:szCs w:val="24"/>
          <w:rtl/>
        </w:rPr>
        <w:t xml:space="preserve"> </w:t>
      </w:r>
      <w:r>
        <w:rPr>
          <w:rFonts w:ascii="Century" w:hAnsi="Century" w:cs="Miriam" w:hint="cs"/>
          <w:b/>
          <w:spacing w:val="0"/>
          <w:szCs w:val="24"/>
          <w:rtl/>
        </w:rPr>
        <w:t>הללו</w:t>
      </w:r>
      <w:r w:rsidRPr="007317F2">
        <w:rPr>
          <w:rFonts w:ascii="Century" w:hAnsi="Century" w:cs="Miriam"/>
          <w:b/>
          <w:spacing w:val="0"/>
          <w:szCs w:val="24"/>
          <w:rtl/>
        </w:rPr>
        <w:t>?</w:t>
      </w:r>
    </w:p>
    <w:p w:rsidR="00D61E12" w:rsidRPr="004F293B" w:rsidRDefault="00D61E12" w:rsidP="00D61E12">
      <w:pPr>
        <w:pStyle w:val="Ruller41"/>
        <w:spacing w:before="240" w:after="240"/>
        <w:rPr>
          <w:highlight w:val="yellow"/>
          <w:rtl/>
        </w:rPr>
      </w:pPr>
      <w:r>
        <w:rPr>
          <w:rtl/>
        </w:rPr>
        <w:tab/>
      </w:r>
      <w:r>
        <w:rPr>
          <w:rFonts w:hint="cs"/>
          <w:rtl/>
        </w:rPr>
        <w:t>הערה מקדימה: כפי שיוסבר להלן בהרחבה, התיאוריה המקובלת במשפט הישראלי מאז שניתן פסק הדין ב</w:t>
      </w:r>
      <w:r w:rsidRPr="005744E0">
        <w:rPr>
          <w:rtl/>
        </w:rPr>
        <w:t xml:space="preserve">ע"א </w:t>
      </w:r>
      <w:r>
        <w:rPr>
          <w:rFonts w:hint="cs"/>
          <w:rtl/>
        </w:rPr>
        <w:t>6821/93</w:t>
      </w:r>
      <w:r w:rsidRPr="005744E0">
        <w:rPr>
          <w:rtl/>
        </w:rPr>
        <w:t xml:space="preserve"> </w:t>
      </w:r>
      <w:r w:rsidRPr="00EC381A">
        <w:rPr>
          <w:rFonts w:ascii="Century" w:hAnsi="Century" w:cs="Miriam"/>
          <w:b/>
          <w:spacing w:val="0"/>
          <w:szCs w:val="24"/>
          <w:rtl/>
        </w:rPr>
        <w:t xml:space="preserve">בנק המזרחי המאוחד בע"מ נ' מגדל </w:t>
      </w:r>
      <w:r w:rsidRPr="00EC381A">
        <w:rPr>
          <w:rFonts w:ascii="Century" w:hAnsi="Century" w:cs="Miriam" w:hint="eastAsia"/>
          <w:b/>
          <w:spacing w:val="0"/>
          <w:szCs w:val="24"/>
          <w:rtl/>
        </w:rPr>
        <w:t>כפר</w:t>
      </w:r>
      <w:r w:rsidRPr="00EC381A">
        <w:rPr>
          <w:rFonts w:ascii="Century" w:hAnsi="Century" w:cs="Miriam"/>
          <w:b/>
          <w:spacing w:val="0"/>
          <w:szCs w:val="24"/>
          <w:rtl/>
        </w:rPr>
        <w:t xml:space="preserve"> </w:t>
      </w:r>
      <w:r w:rsidRPr="00EC381A">
        <w:rPr>
          <w:rFonts w:ascii="Century" w:hAnsi="Century" w:cs="Miriam" w:hint="eastAsia"/>
          <w:b/>
          <w:spacing w:val="0"/>
          <w:szCs w:val="24"/>
          <w:rtl/>
        </w:rPr>
        <w:t>שיתופי</w:t>
      </w:r>
      <w:r w:rsidRPr="005744E0">
        <w:rPr>
          <w:rtl/>
        </w:rPr>
        <w:t xml:space="preserve">, פ"ד מט(4) 221 (1995) </w:t>
      </w:r>
      <w:r>
        <w:rPr>
          <w:rFonts w:hint="cs"/>
          <w:rtl/>
        </w:rPr>
        <w:t xml:space="preserve">(להלן: </w:t>
      </w:r>
      <w:r w:rsidRPr="00C62690">
        <w:rPr>
          <w:rFonts w:ascii="Century" w:hAnsi="Century" w:cs="Miriam" w:hint="cs"/>
          <w:b/>
          <w:spacing w:val="0"/>
          <w:szCs w:val="24"/>
          <w:rtl/>
        </w:rPr>
        <w:t>עניין</w:t>
      </w:r>
      <w:r w:rsidRPr="00C62690">
        <w:rPr>
          <w:rFonts w:hint="cs"/>
          <w:rtl/>
        </w:rPr>
        <w:t xml:space="preserve"> </w:t>
      </w:r>
      <w:r>
        <w:rPr>
          <w:rFonts w:ascii="Century" w:hAnsi="Century" w:cs="Miriam" w:hint="cs"/>
          <w:b/>
          <w:spacing w:val="0"/>
          <w:szCs w:val="24"/>
          <w:rtl/>
        </w:rPr>
        <w:t>בנק המזרחי</w:t>
      </w:r>
      <w:r>
        <w:rPr>
          <w:rFonts w:ascii="Century" w:hAnsi="Century" w:hint="cs"/>
          <w:rtl/>
        </w:rPr>
        <w:t xml:space="preserve">), היא </w:t>
      </w:r>
      <w:r>
        <w:rPr>
          <w:rFonts w:hint="cs"/>
          <w:rtl/>
        </w:rPr>
        <w:t xml:space="preserve">כי הכנסת מחזיקה בשני 'כובעים' במקביל: 'הכובע המחוקק' ו'הכובע המכונן'. הכנסת פושטת מעליה את הכובע המחוקק וחובשת על ראשה את הכובע המכונן כאשר היא מכתירה חוק בתואר 'חוק-יסוד' ללא ציון שנת החקיקה. עם זאת, את הכובעים השונים חובשים אותם אנשים (חברי הכנסת), והפרוצדורה הנדרשת לשם חבישת שני הכובעים היא פרוצדורה זהה (העברת דבר החקיקה בשלוש קריאות ברוב רגיל, ככל שלא קיימת הוראת שריון). ואכן, חברי </w:t>
      </w:r>
      <w:r w:rsidRPr="004F293B">
        <w:rPr>
          <w:rFonts w:hint="cs"/>
          <w:rtl/>
        </w:rPr>
        <w:t>הכנסת אינם מהססים לחבוש על ראשם את הכובע המכונן כל אימת שהדבר יאה בעיניהם. מכאן, וכפי שיורחב להלן, ככל שקיימת הצדקה עקרונית להכיר במגבלות המוטלות על הרשות המחוקקת במדינה דמוקרטית, הרי שאותה הצדקה עשויה להיות רלוונטית, ולהוות נקודת מוצא לדיון, בשיטתנו, הן ביחס לרשות המחוקקת הן ביחס לרשות המכוננת.</w:t>
      </w:r>
    </w:p>
    <w:p w:rsidR="00D61E12" w:rsidRPr="00941F6C" w:rsidRDefault="00D61E12" w:rsidP="002A1A3A">
      <w:pPr>
        <w:pStyle w:val="Ruller41"/>
        <w:numPr>
          <w:ilvl w:val="1"/>
          <w:numId w:val="16"/>
        </w:numPr>
        <w:spacing w:before="240" w:after="240"/>
        <w:rPr>
          <w:rFonts w:ascii="Century" w:hAnsi="Century" w:cs="Miriam"/>
          <w:b/>
          <w:spacing w:val="0"/>
          <w:szCs w:val="24"/>
          <w:rtl/>
        </w:rPr>
      </w:pPr>
      <w:r w:rsidRPr="00011760">
        <w:rPr>
          <w:rFonts w:ascii="Century" w:hAnsi="Century" w:cs="Miriam" w:hint="eastAsia"/>
          <w:b/>
          <w:spacing w:val="0"/>
          <w:szCs w:val="24"/>
          <w:rtl/>
        </w:rPr>
        <w:t>גב</w:t>
      </w:r>
      <w:r>
        <w:rPr>
          <w:rFonts w:ascii="Century" w:hAnsi="Century" w:cs="Miriam" w:hint="cs"/>
          <w:b/>
          <w:spacing w:val="0"/>
          <w:szCs w:val="24"/>
          <w:rtl/>
        </w:rPr>
        <w:t>ו</w:t>
      </w:r>
      <w:r w:rsidRPr="00011760">
        <w:rPr>
          <w:rFonts w:ascii="Century" w:hAnsi="Century" w:cs="Miriam" w:hint="eastAsia"/>
          <w:b/>
          <w:spacing w:val="0"/>
          <w:szCs w:val="24"/>
          <w:rtl/>
        </w:rPr>
        <w:t>לות</w:t>
      </w:r>
      <w:r w:rsidRPr="00011760">
        <w:rPr>
          <w:rFonts w:ascii="Century" w:hAnsi="Century" w:cs="Miriam"/>
          <w:b/>
          <w:spacing w:val="0"/>
          <w:szCs w:val="24"/>
          <w:rtl/>
        </w:rPr>
        <w:t xml:space="preserve"> </w:t>
      </w:r>
      <w:r w:rsidRPr="00011760">
        <w:rPr>
          <w:rFonts w:ascii="Century" w:hAnsi="Century" w:cs="Miriam" w:hint="eastAsia"/>
          <w:b/>
          <w:spacing w:val="0"/>
          <w:szCs w:val="24"/>
          <w:rtl/>
        </w:rPr>
        <w:t>ה</w:t>
      </w:r>
      <w:r w:rsidRPr="00B1016D">
        <w:rPr>
          <w:rFonts w:ascii="Century" w:hAnsi="Century" w:cs="Miriam" w:hint="eastAsia"/>
          <w:b/>
          <w:spacing w:val="0"/>
          <w:szCs w:val="24"/>
          <w:rtl/>
        </w:rPr>
        <w:t>סמכות</w:t>
      </w:r>
      <w:r w:rsidRPr="00B1016D">
        <w:rPr>
          <w:rFonts w:ascii="Century" w:hAnsi="Century" w:cs="Miriam"/>
          <w:b/>
          <w:spacing w:val="0"/>
          <w:szCs w:val="24"/>
          <w:rtl/>
        </w:rPr>
        <w:t xml:space="preserve"> </w:t>
      </w:r>
      <w:r w:rsidRPr="00B1016D">
        <w:rPr>
          <w:rFonts w:ascii="Century" w:hAnsi="Century" w:cs="Miriam" w:hint="eastAsia"/>
          <w:b/>
          <w:spacing w:val="0"/>
          <w:szCs w:val="24"/>
          <w:rtl/>
        </w:rPr>
        <w:t>של</w:t>
      </w:r>
      <w:r w:rsidRPr="00B1016D">
        <w:rPr>
          <w:rFonts w:ascii="Century" w:hAnsi="Century" w:cs="Miriam"/>
          <w:b/>
          <w:spacing w:val="0"/>
          <w:szCs w:val="24"/>
          <w:rtl/>
        </w:rPr>
        <w:t xml:space="preserve"> </w:t>
      </w:r>
      <w:r w:rsidRPr="00B1016D">
        <w:rPr>
          <w:rFonts w:ascii="Century" w:hAnsi="Century" w:cs="Miriam" w:hint="eastAsia"/>
          <w:b/>
          <w:spacing w:val="0"/>
          <w:szCs w:val="24"/>
          <w:rtl/>
        </w:rPr>
        <w:t>הכנסת</w:t>
      </w:r>
      <w:r w:rsidRPr="00B1016D">
        <w:rPr>
          <w:rFonts w:ascii="Century" w:hAnsi="Century" w:cs="Miriam"/>
          <w:b/>
          <w:spacing w:val="0"/>
          <w:szCs w:val="24"/>
          <w:rtl/>
        </w:rPr>
        <w:t xml:space="preserve"> </w:t>
      </w:r>
      <w:r>
        <w:rPr>
          <w:rFonts w:ascii="Century" w:hAnsi="Century" w:cs="Miriam" w:hint="cs"/>
          <w:b/>
          <w:spacing w:val="0"/>
          <w:szCs w:val="24"/>
          <w:rtl/>
        </w:rPr>
        <w:t>כרשות מכוננת</w:t>
      </w:r>
    </w:p>
    <w:p w:rsidR="00D61E12" w:rsidRDefault="00D61E12" w:rsidP="00D61E12">
      <w:pPr>
        <w:pStyle w:val="Ruller4"/>
        <w:spacing w:before="240" w:after="240"/>
      </w:pPr>
      <w:r>
        <w:rPr>
          <w:rFonts w:hint="cs"/>
          <w:rtl/>
        </w:rPr>
        <w:t xml:space="preserve">פשיטא, כי שאלת סמכותו של בית המשפט להעביר ביקורת שיפוטית על חוקי היסוד כרוכה, מניה וביה, בהכרה בכך שסמכותה של הכנסת כרשות מכוננת </w:t>
      </w:r>
      <w:r>
        <w:rPr>
          <w:rtl/>
        </w:rPr>
        <w:t>–</w:t>
      </w:r>
      <w:r>
        <w:rPr>
          <w:rFonts w:hint="cs"/>
          <w:rtl/>
        </w:rPr>
        <w:t xml:space="preserve"> מוגבלת. </w:t>
      </w:r>
      <w:r>
        <w:rPr>
          <w:rFonts w:hint="cs"/>
          <w:rtl/>
        </w:rPr>
        <w:lastRenderedPageBreak/>
        <w:t>אחרת, הכנסת הייתה רשאית לעשות כטוב בעיניה, ולא היה כל מקום לערוך ביקורת שיפוטית על פועלה כרשות מכוננת.</w:t>
      </w:r>
    </w:p>
    <w:p w:rsidR="00D61E12" w:rsidRDefault="00D61E12" w:rsidP="00D61E12">
      <w:pPr>
        <w:pStyle w:val="Ruller4"/>
        <w:spacing w:before="240" w:after="240"/>
      </w:pPr>
      <w:r>
        <w:rPr>
          <w:rFonts w:hint="cs"/>
          <w:rtl/>
        </w:rPr>
        <w:t>ברמה העיונית, בפסיקה ובספרות נמנו מספר תכליות להטלת מגבלות על סמכותה של הרשות המחוקקת במדינה דמוקרטית, ובפרט: הגנה על העם-הריבון מפני נציגיו ברשות המחוקקת; הגנה על עקרונות מכוננים-קיומיים של המדינה;</w:t>
      </w:r>
      <w:r w:rsidRPr="005D4CBD">
        <w:rPr>
          <w:rFonts w:hint="cs"/>
          <w:rtl/>
        </w:rPr>
        <w:t xml:space="preserve"> </w:t>
      </w:r>
      <w:r>
        <w:rPr>
          <w:rFonts w:hint="cs"/>
          <w:rtl/>
        </w:rPr>
        <w:t>והגנה על הרשות המחוקקת ועל מעמדה אל מול הרשות המבצעת.</w:t>
      </w:r>
    </w:p>
    <w:p w:rsidR="00D61E12" w:rsidRDefault="00D61E12" w:rsidP="00D61E12">
      <w:pPr>
        <w:pStyle w:val="Ruller4"/>
        <w:numPr>
          <w:ilvl w:val="0"/>
          <w:numId w:val="0"/>
        </w:numPr>
        <w:spacing w:before="240" w:after="240"/>
        <w:rPr>
          <w:rtl/>
        </w:rPr>
      </w:pPr>
      <w:r>
        <w:rPr>
          <w:rtl/>
        </w:rPr>
        <w:tab/>
      </w:r>
      <w:r>
        <w:rPr>
          <w:rFonts w:hint="cs"/>
          <w:rtl/>
        </w:rPr>
        <w:t>אפרט בקצרה במה דברים אמורים.</w:t>
      </w:r>
    </w:p>
    <w:p w:rsidR="00D61E12" w:rsidRDefault="00D61E12" w:rsidP="00D61E12">
      <w:pPr>
        <w:pStyle w:val="Ruller4"/>
        <w:spacing w:before="240" w:after="240"/>
      </w:pPr>
      <w:r w:rsidRPr="00A300C6">
        <w:rPr>
          <w:rFonts w:ascii="Century" w:hAnsi="Century" w:cs="Miriam" w:hint="cs"/>
          <w:b/>
          <w:spacing w:val="0"/>
          <w:sz w:val="22"/>
          <w:szCs w:val="24"/>
          <w:rtl/>
        </w:rPr>
        <w:t>הגנה על העם-הריבון</w:t>
      </w:r>
      <w:r>
        <w:rPr>
          <w:rFonts w:ascii="Century" w:hAnsi="Century" w:cs="Miriam" w:hint="cs"/>
          <w:b/>
          <w:spacing w:val="0"/>
          <w:sz w:val="22"/>
          <w:szCs w:val="24"/>
          <w:rtl/>
        </w:rPr>
        <w:t xml:space="preserve"> </w:t>
      </w:r>
      <w:r w:rsidRPr="003205B2">
        <w:rPr>
          <w:rFonts w:ascii="Century" w:hAnsi="Century" w:cs="Miriam"/>
          <w:b/>
          <w:spacing w:val="0"/>
          <w:sz w:val="22"/>
          <w:szCs w:val="24"/>
          <w:rtl/>
        </w:rPr>
        <w:t>מפני נציגיו ברשות המחוקקת</w:t>
      </w:r>
      <w:r>
        <w:rPr>
          <w:rFonts w:hint="cs"/>
          <w:rtl/>
        </w:rPr>
        <w:t>: כאשר אנו בוחנים את גבולות הסמכות של הרשות המחוקקת באספקלריה זו, השאלה שעומדת בראש מעייננו היא "</w:t>
      </w:r>
      <w:r w:rsidRPr="00A300C6">
        <w:rPr>
          <w:rFonts w:hint="eastAsia"/>
          <w:rtl/>
        </w:rPr>
        <w:t>מה</w:t>
      </w:r>
      <w:r w:rsidRPr="00A300C6">
        <w:rPr>
          <w:rtl/>
        </w:rPr>
        <w:t xml:space="preserve"> </w:t>
      </w:r>
      <w:r w:rsidRPr="00A300C6">
        <w:rPr>
          <w:rFonts w:hint="eastAsia"/>
          <w:rtl/>
        </w:rPr>
        <w:t>העם</w:t>
      </w:r>
      <w:r>
        <w:rPr>
          <w:rFonts w:hint="cs"/>
          <w:rtl/>
        </w:rPr>
        <w:t>, הוא הריבון,</w:t>
      </w:r>
      <w:r w:rsidRPr="00A300C6">
        <w:rPr>
          <w:rtl/>
        </w:rPr>
        <w:t xml:space="preserve"> </w:t>
      </w:r>
      <w:r w:rsidRPr="00A300C6">
        <w:rPr>
          <w:rFonts w:hint="eastAsia"/>
          <w:rtl/>
        </w:rPr>
        <w:t>הסמיך</w:t>
      </w:r>
      <w:r w:rsidRPr="00A300C6">
        <w:rPr>
          <w:rtl/>
        </w:rPr>
        <w:t xml:space="preserve"> </w:t>
      </w:r>
      <w:r w:rsidRPr="00A300C6">
        <w:rPr>
          <w:rFonts w:hint="eastAsia"/>
          <w:rtl/>
        </w:rPr>
        <w:t>את</w:t>
      </w:r>
      <w:r w:rsidRPr="00A300C6">
        <w:rPr>
          <w:rtl/>
        </w:rPr>
        <w:t xml:space="preserve"> </w:t>
      </w:r>
      <w:r w:rsidRPr="00A300C6">
        <w:rPr>
          <w:rFonts w:hint="eastAsia"/>
          <w:rtl/>
        </w:rPr>
        <w:t>ה</w:t>
      </w:r>
      <w:r>
        <w:rPr>
          <w:rFonts w:hint="cs"/>
          <w:rtl/>
        </w:rPr>
        <w:t>רשו</w:t>
      </w:r>
      <w:r w:rsidRPr="00A300C6">
        <w:rPr>
          <w:rFonts w:hint="eastAsia"/>
          <w:rtl/>
        </w:rPr>
        <w:t>ת</w:t>
      </w:r>
      <w:r w:rsidRPr="00A300C6">
        <w:rPr>
          <w:rtl/>
        </w:rPr>
        <w:t xml:space="preserve"> </w:t>
      </w:r>
      <w:r>
        <w:rPr>
          <w:rFonts w:hint="cs"/>
          <w:rtl/>
        </w:rPr>
        <w:t xml:space="preserve">המחוקקת </w:t>
      </w:r>
      <w:r w:rsidRPr="00A300C6">
        <w:rPr>
          <w:rFonts w:hint="eastAsia"/>
          <w:rtl/>
        </w:rPr>
        <w:t>לעשות</w:t>
      </w:r>
      <w:r w:rsidRPr="00A300C6">
        <w:rPr>
          <w:rtl/>
        </w:rPr>
        <w:t xml:space="preserve"> </w:t>
      </w:r>
      <w:r>
        <w:rPr>
          <w:rFonts w:hint="cs"/>
          <w:rtl/>
        </w:rPr>
        <w:t xml:space="preserve">בהצביעו לנציגיו בבחירות הכלליות?". שכן, אם הרשות המחוקקת פעלה באופן המנוגד להסמכה שניתנה לה על-ידי העם, אזי היא פעלה בחריגה מסמכות, ופעולתה אינה שונה מבחינה מהותית מזו של רשויות אחרות הפועלות בניגוד להסמכה שניתנה להן. גבולות סמכותה של הרשות המחוקקת, במישור זה, נובעים מההצבעה של העם בבחירות. ההצבעה בבחירות הכלליות משקפת את שאיפת העם להגשים מספר מטרות, שהמשמעותית שבהן היא קיומו של משטר דמוקרטי במדינה (ראו למשל: אהרן ברק "הפרלמנט ובית-המשפט המשפט העליון </w:t>
      </w:r>
      <w:r>
        <w:rPr>
          <w:rtl/>
        </w:rPr>
        <w:t>–</w:t>
      </w:r>
      <w:r>
        <w:rPr>
          <w:rFonts w:hint="cs"/>
          <w:rtl/>
        </w:rPr>
        <w:t xml:space="preserve"> מבט לעתיד" </w:t>
      </w:r>
      <w:r>
        <w:rPr>
          <w:rFonts w:ascii="Century" w:hAnsi="Century" w:cs="Miriam" w:hint="cs"/>
          <w:b/>
          <w:spacing w:val="0"/>
          <w:sz w:val="22"/>
          <w:szCs w:val="24"/>
          <w:rtl/>
        </w:rPr>
        <w:t>הפרקליט</w:t>
      </w:r>
      <w:r>
        <w:rPr>
          <w:rFonts w:ascii="Century" w:hAnsi="Century" w:hint="cs"/>
          <w:sz w:val="22"/>
          <w:rtl/>
        </w:rPr>
        <w:t xml:space="preserve"> מה 5, 5 (2000)</w:t>
      </w:r>
      <w:r>
        <w:rPr>
          <w:rFonts w:hint="cs"/>
          <w:rtl/>
        </w:rPr>
        <w:t>).</w:t>
      </w:r>
    </w:p>
    <w:p w:rsidR="00D61E12" w:rsidRDefault="00D61E12" w:rsidP="00D61E12">
      <w:pPr>
        <w:pStyle w:val="Ruller4"/>
        <w:numPr>
          <w:ilvl w:val="0"/>
          <w:numId w:val="0"/>
        </w:numPr>
        <w:spacing w:before="240" w:after="240"/>
        <w:rPr>
          <w:rtl/>
        </w:rPr>
      </w:pPr>
      <w:r>
        <w:rPr>
          <w:rtl/>
        </w:rPr>
        <w:tab/>
      </w:r>
      <w:r>
        <w:rPr>
          <w:rFonts w:hint="cs"/>
          <w:rtl/>
        </w:rPr>
        <w:t xml:space="preserve">אם כן, הכרה בגבולות סמכותה של הרשות המחוקקת איננה באה, </w:t>
      </w:r>
      <w:r w:rsidRPr="00B65627">
        <w:rPr>
          <w:rFonts w:ascii="Century" w:hAnsi="Century" w:hint="eastAsia"/>
          <w:sz w:val="22"/>
          <w:rtl/>
        </w:rPr>
        <w:t>בהכרח</w:t>
      </w:r>
      <w:r>
        <w:rPr>
          <w:rFonts w:hint="cs"/>
          <w:rtl/>
        </w:rPr>
        <w:t xml:space="preserve">, על חשבון ריבונות העם. אדרבא, ישנן פעמים שדווקא הטלת מגבלות על סמכותה של הרשות המחוקקת היא זו שתשרת את העם. כזהו למשל המקרה (התיאורטי) המובא על-ידי השופט </w:t>
      </w:r>
      <w:r>
        <w:rPr>
          <w:rFonts w:ascii="Century" w:hAnsi="Century" w:cs="Miriam" w:hint="cs"/>
          <w:b/>
          <w:spacing w:val="0"/>
          <w:szCs w:val="24"/>
          <w:rtl/>
        </w:rPr>
        <w:t xml:space="preserve">מ' חשין </w:t>
      </w:r>
      <w:r>
        <w:rPr>
          <w:rFonts w:ascii="Century" w:hAnsi="Century" w:hint="cs"/>
          <w:rtl/>
        </w:rPr>
        <w:t xml:space="preserve">בעניין </w:t>
      </w:r>
      <w:r>
        <w:rPr>
          <w:rFonts w:ascii="Century" w:hAnsi="Century" w:cs="Miriam" w:hint="cs"/>
          <w:b/>
          <w:spacing w:val="0"/>
          <w:szCs w:val="24"/>
          <w:rtl/>
        </w:rPr>
        <w:t>בנק המזרחי</w:t>
      </w:r>
      <w:r>
        <w:rPr>
          <w:rFonts w:hint="cs"/>
          <w:rtl/>
        </w:rPr>
        <w:t xml:space="preserve"> </w:t>
      </w:r>
      <w:r w:rsidRPr="002E3F7C">
        <w:rPr>
          <w:rFonts w:ascii="Arial TUR" w:hAnsi="Arial TUR"/>
          <w:sz w:val="22"/>
          <w:rtl/>
        </w:rPr>
        <w:t>(</w:t>
      </w:r>
      <w:r w:rsidRPr="002E3F7C">
        <w:rPr>
          <w:rFonts w:ascii="Arial TUR" w:hAnsi="Arial TUR" w:hint="cs"/>
          <w:sz w:val="22"/>
          <w:rtl/>
        </w:rPr>
        <w:t>בעמוד 544</w:t>
      </w:r>
      <w:r w:rsidRPr="002E3F7C">
        <w:rPr>
          <w:rFonts w:ascii="Arial TUR" w:hAnsi="Arial TUR"/>
          <w:sz w:val="22"/>
          <w:rtl/>
        </w:rPr>
        <w:t>)</w:t>
      </w:r>
      <w:r w:rsidRPr="002E3F7C">
        <w:rPr>
          <w:rFonts w:hint="cs"/>
          <w:rtl/>
        </w:rPr>
        <w:t>,</w:t>
      </w:r>
      <w:r>
        <w:rPr>
          <w:rFonts w:hint="cs"/>
          <w:rtl/>
        </w:rPr>
        <w:t xml:space="preserve"> המתייחס למצב שבו הרשות המחוקקת תחליט ברוב מוחלט של חבריה, ואולי אף פה-אחד, לבטל את הבחירות ולהאריך את כהונתה לתקופה בת 8 שנים, בהיעדר "</w:t>
      </w:r>
      <w:r w:rsidRPr="00A300C6">
        <w:rPr>
          <w:rFonts w:ascii="Century" w:hAnsi="Century" w:cs="Miriam"/>
          <w:b/>
          <w:spacing w:val="0"/>
          <w:sz w:val="22"/>
          <w:szCs w:val="24"/>
          <w:rtl/>
        </w:rPr>
        <w:t>נסיבות מיוחדות המונעות עריכת בחירות בעיתן</w:t>
      </w:r>
      <w:r>
        <w:rPr>
          <w:rFonts w:hint="cs"/>
          <w:rtl/>
        </w:rPr>
        <w:t>" (כלשון סעיף 9א(א) לחוק-יסוד: הכנסת). כאשר אנו אומרים כי פעולה מעין זו מנוגדת לסמכותה של הרשות המחוקקת, איננו מגבילים בכך את הריבון-העם, אלא להיפך. שכן, בנסיבות המתוארות, העם-הריבון, לא הסמיך את חברי הרשות המחוקקת לעשות את מה שנעשה על-ידם.</w:t>
      </w:r>
    </w:p>
    <w:p w:rsidR="00D61E12" w:rsidRPr="008C1B83" w:rsidRDefault="00D61E12" w:rsidP="00D61E12">
      <w:pPr>
        <w:pStyle w:val="Ruller4"/>
        <w:spacing w:before="240" w:after="240"/>
        <w:rPr>
          <w:rFonts w:ascii="Century" w:hAnsi="Century"/>
          <w:sz w:val="22"/>
          <w:rtl/>
        </w:rPr>
      </w:pPr>
      <w:r w:rsidRPr="00A300C6">
        <w:rPr>
          <w:rFonts w:ascii="Century" w:hAnsi="Century" w:cs="Miriam" w:hint="cs"/>
          <w:b/>
          <w:spacing w:val="0"/>
          <w:sz w:val="22"/>
          <w:szCs w:val="24"/>
          <w:rtl/>
        </w:rPr>
        <w:t>הגנה על עקרונות מכוננים-קיומיים של המדינה</w:t>
      </w:r>
      <w:r>
        <w:rPr>
          <w:rFonts w:hint="cs"/>
          <w:rtl/>
        </w:rPr>
        <w:t xml:space="preserve">: </w:t>
      </w:r>
      <w:r w:rsidRPr="004B25CF">
        <w:rPr>
          <w:rFonts w:ascii="Century" w:hAnsi="Century" w:hint="eastAsia"/>
          <w:sz w:val="22"/>
          <w:rtl/>
        </w:rPr>
        <w:t>ברבות</w:t>
      </w:r>
      <w:r w:rsidRPr="004B25CF">
        <w:rPr>
          <w:rFonts w:ascii="Century" w:hAnsi="Century"/>
          <w:sz w:val="22"/>
          <w:rtl/>
        </w:rPr>
        <w:t xml:space="preserve"> </w:t>
      </w:r>
      <w:r w:rsidRPr="004B25CF">
        <w:rPr>
          <w:rFonts w:hint="eastAsia"/>
          <w:rtl/>
        </w:rPr>
        <w:t>השנים</w:t>
      </w:r>
      <w:r w:rsidRPr="004B25CF">
        <w:rPr>
          <w:rtl/>
        </w:rPr>
        <w:t xml:space="preserve"> </w:t>
      </w:r>
      <w:r w:rsidRPr="004B25CF">
        <w:rPr>
          <w:rFonts w:hint="eastAsia"/>
          <w:rtl/>
        </w:rPr>
        <w:t>התפתחו</w:t>
      </w:r>
      <w:r w:rsidRPr="004B25CF">
        <w:rPr>
          <w:rtl/>
        </w:rPr>
        <w:t xml:space="preserve"> </w:t>
      </w:r>
      <w:r>
        <w:rPr>
          <w:rFonts w:hint="cs"/>
          <w:rtl/>
        </w:rPr>
        <w:t xml:space="preserve">במדינות רבות </w:t>
      </w:r>
      <w:r w:rsidRPr="004B25CF">
        <w:rPr>
          <w:rFonts w:hint="eastAsia"/>
          <w:rtl/>
        </w:rPr>
        <w:t>מגבלות</w:t>
      </w:r>
      <w:r w:rsidRPr="004B25CF">
        <w:rPr>
          <w:rtl/>
        </w:rPr>
        <w:t xml:space="preserve"> </w:t>
      </w:r>
      <w:r w:rsidRPr="004B25CF">
        <w:rPr>
          <w:rFonts w:hint="eastAsia"/>
          <w:rtl/>
        </w:rPr>
        <w:t>על</w:t>
      </w:r>
      <w:r w:rsidRPr="004B25CF">
        <w:rPr>
          <w:rtl/>
        </w:rPr>
        <w:t xml:space="preserve"> </w:t>
      </w:r>
      <w:r w:rsidRPr="004B25CF">
        <w:rPr>
          <w:rFonts w:hint="eastAsia"/>
          <w:rtl/>
        </w:rPr>
        <w:t>התפיסה</w:t>
      </w:r>
      <w:r w:rsidRPr="004B25CF">
        <w:rPr>
          <w:rtl/>
        </w:rPr>
        <w:t xml:space="preserve"> </w:t>
      </w:r>
      <w:r w:rsidRPr="004B25CF">
        <w:rPr>
          <w:rFonts w:hint="eastAsia"/>
          <w:rtl/>
        </w:rPr>
        <w:t>הדמוקרטית</w:t>
      </w:r>
      <w:r w:rsidRPr="004B25CF">
        <w:rPr>
          <w:rtl/>
        </w:rPr>
        <w:t xml:space="preserve"> </w:t>
      </w:r>
      <w:r w:rsidRPr="004B25CF">
        <w:rPr>
          <w:rFonts w:hint="eastAsia"/>
          <w:rtl/>
        </w:rPr>
        <w:t>הפורמלית</w:t>
      </w:r>
      <w:r>
        <w:rPr>
          <w:rFonts w:hint="cs"/>
          <w:rtl/>
        </w:rPr>
        <w:t xml:space="preserve"> (עיקרון הכרעת הרוב ברשות המחוקקת)</w:t>
      </w:r>
      <w:r w:rsidRPr="004B25CF">
        <w:rPr>
          <w:rtl/>
        </w:rPr>
        <w:t xml:space="preserve">, </w:t>
      </w:r>
      <w:r>
        <w:rPr>
          <w:rFonts w:hint="cs"/>
          <w:rtl/>
        </w:rPr>
        <w:t xml:space="preserve">והוכרה החשיבות של יצירת כללי משחק שאותם לא יהיה ניתן לשנות באמצעות רוב 'פשוט' ברשות המחוקקת. </w:t>
      </w:r>
      <w:r>
        <w:rPr>
          <w:rFonts w:ascii="Century" w:hAnsi="Century" w:hint="cs"/>
          <w:sz w:val="22"/>
          <w:rtl/>
        </w:rPr>
        <w:t xml:space="preserve">כללים אלו נועדו לשמור מכל משמר על </w:t>
      </w:r>
      <w:r>
        <w:rPr>
          <w:rFonts w:ascii="Century" w:hAnsi="Century" w:hint="cs"/>
          <w:sz w:val="22"/>
          <w:rtl/>
        </w:rPr>
        <w:lastRenderedPageBreak/>
        <w:t>העקרונות הבסיסיים שלשמם ולמענם הוקמה המדינה.</w:t>
      </w:r>
      <w:r w:rsidRPr="008A2DF7">
        <w:rPr>
          <w:rFonts w:hint="cs"/>
          <w:rtl/>
        </w:rPr>
        <w:t xml:space="preserve"> </w:t>
      </w:r>
      <w:r w:rsidRPr="00A300C6">
        <w:rPr>
          <w:rFonts w:hint="cs"/>
          <w:rtl/>
        </w:rPr>
        <w:t xml:space="preserve">אמנם, אין ברחבי העולם נוסחה אחידה לעקרונות שנועדו לאזן בין ערכים 'דמוקרטיים' לבין ערכים 'חוקתיים', אך הצורך בקביעת מנגנונים אלו ברור </w:t>
      </w:r>
      <w:r w:rsidRPr="00A300C6">
        <w:rPr>
          <w:rtl/>
        </w:rPr>
        <w:t xml:space="preserve">(אמנון רובינשטיין וברק מדינה </w:t>
      </w:r>
      <w:r w:rsidRPr="00A300C6">
        <w:rPr>
          <w:rFonts w:ascii="Century" w:hAnsi="Century" w:cs="Miriam" w:hint="eastAsia"/>
          <w:b/>
          <w:spacing w:val="0"/>
          <w:sz w:val="22"/>
          <w:szCs w:val="24"/>
          <w:rtl/>
        </w:rPr>
        <w:t>המשפט</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החוקתי</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של</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מדינת</w:t>
      </w:r>
      <w:r w:rsidRPr="00A300C6">
        <w:rPr>
          <w:rtl/>
        </w:rPr>
        <w:t xml:space="preserve"> </w:t>
      </w:r>
      <w:r w:rsidRPr="00A300C6">
        <w:rPr>
          <w:rFonts w:ascii="Century" w:hAnsi="Century" w:cs="Miriam" w:hint="eastAsia"/>
          <w:b/>
          <w:spacing w:val="0"/>
          <w:sz w:val="22"/>
          <w:szCs w:val="24"/>
          <w:rtl/>
        </w:rPr>
        <w:t>ישראל</w:t>
      </w:r>
      <w:r w:rsidRPr="00A300C6">
        <w:rPr>
          <w:rtl/>
        </w:rPr>
        <w:t xml:space="preserve"> 61-53 (מהדורה שישית, 2005) (להלן: </w:t>
      </w:r>
      <w:r w:rsidRPr="00A300C6">
        <w:rPr>
          <w:rFonts w:ascii="Century" w:hAnsi="Century" w:cs="Miriam" w:hint="eastAsia"/>
          <w:b/>
          <w:spacing w:val="0"/>
          <w:sz w:val="22"/>
          <w:szCs w:val="24"/>
          <w:rtl/>
        </w:rPr>
        <w:t>רובינשטיין</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ומדינה</w:t>
      </w:r>
      <w:r w:rsidRPr="00A300C6">
        <w:rPr>
          <w:rtl/>
        </w:rPr>
        <w:t>))</w:t>
      </w:r>
      <w:r w:rsidRPr="00A300C6">
        <w:rPr>
          <w:rFonts w:hint="cs"/>
          <w:rtl/>
        </w:rPr>
        <w:t>.</w:t>
      </w:r>
      <w:r>
        <w:rPr>
          <w:rFonts w:hint="cs"/>
          <w:rtl/>
        </w:rPr>
        <w:t xml:space="preserve"> כפי שציינו </w:t>
      </w:r>
      <w:r w:rsidRPr="00A300C6">
        <w:rPr>
          <w:rFonts w:ascii="Century" w:hAnsi="Century" w:cs="Miriam" w:hint="eastAsia"/>
          <w:b/>
          <w:spacing w:val="0"/>
          <w:sz w:val="22"/>
          <w:szCs w:val="24"/>
          <w:rtl/>
        </w:rPr>
        <w:t>רובינשטיין</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ומדינה</w:t>
      </w:r>
      <w:r>
        <w:rPr>
          <w:rFonts w:hint="cs"/>
          <w:rtl/>
        </w:rPr>
        <w:t>, למעשה, אין בעולם שיטת משטר שאין בה עקרונות חוקתיים כלל, אף אם קיימות מדינות שאין בהן חוקה פורמלית (שם, בעמוד 53).</w:t>
      </w:r>
      <w:r>
        <w:rPr>
          <w:rFonts w:ascii="Century" w:hAnsi="Century" w:hint="cs"/>
          <w:sz w:val="22"/>
          <w:rtl/>
        </w:rPr>
        <w:t xml:space="preserve"> כל מדינה והעקרונות שעמדו בבסיס הקמתה. כך למשל, דומה כי בבסיס החוקה האמריקנית ניצב העיקרון בדבר חירות הפרט, אשר לאורו עוצבו הן החלק הכללי של החוקה </w:t>
      </w:r>
      <w:r>
        <w:rPr>
          <w:rFonts w:ascii="Century" w:hAnsi="Century"/>
          <w:sz w:val="22"/>
          <w:rtl/>
        </w:rPr>
        <w:t>–</w:t>
      </w:r>
      <w:r>
        <w:rPr>
          <w:rFonts w:ascii="Century" w:hAnsi="Century" w:hint="cs"/>
          <w:sz w:val="22"/>
          <w:rtl/>
        </w:rPr>
        <w:t xml:space="preserve"> בדרך של איזונים ובלמים שנועדו להגן על הפרט מפני ניצול לרעה של כוח שלטוני</w:t>
      </w:r>
      <w:r>
        <w:rPr>
          <w:rFonts w:hint="cs"/>
          <w:rtl/>
        </w:rPr>
        <w:t xml:space="preserve">, ולעניין זה ראו ב'פדרליסט' מס' 85: </w:t>
      </w:r>
    </w:p>
    <w:p w:rsidR="00D61E12" w:rsidRPr="00102554" w:rsidRDefault="00D61E12" w:rsidP="00D61E12">
      <w:pPr>
        <w:pStyle w:val="Ruller5"/>
        <w:bidi w:val="0"/>
        <w:rPr>
          <w:rFonts w:asciiTheme="majorBidi" w:hAnsiTheme="majorBidi" w:cstheme="majorBidi"/>
          <w:sz w:val="24"/>
          <w:szCs w:val="32"/>
        </w:rPr>
      </w:pPr>
      <w:r w:rsidRPr="00105C0F">
        <w:rPr>
          <w:rFonts w:asciiTheme="majorBidi" w:hAnsiTheme="majorBidi" w:cstheme="majorBidi"/>
          <w:sz w:val="24"/>
          <w:szCs w:val="32"/>
        </w:rPr>
        <w:t>"The additional securities to republican government, to liberty and to property, to be derived from the adoption of the plan under consideration, consist chiefly in the restraints which the preservation of the Union will impose on local factions and insurrections, and on the ambition of powerful individuals in single States, who may acquire credit and influence enough, from leaders and favorites, to become the despots of the people; in the diminution of the opportunities to foreign intrigue, which the dissolution of the Confederacy would invite and facilitate; in the prevention of extensive military establishments, which could not fail to grow out of wars between the States in a disunited situation; in the express guaranty of a republican form of government to each; in the absolute and universal exclusion of titles of nobility; and in the precautions against the repetition of those practices on the part of the State governments which have undermined the foundations of property and credit, have planted mutual distrust in the breasts of all classes of citizens, and have occasioned an almost universal prostration of morals" (The Federalist No. 85 (Alexander Hamilton)).</w:t>
      </w:r>
    </w:p>
    <w:p w:rsidR="00D61E12" w:rsidRPr="00A300C6" w:rsidRDefault="00D61E12" w:rsidP="00D61E12">
      <w:pPr>
        <w:pStyle w:val="Ruller4"/>
        <w:numPr>
          <w:ilvl w:val="0"/>
          <w:numId w:val="0"/>
        </w:numPr>
        <w:spacing w:before="240" w:after="240"/>
        <w:rPr>
          <w:rFonts w:ascii="Century" w:hAnsi="Century"/>
          <w:sz w:val="22"/>
        </w:rPr>
      </w:pPr>
      <w:r>
        <w:rPr>
          <w:rtl/>
        </w:rPr>
        <w:tab/>
      </w:r>
      <w:r>
        <w:rPr>
          <w:rFonts w:hint="cs"/>
          <w:rtl/>
        </w:rPr>
        <w:t>על המורכבות הטמונה בדברים אלו עמדה פרופ' רות גביזון, בציינה:</w:t>
      </w:r>
    </w:p>
    <w:p w:rsidR="00D61E12" w:rsidRPr="00A300C6" w:rsidRDefault="00D61E12" w:rsidP="00D61E12">
      <w:pPr>
        <w:pStyle w:val="Ruller5"/>
        <w:spacing w:before="240" w:after="240"/>
      </w:pPr>
      <w:r>
        <w:rPr>
          <w:rFonts w:hint="cs"/>
          <w:rtl/>
        </w:rPr>
        <w:t xml:space="preserve">"חשוב לזכור כי, עקרונית, ניתן לייחס עליונות גם לנורמות שאינן חקוקות. זה הוא המעמד של משפט הטבע בתורות משפט טבע של המשפט, וזה הוא מעמד 'ערכי היסוד' אם הקהילה המשפטית ובתי המשפט יבחנו תוקפם של חוקים על פיהם [...] </w:t>
      </w:r>
      <w:r>
        <w:rPr>
          <w:rtl/>
        </w:rPr>
        <w:t>השאלה, מהו ההסדר הראוי בחברה מסוימת בזמן נתון, היא שאלה פוליטית מרכזית וחשובה. סביר להני</w:t>
      </w:r>
      <w:r>
        <w:rPr>
          <w:rFonts w:hint="cs"/>
          <w:rtl/>
        </w:rPr>
        <w:t>ח</w:t>
      </w:r>
      <w:r>
        <w:rPr>
          <w:rtl/>
        </w:rPr>
        <w:t>, כי אין לשאלות אלה תשובות</w:t>
      </w:r>
      <w:r>
        <w:rPr>
          <w:rFonts w:hint="cs"/>
          <w:rtl/>
        </w:rPr>
        <w:t xml:space="preserve"> </w:t>
      </w:r>
      <w:r>
        <w:rPr>
          <w:rFonts w:hint="cs"/>
          <w:rtl/>
        </w:rPr>
        <w:lastRenderedPageBreak/>
        <w:t xml:space="preserve">כלליות, הנכונות תמיד ובכל חברה. שאלה זו תיפתר בכל חברה על סמך מאפיינים ייחודיים לחברה </w:t>
      </w:r>
      <w:r>
        <w:rPr>
          <w:rtl/>
        </w:rPr>
        <w:t>שמדובר בה, ועל סמך עקרונות ראויים כלליים של תפישת השלטון והמדינה. לעומת זאת, השאלה, מהו ההסדר המשטרי</w:t>
      </w:r>
      <w:r>
        <w:rPr>
          <w:rFonts w:hint="cs"/>
          <w:rtl/>
        </w:rPr>
        <w:t>-ח</w:t>
      </w:r>
      <w:r>
        <w:rPr>
          <w:rtl/>
        </w:rPr>
        <w:t>וקתי הקיים בחברה מסוימת בזמן נתון? היא שאלה מעורבת של מציאות פוליטית ושל משפט. תשובות לשתי השאלות –</w:t>
      </w:r>
      <w:r>
        <w:rPr>
          <w:rFonts w:hint="cs"/>
          <w:rtl/>
        </w:rPr>
        <w:t xml:space="preserve"> </w:t>
      </w:r>
      <w:r>
        <w:rPr>
          <w:rtl/>
        </w:rPr>
        <w:t>הן זו לגבי ההסדרים הראויים הן זו לגבי ההסדרים הקיימים – אינן יכולות להילמד מתוך עיונים מושגיים או לוגיים, או מתוך גזירה הכרחית מעקרונות תורת</w:t>
      </w:r>
      <w:r>
        <w:rPr>
          <w:rFonts w:hint="cs"/>
          <w:rtl/>
        </w:rPr>
        <w:t>-</w:t>
      </w:r>
      <w:r>
        <w:rPr>
          <w:rtl/>
        </w:rPr>
        <w:t>המשטרים או מעקרונות תורת</w:t>
      </w:r>
      <w:r>
        <w:rPr>
          <w:rFonts w:hint="cs"/>
          <w:rtl/>
        </w:rPr>
        <w:t>-</w:t>
      </w:r>
      <w:r>
        <w:rPr>
          <w:rtl/>
        </w:rPr>
        <w:t>המשפט, או אף מצורת משטר מסוימת</w:t>
      </w:r>
      <w:r>
        <w:rPr>
          <w:rFonts w:hint="cs"/>
          <w:rtl/>
        </w:rPr>
        <w:t xml:space="preserve"> </w:t>
      </w:r>
      <w:r>
        <w:rPr>
          <w:rtl/>
        </w:rPr>
        <w:t>(כגון דמוקרטיה) או מתורת</w:t>
      </w:r>
      <w:r>
        <w:rPr>
          <w:rFonts w:hint="cs"/>
          <w:rtl/>
        </w:rPr>
        <w:t>-</w:t>
      </w:r>
      <w:r>
        <w:rPr>
          <w:rtl/>
        </w:rPr>
        <w:t>משפט מסוימת</w:t>
      </w:r>
      <w:r>
        <w:rPr>
          <w:rFonts w:hint="cs"/>
          <w:rtl/>
        </w:rPr>
        <w:t xml:space="preserve"> </w:t>
      </w:r>
      <w:r>
        <w:rPr>
          <w:rtl/>
        </w:rPr>
        <w:t>(כגון זו של או</w:t>
      </w:r>
      <w:r>
        <w:rPr>
          <w:rFonts w:hint="cs"/>
          <w:rtl/>
        </w:rPr>
        <w:t>ס</w:t>
      </w:r>
      <w:r>
        <w:rPr>
          <w:rtl/>
        </w:rPr>
        <w:t>טין, קלזן, הרט או דוורקין)</w:t>
      </w:r>
      <w:r>
        <w:rPr>
          <w:rFonts w:hint="cs"/>
          <w:rtl/>
        </w:rPr>
        <w:t xml:space="preserve">" (רות גביזון "המהפכה החוקתית </w:t>
      </w:r>
      <w:r>
        <w:rPr>
          <w:rtl/>
        </w:rPr>
        <w:t>–</w:t>
      </w:r>
      <w:r>
        <w:rPr>
          <w:rFonts w:hint="cs"/>
          <w:rtl/>
        </w:rPr>
        <w:t xml:space="preserve"> תיאור המציאות או נבואה המגשימה את עצמה?" </w:t>
      </w:r>
      <w:r w:rsidRPr="00692CEE">
        <w:rPr>
          <w:rFonts w:ascii="Century" w:hAnsi="Century" w:cs="Miriam" w:hint="cs"/>
          <w:b/>
          <w:spacing w:val="0"/>
          <w:szCs w:val="24"/>
          <w:rtl/>
        </w:rPr>
        <w:t>משפטים</w:t>
      </w:r>
      <w:r w:rsidRPr="00692CEE">
        <w:rPr>
          <w:rFonts w:hint="cs"/>
          <w:rtl/>
        </w:rPr>
        <w:t xml:space="preserve"> </w:t>
      </w:r>
      <w:r>
        <w:rPr>
          <w:rFonts w:hint="cs"/>
          <w:rtl/>
        </w:rPr>
        <w:t>כ"ח 21, 37-35 (1997)).</w:t>
      </w:r>
    </w:p>
    <w:p w:rsidR="00D61E12" w:rsidRDefault="00D61E12" w:rsidP="00D61E12">
      <w:pPr>
        <w:pStyle w:val="Ruller4"/>
        <w:spacing w:before="240" w:after="240"/>
        <w:rPr>
          <w:rtl/>
        </w:rPr>
      </w:pPr>
      <w:r>
        <w:rPr>
          <w:rFonts w:ascii="Century" w:hAnsi="Century" w:hint="cs"/>
          <w:rtl/>
        </w:rPr>
        <w:t xml:space="preserve">הנה כי כן, </w:t>
      </w:r>
      <w:r w:rsidRPr="00A300C6">
        <w:rPr>
          <w:rFonts w:ascii="Century" w:hAnsi="Century" w:hint="eastAsia"/>
          <w:rtl/>
        </w:rPr>
        <w:t>בד</w:t>
      </w:r>
      <w:r w:rsidRPr="00A300C6">
        <w:rPr>
          <w:rFonts w:ascii="Century" w:hAnsi="Century"/>
          <w:rtl/>
        </w:rPr>
        <w:t xml:space="preserve"> </w:t>
      </w:r>
      <w:r w:rsidRPr="00A300C6">
        <w:rPr>
          <w:rFonts w:ascii="Century" w:hAnsi="Century" w:hint="eastAsia"/>
          <w:rtl/>
        </w:rPr>
        <w:t>בבד</w:t>
      </w:r>
      <w:r w:rsidRPr="00A300C6">
        <w:rPr>
          <w:rFonts w:ascii="Century" w:hAnsi="Century"/>
          <w:rtl/>
        </w:rPr>
        <w:t xml:space="preserve"> </w:t>
      </w:r>
      <w:r w:rsidRPr="00A300C6">
        <w:rPr>
          <w:rFonts w:ascii="Century" w:hAnsi="Century" w:hint="eastAsia"/>
          <w:rtl/>
        </w:rPr>
        <w:t>עם</w:t>
      </w:r>
      <w:r w:rsidRPr="00A300C6">
        <w:rPr>
          <w:rFonts w:ascii="Century" w:hAnsi="Century"/>
          <w:rtl/>
        </w:rPr>
        <w:t xml:space="preserve"> </w:t>
      </w:r>
      <w:r w:rsidRPr="00A300C6">
        <w:rPr>
          <w:rFonts w:ascii="Century" w:hAnsi="Century" w:hint="eastAsia"/>
          <w:rtl/>
        </w:rPr>
        <w:t>פיתוחן</w:t>
      </w:r>
      <w:r w:rsidRPr="00A300C6">
        <w:rPr>
          <w:rFonts w:ascii="Century" w:hAnsi="Century"/>
          <w:rtl/>
        </w:rPr>
        <w:t xml:space="preserve"> </w:t>
      </w:r>
      <w:r w:rsidRPr="007977E5">
        <w:rPr>
          <w:rFonts w:ascii="Century" w:hAnsi="Century" w:hint="eastAsia"/>
          <w:rtl/>
        </w:rPr>
        <w:t>של</w:t>
      </w:r>
      <w:r w:rsidRPr="007977E5">
        <w:rPr>
          <w:rFonts w:ascii="Century" w:hAnsi="Century"/>
          <w:rtl/>
        </w:rPr>
        <w:t xml:space="preserve"> </w:t>
      </w:r>
      <w:r w:rsidRPr="007977E5">
        <w:rPr>
          <w:rFonts w:ascii="Century" w:hAnsi="Century" w:hint="eastAsia"/>
          <w:rtl/>
        </w:rPr>
        <w:t>דמוקרטיות</w:t>
      </w:r>
      <w:r w:rsidRPr="007977E5">
        <w:rPr>
          <w:rFonts w:ascii="Century" w:hAnsi="Century"/>
          <w:rtl/>
        </w:rPr>
        <w:t xml:space="preserve"> </w:t>
      </w:r>
      <w:r w:rsidRPr="007977E5">
        <w:rPr>
          <w:rFonts w:ascii="Century" w:hAnsi="Century" w:hint="eastAsia"/>
          <w:rtl/>
        </w:rPr>
        <w:t>ו</w:t>
      </w:r>
      <w:r w:rsidRPr="00A300C6">
        <w:rPr>
          <w:rFonts w:ascii="Century" w:hAnsi="Century" w:hint="eastAsia"/>
          <w:rtl/>
        </w:rPr>
        <w:t>חוקות</w:t>
      </w:r>
      <w:r w:rsidRPr="007977E5">
        <w:rPr>
          <w:rFonts w:ascii="Century" w:hAnsi="Century" w:hint="cs"/>
          <w:rtl/>
        </w:rPr>
        <w:t xml:space="preserve"> </w:t>
      </w:r>
      <w:r w:rsidRPr="0063755F">
        <w:rPr>
          <w:rFonts w:ascii="Century" w:hAnsi="Century" w:hint="cs"/>
          <w:rtl/>
        </w:rPr>
        <w:t>מודרניות</w:t>
      </w:r>
      <w:r w:rsidRPr="007977E5">
        <w:rPr>
          <w:rFonts w:ascii="Century" w:hAnsi="Century"/>
          <w:rtl/>
        </w:rPr>
        <w:t>,</w:t>
      </w:r>
      <w:r w:rsidRPr="00A300C6">
        <w:rPr>
          <w:rFonts w:ascii="Century" w:hAnsi="Century"/>
          <w:rtl/>
        </w:rPr>
        <w:t xml:space="preserve"> </w:t>
      </w:r>
      <w:r w:rsidRPr="00A300C6">
        <w:rPr>
          <w:rFonts w:ascii="Century" w:hAnsi="Century" w:hint="eastAsia"/>
          <w:rtl/>
        </w:rPr>
        <w:t>התגבשה</w:t>
      </w:r>
      <w:r w:rsidRPr="00A300C6">
        <w:rPr>
          <w:rFonts w:ascii="Century" w:hAnsi="Century"/>
          <w:rtl/>
        </w:rPr>
        <w:t xml:space="preserve"> </w:t>
      </w:r>
      <w:r w:rsidRPr="00A300C6">
        <w:rPr>
          <w:rFonts w:ascii="Century" w:hAnsi="Century" w:hint="eastAsia"/>
          <w:rtl/>
        </w:rPr>
        <w:t>ההבנה</w:t>
      </w:r>
      <w:r w:rsidRPr="00A300C6">
        <w:rPr>
          <w:rFonts w:ascii="Century" w:hAnsi="Century"/>
          <w:rtl/>
        </w:rPr>
        <w:t xml:space="preserve"> </w:t>
      </w:r>
      <w:r w:rsidRPr="00A300C6">
        <w:rPr>
          <w:rFonts w:ascii="Century" w:hAnsi="Century" w:hint="eastAsia"/>
          <w:rtl/>
        </w:rPr>
        <w:t>כי</w:t>
      </w:r>
      <w:r w:rsidRPr="00A300C6">
        <w:rPr>
          <w:rFonts w:ascii="Century" w:hAnsi="Century"/>
          <w:rtl/>
        </w:rPr>
        <w:t xml:space="preserve"> </w:t>
      </w:r>
      <w:r>
        <w:rPr>
          <w:rFonts w:ascii="Century" w:hAnsi="Century" w:hint="cs"/>
          <w:rtl/>
        </w:rPr>
        <w:t xml:space="preserve">ישנם עקרונות שעומדים בבסיס קיומה של המדינה, אשר מצדיקים להטיל מגבלות מסוימות </w:t>
      </w:r>
      <w:r w:rsidRPr="00A300C6">
        <w:rPr>
          <w:rFonts w:ascii="Century" w:hAnsi="Century" w:hint="eastAsia"/>
          <w:rtl/>
        </w:rPr>
        <w:t>גם</w:t>
      </w:r>
      <w:r w:rsidRPr="00A300C6">
        <w:rPr>
          <w:rFonts w:ascii="Century" w:hAnsi="Century"/>
          <w:rtl/>
        </w:rPr>
        <w:t xml:space="preserve"> </w:t>
      </w:r>
      <w:r w:rsidRPr="00A300C6">
        <w:rPr>
          <w:rFonts w:ascii="Century" w:hAnsi="Century" w:hint="eastAsia"/>
          <w:rtl/>
        </w:rPr>
        <w:t>על</w:t>
      </w:r>
      <w:r w:rsidRPr="00A300C6">
        <w:rPr>
          <w:rFonts w:ascii="Century" w:hAnsi="Century"/>
          <w:rtl/>
        </w:rPr>
        <w:t xml:space="preserve"> </w:t>
      </w:r>
      <w:r w:rsidRPr="00A300C6">
        <w:rPr>
          <w:rFonts w:ascii="Century" w:hAnsi="Century" w:hint="eastAsia"/>
          <w:rtl/>
        </w:rPr>
        <w:t>נציגיו</w:t>
      </w:r>
      <w:r w:rsidRPr="00A300C6">
        <w:rPr>
          <w:rFonts w:ascii="Century" w:hAnsi="Century"/>
          <w:rtl/>
        </w:rPr>
        <w:t xml:space="preserve"> </w:t>
      </w:r>
      <w:r>
        <w:rPr>
          <w:rFonts w:ascii="Century" w:hAnsi="Century" w:hint="cs"/>
          <w:rtl/>
        </w:rPr>
        <w:t xml:space="preserve">של הריבון המכהנים </w:t>
      </w:r>
      <w:r w:rsidRPr="00A300C6">
        <w:rPr>
          <w:rFonts w:ascii="Century" w:hAnsi="Century" w:hint="eastAsia"/>
          <w:rtl/>
        </w:rPr>
        <w:t>ברשות</w:t>
      </w:r>
      <w:r w:rsidRPr="00A300C6">
        <w:rPr>
          <w:rFonts w:ascii="Century" w:hAnsi="Century"/>
          <w:rtl/>
        </w:rPr>
        <w:t xml:space="preserve"> </w:t>
      </w:r>
      <w:r w:rsidRPr="00A300C6">
        <w:rPr>
          <w:rFonts w:ascii="Century" w:hAnsi="Century" w:hint="eastAsia"/>
          <w:rtl/>
        </w:rPr>
        <w:t>המחוקקת</w:t>
      </w:r>
      <w:r w:rsidRPr="00A300C6">
        <w:rPr>
          <w:rFonts w:ascii="Century" w:hAnsi="Century"/>
          <w:rtl/>
        </w:rPr>
        <w:t>.</w:t>
      </w:r>
      <w:r>
        <w:rPr>
          <w:rFonts w:ascii="Century" w:hAnsi="Century" w:hint="cs"/>
          <w:sz w:val="22"/>
          <w:rtl/>
        </w:rPr>
        <w:t xml:space="preserve"> </w:t>
      </w:r>
      <w:r>
        <w:rPr>
          <w:rFonts w:hint="cs"/>
          <w:rtl/>
        </w:rPr>
        <w:t xml:space="preserve">העקרונות המכוננים של המדינה עשויים לכלול את </w:t>
      </w:r>
      <w:r w:rsidRPr="004B25CF">
        <w:rPr>
          <w:rFonts w:hint="eastAsia"/>
          <w:rtl/>
        </w:rPr>
        <w:t>חובתו</w:t>
      </w:r>
      <w:r w:rsidRPr="004B25CF">
        <w:rPr>
          <w:rtl/>
        </w:rPr>
        <w:t xml:space="preserve"> </w:t>
      </w:r>
      <w:r w:rsidRPr="004B25CF">
        <w:rPr>
          <w:rFonts w:hint="eastAsia"/>
          <w:rtl/>
        </w:rPr>
        <w:t>של</w:t>
      </w:r>
      <w:r w:rsidRPr="004B25CF">
        <w:rPr>
          <w:rtl/>
        </w:rPr>
        <w:t xml:space="preserve"> </w:t>
      </w:r>
      <w:r w:rsidRPr="004B25CF">
        <w:rPr>
          <w:rFonts w:hint="eastAsia"/>
          <w:rtl/>
        </w:rPr>
        <w:t>הרוב</w:t>
      </w:r>
      <w:r w:rsidRPr="004B25CF">
        <w:rPr>
          <w:rtl/>
        </w:rPr>
        <w:t xml:space="preserve"> </w:t>
      </w:r>
      <w:r w:rsidRPr="004B25CF">
        <w:rPr>
          <w:rFonts w:hint="eastAsia"/>
          <w:rtl/>
        </w:rPr>
        <w:t>להכיר</w:t>
      </w:r>
      <w:r w:rsidRPr="004B25CF">
        <w:rPr>
          <w:rtl/>
        </w:rPr>
        <w:t xml:space="preserve"> </w:t>
      </w:r>
      <w:r w:rsidRPr="004B25CF">
        <w:rPr>
          <w:rFonts w:hint="eastAsia"/>
          <w:rtl/>
        </w:rPr>
        <w:t>בזכויות</w:t>
      </w:r>
      <w:r w:rsidRPr="004B25CF">
        <w:rPr>
          <w:rtl/>
        </w:rPr>
        <w:t xml:space="preserve"> </w:t>
      </w:r>
      <w:r w:rsidRPr="004B25CF">
        <w:rPr>
          <w:rFonts w:hint="eastAsia"/>
          <w:rtl/>
        </w:rPr>
        <w:t>המיעוט</w:t>
      </w:r>
      <w:r>
        <w:rPr>
          <w:rFonts w:hint="cs"/>
          <w:rtl/>
        </w:rPr>
        <w:t>,</w:t>
      </w:r>
      <w:r w:rsidRPr="004B25CF">
        <w:rPr>
          <w:rtl/>
        </w:rPr>
        <w:t xml:space="preserve"> </w:t>
      </w:r>
      <w:r w:rsidRPr="004B25CF">
        <w:rPr>
          <w:rFonts w:hint="eastAsia"/>
          <w:rtl/>
        </w:rPr>
        <w:t>ו</w:t>
      </w:r>
      <w:r>
        <w:rPr>
          <w:rFonts w:hint="cs"/>
          <w:rtl/>
        </w:rPr>
        <w:t xml:space="preserve">אפילו את העיקרון </w:t>
      </w:r>
      <w:r w:rsidRPr="004B25CF">
        <w:rPr>
          <w:rFonts w:hint="eastAsia"/>
          <w:rtl/>
        </w:rPr>
        <w:t>ש</w:t>
      </w:r>
      <w:r>
        <w:rPr>
          <w:rFonts w:hint="cs"/>
          <w:rtl/>
        </w:rPr>
        <w:t xml:space="preserve">לפיו </w:t>
      </w:r>
      <w:r w:rsidRPr="004B25CF">
        <w:rPr>
          <w:rFonts w:hint="eastAsia"/>
          <w:rtl/>
        </w:rPr>
        <w:t>המיעוט</w:t>
      </w:r>
      <w:r w:rsidRPr="004B25CF">
        <w:rPr>
          <w:rtl/>
        </w:rPr>
        <w:t xml:space="preserve"> </w:t>
      </w:r>
      <w:r>
        <w:rPr>
          <w:rFonts w:hint="cs"/>
          <w:rtl/>
        </w:rPr>
        <w:t xml:space="preserve">זכאי </w:t>
      </w:r>
      <w:r w:rsidRPr="004B25CF">
        <w:rPr>
          <w:rFonts w:hint="eastAsia"/>
          <w:rtl/>
        </w:rPr>
        <w:t>להיות</w:t>
      </w:r>
      <w:r w:rsidRPr="004B25CF">
        <w:rPr>
          <w:rtl/>
        </w:rPr>
        <w:t xml:space="preserve"> </w:t>
      </w:r>
      <w:r w:rsidRPr="004B25CF">
        <w:rPr>
          <w:rFonts w:hint="eastAsia"/>
          <w:rtl/>
        </w:rPr>
        <w:t>חלק</w:t>
      </w:r>
      <w:r w:rsidRPr="004B25CF">
        <w:rPr>
          <w:rtl/>
        </w:rPr>
        <w:t xml:space="preserve"> </w:t>
      </w:r>
      <w:r w:rsidRPr="004B25CF">
        <w:rPr>
          <w:rFonts w:hint="eastAsia"/>
          <w:rtl/>
        </w:rPr>
        <w:t>אינטגראלי</w:t>
      </w:r>
      <w:r w:rsidRPr="004B25CF">
        <w:rPr>
          <w:rtl/>
        </w:rPr>
        <w:t xml:space="preserve"> </w:t>
      </w:r>
      <w:r>
        <w:rPr>
          <w:rFonts w:hint="cs"/>
          <w:rtl/>
        </w:rPr>
        <w:t>ב</w:t>
      </w:r>
      <w:r w:rsidRPr="004B25CF">
        <w:rPr>
          <w:rFonts w:hint="eastAsia"/>
          <w:rtl/>
        </w:rPr>
        <w:t>הליך</w:t>
      </w:r>
      <w:r w:rsidRPr="004B25CF">
        <w:rPr>
          <w:rtl/>
        </w:rPr>
        <w:t xml:space="preserve"> </w:t>
      </w:r>
      <w:r w:rsidRPr="004B25CF">
        <w:rPr>
          <w:rFonts w:hint="eastAsia"/>
          <w:rtl/>
        </w:rPr>
        <w:t>קבלת</w:t>
      </w:r>
      <w:r w:rsidRPr="004B25CF">
        <w:rPr>
          <w:rtl/>
        </w:rPr>
        <w:t xml:space="preserve"> </w:t>
      </w:r>
      <w:r w:rsidRPr="004B25CF">
        <w:rPr>
          <w:rFonts w:hint="eastAsia"/>
          <w:rtl/>
        </w:rPr>
        <w:t>ההחלטות</w:t>
      </w:r>
      <w:r w:rsidRPr="004B25CF">
        <w:rPr>
          <w:rtl/>
        </w:rPr>
        <w:t xml:space="preserve"> </w:t>
      </w:r>
      <w:r w:rsidRPr="004B25CF">
        <w:rPr>
          <w:rFonts w:hint="eastAsia"/>
          <w:rtl/>
        </w:rPr>
        <w:t>במדינה</w:t>
      </w:r>
      <w:r w:rsidRPr="004B25CF">
        <w:rPr>
          <w:rtl/>
        </w:rPr>
        <w:t>.</w:t>
      </w:r>
      <w:r>
        <w:rPr>
          <w:rFonts w:hint="cs"/>
          <w:rtl/>
        </w:rPr>
        <w:t xml:space="preserve"> כך למשל, חברי, השופט </w:t>
      </w:r>
      <w:r w:rsidRPr="00C62690">
        <w:rPr>
          <w:rFonts w:ascii="Century" w:hAnsi="Century" w:cs="Miriam" w:hint="cs"/>
          <w:b/>
          <w:spacing w:val="0"/>
          <w:sz w:val="22"/>
          <w:szCs w:val="24"/>
          <w:rtl/>
        </w:rPr>
        <w:t>א' שטיין</w:t>
      </w:r>
      <w:r>
        <w:rPr>
          <w:rFonts w:hint="cs"/>
          <w:rtl/>
        </w:rPr>
        <w:t>, מטעים בחוות דעתו כי ההגנה על המיעוט במדינה דמוקרטית עשויה לנבוע, במידה לא מבוטלת, מרצון הרוב ומהאינטרס שלו לייצר מדינה משגשגת (ראו בפסקאות 27-26 לחוות דעתו).</w:t>
      </w:r>
    </w:p>
    <w:p w:rsidR="00D61E12" w:rsidRDefault="00D61E12" w:rsidP="00D61E12">
      <w:pPr>
        <w:pStyle w:val="Ruller4"/>
        <w:spacing w:before="240" w:after="240"/>
      </w:pPr>
      <w:r w:rsidRPr="00011760">
        <w:rPr>
          <w:rFonts w:ascii="Century" w:hAnsi="Century" w:cs="Miriam" w:hint="eastAsia"/>
          <w:b/>
          <w:spacing w:val="0"/>
          <w:sz w:val="22"/>
          <w:szCs w:val="24"/>
          <w:rtl/>
        </w:rPr>
        <w:t>הגנה</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על</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ה</w:t>
      </w:r>
      <w:r>
        <w:rPr>
          <w:rFonts w:ascii="Century" w:hAnsi="Century" w:cs="Miriam" w:hint="cs"/>
          <w:b/>
          <w:spacing w:val="0"/>
          <w:sz w:val="22"/>
          <w:szCs w:val="24"/>
          <w:rtl/>
        </w:rPr>
        <w:t>רשות המחוקקת</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ועל</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מעמדה</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מול</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הרשות</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המבצעת</w:t>
      </w:r>
      <w:r>
        <w:rPr>
          <w:rFonts w:hint="cs"/>
          <w:rtl/>
        </w:rPr>
        <w:t>: כידוע, אחד מתפקידיה</w:t>
      </w:r>
      <w:r w:rsidRPr="00A300C6">
        <w:rPr>
          <w:rtl/>
        </w:rPr>
        <w:t xml:space="preserve"> </w:t>
      </w:r>
      <w:r w:rsidRPr="00A300C6">
        <w:rPr>
          <w:rFonts w:hint="eastAsia"/>
          <w:rtl/>
        </w:rPr>
        <w:t>של</w:t>
      </w:r>
      <w:r w:rsidRPr="00A300C6">
        <w:rPr>
          <w:rtl/>
        </w:rPr>
        <w:t xml:space="preserve"> </w:t>
      </w:r>
      <w:r>
        <w:rPr>
          <w:rFonts w:hint="cs"/>
          <w:rtl/>
        </w:rPr>
        <w:t>הרשות המחוקקת</w:t>
      </w:r>
      <w:r w:rsidRPr="00A300C6">
        <w:rPr>
          <w:rtl/>
        </w:rPr>
        <w:t xml:space="preserve"> </w:t>
      </w:r>
      <w:r w:rsidRPr="00A300C6">
        <w:rPr>
          <w:rFonts w:hint="eastAsia"/>
          <w:rtl/>
        </w:rPr>
        <w:t>הוא</w:t>
      </w:r>
      <w:r w:rsidRPr="00A300C6">
        <w:rPr>
          <w:rtl/>
        </w:rPr>
        <w:t xml:space="preserve"> </w:t>
      </w:r>
      <w:r w:rsidRPr="00A300C6">
        <w:rPr>
          <w:rFonts w:hint="eastAsia"/>
          <w:rtl/>
        </w:rPr>
        <w:t>חקיקת</w:t>
      </w:r>
      <w:r w:rsidRPr="00A300C6">
        <w:rPr>
          <w:rtl/>
        </w:rPr>
        <w:t xml:space="preserve"> </w:t>
      </w:r>
      <w:r w:rsidRPr="00A300C6">
        <w:rPr>
          <w:rFonts w:hint="eastAsia"/>
          <w:rtl/>
        </w:rPr>
        <w:t>חוקים</w:t>
      </w:r>
      <w:r w:rsidRPr="00A300C6">
        <w:rPr>
          <w:rtl/>
        </w:rPr>
        <w:t xml:space="preserve"> </w:t>
      </w:r>
      <w:r w:rsidRPr="00A300C6">
        <w:rPr>
          <w:rFonts w:hint="eastAsia"/>
          <w:rtl/>
        </w:rPr>
        <w:t>המסמ</w:t>
      </w:r>
      <w:r>
        <w:rPr>
          <w:rFonts w:hint="cs"/>
          <w:rtl/>
        </w:rPr>
        <w:t>י</w:t>
      </w:r>
      <w:r w:rsidRPr="00A300C6">
        <w:rPr>
          <w:rFonts w:hint="eastAsia"/>
          <w:rtl/>
        </w:rPr>
        <w:t>כים</w:t>
      </w:r>
      <w:r w:rsidRPr="00A300C6">
        <w:rPr>
          <w:rtl/>
        </w:rPr>
        <w:t xml:space="preserve"> </w:t>
      </w:r>
      <w:r w:rsidRPr="00A300C6">
        <w:rPr>
          <w:rFonts w:hint="eastAsia"/>
          <w:rtl/>
        </w:rPr>
        <w:t>את</w:t>
      </w:r>
      <w:r w:rsidRPr="00A300C6">
        <w:rPr>
          <w:rtl/>
        </w:rPr>
        <w:t xml:space="preserve"> </w:t>
      </w:r>
      <w:r>
        <w:rPr>
          <w:rFonts w:hint="cs"/>
          <w:rtl/>
        </w:rPr>
        <w:t>רשויות המדינה ומורים</w:t>
      </w:r>
      <w:r w:rsidRPr="00A300C6">
        <w:rPr>
          <w:rtl/>
        </w:rPr>
        <w:t xml:space="preserve"> </w:t>
      </w:r>
      <w:r>
        <w:rPr>
          <w:rFonts w:hint="cs"/>
          <w:rtl/>
        </w:rPr>
        <w:t>להן כיצד עליהן לפעול בכפוף לדין.</w:t>
      </w:r>
      <w:r w:rsidRPr="00A300C6">
        <w:rPr>
          <w:rtl/>
        </w:rPr>
        <w:t xml:space="preserve"> </w:t>
      </w:r>
      <w:r w:rsidRPr="00A300C6">
        <w:rPr>
          <w:rFonts w:hint="eastAsia"/>
          <w:rtl/>
        </w:rPr>
        <w:t>על</w:t>
      </w:r>
      <w:r w:rsidRPr="00A300C6">
        <w:rPr>
          <w:rtl/>
        </w:rPr>
        <w:t xml:space="preserve"> </w:t>
      </w:r>
      <w:r w:rsidRPr="00A300C6">
        <w:rPr>
          <w:rFonts w:hint="eastAsia"/>
          <w:rtl/>
        </w:rPr>
        <w:t>כך</w:t>
      </w:r>
      <w:r w:rsidRPr="00A300C6">
        <w:rPr>
          <w:rtl/>
        </w:rPr>
        <w:t xml:space="preserve"> </w:t>
      </w:r>
      <w:r w:rsidRPr="00A300C6">
        <w:rPr>
          <w:rFonts w:hint="eastAsia"/>
          <w:rtl/>
        </w:rPr>
        <w:t>מבוסס</w:t>
      </w:r>
      <w:r w:rsidRPr="00A300C6">
        <w:rPr>
          <w:rtl/>
        </w:rPr>
        <w:t xml:space="preserve"> </w:t>
      </w:r>
      <w:r w:rsidRPr="00011760">
        <w:rPr>
          <w:rFonts w:ascii="Century" w:hAnsi="Century" w:cs="Miriam" w:hint="eastAsia"/>
          <w:b/>
          <w:spacing w:val="0"/>
          <w:sz w:val="22"/>
          <w:szCs w:val="24"/>
          <w:rtl/>
        </w:rPr>
        <w:t>עיקרון</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חוקיות</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המינהל</w:t>
      </w:r>
      <w:r w:rsidRPr="007317F2">
        <w:rPr>
          <w:rtl/>
        </w:rPr>
        <w:t xml:space="preserve"> </w:t>
      </w:r>
      <w:r w:rsidRPr="00A300C6">
        <w:rPr>
          <w:rFonts w:hint="eastAsia"/>
          <w:rtl/>
        </w:rPr>
        <w:t>במובנו</w:t>
      </w:r>
      <w:r w:rsidRPr="00A300C6">
        <w:rPr>
          <w:rtl/>
        </w:rPr>
        <w:t xml:space="preserve"> </w:t>
      </w:r>
      <w:r w:rsidRPr="00A300C6">
        <w:rPr>
          <w:rFonts w:hint="eastAsia"/>
          <w:rtl/>
        </w:rPr>
        <w:t>הבסיסי</w:t>
      </w:r>
      <w:r w:rsidRPr="00A300C6">
        <w:rPr>
          <w:rtl/>
        </w:rPr>
        <w:t xml:space="preserve"> </w:t>
      </w:r>
      <w:r w:rsidRPr="00A300C6">
        <w:rPr>
          <w:rFonts w:hint="eastAsia"/>
          <w:rtl/>
        </w:rPr>
        <w:t>ביותר</w:t>
      </w:r>
      <w:r>
        <w:rPr>
          <w:rFonts w:hint="cs"/>
          <w:rtl/>
        </w:rPr>
        <w:t xml:space="preserve"> (ראו למשל: </w:t>
      </w:r>
      <w:r w:rsidRPr="00025C3D">
        <w:rPr>
          <w:rFonts w:hint="cs"/>
          <w:rtl/>
        </w:rPr>
        <w:t xml:space="preserve">יואב דותן </w:t>
      </w:r>
      <w:r w:rsidRPr="00CA5E9E">
        <w:rPr>
          <w:rFonts w:ascii="Century" w:hAnsi="Century" w:cs="Miriam" w:hint="cs"/>
          <w:b/>
          <w:spacing w:val="0"/>
          <w:szCs w:val="24"/>
          <w:rtl/>
        </w:rPr>
        <w:t>ביקורת שיפוטית על שיקול דעת מינהלי</w:t>
      </w:r>
      <w:r>
        <w:rPr>
          <w:rFonts w:hint="cs"/>
          <w:rtl/>
        </w:rPr>
        <w:t xml:space="preserve"> </w:t>
      </w:r>
      <w:r>
        <w:rPr>
          <w:rFonts w:ascii="Century" w:hAnsi="Century" w:hint="cs"/>
          <w:rtl/>
        </w:rPr>
        <w:t>כרך א</w:t>
      </w:r>
      <w:r>
        <w:rPr>
          <w:rFonts w:hint="cs"/>
          <w:rtl/>
        </w:rPr>
        <w:t xml:space="preserve"> 336-321</w:t>
      </w:r>
      <w:r w:rsidRPr="00025C3D">
        <w:rPr>
          <w:rFonts w:hint="cs"/>
          <w:rtl/>
        </w:rPr>
        <w:t xml:space="preserve"> (2022) </w:t>
      </w:r>
      <w:r w:rsidRPr="00025C3D">
        <w:rPr>
          <w:rtl/>
        </w:rPr>
        <w:t>(</w:t>
      </w:r>
      <w:r w:rsidRPr="00320D87">
        <w:rPr>
          <w:rFonts w:hint="eastAsia"/>
          <w:rtl/>
        </w:rPr>
        <w:t>להלן</w:t>
      </w:r>
      <w:r w:rsidRPr="00320D87">
        <w:rPr>
          <w:rtl/>
        </w:rPr>
        <w:t xml:space="preserve">: </w:t>
      </w:r>
      <w:r w:rsidRPr="00CA5E9E">
        <w:rPr>
          <w:rFonts w:ascii="Century" w:hAnsi="Century" w:cs="Miriam" w:hint="cs"/>
          <w:b/>
          <w:spacing w:val="0"/>
          <w:szCs w:val="24"/>
          <w:rtl/>
        </w:rPr>
        <w:t>דותן</w:t>
      </w:r>
      <w:r>
        <w:rPr>
          <w:rFonts w:hint="cs"/>
          <w:rtl/>
        </w:rPr>
        <w:t xml:space="preserve">)); </w:t>
      </w:r>
      <w:r w:rsidRPr="00F76EBB">
        <w:rPr>
          <w:rFonts w:ascii="Century" w:hAnsi="Century" w:hint="cs"/>
          <w:sz w:val="22"/>
          <w:shd w:val="clear" w:color="auto" w:fill="FFFFFF"/>
          <w:rtl/>
        </w:rPr>
        <w:t>לפיו, כידוע,</w:t>
      </w:r>
      <w:r w:rsidRPr="00F76EBB">
        <w:rPr>
          <w:rFonts w:ascii="Century" w:hAnsi="Century"/>
          <w:sz w:val="22"/>
          <w:shd w:val="clear" w:color="auto" w:fill="FFFFFF"/>
          <w:rtl/>
        </w:rPr>
        <w:t xml:space="preserve"> </w:t>
      </w:r>
      <w:r>
        <w:rPr>
          <w:rFonts w:ascii="Century" w:hAnsi="Century" w:hint="cs"/>
          <w:sz w:val="22"/>
          <w:shd w:val="clear" w:color="auto" w:fill="FFFFFF"/>
          <w:rtl/>
        </w:rPr>
        <w:t xml:space="preserve">אין </w:t>
      </w:r>
      <w:r w:rsidRPr="00F76EBB">
        <w:rPr>
          <w:rFonts w:ascii="Century" w:hAnsi="Century"/>
          <w:sz w:val="22"/>
          <w:shd w:val="clear" w:color="auto" w:fill="FFFFFF"/>
          <w:rtl/>
        </w:rPr>
        <w:t>לרשות המ</w:t>
      </w:r>
      <w:r>
        <w:rPr>
          <w:rFonts w:ascii="Century" w:hAnsi="Century" w:hint="cs"/>
          <w:sz w:val="22"/>
          <w:shd w:val="clear" w:color="auto" w:fill="FFFFFF"/>
          <w:rtl/>
        </w:rPr>
        <w:t>י</w:t>
      </w:r>
      <w:r w:rsidRPr="00F76EBB">
        <w:rPr>
          <w:rFonts w:ascii="Century" w:hAnsi="Century"/>
          <w:sz w:val="22"/>
          <w:shd w:val="clear" w:color="auto" w:fill="FFFFFF"/>
          <w:rtl/>
        </w:rPr>
        <w:t>נהלית אלא את הסמכויות שהוענקו לה בחוק או מכוחו, ועל כן פעולה של רשות שלטונית החורגת מגדר החוק המסמיך לוקה בפגם יסודי של חוסר סמכות</w:t>
      </w:r>
      <w:r>
        <w:rPr>
          <w:rFonts w:ascii="Century" w:hAnsi="Century" w:hint="cs"/>
          <w:sz w:val="22"/>
          <w:shd w:val="clear" w:color="auto" w:fill="FFFFFF"/>
          <w:rtl/>
        </w:rPr>
        <w:t xml:space="preserve"> (</w:t>
      </w:r>
      <w:r w:rsidRPr="00B65627">
        <w:rPr>
          <w:rFonts w:hint="cs"/>
          <w:rtl/>
        </w:rPr>
        <w:t xml:space="preserve">ראו למשל: בג"ץ 1/49 </w:t>
      </w:r>
      <w:r w:rsidRPr="00614D98">
        <w:rPr>
          <w:rStyle w:val="a9"/>
          <w:rFonts w:ascii="Century" w:hAnsi="Century" w:cs="Miriam" w:hint="cs"/>
          <w:b/>
          <w:spacing w:val="0"/>
          <w:sz w:val="22"/>
          <w:szCs w:val="24"/>
          <w:rtl/>
        </w:rPr>
        <w:t>בז'רנו נ' שר המשטרה</w:t>
      </w:r>
      <w:r w:rsidRPr="003D0DC5">
        <w:rPr>
          <w:rStyle w:val="a9"/>
          <w:rFonts w:ascii="Century" w:hAnsi="Century" w:hint="cs"/>
          <w:sz w:val="22"/>
          <w:szCs w:val="28"/>
          <w:rtl/>
        </w:rPr>
        <w:t>,</w:t>
      </w:r>
      <w:r w:rsidRPr="00614D98">
        <w:rPr>
          <w:rStyle w:val="a9"/>
          <w:rFonts w:ascii="Century" w:hAnsi="Century" w:hint="cs"/>
          <w:sz w:val="22"/>
          <w:rtl/>
        </w:rPr>
        <w:t xml:space="preserve"> </w:t>
      </w:r>
      <w:r w:rsidRPr="00B65627">
        <w:rPr>
          <w:rFonts w:hint="cs"/>
          <w:rtl/>
        </w:rPr>
        <w:t>פ"ד ב 80 (1949); בג"ץ 144/50</w:t>
      </w:r>
      <w:r w:rsidRPr="00614D98">
        <w:rPr>
          <w:rStyle w:val="a9"/>
          <w:rFonts w:ascii="Century" w:hAnsi="Century" w:hint="cs"/>
          <w:sz w:val="22"/>
          <w:rtl/>
        </w:rPr>
        <w:t xml:space="preserve"> </w:t>
      </w:r>
      <w:r w:rsidRPr="00614D98">
        <w:rPr>
          <w:rStyle w:val="a9"/>
          <w:rFonts w:ascii="Century" w:hAnsi="Century" w:cs="Miriam" w:hint="cs"/>
          <w:b/>
          <w:spacing w:val="0"/>
          <w:sz w:val="22"/>
          <w:szCs w:val="24"/>
          <w:rtl/>
        </w:rPr>
        <w:t>שייב נ' שר הבטחון</w:t>
      </w:r>
      <w:r w:rsidRPr="00B65627">
        <w:rPr>
          <w:rFonts w:hint="cs"/>
          <w:rtl/>
        </w:rPr>
        <w:t>, פ"ד ה 399 (1951)</w:t>
      </w:r>
      <w:r>
        <w:rPr>
          <w:rFonts w:hint="cs"/>
          <w:rtl/>
        </w:rPr>
        <w:t xml:space="preserve"> (להלן בהתאמה: </w:t>
      </w:r>
      <w:r w:rsidRPr="008355B3">
        <w:rPr>
          <w:rFonts w:ascii="Century" w:hAnsi="Century" w:cs="Miriam" w:hint="cs"/>
          <w:b/>
          <w:spacing w:val="0"/>
          <w:sz w:val="22"/>
          <w:szCs w:val="24"/>
          <w:rtl/>
        </w:rPr>
        <w:t>עניין בז'רנו</w:t>
      </w:r>
      <w:r>
        <w:rPr>
          <w:rFonts w:hint="cs"/>
          <w:rtl/>
        </w:rPr>
        <w:t xml:space="preserve">; </w:t>
      </w:r>
      <w:r w:rsidRPr="008355B3">
        <w:rPr>
          <w:rFonts w:ascii="Century" w:hAnsi="Century" w:cs="Miriam" w:hint="cs"/>
          <w:b/>
          <w:spacing w:val="0"/>
          <w:sz w:val="22"/>
          <w:szCs w:val="24"/>
          <w:rtl/>
        </w:rPr>
        <w:t>עניין שייב</w:t>
      </w:r>
      <w:r>
        <w:rPr>
          <w:rFonts w:hint="cs"/>
          <w:rtl/>
        </w:rPr>
        <w:t>))</w:t>
      </w:r>
      <w:r w:rsidRPr="00F76EBB">
        <w:rPr>
          <w:rFonts w:ascii="Century" w:hAnsi="Century" w:hint="cs"/>
          <w:sz w:val="22"/>
          <w:rtl/>
        </w:rPr>
        <w:t>.</w:t>
      </w:r>
      <w:r w:rsidRPr="00F76EBB">
        <w:rPr>
          <w:rFonts w:hint="cs"/>
          <w:rtl/>
        </w:rPr>
        <w:t xml:space="preserve"> </w:t>
      </w:r>
    </w:p>
    <w:p w:rsidR="00D61E12" w:rsidRDefault="00D61E12" w:rsidP="00D61E12">
      <w:pPr>
        <w:pStyle w:val="Ruller41"/>
        <w:spacing w:before="240" w:after="240"/>
        <w:rPr>
          <w:rtl/>
        </w:rPr>
      </w:pPr>
      <w:r>
        <w:rPr>
          <w:rtl/>
        </w:rPr>
        <w:tab/>
      </w:r>
      <w:r w:rsidRPr="00111B58">
        <w:rPr>
          <w:rFonts w:hint="eastAsia"/>
          <w:rtl/>
        </w:rPr>
        <w:t>בשיטתנו</w:t>
      </w:r>
      <w:r w:rsidRPr="00111B58">
        <w:rPr>
          <w:rtl/>
        </w:rPr>
        <w:t xml:space="preserve">, </w:t>
      </w:r>
      <w:r>
        <w:rPr>
          <w:rFonts w:hint="cs"/>
          <w:rtl/>
        </w:rPr>
        <w:t>מכיוון של</w:t>
      </w:r>
      <w:r w:rsidRPr="00A300C6">
        <w:rPr>
          <w:rFonts w:hint="eastAsia"/>
          <w:rtl/>
        </w:rPr>
        <w:t>רשות</w:t>
      </w:r>
      <w:r w:rsidRPr="00A300C6">
        <w:rPr>
          <w:rtl/>
        </w:rPr>
        <w:t xml:space="preserve"> </w:t>
      </w:r>
      <w:r w:rsidRPr="00A300C6">
        <w:rPr>
          <w:rFonts w:hint="eastAsia"/>
          <w:rtl/>
        </w:rPr>
        <w:t>המבצעת</w:t>
      </w:r>
      <w:r w:rsidRPr="00A300C6">
        <w:rPr>
          <w:rtl/>
        </w:rPr>
        <w:t xml:space="preserve"> </w:t>
      </w:r>
      <w:r>
        <w:rPr>
          <w:rFonts w:hint="cs"/>
          <w:rtl/>
        </w:rPr>
        <w:t>יש, כמעט בהכרח,</w:t>
      </w:r>
      <w:r w:rsidRPr="004E6884">
        <w:rPr>
          <w:rtl/>
        </w:rPr>
        <w:t xml:space="preserve"> </w:t>
      </w:r>
      <w:r w:rsidRPr="00A300C6">
        <w:rPr>
          <w:rFonts w:hint="eastAsia"/>
          <w:rtl/>
        </w:rPr>
        <w:t>רוב</w:t>
      </w:r>
      <w:r w:rsidRPr="00A300C6">
        <w:rPr>
          <w:rtl/>
        </w:rPr>
        <w:t xml:space="preserve"> </w:t>
      </w:r>
      <w:r>
        <w:rPr>
          <w:rFonts w:hint="cs"/>
          <w:rtl/>
        </w:rPr>
        <w:t>ב</w:t>
      </w:r>
      <w:r w:rsidRPr="00A300C6">
        <w:rPr>
          <w:rFonts w:hint="eastAsia"/>
          <w:rtl/>
        </w:rPr>
        <w:t>קרב</w:t>
      </w:r>
      <w:r w:rsidRPr="00A300C6">
        <w:rPr>
          <w:rtl/>
        </w:rPr>
        <w:t xml:space="preserve"> </w:t>
      </w:r>
      <w:r w:rsidRPr="00A300C6">
        <w:rPr>
          <w:rFonts w:hint="eastAsia"/>
          <w:rtl/>
        </w:rPr>
        <w:t>חברי</w:t>
      </w:r>
      <w:r w:rsidRPr="00A300C6">
        <w:rPr>
          <w:rtl/>
        </w:rPr>
        <w:t xml:space="preserve"> </w:t>
      </w:r>
      <w:r w:rsidRPr="00A300C6">
        <w:rPr>
          <w:rFonts w:hint="eastAsia"/>
          <w:rtl/>
        </w:rPr>
        <w:t>הרשות</w:t>
      </w:r>
      <w:r w:rsidRPr="00A300C6">
        <w:rPr>
          <w:rtl/>
        </w:rPr>
        <w:t xml:space="preserve"> </w:t>
      </w:r>
      <w:r w:rsidRPr="00A300C6">
        <w:rPr>
          <w:rFonts w:hint="eastAsia"/>
          <w:rtl/>
        </w:rPr>
        <w:t>המחוקקת</w:t>
      </w:r>
      <w:r>
        <w:rPr>
          <w:rFonts w:hint="cs"/>
          <w:rtl/>
        </w:rPr>
        <w:t>, וישנה פרקטיקה מקובלת של משמעת קואליציונית, קיים חשש כי הרשות המבצעת, שלה השפעה רבה על הליכי חקיקה, תעשה שימוש בכוחה זה, כדי לצמצם את המגבלות החלות עליה באמצעות חקיקה (</w:t>
      </w:r>
      <w:r w:rsidRPr="00111B58">
        <w:rPr>
          <w:rFonts w:hint="eastAsia"/>
          <w:rtl/>
        </w:rPr>
        <w:t>על</w:t>
      </w:r>
      <w:r w:rsidRPr="00111B58">
        <w:rPr>
          <w:rtl/>
        </w:rPr>
        <w:t xml:space="preserve"> </w:t>
      </w:r>
      <w:r>
        <w:rPr>
          <w:rFonts w:hint="cs"/>
          <w:rtl/>
        </w:rPr>
        <w:t xml:space="preserve">כל אלו ועוד </w:t>
      </w:r>
      <w:r w:rsidRPr="00111B58">
        <w:rPr>
          <w:rFonts w:hint="eastAsia"/>
          <w:rtl/>
        </w:rPr>
        <w:t>פירטו</w:t>
      </w:r>
      <w:r w:rsidRPr="00111B58">
        <w:rPr>
          <w:rtl/>
        </w:rPr>
        <w:t xml:space="preserve"> </w:t>
      </w:r>
      <w:r w:rsidRPr="00111B58">
        <w:rPr>
          <w:rFonts w:hint="eastAsia"/>
          <w:rtl/>
        </w:rPr>
        <w:t>חבריי</w:t>
      </w:r>
      <w:r w:rsidRPr="00111B58">
        <w:rPr>
          <w:rtl/>
        </w:rPr>
        <w:t xml:space="preserve"> </w:t>
      </w:r>
      <w:r w:rsidRPr="00111B58">
        <w:rPr>
          <w:rFonts w:hint="eastAsia"/>
          <w:rtl/>
        </w:rPr>
        <w:t>ארוכות</w:t>
      </w:r>
      <w:r w:rsidRPr="00111B58">
        <w:rPr>
          <w:rtl/>
        </w:rPr>
        <w:t>,</w:t>
      </w:r>
      <w:r>
        <w:rPr>
          <w:rFonts w:hint="cs"/>
          <w:rtl/>
        </w:rPr>
        <w:t xml:space="preserve"> ולא מצאתי להוסיף עליהם. </w:t>
      </w:r>
      <w:r w:rsidRPr="00111B58">
        <w:rPr>
          <w:rFonts w:hint="eastAsia"/>
          <w:rtl/>
        </w:rPr>
        <w:t>המעוניינים</w:t>
      </w:r>
      <w:r w:rsidRPr="00111B58">
        <w:rPr>
          <w:rtl/>
        </w:rPr>
        <w:t xml:space="preserve"> </w:t>
      </w:r>
      <w:r w:rsidRPr="00111B58">
        <w:rPr>
          <w:rFonts w:hint="eastAsia"/>
          <w:rtl/>
        </w:rPr>
        <w:t>בסקירה</w:t>
      </w:r>
      <w:r w:rsidRPr="00111B58">
        <w:rPr>
          <w:rtl/>
        </w:rPr>
        <w:t xml:space="preserve"> </w:t>
      </w:r>
      <w:r w:rsidRPr="00111B58">
        <w:rPr>
          <w:rFonts w:hint="eastAsia"/>
          <w:rtl/>
        </w:rPr>
        <w:t>מקיפה</w:t>
      </w:r>
      <w:r w:rsidRPr="00111B58">
        <w:rPr>
          <w:rtl/>
        </w:rPr>
        <w:t xml:space="preserve"> </w:t>
      </w:r>
      <w:r w:rsidRPr="00111B58">
        <w:rPr>
          <w:rFonts w:hint="eastAsia"/>
          <w:rtl/>
        </w:rPr>
        <w:t>נוספת</w:t>
      </w:r>
      <w:r w:rsidRPr="00111B58">
        <w:rPr>
          <w:rtl/>
        </w:rPr>
        <w:t xml:space="preserve">, </w:t>
      </w:r>
      <w:r>
        <w:rPr>
          <w:rFonts w:hint="cs"/>
          <w:rtl/>
        </w:rPr>
        <w:t xml:space="preserve">לרבות </w:t>
      </w:r>
      <w:r w:rsidRPr="00111B58">
        <w:rPr>
          <w:rFonts w:hint="eastAsia"/>
          <w:rtl/>
        </w:rPr>
        <w:t>מבט</w:t>
      </w:r>
      <w:r w:rsidRPr="00111B58">
        <w:rPr>
          <w:rtl/>
        </w:rPr>
        <w:t xml:space="preserve"> </w:t>
      </w:r>
      <w:r w:rsidRPr="00111B58">
        <w:rPr>
          <w:rFonts w:hint="eastAsia"/>
          <w:rtl/>
        </w:rPr>
        <w:t>משווה</w:t>
      </w:r>
      <w:r w:rsidRPr="00111B58">
        <w:rPr>
          <w:rtl/>
        </w:rPr>
        <w:t xml:space="preserve"> </w:t>
      </w:r>
      <w:r w:rsidRPr="00111B58">
        <w:rPr>
          <w:rFonts w:hint="eastAsia"/>
          <w:rtl/>
        </w:rPr>
        <w:t>לארה</w:t>
      </w:r>
      <w:r w:rsidRPr="00111B58">
        <w:rPr>
          <w:rtl/>
        </w:rPr>
        <w:t>"</w:t>
      </w:r>
      <w:r w:rsidRPr="00111B58">
        <w:rPr>
          <w:rFonts w:hint="eastAsia"/>
          <w:rtl/>
        </w:rPr>
        <w:t>ב</w:t>
      </w:r>
      <w:r w:rsidRPr="00111B58">
        <w:rPr>
          <w:rtl/>
        </w:rPr>
        <w:t xml:space="preserve">, </w:t>
      </w:r>
      <w:r>
        <w:rPr>
          <w:rFonts w:hint="cs"/>
          <w:rtl/>
        </w:rPr>
        <w:lastRenderedPageBreak/>
        <w:t>ו</w:t>
      </w:r>
      <w:r w:rsidRPr="00111B58">
        <w:rPr>
          <w:rFonts w:hint="eastAsia"/>
          <w:rtl/>
        </w:rPr>
        <w:t>תוך</w:t>
      </w:r>
      <w:r w:rsidRPr="00111B58">
        <w:rPr>
          <w:rtl/>
        </w:rPr>
        <w:t xml:space="preserve"> </w:t>
      </w:r>
      <w:r w:rsidRPr="00111B58">
        <w:rPr>
          <w:rFonts w:hint="eastAsia"/>
          <w:rtl/>
        </w:rPr>
        <w:t>הצבעה</w:t>
      </w:r>
      <w:r w:rsidRPr="00111B58">
        <w:rPr>
          <w:rtl/>
        </w:rPr>
        <w:t xml:space="preserve"> </w:t>
      </w:r>
      <w:r w:rsidRPr="00111B58">
        <w:rPr>
          <w:rFonts w:hint="eastAsia"/>
          <w:rtl/>
        </w:rPr>
        <w:t>על</w:t>
      </w:r>
      <w:r w:rsidRPr="00111B58">
        <w:rPr>
          <w:rtl/>
        </w:rPr>
        <w:t xml:space="preserve"> </w:t>
      </w:r>
      <w:r w:rsidRPr="00111B58">
        <w:rPr>
          <w:rFonts w:hint="eastAsia"/>
          <w:rtl/>
        </w:rPr>
        <w:t>הקשר</w:t>
      </w:r>
      <w:r w:rsidRPr="00111B58">
        <w:rPr>
          <w:rtl/>
        </w:rPr>
        <w:t xml:space="preserve"> </w:t>
      </w:r>
      <w:r w:rsidRPr="00111B58">
        <w:rPr>
          <w:rFonts w:hint="eastAsia"/>
          <w:rtl/>
        </w:rPr>
        <w:t>ההפוך</w:t>
      </w:r>
      <w:r w:rsidRPr="00111B58">
        <w:rPr>
          <w:rtl/>
        </w:rPr>
        <w:t xml:space="preserve"> </w:t>
      </w:r>
      <w:r w:rsidRPr="00111B58">
        <w:rPr>
          <w:rFonts w:hint="eastAsia"/>
          <w:rtl/>
        </w:rPr>
        <w:t>בין</w:t>
      </w:r>
      <w:r w:rsidRPr="00111B58">
        <w:rPr>
          <w:rtl/>
        </w:rPr>
        <w:t xml:space="preserve"> </w:t>
      </w:r>
      <w:r w:rsidRPr="00111B58">
        <w:rPr>
          <w:rFonts w:hint="eastAsia"/>
          <w:rtl/>
        </w:rPr>
        <w:t>עוצמתו</w:t>
      </w:r>
      <w:r w:rsidRPr="00111B58">
        <w:rPr>
          <w:rtl/>
        </w:rPr>
        <w:t xml:space="preserve"> </w:t>
      </w:r>
      <w:r w:rsidRPr="00111B58">
        <w:rPr>
          <w:rFonts w:hint="eastAsia"/>
          <w:rtl/>
        </w:rPr>
        <w:t>של</w:t>
      </w:r>
      <w:r w:rsidRPr="00111B58">
        <w:rPr>
          <w:rtl/>
        </w:rPr>
        <w:t xml:space="preserve"> </w:t>
      </w:r>
      <w:r w:rsidRPr="00111B58">
        <w:rPr>
          <w:rFonts w:hint="eastAsia"/>
          <w:rtl/>
        </w:rPr>
        <w:t>מבנה</w:t>
      </w:r>
      <w:r w:rsidRPr="00111B58">
        <w:rPr>
          <w:rtl/>
        </w:rPr>
        <w:t xml:space="preserve"> </w:t>
      </w:r>
      <w:r w:rsidRPr="00111B58">
        <w:rPr>
          <w:rFonts w:hint="eastAsia"/>
          <w:rtl/>
        </w:rPr>
        <w:t>הפרדת</w:t>
      </w:r>
      <w:r w:rsidRPr="00111B58">
        <w:rPr>
          <w:rtl/>
        </w:rPr>
        <w:t xml:space="preserve"> </w:t>
      </w:r>
      <w:r w:rsidRPr="00111B58">
        <w:rPr>
          <w:rFonts w:hint="eastAsia"/>
          <w:rtl/>
        </w:rPr>
        <w:t>הרשויות</w:t>
      </w:r>
      <w:r w:rsidRPr="00111B58">
        <w:rPr>
          <w:rtl/>
        </w:rPr>
        <w:t xml:space="preserve"> </w:t>
      </w:r>
      <w:r w:rsidRPr="00111B58">
        <w:rPr>
          <w:rFonts w:hint="eastAsia"/>
          <w:rtl/>
        </w:rPr>
        <w:t>והיכולת</w:t>
      </w:r>
      <w:r w:rsidRPr="00111B58">
        <w:rPr>
          <w:rtl/>
        </w:rPr>
        <w:t xml:space="preserve"> </w:t>
      </w:r>
      <w:r w:rsidRPr="00111B58">
        <w:rPr>
          <w:rFonts w:hint="eastAsia"/>
          <w:rtl/>
        </w:rPr>
        <w:t>של</w:t>
      </w:r>
      <w:r w:rsidRPr="00111B58">
        <w:rPr>
          <w:rtl/>
        </w:rPr>
        <w:t xml:space="preserve"> </w:t>
      </w:r>
      <w:r w:rsidRPr="00111B58">
        <w:rPr>
          <w:rFonts w:hint="eastAsia"/>
          <w:rtl/>
        </w:rPr>
        <w:t>רשויות</w:t>
      </w:r>
      <w:r w:rsidRPr="00111B58">
        <w:rPr>
          <w:rtl/>
        </w:rPr>
        <w:t xml:space="preserve"> </w:t>
      </w:r>
      <w:r w:rsidRPr="00111B58">
        <w:rPr>
          <w:rFonts w:hint="eastAsia"/>
          <w:rtl/>
        </w:rPr>
        <w:t>השלטון</w:t>
      </w:r>
      <w:r w:rsidRPr="00111B58">
        <w:rPr>
          <w:rtl/>
        </w:rPr>
        <w:t xml:space="preserve"> </w:t>
      </w:r>
      <w:r w:rsidRPr="00111B58">
        <w:rPr>
          <w:rFonts w:hint="eastAsia"/>
          <w:rtl/>
        </w:rPr>
        <w:t>השונות</w:t>
      </w:r>
      <w:r w:rsidRPr="00111B58">
        <w:rPr>
          <w:rtl/>
        </w:rPr>
        <w:t xml:space="preserve"> </w:t>
      </w:r>
      <w:r w:rsidRPr="00111B58">
        <w:rPr>
          <w:rFonts w:hint="eastAsia"/>
          <w:rtl/>
        </w:rPr>
        <w:t>לקיים</w:t>
      </w:r>
      <w:r w:rsidRPr="00111B58">
        <w:rPr>
          <w:rtl/>
        </w:rPr>
        <w:t xml:space="preserve"> </w:t>
      </w:r>
      <w:r w:rsidRPr="00111B58">
        <w:rPr>
          <w:rFonts w:hint="eastAsia"/>
          <w:rtl/>
        </w:rPr>
        <w:t>מערכת</w:t>
      </w:r>
      <w:r w:rsidRPr="00111B58">
        <w:rPr>
          <w:rtl/>
        </w:rPr>
        <w:t xml:space="preserve"> </w:t>
      </w:r>
      <w:r w:rsidRPr="00111B58">
        <w:rPr>
          <w:rFonts w:hint="eastAsia"/>
          <w:rtl/>
        </w:rPr>
        <w:t>אפקטיבית</w:t>
      </w:r>
      <w:r w:rsidRPr="00111B58">
        <w:rPr>
          <w:rtl/>
        </w:rPr>
        <w:t xml:space="preserve"> </w:t>
      </w:r>
      <w:r w:rsidRPr="00111B58">
        <w:rPr>
          <w:rFonts w:hint="eastAsia"/>
          <w:rtl/>
        </w:rPr>
        <w:t>של</w:t>
      </w:r>
      <w:r w:rsidRPr="00111B58">
        <w:rPr>
          <w:rtl/>
        </w:rPr>
        <w:t xml:space="preserve"> </w:t>
      </w:r>
      <w:r w:rsidRPr="00111B58">
        <w:rPr>
          <w:rFonts w:hint="eastAsia"/>
          <w:rtl/>
        </w:rPr>
        <w:t>איזונים</w:t>
      </w:r>
      <w:r w:rsidRPr="00111B58">
        <w:rPr>
          <w:rtl/>
        </w:rPr>
        <w:t xml:space="preserve"> </w:t>
      </w:r>
      <w:r w:rsidRPr="00111B58">
        <w:rPr>
          <w:rFonts w:hint="eastAsia"/>
          <w:rtl/>
        </w:rPr>
        <w:t>ובלמים</w:t>
      </w:r>
      <w:r w:rsidRPr="00111B58">
        <w:rPr>
          <w:rtl/>
        </w:rPr>
        <w:t xml:space="preserve"> </w:t>
      </w:r>
      <w:r w:rsidRPr="00111B58">
        <w:rPr>
          <w:rFonts w:hint="eastAsia"/>
          <w:rtl/>
        </w:rPr>
        <w:t>זו</w:t>
      </w:r>
      <w:r w:rsidRPr="00111B58">
        <w:rPr>
          <w:rtl/>
        </w:rPr>
        <w:t xml:space="preserve"> </w:t>
      </w:r>
      <w:r w:rsidRPr="00111B58">
        <w:rPr>
          <w:rFonts w:hint="eastAsia"/>
          <w:rtl/>
        </w:rPr>
        <w:t>על</w:t>
      </w:r>
      <w:r w:rsidRPr="00111B58">
        <w:rPr>
          <w:rtl/>
        </w:rPr>
        <w:t xml:space="preserve"> </w:t>
      </w:r>
      <w:r w:rsidRPr="00111B58">
        <w:rPr>
          <w:rFonts w:hint="eastAsia"/>
          <w:rtl/>
        </w:rPr>
        <w:t>זו</w:t>
      </w:r>
      <w:r w:rsidRPr="00111B58">
        <w:rPr>
          <w:rtl/>
        </w:rPr>
        <w:t xml:space="preserve">, </w:t>
      </w:r>
      <w:r w:rsidRPr="00111B58">
        <w:rPr>
          <w:rFonts w:hint="eastAsia"/>
          <w:rtl/>
        </w:rPr>
        <w:t>ימצא</w:t>
      </w:r>
      <w:r>
        <w:rPr>
          <w:rFonts w:hint="cs"/>
          <w:rtl/>
        </w:rPr>
        <w:t>ו</w:t>
      </w:r>
      <w:r w:rsidRPr="00111B58">
        <w:rPr>
          <w:rtl/>
        </w:rPr>
        <w:t xml:space="preserve"> </w:t>
      </w:r>
      <w:r w:rsidRPr="00111B58">
        <w:rPr>
          <w:rFonts w:hint="eastAsia"/>
          <w:rtl/>
        </w:rPr>
        <w:t>זאת</w:t>
      </w:r>
      <w:r w:rsidRPr="00111B58">
        <w:rPr>
          <w:rtl/>
        </w:rPr>
        <w:t xml:space="preserve"> </w:t>
      </w:r>
      <w:r w:rsidRPr="00111B58">
        <w:rPr>
          <w:rFonts w:hint="eastAsia"/>
          <w:rtl/>
        </w:rPr>
        <w:t>במאמרה</w:t>
      </w:r>
      <w:r w:rsidRPr="00111B58">
        <w:rPr>
          <w:rtl/>
        </w:rPr>
        <w:t xml:space="preserve"> </w:t>
      </w:r>
      <w:r w:rsidRPr="00111B58">
        <w:rPr>
          <w:rFonts w:hint="eastAsia"/>
          <w:rtl/>
        </w:rPr>
        <w:t>של</w:t>
      </w:r>
      <w:r w:rsidRPr="00111B58">
        <w:rPr>
          <w:rtl/>
        </w:rPr>
        <w:t xml:space="preserve"> </w:t>
      </w:r>
      <w:r w:rsidRPr="00111B58">
        <w:rPr>
          <w:rFonts w:hint="eastAsia"/>
          <w:rtl/>
        </w:rPr>
        <w:t>פרופ</w:t>
      </w:r>
      <w:r w:rsidRPr="00111B58">
        <w:rPr>
          <w:rtl/>
        </w:rPr>
        <w:t xml:space="preserve">' </w:t>
      </w:r>
      <w:r w:rsidRPr="00111B58">
        <w:rPr>
          <w:rFonts w:hint="eastAsia"/>
          <w:rtl/>
        </w:rPr>
        <w:t>רבקה</w:t>
      </w:r>
      <w:r w:rsidRPr="00111B58">
        <w:rPr>
          <w:rtl/>
        </w:rPr>
        <w:t xml:space="preserve"> </w:t>
      </w:r>
      <w:r w:rsidRPr="00111B58">
        <w:rPr>
          <w:rFonts w:hint="eastAsia"/>
          <w:rtl/>
        </w:rPr>
        <w:t>ווייל</w:t>
      </w:r>
      <w:r w:rsidRPr="00111B58">
        <w:rPr>
          <w:rtl/>
        </w:rPr>
        <w:t>:</w:t>
      </w:r>
      <w:r w:rsidRPr="00105C0F">
        <w:rPr>
          <w:rFonts w:asciiTheme="majorBidi" w:hAnsiTheme="majorBidi" w:cstheme="majorBidi"/>
          <w:bCs/>
          <w:spacing w:val="0"/>
          <w:sz w:val="24"/>
        </w:rPr>
        <w:t xml:space="preserve">Rivka Weill, </w:t>
      </w:r>
      <w:r w:rsidRPr="00105C0F">
        <w:rPr>
          <w:rFonts w:asciiTheme="majorBidi" w:hAnsiTheme="majorBidi" w:cstheme="majorBidi"/>
          <w:bCs/>
          <w:i/>
          <w:iCs/>
          <w:spacing w:val="0"/>
          <w:sz w:val="24"/>
        </w:rPr>
        <w:t>On the Nexus Between the Strength of the Separation of Powers and the Power of the Judiciary</w:t>
      </w:r>
      <w:r w:rsidRPr="00105C0F">
        <w:rPr>
          <w:rFonts w:asciiTheme="majorBidi" w:hAnsiTheme="majorBidi" w:cstheme="majorBidi"/>
          <w:bCs/>
          <w:spacing w:val="0"/>
          <w:sz w:val="24"/>
        </w:rPr>
        <w:t xml:space="preserve">, 31 </w:t>
      </w:r>
      <w:r w:rsidRPr="00105C0F">
        <w:rPr>
          <w:rFonts w:asciiTheme="majorBidi" w:hAnsiTheme="majorBidi" w:cstheme="majorBidi"/>
          <w:bCs/>
          <w:smallCaps/>
          <w:spacing w:val="0"/>
          <w:sz w:val="24"/>
        </w:rPr>
        <w:t xml:space="preserve">Wm. &amp; Mary Bill Rts. J. </w:t>
      </w:r>
      <w:r w:rsidRPr="00105C0F">
        <w:rPr>
          <w:rFonts w:asciiTheme="majorBidi" w:hAnsiTheme="majorBidi" w:cstheme="majorBidi"/>
          <w:bCs/>
          <w:spacing w:val="0"/>
          <w:sz w:val="24"/>
        </w:rPr>
        <w:t>705 (2023)</w:t>
      </w:r>
      <w:r w:rsidRPr="00111B58">
        <w:rPr>
          <w:rtl/>
        </w:rPr>
        <w:t>).</w:t>
      </w:r>
    </w:p>
    <w:p w:rsidR="00D61E12" w:rsidRDefault="00D61E12" w:rsidP="00D61E12">
      <w:pPr>
        <w:pStyle w:val="Ruller41"/>
        <w:spacing w:before="240" w:after="240"/>
        <w:rPr>
          <w:rtl/>
        </w:rPr>
      </w:pPr>
      <w:r>
        <w:rPr>
          <w:rtl/>
        </w:rPr>
        <w:tab/>
      </w:r>
      <w:r w:rsidRPr="005D4CBD">
        <w:rPr>
          <w:rFonts w:ascii="Century" w:hAnsi="Century" w:hint="eastAsia"/>
          <w:rtl/>
        </w:rPr>
        <w:t>כפי</w:t>
      </w:r>
      <w:r w:rsidRPr="005D4CBD">
        <w:rPr>
          <w:rFonts w:ascii="Century" w:hAnsi="Century"/>
          <w:rtl/>
        </w:rPr>
        <w:t xml:space="preserve"> </w:t>
      </w:r>
      <w:r w:rsidRPr="005D4CBD">
        <w:rPr>
          <w:rFonts w:ascii="Century" w:hAnsi="Century" w:hint="eastAsia"/>
          <w:rtl/>
        </w:rPr>
        <w:t>שיבואר</w:t>
      </w:r>
      <w:r w:rsidRPr="005D4CBD">
        <w:rPr>
          <w:rFonts w:ascii="Century" w:hAnsi="Century"/>
          <w:rtl/>
        </w:rPr>
        <w:t xml:space="preserve"> </w:t>
      </w:r>
      <w:r w:rsidRPr="005D4CBD">
        <w:rPr>
          <w:rFonts w:ascii="Century" w:hAnsi="Century" w:hint="eastAsia"/>
          <w:rtl/>
        </w:rPr>
        <w:t>בהמשך</w:t>
      </w:r>
      <w:r w:rsidRPr="005D4CBD">
        <w:rPr>
          <w:rFonts w:ascii="Century" w:hAnsi="Century"/>
          <w:rtl/>
        </w:rPr>
        <w:t xml:space="preserve"> </w:t>
      </w:r>
      <w:r w:rsidRPr="005D4CBD">
        <w:rPr>
          <w:rFonts w:ascii="Century" w:hAnsi="Century" w:hint="eastAsia"/>
          <w:rtl/>
        </w:rPr>
        <w:t>חוות</w:t>
      </w:r>
      <w:r w:rsidRPr="005D4CBD">
        <w:rPr>
          <w:rFonts w:ascii="Century" w:hAnsi="Century"/>
          <w:rtl/>
        </w:rPr>
        <w:t xml:space="preserve"> </w:t>
      </w:r>
      <w:r w:rsidRPr="005D4CBD">
        <w:rPr>
          <w:rFonts w:ascii="Century" w:hAnsi="Century" w:hint="eastAsia"/>
          <w:rtl/>
        </w:rPr>
        <w:t>דעתי</w:t>
      </w:r>
      <w:r w:rsidRPr="005D4CBD">
        <w:rPr>
          <w:rFonts w:ascii="Century" w:hAnsi="Century"/>
          <w:rtl/>
        </w:rPr>
        <w:t xml:space="preserve">, </w:t>
      </w:r>
      <w:r w:rsidRPr="005D4CBD">
        <w:rPr>
          <w:rFonts w:ascii="Century" w:hAnsi="Century" w:hint="eastAsia"/>
          <w:rtl/>
        </w:rPr>
        <w:t>דברים</w:t>
      </w:r>
      <w:r w:rsidRPr="0077701B">
        <w:rPr>
          <w:rtl/>
        </w:rPr>
        <w:t xml:space="preserve"> </w:t>
      </w:r>
      <w:r w:rsidRPr="0077701B">
        <w:rPr>
          <w:rFonts w:hint="eastAsia"/>
          <w:rtl/>
        </w:rPr>
        <w:t>אלו</w:t>
      </w:r>
      <w:r w:rsidRPr="0077701B">
        <w:rPr>
          <w:rtl/>
        </w:rPr>
        <w:t xml:space="preserve"> </w:t>
      </w:r>
      <w:r w:rsidRPr="0077701B">
        <w:rPr>
          <w:rFonts w:hint="eastAsia"/>
          <w:rtl/>
        </w:rPr>
        <w:t>מקבלים</w:t>
      </w:r>
      <w:r w:rsidRPr="0077701B">
        <w:rPr>
          <w:rtl/>
        </w:rPr>
        <w:t xml:space="preserve"> </w:t>
      </w:r>
      <w:r w:rsidRPr="0077701B">
        <w:rPr>
          <w:rFonts w:hint="eastAsia"/>
          <w:rtl/>
        </w:rPr>
        <w:t>משנה</w:t>
      </w:r>
      <w:r w:rsidRPr="0077701B">
        <w:rPr>
          <w:rtl/>
        </w:rPr>
        <w:t xml:space="preserve"> </w:t>
      </w:r>
      <w:r w:rsidRPr="0077701B">
        <w:rPr>
          <w:rFonts w:hint="eastAsia"/>
          <w:rtl/>
        </w:rPr>
        <w:t>תוקף</w:t>
      </w:r>
      <w:r w:rsidRPr="0077701B">
        <w:rPr>
          <w:rtl/>
        </w:rPr>
        <w:t xml:space="preserve"> </w:t>
      </w:r>
      <w:r w:rsidRPr="0077701B">
        <w:rPr>
          <w:rFonts w:hint="eastAsia"/>
          <w:rtl/>
        </w:rPr>
        <w:t>נוכח</w:t>
      </w:r>
      <w:r w:rsidRPr="0077701B">
        <w:rPr>
          <w:rtl/>
        </w:rPr>
        <w:t xml:space="preserve"> </w:t>
      </w:r>
      <w:r w:rsidRPr="0077701B">
        <w:rPr>
          <w:rFonts w:hint="eastAsia"/>
          <w:rtl/>
        </w:rPr>
        <w:t>מהותו</w:t>
      </w:r>
      <w:r w:rsidRPr="0077701B">
        <w:rPr>
          <w:rtl/>
        </w:rPr>
        <w:t xml:space="preserve"> </w:t>
      </w:r>
      <w:r w:rsidRPr="0077701B">
        <w:rPr>
          <w:rFonts w:hint="eastAsia"/>
          <w:rtl/>
        </w:rPr>
        <w:t>של</w:t>
      </w:r>
      <w:r w:rsidRPr="0077701B">
        <w:rPr>
          <w:rtl/>
        </w:rPr>
        <w:t xml:space="preserve"> </w:t>
      </w:r>
      <w:r w:rsidRPr="0077701B">
        <w:rPr>
          <w:rFonts w:hint="eastAsia"/>
          <w:rtl/>
        </w:rPr>
        <w:t>תיקון</w:t>
      </w:r>
      <w:r w:rsidRPr="0077701B">
        <w:rPr>
          <w:rtl/>
        </w:rPr>
        <w:t xml:space="preserve"> </w:t>
      </w:r>
      <w:r w:rsidRPr="0077701B">
        <w:rPr>
          <w:rFonts w:hint="eastAsia"/>
          <w:rtl/>
        </w:rPr>
        <w:t>מס</w:t>
      </w:r>
      <w:r w:rsidRPr="0077701B">
        <w:rPr>
          <w:rtl/>
        </w:rPr>
        <w:t xml:space="preserve">' </w:t>
      </w:r>
      <w:r w:rsidRPr="00B902A4">
        <w:rPr>
          <w:rtl/>
        </w:rPr>
        <w:t>3</w:t>
      </w:r>
      <w:r>
        <w:rPr>
          <w:rFonts w:hint="cs"/>
          <w:rtl/>
        </w:rPr>
        <w:t>.</w:t>
      </w:r>
      <w:r w:rsidRPr="00B902A4">
        <w:rPr>
          <w:rFonts w:hint="cs"/>
          <w:rtl/>
        </w:rPr>
        <w:t xml:space="preserve"> במסגרתו</w:t>
      </w:r>
      <w:r>
        <w:rPr>
          <w:rFonts w:hint="cs"/>
          <w:rtl/>
        </w:rPr>
        <w:t>,</w:t>
      </w:r>
      <w:r w:rsidRPr="00B902A4">
        <w:rPr>
          <w:rFonts w:hint="cs"/>
          <w:rtl/>
        </w:rPr>
        <w:t xml:space="preserve"> דומה כי נעשה שימוש בהשפ</w:t>
      </w:r>
      <w:r>
        <w:rPr>
          <w:rFonts w:hint="cs"/>
          <w:rtl/>
        </w:rPr>
        <w:t>עת הרשות המבצעת על הרשות המכוננת,</w:t>
      </w:r>
      <w:r w:rsidRPr="00B902A4">
        <w:rPr>
          <w:rFonts w:hint="cs"/>
          <w:rtl/>
        </w:rPr>
        <w:t xml:space="preserve"> כדי לחסן את הרשות המבצעת מפני חובת הציות לרשות המחוקקת</w:t>
      </w:r>
      <w:r w:rsidRPr="00B902A4">
        <w:rPr>
          <w:rtl/>
        </w:rPr>
        <w:t>.</w:t>
      </w:r>
    </w:p>
    <w:p w:rsidR="00D61E12" w:rsidRPr="00B902A4" w:rsidRDefault="00D61E12" w:rsidP="002A1A3A">
      <w:pPr>
        <w:pStyle w:val="Ruller41"/>
        <w:numPr>
          <w:ilvl w:val="1"/>
          <w:numId w:val="16"/>
        </w:numPr>
        <w:spacing w:before="240" w:after="240"/>
        <w:rPr>
          <w:rFonts w:ascii="Century" w:hAnsi="Century" w:cs="Miriam"/>
          <w:b/>
          <w:spacing w:val="0"/>
          <w:szCs w:val="24"/>
        </w:rPr>
      </w:pPr>
      <w:r w:rsidRPr="00B902A4">
        <w:rPr>
          <w:rFonts w:ascii="Century" w:hAnsi="Century" w:cs="Miriam" w:hint="cs"/>
          <w:b/>
          <w:spacing w:val="0"/>
          <w:szCs w:val="24"/>
          <w:rtl/>
        </w:rPr>
        <w:t>ביקורת שיפוטית על חקיקת הכנסת</w:t>
      </w:r>
    </w:p>
    <w:p w:rsidR="00D61E12" w:rsidRDefault="00D61E12" w:rsidP="00D61E12">
      <w:pPr>
        <w:pStyle w:val="Ruller4"/>
        <w:spacing w:before="240" w:after="240"/>
      </w:pPr>
      <w:r>
        <w:rPr>
          <w:rFonts w:hint="cs"/>
          <w:rtl/>
        </w:rPr>
        <w:t>כידוע, אין בישראל הוראת חוק</w:t>
      </w:r>
      <w:r w:rsidRPr="000F2123">
        <w:rPr>
          <w:rFonts w:hint="cs"/>
          <w:rtl/>
        </w:rPr>
        <w:t xml:space="preserve"> </w:t>
      </w:r>
      <w:r>
        <w:rPr>
          <w:rFonts w:hint="cs"/>
          <w:rtl/>
        </w:rPr>
        <w:t xml:space="preserve">מפורשת, לרבות חקיקת יסוד, המסמיכה את בתי המשפט לבטל דבר חקיקה של הכנסת. בוודאי שלא קיימת הוראה </w:t>
      </w:r>
      <w:r w:rsidRPr="00745A33">
        <w:rPr>
          <w:rFonts w:ascii="Century" w:hAnsi="Century" w:hint="cs"/>
          <w:sz w:val="22"/>
          <w:rtl/>
        </w:rPr>
        <w:t>מפורשת</w:t>
      </w:r>
      <w:r>
        <w:rPr>
          <w:rFonts w:hint="cs"/>
          <w:rtl/>
        </w:rPr>
        <w:t xml:space="preserve"> המסמיכה את בתי המשפט לבטל חקיקת יסוד. אם כן, בבואנו ליתן מענה לשאלה האם בית המשפט מוסמך לבצע ביקורת שיפוטית על חקיקת יסוד של הכנסת, מוטב כי נזכיר לעצמנו מהו מקור סמכותו של בית המשפט לבקר חקיקה רגילה של הכנסת, מקום בו היא אינה תואמת את הוראות חוקי היסוד, בבחינת 'דע מאין באת ולאן אתה הולך'.</w:t>
      </w:r>
    </w:p>
    <w:p w:rsidR="00D61E12" w:rsidRDefault="00D61E12" w:rsidP="00D61E12">
      <w:pPr>
        <w:pStyle w:val="Ruller4"/>
        <w:numPr>
          <w:ilvl w:val="0"/>
          <w:numId w:val="0"/>
        </w:numPr>
        <w:spacing w:before="240" w:after="240"/>
        <w:rPr>
          <w:rtl/>
        </w:rPr>
      </w:pPr>
      <w:r>
        <w:rPr>
          <w:rtl/>
        </w:rPr>
        <w:tab/>
      </w:r>
      <w:r>
        <w:rPr>
          <w:rFonts w:hint="cs"/>
          <w:rtl/>
        </w:rPr>
        <w:t>נתחיל אפוא מבראשית.</w:t>
      </w:r>
    </w:p>
    <w:p w:rsidR="00D61E12" w:rsidRPr="00D82F81" w:rsidRDefault="00D61E12" w:rsidP="00D61E12">
      <w:pPr>
        <w:pStyle w:val="Ruller4"/>
        <w:spacing w:before="240" w:after="240"/>
      </w:pPr>
      <w:r w:rsidRPr="00011760">
        <w:rPr>
          <w:rFonts w:hint="eastAsia"/>
          <w:rtl/>
        </w:rPr>
        <w:t>הגישה</w:t>
      </w:r>
      <w:r w:rsidRPr="00011760">
        <w:rPr>
          <w:rtl/>
        </w:rPr>
        <w:t xml:space="preserve"> </w:t>
      </w:r>
      <w:r w:rsidRPr="00011760">
        <w:rPr>
          <w:rFonts w:hint="eastAsia"/>
          <w:rtl/>
        </w:rPr>
        <w:t>ששלטה</w:t>
      </w:r>
      <w:r w:rsidRPr="00011760">
        <w:rPr>
          <w:rtl/>
        </w:rPr>
        <w:t xml:space="preserve"> </w:t>
      </w:r>
      <w:r w:rsidRPr="00011760">
        <w:rPr>
          <w:rFonts w:hint="eastAsia"/>
          <w:rtl/>
        </w:rPr>
        <w:t>בעשורים</w:t>
      </w:r>
      <w:r w:rsidRPr="00011760">
        <w:rPr>
          <w:rtl/>
        </w:rPr>
        <w:t xml:space="preserve"> </w:t>
      </w:r>
      <w:r w:rsidRPr="00011760">
        <w:rPr>
          <w:rFonts w:hint="eastAsia"/>
          <w:rtl/>
        </w:rPr>
        <w:t>הראשונים</w:t>
      </w:r>
      <w:r w:rsidRPr="00011760">
        <w:rPr>
          <w:rtl/>
        </w:rPr>
        <w:t xml:space="preserve"> </w:t>
      </w:r>
      <w:r w:rsidRPr="00011760">
        <w:rPr>
          <w:rFonts w:hint="eastAsia"/>
          <w:rtl/>
        </w:rPr>
        <w:t>לאחר</w:t>
      </w:r>
      <w:r w:rsidRPr="00011760">
        <w:rPr>
          <w:rtl/>
        </w:rPr>
        <w:t xml:space="preserve"> </w:t>
      </w:r>
      <w:r w:rsidRPr="00011760">
        <w:rPr>
          <w:rFonts w:hint="eastAsia"/>
          <w:rtl/>
        </w:rPr>
        <w:t>קום</w:t>
      </w:r>
      <w:r w:rsidRPr="00011760">
        <w:rPr>
          <w:rtl/>
        </w:rPr>
        <w:t xml:space="preserve"> </w:t>
      </w:r>
      <w:r w:rsidRPr="00011760">
        <w:rPr>
          <w:rFonts w:hint="eastAsia"/>
          <w:rtl/>
        </w:rPr>
        <w:t>המדינה</w:t>
      </w:r>
      <w:r w:rsidRPr="00011760">
        <w:rPr>
          <w:rtl/>
        </w:rPr>
        <w:t>,</w:t>
      </w:r>
      <w:r>
        <w:rPr>
          <w:rFonts w:hint="cs"/>
          <w:rtl/>
        </w:rPr>
        <w:t xml:space="preserve"> שהתבססה על המסורת הבריטית,</w:t>
      </w:r>
      <w:r w:rsidRPr="00011760">
        <w:rPr>
          <w:rtl/>
        </w:rPr>
        <w:t xml:space="preserve"> </w:t>
      </w:r>
      <w:r w:rsidRPr="00011760">
        <w:rPr>
          <w:rFonts w:hint="eastAsia"/>
          <w:rtl/>
        </w:rPr>
        <w:t>הייתה</w:t>
      </w:r>
      <w:r w:rsidRPr="00011760">
        <w:rPr>
          <w:rtl/>
        </w:rPr>
        <w:t xml:space="preserve"> </w:t>
      </w:r>
      <w:r w:rsidRPr="00011760">
        <w:rPr>
          <w:rFonts w:hint="eastAsia"/>
          <w:rtl/>
        </w:rPr>
        <w:t>כי</w:t>
      </w:r>
      <w:r w:rsidRPr="00011760">
        <w:rPr>
          <w:rtl/>
        </w:rPr>
        <w:t xml:space="preserve"> </w:t>
      </w:r>
      <w:r w:rsidRPr="00011760">
        <w:rPr>
          <w:rFonts w:hint="eastAsia"/>
          <w:rtl/>
        </w:rPr>
        <w:t>אין</w:t>
      </w:r>
      <w:r w:rsidRPr="00011760">
        <w:rPr>
          <w:rtl/>
        </w:rPr>
        <w:t xml:space="preserve"> </w:t>
      </w:r>
      <w:r w:rsidRPr="00011760">
        <w:rPr>
          <w:rFonts w:hint="eastAsia"/>
          <w:rtl/>
        </w:rPr>
        <w:t>לבית</w:t>
      </w:r>
      <w:r w:rsidRPr="00011760">
        <w:rPr>
          <w:rtl/>
        </w:rPr>
        <w:t xml:space="preserve"> </w:t>
      </w:r>
      <w:r w:rsidRPr="00011760">
        <w:rPr>
          <w:rFonts w:hint="eastAsia"/>
          <w:rtl/>
        </w:rPr>
        <w:t>משפט</w:t>
      </w:r>
      <w:r w:rsidRPr="00011760">
        <w:rPr>
          <w:rtl/>
        </w:rPr>
        <w:t xml:space="preserve"> </w:t>
      </w:r>
      <w:r>
        <w:rPr>
          <w:rFonts w:hint="cs"/>
          <w:rtl/>
        </w:rPr>
        <w:t>זה סמכות להורות על שלילת תוקפו של חוק, אלא רק לבאר את פירושו</w:t>
      </w:r>
      <w:r w:rsidRPr="00011760">
        <w:rPr>
          <w:rtl/>
        </w:rPr>
        <w:t xml:space="preserve">: </w:t>
      </w:r>
    </w:p>
    <w:p w:rsidR="00D61E12" w:rsidRPr="00EC381A" w:rsidRDefault="00D61E12" w:rsidP="00D61E12">
      <w:pPr>
        <w:pStyle w:val="Ruller5"/>
        <w:spacing w:before="240" w:after="240"/>
      </w:pPr>
      <w:r w:rsidRPr="00011760">
        <w:rPr>
          <w:rFonts w:ascii="Century" w:hAnsi="Century"/>
          <w:rtl/>
        </w:rPr>
        <w:t>"</w:t>
      </w:r>
      <w:r w:rsidRPr="00011760">
        <w:rPr>
          <w:rFonts w:hint="eastAsia"/>
          <w:rtl/>
        </w:rPr>
        <w:t>אחרי</w:t>
      </w:r>
      <w:r w:rsidRPr="00011760">
        <w:rPr>
          <w:rtl/>
        </w:rPr>
        <w:t xml:space="preserve"> </w:t>
      </w:r>
      <w:r w:rsidRPr="00011760">
        <w:rPr>
          <w:rFonts w:hint="eastAsia"/>
          <w:rtl/>
        </w:rPr>
        <w:t>שחוק</w:t>
      </w:r>
      <w:r w:rsidRPr="00011760">
        <w:rPr>
          <w:rtl/>
        </w:rPr>
        <w:t xml:space="preserve"> </w:t>
      </w:r>
      <w:r w:rsidRPr="00011760">
        <w:rPr>
          <w:rFonts w:hint="eastAsia"/>
          <w:rtl/>
        </w:rPr>
        <w:t>נתקבל</w:t>
      </w:r>
      <w:r w:rsidRPr="00011760">
        <w:rPr>
          <w:rtl/>
        </w:rPr>
        <w:t xml:space="preserve"> </w:t>
      </w:r>
      <w:r w:rsidRPr="00011760">
        <w:rPr>
          <w:rFonts w:hint="eastAsia"/>
          <w:rtl/>
        </w:rPr>
        <w:t>בכנסת</w:t>
      </w:r>
      <w:r w:rsidRPr="00011760">
        <w:rPr>
          <w:rtl/>
        </w:rPr>
        <w:t xml:space="preserve"> </w:t>
      </w:r>
      <w:r w:rsidRPr="00011760">
        <w:rPr>
          <w:rFonts w:hint="eastAsia"/>
          <w:rtl/>
        </w:rPr>
        <w:t>ופורסם</w:t>
      </w:r>
      <w:r w:rsidRPr="00011760">
        <w:rPr>
          <w:rtl/>
        </w:rPr>
        <w:t xml:space="preserve"> </w:t>
      </w:r>
      <w:r w:rsidRPr="00011760">
        <w:rPr>
          <w:rFonts w:hint="eastAsia"/>
          <w:rtl/>
        </w:rPr>
        <w:t>ברשומות</w:t>
      </w:r>
      <w:r w:rsidRPr="00011760">
        <w:rPr>
          <w:rtl/>
        </w:rPr>
        <w:t xml:space="preserve">, </w:t>
      </w:r>
      <w:r w:rsidRPr="00011760">
        <w:rPr>
          <w:rFonts w:hint="eastAsia"/>
          <w:rtl/>
        </w:rPr>
        <w:t>עלינו</w:t>
      </w:r>
      <w:r w:rsidRPr="00011760">
        <w:rPr>
          <w:rtl/>
        </w:rPr>
        <w:t xml:space="preserve"> </w:t>
      </w:r>
      <w:r w:rsidRPr="00011760">
        <w:rPr>
          <w:rFonts w:hint="eastAsia"/>
          <w:rtl/>
        </w:rPr>
        <w:t>להרכין</w:t>
      </w:r>
      <w:r w:rsidRPr="00011760">
        <w:rPr>
          <w:rtl/>
        </w:rPr>
        <w:t xml:space="preserve"> </w:t>
      </w:r>
      <w:r w:rsidRPr="00011760">
        <w:rPr>
          <w:rFonts w:hint="eastAsia"/>
          <w:rtl/>
        </w:rPr>
        <w:t>ראש</w:t>
      </w:r>
      <w:r w:rsidRPr="00011760">
        <w:rPr>
          <w:rtl/>
        </w:rPr>
        <w:t xml:space="preserve"> </w:t>
      </w:r>
      <w:r w:rsidRPr="00011760">
        <w:rPr>
          <w:rFonts w:hint="eastAsia"/>
          <w:rtl/>
        </w:rPr>
        <w:t>בפניו</w:t>
      </w:r>
      <w:r w:rsidRPr="00011760">
        <w:rPr>
          <w:rtl/>
        </w:rPr>
        <w:t xml:space="preserve"> </w:t>
      </w:r>
      <w:r w:rsidRPr="00011760">
        <w:rPr>
          <w:rFonts w:hint="eastAsia"/>
          <w:rtl/>
        </w:rPr>
        <w:t>ולא</w:t>
      </w:r>
      <w:r w:rsidRPr="00011760">
        <w:rPr>
          <w:rtl/>
        </w:rPr>
        <w:t xml:space="preserve"> </w:t>
      </w:r>
      <w:r w:rsidRPr="00011760">
        <w:rPr>
          <w:rFonts w:hint="eastAsia"/>
          <w:rtl/>
        </w:rPr>
        <w:t>להרהר</w:t>
      </w:r>
      <w:r w:rsidRPr="00011760">
        <w:rPr>
          <w:rtl/>
        </w:rPr>
        <w:t xml:space="preserve"> </w:t>
      </w:r>
      <w:r w:rsidRPr="00011760">
        <w:rPr>
          <w:rFonts w:hint="eastAsia"/>
          <w:rtl/>
        </w:rPr>
        <w:t>אחרי</w:t>
      </w:r>
      <w:r w:rsidRPr="00011760">
        <w:rPr>
          <w:rtl/>
        </w:rPr>
        <w:t xml:space="preserve"> </w:t>
      </w:r>
      <w:r w:rsidRPr="00011760">
        <w:rPr>
          <w:rFonts w:hint="eastAsia"/>
          <w:rtl/>
        </w:rPr>
        <w:t>הוראותיו</w:t>
      </w:r>
      <w:r w:rsidRPr="00011760">
        <w:rPr>
          <w:rtl/>
        </w:rPr>
        <w:t xml:space="preserve">, </w:t>
      </w:r>
      <w:r w:rsidRPr="00011760">
        <w:rPr>
          <w:rFonts w:hint="eastAsia"/>
          <w:rtl/>
        </w:rPr>
        <w:t>קביעותיו</w:t>
      </w:r>
      <w:r w:rsidRPr="00011760">
        <w:rPr>
          <w:rtl/>
        </w:rPr>
        <w:t xml:space="preserve"> </w:t>
      </w:r>
      <w:r w:rsidRPr="00011760">
        <w:rPr>
          <w:rFonts w:hint="eastAsia"/>
          <w:rtl/>
        </w:rPr>
        <w:t>והנחותיו</w:t>
      </w:r>
      <w:r w:rsidRPr="00011760">
        <w:rPr>
          <w:rtl/>
        </w:rPr>
        <w:t xml:space="preserve">. </w:t>
      </w:r>
      <w:r w:rsidRPr="00011760">
        <w:rPr>
          <w:rFonts w:hint="eastAsia"/>
          <w:rtl/>
        </w:rPr>
        <w:t>הכנסת</w:t>
      </w:r>
      <w:r w:rsidRPr="00011760">
        <w:rPr>
          <w:rtl/>
        </w:rPr>
        <w:t xml:space="preserve"> </w:t>
      </w:r>
      <w:r w:rsidRPr="00011760">
        <w:rPr>
          <w:rFonts w:hint="eastAsia"/>
          <w:rtl/>
        </w:rPr>
        <w:t>נוסכת</w:t>
      </w:r>
      <w:r w:rsidRPr="00011760">
        <w:rPr>
          <w:rtl/>
        </w:rPr>
        <w:t xml:space="preserve"> </w:t>
      </w:r>
      <w:r w:rsidRPr="00011760">
        <w:rPr>
          <w:rFonts w:hint="eastAsia"/>
          <w:rtl/>
        </w:rPr>
        <w:t>את</w:t>
      </w:r>
      <w:r w:rsidRPr="00011760">
        <w:rPr>
          <w:rtl/>
        </w:rPr>
        <w:t xml:space="preserve"> </w:t>
      </w:r>
      <w:r w:rsidRPr="00011760">
        <w:rPr>
          <w:rFonts w:hint="eastAsia"/>
          <w:rtl/>
        </w:rPr>
        <w:t>יינה</w:t>
      </w:r>
      <w:r w:rsidRPr="00011760">
        <w:rPr>
          <w:rtl/>
        </w:rPr>
        <w:t xml:space="preserve"> </w:t>
      </w:r>
      <w:r w:rsidRPr="00011760">
        <w:rPr>
          <w:rFonts w:hint="eastAsia"/>
          <w:rtl/>
        </w:rPr>
        <w:t>לתוך</w:t>
      </w:r>
      <w:r w:rsidRPr="00011760">
        <w:rPr>
          <w:rtl/>
        </w:rPr>
        <w:t xml:space="preserve"> </w:t>
      </w:r>
      <w:r w:rsidRPr="00011760">
        <w:rPr>
          <w:rFonts w:hint="eastAsia"/>
          <w:rtl/>
        </w:rPr>
        <w:t>קנקן</w:t>
      </w:r>
      <w:r w:rsidRPr="00011760">
        <w:rPr>
          <w:rtl/>
        </w:rPr>
        <w:t xml:space="preserve"> </w:t>
      </w:r>
      <w:r w:rsidRPr="00011760">
        <w:rPr>
          <w:rFonts w:hint="eastAsia"/>
          <w:rtl/>
        </w:rPr>
        <w:t>החוק</w:t>
      </w:r>
      <w:r w:rsidRPr="00011760">
        <w:rPr>
          <w:rtl/>
        </w:rPr>
        <w:t xml:space="preserve">, </w:t>
      </w:r>
      <w:r w:rsidRPr="00011760">
        <w:rPr>
          <w:rFonts w:hint="eastAsia"/>
          <w:rtl/>
        </w:rPr>
        <w:t>ובית</w:t>
      </w:r>
      <w:r w:rsidRPr="00011760">
        <w:rPr>
          <w:rtl/>
        </w:rPr>
        <w:t xml:space="preserve">-המשפט </w:t>
      </w:r>
      <w:r w:rsidRPr="00011760">
        <w:rPr>
          <w:rFonts w:hint="eastAsia"/>
          <w:rtl/>
        </w:rPr>
        <w:t>יכול</w:t>
      </w:r>
      <w:r w:rsidRPr="00011760">
        <w:rPr>
          <w:rtl/>
        </w:rPr>
        <w:t xml:space="preserve"> </w:t>
      </w:r>
      <w:r w:rsidRPr="00011760">
        <w:rPr>
          <w:rFonts w:hint="eastAsia"/>
          <w:rtl/>
        </w:rPr>
        <w:t>רק</w:t>
      </w:r>
      <w:r w:rsidRPr="00011760">
        <w:rPr>
          <w:rtl/>
        </w:rPr>
        <w:t xml:space="preserve"> </w:t>
      </w:r>
      <w:r w:rsidRPr="00011760">
        <w:rPr>
          <w:rFonts w:hint="eastAsia"/>
          <w:rtl/>
        </w:rPr>
        <w:t>לומר</w:t>
      </w:r>
      <w:r w:rsidRPr="00011760">
        <w:rPr>
          <w:rtl/>
        </w:rPr>
        <w:t xml:space="preserve">, </w:t>
      </w:r>
      <w:r w:rsidRPr="00011760">
        <w:rPr>
          <w:rFonts w:hint="eastAsia"/>
          <w:rtl/>
        </w:rPr>
        <w:t>בדרך</w:t>
      </w:r>
      <w:r w:rsidRPr="00011760">
        <w:rPr>
          <w:rtl/>
        </w:rPr>
        <w:t xml:space="preserve"> </w:t>
      </w:r>
      <w:r w:rsidRPr="00011760">
        <w:rPr>
          <w:rFonts w:hint="eastAsia"/>
          <w:rtl/>
        </w:rPr>
        <w:t>של</w:t>
      </w:r>
      <w:r w:rsidRPr="00011760">
        <w:rPr>
          <w:rtl/>
        </w:rPr>
        <w:t xml:space="preserve"> </w:t>
      </w:r>
      <w:r w:rsidRPr="00011760">
        <w:rPr>
          <w:rFonts w:hint="eastAsia"/>
          <w:rtl/>
        </w:rPr>
        <w:t>פירוש</w:t>
      </w:r>
      <w:r w:rsidRPr="00011760">
        <w:rPr>
          <w:rtl/>
        </w:rPr>
        <w:t xml:space="preserve"> </w:t>
      </w:r>
      <w:r w:rsidRPr="00011760">
        <w:rPr>
          <w:rFonts w:hint="eastAsia"/>
          <w:rtl/>
        </w:rPr>
        <w:t>החוק</w:t>
      </w:r>
      <w:r w:rsidRPr="00011760">
        <w:rPr>
          <w:rtl/>
        </w:rPr>
        <w:t xml:space="preserve">, </w:t>
      </w:r>
      <w:r w:rsidRPr="00011760">
        <w:rPr>
          <w:rFonts w:hint="eastAsia"/>
          <w:rtl/>
        </w:rPr>
        <w:t>מהו</w:t>
      </w:r>
      <w:r w:rsidRPr="00011760">
        <w:rPr>
          <w:rtl/>
        </w:rPr>
        <w:t xml:space="preserve"> </w:t>
      </w:r>
      <w:r w:rsidRPr="00011760">
        <w:rPr>
          <w:rFonts w:hint="eastAsia"/>
          <w:rtl/>
        </w:rPr>
        <w:t>טעמו</w:t>
      </w:r>
      <w:r w:rsidRPr="00011760">
        <w:rPr>
          <w:rtl/>
        </w:rPr>
        <w:t xml:space="preserve"> </w:t>
      </w:r>
      <w:r w:rsidRPr="00011760">
        <w:rPr>
          <w:rFonts w:hint="eastAsia"/>
          <w:rtl/>
        </w:rPr>
        <w:t>של</w:t>
      </w:r>
      <w:r w:rsidRPr="00011760">
        <w:rPr>
          <w:rtl/>
        </w:rPr>
        <w:t xml:space="preserve"> </w:t>
      </w:r>
      <w:r w:rsidRPr="00011760">
        <w:rPr>
          <w:rFonts w:hint="eastAsia"/>
          <w:rtl/>
        </w:rPr>
        <w:t>היין</w:t>
      </w:r>
      <w:r w:rsidRPr="00011760">
        <w:rPr>
          <w:rtl/>
        </w:rPr>
        <w:t xml:space="preserve">. </w:t>
      </w:r>
      <w:r w:rsidRPr="00011760">
        <w:rPr>
          <w:rFonts w:hint="eastAsia"/>
          <w:rtl/>
        </w:rPr>
        <w:t>הוא</w:t>
      </w:r>
      <w:r w:rsidRPr="00011760">
        <w:rPr>
          <w:rtl/>
        </w:rPr>
        <w:t xml:space="preserve"> </w:t>
      </w:r>
      <w:r w:rsidRPr="00011760">
        <w:rPr>
          <w:rFonts w:hint="eastAsia"/>
          <w:rtl/>
        </w:rPr>
        <w:t>אינו</w:t>
      </w:r>
      <w:r w:rsidRPr="00011760">
        <w:rPr>
          <w:rtl/>
        </w:rPr>
        <w:t xml:space="preserve"> </w:t>
      </w:r>
      <w:r w:rsidRPr="00011760">
        <w:rPr>
          <w:rFonts w:hint="eastAsia"/>
          <w:rtl/>
        </w:rPr>
        <w:t>יכול</w:t>
      </w:r>
      <w:r w:rsidRPr="00011760">
        <w:rPr>
          <w:rtl/>
        </w:rPr>
        <w:t xml:space="preserve"> </w:t>
      </w:r>
      <w:r w:rsidRPr="00011760">
        <w:rPr>
          <w:rFonts w:hint="eastAsia"/>
          <w:rtl/>
        </w:rPr>
        <w:t>לומר</w:t>
      </w:r>
      <w:r w:rsidRPr="00011760">
        <w:rPr>
          <w:rtl/>
        </w:rPr>
        <w:t xml:space="preserve"> </w:t>
      </w:r>
      <w:r w:rsidRPr="00011760">
        <w:rPr>
          <w:rFonts w:hint="eastAsia"/>
          <w:rtl/>
        </w:rPr>
        <w:t>שהקנקן</w:t>
      </w:r>
      <w:r w:rsidRPr="00011760">
        <w:rPr>
          <w:rtl/>
        </w:rPr>
        <w:t xml:space="preserve"> </w:t>
      </w:r>
      <w:r w:rsidRPr="00011760">
        <w:rPr>
          <w:rFonts w:hint="eastAsia"/>
          <w:rtl/>
        </w:rPr>
        <w:t>ריק</w:t>
      </w:r>
      <w:r w:rsidRPr="00011760">
        <w:rPr>
          <w:rtl/>
        </w:rPr>
        <w:t xml:space="preserve"> </w:t>
      </w:r>
      <w:r w:rsidRPr="00011760">
        <w:rPr>
          <w:rFonts w:hint="eastAsia"/>
          <w:rtl/>
        </w:rPr>
        <w:t>מיין</w:t>
      </w:r>
      <w:r w:rsidRPr="00011760">
        <w:rPr>
          <w:rtl/>
        </w:rPr>
        <w:t xml:space="preserve"> </w:t>
      </w:r>
      <w:r w:rsidRPr="00011760">
        <w:rPr>
          <w:rFonts w:hint="eastAsia"/>
          <w:rtl/>
        </w:rPr>
        <w:t>בניגוד</w:t>
      </w:r>
      <w:r w:rsidRPr="00011760">
        <w:rPr>
          <w:rtl/>
        </w:rPr>
        <w:t xml:space="preserve"> </w:t>
      </w:r>
      <w:r w:rsidRPr="00011760">
        <w:rPr>
          <w:rFonts w:hint="eastAsia"/>
          <w:rtl/>
        </w:rPr>
        <w:t>לאמור</w:t>
      </w:r>
      <w:r w:rsidRPr="00011760">
        <w:rPr>
          <w:rtl/>
        </w:rPr>
        <w:t xml:space="preserve"> </w:t>
      </w:r>
      <w:r w:rsidRPr="00011760">
        <w:rPr>
          <w:rFonts w:hint="eastAsia"/>
          <w:rtl/>
        </w:rPr>
        <w:t>בחוק</w:t>
      </w:r>
      <w:r w:rsidRPr="00011760">
        <w:rPr>
          <w:rtl/>
        </w:rPr>
        <w:t xml:space="preserve"> </w:t>
      </w:r>
      <w:r w:rsidRPr="00011760">
        <w:rPr>
          <w:rFonts w:hint="eastAsia"/>
          <w:rtl/>
        </w:rPr>
        <w:t>עצמו</w:t>
      </w:r>
      <w:r w:rsidRPr="00011760">
        <w:rPr>
          <w:rFonts w:ascii="Century" w:hAnsi="Century"/>
          <w:rtl/>
        </w:rPr>
        <w:t>"</w:t>
      </w:r>
      <w:r w:rsidRPr="00EC381A">
        <w:rPr>
          <w:rFonts w:hint="cs"/>
          <w:rtl/>
        </w:rPr>
        <w:t xml:space="preserve"> </w:t>
      </w:r>
      <w:r w:rsidRPr="00EC381A">
        <w:rPr>
          <w:rtl/>
        </w:rPr>
        <w:t>(</w:t>
      </w:r>
      <w:r w:rsidRPr="00011760">
        <w:rPr>
          <w:rFonts w:hint="eastAsia"/>
          <w:rtl/>
        </w:rPr>
        <w:t>בג</w:t>
      </w:r>
      <w:r w:rsidRPr="00011760">
        <w:rPr>
          <w:rtl/>
        </w:rPr>
        <w:t>"</w:t>
      </w:r>
      <w:r w:rsidRPr="00011760">
        <w:rPr>
          <w:rFonts w:hint="eastAsia"/>
          <w:rtl/>
        </w:rPr>
        <w:t>ץ</w:t>
      </w:r>
      <w:r w:rsidRPr="00011760">
        <w:rPr>
          <w:rtl/>
        </w:rPr>
        <w:t xml:space="preserve"> 188/63 </w:t>
      </w:r>
      <w:r w:rsidRPr="00D82F81">
        <w:rPr>
          <w:rFonts w:ascii="Century" w:hAnsi="Century" w:cs="Miriam" w:hint="eastAsia"/>
          <w:b/>
          <w:spacing w:val="0"/>
          <w:szCs w:val="24"/>
          <w:rtl/>
        </w:rPr>
        <w:t>בצול</w:t>
      </w:r>
      <w:r w:rsidRPr="00D82F81">
        <w:rPr>
          <w:rFonts w:ascii="Century" w:hAnsi="Century" w:cs="Miriam"/>
          <w:b/>
          <w:spacing w:val="0"/>
          <w:szCs w:val="24"/>
          <w:rtl/>
        </w:rPr>
        <w:t xml:space="preserve"> </w:t>
      </w:r>
      <w:r w:rsidRPr="00D82F81">
        <w:rPr>
          <w:rFonts w:ascii="Century" w:hAnsi="Century" w:cs="Miriam" w:hint="eastAsia"/>
          <w:b/>
          <w:spacing w:val="0"/>
          <w:szCs w:val="24"/>
          <w:rtl/>
        </w:rPr>
        <w:t>נ</w:t>
      </w:r>
      <w:r w:rsidRPr="00D82F81">
        <w:rPr>
          <w:rFonts w:ascii="Century" w:hAnsi="Century" w:cs="Miriam"/>
          <w:b/>
          <w:spacing w:val="0"/>
          <w:szCs w:val="24"/>
          <w:rtl/>
        </w:rPr>
        <w:t xml:space="preserve">' </w:t>
      </w:r>
      <w:r w:rsidRPr="00D82F81">
        <w:rPr>
          <w:rFonts w:ascii="Century" w:hAnsi="Century" w:cs="Miriam" w:hint="eastAsia"/>
          <w:b/>
          <w:spacing w:val="0"/>
          <w:szCs w:val="24"/>
          <w:rtl/>
        </w:rPr>
        <w:t>שר</w:t>
      </w:r>
      <w:r w:rsidRPr="00D82F81">
        <w:rPr>
          <w:rFonts w:ascii="Century" w:hAnsi="Century" w:cs="Miriam"/>
          <w:b/>
          <w:spacing w:val="0"/>
          <w:szCs w:val="24"/>
          <w:rtl/>
        </w:rPr>
        <w:t xml:space="preserve"> </w:t>
      </w:r>
      <w:r w:rsidRPr="00D82F81">
        <w:rPr>
          <w:rFonts w:ascii="Century" w:hAnsi="Century" w:cs="Miriam" w:hint="eastAsia"/>
          <w:b/>
          <w:spacing w:val="0"/>
          <w:szCs w:val="24"/>
          <w:rtl/>
        </w:rPr>
        <w:t>הפנים</w:t>
      </w:r>
      <w:r w:rsidRPr="00011760">
        <w:rPr>
          <w:rtl/>
        </w:rPr>
        <w:t xml:space="preserve">, </w:t>
      </w:r>
      <w:r w:rsidRPr="00011760">
        <w:rPr>
          <w:rFonts w:hint="eastAsia"/>
          <w:rtl/>
        </w:rPr>
        <w:t>פ</w:t>
      </w:r>
      <w:r w:rsidRPr="00011760">
        <w:rPr>
          <w:rtl/>
        </w:rPr>
        <w:t>"</w:t>
      </w:r>
      <w:r w:rsidRPr="00011760">
        <w:rPr>
          <w:rFonts w:hint="eastAsia"/>
          <w:rtl/>
        </w:rPr>
        <w:t>ד</w:t>
      </w:r>
      <w:r w:rsidRPr="00011760">
        <w:rPr>
          <w:rtl/>
        </w:rPr>
        <w:t xml:space="preserve"> </w:t>
      </w:r>
      <w:r w:rsidRPr="00011760">
        <w:rPr>
          <w:rFonts w:hint="eastAsia"/>
          <w:rtl/>
        </w:rPr>
        <w:t>יט</w:t>
      </w:r>
      <w:r w:rsidRPr="00011760">
        <w:rPr>
          <w:rtl/>
        </w:rPr>
        <w:t>(1) 337, 349 (1965)</w:t>
      </w:r>
      <w:r>
        <w:rPr>
          <w:rFonts w:hint="cs"/>
          <w:rtl/>
        </w:rPr>
        <w:t>).</w:t>
      </w:r>
    </w:p>
    <w:p w:rsidR="00D61E12" w:rsidRDefault="00D61E12" w:rsidP="00D61E12">
      <w:pPr>
        <w:pStyle w:val="Ruller4"/>
        <w:spacing w:before="240" w:after="240"/>
      </w:pPr>
      <w:r>
        <w:rPr>
          <w:rFonts w:hint="cs"/>
          <w:rtl/>
        </w:rPr>
        <w:t>לאורך השנים החלו ניצני פסיקה שכפרו במה שניתן לכנות 'עליונות הרשות המחוקקת'. התפנית המרכזית בגישה זו התרחשה</w:t>
      </w:r>
      <w:r w:rsidRPr="00011760">
        <w:rPr>
          <w:rtl/>
        </w:rPr>
        <w:t xml:space="preserve"> </w:t>
      </w:r>
      <w:r>
        <w:rPr>
          <w:rFonts w:hint="cs"/>
          <w:rtl/>
        </w:rPr>
        <w:t>לאחר</w:t>
      </w:r>
      <w:r w:rsidRPr="00011760">
        <w:rPr>
          <w:rtl/>
        </w:rPr>
        <w:t xml:space="preserve"> </w:t>
      </w:r>
      <w:r w:rsidRPr="00011760">
        <w:rPr>
          <w:rFonts w:hint="eastAsia"/>
          <w:rtl/>
        </w:rPr>
        <w:t>חקיקת</w:t>
      </w:r>
      <w:r w:rsidRPr="00011760">
        <w:rPr>
          <w:rtl/>
        </w:rPr>
        <w:t xml:space="preserve"> </w:t>
      </w:r>
      <w:r w:rsidRPr="00011760">
        <w:rPr>
          <w:rFonts w:hint="eastAsia"/>
          <w:rtl/>
        </w:rPr>
        <w:t>חוק</w:t>
      </w:r>
      <w:r w:rsidRPr="00011760">
        <w:rPr>
          <w:rtl/>
        </w:rPr>
        <w:t>-</w:t>
      </w:r>
      <w:r w:rsidRPr="00011760">
        <w:rPr>
          <w:rFonts w:hint="eastAsia"/>
          <w:rtl/>
        </w:rPr>
        <w:t>יסוד</w:t>
      </w:r>
      <w:r w:rsidRPr="00011760">
        <w:rPr>
          <w:rtl/>
        </w:rPr>
        <w:t xml:space="preserve">: </w:t>
      </w:r>
      <w:r w:rsidRPr="00011760">
        <w:rPr>
          <w:rFonts w:hint="eastAsia"/>
          <w:rtl/>
        </w:rPr>
        <w:t>כבוד</w:t>
      </w:r>
      <w:r w:rsidRPr="00011760">
        <w:rPr>
          <w:rtl/>
        </w:rPr>
        <w:t xml:space="preserve"> </w:t>
      </w:r>
      <w:r w:rsidRPr="00011760">
        <w:rPr>
          <w:rFonts w:hint="eastAsia"/>
          <w:rtl/>
        </w:rPr>
        <w:t>האדם</w:t>
      </w:r>
      <w:r w:rsidRPr="00011760">
        <w:rPr>
          <w:rtl/>
        </w:rPr>
        <w:t xml:space="preserve"> </w:t>
      </w:r>
      <w:r w:rsidRPr="00011760">
        <w:rPr>
          <w:rFonts w:hint="eastAsia"/>
          <w:rtl/>
        </w:rPr>
        <w:t>וחירותו</w:t>
      </w:r>
      <w:r w:rsidRPr="00011760">
        <w:rPr>
          <w:rtl/>
        </w:rPr>
        <w:t xml:space="preserve">, </w:t>
      </w:r>
      <w:r w:rsidRPr="00011760">
        <w:rPr>
          <w:rFonts w:hint="eastAsia"/>
          <w:rtl/>
        </w:rPr>
        <w:t>וחוק</w:t>
      </w:r>
      <w:r w:rsidRPr="00011760">
        <w:rPr>
          <w:rtl/>
        </w:rPr>
        <w:t>-</w:t>
      </w:r>
      <w:r w:rsidRPr="00011760">
        <w:rPr>
          <w:rFonts w:hint="eastAsia"/>
          <w:rtl/>
        </w:rPr>
        <w:t>יסוד</w:t>
      </w:r>
      <w:r w:rsidRPr="00011760">
        <w:rPr>
          <w:rtl/>
        </w:rPr>
        <w:t xml:space="preserve">: </w:t>
      </w:r>
      <w:r w:rsidRPr="00011760">
        <w:rPr>
          <w:rFonts w:hint="eastAsia"/>
          <w:rtl/>
        </w:rPr>
        <w:t>חופש</w:t>
      </w:r>
      <w:r w:rsidRPr="00011760">
        <w:rPr>
          <w:rtl/>
        </w:rPr>
        <w:t xml:space="preserve"> </w:t>
      </w:r>
      <w:r w:rsidRPr="00011760">
        <w:rPr>
          <w:rFonts w:hint="eastAsia"/>
          <w:rtl/>
        </w:rPr>
        <w:t>העיסוק</w:t>
      </w:r>
      <w:r>
        <w:rPr>
          <w:rFonts w:hint="cs"/>
          <w:rtl/>
        </w:rPr>
        <w:t>.</w:t>
      </w:r>
      <w:r w:rsidRPr="00011760">
        <w:rPr>
          <w:rtl/>
        </w:rPr>
        <w:t xml:space="preserve"> </w:t>
      </w:r>
      <w:r>
        <w:rPr>
          <w:rFonts w:hint="cs"/>
          <w:rtl/>
        </w:rPr>
        <w:t xml:space="preserve">או אז, כפי שיוסבר מיד, </w:t>
      </w:r>
      <w:r w:rsidRPr="00011760">
        <w:rPr>
          <w:rFonts w:hint="eastAsia"/>
          <w:rtl/>
        </w:rPr>
        <w:t>הוכרה</w:t>
      </w:r>
      <w:r w:rsidRPr="00011760">
        <w:rPr>
          <w:rtl/>
        </w:rPr>
        <w:t xml:space="preserve"> </w:t>
      </w:r>
      <w:r w:rsidRPr="00011760">
        <w:rPr>
          <w:rFonts w:hint="eastAsia"/>
          <w:rtl/>
        </w:rPr>
        <w:t>בפסיקה</w:t>
      </w:r>
      <w:r w:rsidRPr="00011760">
        <w:rPr>
          <w:rtl/>
        </w:rPr>
        <w:t xml:space="preserve"> </w:t>
      </w:r>
      <w:r w:rsidRPr="00011760">
        <w:rPr>
          <w:rFonts w:hint="eastAsia"/>
          <w:rtl/>
        </w:rPr>
        <w:t>סמכותו</w:t>
      </w:r>
      <w:r w:rsidRPr="00011760">
        <w:rPr>
          <w:rtl/>
        </w:rPr>
        <w:t xml:space="preserve"> </w:t>
      </w:r>
      <w:r w:rsidRPr="00011760">
        <w:rPr>
          <w:rFonts w:hint="eastAsia"/>
          <w:rtl/>
        </w:rPr>
        <w:t>של</w:t>
      </w:r>
      <w:r w:rsidRPr="00011760">
        <w:rPr>
          <w:rtl/>
        </w:rPr>
        <w:t xml:space="preserve"> </w:t>
      </w:r>
      <w:r w:rsidRPr="00011760">
        <w:rPr>
          <w:rFonts w:hint="eastAsia"/>
          <w:rtl/>
        </w:rPr>
        <w:t>בית</w:t>
      </w:r>
      <w:r w:rsidRPr="00011760">
        <w:rPr>
          <w:rtl/>
        </w:rPr>
        <w:t xml:space="preserve"> </w:t>
      </w:r>
      <w:r w:rsidRPr="00011760">
        <w:rPr>
          <w:rFonts w:hint="eastAsia"/>
          <w:rtl/>
        </w:rPr>
        <w:t>המשפט</w:t>
      </w:r>
      <w:r w:rsidRPr="00011760">
        <w:rPr>
          <w:rtl/>
        </w:rPr>
        <w:t xml:space="preserve"> </w:t>
      </w:r>
      <w:r w:rsidRPr="00011760">
        <w:rPr>
          <w:rFonts w:hint="eastAsia"/>
          <w:rtl/>
        </w:rPr>
        <w:t>להפעיל</w:t>
      </w:r>
      <w:r w:rsidRPr="00011760">
        <w:rPr>
          <w:rtl/>
        </w:rPr>
        <w:t xml:space="preserve"> </w:t>
      </w:r>
      <w:r w:rsidRPr="00011760">
        <w:rPr>
          <w:rFonts w:hint="eastAsia"/>
          <w:rtl/>
        </w:rPr>
        <w:t>ביקורת</w:t>
      </w:r>
      <w:r w:rsidRPr="00011760">
        <w:rPr>
          <w:rtl/>
        </w:rPr>
        <w:t xml:space="preserve"> </w:t>
      </w:r>
      <w:r w:rsidRPr="00011760">
        <w:rPr>
          <w:rFonts w:hint="eastAsia"/>
          <w:rtl/>
        </w:rPr>
        <w:t>שיפוטית</w:t>
      </w:r>
      <w:r w:rsidRPr="00011760">
        <w:rPr>
          <w:rtl/>
        </w:rPr>
        <w:t xml:space="preserve"> </w:t>
      </w:r>
      <w:r w:rsidRPr="00011760">
        <w:rPr>
          <w:rFonts w:hint="eastAsia"/>
          <w:rtl/>
        </w:rPr>
        <w:t>על</w:t>
      </w:r>
      <w:r w:rsidRPr="00011760">
        <w:rPr>
          <w:rtl/>
        </w:rPr>
        <w:t xml:space="preserve"> </w:t>
      </w:r>
      <w:r w:rsidRPr="00011760">
        <w:rPr>
          <w:rFonts w:hint="eastAsia"/>
          <w:rtl/>
        </w:rPr>
        <w:t>חקיקת</w:t>
      </w:r>
      <w:r w:rsidRPr="00011760">
        <w:rPr>
          <w:rtl/>
        </w:rPr>
        <w:t xml:space="preserve"> </w:t>
      </w:r>
      <w:r w:rsidRPr="00011760">
        <w:rPr>
          <w:rFonts w:hint="eastAsia"/>
          <w:rtl/>
        </w:rPr>
        <w:t>הכנסת</w:t>
      </w:r>
      <w:r>
        <w:rPr>
          <w:rFonts w:hint="cs"/>
          <w:rtl/>
        </w:rPr>
        <w:t xml:space="preserve">, גם בהיעדר הוראת שריון פורמלית (ראו והשוו: בג"ץ 98/69 </w:t>
      </w:r>
      <w:r>
        <w:rPr>
          <w:rFonts w:ascii="Century" w:hAnsi="Century" w:cs="Miriam" w:hint="cs"/>
          <w:b/>
          <w:spacing w:val="0"/>
          <w:sz w:val="22"/>
          <w:szCs w:val="24"/>
          <w:rtl/>
        </w:rPr>
        <w:t>ברגמן נ' שר האוצר</w:t>
      </w:r>
      <w:r>
        <w:rPr>
          <w:rFonts w:ascii="Century" w:hAnsi="Century" w:hint="cs"/>
          <w:sz w:val="22"/>
          <w:rtl/>
        </w:rPr>
        <w:t>, פ"ד כג(1) 693 (1969)</w:t>
      </w:r>
      <w:r>
        <w:rPr>
          <w:rFonts w:hint="cs"/>
          <w:rtl/>
        </w:rPr>
        <w:t xml:space="preserve">; לביקורת על אודות מה שמכונה 'המהפכה החוקתית' ראו: יהודית קרפ "חוק-יסוד כבוד האדם </w:t>
      </w:r>
      <w:r>
        <w:rPr>
          <w:rFonts w:hint="cs"/>
          <w:rtl/>
        </w:rPr>
        <w:lastRenderedPageBreak/>
        <w:t xml:space="preserve">וחירותו </w:t>
      </w:r>
      <w:r>
        <w:rPr>
          <w:rtl/>
        </w:rPr>
        <w:t>–</w:t>
      </w:r>
      <w:r>
        <w:rPr>
          <w:rFonts w:hint="cs"/>
          <w:rtl/>
        </w:rPr>
        <w:t xml:space="preserve"> ביוגרפיה של מאבקי כוח" </w:t>
      </w:r>
      <w:r w:rsidRPr="00692CEE">
        <w:rPr>
          <w:rFonts w:ascii="Century" w:hAnsi="Century" w:cs="Miriam" w:hint="cs"/>
          <w:b/>
          <w:spacing w:val="0"/>
          <w:sz w:val="22"/>
          <w:szCs w:val="24"/>
          <w:rtl/>
        </w:rPr>
        <w:t>משפט וממשל</w:t>
      </w:r>
      <w:r w:rsidRPr="00692CEE">
        <w:rPr>
          <w:rFonts w:hint="cs"/>
          <w:rtl/>
        </w:rPr>
        <w:t xml:space="preserve"> </w:t>
      </w:r>
      <w:r>
        <w:rPr>
          <w:rFonts w:hint="cs"/>
          <w:rtl/>
        </w:rPr>
        <w:t xml:space="preserve">א 323 (1993); גדעון ספיר "המהפכה החוקתית </w:t>
      </w:r>
      <w:r>
        <w:rPr>
          <w:rtl/>
        </w:rPr>
        <w:t>–</w:t>
      </w:r>
      <w:r>
        <w:rPr>
          <w:rFonts w:hint="cs"/>
          <w:rtl/>
        </w:rPr>
        <w:t xml:space="preserve"> איך זה קרה?" </w:t>
      </w:r>
      <w:r w:rsidRPr="00692CEE">
        <w:rPr>
          <w:rFonts w:ascii="Century" w:hAnsi="Century" w:cs="Miriam" w:hint="cs"/>
          <w:b/>
          <w:spacing w:val="0"/>
          <w:sz w:val="22"/>
          <w:szCs w:val="24"/>
          <w:rtl/>
        </w:rPr>
        <w:t>משפט וממשל</w:t>
      </w:r>
      <w:r w:rsidRPr="00692CEE">
        <w:rPr>
          <w:rFonts w:hint="cs"/>
          <w:rtl/>
        </w:rPr>
        <w:t xml:space="preserve"> </w:t>
      </w:r>
      <w:r>
        <w:rPr>
          <w:rFonts w:hint="cs"/>
          <w:rtl/>
        </w:rPr>
        <w:t>יא 571 (2008)).</w:t>
      </w:r>
    </w:p>
    <w:p w:rsidR="00D61E12" w:rsidRDefault="00D61E12" w:rsidP="00D61E12">
      <w:pPr>
        <w:pStyle w:val="Ruller4"/>
        <w:spacing w:before="240" w:after="240"/>
      </w:pPr>
      <w:r>
        <w:rPr>
          <w:rFonts w:hint="cs"/>
          <w:rtl/>
        </w:rPr>
        <w:t>הזרם המרכזי שהתפתח בפסיקת בית המשפט העליון, בכל הנוגע לסמכות בית המשפט להורות על ביטול חקיקה ראשית 'רגילה' של הכנסת, קשור בתיאוריית שני הכובעים שהוצגה לעיל, בדבר הסמכות המכוננת של הכנסת. זרם זה הכה שורש בפסק הדין ב</w:t>
      </w:r>
      <w:r w:rsidRPr="00C62690">
        <w:rPr>
          <w:rFonts w:ascii="Century" w:hAnsi="Century" w:hint="cs"/>
          <w:sz w:val="22"/>
          <w:rtl/>
        </w:rPr>
        <w:t>עניין</w:t>
      </w:r>
      <w:r>
        <w:rPr>
          <w:rFonts w:ascii="Century" w:hAnsi="Century" w:cs="Miriam" w:hint="cs"/>
          <w:b/>
          <w:spacing w:val="0"/>
          <w:sz w:val="22"/>
          <w:szCs w:val="24"/>
          <w:rtl/>
        </w:rPr>
        <w:t xml:space="preserve"> </w:t>
      </w:r>
      <w:r w:rsidRPr="00EC381A">
        <w:rPr>
          <w:rFonts w:ascii="Century" w:hAnsi="Century" w:cs="Miriam" w:hint="cs"/>
          <w:b/>
          <w:spacing w:val="0"/>
          <w:sz w:val="22"/>
          <w:szCs w:val="24"/>
          <w:rtl/>
        </w:rPr>
        <w:t>בנק המזרחי</w:t>
      </w:r>
      <w:r>
        <w:rPr>
          <w:rFonts w:hint="cs"/>
          <w:rtl/>
        </w:rPr>
        <w:t xml:space="preserve">. בהתאם לתיאוריה זו, דברים שנאמרו מפי הכנסת בכובעה המכונן ניצבים במעמד נורמטיבי גבוה יותר מדברים שנאמרו מפיה בכובעה המחוקק; ולפיכך, אם חוק רגיל נמצא כעומד בסתירה להוראות של חוק-יסוד </w:t>
      </w:r>
      <w:r>
        <w:rPr>
          <w:rtl/>
        </w:rPr>
        <w:t>–</w:t>
      </w:r>
      <w:r>
        <w:rPr>
          <w:rFonts w:hint="cs"/>
          <w:rtl/>
        </w:rPr>
        <w:t xml:space="preserve"> בית המשפט מוסמך, בתנאים מסוימים, להורות על בטלותו.</w:t>
      </w:r>
    </w:p>
    <w:p w:rsidR="00D61E12" w:rsidRDefault="00D61E12" w:rsidP="00D61E12">
      <w:pPr>
        <w:pStyle w:val="Ruller4"/>
        <w:spacing w:before="240" w:after="240"/>
        <w:rPr>
          <w:rtl/>
        </w:rPr>
      </w:pPr>
      <w:r>
        <w:rPr>
          <w:rFonts w:hint="cs"/>
          <w:rtl/>
        </w:rPr>
        <w:t xml:space="preserve">כבר בעניין </w:t>
      </w:r>
      <w:r>
        <w:rPr>
          <w:rFonts w:ascii="Century" w:hAnsi="Century" w:cs="Miriam" w:hint="cs"/>
          <w:b/>
          <w:spacing w:val="0"/>
          <w:sz w:val="22"/>
          <w:szCs w:val="24"/>
          <w:rtl/>
        </w:rPr>
        <w:t xml:space="preserve">בנק המזרחי </w:t>
      </w:r>
      <w:r>
        <w:rPr>
          <w:rFonts w:hint="cs"/>
          <w:rtl/>
        </w:rPr>
        <w:t xml:space="preserve">נותרו ב'צריך עיון' מספר שאלות שתיאוריה זו מעוררת, ובכללן השאלה מה יקרה אם הכנסת תעשה 'שימוש לרעה' בסמכות המכוננת על-ידי קביעת נורמה שאינה מתאימה להיכלל תחת הכותרת 'חוק-יסוד' (שם, בעמוד 406). שאלה זו תזכה בהמשך לתשובה מפי חלק משופטי בית משפט זה (שעל אודותיה ארחיב להלן), לפיה בית המשפט מוסמך, בנסיבות מסוימות, להורות על בטלות חוק-יסוד שכזה. כמו כן, הועלתה האפשרות בדבר חוק-יסוד שאותו הכנסת לא תהא מוסמכת לכונן בהיותו 'תיקון חוקתי לא חוקתי' (שם, בעמוד 394). </w:t>
      </w:r>
    </w:p>
    <w:p w:rsidR="00D61E12" w:rsidRDefault="00D61E12" w:rsidP="00D61E12">
      <w:pPr>
        <w:pStyle w:val="Ruller4"/>
        <w:spacing w:before="240" w:after="240"/>
        <w:rPr>
          <w:rtl/>
        </w:rPr>
      </w:pPr>
      <w:r>
        <w:rPr>
          <w:rFonts w:hint="cs"/>
          <w:rtl/>
        </w:rPr>
        <w:t xml:space="preserve">תיאוריית שני הכובעים שאומצה על-ידי הנשיא </w:t>
      </w:r>
      <w:r>
        <w:rPr>
          <w:rFonts w:ascii="Century" w:hAnsi="Century" w:cs="Miriam" w:hint="cs"/>
          <w:b/>
          <w:spacing w:val="0"/>
          <w:sz w:val="22"/>
          <w:szCs w:val="24"/>
          <w:rtl/>
        </w:rPr>
        <w:t xml:space="preserve">א' </w:t>
      </w:r>
      <w:r w:rsidRPr="00CF071E">
        <w:rPr>
          <w:rFonts w:ascii="Century" w:hAnsi="Century" w:cs="Miriam" w:hint="cs"/>
          <w:b/>
          <w:spacing w:val="0"/>
          <w:sz w:val="22"/>
          <w:szCs w:val="24"/>
          <w:rtl/>
        </w:rPr>
        <w:t>ברק</w:t>
      </w:r>
      <w:r w:rsidRPr="00CF071E">
        <w:rPr>
          <w:rFonts w:hint="cs"/>
          <w:rtl/>
        </w:rPr>
        <w:t xml:space="preserve"> </w:t>
      </w:r>
      <w:r>
        <w:rPr>
          <w:rFonts w:hint="cs"/>
          <w:rtl/>
        </w:rPr>
        <w:t xml:space="preserve">בעניין </w:t>
      </w:r>
      <w:r w:rsidRPr="00CF071E">
        <w:rPr>
          <w:rFonts w:ascii="Century" w:hAnsi="Century" w:cs="Miriam" w:hint="cs"/>
          <w:b/>
          <w:spacing w:val="0"/>
          <w:sz w:val="22"/>
          <w:szCs w:val="24"/>
          <w:rtl/>
        </w:rPr>
        <w:t>בנק המזרחי</w:t>
      </w:r>
      <w:r w:rsidRPr="00CF071E">
        <w:rPr>
          <w:rFonts w:hint="cs"/>
          <w:rtl/>
        </w:rPr>
        <w:t xml:space="preserve"> </w:t>
      </w:r>
      <w:r>
        <w:rPr>
          <w:rFonts w:hint="cs"/>
          <w:rtl/>
        </w:rPr>
        <w:t xml:space="preserve">הייתה שונה מזו של הנשיא (בדימ') </w:t>
      </w:r>
      <w:r>
        <w:rPr>
          <w:rFonts w:ascii="Century" w:hAnsi="Century" w:cs="Miriam" w:hint="cs"/>
          <w:b/>
          <w:spacing w:val="0"/>
          <w:sz w:val="22"/>
          <w:szCs w:val="24"/>
          <w:rtl/>
        </w:rPr>
        <w:t xml:space="preserve">מ' </w:t>
      </w:r>
      <w:r w:rsidRPr="00621870">
        <w:rPr>
          <w:rFonts w:ascii="Century" w:hAnsi="Century" w:cs="Miriam" w:hint="cs"/>
          <w:b/>
          <w:spacing w:val="0"/>
          <w:sz w:val="22"/>
          <w:szCs w:val="24"/>
          <w:rtl/>
        </w:rPr>
        <w:t>שמגר</w:t>
      </w:r>
      <w:r w:rsidRPr="00011760">
        <w:rPr>
          <w:rFonts w:ascii="Century" w:hAnsi="Century"/>
          <w:sz w:val="22"/>
          <w:rtl/>
        </w:rPr>
        <w:t>,</w:t>
      </w:r>
      <w:r>
        <w:rPr>
          <w:rFonts w:ascii="Century" w:hAnsi="Century" w:cs="Miriam" w:hint="cs"/>
          <w:b/>
          <w:spacing w:val="0"/>
          <w:sz w:val="22"/>
          <w:szCs w:val="24"/>
          <w:rtl/>
        </w:rPr>
        <w:t xml:space="preserve"> </w:t>
      </w:r>
      <w:r>
        <w:rPr>
          <w:rFonts w:hint="cs"/>
          <w:rtl/>
        </w:rPr>
        <w:t xml:space="preserve">שסבר כי הכובע 'המכונן' עבר מן העולם יחד עם 'החלטת הררי' שבה התקבלה פשרה שלפיה, תחת כינון חוקה, הכנסת תחוקק חוקי-יסוד שיהפכו ביום מן הימים לחוקת המדינה (להרחבה על החלטת הררי, ראו: בג"ץ 8948/22 </w:t>
      </w:r>
      <w:r w:rsidRPr="00011760">
        <w:rPr>
          <w:rFonts w:ascii="Century" w:hAnsi="Century" w:cs="Miriam" w:hint="eastAsia"/>
          <w:b/>
          <w:spacing w:val="0"/>
          <w:sz w:val="22"/>
          <w:szCs w:val="24"/>
          <w:rtl/>
        </w:rPr>
        <w:t>שיינפלד</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נ</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הכנסת</w:t>
      </w:r>
      <w:r>
        <w:rPr>
          <w:rFonts w:hint="cs"/>
          <w:rtl/>
        </w:rPr>
        <w:t xml:space="preserve">, פסקה 4 לחוות דעתי (18.01.2023) (להלן: </w:t>
      </w:r>
      <w:r>
        <w:rPr>
          <w:rFonts w:ascii="Century" w:hAnsi="Century" w:cs="Miriam" w:hint="cs"/>
          <w:b/>
          <w:spacing w:val="0"/>
          <w:sz w:val="22"/>
          <w:szCs w:val="24"/>
          <w:rtl/>
        </w:rPr>
        <w:t>עניין</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שיינפלד</w:t>
      </w:r>
      <w:r>
        <w:rPr>
          <w:rFonts w:hint="cs"/>
          <w:rtl/>
        </w:rPr>
        <w:t xml:space="preserve">)). עם זאת, גם הנשיא (בדימ') </w:t>
      </w:r>
      <w:r w:rsidRPr="00CF071E">
        <w:rPr>
          <w:rFonts w:ascii="Century" w:hAnsi="Century" w:cs="Miriam" w:hint="cs"/>
          <w:b/>
          <w:spacing w:val="0"/>
          <w:sz w:val="22"/>
          <w:szCs w:val="24"/>
          <w:rtl/>
        </w:rPr>
        <w:t>שמגר</w:t>
      </w:r>
      <w:r w:rsidRPr="00CF071E">
        <w:rPr>
          <w:rFonts w:hint="cs"/>
          <w:rtl/>
        </w:rPr>
        <w:t xml:space="preserve"> </w:t>
      </w:r>
      <w:r>
        <w:rPr>
          <w:rFonts w:hint="cs"/>
          <w:rtl/>
        </w:rPr>
        <w:t xml:space="preserve">סבר כי בית המשפט מוסמך לבטל חקיקה ראשית של הכנסת מכוח חוקי היסוד. התיאוריה של הנשיא (בדימ') </w:t>
      </w:r>
      <w:r w:rsidRPr="00621870">
        <w:rPr>
          <w:rFonts w:ascii="Century" w:hAnsi="Century" w:cs="Miriam" w:hint="cs"/>
          <w:b/>
          <w:spacing w:val="0"/>
          <w:sz w:val="22"/>
          <w:szCs w:val="24"/>
          <w:rtl/>
        </w:rPr>
        <w:t>שמגר</w:t>
      </w:r>
      <w:r w:rsidRPr="00621870">
        <w:rPr>
          <w:rFonts w:hint="cs"/>
          <w:rtl/>
        </w:rPr>
        <w:t xml:space="preserve"> </w:t>
      </w:r>
      <w:r>
        <w:rPr>
          <w:rFonts w:hint="cs"/>
          <w:rtl/>
        </w:rPr>
        <w:t xml:space="preserve">התבססה על </w:t>
      </w:r>
      <w:r w:rsidRPr="00011760">
        <w:rPr>
          <w:rFonts w:ascii="Century" w:hAnsi="Century" w:cs="Miriam" w:hint="eastAsia"/>
          <w:b/>
          <w:spacing w:val="0"/>
          <w:sz w:val="22"/>
          <w:szCs w:val="24"/>
          <w:rtl/>
        </w:rPr>
        <w:t>סמכותה</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של</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הכנסת</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להגביל</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את</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עצמה</w:t>
      </w:r>
      <w:r>
        <w:rPr>
          <w:rFonts w:hint="cs"/>
          <w:rtl/>
        </w:rPr>
        <w:t xml:space="preserve">. לפי תיאוריה זו, פסקת ההגבלה (שבסעיף 8 לחוק-יסוד: כבוד האדם וחירותו ובסעיף 8 לחוק-יסוד: חופש העיסוק) מבטאת את </w:t>
      </w:r>
      <w:r w:rsidRPr="00011760">
        <w:rPr>
          <w:rFonts w:ascii="Century" w:hAnsi="Century" w:cs="Miriam" w:hint="eastAsia"/>
          <w:b/>
          <w:spacing w:val="0"/>
          <w:sz w:val="22"/>
          <w:szCs w:val="24"/>
          <w:rtl/>
        </w:rPr>
        <w:t>רצונה</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של</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הכנסת</w:t>
      </w:r>
      <w:r w:rsidRPr="007C3872">
        <w:rPr>
          <w:rtl/>
        </w:rPr>
        <w:t xml:space="preserve"> </w:t>
      </w:r>
      <w:r>
        <w:rPr>
          <w:rFonts w:hint="cs"/>
          <w:rtl/>
        </w:rPr>
        <w:t>להגביל את עצמה מלפעול בניגוד לאמור בחוק היסוד, ומכאן שלבית המשפט מסורה הסמכות לאכוף את ההגבלה שהכנסת נטלה על עצמה, בדרך של ביטול חקיקה ראשית העומדת בסתירה לאמור בחוק היסוד.</w:t>
      </w:r>
    </w:p>
    <w:p w:rsidR="00D61E12" w:rsidRPr="006B5DE2" w:rsidRDefault="00D61E12" w:rsidP="00D61E12">
      <w:pPr>
        <w:pStyle w:val="Ruller4"/>
        <w:spacing w:before="240" w:after="240"/>
      </w:pPr>
      <w:r>
        <w:rPr>
          <w:rFonts w:hint="cs"/>
          <w:rtl/>
        </w:rPr>
        <w:t xml:space="preserve">השופט </w:t>
      </w:r>
      <w:r w:rsidRPr="00495A04">
        <w:rPr>
          <w:rFonts w:ascii="Century" w:hAnsi="Century" w:cs="Miriam" w:hint="cs"/>
          <w:b/>
          <w:spacing w:val="0"/>
          <w:sz w:val="22"/>
          <w:szCs w:val="24"/>
          <w:rtl/>
        </w:rPr>
        <w:t>חשין</w:t>
      </w:r>
      <w:r>
        <w:rPr>
          <w:rFonts w:hint="cs"/>
          <w:rtl/>
        </w:rPr>
        <w:t xml:space="preserve"> סבר אחרת. לאחר</w:t>
      </w:r>
      <w:r w:rsidRPr="00CF071E">
        <w:rPr>
          <w:rFonts w:hint="cs"/>
          <w:rtl/>
        </w:rPr>
        <w:t xml:space="preserve"> </w:t>
      </w:r>
      <w:r>
        <w:rPr>
          <w:rFonts w:hint="cs"/>
          <w:rtl/>
        </w:rPr>
        <w:t xml:space="preserve">שבחן בחוות דעתו, בהרחבה רבה, פסקי דין, מקורות פרלמנטריים, כמו גם דברי מלומדים שנאמרו לאורך השנים, הוא הגיע לכלל מסקנה, כי לאורך ההיסטוריה של מדינת ישראל, הדעה המקובלת הייתה שחוקי-היסוד </w:t>
      </w:r>
      <w:r>
        <w:rPr>
          <w:rFonts w:hint="cs"/>
          <w:rtl/>
        </w:rPr>
        <w:lastRenderedPageBreak/>
        <w:t xml:space="preserve">הם בעלי מעמד נורמטיבי זהה לחקיקה רגילה. השופט </w:t>
      </w:r>
      <w:r w:rsidRPr="00495A04">
        <w:rPr>
          <w:rFonts w:ascii="Century" w:hAnsi="Century" w:cs="Miriam" w:hint="cs"/>
          <w:b/>
          <w:spacing w:val="0"/>
          <w:szCs w:val="24"/>
          <w:rtl/>
        </w:rPr>
        <w:t xml:space="preserve">חשין </w:t>
      </w:r>
      <w:r w:rsidRPr="00495A04">
        <w:rPr>
          <w:rFonts w:ascii="Century" w:hAnsi="Century" w:hint="cs"/>
          <w:rtl/>
        </w:rPr>
        <w:t>סבר כי קבלת חוקה מחייבת שהעם, שהוא זה שמקבל על עצמו את ההתחייבויות המעוגנות בחוקה, יידע שהוא 'מצביע' על חוקה ולא על חוק רגיל; להבדיל ממצב שבו בית המשפט הוא זה ש'מעדכן</w:t>
      </w:r>
      <w:r>
        <w:rPr>
          <w:rFonts w:ascii="Century" w:hAnsi="Century" w:hint="cs"/>
          <w:rtl/>
        </w:rPr>
        <w:t>'</w:t>
      </w:r>
      <w:r w:rsidRPr="00495A04">
        <w:rPr>
          <w:rFonts w:ascii="Century" w:hAnsi="Century" w:hint="cs"/>
          <w:rtl/>
        </w:rPr>
        <w:t xml:space="preserve"> את העם בדבר חוקה שהריבון מחויב בה. לפי </w:t>
      </w:r>
      <w:r>
        <w:rPr>
          <w:rFonts w:hint="cs"/>
          <w:rtl/>
        </w:rPr>
        <w:t>השופט</w:t>
      </w:r>
      <w:r w:rsidRPr="00495A04">
        <w:rPr>
          <w:rFonts w:ascii="Century" w:hAnsi="Century" w:hint="cs"/>
          <w:rtl/>
        </w:rPr>
        <w:t xml:space="preserve"> </w:t>
      </w:r>
      <w:r w:rsidRPr="00495A04">
        <w:rPr>
          <w:rFonts w:ascii="Century" w:hAnsi="Century" w:cs="Miriam" w:hint="cs"/>
          <w:b/>
          <w:spacing w:val="0"/>
          <w:szCs w:val="24"/>
          <w:rtl/>
        </w:rPr>
        <w:t>חשין</w:t>
      </w:r>
      <w:r w:rsidRPr="00495A04">
        <w:rPr>
          <w:rFonts w:ascii="Century" w:hAnsi="Century" w:hint="cs"/>
          <w:rtl/>
        </w:rPr>
        <w:t xml:space="preserve">, ניתן ללמוד ממקומות אחרים בעולם כיצד חוקה מתקבלת, ואין בנמצא חוקות אחרות שבהן בית המשפט הוא זה שהודיע לבית המחוקקים ולכל העם כי התקבלה חוקה המחייבת אותם. </w:t>
      </w:r>
      <w:r>
        <w:rPr>
          <w:rFonts w:hint="cs"/>
          <w:rtl/>
        </w:rPr>
        <w:t xml:space="preserve">השופט </w:t>
      </w:r>
      <w:r w:rsidRPr="00495A04">
        <w:rPr>
          <w:rFonts w:ascii="Century" w:hAnsi="Century" w:cs="Miriam" w:hint="cs"/>
          <w:b/>
          <w:spacing w:val="0"/>
          <w:sz w:val="22"/>
          <w:szCs w:val="24"/>
          <w:rtl/>
        </w:rPr>
        <w:t>חשין</w:t>
      </w:r>
      <w:r w:rsidRPr="00495A04">
        <w:rPr>
          <w:rFonts w:ascii="Century" w:hAnsi="Century" w:hint="cs"/>
          <w:rtl/>
        </w:rPr>
        <w:t xml:space="preserve"> חלק גם על גישת הנשיא (בדימ') </w:t>
      </w:r>
      <w:r w:rsidRPr="00011760">
        <w:rPr>
          <w:rFonts w:ascii="Century" w:hAnsi="Century" w:cs="Miriam" w:hint="eastAsia"/>
          <w:b/>
          <w:spacing w:val="0"/>
          <w:sz w:val="22"/>
          <w:szCs w:val="24"/>
          <w:rtl/>
        </w:rPr>
        <w:t>שמגר</w:t>
      </w:r>
      <w:r w:rsidRPr="00495A04">
        <w:rPr>
          <w:rFonts w:ascii="Century" w:hAnsi="Century" w:hint="cs"/>
          <w:rtl/>
        </w:rPr>
        <w:t xml:space="preserve"> שלפיה הכנסת מוסמכת להגביל את עצמה. לשיטתו, אין לכנסת אחת כל עדיפות על פני כנסת אחרת, ולכן אין להניח כי יש </w:t>
      </w:r>
      <w:r>
        <w:rPr>
          <w:rFonts w:ascii="Century" w:hAnsi="Century" w:hint="cs"/>
          <w:rtl/>
        </w:rPr>
        <w:t>בסמכותם</w:t>
      </w:r>
      <w:r w:rsidRPr="00495A04">
        <w:rPr>
          <w:rFonts w:ascii="Century" w:hAnsi="Century" w:hint="cs"/>
          <w:rtl/>
        </w:rPr>
        <w:t xml:space="preserve"> של חברי כנסת מסוימת להגביל את חברי הכנסת ש</w:t>
      </w:r>
      <w:r>
        <w:rPr>
          <w:rFonts w:ascii="Century" w:hAnsi="Century" w:hint="cs"/>
          <w:rtl/>
        </w:rPr>
        <w:t>יי</w:t>
      </w:r>
      <w:r w:rsidRPr="00495A04">
        <w:rPr>
          <w:rFonts w:ascii="Century" w:hAnsi="Century" w:hint="cs"/>
          <w:rtl/>
        </w:rPr>
        <w:t xml:space="preserve">בחרו אחריהם. </w:t>
      </w:r>
      <w:r w:rsidRPr="006B5DE2">
        <w:rPr>
          <w:rFonts w:ascii="Century" w:hAnsi="Century" w:hint="cs"/>
          <w:rtl/>
        </w:rPr>
        <w:t xml:space="preserve">דוגמה מוקדמת מובהקת לגישת השופט </w:t>
      </w:r>
      <w:r w:rsidRPr="006B5DE2">
        <w:rPr>
          <w:rFonts w:ascii="Century" w:hAnsi="Century" w:cs="Miriam" w:hint="eastAsia"/>
          <w:b/>
          <w:spacing w:val="0"/>
          <w:sz w:val="22"/>
          <w:szCs w:val="24"/>
          <w:rtl/>
        </w:rPr>
        <w:t>חשין</w:t>
      </w:r>
      <w:r w:rsidRPr="006B5DE2">
        <w:rPr>
          <w:rFonts w:ascii="Century" w:hAnsi="Century" w:hint="cs"/>
          <w:rtl/>
        </w:rPr>
        <w:t xml:space="preserve"> בפסיקה הישראלית ניתן למצוא בבג"ץ 60/77 </w:t>
      </w:r>
      <w:r w:rsidRPr="006B5DE2">
        <w:rPr>
          <w:rFonts w:ascii="Century" w:hAnsi="Century" w:cs="Miriam" w:hint="cs"/>
          <w:b/>
          <w:spacing w:val="0"/>
          <w:sz w:val="22"/>
          <w:szCs w:val="24"/>
          <w:rtl/>
        </w:rPr>
        <w:t>רסלר נ' יו"ר ועדת הבחירות לכנסת</w:t>
      </w:r>
      <w:r w:rsidRPr="006B5DE2">
        <w:rPr>
          <w:rFonts w:ascii="Century" w:hAnsi="Century" w:hint="cs"/>
          <w:rtl/>
        </w:rPr>
        <w:t xml:space="preserve">, פ"ד ל"א(2) 556 (1977) </w:t>
      </w:r>
      <w:r w:rsidRPr="006B5DE2">
        <w:rPr>
          <w:rFonts w:ascii="Century" w:hAnsi="Century"/>
          <w:rtl/>
        </w:rPr>
        <w:t>–</w:t>
      </w:r>
      <w:r w:rsidRPr="006B5DE2">
        <w:rPr>
          <w:rFonts w:ascii="Century" w:hAnsi="Century" w:hint="cs"/>
          <w:rtl/>
        </w:rPr>
        <w:t xml:space="preserve"> שם שלל בית המשפט מפורשות את הטענה כי </w:t>
      </w:r>
      <w:r>
        <w:rPr>
          <w:rFonts w:ascii="Century" w:hAnsi="Century" w:hint="cs"/>
          <w:rtl/>
        </w:rPr>
        <w:t>חוק-יסוד</w:t>
      </w:r>
      <w:r w:rsidRPr="006B5DE2">
        <w:rPr>
          <w:rFonts w:ascii="Century" w:hAnsi="Century" w:hint="cs"/>
          <w:rtl/>
        </w:rPr>
        <w:t xml:space="preserve"> ניתן לשינוי ב</w:t>
      </w:r>
      <w:r>
        <w:rPr>
          <w:rFonts w:ascii="Century" w:hAnsi="Century" w:hint="cs"/>
          <w:rtl/>
        </w:rPr>
        <w:t>חוק-יסוד</w:t>
      </w:r>
      <w:r w:rsidRPr="006B5DE2">
        <w:rPr>
          <w:rFonts w:ascii="Century" w:hAnsi="Century" w:hint="cs"/>
          <w:rtl/>
        </w:rPr>
        <w:t xml:space="preserve"> בלבד, וכך נאמר שם: "</w:t>
      </w:r>
      <w:r w:rsidRPr="006B5DE2">
        <w:rPr>
          <w:rFonts w:ascii="Century" w:hAnsi="Century" w:cs="Miriam" w:hint="eastAsia"/>
          <w:b/>
          <w:spacing w:val="0"/>
          <w:sz w:val="22"/>
          <w:szCs w:val="24"/>
          <w:rtl/>
        </w:rPr>
        <w:t>בצדק</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טוענת</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הגב׳</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ביניש</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שעם</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כל</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הכבוד</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לפרופסור</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קליין</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u w:val="single"/>
          <w:rtl/>
        </w:rPr>
        <w:t>אין</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כל</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אסמכתה</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לכך</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שלא</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ניתן</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לשנות</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חוק</w:t>
      </w:r>
      <w:r w:rsidRPr="006B5DE2">
        <w:rPr>
          <w:rFonts w:ascii="Century" w:hAnsi="Century" w:cs="Miriam"/>
          <w:b/>
          <w:spacing w:val="0"/>
          <w:sz w:val="22"/>
          <w:szCs w:val="24"/>
          <w:u w:val="single"/>
          <w:rtl/>
        </w:rPr>
        <w:t>-</w:t>
      </w:r>
      <w:r w:rsidRPr="006B5DE2">
        <w:rPr>
          <w:rFonts w:ascii="Century" w:hAnsi="Century" w:cs="Miriam" w:hint="eastAsia"/>
          <w:b/>
          <w:spacing w:val="0"/>
          <w:sz w:val="22"/>
          <w:szCs w:val="24"/>
          <w:u w:val="single"/>
          <w:rtl/>
        </w:rPr>
        <w:t>יסוד</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אלא</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על</w:t>
      </w:r>
      <w:r w:rsidRPr="006B5DE2">
        <w:rPr>
          <w:rFonts w:ascii="Century" w:hAnsi="Century" w:cs="Miriam"/>
          <w:b/>
          <w:spacing w:val="0"/>
          <w:sz w:val="22"/>
          <w:szCs w:val="24"/>
          <w:u w:val="single"/>
          <w:rtl/>
        </w:rPr>
        <w:t>-</w:t>
      </w:r>
      <w:r w:rsidRPr="006B5DE2">
        <w:rPr>
          <w:rFonts w:ascii="Century" w:hAnsi="Century" w:cs="Miriam" w:hint="eastAsia"/>
          <w:b/>
          <w:spacing w:val="0"/>
          <w:sz w:val="22"/>
          <w:szCs w:val="24"/>
          <w:u w:val="single"/>
          <w:rtl/>
        </w:rPr>
        <w:t>ידי</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חוק</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שהכנסת</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כינתה</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אותו</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כחוק</w:t>
      </w:r>
      <w:r w:rsidRPr="006B5DE2">
        <w:rPr>
          <w:rFonts w:ascii="Century" w:hAnsi="Century" w:cs="Miriam"/>
          <w:b/>
          <w:spacing w:val="0"/>
          <w:sz w:val="22"/>
          <w:szCs w:val="24"/>
          <w:u w:val="single"/>
          <w:rtl/>
        </w:rPr>
        <w:t>-</w:t>
      </w:r>
      <w:r w:rsidRPr="006B5DE2">
        <w:rPr>
          <w:rFonts w:ascii="Century" w:hAnsi="Century" w:cs="Miriam" w:hint="eastAsia"/>
          <w:b/>
          <w:spacing w:val="0"/>
          <w:sz w:val="22"/>
          <w:szCs w:val="24"/>
          <w:u w:val="single"/>
          <w:rtl/>
        </w:rPr>
        <w:t>יסוד</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שהענין</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הוא</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ענין</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שבסמנטיקה</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בלבד</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וכי</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למעשה</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הפסיקה</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היא</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אחרת</w:t>
      </w:r>
      <w:r w:rsidRPr="006B5DE2">
        <w:rPr>
          <w:rFonts w:ascii="Century" w:hAnsi="Century" w:hint="cs"/>
          <w:rtl/>
        </w:rPr>
        <w:t>" (</w:t>
      </w:r>
      <w:r>
        <w:rPr>
          <w:rFonts w:ascii="Century" w:hAnsi="Century" w:hint="cs"/>
          <w:rtl/>
        </w:rPr>
        <w:t xml:space="preserve">שם, בעמוד 560; </w:t>
      </w:r>
      <w:r w:rsidRPr="006B5DE2">
        <w:rPr>
          <w:rFonts w:ascii="Century" w:hAnsi="Century" w:hint="cs"/>
          <w:rtl/>
        </w:rPr>
        <w:t>ההדגשה</w:t>
      </w:r>
      <w:r>
        <w:rPr>
          <w:rFonts w:ascii="Century" w:hAnsi="Century" w:hint="cs"/>
          <w:rtl/>
        </w:rPr>
        <w:t xml:space="preserve"> שבקו תחתון</w:t>
      </w:r>
      <w:r w:rsidRPr="006B5DE2">
        <w:rPr>
          <w:rFonts w:ascii="Century" w:hAnsi="Century" w:hint="cs"/>
          <w:rtl/>
        </w:rPr>
        <w:t xml:space="preserve"> הוספה </w:t>
      </w:r>
      <w:r w:rsidRPr="006B5DE2">
        <w:rPr>
          <w:rFonts w:ascii="Century" w:hAnsi="Century"/>
          <w:rtl/>
        </w:rPr>
        <w:t>–</w:t>
      </w:r>
      <w:r w:rsidRPr="006B5DE2">
        <w:rPr>
          <w:rFonts w:ascii="Century" w:hAnsi="Century" w:hint="cs"/>
          <w:rtl/>
        </w:rPr>
        <w:t xml:space="preserve"> ח' כ')</w:t>
      </w:r>
      <w:r>
        <w:rPr>
          <w:rFonts w:ascii="Century" w:hAnsi="Century" w:hint="cs"/>
          <w:rtl/>
        </w:rPr>
        <w:t>.</w:t>
      </w:r>
    </w:p>
    <w:p w:rsidR="00D61E12" w:rsidRDefault="00D61E12" w:rsidP="00D61E12">
      <w:pPr>
        <w:pStyle w:val="Ruller4"/>
        <w:numPr>
          <w:ilvl w:val="0"/>
          <w:numId w:val="0"/>
        </w:numPr>
        <w:spacing w:before="240" w:after="240"/>
        <w:rPr>
          <w:rtl/>
        </w:rPr>
      </w:pPr>
      <w:r>
        <w:rPr>
          <w:rFonts w:ascii="Century" w:hAnsi="Century"/>
          <w:rtl/>
        </w:rPr>
        <w:tab/>
      </w:r>
      <w:r w:rsidRPr="006B5DE2">
        <w:rPr>
          <w:rFonts w:ascii="Century" w:hAnsi="Century" w:hint="cs"/>
          <w:rtl/>
        </w:rPr>
        <w:t xml:space="preserve">לצד זאת, השופט </w:t>
      </w:r>
      <w:r w:rsidRPr="006B5DE2">
        <w:rPr>
          <w:rFonts w:ascii="Century" w:hAnsi="Century" w:cs="Miriam" w:hint="cs"/>
          <w:b/>
          <w:spacing w:val="0"/>
          <w:sz w:val="22"/>
          <w:szCs w:val="24"/>
          <w:rtl/>
        </w:rPr>
        <w:t>חשין</w:t>
      </w:r>
      <w:r w:rsidRPr="006B5DE2">
        <w:rPr>
          <w:rFonts w:ascii="Century" w:hAnsi="Century" w:hint="cs"/>
          <w:rtl/>
        </w:rPr>
        <w:t xml:space="preserve"> סבר כי פסקת ההגבלה מאפשרת לבית המשפט לפסול </w:t>
      </w:r>
      <w:r w:rsidRPr="005744E0">
        <w:rPr>
          <w:rFonts w:hint="cs"/>
          <w:rtl/>
        </w:rPr>
        <w:t>חוקים</w:t>
      </w:r>
      <w:r w:rsidRPr="006B5DE2">
        <w:rPr>
          <w:rFonts w:ascii="Century" w:hAnsi="Century" w:hint="cs"/>
          <w:rtl/>
        </w:rPr>
        <w:t xml:space="preserve"> העומדים בסתירה לחוק היסוד, כל עוד לא </w:t>
      </w:r>
      <w:r>
        <w:rPr>
          <w:rFonts w:ascii="Century" w:hAnsi="Century" w:hint="cs"/>
          <w:rtl/>
        </w:rPr>
        <w:t>נקבע</w:t>
      </w:r>
      <w:r w:rsidRPr="006B5DE2">
        <w:rPr>
          <w:rFonts w:ascii="Century" w:hAnsi="Century" w:hint="cs"/>
          <w:rtl/>
        </w:rPr>
        <w:t xml:space="preserve"> בחוק כי הוא יהיה תקף על אף האמור בחוק היסוד. </w:t>
      </w:r>
      <w:r>
        <w:rPr>
          <w:rFonts w:hint="cs"/>
          <w:rtl/>
        </w:rPr>
        <w:t xml:space="preserve">השופט </w:t>
      </w:r>
      <w:r w:rsidRPr="006B5DE2">
        <w:rPr>
          <w:rFonts w:ascii="Century" w:hAnsi="Century" w:cs="Miriam" w:hint="cs"/>
          <w:b/>
          <w:spacing w:val="0"/>
          <w:szCs w:val="24"/>
          <w:rtl/>
        </w:rPr>
        <w:t xml:space="preserve">חשין </w:t>
      </w:r>
      <w:r w:rsidRPr="006B5DE2">
        <w:rPr>
          <w:rFonts w:ascii="Century" w:hAnsi="Century" w:hint="cs"/>
          <w:rtl/>
        </w:rPr>
        <w:t>קבע כי משהכנסת התחייבה ליתן לאזרחים את הזכויות המנויות בחוק היסוד, ניתן להניח כי היא לא התכוונה לשלול את הזכויות שאותן היא הבטיחה</w:t>
      </w:r>
      <w:r>
        <w:rPr>
          <w:rFonts w:ascii="Century" w:hAnsi="Century" w:hint="cs"/>
          <w:rtl/>
        </w:rPr>
        <w:t>, אם היא לא אמרה בפירוש את ההיפך</w:t>
      </w:r>
      <w:r w:rsidRPr="006B5DE2">
        <w:rPr>
          <w:rFonts w:ascii="Century" w:hAnsi="Century" w:hint="cs"/>
          <w:rtl/>
        </w:rPr>
        <w:t>. במובן זה, בית המשפט רק מבהיר לכנסת את השגגה שיצאה תחת ידה. עם זאת, ככל שהכנסת תאמר בפירוש כי שלילת הזכויות היא "</w:t>
      </w:r>
      <w:r w:rsidRPr="006B5DE2">
        <w:rPr>
          <w:rFonts w:ascii="Century" w:hAnsi="Century" w:cs="Miriam" w:hint="eastAsia"/>
          <w:b/>
          <w:spacing w:val="0"/>
          <w:sz w:val="22"/>
          <w:szCs w:val="24"/>
          <w:rtl/>
        </w:rPr>
        <w:t>על</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אף</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האמור</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בחוק</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היסוד</w:t>
      </w:r>
      <w:r w:rsidRPr="006B5DE2">
        <w:rPr>
          <w:rFonts w:ascii="Century" w:hAnsi="Century" w:hint="cs"/>
          <w:rtl/>
        </w:rPr>
        <w:t>", הרי שאין כל דבר שימנע ממנה לעשות כן</w:t>
      </w:r>
      <w:r>
        <w:rPr>
          <w:rFonts w:ascii="Century" w:hAnsi="Century" w:hint="cs"/>
          <w:rtl/>
        </w:rPr>
        <w:t xml:space="preserve"> </w:t>
      </w:r>
      <w:r>
        <w:rPr>
          <w:rFonts w:hint="cs"/>
          <w:rtl/>
        </w:rPr>
        <w:t>(שם, בעמודים 563-554).</w:t>
      </w:r>
    </w:p>
    <w:p w:rsidR="00D61E12" w:rsidRDefault="00D61E12" w:rsidP="00D61E12">
      <w:pPr>
        <w:pStyle w:val="Ruller4"/>
        <w:numPr>
          <w:ilvl w:val="0"/>
          <w:numId w:val="0"/>
        </w:numPr>
        <w:spacing w:before="240" w:after="240"/>
        <w:rPr>
          <w:rtl/>
        </w:rPr>
      </w:pPr>
      <w:r>
        <w:rPr>
          <w:rtl/>
        </w:rPr>
        <w:tab/>
      </w:r>
      <w:r>
        <w:rPr>
          <w:rFonts w:hint="cs"/>
          <w:rtl/>
        </w:rPr>
        <w:t xml:space="preserve">לא זו אף זו, השופט </w:t>
      </w:r>
      <w:r w:rsidRPr="001D310D">
        <w:rPr>
          <w:rFonts w:ascii="Century" w:hAnsi="Century" w:cs="Miriam" w:hint="cs"/>
          <w:b/>
          <w:spacing w:val="0"/>
          <w:sz w:val="22"/>
          <w:szCs w:val="24"/>
          <w:rtl/>
        </w:rPr>
        <w:t>חשין</w:t>
      </w:r>
      <w:r w:rsidRPr="001D310D">
        <w:rPr>
          <w:rFonts w:hint="cs"/>
          <w:rtl/>
        </w:rPr>
        <w:t xml:space="preserve"> </w:t>
      </w:r>
      <w:r>
        <w:rPr>
          <w:rFonts w:hint="cs"/>
          <w:rtl/>
        </w:rPr>
        <w:t xml:space="preserve">דחה מכול וכול את הרעיון בדבר האפשרות שהכנסת תעשה 'שימוש לרעה' בסמכות כינון החוקה. לדבריו: </w:t>
      </w:r>
    </w:p>
    <w:p w:rsidR="00D61E12" w:rsidRDefault="00D61E12" w:rsidP="00D61E12">
      <w:pPr>
        <w:pStyle w:val="Ruller5"/>
        <w:spacing w:before="240" w:after="240"/>
        <w:rPr>
          <w:rtl/>
        </w:rPr>
      </w:pPr>
      <w:r>
        <w:rPr>
          <w:rFonts w:hint="cs"/>
          <w:rtl/>
        </w:rPr>
        <w:t>"</w:t>
      </w:r>
      <w:r w:rsidRPr="001D310D">
        <w:rPr>
          <w:rtl/>
        </w:rPr>
        <w:t>האומנם נאמר כי בית-משפט הוא שיקבע מה ראוי לה לחוקה שתכלול – ומה אין ראוי לה לחוקה שתכלול – ומתוך שחוק להגנה על השקעות הציבור בישראל בנכסים פיננסיים אין הוא 'ראוי' שייכלל בחוקה, יוסיף בית המשפט ויקבע כי שריונו נעשה שלא כדין ובחריגה מסמכות אך מטעם זה בלבד? איסור שתיית משקאות אלכוהוליים (</w:t>
      </w:r>
      <w:r w:rsidRPr="00105C0F">
        <w:rPr>
          <w:rFonts w:asciiTheme="majorBidi" w:hAnsiTheme="majorBidi" w:cstheme="majorBidi"/>
          <w:bCs/>
          <w:spacing w:val="0"/>
          <w:sz w:val="24"/>
        </w:rPr>
        <w:t>PROHIBITION</w:t>
      </w:r>
      <w:r w:rsidRPr="001D310D">
        <w:rPr>
          <w:rtl/>
        </w:rPr>
        <w:t>) נכלל בתיקון לחוקת ארצות-הברית. כך ביקש 'מחוקק החוקה' לעשות – וכרצונו עשה. חוק זה, אליבא דכולי עלמא, אין הוא ממשפחת חוקי חוקה. האם נאמר כי מתקן החוקה חרג מסמכותו?</w:t>
      </w:r>
      <w:r>
        <w:rPr>
          <w:rFonts w:hint="cs"/>
          <w:rtl/>
        </w:rPr>
        <w:t>"</w:t>
      </w:r>
      <w:r>
        <w:rPr>
          <w:rtl/>
        </w:rPr>
        <w:t xml:space="preserve"> (</w:t>
      </w:r>
      <w:r>
        <w:rPr>
          <w:rFonts w:hint="cs"/>
          <w:rtl/>
        </w:rPr>
        <w:t xml:space="preserve">עניין </w:t>
      </w:r>
      <w:r>
        <w:rPr>
          <w:rFonts w:ascii="Century" w:hAnsi="Century" w:cs="Miriam" w:hint="cs"/>
          <w:b/>
          <w:spacing w:val="0"/>
          <w:szCs w:val="24"/>
          <w:rtl/>
        </w:rPr>
        <w:t>בנק המזרחי</w:t>
      </w:r>
      <w:r>
        <w:rPr>
          <w:rFonts w:hint="cs"/>
          <w:rtl/>
        </w:rPr>
        <w:t>, ב</w:t>
      </w:r>
      <w:r>
        <w:rPr>
          <w:rtl/>
        </w:rPr>
        <w:t>עמוד 516).</w:t>
      </w:r>
    </w:p>
    <w:p w:rsidR="00D61E12" w:rsidRPr="005847E8" w:rsidRDefault="00D61E12" w:rsidP="002A1A3A">
      <w:pPr>
        <w:pStyle w:val="Ruller41"/>
        <w:numPr>
          <w:ilvl w:val="1"/>
          <w:numId w:val="16"/>
        </w:numPr>
        <w:spacing w:before="240" w:after="240"/>
        <w:rPr>
          <w:rFonts w:ascii="Century" w:hAnsi="Century" w:cs="Miriam"/>
          <w:b/>
          <w:spacing w:val="0"/>
          <w:szCs w:val="24"/>
          <w:rtl/>
        </w:rPr>
      </w:pPr>
      <w:r w:rsidRPr="00011760">
        <w:rPr>
          <w:rFonts w:ascii="Century" w:hAnsi="Century" w:cs="Miriam" w:hint="eastAsia"/>
          <w:b/>
          <w:spacing w:val="0"/>
          <w:szCs w:val="24"/>
          <w:rtl/>
        </w:rPr>
        <w:lastRenderedPageBreak/>
        <w:t>ביקורת</w:t>
      </w:r>
      <w:r w:rsidRPr="00011760">
        <w:rPr>
          <w:rFonts w:ascii="Century" w:hAnsi="Century" w:cs="Miriam"/>
          <w:b/>
          <w:spacing w:val="0"/>
          <w:szCs w:val="24"/>
          <w:rtl/>
        </w:rPr>
        <w:t xml:space="preserve"> </w:t>
      </w:r>
      <w:r w:rsidRPr="00011760">
        <w:rPr>
          <w:rFonts w:ascii="Century" w:hAnsi="Century" w:cs="Miriam" w:hint="eastAsia"/>
          <w:b/>
          <w:spacing w:val="0"/>
          <w:szCs w:val="24"/>
          <w:rtl/>
        </w:rPr>
        <w:t>שיפוטית</w:t>
      </w:r>
      <w:r w:rsidRPr="00011760">
        <w:rPr>
          <w:rFonts w:ascii="Century" w:hAnsi="Century" w:cs="Miriam"/>
          <w:b/>
          <w:spacing w:val="0"/>
          <w:szCs w:val="24"/>
          <w:rtl/>
        </w:rPr>
        <w:t xml:space="preserve"> </w:t>
      </w:r>
      <w:r w:rsidRPr="00011760">
        <w:rPr>
          <w:rFonts w:ascii="Century" w:hAnsi="Century" w:cs="Miriam" w:hint="eastAsia"/>
          <w:b/>
          <w:spacing w:val="0"/>
          <w:szCs w:val="24"/>
          <w:rtl/>
        </w:rPr>
        <w:t>על</w:t>
      </w:r>
      <w:r w:rsidRPr="00011760">
        <w:rPr>
          <w:rFonts w:ascii="Century" w:hAnsi="Century" w:cs="Miriam"/>
          <w:b/>
          <w:spacing w:val="0"/>
          <w:szCs w:val="24"/>
          <w:rtl/>
        </w:rPr>
        <w:t xml:space="preserve"> </w:t>
      </w:r>
      <w:r>
        <w:rPr>
          <w:rFonts w:ascii="Century" w:hAnsi="Century" w:cs="Miriam" w:hint="eastAsia"/>
          <w:b/>
          <w:spacing w:val="0"/>
          <w:szCs w:val="24"/>
          <w:rtl/>
        </w:rPr>
        <w:t>חוקי-יסוד</w:t>
      </w:r>
    </w:p>
    <w:p w:rsidR="00D61E12" w:rsidRPr="00D65E7D" w:rsidRDefault="00D61E12" w:rsidP="00D61E12">
      <w:pPr>
        <w:pStyle w:val="Ruller4"/>
        <w:spacing w:before="240" w:after="240"/>
      </w:pPr>
      <w:r w:rsidRPr="00D65E7D">
        <w:rPr>
          <w:rFonts w:ascii="Century" w:hAnsi="Century" w:hint="cs"/>
          <w:sz w:val="22"/>
          <w:rtl/>
        </w:rPr>
        <w:t xml:space="preserve">כאמור בפתח חוות דעתי, סבורני, </w:t>
      </w:r>
      <w:r>
        <w:rPr>
          <w:rFonts w:ascii="Century" w:hAnsi="Century" w:hint="cs"/>
          <w:sz w:val="22"/>
          <w:rtl/>
        </w:rPr>
        <w:t xml:space="preserve">כי </w:t>
      </w:r>
      <w:r w:rsidRPr="00D65E7D">
        <w:rPr>
          <w:rFonts w:ascii="Century" w:hAnsi="Century" w:hint="cs"/>
          <w:sz w:val="22"/>
          <w:rtl/>
        </w:rPr>
        <w:t>הביקורת השיפוטית על</w:t>
      </w:r>
      <w:r>
        <w:rPr>
          <w:rFonts w:ascii="Century" w:hAnsi="Century" w:hint="cs"/>
          <w:sz w:val="22"/>
          <w:rtl/>
        </w:rPr>
        <w:t xml:space="preserve"> חוקי-היסוד ש</w:t>
      </w:r>
      <w:r w:rsidRPr="00D65E7D">
        <w:rPr>
          <w:rFonts w:ascii="Century" w:hAnsi="Century" w:hint="cs"/>
          <w:sz w:val="22"/>
          <w:rtl/>
        </w:rPr>
        <w:t>הכנסת</w:t>
      </w:r>
      <w:r>
        <w:rPr>
          <w:rFonts w:ascii="Century" w:hAnsi="Century" w:hint="cs"/>
          <w:sz w:val="22"/>
          <w:rtl/>
        </w:rPr>
        <w:t xml:space="preserve"> מכוננת</w:t>
      </w:r>
      <w:r w:rsidRPr="00D65E7D">
        <w:rPr>
          <w:rFonts w:ascii="Century" w:hAnsi="Century" w:hint="cs"/>
          <w:sz w:val="22"/>
          <w:rtl/>
        </w:rPr>
        <w:t xml:space="preserve"> קשורה בטבורה לשאלת גבולות סמכותה המכוננת של הכנסת במדינת ישראל.</w:t>
      </w:r>
    </w:p>
    <w:p w:rsidR="00D61E12" w:rsidRDefault="00D61E12" w:rsidP="00D61E12">
      <w:pPr>
        <w:pStyle w:val="Ruller4"/>
        <w:spacing w:before="240" w:after="240"/>
        <w:rPr>
          <w:rtl/>
        </w:rPr>
      </w:pPr>
      <w:r>
        <w:rPr>
          <w:rFonts w:hint="cs"/>
          <w:rtl/>
        </w:rPr>
        <w:t xml:space="preserve">חברי, השופט </w:t>
      </w:r>
      <w:r w:rsidRPr="00A300C6">
        <w:rPr>
          <w:rFonts w:ascii="Century" w:hAnsi="Century" w:cs="Miriam" w:hint="eastAsia"/>
          <w:b/>
          <w:spacing w:val="0"/>
          <w:sz w:val="22"/>
          <w:szCs w:val="24"/>
          <w:rtl/>
        </w:rPr>
        <w:t>שטיין</w:t>
      </w:r>
      <w:r>
        <w:rPr>
          <w:rFonts w:hint="cs"/>
          <w:rtl/>
        </w:rPr>
        <w:t>, סבור כי מקור ההגבלה על סמכותה המכוננת של הכנסת טמון בהכרזת העצמאות, המנשר ו</w:t>
      </w:r>
      <w:r w:rsidRPr="002C69EA">
        <w:rPr>
          <w:rtl/>
        </w:rPr>
        <w:t>פקודת סדרי השלטון והמשפט, התש"ח-1948</w:t>
      </w:r>
      <w:r>
        <w:rPr>
          <w:rFonts w:hint="cs"/>
          <w:rtl/>
        </w:rPr>
        <w:t xml:space="preserve">. כשלעצמי, עובר לכתיבת שורות אלה, שקלתי בכובד ראש </w:t>
      </w:r>
      <w:r w:rsidRPr="00D65E7D">
        <w:rPr>
          <w:rFonts w:hint="cs"/>
          <w:rtl/>
        </w:rPr>
        <w:t>את מעמדה של הכרזת העצמאות</w:t>
      </w:r>
      <w:r>
        <w:rPr>
          <w:rFonts w:hint="cs"/>
          <w:rtl/>
        </w:rPr>
        <w:t>, המנשר והפקודה האמורה,</w:t>
      </w:r>
      <w:r w:rsidRPr="00D65E7D">
        <w:rPr>
          <w:rFonts w:hint="cs"/>
          <w:rtl/>
        </w:rPr>
        <w:t xml:space="preserve"> בקשר עם המגבלות החלות על הכנסת כרשות מכוננת. זאת עשיתי הן לאחר קריאת חוות דעתו של חברי השופט </w:t>
      </w:r>
      <w:r w:rsidRPr="00D65E7D">
        <w:rPr>
          <w:rFonts w:ascii="Century" w:hAnsi="Century" w:cs="Miriam" w:hint="eastAsia"/>
          <w:b/>
          <w:spacing w:val="0"/>
          <w:sz w:val="22"/>
          <w:szCs w:val="24"/>
          <w:rtl/>
        </w:rPr>
        <w:t>שטיין</w:t>
      </w:r>
      <w:r w:rsidRPr="00D65E7D">
        <w:rPr>
          <w:rFonts w:hint="cs"/>
          <w:rtl/>
        </w:rPr>
        <w:t xml:space="preserve"> בבג"ץ 5119/23 </w:t>
      </w:r>
      <w:r w:rsidRPr="00D65E7D">
        <w:rPr>
          <w:rFonts w:ascii="Century" w:hAnsi="Century" w:cs="Miriam" w:hint="eastAsia"/>
          <w:b/>
          <w:spacing w:val="0"/>
          <w:sz w:val="22"/>
          <w:szCs w:val="24"/>
          <w:rtl/>
        </w:rPr>
        <w:t>התנועה</w:t>
      </w:r>
      <w:r w:rsidRPr="00D65E7D">
        <w:rPr>
          <w:rFonts w:ascii="Century" w:hAnsi="Century" w:cs="Miriam"/>
          <w:b/>
          <w:spacing w:val="0"/>
          <w:sz w:val="22"/>
          <w:szCs w:val="24"/>
          <w:rtl/>
        </w:rPr>
        <w:t xml:space="preserve"> </w:t>
      </w:r>
      <w:r w:rsidRPr="00D65E7D">
        <w:rPr>
          <w:rFonts w:ascii="Century" w:hAnsi="Century" w:cs="Miriam" w:hint="eastAsia"/>
          <w:b/>
          <w:spacing w:val="0"/>
          <w:sz w:val="22"/>
          <w:szCs w:val="24"/>
          <w:rtl/>
        </w:rPr>
        <w:t>לטוהר</w:t>
      </w:r>
      <w:r w:rsidRPr="00D65E7D">
        <w:rPr>
          <w:rFonts w:ascii="Century" w:hAnsi="Century" w:cs="Miriam"/>
          <w:b/>
          <w:spacing w:val="0"/>
          <w:sz w:val="22"/>
          <w:szCs w:val="24"/>
          <w:rtl/>
        </w:rPr>
        <w:t xml:space="preserve"> </w:t>
      </w:r>
      <w:r w:rsidRPr="00D65E7D">
        <w:rPr>
          <w:rFonts w:ascii="Century" w:hAnsi="Century" w:cs="Miriam" w:hint="eastAsia"/>
          <w:b/>
          <w:spacing w:val="0"/>
          <w:sz w:val="22"/>
          <w:szCs w:val="24"/>
          <w:rtl/>
        </w:rPr>
        <w:t>המידות</w:t>
      </w:r>
      <w:r w:rsidRPr="00D65E7D">
        <w:rPr>
          <w:rFonts w:ascii="Century" w:hAnsi="Century" w:cs="Miriam"/>
          <w:b/>
          <w:spacing w:val="0"/>
          <w:sz w:val="22"/>
          <w:szCs w:val="24"/>
          <w:rtl/>
        </w:rPr>
        <w:t xml:space="preserve"> </w:t>
      </w:r>
      <w:r w:rsidRPr="00D65E7D">
        <w:rPr>
          <w:rFonts w:ascii="Century" w:hAnsi="Century" w:cs="Miriam" w:hint="eastAsia"/>
          <w:b/>
          <w:spacing w:val="0"/>
          <w:sz w:val="22"/>
          <w:szCs w:val="24"/>
          <w:rtl/>
        </w:rPr>
        <w:t>נ</w:t>
      </w:r>
      <w:r w:rsidRPr="00D65E7D">
        <w:rPr>
          <w:rFonts w:ascii="Century" w:hAnsi="Century" w:cs="Miriam"/>
          <w:b/>
          <w:spacing w:val="0"/>
          <w:sz w:val="22"/>
          <w:szCs w:val="24"/>
          <w:rtl/>
        </w:rPr>
        <w:t xml:space="preserve">' </w:t>
      </w:r>
      <w:r w:rsidRPr="00D65E7D">
        <w:rPr>
          <w:rFonts w:ascii="Century" w:hAnsi="Century" w:cs="Miriam" w:hint="eastAsia"/>
          <w:b/>
          <w:spacing w:val="0"/>
          <w:sz w:val="22"/>
          <w:szCs w:val="24"/>
          <w:rtl/>
        </w:rPr>
        <w:t>הכנסת</w:t>
      </w:r>
      <w:r w:rsidRPr="00D65E7D">
        <w:rPr>
          <w:rtl/>
        </w:rPr>
        <w:t xml:space="preserve"> </w:t>
      </w:r>
      <w:r w:rsidRPr="00D65E7D">
        <w:rPr>
          <w:rFonts w:hint="cs"/>
          <w:rtl/>
        </w:rPr>
        <w:t>(26.10.2023); הן לאחר עיון בחוות דעתו בעתירות שבכותרת.</w:t>
      </w:r>
      <w:r>
        <w:rPr>
          <w:rFonts w:hint="cs"/>
          <w:rtl/>
        </w:rPr>
        <w:t xml:space="preserve"> שהרי </w:t>
      </w:r>
      <w:r w:rsidRPr="00A300C6">
        <w:rPr>
          <w:rFonts w:ascii="FrankRuehl" w:hAnsi="FrankRuehl" w:hint="cs"/>
          <w:color w:val="222222"/>
          <w:spacing w:val="0"/>
          <w:sz w:val="28"/>
          <w:rtl/>
        </w:rPr>
        <w:t>"</w:t>
      </w:r>
      <w:r w:rsidRPr="00A300C6">
        <w:rPr>
          <w:rFonts w:ascii="Century" w:hAnsi="Century" w:cs="Miriam" w:hint="eastAsia"/>
          <w:b/>
          <w:spacing w:val="0"/>
          <w:sz w:val="22"/>
          <w:szCs w:val="24"/>
          <w:rtl/>
        </w:rPr>
        <w:t>הכרזה</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זו</w:t>
      </w:r>
      <w:r w:rsidRPr="00A300C6">
        <w:rPr>
          <w:rFonts w:ascii="Century" w:hAnsi="Century" w:cs="Miriam"/>
          <w:b/>
          <w:spacing w:val="0"/>
          <w:sz w:val="22"/>
          <w:szCs w:val="24"/>
          <w:rtl/>
        </w:rPr>
        <w:t xml:space="preserve"> – </w:t>
      </w:r>
      <w:r w:rsidRPr="00A300C6">
        <w:rPr>
          <w:rFonts w:ascii="Century" w:hAnsi="Century" w:cs="Miriam" w:hint="eastAsia"/>
          <w:b/>
          <w:spacing w:val="0"/>
          <w:sz w:val="22"/>
          <w:szCs w:val="24"/>
          <w:rtl/>
        </w:rPr>
        <w:t>היא</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מגילת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העצמאות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שלנו</w:t>
      </w:r>
      <w:r w:rsidRPr="00A300C6">
        <w:rPr>
          <w:rFonts w:ascii="Century" w:hAnsi="Century" w:cs="Miriam"/>
          <w:b/>
          <w:spacing w:val="0"/>
          <w:sz w:val="22"/>
          <w:szCs w:val="24"/>
          <w:rtl/>
        </w:rPr>
        <w:t xml:space="preserve">, </w:t>
      </w:r>
      <w:r w:rsidRPr="00A300C6">
        <w:rPr>
          <w:rFonts w:ascii="Century" w:hAnsi="Century" w:cs="Miriam" w:hint="cs"/>
          <w:b/>
          <w:spacing w:val="0"/>
          <w:szCs w:val="24"/>
          <w:rtl/>
        </w:rPr>
        <w:t>[]</w:t>
      </w:r>
      <w:r w:rsidRPr="00A300C6">
        <w:rPr>
          <w:rFonts w:ascii="Century" w:hAnsi="Century" w:cs="Miriam" w:hint="eastAsia"/>
          <w:b/>
          <w:spacing w:val="0"/>
          <w:sz w:val="22"/>
          <w:szCs w:val="24"/>
          <w:rtl/>
        </w:rPr>
        <w:t>היא</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הן</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תעודת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הלידה</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והן</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תעודת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הזהות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של</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המדינה</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כיחידה</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מדינית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ריבונית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ועצמאית</w:t>
      </w:r>
      <w:r w:rsidRPr="00A300C6">
        <w:rPr>
          <w:rFonts w:ascii="Century" w:hAnsi="Century" w:hint="cs"/>
          <w:rtl/>
        </w:rPr>
        <w:t>" (</w:t>
      </w:r>
      <w:r>
        <w:rPr>
          <w:rFonts w:hint="cs"/>
          <w:rtl/>
        </w:rPr>
        <w:t xml:space="preserve">דברי הנשיא (בדימ') </w:t>
      </w:r>
      <w:r w:rsidRPr="00A300C6">
        <w:rPr>
          <w:rFonts w:ascii="Century" w:hAnsi="Century" w:cs="Miriam" w:hint="eastAsia"/>
          <w:b/>
          <w:spacing w:val="0"/>
          <w:szCs w:val="24"/>
          <w:rtl/>
        </w:rPr>
        <w:t>שמגר</w:t>
      </w:r>
      <w:r w:rsidRPr="00A300C6">
        <w:rPr>
          <w:rFonts w:ascii="Century" w:hAnsi="Century" w:hint="cs"/>
          <w:rtl/>
        </w:rPr>
        <w:t xml:space="preserve"> בעניין</w:t>
      </w:r>
      <w:r w:rsidRPr="003F1CA6">
        <w:rPr>
          <w:rFonts w:hint="cs"/>
          <w:rtl/>
        </w:rPr>
        <w:t xml:space="preserve"> </w:t>
      </w:r>
      <w:r w:rsidRPr="00A300C6">
        <w:rPr>
          <w:rFonts w:ascii="Century" w:hAnsi="Century" w:cs="Miriam" w:hint="cs"/>
          <w:b/>
          <w:spacing w:val="0"/>
          <w:szCs w:val="24"/>
          <w:rtl/>
        </w:rPr>
        <w:t>בנק המזרחי</w:t>
      </w:r>
      <w:r>
        <w:rPr>
          <w:rFonts w:hint="cs"/>
          <w:rtl/>
        </w:rPr>
        <w:t xml:space="preserve">, בעמוד 309). ואולם, נוכח הקשיים שמערימים המסמכים המעידים על אופן הבנת ההכרזה </w:t>
      </w:r>
      <w:r w:rsidRPr="005602A4">
        <w:rPr>
          <w:rFonts w:ascii="Century" w:hAnsi="Century" w:cs="Miriam" w:hint="eastAsia"/>
          <w:b/>
          <w:spacing w:val="0"/>
          <w:sz w:val="22"/>
          <w:szCs w:val="24"/>
          <w:rtl/>
        </w:rPr>
        <w:t>על</w:t>
      </w:r>
      <w:r w:rsidRPr="005602A4">
        <w:rPr>
          <w:rFonts w:ascii="Century" w:hAnsi="Century" w:cs="Miriam"/>
          <w:b/>
          <w:spacing w:val="0"/>
          <w:sz w:val="22"/>
          <w:szCs w:val="24"/>
          <w:rtl/>
        </w:rPr>
        <w:t>-</w:t>
      </w:r>
      <w:r w:rsidRPr="005602A4">
        <w:rPr>
          <w:rFonts w:ascii="Century" w:hAnsi="Century" w:cs="Miriam" w:hint="eastAsia"/>
          <w:b/>
          <w:spacing w:val="0"/>
          <w:sz w:val="22"/>
          <w:szCs w:val="24"/>
          <w:rtl/>
        </w:rPr>
        <w:t>ידי</w:t>
      </w:r>
      <w:r w:rsidRPr="005602A4">
        <w:rPr>
          <w:rFonts w:ascii="Century" w:hAnsi="Century" w:cs="Miriam"/>
          <w:b/>
          <w:spacing w:val="0"/>
          <w:sz w:val="22"/>
          <w:szCs w:val="24"/>
          <w:rtl/>
        </w:rPr>
        <w:t xml:space="preserve"> </w:t>
      </w:r>
      <w:r w:rsidRPr="005602A4">
        <w:rPr>
          <w:rFonts w:ascii="Century" w:hAnsi="Century" w:cs="Miriam" w:hint="eastAsia"/>
          <w:b/>
          <w:spacing w:val="0"/>
          <w:sz w:val="22"/>
          <w:szCs w:val="24"/>
          <w:rtl/>
        </w:rPr>
        <w:t>מנסחיה</w:t>
      </w:r>
      <w:r>
        <w:rPr>
          <w:rFonts w:hint="cs"/>
          <w:rtl/>
        </w:rPr>
        <w:t xml:space="preserve"> (ראו למשל: </w:t>
      </w:r>
      <w:r>
        <w:rPr>
          <w:rFonts w:ascii="Arial TUR" w:hAnsi="Arial TUR" w:hint="cs"/>
          <w:sz w:val="22"/>
          <w:rtl/>
        </w:rPr>
        <w:t xml:space="preserve">פרוטוקול הישיבה השלושים ושש של מועצת-המדינה הזמנית מיום 13.09.1949, דברי ראש-הממשלה, דוד בן-גוריון: </w:t>
      </w:r>
      <w:r w:rsidRPr="00105C0F">
        <w:rPr>
          <w:rFonts w:ascii="Century" w:hAnsi="Century" w:hint="cs"/>
          <w:sz w:val="22"/>
          <w:rtl/>
        </w:rPr>
        <w:t>"</w:t>
      </w:r>
      <w:r w:rsidRPr="008C1B83">
        <w:rPr>
          <w:rFonts w:ascii="Century" w:hAnsi="Century" w:cs="Miriam" w:hint="eastAsia"/>
          <w:b/>
          <w:spacing w:val="0"/>
          <w:sz w:val="22"/>
          <w:szCs w:val="24"/>
          <w:rtl/>
        </w:rPr>
        <w:t>מיד</w:t>
      </w:r>
      <w:r w:rsidRPr="008C1B83">
        <w:rPr>
          <w:rFonts w:ascii="Century" w:hAnsi="Century" w:cs="Miriam"/>
          <w:b/>
          <w:spacing w:val="0"/>
          <w:sz w:val="22"/>
          <w:szCs w:val="24"/>
          <w:rtl/>
        </w:rPr>
        <w:t xml:space="preserve"> עם הייסוד ידענו, שהמועצה הזמנית אינה השלטון הנצחי של מדינת-ישראל, אלא סידור זמני. ובהגיע ההזדמנות הראשונה יימסר הכוח, שנטלה לעצמה הממשלה והמועצה הזמנית, לעם שיבחר בבחירות </w:t>
      </w:r>
      <w:r w:rsidRPr="008C1B83">
        <w:rPr>
          <w:rFonts w:ascii="Century" w:hAnsi="Century" w:cs="Miriam" w:hint="eastAsia"/>
          <w:b/>
          <w:spacing w:val="0"/>
          <w:sz w:val="22"/>
          <w:szCs w:val="24"/>
          <w:rtl/>
        </w:rPr>
        <w:t>דמוקראטיות</w:t>
      </w:r>
      <w:r w:rsidRPr="008C1B83">
        <w:rPr>
          <w:rFonts w:ascii="Century" w:hAnsi="Century" w:cs="Miriam"/>
          <w:b/>
          <w:spacing w:val="0"/>
          <w:sz w:val="22"/>
          <w:szCs w:val="24"/>
          <w:rtl/>
        </w:rPr>
        <w:t xml:space="preserve"> את נציגיו ואלה יקבעו יסודותיה החוקיים של המדינה</w:t>
      </w:r>
      <w:r w:rsidRPr="00105C0F">
        <w:rPr>
          <w:rFonts w:ascii="Century" w:hAnsi="Century" w:hint="cs"/>
          <w:sz w:val="22"/>
          <w:rtl/>
        </w:rPr>
        <w:t>"</w:t>
      </w:r>
      <w:r>
        <w:rPr>
          <w:rFonts w:hint="cs"/>
          <w:rtl/>
        </w:rPr>
        <w:t xml:space="preserve">), ובשים לב לכך שזו גם הייתה ההבנה הרווחת בקרב שופטי בית משפט זה סמוך לאחר קום המדינה (ראו למשל: </w:t>
      </w:r>
      <w:r w:rsidRPr="005602A4">
        <w:rPr>
          <w:rFonts w:ascii="Century" w:hAnsi="Century" w:hint="eastAsia"/>
          <w:rtl/>
        </w:rPr>
        <w:t>בג</w:t>
      </w:r>
      <w:r w:rsidRPr="005602A4">
        <w:rPr>
          <w:rFonts w:ascii="Century" w:hAnsi="Century"/>
          <w:rtl/>
        </w:rPr>
        <w:t>"</w:t>
      </w:r>
      <w:r w:rsidRPr="005602A4">
        <w:rPr>
          <w:rFonts w:ascii="Century" w:hAnsi="Century" w:hint="eastAsia"/>
          <w:rtl/>
        </w:rPr>
        <w:t>ץ</w:t>
      </w:r>
      <w:r w:rsidRPr="005602A4">
        <w:rPr>
          <w:rFonts w:ascii="Century" w:hAnsi="Century"/>
          <w:rtl/>
        </w:rPr>
        <w:t xml:space="preserve"> 10/48 </w:t>
      </w:r>
      <w:r w:rsidRPr="005602A4">
        <w:rPr>
          <w:rFonts w:ascii="Century" w:hAnsi="Century" w:cs="Miriam" w:hint="eastAsia"/>
          <w:b/>
          <w:spacing w:val="0"/>
          <w:szCs w:val="24"/>
          <w:rtl/>
        </w:rPr>
        <w:t>זיו</w:t>
      </w:r>
      <w:r w:rsidRPr="005602A4">
        <w:rPr>
          <w:rFonts w:ascii="Century" w:hAnsi="Century" w:cs="Miriam"/>
          <w:b/>
          <w:spacing w:val="0"/>
          <w:szCs w:val="24"/>
          <w:rtl/>
        </w:rPr>
        <w:t xml:space="preserve"> </w:t>
      </w:r>
      <w:r w:rsidRPr="005602A4">
        <w:rPr>
          <w:rFonts w:ascii="Century" w:hAnsi="Century" w:cs="Miriam" w:hint="eastAsia"/>
          <w:b/>
          <w:spacing w:val="0"/>
          <w:szCs w:val="24"/>
          <w:rtl/>
        </w:rPr>
        <w:t>נ</w:t>
      </w:r>
      <w:r w:rsidRPr="005602A4">
        <w:rPr>
          <w:rFonts w:ascii="Century" w:hAnsi="Century" w:cs="Miriam"/>
          <w:b/>
          <w:spacing w:val="0"/>
          <w:szCs w:val="24"/>
          <w:rtl/>
        </w:rPr>
        <w:t xml:space="preserve">' </w:t>
      </w:r>
      <w:r w:rsidRPr="005602A4">
        <w:rPr>
          <w:rFonts w:ascii="Century" w:hAnsi="Century" w:cs="Miriam" w:hint="eastAsia"/>
          <w:b/>
          <w:spacing w:val="0"/>
          <w:szCs w:val="24"/>
          <w:rtl/>
        </w:rPr>
        <w:t>הממונה</w:t>
      </w:r>
      <w:r w:rsidRPr="005602A4">
        <w:rPr>
          <w:rFonts w:ascii="Century" w:hAnsi="Century" w:cs="Miriam"/>
          <w:b/>
          <w:spacing w:val="0"/>
          <w:szCs w:val="24"/>
          <w:rtl/>
        </w:rPr>
        <w:t xml:space="preserve"> </w:t>
      </w:r>
      <w:r w:rsidRPr="005602A4">
        <w:rPr>
          <w:rFonts w:ascii="Century" w:hAnsi="Century" w:cs="Miriam" w:hint="eastAsia"/>
          <w:b/>
          <w:spacing w:val="0"/>
          <w:szCs w:val="24"/>
          <w:rtl/>
        </w:rPr>
        <w:t>בפועל</w:t>
      </w:r>
      <w:r w:rsidRPr="005602A4">
        <w:rPr>
          <w:rFonts w:ascii="Century" w:hAnsi="Century" w:cs="Miriam"/>
          <w:b/>
          <w:spacing w:val="0"/>
          <w:szCs w:val="24"/>
          <w:rtl/>
        </w:rPr>
        <w:t xml:space="preserve"> </w:t>
      </w:r>
      <w:r w:rsidRPr="005602A4">
        <w:rPr>
          <w:rFonts w:ascii="Century" w:hAnsi="Century" w:cs="Miriam" w:hint="eastAsia"/>
          <w:b/>
          <w:spacing w:val="0"/>
          <w:szCs w:val="24"/>
          <w:rtl/>
        </w:rPr>
        <w:t>על</w:t>
      </w:r>
      <w:r w:rsidRPr="005602A4">
        <w:rPr>
          <w:rFonts w:ascii="Century" w:hAnsi="Century" w:cs="Miriam"/>
          <w:b/>
          <w:spacing w:val="0"/>
          <w:szCs w:val="24"/>
          <w:rtl/>
        </w:rPr>
        <w:t xml:space="preserve"> </w:t>
      </w:r>
      <w:r w:rsidRPr="005602A4">
        <w:rPr>
          <w:rFonts w:ascii="Century" w:hAnsi="Century" w:cs="Miriam" w:hint="eastAsia"/>
          <w:b/>
          <w:spacing w:val="0"/>
          <w:szCs w:val="24"/>
          <w:rtl/>
        </w:rPr>
        <w:t>האזור</w:t>
      </w:r>
      <w:r w:rsidRPr="005602A4">
        <w:rPr>
          <w:rFonts w:ascii="Century" w:hAnsi="Century" w:cs="Miriam"/>
          <w:b/>
          <w:spacing w:val="0"/>
          <w:szCs w:val="24"/>
          <w:rtl/>
        </w:rPr>
        <w:t xml:space="preserve"> </w:t>
      </w:r>
      <w:r w:rsidRPr="005602A4">
        <w:rPr>
          <w:rFonts w:ascii="Century" w:hAnsi="Century" w:cs="Miriam" w:hint="eastAsia"/>
          <w:b/>
          <w:spacing w:val="0"/>
          <w:szCs w:val="24"/>
          <w:rtl/>
        </w:rPr>
        <w:t>העירוני</w:t>
      </w:r>
      <w:r w:rsidRPr="005602A4">
        <w:rPr>
          <w:rFonts w:ascii="Century" w:hAnsi="Century" w:cs="Miriam"/>
          <w:b/>
          <w:spacing w:val="0"/>
          <w:szCs w:val="24"/>
          <w:rtl/>
        </w:rPr>
        <w:t xml:space="preserve"> </w:t>
      </w:r>
      <w:r w:rsidRPr="005602A4">
        <w:rPr>
          <w:rFonts w:ascii="Century" w:hAnsi="Century" w:cs="Miriam" w:hint="eastAsia"/>
          <w:b/>
          <w:spacing w:val="0"/>
          <w:szCs w:val="24"/>
          <w:rtl/>
        </w:rPr>
        <w:t>תל</w:t>
      </w:r>
      <w:r w:rsidRPr="005602A4">
        <w:rPr>
          <w:rFonts w:ascii="Century" w:hAnsi="Century" w:cs="Miriam"/>
          <w:b/>
          <w:spacing w:val="0"/>
          <w:szCs w:val="24"/>
          <w:rtl/>
        </w:rPr>
        <w:t>-</w:t>
      </w:r>
      <w:r w:rsidRPr="005602A4">
        <w:rPr>
          <w:rFonts w:ascii="Century" w:hAnsi="Century" w:cs="Miriam" w:hint="eastAsia"/>
          <w:b/>
          <w:spacing w:val="0"/>
          <w:szCs w:val="24"/>
          <w:rtl/>
        </w:rPr>
        <w:t>אביב</w:t>
      </w:r>
      <w:r w:rsidRPr="005602A4">
        <w:rPr>
          <w:rFonts w:ascii="Century" w:hAnsi="Century"/>
          <w:rtl/>
        </w:rPr>
        <w:t xml:space="preserve">, </w:t>
      </w:r>
      <w:r w:rsidRPr="005602A4">
        <w:rPr>
          <w:rFonts w:ascii="Century" w:hAnsi="Century" w:hint="eastAsia"/>
          <w:rtl/>
        </w:rPr>
        <w:t>פ</w:t>
      </w:r>
      <w:r w:rsidRPr="005602A4">
        <w:rPr>
          <w:rFonts w:ascii="Century" w:hAnsi="Century"/>
          <w:rtl/>
        </w:rPr>
        <w:t>"</w:t>
      </w:r>
      <w:r w:rsidRPr="005602A4">
        <w:rPr>
          <w:rFonts w:ascii="Century" w:hAnsi="Century" w:hint="eastAsia"/>
          <w:rtl/>
        </w:rPr>
        <w:t>ד</w:t>
      </w:r>
      <w:r w:rsidRPr="005602A4">
        <w:rPr>
          <w:rFonts w:ascii="Century" w:hAnsi="Century"/>
          <w:rtl/>
        </w:rPr>
        <w:t xml:space="preserve"> </w:t>
      </w:r>
      <w:r w:rsidRPr="005602A4">
        <w:rPr>
          <w:rFonts w:ascii="Century" w:hAnsi="Century" w:hint="eastAsia"/>
          <w:rtl/>
        </w:rPr>
        <w:t>א</w:t>
      </w:r>
      <w:r w:rsidRPr="005602A4">
        <w:rPr>
          <w:rFonts w:ascii="Century" w:hAnsi="Century"/>
          <w:rtl/>
        </w:rPr>
        <w:t xml:space="preserve"> 85, 90 (1948</w:t>
      </w:r>
      <w:r w:rsidRPr="005602A4">
        <w:rPr>
          <w:rFonts w:ascii="Century" w:hAnsi="Century" w:hint="cs"/>
          <w:rtl/>
        </w:rPr>
        <w:t>)</w:t>
      </w:r>
      <w:r>
        <w:rPr>
          <w:rFonts w:hint="cs"/>
          <w:rtl/>
        </w:rPr>
        <w:t>), איני סבור כי נכון שנקבע כי המקור להגבלת סמכותה המכוננת של הכנסת הוא כמוצע על-ידי חברי.</w:t>
      </w:r>
      <w:r w:rsidRPr="005602A4">
        <w:rPr>
          <w:rFonts w:ascii="Century" w:hAnsi="Century" w:hint="cs"/>
          <w:rtl/>
        </w:rPr>
        <w:t xml:space="preserve"> </w:t>
      </w:r>
      <w:r>
        <w:rPr>
          <w:rFonts w:hint="cs"/>
          <w:rtl/>
        </w:rPr>
        <w:t xml:space="preserve">זאת נאמר, חרף העובדה שגם אני סבור כי יש טעם של ממש ב'פורמליזציה' של המשפט החוקתי בישראל; ומבלי שנעלמה מעיניי הערת חברי, השופט </w:t>
      </w:r>
      <w:r w:rsidRPr="005602A4">
        <w:rPr>
          <w:rFonts w:ascii="Century" w:hAnsi="Century" w:cs="Miriam" w:hint="eastAsia"/>
          <w:b/>
          <w:spacing w:val="0"/>
          <w:sz w:val="22"/>
          <w:szCs w:val="24"/>
          <w:rtl/>
        </w:rPr>
        <w:t>י</w:t>
      </w:r>
      <w:r w:rsidRPr="005602A4">
        <w:rPr>
          <w:rFonts w:ascii="Century" w:hAnsi="Century" w:cs="Miriam"/>
          <w:b/>
          <w:spacing w:val="0"/>
          <w:sz w:val="22"/>
          <w:szCs w:val="24"/>
          <w:rtl/>
        </w:rPr>
        <w:t xml:space="preserve">' </w:t>
      </w:r>
      <w:r w:rsidRPr="005602A4">
        <w:rPr>
          <w:rFonts w:ascii="Century" w:hAnsi="Century" w:cs="Miriam" w:hint="eastAsia"/>
          <w:b/>
          <w:spacing w:val="0"/>
          <w:sz w:val="22"/>
          <w:szCs w:val="24"/>
          <w:rtl/>
        </w:rPr>
        <w:t>אלרון</w:t>
      </w:r>
      <w:r>
        <w:rPr>
          <w:rFonts w:hint="cs"/>
          <w:rtl/>
        </w:rPr>
        <w:t xml:space="preserve">, בפסקה 4 לחוות דעתו, באשר ל'היפוך היוצרות' שחל בפיתוח המשפט החוקתי בישראל על-ידי בית משפט זה </w:t>
      </w:r>
      <w:r>
        <w:rPr>
          <w:rtl/>
        </w:rPr>
        <w:t>–</w:t>
      </w:r>
      <w:r>
        <w:rPr>
          <w:rFonts w:hint="cs"/>
          <w:rtl/>
        </w:rPr>
        <w:t xml:space="preserve"> שלא בטובתו.</w:t>
      </w:r>
    </w:p>
    <w:p w:rsidR="00D61E12" w:rsidRDefault="00D61E12" w:rsidP="00D61E12">
      <w:pPr>
        <w:pStyle w:val="Ruller4"/>
        <w:spacing w:before="240" w:after="240"/>
      </w:pPr>
      <w:r>
        <w:rPr>
          <w:rFonts w:hint="cs"/>
          <w:rtl/>
        </w:rPr>
        <w:t>מנגד, דומה כי מרבית שופטי בית משפט זה סבורים, כפי שכבר נקבע ב</w:t>
      </w:r>
      <w:r>
        <w:rPr>
          <w:rFonts w:ascii="FrankRuehl" w:hAnsi="FrankRuehl" w:hint="cs"/>
          <w:color w:val="000000"/>
          <w:sz w:val="28"/>
          <w:rtl/>
        </w:rPr>
        <w:t xml:space="preserve">בג"ץ 5555/18 </w:t>
      </w:r>
      <w:r w:rsidRPr="00011760">
        <w:rPr>
          <w:rFonts w:ascii="Century" w:hAnsi="Century" w:cs="Miriam" w:hint="eastAsia"/>
          <w:b/>
          <w:spacing w:val="0"/>
          <w:sz w:val="22"/>
          <w:szCs w:val="24"/>
          <w:rtl/>
        </w:rPr>
        <w:t>חסון</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נ</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הכנסת</w:t>
      </w:r>
      <w:r>
        <w:rPr>
          <w:rFonts w:hint="cs"/>
          <w:rtl/>
        </w:rPr>
        <w:t xml:space="preserve"> (08.07.2021) (להלן: </w:t>
      </w:r>
      <w:r w:rsidRPr="00C62690">
        <w:rPr>
          <w:rFonts w:ascii="Century" w:hAnsi="Century" w:cs="Miriam" w:hint="cs"/>
          <w:b/>
          <w:spacing w:val="0"/>
          <w:sz w:val="22"/>
          <w:szCs w:val="24"/>
          <w:rtl/>
        </w:rPr>
        <w:t xml:space="preserve">עניין </w:t>
      </w:r>
      <w:r w:rsidRPr="00C62690">
        <w:rPr>
          <w:rFonts w:ascii="Century" w:hAnsi="Century" w:cs="Miriam" w:hint="eastAsia"/>
          <w:b/>
          <w:spacing w:val="0"/>
          <w:sz w:val="22"/>
          <w:szCs w:val="24"/>
          <w:rtl/>
        </w:rPr>
        <w:t>חסון</w:t>
      </w:r>
      <w:r>
        <w:rPr>
          <w:rFonts w:hint="cs"/>
          <w:rtl/>
        </w:rPr>
        <w:t>) בדעת רוב, כי סמכותה המכוננת של הכנסת בישראל מוגבלת על-ידי עקרונות הנובעים "</w:t>
      </w:r>
      <w:r w:rsidRPr="00A07900">
        <w:rPr>
          <w:rFonts w:ascii="Century" w:hAnsi="Century" w:cs="Miriam"/>
          <w:b/>
          <w:spacing w:val="0"/>
          <w:sz w:val="22"/>
          <w:szCs w:val="24"/>
          <w:rtl/>
        </w:rPr>
        <w:t>מהטקסט החוקתי, ומן המערך החוקתי בכללותו, כפי שהתפתח במהלך שנות קיומה של המדינה</w:t>
      </w:r>
      <w:r>
        <w:rPr>
          <w:rFonts w:hint="cs"/>
          <w:rtl/>
        </w:rPr>
        <w:t xml:space="preserve">" (שם, בפסקה 16 לחוות דעתה של הנשיאה </w:t>
      </w:r>
      <w:r w:rsidRPr="00D65E7D">
        <w:rPr>
          <w:rFonts w:ascii="Century" w:hAnsi="Century" w:cs="Miriam" w:hint="cs"/>
          <w:b/>
          <w:spacing w:val="0"/>
          <w:sz w:val="22"/>
          <w:szCs w:val="24"/>
          <w:rtl/>
        </w:rPr>
        <w:t>א'</w:t>
      </w:r>
      <w:r>
        <w:rPr>
          <w:rFonts w:hint="cs"/>
          <w:rtl/>
        </w:rPr>
        <w:t xml:space="preserve"> </w:t>
      </w:r>
      <w:r>
        <w:rPr>
          <w:rFonts w:ascii="Century" w:hAnsi="Century" w:cs="Miriam" w:hint="cs"/>
          <w:b/>
          <w:spacing w:val="0"/>
          <w:sz w:val="22"/>
          <w:szCs w:val="24"/>
          <w:rtl/>
        </w:rPr>
        <w:t>חיות</w:t>
      </w:r>
      <w:r>
        <w:rPr>
          <w:rFonts w:ascii="Century" w:hAnsi="Century" w:hint="cs"/>
          <w:sz w:val="22"/>
          <w:rtl/>
        </w:rPr>
        <w:t>)</w:t>
      </w:r>
      <w:r>
        <w:rPr>
          <w:rFonts w:hint="cs"/>
          <w:rtl/>
        </w:rPr>
        <w:t xml:space="preserve">. בהתאם לגישה זו, מאפייניה הגרעיניים של מדינת ישראל, </w:t>
      </w:r>
      <w:r w:rsidRPr="008A2DF7">
        <w:rPr>
          <w:rFonts w:hint="cs"/>
          <w:rtl/>
        </w:rPr>
        <w:t>שהכנסת איננה מוסמכת לסטות מהם באופן מהותי</w:t>
      </w:r>
      <w:r>
        <w:rPr>
          <w:rFonts w:hint="cs"/>
          <w:rtl/>
        </w:rPr>
        <w:t xml:space="preserve">, הם היותה של המדינה </w:t>
      </w:r>
      <w:r w:rsidRPr="00A300C6">
        <w:rPr>
          <w:rFonts w:ascii="Century" w:hAnsi="Century" w:cs="Miriam" w:hint="eastAsia"/>
          <w:b/>
          <w:spacing w:val="0"/>
          <w:sz w:val="22"/>
          <w:szCs w:val="24"/>
          <w:rtl/>
        </w:rPr>
        <w:lastRenderedPageBreak/>
        <w:t>יהודית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ודמוקרטית</w:t>
      </w:r>
      <w:r>
        <w:rPr>
          <w:rFonts w:hint="cs"/>
          <w:rtl/>
        </w:rPr>
        <w:t xml:space="preserve">. קרי, עקרונות היסוד הניצבים בבסיס </w:t>
      </w:r>
      <w:r w:rsidRPr="00A300C6">
        <w:rPr>
          <w:rFonts w:ascii="Century" w:hAnsi="Century" w:cs="Miriam" w:hint="eastAsia"/>
          <w:b/>
          <w:spacing w:val="0"/>
          <w:sz w:val="22"/>
          <w:szCs w:val="24"/>
          <w:rtl/>
        </w:rPr>
        <w:t>קיומה</w:t>
      </w:r>
      <w:r w:rsidRPr="00A300C6">
        <w:rPr>
          <w:rFonts w:ascii="Century" w:hAnsi="Century" w:cs="Miriam"/>
          <w:b/>
          <w:spacing w:val="0"/>
          <w:sz w:val="22"/>
          <w:szCs w:val="24"/>
          <w:rtl/>
        </w:rPr>
        <w:t xml:space="preserve"> </w:t>
      </w:r>
      <w:r w:rsidRPr="00A300C6">
        <w:rPr>
          <w:rFonts w:ascii="Century" w:hAnsi="Century" w:hint="eastAsia"/>
          <w:sz w:val="22"/>
          <w:rtl/>
        </w:rPr>
        <w:t>של</w:t>
      </w:r>
      <w:r w:rsidRPr="00A300C6">
        <w:rPr>
          <w:rFonts w:ascii="Century" w:hAnsi="Century"/>
          <w:sz w:val="22"/>
          <w:rtl/>
        </w:rPr>
        <w:t xml:space="preserve"> </w:t>
      </w:r>
      <w:r w:rsidRPr="00A300C6">
        <w:rPr>
          <w:rFonts w:ascii="Century" w:hAnsi="Century" w:hint="eastAsia"/>
          <w:sz w:val="22"/>
          <w:rtl/>
        </w:rPr>
        <w:t>מדינת</w:t>
      </w:r>
      <w:r w:rsidRPr="00A300C6">
        <w:rPr>
          <w:rFonts w:ascii="Century" w:hAnsi="Century"/>
          <w:sz w:val="22"/>
          <w:rtl/>
        </w:rPr>
        <w:t xml:space="preserve"> </w:t>
      </w:r>
      <w:r w:rsidRPr="00A300C6">
        <w:rPr>
          <w:rFonts w:ascii="Century" w:hAnsi="Century" w:hint="eastAsia"/>
          <w:sz w:val="22"/>
          <w:rtl/>
        </w:rPr>
        <w:t>ישראל</w:t>
      </w:r>
      <w:r w:rsidRPr="00A300C6">
        <w:rPr>
          <w:rFonts w:ascii="Century" w:hAnsi="Century"/>
          <w:sz w:val="22"/>
          <w:rtl/>
        </w:rPr>
        <w:t xml:space="preserve"> </w:t>
      </w:r>
      <w:r w:rsidRPr="00A300C6">
        <w:rPr>
          <w:rFonts w:ascii="Century" w:hAnsi="Century" w:hint="eastAsia"/>
          <w:sz w:val="22"/>
          <w:rtl/>
        </w:rPr>
        <w:t>כמדינה</w:t>
      </w:r>
      <w:r w:rsidRPr="00A300C6">
        <w:rPr>
          <w:rFonts w:ascii="Century" w:hAnsi="Century"/>
          <w:sz w:val="22"/>
          <w:rtl/>
        </w:rPr>
        <w:t xml:space="preserve"> </w:t>
      </w:r>
      <w:r w:rsidRPr="00A300C6">
        <w:rPr>
          <w:rFonts w:ascii="Century" w:hAnsi="Century" w:hint="eastAsia"/>
          <w:sz w:val="22"/>
          <w:rtl/>
        </w:rPr>
        <w:t>יהודית</w:t>
      </w:r>
      <w:r w:rsidRPr="00A300C6">
        <w:rPr>
          <w:rFonts w:ascii="Century" w:hAnsi="Century"/>
          <w:sz w:val="22"/>
          <w:rtl/>
        </w:rPr>
        <w:t xml:space="preserve"> </w:t>
      </w:r>
      <w:r w:rsidRPr="00A300C6">
        <w:rPr>
          <w:rFonts w:ascii="Century" w:hAnsi="Century" w:hint="eastAsia"/>
          <w:sz w:val="22"/>
          <w:rtl/>
        </w:rPr>
        <w:t>ודמוקרטית</w:t>
      </w:r>
      <w:r w:rsidRPr="00A300C6">
        <w:rPr>
          <w:rFonts w:ascii="Century" w:hAnsi="Century" w:hint="cs"/>
          <w:sz w:val="22"/>
          <w:rtl/>
        </w:rPr>
        <w:t>,</w:t>
      </w:r>
      <w:r>
        <w:rPr>
          <w:rFonts w:hint="cs"/>
          <w:rtl/>
        </w:rPr>
        <w:t xml:space="preserve"> מגבילים את כוחה של הכנסת, לרבות בעת חקיקת חוקי-יסוד.</w:t>
      </w:r>
    </w:p>
    <w:p w:rsidR="00D61E12" w:rsidRDefault="00D61E12" w:rsidP="00D61E12">
      <w:pPr>
        <w:pStyle w:val="Ruller4"/>
        <w:spacing w:before="240" w:after="240"/>
      </w:pPr>
      <w:r>
        <w:rPr>
          <w:rFonts w:hint="cs"/>
          <w:rtl/>
        </w:rPr>
        <w:t xml:space="preserve">כשלעצמי, דומני כי </w:t>
      </w:r>
      <w:r w:rsidRPr="004105F1">
        <w:rPr>
          <w:rFonts w:hint="cs"/>
          <w:rtl/>
        </w:rPr>
        <w:t>ההמשגה</w:t>
      </w:r>
      <w:r>
        <w:rPr>
          <w:rFonts w:hint="cs"/>
          <w:rtl/>
        </w:rPr>
        <w:t xml:space="preserve"> הטובה ביותר למגבלות המוטלות על הסמכות המכוננת של הכנסת, מצויה בתפיסתו של השופט </w:t>
      </w:r>
      <w:r>
        <w:rPr>
          <w:rFonts w:ascii="Century" w:hAnsi="Century" w:cs="Miriam" w:hint="cs"/>
          <w:b/>
          <w:spacing w:val="0"/>
          <w:sz w:val="22"/>
          <w:szCs w:val="24"/>
          <w:rtl/>
        </w:rPr>
        <w:t>חשין</w:t>
      </w:r>
      <w:r>
        <w:rPr>
          <w:rFonts w:ascii="Century" w:hAnsi="Century" w:hint="cs"/>
          <w:sz w:val="22"/>
          <w:rtl/>
        </w:rPr>
        <w:t xml:space="preserve"> בעניין </w:t>
      </w:r>
      <w:r>
        <w:rPr>
          <w:rFonts w:ascii="Century" w:hAnsi="Century" w:cs="Miriam" w:hint="cs"/>
          <w:b/>
          <w:spacing w:val="0"/>
          <w:sz w:val="22"/>
          <w:szCs w:val="24"/>
          <w:rtl/>
        </w:rPr>
        <w:t>בנק המזרחי</w:t>
      </w:r>
      <w:r>
        <w:rPr>
          <w:rFonts w:ascii="Century" w:hAnsi="Century" w:hint="cs"/>
          <w:sz w:val="22"/>
          <w:rtl/>
        </w:rPr>
        <w:t xml:space="preserve">. </w:t>
      </w:r>
      <w:r>
        <w:rPr>
          <w:rFonts w:hint="cs"/>
          <w:rtl/>
        </w:rPr>
        <w:t xml:space="preserve">באותו עניין, השופט </w:t>
      </w:r>
      <w:r w:rsidRPr="006B5DE2">
        <w:rPr>
          <w:rFonts w:ascii="Century" w:hAnsi="Century" w:cs="Miriam" w:hint="eastAsia"/>
          <w:b/>
          <w:spacing w:val="0"/>
          <w:sz w:val="22"/>
          <w:szCs w:val="24"/>
          <w:rtl/>
        </w:rPr>
        <w:t>חשין</w:t>
      </w:r>
      <w:r w:rsidRPr="00FB2227">
        <w:rPr>
          <w:rFonts w:hint="cs"/>
          <w:rtl/>
        </w:rPr>
        <w:t xml:space="preserve"> </w:t>
      </w:r>
      <w:r>
        <w:rPr>
          <w:rFonts w:hint="cs"/>
          <w:rtl/>
        </w:rPr>
        <w:t xml:space="preserve">ציין כי אף שלשיטתו אין לישראל חוקה פורמלית, </w:t>
      </w:r>
      <w:r w:rsidRPr="006B5DE2">
        <w:rPr>
          <w:rFonts w:ascii="Century" w:hAnsi="Century" w:cs="Miriam" w:hint="eastAsia"/>
          <w:b/>
          <w:spacing w:val="0"/>
          <w:sz w:val="22"/>
          <w:szCs w:val="24"/>
          <w:rtl/>
        </w:rPr>
        <w:t>הכנסת</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אינה</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מוסמכת</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לחוקק</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כל</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חוק</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שהוא</w:t>
      </w:r>
      <w:r>
        <w:rPr>
          <w:rFonts w:hint="cs"/>
          <w:rtl/>
        </w:rPr>
        <w:t xml:space="preserve">. כך למשל, הכנסת אינה רשאית לשנות את מספר חבריה לאלתר או להאריך את כהונתה מעבר לארבע שנים, </w:t>
      </w:r>
      <w:r w:rsidRPr="00295C94">
        <w:rPr>
          <w:rFonts w:ascii="Century" w:hAnsi="Century" w:cs="Miriam" w:hint="cs"/>
          <w:b/>
          <w:spacing w:val="0"/>
          <w:sz w:val="22"/>
          <w:szCs w:val="24"/>
          <w:rtl/>
        </w:rPr>
        <w:t>וזאת</w:t>
      </w:r>
      <w:r w:rsidRPr="00295C94">
        <w:rPr>
          <w:rFonts w:hint="cs"/>
          <w:rtl/>
        </w:rPr>
        <w:t xml:space="preserve"> </w:t>
      </w:r>
      <w:r w:rsidRPr="006B5DE2">
        <w:rPr>
          <w:rFonts w:ascii="Century" w:hAnsi="Century" w:cs="Miriam" w:hint="eastAsia"/>
          <w:b/>
          <w:spacing w:val="0"/>
          <w:sz w:val="22"/>
          <w:szCs w:val="24"/>
          <w:rtl/>
        </w:rPr>
        <w:t>אף</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אם</w:t>
      </w:r>
      <w:r w:rsidRPr="006B5DE2">
        <w:rPr>
          <w:rFonts w:ascii="Century" w:hAnsi="Century" w:cs="Miriam"/>
          <w:b/>
          <w:spacing w:val="0"/>
          <w:sz w:val="22"/>
          <w:szCs w:val="24"/>
          <w:rtl/>
        </w:rPr>
        <w:t xml:space="preserve"> 120 </w:t>
      </w:r>
      <w:r w:rsidRPr="006B5DE2">
        <w:rPr>
          <w:rFonts w:ascii="Century" w:hAnsi="Century" w:cs="Miriam" w:hint="eastAsia"/>
          <w:b/>
          <w:spacing w:val="0"/>
          <w:sz w:val="22"/>
          <w:szCs w:val="24"/>
          <w:rtl/>
        </w:rPr>
        <w:t>חברי</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כנסת</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הצביעו</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על</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חוק</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כזה</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ב</w:t>
      </w:r>
      <w:r w:rsidRPr="006B5DE2">
        <w:rPr>
          <w:rFonts w:ascii="Century" w:hAnsi="Century" w:cs="Miriam"/>
          <w:b/>
          <w:spacing w:val="0"/>
          <w:sz w:val="22"/>
          <w:szCs w:val="24"/>
          <w:rtl/>
        </w:rPr>
        <w:t xml:space="preserve">-3 </w:t>
      </w:r>
      <w:r w:rsidRPr="006B5DE2">
        <w:rPr>
          <w:rFonts w:ascii="Century" w:hAnsi="Century" w:cs="Miriam" w:hint="eastAsia"/>
          <w:b/>
          <w:spacing w:val="0"/>
          <w:sz w:val="22"/>
          <w:szCs w:val="24"/>
          <w:rtl/>
        </w:rPr>
        <w:t>קריאות</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ואף</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אם</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הם</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כינו</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את</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החוק</w:t>
      </w:r>
      <w:r w:rsidRPr="006B5DE2">
        <w:rPr>
          <w:rFonts w:ascii="Century" w:hAnsi="Century" w:cs="Miriam"/>
          <w:b/>
          <w:spacing w:val="0"/>
          <w:sz w:val="22"/>
          <w:szCs w:val="24"/>
          <w:rtl/>
        </w:rPr>
        <w:t xml:space="preserve"> '</w:t>
      </w:r>
      <w:r>
        <w:rPr>
          <w:rFonts w:ascii="Century" w:hAnsi="Century" w:cs="Miriam" w:hint="eastAsia"/>
          <w:b/>
          <w:spacing w:val="0"/>
          <w:sz w:val="22"/>
          <w:szCs w:val="24"/>
          <w:rtl/>
        </w:rPr>
        <w:t>חוק-יסוד</w:t>
      </w:r>
      <w:r w:rsidRPr="006B5DE2">
        <w:rPr>
          <w:rFonts w:ascii="Century" w:hAnsi="Century" w:cs="Miriam"/>
          <w:b/>
          <w:spacing w:val="0"/>
          <w:sz w:val="22"/>
          <w:szCs w:val="24"/>
          <w:rtl/>
        </w:rPr>
        <w:t>'</w:t>
      </w:r>
      <w:r w:rsidRPr="00295C94">
        <w:rPr>
          <w:rFonts w:ascii="Century" w:hAnsi="Century" w:hint="cs"/>
          <w:sz w:val="22"/>
          <w:rtl/>
        </w:rPr>
        <w:t xml:space="preserve"> (שם, בעמודים 545-544).</w:t>
      </w:r>
      <w:r w:rsidRPr="00295C94">
        <w:rPr>
          <w:rFonts w:hint="cs"/>
          <w:rtl/>
        </w:rPr>
        <w:t xml:space="preserve"> </w:t>
      </w:r>
      <w:r>
        <w:rPr>
          <w:rFonts w:hint="cs"/>
          <w:rtl/>
        </w:rPr>
        <w:t xml:space="preserve">חוק כזה יהא בטל ומבוטל כאילו לא היה. הבסיס לתפיסה זו הוא </w:t>
      </w:r>
      <w:r w:rsidRPr="006B5DE2">
        <w:rPr>
          <w:rFonts w:ascii="Century" w:hAnsi="Century" w:cs="Miriam" w:hint="eastAsia"/>
          <w:b/>
          <w:spacing w:val="0"/>
          <w:sz w:val="22"/>
          <w:szCs w:val="24"/>
          <w:rtl/>
        </w:rPr>
        <w:t>שהעם</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מעולם</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לא</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הסמיך</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את</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הכנסת</w:t>
      </w:r>
      <w:r w:rsidRPr="00FB2227">
        <w:rPr>
          <w:rFonts w:hint="cs"/>
          <w:rtl/>
        </w:rPr>
        <w:t xml:space="preserve"> </w:t>
      </w:r>
      <w:r>
        <w:rPr>
          <w:rFonts w:hint="cs"/>
          <w:rtl/>
        </w:rPr>
        <w:t xml:space="preserve">לכך. ולכן, מדובר בחוק שנחקק על-ידי הכנסת </w:t>
      </w:r>
      <w:r w:rsidRPr="006B5DE2">
        <w:rPr>
          <w:rFonts w:ascii="Century" w:hAnsi="Century" w:hint="eastAsia"/>
          <w:sz w:val="22"/>
          <w:rtl/>
        </w:rPr>
        <w:t>בחוסר</w:t>
      </w:r>
      <w:r w:rsidRPr="006B5DE2">
        <w:rPr>
          <w:rFonts w:ascii="Century" w:hAnsi="Century"/>
          <w:sz w:val="22"/>
          <w:rtl/>
        </w:rPr>
        <w:t xml:space="preserve"> </w:t>
      </w:r>
      <w:r w:rsidRPr="006B5DE2">
        <w:rPr>
          <w:rFonts w:ascii="Century" w:hAnsi="Century" w:hint="eastAsia"/>
          <w:sz w:val="22"/>
          <w:rtl/>
        </w:rPr>
        <w:t>סמכות</w:t>
      </w:r>
      <w:r w:rsidRPr="004105F1">
        <w:rPr>
          <w:rFonts w:hint="cs"/>
          <w:rtl/>
        </w:rPr>
        <w:t xml:space="preserve">. לדידי, </w:t>
      </w:r>
      <w:r>
        <w:rPr>
          <w:rFonts w:hint="cs"/>
          <w:rtl/>
        </w:rPr>
        <w:t>תפיסה זו מבטאת את חובתה של הכנסת להישמע ל</w:t>
      </w:r>
      <w:r w:rsidRPr="00A300C6">
        <w:rPr>
          <w:rFonts w:hint="eastAsia"/>
          <w:rtl/>
        </w:rPr>
        <w:t>מקור</w:t>
      </w:r>
      <w:r w:rsidRPr="00A300C6">
        <w:rPr>
          <w:rtl/>
        </w:rPr>
        <w:t xml:space="preserve"> </w:t>
      </w:r>
      <w:r w:rsidRPr="00A300C6">
        <w:rPr>
          <w:rFonts w:hint="eastAsia"/>
          <w:rtl/>
        </w:rPr>
        <w:t>סמכות</w:t>
      </w:r>
      <w:r>
        <w:rPr>
          <w:rFonts w:hint="cs"/>
          <w:rtl/>
        </w:rPr>
        <w:t>ה</w:t>
      </w:r>
      <w:r w:rsidRPr="00A300C6">
        <w:rPr>
          <w:rtl/>
        </w:rPr>
        <w:t xml:space="preserve"> </w:t>
      </w:r>
      <w:r>
        <w:rPr>
          <w:rFonts w:hint="cs"/>
          <w:rtl/>
        </w:rPr>
        <w:t xml:space="preserve">הבסיסי ביותר </w:t>
      </w:r>
      <w:r>
        <w:rPr>
          <w:rtl/>
        </w:rPr>
        <w:t>–</w:t>
      </w:r>
      <w:r>
        <w:rPr>
          <w:rFonts w:hint="cs"/>
          <w:rtl/>
        </w:rPr>
        <w:t xml:space="preserve"> הלא הוא</w:t>
      </w:r>
      <w:r w:rsidRPr="00F24D86">
        <w:rPr>
          <w:rtl/>
        </w:rPr>
        <w:t xml:space="preserve"> </w:t>
      </w:r>
      <w:r w:rsidRPr="004105F1">
        <w:rPr>
          <w:rFonts w:ascii="Century" w:hAnsi="Century" w:cs="Miriam"/>
          <w:b/>
          <w:spacing w:val="0"/>
          <w:sz w:val="22"/>
          <w:szCs w:val="24"/>
          <w:rtl/>
        </w:rPr>
        <w:t>העם</w:t>
      </w:r>
      <w:r>
        <w:rPr>
          <w:rFonts w:hint="cs"/>
          <w:rtl/>
        </w:rPr>
        <w:t xml:space="preserve">, אשר לא הסמיך את הכנסת לפעול באופן ששולל את זהותה של המדינה כמדינה דמוקרטית. לעניין זה, ראו האמור בפסק דינו של השופט </w:t>
      </w:r>
      <w:r>
        <w:rPr>
          <w:rFonts w:ascii="Century" w:hAnsi="Century" w:cs="Miriam" w:hint="cs"/>
          <w:b/>
          <w:spacing w:val="0"/>
          <w:sz w:val="22"/>
          <w:szCs w:val="24"/>
          <w:rtl/>
        </w:rPr>
        <w:t xml:space="preserve">חשין </w:t>
      </w:r>
      <w:r w:rsidRPr="00017064">
        <w:rPr>
          <w:rtl/>
        </w:rPr>
        <w:t xml:space="preserve">ע"א 733/95 </w:t>
      </w:r>
      <w:r w:rsidRPr="00017064">
        <w:rPr>
          <w:rFonts w:ascii="Century" w:hAnsi="Century" w:cs="Miriam"/>
          <w:b/>
          <w:spacing w:val="0"/>
          <w:sz w:val="22"/>
          <w:szCs w:val="24"/>
          <w:rtl/>
        </w:rPr>
        <w:t>ארפל אלומיניום בע"מ נ' קליל תעשיות בע"מ</w:t>
      </w:r>
      <w:r w:rsidRPr="00017064">
        <w:rPr>
          <w:rtl/>
        </w:rPr>
        <w:t xml:space="preserve">, פ''ד נא(3) </w:t>
      </w:r>
      <w:r w:rsidRPr="00017064">
        <w:rPr>
          <w:rFonts w:ascii="Century" w:hAnsi="Century"/>
          <w:sz w:val="22"/>
          <w:rtl/>
        </w:rPr>
        <w:t xml:space="preserve">577, </w:t>
      </w:r>
      <w:r w:rsidRPr="00017064">
        <w:rPr>
          <w:rFonts w:ascii="Century" w:hAnsi="Century" w:hint="cs"/>
          <w:sz w:val="22"/>
          <w:rtl/>
        </w:rPr>
        <w:t xml:space="preserve">629 </w:t>
      </w:r>
      <w:r w:rsidRPr="00017064">
        <w:rPr>
          <w:rFonts w:ascii="Century" w:hAnsi="Century"/>
          <w:sz w:val="22"/>
          <w:rtl/>
        </w:rPr>
        <w:t>(1997)</w:t>
      </w:r>
      <w:r>
        <w:rPr>
          <w:rFonts w:ascii="Century" w:hAnsi="Century" w:hint="cs"/>
          <w:sz w:val="22"/>
          <w:rtl/>
        </w:rPr>
        <w:t xml:space="preserve"> (להלן: </w:t>
      </w:r>
      <w:r w:rsidRPr="00F66D10">
        <w:rPr>
          <w:rFonts w:ascii="Century" w:hAnsi="Century" w:cs="Miriam" w:hint="cs"/>
          <w:b/>
          <w:spacing w:val="0"/>
          <w:sz w:val="22"/>
          <w:szCs w:val="24"/>
          <w:rtl/>
        </w:rPr>
        <w:t>עניין ארפל</w:t>
      </w:r>
      <w:r>
        <w:rPr>
          <w:rFonts w:ascii="Century" w:hAnsi="Century" w:hint="cs"/>
          <w:sz w:val="22"/>
          <w:rtl/>
        </w:rPr>
        <w:t>): "</w:t>
      </w:r>
      <w:r w:rsidRPr="00F66D10">
        <w:rPr>
          <w:rFonts w:ascii="Century" w:hAnsi="Century" w:cs="Miriam" w:hint="cs"/>
          <w:b/>
          <w:spacing w:val="0"/>
          <w:sz w:val="22"/>
          <w:szCs w:val="24"/>
          <w:shd w:val="clear" w:color="auto" w:fill="FFFFFF"/>
          <w:rtl/>
        </w:rPr>
        <w:t xml:space="preserve">[...] </w:t>
      </w:r>
      <w:r w:rsidRPr="00F66D10">
        <w:rPr>
          <w:rFonts w:ascii="Century" w:hAnsi="Century" w:cs="Miriam"/>
          <w:b/>
          <w:spacing w:val="0"/>
          <w:sz w:val="22"/>
          <w:szCs w:val="24"/>
          <w:shd w:val="clear" w:color="auto" w:fill="FFFFFF"/>
          <w:rtl/>
        </w:rPr>
        <w:t>ואולם גם חוקי</w:t>
      </w:r>
      <w:r w:rsidRPr="00F66D10">
        <w:rPr>
          <w:rFonts w:ascii="Century" w:hAnsi="Century" w:cs="Miriam"/>
          <w:b/>
          <w:spacing w:val="0"/>
          <w:sz w:val="22"/>
          <w:szCs w:val="24"/>
          <w:shd w:val="clear" w:color="auto" w:fill="FFFFFF"/>
        </w:rPr>
        <w:t>-</w:t>
      </w:r>
      <w:r w:rsidRPr="00F66D10">
        <w:rPr>
          <w:rFonts w:ascii="Century" w:hAnsi="Century" w:cs="Miriam"/>
          <w:b/>
          <w:spacing w:val="0"/>
          <w:sz w:val="22"/>
          <w:szCs w:val="24"/>
          <w:shd w:val="clear" w:color="auto" w:fill="FFFFFF"/>
          <w:rtl/>
        </w:rPr>
        <w:t>היסוד אינם בפסגת הפירמידה, שמא נאמר: בתשתית</w:t>
      </w:r>
      <w:r w:rsidRPr="00F66D10">
        <w:rPr>
          <w:rFonts w:ascii="Century" w:hAnsi="Century" w:cs="Miriam"/>
          <w:b/>
          <w:spacing w:val="0"/>
          <w:sz w:val="22"/>
          <w:szCs w:val="24"/>
          <w:shd w:val="clear" w:color="auto" w:fill="FFFFFF"/>
        </w:rPr>
        <w:t>-</w:t>
      </w:r>
      <w:r w:rsidRPr="00F66D10">
        <w:rPr>
          <w:rFonts w:ascii="Century" w:hAnsi="Century" w:cs="Miriam"/>
          <w:b/>
          <w:spacing w:val="0"/>
          <w:sz w:val="22"/>
          <w:szCs w:val="24"/>
          <w:shd w:val="clear" w:color="auto" w:fill="FFFFFF"/>
          <w:rtl/>
        </w:rPr>
        <w:t>התשתיות. נעלים עליהם עקרונות</w:t>
      </w:r>
      <w:r w:rsidRPr="00F66D10">
        <w:rPr>
          <w:rFonts w:ascii="Century" w:hAnsi="Century" w:cs="Miriam"/>
          <w:b/>
          <w:spacing w:val="0"/>
          <w:sz w:val="22"/>
          <w:szCs w:val="24"/>
          <w:shd w:val="clear" w:color="auto" w:fill="FFFFFF"/>
        </w:rPr>
        <w:t>-</w:t>
      </w:r>
      <w:r w:rsidRPr="00F66D10">
        <w:rPr>
          <w:rFonts w:ascii="Century" w:hAnsi="Century" w:cs="Miriam"/>
          <w:b/>
          <w:spacing w:val="0"/>
          <w:sz w:val="22"/>
          <w:szCs w:val="24"/>
          <w:shd w:val="clear" w:color="auto" w:fill="FFFFFF"/>
          <w:rtl/>
        </w:rPr>
        <w:t>יסוד בחיינו, עקרונות שאף חוקי</w:t>
      </w:r>
      <w:r w:rsidRPr="00F66D10">
        <w:rPr>
          <w:rFonts w:ascii="Century" w:hAnsi="Century" w:cs="Miriam"/>
          <w:b/>
          <w:spacing w:val="0"/>
          <w:sz w:val="22"/>
          <w:szCs w:val="24"/>
          <w:shd w:val="clear" w:color="auto" w:fill="FFFFFF"/>
        </w:rPr>
        <w:t>-</w:t>
      </w:r>
      <w:r w:rsidRPr="00F66D10">
        <w:rPr>
          <w:rFonts w:ascii="Century" w:hAnsi="Century" w:cs="Miriam"/>
          <w:b/>
          <w:spacing w:val="0"/>
          <w:sz w:val="22"/>
          <w:szCs w:val="24"/>
          <w:shd w:val="clear" w:color="auto" w:fill="FFFFFF"/>
          <w:rtl/>
        </w:rPr>
        <w:t>היסוד יונקים מהם את חיותם. עקרונות אלה הם עיקרים במשפט הטבע ועיקרים בתורת הדמוקרטיה היהודית. אלה הם ה</w:t>
      </w:r>
      <w:r w:rsidRPr="00F66D10">
        <w:rPr>
          <w:rFonts w:ascii="Century" w:hAnsi="Century" w:cs="Miriam" w:hint="cs"/>
          <w:b/>
          <w:spacing w:val="0"/>
          <w:sz w:val="22"/>
          <w:szCs w:val="24"/>
          <w:shd w:val="clear" w:color="auto" w:fill="FFFFFF"/>
          <w:rtl/>
        </w:rPr>
        <w:t>'</w:t>
      </w:r>
      <w:r w:rsidRPr="00F66D10">
        <w:rPr>
          <w:rFonts w:ascii="Century" w:hAnsi="Century" w:cs="Miriam"/>
          <w:b/>
          <w:spacing w:val="0"/>
          <w:sz w:val="22"/>
          <w:szCs w:val="24"/>
          <w:shd w:val="clear" w:color="auto" w:fill="FFFFFF"/>
          <w:rtl/>
        </w:rPr>
        <w:t>גבוה מעל גבוה שומר</w:t>
      </w:r>
      <w:r w:rsidRPr="00F66D10">
        <w:rPr>
          <w:rFonts w:ascii="Century" w:hAnsi="Century" w:cs="Miriam" w:hint="cs"/>
          <w:b/>
          <w:spacing w:val="0"/>
          <w:sz w:val="22"/>
          <w:szCs w:val="24"/>
          <w:shd w:val="clear" w:color="auto" w:fill="FFFFFF"/>
          <w:rtl/>
        </w:rPr>
        <w:t>'</w:t>
      </w:r>
      <w:r w:rsidRPr="00F66D10">
        <w:rPr>
          <w:rFonts w:ascii="Century" w:hAnsi="Century" w:cs="Miriam"/>
          <w:b/>
          <w:spacing w:val="0"/>
          <w:sz w:val="22"/>
          <w:szCs w:val="24"/>
          <w:shd w:val="clear" w:color="auto" w:fill="FFFFFF"/>
          <w:rtl/>
        </w:rPr>
        <w:t>. אלה הם הגנים היוצרים את חיינו</w:t>
      </w:r>
      <w:r>
        <w:rPr>
          <w:rFonts w:hint="cs"/>
          <w:rtl/>
        </w:rPr>
        <w:t>".</w:t>
      </w:r>
    </w:p>
    <w:p w:rsidR="00D61E12" w:rsidRDefault="00D61E12" w:rsidP="00D61E12">
      <w:pPr>
        <w:pStyle w:val="Ruller4"/>
        <w:spacing w:before="240" w:after="240"/>
        <w:rPr>
          <w:rtl/>
        </w:rPr>
      </w:pPr>
      <w:r>
        <w:rPr>
          <w:rFonts w:hint="cs"/>
          <w:rtl/>
        </w:rPr>
        <w:t>מהאמור נובע כי מקובלת עליי טענת משיבי הממשלה שלפיה העם בישראל הוא הריבון, והוא זה שרשאי לקבוע את גבולות הסמכות של כל רשות מרשויות המדינה. כך בפרט, כאשר לא קיימת חוקה פורמלית המגבילה את הריבון-העם משינוי חוקי היסוד. ברם, בשונה ממשיבי הממשלה, אינני סבור כי הטלת מגבלה על הכנסת משמעה, בהכרח, הטלת הגבלה על רצון העם. שכן, כמוסבר לעיל, לעתים דווקא הגבלת הרשות המחוקקת היא זו ששומרת על העם מפני פעולות של הרשות המחוקקת אשר מתבצעות בניגוד להסמכה שניתנה לה.</w:t>
      </w:r>
    </w:p>
    <w:p w:rsidR="00D61E12" w:rsidRPr="00353212" w:rsidRDefault="00D61E12" w:rsidP="00D61E12">
      <w:pPr>
        <w:pStyle w:val="Ruller41"/>
        <w:spacing w:before="240" w:after="240"/>
      </w:pPr>
      <w:r>
        <w:rPr>
          <w:rtl/>
        </w:rPr>
        <w:tab/>
      </w:r>
      <w:r>
        <w:rPr>
          <w:rFonts w:hint="cs"/>
          <w:rtl/>
        </w:rPr>
        <w:t xml:space="preserve">ישאל השואל </w:t>
      </w:r>
      <w:r>
        <w:rPr>
          <w:rtl/>
        </w:rPr>
        <w:t>–</w:t>
      </w:r>
      <w:r>
        <w:rPr>
          <w:rFonts w:hint="cs"/>
          <w:rtl/>
        </w:rPr>
        <w:t xml:space="preserve"> כיצד נוכל לדעת מהן גבולות ההסמכה שהעם הציב לכנסת. הרי גבולות אלו אינם משורטטים בדבר חקיקה או בחוקה כתובה שניתנה ואושררה על-ידי העם; ומנין לנו כי הגבלת נציגיו של הריבון לא תביא להגבלה של רצון העם, בניסיון להגן עליו? מדובר בשאלה קשה, שיורדת לשורש היחסים המורכבים שבין שלוש הרשויות, ואעשה כמיטב יכולתי להשיב על כך בהמשך. בשלב זה, די בכך שאציין, כי אף בהיעדר חוקה כתובה, נדרשת הגנה, ולו בסיסית ביותר, על העם מפני נציגיו.</w:t>
      </w:r>
    </w:p>
    <w:p w:rsidR="00D61E12" w:rsidRDefault="00D61E12" w:rsidP="00D61E12">
      <w:pPr>
        <w:pStyle w:val="Ruller4"/>
        <w:spacing w:before="240" w:after="240"/>
      </w:pPr>
      <w:r>
        <w:rPr>
          <w:rFonts w:hint="cs"/>
          <w:rtl/>
        </w:rPr>
        <w:lastRenderedPageBreak/>
        <w:t xml:space="preserve">למעשה, כבר בעניין </w:t>
      </w:r>
      <w:r w:rsidRPr="00011760">
        <w:rPr>
          <w:rFonts w:ascii="Century" w:hAnsi="Century" w:cs="Miriam" w:hint="eastAsia"/>
          <w:b/>
          <w:spacing w:val="0"/>
          <w:sz w:val="22"/>
          <w:szCs w:val="24"/>
          <w:rtl/>
        </w:rPr>
        <w:t>בנק</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המזרחי</w:t>
      </w:r>
      <w:r>
        <w:rPr>
          <w:rFonts w:hint="cs"/>
          <w:rtl/>
        </w:rPr>
        <w:t xml:space="preserve">, ולאמיתו של דבר עוד קודם לכן, התעוררה שאלת גבולות סמכותה של הכנסת, גם כרשות מכוננת. בצייני דברים אלו, איני מתעלם מעמדת הכנסת ומשיבי הממשלה, לפיה אם חוקי היסוד הם מקור הסמכות לביקורת השיפוטית על חקיקה ראשית 'רגילה', הרי שהעברת ביקורת שיפוטית על חוקים אלה היא בבחינת כריתת הענף עליו יושבת הביקורת השיפוטית על חקיקה רגילה מאז עניין </w:t>
      </w:r>
      <w:r>
        <w:rPr>
          <w:rFonts w:ascii="Century" w:hAnsi="Century" w:cs="Miriam" w:hint="cs"/>
          <w:b/>
          <w:spacing w:val="0"/>
          <w:sz w:val="22"/>
          <w:szCs w:val="24"/>
          <w:rtl/>
        </w:rPr>
        <w:t>בנק המזרחי</w:t>
      </w:r>
      <w:r>
        <w:rPr>
          <w:rFonts w:ascii="Century" w:hAnsi="Century" w:hint="cs"/>
          <w:sz w:val="22"/>
          <w:rtl/>
        </w:rPr>
        <w:t xml:space="preserve">. כידוע, עמדה דומה הביע אף חברי, השופט </w:t>
      </w:r>
      <w:r w:rsidRPr="00011760">
        <w:rPr>
          <w:rFonts w:ascii="Century" w:hAnsi="Century" w:cs="Miriam" w:hint="eastAsia"/>
          <w:b/>
          <w:spacing w:val="0"/>
          <w:sz w:val="22"/>
          <w:szCs w:val="24"/>
          <w:rtl/>
        </w:rPr>
        <w:t>ד</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מינץ</w:t>
      </w:r>
      <w:r>
        <w:rPr>
          <w:rFonts w:ascii="Century" w:hAnsi="Century" w:hint="cs"/>
          <w:sz w:val="22"/>
          <w:rtl/>
        </w:rPr>
        <w:t xml:space="preserve">, </w:t>
      </w:r>
      <w:r>
        <w:rPr>
          <w:rFonts w:ascii="FrankRuehl" w:hAnsi="FrankRuehl"/>
          <w:color w:val="000000"/>
          <w:sz w:val="28"/>
          <w:rtl/>
        </w:rPr>
        <w:t>בבג"ץ 5969/20 </w:t>
      </w:r>
      <w:r w:rsidRPr="00011760">
        <w:rPr>
          <w:rFonts w:ascii="Century" w:hAnsi="Century" w:cs="Miriam"/>
          <w:b/>
          <w:spacing w:val="0"/>
          <w:sz w:val="22"/>
          <w:szCs w:val="24"/>
          <w:rtl/>
        </w:rPr>
        <w:t>שפיר נ' הכנסת</w:t>
      </w:r>
      <w:r>
        <w:rPr>
          <w:rFonts w:ascii="FrankRuehl" w:hAnsi="FrankRuehl" w:hint="cs"/>
          <w:color w:val="000000"/>
          <w:sz w:val="28"/>
          <w:rtl/>
        </w:rPr>
        <w:t xml:space="preserve">, </w:t>
      </w:r>
      <w:r>
        <w:rPr>
          <w:rFonts w:ascii="FrankRuehl" w:hAnsi="FrankRuehl"/>
          <w:color w:val="000000"/>
          <w:sz w:val="28"/>
          <w:rtl/>
        </w:rPr>
        <w:t>פסקה 8</w:t>
      </w:r>
      <w:r>
        <w:rPr>
          <w:rFonts w:ascii="FrankRuehl" w:hAnsi="FrankRuehl" w:hint="cs"/>
          <w:color w:val="000000"/>
          <w:sz w:val="28"/>
          <w:rtl/>
        </w:rPr>
        <w:t xml:space="preserve"> לחוות דעתו </w:t>
      </w:r>
      <w:r>
        <w:rPr>
          <w:rFonts w:ascii="FrankRuehl" w:hAnsi="FrankRuehl"/>
          <w:color w:val="000000"/>
          <w:sz w:val="28"/>
        </w:rPr>
        <w:t>23.5.2021)</w:t>
      </w:r>
      <w:r>
        <w:rPr>
          <w:rFonts w:ascii="FrankRuehl" w:hAnsi="FrankRuehl" w:hint="cs"/>
          <w:color w:val="000000"/>
          <w:sz w:val="28"/>
          <w:rtl/>
        </w:rPr>
        <w:t xml:space="preserve">) (להלן: </w:t>
      </w:r>
      <w:r>
        <w:rPr>
          <w:rFonts w:ascii="Century" w:hAnsi="Century" w:cs="Miriam" w:hint="cs"/>
          <w:b/>
          <w:spacing w:val="0"/>
          <w:sz w:val="22"/>
          <w:szCs w:val="24"/>
          <w:rtl/>
        </w:rPr>
        <w:t>עניין שפיר</w:t>
      </w:r>
      <w:r>
        <w:rPr>
          <w:rFonts w:ascii="Century" w:hAnsi="Century" w:hint="cs"/>
          <w:sz w:val="22"/>
          <w:rtl/>
        </w:rPr>
        <w:t>)</w:t>
      </w:r>
      <w:r>
        <w:rPr>
          <w:rFonts w:ascii="FrankRuehl" w:hAnsi="FrankRuehl" w:hint="cs"/>
          <w:color w:val="000000"/>
          <w:sz w:val="28"/>
          <w:rtl/>
        </w:rPr>
        <w:t xml:space="preserve">; בעניין </w:t>
      </w:r>
      <w:r w:rsidRPr="00011760">
        <w:rPr>
          <w:rFonts w:ascii="Century" w:hAnsi="Century" w:cs="Miriam" w:hint="eastAsia"/>
          <w:b/>
          <w:spacing w:val="0"/>
          <w:sz w:val="22"/>
          <w:szCs w:val="24"/>
          <w:rtl/>
        </w:rPr>
        <w:t>חסון</w:t>
      </w:r>
      <w:r>
        <w:rPr>
          <w:rFonts w:ascii="FrankRuehl" w:hAnsi="FrankRuehl" w:hint="cs"/>
          <w:color w:val="000000"/>
          <w:sz w:val="28"/>
          <w:rtl/>
        </w:rPr>
        <w:t xml:space="preserve">, פסקה </w:t>
      </w:r>
      <w:r>
        <w:rPr>
          <w:rFonts w:hint="cs"/>
          <w:rtl/>
        </w:rPr>
        <w:t xml:space="preserve">2 לחוות דעתו; ובבג"ץ 2905/20 </w:t>
      </w:r>
      <w:r w:rsidRPr="00011760">
        <w:rPr>
          <w:rFonts w:ascii="Century" w:hAnsi="Century" w:cs="Miriam" w:hint="eastAsia"/>
          <w:b/>
          <w:spacing w:val="0"/>
          <w:sz w:val="22"/>
          <w:szCs w:val="24"/>
          <w:rtl/>
        </w:rPr>
        <w:t>התנועה</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למען</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איכות</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השלטון</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נ</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כנסת</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ישראל</w:t>
      </w:r>
      <w:r w:rsidRPr="003357FE">
        <w:rPr>
          <w:rtl/>
        </w:rPr>
        <w:t xml:space="preserve"> </w:t>
      </w:r>
      <w:r>
        <w:rPr>
          <w:rFonts w:hint="cs"/>
          <w:rtl/>
        </w:rPr>
        <w:t>(12.07.2021)</w:t>
      </w:r>
      <w:r w:rsidRPr="00131C9F">
        <w:rPr>
          <w:rFonts w:hint="cs"/>
          <w:rtl/>
        </w:rPr>
        <w:t xml:space="preserve"> </w:t>
      </w:r>
      <w:r>
        <w:rPr>
          <w:rFonts w:hint="cs"/>
          <w:rtl/>
        </w:rPr>
        <w:t xml:space="preserve">(להלן: </w:t>
      </w:r>
      <w:r w:rsidRPr="00131C9F">
        <w:rPr>
          <w:rFonts w:ascii="Century" w:hAnsi="Century" w:cs="Miriam" w:hint="cs"/>
          <w:b/>
          <w:spacing w:val="0"/>
          <w:sz w:val="22"/>
          <w:szCs w:val="24"/>
          <w:rtl/>
        </w:rPr>
        <w:t>עניין ממשלת החילופים</w:t>
      </w:r>
      <w:r>
        <w:rPr>
          <w:rFonts w:hint="cs"/>
          <w:rtl/>
        </w:rPr>
        <w:t>), במסגרתו ציין חברי, כך:</w:t>
      </w:r>
    </w:p>
    <w:p w:rsidR="00D61E12" w:rsidRDefault="00D61E12" w:rsidP="00D61E12">
      <w:pPr>
        <w:pStyle w:val="Ruller5"/>
        <w:spacing w:before="240" w:after="240"/>
      </w:pPr>
      <w:r>
        <w:rPr>
          <w:rFonts w:hint="cs"/>
          <w:rtl/>
        </w:rPr>
        <w:t>"</w:t>
      </w:r>
      <w:r w:rsidRPr="00131C9F">
        <w:rPr>
          <w:rtl/>
        </w:rPr>
        <w:t xml:space="preserve">משהועמדה סמכותה של הרשות המכוננת לכונן </w:t>
      </w:r>
      <w:r w:rsidRPr="00131C9F">
        <w:rPr>
          <w:rFonts w:hint="cs"/>
          <w:rtl/>
        </w:rPr>
        <w:t>'</w:t>
      </w:r>
      <w:r w:rsidRPr="00131C9F">
        <w:rPr>
          <w:rtl/>
        </w:rPr>
        <w:t>חוקה</w:t>
      </w:r>
      <w:r w:rsidRPr="00131C9F">
        <w:rPr>
          <w:rFonts w:hint="cs"/>
          <w:rtl/>
        </w:rPr>
        <w:t>'</w:t>
      </w:r>
      <w:r w:rsidRPr="00131C9F">
        <w:rPr>
          <w:rtl/>
        </w:rPr>
        <w:t xml:space="preserve">, על פניו מבלי לקבוע מסמרות בעניין, אין כל לגיטימציה לכך שבית משפט זה ייטול לעצמו את המושכות להכרה בביקורת שיפוטית שיש בה כדי להתגבר על אותה </w:t>
      </w:r>
      <w:r w:rsidRPr="00131C9F">
        <w:rPr>
          <w:rFonts w:hint="cs"/>
          <w:rtl/>
        </w:rPr>
        <w:t>'</w:t>
      </w:r>
      <w:r w:rsidRPr="00131C9F">
        <w:rPr>
          <w:rtl/>
        </w:rPr>
        <w:t>חוקה</w:t>
      </w:r>
      <w:r w:rsidRPr="00131C9F">
        <w:rPr>
          <w:rFonts w:hint="cs"/>
          <w:rtl/>
        </w:rPr>
        <w:t>'</w:t>
      </w:r>
      <w:r w:rsidRPr="00131C9F">
        <w:rPr>
          <w:rtl/>
        </w:rPr>
        <w:t>. לא ניתן לאחוז בחבל משני קצותי</w:t>
      </w:r>
      <w:r w:rsidRPr="00131C9F">
        <w:rPr>
          <w:rFonts w:hint="eastAsia"/>
          <w:rtl/>
        </w:rPr>
        <w:t>ו</w:t>
      </w:r>
      <w:r w:rsidRPr="00131C9F">
        <w:rPr>
          <w:rFonts w:ascii="FrankRuehl" w:hAnsi="FrankRuehl" w:hint="cs"/>
          <w:color w:val="000000"/>
          <w:sz w:val="28"/>
          <w:rtl/>
        </w:rPr>
        <w:t xml:space="preserve">" </w:t>
      </w:r>
      <w:r>
        <w:rPr>
          <w:rFonts w:hint="cs"/>
          <w:rtl/>
        </w:rPr>
        <w:t>(שם, בפסקה 9).</w:t>
      </w:r>
    </w:p>
    <w:p w:rsidR="00D61E12" w:rsidRPr="00011760" w:rsidRDefault="00D61E12" w:rsidP="00D61E12">
      <w:pPr>
        <w:pStyle w:val="Ruller4"/>
        <w:numPr>
          <w:ilvl w:val="0"/>
          <w:numId w:val="0"/>
        </w:numPr>
        <w:spacing w:before="240" w:after="240"/>
        <w:rPr>
          <w:rtl/>
        </w:rPr>
      </w:pPr>
      <w:r>
        <w:rPr>
          <w:rtl/>
        </w:rPr>
        <w:tab/>
      </w:r>
      <w:r>
        <w:rPr>
          <w:rFonts w:hint="cs"/>
          <w:rtl/>
        </w:rPr>
        <w:t xml:space="preserve">מדובר בביקורת של </w:t>
      </w:r>
      <w:r w:rsidRPr="00413B68">
        <w:rPr>
          <w:rFonts w:hint="cs"/>
          <w:rtl/>
        </w:rPr>
        <w:t xml:space="preserve">ממש, בייחוד </w:t>
      </w:r>
      <w:r w:rsidRPr="00011760">
        <w:rPr>
          <w:rFonts w:hint="eastAsia"/>
          <w:rtl/>
        </w:rPr>
        <w:t>תחת</w:t>
      </w:r>
      <w:r w:rsidRPr="00011760">
        <w:rPr>
          <w:rtl/>
        </w:rPr>
        <w:t xml:space="preserve"> </w:t>
      </w:r>
      <w:r w:rsidRPr="00011760">
        <w:rPr>
          <w:rFonts w:hint="eastAsia"/>
          <w:rtl/>
        </w:rPr>
        <w:t>משטר</w:t>
      </w:r>
      <w:r w:rsidRPr="00011760">
        <w:rPr>
          <w:rtl/>
        </w:rPr>
        <w:t xml:space="preserve"> </w:t>
      </w:r>
      <w:r w:rsidRPr="00011760">
        <w:rPr>
          <w:rFonts w:hint="eastAsia"/>
          <w:rtl/>
        </w:rPr>
        <w:t>משפטי</w:t>
      </w:r>
      <w:r w:rsidRPr="00011760">
        <w:rPr>
          <w:rtl/>
        </w:rPr>
        <w:t xml:space="preserve"> </w:t>
      </w:r>
      <w:r w:rsidRPr="00011760">
        <w:rPr>
          <w:rFonts w:hint="eastAsia"/>
          <w:rtl/>
        </w:rPr>
        <w:t>שמעניק</w:t>
      </w:r>
      <w:r w:rsidRPr="00011760">
        <w:rPr>
          <w:rtl/>
        </w:rPr>
        <w:t xml:space="preserve"> </w:t>
      </w:r>
      <w:r w:rsidRPr="00011760">
        <w:rPr>
          <w:rFonts w:hint="eastAsia"/>
          <w:rtl/>
        </w:rPr>
        <w:t>את</w:t>
      </w:r>
      <w:r w:rsidRPr="00011760">
        <w:rPr>
          <w:rtl/>
        </w:rPr>
        <w:t xml:space="preserve"> </w:t>
      </w:r>
      <w:r w:rsidRPr="00011760">
        <w:rPr>
          <w:rFonts w:hint="eastAsia"/>
          <w:rtl/>
        </w:rPr>
        <w:t>הבכורה</w:t>
      </w:r>
      <w:r w:rsidRPr="00011760">
        <w:rPr>
          <w:rtl/>
        </w:rPr>
        <w:t xml:space="preserve"> </w:t>
      </w:r>
      <w:r w:rsidRPr="00011760">
        <w:rPr>
          <w:rFonts w:hint="eastAsia"/>
          <w:rtl/>
        </w:rPr>
        <w:t>ל</w:t>
      </w:r>
      <w:r w:rsidRPr="00011760">
        <w:rPr>
          <w:rtl/>
        </w:rPr>
        <w:t>'</w:t>
      </w:r>
      <w:r w:rsidRPr="00011760">
        <w:rPr>
          <w:rFonts w:hint="eastAsia"/>
          <w:rtl/>
        </w:rPr>
        <w:t>תיאוריית</w:t>
      </w:r>
      <w:r w:rsidRPr="00011760">
        <w:rPr>
          <w:rtl/>
        </w:rPr>
        <w:t xml:space="preserve"> </w:t>
      </w:r>
      <w:r w:rsidRPr="00011760">
        <w:rPr>
          <w:rFonts w:hint="eastAsia"/>
          <w:rtl/>
        </w:rPr>
        <w:t>שני</w:t>
      </w:r>
      <w:r w:rsidRPr="00011760">
        <w:rPr>
          <w:rtl/>
        </w:rPr>
        <w:t xml:space="preserve"> </w:t>
      </w:r>
      <w:r w:rsidRPr="00011760">
        <w:rPr>
          <w:rFonts w:hint="eastAsia"/>
          <w:rtl/>
        </w:rPr>
        <w:t>הכובעים</w:t>
      </w:r>
      <w:r w:rsidRPr="00011760">
        <w:rPr>
          <w:rtl/>
        </w:rPr>
        <w:t>'</w:t>
      </w:r>
      <w:r w:rsidRPr="00413B68">
        <w:rPr>
          <w:rFonts w:hint="cs"/>
          <w:rtl/>
        </w:rPr>
        <w:t>,</w:t>
      </w:r>
      <w:r w:rsidRPr="007317F2">
        <w:rPr>
          <w:rtl/>
        </w:rPr>
        <w:t xml:space="preserve"> </w:t>
      </w:r>
      <w:r w:rsidRPr="007317F2">
        <w:rPr>
          <w:rFonts w:hint="eastAsia"/>
          <w:rtl/>
        </w:rPr>
        <w:t>לפיה</w:t>
      </w:r>
      <w:r w:rsidRPr="007317F2">
        <w:rPr>
          <w:rtl/>
        </w:rPr>
        <w:t xml:space="preserve"> </w:t>
      </w:r>
      <w:r w:rsidRPr="007317F2">
        <w:rPr>
          <w:rFonts w:hint="eastAsia"/>
          <w:rtl/>
        </w:rPr>
        <w:t>המגבלות</w:t>
      </w:r>
      <w:r w:rsidRPr="007317F2">
        <w:rPr>
          <w:rtl/>
        </w:rPr>
        <w:t xml:space="preserve"> </w:t>
      </w:r>
      <w:r w:rsidRPr="007317F2">
        <w:rPr>
          <w:rFonts w:hint="eastAsia"/>
          <w:rtl/>
        </w:rPr>
        <w:t>על</w:t>
      </w:r>
      <w:r w:rsidRPr="007317F2">
        <w:rPr>
          <w:rtl/>
        </w:rPr>
        <w:t xml:space="preserve"> </w:t>
      </w:r>
      <w:r w:rsidRPr="007317F2">
        <w:rPr>
          <w:rFonts w:hint="eastAsia"/>
          <w:rtl/>
        </w:rPr>
        <w:t>חקיקה</w:t>
      </w:r>
      <w:r w:rsidRPr="007317F2">
        <w:rPr>
          <w:rtl/>
        </w:rPr>
        <w:t xml:space="preserve"> </w:t>
      </w:r>
      <w:r w:rsidRPr="007317F2">
        <w:rPr>
          <w:rFonts w:hint="eastAsia"/>
          <w:rtl/>
        </w:rPr>
        <w:t>רגילה</w:t>
      </w:r>
      <w:r w:rsidRPr="007317F2">
        <w:rPr>
          <w:rtl/>
        </w:rPr>
        <w:t xml:space="preserve"> </w:t>
      </w:r>
      <w:r w:rsidRPr="007317F2">
        <w:rPr>
          <w:rFonts w:hint="eastAsia"/>
          <w:rtl/>
        </w:rPr>
        <w:t>של</w:t>
      </w:r>
      <w:r w:rsidRPr="007317F2">
        <w:rPr>
          <w:rtl/>
        </w:rPr>
        <w:t xml:space="preserve"> </w:t>
      </w:r>
      <w:r w:rsidRPr="007317F2">
        <w:rPr>
          <w:rFonts w:hint="eastAsia"/>
          <w:rtl/>
        </w:rPr>
        <w:t>הכנסת</w:t>
      </w:r>
      <w:r w:rsidRPr="007317F2">
        <w:rPr>
          <w:rtl/>
        </w:rPr>
        <w:t xml:space="preserve"> </w:t>
      </w:r>
      <w:r w:rsidRPr="007317F2">
        <w:rPr>
          <w:rFonts w:hint="eastAsia"/>
          <w:rtl/>
        </w:rPr>
        <w:t>הוטלו</w:t>
      </w:r>
      <w:r w:rsidRPr="007317F2">
        <w:rPr>
          <w:rtl/>
        </w:rPr>
        <w:t xml:space="preserve"> </w:t>
      </w:r>
      <w:r w:rsidRPr="007317F2">
        <w:rPr>
          <w:rFonts w:hint="eastAsia"/>
          <w:rtl/>
        </w:rPr>
        <w:t>עליה</w:t>
      </w:r>
      <w:r w:rsidRPr="007317F2">
        <w:rPr>
          <w:rtl/>
        </w:rPr>
        <w:t xml:space="preserve"> </w:t>
      </w:r>
      <w:r>
        <w:rPr>
          <w:rFonts w:hint="cs"/>
          <w:rtl/>
        </w:rPr>
        <w:t xml:space="preserve">רק </w:t>
      </w:r>
      <w:r w:rsidRPr="007317F2">
        <w:rPr>
          <w:rFonts w:hint="eastAsia"/>
          <w:rtl/>
        </w:rPr>
        <w:t>מכוח</w:t>
      </w:r>
      <w:r w:rsidRPr="007317F2">
        <w:rPr>
          <w:rtl/>
        </w:rPr>
        <w:t xml:space="preserve"> </w:t>
      </w:r>
      <w:r w:rsidRPr="007317F2">
        <w:rPr>
          <w:rFonts w:hint="eastAsia"/>
          <w:rtl/>
        </w:rPr>
        <w:t>הכובע</w:t>
      </w:r>
      <w:r w:rsidRPr="007317F2">
        <w:rPr>
          <w:rtl/>
        </w:rPr>
        <w:t xml:space="preserve"> </w:t>
      </w:r>
      <w:r w:rsidRPr="007317F2">
        <w:rPr>
          <w:rFonts w:hint="eastAsia"/>
          <w:rtl/>
        </w:rPr>
        <w:t>המכונן</w:t>
      </w:r>
      <w:r w:rsidRPr="007317F2">
        <w:rPr>
          <w:rtl/>
        </w:rPr>
        <w:t xml:space="preserve"> </w:t>
      </w:r>
      <w:r w:rsidRPr="007317F2">
        <w:rPr>
          <w:rFonts w:hint="eastAsia"/>
          <w:rtl/>
        </w:rPr>
        <w:t>של</w:t>
      </w:r>
      <w:r w:rsidRPr="007317F2">
        <w:rPr>
          <w:rtl/>
        </w:rPr>
        <w:t xml:space="preserve"> </w:t>
      </w:r>
      <w:r w:rsidRPr="007317F2">
        <w:rPr>
          <w:rFonts w:hint="eastAsia"/>
          <w:rtl/>
        </w:rPr>
        <w:t>הכנסת</w:t>
      </w:r>
      <w:r w:rsidRPr="007317F2">
        <w:rPr>
          <w:rtl/>
        </w:rPr>
        <w:t xml:space="preserve">. </w:t>
      </w:r>
      <w:r w:rsidRPr="007317F2">
        <w:rPr>
          <w:rFonts w:hint="eastAsia"/>
          <w:rtl/>
        </w:rPr>
        <w:t>אולם</w:t>
      </w:r>
      <w:r w:rsidRPr="007317F2">
        <w:rPr>
          <w:rtl/>
        </w:rPr>
        <w:t xml:space="preserve">, </w:t>
      </w:r>
      <w:r>
        <w:rPr>
          <w:rFonts w:hint="cs"/>
          <w:rtl/>
        </w:rPr>
        <w:t>סבורני</w:t>
      </w:r>
      <w:r w:rsidRPr="007317F2">
        <w:rPr>
          <w:rtl/>
        </w:rPr>
        <w:t xml:space="preserve">, </w:t>
      </w:r>
      <w:r>
        <w:rPr>
          <w:rFonts w:hint="cs"/>
          <w:rtl/>
        </w:rPr>
        <w:t xml:space="preserve">כי </w:t>
      </w:r>
      <w:r w:rsidRPr="007317F2">
        <w:rPr>
          <w:rFonts w:hint="eastAsia"/>
          <w:rtl/>
        </w:rPr>
        <w:t>כאשר</w:t>
      </w:r>
      <w:r w:rsidRPr="007317F2">
        <w:rPr>
          <w:rtl/>
        </w:rPr>
        <w:t xml:space="preserve"> </w:t>
      </w:r>
      <w:r w:rsidRPr="007317F2">
        <w:rPr>
          <w:rFonts w:hint="eastAsia"/>
          <w:rtl/>
        </w:rPr>
        <w:t>עסקינן</w:t>
      </w:r>
      <w:r w:rsidRPr="007317F2">
        <w:rPr>
          <w:rtl/>
        </w:rPr>
        <w:t xml:space="preserve"> </w:t>
      </w:r>
      <w:r w:rsidRPr="007317F2">
        <w:rPr>
          <w:rFonts w:hint="eastAsia"/>
          <w:rtl/>
        </w:rPr>
        <w:t>במגבלות</w:t>
      </w:r>
      <w:r w:rsidRPr="007317F2">
        <w:rPr>
          <w:rtl/>
        </w:rPr>
        <w:t xml:space="preserve"> </w:t>
      </w:r>
      <w:r w:rsidRPr="007317F2">
        <w:rPr>
          <w:rFonts w:hint="eastAsia"/>
          <w:rtl/>
        </w:rPr>
        <w:t>המוטלות</w:t>
      </w:r>
      <w:r w:rsidRPr="007317F2">
        <w:rPr>
          <w:rtl/>
        </w:rPr>
        <w:t xml:space="preserve"> </w:t>
      </w:r>
      <w:r w:rsidRPr="007317F2">
        <w:rPr>
          <w:rFonts w:hint="eastAsia"/>
          <w:rtl/>
        </w:rPr>
        <w:t>על</w:t>
      </w:r>
      <w:r w:rsidRPr="007317F2">
        <w:rPr>
          <w:rtl/>
        </w:rPr>
        <w:t xml:space="preserve"> </w:t>
      </w:r>
      <w:r w:rsidRPr="007317F2">
        <w:rPr>
          <w:rFonts w:hint="eastAsia"/>
          <w:rtl/>
        </w:rPr>
        <w:t>הסמכות</w:t>
      </w:r>
      <w:r w:rsidRPr="007317F2">
        <w:rPr>
          <w:rtl/>
        </w:rPr>
        <w:t xml:space="preserve"> </w:t>
      </w:r>
      <w:r w:rsidRPr="007317F2">
        <w:rPr>
          <w:rFonts w:hint="eastAsia"/>
          <w:rtl/>
        </w:rPr>
        <w:t>המכוננת</w:t>
      </w:r>
      <w:r w:rsidRPr="007317F2">
        <w:rPr>
          <w:rtl/>
        </w:rPr>
        <w:t xml:space="preserve">, </w:t>
      </w:r>
      <w:r w:rsidRPr="007317F2">
        <w:rPr>
          <w:rFonts w:hint="eastAsia"/>
          <w:rtl/>
        </w:rPr>
        <w:t>אין</w:t>
      </w:r>
      <w:r w:rsidRPr="007317F2">
        <w:rPr>
          <w:rtl/>
        </w:rPr>
        <w:t xml:space="preserve"> </w:t>
      </w:r>
      <w:r w:rsidRPr="007317F2">
        <w:rPr>
          <w:rFonts w:hint="eastAsia"/>
          <w:rtl/>
        </w:rPr>
        <w:t>מדובר</w:t>
      </w:r>
      <w:r w:rsidRPr="007317F2">
        <w:rPr>
          <w:rtl/>
        </w:rPr>
        <w:t xml:space="preserve"> </w:t>
      </w:r>
      <w:r w:rsidRPr="007317F2">
        <w:rPr>
          <w:rFonts w:hint="eastAsia"/>
          <w:rtl/>
        </w:rPr>
        <w:t>ב</w:t>
      </w:r>
      <w:r w:rsidRPr="007317F2">
        <w:rPr>
          <w:rtl/>
        </w:rPr>
        <w:t>'</w:t>
      </w:r>
      <w:r w:rsidRPr="007317F2">
        <w:rPr>
          <w:rFonts w:hint="eastAsia"/>
          <w:rtl/>
        </w:rPr>
        <w:t>התגברות</w:t>
      </w:r>
      <w:r w:rsidRPr="007317F2">
        <w:rPr>
          <w:rtl/>
        </w:rPr>
        <w:t xml:space="preserve">' </w:t>
      </w:r>
      <w:r w:rsidRPr="007317F2">
        <w:rPr>
          <w:rFonts w:hint="eastAsia"/>
          <w:rtl/>
        </w:rPr>
        <w:t>על</w:t>
      </w:r>
      <w:r w:rsidRPr="007317F2">
        <w:rPr>
          <w:rtl/>
        </w:rPr>
        <w:t xml:space="preserve"> </w:t>
      </w:r>
      <w:r w:rsidRPr="007317F2">
        <w:rPr>
          <w:rFonts w:hint="eastAsia"/>
          <w:rtl/>
        </w:rPr>
        <w:t>ה</w:t>
      </w:r>
      <w:r w:rsidRPr="007317F2">
        <w:rPr>
          <w:rtl/>
        </w:rPr>
        <w:t>'</w:t>
      </w:r>
      <w:r w:rsidRPr="007317F2">
        <w:rPr>
          <w:rFonts w:hint="eastAsia"/>
          <w:rtl/>
        </w:rPr>
        <w:t>חוקה</w:t>
      </w:r>
      <w:r w:rsidRPr="007317F2">
        <w:rPr>
          <w:rtl/>
        </w:rPr>
        <w:t xml:space="preserve">', </w:t>
      </w:r>
      <w:r w:rsidRPr="007317F2">
        <w:rPr>
          <w:rFonts w:hint="eastAsia"/>
          <w:rtl/>
        </w:rPr>
        <w:t>אלא</w:t>
      </w:r>
      <w:r w:rsidRPr="007317F2">
        <w:rPr>
          <w:rtl/>
        </w:rPr>
        <w:t xml:space="preserve"> </w:t>
      </w:r>
      <w:r>
        <w:rPr>
          <w:rFonts w:hint="cs"/>
          <w:rtl/>
        </w:rPr>
        <w:t>ב</w:t>
      </w:r>
      <w:r w:rsidRPr="007317F2">
        <w:rPr>
          <w:rFonts w:hint="eastAsia"/>
          <w:rtl/>
        </w:rPr>
        <w:t>קביעה</w:t>
      </w:r>
      <w:r w:rsidRPr="007317F2">
        <w:rPr>
          <w:rtl/>
        </w:rPr>
        <w:t xml:space="preserve"> </w:t>
      </w:r>
      <w:r w:rsidRPr="007317F2">
        <w:rPr>
          <w:rFonts w:hint="eastAsia"/>
          <w:rtl/>
        </w:rPr>
        <w:t>כי</w:t>
      </w:r>
      <w:r w:rsidRPr="007317F2">
        <w:rPr>
          <w:rtl/>
        </w:rPr>
        <w:t xml:space="preserve"> </w:t>
      </w:r>
      <w:r w:rsidRPr="007317F2">
        <w:rPr>
          <w:rFonts w:hint="eastAsia"/>
          <w:rtl/>
        </w:rPr>
        <w:t>חוק</w:t>
      </w:r>
      <w:r>
        <w:rPr>
          <w:rFonts w:hint="cs"/>
          <w:rtl/>
        </w:rPr>
        <w:t>-</w:t>
      </w:r>
      <w:r w:rsidRPr="007317F2">
        <w:rPr>
          <w:rFonts w:hint="eastAsia"/>
          <w:rtl/>
        </w:rPr>
        <w:t>היסוד</w:t>
      </w:r>
      <w:r w:rsidRPr="007317F2">
        <w:rPr>
          <w:rtl/>
        </w:rPr>
        <w:t xml:space="preserve"> </w:t>
      </w:r>
      <w:r w:rsidRPr="007317F2">
        <w:rPr>
          <w:rFonts w:hint="eastAsia"/>
          <w:rtl/>
        </w:rPr>
        <w:t>האמור</w:t>
      </w:r>
      <w:r w:rsidRPr="007317F2">
        <w:rPr>
          <w:rtl/>
        </w:rPr>
        <w:t xml:space="preserve"> </w:t>
      </w:r>
      <w:r w:rsidRPr="007317F2">
        <w:rPr>
          <w:rFonts w:hint="eastAsia"/>
          <w:rtl/>
        </w:rPr>
        <w:t>חוקק</w:t>
      </w:r>
      <w:r w:rsidRPr="007317F2">
        <w:rPr>
          <w:rtl/>
        </w:rPr>
        <w:t xml:space="preserve"> </w:t>
      </w:r>
      <w:r w:rsidRPr="007317F2">
        <w:rPr>
          <w:rFonts w:hint="eastAsia"/>
          <w:rtl/>
        </w:rPr>
        <w:t>או</w:t>
      </w:r>
      <w:r w:rsidRPr="007317F2">
        <w:rPr>
          <w:rtl/>
        </w:rPr>
        <w:t xml:space="preserve"> </w:t>
      </w:r>
      <w:r w:rsidRPr="007317F2">
        <w:rPr>
          <w:rFonts w:hint="eastAsia"/>
          <w:rtl/>
        </w:rPr>
        <w:t>תוקן</w:t>
      </w:r>
      <w:r w:rsidRPr="007317F2">
        <w:rPr>
          <w:rtl/>
        </w:rPr>
        <w:t xml:space="preserve"> </w:t>
      </w:r>
      <w:r w:rsidRPr="007317F2">
        <w:rPr>
          <w:rFonts w:hint="eastAsia"/>
          <w:rtl/>
        </w:rPr>
        <w:t>בחריגה</w:t>
      </w:r>
      <w:r w:rsidRPr="007317F2">
        <w:rPr>
          <w:rtl/>
        </w:rPr>
        <w:t xml:space="preserve"> </w:t>
      </w:r>
      <w:r w:rsidRPr="007317F2">
        <w:rPr>
          <w:rFonts w:hint="eastAsia"/>
          <w:rtl/>
        </w:rPr>
        <w:t>מסמכות</w:t>
      </w:r>
      <w:r w:rsidRPr="007317F2">
        <w:rPr>
          <w:rtl/>
        </w:rPr>
        <w:t xml:space="preserve">. </w:t>
      </w:r>
      <w:r w:rsidRPr="007317F2">
        <w:rPr>
          <w:rFonts w:hint="eastAsia"/>
          <w:rtl/>
        </w:rPr>
        <w:t>דהיינו</w:t>
      </w:r>
      <w:r w:rsidRPr="007317F2">
        <w:rPr>
          <w:rtl/>
        </w:rPr>
        <w:t xml:space="preserve">, </w:t>
      </w:r>
      <w:r>
        <w:rPr>
          <w:rFonts w:hint="cs"/>
          <w:rtl/>
        </w:rPr>
        <w:t xml:space="preserve">כי </w:t>
      </w:r>
      <w:r w:rsidRPr="007317F2">
        <w:rPr>
          <w:rFonts w:hint="eastAsia"/>
          <w:rtl/>
        </w:rPr>
        <w:t>מעולם</w:t>
      </w:r>
      <w:r w:rsidRPr="007317F2">
        <w:rPr>
          <w:rtl/>
        </w:rPr>
        <w:t xml:space="preserve"> </w:t>
      </w:r>
      <w:r w:rsidRPr="007317F2">
        <w:rPr>
          <w:rFonts w:hint="eastAsia"/>
          <w:rtl/>
        </w:rPr>
        <w:t>לא</w:t>
      </w:r>
      <w:r w:rsidRPr="007317F2">
        <w:rPr>
          <w:rtl/>
        </w:rPr>
        <w:t xml:space="preserve"> </w:t>
      </w:r>
      <w:r w:rsidRPr="007317F2">
        <w:rPr>
          <w:rFonts w:hint="eastAsia"/>
          <w:rtl/>
        </w:rPr>
        <w:t>הייתה</w:t>
      </w:r>
      <w:r w:rsidRPr="007317F2">
        <w:rPr>
          <w:rtl/>
        </w:rPr>
        <w:t xml:space="preserve"> </w:t>
      </w:r>
      <w:r w:rsidRPr="007317F2">
        <w:rPr>
          <w:rFonts w:hint="eastAsia"/>
          <w:rtl/>
        </w:rPr>
        <w:t>לכנסת</w:t>
      </w:r>
      <w:r w:rsidRPr="007317F2">
        <w:rPr>
          <w:rtl/>
        </w:rPr>
        <w:t xml:space="preserve"> </w:t>
      </w:r>
      <w:r w:rsidRPr="007317F2">
        <w:rPr>
          <w:rFonts w:hint="eastAsia"/>
          <w:rtl/>
        </w:rPr>
        <w:t>סמכות</w:t>
      </w:r>
      <w:r w:rsidRPr="007317F2">
        <w:rPr>
          <w:rtl/>
        </w:rPr>
        <w:t xml:space="preserve"> </w:t>
      </w:r>
      <w:r w:rsidRPr="007317F2">
        <w:rPr>
          <w:rFonts w:hint="eastAsia"/>
          <w:rtl/>
        </w:rPr>
        <w:t>לעשות</w:t>
      </w:r>
      <w:r w:rsidRPr="007317F2">
        <w:rPr>
          <w:rtl/>
        </w:rPr>
        <w:t xml:space="preserve"> </w:t>
      </w:r>
      <w:r w:rsidRPr="007317F2">
        <w:rPr>
          <w:rFonts w:hint="eastAsia"/>
          <w:rtl/>
        </w:rPr>
        <w:t>כן</w:t>
      </w:r>
      <w:r w:rsidRPr="007317F2">
        <w:rPr>
          <w:rtl/>
        </w:rPr>
        <w:t xml:space="preserve">. </w:t>
      </w:r>
      <w:r>
        <w:rPr>
          <w:rFonts w:hint="cs"/>
          <w:rtl/>
        </w:rPr>
        <w:t xml:space="preserve">המגבלות על </w:t>
      </w:r>
      <w:r w:rsidRPr="007317F2">
        <w:rPr>
          <w:rFonts w:hint="eastAsia"/>
          <w:rtl/>
        </w:rPr>
        <w:t>סמכותה</w:t>
      </w:r>
      <w:r w:rsidRPr="007317F2">
        <w:rPr>
          <w:rtl/>
        </w:rPr>
        <w:t xml:space="preserve"> </w:t>
      </w:r>
      <w:r>
        <w:rPr>
          <w:rFonts w:hint="cs"/>
          <w:rtl/>
        </w:rPr>
        <w:t xml:space="preserve">המכוננת </w:t>
      </w:r>
      <w:r w:rsidRPr="007317F2">
        <w:rPr>
          <w:rFonts w:hint="eastAsia"/>
          <w:rtl/>
        </w:rPr>
        <w:t>של</w:t>
      </w:r>
      <w:r w:rsidRPr="007317F2">
        <w:rPr>
          <w:rtl/>
        </w:rPr>
        <w:t xml:space="preserve"> </w:t>
      </w:r>
      <w:r w:rsidRPr="007317F2">
        <w:rPr>
          <w:rFonts w:hint="eastAsia"/>
          <w:rtl/>
        </w:rPr>
        <w:t>הכנסת</w:t>
      </w:r>
      <w:r w:rsidRPr="007317F2">
        <w:rPr>
          <w:rtl/>
        </w:rPr>
        <w:t xml:space="preserve"> </w:t>
      </w:r>
      <w:r>
        <w:rPr>
          <w:rFonts w:hint="cs"/>
          <w:rtl/>
        </w:rPr>
        <w:t xml:space="preserve">אינן </w:t>
      </w:r>
      <w:r w:rsidRPr="007317F2">
        <w:rPr>
          <w:rFonts w:hint="eastAsia"/>
          <w:rtl/>
        </w:rPr>
        <w:t>נובע</w:t>
      </w:r>
      <w:r>
        <w:rPr>
          <w:rFonts w:hint="cs"/>
          <w:rtl/>
        </w:rPr>
        <w:t>ו</w:t>
      </w:r>
      <w:r w:rsidRPr="007317F2">
        <w:rPr>
          <w:rFonts w:hint="eastAsia"/>
          <w:rtl/>
        </w:rPr>
        <w:t>ת</w:t>
      </w:r>
      <w:r w:rsidRPr="007317F2">
        <w:rPr>
          <w:rtl/>
        </w:rPr>
        <w:t xml:space="preserve"> </w:t>
      </w:r>
      <w:r>
        <w:rPr>
          <w:rFonts w:hint="cs"/>
          <w:rtl/>
        </w:rPr>
        <w:t xml:space="preserve">אפוא </w:t>
      </w:r>
      <w:r w:rsidRPr="007317F2">
        <w:rPr>
          <w:rFonts w:hint="eastAsia"/>
          <w:rtl/>
        </w:rPr>
        <w:t>מ</w:t>
      </w:r>
      <w:r w:rsidRPr="007317F2">
        <w:rPr>
          <w:rtl/>
        </w:rPr>
        <w:t>'</w:t>
      </w:r>
      <w:r w:rsidRPr="007317F2">
        <w:rPr>
          <w:rFonts w:hint="eastAsia"/>
          <w:rtl/>
        </w:rPr>
        <w:t>כובע</w:t>
      </w:r>
      <w:r w:rsidRPr="007317F2">
        <w:rPr>
          <w:rtl/>
        </w:rPr>
        <w:t xml:space="preserve">' </w:t>
      </w:r>
      <w:r w:rsidRPr="007317F2">
        <w:rPr>
          <w:rFonts w:hint="eastAsia"/>
          <w:rtl/>
        </w:rPr>
        <w:t>כזה</w:t>
      </w:r>
      <w:r w:rsidRPr="007317F2">
        <w:rPr>
          <w:rtl/>
        </w:rPr>
        <w:t xml:space="preserve"> </w:t>
      </w:r>
      <w:r w:rsidRPr="007317F2">
        <w:rPr>
          <w:rFonts w:hint="eastAsia"/>
          <w:rtl/>
        </w:rPr>
        <w:t>או</w:t>
      </w:r>
      <w:r w:rsidRPr="007317F2">
        <w:rPr>
          <w:rtl/>
        </w:rPr>
        <w:t xml:space="preserve"> </w:t>
      </w:r>
      <w:r w:rsidRPr="007317F2">
        <w:rPr>
          <w:rFonts w:hint="eastAsia"/>
          <w:rtl/>
        </w:rPr>
        <w:t>אחר</w:t>
      </w:r>
      <w:r w:rsidRPr="007317F2">
        <w:rPr>
          <w:rtl/>
        </w:rPr>
        <w:t xml:space="preserve">, </w:t>
      </w:r>
      <w:r w:rsidRPr="007317F2">
        <w:rPr>
          <w:rFonts w:hint="eastAsia"/>
          <w:rtl/>
        </w:rPr>
        <w:t>אלא</w:t>
      </w:r>
      <w:r w:rsidRPr="007317F2">
        <w:rPr>
          <w:rtl/>
        </w:rPr>
        <w:t xml:space="preserve"> </w:t>
      </w:r>
      <w:r w:rsidRPr="007317F2">
        <w:rPr>
          <w:rFonts w:hint="eastAsia"/>
          <w:rtl/>
        </w:rPr>
        <w:t>מ</w:t>
      </w:r>
      <w:r>
        <w:rPr>
          <w:rFonts w:hint="cs"/>
          <w:rtl/>
        </w:rPr>
        <w:t>כך ש</w:t>
      </w:r>
      <w:r w:rsidRPr="007317F2">
        <w:rPr>
          <w:rFonts w:hint="eastAsia"/>
          <w:rtl/>
        </w:rPr>
        <w:t>העם</w:t>
      </w:r>
      <w:r w:rsidRPr="007317F2">
        <w:rPr>
          <w:rtl/>
        </w:rPr>
        <w:t>-</w:t>
      </w:r>
      <w:r w:rsidRPr="007317F2">
        <w:rPr>
          <w:rFonts w:hint="eastAsia"/>
          <w:rtl/>
        </w:rPr>
        <w:t>הריבון</w:t>
      </w:r>
      <w:r w:rsidRPr="007317F2">
        <w:rPr>
          <w:rtl/>
        </w:rPr>
        <w:t xml:space="preserve"> </w:t>
      </w:r>
      <w:r w:rsidRPr="007317F2">
        <w:rPr>
          <w:rFonts w:hint="eastAsia"/>
          <w:rtl/>
        </w:rPr>
        <w:t>הסמיך</w:t>
      </w:r>
      <w:r w:rsidRPr="007317F2">
        <w:rPr>
          <w:rtl/>
        </w:rPr>
        <w:t xml:space="preserve"> </w:t>
      </w:r>
      <w:r w:rsidRPr="007317F2">
        <w:rPr>
          <w:rFonts w:hint="eastAsia"/>
          <w:rtl/>
        </w:rPr>
        <w:t>אותה</w:t>
      </w:r>
      <w:r w:rsidRPr="007317F2">
        <w:rPr>
          <w:rtl/>
        </w:rPr>
        <w:t xml:space="preserve"> </w:t>
      </w:r>
      <w:r w:rsidRPr="007317F2">
        <w:rPr>
          <w:rFonts w:hint="eastAsia"/>
          <w:rtl/>
        </w:rPr>
        <w:t>לבצע</w:t>
      </w:r>
      <w:r w:rsidRPr="007317F2">
        <w:rPr>
          <w:rtl/>
        </w:rPr>
        <w:t xml:space="preserve"> </w:t>
      </w:r>
      <w:r>
        <w:rPr>
          <w:rFonts w:hint="cs"/>
          <w:rtl/>
        </w:rPr>
        <w:t xml:space="preserve">עבורו </w:t>
      </w:r>
      <w:r w:rsidRPr="007317F2">
        <w:rPr>
          <w:rFonts w:hint="eastAsia"/>
          <w:rtl/>
        </w:rPr>
        <w:t>תפקיד</w:t>
      </w:r>
      <w:r>
        <w:rPr>
          <w:rFonts w:hint="cs"/>
          <w:rtl/>
        </w:rPr>
        <w:t xml:space="preserve"> מסוים</w:t>
      </w:r>
      <w:r w:rsidRPr="007317F2">
        <w:rPr>
          <w:rtl/>
        </w:rPr>
        <w:t xml:space="preserve">, </w:t>
      </w:r>
      <w:r w:rsidRPr="007317F2">
        <w:rPr>
          <w:rFonts w:hint="eastAsia"/>
          <w:rtl/>
        </w:rPr>
        <w:t>ולא</w:t>
      </w:r>
      <w:r w:rsidRPr="007317F2">
        <w:rPr>
          <w:rtl/>
        </w:rPr>
        <w:t xml:space="preserve"> </w:t>
      </w:r>
      <w:r w:rsidRPr="007317F2">
        <w:rPr>
          <w:rFonts w:hint="eastAsia"/>
          <w:rtl/>
        </w:rPr>
        <w:t>הסמיך</w:t>
      </w:r>
      <w:r w:rsidRPr="007317F2">
        <w:rPr>
          <w:rtl/>
        </w:rPr>
        <w:t xml:space="preserve"> </w:t>
      </w:r>
      <w:r w:rsidRPr="007317F2">
        <w:rPr>
          <w:rFonts w:hint="eastAsia"/>
          <w:rtl/>
        </w:rPr>
        <w:t>אותה</w:t>
      </w:r>
      <w:r w:rsidRPr="007317F2">
        <w:rPr>
          <w:rtl/>
        </w:rPr>
        <w:t xml:space="preserve"> </w:t>
      </w:r>
      <w:r w:rsidRPr="007317F2">
        <w:rPr>
          <w:rFonts w:hint="eastAsia"/>
          <w:rtl/>
        </w:rPr>
        <w:t>להיות</w:t>
      </w:r>
      <w:r w:rsidRPr="007317F2">
        <w:rPr>
          <w:rtl/>
        </w:rPr>
        <w:t xml:space="preserve"> </w:t>
      </w:r>
      <w:r w:rsidRPr="007317F2">
        <w:rPr>
          <w:rFonts w:hint="eastAsia"/>
          <w:rtl/>
        </w:rPr>
        <w:t>כל</w:t>
      </w:r>
      <w:r w:rsidRPr="007317F2">
        <w:rPr>
          <w:rtl/>
        </w:rPr>
        <w:t>-</w:t>
      </w:r>
      <w:r w:rsidRPr="007317F2">
        <w:rPr>
          <w:rFonts w:hint="eastAsia"/>
          <w:rtl/>
        </w:rPr>
        <w:t>יכולה</w:t>
      </w:r>
      <w:r w:rsidRPr="007317F2">
        <w:rPr>
          <w:rtl/>
        </w:rPr>
        <w:t>.</w:t>
      </w:r>
    </w:p>
    <w:p w:rsidR="00D61E12" w:rsidRPr="00B65627" w:rsidRDefault="00D61E12" w:rsidP="00D61E12">
      <w:pPr>
        <w:pStyle w:val="Ruller4"/>
        <w:spacing w:before="240" w:after="240"/>
        <w:rPr>
          <w:rtl/>
        </w:rPr>
      </w:pPr>
      <w:r>
        <w:rPr>
          <w:rFonts w:hint="cs"/>
          <w:rtl/>
        </w:rPr>
        <w:t>אודה ולא אכחד. המסקנה</w:t>
      </w:r>
      <w:r w:rsidRPr="004B25CF">
        <w:rPr>
          <w:rtl/>
        </w:rPr>
        <w:t xml:space="preserve"> </w:t>
      </w:r>
      <w:r>
        <w:rPr>
          <w:rFonts w:hint="cs"/>
          <w:rtl/>
        </w:rPr>
        <w:t xml:space="preserve">לפיה </w:t>
      </w:r>
      <w:r w:rsidRPr="004B25CF">
        <w:rPr>
          <w:rFonts w:hint="eastAsia"/>
          <w:rtl/>
        </w:rPr>
        <w:t>הכנסת</w:t>
      </w:r>
      <w:r w:rsidRPr="004B25CF">
        <w:rPr>
          <w:rtl/>
        </w:rPr>
        <w:t xml:space="preserve"> </w:t>
      </w:r>
      <w:r w:rsidRPr="004B25CF">
        <w:rPr>
          <w:rFonts w:hint="eastAsia"/>
          <w:rtl/>
        </w:rPr>
        <w:t>מוגבלת</w:t>
      </w:r>
      <w:r>
        <w:rPr>
          <w:rFonts w:hint="cs"/>
          <w:rtl/>
        </w:rPr>
        <w:t xml:space="preserve"> בסמכותה המכוננת</w:t>
      </w:r>
      <w:r w:rsidRPr="004B25CF">
        <w:rPr>
          <w:rtl/>
        </w:rPr>
        <w:t xml:space="preserve"> </w:t>
      </w:r>
      <w:r w:rsidRPr="004B25CF">
        <w:rPr>
          <w:rFonts w:hint="eastAsia"/>
          <w:rtl/>
        </w:rPr>
        <w:t>לא</w:t>
      </w:r>
      <w:r w:rsidRPr="004B25CF">
        <w:rPr>
          <w:rtl/>
        </w:rPr>
        <w:t xml:space="preserve"> </w:t>
      </w:r>
      <w:r w:rsidRPr="004B25CF">
        <w:rPr>
          <w:rFonts w:hint="eastAsia"/>
          <w:rtl/>
        </w:rPr>
        <w:t>מנביעה</w:t>
      </w:r>
      <w:r>
        <w:rPr>
          <w:rFonts w:hint="cs"/>
          <w:rtl/>
        </w:rPr>
        <w:t xml:space="preserve">, </w:t>
      </w:r>
      <w:r w:rsidRPr="004B25CF">
        <w:rPr>
          <w:rFonts w:hint="eastAsia"/>
          <w:rtl/>
        </w:rPr>
        <w:t>באופן</w:t>
      </w:r>
      <w:r w:rsidRPr="004B25CF">
        <w:rPr>
          <w:rtl/>
        </w:rPr>
        <w:t xml:space="preserve"> </w:t>
      </w:r>
      <w:r w:rsidRPr="004B25CF">
        <w:rPr>
          <w:rFonts w:hint="eastAsia"/>
          <w:rtl/>
        </w:rPr>
        <w:t>אוטומטי</w:t>
      </w:r>
      <w:r>
        <w:rPr>
          <w:rFonts w:hint="cs"/>
          <w:rtl/>
        </w:rPr>
        <w:t xml:space="preserve">, </w:t>
      </w:r>
      <w:r w:rsidRPr="004B25CF">
        <w:rPr>
          <w:rFonts w:hint="eastAsia"/>
          <w:rtl/>
        </w:rPr>
        <w:t>את</w:t>
      </w:r>
      <w:r w:rsidRPr="004B25CF">
        <w:rPr>
          <w:rtl/>
        </w:rPr>
        <w:t xml:space="preserve"> </w:t>
      </w:r>
      <w:r w:rsidRPr="004B25CF">
        <w:rPr>
          <w:rFonts w:hint="eastAsia"/>
          <w:rtl/>
        </w:rPr>
        <w:t>המסקנה</w:t>
      </w:r>
      <w:r w:rsidRPr="004B25CF">
        <w:rPr>
          <w:rtl/>
        </w:rPr>
        <w:t xml:space="preserve"> </w:t>
      </w:r>
      <w:r w:rsidRPr="004B25CF">
        <w:rPr>
          <w:rFonts w:hint="eastAsia"/>
          <w:rtl/>
        </w:rPr>
        <w:t>שבית</w:t>
      </w:r>
      <w:r w:rsidRPr="004B25CF">
        <w:rPr>
          <w:rtl/>
        </w:rPr>
        <w:t xml:space="preserve"> </w:t>
      </w:r>
      <w:r w:rsidRPr="004B25CF">
        <w:rPr>
          <w:rFonts w:hint="eastAsia"/>
          <w:rtl/>
        </w:rPr>
        <w:t>המשפט</w:t>
      </w:r>
      <w:r w:rsidRPr="004B25CF">
        <w:rPr>
          <w:rtl/>
        </w:rPr>
        <w:t xml:space="preserve"> </w:t>
      </w:r>
      <w:r w:rsidRPr="004B25CF">
        <w:rPr>
          <w:rFonts w:hint="eastAsia"/>
          <w:rtl/>
        </w:rPr>
        <w:t>הוא</w:t>
      </w:r>
      <w:r w:rsidRPr="004B25CF">
        <w:rPr>
          <w:rtl/>
        </w:rPr>
        <w:t xml:space="preserve"> </w:t>
      </w:r>
      <w:r w:rsidRPr="004B25CF">
        <w:rPr>
          <w:rFonts w:hint="eastAsia"/>
          <w:rtl/>
        </w:rPr>
        <w:t>הגורם</w:t>
      </w:r>
      <w:r w:rsidRPr="004B25CF">
        <w:rPr>
          <w:rtl/>
        </w:rPr>
        <w:t xml:space="preserve"> </w:t>
      </w:r>
      <w:r w:rsidRPr="004B25CF">
        <w:rPr>
          <w:rFonts w:hint="eastAsia"/>
          <w:rtl/>
        </w:rPr>
        <w:t>המוסמך</w:t>
      </w:r>
      <w:r w:rsidRPr="004B25CF">
        <w:rPr>
          <w:rtl/>
        </w:rPr>
        <w:t xml:space="preserve"> </w:t>
      </w:r>
      <w:r>
        <w:rPr>
          <w:rFonts w:hint="cs"/>
          <w:rtl/>
        </w:rPr>
        <w:t>לקבוע</w:t>
      </w:r>
      <w:r w:rsidRPr="004B25CF">
        <w:rPr>
          <w:rtl/>
        </w:rPr>
        <w:t xml:space="preserve"> </w:t>
      </w:r>
      <w:r w:rsidRPr="004B25CF">
        <w:rPr>
          <w:rFonts w:hint="eastAsia"/>
          <w:rtl/>
        </w:rPr>
        <w:t>מתי</w:t>
      </w:r>
      <w:r w:rsidRPr="004B25CF">
        <w:rPr>
          <w:rtl/>
        </w:rPr>
        <w:t xml:space="preserve"> </w:t>
      </w:r>
      <w:r w:rsidRPr="004B25CF">
        <w:rPr>
          <w:rFonts w:hint="eastAsia"/>
          <w:rtl/>
        </w:rPr>
        <w:t>הכנסת</w:t>
      </w:r>
      <w:r w:rsidRPr="004B25CF">
        <w:rPr>
          <w:rtl/>
        </w:rPr>
        <w:t xml:space="preserve"> </w:t>
      </w:r>
      <w:r w:rsidRPr="004B25CF">
        <w:rPr>
          <w:rFonts w:hint="eastAsia"/>
          <w:rtl/>
        </w:rPr>
        <w:t>חרגה</w:t>
      </w:r>
      <w:r w:rsidRPr="004B25CF">
        <w:rPr>
          <w:rtl/>
        </w:rPr>
        <w:t xml:space="preserve"> </w:t>
      </w:r>
      <w:r w:rsidRPr="00413B68">
        <w:rPr>
          <w:rFonts w:hint="eastAsia"/>
          <w:rtl/>
        </w:rPr>
        <w:t>מסמכותה</w:t>
      </w:r>
      <w:r w:rsidRPr="007317F2">
        <w:rPr>
          <w:rtl/>
        </w:rPr>
        <w:t xml:space="preserve">. </w:t>
      </w:r>
      <w:r>
        <w:rPr>
          <w:rFonts w:hint="cs"/>
          <w:rtl/>
        </w:rPr>
        <w:t xml:space="preserve">ניתן היה למשל לסבור, כפי שהממשלה ביקשה לטעון לפנינו, כי העם הוא זה שיפקח על סמכותה המכוננת של הכנסת ב'יום הבוחר'. </w:t>
      </w:r>
      <w:r>
        <w:rPr>
          <w:rFonts w:ascii="Century" w:hAnsi="Century" w:hint="cs"/>
          <w:rtl/>
        </w:rPr>
        <w:t>דא עקא</w:t>
      </w:r>
      <w:r w:rsidRPr="00413B68">
        <w:rPr>
          <w:rFonts w:ascii="Century" w:hAnsi="Century"/>
          <w:rtl/>
        </w:rPr>
        <w:t xml:space="preserve">, </w:t>
      </w:r>
      <w:r w:rsidRPr="00413B68">
        <w:rPr>
          <w:rFonts w:ascii="Century" w:hAnsi="Century" w:hint="eastAsia"/>
          <w:rtl/>
        </w:rPr>
        <w:t>במצב</w:t>
      </w:r>
      <w:r w:rsidRPr="00413B68">
        <w:rPr>
          <w:rFonts w:ascii="Century" w:hAnsi="Century"/>
          <w:rtl/>
        </w:rPr>
        <w:t xml:space="preserve"> </w:t>
      </w:r>
      <w:r w:rsidRPr="00413B68">
        <w:rPr>
          <w:rFonts w:ascii="Century" w:hAnsi="Century" w:hint="eastAsia"/>
          <w:rtl/>
        </w:rPr>
        <w:t>הדברים</w:t>
      </w:r>
      <w:r w:rsidRPr="00413B68">
        <w:rPr>
          <w:rFonts w:ascii="Century" w:hAnsi="Century"/>
          <w:rtl/>
        </w:rPr>
        <w:t xml:space="preserve"> </w:t>
      </w:r>
      <w:r>
        <w:rPr>
          <w:rFonts w:ascii="Century" w:hAnsi="Century" w:hint="cs"/>
          <w:rtl/>
        </w:rPr>
        <w:t>הקיים בשיטתנו המשטרית, כאמור לעיל וכפי שיפורט מיד</w:t>
      </w:r>
      <w:r w:rsidRPr="00413B68">
        <w:rPr>
          <w:rFonts w:ascii="Century" w:hAnsi="Century"/>
          <w:rtl/>
        </w:rPr>
        <w:t xml:space="preserve">, </w:t>
      </w:r>
      <w:r w:rsidRPr="00413B68">
        <w:rPr>
          <w:rFonts w:ascii="Century" w:hAnsi="Century" w:hint="eastAsia"/>
          <w:rtl/>
        </w:rPr>
        <w:t>אני</w:t>
      </w:r>
      <w:r w:rsidRPr="00413B68">
        <w:rPr>
          <w:rFonts w:ascii="Century" w:hAnsi="Century"/>
          <w:rtl/>
        </w:rPr>
        <w:t xml:space="preserve"> </w:t>
      </w:r>
      <w:r w:rsidRPr="00413B68">
        <w:rPr>
          <w:rFonts w:ascii="Century" w:hAnsi="Century" w:hint="eastAsia"/>
          <w:rtl/>
        </w:rPr>
        <w:t>מוצא</w:t>
      </w:r>
      <w:r w:rsidRPr="00413B68">
        <w:rPr>
          <w:rFonts w:ascii="Century" w:hAnsi="Century"/>
          <w:rtl/>
        </w:rPr>
        <w:t xml:space="preserve"> </w:t>
      </w:r>
      <w:r w:rsidRPr="00413B68">
        <w:rPr>
          <w:rFonts w:ascii="Century" w:hAnsi="Century" w:hint="eastAsia"/>
          <w:rtl/>
        </w:rPr>
        <w:t>קושי</w:t>
      </w:r>
      <w:r w:rsidRPr="00413B68">
        <w:rPr>
          <w:rFonts w:ascii="Century" w:hAnsi="Century"/>
          <w:rtl/>
        </w:rPr>
        <w:t xml:space="preserve"> </w:t>
      </w:r>
      <w:r w:rsidRPr="00413B68">
        <w:rPr>
          <w:rFonts w:ascii="Century" w:hAnsi="Century" w:hint="eastAsia"/>
          <w:rtl/>
        </w:rPr>
        <w:t>ממשי</w:t>
      </w:r>
      <w:r w:rsidRPr="00413B68">
        <w:rPr>
          <w:rFonts w:ascii="Century" w:hAnsi="Century"/>
          <w:rtl/>
        </w:rPr>
        <w:t xml:space="preserve"> </w:t>
      </w:r>
      <w:r w:rsidRPr="00413B68">
        <w:rPr>
          <w:rFonts w:ascii="Century" w:hAnsi="Century" w:hint="eastAsia"/>
          <w:rtl/>
        </w:rPr>
        <w:t>בכך</w:t>
      </w:r>
      <w:r w:rsidRPr="00413B68">
        <w:rPr>
          <w:rFonts w:ascii="Century" w:hAnsi="Century"/>
          <w:rtl/>
        </w:rPr>
        <w:t xml:space="preserve"> </w:t>
      </w:r>
      <w:r w:rsidRPr="00413B68">
        <w:rPr>
          <w:rFonts w:ascii="Century" w:hAnsi="Century" w:hint="eastAsia"/>
          <w:rtl/>
        </w:rPr>
        <w:t>שהיעדר</w:t>
      </w:r>
      <w:r w:rsidRPr="00413B68">
        <w:rPr>
          <w:rFonts w:ascii="Century" w:hAnsi="Century"/>
          <w:rtl/>
        </w:rPr>
        <w:t xml:space="preserve"> </w:t>
      </w:r>
      <w:r w:rsidRPr="00413B68">
        <w:rPr>
          <w:rFonts w:ascii="Century" w:hAnsi="Century" w:hint="eastAsia"/>
          <w:rtl/>
        </w:rPr>
        <w:t>הסדרה</w:t>
      </w:r>
      <w:r w:rsidRPr="00413B68">
        <w:rPr>
          <w:rFonts w:ascii="Century" w:hAnsi="Century"/>
          <w:rtl/>
        </w:rPr>
        <w:t xml:space="preserve"> </w:t>
      </w:r>
      <w:r w:rsidRPr="00413B68">
        <w:rPr>
          <w:rFonts w:ascii="Century" w:hAnsi="Century" w:hint="eastAsia"/>
          <w:rtl/>
        </w:rPr>
        <w:t>מפורשת</w:t>
      </w:r>
      <w:r w:rsidRPr="00413B68">
        <w:rPr>
          <w:rFonts w:ascii="Century" w:hAnsi="Century"/>
          <w:rtl/>
        </w:rPr>
        <w:t xml:space="preserve"> </w:t>
      </w:r>
      <w:r w:rsidRPr="00413B68">
        <w:rPr>
          <w:rFonts w:ascii="Century" w:hAnsi="Century" w:hint="eastAsia"/>
          <w:rtl/>
        </w:rPr>
        <w:t>של</w:t>
      </w:r>
      <w:r w:rsidRPr="00413B68">
        <w:rPr>
          <w:rFonts w:ascii="Century" w:hAnsi="Century"/>
          <w:rtl/>
        </w:rPr>
        <w:t xml:space="preserve"> </w:t>
      </w:r>
      <w:r w:rsidRPr="00413B68">
        <w:rPr>
          <w:rFonts w:ascii="Century" w:hAnsi="Century" w:hint="eastAsia"/>
          <w:rtl/>
        </w:rPr>
        <w:t>סמכויות</w:t>
      </w:r>
      <w:r w:rsidRPr="00413B68">
        <w:rPr>
          <w:rFonts w:ascii="Century" w:hAnsi="Century"/>
          <w:rtl/>
        </w:rPr>
        <w:t xml:space="preserve"> </w:t>
      </w:r>
      <w:r w:rsidRPr="00413B68">
        <w:rPr>
          <w:rFonts w:ascii="Century" w:hAnsi="Century" w:hint="eastAsia"/>
          <w:rtl/>
        </w:rPr>
        <w:t>הרשות</w:t>
      </w:r>
      <w:r w:rsidRPr="00413B68">
        <w:rPr>
          <w:rFonts w:ascii="Century" w:hAnsi="Century"/>
          <w:rtl/>
        </w:rPr>
        <w:t xml:space="preserve"> </w:t>
      </w:r>
      <w:r w:rsidRPr="00413B68">
        <w:rPr>
          <w:rFonts w:ascii="Century" w:hAnsi="Century" w:hint="eastAsia"/>
          <w:rtl/>
        </w:rPr>
        <w:t>המכוננת</w:t>
      </w:r>
      <w:r w:rsidRPr="00413B68">
        <w:rPr>
          <w:rFonts w:ascii="Century" w:hAnsi="Century"/>
          <w:rtl/>
        </w:rPr>
        <w:t xml:space="preserve"> </w:t>
      </w:r>
      <w:r w:rsidRPr="00413B68">
        <w:rPr>
          <w:rFonts w:ascii="Century" w:hAnsi="Century" w:hint="eastAsia"/>
          <w:rtl/>
        </w:rPr>
        <w:t>יוביל</w:t>
      </w:r>
      <w:r w:rsidRPr="00413B68">
        <w:rPr>
          <w:rFonts w:ascii="Century" w:hAnsi="Century"/>
          <w:rtl/>
        </w:rPr>
        <w:t xml:space="preserve"> </w:t>
      </w:r>
      <w:r w:rsidRPr="00413B68">
        <w:rPr>
          <w:rFonts w:ascii="Century" w:hAnsi="Century" w:hint="eastAsia"/>
          <w:rtl/>
        </w:rPr>
        <w:t>לכך</w:t>
      </w:r>
      <w:r w:rsidRPr="00413B68">
        <w:rPr>
          <w:rFonts w:ascii="Century" w:hAnsi="Century"/>
          <w:rtl/>
        </w:rPr>
        <w:t xml:space="preserve"> </w:t>
      </w:r>
      <w:r w:rsidRPr="00413B68">
        <w:rPr>
          <w:rFonts w:ascii="Century" w:hAnsi="Century" w:hint="eastAsia"/>
          <w:rtl/>
        </w:rPr>
        <w:t>שנושא</w:t>
      </w:r>
      <w:r w:rsidRPr="00413B68">
        <w:rPr>
          <w:rFonts w:ascii="Century" w:hAnsi="Century"/>
          <w:rtl/>
        </w:rPr>
        <w:t xml:space="preserve"> </w:t>
      </w:r>
      <w:r w:rsidRPr="00413B68">
        <w:rPr>
          <w:rFonts w:ascii="Century" w:hAnsi="Century" w:hint="eastAsia"/>
          <w:rtl/>
        </w:rPr>
        <w:t>כה</w:t>
      </w:r>
      <w:r w:rsidRPr="00413B68">
        <w:rPr>
          <w:rFonts w:ascii="Century" w:hAnsi="Century"/>
          <w:rtl/>
        </w:rPr>
        <w:t xml:space="preserve"> </w:t>
      </w:r>
      <w:r w:rsidRPr="00413B68">
        <w:rPr>
          <w:rFonts w:ascii="Century" w:hAnsi="Century" w:hint="eastAsia"/>
          <w:rtl/>
        </w:rPr>
        <w:t>מהותי</w:t>
      </w:r>
      <w:r w:rsidRPr="00413B68">
        <w:rPr>
          <w:rFonts w:ascii="Century" w:hAnsi="Century"/>
          <w:rtl/>
        </w:rPr>
        <w:t xml:space="preserve"> – </w:t>
      </w:r>
      <w:r w:rsidRPr="00413B68">
        <w:rPr>
          <w:rFonts w:ascii="Century" w:hAnsi="Century" w:hint="eastAsia"/>
          <w:rtl/>
        </w:rPr>
        <w:t>פעולה</w:t>
      </w:r>
      <w:r w:rsidRPr="00413B68">
        <w:rPr>
          <w:rFonts w:ascii="Century" w:hAnsi="Century"/>
          <w:rtl/>
        </w:rPr>
        <w:t xml:space="preserve"> </w:t>
      </w:r>
      <w:r w:rsidRPr="00413B68">
        <w:rPr>
          <w:rFonts w:ascii="Century" w:hAnsi="Century" w:hint="eastAsia"/>
          <w:rtl/>
        </w:rPr>
        <w:t>של</w:t>
      </w:r>
      <w:r w:rsidRPr="00413B68">
        <w:rPr>
          <w:rFonts w:ascii="Century" w:hAnsi="Century"/>
          <w:rtl/>
        </w:rPr>
        <w:t xml:space="preserve"> </w:t>
      </w:r>
      <w:r w:rsidRPr="00413B68">
        <w:rPr>
          <w:rFonts w:ascii="Century" w:hAnsi="Century" w:hint="eastAsia"/>
          <w:rtl/>
        </w:rPr>
        <w:t>כינון</w:t>
      </w:r>
      <w:r w:rsidRPr="00413B68">
        <w:rPr>
          <w:rFonts w:ascii="Century" w:hAnsi="Century"/>
          <w:rtl/>
        </w:rPr>
        <w:t xml:space="preserve"> </w:t>
      </w:r>
      <w:r w:rsidRPr="00190080">
        <w:rPr>
          <w:rFonts w:ascii="Century" w:hAnsi="Century" w:hint="eastAsia"/>
          <w:rtl/>
        </w:rPr>
        <w:t>חוקי</w:t>
      </w:r>
      <w:r w:rsidRPr="00190080">
        <w:rPr>
          <w:rFonts w:ascii="Century" w:hAnsi="Century"/>
          <w:rtl/>
        </w:rPr>
        <w:t xml:space="preserve"> </w:t>
      </w:r>
      <w:r w:rsidRPr="007D62F9">
        <w:rPr>
          <w:rFonts w:ascii="Century" w:hAnsi="Century" w:hint="eastAsia"/>
          <w:rtl/>
        </w:rPr>
        <w:t>היסוד</w:t>
      </w:r>
      <w:r w:rsidRPr="00B65627">
        <w:rPr>
          <w:rFonts w:ascii="Century" w:hAnsi="Century"/>
          <w:rtl/>
        </w:rPr>
        <w:t xml:space="preserve">, </w:t>
      </w:r>
      <w:r w:rsidRPr="00B65627">
        <w:rPr>
          <w:rFonts w:ascii="Century" w:hAnsi="Century" w:hint="eastAsia"/>
          <w:rtl/>
        </w:rPr>
        <w:t>בחריגה</w:t>
      </w:r>
      <w:r w:rsidRPr="00B65627">
        <w:rPr>
          <w:rFonts w:ascii="Century" w:hAnsi="Century"/>
          <w:rtl/>
        </w:rPr>
        <w:t xml:space="preserve"> </w:t>
      </w:r>
      <w:r w:rsidRPr="00B65627">
        <w:rPr>
          <w:rFonts w:ascii="Century" w:hAnsi="Century" w:hint="eastAsia"/>
          <w:rtl/>
        </w:rPr>
        <w:t>מסמכות</w:t>
      </w:r>
      <w:r w:rsidRPr="00B65627">
        <w:rPr>
          <w:rFonts w:ascii="Century" w:hAnsi="Century"/>
          <w:rtl/>
        </w:rPr>
        <w:t xml:space="preserve"> – </w:t>
      </w:r>
      <w:r w:rsidRPr="00B65627">
        <w:rPr>
          <w:rFonts w:ascii="Century" w:hAnsi="Century" w:hint="eastAsia"/>
          <w:rtl/>
        </w:rPr>
        <w:t>יחמוק</w:t>
      </w:r>
      <w:r w:rsidRPr="00B65627">
        <w:rPr>
          <w:rFonts w:ascii="Century" w:hAnsi="Century"/>
          <w:rtl/>
        </w:rPr>
        <w:t xml:space="preserve"> </w:t>
      </w:r>
      <w:r w:rsidRPr="00B65627">
        <w:rPr>
          <w:rFonts w:ascii="Century" w:hAnsi="Century" w:hint="eastAsia"/>
          <w:rtl/>
        </w:rPr>
        <w:t>מביקורת</w:t>
      </w:r>
      <w:r w:rsidRPr="00B65627">
        <w:rPr>
          <w:rFonts w:ascii="Century" w:hAnsi="Century"/>
          <w:rtl/>
        </w:rPr>
        <w:t xml:space="preserve"> </w:t>
      </w:r>
      <w:r>
        <w:rPr>
          <w:rFonts w:ascii="Century" w:hAnsi="Century" w:hint="cs"/>
          <w:rtl/>
        </w:rPr>
        <w:t>שיפוטית</w:t>
      </w:r>
      <w:r w:rsidRPr="00B65627">
        <w:rPr>
          <w:rFonts w:ascii="Century" w:hAnsi="Century"/>
          <w:rtl/>
        </w:rPr>
        <w:t>.</w:t>
      </w:r>
    </w:p>
    <w:p w:rsidR="00D61E12" w:rsidRPr="00B65627" w:rsidRDefault="00D61E12" w:rsidP="00D61E12">
      <w:pPr>
        <w:pStyle w:val="Ruller4"/>
        <w:spacing w:before="240" w:after="240"/>
        <w:rPr>
          <w:color w:val="FF0000"/>
        </w:rPr>
      </w:pPr>
      <w:r w:rsidRPr="00B65627">
        <w:rPr>
          <w:rFonts w:hint="cs"/>
          <w:rtl/>
        </w:rPr>
        <w:t xml:space="preserve">מסקנה זו מתחדדת לאור </w:t>
      </w:r>
      <w:r w:rsidRPr="00B65627">
        <w:rPr>
          <w:rFonts w:hint="eastAsia"/>
          <w:rtl/>
        </w:rPr>
        <w:t>עיקרון</w:t>
      </w:r>
      <w:r w:rsidRPr="00B65627">
        <w:rPr>
          <w:rtl/>
        </w:rPr>
        <w:t xml:space="preserve"> </w:t>
      </w:r>
      <w:r w:rsidRPr="00B65627">
        <w:rPr>
          <w:rFonts w:ascii="Times New Roman" w:hAnsi="Times New Roman" w:hint="eastAsia"/>
          <w:sz w:val="28"/>
          <w:rtl/>
        </w:rPr>
        <w:t>שלטון</w:t>
      </w:r>
      <w:r w:rsidRPr="00B65627">
        <w:rPr>
          <w:rFonts w:ascii="Times New Roman" w:hAnsi="Times New Roman"/>
          <w:sz w:val="28"/>
          <w:rtl/>
        </w:rPr>
        <w:t xml:space="preserve"> </w:t>
      </w:r>
      <w:r w:rsidRPr="00B65627">
        <w:rPr>
          <w:rFonts w:ascii="Times New Roman" w:hAnsi="Times New Roman" w:hint="eastAsia"/>
          <w:sz w:val="28"/>
          <w:rtl/>
        </w:rPr>
        <w:t>החוק</w:t>
      </w:r>
      <w:r w:rsidRPr="00B65627">
        <w:rPr>
          <w:rFonts w:hint="cs"/>
          <w:rtl/>
        </w:rPr>
        <w:t xml:space="preserve">, </w:t>
      </w:r>
      <w:r w:rsidRPr="00B65627">
        <w:rPr>
          <w:rFonts w:ascii="Arial TUR" w:hAnsi="Arial TUR" w:hint="eastAsia"/>
          <w:rtl/>
        </w:rPr>
        <w:t>ש</w:t>
      </w:r>
      <w:r w:rsidRPr="00B65627">
        <w:rPr>
          <w:b/>
          <w:rtl/>
        </w:rPr>
        <w:t>"</w:t>
      </w:r>
      <w:r w:rsidRPr="00B65627">
        <w:rPr>
          <w:rFonts w:ascii="Century" w:hAnsi="Century" w:cs="Miriam" w:hint="eastAsia"/>
          <w:b/>
          <w:spacing w:val="0"/>
          <w:sz w:val="22"/>
          <w:szCs w:val="24"/>
          <w:rtl/>
        </w:rPr>
        <w:t>מופנה</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הן</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לפרטים</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והן</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לזרועות</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השלטון</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והוא</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חל</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גם</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על</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בית</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הנבחרים</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עצמו</w:t>
      </w:r>
      <w:r w:rsidRPr="00B65627">
        <w:rPr>
          <w:rFonts w:ascii="Century" w:hAnsi="Century" w:cs="Miriam"/>
          <w:b/>
          <w:spacing w:val="0"/>
          <w:sz w:val="22"/>
          <w:szCs w:val="24"/>
          <w:rtl/>
        </w:rPr>
        <w:t xml:space="preserve">, </w:t>
      </w:r>
      <w:r w:rsidRPr="00B65627">
        <w:rPr>
          <w:rFonts w:ascii="Century" w:hAnsi="Century" w:cs="Miriam" w:hint="cs"/>
          <w:b/>
          <w:spacing w:val="0"/>
          <w:sz w:val="22"/>
          <w:szCs w:val="24"/>
          <w:rtl/>
        </w:rPr>
        <w:t>[ב]</w:t>
      </w:r>
      <w:r w:rsidRPr="00B65627">
        <w:rPr>
          <w:rFonts w:ascii="Century" w:hAnsi="Century" w:cs="Miriam" w:hint="eastAsia"/>
          <w:b/>
          <w:spacing w:val="0"/>
          <w:sz w:val="22"/>
          <w:szCs w:val="24"/>
          <w:rtl/>
        </w:rPr>
        <w:t>בחינת</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שלטון</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החוק</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במחוקק</w:t>
      </w:r>
      <w:r w:rsidRPr="00B65627">
        <w:rPr>
          <w:rFonts w:ascii="Century" w:hAnsi="Century" w:cs="Miriam"/>
          <w:b/>
          <w:spacing w:val="0"/>
          <w:sz w:val="22"/>
          <w:szCs w:val="24"/>
          <w:rtl/>
        </w:rPr>
        <w:t>'</w:t>
      </w:r>
      <w:r w:rsidRPr="00B65627">
        <w:rPr>
          <w:b/>
          <w:rtl/>
        </w:rPr>
        <w:t>"</w:t>
      </w:r>
      <w:r w:rsidRPr="00B65627">
        <w:rPr>
          <w:rFonts w:ascii="Arial TUR" w:hAnsi="Arial TUR"/>
          <w:rtl/>
        </w:rPr>
        <w:t xml:space="preserve"> (</w:t>
      </w:r>
      <w:r w:rsidRPr="00B65627">
        <w:rPr>
          <w:rFonts w:ascii="FrankRuehl" w:hAnsi="FrankRuehl" w:hint="eastAsia"/>
          <w:color w:val="000000"/>
          <w:sz w:val="28"/>
          <w:rtl/>
        </w:rPr>
        <w:t>בג</w:t>
      </w:r>
      <w:r w:rsidRPr="00B65627">
        <w:rPr>
          <w:rFonts w:ascii="FrankRuehl" w:hAnsi="FrankRuehl"/>
          <w:color w:val="000000"/>
          <w:sz w:val="28"/>
          <w:rtl/>
        </w:rPr>
        <w:t xml:space="preserve">"ץ 652/81 </w:t>
      </w:r>
      <w:r w:rsidRPr="00B65627">
        <w:rPr>
          <w:rFonts w:ascii="Century" w:hAnsi="Century" w:cs="Miriam" w:hint="eastAsia"/>
          <w:b/>
          <w:spacing w:val="0"/>
          <w:sz w:val="22"/>
          <w:szCs w:val="24"/>
          <w:rtl/>
        </w:rPr>
        <w:t>שריד</w:t>
      </w:r>
      <w:r w:rsidRPr="00B65627">
        <w:rPr>
          <w:rFonts w:ascii="Century" w:hAnsi="Century" w:cs="Miriam" w:hint="eastAsia"/>
          <w:b/>
          <w:spacing w:val="0"/>
          <w:sz w:val="22"/>
          <w:szCs w:val="24"/>
          <w:cs/>
        </w:rPr>
        <w:t>‎</w:t>
      </w:r>
      <w:r w:rsidRPr="00B65627">
        <w:rPr>
          <w:rFonts w:ascii="Century" w:hAnsi="Century" w:cs="Miriam"/>
          <w:b/>
          <w:spacing w:val="0"/>
          <w:sz w:val="22"/>
          <w:szCs w:val="24"/>
        </w:rPr>
        <w:t xml:space="preserve"> </w:t>
      </w:r>
      <w:r w:rsidRPr="00B65627">
        <w:rPr>
          <w:rFonts w:ascii="Century" w:hAnsi="Century" w:cs="Miriam" w:hint="eastAsia"/>
          <w:b/>
          <w:spacing w:val="0"/>
          <w:sz w:val="22"/>
          <w:szCs w:val="24"/>
          <w:cs/>
        </w:rPr>
        <w:t>‎</w:t>
      </w:r>
      <w:r w:rsidRPr="00B65627">
        <w:rPr>
          <w:rFonts w:ascii="Century" w:hAnsi="Century" w:cs="Miriam" w:hint="eastAsia"/>
          <w:b/>
          <w:spacing w:val="0"/>
          <w:sz w:val="22"/>
          <w:szCs w:val="24"/>
          <w:rtl/>
        </w:rPr>
        <w:t>נ</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יושב</w:t>
      </w:r>
      <w:r w:rsidRPr="00B65627">
        <w:rPr>
          <w:rFonts w:ascii="Century" w:hAnsi="Century" w:cs="Miriam"/>
          <w:b/>
          <w:spacing w:val="0"/>
          <w:sz w:val="22"/>
          <w:szCs w:val="24"/>
          <w:rtl/>
        </w:rPr>
        <w:t>-</w:t>
      </w:r>
      <w:r w:rsidRPr="00B65627">
        <w:rPr>
          <w:rFonts w:ascii="Century" w:hAnsi="Century" w:cs="Miriam" w:hint="eastAsia"/>
          <w:b/>
          <w:spacing w:val="0"/>
          <w:sz w:val="22"/>
          <w:szCs w:val="24"/>
          <w:rtl/>
        </w:rPr>
        <w:t>ראש</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הכנסת</w:t>
      </w:r>
      <w:r w:rsidRPr="00B65627">
        <w:rPr>
          <w:rFonts w:ascii="Arial TUR" w:hAnsi="Arial TUR"/>
          <w:rtl/>
        </w:rPr>
        <w:t xml:space="preserve">, </w:t>
      </w:r>
      <w:r w:rsidRPr="00B65627">
        <w:rPr>
          <w:rFonts w:ascii="Arial TUR" w:hAnsi="Arial TUR" w:hint="eastAsia"/>
          <w:rtl/>
        </w:rPr>
        <w:t>פ</w:t>
      </w:r>
      <w:r w:rsidRPr="00B65627">
        <w:rPr>
          <w:rFonts w:ascii="Arial TUR" w:hAnsi="Arial TUR"/>
          <w:rtl/>
        </w:rPr>
        <w:t>"</w:t>
      </w:r>
      <w:r w:rsidRPr="00B65627">
        <w:rPr>
          <w:rFonts w:ascii="Arial TUR" w:hAnsi="Arial TUR" w:hint="eastAsia"/>
          <w:rtl/>
        </w:rPr>
        <w:t>ד</w:t>
      </w:r>
      <w:r w:rsidRPr="00B65627">
        <w:rPr>
          <w:rFonts w:ascii="Arial TUR" w:hAnsi="Arial TUR"/>
          <w:rtl/>
        </w:rPr>
        <w:t xml:space="preserve"> </w:t>
      </w:r>
      <w:r w:rsidRPr="00B65627">
        <w:rPr>
          <w:rFonts w:ascii="Arial TUR" w:hAnsi="Arial TUR" w:hint="eastAsia"/>
          <w:rtl/>
        </w:rPr>
        <w:t>לו</w:t>
      </w:r>
      <w:r w:rsidRPr="00B65627">
        <w:rPr>
          <w:rFonts w:ascii="Arial TUR" w:hAnsi="Arial TUR"/>
          <w:rtl/>
        </w:rPr>
        <w:t>(2) 197, 202 (1982))</w:t>
      </w:r>
      <w:r w:rsidRPr="00B65627">
        <w:rPr>
          <w:rFonts w:ascii="Arial TUR" w:hAnsi="Arial TUR" w:hint="cs"/>
          <w:rtl/>
        </w:rPr>
        <w:t>. משמעות תפיסה זו היא שבמדינה דמוקרטית כולם כפופים לחוק, לרבות המחוקק;</w:t>
      </w:r>
      <w:r w:rsidRPr="00B65627">
        <w:rPr>
          <w:rFonts w:ascii="Arial TUR" w:hAnsi="Arial TUR"/>
          <w:rtl/>
        </w:rPr>
        <w:t xml:space="preserve"> </w:t>
      </w:r>
      <w:r w:rsidRPr="00B65627">
        <w:rPr>
          <w:rFonts w:hint="cs"/>
          <w:rtl/>
        </w:rPr>
        <w:t>ו</w:t>
      </w:r>
      <w:r w:rsidRPr="00B65627">
        <w:rPr>
          <w:rFonts w:hint="eastAsia"/>
          <w:rtl/>
        </w:rPr>
        <w:t>בלשון</w:t>
      </w:r>
      <w:r w:rsidRPr="00B65627">
        <w:rPr>
          <w:rtl/>
        </w:rPr>
        <w:t xml:space="preserve"> הפילוסוף </w:t>
      </w:r>
      <w:r w:rsidRPr="00B65627">
        <w:rPr>
          <w:rFonts w:hint="eastAsia"/>
          <w:rtl/>
        </w:rPr>
        <w:t>יוסף</w:t>
      </w:r>
      <w:r w:rsidRPr="00B65627">
        <w:rPr>
          <w:rtl/>
        </w:rPr>
        <w:t xml:space="preserve"> </w:t>
      </w:r>
      <w:r w:rsidRPr="00B65627">
        <w:rPr>
          <w:rFonts w:hint="eastAsia"/>
          <w:rtl/>
        </w:rPr>
        <w:lastRenderedPageBreak/>
        <w:t>רז</w:t>
      </w:r>
      <w:r w:rsidRPr="00B65627">
        <w:rPr>
          <w:rFonts w:ascii="Century" w:hAnsi="Century" w:cs="Miriam"/>
          <w:bCs/>
          <w:spacing w:val="0"/>
          <w:sz w:val="22"/>
          <w:szCs w:val="24"/>
          <w:rtl/>
        </w:rPr>
        <w:t>:</w:t>
      </w:r>
      <w:r w:rsidRPr="00102554">
        <w:rPr>
          <w:rFonts w:asciiTheme="majorBidi" w:hAnsiTheme="majorBidi" w:cstheme="majorBidi"/>
          <w:bCs/>
          <w:spacing w:val="0"/>
        </w:rPr>
        <w:t>"</w:t>
      </w:r>
      <w:r w:rsidRPr="00105C0F">
        <w:rPr>
          <w:rFonts w:asciiTheme="majorBidi" w:hAnsiTheme="majorBidi" w:cstheme="majorBidi"/>
          <w:bCs/>
          <w:spacing w:val="0"/>
        </w:rPr>
        <w:t>People should obey the law and be ruled by it […] the government shall be ruled by the law and subject to it</w:t>
      </w:r>
      <w:r w:rsidRPr="00102554">
        <w:rPr>
          <w:rFonts w:asciiTheme="majorBidi" w:hAnsiTheme="majorBidi" w:cstheme="majorBidi"/>
          <w:bCs/>
          <w:spacing w:val="0"/>
        </w:rPr>
        <w:t>"</w:t>
      </w:r>
      <w:r w:rsidRPr="00105C0F">
        <w:rPr>
          <w:rFonts w:asciiTheme="majorBidi" w:hAnsiTheme="majorBidi" w:cstheme="majorBidi"/>
          <w:bCs/>
          <w:spacing w:val="0"/>
        </w:rPr>
        <w:t xml:space="preserve"> (</w:t>
      </w:r>
      <w:r w:rsidRPr="00105C0F">
        <w:rPr>
          <w:rStyle w:val="aff2"/>
          <w:rFonts w:asciiTheme="majorBidi" w:hAnsiTheme="majorBidi" w:cstheme="majorBidi"/>
          <w:bCs/>
          <w:spacing w:val="0"/>
        </w:rPr>
        <w:t>Josef Raz, The Authority of Law</w:t>
      </w:r>
      <w:r w:rsidRPr="00105C0F">
        <w:rPr>
          <w:rFonts w:asciiTheme="majorBidi" w:hAnsiTheme="majorBidi" w:cstheme="majorBidi"/>
          <w:bCs/>
          <w:spacing w:val="0"/>
        </w:rPr>
        <w:t xml:space="preserve"> 212 (1979))</w:t>
      </w:r>
      <w:r>
        <w:rPr>
          <w:rFonts w:hint="cs"/>
          <w:rtl/>
        </w:rPr>
        <w:t>. משכך, ומשעה שנמצא כי קיימות מ</w:t>
      </w:r>
      <w:r w:rsidRPr="00B65627">
        <w:rPr>
          <w:rFonts w:hint="cs"/>
          <w:rtl/>
        </w:rPr>
        <w:t xml:space="preserve">גבלות על </w:t>
      </w:r>
      <w:r>
        <w:rPr>
          <w:rFonts w:hint="cs"/>
          <w:rtl/>
        </w:rPr>
        <w:t xml:space="preserve">סמכותה </w:t>
      </w:r>
      <w:r w:rsidRPr="00B65627">
        <w:rPr>
          <w:rFonts w:hint="cs"/>
          <w:rtl/>
        </w:rPr>
        <w:t>המכונ</w:t>
      </w:r>
      <w:r>
        <w:rPr>
          <w:rFonts w:hint="cs"/>
          <w:rtl/>
        </w:rPr>
        <w:t>נת</w:t>
      </w:r>
      <w:r w:rsidRPr="00B65627">
        <w:rPr>
          <w:rFonts w:hint="cs"/>
          <w:rtl/>
        </w:rPr>
        <w:t xml:space="preserve"> של הכנסת </w:t>
      </w:r>
      <w:r w:rsidRPr="00B65627">
        <w:rPr>
          <w:rtl/>
        </w:rPr>
        <w:t>–</w:t>
      </w:r>
      <w:r w:rsidRPr="00B65627">
        <w:rPr>
          <w:rFonts w:hint="cs"/>
          <w:rtl/>
        </w:rPr>
        <w:t xml:space="preserve"> </w:t>
      </w:r>
      <w:r>
        <w:rPr>
          <w:rFonts w:hint="cs"/>
          <w:rtl/>
        </w:rPr>
        <w:t>הרי ש</w:t>
      </w:r>
      <w:r w:rsidRPr="00B65627">
        <w:rPr>
          <w:rFonts w:hint="cs"/>
          <w:rtl/>
        </w:rPr>
        <w:t>הותרת מעשה שנעשה בחוסר סמכות ללא ביקורת שיפוטית</w:t>
      </w:r>
      <w:r>
        <w:rPr>
          <w:rFonts w:hint="cs"/>
          <w:rtl/>
        </w:rPr>
        <w:t>,</w:t>
      </w:r>
      <w:r w:rsidRPr="00B65627">
        <w:rPr>
          <w:rFonts w:hint="cs"/>
          <w:rtl/>
        </w:rPr>
        <w:t xml:space="preserve"> תוביל למצב שבו הכנסת אינה כפופה לדבר במהלך שנות כהונתה; אפילו כאשר היא נוטלת לעצמה סמכויות שמעולם לא ניתנו לה</w:t>
      </w:r>
      <w:r>
        <w:rPr>
          <w:rFonts w:hint="cs"/>
          <w:rtl/>
        </w:rPr>
        <w:t>.</w:t>
      </w:r>
    </w:p>
    <w:p w:rsidR="00D61E12" w:rsidRDefault="00D61E12" w:rsidP="00D61E12">
      <w:pPr>
        <w:pStyle w:val="Ruller4"/>
        <w:spacing w:before="240" w:after="240"/>
      </w:pPr>
      <w:r>
        <w:rPr>
          <w:rFonts w:hint="cs"/>
          <w:rtl/>
        </w:rPr>
        <w:t>כאמור, הדברים מקבלים משנה תוקף בראי העובדה</w:t>
      </w:r>
      <w:r w:rsidRPr="00A300C6">
        <w:rPr>
          <w:rtl/>
        </w:rPr>
        <w:t xml:space="preserve"> </w:t>
      </w:r>
      <w:r w:rsidRPr="00A300C6">
        <w:rPr>
          <w:rFonts w:hint="eastAsia"/>
          <w:rtl/>
        </w:rPr>
        <w:t>ש</w:t>
      </w:r>
      <w:r>
        <w:rPr>
          <w:rFonts w:hint="cs"/>
          <w:rtl/>
        </w:rPr>
        <w:t>בישראל קיימת זהות ותמימות דעים לא מבוטלת בין ה</w:t>
      </w:r>
      <w:r w:rsidRPr="00A300C6">
        <w:rPr>
          <w:rFonts w:hint="cs"/>
          <w:rtl/>
        </w:rPr>
        <w:t xml:space="preserve">רשות </w:t>
      </w:r>
      <w:r>
        <w:rPr>
          <w:rFonts w:hint="cs"/>
          <w:rtl/>
        </w:rPr>
        <w:t>המחוקקת ובין הרשות המבצעת; וכמעט ש</w:t>
      </w:r>
      <w:r w:rsidRPr="00A300C6">
        <w:rPr>
          <w:rFonts w:hint="eastAsia"/>
          <w:rtl/>
        </w:rPr>
        <w:t>אין</w:t>
      </w:r>
      <w:r w:rsidRPr="00A300C6">
        <w:rPr>
          <w:rtl/>
        </w:rPr>
        <w:t xml:space="preserve"> </w:t>
      </w:r>
      <w:r w:rsidRPr="00A300C6">
        <w:rPr>
          <w:rFonts w:hint="eastAsia"/>
          <w:rtl/>
        </w:rPr>
        <w:t>גורם</w:t>
      </w:r>
      <w:r w:rsidRPr="00A300C6">
        <w:rPr>
          <w:rtl/>
        </w:rPr>
        <w:t xml:space="preserve"> </w:t>
      </w:r>
      <w:r w:rsidRPr="00A300C6">
        <w:rPr>
          <w:rFonts w:hint="eastAsia"/>
          <w:rtl/>
        </w:rPr>
        <w:t>מאזן</w:t>
      </w:r>
      <w:r w:rsidRPr="00A300C6">
        <w:rPr>
          <w:rtl/>
        </w:rPr>
        <w:t xml:space="preserve"> </w:t>
      </w:r>
      <w:r>
        <w:rPr>
          <w:rFonts w:hint="cs"/>
          <w:rtl/>
        </w:rPr>
        <w:t>לכוחן המשותף מלבד הרשות השופטת</w:t>
      </w:r>
      <w:r w:rsidRPr="004B25CF">
        <w:rPr>
          <w:rtl/>
        </w:rPr>
        <w:t>.</w:t>
      </w:r>
      <w:r>
        <w:rPr>
          <w:rFonts w:hint="cs"/>
          <w:rtl/>
        </w:rPr>
        <w:t xml:space="preserve"> מצב זה גורם גם לכך שתיקונים לחוקי-יסוד נעשים בישראל באופן תכוף ביותר, בין היתר כדי לענות על צרכי שעה של הממשלה (כמתואר על-ידי חברי, השופט </w:t>
      </w:r>
      <w:r w:rsidRPr="00216B21">
        <w:rPr>
          <w:rFonts w:ascii="Century" w:hAnsi="Century" w:cs="Miriam" w:hint="cs"/>
          <w:b/>
          <w:spacing w:val="0"/>
          <w:sz w:val="22"/>
          <w:szCs w:val="24"/>
          <w:rtl/>
        </w:rPr>
        <w:t>י' עמית</w:t>
      </w:r>
      <w:r>
        <w:rPr>
          <w:rFonts w:hint="cs"/>
          <w:rtl/>
        </w:rPr>
        <w:t xml:space="preserve">, בפסקאות 21-20 לחוות דעתו. ראו גם אלעד גיל "שינוי כללי המשחק בזמן המשחק" </w:t>
      </w:r>
      <w:r>
        <w:rPr>
          <w:rtl/>
        </w:rPr>
        <w:t>–</w:t>
      </w:r>
      <w:r>
        <w:rPr>
          <w:rFonts w:hint="cs"/>
          <w:rtl/>
        </w:rPr>
        <w:t xml:space="preserve"> "פתולוגיה" ישראלית" </w:t>
      </w:r>
      <w:r>
        <w:rPr>
          <w:rFonts w:ascii="Century" w:hAnsi="Century" w:cs="Miriam" w:hint="cs"/>
          <w:b/>
          <w:spacing w:val="0"/>
          <w:sz w:val="22"/>
          <w:szCs w:val="24"/>
          <w:rtl/>
        </w:rPr>
        <w:t xml:space="preserve">תכלית </w:t>
      </w:r>
      <w:r>
        <w:rPr>
          <w:rFonts w:ascii="Century" w:hAnsi="Century" w:cs="Miriam"/>
          <w:b/>
          <w:spacing w:val="0"/>
          <w:sz w:val="22"/>
          <w:szCs w:val="24"/>
          <w:rtl/>
        </w:rPr>
        <w:t>–</w:t>
      </w:r>
      <w:r>
        <w:rPr>
          <w:rFonts w:ascii="Century" w:hAnsi="Century" w:cs="Miriam" w:hint="cs"/>
          <w:b/>
          <w:spacing w:val="0"/>
          <w:sz w:val="22"/>
          <w:szCs w:val="24"/>
          <w:rtl/>
        </w:rPr>
        <w:t xml:space="preserve"> המכון למדיניות ישראלית </w:t>
      </w:r>
      <w:r>
        <w:rPr>
          <w:rFonts w:ascii="Century" w:hAnsi="Century" w:hint="cs"/>
          <w:sz w:val="22"/>
          <w:rtl/>
        </w:rPr>
        <w:t>(18.01.2023)</w:t>
      </w:r>
      <w:r>
        <w:rPr>
          <w:rFonts w:hint="cs"/>
          <w:rtl/>
        </w:rPr>
        <w:t xml:space="preserve">, שם מתואר כי דרך פעולה זו היא מנת חלקה של כל הממשלות בישראל, בעיקר מאז שנת 2014, ללא הבדל בהרכב הקואליציה; עמיר פוקס "השינויים התכופים בחוקי היסוד" </w:t>
      </w:r>
      <w:r>
        <w:rPr>
          <w:rFonts w:ascii="Century" w:hAnsi="Century" w:cs="Miriam" w:hint="cs"/>
          <w:b/>
          <w:spacing w:val="0"/>
          <w:sz w:val="22"/>
          <w:szCs w:val="24"/>
          <w:rtl/>
        </w:rPr>
        <w:t>המכון הישראלי לדמוקרטיה</w:t>
      </w:r>
      <w:r>
        <w:rPr>
          <w:rFonts w:ascii="Century" w:hAnsi="Century" w:hint="cs"/>
          <w:sz w:val="22"/>
          <w:rtl/>
        </w:rPr>
        <w:t xml:space="preserve"> (27.07.2023)</w:t>
      </w:r>
      <w:r>
        <w:rPr>
          <w:rFonts w:hint="cs"/>
          <w:rtl/>
        </w:rPr>
        <w:t>). כפי שציינתי לעיל</w:t>
      </w:r>
      <w:r w:rsidRPr="00A300C6">
        <w:rPr>
          <w:rtl/>
        </w:rPr>
        <w:t xml:space="preserve">, </w:t>
      </w:r>
      <w:r w:rsidRPr="00A300C6">
        <w:rPr>
          <w:rFonts w:hint="eastAsia"/>
          <w:rtl/>
        </w:rPr>
        <w:t>ביקורת</w:t>
      </w:r>
      <w:r w:rsidRPr="00A300C6">
        <w:rPr>
          <w:rtl/>
        </w:rPr>
        <w:t xml:space="preserve"> </w:t>
      </w:r>
      <w:r w:rsidRPr="00A300C6">
        <w:rPr>
          <w:rFonts w:hint="eastAsia"/>
          <w:rtl/>
        </w:rPr>
        <w:t>שיפוטית</w:t>
      </w:r>
      <w:r w:rsidRPr="00A300C6">
        <w:rPr>
          <w:rFonts w:hint="cs"/>
          <w:rtl/>
        </w:rPr>
        <w:t xml:space="preserve"> </w:t>
      </w:r>
      <w:r w:rsidRPr="00A300C6">
        <w:rPr>
          <w:rFonts w:hint="eastAsia"/>
          <w:rtl/>
        </w:rPr>
        <w:t>על</w:t>
      </w:r>
      <w:r w:rsidRPr="00A300C6">
        <w:rPr>
          <w:rtl/>
        </w:rPr>
        <w:t xml:space="preserve"> </w:t>
      </w:r>
      <w:r w:rsidRPr="00A300C6">
        <w:rPr>
          <w:rFonts w:hint="eastAsia"/>
          <w:rtl/>
        </w:rPr>
        <w:t>חקיקת</w:t>
      </w:r>
      <w:r w:rsidRPr="00A300C6">
        <w:rPr>
          <w:rtl/>
        </w:rPr>
        <w:t xml:space="preserve"> </w:t>
      </w:r>
      <w:r w:rsidRPr="00A300C6">
        <w:rPr>
          <w:rFonts w:hint="eastAsia"/>
          <w:rtl/>
        </w:rPr>
        <w:t>יסוד</w:t>
      </w:r>
      <w:r w:rsidRPr="00A300C6">
        <w:rPr>
          <w:rtl/>
        </w:rPr>
        <w:t xml:space="preserve"> </w:t>
      </w:r>
      <w:r w:rsidRPr="00A300C6">
        <w:rPr>
          <w:rFonts w:hint="eastAsia"/>
          <w:rtl/>
        </w:rPr>
        <w:t>נועדה</w:t>
      </w:r>
      <w:r>
        <w:rPr>
          <w:rFonts w:hint="cs"/>
          <w:rtl/>
        </w:rPr>
        <w:t>, בראש ובראשונה,</w:t>
      </w:r>
      <w:r w:rsidRPr="00A300C6">
        <w:rPr>
          <w:rFonts w:hint="cs"/>
          <w:rtl/>
        </w:rPr>
        <w:t xml:space="preserve"> </w:t>
      </w:r>
      <w:r>
        <w:rPr>
          <w:rFonts w:hint="cs"/>
          <w:rtl/>
        </w:rPr>
        <w:t>לשמור על הריבון-</w:t>
      </w:r>
      <w:r w:rsidRPr="00A300C6">
        <w:rPr>
          <w:rFonts w:hint="eastAsia"/>
          <w:rtl/>
        </w:rPr>
        <w:t>העם</w:t>
      </w:r>
      <w:r>
        <w:rPr>
          <w:rFonts w:hint="cs"/>
          <w:rtl/>
        </w:rPr>
        <w:t xml:space="preserve"> מפני פגיעה בו על-ידי נציגיו בכנסת, אשר עלולים לעשות שימוש בכוחם שלא לטובת העם, ובניגוד לסמכות שניתנה להם על-ידי העם.</w:t>
      </w:r>
    </w:p>
    <w:p w:rsidR="00D61E12" w:rsidRPr="00A300C6" w:rsidRDefault="00D61E12" w:rsidP="00D61E12">
      <w:pPr>
        <w:pStyle w:val="Ruller4"/>
        <w:spacing w:before="240" w:after="240"/>
        <w:rPr>
          <w:rFonts w:ascii="Century" w:hAnsi="Century"/>
          <w:sz w:val="22"/>
          <w:rtl/>
        </w:rPr>
      </w:pPr>
      <w:r w:rsidRPr="00A300C6">
        <w:rPr>
          <w:rFonts w:ascii="Century" w:hAnsi="Century" w:hint="cs"/>
          <w:rtl/>
        </w:rPr>
        <w:t>ב</w:t>
      </w:r>
      <w:r>
        <w:rPr>
          <w:rFonts w:ascii="Century" w:hAnsi="Century" w:hint="cs"/>
          <w:rtl/>
        </w:rPr>
        <w:t>עניין</w:t>
      </w:r>
      <w:r w:rsidRPr="00A300C6">
        <w:rPr>
          <w:rFonts w:ascii="Century" w:hAnsi="Century" w:hint="cs"/>
          <w:rtl/>
        </w:rPr>
        <w:t xml:space="preserve"> </w:t>
      </w:r>
      <w:r w:rsidRPr="00A300C6">
        <w:rPr>
          <w:rFonts w:ascii="Century" w:hAnsi="Century" w:cs="Miriam" w:hint="eastAsia"/>
          <w:b/>
          <w:spacing w:val="0"/>
          <w:szCs w:val="24"/>
          <w:rtl/>
        </w:rPr>
        <w:t>שיינפלד</w:t>
      </w:r>
      <w:r w:rsidRPr="008F547F">
        <w:rPr>
          <w:rFonts w:ascii="Century" w:hAnsi="Century"/>
          <w:rtl/>
        </w:rPr>
        <w:t xml:space="preserve"> </w:t>
      </w:r>
      <w:r>
        <w:rPr>
          <w:rFonts w:ascii="Century" w:hAnsi="Century" w:hint="cs"/>
          <w:rtl/>
        </w:rPr>
        <w:t xml:space="preserve">הבעתי דעתי כי בראש השיקולים המצדיקים ביקורת שיפוטית על חוקי-יסוד, ניצב הצורך בהגנה ובשימור על </w:t>
      </w:r>
      <w:r>
        <w:rPr>
          <w:rFonts w:hint="cs"/>
          <w:rtl/>
        </w:rPr>
        <w:t>עיקרון הפרדת הרשויות שניצב בבסיס התפיסה המדינית הדמוקרטית, בצייני כי:</w:t>
      </w:r>
    </w:p>
    <w:p w:rsidR="00D61E12" w:rsidRPr="00A300C6" w:rsidRDefault="00D61E12" w:rsidP="00D61E12">
      <w:pPr>
        <w:pStyle w:val="Ruller5"/>
        <w:spacing w:before="240" w:after="240"/>
      </w:pPr>
      <w:r>
        <w:rPr>
          <w:rFonts w:hint="cs"/>
          <w:rtl/>
        </w:rPr>
        <w:t>"</w:t>
      </w:r>
      <w:r>
        <w:rPr>
          <w:rtl/>
        </w:rPr>
        <w:t xml:space="preserve">במצב דברים זה, קרי בהיעדרה של חוקה שלמה ופורמלית ובהינתן המציאות מזה עשרות שנים, בה נורמות חוקתיות בישראל נקבעות, בהליך חקיקתי רגיל וללא הבחנה בין הכובע המכונן והכובע המחוקק, בניגוד להליכים המקובלים בעולם </w:t>
      </w:r>
      <w:r>
        <w:rPr>
          <w:rFonts w:hint="cs"/>
          <w:rtl/>
        </w:rPr>
        <w:t>[...]</w:t>
      </w:r>
      <w:r>
        <w:rPr>
          <w:rtl/>
        </w:rPr>
        <w:t xml:space="preserve"> – סבורני כי קיימת חשיבות לא מבוטלת, לשימור מערך האיזונים והבלמים העדין שקיים בין הרשות המכוננת לבין הרשות השופטת </w:t>
      </w:r>
      <w:r w:rsidRPr="00495A04">
        <w:rPr>
          <w:color w:val="000000"/>
          <w:rtl/>
        </w:rPr>
        <w:t>[...]</w:t>
      </w:r>
      <w:r w:rsidRPr="00495A04">
        <w:rPr>
          <w:rtl/>
        </w:rPr>
        <w:t xml:space="preserve"> </w:t>
      </w:r>
      <w:r w:rsidRPr="00495A04">
        <w:rPr>
          <w:rFonts w:hint="eastAsia"/>
          <w:rtl/>
        </w:rPr>
        <w:t>תפקידו</w:t>
      </w:r>
      <w:r w:rsidRPr="00495A04">
        <w:rPr>
          <w:rtl/>
        </w:rPr>
        <w:t xml:space="preserve"> </w:t>
      </w:r>
      <w:r w:rsidRPr="00495A04">
        <w:rPr>
          <w:rFonts w:hint="eastAsia"/>
          <w:rtl/>
        </w:rPr>
        <w:t>של</w:t>
      </w:r>
      <w:r w:rsidRPr="00495A04">
        <w:rPr>
          <w:rtl/>
        </w:rPr>
        <w:t xml:space="preserve"> </w:t>
      </w:r>
      <w:r w:rsidRPr="00495A04">
        <w:rPr>
          <w:rFonts w:hint="eastAsia"/>
          <w:rtl/>
        </w:rPr>
        <w:t>בית</w:t>
      </w:r>
      <w:r w:rsidRPr="00495A04">
        <w:rPr>
          <w:rtl/>
        </w:rPr>
        <w:t xml:space="preserve"> </w:t>
      </w:r>
      <w:r w:rsidRPr="00495A04">
        <w:rPr>
          <w:rFonts w:hint="eastAsia"/>
          <w:rtl/>
        </w:rPr>
        <w:t>המשפט</w:t>
      </w:r>
      <w:r w:rsidRPr="00495A04">
        <w:rPr>
          <w:rtl/>
        </w:rPr>
        <w:t xml:space="preserve"> </w:t>
      </w:r>
      <w:r w:rsidRPr="00495A04">
        <w:rPr>
          <w:rFonts w:hint="eastAsia"/>
          <w:rtl/>
        </w:rPr>
        <w:t>בהקשר</w:t>
      </w:r>
      <w:r w:rsidRPr="00495A04">
        <w:rPr>
          <w:rtl/>
        </w:rPr>
        <w:t xml:space="preserve"> </w:t>
      </w:r>
      <w:r w:rsidRPr="00495A04">
        <w:rPr>
          <w:rFonts w:hint="eastAsia"/>
          <w:rtl/>
        </w:rPr>
        <w:t>זה</w:t>
      </w:r>
      <w:r w:rsidRPr="00495A04">
        <w:rPr>
          <w:rtl/>
        </w:rPr>
        <w:t xml:space="preserve"> </w:t>
      </w:r>
      <w:r w:rsidRPr="00495A04">
        <w:rPr>
          <w:rFonts w:hint="eastAsia"/>
          <w:rtl/>
        </w:rPr>
        <w:t>ברור</w:t>
      </w:r>
      <w:r w:rsidRPr="00495A04">
        <w:rPr>
          <w:rtl/>
        </w:rPr>
        <w:t xml:space="preserve"> </w:t>
      </w:r>
      <w:r w:rsidRPr="00495A04">
        <w:rPr>
          <w:rFonts w:hint="eastAsia"/>
          <w:rtl/>
        </w:rPr>
        <w:t>עוד</w:t>
      </w:r>
      <w:r w:rsidRPr="00495A04">
        <w:rPr>
          <w:rtl/>
        </w:rPr>
        <w:t xml:space="preserve"> </w:t>
      </w:r>
      <w:r w:rsidRPr="00495A04">
        <w:rPr>
          <w:rFonts w:hint="eastAsia"/>
          <w:rtl/>
        </w:rPr>
        <w:t>יותר</w:t>
      </w:r>
      <w:r w:rsidRPr="00495A04">
        <w:rPr>
          <w:rtl/>
        </w:rPr>
        <w:t xml:space="preserve"> </w:t>
      </w:r>
      <w:r w:rsidRPr="00495A04">
        <w:rPr>
          <w:rFonts w:hint="eastAsia"/>
          <w:rtl/>
        </w:rPr>
        <w:t>בעיניי</w:t>
      </w:r>
      <w:r w:rsidRPr="00495A04">
        <w:rPr>
          <w:rtl/>
        </w:rPr>
        <w:t xml:space="preserve">, </w:t>
      </w:r>
      <w:r w:rsidRPr="00495A04">
        <w:rPr>
          <w:rFonts w:hint="eastAsia"/>
          <w:rtl/>
        </w:rPr>
        <w:t>נוכח</w:t>
      </w:r>
      <w:r w:rsidRPr="00495A04">
        <w:rPr>
          <w:rtl/>
        </w:rPr>
        <w:t xml:space="preserve"> </w:t>
      </w:r>
      <w:r w:rsidRPr="00495A04">
        <w:rPr>
          <w:rFonts w:hint="eastAsia"/>
          <w:rtl/>
        </w:rPr>
        <w:t>המאפיינים</w:t>
      </w:r>
      <w:r w:rsidRPr="00495A04">
        <w:rPr>
          <w:rtl/>
        </w:rPr>
        <w:t xml:space="preserve"> </w:t>
      </w:r>
      <w:r w:rsidRPr="0058022A">
        <w:rPr>
          <w:rFonts w:hint="eastAsia"/>
          <w:rtl/>
        </w:rPr>
        <w:t>הייחודיים</w:t>
      </w:r>
      <w:r w:rsidRPr="0058022A">
        <w:rPr>
          <w:rtl/>
        </w:rPr>
        <w:t xml:space="preserve"> </w:t>
      </w:r>
      <w:r w:rsidRPr="0058022A">
        <w:rPr>
          <w:rFonts w:hint="eastAsia"/>
          <w:rtl/>
        </w:rPr>
        <w:t>של</w:t>
      </w:r>
      <w:r w:rsidRPr="0058022A">
        <w:rPr>
          <w:rtl/>
        </w:rPr>
        <w:t xml:space="preserve"> </w:t>
      </w:r>
      <w:r w:rsidRPr="0058022A">
        <w:rPr>
          <w:rFonts w:hint="eastAsia"/>
          <w:rtl/>
        </w:rPr>
        <w:t>המערכת</w:t>
      </w:r>
      <w:r w:rsidRPr="00A300C6">
        <w:rPr>
          <w:rtl/>
        </w:rPr>
        <w:t xml:space="preserve"> </w:t>
      </w:r>
      <w:r w:rsidRPr="00A300C6">
        <w:rPr>
          <w:rFonts w:hint="eastAsia"/>
          <w:rtl/>
        </w:rPr>
        <w:t>השלטונית</w:t>
      </w:r>
      <w:r w:rsidRPr="00A300C6">
        <w:rPr>
          <w:rtl/>
        </w:rPr>
        <w:t>-</w:t>
      </w:r>
      <w:r w:rsidRPr="00A300C6">
        <w:rPr>
          <w:rFonts w:hint="eastAsia"/>
          <w:rtl/>
        </w:rPr>
        <w:t>מוסדית</w:t>
      </w:r>
      <w:r w:rsidRPr="00A300C6">
        <w:rPr>
          <w:rtl/>
        </w:rPr>
        <w:t xml:space="preserve"> </w:t>
      </w:r>
      <w:r w:rsidRPr="00A300C6">
        <w:rPr>
          <w:rFonts w:hint="eastAsia"/>
          <w:rtl/>
        </w:rPr>
        <w:t>בישראל</w:t>
      </w:r>
      <w:r w:rsidRPr="00A300C6">
        <w:rPr>
          <w:rtl/>
        </w:rPr>
        <w:t xml:space="preserve">, </w:t>
      </w:r>
      <w:r w:rsidRPr="00A300C6">
        <w:rPr>
          <w:rFonts w:hint="eastAsia"/>
          <w:rtl/>
        </w:rPr>
        <w:t>ובפרט</w:t>
      </w:r>
      <w:r w:rsidRPr="00A300C6">
        <w:rPr>
          <w:rtl/>
        </w:rPr>
        <w:t xml:space="preserve"> </w:t>
      </w:r>
      <w:r w:rsidRPr="00A300C6">
        <w:rPr>
          <w:rFonts w:hint="eastAsia"/>
          <w:rtl/>
        </w:rPr>
        <w:t>ההשפעה</w:t>
      </w:r>
      <w:r w:rsidRPr="00A300C6">
        <w:rPr>
          <w:rtl/>
        </w:rPr>
        <w:t xml:space="preserve"> </w:t>
      </w:r>
      <w:r w:rsidRPr="00A300C6">
        <w:rPr>
          <w:rFonts w:hint="eastAsia"/>
          <w:rtl/>
        </w:rPr>
        <w:t>הרבה</w:t>
      </w:r>
      <w:r w:rsidRPr="00A300C6">
        <w:rPr>
          <w:rtl/>
        </w:rPr>
        <w:t xml:space="preserve">, </w:t>
      </w:r>
      <w:r w:rsidRPr="00A300C6">
        <w:rPr>
          <w:rFonts w:hint="eastAsia"/>
          <w:rtl/>
        </w:rPr>
        <w:t>והכמעט</w:t>
      </w:r>
      <w:r w:rsidRPr="00A300C6">
        <w:rPr>
          <w:rtl/>
        </w:rPr>
        <w:t xml:space="preserve"> </w:t>
      </w:r>
      <w:r w:rsidRPr="00A300C6">
        <w:rPr>
          <w:rFonts w:hint="eastAsia"/>
          <w:rtl/>
        </w:rPr>
        <w:t>בלעדית</w:t>
      </w:r>
      <w:r w:rsidRPr="00A300C6">
        <w:rPr>
          <w:rtl/>
        </w:rPr>
        <w:t xml:space="preserve">, </w:t>
      </w:r>
      <w:r w:rsidRPr="00A300C6">
        <w:rPr>
          <w:rFonts w:hint="eastAsia"/>
          <w:rtl/>
        </w:rPr>
        <w:t>של</w:t>
      </w:r>
      <w:r w:rsidRPr="00A300C6">
        <w:rPr>
          <w:rtl/>
        </w:rPr>
        <w:t xml:space="preserve"> </w:t>
      </w:r>
      <w:r w:rsidRPr="00A300C6">
        <w:rPr>
          <w:rFonts w:hint="eastAsia"/>
          <w:rtl/>
        </w:rPr>
        <w:t>הממשלה</w:t>
      </w:r>
      <w:r w:rsidRPr="00A300C6">
        <w:rPr>
          <w:rtl/>
        </w:rPr>
        <w:t xml:space="preserve"> </w:t>
      </w:r>
      <w:r w:rsidRPr="00A300C6">
        <w:rPr>
          <w:rFonts w:hint="eastAsia"/>
          <w:rtl/>
        </w:rPr>
        <w:t>על</w:t>
      </w:r>
      <w:r w:rsidRPr="00A300C6">
        <w:rPr>
          <w:rtl/>
        </w:rPr>
        <w:t xml:space="preserve"> </w:t>
      </w:r>
      <w:r w:rsidRPr="00A300C6">
        <w:rPr>
          <w:rFonts w:hint="eastAsia"/>
          <w:rtl/>
        </w:rPr>
        <w:t>הליכי</w:t>
      </w:r>
      <w:r w:rsidRPr="00A300C6">
        <w:rPr>
          <w:rtl/>
        </w:rPr>
        <w:t xml:space="preserve"> </w:t>
      </w:r>
      <w:r w:rsidRPr="00A300C6">
        <w:rPr>
          <w:rFonts w:hint="eastAsia"/>
          <w:rtl/>
        </w:rPr>
        <w:t>חקיקה</w:t>
      </w:r>
      <w:r w:rsidRPr="00A300C6">
        <w:rPr>
          <w:rtl/>
        </w:rPr>
        <w:t xml:space="preserve"> </w:t>
      </w:r>
      <w:r w:rsidRPr="00A300C6">
        <w:rPr>
          <w:rFonts w:hint="eastAsia"/>
          <w:rtl/>
        </w:rPr>
        <w:t>בכנסת</w:t>
      </w:r>
      <w:r w:rsidRPr="00A300C6">
        <w:rPr>
          <w:rtl/>
        </w:rPr>
        <w:t xml:space="preserve"> </w:t>
      </w:r>
      <w:r>
        <w:rPr>
          <w:rFonts w:ascii="Century" w:hAnsi="Century" w:hint="cs"/>
          <w:rtl/>
        </w:rPr>
        <w:t>[...]</w:t>
      </w:r>
      <w:r w:rsidRPr="00A300C6">
        <w:rPr>
          <w:rtl/>
        </w:rPr>
        <w:t>" (</w:t>
      </w:r>
      <w:r w:rsidRPr="00A300C6">
        <w:rPr>
          <w:rFonts w:hint="eastAsia"/>
          <w:rtl/>
        </w:rPr>
        <w:t>שם</w:t>
      </w:r>
      <w:r w:rsidRPr="00A300C6">
        <w:rPr>
          <w:rtl/>
        </w:rPr>
        <w:t xml:space="preserve">, </w:t>
      </w:r>
      <w:r w:rsidRPr="00A300C6">
        <w:rPr>
          <w:rFonts w:hint="eastAsia"/>
          <w:rtl/>
        </w:rPr>
        <w:t>בפסקה</w:t>
      </w:r>
      <w:r w:rsidRPr="00A300C6">
        <w:rPr>
          <w:rtl/>
        </w:rPr>
        <w:t xml:space="preserve"> 5 </w:t>
      </w:r>
      <w:r w:rsidRPr="00A300C6">
        <w:rPr>
          <w:rFonts w:hint="eastAsia"/>
          <w:rtl/>
        </w:rPr>
        <w:t>לחוות</w:t>
      </w:r>
      <w:r w:rsidRPr="00A300C6">
        <w:rPr>
          <w:rtl/>
        </w:rPr>
        <w:t xml:space="preserve"> </w:t>
      </w:r>
      <w:r w:rsidRPr="00A300C6">
        <w:rPr>
          <w:rFonts w:hint="eastAsia"/>
          <w:rtl/>
        </w:rPr>
        <w:t>דעתי</w:t>
      </w:r>
      <w:r>
        <w:rPr>
          <w:rFonts w:hint="cs"/>
          <w:rtl/>
        </w:rPr>
        <w:t>; ההפניות הושמטו</w:t>
      </w:r>
      <w:r w:rsidRPr="00A300C6">
        <w:rPr>
          <w:rtl/>
        </w:rPr>
        <w:t>).</w:t>
      </w:r>
    </w:p>
    <w:p w:rsidR="00D61E12" w:rsidRDefault="00D61E12" w:rsidP="00D61E12">
      <w:pPr>
        <w:pStyle w:val="Ruller4"/>
        <w:numPr>
          <w:ilvl w:val="0"/>
          <w:numId w:val="0"/>
        </w:numPr>
        <w:spacing w:before="240" w:after="240"/>
        <w:rPr>
          <w:rtl/>
        </w:rPr>
      </w:pPr>
      <w:r>
        <w:rPr>
          <w:rtl/>
        </w:rPr>
        <w:tab/>
      </w:r>
      <w:r>
        <w:rPr>
          <w:rFonts w:hint="cs"/>
          <w:rtl/>
        </w:rPr>
        <w:t>ו</w:t>
      </w:r>
      <w:r w:rsidRPr="00A300C6">
        <w:rPr>
          <w:rFonts w:hint="eastAsia"/>
          <w:rtl/>
        </w:rPr>
        <w:t>כדברי</w:t>
      </w:r>
      <w:r w:rsidRPr="00A300C6">
        <w:rPr>
          <w:rtl/>
        </w:rPr>
        <w:t xml:space="preserve"> </w:t>
      </w:r>
      <w:r w:rsidRPr="00A300C6">
        <w:rPr>
          <w:rFonts w:hint="eastAsia"/>
          <w:rtl/>
        </w:rPr>
        <w:t>חברי</w:t>
      </w:r>
      <w:r w:rsidRPr="00A300C6">
        <w:rPr>
          <w:rtl/>
        </w:rPr>
        <w:t xml:space="preserve">, </w:t>
      </w:r>
      <w:r w:rsidRPr="00A300C6">
        <w:rPr>
          <w:rFonts w:hint="eastAsia"/>
          <w:rtl/>
        </w:rPr>
        <w:t>השופט</w:t>
      </w:r>
      <w:r w:rsidRPr="00A300C6">
        <w:rPr>
          <w:rtl/>
        </w:rPr>
        <w:t xml:space="preserve"> </w:t>
      </w:r>
      <w:r w:rsidRPr="00A300C6">
        <w:rPr>
          <w:rFonts w:ascii="Century" w:hAnsi="Century" w:cs="Miriam" w:hint="eastAsia"/>
          <w:b/>
          <w:spacing w:val="0"/>
          <w:sz w:val="22"/>
          <w:szCs w:val="24"/>
          <w:rtl/>
        </w:rPr>
        <w:t>נ</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סולברג</w:t>
      </w:r>
      <w:r w:rsidRPr="00A300C6">
        <w:rPr>
          <w:rtl/>
        </w:rPr>
        <w:t xml:space="preserve">, </w:t>
      </w:r>
      <w:r w:rsidRPr="00A300C6">
        <w:rPr>
          <w:rFonts w:hint="eastAsia"/>
          <w:rtl/>
        </w:rPr>
        <w:t>בבג</w:t>
      </w:r>
      <w:r w:rsidRPr="00A300C6">
        <w:rPr>
          <w:rtl/>
        </w:rPr>
        <w:t>"</w:t>
      </w:r>
      <w:r w:rsidRPr="00A300C6">
        <w:rPr>
          <w:rFonts w:hint="eastAsia"/>
          <w:rtl/>
        </w:rPr>
        <w:t>ץ</w:t>
      </w:r>
      <w:r w:rsidRPr="00A300C6">
        <w:rPr>
          <w:rtl/>
        </w:rPr>
        <w:t xml:space="preserve"> 10042/16 </w:t>
      </w:r>
      <w:r w:rsidRPr="00A300C6">
        <w:rPr>
          <w:rFonts w:ascii="Century" w:hAnsi="Century" w:cs="Miriam" w:hint="eastAsia"/>
          <w:b/>
          <w:spacing w:val="0"/>
          <w:sz w:val="22"/>
          <w:szCs w:val="24"/>
          <w:rtl/>
        </w:rPr>
        <w:t>קוונטינסקי</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נ</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כנסת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ישראל</w:t>
      </w:r>
      <w:r w:rsidRPr="00A300C6">
        <w:rPr>
          <w:rtl/>
        </w:rPr>
        <w:t xml:space="preserve">, </w:t>
      </w:r>
      <w:r w:rsidRPr="00A300C6">
        <w:rPr>
          <w:rFonts w:hint="eastAsia"/>
          <w:rtl/>
        </w:rPr>
        <w:t>פסקה</w:t>
      </w:r>
      <w:r w:rsidRPr="00A300C6">
        <w:rPr>
          <w:rtl/>
        </w:rPr>
        <w:t xml:space="preserve"> 36 </w:t>
      </w:r>
      <w:r w:rsidRPr="00A300C6">
        <w:rPr>
          <w:rFonts w:hint="eastAsia"/>
          <w:rtl/>
        </w:rPr>
        <w:t>לחוות</w:t>
      </w:r>
      <w:r w:rsidRPr="00A300C6">
        <w:rPr>
          <w:rtl/>
        </w:rPr>
        <w:t xml:space="preserve"> </w:t>
      </w:r>
      <w:r w:rsidRPr="00A300C6">
        <w:rPr>
          <w:rFonts w:hint="eastAsia"/>
          <w:rtl/>
        </w:rPr>
        <w:t>דעתו</w:t>
      </w:r>
      <w:r w:rsidRPr="00A300C6">
        <w:rPr>
          <w:rtl/>
        </w:rPr>
        <w:t xml:space="preserve"> (06.08.2017)</w:t>
      </w:r>
      <w:r>
        <w:rPr>
          <w:rFonts w:hint="cs"/>
          <w:rtl/>
        </w:rPr>
        <w:t xml:space="preserve"> (להלן: </w:t>
      </w:r>
      <w:r w:rsidRPr="003D0DC5">
        <w:rPr>
          <w:rFonts w:ascii="Century" w:hAnsi="Century" w:cs="Miriam" w:hint="eastAsia"/>
          <w:b/>
          <w:spacing w:val="0"/>
          <w:sz w:val="22"/>
          <w:szCs w:val="24"/>
          <w:rtl/>
        </w:rPr>
        <w:t>עניין</w:t>
      </w:r>
      <w:r w:rsidRPr="003D0DC5">
        <w:rPr>
          <w:rFonts w:ascii="Century" w:hAnsi="Century" w:cs="Miriam"/>
          <w:b/>
          <w:spacing w:val="0"/>
          <w:sz w:val="22"/>
          <w:szCs w:val="24"/>
          <w:rtl/>
        </w:rPr>
        <w:t xml:space="preserve"> </w:t>
      </w:r>
      <w:r w:rsidRPr="003D0DC5">
        <w:rPr>
          <w:rFonts w:ascii="Century" w:hAnsi="Century" w:cs="Miriam" w:hint="eastAsia"/>
          <w:b/>
          <w:spacing w:val="0"/>
          <w:sz w:val="22"/>
          <w:szCs w:val="24"/>
          <w:rtl/>
        </w:rPr>
        <w:t>קוונטינסקי</w:t>
      </w:r>
      <w:r>
        <w:rPr>
          <w:rFonts w:hint="cs"/>
          <w:rtl/>
        </w:rPr>
        <w:t>)</w:t>
      </w:r>
      <w:r w:rsidRPr="00370368">
        <w:rPr>
          <w:rtl/>
        </w:rPr>
        <w:t>: "</w:t>
      </w:r>
      <w:r w:rsidRPr="00A300C6">
        <w:rPr>
          <w:rFonts w:ascii="Century" w:hAnsi="Century" w:cs="Miriam" w:hint="eastAsia"/>
          <w:b/>
          <w:spacing w:val="0"/>
          <w:sz w:val="22"/>
          <w:szCs w:val="24"/>
          <w:rtl/>
        </w:rPr>
        <w:t>לעיתים</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דווקא</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התערבות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lastRenderedPageBreak/>
        <w:t>ביקורתית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של</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רשות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אחת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בפעולתה</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של</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רשות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אחרת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היא</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אשר</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שומרת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על</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מעמדן</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ההולם</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של</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רשויות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השלטון</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כולן</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ומונעת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ניצול</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לרעה</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של</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הכוח</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המסור</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להן</w:t>
      </w:r>
      <w:r>
        <w:rPr>
          <w:rFonts w:hint="cs"/>
          <w:rtl/>
        </w:rPr>
        <w:t xml:space="preserve">". אחר דברים אלו אף הביא חברי, מדבריו של השופט </w:t>
      </w:r>
      <w:r w:rsidRPr="00A300C6">
        <w:rPr>
          <w:rFonts w:ascii="Century" w:hAnsi="Century" w:cs="Miriam" w:hint="eastAsia"/>
          <w:b/>
          <w:spacing w:val="0"/>
          <w:sz w:val="22"/>
          <w:szCs w:val="24"/>
          <w:rtl/>
        </w:rPr>
        <w:t>חשין</w:t>
      </w:r>
      <w:r>
        <w:rPr>
          <w:rFonts w:hint="cs"/>
          <w:rtl/>
        </w:rPr>
        <w:t xml:space="preserve"> בעניין </w:t>
      </w:r>
      <w:r w:rsidRPr="00A300C6">
        <w:rPr>
          <w:rFonts w:ascii="Century" w:hAnsi="Century" w:cs="Miriam" w:hint="eastAsia"/>
          <w:b/>
          <w:spacing w:val="0"/>
          <w:sz w:val="22"/>
          <w:szCs w:val="24"/>
          <w:rtl/>
        </w:rPr>
        <w:t>מגדלי</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העופות</w:t>
      </w:r>
      <w:r>
        <w:rPr>
          <w:rFonts w:ascii="Century" w:hAnsi="Century" w:hint="cs"/>
          <w:sz w:val="22"/>
          <w:rtl/>
        </w:rPr>
        <w:t>, שאת דבריו מצאתי להביא גם כן</w:t>
      </w:r>
      <w:r>
        <w:rPr>
          <w:rFonts w:hint="cs"/>
          <w:rtl/>
        </w:rPr>
        <w:t>:</w:t>
      </w:r>
    </w:p>
    <w:p w:rsidR="00D61E12" w:rsidRPr="008D122B" w:rsidRDefault="00D61E12" w:rsidP="00D61E12">
      <w:pPr>
        <w:pStyle w:val="Ruller5"/>
        <w:spacing w:before="240" w:after="240"/>
      </w:pPr>
      <w:r>
        <w:rPr>
          <w:rtl/>
        </w:rPr>
        <w:t xml:space="preserve">"לכל אחת משלוש הרשויות העושות שלטון מוקצית חלקה משלה, ובה היא שליטה בלבדית – חלקת-מחוקק, חלקת-מבצע, חלקת-שופט. בה-בעת מחזיקה כל רשות בקרניהן של שתי הרשויות האחרות ומוחזקת היא בקרניה על-ידי שתי הרשויות האחרות, לבל תנגח רשות את רעותה, ולבל תשתלט רשות על חלקותיהן של אחיותיה הרשויות האחרות. הרשויות נפרדות אפוא אישה מרעותה, אך גם קשורות הן ביניהן-לבין-עצמן. מדברים אנו במעין-סחַרְחֶרֶת ולה שלוש כנפיים. חוכמת המדינאות היא כי יישמר שיווי-משקל, והנדנדה תיסוב במתינות לרווחתם של הכול. ואולם, שעה שאחת מן הרשויות תטלטל את קרניה יתר-על-המידה, או מקום שאחת מן הרוכבות על כנף-הנדנדה תפר את שיווי-המשקל, ייפרעו הסדרים, וטלטלה תאחז בכל מערך השלטון" (בג"ץ 4885/03 </w:t>
      </w:r>
      <w:r w:rsidRPr="00A300C6">
        <w:rPr>
          <w:rFonts w:ascii="Century" w:hAnsi="Century" w:cs="Miriam" w:hint="eastAsia"/>
          <w:b/>
          <w:spacing w:val="0"/>
          <w:szCs w:val="24"/>
          <w:rtl/>
        </w:rPr>
        <w:t>ארגון</w:t>
      </w:r>
      <w:r w:rsidRPr="00A300C6">
        <w:rPr>
          <w:rFonts w:ascii="Century" w:hAnsi="Century" w:cs="Miriam"/>
          <w:b/>
          <w:spacing w:val="0"/>
          <w:szCs w:val="24"/>
          <w:rtl/>
        </w:rPr>
        <w:t xml:space="preserve"> </w:t>
      </w:r>
      <w:r w:rsidRPr="00A300C6">
        <w:rPr>
          <w:rFonts w:ascii="Century" w:hAnsi="Century" w:cs="Miriam" w:hint="eastAsia"/>
          <w:b/>
          <w:spacing w:val="0"/>
          <w:szCs w:val="24"/>
          <w:rtl/>
        </w:rPr>
        <w:t>מגדלי</w:t>
      </w:r>
      <w:r w:rsidRPr="00A300C6">
        <w:rPr>
          <w:rFonts w:ascii="Century" w:hAnsi="Century" w:cs="Miriam"/>
          <w:b/>
          <w:spacing w:val="0"/>
          <w:szCs w:val="24"/>
          <w:rtl/>
        </w:rPr>
        <w:t xml:space="preserve"> </w:t>
      </w:r>
      <w:r w:rsidRPr="00A300C6">
        <w:rPr>
          <w:rFonts w:ascii="Century" w:hAnsi="Century" w:cs="Miriam" w:hint="eastAsia"/>
          <w:b/>
          <w:spacing w:val="0"/>
          <w:szCs w:val="24"/>
          <w:rtl/>
        </w:rPr>
        <w:t>העופות</w:t>
      </w:r>
      <w:r w:rsidRPr="00A300C6">
        <w:rPr>
          <w:rFonts w:ascii="Century" w:hAnsi="Century" w:cs="Miriam"/>
          <w:b/>
          <w:spacing w:val="0"/>
          <w:szCs w:val="24"/>
          <w:rtl/>
        </w:rPr>
        <w:t xml:space="preserve"> </w:t>
      </w:r>
      <w:r w:rsidRPr="00A300C6">
        <w:rPr>
          <w:rFonts w:ascii="Century" w:hAnsi="Century" w:cs="Miriam" w:hint="eastAsia"/>
          <w:b/>
          <w:spacing w:val="0"/>
          <w:szCs w:val="24"/>
          <w:rtl/>
        </w:rPr>
        <w:t>בישראל</w:t>
      </w:r>
      <w:r w:rsidRPr="00A300C6">
        <w:rPr>
          <w:rFonts w:ascii="Century" w:hAnsi="Century" w:cs="Miriam"/>
          <w:b/>
          <w:spacing w:val="0"/>
          <w:szCs w:val="24"/>
          <w:rtl/>
        </w:rPr>
        <w:t xml:space="preserve"> </w:t>
      </w:r>
      <w:r w:rsidRPr="00A300C6">
        <w:rPr>
          <w:rFonts w:ascii="Century" w:hAnsi="Century" w:cs="Miriam" w:hint="eastAsia"/>
          <w:b/>
          <w:spacing w:val="0"/>
          <w:szCs w:val="24"/>
          <w:rtl/>
        </w:rPr>
        <w:t>אגודה</w:t>
      </w:r>
      <w:r w:rsidRPr="00A300C6">
        <w:rPr>
          <w:rFonts w:ascii="Century" w:hAnsi="Century" w:cs="Miriam"/>
          <w:b/>
          <w:spacing w:val="0"/>
          <w:szCs w:val="24"/>
          <w:rtl/>
        </w:rPr>
        <w:t xml:space="preserve"> </w:t>
      </w:r>
      <w:r w:rsidRPr="00A300C6">
        <w:rPr>
          <w:rFonts w:ascii="Century" w:hAnsi="Century" w:cs="Miriam" w:hint="eastAsia"/>
          <w:b/>
          <w:spacing w:val="0"/>
          <w:szCs w:val="24"/>
          <w:rtl/>
        </w:rPr>
        <w:t>חקלאית</w:t>
      </w:r>
      <w:r w:rsidRPr="00A300C6">
        <w:rPr>
          <w:rFonts w:ascii="Century" w:hAnsi="Century" w:cs="Miriam"/>
          <w:b/>
          <w:spacing w:val="0"/>
          <w:szCs w:val="24"/>
          <w:rtl/>
        </w:rPr>
        <w:t xml:space="preserve"> </w:t>
      </w:r>
      <w:r w:rsidRPr="00A300C6">
        <w:rPr>
          <w:rFonts w:ascii="Century" w:hAnsi="Century" w:cs="Miriam" w:hint="eastAsia"/>
          <w:b/>
          <w:spacing w:val="0"/>
          <w:szCs w:val="24"/>
          <w:rtl/>
        </w:rPr>
        <w:t>שיתופית</w:t>
      </w:r>
      <w:r w:rsidRPr="00A300C6">
        <w:rPr>
          <w:rFonts w:ascii="Century" w:hAnsi="Century" w:cs="Miriam"/>
          <w:b/>
          <w:spacing w:val="0"/>
          <w:szCs w:val="24"/>
          <w:rtl/>
        </w:rPr>
        <w:t xml:space="preserve"> </w:t>
      </w:r>
      <w:r w:rsidRPr="00A300C6">
        <w:rPr>
          <w:rFonts w:ascii="Century" w:hAnsi="Century" w:cs="Miriam" w:hint="eastAsia"/>
          <w:b/>
          <w:spacing w:val="0"/>
          <w:szCs w:val="24"/>
          <w:rtl/>
        </w:rPr>
        <w:t>בע</w:t>
      </w:r>
      <w:r w:rsidRPr="00A300C6">
        <w:rPr>
          <w:rFonts w:ascii="Century" w:hAnsi="Century" w:cs="Miriam"/>
          <w:b/>
          <w:spacing w:val="0"/>
          <w:szCs w:val="24"/>
          <w:rtl/>
        </w:rPr>
        <w:t>"</w:t>
      </w:r>
      <w:r w:rsidRPr="00A300C6">
        <w:rPr>
          <w:rFonts w:ascii="Century" w:hAnsi="Century" w:cs="Miriam" w:hint="eastAsia"/>
          <w:b/>
          <w:spacing w:val="0"/>
          <w:szCs w:val="24"/>
          <w:rtl/>
        </w:rPr>
        <w:t>מ</w:t>
      </w:r>
      <w:r w:rsidRPr="00A300C6">
        <w:rPr>
          <w:rFonts w:ascii="Century" w:hAnsi="Century" w:cs="Miriam"/>
          <w:b/>
          <w:spacing w:val="0"/>
          <w:szCs w:val="24"/>
          <w:rtl/>
        </w:rPr>
        <w:t xml:space="preserve"> </w:t>
      </w:r>
      <w:r w:rsidRPr="00A300C6">
        <w:rPr>
          <w:rFonts w:ascii="Century" w:hAnsi="Century" w:cs="Miriam" w:hint="eastAsia"/>
          <w:b/>
          <w:spacing w:val="0"/>
          <w:szCs w:val="24"/>
          <w:rtl/>
        </w:rPr>
        <w:t>נ</w:t>
      </w:r>
      <w:r w:rsidRPr="00A300C6">
        <w:rPr>
          <w:rFonts w:ascii="Century" w:hAnsi="Century" w:cs="Miriam"/>
          <w:b/>
          <w:spacing w:val="0"/>
          <w:szCs w:val="24"/>
          <w:rtl/>
        </w:rPr>
        <w:t xml:space="preserve">' </w:t>
      </w:r>
      <w:r w:rsidRPr="00A300C6">
        <w:rPr>
          <w:rFonts w:ascii="Century" w:hAnsi="Century" w:cs="Miriam" w:hint="eastAsia"/>
          <w:b/>
          <w:spacing w:val="0"/>
          <w:szCs w:val="24"/>
          <w:rtl/>
        </w:rPr>
        <w:t>ממשלת</w:t>
      </w:r>
      <w:r w:rsidRPr="00A300C6">
        <w:rPr>
          <w:rFonts w:ascii="Century" w:hAnsi="Century" w:cs="Miriam"/>
          <w:b/>
          <w:spacing w:val="0"/>
          <w:szCs w:val="24"/>
          <w:rtl/>
        </w:rPr>
        <w:t xml:space="preserve"> </w:t>
      </w:r>
      <w:r w:rsidRPr="00A300C6">
        <w:rPr>
          <w:rFonts w:ascii="Century" w:hAnsi="Century" w:cs="Miriam" w:hint="eastAsia"/>
          <w:b/>
          <w:spacing w:val="0"/>
          <w:szCs w:val="24"/>
          <w:rtl/>
        </w:rPr>
        <w:t>ישראל</w:t>
      </w:r>
      <w:r>
        <w:rPr>
          <w:rtl/>
        </w:rPr>
        <w:t>, פ"ד נט(2) 14, 82 (2004)</w:t>
      </w:r>
      <w:r>
        <w:rPr>
          <w:rFonts w:hint="cs"/>
          <w:rtl/>
        </w:rPr>
        <w:t>.</w:t>
      </w:r>
    </w:p>
    <w:p w:rsidR="00D61E12" w:rsidRPr="003D0DC5" w:rsidRDefault="00D61E12" w:rsidP="00D61E12">
      <w:pPr>
        <w:pStyle w:val="Ruller4"/>
        <w:spacing w:before="240" w:after="240"/>
        <w:rPr>
          <w:rFonts w:ascii="Century" w:hAnsi="Century"/>
          <w:sz w:val="22"/>
          <w:rtl/>
        </w:rPr>
      </w:pPr>
      <w:r>
        <w:rPr>
          <w:rFonts w:ascii="Century" w:hAnsi="Century" w:hint="cs"/>
          <w:sz w:val="22"/>
          <w:rtl/>
        </w:rPr>
        <w:t xml:space="preserve">בעניין </w:t>
      </w:r>
      <w:r>
        <w:rPr>
          <w:rFonts w:ascii="Century" w:hAnsi="Century" w:cs="Miriam" w:hint="cs"/>
          <w:b/>
          <w:spacing w:val="0"/>
          <w:sz w:val="22"/>
          <w:szCs w:val="24"/>
          <w:rtl/>
        </w:rPr>
        <w:t xml:space="preserve">קוונטינסקי </w:t>
      </w:r>
      <w:r>
        <w:rPr>
          <w:rFonts w:ascii="Century" w:hAnsi="Century" w:hint="cs"/>
          <w:sz w:val="22"/>
          <w:rtl/>
        </w:rPr>
        <w:t xml:space="preserve">נקבע, בין היתר על יסוד האמור לעיל, כי דבר חקיקה יהיה חסר תוקף אם חברי הכנסת </w:t>
      </w:r>
      <w:r w:rsidRPr="002333D1">
        <w:rPr>
          <w:rFonts w:ascii="Century" w:hAnsi="Century" w:hint="cs"/>
          <w:sz w:val="22"/>
          <w:rtl/>
        </w:rPr>
        <w:t xml:space="preserve">לא קיבלו </w:t>
      </w:r>
      <w:r>
        <w:rPr>
          <w:rFonts w:ascii="Century" w:hAnsi="Century" w:hint="cs"/>
          <w:sz w:val="22"/>
          <w:rtl/>
        </w:rPr>
        <w:t>"</w:t>
      </w:r>
      <w:r w:rsidRPr="003D0DC5">
        <w:rPr>
          <w:rFonts w:ascii="Century" w:hAnsi="Century" w:cs="Miriam"/>
          <w:b/>
          <w:spacing w:val="0"/>
          <w:sz w:val="22"/>
          <w:szCs w:val="24"/>
          <w:rtl/>
        </w:rPr>
        <w:t>אפשרות מעשית כלשהי לקיים דיון מינימלי בהצעת החוק ולגבש עמדה מוּשׂכּלת לגביה</w:t>
      </w:r>
      <w:r>
        <w:rPr>
          <w:rFonts w:ascii="Century" w:hAnsi="Century" w:hint="cs"/>
          <w:sz w:val="22"/>
          <w:rtl/>
        </w:rPr>
        <w:t xml:space="preserve">" (שם, בפסקה 69). דהיינו, גם אם כל חברי הכנסת יבחרו </w:t>
      </w:r>
      <w:r w:rsidRPr="003D0DC5">
        <w:rPr>
          <w:rFonts w:ascii="Century" w:hAnsi="Century" w:cs="Miriam" w:hint="eastAsia"/>
          <w:b/>
          <w:spacing w:val="0"/>
          <w:sz w:val="22"/>
          <w:szCs w:val="24"/>
          <w:rtl/>
        </w:rPr>
        <w:t>באופן</w:t>
      </w:r>
      <w:r w:rsidRPr="003D0DC5">
        <w:rPr>
          <w:rFonts w:ascii="Century" w:hAnsi="Century" w:cs="Miriam"/>
          <w:b/>
          <w:spacing w:val="0"/>
          <w:sz w:val="22"/>
          <w:szCs w:val="24"/>
          <w:rtl/>
        </w:rPr>
        <w:t xml:space="preserve"> </w:t>
      </w:r>
      <w:r w:rsidRPr="003D0DC5">
        <w:rPr>
          <w:rFonts w:ascii="Century" w:hAnsi="Century" w:cs="Miriam" w:hint="eastAsia"/>
          <w:b/>
          <w:spacing w:val="0"/>
          <w:sz w:val="22"/>
          <w:szCs w:val="24"/>
          <w:rtl/>
        </w:rPr>
        <w:t>חופשי</w:t>
      </w:r>
      <w:r w:rsidRPr="0031497E">
        <w:rPr>
          <w:rFonts w:ascii="Century" w:hAnsi="Century" w:hint="cs"/>
          <w:sz w:val="22"/>
          <w:rtl/>
        </w:rPr>
        <w:t xml:space="preserve"> </w:t>
      </w:r>
      <w:r>
        <w:rPr>
          <w:rFonts w:ascii="Century" w:hAnsi="Century" w:hint="cs"/>
          <w:sz w:val="22"/>
          <w:rtl/>
        </w:rPr>
        <w:t>לקיים הצבעה על דבר חקיקה מבלי שניתנה להם הזדמנות כאמור, לא יהיה לכך תוקף, ובית המשפט יורה על בטלות החוק. ומדוע? משום שחברי הכנסת לא הוסמכו לחוקק חוקים מבלי לקבל הזדמנות לקיים דיון מינימלי בהצעת החוק. הגם שבאותו עניין דוּבר בפרוצדורה של חקיקת החוק ולא בתכנו, סבורני כי ניתן להסיק מאותו עניין על כך שחברי הכנסת אינם 'כל-יכולים'; זאת, גם כאשר אין כל מקור פורמלי השולל מהם לקיים הצבעה על דבר חקיקה מבלי שישנה הזדמנות מעשית לקיים דיון מינימלי בתוכנו. המגבלות המוטלות על סמכותם נובעות ממהות התפקיד שהוטל עליהם על-ידי הציבור בעת הבחירות.</w:t>
      </w:r>
    </w:p>
    <w:p w:rsidR="00D61E12" w:rsidRDefault="00D61E12" w:rsidP="00D61E12">
      <w:pPr>
        <w:pStyle w:val="Ruller4"/>
        <w:spacing w:before="240" w:after="240"/>
        <w:rPr>
          <w:rFonts w:ascii="Century" w:hAnsi="Century"/>
          <w:sz w:val="22"/>
        </w:rPr>
      </w:pPr>
      <w:r w:rsidRPr="00A300C6">
        <w:rPr>
          <w:rFonts w:ascii="Century" w:hAnsi="Century" w:hint="cs"/>
          <w:rtl/>
        </w:rPr>
        <w:t>בצד האמור, ברור כי</w:t>
      </w:r>
      <w:r w:rsidRPr="00A300C6">
        <w:rPr>
          <w:rFonts w:hint="cs"/>
          <w:rtl/>
        </w:rPr>
        <w:t xml:space="preserve"> ביקורת שיפוטית על </w:t>
      </w:r>
      <w:r>
        <w:rPr>
          <w:rFonts w:hint="cs"/>
          <w:rtl/>
        </w:rPr>
        <w:t>חוקי-יסוד</w:t>
      </w:r>
      <w:r w:rsidRPr="00A300C6">
        <w:rPr>
          <w:rFonts w:hint="cs"/>
          <w:rtl/>
        </w:rPr>
        <w:t xml:space="preserve"> איננה </w:t>
      </w:r>
      <w:r>
        <w:rPr>
          <w:rFonts w:hint="cs"/>
          <w:rtl/>
        </w:rPr>
        <w:t xml:space="preserve">אמורה להיות </w:t>
      </w:r>
      <w:r w:rsidRPr="00A300C6">
        <w:rPr>
          <w:rFonts w:hint="cs"/>
          <w:rtl/>
        </w:rPr>
        <w:t>מעשה יום ביומו, ומן הראוי כי רק שיקולים כבדי-מש</w:t>
      </w:r>
      <w:r>
        <w:rPr>
          <w:rFonts w:hint="cs"/>
          <w:rtl/>
        </w:rPr>
        <w:t>קל יחייבו את בית המשפט לעשות כן.</w:t>
      </w:r>
      <w:r w:rsidRPr="00A300C6">
        <w:rPr>
          <w:rFonts w:hint="cs"/>
          <w:rtl/>
        </w:rPr>
        <w:t xml:space="preserve"> </w:t>
      </w:r>
      <w:r>
        <w:rPr>
          <w:rFonts w:hint="cs"/>
          <w:rtl/>
        </w:rPr>
        <w:t>זאת, מכיוון</w:t>
      </w:r>
      <w:r w:rsidRPr="00A300C6">
        <w:rPr>
          <w:rFonts w:hint="cs"/>
          <w:rtl/>
        </w:rPr>
        <w:t xml:space="preserve"> </w:t>
      </w:r>
      <w:r>
        <w:rPr>
          <w:rFonts w:hint="cs"/>
          <w:rtl/>
        </w:rPr>
        <w:t>ש</w:t>
      </w:r>
      <w:r w:rsidRPr="00A300C6">
        <w:rPr>
          <w:rFonts w:hint="cs"/>
          <w:rtl/>
        </w:rPr>
        <w:t>העברת ביקורת כאמור</w:t>
      </w:r>
      <w:r>
        <w:rPr>
          <w:rFonts w:hint="cs"/>
          <w:rtl/>
        </w:rPr>
        <w:t xml:space="preserve">, ללא שקיימת לכך הסמכה </w:t>
      </w:r>
      <w:r>
        <w:rPr>
          <w:rFonts w:ascii="Century" w:hAnsi="Century" w:cs="Miriam" w:hint="cs"/>
          <w:b/>
          <w:spacing w:val="0"/>
          <w:sz w:val="22"/>
          <w:szCs w:val="24"/>
          <w:rtl/>
        </w:rPr>
        <w:t>מפורשת</w:t>
      </w:r>
      <w:r>
        <w:rPr>
          <w:rFonts w:ascii="Century" w:hAnsi="Century" w:hint="cs"/>
          <w:sz w:val="22"/>
          <w:rtl/>
        </w:rPr>
        <w:t>,</w:t>
      </w:r>
      <w:r>
        <w:rPr>
          <w:rFonts w:ascii="Century" w:hAnsi="Century" w:cs="Miriam" w:hint="cs"/>
          <w:b/>
          <w:spacing w:val="0"/>
          <w:sz w:val="22"/>
          <w:szCs w:val="24"/>
          <w:rtl/>
        </w:rPr>
        <w:t xml:space="preserve"> </w:t>
      </w:r>
      <w:r>
        <w:rPr>
          <w:rFonts w:hint="cs"/>
          <w:rtl/>
        </w:rPr>
        <w:t>מקימה בעצמה חשש לכך שהרשות השופטת תשיג את גבולה של הרשות המכוננת ותביא בכך לפגיעה בעיקרון הפרדת הרשויות וברצון העם. לצד זאת, כאמור, קיים חשש בדבר פגיעה אפשרית</w:t>
      </w:r>
      <w:r w:rsidRPr="00A300C6">
        <w:rPr>
          <w:rFonts w:hint="cs"/>
          <w:rtl/>
        </w:rPr>
        <w:t xml:space="preserve"> ב</w:t>
      </w:r>
      <w:r>
        <w:rPr>
          <w:rFonts w:hint="cs"/>
          <w:rtl/>
        </w:rPr>
        <w:t>תפיסת</w:t>
      </w:r>
      <w:r w:rsidRPr="00A300C6">
        <w:rPr>
          <w:rFonts w:hint="cs"/>
          <w:rtl/>
        </w:rPr>
        <w:t xml:space="preserve">ו של בית המשפט </w:t>
      </w:r>
      <w:r>
        <w:rPr>
          <w:rFonts w:hint="cs"/>
          <w:rtl/>
        </w:rPr>
        <w:t xml:space="preserve">על-ידי הציבור </w:t>
      </w:r>
      <w:r w:rsidRPr="00A300C6">
        <w:rPr>
          <w:rFonts w:hint="cs"/>
          <w:rtl/>
        </w:rPr>
        <w:t>כמי שאמון על יישום החוק, להבדיל מקביעת תוכנו</w:t>
      </w:r>
      <w:r>
        <w:rPr>
          <w:rFonts w:hint="cs"/>
          <w:rtl/>
        </w:rPr>
        <w:t xml:space="preserve">, וראו בהקשר זה את אזהרתו של חברי, השופט </w:t>
      </w:r>
      <w:r>
        <w:rPr>
          <w:rFonts w:ascii="Century" w:hAnsi="Century" w:cs="Miriam" w:hint="cs"/>
          <w:b/>
          <w:spacing w:val="0"/>
          <w:sz w:val="22"/>
          <w:szCs w:val="24"/>
          <w:rtl/>
        </w:rPr>
        <w:t>סולברג</w:t>
      </w:r>
      <w:r>
        <w:rPr>
          <w:rFonts w:ascii="Century" w:hAnsi="Century" w:hint="cs"/>
          <w:sz w:val="22"/>
          <w:rtl/>
        </w:rPr>
        <w:t xml:space="preserve"> כי: </w:t>
      </w:r>
    </w:p>
    <w:p w:rsidR="00D61E12" w:rsidRDefault="00D61E12" w:rsidP="00D61E12">
      <w:pPr>
        <w:pStyle w:val="Ruller5"/>
        <w:spacing w:before="240" w:after="240"/>
        <w:rPr>
          <w:rFonts w:ascii="Century" w:hAnsi="Century"/>
        </w:rPr>
      </w:pPr>
      <w:r>
        <w:rPr>
          <w:rFonts w:hint="cs"/>
          <w:rtl/>
        </w:rPr>
        <w:lastRenderedPageBreak/>
        <w:t>"הדבר עשוי להתפרש כשימוש שלא לטובה בסמכות הביקורת השיפוטית, אשר כל קיומה, בהסמכה המשתמעת שהעניק לנו המכונן-המחוקק בגדרי חוקי-היסוד [...] שומה עלינו להבטיח הפרדת רשויות, למנוע עירוב תחומין. כל רשות וגדרי תפקידה, כל פקיד וסמכויותיו-הוא, '</w:t>
      </w:r>
      <w:r w:rsidRPr="00810DD8">
        <w:rPr>
          <w:rFonts w:ascii="Century" w:hAnsi="Century" w:cs="Miriam" w:hint="cs"/>
          <w:b/>
          <w:spacing w:val="0"/>
          <w:szCs w:val="24"/>
          <w:rtl/>
        </w:rPr>
        <w:t xml:space="preserve">איש איש על עבודתו, </w:t>
      </w:r>
      <w:r w:rsidRPr="00D53DAF">
        <w:rPr>
          <w:rFonts w:ascii="Century" w:hAnsi="Century" w:cs="Miriam"/>
          <w:b/>
          <w:spacing w:val="0"/>
          <w:szCs w:val="24"/>
          <w:shd w:val="clear" w:color="auto" w:fill="FFFFFF"/>
          <w:rtl/>
        </w:rPr>
        <w:t>ואֶל משׂאו</w:t>
      </w:r>
      <w:r>
        <w:rPr>
          <w:rFonts w:ascii="Century" w:hAnsi="Century" w:hint="cs"/>
          <w:shd w:val="clear" w:color="auto" w:fill="FFFFFF"/>
          <w:rtl/>
        </w:rPr>
        <w:t>'</w:t>
      </w:r>
      <w:r w:rsidRPr="00810DD8">
        <w:rPr>
          <w:rFonts w:ascii="Century" w:hAnsi="Century" w:hint="cs"/>
          <w:shd w:val="clear" w:color="auto" w:fill="FFFFFF"/>
          <w:rtl/>
        </w:rPr>
        <w:t xml:space="preserve"> </w:t>
      </w:r>
      <w:r>
        <w:rPr>
          <w:rFonts w:ascii="Century" w:hAnsi="Century" w:hint="cs"/>
          <w:shd w:val="clear" w:color="auto" w:fill="FFFFFF"/>
          <w:rtl/>
        </w:rPr>
        <w:t xml:space="preserve">(במדבר ד, יט). אלמלא הפרדת רשויות זו, איש את רעהו </w:t>
      </w:r>
      <w:r>
        <w:rPr>
          <w:rFonts w:ascii="Century" w:hAnsi="Century"/>
          <w:shd w:val="clear" w:color="auto" w:fill="FFFFFF"/>
          <w:rtl/>
        </w:rPr>
        <w:t>–</w:t>
      </w:r>
      <w:r>
        <w:rPr>
          <w:rFonts w:ascii="Century" w:hAnsi="Century" w:hint="cs"/>
          <w:shd w:val="clear" w:color="auto" w:fill="FFFFFF"/>
          <w:rtl/>
        </w:rPr>
        <w:t xml:space="preserve"> סמכותו </w:t>
      </w:r>
      <w:r>
        <w:rPr>
          <w:rFonts w:ascii="FrankRuehl" w:hAnsi="FrankRuehl"/>
          <w:color w:val="000000"/>
          <w:sz w:val="28"/>
          <w:shd w:val="clear" w:color="auto" w:fill="FFFFFF"/>
          <w:rtl/>
        </w:rPr>
        <w:t>בּלעוֹ</w:t>
      </w:r>
      <w:r>
        <w:rPr>
          <w:rFonts w:hint="cs"/>
          <w:rtl/>
        </w:rPr>
        <w:t xml:space="preserve">" (עניין </w:t>
      </w:r>
      <w:r>
        <w:rPr>
          <w:rFonts w:ascii="Century" w:hAnsi="Century" w:cs="Miriam" w:hint="cs"/>
          <w:b/>
          <w:spacing w:val="0"/>
          <w:szCs w:val="24"/>
          <w:rtl/>
        </w:rPr>
        <w:t>שפיר</w:t>
      </w:r>
      <w:r>
        <w:rPr>
          <w:rFonts w:ascii="Century" w:hAnsi="Century" w:hint="cs"/>
          <w:rtl/>
        </w:rPr>
        <w:t xml:space="preserve">, בפסקה 28 לחוות דעתו). </w:t>
      </w:r>
    </w:p>
    <w:p w:rsidR="00D61E12" w:rsidRPr="00011760" w:rsidRDefault="00D61E12" w:rsidP="00D61E12">
      <w:pPr>
        <w:pStyle w:val="Ruller4"/>
        <w:numPr>
          <w:ilvl w:val="0"/>
          <w:numId w:val="0"/>
        </w:numPr>
        <w:spacing w:before="240" w:after="240"/>
        <w:rPr>
          <w:rFonts w:ascii="Century" w:hAnsi="Century"/>
          <w:sz w:val="22"/>
          <w:rtl/>
        </w:rPr>
      </w:pPr>
      <w:r>
        <w:rPr>
          <w:rFonts w:ascii="Century" w:hAnsi="Century"/>
          <w:sz w:val="22"/>
          <w:rtl/>
        </w:rPr>
        <w:tab/>
      </w:r>
      <w:r>
        <w:rPr>
          <w:rFonts w:ascii="Century" w:hAnsi="Century" w:hint="cs"/>
          <w:sz w:val="22"/>
          <w:rtl/>
        </w:rPr>
        <w:t>עם זאת, בהינתן כל האמור לעיל, דומה כי הביקורת השיפוטית על סמכותה המכוננת של הכנסת היא כורח המציאות; הכרח בל יגונה.</w:t>
      </w:r>
      <w:r w:rsidRPr="00413B68">
        <w:rPr>
          <w:rFonts w:hint="eastAsia"/>
          <w:rtl/>
        </w:rPr>
        <w:t xml:space="preserve"> </w:t>
      </w:r>
      <w:r>
        <w:rPr>
          <w:rFonts w:hint="cs"/>
          <w:rtl/>
        </w:rPr>
        <w:t>מכל מקום</w:t>
      </w:r>
      <w:r w:rsidRPr="004B25CF">
        <w:rPr>
          <w:rtl/>
        </w:rPr>
        <w:t xml:space="preserve">, </w:t>
      </w:r>
      <w:r>
        <w:rPr>
          <w:rFonts w:hint="cs"/>
          <w:rtl/>
        </w:rPr>
        <w:t>יש צורך</w:t>
      </w:r>
      <w:r w:rsidRPr="004B25CF">
        <w:rPr>
          <w:rtl/>
        </w:rPr>
        <w:t xml:space="preserve"> </w:t>
      </w:r>
      <w:r>
        <w:rPr>
          <w:rFonts w:hint="cs"/>
          <w:rtl/>
        </w:rPr>
        <w:t>ב</w:t>
      </w:r>
      <w:r w:rsidRPr="004B25CF">
        <w:rPr>
          <w:rFonts w:hint="eastAsia"/>
          <w:rtl/>
        </w:rPr>
        <w:t>זהירות</w:t>
      </w:r>
      <w:r w:rsidRPr="004B25CF">
        <w:rPr>
          <w:rtl/>
        </w:rPr>
        <w:t xml:space="preserve"> </w:t>
      </w:r>
      <w:r w:rsidRPr="004B25CF">
        <w:rPr>
          <w:rFonts w:hint="eastAsia"/>
          <w:rtl/>
        </w:rPr>
        <w:t>מיוחדת</w:t>
      </w:r>
      <w:r>
        <w:rPr>
          <w:rFonts w:hint="cs"/>
          <w:rtl/>
        </w:rPr>
        <w:t>. יש להשתכנע כי מדובר ב</w:t>
      </w:r>
      <w:r w:rsidRPr="004B25CF">
        <w:rPr>
          <w:rFonts w:hint="eastAsia"/>
          <w:rtl/>
        </w:rPr>
        <w:t>אירוע</w:t>
      </w:r>
      <w:r w:rsidRPr="004B25CF">
        <w:rPr>
          <w:rtl/>
        </w:rPr>
        <w:t xml:space="preserve"> </w:t>
      </w:r>
      <w:r w:rsidRPr="004B25CF">
        <w:rPr>
          <w:rFonts w:hint="eastAsia"/>
          <w:rtl/>
        </w:rPr>
        <w:t>קיצון</w:t>
      </w:r>
      <w:r w:rsidRPr="004B25CF">
        <w:rPr>
          <w:rtl/>
        </w:rPr>
        <w:t xml:space="preserve"> </w:t>
      </w:r>
      <w:r w:rsidRPr="004B25CF">
        <w:rPr>
          <w:rFonts w:hint="eastAsia"/>
          <w:rtl/>
        </w:rPr>
        <w:t>כדי</w:t>
      </w:r>
      <w:r w:rsidRPr="004B25CF">
        <w:rPr>
          <w:rtl/>
        </w:rPr>
        <w:t xml:space="preserve"> </w:t>
      </w:r>
      <w:r w:rsidRPr="004B25CF">
        <w:rPr>
          <w:rFonts w:hint="eastAsia"/>
          <w:rtl/>
        </w:rPr>
        <w:t>שבית</w:t>
      </w:r>
      <w:r w:rsidRPr="004B25CF">
        <w:rPr>
          <w:rtl/>
        </w:rPr>
        <w:t xml:space="preserve"> </w:t>
      </w:r>
      <w:r w:rsidRPr="004B25CF">
        <w:rPr>
          <w:rFonts w:hint="eastAsia"/>
          <w:rtl/>
        </w:rPr>
        <w:t>המשפט</w:t>
      </w:r>
      <w:r w:rsidRPr="004B25CF">
        <w:rPr>
          <w:rtl/>
        </w:rPr>
        <w:t xml:space="preserve"> </w:t>
      </w:r>
      <w:r>
        <w:rPr>
          <w:rFonts w:hint="cs"/>
          <w:rtl/>
        </w:rPr>
        <w:t>י</w:t>
      </w:r>
      <w:r w:rsidRPr="004B25CF">
        <w:rPr>
          <w:rFonts w:hint="eastAsia"/>
          <w:rtl/>
        </w:rPr>
        <w:t>י</w:t>
      </w:r>
      <w:r>
        <w:rPr>
          <w:rFonts w:hint="cs"/>
          <w:rtl/>
        </w:rPr>
        <w:t>טול</w:t>
      </w:r>
      <w:r w:rsidRPr="004B25CF">
        <w:rPr>
          <w:rtl/>
        </w:rPr>
        <w:t xml:space="preserve"> </w:t>
      </w:r>
      <w:r w:rsidRPr="004B25CF">
        <w:rPr>
          <w:rFonts w:hint="eastAsia"/>
          <w:rtl/>
        </w:rPr>
        <w:t>על</w:t>
      </w:r>
      <w:r w:rsidRPr="004B25CF">
        <w:rPr>
          <w:rtl/>
        </w:rPr>
        <w:t xml:space="preserve"> </w:t>
      </w:r>
      <w:r w:rsidRPr="004B25CF">
        <w:rPr>
          <w:rFonts w:hint="eastAsia"/>
          <w:rtl/>
        </w:rPr>
        <w:t>עצמו</w:t>
      </w:r>
      <w:r w:rsidRPr="004B25CF">
        <w:rPr>
          <w:rtl/>
        </w:rPr>
        <w:t xml:space="preserve"> </w:t>
      </w:r>
      <w:r w:rsidRPr="004B25CF">
        <w:rPr>
          <w:rFonts w:hint="eastAsia"/>
          <w:rtl/>
        </w:rPr>
        <w:t>את</w:t>
      </w:r>
      <w:r w:rsidRPr="004B25CF">
        <w:rPr>
          <w:rtl/>
        </w:rPr>
        <w:t xml:space="preserve"> </w:t>
      </w:r>
      <w:r w:rsidRPr="004B25CF">
        <w:rPr>
          <w:rFonts w:hint="eastAsia"/>
          <w:rtl/>
        </w:rPr>
        <w:t>התפקיד</w:t>
      </w:r>
      <w:r w:rsidRPr="004B25CF">
        <w:rPr>
          <w:rtl/>
        </w:rPr>
        <w:t xml:space="preserve"> </w:t>
      </w:r>
      <w:r>
        <w:rPr>
          <w:rFonts w:hint="cs"/>
          <w:rtl/>
        </w:rPr>
        <w:t xml:space="preserve">הרגיש </w:t>
      </w:r>
      <w:r w:rsidRPr="004B25CF">
        <w:rPr>
          <w:rFonts w:hint="eastAsia"/>
          <w:rtl/>
        </w:rPr>
        <w:t>הזה</w:t>
      </w:r>
      <w:r>
        <w:rPr>
          <w:rFonts w:hint="cs"/>
          <w:rtl/>
        </w:rPr>
        <w:t>.</w:t>
      </w:r>
    </w:p>
    <w:p w:rsidR="00D61E12" w:rsidRDefault="00D61E12" w:rsidP="00D61E12">
      <w:pPr>
        <w:pStyle w:val="Ruller4"/>
        <w:spacing w:before="240" w:after="240"/>
        <w:rPr>
          <w:rtl/>
        </w:rPr>
      </w:pPr>
      <w:r>
        <w:rPr>
          <w:rFonts w:hint="cs"/>
          <w:rtl/>
        </w:rPr>
        <w:t>לאחר מתן מענה לשאלת מקור סמכותו של בית המשפט להעביר ביקורת שיפוטית, ואף לבטל חקיקת יסוד של הכנסת, אדרש עתה, בקצרה, למהות הביקורת, ולדוקטרינות שהוצעו בפסיקה</w:t>
      </w:r>
      <w:r w:rsidDel="00413B68">
        <w:rPr>
          <w:rFonts w:hint="cs"/>
          <w:rtl/>
        </w:rPr>
        <w:t xml:space="preserve"> </w:t>
      </w:r>
      <w:r>
        <w:rPr>
          <w:rFonts w:hint="cs"/>
          <w:rtl/>
        </w:rPr>
        <w:t>בסוגיה זו.</w:t>
      </w:r>
    </w:p>
    <w:p w:rsidR="00D61E12" w:rsidRPr="001D310D" w:rsidRDefault="00D61E12" w:rsidP="002A1A3A">
      <w:pPr>
        <w:pStyle w:val="Ruller41"/>
        <w:numPr>
          <w:ilvl w:val="2"/>
          <w:numId w:val="16"/>
        </w:numPr>
        <w:spacing w:before="240" w:after="240"/>
        <w:rPr>
          <w:rFonts w:ascii="Century" w:hAnsi="Century" w:cs="Miriam"/>
          <w:b/>
          <w:spacing w:val="0"/>
          <w:szCs w:val="24"/>
          <w:rtl/>
        </w:rPr>
      </w:pPr>
      <w:r w:rsidRPr="001D310D">
        <w:rPr>
          <w:rFonts w:ascii="Century" w:hAnsi="Century" w:cs="Miriam" w:hint="cs"/>
          <w:b/>
          <w:spacing w:val="0"/>
          <w:szCs w:val="24"/>
          <w:rtl/>
        </w:rPr>
        <w:t>דוקטרינת השימוש לרעה בסמכות המכוננת</w:t>
      </w:r>
    </w:p>
    <w:p w:rsidR="00D61E12" w:rsidRPr="00190080" w:rsidRDefault="00D61E12" w:rsidP="00D61E12">
      <w:pPr>
        <w:pStyle w:val="Ruller4"/>
        <w:spacing w:before="240" w:after="240"/>
        <w:rPr>
          <w:rFonts w:ascii="Century" w:hAnsi="Century"/>
        </w:rPr>
      </w:pPr>
      <w:r w:rsidRPr="00B65627">
        <w:rPr>
          <w:rFonts w:hint="eastAsia"/>
          <w:rtl/>
        </w:rPr>
        <w:t>הדוקטרינה</w:t>
      </w:r>
      <w:r w:rsidRPr="00B65627">
        <w:rPr>
          <w:rtl/>
        </w:rPr>
        <w:t xml:space="preserve"> </w:t>
      </w:r>
      <w:r w:rsidRPr="00B65627">
        <w:rPr>
          <w:rFonts w:hint="eastAsia"/>
          <w:rtl/>
        </w:rPr>
        <w:t>המוכרת</w:t>
      </w:r>
      <w:r w:rsidRPr="00B65627">
        <w:rPr>
          <w:rtl/>
        </w:rPr>
        <w:t xml:space="preserve"> </w:t>
      </w:r>
      <w:r w:rsidRPr="00B65627">
        <w:rPr>
          <w:rFonts w:hint="eastAsia"/>
          <w:rtl/>
        </w:rPr>
        <w:t>הראשונה</w:t>
      </w:r>
      <w:r w:rsidRPr="00B65627">
        <w:rPr>
          <w:rtl/>
        </w:rPr>
        <w:t xml:space="preserve">, </w:t>
      </w:r>
      <w:r w:rsidRPr="00B65627">
        <w:rPr>
          <w:rFonts w:hint="eastAsia"/>
          <w:rtl/>
        </w:rPr>
        <w:t>שבשונה</w:t>
      </w:r>
      <w:r w:rsidRPr="00B65627">
        <w:rPr>
          <w:rtl/>
        </w:rPr>
        <w:t xml:space="preserve"> </w:t>
      </w:r>
      <w:r w:rsidRPr="00B65627">
        <w:rPr>
          <w:rFonts w:hint="eastAsia"/>
          <w:rtl/>
        </w:rPr>
        <w:t>מרעותה</w:t>
      </w:r>
      <w:r w:rsidRPr="00B65627">
        <w:rPr>
          <w:rtl/>
        </w:rPr>
        <w:t xml:space="preserve"> </w:t>
      </w:r>
      <w:r w:rsidRPr="00B65627">
        <w:rPr>
          <w:rFonts w:hint="eastAsia"/>
          <w:rtl/>
        </w:rPr>
        <w:t>עברה</w:t>
      </w:r>
      <w:r w:rsidRPr="00B65627">
        <w:rPr>
          <w:rtl/>
        </w:rPr>
        <w:t xml:space="preserve"> </w:t>
      </w:r>
      <w:r w:rsidRPr="00B65627">
        <w:rPr>
          <w:rFonts w:hint="eastAsia"/>
          <w:rtl/>
        </w:rPr>
        <w:t>תמורות</w:t>
      </w:r>
      <w:r w:rsidRPr="00B65627">
        <w:rPr>
          <w:rtl/>
        </w:rPr>
        <w:t xml:space="preserve"> </w:t>
      </w:r>
      <w:r w:rsidRPr="00B65627">
        <w:rPr>
          <w:rFonts w:hint="eastAsia"/>
          <w:rtl/>
        </w:rPr>
        <w:t>והתפתחויות</w:t>
      </w:r>
      <w:r w:rsidRPr="00B65627">
        <w:rPr>
          <w:rtl/>
        </w:rPr>
        <w:t xml:space="preserve"> </w:t>
      </w:r>
      <w:r w:rsidRPr="00B65627">
        <w:rPr>
          <w:rFonts w:hint="eastAsia"/>
          <w:rtl/>
        </w:rPr>
        <w:t>בפסיקת</w:t>
      </w:r>
      <w:r w:rsidRPr="00B65627">
        <w:rPr>
          <w:rtl/>
        </w:rPr>
        <w:t xml:space="preserve"> </w:t>
      </w:r>
      <w:r w:rsidRPr="00B65627">
        <w:rPr>
          <w:rFonts w:hint="eastAsia"/>
          <w:rtl/>
        </w:rPr>
        <w:t>בית</w:t>
      </w:r>
      <w:r w:rsidRPr="00B65627">
        <w:rPr>
          <w:rtl/>
        </w:rPr>
        <w:t xml:space="preserve"> </w:t>
      </w:r>
      <w:r w:rsidRPr="00B65627">
        <w:rPr>
          <w:rFonts w:hint="eastAsia"/>
          <w:rtl/>
        </w:rPr>
        <w:t>משפט</w:t>
      </w:r>
      <w:r w:rsidRPr="00B65627">
        <w:rPr>
          <w:rtl/>
        </w:rPr>
        <w:t xml:space="preserve"> </w:t>
      </w:r>
      <w:r w:rsidRPr="00B65627">
        <w:rPr>
          <w:rFonts w:hint="eastAsia"/>
          <w:rtl/>
        </w:rPr>
        <w:t>זה</w:t>
      </w:r>
      <w:r w:rsidRPr="00B65627">
        <w:rPr>
          <w:rtl/>
        </w:rPr>
        <w:t xml:space="preserve"> </w:t>
      </w:r>
      <w:r w:rsidRPr="00B65627">
        <w:rPr>
          <w:rFonts w:hint="eastAsia"/>
          <w:rtl/>
        </w:rPr>
        <w:t>ועל</w:t>
      </w:r>
      <w:r w:rsidRPr="00B65627">
        <w:rPr>
          <w:rtl/>
        </w:rPr>
        <w:t xml:space="preserve"> </w:t>
      </w:r>
      <w:r w:rsidRPr="00B65627">
        <w:rPr>
          <w:rFonts w:hint="eastAsia"/>
          <w:rtl/>
        </w:rPr>
        <w:t>כן</w:t>
      </w:r>
      <w:r w:rsidRPr="00B65627">
        <w:rPr>
          <w:rtl/>
        </w:rPr>
        <w:t xml:space="preserve"> </w:t>
      </w:r>
      <w:r w:rsidRPr="00B65627">
        <w:rPr>
          <w:rFonts w:hint="eastAsia"/>
          <w:rtl/>
        </w:rPr>
        <w:t>אר</w:t>
      </w:r>
      <w:r>
        <w:rPr>
          <w:rFonts w:hint="cs"/>
          <w:rtl/>
        </w:rPr>
        <w:t>ח</w:t>
      </w:r>
      <w:r w:rsidRPr="00B65627">
        <w:rPr>
          <w:rFonts w:hint="eastAsia"/>
          <w:rtl/>
        </w:rPr>
        <w:t>יב</w:t>
      </w:r>
      <w:r w:rsidRPr="00B65627">
        <w:rPr>
          <w:rtl/>
        </w:rPr>
        <w:t xml:space="preserve"> </w:t>
      </w:r>
      <w:r w:rsidRPr="00B65627">
        <w:rPr>
          <w:rFonts w:hint="eastAsia"/>
          <w:rtl/>
        </w:rPr>
        <w:t>קמעה</w:t>
      </w:r>
      <w:r w:rsidRPr="00B65627">
        <w:rPr>
          <w:rtl/>
        </w:rPr>
        <w:t xml:space="preserve"> </w:t>
      </w:r>
      <w:r w:rsidRPr="00B65627">
        <w:rPr>
          <w:rFonts w:hint="eastAsia"/>
          <w:rtl/>
        </w:rPr>
        <w:t>על</w:t>
      </w:r>
      <w:r w:rsidRPr="00B65627">
        <w:rPr>
          <w:rtl/>
        </w:rPr>
        <w:t xml:space="preserve"> </w:t>
      </w:r>
      <w:r w:rsidRPr="00B65627">
        <w:rPr>
          <w:rFonts w:hint="eastAsia"/>
          <w:rtl/>
        </w:rPr>
        <w:t>אודותיה</w:t>
      </w:r>
      <w:r w:rsidRPr="00B65627">
        <w:rPr>
          <w:rtl/>
        </w:rPr>
        <w:t xml:space="preserve">, </w:t>
      </w:r>
      <w:r w:rsidRPr="00B65627">
        <w:rPr>
          <w:rFonts w:hint="eastAsia"/>
          <w:rtl/>
        </w:rPr>
        <w:t>נושאת</w:t>
      </w:r>
      <w:r w:rsidRPr="00B65627">
        <w:rPr>
          <w:rtl/>
        </w:rPr>
        <w:t xml:space="preserve"> </w:t>
      </w:r>
      <w:r w:rsidRPr="00B65627">
        <w:rPr>
          <w:rFonts w:hint="eastAsia"/>
          <w:rtl/>
        </w:rPr>
        <w:t>את</w:t>
      </w:r>
      <w:r w:rsidRPr="00B65627">
        <w:rPr>
          <w:rtl/>
        </w:rPr>
        <w:t xml:space="preserve"> </w:t>
      </w:r>
      <w:r w:rsidRPr="00B65627">
        <w:rPr>
          <w:rFonts w:hint="eastAsia"/>
          <w:rtl/>
        </w:rPr>
        <w:t>השם</w:t>
      </w:r>
      <w:r w:rsidRPr="00B65627">
        <w:rPr>
          <w:rtl/>
        </w:rPr>
        <w:t xml:space="preserve"> "</w:t>
      </w:r>
      <w:r w:rsidRPr="00B65627">
        <w:rPr>
          <w:rFonts w:ascii="Century" w:hAnsi="Century" w:cs="Miriam" w:hint="eastAsia"/>
          <w:b/>
          <w:spacing w:val="0"/>
          <w:szCs w:val="24"/>
          <w:rtl/>
        </w:rPr>
        <w:t>שימוש</w:t>
      </w:r>
      <w:r w:rsidRPr="00B65627">
        <w:rPr>
          <w:rFonts w:ascii="Century" w:hAnsi="Century" w:cs="Miriam"/>
          <w:b/>
          <w:spacing w:val="0"/>
          <w:szCs w:val="24"/>
          <w:rtl/>
        </w:rPr>
        <w:t xml:space="preserve"> </w:t>
      </w:r>
      <w:r w:rsidRPr="00B65627">
        <w:rPr>
          <w:rFonts w:ascii="Century" w:hAnsi="Century" w:cs="Miriam" w:hint="eastAsia"/>
          <w:b/>
          <w:spacing w:val="0"/>
          <w:szCs w:val="24"/>
          <w:rtl/>
        </w:rPr>
        <w:t>לרעה</w:t>
      </w:r>
      <w:r w:rsidRPr="00B65627">
        <w:rPr>
          <w:rFonts w:ascii="Century" w:hAnsi="Century" w:cs="Miriam"/>
          <w:b/>
          <w:spacing w:val="0"/>
          <w:szCs w:val="24"/>
          <w:rtl/>
        </w:rPr>
        <w:t xml:space="preserve"> </w:t>
      </w:r>
      <w:r w:rsidRPr="00B65627">
        <w:rPr>
          <w:rFonts w:ascii="Century" w:hAnsi="Century" w:cs="Miriam" w:hint="eastAsia"/>
          <w:b/>
          <w:spacing w:val="0"/>
          <w:szCs w:val="24"/>
          <w:rtl/>
        </w:rPr>
        <w:t>בסמכות</w:t>
      </w:r>
      <w:r w:rsidRPr="00B65627">
        <w:rPr>
          <w:rFonts w:ascii="Century" w:hAnsi="Century" w:cs="Miriam"/>
          <w:b/>
          <w:spacing w:val="0"/>
          <w:szCs w:val="24"/>
          <w:rtl/>
        </w:rPr>
        <w:t xml:space="preserve"> </w:t>
      </w:r>
      <w:r w:rsidRPr="00B65627">
        <w:rPr>
          <w:rFonts w:ascii="Century" w:hAnsi="Century" w:cs="Miriam" w:hint="eastAsia"/>
          <w:b/>
          <w:spacing w:val="0"/>
          <w:szCs w:val="24"/>
          <w:rtl/>
        </w:rPr>
        <w:t>המכוננת</w:t>
      </w:r>
      <w:r w:rsidRPr="00B65627">
        <w:rPr>
          <w:rtl/>
        </w:rPr>
        <w:t xml:space="preserve">". </w:t>
      </w:r>
      <w:r w:rsidRPr="00B65627">
        <w:rPr>
          <w:rFonts w:hint="eastAsia"/>
          <w:rtl/>
        </w:rPr>
        <w:t>דוקטרינה</w:t>
      </w:r>
      <w:r w:rsidRPr="00B65627">
        <w:rPr>
          <w:rtl/>
        </w:rPr>
        <w:t xml:space="preserve"> </w:t>
      </w:r>
      <w:r w:rsidRPr="00B65627">
        <w:rPr>
          <w:rFonts w:hint="eastAsia"/>
          <w:rtl/>
        </w:rPr>
        <w:t>זו</w:t>
      </w:r>
      <w:r w:rsidRPr="00B65627">
        <w:rPr>
          <w:rtl/>
        </w:rPr>
        <w:t xml:space="preserve"> </w:t>
      </w:r>
      <w:r w:rsidRPr="00B65627">
        <w:rPr>
          <w:rFonts w:hint="eastAsia"/>
          <w:rtl/>
        </w:rPr>
        <w:t>גורסת</w:t>
      </w:r>
      <w:r w:rsidRPr="00B65627">
        <w:rPr>
          <w:rtl/>
        </w:rPr>
        <w:t xml:space="preserve"> </w:t>
      </w:r>
      <w:r w:rsidRPr="00B65627">
        <w:rPr>
          <w:rFonts w:hint="eastAsia"/>
          <w:rtl/>
        </w:rPr>
        <w:t>כי</w:t>
      </w:r>
      <w:r w:rsidRPr="00B65627">
        <w:rPr>
          <w:rtl/>
        </w:rPr>
        <w:t xml:space="preserve"> </w:t>
      </w:r>
      <w:r w:rsidRPr="00B65627">
        <w:rPr>
          <w:rFonts w:hint="eastAsia"/>
          <w:rtl/>
        </w:rPr>
        <w:t>סמכות</w:t>
      </w:r>
      <w:r w:rsidRPr="00B65627">
        <w:rPr>
          <w:rtl/>
        </w:rPr>
        <w:t xml:space="preserve"> </w:t>
      </w:r>
      <w:r w:rsidRPr="00B65627">
        <w:rPr>
          <w:rFonts w:hint="eastAsia"/>
          <w:rtl/>
        </w:rPr>
        <w:t>בית</w:t>
      </w:r>
      <w:r w:rsidRPr="00B65627">
        <w:rPr>
          <w:rtl/>
        </w:rPr>
        <w:t xml:space="preserve"> </w:t>
      </w:r>
      <w:r w:rsidRPr="00B65627">
        <w:rPr>
          <w:rFonts w:hint="eastAsia"/>
          <w:rtl/>
        </w:rPr>
        <w:t>המשפט</w:t>
      </w:r>
      <w:r w:rsidRPr="00B65627">
        <w:rPr>
          <w:rtl/>
        </w:rPr>
        <w:t xml:space="preserve"> </w:t>
      </w:r>
      <w:r w:rsidRPr="00B65627">
        <w:rPr>
          <w:rFonts w:hint="eastAsia"/>
          <w:rtl/>
        </w:rPr>
        <w:t>לבטל</w:t>
      </w:r>
      <w:r w:rsidRPr="00B65627">
        <w:rPr>
          <w:rtl/>
        </w:rPr>
        <w:t xml:space="preserve"> </w:t>
      </w:r>
      <w:r w:rsidRPr="00B65627">
        <w:rPr>
          <w:rFonts w:hint="eastAsia"/>
          <w:rtl/>
        </w:rPr>
        <w:t>חקיקת</w:t>
      </w:r>
      <w:r w:rsidRPr="00B65627">
        <w:rPr>
          <w:rtl/>
        </w:rPr>
        <w:t xml:space="preserve"> </w:t>
      </w:r>
      <w:r w:rsidRPr="00B65627">
        <w:rPr>
          <w:rFonts w:hint="eastAsia"/>
          <w:rtl/>
        </w:rPr>
        <w:t>יסוד</w:t>
      </w:r>
      <w:r w:rsidRPr="00B65627">
        <w:rPr>
          <w:rtl/>
        </w:rPr>
        <w:t xml:space="preserve"> </w:t>
      </w:r>
      <w:r w:rsidRPr="00B65627">
        <w:rPr>
          <w:rFonts w:hint="eastAsia"/>
          <w:rtl/>
        </w:rPr>
        <w:t>קשורה</w:t>
      </w:r>
      <w:r w:rsidRPr="00B65627">
        <w:rPr>
          <w:rtl/>
        </w:rPr>
        <w:t xml:space="preserve"> </w:t>
      </w:r>
      <w:r w:rsidRPr="00B65627">
        <w:rPr>
          <w:rFonts w:hint="eastAsia"/>
          <w:rtl/>
        </w:rPr>
        <w:t>בכך</w:t>
      </w:r>
      <w:r w:rsidRPr="00B65627">
        <w:rPr>
          <w:rtl/>
        </w:rPr>
        <w:t xml:space="preserve"> </w:t>
      </w:r>
      <w:r w:rsidRPr="00B65627">
        <w:rPr>
          <w:rFonts w:hint="eastAsia"/>
          <w:rtl/>
        </w:rPr>
        <w:t>שבית</w:t>
      </w:r>
      <w:r w:rsidRPr="00B65627">
        <w:rPr>
          <w:rtl/>
        </w:rPr>
        <w:t xml:space="preserve"> </w:t>
      </w:r>
      <w:r w:rsidRPr="00B65627">
        <w:rPr>
          <w:rFonts w:hint="eastAsia"/>
          <w:rtl/>
        </w:rPr>
        <w:t>המשפט</w:t>
      </w:r>
      <w:r w:rsidRPr="00B65627">
        <w:rPr>
          <w:rtl/>
        </w:rPr>
        <w:t xml:space="preserve"> '</w:t>
      </w:r>
      <w:r w:rsidRPr="00B65627">
        <w:rPr>
          <w:rFonts w:hint="eastAsia"/>
          <w:rtl/>
        </w:rPr>
        <w:t>מזהה</w:t>
      </w:r>
      <w:r w:rsidRPr="00B65627">
        <w:rPr>
          <w:rtl/>
        </w:rPr>
        <w:t xml:space="preserve">' </w:t>
      </w:r>
      <w:r w:rsidRPr="00B65627">
        <w:rPr>
          <w:rFonts w:hint="eastAsia"/>
          <w:rtl/>
        </w:rPr>
        <w:t>כי</w:t>
      </w:r>
      <w:r w:rsidRPr="00B65627">
        <w:rPr>
          <w:rtl/>
        </w:rPr>
        <w:t xml:space="preserve"> </w:t>
      </w:r>
      <w:r w:rsidRPr="00B65627">
        <w:rPr>
          <w:rFonts w:hint="eastAsia"/>
          <w:rtl/>
        </w:rPr>
        <w:t>הנורמה</w:t>
      </w:r>
      <w:r w:rsidRPr="00B65627">
        <w:rPr>
          <w:rtl/>
        </w:rPr>
        <w:t xml:space="preserve"> </w:t>
      </w:r>
      <w:r w:rsidRPr="00B65627">
        <w:rPr>
          <w:rFonts w:hint="eastAsia"/>
          <w:rtl/>
        </w:rPr>
        <w:t>הרלוונטית</w:t>
      </w:r>
      <w:r w:rsidRPr="00B65627">
        <w:rPr>
          <w:rtl/>
        </w:rPr>
        <w:t xml:space="preserve"> </w:t>
      </w:r>
      <w:r w:rsidRPr="00B65627">
        <w:rPr>
          <w:rFonts w:hint="eastAsia"/>
          <w:rtl/>
        </w:rPr>
        <w:t>איננה</w:t>
      </w:r>
      <w:r w:rsidRPr="00B65627">
        <w:rPr>
          <w:rtl/>
        </w:rPr>
        <w:t xml:space="preserve"> </w:t>
      </w:r>
      <w:r w:rsidRPr="00B65627">
        <w:rPr>
          <w:rFonts w:hint="eastAsia"/>
          <w:rtl/>
        </w:rPr>
        <w:t>מתאימה</w:t>
      </w:r>
      <w:r w:rsidRPr="00B65627">
        <w:rPr>
          <w:rtl/>
        </w:rPr>
        <w:t xml:space="preserve"> </w:t>
      </w:r>
      <w:r w:rsidRPr="00B65627">
        <w:rPr>
          <w:rFonts w:hint="eastAsia"/>
          <w:rtl/>
        </w:rPr>
        <w:t>להיקבע</w:t>
      </w:r>
      <w:r w:rsidRPr="00B65627">
        <w:rPr>
          <w:rtl/>
        </w:rPr>
        <w:t xml:space="preserve"> </w:t>
      </w:r>
      <w:r w:rsidRPr="00B65627">
        <w:rPr>
          <w:rFonts w:hint="eastAsia"/>
          <w:rtl/>
        </w:rPr>
        <w:t>בגדרי</w:t>
      </w:r>
      <w:r w:rsidRPr="00B65627">
        <w:rPr>
          <w:rtl/>
        </w:rPr>
        <w:t xml:space="preserve"> </w:t>
      </w:r>
      <w:r w:rsidRPr="00B65627">
        <w:rPr>
          <w:rFonts w:hint="eastAsia"/>
          <w:rtl/>
        </w:rPr>
        <w:t>חוקתה</w:t>
      </w:r>
      <w:r w:rsidRPr="00B65627">
        <w:rPr>
          <w:rtl/>
        </w:rPr>
        <w:t xml:space="preserve"> </w:t>
      </w:r>
      <w:r w:rsidRPr="00B65627">
        <w:rPr>
          <w:rFonts w:hint="eastAsia"/>
          <w:rtl/>
        </w:rPr>
        <w:t>של</w:t>
      </w:r>
      <w:r w:rsidRPr="00B65627">
        <w:rPr>
          <w:rtl/>
        </w:rPr>
        <w:t xml:space="preserve"> </w:t>
      </w:r>
      <w:r w:rsidRPr="00B65627">
        <w:rPr>
          <w:rFonts w:hint="eastAsia"/>
          <w:rtl/>
        </w:rPr>
        <w:t>מדינת</w:t>
      </w:r>
      <w:r w:rsidRPr="00B65627">
        <w:rPr>
          <w:rtl/>
        </w:rPr>
        <w:t xml:space="preserve"> </w:t>
      </w:r>
      <w:r w:rsidRPr="00B65627">
        <w:rPr>
          <w:rFonts w:hint="eastAsia"/>
          <w:rtl/>
        </w:rPr>
        <w:t>ישראל</w:t>
      </w:r>
      <w:r w:rsidRPr="00B65627">
        <w:rPr>
          <w:rtl/>
        </w:rPr>
        <w:t xml:space="preserve">. </w:t>
      </w:r>
      <w:r w:rsidRPr="00B65627">
        <w:rPr>
          <w:rFonts w:hint="eastAsia"/>
          <w:rtl/>
        </w:rPr>
        <w:t>זאת</w:t>
      </w:r>
      <w:r w:rsidRPr="00B65627">
        <w:rPr>
          <w:rtl/>
        </w:rPr>
        <w:t xml:space="preserve">, </w:t>
      </w:r>
      <w:r w:rsidRPr="00B65627">
        <w:rPr>
          <w:rFonts w:hint="eastAsia"/>
          <w:rtl/>
        </w:rPr>
        <w:t>לא</w:t>
      </w:r>
      <w:r w:rsidRPr="00B65627">
        <w:rPr>
          <w:rtl/>
        </w:rPr>
        <w:t xml:space="preserve"> </w:t>
      </w:r>
      <w:r w:rsidRPr="00B65627">
        <w:rPr>
          <w:rFonts w:hint="eastAsia"/>
          <w:rtl/>
        </w:rPr>
        <w:t>משום</w:t>
      </w:r>
      <w:r w:rsidRPr="00B65627">
        <w:rPr>
          <w:rtl/>
        </w:rPr>
        <w:t xml:space="preserve"> </w:t>
      </w:r>
      <w:r w:rsidRPr="00B65627">
        <w:rPr>
          <w:rFonts w:hint="eastAsia"/>
          <w:rtl/>
        </w:rPr>
        <w:t>שמדובר</w:t>
      </w:r>
      <w:r w:rsidRPr="00B65627">
        <w:rPr>
          <w:rtl/>
        </w:rPr>
        <w:t xml:space="preserve"> </w:t>
      </w:r>
      <w:r w:rsidRPr="00B65627">
        <w:rPr>
          <w:rFonts w:hint="eastAsia"/>
          <w:rtl/>
        </w:rPr>
        <w:t>בנורמה</w:t>
      </w:r>
      <w:r w:rsidRPr="00B65627">
        <w:rPr>
          <w:rtl/>
        </w:rPr>
        <w:t xml:space="preserve"> </w:t>
      </w:r>
      <w:r w:rsidRPr="00B65627">
        <w:rPr>
          <w:rFonts w:hint="eastAsia"/>
          <w:rtl/>
        </w:rPr>
        <w:t>שאיננה</w:t>
      </w:r>
      <w:r w:rsidRPr="00B65627">
        <w:rPr>
          <w:rtl/>
        </w:rPr>
        <w:t xml:space="preserve"> </w:t>
      </w:r>
      <w:r w:rsidRPr="00B65627">
        <w:rPr>
          <w:rFonts w:hint="eastAsia"/>
          <w:rtl/>
        </w:rPr>
        <w:t>ראויה</w:t>
      </w:r>
      <w:r w:rsidRPr="00B65627">
        <w:rPr>
          <w:rtl/>
        </w:rPr>
        <w:t xml:space="preserve"> </w:t>
      </w:r>
      <w:r w:rsidRPr="00B65627">
        <w:rPr>
          <w:rFonts w:hint="eastAsia"/>
          <w:rtl/>
        </w:rPr>
        <w:t>להיקבע</w:t>
      </w:r>
      <w:r w:rsidRPr="00B65627">
        <w:rPr>
          <w:rtl/>
        </w:rPr>
        <w:t xml:space="preserve"> </w:t>
      </w:r>
      <w:r w:rsidRPr="00B65627">
        <w:rPr>
          <w:rFonts w:hint="eastAsia"/>
          <w:rtl/>
        </w:rPr>
        <w:t>בחוקת</w:t>
      </w:r>
      <w:r w:rsidRPr="00B65627">
        <w:rPr>
          <w:rtl/>
        </w:rPr>
        <w:t xml:space="preserve"> </w:t>
      </w:r>
      <w:r w:rsidRPr="00B65627">
        <w:rPr>
          <w:rFonts w:hint="eastAsia"/>
          <w:rtl/>
        </w:rPr>
        <w:t>מדינת</w:t>
      </w:r>
      <w:r w:rsidRPr="00B65627">
        <w:rPr>
          <w:rtl/>
        </w:rPr>
        <w:t xml:space="preserve"> </w:t>
      </w:r>
      <w:r w:rsidRPr="00B65627">
        <w:rPr>
          <w:rFonts w:hint="eastAsia"/>
          <w:rtl/>
        </w:rPr>
        <w:t>ישראל</w:t>
      </w:r>
      <w:r w:rsidRPr="00B65627">
        <w:rPr>
          <w:rFonts w:hint="cs"/>
          <w:rtl/>
        </w:rPr>
        <w:t xml:space="preserve"> מבחינת תוכנה</w:t>
      </w:r>
      <w:r w:rsidRPr="00B65627">
        <w:rPr>
          <w:rtl/>
        </w:rPr>
        <w:t xml:space="preserve">. </w:t>
      </w:r>
      <w:r w:rsidRPr="00B65627">
        <w:rPr>
          <w:rFonts w:hint="eastAsia"/>
          <w:rtl/>
        </w:rPr>
        <w:t>שכן</w:t>
      </w:r>
      <w:r w:rsidRPr="00B65627">
        <w:rPr>
          <w:rtl/>
        </w:rPr>
        <w:t xml:space="preserve">, </w:t>
      </w:r>
      <w:r w:rsidRPr="00B65627">
        <w:rPr>
          <w:rFonts w:hint="eastAsia"/>
          <w:rtl/>
        </w:rPr>
        <w:t>בית</w:t>
      </w:r>
      <w:r w:rsidRPr="00B65627">
        <w:rPr>
          <w:rtl/>
        </w:rPr>
        <w:t xml:space="preserve"> </w:t>
      </w:r>
      <w:r w:rsidRPr="00B65627">
        <w:rPr>
          <w:rFonts w:hint="eastAsia"/>
          <w:rtl/>
        </w:rPr>
        <w:t>המשפט</w:t>
      </w:r>
      <w:r w:rsidRPr="00B65627">
        <w:rPr>
          <w:rtl/>
        </w:rPr>
        <w:t xml:space="preserve"> </w:t>
      </w:r>
      <w:r w:rsidRPr="00B65627">
        <w:rPr>
          <w:rFonts w:hint="eastAsia"/>
          <w:rtl/>
        </w:rPr>
        <w:t>אינו</w:t>
      </w:r>
      <w:r w:rsidRPr="00B65627">
        <w:rPr>
          <w:rtl/>
        </w:rPr>
        <w:t xml:space="preserve"> </w:t>
      </w:r>
      <w:r w:rsidRPr="00B65627">
        <w:rPr>
          <w:rFonts w:hint="eastAsia"/>
          <w:rtl/>
        </w:rPr>
        <w:t>יושב</w:t>
      </w:r>
      <w:r w:rsidRPr="00B65627">
        <w:rPr>
          <w:rtl/>
        </w:rPr>
        <w:t xml:space="preserve"> </w:t>
      </w:r>
      <w:r w:rsidRPr="00B65627">
        <w:rPr>
          <w:rFonts w:hint="eastAsia"/>
          <w:rtl/>
        </w:rPr>
        <w:t>כערכאת</w:t>
      </w:r>
      <w:r w:rsidRPr="00B65627">
        <w:rPr>
          <w:rtl/>
        </w:rPr>
        <w:t xml:space="preserve"> </w:t>
      </w:r>
      <w:r w:rsidRPr="00B65627">
        <w:rPr>
          <w:rFonts w:hint="eastAsia"/>
          <w:rtl/>
        </w:rPr>
        <w:t>ערעור</w:t>
      </w:r>
      <w:r w:rsidRPr="00B65627">
        <w:rPr>
          <w:rtl/>
        </w:rPr>
        <w:t xml:space="preserve"> </w:t>
      </w:r>
      <w:r w:rsidRPr="00B65627">
        <w:rPr>
          <w:rFonts w:hint="eastAsia"/>
          <w:rtl/>
        </w:rPr>
        <w:t>על</w:t>
      </w:r>
      <w:r w:rsidRPr="00B65627">
        <w:rPr>
          <w:rtl/>
        </w:rPr>
        <w:t xml:space="preserve"> </w:t>
      </w:r>
      <w:r w:rsidRPr="00B65627">
        <w:rPr>
          <w:rFonts w:hint="eastAsia"/>
          <w:rtl/>
        </w:rPr>
        <w:t>החלטותיה</w:t>
      </w:r>
      <w:r w:rsidRPr="00B65627">
        <w:rPr>
          <w:rtl/>
        </w:rPr>
        <w:t xml:space="preserve"> </w:t>
      </w:r>
      <w:r w:rsidRPr="00B65627">
        <w:rPr>
          <w:rFonts w:hint="eastAsia"/>
          <w:rtl/>
        </w:rPr>
        <w:t>של</w:t>
      </w:r>
      <w:r w:rsidRPr="00B65627">
        <w:rPr>
          <w:rtl/>
        </w:rPr>
        <w:t xml:space="preserve"> </w:t>
      </w:r>
      <w:r w:rsidRPr="00B65627">
        <w:rPr>
          <w:rFonts w:hint="eastAsia"/>
          <w:rtl/>
        </w:rPr>
        <w:t>הרשות</w:t>
      </w:r>
      <w:r w:rsidRPr="00B65627">
        <w:rPr>
          <w:rtl/>
        </w:rPr>
        <w:t xml:space="preserve"> </w:t>
      </w:r>
      <w:r w:rsidRPr="00B65627">
        <w:rPr>
          <w:rFonts w:hint="eastAsia"/>
          <w:rtl/>
        </w:rPr>
        <w:t>המכוננת</w:t>
      </w:r>
      <w:r w:rsidRPr="00B65627">
        <w:rPr>
          <w:rtl/>
        </w:rPr>
        <w:t xml:space="preserve"> </w:t>
      </w:r>
      <w:r w:rsidRPr="00B65627">
        <w:rPr>
          <w:rFonts w:hint="eastAsia"/>
          <w:rtl/>
        </w:rPr>
        <w:t>של</w:t>
      </w:r>
      <w:r w:rsidRPr="00B65627">
        <w:rPr>
          <w:rtl/>
        </w:rPr>
        <w:t xml:space="preserve"> </w:t>
      </w:r>
      <w:r w:rsidRPr="00B65627">
        <w:rPr>
          <w:rFonts w:hint="eastAsia"/>
          <w:rtl/>
        </w:rPr>
        <w:t>המדינה</w:t>
      </w:r>
      <w:r w:rsidRPr="00B65627">
        <w:rPr>
          <w:rtl/>
        </w:rPr>
        <w:t xml:space="preserve">. </w:t>
      </w:r>
      <w:r w:rsidRPr="00B65627">
        <w:rPr>
          <w:rFonts w:hint="eastAsia"/>
          <w:rtl/>
        </w:rPr>
        <w:t>במקום</w:t>
      </w:r>
      <w:r w:rsidRPr="00B65627">
        <w:rPr>
          <w:rtl/>
        </w:rPr>
        <w:t xml:space="preserve"> </w:t>
      </w:r>
      <w:r w:rsidRPr="00B65627">
        <w:rPr>
          <w:rFonts w:hint="eastAsia"/>
          <w:rtl/>
        </w:rPr>
        <w:t>זאת</w:t>
      </w:r>
      <w:r w:rsidRPr="00B65627">
        <w:rPr>
          <w:rtl/>
        </w:rPr>
        <w:t xml:space="preserve">, </w:t>
      </w:r>
      <w:r w:rsidRPr="00B65627">
        <w:rPr>
          <w:rFonts w:hint="eastAsia"/>
          <w:rtl/>
        </w:rPr>
        <w:t>מדובר</w:t>
      </w:r>
      <w:r w:rsidRPr="00B65627">
        <w:rPr>
          <w:rtl/>
        </w:rPr>
        <w:t xml:space="preserve"> </w:t>
      </w:r>
      <w:r w:rsidRPr="00B65627">
        <w:rPr>
          <w:rFonts w:hint="eastAsia"/>
          <w:rtl/>
        </w:rPr>
        <w:t>בכלל</w:t>
      </w:r>
      <w:r w:rsidRPr="00B65627">
        <w:rPr>
          <w:rtl/>
        </w:rPr>
        <w:t xml:space="preserve"> </w:t>
      </w:r>
      <w:r w:rsidRPr="00B65627">
        <w:rPr>
          <w:rFonts w:hint="eastAsia"/>
          <w:rtl/>
        </w:rPr>
        <w:t>שעניינו</w:t>
      </w:r>
      <w:r w:rsidRPr="00B65627">
        <w:rPr>
          <w:rtl/>
        </w:rPr>
        <w:t xml:space="preserve"> </w:t>
      </w:r>
      <w:r w:rsidRPr="00B65627">
        <w:rPr>
          <w:rFonts w:hint="eastAsia"/>
          <w:rtl/>
        </w:rPr>
        <w:t>ב</w:t>
      </w:r>
      <w:r w:rsidRPr="00B65627">
        <w:rPr>
          <w:rFonts w:ascii="Century" w:hAnsi="Century" w:cs="Miriam" w:hint="eastAsia"/>
          <w:b/>
          <w:spacing w:val="0"/>
          <w:sz w:val="22"/>
          <w:szCs w:val="24"/>
          <w:rtl/>
        </w:rPr>
        <w:t>זיהוי</w:t>
      </w:r>
      <w:r w:rsidRPr="00B65627">
        <w:rPr>
          <w:rtl/>
        </w:rPr>
        <w:t xml:space="preserve"> </w:t>
      </w:r>
      <w:r w:rsidRPr="00B65627">
        <w:rPr>
          <w:rFonts w:hint="eastAsia"/>
          <w:rtl/>
        </w:rPr>
        <w:t>שהכנסת</w:t>
      </w:r>
      <w:r w:rsidRPr="00B65627">
        <w:rPr>
          <w:rtl/>
        </w:rPr>
        <w:t xml:space="preserve"> </w:t>
      </w:r>
      <w:r w:rsidRPr="00B65627">
        <w:rPr>
          <w:rFonts w:hint="eastAsia"/>
          <w:rtl/>
        </w:rPr>
        <w:t>נתנה</w:t>
      </w:r>
      <w:r w:rsidRPr="00B65627">
        <w:rPr>
          <w:rtl/>
        </w:rPr>
        <w:t xml:space="preserve"> </w:t>
      </w:r>
      <w:r w:rsidRPr="00B65627">
        <w:rPr>
          <w:rFonts w:hint="eastAsia"/>
          <w:rtl/>
        </w:rPr>
        <w:t>לנורמה</w:t>
      </w:r>
      <w:r w:rsidRPr="00B65627">
        <w:rPr>
          <w:rtl/>
        </w:rPr>
        <w:t xml:space="preserve"> </w:t>
      </w:r>
      <w:r w:rsidRPr="00B65627">
        <w:rPr>
          <w:rFonts w:hint="eastAsia"/>
          <w:rtl/>
        </w:rPr>
        <w:t>מסוימת</w:t>
      </w:r>
      <w:r w:rsidRPr="00B65627">
        <w:rPr>
          <w:rtl/>
        </w:rPr>
        <w:t xml:space="preserve"> </w:t>
      </w:r>
      <w:r w:rsidRPr="00B65627">
        <w:rPr>
          <w:rFonts w:hint="eastAsia"/>
          <w:rtl/>
        </w:rPr>
        <w:t>כותרת</w:t>
      </w:r>
      <w:r w:rsidRPr="00B65627">
        <w:rPr>
          <w:rtl/>
        </w:rPr>
        <w:t xml:space="preserve"> </w:t>
      </w:r>
      <w:r w:rsidRPr="00B65627">
        <w:rPr>
          <w:rFonts w:ascii="Century" w:hAnsi="Century" w:cs="Miriam" w:hint="eastAsia"/>
          <w:b/>
          <w:spacing w:val="0"/>
          <w:sz w:val="22"/>
          <w:szCs w:val="24"/>
          <w:rtl/>
        </w:rPr>
        <w:t>שגויה</w:t>
      </w:r>
      <w:r w:rsidRPr="00B65627">
        <w:rPr>
          <w:rtl/>
        </w:rPr>
        <w:t xml:space="preserve">. </w:t>
      </w:r>
      <w:r w:rsidRPr="00B65627">
        <w:rPr>
          <w:rFonts w:hint="eastAsia"/>
          <w:rtl/>
        </w:rPr>
        <w:t>לפי</w:t>
      </w:r>
      <w:r w:rsidRPr="00B65627">
        <w:rPr>
          <w:rtl/>
        </w:rPr>
        <w:t xml:space="preserve"> </w:t>
      </w:r>
      <w:r w:rsidRPr="00B65627">
        <w:rPr>
          <w:rFonts w:hint="eastAsia"/>
          <w:rtl/>
        </w:rPr>
        <w:t>תיאוריה</w:t>
      </w:r>
      <w:r w:rsidRPr="00B65627">
        <w:rPr>
          <w:rtl/>
        </w:rPr>
        <w:t xml:space="preserve"> </w:t>
      </w:r>
      <w:r w:rsidRPr="00B65627">
        <w:rPr>
          <w:rFonts w:hint="eastAsia"/>
          <w:rtl/>
        </w:rPr>
        <w:t>זו</w:t>
      </w:r>
      <w:r w:rsidRPr="00B65627">
        <w:rPr>
          <w:rtl/>
        </w:rPr>
        <w:t xml:space="preserve">, </w:t>
      </w:r>
      <w:r w:rsidRPr="00B65627">
        <w:rPr>
          <w:rFonts w:hint="eastAsia"/>
          <w:rtl/>
        </w:rPr>
        <w:t>בית</w:t>
      </w:r>
      <w:r w:rsidRPr="00B65627">
        <w:rPr>
          <w:rtl/>
        </w:rPr>
        <w:t xml:space="preserve"> </w:t>
      </w:r>
      <w:r w:rsidRPr="00B65627">
        <w:rPr>
          <w:rFonts w:hint="eastAsia"/>
          <w:rtl/>
        </w:rPr>
        <w:t>המשפט</w:t>
      </w:r>
      <w:r w:rsidRPr="00B65627">
        <w:rPr>
          <w:rtl/>
        </w:rPr>
        <w:t xml:space="preserve"> </w:t>
      </w:r>
      <w:r w:rsidRPr="00B65627">
        <w:rPr>
          <w:rFonts w:hint="eastAsia"/>
          <w:rtl/>
        </w:rPr>
        <w:t>הוא</w:t>
      </w:r>
      <w:r w:rsidRPr="00B65627">
        <w:rPr>
          <w:rtl/>
        </w:rPr>
        <w:t xml:space="preserve"> </w:t>
      </w:r>
      <w:r w:rsidRPr="00B65627">
        <w:rPr>
          <w:rFonts w:hint="eastAsia"/>
          <w:rtl/>
        </w:rPr>
        <w:t>הגורם</w:t>
      </w:r>
      <w:r w:rsidRPr="00B65627">
        <w:rPr>
          <w:rtl/>
        </w:rPr>
        <w:t xml:space="preserve"> </w:t>
      </w:r>
      <w:r w:rsidRPr="00B65627">
        <w:rPr>
          <w:rFonts w:hint="eastAsia"/>
          <w:rtl/>
        </w:rPr>
        <w:t>המוסמך</w:t>
      </w:r>
      <w:r w:rsidRPr="00B65627">
        <w:rPr>
          <w:rtl/>
        </w:rPr>
        <w:t xml:space="preserve"> '</w:t>
      </w:r>
      <w:r w:rsidRPr="00B65627">
        <w:rPr>
          <w:rFonts w:hint="eastAsia"/>
          <w:rtl/>
        </w:rPr>
        <w:t>לזהות</w:t>
      </w:r>
      <w:r w:rsidRPr="00B65627">
        <w:rPr>
          <w:rtl/>
        </w:rPr>
        <w:t xml:space="preserve">' </w:t>
      </w:r>
      <w:r w:rsidRPr="00B65627">
        <w:rPr>
          <w:rFonts w:hint="eastAsia"/>
          <w:rtl/>
        </w:rPr>
        <w:t>מתי</w:t>
      </w:r>
      <w:r w:rsidRPr="00B65627">
        <w:rPr>
          <w:rtl/>
        </w:rPr>
        <w:t xml:space="preserve"> </w:t>
      </w:r>
      <w:r w:rsidRPr="00B65627">
        <w:rPr>
          <w:rFonts w:hint="eastAsia"/>
          <w:rtl/>
        </w:rPr>
        <w:t>חברי</w:t>
      </w:r>
      <w:r w:rsidRPr="00B65627">
        <w:rPr>
          <w:rtl/>
        </w:rPr>
        <w:t xml:space="preserve"> </w:t>
      </w:r>
      <w:r w:rsidRPr="00B65627">
        <w:rPr>
          <w:rFonts w:hint="eastAsia"/>
          <w:rtl/>
        </w:rPr>
        <w:t>הכנסת</w:t>
      </w:r>
      <w:r w:rsidRPr="00B65627">
        <w:rPr>
          <w:rtl/>
        </w:rPr>
        <w:t xml:space="preserve"> </w:t>
      </w:r>
      <w:r>
        <w:rPr>
          <w:rFonts w:hint="cs"/>
          <w:rtl/>
        </w:rPr>
        <w:t>'</w:t>
      </w:r>
      <w:r w:rsidRPr="00B65627">
        <w:rPr>
          <w:rFonts w:hint="eastAsia"/>
          <w:rtl/>
        </w:rPr>
        <w:t>טעו</w:t>
      </w:r>
      <w:r>
        <w:rPr>
          <w:rFonts w:hint="cs"/>
          <w:rtl/>
        </w:rPr>
        <w:t>'</w:t>
      </w:r>
      <w:r w:rsidRPr="00B65627">
        <w:rPr>
          <w:rtl/>
        </w:rPr>
        <w:t xml:space="preserve"> </w:t>
      </w:r>
      <w:r w:rsidRPr="00B65627">
        <w:rPr>
          <w:rFonts w:hint="eastAsia"/>
          <w:rtl/>
        </w:rPr>
        <w:t>לחשוב</w:t>
      </w:r>
      <w:r w:rsidRPr="00B65627">
        <w:rPr>
          <w:rtl/>
        </w:rPr>
        <w:t xml:space="preserve"> </w:t>
      </w:r>
      <w:r w:rsidRPr="00B65627">
        <w:rPr>
          <w:rFonts w:hint="eastAsia"/>
          <w:rtl/>
        </w:rPr>
        <w:t>שנורמה</w:t>
      </w:r>
      <w:r w:rsidRPr="00B65627">
        <w:rPr>
          <w:rtl/>
        </w:rPr>
        <w:t xml:space="preserve"> </w:t>
      </w:r>
      <w:r w:rsidRPr="00B65627">
        <w:rPr>
          <w:rFonts w:hint="eastAsia"/>
          <w:rtl/>
        </w:rPr>
        <w:t>מסוימת</w:t>
      </w:r>
      <w:r w:rsidRPr="00B65627">
        <w:rPr>
          <w:rtl/>
        </w:rPr>
        <w:t xml:space="preserve"> </w:t>
      </w:r>
      <w:r w:rsidRPr="00B65627">
        <w:rPr>
          <w:rFonts w:hint="eastAsia"/>
          <w:rtl/>
        </w:rPr>
        <w:t>היא</w:t>
      </w:r>
      <w:r w:rsidRPr="00B65627">
        <w:rPr>
          <w:rtl/>
        </w:rPr>
        <w:t xml:space="preserve"> </w:t>
      </w:r>
      <w:r w:rsidRPr="00B65627">
        <w:rPr>
          <w:rFonts w:hint="eastAsia"/>
          <w:rtl/>
        </w:rPr>
        <w:t>חלק</w:t>
      </w:r>
      <w:r w:rsidRPr="00B65627">
        <w:rPr>
          <w:rtl/>
        </w:rPr>
        <w:t xml:space="preserve"> </w:t>
      </w:r>
      <w:r w:rsidRPr="00B65627">
        <w:rPr>
          <w:rFonts w:hint="eastAsia"/>
          <w:rtl/>
        </w:rPr>
        <w:t>מהחוקה</w:t>
      </w:r>
      <w:r w:rsidRPr="00B65627">
        <w:rPr>
          <w:rtl/>
        </w:rPr>
        <w:t xml:space="preserve">, </w:t>
      </w:r>
      <w:r w:rsidRPr="00B65627">
        <w:rPr>
          <w:rFonts w:hint="eastAsia"/>
          <w:rtl/>
        </w:rPr>
        <w:t>כאשר</w:t>
      </w:r>
      <w:r w:rsidRPr="00B65627">
        <w:rPr>
          <w:rtl/>
        </w:rPr>
        <w:t xml:space="preserve"> </w:t>
      </w:r>
      <w:r w:rsidRPr="00B65627">
        <w:rPr>
          <w:rFonts w:hint="eastAsia"/>
          <w:rtl/>
        </w:rPr>
        <w:t>היא</w:t>
      </w:r>
      <w:r w:rsidRPr="00B65627">
        <w:rPr>
          <w:rtl/>
        </w:rPr>
        <w:t xml:space="preserve"> </w:t>
      </w:r>
      <w:r w:rsidRPr="00B65627">
        <w:rPr>
          <w:rFonts w:hint="eastAsia"/>
          <w:rtl/>
        </w:rPr>
        <w:t>איננה</w:t>
      </w:r>
      <w:r w:rsidRPr="00B65627">
        <w:rPr>
          <w:rtl/>
        </w:rPr>
        <w:t xml:space="preserve"> </w:t>
      </w:r>
      <w:r w:rsidRPr="00B65627">
        <w:rPr>
          <w:rFonts w:hint="eastAsia"/>
          <w:rtl/>
        </w:rPr>
        <w:t>כזו</w:t>
      </w:r>
      <w:r w:rsidRPr="00B65627">
        <w:rPr>
          <w:rtl/>
        </w:rPr>
        <w:t xml:space="preserve">. </w:t>
      </w:r>
      <w:r>
        <w:rPr>
          <w:rFonts w:hint="cs"/>
          <w:rtl/>
        </w:rPr>
        <w:t>בדומה לכך</w:t>
      </w:r>
      <w:r w:rsidRPr="00B65627">
        <w:rPr>
          <w:rtl/>
        </w:rPr>
        <w:t xml:space="preserve">, </w:t>
      </w:r>
      <w:r w:rsidRPr="00B65627">
        <w:rPr>
          <w:rFonts w:hint="eastAsia"/>
          <w:rtl/>
        </w:rPr>
        <w:t>ניתן</w:t>
      </w:r>
      <w:r w:rsidRPr="00B65627">
        <w:rPr>
          <w:rtl/>
        </w:rPr>
        <w:t xml:space="preserve"> </w:t>
      </w:r>
      <w:r w:rsidRPr="00B65627">
        <w:rPr>
          <w:rFonts w:hint="eastAsia"/>
          <w:rtl/>
        </w:rPr>
        <w:t>לחשוב</w:t>
      </w:r>
      <w:r w:rsidRPr="00B65627">
        <w:rPr>
          <w:rtl/>
        </w:rPr>
        <w:t xml:space="preserve"> </w:t>
      </w:r>
      <w:r w:rsidRPr="00B65627">
        <w:rPr>
          <w:rFonts w:hint="eastAsia"/>
          <w:rtl/>
        </w:rPr>
        <w:t>על</w:t>
      </w:r>
      <w:r w:rsidRPr="00B65627">
        <w:rPr>
          <w:rtl/>
        </w:rPr>
        <w:t xml:space="preserve"> </w:t>
      </w:r>
      <w:r w:rsidRPr="00B65627">
        <w:rPr>
          <w:rFonts w:hint="eastAsia"/>
          <w:rtl/>
        </w:rPr>
        <w:t>דוגמה</w:t>
      </w:r>
      <w:r w:rsidRPr="00B65627">
        <w:rPr>
          <w:rtl/>
        </w:rPr>
        <w:t xml:space="preserve"> </w:t>
      </w:r>
      <w:r w:rsidRPr="00B65627">
        <w:rPr>
          <w:rFonts w:hint="eastAsia"/>
          <w:rtl/>
        </w:rPr>
        <w:t>שבה</w:t>
      </w:r>
      <w:r w:rsidRPr="00B65627">
        <w:rPr>
          <w:rtl/>
        </w:rPr>
        <w:t xml:space="preserve"> </w:t>
      </w:r>
      <w:r w:rsidRPr="00B65627">
        <w:rPr>
          <w:rFonts w:hint="eastAsia"/>
          <w:rtl/>
        </w:rPr>
        <w:t>מאה</w:t>
      </w:r>
      <w:r w:rsidRPr="00B65627">
        <w:rPr>
          <w:rtl/>
        </w:rPr>
        <w:t xml:space="preserve"> </w:t>
      </w:r>
      <w:r w:rsidRPr="00B65627">
        <w:rPr>
          <w:rFonts w:hint="eastAsia"/>
          <w:rtl/>
        </w:rPr>
        <w:t>ועשרים</w:t>
      </w:r>
      <w:r w:rsidRPr="00B65627">
        <w:rPr>
          <w:rtl/>
        </w:rPr>
        <w:t xml:space="preserve"> </w:t>
      </w:r>
      <w:r w:rsidRPr="00B65627">
        <w:rPr>
          <w:rFonts w:hint="eastAsia"/>
          <w:rtl/>
        </w:rPr>
        <w:t>חברי</w:t>
      </w:r>
      <w:r w:rsidRPr="00B65627">
        <w:rPr>
          <w:rtl/>
        </w:rPr>
        <w:t xml:space="preserve"> </w:t>
      </w:r>
      <w:r w:rsidRPr="00B65627">
        <w:rPr>
          <w:rFonts w:hint="eastAsia"/>
          <w:rtl/>
        </w:rPr>
        <w:t>כנסת</w:t>
      </w:r>
      <w:r w:rsidRPr="00B65627">
        <w:rPr>
          <w:rtl/>
        </w:rPr>
        <w:t xml:space="preserve"> </w:t>
      </w:r>
      <w:r w:rsidRPr="00B65627">
        <w:rPr>
          <w:rFonts w:hint="eastAsia"/>
          <w:rtl/>
        </w:rPr>
        <w:t>מצביעים</w:t>
      </w:r>
      <w:r w:rsidRPr="00B65627">
        <w:rPr>
          <w:rtl/>
        </w:rPr>
        <w:t xml:space="preserve"> </w:t>
      </w:r>
      <w:r w:rsidRPr="00B65627">
        <w:rPr>
          <w:rFonts w:hint="eastAsia"/>
          <w:rtl/>
        </w:rPr>
        <w:t>על</w:t>
      </w:r>
      <w:r w:rsidRPr="00B65627">
        <w:rPr>
          <w:rtl/>
        </w:rPr>
        <w:t xml:space="preserve"> </w:t>
      </w:r>
      <w:r>
        <w:rPr>
          <w:rFonts w:hint="eastAsia"/>
          <w:rtl/>
        </w:rPr>
        <w:t>חוק-יסוד</w:t>
      </w:r>
      <w:r w:rsidRPr="00B65627">
        <w:rPr>
          <w:rtl/>
        </w:rPr>
        <w:t xml:space="preserve"> </w:t>
      </w:r>
      <w:r w:rsidRPr="00B65627">
        <w:rPr>
          <w:rFonts w:hint="eastAsia"/>
          <w:rtl/>
        </w:rPr>
        <w:t>מסוים</w:t>
      </w:r>
      <w:r w:rsidRPr="00B65627">
        <w:rPr>
          <w:rtl/>
        </w:rPr>
        <w:t xml:space="preserve"> </w:t>
      </w:r>
      <w:r w:rsidRPr="00B65627">
        <w:rPr>
          <w:rFonts w:hint="eastAsia"/>
          <w:rtl/>
        </w:rPr>
        <w:t>בשתי</w:t>
      </w:r>
      <w:r w:rsidRPr="00B65627">
        <w:rPr>
          <w:rtl/>
        </w:rPr>
        <w:t xml:space="preserve"> </w:t>
      </w:r>
      <w:r w:rsidRPr="00B65627">
        <w:rPr>
          <w:rFonts w:hint="eastAsia"/>
          <w:rtl/>
        </w:rPr>
        <w:t>קריאות</w:t>
      </w:r>
      <w:r w:rsidRPr="00B65627">
        <w:rPr>
          <w:rtl/>
        </w:rPr>
        <w:t xml:space="preserve">, </w:t>
      </w:r>
      <w:r w:rsidRPr="00B65627">
        <w:rPr>
          <w:rFonts w:hint="eastAsia"/>
          <w:rtl/>
        </w:rPr>
        <w:t>ובגוף</w:t>
      </w:r>
      <w:r w:rsidRPr="00B65627">
        <w:rPr>
          <w:rtl/>
        </w:rPr>
        <w:t xml:space="preserve"> </w:t>
      </w:r>
      <w:r w:rsidRPr="00B65627">
        <w:rPr>
          <w:rFonts w:hint="eastAsia"/>
          <w:rtl/>
        </w:rPr>
        <w:t>חוק</w:t>
      </w:r>
      <w:r w:rsidRPr="00B65627">
        <w:rPr>
          <w:rFonts w:hint="cs"/>
          <w:rtl/>
        </w:rPr>
        <w:t xml:space="preserve"> היסוד</w:t>
      </w:r>
      <w:r w:rsidRPr="00B65627">
        <w:rPr>
          <w:rtl/>
        </w:rPr>
        <w:t xml:space="preserve"> </w:t>
      </w:r>
      <w:r>
        <w:rPr>
          <w:rFonts w:hint="cs"/>
          <w:rtl/>
        </w:rPr>
        <w:t>נרשם</w:t>
      </w:r>
      <w:r w:rsidRPr="00B65627">
        <w:rPr>
          <w:rtl/>
        </w:rPr>
        <w:t xml:space="preserve"> </w:t>
      </w:r>
      <w:r w:rsidRPr="00B65627">
        <w:rPr>
          <w:rFonts w:hint="eastAsia"/>
          <w:rtl/>
        </w:rPr>
        <w:t>כי</w:t>
      </w:r>
      <w:r w:rsidRPr="00B65627">
        <w:rPr>
          <w:rtl/>
        </w:rPr>
        <w:t xml:space="preserve"> </w:t>
      </w:r>
      <w:r w:rsidRPr="00B65627">
        <w:rPr>
          <w:rFonts w:hint="eastAsia"/>
          <w:rtl/>
        </w:rPr>
        <w:t>הוא</w:t>
      </w:r>
      <w:r w:rsidRPr="00B65627">
        <w:rPr>
          <w:rtl/>
        </w:rPr>
        <w:t xml:space="preserve"> </w:t>
      </w:r>
      <w:r w:rsidRPr="00B65627">
        <w:rPr>
          <w:rFonts w:hint="eastAsia"/>
          <w:rtl/>
        </w:rPr>
        <w:t>יעבור</w:t>
      </w:r>
      <w:r w:rsidRPr="00B65627">
        <w:rPr>
          <w:rtl/>
        </w:rPr>
        <w:t xml:space="preserve"> </w:t>
      </w:r>
      <w:r w:rsidRPr="00B65627">
        <w:rPr>
          <w:rFonts w:hint="eastAsia"/>
          <w:rtl/>
        </w:rPr>
        <w:t>לאחר</w:t>
      </w:r>
      <w:r w:rsidRPr="00B65627">
        <w:rPr>
          <w:rtl/>
        </w:rPr>
        <w:t xml:space="preserve"> </w:t>
      </w:r>
      <w:r w:rsidRPr="00B65627">
        <w:rPr>
          <w:rFonts w:hint="eastAsia"/>
          <w:rtl/>
        </w:rPr>
        <w:t>שתי</w:t>
      </w:r>
      <w:r w:rsidRPr="00B65627">
        <w:rPr>
          <w:rtl/>
        </w:rPr>
        <w:t xml:space="preserve"> </w:t>
      </w:r>
      <w:r w:rsidRPr="00B65627">
        <w:rPr>
          <w:rFonts w:hint="eastAsia"/>
          <w:rtl/>
        </w:rPr>
        <w:t>קריאות</w:t>
      </w:r>
      <w:r w:rsidRPr="00B65627">
        <w:rPr>
          <w:rtl/>
        </w:rPr>
        <w:t xml:space="preserve"> </w:t>
      </w:r>
      <w:r w:rsidRPr="00B65627">
        <w:rPr>
          <w:rFonts w:hint="eastAsia"/>
          <w:rtl/>
        </w:rPr>
        <w:t>בלבד</w:t>
      </w:r>
      <w:r w:rsidRPr="00B65627">
        <w:rPr>
          <w:rtl/>
        </w:rPr>
        <w:t xml:space="preserve">. </w:t>
      </w:r>
      <w:r w:rsidRPr="00B65627">
        <w:rPr>
          <w:rFonts w:hint="eastAsia"/>
          <w:rtl/>
        </w:rPr>
        <w:t>ברי</w:t>
      </w:r>
      <w:r w:rsidRPr="00B65627">
        <w:rPr>
          <w:rtl/>
        </w:rPr>
        <w:t xml:space="preserve"> </w:t>
      </w:r>
      <w:r w:rsidRPr="00B65627">
        <w:rPr>
          <w:rFonts w:hint="eastAsia"/>
          <w:rtl/>
        </w:rPr>
        <w:t>כי</w:t>
      </w:r>
      <w:r w:rsidRPr="00B65627">
        <w:rPr>
          <w:rtl/>
        </w:rPr>
        <w:t xml:space="preserve"> </w:t>
      </w:r>
      <w:r w:rsidRPr="00B65627">
        <w:rPr>
          <w:rFonts w:hint="eastAsia"/>
          <w:rtl/>
        </w:rPr>
        <w:t>בית</w:t>
      </w:r>
      <w:r w:rsidRPr="00B65627">
        <w:rPr>
          <w:rtl/>
        </w:rPr>
        <w:t xml:space="preserve"> </w:t>
      </w:r>
      <w:r w:rsidRPr="00B65627">
        <w:rPr>
          <w:rFonts w:hint="eastAsia"/>
          <w:rtl/>
        </w:rPr>
        <w:t>המשפט</w:t>
      </w:r>
      <w:r w:rsidRPr="00B65627">
        <w:rPr>
          <w:rtl/>
        </w:rPr>
        <w:t xml:space="preserve"> </w:t>
      </w:r>
      <w:r w:rsidRPr="00B65627">
        <w:rPr>
          <w:rFonts w:hint="eastAsia"/>
          <w:rtl/>
        </w:rPr>
        <w:t>יהיה</w:t>
      </w:r>
      <w:r w:rsidRPr="00B65627">
        <w:rPr>
          <w:rtl/>
        </w:rPr>
        <w:t xml:space="preserve"> </w:t>
      </w:r>
      <w:r w:rsidRPr="00B65627">
        <w:rPr>
          <w:rFonts w:hint="eastAsia"/>
          <w:rtl/>
        </w:rPr>
        <w:t>מוסמך</w:t>
      </w:r>
      <w:r w:rsidRPr="00B65627">
        <w:rPr>
          <w:rtl/>
        </w:rPr>
        <w:t xml:space="preserve"> </w:t>
      </w:r>
      <w:r w:rsidRPr="00B65627">
        <w:rPr>
          <w:rFonts w:hint="eastAsia"/>
          <w:rtl/>
        </w:rPr>
        <w:t>להורות</w:t>
      </w:r>
      <w:r w:rsidRPr="00B65627">
        <w:rPr>
          <w:rtl/>
        </w:rPr>
        <w:t xml:space="preserve"> </w:t>
      </w:r>
      <w:r w:rsidRPr="00B65627">
        <w:rPr>
          <w:rFonts w:hint="eastAsia"/>
          <w:rtl/>
        </w:rPr>
        <w:t>כי</w:t>
      </w:r>
      <w:r w:rsidRPr="00B65627">
        <w:rPr>
          <w:rtl/>
        </w:rPr>
        <w:t xml:space="preserve"> </w:t>
      </w:r>
      <w:r w:rsidRPr="00B65627">
        <w:rPr>
          <w:rFonts w:hint="eastAsia"/>
          <w:rtl/>
        </w:rPr>
        <w:t>ה</w:t>
      </w:r>
      <w:r>
        <w:rPr>
          <w:rFonts w:hint="cs"/>
          <w:rtl/>
        </w:rPr>
        <w:t>'</w:t>
      </w:r>
      <w:r w:rsidRPr="00B65627">
        <w:rPr>
          <w:rFonts w:hint="eastAsia"/>
          <w:rtl/>
        </w:rPr>
        <w:t>דבר</w:t>
      </w:r>
      <w:r>
        <w:rPr>
          <w:rFonts w:hint="cs"/>
          <w:rtl/>
        </w:rPr>
        <w:t>'</w:t>
      </w:r>
      <w:r w:rsidRPr="00B65627">
        <w:rPr>
          <w:rtl/>
        </w:rPr>
        <w:t xml:space="preserve"> </w:t>
      </w:r>
      <w:r w:rsidRPr="00B65627">
        <w:rPr>
          <w:rFonts w:hint="eastAsia"/>
          <w:rtl/>
        </w:rPr>
        <w:t>שעליו</w:t>
      </w:r>
      <w:r w:rsidRPr="00B65627">
        <w:rPr>
          <w:rtl/>
        </w:rPr>
        <w:t xml:space="preserve"> </w:t>
      </w:r>
      <w:r w:rsidRPr="00B65627">
        <w:rPr>
          <w:rFonts w:hint="eastAsia"/>
          <w:rtl/>
        </w:rPr>
        <w:t>הצביעו</w:t>
      </w:r>
      <w:r w:rsidRPr="00B65627">
        <w:rPr>
          <w:rtl/>
        </w:rPr>
        <w:t xml:space="preserve"> </w:t>
      </w:r>
      <w:r w:rsidRPr="00B65627">
        <w:rPr>
          <w:rFonts w:hint="eastAsia"/>
          <w:rtl/>
        </w:rPr>
        <w:t>חברי</w:t>
      </w:r>
      <w:r w:rsidRPr="00B65627">
        <w:rPr>
          <w:rtl/>
        </w:rPr>
        <w:t xml:space="preserve"> </w:t>
      </w:r>
      <w:r w:rsidRPr="00B65627">
        <w:rPr>
          <w:rFonts w:hint="eastAsia"/>
          <w:rtl/>
        </w:rPr>
        <w:t>הכנסת</w:t>
      </w:r>
      <w:r w:rsidRPr="00B65627">
        <w:rPr>
          <w:rtl/>
        </w:rPr>
        <w:t xml:space="preserve"> </w:t>
      </w:r>
      <w:r w:rsidRPr="00B65627">
        <w:rPr>
          <w:rFonts w:hint="eastAsia"/>
          <w:rtl/>
        </w:rPr>
        <w:t>איננו</w:t>
      </w:r>
      <w:r w:rsidRPr="00B65627">
        <w:rPr>
          <w:rtl/>
        </w:rPr>
        <w:t xml:space="preserve"> </w:t>
      </w:r>
      <w:r w:rsidRPr="00B65627">
        <w:rPr>
          <w:rFonts w:hint="eastAsia"/>
          <w:rtl/>
        </w:rPr>
        <w:t>בגדר</w:t>
      </w:r>
      <w:r w:rsidRPr="00B65627">
        <w:rPr>
          <w:rtl/>
        </w:rPr>
        <w:t xml:space="preserve"> '</w:t>
      </w:r>
      <w:r>
        <w:rPr>
          <w:rFonts w:hint="eastAsia"/>
          <w:rtl/>
        </w:rPr>
        <w:t>חוק-יסוד</w:t>
      </w:r>
      <w:r w:rsidRPr="00B65627">
        <w:rPr>
          <w:rtl/>
        </w:rPr>
        <w:t xml:space="preserve">', </w:t>
      </w:r>
      <w:r w:rsidRPr="00B65627">
        <w:rPr>
          <w:rFonts w:hint="eastAsia"/>
          <w:rtl/>
        </w:rPr>
        <w:t>וזאת</w:t>
      </w:r>
      <w:r w:rsidRPr="00B65627">
        <w:rPr>
          <w:rtl/>
        </w:rPr>
        <w:t xml:space="preserve"> </w:t>
      </w:r>
      <w:r w:rsidRPr="00B65627">
        <w:rPr>
          <w:rFonts w:hint="eastAsia"/>
          <w:rtl/>
        </w:rPr>
        <w:t>מאחר</w:t>
      </w:r>
      <w:r w:rsidRPr="00B65627">
        <w:rPr>
          <w:rtl/>
        </w:rPr>
        <w:t xml:space="preserve"> </w:t>
      </w:r>
      <w:r w:rsidRPr="00B65627">
        <w:rPr>
          <w:rFonts w:hint="eastAsia"/>
          <w:rtl/>
        </w:rPr>
        <w:t>שבית</w:t>
      </w:r>
      <w:r w:rsidRPr="00B65627">
        <w:rPr>
          <w:rtl/>
        </w:rPr>
        <w:t xml:space="preserve"> </w:t>
      </w:r>
      <w:r w:rsidRPr="00B65627">
        <w:rPr>
          <w:rFonts w:hint="eastAsia"/>
          <w:rtl/>
        </w:rPr>
        <w:t>המשפט</w:t>
      </w:r>
      <w:r w:rsidRPr="00B65627">
        <w:rPr>
          <w:rtl/>
        </w:rPr>
        <w:t xml:space="preserve"> </w:t>
      </w:r>
      <w:r w:rsidRPr="00B65627">
        <w:rPr>
          <w:rFonts w:hint="eastAsia"/>
          <w:rtl/>
        </w:rPr>
        <w:t>הוא</w:t>
      </w:r>
      <w:r w:rsidRPr="00B65627">
        <w:rPr>
          <w:rtl/>
        </w:rPr>
        <w:t xml:space="preserve"> </w:t>
      </w:r>
      <w:r w:rsidRPr="00B65627">
        <w:rPr>
          <w:rFonts w:hint="eastAsia"/>
          <w:rtl/>
        </w:rPr>
        <w:t>הגורם</w:t>
      </w:r>
      <w:r w:rsidRPr="00B65627">
        <w:rPr>
          <w:rtl/>
        </w:rPr>
        <w:t xml:space="preserve"> </w:t>
      </w:r>
      <w:r w:rsidRPr="00B65627">
        <w:rPr>
          <w:rFonts w:hint="eastAsia"/>
          <w:rtl/>
        </w:rPr>
        <w:t>ה</w:t>
      </w:r>
      <w:r w:rsidRPr="00B65627">
        <w:rPr>
          <w:rFonts w:hint="cs"/>
          <w:rtl/>
        </w:rPr>
        <w:t>אמון</w:t>
      </w:r>
      <w:r w:rsidRPr="00B65627">
        <w:rPr>
          <w:rtl/>
        </w:rPr>
        <w:t xml:space="preserve"> </w:t>
      </w:r>
      <w:r w:rsidRPr="00B65627">
        <w:rPr>
          <w:rFonts w:hint="cs"/>
          <w:rtl/>
        </w:rPr>
        <w:t xml:space="preserve">על זיהוי </w:t>
      </w:r>
      <w:r w:rsidRPr="00B65627">
        <w:rPr>
          <w:rFonts w:hint="eastAsia"/>
          <w:rtl/>
        </w:rPr>
        <w:t>תוקפם</w:t>
      </w:r>
      <w:r w:rsidRPr="00B65627">
        <w:rPr>
          <w:rtl/>
        </w:rPr>
        <w:t xml:space="preserve"> </w:t>
      </w:r>
      <w:r w:rsidRPr="00B65627">
        <w:rPr>
          <w:rFonts w:hint="eastAsia"/>
          <w:rtl/>
        </w:rPr>
        <w:t>הנורמטיבי</w:t>
      </w:r>
      <w:r w:rsidRPr="00B65627">
        <w:rPr>
          <w:rtl/>
        </w:rPr>
        <w:t xml:space="preserve"> </w:t>
      </w:r>
      <w:r w:rsidRPr="00B65627">
        <w:rPr>
          <w:rFonts w:hint="eastAsia"/>
          <w:rtl/>
        </w:rPr>
        <w:t>המחייב</w:t>
      </w:r>
      <w:r w:rsidRPr="00B65627">
        <w:rPr>
          <w:rtl/>
        </w:rPr>
        <w:t xml:space="preserve"> </w:t>
      </w:r>
      <w:r w:rsidRPr="00B65627">
        <w:rPr>
          <w:rFonts w:hint="eastAsia"/>
          <w:rtl/>
        </w:rPr>
        <w:t>של</w:t>
      </w:r>
      <w:r w:rsidRPr="00B65627">
        <w:rPr>
          <w:rtl/>
        </w:rPr>
        <w:t xml:space="preserve"> </w:t>
      </w:r>
      <w:r w:rsidRPr="00B65627">
        <w:rPr>
          <w:rFonts w:hint="eastAsia"/>
          <w:rtl/>
        </w:rPr>
        <w:t>דברי</w:t>
      </w:r>
      <w:r w:rsidRPr="00B65627">
        <w:rPr>
          <w:rtl/>
        </w:rPr>
        <w:t xml:space="preserve"> </w:t>
      </w:r>
      <w:r w:rsidRPr="00B65627">
        <w:rPr>
          <w:rFonts w:hint="eastAsia"/>
          <w:rtl/>
        </w:rPr>
        <w:t>חקיקה</w:t>
      </w:r>
      <w:r w:rsidRPr="00B65627">
        <w:rPr>
          <w:rtl/>
        </w:rPr>
        <w:t>.</w:t>
      </w:r>
      <w:r>
        <w:rPr>
          <w:rFonts w:hint="cs"/>
          <w:rtl/>
        </w:rPr>
        <w:t xml:space="preserve"> </w:t>
      </w:r>
      <w:r w:rsidRPr="00B65627">
        <w:rPr>
          <w:rFonts w:hint="eastAsia"/>
          <w:rtl/>
        </w:rPr>
        <w:t>התפתחותה</w:t>
      </w:r>
      <w:r w:rsidRPr="00B65627">
        <w:rPr>
          <w:rtl/>
        </w:rPr>
        <w:t xml:space="preserve"> </w:t>
      </w:r>
      <w:r w:rsidRPr="00B65627">
        <w:rPr>
          <w:rFonts w:hint="eastAsia"/>
          <w:rtl/>
        </w:rPr>
        <w:t>של</w:t>
      </w:r>
      <w:r w:rsidRPr="00B65627">
        <w:rPr>
          <w:rtl/>
        </w:rPr>
        <w:t xml:space="preserve"> </w:t>
      </w:r>
      <w:r w:rsidRPr="00B65627">
        <w:rPr>
          <w:rFonts w:hint="eastAsia"/>
          <w:rtl/>
        </w:rPr>
        <w:t>דוקטרינת</w:t>
      </w:r>
      <w:r w:rsidRPr="00B65627">
        <w:rPr>
          <w:rtl/>
        </w:rPr>
        <w:t xml:space="preserve"> '</w:t>
      </w:r>
      <w:r w:rsidRPr="00B65627">
        <w:rPr>
          <w:rFonts w:hint="eastAsia"/>
          <w:rtl/>
        </w:rPr>
        <w:t>השימוש</w:t>
      </w:r>
      <w:r w:rsidRPr="00B65627">
        <w:rPr>
          <w:rtl/>
        </w:rPr>
        <w:t xml:space="preserve"> </w:t>
      </w:r>
      <w:r w:rsidRPr="00B65627">
        <w:rPr>
          <w:rFonts w:hint="eastAsia"/>
          <w:rtl/>
        </w:rPr>
        <w:t>לרעה</w:t>
      </w:r>
      <w:r w:rsidRPr="00B65627">
        <w:rPr>
          <w:rtl/>
        </w:rPr>
        <w:t xml:space="preserve"> </w:t>
      </w:r>
      <w:r w:rsidRPr="00B65627">
        <w:rPr>
          <w:rFonts w:hint="eastAsia"/>
          <w:rtl/>
        </w:rPr>
        <w:t>בסמכות</w:t>
      </w:r>
      <w:r w:rsidRPr="00B65627">
        <w:rPr>
          <w:rtl/>
        </w:rPr>
        <w:t xml:space="preserve"> </w:t>
      </w:r>
      <w:r w:rsidRPr="00B65627">
        <w:rPr>
          <w:rFonts w:hint="eastAsia"/>
          <w:rtl/>
        </w:rPr>
        <w:t>המכוננת</w:t>
      </w:r>
      <w:r w:rsidRPr="00B65627">
        <w:rPr>
          <w:rtl/>
        </w:rPr>
        <w:t xml:space="preserve">', </w:t>
      </w:r>
      <w:r w:rsidRPr="00B65627">
        <w:rPr>
          <w:rFonts w:hint="eastAsia"/>
          <w:rtl/>
        </w:rPr>
        <w:t>תוארה</w:t>
      </w:r>
      <w:r w:rsidRPr="00B65627">
        <w:rPr>
          <w:rtl/>
        </w:rPr>
        <w:t xml:space="preserve"> </w:t>
      </w:r>
      <w:r w:rsidRPr="00B65627">
        <w:rPr>
          <w:rFonts w:hint="eastAsia"/>
          <w:rtl/>
        </w:rPr>
        <w:t>בהרחבה</w:t>
      </w:r>
      <w:r w:rsidRPr="00B65627">
        <w:rPr>
          <w:rtl/>
        </w:rPr>
        <w:t xml:space="preserve"> </w:t>
      </w:r>
      <w:r w:rsidRPr="00B65627">
        <w:rPr>
          <w:rFonts w:hint="eastAsia"/>
          <w:rtl/>
        </w:rPr>
        <w:t>על</w:t>
      </w:r>
      <w:r w:rsidRPr="00B65627">
        <w:rPr>
          <w:rtl/>
        </w:rPr>
        <w:t>-</w:t>
      </w:r>
      <w:r w:rsidRPr="00B65627">
        <w:rPr>
          <w:rFonts w:hint="eastAsia"/>
          <w:rtl/>
        </w:rPr>
        <w:t>ידי</w:t>
      </w:r>
      <w:r w:rsidRPr="00B65627">
        <w:rPr>
          <w:rtl/>
        </w:rPr>
        <w:t xml:space="preserve"> </w:t>
      </w:r>
      <w:r w:rsidRPr="00B65627">
        <w:rPr>
          <w:rFonts w:hint="eastAsia"/>
          <w:rtl/>
        </w:rPr>
        <w:t>חברי</w:t>
      </w:r>
      <w:r w:rsidRPr="00B65627">
        <w:rPr>
          <w:rtl/>
        </w:rPr>
        <w:t xml:space="preserve"> </w:t>
      </w:r>
      <w:r w:rsidRPr="00B65627">
        <w:rPr>
          <w:rFonts w:hint="eastAsia"/>
          <w:rtl/>
        </w:rPr>
        <w:t>השופט</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סולברג</w:t>
      </w:r>
      <w:r w:rsidRPr="00B65627">
        <w:rPr>
          <w:rtl/>
        </w:rPr>
        <w:t xml:space="preserve"> </w:t>
      </w:r>
      <w:r w:rsidRPr="00B65627">
        <w:rPr>
          <w:rFonts w:hint="eastAsia"/>
          <w:rtl/>
        </w:rPr>
        <w:t>בעניין</w:t>
      </w:r>
      <w:r w:rsidRPr="00B65627">
        <w:rPr>
          <w:rtl/>
        </w:rPr>
        <w:t xml:space="preserve"> </w:t>
      </w:r>
      <w:r w:rsidRPr="00B65627">
        <w:rPr>
          <w:rFonts w:ascii="Century" w:hAnsi="Century" w:cs="Miriam" w:hint="eastAsia"/>
          <w:b/>
          <w:spacing w:val="0"/>
          <w:sz w:val="22"/>
          <w:szCs w:val="24"/>
          <w:rtl/>
        </w:rPr>
        <w:t>ממשלת</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החילופים</w:t>
      </w:r>
      <w:r w:rsidRPr="00B65627">
        <w:rPr>
          <w:rtl/>
        </w:rPr>
        <w:t xml:space="preserve">, </w:t>
      </w:r>
      <w:r w:rsidRPr="00B65627">
        <w:rPr>
          <w:rFonts w:hint="cs"/>
          <w:rtl/>
        </w:rPr>
        <w:t xml:space="preserve">ולא </w:t>
      </w:r>
      <w:r>
        <w:rPr>
          <w:rFonts w:hint="cs"/>
          <w:rtl/>
        </w:rPr>
        <w:t>מצאתי לה</w:t>
      </w:r>
      <w:r w:rsidRPr="00B65627">
        <w:rPr>
          <w:rFonts w:hint="eastAsia"/>
          <w:rtl/>
        </w:rPr>
        <w:t>ביא</w:t>
      </w:r>
      <w:r w:rsidRPr="00B65627">
        <w:rPr>
          <w:rtl/>
        </w:rPr>
        <w:t xml:space="preserve"> </w:t>
      </w:r>
      <w:r w:rsidRPr="00B65627">
        <w:rPr>
          <w:rFonts w:hint="eastAsia"/>
          <w:rtl/>
        </w:rPr>
        <w:t>את</w:t>
      </w:r>
      <w:r w:rsidRPr="00B65627">
        <w:rPr>
          <w:rtl/>
        </w:rPr>
        <w:t xml:space="preserve"> </w:t>
      </w:r>
      <w:r w:rsidRPr="00B65627">
        <w:rPr>
          <w:rFonts w:hint="eastAsia"/>
          <w:rtl/>
        </w:rPr>
        <w:t>הדברים</w:t>
      </w:r>
      <w:r w:rsidRPr="00B65627">
        <w:rPr>
          <w:rtl/>
        </w:rPr>
        <w:t xml:space="preserve"> </w:t>
      </w:r>
      <w:r w:rsidRPr="00B65627">
        <w:rPr>
          <w:rFonts w:hint="cs"/>
          <w:rtl/>
        </w:rPr>
        <w:t>שוב</w:t>
      </w:r>
      <w:r w:rsidRPr="00B65627">
        <w:rPr>
          <w:rtl/>
        </w:rPr>
        <w:t>.</w:t>
      </w:r>
    </w:p>
    <w:p w:rsidR="00D61E12" w:rsidRPr="00B65627" w:rsidRDefault="00D61E12" w:rsidP="00D61E12">
      <w:pPr>
        <w:pStyle w:val="Ruller4"/>
        <w:spacing w:before="240" w:after="240"/>
      </w:pPr>
      <w:r w:rsidRPr="00B65627">
        <w:rPr>
          <w:rFonts w:hint="cs"/>
          <w:rtl/>
        </w:rPr>
        <w:lastRenderedPageBreak/>
        <w:t>בענייננו, די בכך</w:t>
      </w:r>
      <w:r w:rsidRPr="00B65627">
        <w:rPr>
          <w:rtl/>
        </w:rPr>
        <w:t xml:space="preserve"> </w:t>
      </w:r>
      <w:r w:rsidRPr="00B65627">
        <w:rPr>
          <w:rFonts w:hint="cs"/>
          <w:rtl/>
        </w:rPr>
        <w:t xml:space="preserve">שאציין </w:t>
      </w:r>
      <w:r w:rsidRPr="00B65627">
        <w:rPr>
          <w:rFonts w:hint="eastAsia"/>
          <w:rtl/>
        </w:rPr>
        <w:t>כי</w:t>
      </w:r>
      <w:r w:rsidRPr="00B65627">
        <w:rPr>
          <w:rtl/>
        </w:rPr>
        <w:t xml:space="preserve"> </w:t>
      </w:r>
      <w:r w:rsidRPr="00B65627">
        <w:rPr>
          <w:rFonts w:hint="cs"/>
          <w:rtl/>
        </w:rPr>
        <w:t xml:space="preserve">לדידי </w:t>
      </w:r>
      <w:r w:rsidRPr="00B65627">
        <w:rPr>
          <w:rFonts w:hint="eastAsia"/>
          <w:rtl/>
        </w:rPr>
        <w:t>קיים</w:t>
      </w:r>
      <w:r w:rsidRPr="00B65627">
        <w:rPr>
          <w:rtl/>
        </w:rPr>
        <w:t xml:space="preserve"> </w:t>
      </w:r>
      <w:r w:rsidRPr="00B65627">
        <w:rPr>
          <w:rFonts w:hint="eastAsia"/>
          <w:rtl/>
        </w:rPr>
        <w:t>קושי</w:t>
      </w:r>
      <w:r w:rsidRPr="00B65627">
        <w:rPr>
          <w:rtl/>
        </w:rPr>
        <w:t xml:space="preserve"> </w:t>
      </w:r>
      <w:r w:rsidRPr="00B65627">
        <w:rPr>
          <w:rFonts w:hint="eastAsia"/>
          <w:rtl/>
        </w:rPr>
        <w:t>ממשי</w:t>
      </w:r>
      <w:r w:rsidRPr="00B65627">
        <w:rPr>
          <w:rtl/>
        </w:rPr>
        <w:t xml:space="preserve"> </w:t>
      </w:r>
      <w:r w:rsidRPr="00B65627">
        <w:rPr>
          <w:rFonts w:hint="eastAsia"/>
          <w:rtl/>
        </w:rPr>
        <w:t>לטעון</w:t>
      </w:r>
      <w:r w:rsidRPr="00B65627">
        <w:rPr>
          <w:rtl/>
        </w:rPr>
        <w:t xml:space="preserve"> </w:t>
      </w:r>
      <w:r w:rsidRPr="00B65627">
        <w:rPr>
          <w:rFonts w:hint="eastAsia"/>
          <w:rtl/>
        </w:rPr>
        <w:t>כי</w:t>
      </w:r>
      <w:r w:rsidRPr="00B65627">
        <w:rPr>
          <w:rtl/>
        </w:rPr>
        <w:t xml:space="preserve"> </w:t>
      </w:r>
      <w:r w:rsidRPr="00B65627">
        <w:rPr>
          <w:rFonts w:hint="eastAsia"/>
          <w:rtl/>
        </w:rPr>
        <w:t>הכנסת</w:t>
      </w:r>
      <w:r w:rsidRPr="00B65627">
        <w:rPr>
          <w:rtl/>
        </w:rPr>
        <w:t xml:space="preserve"> </w:t>
      </w:r>
      <w:r w:rsidRPr="00B65627">
        <w:rPr>
          <w:rFonts w:hint="eastAsia"/>
          <w:rtl/>
        </w:rPr>
        <w:t>עשתה</w:t>
      </w:r>
      <w:r w:rsidRPr="00B65627">
        <w:rPr>
          <w:rtl/>
        </w:rPr>
        <w:t xml:space="preserve"> </w:t>
      </w:r>
      <w:r w:rsidRPr="00B65627">
        <w:rPr>
          <w:rFonts w:hint="eastAsia"/>
          <w:rtl/>
        </w:rPr>
        <w:t>שימוש</w:t>
      </w:r>
      <w:r w:rsidRPr="00B65627">
        <w:rPr>
          <w:rtl/>
        </w:rPr>
        <w:t xml:space="preserve"> </w:t>
      </w:r>
      <w:r w:rsidRPr="00B65627">
        <w:rPr>
          <w:rFonts w:hint="eastAsia"/>
          <w:rtl/>
        </w:rPr>
        <w:t>לרעה</w:t>
      </w:r>
      <w:r w:rsidRPr="00B65627">
        <w:rPr>
          <w:rtl/>
        </w:rPr>
        <w:t xml:space="preserve"> </w:t>
      </w:r>
      <w:r w:rsidRPr="00B65627">
        <w:rPr>
          <w:rFonts w:hint="eastAsia"/>
          <w:rtl/>
        </w:rPr>
        <w:t>בסמכותה</w:t>
      </w:r>
      <w:r w:rsidRPr="00B65627">
        <w:rPr>
          <w:rtl/>
        </w:rPr>
        <w:t xml:space="preserve"> </w:t>
      </w:r>
      <w:r w:rsidRPr="00B65627">
        <w:rPr>
          <w:rFonts w:hint="eastAsia"/>
          <w:rtl/>
        </w:rPr>
        <w:t>המכוננת</w:t>
      </w:r>
      <w:r w:rsidRPr="00B65627">
        <w:rPr>
          <w:rtl/>
        </w:rPr>
        <w:t xml:space="preserve"> </w:t>
      </w:r>
      <w:r w:rsidRPr="00B65627">
        <w:rPr>
          <w:rFonts w:hint="eastAsia"/>
          <w:rtl/>
        </w:rPr>
        <w:t>במסגרת</w:t>
      </w:r>
      <w:r w:rsidRPr="00B65627">
        <w:rPr>
          <w:rtl/>
        </w:rPr>
        <w:t xml:space="preserve"> </w:t>
      </w:r>
      <w:r w:rsidRPr="00B65627">
        <w:rPr>
          <w:rFonts w:hint="eastAsia"/>
          <w:rtl/>
        </w:rPr>
        <w:t>תיקון</w:t>
      </w:r>
      <w:r w:rsidRPr="00B65627">
        <w:rPr>
          <w:rtl/>
        </w:rPr>
        <w:t xml:space="preserve"> </w:t>
      </w:r>
      <w:r w:rsidRPr="00B65627">
        <w:rPr>
          <w:rFonts w:hint="eastAsia"/>
          <w:rtl/>
        </w:rPr>
        <w:t>מס</w:t>
      </w:r>
      <w:r w:rsidRPr="00B65627">
        <w:rPr>
          <w:rtl/>
        </w:rPr>
        <w:t>' 3</w:t>
      </w:r>
      <w:r>
        <w:rPr>
          <w:rFonts w:hint="cs"/>
          <w:rtl/>
        </w:rPr>
        <w:t>.</w:t>
      </w:r>
      <w:r w:rsidRPr="00B65627">
        <w:rPr>
          <w:rtl/>
        </w:rPr>
        <w:t xml:space="preserve"> </w:t>
      </w:r>
      <w:r>
        <w:rPr>
          <w:rFonts w:hint="cs"/>
          <w:rtl/>
        </w:rPr>
        <w:t>זאת, מ</w:t>
      </w:r>
      <w:r w:rsidRPr="00B65627">
        <w:rPr>
          <w:rFonts w:hint="eastAsia"/>
          <w:rtl/>
        </w:rPr>
        <w:t>כיוון</w:t>
      </w:r>
      <w:r w:rsidRPr="00B65627">
        <w:rPr>
          <w:rtl/>
        </w:rPr>
        <w:t xml:space="preserve"> </w:t>
      </w:r>
      <w:r w:rsidRPr="00B65627">
        <w:rPr>
          <w:rFonts w:hint="eastAsia"/>
          <w:rtl/>
        </w:rPr>
        <w:t>שסמכות</w:t>
      </w:r>
      <w:r w:rsidRPr="00B65627">
        <w:rPr>
          <w:rtl/>
        </w:rPr>
        <w:t xml:space="preserve"> </w:t>
      </w:r>
      <w:r w:rsidRPr="00B65627">
        <w:rPr>
          <w:rFonts w:hint="eastAsia"/>
          <w:rtl/>
        </w:rPr>
        <w:t>בית</w:t>
      </w:r>
      <w:r w:rsidRPr="00B65627">
        <w:rPr>
          <w:rtl/>
        </w:rPr>
        <w:t xml:space="preserve"> </w:t>
      </w:r>
      <w:r w:rsidRPr="00B65627">
        <w:rPr>
          <w:rFonts w:hint="eastAsia"/>
          <w:rtl/>
        </w:rPr>
        <w:t>משפט</w:t>
      </w:r>
      <w:r w:rsidRPr="00B65627">
        <w:rPr>
          <w:rtl/>
        </w:rPr>
        <w:t xml:space="preserve"> </w:t>
      </w:r>
      <w:r w:rsidRPr="00B65627">
        <w:rPr>
          <w:rFonts w:hint="eastAsia"/>
          <w:rtl/>
        </w:rPr>
        <w:t>זה</w:t>
      </w:r>
      <w:r w:rsidRPr="00B65627">
        <w:rPr>
          <w:rtl/>
        </w:rPr>
        <w:t xml:space="preserve"> </w:t>
      </w:r>
      <w:r w:rsidRPr="00B65627">
        <w:rPr>
          <w:rFonts w:hint="eastAsia"/>
          <w:rtl/>
        </w:rPr>
        <w:t>בשבתו</w:t>
      </w:r>
      <w:r w:rsidRPr="00B65627">
        <w:rPr>
          <w:rtl/>
        </w:rPr>
        <w:t xml:space="preserve"> </w:t>
      </w:r>
      <w:r w:rsidRPr="00B65627">
        <w:rPr>
          <w:rFonts w:hint="eastAsia"/>
          <w:rtl/>
        </w:rPr>
        <w:t>כבית</w:t>
      </w:r>
      <w:r w:rsidRPr="00B65627">
        <w:rPr>
          <w:rtl/>
        </w:rPr>
        <w:t xml:space="preserve"> </w:t>
      </w:r>
      <w:r w:rsidRPr="00B65627">
        <w:rPr>
          <w:rFonts w:hint="eastAsia"/>
          <w:rtl/>
        </w:rPr>
        <w:t>משפט</w:t>
      </w:r>
      <w:r w:rsidRPr="00B65627">
        <w:rPr>
          <w:rtl/>
        </w:rPr>
        <w:t xml:space="preserve"> </w:t>
      </w:r>
      <w:r w:rsidRPr="00B65627">
        <w:rPr>
          <w:rFonts w:hint="eastAsia"/>
          <w:rtl/>
        </w:rPr>
        <w:t>גבוה</w:t>
      </w:r>
      <w:r w:rsidRPr="00B65627">
        <w:rPr>
          <w:rtl/>
        </w:rPr>
        <w:t xml:space="preserve"> </w:t>
      </w:r>
      <w:r w:rsidRPr="00B65627">
        <w:rPr>
          <w:rFonts w:hint="eastAsia"/>
          <w:rtl/>
        </w:rPr>
        <w:t>לצדק</w:t>
      </w:r>
      <w:r w:rsidRPr="00B65627">
        <w:rPr>
          <w:rFonts w:hint="cs"/>
          <w:rtl/>
        </w:rPr>
        <w:t xml:space="preserve"> לבקר את </w:t>
      </w:r>
      <w:r>
        <w:rPr>
          <w:rFonts w:hint="cs"/>
          <w:rtl/>
        </w:rPr>
        <w:t xml:space="preserve">פעולות </w:t>
      </w:r>
      <w:r w:rsidRPr="00B65627">
        <w:rPr>
          <w:rFonts w:hint="cs"/>
          <w:rtl/>
        </w:rPr>
        <w:t>הממשלה ושריה,</w:t>
      </w:r>
      <w:r w:rsidRPr="00B65627">
        <w:rPr>
          <w:rtl/>
        </w:rPr>
        <w:t xml:space="preserve"> </w:t>
      </w:r>
      <w:r w:rsidRPr="00B65627">
        <w:rPr>
          <w:rFonts w:hint="eastAsia"/>
          <w:rtl/>
        </w:rPr>
        <w:t>היא</w:t>
      </w:r>
      <w:r w:rsidRPr="00B65627">
        <w:rPr>
          <w:rtl/>
        </w:rPr>
        <w:t xml:space="preserve"> </w:t>
      </w:r>
      <w:r w:rsidRPr="00B65627">
        <w:rPr>
          <w:rFonts w:hint="eastAsia"/>
          <w:rtl/>
        </w:rPr>
        <w:t>סוגיה</w:t>
      </w:r>
      <w:r w:rsidRPr="00B65627">
        <w:rPr>
          <w:rtl/>
        </w:rPr>
        <w:t xml:space="preserve"> </w:t>
      </w:r>
      <w:r w:rsidRPr="00B65627">
        <w:rPr>
          <w:rFonts w:hint="eastAsia"/>
          <w:rtl/>
        </w:rPr>
        <w:t>שקשורה</w:t>
      </w:r>
      <w:r w:rsidRPr="00B65627">
        <w:rPr>
          <w:rtl/>
        </w:rPr>
        <w:t xml:space="preserve"> </w:t>
      </w:r>
      <w:r w:rsidRPr="00B65627">
        <w:rPr>
          <w:rFonts w:hint="eastAsia"/>
          <w:rtl/>
        </w:rPr>
        <w:t>למבנה</w:t>
      </w:r>
      <w:r w:rsidRPr="00B65627">
        <w:rPr>
          <w:rtl/>
        </w:rPr>
        <w:t xml:space="preserve"> </w:t>
      </w:r>
      <w:r w:rsidRPr="00B65627">
        <w:rPr>
          <w:rFonts w:hint="eastAsia"/>
          <w:rtl/>
        </w:rPr>
        <w:t>החוקתי</w:t>
      </w:r>
      <w:r w:rsidRPr="00B65627">
        <w:rPr>
          <w:rtl/>
        </w:rPr>
        <w:t xml:space="preserve"> </w:t>
      </w:r>
      <w:r w:rsidRPr="00B65627">
        <w:rPr>
          <w:rFonts w:hint="eastAsia"/>
          <w:rtl/>
        </w:rPr>
        <w:t>של</w:t>
      </w:r>
      <w:r w:rsidRPr="00B65627">
        <w:rPr>
          <w:rtl/>
        </w:rPr>
        <w:t xml:space="preserve"> </w:t>
      </w:r>
      <w:r w:rsidRPr="00B65627">
        <w:rPr>
          <w:rFonts w:hint="eastAsia"/>
          <w:rtl/>
        </w:rPr>
        <w:t>המדינה</w:t>
      </w:r>
      <w:r>
        <w:rPr>
          <w:rFonts w:hint="cs"/>
          <w:rtl/>
        </w:rPr>
        <w:t>, והיא עוגנה זה מכבר בסעיף 15 לחוק-יסוד: השפיטה</w:t>
      </w:r>
      <w:r w:rsidRPr="00B65627">
        <w:rPr>
          <w:rtl/>
        </w:rPr>
        <w:t xml:space="preserve">; </w:t>
      </w:r>
      <w:r w:rsidRPr="00B65627">
        <w:rPr>
          <w:rFonts w:hint="eastAsia"/>
          <w:rtl/>
        </w:rPr>
        <w:t>וככזו</w:t>
      </w:r>
      <w:r w:rsidRPr="00B65627">
        <w:rPr>
          <w:rtl/>
        </w:rPr>
        <w:t xml:space="preserve"> </w:t>
      </w:r>
      <w:r w:rsidRPr="00B65627">
        <w:rPr>
          <w:rFonts w:hint="eastAsia"/>
          <w:rtl/>
        </w:rPr>
        <w:t>קשה</w:t>
      </w:r>
      <w:r w:rsidRPr="00B65627">
        <w:rPr>
          <w:rtl/>
        </w:rPr>
        <w:t xml:space="preserve"> </w:t>
      </w:r>
      <w:r w:rsidRPr="00B65627">
        <w:rPr>
          <w:rFonts w:hint="eastAsia"/>
          <w:rtl/>
        </w:rPr>
        <w:t>לקבל</w:t>
      </w:r>
      <w:r w:rsidRPr="00B65627">
        <w:rPr>
          <w:rtl/>
        </w:rPr>
        <w:t xml:space="preserve"> </w:t>
      </w:r>
      <w:r w:rsidRPr="00B65627">
        <w:rPr>
          <w:rFonts w:hint="eastAsia"/>
          <w:rtl/>
        </w:rPr>
        <w:t>את</w:t>
      </w:r>
      <w:r w:rsidRPr="00B65627">
        <w:rPr>
          <w:rtl/>
        </w:rPr>
        <w:t xml:space="preserve"> </w:t>
      </w:r>
      <w:r w:rsidRPr="00B65627">
        <w:rPr>
          <w:rFonts w:hint="eastAsia"/>
          <w:rtl/>
        </w:rPr>
        <w:t>הטענה</w:t>
      </w:r>
      <w:r w:rsidRPr="00B65627">
        <w:rPr>
          <w:rtl/>
        </w:rPr>
        <w:t xml:space="preserve"> </w:t>
      </w:r>
      <w:r w:rsidRPr="00B65627">
        <w:rPr>
          <w:rFonts w:hint="eastAsia"/>
          <w:rtl/>
        </w:rPr>
        <w:t>שמקום</w:t>
      </w:r>
      <w:r w:rsidRPr="00B65627">
        <w:rPr>
          <w:rtl/>
        </w:rPr>
        <w:t xml:space="preserve"> </w:t>
      </w:r>
      <w:r w:rsidRPr="00B65627">
        <w:rPr>
          <w:rFonts w:hint="eastAsia"/>
          <w:rtl/>
        </w:rPr>
        <w:t>הוראה</w:t>
      </w:r>
      <w:r w:rsidRPr="00B65627">
        <w:rPr>
          <w:rtl/>
        </w:rPr>
        <w:t xml:space="preserve"> </w:t>
      </w:r>
      <w:r w:rsidRPr="00B65627">
        <w:rPr>
          <w:rFonts w:hint="eastAsia"/>
          <w:rtl/>
        </w:rPr>
        <w:t>זו</w:t>
      </w:r>
      <w:r w:rsidRPr="00B65627">
        <w:rPr>
          <w:rtl/>
        </w:rPr>
        <w:t xml:space="preserve"> </w:t>
      </w:r>
      <w:r w:rsidRPr="00B65627">
        <w:rPr>
          <w:rFonts w:hint="eastAsia"/>
          <w:rtl/>
        </w:rPr>
        <w:t>אינו</w:t>
      </w:r>
      <w:r w:rsidRPr="00B65627">
        <w:rPr>
          <w:rtl/>
        </w:rPr>
        <w:t xml:space="preserve"> </w:t>
      </w:r>
      <w:r w:rsidRPr="00B65627">
        <w:rPr>
          <w:rFonts w:hint="eastAsia"/>
          <w:rtl/>
        </w:rPr>
        <w:t>בגדרי</w:t>
      </w:r>
      <w:r w:rsidRPr="00B65627">
        <w:rPr>
          <w:rtl/>
        </w:rPr>
        <w:t xml:space="preserve"> </w:t>
      </w:r>
      <w:r w:rsidRPr="00B65627">
        <w:rPr>
          <w:rFonts w:hint="eastAsia"/>
          <w:rtl/>
        </w:rPr>
        <w:t>החוקה</w:t>
      </w:r>
      <w:r w:rsidRPr="00B65627">
        <w:rPr>
          <w:rtl/>
        </w:rPr>
        <w:t xml:space="preserve"> </w:t>
      </w:r>
      <w:r w:rsidRPr="00B65627">
        <w:rPr>
          <w:rFonts w:hint="eastAsia"/>
          <w:rtl/>
        </w:rPr>
        <w:t>של</w:t>
      </w:r>
      <w:r w:rsidRPr="00B65627">
        <w:rPr>
          <w:rtl/>
        </w:rPr>
        <w:t xml:space="preserve"> </w:t>
      </w:r>
      <w:r w:rsidRPr="00B65627">
        <w:rPr>
          <w:rFonts w:hint="eastAsia"/>
          <w:rtl/>
        </w:rPr>
        <w:t>המדינה</w:t>
      </w:r>
      <w:r w:rsidRPr="00B65627">
        <w:rPr>
          <w:rtl/>
        </w:rPr>
        <w:t xml:space="preserve">. </w:t>
      </w:r>
      <w:r w:rsidRPr="00B65627">
        <w:rPr>
          <w:rFonts w:hint="eastAsia"/>
          <w:rtl/>
        </w:rPr>
        <w:t>באופן</w:t>
      </w:r>
      <w:r w:rsidRPr="00B65627">
        <w:rPr>
          <w:rtl/>
        </w:rPr>
        <w:t xml:space="preserve"> </w:t>
      </w:r>
      <w:r w:rsidRPr="00B65627">
        <w:rPr>
          <w:rFonts w:hint="eastAsia"/>
          <w:rtl/>
        </w:rPr>
        <w:t>קונקרטי</w:t>
      </w:r>
      <w:r w:rsidRPr="00B65627">
        <w:rPr>
          <w:rtl/>
        </w:rPr>
        <w:t xml:space="preserve"> </w:t>
      </w:r>
      <w:r w:rsidRPr="00B65627">
        <w:rPr>
          <w:rFonts w:hint="eastAsia"/>
          <w:rtl/>
        </w:rPr>
        <w:t>יותר</w:t>
      </w:r>
      <w:r w:rsidRPr="00B65627">
        <w:rPr>
          <w:rtl/>
        </w:rPr>
        <w:t xml:space="preserve"> </w:t>
      </w:r>
      <w:r w:rsidRPr="00B65627">
        <w:rPr>
          <w:rFonts w:hint="eastAsia"/>
          <w:rtl/>
        </w:rPr>
        <w:t>אף</w:t>
      </w:r>
      <w:r w:rsidRPr="00B65627">
        <w:rPr>
          <w:rtl/>
        </w:rPr>
        <w:t xml:space="preserve"> </w:t>
      </w:r>
      <w:r w:rsidRPr="00B65627">
        <w:rPr>
          <w:rFonts w:hint="eastAsia"/>
          <w:rtl/>
        </w:rPr>
        <w:t>יוער</w:t>
      </w:r>
      <w:r w:rsidRPr="00B65627">
        <w:rPr>
          <w:rtl/>
        </w:rPr>
        <w:t xml:space="preserve">, </w:t>
      </w:r>
      <w:r w:rsidRPr="00B65627">
        <w:rPr>
          <w:rFonts w:hint="eastAsia"/>
          <w:rtl/>
        </w:rPr>
        <w:t>כי</w:t>
      </w:r>
      <w:r w:rsidRPr="00B65627">
        <w:rPr>
          <w:rtl/>
        </w:rPr>
        <w:t xml:space="preserve"> </w:t>
      </w:r>
      <w:r w:rsidRPr="00B65627">
        <w:rPr>
          <w:rFonts w:hint="eastAsia"/>
          <w:rtl/>
        </w:rPr>
        <w:t>קשה</w:t>
      </w:r>
      <w:r w:rsidRPr="00B65627">
        <w:rPr>
          <w:rtl/>
        </w:rPr>
        <w:t xml:space="preserve"> </w:t>
      </w:r>
      <w:r w:rsidRPr="00B65627">
        <w:rPr>
          <w:rFonts w:hint="eastAsia"/>
          <w:rtl/>
        </w:rPr>
        <w:t>להלום</w:t>
      </w:r>
      <w:r w:rsidRPr="00B65627">
        <w:rPr>
          <w:rtl/>
        </w:rPr>
        <w:t xml:space="preserve"> </w:t>
      </w:r>
      <w:r w:rsidRPr="00B65627">
        <w:rPr>
          <w:rFonts w:hint="eastAsia"/>
          <w:rtl/>
        </w:rPr>
        <w:t>טענה</w:t>
      </w:r>
      <w:r w:rsidRPr="00B65627">
        <w:rPr>
          <w:rtl/>
        </w:rPr>
        <w:t xml:space="preserve"> </w:t>
      </w:r>
      <w:r w:rsidRPr="00B65627">
        <w:rPr>
          <w:rFonts w:hint="eastAsia"/>
          <w:rtl/>
        </w:rPr>
        <w:t>לפיה</w:t>
      </w:r>
      <w:r w:rsidRPr="00B65627">
        <w:rPr>
          <w:rtl/>
        </w:rPr>
        <w:t xml:space="preserve"> </w:t>
      </w:r>
      <w:r w:rsidRPr="00B65627">
        <w:rPr>
          <w:rFonts w:hint="eastAsia"/>
          <w:rtl/>
        </w:rPr>
        <w:t>מיקומו</w:t>
      </w:r>
      <w:r w:rsidRPr="00B65627">
        <w:rPr>
          <w:rtl/>
        </w:rPr>
        <w:t xml:space="preserve"> </w:t>
      </w:r>
      <w:r w:rsidRPr="00B65627">
        <w:rPr>
          <w:rFonts w:hint="eastAsia"/>
          <w:rtl/>
        </w:rPr>
        <w:t>הגאומטרי</w:t>
      </w:r>
      <w:r w:rsidRPr="00B65627">
        <w:rPr>
          <w:rtl/>
        </w:rPr>
        <w:t xml:space="preserve"> </w:t>
      </w:r>
      <w:r w:rsidRPr="00B65627">
        <w:rPr>
          <w:rFonts w:hint="eastAsia"/>
          <w:rtl/>
        </w:rPr>
        <w:t>של</w:t>
      </w:r>
      <w:r w:rsidRPr="00B65627">
        <w:rPr>
          <w:rtl/>
        </w:rPr>
        <w:t xml:space="preserve"> </w:t>
      </w:r>
      <w:r w:rsidRPr="00B65627">
        <w:rPr>
          <w:rFonts w:hint="eastAsia"/>
          <w:rtl/>
        </w:rPr>
        <w:t>תיקון</w:t>
      </w:r>
      <w:r w:rsidRPr="00B65627">
        <w:rPr>
          <w:rtl/>
        </w:rPr>
        <w:t xml:space="preserve"> </w:t>
      </w:r>
      <w:r w:rsidRPr="00B65627">
        <w:rPr>
          <w:rFonts w:hint="eastAsia"/>
          <w:rtl/>
        </w:rPr>
        <w:t>כגון</w:t>
      </w:r>
      <w:r w:rsidRPr="00B65627">
        <w:rPr>
          <w:rtl/>
        </w:rPr>
        <w:t xml:space="preserve"> </w:t>
      </w:r>
      <w:r w:rsidRPr="00B65627">
        <w:rPr>
          <w:rFonts w:hint="eastAsia"/>
          <w:rtl/>
        </w:rPr>
        <w:t>דא</w:t>
      </w:r>
      <w:r w:rsidRPr="00B65627">
        <w:rPr>
          <w:rtl/>
        </w:rPr>
        <w:t xml:space="preserve">, </w:t>
      </w:r>
      <w:r w:rsidRPr="00B65627">
        <w:rPr>
          <w:rFonts w:hint="eastAsia"/>
          <w:rtl/>
        </w:rPr>
        <w:t>המבקש</w:t>
      </w:r>
      <w:r w:rsidRPr="00B65627">
        <w:rPr>
          <w:rtl/>
        </w:rPr>
        <w:t xml:space="preserve"> </w:t>
      </w:r>
      <w:r w:rsidRPr="00B65627">
        <w:rPr>
          <w:rFonts w:hint="eastAsia"/>
          <w:rtl/>
        </w:rPr>
        <w:t>להגביל</w:t>
      </w:r>
      <w:r w:rsidRPr="00B65627">
        <w:rPr>
          <w:rtl/>
        </w:rPr>
        <w:t xml:space="preserve"> </w:t>
      </w:r>
      <w:r w:rsidRPr="00B65627">
        <w:rPr>
          <w:rFonts w:hint="eastAsia"/>
          <w:rtl/>
        </w:rPr>
        <w:t>במפורש</w:t>
      </w:r>
      <w:r w:rsidRPr="00B65627">
        <w:rPr>
          <w:rtl/>
        </w:rPr>
        <w:t xml:space="preserve"> </w:t>
      </w:r>
      <w:r w:rsidRPr="00B65627">
        <w:rPr>
          <w:rFonts w:hint="eastAsia"/>
          <w:rtl/>
        </w:rPr>
        <w:t>את</w:t>
      </w:r>
      <w:r w:rsidRPr="00B65627">
        <w:rPr>
          <w:rtl/>
        </w:rPr>
        <w:t xml:space="preserve"> </w:t>
      </w:r>
      <w:r w:rsidRPr="00B65627">
        <w:rPr>
          <w:rFonts w:hint="eastAsia"/>
          <w:rtl/>
        </w:rPr>
        <w:t>סמכות</w:t>
      </w:r>
      <w:r w:rsidRPr="00B65627">
        <w:rPr>
          <w:rtl/>
        </w:rPr>
        <w:t xml:space="preserve"> </w:t>
      </w:r>
      <w:r w:rsidRPr="00B65627">
        <w:rPr>
          <w:rFonts w:hint="eastAsia"/>
          <w:rtl/>
        </w:rPr>
        <w:t>בתי</w:t>
      </w:r>
      <w:r w:rsidRPr="00B65627">
        <w:rPr>
          <w:rtl/>
        </w:rPr>
        <w:t xml:space="preserve"> </w:t>
      </w:r>
      <w:r w:rsidRPr="00B65627">
        <w:rPr>
          <w:rFonts w:hint="eastAsia"/>
          <w:rtl/>
        </w:rPr>
        <w:t>המשפט</w:t>
      </w:r>
      <w:r w:rsidRPr="00B65627">
        <w:rPr>
          <w:rtl/>
        </w:rPr>
        <w:t xml:space="preserve">, </w:t>
      </w:r>
      <w:r w:rsidRPr="00B65627">
        <w:rPr>
          <w:rFonts w:hint="eastAsia"/>
          <w:rtl/>
        </w:rPr>
        <w:t>יהיה</w:t>
      </w:r>
      <w:r w:rsidRPr="00B65627">
        <w:rPr>
          <w:rtl/>
        </w:rPr>
        <w:t xml:space="preserve"> </w:t>
      </w:r>
      <w:r w:rsidRPr="00B65627">
        <w:rPr>
          <w:rFonts w:hint="eastAsia"/>
          <w:rtl/>
        </w:rPr>
        <w:t>חיצוני</w:t>
      </w:r>
      <w:r w:rsidRPr="00B65627">
        <w:rPr>
          <w:rtl/>
        </w:rPr>
        <w:t xml:space="preserve"> </w:t>
      </w:r>
      <w:r w:rsidRPr="00B65627">
        <w:rPr>
          <w:rFonts w:hint="eastAsia"/>
          <w:rtl/>
        </w:rPr>
        <w:t>לחוק</w:t>
      </w:r>
      <w:r w:rsidRPr="00B65627">
        <w:rPr>
          <w:rtl/>
        </w:rPr>
        <w:t>-</w:t>
      </w:r>
      <w:r w:rsidRPr="00B65627">
        <w:rPr>
          <w:rFonts w:hint="eastAsia"/>
          <w:rtl/>
        </w:rPr>
        <w:t>יסוד</w:t>
      </w:r>
      <w:r w:rsidRPr="00B65627">
        <w:rPr>
          <w:rtl/>
        </w:rPr>
        <w:t xml:space="preserve">: </w:t>
      </w:r>
      <w:r w:rsidRPr="00B65627">
        <w:rPr>
          <w:rFonts w:hint="eastAsia"/>
          <w:rtl/>
        </w:rPr>
        <w:t>השפיטה</w:t>
      </w:r>
      <w:r w:rsidRPr="00B65627">
        <w:rPr>
          <w:rtl/>
        </w:rPr>
        <w:t xml:space="preserve">, </w:t>
      </w:r>
      <w:r w:rsidRPr="00B65627">
        <w:rPr>
          <w:rFonts w:hint="eastAsia"/>
          <w:rtl/>
        </w:rPr>
        <w:t>למשל</w:t>
      </w:r>
      <w:r w:rsidRPr="00B65627">
        <w:rPr>
          <w:rtl/>
        </w:rPr>
        <w:t xml:space="preserve"> </w:t>
      </w:r>
      <w:r w:rsidRPr="00B65627">
        <w:rPr>
          <w:rFonts w:hint="eastAsia"/>
          <w:rtl/>
        </w:rPr>
        <w:t>בגדרי</w:t>
      </w:r>
      <w:r w:rsidRPr="00B65627">
        <w:rPr>
          <w:rtl/>
        </w:rPr>
        <w:t xml:space="preserve"> </w:t>
      </w:r>
      <w:r w:rsidRPr="00B65627">
        <w:rPr>
          <w:rFonts w:hint="eastAsia"/>
          <w:rtl/>
        </w:rPr>
        <w:t>חוק</w:t>
      </w:r>
      <w:r w:rsidRPr="00B65627">
        <w:rPr>
          <w:rtl/>
        </w:rPr>
        <w:t>-</w:t>
      </w:r>
      <w:r w:rsidRPr="00B65627">
        <w:rPr>
          <w:rFonts w:hint="eastAsia"/>
          <w:rtl/>
        </w:rPr>
        <w:t>יסוד</w:t>
      </w:r>
      <w:r w:rsidRPr="00B65627">
        <w:rPr>
          <w:rtl/>
        </w:rPr>
        <w:t xml:space="preserve">: </w:t>
      </w:r>
      <w:r w:rsidRPr="00B65627">
        <w:rPr>
          <w:rFonts w:hint="eastAsia"/>
          <w:rtl/>
        </w:rPr>
        <w:t>החקיקה</w:t>
      </w:r>
      <w:r>
        <w:rPr>
          <w:rFonts w:hint="cs"/>
          <w:rtl/>
        </w:rPr>
        <w:t xml:space="preserve"> </w:t>
      </w:r>
      <w:r w:rsidRPr="00B65627">
        <w:rPr>
          <w:rFonts w:hint="cs"/>
          <w:rtl/>
        </w:rPr>
        <w:t>(ככל שיחוקק ביום מן הימים)</w:t>
      </w:r>
      <w:r>
        <w:rPr>
          <w:rFonts w:hint="cs"/>
          <w:rtl/>
        </w:rPr>
        <w:t>,</w:t>
      </w:r>
      <w:r w:rsidRPr="00B65627">
        <w:rPr>
          <w:rtl/>
        </w:rPr>
        <w:t xml:space="preserve"> </w:t>
      </w:r>
      <w:r w:rsidRPr="00B65627">
        <w:rPr>
          <w:rFonts w:hint="eastAsia"/>
          <w:rtl/>
        </w:rPr>
        <w:t>שתכליתו</w:t>
      </w:r>
      <w:r>
        <w:rPr>
          <w:rFonts w:hint="cs"/>
          <w:rtl/>
        </w:rPr>
        <w:t>,</w:t>
      </w:r>
      <w:r w:rsidRPr="00B65627">
        <w:rPr>
          <w:rFonts w:hint="cs"/>
          <w:rtl/>
        </w:rPr>
        <w:t xml:space="preserve"> </w:t>
      </w:r>
      <w:r>
        <w:rPr>
          <w:rFonts w:hint="cs"/>
          <w:rtl/>
        </w:rPr>
        <w:t>ככל הנראה,</w:t>
      </w:r>
      <w:r w:rsidRPr="00B65627">
        <w:rPr>
          <w:rFonts w:hint="cs"/>
          <w:rtl/>
        </w:rPr>
        <w:t xml:space="preserve"> </w:t>
      </w:r>
      <w:r w:rsidRPr="00B65627">
        <w:rPr>
          <w:rFonts w:hint="eastAsia"/>
          <w:rtl/>
        </w:rPr>
        <w:t>תהיה</w:t>
      </w:r>
      <w:r w:rsidRPr="00B65627">
        <w:rPr>
          <w:rFonts w:hint="cs"/>
          <w:rtl/>
        </w:rPr>
        <w:t xml:space="preserve"> בין היתר,</w:t>
      </w:r>
      <w:r w:rsidRPr="00B65627">
        <w:rPr>
          <w:rtl/>
        </w:rPr>
        <w:t xml:space="preserve"> </w:t>
      </w:r>
      <w:r w:rsidRPr="00B65627">
        <w:rPr>
          <w:rFonts w:hint="eastAsia"/>
          <w:rtl/>
        </w:rPr>
        <w:t>להגדיר</w:t>
      </w:r>
      <w:r w:rsidRPr="00B65627">
        <w:rPr>
          <w:rtl/>
        </w:rPr>
        <w:t xml:space="preserve"> </w:t>
      </w:r>
      <w:r w:rsidRPr="00B65627">
        <w:rPr>
          <w:rFonts w:hint="eastAsia"/>
          <w:rtl/>
        </w:rPr>
        <w:t>את</w:t>
      </w:r>
      <w:r w:rsidRPr="00B65627">
        <w:rPr>
          <w:rtl/>
        </w:rPr>
        <w:t xml:space="preserve"> </w:t>
      </w:r>
      <w:r w:rsidRPr="00B65627">
        <w:rPr>
          <w:rFonts w:hint="eastAsia"/>
          <w:rtl/>
        </w:rPr>
        <w:t>מהותם</w:t>
      </w:r>
      <w:r w:rsidRPr="00B65627">
        <w:rPr>
          <w:rtl/>
        </w:rPr>
        <w:t xml:space="preserve"> </w:t>
      </w:r>
      <w:r w:rsidRPr="00B65627">
        <w:rPr>
          <w:rFonts w:hint="eastAsia"/>
          <w:rtl/>
        </w:rPr>
        <w:t>של</w:t>
      </w:r>
      <w:r w:rsidRPr="00B65627">
        <w:rPr>
          <w:rtl/>
        </w:rPr>
        <w:t xml:space="preserve"> </w:t>
      </w:r>
      <w:r>
        <w:rPr>
          <w:rFonts w:hint="eastAsia"/>
          <w:rtl/>
        </w:rPr>
        <w:t>חוקי-</w:t>
      </w:r>
      <w:r>
        <w:rPr>
          <w:rFonts w:hint="cs"/>
          <w:rtl/>
        </w:rPr>
        <w:t>ה</w:t>
      </w:r>
      <w:r>
        <w:rPr>
          <w:rFonts w:hint="eastAsia"/>
          <w:rtl/>
        </w:rPr>
        <w:t>יסוד</w:t>
      </w:r>
      <w:r w:rsidRPr="00B65627">
        <w:rPr>
          <w:rtl/>
        </w:rPr>
        <w:t xml:space="preserve"> </w:t>
      </w:r>
      <w:r w:rsidRPr="00B65627">
        <w:rPr>
          <w:rFonts w:hint="eastAsia"/>
          <w:rtl/>
        </w:rPr>
        <w:t>וא</w:t>
      </w:r>
      <w:r>
        <w:rPr>
          <w:rFonts w:hint="cs"/>
          <w:rtl/>
        </w:rPr>
        <w:t>ת א</w:t>
      </w:r>
      <w:r w:rsidRPr="00B65627">
        <w:rPr>
          <w:rFonts w:hint="eastAsia"/>
          <w:rtl/>
        </w:rPr>
        <w:t>ופן</w:t>
      </w:r>
      <w:r w:rsidRPr="00B65627">
        <w:rPr>
          <w:rtl/>
        </w:rPr>
        <w:t xml:space="preserve"> </w:t>
      </w:r>
      <w:r w:rsidRPr="00B65627">
        <w:rPr>
          <w:rFonts w:hint="eastAsia"/>
          <w:rtl/>
        </w:rPr>
        <w:t>חקיקתם</w:t>
      </w:r>
      <w:r w:rsidRPr="00B65627">
        <w:rPr>
          <w:rFonts w:hint="cs"/>
          <w:rtl/>
        </w:rPr>
        <w:t>,</w:t>
      </w:r>
      <w:r w:rsidRPr="00B65627">
        <w:rPr>
          <w:rtl/>
        </w:rPr>
        <w:t xml:space="preserve"> </w:t>
      </w:r>
      <w:r w:rsidRPr="00B65627">
        <w:rPr>
          <w:rFonts w:hint="eastAsia"/>
          <w:rtl/>
        </w:rPr>
        <w:t>ובכך</w:t>
      </w:r>
      <w:r w:rsidRPr="00B65627">
        <w:rPr>
          <w:rtl/>
        </w:rPr>
        <w:t xml:space="preserve"> </w:t>
      </w:r>
      <w:r w:rsidRPr="00B65627">
        <w:rPr>
          <w:rFonts w:hint="eastAsia"/>
          <w:rtl/>
        </w:rPr>
        <w:t>לבדל</w:t>
      </w:r>
      <w:r w:rsidRPr="00B65627">
        <w:rPr>
          <w:rtl/>
        </w:rPr>
        <w:t xml:space="preserve"> </w:t>
      </w:r>
      <w:r w:rsidRPr="00B65627">
        <w:rPr>
          <w:rFonts w:hint="eastAsia"/>
          <w:rtl/>
        </w:rPr>
        <w:t>אותם</w:t>
      </w:r>
      <w:r w:rsidRPr="00B65627">
        <w:rPr>
          <w:rtl/>
        </w:rPr>
        <w:t xml:space="preserve"> </w:t>
      </w:r>
      <w:r w:rsidRPr="00B65627">
        <w:rPr>
          <w:rFonts w:hint="eastAsia"/>
          <w:rtl/>
        </w:rPr>
        <w:t>מחוקים</w:t>
      </w:r>
      <w:r w:rsidRPr="00B65627">
        <w:rPr>
          <w:rtl/>
        </w:rPr>
        <w:t xml:space="preserve"> </w:t>
      </w:r>
      <w:r w:rsidRPr="00B65627">
        <w:rPr>
          <w:rFonts w:hint="eastAsia"/>
          <w:rtl/>
        </w:rPr>
        <w:t>אחרים</w:t>
      </w:r>
      <w:r w:rsidRPr="00B65627">
        <w:rPr>
          <w:rtl/>
        </w:rPr>
        <w:t xml:space="preserve"> </w:t>
      </w:r>
      <w:r w:rsidRPr="00B65627">
        <w:rPr>
          <w:rFonts w:hint="eastAsia"/>
          <w:rtl/>
        </w:rPr>
        <w:t>באופן</w:t>
      </w:r>
      <w:r w:rsidRPr="00B65627">
        <w:rPr>
          <w:rtl/>
        </w:rPr>
        <w:t xml:space="preserve"> </w:t>
      </w:r>
      <w:r w:rsidRPr="00B65627">
        <w:rPr>
          <w:rFonts w:hint="eastAsia"/>
          <w:rtl/>
        </w:rPr>
        <w:t>מהותי</w:t>
      </w:r>
      <w:r w:rsidRPr="00B65627">
        <w:rPr>
          <w:rtl/>
        </w:rPr>
        <w:t xml:space="preserve"> </w:t>
      </w:r>
      <w:r w:rsidRPr="00B65627">
        <w:rPr>
          <w:rFonts w:hint="eastAsia"/>
          <w:rtl/>
        </w:rPr>
        <w:t>יותר</w:t>
      </w:r>
      <w:r w:rsidRPr="00B65627">
        <w:rPr>
          <w:rtl/>
        </w:rPr>
        <w:t xml:space="preserve"> </w:t>
      </w:r>
      <w:r w:rsidRPr="00B65627">
        <w:rPr>
          <w:rFonts w:hint="eastAsia"/>
          <w:rtl/>
        </w:rPr>
        <w:t>מה</w:t>
      </w:r>
      <w:r w:rsidRPr="00B65627">
        <w:rPr>
          <w:rtl/>
        </w:rPr>
        <w:t>'</w:t>
      </w:r>
      <w:r w:rsidRPr="00B65627">
        <w:rPr>
          <w:rFonts w:hint="eastAsia"/>
          <w:rtl/>
        </w:rPr>
        <w:t>מבחן</w:t>
      </w:r>
      <w:r w:rsidRPr="00B65627">
        <w:rPr>
          <w:rtl/>
        </w:rPr>
        <w:t xml:space="preserve"> </w:t>
      </w:r>
      <w:r w:rsidRPr="00B65627">
        <w:rPr>
          <w:rFonts w:hint="eastAsia"/>
          <w:rtl/>
        </w:rPr>
        <w:t>הצורני</w:t>
      </w:r>
      <w:r w:rsidRPr="00B65627">
        <w:rPr>
          <w:rtl/>
        </w:rPr>
        <w:t xml:space="preserve">' </w:t>
      </w:r>
      <w:r w:rsidRPr="00B65627">
        <w:rPr>
          <w:rFonts w:hint="eastAsia"/>
          <w:rtl/>
        </w:rPr>
        <w:t>שהוכר</w:t>
      </w:r>
      <w:r w:rsidRPr="00B65627">
        <w:rPr>
          <w:rtl/>
        </w:rPr>
        <w:t xml:space="preserve"> </w:t>
      </w:r>
      <w:r w:rsidRPr="00B65627">
        <w:rPr>
          <w:rFonts w:hint="eastAsia"/>
          <w:rtl/>
        </w:rPr>
        <w:t>בעניין</w:t>
      </w:r>
      <w:r w:rsidRPr="00B65627">
        <w:rPr>
          <w:rtl/>
        </w:rPr>
        <w:t xml:space="preserve"> </w:t>
      </w:r>
      <w:r w:rsidRPr="00B65627">
        <w:rPr>
          <w:rFonts w:ascii="Century" w:hAnsi="Century" w:cs="Miriam" w:hint="eastAsia"/>
          <w:b/>
          <w:spacing w:val="0"/>
          <w:sz w:val="22"/>
          <w:szCs w:val="24"/>
          <w:rtl/>
        </w:rPr>
        <w:t>בנק</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המזרחי</w:t>
      </w:r>
      <w:r w:rsidRPr="00B65627">
        <w:rPr>
          <w:rFonts w:ascii="Century" w:hAnsi="Century"/>
          <w:sz w:val="22"/>
          <w:rtl/>
        </w:rPr>
        <w:t>.</w:t>
      </w:r>
    </w:p>
    <w:p w:rsidR="00D61E12" w:rsidRPr="001D310D" w:rsidRDefault="00D61E12" w:rsidP="002A1A3A">
      <w:pPr>
        <w:pStyle w:val="Ruller41"/>
        <w:numPr>
          <w:ilvl w:val="2"/>
          <w:numId w:val="16"/>
        </w:numPr>
        <w:spacing w:before="240" w:after="240"/>
        <w:rPr>
          <w:rFonts w:ascii="Century" w:hAnsi="Century" w:cs="Miriam"/>
          <w:b/>
          <w:spacing w:val="0"/>
          <w:szCs w:val="24"/>
          <w:rtl/>
        </w:rPr>
      </w:pPr>
      <w:r w:rsidRPr="001D310D">
        <w:rPr>
          <w:rFonts w:ascii="Century" w:hAnsi="Century" w:cs="Miriam" w:hint="cs"/>
          <w:b/>
          <w:spacing w:val="0"/>
          <w:szCs w:val="24"/>
          <w:rtl/>
        </w:rPr>
        <w:t>דוקטרינת התיקון</w:t>
      </w:r>
      <w:r>
        <w:rPr>
          <w:rFonts w:ascii="Century" w:hAnsi="Century" w:cs="Miriam" w:hint="cs"/>
          <w:b/>
          <w:spacing w:val="0"/>
          <w:szCs w:val="24"/>
          <w:rtl/>
        </w:rPr>
        <w:t xml:space="preserve"> החוקתי</w:t>
      </w:r>
      <w:r w:rsidRPr="001D310D">
        <w:rPr>
          <w:rFonts w:ascii="Century" w:hAnsi="Century" w:cs="Miriam" w:hint="cs"/>
          <w:b/>
          <w:spacing w:val="0"/>
          <w:szCs w:val="24"/>
          <w:rtl/>
        </w:rPr>
        <w:t xml:space="preserve"> הבלתי חוקתי</w:t>
      </w:r>
    </w:p>
    <w:p w:rsidR="00D61E12" w:rsidRPr="00011760" w:rsidRDefault="00D61E12" w:rsidP="00D61E12">
      <w:pPr>
        <w:pStyle w:val="ruller31"/>
        <w:numPr>
          <w:ilvl w:val="0"/>
          <w:numId w:val="1"/>
        </w:numPr>
        <w:tabs>
          <w:tab w:val="left" w:pos="800"/>
        </w:tabs>
        <w:overflowPunct w:val="0"/>
        <w:spacing w:before="240" w:after="240" w:line="360" w:lineRule="auto"/>
        <w:jc w:val="both"/>
        <w:textAlignment w:val="baseline"/>
        <w:rPr>
          <w:rFonts w:ascii="Century" w:hAnsi="Century"/>
          <w:rtl/>
        </w:rPr>
      </w:pPr>
      <w:r w:rsidRPr="00011760">
        <w:rPr>
          <w:rFonts w:ascii="Century" w:hAnsi="Century" w:cs="FrankRuehl" w:hint="eastAsia"/>
          <w:spacing w:val="10"/>
          <w:szCs w:val="28"/>
          <w:rtl/>
        </w:rPr>
        <w:t>הדוקטרינה</w:t>
      </w:r>
      <w:r w:rsidRPr="00011760">
        <w:rPr>
          <w:rFonts w:ascii="Century" w:hAnsi="Century" w:cs="FrankRuehl"/>
          <w:spacing w:val="10"/>
          <w:szCs w:val="28"/>
          <w:rtl/>
        </w:rPr>
        <w:t xml:space="preserve"> </w:t>
      </w:r>
      <w:r w:rsidRPr="00011760">
        <w:rPr>
          <w:rFonts w:ascii="Century" w:hAnsi="Century" w:cs="FrankRuehl" w:hint="eastAsia"/>
          <w:spacing w:val="10"/>
          <w:szCs w:val="28"/>
          <w:rtl/>
        </w:rPr>
        <w:t>המוכרת</w:t>
      </w:r>
      <w:r w:rsidRPr="00011760">
        <w:rPr>
          <w:rFonts w:ascii="Century" w:hAnsi="Century" w:cs="FrankRuehl"/>
          <w:spacing w:val="10"/>
          <w:szCs w:val="28"/>
          <w:rtl/>
        </w:rPr>
        <w:t xml:space="preserve"> </w:t>
      </w:r>
      <w:r w:rsidRPr="00011760">
        <w:rPr>
          <w:rFonts w:ascii="Century" w:hAnsi="Century" w:cs="FrankRuehl" w:hint="eastAsia"/>
          <w:spacing w:val="10"/>
          <w:szCs w:val="28"/>
          <w:rtl/>
        </w:rPr>
        <w:t>השנייה</w:t>
      </w:r>
      <w:r w:rsidRPr="00011760">
        <w:rPr>
          <w:rFonts w:ascii="Century" w:hAnsi="Century" w:cs="FrankRuehl"/>
          <w:spacing w:val="10"/>
          <w:szCs w:val="28"/>
          <w:rtl/>
        </w:rPr>
        <w:t xml:space="preserve">, </w:t>
      </w:r>
      <w:r w:rsidRPr="00011760">
        <w:rPr>
          <w:rFonts w:ascii="Century" w:hAnsi="Century" w:cs="FrankRuehl" w:hint="eastAsia"/>
          <w:spacing w:val="10"/>
          <w:szCs w:val="28"/>
          <w:rtl/>
        </w:rPr>
        <w:t>שאותה</w:t>
      </w:r>
      <w:r w:rsidRPr="00011760">
        <w:rPr>
          <w:rFonts w:ascii="Century" w:hAnsi="Century" w:cs="FrankRuehl"/>
          <w:spacing w:val="10"/>
          <w:szCs w:val="28"/>
          <w:rtl/>
        </w:rPr>
        <w:t xml:space="preserve"> </w:t>
      </w:r>
      <w:r w:rsidRPr="00011760">
        <w:rPr>
          <w:rFonts w:ascii="Century" w:hAnsi="Century" w:cs="FrankRuehl" w:hint="eastAsia"/>
          <w:spacing w:val="10"/>
          <w:szCs w:val="28"/>
          <w:rtl/>
        </w:rPr>
        <w:t>מקובל</w:t>
      </w:r>
      <w:r w:rsidRPr="00011760">
        <w:rPr>
          <w:rFonts w:ascii="Century" w:hAnsi="Century" w:cs="FrankRuehl"/>
          <w:spacing w:val="10"/>
          <w:szCs w:val="28"/>
          <w:rtl/>
        </w:rPr>
        <w:t xml:space="preserve"> </w:t>
      </w:r>
      <w:r w:rsidRPr="00011760">
        <w:rPr>
          <w:rFonts w:ascii="Century" w:hAnsi="Century" w:cs="FrankRuehl" w:hint="eastAsia"/>
          <w:spacing w:val="10"/>
          <w:szCs w:val="28"/>
          <w:rtl/>
        </w:rPr>
        <w:t>לכנות</w:t>
      </w:r>
      <w:r w:rsidRPr="00011760">
        <w:rPr>
          <w:rFonts w:ascii="Century" w:hAnsi="Century" w:cs="FrankRuehl"/>
          <w:spacing w:val="10"/>
          <w:szCs w:val="28"/>
          <w:rtl/>
        </w:rPr>
        <w:t xml:space="preserve"> "</w:t>
      </w:r>
      <w:r w:rsidRPr="00EC381A">
        <w:rPr>
          <w:rFonts w:ascii="Century" w:hAnsi="Century" w:cs="Miriam" w:hint="cs"/>
          <w:b/>
          <w:rtl/>
        </w:rPr>
        <w:t xml:space="preserve">התיקון </w:t>
      </w:r>
      <w:r>
        <w:rPr>
          <w:rFonts w:ascii="Century" w:hAnsi="Century" w:cs="Miriam" w:hint="cs"/>
          <w:b/>
          <w:rtl/>
        </w:rPr>
        <w:t xml:space="preserve">החוקתי </w:t>
      </w:r>
      <w:r w:rsidRPr="00EC381A">
        <w:rPr>
          <w:rFonts w:ascii="Century" w:hAnsi="Century" w:cs="Miriam" w:hint="cs"/>
          <w:b/>
          <w:rtl/>
        </w:rPr>
        <w:t>הבלתי חוקתי</w:t>
      </w:r>
      <w:r w:rsidRPr="00011760">
        <w:rPr>
          <w:rFonts w:ascii="Century" w:hAnsi="Century" w:cs="FrankRuehl"/>
          <w:spacing w:val="10"/>
          <w:szCs w:val="28"/>
          <w:rtl/>
        </w:rPr>
        <w:t>" (</w:t>
      </w:r>
      <w:r w:rsidRPr="00105C0F">
        <w:rPr>
          <w:rFonts w:asciiTheme="majorBidi" w:hAnsiTheme="majorBidi" w:cstheme="majorBidi"/>
          <w:spacing w:val="10"/>
          <w:sz w:val="24"/>
        </w:rPr>
        <w:t>Unconstitutional Constitutional Amendment</w:t>
      </w:r>
      <w:r w:rsidRPr="00011760">
        <w:rPr>
          <w:rFonts w:ascii="Century" w:hAnsi="Century" w:cs="FrankRuehl"/>
          <w:spacing w:val="10"/>
          <w:szCs w:val="28"/>
          <w:rtl/>
        </w:rPr>
        <w:t>)</w:t>
      </w:r>
      <w:r>
        <w:rPr>
          <w:rFonts w:ascii="Century" w:hAnsi="Century" w:cs="FrankRuehl" w:hint="cs"/>
          <w:spacing w:val="10"/>
          <w:szCs w:val="28"/>
          <w:rtl/>
        </w:rPr>
        <w:t xml:space="preserve">, </w:t>
      </w:r>
      <w:r w:rsidRPr="00011760">
        <w:rPr>
          <w:rFonts w:ascii="Century" w:hAnsi="Century" w:cs="FrankRuehl" w:hint="eastAsia"/>
          <w:spacing w:val="10"/>
          <w:szCs w:val="28"/>
          <w:rtl/>
        </w:rPr>
        <w:t>עוסקת</w:t>
      </w:r>
      <w:r w:rsidRPr="00011760">
        <w:rPr>
          <w:rFonts w:ascii="Century" w:hAnsi="Century" w:cs="FrankRuehl"/>
          <w:spacing w:val="10"/>
          <w:szCs w:val="28"/>
          <w:rtl/>
        </w:rPr>
        <w:t xml:space="preserve"> </w:t>
      </w:r>
      <w:r w:rsidRPr="00011760">
        <w:rPr>
          <w:rFonts w:ascii="Century" w:hAnsi="Century" w:cs="FrankRuehl" w:hint="eastAsia"/>
          <w:spacing w:val="10"/>
          <w:szCs w:val="28"/>
          <w:rtl/>
        </w:rPr>
        <w:t>במגבלות</w:t>
      </w:r>
      <w:r w:rsidRPr="00011760">
        <w:rPr>
          <w:rFonts w:ascii="Century" w:hAnsi="Century" w:cs="FrankRuehl"/>
          <w:spacing w:val="10"/>
          <w:szCs w:val="28"/>
          <w:rtl/>
        </w:rPr>
        <w:t xml:space="preserve"> </w:t>
      </w:r>
      <w:r w:rsidRPr="00011760">
        <w:rPr>
          <w:rFonts w:ascii="Century" w:hAnsi="Century" w:cs="FrankRuehl" w:hint="eastAsia"/>
          <w:spacing w:val="10"/>
          <w:szCs w:val="28"/>
          <w:rtl/>
        </w:rPr>
        <w:t>הכוח</w:t>
      </w:r>
      <w:r w:rsidRPr="00011760">
        <w:rPr>
          <w:rFonts w:ascii="Century" w:hAnsi="Century" w:cs="FrankRuehl"/>
          <w:spacing w:val="10"/>
          <w:szCs w:val="28"/>
          <w:rtl/>
        </w:rPr>
        <w:t xml:space="preserve"> </w:t>
      </w:r>
      <w:r w:rsidRPr="00011760">
        <w:rPr>
          <w:rFonts w:ascii="Century" w:hAnsi="Century" w:cs="Miriam" w:hint="eastAsia"/>
          <w:b/>
          <w:rtl/>
        </w:rPr>
        <w:t>המהותיות</w:t>
      </w:r>
      <w:r w:rsidRPr="00011760">
        <w:rPr>
          <w:rFonts w:ascii="Century" w:hAnsi="Century" w:cs="FrankRuehl"/>
          <w:spacing w:val="10"/>
          <w:szCs w:val="28"/>
          <w:rtl/>
        </w:rPr>
        <w:t xml:space="preserve"> של הסמכות המכוננת עצמה.</w:t>
      </w:r>
      <w:r>
        <w:rPr>
          <w:rFonts w:ascii="Century" w:hAnsi="Century" w:cs="FrankRuehl" w:hint="cs"/>
          <w:spacing w:val="10"/>
          <w:szCs w:val="28"/>
          <w:rtl/>
        </w:rPr>
        <w:t xml:space="preserve"> </w:t>
      </w:r>
      <w:r w:rsidRPr="00011760">
        <w:rPr>
          <w:rFonts w:ascii="Century" w:hAnsi="Century" w:cs="FrankRuehl" w:hint="eastAsia"/>
          <w:spacing w:val="10"/>
          <w:szCs w:val="28"/>
          <w:rtl/>
        </w:rPr>
        <w:t>לדוקטרינה</w:t>
      </w:r>
      <w:r w:rsidRPr="00011760">
        <w:rPr>
          <w:rFonts w:ascii="Century" w:hAnsi="Century" w:cs="FrankRuehl"/>
          <w:spacing w:val="10"/>
          <w:szCs w:val="28"/>
          <w:rtl/>
        </w:rPr>
        <w:t xml:space="preserve"> </w:t>
      </w:r>
      <w:r w:rsidRPr="00011760">
        <w:rPr>
          <w:rFonts w:ascii="Century" w:hAnsi="Century" w:cs="FrankRuehl" w:hint="eastAsia"/>
          <w:spacing w:val="10"/>
          <w:szCs w:val="28"/>
          <w:rtl/>
        </w:rPr>
        <w:t>זו</w:t>
      </w:r>
      <w:r w:rsidRPr="00011760">
        <w:rPr>
          <w:rFonts w:ascii="Century" w:hAnsi="Century" w:cs="FrankRuehl"/>
          <w:spacing w:val="10"/>
          <w:szCs w:val="28"/>
          <w:rtl/>
        </w:rPr>
        <w:t xml:space="preserve"> </w:t>
      </w:r>
      <w:r w:rsidRPr="00011760">
        <w:rPr>
          <w:rFonts w:ascii="Century" w:hAnsi="Century" w:cs="FrankRuehl" w:hint="eastAsia"/>
          <w:spacing w:val="10"/>
          <w:szCs w:val="28"/>
          <w:rtl/>
        </w:rPr>
        <w:t>שני</w:t>
      </w:r>
      <w:r w:rsidRPr="00011760">
        <w:rPr>
          <w:rFonts w:ascii="Century" w:hAnsi="Century" w:cs="FrankRuehl"/>
          <w:spacing w:val="10"/>
          <w:szCs w:val="28"/>
          <w:rtl/>
        </w:rPr>
        <w:t xml:space="preserve"> </w:t>
      </w:r>
      <w:r w:rsidRPr="00011760">
        <w:rPr>
          <w:rFonts w:ascii="Century" w:hAnsi="Century" w:cs="FrankRuehl" w:hint="eastAsia"/>
          <w:spacing w:val="10"/>
          <w:szCs w:val="28"/>
          <w:rtl/>
        </w:rPr>
        <w:t>מופעים</w:t>
      </w:r>
      <w:r w:rsidRPr="00011760">
        <w:rPr>
          <w:rFonts w:ascii="Century" w:hAnsi="Century" w:cs="FrankRuehl"/>
          <w:spacing w:val="10"/>
          <w:szCs w:val="28"/>
          <w:rtl/>
        </w:rPr>
        <w:t xml:space="preserve"> </w:t>
      </w:r>
      <w:r w:rsidRPr="00011760">
        <w:rPr>
          <w:rFonts w:ascii="Century" w:hAnsi="Century" w:cs="FrankRuehl" w:hint="eastAsia"/>
          <w:spacing w:val="10"/>
          <w:szCs w:val="28"/>
          <w:rtl/>
        </w:rPr>
        <w:t>שכיחים</w:t>
      </w:r>
      <w:r>
        <w:rPr>
          <w:rFonts w:ascii="Century" w:hAnsi="Century" w:cs="FrankRuehl" w:hint="cs"/>
          <w:spacing w:val="10"/>
          <w:szCs w:val="28"/>
          <w:rtl/>
        </w:rPr>
        <w:t>:</w:t>
      </w:r>
      <w:r w:rsidRPr="00011760">
        <w:rPr>
          <w:rFonts w:ascii="Century" w:hAnsi="Century" w:cs="FrankRuehl"/>
          <w:spacing w:val="10"/>
          <w:szCs w:val="28"/>
          <w:rtl/>
        </w:rPr>
        <w:t xml:space="preserve"> </w:t>
      </w:r>
      <w:r w:rsidRPr="00011760">
        <w:rPr>
          <w:rFonts w:ascii="Century" w:hAnsi="Century" w:cs="Miriam" w:hint="eastAsia"/>
          <w:b/>
          <w:rtl/>
        </w:rPr>
        <w:t>הראשון</w:t>
      </w:r>
      <w:r w:rsidRPr="00011760">
        <w:rPr>
          <w:rFonts w:ascii="Century" w:hAnsi="Century" w:cs="FrankRuehl"/>
          <w:spacing w:val="10"/>
          <w:szCs w:val="28"/>
          <w:rtl/>
        </w:rPr>
        <w:t xml:space="preserve"> </w:t>
      </w:r>
      <w:r w:rsidRPr="00011760">
        <w:rPr>
          <w:rFonts w:ascii="Century" w:hAnsi="Century" w:cs="FrankRuehl" w:hint="eastAsia"/>
          <w:spacing w:val="10"/>
          <w:szCs w:val="28"/>
          <w:rtl/>
        </w:rPr>
        <w:t>מבוסס</w:t>
      </w:r>
      <w:r w:rsidRPr="00011760">
        <w:rPr>
          <w:rFonts w:ascii="Century" w:hAnsi="Century" w:cs="FrankRuehl"/>
          <w:spacing w:val="10"/>
          <w:szCs w:val="28"/>
          <w:rtl/>
        </w:rPr>
        <w:t xml:space="preserve"> </w:t>
      </w:r>
      <w:r w:rsidRPr="00011760">
        <w:rPr>
          <w:rFonts w:ascii="Century" w:hAnsi="Century" w:cs="FrankRuehl" w:hint="eastAsia"/>
          <w:spacing w:val="10"/>
          <w:szCs w:val="28"/>
          <w:rtl/>
        </w:rPr>
        <w:t>על</w:t>
      </w:r>
      <w:r w:rsidRPr="00011760">
        <w:rPr>
          <w:rFonts w:ascii="Century" w:hAnsi="Century" w:cs="FrankRuehl"/>
          <w:spacing w:val="10"/>
          <w:szCs w:val="28"/>
          <w:rtl/>
        </w:rPr>
        <w:t xml:space="preserve"> </w:t>
      </w:r>
      <w:r w:rsidRPr="00011760">
        <w:rPr>
          <w:rFonts w:ascii="Century" w:hAnsi="Century" w:cs="FrankRuehl" w:hint="eastAsia"/>
          <w:spacing w:val="10"/>
          <w:szCs w:val="28"/>
          <w:rtl/>
        </w:rPr>
        <w:t>קיומן</w:t>
      </w:r>
      <w:r w:rsidRPr="00011760">
        <w:rPr>
          <w:rFonts w:ascii="Century" w:hAnsi="Century" w:cs="FrankRuehl"/>
          <w:spacing w:val="10"/>
          <w:szCs w:val="28"/>
          <w:rtl/>
        </w:rPr>
        <w:t xml:space="preserve"> </w:t>
      </w:r>
      <w:r w:rsidRPr="00011760">
        <w:rPr>
          <w:rFonts w:ascii="Century" w:hAnsi="Century" w:cs="FrankRuehl" w:hint="eastAsia"/>
          <w:spacing w:val="10"/>
          <w:szCs w:val="28"/>
          <w:rtl/>
        </w:rPr>
        <w:t>של</w:t>
      </w:r>
      <w:r w:rsidRPr="00011760">
        <w:rPr>
          <w:rFonts w:ascii="Century" w:hAnsi="Century" w:cs="FrankRuehl"/>
          <w:spacing w:val="10"/>
          <w:szCs w:val="28"/>
          <w:rtl/>
        </w:rPr>
        <w:t xml:space="preserve"> "</w:t>
      </w:r>
      <w:r w:rsidRPr="00011760">
        <w:rPr>
          <w:rFonts w:ascii="Century" w:hAnsi="Century" w:cs="FrankRuehl" w:hint="eastAsia"/>
          <w:spacing w:val="10"/>
          <w:szCs w:val="28"/>
          <w:rtl/>
        </w:rPr>
        <w:t>פסקאות</w:t>
      </w:r>
      <w:r w:rsidRPr="00011760">
        <w:rPr>
          <w:rFonts w:ascii="Century" w:hAnsi="Century" w:cs="FrankRuehl"/>
          <w:spacing w:val="10"/>
          <w:szCs w:val="28"/>
          <w:rtl/>
        </w:rPr>
        <w:t xml:space="preserve"> </w:t>
      </w:r>
      <w:r w:rsidRPr="00011760">
        <w:rPr>
          <w:rFonts w:ascii="Century" w:hAnsi="Century" w:cs="FrankRuehl" w:hint="eastAsia"/>
          <w:spacing w:val="10"/>
          <w:szCs w:val="28"/>
          <w:rtl/>
        </w:rPr>
        <w:t>נצחיוּת</w:t>
      </w:r>
      <w:r w:rsidRPr="00011760">
        <w:rPr>
          <w:rFonts w:ascii="Century" w:hAnsi="Century" w:cs="FrankRuehl"/>
          <w:spacing w:val="10"/>
          <w:szCs w:val="28"/>
          <w:rtl/>
        </w:rPr>
        <w:t xml:space="preserve">" </w:t>
      </w:r>
      <w:r w:rsidRPr="00011760">
        <w:rPr>
          <w:rFonts w:ascii="Century" w:hAnsi="Century" w:cs="FrankRuehl" w:hint="eastAsia"/>
          <w:spacing w:val="10"/>
          <w:szCs w:val="28"/>
          <w:rtl/>
        </w:rPr>
        <w:t>מפורשות</w:t>
      </w:r>
      <w:r w:rsidRPr="00011760">
        <w:rPr>
          <w:rFonts w:ascii="Century" w:hAnsi="Century" w:cs="FrankRuehl"/>
          <w:spacing w:val="10"/>
          <w:szCs w:val="28"/>
          <w:rtl/>
        </w:rPr>
        <w:t xml:space="preserve"> </w:t>
      </w:r>
      <w:r w:rsidRPr="00011760">
        <w:rPr>
          <w:rFonts w:ascii="Century" w:hAnsi="Century" w:cs="FrankRuehl" w:hint="eastAsia"/>
          <w:spacing w:val="10"/>
          <w:szCs w:val="28"/>
          <w:rtl/>
        </w:rPr>
        <w:t>בחוקה</w:t>
      </w:r>
      <w:r w:rsidRPr="00011760">
        <w:rPr>
          <w:rFonts w:ascii="Century" w:hAnsi="Century" w:cs="FrankRuehl"/>
          <w:spacing w:val="10"/>
          <w:szCs w:val="28"/>
          <w:rtl/>
        </w:rPr>
        <w:t xml:space="preserve">, </w:t>
      </w:r>
      <w:r w:rsidRPr="00011760">
        <w:rPr>
          <w:rFonts w:ascii="Century" w:hAnsi="Century" w:cs="FrankRuehl" w:hint="eastAsia"/>
          <w:spacing w:val="10"/>
          <w:szCs w:val="28"/>
          <w:rtl/>
        </w:rPr>
        <w:t>שקובעות</w:t>
      </w:r>
      <w:r w:rsidRPr="00011760">
        <w:rPr>
          <w:rFonts w:ascii="Century" w:hAnsi="Century" w:cs="FrankRuehl"/>
          <w:spacing w:val="10"/>
          <w:szCs w:val="28"/>
          <w:rtl/>
        </w:rPr>
        <w:t xml:space="preserve"> </w:t>
      </w:r>
      <w:r w:rsidRPr="00011760">
        <w:rPr>
          <w:rFonts w:ascii="Century" w:hAnsi="Century" w:cs="FrankRuehl" w:hint="eastAsia"/>
          <w:spacing w:val="10"/>
          <w:szCs w:val="28"/>
          <w:rtl/>
        </w:rPr>
        <w:t>כי</w:t>
      </w:r>
      <w:r w:rsidRPr="00011760">
        <w:rPr>
          <w:rFonts w:ascii="Century" w:hAnsi="Century" w:cs="FrankRuehl"/>
          <w:spacing w:val="10"/>
          <w:szCs w:val="28"/>
          <w:rtl/>
        </w:rPr>
        <w:t xml:space="preserve"> </w:t>
      </w:r>
      <w:r w:rsidRPr="00011760">
        <w:rPr>
          <w:rFonts w:ascii="Century" w:hAnsi="Century" w:cs="FrankRuehl" w:hint="eastAsia"/>
          <w:spacing w:val="10"/>
          <w:szCs w:val="28"/>
          <w:rtl/>
        </w:rPr>
        <w:t>היבטים</w:t>
      </w:r>
      <w:r w:rsidRPr="00011760">
        <w:rPr>
          <w:rFonts w:ascii="Century" w:hAnsi="Century" w:cs="FrankRuehl"/>
          <w:spacing w:val="10"/>
          <w:szCs w:val="28"/>
          <w:rtl/>
        </w:rPr>
        <w:t xml:space="preserve"> </w:t>
      </w:r>
      <w:r w:rsidRPr="00011760">
        <w:rPr>
          <w:rFonts w:ascii="Century" w:hAnsi="Century" w:cs="FrankRuehl" w:hint="eastAsia"/>
          <w:spacing w:val="10"/>
          <w:szCs w:val="28"/>
          <w:rtl/>
        </w:rPr>
        <w:t>מסוימים</w:t>
      </w:r>
      <w:r w:rsidRPr="00011760">
        <w:rPr>
          <w:rFonts w:ascii="Century" w:hAnsi="Century" w:cs="FrankRuehl"/>
          <w:spacing w:val="10"/>
          <w:szCs w:val="28"/>
          <w:rtl/>
        </w:rPr>
        <w:t xml:space="preserve"> </w:t>
      </w:r>
      <w:r w:rsidRPr="00011760">
        <w:rPr>
          <w:rFonts w:ascii="Century" w:hAnsi="Century" w:cs="FrankRuehl" w:hint="eastAsia"/>
          <w:spacing w:val="10"/>
          <w:szCs w:val="28"/>
          <w:rtl/>
        </w:rPr>
        <w:t>של</w:t>
      </w:r>
      <w:r w:rsidRPr="00011760">
        <w:rPr>
          <w:rFonts w:ascii="Century" w:hAnsi="Century" w:cs="FrankRuehl"/>
          <w:spacing w:val="10"/>
          <w:szCs w:val="28"/>
          <w:rtl/>
        </w:rPr>
        <w:t xml:space="preserve"> </w:t>
      </w:r>
      <w:r w:rsidRPr="00011760">
        <w:rPr>
          <w:rFonts w:ascii="Century" w:hAnsi="Century" w:cs="FrankRuehl" w:hint="eastAsia"/>
          <w:spacing w:val="10"/>
          <w:szCs w:val="28"/>
          <w:rtl/>
        </w:rPr>
        <w:t>החוקה</w:t>
      </w:r>
      <w:r w:rsidRPr="00011760">
        <w:rPr>
          <w:rFonts w:ascii="Century" w:hAnsi="Century" w:cs="FrankRuehl"/>
          <w:spacing w:val="10"/>
          <w:szCs w:val="28"/>
          <w:rtl/>
        </w:rPr>
        <w:t xml:space="preserve"> </w:t>
      </w:r>
      <w:r w:rsidRPr="00011760">
        <w:rPr>
          <w:rFonts w:ascii="Century" w:hAnsi="Century" w:cs="FrankRuehl" w:hint="eastAsia"/>
          <w:spacing w:val="10"/>
          <w:szCs w:val="28"/>
          <w:rtl/>
        </w:rPr>
        <w:t>אינם</w:t>
      </w:r>
      <w:r w:rsidRPr="00011760">
        <w:rPr>
          <w:rFonts w:ascii="Century" w:hAnsi="Century" w:cs="FrankRuehl"/>
          <w:spacing w:val="10"/>
          <w:szCs w:val="28"/>
          <w:rtl/>
        </w:rPr>
        <w:t xml:space="preserve"> </w:t>
      </w:r>
      <w:r w:rsidRPr="00011760">
        <w:rPr>
          <w:rFonts w:ascii="Century" w:hAnsi="Century" w:cs="FrankRuehl" w:hint="eastAsia"/>
          <w:spacing w:val="10"/>
          <w:szCs w:val="28"/>
          <w:rtl/>
        </w:rPr>
        <w:t>ניתנים</w:t>
      </w:r>
      <w:r w:rsidRPr="00011760">
        <w:rPr>
          <w:rFonts w:ascii="Century" w:hAnsi="Century" w:cs="FrankRuehl"/>
          <w:spacing w:val="10"/>
          <w:szCs w:val="28"/>
          <w:rtl/>
        </w:rPr>
        <w:t xml:space="preserve"> </w:t>
      </w:r>
      <w:r w:rsidRPr="00011760">
        <w:rPr>
          <w:rFonts w:ascii="Century" w:hAnsi="Century" w:cs="FrankRuehl" w:hint="eastAsia"/>
          <w:spacing w:val="10"/>
          <w:szCs w:val="28"/>
          <w:rtl/>
        </w:rPr>
        <w:t>לתיקון</w:t>
      </w:r>
      <w:r w:rsidRPr="00011760">
        <w:rPr>
          <w:rFonts w:ascii="Century" w:hAnsi="Century" w:cs="FrankRuehl"/>
          <w:spacing w:val="10"/>
          <w:szCs w:val="28"/>
          <w:rtl/>
        </w:rPr>
        <w:t xml:space="preserve"> </w:t>
      </w:r>
      <w:r w:rsidRPr="00011760">
        <w:rPr>
          <w:rFonts w:ascii="Century" w:hAnsi="Century" w:cs="FrankRuehl" w:hint="eastAsia"/>
          <w:spacing w:val="10"/>
          <w:szCs w:val="28"/>
          <w:rtl/>
        </w:rPr>
        <w:t>או</w:t>
      </w:r>
      <w:r w:rsidRPr="00011760">
        <w:rPr>
          <w:rFonts w:ascii="Century" w:hAnsi="Century" w:cs="FrankRuehl"/>
          <w:spacing w:val="10"/>
          <w:szCs w:val="28"/>
          <w:rtl/>
        </w:rPr>
        <w:t xml:space="preserve"> </w:t>
      </w:r>
      <w:r w:rsidRPr="00011760">
        <w:rPr>
          <w:rFonts w:ascii="Century" w:hAnsi="Century" w:cs="FrankRuehl" w:hint="eastAsia"/>
          <w:spacing w:val="10"/>
          <w:szCs w:val="28"/>
          <w:rtl/>
        </w:rPr>
        <w:t>לשינוי</w:t>
      </w:r>
      <w:r>
        <w:rPr>
          <w:rFonts w:ascii="Century" w:hAnsi="Century" w:cs="FrankRuehl" w:hint="cs"/>
          <w:spacing w:val="10"/>
          <w:szCs w:val="28"/>
          <w:rtl/>
        </w:rPr>
        <w:t>;</w:t>
      </w:r>
      <w:r w:rsidRPr="00011760">
        <w:rPr>
          <w:rFonts w:ascii="Century" w:hAnsi="Century" w:cs="FrankRuehl"/>
          <w:spacing w:val="10"/>
          <w:szCs w:val="28"/>
          <w:rtl/>
        </w:rPr>
        <w:t xml:space="preserve"> </w:t>
      </w:r>
      <w:r>
        <w:rPr>
          <w:rFonts w:ascii="Century" w:hAnsi="Century" w:cs="FrankRuehl" w:hint="cs"/>
          <w:spacing w:val="10"/>
          <w:szCs w:val="28"/>
          <w:rtl/>
        </w:rPr>
        <w:t>והמופע</w:t>
      </w:r>
      <w:r w:rsidRPr="00EC381A">
        <w:rPr>
          <w:rFonts w:ascii="Century" w:hAnsi="Century" w:cs="FrankRuehl"/>
          <w:spacing w:val="10"/>
          <w:szCs w:val="28"/>
          <w:rtl/>
        </w:rPr>
        <w:t xml:space="preserve"> </w:t>
      </w:r>
      <w:r w:rsidRPr="00011760">
        <w:rPr>
          <w:rFonts w:ascii="Century" w:hAnsi="Century" w:cs="Miriam" w:hint="eastAsia"/>
          <w:b/>
          <w:rtl/>
        </w:rPr>
        <w:t>השני</w:t>
      </w:r>
      <w:r>
        <w:rPr>
          <w:rFonts w:ascii="Century" w:hAnsi="Century" w:cs="FrankRuehl" w:hint="cs"/>
          <w:spacing w:val="10"/>
          <w:szCs w:val="28"/>
          <w:rtl/>
        </w:rPr>
        <w:t xml:space="preserve"> </w:t>
      </w:r>
      <w:r w:rsidRPr="00011760">
        <w:rPr>
          <w:rFonts w:ascii="Century" w:hAnsi="Century" w:cs="FrankRuehl"/>
          <w:spacing w:val="10"/>
          <w:szCs w:val="28"/>
          <w:rtl/>
        </w:rPr>
        <w:t xml:space="preserve">מבוסס על </w:t>
      </w:r>
      <w:r>
        <w:rPr>
          <w:rFonts w:ascii="Century" w:hAnsi="Century" w:cs="FrankRuehl" w:hint="cs"/>
          <w:spacing w:val="10"/>
          <w:szCs w:val="28"/>
          <w:rtl/>
        </w:rPr>
        <w:t>ההנחה</w:t>
      </w:r>
      <w:r w:rsidRPr="00011760">
        <w:rPr>
          <w:rFonts w:ascii="Century" w:hAnsi="Century" w:cs="FrankRuehl"/>
          <w:spacing w:val="10"/>
          <w:szCs w:val="28"/>
          <w:rtl/>
        </w:rPr>
        <w:t xml:space="preserve"> לפיה א</w:t>
      </w:r>
      <w:r w:rsidRPr="00EC381A">
        <w:rPr>
          <w:rFonts w:ascii="Century" w:hAnsi="Century" w:cs="FrankRuehl"/>
          <w:spacing w:val="10"/>
          <w:szCs w:val="28"/>
          <w:rtl/>
        </w:rPr>
        <w:t>ין בכוחו של תיקון חוקתי לפגוע במבנה הבסיסי</w:t>
      </w:r>
      <w:r w:rsidRPr="00011760">
        <w:rPr>
          <w:rFonts w:ascii="Century" w:hAnsi="Century" w:cs="FrankRuehl"/>
          <w:spacing w:val="10"/>
          <w:szCs w:val="28"/>
          <w:rtl/>
        </w:rPr>
        <w:t xml:space="preserve"> (</w:t>
      </w:r>
      <w:r>
        <w:rPr>
          <w:rFonts w:asciiTheme="majorBidi" w:hAnsiTheme="majorBidi" w:cstheme="majorBidi"/>
          <w:spacing w:val="10"/>
          <w:sz w:val="24"/>
        </w:rPr>
        <w:t>B</w:t>
      </w:r>
      <w:r w:rsidRPr="00105C0F">
        <w:rPr>
          <w:rFonts w:asciiTheme="majorBidi" w:hAnsiTheme="majorBidi" w:cstheme="majorBidi"/>
          <w:spacing w:val="10"/>
          <w:sz w:val="24"/>
        </w:rPr>
        <w:t xml:space="preserve">asic </w:t>
      </w:r>
      <w:r>
        <w:rPr>
          <w:rFonts w:asciiTheme="majorBidi" w:hAnsiTheme="majorBidi" w:cstheme="majorBidi"/>
          <w:spacing w:val="10"/>
          <w:sz w:val="24"/>
        </w:rPr>
        <w:t>S</w:t>
      </w:r>
      <w:r w:rsidRPr="00105C0F">
        <w:rPr>
          <w:rFonts w:asciiTheme="majorBidi" w:hAnsiTheme="majorBidi" w:cstheme="majorBidi"/>
          <w:spacing w:val="10"/>
          <w:sz w:val="24"/>
        </w:rPr>
        <w:t>tructure</w:t>
      </w:r>
      <w:r w:rsidRPr="00EC381A">
        <w:rPr>
          <w:rFonts w:ascii="Century" w:hAnsi="Century" w:cs="FrankRuehl"/>
          <w:spacing w:val="10"/>
          <w:szCs w:val="28"/>
          <w:rtl/>
        </w:rPr>
        <w:t>) של החוקה</w:t>
      </w:r>
      <w:r>
        <w:rPr>
          <w:rFonts w:ascii="Century" w:hAnsi="Century" w:cs="FrankRuehl" w:hint="cs"/>
          <w:spacing w:val="10"/>
          <w:szCs w:val="28"/>
          <w:rtl/>
        </w:rPr>
        <w:t>, או בערכי היסוד של השיטה</w:t>
      </w:r>
      <w:r w:rsidRPr="00EC381A">
        <w:rPr>
          <w:rFonts w:ascii="Century" w:hAnsi="Century" w:cs="FrankRuehl"/>
          <w:spacing w:val="10"/>
          <w:szCs w:val="28"/>
          <w:rtl/>
        </w:rPr>
        <w:t>.</w:t>
      </w:r>
    </w:p>
    <w:p w:rsidR="00D61E12" w:rsidRDefault="00D61E12" w:rsidP="00D61E12">
      <w:pPr>
        <w:pStyle w:val="Ruller4"/>
        <w:numPr>
          <w:ilvl w:val="0"/>
          <w:numId w:val="0"/>
        </w:numPr>
        <w:spacing w:before="240" w:after="240"/>
      </w:pPr>
      <w:r>
        <w:rPr>
          <w:rtl/>
        </w:rPr>
        <w:tab/>
      </w:r>
      <w:r>
        <w:rPr>
          <w:rFonts w:hint="cs"/>
          <w:rtl/>
        </w:rPr>
        <w:t xml:space="preserve">אין זה מפתיע שנוכח טיבה וטבעה של דוקטרינה זו, יישומה במובניה המוכרים, מעורר קושי </w:t>
      </w:r>
      <w:r>
        <w:rPr>
          <w:rFonts w:hint="eastAsia"/>
          <w:rtl/>
        </w:rPr>
        <w:t>במדינת</w:t>
      </w:r>
      <w:r>
        <w:rPr>
          <w:rtl/>
        </w:rPr>
        <w:t xml:space="preserve"> </w:t>
      </w:r>
      <w:r>
        <w:rPr>
          <w:rFonts w:hint="eastAsia"/>
          <w:rtl/>
        </w:rPr>
        <w:t>ישראל</w:t>
      </w:r>
      <w:r>
        <w:rPr>
          <w:rtl/>
        </w:rPr>
        <w:t xml:space="preserve"> </w:t>
      </w:r>
      <w:r>
        <w:rPr>
          <w:rFonts w:hint="cs"/>
          <w:rtl/>
        </w:rPr>
        <w:t xml:space="preserve">בה </w:t>
      </w:r>
      <w:r>
        <w:rPr>
          <w:rFonts w:hint="eastAsia"/>
          <w:rtl/>
        </w:rPr>
        <w:t>טרם</w:t>
      </w:r>
      <w:r>
        <w:rPr>
          <w:rtl/>
        </w:rPr>
        <w:t xml:space="preserve"> </w:t>
      </w:r>
      <w:r>
        <w:rPr>
          <w:rFonts w:hint="eastAsia"/>
          <w:rtl/>
        </w:rPr>
        <w:t>הושלם</w:t>
      </w:r>
      <w:r>
        <w:rPr>
          <w:rtl/>
        </w:rPr>
        <w:t xml:space="preserve"> </w:t>
      </w:r>
      <w:r>
        <w:rPr>
          <w:rFonts w:hint="eastAsia"/>
          <w:rtl/>
        </w:rPr>
        <w:t>תהליך</w:t>
      </w:r>
      <w:r>
        <w:rPr>
          <w:rtl/>
        </w:rPr>
        <w:t xml:space="preserve"> </w:t>
      </w:r>
      <w:r>
        <w:rPr>
          <w:rFonts w:hint="eastAsia"/>
          <w:rtl/>
        </w:rPr>
        <w:t>כינון</w:t>
      </w:r>
      <w:r>
        <w:rPr>
          <w:rtl/>
        </w:rPr>
        <w:t xml:space="preserve"> </w:t>
      </w:r>
      <w:r>
        <w:rPr>
          <w:rFonts w:hint="eastAsia"/>
          <w:rtl/>
        </w:rPr>
        <w:t>החוקה</w:t>
      </w:r>
      <w:r>
        <w:rPr>
          <w:rtl/>
        </w:rPr>
        <w:t xml:space="preserve">. </w:t>
      </w:r>
      <w:r>
        <w:rPr>
          <w:rFonts w:hint="eastAsia"/>
          <w:rtl/>
        </w:rPr>
        <w:t>אומנם</w:t>
      </w:r>
      <w:r>
        <w:rPr>
          <w:rtl/>
        </w:rPr>
        <w:t>,</w:t>
      </w:r>
      <w:r w:rsidRPr="00290252">
        <w:rPr>
          <w:rtl/>
        </w:rPr>
        <w:t xml:space="preserve"> </w:t>
      </w:r>
      <w:r>
        <w:rPr>
          <w:rFonts w:hint="eastAsia"/>
          <w:rtl/>
        </w:rPr>
        <w:t>כבר</w:t>
      </w:r>
      <w:r>
        <w:rPr>
          <w:rtl/>
        </w:rPr>
        <w:t xml:space="preserve"> </w:t>
      </w:r>
      <w:r>
        <w:rPr>
          <w:rFonts w:hint="eastAsia"/>
          <w:rtl/>
        </w:rPr>
        <w:t>בפסיקתו</w:t>
      </w:r>
      <w:r>
        <w:rPr>
          <w:rtl/>
        </w:rPr>
        <w:t xml:space="preserve"> </w:t>
      </w:r>
      <w:r>
        <w:rPr>
          <w:rFonts w:hint="eastAsia"/>
          <w:rtl/>
        </w:rPr>
        <w:t>המוקדמת</w:t>
      </w:r>
      <w:r w:rsidRPr="00290252">
        <w:rPr>
          <w:rtl/>
        </w:rPr>
        <w:t xml:space="preserve"> </w:t>
      </w:r>
      <w:r>
        <w:rPr>
          <w:rFonts w:hint="eastAsia"/>
          <w:rtl/>
        </w:rPr>
        <w:t>התייחס</w:t>
      </w:r>
      <w:r>
        <w:rPr>
          <w:rtl/>
        </w:rPr>
        <w:t xml:space="preserve"> </w:t>
      </w:r>
      <w:r>
        <w:rPr>
          <w:rFonts w:hint="eastAsia"/>
          <w:rtl/>
        </w:rPr>
        <w:t>בית</w:t>
      </w:r>
      <w:r>
        <w:rPr>
          <w:rtl/>
        </w:rPr>
        <w:t xml:space="preserve"> </w:t>
      </w:r>
      <w:r>
        <w:rPr>
          <w:rFonts w:hint="eastAsia"/>
          <w:rtl/>
        </w:rPr>
        <w:t>משפט</w:t>
      </w:r>
      <w:r>
        <w:rPr>
          <w:rtl/>
        </w:rPr>
        <w:t xml:space="preserve"> </w:t>
      </w:r>
      <w:r>
        <w:rPr>
          <w:rFonts w:hint="eastAsia"/>
          <w:rtl/>
        </w:rPr>
        <w:t>זה</w:t>
      </w:r>
      <w:r>
        <w:rPr>
          <w:rtl/>
        </w:rPr>
        <w:t xml:space="preserve"> </w:t>
      </w:r>
      <w:r>
        <w:rPr>
          <w:rFonts w:hint="eastAsia"/>
          <w:rtl/>
        </w:rPr>
        <w:t>לקיומם</w:t>
      </w:r>
      <w:r>
        <w:rPr>
          <w:rtl/>
        </w:rPr>
        <w:t xml:space="preserve"> </w:t>
      </w:r>
      <w:r>
        <w:rPr>
          <w:rFonts w:hint="eastAsia"/>
          <w:rtl/>
        </w:rPr>
        <w:t>של</w:t>
      </w:r>
      <w:r>
        <w:rPr>
          <w:rtl/>
        </w:rPr>
        <w:t xml:space="preserve"> </w:t>
      </w:r>
      <w:r>
        <w:rPr>
          <w:rFonts w:hint="eastAsia"/>
          <w:rtl/>
        </w:rPr>
        <w:t>עקרונות</w:t>
      </w:r>
      <w:r>
        <w:rPr>
          <w:rtl/>
        </w:rPr>
        <w:t>-</w:t>
      </w:r>
      <w:r>
        <w:rPr>
          <w:rFonts w:hint="eastAsia"/>
          <w:rtl/>
        </w:rPr>
        <w:t>על</w:t>
      </w:r>
      <w:r>
        <w:rPr>
          <w:rtl/>
        </w:rPr>
        <w:t xml:space="preserve"> </w:t>
      </w:r>
      <w:r>
        <w:rPr>
          <w:rFonts w:hint="eastAsia"/>
          <w:rtl/>
        </w:rPr>
        <w:t>בשיטתנו</w:t>
      </w:r>
      <w:r>
        <w:rPr>
          <w:rFonts w:hint="cs"/>
          <w:rtl/>
        </w:rPr>
        <w:t xml:space="preserve"> המשפטית</w:t>
      </w:r>
      <w:r>
        <w:rPr>
          <w:rtl/>
        </w:rPr>
        <w:t xml:space="preserve">, </w:t>
      </w:r>
      <w:r>
        <w:rPr>
          <w:rFonts w:hint="eastAsia"/>
          <w:rtl/>
        </w:rPr>
        <w:t>אך</w:t>
      </w:r>
      <w:r>
        <w:rPr>
          <w:rtl/>
        </w:rPr>
        <w:t xml:space="preserve"> </w:t>
      </w:r>
      <w:r>
        <w:rPr>
          <w:rFonts w:hint="eastAsia"/>
          <w:rtl/>
        </w:rPr>
        <w:t>הוא</w:t>
      </w:r>
      <w:r>
        <w:rPr>
          <w:rtl/>
        </w:rPr>
        <w:t xml:space="preserve"> </w:t>
      </w:r>
      <w:r>
        <w:rPr>
          <w:rFonts w:hint="eastAsia"/>
          <w:rtl/>
        </w:rPr>
        <w:t>נמנע</w:t>
      </w:r>
      <w:r>
        <w:rPr>
          <w:rtl/>
        </w:rPr>
        <w:t xml:space="preserve"> </w:t>
      </w:r>
      <w:r>
        <w:rPr>
          <w:rFonts w:hint="eastAsia"/>
          <w:rtl/>
        </w:rPr>
        <w:t>מלקבוע</w:t>
      </w:r>
      <w:r>
        <w:rPr>
          <w:rtl/>
        </w:rPr>
        <w:t xml:space="preserve"> </w:t>
      </w:r>
      <w:r>
        <w:rPr>
          <w:rFonts w:hint="eastAsia"/>
          <w:rtl/>
        </w:rPr>
        <w:t>כי</w:t>
      </w:r>
      <w:r>
        <w:rPr>
          <w:rtl/>
        </w:rPr>
        <w:t xml:space="preserve"> </w:t>
      </w:r>
      <w:r>
        <w:rPr>
          <w:rFonts w:hint="eastAsia"/>
          <w:rtl/>
        </w:rPr>
        <w:t>ניתן</w:t>
      </w:r>
      <w:r>
        <w:rPr>
          <w:rtl/>
        </w:rPr>
        <w:t xml:space="preserve"> </w:t>
      </w:r>
      <w:r>
        <w:rPr>
          <w:rFonts w:hint="eastAsia"/>
          <w:rtl/>
        </w:rPr>
        <w:t>לפסול</w:t>
      </w:r>
      <w:r>
        <w:rPr>
          <w:rtl/>
        </w:rPr>
        <w:t xml:space="preserve"> </w:t>
      </w:r>
      <w:r w:rsidRPr="00370368">
        <w:rPr>
          <w:rFonts w:hint="eastAsia"/>
          <w:rtl/>
        </w:rPr>
        <w:t>מכוחם</w:t>
      </w:r>
      <w:r w:rsidRPr="00370368">
        <w:rPr>
          <w:rtl/>
        </w:rPr>
        <w:t xml:space="preserve"> </w:t>
      </w:r>
      <w:r w:rsidRPr="00370368">
        <w:rPr>
          <w:rFonts w:hint="eastAsia"/>
          <w:rtl/>
        </w:rPr>
        <w:t>חקיקה</w:t>
      </w:r>
      <w:r w:rsidRPr="00370368">
        <w:rPr>
          <w:rtl/>
        </w:rPr>
        <w:t xml:space="preserve"> </w:t>
      </w:r>
      <w:r w:rsidRPr="00370368">
        <w:rPr>
          <w:rFonts w:hint="eastAsia"/>
          <w:rtl/>
        </w:rPr>
        <w:t>או</w:t>
      </w:r>
      <w:r w:rsidRPr="00370368">
        <w:rPr>
          <w:rtl/>
        </w:rPr>
        <w:t xml:space="preserve"> </w:t>
      </w:r>
      <w:r>
        <w:rPr>
          <w:rFonts w:hint="eastAsia"/>
          <w:rtl/>
        </w:rPr>
        <w:t>חוקי-יסוד</w:t>
      </w:r>
      <w:r w:rsidRPr="00370368">
        <w:rPr>
          <w:rtl/>
        </w:rPr>
        <w:t xml:space="preserve"> (</w:t>
      </w:r>
      <w:r w:rsidRPr="00370368">
        <w:rPr>
          <w:rFonts w:hint="eastAsia"/>
          <w:rtl/>
        </w:rPr>
        <w:t>ראו</w:t>
      </w:r>
      <w:r w:rsidRPr="00370368">
        <w:rPr>
          <w:rtl/>
        </w:rPr>
        <w:t xml:space="preserve"> </w:t>
      </w:r>
      <w:r w:rsidRPr="00370368">
        <w:rPr>
          <w:rFonts w:hint="eastAsia"/>
          <w:rtl/>
        </w:rPr>
        <w:t>למשל</w:t>
      </w:r>
      <w:r w:rsidRPr="00370368">
        <w:rPr>
          <w:rtl/>
        </w:rPr>
        <w:t xml:space="preserve">: </w:t>
      </w:r>
      <w:r w:rsidRPr="00011760">
        <w:rPr>
          <w:rFonts w:ascii="Century" w:hAnsi="Century" w:hint="eastAsia"/>
          <w:sz w:val="22"/>
          <w:rtl/>
        </w:rPr>
        <w:t>ע</w:t>
      </w:r>
      <w:r w:rsidRPr="00011760">
        <w:rPr>
          <w:rFonts w:ascii="Century" w:hAnsi="Century"/>
          <w:sz w:val="22"/>
          <w:rtl/>
        </w:rPr>
        <w:t>"</w:t>
      </w:r>
      <w:r w:rsidRPr="00011760">
        <w:rPr>
          <w:rFonts w:ascii="Century" w:hAnsi="Century" w:hint="eastAsia"/>
          <w:sz w:val="22"/>
          <w:rtl/>
        </w:rPr>
        <w:t>ב</w:t>
      </w:r>
      <w:r w:rsidRPr="00011760">
        <w:rPr>
          <w:rFonts w:ascii="Century" w:hAnsi="Century"/>
          <w:sz w:val="22"/>
          <w:rtl/>
        </w:rPr>
        <w:t xml:space="preserve"> 1/65</w:t>
      </w:r>
      <w:r w:rsidRPr="00011760">
        <w:rPr>
          <w:color w:val="0000FF"/>
          <w:rtl/>
        </w:rPr>
        <w:t xml:space="preserve"> </w:t>
      </w:r>
      <w:r w:rsidRPr="00011760">
        <w:rPr>
          <w:rFonts w:ascii="Century" w:hAnsi="Century" w:cs="Miriam" w:hint="eastAsia"/>
          <w:b/>
          <w:spacing w:val="0"/>
          <w:sz w:val="22"/>
          <w:szCs w:val="24"/>
          <w:rtl/>
        </w:rPr>
        <w:t>ירדור</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נ</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ועדת</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הבחירות</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המרכזית</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לכנסת</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השישית</w:t>
      </w:r>
      <w:r w:rsidRPr="00370368">
        <w:rPr>
          <w:rtl/>
        </w:rPr>
        <w:t xml:space="preserve">, </w:t>
      </w:r>
      <w:r w:rsidRPr="00370368">
        <w:rPr>
          <w:rFonts w:hint="eastAsia"/>
          <w:rtl/>
        </w:rPr>
        <w:t>פ</w:t>
      </w:r>
      <w:r w:rsidRPr="00370368">
        <w:rPr>
          <w:rtl/>
        </w:rPr>
        <w:t>"</w:t>
      </w:r>
      <w:r w:rsidRPr="00370368">
        <w:rPr>
          <w:rFonts w:hint="eastAsia"/>
          <w:rtl/>
        </w:rPr>
        <w:t>ד</w:t>
      </w:r>
      <w:r w:rsidRPr="00370368">
        <w:rPr>
          <w:rtl/>
        </w:rPr>
        <w:t xml:space="preserve"> </w:t>
      </w:r>
      <w:r w:rsidRPr="00370368">
        <w:rPr>
          <w:rFonts w:hint="eastAsia"/>
          <w:rtl/>
        </w:rPr>
        <w:t>יט</w:t>
      </w:r>
      <w:r w:rsidRPr="00370368">
        <w:rPr>
          <w:rtl/>
        </w:rPr>
        <w:t>(3) 365, 390-389 (1965)</w:t>
      </w:r>
      <w:r>
        <w:rPr>
          <w:rFonts w:hint="cs"/>
          <w:rtl/>
        </w:rPr>
        <w:t xml:space="preserve"> (להלן: </w:t>
      </w:r>
      <w:r w:rsidRPr="00C75ECC">
        <w:rPr>
          <w:rFonts w:ascii="Century" w:hAnsi="Century" w:cs="Miriam" w:hint="cs"/>
          <w:b/>
          <w:spacing w:val="0"/>
          <w:sz w:val="22"/>
          <w:szCs w:val="24"/>
          <w:rtl/>
        </w:rPr>
        <w:t>עניין ירדור</w:t>
      </w:r>
      <w:r>
        <w:rPr>
          <w:rFonts w:hint="cs"/>
          <w:rtl/>
        </w:rPr>
        <w:t>)</w:t>
      </w:r>
      <w:r w:rsidRPr="00370368">
        <w:rPr>
          <w:rtl/>
        </w:rPr>
        <w:t>).</w:t>
      </w:r>
      <w:r w:rsidRPr="00011760">
        <w:rPr>
          <w:rtl/>
        </w:rPr>
        <w:t xml:space="preserve"> </w:t>
      </w:r>
      <w:r w:rsidRPr="00011760">
        <w:rPr>
          <w:rFonts w:hint="eastAsia"/>
          <w:rtl/>
        </w:rPr>
        <w:t>בנסיבות</w:t>
      </w:r>
      <w:r w:rsidRPr="00011760">
        <w:rPr>
          <w:rtl/>
        </w:rPr>
        <w:t xml:space="preserve"> </w:t>
      </w:r>
      <w:r w:rsidRPr="00011760">
        <w:rPr>
          <w:rFonts w:hint="eastAsia"/>
          <w:rtl/>
        </w:rPr>
        <w:t>כגון</w:t>
      </w:r>
      <w:r w:rsidRPr="00011760">
        <w:rPr>
          <w:rtl/>
        </w:rPr>
        <w:t xml:space="preserve"> </w:t>
      </w:r>
      <w:r w:rsidRPr="00011760">
        <w:rPr>
          <w:rFonts w:hint="eastAsia"/>
          <w:rtl/>
        </w:rPr>
        <w:t>דא</w:t>
      </w:r>
      <w:r w:rsidRPr="00011760">
        <w:rPr>
          <w:rtl/>
        </w:rPr>
        <w:t xml:space="preserve">, </w:t>
      </w:r>
      <w:r w:rsidRPr="00011760">
        <w:rPr>
          <w:rFonts w:hint="eastAsia"/>
          <w:rtl/>
        </w:rPr>
        <w:t>מתעצם</w:t>
      </w:r>
      <w:r w:rsidRPr="00011760">
        <w:rPr>
          <w:rtl/>
        </w:rPr>
        <w:t xml:space="preserve"> </w:t>
      </w:r>
      <w:r w:rsidRPr="00011760">
        <w:rPr>
          <w:rFonts w:hint="eastAsia"/>
          <w:rtl/>
        </w:rPr>
        <w:t>הקושי</w:t>
      </w:r>
      <w:r w:rsidRPr="00011760">
        <w:rPr>
          <w:rtl/>
        </w:rPr>
        <w:t xml:space="preserve">, </w:t>
      </w:r>
      <w:r w:rsidRPr="00011760">
        <w:rPr>
          <w:rFonts w:hint="eastAsia"/>
          <w:rtl/>
        </w:rPr>
        <w:t>על</w:t>
      </w:r>
      <w:r w:rsidRPr="00011760">
        <w:rPr>
          <w:rtl/>
        </w:rPr>
        <w:t xml:space="preserve"> </w:t>
      </w:r>
      <w:r w:rsidRPr="00011760">
        <w:rPr>
          <w:rFonts w:hint="eastAsia"/>
          <w:rtl/>
        </w:rPr>
        <w:t>סמך</w:t>
      </w:r>
      <w:r w:rsidRPr="00011760">
        <w:rPr>
          <w:rtl/>
        </w:rPr>
        <w:t xml:space="preserve"> </w:t>
      </w:r>
      <w:r w:rsidRPr="00011760">
        <w:rPr>
          <w:rFonts w:hint="eastAsia"/>
          <w:rtl/>
        </w:rPr>
        <w:t>מה</w:t>
      </w:r>
      <w:r w:rsidRPr="00011760">
        <w:rPr>
          <w:rtl/>
        </w:rPr>
        <w:t xml:space="preserve"> </w:t>
      </w:r>
      <w:r w:rsidRPr="00011760">
        <w:rPr>
          <w:rFonts w:hint="eastAsia"/>
          <w:rtl/>
        </w:rPr>
        <w:t>יכול</w:t>
      </w:r>
      <w:r w:rsidRPr="00011760">
        <w:rPr>
          <w:rtl/>
        </w:rPr>
        <w:t xml:space="preserve"> </w:t>
      </w:r>
      <w:r w:rsidRPr="00011760">
        <w:rPr>
          <w:rFonts w:hint="eastAsia"/>
          <w:rtl/>
        </w:rPr>
        <w:t>בית</w:t>
      </w:r>
      <w:r w:rsidRPr="00011760">
        <w:rPr>
          <w:rtl/>
        </w:rPr>
        <w:t xml:space="preserve"> </w:t>
      </w:r>
      <w:r w:rsidRPr="00011760">
        <w:rPr>
          <w:rFonts w:hint="eastAsia"/>
          <w:rtl/>
        </w:rPr>
        <w:t>המשפט</w:t>
      </w:r>
      <w:r w:rsidRPr="00011760">
        <w:rPr>
          <w:rtl/>
        </w:rPr>
        <w:t xml:space="preserve"> </w:t>
      </w:r>
      <w:r w:rsidRPr="00011760">
        <w:rPr>
          <w:rFonts w:hint="eastAsia"/>
          <w:rtl/>
        </w:rPr>
        <w:t>לקבוע</w:t>
      </w:r>
      <w:r w:rsidRPr="00011760">
        <w:rPr>
          <w:rtl/>
        </w:rPr>
        <w:t xml:space="preserve"> </w:t>
      </w:r>
      <w:r w:rsidRPr="00011760">
        <w:rPr>
          <w:rFonts w:hint="eastAsia"/>
          <w:rtl/>
        </w:rPr>
        <w:t>את</w:t>
      </w:r>
      <w:r w:rsidRPr="00011760">
        <w:rPr>
          <w:rtl/>
        </w:rPr>
        <w:t xml:space="preserve"> </w:t>
      </w:r>
      <w:r w:rsidRPr="00011760">
        <w:rPr>
          <w:rFonts w:hint="eastAsia"/>
          <w:rtl/>
        </w:rPr>
        <w:t>גדרי</w:t>
      </w:r>
      <w:r w:rsidRPr="00011760">
        <w:rPr>
          <w:rtl/>
        </w:rPr>
        <w:t xml:space="preserve"> </w:t>
      </w:r>
      <w:r w:rsidRPr="00011760">
        <w:rPr>
          <w:rFonts w:hint="eastAsia"/>
          <w:rtl/>
        </w:rPr>
        <w:t>סמכותו</w:t>
      </w:r>
      <w:r w:rsidRPr="00011760">
        <w:rPr>
          <w:rtl/>
        </w:rPr>
        <w:t xml:space="preserve"> </w:t>
      </w:r>
      <w:r w:rsidRPr="00011760">
        <w:rPr>
          <w:rFonts w:hint="eastAsia"/>
          <w:rtl/>
        </w:rPr>
        <w:t>של</w:t>
      </w:r>
      <w:r w:rsidRPr="00011760">
        <w:rPr>
          <w:rtl/>
        </w:rPr>
        <w:t xml:space="preserve"> </w:t>
      </w:r>
      <w:r w:rsidRPr="00011760">
        <w:rPr>
          <w:rFonts w:hint="eastAsia"/>
          <w:rtl/>
        </w:rPr>
        <w:t>מכונן</w:t>
      </w:r>
      <w:r w:rsidRPr="00011760">
        <w:rPr>
          <w:rtl/>
        </w:rPr>
        <w:t xml:space="preserve"> </w:t>
      </w:r>
      <w:r w:rsidRPr="00011760">
        <w:rPr>
          <w:rFonts w:hint="eastAsia"/>
          <w:rtl/>
        </w:rPr>
        <w:t>החוקה</w:t>
      </w:r>
      <w:r w:rsidRPr="00011760">
        <w:rPr>
          <w:rtl/>
        </w:rPr>
        <w:t xml:space="preserve">, </w:t>
      </w:r>
      <w:r w:rsidRPr="00011760">
        <w:rPr>
          <w:rFonts w:hint="eastAsia"/>
          <w:rtl/>
        </w:rPr>
        <w:t>או</w:t>
      </w:r>
      <w:r w:rsidRPr="00011760">
        <w:rPr>
          <w:rtl/>
        </w:rPr>
        <w:t xml:space="preserve"> </w:t>
      </w:r>
      <w:r w:rsidRPr="00011760">
        <w:rPr>
          <w:rFonts w:hint="eastAsia"/>
          <w:rtl/>
        </w:rPr>
        <w:t>במילים</w:t>
      </w:r>
      <w:r w:rsidRPr="00011760">
        <w:rPr>
          <w:rtl/>
        </w:rPr>
        <w:t xml:space="preserve"> </w:t>
      </w:r>
      <w:r w:rsidRPr="00011760">
        <w:rPr>
          <w:rFonts w:hint="eastAsia"/>
          <w:rtl/>
        </w:rPr>
        <w:t>אחרות</w:t>
      </w:r>
      <w:r w:rsidRPr="00011760">
        <w:rPr>
          <w:rtl/>
        </w:rPr>
        <w:t xml:space="preserve">, </w:t>
      </w:r>
      <w:r w:rsidRPr="00011760">
        <w:rPr>
          <w:rFonts w:hint="eastAsia"/>
          <w:rtl/>
        </w:rPr>
        <w:t>מה</w:t>
      </w:r>
      <w:r w:rsidRPr="00011760">
        <w:rPr>
          <w:rtl/>
        </w:rPr>
        <w:t xml:space="preserve"> </w:t>
      </w:r>
      <w:r w:rsidRPr="00011760">
        <w:rPr>
          <w:rFonts w:hint="eastAsia"/>
          <w:rtl/>
        </w:rPr>
        <w:t>עומד</w:t>
      </w:r>
      <w:r w:rsidRPr="00011760">
        <w:rPr>
          <w:rtl/>
        </w:rPr>
        <w:t xml:space="preserve"> </w:t>
      </w:r>
      <w:r w:rsidRPr="00011760">
        <w:rPr>
          <w:rFonts w:hint="eastAsia"/>
          <w:rtl/>
        </w:rPr>
        <w:t>במדרג</w:t>
      </w:r>
      <w:r w:rsidRPr="00011760">
        <w:rPr>
          <w:rtl/>
        </w:rPr>
        <w:t xml:space="preserve"> </w:t>
      </w:r>
      <w:r w:rsidRPr="00011760">
        <w:rPr>
          <w:rFonts w:hint="eastAsia"/>
          <w:rtl/>
        </w:rPr>
        <w:t>הנורמטיבי</w:t>
      </w:r>
      <w:r w:rsidRPr="00011760">
        <w:rPr>
          <w:rtl/>
        </w:rPr>
        <w:t xml:space="preserve"> </w:t>
      </w:r>
      <w:r w:rsidRPr="00011760">
        <w:rPr>
          <w:rFonts w:hint="eastAsia"/>
          <w:rtl/>
        </w:rPr>
        <w:t>מעל</w:t>
      </w:r>
      <w:r w:rsidRPr="00011760">
        <w:rPr>
          <w:rtl/>
        </w:rPr>
        <w:t xml:space="preserve"> </w:t>
      </w:r>
      <w:r w:rsidRPr="00011760">
        <w:rPr>
          <w:rFonts w:hint="eastAsia"/>
          <w:rtl/>
        </w:rPr>
        <w:t>מכונן</w:t>
      </w:r>
      <w:r w:rsidRPr="00011760">
        <w:rPr>
          <w:rtl/>
        </w:rPr>
        <w:t xml:space="preserve"> </w:t>
      </w:r>
      <w:r w:rsidRPr="00011760">
        <w:rPr>
          <w:rFonts w:hint="eastAsia"/>
          <w:rtl/>
        </w:rPr>
        <w:t>החוקה</w:t>
      </w:r>
      <w:r w:rsidRPr="00011760">
        <w:rPr>
          <w:rtl/>
        </w:rPr>
        <w:t xml:space="preserve">? </w:t>
      </w:r>
      <w:r w:rsidRPr="00011760">
        <w:rPr>
          <w:rFonts w:hint="eastAsia"/>
          <w:rtl/>
        </w:rPr>
        <w:t>כאמור</w:t>
      </w:r>
      <w:r w:rsidRPr="00011760">
        <w:rPr>
          <w:rtl/>
        </w:rPr>
        <w:t xml:space="preserve">, </w:t>
      </w:r>
      <w:r w:rsidRPr="00011760">
        <w:rPr>
          <w:rFonts w:hint="eastAsia"/>
          <w:rtl/>
        </w:rPr>
        <w:t>שאלה</w:t>
      </w:r>
      <w:r w:rsidRPr="00011760">
        <w:rPr>
          <w:rtl/>
        </w:rPr>
        <w:t xml:space="preserve"> </w:t>
      </w:r>
      <w:r w:rsidRPr="00011760">
        <w:rPr>
          <w:rFonts w:hint="eastAsia"/>
          <w:rtl/>
        </w:rPr>
        <w:t>זו</w:t>
      </w:r>
      <w:r w:rsidRPr="00011760">
        <w:rPr>
          <w:rtl/>
        </w:rPr>
        <w:t xml:space="preserve"> </w:t>
      </w:r>
      <w:r w:rsidRPr="00011760">
        <w:rPr>
          <w:rFonts w:hint="eastAsia"/>
          <w:rtl/>
        </w:rPr>
        <w:t>נדונה</w:t>
      </w:r>
      <w:r w:rsidRPr="00011760">
        <w:rPr>
          <w:rtl/>
        </w:rPr>
        <w:t xml:space="preserve"> </w:t>
      </w:r>
      <w:r w:rsidRPr="00011760">
        <w:rPr>
          <w:rFonts w:hint="eastAsia"/>
          <w:rtl/>
        </w:rPr>
        <w:t>במספר</w:t>
      </w:r>
      <w:r w:rsidRPr="00011760">
        <w:rPr>
          <w:rtl/>
        </w:rPr>
        <w:t xml:space="preserve"> </w:t>
      </w:r>
      <w:r w:rsidRPr="00011760">
        <w:rPr>
          <w:rFonts w:hint="eastAsia"/>
          <w:rtl/>
        </w:rPr>
        <w:t>פסקי</w:t>
      </w:r>
      <w:r w:rsidRPr="00011760">
        <w:rPr>
          <w:rtl/>
        </w:rPr>
        <w:t xml:space="preserve"> </w:t>
      </w:r>
      <w:r w:rsidRPr="00011760">
        <w:rPr>
          <w:rFonts w:hint="eastAsia"/>
          <w:rtl/>
        </w:rPr>
        <w:t>דין</w:t>
      </w:r>
      <w:r w:rsidRPr="00370368">
        <w:rPr>
          <w:rtl/>
        </w:rPr>
        <w:t xml:space="preserve">, </w:t>
      </w:r>
      <w:r w:rsidRPr="00370368">
        <w:rPr>
          <w:rFonts w:hint="eastAsia"/>
          <w:rtl/>
        </w:rPr>
        <w:t>והיא</w:t>
      </w:r>
      <w:r w:rsidRPr="00370368">
        <w:rPr>
          <w:rtl/>
        </w:rPr>
        <w:t xml:space="preserve"> </w:t>
      </w:r>
      <w:r w:rsidRPr="00370368">
        <w:rPr>
          <w:rFonts w:hint="eastAsia"/>
          <w:rtl/>
        </w:rPr>
        <w:t>נזכרה</w:t>
      </w:r>
      <w:r w:rsidRPr="00370368">
        <w:rPr>
          <w:rtl/>
        </w:rPr>
        <w:t xml:space="preserve"> </w:t>
      </w:r>
      <w:r w:rsidRPr="00370368">
        <w:rPr>
          <w:rFonts w:hint="eastAsia"/>
          <w:rtl/>
        </w:rPr>
        <w:t>כבר</w:t>
      </w:r>
      <w:r w:rsidRPr="00370368">
        <w:rPr>
          <w:rtl/>
        </w:rPr>
        <w:t xml:space="preserve"> </w:t>
      </w:r>
      <w:r w:rsidRPr="00370368">
        <w:rPr>
          <w:rFonts w:hint="eastAsia"/>
          <w:rtl/>
        </w:rPr>
        <w:t>בענ</w:t>
      </w:r>
      <w:r>
        <w:rPr>
          <w:rFonts w:hint="cs"/>
          <w:rtl/>
        </w:rPr>
        <w:t>י</w:t>
      </w:r>
      <w:r w:rsidRPr="00370368">
        <w:rPr>
          <w:rFonts w:hint="eastAsia"/>
          <w:rtl/>
        </w:rPr>
        <w:t>ין</w:t>
      </w:r>
      <w:r w:rsidRPr="00370368">
        <w:rPr>
          <w:rtl/>
        </w:rPr>
        <w:t xml:space="preserve"> </w:t>
      </w:r>
      <w:r w:rsidRPr="00011760">
        <w:rPr>
          <w:rFonts w:ascii="Century" w:hAnsi="Century" w:cs="Miriam" w:hint="eastAsia"/>
          <w:b/>
          <w:spacing w:val="0"/>
          <w:sz w:val="22"/>
          <w:szCs w:val="24"/>
          <w:rtl/>
        </w:rPr>
        <w:t>בנק</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המזרחי</w:t>
      </w:r>
      <w:r w:rsidRPr="00370368">
        <w:rPr>
          <w:rtl/>
        </w:rPr>
        <w:t xml:space="preserve">, </w:t>
      </w:r>
      <w:r w:rsidRPr="00370368">
        <w:rPr>
          <w:rFonts w:hint="eastAsia"/>
          <w:rtl/>
        </w:rPr>
        <w:t>ואף</w:t>
      </w:r>
      <w:r w:rsidRPr="00370368">
        <w:rPr>
          <w:rtl/>
        </w:rPr>
        <w:t xml:space="preserve"> </w:t>
      </w:r>
      <w:r w:rsidRPr="00370368">
        <w:rPr>
          <w:rFonts w:hint="eastAsia"/>
          <w:rtl/>
        </w:rPr>
        <w:t>קודם</w:t>
      </w:r>
      <w:r w:rsidRPr="00370368">
        <w:rPr>
          <w:rtl/>
        </w:rPr>
        <w:t xml:space="preserve"> </w:t>
      </w:r>
      <w:r w:rsidRPr="00370368">
        <w:rPr>
          <w:rFonts w:hint="eastAsia"/>
          <w:rtl/>
        </w:rPr>
        <w:t>לכן</w:t>
      </w:r>
      <w:r w:rsidRPr="00370368">
        <w:rPr>
          <w:rtl/>
        </w:rPr>
        <w:t xml:space="preserve"> </w:t>
      </w:r>
      <w:r w:rsidRPr="00C75ECC">
        <w:rPr>
          <w:rFonts w:ascii="Century" w:hAnsi="Century" w:hint="eastAsia"/>
          <w:sz w:val="22"/>
          <w:rtl/>
        </w:rPr>
        <w:t>ב</w:t>
      </w:r>
      <w:r w:rsidRPr="00C75ECC">
        <w:rPr>
          <w:rFonts w:ascii="Century" w:hAnsi="Century" w:hint="cs"/>
          <w:sz w:val="22"/>
          <w:rtl/>
        </w:rPr>
        <w:t>עניין</w:t>
      </w:r>
      <w:r>
        <w:rPr>
          <w:rFonts w:ascii="Century" w:hAnsi="Century" w:cs="Miriam" w:hint="cs"/>
          <w:b/>
          <w:spacing w:val="0"/>
          <w:sz w:val="22"/>
          <w:szCs w:val="24"/>
          <w:rtl/>
        </w:rPr>
        <w:t xml:space="preserve"> </w:t>
      </w:r>
      <w:r w:rsidRPr="00011760">
        <w:rPr>
          <w:rFonts w:ascii="Century" w:hAnsi="Century" w:cs="Miriam" w:hint="eastAsia"/>
          <w:b/>
          <w:spacing w:val="0"/>
          <w:sz w:val="22"/>
          <w:szCs w:val="24"/>
          <w:rtl/>
        </w:rPr>
        <w:t>ירדור</w:t>
      </w:r>
      <w:r w:rsidRPr="00011760">
        <w:rPr>
          <w:rtl/>
        </w:rPr>
        <w:t xml:space="preserve">, </w:t>
      </w:r>
      <w:r w:rsidRPr="00370368">
        <w:rPr>
          <w:rFonts w:hint="eastAsia"/>
          <w:rtl/>
        </w:rPr>
        <w:t>וכן</w:t>
      </w:r>
      <w:r w:rsidRPr="00370368">
        <w:rPr>
          <w:rtl/>
        </w:rPr>
        <w:t xml:space="preserve"> </w:t>
      </w:r>
      <w:r w:rsidRPr="00370368">
        <w:rPr>
          <w:rFonts w:hint="eastAsia"/>
          <w:rtl/>
        </w:rPr>
        <w:t>ב</w:t>
      </w:r>
      <w:r w:rsidRPr="00370368">
        <w:rPr>
          <w:rFonts w:ascii="Century" w:hAnsi="Century" w:hint="eastAsia"/>
          <w:sz w:val="22"/>
          <w:rtl/>
        </w:rPr>
        <w:t>בג</w:t>
      </w:r>
      <w:r w:rsidRPr="00370368">
        <w:rPr>
          <w:rFonts w:ascii="Century" w:hAnsi="Century"/>
          <w:sz w:val="22"/>
          <w:rtl/>
        </w:rPr>
        <w:t>"</w:t>
      </w:r>
      <w:r w:rsidRPr="00370368">
        <w:rPr>
          <w:rFonts w:ascii="Century" w:hAnsi="Century" w:hint="eastAsia"/>
          <w:sz w:val="22"/>
          <w:rtl/>
        </w:rPr>
        <w:t>ץ</w:t>
      </w:r>
      <w:r w:rsidRPr="00370368">
        <w:rPr>
          <w:rFonts w:ascii="Century" w:hAnsi="Century"/>
          <w:sz w:val="22"/>
          <w:rtl/>
        </w:rPr>
        <w:t xml:space="preserve"> 142/89 </w:t>
      </w:r>
      <w:r w:rsidRPr="00011760">
        <w:rPr>
          <w:rFonts w:ascii="Century" w:hAnsi="Century" w:cs="Miriam" w:hint="eastAsia"/>
          <w:b/>
          <w:spacing w:val="0"/>
          <w:sz w:val="22"/>
          <w:szCs w:val="24"/>
          <w:rtl/>
        </w:rPr>
        <w:t>תנועת</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לאו</w:t>
      </w:r>
      <w:r w:rsidRPr="00011760">
        <w:rPr>
          <w:rFonts w:ascii="Century" w:hAnsi="Century" w:cs="Miriam"/>
          <w:b/>
          <w:spacing w:val="0"/>
          <w:sz w:val="22"/>
          <w:szCs w:val="24"/>
          <w:rtl/>
        </w:rPr>
        <w:t>"</w:t>
      </w:r>
      <w:r w:rsidRPr="00011760">
        <w:rPr>
          <w:rFonts w:ascii="Century" w:hAnsi="Century" w:cs="Miriam" w:hint="eastAsia"/>
          <w:b/>
          <w:spacing w:val="0"/>
          <w:sz w:val="22"/>
          <w:szCs w:val="24"/>
          <w:rtl/>
        </w:rPr>
        <w:t>ר</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נ</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יו</w:t>
      </w:r>
      <w:r w:rsidRPr="00011760">
        <w:rPr>
          <w:rFonts w:ascii="Century" w:hAnsi="Century" w:cs="Miriam"/>
          <w:b/>
          <w:spacing w:val="0"/>
          <w:sz w:val="22"/>
          <w:szCs w:val="24"/>
          <w:rtl/>
        </w:rPr>
        <w:t>"</w:t>
      </w:r>
      <w:r w:rsidRPr="00011760">
        <w:rPr>
          <w:rFonts w:ascii="Century" w:hAnsi="Century" w:cs="Miriam" w:hint="eastAsia"/>
          <w:b/>
          <w:spacing w:val="0"/>
          <w:sz w:val="22"/>
          <w:szCs w:val="24"/>
          <w:rtl/>
        </w:rPr>
        <w:t>ר</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הכנסת</w:t>
      </w:r>
      <w:r w:rsidRPr="00370368">
        <w:rPr>
          <w:rFonts w:ascii="Century" w:hAnsi="Century"/>
          <w:sz w:val="22"/>
          <w:rtl/>
        </w:rPr>
        <w:t xml:space="preserve">, </w:t>
      </w:r>
      <w:r w:rsidRPr="00370368">
        <w:rPr>
          <w:rFonts w:ascii="Century" w:hAnsi="Century" w:hint="eastAsia"/>
          <w:sz w:val="22"/>
          <w:rtl/>
        </w:rPr>
        <w:t>פ</w:t>
      </w:r>
      <w:r w:rsidRPr="00370368">
        <w:rPr>
          <w:rFonts w:ascii="Century" w:hAnsi="Century"/>
          <w:sz w:val="22"/>
          <w:rtl/>
        </w:rPr>
        <w:t>"</w:t>
      </w:r>
      <w:r w:rsidRPr="00370368">
        <w:rPr>
          <w:rFonts w:ascii="Century" w:hAnsi="Century" w:hint="eastAsia"/>
          <w:sz w:val="22"/>
          <w:rtl/>
        </w:rPr>
        <w:t>ד</w:t>
      </w:r>
      <w:r w:rsidRPr="00370368">
        <w:rPr>
          <w:rFonts w:ascii="Century" w:hAnsi="Century"/>
          <w:sz w:val="22"/>
          <w:rtl/>
        </w:rPr>
        <w:t xml:space="preserve"> </w:t>
      </w:r>
      <w:r w:rsidRPr="00370368">
        <w:rPr>
          <w:rFonts w:ascii="Century" w:hAnsi="Century" w:hint="eastAsia"/>
          <w:sz w:val="22"/>
          <w:rtl/>
        </w:rPr>
        <w:t>מד</w:t>
      </w:r>
      <w:r w:rsidRPr="00370368">
        <w:rPr>
          <w:rFonts w:ascii="Century" w:hAnsi="Century"/>
          <w:sz w:val="22"/>
          <w:rtl/>
        </w:rPr>
        <w:t xml:space="preserve">(3) </w:t>
      </w:r>
      <w:r w:rsidRPr="00370368">
        <w:rPr>
          <w:rtl/>
        </w:rPr>
        <w:t xml:space="preserve">529, 554 (1990), </w:t>
      </w:r>
      <w:r w:rsidRPr="00370368">
        <w:rPr>
          <w:rFonts w:hint="eastAsia"/>
          <w:rtl/>
        </w:rPr>
        <w:t>ומאז</w:t>
      </w:r>
      <w:r w:rsidRPr="00370368">
        <w:rPr>
          <w:rtl/>
        </w:rPr>
        <w:t xml:space="preserve"> </w:t>
      </w:r>
      <w:r w:rsidRPr="00370368">
        <w:rPr>
          <w:rFonts w:hint="eastAsia"/>
          <w:rtl/>
        </w:rPr>
        <w:t>שבה</w:t>
      </w:r>
      <w:r w:rsidRPr="00370368">
        <w:rPr>
          <w:rtl/>
        </w:rPr>
        <w:t xml:space="preserve"> </w:t>
      </w:r>
      <w:r w:rsidRPr="00370368">
        <w:rPr>
          <w:rFonts w:hint="eastAsia"/>
          <w:rtl/>
        </w:rPr>
        <w:t>סוגיה</w:t>
      </w:r>
      <w:r w:rsidRPr="00370368">
        <w:rPr>
          <w:rtl/>
        </w:rPr>
        <w:t xml:space="preserve"> </w:t>
      </w:r>
      <w:r w:rsidRPr="00370368">
        <w:rPr>
          <w:rFonts w:hint="eastAsia"/>
          <w:rtl/>
        </w:rPr>
        <w:t>זו</w:t>
      </w:r>
      <w:r w:rsidRPr="00370368">
        <w:rPr>
          <w:rtl/>
        </w:rPr>
        <w:t xml:space="preserve"> </w:t>
      </w:r>
      <w:r w:rsidRPr="00370368">
        <w:rPr>
          <w:rFonts w:hint="eastAsia"/>
          <w:rtl/>
        </w:rPr>
        <w:t>במספר</w:t>
      </w:r>
      <w:r w:rsidRPr="00370368">
        <w:rPr>
          <w:rtl/>
        </w:rPr>
        <w:t xml:space="preserve"> </w:t>
      </w:r>
      <w:r w:rsidRPr="00370368">
        <w:rPr>
          <w:rFonts w:hint="eastAsia"/>
          <w:rtl/>
        </w:rPr>
        <w:t>הזדמנויות</w:t>
      </w:r>
      <w:r w:rsidRPr="00370368">
        <w:rPr>
          <w:rtl/>
        </w:rPr>
        <w:t xml:space="preserve"> (</w:t>
      </w:r>
      <w:r w:rsidRPr="00370368">
        <w:rPr>
          <w:rFonts w:hint="eastAsia"/>
          <w:rtl/>
        </w:rPr>
        <w:t>ראו</w:t>
      </w:r>
      <w:r w:rsidRPr="00370368">
        <w:rPr>
          <w:rtl/>
        </w:rPr>
        <w:t xml:space="preserve"> </w:t>
      </w:r>
      <w:r w:rsidRPr="00370368">
        <w:rPr>
          <w:rFonts w:hint="eastAsia"/>
          <w:rtl/>
        </w:rPr>
        <w:t>גם</w:t>
      </w:r>
      <w:r w:rsidRPr="00370368">
        <w:rPr>
          <w:rtl/>
        </w:rPr>
        <w:t xml:space="preserve">: </w:t>
      </w:r>
      <w:r w:rsidRPr="00370368">
        <w:rPr>
          <w:rFonts w:hint="eastAsia"/>
          <w:rtl/>
        </w:rPr>
        <w:t>אהרן</w:t>
      </w:r>
      <w:r w:rsidRPr="00370368">
        <w:rPr>
          <w:rtl/>
        </w:rPr>
        <w:t xml:space="preserve"> </w:t>
      </w:r>
      <w:r w:rsidRPr="00370368">
        <w:rPr>
          <w:rFonts w:hint="eastAsia"/>
          <w:rtl/>
        </w:rPr>
        <w:t>ברק</w:t>
      </w:r>
      <w:r w:rsidRPr="00370368">
        <w:rPr>
          <w:rtl/>
        </w:rPr>
        <w:t xml:space="preserve"> "</w:t>
      </w:r>
      <w:r w:rsidRPr="00370368">
        <w:rPr>
          <w:rFonts w:hint="eastAsia"/>
          <w:rtl/>
        </w:rPr>
        <w:t>תיקון</w:t>
      </w:r>
      <w:r w:rsidRPr="00370368">
        <w:rPr>
          <w:rtl/>
        </w:rPr>
        <w:t xml:space="preserve"> </w:t>
      </w:r>
      <w:r w:rsidRPr="00370368">
        <w:rPr>
          <w:rFonts w:hint="eastAsia"/>
          <w:rtl/>
        </w:rPr>
        <w:t>של</w:t>
      </w:r>
      <w:r w:rsidRPr="00370368">
        <w:rPr>
          <w:rtl/>
        </w:rPr>
        <w:t xml:space="preserve"> </w:t>
      </w:r>
      <w:r w:rsidRPr="00370368">
        <w:rPr>
          <w:rFonts w:hint="eastAsia"/>
          <w:rtl/>
        </w:rPr>
        <w:t>חוקה</w:t>
      </w:r>
      <w:r w:rsidRPr="00370368">
        <w:rPr>
          <w:rtl/>
        </w:rPr>
        <w:t xml:space="preserve"> </w:t>
      </w:r>
      <w:r w:rsidRPr="00370368">
        <w:rPr>
          <w:rFonts w:hint="eastAsia"/>
          <w:rtl/>
        </w:rPr>
        <w:t>שאינו</w:t>
      </w:r>
      <w:r w:rsidRPr="00370368">
        <w:rPr>
          <w:rtl/>
        </w:rPr>
        <w:t xml:space="preserve"> </w:t>
      </w:r>
      <w:r w:rsidRPr="00370368">
        <w:rPr>
          <w:rFonts w:hint="eastAsia"/>
          <w:rtl/>
        </w:rPr>
        <w:t>חוקתי</w:t>
      </w:r>
      <w:r w:rsidRPr="00370368">
        <w:rPr>
          <w:rtl/>
        </w:rPr>
        <w:t xml:space="preserve">" </w:t>
      </w:r>
      <w:r w:rsidRPr="00011760">
        <w:rPr>
          <w:rFonts w:ascii="Century" w:hAnsi="Century" w:cs="Miriam" w:hint="eastAsia"/>
          <w:b/>
          <w:spacing w:val="0"/>
          <w:sz w:val="22"/>
          <w:szCs w:val="24"/>
          <w:rtl/>
        </w:rPr>
        <w:t>ספר</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בך</w:t>
      </w:r>
      <w:r w:rsidRPr="00370368">
        <w:rPr>
          <w:rtl/>
        </w:rPr>
        <w:t xml:space="preserve"> 361 (</w:t>
      </w:r>
      <w:r w:rsidRPr="00370368">
        <w:rPr>
          <w:rFonts w:hint="eastAsia"/>
          <w:rtl/>
        </w:rPr>
        <w:t>דוד</w:t>
      </w:r>
      <w:r w:rsidRPr="00370368">
        <w:rPr>
          <w:rtl/>
        </w:rPr>
        <w:t xml:space="preserve"> </w:t>
      </w:r>
      <w:r w:rsidRPr="00370368">
        <w:rPr>
          <w:rFonts w:hint="eastAsia"/>
          <w:rtl/>
        </w:rPr>
        <w:t>האן</w:t>
      </w:r>
      <w:r w:rsidRPr="00370368">
        <w:rPr>
          <w:rtl/>
        </w:rPr>
        <w:t xml:space="preserve"> </w:t>
      </w:r>
      <w:r w:rsidRPr="00370368">
        <w:rPr>
          <w:rFonts w:hint="eastAsia"/>
          <w:rtl/>
        </w:rPr>
        <w:t>ואח</w:t>
      </w:r>
      <w:r>
        <w:rPr>
          <w:rFonts w:hint="cs"/>
          <w:rtl/>
        </w:rPr>
        <w:t>'</w:t>
      </w:r>
      <w:r w:rsidRPr="00D9722E">
        <w:rPr>
          <w:rFonts w:hint="cs"/>
          <w:rtl/>
        </w:rPr>
        <w:t xml:space="preserve"> עורכים, 2011)</w:t>
      </w:r>
      <w:r>
        <w:rPr>
          <w:rFonts w:hint="cs"/>
          <w:rtl/>
        </w:rPr>
        <w:t>).</w:t>
      </w:r>
    </w:p>
    <w:p w:rsidR="00D61E12" w:rsidRDefault="00D61E12" w:rsidP="00D61E12">
      <w:pPr>
        <w:pStyle w:val="Ruller4"/>
        <w:spacing w:before="240" w:after="240"/>
      </w:pPr>
      <w:r>
        <w:rPr>
          <w:rFonts w:hint="cs"/>
          <w:rtl/>
        </w:rPr>
        <w:lastRenderedPageBreak/>
        <w:t>כך, לדוגמה, ב</w:t>
      </w:r>
      <w:r w:rsidRPr="001D310D">
        <w:rPr>
          <w:rtl/>
        </w:rPr>
        <w:t xml:space="preserve">בג"ץ 5744/16 </w:t>
      </w:r>
      <w:r w:rsidRPr="001D310D">
        <w:rPr>
          <w:rFonts w:ascii="Century" w:hAnsi="Century" w:cs="Miriam"/>
          <w:b/>
          <w:spacing w:val="0"/>
          <w:sz w:val="22"/>
          <w:szCs w:val="24"/>
          <w:rtl/>
        </w:rPr>
        <w:t xml:space="preserve">בן מאיר נ' הכנסת </w:t>
      </w:r>
      <w:r w:rsidRPr="001D310D">
        <w:rPr>
          <w:rtl/>
        </w:rPr>
        <w:t>(27.</w:t>
      </w:r>
      <w:r>
        <w:rPr>
          <w:rFonts w:hint="cs"/>
          <w:rtl/>
        </w:rPr>
        <w:t>0</w:t>
      </w:r>
      <w:r w:rsidRPr="001D310D">
        <w:rPr>
          <w:rtl/>
        </w:rPr>
        <w:t>5.2018)</w:t>
      </w:r>
      <w:r>
        <w:rPr>
          <w:rFonts w:hint="cs"/>
          <w:rtl/>
        </w:rPr>
        <w:t xml:space="preserve"> שעסק בתיקון מס' 44 לחוק-יסוד: הכנסת, המוכר גם כ'חוק ההדחה', צוין כי קיים קושי ממשי בפיתוח דוקטרינה מעין זו במשפט הישראלי, בה אין חוקה שלמה ואין פסקת נצחיות ב'פרקי החוקה' הכתובים של המדינה. באותו עניין ציינה הנשיאה </w:t>
      </w:r>
      <w:r w:rsidRPr="001D310D">
        <w:rPr>
          <w:rFonts w:ascii="Century" w:hAnsi="Century" w:cs="Miriam" w:hint="cs"/>
          <w:b/>
          <w:spacing w:val="0"/>
          <w:sz w:val="22"/>
          <w:szCs w:val="24"/>
          <w:rtl/>
        </w:rPr>
        <w:t>חיות</w:t>
      </w:r>
      <w:r>
        <w:rPr>
          <w:rFonts w:hint="cs"/>
          <w:rtl/>
        </w:rPr>
        <w:t xml:space="preserve"> כי </w:t>
      </w:r>
      <w:r w:rsidRPr="001D310D">
        <w:rPr>
          <w:rtl/>
        </w:rPr>
        <w:t>"</w:t>
      </w:r>
      <w:r w:rsidRPr="001D310D">
        <w:rPr>
          <w:rFonts w:ascii="Century" w:hAnsi="Century" w:cs="Miriam"/>
          <w:b/>
          <w:spacing w:val="0"/>
          <w:sz w:val="22"/>
          <w:szCs w:val="24"/>
          <w:rtl/>
        </w:rPr>
        <w:t xml:space="preserve">לעת </w:t>
      </w:r>
      <w:r w:rsidRPr="00F33DDD">
        <w:rPr>
          <w:rFonts w:ascii="Century" w:hAnsi="Century" w:cs="Miriam" w:hint="eastAsia"/>
          <w:b/>
          <w:spacing w:val="0"/>
          <w:sz w:val="22"/>
          <w:szCs w:val="24"/>
          <w:rtl/>
        </w:rPr>
        <w:t>הזו</w:t>
      </w:r>
      <w:r w:rsidRPr="00F33DDD">
        <w:rPr>
          <w:rFonts w:ascii="Century" w:hAnsi="Century" w:cs="Miriam"/>
          <w:b/>
          <w:spacing w:val="0"/>
          <w:sz w:val="22"/>
          <w:szCs w:val="24"/>
          <w:rtl/>
        </w:rPr>
        <w:t xml:space="preserve">, </w:t>
      </w:r>
      <w:r w:rsidRPr="00F33DDD">
        <w:rPr>
          <w:rFonts w:ascii="Century" w:hAnsi="Century" w:cs="Miriam" w:hint="eastAsia"/>
          <w:b/>
          <w:spacing w:val="0"/>
          <w:sz w:val="22"/>
          <w:szCs w:val="24"/>
          <w:rtl/>
        </w:rPr>
        <w:t>ובהינתן</w:t>
      </w:r>
      <w:r w:rsidRPr="00F33DDD">
        <w:rPr>
          <w:rFonts w:ascii="Century" w:hAnsi="Century" w:cs="Miriam"/>
          <w:b/>
          <w:spacing w:val="0"/>
          <w:sz w:val="22"/>
          <w:szCs w:val="24"/>
          <w:rtl/>
        </w:rPr>
        <w:t xml:space="preserve"> </w:t>
      </w:r>
      <w:r w:rsidRPr="00F33DDD">
        <w:rPr>
          <w:rFonts w:ascii="Century" w:hAnsi="Century" w:cs="Miriam" w:hint="eastAsia"/>
          <w:b/>
          <w:spacing w:val="0"/>
          <w:sz w:val="22"/>
          <w:szCs w:val="24"/>
          <w:rtl/>
        </w:rPr>
        <w:t>השלב</w:t>
      </w:r>
      <w:r w:rsidRPr="00F33DDD">
        <w:rPr>
          <w:rFonts w:ascii="Century" w:hAnsi="Century" w:cs="Miriam"/>
          <w:b/>
          <w:spacing w:val="0"/>
          <w:sz w:val="22"/>
          <w:szCs w:val="24"/>
          <w:rtl/>
        </w:rPr>
        <w:t xml:space="preserve"> </w:t>
      </w:r>
      <w:r w:rsidRPr="00F33DDD">
        <w:rPr>
          <w:rFonts w:ascii="Century" w:hAnsi="Century" w:cs="Miriam" w:hint="eastAsia"/>
          <w:b/>
          <w:spacing w:val="0"/>
          <w:sz w:val="22"/>
          <w:szCs w:val="24"/>
          <w:rtl/>
        </w:rPr>
        <w:t>שבו</w:t>
      </w:r>
      <w:r w:rsidRPr="00F33DDD">
        <w:rPr>
          <w:rFonts w:ascii="Century" w:hAnsi="Century" w:cs="Miriam"/>
          <w:b/>
          <w:spacing w:val="0"/>
          <w:sz w:val="22"/>
          <w:szCs w:val="24"/>
          <w:rtl/>
        </w:rPr>
        <w:t xml:space="preserve"> </w:t>
      </w:r>
      <w:r w:rsidRPr="00F33DDD">
        <w:rPr>
          <w:rFonts w:ascii="Century" w:hAnsi="Century" w:cs="Miriam" w:hint="eastAsia"/>
          <w:b/>
          <w:spacing w:val="0"/>
          <w:sz w:val="22"/>
          <w:szCs w:val="24"/>
          <w:rtl/>
        </w:rPr>
        <w:t>מצוי</w:t>
      </w:r>
      <w:r w:rsidRPr="00F33DDD">
        <w:rPr>
          <w:rFonts w:ascii="Century" w:hAnsi="Century" w:cs="Miriam"/>
          <w:b/>
          <w:spacing w:val="0"/>
          <w:sz w:val="22"/>
          <w:szCs w:val="24"/>
          <w:rtl/>
        </w:rPr>
        <w:t xml:space="preserve"> </w:t>
      </w:r>
      <w:r w:rsidRPr="00F33DDD">
        <w:rPr>
          <w:rFonts w:ascii="Century" w:hAnsi="Century" w:cs="Miriam" w:hint="eastAsia"/>
          <w:b/>
          <w:spacing w:val="0"/>
          <w:sz w:val="22"/>
          <w:szCs w:val="24"/>
          <w:rtl/>
        </w:rPr>
        <w:t>מפעל</w:t>
      </w:r>
      <w:r w:rsidRPr="00F33DDD">
        <w:rPr>
          <w:rFonts w:ascii="Century" w:hAnsi="Century" w:cs="Miriam"/>
          <w:b/>
          <w:spacing w:val="0"/>
          <w:sz w:val="22"/>
          <w:szCs w:val="24"/>
          <w:rtl/>
        </w:rPr>
        <w:t xml:space="preserve"> </w:t>
      </w:r>
      <w:r w:rsidRPr="00F33DDD">
        <w:rPr>
          <w:rFonts w:ascii="Century" w:hAnsi="Century" w:cs="Miriam" w:hint="eastAsia"/>
          <w:b/>
          <w:spacing w:val="0"/>
          <w:sz w:val="22"/>
          <w:szCs w:val="24"/>
          <w:rtl/>
        </w:rPr>
        <w:t>החוקה</w:t>
      </w:r>
      <w:r w:rsidRPr="00F33DDD">
        <w:rPr>
          <w:rFonts w:ascii="Century" w:hAnsi="Century" w:cs="Miriam"/>
          <w:b/>
          <w:spacing w:val="0"/>
          <w:sz w:val="22"/>
          <w:szCs w:val="24"/>
          <w:rtl/>
        </w:rPr>
        <w:t xml:space="preserve"> </w:t>
      </w:r>
      <w:r w:rsidRPr="00F33DDD">
        <w:rPr>
          <w:rFonts w:ascii="Century" w:hAnsi="Century" w:cs="Miriam" w:hint="eastAsia"/>
          <w:b/>
          <w:spacing w:val="0"/>
          <w:sz w:val="22"/>
          <w:szCs w:val="24"/>
          <w:rtl/>
        </w:rPr>
        <w:t>הישראלי</w:t>
      </w:r>
      <w:r w:rsidRPr="00F33DDD">
        <w:rPr>
          <w:rFonts w:ascii="Century" w:hAnsi="Century" w:cs="Miriam"/>
          <w:b/>
          <w:spacing w:val="0"/>
          <w:sz w:val="22"/>
          <w:szCs w:val="24"/>
          <w:rtl/>
        </w:rPr>
        <w:t xml:space="preserve"> </w:t>
      </w:r>
      <w:r w:rsidRPr="00F33DDD">
        <w:rPr>
          <w:rFonts w:ascii="Century" w:hAnsi="Century" w:cs="Miriam" w:hint="eastAsia"/>
          <w:b/>
          <w:spacing w:val="0"/>
          <w:sz w:val="22"/>
          <w:szCs w:val="24"/>
          <w:rtl/>
        </w:rPr>
        <w:t>כמשימה</w:t>
      </w:r>
      <w:r w:rsidRPr="00F33DDD">
        <w:rPr>
          <w:rFonts w:ascii="Century" w:hAnsi="Century" w:cs="Miriam"/>
          <w:b/>
          <w:spacing w:val="0"/>
          <w:sz w:val="22"/>
          <w:szCs w:val="24"/>
          <w:rtl/>
        </w:rPr>
        <w:t xml:space="preserve"> </w:t>
      </w:r>
      <w:r w:rsidRPr="00F33DDD">
        <w:rPr>
          <w:rFonts w:ascii="Century" w:hAnsi="Century" w:cs="Miriam" w:hint="eastAsia"/>
          <w:b/>
          <w:spacing w:val="0"/>
          <w:sz w:val="22"/>
          <w:szCs w:val="24"/>
          <w:rtl/>
        </w:rPr>
        <w:t>שטרם</w:t>
      </w:r>
      <w:r w:rsidRPr="00F33DDD">
        <w:rPr>
          <w:rFonts w:ascii="Century" w:hAnsi="Century" w:cs="Miriam"/>
          <w:b/>
          <w:spacing w:val="0"/>
          <w:sz w:val="22"/>
          <w:szCs w:val="24"/>
          <w:rtl/>
        </w:rPr>
        <w:t xml:space="preserve"> </w:t>
      </w:r>
      <w:r w:rsidRPr="00F33DDD">
        <w:rPr>
          <w:rFonts w:ascii="Century" w:hAnsi="Century" w:cs="Miriam" w:hint="eastAsia"/>
          <w:b/>
          <w:spacing w:val="0"/>
          <w:sz w:val="22"/>
          <w:szCs w:val="24"/>
          <w:rtl/>
        </w:rPr>
        <w:t>הושלמה</w:t>
      </w:r>
      <w:r w:rsidRPr="00F33DDD">
        <w:rPr>
          <w:rFonts w:ascii="Century" w:hAnsi="Century" w:cs="Miriam"/>
          <w:b/>
          <w:spacing w:val="0"/>
          <w:sz w:val="22"/>
          <w:szCs w:val="24"/>
          <w:rtl/>
        </w:rPr>
        <w:t xml:space="preserve">, </w:t>
      </w:r>
      <w:r w:rsidRPr="00F33DDD">
        <w:rPr>
          <w:rFonts w:ascii="Century" w:hAnsi="Century" w:cs="Miriam" w:hint="eastAsia"/>
          <w:b/>
          <w:spacing w:val="0"/>
          <w:sz w:val="22"/>
          <w:szCs w:val="24"/>
          <w:rtl/>
        </w:rPr>
        <w:t>ובפרט</w:t>
      </w:r>
      <w:r w:rsidRPr="00F33DDD">
        <w:rPr>
          <w:rFonts w:ascii="Century" w:hAnsi="Century" w:cs="Miriam"/>
          <w:b/>
          <w:spacing w:val="0"/>
          <w:sz w:val="22"/>
          <w:szCs w:val="24"/>
          <w:rtl/>
        </w:rPr>
        <w:t xml:space="preserve"> </w:t>
      </w:r>
      <w:r w:rsidRPr="00F33DDD">
        <w:rPr>
          <w:rFonts w:ascii="Century" w:hAnsi="Century" w:cs="Miriam" w:hint="eastAsia"/>
          <w:b/>
          <w:spacing w:val="0"/>
          <w:sz w:val="22"/>
          <w:szCs w:val="24"/>
          <w:rtl/>
        </w:rPr>
        <w:t>משלא</w:t>
      </w:r>
      <w:r w:rsidRPr="00F33DDD">
        <w:rPr>
          <w:rFonts w:ascii="Century" w:hAnsi="Century" w:cs="Miriam"/>
          <w:b/>
          <w:spacing w:val="0"/>
          <w:sz w:val="22"/>
          <w:szCs w:val="24"/>
          <w:rtl/>
        </w:rPr>
        <w:t xml:space="preserve"> </w:t>
      </w:r>
      <w:r w:rsidRPr="00F33DDD">
        <w:rPr>
          <w:rFonts w:ascii="Century" w:hAnsi="Century" w:cs="Miriam" w:hint="eastAsia"/>
          <w:b/>
          <w:spacing w:val="0"/>
          <w:sz w:val="22"/>
          <w:szCs w:val="24"/>
          <w:rtl/>
        </w:rPr>
        <w:t>נקבעו</w:t>
      </w:r>
      <w:r w:rsidRPr="00F33DDD">
        <w:rPr>
          <w:rFonts w:ascii="Century" w:hAnsi="Century" w:cs="Miriam"/>
          <w:b/>
          <w:spacing w:val="0"/>
          <w:sz w:val="22"/>
          <w:szCs w:val="24"/>
          <w:rtl/>
        </w:rPr>
        <w:t xml:space="preserve"> </w:t>
      </w:r>
      <w:r w:rsidRPr="001D310D">
        <w:rPr>
          <w:rFonts w:ascii="Century" w:hAnsi="Century" w:cs="Miriam"/>
          <w:b/>
          <w:spacing w:val="0"/>
          <w:sz w:val="22"/>
          <w:szCs w:val="24"/>
          <w:rtl/>
        </w:rPr>
        <w:t>עד כה ההליכים לכינון ולתיקון של חוקי-יסוד, יש בעייתיות לא מבוטלת באימוץ דוקטרינה מקיפה הנוגעת לתיקון חוקתי שאינו חוקתי דוגמת הדוקטרינות הנוהגות במשפט המשווה</w:t>
      </w:r>
      <w:r w:rsidRPr="001D310D">
        <w:rPr>
          <w:rtl/>
        </w:rPr>
        <w:t xml:space="preserve">" (שם, </w:t>
      </w:r>
      <w:r>
        <w:rPr>
          <w:rFonts w:hint="cs"/>
          <w:rtl/>
        </w:rPr>
        <w:t>ב</w:t>
      </w:r>
      <w:r w:rsidRPr="001D310D">
        <w:rPr>
          <w:rtl/>
        </w:rPr>
        <w:t>פסקה 25</w:t>
      </w:r>
      <w:r>
        <w:rPr>
          <w:rFonts w:hint="cs"/>
          <w:rtl/>
        </w:rPr>
        <w:t xml:space="preserve"> לחוות דעתה</w:t>
      </w:r>
      <w:r w:rsidRPr="001D310D">
        <w:rPr>
          <w:rtl/>
        </w:rPr>
        <w:t>)</w:t>
      </w:r>
      <w:r>
        <w:rPr>
          <w:rFonts w:hint="cs"/>
          <w:rtl/>
        </w:rPr>
        <w:t>.</w:t>
      </w:r>
    </w:p>
    <w:p w:rsidR="00D61E12" w:rsidRDefault="00D61E12" w:rsidP="00D61E12">
      <w:pPr>
        <w:pStyle w:val="Ruller4"/>
        <w:spacing w:before="240" w:after="240"/>
        <w:rPr>
          <w:rtl/>
        </w:rPr>
      </w:pPr>
      <w:r>
        <w:rPr>
          <w:rFonts w:hint="cs"/>
          <w:rtl/>
        </w:rPr>
        <w:t>שאלה זו נדונה פעם נוספת בעניין</w:t>
      </w:r>
      <w:r w:rsidRPr="001D310D">
        <w:rPr>
          <w:rtl/>
        </w:rPr>
        <w:t xml:space="preserve"> </w:t>
      </w:r>
      <w:r w:rsidRPr="001D310D">
        <w:rPr>
          <w:rFonts w:ascii="Century" w:hAnsi="Century" w:cs="Miriam"/>
          <w:b/>
          <w:spacing w:val="0"/>
          <w:sz w:val="22"/>
          <w:szCs w:val="24"/>
          <w:rtl/>
        </w:rPr>
        <w:t>חסון</w:t>
      </w:r>
      <w:r>
        <w:rPr>
          <w:rFonts w:hint="cs"/>
          <w:rtl/>
        </w:rPr>
        <w:t xml:space="preserve">, שעסק בתוקפו ובחוקתיות חוק-יסוד: </w:t>
      </w:r>
      <w:r w:rsidRPr="001D310D">
        <w:rPr>
          <w:rtl/>
        </w:rPr>
        <w:t>ישראל – מדינת הלאום של העם היהודי</w:t>
      </w:r>
      <w:r>
        <w:rPr>
          <w:rFonts w:hint="cs"/>
          <w:rtl/>
        </w:rPr>
        <w:t xml:space="preserve">. אך גם שם לא הייתה תמימות דעים בין השופטים בסוגיה זו. חשוב להדגיש כי 10 מבין 11 שופטי בית משפט זה סברו כי חוק הלאום לא מגיע, ולו בקירוב, לאותם מקרים בהם ייקבע כי מדובר בתיקון חוקתי לא חוקתי. לצד זאת, </w:t>
      </w:r>
      <w:r w:rsidRPr="001D310D">
        <w:rPr>
          <w:rtl/>
        </w:rPr>
        <w:t xml:space="preserve">מרבית שופטי ההרכב עמדו על כך שכל עוד אין בישראל חוקה מלאה, חלה על הכנסת כרשות מכוננת </w:t>
      </w:r>
      <w:r w:rsidRPr="009B0493">
        <w:rPr>
          <w:rtl/>
        </w:rPr>
        <w:t>מגבלה אחת</w:t>
      </w:r>
      <w:r w:rsidRPr="009B0493">
        <w:rPr>
          <w:rFonts w:hint="cs"/>
          <w:rtl/>
        </w:rPr>
        <w:t>,</w:t>
      </w:r>
      <w:r w:rsidRPr="009B0493">
        <w:rPr>
          <w:rtl/>
        </w:rPr>
        <w:t xml:space="preserve"> צרה ביותר</w:t>
      </w:r>
      <w:r w:rsidRPr="009B0493">
        <w:rPr>
          <w:rFonts w:hint="cs"/>
          <w:rtl/>
        </w:rPr>
        <w:t>,</w:t>
      </w:r>
      <w:r w:rsidRPr="009B0493">
        <w:rPr>
          <w:rtl/>
        </w:rPr>
        <w:t xml:space="preserve"> והיא שאין ביכולתה לשלול ב</w:t>
      </w:r>
      <w:r>
        <w:rPr>
          <w:rtl/>
        </w:rPr>
        <w:t>חוק-יסוד</w:t>
      </w:r>
      <w:r w:rsidRPr="009B0493">
        <w:rPr>
          <w:rtl/>
        </w:rPr>
        <w:t xml:space="preserve"> את עצם היותה של ישראל מדינה יהודית ודמוקרטית, </w:t>
      </w:r>
      <w:r w:rsidRPr="009B0493">
        <w:rPr>
          <w:rFonts w:hint="eastAsia"/>
          <w:rtl/>
        </w:rPr>
        <w:t>מכיוון</w:t>
      </w:r>
      <w:r w:rsidRPr="009B0493">
        <w:rPr>
          <w:rtl/>
        </w:rPr>
        <w:t xml:space="preserve"> </w:t>
      </w:r>
      <w:r w:rsidRPr="009B0493">
        <w:rPr>
          <w:rFonts w:hint="eastAsia"/>
          <w:rtl/>
        </w:rPr>
        <w:t>שמדובר</w:t>
      </w:r>
      <w:r w:rsidRPr="009B0493">
        <w:rPr>
          <w:rtl/>
        </w:rPr>
        <w:t xml:space="preserve"> </w:t>
      </w:r>
      <w:r w:rsidRPr="009B0493">
        <w:rPr>
          <w:rFonts w:hint="eastAsia"/>
          <w:rtl/>
        </w:rPr>
        <w:t>ב</w:t>
      </w:r>
      <w:r w:rsidRPr="009B0493">
        <w:rPr>
          <w:rtl/>
        </w:rPr>
        <w:t>'</w:t>
      </w:r>
      <w:r w:rsidRPr="009B0493">
        <w:rPr>
          <w:rFonts w:hint="eastAsia"/>
          <w:rtl/>
        </w:rPr>
        <w:t>חריגה</w:t>
      </w:r>
      <w:r w:rsidRPr="009B0493">
        <w:rPr>
          <w:rtl/>
        </w:rPr>
        <w:t xml:space="preserve"> </w:t>
      </w:r>
      <w:r w:rsidRPr="009B0493">
        <w:rPr>
          <w:rFonts w:hint="eastAsia"/>
          <w:rtl/>
        </w:rPr>
        <w:t>מהסמכות</w:t>
      </w:r>
      <w:r w:rsidRPr="009B0493">
        <w:rPr>
          <w:rtl/>
        </w:rPr>
        <w:t xml:space="preserve"> </w:t>
      </w:r>
      <w:r w:rsidRPr="009B0493">
        <w:rPr>
          <w:rFonts w:hint="eastAsia"/>
          <w:rtl/>
        </w:rPr>
        <w:t>המכוננת</w:t>
      </w:r>
      <w:r w:rsidRPr="009B0493">
        <w:rPr>
          <w:rtl/>
        </w:rPr>
        <w:t>'</w:t>
      </w:r>
      <w:r w:rsidRPr="009B0493">
        <w:rPr>
          <w:rFonts w:hint="cs"/>
          <w:rtl/>
        </w:rPr>
        <w:t>.</w:t>
      </w:r>
    </w:p>
    <w:p w:rsidR="00D61E12" w:rsidRDefault="00D61E12" w:rsidP="00D61E12">
      <w:pPr>
        <w:pStyle w:val="Ruller4"/>
        <w:spacing w:before="240" w:after="240"/>
        <w:rPr>
          <w:rtl/>
        </w:rPr>
      </w:pPr>
      <w:r>
        <w:rPr>
          <w:rFonts w:ascii="Century" w:hAnsi="Century" w:hint="cs"/>
          <w:sz w:val="22"/>
          <w:rtl/>
        </w:rPr>
        <w:t>הנה כי כן,</w:t>
      </w:r>
      <w:r w:rsidRPr="00011760">
        <w:rPr>
          <w:rFonts w:ascii="Century" w:hAnsi="Century"/>
          <w:sz w:val="22"/>
          <w:rtl/>
        </w:rPr>
        <w:t xml:space="preserve"> </w:t>
      </w:r>
      <w:r w:rsidRPr="00011760">
        <w:rPr>
          <w:rFonts w:ascii="Century" w:hAnsi="Century" w:hint="eastAsia"/>
          <w:sz w:val="22"/>
          <w:rtl/>
        </w:rPr>
        <w:t>בנ</w:t>
      </w:r>
      <w:r>
        <w:rPr>
          <w:rFonts w:hint="cs"/>
          <w:rtl/>
        </w:rPr>
        <w:t xml:space="preserve">יסיון לתור אחר גבולות סמכותה של הכנסת כרשות מכוננת, התגבשה ההלכה הפסוקה לגבי טיב הביקורת השיפוטית על חוקי-יסוד. כמפורט לעיל, בפסיקה ניתנו שני סוגים של תשובות לשאלת </w:t>
      </w:r>
      <w:r w:rsidRPr="00EC381A">
        <w:rPr>
          <w:rFonts w:ascii="Century" w:hAnsi="Century" w:cs="Miriam" w:hint="eastAsia"/>
          <w:b/>
          <w:spacing w:val="0"/>
          <w:sz w:val="22"/>
          <w:szCs w:val="24"/>
          <w:rtl/>
        </w:rPr>
        <w:t>מהות</w:t>
      </w:r>
      <w:r w:rsidRPr="00E2335C">
        <w:rPr>
          <w:rFonts w:hint="cs"/>
          <w:rtl/>
        </w:rPr>
        <w:t xml:space="preserve"> </w:t>
      </w:r>
      <w:r>
        <w:rPr>
          <w:rFonts w:hint="cs"/>
          <w:rtl/>
        </w:rPr>
        <w:t xml:space="preserve">הביקורת שבית המשפט מוסמך להעביר על חוקי-יסוד, בגדרי ה'שימוש לרעה בסמכות המכוננת' או ה'התיקון החוקתי שאינו חוקתי'; כאשר כל אחת מהן נושאת </w:t>
      </w:r>
      <w:r w:rsidRPr="00EC381A">
        <w:rPr>
          <w:rFonts w:ascii="Century" w:hAnsi="Century" w:cs="Miriam" w:hint="eastAsia"/>
          <w:b/>
          <w:spacing w:val="0"/>
          <w:sz w:val="22"/>
          <w:szCs w:val="24"/>
          <w:rtl/>
        </w:rPr>
        <w:t>נסיבות</w:t>
      </w:r>
      <w:r w:rsidRPr="00CE5FD6">
        <w:rPr>
          <w:rFonts w:hint="cs"/>
          <w:rtl/>
        </w:rPr>
        <w:t xml:space="preserve"> </w:t>
      </w:r>
      <w:r>
        <w:rPr>
          <w:rFonts w:hint="cs"/>
          <w:rtl/>
        </w:rPr>
        <w:t>בהתקיימן יורה בית המשפט על בטלות חוק-יסוד.</w:t>
      </w:r>
    </w:p>
    <w:p w:rsidR="00D61E12" w:rsidRPr="000F1BBA" w:rsidRDefault="00D61E12" w:rsidP="00D61E12">
      <w:pPr>
        <w:pStyle w:val="Ruller4"/>
        <w:spacing w:before="240" w:after="240"/>
        <w:rPr>
          <w:rFonts w:ascii="Century" w:hAnsi="Century"/>
          <w:sz w:val="22"/>
        </w:rPr>
      </w:pPr>
      <w:r w:rsidRPr="00011760">
        <w:rPr>
          <w:rFonts w:hint="eastAsia"/>
          <w:rtl/>
        </w:rPr>
        <w:t>בענייננו</w:t>
      </w:r>
      <w:r w:rsidRPr="00011760">
        <w:rPr>
          <w:rtl/>
        </w:rPr>
        <w:t>-</w:t>
      </w:r>
      <w:r w:rsidRPr="00011760">
        <w:rPr>
          <w:rFonts w:hint="eastAsia"/>
          <w:rtl/>
        </w:rPr>
        <w:t>אנו</w:t>
      </w:r>
      <w:r w:rsidRPr="00011760">
        <w:rPr>
          <w:rtl/>
        </w:rPr>
        <w:t xml:space="preserve">, </w:t>
      </w:r>
      <w:r>
        <w:rPr>
          <w:rFonts w:ascii="Century" w:hAnsi="Century" w:hint="cs"/>
          <w:sz w:val="22"/>
          <w:rtl/>
        </w:rPr>
        <w:t>קבעה</w:t>
      </w:r>
      <w:r w:rsidRPr="00F33DDD">
        <w:rPr>
          <w:rFonts w:ascii="Century" w:hAnsi="Century"/>
          <w:sz w:val="22"/>
          <w:rtl/>
        </w:rPr>
        <w:t xml:space="preserve"> </w:t>
      </w:r>
      <w:r>
        <w:rPr>
          <w:rFonts w:hint="cs"/>
          <w:rtl/>
        </w:rPr>
        <w:t xml:space="preserve">הנשיאה (בדימ') </w:t>
      </w:r>
      <w:r w:rsidRPr="00F33DDD">
        <w:rPr>
          <w:rFonts w:ascii="Century" w:hAnsi="Century" w:cs="Miriam" w:hint="eastAsia"/>
          <w:b/>
          <w:spacing w:val="0"/>
          <w:sz w:val="22"/>
          <w:szCs w:val="24"/>
          <w:rtl/>
        </w:rPr>
        <w:t>חיות</w:t>
      </w:r>
      <w:r w:rsidRPr="00F33DDD">
        <w:rPr>
          <w:rFonts w:ascii="Century" w:hAnsi="Century"/>
          <w:sz w:val="22"/>
          <w:rtl/>
        </w:rPr>
        <w:t xml:space="preserve"> </w:t>
      </w:r>
      <w:r w:rsidRPr="00F33DDD">
        <w:rPr>
          <w:rFonts w:ascii="Century" w:hAnsi="Century" w:hint="eastAsia"/>
          <w:sz w:val="22"/>
          <w:rtl/>
        </w:rPr>
        <w:t>כי</w:t>
      </w:r>
      <w:r w:rsidRPr="00F33DDD">
        <w:rPr>
          <w:rFonts w:ascii="Century" w:hAnsi="Century"/>
          <w:sz w:val="22"/>
          <w:rtl/>
        </w:rPr>
        <w:t xml:space="preserve"> "</w:t>
      </w:r>
      <w:r w:rsidRPr="00011760">
        <w:rPr>
          <w:rFonts w:ascii="Century" w:hAnsi="Century" w:cs="Miriam" w:hint="eastAsia"/>
          <w:b/>
          <w:spacing w:val="0"/>
          <w:sz w:val="22"/>
          <w:szCs w:val="24"/>
          <w:rtl/>
        </w:rPr>
        <w:t>תיקון</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מס</w:t>
      </w:r>
      <w:r w:rsidRPr="00011760">
        <w:rPr>
          <w:rFonts w:ascii="Century" w:hAnsi="Century" w:cs="Miriam"/>
          <w:b/>
          <w:spacing w:val="0"/>
          <w:sz w:val="22"/>
          <w:szCs w:val="24"/>
          <w:rtl/>
        </w:rPr>
        <w:t xml:space="preserve">' 3 </w:t>
      </w:r>
      <w:r w:rsidRPr="00011760">
        <w:rPr>
          <w:rFonts w:ascii="Century" w:hAnsi="Century" w:cs="Miriam" w:hint="eastAsia"/>
          <w:b/>
          <w:spacing w:val="0"/>
          <w:sz w:val="22"/>
          <w:szCs w:val="24"/>
          <w:rtl/>
        </w:rPr>
        <w:t>ל</w:t>
      </w:r>
      <w:r>
        <w:rPr>
          <w:rFonts w:ascii="Century" w:hAnsi="Century" w:cs="Miriam" w:hint="eastAsia"/>
          <w:b/>
          <w:spacing w:val="0"/>
          <w:sz w:val="22"/>
          <w:szCs w:val="24"/>
          <w:rtl/>
        </w:rPr>
        <w:t>חוק-יסוד</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השפיטה</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מהווה</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מקרה</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קצה</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שחקיקתו</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מגיעה</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כדי</w:t>
      </w:r>
      <w:r w:rsidRPr="00011760">
        <w:rPr>
          <w:rFonts w:ascii="Century" w:hAnsi="Century" w:cs="Miriam"/>
          <w:b/>
          <w:spacing w:val="0"/>
          <w:sz w:val="22"/>
          <w:szCs w:val="24"/>
          <w:rtl/>
        </w:rPr>
        <w:t xml:space="preserve"> </w:t>
      </w:r>
      <w:r w:rsidRPr="00011760">
        <w:rPr>
          <w:rFonts w:ascii="Century" w:hAnsi="Century" w:cs="Miriam" w:hint="eastAsia"/>
          <w:bCs/>
          <w:spacing w:val="0"/>
          <w:sz w:val="22"/>
          <w:szCs w:val="24"/>
          <w:rtl/>
        </w:rPr>
        <w:t>חריגה</w:t>
      </w:r>
      <w:r w:rsidRPr="00011760">
        <w:rPr>
          <w:rFonts w:ascii="Century" w:hAnsi="Century" w:cs="Miriam"/>
          <w:bCs/>
          <w:spacing w:val="0"/>
          <w:sz w:val="22"/>
          <w:szCs w:val="24"/>
          <w:rtl/>
        </w:rPr>
        <w:t xml:space="preserve"> </w:t>
      </w:r>
      <w:r w:rsidRPr="00011760">
        <w:rPr>
          <w:rFonts w:ascii="Century" w:hAnsi="Century" w:cs="Miriam" w:hint="eastAsia"/>
          <w:bCs/>
          <w:spacing w:val="0"/>
          <w:sz w:val="22"/>
          <w:szCs w:val="24"/>
          <w:rtl/>
        </w:rPr>
        <w:t>מסמכותה</w:t>
      </w:r>
      <w:r w:rsidRPr="00011760">
        <w:rPr>
          <w:rFonts w:ascii="Century" w:hAnsi="Century" w:cs="Miriam"/>
          <w:bCs/>
          <w:spacing w:val="0"/>
          <w:sz w:val="22"/>
          <w:szCs w:val="24"/>
          <w:rtl/>
        </w:rPr>
        <w:t xml:space="preserve"> </w:t>
      </w:r>
      <w:r w:rsidRPr="00011760">
        <w:rPr>
          <w:rFonts w:ascii="Century" w:hAnsi="Century" w:cs="Miriam" w:hint="eastAsia"/>
          <w:bCs/>
          <w:spacing w:val="0"/>
          <w:sz w:val="22"/>
          <w:szCs w:val="24"/>
          <w:rtl/>
        </w:rPr>
        <w:t>המכוננת</w:t>
      </w:r>
      <w:r w:rsidRPr="00011760">
        <w:rPr>
          <w:rFonts w:ascii="Century" w:hAnsi="Century" w:cs="Miriam"/>
          <w:bCs/>
          <w:spacing w:val="0"/>
          <w:sz w:val="22"/>
          <w:szCs w:val="24"/>
          <w:rtl/>
        </w:rPr>
        <w:t xml:space="preserve"> </w:t>
      </w:r>
      <w:r w:rsidRPr="00011760">
        <w:rPr>
          <w:rFonts w:ascii="Century" w:hAnsi="Century" w:cs="Miriam" w:hint="eastAsia"/>
          <w:bCs/>
          <w:spacing w:val="0"/>
          <w:sz w:val="22"/>
          <w:szCs w:val="24"/>
          <w:rtl/>
        </w:rPr>
        <w:t>של</w:t>
      </w:r>
      <w:r w:rsidRPr="00011760">
        <w:rPr>
          <w:rFonts w:ascii="Century" w:hAnsi="Century" w:cs="Miriam"/>
          <w:bCs/>
          <w:spacing w:val="0"/>
          <w:sz w:val="22"/>
          <w:szCs w:val="24"/>
          <w:rtl/>
        </w:rPr>
        <w:t xml:space="preserve"> </w:t>
      </w:r>
      <w:r w:rsidRPr="00011760">
        <w:rPr>
          <w:rFonts w:ascii="Century" w:hAnsi="Century" w:cs="Miriam" w:hint="eastAsia"/>
          <w:bCs/>
          <w:spacing w:val="0"/>
          <w:sz w:val="22"/>
          <w:szCs w:val="24"/>
          <w:rtl/>
        </w:rPr>
        <w:t>הכנסת</w:t>
      </w:r>
      <w:r w:rsidRPr="00F33DDD">
        <w:rPr>
          <w:rFonts w:ascii="Century" w:hAnsi="Century" w:cs="Miriam"/>
          <w:b/>
          <w:spacing w:val="0"/>
          <w:sz w:val="22"/>
          <w:szCs w:val="24"/>
          <w:rtl/>
        </w:rPr>
        <w:t>"</w:t>
      </w:r>
      <w:r w:rsidRPr="00F33DDD">
        <w:rPr>
          <w:rFonts w:ascii="Century" w:hAnsi="Century"/>
          <w:sz w:val="22"/>
          <w:rtl/>
        </w:rPr>
        <w:t>.</w:t>
      </w:r>
      <w:r>
        <w:rPr>
          <w:rFonts w:ascii="Century" w:hAnsi="Century" w:hint="cs"/>
          <w:sz w:val="22"/>
          <w:rtl/>
        </w:rPr>
        <w:t xml:space="preserve"> </w:t>
      </w:r>
      <w:r>
        <w:rPr>
          <w:rFonts w:hint="cs"/>
          <w:rtl/>
        </w:rPr>
        <w:t xml:space="preserve">קביעה זו מקובלת גם עליי, וטעמיי לכך יתבהרו בהמשך חוות דעתי. כאמור בפסקה 18 לעיל, על אף שהרשות המכוננת הוסמכה על-ידי העם לקבל החלטות רבות באשר לעתיד האומה, סמכות זו אינה בלתי מוגבלת. במילים אחרות, ישנם מקרים שבהם הכנסת, בתפקידה המכונן, חורגת מסמכותה, במובן זה שהיא פעלה בניגוד לסמכות שניתנה לה על-ידי </w:t>
      </w:r>
      <w:r w:rsidRPr="00ED3240">
        <w:rPr>
          <w:rFonts w:hint="cs"/>
          <w:rtl/>
        </w:rPr>
        <w:t>הריבון</w:t>
      </w:r>
      <w:r>
        <w:rPr>
          <w:rFonts w:hint="cs"/>
          <w:rtl/>
        </w:rPr>
        <w:t>-</w:t>
      </w:r>
      <w:r w:rsidRPr="00ED3240">
        <w:rPr>
          <w:rFonts w:hint="cs"/>
          <w:rtl/>
        </w:rPr>
        <w:t>העם</w:t>
      </w:r>
      <w:r>
        <w:rPr>
          <w:rFonts w:hint="cs"/>
          <w:rtl/>
        </w:rPr>
        <w:t>.</w:t>
      </w:r>
    </w:p>
    <w:p w:rsidR="00D61E12" w:rsidRDefault="00D61E12" w:rsidP="00D61E12">
      <w:pPr>
        <w:pStyle w:val="Ruller4"/>
        <w:spacing w:before="240" w:after="240"/>
        <w:rPr>
          <w:rFonts w:ascii="Century" w:hAnsi="Century"/>
          <w:sz w:val="22"/>
        </w:rPr>
      </w:pPr>
      <w:r>
        <w:rPr>
          <w:rFonts w:hint="cs"/>
          <w:rtl/>
        </w:rPr>
        <w:t xml:space="preserve">טרם חתימת פרק זה אשוב ואבהיר: הקביעה כי נציג הריבון חרג מסמכותו, כאשר הדבר לא הוסדר בדבר חקיקה כלשהו איננה פשוטה כלל ועיקר. מדובר בסוגיה </w:t>
      </w:r>
      <w:r>
        <w:rPr>
          <w:rFonts w:hint="cs"/>
          <w:rtl/>
        </w:rPr>
        <w:lastRenderedPageBreak/>
        <w:t>סבוכה, שצעידה בה משולה להליכה בשדה מוקשים. משכך, סבורני כי שומה עלינו להיזהר פן הדבר יהפוך לחזון נפרץ. דרכו של המשפט המקובל להתפתח עקב בצד אגודל, ממקרה למקרה, וכך אעשה אף אני מבלי להתיימר למצות את הדיון בסוגיית הביקורת השיפוטית על חוקי-יסוד.</w:t>
      </w:r>
    </w:p>
    <w:p w:rsidR="00D61E12" w:rsidRPr="00624582" w:rsidRDefault="00D61E12" w:rsidP="00D61E12">
      <w:pPr>
        <w:pStyle w:val="Ruller4"/>
        <w:numPr>
          <w:ilvl w:val="0"/>
          <w:numId w:val="0"/>
        </w:numPr>
        <w:spacing w:before="240" w:after="240"/>
        <w:rPr>
          <w:rFonts w:ascii="Century" w:hAnsi="Century"/>
          <w:sz w:val="22"/>
          <w:rtl/>
        </w:rPr>
      </w:pPr>
      <w:r>
        <w:rPr>
          <w:rFonts w:ascii="Century" w:hAnsi="Century"/>
          <w:sz w:val="22"/>
          <w:rtl/>
        </w:rPr>
        <w:tab/>
      </w:r>
      <w:r w:rsidRPr="00624582">
        <w:rPr>
          <w:rFonts w:ascii="Century" w:hAnsi="Century" w:hint="cs"/>
          <w:sz w:val="22"/>
          <w:rtl/>
        </w:rPr>
        <w:t>עתה אפנה למקרה שלפנינו.</w:t>
      </w:r>
    </w:p>
    <w:p w:rsidR="00D61E12" w:rsidRDefault="00D61E12" w:rsidP="002A1A3A">
      <w:pPr>
        <w:pStyle w:val="Ruller41"/>
        <w:numPr>
          <w:ilvl w:val="0"/>
          <w:numId w:val="16"/>
        </w:numPr>
        <w:spacing w:before="240" w:after="240"/>
        <w:rPr>
          <w:rtl/>
        </w:rPr>
      </w:pPr>
      <w:r>
        <w:rPr>
          <w:rFonts w:ascii="Century" w:hAnsi="Century" w:cs="Miriam" w:hint="cs"/>
          <w:b/>
          <w:spacing w:val="0"/>
          <w:szCs w:val="24"/>
          <w:rtl/>
        </w:rPr>
        <w:t xml:space="preserve">פרשנותו הנכונה של תיקון מס' 3, או </w:t>
      </w:r>
      <w:r w:rsidRPr="00011760">
        <w:rPr>
          <w:rFonts w:ascii="Century" w:hAnsi="Century" w:cs="Miriam"/>
          <w:b/>
          <w:spacing w:val="0"/>
          <w:szCs w:val="24"/>
          <w:shd w:val="clear" w:color="auto" w:fill="FFFFFF"/>
          <w:rtl/>
        </w:rPr>
        <w:t>מה</w:t>
      </w:r>
      <w:r>
        <w:rPr>
          <w:rFonts w:ascii="Century" w:hAnsi="Century" w:cs="Miriam" w:hint="cs"/>
          <w:b/>
          <w:spacing w:val="0"/>
          <w:szCs w:val="24"/>
          <w:shd w:val="clear" w:color="auto" w:fill="FFFFFF"/>
          <w:rtl/>
        </w:rPr>
        <w:t xml:space="preserve"> הכוונה במילה</w:t>
      </w:r>
      <w:r w:rsidRPr="00011760">
        <w:rPr>
          <w:rFonts w:ascii="Century" w:hAnsi="Century" w:cs="Miriam"/>
          <w:b/>
          <w:spacing w:val="0"/>
          <w:szCs w:val="24"/>
          <w:shd w:val="clear" w:color="auto" w:fill="FFFFFF"/>
          <w:rtl/>
        </w:rPr>
        <w:t xml:space="preserve"> סבירות</w:t>
      </w:r>
      <w:r>
        <w:rPr>
          <w:rFonts w:ascii="Century" w:hAnsi="Century" w:cs="Miriam" w:hint="cs"/>
          <w:b/>
          <w:spacing w:val="0"/>
          <w:szCs w:val="24"/>
          <w:shd w:val="clear" w:color="auto" w:fill="FFFFFF"/>
          <w:rtl/>
        </w:rPr>
        <w:t>?</w:t>
      </w:r>
      <w:r w:rsidRPr="00692CEE" w:rsidDel="000B2D2B">
        <w:rPr>
          <w:rFonts w:ascii="Century" w:hAnsi="Century" w:cs="Miriam" w:hint="cs"/>
          <w:b/>
          <w:spacing w:val="0"/>
          <w:szCs w:val="24"/>
          <w:rtl/>
        </w:rPr>
        <w:t xml:space="preserve"> </w:t>
      </w:r>
    </w:p>
    <w:p w:rsidR="00D61E12" w:rsidRDefault="00D61E12" w:rsidP="00D61E12">
      <w:pPr>
        <w:pStyle w:val="Ruller4"/>
        <w:spacing w:before="240" w:after="240"/>
      </w:pPr>
      <w:r w:rsidRPr="00B65627">
        <w:rPr>
          <w:rFonts w:ascii="Century" w:hAnsi="Century" w:hint="cs"/>
          <w:sz w:val="22"/>
          <w:rtl/>
        </w:rPr>
        <w:t>כמובא לעיל,</w:t>
      </w:r>
      <w:r w:rsidRPr="00190080">
        <w:rPr>
          <w:rFonts w:ascii="Century" w:hAnsi="Century" w:cs="Miriam" w:hint="cs"/>
          <w:b/>
          <w:spacing w:val="0"/>
          <w:sz w:val="22"/>
          <w:szCs w:val="24"/>
          <w:rtl/>
        </w:rPr>
        <w:t xml:space="preserve"> </w:t>
      </w:r>
      <w:r w:rsidRPr="00BC69D5">
        <w:rPr>
          <w:rFonts w:ascii="Century" w:hAnsi="Century" w:cs="Miriam" w:hint="eastAsia"/>
          <w:b/>
          <w:spacing w:val="0"/>
          <w:sz w:val="22"/>
          <w:szCs w:val="24"/>
          <w:rtl/>
        </w:rPr>
        <w:t>סעיף</w:t>
      </w:r>
      <w:r w:rsidRPr="00BC69D5">
        <w:rPr>
          <w:rFonts w:ascii="Century" w:hAnsi="Century" w:cs="Miriam"/>
          <w:b/>
          <w:spacing w:val="0"/>
          <w:sz w:val="22"/>
          <w:szCs w:val="24"/>
          <w:rtl/>
        </w:rPr>
        <w:t xml:space="preserve"> 15(</w:t>
      </w:r>
      <w:r w:rsidRPr="00BC69D5">
        <w:rPr>
          <w:rFonts w:ascii="Century" w:hAnsi="Century" w:cs="Miriam" w:hint="eastAsia"/>
          <w:b/>
          <w:spacing w:val="0"/>
          <w:sz w:val="22"/>
          <w:szCs w:val="24"/>
          <w:rtl/>
        </w:rPr>
        <w:t>ד</w:t>
      </w:r>
      <w:r w:rsidRPr="00BC69D5">
        <w:rPr>
          <w:rFonts w:ascii="Century" w:hAnsi="Century" w:cs="Miriam"/>
          <w:b/>
          <w:spacing w:val="0"/>
          <w:sz w:val="22"/>
          <w:szCs w:val="24"/>
          <w:rtl/>
        </w:rPr>
        <w:t>1)</w:t>
      </w:r>
      <w:r>
        <w:rPr>
          <w:rFonts w:hint="cs"/>
          <w:rtl/>
        </w:rPr>
        <w:t xml:space="preserve"> מושא ענייננו קובע כך:</w:t>
      </w:r>
    </w:p>
    <w:p w:rsidR="00D61E12" w:rsidRPr="00B65627" w:rsidRDefault="00D61E12" w:rsidP="00D61E12">
      <w:pPr>
        <w:pStyle w:val="Ruller5"/>
        <w:spacing w:before="240" w:after="240"/>
        <w:rPr>
          <w:rFonts w:ascii="Garamond" w:hAnsi="Garamond"/>
          <w:sz w:val="24"/>
        </w:rPr>
      </w:pPr>
      <w:r>
        <w:rPr>
          <w:rFonts w:hint="cs"/>
          <w:rtl/>
        </w:rPr>
        <w:t>"</w:t>
      </w:r>
      <w:r w:rsidRPr="00011760">
        <w:rPr>
          <w:rtl/>
        </w:rPr>
        <w:t>על אף האמור בחוק-יסוד זה, מי שבידו סמכות שפיטה על פי דין, לרבות בית המשפט העליון בשבתו כבית משפט גבוה לצדק, לא ידון בעניין סבירות ההחלטה של הממשלה, של ראש הממשלה או של שר אחר, ולא ייתן צו בעניין כאמור; בסעיף זה, 'החלטה' – כל החלטה, לרבות בענייני מינויים או החלטה להימנע מהפעלת כל סמכות</w:t>
      </w:r>
      <w:r>
        <w:rPr>
          <w:rFonts w:hint="cs"/>
          <w:rtl/>
        </w:rPr>
        <w:t>"</w:t>
      </w:r>
      <w:r w:rsidRPr="00960B51">
        <w:rPr>
          <w:rtl/>
        </w:rPr>
        <w:t>.</w:t>
      </w:r>
      <w:r>
        <w:rPr>
          <w:rFonts w:hint="cs"/>
          <w:rtl/>
        </w:rPr>
        <w:t xml:space="preserve"> </w:t>
      </w:r>
    </w:p>
    <w:p w:rsidR="00D61E12" w:rsidRDefault="00D61E12" w:rsidP="00D61E12">
      <w:pPr>
        <w:pStyle w:val="Ruller4"/>
        <w:numPr>
          <w:ilvl w:val="0"/>
          <w:numId w:val="0"/>
        </w:numPr>
        <w:spacing w:before="240" w:after="240"/>
        <w:rPr>
          <w:rFonts w:ascii="Century" w:hAnsi="Century"/>
          <w:sz w:val="22"/>
          <w:rtl/>
        </w:rPr>
      </w:pPr>
      <w:r>
        <w:rPr>
          <w:rFonts w:ascii="Century" w:hAnsi="Century"/>
          <w:sz w:val="22"/>
          <w:rtl/>
        </w:rPr>
        <w:tab/>
      </w:r>
      <w:r>
        <w:rPr>
          <w:rFonts w:ascii="Century" w:hAnsi="Century" w:hint="cs"/>
          <w:sz w:val="22"/>
          <w:rtl/>
        </w:rPr>
        <w:t>בפרק זה, וכדי להכריע בגודל העתירות, יש</w:t>
      </w:r>
      <w:r w:rsidRPr="00370368">
        <w:rPr>
          <w:rFonts w:ascii="Century" w:hAnsi="Century"/>
          <w:sz w:val="22"/>
          <w:rtl/>
        </w:rPr>
        <w:t xml:space="preserve"> </w:t>
      </w:r>
      <w:r w:rsidRPr="00370368">
        <w:rPr>
          <w:rFonts w:ascii="Century" w:hAnsi="Century" w:hint="eastAsia"/>
          <w:sz w:val="22"/>
          <w:rtl/>
        </w:rPr>
        <w:t>להכריע</w:t>
      </w:r>
      <w:r w:rsidRPr="00370368">
        <w:rPr>
          <w:rFonts w:ascii="Century" w:hAnsi="Century"/>
          <w:sz w:val="22"/>
          <w:rtl/>
        </w:rPr>
        <w:t xml:space="preserve"> </w:t>
      </w:r>
      <w:r w:rsidRPr="00370368">
        <w:rPr>
          <w:rFonts w:ascii="Century" w:hAnsi="Century" w:hint="eastAsia"/>
          <w:sz w:val="22"/>
          <w:rtl/>
        </w:rPr>
        <w:t>מה</w:t>
      </w:r>
      <w:r w:rsidRPr="00370368">
        <w:rPr>
          <w:rFonts w:ascii="Century" w:hAnsi="Century"/>
          <w:sz w:val="22"/>
          <w:rtl/>
        </w:rPr>
        <w:t xml:space="preserve"> </w:t>
      </w:r>
      <w:r>
        <w:rPr>
          <w:rFonts w:ascii="Century" w:hAnsi="Century" w:hint="cs"/>
          <w:sz w:val="22"/>
          <w:rtl/>
        </w:rPr>
        <w:t>פרשנות</w:t>
      </w:r>
      <w:r w:rsidRPr="00370368">
        <w:rPr>
          <w:rFonts w:ascii="Century" w:hAnsi="Century"/>
          <w:sz w:val="22"/>
          <w:rtl/>
        </w:rPr>
        <w:t xml:space="preserve"> </w:t>
      </w:r>
      <w:r>
        <w:rPr>
          <w:rFonts w:ascii="Century" w:hAnsi="Century" w:hint="cs"/>
          <w:sz w:val="22"/>
          <w:rtl/>
        </w:rPr>
        <w:t>התיבה</w:t>
      </w:r>
      <w:r w:rsidRPr="00370368">
        <w:rPr>
          <w:rFonts w:ascii="Century" w:hAnsi="Century"/>
          <w:sz w:val="22"/>
          <w:rtl/>
        </w:rPr>
        <w:t xml:space="preserve"> </w:t>
      </w:r>
      <w:r w:rsidRPr="00011760">
        <w:rPr>
          <w:rFonts w:ascii="Century" w:hAnsi="Century" w:cs="Miriam" w:hint="eastAsia"/>
          <w:b/>
          <w:spacing w:val="0"/>
          <w:sz w:val="22"/>
          <w:szCs w:val="24"/>
          <w:rtl/>
        </w:rPr>
        <w:t>סבירות</w:t>
      </w:r>
      <w:r w:rsidRPr="00011760">
        <w:rPr>
          <w:rFonts w:ascii="Century" w:hAnsi="Century"/>
          <w:sz w:val="22"/>
          <w:rtl/>
        </w:rPr>
        <w:t xml:space="preserve"> </w:t>
      </w:r>
      <w:r w:rsidRPr="00011760">
        <w:rPr>
          <w:rFonts w:ascii="Century" w:hAnsi="Century" w:hint="eastAsia"/>
          <w:sz w:val="22"/>
          <w:rtl/>
        </w:rPr>
        <w:t>במסגרת</w:t>
      </w:r>
      <w:r w:rsidRPr="00011760">
        <w:rPr>
          <w:rFonts w:ascii="Century" w:hAnsi="Century"/>
          <w:sz w:val="22"/>
          <w:rtl/>
        </w:rPr>
        <w:t xml:space="preserve"> </w:t>
      </w:r>
      <w:r w:rsidRPr="00011760">
        <w:rPr>
          <w:rFonts w:ascii="Century" w:hAnsi="Century" w:hint="eastAsia"/>
          <w:sz w:val="22"/>
          <w:rtl/>
        </w:rPr>
        <w:t>התיקון</w:t>
      </w:r>
      <w:r>
        <w:rPr>
          <w:rFonts w:ascii="Century" w:hAnsi="Century" w:hint="cs"/>
          <w:sz w:val="22"/>
          <w:rtl/>
        </w:rPr>
        <w:t>.</w:t>
      </w:r>
      <w:r w:rsidRPr="00370368">
        <w:rPr>
          <w:rFonts w:ascii="Century" w:hAnsi="Century"/>
          <w:sz w:val="22"/>
          <w:rtl/>
        </w:rPr>
        <w:t xml:space="preserve"> </w:t>
      </w:r>
      <w:r>
        <w:rPr>
          <w:rFonts w:ascii="Century" w:hAnsi="Century" w:hint="cs"/>
          <w:sz w:val="22"/>
          <w:rtl/>
        </w:rPr>
        <w:t>אתגר</w:t>
      </w:r>
      <w:r w:rsidRPr="00370368">
        <w:rPr>
          <w:rFonts w:ascii="Century" w:hAnsi="Century"/>
          <w:sz w:val="22"/>
          <w:rtl/>
        </w:rPr>
        <w:t xml:space="preserve"> </w:t>
      </w:r>
      <w:r w:rsidRPr="00370368">
        <w:rPr>
          <w:rFonts w:ascii="Century" w:hAnsi="Century" w:hint="eastAsia"/>
          <w:sz w:val="22"/>
          <w:rtl/>
        </w:rPr>
        <w:t>זהה</w:t>
      </w:r>
      <w:r w:rsidRPr="00370368">
        <w:rPr>
          <w:rFonts w:ascii="Century" w:hAnsi="Century"/>
          <w:sz w:val="22"/>
          <w:rtl/>
        </w:rPr>
        <w:t xml:space="preserve"> </w:t>
      </w:r>
      <w:r w:rsidRPr="00370368">
        <w:rPr>
          <w:rFonts w:ascii="Century" w:hAnsi="Century" w:hint="eastAsia"/>
          <w:sz w:val="22"/>
          <w:rtl/>
        </w:rPr>
        <w:t>הציב</w:t>
      </w:r>
      <w:r w:rsidRPr="00370368">
        <w:rPr>
          <w:rFonts w:ascii="Century" w:hAnsi="Century"/>
          <w:sz w:val="22"/>
          <w:rtl/>
        </w:rPr>
        <w:t xml:space="preserve"> </w:t>
      </w:r>
      <w:r w:rsidRPr="00370368">
        <w:rPr>
          <w:rFonts w:ascii="Century" w:hAnsi="Century" w:hint="eastAsia"/>
          <w:sz w:val="22"/>
          <w:rtl/>
        </w:rPr>
        <w:t>הנשיא</w:t>
      </w:r>
      <w:r w:rsidRPr="00370368">
        <w:rPr>
          <w:rFonts w:ascii="Century" w:hAnsi="Century"/>
          <w:sz w:val="22"/>
          <w:rtl/>
        </w:rPr>
        <w:t xml:space="preserve"> </w:t>
      </w:r>
      <w:r w:rsidRPr="00011760">
        <w:rPr>
          <w:rFonts w:ascii="Century" w:hAnsi="Century" w:cs="Miriam" w:hint="eastAsia"/>
          <w:b/>
          <w:spacing w:val="0"/>
          <w:sz w:val="22"/>
          <w:szCs w:val="24"/>
          <w:rtl/>
        </w:rPr>
        <w:t>מ</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לנדוי</w:t>
      </w:r>
      <w:r w:rsidRPr="00370368">
        <w:rPr>
          <w:rFonts w:ascii="Century" w:hAnsi="Century"/>
          <w:sz w:val="22"/>
          <w:rtl/>
        </w:rPr>
        <w:t xml:space="preserve"> </w:t>
      </w:r>
      <w:r w:rsidRPr="00370368">
        <w:rPr>
          <w:rFonts w:ascii="Century" w:hAnsi="Century" w:hint="eastAsia"/>
          <w:sz w:val="22"/>
          <w:rtl/>
        </w:rPr>
        <w:t>בפני</w:t>
      </w:r>
      <w:r w:rsidRPr="00370368">
        <w:rPr>
          <w:rFonts w:ascii="Century" w:hAnsi="Century"/>
          <w:sz w:val="22"/>
          <w:rtl/>
        </w:rPr>
        <w:t xml:space="preserve"> </w:t>
      </w:r>
      <w:r w:rsidRPr="00370368">
        <w:rPr>
          <w:rFonts w:ascii="Century" w:hAnsi="Century" w:hint="eastAsia"/>
          <w:sz w:val="22"/>
          <w:rtl/>
        </w:rPr>
        <w:t>חברו</w:t>
      </w:r>
      <w:r w:rsidRPr="00370368">
        <w:rPr>
          <w:rFonts w:ascii="Century" w:hAnsi="Century"/>
          <w:sz w:val="22"/>
          <w:rtl/>
        </w:rPr>
        <w:t xml:space="preserve">, </w:t>
      </w:r>
      <w:r w:rsidRPr="00370368">
        <w:rPr>
          <w:rFonts w:ascii="Century" w:hAnsi="Century" w:hint="eastAsia"/>
          <w:sz w:val="22"/>
          <w:rtl/>
        </w:rPr>
        <w:t>השופט</w:t>
      </w:r>
      <w:r w:rsidRPr="00370368">
        <w:rPr>
          <w:rFonts w:ascii="Century" w:hAnsi="Century"/>
          <w:sz w:val="22"/>
          <w:rtl/>
        </w:rPr>
        <w:t xml:space="preserve"> </w:t>
      </w:r>
      <w:r w:rsidRPr="00011760">
        <w:rPr>
          <w:rFonts w:ascii="Century" w:hAnsi="Century" w:cs="Miriam" w:hint="eastAsia"/>
          <w:b/>
          <w:spacing w:val="0"/>
          <w:sz w:val="22"/>
          <w:szCs w:val="24"/>
          <w:rtl/>
        </w:rPr>
        <w:t>ברק</w:t>
      </w:r>
      <w:r w:rsidRPr="00370368">
        <w:rPr>
          <w:rFonts w:ascii="Century" w:hAnsi="Century"/>
          <w:sz w:val="22"/>
          <w:rtl/>
        </w:rPr>
        <w:t xml:space="preserve">, </w:t>
      </w:r>
      <w:r>
        <w:rPr>
          <w:rFonts w:ascii="Century" w:hAnsi="Century" w:hint="cs"/>
          <w:sz w:val="22"/>
          <w:rtl/>
        </w:rPr>
        <w:t>כבר ב</w:t>
      </w:r>
      <w:r w:rsidRPr="00370368">
        <w:rPr>
          <w:rFonts w:ascii="Century" w:hAnsi="Century" w:hint="eastAsia"/>
          <w:sz w:val="22"/>
          <w:rtl/>
        </w:rPr>
        <w:t>בג</w:t>
      </w:r>
      <w:r w:rsidRPr="00370368">
        <w:rPr>
          <w:rFonts w:ascii="Century" w:hAnsi="Century"/>
          <w:sz w:val="22"/>
          <w:rtl/>
        </w:rPr>
        <w:t>"</w:t>
      </w:r>
      <w:r w:rsidRPr="00370368">
        <w:rPr>
          <w:rFonts w:ascii="Century" w:hAnsi="Century" w:hint="eastAsia"/>
          <w:sz w:val="22"/>
          <w:rtl/>
        </w:rPr>
        <w:t>ץ</w:t>
      </w:r>
      <w:r w:rsidRPr="00370368">
        <w:rPr>
          <w:rFonts w:ascii="Century" w:hAnsi="Century"/>
          <w:sz w:val="22"/>
          <w:rtl/>
        </w:rPr>
        <w:t xml:space="preserve"> 389/80 </w:t>
      </w:r>
      <w:r w:rsidRPr="00B65627">
        <w:rPr>
          <w:rFonts w:ascii="Century" w:hAnsi="Century" w:cs="Miriam" w:hint="eastAsia"/>
          <w:b/>
          <w:spacing w:val="0"/>
          <w:sz w:val="22"/>
          <w:szCs w:val="24"/>
          <w:rtl/>
        </w:rPr>
        <w:t>דפי</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זהב</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בע</w:t>
      </w:r>
      <w:r w:rsidRPr="00B65627">
        <w:rPr>
          <w:rFonts w:ascii="Century" w:hAnsi="Century" w:cs="Miriam"/>
          <w:b/>
          <w:spacing w:val="0"/>
          <w:sz w:val="22"/>
          <w:szCs w:val="24"/>
          <w:rtl/>
        </w:rPr>
        <w:t>"</w:t>
      </w:r>
      <w:r w:rsidRPr="00B65627">
        <w:rPr>
          <w:rFonts w:ascii="Century" w:hAnsi="Century" w:cs="Miriam" w:hint="eastAsia"/>
          <w:b/>
          <w:spacing w:val="0"/>
          <w:sz w:val="22"/>
          <w:szCs w:val="24"/>
          <w:rtl/>
        </w:rPr>
        <w:t>מ</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נ</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רשות</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השידור</w:t>
      </w:r>
      <w:r w:rsidRPr="00B65627">
        <w:rPr>
          <w:rFonts w:ascii="Century" w:hAnsi="Century"/>
          <w:sz w:val="22"/>
          <w:rtl/>
        </w:rPr>
        <w:t xml:space="preserve"> </w:t>
      </w:r>
      <w:r w:rsidRPr="00370368">
        <w:rPr>
          <w:rFonts w:ascii="Century" w:hAnsi="Century" w:hint="eastAsia"/>
          <w:sz w:val="22"/>
          <w:rtl/>
        </w:rPr>
        <w:t>פ</w:t>
      </w:r>
      <w:r w:rsidRPr="00370368">
        <w:rPr>
          <w:rFonts w:ascii="Century" w:hAnsi="Century"/>
          <w:sz w:val="22"/>
          <w:rtl/>
        </w:rPr>
        <w:t>"</w:t>
      </w:r>
      <w:r w:rsidRPr="00370368">
        <w:rPr>
          <w:rFonts w:ascii="Century" w:hAnsi="Century" w:hint="eastAsia"/>
          <w:sz w:val="22"/>
          <w:rtl/>
        </w:rPr>
        <w:t>ד</w:t>
      </w:r>
      <w:r w:rsidRPr="00370368">
        <w:rPr>
          <w:rFonts w:ascii="Century" w:hAnsi="Century"/>
          <w:sz w:val="22"/>
          <w:rtl/>
        </w:rPr>
        <w:t xml:space="preserve"> </w:t>
      </w:r>
      <w:r w:rsidRPr="00370368">
        <w:rPr>
          <w:rFonts w:ascii="Century" w:hAnsi="Century" w:hint="eastAsia"/>
          <w:sz w:val="22"/>
          <w:rtl/>
        </w:rPr>
        <w:t>לה</w:t>
      </w:r>
      <w:r w:rsidRPr="00370368">
        <w:rPr>
          <w:rFonts w:ascii="Century" w:hAnsi="Century"/>
          <w:sz w:val="22"/>
          <w:rtl/>
        </w:rPr>
        <w:t>(1) 421 (</w:t>
      </w:r>
      <w:r w:rsidRPr="00370368">
        <w:rPr>
          <w:rFonts w:ascii="Century" w:hAnsi="Century" w:hint="eastAsia"/>
          <w:sz w:val="22"/>
          <w:rtl/>
        </w:rPr>
        <w:t>להלן</w:t>
      </w:r>
      <w:r w:rsidRPr="00370368">
        <w:rPr>
          <w:rFonts w:ascii="Century" w:hAnsi="Century"/>
          <w:sz w:val="22"/>
          <w:rtl/>
        </w:rPr>
        <w:t xml:space="preserve">: </w:t>
      </w:r>
      <w:r>
        <w:rPr>
          <w:rFonts w:ascii="Century" w:hAnsi="Century" w:cs="Miriam" w:hint="cs"/>
          <w:b/>
          <w:spacing w:val="0"/>
          <w:sz w:val="22"/>
          <w:szCs w:val="24"/>
          <w:rtl/>
        </w:rPr>
        <w:t xml:space="preserve">הלכת </w:t>
      </w:r>
      <w:r w:rsidRPr="00011760">
        <w:rPr>
          <w:rFonts w:ascii="Century" w:hAnsi="Century" w:cs="Miriam" w:hint="eastAsia"/>
          <w:b/>
          <w:spacing w:val="0"/>
          <w:sz w:val="22"/>
          <w:szCs w:val="24"/>
          <w:rtl/>
        </w:rPr>
        <w:t>דפי</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זהב</w:t>
      </w:r>
      <w:r w:rsidRPr="00370368">
        <w:rPr>
          <w:rFonts w:ascii="Century" w:hAnsi="Century"/>
          <w:sz w:val="22"/>
          <w:rtl/>
        </w:rPr>
        <w:t xml:space="preserve">), </w:t>
      </w:r>
      <w:r w:rsidRPr="00370368">
        <w:rPr>
          <w:rFonts w:ascii="Century" w:hAnsi="Century" w:hint="eastAsia"/>
          <w:sz w:val="22"/>
          <w:rtl/>
        </w:rPr>
        <w:t>בציינו</w:t>
      </w:r>
      <w:r w:rsidRPr="00370368">
        <w:rPr>
          <w:rFonts w:ascii="Century" w:hAnsi="Century"/>
          <w:sz w:val="22"/>
          <w:rtl/>
        </w:rPr>
        <w:t>: "</w:t>
      </w:r>
      <w:r w:rsidRPr="00011760">
        <w:rPr>
          <w:rFonts w:ascii="Century" w:hAnsi="Century" w:cs="Miriam"/>
          <w:b/>
          <w:spacing w:val="0"/>
          <w:sz w:val="22"/>
          <w:szCs w:val="24"/>
          <w:rtl/>
        </w:rPr>
        <w:t>הכל</w:t>
      </w:r>
      <w:r w:rsidRPr="00011760">
        <w:rPr>
          <w:rFonts w:ascii="Century" w:hAnsi="Century" w:cs="Miriam"/>
          <w:b/>
          <w:spacing w:val="0"/>
          <w:sz w:val="22"/>
          <w:szCs w:val="24"/>
          <w:shd w:val="clear" w:color="auto" w:fill="FFFFFF"/>
          <w:rtl/>
        </w:rPr>
        <w:t xml:space="preserve"> </w:t>
      </w:r>
      <w:r w:rsidRPr="00011760">
        <w:rPr>
          <w:rFonts w:ascii="Century" w:hAnsi="Century" w:cs="Miriam"/>
          <w:b/>
          <w:spacing w:val="0"/>
          <w:sz w:val="22"/>
          <w:szCs w:val="24"/>
          <w:rtl/>
        </w:rPr>
        <w:t>תלוי</w:t>
      </w:r>
      <w:r w:rsidRPr="00011760">
        <w:rPr>
          <w:rFonts w:ascii="Century" w:hAnsi="Century" w:cs="Miriam"/>
          <w:b/>
          <w:spacing w:val="0"/>
          <w:sz w:val="22"/>
          <w:szCs w:val="24"/>
          <w:shd w:val="clear" w:color="auto" w:fill="FFFFFF"/>
          <w:rtl/>
        </w:rPr>
        <w:t xml:space="preserve"> במה שמתכוונים לבטא במלה סבירות</w:t>
      </w:r>
      <w:r w:rsidRPr="00370368">
        <w:rPr>
          <w:rFonts w:ascii="Century" w:hAnsi="Century"/>
          <w:sz w:val="22"/>
          <w:rtl/>
        </w:rPr>
        <w:t>"</w:t>
      </w:r>
      <w:r>
        <w:rPr>
          <w:rFonts w:ascii="Century" w:hAnsi="Century" w:hint="cs"/>
          <w:sz w:val="22"/>
          <w:rtl/>
        </w:rPr>
        <w:t xml:space="preserve"> (שם, בעמוד 432)</w:t>
      </w:r>
      <w:r w:rsidRPr="00370368">
        <w:rPr>
          <w:rFonts w:ascii="Century" w:hAnsi="Century"/>
          <w:sz w:val="22"/>
          <w:rtl/>
        </w:rPr>
        <w:t>.</w:t>
      </w:r>
      <w:r>
        <w:rPr>
          <w:rFonts w:hint="cs"/>
          <w:rtl/>
        </w:rPr>
        <w:t xml:space="preserve"> לכך אפנה, בתמצית, עתה.</w:t>
      </w:r>
      <w:r>
        <w:rPr>
          <w:rFonts w:ascii="Century" w:hAnsi="Century" w:cs="Miriam" w:hint="cs"/>
          <w:b/>
          <w:spacing w:val="0"/>
          <w:sz w:val="22"/>
          <w:szCs w:val="24"/>
          <w:rtl/>
        </w:rPr>
        <w:t xml:space="preserve"> </w:t>
      </w:r>
    </w:p>
    <w:p w:rsidR="00D61E12" w:rsidRDefault="00D61E12" w:rsidP="00D61E12">
      <w:pPr>
        <w:pStyle w:val="Ruller4"/>
        <w:numPr>
          <w:ilvl w:val="0"/>
          <w:numId w:val="0"/>
        </w:numPr>
        <w:spacing w:before="240" w:after="240"/>
        <w:rPr>
          <w:rFonts w:ascii="Century" w:hAnsi="Century"/>
          <w:sz w:val="22"/>
          <w:rtl/>
        </w:rPr>
      </w:pPr>
      <w:r>
        <w:rPr>
          <w:rFonts w:ascii="Century" w:hAnsi="Century"/>
          <w:sz w:val="22"/>
          <w:rtl/>
        </w:rPr>
        <w:tab/>
      </w:r>
      <w:r>
        <w:rPr>
          <w:rFonts w:ascii="Century" w:hAnsi="Century" w:hint="cs"/>
          <w:sz w:val="22"/>
          <w:rtl/>
        </w:rPr>
        <w:t>הערה מקדימה: חלק מ</w:t>
      </w:r>
      <w:r w:rsidRPr="00011760">
        <w:rPr>
          <w:rFonts w:ascii="Century" w:hAnsi="Century" w:hint="eastAsia"/>
          <w:sz w:val="22"/>
          <w:rtl/>
        </w:rPr>
        <w:t>חברי</w:t>
      </w:r>
      <w:r>
        <w:rPr>
          <w:rFonts w:ascii="Century" w:hAnsi="Century" w:hint="cs"/>
          <w:sz w:val="22"/>
          <w:rtl/>
        </w:rPr>
        <w:t>י</w:t>
      </w:r>
      <w:r w:rsidRPr="00011760">
        <w:rPr>
          <w:rFonts w:ascii="Century" w:hAnsi="Century"/>
          <w:sz w:val="22"/>
          <w:rtl/>
        </w:rPr>
        <w:t xml:space="preserve"> </w:t>
      </w:r>
      <w:r>
        <w:rPr>
          <w:rFonts w:ascii="Century" w:hAnsi="Century" w:hint="cs"/>
          <w:sz w:val="22"/>
          <w:rtl/>
        </w:rPr>
        <w:t>הביאו, בפירוט רב, את ה</w:t>
      </w:r>
      <w:r w:rsidRPr="00370368">
        <w:rPr>
          <w:rFonts w:ascii="Century" w:hAnsi="Century" w:hint="eastAsia"/>
          <w:sz w:val="22"/>
          <w:rtl/>
        </w:rPr>
        <w:t>גֵּנֵאָלוֹגְיָה</w:t>
      </w:r>
      <w:r w:rsidRPr="00370368">
        <w:rPr>
          <w:rFonts w:ascii="Century" w:hAnsi="Century"/>
          <w:sz w:val="22"/>
          <w:rtl/>
        </w:rPr>
        <w:t xml:space="preserve"> </w:t>
      </w:r>
      <w:r>
        <w:rPr>
          <w:rFonts w:ascii="Century" w:hAnsi="Century" w:hint="cs"/>
          <w:sz w:val="22"/>
          <w:rtl/>
        </w:rPr>
        <w:t>של עילת הסבירות. אם אחזור על איזה מדבריהם, הדבר נעשה לשם בהירות חוות דעתי.</w:t>
      </w:r>
    </w:p>
    <w:p w:rsidR="00D61E12" w:rsidRPr="002E3F7C" w:rsidRDefault="00D61E12" w:rsidP="002A1A3A">
      <w:pPr>
        <w:pStyle w:val="Ruller41"/>
        <w:numPr>
          <w:ilvl w:val="1"/>
          <w:numId w:val="16"/>
        </w:numPr>
        <w:spacing w:before="240" w:after="240"/>
        <w:rPr>
          <w:rFonts w:ascii="Century" w:hAnsi="Century" w:cs="Miriam"/>
          <w:b/>
          <w:spacing w:val="0"/>
          <w:szCs w:val="24"/>
          <w:rtl/>
        </w:rPr>
      </w:pPr>
      <w:r w:rsidRPr="002E3F7C">
        <w:rPr>
          <w:rFonts w:ascii="Century" w:hAnsi="Century" w:cs="Miriam" w:hint="cs"/>
          <w:b/>
          <w:spacing w:val="0"/>
          <w:szCs w:val="24"/>
          <w:rtl/>
        </w:rPr>
        <w:t>התפתחותה של עילת הסבירות בפסיקה</w:t>
      </w:r>
    </w:p>
    <w:p w:rsidR="00D61E12" w:rsidRPr="002E3F7C" w:rsidRDefault="00D61E12" w:rsidP="002A1A3A">
      <w:pPr>
        <w:pStyle w:val="Ruller41"/>
        <w:numPr>
          <w:ilvl w:val="2"/>
          <w:numId w:val="16"/>
        </w:numPr>
        <w:spacing w:before="240" w:after="240"/>
        <w:rPr>
          <w:rFonts w:ascii="Century" w:hAnsi="Century" w:cs="Miriam"/>
          <w:b/>
          <w:spacing w:val="0"/>
          <w:szCs w:val="24"/>
          <w:rtl/>
        </w:rPr>
      </w:pPr>
      <w:r w:rsidRPr="002E3F7C">
        <w:rPr>
          <w:rFonts w:ascii="Century" w:hAnsi="Century" w:cs="Miriam" w:hint="cs"/>
          <w:b/>
          <w:spacing w:val="0"/>
          <w:szCs w:val="24"/>
          <w:rtl/>
        </w:rPr>
        <w:t xml:space="preserve">שורשיה האנגליים של עילת הסבירות </w:t>
      </w:r>
    </w:p>
    <w:p w:rsidR="00D61E12" w:rsidRPr="00981920" w:rsidRDefault="00D61E12" w:rsidP="00D61E12">
      <w:pPr>
        <w:pStyle w:val="Ruller4"/>
        <w:spacing w:before="240" w:after="240"/>
        <w:rPr>
          <w:rFonts w:ascii="Century" w:hAnsi="Century"/>
          <w:sz w:val="22"/>
        </w:rPr>
      </w:pPr>
      <w:r>
        <w:rPr>
          <w:rFonts w:ascii="Century" w:hAnsi="Century" w:hint="cs"/>
          <w:sz w:val="22"/>
          <w:rtl/>
        </w:rPr>
        <w:t>ה</w:t>
      </w:r>
      <w:r w:rsidRPr="00D70D6B">
        <w:rPr>
          <w:rFonts w:ascii="Century" w:hAnsi="Century" w:hint="cs"/>
          <w:sz w:val="22"/>
          <w:rtl/>
        </w:rPr>
        <w:t xml:space="preserve">שימוש במושג </w:t>
      </w:r>
      <w:r>
        <w:rPr>
          <w:rFonts w:ascii="Century" w:hAnsi="Century" w:hint="cs"/>
          <w:sz w:val="22"/>
          <w:rtl/>
        </w:rPr>
        <w:t xml:space="preserve">'סבירות' בתחום המשפט המינהלי מוכר במשפטנו עוד מקדמת דנא. שורשיה של עילת הסבירות נטועים בשיטת המשפט האנגלית, שם נעשה בה שימוש, בעיקרם של דברים, לשם העברת ביקורת שיפוטית על חוקי עזר </w:t>
      </w:r>
      <w:r w:rsidRPr="00981920">
        <w:rPr>
          <w:rFonts w:ascii="Century" w:hAnsi="Century" w:hint="cs"/>
          <w:sz w:val="22"/>
          <w:rtl/>
        </w:rPr>
        <w:t>(</w:t>
      </w:r>
      <w:r>
        <w:rPr>
          <w:rFonts w:ascii="Century" w:hAnsi="Century" w:hint="cs"/>
          <w:sz w:val="22"/>
          <w:rtl/>
        </w:rPr>
        <w:t xml:space="preserve">ראו: </w:t>
      </w:r>
      <w:r w:rsidRPr="00981920">
        <w:rPr>
          <w:rFonts w:ascii="Century" w:hAnsi="Century" w:hint="cs"/>
          <w:sz w:val="22"/>
          <w:rtl/>
        </w:rPr>
        <w:t xml:space="preserve">דפנה ברק-ארז </w:t>
      </w:r>
      <w:r w:rsidRPr="00981920">
        <w:rPr>
          <w:rFonts w:ascii="Century" w:hAnsi="Century" w:cs="Miriam" w:hint="cs"/>
          <w:sz w:val="22"/>
          <w:szCs w:val="24"/>
          <w:rtl/>
        </w:rPr>
        <w:t xml:space="preserve">משפט מינהלי </w:t>
      </w:r>
      <w:r w:rsidRPr="00981920">
        <w:rPr>
          <w:rFonts w:ascii="Century" w:hAnsi="Century" w:hint="cs"/>
          <w:sz w:val="22"/>
          <w:rtl/>
        </w:rPr>
        <w:t xml:space="preserve">723 (כרך ב 2010) </w:t>
      </w:r>
      <w:r w:rsidRPr="00981920">
        <w:rPr>
          <w:rFonts w:ascii="Century" w:hAnsi="Century"/>
          <w:sz w:val="22"/>
          <w:rtl/>
        </w:rPr>
        <w:t>(</w:t>
      </w:r>
      <w:r w:rsidRPr="00981920">
        <w:rPr>
          <w:rFonts w:ascii="Century" w:hAnsi="Century" w:hint="eastAsia"/>
          <w:sz w:val="22"/>
          <w:rtl/>
        </w:rPr>
        <w:t>להלן</w:t>
      </w:r>
      <w:r w:rsidRPr="00981920">
        <w:rPr>
          <w:rFonts w:ascii="Century" w:hAnsi="Century"/>
          <w:sz w:val="22"/>
          <w:rtl/>
        </w:rPr>
        <w:t xml:space="preserve">: </w:t>
      </w:r>
      <w:r w:rsidRPr="00981920">
        <w:rPr>
          <w:rFonts w:ascii="Century" w:hAnsi="Century" w:cs="Miriam" w:hint="cs"/>
          <w:sz w:val="22"/>
          <w:szCs w:val="24"/>
          <w:rtl/>
        </w:rPr>
        <w:t>ברק-ארז</w:t>
      </w:r>
      <w:r w:rsidRPr="00981920">
        <w:rPr>
          <w:rFonts w:ascii="Century" w:hAnsi="Century" w:hint="cs"/>
          <w:sz w:val="22"/>
          <w:rtl/>
        </w:rPr>
        <w:t xml:space="preserve">), </w:t>
      </w:r>
      <w:r>
        <w:rPr>
          <w:rFonts w:ascii="Century" w:hAnsi="Century" w:hint="cs"/>
          <w:sz w:val="22"/>
          <w:rtl/>
        </w:rPr>
        <w:t xml:space="preserve">שם מוזכר גם פסק </w:t>
      </w:r>
      <w:r w:rsidRPr="00981920">
        <w:rPr>
          <w:rFonts w:ascii="Century" w:hAnsi="Century" w:hint="cs"/>
          <w:sz w:val="22"/>
          <w:rtl/>
        </w:rPr>
        <w:t xml:space="preserve">הדין האנגלי בעניין </w:t>
      </w:r>
      <w:r w:rsidRPr="00105C0F">
        <w:rPr>
          <w:rFonts w:asciiTheme="majorBidi" w:hAnsiTheme="majorBidi" w:cstheme="majorBidi"/>
          <w:szCs w:val="24"/>
        </w:rPr>
        <w:t>Kruse v. Johnson 1 Q.B. 91 [1898]</w:t>
      </w:r>
      <w:r w:rsidRPr="00216B21">
        <w:rPr>
          <w:rFonts w:ascii="Century" w:hAnsi="Century" w:cs="Miriam" w:hint="cs"/>
          <w:bCs/>
          <w:spacing w:val="0"/>
          <w:sz w:val="22"/>
          <w:szCs w:val="24"/>
          <w:rtl/>
        </w:rPr>
        <w:t xml:space="preserve"> </w:t>
      </w:r>
      <w:r w:rsidRPr="00981920">
        <w:rPr>
          <w:rFonts w:ascii="Century" w:hAnsi="Century"/>
          <w:sz w:val="22"/>
          <w:rtl/>
        </w:rPr>
        <w:t>(</w:t>
      </w:r>
      <w:r w:rsidRPr="00981920">
        <w:rPr>
          <w:rFonts w:ascii="Century" w:hAnsi="Century" w:hint="eastAsia"/>
          <w:sz w:val="22"/>
          <w:rtl/>
        </w:rPr>
        <w:t>להלן</w:t>
      </w:r>
      <w:r w:rsidRPr="00981920">
        <w:rPr>
          <w:rFonts w:ascii="Century" w:hAnsi="Century"/>
          <w:sz w:val="22"/>
          <w:rtl/>
        </w:rPr>
        <w:t xml:space="preserve">: </w:t>
      </w:r>
      <w:r w:rsidRPr="00981920">
        <w:rPr>
          <w:rFonts w:ascii="Century" w:hAnsi="Century" w:cs="Miriam" w:hint="cs"/>
          <w:b/>
          <w:spacing w:val="0"/>
          <w:sz w:val="22"/>
          <w:szCs w:val="24"/>
          <w:rtl/>
        </w:rPr>
        <w:t xml:space="preserve">עניין </w:t>
      </w:r>
      <w:r w:rsidRPr="00105C0F">
        <w:rPr>
          <w:rFonts w:asciiTheme="majorBidi" w:hAnsiTheme="majorBidi" w:cstheme="majorBidi"/>
          <w:szCs w:val="24"/>
        </w:rPr>
        <w:t>Kruse</w:t>
      </w:r>
      <w:r>
        <w:rPr>
          <w:rFonts w:ascii="Century" w:hAnsi="Century" w:hint="cs"/>
          <w:sz w:val="22"/>
          <w:rtl/>
        </w:rPr>
        <w:t>)).</w:t>
      </w:r>
    </w:p>
    <w:p w:rsidR="00D61E12" w:rsidRDefault="00D61E12" w:rsidP="00D61E12">
      <w:pPr>
        <w:pStyle w:val="Ruller4"/>
        <w:spacing w:before="240" w:after="240"/>
        <w:rPr>
          <w:rFonts w:ascii="Century" w:hAnsi="Century"/>
          <w:sz w:val="22"/>
        </w:rPr>
      </w:pPr>
      <w:r>
        <w:rPr>
          <w:rFonts w:ascii="Century" w:hAnsi="Century" w:hint="cs"/>
          <w:sz w:val="22"/>
          <w:rtl/>
        </w:rPr>
        <w:t xml:space="preserve">בגרסתה האנגלית, התייחסה עילת הסבירות לשתי קבוצות עיקריות של מקרים. </w:t>
      </w:r>
      <w:r>
        <w:rPr>
          <w:rFonts w:ascii="Century" w:hAnsi="Century" w:cs="Miriam" w:hint="cs"/>
          <w:b/>
          <w:spacing w:val="0"/>
          <w:sz w:val="22"/>
          <w:szCs w:val="24"/>
          <w:rtl/>
        </w:rPr>
        <w:t>הראשונה</w:t>
      </w:r>
      <w:r>
        <w:rPr>
          <w:rFonts w:ascii="Century" w:hAnsi="Century" w:hint="cs"/>
          <w:sz w:val="22"/>
          <w:rtl/>
        </w:rPr>
        <w:t xml:space="preserve">, עניינה במצבים בהם נפל בהחלטה המינהלית </w:t>
      </w:r>
      <w:r>
        <w:rPr>
          <w:rFonts w:ascii="Century" w:hAnsi="Century" w:cs="Miriam" w:hint="cs"/>
          <w:b/>
          <w:spacing w:val="0"/>
          <w:sz w:val="22"/>
          <w:szCs w:val="24"/>
          <w:rtl/>
        </w:rPr>
        <w:t xml:space="preserve">אחד מהפגמים האחרים המוכרים </w:t>
      </w:r>
      <w:r>
        <w:rPr>
          <w:rFonts w:ascii="Century" w:hAnsi="Century" w:cs="Miriam" w:hint="cs"/>
          <w:b/>
          <w:spacing w:val="0"/>
          <w:sz w:val="22"/>
          <w:szCs w:val="24"/>
          <w:rtl/>
        </w:rPr>
        <w:lastRenderedPageBreak/>
        <w:t>במשפט המינהלי</w:t>
      </w:r>
      <w:r>
        <w:rPr>
          <w:rFonts w:ascii="Century" w:hAnsi="Century" w:hint="cs"/>
          <w:sz w:val="22"/>
          <w:rtl/>
        </w:rPr>
        <w:t xml:space="preserve">, כמו למשל שקילת שיקולים זרים, אי שקילת שיקולים רלוונטיים או חוסר סמכות; </w:t>
      </w:r>
      <w:r>
        <w:rPr>
          <w:rFonts w:ascii="Century" w:hAnsi="Century" w:cs="Miriam" w:hint="cs"/>
          <w:b/>
          <w:spacing w:val="0"/>
          <w:sz w:val="22"/>
          <w:szCs w:val="24"/>
          <w:rtl/>
        </w:rPr>
        <w:t>השנייה</w:t>
      </w:r>
      <w:r>
        <w:rPr>
          <w:rFonts w:ascii="Century" w:hAnsi="Century" w:hint="cs"/>
          <w:sz w:val="22"/>
          <w:rtl/>
        </w:rPr>
        <w:t xml:space="preserve">, עניינה במצבים בהם ההחלטה המינהלית </w:t>
      </w:r>
      <w:r>
        <w:rPr>
          <w:rFonts w:ascii="Century" w:hAnsi="Century" w:cs="Miriam" w:hint="cs"/>
          <w:b/>
          <w:spacing w:val="0"/>
          <w:sz w:val="22"/>
          <w:szCs w:val="24"/>
          <w:rtl/>
        </w:rPr>
        <w:t xml:space="preserve">מופרכת על פניה או שרירותית </w:t>
      </w:r>
      <w:r w:rsidRPr="005550E9">
        <w:rPr>
          <w:rFonts w:ascii="Century" w:hAnsi="Century" w:hint="cs"/>
          <w:sz w:val="22"/>
          <w:rtl/>
        </w:rPr>
        <w:t xml:space="preserve">(יצחק זמיר </w:t>
      </w:r>
      <w:r w:rsidRPr="00216B21">
        <w:rPr>
          <w:rFonts w:ascii="Century" w:hAnsi="Century" w:cs="Miriam" w:hint="cs"/>
          <w:b/>
          <w:spacing w:val="0"/>
          <w:sz w:val="22"/>
          <w:szCs w:val="24"/>
          <w:rtl/>
        </w:rPr>
        <w:t xml:space="preserve">הסמכות המינהלית כרך ה </w:t>
      </w:r>
      <w:r w:rsidRPr="00216B21">
        <w:rPr>
          <w:rFonts w:ascii="Century" w:hAnsi="Century" w:cs="Miriam"/>
          <w:b/>
          <w:spacing w:val="0"/>
          <w:sz w:val="22"/>
          <w:szCs w:val="24"/>
          <w:rtl/>
        </w:rPr>
        <w:t>–</w:t>
      </w:r>
      <w:r w:rsidRPr="00216B21">
        <w:rPr>
          <w:rFonts w:ascii="Century" w:hAnsi="Century" w:cs="Miriam" w:hint="cs"/>
          <w:b/>
          <w:spacing w:val="0"/>
          <w:sz w:val="22"/>
          <w:szCs w:val="24"/>
          <w:rtl/>
        </w:rPr>
        <w:t xml:space="preserve"> עילות הביקורת המשפטית</w:t>
      </w:r>
      <w:r w:rsidRPr="00216B21">
        <w:rPr>
          <w:rFonts w:ascii="Century" w:hAnsi="Century" w:hint="cs"/>
          <w:sz w:val="22"/>
          <w:rtl/>
        </w:rPr>
        <w:t xml:space="preserve"> </w:t>
      </w:r>
      <w:r w:rsidRPr="005550E9">
        <w:rPr>
          <w:rFonts w:ascii="Century" w:hAnsi="Century" w:hint="cs"/>
          <w:sz w:val="22"/>
          <w:rtl/>
        </w:rPr>
        <w:t xml:space="preserve">3849 (2020) </w:t>
      </w:r>
      <w:r w:rsidRPr="005550E9">
        <w:rPr>
          <w:rFonts w:ascii="Century" w:hAnsi="Century"/>
          <w:sz w:val="22"/>
          <w:rtl/>
        </w:rPr>
        <w:t>(</w:t>
      </w:r>
      <w:r w:rsidRPr="005550E9">
        <w:rPr>
          <w:rFonts w:ascii="Century" w:hAnsi="Century" w:hint="eastAsia"/>
          <w:sz w:val="22"/>
          <w:rtl/>
        </w:rPr>
        <w:t>להלן</w:t>
      </w:r>
      <w:r w:rsidRPr="005550E9">
        <w:rPr>
          <w:rFonts w:ascii="Century" w:hAnsi="Century"/>
          <w:sz w:val="22"/>
          <w:rtl/>
        </w:rPr>
        <w:t xml:space="preserve">: </w:t>
      </w:r>
      <w:r w:rsidRPr="00216B21">
        <w:rPr>
          <w:rFonts w:ascii="Century" w:hAnsi="Century" w:cs="Miriam" w:hint="cs"/>
          <w:b/>
          <w:spacing w:val="0"/>
          <w:sz w:val="22"/>
          <w:szCs w:val="24"/>
          <w:rtl/>
        </w:rPr>
        <w:t xml:space="preserve">זמיר </w:t>
      </w:r>
      <w:r w:rsidRPr="00216B21">
        <w:rPr>
          <w:rFonts w:ascii="Century" w:hAnsi="Century" w:cs="Miriam"/>
          <w:b/>
          <w:spacing w:val="0"/>
          <w:sz w:val="22"/>
          <w:szCs w:val="24"/>
          <w:rtl/>
        </w:rPr>
        <w:t>–</w:t>
      </w:r>
      <w:r w:rsidRPr="00216B21">
        <w:rPr>
          <w:rFonts w:ascii="Century" w:hAnsi="Century" w:cs="Miriam" w:hint="cs"/>
          <w:b/>
          <w:spacing w:val="0"/>
          <w:sz w:val="22"/>
          <w:szCs w:val="24"/>
          <w:rtl/>
        </w:rPr>
        <w:t xml:space="preserve"> הסמכות המינהלית</w:t>
      </w:r>
      <w:r w:rsidRPr="005550E9">
        <w:rPr>
          <w:rFonts w:ascii="Century" w:hAnsi="Century" w:hint="cs"/>
          <w:sz w:val="22"/>
          <w:rtl/>
        </w:rPr>
        <w:t xml:space="preserve">); </w:t>
      </w:r>
      <w:r w:rsidRPr="00216B21">
        <w:rPr>
          <w:rFonts w:ascii="Century" w:hAnsi="Century" w:cs="Miriam" w:hint="cs"/>
          <w:b/>
          <w:spacing w:val="0"/>
          <w:sz w:val="22"/>
          <w:szCs w:val="24"/>
          <w:rtl/>
        </w:rPr>
        <w:t>ברק-ארז</w:t>
      </w:r>
      <w:r w:rsidRPr="005550E9">
        <w:rPr>
          <w:rFonts w:ascii="Century" w:hAnsi="Century" w:hint="cs"/>
          <w:sz w:val="22"/>
          <w:rtl/>
        </w:rPr>
        <w:t>, בעמוד 723)).</w:t>
      </w:r>
    </w:p>
    <w:p w:rsidR="00D61E12" w:rsidRPr="00174D28" w:rsidRDefault="00D61E12" w:rsidP="00D61E12">
      <w:pPr>
        <w:pStyle w:val="Ruller4"/>
        <w:spacing w:before="240" w:after="240"/>
        <w:rPr>
          <w:rFonts w:ascii="Century" w:hAnsi="Century"/>
          <w:sz w:val="22"/>
        </w:rPr>
      </w:pPr>
      <w:r>
        <w:rPr>
          <w:rFonts w:ascii="Century" w:hAnsi="Century" w:hint="cs"/>
          <w:sz w:val="22"/>
          <w:rtl/>
        </w:rPr>
        <w:t xml:space="preserve">שני מובניה אלו של עילת הסבירות האנגלית באו לידי ביטוי גם יחד </w:t>
      </w:r>
      <w:r w:rsidRPr="00174D28">
        <w:rPr>
          <w:rFonts w:ascii="Century" w:hAnsi="Century" w:hint="cs"/>
          <w:rtl/>
        </w:rPr>
        <w:t xml:space="preserve">בהלכת </w:t>
      </w:r>
      <w:r w:rsidRPr="00105C0F">
        <w:rPr>
          <w:rFonts w:asciiTheme="majorBidi" w:hAnsiTheme="majorBidi" w:cstheme="majorBidi"/>
          <w:szCs w:val="24"/>
        </w:rPr>
        <w:t>Wednesbury</w:t>
      </w:r>
      <w:r w:rsidRPr="00174D28">
        <w:rPr>
          <w:rFonts w:ascii="Century" w:hAnsi="Century" w:hint="cs"/>
          <w:rtl/>
        </w:rPr>
        <w:t xml:space="preserve"> הנודעת</w:t>
      </w:r>
      <w:r>
        <w:rPr>
          <w:rFonts w:ascii="Century" w:hAnsi="Century" w:hint="cs"/>
          <w:rtl/>
        </w:rPr>
        <w:t xml:space="preserve"> </w:t>
      </w:r>
      <w:r w:rsidRPr="00174D28">
        <w:rPr>
          <w:rFonts w:ascii="Century" w:hAnsi="Century" w:hint="cs"/>
          <w:rtl/>
        </w:rPr>
        <w:t>(</w:t>
      </w:r>
      <w:r w:rsidRPr="00105C0F">
        <w:rPr>
          <w:rFonts w:asciiTheme="majorBidi" w:hAnsiTheme="majorBidi" w:cstheme="majorBidi"/>
          <w:szCs w:val="24"/>
        </w:rPr>
        <w:t>Associated Provincial Picture Houses Ltd v. Wednesbury Corporation, 1948 1 KB 223, 229</w:t>
      </w:r>
      <w:r w:rsidRPr="00174D28">
        <w:rPr>
          <w:rFonts w:ascii="Century" w:hAnsi="Century" w:hint="cs"/>
          <w:rtl/>
        </w:rPr>
        <w:t>)</w:t>
      </w:r>
      <w:r>
        <w:rPr>
          <w:rFonts w:ascii="Century" w:hAnsi="Century" w:hint="cs"/>
          <w:rtl/>
        </w:rPr>
        <w:t xml:space="preserve">. </w:t>
      </w:r>
    </w:p>
    <w:p w:rsidR="00D61E12" w:rsidRPr="008D1AEF" w:rsidRDefault="00D61E12" w:rsidP="00D61E12">
      <w:pPr>
        <w:pStyle w:val="Ruller4"/>
        <w:numPr>
          <w:ilvl w:val="0"/>
          <w:numId w:val="0"/>
        </w:numPr>
        <w:tabs>
          <w:tab w:val="clear" w:pos="800"/>
        </w:tabs>
        <w:overflowPunct/>
        <w:autoSpaceDE/>
        <w:adjustRightInd/>
        <w:spacing w:before="240" w:after="240"/>
        <w:ind w:firstLine="720"/>
        <w:textAlignment w:val="auto"/>
        <w:rPr>
          <w:rFonts w:ascii="Century" w:hAnsi="Century"/>
          <w:rtl/>
        </w:rPr>
      </w:pPr>
      <w:r>
        <w:rPr>
          <w:rFonts w:ascii="Century" w:hAnsi="Century" w:hint="cs"/>
          <w:rtl/>
        </w:rPr>
        <w:t>תחילה, עמד בית המשפט על הקשר שבין עילת הסבירות לבין עילת חוסר הסמכות, עת שהטעים כי:</w:t>
      </w:r>
    </w:p>
    <w:p w:rsidR="00D61E12" w:rsidRPr="00102554" w:rsidRDefault="00D61E12" w:rsidP="00D61E12">
      <w:pPr>
        <w:pStyle w:val="Ruller5"/>
        <w:bidi w:val="0"/>
        <w:spacing w:before="240" w:after="240"/>
        <w:rPr>
          <w:rFonts w:asciiTheme="majorBidi" w:hAnsiTheme="majorBidi" w:cstheme="majorBidi"/>
          <w:sz w:val="24"/>
          <w:szCs w:val="24"/>
          <w:rtl/>
        </w:rPr>
      </w:pPr>
      <w:r w:rsidRPr="00102554">
        <w:rPr>
          <w:rFonts w:asciiTheme="majorBidi" w:hAnsiTheme="majorBidi" w:cstheme="majorBidi"/>
          <w:sz w:val="24"/>
          <w:szCs w:val="24"/>
        </w:rPr>
        <w:t>"</w:t>
      </w:r>
      <w:r w:rsidRPr="00105C0F">
        <w:rPr>
          <w:rFonts w:asciiTheme="majorBidi" w:hAnsiTheme="majorBidi" w:cstheme="majorBidi"/>
          <w:sz w:val="24"/>
          <w:szCs w:val="24"/>
        </w:rPr>
        <w:t>There may be something so absurd that no sensible person could ever dream that it lay within the powers of authority</w:t>
      </w:r>
      <w:r w:rsidRPr="00102554">
        <w:rPr>
          <w:rFonts w:asciiTheme="majorBidi" w:hAnsiTheme="majorBidi" w:cstheme="majorBidi"/>
          <w:sz w:val="24"/>
          <w:szCs w:val="24"/>
        </w:rPr>
        <w:t>".</w:t>
      </w:r>
      <w:r w:rsidRPr="00102554">
        <w:rPr>
          <w:rFonts w:asciiTheme="majorBidi" w:hAnsiTheme="majorBidi" w:cstheme="majorBidi" w:hint="cs"/>
          <w:sz w:val="24"/>
          <w:szCs w:val="24"/>
          <w:rtl/>
        </w:rPr>
        <w:t xml:space="preserve"> </w:t>
      </w:r>
    </w:p>
    <w:p w:rsidR="00D61E12" w:rsidRDefault="00D61E12" w:rsidP="00D61E12">
      <w:pPr>
        <w:pStyle w:val="Ruller4"/>
        <w:numPr>
          <w:ilvl w:val="0"/>
          <w:numId w:val="0"/>
        </w:numPr>
        <w:tabs>
          <w:tab w:val="clear" w:pos="800"/>
        </w:tabs>
        <w:overflowPunct/>
        <w:autoSpaceDE/>
        <w:adjustRightInd/>
        <w:spacing w:before="240" w:after="240"/>
        <w:ind w:firstLine="720"/>
        <w:textAlignment w:val="auto"/>
        <w:rPr>
          <w:rFonts w:ascii="Century" w:hAnsi="Century"/>
          <w:rtl/>
        </w:rPr>
      </w:pPr>
      <w:r>
        <w:rPr>
          <w:rFonts w:ascii="Century" w:hAnsi="Century" w:hint="cs"/>
          <w:rtl/>
        </w:rPr>
        <w:t>וביתר כלליות, חודדה הזיקה שבין עילת הסבירות לבין יתר עילות הביקורת במשפט המינהלי:</w:t>
      </w:r>
    </w:p>
    <w:p w:rsidR="00D61E12" w:rsidRPr="00102554" w:rsidRDefault="00D61E12" w:rsidP="00D61E12">
      <w:pPr>
        <w:pStyle w:val="Ruller5"/>
        <w:bidi w:val="0"/>
        <w:spacing w:before="240" w:after="240"/>
        <w:rPr>
          <w:rFonts w:asciiTheme="majorBidi" w:hAnsiTheme="majorBidi" w:cstheme="majorBidi"/>
          <w:sz w:val="24"/>
          <w:szCs w:val="24"/>
          <w:rtl/>
        </w:rPr>
      </w:pPr>
      <w:r w:rsidRPr="00102554">
        <w:rPr>
          <w:rFonts w:asciiTheme="majorBidi" w:hAnsiTheme="majorBidi" w:cstheme="majorBidi"/>
          <w:sz w:val="24"/>
          <w:szCs w:val="24"/>
        </w:rPr>
        <w:t>"</w:t>
      </w:r>
      <w:r w:rsidRPr="00105C0F">
        <w:rPr>
          <w:rFonts w:asciiTheme="majorBidi" w:hAnsiTheme="majorBidi" w:cstheme="majorBidi" w:hint="cs"/>
          <w:sz w:val="24"/>
          <w:szCs w:val="24"/>
        </w:rPr>
        <w:t>I</w:t>
      </w:r>
      <w:r w:rsidRPr="00105C0F">
        <w:rPr>
          <w:rFonts w:asciiTheme="majorBidi" w:hAnsiTheme="majorBidi" w:cstheme="majorBidi"/>
          <w:sz w:val="24"/>
          <w:szCs w:val="24"/>
        </w:rPr>
        <w:t>t has frequently been used and is frequently used a</w:t>
      </w:r>
      <w:r>
        <w:rPr>
          <w:rFonts w:asciiTheme="majorBidi" w:hAnsiTheme="majorBidi" w:cstheme="majorBidi"/>
          <w:sz w:val="24"/>
          <w:szCs w:val="24"/>
        </w:rPr>
        <w:t>s a</w:t>
      </w:r>
      <w:r w:rsidRPr="00105C0F">
        <w:rPr>
          <w:rFonts w:asciiTheme="majorBidi" w:hAnsiTheme="majorBidi" w:cstheme="majorBidi"/>
          <w:sz w:val="24"/>
          <w:szCs w:val="24"/>
        </w:rPr>
        <w:t xml:space="preserve"> general description of the things that must not be done</w:t>
      </w:r>
      <w:r w:rsidRPr="00102554">
        <w:rPr>
          <w:rFonts w:asciiTheme="majorBidi" w:hAnsiTheme="majorBidi" w:cstheme="majorBidi"/>
          <w:sz w:val="24"/>
          <w:szCs w:val="24"/>
        </w:rPr>
        <w:t>"</w:t>
      </w:r>
      <w:r w:rsidRPr="00102554">
        <w:rPr>
          <w:rFonts w:asciiTheme="majorBidi" w:hAnsiTheme="majorBidi" w:cstheme="majorBidi" w:hint="cs"/>
          <w:sz w:val="24"/>
          <w:szCs w:val="24"/>
          <w:rtl/>
        </w:rPr>
        <w:t>.</w:t>
      </w:r>
    </w:p>
    <w:p w:rsidR="00D61E12" w:rsidRDefault="00D61E12" w:rsidP="00D61E12">
      <w:pPr>
        <w:pStyle w:val="Ruller4"/>
        <w:numPr>
          <w:ilvl w:val="0"/>
          <w:numId w:val="0"/>
        </w:numPr>
        <w:tabs>
          <w:tab w:val="clear" w:pos="800"/>
        </w:tabs>
        <w:overflowPunct/>
        <w:autoSpaceDE/>
        <w:adjustRightInd/>
        <w:spacing w:before="240" w:after="240"/>
        <w:ind w:firstLine="720"/>
        <w:textAlignment w:val="auto"/>
        <w:rPr>
          <w:rFonts w:ascii="Century" w:hAnsi="Century"/>
          <w:sz w:val="22"/>
          <w:rtl/>
        </w:rPr>
      </w:pPr>
      <w:r w:rsidRPr="00216B21">
        <w:rPr>
          <w:rFonts w:ascii="Century" w:hAnsi="Century" w:hint="cs"/>
          <w:sz w:val="22"/>
          <w:rtl/>
        </w:rPr>
        <w:t xml:space="preserve">לבסוף, ולעניין טיב הפגמים אשר יובילו להתערבות שיפוטית בהחלטה מינהלית </w:t>
      </w:r>
      <w:r>
        <w:rPr>
          <w:rFonts w:ascii="Century" w:hAnsi="Century" w:hint="cs"/>
          <w:sz w:val="22"/>
          <w:rtl/>
        </w:rPr>
        <w:t xml:space="preserve">אף אם </w:t>
      </w:r>
      <w:r w:rsidRPr="00216B21">
        <w:rPr>
          <w:rFonts w:ascii="Century" w:hAnsi="Century" w:hint="cs"/>
          <w:sz w:val="22"/>
          <w:rtl/>
        </w:rPr>
        <w:t xml:space="preserve">התקבלה לאחר </w:t>
      </w:r>
      <w:r>
        <w:rPr>
          <w:rFonts w:ascii="Century" w:hAnsi="Century" w:hint="cs"/>
          <w:sz w:val="22"/>
          <w:rtl/>
        </w:rPr>
        <w:t>שנשקלו</w:t>
      </w:r>
      <w:r w:rsidRPr="00216B21">
        <w:rPr>
          <w:rFonts w:ascii="Century" w:hAnsi="Century" w:hint="cs"/>
          <w:sz w:val="22"/>
          <w:rtl/>
        </w:rPr>
        <w:t xml:space="preserve"> כלל ה</w:t>
      </w:r>
      <w:r>
        <w:rPr>
          <w:rFonts w:ascii="Century" w:hAnsi="Century" w:hint="cs"/>
          <w:sz w:val="22"/>
          <w:rtl/>
        </w:rPr>
        <w:t>שיקולים הרלוונטיים, נפסק שם, בסיכומם של דברים, כך:</w:t>
      </w:r>
    </w:p>
    <w:p w:rsidR="00D61E12" w:rsidRPr="00102554" w:rsidRDefault="00D61E12" w:rsidP="00D61E12">
      <w:pPr>
        <w:pStyle w:val="Ruller5"/>
        <w:bidi w:val="0"/>
        <w:spacing w:before="240" w:after="240"/>
        <w:rPr>
          <w:rFonts w:asciiTheme="majorBidi" w:hAnsiTheme="majorBidi" w:cstheme="majorBidi"/>
          <w:sz w:val="24"/>
          <w:szCs w:val="24"/>
        </w:rPr>
      </w:pPr>
      <w:r w:rsidRPr="00102554">
        <w:rPr>
          <w:rFonts w:asciiTheme="majorBidi" w:hAnsiTheme="majorBidi" w:cstheme="majorBidi"/>
          <w:sz w:val="24"/>
          <w:szCs w:val="24"/>
        </w:rPr>
        <w:t>"</w:t>
      </w:r>
      <w:r w:rsidRPr="00105C0F">
        <w:rPr>
          <w:rFonts w:asciiTheme="majorBidi" w:hAnsiTheme="majorBidi" w:cstheme="majorBidi"/>
          <w:sz w:val="24"/>
          <w:szCs w:val="24"/>
        </w:rPr>
        <w:t>[…] it may be still possible to say that, although the local authority has kept within the four corners of the matters which they ought to consider, they have nevertheless come to a conclusion so unreasonable that no reasonable authority could ever come to it. In such a case, again, I think the court can interfere</w:t>
      </w:r>
      <w:r w:rsidRPr="00102554">
        <w:rPr>
          <w:rFonts w:asciiTheme="majorBidi" w:hAnsiTheme="majorBidi" w:cstheme="majorBidi"/>
          <w:sz w:val="24"/>
          <w:szCs w:val="24"/>
        </w:rPr>
        <w:t>"</w:t>
      </w:r>
      <w:r>
        <w:rPr>
          <w:rFonts w:asciiTheme="majorBidi" w:hAnsiTheme="majorBidi" w:cstheme="majorBidi"/>
          <w:sz w:val="24"/>
          <w:szCs w:val="24"/>
        </w:rPr>
        <w:t xml:space="preserve"> (</w:t>
      </w:r>
      <w:r w:rsidRPr="002333D1">
        <w:rPr>
          <w:rFonts w:ascii="Century" w:hAnsi="Century" w:hint="cs"/>
          <w:rtl/>
        </w:rPr>
        <w:t>שם, בעמוד 234</w:t>
      </w:r>
      <w:r>
        <w:rPr>
          <w:rFonts w:asciiTheme="majorBidi" w:hAnsiTheme="majorBidi" w:cstheme="majorBidi"/>
          <w:sz w:val="24"/>
          <w:szCs w:val="24"/>
        </w:rPr>
        <w:t>)</w:t>
      </w:r>
      <w:r w:rsidRPr="002333D1">
        <w:rPr>
          <w:rFonts w:ascii="Century" w:hAnsi="Century"/>
        </w:rPr>
        <w:t>.</w:t>
      </w:r>
    </w:p>
    <w:p w:rsidR="00D61E12" w:rsidRPr="00773EFD" w:rsidRDefault="00D61E12" w:rsidP="00D61E12">
      <w:pPr>
        <w:pStyle w:val="Ruller4"/>
        <w:spacing w:before="240" w:after="240"/>
        <w:rPr>
          <w:rFonts w:ascii="Century" w:hAnsi="Century"/>
          <w:sz w:val="22"/>
          <w:rtl/>
        </w:rPr>
      </w:pPr>
      <w:r>
        <w:rPr>
          <w:rFonts w:ascii="Century" w:hAnsi="Century" w:hint="cs"/>
          <w:sz w:val="22"/>
          <w:rtl/>
        </w:rPr>
        <w:t xml:space="preserve">ואכן, זיקתה של עילת הסבירות ליתר עילות הביקורת השיפוטית במשפט המינהלי, ובעיקרן </w:t>
      </w:r>
      <w:r>
        <w:rPr>
          <w:rFonts w:ascii="Century" w:hAnsi="Century"/>
          <w:sz w:val="22"/>
          <w:rtl/>
        </w:rPr>
        <w:t>–</w:t>
      </w:r>
      <w:r>
        <w:rPr>
          <w:rFonts w:ascii="Century" w:hAnsi="Century" w:hint="cs"/>
          <w:sz w:val="22"/>
          <w:rtl/>
        </w:rPr>
        <w:t xml:space="preserve"> לעילת </w:t>
      </w:r>
      <w:r>
        <w:rPr>
          <w:rFonts w:ascii="Century" w:hAnsi="Century" w:cs="Miriam" w:hint="cs"/>
          <w:b/>
          <w:spacing w:val="0"/>
          <w:sz w:val="22"/>
          <w:szCs w:val="24"/>
          <w:rtl/>
        </w:rPr>
        <w:t>חוסר הסמכות</w:t>
      </w:r>
      <w:r>
        <w:rPr>
          <w:rFonts w:ascii="Century" w:hAnsi="Century" w:hint="cs"/>
          <w:sz w:val="22"/>
          <w:rtl/>
        </w:rPr>
        <w:t>, מבוססת היטב בשיטת המשפט האנגלית. הבסיס העיוני לזיקה זו תואר בעבר על ידי פרופ' איל זמיר, כדלהלן:</w:t>
      </w:r>
    </w:p>
    <w:p w:rsidR="00D61E12" w:rsidRPr="00D70D6B" w:rsidRDefault="00D61E12" w:rsidP="00D61E12">
      <w:pPr>
        <w:pStyle w:val="Ruller5"/>
        <w:spacing w:before="240" w:after="240"/>
        <w:rPr>
          <w:rFonts w:ascii="Century" w:hAnsi="Century"/>
        </w:rPr>
      </w:pPr>
      <w:r w:rsidRPr="00D70D6B">
        <w:rPr>
          <w:rFonts w:ascii="Century" w:hAnsi="Century" w:hint="cs"/>
          <w:rtl/>
        </w:rPr>
        <w:t xml:space="preserve">"אין תוקף משפטי לנורמה שאין לה מקור הסמכה, או החורגת מהסמכות שהוענקה למייצר אותה נורמה. זוהי הדוקטרינה של </w:t>
      </w:r>
      <w:r w:rsidRPr="00105C0F">
        <w:rPr>
          <w:rFonts w:asciiTheme="majorBidi" w:hAnsiTheme="majorBidi" w:cstheme="majorBidi"/>
          <w:sz w:val="24"/>
          <w:szCs w:val="32"/>
        </w:rPr>
        <w:t>Ultra-vires</w:t>
      </w:r>
      <w:r w:rsidRPr="00D70D6B">
        <w:rPr>
          <w:rFonts w:ascii="Century" w:hAnsi="Century" w:hint="cs"/>
          <w:rtl/>
        </w:rPr>
        <w:t xml:space="preserve"> [...] היות שהמחוקק (באנגליה כבישראל) אינו מגדיר באופן כולל ומקיף את </w:t>
      </w:r>
      <w:r w:rsidRPr="00D70D6B">
        <w:rPr>
          <w:rFonts w:ascii="Century" w:hAnsi="Century" w:hint="cs"/>
          <w:rtl/>
        </w:rPr>
        <w:lastRenderedPageBreak/>
        <w:t xml:space="preserve">גבולות הסמכות של המינהל, נדרש בית המשפט, בדרך של פרשנות החוק ואיתור כוונתו המשוערת של המחוקק, לקבוע את היקפה של הסמכות. </w:t>
      </w:r>
      <w:r w:rsidRPr="00D70D6B">
        <w:rPr>
          <w:rFonts w:ascii="Century" w:hAnsi="Century" w:cs="Miriam" w:hint="cs"/>
          <w:szCs w:val="24"/>
          <w:rtl/>
        </w:rPr>
        <w:t>מכאן קצרה הדרך לייחס למחוקק כוונה משוערת שהאקטים האינדיווידואליים והכלליים של המינהל, הנעשים מכוח הסמכתו של המחוקק, ייעשו באופן סביר</w:t>
      </w:r>
      <w:r w:rsidRPr="00D70D6B">
        <w:rPr>
          <w:rFonts w:ascii="Century" w:hAnsi="Century" w:hint="cs"/>
          <w:rtl/>
        </w:rPr>
        <w:t xml:space="preserve">" (איל זמיר "עילת אי-הסבירות במשפט המינהלי" </w:t>
      </w:r>
      <w:r w:rsidRPr="00D70D6B">
        <w:rPr>
          <w:rFonts w:ascii="Century" w:hAnsi="Century" w:cs="Miriam" w:hint="cs"/>
          <w:szCs w:val="24"/>
          <w:rtl/>
        </w:rPr>
        <w:t xml:space="preserve">משפטים </w:t>
      </w:r>
      <w:r w:rsidRPr="00D70D6B">
        <w:rPr>
          <w:rFonts w:ascii="Century" w:hAnsi="Century" w:hint="cs"/>
          <w:rtl/>
        </w:rPr>
        <w:t xml:space="preserve">י"ב 291, 308 (1982) </w:t>
      </w:r>
      <w:r w:rsidRPr="00D70D6B">
        <w:rPr>
          <w:rFonts w:ascii="Century" w:hAnsi="Century"/>
          <w:rtl/>
        </w:rPr>
        <w:t>(</w:t>
      </w:r>
      <w:r w:rsidRPr="00D70D6B">
        <w:rPr>
          <w:rFonts w:ascii="Century" w:hAnsi="Century" w:hint="eastAsia"/>
          <w:rtl/>
        </w:rPr>
        <w:t>להלן</w:t>
      </w:r>
      <w:r w:rsidRPr="00D70D6B">
        <w:rPr>
          <w:rFonts w:ascii="Century" w:hAnsi="Century"/>
          <w:rtl/>
        </w:rPr>
        <w:t xml:space="preserve">: </w:t>
      </w:r>
      <w:r w:rsidRPr="00D70D6B">
        <w:rPr>
          <w:rFonts w:ascii="Century" w:hAnsi="Century" w:cs="Miriam" w:hint="cs"/>
          <w:szCs w:val="24"/>
          <w:rtl/>
        </w:rPr>
        <w:t xml:space="preserve">זמיר </w:t>
      </w:r>
      <w:r w:rsidRPr="00D70D6B">
        <w:rPr>
          <w:rFonts w:ascii="Century" w:hAnsi="Century" w:cs="Miriam"/>
          <w:szCs w:val="24"/>
          <w:rtl/>
        </w:rPr>
        <w:t>–</w:t>
      </w:r>
      <w:r w:rsidRPr="00D70D6B">
        <w:rPr>
          <w:rFonts w:ascii="Century" w:hAnsi="Century" w:cs="Miriam" w:hint="cs"/>
          <w:szCs w:val="24"/>
          <w:rtl/>
        </w:rPr>
        <w:t xml:space="preserve"> עילת אי-הסבירות</w:t>
      </w:r>
      <w:r w:rsidRPr="00D70D6B">
        <w:rPr>
          <w:rFonts w:ascii="Century" w:hAnsi="Century" w:hint="cs"/>
          <w:rtl/>
        </w:rPr>
        <w:t xml:space="preserve">) (ההדגשות הוספו </w:t>
      </w:r>
      <w:r w:rsidRPr="00D70D6B">
        <w:rPr>
          <w:rFonts w:ascii="Century" w:hAnsi="Century"/>
          <w:rtl/>
        </w:rPr>
        <w:t>–</w:t>
      </w:r>
      <w:r w:rsidRPr="00D70D6B">
        <w:rPr>
          <w:rFonts w:ascii="Century" w:hAnsi="Century" w:hint="cs"/>
          <w:rtl/>
        </w:rPr>
        <w:t xml:space="preserve"> ח' כ')).</w:t>
      </w:r>
    </w:p>
    <w:p w:rsidR="00D61E12" w:rsidRPr="00BB0D54" w:rsidRDefault="00D61E12" w:rsidP="002A1A3A">
      <w:pPr>
        <w:pStyle w:val="Ruller41"/>
        <w:numPr>
          <w:ilvl w:val="2"/>
          <w:numId w:val="16"/>
        </w:numPr>
        <w:spacing w:before="240" w:after="240"/>
        <w:rPr>
          <w:rFonts w:ascii="Century" w:hAnsi="Century" w:cs="Miriam"/>
          <w:b/>
          <w:spacing w:val="0"/>
          <w:szCs w:val="24"/>
        </w:rPr>
      </w:pPr>
      <w:r>
        <w:rPr>
          <w:rFonts w:ascii="Century" w:hAnsi="Century" w:cs="Miriam" w:hint="cs"/>
          <w:b/>
          <w:spacing w:val="0"/>
          <w:szCs w:val="24"/>
          <w:rtl/>
        </w:rPr>
        <w:t xml:space="preserve">עילת הסבירות בשנותיו הראשונות של המשפט הישראלי </w:t>
      </w:r>
    </w:p>
    <w:p w:rsidR="00D61E12" w:rsidRPr="005F5BB6" w:rsidRDefault="00D61E12" w:rsidP="00D61E12">
      <w:pPr>
        <w:pStyle w:val="Ruller4"/>
        <w:spacing w:before="240" w:after="240"/>
        <w:rPr>
          <w:rFonts w:ascii="Century" w:hAnsi="Century"/>
          <w:sz w:val="22"/>
        </w:rPr>
      </w:pPr>
      <w:r>
        <w:rPr>
          <w:rFonts w:ascii="Century" w:hAnsi="Century" w:hint="cs"/>
          <w:sz w:val="22"/>
          <w:rtl/>
        </w:rPr>
        <w:t xml:space="preserve">עילת הסבירות האנגלית התפשטה לכלל מדינות המשפט המקובל. יחד עם קליטת המשפט האנגלי בארץ ישראל, נקלטה גם עילה זו לתוך המשפט המנדטורי ולאחריו </w:t>
      </w:r>
      <w:r>
        <w:rPr>
          <w:rFonts w:ascii="Century" w:hAnsi="Century"/>
          <w:sz w:val="22"/>
          <w:rtl/>
        </w:rPr>
        <w:t>–</w:t>
      </w:r>
      <w:r>
        <w:rPr>
          <w:rFonts w:ascii="Century" w:hAnsi="Century" w:hint="cs"/>
          <w:sz w:val="22"/>
          <w:rtl/>
        </w:rPr>
        <w:t xml:space="preserve"> למשפט הישראלי, כבר בשנותיו הראשונות</w:t>
      </w:r>
      <w:r w:rsidRPr="005F5BB6">
        <w:rPr>
          <w:rFonts w:ascii="Century" w:hAnsi="Century" w:hint="cs"/>
          <w:sz w:val="22"/>
          <w:rtl/>
        </w:rPr>
        <w:t xml:space="preserve"> (</w:t>
      </w:r>
      <w:r w:rsidRPr="005F5BB6">
        <w:rPr>
          <w:rFonts w:ascii="Century" w:hAnsi="Century" w:cs="Miriam" w:hint="cs"/>
          <w:sz w:val="22"/>
          <w:szCs w:val="24"/>
          <w:rtl/>
        </w:rPr>
        <w:t xml:space="preserve">זמיר </w:t>
      </w:r>
      <w:r w:rsidRPr="005F5BB6">
        <w:rPr>
          <w:rFonts w:ascii="Century" w:hAnsi="Century" w:cs="Miriam"/>
          <w:sz w:val="22"/>
          <w:szCs w:val="24"/>
          <w:rtl/>
        </w:rPr>
        <w:t>–</w:t>
      </w:r>
      <w:r w:rsidRPr="005F5BB6">
        <w:rPr>
          <w:rFonts w:ascii="Century" w:hAnsi="Century" w:cs="Miriam" w:hint="cs"/>
          <w:sz w:val="22"/>
          <w:szCs w:val="24"/>
          <w:rtl/>
        </w:rPr>
        <w:t xml:space="preserve"> הסמכות המינהלית</w:t>
      </w:r>
      <w:r>
        <w:rPr>
          <w:rFonts w:ascii="Century" w:hAnsi="Century" w:hint="cs"/>
          <w:sz w:val="22"/>
          <w:rtl/>
        </w:rPr>
        <w:t>, בעמוד 3849).</w:t>
      </w:r>
    </w:p>
    <w:p w:rsidR="00D61E12" w:rsidRPr="00773EFD" w:rsidRDefault="00D61E12" w:rsidP="00D61E12">
      <w:pPr>
        <w:pStyle w:val="Ruller4"/>
        <w:spacing w:before="240" w:after="240"/>
        <w:rPr>
          <w:rFonts w:ascii="Century" w:hAnsi="Century"/>
          <w:sz w:val="22"/>
        </w:rPr>
      </w:pPr>
      <w:r>
        <w:rPr>
          <w:rFonts w:ascii="Century" w:hAnsi="Century" w:hint="cs"/>
          <w:sz w:val="22"/>
          <w:rtl/>
        </w:rPr>
        <w:t xml:space="preserve">ואכן, השימוש במושג 'סבירות' כאמת מידה להתערבות בהחלטות המינהל </w:t>
      </w:r>
      <w:r>
        <w:rPr>
          <w:rFonts w:ascii="Century" w:hAnsi="Century"/>
          <w:sz w:val="22"/>
          <w:rtl/>
        </w:rPr>
        <w:t>–</w:t>
      </w:r>
      <w:r>
        <w:rPr>
          <w:rFonts w:ascii="Century" w:hAnsi="Century" w:hint="cs"/>
          <w:sz w:val="22"/>
          <w:rtl/>
        </w:rPr>
        <w:t xml:space="preserve"> ניכר עוד משלבים מוקדמים של המשפט הישראלי. </w:t>
      </w:r>
      <w:r w:rsidRPr="00773EFD">
        <w:rPr>
          <w:rFonts w:ascii="Century" w:hAnsi="Century" w:hint="cs"/>
          <w:sz w:val="22"/>
          <w:rtl/>
        </w:rPr>
        <w:t xml:space="preserve">כך למשל, בבג"ץ 241/60 </w:t>
      </w:r>
      <w:r w:rsidRPr="00773EFD">
        <w:rPr>
          <w:rFonts w:ascii="Century" w:hAnsi="Century" w:cs="Miriam" w:hint="cs"/>
          <w:b/>
          <w:spacing w:val="0"/>
          <w:sz w:val="22"/>
          <w:szCs w:val="24"/>
          <w:rtl/>
        </w:rPr>
        <w:t>כרדוש נ' רשם החברות</w:t>
      </w:r>
      <w:r w:rsidRPr="00773EFD">
        <w:rPr>
          <w:rFonts w:ascii="Century" w:hAnsi="Century" w:hint="cs"/>
          <w:sz w:val="22"/>
          <w:rtl/>
        </w:rPr>
        <w:t xml:space="preserve">, פ"ד טו 1151, 1164 (1961) </w:t>
      </w:r>
      <w:r w:rsidRPr="00773EFD">
        <w:rPr>
          <w:rFonts w:ascii="Century" w:hAnsi="Century"/>
          <w:sz w:val="22"/>
          <w:rtl/>
        </w:rPr>
        <w:t>(</w:t>
      </w:r>
      <w:r w:rsidRPr="00773EFD">
        <w:rPr>
          <w:rFonts w:ascii="Century" w:hAnsi="Century" w:hint="eastAsia"/>
          <w:sz w:val="22"/>
          <w:rtl/>
        </w:rPr>
        <w:t>להלן</w:t>
      </w:r>
      <w:r w:rsidRPr="00773EFD">
        <w:rPr>
          <w:rFonts w:ascii="Century" w:hAnsi="Century"/>
          <w:sz w:val="22"/>
          <w:rtl/>
        </w:rPr>
        <w:t xml:space="preserve">: </w:t>
      </w:r>
      <w:r w:rsidRPr="00773EFD">
        <w:rPr>
          <w:rFonts w:ascii="Century" w:hAnsi="Century" w:cs="Miriam" w:hint="cs"/>
          <w:sz w:val="22"/>
          <w:szCs w:val="24"/>
          <w:rtl/>
        </w:rPr>
        <w:t>עניין כרדוש</w:t>
      </w:r>
      <w:r w:rsidRPr="00773EFD">
        <w:rPr>
          <w:rFonts w:ascii="Century" w:hAnsi="Century" w:hint="cs"/>
          <w:sz w:val="22"/>
          <w:rtl/>
        </w:rPr>
        <w:t xml:space="preserve">)) </w:t>
      </w:r>
      <w:r>
        <w:rPr>
          <w:rFonts w:ascii="Century" w:hAnsi="Century" w:hint="cs"/>
          <w:sz w:val="22"/>
          <w:rtl/>
        </w:rPr>
        <w:t>נפסק</w:t>
      </w:r>
      <w:r w:rsidRPr="00773EFD">
        <w:rPr>
          <w:rFonts w:ascii="Century" w:hAnsi="Century" w:hint="cs"/>
          <w:sz w:val="22"/>
          <w:rtl/>
        </w:rPr>
        <w:t xml:space="preserve"> כי "</w:t>
      </w:r>
      <w:r w:rsidRPr="00B65627">
        <w:rPr>
          <w:rFonts w:ascii="Century" w:hAnsi="Century" w:cs="Miriam" w:hint="cs"/>
          <w:b/>
          <w:spacing w:val="0"/>
          <w:sz w:val="22"/>
          <w:szCs w:val="24"/>
          <w:rtl/>
        </w:rPr>
        <w:t>רשאי בית-המשפט הגבוה לצדק להיכנס לעובי הקורה של השאלות, אם הרשות נתפסה לשיקולים בלתי סבירים או לא הביאה בחשבון שיקולים רלבנטיים</w:t>
      </w:r>
      <w:r w:rsidRPr="00773EFD">
        <w:rPr>
          <w:rFonts w:ascii="Century" w:hAnsi="Century" w:hint="cs"/>
          <w:sz w:val="22"/>
          <w:rtl/>
        </w:rPr>
        <w:t xml:space="preserve">" (כן ראו: </w:t>
      </w:r>
      <w:r w:rsidRPr="00773EFD">
        <w:rPr>
          <w:rFonts w:ascii="Century" w:hAnsi="Century" w:hint="cs"/>
          <w:rtl/>
        </w:rPr>
        <w:t xml:space="preserve">ע"א 311/57 </w:t>
      </w:r>
      <w:r>
        <w:rPr>
          <w:rFonts w:ascii="Century" w:hAnsi="Century" w:cs="Miriam" w:hint="cs"/>
          <w:b/>
          <w:spacing w:val="0"/>
          <w:szCs w:val="24"/>
          <w:rtl/>
        </w:rPr>
        <w:t>היועץ המשפטי לממשלה נ' מ. דיז</w:t>
      </w:r>
      <w:r w:rsidRPr="00773EFD">
        <w:rPr>
          <w:rFonts w:ascii="Century" w:hAnsi="Century" w:cs="Miriam" w:hint="cs"/>
          <w:b/>
          <w:spacing w:val="0"/>
          <w:szCs w:val="24"/>
          <w:rtl/>
        </w:rPr>
        <w:t>נגוף ושות' (שיט) בע"מ</w:t>
      </w:r>
      <w:r w:rsidRPr="00773EFD">
        <w:rPr>
          <w:rFonts w:ascii="Century" w:hAnsi="Century" w:hint="cs"/>
          <w:rtl/>
        </w:rPr>
        <w:t xml:space="preserve">, פ"ד יג 1026 (1959) </w:t>
      </w:r>
      <w:r w:rsidRPr="00773EFD">
        <w:rPr>
          <w:rFonts w:ascii="Century" w:hAnsi="Century"/>
          <w:rtl/>
        </w:rPr>
        <w:t>(</w:t>
      </w:r>
      <w:r w:rsidRPr="00773EFD">
        <w:rPr>
          <w:rFonts w:ascii="Century" w:hAnsi="Century" w:hint="eastAsia"/>
          <w:rtl/>
        </w:rPr>
        <w:t>להלן</w:t>
      </w:r>
      <w:r w:rsidRPr="00773EFD">
        <w:rPr>
          <w:rFonts w:ascii="Century" w:hAnsi="Century"/>
          <w:rtl/>
        </w:rPr>
        <w:t xml:space="preserve">: </w:t>
      </w:r>
      <w:r w:rsidRPr="00773EFD">
        <w:rPr>
          <w:rFonts w:ascii="Century" w:hAnsi="Century" w:cs="Miriam" w:hint="cs"/>
          <w:b/>
          <w:spacing w:val="0"/>
          <w:szCs w:val="24"/>
          <w:rtl/>
        </w:rPr>
        <w:t>עניין דיזנגוף</w:t>
      </w:r>
      <w:r>
        <w:rPr>
          <w:rFonts w:ascii="Century" w:hAnsi="Century" w:hint="cs"/>
          <w:rtl/>
        </w:rPr>
        <w:t>)</w:t>
      </w:r>
      <w:r w:rsidRPr="00773EFD">
        <w:rPr>
          <w:rFonts w:ascii="Century" w:hAnsi="Century" w:hint="cs"/>
          <w:sz w:val="22"/>
          <w:rtl/>
        </w:rPr>
        <w:t xml:space="preserve">). </w:t>
      </w:r>
    </w:p>
    <w:p w:rsidR="00D61E12" w:rsidRPr="005F5BB6" w:rsidRDefault="00D61E12" w:rsidP="00D61E12">
      <w:pPr>
        <w:pStyle w:val="Ruller4"/>
        <w:spacing w:before="240" w:after="240"/>
        <w:rPr>
          <w:rFonts w:ascii="Century" w:hAnsi="Century"/>
          <w:sz w:val="22"/>
        </w:rPr>
      </w:pPr>
      <w:r>
        <w:rPr>
          <w:rFonts w:ascii="Century" w:hAnsi="Century" w:hint="cs"/>
          <w:sz w:val="22"/>
          <w:rtl/>
        </w:rPr>
        <w:t xml:space="preserve">לא למותר לציין, כי אף מפסיקה אחרת, מוקדמת עוד יותר, אשר אומנם לא נקטה באופן מפורש במונח 'סבירות', ניתן ללמוד על האופן שבו הובנה עילת הסבירות באותם הימים. לדוגמא, עוד </w:t>
      </w:r>
      <w:r w:rsidRPr="005F5BB6">
        <w:rPr>
          <w:rFonts w:ascii="Century" w:hAnsi="Century" w:hint="cs"/>
          <w:sz w:val="22"/>
          <w:rtl/>
        </w:rPr>
        <w:t xml:space="preserve">בבג"ץ 80/54 </w:t>
      </w:r>
      <w:r w:rsidRPr="005F5BB6">
        <w:rPr>
          <w:rFonts w:ascii="Century" w:hAnsi="Century" w:cs="Miriam" w:hint="cs"/>
          <w:b/>
          <w:spacing w:val="0"/>
          <w:sz w:val="22"/>
          <w:szCs w:val="24"/>
          <w:rtl/>
        </w:rPr>
        <w:t>נוחימובסקי נ' שר המשפטים</w:t>
      </w:r>
      <w:r w:rsidRPr="005F5BB6">
        <w:rPr>
          <w:rFonts w:ascii="Century" w:hAnsi="Century" w:hint="cs"/>
          <w:sz w:val="22"/>
          <w:rtl/>
        </w:rPr>
        <w:t xml:space="preserve">, פ"ד ח 1491, 1499 (1954) </w:t>
      </w:r>
      <w:r w:rsidRPr="005F5BB6">
        <w:rPr>
          <w:rFonts w:ascii="Century" w:hAnsi="Century"/>
          <w:sz w:val="22"/>
          <w:rtl/>
        </w:rPr>
        <w:t>(</w:t>
      </w:r>
      <w:r w:rsidRPr="005F5BB6">
        <w:rPr>
          <w:rFonts w:ascii="Century" w:hAnsi="Century" w:hint="eastAsia"/>
          <w:sz w:val="22"/>
          <w:rtl/>
        </w:rPr>
        <w:t>להלן</w:t>
      </w:r>
      <w:r w:rsidRPr="005F5BB6">
        <w:rPr>
          <w:rFonts w:ascii="Century" w:hAnsi="Century"/>
          <w:sz w:val="22"/>
          <w:rtl/>
        </w:rPr>
        <w:t xml:space="preserve">: </w:t>
      </w:r>
      <w:r w:rsidRPr="005F5BB6">
        <w:rPr>
          <w:rFonts w:ascii="Century" w:hAnsi="Century" w:cs="Miriam" w:hint="cs"/>
          <w:b/>
          <w:spacing w:val="0"/>
          <w:sz w:val="22"/>
          <w:szCs w:val="24"/>
          <w:rtl/>
        </w:rPr>
        <w:t>עניין נוחימובסקי</w:t>
      </w:r>
      <w:r>
        <w:rPr>
          <w:rFonts w:ascii="Century" w:hAnsi="Century" w:hint="cs"/>
          <w:sz w:val="22"/>
          <w:rtl/>
        </w:rPr>
        <w:t xml:space="preserve">)), הדגיש בית משפט זה את העיקרון לפיו </w:t>
      </w:r>
      <w:r w:rsidRPr="005F5BB6">
        <w:rPr>
          <w:rFonts w:ascii="Century" w:hAnsi="Century" w:hint="cs"/>
          <w:sz w:val="22"/>
          <w:rtl/>
        </w:rPr>
        <w:t>"</w:t>
      </w:r>
      <w:r w:rsidRPr="005F5BB6">
        <w:rPr>
          <w:rFonts w:ascii="Century" w:hAnsi="Century" w:cs="Miriam" w:hint="cs"/>
          <w:b/>
          <w:spacing w:val="0"/>
          <w:sz w:val="22"/>
          <w:szCs w:val="24"/>
          <w:rtl/>
        </w:rPr>
        <w:t>עשיית מעשה שהוא באופן בולט בלתי מתקבל על הדעת, אין לראות בו שימוש נכון בסמכות למטרה היעודה, וגם הוא פסול</w:t>
      </w:r>
      <w:r w:rsidRPr="005F5BB6">
        <w:rPr>
          <w:rFonts w:ascii="Century" w:hAnsi="Century" w:hint="cs"/>
          <w:sz w:val="22"/>
          <w:rtl/>
        </w:rPr>
        <w:t>".</w:t>
      </w:r>
    </w:p>
    <w:p w:rsidR="00D61E12" w:rsidRPr="00773EFD" w:rsidRDefault="00D61E12" w:rsidP="00D61E12">
      <w:pPr>
        <w:pStyle w:val="Ruller4"/>
        <w:spacing w:before="240" w:after="240"/>
        <w:rPr>
          <w:rFonts w:ascii="Century" w:hAnsi="Century"/>
          <w:sz w:val="22"/>
        </w:rPr>
      </w:pPr>
      <w:r>
        <w:rPr>
          <w:rFonts w:ascii="Century" w:hAnsi="Century" w:hint="cs"/>
          <w:sz w:val="22"/>
          <w:rtl/>
        </w:rPr>
        <w:t>מלבד האמור, עיון בפסיקה המוקדמת ביחס לעילת הסבירות מלמד כי בעת קליטתה למשפט הישראלי נשמרו שלושה היבטים משמעותיים אשר אפיינו את עילת הסבירות האנגלית.</w:t>
      </w:r>
    </w:p>
    <w:p w:rsidR="00D61E12" w:rsidRPr="00245E3A" w:rsidRDefault="00D61E12" w:rsidP="00D61E12">
      <w:pPr>
        <w:pStyle w:val="Ruller4"/>
        <w:spacing w:before="240" w:after="240"/>
        <w:rPr>
          <w:rFonts w:ascii="Century" w:hAnsi="Century"/>
          <w:sz w:val="22"/>
          <w:rtl/>
        </w:rPr>
      </w:pPr>
      <w:r w:rsidRPr="00017064">
        <w:rPr>
          <w:rFonts w:ascii="Century" w:hAnsi="Century" w:cs="Miriam" w:hint="cs"/>
          <w:b/>
          <w:spacing w:val="0"/>
          <w:sz w:val="22"/>
          <w:szCs w:val="24"/>
          <w:rtl/>
        </w:rPr>
        <w:t>המאפיין הראשון</w:t>
      </w:r>
      <w:r w:rsidRPr="00017064">
        <w:rPr>
          <w:rFonts w:ascii="Century" w:hAnsi="Century" w:hint="cs"/>
          <w:sz w:val="22"/>
          <w:rtl/>
        </w:rPr>
        <w:t xml:space="preserve"> עניינו ברציונל העיוני שעומד בבסיס עילת הסבירות, דהיינו </w:t>
      </w:r>
      <w:r w:rsidRPr="00017064">
        <w:rPr>
          <w:rFonts w:ascii="Century" w:hAnsi="Century"/>
          <w:sz w:val="22"/>
          <w:rtl/>
        </w:rPr>
        <w:t>–</w:t>
      </w:r>
      <w:r w:rsidRPr="00017064">
        <w:rPr>
          <w:rFonts w:ascii="Century" w:hAnsi="Century" w:hint="cs"/>
          <w:sz w:val="22"/>
          <w:rtl/>
        </w:rPr>
        <w:t xml:space="preserve"> בזיקתה של עילת הסבירות לעילת חוסר הסמכות. כך, בפסיקה שהוזכרה לעיל ובפסקי דין אחרים מאותה העת, הדגיש בית משפט זה את הקשר בין טיב הסמכות שהעניק המחוקק לרשות המינהלית לבין סבירותה של החלטתה (</w:t>
      </w:r>
      <w:r w:rsidRPr="00017064">
        <w:rPr>
          <w:rFonts w:ascii="Century" w:hAnsi="Century" w:hint="cs"/>
          <w:rtl/>
        </w:rPr>
        <w:t xml:space="preserve">ראו למשל: עניין </w:t>
      </w:r>
      <w:r w:rsidRPr="00017064">
        <w:rPr>
          <w:rFonts w:ascii="Century" w:hAnsi="Century" w:cs="Miriam" w:hint="cs"/>
          <w:b/>
          <w:spacing w:val="0"/>
          <w:sz w:val="22"/>
          <w:szCs w:val="24"/>
          <w:rtl/>
        </w:rPr>
        <w:t>כרדוש</w:t>
      </w:r>
      <w:r w:rsidRPr="00017064">
        <w:rPr>
          <w:rFonts w:ascii="Century" w:hAnsi="Century" w:hint="cs"/>
          <w:rtl/>
        </w:rPr>
        <w:t xml:space="preserve">, בעמוד </w:t>
      </w:r>
      <w:r w:rsidRPr="00017064">
        <w:rPr>
          <w:rFonts w:ascii="Century" w:hAnsi="Century" w:hint="cs"/>
          <w:rtl/>
        </w:rPr>
        <w:lastRenderedPageBreak/>
        <w:t>1164; ע"א</w:t>
      </w:r>
      <w:r w:rsidRPr="00017064">
        <w:rPr>
          <w:rFonts w:ascii="Century" w:hAnsi="Century" w:hint="cs"/>
          <w:sz w:val="22"/>
          <w:rtl/>
        </w:rPr>
        <w:t xml:space="preserve"> 6/66 </w:t>
      </w:r>
      <w:r w:rsidRPr="00017064">
        <w:rPr>
          <w:rFonts w:ascii="Century" w:hAnsi="Century" w:cs="Miriam" w:hint="cs"/>
          <w:b/>
          <w:spacing w:val="0"/>
          <w:sz w:val="22"/>
          <w:szCs w:val="24"/>
          <w:rtl/>
        </w:rPr>
        <w:t>שם טוב קלו נ' עיריית בת-ים</w:t>
      </w:r>
      <w:r w:rsidRPr="00017064">
        <w:rPr>
          <w:rFonts w:ascii="Century" w:hAnsi="Century" w:hint="cs"/>
          <w:sz w:val="22"/>
          <w:rtl/>
        </w:rPr>
        <w:t>, פ"ד כ(2) 327, 332-331 (1966); ע</w:t>
      </w:r>
      <w:r w:rsidRPr="00017064">
        <w:rPr>
          <w:rFonts w:ascii="Century" w:hAnsi="Century" w:hint="cs"/>
          <w:rtl/>
        </w:rPr>
        <w:t xml:space="preserve">"א 780/70 </w:t>
      </w:r>
      <w:r w:rsidRPr="00017064">
        <w:rPr>
          <w:rFonts w:ascii="Century" w:hAnsi="Century" w:cs="Miriam" w:hint="cs"/>
          <w:b/>
          <w:spacing w:val="0"/>
          <w:sz w:val="22"/>
          <w:szCs w:val="24"/>
          <w:rtl/>
        </w:rPr>
        <w:t>עירית תל-אביב-יפו נ' ספיר</w:t>
      </w:r>
      <w:r w:rsidRPr="00017064">
        <w:rPr>
          <w:rFonts w:ascii="Century" w:hAnsi="Century" w:hint="cs"/>
          <w:rtl/>
        </w:rPr>
        <w:t xml:space="preserve">, פ"ד כה(2) 486, 495 (1971)). </w:t>
      </w:r>
      <w:r w:rsidRPr="00017064">
        <w:rPr>
          <w:rFonts w:ascii="Century" w:hAnsi="Century" w:hint="cs"/>
          <w:sz w:val="22"/>
          <w:rtl/>
        </w:rPr>
        <w:t xml:space="preserve">דהיינו, לא אחת הוטעם כי </w:t>
      </w:r>
      <w:r w:rsidRPr="00017064">
        <w:rPr>
          <w:rFonts w:ascii="Century" w:hAnsi="Century" w:hint="cs"/>
          <w:rtl/>
        </w:rPr>
        <w:t>"</w:t>
      </w:r>
      <w:r w:rsidRPr="00017064">
        <w:rPr>
          <w:rFonts w:ascii="Century" w:hAnsi="Century" w:cs="Miriam" w:hint="cs"/>
          <w:b/>
          <w:spacing w:val="0"/>
          <w:sz w:val="22"/>
          <w:szCs w:val="24"/>
          <w:rtl/>
        </w:rPr>
        <w:t>הנחה היא שהמחוקק לא נתכוון להעניק סמכות להתקין תקנות שהן בלתי-סבירות. אם נתגלה פגם כאמור, רואים את התקנתה של התקנה כחריגה מסמכות</w:t>
      </w:r>
      <w:r w:rsidRPr="00017064">
        <w:rPr>
          <w:rFonts w:ascii="Century" w:hAnsi="Century" w:hint="cs"/>
          <w:rtl/>
        </w:rPr>
        <w:t xml:space="preserve">" (בג"ץ 156/75 </w:t>
      </w:r>
      <w:r w:rsidRPr="00017064">
        <w:rPr>
          <w:rFonts w:ascii="Century" w:hAnsi="Century" w:cs="Miriam" w:hint="cs"/>
          <w:b/>
          <w:spacing w:val="0"/>
          <w:szCs w:val="24"/>
          <w:rtl/>
        </w:rPr>
        <w:t>דקה נ' שר התחבורה</w:t>
      </w:r>
      <w:r w:rsidRPr="00017064">
        <w:rPr>
          <w:rFonts w:ascii="Century" w:hAnsi="Century" w:hint="cs"/>
          <w:rtl/>
        </w:rPr>
        <w:t>, פ"ד ל(2) 94, 102</w:t>
      </w:r>
      <w:r w:rsidRPr="00017064">
        <w:rPr>
          <w:rFonts w:ascii="Century" w:hAnsi="Century" w:hint="cs"/>
        </w:rPr>
        <w:t xml:space="preserve"> </w:t>
      </w:r>
      <w:r w:rsidRPr="00017064">
        <w:rPr>
          <w:rFonts w:ascii="Century" w:hAnsi="Century" w:hint="cs"/>
          <w:rtl/>
        </w:rPr>
        <w:t xml:space="preserve">(1976) </w:t>
      </w:r>
      <w:r w:rsidRPr="00017064">
        <w:rPr>
          <w:rFonts w:ascii="Century" w:hAnsi="Century"/>
          <w:rtl/>
        </w:rPr>
        <w:t>(</w:t>
      </w:r>
      <w:r w:rsidRPr="00017064">
        <w:rPr>
          <w:rFonts w:ascii="Century" w:hAnsi="Century" w:hint="eastAsia"/>
          <w:rtl/>
        </w:rPr>
        <w:t>להלן</w:t>
      </w:r>
      <w:r w:rsidRPr="00017064">
        <w:rPr>
          <w:rFonts w:ascii="Century" w:hAnsi="Century"/>
          <w:rtl/>
        </w:rPr>
        <w:t xml:space="preserve">: </w:t>
      </w:r>
      <w:r w:rsidRPr="00017064">
        <w:rPr>
          <w:rFonts w:ascii="Century" w:hAnsi="Century" w:cs="Miriam" w:hint="cs"/>
          <w:b/>
          <w:spacing w:val="0"/>
          <w:szCs w:val="24"/>
          <w:rtl/>
        </w:rPr>
        <w:t>עניין דקה</w:t>
      </w:r>
      <w:r w:rsidRPr="00017064">
        <w:rPr>
          <w:rFonts w:ascii="Century" w:hAnsi="Century" w:hint="cs"/>
          <w:rtl/>
        </w:rPr>
        <w:t xml:space="preserve">); כן ראו: בג"ץ 310/80 </w:t>
      </w:r>
      <w:r w:rsidRPr="00017064">
        <w:rPr>
          <w:rFonts w:ascii="Century" w:hAnsi="Century" w:cs="Miriam" w:hint="cs"/>
          <w:b/>
          <w:spacing w:val="0"/>
          <w:sz w:val="22"/>
          <w:szCs w:val="24"/>
          <w:rtl/>
        </w:rPr>
        <w:t xml:space="preserve">דרור </w:t>
      </w:r>
      <w:r w:rsidRPr="00245E3A">
        <w:rPr>
          <w:rFonts w:ascii="Century" w:hAnsi="Century" w:cs="Miriam" w:hint="cs"/>
          <w:b/>
          <w:spacing w:val="0"/>
          <w:sz w:val="22"/>
          <w:szCs w:val="24"/>
          <w:rtl/>
        </w:rPr>
        <w:t>הדרום</w:t>
      </w:r>
      <w:r>
        <w:rPr>
          <w:rFonts w:ascii="Century" w:hAnsi="Century" w:cs="Miriam" w:hint="cs"/>
          <w:b/>
          <w:spacing w:val="0"/>
          <w:sz w:val="22"/>
          <w:szCs w:val="24"/>
          <w:rtl/>
        </w:rPr>
        <w:t xml:space="preserve"> חברה לפיתוח בע"מ</w:t>
      </w:r>
      <w:r w:rsidRPr="00245E3A">
        <w:rPr>
          <w:rFonts w:ascii="Century" w:hAnsi="Century" w:cs="Miriam" w:hint="cs"/>
          <w:b/>
          <w:spacing w:val="0"/>
          <w:sz w:val="22"/>
          <w:szCs w:val="24"/>
          <w:rtl/>
        </w:rPr>
        <w:t xml:space="preserve"> נ' עיריית תל</w:t>
      </w:r>
      <w:r>
        <w:rPr>
          <w:rFonts w:ascii="Century" w:hAnsi="Century" w:cs="Miriam" w:hint="cs"/>
          <w:b/>
          <w:spacing w:val="0"/>
          <w:sz w:val="22"/>
          <w:szCs w:val="24"/>
          <w:rtl/>
        </w:rPr>
        <w:t>-</w:t>
      </w:r>
      <w:r w:rsidRPr="00245E3A">
        <w:rPr>
          <w:rFonts w:ascii="Century" w:hAnsi="Century" w:cs="Miriam" w:hint="cs"/>
          <w:b/>
          <w:spacing w:val="0"/>
          <w:sz w:val="22"/>
          <w:szCs w:val="24"/>
          <w:rtl/>
        </w:rPr>
        <w:t>אביב</w:t>
      </w:r>
      <w:r>
        <w:rPr>
          <w:rFonts w:ascii="Century" w:hAnsi="Century" w:cs="Miriam" w:hint="cs"/>
          <w:b/>
          <w:spacing w:val="0"/>
          <w:sz w:val="22"/>
          <w:szCs w:val="24"/>
          <w:rtl/>
        </w:rPr>
        <w:t>-יפו</w:t>
      </w:r>
      <w:r w:rsidRPr="00245E3A">
        <w:rPr>
          <w:rFonts w:ascii="Century" w:hAnsi="Century" w:hint="cs"/>
          <w:sz w:val="22"/>
          <w:rtl/>
        </w:rPr>
        <w:t xml:space="preserve">, פ"ד </w:t>
      </w:r>
      <w:r>
        <w:rPr>
          <w:rFonts w:ascii="Century" w:hAnsi="Century" w:hint="cs"/>
          <w:sz w:val="22"/>
          <w:rtl/>
        </w:rPr>
        <w:t>לה</w:t>
      </w:r>
      <w:r w:rsidRPr="00245E3A">
        <w:rPr>
          <w:rFonts w:ascii="Century" w:hAnsi="Century" w:hint="cs"/>
          <w:sz w:val="22"/>
          <w:rtl/>
        </w:rPr>
        <w:t xml:space="preserve">(1) 253, </w:t>
      </w:r>
      <w:r>
        <w:rPr>
          <w:rFonts w:ascii="Century" w:hAnsi="Century" w:hint="cs"/>
          <w:sz w:val="22"/>
          <w:rtl/>
        </w:rPr>
        <w:t>262</w:t>
      </w:r>
      <w:r w:rsidRPr="00245E3A">
        <w:rPr>
          <w:rFonts w:ascii="Century" w:hAnsi="Century" w:hint="cs"/>
          <w:sz w:val="22"/>
          <w:rtl/>
        </w:rPr>
        <w:t xml:space="preserve"> (1980)</w:t>
      </w:r>
      <w:r>
        <w:rPr>
          <w:rFonts w:ascii="Century" w:hAnsi="Century" w:hint="cs"/>
          <w:rtl/>
        </w:rPr>
        <w:t>).</w:t>
      </w:r>
    </w:p>
    <w:p w:rsidR="00D61E12" w:rsidRPr="00017064" w:rsidRDefault="00D61E12" w:rsidP="00D61E12">
      <w:pPr>
        <w:pStyle w:val="Ruller4"/>
        <w:numPr>
          <w:ilvl w:val="0"/>
          <w:numId w:val="0"/>
        </w:numPr>
        <w:overflowPunct/>
        <w:autoSpaceDE/>
        <w:adjustRightInd/>
        <w:spacing w:before="240" w:after="240"/>
        <w:ind w:firstLine="720"/>
        <w:textAlignment w:val="auto"/>
        <w:rPr>
          <w:rFonts w:ascii="Century" w:hAnsi="Century"/>
          <w:sz w:val="22"/>
          <w:rtl/>
        </w:rPr>
      </w:pPr>
      <w:r w:rsidRPr="00017064">
        <w:rPr>
          <w:rFonts w:ascii="Century" w:hAnsi="Century" w:hint="cs"/>
          <w:sz w:val="22"/>
          <w:rtl/>
        </w:rPr>
        <w:t xml:space="preserve">מפסיקה אחרת מאותן השנים ניתן ללמוד על הקשר שבין עילת הסבירות לבין עקרונות של איסור על שימוש לרעה בסמכות מינהלית עד כדי "עיוות הסמכות" </w:t>
      </w:r>
      <w:r w:rsidRPr="00017064">
        <w:rPr>
          <w:rFonts w:ascii="Century" w:hAnsi="Century" w:hint="cs"/>
          <w:rtl/>
        </w:rPr>
        <w:t>(</w:t>
      </w:r>
      <w:r w:rsidRPr="00102554">
        <w:rPr>
          <w:rFonts w:asciiTheme="majorBidi" w:hAnsiTheme="majorBidi" w:cstheme="majorBidi"/>
        </w:rPr>
        <w:t>Abuse of Power</w:t>
      </w:r>
      <w:r w:rsidRPr="00017064">
        <w:rPr>
          <w:rFonts w:ascii="Century" w:hAnsi="Century" w:hint="cs"/>
          <w:rtl/>
        </w:rPr>
        <w:t xml:space="preserve">) (עניין </w:t>
      </w:r>
      <w:r w:rsidRPr="00017064">
        <w:rPr>
          <w:rFonts w:ascii="Century" w:hAnsi="Century" w:cs="Miriam" w:hint="cs"/>
          <w:b/>
          <w:spacing w:val="0"/>
          <w:sz w:val="22"/>
          <w:szCs w:val="24"/>
          <w:rtl/>
        </w:rPr>
        <w:t>נוחימובסקי</w:t>
      </w:r>
      <w:r w:rsidRPr="00017064">
        <w:rPr>
          <w:rFonts w:ascii="Century" w:hAnsi="Century" w:hint="cs"/>
          <w:sz w:val="22"/>
          <w:rtl/>
        </w:rPr>
        <w:t xml:space="preserve">, בעמוד 1499); גם </w:t>
      </w:r>
      <w:r w:rsidRPr="00017064">
        <w:rPr>
          <w:rFonts w:ascii="Century" w:hAnsi="Century" w:hint="cs"/>
          <w:rtl/>
        </w:rPr>
        <w:t>זאת, בדומה לדרך שבה הובנה עילת הסבירות בחלק מפסקי הדין האנגליים</w:t>
      </w:r>
      <w:r w:rsidRPr="00017064">
        <w:rPr>
          <w:rFonts w:ascii="Century" w:hAnsi="Century" w:hint="cs"/>
          <w:sz w:val="22"/>
          <w:rtl/>
        </w:rPr>
        <w:t xml:space="preserve">. את הזיקה </w:t>
      </w:r>
      <w:r>
        <w:rPr>
          <w:rFonts w:ascii="Century" w:hAnsi="Century" w:hint="cs"/>
          <w:sz w:val="22"/>
          <w:rtl/>
        </w:rPr>
        <w:t>האמורה, בין עילת הסבירות ו</w:t>
      </w:r>
      <w:r w:rsidRPr="00017064">
        <w:rPr>
          <w:rFonts w:ascii="Century" w:hAnsi="Century" w:hint="cs"/>
          <w:sz w:val="22"/>
          <w:rtl/>
        </w:rPr>
        <w:t xml:space="preserve">בין עילת חוסר הסמכות היטיב לבטא השופט </w:t>
      </w:r>
      <w:r w:rsidRPr="00017064">
        <w:rPr>
          <w:rFonts w:ascii="Century" w:hAnsi="Century" w:cs="Miriam" w:hint="cs"/>
          <w:b/>
          <w:spacing w:val="0"/>
          <w:sz w:val="22"/>
          <w:szCs w:val="24"/>
          <w:rtl/>
        </w:rPr>
        <w:t>צ' ברנזון</w:t>
      </w:r>
      <w:r w:rsidRPr="00017064">
        <w:rPr>
          <w:rFonts w:ascii="Century" w:hAnsi="Century" w:hint="cs"/>
          <w:sz w:val="22"/>
          <w:rtl/>
        </w:rPr>
        <w:t xml:space="preserve">: </w:t>
      </w:r>
    </w:p>
    <w:p w:rsidR="00D61E12" w:rsidRPr="00773EFD" w:rsidRDefault="00D61E12" w:rsidP="00D61E12">
      <w:pPr>
        <w:pStyle w:val="Ruller5"/>
        <w:spacing w:before="240" w:after="240"/>
        <w:rPr>
          <w:rFonts w:ascii="Century" w:hAnsi="Century"/>
          <w:rtl/>
        </w:rPr>
      </w:pPr>
      <w:r>
        <w:rPr>
          <w:rFonts w:ascii="Century" w:hAnsi="Century" w:hint="cs"/>
          <w:rtl/>
        </w:rPr>
        <w:t xml:space="preserve">"אני רואה את העיקר בזה, שענין הסבירות אינו בעצם אלא אחת הצורות של חריגה מסמכות [...] עניני הסבירות והחריגה מהסמכות כרוכים, איפוא, זה אחר זה [...] [ו]רק במובן זה שהפרלמנט אף פעם לא נתכוון לתת סמכות לתקנות כאלה, אפשר לעורר כהלכה את שאלת חוסר ההגיון. באותו מובן, ובאותו מובן בלבד, אפשר, לדעתי, לעורר גם את שאלת אי-הסבירות של חקיקת-משנה מכל סוג שהוא" (עניין </w:t>
      </w:r>
      <w:r>
        <w:rPr>
          <w:rFonts w:ascii="Century" w:hAnsi="Century" w:cs="Miriam" w:hint="cs"/>
          <w:b/>
          <w:spacing w:val="0"/>
          <w:szCs w:val="24"/>
          <w:rtl/>
        </w:rPr>
        <w:t>דיזנגוף</w:t>
      </w:r>
      <w:r>
        <w:rPr>
          <w:rFonts w:ascii="Century" w:hAnsi="Century" w:hint="cs"/>
          <w:rtl/>
        </w:rPr>
        <w:t>, בעמוד 1037).</w:t>
      </w:r>
    </w:p>
    <w:p w:rsidR="00D61E12" w:rsidRDefault="00D61E12" w:rsidP="00D61E12">
      <w:pPr>
        <w:pStyle w:val="Ruller4"/>
        <w:spacing w:before="240" w:after="240"/>
        <w:rPr>
          <w:rFonts w:ascii="Century" w:hAnsi="Century"/>
          <w:sz w:val="22"/>
          <w:rtl/>
        </w:rPr>
      </w:pPr>
      <w:r>
        <w:rPr>
          <w:rFonts w:ascii="Century" w:hAnsi="Century" w:cs="Miriam" w:hint="cs"/>
          <w:b/>
          <w:spacing w:val="0"/>
          <w:sz w:val="22"/>
          <w:szCs w:val="24"/>
          <w:rtl/>
        </w:rPr>
        <w:t>המאפיין השני</w:t>
      </w:r>
      <w:r>
        <w:rPr>
          <w:rFonts w:ascii="Century" w:hAnsi="Century" w:hint="cs"/>
          <w:sz w:val="22"/>
          <w:rtl/>
        </w:rPr>
        <w:t xml:space="preserve"> של עילת הסבירות ב'עת המוקדמת', אשר הולך אף הוא יד ביד עם הלכת </w:t>
      </w:r>
      <w:r w:rsidRPr="00102554">
        <w:rPr>
          <w:rFonts w:asciiTheme="majorBidi" w:hAnsiTheme="majorBidi" w:cstheme="majorBidi"/>
        </w:rPr>
        <w:t>Wednesbury</w:t>
      </w:r>
      <w:r>
        <w:rPr>
          <w:rFonts w:ascii="Century" w:hAnsi="Century" w:hint="cs"/>
          <w:sz w:val="22"/>
          <w:rtl/>
        </w:rPr>
        <w:t xml:space="preserve">, עניינו בהשקה הקיימת בינה לבין עילות ביקורת נוספות, ובכלל זה </w:t>
      </w:r>
      <w:r>
        <w:rPr>
          <w:rFonts w:ascii="Century" w:hAnsi="Century"/>
          <w:sz w:val="22"/>
          <w:rtl/>
        </w:rPr>
        <w:t>–</w:t>
      </w:r>
      <w:r>
        <w:rPr>
          <w:rFonts w:ascii="Century" w:hAnsi="Century" w:hint="cs"/>
          <w:sz w:val="22"/>
          <w:rtl/>
        </w:rPr>
        <w:t xml:space="preserve"> עילת השיקולים הזרים או אי שקילת שיקולים רלוונטיים </w:t>
      </w:r>
      <w:r w:rsidRPr="00C3086F">
        <w:rPr>
          <w:rFonts w:ascii="Century" w:hAnsi="Century" w:hint="cs"/>
          <w:sz w:val="22"/>
          <w:rtl/>
        </w:rPr>
        <w:t>(</w:t>
      </w:r>
      <w:r>
        <w:rPr>
          <w:rFonts w:ascii="Century" w:hAnsi="Century" w:hint="cs"/>
          <w:sz w:val="22"/>
          <w:rtl/>
        </w:rPr>
        <w:t xml:space="preserve">ראו: </w:t>
      </w:r>
      <w:r w:rsidRPr="00C3086F">
        <w:rPr>
          <w:rFonts w:ascii="Century" w:hAnsi="Century" w:cs="Miriam" w:hint="cs"/>
          <w:b/>
          <w:spacing w:val="0"/>
          <w:sz w:val="22"/>
          <w:szCs w:val="24"/>
          <w:rtl/>
        </w:rPr>
        <w:t>ברק-ארז</w:t>
      </w:r>
      <w:r w:rsidRPr="00C3086F">
        <w:rPr>
          <w:rFonts w:ascii="Century" w:hAnsi="Century" w:hint="cs"/>
          <w:sz w:val="22"/>
          <w:rtl/>
        </w:rPr>
        <w:t xml:space="preserve">, בעמוד 723; </w:t>
      </w:r>
      <w:r w:rsidRPr="00D70D6B">
        <w:rPr>
          <w:rFonts w:ascii="Century" w:hAnsi="Century" w:cs="Miriam" w:hint="cs"/>
          <w:szCs w:val="24"/>
          <w:rtl/>
        </w:rPr>
        <w:t xml:space="preserve">זמיר </w:t>
      </w:r>
      <w:r w:rsidRPr="00D70D6B">
        <w:rPr>
          <w:rFonts w:ascii="Century" w:hAnsi="Century" w:cs="Miriam"/>
          <w:szCs w:val="24"/>
          <w:rtl/>
        </w:rPr>
        <w:t>–</w:t>
      </w:r>
      <w:r w:rsidRPr="00D70D6B">
        <w:rPr>
          <w:rFonts w:ascii="Century" w:hAnsi="Century" w:cs="Miriam" w:hint="cs"/>
          <w:szCs w:val="24"/>
          <w:rtl/>
        </w:rPr>
        <w:t xml:space="preserve"> עילת אי-הסבירות</w:t>
      </w:r>
      <w:r w:rsidRPr="00C3086F">
        <w:rPr>
          <w:rFonts w:ascii="Century" w:hAnsi="Century" w:cs="Miriam" w:hint="cs"/>
          <w:b/>
          <w:spacing w:val="0"/>
          <w:sz w:val="22"/>
          <w:szCs w:val="24"/>
          <w:rtl/>
        </w:rPr>
        <w:t>,</w:t>
      </w:r>
      <w:r w:rsidRPr="00C3086F">
        <w:rPr>
          <w:rFonts w:ascii="Century" w:hAnsi="Century" w:hint="cs"/>
          <w:sz w:val="22"/>
          <w:rtl/>
        </w:rPr>
        <w:t xml:space="preserve"> בעמודים 294-293; עניין </w:t>
      </w:r>
      <w:r w:rsidRPr="00C3086F">
        <w:rPr>
          <w:rFonts w:ascii="Century" w:hAnsi="Century" w:cs="Miriam" w:hint="cs"/>
          <w:b/>
          <w:spacing w:val="0"/>
          <w:sz w:val="22"/>
          <w:szCs w:val="24"/>
          <w:rtl/>
        </w:rPr>
        <w:t>דיזנגוף</w:t>
      </w:r>
      <w:r w:rsidRPr="00C3086F">
        <w:rPr>
          <w:rFonts w:ascii="Century" w:hAnsi="Century" w:hint="cs"/>
          <w:sz w:val="22"/>
          <w:rtl/>
        </w:rPr>
        <w:t>, בעמוד 1038</w:t>
      </w:r>
      <w:r>
        <w:rPr>
          <w:rFonts w:ascii="Century" w:hAnsi="Century" w:hint="cs"/>
          <w:sz w:val="22"/>
          <w:rtl/>
        </w:rPr>
        <w:t>).</w:t>
      </w:r>
    </w:p>
    <w:p w:rsidR="00D61E12" w:rsidRDefault="00D61E12" w:rsidP="00D61E12">
      <w:pPr>
        <w:pStyle w:val="Ruller4"/>
        <w:numPr>
          <w:ilvl w:val="0"/>
          <w:numId w:val="0"/>
        </w:numPr>
        <w:tabs>
          <w:tab w:val="clear" w:pos="800"/>
        </w:tabs>
        <w:overflowPunct/>
        <w:autoSpaceDE/>
        <w:adjustRightInd/>
        <w:spacing w:before="240" w:after="240"/>
        <w:ind w:firstLine="720"/>
        <w:textAlignment w:val="auto"/>
        <w:rPr>
          <w:rFonts w:ascii="Century" w:hAnsi="Century"/>
          <w:sz w:val="22"/>
          <w:rtl/>
        </w:rPr>
      </w:pPr>
      <w:r>
        <w:rPr>
          <w:rFonts w:hint="cs"/>
          <w:rtl/>
        </w:rPr>
        <w:t xml:space="preserve">בהקשר </w:t>
      </w:r>
      <w:r w:rsidRPr="00B4691E">
        <w:rPr>
          <w:rFonts w:hint="cs"/>
          <w:rtl/>
        </w:rPr>
        <w:t xml:space="preserve">זה, </w:t>
      </w:r>
      <w:r w:rsidRPr="00B4691E">
        <w:rPr>
          <w:rFonts w:ascii="Century" w:hAnsi="Century" w:hint="cs"/>
          <w:sz w:val="22"/>
          <w:rtl/>
        </w:rPr>
        <w:t xml:space="preserve">הנשיא </w:t>
      </w:r>
      <w:r w:rsidRPr="00B4691E">
        <w:rPr>
          <w:rFonts w:ascii="Century" w:hAnsi="Century" w:cs="Miriam" w:hint="cs"/>
          <w:b/>
          <w:spacing w:val="0"/>
          <w:sz w:val="22"/>
          <w:szCs w:val="24"/>
          <w:rtl/>
        </w:rPr>
        <w:t>לנדוי</w:t>
      </w:r>
      <w:r w:rsidRPr="00B4691E">
        <w:rPr>
          <w:rFonts w:ascii="Century" w:hAnsi="Century" w:hint="cs"/>
          <w:sz w:val="22"/>
          <w:rtl/>
        </w:rPr>
        <w:t xml:space="preserve">, אשר סבר כי בראי השקה זו אין להעניק לעילת הסבירות מעמד עצמאי, העיר כך </w:t>
      </w:r>
      <w:r w:rsidRPr="00B4691E">
        <w:rPr>
          <w:rFonts w:ascii="Century" w:hAnsi="Century"/>
          <w:sz w:val="22"/>
          <w:rtl/>
        </w:rPr>
        <w:t>–</w:t>
      </w:r>
      <w:r w:rsidRPr="00B4691E">
        <w:rPr>
          <w:rFonts w:ascii="Century" w:hAnsi="Century" w:hint="cs"/>
          <w:sz w:val="22"/>
          <w:rtl/>
        </w:rPr>
        <w:t xml:space="preserve"> "</w:t>
      </w:r>
      <w:r w:rsidRPr="00B4691E">
        <w:rPr>
          <w:rFonts w:ascii="Century" w:hAnsi="Century" w:cs="Miriam" w:hint="cs"/>
          <w:b/>
          <w:spacing w:val="0"/>
          <w:sz w:val="22"/>
          <w:szCs w:val="24"/>
          <w:rtl/>
        </w:rPr>
        <w:t>אודה ולא אבוש, שגם אני השתמשתי מדי פעם לתומי במונח הסבירות באומרי, למשל, כי שיקוליה של רשות מינהלית היו סבירים וכדומה</w:t>
      </w:r>
      <w:r w:rsidRPr="00B4691E">
        <w:rPr>
          <w:rFonts w:ascii="Century" w:hAnsi="Century" w:hint="cs"/>
          <w:sz w:val="22"/>
          <w:rtl/>
        </w:rPr>
        <w:t xml:space="preserve">" (הלכת </w:t>
      </w:r>
      <w:r w:rsidRPr="00B4691E">
        <w:rPr>
          <w:rFonts w:ascii="Century" w:hAnsi="Century" w:cs="Miriam" w:hint="cs"/>
          <w:b/>
          <w:spacing w:val="0"/>
          <w:sz w:val="22"/>
          <w:szCs w:val="24"/>
          <w:rtl/>
        </w:rPr>
        <w:t>דפי זהב</w:t>
      </w:r>
      <w:r w:rsidRPr="00B4691E">
        <w:rPr>
          <w:rFonts w:ascii="Century" w:hAnsi="Century" w:hint="cs"/>
          <w:sz w:val="22"/>
          <w:rtl/>
        </w:rPr>
        <w:t xml:space="preserve">, בעמוד 433). מנגד, השופט </w:t>
      </w:r>
      <w:r w:rsidRPr="00B4691E">
        <w:rPr>
          <w:rFonts w:ascii="Century" w:hAnsi="Century" w:cs="Miriam" w:hint="cs"/>
          <w:b/>
          <w:spacing w:val="0"/>
          <w:sz w:val="22"/>
          <w:szCs w:val="24"/>
          <w:rtl/>
        </w:rPr>
        <w:t>ברק</w:t>
      </w:r>
      <w:r w:rsidRPr="00B4691E">
        <w:rPr>
          <w:rFonts w:ascii="Century" w:hAnsi="Century" w:hint="cs"/>
          <w:sz w:val="22"/>
          <w:rtl/>
        </w:rPr>
        <w:t xml:space="preserve"> ציין בעניין אחר כי "</w:t>
      </w:r>
      <w:r w:rsidRPr="00B4691E">
        <w:rPr>
          <w:rFonts w:ascii="Century" w:hAnsi="Century" w:cs="Miriam" w:hint="cs"/>
          <w:b/>
          <w:spacing w:val="0"/>
          <w:sz w:val="22"/>
          <w:szCs w:val="24"/>
          <w:rtl/>
        </w:rPr>
        <w:t>ההבחנה שאנו עושים בין עילות הפסלות השונות ממילא אינה מדעית [...] כשלעצמי הייתי כולל את כולן תחת הכותרת של חוסר סבירות</w:t>
      </w:r>
      <w:r w:rsidRPr="00B4691E">
        <w:rPr>
          <w:rFonts w:ascii="Century" w:hAnsi="Century" w:hint="cs"/>
          <w:sz w:val="22"/>
          <w:rtl/>
        </w:rPr>
        <w:t xml:space="preserve">" (בג"ץ 840/79 </w:t>
      </w:r>
      <w:r w:rsidRPr="00B4691E">
        <w:rPr>
          <w:rFonts w:ascii="Century" w:hAnsi="Century" w:cs="Miriam" w:hint="cs"/>
          <w:b/>
          <w:spacing w:val="0"/>
          <w:sz w:val="22"/>
          <w:szCs w:val="24"/>
          <w:rtl/>
        </w:rPr>
        <w:t>מרכז הקבלנים והבונים בישראל נ' ממשלת ישראל</w:t>
      </w:r>
      <w:r w:rsidRPr="00B4691E">
        <w:rPr>
          <w:rFonts w:ascii="Century" w:hAnsi="Century" w:hint="cs"/>
          <w:sz w:val="22"/>
          <w:rtl/>
        </w:rPr>
        <w:t>, פ"ד לד(3) 729, 74</w:t>
      </w:r>
      <w:r>
        <w:rPr>
          <w:rFonts w:ascii="Century" w:hAnsi="Century" w:hint="cs"/>
          <w:sz w:val="22"/>
          <w:rtl/>
        </w:rPr>
        <w:t>5</w:t>
      </w:r>
      <w:r w:rsidRPr="00B4691E">
        <w:rPr>
          <w:rFonts w:ascii="Century" w:hAnsi="Century" w:hint="cs"/>
          <w:sz w:val="22"/>
          <w:rtl/>
        </w:rPr>
        <w:t xml:space="preserve"> (1980) </w:t>
      </w:r>
      <w:r w:rsidRPr="00B4691E">
        <w:rPr>
          <w:rFonts w:ascii="Century" w:hAnsi="Century"/>
          <w:sz w:val="22"/>
          <w:rtl/>
        </w:rPr>
        <w:t>(</w:t>
      </w:r>
      <w:r w:rsidRPr="00B4691E">
        <w:rPr>
          <w:rFonts w:ascii="Century" w:hAnsi="Century" w:hint="eastAsia"/>
          <w:sz w:val="22"/>
          <w:rtl/>
        </w:rPr>
        <w:t>להלן</w:t>
      </w:r>
      <w:r w:rsidRPr="00B4691E">
        <w:rPr>
          <w:rFonts w:ascii="Century" w:hAnsi="Century"/>
          <w:sz w:val="22"/>
          <w:rtl/>
        </w:rPr>
        <w:t xml:space="preserve">: </w:t>
      </w:r>
      <w:r w:rsidRPr="00B4691E">
        <w:rPr>
          <w:rFonts w:ascii="Century" w:hAnsi="Century" w:cs="Miriam" w:hint="cs"/>
          <w:b/>
          <w:spacing w:val="0"/>
          <w:sz w:val="22"/>
          <w:szCs w:val="24"/>
          <w:rtl/>
        </w:rPr>
        <w:t>עניין מרכז הקבלנים</w:t>
      </w:r>
      <w:r w:rsidRPr="00B4691E">
        <w:rPr>
          <w:rFonts w:ascii="Century" w:hAnsi="Century" w:hint="cs"/>
          <w:sz w:val="22"/>
          <w:rtl/>
        </w:rPr>
        <w:t xml:space="preserve">)). דומה אפוא, כי לשיטת השופט </w:t>
      </w:r>
      <w:r w:rsidRPr="00B4691E">
        <w:rPr>
          <w:rFonts w:ascii="Century" w:hAnsi="Century" w:cs="Miriam" w:hint="cs"/>
          <w:b/>
          <w:spacing w:val="0"/>
          <w:sz w:val="22"/>
          <w:szCs w:val="24"/>
          <w:rtl/>
        </w:rPr>
        <w:t>ברק</w:t>
      </w:r>
      <w:r w:rsidRPr="00B4691E">
        <w:rPr>
          <w:rFonts w:ascii="Century" w:hAnsi="Century" w:hint="cs"/>
          <w:sz w:val="22"/>
          <w:rtl/>
        </w:rPr>
        <w:t>, בשל ההשקה בין העילות המינהליות ה'קלאסיות' ובין עילת הסבירות, ניתן היה 'לוותר' על עילות הביקורת האחרות ולהסתפק בעילת הסבירות לבדה.</w:t>
      </w:r>
    </w:p>
    <w:p w:rsidR="00D61E12" w:rsidRPr="006318C3" w:rsidRDefault="00D61E12" w:rsidP="00D61E12">
      <w:pPr>
        <w:pStyle w:val="Ruller4"/>
        <w:spacing w:before="240" w:after="240"/>
        <w:rPr>
          <w:rFonts w:ascii="Century" w:hAnsi="Century"/>
          <w:sz w:val="22"/>
          <w:rtl/>
        </w:rPr>
      </w:pPr>
      <w:r>
        <w:rPr>
          <w:rFonts w:ascii="Century" w:hAnsi="Century" w:cs="Miriam" w:hint="cs"/>
          <w:b/>
          <w:spacing w:val="0"/>
          <w:sz w:val="22"/>
          <w:szCs w:val="24"/>
          <w:rtl/>
        </w:rPr>
        <w:lastRenderedPageBreak/>
        <w:t>המאפיין השלישי</w:t>
      </w:r>
      <w:r>
        <w:rPr>
          <w:rFonts w:ascii="Century" w:hAnsi="Century" w:hint="cs"/>
          <w:sz w:val="22"/>
          <w:rtl/>
        </w:rPr>
        <w:t xml:space="preserve"> אשר קושר בין עילת הסבירות האנגלית לבין עילת הסבירות הישראלית במתכונתה באותה העת, כרוך בעובדה שבתי המשפט נדרשו לעילה זו באופן מצומצם יחסית </w:t>
      </w:r>
      <w:r>
        <w:rPr>
          <w:rFonts w:ascii="Century" w:hAnsi="Century"/>
          <w:sz w:val="22"/>
          <w:rtl/>
        </w:rPr>
        <w:t>–</w:t>
      </w:r>
      <w:r>
        <w:rPr>
          <w:rFonts w:ascii="Century" w:hAnsi="Century" w:hint="cs"/>
          <w:sz w:val="22"/>
          <w:rtl/>
        </w:rPr>
        <w:t xml:space="preserve"> בדומה לסטנדרט שנקבע בהלכת </w:t>
      </w:r>
      <w:r w:rsidRPr="00102554">
        <w:rPr>
          <w:rFonts w:asciiTheme="majorBidi" w:hAnsiTheme="majorBidi" w:cstheme="majorBidi"/>
        </w:rPr>
        <w:t>Wednesbury</w:t>
      </w:r>
      <w:r w:rsidRPr="0006540A">
        <w:rPr>
          <w:rFonts w:ascii="Century" w:hAnsi="Century" w:hint="cs"/>
          <w:sz w:val="22"/>
          <w:rtl/>
        </w:rPr>
        <w:t xml:space="preserve"> (</w:t>
      </w:r>
      <w:r w:rsidRPr="0006540A">
        <w:rPr>
          <w:rFonts w:ascii="Century" w:hAnsi="Century" w:cs="Miriam" w:hint="cs"/>
          <w:b/>
          <w:spacing w:val="0"/>
          <w:sz w:val="22"/>
          <w:szCs w:val="24"/>
          <w:rtl/>
        </w:rPr>
        <w:t xml:space="preserve">זמיר </w:t>
      </w:r>
      <w:r w:rsidRPr="0006540A">
        <w:rPr>
          <w:rFonts w:ascii="Century" w:hAnsi="Century" w:cs="Miriam"/>
          <w:b/>
          <w:spacing w:val="0"/>
          <w:sz w:val="22"/>
          <w:szCs w:val="24"/>
          <w:rtl/>
        </w:rPr>
        <w:t>–</w:t>
      </w:r>
      <w:r w:rsidRPr="0006540A">
        <w:rPr>
          <w:rFonts w:ascii="Century" w:hAnsi="Century" w:cs="Miriam" w:hint="cs"/>
          <w:b/>
          <w:spacing w:val="0"/>
          <w:sz w:val="22"/>
          <w:szCs w:val="24"/>
          <w:rtl/>
        </w:rPr>
        <w:t xml:space="preserve"> עילת אי-הסבירות,</w:t>
      </w:r>
      <w:r w:rsidRPr="0006540A">
        <w:rPr>
          <w:rFonts w:ascii="Century" w:hAnsi="Century" w:hint="cs"/>
          <w:sz w:val="22"/>
          <w:rtl/>
        </w:rPr>
        <w:t xml:space="preserve"> בעמוד 302). </w:t>
      </w:r>
      <w:r>
        <w:rPr>
          <w:rFonts w:ascii="Century" w:hAnsi="Century" w:hint="cs"/>
          <w:sz w:val="22"/>
          <w:rtl/>
        </w:rPr>
        <w:t xml:space="preserve">ואכן, </w:t>
      </w:r>
      <w:r w:rsidRPr="006318C3">
        <w:rPr>
          <w:rFonts w:ascii="Century" w:hAnsi="Century" w:hint="cs"/>
          <w:sz w:val="22"/>
          <w:rtl/>
        </w:rPr>
        <w:t xml:space="preserve">הפסיקה חזרה לא אחת על הכלל הבסיסי ביחס לביקורת השיפוטית במשפט המינהלי, אשר מקורו </w:t>
      </w:r>
      <w:r w:rsidRPr="006318C3">
        <w:rPr>
          <w:rFonts w:ascii="Century" w:hAnsi="Century" w:cs="Miriam" w:hint="cs"/>
          <w:b/>
          <w:spacing w:val="0"/>
          <w:sz w:val="22"/>
          <w:szCs w:val="24"/>
          <w:rtl/>
        </w:rPr>
        <w:t>בעיקרון הפרדת הרשויות</w:t>
      </w:r>
      <w:r w:rsidRPr="006318C3">
        <w:rPr>
          <w:rFonts w:ascii="Century" w:hAnsi="Century" w:hint="cs"/>
          <w:sz w:val="22"/>
          <w:rtl/>
        </w:rPr>
        <w:t xml:space="preserve">, לפיו: </w:t>
      </w:r>
    </w:p>
    <w:p w:rsidR="00D61E12" w:rsidRPr="003326DE" w:rsidRDefault="00D61E12" w:rsidP="00D61E12">
      <w:pPr>
        <w:pStyle w:val="Ruller5"/>
        <w:spacing w:before="240" w:after="240"/>
        <w:rPr>
          <w:rtl/>
        </w:rPr>
      </w:pPr>
      <w:r w:rsidRPr="003326DE">
        <w:rPr>
          <w:rFonts w:hint="cs"/>
          <w:rtl/>
        </w:rPr>
        <w:t xml:space="preserve">"שיקול-דעת פירושו, חופש הבחירה בין פתרונות אפשריים שונים, או ברירה שניתנה בידי הרשות המינהלית, והואיל והרשות הוסמכה לבחור ולבור לה את הפתרון המתאים לפי דעתה, לא יתערב בית-המשפט בדבר על שום כך בלבד שהוא היה בוחר בפתרון אחר" (ד"נ 16/61 </w:t>
      </w:r>
      <w:r w:rsidRPr="00FF68FA">
        <w:rPr>
          <w:rFonts w:ascii="Century" w:hAnsi="Century" w:cs="Miriam" w:hint="cs"/>
          <w:b/>
          <w:spacing w:val="0"/>
          <w:szCs w:val="24"/>
          <w:rtl/>
        </w:rPr>
        <w:t>רשם החברות</w:t>
      </w:r>
      <w:r w:rsidRPr="00B4691E">
        <w:rPr>
          <w:rFonts w:ascii="Century" w:hAnsi="Century" w:cs="Miriam" w:hint="cs"/>
          <w:b/>
          <w:spacing w:val="0"/>
          <w:szCs w:val="24"/>
          <w:rtl/>
        </w:rPr>
        <w:t xml:space="preserve"> </w:t>
      </w:r>
      <w:r w:rsidRPr="00FF68FA">
        <w:rPr>
          <w:rFonts w:ascii="Century" w:hAnsi="Century" w:cs="Miriam" w:hint="cs"/>
          <w:b/>
          <w:spacing w:val="0"/>
          <w:szCs w:val="24"/>
          <w:rtl/>
        </w:rPr>
        <w:t>נ'</w:t>
      </w:r>
      <w:r>
        <w:rPr>
          <w:rFonts w:ascii="Century" w:hAnsi="Century" w:cs="Miriam" w:hint="cs"/>
          <w:b/>
          <w:spacing w:val="0"/>
          <w:szCs w:val="24"/>
          <w:rtl/>
        </w:rPr>
        <w:t xml:space="preserve"> </w:t>
      </w:r>
      <w:r w:rsidRPr="00FF68FA">
        <w:rPr>
          <w:rFonts w:ascii="Century" w:hAnsi="Century" w:cs="Miriam" w:hint="cs"/>
          <w:b/>
          <w:spacing w:val="0"/>
          <w:szCs w:val="24"/>
          <w:rtl/>
        </w:rPr>
        <w:t>כרדוש</w:t>
      </w:r>
      <w:r>
        <w:rPr>
          <w:rFonts w:hint="cs"/>
          <w:rtl/>
        </w:rPr>
        <w:t>, פ"ד טז 1202, 1215 (1962)).</w:t>
      </w:r>
    </w:p>
    <w:p w:rsidR="00D61E12" w:rsidRDefault="00D61E12" w:rsidP="00D61E12">
      <w:pPr>
        <w:pStyle w:val="Ruller4"/>
        <w:numPr>
          <w:ilvl w:val="0"/>
          <w:numId w:val="0"/>
        </w:numPr>
        <w:tabs>
          <w:tab w:val="clear" w:pos="800"/>
        </w:tabs>
        <w:overflowPunct/>
        <w:autoSpaceDE/>
        <w:adjustRightInd/>
        <w:spacing w:before="240" w:after="240"/>
        <w:ind w:firstLine="720"/>
        <w:textAlignment w:val="auto"/>
        <w:rPr>
          <w:rFonts w:ascii="Century" w:hAnsi="Century"/>
          <w:rtl/>
        </w:rPr>
      </w:pPr>
      <w:r>
        <w:rPr>
          <w:rFonts w:ascii="Century" w:hAnsi="Century" w:hint="cs"/>
          <w:rtl/>
        </w:rPr>
        <w:t>בהינתן הכלל האמור, ניאות בית משפט זה להשתמש בעילת הסבירות אך ורק במצבים בהם מדובר ב"</w:t>
      </w:r>
      <w:r w:rsidRPr="00D53DAF">
        <w:rPr>
          <w:rFonts w:ascii="Century" w:hAnsi="Century" w:cs="Miriam" w:hint="eastAsia"/>
          <w:b/>
          <w:spacing w:val="0"/>
          <w:sz w:val="22"/>
          <w:szCs w:val="24"/>
          <w:rtl/>
        </w:rPr>
        <w:t>החלטה</w:t>
      </w:r>
      <w:r w:rsidRPr="00D53DAF">
        <w:rPr>
          <w:rFonts w:ascii="Century" w:hAnsi="Century" w:cs="Miriam"/>
          <w:b/>
          <w:spacing w:val="0"/>
          <w:sz w:val="22"/>
          <w:szCs w:val="24"/>
          <w:rtl/>
        </w:rPr>
        <w:t xml:space="preserve"> </w:t>
      </w:r>
      <w:r w:rsidRPr="00D53DAF">
        <w:rPr>
          <w:rFonts w:ascii="Century" w:hAnsi="Century" w:cs="Miriam" w:hint="eastAsia"/>
          <w:b/>
          <w:spacing w:val="0"/>
          <w:sz w:val="22"/>
          <w:szCs w:val="24"/>
          <w:rtl/>
        </w:rPr>
        <w:t>מינהלית</w:t>
      </w:r>
      <w:r w:rsidRPr="00D53DAF">
        <w:rPr>
          <w:rFonts w:ascii="Century" w:hAnsi="Century" w:cs="Miriam"/>
          <w:b/>
          <w:spacing w:val="0"/>
          <w:sz w:val="22"/>
          <w:szCs w:val="24"/>
          <w:rtl/>
        </w:rPr>
        <w:t xml:space="preserve"> [</w:t>
      </w:r>
      <w:r w:rsidRPr="00D53DAF">
        <w:rPr>
          <w:rFonts w:ascii="Century" w:hAnsi="Century" w:cs="Miriam" w:hint="eastAsia"/>
          <w:b/>
          <w:spacing w:val="0"/>
          <w:sz w:val="22"/>
          <w:szCs w:val="24"/>
          <w:rtl/>
        </w:rPr>
        <w:t>ש</w:t>
      </w:r>
      <w:r w:rsidRPr="00D53DAF">
        <w:rPr>
          <w:rFonts w:ascii="Century" w:hAnsi="Century" w:cs="Miriam"/>
          <w:b/>
          <w:spacing w:val="0"/>
          <w:sz w:val="22"/>
          <w:szCs w:val="24"/>
          <w:rtl/>
        </w:rPr>
        <w:t>]</w:t>
      </w:r>
      <w:r w:rsidRPr="00D53DAF">
        <w:rPr>
          <w:rFonts w:ascii="Century" w:hAnsi="Century" w:cs="Miriam" w:hint="eastAsia"/>
          <w:b/>
          <w:spacing w:val="0"/>
          <w:sz w:val="22"/>
          <w:szCs w:val="24"/>
          <w:rtl/>
        </w:rPr>
        <w:t>היא</w:t>
      </w:r>
      <w:r w:rsidRPr="00D53DAF">
        <w:rPr>
          <w:rFonts w:ascii="Century" w:hAnsi="Century" w:cs="Miriam"/>
          <w:b/>
          <w:spacing w:val="0"/>
          <w:sz w:val="22"/>
          <w:szCs w:val="24"/>
          <w:rtl/>
        </w:rPr>
        <w:t xml:space="preserve"> </w:t>
      </w:r>
      <w:r w:rsidRPr="00D53DAF">
        <w:rPr>
          <w:rFonts w:ascii="Century" w:hAnsi="Century" w:cs="Miriam" w:hint="eastAsia"/>
          <w:b/>
          <w:spacing w:val="0"/>
          <w:sz w:val="22"/>
          <w:szCs w:val="24"/>
          <w:rtl/>
        </w:rPr>
        <w:t>שרירותית</w:t>
      </w:r>
      <w:r w:rsidRPr="00D53DAF">
        <w:rPr>
          <w:rFonts w:ascii="Century" w:hAnsi="Century" w:cs="Miriam"/>
          <w:b/>
          <w:spacing w:val="0"/>
          <w:sz w:val="22"/>
          <w:szCs w:val="24"/>
          <w:rtl/>
        </w:rPr>
        <w:t xml:space="preserve"> </w:t>
      </w:r>
      <w:r w:rsidRPr="00D53DAF">
        <w:rPr>
          <w:rFonts w:ascii="Century" w:hAnsi="Century" w:cs="Miriam" w:hint="eastAsia"/>
          <w:b/>
          <w:spacing w:val="0"/>
          <w:sz w:val="22"/>
          <w:szCs w:val="24"/>
          <w:rtl/>
        </w:rPr>
        <w:t>בעליל</w:t>
      </w:r>
      <w:r w:rsidRPr="00D53DAF">
        <w:rPr>
          <w:rFonts w:ascii="Century" w:hAnsi="Century" w:cs="Miriam"/>
          <w:b/>
          <w:spacing w:val="0"/>
          <w:sz w:val="22"/>
          <w:szCs w:val="24"/>
          <w:rtl/>
        </w:rPr>
        <w:t xml:space="preserve">, </w:t>
      </w:r>
      <w:r w:rsidRPr="00D53DAF">
        <w:rPr>
          <w:rFonts w:ascii="Century" w:hAnsi="Century" w:cs="Miriam" w:hint="eastAsia"/>
          <w:b/>
          <w:spacing w:val="0"/>
          <w:sz w:val="22"/>
          <w:szCs w:val="24"/>
          <w:rtl/>
        </w:rPr>
        <w:t>קפריזית</w:t>
      </w:r>
      <w:r w:rsidRPr="00D53DAF">
        <w:rPr>
          <w:rFonts w:ascii="Century" w:hAnsi="Century" w:cs="Miriam"/>
          <w:b/>
          <w:spacing w:val="0"/>
          <w:sz w:val="22"/>
          <w:szCs w:val="24"/>
          <w:rtl/>
        </w:rPr>
        <w:t xml:space="preserve"> </w:t>
      </w:r>
      <w:r w:rsidRPr="00D53DAF">
        <w:rPr>
          <w:rFonts w:ascii="Century" w:hAnsi="Century" w:cs="Miriam" w:hint="eastAsia"/>
          <w:b/>
          <w:spacing w:val="0"/>
          <w:sz w:val="22"/>
          <w:szCs w:val="24"/>
          <w:rtl/>
        </w:rPr>
        <w:t>או</w:t>
      </w:r>
      <w:r w:rsidRPr="00D53DAF">
        <w:rPr>
          <w:rFonts w:ascii="Century" w:hAnsi="Century" w:cs="Miriam"/>
          <w:b/>
          <w:spacing w:val="0"/>
          <w:sz w:val="22"/>
          <w:szCs w:val="24"/>
          <w:rtl/>
        </w:rPr>
        <w:t xml:space="preserve"> </w:t>
      </w:r>
      <w:r w:rsidRPr="00D53DAF">
        <w:rPr>
          <w:rFonts w:ascii="Century" w:hAnsi="Century" w:cs="Miriam" w:hint="eastAsia"/>
          <w:b/>
          <w:spacing w:val="0"/>
          <w:sz w:val="22"/>
          <w:szCs w:val="24"/>
          <w:rtl/>
        </w:rPr>
        <w:t>מופרכת</w:t>
      </w:r>
      <w:r>
        <w:rPr>
          <w:rFonts w:ascii="Century" w:hAnsi="Century" w:hint="cs"/>
          <w:rtl/>
        </w:rPr>
        <w:t xml:space="preserve">", דהיינו כאשר </w:t>
      </w:r>
      <w:r>
        <w:rPr>
          <w:rFonts w:ascii="Century" w:hAnsi="Century"/>
          <w:rtl/>
        </w:rPr>
        <w:t>–</w:t>
      </w:r>
      <w:r>
        <w:rPr>
          <w:rFonts w:ascii="Century" w:hAnsi="Century" w:hint="cs"/>
          <w:rtl/>
        </w:rPr>
        <w:t xml:space="preserve"> </w:t>
      </w:r>
    </w:p>
    <w:p w:rsidR="00D61E12" w:rsidRDefault="00D61E12" w:rsidP="00D61E12">
      <w:pPr>
        <w:pStyle w:val="Ruller5"/>
        <w:spacing w:before="240" w:after="240"/>
        <w:rPr>
          <w:rtl/>
        </w:rPr>
      </w:pPr>
      <w:r w:rsidRPr="00320D87">
        <w:rPr>
          <w:rFonts w:hint="cs"/>
          <w:rtl/>
        </w:rPr>
        <w:t>"הרשות המינהלית אינה מספקת לה שום הסבר, או למצער שההסבר שהרשות מספקת אינו עומד בסטנדרט מינ</w:t>
      </w:r>
      <w:r>
        <w:rPr>
          <w:rFonts w:hint="cs"/>
          <w:rtl/>
        </w:rPr>
        <w:t>ימ</w:t>
      </w:r>
      <w:r w:rsidRPr="00320D87">
        <w:rPr>
          <w:rFonts w:hint="cs"/>
          <w:rtl/>
        </w:rPr>
        <w:t>לי של קשר רציונלי</w:t>
      </w:r>
      <w:r>
        <w:rPr>
          <w:rFonts w:hint="cs"/>
          <w:rtl/>
        </w:rPr>
        <w:t xml:space="preserve"> [...] החלטה מופרכת היא החלטה שעל פני הדברים לא ניתן להצדיקה, כלומר החלטה שנגועה בפגמים כה בולטים, עד שהתערבות בה נראית מחויבת המציאות</w:t>
      </w:r>
      <w:r w:rsidRPr="00B65627">
        <w:rPr>
          <w:rFonts w:hint="cs"/>
          <w:rtl/>
        </w:rPr>
        <w:t>"</w:t>
      </w:r>
      <w:r w:rsidRPr="00320D87">
        <w:rPr>
          <w:rFonts w:hint="cs"/>
          <w:rtl/>
        </w:rPr>
        <w:t xml:space="preserve"> </w:t>
      </w:r>
      <w:r w:rsidRPr="00D53DAF">
        <w:rPr>
          <w:rFonts w:ascii="Century" w:hAnsi="Century" w:cs="Miriam"/>
          <w:b/>
          <w:spacing w:val="0"/>
          <w:szCs w:val="24"/>
          <w:rtl/>
        </w:rPr>
        <w:t>(</w:t>
      </w:r>
      <w:r>
        <w:rPr>
          <w:rFonts w:ascii="Century" w:hAnsi="Century" w:cs="Miriam" w:hint="cs"/>
          <w:b/>
          <w:spacing w:val="0"/>
          <w:szCs w:val="24"/>
          <w:rtl/>
        </w:rPr>
        <w:t>דותן</w:t>
      </w:r>
      <w:r>
        <w:rPr>
          <w:rFonts w:ascii="Century" w:hAnsi="Century" w:hint="cs"/>
          <w:rtl/>
        </w:rPr>
        <w:t>, בעמוד 210</w:t>
      </w:r>
      <w:r w:rsidRPr="00D53DAF">
        <w:rPr>
          <w:rFonts w:ascii="Century" w:hAnsi="Century" w:cs="Miriam"/>
          <w:b/>
          <w:spacing w:val="0"/>
          <w:szCs w:val="24"/>
          <w:rtl/>
        </w:rPr>
        <w:t>).</w:t>
      </w:r>
      <w:r w:rsidRPr="0030790D">
        <w:rPr>
          <w:rFonts w:hint="cs"/>
          <w:rtl/>
        </w:rPr>
        <w:t xml:space="preserve"> </w:t>
      </w:r>
    </w:p>
    <w:p w:rsidR="00D61E12" w:rsidRPr="00CA5E9E" w:rsidRDefault="00D61E12" w:rsidP="00D61E12">
      <w:pPr>
        <w:pStyle w:val="Ruller4"/>
        <w:numPr>
          <w:ilvl w:val="0"/>
          <w:numId w:val="0"/>
        </w:numPr>
        <w:tabs>
          <w:tab w:val="clear" w:pos="800"/>
        </w:tabs>
        <w:overflowPunct/>
        <w:autoSpaceDE/>
        <w:adjustRightInd/>
        <w:spacing w:before="240" w:after="240"/>
        <w:ind w:firstLine="720"/>
        <w:textAlignment w:val="auto"/>
        <w:rPr>
          <w:rFonts w:ascii="Century" w:hAnsi="Century"/>
          <w:rtl/>
        </w:rPr>
      </w:pPr>
      <w:r>
        <w:rPr>
          <w:rFonts w:ascii="Century" w:hAnsi="Century" w:hint="cs"/>
          <w:rtl/>
        </w:rPr>
        <w:t xml:space="preserve">בהקשר אחרון זה ראו גם בג"ץ 580/77 </w:t>
      </w:r>
      <w:r>
        <w:rPr>
          <w:rFonts w:ascii="Century" w:hAnsi="Century" w:cs="Miriam" w:hint="cs"/>
          <w:b/>
          <w:spacing w:val="0"/>
          <w:sz w:val="22"/>
          <w:szCs w:val="24"/>
          <w:rtl/>
        </w:rPr>
        <w:t>התאחדות הסוחרים הכללית בישראל נ' עירית תל-אביב-יפו</w:t>
      </w:r>
      <w:r>
        <w:rPr>
          <w:rFonts w:ascii="Century" w:hAnsi="Century" w:hint="cs"/>
          <w:sz w:val="22"/>
          <w:rtl/>
        </w:rPr>
        <w:t>, פ"ד לב(2) 780, 782 (1978), שם נבחן תוקפו של חוק עזר עירוני שהוראותיו נראו לבית המשפט "</w:t>
      </w:r>
      <w:r w:rsidRPr="00B65627">
        <w:rPr>
          <w:rFonts w:ascii="Century" w:hAnsi="Century" w:cs="Miriam" w:hint="cs"/>
          <w:b/>
          <w:spacing w:val="0"/>
          <w:sz w:val="22"/>
          <w:szCs w:val="24"/>
          <w:rtl/>
        </w:rPr>
        <w:t>משונות</w:t>
      </w:r>
      <w:r>
        <w:rPr>
          <w:rFonts w:ascii="Century" w:hAnsi="Century" w:hint="cs"/>
          <w:sz w:val="22"/>
          <w:rtl/>
        </w:rPr>
        <w:t>", אשר חייב בעלי עסקים לטאטא את המדרכה הקרובה לפתח עסקם שלוש פעמים ביום, זאת ללא כל קשר לשאלה אם העסק פעל באותה העת או אם המדרכה הייתה טעונת ניקיו</w:t>
      </w:r>
      <w:r>
        <w:rPr>
          <w:rFonts w:ascii="Century" w:hAnsi="Century" w:hint="eastAsia"/>
          <w:sz w:val="22"/>
          <w:rtl/>
        </w:rPr>
        <w:t>ן</w:t>
      </w:r>
      <w:r>
        <w:rPr>
          <w:rFonts w:ascii="Century" w:hAnsi="Century" w:hint="cs"/>
          <w:rtl/>
        </w:rPr>
        <w:t xml:space="preserve">; וכן ראו אצל </w:t>
      </w:r>
      <w:r w:rsidRPr="00303FAF">
        <w:rPr>
          <w:rFonts w:ascii="Century" w:hAnsi="Century" w:cs="Miriam" w:hint="cs"/>
          <w:b/>
          <w:spacing w:val="0"/>
          <w:sz w:val="22"/>
          <w:szCs w:val="24"/>
          <w:rtl/>
        </w:rPr>
        <w:t>ברק-ארז</w:t>
      </w:r>
      <w:r>
        <w:rPr>
          <w:rFonts w:ascii="Century" w:hAnsi="Century" w:hint="cs"/>
          <w:rtl/>
        </w:rPr>
        <w:t>, בעמודים 724-723.</w:t>
      </w:r>
    </w:p>
    <w:p w:rsidR="00D61E12" w:rsidRPr="00451480" w:rsidRDefault="00D61E12" w:rsidP="00D61E12">
      <w:pPr>
        <w:pStyle w:val="Ruller4"/>
        <w:numPr>
          <w:ilvl w:val="0"/>
          <w:numId w:val="0"/>
        </w:numPr>
        <w:tabs>
          <w:tab w:val="clear" w:pos="800"/>
        </w:tabs>
        <w:overflowPunct/>
        <w:autoSpaceDE/>
        <w:adjustRightInd/>
        <w:spacing w:before="240" w:after="240"/>
        <w:ind w:firstLine="720"/>
        <w:textAlignment w:val="auto"/>
        <w:rPr>
          <w:rFonts w:ascii="Century" w:hAnsi="Century"/>
          <w:sz w:val="22"/>
          <w:rtl/>
        </w:rPr>
      </w:pPr>
      <w:r>
        <w:rPr>
          <w:rFonts w:ascii="Century" w:hAnsi="Century" w:hint="cs"/>
          <w:sz w:val="22"/>
          <w:rtl/>
        </w:rPr>
        <w:t xml:space="preserve">על סטנדרט הביקורת השיפוטית שהיה נהוג באותם הימים עמד השופט </w:t>
      </w:r>
      <w:r>
        <w:rPr>
          <w:rFonts w:ascii="Century" w:hAnsi="Century" w:cs="Miriam" w:hint="cs"/>
          <w:b/>
          <w:spacing w:val="0"/>
          <w:sz w:val="22"/>
          <w:szCs w:val="24"/>
          <w:rtl/>
        </w:rPr>
        <w:t>ברנזון</w:t>
      </w:r>
      <w:r>
        <w:rPr>
          <w:rFonts w:ascii="Century" w:hAnsi="Century" w:hint="cs"/>
          <w:sz w:val="22"/>
          <w:rtl/>
        </w:rPr>
        <w:t xml:space="preserve"> בציינו כדלהלן: </w:t>
      </w:r>
    </w:p>
    <w:p w:rsidR="00D61E12" w:rsidRDefault="00D61E12" w:rsidP="00D61E12">
      <w:pPr>
        <w:pStyle w:val="Ruller5"/>
        <w:spacing w:before="240" w:after="240"/>
        <w:rPr>
          <w:rFonts w:ascii="Century" w:hAnsi="Century"/>
          <w:rtl/>
        </w:rPr>
      </w:pPr>
      <w:r>
        <w:rPr>
          <w:rFonts w:ascii="Century" w:hAnsi="Century" w:hint="cs"/>
          <w:rtl/>
        </w:rPr>
        <w:t xml:space="preserve">"הייתי אומר, שאם ימצא בית-המשפט כי חקיקת-המשנה היא כה בלתי הגיונית ובלתי נסבלת עד שאדם בר-דעת לא יעלה על דעתו ששר סביר היה מסוגל לעשותה, כי אז יצטרך לאמור שמעולם לא נתכוון המחוקק לתת כוח זה בידי השר" (עניין </w:t>
      </w:r>
      <w:r w:rsidRPr="00450CA7">
        <w:rPr>
          <w:rFonts w:ascii="Century" w:hAnsi="Century" w:cs="Miriam" w:hint="cs"/>
          <w:b/>
          <w:spacing w:val="0"/>
          <w:szCs w:val="24"/>
          <w:rtl/>
        </w:rPr>
        <w:t>דיזנגוף</w:t>
      </w:r>
      <w:r>
        <w:rPr>
          <w:rFonts w:ascii="Century" w:hAnsi="Century" w:hint="cs"/>
          <w:rtl/>
        </w:rPr>
        <w:t>, בעמוד 1039).</w:t>
      </w:r>
    </w:p>
    <w:p w:rsidR="00D61E12" w:rsidRDefault="00D61E12" w:rsidP="00D61E12">
      <w:pPr>
        <w:pStyle w:val="Ruller41"/>
        <w:spacing w:before="240" w:after="240"/>
        <w:rPr>
          <w:rFonts w:ascii="Century" w:hAnsi="Century"/>
          <w:rtl/>
        </w:rPr>
      </w:pPr>
      <w:r>
        <w:rPr>
          <w:rFonts w:ascii="Century" w:hAnsi="Century" w:hint="cs"/>
          <w:rtl/>
        </w:rPr>
        <w:tab/>
        <w:t>אף בפסיקה מאוחרת יותר הובהר כי:</w:t>
      </w:r>
    </w:p>
    <w:p w:rsidR="00D61E12" w:rsidRDefault="00D61E12" w:rsidP="00D61E12">
      <w:pPr>
        <w:pStyle w:val="Ruller5"/>
        <w:spacing w:before="240" w:after="240"/>
        <w:rPr>
          <w:rFonts w:ascii="Century" w:hAnsi="Century"/>
          <w:rtl/>
        </w:rPr>
      </w:pPr>
      <w:r>
        <w:rPr>
          <w:rFonts w:ascii="Century" w:hAnsi="Century" w:hint="cs"/>
          <w:rtl/>
        </w:rPr>
        <w:lastRenderedPageBreak/>
        <w:t xml:space="preserve">"באין טענה של שחיתות רחמנא ליצלן או של כוונת זדון או חוסר תום-לב מסוג אחר, או סתם שרירות מרושעת, לא יתערב בית-משפט זה בשיקול דעתה [של ממשלת ישראל </w:t>
      </w:r>
      <w:r>
        <w:rPr>
          <w:rFonts w:ascii="Century" w:hAnsi="Century"/>
          <w:rtl/>
        </w:rPr>
        <w:t>–</w:t>
      </w:r>
      <w:r>
        <w:rPr>
          <w:rFonts w:ascii="Century" w:hAnsi="Century" w:hint="cs"/>
          <w:rtl/>
        </w:rPr>
        <w:t xml:space="preserve"> ח' כ']" (בג"ץ 162/72 </w:t>
      </w:r>
      <w:r w:rsidRPr="00094664">
        <w:rPr>
          <w:rFonts w:ascii="Century" w:hAnsi="Century" w:cs="Miriam" w:hint="cs"/>
          <w:b/>
          <w:spacing w:val="0"/>
          <w:szCs w:val="24"/>
          <w:rtl/>
        </w:rPr>
        <w:t>קינרוס נ' מדינת ישראל</w:t>
      </w:r>
      <w:r>
        <w:rPr>
          <w:rFonts w:ascii="Century" w:hAnsi="Century" w:hint="cs"/>
          <w:rtl/>
        </w:rPr>
        <w:t>, פ"ד כז(1) 238, 243-242 (1972)).</w:t>
      </w:r>
    </w:p>
    <w:p w:rsidR="00D61E12" w:rsidRDefault="00D61E12" w:rsidP="00D61E12">
      <w:pPr>
        <w:pStyle w:val="Ruller41"/>
        <w:spacing w:before="240" w:after="240"/>
        <w:rPr>
          <w:rFonts w:ascii="Century" w:hAnsi="Century"/>
          <w:rtl/>
        </w:rPr>
      </w:pPr>
      <w:r>
        <w:rPr>
          <w:rFonts w:ascii="Century" w:hAnsi="Century"/>
          <w:rtl/>
        </w:rPr>
        <w:tab/>
      </w:r>
      <w:r>
        <w:rPr>
          <w:rFonts w:ascii="Century" w:hAnsi="Century" w:hint="cs"/>
          <w:rtl/>
        </w:rPr>
        <w:t xml:space="preserve">עמד על כך גם השופט </w:t>
      </w:r>
      <w:r>
        <w:rPr>
          <w:rFonts w:ascii="Century" w:hAnsi="Century" w:cs="Miriam" w:hint="cs"/>
          <w:b/>
          <w:spacing w:val="0"/>
          <w:szCs w:val="24"/>
          <w:rtl/>
        </w:rPr>
        <w:t>מ' אלון</w:t>
      </w:r>
      <w:r>
        <w:rPr>
          <w:rFonts w:ascii="Century" w:hAnsi="Century" w:hint="cs"/>
          <w:rtl/>
        </w:rPr>
        <w:t xml:space="preserve"> עת שפסק כך:</w:t>
      </w:r>
    </w:p>
    <w:p w:rsidR="00D61E12" w:rsidRDefault="00D61E12" w:rsidP="00D61E12">
      <w:pPr>
        <w:pStyle w:val="Ruller5"/>
        <w:spacing w:before="240" w:after="240"/>
        <w:rPr>
          <w:rFonts w:ascii="Century" w:hAnsi="Century"/>
          <w:rtl/>
        </w:rPr>
      </w:pPr>
      <w:r>
        <w:rPr>
          <w:rFonts w:ascii="Century" w:hAnsi="Century" w:hint="cs"/>
          <w:rtl/>
        </w:rPr>
        <w:t>"</w:t>
      </w:r>
      <w:r w:rsidRPr="00EE55D6">
        <w:rPr>
          <w:rFonts w:ascii="Century" w:hAnsi="Century"/>
          <w:rtl/>
        </w:rPr>
        <w:t>מובן ואין צריך לומר כי יתכן גם יתכן ובמציאות המגוונת והסבוכה של יחסי כלכלה ומסחר בין רשות ציבורית לאזרח יעלה לפנינו מקרה של חוסר סבירות מפליג ומופלג שיצדיק התערבותנו בענין</w:t>
      </w:r>
      <w:r>
        <w:rPr>
          <w:rFonts w:ascii="Century" w:hAnsi="Century" w:hint="cs"/>
          <w:rtl/>
        </w:rPr>
        <w:t xml:space="preserve">" (עניין </w:t>
      </w:r>
      <w:r>
        <w:rPr>
          <w:rFonts w:ascii="Century" w:hAnsi="Century" w:cs="Miriam" w:hint="cs"/>
          <w:b/>
          <w:spacing w:val="0"/>
          <w:szCs w:val="24"/>
          <w:rtl/>
        </w:rPr>
        <w:t>מרכז הקבלנים</w:t>
      </w:r>
      <w:r>
        <w:rPr>
          <w:rFonts w:ascii="Century" w:hAnsi="Century" w:hint="cs"/>
          <w:rtl/>
        </w:rPr>
        <w:t>, בעמוד 754).</w:t>
      </w:r>
    </w:p>
    <w:p w:rsidR="00D61E12" w:rsidRDefault="00D61E12" w:rsidP="00D61E12">
      <w:pPr>
        <w:pStyle w:val="Ruller4"/>
        <w:numPr>
          <w:ilvl w:val="0"/>
          <w:numId w:val="0"/>
        </w:numPr>
        <w:spacing w:before="240" w:after="240"/>
        <w:rPr>
          <w:rFonts w:ascii="Century" w:hAnsi="Century"/>
          <w:sz w:val="22"/>
        </w:rPr>
      </w:pPr>
      <w:r>
        <w:rPr>
          <w:rtl/>
        </w:rPr>
        <w:tab/>
      </w:r>
      <w:r>
        <w:rPr>
          <w:rFonts w:hint="cs"/>
          <w:rtl/>
        </w:rPr>
        <w:t xml:space="preserve">יוער, כי סטנדרט דומה קיים גם בשיטות המשפט בארה"ב ובאנגליה (ראו בהתאמה: </w:t>
      </w:r>
      <w:r w:rsidRPr="00216B21">
        <w:rPr>
          <w:rFonts w:ascii="Century" w:hAnsi="Century" w:cs="Miriam" w:hint="cs"/>
          <w:b/>
          <w:spacing w:val="0"/>
          <w:szCs w:val="24"/>
          <w:rtl/>
        </w:rPr>
        <w:t>דותן</w:t>
      </w:r>
      <w:r>
        <w:rPr>
          <w:rFonts w:hint="cs"/>
          <w:rtl/>
        </w:rPr>
        <w:t xml:space="preserve">, בעמוד 211; פסקאות 94-92 לחוות דעתו של חברי, השופט </w:t>
      </w:r>
      <w:r w:rsidRPr="00216B21">
        <w:rPr>
          <w:rFonts w:ascii="Century" w:hAnsi="Century" w:cs="Miriam" w:hint="cs"/>
          <w:b/>
          <w:spacing w:val="0"/>
          <w:szCs w:val="24"/>
          <w:rtl/>
        </w:rPr>
        <w:t>שטיין</w:t>
      </w:r>
      <w:r>
        <w:rPr>
          <w:rFonts w:hint="cs"/>
          <w:rtl/>
        </w:rPr>
        <w:t xml:space="preserve">). </w:t>
      </w:r>
    </w:p>
    <w:p w:rsidR="00D61E12" w:rsidRPr="00221A4D" w:rsidRDefault="00D61E12" w:rsidP="00D61E12">
      <w:pPr>
        <w:pStyle w:val="Ruller4"/>
        <w:spacing w:before="240" w:after="240"/>
        <w:rPr>
          <w:rFonts w:ascii="Century" w:hAnsi="Century"/>
          <w:sz w:val="22"/>
        </w:rPr>
      </w:pPr>
      <w:r>
        <w:rPr>
          <w:rFonts w:ascii="Century" w:hAnsi="Century" w:hint="cs"/>
          <w:sz w:val="22"/>
          <w:rtl/>
        </w:rPr>
        <w:t xml:space="preserve">אם נסכם עד כה, מראשית ימיה של המדינה (וכפי שיובהר להלן, עד לתחילת שנות </w:t>
      </w:r>
      <w:r w:rsidRPr="00B65627">
        <w:rPr>
          <w:rFonts w:ascii="Century" w:hAnsi="Century" w:hint="cs"/>
          <w:sz w:val="22"/>
          <w:rtl/>
        </w:rPr>
        <w:t>השמונים</w:t>
      </w:r>
      <w:r>
        <w:rPr>
          <w:rFonts w:ascii="Century" w:hAnsi="Century" w:hint="cs"/>
          <w:sz w:val="22"/>
          <w:rtl/>
        </w:rPr>
        <w:t xml:space="preserve"> של המאה הקודמת), מובנה </w:t>
      </w:r>
      <w:r>
        <w:rPr>
          <w:rFonts w:ascii="Century" w:hAnsi="Century" w:cs="Miriam" w:hint="cs"/>
          <w:b/>
          <w:spacing w:val="0"/>
          <w:sz w:val="22"/>
          <w:szCs w:val="24"/>
          <w:rtl/>
        </w:rPr>
        <w:t>העצמאי</w:t>
      </w:r>
      <w:r>
        <w:rPr>
          <w:rFonts w:ascii="Century" w:hAnsi="Century" w:hint="cs"/>
          <w:sz w:val="22"/>
          <w:rtl/>
        </w:rPr>
        <w:t xml:space="preserve"> של עילת הסבירות, ככל שאכן זכתה למעמד עצמאי שכזה, </w:t>
      </w:r>
      <w:r w:rsidRPr="00221A4D">
        <w:rPr>
          <w:rFonts w:ascii="Century" w:hAnsi="Century" w:cs="Miriam" w:hint="cs"/>
          <w:b/>
          <w:spacing w:val="0"/>
          <w:sz w:val="22"/>
          <w:szCs w:val="24"/>
          <w:rtl/>
        </w:rPr>
        <w:t>היה מצומצם למדי</w:t>
      </w:r>
      <w:r w:rsidRPr="00221A4D">
        <w:rPr>
          <w:rFonts w:ascii="Century" w:hAnsi="Century" w:hint="cs"/>
          <w:sz w:val="22"/>
          <w:rtl/>
        </w:rPr>
        <w:t xml:space="preserve">. כך, </w:t>
      </w:r>
      <w:r>
        <w:rPr>
          <w:rFonts w:ascii="Century" w:hAnsi="Century" w:hint="cs"/>
          <w:sz w:val="22"/>
          <w:rtl/>
        </w:rPr>
        <w:t>עילת הסבירות</w:t>
      </w:r>
      <w:r w:rsidRPr="00221A4D">
        <w:rPr>
          <w:rFonts w:ascii="Century" w:hAnsi="Century" w:hint="cs"/>
          <w:sz w:val="22"/>
          <w:rtl/>
        </w:rPr>
        <w:t xml:space="preserve"> שימשה אך ורק לביטול החלטות שרירותיות</w:t>
      </w:r>
      <w:r>
        <w:rPr>
          <w:rFonts w:ascii="Century" w:hAnsi="Century" w:hint="cs"/>
          <w:sz w:val="22"/>
          <w:rtl/>
        </w:rPr>
        <w:t>, קפריזיות או מופרכות על פניהן.</w:t>
      </w:r>
    </w:p>
    <w:p w:rsidR="00D61E12" w:rsidRPr="00F44D62" w:rsidRDefault="00D61E12" w:rsidP="00D61E12">
      <w:pPr>
        <w:pStyle w:val="Ruller41"/>
        <w:spacing w:before="240" w:after="240"/>
        <w:rPr>
          <w:rFonts w:ascii="Century" w:hAnsi="Century"/>
        </w:rPr>
      </w:pPr>
      <w:r>
        <w:rPr>
          <w:rtl/>
        </w:rPr>
        <w:tab/>
      </w:r>
      <w:r>
        <w:rPr>
          <w:rFonts w:hint="cs"/>
          <w:rtl/>
        </w:rPr>
        <w:t xml:space="preserve">סטנדרט ביקורת שיפוטית זה ייקרא להלן </w:t>
      </w:r>
      <w:r>
        <w:rPr>
          <w:rtl/>
        </w:rPr>
        <w:t>–</w:t>
      </w:r>
      <w:r>
        <w:rPr>
          <w:rFonts w:hint="cs"/>
          <w:rtl/>
        </w:rPr>
        <w:t xml:space="preserve"> </w:t>
      </w:r>
      <w:r>
        <w:rPr>
          <w:rFonts w:ascii="Century" w:hAnsi="Century" w:cs="Miriam" w:hint="cs"/>
          <w:b/>
          <w:spacing w:val="0"/>
          <w:szCs w:val="24"/>
          <w:rtl/>
        </w:rPr>
        <w:t>מבחן המופרכות</w:t>
      </w:r>
      <w:r>
        <w:rPr>
          <w:rFonts w:ascii="Century" w:hAnsi="Century" w:hint="cs"/>
          <w:rtl/>
        </w:rPr>
        <w:t xml:space="preserve">. </w:t>
      </w:r>
    </w:p>
    <w:p w:rsidR="00D61E12" w:rsidRPr="00534B8A" w:rsidRDefault="00D61E12" w:rsidP="002A1A3A">
      <w:pPr>
        <w:pStyle w:val="Ruller41"/>
        <w:numPr>
          <w:ilvl w:val="2"/>
          <w:numId w:val="16"/>
        </w:numPr>
        <w:spacing w:before="240" w:after="240"/>
        <w:rPr>
          <w:rFonts w:ascii="Century" w:hAnsi="Century" w:cs="Miriam"/>
          <w:b/>
          <w:spacing w:val="0"/>
          <w:szCs w:val="24"/>
        </w:rPr>
      </w:pPr>
      <w:r>
        <w:rPr>
          <w:rFonts w:ascii="Century" w:hAnsi="Century" w:cs="Miriam" w:hint="cs"/>
          <w:b/>
          <w:spacing w:val="0"/>
          <w:szCs w:val="24"/>
          <w:rtl/>
        </w:rPr>
        <w:t xml:space="preserve">הרחבתה של עילת הסבירות </w:t>
      </w:r>
    </w:p>
    <w:p w:rsidR="00D61E12" w:rsidRPr="00A51AD0" w:rsidRDefault="00D61E12" w:rsidP="00D61E12">
      <w:pPr>
        <w:pStyle w:val="Ruller4"/>
        <w:spacing w:before="240" w:after="240"/>
        <w:rPr>
          <w:rFonts w:ascii="Century" w:hAnsi="Century"/>
          <w:sz w:val="22"/>
        </w:rPr>
      </w:pPr>
      <w:r>
        <w:rPr>
          <w:rFonts w:ascii="Century" w:hAnsi="Century" w:hint="cs"/>
          <w:sz w:val="22"/>
          <w:rtl/>
        </w:rPr>
        <w:t xml:space="preserve">בראשית שנות </w:t>
      </w:r>
      <w:r w:rsidRPr="00B65627">
        <w:rPr>
          <w:rFonts w:ascii="Century" w:hAnsi="Century" w:hint="cs"/>
          <w:sz w:val="22"/>
          <w:rtl/>
        </w:rPr>
        <w:t>השמונים</w:t>
      </w:r>
      <w:r>
        <w:rPr>
          <w:rFonts w:ascii="Century" w:hAnsi="Century" w:hint="cs"/>
          <w:sz w:val="22"/>
          <w:rtl/>
        </w:rPr>
        <w:t xml:space="preserve"> חלה התפתחות משמעותית בשלושת מאפייניה האנגליים של עילת הסבירות, כפי שהוזכרו לעיל, והיא החלה להתרחק מהם (זאת, במקביל לתהליכים כלליים של התרחקות שיטת המשפט הישראלית מהשיטה האנגלית, ראו </w:t>
      </w:r>
      <w:r w:rsidRPr="00A51AD0">
        <w:rPr>
          <w:rFonts w:ascii="Century" w:hAnsi="Century" w:hint="cs"/>
          <w:sz w:val="22"/>
          <w:rtl/>
        </w:rPr>
        <w:t xml:space="preserve">למשל: מנחם מאוטנר "ירידת הפורמליזם ועליית הערכים במשפט הישראלי" </w:t>
      </w:r>
      <w:r w:rsidRPr="00A51AD0">
        <w:rPr>
          <w:rFonts w:ascii="Century" w:hAnsi="Century" w:cs="Miriam" w:hint="cs"/>
          <w:b/>
          <w:spacing w:val="0"/>
          <w:sz w:val="22"/>
          <w:szCs w:val="24"/>
          <w:rtl/>
        </w:rPr>
        <w:t xml:space="preserve">עיוני משפט </w:t>
      </w:r>
      <w:r w:rsidRPr="00A51AD0">
        <w:rPr>
          <w:rFonts w:ascii="Century" w:hAnsi="Century" w:hint="cs"/>
          <w:sz w:val="22"/>
          <w:rtl/>
        </w:rPr>
        <w:t>יז 503, 586 (199</w:t>
      </w:r>
      <w:r>
        <w:rPr>
          <w:rFonts w:ascii="Century" w:hAnsi="Century" w:hint="cs"/>
          <w:sz w:val="22"/>
          <w:rtl/>
        </w:rPr>
        <w:t>3</w:t>
      </w:r>
      <w:r w:rsidRPr="00A51AD0">
        <w:rPr>
          <w:rFonts w:ascii="Century" w:hAnsi="Century" w:hint="cs"/>
          <w:sz w:val="22"/>
          <w:rtl/>
        </w:rPr>
        <w:t xml:space="preserve">) </w:t>
      </w:r>
      <w:r w:rsidRPr="00A51AD0">
        <w:rPr>
          <w:rFonts w:ascii="Century" w:hAnsi="Century"/>
          <w:sz w:val="22"/>
          <w:rtl/>
        </w:rPr>
        <w:t>(</w:t>
      </w:r>
      <w:r w:rsidRPr="00A51AD0">
        <w:rPr>
          <w:rFonts w:ascii="Century" w:hAnsi="Century" w:hint="eastAsia"/>
          <w:sz w:val="22"/>
          <w:rtl/>
        </w:rPr>
        <w:t>להלן</w:t>
      </w:r>
      <w:r w:rsidRPr="00A51AD0">
        <w:rPr>
          <w:rFonts w:ascii="Century" w:hAnsi="Century"/>
          <w:sz w:val="22"/>
          <w:rtl/>
        </w:rPr>
        <w:t xml:space="preserve">: </w:t>
      </w:r>
      <w:r w:rsidRPr="00216B21">
        <w:rPr>
          <w:rFonts w:ascii="Century" w:hAnsi="Century" w:cs="Miriam" w:hint="cs"/>
          <w:b/>
          <w:spacing w:val="0"/>
          <w:sz w:val="22"/>
          <w:szCs w:val="24"/>
          <w:rtl/>
        </w:rPr>
        <w:t xml:space="preserve">מאוטנר </w:t>
      </w:r>
      <w:r w:rsidRPr="00216B21">
        <w:rPr>
          <w:rFonts w:ascii="Century" w:hAnsi="Century" w:cs="Miriam"/>
          <w:b/>
          <w:spacing w:val="0"/>
          <w:sz w:val="22"/>
          <w:szCs w:val="24"/>
          <w:rtl/>
        </w:rPr>
        <w:t>–</w:t>
      </w:r>
      <w:r w:rsidRPr="00216B21">
        <w:rPr>
          <w:rFonts w:ascii="Century" w:hAnsi="Century" w:cs="Miriam" w:hint="cs"/>
          <w:b/>
          <w:spacing w:val="0"/>
          <w:sz w:val="22"/>
          <w:szCs w:val="24"/>
          <w:rtl/>
        </w:rPr>
        <w:t xml:space="preserve"> ירידת הפורמליזם ועליית הערכים</w:t>
      </w:r>
      <w:r>
        <w:rPr>
          <w:rFonts w:ascii="Century" w:hAnsi="Century" w:hint="cs"/>
          <w:sz w:val="22"/>
          <w:rtl/>
        </w:rPr>
        <w:t>)).</w:t>
      </w:r>
    </w:p>
    <w:p w:rsidR="00D61E12" w:rsidRPr="00F6395B" w:rsidRDefault="00D61E12" w:rsidP="00D61E12">
      <w:pPr>
        <w:pStyle w:val="Ruller4"/>
        <w:spacing w:before="240" w:after="240"/>
        <w:rPr>
          <w:rFonts w:ascii="Century" w:hAnsi="Century"/>
        </w:rPr>
      </w:pPr>
      <w:bookmarkStart w:id="37" w:name="_Ref153891067"/>
      <w:r w:rsidRPr="00017064">
        <w:rPr>
          <w:rFonts w:ascii="Century" w:hAnsi="Century" w:cs="Miriam" w:hint="cs"/>
          <w:b/>
          <w:spacing w:val="0"/>
          <w:szCs w:val="24"/>
          <w:rtl/>
        </w:rPr>
        <w:t>ראשית</w:t>
      </w:r>
      <w:r w:rsidRPr="00017064">
        <w:rPr>
          <w:rFonts w:ascii="Century" w:hAnsi="Century" w:hint="cs"/>
          <w:rtl/>
        </w:rPr>
        <w:t>, בקשר לשני המאפיינים הראשונים, עילת הסבירות התנתקה מעילת חוסר הסמכות ומהעילות האחרות שבמשפט המינהלי, עת שקיבלה מעמד עצמאי כעילה העומדת על רגליה שלה (</w:t>
      </w:r>
      <w:r w:rsidRPr="00017064">
        <w:rPr>
          <w:rFonts w:ascii="Century" w:hAnsi="Century" w:cs="Miriam" w:hint="cs"/>
          <w:b/>
          <w:spacing w:val="0"/>
          <w:szCs w:val="24"/>
          <w:rtl/>
        </w:rPr>
        <w:t>דותן</w:t>
      </w:r>
      <w:r w:rsidRPr="00017064">
        <w:rPr>
          <w:rFonts w:ascii="Century" w:hAnsi="Century" w:hint="cs"/>
          <w:rtl/>
        </w:rPr>
        <w:t xml:space="preserve">, בעמוד 127; </w:t>
      </w:r>
      <w:r w:rsidRPr="00017064">
        <w:rPr>
          <w:rFonts w:ascii="Century" w:hAnsi="Century" w:cs="Miriam" w:hint="cs"/>
          <w:b/>
          <w:spacing w:val="0"/>
          <w:szCs w:val="24"/>
          <w:rtl/>
        </w:rPr>
        <w:t>ברק-ארז</w:t>
      </w:r>
      <w:r w:rsidRPr="00017064">
        <w:rPr>
          <w:rFonts w:ascii="Century" w:hAnsi="Century" w:hint="cs"/>
          <w:rtl/>
        </w:rPr>
        <w:t xml:space="preserve">, בעמוד 729). </w:t>
      </w:r>
      <w:r w:rsidRPr="00017064">
        <w:rPr>
          <w:rFonts w:ascii="Century" w:hAnsi="Century" w:hint="cs"/>
          <w:sz w:val="22"/>
          <w:rtl/>
        </w:rPr>
        <w:t>כך, בפסיקה מאוחרת יותר, בית משפט זה לא חזר עוד על העיקרון לפיו "</w:t>
      </w:r>
      <w:r w:rsidRPr="00017064">
        <w:rPr>
          <w:rFonts w:ascii="Century" w:hAnsi="Century" w:cs="Miriam" w:hint="cs"/>
          <w:b/>
          <w:spacing w:val="0"/>
          <w:sz w:val="22"/>
          <w:szCs w:val="24"/>
          <w:rtl/>
        </w:rPr>
        <w:t>ענין הסבירות אינו בעצם אלא אחת הצורות של חריגה מסמכות</w:t>
      </w:r>
      <w:r w:rsidRPr="00017064">
        <w:rPr>
          <w:rFonts w:ascii="Century" w:hAnsi="Century" w:hint="cs"/>
          <w:sz w:val="22"/>
          <w:rtl/>
        </w:rPr>
        <w:t xml:space="preserve">" (לעיל, פסקה </w:t>
      </w:r>
      <w:r>
        <w:rPr>
          <w:rFonts w:ascii="Century" w:hAnsi="Century" w:hint="cs"/>
          <w:sz w:val="22"/>
          <w:rtl/>
        </w:rPr>
        <w:t>45</w:t>
      </w:r>
      <w:r w:rsidRPr="00017064">
        <w:rPr>
          <w:rFonts w:ascii="Century" w:hAnsi="Century" w:hint="cs"/>
          <w:sz w:val="22"/>
          <w:rtl/>
        </w:rPr>
        <w:t xml:space="preserve">). יתירה מכך: הפסיקה המאוחרת אימצה לקרבה עיקרון </w:t>
      </w:r>
      <w:r w:rsidRPr="00017064">
        <w:rPr>
          <w:rFonts w:ascii="Century" w:hAnsi="Century" w:cs="Miriam" w:hint="cs"/>
          <w:b/>
          <w:spacing w:val="0"/>
          <w:sz w:val="22"/>
          <w:szCs w:val="24"/>
          <w:rtl/>
        </w:rPr>
        <w:t>הפוך</w:t>
      </w:r>
      <w:r w:rsidRPr="00017064">
        <w:rPr>
          <w:rFonts w:ascii="Century" w:hAnsi="Century" w:hint="cs"/>
          <w:sz w:val="22"/>
          <w:rtl/>
        </w:rPr>
        <w:t xml:space="preserve"> לפיו </w:t>
      </w:r>
      <w:r w:rsidRPr="00017064">
        <w:rPr>
          <w:rFonts w:ascii="Century" w:hAnsi="Century"/>
          <w:sz w:val="22"/>
          <w:rtl/>
        </w:rPr>
        <w:t>–</w:t>
      </w:r>
      <w:r w:rsidRPr="00017064">
        <w:rPr>
          <w:rFonts w:ascii="Century" w:hAnsi="Century" w:hint="cs"/>
          <w:sz w:val="22"/>
          <w:rtl/>
        </w:rPr>
        <w:t xml:space="preserve"> 'סמכות לחוד ושיקול דעת לחוד' (ראו, מני רבים: בג"ץ 6163/92 </w:t>
      </w:r>
      <w:r w:rsidRPr="00017064">
        <w:rPr>
          <w:rFonts w:ascii="Century" w:hAnsi="Century" w:cs="Miriam" w:hint="cs"/>
          <w:b/>
          <w:spacing w:val="0"/>
          <w:sz w:val="22"/>
          <w:szCs w:val="24"/>
          <w:rtl/>
        </w:rPr>
        <w:t>אייזנברג נ' שר הבינוי והשיכון</w:t>
      </w:r>
      <w:r w:rsidRPr="00017064">
        <w:rPr>
          <w:rFonts w:ascii="Century" w:hAnsi="Century" w:hint="cs"/>
          <w:sz w:val="22"/>
          <w:rtl/>
        </w:rPr>
        <w:t xml:space="preserve">, פ"ד מז(2) 229 (1993) (להלן: </w:t>
      </w:r>
      <w:r w:rsidRPr="00017064">
        <w:rPr>
          <w:rFonts w:ascii="Century" w:hAnsi="Century" w:cs="Miriam" w:hint="cs"/>
          <w:b/>
          <w:spacing w:val="0"/>
          <w:sz w:val="22"/>
          <w:szCs w:val="24"/>
          <w:rtl/>
        </w:rPr>
        <w:t>עניין אייזנברג</w:t>
      </w:r>
      <w:r w:rsidRPr="00017064">
        <w:rPr>
          <w:rFonts w:ascii="Century" w:hAnsi="Century" w:hint="cs"/>
          <w:sz w:val="22"/>
          <w:rtl/>
        </w:rPr>
        <w:t xml:space="preserve">); </w:t>
      </w:r>
      <w:r w:rsidRPr="000A1340">
        <w:rPr>
          <w:rFonts w:hint="eastAsia"/>
          <w:rtl/>
        </w:rPr>
        <w:t>בג</w:t>
      </w:r>
      <w:r w:rsidRPr="000A1340">
        <w:rPr>
          <w:rtl/>
        </w:rPr>
        <w:t>"</w:t>
      </w:r>
      <w:r w:rsidRPr="000A1340">
        <w:rPr>
          <w:rFonts w:hint="eastAsia"/>
          <w:rtl/>
        </w:rPr>
        <w:t>ץ</w:t>
      </w:r>
      <w:r w:rsidRPr="000A1340">
        <w:rPr>
          <w:rtl/>
        </w:rPr>
        <w:t xml:space="preserve"> 3094/93 </w:t>
      </w:r>
      <w:r w:rsidRPr="00017064">
        <w:rPr>
          <w:rFonts w:ascii="Century" w:hAnsi="Century" w:cs="Miriam" w:hint="eastAsia"/>
          <w:b/>
          <w:spacing w:val="0"/>
          <w:sz w:val="22"/>
          <w:szCs w:val="24"/>
          <w:rtl/>
        </w:rPr>
        <w:t>התנועה</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למען</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איכות</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השלטון</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בישראל</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נ</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ממשלת</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ישראל</w:t>
      </w:r>
      <w:r w:rsidRPr="000A1340">
        <w:rPr>
          <w:rtl/>
        </w:rPr>
        <w:t xml:space="preserve">, </w:t>
      </w:r>
      <w:r w:rsidRPr="000A1340">
        <w:rPr>
          <w:rFonts w:hint="eastAsia"/>
          <w:rtl/>
        </w:rPr>
        <w:t>פ</w:t>
      </w:r>
      <w:r w:rsidRPr="000A1340">
        <w:rPr>
          <w:rtl/>
        </w:rPr>
        <w:t>"</w:t>
      </w:r>
      <w:r w:rsidRPr="000A1340">
        <w:rPr>
          <w:rFonts w:hint="eastAsia"/>
          <w:rtl/>
        </w:rPr>
        <w:t>ד</w:t>
      </w:r>
      <w:r w:rsidRPr="000A1340">
        <w:rPr>
          <w:rtl/>
        </w:rPr>
        <w:t xml:space="preserve"> </w:t>
      </w:r>
      <w:r w:rsidRPr="000A1340">
        <w:rPr>
          <w:rFonts w:hint="eastAsia"/>
          <w:rtl/>
        </w:rPr>
        <w:t>מז</w:t>
      </w:r>
      <w:r w:rsidRPr="000A1340">
        <w:rPr>
          <w:rtl/>
        </w:rPr>
        <w:t>(5) 404</w:t>
      </w:r>
      <w:r>
        <w:rPr>
          <w:rFonts w:hint="cs"/>
          <w:rtl/>
        </w:rPr>
        <w:t xml:space="preserve"> </w:t>
      </w:r>
      <w:r>
        <w:rPr>
          <w:rFonts w:hint="cs"/>
          <w:rtl/>
        </w:rPr>
        <w:lastRenderedPageBreak/>
        <w:t xml:space="preserve">(1993); </w:t>
      </w:r>
      <w:r w:rsidRPr="000A1340">
        <w:rPr>
          <w:rFonts w:hint="eastAsia"/>
          <w:rtl/>
        </w:rPr>
        <w:t>בג</w:t>
      </w:r>
      <w:r w:rsidRPr="000A1340">
        <w:rPr>
          <w:rtl/>
        </w:rPr>
        <w:t>"</w:t>
      </w:r>
      <w:r w:rsidRPr="000A1340">
        <w:rPr>
          <w:rFonts w:hint="eastAsia"/>
          <w:rtl/>
        </w:rPr>
        <w:t>ץ</w:t>
      </w:r>
      <w:r w:rsidRPr="000A1340">
        <w:rPr>
          <w:rtl/>
        </w:rPr>
        <w:t xml:space="preserve"> 4267/93 </w:t>
      </w:r>
      <w:r w:rsidRPr="00017064">
        <w:rPr>
          <w:rFonts w:ascii="Century" w:hAnsi="Century" w:cs="Miriam" w:hint="eastAsia"/>
          <w:b/>
          <w:spacing w:val="0"/>
          <w:sz w:val="22"/>
          <w:szCs w:val="24"/>
          <w:rtl/>
        </w:rPr>
        <w:t>אמיתי</w:t>
      </w:r>
      <w:r w:rsidRPr="00017064">
        <w:rPr>
          <w:rFonts w:ascii="Century" w:hAnsi="Century" w:cs="Miriam"/>
          <w:b/>
          <w:spacing w:val="0"/>
          <w:sz w:val="22"/>
          <w:szCs w:val="24"/>
          <w:rtl/>
        </w:rPr>
        <w:t xml:space="preserve"> – </w:t>
      </w:r>
      <w:r w:rsidRPr="00017064">
        <w:rPr>
          <w:rFonts w:ascii="Century" w:hAnsi="Century" w:cs="Miriam" w:hint="eastAsia"/>
          <w:b/>
          <w:spacing w:val="0"/>
          <w:sz w:val="22"/>
          <w:szCs w:val="24"/>
          <w:rtl/>
        </w:rPr>
        <w:t>אזרחים</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למען</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מינהל</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תקין</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וטוהר</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המידות</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נ</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יצחק</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רבין</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ראש</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ממשלת</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ישראל</w:t>
      </w:r>
      <w:r w:rsidRPr="000A1340">
        <w:rPr>
          <w:rtl/>
        </w:rPr>
        <w:t xml:space="preserve">, </w:t>
      </w:r>
      <w:r w:rsidRPr="000A1340">
        <w:rPr>
          <w:rFonts w:hint="eastAsia"/>
          <w:rtl/>
        </w:rPr>
        <w:t>פ</w:t>
      </w:r>
      <w:r w:rsidRPr="000A1340">
        <w:rPr>
          <w:rtl/>
        </w:rPr>
        <w:t>"</w:t>
      </w:r>
      <w:r w:rsidRPr="000A1340">
        <w:rPr>
          <w:rFonts w:hint="eastAsia"/>
          <w:rtl/>
        </w:rPr>
        <w:t>ד</w:t>
      </w:r>
      <w:r w:rsidRPr="000A1340">
        <w:rPr>
          <w:rtl/>
        </w:rPr>
        <w:t xml:space="preserve"> </w:t>
      </w:r>
      <w:r w:rsidRPr="000A1340">
        <w:rPr>
          <w:rFonts w:hint="eastAsia"/>
          <w:rtl/>
        </w:rPr>
        <w:t>מז</w:t>
      </w:r>
      <w:r w:rsidRPr="000A1340">
        <w:rPr>
          <w:rtl/>
        </w:rPr>
        <w:t>(5) 441 (1993</w:t>
      </w:r>
      <w:r>
        <w:rPr>
          <w:rFonts w:hint="cs"/>
          <w:rtl/>
        </w:rPr>
        <w:t>);</w:t>
      </w:r>
      <w:r w:rsidRPr="00017064">
        <w:rPr>
          <w:rFonts w:ascii="Century" w:hAnsi="Century" w:hint="cs"/>
          <w:sz w:val="22"/>
          <w:rtl/>
        </w:rPr>
        <w:t xml:space="preserve"> בג"ץ 4374/15 </w:t>
      </w:r>
      <w:r w:rsidRPr="00017064">
        <w:rPr>
          <w:rFonts w:ascii="Century" w:hAnsi="Century" w:cs="Miriam" w:hint="cs"/>
          <w:b/>
          <w:spacing w:val="0"/>
          <w:sz w:val="22"/>
          <w:szCs w:val="24"/>
          <w:rtl/>
        </w:rPr>
        <w:t>התנועה למען איכות השלטון בישראל נ' ראש ממשלת ישראל</w:t>
      </w:r>
      <w:r w:rsidRPr="00017064">
        <w:rPr>
          <w:rFonts w:ascii="Century" w:hAnsi="Century" w:hint="cs"/>
          <w:sz w:val="22"/>
          <w:rtl/>
        </w:rPr>
        <w:t xml:space="preserve">, פסקה קי"ג לחוות-דעתו של המשנה לנשיאה </w:t>
      </w:r>
      <w:r w:rsidRPr="00017064">
        <w:rPr>
          <w:rFonts w:ascii="Century" w:hAnsi="Century" w:cs="Miriam" w:hint="cs"/>
          <w:b/>
          <w:spacing w:val="0"/>
          <w:sz w:val="22"/>
          <w:szCs w:val="24"/>
          <w:rtl/>
        </w:rPr>
        <w:t>א' רובינשטיין</w:t>
      </w:r>
      <w:r w:rsidRPr="00017064">
        <w:rPr>
          <w:rFonts w:ascii="Century" w:hAnsi="Century" w:hint="cs"/>
          <w:sz w:val="22"/>
          <w:rtl/>
        </w:rPr>
        <w:t xml:space="preserve"> (27.03.2016) </w:t>
      </w:r>
      <w:r w:rsidRPr="00316451">
        <w:rPr>
          <w:rFonts w:ascii="Century" w:hAnsi="Century"/>
          <w:sz w:val="22"/>
          <w:rtl/>
        </w:rPr>
        <w:t>(</w:t>
      </w:r>
      <w:r w:rsidRPr="00316451">
        <w:rPr>
          <w:rFonts w:ascii="Century" w:hAnsi="Century" w:hint="eastAsia"/>
          <w:sz w:val="22"/>
          <w:rtl/>
        </w:rPr>
        <w:t>להלן</w:t>
      </w:r>
      <w:r w:rsidRPr="00316451">
        <w:rPr>
          <w:rFonts w:ascii="Century" w:hAnsi="Century"/>
          <w:sz w:val="22"/>
          <w:rtl/>
        </w:rPr>
        <w:t xml:space="preserve">: </w:t>
      </w:r>
      <w:r w:rsidRPr="00316451">
        <w:rPr>
          <w:rFonts w:ascii="Century" w:hAnsi="Century" w:cs="Miriam" w:hint="cs"/>
          <w:b/>
          <w:spacing w:val="0"/>
          <w:sz w:val="22"/>
          <w:szCs w:val="24"/>
          <w:rtl/>
        </w:rPr>
        <w:t>עניין מתווה הגז</w:t>
      </w:r>
      <w:r w:rsidRPr="00316451">
        <w:rPr>
          <w:rFonts w:ascii="Century" w:hAnsi="Century" w:hint="cs"/>
          <w:sz w:val="22"/>
          <w:rtl/>
        </w:rPr>
        <w:t>)).</w:t>
      </w:r>
      <w:r w:rsidRPr="00017064">
        <w:rPr>
          <w:rFonts w:ascii="Century" w:hAnsi="Century" w:hint="cs"/>
          <w:sz w:val="22"/>
          <w:rtl/>
        </w:rPr>
        <w:t xml:space="preserve"> </w:t>
      </w:r>
      <w:bookmarkEnd w:id="37"/>
    </w:p>
    <w:p w:rsidR="00D61E12" w:rsidRPr="00017064" w:rsidRDefault="00D61E12" w:rsidP="00D61E12">
      <w:pPr>
        <w:pStyle w:val="Ruller4"/>
        <w:spacing w:before="240" w:after="240"/>
        <w:rPr>
          <w:rFonts w:ascii="Century" w:hAnsi="Century"/>
        </w:rPr>
      </w:pPr>
      <w:r w:rsidRPr="00017064">
        <w:rPr>
          <w:rFonts w:ascii="Century" w:hAnsi="Century" w:cs="Miriam" w:hint="cs"/>
          <w:b/>
          <w:spacing w:val="0"/>
          <w:szCs w:val="24"/>
          <w:rtl/>
        </w:rPr>
        <w:t>שנית</w:t>
      </w:r>
      <w:r w:rsidRPr="00017064">
        <w:rPr>
          <w:rFonts w:ascii="Century" w:hAnsi="Century" w:hint="cs"/>
          <w:rtl/>
        </w:rPr>
        <w:t xml:space="preserve">, חל שינוי </w:t>
      </w:r>
      <w:r w:rsidRPr="00017064">
        <w:rPr>
          <w:rFonts w:ascii="Century" w:hAnsi="Century" w:hint="cs"/>
          <w:sz w:val="22"/>
          <w:rtl/>
        </w:rPr>
        <w:t>בסטנדרט</w:t>
      </w:r>
      <w:r w:rsidRPr="00017064">
        <w:rPr>
          <w:rFonts w:ascii="Century" w:hAnsi="Century" w:hint="cs"/>
          <w:rtl/>
        </w:rPr>
        <w:t xml:space="preserve"> הביקורת השיפוטית על אופן הפעלת שיקול הדעת המינהלי, והרטוריקה הפכה מרחיבה יותר. </w:t>
      </w:r>
      <w:r>
        <w:rPr>
          <w:rFonts w:ascii="Century" w:hAnsi="Century" w:hint="cs"/>
          <w:sz w:val="22"/>
          <w:rtl/>
        </w:rPr>
        <w:t xml:space="preserve">בהקשר זה ראוי לציין, כי בתחילת דרכה של עילת הסבירות כעילה העומדת על רגליה-שלה הובהר כי הפעלתה תלויה בכך </w:t>
      </w:r>
      <w:r>
        <w:rPr>
          <w:rFonts w:hint="cs"/>
          <w:rtl/>
        </w:rPr>
        <w:t>"</w:t>
      </w:r>
      <w:r w:rsidRPr="00B65627">
        <w:rPr>
          <w:rFonts w:ascii="Century" w:hAnsi="Century" w:cs="Miriam" w:hint="cs"/>
          <w:b/>
          <w:spacing w:val="0"/>
          <w:sz w:val="22"/>
          <w:szCs w:val="24"/>
          <w:rtl/>
        </w:rPr>
        <w:t xml:space="preserve">שהמסקנה הסופית </w:t>
      </w:r>
      <w:r w:rsidRPr="006318C3">
        <w:rPr>
          <w:rFonts w:ascii="Century" w:hAnsi="Century" w:cs="Miriam" w:hint="cs"/>
          <w:b/>
          <w:spacing w:val="0"/>
          <w:sz w:val="22"/>
          <w:szCs w:val="24"/>
          <w:u w:val="single"/>
          <w:rtl/>
        </w:rPr>
        <w:t>הפכה מופרכת מעיקרה</w:t>
      </w:r>
      <w:r w:rsidRPr="00B65627">
        <w:rPr>
          <w:rFonts w:ascii="Century" w:hAnsi="Century" w:cs="Miriam" w:hint="cs"/>
          <w:b/>
          <w:spacing w:val="0"/>
          <w:sz w:val="22"/>
          <w:szCs w:val="24"/>
          <w:rtl/>
        </w:rPr>
        <w:t xml:space="preserve"> ובשל כך לבלתי-סבירה לחלוטין</w:t>
      </w:r>
      <w:r>
        <w:rPr>
          <w:rFonts w:hint="cs"/>
          <w:rtl/>
        </w:rPr>
        <w:t xml:space="preserve">" (עניין </w:t>
      </w:r>
      <w:r>
        <w:rPr>
          <w:rFonts w:ascii="Century" w:hAnsi="Century" w:cs="Miriam" w:hint="cs"/>
          <w:b/>
          <w:spacing w:val="0"/>
          <w:sz w:val="22"/>
          <w:szCs w:val="24"/>
          <w:rtl/>
        </w:rPr>
        <w:t>דקה</w:t>
      </w:r>
      <w:r>
        <w:rPr>
          <w:rFonts w:ascii="Century" w:hAnsi="Century" w:hint="cs"/>
          <w:rtl/>
        </w:rPr>
        <w:t xml:space="preserve">, בעמוד 105; ההדגשה שבקו תחתון הוספה </w:t>
      </w:r>
      <w:r>
        <w:rPr>
          <w:rFonts w:ascii="Century" w:hAnsi="Century"/>
          <w:rtl/>
        </w:rPr>
        <w:t>–</w:t>
      </w:r>
      <w:r>
        <w:rPr>
          <w:rFonts w:ascii="Century" w:hAnsi="Century" w:hint="cs"/>
          <w:rtl/>
        </w:rPr>
        <w:t xml:space="preserve"> ח' כ'); אך בהמשך נזנחה הדרישה לכך שההחלטה שהתקבלה תהא מופרכת.</w:t>
      </w:r>
    </w:p>
    <w:p w:rsidR="00D61E12" w:rsidRPr="00017064" w:rsidRDefault="00D61E12" w:rsidP="00D61E12">
      <w:pPr>
        <w:pStyle w:val="Ruller4"/>
        <w:numPr>
          <w:ilvl w:val="0"/>
          <w:numId w:val="0"/>
        </w:numPr>
        <w:spacing w:before="240" w:after="240"/>
        <w:rPr>
          <w:rFonts w:ascii="Century" w:hAnsi="Century"/>
          <w:rtl/>
        </w:rPr>
      </w:pPr>
      <w:r>
        <w:rPr>
          <w:rFonts w:ascii="Century" w:hAnsi="Century"/>
          <w:rtl/>
        </w:rPr>
        <w:tab/>
      </w:r>
      <w:r w:rsidRPr="00017064">
        <w:rPr>
          <w:rFonts w:ascii="Century" w:hAnsi="Century" w:hint="cs"/>
          <w:rtl/>
        </w:rPr>
        <w:t xml:space="preserve">בשלב הראשון, נשמעה התנגדות לרטוריקה מרחיבה זו. בהקשר זה, ביקש מ"מ הנשיא </w:t>
      </w:r>
      <w:r w:rsidRPr="00017064">
        <w:rPr>
          <w:rFonts w:ascii="Century" w:hAnsi="Century" w:cs="Miriam" w:hint="cs"/>
          <w:b/>
          <w:spacing w:val="0"/>
          <w:sz w:val="22"/>
          <w:szCs w:val="24"/>
          <w:rtl/>
        </w:rPr>
        <w:t xml:space="preserve">לנדוי </w:t>
      </w:r>
      <w:r w:rsidRPr="00017064">
        <w:rPr>
          <w:rFonts w:ascii="Century" w:hAnsi="Century" w:hint="cs"/>
          <w:sz w:val="22"/>
          <w:rtl/>
        </w:rPr>
        <w:t>להזכיר כי:</w:t>
      </w:r>
    </w:p>
    <w:p w:rsidR="00D61E12" w:rsidRDefault="00D61E12" w:rsidP="00D61E12">
      <w:pPr>
        <w:pStyle w:val="Ruller5"/>
        <w:spacing w:before="240" w:after="240"/>
        <w:rPr>
          <w:rFonts w:ascii="Century" w:hAnsi="Century" w:cs="Miriam"/>
          <w:b/>
          <w:spacing w:val="0"/>
          <w:szCs w:val="24"/>
          <w:rtl/>
        </w:rPr>
      </w:pPr>
      <w:r w:rsidRPr="00CD0154">
        <w:rPr>
          <w:rFonts w:ascii="Century" w:hAnsi="Century" w:hint="cs"/>
          <w:rtl/>
        </w:rPr>
        <w:t>"הלכות חוסר סבירות פותחו בסוגיית חקיקת-המשנה, שעליה מפקח בית-משפט זה על יסוד הכלל שחוסר סבירות מפליג כמוהו כחריגה מסמכותו של מחוקק-המשנה [...] בנוגע לפעולותיהן של רשויות המינהל תמיד אמרנו שאפילו נראית לנו ההחלטה בלתי-נבונה או בלתי-יעילה, אין בזה כדי ליצור עילה לעתירתה בבית-משפט זה"</w:t>
      </w:r>
      <w:r>
        <w:rPr>
          <w:rFonts w:ascii="Century" w:hAnsi="Century" w:hint="cs"/>
          <w:rtl/>
        </w:rPr>
        <w:t xml:space="preserve"> (</w:t>
      </w:r>
      <w:r w:rsidRPr="002F05CD">
        <w:rPr>
          <w:rFonts w:ascii="Century" w:hAnsi="Century" w:hint="cs"/>
          <w:rtl/>
        </w:rPr>
        <w:t xml:space="preserve">בג"ץ 112/77 </w:t>
      </w:r>
      <w:r w:rsidRPr="002F05CD">
        <w:rPr>
          <w:rFonts w:ascii="Century" w:hAnsi="Century" w:cs="Miriam" w:hint="cs"/>
          <w:b/>
          <w:spacing w:val="0"/>
          <w:szCs w:val="24"/>
          <w:rtl/>
        </w:rPr>
        <w:t>פוגל נ' רשות השידור</w:t>
      </w:r>
      <w:r w:rsidRPr="002F05CD">
        <w:rPr>
          <w:rFonts w:ascii="Century" w:hAnsi="Century" w:hint="cs"/>
          <w:rtl/>
        </w:rPr>
        <w:t>, פ"ד לא(3) 657</w:t>
      </w:r>
      <w:r>
        <w:rPr>
          <w:rFonts w:ascii="Century" w:hAnsi="Century" w:hint="cs"/>
          <w:rtl/>
        </w:rPr>
        <w:t>, 666</w:t>
      </w:r>
      <w:r w:rsidRPr="002F05CD">
        <w:rPr>
          <w:rFonts w:ascii="Century" w:hAnsi="Century" w:hint="cs"/>
          <w:rtl/>
        </w:rPr>
        <w:t xml:space="preserve"> (1977)</w:t>
      </w:r>
      <w:r>
        <w:rPr>
          <w:rFonts w:ascii="Century" w:hAnsi="Century" w:hint="cs"/>
          <w:rtl/>
        </w:rPr>
        <w:t xml:space="preserve"> (להלן: </w:t>
      </w:r>
      <w:r>
        <w:rPr>
          <w:rFonts w:ascii="Century" w:hAnsi="Century" w:cs="Miriam" w:hint="cs"/>
          <w:b/>
          <w:spacing w:val="0"/>
          <w:szCs w:val="24"/>
          <w:rtl/>
        </w:rPr>
        <w:t>עניין פוגל</w:t>
      </w:r>
      <w:r>
        <w:rPr>
          <w:rFonts w:ascii="Century" w:hAnsi="Century" w:hint="cs"/>
          <w:rtl/>
        </w:rPr>
        <w:t>))</w:t>
      </w:r>
      <w:r>
        <w:rPr>
          <w:rFonts w:ascii="Century" w:hAnsi="Century" w:cs="Miriam" w:hint="cs"/>
          <w:b/>
          <w:spacing w:val="0"/>
          <w:szCs w:val="24"/>
          <w:rtl/>
        </w:rPr>
        <w:t xml:space="preserve">. </w:t>
      </w:r>
    </w:p>
    <w:p w:rsidR="00D61E12" w:rsidRDefault="00D61E12" w:rsidP="00D61E12">
      <w:pPr>
        <w:pStyle w:val="Ruller41"/>
        <w:spacing w:before="240" w:after="240"/>
        <w:rPr>
          <w:rFonts w:ascii="Century" w:hAnsi="Century"/>
          <w:rtl/>
        </w:rPr>
      </w:pPr>
      <w:r>
        <w:rPr>
          <w:rFonts w:ascii="Century" w:hAnsi="Century"/>
          <w:rtl/>
        </w:rPr>
        <w:tab/>
      </w:r>
      <w:r>
        <w:rPr>
          <w:rFonts w:ascii="Century" w:hAnsi="Century" w:hint="cs"/>
          <w:rtl/>
        </w:rPr>
        <w:t xml:space="preserve">עם דבריו אלו התכתב השופט </w:t>
      </w:r>
      <w:r>
        <w:rPr>
          <w:rFonts w:ascii="Century" w:hAnsi="Century" w:cs="Miriam" w:hint="cs"/>
          <w:b/>
          <w:spacing w:val="0"/>
          <w:szCs w:val="24"/>
          <w:rtl/>
        </w:rPr>
        <w:t>ברק</w:t>
      </w:r>
      <w:r>
        <w:rPr>
          <w:rFonts w:ascii="Century" w:hAnsi="Century" w:hint="cs"/>
          <w:rtl/>
        </w:rPr>
        <w:t xml:space="preserve"> בפסק הדין בעניין </w:t>
      </w:r>
      <w:r>
        <w:rPr>
          <w:rFonts w:ascii="Century" w:hAnsi="Century" w:cs="Miriam" w:hint="cs"/>
          <w:b/>
          <w:spacing w:val="0"/>
          <w:szCs w:val="24"/>
          <w:rtl/>
        </w:rPr>
        <w:t>מרכז הקבלנים</w:t>
      </w:r>
      <w:r>
        <w:rPr>
          <w:rFonts w:ascii="Century" w:hAnsi="Century" w:hint="cs"/>
          <w:rtl/>
        </w:rPr>
        <w:t>, בציינו כי בניגוד לאמור לעיל "</w:t>
      </w:r>
      <w:r w:rsidRPr="001D3B06">
        <w:rPr>
          <w:rFonts w:ascii="Century" w:hAnsi="Century" w:cs="Miriam" w:hint="cs"/>
          <w:b/>
          <w:spacing w:val="0"/>
          <w:szCs w:val="24"/>
          <w:rtl/>
        </w:rPr>
        <w:t>אין לזהות החלטה בלתי יעילה וחסרת תבונה עם החלטה בלתי סבירה. שני אנשים סבירים עשויים להגיע להחלטות שונות ומנוגדות על יסוד אותה מערכת עובדתית מבלי שהחלטתו של מי מהם תהא בלתי סבירה</w:t>
      </w:r>
      <w:r>
        <w:rPr>
          <w:rFonts w:ascii="Century" w:hAnsi="Century" w:hint="cs"/>
          <w:rtl/>
        </w:rPr>
        <w:t xml:space="preserve">". השופט </w:t>
      </w:r>
      <w:r>
        <w:rPr>
          <w:rFonts w:ascii="Century" w:hAnsi="Century" w:cs="Miriam" w:hint="cs"/>
          <w:b/>
          <w:spacing w:val="0"/>
          <w:szCs w:val="24"/>
          <w:rtl/>
        </w:rPr>
        <w:t xml:space="preserve">ברק </w:t>
      </w:r>
      <w:r>
        <w:rPr>
          <w:rFonts w:ascii="Century" w:hAnsi="Century" w:hint="cs"/>
          <w:rtl/>
        </w:rPr>
        <w:t xml:space="preserve">שב וחזר על המשמעות שיוחסה על-ידו לעילת הסבירות, לפיה: </w:t>
      </w:r>
    </w:p>
    <w:p w:rsidR="00D61E12" w:rsidRPr="001D3B06" w:rsidRDefault="00D61E12" w:rsidP="00D61E12">
      <w:pPr>
        <w:pStyle w:val="Ruller5"/>
        <w:spacing w:before="240" w:after="240"/>
        <w:rPr>
          <w:rtl/>
        </w:rPr>
      </w:pPr>
      <w:r>
        <w:rPr>
          <w:rFonts w:hint="cs"/>
          <w:rtl/>
        </w:rPr>
        <w:t>"</w:t>
      </w:r>
      <w:r w:rsidRPr="001D3B06">
        <w:rPr>
          <w:rFonts w:hint="cs"/>
          <w:rtl/>
        </w:rPr>
        <w:t xml:space="preserve">חוסר סבירות הוא מונח טכני ומשמעותו החלטה של עובד ציבור שעובד סביר במקומו לא היה צריך להגיע אליה, </w:t>
      </w:r>
      <w:r w:rsidRPr="001E56C8">
        <w:rPr>
          <w:rFonts w:ascii="Century" w:hAnsi="Century" w:cs="Miriam" w:hint="cs"/>
          <w:b/>
          <w:spacing w:val="0"/>
          <w:szCs w:val="24"/>
          <w:rtl/>
        </w:rPr>
        <w:t>כגון שעובד הציבור נתן משקל יחסי בלתי סביר לאינטרסים השונים הראויים להישקל</w:t>
      </w:r>
      <w:r>
        <w:rPr>
          <w:rFonts w:hint="cs"/>
          <w:rtl/>
        </w:rPr>
        <w:t xml:space="preserve">" (עניין </w:t>
      </w:r>
      <w:r w:rsidRPr="001E56C8">
        <w:rPr>
          <w:rFonts w:ascii="Century" w:hAnsi="Century" w:cs="Miriam" w:hint="cs"/>
          <w:b/>
          <w:spacing w:val="0"/>
          <w:szCs w:val="24"/>
          <w:rtl/>
        </w:rPr>
        <w:t>מרכז הקבלנים</w:t>
      </w:r>
      <w:r>
        <w:rPr>
          <w:rFonts w:hint="cs"/>
          <w:rtl/>
        </w:rPr>
        <w:t xml:space="preserve">, בעמוד 744) (ההדגשות הוספו </w:t>
      </w:r>
      <w:r>
        <w:rPr>
          <w:rtl/>
        </w:rPr>
        <w:t>–</w:t>
      </w:r>
      <w:r>
        <w:rPr>
          <w:rFonts w:hint="cs"/>
          <w:rtl/>
        </w:rPr>
        <w:t xml:space="preserve"> ח' כ'). </w:t>
      </w:r>
    </w:p>
    <w:p w:rsidR="00D61E12" w:rsidRDefault="00D61E12" w:rsidP="00D61E12">
      <w:pPr>
        <w:pStyle w:val="Ruller41"/>
        <w:spacing w:before="240" w:after="240"/>
        <w:rPr>
          <w:rFonts w:ascii="Century" w:hAnsi="Century"/>
          <w:rtl/>
        </w:rPr>
      </w:pPr>
      <w:r>
        <w:rPr>
          <w:rFonts w:ascii="Century" w:hAnsi="Century"/>
          <w:rtl/>
        </w:rPr>
        <w:tab/>
      </w:r>
      <w:r>
        <w:rPr>
          <w:rFonts w:ascii="Century" w:hAnsi="Century" w:hint="cs"/>
          <w:rtl/>
        </w:rPr>
        <w:t xml:space="preserve">אולם, גישתו של השופט </w:t>
      </w:r>
      <w:r>
        <w:rPr>
          <w:rFonts w:ascii="Century" w:hAnsi="Century" w:cs="Miriam" w:hint="cs"/>
          <w:b/>
          <w:spacing w:val="0"/>
          <w:szCs w:val="24"/>
          <w:rtl/>
        </w:rPr>
        <w:t>ברק</w:t>
      </w:r>
      <w:r>
        <w:rPr>
          <w:rFonts w:ascii="Century" w:hAnsi="Century" w:hint="cs"/>
          <w:rtl/>
        </w:rPr>
        <w:t xml:space="preserve"> לא זכתה להסכמת רוב חברי ההרכב באותו עניין. כך, בעוד שהשופט </w:t>
      </w:r>
      <w:r>
        <w:rPr>
          <w:rFonts w:ascii="Century" w:hAnsi="Century" w:cs="Miriam" w:hint="cs"/>
          <w:b/>
          <w:spacing w:val="0"/>
          <w:szCs w:val="24"/>
          <w:rtl/>
        </w:rPr>
        <w:t xml:space="preserve">י' כהן </w:t>
      </w:r>
      <w:r>
        <w:rPr>
          <w:rFonts w:ascii="Century" w:hAnsi="Century" w:hint="cs"/>
          <w:rtl/>
        </w:rPr>
        <w:t xml:space="preserve">בחר שלא להביע את עמדתו בעניין, השופט </w:t>
      </w:r>
      <w:r>
        <w:rPr>
          <w:rFonts w:ascii="Century" w:hAnsi="Century" w:cs="Miriam" w:hint="cs"/>
          <w:b/>
          <w:spacing w:val="0"/>
          <w:szCs w:val="24"/>
          <w:rtl/>
        </w:rPr>
        <w:t>אלון</w:t>
      </w:r>
      <w:r>
        <w:rPr>
          <w:rFonts w:ascii="Century" w:hAnsi="Century" w:hint="cs"/>
          <w:rtl/>
        </w:rPr>
        <w:t xml:space="preserve"> יצא באופן מפורש נגד האופן שבו ביקש השופט </w:t>
      </w:r>
      <w:r>
        <w:rPr>
          <w:rFonts w:ascii="Century" w:hAnsi="Century" w:cs="Miriam" w:hint="cs"/>
          <w:b/>
          <w:spacing w:val="0"/>
          <w:szCs w:val="24"/>
          <w:rtl/>
        </w:rPr>
        <w:t>ברק</w:t>
      </w:r>
      <w:r>
        <w:rPr>
          <w:rFonts w:ascii="Century" w:hAnsi="Century" w:hint="cs"/>
          <w:rtl/>
        </w:rPr>
        <w:t xml:space="preserve"> ליישם את עילת הסבירות </w:t>
      </w:r>
      <w:r>
        <w:rPr>
          <w:rFonts w:ascii="Century" w:hAnsi="Century"/>
          <w:rtl/>
        </w:rPr>
        <w:t>–</w:t>
      </w:r>
      <w:r>
        <w:rPr>
          <w:rFonts w:ascii="Century" w:hAnsi="Century" w:hint="cs"/>
          <w:rtl/>
        </w:rPr>
        <w:t xml:space="preserve"> וכך הוא פסק: </w:t>
      </w:r>
    </w:p>
    <w:p w:rsidR="00D61E12" w:rsidRPr="006B13D2" w:rsidRDefault="00D61E12" w:rsidP="00D61E12">
      <w:pPr>
        <w:pStyle w:val="Ruller5"/>
        <w:spacing w:before="240" w:after="240"/>
        <w:rPr>
          <w:rFonts w:ascii="Century" w:hAnsi="Century"/>
          <w:rtl/>
        </w:rPr>
      </w:pPr>
      <w:r w:rsidRPr="006B13D2">
        <w:rPr>
          <w:rFonts w:ascii="Century" w:hAnsi="Century" w:hint="cs"/>
          <w:rtl/>
        </w:rPr>
        <w:lastRenderedPageBreak/>
        <w:t>"עם כל הכבוד לחברי, הרחבה יתירה זו של כללים ועילות להתערבו</w:t>
      </w:r>
      <w:r>
        <w:rPr>
          <w:rFonts w:ascii="Century" w:hAnsi="Century" w:hint="cs"/>
          <w:rtl/>
        </w:rPr>
        <w:t>ת</w:t>
      </w:r>
      <w:r w:rsidRPr="006B13D2">
        <w:rPr>
          <w:rFonts w:ascii="Century" w:hAnsi="Century" w:hint="cs"/>
          <w:rtl/>
        </w:rPr>
        <w:t>נו במעשיה של הרשות הציבורית הפועלת בתחום הכל</w:t>
      </w:r>
      <w:r>
        <w:rPr>
          <w:rFonts w:ascii="Century" w:hAnsi="Century" w:hint="cs"/>
          <w:rtl/>
        </w:rPr>
        <w:t xml:space="preserve">כלי שבמשפט הפרטי אינה נראית לי [...] </w:t>
      </w:r>
      <w:r w:rsidRPr="006B13D2">
        <w:rPr>
          <w:rFonts w:ascii="Century" w:hAnsi="Century" w:hint="cs"/>
          <w:rtl/>
        </w:rPr>
        <w:t>התערבותנו בבדיקתה של סב</w:t>
      </w:r>
      <w:r>
        <w:rPr>
          <w:rFonts w:ascii="Century" w:hAnsi="Century" w:hint="cs"/>
          <w:rtl/>
        </w:rPr>
        <w:t>י</w:t>
      </w:r>
      <w:r w:rsidRPr="006B13D2">
        <w:rPr>
          <w:rFonts w:ascii="Century" w:hAnsi="Century" w:hint="cs"/>
          <w:rtl/>
        </w:rPr>
        <w:t>רות זו, כאשר לא נטענת טענה מפורשת בדבר אפליה או שרירות אלא כדי להבטיח, כדברי חברי, מתן הרגשה לבני הציבור כי הענינים מתנהלים ביושר ולא בדרך מפלה או שרירותית היא משימה שאינה צריכה וק</w:t>
      </w:r>
      <w:r>
        <w:rPr>
          <w:rFonts w:ascii="Century" w:hAnsi="Century" w:hint="cs"/>
          <w:rtl/>
        </w:rPr>
        <w:t xml:space="preserve">שה, קשה ביותר, לעמוד בה ולהרימה [...] </w:t>
      </w:r>
      <w:r w:rsidRPr="006B13D2">
        <w:rPr>
          <w:rFonts w:ascii="Century" w:hAnsi="Century" w:hint="cs"/>
          <w:rtl/>
        </w:rPr>
        <w:t xml:space="preserve">הגדרת "חוסר הסבירות" </w:t>
      </w:r>
      <w:r>
        <w:rPr>
          <w:rFonts w:ascii="Century" w:hAnsi="Century" w:hint="cs"/>
          <w:rtl/>
        </w:rPr>
        <w:t xml:space="preserve">[...] </w:t>
      </w:r>
      <w:r w:rsidRPr="006B13D2">
        <w:rPr>
          <w:rFonts w:ascii="Century" w:hAnsi="Century" w:hint="cs"/>
          <w:rtl/>
        </w:rPr>
        <w:t>נראית לי כסתמית מדי ונרחב</w:t>
      </w:r>
      <w:r>
        <w:rPr>
          <w:rFonts w:ascii="Century" w:hAnsi="Century" w:hint="cs"/>
          <w:rtl/>
        </w:rPr>
        <w:t>ת</w:t>
      </w:r>
      <w:r w:rsidRPr="006B13D2">
        <w:rPr>
          <w:rFonts w:ascii="Century" w:hAnsi="Century" w:hint="cs"/>
          <w:rtl/>
        </w:rPr>
        <w:t xml:space="preserve"> מדי מלקבעה ככלל לענין התערבותנו בהחלטתה של רש</w:t>
      </w:r>
      <w:r>
        <w:rPr>
          <w:rFonts w:ascii="Century" w:hAnsi="Century" w:hint="cs"/>
          <w:rtl/>
        </w:rPr>
        <w:t xml:space="preserve">ות ציבורית הבאה על חוזה עם אזרח [...] </w:t>
      </w:r>
      <w:r w:rsidRPr="006B13D2">
        <w:rPr>
          <w:rFonts w:ascii="Century" w:hAnsi="Century" w:hint="cs"/>
          <w:rtl/>
        </w:rPr>
        <w:t xml:space="preserve">חוששני כי בדרך זו פותחים אנו לרווחה שערי בית-המשפט לעתירות רבות ומרובות, שגם אם בסופו של דיון יידחו משום שיתברר שאין כאן אלא משום חוסר תבונה או חוסר יעילות, הרי ביני לביני מעוכבת הרשות הציבורית בפעילותה ובמעשיה, אם על-ידי מתן צו זמני ואם על-ידי עצם העובדה שהענין נמצא בבירור משפט" (עניין </w:t>
      </w:r>
      <w:r w:rsidRPr="006B13D2">
        <w:rPr>
          <w:rFonts w:ascii="Century" w:hAnsi="Century" w:cs="Miriam" w:hint="cs"/>
          <w:b/>
          <w:spacing w:val="0"/>
          <w:szCs w:val="24"/>
          <w:rtl/>
        </w:rPr>
        <w:t>מרכז הקבלנים</w:t>
      </w:r>
      <w:r w:rsidRPr="006B13D2">
        <w:rPr>
          <w:rFonts w:ascii="Century" w:hAnsi="Century" w:hint="cs"/>
          <w:rtl/>
        </w:rPr>
        <w:t xml:space="preserve">, </w:t>
      </w:r>
      <w:r>
        <w:rPr>
          <w:rFonts w:ascii="Century" w:hAnsi="Century" w:hint="cs"/>
          <w:rtl/>
        </w:rPr>
        <w:t>בעמודים 754-753).</w:t>
      </w:r>
    </w:p>
    <w:p w:rsidR="00D61E12" w:rsidRPr="00534B8A" w:rsidRDefault="00D61E12" w:rsidP="002A1A3A">
      <w:pPr>
        <w:pStyle w:val="Ruller41"/>
        <w:numPr>
          <w:ilvl w:val="2"/>
          <w:numId w:val="16"/>
        </w:numPr>
        <w:spacing w:before="240" w:after="240"/>
        <w:rPr>
          <w:rFonts w:ascii="Century" w:hAnsi="Century" w:cs="Miriam"/>
          <w:b/>
          <w:spacing w:val="0"/>
          <w:szCs w:val="24"/>
        </w:rPr>
      </w:pPr>
      <w:r>
        <w:rPr>
          <w:rFonts w:ascii="Century" w:hAnsi="Century" w:cs="Miriam" w:hint="cs"/>
          <w:b/>
          <w:spacing w:val="0"/>
          <w:szCs w:val="24"/>
          <w:rtl/>
        </w:rPr>
        <w:t xml:space="preserve">הלכת דפי זהב </w:t>
      </w:r>
      <w:r>
        <w:rPr>
          <w:rFonts w:ascii="Century" w:hAnsi="Century" w:cs="Miriam"/>
          <w:b/>
          <w:spacing w:val="0"/>
          <w:szCs w:val="24"/>
          <w:rtl/>
        </w:rPr>
        <w:t>–</w:t>
      </w:r>
      <w:r>
        <w:rPr>
          <w:rFonts w:ascii="Century" w:hAnsi="Century" w:cs="Miriam" w:hint="cs"/>
          <w:b/>
          <w:spacing w:val="0"/>
          <w:szCs w:val="24"/>
          <w:rtl/>
        </w:rPr>
        <w:t xml:space="preserve"> מעבר ממבחן המופרכות למבחן איזון האינטרסים</w:t>
      </w:r>
    </w:p>
    <w:p w:rsidR="00D61E12" w:rsidRPr="00FD6380" w:rsidRDefault="00D61E12" w:rsidP="00D61E12">
      <w:pPr>
        <w:pStyle w:val="Ruller4"/>
        <w:spacing w:before="240" w:after="240"/>
        <w:rPr>
          <w:rFonts w:ascii="Century" w:hAnsi="Century"/>
          <w:sz w:val="22"/>
        </w:rPr>
      </w:pPr>
      <w:r w:rsidRPr="00FD6380">
        <w:rPr>
          <w:rFonts w:ascii="Century" w:hAnsi="Century" w:hint="cs"/>
          <w:rtl/>
        </w:rPr>
        <w:t xml:space="preserve">המפנה </w:t>
      </w:r>
      <w:r w:rsidRPr="00FD6380">
        <w:rPr>
          <w:rFonts w:ascii="Century" w:hAnsi="Century" w:hint="cs"/>
          <w:sz w:val="22"/>
          <w:rtl/>
        </w:rPr>
        <w:t>המשמעותי</w:t>
      </w:r>
      <w:r w:rsidRPr="00FD6380">
        <w:rPr>
          <w:rFonts w:ascii="Century" w:hAnsi="Century" w:hint="cs"/>
          <w:rtl/>
        </w:rPr>
        <w:t xml:space="preserve"> ביותר בקשר ל</w:t>
      </w:r>
      <w:r>
        <w:rPr>
          <w:rFonts w:ascii="Century" w:hAnsi="Century" w:hint="cs"/>
          <w:rtl/>
        </w:rPr>
        <w:t xml:space="preserve">אופן שבו יושמה </w:t>
      </w:r>
      <w:r w:rsidRPr="00FD6380">
        <w:rPr>
          <w:rFonts w:ascii="Century" w:hAnsi="Century" w:hint="cs"/>
          <w:rtl/>
        </w:rPr>
        <w:t xml:space="preserve">עילת הסבירות </w:t>
      </w:r>
      <w:r>
        <w:rPr>
          <w:rFonts w:ascii="Century" w:hAnsi="Century" w:hint="cs"/>
          <w:rtl/>
        </w:rPr>
        <w:t>במשפט הישראלי חל</w:t>
      </w:r>
      <w:r w:rsidRPr="00FD6380">
        <w:rPr>
          <w:rFonts w:ascii="Century" w:hAnsi="Century" w:hint="cs"/>
          <w:rtl/>
        </w:rPr>
        <w:t xml:space="preserve"> בהלכת </w:t>
      </w:r>
      <w:r w:rsidRPr="00FD6380">
        <w:rPr>
          <w:rFonts w:ascii="Century" w:hAnsi="Century" w:cs="Miriam" w:hint="cs"/>
          <w:b/>
          <w:spacing w:val="0"/>
          <w:sz w:val="22"/>
          <w:szCs w:val="24"/>
          <w:rtl/>
        </w:rPr>
        <w:t>דפי זהב</w:t>
      </w:r>
      <w:r w:rsidRPr="00FD6380">
        <w:rPr>
          <w:rFonts w:ascii="Century" w:hAnsi="Century" w:hint="cs"/>
          <w:sz w:val="22"/>
          <w:rtl/>
        </w:rPr>
        <w:t xml:space="preserve">. בהלכה זו, הושלמו השינויים </w:t>
      </w:r>
      <w:r w:rsidRPr="00FD6380">
        <w:rPr>
          <w:rFonts w:ascii="Century" w:hAnsi="Century" w:cs="Miriam" w:hint="cs"/>
          <w:b/>
          <w:spacing w:val="0"/>
          <w:sz w:val="22"/>
          <w:szCs w:val="24"/>
          <w:rtl/>
        </w:rPr>
        <w:t xml:space="preserve">בשלושת המאפיינים </w:t>
      </w:r>
      <w:r w:rsidRPr="00FD6380">
        <w:rPr>
          <w:rFonts w:ascii="Century" w:hAnsi="Century" w:hint="cs"/>
          <w:sz w:val="22"/>
          <w:rtl/>
        </w:rPr>
        <w:t xml:space="preserve">של עילת הסבירות, כפי שהוזכרו לעיל. </w:t>
      </w:r>
      <w:r>
        <w:rPr>
          <w:rFonts w:ascii="Century" w:hAnsi="Century" w:hint="cs"/>
          <w:sz w:val="22"/>
          <w:rtl/>
        </w:rPr>
        <w:t xml:space="preserve">כך, </w:t>
      </w:r>
      <w:r w:rsidRPr="00FD6380">
        <w:rPr>
          <w:rFonts w:ascii="Century" w:hAnsi="Century" w:hint="cs"/>
          <w:sz w:val="22"/>
          <w:rtl/>
        </w:rPr>
        <w:t xml:space="preserve">בחוות-דעתו </w:t>
      </w:r>
      <w:r>
        <w:rPr>
          <w:rFonts w:ascii="Century" w:hAnsi="Century" w:hint="cs"/>
          <w:sz w:val="22"/>
          <w:rtl/>
        </w:rPr>
        <w:t>פרש</w:t>
      </w:r>
      <w:r w:rsidRPr="00FD6380">
        <w:rPr>
          <w:rFonts w:ascii="Century" w:hAnsi="Century" w:hint="cs"/>
          <w:sz w:val="22"/>
          <w:rtl/>
        </w:rPr>
        <w:t xml:space="preserve"> השופט </w:t>
      </w:r>
      <w:r w:rsidRPr="00FD6380">
        <w:rPr>
          <w:rFonts w:ascii="Century" w:hAnsi="Century" w:cs="Miriam" w:hint="cs"/>
          <w:b/>
          <w:spacing w:val="0"/>
          <w:sz w:val="22"/>
          <w:szCs w:val="24"/>
          <w:rtl/>
        </w:rPr>
        <w:t>ברק</w:t>
      </w:r>
      <w:r w:rsidRPr="00FD6380">
        <w:rPr>
          <w:rFonts w:ascii="Century" w:hAnsi="Century" w:hint="cs"/>
          <w:sz w:val="22"/>
          <w:rtl/>
        </w:rPr>
        <w:t xml:space="preserve"> את משנתו ביחס לעילת הסבירות</w:t>
      </w:r>
      <w:r>
        <w:rPr>
          <w:rFonts w:ascii="Century" w:hAnsi="Century" w:hint="cs"/>
          <w:sz w:val="22"/>
          <w:rtl/>
        </w:rPr>
        <w:t>, ב</w:t>
      </w:r>
      <w:r w:rsidRPr="00FD6380">
        <w:rPr>
          <w:rFonts w:ascii="Century" w:hAnsi="Century" w:hint="cs"/>
          <w:sz w:val="22"/>
          <w:rtl/>
        </w:rPr>
        <w:t>קבעו ארבע</w:t>
      </w:r>
      <w:r>
        <w:rPr>
          <w:rFonts w:ascii="Century" w:hAnsi="Century" w:hint="cs"/>
          <w:sz w:val="22"/>
          <w:rtl/>
        </w:rPr>
        <w:t>ה</w:t>
      </w:r>
      <w:r w:rsidRPr="00FD6380">
        <w:rPr>
          <w:rFonts w:ascii="Century" w:hAnsi="Century" w:hint="cs"/>
          <w:sz w:val="22"/>
          <w:rtl/>
        </w:rPr>
        <w:t xml:space="preserve"> עקרונות בקשר ל</w:t>
      </w:r>
      <w:r>
        <w:rPr>
          <w:rFonts w:ascii="Century" w:hAnsi="Century" w:hint="cs"/>
          <w:sz w:val="22"/>
          <w:rtl/>
        </w:rPr>
        <w:t>אופן השימוש ב</w:t>
      </w:r>
      <w:r w:rsidRPr="00FD6380">
        <w:rPr>
          <w:rFonts w:ascii="Century" w:hAnsi="Century" w:hint="cs"/>
          <w:sz w:val="22"/>
          <w:rtl/>
        </w:rPr>
        <w:t>עילה זו, כדלהלן:</w:t>
      </w:r>
      <w:r>
        <w:rPr>
          <w:rFonts w:ascii="Century" w:hAnsi="Century" w:hint="cs"/>
          <w:sz w:val="22"/>
          <w:rtl/>
        </w:rPr>
        <w:t xml:space="preserve"> </w:t>
      </w:r>
    </w:p>
    <w:p w:rsidR="00D61E12" w:rsidRDefault="00D61E12" w:rsidP="00D61E12">
      <w:pPr>
        <w:pStyle w:val="Ruller5"/>
        <w:spacing w:before="240" w:after="240"/>
        <w:rPr>
          <w:rtl/>
        </w:rPr>
      </w:pPr>
      <w:r>
        <w:rPr>
          <w:rFonts w:hint="cs"/>
          <w:rtl/>
        </w:rPr>
        <w:t xml:space="preserve">"ראשית, </w:t>
      </w:r>
      <w:r w:rsidRPr="00FD6380">
        <w:rPr>
          <w:rFonts w:ascii="Century" w:hAnsi="Century" w:hint="cs"/>
          <w:rtl/>
        </w:rPr>
        <w:t>חוסר סבירות כשלעצמו הוא עילה לפסילתו של שיקול-דעת מינהלי</w:t>
      </w:r>
      <w:r>
        <w:rPr>
          <w:rFonts w:hint="cs"/>
          <w:rtl/>
        </w:rPr>
        <w:t>;</w:t>
      </w:r>
    </w:p>
    <w:p w:rsidR="00D61E12" w:rsidRDefault="00D61E12" w:rsidP="00D61E12">
      <w:pPr>
        <w:pStyle w:val="Ruller5"/>
        <w:spacing w:before="240" w:after="240"/>
        <w:rPr>
          <w:rtl/>
        </w:rPr>
      </w:pPr>
      <w:r>
        <w:rPr>
          <w:rFonts w:hint="cs"/>
          <w:rtl/>
        </w:rPr>
        <w:t>שנית, חוסר הסבירות נמדד באמות מידה אובייקטיביות;</w:t>
      </w:r>
    </w:p>
    <w:p w:rsidR="00D61E12" w:rsidRDefault="00D61E12" w:rsidP="00D61E12">
      <w:pPr>
        <w:pStyle w:val="Ruller5"/>
        <w:spacing w:before="240" w:after="240"/>
        <w:rPr>
          <w:rtl/>
        </w:rPr>
      </w:pPr>
      <w:r>
        <w:rPr>
          <w:rFonts w:hint="cs"/>
          <w:rtl/>
        </w:rPr>
        <w:t>שלישית, חוסר סבירות, הפוסל שיקול-דעת מינהלי, הוא חוסר סבירות מהותי או קיצוני;</w:t>
      </w:r>
    </w:p>
    <w:p w:rsidR="00D61E12" w:rsidRPr="00586C71" w:rsidRDefault="00D61E12" w:rsidP="00D61E12">
      <w:pPr>
        <w:pStyle w:val="Ruller5"/>
        <w:spacing w:before="240" w:after="240"/>
        <w:rPr>
          <w:rtl/>
        </w:rPr>
      </w:pPr>
      <w:r>
        <w:rPr>
          <w:rFonts w:hint="cs"/>
          <w:rtl/>
        </w:rPr>
        <w:t xml:space="preserve">רביעית, עקרון הסבירות מביא לפסילתו של שיקול-דעת מינהלי, </w:t>
      </w:r>
      <w:r w:rsidRPr="00FD6380">
        <w:rPr>
          <w:rFonts w:ascii="Century" w:hAnsi="Century" w:hint="cs"/>
          <w:rtl/>
        </w:rPr>
        <w:t>אשר אינו נותן משקל ראוי לאינטרסים השונים שעל הרשות המינהלית להתחשב בהם בהחלטתה</w:t>
      </w:r>
      <w:r>
        <w:rPr>
          <w:rFonts w:hint="cs"/>
          <w:rtl/>
        </w:rPr>
        <w:t xml:space="preserve">" (הלכת </w:t>
      </w:r>
      <w:r>
        <w:rPr>
          <w:rFonts w:ascii="Century" w:hAnsi="Century" w:cs="Miriam" w:hint="cs"/>
          <w:b/>
          <w:spacing w:val="0"/>
          <w:szCs w:val="24"/>
          <w:rtl/>
        </w:rPr>
        <w:t>דפי זהב</w:t>
      </w:r>
      <w:r>
        <w:rPr>
          <w:rFonts w:ascii="Century" w:hAnsi="Century" w:hint="cs"/>
          <w:rtl/>
        </w:rPr>
        <w:t>, בעמוד 437).</w:t>
      </w:r>
    </w:p>
    <w:p w:rsidR="00D61E12" w:rsidRPr="006318C3" w:rsidRDefault="00D61E12" w:rsidP="00D61E12">
      <w:pPr>
        <w:pStyle w:val="Ruller4"/>
        <w:spacing w:before="240" w:after="240"/>
        <w:rPr>
          <w:rFonts w:ascii="Century" w:hAnsi="Century"/>
          <w:sz w:val="22"/>
          <w:rtl/>
        </w:rPr>
      </w:pPr>
      <w:r w:rsidRPr="006318C3">
        <w:rPr>
          <w:rFonts w:ascii="Century" w:hAnsi="Century" w:hint="cs"/>
          <w:sz w:val="22"/>
          <w:rtl/>
        </w:rPr>
        <w:t>עינינו</w:t>
      </w:r>
      <w:r w:rsidRPr="006318C3">
        <w:rPr>
          <w:rFonts w:ascii="Century" w:hAnsi="Century" w:hint="cs"/>
          <w:rtl/>
        </w:rPr>
        <w:t xml:space="preserve"> הרואות, כי במישורים </w:t>
      </w:r>
      <w:r w:rsidRPr="006318C3">
        <w:rPr>
          <w:rFonts w:ascii="Century" w:hAnsi="Century" w:cs="Miriam" w:hint="cs"/>
          <w:b/>
          <w:spacing w:val="0"/>
          <w:sz w:val="22"/>
          <w:szCs w:val="24"/>
          <w:rtl/>
        </w:rPr>
        <w:t>הראשון והשני</w:t>
      </w:r>
      <w:r w:rsidRPr="006318C3">
        <w:rPr>
          <w:rFonts w:ascii="Century" w:hAnsi="Century" w:cs="Miriam" w:hint="cs"/>
          <w:b/>
          <w:spacing w:val="0"/>
          <w:szCs w:val="24"/>
          <w:rtl/>
        </w:rPr>
        <w:t xml:space="preserve"> </w:t>
      </w:r>
      <w:r w:rsidRPr="006318C3">
        <w:rPr>
          <w:rFonts w:ascii="Century" w:hAnsi="Century" w:hint="cs"/>
          <w:rtl/>
        </w:rPr>
        <w:t xml:space="preserve">שהוזכרו לעיל, עילת הסבירות התנתקה מיתר עילות הביקורת השיפוטית המינהלית, ובכללן </w:t>
      </w:r>
      <w:r w:rsidRPr="006318C3">
        <w:rPr>
          <w:rFonts w:ascii="Century" w:hAnsi="Century"/>
          <w:rtl/>
        </w:rPr>
        <w:t>–</w:t>
      </w:r>
      <w:r w:rsidRPr="006318C3">
        <w:rPr>
          <w:rFonts w:ascii="Century" w:hAnsi="Century" w:hint="cs"/>
          <w:rtl/>
        </w:rPr>
        <w:t xml:space="preserve"> עילת חוסר הסמכות. </w:t>
      </w:r>
      <w:r w:rsidRPr="006318C3">
        <w:rPr>
          <w:rFonts w:ascii="Century" w:hAnsi="Century" w:hint="cs"/>
          <w:sz w:val="22"/>
          <w:rtl/>
        </w:rPr>
        <w:t xml:space="preserve">במישור </w:t>
      </w:r>
      <w:r w:rsidRPr="006318C3">
        <w:rPr>
          <w:rFonts w:ascii="Century" w:hAnsi="Century" w:cs="Miriam" w:hint="cs"/>
          <w:b/>
          <w:spacing w:val="0"/>
          <w:sz w:val="22"/>
          <w:szCs w:val="24"/>
          <w:rtl/>
        </w:rPr>
        <w:t xml:space="preserve">השלישי </w:t>
      </w:r>
      <w:r w:rsidRPr="006318C3">
        <w:rPr>
          <w:rFonts w:ascii="Century" w:hAnsi="Century" w:hint="cs"/>
          <w:sz w:val="22"/>
          <w:rtl/>
        </w:rPr>
        <w:t xml:space="preserve">שהזכרתי לעיל, חל שינוי משמעותי גם בסטנדרט הביקורת השיפוטית על שיקול הדעת המינהלי. אומנם, הובהר כי לא די בסטייה קלה מסטנדרט ההתנהגות המצופה מרשות מינהלית סבירה, על מנת שבית המשפט יורה על בטלות החלטתה, </w:t>
      </w:r>
      <w:r w:rsidRPr="006318C3">
        <w:rPr>
          <w:rFonts w:ascii="Century" w:hAnsi="Century" w:hint="cs"/>
          <w:rtl/>
        </w:rPr>
        <w:t>שכן</w:t>
      </w:r>
      <w:r w:rsidRPr="006318C3">
        <w:rPr>
          <w:rFonts w:ascii="Century" w:hAnsi="Century"/>
          <w:rtl/>
        </w:rPr>
        <w:t>–</w:t>
      </w:r>
      <w:r w:rsidRPr="006318C3">
        <w:rPr>
          <w:rFonts w:ascii="Century" w:hAnsi="Century" w:hint="cs"/>
          <w:rtl/>
        </w:rPr>
        <w:t xml:space="preserve"> "</w:t>
      </w:r>
      <w:r>
        <w:rPr>
          <w:rFonts w:ascii="Century" w:hAnsi="Century" w:cs="Miriam" w:hint="cs"/>
          <w:b/>
          <w:spacing w:val="0"/>
          <w:sz w:val="22"/>
          <w:szCs w:val="24"/>
          <w:rtl/>
        </w:rPr>
        <w:t>יש צורך בסטייה מהותית, היורדת</w:t>
      </w:r>
      <w:r w:rsidRPr="006318C3">
        <w:rPr>
          <w:rFonts w:ascii="Century" w:hAnsi="Century" w:cs="Miriam" w:hint="cs"/>
          <w:b/>
          <w:spacing w:val="0"/>
          <w:sz w:val="22"/>
          <w:szCs w:val="24"/>
          <w:rtl/>
        </w:rPr>
        <w:t xml:space="preserve"> לשורש העניין</w:t>
      </w:r>
      <w:r w:rsidRPr="006318C3">
        <w:rPr>
          <w:rFonts w:ascii="Century" w:hAnsi="Century" w:hint="cs"/>
          <w:rtl/>
        </w:rPr>
        <w:t xml:space="preserve">" (הלכת </w:t>
      </w:r>
      <w:r w:rsidRPr="006318C3">
        <w:rPr>
          <w:rFonts w:ascii="Century" w:hAnsi="Century" w:cs="Miriam" w:hint="cs"/>
          <w:b/>
          <w:spacing w:val="0"/>
          <w:szCs w:val="24"/>
          <w:rtl/>
        </w:rPr>
        <w:t>דפי זהב</w:t>
      </w:r>
      <w:r w:rsidRPr="006318C3">
        <w:rPr>
          <w:rFonts w:ascii="Century" w:hAnsi="Century" w:hint="cs"/>
          <w:rtl/>
        </w:rPr>
        <w:t xml:space="preserve">, בעמוד 444). </w:t>
      </w:r>
      <w:r w:rsidRPr="006318C3">
        <w:rPr>
          <w:rFonts w:ascii="Century" w:hAnsi="Century" w:hint="cs"/>
          <w:sz w:val="22"/>
          <w:rtl/>
        </w:rPr>
        <w:t>אלא מאי</w:t>
      </w:r>
      <w:r>
        <w:rPr>
          <w:rFonts w:ascii="Century" w:hAnsi="Century" w:hint="cs"/>
          <w:sz w:val="22"/>
          <w:rtl/>
        </w:rPr>
        <w:t>?</w:t>
      </w:r>
      <w:r w:rsidRPr="006318C3">
        <w:rPr>
          <w:rFonts w:ascii="Century" w:hAnsi="Century" w:hint="cs"/>
          <w:sz w:val="22"/>
          <w:rtl/>
        </w:rPr>
        <w:t xml:space="preserve"> נוסחת הפעלתה של עילת הסבירות שונתה בהלכת </w:t>
      </w:r>
      <w:r w:rsidRPr="006318C3">
        <w:rPr>
          <w:rFonts w:ascii="Century" w:hAnsi="Century" w:cs="Miriam" w:hint="cs"/>
          <w:b/>
          <w:spacing w:val="0"/>
          <w:sz w:val="22"/>
          <w:szCs w:val="24"/>
          <w:rtl/>
        </w:rPr>
        <w:t>דפי זהב</w:t>
      </w:r>
      <w:r w:rsidRPr="006318C3">
        <w:rPr>
          <w:rFonts w:ascii="Century" w:hAnsi="Century" w:hint="cs"/>
          <w:sz w:val="22"/>
          <w:rtl/>
        </w:rPr>
        <w:t xml:space="preserve">, בהמשך לעמדה </w:t>
      </w:r>
      <w:r w:rsidRPr="006318C3">
        <w:rPr>
          <w:rFonts w:ascii="Century" w:hAnsi="Century" w:hint="cs"/>
          <w:sz w:val="22"/>
          <w:rtl/>
        </w:rPr>
        <w:lastRenderedPageBreak/>
        <w:t xml:space="preserve">שהובעה בעניין </w:t>
      </w:r>
      <w:r w:rsidRPr="006318C3">
        <w:rPr>
          <w:rFonts w:ascii="Century" w:hAnsi="Century" w:cs="Miriam" w:hint="cs"/>
          <w:b/>
          <w:spacing w:val="0"/>
          <w:sz w:val="22"/>
          <w:szCs w:val="24"/>
          <w:rtl/>
        </w:rPr>
        <w:t>מרכז הקבלנים</w:t>
      </w:r>
      <w:r w:rsidRPr="006318C3">
        <w:rPr>
          <w:rFonts w:ascii="Century" w:hAnsi="Century" w:hint="cs"/>
          <w:sz w:val="22"/>
          <w:rtl/>
        </w:rPr>
        <w:t xml:space="preserve">. כך </w:t>
      </w:r>
      <w:r>
        <w:rPr>
          <w:rFonts w:ascii="Century" w:hAnsi="Century" w:hint="cs"/>
          <w:sz w:val="22"/>
          <w:rtl/>
        </w:rPr>
        <w:t>ש</w:t>
      </w:r>
      <w:r w:rsidRPr="006318C3">
        <w:rPr>
          <w:rFonts w:ascii="Century" w:hAnsi="Century" w:hint="cs"/>
          <w:sz w:val="22"/>
          <w:rtl/>
        </w:rPr>
        <w:t xml:space="preserve">בשונה ממבחן המופרכות שהיה נהוג עד אותה העת (ובכלל זאת, בעניין </w:t>
      </w:r>
      <w:r w:rsidRPr="006318C3">
        <w:rPr>
          <w:rFonts w:ascii="Century" w:hAnsi="Century" w:cs="Miriam" w:hint="cs"/>
          <w:b/>
          <w:spacing w:val="0"/>
          <w:sz w:val="22"/>
          <w:szCs w:val="24"/>
          <w:rtl/>
        </w:rPr>
        <w:t>דקה</w:t>
      </w:r>
      <w:r w:rsidRPr="006318C3">
        <w:rPr>
          <w:rFonts w:ascii="Century" w:hAnsi="Century" w:hint="cs"/>
          <w:sz w:val="22"/>
          <w:rtl/>
        </w:rPr>
        <w:t xml:space="preserve">) </w:t>
      </w:r>
      <w:r w:rsidRPr="006318C3">
        <w:rPr>
          <w:rFonts w:ascii="Century" w:hAnsi="Century"/>
          <w:sz w:val="22"/>
          <w:rtl/>
        </w:rPr>
        <w:t>–</w:t>
      </w:r>
      <w:r w:rsidRPr="006318C3">
        <w:rPr>
          <w:rFonts w:ascii="Century" w:hAnsi="Century" w:hint="cs"/>
          <w:sz w:val="22"/>
          <w:rtl/>
        </w:rPr>
        <w:t xml:space="preserve"> נפסק כי עילת הסבירות חולשת </w:t>
      </w:r>
      <w:r w:rsidRPr="006318C3">
        <w:rPr>
          <w:rFonts w:ascii="Century" w:hAnsi="Century" w:hint="cs"/>
          <w:rtl/>
        </w:rPr>
        <w:t>גם על מצבים בהם</w:t>
      </w:r>
      <w:r>
        <w:rPr>
          <w:rFonts w:ascii="Century" w:hAnsi="Century" w:hint="cs"/>
          <w:rtl/>
        </w:rPr>
        <w:t xml:space="preserve"> הרשות</w:t>
      </w:r>
      <w:r w:rsidRPr="006318C3">
        <w:rPr>
          <w:rFonts w:ascii="Century" w:hAnsi="Century" w:hint="cs"/>
          <w:rtl/>
        </w:rPr>
        <w:t xml:space="preserve"> </w:t>
      </w:r>
      <w:r w:rsidRPr="006318C3">
        <w:rPr>
          <w:rFonts w:ascii="Century" w:hAnsi="Century" w:cs="Miriam" w:hint="cs"/>
          <w:b/>
          <w:spacing w:val="0"/>
          <w:szCs w:val="24"/>
          <w:rtl/>
        </w:rPr>
        <w:t>לא איזנה כראוי בין האינטרסים העומדים על הפרק לבין עצמם</w:t>
      </w:r>
      <w:r>
        <w:rPr>
          <w:rFonts w:ascii="Century" w:hAnsi="Century" w:hint="cs"/>
          <w:rtl/>
        </w:rPr>
        <w:t xml:space="preserve">, ולא רק </w:t>
      </w:r>
      <w:r w:rsidRPr="006318C3">
        <w:rPr>
          <w:rFonts w:ascii="Century" w:hAnsi="Century" w:hint="cs"/>
          <w:sz w:val="22"/>
          <w:rtl/>
        </w:rPr>
        <w:t xml:space="preserve">על מצבים בהם הרשות המינהלית קיבלה החלטה מופרכת </w:t>
      </w:r>
      <w:r w:rsidRPr="006318C3">
        <w:rPr>
          <w:rFonts w:ascii="Century" w:hAnsi="Century" w:hint="cs"/>
          <w:rtl/>
        </w:rPr>
        <w:t xml:space="preserve">(הלכת </w:t>
      </w:r>
      <w:r w:rsidRPr="006318C3">
        <w:rPr>
          <w:rFonts w:ascii="Century" w:hAnsi="Century" w:cs="Miriam" w:hint="cs"/>
          <w:b/>
          <w:spacing w:val="0"/>
          <w:szCs w:val="24"/>
          <w:rtl/>
        </w:rPr>
        <w:t>דפי זהב</w:t>
      </w:r>
      <w:r w:rsidRPr="006318C3">
        <w:rPr>
          <w:rFonts w:ascii="Century" w:hAnsi="Century" w:hint="cs"/>
          <w:rtl/>
        </w:rPr>
        <w:t>, בעמודים 44</w:t>
      </w:r>
      <w:r>
        <w:rPr>
          <w:rFonts w:ascii="Century" w:hAnsi="Century" w:hint="cs"/>
          <w:rtl/>
        </w:rPr>
        <w:t>7</w:t>
      </w:r>
      <w:r w:rsidRPr="006318C3">
        <w:rPr>
          <w:rFonts w:ascii="Century" w:hAnsi="Century" w:hint="cs"/>
          <w:rtl/>
        </w:rPr>
        <w:t xml:space="preserve">-444; </w:t>
      </w:r>
      <w:r w:rsidRPr="006318C3">
        <w:rPr>
          <w:rFonts w:ascii="Century" w:hAnsi="Century" w:cs="Miriam" w:hint="cs"/>
          <w:b/>
          <w:spacing w:val="0"/>
          <w:sz w:val="22"/>
          <w:szCs w:val="24"/>
          <w:rtl/>
        </w:rPr>
        <w:t>ברק-ארז</w:t>
      </w:r>
      <w:r w:rsidRPr="006318C3">
        <w:rPr>
          <w:rFonts w:ascii="Century" w:hAnsi="Century" w:hint="cs"/>
          <w:sz w:val="22"/>
          <w:rtl/>
        </w:rPr>
        <w:t xml:space="preserve">, בעמוד 729; </w:t>
      </w:r>
      <w:r w:rsidRPr="006318C3">
        <w:rPr>
          <w:rFonts w:ascii="Century" w:hAnsi="Century" w:cs="Miriam" w:hint="cs"/>
          <w:sz w:val="22"/>
          <w:szCs w:val="24"/>
          <w:rtl/>
        </w:rPr>
        <w:t xml:space="preserve">זמיר </w:t>
      </w:r>
      <w:r w:rsidRPr="006318C3">
        <w:rPr>
          <w:rFonts w:ascii="Century" w:hAnsi="Century" w:cs="Miriam"/>
          <w:sz w:val="22"/>
          <w:szCs w:val="24"/>
          <w:rtl/>
        </w:rPr>
        <w:t>–</w:t>
      </w:r>
      <w:r w:rsidRPr="006318C3">
        <w:rPr>
          <w:rFonts w:ascii="Century" w:hAnsi="Century" w:cs="Miriam" w:hint="cs"/>
          <w:sz w:val="22"/>
          <w:szCs w:val="24"/>
          <w:rtl/>
        </w:rPr>
        <w:t xml:space="preserve"> הסמכות המינהלית</w:t>
      </w:r>
      <w:r w:rsidRPr="006318C3">
        <w:rPr>
          <w:rFonts w:ascii="Century" w:hAnsi="Century" w:hint="cs"/>
          <w:sz w:val="22"/>
          <w:rtl/>
        </w:rPr>
        <w:t>, בעמוד 3868</w:t>
      </w:r>
      <w:r w:rsidRPr="006318C3">
        <w:rPr>
          <w:rFonts w:ascii="Century" w:hAnsi="Century" w:hint="cs"/>
          <w:rtl/>
        </w:rPr>
        <w:t>).</w:t>
      </w:r>
    </w:p>
    <w:p w:rsidR="00D61E12" w:rsidRPr="00216B21" w:rsidRDefault="00D61E12" w:rsidP="00D61E12">
      <w:pPr>
        <w:pStyle w:val="Ruller4"/>
        <w:spacing w:before="240" w:after="240"/>
        <w:rPr>
          <w:rFonts w:ascii="Century" w:hAnsi="Century"/>
          <w:sz w:val="22"/>
          <w:rtl/>
        </w:rPr>
      </w:pPr>
      <w:r w:rsidRPr="00B65627">
        <w:rPr>
          <w:rFonts w:ascii="Century" w:hAnsi="Century" w:hint="cs"/>
          <w:sz w:val="22"/>
          <w:rtl/>
        </w:rPr>
        <w:t>עינינו</w:t>
      </w:r>
      <w:r w:rsidRPr="00D2169F">
        <w:rPr>
          <w:rFonts w:ascii="Century" w:hAnsi="Century" w:hint="cs"/>
          <w:rtl/>
        </w:rPr>
        <w:t xml:space="preserve"> הרואות, כי על פי </w:t>
      </w:r>
      <w:r>
        <w:rPr>
          <w:rFonts w:ascii="Century" w:hAnsi="Century" w:hint="cs"/>
          <w:rtl/>
        </w:rPr>
        <w:t>המבחן</w:t>
      </w:r>
      <w:r w:rsidRPr="00D2169F">
        <w:rPr>
          <w:rFonts w:ascii="Century" w:hAnsi="Century" w:hint="cs"/>
          <w:rtl/>
        </w:rPr>
        <w:t xml:space="preserve"> </w:t>
      </w:r>
      <w:r>
        <w:rPr>
          <w:rFonts w:ascii="Century" w:hAnsi="Century" w:hint="cs"/>
          <w:rtl/>
        </w:rPr>
        <w:t>הנ"ל</w:t>
      </w:r>
      <w:r w:rsidRPr="00D2169F">
        <w:rPr>
          <w:rFonts w:ascii="Century" w:hAnsi="Century" w:hint="cs"/>
          <w:rtl/>
        </w:rPr>
        <w:t>, בית המשפט רשאי לפסול החלטה מינהלית אשר נתקבלה בדלת אמות הסמכות, לאחר הליך מינהלי תקין, כאשר טרם קבלתה "</w:t>
      </w:r>
      <w:r w:rsidRPr="00D2169F">
        <w:rPr>
          <w:rFonts w:ascii="Century" w:hAnsi="Century" w:cs="Miriam" w:hint="cs"/>
          <w:b/>
          <w:spacing w:val="0"/>
          <w:sz w:val="22"/>
          <w:szCs w:val="24"/>
          <w:rtl/>
        </w:rPr>
        <w:t xml:space="preserve">פעלה הרשות המינהלית בתום-לב, שלא מתוך שרירות, שקלה הגורמים הרלבנטיים, ונמנעה מלשקול גורמים שאינם </w:t>
      </w:r>
      <w:r w:rsidRPr="006318C3">
        <w:rPr>
          <w:rFonts w:ascii="Century" w:hAnsi="Century" w:cs="Miriam" w:hint="cs"/>
          <w:b/>
          <w:spacing w:val="0"/>
          <w:sz w:val="22"/>
          <w:szCs w:val="24"/>
          <w:rtl/>
        </w:rPr>
        <w:t xml:space="preserve">רלבנטיים [אך] הפגם העיקרי </w:t>
      </w:r>
      <w:r w:rsidRPr="00D2169F">
        <w:rPr>
          <w:rFonts w:ascii="Century" w:hAnsi="Century" w:cs="Miriam" w:hint="cs"/>
          <w:b/>
          <w:spacing w:val="0"/>
          <w:sz w:val="22"/>
          <w:szCs w:val="24"/>
          <w:rtl/>
        </w:rPr>
        <w:t xml:space="preserve">שנמצא בהחלטתה הוא </w:t>
      </w:r>
      <w:r w:rsidRPr="006318C3">
        <w:rPr>
          <w:rFonts w:ascii="Century" w:hAnsi="Century" w:cs="Miriam" w:hint="cs"/>
          <w:b/>
          <w:spacing w:val="0"/>
          <w:sz w:val="22"/>
          <w:szCs w:val="24"/>
          <w:u w:val="single"/>
          <w:rtl/>
        </w:rPr>
        <w:t>איזון בצורה בלתי ראויה בין הגורמים הרלבנטיים בינם לבין עצמם</w:t>
      </w:r>
      <w:r w:rsidRPr="00D2169F">
        <w:rPr>
          <w:rFonts w:ascii="Century" w:hAnsi="Century" w:hint="cs"/>
          <w:rtl/>
        </w:rPr>
        <w:t xml:space="preserve">" (הלכת </w:t>
      </w:r>
      <w:r w:rsidRPr="00D2169F">
        <w:rPr>
          <w:rFonts w:ascii="Century" w:hAnsi="Century" w:cs="Miriam" w:hint="cs"/>
          <w:b/>
          <w:spacing w:val="0"/>
          <w:szCs w:val="24"/>
          <w:rtl/>
        </w:rPr>
        <w:t>דפי זהב</w:t>
      </w:r>
      <w:r w:rsidRPr="00D2169F">
        <w:rPr>
          <w:rFonts w:ascii="Century" w:hAnsi="Century" w:hint="cs"/>
          <w:rtl/>
        </w:rPr>
        <w:t>, בעמוד 446</w:t>
      </w:r>
      <w:r>
        <w:rPr>
          <w:rFonts w:ascii="Century" w:hAnsi="Century" w:hint="cs"/>
          <w:rtl/>
        </w:rPr>
        <w:t>;</w:t>
      </w:r>
      <w:r w:rsidRPr="00D2169F">
        <w:rPr>
          <w:rFonts w:ascii="Century" w:hAnsi="Century" w:hint="cs"/>
          <w:rtl/>
        </w:rPr>
        <w:t xml:space="preserve"> ההדגש</w:t>
      </w:r>
      <w:r>
        <w:rPr>
          <w:rFonts w:ascii="Century" w:hAnsi="Century" w:hint="cs"/>
          <w:rtl/>
        </w:rPr>
        <w:t>ה</w:t>
      </w:r>
      <w:r w:rsidRPr="00D2169F">
        <w:rPr>
          <w:rFonts w:ascii="Century" w:hAnsi="Century" w:hint="cs"/>
          <w:rtl/>
        </w:rPr>
        <w:t xml:space="preserve"> </w:t>
      </w:r>
      <w:r>
        <w:rPr>
          <w:rFonts w:ascii="Century" w:hAnsi="Century" w:hint="cs"/>
          <w:rtl/>
        </w:rPr>
        <w:t xml:space="preserve">בקו תחתון </w:t>
      </w:r>
      <w:r w:rsidRPr="00D2169F">
        <w:rPr>
          <w:rFonts w:ascii="Century" w:hAnsi="Century" w:hint="cs"/>
          <w:rtl/>
        </w:rPr>
        <w:t>הוספ</w:t>
      </w:r>
      <w:r>
        <w:rPr>
          <w:rFonts w:ascii="Century" w:hAnsi="Century" w:hint="cs"/>
          <w:rtl/>
        </w:rPr>
        <w:t>ה</w:t>
      </w:r>
      <w:r w:rsidRPr="00D2169F">
        <w:rPr>
          <w:rFonts w:ascii="Century" w:hAnsi="Century" w:hint="cs"/>
          <w:rtl/>
        </w:rPr>
        <w:t xml:space="preserve"> </w:t>
      </w:r>
      <w:r w:rsidRPr="00D2169F">
        <w:rPr>
          <w:rFonts w:ascii="Century" w:hAnsi="Century"/>
          <w:rtl/>
        </w:rPr>
        <w:t>–</w:t>
      </w:r>
      <w:r w:rsidRPr="00D2169F">
        <w:rPr>
          <w:rFonts w:ascii="Century" w:hAnsi="Century" w:hint="cs"/>
          <w:rtl/>
        </w:rPr>
        <w:t xml:space="preserve"> ח' כ')</w:t>
      </w:r>
      <w:r>
        <w:rPr>
          <w:rFonts w:ascii="Century" w:hAnsi="Century" w:hint="cs"/>
          <w:rtl/>
        </w:rPr>
        <w:t>;</w:t>
      </w:r>
      <w:r w:rsidRPr="00D2169F">
        <w:rPr>
          <w:rFonts w:ascii="Century" w:hAnsi="Century" w:hint="cs"/>
          <w:sz w:val="22"/>
          <w:rtl/>
        </w:rPr>
        <w:t xml:space="preserve"> וכל זאת</w:t>
      </w:r>
      <w:r>
        <w:rPr>
          <w:rFonts w:ascii="Century" w:hAnsi="Century" w:hint="cs"/>
          <w:sz w:val="22"/>
          <w:rtl/>
        </w:rPr>
        <w:t>,</w:t>
      </w:r>
      <w:r w:rsidRPr="00D2169F">
        <w:rPr>
          <w:rFonts w:ascii="Century" w:hAnsi="Century" w:hint="cs"/>
          <w:sz w:val="22"/>
          <w:rtl/>
        </w:rPr>
        <w:t xml:space="preserve"> אף כאשר ההחלטה אינה מופרכת, קפריזית או בלתי מ</w:t>
      </w:r>
      <w:r>
        <w:rPr>
          <w:rFonts w:ascii="Century" w:hAnsi="Century" w:hint="cs"/>
          <w:sz w:val="22"/>
          <w:rtl/>
        </w:rPr>
        <w:t>תקבלת על הדעת.</w:t>
      </w:r>
    </w:p>
    <w:p w:rsidR="00D61E12" w:rsidRPr="00586C71" w:rsidRDefault="00D61E12" w:rsidP="00D61E12">
      <w:pPr>
        <w:pStyle w:val="Ruller4"/>
        <w:numPr>
          <w:ilvl w:val="0"/>
          <w:numId w:val="0"/>
        </w:numPr>
        <w:tabs>
          <w:tab w:val="clear" w:pos="800"/>
        </w:tabs>
        <w:overflowPunct/>
        <w:autoSpaceDE/>
        <w:adjustRightInd/>
        <w:spacing w:before="240" w:after="240"/>
        <w:textAlignment w:val="auto"/>
        <w:rPr>
          <w:rFonts w:ascii="Century" w:hAnsi="Century"/>
          <w:sz w:val="22"/>
          <w:rtl/>
        </w:rPr>
      </w:pPr>
      <w:r>
        <w:rPr>
          <w:rFonts w:ascii="Century" w:hAnsi="Century"/>
          <w:rtl/>
        </w:rPr>
        <w:tab/>
      </w:r>
      <w:r>
        <w:rPr>
          <w:rFonts w:ascii="Century" w:hAnsi="Century" w:hint="cs"/>
          <w:rtl/>
        </w:rPr>
        <w:t xml:space="preserve">סטנדרט ביקורת שיפוטית זה ייקרא להלן </w:t>
      </w:r>
      <w:r>
        <w:rPr>
          <w:rFonts w:ascii="Century" w:hAnsi="Century"/>
          <w:rtl/>
        </w:rPr>
        <w:t>–</w:t>
      </w:r>
      <w:r>
        <w:rPr>
          <w:rFonts w:ascii="Century" w:hAnsi="Century" w:hint="cs"/>
          <w:rtl/>
        </w:rPr>
        <w:t xml:space="preserve"> </w:t>
      </w:r>
      <w:r>
        <w:rPr>
          <w:rFonts w:ascii="Century" w:hAnsi="Century" w:cs="Miriam" w:hint="cs"/>
          <w:b/>
          <w:spacing w:val="0"/>
          <w:sz w:val="22"/>
          <w:szCs w:val="24"/>
          <w:rtl/>
        </w:rPr>
        <w:t>מבחן איזון האינטרסים</w:t>
      </w:r>
      <w:r>
        <w:rPr>
          <w:rFonts w:ascii="Century" w:hAnsi="Century" w:hint="cs"/>
          <w:sz w:val="22"/>
          <w:rtl/>
        </w:rPr>
        <w:t>.</w:t>
      </w:r>
    </w:p>
    <w:p w:rsidR="00D61E12" w:rsidRDefault="00D61E12" w:rsidP="00D61E12">
      <w:pPr>
        <w:pStyle w:val="Ruller4"/>
        <w:spacing w:before="240" w:after="240"/>
        <w:rPr>
          <w:rtl/>
        </w:rPr>
      </w:pPr>
      <w:r>
        <w:rPr>
          <w:rFonts w:hint="cs"/>
          <w:rtl/>
        </w:rPr>
        <w:t xml:space="preserve">יוער, כי השופט </w:t>
      </w:r>
      <w:r w:rsidRPr="00931940">
        <w:rPr>
          <w:rFonts w:cs="Miriam" w:hint="cs"/>
          <w:b/>
          <w:spacing w:val="0"/>
          <w:szCs w:val="24"/>
          <w:rtl/>
        </w:rPr>
        <w:t>ברק</w:t>
      </w:r>
      <w:r>
        <w:rPr>
          <w:rFonts w:hint="cs"/>
          <w:rtl/>
        </w:rPr>
        <w:t>, מבסס את התזה המוצעת על-ידו על כך ש</w:t>
      </w:r>
      <w:r w:rsidRPr="00931940">
        <w:rPr>
          <w:rFonts w:ascii="Century" w:hAnsi="Century" w:hint="cs"/>
          <w:sz w:val="22"/>
          <w:rtl/>
        </w:rPr>
        <w:t>"</w:t>
      </w:r>
      <w:r w:rsidRPr="00931940">
        <w:rPr>
          <w:rFonts w:cs="Miriam"/>
          <w:b/>
          <w:spacing w:val="0"/>
          <w:szCs w:val="24"/>
          <w:rtl/>
        </w:rPr>
        <w:t>בפסיקתו של בית-משפט זה ניתן למצוא מספר ניכר של מקרים בהם בדק בית</w:t>
      </w:r>
      <w:r w:rsidRPr="00931940">
        <w:rPr>
          <w:rFonts w:cs="Miriam"/>
          <w:b/>
          <w:spacing w:val="0"/>
          <w:szCs w:val="24"/>
        </w:rPr>
        <w:t> </w:t>
      </w:r>
      <w:r w:rsidRPr="00931940">
        <w:rPr>
          <w:rFonts w:cs="Miriam"/>
          <w:b/>
          <w:spacing w:val="0"/>
          <w:szCs w:val="24"/>
          <w:rtl/>
        </w:rPr>
        <w:t>המשפט, אם האיזון, אשר נעשה על-ידי הרשות המינהלית בין האינטרסים השונים שיש להתחשב בהם, הוא ראוי, ובית המשפט ביטל שיקול-דעת מינהלי ע</w:t>
      </w:r>
      <w:r>
        <w:rPr>
          <w:rFonts w:cs="Miriam" w:hint="cs"/>
          <w:b/>
          <w:spacing w:val="0"/>
          <w:szCs w:val="24"/>
          <w:rtl/>
        </w:rPr>
        <w:t>ת</w:t>
      </w:r>
      <w:r w:rsidRPr="00931940">
        <w:rPr>
          <w:rFonts w:cs="Miriam"/>
          <w:b/>
          <w:spacing w:val="0"/>
          <w:szCs w:val="24"/>
          <w:rtl/>
        </w:rPr>
        <w:t xml:space="preserve"> שסבר, כי האיזון שנעשה על-ידי הרשות המינהלית אינו ראוי</w:t>
      </w:r>
      <w:r w:rsidRPr="00931940">
        <w:rPr>
          <w:rFonts w:cs="Miriam" w:hint="cs"/>
          <w:b/>
          <w:spacing w:val="0"/>
          <w:szCs w:val="24"/>
          <w:rtl/>
        </w:rPr>
        <w:t xml:space="preserve"> [...]</w:t>
      </w:r>
      <w:r w:rsidRPr="00931940">
        <w:rPr>
          <w:rFonts w:ascii="Century" w:hAnsi="Century" w:hint="cs"/>
          <w:sz w:val="22"/>
          <w:rtl/>
        </w:rPr>
        <w:t>"</w:t>
      </w:r>
      <w:r>
        <w:rPr>
          <w:rFonts w:ascii="Century" w:hAnsi="Century" w:hint="cs"/>
          <w:sz w:val="22"/>
          <w:rtl/>
        </w:rPr>
        <w:t xml:space="preserve"> (שם, בעמוד 445).</w:t>
      </w:r>
      <w:r w:rsidRPr="00931940">
        <w:rPr>
          <w:rFonts w:ascii="Century" w:hAnsi="Century" w:hint="cs"/>
          <w:sz w:val="22"/>
          <w:rtl/>
        </w:rPr>
        <w:t xml:space="preserve"> </w:t>
      </w:r>
      <w:r>
        <w:rPr>
          <w:rFonts w:ascii="Century" w:hAnsi="Century" w:hint="cs"/>
          <w:sz w:val="22"/>
          <w:rtl/>
        </w:rPr>
        <w:t xml:space="preserve">ברם, </w:t>
      </w:r>
      <w:r>
        <w:rPr>
          <w:rFonts w:hint="cs"/>
          <w:rtl/>
        </w:rPr>
        <w:t xml:space="preserve">עיון מדוקדק באסמכתאות אליהן הפנה השופט </w:t>
      </w:r>
      <w:r w:rsidRPr="00931940">
        <w:rPr>
          <w:rFonts w:ascii="Century" w:hAnsi="Century" w:cs="Miriam" w:hint="cs"/>
          <w:b/>
          <w:spacing w:val="0"/>
          <w:sz w:val="22"/>
          <w:szCs w:val="24"/>
          <w:rtl/>
        </w:rPr>
        <w:t>ברק</w:t>
      </w:r>
      <w:r w:rsidRPr="00931940">
        <w:rPr>
          <w:rFonts w:hint="cs"/>
          <w:rtl/>
        </w:rPr>
        <w:t xml:space="preserve"> </w:t>
      </w:r>
      <w:r>
        <w:rPr>
          <w:rFonts w:hint="cs"/>
          <w:rtl/>
        </w:rPr>
        <w:t xml:space="preserve">מעורר ספק באשר לתמיכתן בתזה זו. </w:t>
      </w:r>
      <w:r w:rsidRPr="00614938">
        <w:rPr>
          <w:rFonts w:hint="cs"/>
          <w:rtl/>
        </w:rPr>
        <w:t xml:space="preserve">כך, בבג"ץ </w:t>
      </w:r>
      <w:r w:rsidRPr="00614938">
        <w:rPr>
          <w:rtl/>
        </w:rPr>
        <w:t>73</w:t>
      </w:r>
      <w:r w:rsidRPr="00614938">
        <w:rPr>
          <w:rFonts w:hint="cs"/>
          <w:rtl/>
        </w:rPr>
        <w:t>/</w:t>
      </w:r>
      <w:r w:rsidRPr="00614938">
        <w:rPr>
          <w:rtl/>
        </w:rPr>
        <w:t xml:space="preserve">53 </w:t>
      </w:r>
      <w:r w:rsidRPr="00614938">
        <w:rPr>
          <w:rFonts w:ascii="Century" w:hAnsi="Century" w:cs="Miriam"/>
          <w:b/>
          <w:spacing w:val="0"/>
          <w:sz w:val="22"/>
          <w:szCs w:val="24"/>
          <w:rtl/>
        </w:rPr>
        <w:t>חברת "קול העם" בע"מ נ' שר הפנים</w:t>
      </w:r>
      <w:r w:rsidRPr="00614938">
        <w:rPr>
          <w:rtl/>
        </w:rPr>
        <w:t>, פ"ד ז 871</w:t>
      </w:r>
      <w:r w:rsidRPr="00614938">
        <w:rPr>
          <w:rFonts w:hint="cs"/>
          <w:rtl/>
        </w:rPr>
        <w:t xml:space="preserve">, 895 (1953) סיכם השופט </w:t>
      </w:r>
      <w:r w:rsidRPr="00614938">
        <w:rPr>
          <w:rFonts w:ascii="Century" w:hAnsi="Century" w:cs="Miriam" w:hint="cs"/>
          <w:b/>
          <w:spacing w:val="0"/>
          <w:sz w:val="22"/>
          <w:szCs w:val="24"/>
          <w:rtl/>
        </w:rPr>
        <w:t>ש' אגרנט</w:t>
      </w:r>
      <w:r w:rsidRPr="00614938">
        <w:rPr>
          <w:rFonts w:hint="cs"/>
          <w:rtl/>
        </w:rPr>
        <w:t xml:space="preserve"> את חוות דעתו בציינו, כי בשים לב </w:t>
      </w:r>
      <w:r>
        <w:rPr>
          <w:rFonts w:hint="cs"/>
          <w:rtl/>
        </w:rPr>
        <w:t>לפרשנות הנכונה</w:t>
      </w:r>
      <w:r w:rsidRPr="00614938">
        <w:rPr>
          <w:rFonts w:hint="cs"/>
          <w:rtl/>
        </w:rPr>
        <w:t xml:space="preserve"> של </w:t>
      </w:r>
      <w:r>
        <w:rPr>
          <w:rFonts w:hint="cs"/>
          <w:rtl/>
        </w:rPr>
        <w:t xml:space="preserve">התיבות </w:t>
      </w:r>
      <w:r w:rsidRPr="00490104">
        <w:rPr>
          <w:rFonts w:hint="cs"/>
          <w:rtl/>
        </w:rPr>
        <w:t>"</w:t>
      </w:r>
      <w:r w:rsidRPr="00102554">
        <w:rPr>
          <w:rFonts w:asciiTheme="majorBidi" w:hAnsiTheme="majorBidi" w:cstheme="majorBidi"/>
          <w:u w:val="single"/>
        </w:rPr>
        <w:t>likely</w:t>
      </w:r>
      <w:r w:rsidRPr="00102554">
        <w:rPr>
          <w:rFonts w:asciiTheme="majorBidi" w:hAnsiTheme="majorBidi" w:cstheme="majorBidi"/>
        </w:rPr>
        <w:t xml:space="preserve"> to </w:t>
      </w:r>
      <w:r w:rsidRPr="00102554">
        <w:rPr>
          <w:rFonts w:asciiTheme="majorBidi" w:hAnsiTheme="majorBidi" w:cstheme="majorBidi"/>
          <w:szCs w:val="24"/>
        </w:rPr>
        <w:t>endanger</w:t>
      </w:r>
      <w:r w:rsidRPr="00102554">
        <w:rPr>
          <w:rFonts w:asciiTheme="majorBidi" w:hAnsiTheme="majorBidi" w:cstheme="majorBidi"/>
        </w:rPr>
        <w:t xml:space="preserve"> the public peace</w:t>
      </w:r>
      <w:r w:rsidRPr="00490104">
        <w:rPr>
          <w:rFonts w:hint="cs"/>
          <w:rtl/>
        </w:rPr>
        <w:t>"</w:t>
      </w:r>
      <w:r>
        <w:rPr>
          <w:rFonts w:hint="cs"/>
          <w:rtl/>
        </w:rPr>
        <w:t xml:space="preserve"> שב</w:t>
      </w:r>
      <w:r w:rsidRPr="00614938">
        <w:rPr>
          <w:rFonts w:hint="cs"/>
          <w:rtl/>
        </w:rPr>
        <w:t xml:space="preserve">סעיף 19(2)(א) לפקודת העיתונות, הרי ששר הפנים </w:t>
      </w:r>
      <w:r w:rsidRPr="00614938">
        <w:rPr>
          <w:rFonts w:ascii="Century" w:hAnsi="Century" w:cs="Miriam" w:hint="cs"/>
          <w:b/>
          <w:spacing w:val="0"/>
          <w:sz w:val="22"/>
          <w:szCs w:val="24"/>
          <w:rtl/>
        </w:rPr>
        <w:t>"</w:t>
      </w:r>
      <w:r w:rsidRPr="00614938">
        <w:rPr>
          <w:rFonts w:ascii="Century" w:hAnsi="Century" w:cs="Miriam"/>
          <w:b/>
          <w:spacing w:val="0"/>
          <w:sz w:val="22"/>
          <w:szCs w:val="24"/>
          <w:rtl/>
        </w:rPr>
        <w:t xml:space="preserve">חרג </w:t>
      </w:r>
      <w:r w:rsidRPr="00614938">
        <w:rPr>
          <w:rFonts w:ascii="Century" w:hAnsi="Century" w:cs="Miriam" w:hint="cs"/>
          <w:b/>
          <w:spacing w:val="0"/>
          <w:sz w:val="22"/>
          <w:szCs w:val="24"/>
          <w:rtl/>
        </w:rPr>
        <w:t>[...]</w:t>
      </w:r>
      <w:r w:rsidRPr="00614938">
        <w:rPr>
          <w:rFonts w:ascii="Century" w:hAnsi="Century" w:cs="Miriam"/>
          <w:b/>
          <w:spacing w:val="0"/>
          <w:sz w:val="22"/>
          <w:szCs w:val="24"/>
          <w:rtl/>
        </w:rPr>
        <w:t xml:space="preserve"> חריגה יסודית מתחום סמכותו</w:t>
      </w:r>
      <w:r w:rsidRPr="00614938">
        <w:rPr>
          <w:rFonts w:hint="cs"/>
          <w:rtl/>
        </w:rPr>
        <w:t xml:space="preserve">" כאשר </w:t>
      </w:r>
      <w:r w:rsidRPr="00614938">
        <w:rPr>
          <w:rFonts w:ascii="Century" w:hAnsi="Century" w:hint="cs"/>
          <w:sz w:val="22"/>
          <w:rtl/>
        </w:rPr>
        <w:t>הוציא</w:t>
      </w:r>
      <w:r w:rsidRPr="00614938">
        <w:rPr>
          <w:rFonts w:ascii="Century" w:hAnsi="Century"/>
          <w:sz w:val="22"/>
          <w:rtl/>
        </w:rPr>
        <w:t xml:space="preserve"> צו להפסקת ההו</w:t>
      </w:r>
      <w:r w:rsidRPr="00614938">
        <w:rPr>
          <w:rFonts w:ascii="Century" w:hAnsi="Century" w:hint="cs"/>
          <w:sz w:val="22"/>
          <w:rtl/>
        </w:rPr>
        <w:t>צא</w:t>
      </w:r>
      <w:r w:rsidRPr="00614938">
        <w:rPr>
          <w:rFonts w:ascii="Century" w:hAnsi="Century"/>
          <w:sz w:val="22"/>
          <w:rtl/>
        </w:rPr>
        <w:t>ה</w:t>
      </w:r>
      <w:r w:rsidRPr="00614938">
        <w:rPr>
          <w:rFonts w:ascii="Century" w:hAnsi="Century" w:hint="cs"/>
          <w:sz w:val="22"/>
          <w:rtl/>
        </w:rPr>
        <w:t xml:space="preserve"> לאור </w:t>
      </w:r>
      <w:r w:rsidRPr="00614938">
        <w:rPr>
          <w:rFonts w:ascii="Century" w:hAnsi="Century"/>
          <w:sz w:val="22"/>
          <w:rtl/>
        </w:rPr>
        <w:t>של הע</w:t>
      </w:r>
      <w:r w:rsidRPr="00614938">
        <w:rPr>
          <w:rFonts w:ascii="Century" w:hAnsi="Century" w:hint="cs"/>
          <w:sz w:val="22"/>
          <w:rtl/>
        </w:rPr>
        <w:t>יתו</w:t>
      </w:r>
      <w:r w:rsidRPr="00614938">
        <w:rPr>
          <w:rFonts w:ascii="Century" w:hAnsi="Century"/>
          <w:sz w:val="22"/>
          <w:rtl/>
        </w:rPr>
        <w:t xml:space="preserve">ן </w:t>
      </w:r>
      <w:r w:rsidRPr="00614938">
        <w:rPr>
          <w:rFonts w:ascii="Century" w:hAnsi="Century" w:hint="cs"/>
          <w:sz w:val="22"/>
          <w:rtl/>
        </w:rPr>
        <w:t>'</w:t>
      </w:r>
      <w:r w:rsidRPr="00614938">
        <w:rPr>
          <w:rFonts w:ascii="Century" w:hAnsi="Century"/>
          <w:sz w:val="22"/>
          <w:rtl/>
        </w:rPr>
        <w:t>קול העם</w:t>
      </w:r>
      <w:r w:rsidRPr="00614938">
        <w:rPr>
          <w:rFonts w:ascii="Century" w:hAnsi="Century" w:hint="cs"/>
          <w:sz w:val="22"/>
          <w:rtl/>
        </w:rPr>
        <w:t xml:space="preserve">'. ברי אפוא כי אין מדובר בביקורת על </w:t>
      </w:r>
      <w:r w:rsidRPr="00614938">
        <w:rPr>
          <w:rFonts w:ascii="Century" w:hAnsi="Century" w:cs="Miriam" w:hint="cs"/>
          <w:b/>
          <w:spacing w:val="0"/>
          <w:sz w:val="22"/>
          <w:szCs w:val="24"/>
          <w:rtl/>
        </w:rPr>
        <w:t>שיקול דעתו</w:t>
      </w:r>
      <w:r w:rsidRPr="00614938">
        <w:rPr>
          <w:rFonts w:ascii="Century" w:hAnsi="Century" w:hint="cs"/>
          <w:sz w:val="22"/>
          <w:rtl/>
        </w:rPr>
        <w:t xml:space="preserve"> של שר הפנים אלא </w:t>
      </w:r>
      <w:r>
        <w:rPr>
          <w:rFonts w:ascii="Century" w:hAnsi="Century" w:hint="cs"/>
          <w:sz w:val="22"/>
          <w:rtl/>
        </w:rPr>
        <w:t>בביקורת שיפוטית על</w:t>
      </w:r>
      <w:r w:rsidRPr="00614938">
        <w:rPr>
          <w:rFonts w:ascii="Century" w:hAnsi="Century" w:hint="cs"/>
          <w:sz w:val="22"/>
          <w:rtl/>
        </w:rPr>
        <w:t xml:space="preserve"> </w:t>
      </w:r>
      <w:r w:rsidRPr="00614938">
        <w:rPr>
          <w:rFonts w:ascii="Century" w:hAnsi="Century" w:cs="Miriam" w:hint="cs"/>
          <w:b/>
          <w:spacing w:val="0"/>
          <w:sz w:val="22"/>
          <w:szCs w:val="24"/>
          <w:rtl/>
        </w:rPr>
        <w:t>חריגה מסמכותו</w:t>
      </w:r>
      <w:r w:rsidRPr="00614938">
        <w:rPr>
          <w:rFonts w:ascii="Century" w:hAnsi="Century" w:hint="cs"/>
          <w:sz w:val="22"/>
          <w:rtl/>
        </w:rPr>
        <w:t xml:space="preserve"> לפי פקודת העיתונות</w:t>
      </w:r>
      <w:r>
        <w:rPr>
          <w:rFonts w:ascii="Century" w:hAnsi="Century" w:hint="cs"/>
          <w:sz w:val="22"/>
          <w:rtl/>
        </w:rPr>
        <w:t>, בנסיבות העניין</w:t>
      </w:r>
      <w:r w:rsidRPr="00614938">
        <w:rPr>
          <w:rFonts w:ascii="Century" w:hAnsi="Century" w:hint="cs"/>
          <w:sz w:val="22"/>
          <w:rtl/>
        </w:rPr>
        <w:t>; ב</w:t>
      </w:r>
      <w:r w:rsidRPr="00614938">
        <w:rPr>
          <w:rtl/>
        </w:rPr>
        <w:t>בג"ץ 144</w:t>
      </w:r>
      <w:r w:rsidRPr="00614938">
        <w:rPr>
          <w:rFonts w:hint="cs"/>
          <w:rtl/>
        </w:rPr>
        <w:t>/</w:t>
      </w:r>
      <w:r w:rsidRPr="00614938">
        <w:rPr>
          <w:rtl/>
        </w:rPr>
        <w:t xml:space="preserve">74 </w:t>
      </w:r>
      <w:r w:rsidRPr="00614938">
        <w:rPr>
          <w:rFonts w:ascii="Century" w:hAnsi="Century" w:cs="Miriam"/>
          <w:b/>
          <w:spacing w:val="0"/>
          <w:sz w:val="22"/>
          <w:szCs w:val="24"/>
          <w:rtl/>
        </w:rPr>
        <w:t>לבנה נ' נציבות שירות בתי-הסוהר</w:t>
      </w:r>
      <w:r w:rsidRPr="00614938">
        <w:rPr>
          <w:rtl/>
        </w:rPr>
        <w:t>, פ"ד כח(2) 686</w:t>
      </w:r>
      <w:r w:rsidRPr="00614938">
        <w:rPr>
          <w:rFonts w:hint="cs"/>
          <w:rtl/>
        </w:rPr>
        <w:t xml:space="preserve"> (1974), החלטת מנהל בית הסוהר בוטלה בשל חריגתו מהסמכות שהוקנתה לו בחוק, כפי שסמכות זו פורשה על-ידי בית המשפט</w:t>
      </w:r>
      <w:r w:rsidRPr="00614938">
        <w:rPr>
          <w:rFonts w:ascii="Century" w:hAnsi="Century" w:hint="cs"/>
          <w:sz w:val="22"/>
          <w:rtl/>
        </w:rPr>
        <w:t xml:space="preserve"> ("</w:t>
      </w:r>
      <w:r w:rsidRPr="00614938">
        <w:rPr>
          <w:rFonts w:ascii="Century" w:hAnsi="Century" w:cs="Miriam"/>
          <w:b/>
          <w:spacing w:val="0"/>
          <w:sz w:val="22"/>
          <w:szCs w:val="24"/>
          <w:rtl/>
        </w:rPr>
        <w:t xml:space="preserve">מרוב להיטות על </w:t>
      </w:r>
      <w:r w:rsidRPr="00614938">
        <w:rPr>
          <w:rFonts w:ascii="Century" w:hAnsi="Century" w:cs="Miriam" w:hint="cs"/>
          <w:b/>
          <w:spacing w:val="0"/>
          <w:sz w:val="22"/>
          <w:szCs w:val="24"/>
          <w:rtl/>
        </w:rPr>
        <w:t>'</w:t>
      </w:r>
      <w:r w:rsidRPr="00614938">
        <w:rPr>
          <w:rFonts w:ascii="Century" w:hAnsi="Century" w:cs="Miriam"/>
          <w:b/>
          <w:spacing w:val="0"/>
          <w:sz w:val="22"/>
          <w:szCs w:val="24"/>
          <w:rtl/>
        </w:rPr>
        <w:t>שמירת השקט בין כתלי בית-הסוהר</w:t>
      </w:r>
      <w:r w:rsidRPr="00614938">
        <w:rPr>
          <w:rFonts w:ascii="Century" w:hAnsi="Century" w:cs="Miriam" w:hint="cs"/>
          <w:b/>
          <w:spacing w:val="0"/>
          <w:sz w:val="22"/>
          <w:szCs w:val="24"/>
          <w:rtl/>
        </w:rPr>
        <w:t>'</w:t>
      </w:r>
      <w:r w:rsidRPr="00614938">
        <w:rPr>
          <w:rFonts w:ascii="Century" w:hAnsi="Century" w:cs="Miriam"/>
          <w:b/>
          <w:spacing w:val="0"/>
          <w:sz w:val="22"/>
          <w:szCs w:val="24"/>
          <w:rtl/>
        </w:rPr>
        <w:t xml:space="preserve"> נתפס הוא לכלל טעות משפטית שרשאי הוא להשתמש בסמכותו לאסור הכנסת ספרים לשם סתימת הפיות ומניעת ויכוחים פוליטיים</w:t>
      </w:r>
      <w:r w:rsidRPr="00614938">
        <w:rPr>
          <w:rFonts w:ascii="Century" w:hAnsi="Century" w:hint="cs"/>
          <w:sz w:val="22"/>
          <w:rtl/>
        </w:rPr>
        <w:t xml:space="preserve">" (שם, בעמוד 690)); </w:t>
      </w:r>
      <w:r w:rsidRPr="00614938">
        <w:rPr>
          <w:rFonts w:hint="cs"/>
          <w:rtl/>
        </w:rPr>
        <w:t>ב</w:t>
      </w:r>
      <w:r w:rsidRPr="00614938">
        <w:rPr>
          <w:rtl/>
        </w:rPr>
        <w:t>בג"ץ 243</w:t>
      </w:r>
      <w:r w:rsidRPr="00614938">
        <w:rPr>
          <w:rFonts w:hint="cs"/>
          <w:rtl/>
        </w:rPr>
        <w:t>/</w:t>
      </w:r>
      <w:r w:rsidRPr="00614938">
        <w:rPr>
          <w:rtl/>
        </w:rPr>
        <w:t xml:space="preserve">62 </w:t>
      </w:r>
      <w:r w:rsidRPr="00614938">
        <w:rPr>
          <w:rFonts w:ascii="Century" w:hAnsi="Century" w:cs="Miriam"/>
          <w:b/>
          <w:spacing w:val="0"/>
          <w:sz w:val="22"/>
          <w:szCs w:val="24"/>
          <w:rtl/>
        </w:rPr>
        <w:t>אולפני הסרטה בישראל בע״מ נ' לוי גרי והמועצה לביקורת סרטים ומחזות, משרד-הפנים</w:t>
      </w:r>
      <w:r w:rsidRPr="00614938">
        <w:rPr>
          <w:rtl/>
        </w:rPr>
        <w:t>, פ"ד טז 2408</w:t>
      </w:r>
      <w:r w:rsidRPr="00614938">
        <w:rPr>
          <w:rFonts w:hint="cs"/>
          <w:rtl/>
        </w:rPr>
        <w:t xml:space="preserve"> (1962)</w:t>
      </w:r>
      <w:r w:rsidRPr="00614938">
        <w:rPr>
          <w:rFonts w:ascii="Century" w:hAnsi="Century" w:hint="cs"/>
          <w:sz w:val="22"/>
          <w:rtl/>
        </w:rPr>
        <w:t xml:space="preserve"> בוטלה החלטת המועצה לביקורת סרטים ומחזות מחמת </w:t>
      </w:r>
      <w:r w:rsidRPr="00614938">
        <w:rPr>
          <w:rFonts w:ascii="Century" w:hAnsi="Century" w:cs="Miriam" w:hint="cs"/>
          <w:b/>
          <w:spacing w:val="0"/>
          <w:sz w:val="22"/>
          <w:szCs w:val="24"/>
          <w:rtl/>
        </w:rPr>
        <w:t>התעלמות</w:t>
      </w:r>
      <w:r w:rsidRPr="00614938">
        <w:rPr>
          <w:rFonts w:ascii="Century" w:hAnsi="Century" w:hint="cs"/>
          <w:sz w:val="22"/>
          <w:rtl/>
        </w:rPr>
        <w:t xml:space="preserve"> משיקול רלוונטי, ולא מחמת האופן שבו נערך האיזון בין </w:t>
      </w:r>
      <w:r w:rsidRPr="00614938">
        <w:rPr>
          <w:rFonts w:ascii="Century" w:hAnsi="Century" w:hint="cs"/>
          <w:sz w:val="22"/>
          <w:rtl/>
        </w:rPr>
        <w:lastRenderedPageBreak/>
        <w:t>השיקולים (</w:t>
      </w:r>
      <w:r w:rsidRPr="00614938">
        <w:rPr>
          <w:rFonts w:hint="cs"/>
          <w:rtl/>
        </w:rPr>
        <w:t>"</w:t>
      </w:r>
      <w:r w:rsidRPr="00614938">
        <w:rPr>
          <w:rFonts w:ascii="Century" w:hAnsi="Century" w:cs="Miriam"/>
          <w:b/>
          <w:spacing w:val="0"/>
          <w:szCs w:val="24"/>
          <w:rtl/>
        </w:rPr>
        <w:t>בהחלטת המועצה ובתשובתה לבקשה שלפנינו אין לגלות שהיא התחשבה באותו עקרון חיוני; אילו עשתה כן, לא היתה יכולה להגיע להחלטה, אליה הגיעה</w:t>
      </w:r>
      <w:r w:rsidRPr="00614938">
        <w:rPr>
          <w:rFonts w:hint="cs"/>
          <w:rtl/>
        </w:rPr>
        <w:t>" (שם, בעמוד 2419)</w:t>
      </w:r>
      <w:r w:rsidRPr="00614938">
        <w:rPr>
          <w:rFonts w:ascii="Century" w:hAnsi="Century" w:hint="cs"/>
          <w:sz w:val="22"/>
          <w:rtl/>
        </w:rPr>
        <w:t>).</w:t>
      </w:r>
      <w:r w:rsidRPr="00614938">
        <w:rPr>
          <w:rFonts w:hint="cs"/>
          <w:rtl/>
        </w:rPr>
        <w:t xml:space="preserve"> הנה כי כן, </w:t>
      </w:r>
      <w:r>
        <w:rPr>
          <w:rFonts w:hint="cs"/>
          <w:rtl/>
        </w:rPr>
        <w:t>ספק אם נית</w:t>
      </w:r>
      <w:r w:rsidRPr="00614938">
        <w:rPr>
          <w:rFonts w:hint="cs"/>
          <w:rtl/>
        </w:rPr>
        <w:t>ן לומר כי במקרים הללו ההחלטות נפסלו בשל כך שהאיזון שנערך בין השיקולים היה פגום.</w:t>
      </w:r>
    </w:p>
    <w:p w:rsidR="00D61E12" w:rsidRPr="00144CED" w:rsidRDefault="00D61E12" w:rsidP="00D61E12">
      <w:pPr>
        <w:pStyle w:val="Ruller4"/>
        <w:spacing w:before="240" w:after="240"/>
        <w:rPr>
          <w:rFonts w:ascii="Century" w:hAnsi="Century"/>
          <w:sz w:val="22"/>
          <w:rtl/>
        </w:rPr>
      </w:pPr>
      <w:r>
        <w:rPr>
          <w:rFonts w:ascii="Century" w:hAnsi="Century" w:hint="cs"/>
          <w:sz w:val="22"/>
          <w:rtl/>
        </w:rPr>
        <w:t xml:space="preserve">ראוי לציין כי באותו עניין הנשיא </w:t>
      </w:r>
      <w:r>
        <w:rPr>
          <w:rFonts w:ascii="Century" w:hAnsi="Century" w:cs="Miriam" w:hint="cs"/>
          <w:b/>
          <w:spacing w:val="0"/>
          <w:sz w:val="22"/>
          <w:szCs w:val="24"/>
          <w:rtl/>
        </w:rPr>
        <w:t>לנדוי</w:t>
      </w:r>
      <w:r>
        <w:rPr>
          <w:rFonts w:ascii="Century" w:hAnsi="Century" w:hint="cs"/>
          <w:sz w:val="22"/>
          <w:rtl/>
        </w:rPr>
        <w:t xml:space="preserve"> </w:t>
      </w:r>
      <w:r w:rsidRPr="00442B05">
        <w:rPr>
          <w:rFonts w:ascii="Century" w:hAnsi="Century" w:hint="cs"/>
          <w:sz w:val="22"/>
          <w:rtl/>
        </w:rPr>
        <w:t xml:space="preserve">הסתייג </w:t>
      </w:r>
      <w:r>
        <w:rPr>
          <w:rFonts w:ascii="Century" w:hAnsi="Century" w:hint="cs"/>
          <w:sz w:val="22"/>
          <w:rtl/>
        </w:rPr>
        <w:t xml:space="preserve">מעמדה זו. בחוות-דעתו דבק הוא בגישתו, </w:t>
      </w:r>
      <w:r w:rsidRPr="00144CED">
        <w:rPr>
          <w:rFonts w:ascii="Century" w:hAnsi="Century" w:hint="cs"/>
          <w:sz w:val="22"/>
          <w:rtl/>
        </w:rPr>
        <w:t xml:space="preserve">כפי שהובעה </w:t>
      </w:r>
      <w:r>
        <w:rPr>
          <w:rFonts w:ascii="Century" w:hAnsi="Century" w:hint="cs"/>
          <w:sz w:val="22"/>
          <w:rtl/>
        </w:rPr>
        <w:t xml:space="preserve">עוד </w:t>
      </w:r>
      <w:r w:rsidRPr="00144CED">
        <w:rPr>
          <w:rFonts w:ascii="Century" w:hAnsi="Century" w:hint="cs"/>
          <w:sz w:val="22"/>
          <w:rtl/>
        </w:rPr>
        <w:t xml:space="preserve">בעניין </w:t>
      </w:r>
      <w:r w:rsidRPr="00144CED">
        <w:rPr>
          <w:rFonts w:ascii="Century" w:hAnsi="Century" w:cs="Miriam" w:hint="cs"/>
          <w:b/>
          <w:spacing w:val="0"/>
          <w:sz w:val="22"/>
          <w:szCs w:val="24"/>
          <w:rtl/>
        </w:rPr>
        <w:t>פוגל</w:t>
      </w:r>
      <w:r w:rsidRPr="00144CED">
        <w:rPr>
          <w:rFonts w:ascii="Century" w:hAnsi="Century" w:hint="cs"/>
          <w:sz w:val="22"/>
          <w:rtl/>
        </w:rPr>
        <w:t>, לפיה הרחבת עילת הסבירות עלולה להוביל לכך "</w:t>
      </w:r>
      <w:r w:rsidRPr="00144CED">
        <w:rPr>
          <w:rFonts w:ascii="Century" w:hAnsi="Century" w:cs="Miriam" w:hint="cs"/>
          <w:b/>
          <w:spacing w:val="0"/>
          <w:sz w:val="22"/>
          <w:szCs w:val="24"/>
          <w:rtl/>
        </w:rPr>
        <w:t xml:space="preserve">[ש]נגיע עד מהרה לבחינה עניינית של ההחלטה מחדש </w:t>
      </w:r>
      <w:r w:rsidRPr="00144CED">
        <w:rPr>
          <w:rFonts w:ascii="Century" w:hAnsi="Century"/>
          <w:sz w:val="22"/>
        </w:rPr>
        <w:t>(de novo)</w:t>
      </w:r>
      <w:r w:rsidRPr="00144CED">
        <w:rPr>
          <w:rFonts w:ascii="Century" w:hAnsi="Century" w:hint="cs"/>
          <w:sz w:val="22"/>
          <w:rtl/>
        </w:rPr>
        <w:t xml:space="preserve">". אשר על כן, הנשיא </w:t>
      </w:r>
      <w:r w:rsidRPr="00144CED">
        <w:rPr>
          <w:rFonts w:ascii="Century" w:hAnsi="Century" w:cs="Miriam" w:hint="cs"/>
          <w:b/>
          <w:spacing w:val="0"/>
          <w:sz w:val="22"/>
          <w:szCs w:val="24"/>
          <w:rtl/>
        </w:rPr>
        <w:t>לנדוי</w:t>
      </w:r>
      <w:r w:rsidRPr="00144CED">
        <w:rPr>
          <w:rFonts w:ascii="Century" w:hAnsi="Century" w:hint="cs"/>
          <w:sz w:val="22"/>
          <w:rtl/>
        </w:rPr>
        <w:t xml:space="preserve"> תמך </w:t>
      </w:r>
      <w:r>
        <w:rPr>
          <w:rFonts w:ascii="Century" w:hAnsi="Century" w:hint="cs"/>
          <w:sz w:val="22"/>
          <w:rtl/>
        </w:rPr>
        <w:t>בגישת</w:t>
      </w:r>
      <w:r w:rsidRPr="00144CED">
        <w:rPr>
          <w:rFonts w:ascii="Century" w:hAnsi="Century" w:hint="cs"/>
          <w:sz w:val="22"/>
          <w:rtl/>
        </w:rPr>
        <w:t xml:space="preserve"> השופט </w:t>
      </w:r>
      <w:r w:rsidRPr="00144CED">
        <w:rPr>
          <w:rFonts w:ascii="Century" w:hAnsi="Century" w:cs="Miriam" w:hint="cs"/>
          <w:b/>
          <w:spacing w:val="0"/>
          <w:sz w:val="22"/>
          <w:szCs w:val="24"/>
          <w:rtl/>
        </w:rPr>
        <w:t>אלון</w:t>
      </w:r>
      <w:r w:rsidRPr="00144CED">
        <w:rPr>
          <w:rFonts w:ascii="Century" w:hAnsi="Century" w:hint="cs"/>
          <w:sz w:val="22"/>
          <w:rtl/>
        </w:rPr>
        <w:t xml:space="preserve"> (ראו לעיל: עניין </w:t>
      </w:r>
      <w:r w:rsidRPr="00144CED">
        <w:rPr>
          <w:rFonts w:ascii="Century" w:hAnsi="Century" w:cs="Miriam" w:hint="cs"/>
          <w:b/>
          <w:spacing w:val="0"/>
          <w:sz w:val="22"/>
          <w:szCs w:val="24"/>
          <w:rtl/>
        </w:rPr>
        <w:t>מרכז הקבלנים</w:t>
      </w:r>
      <w:r w:rsidRPr="00144CED">
        <w:rPr>
          <w:rFonts w:ascii="Century" w:hAnsi="Century" w:hint="cs"/>
          <w:sz w:val="22"/>
          <w:rtl/>
        </w:rPr>
        <w:t xml:space="preserve">, בעמודים 754-753) </w:t>
      </w:r>
      <w:r w:rsidRPr="00144CED">
        <w:rPr>
          <w:rFonts w:ascii="Century" w:hAnsi="Century"/>
          <w:sz w:val="22"/>
          <w:rtl/>
        </w:rPr>
        <w:t>–</w:t>
      </w:r>
      <w:r w:rsidRPr="00144CED">
        <w:rPr>
          <w:rFonts w:ascii="Century" w:hAnsi="Century" w:hint="cs"/>
          <w:sz w:val="22"/>
          <w:rtl/>
        </w:rPr>
        <w:t xml:space="preserve"> לפיה </w:t>
      </w:r>
      <w:r>
        <w:rPr>
          <w:rFonts w:ascii="Century" w:hAnsi="Century" w:hint="cs"/>
          <w:sz w:val="22"/>
          <w:rtl/>
        </w:rPr>
        <w:t>יש לדבוק</w:t>
      </w:r>
      <w:r w:rsidRPr="00144CED">
        <w:rPr>
          <w:rFonts w:ascii="Century" w:hAnsi="Century" w:hint="cs"/>
          <w:sz w:val="22"/>
          <w:rtl/>
        </w:rPr>
        <w:t xml:space="preserve"> </w:t>
      </w:r>
      <w:r w:rsidRPr="006318C3">
        <w:rPr>
          <w:rFonts w:ascii="Century" w:hAnsi="Century" w:hint="cs"/>
          <w:sz w:val="22"/>
          <w:rtl/>
        </w:rPr>
        <w:t>במבחן המופרכות</w:t>
      </w:r>
      <w:r w:rsidRPr="00144CED">
        <w:rPr>
          <w:rFonts w:ascii="Century" w:hAnsi="Century" w:hint="cs"/>
          <w:sz w:val="22"/>
          <w:rtl/>
        </w:rPr>
        <w:t xml:space="preserve">, ואין </w:t>
      </w:r>
      <w:r>
        <w:rPr>
          <w:rFonts w:ascii="Century" w:hAnsi="Century" w:hint="cs"/>
          <w:sz w:val="22"/>
          <w:rtl/>
        </w:rPr>
        <w:t>לשנותו לכדי</w:t>
      </w:r>
      <w:r w:rsidRPr="00144CED">
        <w:rPr>
          <w:rFonts w:ascii="Century" w:hAnsi="Century" w:hint="cs"/>
          <w:sz w:val="22"/>
          <w:rtl/>
        </w:rPr>
        <w:t xml:space="preserve"> "</w:t>
      </w:r>
      <w:r w:rsidRPr="00144CED">
        <w:rPr>
          <w:rFonts w:ascii="Century" w:hAnsi="Century" w:cs="Miriam" w:hint="cs"/>
          <w:b/>
          <w:spacing w:val="0"/>
          <w:sz w:val="22"/>
          <w:szCs w:val="24"/>
          <w:rtl/>
        </w:rPr>
        <w:t xml:space="preserve">נוסחה חדשה בדבר מתן משקל יחסי בלתי סביר לאינטרסים השונים הראויים להישקל </w:t>
      </w:r>
      <w:r w:rsidRPr="00144CED">
        <w:rPr>
          <w:rFonts w:ascii="Century" w:hAnsi="Century" w:cs="Miriam"/>
          <w:b/>
          <w:spacing w:val="0"/>
          <w:sz w:val="22"/>
          <w:szCs w:val="24"/>
          <w:rtl/>
        </w:rPr>
        <w:t>–</w:t>
      </w:r>
      <w:r w:rsidRPr="00144CED">
        <w:rPr>
          <w:rFonts w:ascii="Century" w:hAnsi="Century" w:cs="Miriam" w:hint="cs"/>
          <w:b/>
          <w:spacing w:val="0"/>
          <w:sz w:val="22"/>
          <w:szCs w:val="24"/>
          <w:rtl/>
        </w:rPr>
        <w:t xml:space="preserve"> נוסחה העלולה לערב את בית המשפט בבדיקת תבונתה ויעילותה של ההחלטה המינהלית</w:t>
      </w:r>
      <w:r w:rsidRPr="00144CED">
        <w:rPr>
          <w:rFonts w:ascii="Century" w:hAnsi="Century" w:hint="cs"/>
          <w:sz w:val="22"/>
          <w:rtl/>
        </w:rPr>
        <w:t xml:space="preserve">" (הלכת </w:t>
      </w:r>
      <w:r w:rsidRPr="00144CED">
        <w:rPr>
          <w:rFonts w:ascii="Century" w:hAnsi="Century" w:cs="Miriam" w:hint="cs"/>
          <w:b/>
          <w:spacing w:val="0"/>
          <w:sz w:val="22"/>
          <w:szCs w:val="24"/>
          <w:rtl/>
        </w:rPr>
        <w:t>דפי זהב</w:t>
      </w:r>
      <w:r w:rsidRPr="00144CED">
        <w:rPr>
          <w:rFonts w:ascii="Century" w:hAnsi="Century" w:hint="cs"/>
          <w:sz w:val="22"/>
          <w:rtl/>
        </w:rPr>
        <w:t>, בעמוד 432).</w:t>
      </w:r>
    </w:p>
    <w:p w:rsidR="00D61E12" w:rsidRPr="00144CED" w:rsidRDefault="00D61E12" w:rsidP="00D61E12">
      <w:pPr>
        <w:pStyle w:val="Ruller4"/>
        <w:spacing w:before="240" w:after="240"/>
        <w:rPr>
          <w:rFonts w:ascii="Century" w:hAnsi="Century"/>
          <w:sz w:val="22"/>
          <w:rtl/>
        </w:rPr>
      </w:pPr>
      <w:r>
        <w:rPr>
          <w:rFonts w:ascii="Century" w:hAnsi="Century" w:hint="cs"/>
          <w:sz w:val="22"/>
          <w:rtl/>
        </w:rPr>
        <w:t xml:space="preserve">במאמר מוסגר יצוין, כי יש הטוענים שהרחבתה של עילת הסבירות בהלכת </w:t>
      </w:r>
      <w:r>
        <w:rPr>
          <w:rFonts w:ascii="Century" w:hAnsi="Century" w:cs="Miriam" w:hint="cs"/>
          <w:b/>
          <w:spacing w:val="0"/>
          <w:sz w:val="22"/>
          <w:szCs w:val="24"/>
          <w:rtl/>
        </w:rPr>
        <w:t xml:space="preserve">דפי זהב </w:t>
      </w:r>
      <w:r>
        <w:rPr>
          <w:rFonts w:ascii="Century" w:hAnsi="Century" w:hint="cs"/>
          <w:sz w:val="22"/>
          <w:rtl/>
        </w:rPr>
        <w:t>הייתה רק מאפיין אחד בודד מתוך מגמה כללית בפסיקה של תחילת שנות השמונים, במסגרתה הורחב היקף הביקורת השיפוטית בתחום המשפט הציבורי</w:t>
      </w:r>
      <w:r w:rsidRPr="00144CED">
        <w:rPr>
          <w:rFonts w:ascii="Century" w:hAnsi="Century" w:hint="cs"/>
          <w:sz w:val="22"/>
          <w:rtl/>
        </w:rPr>
        <w:t xml:space="preserve"> (</w:t>
      </w:r>
      <w:r w:rsidRPr="00144CED">
        <w:rPr>
          <w:rFonts w:ascii="Century" w:hAnsi="Century" w:cs="Miriam" w:hint="cs"/>
          <w:b/>
          <w:spacing w:val="0"/>
          <w:sz w:val="22"/>
          <w:szCs w:val="24"/>
          <w:rtl/>
        </w:rPr>
        <w:t>דותן</w:t>
      </w:r>
      <w:r w:rsidRPr="00144CED">
        <w:rPr>
          <w:rFonts w:ascii="Century" w:hAnsi="Century" w:hint="cs"/>
          <w:sz w:val="22"/>
          <w:rtl/>
        </w:rPr>
        <w:t xml:space="preserve">, בעמוד 126; </w:t>
      </w:r>
      <w:r w:rsidRPr="00144CED">
        <w:rPr>
          <w:rFonts w:ascii="Century" w:hAnsi="Century" w:cs="Miriam" w:hint="cs"/>
          <w:b/>
          <w:spacing w:val="0"/>
          <w:sz w:val="22"/>
          <w:szCs w:val="24"/>
          <w:rtl/>
        </w:rPr>
        <w:t>ברק-ארז</w:t>
      </w:r>
      <w:r w:rsidRPr="00144CED">
        <w:rPr>
          <w:rFonts w:ascii="Century" w:hAnsi="Century" w:hint="cs"/>
          <w:sz w:val="22"/>
          <w:rtl/>
        </w:rPr>
        <w:t xml:space="preserve">, בעמוד 729; ראו באופן כללי: </w:t>
      </w:r>
      <w:r w:rsidRPr="00144CED">
        <w:rPr>
          <w:rFonts w:ascii="Century" w:hAnsi="Century" w:cs="Miriam" w:hint="cs"/>
          <w:b/>
          <w:spacing w:val="0"/>
          <w:sz w:val="22"/>
          <w:szCs w:val="24"/>
          <w:rtl/>
        </w:rPr>
        <w:t xml:space="preserve">מאוטנר </w:t>
      </w:r>
      <w:r w:rsidRPr="00144CED">
        <w:rPr>
          <w:rFonts w:ascii="Century" w:hAnsi="Century" w:cs="Miriam"/>
          <w:b/>
          <w:spacing w:val="0"/>
          <w:sz w:val="22"/>
          <w:szCs w:val="24"/>
          <w:rtl/>
        </w:rPr>
        <w:t>–</w:t>
      </w:r>
      <w:r w:rsidRPr="00144CED">
        <w:rPr>
          <w:rFonts w:ascii="Century" w:hAnsi="Century" w:cs="Miriam" w:hint="cs"/>
          <w:b/>
          <w:spacing w:val="0"/>
          <w:sz w:val="22"/>
          <w:szCs w:val="24"/>
          <w:rtl/>
        </w:rPr>
        <w:t xml:space="preserve"> ירידת הפורמליזם ועליית הערכים</w:t>
      </w:r>
      <w:r w:rsidRPr="00144CED">
        <w:rPr>
          <w:rFonts w:ascii="Century" w:hAnsi="Century" w:hint="cs"/>
          <w:sz w:val="22"/>
          <w:rtl/>
        </w:rPr>
        <w:t>). בדומה לכך, יש שמזכירים מעת לעת את צמצומן של עילות הסף בבי</w:t>
      </w:r>
      <w:r>
        <w:rPr>
          <w:rFonts w:ascii="Century" w:hAnsi="Century" w:hint="cs"/>
          <w:sz w:val="22"/>
          <w:rtl/>
        </w:rPr>
        <w:t>ת המשפט הגבוה לצדק, ובעיקר את עילות הסף שעניינן זכות העמידה ו</w:t>
      </w:r>
      <w:r w:rsidRPr="00144CED">
        <w:rPr>
          <w:rFonts w:ascii="Century" w:hAnsi="Century" w:hint="cs"/>
          <w:sz w:val="22"/>
          <w:rtl/>
        </w:rPr>
        <w:t xml:space="preserve">השפיטות </w:t>
      </w:r>
      <w:r>
        <w:rPr>
          <w:rFonts w:ascii="Century" w:hAnsi="Century" w:hint="cs"/>
          <w:sz w:val="22"/>
          <w:rtl/>
        </w:rPr>
        <w:t xml:space="preserve">(ראו: </w:t>
      </w:r>
      <w:r w:rsidRPr="00144CED">
        <w:rPr>
          <w:rFonts w:ascii="Century" w:hAnsi="Century" w:hint="cs"/>
          <w:sz w:val="22"/>
          <w:rtl/>
        </w:rPr>
        <w:t xml:space="preserve">בג"ץ 910/86 </w:t>
      </w:r>
      <w:r w:rsidRPr="00144CED">
        <w:rPr>
          <w:rFonts w:ascii="Century" w:hAnsi="Century" w:cs="Miriam" w:hint="cs"/>
          <w:b/>
          <w:spacing w:val="0"/>
          <w:sz w:val="22"/>
          <w:szCs w:val="24"/>
          <w:rtl/>
        </w:rPr>
        <w:t>רסלר נ' שר הביטחון</w:t>
      </w:r>
      <w:r w:rsidRPr="00144CED">
        <w:rPr>
          <w:rFonts w:ascii="Century" w:hAnsi="Century" w:hint="cs"/>
          <w:sz w:val="22"/>
          <w:rtl/>
        </w:rPr>
        <w:t>, פ"ד מב(2) 441 (1988)</w:t>
      </w:r>
      <w:r>
        <w:rPr>
          <w:rFonts w:ascii="Century" w:hAnsi="Century" w:hint="cs"/>
          <w:sz w:val="22"/>
          <w:rtl/>
        </w:rPr>
        <w:t>).</w:t>
      </w:r>
    </w:p>
    <w:p w:rsidR="00D61E12" w:rsidRDefault="00D61E12" w:rsidP="002A1A3A">
      <w:pPr>
        <w:pStyle w:val="Ruller41"/>
        <w:numPr>
          <w:ilvl w:val="2"/>
          <w:numId w:val="16"/>
        </w:numPr>
        <w:spacing w:before="240" w:after="240"/>
        <w:rPr>
          <w:rFonts w:ascii="Century" w:hAnsi="Century" w:cs="Miriam"/>
          <w:b/>
          <w:spacing w:val="0"/>
          <w:szCs w:val="24"/>
          <w:rtl/>
        </w:rPr>
      </w:pPr>
      <w:r>
        <w:rPr>
          <w:rFonts w:ascii="Century" w:hAnsi="Century" w:cs="Miriam" w:hint="cs"/>
          <w:b/>
          <w:spacing w:val="0"/>
          <w:szCs w:val="24"/>
          <w:rtl/>
        </w:rPr>
        <w:t>עילת הסבירות לאחר הלכת דפי זהב</w:t>
      </w:r>
    </w:p>
    <w:p w:rsidR="00D61E12" w:rsidRPr="00144CED" w:rsidRDefault="00D61E12" w:rsidP="00D61E12">
      <w:pPr>
        <w:pStyle w:val="Ruller4"/>
        <w:spacing w:before="240" w:after="240"/>
        <w:rPr>
          <w:rStyle w:val="a9"/>
          <w:rFonts w:ascii="Century" w:hAnsi="Century"/>
          <w:sz w:val="22"/>
        </w:rPr>
      </w:pPr>
      <w:r w:rsidRPr="00B65627">
        <w:rPr>
          <w:rFonts w:hint="cs"/>
          <w:rtl/>
        </w:rPr>
        <w:t>השינויים שנערכו בעילת הסבירות במסגרת הלכת</w:t>
      </w:r>
      <w:r>
        <w:rPr>
          <w:rStyle w:val="a9"/>
          <w:rFonts w:ascii="Century" w:hAnsi="Century" w:hint="cs"/>
          <w:sz w:val="22"/>
          <w:rtl/>
        </w:rPr>
        <w:t xml:space="preserve"> </w:t>
      </w:r>
      <w:r>
        <w:rPr>
          <w:rStyle w:val="a9"/>
          <w:rFonts w:ascii="Century" w:hAnsi="Century" w:cs="Miriam" w:hint="cs"/>
          <w:b/>
          <w:spacing w:val="0"/>
          <w:sz w:val="22"/>
          <w:szCs w:val="24"/>
          <w:rtl/>
        </w:rPr>
        <w:t>דפי זהב</w:t>
      </w:r>
      <w:r>
        <w:rPr>
          <w:rStyle w:val="a9"/>
          <w:rFonts w:ascii="Century" w:hAnsi="Century" w:hint="cs"/>
          <w:sz w:val="22"/>
          <w:rtl/>
        </w:rPr>
        <w:t xml:space="preserve"> </w:t>
      </w:r>
      <w:r w:rsidRPr="00B65627">
        <w:rPr>
          <w:rFonts w:hint="cs"/>
          <w:rtl/>
        </w:rPr>
        <w:t xml:space="preserve">הלכו וחלחלו לפסיקת בית משפט זה בשנים שחלפו מאז שנפסקה (יואב דותן "שני מושגים של ריסון </w:t>
      </w:r>
      <w:r w:rsidRPr="00B65627">
        <w:rPr>
          <w:rtl/>
        </w:rPr>
        <w:t>–</w:t>
      </w:r>
      <w:r w:rsidRPr="00B65627">
        <w:rPr>
          <w:rFonts w:hint="cs"/>
          <w:rtl/>
        </w:rPr>
        <w:t xml:space="preserve"> וסבירות" </w:t>
      </w:r>
      <w:r w:rsidRPr="00144CED">
        <w:rPr>
          <w:rStyle w:val="a9"/>
          <w:rFonts w:ascii="Century" w:hAnsi="Century" w:cs="Miriam" w:hint="cs"/>
          <w:b/>
          <w:spacing w:val="0"/>
          <w:sz w:val="22"/>
          <w:szCs w:val="24"/>
          <w:rtl/>
        </w:rPr>
        <w:t xml:space="preserve">משפטים </w:t>
      </w:r>
      <w:r w:rsidRPr="00B65627">
        <w:rPr>
          <w:rFonts w:hint="cs"/>
          <w:rtl/>
        </w:rPr>
        <w:t xml:space="preserve">נא 673, 686-685 (2022) </w:t>
      </w:r>
      <w:r w:rsidRPr="00B65627">
        <w:rPr>
          <w:rtl/>
        </w:rPr>
        <w:t>(</w:t>
      </w:r>
      <w:r w:rsidRPr="00B65627">
        <w:rPr>
          <w:rFonts w:hint="eastAsia"/>
          <w:rtl/>
        </w:rPr>
        <w:t>להלן</w:t>
      </w:r>
      <w:r w:rsidRPr="00B65627">
        <w:rPr>
          <w:rtl/>
        </w:rPr>
        <w:t xml:space="preserve">: </w:t>
      </w:r>
      <w:r w:rsidRPr="00144CED">
        <w:rPr>
          <w:rStyle w:val="a9"/>
          <w:rFonts w:ascii="Century" w:hAnsi="Century" w:cs="Miriam" w:hint="cs"/>
          <w:b/>
          <w:spacing w:val="0"/>
          <w:sz w:val="22"/>
          <w:szCs w:val="24"/>
          <w:rtl/>
        </w:rPr>
        <w:t xml:space="preserve">דותן </w:t>
      </w:r>
      <w:r w:rsidRPr="00144CED">
        <w:rPr>
          <w:rStyle w:val="a9"/>
          <w:rFonts w:ascii="Century" w:hAnsi="Century" w:cs="Miriam"/>
          <w:b/>
          <w:spacing w:val="0"/>
          <w:sz w:val="22"/>
          <w:szCs w:val="24"/>
          <w:rtl/>
        </w:rPr>
        <w:t>–</w:t>
      </w:r>
      <w:r w:rsidRPr="00144CED">
        <w:rPr>
          <w:rStyle w:val="a9"/>
          <w:rFonts w:ascii="Century" w:hAnsi="Century" w:cs="Miriam" w:hint="cs"/>
          <w:b/>
          <w:spacing w:val="0"/>
          <w:sz w:val="22"/>
          <w:szCs w:val="24"/>
          <w:rtl/>
        </w:rPr>
        <w:t xml:space="preserve"> שני מושגים של ריסון וסבירות</w:t>
      </w:r>
      <w:r w:rsidRPr="00B65627">
        <w:rPr>
          <w:rFonts w:hint="cs"/>
          <w:rtl/>
        </w:rPr>
        <w:t>)).</w:t>
      </w:r>
    </w:p>
    <w:p w:rsidR="00D61E12" w:rsidRDefault="00D61E12" w:rsidP="00D61E12">
      <w:pPr>
        <w:pStyle w:val="Ruller4"/>
        <w:spacing w:before="240" w:after="240"/>
        <w:rPr>
          <w:rtl/>
        </w:rPr>
      </w:pPr>
      <w:r w:rsidRPr="00B65627">
        <w:rPr>
          <w:rFonts w:ascii="Century" w:hAnsi="Century" w:hint="cs"/>
          <w:sz w:val="22"/>
          <w:rtl/>
        </w:rPr>
        <w:t>תחילה</w:t>
      </w:r>
      <w:r w:rsidRPr="00B65627">
        <w:rPr>
          <w:rFonts w:hint="cs"/>
          <w:rtl/>
        </w:rPr>
        <w:t>, נזנח</w:t>
      </w:r>
      <w:r>
        <w:rPr>
          <w:rStyle w:val="a9"/>
          <w:rFonts w:ascii="Century" w:hAnsi="Century" w:hint="cs"/>
          <w:sz w:val="22"/>
          <w:rtl/>
        </w:rPr>
        <w:t xml:space="preserve"> </w:t>
      </w:r>
      <w:r>
        <w:rPr>
          <w:rStyle w:val="a9"/>
          <w:rFonts w:ascii="Century" w:hAnsi="Century" w:cs="Miriam" w:hint="cs"/>
          <w:b/>
          <w:spacing w:val="0"/>
          <w:sz w:val="22"/>
          <w:szCs w:val="24"/>
          <w:rtl/>
        </w:rPr>
        <w:t>מבחן המופרכות</w:t>
      </w:r>
      <w:r>
        <w:rPr>
          <w:rStyle w:val="a9"/>
          <w:rFonts w:ascii="Century" w:hAnsi="Century" w:hint="cs"/>
          <w:sz w:val="22"/>
          <w:rtl/>
        </w:rPr>
        <w:t xml:space="preserve"> </w:t>
      </w:r>
      <w:r w:rsidRPr="00B65627">
        <w:rPr>
          <w:rFonts w:hint="cs"/>
          <w:rtl/>
        </w:rPr>
        <w:t>שהיה</w:t>
      </w:r>
      <w:r>
        <w:rPr>
          <w:rFonts w:hint="cs"/>
          <w:rtl/>
        </w:rPr>
        <w:t xml:space="preserve"> כאמור</w:t>
      </w:r>
      <w:r w:rsidRPr="00B65627">
        <w:rPr>
          <w:rFonts w:hint="cs"/>
          <w:rtl/>
        </w:rPr>
        <w:t xml:space="preserve"> המבחן המקובל בעת המוקדמת, תוך ש</w:t>
      </w:r>
      <w:r>
        <w:rPr>
          <w:rStyle w:val="a9"/>
          <w:rFonts w:ascii="Century" w:hAnsi="Century" w:cs="Miriam" w:hint="cs"/>
          <w:b/>
          <w:spacing w:val="0"/>
          <w:sz w:val="22"/>
          <w:szCs w:val="24"/>
          <w:rtl/>
        </w:rPr>
        <w:t xml:space="preserve">מבחן איזון האינטרסים </w:t>
      </w:r>
      <w:r w:rsidRPr="00B65627">
        <w:rPr>
          <w:rFonts w:hint="cs"/>
          <w:rtl/>
        </w:rPr>
        <w:t xml:space="preserve">נעשה המבחן העיקרי להפעלת עילת הסבירות. </w:t>
      </w:r>
      <w:r>
        <w:rPr>
          <w:rFonts w:hint="cs"/>
          <w:rtl/>
        </w:rPr>
        <w:t xml:space="preserve">היטיב לתאר זאת פרופ' דותן כך: </w:t>
      </w:r>
    </w:p>
    <w:p w:rsidR="00D61E12" w:rsidRPr="00D53DAF" w:rsidRDefault="00D61E12" w:rsidP="00D61E12">
      <w:pPr>
        <w:pStyle w:val="Ruller5"/>
        <w:spacing w:before="240" w:after="240"/>
        <w:rPr>
          <w:rFonts w:ascii="Century" w:hAnsi="Century"/>
        </w:rPr>
      </w:pPr>
      <w:r>
        <w:rPr>
          <w:rFonts w:hint="cs"/>
          <w:rtl/>
        </w:rPr>
        <w:t xml:space="preserve">"בהדרגה אך בבטחה ובמהירות יחסית, השתלטה המתודולוגיה החדשה על יישומה של עילת הסבירות. התהליך הזה בא לידי ביטוי, בראש ובראשונה, בשימוש ההולך וגובר בנוסחת האיזון הרחבה של </w:t>
      </w:r>
      <w:r>
        <w:rPr>
          <w:rFonts w:ascii="Century" w:hAnsi="Century" w:cs="Miriam" w:hint="cs"/>
          <w:b/>
          <w:spacing w:val="0"/>
          <w:szCs w:val="24"/>
          <w:rtl/>
        </w:rPr>
        <w:t>דפי זהב</w:t>
      </w:r>
      <w:r>
        <w:rPr>
          <w:rFonts w:ascii="Century" w:hAnsi="Century" w:hint="cs"/>
          <w:rtl/>
        </w:rPr>
        <w:t xml:space="preserve"> ללא </w:t>
      </w:r>
      <w:r>
        <w:rPr>
          <w:rFonts w:ascii="Century" w:hAnsi="Century" w:hint="cs"/>
          <w:rtl/>
        </w:rPr>
        <w:lastRenderedPageBreak/>
        <w:t>התייחסות או אזכור של מבחן המופרכות</w:t>
      </w:r>
      <w:r>
        <w:rPr>
          <w:rFonts w:hint="cs"/>
          <w:rtl/>
        </w:rPr>
        <w:t>" (</w:t>
      </w:r>
      <w:r w:rsidRPr="00144CED">
        <w:rPr>
          <w:rStyle w:val="a9"/>
          <w:rFonts w:ascii="Century" w:hAnsi="Century" w:cs="Miriam" w:hint="cs"/>
          <w:b/>
          <w:spacing w:val="0"/>
          <w:sz w:val="22"/>
          <w:szCs w:val="24"/>
          <w:rtl/>
        </w:rPr>
        <w:t xml:space="preserve">דותן </w:t>
      </w:r>
      <w:r w:rsidRPr="00144CED">
        <w:rPr>
          <w:rStyle w:val="a9"/>
          <w:rFonts w:ascii="Century" w:hAnsi="Century" w:cs="Miriam"/>
          <w:b/>
          <w:spacing w:val="0"/>
          <w:sz w:val="22"/>
          <w:szCs w:val="24"/>
          <w:rtl/>
        </w:rPr>
        <w:t>–</w:t>
      </w:r>
      <w:r w:rsidRPr="00144CED">
        <w:rPr>
          <w:rStyle w:val="a9"/>
          <w:rFonts w:ascii="Century" w:hAnsi="Century" w:cs="Miriam" w:hint="cs"/>
          <w:b/>
          <w:spacing w:val="0"/>
          <w:sz w:val="22"/>
          <w:szCs w:val="24"/>
          <w:rtl/>
        </w:rPr>
        <w:t xml:space="preserve"> שני מושגים של ריסון וסבירות</w:t>
      </w:r>
      <w:r>
        <w:rPr>
          <w:rFonts w:ascii="Century" w:hAnsi="Century" w:hint="cs"/>
          <w:rtl/>
        </w:rPr>
        <w:t xml:space="preserve">, בעמוד 686). </w:t>
      </w:r>
    </w:p>
    <w:p w:rsidR="00D61E12" w:rsidRPr="00B65627" w:rsidRDefault="00D61E12" w:rsidP="00D61E12">
      <w:pPr>
        <w:pStyle w:val="Ruller4"/>
        <w:numPr>
          <w:ilvl w:val="0"/>
          <w:numId w:val="0"/>
        </w:numPr>
        <w:spacing w:before="240" w:after="240"/>
      </w:pPr>
      <w:r>
        <w:rPr>
          <w:rtl/>
        </w:rPr>
        <w:tab/>
      </w:r>
      <w:r w:rsidRPr="00B65627">
        <w:rPr>
          <w:rFonts w:hint="cs"/>
          <w:rtl/>
        </w:rPr>
        <w:t xml:space="preserve">התפתחות דוקטרינרית זו תוארה </w:t>
      </w:r>
      <w:r>
        <w:rPr>
          <w:rFonts w:hint="cs"/>
          <w:rtl/>
        </w:rPr>
        <w:t xml:space="preserve">גם </w:t>
      </w:r>
      <w:r w:rsidRPr="00B65627">
        <w:rPr>
          <w:rFonts w:hint="cs"/>
          <w:rtl/>
        </w:rPr>
        <w:t>בפסיק</w:t>
      </w:r>
      <w:r>
        <w:rPr>
          <w:rFonts w:hint="cs"/>
          <w:rtl/>
        </w:rPr>
        <w:t>ה,</w:t>
      </w:r>
      <w:r w:rsidRPr="00B65627">
        <w:rPr>
          <w:rFonts w:hint="cs"/>
          <w:rtl/>
        </w:rPr>
        <w:t xml:space="preserve"> כך: </w:t>
      </w:r>
    </w:p>
    <w:p w:rsidR="00D61E12" w:rsidRPr="00017064" w:rsidRDefault="00D61E12" w:rsidP="00D61E12">
      <w:pPr>
        <w:pStyle w:val="Ruller5"/>
        <w:spacing w:before="240" w:after="240"/>
        <w:rPr>
          <w:rtl/>
        </w:rPr>
      </w:pPr>
      <w:r w:rsidRPr="00B65627">
        <w:rPr>
          <w:rFonts w:hint="cs"/>
          <w:rtl/>
        </w:rPr>
        <w:t xml:space="preserve">"[ברבות השנים] פותחה תורת שיקול הדעת. נקבע, בין השאר, כי החלטה בלתי סבירה </w:t>
      </w:r>
      <w:r w:rsidRPr="00B65627">
        <w:rPr>
          <w:rtl/>
        </w:rPr>
        <w:t>–</w:t>
      </w:r>
      <w:r w:rsidRPr="0053671A">
        <w:rPr>
          <w:rStyle w:val="a9"/>
          <w:rFonts w:ascii="Century" w:hAnsi="Century" w:hint="cs"/>
          <w:rtl/>
        </w:rPr>
        <w:t xml:space="preserve"> </w:t>
      </w:r>
      <w:r w:rsidRPr="0053671A">
        <w:rPr>
          <w:rStyle w:val="a9"/>
          <w:rFonts w:ascii="Century" w:hAnsi="Century" w:cs="Miriam" w:hint="cs"/>
          <w:b/>
          <w:spacing w:val="0"/>
          <w:szCs w:val="24"/>
          <w:rtl/>
        </w:rPr>
        <w:t>גם אם אינה מופרכת או אבסורדית</w:t>
      </w:r>
      <w:r w:rsidRPr="00B65627">
        <w:rPr>
          <w:rFonts w:hint="cs"/>
          <w:rtl/>
        </w:rPr>
        <w:t xml:space="preserve"> </w:t>
      </w:r>
      <w:r w:rsidRPr="00B65627">
        <w:rPr>
          <w:rtl/>
        </w:rPr>
        <w:t>–</w:t>
      </w:r>
      <w:r w:rsidRPr="00B65627">
        <w:rPr>
          <w:rFonts w:hint="cs"/>
          <w:rtl/>
        </w:rPr>
        <w:t xml:space="preserve"> אינה החלטה חוקית. במקביל פותחו הדינים בדבר ההתערבות השיפוטית, ונקבע, כי הביקורת השיפוטית תחול גם על הפעלה ב</w:t>
      </w:r>
      <w:r>
        <w:rPr>
          <w:rFonts w:hint="cs"/>
          <w:rtl/>
        </w:rPr>
        <w:t>ל</w:t>
      </w:r>
      <w:r w:rsidRPr="00B65627">
        <w:rPr>
          <w:rFonts w:hint="cs"/>
          <w:rtl/>
        </w:rPr>
        <w:t xml:space="preserve">תי סבירה של שיקול הדעת המינהלי" (בג"ץ 680/88 </w:t>
      </w:r>
      <w:r w:rsidRPr="0053671A">
        <w:rPr>
          <w:rStyle w:val="a9"/>
          <w:rFonts w:ascii="Century" w:hAnsi="Century" w:cs="Miriam" w:hint="cs"/>
          <w:b/>
          <w:spacing w:val="0"/>
          <w:szCs w:val="24"/>
          <w:rtl/>
        </w:rPr>
        <w:t>שניצר נ' הצנזור הצבאי הראשי</w:t>
      </w:r>
      <w:r w:rsidRPr="00B65627">
        <w:rPr>
          <w:rFonts w:hint="cs"/>
          <w:rtl/>
        </w:rPr>
        <w:t xml:space="preserve">, פ"ד מב(4) 617, 639 (1989) </w:t>
      </w:r>
      <w:r w:rsidRPr="00B65627">
        <w:rPr>
          <w:rtl/>
        </w:rPr>
        <w:t>(</w:t>
      </w:r>
      <w:r w:rsidRPr="00B65627">
        <w:rPr>
          <w:rFonts w:hint="eastAsia"/>
          <w:rtl/>
        </w:rPr>
        <w:t>להלן</w:t>
      </w:r>
      <w:r w:rsidRPr="00B65627">
        <w:rPr>
          <w:rtl/>
        </w:rPr>
        <w:t xml:space="preserve">: </w:t>
      </w:r>
      <w:r>
        <w:rPr>
          <w:rStyle w:val="a9"/>
          <w:rFonts w:ascii="Century" w:hAnsi="Century" w:cs="Miriam" w:hint="cs"/>
          <w:b/>
          <w:spacing w:val="0"/>
          <w:szCs w:val="24"/>
          <w:rtl/>
        </w:rPr>
        <w:t>עניין שניצר</w:t>
      </w:r>
      <w:r w:rsidRPr="00B65627">
        <w:rPr>
          <w:rFonts w:hint="cs"/>
          <w:rtl/>
        </w:rPr>
        <w:t xml:space="preserve">) (ההדגשות והתוספות </w:t>
      </w:r>
      <w:r w:rsidRPr="00B65627">
        <w:rPr>
          <w:rtl/>
        </w:rPr>
        <w:t>–</w:t>
      </w:r>
      <w:r w:rsidRPr="00B65627">
        <w:rPr>
          <w:rFonts w:hint="cs"/>
          <w:rtl/>
        </w:rPr>
        <w:t xml:space="preserve"> ח' כ')).</w:t>
      </w:r>
    </w:p>
    <w:p w:rsidR="00D61E12" w:rsidRPr="00614D98" w:rsidRDefault="00D61E12" w:rsidP="00D61E12">
      <w:pPr>
        <w:pStyle w:val="Ruller4"/>
        <w:spacing w:before="240" w:after="240"/>
        <w:rPr>
          <w:rStyle w:val="a9"/>
          <w:rFonts w:ascii="Century" w:hAnsi="Century"/>
          <w:sz w:val="22"/>
          <w:rtl/>
        </w:rPr>
      </w:pPr>
      <w:r w:rsidRPr="00B65627">
        <w:rPr>
          <w:rFonts w:ascii="Century" w:hAnsi="Century" w:hint="cs"/>
          <w:sz w:val="22"/>
          <w:rtl/>
        </w:rPr>
        <w:t>בהמשך</w:t>
      </w:r>
      <w:r w:rsidRPr="00B65627">
        <w:rPr>
          <w:rFonts w:hint="cs"/>
          <w:rtl/>
        </w:rPr>
        <w:t xml:space="preserve"> הדברים, החלה עילת הסבירות לקבל גם</w:t>
      </w:r>
      <w:r>
        <w:rPr>
          <w:rStyle w:val="a9"/>
          <w:rFonts w:ascii="Century" w:hAnsi="Century" w:hint="cs"/>
          <w:sz w:val="22"/>
          <w:rtl/>
        </w:rPr>
        <w:t xml:space="preserve"> </w:t>
      </w:r>
      <w:r w:rsidRPr="00643D0D">
        <w:rPr>
          <w:rStyle w:val="a9"/>
          <w:rFonts w:ascii="Century" w:hAnsi="Century" w:cs="Miriam" w:hint="cs"/>
          <w:b/>
          <w:spacing w:val="0"/>
          <w:sz w:val="22"/>
          <w:szCs w:val="24"/>
          <w:rtl/>
        </w:rPr>
        <w:t xml:space="preserve">ממד </w:t>
      </w:r>
      <w:r w:rsidRPr="00B65627">
        <w:rPr>
          <w:rFonts w:hint="cs"/>
          <w:rtl/>
        </w:rPr>
        <w:t>ערכי (ראו למשל: בג"ץ 953/87</w:t>
      </w:r>
      <w:r>
        <w:rPr>
          <w:rStyle w:val="a9"/>
          <w:rFonts w:ascii="Century" w:hAnsi="Century" w:hint="cs"/>
          <w:sz w:val="22"/>
          <w:rtl/>
        </w:rPr>
        <w:t xml:space="preserve"> </w:t>
      </w:r>
      <w:r>
        <w:rPr>
          <w:rStyle w:val="a9"/>
          <w:rFonts w:ascii="Century" w:hAnsi="Century" w:cs="Miriam" w:hint="cs"/>
          <w:b/>
          <w:spacing w:val="0"/>
          <w:sz w:val="22"/>
          <w:szCs w:val="24"/>
          <w:rtl/>
        </w:rPr>
        <w:t>פורז נ' ראש עירית תל-אביב-יפו</w:t>
      </w:r>
      <w:r w:rsidRPr="00B65627">
        <w:rPr>
          <w:rFonts w:hint="cs"/>
          <w:rtl/>
        </w:rPr>
        <w:t>, פ"ד מב(2) 309, 338 (198</w:t>
      </w:r>
      <w:r>
        <w:rPr>
          <w:rFonts w:hint="cs"/>
          <w:rtl/>
        </w:rPr>
        <w:t>8</w:t>
      </w:r>
      <w:r w:rsidRPr="00B65627">
        <w:rPr>
          <w:rFonts w:hint="cs"/>
          <w:rtl/>
        </w:rPr>
        <w:t>))</w:t>
      </w:r>
      <w:r>
        <w:rPr>
          <w:rFonts w:hint="cs"/>
          <w:rtl/>
        </w:rPr>
        <w:t>,</w:t>
      </w:r>
      <w:r w:rsidRPr="00B65627">
        <w:rPr>
          <w:rFonts w:hint="cs"/>
          <w:rtl/>
        </w:rPr>
        <w:t xml:space="preserve"> ונשמעה מעת לעת העמדה כי מדובר בעילה המרכזית ביותר במשפט המינהלי (</w:t>
      </w:r>
      <w:r w:rsidRPr="00614D98">
        <w:rPr>
          <w:rStyle w:val="a9"/>
          <w:rFonts w:ascii="Century" w:hAnsi="Century" w:cs="Miriam" w:hint="cs"/>
          <w:b/>
          <w:spacing w:val="0"/>
          <w:sz w:val="22"/>
          <w:szCs w:val="24"/>
          <w:rtl/>
        </w:rPr>
        <w:t xml:space="preserve">דותן </w:t>
      </w:r>
      <w:r w:rsidRPr="00614D98">
        <w:rPr>
          <w:rStyle w:val="a9"/>
          <w:rFonts w:ascii="Century" w:hAnsi="Century" w:cs="Miriam"/>
          <w:b/>
          <w:spacing w:val="0"/>
          <w:sz w:val="22"/>
          <w:szCs w:val="24"/>
          <w:rtl/>
        </w:rPr>
        <w:t>–</w:t>
      </w:r>
      <w:r w:rsidRPr="00614D98">
        <w:rPr>
          <w:rStyle w:val="a9"/>
          <w:rFonts w:ascii="Century" w:hAnsi="Century" w:cs="Miriam" w:hint="cs"/>
          <w:b/>
          <w:spacing w:val="0"/>
          <w:sz w:val="22"/>
          <w:szCs w:val="24"/>
          <w:rtl/>
        </w:rPr>
        <w:t xml:space="preserve"> שני מושגים של ריסון וסבירות</w:t>
      </w:r>
      <w:r w:rsidRPr="00B65627">
        <w:rPr>
          <w:rFonts w:hint="cs"/>
          <w:rtl/>
        </w:rPr>
        <w:t>, בעמוד 687)</w:t>
      </w:r>
      <w:r>
        <w:rPr>
          <w:rFonts w:hint="cs"/>
          <w:rtl/>
        </w:rPr>
        <w:t>. זאת</w:t>
      </w:r>
      <w:r w:rsidRPr="00B65627">
        <w:rPr>
          <w:rFonts w:hint="cs"/>
          <w:rtl/>
        </w:rPr>
        <w:t>, תוך שחיקת הדוקטרינה של</w:t>
      </w:r>
      <w:r w:rsidRPr="00614D98">
        <w:rPr>
          <w:rStyle w:val="a9"/>
          <w:rFonts w:ascii="Century" w:hAnsi="Century" w:hint="cs"/>
          <w:sz w:val="22"/>
          <w:rtl/>
        </w:rPr>
        <w:t xml:space="preserve"> </w:t>
      </w:r>
      <w:r w:rsidRPr="00B65627">
        <w:t>Ultra Vires</w:t>
      </w:r>
      <w:r w:rsidRPr="00B65627">
        <w:rPr>
          <w:rFonts w:hint="cs"/>
          <w:rtl/>
        </w:rPr>
        <w:t xml:space="preserve">, אשר שלטה בכיפה בשנותיו הראשונות של המשפט הישראלי (ראו למשל: </w:t>
      </w:r>
      <w:r>
        <w:rPr>
          <w:rFonts w:hint="cs"/>
          <w:rtl/>
        </w:rPr>
        <w:t>עניין</w:t>
      </w:r>
      <w:r w:rsidRPr="00B65627">
        <w:rPr>
          <w:rFonts w:hint="cs"/>
          <w:rtl/>
        </w:rPr>
        <w:t xml:space="preserve"> </w:t>
      </w:r>
      <w:r w:rsidRPr="00614D98">
        <w:rPr>
          <w:rStyle w:val="a9"/>
          <w:rFonts w:ascii="Century" w:hAnsi="Century" w:cs="Miriam" w:hint="cs"/>
          <w:b/>
          <w:spacing w:val="0"/>
          <w:sz w:val="22"/>
          <w:szCs w:val="24"/>
          <w:rtl/>
        </w:rPr>
        <w:t>בז'רנו</w:t>
      </w:r>
      <w:r>
        <w:rPr>
          <w:rStyle w:val="a9"/>
          <w:rFonts w:ascii="Century" w:hAnsi="Century" w:hint="cs"/>
          <w:sz w:val="22"/>
          <w:szCs w:val="28"/>
          <w:rtl/>
        </w:rPr>
        <w:t>;</w:t>
      </w:r>
      <w:r w:rsidRPr="00614D98">
        <w:rPr>
          <w:rStyle w:val="a9"/>
          <w:rFonts w:ascii="Century" w:hAnsi="Century" w:cs="Miriam" w:hint="cs"/>
          <w:b/>
          <w:spacing w:val="0"/>
          <w:sz w:val="22"/>
          <w:szCs w:val="24"/>
          <w:rtl/>
        </w:rPr>
        <w:t xml:space="preserve"> </w:t>
      </w:r>
      <w:r w:rsidRPr="008355B3">
        <w:rPr>
          <w:rStyle w:val="a9"/>
          <w:rFonts w:ascii="Century" w:hAnsi="Century" w:hint="cs"/>
          <w:sz w:val="22"/>
          <w:szCs w:val="28"/>
          <w:rtl/>
        </w:rPr>
        <w:t>עניין</w:t>
      </w:r>
      <w:r w:rsidRPr="008355B3">
        <w:rPr>
          <w:rStyle w:val="a9"/>
          <w:rFonts w:ascii="Century" w:hAnsi="Century" w:hint="cs"/>
          <w:sz w:val="22"/>
          <w:rtl/>
        </w:rPr>
        <w:t xml:space="preserve"> </w:t>
      </w:r>
      <w:r w:rsidRPr="00614D98">
        <w:rPr>
          <w:rStyle w:val="a9"/>
          <w:rFonts w:ascii="Century" w:hAnsi="Century" w:cs="Miriam" w:hint="cs"/>
          <w:b/>
          <w:spacing w:val="0"/>
          <w:sz w:val="22"/>
          <w:szCs w:val="24"/>
          <w:rtl/>
        </w:rPr>
        <w:t>שייב</w:t>
      </w:r>
      <w:r w:rsidRPr="00B65627">
        <w:rPr>
          <w:rFonts w:hint="cs"/>
          <w:rtl/>
        </w:rPr>
        <w:t>; בג"ץ 36/51</w:t>
      </w:r>
      <w:r w:rsidRPr="00614D98">
        <w:rPr>
          <w:rStyle w:val="a9"/>
          <w:rFonts w:ascii="Century" w:hAnsi="Century" w:hint="cs"/>
          <w:sz w:val="22"/>
          <w:rtl/>
        </w:rPr>
        <w:t xml:space="preserve"> </w:t>
      </w:r>
      <w:r w:rsidRPr="00614D98">
        <w:rPr>
          <w:rStyle w:val="a9"/>
          <w:rFonts w:ascii="Century" w:hAnsi="Century" w:cs="Miriam" w:hint="cs"/>
          <w:b/>
          <w:spacing w:val="0"/>
          <w:sz w:val="22"/>
          <w:szCs w:val="24"/>
          <w:rtl/>
        </w:rPr>
        <w:t>חת נ' מועצת עירית חיפה</w:t>
      </w:r>
      <w:r w:rsidRPr="00B65627">
        <w:rPr>
          <w:rFonts w:hint="cs"/>
          <w:rtl/>
        </w:rPr>
        <w:t>, פ"ד ה 1553 (1951)).</w:t>
      </w:r>
    </w:p>
    <w:p w:rsidR="00D61E12" w:rsidRPr="0055340C" w:rsidRDefault="00D61E12" w:rsidP="00D61E12">
      <w:pPr>
        <w:pStyle w:val="Ruller4"/>
        <w:spacing w:before="240" w:after="240"/>
        <w:rPr>
          <w:rStyle w:val="a9"/>
          <w:rFonts w:ascii="Century" w:hAnsi="Century"/>
          <w:sz w:val="22"/>
          <w:rtl/>
        </w:rPr>
      </w:pPr>
      <w:r w:rsidRPr="00B65627">
        <w:rPr>
          <w:rFonts w:hint="cs"/>
          <w:rtl/>
        </w:rPr>
        <w:t>לאורך השנים נעשה שימוש בעילת הסבירות לצורך הפעלת ביקורת שיפוטית על סמכויות שונות ומגוונות של המינהל הציבורי.</w:t>
      </w:r>
      <w:r>
        <w:rPr>
          <w:rStyle w:val="a9"/>
          <w:rFonts w:ascii="Century" w:hAnsi="Century" w:hint="cs"/>
          <w:sz w:val="22"/>
          <w:rtl/>
        </w:rPr>
        <w:t xml:space="preserve"> </w:t>
      </w:r>
      <w:r>
        <w:rPr>
          <w:rFonts w:hint="cs"/>
          <w:rtl/>
        </w:rPr>
        <w:t xml:space="preserve">התפתחות זו הובילה להרחבת הביקורת השיפוטית בתחומים רבים, ובכללם </w:t>
      </w:r>
      <w:r>
        <w:rPr>
          <w:rtl/>
        </w:rPr>
        <w:t>–</w:t>
      </w:r>
      <w:r>
        <w:rPr>
          <w:rFonts w:hint="cs"/>
          <w:rtl/>
        </w:rPr>
        <w:t xml:space="preserve"> הסכמים פוליטיים (ראו למשל: בג"ץ 1635/90 </w:t>
      </w:r>
      <w:r w:rsidRPr="00614D98">
        <w:rPr>
          <w:rFonts w:ascii="Century" w:hAnsi="Century" w:cs="Miriam" w:hint="cs"/>
          <w:b/>
          <w:spacing w:val="0"/>
          <w:szCs w:val="24"/>
          <w:rtl/>
        </w:rPr>
        <w:t>ז'רז'בסקי נ' ראש הממשלה</w:t>
      </w:r>
      <w:r w:rsidRPr="00614D98">
        <w:rPr>
          <w:rFonts w:ascii="Century" w:hAnsi="Century" w:hint="cs"/>
          <w:rtl/>
        </w:rPr>
        <w:t>, פ"ד מה(1) 749 (1991)</w:t>
      </w:r>
      <w:r>
        <w:rPr>
          <w:rFonts w:hint="cs"/>
          <w:rtl/>
        </w:rPr>
        <w:t>), פיטורים ומינויים של נושאי תפקידים בשירות הציבורי (ראו למשל</w:t>
      </w:r>
      <w:r w:rsidRPr="00017064">
        <w:rPr>
          <w:rFonts w:hint="cs"/>
          <w:rtl/>
        </w:rPr>
        <w:t xml:space="preserve">: עניין </w:t>
      </w:r>
      <w:r w:rsidRPr="00017064">
        <w:rPr>
          <w:rFonts w:ascii="Century" w:hAnsi="Century" w:cs="Miriam" w:hint="cs"/>
          <w:b/>
          <w:spacing w:val="0"/>
          <w:sz w:val="22"/>
          <w:szCs w:val="24"/>
          <w:rtl/>
        </w:rPr>
        <w:t>אייזנברג</w:t>
      </w:r>
      <w:r w:rsidRPr="00017064">
        <w:rPr>
          <w:rFonts w:hint="cs"/>
          <w:rtl/>
        </w:rPr>
        <w:t xml:space="preserve">; בג"ץ 2592/20 </w:t>
      </w:r>
      <w:r w:rsidRPr="00017064">
        <w:rPr>
          <w:rFonts w:ascii="Century" w:hAnsi="Century" w:cs="Miriam" w:hint="cs"/>
          <w:b/>
          <w:spacing w:val="0"/>
          <w:sz w:val="22"/>
          <w:szCs w:val="24"/>
          <w:rtl/>
        </w:rPr>
        <w:t>התנועה למען איכות השלטון בישראל נ' היועץ המשפטי לממשלה</w:t>
      </w:r>
      <w:r w:rsidRPr="00017064">
        <w:rPr>
          <w:rFonts w:hint="cs"/>
          <w:rtl/>
        </w:rPr>
        <w:t>, פסקה 9 (06.05.2020)),</w:t>
      </w:r>
      <w:r>
        <w:rPr>
          <w:rFonts w:hint="cs"/>
          <w:rtl/>
        </w:rPr>
        <w:t xml:space="preserve"> החלטות שמקבלת ממשלה יוצאת או ממשלת מעבר (ראו למשל: </w:t>
      </w:r>
      <w:r w:rsidRPr="00EA0D62">
        <w:rPr>
          <w:rFonts w:hint="cs"/>
          <w:rtl/>
        </w:rPr>
        <w:t xml:space="preserve">בג"ץ 5167/00 </w:t>
      </w:r>
      <w:r w:rsidRPr="00614D98">
        <w:rPr>
          <w:rFonts w:ascii="Century" w:hAnsi="Century" w:cs="Miriam" w:hint="cs"/>
          <w:b/>
          <w:spacing w:val="0"/>
          <w:sz w:val="22"/>
          <w:szCs w:val="24"/>
          <w:rtl/>
        </w:rPr>
        <w:t>וייס נ' ראש הממשלה של מדינת ישראל</w:t>
      </w:r>
      <w:r w:rsidRPr="00EA0D62">
        <w:rPr>
          <w:rFonts w:hint="cs"/>
          <w:rtl/>
        </w:rPr>
        <w:t>, פ"ד נה(2) 455 (2001)</w:t>
      </w:r>
      <w:r>
        <w:rPr>
          <w:rFonts w:hint="cs"/>
          <w:rtl/>
        </w:rPr>
        <w:t xml:space="preserve">; </w:t>
      </w:r>
      <w:r w:rsidRPr="00614D98">
        <w:rPr>
          <w:rFonts w:ascii="Century" w:hAnsi="Century" w:hint="cs"/>
          <w:rtl/>
        </w:rPr>
        <w:t xml:space="preserve">רבקה ווייל "תקופת בין השמשות: על סמכויותיה של ממשלת-מעבר" </w:t>
      </w:r>
      <w:r w:rsidRPr="00614D98">
        <w:rPr>
          <w:rFonts w:ascii="Century" w:hAnsi="Century" w:cs="Miriam" w:hint="cs"/>
          <w:b/>
          <w:spacing w:val="0"/>
          <w:szCs w:val="24"/>
          <w:rtl/>
        </w:rPr>
        <w:t>משפט וממשל</w:t>
      </w:r>
      <w:r w:rsidRPr="00614D98">
        <w:rPr>
          <w:rFonts w:ascii="Century" w:hAnsi="Century" w:hint="cs"/>
          <w:rtl/>
        </w:rPr>
        <w:t xml:space="preserve"> יג 167</w:t>
      </w:r>
      <w:r>
        <w:rPr>
          <w:rFonts w:ascii="Century" w:hAnsi="Century" w:hint="cs"/>
          <w:rtl/>
        </w:rPr>
        <w:t xml:space="preserve"> </w:t>
      </w:r>
      <w:r w:rsidRPr="00614D98">
        <w:rPr>
          <w:rFonts w:ascii="Century" w:hAnsi="Century" w:hint="cs"/>
          <w:rtl/>
        </w:rPr>
        <w:t>(2010)</w:t>
      </w:r>
      <w:r>
        <w:rPr>
          <w:rFonts w:hint="cs"/>
          <w:rtl/>
        </w:rPr>
        <w:t xml:space="preserve">) ועוד. תחום נוסף בו </w:t>
      </w:r>
      <w:r>
        <w:rPr>
          <w:rFonts w:ascii="Century" w:hAnsi="Century" w:hint="cs"/>
          <w:sz w:val="22"/>
          <w:rtl/>
        </w:rPr>
        <w:t xml:space="preserve">חלה התפתחות משמעותית הוא בהתערבותו של בית המשפט הגבוה </w:t>
      </w:r>
      <w:r>
        <w:rPr>
          <w:rFonts w:hint="cs"/>
          <w:rtl/>
        </w:rPr>
        <w:t xml:space="preserve">לצדק בשיקול הדעת של היועץ המשפטי לממשלה בנושאי חקירה והעמדה לדין, כמו גם בהחלטותיהם של גופי תביעה וחקירה אחרים, </w:t>
      </w:r>
      <w:r>
        <w:rPr>
          <w:rFonts w:ascii="Century" w:hAnsi="Century" w:hint="cs"/>
          <w:sz w:val="22"/>
          <w:rtl/>
        </w:rPr>
        <w:t>לסקירה רחבה ראו</w:t>
      </w:r>
      <w:r w:rsidRPr="0055340C">
        <w:rPr>
          <w:rFonts w:ascii="Century" w:hAnsi="Century" w:hint="cs"/>
          <w:sz w:val="22"/>
          <w:rtl/>
        </w:rPr>
        <w:t xml:space="preserve">: בג"ץ 3823/22 </w:t>
      </w:r>
      <w:r w:rsidRPr="0055340C">
        <w:rPr>
          <w:rFonts w:ascii="Century" w:hAnsi="Century" w:cs="Miriam" w:hint="cs"/>
          <w:b/>
          <w:spacing w:val="0"/>
          <w:sz w:val="22"/>
          <w:szCs w:val="24"/>
          <w:rtl/>
        </w:rPr>
        <w:t>נתניהו נ' היועצת המשפטית לממשלה</w:t>
      </w:r>
      <w:r w:rsidRPr="0055340C">
        <w:rPr>
          <w:rFonts w:ascii="Century" w:hAnsi="Century" w:hint="cs"/>
          <w:sz w:val="22"/>
          <w:rtl/>
        </w:rPr>
        <w:t>, פסקאות 39-34 לחוות-דעתי (17.07.2023) (</w:t>
      </w:r>
      <w:r>
        <w:rPr>
          <w:rFonts w:ascii="Century" w:hAnsi="Century" w:hint="cs"/>
          <w:sz w:val="22"/>
          <w:rtl/>
        </w:rPr>
        <w:t xml:space="preserve">להלן: </w:t>
      </w:r>
      <w:r w:rsidRPr="003D0DC5">
        <w:rPr>
          <w:rFonts w:ascii="Century" w:hAnsi="Century" w:cs="Miriam" w:hint="cs"/>
          <w:b/>
          <w:spacing w:val="0"/>
          <w:sz w:val="22"/>
          <w:szCs w:val="24"/>
          <w:rtl/>
        </w:rPr>
        <w:t>עניין נתניהו</w:t>
      </w:r>
      <w:r>
        <w:rPr>
          <w:rFonts w:ascii="Century" w:hAnsi="Century" w:hint="cs"/>
          <w:sz w:val="22"/>
          <w:rtl/>
        </w:rPr>
        <w:t xml:space="preserve">; </w:t>
      </w:r>
      <w:r w:rsidRPr="0055340C">
        <w:rPr>
          <w:rFonts w:ascii="Century" w:hAnsi="Century" w:hint="cs"/>
          <w:sz w:val="22"/>
          <w:rtl/>
        </w:rPr>
        <w:t xml:space="preserve">כן ראו: </w:t>
      </w:r>
      <w:r w:rsidRPr="0055340C">
        <w:rPr>
          <w:rFonts w:ascii="Century" w:hAnsi="Century" w:cs="Miriam" w:hint="cs"/>
          <w:b/>
          <w:spacing w:val="0"/>
          <w:sz w:val="22"/>
          <w:szCs w:val="24"/>
          <w:rtl/>
        </w:rPr>
        <w:t>דותן</w:t>
      </w:r>
      <w:r w:rsidRPr="0055340C">
        <w:rPr>
          <w:rFonts w:ascii="Century" w:hAnsi="Century" w:hint="cs"/>
          <w:sz w:val="22"/>
          <w:rtl/>
        </w:rPr>
        <w:t xml:space="preserve">, בעמוד 206; </w:t>
      </w:r>
      <w:r w:rsidRPr="0055340C">
        <w:rPr>
          <w:rFonts w:ascii="Century" w:hAnsi="Century" w:cs="Miriam" w:hint="cs"/>
          <w:b/>
          <w:spacing w:val="0"/>
          <w:sz w:val="22"/>
          <w:szCs w:val="24"/>
          <w:rtl/>
        </w:rPr>
        <w:t>ברק-ארז</w:t>
      </w:r>
      <w:r>
        <w:rPr>
          <w:rFonts w:ascii="Century" w:hAnsi="Century" w:hint="cs"/>
          <w:sz w:val="22"/>
          <w:rtl/>
        </w:rPr>
        <w:t>, בעמודים 757-750).</w:t>
      </w:r>
    </w:p>
    <w:p w:rsidR="00D61E12" w:rsidRPr="00DF5AEE" w:rsidRDefault="00D61E12" w:rsidP="00D61E12">
      <w:pPr>
        <w:pStyle w:val="Ruller4"/>
        <w:spacing w:before="240" w:after="240"/>
        <w:rPr>
          <w:rFonts w:ascii="Century" w:hAnsi="Century"/>
          <w:sz w:val="22"/>
        </w:rPr>
      </w:pPr>
      <w:r w:rsidRPr="00B65627">
        <w:rPr>
          <w:rFonts w:ascii="Century" w:hAnsi="Century" w:hint="cs"/>
          <w:sz w:val="22"/>
          <w:rtl/>
        </w:rPr>
        <w:t>לצד</w:t>
      </w:r>
      <w:r w:rsidRPr="00B65627">
        <w:rPr>
          <w:rFonts w:hint="cs"/>
          <w:rtl/>
        </w:rPr>
        <w:t xml:space="preserve"> מגמה זו, בית משפט זה החל להרחיב </w:t>
      </w:r>
      <w:r>
        <w:rPr>
          <w:rFonts w:hint="cs"/>
          <w:rtl/>
        </w:rPr>
        <w:t>את יריעת הביקורת השיפוטית באמצעות</w:t>
      </w:r>
      <w:r w:rsidRPr="00B65627">
        <w:rPr>
          <w:rFonts w:hint="cs"/>
          <w:rtl/>
        </w:rPr>
        <w:t xml:space="preserve"> עילת הסבירות, </w:t>
      </w:r>
      <w:r>
        <w:rPr>
          <w:rFonts w:hint="cs"/>
          <w:rtl/>
        </w:rPr>
        <w:t>ביחס</w:t>
      </w:r>
      <w:r>
        <w:rPr>
          <w:rStyle w:val="a9"/>
          <w:rFonts w:ascii="Century" w:hAnsi="Century" w:hint="cs"/>
          <w:sz w:val="22"/>
          <w:rtl/>
        </w:rPr>
        <w:t xml:space="preserve"> </w:t>
      </w:r>
      <w:r>
        <w:rPr>
          <w:rStyle w:val="a9"/>
          <w:rFonts w:ascii="Century" w:hAnsi="Century" w:cs="Miriam" w:hint="cs"/>
          <w:b/>
          <w:spacing w:val="0"/>
          <w:sz w:val="22"/>
          <w:szCs w:val="24"/>
          <w:rtl/>
        </w:rPr>
        <w:t xml:space="preserve">לשיקולים </w:t>
      </w:r>
      <w:r w:rsidRPr="00B65627">
        <w:rPr>
          <w:rFonts w:hint="cs"/>
          <w:rtl/>
        </w:rPr>
        <w:t xml:space="preserve">בתחומים שונים, כמו למשל </w:t>
      </w:r>
      <w:r w:rsidRPr="00B65627">
        <w:rPr>
          <w:rtl/>
        </w:rPr>
        <w:t>–</w:t>
      </w:r>
      <w:r w:rsidRPr="00B65627">
        <w:rPr>
          <w:rFonts w:hint="cs"/>
          <w:rtl/>
        </w:rPr>
        <w:t xml:space="preserve"> בתחום הביטחון (ראו למשל: עניין </w:t>
      </w:r>
      <w:r w:rsidRPr="00DF5AEE">
        <w:rPr>
          <w:rStyle w:val="a9"/>
          <w:rFonts w:ascii="Century" w:hAnsi="Century" w:cs="Miriam" w:hint="cs"/>
          <w:b/>
          <w:spacing w:val="0"/>
          <w:sz w:val="22"/>
          <w:szCs w:val="24"/>
          <w:rtl/>
        </w:rPr>
        <w:t>שניצר</w:t>
      </w:r>
      <w:r w:rsidRPr="00B65627">
        <w:rPr>
          <w:rFonts w:hint="cs"/>
          <w:rtl/>
        </w:rPr>
        <w:t>, בעמודים 640-639), בתחום התקציבי</w:t>
      </w:r>
      <w:r>
        <w:rPr>
          <w:rFonts w:hint="cs"/>
          <w:rtl/>
        </w:rPr>
        <w:t xml:space="preserve"> (ראו</w:t>
      </w:r>
      <w:r w:rsidRPr="00B65627">
        <w:rPr>
          <w:rFonts w:hint="cs"/>
          <w:rtl/>
        </w:rPr>
        <w:t xml:space="preserve"> למשל: </w:t>
      </w:r>
      <w:r w:rsidRPr="00B65627">
        <w:rPr>
          <w:rFonts w:hint="cs"/>
          <w:rtl/>
        </w:rPr>
        <w:lastRenderedPageBreak/>
        <w:t>בג"ץ 8397/06</w:t>
      </w:r>
      <w:r w:rsidRPr="00DF5AEE">
        <w:rPr>
          <w:rStyle w:val="a9"/>
          <w:rFonts w:ascii="Century" w:hAnsi="Century" w:hint="cs"/>
          <w:sz w:val="22"/>
          <w:rtl/>
        </w:rPr>
        <w:t xml:space="preserve"> </w:t>
      </w:r>
      <w:r w:rsidRPr="00DF5AEE">
        <w:rPr>
          <w:rStyle w:val="a9"/>
          <w:rFonts w:ascii="Century" w:hAnsi="Century" w:cs="Miriam" w:hint="cs"/>
          <w:b/>
          <w:spacing w:val="0"/>
          <w:sz w:val="22"/>
          <w:szCs w:val="24"/>
          <w:rtl/>
        </w:rPr>
        <w:t>ווסר נ' שר הביטחון</w:t>
      </w:r>
      <w:r w:rsidRPr="00B65627">
        <w:rPr>
          <w:rFonts w:hint="cs"/>
          <w:rtl/>
        </w:rPr>
        <w:t xml:space="preserve">, פ"ד סב(2) 198 (2007)), </w:t>
      </w:r>
      <w:r>
        <w:rPr>
          <w:rFonts w:hint="cs"/>
          <w:rtl/>
        </w:rPr>
        <w:t>ו</w:t>
      </w:r>
      <w:r w:rsidRPr="00B65627">
        <w:rPr>
          <w:rFonts w:hint="cs"/>
          <w:rtl/>
        </w:rPr>
        <w:t>בתחום התכנוני (ראו למשל: בג"ץ 1027/04</w:t>
      </w:r>
      <w:r w:rsidRPr="00DF5AEE">
        <w:rPr>
          <w:rStyle w:val="a9"/>
          <w:rFonts w:ascii="Century" w:hAnsi="Century" w:hint="cs"/>
          <w:sz w:val="22"/>
          <w:rtl/>
        </w:rPr>
        <w:t xml:space="preserve"> </w:t>
      </w:r>
      <w:r w:rsidRPr="00DF5AEE">
        <w:rPr>
          <w:rStyle w:val="a9"/>
          <w:rFonts w:ascii="Century" w:hAnsi="Century" w:cs="Miriam" w:hint="cs"/>
          <w:b/>
          <w:spacing w:val="0"/>
          <w:sz w:val="22"/>
          <w:szCs w:val="24"/>
          <w:rtl/>
        </w:rPr>
        <w:t>פורום הערים העצמאיות נ' מועצת מקרקעי ישראל</w:t>
      </w:r>
      <w:r w:rsidRPr="00B65627">
        <w:rPr>
          <w:rFonts w:hint="cs"/>
          <w:rtl/>
        </w:rPr>
        <w:t>, פסקה 43 לחוות-דעתה של השופטת ע' ארבל</w:t>
      </w:r>
      <w:r w:rsidRPr="00B65627">
        <w:rPr>
          <w:rFonts w:ascii="Century" w:hAnsi="Century" w:hint="cs"/>
          <w:sz w:val="22"/>
          <w:rtl/>
        </w:rPr>
        <w:t xml:space="preserve"> (09.06.2011)) ועוד</w:t>
      </w:r>
      <w:r>
        <w:rPr>
          <w:rFonts w:ascii="Century" w:hAnsi="Century" w:hint="cs"/>
          <w:sz w:val="22"/>
          <w:rtl/>
        </w:rPr>
        <w:t>.</w:t>
      </w:r>
    </w:p>
    <w:p w:rsidR="00D61E12" w:rsidRPr="00017064" w:rsidRDefault="00D61E12" w:rsidP="00D61E12">
      <w:pPr>
        <w:pStyle w:val="Ruller4"/>
        <w:spacing w:before="240" w:after="240"/>
        <w:rPr>
          <w:rtl/>
        </w:rPr>
      </w:pPr>
      <w:r>
        <w:rPr>
          <w:rtl/>
        </w:rPr>
        <w:tab/>
      </w:r>
      <w:r w:rsidRPr="00F27F08">
        <w:rPr>
          <w:rFonts w:hint="cs"/>
          <w:rtl/>
        </w:rPr>
        <w:t xml:space="preserve">במישור </w:t>
      </w:r>
      <w:r w:rsidRPr="00F27F08">
        <w:rPr>
          <w:rFonts w:cs="Miriam" w:hint="cs"/>
          <w:b/>
          <w:spacing w:val="0"/>
          <w:szCs w:val="24"/>
          <w:rtl/>
        </w:rPr>
        <w:t>התחולה</w:t>
      </w:r>
      <w:r w:rsidRPr="00F27F08">
        <w:rPr>
          <w:rFonts w:hint="cs"/>
          <w:rtl/>
        </w:rPr>
        <w:t xml:space="preserve"> </w:t>
      </w:r>
      <w:r w:rsidRPr="00F27F08">
        <w:rPr>
          <w:rtl/>
        </w:rPr>
        <w:t>–</w:t>
      </w:r>
      <w:r w:rsidRPr="00F27F08">
        <w:rPr>
          <w:rFonts w:hint="cs"/>
          <w:rtl/>
        </w:rPr>
        <w:t xml:space="preserve"> עילת הסבירות </w:t>
      </w:r>
      <w:r>
        <w:rPr>
          <w:rFonts w:hint="cs"/>
          <w:rtl/>
        </w:rPr>
        <w:t xml:space="preserve">חלה על כל </w:t>
      </w:r>
      <w:r w:rsidRPr="00F27F08">
        <w:rPr>
          <w:rFonts w:cs="Miriam" w:hint="cs"/>
          <w:b/>
          <w:spacing w:val="0"/>
          <w:szCs w:val="24"/>
          <w:rtl/>
        </w:rPr>
        <w:t>סמכות</w:t>
      </w:r>
      <w:r w:rsidRPr="00F27F08">
        <w:rPr>
          <w:rFonts w:hint="cs"/>
          <w:rtl/>
        </w:rPr>
        <w:t xml:space="preserve">, הנתונה בידי כל </w:t>
      </w:r>
      <w:r w:rsidRPr="00F27F08">
        <w:rPr>
          <w:rFonts w:cs="Miriam" w:hint="cs"/>
          <w:b/>
          <w:spacing w:val="0"/>
          <w:szCs w:val="24"/>
          <w:rtl/>
        </w:rPr>
        <w:t>רשות</w:t>
      </w:r>
      <w:r w:rsidRPr="00F27F08">
        <w:rPr>
          <w:rFonts w:hint="cs"/>
          <w:rtl/>
        </w:rPr>
        <w:t xml:space="preserve"> וניתן להשתמש </w:t>
      </w:r>
      <w:r>
        <w:rPr>
          <w:rFonts w:hint="cs"/>
          <w:rtl/>
        </w:rPr>
        <w:t xml:space="preserve">בה </w:t>
      </w:r>
      <w:r w:rsidRPr="00F27F08">
        <w:rPr>
          <w:rFonts w:hint="cs"/>
          <w:rtl/>
        </w:rPr>
        <w:t xml:space="preserve">בכל </w:t>
      </w:r>
      <w:r w:rsidRPr="00F27F08">
        <w:rPr>
          <w:rFonts w:cs="Miriam" w:hint="cs"/>
          <w:b/>
          <w:spacing w:val="0"/>
          <w:szCs w:val="24"/>
          <w:rtl/>
        </w:rPr>
        <w:t>ערכאה</w:t>
      </w:r>
      <w:r w:rsidRPr="00F27F08">
        <w:rPr>
          <w:rFonts w:hint="cs"/>
          <w:rtl/>
        </w:rPr>
        <w:t xml:space="preserve"> (</w:t>
      </w:r>
      <w:r w:rsidRPr="00F27F08">
        <w:rPr>
          <w:rFonts w:cs="Miriam" w:hint="eastAsia"/>
          <w:b/>
          <w:spacing w:val="0"/>
          <w:szCs w:val="24"/>
          <w:rtl/>
        </w:rPr>
        <w:t>זמיר</w:t>
      </w:r>
      <w:r w:rsidRPr="00F27F08">
        <w:rPr>
          <w:rFonts w:cs="Miriam" w:hint="cs"/>
          <w:b/>
          <w:spacing w:val="0"/>
          <w:szCs w:val="24"/>
          <w:rtl/>
        </w:rPr>
        <w:t xml:space="preserve"> </w:t>
      </w:r>
      <w:r w:rsidRPr="00F27F08">
        <w:rPr>
          <w:rFonts w:cs="Miriam"/>
          <w:b/>
          <w:spacing w:val="0"/>
          <w:szCs w:val="24"/>
          <w:rtl/>
        </w:rPr>
        <w:t>–</w:t>
      </w:r>
      <w:r w:rsidRPr="00F27F08">
        <w:rPr>
          <w:rFonts w:cs="Miriam" w:hint="cs"/>
          <w:b/>
          <w:spacing w:val="0"/>
          <w:szCs w:val="24"/>
          <w:rtl/>
        </w:rPr>
        <w:t xml:space="preserve"> </w:t>
      </w:r>
      <w:r w:rsidRPr="00F27F08">
        <w:rPr>
          <w:rFonts w:cs="Miriam" w:hint="eastAsia"/>
          <w:b/>
          <w:spacing w:val="0"/>
          <w:szCs w:val="24"/>
          <w:rtl/>
        </w:rPr>
        <w:t>הסמכות</w:t>
      </w:r>
      <w:r w:rsidRPr="00F27F08">
        <w:rPr>
          <w:rFonts w:cs="Miriam"/>
          <w:b/>
          <w:spacing w:val="0"/>
          <w:szCs w:val="24"/>
          <w:rtl/>
        </w:rPr>
        <w:t xml:space="preserve"> </w:t>
      </w:r>
      <w:r w:rsidRPr="00F27F08">
        <w:rPr>
          <w:rFonts w:cs="Miriam" w:hint="eastAsia"/>
          <w:b/>
          <w:spacing w:val="0"/>
          <w:szCs w:val="24"/>
          <w:rtl/>
        </w:rPr>
        <w:t>המינהלית</w:t>
      </w:r>
      <w:r w:rsidRPr="00F27F08">
        <w:rPr>
          <w:rFonts w:hint="cs"/>
          <w:rtl/>
        </w:rPr>
        <w:t xml:space="preserve">, בעמוד 3849; </w:t>
      </w:r>
      <w:r w:rsidRPr="00F27F08">
        <w:rPr>
          <w:rFonts w:cs="Miriam" w:hint="cs"/>
          <w:b/>
          <w:spacing w:val="0"/>
          <w:szCs w:val="24"/>
          <w:rtl/>
        </w:rPr>
        <w:t>ברק-ארז</w:t>
      </w:r>
      <w:r>
        <w:rPr>
          <w:rFonts w:hint="cs"/>
          <w:rtl/>
        </w:rPr>
        <w:t xml:space="preserve">, בעמוד 749). </w:t>
      </w:r>
      <w:r w:rsidRPr="00017064">
        <w:rPr>
          <w:rFonts w:ascii="Century" w:hAnsi="Century" w:hint="cs"/>
          <w:sz w:val="22"/>
          <w:rtl/>
        </w:rPr>
        <w:t xml:space="preserve">יחד עם זאת, ועל אף תחולתה הרחבה והכללית של עילת הסבירות, נפסק לא אחת כי החלתה היא </w:t>
      </w:r>
      <w:r w:rsidRPr="00017064">
        <w:rPr>
          <w:rFonts w:ascii="Century" w:hAnsi="Century" w:cs="Miriam" w:hint="cs"/>
          <w:b/>
          <w:spacing w:val="0"/>
          <w:sz w:val="22"/>
          <w:szCs w:val="24"/>
          <w:rtl/>
        </w:rPr>
        <w:t>תלוית-הקשר</w:t>
      </w:r>
      <w:r w:rsidRPr="00017064">
        <w:rPr>
          <w:rFonts w:ascii="Century" w:hAnsi="Century" w:hint="cs"/>
          <w:sz w:val="22"/>
          <w:rtl/>
        </w:rPr>
        <w:t xml:space="preserve">. יפים לעניין זה דברי השופט </w:t>
      </w:r>
      <w:r w:rsidRPr="00017064">
        <w:rPr>
          <w:rFonts w:ascii="Century" w:hAnsi="Century" w:cs="Miriam" w:hint="cs"/>
          <w:b/>
          <w:spacing w:val="0"/>
          <w:sz w:val="22"/>
          <w:szCs w:val="24"/>
          <w:rtl/>
        </w:rPr>
        <w:t>י' זמיר</w:t>
      </w:r>
      <w:r w:rsidRPr="00017064">
        <w:rPr>
          <w:rFonts w:ascii="Century" w:hAnsi="Century" w:hint="cs"/>
          <w:sz w:val="22"/>
          <w:rtl/>
        </w:rPr>
        <w:t xml:space="preserve">: </w:t>
      </w:r>
    </w:p>
    <w:p w:rsidR="00D61E12" w:rsidRPr="00423027" w:rsidRDefault="00D61E12" w:rsidP="00D61E12">
      <w:pPr>
        <w:pStyle w:val="Ruller5"/>
        <w:spacing w:before="240" w:after="240"/>
        <w:rPr>
          <w:rFonts w:ascii="Century" w:hAnsi="Century"/>
          <w:rtl/>
        </w:rPr>
      </w:pPr>
      <w:r>
        <w:rPr>
          <w:rFonts w:hint="cs"/>
          <w:rtl/>
        </w:rPr>
        <w:t>"השאלה אם החלטה מינהלית לוקה בחוסר סבירות קיצוני תלויה בגבולות של מיתחם הסבירות, הוא המיתחם שבו הרשות המינהלית רשאית להחליט לפי שיקול דעתה. מיתחם הסבירות של כל סמכות מינהלית תלוי במאפיינים של הסמכות: מה הלשון והתכלית של החוק המסמיך; מי הרשות המוסמכת; מהו העניין המוסדר על-ידי הסמכות; האם הסמכות מופעלת בעיקר על יסוד מימצאים עובדתיים, על יסוד שיקולים של מדיניות, או על יסוד מבחנים מקצועיים, כגון: מבחנים רפואיים או הנדסיים; וכיוצא באלה. בהתאם למאפיינים אלה משתנה מיתחם הסבירות: יש שהוא צר ויש שהוא רחב. בהתאם לכך משתנה גם הביקורת השיפוטית: אף שהכלל בדבר הסבירות, המשמש את הביקורת השיפוטית, הוא אותו כלל לגבי כל סמכות וסמכות, היישום של כלל זה משתנה לפי מיתחם הסבירות מסמכות לסמכות</w:t>
      </w:r>
      <w:r w:rsidRPr="003D0DC5">
        <w:rPr>
          <w:rFonts w:hint="cs"/>
          <w:rtl/>
        </w:rPr>
        <w:t xml:space="preserve">" (בג"ץ 2533/97 </w:t>
      </w:r>
      <w:r w:rsidRPr="003D0DC5">
        <w:rPr>
          <w:rFonts w:ascii="Century" w:hAnsi="Century" w:cs="Miriam" w:hint="cs"/>
          <w:b/>
          <w:spacing w:val="0"/>
          <w:szCs w:val="24"/>
          <w:rtl/>
        </w:rPr>
        <w:t>התנועה למען איכות השלטון בישראל נ' ממשלת ישראל</w:t>
      </w:r>
      <w:r w:rsidRPr="003D0DC5">
        <w:rPr>
          <w:rFonts w:ascii="Century" w:hAnsi="Century" w:hint="cs"/>
          <w:rtl/>
        </w:rPr>
        <w:t>, פ"ד נא(3) 46, 58-57 (1997); כן ראו לאחרונה</w:t>
      </w:r>
      <w:r>
        <w:rPr>
          <w:rFonts w:ascii="Century" w:hAnsi="Century" w:hint="cs"/>
          <w:rtl/>
        </w:rPr>
        <w:t xml:space="preserve">: בג"ץ 4700/21 </w:t>
      </w:r>
      <w:r>
        <w:rPr>
          <w:rFonts w:ascii="Century" w:hAnsi="Century" w:cs="Miriam" w:hint="cs"/>
          <w:b/>
          <w:spacing w:val="0"/>
          <w:szCs w:val="24"/>
          <w:rtl/>
        </w:rPr>
        <w:t>סילפן נ' מנכ"ל משרד הבריאות</w:t>
      </w:r>
      <w:r>
        <w:rPr>
          <w:rFonts w:ascii="Century" w:hAnsi="Century" w:hint="cs"/>
          <w:rtl/>
        </w:rPr>
        <w:t xml:space="preserve">, פסקה 24 לחוות-דעתי (05.12.2023)). </w:t>
      </w:r>
    </w:p>
    <w:p w:rsidR="00D61E12" w:rsidRPr="00F27F08" w:rsidRDefault="00D61E12" w:rsidP="00D61E12">
      <w:pPr>
        <w:pStyle w:val="Ruller4"/>
        <w:spacing w:before="240" w:after="240"/>
      </w:pPr>
      <w:r w:rsidRPr="00976B12">
        <w:rPr>
          <w:rFonts w:ascii="Century" w:hAnsi="Century" w:hint="cs"/>
          <w:sz w:val="22"/>
          <w:rtl/>
        </w:rPr>
        <w:t>הנה</w:t>
      </w:r>
      <w:r w:rsidRPr="00F27F08">
        <w:rPr>
          <w:rFonts w:hint="cs"/>
          <w:rtl/>
        </w:rPr>
        <w:t xml:space="preserve"> כי כן, עילת הסבירות, היא חלק מהמשפט המינהלי הישראלי עוד משנות החמישים של המאה הקודמת. ברם, עם השנים חלו תמורות משמעותיות באופייה, משמעותה ו</w:t>
      </w:r>
      <w:r>
        <w:rPr>
          <w:rFonts w:hint="cs"/>
          <w:rtl/>
        </w:rPr>
        <w:t>ב</w:t>
      </w:r>
      <w:r w:rsidRPr="00F27F08">
        <w:rPr>
          <w:rFonts w:hint="cs"/>
          <w:rtl/>
        </w:rPr>
        <w:t xml:space="preserve">אופן יישומה, כאשר לדידי, ולדעת שופטים ומלומדי משפט רבים, קו פרשת המים הוא </w:t>
      </w:r>
      <w:r>
        <w:rPr>
          <w:rFonts w:hint="cs"/>
          <w:rtl/>
        </w:rPr>
        <w:t>הלכת</w:t>
      </w:r>
      <w:r w:rsidRPr="00F27F08">
        <w:rPr>
          <w:rFonts w:hint="cs"/>
          <w:rtl/>
        </w:rPr>
        <w:t xml:space="preserve"> </w:t>
      </w:r>
      <w:r w:rsidRPr="00F27F08">
        <w:rPr>
          <w:rFonts w:cs="Miriam" w:hint="cs"/>
          <w:b/>
          <w:spacing w:val="0"/>
          <w:szCs w:val="24"/>
          <w:rtl/>
        </w:rPr>
        <w:t>דפי זהב</w:t>
      </w:r>
      <w:r w:rsidRPr="00F27F08">
        <w:rPr>
          <w:rFonts w:hint="cs"/>
          <w:rtl/>
        </w:rPr>
        <w:t xml:space="preserve">. קו פרשת מים זה מסמן את </w:t>
      </w:r>
      <w:r>
        <w:rPr>
          <w:rFonts w:hint="cs"/>
          <w:rtl/>
        </w:rPr>
        <w:t>המעבר ממבחן שעניינו</w:t>
      </w:r>
      <w:r w:rsidRPr="00F27F08">
        <w:rPr>
          <w:rFonts w:hint="cs"/>
          <w:rtl/>
        </w:rPr>
        <w:t xml:space="preserve"> ב</w:t>
      </w:r>
      <w:r w:rsidRPr="00F27F08">
        <w:rPr>
          <w:rFonts w:cs="Miriam" w:hint="cs"/>
          <w:b/>
          <w:spacing w:val="0"/>
          <w:szCs w:val="24"/>
          <w:rtl/>
        </w:rPr>
        <w:t>סמכות</w:t>
      </w:r>
      <w:r w:rsidRPr="00F27F08">
        <w:rPr>
          <w:rFonts w:hint="cs"/>
          <w:rtl/>
        </w:rPr>
        <w:t xml:space="preserve"> הרשות המינהלית, ל</w:t>
      </w:r>
      <w:r>
        <w:rPr>
          <w:rFonts w:hint="cs"/>
          <w:rtl/>
        </w:rPr>
        <w:t>מבחן שעניינו</w:t>
      </w:r>
      <w:r w:rsidRPr="00F27F08">
        <w:rPr>
          <w:rFonts w:hint="cs"/>
          <w:rtl/>
        </w:rPr>
        <w:t xml:space="preserve"> ב</w:t>
      </w:r>
      <w:r w:rsidRPr="00F27F08">
        <w:rPr>
          <w:rFonts w:cs="Miriam" w:hint="cs"/>
          <w:b/>
          <w:spacing w:val="0"/>
          <w:szCs w:val="24"/>
          <w:rtl/>
        </w:rPr>
        <w:t xml:space="preserve">שיקול הדעת </w:t>
      </w:r>
      <w:r w:rsidRPr="00F27F08">
        <w:rPr>
          <w:rFonts w:hint="cs"/>
          <w:rtl/>
        </w:rPr>
        <w:t>של הרשות המינהלית</w:t>
      </w:r>
      <w:r>
        <w:rPr>
          <w:rFonts w:hint="cs"/>
          <w:rtl/>
        </w:rPr>
        <w:t>; והוא גם מסמן את המועד שבו החלה עילת הסבירות להתפרס ו'לבלוע' את עילות הביקורת האחרות "</w:t>
      </w:r>
      <w:r w:rsidRPr="00976B12">
        <w:rPr>
          <w:rFonts w:ascii="Century" w:hAnsi="Century" w:cs="Miriam" w:hint="cs"/>
          <w:b/>
          <w:spacing w:val="0"/>
          <w:sz w:val="22"/>
          <w:szCs w:val="24"/>
          <w:rtl/>
        </w:rPr>
        <w:t>כאדם שאינו יודע שובע</w:t>
      </w:r>
      <w:r>
        <w:rPr>
          <w:rFonts w:hint="cs"/>
          <w:rtl/>
        </w:rPr>
        <w:t>" (</w:t>
      </w:r>
      <w:r w:rsidRPr="00F27F08">
        <w:rPr>
          <w:rFonts w:ascii="Century" w:hAnsi="Century"/>
          <w:sz w:val="22"/>
          <w:rtl/>
        </w:rPr>
        <w:t xml:space="preserve">דברי הנשיא </w:t>
      </w:r>
      <w:r w:rsidRPr="00F27F08">
        <w:rPr>
          <w:rFonts w:ascii="Century" w:hAnsi="Century" w:cs="Miriam"/>
          <w:b/>
          <w:spacing w:val="0"/>
          <w:sz w:val="22"/>
          <w:szCs w:val="24"/>
          <w:rtl/>
        </w:rPr>
        <w:t>א' גרוניס</w:t>
      </w:r>
      <w:r>
        <w:rPr>
          <w:rFonts w:ascii="Century" w:hAnsi="Century"/>
          <w:sz w:val="22"/>
          <w:rtl/>
        </w:rPr>
        <w:t xml:space="preserve"> </w:t>
      </w:r>
      <w:r>
        <w:rPr>
          <w:rFonts w:ascii="Century" w:hAnsi="Century" w:hint="cs"/>
          <w:sz w:val="22"/>
          <w:rtl/>
        </w:rPr>
        <w:t>ב</w:t>
      </w:r>
      <w:r w:rsidRPr="00F27F08">
        <w:rPr>
          <w:rFonts w:ascii="Century" w:hAnsi="Century"/>
          <w:sz w:val="22"/>
          <w:rtl/>
        </w:rPr>
        <w:t xml:space="preserve">בג"ץ 5853/07 </w:t>
      </w:r>
      <w:r w:rsidRPr="00F27F08">
        <w:rPr>
          <w:rFonts w:ascii="Century" w:hAnsi="Century" w:cs="Miriam"/>
          <w:b/>
          <w:spacing w:val="0"/>
          <w:sz w:val="22"/>
          <w:szCs w:val="24"/>
          <w:rtl/>
        </w:rPr>
        <w:t>אמונה – תנועת האישה הדתית לאומית נ' ראש הממשלה</w:t>
      </w:r>
      <w:r w:rsidRPr="00976B12">
        <w:rPr>
          <w:rFonts w:ascii="Century" w:hAnsi="Century"/>
          <w:sz w:val="22"/>
          <w:rtl/>
        </w:rPr>
        <w:t>, פ"ד סב(3) 445</w:t>
      </w:r>
      <w:r>
        <w:rPr>
          <w:rFonts w:ascii="Century" w:hAnsi="Century" w:hint="cs"/>
          <w:sz w:val="22"/>
          <w:rtl/>
        </w:rPr>
        <w:t>, 522</w:t>
      </w:r>
      <w:r w:rsidRPr="00F27F08">
        <w:rPr>
          <w:rFonts w:ascii="Century" w:hAnsi="Century"/>
          <w:sz w:val="22"/>
          <w:rtl/>
        </w:rPr>
        <w:t xml:space="preserve"> (2007)</w:t>
      </w:r>
      <w:r>
        <w:rPr>
          <w:rFonts w:hint="cs"/>
          <w:rtl/>
        </w:rPr>
        <w:t xml:space="preserve"> (להלן: </w:t>
      </w:r>
      <w:r w:rsidRPr="00976B12">
        <w:rPr>
          <w:rFonts w:ascii="Century" w:hAnsi="Century" w:cs="Miriam" w:hint="cs"/>
          <w:b/>
          <w:spacing w:val="0"/>
          <w:sz w:val="22"/>
          <w:szCs w:val="24"/>
          <w:rtl/>
        </w:rPr>
        <w:t>עניין אמונה</w:t>
      </w:r>
      <w:r>
        <w:rPr>
          <w:rFonts w:hint="cs"/>
          <w:rtl/>
        </w:rPr>
        <w:t>))</w:t>
      </w:r>
      <w:r w:rsidRPr="00F27F08">
        <w:rPr>
          <w:rFonts w:hint="cs"/>
          <w:rtl/>
        </w:rPr>
        <w:t xml:space="preserve">. </w:t>
      </w:r>
      <w:r>
        <w:rPr>
          <w:rFonts w:ascii="Century" w:hAnsi="Century" w:hint="cs"/>
          <w:sz w:val="22"/>
          <w:rtl/>
        </w:rPr>
        <w:t>לדידי, אין מדובר בשינוי סמנטי, או כזה שהוא קל, כלל ועיקר.</w:t>
      </w:r>
      <w:r>
        <w:rPr>
          <w:rFonts w:hint="cs"/>
          <w:rtl/>
        </w:rPr>
        <w:t xml:space="preserve"> </w:t>
      </w:r>
    </w:p>
    <w:p w:rsidR="00D61E12" w:rsidRPr="002E3F7C" w:rsidRDefault="00D61E12" w:rsidP="002A1A3A">
      <w:pPr>
        <w:pStyle w:val="Ruller41"/>
        <w:numPr>
          <w:ilvl w:val="1"/>
          <w:numId w:val="16"/>
        </w:numPr>
        <w:spacing w:before="240" w:after="240"/>
        <w:rPr>
          <w:rFonts w:ascii="Century" w:hAnsi="Century" w:cs="Miriam"/>
          <w:b/>
          <w:spacing w:val="0"/>
          <w:szCs w:val="24"/>
          <w:rtl/>
        </w:rPr>
      </w:pPr>
      <w:r w:rsidRPr="002E3F7C">
        <w:rPr>
          <w:rFonts w:ascii="Century" w:hAnsi="Century" w:cs="Miriam" w:hint="cs"/>
          <w:b/>
          <w:spacing w:val="0"/>
          <w:szCs w:val="24"/>
          <w:rtl/>
        </w:rPr>
        <w:t>המחלוקת ביחס לעילת הסבירות</w:t>
      </w:r>
    </w:p>
    <w:p w:rsidR="00D61E12" w:rsidRPr="002E3F7C" w:rsidRDefault="00D61E12" w:rsidP="00D61E12">
      <w:pPr>
        <w:pStyle w:val="Ruller4"/>
        <w:spacing w:before="240" w:after="240"/>
        <w:rPr>
          <w:rFonts w:ascii="Century" w:hAnsi="Century"/>
          <w:sz w:val="22"/>
        </w:rPr>
      </w:pPr>
      <w:r w:rsidRPr="002E3F7C">
        <w:rPr>
          <w:rFonts w:ascii="Century" w:hAnsi="Century" w:hint="cs"/>
          <w:sz w:val="22"/>
          <w:rtl/>
        </w:rPr>
        <w:lastRenderedPageBreak/>
        <w:t xml:space="preserve">בשנים שחלפו מאז נפסקה הלכת </w:t>
      </w:r>
      <w:r w:rsidRPr="002E3F7C">
        <w:rPr>
          <w:rFonts w:ascii="Century" w:hAnsi="Century" w:cs="Miriam" w:hint="cs"/>
          <w:b/>
          <w:spacing w:val="0"/>
          <w:sz w:val="22"/>
          <w:szCs w:val="24"/>
          <w:rtl/>
        </w:rPr>
        <w:t>דפי זהב</w:t>
      </w:r>
      <w:r w:rsidRPr="002E3F7C">
        <w:rPr>
          <w:rFonts w:ascii="Century" w:hAnsi="Century" w:hint="cs"/>
          <w:sz w:val="22"/>
          <w:rtl/>
        </w:rPr>
        <w:t xml:space="preserve"> עוררה עילת הסבירות מחלוקת עזה בקרב האקדמיה המשפטית ובין כותלי בית משפט זה. אכן, דיו רב נשפך ביחס לטיבה של עילת הסבירות, בקשר להיקף פריסתה, כמו גם לגבי אופן ומידת השימוש בה בפסיקתו של בית המשפט הגבוה לצדק. </w:t>
      </w:r>
    </w:p>
    <w:p w:rsidR="00D61E12" w:rsidRPr="002E3F7C" w:rsidRDefault="00D61E12" w:rsidP="00D61E12">
      <w:pPr>
        <w:pStyle w:val="Ruller4"/>
        <w:spacing w:before="240" w:after="240"/>
        <w:rPr>
          <w:rFonts w:ascii="Century" w:hAnsi="Century"/>
          <w:sz w:val="22"/>
        </w:rPr>
      </w:pPr>
      <w:r w:rsidRPr="005E2158">
        <w:rPr>
          <w:rFonts w:ascii="Century" w:hAnsi="Century" w:hint="cs"/>
          <w:sz w:val="22"/>
          <w:rtl/>
        </w:rPr>
        <w:t xml:space="preserve">לאמיתו של דבר, מחלוקת זו השתקפה כבר בעמדות השונות שהובעו בהלכת </w:t>
      </w:r>
      <w:r w:rsidRPr="005E2158">
        <w:rPr>
          <w:rFonts w:ascii="Century" w:hAnsi="Century" w:cs="Miriam" w:hint="cs"/>
          <w:b/>
          <w:spacing w:val="0"/>
          <w:sz w:val="22"/>
          <w:szCs w:val="24"/>
          <w:rtl/>
        </w:rPr>
        <w:t>דפי זהב</w:t>
      </w:r>
      <w:r w:rsidRPr="005E2158">
        <w:rPr>
          <w:rFonts w:ascii="Century" w:hAnsi="Century" w:hint="cs"/>
          <w:sz w:val="22"/>
          <w:rtl/>
        </w:rPr>
        <w:t xml:space="preserve"> עצמה ולמעשה פסק הדין באותו עניין "</w:t>
      </w:r>
      <w:r w:rsidRPr="005E2158">
        <w:rPr>
          <w:rFonts w:ascii="Century" w:hAnsi="Century" w:cs="Miriam" w:hint="cs"/>
          <w:b/>
          <w:spacing w:val="0"/>
          <w:sz w:val="22"/>
          <w:szCs w:val="24"/>
          <w:rtl/>
        </w:rPr>
        <w:t>נחשב עד היום לייצוג משקף של המחלוקות סביב עילת הסבירות</w:t>
      </w:r>
      <w:r w:rsidRPr="005E2158">
        <w:rPr>
          <w:rFonts w:ascii="Century" w:hAnsi="Century" w:hint="cs"/>
          <w:sz w:val="22"/>
          <w:rtl/>
        </w:rPr>
        <w:t>" (</w:t>
      </w:r>
      <w:r w:rsidRPr="005E2158">
        <w:rPr>
          <w:rFonts w:ascii="Century" w:hAnsi="Century" w:cs="Miriam" w:hint="cs"/>
          <w:b/>
          <w:spacing w:val="0"/>
          <w:sz w:val="22"/>
          <w:szCs w:val="24"/>
          <w:rtl/>
        </w:rPr>
        <w:t>ברק-ארז</w:t>
      </w:r>
      <w:r w:rsidRPr="005E2158">
        <w:rPr>
          <w:rFonts w:ascii="Century" w:hAnsi="Century" w:hint="cs"/>
          <w:sz w:val="22"/>
          <w:rtl/>
        </w:rPr>
        <w:t xml:space="preserve">, בעמוד 731). </w:t>
      </w:r>
      <w:r w:rsidRPr="002E3F7C">
        <w:rPr>
          <w:rFonts w:ascii="Century" w:hAnsi="Century" w:hint="cs"/>
          <w:sz w:val="22"/>
          <w:rtl/>
        </w:rPr>
        <w:t xml:space="preserve">אכן, ניתן לומר, על דרך ההכללה, כי מבקריה של עילת הסבירות אינם יוצאים נגד עילת הסבירות כפי </w:t>
      </w:r>
      <w:r>
        <w:rPr>
          <w:rFonts w:ascii="Century" w:hAnsi="Century" w:hint="cs"/>
          <w:sz w:val="22"/>
          <w:rtl/>
        </w:rPr>
        <w:t>שיושמה</w:t>
      </w:r>
      <w:r w:rsidRPr="002E3F7C">
        <w:rPr>
          <w:rFonts w:ascii="Century" w:hAnsi="Century" w:hint="cs"/>
          <w:sz w:val="22"/>
          <w:rtl/>
        </w:rPr>
        <w:t xml:space="preserve"> עד להלכת </w:t>
      </w:r>
      <w:r w:rsidRPr="002E3F7C">
        <w:rPr>
          <w:rFonts w:ascii="Century" w:hAnsi="Century" w:cs="Miriam" w:hint="cs"/>
          <w:b/>
          <w:spacing w:val="0"/>
          <w:sz w:val="22"/>
          <w:szCs w:val="24"/>
          <w:rtl/>
        </w:rPr>
        <w:t>דפי זהב</w:t>
      </w:r>
      <w:r w:rsidRPr="002E3F7C">
        <w:rPr>
          <w:rFonts w:ascii="Century" w:hAnsi="Century" w:hint="cs"/>
          <w:sz w:val="22"/>
          <w:rtl/>
        </w:rPr>
        <w:t xml:space="preserve">, דהיינו </w:t>
      </w:r>
      <w:r w:rsidRPr="002E3F7C">
        <w:rPr>
          <w:rFonts w:ascii="Century" w:hAnsi="Century"/>
          <w:sz w:val="22"/>
          <w:rtl/>
        </w:rPr>
        <w:t>–</w:t>
      </w:r>
      <w:r w:rsidRPr="002E3F7C">
        <w:rPr>
          <w:rFonts w:ascii="Century" w:hAnsi="Century" w:hint="cs"/>
          <w:sz w:val="22"/>
          <w:rtl/>
        </w:rPr>
        <w:t xml:space="preserve"> נגד </w:t>
      </w:r>
      <w:r w:rsidRPr="002E3F7C">
        <w:rPr>
          <w:rFonts w:ascii="Century" w:hAnsi="Century" w:cs="Miriam" w:hint="cs"/>
          <w:b/>
          <w:spacing w:val="0"/>
          <w:sz w:val="22"/>
          <w:szCs w:val="24"/>
          <w:rtl/>
        </w:rPr>
        <w:t>מבחן המופרכות</w:t>
      </w:r>
      <w:r>
        <w:rPr>
          <w:rFonts w:ascii="Century" w:hAnsi="Century" w:hint="cs"/>
          <w:sz w:val="22"/>
          <w:rtl/>
        </w:rPr>
        <w:t>;</w:t>
      </w:r>
      <w:r w:rsidRPr="002E3F7C">
        <w:rPr>
          <w:rFonts w:ascii="Century" w:hAnsi="Century" w:hint="cs"/>
          <w:sz w:val="22"/>
          <w:rtl/>
        </w:rPr>
        <w:t xml:space="preserve"> כי אם מפנים את חיציהם כלפי </w:t>
      </w:r>
      <w:r w:rsidRPr="002E3F7C">
        <w:rPr>
          <w:rFonts w:ascii="Century" w:hAnsi="Century" w:cs="Miriam" w:hint="cs"/>
          <w:b/>
          <w:spacing w:val="0"/>
          <w:sz w:val="22"/>
          <w:szCs w:val="24"/>
          <w:rtl/>
        </w:rPr>
        <w:t>מבחן איזון האינטרסים</w:t>
      </w:r>
      <w:r w:rsidRPr="002E3F7C">
        <w:rPr>
          <w:rFonts w:ascii="Century" w:hAnsi="Century" w:hint="cs"/>
          <w:sz w:val="22"/>
          <w:rtl/>
        </w:rPr>
        <w:t xml:space="preserve"> (ראו למשל: </w:t>
      </w:r>
      <w:r w:rsidRPr="002E3F7C">
        <w:rPr>
          <w:rFonts w:ascii="Century" w:hAnsi="Century" w:cs="Miriam" w:hint="cs"/>
          <w:sz w:val="22"/>
          <w:szCs w:val="24"/>
          <w:rtl/>
        </w:rPr>
        <w:t xml:space="preserve">זמיר </w:t>
      </w:r>
      <w:r w:rsidRPr="002E3F7C">
        <w:rPr>
          <w:rFonts w:ascii="Century" w:hAnsi="Century" w:cs="Miriam"/>
          <w:sz w:val="22"/>
          <w:szCs w:val="24"/>
          <w:rtl/>
        </w:rPr>
        <w:t>–</w:t>
      </w:r>
      <w:r w:rsidRPr="002E3F7C">
        <w:rPr>
          <w:rFonts w:ascii="Century" w:hAnsi="Century" w:cs="Miriam" w:hint="cs"/>
          <w:sz w:val="22"/>
          <w:szCs w:val="24"/>
          <w:rtl/>
        </w:rPr>
        <w:t xml:space="preserve"> הסמכות המינהלית</w:t>
      </w:r>
      <w:r w:rsidRPr="002E3F7C">
        <w:rPr>
          <w:rFonts w:ascii="Century" w:hAnsi="Century" w:hint="cs"/>
          <w:sz w:val="22"/>
          <w:rtl/>
        </w:rPr>
        <w:t xml:space="preserve">, בעמוד 3869). </w:t>
      </w:r>
    </w:p>
    <w:p w:rsidR="00D61E12" w:rsidRPr="00ED36A2" w:rsidRDefault="00D61E12" w:rsidP="00D61E12">
      <w:pPr>
        <w:pStyle w:val="Ruller4"/>
        <w:spacing w:before="240" w:after="240"/>
        <w:rPr>
          <w:rFonts w:ascii="Century" w:hAnsi="Century"/>
          <w:sz w:val="22"/>
        </w:rPr>
      </w:pPr>
      <w:r>
        <w:rPr>
          <w:rFonts w:ascii="Century" w:hAnsi="Century" w:hint="cs"/>
          <w:sz w:val="22"/>
          <w:rtl/>
        </w:rPr>
        <w:t xml:space="preserve">על קצה המזלג, יצוין, כי מן העבר האחד, המצדדים במתכונתה הרחבה של עילת הסבירות, דהיינו </w:t>
      </w:r>
      <w:r>
        <w:rPr>
          <w:rFonts w:ascii="Century" w:hAnsi="Century"/>
          <w:sz w:val="22"/>
          <w:rtl/>
        </w:rPr>
        <w:t>–</w:t>
      </w:r>
      <w:r>
        <w:rPr>
          <w:rFonts w:ascii="Century" w:hAnsi="Century" w:hint="cs"/>
          <w:sz w:val="22"/>
          <w:rtl/>
        </w:rPr>
        <w:t xml:space="preserve"> </w:t>
      </w:r>
      <w:r w:rsidRPr="003D0DC5">
        <w:rPr>
          <w:rFonts w:ascii="Century" w:hAnsi="Century" w:hint="cs"/>
          <w:sz w:val="22"/>
          <w:rtl/>
        </w:rPr>
        <w:t>במבחן איזון האינטרסים</w:t>
      </w:r>
      <w:r>
        <w:rPr>
          <w:rFonts w:ascii="Century" w:hAnsi="Century" w:hint="cs"/>
          <w:sz w:val="22"/>
          <w:rtl/>
        </w:rPr>
        <w:t xml:space="preserve">, עמדו לא אחת על חשיבותה. </w:t>
      </w:r>
      <w:r w:rsidRPr="00ED36A2">
        <w:rPr>
          <w:rFonts w:ascii="Century" w:hAnsi="Century" w:hint="cs"/>
          <w:sz w:val="22"/>
          <w:rtl/>
        </w:rPr>
        <w:t xml:space="preserve">יפים לעניין זה דבריה של השופטת </w:t>
      </w:r>
      <w:r w:rsidRPr="00ED36A2">
        <w:rPr>
          <w:rFonts w:ascii="Century" w:hAnsi="Century" w:cs="Miriam" w:hint="cs"/>
          <w:b/>
          <w:spacing w:val="0"/>
          <w:sz w:val="22"/>
          <w:szCs w:val="24"/>
          <w:rtl/>
        </w:rPr>
        <w:t>א' פרוקצ'יה</w:t>
      </w:r>
      <w:r>
        <w:rPr>
          <w:rFonts w:ascii="Century" w:hAnsi="Century" w:hint="cs"/>
          <w:sz w:val="22"/>
          <w:rtl/>
        </w:rPr>
        <w:t>:</w:t>
      </w:r>
    </w:p>
    <w:p w:rsidR="00D61E12" w:rsidRDefault="00D61E12" w:rsidP="00D61E12">
      <w:pPr>
        <w:pStyle w:val="Ruller5"/>
        <w:spacing w:before="240" w:after="240"/>
        <w:rPr>
          <w:rtl/>
        </w:rPr>
      </w:pPr>
      <w:r>
        <w:rPr>
          <w:rFonts w:hint="cs"/>
          <w:rtl/>
        </w:rPr>
        <w:t xml:space="preserve">"על פי תפישת המשפט המינהלי בדורות האחרונים, משמשת עילת הסבירות מכשיר עיקרי וחיוני של הביקורת השיפוטית על המינהל והיא ניצבת במוקד ההגנה על הפרט והציבור מפני שרירות השלטון. באמצעות עילה זו נבחנת הרציונליות שבהחלטת המינהל כמושג נורמטיבי. לצורך בחינה זו נקבעו אמות מידה שעל בית המשפט לבחון, קרי: אם נשקלו על ידי הרשות המינהלית מלוא השיקולים הרלוונטיים לעניין, והם בלבד, או שמא נשקלו שיקולים זרים וחיצוניים לעניין; שנית, אם הרשות ייחסה לכל אחד מהשיקולים הרלוונטיים את משקלו היחסי הראוי והגיעה באמצעות שקילה זו לנקודת איזון המצויה במתחם הסבירות הנתון לה. מתחם סבירות זה עשוי להשתנות מעניין לעניין, בהתאם לנתוניו ולמאפייניו של המקרה. בלא הבטחה כי החלטת המינהל תהא סבירה ורציונלית, צפויים הפרט והציבור להיפגע פגיעה קשה. אין די בקבלת החלטה מינהלית בסמכות ובתום לב. על ההחלטה להיות רציונלית ונבונה במסגרת מתחם שיקול הדעת הנתון לרשות המוסמכת. </w:t>
      </w:r>
    </w:p>
    <w:p w:rsidR="00D61E12" w:rsidRDefault="00D61E12" w:rsidP="00D61E12">
      <w:pPr>
        <w:pStyle w:val="Ruller5"/>
        <w:spacing w:before="240" w:after="240"/>
        <w:rPr>
          <w:rtl/>
        </w:rPr>
      </w:pPr>
      <w:r>
        <w:rPr>
          <w:rFonts w:hint="cs"/>
          <w:rtl/>
        </w:rPr>
        <w:t>הצרת אמצעי הביקורת השיפוטית שנועד לבחינת הרציונליות של ההחלטה המינהלית, כמוצע על ידי חברי, עלולה להביא למהפכה בתפישה כלפי עקרון חוקיות המינהל ולפגוע במאגר הכלים המשפטיים הנתונים בידי המשפט לצורך בחינת פעולת הרשות הציבורית במסגרת ההגנה השיפוטית הנתונה לפרט מפני שרירות השלטון" (</w:t>
      </w:r>
      <w:r w:rsidRPr="003D0DC5">
        <w:rPr>
          <w:rFonts w:ascii="Century" w:hAnsi="Century" w:hint="cs"/>
          <w:rtl/>
        </w:rPr>
        <w:t xml:space="preserve">עניין </w:t>
      </w:r>
      <w:r w:rsidRPr="003D0DC5">
        <w:rPr>
          <w:rFonts w:ascii="Century" w:hAnsi="Century" w:cs="Miriam" w:hint="cs"/>
          <w:b/>
          <w:spacing w:val="0"/>
          <w:szCs w:val="24"/>
          <w:rtl/>
        </w:rPr>
        <w:t>אמונה</w:t>
      </w:r>
      <w:r w:rsidRPr="003D0DC5">
        <w:rPr>
          <w:rFonts w:ascii="Century" w:hAnsi="Century" w:hint="cs"/>
          <w:rtl/>
        </w:rPr>
        <w:t xml:space="preserve">, בעמודים </w:t>
      </w:r>
      <w:r>
        <w:rPr>
          <w:rFonts w:ascii="Century" w:hAnsi="Century" w:hint="cs"/>
          <w:rtl/>
        </w:rPr>
        <w:t>487-486)</w:t>
      </w:r>
      <w:r>
        <w:rPr>
          <w:rFonts w:hint="cs"/>
          <w:rtl/>
        </w:rPr>
        <w:t xml:space="preserve">. </w:t>
      </w:r>
    </w:p>
    <w:p w:rsidR="00D61E12" w:rsidRPr="007475C2" w:rsidRDefault="00D61E12" w:rsidP="00D61E12">
      <w:pPr>
        <w:pStyle w:val="Ruller5"/>
        <w:spacing w:before="240" w:after="240" w:line="360" w:lineRule="auto"/>
        <w:ind w:left="0" w:right="0"/>
        <w:rPr>
          <w:rFonts w:ascii="Century" w:hAnsi="Century"/>
          <w:rtl/>
        </w:rPr>
      </w:pPr>
      <w:r>
        <w:rPr>
          <w:rtl/>
        </w:rPr>
        <w:lastRenderedPageBreak/>
        <w:tab/>
      </w:r>
      <w:r>
        <w:rPr>
          <w:rFonts w:hint="cs"/>
          <w:rtl/>
        </w:rPr>
        <w:t xml:space="preserve">באותה הפרשה, לא נעלמה מעיני השופטת </w:t>
      </w:r>
      <w:r>
        <w:rPr>
          <w:rFonts w:ascii="Century" w:hAnsi="Century" w:cs="Miriam" w:hint="cs"/>
          <w:b/>
          <w:spacing w:val="0"/>
          <w:szCs w:val="24"/>
          <w:rtl/>
        </w:rPr>
        <w:t>פרוקצ'יה</w:t>
      </w:r>
      <w:r>
        <w:rPr>
          <w:rFonts w:ascii="Century" w:hAnsi="Century" w:hint="cs"/>
          <w:rtl/>
        </w:rPr>
        <w:t xml:space="preserve"> הביקורת שנשמעה </w:t>
      </w:r>
      <w:r>
        <w:rPr>
          <w:rFonts w:hint="cs"/>
          <w:rtl/>
        </w:rPr>
        <w:t>ביחס לשימוש שנעשה</w:t>
      </w:r>
      <w:r w:rsidRPr="003D0DC5">
        <w:rPr>
          <w:rFonts w:ascii="Century" w:hAnsi="Century" w:hint="cs"/>
          <w:rtl/>
        </w:rPr>
        <w:t xml:space="preserve"> במבחן איזון האינטרסים</w:t>
      </w:r>
      <w:r>
        <w:rPr>
          <w:rFonts w:hint="cs"/>
          <w:rtl/>
        </w:rPr>
        <w:t xml:space="preserve">, בהשיבה </w:t>
      </w:r>
      <w:r>
        <w:rPr>
          <w:rFonts w:ascii="Century" w:hAnsi="Century" w:hint="cs"/>
          <w:rtl/>
        </w:rPr>
        <w:t xml:space="preserve">כך: </w:t>
      </w:r>
    </w:p>
    <w:p w:rsidR="00D61E12" w:rsidRPr="004F07B5" w:rsidRDefault="00D61E12" w:rsidP="00D61E12">
      <w:pPr>
        <w:pStyle w:val="Ruller5"/>
        <w:spacing w:before="240" w:after="240"/>
        <w:rPr>
          <w:rFonts w:ascii="Century" w:hAnsi="Century"/>
          <w:rtl/>
        </w:rPr>
      </w:pPr>
      <w:r>
        <w:rPr>
          <w:rFonts w:hint="cs"/>
          <w:rtl/>
        </w:rPr>
        <w:t>"אין לפגוע בכלי חיוני של ביקורת שיפוטית על המינהל בשל חשש מובנה מהפעלתו בדרך מוטעית. יש להותיר את האמצעי בעינו, במלוא היקפו, ולהגן עליו. יש לשקוד, בד בבד, יום יום ושעה שעה, על יישום נכון וראוי של העקרונות שעליהם הוא בנוי. דרך זו תותיר בעינה את מלוא ההגנה הנתונה כיום לאזרח ביחסו לשלטון, תגן בו-זמנית על מעמדה של הרשות המינהלית מפני פלישה לתחומיה ותשתלב באורח הרמוני במערך החוקתי הכולל שעל יסודותיו בנוי המשטר הדמוקרטי בישראל" (</w:t>
      </w:r>
      <w:r w:rsidRPr="003D0DC5">
        <w:rPr>
          <w:rFonts w:ascii="Century" w:hAnsi="Century" w:hint="cs"/>
          <w:rtl/>
        </w:rPr>
        <w:t>שם</w:t>
      </w:r>
      <w:r>
        <w:rPr>
          <w:rFonts w:ascii="Century" w:hAnsi="Century" w:hint="cs"/>
          <w:rtl/>
        </w:rPr>
        <w:t>, בעמודים 489-488).</w:t>
      </w:r>
    </w:p>
    <w:p w:rsidR="00D61E12" w:rsidRDefault="00D61E12" w:rsidP="00D61E12">
      <w:pPr>
        <w:pStyle w:val="Ruller4"/>
        <w:spacing w:before="240" w:after="240"/>
        <w:rPr>
          <w:rFonts w:ascii="Century" w:hAnsi="Century"/>
          <w:sz w:val="22"/>
        </w:rPr>
      </w:pPr>
      <w:r>
        <w:rPr>
          <w:rFonts w:ascii="Century" w:hAnsi="Century" w:hint="cs"/>
          <w:sz w:val="22"/>
          <w:rtl/>
        </w:rPr>
        <w:t xml:space="preserve">בעניין </w:t>
      </w:r>
      <w:r w:rsidRPr="00950338">
        <w:rPr>
          <w:rFonts w:ascii="Century" w:hAnsi="Century" w:cs="Miriam" w:hint="cs"/>
          <w:b/>
          <w:spacing w:val="0"/>
          <w:sz w:val="22"/>
          <w:szCs w:val="24"/>
          <w:rtl/>
        </w:rPr>
        <w:t>נתניהו</w:t>
      </w:r>
      <w:r>
        <w:rPr>
          <w:rFonts w:ascii="Century" w:hAnsi="Century" w:hint="cs"/>
          <w:sz w:val="22"/>
          <w:rtl/>
        </w:rPr>
        <w:t xml:space="preserve">, חברתי, השופטת </w:t>
      </w:r>
      <w:r>
        <w:rPr>
          <w:rFonts w:ascii="Century" w:hAnsi="Century" w:cs="Miriam" w:hint="cs"/>
          <w:b/>
          <w:spacing w:val="0"/>
          <w:sz w:val="22"/>
          <w:szCs w:val="24"/>
          <w:rtl/>
        </w:rPr>
        <w:t xml:space="preserve">ברק-ארז, </w:t>
      </w:r>
      <w:r>
        <w:rPr>
          <w:rFonts w:ascii="Century" w:hAnsi="Century" w:hint="cs"/>
          <w:sz w:val="22"/>
          <w:rtl/>
        </w:rPr>
        <w:t xml:space="preserve">ביקשה להדגיש כי לעילת הסבירות ישנה גם חשיבות </w:t>
      </w:r>
      <w:r>
        <w:rPr>
          <w:rFonts w:ascii="Century" w:hAnsi="Century" w:cs="Miriam" w:hint="cs"/>
          <w:b/>
          <w:spacing w:val="0"/>
          <w:sz w:val="22"/>
          <w:szCs w:val="24"/>
          <w:rtl/>
        </w:rPr>
        <w:t>בחיי המעשה</w:t>
      </w:r>
      <w:r>
        <w:rPr>
          <w:rFonts w:ascii="Century" w:hAnsi="Century" w:hint="cs"/>
          <w:sz w:val="22"/>
          <w:rtl/>
        </w:rPr>
        <w:t xml:space="preserve">. לגישתה, לעילת הסבירות עשוי להיות תפקיד חשוב בהתמודדות עם </w:t>
      </w:r>
      <w:r>
        <w:rPr>
          <w:rFonts w:ascii="Century" w:hAnsi="Century" w:cs="Miriam" w:hint="cs"/>
          <w:b/>
          <w:spacing w:val="0"/>
          <w:sz w:val="22"/>
          <w:szCs w:val="24"/>
          <w:rtl/>
        </w:rPr>
        <w:t xml:space="preserve">קשיים ראייתיים </w:t>
      </w:r>
      <w:r>
        <w:rPr>
          <w:rFonts w:ascii="Century" w:hAnsi="Century" w:hint="cs"/>
          <w:sz w:val="22"/>
          <w:rtl/>
        </w:rPr>
        <w:t xml:space="preserve">בהוכחת שיקול זר שנפל בהחלטה מינהלית פלונית, וכלשונה: </w:t>
      </w:r>
    </w:p>
    <w:p w:rsidR="00D61E12" w:rsidRPr="004F07B5" w:rsidRDefault="00D61E12" w:rsidP="00D61E12">
      <w:pPr>
        <w:pStyle w:val="Ruller5"/>
        <w:spacing w:before="240" w:after="240"/>
        <w:rPr>
          <w:rFonts w:ascii="Century" w:hAnsi="Century"/>
          <w:rtl/>
        </w:rPr>
      </w:pPr>
      <w:r>
        <w:rPr>
          <w:rFonts w:hint="cs"/>
          <w:rtl/>
        </w:rPr>
        <w:t>"לעתים עילת הסבירות משמשת כלי חשוב לביקורת גם על החלטות פגומות שבהן נפלו שיקולים זרים, באותם מקרים שבהם קיימים מחסומים ראייתיים שונים המטילים קושי על האפשרות להצביע על שיקולים אלו. כידוע, דברים שבלב הם קשים להוכחה, ואילו יתרונה של עילת הסבירות הוא בבחינת האיזון בין השיקולים שביסוד ההחלטה, מבלי להידרש לדברים שבלב ולכוונות נסתרות" (</w:t>
      </w:r>
      <w:r>
        <w:rPr>
          <w:rFonts w:ascii="Century" w:hAnsi="Century" w:hint="cs"/>
          <w:rtl/>
        </w:rPr>
        <w:t xml:space="preserve">עניין </w:t>
      </w:r>
      <w:r>
        <w:rPr>
          <w:rFonts w:ascii="Century" w:hAnsi="Century" w:cs="Miriam" w:hint="cs"/>
          <w:b/>
          <w:spacing w:val="0"/>
          <w:szCs w:val="24"/>
          <w:rtl/>
        </w:rPr>
        <w:t>נתניהו</w:t>
      </w:r>
      <w:r>
        <w:rPr>
          <w:rFonts w:ascii="Century" w:hAnsi="Century" w:hint="cs"/>
          <w:rtl/>
        </w:rPr>
        <w:t xml:space="preserve">, בפסקה 5 לחוות-דעתה). </w:t>
      </w:r>
    </w:p>
    <w:p w:rsidR="00D61E12" w:rsidRPr="002E0A65" w:rsidRDefault="00D61E12" w:rsidP="00D61E12">
      <w:pPr>
        <w:pStyle w:val="Ruller41"/>
        <w:spacing w:before="240" w:after="240"/>
        <w:rPr>
          <w:rFonts w:ascii="Century" w:hAnsi="Century"/>
          <w:rtl/>
        </w:rPr>
      </w:pPr>
      <w:r>
        <w:rPr>
          <w:rtl/>
        </w:rPr>
        <w:tab/>
      </w:r>
      <w:r>
        <w:rPr>
          <w:rFonts w:hint="cs"/>
          <w:rtl/>
        </w:rPr>
        <w:t xml:space="preserve">לצד זאת, בכתיבה האקדמית, </w:t>
      </w:r>
      <w:r>
        <w:rPr>
          <w:rFonts w:ascii="Century" w:hAnsi="Century" w:hint="cs"/>
          <w:rtl/>
        </w:rPr>
        <w:t>הוזכרה גם</w:t>
      </w:r>
      <w:r>
        <w:rPr>
          <w:rFonts w:hint="cs"/>
          <w:rtl/>
        </w:rPr>
        <w:t xml:space="preserve"> "</w:t>
      </w:r>
      <w:r w:rsidRPr="002E0A65">
        <w:rPr>
          <w:rFonts w:ascii="Century" w:hAnsi="Century" w:cs="Miriam" w:hint="cs"/>
          <w:b/>
          <w:spacing w:val="0"/>
          <w:szCs w:val="24"/>
          <w:rtl/>
        </w:rPr>
        <w:t>תרומתה של עילת הסבירות לא רק בהתייחס למקרים שנדונו בבתי המשפט, אלא גם מהיבט השפעתה על עיצוב החלטותיהן של רשויות המינהל כהחלטות שחותרות לאיזון בין מירב השיקולים, לרבות שיקולים נורמטיביים</w:t>
      </w:r>
      <w:r>
        <w:rPr>
          <w:rFonts w:hint="cs"/>
          <w:rtl/>
        </w:rPr>
        <w:t>" (</w:t>
      </w:r>
      <w:r>
        <w:rPr>
          <w:rFonts w:ascii="Century" w:hAnsi="Century" w:cs="Miriam" w:hint="cs"/>
          <w:b/>
          <w:spacing w:val="0"/>
          <w:szCs w:val="24"/>
          <w:rtl/>
        </w:rPr>
        <w:t>ברק-ארז</w:t>
      </w:r>
      <w:r>
        <w:rPr>
          <w:rFonts w:ascii="Century" w:hAnsi="Century" w:hint="cs"/>
          <w:rtl/>
        </w:rPr>
        <w:t xml:space="preserve">, בעמוד 769). </w:t>
      </w:r>
    </w:p>
    <w:p w:rsidR="00D61E12" w:rsidRPr="0061423C" w:rsidRDefault="00D61E12" w:rsidP="00D61E12">
      <w:pPr>
        <w:pStyle w:val="Ruller4"/>
        <w:spacing w:before="240" w:after="240"/>
        <w:rPr>
          <w:rFonts w:ascii="Century" w:hAnsi="Century"/>
          <w:sz w:val="22"/>
          <w:rtl/>
        </w:rPr>
      </w:pPr>
      <w:r>
        <w:rPr>
          <w:rFonts w:ascii="Century" w:hAnsi="Century" w:hint="cs"/>
          <w:sz w:val="22"/>
          <w:rtl/>
        </w:rPr>
        <w:t xml:space="preserve">מן העבר השני, קיתונות של ביקורת נשפכו על עילת הסבירות, גם על-ידי שופטי בית משפט זה. בביקורתם של שופטי בית משפט זה עוברות, כחוט השני, </w:t>
      </w:r>
      <w:r w:rsidRPr="0061423C">
        <w:rPr>
          <w:rFonts w:ascii="Century" w:hAnsi="Century" w:hint="cs"/>
          <w:sz w:val="22"/>
          <w:rtl/>
        </w:rPr>
        <w:t xml:space="preserve">העמדות המסתייגות שהביעו עוד קודם לכן הנשיא </w:t>
      </w:r>
      <w:r w:rsidRPr="0061423C">
        <w:rPr>
          <w:rFonts w:ascii="Century" w:hAnsi="Century" w:cs="Miriam" w:hint="cs"/>
          <w:b/>
          <w:spacing w:val="0"/>
          <w:sz w:val="22"/>
          <w:szCs w:val="24"/>
          <w:rtl/>
        </w:rPr>
        <w:t>לנדוי</w:t>
      </w:r>
      <w:r w:rsidRPr="0061423C">
        <w:rPr>
          <w:rFonts w:ascii="Century" w:hAnsi="Century" w:hint="cs"/>
          <w:sz w:val="22"/>
          <w:rtl/>
        </w:rPr>
        <w:t xml:space="preserve"> והשופט </w:t>
      </w:r>
      <w:r w:rsidRPr="0061423C">
        <w:rPr>
          <w:rFonts w:ascii="Century" w:hAnsi="Century" w:cs="Miriam" w:hint="cs"/>
          <w:b/>
          <w:spacing w:val="0"/>
          <w:sz w:val="22"/>
          <w:szCs w:val="24"/>
          <w:rtl/>
        </w:rPr>
        <w:t>אלון</w:t>
      </w:r>
      <w:r>
        <w:rPr>
          <w:rFonts w:ascii="Century" w:hAnsi="Century" w:hint="cs"/>
          <w:sz w:val="22"/>
          <w:rtl/>
        </w:rPr>
        <w:t>.</w:t>
      </w:r>
      <w:r w:rsidRPr="0061423C">
        <w:rPr>
          <w:rFonts w:ascii="Century" w:hAnsi="Century" w:hint="cs"/>
          <w:sz w:val="22"/>
          <w:rtl/>
        </w:rPr>
        <w:t xml:space="preserve"> לעניין זה ראו את דברי חברי, השופט </w:t>
      </w:r>
      <w:r w:rsidRPr="0061423C">
        <w:rPr>
          <w:rFonts w:ascii="Century" w:hAnsi="Century" w:cs="Miriam" w:hint="cs"/>
          <w:b/>
          <w:spacing w:val="0"/>
          <w:sz w:val="22"/>
          <w:szCs w:val="24"/>
          <w:rtl/>
        </w:rPr>
        <w:t>שטיין</w:t>
      </w:r>
      <w:r w:rsidRPr="0061423C">
        <w:rPr>
          <w:rFonts w:ascii="Century" w:hAnsi="Century" w:hint="cs"/>
          <w:sz w:val="22"/>
          <w:rtl/>
        </w:rPr>
        <w:t xml:space="preserve">: </w:t>
      </w:r>
    </w:p>
    <w:p w:rsidR="00D61E12" w:rsidRPr="001425A9" w:rsidRDefault="00D61E12" w:rsidP="00D61E12">
      <w:pPr>
        <w:pStyle w:val="Ruller5"/>
        <w:spacing w:before="240" w:after="240"/>
      </w:pPr>
      <w:r>
        <w:rPr>
          <w:rFonts w:hint="cs"/>
          <w:rtl/>
        </w:rPr>
        <w:t>"</w:t>
      </w:r>
      <w:r w:rsidRPr="000E58F9">
        <w:rPr>
          <w:rFonts w:ascii="Century" w:hAnsi="Century" w:hint="cs"/>
          <w:rtl/>
        </w:rPr>
        <w:t xml:space="preserve">דומני </w:t>
      </w:r>
      <w:r w:rsidRPr="000E58F9">
        <w:rPr>
          <w:rFonts w:ascii="Century" w:hAnsi="Century"/>
          <w:rtl/>
        </w:rPr>
        <w:t>כי לא אטעה אם אומר כי חששו של הנשיא לנדוי התממש הלכה למעשה. בשני העשורים האחרונים, עדים היינו – לא אחת – להפעלתה של דוקטרינת הסבירות במתכונת רחבה אשר כללה התערבות שיפוטית בתוכן ההחלטה</w:t>
      </w:r>
      <w:r w:rsidRPr="000E58F9">
        <w:rPr>
          <w:rFonts w:ascii="Century" w:hAnsi="Century" w:hint="cs"/>
          <w:rtl/>
        </w:rPr>
        <w:t xml:space="preserve"> המינהלי</w:t>
      </w:r>
      <w:r>
        <w:rPr>
          <w:rFonts w:ascii="Century" w:hAnsi="Century" w:hint="cs"/>
          <w:rtl/>
        </w:rPr>
        <w:t xml:space="preserve">ת </w:t>
      </w:r>
      <w:r w:rsidRPr="00102554">
        <w:rPr>
          <w:rFonts w:asciiTheme="majorBidi" w:hAnsiTheme="majorBidi" w:cstheme="majorBidi"/>
          <w:sz w:val="24"/>
          <w:szCs w:val="24"/>
        </w:rPr>
        <w:t>de novo</w:t>
      </w:r>
      <w:r>
        <w:rPr>
          <w:rFonts w:hint="cs"/>
          <w:rtl/>
        </w:rPr>
        <w:t>" (</w:t>
      </w:r>
      <w:r>
        <w:rPr>
          <w:rFonts w:ascii="Century" w:hAnsi="Century" w:hint="cs"/>
          <w:rtl/>
        </w:rPr>
        <w:t xml:space="preserve">דנ"פ </w:t>
      </w:r>
      <w:r>
        <w:rPr>
          <w:rFonts w:ascii="Century" w:hAnsi="Century" w:hint="cs"/>
          <w:rtl/>
        </w:rPr>
        <w:lastRenderedPageBreak/>
        <w:t xml:space="preserve">5387/20 </w:t>
      </w:r>
      <w:r>
        <w:rPr>
          <w:rFonts w:ascii="Century" w:hAnsi="Century" w:cs="Miriam" w:hint="cs"/>
          <w:b/>
          <w:spacing w:val="0"/>
          <w:szCs w:val="24"/>
          <w:rtl/>
        </w:rPr>
        <w:t xml:space="preserve">רותם נ' מדינת ישראל, </w:t>
      </w:r>
      <w:r>
        <w:rPr>
          <w:rFonts w:ascii="Century" w:hAnsi="Century" w:hint="cs"/>
          <w:rtl/>
        </w:rPr>
        <w:t>פסקה 7 לחוות-דעתו (15.12.2021)</w:t>
      </w:r>
      <w:r>
        <w:rPr>
          <w:rFonts w:hint="cs"/>
          <w:rtl/>
        </w:rPr>
        <w:t xml:space="preserve">). </w:t>
      </w:r>
    </w:p>
    <w:p w:rsidR="00D61E12" w:rsidRPr="0061423C" w:rsidRDefault="00D61E12" w:rsidP="00D61E12">
      <w:pPr>
        <w:pStyle w:val="Ruller4"/>
        <w:spacing w:before="240" w:after="240"/>
        <w:rPr>
          <w:rFonts w:ascii="Century" w:hAnsi="Century"/>
          <w:sz w:val="22"/>
          <w:rtl/>
        </w:rPr>
      </w:pPr>
      <w:r>
        <w:rPr>
          <w:rFonts w:ascii="Century" w:hAnsi="Century" w:hint="cs"/>
          <w:sz w:val="22"/>
          <w:rtl/>
        </w:rPr>
        <w:t xml:space="preserve">בהקשר האמור, ראוי לציין גם את ההסתייגות שהביע השופט </w:t>
      </w:r>
      <w:r>
        <w:rPr>
          <w:rFonts w:ascii="Century" w:hAnsi="Century" w:cs="Miriam" w:hint="cs"/>
          <w:b/>
          <w:spacing w:val="0"/>
          <w:sz w:val="22"/>
          <w:szCs w:val="24"/>
          <w:rtl/>
        </w:rPr>
        <w:t>גרוניס</w:t>
      </w:r>
      <w:r>
        <w:rPr>
          <w:rFonts w:ascii="Century" w:hAnsi="Century" w:hint="cs"/>
          <w:sz w:val="22"/>
          <w:rtl/>
        </w:rPr>
        <w:t xml:space="preserve"> מ</w:t>
      </w:r>
      <w:r w:rsidRPr="00950338">
        <w:rPr>
          <w:rFonts w:ascii="Century" w:hAnsi="Century" w:hint="cs"/>
          <w:sz w:val="22"/>
          <w:rtl/>
        </w:rPr>
        <w:t>מבחן איזון האינטרסים</w:t>
      </w:r>
      <w:r w:rsidRPr="0061423C">
        <w:rPr>
          <w:rFonts w:ascii="Century" w:hAnsi="Century" w:hint="cs"/>
          <w:sz w:val="22"/>
          <w:rtl/>
        </w:rPr>
        <w:t xml:space="preserve">: </w:t>
      </w:r>
    </w:p>
    <w:p w:rsidR="00D61E12" w:rsidRDefault="00D61E12" w:rsidP="00D61E12">
      <w:pPr>
        <w:pStyle w:val="Ruller5"/>
        <w:spacing w:before="240" w:after="240"/>
        <w:rPr>
          <w:rFonts w:ascii="Century" w:hAnsi="Century"/>
          <w:rtl/>
        </w:rPr>
      </w:pPr>
      <w:r>
        <w:rPr>
          <w:rFonts w:hint="cs"/>
          <w:rtl/>
        </w:rPr>
        <w:t xml:space="preserve">"מה שנעשה בפועל על ידי שופט, הסובר כי ההחלטה </w:t>
      </w:r>
      <w:r w:rsidRPr="00370CEF">
        <w:rPr>
          <w:rFonts w:ascii="Century" w:hAnsi="Century" w:hint="cs"/>
          <w:rtl/>
        </w:rPr>
        <w:t xml:space="preserve">פסולה בשל חוסר סבירות, הוא בחינה של התוצאה, קרי נפקות ההחלטה. לעתים, נעשית במקרים כאלה פעולה שניתן לכנותה </w:t>
      </w:r>
      <w:r>
        <w:rPr>
          <w:rFonts w:ascii="Century" w:hAnsi="Century" w:hint="cs"/>
          <w:rtl/>
        </w:rPr>
        <w:t>'</w:t>
      </w:r>
      <w:r w:rsidRPr="00370CEF">
        <w:rPr>
          <w:rFonts w:ascii="Century" w:hAnsi="Century" w:hint="cs"/>
          <w:rtl/>
        </w:rPr>
        <w:t>הנדסה חוזרת</w:t>
      </w:r>
      <w:r>
        <w:rPr>
          <w:rFonts w:ascii="Century" w:hAnsi="Century" w:hint="cs"/>
          <w:rtl/>
        </w:rPr>
        <w:t>'</w:t>
      </w:r>
      <w:r w:rsidRPr="00370CEF">
        <w:rPr>
          <w:rFonts w:ascii="Century" w:hAnsi="Century" w:hint="cs"/>
          <w:rtl/>
        </w:rPr>
        <w:t xml:space="preserve"> (</w:t>
      </w:r>
      <w:r w:rsidRPr="00102554">
        <w:rPr>
          <w:rFonts w:asciiTheme="majorBidi" w:hAnsiTheme="majorBidi" w:cstheme="majorBidi"/>
          <w:sz w:val="24"/>
          <w:szCs w:val="24"/>
        </w:rPr>
        <w:t>Reverse Engineering</w:t>
      </w:r>
      <w:r w:rsidRPr="00370CEF">
        <w:rPr>
          <w:rFonts w:ascii="Century" w:hAnsi="Century" w:hint="cs"/>
          <w:rtl/>
        </w:rPr>
        <w:t>).</w:t>
      </w:r>
      <w:r w:rsidRPr="00370CEF">
        <w:rPr>
          <w:rFonts w:hint="cs"/>
          <w:rtl/>
        </w:rPr>
        <w:t xml:space="preserve"> </w:t>
      </w:r>
      <w:r>
        <w:rPr>
          <w:rFonts w:hint="cs"/>
          <w:rtl/>
        </w:rPr>
        <w:t xml:space="preserve">כלומר, בית המשפט בוחן את התוצאה, קרי </w:t>
      </w:r>
      <w:r>
        <w:rPr>
          <w:rtl/>
        </w:rPr>
        <w:t>–</w:t>
      </w:r>
      <w:r>
        <w:rPr>
          <w:rFonts w:hint="cs"/>
          <w:rtl/>
        </w:rPr>
        <w:t xml:space="preserve"> ההחלטה, ובהליך של בחינה לאחור מונה את השיקולים אשר, על פי השערתו, הובאו בחשבון על ידי הגוף המחליט. אם ההחלטה הסופית אינה מקובלת על בית המשפט, יאמר הוא שאחד השיקולים קיבל משקל מוגזם או ששיקול מסוים לא הובא כלל בחשבון. לכן, צריך גם לקבל עם קב חומטין את האמירה, החוזרת לעתים בהקשר זה, כי בית המשפט אינו שם את שיקול דעתו תחת שיקול דעתה של הרשות שהוסמכה בדין לקבל את ההחלטה [...] </w:t>
      </w:r>
      <w:r w:rsidRPr="00760F23">
        <w:rPr>
          <w:rFonts w:ascii="Century" w:hAnsi="Century" w:hint="cs"/>
          <w:rtl/>
        </w:rPr>
        <w:t>נראה</w:t>
      </w:r>
      <w:r w:rsidRPr="00760F23">
        <w:rPr>
          <w:rFonts w:hint="cs"/>
          <w:rtl/>
        </w:rPr>
        <w:t xml:space="preserve"> </w:t>
      </w:r>
      <w:r>
        <w:rPr>
          <w:rFonts w:hint="cs"/>
          <w:rtl/>
        </w:rPr>
        <w:t xml:space="preserve">כי לעתים, כאשר בית המשפט מתערב בהחלטה בשל חוסר סבירות, הוא בהחלט מעמיד את שיקול דעתו תחת שיקול דעתה של הרשות" (עניין </w:t>
      </w:r>
      <w:r w:rsidRPr="00760F23">
        <w:rPr>
          <w:rFonts w:ascii="Century" w:hAnsi="Century" w:cs="Miriam" w:hint="cs"/>
          <w:b/>
          <w:spacing w:val="0"/>
          <w:szCs w:val="24"/>
          <w:rtl/>
        </w:rPr>
        <w:t>אמונה</w:t>
      </w:r>
      <w:r>
        <w:rPr>
          <w:rFonts w:ascii="Century" w:hAnsi="Century" w:hint="cs"/>
          <w:rtl/>
        </w:rPr>
        <w:t xml:space="preserve">, בעמודים 524-523). </w:t>
      </w:r>
    </w:p>
    <w:p w:rsidR="00D61E12" w:rsidRDefault="00D61E12" w:rsidP="00D61E12">
      <w:pPr>
        <w:pStyle w:val="Ruller4"/>
        <w:spacing w:before="240" w:after="240"/>
        <w:rPr>
          <w:rFonts w:ascii="Century" w:hAnsi="Century"/>
          <w:sz w:val="22"/>
        </w:rPr>
      </w:pPr>
      <w:r>
        <w:rPr>
          <w:rFonts w:ascii="Century" w:hAnsi="Century" w:hint="cs"/>
          <w:sz w:val="22"/>
          <w:rtl/>
        </w:rPr>
        <w:t xml:space="preserve">על מבקריו </w:t>
      </w:r>
      <w:r w:rsidRPr="00950338">
        <w:rPr>
          <w:rFonts w:ascii="Century" w:hAnsi="Century" w:hint="cs"/>
          <w:sz w:val="22"/>
          <w:rtl/>
        </w:rPr>
        <w:t xml:space="preserve">של מבחן איזון האינטרסים והשימוש שנעשה </w:t>
      </w:r>
      <w:r>
        <w:rPr>
          <w:rFonts w:ascii="Century" w:hAnsi="Century" w:hint="cs"/>
          <w:sz w:val="22"/>
          <w:rtl/>
        </w:rPr>
        <w:t>בו נמנה גם חברי, השופט</w:t>
      </w:r>
      <w:r>
        <w:rPr>
          <w:rFonts w:ascii="Century" w:hAnsi="Century" w:cs="Miriam" w:hint="cs"/>
          <w:b/>
          <w:spacing w:val="0"/>
          <w:sz w:val="22"/>
          <w:szCs w:val="24"/>
          <w:rtl/>
        </w:rPr>
        <w:t xml:space="preserve"> סולברג</w:t>
      </w:r>
      <w:r>
        <w:rPr>
          <w:rFonts w:ascii="Century" w:hAnsi="Century" w:hint="cs"/>
          <w:sz w:val="22"/>
          <w:rtl/>
        </w:rPr>
        <w:t xml:space="preserve">, שציין בין היתר כך: </w:t>
      </w:r>
    </w:p>
    <w:p w:rsidR="00D61E12" w:rsidRPr="003D1562" w:rsidRDefault="00D61E12" w:rsidP="00D61E12">
      <w:pPr>
        <w:pStyle w:val="Ruller5"/>
        <w:spacing w:before="240" w:after="240"/>
        <w:rPr>
          <w:rFonts w:ascii="Century" w:hAnsi="Century"/>
        </w:rPr>
      </w:pPr>
      <w:r>
        <w:rPr>
          <w:rFonts w:hint="cs"/>
          <w:rtl/>
        </w:rPr>
        <w:t xml:space="preserve">"הסבירות פנים רבות לה, וגם הראוי הריהו תלוי בעיני המתבונן [...] מה שנתפס בעיני האחד כבלתי-סביר באופן קיצוני, נחזה בעיני חברו כסביר וראוי. כך בכלל, וכך בפרט </w:t>
      </w:r>
      <w:r>
        <w:rPr>
          <w:rtl/>
        </w:rPr>
        <w:t>–</w:t>
      </w:r>
      <w:r>
        <w:rPr>
          <w:rFonts w:hint="cs"/>
          <w:rtl/>
        </w:rPr>
        <w:t xml:space="preserve"> כשעל הפרק סוגיה ערכית-עקרונית, הנתונה לדיון ציבורי מתמשך; וענייננו יוכיח. יש להמשיך ולחתור אפוא למיקודה של עילת הסבירות, לפורטה לפרוטות, לאמות מידה, אף לקצץ מוטת כנפיה [...]" (דנג"ץ 3660/17 </w:t>
      </w:r>
      <w:r>
        <w:rPr>
          <w:rFonts w:ascii="Century" w:hAnsi="Century" w:cs="Miriam" w:hint="cs"/>
          <w:b/>
          <w:spacing w:val="0"/>
          <w:szCs w:val="24"/>
          <w:rtl/>
        </w:rPr>
        <w:t>התאחדות הסוחרים והעצמאים הכללית נ' שר הפנים</w:t>
      </w:r>
      <w:r>
        <w:rPr>
          <w:rFonts w:ascii="Century" w:hAnsi="Century" w:hint="cs"/>
          <w:rtl/>
        </w:rPr>
        <w:t>, פסקה 36 לחוות-דעתו של חברי, השופט</w:t>
      </w:r>
      <w:r>
        <w:rPr>
          <w:rFonts w:ascii="Century" w:hAnsi="Century" w:cs="Miriam" w:hint="cs"/>
          <w:b/>
          <w:spacing w:val="0"/>
          <w:szCs w:val="24"/>
          <w:rtl/>
        </w:rPr>
        <w:t xml:space="preserve"> סולברג </w:t>
      </w:r>
      <w:r>
        <w:rPr>
          <w:rFonts w:ascii="Century" w:hAnsi="Century" w:hint="cs"/>
          <w:rtl/>
        </w:rPr>
        <w:t xml:space="preserve">(26.10.2017); כן ראו: נעם סולברג "על ערכים סובייקטיביים ושופטים אובייקטיביים" </w:t>
      </w:r>
      <w:r>
        <w:rPr>
          <w:rFonts w:ascii="Century" w:hAnsi="Century" w:cs="Miriam" w:hint="cs"/>
          <w:b/>
          <w:spacing w:val="0"/>
          <w:szCs w:val="24"/>
          <w:rtl/>
        </w:rPr>
        <w:t>השילוח</w:t>
      </w:r>
      <w:r>
        <w:rPr>
          <w:rFonts w:ascii="Century" w:hAnsi="Century" w:hint="cs"/>
          <w:rtl/>
        </w:rPr>
        <w:t xml:space="preserve"> 18 (2019) (להלן: </w:t>
      </w:r>
      <w:r w:rsidRPr="00950338">
        <w:rPr>
          <w:rFonts w:ascii="Century" w:hAnsi="Century" w:cs="Miriam" w:hint="cs"/>
          <w:b/>
          <w:spacing w:val="0"/>
          <w:szCs w:val="24"/>
          <w:rtl/>
        </w:rPr>
        <w:t xml:space="preserve">סולברג </w:t>
      </w:r>
      <w:r w:rsidRPr="00950338">
        <w:rPr>
          <w:rFonts w:ascii="Century" w:hAnsi="Century" w:cs="Miriam"/>
          <w:b/>
          <w:spacing w:val="0"/>
          <w:szCs w:val="24"/>
          <w:rtl/>
        </w:rPr>
        <w:t>–</w:t>
      </w:r>
      <w:r w:rsidRPr="00950338">
        <w:rPr>
          <w:rFonts w:ascii="Century" w:hAnsi="Century" w:cs="Miriam" w:hint="cs"/>
          <w:b/>
          <w:spacing w:val="0"/>
          <w:szCs w:val="24"/>
          <w:rtl/>
        </w:rPr>
        <w:t xml:space="preserve"> על ערכים סובייקטיביים</w:t>
      </w:r>
      <w:r>
        <w:rPr>
          <w:rFonts w:ascii="Century" w:hAnsi="Century" w:hint="cs"/>
          <w:rtl/>
        </w:rPr>
        <w:t xml:space="preserve">)). </w:t>
      </w:r>
    </w:p>
    <w:p w:rsidR="00D61E12" w:rsidRPr="00F03639" w:rsidRDefault="00D61E12" w:rsidP="00D61E12">
      <w:pPr>
        <w:pStyle w:val="Ruller4"/>
        <w:numPr>
          <w:ilvl w:val="0"/>
          <w:numId w:val="0"/>
        </w:numPr>
        <w:spacing w:before="240" w:after="240"/>
        <w:rPr>
          <w:rFonts w:ascii="Century" w:hAnsi="Century"/>
          <w:sz w:val="22"/>
          <w:rtl/>
        </w:rPr>
      </w:pPr>
      <w:r>
        <w:rPr>
          <w:rFonts w:ascii="Century" w:hAnsi="Century"/>
          <w:sz w:val="22"/>
          <w:rtl/>
        </w:rPr>
        <w:tab/>
      </w:r>
      <w:r>
        <w:rPr>
          <w:rFonts w:ascii="Century" w:hAnsi="Century" w:hint="cs"/>
          <w:sz w:val="22"/>
          <w:rtl/>
        </w:rPr>
        <w:t xml:space="preserve">ובעניין </w:t>
      </w:r>
      <w:r w:rsidRPr="008B4116">
        <w:rPr>
          <w:rFonts w:ascii="Century" w:hAnsi="Century" w:cs="Miriam" w:hint="cs"/>
          <w:b/>
          <w:spacing w:val="0"/>
          <w:sz w:val="22"/>
          <w:szCs w:val="24"/>
          <w:rtl/>
        </w:rPr>
        <w:t>נתניהו</w:t>
      </w:r>
      <w:r w:rsidRPr="008B4116">
        <w:rPr>
          <w:rFonts w:ascii="Century" w:hAnsi="Century" w:hint="cs"/>
          <w:sz w:val="22"/>
          <w:rtl/>
        </w:rPr>
        <w:t xml:space="preserve"> </w:t>
      </w:r>
      <w:r>
        <w:rPr>
          <w:rFonts w:ascii="Century" w:hAnsi="Century" w:hint="cs"/>
          <w:sz w:val="22"/>
          <w:rtl/>
        </w:rPr>
        <w:t>הוסיף והעיר חברי</w:t>
      </w:r>
      <w:r w:rsidRPr="00F03639">
        <w:rPr>
          <w:rFonts w:ascii="Century" w:hAnsi="Century" w:hint="cs"/>
          <w:sz w:val="22"/>
          <w:rtl/>
        </w:rPr>
        <w:t xml:space="preserve">, </w:t>
      </w:r>
      <w:r>
        <w:rPr>
          <w:rFonts w:ascii="Century" w:hAnsi="Century" w:hint="cs"/>
          <w:sz w:val="22"/>
          <w:rtl/>
        </w:rPr>
        <w:t>כי</w:t>
      </w:r>
      <w:r w:rsidRPr="00F03639">
        <w:rPr>
          <w:rFonts w:ascii="Century" w:hAnsi="Century" w:hint="cs"/>
          <w:sz w:val="22"/>
          <w:rtl/>
        </w:rPr>
        <w:t xml:space="preserve">: </w:t>
      </w:r>
    </w:p>
    <w:p w:rsidR="00D61E12" w:rsidRPr="0060458A" w:rsidRDefault="00D61E12" w:rsidP="00D61E12">
      <w:pPr>
        <w:pStyle w:val="Ruller5"/>
        <w:spacing w:before="240" w:after="240"/>
        <w:rPr>
          <w:rFonts w:ascii="Century" w:hAnsi="Century"/>
          <w:rtl/>
        </w:rPr>
      </w:pPr>
      <w:r>
        <w:rPr>
          <w:rFonts w:hint="cs"/>
          <w:rtl/>
        </w:rPr>
        <w:t xml:space="preserve">"כדאי לזכור ולהזכיר, כי הגם שעילת הסבירות הלכה והתפשטה [...] עדיין, עילה זו </w:t>
      </w:r>
      <w:r>
        <w:rPr>
          <w:rtl/>
        </w:rPr>
        <w:t>–</w:t>
      </w:r>
      <w:r>
        <w:rPr>
          <w:rFonts w:hint="cs"/>
          <w:rtl/>
        </w:rPr>
        <w:t xml:space="preserve"> בעלת חשיבות, אך לוקה בבעייתיות </w:t>
      </w:r>
      <w:r>
        <w:rPr>
          <w:rtl/>
        </w:rPr>
        <w:t>–</w:t>
      </w:r>
      <w:r>
        <w:rPr>
          <w:rFonts w:hint="cs"/>
          <w:rtl/>
        </w:rPr>
        <w:t xml:space="preserve"> אינה חזות הכל; לבטח אינה תנאי בלעדיו-</w:t>
      </w:r>
      <w:r w:rsidRPr="003D1562">
        <w:rPr>
          <w:rFonts w:hint="cs"/>
          <w:rtl/>
        </w:rPr>
        <w:t xml:space="preserve"> </w:t>
      </w:r>
      <w:r>
        <w:rPr>
          <w:rFonts w:hint="cs"/>
          <w:rtl/>
        </w:rPr>
        <w:t xml:space="preserve">איִן לתקומתן של עתירות [...]" (עניין </w:t>
      </w:r>
      <w:r>
        <w:rPr>
          <w:rFonts w:ascii="Century" w:hAnsi="Century" w:cs="Miriam" w:hint="cs"/>
          <w:b/>
          <w:spacing w:val="0"/>
          <w:szCs w:val="24"/>
          <w:rtl/>
        </w:rPr>
        <w:t>נתניהו</w:t>
      </w:r>
      <w:r>
        <w:rPr>
          <w:rFonts w:ascii="Century" w:hAnsi="Century" w:hint="cs"/>
          <w:rtl/>
        </w:rPr>
        <w:t xml:space="preserve">, בפסקה 4 לחוות-דעתו). </w:t>
      </w:r>
    </w:p>
    <w:p w:rsidR="00D61E12" w:rsidRPr="00262295" w:rsidRDefault="00D61E12" w:rsidP="00D61E12">
      <w:pPr>
        <w:pStyle w:val="Ruller4"/>
        <w:spacing w:before="240" w:after="240"/>
        <w:rPr>
          <w:rFonts w:ascii="Century" w:hAnsi="Century"/>
          <w:sz w:val="22"/>
          <w:rtl/>
        </w:rPr>
      </w:pPr>
      <w:r>
        <w:rPr>
          <w:rFonts w:ascii="Century" w:hAnsi="Century" w:hint="cs"/>
          <w:sz w:val="22"/>
          <w:rtl/>
        </w:rPr>
        <w:lastRenderedPageBreak/>
        <w:t xml:space="preserve">גם פרופ' מנחם מאוטנר הביע, לא אחת, דברי ביקורת </w:t>
      </w:r>
      <w:r w:rsidRPr="00484DA9">
        <w:rPr>
          <w:rFonts w:ascii="Century" w:hAnsi="Century" w:hint="cs"/>
          <w:sz w:val="22"/>
          <w:rtl/>
        </w:rPr>
        <w:t>בקשר למבחן איזון האינטרסים</w:t>
      </w:r>
      <w:r w:rsidRPr="00262295">
        <w:rPr>
          <w:rFonts w:ascii="Century" w:hAnsi="Century" w:hint="cs"/>
          <w:sz w:val="22"/>
          <w:rtl/>
        </w:rPr>
        <w:t xml:space="preserve">: </w:t>
      </w:r>
    </w:p>
    <w:p w:rsidR="00D61E12" w:rsidRPr="0060458A" w:rsidRDefault="00D61E12" w:rsidP="00D61E12">
      <w:pPr>
        <w:pStyle w:val="Ruller5"/>
        <w:spacing w:before="240" w:after="240"/>
        <w:rPr>
          <w:rFonts w:ascii="Century" w:hAnsi="Century"/>
          <w:rtl/>
        </w:rPr>
      </w:pPr>
      <w:r>
        <w:rPr>
          <w:rFonts w:hint="cs"/>
          <w:rtl/>
        </w:rPr>
        <w:t xml:space="preserve">"בחלק מהמקרים מפעיל בג"ץ את מבחן הסבירות בדרך שאני מכנה 'סבירות מקצועית'. כאשר בית המשפט מפעיל את מבחן הסבירות בדרך זו, הוא בוחן לגופם את השיקולים המקצועיים של רשויות המנהל, הנופלים בגדר המומחיות והידע המקצועיים הייחודיים של הרשות. שופט המפעיל בדרך זו את מבחן הסבירות משתמש למעשה ב'שכל הישר' שלו על מנת לבחון את המידה שבה הפעלת הסמכות על ידי הרשות היא סבירה. משמע: שופט המפעיל את מבחן הסבירות המקצועית אינו עושה שימוש באיזה כישור שהוא ייחודי לו כמשפטן או כשופט. הוא משתמש בידע שרכש כאדם הנמנה עם קבוצה חברתית מסוימת" (מנחם מאוטנר "בין כשירות לסבירות בעקבות בג"ץ 5853/07 אמונה </w:t>
      </w:r>
      <w:r>
        <w:rPr>
          <w:rtl/>
        </w:rPr>
        <w:t>–</w:t>
      </w:r>
      <w:r>
        <w:rPr>
          <w:rFonts w:hint="cs"/>
          <w:rtl/>
        </w:rPr>
        <w:t xml:space="preserve"> תנועת האישה הדתית הלאומית נ' ראש הממשלה, מר אהוד אולמרט" </w:t>
      </w:r>
      <w:r>
        <w:rPr>
          <w:rFonts w:ascii="Century" w:hAnsi="Century" w:cs="Miriam" w:hint="cs"/>
          <w:b/>
          <w:spacing w:val="0"/>
          <w:szCs w:val="24"/>
          <w:rtl/>
        </w:rPr>
        <w:t xml:space="preserve">המשפט </w:t>
      </w:r>
      <w:r>
        <w:rPr>
          <w:rFonts w:ascii="Century" w:hAnsi="Century" w:hint="cs"/>
          <w:rtl/>
        </w:rPr>
        <w:t xml:space="preserve">יד 403, </w:t>
      </w:r>
      <w:r w:rsidRPr="0017345E">
        <w:rPr>
          <w:rFonts w:ascii="Century" w:hAnsi="Century" w:hint="cs"/>
          <w:rtl/>
        </w:rPr>
        <w:t xml:space="preserve">413 </w:t>
      </w:r>
      <w:r>
        <w:rPr>
          <w:rFonts w:ascii="Century" w:hAnsi="Century" w:hint="cs"/>
          <w:rtl/>
        </w:rPr>
        <w:t xml:space="preserve">(2008)). </w:t>
      </w:r>
    </w:p>
    <w:p w:rsidR="00D61E12" w:rsidRDefault="00D61E12" w:rsidP="00D61E12">
      <w:pPr>
        <w:pStyle w:val="Ruller41"/>
        <w:spacing w:before="240" w:after="240"/>
        <w:rPr>
          <w:rtl/>
        </w:rPr>
      </w:pPr>
      <w:r>
        <w:rPr>
          <w:rtl/>
        </w:rPr>
        <w:tab/>
      </w:r>
      <w:r>
        <w:rPr>
          <w:rFonts w:hint="cs"/>
          <w:rtl/>
        </w:rPr>
        <w:t xml:space="preserve">פרופ' מאוטנר הוסיף והעיר </w:t>
      </w:r>
      <w:r w:rsidRPr="00484DA9">
        <w:rPr>
          <w:rFonts w:ascii="Century" w:hAnsi="Century" w:hint="cs"/>
          <w:rtl/>
        </w:rPr>
        <w:t>כי מבחן איזון האינטרסים כרוך</w:t>
      </w:r>
      <w:r w:rsidRPr="00484DA9">
        <w:rPr>
          <w:rFonts w:hint="cs"/>
          <w:rtl/>
        </w:rPr>
        <w:t xml:space="preserve"> </w:t>
      </w:r>
      <w:r>
        <w:rPr>
          <w:rFonts w:hint="cs"/>
          <w:rtl/>
        </w:rPr>
        <w:t xml:space="preserve">באי-וודאות אינהרנטית, שכן: </w:t>
      </w:r>
    </w:p>
    <w:p w:rsidR="00D61E12" w:rsidRDefault="00D61E12" w:rsidP="00D61E12">
      <w:pPr>
        <w:pStyle w:val="Ruller5"/>
        <w:spacing w:before="240" w:after="240"/>
        <w:rPr>
          <w:rFonts w:ascii="Century" w:hAnsi="Century"/>
          <w:rtl/>
        </w:rPr>
      </w:pPr>
      <w:r w:rsidRPr="00313010">
        <w:rPr>
          <w:rFonts w:hint="cs"/>
          <w:rtl/>
        </w:rPr>
        <w:t>"אין בנמצא נוסחה לאיתורם של עקרונות מסוימים, ולא אחרים, מתוך עושר התכנים העצום של משפט המדינה, כרלוונטיים לצורך החלטה מנהלית או פוליטית מסוימת, ואין בנמצא נוסחה למתן משקלות יחסיים לעקרונות, משעה שאותרו כרלוונטיים מהבחינה המשפטית, ולאיזונם</w:t>
      </w:r>
      <w:r>
        <w:rPr>
          <w:rFonts w:hint="cs"/>
          <w:rtl/>
        </w:rPr>
        <w:t xml:space="preserve"> [...] </w:t>
      </w:r>
      <w:r w:rsidRPr="00F87AE1">
        <w:rPr>
          <w:rFonts w:ascii="Century" w:hAnsi="Century" w:hint="cs"/>
          <w:rtl/>
        </w:rPr>
        <w:t>עם הפעלתה של</w:t>
      </w:r>
      <w:r>
        <w:rPr>
          <w:rFonts w:ascii="Century" w:hAnsi="Century" w:hint="cs"/>
          <w:rtl/>
        </w:rPr>
        <w:t xml:space="preserve"> עילת הסבירות, חדל בג"ץ מלהיות '</w:t>
      </w:r>
      <w:r w:rsidRPr="00F87AE1">
        <w:rPr>
          <w:rFonts w:ascii="Century" w:hAnsi="Century" w:hint="cs"/>
          <w:rtl/>
        </w:rPr>
        <w:t>שומר הגו</w:t>
      </w:r>
      <w:r>
        <w:rPr>
          <w:rFonts w:ascii="Century" w:hAnsi="Century" w:hint="cs"/>
          <w:rtl/>
        </w:rPr>
        <w:t>בלות'</w:t>
      </w:r>
      <w:r w:rsidRPr="00F87AE1">
        <w:rPr>
          <w:rFonts w:ascii="Century" w:hAnsi="Century" w:hint="cs"/>
          <w:rtl/>
        </w:rPr>
        <w:t xml:space="preserve"> של החלטות מנהליות, והפך עצמו למי שבוחן את ההחלטות גופן. </w:t>
      </w:r>
      <w:r>
        <w:rPr>
          <w:rFonts w:ascii="Century" w:hAnsi="Century" w:hint="cs"/>
          <w:rtl/>
        </w:rPr>
        <w:t>במקרים של הפעלת עילת הסבירות כ'סבירות מקצועית'</w:t>
      </w:r>
      <w:r w:rsidRPr="00F87AE1">
        <w:rPr>
          <w:rFonts w:ascii="Century" w:hAnsi="Century" w:hint="cs"/>
          <w:rtl/>
        </w:rPr>
        <w:t>, נעשתה הבחינה לגופן של ההחלטות</w:t>
      </w:r>
      <w:r w:rsidRPr="00313010">
        <w:rPr>
          <w:rFonts w:hint="cs"/>
          <w:rtl/>
        </w:rPr>
        <w:t>" (</w:t>
      </w:r>
      <w:r>
        <w:rPr>
          <w:rFonts w:ascii="Century" w:hAnsi="Century" w:cs="Miriam" w:hint="cs"/>
          <w:b/>
          <w:spacing w:val="0"/>
          <w:szCs w:val="24"/>
          <w:rtl/>
        </w:rPr>
        <w:t>שם</w:t>
      </w:r>
      <w:r>
        <w:rPr>
          <w:rFonts w:ascii="Century" w:hAnsi="Century" w:hint="cs"/>
          <w:rtl/>
        </w:rPr>
        <w:t>, בעמודים 416-415).</w:t>
      </w:r>
    </w:p>
    <w:p w:rsidR="00D61E12" w:rsidRPr="002E3F7C" w:rsidRDefault="00D61E12" w:rsidP="002A1A3A">
      <w:pPr>
        <w:pStyle w:val="Ruller41"/>
        <w:numPr>
          <w:ilvl w:val="1"/>
          <w:numId w:val="16"/>
        </w:numPr>
        <w:spacing w:before="240" w:after="240"/>
        <w:rPr>
          <w:rFonts w:ascii="Century" w:hAnsi="Century" w:cs="Miriam"/>
          <w:b/>
          <w:spacing w:val="0"/>
          <w:szCs w:val="24"/>
          <w:rtl/>
        </w:rPr>
      </w:pPr>
      <w:r>
        <w:rPr>
          <w:rFonts w:ascii="Century" w:hAnsi="Century" w:cs="Miriam" w:hint="cs"/>
          <w:b/>
          <w:spacing w:val="0"/>
          <w:szCs w:val="24"/>
          <w:rtl/>
        </w:rPr>
        <w:t>פרשנות תיקון מס' 3 לחוק-יסוד השפיטה</w:t>
      </w:r>
    </w:p>
    <w:p w:rsidR="00D61E12" w:rsidRDefault="00D61E12" w:rsidP="00D61E12">
      <w:pPr>
        <w:pStyle w:val="Ruller4"/>
        <w:spacing w:before="240" w:after="240"/>
      </w:pPr>
      <w:r>
        <w:rPr>
          <w:rFonts w:hint="cs"/>
          <w:rtl/>
        </w:rPr>
        <w:t>בהינתן האמור לעיל, ניתן היה לסבור, כי תיקון מס' 3 נועד למנוע מבתי המשפט לעשות שימוש במבחן הסבירות האיזונית, שכאמור הוא זה שעומד במחלוקת עמוקה, מזה עשרות שנים; ולא לשלול את סמכותם של בתי המשפט מלדון בעילת הסבירות על יתר היבטיה, שעניינם בהחלטה מופרכת, קפריזית ובלתי מתקבלת על הדעת.</w:t>
      </w:r>
    </w:p>
    <w:p w:rsidR="00D61E12" w:rsidRDefault="00D61E12" w:rsidP="00D61E12">
      <w:pPr>
        <w:pStyle w:val="Ruller4"/>
        <w:spacing w:before="240" w:after="240"/>
        <w:rPr>
          <w:rtl/>
        </w:rPr>
      </w:pPr>
      <w:r>
        <w:rPr>
          <w:rFonts w:hint="cs"/>
          <w:rtl/>
        </w:rPr>
        <w:t xml:space="preserve">לעמדה זו ניתן לכאורה למצוא תימוכין </w:t>
      </w:r>
      <w:r w:rsidRPr="00C9407C">
        <w:rPr>
          <w:rFonts w:ascii="Century" w:hAnsi="Century" w:hint="cs"/>
          <w:sz w:val="22"/>
          <w:rtl/>
        </w:rPr>
        <w:t>ב</w:t>
      </w:r>
      <w:r w:rsidRPr="00C9407C">
        <w:rPr>
          <w:rFonts w:ascii="Century" w:hAnsi="Century"/>
          <w:sz w:val="22"/>
          <w:rtl/>
        </w:rPr>
        <w:t>דברי ההסבר ל</w:t>
      </w:r>
      <w:r>
        <w:rPr>
          <w:rFonts w:ascii="Century" w:hAnsi="Century"/>
          <w:sz w:val="22"/>
          <w:rtl/>
        </w:rPr>
        <w:t>תיקון מס' 3</w:t>
      </w:r>
      <w:r>
        <w:rPr>
          <w:rFonts w:hint="cs"/>
          <w:rtl/>
        </w:rPr>
        <w:t>, בהם נכתב כך:</w:t>
      </w:r>
    </w:p>
    <w:p w:rsidR="00D61E12" w:rsidRDefault="00D61E12" w:rsidP="00D61E12">
      <w:pPr>
        <w:pStyle w:val="Ruller5"/>
        <w:spacing w:before="240" w:after="240"/>
        <w:ind w:left="1644" w:right="1281"/>
        <w:rPr>
          <w:rtl/>
        </w:rPr>
      </w:pPr>
      <w:r>
        <w:rPr>
          <w:rFonts w:hint="cs"/>
          <w:rtl/>
        </w:rPr>
        <w:t xml:space="preserve">"[...] </w:t>
      </w:r>
      <w:r>
        <w:rPr>
          <w:rtl/>
        </w:rPr>
        <w:t xml:space="preserve">התפתחות עילות של הביקורת המינהלית נעשתה בעיקרה בפסיקה, ובכלל זה התפתחה עילת הסבירות. </w:t>
      </w:r>
      <w:r w:rsidRPr="000534D7">
        <w:rPr>
          <w:rFonts w:ascii="Century" w:hAnsi="Century" w:cs="Miriam"/>
          <w:b/>
          <w:spacing w:val="0"/>
          <w:szCs w:val="24"/>
          <w:rtl/>
        </w:rPr>
        <w:lastRenderedPageBreak/>
        <w:t xml:space="preserve">כיום עילה זו מאפשרת לבית המשפט לפסול החלטה מינהלית הלוקה בחוסר סבירות במובן זה שהיא אינה נותנת </w:t>
      </w:r>
      <w:r>
        <w:rPr>
          <w:rFonts w:ascii="Century" w:hAnsi="Century" w:cs="Miriam" w:hint="cs"/>
          <w:b/>
          <w:spacing w:val="0"/>
          <w:szCs w:val="24"/>
          <w:rtl/>
        </w:rPr>
        <w:t>'</w:t>
      </w:r>
      <w:r w:rsidRPr="000534D7">
        <w:rPr>
          <w:rFonts w:ascii="Century" w:hAnsi="Century" w:cs="Miriam"/>
          <w:b/>
          <w:spacing w:val="0"/>
          <w:szCs w:val="24"/>
          <w:rtl/>
        </w:rPr>
        <w:t>משקל ראוי לאינטרסים השונים שעל הרשות המינהלית להתחשב בהם בהחלטתה</w:t>
      </w:r>
      <w:r>
        <w:rPr>
          <w:rFonts w:ascii="Century" w:hAnsi="Century" w:cs="Miriam" w:hint="cs"/>
          <w:b/>
          <w:spacing w:val="0"/>
          <w:szCs w:val="24"/>
          <w:rtl/>
        </w:rPr>
        <w:t>'</w:t>
      </w:r>
      <w:r w:rsidRPr="000534D7">
        <w:rPr>
          <w:rtl/>
        </w:rPr>
        <w:t xml:space="preserve"> </w:t>
      </w:r>
      <w:r>
        <w:rPr>
          <w:rtl/>
        </w:rPr>
        <w:t xml:space="preserve">(בג"ץ 389/80 </w:t>
      </w:r>
      <w:r w:rsidRPr="000534D7">
        <w:rPr>
          <w:rFonts w:ascii="Century" w:hAnsi="Century" w:cs="Miriam"/>
          <w:b/>
          <w:spacing w:val="0"/>
          <w:szCs w:val="24"/>
          <w:rtl/>
        </w:rPr>
        <w:t>דפי זהב בע"מ נ' רשות השידור</w:t>
      </w:r>
      <w:r>
        <w:rPr>
          <w:rtl/>
        </w:rPr>
        <w:t>, פ"ד לה(1), 421 437 (1980)), וזאת כשמדובר ב"חוסר סבירות מהותי או קיצוני" (שם, שם</w:t>
      </w:r>
      <w:r>
        <w:rPr>
          <w:rFonts w:hint="cs"/>
          <w:rtl/>
        </w:rPr>
        <w:t>).</w:t>
      </w:r>
    </w:p>
    <w:p w:rsidR="00D61E12" w:rsidRDefault="00D61E12" w:rsidP="00D61E12">
      <w:pPr>
        <w:pStyle w:val="Ruller5"/>
        <w:spacing w:before="240" w:after="240"/>
        <w:ind w:left="1644" w:right="1281"/>
        <w:rPr>
          <w:rtl/>
        </w:rPr>
      </w:pPr>
      <w:r>
        <w:rPr>
          <w:rtl/>
        </w:rPr>
        <w:t xml:space="preserve">על השימוש בעילת הסבירות </w:t>
      </w:r>
      <w:r w:rsidRPr="000534D7">
        <w:rPr>
          <w:rFonts w:ascii="Century" w:hAnsi="Century" w:cs="Miriam"/>
          <w:b/>
          <w:spacing w:val="0"/>
          <w:szCs w:val="24"/>
          <w:rtl/>
        </w:rPr>
        <w:t>במובנה זה</w:t>
      </w:r>
      <w:r>
        <w:rPr>
          <w:rtl/>
        </w:rPr>
        <w:t>, ובפרט על החלת עילת הסבירות בנוגע להחלטות של הדרג הנבחר, נטען בין היתר כי קביעת האיזון הערכי בין השיקולים השונים הנוגעים להחלטה מינהלית צריכה להיות נתונה לנבחרי הציבור ולא לבית המשפט. לפיכך מוצע לקבוע בחוק־יסוד: השפיטה כי רשות שיפוטית לא תוכל לדון בעניין סבירות ההחלטה של הממשלה במליאתה, של ראש הממשלה או של שר אחר וכן של נבחר ציבור אחר כפי שייקבע בחוק, או להוציא צו כלפי דרג נבחר בעניין סבירות החלטתו.</w:t>
      </w:r>
      <w:r>
        <w:rPr>
          <w:rFonts w:hint="cs"/>
          <w:rtl/>
        </w:rPr>
        <w:t>"</w:t>
      </w:r>
    </w:p>
    <w:p w:rsidR="00D61E12" w:rsidRPr="000534D7" w:rsidRDefault="00D61E12" w:rsidP="00D61E12">
      <w:pPr>
        <w:pStyle w:val="Ruller4"/>
        <w:spacing w:before="240" w:after="240"/>
      </w:pPr>
      <w:r>
        <w:rPr>
          <w:rFonts w:ascii="Century" w:hAnsi="Century" w:hint="cs"/>
          <w:sz w:val="22"/>
          <w:rtl/>
        </w:rPr>
        <w:t>לא זו אף זו, כך טענו לפנינו משיבי הממשלה בתצהיר התשובה מטעמם (</w:t>
      </w:r>
      <w:r w:rsidRPr="00105C0F">
        <w:rPr>
          <w:rFonts w:ascii="Century" w:hAnsi="Century" w:hint="cs"/>
          <w:sz w:val="22"/>
          <w:rtl/>
        </w:rPr>
        <w:t>בפסקה</w:t>
      </w:r>
      <w:r>
        <w:rPr>
          <w:rFonts w:ascii="Century" w:hAnsi="Century" w:hint="cs"/>
          <w:sz w:val="22"/>
          <w:rtl/>
        </w:rPr>
        <w:t xml:space="preserve"> 165), בטרם שינוי עמדתם בדיון שהתקיים לפנינו ובהשלמת הטיעון מטעמם. כך גם הציעה הכנסת</w:t>
      </w:r>
      <w:r>
        <w:rPr>
          <w:rFonts w:hint="cs"/>
          <w:rtl/>
        </w:rPr>
        <w:t xml:space="preserve"> כי אפשר לפרש את הוראת התיקון.</w:t>
      </w:r>
    </w:p>
    <w:p w:rsidR="00D61E12" w:rsidRDefault="00D61E12" w:rsidP="00D61E12">
      <w:pPr>
        <w:pStyle w:val="Ruller4"/>
        <w:spacing w:before="240" w:after="240"/>
        <w:rPr>
          <w:rFonts w:ascii="Century" w:hAnsi="Century"/>
          <w:sz w:val="22"/>
        </w:rPr>
      </w:pPr>
      <w:r>
        <w:rPr>
          <w:rFonts w:ascii="Century" w:hAnsi="Century" w:hint="cs"/>
          <w:sz w:val="22"/>
          <w:rtl/>
        </w:rPr>
        <w:t xml:space="preserve">ודוק. לו זה היה פועלו של תיקון מס' 3, סבורני כי קשה היה לטעון שמדובר בשינוי סדרי עולם, שכן משמעות הדברים הייתה </w:t>
      </w:r>
      <w:r>
        <w:rPr>
          <w:rFonts w:ascii="Century" w:hAnsi="Century"/>
          <w:sz w:val="22"/>
          <w:rtl/>
        </w:rPr>
        <w:t>–</w:t>
      </w:r>
      <w:r>
        <w:rPr>
          <w:rFonts w:ascii="Century" w:hAnsi="Century" w:hint="cs"/>
          <w:sz w:val="22"/>
          <w:rtl/>
        </w:rPr>
        <w:t xml:space="preserve"> חזרה של המשפט המינהלי הישראלי למצבו עד לשנות ה-8</w:t>
      </w:r>
      <w:r w:rsidRPr="00017064">
        <w:rPr>
          <w:rFonts w:ascii="Century" w:hAnsi="Century" w:hint="cs"/>
          <w:sz w:val="22"/>
          <w:rtl/>
        </w:rPr>
        <w:t>0 של המאה הקודמת. מי שהיה מבקש לטעון כי החלטה כזו פוגעת בליבתה של מדינת ישראל כמדינה דמוקרטית, היה ניצב אפוא בפני משוכה משמעותית. אולי בלתי עבירה.</w:t>
      </w:r>
    </w:p>
    <w:p w:rsidR="00D61E12" w:rsidRDefault="00D61E12" w:rsidP="00D61E12">
      <w:pPr>
        <w:pStyle w:val="Ruller4"/>
        <w:numPr>
          <w:ilvl w:val="0"/>
          <w:numId w:val="0"/>
        </w:numPr>
        <w:spacing w:before="240" w:after="240"/>
        <w:rPr>
          <w:rFonts w:ascii="Century" w:hAnsi="Century"/>
          <w:sz w:val="22"/>
        </w:rPr>
      </w:pPr>
      <w:r>
        <w:rPr>
          <w:rFonts w:ascii="Century" w:hAnsi="Century"/>
          <w:sz w:val="22"/>
          <w:rtl/>
        </w:rPr>
        <w:tab/>
      </w:r>
      <w:r w:rsidRPr="00017064">
        <w:rPr>
          <w:rFonts w:ascii="Century" w:hAnsi="Century" w:hint="cs"/>
          <w:sz w:val="22"/>
          <w:rtl/>
        </w:rPr>
        <w:t>במצב כזה, הייתי נוטה לצר</w:t>
      </w:r>
      <w:r>
        <w:rPr>
          <w:rFonts w:ascii="Century" w:hAnsi="Century" w:hint="cs"/>
          <w:sz w:val="22"/>
          <w:rtl/>
        </w:rPr>
        <w:t>ף את דעתי לעמדה שלפיה דין העתירות</w:t>
      </w:r>
      <w:r w:rsidRPr="00017064">
        <w:rPr>
          <w:rFonts w:ascii="Century" w:hAnsi="Century" w:hint="cs"/>
          <w:sz w:val="22"/>
          <w:rtl/>
        </w:rPr>
        <w:t xml:space="preserve"> להידחות.</w:t>
      </w:r>
    </w:p>
    <w:p w:rsidR="00D61E12" w:rsidRPr="00EA7AF4" w:rsidRDefault="00D61E12" w:rsidP="00D61E12">
      <w:pPr>
        <w:pStyle w:val="Ruller4"/>
        <w:spacing w:before="240" w:after="240"/>
        <w:rPr>
          <w:rFonts w:ascii="Century" w:hAnsi="Century"/>
          <w:sz w:val="22"/>
          <w:rtl/>
        </w:rPr>
      </w:pPr>
      <w:r>
        <w:rPr>
          <w:rFonts w:hint="cs"/>
          <w:rtl/>
        </w:rPr>
        <w:t xml:space="preserve">מנגד, אם פועלו של תיקון מס' 3 הוא כזה שמבטל את סמכות בית המשפט לדון בעילת הסבירות בכללותה, משמעות הדבר היא כי בית המשפט לא רשאי לבקר או ליתן סעד, ביחס לפעולה מופרכת ואבסורדית של </w:t>
      </w:r>
      <w:r w:rsidRPr="00C9407C">
        <w:rPr>
          <w:rFonts w:ascii="Century" w:hAnsi="Century" w:hint="cs"/>
          <w:sz w:val="22"/>
          <w:rtl/>
        </w:rPr>
        <w:t>הממשלה, העומד בראשה ושריה</w:t>
      </w:r>
      <w:r>
        <w:rPr>
          <w:rFonts w:hint="cs"/>
          <w:rtl/>
        </w:rPr>
        <w:t>.</w:t>
      </w:r>
      <w:r>
        <w:rPr>
          <w:rFonts w:ascii="Century" w:hAnsi="Century" w:hint="cs"/>
          <w:sz w:val="22"/>
          <w:rtl/>
        </w:rPr>
        <w:t xml:space="preserve"> </w:t>
      </w:r>
      <w:r>
        <w:rPr>
          <w:rFonts w:hint="cs"/>
          <w:rtl/>
        </w:rPr>
        <w:t xml:space="preserve">דא עקא, שכפי שהוסבר לעיל, כאשר רשות מינהלית פועלת באופן מופרך ואבסורדי </w:t>
      </w:r>
      <w:r>
        <w:rPr>
          <w:rtl/>
        </w:rPr>
        <w:t>–</w:t>
      </w:r>
      <w:r>
        <w:rPr>
          <w:rFonts w:hint="cs"/>
          <w:rtl/>
        </w:rPr>
        <w:t xml:space="preserve"> פעולה כזו שאף אדם בר דעת לא היה מעלה על דעתו שלשם כך ניתנה לה הסמכות </w:t>
      </w:r>
      <w:r>
        <w:rPr>
          <w:rtl/>
        </w:rPr>
        <w:t>–</w:t>
      </w:r>
      <w:r>
        <w:rPr>
          <w:rFonts w:hint="cs"/>
          <w:rtl/>
        </w:rPr>
        <w:t xml:space="preserve"> הרי שהחלטתה איננה חוקית.</w:t>
      </w:r>
    </w:p>
    <w:p w:rsidR="00D61E12" w:rsidRDefault="00D61E12" w:rsidP="00D61E12">
      <w:pPr>
        <w:pStyle w:val="Ruller4"/>
        <w:rPr>
          <w:rtl/>
        </w:rPr>
      </w:pPr>
      <w:r>
        <w:rPr>
          <w:rFonts w:hint="cs"/>
          <w:rtl/>
        </w:rPr>
        <w:t xml:space="preserve">הווה אומר, ככל שתיקון מס' 3 אכן מונע מבית המשפט לבקר את פעולתם של בכירי הרשות המבצעת, גם כאשר ברור כי פעולה זו נעשתה שלא בסמכות, הרי שיש לכך משמעות אחת </w:t>
      </w:r>
      <w:r>
        <w:rPr>
          <w:rtl/>
        </w:rPr>
        <w:t>–</w:t>
      </w:r>
      <w:r>
        <w:rPr>
          <w:rFonts w:hint="cs"/>
          <w:rtl/>
        </w:rPr>
        <w:t xml:space="preserve"> המחוקק ביקש לפטור את הממשלה ושריה מעוּלוֹ של הציות לדין; ולמצער מעוּלוֹ של הדיין, וכידוע 'באין דיין אין דין' </w:t>
      </w:r>
      <w:r w:rsidRPr="00017064">
        <w:rPr>
          <w:rFonts w:hint="cs"/>
          <w:rtl/>
        </w:rPr>
        <w:t>(</w:t>
      </w:r>
      <w:r w:rsidRPr="00017064">
        <w:rPr>
          <w:rtl/>
        </w:rPr>
        <w:t>ע</w:t>
      </w:r>
      <w:r>
        <w:rPr>
          <w:rFonts w:hint="cs"/>
          <w:rtl/>
        </w:rPr>
        <w:t>ניין</w:t>
      </w:r>
      <w:r w:rsidRPr="00017064">
        <w:rPr>
          <w:rtl/>
        </w:rPr>
        <w:t xml:space="preserve"> </w:t>
      </w:r>
      <w:r>
        <w:rPr>
          <w:rFonts w:ascii="Century" w:hAnsi="Century" w:cs="Miriam"/>
          <w:b/>
          <w:spacing w:val="0"/>
          <w:sz w:val="22"/>
          <w:szCs w:val="24"/>
          <w:rtl/>
        </w:rPr>
        <w:t>ארפל</w:t>
      </w:r>
      <w:r>
        <w:rPr>
          <w:rFonts w:ascii="Century" w:hAnsi="Century" w:hint="cs"/>
          <w:sz w:val="22"/>
          <w:rtl/>
        </w:rPr>
        <w:t xml:space="preserve">, בעמוד </w:t>
      </w:r>
      <w:r w:rsidRPr="00017064">
        <w:rPr>
          <w:rFonts w:ascii="Century" w:hAnsi="Century" w:hint="cs"/>
          <w:sz w:val="22"/>
          <w:rtl/>
        </w:rPr>
        <w:t>629</w:t>
      </w:r>
      <w:r>
        <w:rPr>
          <w:rFonts w:ascii="Century" w:hAnsi="Century" w:hint="cs"/>
          <w:sz w:val="22"/>
          <w:rtl/>
        </w:rPr>
        <w:t>: "</w:t>
      </w:r>
      <w:r>
        <w:rPr>
          <w:rFonts w:ascii="Century" w:hAnsi="Century" w:cs="Miriam" w:hint="cs"/>
          <w:b/>
          <w:spacing w:val="0"/>
          <w:sz w:val="22"/>
          <w:szCs w:val="24"/>
          <w:rtl/>
        </w:rPr>
        <w:t>ב</w:t>
      </w:r>
      <w:r w:rsidRPr="00C25110">
        <w:rPr>
          <w:rFonts w:ascii="Century" w:hAnsi="Century" w:cs="Miriam"/>
          <w:b/>
          <w:spacing w:val="0"/>
          <w:sz w:val="22"/>
          <w:szCs w:val="24"/>
          <w:rtl/>
        </w:rPr>
        <w:t xml:space="preserve">אין </w:t>
      </w:r>
      <w:r w:rsidRPr="00C25110">
        <w:rPr>
          <w:rFonts w:ascii="Century" w:hAnsi="Century" w:cs="Miriam"/>
          <w:b/>
          <w:spacing w:val="0"/>
          <w:sz w:val="22"/>
          <w:szCs w:val="24"/>
          <w:rtl/>
        </w:rPr>
        <w:lastRenderedPageBreak/>
        <w:t>רשות שופטת, באין ביקורת על מעשי הפרט והשלטון, ייפרע עם ותאבד ממלכה. באין ביקורת שיפוטית יאבד שלטון החוק ותיעלמנה זכויות-היסוד</w:t>
      </w:r>
      <w:r w:rsidRPr="00C25110">
        <w:rPr>
          <w:rFonts w:ascii="Century" w:hAnsi="Century" w:cs="Miriam" w:hint="cs"/>
          <w:b/>
          <w:spacing w:val="0"/>
          <w:sz w:val="22"/>
          <w:szCs w:val="24"/>
          <w:rtl/>
        </w:rPr>
        <w:t xml:space="preserve"> [...] </w:t>
      </w:r>
      <w:r w:rsidRPr="00C25110">
        <w:rPr>
          <w:rFonts w:ascii="Century" w:hAnsi="Century" w:cs="Miriam"/>
          <w:b/>
          <w:spacing w:val="0"/>
          <w:sz w:val="22"/>
          <w:szCs w:val="24"/>
          <w:rtl/>
        </w:rPr>
        <w:t>בחסימת הדרך לבית-משפט ייעלם ואיננו הדַיין, ובאין דיין ייעלם אף הדין עמו</w:t>
      </w:r>
      <w:r>
        <w:rPr>
          <w:rFonts w:hint="cs"/>
          <w:rtl/>
        </w:rPr>
        <w:t xml:space="preserve">" (ההפניות הושמטו </w:t>
      </w:r>
      <w:r>
        <w:rPr>
          <w:rtl/>
        </w:rPr>
        <w:t>–</w:t>
      </w:r>
      <w:r>
        <w:rPr>
          <w:rFonts w:hint="cs"/>
          <w:rtl/>
        </w:rPr>
        <w:t xml:space="preserve"> ח' כ')</w:t>
      </w:r>
      <w:r w:rsidRPr="00C25110">
        <w:rPr>
          <w:rFonts w:ascii="Century" w:hAnsi="Century" w:hint="cs"/>
          <w:sz w:val="22"/>
          <w:rtl/>
        </w:rPr>
        <w:t>).</w:t>
      </w:r>
      <w:r w:rsidRPr="00017064">
        <w:rPr>
          <w:rFonts w:hint="cs"/>
          <w:rtl/>
        </w:rPr>
        <w:t xml:space="preserve"> </w:t>
      </w:r>
      <w:r>
        <w:rPr>
          <w:rFonts w:hint="cs"/>
          <w:rtl/>
        </w:rPr>
        <w:t xml:space="preserve">בנקודה זו, שותף אני לגישתו של חברי, השופט </w:t>
      </w:r>
      <w:r w:rsidRPr="00C25110">
        <w:rPr>
          <w:rFonts w:ascii="Century" w:hAnsi="Century" w:cs="Miriam" w:hint="cs"/>
          <w:b/>
          <w:spacing w:val="0"/>
          <w:sz w:val="22"/>
          <w:szCs w:val="24"/>
          <w:rtl/>
        </w:rPr>
        <w:t>שטיין</w:t>
      </w:r>
      <w:r>
        <w:rPr>
          <w:rFonts w:hint="cs"/>
          <w:rtl/>
        </w:rPr>
        <w:t xml:space="preserve">, אשר סבר כי אם זה היה הפירוש הנכון לתיקון, הרי שהכנסת לא הייתה מוסמכת לחוקקו (בפסקה 98 לחוות דעתו). דומה כי אף חברתי השופטת </w:t>
      </w:r>
      <w:r w:rsidRPr="00C25110">
        <w:rPr>
          <w:rFonts w:ascii="Century" w:hAnsi="Century" w:cs="Miriam" w:hint="cs"/>
          <w:b/>
          <w:spacing w:val="0"/>
          <w:sz w:val="22"/>
          <w:szCs w:val="24"/>
          <w:rtl/>
        </w:rPr>
        <w:t xml:space="preserve">וילנר </w:t>
      </w:r>
      <w:r w:rsidRPr="00C25110">
        <w:rPr>
          <w:rFonts w:ascii="Century" w:hAnsi="Century" w:hint="cs"/>
          <w:sz w:val="22"/>
          <w:rtl/>
        </w:rPr>
        <w:t>שותפה לעמדה זו, שכן היא מציינת כי פרשנותה את התיקון היא "</w:t>
      </w:r>
      <w:r w:rsidRPr="00C25110">
        <w:rPr>
          <w:rFonts w:ascii="Century" w:hAnsi="Century" w:cs="Miriam" w:hint="cs"/>
          <w:b/>
          <w:spacing w:val="0"/>
          <w:sz w:val="22"/>
          <w:szCs w:val="24"/>
          <w:rtl/>
        </w:rPr>
        <w:t>פרשנות מקיימת</w:t>
      </w:r>
      <w:r w:rsidRPr="00C25110">
        <w:rPr>
          <w:rFonts w:ascii="Century" w:hAnsi="Century" w:hint="cs"/>
          <w:sz w:val="22"/>
          <w:rtl/>
        </w:rPr>
        <w:t>" (בפסקה 7 לחוות דעתה)</w:t>
      </w:r>
      <w:r>
        <w:rPr>
          <w:rFonts w:hint="cs"/>
          <w:rtl/>
        </w:rPr>
        <w:t>. שמע מינה, כי גם לגישת חברתי, בלעדי פרשנותה המקיימת, היה מקום לבטל את הוראת התיקון.</w:t>
      </w:r>
    </w:p>
    <w:p w:rsidR="00D61E12" w:rsidRPr="0005204A" w:rsidRDefault="00D61E12" w:rsidP="00D61E12">
      <w:pPr>
        <w:pStyle w:val="Ruller4"/>
        <w:spacing w:before="240" w:after="240"/>
        <w:rPr>
          <w:rtl/>
        </w:rPr>
      </w:pPr>
      <w:r>
        <w:rPr>
          <w:rFonts w:hint="cs"/>
          <w:rtl/>
        </w:rPr>
        <w:t>נראה אם כן, כי אחת המחלוקות העיקריות</w:t>
      </w:r>
      <w:r w:rsidRPr="008351AF">
        <w:rPr>
          <w:rFonts w:hint="cs"/>
          <w:rtl/>
        </w:rPr>
        <w:t xml:space="preserve"> </w:t>
      </w:r>
      <w:r>
        <w:rPr>
          <w:rFonts w:hint="cs"/>
          <w:rtl/>
        </w:rPr>
        <w:t xml:space="preserve">הניצבת לפתחנו, היא מחלוקת פרשנית ביחס למשמעות התיבה 'סבירות' בגדרי התיקון. </w:t>
      </w:r>
      <w:r w:rsidRPr="008351AF">
        <w:rPr>
          <w:rFonts w:ascii="Century" w:hAnsi="Century" w:hint="eastAsia"/>
          <w:sz w:val="22"/>
          <w:rtl/>
        </w:rPr>
        <w:t>מהו</w:t>
      </w:r>
      <w:r w:rsidRPr="008351AF">
        <w:rPr>
          <w:rFonts w:ascii="Century" w:hAnsi="Century"/>
          <w:sz w:val="22"/>
          <w:rtl/>
        </w:rPr>
        <w:t xml:space="preserve"> </w:t>
      </w:r>
      <w:r w:rsidRPr="008351AF">
        <w:rPr>
          <w:rFonts w:ascii="Century" w:hAnsi="Century" w:hint="cs"/>
          <w:sz w:val="22"/>
          <w:rtl/>
        </w:rPr>
        <w:t xml:space="preserve">אפוא </w:t>
      </w:r>
      <w:r w:rsidRPr="008351AF">
        <w:rPr>
          <w:rFonts w:ascii="Century" w:hAnsi="Century" w:hint="eastAsia"/>
          <w:sz w:val="22"/>
          <w:rtl/>
        </w:rPr>
        <w:t>פירוש</w:t>
      </w:r>
      <w:r w:rsidRPr="008351AF">
        <w:rPr>
          <w:rFonts w:ascii="Century" w:hAnsi="Century" w:hint="cs"/>
          <w:sz w:val="22"/>
          <w:rtl/>
        </w:rPr>
        <w:t>ו</w:t>
      </w:r>
      <w:r w:rsidRPr="008351AF">
        <w:rPr>
          <w:rFonts w:ascii="Century" w:hAnsi="Century"/>
          <w:sz w:val="22"/>
          <w:rtl/>
        </w:rPr>
        <w:t xml:space="preserve"> </w:t>
      </w:r>
      <w:r w:rsidRPr="008351AF">
        <w:rPr>
          <w:rFonts w:ascii="Century" w:hAnsi="Century" w:hint="cs"/>
          <w:sz w:val="22"/>
          <w:rtl/>
        </w:rPr>
        <w:t xml:space="preserve">הנכון </w:t>
      </w:r>
      <w:r w:rsidRPr="008351AF">
        <w:rPr>
          <w:rFonts w:ascii="Century" w:hAnsi="Century" w:hint="eastAsia"/>
          <w:sz w:val="22"/>
          <w:rtl/>
        </w:rPr>
        <w:t>של</w:t>
      </w:r>
      <w:r w:rsidRPr="008351AF">
        <w:rPr>
          <w:rFonts w:ascii="Century" w:hAnsi="Century"/>
          <w:sz w:val="22"/>
          <w:rtl/>
        </w:rPr>
        <w:t xml:space="preserve"> </w:t>
      </w:r>
      <w:r w:rsidRPr="008351AF">
        <w:rPr>
          <w:rFonts w:ascii="Century" w:hAnsi="Century" w:hint="eastAsia"/>
          <w:sz w:val="22"/>
          <w:rtl/>
        </w:rPr>
        <w:t>התיקון</w:t>
      </w:r>
      <w:r w:rsidRPr="008351AF">
        <w:rPr>
          <w:rFonts w:ascii="Century" w:hAnsi="Century"/>
          <w:sz w:val="22"/>
          <w:rtl/>
        </w:rPr>
        <w:t xml:space="preserve"> </w:t>
      </w:r>
      <w:r w:rsidRPr="008351AF">
        <w:rPr>
          <w:rFonts w:ascii="Century" w:hAnsi="Century" w:hint="eastAsia"/>
          <w:sz w:val="22"/>
          <w:rtl/>
        </w:rPr>
        <w:t>לחוק</w:t>
      </w:r>
      <w:r>
        <w:rPr>
          <w:rFonts w:ascii="Century" w:hAnsi="Century" w:hint="cs"/>
          <w:sz w:val="22"/>
          <w:rtl/>
        </w:rPr>
        <w:t>-</w:t>
      </w:r>
      <w:r w:rsidRPr="008351AF">
        <w:rPr>
          <w:rFonts w:ascii="Century" w:hAnsi="Century" w:hint="eastAsia"/>
          <w:sz w:val="22"/>
          <w:rtl/>
        </w:rPr>
        <w:t>היסוד</w:t>
      </w:r>
      <w:r w:rsidRPr="008351AF">
        <w:rPr>
          <w:rFonts w:ascii="Century" w:hAnsi="Century"/>
          <w:sz w:val="22"/>
          <w:rtl/>
        </w:rPr>
        <w:t>?</w:t>
      </w:r>
    </w:p>
    <w:p w:rsidR="00D61E12" w:rsidRPr="00EA7AF4" w:rsidRDefault="00D61E12" w:rsidP="00D61E12">
      <w:pPr>
        <w:pStyle w:val="Ruller4"/>
        <w:spacing w:before="240" w:after="240"/>
        <w:rPr>
          <w:rFonts w:ascii="Century" w:hAnsi="Century"/>
          <w:sz w:val="22"/>
        </w:rPr>
      </w:pPr>
      <w:r>
        <w:rPr>
          <w:rFonts w:hint="cs"/>
          <w:rtl/>
        </w:rPr>
        <w:t>לטעמי, התשובה לשאלה זו טמונה בראש ובראשונה, בלשון סעיף 15(ד1) לחוק-יסוד: השפיטה; ובפרט בתיבות "</w:t>
      </w:r>
      <w:r w:rsidRPr="00F76EBB">
        <w:rPr>
          <w:rFonts w:ascii="Century" w:hAnsi="Century" w:cs="Miriam"/>
          <w:b/>
          <w:spacing w:val="0"/>
          <w:sz w:val="22"/>
          <w:szCs w:val="24"/>
          <w:rtl/>
        </w:rPr>
        <w:t xml:space="preserve">לא ידון בעניין </w:t>
      </w:r>
      <w:r w:rsidRPr="00F76EBB">
        <w:rPr>
          <w:rFonts w:ascii="Century" w:hAnsi="Century" w:cs="Miriam"/>
          <w:b/>
          <w:spacing w:val="0"/>
          <w:sz w:val="22"/>
          <w:szCs w:val="24"/>
          <w:u w:val="single"/>
          <w:rtl/>
        </w:rPr>
        <w:t>סבירות</w:t>
      </w:r>
      <w:r w:rsidRPr="00F76EBB">
        <w:rPr>
          <w:rFonts w:ascii="Century" w:hAnsi="Century" w:cs="Miriam"/>
          <w:b/>
          <w:spacing w:val="0"/>
          <w:sz w:val="22"/>
          <w:szCs w:val="24"/>
          <w:rtl/>
        </w:rPr>
        <w:t xml:space="preserve"> ההחלטה</w:t>
      </w:r>
      <w:r>
        <w:rPr>
          <w:rFonts w:ascii="Century" w:hAnsi="Century" w:hint="cs"/>
          <w:sz w:val="22"/>
          <w:rtl/>
        </w:rPr>
        <w:t>".</w:t>
      </w:r>
    </w:p>
    <w:p w:rsidR="00D61E12" w:rsidRPr="00451480" w:rsidRDefault="00D61E12" w:rsidP="00D61E12">
      <w:pPr>
        <w:pStyle w:val="Ruller4"/>
        <w:spacing w:before="240" w:after="240"/>
        <w:rPr>
          <w:rFonts w:ascii="Century" w:hAnsi="Century"/>
          <w:sz w:val="22"/>
          <w:rtl/>
        </w:rPr>
      </w:pPr>
      <w:r>
        <w:rPr>
          <w:rFonts w:hint="cs"/>
          <w:rtl/>
        </w:rPr>
        <w:t xml:space="preserve">כפי שציינתי לעיל, השימוש בעילת הסבירות מוכר במשפט המינהלי של מדינת ישראל מראשית היווסדה. ביסודו, עומדת ההנחה כי החלטה מינהלית שהיא מופרכת, קפריזית ובלתי מתקבלת על הדעת לחלוטין </w:t>
      </w:r>
      <w:r>
        <w:rPr>
          <w:rtl/>
        </w:rPr>
        <w:t>–</w:t>
      </w:r>
      <w:r>
        <w:rPr>
          <w:rFonts w:hint="cs"/>
          <w:rtl/>
        </w:rPr>
        <w:t xml:space="preserve"> התקבלה </w:t>
      </w:r>
      <w:r w:rsidRPr="00EA7AF4">
        <w:rPr>
          <w:rFonts w:ascii="Century" w:hAnsi="Century" w:cs="Miriam" w:hint="eastAsia"/>
          <w:b/>
          <w:spacing w:val="0"/>
          <w:sz w:val="22"/>
          <w:szCs w:val="24"/>
          <w:rtl/>
        </w:rPr>
        <w:t>בחוסר</w:t>
      </w:r>
      <w:r w:rsidRPr="00EA7AF4">
        <w:rPr>
          <w:rFonts w:ascii="Century" w:hAnsi="Century" w:cs="Miriam"/>
          <w:b/>
          <w:spacing w:val="0"/>
          <w:sz w:val="22"/>
          <w:szCs w:val="24"/>
          <w:rtl/>
        </w:rPr>
        <w:t xml:space="preserve"> </w:t>
      </w:r>
      <w:r w:rsidRPr="00EA7AF4">
        <w:rPr>
          <w:rFonts w:ascii="Century" w:hAnsi="Century" w:cs="Miriam" w:hint="eastAsia"/>
          <w:b/>
          <w:spacing w:val="0"/>
          <w:sz w:val="22"/>
          <w:szCs w:val="24"/>
          <w:rtl/>
        </w:rPr>
        <w:t>סמכות</w:t>
      </w:r>
      <w:r>
        <w:rPr>
          <w:rFonts w:hint="cs"/>
          <w:rtl/>
        </w:rPr>
        <w:t>. הטעם לכך הוא, כמצוין בהרחבה</w:t>
      </w:r>
      <w:r w:rsidRPr="00CB5CFE">
        <w:rPr>
          <w:rFonts w:hint="cs"/>
          <w:rtl/>
        </w:rPr>
        <w:t xml:space="preserve"> </w:t>
      </w:r>
      <w:r>
        <w:rPr>
          <w:rFonts w:hint="cs"/>
          <w:rtl/>
        </w:rPr>
        <w:t xml:space="preserve">לעיל, שבבסיס ההסמכה המינהלית, בכל חוק, ניצבות הנחות </w:t>
      </w:r>
      <w:r w:rsidRPr="006F3468">
        <w:rPr>
          <w:rFonts w:ascii="Century" w:hAnsi="Century" w:cs="Miriam" w:hint="cs"/>
          <w:b/>
          <w:spacing w:val="0"/>
          <w:sz w:val="22"/>
          <w:szCs w:val="24"/>
          <w:rtl/>
        </w:rPr>
        <w:t>מובלעות</w:t>
      </w:r>
      <w:r w:rsidRPr="006F3468">
        <w:rPr>
          <w:rFonts w:hint="cs"/>
          <w:rtl/>
        </w:rPr>
        <w:t xml:space="preserve"> </w:t>
      </w:r>
      <w:r>
        <w:rPr>
          <w:rFonts w:hint="cs"/>
          <w:rtl/>
        </w:rPr>
        <w:t xml:space="preserve">בדבר גבולות הסמכות שהוקנו למינהל. חריגה של המינהל מגבולות סמכות אלו, אינם שונים מחריגתה מהוראות החוק המפורש. אפנה בעניין זה למילותיו של השופט </w:t>
      </w:r>
      <w:r>
        <w:rPr>
          <w:rFonts w:ascii="Century" w:hAnsi="Century" w:cs="Miriam" w:hint="cs"/>
          <w:b/>
          <w:spacing w:val="0"/>
          <w:sz w:val="22"/>
          <w:szCs w:val="24"/>
          <w:rtl/>
        </w:rPr>
        <w:t>ברנזון</w:t>
      </w:r>
      <w:r w:rsidRPr="0031497E">
        <w:rPr>
          <w:rFonts w:ascii="Century" w:hAnsi="Century" w:cs="Miriam" w:hint="cs"/>
          <w:b/>
          <w:spacing w:val="0"/>
          <w:sz w:val="22"/>
          <w:szCs w:val="24"/>
          <w:rtl/>
        </w:rPr>
        <w:t xml:space="preserve"> </w:t>
      </w:r>
      <w:r>
        <w:rPr>
          <w:rFonts w:ascii="Century" w:hAnsi="Century" w:hint="cs"/>
          <w:sz w:val="22"/>
          <w:rtl/>
        </w:rPr>
        <w:t xml:space="preserve">שהובאו לעיל, ואשר מפאת חשיבותם אצטטם פעם נוספת: </w:t>
      </w:r>
    </w:p>
    <w:p w:rsidR="00D61E12" w:rsidRPr="00495A04" w:rsidRDefault="00D61E12" w:rsidP="00D61E12">
      <w:pPr>
        <w:pStyle w:val="Ruller5"/>
        <w:spacing w:before="240" w:after="240"/>
        <w:rPr>
          <w:rtl/>
        </w:rPr>
      </w:pPr>
      <w:r>
        <w:rPr>
          <w:rFonts w:hint="cs"/>
          <w:rtl/>
        </w:rPr>
        <w:t xml:space="preserve">"הייתי אומר, שאם ימצא בית-המשפט כי חקיקת-המשנה היא כה בלתי הגיונית ובלתי נסבלת עד שאדם בר-דעת לא יעלה על דעתו ששר סביר היה מסוגל לעשותה, כי אז יצטרך לאמור שמעולם לא נתכוון המחוקק לתת כוח זה בידי השר" (עניין </w:t>
      </w:r>
      <w:r w:rsidRPr="00450CA7">
        <w:rPr>
          <w:rFonts w:cs="Miriam" w:hint="cs"/>
          <w:b/>
          <w:spacing w:val="0"/>
          <w:szCs w:val="24"/>
          <w:rtl/>
        </w:rPr>
        <w:t>דיזנגוף</w:t>
      </w:r>
      <w:r>
        <w:rPr>
          <w:rFonts w:hint="cs"/>
          <w:rtl/>
        </w:rPr>
        <w:t>, בעמוד 1039).</w:t>
      </w:r>
    </w:p>
    <w:p w:rsidR="00D61E12" w:rsidRDefault="00D61E12" w:rsidP="00D61E12">
      <w:pPr>
        <w:pStyle w:val="Ruller4"/>
        <w:spacing w:before="240" w:after="240"/>
      </w:pPr>
      <w:r>
        <w:rPr>
          <w:rFonts w:hint="cs"/>
          <w:rtl/>
        </w:rPr>
        <w:t xml:space="preserve">כמוסבר בהרחבה לעיל, לאורך השנים, מבחניה של עילת הסבירות הלכו והתרחבו עד למאוד, באופן שעורר ביקורת חריפה מצד שופטים ומלומדי משפט. את מבחן המופרכות החליף מבחן איזון האינטרסים, באופן שהקים חשש כי גבולותיו העמומים של המבחן החדש עלולים להביא את בית המשפט להחליף את שיקול דעתה של הרשות בשיקול דעתו שלו, באופן החורג מתפקידו של בית המשפט. גם אם בפי תומכי מבחן איזון האינטרסים קיימות תשובות טובות, לא ניתן להקל ראש בטענות </w:t>
      </w:r>
      <w:r>
        <w:rPr>
          <w:rFonts w:hint="cs"/>
          <w:rtl/>
        </w:rPr>
        <w:lastRenderedPageBreak/>
        <w:t xml:space="preserve">מבקריו. המחלוקת </w:t>
      </w:r>
      <w:r w:rsidRPr="0095092F">
        <w:rPr>
          <w:rFonts w:hint="cs"/>
          <w:rtl/>
        </w:rPr>
        <w:t>על גבולותיה של עילת הסבירות ומבחניה היא אפוא, ללא כל ספק, מחלוקת לגיטימית.</w:t>
      </w:r>
    </w:p>
    <w:p w:rsidR="00D61E12" w:rsidRDefault="00D61E12" w:rsidP="00D61E12">
      <w:pPr>
        <w:pStyle w:val="Ruller4"/>
        <w:spacing w:before="240" w:after="240"/>
      </w:pPr>
      <w:r>
        <w:rPr>
          <w:rFonts w:hint="cs"/>
          <w:rtl/>
        </w:rPr>
        <w:t xml:space="preserve">ואכן, ניתן היה לחשוב על מספר פתרונות שונים על מנת להתמודד עם הבעייתיות שנוצרה כתוצאה ממבחן איזון האינטרסים, לשיטת מבקרי מבחן זה. כך למשל, פתרון אחד ניתן למצוא אצל </w:t>
      </w:r>
      <w:r>
        <w:rPr>
          <w:rFonts w:ascii="Century" w:hAnsi="Century" w:cs="Miriam" w:hint="cs"/>
          <w:b/>
          <w:spacing w:val="0"/>
          <w:sz w:val="22"/>
          <w:szCs w:val="24"/>
          <w:rtl/>
        </w:rPr>
        <w:t xml:space="preserve">סולברג </w:t>
      </w:r>
      <w:r>
        <w:rPr>
          <w:rFonts w:ascii="Century" w:hAnsi="Century" w:cs="Miriam"/>
          <w:b/>
          <w:spacing w:val="0"/>
          <w:sz w:val="22"/>
          <w:szCs w:val="24"/>
          <w:rtl/>
        </w:rPr>
        <w:t>–</w:t>
      </w:r>
      <w:r>
        <w:rPr>
          <w:rFonts w:ascii="Century" w:hAnsi="Century" w:cs="Miriam" w:hint="cs"/>
          <w:b/>
          <w:spacing w:val="0"/>
          <w:sz w:val="22"/>
          <w:szCs w:val="24"/>
          <w:rtl/>
        </w:rPr>
        <w:t xml:space="preserve"> על ערכים סובייקטיבים</w:t>
      </w:r>
      <w:r>
        <w:rPr>
          <w:rFonts w:hint="cs"/>
          <w:rtl/>
        </w:rPr>
        <w:t xml:space="preserve">, ודומני כי לא אטעה אם אומר כי ניתן היה לחשוב גם על פתרונות אחרים. אולם, הפתרון שנבחר על-ידי מנסחי תיקון מס' 3 היה אחר: </w:t>
      </w:r>
      <w:r w:rsidRPr="00EA7AF4">
        <w:rPr>
          <w:rFonts w:ascii="Century" w:hAnsi="Century" w:cs="Miriam" w:hint="eastAsia"/>
          <w:b/>
          <w:spacing w:val="0"/>
          <w:sz w:val="22"/>
          <w:szCs w:val="24"/>
          <w:rtl/>
        </w:rPr>
        <w:t>ביטול</w:t>
      </w:r>
      <w:r w:rsidRPr="00EA7AF4">
        <w:rPr>
          <w:rFonts w:ascii="Century" w:hAnsi="Century" w:cs="Miriam"/>
          <w:b/>
          <w:spacing w:val="0"/>
          <w:sz w:val="22"/>
          <w:szCs w:val="24"/>
          <w:rtl/>
        </w:rPr>
        <w:t xml:space="preserve"> </w:t>
      </w:r>
      <w:r w:rsidRPr="00EA7AF4">
        <w:rPr>
          <w:rFonts w:ascii="Century" w:hAnsi="Century" w:cs="Miriam" w:hint="eastAsia"/>
          <w:b/>
          <w:spacing w:val="0"/>
          <w:sz w:val="22"/>
          <w:szCs w:val="24"/>
          <w:rtl/>
        </w:rPr>
        <w:t>מוחלט</w:t>
      </w:r>
      <w:r w:rsidRPr="00EA7AF4">
        <w:rPr>
          <w:rFonts w:ascii="Century" w:hAnsi="Century" w:cs="Miriam"/>
          <w:b/>
          <w:spacing w:val="0"/>
          <w:sz w:val="22"/>
          <w:szCs w:val="24"/>
          <w:rtl/>
        </w:rPr>
        <w:t xml:space="preserve"> של </w:t>
      </w:r>
      <w:r>
        <w:rPr>
          <w:rFonts w:ascii="Century" w:hAnsi="Century" w:cs="Miriam" w:hint="cs"/>
          <w:b/>
          <w:spacing w:val="0"/>
          <w:sz w:val="22"/>
          <w:szCs w:val="24"/>
          <w:rtl/>
        </w:rPr>
        <w:t xml:space="preserve">הביקורת השיפוטית על </w:t>
      </w:r>
      <w:r w:rsidRPr="00EA7AF4">
        <w:rPr>
          <w:rFonts w:ascii="Century" w:hAnsi="Century" w:cs="Miriam" w:hint="eastAsia"/>
          <w:b/>
          <w:spacing w:val="0"/>
          <w:sz w:val="22"/>
          <w:szCs w:val="24"/>
          <w:rtl/>
        </w:rPr>
        <w:t>סבירות</w:t>
      </w:r>
      <w:r>
        <w:rPr>
          <w:rFonts w:ascii="Century" w:hAnsi="Century" w:cs="Miriam" w:hint="cs"/>
          <w:b/>
          <w:spacing w:val="0"/>
          <w:sz w:val="22"/>
          <w:szCs w:val="24"/>
          <w:rtl/>
        </w:rPr>
        <w:t xml:space="preserve"> ההחלטות של הממשלה, העומד בראשיה, וחבריה</w:t>
      </w:r>
      <w:r>
        <w:rPr>
          <w:rFonts w:hint="cs"/>
          <w:rtl/>
        </w:rPr>
        <w:t>. לכאורה, פתרון זה מבקש ליישם את הביקורות שנשמעו בקשר למבחן איזון האינטרסים, שכן בהיעדר עילת הסבירות בוודאי שאי אפשר ליישם את המבחן האמור.</w:t>
      </w:r>
    </w:p>
    <w:p w:rsidR="00D61E12" w:rsidRDefault="00D61E12" w:rsidP="00D61E12">
      <w:pPr>
        <w:pStyle w:val="Ruller4"/>
        <w:spacing w:before="240" w:after="240"/>
        <w:rPr>
          <w:rtl/>
        </w:rPr>
      </w:pPr>
      <w:r>
        <w:rPr>
          <w:rFonts w:hint="cs"/>
          <w:rtl/>
        </w:rPr>
        <w:t xml:space="preserve">ברם, וזה העיקר, לביטול עילת הסבירות ישנן עוד תוצאות. ביטול עילה זו, כפי שנעשה, שולל את עילת הסבירות כולה, על קרביה וכרעיה, ובכלל זאת נשללת גם האפשרות להגיע למסקנה כי החלטה היא בלתי סבירה באמצעות מבחן המופרכות. שכן, בהיעדר עילה ששמה 'סבירות', ועל אחת כמה וכמה בהיעדר יכולת של בתי המשפט </w:t>
      </w:r>
      <w:r w:rsidRPr="00EA7AF4">
        <w:rPr>
          <w:rFonts w:ascii="Century" w:hAnsi="Century" w:cs="Miriam" w:hint="eastAsia"/>
          <w:b/>
          <w:spacing w:val="0"/>
          <w:sz w:val="22"/>
          <w:szCs w:val="24"/>
          <w:rtl/>
        </w:rPr>
        <w:t>לדון</w:t>
      </w:r>
      <w:r w:rsidRPr="0031497E">
        <w:rPr>
          <w:rFonts w:hint="cs"/>
          <w:rtl/>
        </w:rPr>
        <w:t xml:space="preserve"> </w:t>
      </w:r>
      <w:r>
        <w:rPr>
          <w:rFonts w:hint="cs"/>
          <w:rtl/>
        </w:rPr>
        <w:t xml:space="preserve">בסבירות ההחלטה, אין בנמצא מבחן כלשהוא שבאמצעותו ניתן להגיע למסקנה כי יש לבטל את החלטת הממשלה, העומד בראשה ושריה, גם כאשר היא איננה סבירה עד כדי היותה החלטה מופרכת וקפריזית. זאת, אף שהחלטה מעין זו היא </w:t>
      </w:r>
      <w:r w:rsidRPr="00EA7AF4">
        <w:rPr>
          <w:rFonts w:ascii="Century" w:hAnsi="Century" w:cs="Miriam" w:hint="eastAsia"/>
          <w:b/>
          <w:spacing w:val="0"/>
          <w:sz w:val="22"/>
          <w:szCs w:val="24"/>
          <w:rtl/>
        </w:rPr>
        <w:t>החלטה</w:t>
      </w:r>
      <w:r w:rsidRPr="00EA7AF4">
        <w:rPr>
          <w:rFonts w:ascii="Century" w:hAnsi="Century" w:cs="Miriam"/>
          <w:b/>
          <w:spacing w:val="0"/>
          <w:sz w:val="22"/>
          <w:szCs w:val="24"/>
          <w:rtl/>
        </w:rPr>
        <w:t xml:space="preserve"> </w:t>
      </w:r>
      <w:r w:rsidRPr="00EA7AF4">
        <w:rPr>
          <w:rFonts w:ascii="Century" w:hAnsi="Century" w:cs="Miriam" w:hint="eastAsia"/>
          <w:b/>
          <w:spacing w:val="0"/>
          <w:sz w:val="22"/>
          <w:szCs w:val="24"/>
          <w:rtl/>
        </w:rPr>
        <w:t>בלתי</w:t>
      </w:r>
      <w:r w:rsidRPr="00EA7AF4">
        <w:rPr>
          <w:rFonts w:ascii="Century" w:hAnsi="Century" w:cs="Miriam"/>
          <w:b/>
          <w:spacing w:val="0"/>
          <w:sz w:val="22"/>
          <w:szCs w:val="24"/>
          <w:rtl/>
        </w:rPr>
        <w:t xml:space="preserve"> </w:t>
      </w:r>
      <w:r w:rsidRPr="00EA7AF4">
        <w:rPr>
          <w:rFonts w:ascii="Century" w:hAnsi="Century" w:cs="Miriam" w:hint="eastAsia"/>
          <w:b/>
          <w:spacing w:val="0"/>
          <w:sz w:val="22"/>
          <w:szCs w:val="24"/>
          <w:rtl/>
        </w:rPr>
        <w:t>חוקית</w:t>
      </w:r>
      <w:r w:rsidRPr="00EA7AF4">
        <w:rPr>
          <w:rFonts w:ascii="Century" w:hAnsi="Century" w:cs="Miriam"/>
          <w:b/>
          <w:spacing w:val="0"/>
          <w:sz w:val="22"/>
          <w:szCs w:val="24"/>
          <w:rtl/>
        </w:rPr>
        <w:t xml:space="preserve"> </w:t>
      </w:r>
      <w:r w:rsidRPr="00EA7AF4">
        <w:rPr>
          <w:rFonts w:ascii="Century" w:hAnsi="Century" w:cs="Miriam" w:hint="eastAsia"/>
          <w:b/>
          <w:spacing w:val="0"/>
          <w:sz w:val="22"/>
          <w:szCs w:val="24"/>
          <w:rtl/>
        </w:rPr>
        <w:t>שהתקבלה</w:t>
      </w:r>
      <w:r w:rsidRPr="00EA7AF4">
        <w:rPr>
          <w:rFonts w:ascii="Century" w:hAnsi="Century" w:cs="Miriam"/>
          <w:b/>
          <w:spacing w:val="0"/>
          <w:sz w:val="22"/>
          <w:szCs w:val="24"/>
          <w:rtl/>
        </w:rPr>
        <w:t xml:space="preserve"> </w:t>
      </w:r>
      <w:r w:rsidRPr="00EA7AF4">
        <w:rPr>
          <w:rFonts w:ascii="Century" w:hAnsi="Century" w:cs="Miriam" w:hint="eastAsia"/>
          <w:b/>
          <w:spacing w:val="0"/>
          <w:sz w:val="22"/>
          <w:szCs w:val="24"/>
          <w:rtl/>
        </w:rPr>
        <w:t>בחוסר</w:t>
      </w:r>
      <w:r w:rsidRPr="00EA7AF4">
        <w:rPr>
          <w:rFonts w:ascii="Century" w:hAnsi="Century" w:cs="Miriam"/>
          <w:b/>
          <w:spacing w:val="0"/>
          <w:sz w:val="22"/>
          <w:szCs w:val="24"/>
          <w:rtl/>
        </w:rPr>
        <w:t xml:space="preserve"> </w:t>
      </w:r>
      <w:r w:rsidRPr="00EA7AF4">
        <w:rPr>
          <w:rFonts w:ascii="Century" w:hAnsi="Century" w:cs="Miriam" w:hint="eastAsia"/>
          <w:b/>
          <w:spacing w:val="0"/>
          <w:sz w:val="22"/>
          <w:szCs w:val="24"/>
          <w:rtl/>
        </w:rPr>
        <w:t>סמכות</w:t>
      </w:r>
      <w:r>
        <w:rPr>
          <w:rFonts w:hint="cs"/>
          <w:rtl/>
        </w:rPr>
        <w:t>.</w:t>
      </w:r>
    </w:p>
    <w:p w:rsidR="00D61E12" w:rsidRPr="005E561F" w:rsidRDefault="00D61E12" w:rsidP="00D61E12">
      <w:pPr>
        <w:pStyle w:val="Ruller4"/>
        <w:spacing w:before="240" w:after="240"/>
      </w:pPr>
      <w:r>
        <w:rPr>
          <w:rFonts w:hint="cs"/>
          <w:rtl/>
        </w:rPr>
        <w:t>ויובהר</w:t>
      </w:r>
      <w:r w:rsidRPr="0095092F">
        <w:rPr>
          <w:rFonts w:hint="cs"/>
          <w:rtl/>
        </w:rPr>
        <w:t xml:space="preserve">, פעם נוספת, כי מאז ומעולם הייתה קיימת במשפטנו עילת סבירות </w:t>
      </w:r>
      <w:r w:rsidRPr="0095092F">
        <w:rPr>
          <w:rFonts w:ascii="Century" w:hAnsi="Century" w:cs="Miriam" w:hint="cs"/>
          <w:b/>
          <w:spacing w:val="0"/>
          <w:szCs w:val="24"/>
          <w:rtl/>
        </w:rPr>
        <w:t>אחת</w:t>
      </w:r>
      <w:r w:rsidRPr="0095092F">
        <w:rPr>
          <w:rFonts w:ascii="Century" w:hAnsi="Century" w:hint="cs"/>
          <w:rtl/>
        </w:rPr>
        <w:t xml:space="preserve">. אומנם, כאמור, בהלכת </w:t>
      </w:r>
      <w:r w:rsidRPr="0095092F">
        <w:rPr>
          <w:rFonts w:ascii="Century" w:hAnsi="Century" w:cs="Miriam" w:hint="cs"/>
          <w:b/>
          <w:spacing w:val="0"/>
          <w:szCs w:val="24"/>
          <w:rtl/>
        </w:rPr>
        <w:t>דפי זהב</w:t>
      </w:r>
      <w:r w:rsidRPr="0095092F">
        <w:rPr>
          <w:rFonts w:ascii="Century" w:hAnsi="Century" w:hint="cs"/>
          <w:rtl/>
        </w:rPr>
        <w:t xml:space="preserve"> ולאחריה נערכו שינויים משמעותיים ביישום עילה זו, ובעיקרו של דבר </w:t>
      </w:r>
      <w:r w:rsidRPr="0095092F">
        <w:rPr>
          <w:rFonts w:ascii="Century" w:hAnsi="Century"/>
          <w:rtl/>
        </w:rPr>
        <w:t>–</w:t>
      </w:r>
      <w:r w:rsidRPr="0095092F">
        <w:rPr>
          <w:rFonts w:ascii="Century" w:hAnsi="Century" w:hint="cs"/>
          <w:rtl/>
        </w:rPr>
        <w:t xml:space="preserve"> שונתה המתודולוגיה להפעלתה. אולם, את השינוי בהקשר זה, יש לראות כשינוי </w:t>
      </w:r>
      <w:r w:rsidRPr="0095092F">
        <w:rPr>
          <w:rFonts w:ascii="Century" w:hAnsi="Century" w:cs="Miriam" w:hint="cs"/>
          <w:b/>
          <w:spacing w:val="0"/>
          <w:sz w:val="22"/>
          <w:szCs w:val="24"/>
          <w:rtl/>
        </w:rPr>
        <w:t>ב</w:t>
      </w:r>
      <w:r w:rsidRPr="0095092F">
        <w:rPr>
          <w:rFonts w:ascii="Century" w:hAnsi="Century" w:cs="Miriam" w:hint="cs"/>
          <w:b/>
          <w:spacing w:val="0"/>
          <w:szCs w:val="24"/>
          <w:rtl/>
        </w:rPr>
        <w:t>מבחן</w:t>
      </w:r>
      <w:r w:rsidRPr="0095092F">
        <w:rPr>
          <w:rFonts w:ascii="Century" w:hAnsi="Century" w:hint="cs"/>
          <w:rtl/>
        </w:rPr>
        <w:t xml:space="preserve"> ולא כהחלפה של </w:t>
      </w:r>
      <w:r w:rsidRPr="0095092F">
        <w:rPr>
          <w:rFonts w:ascii="Century" w:hAnsi="Century" w:cs="Miriam" w:hint="cs"/>
          <w:b/>
          <w:spacing w:val="0"/>
          <w:szCs w:val="24"/>
          <w:rtl/>
        </w:rPr>
        <w:t xml:space="preserve">העילה </w:t>
      </w:r>
      <w:r w:rsidRPr="0095092F">
        <w:rPr>
          <w:rFonts w:ascii="Century" w:hAnsi="Century" w:hint="cs"/>
          <w:rtl/>
        </w:rPr>
        <w:t>בעילה אחרת.</w:t>
      </w:r>
    </w:p>
    <w:p w:rsidR="00D61E12" w:rsidRDefault="00D61E12" w:rsidP="00D61E12">
      <w:pPr>
        <w:pStyle w:val="Ruller4"/>
        <w:spacing w:before="240" w:after="240"/>
        <w:rPr>
          <w:rtl/>
        </w:rPr>
      </w:pPr>
      <w:r>
        <w:rPr>
          <w:rFonts w:hint="cs"/>
          <w:rtl/>
        </w:rPr>
        <w:t xml:space="preserve">ויודגש, כי לדידי לא זו בלבד שפרשנות זו היא היחידה שעולה בקנה אחד עם לשון החוק, אלא שהיא נלמדת גם מהדיונים שנערכו בוועדת חוקה, חוקה ומשפט של הכנסת (ראו בפסקאות 132-130 לחוות דעתה של חברתי הנשיאה (בדימ') </w:t>
      </w:r>
      <w:r>
        <w:rPr>
          <w:rFonts w:ascii="Century" w:hAnsi="Century" w:cs="Miriam" w:hint="cs"/>
          <w:b/>
          <w:spacing w:val="0"/>
          <w:sz w:val="22"/>
          <w:szCs w:val="24"/>
          <w:rtl/>
        </w:rPr>
        <w:t>חיות</w:t>
      </w:r>
      <w:r>
        <w:rPr>
          <w:rFonts w:hint="cs"/>
          <w:rtl/>
        </w:rPr>
        <w:t xml:space="preserve">), ומנוסחו הסופי של תיקון מס' 3, לאחר התמורות שחלו בו בסוגיית המינויים ולגבי 'הימנעות מקבלת החלטה' (כמצוין בחוות דעתה של חברתי הנשיאה (בדימ') </w:t>
      </w:r>
      <w:r w:rsidRPr="00223299">
        <w:rPr>
          <w:rFonts w:ascii="Century" w:hAnsi="Century" w:cs="Miriam" w:hint="cs"/>
          <w:b/>
          <w:spacing w:val="0"/>
          <w:sz w:val="22"/>
          <w:szCs w:val="24"/>
          <w:rtl/>
        </w:rPr>
        <w:t>חיות</w:t>
      </w:r>
      <w:r>
        <w:rPr>
          <w:rFonts w:hint="cs"/>
          <w:rtl/>
        </w:rPr>
        <w:t>,</w:t>
      </w:r>
      <w:r w:rsidRPr="00223299">
        <w:rPr>
          <w:rFonts w:hint="cs"/>
          <w:rtl/>
        </w:rPr>
        <w:t xml:space="preserve"> </w:t>
      </w:r>
      <w:r>
        <w:rPr>
          <w:rFonts w:hint="cs"/>
          <w:rtl/>
        </w:rPr>
        <w:t xml:space="preserve">בפסקאות 26-15). פרשנות זו אף נתמכת באופן חד משמעי על-ידי הצהרתו של יו"ר ועדת חוקה חוק ומשפט, ח"כ רוטמן, בדיון שנערך לפנינו (ראו בפסקה 130 לחוות דעתה של חברתי הנשיאה (בדימ') </w:t>
      </w:r>
      <w:r>
        <w:rPr>
          <w:rFonts w:ascii="Century" w:hAnsi="Century" w:cs="Miriam" w:hint="cs"/>
          <w:b/>
          <w:spacing w:val="0"/>
          <w:sz w:val="22"/>
          <w:szCs w:val="24"/>
          <w:rtl/>
        </w:rPr>
        <w:t>חיות</w:t>
      </w:r>
      <w:r>
        <w:rPr>
          <w:rFonts w:hint="cs"/>
          <w:rtl/>
        </w:rPr>
        <w:t xml:space="preserve">; ובפסקה 14 לחוות של חברתי השופטת </w:t>
      </w:r>
      <w:r>
        <w:rPr>
          <w:rFonts w:ascii="Century" w:hAnsi="Century" w:cs="Miriam" w:hint="cs"/>
          <w:b/>
          <w:spacing w:val="0"/>
          <w:sz w:val="22"/>
          <w:szCs w:val="24"/>
          <w:rtl/>
        </w:rPr>
        <w:t>ר' רונן</w:t>
      </w:r>
      <w:r>
        <w:rPr>
          <w:rFonts w:hint="cs"/>
          <w:rtl/>
        </w:rPr>
        <w:t xml:space="preserve">); וכן באופן שבו פורש התיקון על-ידי משיבי הממשלה בהשלמת הטיעון מטעמם (בפסקאות </w:t>
      </w:r>
      <w:r>
        <w:rPr>
          <w:rFonts w:hint="cs"/>
          <w:rtl/>
        </w:rPr>
        <w:lastRenderedPageBreak/>
        <w:t xml:space="preserve">45-43); על-ידי היועצת המשפטית לממשלה (בפסקאות 437-435); וכן על-ידי העותרים השונים. </w:t>
      </w:r>
    </w:p>
    <w:p w:rsidR="00D61E12" w:rsidRPr="00F76EBB" w:rsidRDefault="00D61E12" w:rsidP="00D61E12">
      <w:pPr>
        <w:pStyle w:val="Ruller4"/>
        <w:spacing w:before="240" w:after="240"/>
      </w:pPr>
      <w:r>
        <w:rPr>
          <w:rFonts w:hint="cs"/>
          <w:rtl/>
        </w:rPr>
        <w:t xml:space="preserve">הנה כי כן, הוראת תיקון מס' 3, בהתאם לפרשנותה הנכונה, פוטרת את הממשלה, </w:t>
      </w:r>
      <w:r w:rsidRPr="00F76EBB">
        <w:rPr>
          <w:rFonts w:hint="cs"/>
          <w:rtl/>
        </w:rPr>
        <w:t xml:space="preserve">העומד בראשה </w:t>
      </w:r>
      <w:r>
        <w:rPr>
          <w:rFonts w:hint="cs"/>
          <w:rtl/>
        </w:rPr>
        <w:t>ושריה מביקורת שיפוטית בגין עילת הסבירות, ללא כל מגבלה בדבר מידת המופרכות או הקפריזיות של ההחלטה שהתקבלה על-ידם. הוראה זו לא באה בחלל ריק. ב</w:t>
      </w:r>
      <w:r w:rsidRPr="00F76EBB">
        <w:rPr>
          <w:rFonts w:hint="cs"/>
          <w:rtl/>
        </w:rPr>
        <w:t xml:space="preserve">דברי ההסבר </w:t>
      </w:r>
      <w:r>
        <w:rPr>
          <w:rFonts w:hint="cs"/>
          <w:rtl/>
        </w:rPr>
        <w:t>הוטעם כי היא נועדה לפתור את הקושי שזיהו מנסחי התיקון עם מבחן איזון האינטרסים</w:t>
      </w:r>
      <w:r w:rsidRPr="00F76EBB">
        <w:rPr>
          <w:rFonts w:hint="cs"/>
          <w:rtl/>
        </w:rPr>
        <w:t xml:space="preserve">. ברם, </w:t>
      </w:r>
      <w:r>
        <w:rPr>
          <w:rFonts w:hint="cs"/>
          <w:rtl/>
        </w:rPr>
        <w:t xml:space="preserve">במסגרת </w:t>
      </w:r>
      <w:r w:rsidRPr="00F76EBB">
        <w:rPr>
          <w:rFonts w:hint="cs"/>
          <w:rtl/>
        </w:rPr>
        <w:t>תיקון</w:t>
      </w:r>
      <w:r>
        <w:rPr>
          <w:rFonts w:hint="cs"/>
          <w:rtl/>
        </w:rPr>
        <w:t xml:space="preserve"> מס' 3 הכנסת</w:t>
      </w:r>
      <w:r w:rsidRPr="00F76EBB">
        <w:rPr>
          <w:rFonts w:hint="cs"/>
          <w:rtl/>
        </w:rPr>
        <w:t xml:space="preserve"> לא ביטל</w:t>
      </w:r>
      <w:r>
        <w:rPr>
          <w:rFonts w:hint="cs"/>
          <w:rtl/>
        </w:rPr>
        <w:t>ה</w:t>
      </w:r>
      <w:r w:rsidRPr="00F76EBB">
        <w:rPr>
          <w:rFonts w:hint="cs"/>
          <w:rtl/>
        </w:rPr>
        <w:t xml:space="preserve"> את מבחן איזון האינטרסים לבדו, אלא את הביקורת השיפוטית על עילת הסבירות בכללותה. </w:t>
      </w:r>
    </w:p>
    <w:p w:rsidR="00D61E12" w:rsidRPr="00F76EBB" w:rsidRDefault="00D61E12" w:rsidP="00D61E12">
      <w:pPr>
        <w:pStyle w:val="Ruller4"/>
        <w:spacing w:before="240" w:after="240"/>
      </w:pPr>
      <w:r w:rsidRPr="00F76EBB">
        <w:rPr>
          <w:rFonts w:hint="cs"/>
          <w:rtl/>
        </w:rPr>
        <w:t xml:space="preserve">משמעות הדברים היא, בעיניי, שהכנסת </w:t>
      </w:r>
      <w:r w:rsidRPr="00F76EBB">
        <w:rPr>
          <w:rtl/>
        </w:rPr>
        <w:t>–</w:t>
      </w:r>
      <w:r w:rsidRPr="00F76EBB">
        <w:rPr>
          <w:rFonts w:hint="cs"/>
          <w:rtl/>
        </w:rPr>
        <w:t xml:space="preserve"> שמכוח הסמכויות שהוענקו על-ידה פועלים הממשלה, העומד בראשה ושריה </w:t>
      </w:r>
      <w:r w:rsidRPr="00F76EBB">
        <w:rPr>
          <w:rtl/>
        </w:rPr>
        <w:t>–</w:t>
      </w:r>
      <w:r w:rsidRPr="00F76EBB">
        <w:rPr>
          <w:rFonts w:hint="cs"/>
          <w:rtl/>
        </w:rPr>
        <w:t xml:space="preserve"> פטרה, במסגרת תיקון מס' 3</w:t>
      </w:r>
      <w:r>
        <w:rPr>
          <w:rFonts w:hint="cs"/>
          <w:rtl/>
        </w:rPr>
        <w:t>,</w:t>
      </w:r>
      <w:r w:rsidRPr="00F76EBB">
        <w:rPr>
          <w:rFonts w:hint="cs"/>
          <w:rtl/>
        </w:rPr>
        <w:t xml:space="preserve"> את בכירי הרשות המבצעת מחובת הציות לחוק. וכתוצאה מכך, גם החלטות מופרכות וקפריזיות החורגות מסמכותם של בכירי הרשות המבצעת, פטורות מביקורת שיפוטית ככל שהוראת התיקון תיוותר על כנה. שהרי, </w:t>
      </w:r>
      <w:r w:rsidRPr="00F21466">
        <w:rPr>
          <w:rFonts w:ascii="Century" w:hAnsi="Century" w:cs="Miriam" w:hint="cs"/>
          <w:b/>
          <w:spacing w:val="0"/>
          <w:sz w:val="22"/>
          <w:szCs w:val="24"/>
          <w:rtl/>
        </w:rPr>
        <w:t>עילת הסבירות</w:t>
      </w:r>
      <w:r w:rsidRPr="00F21466">
        <w:rPr>
          <w:rFonts w:hint="cs"/>
          <w:rtl/>
        </w:rPr>
        <w:t xml:space="preserve"> </w:t>
      </w:r>
      <w:r w:rsidRPr="00F76EBB">
        <w:rPr>
          <w:rFonts w:hint="cs"/>
          <w:rtl/>
        </w:rPr>
        <w:t xml:space="preserve">בוטלה </w:t>
      </w:r>
      <w:r w:rsidRPr="00F76EBB">
        <w:rPr>
          <w:rFonts w:ascii="Century" w:hAnsi="Century" w:cs="Miriam" w:hint="eastAsia"/>
          <w:b/>
          <w:spacing w:val="0"/>
          <w:sz w:val="22"/>
          <w:szCs w:val="24"/>
          <w:rtl/>
        </w:rPr>
        <w:t>בכללותה</w:t>
      </w:r>
      <w:r w:rsidRPr="00F76EBB">
        <w:rPr>
          <w:rFonts w:hint="cs"/>
          <w:rtl/>
        </w:rPr>
        <w:t xml:space="preserve"> במסגרת התיקון. </w:t>
      </w:r>
    </w:p>
    <w:p w:rsidR="00D61E12" w:rsidRPr="00017064" w:rsidRDefault="00D61E12" w:rsidP="00D61E12">
      <w:pPr>
        <w:pStyle w:val="Ruller4"/>
        <w:spacing w:before="240" w:after="240"/>
      </w:pPr>
      <w:r>
        <w:rPr>
          <w:rFonts w:hint="cs"/>
          <w:rtl/>
        </w:rPr>
        <w:t>אם כן, לאחר שעמדתי על פרשנותו הנכונה של תיקון מס' 3, ובהתאם לאמור לעיל, השאלות שבהן נותר להכריע הן האם הרשות המכוננת מוסמכת לפטור את בכירי הרשות המבצעת מציות לחוק; האם קמה עילה להתערבות שיפוטית בהוראה בחוק-יסוד העושה כן; ומהו הסעד שעל בית המשפט להושיט לעותרים בעתירות דנן.</w:t>
      </w:r>
    </w:p>
    <w:p w:rsidR="00D61E12" w:rsidRPr="002E3F7C" w:rsidRDefault="00D61E12" w:rsidP="002A1A3A">
      <w:pPr>
        <w:pStyle w:val="Ruller41"/>
        <w:keepNext/>
        <w:numPr>
          <w:ilvl w:val="0"/>
          <w:numId w:val="16"/>
        </w:numPr>
        <w:spacing w:before="240" w:after="240"/>
        <w:ind w:left="357" w:hanging="357"/>
        <w:rPr>
          <w:rFonts w:ascii="Century" w:hAnsi="Century" w:cs="Miriam"/>
          <w:b/>
          <w:spacing w:val="0"/>
          <w:szCs w:val="24"/>
          <w:rtl/>
        </w:rPr>
      </w:pPr>
      <w:r>
        <w:rPr>
          <w:rFonts w:ascii="Century" w:hAnsi="Century" w:cs="Miriam" w:hint="cs"/>
          <w:b/>
          <w:spacing w:val="0"/>
          <w:szCs w:val="24"/>
          <w:rtl/>
        </w:rPr>
        <w:t>עילת ההתערבות והסעד</w:t>
      </w:r>
    </w:p>
    <w:p w:rsidR="00D61E12" w:rsidRDefault="00D61E12" w:rsidP="00D61E12">
      <w:pPr>
        <w:pStyle w:val="Ruller4"/>
        <w:spacing w:before="240" w:after="240"/>
        <w:rPr>
          <w:rtl/>
        </w:rPr>
      </w:pPr>
      <w:r w:rsidRPr="00EA7AF4">
        <w:rPr>
          <w:rFonts w:hint="eastAsia"/>
          <w:rtl/>
        </w:rPr>
        <w:t>לאחר</w:t>
      </w:r>
      <w:r w:rsidRPr="00EA7AF4">
        <w:rPr>
          <w:rtl/>
        </w:rPr>
        <w:t xml:space="preserve"> </w:t>
      </w:r>
      <w:r w:rsidRPr="00EA7AF4">
        <w:rPr>
          <w:rFonts w:hint="eastAsia"/>
          <w:rtl/>
        </w:rPr>
        <w:t>שהפכתי</w:t>
      </w:r>
      <w:r w:rsidRPr="00EA7AF4">
        <w:rPr>
          <w:rtl/>
        </w:rPr>
        <w:t xml:space="preserve"> </w:t>
      </w:r>
      <w:r w:rsidRPr="00EA7AF4">
        <w:rPr>
          <w:rFonts w:hint="eastAsia"/>
          <w:rtl/>
        </w:rPr>
        <w:t>בטענות</w:t>
      </w:r>
      <w:r w:rsidRPr="00EA7AF4">
        <w:rPr>
          <w:rtl/>
        </w:rPr>
        <w:t xml:space="preserve"> </w:t>
      </w:r>
      <w:r w:rsidRPr="00EA7AF4">
        <w:rPr>
          <w:rFonts w:hint="eastAsia"/>
          <w:rtl/>
        </w:rPr>
        <w:t>הצדדים</w:t>
      </w:r>
      <w:r w:rsidRPr="00EA7AF4">
        <w:rPr>
          <w:rtl/>
        </w:rPr>
        <w:t xml:space="preserve">, </w:t>
      </w:r>
      <w:r w:rsidRPr="00EA7AF4">
        <w:rPr>
          <w:rFonts w:hint="eastAsia"/>
          <w:rtl/>
        </w:rPr>
        <w:t>ובחוות</w:t>
      </w:r>
      <w:r w:rsidRPr="00EA7AF4">
        <w:rPr>
          <w:rtl/>
        </w:rPr>
        <w:t xml:space="preserve"> </w:t>
      </w:r>
      <w:r w:rsidRPr="00EA7AF4">
        <w:rPr>
          <w:rFonts w:hint="eastAsia"/>
          <w:rtl/>
        </w:rPr>
        <w:t>הדעת</w:t>
      </w:r>
      <w:r w:rsidRPr="00EA7AF4">
        <w:rPr>
          <w:rtl/>
        </w:rPr>
        <w:t xml:space="preserve"> </w:t>
      </w:r>
      <w:r w:rsidRPr="00EA7AF4">
        <w:rPr>
          <w:rFonts w:hint="eastAsia"/>
          <w:rtl/>
        </w:rPr>
        <w:t>השונות</w:t>
      </w:r>
      <w:r w:rsidRPr="00EA7AF4">
        <w:rPr>
          <w:rtl/>
        </w:rPr>
        <w:t xml:space="preserve"> </w:t>
      </w:r>
      <w:r w:rsidRPr="00EA7AF4">
        <w:rPr>
          <w:rFonts w:hint="eastAsia"/>
          <w:rtl/>
        </w:rPr>
        <w:t>של</w:t>
      </w:r>
      <w:r w:rsidRPr="00EA7AF4">
        <w:rPr>
          <w:rtl/>
        </w:rPr>
        <w:t xml:space="preserve"> </w:t>
      </w:r>
      <w:r w:rsidRPr="00EA7AF4">
        <w:rPr>
          <w:rFonts w:hint="eastAsia"/>
          <w:rtl/>
        </w:rPr>
        <w:t>חבריי</w:t>
      </w:r>
      <w:r w:rsidRPr="00EA7AF4">
        <w:rPr>
          <w:rtl/>
        </w:rPr>
        <w:t xml:space="preserve">, </w:t>
      </w:r>
      <w:r w:rsidRPr="00EA7AF4">
        <w:rPr>
          <w:rFonts w:hint="eastAsia"/>
          <w:rtl/>
        </w:rPr>
        <w:t>הגעתי</w:t>
      </w:r>
      <w:r w:rsidRPr="00EA7AF4">
        <w:rPr>
          <w:rtl/>
        </w:rPr>
        <w:t xml:space="preserve"> </w:t>
      </w:r>
      <w:r w:rsidRPr="00EA7AF4">
        <w:rPr>
          <w:rFonts w:hint="eastAsia"/>
          <w:rtl/>
        </w:rPr>
        <w:t>לכלל</w:t>
      </w:r>
      <w:r w:rsidRPr="00EA7AF4">
        <w:rPr>
          <w:rtl/>
        </w:rPr>
        <w:t xml:space="preserve"> </w:t>
      </w:r>
      <w:r w:rsidRPr="00EA7AF4">
        <w:rPr>
          <w:rFonts w:hint="eastAsia"/>
          <w:rtl/>
        </w:rPr>
        <w:t>מסקנה</w:t>
      </w:r>
      <w:r w:rsidRPr="00EA7AF4">
        <w:rPr>
          <w:rtl/>
        </w:rPr>
        <w:t xml:space="preserve"> </w:t>
      </w:r>
      <w:r w:rsidRPr="00EA7AF4">
        <w:rPr>
          <w:rFonts w:hint="eastAsia"/>
          <w:rtl/>
        </w:rPr>
        <w:t>כי</w:t>
      </w:r>
      <w:r w:rsidRPr="00EA7AF4">
        <w:rPr>
          <w:rtl/>
        </w:rPr>
        <w:t xml:space="preserve"> </w:t>
      </w:r>
      <w:r>
        <w:rPr>
          <w:rFonts w:hint="cs"/>
          <w:rtl/>
        </w:rPr>
        <w:t>אין מנוס</w:t>
      </w:r>
      <w:r w:rsidRPr="00EA7AF4">
        <w:rPr>
          <w:rtl/>
        </w:rPr>
        <w:t xml:space="preserve"> </w:t>
      </w:r>
      <w:r>
        <w:rPr>
          <w:rFonts w:hint="cs"/>
          <w:rtl/>
        </w:rPr>
        <w:t>מ</w:t>
      </w:r>
      <w:r w:rsidRPr="00EA7AF4">
        <w:rPr>
          <w:rFonts w:hint="eastAsia"/>
          <w:rtl/>
        </w:rPr>
        <w:t>להורות</w:t>
      </w:r>
      <w:r w:rsidRPr="00EA7AF4">
        <w:rPr>
          <w:rtl/>
        </w:rPr>
        <w:t xml:space="preserve"> </w:t>
      </w:r>
      <w:r w:rsidRPr="00EA7AF4">
        <w:rPr>
          <w:rFonts w:hint="eastAsia"/>
          <w:rtl/>
        </w:rPr>
        <w:t>על</w:t>
      </w:r>
      <w:r w:rsidRPr="00EA7AF4">
        <w:rPr>
          <w:rtl/>
        </w:rPr>
        <w:t xml:space="preserve"> </w:t>
      </w:r>
      <w:r w:rsidRPr="00EA7AF4">
        <w:rPr>
          <w:rFonts w:hint="eastAsia"/>
          <w:rtl/>
        </w:rPr>
        <w:t>ביטול</w:t>
      </w:r>
      <w:r w:rsidRPr="00EA7AF4">
        <w:rPr>
          <w:rtl/>
        </w:rPr>
        <w:t xml:space="preserve"> </w:t>
      </w:r>
      <w:r w:rsidRPr="00EA7AF4">
        <w:rPr>
          <w:rFonts w:hint="eastAsia"/>
          <w:rtl/>
        </w:rPr>
        <w:t>סעיף</w:t>
      </w:r>
      <w:r w:rsidRPr="00EA7AF4">
        <w:rPr>
          <w:rtl/>
        </w:rPr>
        <w:t xml:space="preserve"> 15(</w:t>
      </w:r>
      <w:r w:rsidRPr="00EA7AF4">
        <w:rPr>
          <w:rFonts w:hint="eastAsia"/>
          <w:rtl/>
        </w:rPr>
        <w:t>ד</w:t>
      </w:r>
      <w:r w:rsidRPr="00EA7AF4">
        <w:rPr>
          <w:rtl/>
        </w:rPr>
        <w:t xml:space="preserve">1) </w:t>
      </w:r>
      <w:r w:rsidRPr="00EA7AF4">
        <w:rPr>
          <w:rFonts w:hint="eastAsia"/>
          <w:rtl/>
        </w:rPr>
        <w:t>לחוק</w:t>
      </w:r>
      <w:r w:rsidRPr="00EA7AF4">
        <w:rPr>
          <w:rtl/>
        </w:rPr>
        <w:t>-</w:t>
      </w:r>
      <w:r w:rsidRPr="00EA7AF4">
        <w:rPr>
          <w:rFonts w:hint="eastAsia"/>
          <w:rtl/>
        </w:rPr>
        <w:t>יסוד</w:t>
      </w:r>
      <w:r>
        <w:rPr>
          <w:rFonts w:hint="cs"/>
          <w:rtl/>
        </w:rPr>
        <w:t>:</w:t>
      </w:r>
      <w:r w:rsidRPr="00EA7AF4">
        <w:rPr>
          <w:rtl/>
        </w:rPr>
        <w:t xml:space="preserve"> </w:t>
      </w:r>
      <w:r w:rsidRPr="00EA7AF4">
        <w:rPr>
          <w:rFonts w:hint="eastAsia"/>
          <w:rtl/>
        </w:rPr>
        <w:t>השפיטה</w:t>
      </w:r>
      <w:r>
        <w:rPr>
          <w:rtl/>
        </w:rPr>
        <w:t>.</w:t>
      </w:r>
    </w:p>
    <w:p w:rsidR="00D61E12" w:rsidRPr="00AA659E" w:rsidRDefault="00D61E12" w:rsidP="00D61E12">
      <w:pPr>
        <w:pStyle w:val="Ruller4"/>
        <w:spacing w:before="240" w:after="240"/>
      </w:pPr>
      <w:r w:rsidRPr="00AA659E">
        <w:rPr>
          <w:rFonts w:hint="cs"/>
          <w:rtl/>
        </w:rPr>
        <w:t>כאמור לעיל, גישתי באשר למגבלות הרשות המכוננת נעוצה, בעיקרו של דבר, בכך שהעם-הריבון לא הסמיך את הכנסת להיות כל-יכולה, גם בפועלה כרש</w:t>
      </w:r>
      <w:r>
        <w:rPr>
          <w:rFonts w:hint="cs"/>
          <w:rtl/>
        </w:rPr>
        <w:t>ות מכוננת. המגבלה המרכזית המוטל</w:t>
      </w:r>
      <w:r w:rsidRPr="00AA659E">
        <w:rPr>
          <w:rFonts w:hint="cs"/>
          <w:rtl/>
        </w:rPr>
        <w:t xml:space="preserve">ת על הסמכות המכוננת נובעת, אפוא, מעצם </w:t>
      </w:r>
      <w:r w:rsidRPr="00AA659E">
        <w:rPr>
          <w:rFonts w:hint="eastAsia"/>
          <w:rtl/>
        </w:rPr>
        <w:t>מקור</w:t>
      </w:r>
      <w:r w:rsidRPr="00AA659E">
        <w:rPr>
          <w:rtl/>
        </w:rPr>
        <w:t xml:space="preserve"> </w:t>
      </w:r>
      <w:r w:rsidRPr="00AA659E">
        <w:rPr>
          <w:rFonts w:hint="eastAsia"/>
          <w:rtl/>
        </w:rPr>
        <w:t>סמכות</w:t>
      </w:r>
      <w:r w:rsidRPr="00AA659E">
        <w:rPr>
          <w:rFonts w:hint="cs"/>
          <w:rtl/>
        </w:rPr>
        <w:t>ה</w:t>
      </w:r>
      <w:r w:rsidRPr="00AA659E">
        <w:rPr>
          <w:rtl/>
        </w:rPr>
        <w:t xml:space="preserve"> </w:t>
      </w:r>
      <w:r w:rsidRPr="00AA659E">
        <w:rPr>
          <w:rFonts w:hint="cs"/>
          <w:rtl/>
        </w:rPr>
        <w:t xml:space="preserve">הבסיסי ביותר </w:t>
      </w:r>
      <w:r w:rsidRPr="00AA659E">
        <w:rPr>
          <w:rtl/>
        </w:rPr>
        <w:t>–</w:t>
      </w:r>
      <w:r w:rsidRPr="00AA659E">
        <w:rPr>
          <w:rFonts w:hint="cs"/>
          <w:rtl/>
        </w:rPr>
        <w:t xml:space="preserve"> הלא הוא</w:t>
      </w:r>
      <w:r w:rsidRPr="00AA659E">
        <w:rPr>
          <w:rtl/>
        </w:rPr>
        <w:t xml:space="preserve"> </w:t>
      </w:r>
      <w:r w:rsidRPr="00AA659E">
        <w:rPr>
          <w:rFonts w:ascii="Century" w:hAnsi="Century" w:cs="Miriam"/>
          <w:b/>
          <w:spacing w:val="0"/>
          <w:sz w:val="22"/>
          <w:szCs w:val="24"/>
          <w:rtl/>
        </w:rPr>
        <w:t>העם</w:t>
      </w:r>
      <w:r w:rsidRPr="00AA659E">
        <w:rPr>
          <w:rFonts w:hint="cs"/>
          <w:rtl/>
        </w:rPr>
        <w:t>. מכך נגזר, שהכנסת אינה מוסמכת לחתור תחת הסמכויות שניתנו לה, בהיבט הדמוקרטי.</w:t>
      </w:r>
    </w:p>
    <w:p w:rsidR="00D61E12" w:rsidRPr="00043D5F" w:rsidRDefault="00D61E12" w:rsidP="00D61E12">
      <w:pPr>
        <w:pStyle w:val="Ruller4"/>
        <w:spacing w:before="240" w:after="240"/>
        <w:rPr>
          <w:rFonts w:ascii="Century" w:hAnsi="Century" w:cs="Miriam"/>
          <w:b/>
          <w:spacing w:val="0"/>
          <w:sz w:val="22"/>
          <w:szCs w:val="24"/>
        </w:rPr>
      </w:pPr>
      <w:r>
        <w:rPr>
          <w:rFonts w:hint="cs"/>
          <w:rtl/>
        </w:rPr>
        <w:t>בפסק הדין ב</w:t>
      </w:r>
      <w:r w:rsidRPr="00AA659E">
        <w:rPr>
          <w:rtl/>
        </w:rPr>
        <w:t xml:space="preserve">א"ב 11280/02 </w:t>
      </w:r>
      <w:r w:rsidRPr="00AA659E">
        <w:rPr>
          <w:rFonts w:ascii="Century" w:hAnsi="Century" w:cs="Miriam"/>
          <w:b/>
          <w:spacing w:val="0"/>
          <w:sz w:val="22"/>
          <w:szCs w:val="24"/>
          <w:rtl/>
        </w:rPr>
        <w:t>ועדת הבחירות המרכזית לכנסת השש-עשרה נ' טיבי</w:t>
      </w:r>
      <w:r>
        <w:rPr>
          <w:rtl/>
        </w:rPr>
        <w:t>, פ"ד נז(4) 1</w:t>
      </w:r>
      <w:r>
        <w:rPr>
          <w:rFonts w:hint="cs"/>
          <w:rtl/>
        </w:rPr>
        <w:t xml:space="preserve"> </w:t>
      </w:r>
      <w:r w:rsidRPr="00AA659E">
        <w:rPr>
          <w:rtl/>
        </w:rPr>
        <w:t xml:space="preserve">(2003) </w:t>
      </w:r>
      <w:r>
        <w:rPr>
          <w:rFonts w:hint="cs"/>
          <w:rtl/>
        </w:rPr>
        <w:t xml:space="preserve">הוזכרה שורה של </w:t>
      </w:r>
      <w:r>
        <w:rPr>
          <w:rtl/>
        </w:rPr>
        <w:t xml:space="preserve">מאפיינים </w:t>
      </w:r>
      <w:r>
        <w:rPr>
          <w:rFonts w:hint="cs"/>
          <w:rtl/>
        </w:rPr>
        <w:t>דמוקרטיים '</w:t>
      </w:r>
      <w:r w:rsidRPr="00AA659E">
        <w:rPr>
          <w:rtl/>
        </w:rPr>
        <w:t>גרעיניים</w:t>
      </w:r>
      <w:r>
        <w:rPr>
          <w:rFonts w:hint="cs"/>
          <w:rtl/>
        </w:rPr>
        <w:t>', ה</w:t>
      </w:r>
      <w:r>
        <w:rPr>
          <w:rtl/>
        </w:rPr>
        <w:t>מבוססים</w:t>
      </w:r>
      <w:r>
        <w:rPr>
          <w:rFonts w:hint="cs"/>
          <w:rtl/>
        </w:rPr>
        <w:t xml:space="preserve">, בראש ובראשונה, </w:t>
      </w:r>
      <w:r>
        <w:rPr>
          <w:rtl/>
        </w:rPr>
        <w:t xml:space="preserve">על הכרה </w:t>
      </w:r>
      <w:r w:rsidRPr="00AA659E">
        <w:rPr>
          <w:rFonts w:ascii="Century" w:hAnsi="Century" w:cs="Miriam"/>
          <w:b/>
          <w:spacing w:val="0"/>
          <w:sz w:val="22"/>
          <w:szCs w:val="24"/>
          <w:rtl/>
        </w:rPr>
        <w:t>בריבונות העם</w:t>
      </w:r>
      <w:r>
        <w:rPr>
          <w:rFonts w:hint="cs"/>
          <w:rtl/>
        </w:rPr>
        <w:t>. מאפיינים אלו מתבטאים</w:t>
      </w:r>
      <w:r w:rsidRPr="00AA659E">
        <w:rPr>
          <w:rtl/>
        </w:rPr>
        <w:t xml:space="preserve"> </w:t>
      </w:r>
      <w:r>
        <w:rPr>
          <w:rFonts w:hint="cs"/>
          <w:rtl/>
        </w:rPr>
        <w:t xml:space="preserve">בקיומן של </w:t>
      </w:r>
      <w:r>
        <w:rPr>
          <w:rtl/>
        </w:rPr>
        <w:t xml:space="preserve">בחירות </w:t>
      </w:r>
      <w:r>
        <w:rPr>
          <w:rtl/>
        </w:rPr>
        <w:lastRenderedPageBreak/>
        <w:t>חופשיות ושוות</w:t>
      </w:r>
      <w:r>
        <w:rPr>
          <w:rFonts w:hint="cs"/>
          <w:rtl/>
        </w:rPr>
        <w:t>;</w:t>
      </w:r>
      <w:r w:rsidRPr="00AA659E">
        <w:rPr>
          <w:rtl/>
        </w:rPr>
        <w:t xml:space="preserve"> הכרה בגרעין של זכויות אדם, ובהן </w:t>
      </w:r>
      <w:r>
        <w:rPr>
          <w:rtl/>
        </w:rPr>
        <w:t>כבוד ושוויון; קיום הפרדת רשויות</w:t>
      </w:r>
      <w:r>
        <w:rPr>
          <w:rFonts w:hint="cs"/>
          <w:rtl/>
        </w:rPr>
        <w:t>; ו</w:t>
      </w:r>
      <w:r w:rsidRPr="00AA659E">
        <w:rPr>
          <w:rtl/>
        </w:rPr>
        <w:t>שלטון החוק</w:t>
      </w:r>
      <w:r>
        <w:rPr>
          <w:rFonts w:ascii="Century" w:hAnsi="Century" w:cs="Miriam" w:hint="cs"/>
          <w:b/>
          <w:spacing w:val="0"/>
          <w:sz w:val="22"/>
          <w:szCs w:val="24"/>
          <w:rtl/>
        </w:rPr>
        <w:t>.</w:t>
      </w:r>
    </w:p>
    <w:p w:rsidR="00D61E12" w:rsidRPr="00223299" w:rsidRDefault="00D61E12" w:rsidP="00D61E12">
      <w:pPr>
        <w:pStyle w:val="Ruller4"/>
        <w:spacing w:before="240" w:after="240"/>
        <w:rPr>
          <w:rFonts w:ascii="Century" w:hAnsi="Century"/>
          <w:sz w:val="22"/>
        </w:rPr>
      </w:pPr>
      <w:r w:rsidRPr="00223299">
        <w:rPr>
          <w:rFonts w:ascii="Century" w:hAnsi="Century" w:hint="cs"/>
          <w:sz w:val="22"/>
          <w:rtl/>
        </w:rPr>
        <w:t xml:space="preserve">הקשר </w:t>
      </w:r>
      <w:r>
        <w:rPr>
          <w:rFonts w:ascii="Century" w:hAnsi="Century" w:hint="cs"/>
          <w:sz w:val="22"/>
          <w:rtl/>
        </w:rPr>
        <w:t>שבין ריבונות העם לבין עקרונות א</w:t>
      </w:r>
      <w:r w:rsidRPr="00223299">
        <w:rPr>
          <w:rFonts w:ascii="Century" w:hAnsi="Century" w:hint="cs"/>
          <w:sz w:val="22"/>
          <w:rtl/>
        </w:rPr>
        <w:t>לו הוא ברור</w:t>
      </w:r>
      <w:r w:rsidRPr="00223299">
        <w:rPr>
          <w:rFonts w:ascii="Century" w:hAnsi="Century"/>
          <w:sz w:val="22"/>
          <w:rtl/>
        </w:rPr>
        <w:t>.</w:t>
      </w:r>
      <w:r w:rsidRPr="00223299">
        <w:rPr>
          <w:rFonts w:ascii="Century" w:hAnsi="Century" w:hint="cs"/>
          <w:sz w:val="22"/>
          <w:rtl/>
        </w:rPr>
        <w:t xml:space="preserve"> </w:t>
      </w:r>
      <w:r>
        <w:rPr>
          <w:rFonts w:ascii="Century" w:hAnsi="Century" w:hint="cs"/>
          <w:sz w:val="22"/>
          <w:rtl/>
        </w:rPr>
        <w:t>מאחר</w:t>
      </w:r>
      <w:r w:rsidRPr="00223299">
        <w:rPr>
          <w:rFonts w:ascii="Century" w:hAnsi="Century" w:hint="cs"/>
          <w:sz w:val="22"/>
          <w:rtl/>
        </w:rPr>
        <w:t xml:space="preserve"> </w:t>
      </w:r>
      <w:r>
        <w:rPr>
          <w:rFonts w:ascii="Century" w:hAnsi="Century" w:hint="cs"/>
          <w:sz w:val="22"/>
          <w:rtl/>
        </w:rPr>
        <w:t>ש</w:t>
      </w:r>
      <w:r w:rsidRPr="00223299">
        <w:rPr>
          <w:rFonts w:ascii="Century" w:hAnsi="Century" w:hint="cs"/>
          <w:sz w:val="22"/>
          <w:rtl/>
        </w:rPr>
        <w:t>העם הוא הריבון, ההכרעות במדינה צריכות להתקבל באמצעות בחירות חופשיות ושוות, שבהן העם יכול לבחור את נציגיו</w:t>
      </w:r>
      <w:r>
        <w:rPr>
          <w:rFonts w:ascii="Century" w:hAnsi="Century" w:hint="cs"/>
          <w:sz w:val="22"/>
          <w:rtl/>
        </w:rPr>
        <w:t xml:space="preserve"> בבית הנבחרים</w:t>
      </w:r>
      <w:r w:rsidRPr="00223299">
        <w:rPr>
          <w:rFonts w:ascii="Century" w:hAnsi="Century" w:hint="cs"/>
          <w:sz w:val="22"/>
          <w:rtl/>
        </w:rPr>
        <w:t xml:space="preserve">. </w:t>
      </w:r>
      <w:r>
        <w:rPr>
          <w:rFonts w:ascii="Century" w:hAnsi="Century" w:hint="cs"/>
          <w:sz w:val="22"/>
          <w:rtl/>
        </w:rPr>
        <w:t xml:space="preserve">בבסיס העיקרון של </w:t>
      </w:r>
      <w:r w:rsidRPr="00223299">
        <w:rPr>
          <w:rFonts w:ascii="Century" w:hAnsi="Century" w:hint="cs"/>
          <w:sz w:val="22"/>
          <w:rtl/>
        </w:rPr>
        <w:t>ריבונות העם</w:t>
      </w:r>
      <w:r>
        <w:rPr>
          <w:rFonts w:ascii="Century" w:hAnsi="Century" w:hint="cs"/>
          <w:sz w:val="22"/>
          <w:rtl/>
        </w:rPr>
        <w:t xml:space="preserve"> ניצבת אף התפיסה בדבר גרעין מינימלי של זכויות אדם. אחרת, אם לאזרחי המדינה אין זכויות שוות, ולו במובנן הגרעיני ביותר, הכיצד הם יהיו אדונים לגורלם? זאת ועוד. כידוע, בהיעדר הפרדה בין הרשויות, כאשר מי שאחראי על ביצוע החוק מחוקק לעצמו ושולט בשאלה בפני מי הוא ייתן את הדין, לא תיתכן כל חירות. אזרחי מדינה שבה מתנהל שלטון מעין זה, לא יוכלו להיות אדונים לגורלם לאורך זמן. עיקרון שלטון החוק הוא צדו השני של אותו המטבע, במובן זה שכאשר רשות שלטונית ניצבת מעל החוק, אין לריבון-העם כל דרך לאכוף את שלטונו באמצעות החוק.</w:t>
      </w:r>
    </w:p>
    <w:p w:rsidR="00D61E12" w:rsidRPr="00223299" w:rsidRDefault="00D61E12" w:rsidP="00D61E12">
      <w:pPr>
        <w:pStyle w:val="Ruller4"/>
        <w:spacing w:before="240" w:after="240"/>
        <w:rPr>
          <w:rFonts w:ascii="Century" w:hAnsi="Century" w:cs="Miriam"/>
          <w:b/>
          <w:spacing w:val="0"/>
          <w:sz w:val="22"/>
          <w:szCs w:val="24"/>
        </w:rPr>
      </w:pPr>
      <w:r>
        <w:rPr>
          <w:rFonts w:hint="cs"/>
          <w:rtl/>
        </w:rPr>
        <w:t xml:space="preserve">ומכאן לענייננו. התשובה לשאלה אם הרשות המכוננת מוסמכת לפטור את בכירי הרשות המבצעת מציות לחוק, היא, לדידי, בשלילה מוחלטת. </w:t>
      </w:r>
    </w:p>
    <w:p w:rsidR="00D61E12" w:rsidRDefault="00D61E12" w:rsidP="00D61E12">
      <w:pPr>
        <w:pStyle w:val="Ruller4"/>
        <w:spacing w:before="240" w:after="240"/>
      </w:pPr>
      <w:r>
        <w:rPr>
          <w:rFonts w:hint="cs"/>
          <w:rtl/>
        </w:rPr>
        <w:t>"</w:t>
      </w:r>
      <w:r w:rsidRPr="00482424">
        <w:rPr>
          <w:rFonts w:ascii="Century" w:hAnsi="Century" w:cs="Miriam"/>
          <w:b/>
          <w:spacing w:val="0"/>
          <w:sz w:val="22"/>
          <w:szCs w:val="24"/>
          <w:rtl/>
        </w:rPr>
        <w:t>מדינת</w:t>
      </w:r>
      <w:r>
        <w:rPr>
          <w:rFonts w:ascii="Century" w:hAnsi="Century" w:cs="Miriam" w:hint="cs"/>
          <w:b/>
          <w:spacing w:val="0"/>
          <w:sz w:val="22"/>
          <w:szCs w:val="24"/>
          <w:rtl/>
        </w:rPr>
        <w:t>נ</w:t>
      </w:r>
      <w:r w:rsidRPr="00482424">
        <w:rPr>
          <w:rFonts w:ascii="Century" w:hAnsi="Century" w:cs="Miriam"/>
          <w:b/>
          <w:spacing w:val="0"/>
          <w:sz w:val="22"/>
          <w:szCs w:val="24"/>
          <w:rtl/>
        </w:rPr>
        <w:t>ו מושתתת על שלטון החוק ולא על שלטון אישים</w:t>
      </w:r>
      <w:r>
        <w:rPr>
          <w:rFonts w:hint="cs"/>
          <w:rtl/>
        </w:rPr>
        <w:t xml:space="preserve">", כך נקבע בעניין </w:t>
      </w:r>
      <w:r>
        <w:rPr>
          <w:rFonts w:ascii="Century" w:hAnsi="Century" w:cs="Miriam" w:hint="cs"/>
          <w:b/>
          <w:spacing w:val="0"/>
          <w:sz w:val="22"/>
          <w:szCs w:val="24"/>
          <w:rtl/>
        </w:rPr>
        <w:t xml:space="preserve">שייב </w:t>
      </w:r>
      <w:r>
        <w:rPr>
          <w:rFonts w:ascii="Century" w:hAnsi="Century" w:hint="cs"/>
          <w:sz w:val="22"/>
          <w:rtl/>
        </w:rPr>
        <w:t>לפני למעלה משבעה עשורים. זהו התיאור המזוקק ביותר של עקרונות שלטון החוק והפרדת רשויות, הנובעים כאמור מריבונות העם.</w:t>
      </w:r>
      <w:r w:rsidRPr="00656174">
        <w:rPr>
          <w:rFonts w:hint="cs"/>
          <w:rtl/>
        </w:rPr>
        <w:t xml:space="preserve"> </w:t>
      </w:r>
      <w:r>
        <w:rPr>
          <w:rFonts w:hint="cs"/>
          <w:rtl/>
        </w:rPr>
        <w:t xml:space="preserve">כאמור לעיל, </w:t>
      </w:r>
      <w:r w:rsidRPr="009366AA">
        <w:rPr>
          <w:rFonts w:ascii="Century" w:hAnsi="Century" w:hint="cs"/>
          <w:sz w:val="22"/>
          <w:shd w:val="clear" w:color="auto" w:fill="FFFFFF"/>
          <w:rtl/>
        </w:rPr>
        <w:t>אין ל</w:t>
      </w:r>
      <w:r w:rsidRPr="009366AA">
        <w:rPr>
          <w:rFonts w:ascii="Century" w:hAnsi="Century"/>
          <w:sz w:val="22"/>
          <w:shd w:val="clear" w:color="auto" w:fill="FFFFFF"/>
          <w:rtl/>
        </w:rPr>
        <w:t>מ</w:t>
      </w:r>
      <w:r w:rsidRPr="009366AA">
        <w:rPr>
          <w:rFonts w:ascii="Century" w:hAnsi="Century" w:hint="cs"/>
          <w:sz w:val="22"/>
          <w:shd w:val="clear" w:color="auto" w:fill="FFFFFF"/>
          <w:rtl/>
        </w:rPr>
        <w:t>י</w:t>
      </w:r>
      <w:r w:rsidRPr="009366AA">
        <w:rPr>
          <w:rFonts w:ascii="Century" w:hAnsi="Century"/>
          <w:sz w:val="22"/>
          <w:shd w:val="clear" w:color="auto" w:fill="FFFFFF"/>
          <w:rtl/>
        </w:rPr>
        <w:t>נהל אלא את הסמכויות שהוענקו ל</w:t>
      </w:r>
      <w:r w:rsidRPr="009366AA">
        <w:rPr>
          <w:rFonts w:ascii="Century" w:hAnsi="Century" w:hint="cs"/>
          <w:sz w:val="22"/>
          <w:shd w:val="clear" w:color="auto" w:fill="FFFFFF"/>
          <w:rtl/>
        </w:rPr>
        <w:t>ו</w:t>
      </w:r>
      <w:r w:rsidRPr="009366AA">
        <w:rPr>
          <w:rFonts w:ascii="Century" w:hAnsi="Century"/>
          <w:sz w:val="22"/>
          <w:shd w:val="clear" w:color="auto" w:fill="FFFFFF"/>
          <w:rtl/>
        </w:rPr>
        <w:t xml:space="preserve"> בחוק או מכוחו</w:t>
      </w:r>
      <w:r w:rsidRPr="009366AA">
        <w:rPr>
          <w:rFonts w:ascii="Century" w:hAnsi="Century" w:hint="cs"/>
          <w:sz w:val="22"/>
          <w:shd w:val="clear" w:color="auto" w:fill="FFFFFF"/>
          <w:rtl/>
        </w:rPr>
        <w:t>.</w:t>
      </w:r>
      <w:r w:rsidRPr="009366AA">
        <w:rPr>
          <w:rFonts w:ascii="Century" w:hAnsi="Century"/>
          <w:sz w:val="22"/>
          <w:shd w:val="clear" w:color="auto" w:fill="FFFFFF"/>
          <w:rtl/>
        </w:rPr>
        <w:t xml:space="preserve"> </w:t>
      </w:r>
      <w:r w:rsidRPr="009366AA">
        <w:rPr>
          <w:rFonts w:ascii="Century" w:hAnsi="Century" w:hint="cs"/>
          <w:sz w:val="22"/>
          <w:shd w:val="clear" w:color="auto" w:fill="FFFFFF"/>
          <w:rtl/>
        </w:rPr>
        <w:t xml:space="preserve">כל </w:t>
      </w:r>
      <w:r w:rsidRPr="009366AA">
        <w:rPr>
          <w:rFonts w:ascii="Century" w:hAnsi="Century"/>
          <w:sz w:val="22"/>
          <w:shd w:val="clear" w:color="auto" w:fill="FFFFFF"/>
          <w:rtl/>
        </w:rPr>
        <w:t xml:space="preserve">פעולה של רשות </w:t>
      </w:r>
      <w:r w:rsidRPr="009366AA">
        <w:rPr>
          <w:rFonts w:ascii="Century" w:hAnsi="Century" w:hint="cs"/>
          <w:sz w:val="22"/>
          <w:shd w:val="clear" w:color="auto" w:fill="FFFFFF"/>
          <w:rtl/>
        </w:rPr>
        <w:t xml:space="preserve">מינהלית, לרבות </w:t>
      </w:r>
      <w:r>
        <w:rPr>
          <w:rFonts w:ascii="Century" w:hAnsi="Century" w:hint="cs"/>
          <w:sz w:val="22"/>
          <w:shd w:val="clear" w:color="auto" w:fill="FFFFFF"/>
          <w:rtl/>
        </w:rPr>
        <w:t xml:space="preserve">של </w:t>
      </w:r>
      <w:r w:rsidRPr="009366AA">
        <w:rPr>
          <w:rFonts w:ascii="Century" w:hAnsi="Century" w:hint="cs"/>
          <w:sz w:val="22"/>
          <w:shd w:val="clear" w:color="auto" w:fill="FFFFFF"/>
          <w:rtl/>
        </w:rPr>
        <w:t xml:space="preserve">הממשלה, </w:t>
      </w:r>
      <w:r w:rsidRPr="00F76EBB">
        <w:rPr>
          <w:rFonts w:hint="cs"/>
          <w:rtl/>
        </w:rPr>
        <w:t xml:space="preserve">העומד בראשה </w:t>
      </w:r>
      <w:r w:rsidRPr="009366AA">
        <w:rPr>
          <w:rFonts w:ascii="Century" w:hAnsi="Century" w:hint="cs"/>
          <w:sz w:val="22"/>
          <w:shd w:val="clear" w:color="auto" w:fill="FFFFFF"/>
          <w:rtl/>
        </w:rPr>
        <w:t>ושריה,</w:t>
      </w:r>
      <w:r w:rsidRPr="009366AA">
        <w:rPr>
          <w:rFonts w:ascii="Century" w:hAnsi="Century"/>
          <w:sz w:val="22"/>
          <w:shd w:val="clear" w:color="auto" w:fill="FFFFFF"/>
          <w:rtl/>
        </w:rPr>
        <w:t xml:space="preserve"> החורגת מגדר החוק המסמיך</w:t>
      </w:r>
      <w:r w:rsidRPr="009366AA">
        <w:rPr>
          <w:rFonts w:ascii="Century" w:hAnsi="Century" w:hint="cs"/>
          <w:sz w:val="22"/>
          <w:shd w:val="clear" w:color="auto" w:fill="FFFFFF"/>
          <w:rtl/>
        </w:rPr>
        <w:t>,</w:t>
      </w:r>
      <w:r w:rsidRPr="009366AA">
        <w:rPr>
          <w:rFonts w:ascii="Century" w:hAnsi="Century"/>
          <w:sz w:val="22"/>
          <w:shd w:val="clear" w:color="auto" w:fill="FFFFFF"/>
          <w:rtl/>
        </w:rPr>
        <w:t xml:space="preserve"> לוקה בפגם יסודי של חוסר סמכות</w:t>
      </w:r>
      <w:r w:rsidRPr="009366AA">
        <w:rPr>
          <w:rFonts w:ascii="Century" w:hAnsi="Century" w:hint="cs"/>
          <w:sz w:val="22"/>
          <w:shd w:val="clear" w:color="auto" w:fill="FFFFFF"/>
          <w:rtl/>
        </w:rPr>
        <w:t>.</w:t>
      </w:r>
      <w:r>
        <w:rPr>
          <w:rFonts w:hint="cs"/>
          <w:rtl/>
        </w:rPr>
        <w:t xml:space="preserve"> חוסר הסמכות נובע מכך שהריבון-העם לא התיר לרשות המינהלית לעשות ככל העולה על רוחה, אלא קבע, באמצעות נציגיו בכנסת, את גדרי סמכותה בחקיקה.</w:t>
      </w:r>
      <w:r w:rsidRPr="00656174">
        <w:rPr>
          <w:rFonts w:hint="cs"/>
          <w:rtl/>
        </w:rPr>
        <w:t xml:space="preserve"> </w:t>
      </w:r>
      <w:r>
        <w:rPr>
          <w:rFonts w:hint="cs"/>
          <w:rtl/>
        </w:rPr>
        <w:t>כאשר הרשות המינהלית נפטרת מחובתה לפעול בהתאם לחוק המסמיך, משמעות הדבר שהיא אינה מחויבת עוד לציית לריבון-העם שהסמיך אותה.</w:t>
      </w:r>
    </w:p>
    <w:p w:rsidR="00D61E12" w:rsidRDefault="00D61E12" w:rsidP="00D61E12">
      <w:pPr>
        <w:pStyle w:val="Ruller4"/>
        <w:spacing w:before="240" w:after="240"/>
        <w:rPr>
          <w:rtl/>
        </w:rPr>
      </w:pPr>
      <w:r>
        <w:rPr>
          <w:rFonts w:hint="cs"/>
          <w:rtl/>
        </w:rPr>
        <w:t xml:space="preserve">מאחר שכנסת ישראל מעולם לא הוסמכה להפקיע את הריבונות מידי העם, ולתתה בידי רשות כלשהי, גם לא בפועלה כרשות מכוננת </w:t>
      </w:r>
      <w:r>
        <w:rPr>
          <w:rtl/>
        </w:rPr>
        <w:t>–</w:t>
      </w:r>
      <w:r>
        <w:rPr>
          <w:rFonts w:hint="cs"/>
          <w:rtl/>
        </w:rPr>
        <w:t xml:space="preserve"> הרי שהכנסת אינה מוסמכת לפטור את הדרג המיניסטריאלי מחובתו לתת את הדין</w:t>
      </w:r>
      <w:r w:rsidRPr="00656174">
        <w:rPr>
          <w:rFonts w:hint="cs"/>
          <w:rtl/>
        </w:rPr>
        <w:t xml:space="preserve"> </w:t>
      </w:r>
      <w:r>
        <w:rPr>
          <w:rFonts w:hint="cs"/>
          <w:rtl/>
        </w:rPr>
        <w:t xml:space="preserve">כאשר הוא חורג מסמכותו החוקית. פטור שכזה ייצור מצב בו העם נשלט בידי אישים ולא בידי חוקים. כפי שציין חברי, השופט </w:t>
      </w:r>
      <w:r w:rsidRPr="00223299">
        <w:rPr>
          <w:rFonts w:ascii="Century" w:hAnsi="Century" w:cs="Miriam" w:hint="cs"/>
          <w:b/>
          <w:spacing w:val="0"/>
          <w:sz w:val="22"/>
          <w:szCs w:val="24"/>
          <w:rtl/>
        </w:rPr>
        <w:t>סולברג</w:t>
      </w:r>
      <w:r>
        <w:rPr>
          <w:rFonts w:hint="cs"/>
          <w:rtl/>
        </w:rPr>
        <w:t xml:space="preserve">, בעניין </w:t>
      </w:r>
      <w:r w:rsidRPr="00223299">
        <w:rPr>
          <w:rFonts w:ascii="Century" w:hAnsi="Century" w:cs="Miriam" w:hint="cs"/>
          <w:b/>
          <w:spacing w:val="0"/>
          <w:sz w:val="22"/>
          <w:szCs w:val="24"/>
          <w:rtl/>
        </w:rPr>
        <w:t>קוונטינסקי</w:t>
      </w:r>
      <w:r>
        <w:rPr>
          <w:rFonts w:hint="cs"/>
          <w:rtl/>
        </w:rPr>
        <w:t>:</w:t>
      </w:r>
    </w:p>
    <w:p w:rsidR="00D61E12" w:rsidRPr="00223299" w:rsidRDefault="00D61E12" w:rsidP="00D61E12">
      <w:pPr>
        <w:pStyle w:val="Ruller5"/>
      </w:pPr>
      <w:r>
        <w:rPr>
          <w:rFonts w:hint="cs"/>
          <w:rtl/>
        </w:rPr>
        <w:t>"</w:t>
      </w:r>
      <w:r w:rsidRPr="00223299">
        <w:rPr>
          <w:rFonts w:hint="cs"/>
          <w:rtl/>
        </w:rPr>
        <w:t xml:space="preserve">הריבונות במדינה דמוקרטית נתונה לעם, וכדברי אברהם לינקולן בנאום גטיסברג: </w:t>
      </w:r>
      <w:r w:rsidRPr="00223299">
        <w:rPr>
          <w:rFonts w:asciiTheme="majorBidi" w:hAnsiTheme="majorBidi" w:cstheme="majorBidi"/>
          <w:bCs/>
          <w:spacing w:val="0"/>
          <w:sz w:val="24"/>
        </w:rPr>
        <w:t>'</w:t>
      </w:r>
      <w:r w:rsidRPr="00223299">
        <w:rPr>
          <w:rFonts w:asciiTheme="majorBidi" w:hAnsiTheme="majorBidi" w:cstheme="majorBidi"/>
          <w:bCs/>
          <w:spacing w:val="0"/>
          <w:sz w:val="24"/>
          <w:lang w:val="en"/>
        </w:rPr>
        <w:t>Government of the people, by the people, for the people</w:t>
      </w:r>
      <w:r>
        <w:rPr>
          <w:rFonts w:ascii="Times New Roman" w:hAnsi="Times New Roman" w:cs="Times New Roman"/>
          <w:sz w:val="24"/>
          <w:szCs w:val="24"/>
          <w:lang w:val="en"/>
        </w:rPr>
        <w:t>'</w:t>
      </w:r>
      <w:r w:rsidRPr="00223299">
        <w:rPr>
          <w:rFonts w:hint="cs"/>
          <w:sz w:val="24"/>
          <w:szCs w:val="24"/>
          <w:rtl/>
        </w:rPr>
        <w:t>.</w:t>
      </w:r>
      <w:r w:rsidRPr="00223299">
        <w:rPr>
          <w:rFonts w:hint="cs"/>
          <w:rtl/>
        </w:rPr>
        <w:t xml:space="preserve"> הכנסת מייצגת את העם, </w:t>
      </w:r>
      <w:r w:rsidRPr="00223299">
        <w:rPr>
          <w:rFonts w:hint="cs"/>
          <w:rtl/>
        </w:rPr>
        <w:lastRenderedPageBreak/>
        <w:t>ולפיכך הוכר מעמדה הרם בקרב שלוש רשויות השלטון. באופן מיוחד חזק מעמדה של הכנסת בכל הנוגע לחקיקה, המהווה את הפונקציה המרכזית של הכנסת כבית מחוקקים וכרשות שלטון עצמאית</w:t>
      </w:r>
      <w:r>
        <w:rPr>
          <w:rFonts w:hint="cs"/>
          <w:rtl/>
        </w:rPr>
        <w:t>" (בפסקה 36 לחוות דעתו).</w:t>
      </w:r>
    </w:p>
    <w:p w:rsidR="00D61E12" w:rsidRDefault="00D61E12" w:rsidP="00D61E12">
      <w:pPr>
        <w:pStyle w:val="Ruller4"/>
        <w:spacing w:before="240" w:after="240"/>
        <w:rPr>
          <w:rtl/>
        </w:rPr>
      </w:pPr>
      <w:r>
        <w:rPr>
          <w:rFonts w:hint="cs"/>
          <w:rtl/>
        </w:rPr>
        <w:t>הנה כי כן, מעמדה הרם של הכנסת נובע מכך שהיא מייצגת את העם בעת שהיא מחוקקת חוקים. אולם, סמכות חקיקת החוקים אינה 'שייכת' לחברי הכנסת. הכנסת מחזיקה סמכות זו ב'נאמנות' עבור העם. מכאן, שהכנסת איננה מוסמכת להפקיע את כוחה זה, ולוותר על כך שחוקיה ייאכפו אל מול הדרג המיניסטריאלי.</w:t>
      </w:r>
    </w:p>
    <w:p w:rsidR="00D61E12" w:rsidRDefault="00D61E12" w:rsidP="00D61E12">
      <w:pPr>
        <w:pStyle w:val="Ruller4"/>
        <w:spacing w:before="240" w:after="240"/>
        <w:rPr>
          <w:rtl/>
        </w:rPr>
      </w:pPr>
      <w:r>
        <w:rPr>
          <w:rFonts w:hint="cs"/>
          <w:rtl/>
        </w:rPr>
        <w:t>לאור כל המפורט לעיל, הגעתי לכלל מסקנה כי תיקון מס' 3 תוקן בחריגה מסמכותה המכוננת של הכנסת. מסקנתי זו נובעת מכך שהכנסת מעולם לא הוסמכה לפטור את הממשלה, העומד בראשה ושריה מחובתם לציית לחוק, ולאפשר להם לקבל החלטות שרירותיות וקפריזיות, המנוגדות בבירור לתכלית החוק המסמיך, מבלי לתת על כך את הדין.</w:t>
      </w:r>
    </w:p>
    <w:p w:rsidR="00D61E12" w:rsidRDefault="00D61E12" w:rsidP="00D61E12">
      <w:pPr>
        <w:pStyle w:val="Ruller4"/>
        <w:spacing w:before="240" w:after="240"/>
        <w:rPr>
          <w:rtl/>
        </w:rPr>
      </w:pPr>
      <w:r>
        <w:rPr>
          <w:rFonts w:hint="cs"/>
          <w:rtl/>
        </w:rPr>
        <w:t>בהינתן כל האמור לעיל, סבורני כי אין מנוס מהתערבות שיפוטית ומביטולו של סעיף 15(ד1). מדובר, לדידי, ב</w:t>
      </w:r>
      <w:r w:rsidRPr="00223299">
        <w:rPr>
          <w:rFonts w:ascii="Century" w:hAnsi="Century" w:hint="eastAsia"/>
          <w:rtl/>
        </w:rPr>
        <w:t>מקר</w:t>
      </w:r>
      <w:r>
        <w:rPr>
          <w:rFonts w:ascii="Century" w:hAnsi="Century" w:hint="cs"/>
          <w:rtl/>
        </w:rPr>
        <w:t>ה</w:t>
      </w:r>
      <w:r w:rsidRPr="00223299">
        <w:rPr>
          <w:rFonts w:ascii="Century" w:hAnsi="Century"/>
          <w:rtl/>
        </w:rPr>
        <w:t xml:space="preserve"> </w:t>
      </w:r>
      <w:r w:rsidRPr="00223299">
        <w:rPr>
          <w:rFonts w:ascii="Century" w:hAnsi="Century" w:hint="eastAsia"/>
          <w:rtl/>
        </w:rPr>
        <w:t>קצ</w:t>
      </w:r>
      <w:r>
        <w:rPr>
          <w:rFonts w:ascii="Century" w:hAnsi="Century" w:hint="cs"/>
          <w:rtl/>
        </w:rPr>
        <w:t>ה</w:t>
      </w:r>
      <w:r w:rsidRPr="00223299">
        <w:rPr>
          <w:rFonts w:ascii="Century" w:hAnsi="Century"/>
          <w:rtl/>
        </w:rPr>
        <w:t xml:space="preserve"> </w:t>
      </w:r>
      <w:r w:rsidRPr="00223299">
        <w:rPr>
          <w:rFonts w:ascii="Century" w:hAnsi="Century" w:hint="eastAsia"/>
          <w:rtl/>
        </w:rPr>
        <w:t>של</w:t>
      </w:r>
      <w:r w:rsidRPr="00223299">
        <w:rPr>
          <w:rFonts w:ascii="Century" w:hAnsi="Century"/>
          <w:rtl/>
        </w:rPr>
        <w:t xml:space="preserve"> </w:t>
      </w:r>
      <w:r w:rsidRPr="00223299">
        <w:rPr>
          <w:rFonts w:ascii="Century" w:hAnsi="Century" w:hint="eastAsia"/>
          <w:rtl/>
        </w:rPr>
        <w:t>פגיעה</w:t>
      </w:r>
      <w:r w:rsidRPr="00223299">
        <w:rPr>
          <w:rFonts w:ascii="Century" w:hAnsi="Century"/>
          <w:rtl/>
        </w:rPr>
        <w:t xml:space="preserve"> </w:t>
      </w:r>
      <w:r w:rsidRPr="00223299">
        <w:rPr>
          <w:rFonts w:ascii="Century" w:hAnsi="Century" w:hint="eastAsia"/>
          <w:rtl/>
        </w:rPr>
        <w:t>קשה</w:t>
      </w:r>
      <w:r w:rsidRPr="00223299">
        <w:rPr>
          <w:rFonts w:ascii="Century" w:hAnsi="Century"/>
          <w:rtl/>
        </w:rPr>
        <w:t xml:space="preserve"> </w:t>
      </w:r>
      <w:r w:rsidRPr="00223299">
        <w:rPr>
          <w:rFonts w:ascii="Century" w:hAnsi="Century" w:hint="eastAsia"/>
          <w:rtl/>
        </w:rPr>
        <w:t>ומהותית</w:t>
      </w:r>
      <w:r>
        <w:rPr>
          <w:rFonts w:ascii="Century" w:hAnsi="Century" w:hint="cs"/>
          <w:rtl/>
        </w:rPr>
        <w:t xml:space="preserve"> בגרעין </w:t>
      </w:r>
      <w:r w:rsidRPr="00223299">
        <w:rPr>
          <w:rFonts w:ascii="Century" w:hAnsi="Century" w:hint="eastAsia"/>
          <w:rtl/>
        </w:rPr>
        <w:t>הדמוקרטי</w:t>
      </w:r>
      <w:r w:rsidRPr="00223299">
        <w:rPr>
          <w:rFonts w:ascii="Century" w:hAnsi="Century"/>
          <w:rtl/>
        </w:rPr>
        <w:t xml:space="preserve"> </w:t>
      </w:r>
      <w:r w:rsidRPr="00223299">
        <w:rPr>
          <w:rFonts w:ascii="Century" w:hAnsi="Century" w:hint="eastAsia"/>
          <w:rtl/>
        </w:rPr>
        <w:t>של</w:t>
      </w:r>
      <w:r w:rsidRPr="00223299">
        <w:rPr>
          <w:rFonts w:ascii="Century" w:hAnsi="Century"/>
          <w:rtl/>
        </w:rPr>
        <w:t xml:space="preserve"> </w:t>
      </w:r>
      <w:r w:rsidRPr="00223299">
        <w:rPr>
          <w:rFonts w:ascii="Century" w:hAnsi="Century" w:hint="eastAsia"/>
          <w:rtl/>
        </w:rPr>
        <w:t>מדינ</w:t>
      </w:r>
      <w:r>
        <w:rPr>
          <w:rFonts w:ascii="Century" w:hAnsi="Century" w:hint="cs"/>
          <w:rtl/>
        </w:rPr>
        <w:t>ת ישראל</w:t>
      </w:r>
      <w:r w:rsidRPr="00102554">
        <w:rPr>
          <w:rFonts w:ascii="Century" w:hAnsi="Century" w:hint="cs"/>
          <w:rtl/>
        </w:rPr>
        <w:t xml:space="preserve">. </w:t>
      </w:r>
      <w:r w:rsidRPr="00102554">
        <w:rPr>
          <w:rFonts w:hint="cs"/>
          <w:rtl/>
        </w:rPr>
        <w:t xml:space="preserve">עם </w:t>
      </w:r>
      <w:r>
        <w:rPr>
          <w:rFonts w:hint="cs"/>
          <w:rtl/>
        </w:rPr>
        <w:t>זאת</w:t>
      </w:r>
      <w:r w:rsidRPr="00102554">
        <w:rPr>
          <w:rFonts w:hint="cs"/>
          <w:rtl/>
        </w:rPr>
        <w:t xml:space="preserve"> לא ניתן להסכין.</w:t>
      </w:r>
    </w:p>
    <w:p w:rsidR="00D61E12" w:rsidRPr="005847E8" w:rsidRDefault="00D61E12" w:rsidP="00D61E12">
      <w:pPr>
        <w:pStyle w:val="Ruller4"/>
        <w:spacing w:before="240"/>
        <w:rPr>
          <w:rtl/>
        </w:rPr>
      </w:pPr>
      <w:r>
        <w:rPr>
          <w:rFonts w:hint="cs"/>
          <w:rtl/>
        </w:rPr>
        <w:t>הערה טרם חתימה: בצד ביטולו של סעיף 15(ד1) לחוק-יסוד: השפיטה, לגישתי, טוב נעשה אם נישיר מבט לביקורת הנוקבת וארוכת השנים שהושמעה, הן מפי שופטי בית משפט זה הן מפי מלומדי משפט, על אודות מבחן איזון האינטרסים והשימוש שנעשה בו בחמשת העשורים האחרונים. דברים אלו מקבלים משנה תוקף, בשים לב לכך שביקורת זו הגיעה עד למליאת הכנסת, ובאה לידי ביטוי בחקיקת-יסוד. גם אם אין מנוס מביטולו של סעיף 15(ד1), נוכח נוסחו הגורף כפי שהובהר לעיל, סבורני כי נכון שנַטֶה אוזן קשבת לביקורת זו וניתן לה ביטוי בפסיקתנו.</w:t>
      </w:r>
    </w:p>
    <w:p w:rsidR="00EC32E0" w:rsidRDefault="00EC32E0" w:rsidP="004E4926">
      <w:pPr>
        <w:pStyle w:val="Ruller41"/>
        <w:rPr>
          <w:rtl/>
        </w:rPr>
      </w:pPr>
    </w:p>
    <w:p w:rsidR="00EC32E0" w:rsidRDefault="00EC32E0" w:rsidP="00EC32E0">
      <w:pPr>
        <w:pStyle w:val="Ruller41"/>
        <w:rPr>
          <w:rtl/>
        </w:rPr>
      </w:pPr>
    </w:p>
    <w:tbl>
      <w:tblPr>
        <w:bidiVisual/>
        <w:tblW w:w="8363" w:type="dxa"/>
        <w:tblLook w:val="01E0" w:firstRow="1" w:lastRow="1" w:firstColumn="1" w:lastColumn="1" w:noHBand="0" w:noVBand="0"/>
      </w:tblPr>
      <w:tblGrid>
        <w:gridCol w:w="2786"/>
        <w:gridCol w:w="2787"/>
        <w:gridCol w:w="2790"/>
      </w:tblGrid>
      <w:tr w:rsidR="00EC32E0" w:rsidTr="00DD4ADA">
        <w:tc>
          <w:tcPr>
            <w:tcW w:w="2842" w:type="dxa"/>
            <w:shd w:val="clear" w:color="auto" w:fill="auto"/>
          </w:tcPr>
          <w:p w:rsidR="00EC32E0" w:rsidRDefault="00EC32E0" w:rsidP="00DD4ADA">
            <w:pPr>
              <w:pStyle w:val="Ruller41"/>
              <w:rPr>
                <w:rtl/>
              </w:rPr>
            </w:pPr>
          </w:p>
        </w:tc>
        <w:tc>
          <w:tcPr>
            <w:tcW w:w="2843" w:type="dxa"/>
            <w:shd w:val="clear" w:color="auto" w:fill="auto"/>
          </w:tcPr>
          <w:p w:rsidR="00EC32E0" w:rsidRDefault="00EC32E0" w:rsidP="00DD4ADA">
            <w:pPr>
              <w:pStyle w:val="Ruller41"/>
              <w:jc w:val="center"/>
              <w:rPr>
                <w:rtl/>
              </w:rPr>
            </w:pPr>
          </w:p>
        </w:tc>
        <w:tc>
          <w:tcPr>
            <w:tcW w:w="2843" w:type="dxa"/>
            <w:shd w:val="clear" w:color="auto" w:fill="auto"/>
          </w:tcPr>
          <w:p w:rsidR="00EC32E0" w:rsidRDefault="00EC32E0" w:rsidP="00DD4ADA">
            <w:pPr>
              <w:pStyle w:val="Ruller41"/>
              <w:jc w:val="center"/>
              <w:rPr>
                <w:rtl/>
              </w:rPr>
            </w:pPr>
            <w:r>
              <w:rPr>
                <w:rtl/>
              </w:rPr>
              <w:t>ש ו פ ט</w:t>
            </w:r>
          </w:p>
        </w:tc>
      </w:tr>
    </w:tbl>
    <w:p w:rsidR="00FF17DB" w:rsidRDefault="00FF17DB" w:rsidP="00FF17DB">
      <w:pPr>
        <w:pStyle w:val="BODYVERDICT"/>
      </w:pPr>
    </w:p>
    <w:p w:rsidR="00FF17DB" w:rsidRDefault="00FF17DB" w:rsidP="00FF17DB">
      <w:pPr>
        <w:pStyle w:val="BODYVERDICT"/>
        <w:outlineLvl w:val="0"/>
        <w:rPr>
          <w:rFonts w:cs="Miriam"/>
          <w:sz w:val="24"/>
          <w:szCs w:val="24"/>
          <w:u w:val="single"/>
          <w:rtl/>
        </w:rPr>
      </w:pPr>
      <w:r w:rsidRPr="00462789">
        <w:rPr>
          <w:rFonts w:cs="Miriam" w:hint="cs"/>
          <w:sz w:val="24"/>
          <w:szCs w:val="24"/>
          <w:u w:val="single"/>
          <w:rtl/>
        </w:rPr>
        <w:t>השופטת (בדימ') ע' ברון</w:t>
      </w:r>
      <w:r w:rsidRPr="000075A3">
        <w:rPr>
          <w:rFonts w:cs="Miriam"/>
          <w:sz w:val="24"/>
          <w:szCs w:val="24"/>
          <w:rtl/>
        </w:rPr>
        <w:t>:</w:t>
      </w:r>
    </w:p>
    <w:p w:rsidR="00AC74AF" w:rsidRDefault="00AC74AF" w:rsidP="00AC74AF">
      <w:pPr>
        <w:pStyle w:val="Ruller41"/>
        <w:rPr>
          <w:rtl/>
        </w:rPr>
      </w:pPr>
    </w:p>
    <w:p w:rsidR="00AC74AF" w:rsidRPr="00DA76F3" w:rsidRDefault="00AC74AF" w:rsidP="00AC74AF">
      <w:pPr>
        <w:pStyle w:val="Ruller5"/>
        <w:rPr>
          <w:rFonts w:ascii="Century" w:hAnsi="Century" w:cs="Miriam"/>
          <w:b/>
          <w:spacing w:val="0"/>
          <w:szCs w:val="24"/>
          <w:rtl/>
        </w:rPr>
      </w:pPr>
      <w:r w:rsidRPr="00DA76F3">
        <w:rPr>
          <w:rFonts w:ascii="Century" w:hAnsi="Century" w:cs="Miriam"/>
          <w:b/>
          <w:spacing w:val="0"/>
          <w:szCs w:val="24"/>
          <w:rtl/>
        </w:rPr>
        <w:t>"מדינת ישראל תהא פתוחה לעליה יהודית ולקיבוץ גלויות; תשקוד על פיתוח הארץ לטובת כל תושביה; תהא מושתתה על יסודות החירות, הצדק והשלום לאור חזונם של נביאי ישראל; תקיים שויון זכויו</w:t>
      </w:r>
      <w:r w:rsidRPr="00DA76F3">
        <w:rPr>
          <w:rFonts w:ascii="Century" w:hAnsi="Century" w:cs="Miriam" w:hint="cs"/>
          <w:b/>
          <w:spacing w:val="0"/>
          <w:szCs w:val="24"/>
          <w:rtl/>
        </w:rPr>
        <w:t>​ת</w:t>
      </w:r>
      <w:r w:rsidRPr="00DA76F3">
        <w:rPr>
          <w:rFonts w:ascii="Century" w:hAnsi="Century" w:cs="Miriam"/>
          <w:b/>
          <w:spacing w:val="0"/>
          <w:szCs w:val="24"/>
          <w:rtl/>
        </w:rPr>
        <w:t xml:space="preserve"> </w:t>
      </w:r>
      <w:r w:rsidRPr="00DA76F3">
        <w:rPr>
          <w:rFonts w:ascii="Century" w:hAnsi="Century" w:cs="Miriam" w:hint="cs"/>
          <w:b/>
          <w:spacing w:val="0"/>
          <w:szCs w:val="24"/>
          <w:rtl/>
        </w:rPr>
        <w:t>חברתי</w:t>
      </w:r>
      <w:r w:rsidRPr="00DA76F3">
        <w:rPr>
          <w:rFonts w:ascii="Century" w:hAnsi="Century" w:cs="Miriam"/>
          <w:b/>
          <w:spacing w:val="0"/>
          <w:szCs w:val="24"/>
          <w:rtl/>
        </w:rPr>
        <w:t xml:space="preserve"> </w:t>
      </w:r>
      <w:r w:rsidRPr="00DA76F3">
        <w:rPr>
          <w:rFonts w:ascii="Century" w:hAnsi="Century" w:cs="Miriam" w:hint="cs"/>
          <w:b/>
          <w:spacing w:val="0"/>
          <w:szCs w:val="24"/>
          <w:rtl/>
        </w:rPr>
        <w:t>ומדיני</w:t>
      </w:r>
      <w:r w:rsidRPr="00DA76F3">
        <w:rPr>
          <w:rFonts w:ascii="Century" w:hAnsi="Century" w:cs="Miriam"/>
          <w:b/>
          <w:spacing w:val="0"/>
          <w:szCs w:val="24"/>
          <w:rtl/>
        </w:rPr>
        <w:t xml:space="preserve"> </w:t>
      </w:r>
      <w:r w:rsidRPr="00DA76F3">
        <w:rPr>
          <w:rFonts w:ascii="Century" w:hAnsi="Century" w:cs="Miriam" w:hint="cs"/>
          <w:b/>
          <w:spacing w:val="0"/>
          <w:szCs w:val="24"/>
          <w:rtl/>
        </w:rPr>
        <w:t>גמור</w:t>
      </w:r>
      <w:r w:rsidRPr="00DA76F3">
        <w:rPr>
          <w:rFonts w:ascii="Century" w:hAnsi="Century" w:cs="Miriam"/>
          <w:b/>
          <w:spacing w:val="0"/>
          <w:szCs w:val="24"/>
          <w:rtl/>
        </w:rPr>
        <w:t xml:space="preserve"> </w:t>
      </w:r>
      <w:r w:rsidRPr="00DA76F3">
        <w:rPr>
          <w:rFonts w:ascii="Century" w:hAnsi="Century" w:cs="Miriam" w:hint="cs"/>
          <w:b/>
          <w:spacing w:val="0"/>
          <w:szCs w:val="24"/>
          <w:rtl/>
        </w:rPr>
        <w:t>לכל</w:t>
      </w:r>
      <w:r w:rsidRPr="00DA76F3">
        <w:rPr>
          <w:rFonts w:ascii="Century" w:hAnsi="Century" w:cs="Miriam"/>
          <w:b/>
          <w:spacing w:val="0"/>
          <w:szCs w:val="24"/>
          <w:rtl/>
        </w:rPr>
        <w:t xml:space="preserve"> </w:t>
      </w:r>
      <w:r w:rsidRPr="00DA76F3">
        <w:rPr>
          <w:rFonts w:ascii="Century" w:hAnsi="Century" w:cs="Miriam" w:hint="cs"/>
          <w:b/>
          <w:spacing w:val="0"/>
          <w:szCs w:val="24"/>
          <w:rtl/>
        </w:rPr>
        <w:t>אזרחיה</w:t>
      </w:r>
      <w:r w:rsidRPr="00DA76F3">
        <w:rPr>
          <w:rFonts w:ascii="Century" w:hAnsi="Century" w:cs="Miriam"/>
          <w:b/>
          <w:spacing w:val="0"/>
          <w:szCs w:val="24"/>
          <w:rtl/>
        </w:rPr>
        <w:t xml:space="preserve"> </w:t>
      </w:r>
      <w:r w:rsidRPr="00DA76F3">
        <w:rPr>
          <w:rFonts w:ascii="Century" w:hAnsi="Century" w:cs="Miriam" w:hint="cs"/>
          <w:b/>
          <w:spacing w:val="0"/>
          <w:szCs w:val="24"/>
          <w:rtl/>
        </w:rPr>
        <w:t>בלי</w:t>
      </w:r>
      <w:r w:rsidRPr="00DA76F3">
        <w:rPr>
          <w:rFonts w:ascii="Century" w:hAnsi="Century" w:cs="Miriam"/>
          <w:b/>
          <w:spacing w:val="0"/>
          <w:szCs w:val="24"/>
          <w:rtl/>
        </w:rPr>
        <w:t xml:space="preserve"> </w:t>
      </w:r>
      <w:r w:rsidRPr="00DA76F3">
        <w:rPr>
          <w:rFonts w:ascii="Century" w:hAnsi="Century" w:cs="Miriam" w:hint="cs"/>
          <w:b/>
          <w:spacing w:val="0"/>
          <w:szCs w:val="24"/>
          <w:rtl/>
        </w:rPr>
        <w:t>הבדל</w:t>
      </w:r>
      <w:r w:rsidRPr="00DA76F3">
        <w:rPr>
          <w:rFonts w:ascii="Century" w:hAnsi="Century" w:cs="Miriam"/>
          <w:b/>
          <w:spacing w:val="0"/>
          <w:szCs w:val="24"/>
          <w:rtl/>
        </w:rPr>
        <w:t xml:space="preserve"> </w:t>
      </w:r>
      <w:r w:rsidRPr="00DA76F3">
        <w:rPr>
          <w:rFonts w:ascii="Century" w:hAnsi="Century" w:cs="Miriam" w:hint="cs"/>
          <w:b/>
          <w:spacing w:val="0"/>
          <w:szCs w:val="24"/>
          <w:rtl/>
        </w:rPr>
        <w:t>דת</w:t>
      </w:r>
      <w:r w:rsidRPr="00DA76F3">
        <w:rPr>
          <w:rFonts w:ascii="Century" w:hAnsi="Century" w:cs="Miriam"/>
          <w:b/>
          <w:spacing w:val="0"/>
          <w:szCs w:val="24"/>
          <w:rtl/>
        </w:rPr>
        <w:t xml:space="preserve">, </w:t>
      </w:r>
      <w:r w:rsidRPr="00DA76F3">
        <w:rPr>
          <w:rFonts w:ascii="Century" w:hAnsi="Century" w:cs="Miriam" w:hint="cs"/>
          <w:b/>
          <w:spacing w:val="0"/>
          <w:szCs w:val="24"/>
          <w:rtl/>
        </w:rPr>
        <w:t>גזע</w:t>
      </w:r>
      <w:r w:rsidRPr="00DA76F3">
        <w:rPr>
          <w:rFonts w:ascii="Century" w:hAnsi="Century" w:cs="Miriam"/>
          <w:b/>
          <w:spacing w:val="0"/>
          <w:szCs w:val="24"/>
          <w:rtl/>
        </w:rPr>
        <w:t xml:space="preserve"> </w:t>
      </w:r>
      <w:r w:rsidRPr="00DA76F3">
        <w:rPr>
          <w:rFonts w:ascii="Century" w:hAnsi="Century" w:cs="Miriam" w:hint="cs"/>
          <w:b/>
          <w:spacing w:val="0"/>
          <w:szCs w:val="24"/>
          <w:rtl/>
        </w:rPr>
        <w:t>ומין</w:t>
      </w:r>
      <w:r w:rsidRPr="00DA76F3">
        <w:rPr>
          <w:rFonts w:ascii="Century" w:hAnsi="Century" w:cs="Miriam"/>
          <w:b/>
          <w:spacing w:val="0"/>
          <w:szCs w:val="24"/>
          <w:rtl/>
        </w:rPr>
        <w:t xml:space="preserve">; </w:t>
      </w:r>
      <w:r w:rsidRPr="00DA76F3">
        <w:rPr>
          <w:rFonts w:ascii="Century" w:hAnsi="Century" w:cs="Miriam" w:hint="cs"/>
          <w:b/>
          <w:spacing w:val="0"/>
          <w:szCs w:val="24"/>
          <w:rtl/>
        </w:rPr>
        <w:t>תבטיח</w:t>
      </w:r>
      <w:r w:rsidRPr="00DA76F3">
        <w:rPr>
          <w:rFonts w:ascii="Century" w:hAnsi="Century" w:cs="Miriam"/>
          <w:b/>
          <w:spacing w:val="0"/>
          <w:szCs w:val="24"/>
          <w:rtl/>
        </w:rPr>
        <w:t xml:space="preserve"> </w:t>
      </w:r>
      <w:r w:rsidRPr="00DA76F3">
        <w:rPr>
          <w:rFonts w:ascii="Century" w:hAnsi="Century" w:cs="Miriam" w:hint="cs"/>
          <w:b/>
          <w:spacing w:val="0"/>
          <w:szCs w:val="24"/>
          <w:rtl/>
        </w:rPr>
        <w:t>חופש</w:t>
      </w:r>
      <w:r w:rsidRPr="00DA76F3">
        <w:rPr>
          <w:rFonts w:ascii="Century" w:hAnsi="Century" w:cs="Miriam"/>
          <w:b/>
          <w:spacing w:val="0"/>
          <w:szCs w:val="24"/>
          <w:rtl/>
        </w:rPr>
        <w:t xml:space="preserve"> </w:t>
      </w:r>
      <w:r w:rsidRPr="00DA76F3">
        <w:rPr>
          <w:rFonts w:ascii="Century" w:hAnsi="Century" w:cs="Miriam" w:hint="cs"/>
          <w:b/>
          <w:spacing w:val="0"/>
          <w:szCs w:val="24"/>
          <w:rtl/>
        </w:rPr>
        <w:t>דת</w:t>
      </w:r>
      <w:r w:rsidRPr="00DA76F3">
        <w:rPr>
          <w:rFonts w:ascii="Century" w:hAnsi="Century" w:cs="Miriam"/>
          <w:b/>
          <w:spacing w:val="0"/>
          <w:szCs w:val="24"/>
          <w:rtl/>
        </w:rPr>
        <w:t xml:space="preserve">, </w:t>
      </w:r>
      <w:r w:rsidRPr="00DA76F3">
        <w:rPr>
          <w:rFonts w:ascii="Century" w:hAnsi="Century" w:cs="Miriam" w:hint="cs"/>
          <w:b/>
          <w:spacing w:val="0"/>
          <w:szCs w:val="24"/>
          <w:rtl/>
        </w:rPr>
        <w:t>מצפון</w:t>
      </w:r>
      <w:r w:rsidRPr="00DA76F3">
        <w:rPr>
          <w:rFonts w:ascii="Century" w:hAnsi="Century" w:cs="Miriam"/>
          <w:b/>
          <w:spacing w:val="0"/>
          <w:szCs w:val="24"/>
          <w:rtl/>
        </w:rPr>
        <w:t xml:space="preserve">, </w:t>
      </w:r>
      <w:r w:rsidRPr="00DA76F3">
        <w:rPr>
          <w:rFonts w:ascii="Century" w:hAnsi="Century" w:cs="Miriam" w:hint="cs"/>
          <w:b/>
          <w:spacing w:val="0"/>
          <w:szCs w:val="24"/>
          <w:rtl/>
        </w:rPr>
        <w:t>לשון</w:t>
      </w:r>
      <w:r w:rsidRPr="00DA76F3">
        <w:rPr>
          <w:rFonts w:ascii="Century" w:hAnsi="Century" w:cs="Miriam"/>
          <w:b/>
          <w:spacing w:val="0"/>
          <w:szCs w:val="24"/>
          <w:rtl/>
        </w:rPr>
        <w:t xml:space="preserve">, </w:t>
      </w:r>
      <w:r w:rsidRPr="00DA76F3">
        <w:rPr>
          <w:rFonts w:ascii="Century" w:hAnsi="Century" w:cs="Miriam" w:hint="cs"/>
          <w:b/>
          <w:spacing w:val="0"/>
          <w:szCs w:val="24"/>
          <w:rtl/>
        </w:rPr>
        <w:lastRenderedPageBreak/>
        <w:t>חינוך</w:t>
      </w:r>
      <w:r w:rsidRPr="00DA76F3">
        <w:rPr>
          <w:rFonts w:ascii="Century" w:hAnsi="Century" w:cs="Miriam"/>
          <w:b/>
          <w:spacing w:val="0"/>
          <w:szCs w:val="24"/>
          <w:rtl/>
        </w:rPr>
        <w:t xml:space="preserve"> </w:t>
      </w:r>
      <w:r w:rsidRPr="00DA76F3">
        <w:rPr>
          <w:rFonts w:ascii="Century" w:hAnsi="Century" w:cs="Miriam" w:hint="cs"/>
          <w:b/>
          <w:spacing w:val="0"/>
          <w:szCs w:val="24"/>
          <w:rtl/>
        </w:rPr>
        <w:t>ותרבות</w:t>
      </w:r>
      <w:r w:rsidRPr="00DA76F3">
        <w:rPr>
          <w:rFonts w:ascii="Century" w:hAnsi="Century" w:cs="Miriam"/>
          <w:b/>
          <w:spacing w:val="0"/>
          <w:szCs w:val="24"/>
          <w:rtl/>
        </w:rPr>
        <w:t xml:space="preserve">; </w:t>
      </w:r>
      <w:r w:rsidRPr="00DA76F3">
        <w:rPr>
          <w:rFonts w:ascii="Century" w:hAnsi="Century" w:cs="Miriam" w:hint="cs"/>
          <w:b/>
          <w:spacing w:val="0"/>
          <w:szCs w:val="24"/>
          <w:rtl/>
        </w:rPr>
        <w:t>תשמור</w:t>
      </w:r>
      <w:r w:rsidRPr="00DA76F3">
        <w:rPr>
          <w:rFonts w:ascii="Century" w:hAnsi="Century" w:cs="Miriam"/>
          <w:b/>
          <w:spacing w:val="0"/>
          <w:szCs w:val="24"/>
          <w:rtl/>
        </w:rPr>
        <w:t xml:space="preserve"> </w:t>
      </w:r>
      <w:r w:rsidRPr="00DA76F3">
        <w:rPr>
          <w:rFonts w:ascii="Century" w:hAnsi="Century" w:cs="Miriam" w:hint="cs"/>
          <w:b/>
          <w:spacing w:val="0"/>
          <w:szCs w:val="24"/>
          <w:rtl/>
        </w:rPr>
        <w:t>על</w:t>
      </w:r>
      <w:r w:rsidRPr="00DA76F3">
        <w:rPr>
          <w:rFonts w:ascii="Century" w:hAnsi="Century" w:cs="Miriam"/>
          <w:b/>
          <w:spacing w:val="0"/>
          <w:szCs w:val="24"/>
          <w:rtl/>
        </w:rPr>
        <w:t xml:space="preserve"> </w:t>
      </w:r>
      <w:r w:rsidRPr="00DA76F3">
        <w:rPr>
          <w:rFonts w:ascii="Century" w:hAnsi="Century" w:cs="Miriam" w:hint="cs"/>
          <w:b/>
          <w:spacing w:val="0"/>
          <w:szCs w:val="24"/>
          <w:rtl/>
        </w:rPr>
        <w:t>המקומות</w:t>
      </w:r>
      <w:r w:rsidRPr="00DA76F3">
        <w:rPr>
          <w:rFonts w:ascii="Century" w:hAnsi="Century" w:cs="Miriam"/>
          <w:b/>
          <w:spacing w:val="0"/>
          <w:szCs w:val="24"/>
          <w:rtl/>
        </w:rPr>
        <w:t xml:space="preserve"> </w:t>
      </w:r>
      <w:r w:rsidRPr="00DA76F3">
        <w:rPr>
          <w:rFonts w:ascii="Century" w:hAnsi="Century" w:cs="Miriam" w:hint="cs"/>
          <w:b/>
          <w:spacing w:val="0"/>
          <w:szCs w:val="24"/>
          <w:rtl/>
        </w:rPr>
        <w:t>הקדושים</w:t>
      </w:r>
      <w:r w:rsidRPr="00DA76F3">
        <w:rPr>
          <w:rFonts w:ascii="Century" w:hAnsi="Century" w:cs="Miriam"/>
          <w:b/>
          <w:spacing w:val="0"/>
          <w:szCs w:val="24"/>
          <w:rtl/>
        </w:rPr>
        <w:t xml:space="preserve"> </w:t>
      </w:r>
      <w:r w:rsidRPr="00DA76F3">
        <w:rPr>
          <w:rFonts w:ascii="Century" w:hAnsi="Century" w:cs="Miriam" w:hint="cs"/>
          <w:b/>
          <w:spacing w:val="0"/>
          <w:szCs w:val="24"/>
          <w:rtl/>
        </w:rPr>
        <w:t>של</w:t>
      </w:r>
      <w:r w:rsidRPr="00DA76F3">
        <w:rPr>
          <w:rFonts w:ascii="Century" w:hAnsi="Century" w:cs="Miriam"/>
          <w:b/>
          <w:spacing w:val="0"/>
          <w:szCs w:val="24"/>
          <w:rtl/>
        </w:rPr>
        <w:t xml:space="preserve"> </w:t>
      </w:r>
      <w:r w:rsidRPr="00DA76F3">
        <w:rPr>
          <w:rFonts w:ascii="Century" w:hAnsi="Century" w:cs="Miriam" w:hint="cs"/>
          <w:b/>
          <w:spacing w:val="0"/>
          <w:szCs w:val="24"/>
          <w:rtl/>
        </w:rPr>
        <w:t>כל</w:t>
      </w:r>
      <w:r w:rsidRPr="00DA76F3">
        <w:rPr>
          <w:rFonts w:ascii="Century" w:hAnsi="Century" w:cs="Miriam"/>
          <w:b/>
          <w:spacing w:val="0"/>
          <w:szCs w:val="24"/>
          <w:rtl/>
        </w:rPr>
        <w:t xml:space="preserve"> </w:t>
      </w:r>
      <w:r w:rsidRPr="00DA76F3">
        <w:rPr>
          <w:rFonts w:ascii="Century" w:hAnsi="Century" w:cs="Miriam" w:hint="cs"/>
          <w:b/>
          <w:spacing w:val="0"/>
          <w:szCs w:val="24"/>
          <w:rtl/>
        </w:rPr>
        <w:t>הדתות</w:t>
      </w:r>
      <w:r w:rsidRPr="00DA76F3">
        <w:rPr>
          <w:rFonts w:ascii="Century" w:hAnsi="Century" w:cs="Miriam"/>
          <w:b/>
          <w:spacing w:val="0"/>
          <w:szCs w:val="24"/>
          <w:rtl/>
        </w:rPr>
        <w:t xml:space="preserve">; </w:t>
      </w:r>
      <w:r w:rsidRPr="00DA76F3">
        <w:rPr>
          <w:rFonts w:ascii="Century" w:hAnsi="Century" w:cs="Miriam" w:hint="cs"/>
          <w:b/>
          <w:spacing w:val="0"/>
          <w:szCs w:val="24"/>
          <w:rtl/>
        </w:rPr>
        <w:t>ותהיה</w:t>
      </w:r>
      <w:r w:rsidRPr="00DA76F3">
        <w:rPr>
          <w:rFonts w:ascii="Century" w:hAnsi="Century" w:cs="Miriam"/>
          <w:b/>
          <w:spacing w:val="0"/>
          <w:szCs w:val="24"/>
          <w:rtl/>
        </w:rPr>
        <w:t xml:space="preserve"> </w:t>
      </w:r>
      <w:r w:rsidRPr="00DA76F3">
        <w:rPr>
          <w:rFonts w:ascii="Century" w:hAnsi="Century" w:cs="Miriam" w:hint="cs"/>
          <w:b/>
          <w:spacing w:val="0"/>
          <w:szCs w:val="24"/>
          <w:rtl/>
        </w:rPr>
        <w:t>נאמנה</w:t>
      </w:r>
      <w:r w:rsidRPr="00DA76F3">
        <w:rPr>
          <w:rFonts w:ascii="Century" w:hAnsi="Century" w:cs="Miriam"/>
          <w:b/>
          <w:spacing w:val="0"/>
          <w:szCs w:val="24"/>
          <w:rtl/>
        </w:rPr>
        <w:t xml:space="preserve"> </w:t>
      </w:r>
      <w:r w:rsidRPr="00DA76F3">
        <w:rPr>
          <w:rFonts w:ascii="Century" w:hAnsi="Century" w:cs="Miriam" w:hint="cs"/>
          <w:b/>
          <w:spacing w:val="0"/>
          <w:szCs w:val="24"/>
          <w:rtl/>
        </w:rPr>
        <w:t>לעקרונותיה</w:t>
      </w:r>
      <w:r w:rsidRPr="00DA76F3">
        <w:rPr>
          <w:rFonts w:ascii="Century" w:hAnsi="Century" w:cs="Miriam"/>
          <w:b/>
          <w:spacing w:val="0"/>
          <w:szCs w:val="24"/>
          <w:rtl/>
        </w:rPr>
        <w:t xml:space="preserve"> </w:t>
      </w:r>
      <w:r w:rsidRPr="00DA76F3">
        <w:rPr>
          <w:rFonts w:ascii="Century" w:hAnsi="Century" w:cs="Miriam" w:hint="cs"/>
          <w:b/>
          <w:spacing w:val="0"/>
          <w:szCs w:val="24"/>
          <w:rtl/>
        </w:rPr>
        <w:t>של</w:t>
      </w:r>
      <w:r w:rsidRPr="00DA76F3">
        <w:rPr>
          <w:rFonts w:ascii="Century" w:hAnsi="Century" w:cs="Miriam"/>
          <w:b/>
          <w:spacing w:val="0"/>
          <w:szCs w:val="24"/>
          <w:rtl/>
        </w:rPr>
        <w:t xml:space="preserve"> </w:t>
      </w:r>
      <w:r w:rsidRPr="00DA76F3">
        <w:rPr>
          <w:rFonts w:ascii="Century" w:hAnsi="Century" w:cs="Miriam" w:hint="cs"/>
          <w:b/>
          <w:spacing w:val="0"/>
          <w:szCs w:val="24"/>
          <w:rtl/>
        </w:rPr>
        <w:t>מגילת</w:t>
      </w:r>
      <w:r w:rsidRPr="00DA76F3">
        <w:rPr>
          <w:rFonts w:ascii="Century" w:hAnsi="Century" w:cs="Miriam"/>
          <w:b/>
          <w:spacing w:val="0"/>
          <w:szCs w:val="24"/>
          <w:rtl/>
        </w:rPr>
        <w:t xml:space="preserve"> </w:t>
      </w:r>
      <w:r w:rsidRPr="00DA76F3">
        <w:rPr>
          <w:rFonts w:ascii="Century" w:hAnsi="Century" w:cs="Miriam" w:hint="cs"/>
          <w:b/>
          <w:spacing w:val="0"/>
          <w:szCs w:val="24"/>
          <w:rtl/>
        </w:rPr>
        <w:t>האומות</w:t>
      </w:r>
      <w:r w:rsidRPr="00DA76F3">
        <w:rPr>
          <w:rFonts w:ascii="Century" w:hAnsi="Century" w:cs="Miriam"/>
          <w:b/>
          <w:spacing w:val="0"/>
          <w:szCs w:val="24"/>
          <w:rtl/>
        </w:rPr>
        <w:t xml:space="preserve"> </w:t>
      </w:r>
      <w:r w:rsidRPr="00DA76F3">
        <w:rPr>
          <w:rFonts w:ascii="Century" w:hAnsi="Century" w:cs="Miriam" w:hint="cs"/>
          <w:b/>
          <w:spacing w:val="0"/>
          <w:szCs w:val="24"/>
          <w:rtl/>
        </w:rPr>
        <w:t>המאוחדות</w:t>
      </w:r>
      <w:r w:rsidRPr="00DA76F3">
        <w:rPr>
          <w:rFonts w:ascii="Century" w:hAnsi="Century" w:cs="Miriam"/>
          <w:b/>
          <w:spacing w:val="0"/>
          <w:szCs w:val="24"/>
          <w:rtl/>
        </w:rPr>
        <w:t xml:space="preserve">". </w:t>
      </w:r>
    </w:p>
    <w:p w:rsidR="00AC74AF" w:rsidRPr="00F60AAC" w:rsidRDefault="00AC74AF" w:rsidP="00AC74AF">
      <w:pPr>
        <w:pStyle w:val="Ruller5"/>
        <w:rPr>
          <w:rtl/>
        </w:rPr>
      </w:pPr>
      <w:r w:rsidRPr="00F60AAC">
        <w:rPr>
          <w:rtl/>
        </w:rPr>
        <w:t xml:space="preserve">[מתוך </w:t>
      </w:r>
      <w:r>
        <w:rPr>
          <w:rFonts w:hint="cs"/>
          <w:rtl/>
        </w:rPr>
        <w:t>ההכרזה על</w:t>
      </w:r>
      <w:r>
        <w:rPr>
          <w:rtl/>
        </w:rPr>
        <w:t xml:space="preserve"> </w:t>
      </w:r>
      <w:r>
        <w:rPr>
          <w:rFonts w:hint="cs"/>
          <w:rtl/>
        </w:rPr>
        <w:t>הקמת</w:t>
      </w:r>
      <w:r w:rsidRPr="00F60AAC">
        <w:rPr>
          <w:rtl/>
        </w:rPr>
        <w:t xml:space="preserve"> מדינת ישראל, ה' באייר התש"ח (14.5.1948)</w:t>
      </w:r>
      <w:r>
        <w:rPr>
          <w:rFonts w:hint="cs"/>
          <w:rtl/>
        </w:rPr>
        <w:t>, ע"ר התש"ח 1</w:t>
      </w:r>
      <w:r w:rsidRPr="00F60AAC">
        <w:rPr>
          <w:rtl/>
        </w:rPr>
        <w:t>]</w:t>
      </w:r>
    </w:p>
    <w:p w:rsidR="00AC74AF" w:rsidRPr="00F60AAC" w:rsidRDefault="00AC74AF" w:rsidP="00AC74AF">
      <w:pPr>
        <w:pStyle w:val="Ruller41"/>
        <w:rPr>
          <w:rFonts w:ascii="Century" w:hAnsi="Century"/>
          <w:rtl/>
        </w:rPr>
      </w:pPr>
    </w:p>
    <w:p w:rsidR="00AC74AF" w:rsidRPr="00F60AAC" w:rsidRDefault="00AC74AF" w:rsidP="00AC74AF">
      <w:pPr>
        <w:pStyle w:val="Ruller41"/>
        <w:rPr>
          <w:rFonts w:ascii="Century" w:hAnsi="Century"/>
          <w:rtl/>
        </w:rPr>
      </w:pPr>
      <w:r w:rsidRPr="00F60AAC">
        <w:rPr>
          <w:rFonts w:ascii="Century" w:hAnsi="Century" w:hint="cs"/>
          <w:rtl/>
        </w:rPr>
        <w:t>1.</w:t>
      </w:r>
      <w:r w:rsidRPr="00F60AAC">
        <w:rPr>
          <w:rFonts w:ascii="Century" w:hAnsi="Century"/>
          <w:rtl/>
        </w:rPr>
        <w:tab/>
      </w:r>
      <w:r w:rsidRPr="00F60AAC">
        <w:rPr>
          <w:rFonts w:ascii="Century" w:hAnsi="Century" w:hint="cs"/>
          <w:rtl/>
        </w:rPr>
        <w:t xml:space="preserve">כעולה </w:t>
      </w:r>
      <w:r>
        <w:rPr>
          <w:rFonts w:ascii="Century" w:hAnsi="Century" w:hint="cs"/>
          <w:rtl/>
        </w:rPr>
        <w:t>מההכרזה על הקמתה של</w:t>
      </w:r>
      <w:r w:rsidRPr="00F60AAC">
        <w:rPr>
          <w:rFonts w:ascii="Century" w:hAnsi="Century" w:hint="cs"/>
          <w:rtl/>
        </w:rPr>
        <w:t xml:space="preserve"> מדינת ישראל</w:t>
      </w:r>
      <w:r>
        <w:rPr>
          <w:rFonts w:ascii="Century" w:hAnsi="Century" w:hint="cs"/>
          <w:rtl/>
        </w:rPr>
        <w:t>, היא הכרזת העצמאות, מדינת ישראל</w:t>
      </w:r>
      <w:r w:rsidRPr="00F60AAC">
        <w:rPr>
          <w:rFonts w:ascii="Century" w:hAnsi="Century" w:hint="cs"/>
          <w:rtl/>
        </w:rPr>
        <w:t xml:space="preserve"> הוקמה על ידי אבותיה המייסדים כמדינה יהודית בעלת אופי דמוקרטי המעלה על נס זכויות אדם וחירויות פרט. זו תעודת הלידה ואף תעודת הזהות של מדינתנו הריבונית (הנשיא </w:t>
      </w:r>
      <w:r w:rsidRPr="001068E1">
        <w:rPr>
          <w:rFonts w:ascii="Century" w:hAnsi="Century" w:cs="Miriam" w:hint="cs"/>
          <w:b/>
          <w:spacing w:val="0"/>
          <w:szCs w:val="24"/>
          <w:rtl/>
        </w:rPr>
        <w:t>מ' שמגר</w:t>
      </w:r>
      <w:r w:rsidRPr="001068E1">
        <w:rPr>
          <w:rFonts w:ascii="Century" w:hAnsi="Century" w:hint="cs"/>
          <w:rtl/>
        </w:rPr>
        <w:t xml:space="preserve"> </w:t>
      </w:r>
      <w:r w:rsidRPr="00F60AAC">
        <w:rPr>
          <w:rFonts w:ascii="Century" w:hAnsi="Century" w:hint="cs"/>
          <w:rtl/>
        </w:rPr>
        <w:t xml:space="preserve">ב-ע"א 6821/93 </w:t>
      </w:r>
      <w:r w:rsidRPr="00E4442E">
        <w:rPr>
          <w:rFonts w:ascii="Century" w:hAnsi="Century" w:cs="Miriam" w:hint="cs"/>
          <w:b/>
          <w:spacing w:val="0"/>
          <w:szCs w:val="24"/>
          <w:rtl/>
        </w:rPr>
        <w:t>בנק המזרחי המאוחד בע"מ נ' מגדל כפר שיתופי</w:t>
      </w:r>
      <w:r w:rsidRPr="00F60AAC">
        <w:rPr>
          <w:rFonts w:ascii="Century" w:hAnsi="Century" w:hint="cs"/>
          <w:rtl/>
        </w:rPr>
        <w:t xml:space="preserve">, פ"ד מט(4) 221, 309 (1995); להלן: </w:t>
      </w:r>
      <w:r w:rsidRPr="00E4442E">
        <w:rPr>
          <w:rFonts w:ascii="Century" w:hAnsi="Century" w:cs="Miriam" w:hint="cs"/>
          <w:b/>
          <w:spacing w:val="0"/>
          <w:szCs w:val="24"/>
          <w:rtl/>
        </w:rPr>
        <w:t>עניין בנק המזרחי</w:t>
      </w:r>
      <w:r w:rsidRPr="00F60AAC">
        <w:rPr>
          <w:rFonts w:ascii="Century" w:hAnsi="Century" w:hint="cs"/>
          <w:rtl/>
        </w:rPr>
        <w:t xml:space="preserve">). בימים אלה, בחלוף 75 שנה מאז אותו רגע היסטורי של הכרזת העצמאות, </w:t>
      </w:r>
      <w:r>
        <w:rPr>
          <w:rFonts w:ascii="Century" w:hAnsi="Century" w:hint="cs"/>
          <w:rtl/>
        </w:rPr>
        <w:t>מרחפות מעל מדינת ישראל סכנות קיומיות, מחוץ ומבית</w:t>
      </w:r>
      <w:r w:rsidRPr="00F60AAC">
        <w:rPr>
          <w:rFonts w:ascii="Century" w:hAnsi="Century" w:hint="cs"/>
          <w:rtl/>
        </w:rPr>
        <w:t xml:space="preserve">. בעוד שורות אלה נכתבות, </w:t>
      </w:r>
      <w:r>
        <w:rPr>
          <w:rFonts w:ascii="Century" w:hAnsi="Century" w:hint="cs"/>
          <w:rtl/>
        </w:rPr>
        <w:t>ומאז הטבח הנוראי ומעשי הזוועות של יום 7 באוקטובר, מדינת ישראל נתונה במלחמה עקובה מדם נגד אויב ברברי שקם עלינו לכלותנו.</w:t>
      </w:r>
      <w:r w:rsidRPr="00F60AAC">
        <w:rPr>
          <w:rFonts w:ascii="Century" w:hAnsi="Century" w:hint="cs"/>
          <w:rtl/>
        </w:rPr>
        <w:t xml:space="preserve"> על סכנות אלה </w:t>
      </w:r>
      <w:r>
        <w:rPr>
          <w:rFonts w:ascii="Century" w:hAnsi="Century" w:hint="cs"/>
          <w:rtl/>
        </w:rPr>
        <w:t xml:space="preserve">שמחוץ </w:t>
      </w:r>
      <w:r w:rsidRPr="00F60AAC">
        <w:rPr>
          <w:rFonts w:ascii="Century" w:hAnsi="Century" w:hint="cs"/>
          <w:rtl/>
        </w:rPr>
        <w:t xml:space="preserve">נגבר ביד חזקה ובזרוע נטויה. </w:t>
      </w:r>
    </w:p>
    <w:p w:rsidR="00AC74AF" w:rsidRPr="00F60AAC" w:rsidRDefault="00AC74AF" w:rsidP="00AC74AF">
      <w:pPr>
        <w:pStyle w:val="Ruller41"/>
        <w:rPr>
          <w:rFonts w:ascii="Century" w:hAnsi="Century"/>
          <w:rtl/>
        </w:rPr>
      </w:pPr>
    </w:p>
    <w:p w:rsidR="00AC74AF" w:rsidRPr="00F60AAC" w:rsidRDefault="00AC74AF" w:rsidP="00AC74AF">
      <w:pPr>
        <w:pStyle w:val="Ruller41"/>
        <w:rPr>
          <w:rFonts w:ascii="Century" w:hAnsi="Century"/>
          <w:rtl/>
        </w:rPr>
      </w:pPr>
      <w:r>
        <w:rPr>
          <w:rFonts w:ascii="Century" w:hAnsi="Century"/>
          <w:rtl/>
        </w:rPr>
        <w:tab/>
      </w:r>
      <w:r>
        <w:rPr>
          <w:rFonts w:ascii="Century" w:hAnsi="Century" w:hint="cs"/>
          <w:rtl/>
        </w:rPr>
        <w:t>הדמוקרטיה הישראלית נתונה בימים אלה בסכנה</w:t>
      </w:r>
      <w:r w:rsidRPr="00F60AAC">
        <w:rPr>
          <w:rFonts w:ascii="Century" w:hAnsi="Century" w:hint="cs"/>
          <w:rtl/>
        </w:rPr>
        <w:t xml:space="preserve"> מבית, והיא מגולמת בתיקון לחוק-יסוד: השפיטה </w:t>
      </w:r>
      <w:r w:rsidRPr="00F60AAC">
        <w:rPr>
          <w:rFonts w:ascii="Century" w:hAnsi="Century"/>
          <w:rtl/>
        </w:rPr>
        <w:t>–</w:t>
      </w:r>
      <w:r w:rsidRPr="00F60AAC">
        <w:rPr>
          <w:rFonts w:ascii="Century" w:hAnsi="Century" w:hint="cs"/>
          <w:rtl/>
        </w:rPr>
        <w:t xml:space="preserve"> שנועד להביא לשינוי משטרי יסודי במדינת ישראל (להלן: </w:t>
      </w:r>
      <w:r w:rsidRPr="00E4442E">
        <w:rPr>
          <w:rFonts w:ascii="Century" w:hAnsi="Century" w:cs="Miriam" w:hint="cs"/>
          <w:b/>
          <w:spacing w:val="0"/>
          <w:szCs w:val="24"/>
          <w:rtl/>
        </w:rPr>
        <w:t>התיקון לחוק היסוד</w:t>
      </w:r>
      <w:r w:rsidRPr="00E4442E">
        <w:rPr>
          <w:rFonts w:ascii="Century" w:hAnsi="Century" w:hint="cs"/>
          <w:rtl/>
        </w:rPr>
        <w:t xml:space="preserve"> </w:t>
      </w:r>
      <w:r w:rsidRPr="00F60AAC">
        <w:rPr>
          <w:rFonts w:ascii="Century" w:hAnsi="Century" w:hint="cs"/>
          <w:rtl/>
        </w:rPr>
        <w:t xml:space="preserve">או </w:t>
      </w:r>
      <w:r w:rsidRPr="00E4442E">
        <w:rPr>
          <w:rFonts w:ascii="Century" w:hAnsi="Century" w:cs="Miriam" w:hint="cs"/>
          <w:b/>
          <w:spacing w:val="0"/>
          <w:szCs w:val="24"/>
          <w:rtl/>
        </w:rPr>
        <w:t>התיקון</w:t>
      </w:r>
      <w:r w:rsidRPr="00F60AAC">
        <w:rPr>
          <w:rFonts w:ascii="Century" w:hAnsi="Century" w:hint="cs"/>
          <w:rtl/>
        </w:rPr>
        <w:t xml:space="preserve">). תכליתו של התיקון היא להפר את שיווי המשקל הנוהג בין שלוש רשויות השלטון במדינה, תוך החלשת כוחה של הרשות השופטת ביחס לרשות המבצעת. התיקון מסיר מעל </w:t>
      </w:r>
      <w:r>
        <w:rPr>
          <w:rFonts w:ascii="Century" w:hAnsi="Century" w:hint="cs"/>
          <w:rtl/>
        </w:rPr>
        <w:t>הממשלה</w:t>
      </w:r>
      <w:r w:rsidRPr="00F60AAC">
        <w:rPr>
          <w:rFonts w:ascii="Century" w:hAnsi="Century" w:hint="cs"/>
          <w:rtl/>
        </w:rPr>
        <w:t xml:space="preserve"> ושריה את כבלי הביקורת השיפוטית בעילת הסבירות, ובכך מבקש להקנות לרשות המבצעת שררה חסר</w:t>
      </w:r>
      <w:r>
        <w:rPr>
          <w:rFonts w:ascii="Century" w:hAnsi="Century" w:hint="cs"/>
          <w:rtl/>
        </w:rPr>
        <w:t>ת</w:t>
      </w:r>
      <w:r w:rsidRPr="00F60AAC">
        <w:rPr>
          <w:rFonts w:ascii="Century" w:hAnsi="Century" w:hint="cs"/>
          <w:rtl/>
        </w:rPr>
        <w:t xml:space="preserve"> איזונים ובלמים אפקטיביים. הפקעתה של עילת </w:t>
      </w:r>
      <w:r>
        <w:rPr>
          <w:rFonts w:ascii="Century" w:hAnsi="Century" w:hint="cs"/>
          <w:rtl/>
        </w:rPr>
        <w:t>ה</w:t>
      </w:r>
      <w:r w:rsidRPr="00F60AAC">
        <w:rPr>
          <w:rFonts w:ascii="Century" w:hAnsi="Century" w:hint="cs"/>
          <w:rtl/>
        </w:rPr>
        <w:t xml:space="preserve">סבירות מידיו של בית המשפט מאפשרת במקרים רבים </w:t>
      </w:r>
      <w:r>
        <w:rPr>
          <w:rFonts w:ascii="Century" w:hAnsi="Century" w:hint="cs"/>
          <w:rtl/>
        </w:rPr>
        <w:t>שימוש כמעט בלתי מוגבל בכוח ש</w:t>
      </w:r>
      <w:r w:rsidRPr="00F60AAC">
        <w:rPr>
          <w:rFonts w:ascii="Century" w:hAnsi="Century" w:hint="cs"/>
          <w:rtl/>
        </w:rPr>
        <w:t>לטוני, ובכך התיקון לחוק היסוד פוגע באורח אנוש בעקרון הפרדת הרשויות</w:t>
      </w:r>
      <w:r>
        <w:rPr>
          <w:rFonts w:ascii="Century" w:hAnsi="Century" w:hint="cs"/>
          <w:rtl/>
        </w:rPr>
        <w:t>, בשלטון החוק</w:t>
      </w:r>
      <w:r w:rsidRPr="00F60AAC">
        <w:rPr>
          <w:rFonts w:ascii="Century" w:hAnsi="Century" w:hint="cs"/>
          <w:rtl/>
        </w:rPr>
        <w:t xml:space="preserve"> ובאופייה הדמוקרטי של מדינת ישראל. הפגיעה מתעצמת עד מאוד לנוכח המבנה הפרלמנטרי הישראלי </w:t>
      </w:r>
      <w:r w:rsidRPr="00F60AAC">
        <w:rPr>
          <w:rFonts w:ascii="Century" w:hAnsi="Century"/>
          <w:rtl/>
        </w:rPr>
        <w:t>–</w:t>
      </w:r>
      <w:r>
        <w:rPr>
          <w:rFonts w:ascii="Century" w:hAnsi="Century" w:hint="cs"/>
          <w:rtl/>
        </w:rPr>
        <w:t xml:space="preserve"> שבו </w:t>
      </w:r>
      <w:r w:rsidRPr="001A6BAC">
        <w:rPr>
          <w:rFonts w:ascii="Century" w:hAnsi="Century" w:hint="cs"/>
          <w:rtl/>
        </w:rPr>
        <w:t>הממשלה</w:t>
      </w:r>
      <w:r>
        <w:rPr>
          <w:rFonts w:ascii="Century" w:hAnsi="Century" w:hint="cs"/>
          <w:rtl/>
        </w:rPr>
        <w:t xml:space="preserve"> </w:t>
      </w:r>
      <w:r w:rsidRPr="00F60AAC">
        <w:rPr>
          <w:rFonts w:ascii="Century" w:hAnsi="Century" w:hint="cs"/>
          <w:rtl/>
        </w:rPr>
        <w:t xml:space="preserve">מתפקדת </w:t>
      </w:r>
      <w:r>
        <w:rPr>
          <w:rFonts w:ascii="Century" w:hAnsi="Century" w:hint="cs"/>
          <w:rtl/>
        </w:rPr>
        <w:t xml:space="preserve">למעשה </w:t>
      </w:r>
      <w:r w:rsidRPr="00F60AAC">
        <w:rPr>
          <w:rFonts w:ascii="Century" w:hAnsi="Century" w:hint="cs"/>
          <w:rtl/>
        </w:rPr>
        <w:t xml:space="preserve">כ"רשות על" </w:t>
      </w:r>
      <w:r>
        <w:rPr>
          <w:rFonts w:ascii="Century" w:hAnsi="Century" w:hint="cs"/>
          <w:rtl/>
        </w:rPr>
        <w:t>מבצעת ומחוקקת גם יחד</w:t>
      </w:r>
      <w:r w:rsidRPr="00F60AAC">
        <w:rPr>
          <w:rFonts w:ascii="Century" w:hAnsi="Century" w:hint="cs"/>
          <w:rtl/>
        </w:rPr>
        <w:t xml:space="preserve">. במצב דברים זה, לבית המשפט העליון נתונה לא רק הסמכות אלא גם החובה לקבוע כי התיקון לחוק היסוד נעשה תוך חריגה מהסמכות המכוננת </w:t>
      </w:r>
      <w:r w:rsidRPr="00F60AAC">
        <w:rPr>
          <w:rFonts w:ascii="Century" w:hAnsi="Century"/>
          <w:rtl/>
        </w:rPr>
        <w:t>–</w:t>
      </w:r>
      <w:r w:rsidRPr="00F60AAC">
        <w:rPr>
          <w:rFonts w:ascii="Century" w:hAnsi="Century" w:hint="cs"/>
          <w:rtl/>
        </w:rPr>
        <w:t xml:space="preserve"> ועל כן דינו בטלות. </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sidRPr="00F60AAC">
        <w:rPr>
          <w:rFonts w:ascii="Century" w:hAnsi="Century" w:hint="cs"/>
          <w:rtl/>
        </w:rPr>
        <w:t xml:space="preserve">בהינתן האמור, דעתי כדעתה של </w:t>
      </w:r>
      <w:r>
        <w:rPr>
          <w:rFonts w:ascii="Century" w:hAnsi="Century" w:hint="cs"/>
          <w:rtl/>
        </w:rPr>
        <w:t xml:space="preserve">חברתי </w:t>
      </w:r>
      <w:r w:rsidRPr="00F60AAC">
        <w:rPr>
          <w:rFonts w:ascii="Century" w:hAnsi="Century" w:hint="cs"/>
          <w:rtl/>
        </w:rPr>
        <w:t xml:space="preserve">הנשיאה (בדימ') </w:t>
      </w:r>
      <w:r w:rsidRPr="00E4442E">
        <w:rPr>
          <w:rFonts w:ascii="Century" w:hAnsi="Century" w:cs="Miriam" w:hint="cs"/>
          <w:b/>
          <w:spacing w:val="0"/>
          <w:szCs w:val="24"/>
          <w:rtl/>
        </w:rPr>
        <w:t>אסתר חיות</w:t>
      </w:r>
      <w:r w:rsidRPr="00E4442E">
        <w:rPr>
          <w:rFonts w:ascii="Century" w:hAnsi="Century" w:hint="cs"/>
          <w:rtl/>
        </w:rPr>
        <w:t xml:space="preserve"> </w:t>
      </w:r>
      <w:r w:rsidRPr="00F60AAC">
        <w:rPr>
          <w:rFonts w:ascii="Century" w:hAnsi="Century" w:hint="cs"/>
          <w:rtl/>
        </w:rPr>
        <w:t>כי דין העתירות שלפנינו להתקבל וכי יש להורות על בטלותו של התיקון לחוק היסוד. אני שותפה אף לעמדותיה העקרוניות כפי שפורטו בפסק דינה הממצה, ולפרשנותה את התיקון לחוק היסוד.</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sidRPr="00F60AAC">
        <w:rPr>
          <w:rFonts w:ascii="Century" w:hAnsi="Century"/>
          <w:rtl/>
        </w:rPr>
        <w:tab/>
      </w:r>
      <w:r w:rsidRPr="00F60AAC">
        <w:rPr>
          <w:rFonts w:ascii="Century" w:hAnsi="Century" w:hint="cs"/>
          <w:rtl/>
        </w:rPr>
        <w:t>כך בתמצית, ועתה בהרחבה.</w:t>
      </w:r>
    </w:p>
    <w:p w:rsidR="00AC74AF" w:rsidRPr="00F60AAC" w:rsidRDefault="00AC74AF" w:rsidP="00AC74AF">
      <w:pPr>
        <w:pStyle w:val="Ruller41"/>
        <w:spacing w:line="240" w:lineRule="auto"/>
        <w:rPr>
          <w:rFonts w:ascii="Century" w:hAnsi="Century"/>
          <w:rtl/>
        </w:rPr>
      </w:pPr>
    </w:p>
    <w:p w:rsidR="00AC74AF" w:rsidRPr="00CD4B2C" w:rsidRDefault="00AC74AF" w:rsidP="00AC74AF">
      <w:pPr>
        <w:pStyle w:val="Ruller41"/>
        <w:rPr>
          <w:rFonts w:ascii="Century" w:hAnsi="Century" w:cs="Miriam"/>
          <w:b/>
          <w:spacing w:val="0"/>
          <w:szCs w:val="24"/>
          <w:rtl/>
        </w:rPr>
      </w:pPr>
      <w:r w:rsidRPr="00CD4B2C">
        <w:rPr>
          <w:rFonts w:ascii="Century" w:hAnsi="Century" w:cs="Miriam" w:hint="cs"/>
          <w:b/>
          <w:spacing w:val="0"/>
          <w:szCs w:val="24"/>
          <w:rtl/>
        </w:rPr>
        <w:lastRenderedPageBreak/>
        <w:t>"</w:t>
      </w:r>
      <w:r w:rsidRPr="00CD4B2C">
        <w:rPr>
          <w:rFonts w:ascii="Century" w:hAnsi="Century" w:cs="Miriam"/>
          <w:b/>
          <w:spacing w:val="0"/>
          <w:szCs w:val="24"/>
          <w:rtl/>
        </w:rPr>
        <w:t>אנו מכריזים בזאת על הקמת מדינה יהודית בארץ ישראל, היא מדינת ישראל</w:t>
      </w:r>
      <w:r>
        <w:rPr>
          <w:rFonts w:ascii="Century" w:hAnsi="Century" w:cs="Miriam" w:hint="cs"/>
          <w:b/>
          <w:spacing w:val="0"/>
          <w:szCs w:val="24"/>
          <w:rtl/>
        </w:rPr>
        <w:t>"</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sidRPr="00F60AAC">
        <w:rPr>
          <w:rFonts w:ascii="Century" w:hAnsi="Century" w:hint="cs"/>
          <w:rtl/>
        </w:rPr>
        <w:t>2.</w:t>
      </w:r>
      <w:r w:rsidRPr="00F60AAC">
        <w:rPr>
          <w:rFonts w:ascii="Century" w:hAnsi="Century"/>
          <w:rtl/>
        </w:rPr>
        <w:tab/>
      </w:r>
      <w:r w:rsidRPr="00F60AAC">
        <w:rPr>
          <w:rFonts w:ascii="Century" w:hAnsi="Century" w:hint="cs"/>
          <w:rtl/>
        </w:rPr>
        <w:t>הכרזת העצמאות מהווה אבן פינה במשטר החוקתי של מדינת ישראל ונודע לה ערך נורמטיבי עליון. הערכים המנויים בה הם</w:t>
      </w:r>
      <w:r w:rsidRPr="00F60AAC">
        <w:rPr>
          <w:rFonts w:ascii="Century" w:hAnsi="Century"/>
          <w:rtl/>
        </w:rPr>
        <w:t xml:space="preserve"> </w:t>
      </w:r>
      <w:r w:rsidRPr="00F60AAC">
        <w:rPr>
          <w:rFonts w:ascii="Century" w:hAnsi="Century"/>
        </w:rPr>
        <w:t>"</w:t>
      </w:r>
      <w:r w:rsidRPr="00E4442E">
        <w:rPr>
          <w:rFonts w:ascii="Century" w:hAnsi="Century" w:cs="Miriam"/>
          <w:b/>
          <w:spacing w:val="0"/>
          <w:szCs w:val="24"/>
          <w:rtl/>
        </w:rPr>
        <w:t>ערכים אשר האבות המייסדים הבטיחו להשתית עליהם את המדינה. לא רק המשפט והחקיקה הושתתו על יסודות אלה, כי אם המדינה כולה, על ממשלתה ורשויותיה וצבאותיה</w:t>
      </w:r>
      <w:r w:rsidRPr="00F60AAC">
        <w:rPr>
          <w:rFonts w:ascii="Century" w:hAnsi="Century" w:hint="cs"/>
          <w:rtl/>
        </w:rPr>
        <w:t>" (חיים כהן</w:t>
      </w:r>
      <w:r w:rsidRPr="00F60AAC">
        <w:rPr>
          <w:rFonts w:ascii="Century" w:hAnsi="Century"/>
          <w:rtl/>
        </w:rPr>
        <w:t xml:space="preserve"> </w:t>
      </w:r>
      <w:r w:rsidRPr="00F60AAC">
        <w:rPr>
          <w:rFonts w:ascii="Century" w:hAnsi="Century"/>
        </w:rPr>
        <w:t>"</w:t>
      </w:r>
      <w:r>
        <w:rPr>
          <w:rFonts w:ascii="Century" w:hAnsi="Century" w:hint="cs"/>
          <w:rtl/>
        </w:rPr>
        <w:t>ערכיה של מדינה יהודית וד</w:t>
      </w:r>
      <w:r w:rsidRPr="00F60AAC">
        <w:rPr>
          <w:rFonts w:ascii="Century" w:hAnsi="Century" w:hint="cs"/>
          <w:rtl/>
        </w:rPr>
        <w:t xml:space="preserve">מוקרטית" </w:t>
      </w:r>
      <w:r w:rsidRPr="00E4442E">
        <w:rPr>
          <w:rFonts w:ascii="Century" w:hAnsi="Century" w:cs="Miriam"/>
          <w:b/>
          <w:spacing w:val="0"/>
          <w:szCs w:val="24"/>
          <w:rtl/>
        </w:rPr>
        <w:t>מבחר כתבים</w:t>
      </w:r>
      <w:r w:rsidRPr="00E4442E">
        <w:rPr>
          <w:rFonts w:ascii="Century" w:hAnsi="Century" w:hint="cs"/>
          <w:rtl/>
        </w:rPr>
        <w:t xml:space="preserve"> </w:t>
      </w:r>
      <w:r w:rsidRPr="00F60AAC">
        <w:rPr>
          <w:rFonts w:ascii="Century" w:hAnsi="Century" w:hint="cs"/>
          <w:rtl/>
        </w:rPr>
        <w:t>45, 52-51 (2001)). היא נזכרת בפקודת ס</w:t>
      </w:r>
      <w:r>
        <w:rPr>
          <w:rFonts w:ascii="Century" w:hAnsi="Century" w:hint="cs"/>
          <w:rtl/>
        </w:rPr>
        <w:t>דרי השלטון והמשפט, תש"ח-1948 כאִמ</w:t>
      </w:r>
      <w:r w:rsidRPr="00F60AAC">
        <w:rPr>
          <w:rFonts w:ascii="Century" w:hAnsi="Century" w:hint="cs"/>
          <w:rtl/>
        </w:rPr>
        <w:t xml:space="preserve">ה המולידה של הפקודה </w:t>
      </w:r>
      <w:r w:rsidRPr="00F60AAC">
        <w:rPr>
          <w:rFonts w:ascii="Century" w:hAnsi="Century"/>
          <w:rtl/>
        </w:rPr>
        <w:t>–</w:t>
      </w:r>
      <w:r w:rsidRPr="00F60AAC">
        <w:rPr>
          <w:rFonts w:ascii="Century" w:hAnsi="Century" w:hint="cs"/>
          <w:rtl/>
        </w:rPr>
        <w:t xml:space="preserve"> שנחקקה "</w:t>
      </w:r>
      <w:r w:rsidRPr="00E4442E">
        <w:rPr>
          <w:rFonts w:ascii="Century" w:hAnsi="Century" w:cs="Miriam" w:hint="eastAsia"/>
          <w:b/>
          <w:spacing w:val="0"/>
          <w:szCs w:val="24"/>
          <w:rtl/>
        </w:rPr>
        <w:t>בתוקף</w:t>
      </w:r>
      <w:r w:rsidRPr="00E4442E">
        <w:rPr>
          <w:rFonts w:ascii="Century" w:hAnsi="Century" w:cs="Miriam"/>
          <w:b/>
          <w:spacing w:val="0"/>
          <w:szCs w:val="24"/>
          <w:rtl/>
        </w:rPr>
        <w:t xml:space="preserve"> </w:t>
      </w:r>
      <w:r w:rsidRPr="00E4442E">
        <w:rPr>
          <w:rFonts w:ascii="Century" w:hAnsi="Century" w:cs="Miriam" w:hint="eastAsia"/>
          <w:b/>
          <w:spacing w:val="0"/>
          <w:szCs w:val="24"/>
          <w:rtl/>
        </w:rPr>
        <w:t>הסמכות</w:t>
      </w:r>
      <w:r w:rsidRPr="00E4442E">
        <w:rPr>
          <w:rFonts w:ascii="Century" w:hAnsi="Century" w:cs="Miriam"/>
          <w:b/>
          <w:spacing w:val="0"/>
          <w:szCs w:val="24"/>
          <w:rtl/>
        </w:rPr>
        <w:t xml:space="preserve"> </w:t>
      </w:r>
      <w:r w:rsidRPr="00E4442E">
        <w:rPr>
          <w:rFonts w:ascii="Century" w:hAnsi="Century" w:cs="Miriam" w:hint="eastAsia"/>
          <w:b/>
          <w:spacing w:val="0"/>
          <w:szCs w:val="24"/>
          <w:rtl/>
        </w:rPr>
        <w:t>שנקבעה</w:t>
      </w:r>
      <w:r w:rsidRPr="00E4442E">
        <w:rPr>
          <w:rFonts w:ascii="Century" w:hAnsi="Century" w:cs="Miriam"/>
          <w:b/>
          <w:spacing w:val="0"/>
          <w:szCs w:val="24"/>
          <w:rtl/>
        </w:rPr>
        <w:t xml:space="preserve"> </w:t>
      </w:r>
      <w:r w:rsidRPr="00E4442E">
        <w:rPr>
          <w:rFonts w:ascii="Century" w:hAnsi="Century" w:cs="Miriam" w:hint="eastAsia"/>
          <w:b/>
          <w:spacing w:val="0"/>
          <w:szCs w:val="24"/>
          <w:rtl/>
        </w:rPr>
        <w:t>למועצת</w:t>
      </w:r>
      <w:r w:rsidRPr="00E4442E">
        <w:rPr>
          <w:rFonts w:ascii="Century" w:hAnsi="Century" w:cs="Miriam"/>
          <w:b/>
          <w:spacing w:val="0"/>
          <w:szCs w:val="24"/>
          <w:rtl/>
        </w:rPr>
        <w:t xml:space="preserve"> </w:t>
      </w:r>
      <w:r w:rsidRPr="00E4442E">
        <w:rPr>
          <w:rFonts w:ascii="Century" w:hAnsi="Century" w:cs="Miriam" w:hint="eastAsia"/>
          <w:b/>
          <w:spacing w:val="0"/>
          <w:szCs w:val="24"/>
          <w:rtl/>
        </w:rPr>
        <w:t>המדינה</w:t>
      </w:r>
      <w:r w:rsidRPr="00E4442E">
        <w:rPr>
          <w:rFonts w:ascii="Century" w:hAnsi="Century" w:cs="Miriam"/>
          <w:b/>
          <w:spacing w:val="0"/>
          <w:szCs w:val="24"/>
          <w:rtl/>
        </w:rPr>
        <w:t xml:space="preserve"> </w:t>
      </w:r>
      <w:r w:rsidRPr="00E4442E">
        <w:rPr>
          <w:rFonts w:ascii="Century" w:hAnsi="Century" w:cs="Miriam" w:hint="eastAsia"/>
          <w:b/>
          <w:spacing w:val="0"/>
          <w:szCs w:val="24"/>
          <w:rtl/>
        </w:rPr>
        <w:t>הזמנית</w:t>
      </w:r>
      <w:r w:rsidRPr="00E4442E">
        <w:rPr>
          <w:rFonts w:ascii="Century" w:hAnsi="Century" w:cs="Miriam"/>
          <w:b/>
          <w:spacing w:val="0"/>
          <w:szCs w:val="24"/>
          <w:rtl/>
        </w:rPr>
        <w:t xml:space="preserve"> </w:t>
      </w:r>
      <w:r w:rsidRPr="00E4442E">
        <w:rPr>
          <w:rFonts w:ascii="Century" w:hAnsi="Century" w:cs="Miriam" w:hint="eastAsia"/>
          <w:b/>
          <w:spacing w:val="0"/>
          <w:szCs w:val="24"/>
          <w:rtl/>
        </w:rPr>
        <w:t>בהכרזה</w:t>
      </w:r>
      <w:r w:rsidRPr="00E4442E">
        <w:rPr>
          <w:rFonts w:ascii="Century" w:hAnsi="Century" w:cs="Miriam"/>
          <w:b/>
          <w:spacing w:val="0"/>
          <w:szCs w:val="24"/>
          <w:rtl/>
        </w:rPr>
        <w:t xml:space="preserve"> </w:t>
      </w:r>
      <w:r w:rsidRPr="00E4442E">
        <w:rPr>
          <w:rFonts w:ascii="Century" w:hAnsi="Century" w:cs="Miriam" w:hint="eastAsia"/>
          <w:b/>
          <w:spacing w:val="0"/>
          <w:szCs w:val="24"/>
          <w:rtl/>
        </w:rPr>
        <w:t>על</w:t>
      </w:r>
      <w:r w:rsidRPr="00E4442E">
        <w:rPr>
          <w:rFonts w:ascii="Century" w:hAnsi="Century" w:cs="Miriam"/>
          <w:b/>
          <w:spacing w:val="0"/>
          <w:szCs w:val="24"/>
          <w:rtl/>
        </w:rPr>
        <w:t xml:space="preserve"> </w:t>
      </w:r>
      <w:r w:rsidRPr="00E4442E">
        <w:rPr>
          <w:rFonts w:ascii="Century" w:hAnsi="Century" w:cs="Miriam" w:hint="eastAsia"/>
          <w:b/>
          <w:spacing w:val="0"/>
          <w:szCs w:val="24"/>
          <w:rtl/>
        </w:rPr>
        <w:t>הקמת</w:t>
      </w:r>
      <w:r w:rsidRPr="00E4442E">
        <w:rPr>
          <w:rFonts w:ascii="Century" w:hAnsi="Century" w:cs="Miriam"/>
          <w:b/>
          <w:spacing w:val="0"/>
          <w:szCs w:val="24"/>
          <w:rtl/>
        </w:rPr>
        <w:t xml:space="preserve"> </w:t>
      </w:r>
      <w:r w:rsidRPr="00E4442E">
        <w:rPr>
          <w:rFonts w:ascii="Century" w:hAnsi="Century" w:cs="Miriam" w:hint="eastAsia"/>
          <w:b/>
          <w:spacing w:val="0"/>
          <w:szCs w:val="24"/>
          <w:rtl/>
        </w:rPr>
        <w:t>מדינת</w:t>
      </w:r>
      <w:r w:rsidRPr="00E4442E">
        <w:rPr>
          <w:rFonts w:ascii="Century" w:hAnsi="Century" w:cs="Miriam"/>
          <w:b/>
          <w:spacing w:val="0"/>
          <w:szCs w:val="24"/>
          <w:rtl/>
        </w:rPr>
        <w:t xml:space="preserve"> </w:t>
      </w:r>
      <w:r w:rsidRPr="00E4442E">
        <w:rPr>
          <w:rFonts w:ascii="Century" w:hAnsi="Century" w:cs="Miriam" w:hint="eastAsia"/>
          <w:b/>
          <w:spacing w:val="0"/>
          <w:szCs w:val="24"/>
          <w:rtl/>
        </w:rPr>
        <w:t>ישראל</w:t>
      </w:r>
      <w:r w:rsidRPr="00E4442E">
        <w:rPr>
          <w:rFonts w:ascii="Century" w:hAnsi="Century" w:cs="Miriam"/>
          <w:b/>
          <w:spacing w:val="0"/>
          <w:szCs w:val="24"/>
          <w:rtl/>
        </w:rPr>
        <w:t xml:space="preserve"> </w:t>
      </w:r>
      <w:r w:rsidRPr="00E4442E">
        <w:rPr>
          <w:rFonts w:ascii="Century" w:hAnsi="Century" w:cs="Miriam" w:hint="eastAsia"/>
          <w:b/>
          <w:spacing w:val="0"/>
          <w:szCs w:val="24"/>
          <w:rtl/>
        </w:rPr>
        <w:t>מיום</w:t>
      </w:r>
      <w:r w:rsidRPr="00E4442E">
        <w:rPr>
          <w:rFonts w:ascii="Century" w:hAnsi="Century" w:cs="Miriam"/>
          <w:b/>
          <w:spacing w:val="0"/>
          <w:szCs w:val="24"/>
          <w:rtl/>
        </w:rPr>
        <w:t xml:space="preserve"> </w:t>
      </w:r>
      <w:r w:rsidRPr="00E4442E">
        <w:rPr>
          <w:rFonts w:ascii="Century" w:hAnsi="Century" w:cs="Miriam" w:hint="eastAsia"/>
          <w:b/>
          <w:spacing w:val="0"/>
          <w:szCs w:val="24"/>
          <w:rtl/>
        </w:rPr>
        <w:t>ה</w:t>
      </w:r>
      <w:r w:rsidRPr="00E4442E">
        <w:rPr>
          <w:rFonts w:ascii="Century" w:hAnsi="Century" w:cs="Miriam"/>
          <w:b/>
          <w:spacing w:val="0"/>
          <w:szCs w:val="24"/>
          <w:rtl/>
        </w:rPr>
        <w:t xml:space="preserve">' </w:t>
      </w:r>
      <w:r w:rsidRPr="00E4442E">
        <w:rPr>
          <w:rFonts w:ascii="Century" w:hAnsi="Century" w:cs="Miriam" w:hint="eastAsia"/>
          <w:b/>
          <w:spacing w:val="0"/>
          <w:szCs w:val="24"/>
          <w:rtl/>
        </w:rPr>
        <w:t>באייר</w:t>
      </w:r>
      <w:r w:rsidRPr="00E4442E">
        <w:rPr>
          <w:rFonts w:ascii="Century" w:hAnsi="Century" w:cs="Miriam"/>
          <w:b/>
          <w:spacing w:val="0"/>
          <w:szCs w:val="24"/>
          <w:rtl/>
        </w:rPr>
        <w:t xml:space="preserve"> </w:t>
      </w:r>
      <w:r w:rsidRPr="00E4442E">
        <w:rPr>
          <w:rFonts w:ascii="Century" w:hAnsi="Century" w:cs="Miriam" w:hint="eastAsia"/>
          <w:b/>
          <w:spacing w:val="0"/>
          <w:szCs w:val="24"/>
          <w:rtl/>
        </w:rPr>
        <w:t>תש</w:t>
      </w:r>
      <w:r w:rsidRPr="00E4442E">
        <w:rPr>
          <w:rFonts w:ascii="Century" w:hAnsi="Century" w:cs="Miriam"/>
          <w:b/>
          <w:spacing w:val="0"/>
          <w:szCs w:val="24"/>
          <w:rtl/>
        </w:rPr>
        <w:t>"</w:t>
      </w:r>
      <w:r w:rsidRPr="00E4442E">
        <w:rPr>
          <w:rFonts w:ascii="Century" w:hAnsi="Century" w:cs="Miriam" w:hint="eastAsia"/>
          <w:b/>
          <w:spacing w:val="0"/>
          <w:szCs w:val="24"/>
          <w:rtl/>
        </w:rPr>
        <w:t>ח</w:t>
      </w:r>
      <w:r w:rsidRPr="00E4442E">
        <w:rPr>
          <w:rFonts w:ascii="Century" w:hAnsi="Century" w:cs="Miriam"/>
          <w:b/>
          <w:spacing w:val="0"/>
          <w:szCs w:val="24"/>
          <w:rtl/>
        </w:rPr>
        <w:t xml:space="preserve"> (14 </w:t>
      </w:r>
      <w:r w:rsidRPr="00E4442E">
        <w:rPr>
          <w:rFonts w:ascii="Century" w:hAnsi="Century" w:cs="Miriam" w:hint="eastAsia"/>
          <w:b/>
          <w:spacing w:val="0"/>
          <w:szCs w:val="24"/>
          <w:rtl/>
        </w:rPr>
        <w:t>במאי</w:t>
      </w:r>
      <w:r w:rsidRPr="00E4442E">
        <w:rPr>
          <w:rFonts w:ascii="Century" w:hAnsi="Century" w:cs="Miriam"/>
          <w:b/>
          <w:spacing w:val="0"/>
          <w:szCs w:val="24"/>
          <w:rtl/>
        </w:rPr>
        <w:t xml:space="preserve"> 1948) </w:t>
      </w:r>
      <w:r w:rsidRPr="00E4442E">
        <w:rPr>
          <w:rFonts w:ascii="Century" w:hAnsi="Century" w:cs="Miriam" w:hint="eastAsia"/>
          <w:b/>
          <w:spacing w:val="0"/>
          <w:szCs w:val="24"/>
          <w:rtl/>
        </w:rPr>
        <w:t>ובמנשר</w:t>
      </w:r>
      <w:r w:rsidRPr="00E4442E">
        <w:rPr>
          <w:rFonts w:ascii="Century" w:hAnsi="Century" w:cs="Miriam"/>
          <w:b/>
          <w:spacing w:val="0"/>
          <w:szCs w:val="24"/>
          <w:rtl/>
        </w:rPr>
        <w:t xml:space="preserve"> </w:t>
      </w:r>
      <w:r w:rsidRPr="00E4442E">
        <w:rPr>
          <w:rFonts w:ascii="Century" w:hAnsi="Century" w:cs="Miriam" w:hint="eastAsia"/>
          <w:b/>
          <w:spacing w:val="0"/>
          <w:szCs w:val="24"/>
          <w:rtl/>
        </w:rPr>
        <w:t>מאותו</w:t>
      </w:r>
      <w:r w:rsidRPr="00E4442E">
        <w:rPr>
          <w:rFonts w:ascii="Century" w:hAnsi="Century" w:cs="Miriam"/>
          <w:b/>
          <w:spacing w:val="0"/>
          <w:szCs w:val="24"/>
          <w:rtl/>
        </w:rPr>
        <w:t xml:space="preserve"> </w:t>
      </w:r>
      <w:r w:rsidRPr="00E4442E">
        <w:rPr>
          <w:rFonts w:ascii="Century" w:hAnsi="Century" w:cs="Miriam" w:hint="eastAsia"/>
          <w:b/>
          <w:spacing w:val="0"/>
          <w:szCs w:val="24"/>
          <w:rtl/>
        </w:rPr>
        <w:t>יום</w:t>
      </w:r>
      <w:r w:rsidRPr="00F60AAC">
        <w:rPr>
          <w:rFonts w:ascii="Century" w:hAnsi="Century" w:hint="cs"/>
          <w:rtl/>
        </w:rPr>
        <w:t xml:space="preserve">". גם אם ההכרזה אינה נושאת תוקף משפטי כשל חוק או חוקה, הלכה </w:t>
      </w:r>
      <w:r>
        <w:rPr>
          <w:rFonts w:ascii="Century" w:hAnsi="Century" w:hint="cs"/>
          <w:rtl/>
        </w:rPr>
        <w:t xml:space="preserve">היא </w:t>
      </w:r>
      <w:r w:rsidRPr="00F60AAC">
        <w:rPr>
          <w:rFonts w:ascii="Century" w:hAnsi="Century" w:hint="cs"/>
          <w:rtl/>
        </w:rPr>
        <w:t>עימנו כי "</w:t>
      </w:r>
      <w:r w:rsidRPr="00E4442E">
        <w:rPr>
          <w:rFonts w:ascii="Century" w:hAnsi="Century" w:cs="Miriam"/>
          <w:b/>
          <w:spacing w:val="0"/>
          <w:szCs w:val="24"/>
          <w:shd w:val="clear" w:color="auto" w:fill="FFFFFF"/>
          <w:rtl/>
        </w:rPr>
        <w:t>יש לפרש כל חוק לאו</w:t>
      </w:r>
      <w:r w:rsidRPr="00E4442E">
        <w:rPr>
          <w:rFonts w:ascii="Century" w:hAnsi="Century" w:cs="Miriam" w:hint="cs"/>
          <w:b/>
          <w:spacing w:val="0"/>
          <w:szCs w:val="24"/>
          <w:shd w:val="clear" w:color="auto" w:fill="FFFFFF"/>
          <w:rtl/>
        </w:rPr>
        <w:t xml:space="preserve">ר הכרזת העצמאות, </w:t>
      </w:r>
      <w:r w:rsidRPr="00E4442E">
        <w:rPr>
          <w:rFonts w:ascii="Century" w:hAnsi="Century" w:cs="Miriam"/>
          <w:b/>
          <w:spacing w:val="0"/>
          <w:szCs w:val="24"/>
          <w:shd w:val="clear" w:color="auto" w:fill="FFFFFF"/>
          <w:rtl/>
        </w:rPr>
        <w:t xml:space="preserve">המבטאת </w:t>
      </w:r>
      <w:r w:rsidRPr="00E4442E">
        <w:rPr>
          <w:rFonts w:ascii="Century" w:hAnsi="Century" w:cs="Miriam" w:hint="cs"/>
          <w:b/>
          <w:spacing w:val="0"/>
          <w:szCs w:val="24"/>
          <w:shd w:val="clear" w:color="auto" w:fill="FFFFFF"/>
          <w:rtl/>
        </w:rPr>
        <w:t>'</w:t>
      </w:r>
      <w:r w:rsidRPr="00E4442E">
        <w:rPr>
          <w:rFonts w:ascii="Century" w:hAnsi="Century" w:cs="Miriam"/>
          <w:b/>
          <w:spacing w:val="0"/>
          <w:szCs w:val="24"/>
          <w:shd w:val="clear" w:color="auto" w:fill="FFFFFF"/>
          <w:rtl/>
        </w:rPr>
        <w:t>את חזון העם</w:t>
      </w:r>
      <w:r w:rsidRPr="00E4442E">
        <w:rPr>
          <w:rFonts w:ascii="Century" w:hAnsi="Century" w:cs="Miriam" w:hint="cs"/>
          <w:b/>
          <w:spacing w:val="0"/>
          <w:szCs w:val="24"/>
          <w:shd w:val="clear" w:color="auto" w:fill="FFFFFF"/>
          <w:rtl/>
        </w:rPr>
        <w:t>'</w:t>
      </w:r>
      <w:r w:rsidRPr="00E4442E">
        <w:rPr>
          <w:rFonts w:ascii="Century" w:hAnsi="Century" w:cs="Miriam"/>
          <w:b/>
          <w:spacing w:val="0"/>
          <w:szCs w:val="24"/>
          <w:shd w:val="clear" w:color="auto" w:fill="FFFFFF"/>
          <w:rtl/>
        </w:rPr>
        <w:t xml:space="preserve"> ואת 'האני מאמין שלו</w:t>
      </w:r>
      <w:r w:rsidRPr="00E4442E">
        <w:rPr>
          <w:rFonts w:ascii="Century" w:hAnsi="Century" w:cs="Miriam" w:hint="cs"/>
          <w:b/>
          <w:spacing w:val="0"/>
          <w:szCs w:val="24"/>
          <w:shd w:val="clear" w:color="auto" w:fill="FFFFFF"/>
          <w:rtl/>
        </w:rPr>
        <w:t>'</w:t>
      </w:r>
      <w:r w:rsidRPr="00E4442E">
        <w:rPr>
          <w:rFonts w:ascii="Century" w:hAnsi="Century" w:cs="Miriam" w:hint="cs"/>
          <w:b/>
          <w:spacing w:val="0"/>
          <w:szCs w:val="24"/>
          <w:rtl/>
        </w:rPr>
        <w:t>'</w:t>
      </w:r>
      <w:r w:rsidRPr="00F60AAC">
        <w:rPr>
          <w:rFonts w:ascii="Century" w:hAnsi="Century" w:hint="cs"/>
          <w:rtl/>
        </w:rPr>
        <w:t>" (</w:t>
      </w:r>
      <w:r w:rsidRPr="00F60AAC">
        <w:rPr>
          <w:rFonts w:ascii="Century" w:hAnsi="Century" w:hint="eastAsia"/>
          <w:rtl/>
        </w:rPr>
        <w:t>ע</w:t>
      </w:r>
      <w:r w:rsidRPr="00F60AAC">
        <w:rPr>
          <w:rFonts w:ascii="Century" w:hAnsi="Century"/>
          <w:rtl/>
        </w:rPr>
        <w:t>"</w:t>
      </w:r>
      <w:r w:rsidRPr="00F60AAC">
        <w:rPr>
          <w:rFonts w:ascii="Century" w:hAnsi="Century" w:hint="eastAsia"/>
          <w:rtl/>
        </w:rPr>
        <w:t>ב</w:t>
      </w:r>
      <w:r w:rsidRPr="00F60AAC">
        <w:rPr>
          <w:rFonts w:ascii="Century" w:hAnsi="Century"/>
          <w:rtl/>
        </w:rPr>
        <w:t xml:space="preserve"> 2/84 </w:t>
      </w:r>
      <w:r w:rsidRPr="00E4442E">
        <w:rPr>
          <w:rFonts w:ascii="Century" w:hAnsi="Century" w:cs="Miriam" w:hint="eastAsia"/>
          <w:b/>
          <w:spacing w:val="0"/>
          <w:szCs w:val="24"/>
          <w:rtl/>
        </w:rPr>
        <w:t>ניימן</w:t>
      </w:r>
      <w:r w:rsidRPr="00E4442E">
        <w:rPr>
          <w:rFonts w:ascii="Century" w:hAnsi="Century" w:cs="Miriam"/>
          <w:b/>
          <w:spacing w:val="0"/>
          <w:szCs w:val="24"/>
          <w:rtl/>
        </w:rPr>
        <w:t xml:space="preserve"> </w:t>
      </w:r>
      <w:r w:rsidRPr="00E4442E">
        <w:rPr>
          <w:rFonts w:ascii="Century" w:hAnsi="Century" w:cs="Miriam" w:hint="eastAsia"/>
          <w:b/>
          <w:spacing w:val="0"/>
          <w:szCs w:val="24"/>
          <w:rtl/>
        </w:rPr>
        <w:t>נ</w:t>
      </w:r>
      <w:r w:rsidRPr="00E4442E">
        <w:rPr>
          <w:rFonts w:ascii="Century" w:hAnsi="Century" w:cs="Miriam"/>
          <w:b/>
          <w:spacing w:val="0"/>
          <w:szCs w:val="24"/>
          <w:rtl/>
        </w:rPr>
        <w:t xml:space="preserve">' </w:t>
      </w:r>
      <w:r w:rsidRPr="00E4442E">
        <w:rPr>
          <w:rFonts w:ascii="Century" w:hAnsi="Century" w:cs="Miriam" w:hint="eastAsia"/>
          <w:b/>
          <w:spacing w:val="0"/>
          <w:szCs w:val="24"/>
          <w:rtl/>
        </w:rPr>
        <w:t>יו</w:t>
      </w:r>
      <w:r w:rsidRPr="00E4442E">
        <w:rPr>
          <w:rFonts w:ascii="Century" w:hAnsi="Century" w:cs="Miriam"/>
          <w:b/>
          <w:spacing w:val="0"/>
          <w:szCs w:val="24"/>
          <w:rtl/>
        </w:rPr>
        <w:t>"</w:t>
      </w:r>
      <w:r w:rsidRPr="00E4442E">
        <w:rPr>
          <w:rFonts w:ascii="Century" w:hAnsi="Century" w:cs="Miriam" w:hint="eastAsia"/>
          <w:b/>
          <w:spacing w:val="0"/>
          <w:szCs w:val="24"/>
          <w:rtl/>
        </w:rPr>
        <w:t>ר</w:t>
      </w:r>
      <w:r w:rsidRPr="00E4442E">
        <w:rPr>
          <w:rFonts w:ascii="Century" w:hAnsi="Century" w:cs="Miriam"/>
          <w:b/>
          <w:spacing w:val="0"/>
          <w:szCs w:val="24"/>
          <w:rtl/>
        </w:rPr>
        <w:t xml:space="preserve"> </w:t>
      </w:r>
      <w:r w:rsidRPr="00E4442E">
        <w:rPr>
          <w:rFonts w:ascii="Century" w:hAnsi="Century" w:cs="Miriam" w:hint="eastAsia"/>
          <w:b/>
          <w:spacing w:val="0"/>
          <w:szCs w:val="24"/>
          <w:rtl/>
        </w:rPr>
        <w:t>ועדת</w:t>
      </w:r>
      <w:r w:rsidRPr="00E4442E">
        <w:rPr>
          <w:rFonts w:ascii="Century" w:hAnsi="Century" w:cs="Miriam"/>
          <w:b/>
          <w:spacing w:val="0"/>
          <w:szCs w:val="24"/>
          <w:rtl/>
        </w:rPr>
        <w:t xml:space="preserve"> </w:t>
      </w:r>
      <w:r w:rsidRPr="00E4442E">
        <w:rPr>
          <w:rFonts w:ascii="Century" w:hAnsi="Century" w:cs="Miriam" w:hint="eastAsia"/>
          <w:b/>
          <w:spacing w:val="0"/>
          <w:szCs w:val="24"/>
          <w:rtl/>
        </w:rPr>
        <w:t>הבחירות</w:t>
      </w:r>
      <w:r w:rsidRPr="00E4442E">
        <w:rPr>
          <w:rFonts w:ascii="Century" w:hAnsi="Century" w:cs="Miriam"/>
          <w:b/>
          <w:spacing w:val="0"/>
          <w:szCs w:val="24"/>
          <w:rtl/>
        </w:rPr>
        <w:t xml:space="preserve"> </w:t>
      </w:r>
      <w:r w:rsidRPr="00E4442E">
        <w:rPr>
          <w:rFonts w:ascii="Century" w:hAnsi="Century" w:cs="Miriam" w:hint="eastAsia"/>
          <w:b/>
          <w:spacing w:val="0"/>
          <w:szCs w:val="24"/>
          <w:rtl/>
        </w:rPr>
        <w:t>המרכזית</w:t>
      </w:r>
      <w:r w:rsidRPr="00E4442E">
        <w:rPr>
          <w:rFonts w:ascii="Century" w:hAnsi="Century" w:cs="Miriam"/>
          <w:b/>
          <w:spacing w:val="0"/>
          <w:szCs w:val="24"/>
          <w:rtl/>
        </w:rPr>
        <w:t xml:space="preserve"> </w:t>
      </w:r>
      <w:r w:rsidRPr="00E4442E">
        <w:rPr>
          <w:rFonts w:ascii="Century" w:hAnsi="Century" w:cs="Miriam" w:hint="eastAsia"/>
          <w:b/>
          <w:spacing w:val="0"/>
          <w:szCs w:val="24"/>
          <w:rtl/>
        </w:rPr>
        <w:t>לכנסת</w:t>
      </w:r>
      <w:r w:rsidRPr="00E4442E">
        <w:rPr>
          <w:rFonts w:ascii="Century" w:hAnsi="Century" w:cs="Miriam"/>
          <w:b/>
          <w:spacing w:val="0"/>
          <w:szCs w:val="24"/>
          <w:rtl/>
        </w:rPr>
        <w:t xml:space="preserve"> </w:t>
      </w:r>
      <w:r w:rsidRPr="00E4442E">
        <w:rPr>
          <w:rFonts w:ascii="Century" w:hAnsi="Century" w:cs="Miriam" w:hint="eastAsia"/>
          <w:b/>
          <w:spacing w:val="0"/>
          <w:szCs w:val="24"/>
          <w:rtl/>
        </w:rPr>
        <w:t>האחת</w:t>
      </w:r>
      <w:r w:rsidRPr="00E4442E">
        <w:rPr>
          <w:rFonts w:ascii="Century" w:hAnsi="Century" w:cs="Miriam"/>
          <w:b/>
          <w:spacing w:val="0"/>
          <w:szCs w:val="24"/>
          <w:rtl/>
        </w:rPr>
        <w:t>-</w:t>
      </w:r>
      <w:r w:rsidRPr="00E4442E">
        <w:rPr>
          <w:rFonts w:ascii="Century" w:hAnsi="Century" w:cs="Miriam" w:hint="eastAsia"/>
          <w:b/>
          <w:spacing w:val="0"/>
          <w:szCs w:val="24"/>
          <w:rtl/>
        </w:rPr>
        <w:t>עשרה</w:t>
      </w:r>
      <w:r w:rsidRPr="00F60AAC">
        <w:rPr>
          <w:rFonts w:ascii="Century" w:hAnsi="Century"/>
          <w:rtl/>
        </w:rPr>
        <w:t>,</w:t>
      </w:r>
      <w:r w:rsidRPr="00F60AAC">
        <w:rPr>
          <w:rFonts w:ascii="Century" w:hAnsi="Century" w:hint="cs"/>
          <w:rtl/>
        </w:rPr>
        <w:t xml:space="preserve"> פ"ד</w:t>
      </w:r>
      <w:r w:rsidRPr="00F60AAC">
        <w:rPr>
          <w:rFonts w:ascii="Century" w:hAnsi="Century"/>
          <w:rtl/>
        </w:rPr>
        <w:t xml:space="preserve"> </w:t>
      </w:r>
      <w:r w:rsidRPr="00F60AAC">
        <w:rPr>
          <w:rFonts w:ascii="Century" w:hAnsi="Century" w:hint="eastAsia"/>
          <w:rtl/>
        </w:rPr>
        <w:t>לט</w:t>
      </w:r>
      <w:r w:rsidRPr="00F60AAC">
        <w:rPr>
          <w:rFonts w:ascii="Century" w:hAnsi="Century"/>
          <w:rtl/>
        </w:rPr>
        <w:t>(2) 225</w:t>
      </w:r>
      <w:r w:rsidRPr="00F60AAC">
        <w:rPr>
          <w:rFonts w:ascii="Century" w:hAnsi="Century" w:hint="cs"/>
          <w:rtl/>
        </w:rPr>
        <w:t xml:space="preserve">, </w:t>
      </w:r>
      <w:r>
        <w:rPr>
          <w:rFonts w:ascii="Century" w:hAnsi="Century" w:hint="cs"/>
          <w:rtl/>
        </w:rPr>
        <w:t>307</w:t>
      </w:r>
      <w:r w:rsidRPr="00F60AAC">
        <w:rPr>
          <w:rFonts w:ascii="Century" w:hAnsi="Century"/>
          <w:rtl/>
        </w:rPr>
        <w:t xml:space="preserve"> (1985)</w:t>
      </w:r>
      <w:r>
        <w:rPr>
          <w:rFonts w:ascii="Century" w:hAnsi="Century" w:hint="cs"/>
          <w:rtl/>
        </w:rPr>
        <w:t>, וראו גם בעמ' 293;</w:t>
      </w:r>
      <w:r w:rsidRPr="00F60AAC">
        <w:rPr>
          <w:rFonts w:ascii="Century" w:hAnsi="Century" w:hint="cs"/>
          <w:rtl/>
        </w:rPr>
        <w:t xml:space="preserve"> </w:t>
      </w:r>
      <w:r w:rsidRPr="00F60AAC">
        <w:rPr>
          <w:rFonts w:ascii="Century" w:hAnsi="Century" w:hint="eastAsia"/>
          <w:rtl/>
        </w:rPr>
        <w:t>בג</w:t>
      </w:r>
      <w:r w:rsidRPr="00F60AAC">
        <w:rPr>
          <w:rFonts w:ascii="Century" w:hAnsi="Century"/>
          <w:rtl/>
        </w:rPr>
        <w:t>"</w:t>
      </w:r>
      <w:r w:rsidRPr="00F60AAC">
        <w:rPr>
          <w:rFonts w:ascii="Century" w:hAnsi="Century" w:hint="eastAsia"/>
          <w:rtl/>
        </w:rPr>
        <w:t>ץ</w:t>
      </w:r>
      <w:r w:rsidRPr="00F60AAC">
        <w:rPr>
          <w:rFonts w:ascii="Century" w:hAnsi="Century"/>
          <w:rtl/>
        </w:rPr>
        <w:t xml:space="preserve"> 153/87 </w:t>
      </w:r>
      <w:r w:rsidRPr="00E4442E">
        <w:rPr>
          <w:rFonts w:ascii="Century" w:hAnsi="Century" w:cs="Miriam" w:hint="eastAsia"/>
          <w:b/>
          <w:spacing w:val="0"/>
          <w:szCs w:val="24"/>
          <w:rtl/>
        </w:rPr>
        <w:t>שקדיאל</w:t>
      </w:r>
      <w:r w:rsidRPr="00E4442E">
        <w:rPr>
          <w:rFonts w:ascii="Century" w:hAnsi="Century" w:cs="Miriam"/>
          <w:b/>
          <w:spacing w:val="0"/>
          <w:szCs w:val="24"/>
          <w:rtl/>
        </w:rPr>
        <w:t xml:space="preserve"> </w:t>
      </w:r>
      <w:r w:rsidRPr="00E4442E">
        <w:rPr>
          <w:rFonts w:ascii="Century" w:hAnsi="Century" w:cs="Miriam" w:hint="eastAsia"/>
          <w:b/>
          <w:spacing w:val="0"/>
          <w:szCs w:val="24"/>
          <w:rtl/>
        </w:rPr>
        <w:t>נ</w:t>
      </w:r>
      <w:r w:rsidRPr="00E4442E">
        <w:rPr>
          <w:rFonts w:ascii="Century" w:hAnsi="Century" w:cs="Miriam"/>
          <w:b/>
          <w:spacing w:val="0"/>
          <w:szCs w:val="24"/>
          <w:rtl/>
        </w:rPr>
        <w:t xml:space="preserve">' </w:t>
      </w:r>
      <w:r w:rsidRPr="00E4442E">
        <w:rPr>
          <w:rFonts w:ascii="Century" w:hAnsi="Century" w:cs="Miriam" w:hint="eastAsia"/>
          <w:b/>
          <w:spacing w:val="0"/>
          <w:szCs w:val="24"/>
          <w:rtl/>
        </w:rPr>
        <w:t>השר</w:t>
      </w:r>
      <w:r w:rsidRPr="00E4442E">
        <w:rPr>
          <w:rFonts w:ascii="Century" w:hAnsi="Century" w:cs="Miriam"/>
          <w:b/>
          <w:spacing w:val="0"/>
          <w:szCs w:val="24"/>
          <w:rtl/>
        </w:rPr>
        <w:t xml:space="preserve"> </w:t>
      </w:r>
      <w:r w:rsidRPr="00E4442E">
        <w:rPr>
          <w:rFonts w:ascii="Century" w:hAnsi="Century" w:cs="Miriam" w:hint="eastAsia"/>
          <w:b/>
          <w:spacing w:val="0"/>
          <w:szCs w:val="24"/>
          <w:rtl/>
        </w:rPr>
        <w:t>לענייני</w:t>
      </w:r>
      <w:r w:rsidRPr="00E4442E">
        <w:rPr>
          <w:rFonts w:ascii="Century" w:hAnsi="Century" w:cs="Miriam"/>
          <w:b/>
          <w:spacing w:val="0"/>
          <w:szCs w:val="24"/>
          <w:rtl/>
        </w:rPr>
        <w:t xml:space="preserve"> </w:t>
      </w:r>
      <w:r w:rsidRPr="00E4442E">
        <w:rPr>
          <w:rFonts w:ascii="Century" w:hAnsi="Century" w:cs="Miriam" w:hint="eastAsia"/>
          <w:b/>
          <w:spacing w:val="0"/>
          <w:szCs w:val="24"/>
          <w:rtl/>
        </w:rPr>
        <w:t>דתות</w:t>
      </w:r>
      <w:r w:rsidRPr="00F60AAC">
        <w:rPr>
          <w:rFonts w:ascii="Century" w:hAnsi="Century"/>
          <w:rtl/>
        </w:rPr>
        <w:t xml:space="preserve">, </w:t>
      </w:r>
      <w:r w:rsidRPr="00F60AAC">
        <w:rPr>
          <w:rFonts w:ascii="Century" w:hAnsi="Century" w:hint="cs"/>
          <w:rtl/>
        </w:rPr>
        <w:t xml:space="preserve">פ"ד </w:t>
      </w:r>
      <w:r w:rsidRPr="00F60AAC">
        <w:rPr>
          <w:rFonts w:ascii="Century" w:hAnsi="Century" w:hint="eastAsia"/>
          <w:rtl/>
        </w:rPr>
        <w:t>מב</w:t>
      </w:r>
      <w:r w:rsidRPr="00F60AAC">
        <w:rPr>
          <w:rFonts w:ascii="Century" w:hAnsi="Century"/>
          <w:rtl/>
        </w:rPr>
        <w:t>(2) 221</w:t>
      </w:r>
      <w:r w:rsidRPr="00F60AAC">
        <w:rPr>
          <w:rFonts w:ascii="Century" w:hAnsi="Century" w:hint="cs"/>
          <w:rtl/>
        </w:rPr>
        <w:t xml:space="preserve">, </w:t>
      </w:r>
      <w:r>
        <w:rPr>
          <w:rFonts w:ascii="Century" w:hAnsi="Century" w:hint="cs"/>
          <w:rtl/>
        </w:rPr>
        <w:t>274</w:t>
      </w:r>
      <w:r w:rsidRPr="00F60AAC">
        <w:rPr>
          <w:rFonts w:ascii="Century" w:hAnsi="Century" w:hint="cs"/>
          <w:rtl/>
        </w:rPr>
        <w:t xml:space="preserve"> </w:t>
      </w:r>
      <w:r w:rsidRPr="00F60AAC">
        <w:rPr>
          <w:rFonts w:ascii="Century" w:hAnsi="Century"/>
          <w:rtl/>
        </w:rPr>
        <w:t>(1988)</w:t>
      </w:r>
      <w:r w:rsidRPr="00F60AAC">
        <w:rPr>
          <w:rFonts w:ascii="Century" w:hAnsi="Century" w:hint="cs"/>
          <w:rtl/>
        </w:rPr>
        <w:t xml:space="preserve">; </w:t>
      </w:r>
      <w:r w:rsidRPr="00F60AAC">
        <w:rPr>
          <w:rFonts w:ascii="Century" w:hAnsi="Century" w:hint="eastAsia"/>
          <w:rtl/>
        </w:rPr>
        <w:t>בג</w:t>
      </w:r>
      <w:r w:rsidRPr="00F60AAC">
        <w:rPr>
          <w:rFonts w:ascii="Century" w:hAnsi="Century"/>
          <w:rtl/>
        </w:rPr>
        <w:t>"</w:t>
      </w:r>
      <w:r w:rsidRPr="00F60AAC">
        <w:rPr>
          <w:rFonts w:ascii="Century" w:hAnsi="Century" w:hint="eastAsia"/>
          <w:rtl/>
        </w:rPr>
        <w:t>ץ</w:t>
      </w:r>
      <w:r w:rsidRPr="00F60AAC">
        <w:rPr>
          <w:rFonts w:ascii="Century" w:hAnsi="Century"/>
          <w:rtl/>
        </w:rPr>
        <w:t xml:space="preserve"> 1661/05 </w:t>
      </w:r>
      <w:r w:rsidRPr="00E4442E">
        <w:rPr>
          <w:rFonts w:ascii="Century" w:hAnsi="Century" w:cs="Miriam" w:hint="eastAsia"/>
          <w:b/>
          <w:spacing w:val="0"/>
          <w:szCs w:val="24"/>
          <w:rtl/>
        </w:rPr>
        <w:t>המועצה</w:t>
      </w:r>
      <w:r w:rsidRPr="00E4442E">
        <w:rPr>
          <w:rFonts w:ascii="Century" w:hAnsi="Century" w:cs="Miriam"/>
          <w:b/>
          <w:spacing w:val="0"/>
          <w:szCs w:val="24"/>
          <w:rtl/>
        </w:rPr>
        <w:t xml:space="preserve"> </w:t>
      </w:r>
      <w:r w:rsidRPr="00E4442E">
        <w:rPr>
          <w:rFonts w:ascii="Century" w:hAnsi="Century" w:cs="Miriam" w:hint="eastAsia"/>
          <w:b/>
          <w:spacing w:val="0"/>
          <w:szCs w:val="24"/>
          <w:rtl/>
        </w:rPr>
        <w:t>האזורית</w:t>
      </w:r>
      <w:r w:rsidRPr="00E4442E">
        <w:rPr>
          <w:rFonts w:ascii="Century" w:hAnsi="Century" w:cs="Miriam"/>
          <w:b/>
          <w:spacing w:val="0"/>
          <w:szCs w:val="24"/>
          <w:rtl/>
        </w:rPr>
        <w:t xml:space="preserve"> </w:t>
      </w:r>
      <w:r w:rsidRPr="00E4442E">
        <w:rPr>
          <w:rFonts w:ascii="Century" w:hAnsi="Century" w:cs="Miriam" w:hint="eastAsia"/>
          <w:b/>
          <w:spacing w:val="0"/>
          <w:szCs w:val="24"/>
          <w:rtl/>
        </w:rPr>
        <w:t>חוף</w:t>
      </w:r>
      <w:r w:rsidRPr="00E4442E">
        <w:rPr>
          <w:rFonts w:ascii="Century" w:hAnsi="Century" w:cs="Miriam"/>
          <w:b/>
          <w:spacing w:val="0"/>
          <w:szCs w:val="24"/>
          <w:rtl/>
        </w:rPr>
        <w:t xml:space="preserve"> </w:t>
      </w:r>
      <w:r w:rsidRPr="00E4442E">
        <w:rPr>
          <w:rFonts w:ascii="Century" w:hAnsi="Century" w:cs="Miriam" w:hint="eastAsia"/>
          <w:b/>
          <w:spacing w:val="0"/>
          <w:szCs w:val="24"/>
          <w:rtl/>
        </w:rPr>
        <w:t>עזה</w:t>
      </w:r>
      <w:r w:rsidRPr="00E4442E">
        <w:rPr>
          <w:rFonts w:ascii="Century" w:hAnsi="Century" w:cs="Miriam"/>
          <w:b/>
          <w:spacing w:val="0"/>
          <w:szCs w:val="24"/>
          <w:rtl/>
        </w:rPr>
        <w:t xml:space="preserve"> </w:t>
      </w:r>
      <w:r w:rsidRPr="00E4442E">
        <w:rPr>
          <w:rFonts w:ascii="Century" w:hAnsi="Century" w:cs="Miriam" w:hint="eastAsia"/>
          <w:b/>
          <w:spacing w:val="0"/>
          <w:szCs w:val="24"/>
          <w:rtl/>
        </w:rPr>
        <w:t>ואח</w:t>
      </w:r>
      <w:r w:rsidRPr="00E4442E">
        <w:rPr>
          <w:rFonts w:ascii="Century" w:hAnsi="Century" w:cs="Miriam"/>
          <w:b/>
          <w:spacing w:val="0"/>
          <w:szCs w:val="24"/>
          <w:rtl/>
        </w:rPr>
        <w:t xml:space="preserve">' </w:t>
      </w:r>
      <w:r w:rsidRPr="00E4442E">
        <w:rPr>
          <w:rFonts w:ascii="Century" w:hAnsi="Century" w:cs="Miriam" w:hint="eastAsia"/>
          <w:b/>
          <w:spacing w:val="0"/>
          <w:szCs w:val="24"/>
          <w:rtl/>
        </w:rPr>
        <w:t>נ</w:t>
      </w:r>
      <w:r w:rsidRPr="00E4442E">
        <w:rPr>
          <w:rFonts w:ascii="Century" w:hAnsi="Century" w:cs="Miriam"/>
          <w:b/>
          <w:spacing w:val="0"/>
          <w:szCs w:val="24"/>
          <w:rtl/>
        </w:rPr>
        <w:t xml:space="preserve">' </w:t>
      </w:r>
      <w:r w:rsidRPr="00E4442E">
        <w:rPr>
          <w:rFonts w:ascii="Century" w:hAnsi="Century" w:cs="Miriam" w:hint="eastAsia"/>
          <w:b/>
          <w:spacing w:val="0"/>
          <w:szCs w:val="24"/>
          <w:rtl/>
        </w:rPr>
        <w:t>כנסת</w:t>
      </w:r>
      <w:r w:rsidRPr="00E4442E">
        <w:rPr>
          <w:rFonts w:ascii="Century" w:hAnsi="Century" w:cs="Miriam"/>
          <w:b/>
          <w:spacing w:val="0"/>
          <w:szCs w:val="24"/>
          <w:rtl/>
        </w:rPr>
        <w:t xml:space="preserve"> </w:t>
      </w:r>
      <w:r w:rsidRPr="00E4442E">
        <w:rPr>
          <w:rFonts w:ascii="Century" w:hAnsi="Century" w:cs="Miriam" w:hint="eastAsia"/>
          <w:b/>
          <w:spacing w:val="0"/>
          <w:szCs w:val="24"/>
          <w:rtl/>
        </w:rPr>
        <w:t>ישראל</w:t>
      </w:r>
      <w:r w:rsidRPr="00E4442E">
        <w:rPr>
          <w:rFonts w:ascii="Century" w:hAnsi="Century" w:cs="Miriam"/>
          <w:b/>
          <w:spacing w:val="0"/>
          <w:szCs w:val="24"/>
          <w:rtl/>
        </w:rPr>
        <w:t xml:space="preserve"> </w:t>
      </w:r>
      <w:r w:rsidRPr="00E4442E">
        <w:rPr>
          <w:rFonts w:ascii="Century" w:hAnsi="Century" w:cs="Miriam" w:hint="eastAsia"/>
          <w:b/>
          <w:spacing w:val="0"/>
          <w:szCs w:val="24"/>
          <w:rtl/>
        </w:rPr>
        <w:t>ואח</w:t>
      </w:r>
      <w:r w:rsidRPr="00E4442E">
        <w:rPr>
          <w:rFonts w:ascii="Century" w:hAnsi="Century" w:cs="Miriam"/>
          <w:b/>
          <w:spacing w:val="0"/>
          <w:szCs w:val="24"/>
          <w:rtl/>
        </w:rPr>
        <w:t>'</w:t>
      </w:r>
      <w:r w:rsidRPr="00F60AAC">
        <w:rPr>
          <w:rFonts w:ascii="Century" w:hAnsi="Century"/>
          <w:rtl/>
        </w:rPr>
        <w:t xml:space="preserve">, </w:t>
      </w:r>
      <w:r w:rsidRPr="00F60AAC">
        <w:rPr>
          <w:rFonts w:ascii="Century" w:hAnsi="Century" w:hint="eastAsia"/>
          <w:rtl/>
        </w:rPr>
        <w:t>נט</w:t>
      </w:r>
      <w:r w:rsidRPr="00F60AAC">
        <w:rPr>
          <w:rFonts w:ascii="Century" w:hAnsi="Century"/>
          <w:rtl/>
        </w:rPr>
        <w:t>(2) 481</w:t>
      </w:r>
      <w:r w:rsidRPr="00F60AAC">
        <w:rPr>
          <w:rFonts w:ascii="Century" w:hAnsi="Century" w:hint="cs"/>
          <w:rtl/>
        </w:rPr>
        <w:t>, 76</w:t>
      </w:r>
      <w:r>
        <w:rPr>
          <w:rFonts w:ascii="Century" w:hAnsi="Century" w:hint="cs"/>
          <w:rtl/>
        </w:rPr>
        <w:t>9</w:t>
      </w:r>
      <w:r w:rsidRPr="00F60AAC">
        <w:rPr>
          <w:rFonts w:ascii="Century" w:hAnsi="Century" w:hint="cs"/>
          <w:rtl/>
        </w:rPr>
        <w:t>-765</w:t>
      </w:r>
      <w:r w:rsidRPr="00F60AAC">
        <w:rPr>
          <w:rFonts w:ascii="Century" w:hAnsi="Century"/>
          <w:rtl/>
        </w:rPr>
        <w:t xml:space="preserve"> (2005)</w:t>
      </w:r>
      <w:r w:rsidRPr="00F60AAC">
        <w:rPr>
          <w:rFonts w:ascii="Century" w:hAnsi="Century" w:hint="cs"/>
          <w:rtl/>
        </w:rPr>
        <w:t>).</w:t>
      </w:r>
    </w:p>
    <w:p w:rsidR="00AC74AF" w:rsidRPr="00F60AAC" w:rsidRDefault="00AC74AF" w:rsidP="00AC74AF">
      <w:pPr>
        <w:pStyle w:val="Ruller41"/>
        <w:rPr>
          <w:rFonts w:ascii="Century" w:hAnsi="Century"/>
          <w:rtl/>
        </w:rPr>
      </w:pPr>
    </w:p>
    <w:p w:rsidR="00AC74AF" w:rsidRPr="00F60AAC" w:rsidRDefault="00AC74AF" w:rsidP="00AC74AF">
      <w:pPr>
        <w:pStyle w:val="Ruller41"/>
        <w:rPr>
          <w:rFonts w:ascii="Century" w:hAnsi="Century"/>
          <w:rtl/>
        </w:rPr>
      </w:pPr>
      <w:r w:rsidRPr="00F60AAC">
        <w:rPr>
          <w:rFonts w:ascii="Century" w:hAnsi="Century" w:hint="cs"/>
          <w:rtl/>
        </w:rPr>
        <w:t>3.</w:t>
      </w:r>
      <w:r w:rsidRPr="00F60AAC">
        <w:rPr>
          <w:rFonts w:ascii="Century" w:hAnsi="Century"/>
          <w:rtl/>
        </w:rPr>
        <w:tab/>
      </w:r>
      <w:r w:rsidRPr="00F60AAC">
        <w:rPr>
          <w:rFonts w:ascii="Century" w:hAnsi="Century" w:hint="cs"/>
          <w:rtl/>
        </w:rPr>
        <w:t>הגדרתה של ישראל בהכרזת העצמאות כמדינה יהודית ודמוקרטית היא "</w:t>
      </w:r>
      <w:r w:rsidRPr="0000030C">
        <w:rPr>
          <w:rFonts w:ascii="Century" w:hAnsi="Century" w:cs="Miriam" w:hint="cs"/>
          <w:b/>
          <w:spacing w:val="0"/>
          <w:szCs w:val="24"/>
          <w:rtl/>
        </w:rPr>
        <w:t>אבן הראשה במשפטנו החוקתי</w:t>
      </w:r>
      <w:r w:rsidRPr="00F60AAC">
        <w:rPr>
          <w:rFonts w:ascii="Century" w:hAnsi="Century" w:hint="cs"/>
          <w:rtl/>
        </w:rPr>
        <w:t>", ומהווה "</w:t>
      </w:r>
      <w:r w:rsidRPr="0000030C">
        <w:rPr>
          <w:rFonts w:ascii="Century" w:hAnsi="Century" w:cs="Miriam" w:hint="cs"/>
          <w:b/>
          <w:spacing w:val="0"/>
          <w:szCs w:val="24"/>
          <w:rtl/>
        </w:rPr>
        <w:t>ביטוי מזוקק לנרטיב המכונן של ישראל</w:t>
      </w:r>
      <w:r w:rsidRPr="00F60AAC">
        <w:rPr>
          <w:rFonts w:ascii="Century" w:hAnsi="Century" w:hint="cs"/>
          <w:rtl/>
        </w:rPr>
        <w:t xml:space="preserve">" (דברי השופט </w:t>
      </w:r>
      <w:r w:rsidRPr="0000030C">
        <w:rPr>
          <w:rFonts w:ascii="Century" w:hAnsi="Century" w:cs="Miriam" w:hint="cs"/>
          <w:b/>
          <w:spacing w:val="0"/>
          <w:szCs w:val="24"/>
          <w:rtl/>
        </w:rPr>
        <w:t>א' א' לוי</w:t>
      </w:r>
      <w:r w:rsidRPr="0000030C">
        <w:rPr>
          <w:rFonts w:ascii="Century" w:hAnsi="Century" w:hint="cs"/>
          <w:rtl/>
        </w:rPr>
        <w:t xml:space="preserve"> </w:t>
      </w:r>
      <w:r w:rsidRPr="00F60AAC">
        <w:rPr>
          <w:rFonts w:ascii="Century" w:hAnsi="Century" w:hint="cs"/>
          <w:rtl/>
        </w:rPr>
        <w:t xml:space="preserve">(בדעת מיעוט, אך לא לעניין זה) ב-בג"ץ 466/07 </w:t>
      </w:r>
      <w:r w:rsidRPr="0000030C">
        <w:rPr>
          <w:rFonts w:ascii="Century" w:hAnsi="Century" w:cs="Miriam" w:hint="cs"/>
          <w:b/>
          <w:spacing w:val="0"/>
          <w:szCs w:val="24"/>
          <w:rtl/>
        </w:rPr>
        <w:t>גלאון נ' היועץ המשפטי לממשלה</w:t>
      </w:r>
      <w:r>
        <w:rPr>
          <w:rFonts w:ascii="Century" w:hAnsi="Century" w:hint="cs"/>
          <w:rtl/>
        </w:rPr>
        <w:t>, פסקה 13 (11.1.2012)</w:t>
      </w:r>
      <w:r w:rsidRPr="00F60AAC">
        <w:rPr>
          <w:rFonts w:ascii="Century" w:hAnsi="Century" w:hint="cs"/>
          <w:rtl/>
        </w:rPr>
        <w:t xml:space="preserve">). לא בכדי שני חוקי היסוד המהווים את מגילת הזכויות הישראלית (חוק-יסוד: כבוד האדם וחירותו וחוק-יסוד: חופש העיסוק) נפתחים בהפניה להכרזת העצמאות ולערכיה של מדינת ישראל כמדינה יהודית ודמוקרטית; וכך בלשונו של חוק-יסוד: כבוד האדם וחירותו </w:t>
      </w:r>
      <w:r w:rsidRPr="00F60AAC">
        <w:rPr>
          <w:rFonts w:ascii="Century" w:hAnsi="Century"/>
          <w:rtl/>
        </w:rPr>
        <w:t>–</w:t>
      </w:r>
      <w:r w:rsidRPr="00F60AAC">
        <w:rPr>
          <w:rFonts w:ascii="Century" w:hAnsi="Century" w:hint="cs"/>
          <w:rtl/>
        </w:rPr>
        <w:t xml:space="preserve"> </w:t>
      </w:r>
    </w:p>
    <w:p w:rsidR="00AC74AF" w:rsidRPr="00F60AAC" w:rsidRDefault="00AC74AF" w:rsidP="00AC74AF">
      <w:pPr>
        <w:pStyle w:val="Ruller41"/>
        <w:spacing w:line="240" w:lineRule="auto"/>
        <w:rPr>
          <w:rFonts w:ascii="Century" w:hAnsi="Century"/>
          <w:rtl/>
        </w:rPr>
      </w:pPr>
    </w:p>
    <w:p w:rsidR="00AC74AF" w:rsidRPr="008242E3" w:rsidRDefault="00AC74AF" w:rsidP="00AC74AF">
      <w:pPr>
        <w:pStyle w:val="Ruller5"/>
        <w:ind w:left="3600" w:hanging="1958"/>
        <w:rPr>
          <w:rFonts w:ascii="Century" w:hAnsi="Century" w:cs="Miriam"/>
          <w:b/>
          <w:spacing w:val="0"/>
          <w:szCs w:val="24"/>
          <w:rtl/>
        </w:rPr>
      </w:pPr>
      <w:r w:rsidRPr="008242E3">
        <w:rPr>
          <w:rFonts w:ascii="Century" w:hAnsi="Century" w:cs="Miriam" w:hint="cs"/>
          <w:b/>
          <w:spacing w:val="0"/>
          <w:szCs w:val="24"/>
          <w:rtl/>
        </w:rPr>
        <w:t>1. עקרונות יסוד</w:t>
      </w:r>
      <w:r w:rsidRPr="008242E3">
        <w:rPr>
          <w:rFonts w:ascii="Century" w:hAnsi="Century" w:cs="Miriam" w:hint="cs"/>
          <w:b/>
          <w:spacing w:val="0"/>
          <w:szCs w:val="24"/>
          <w:rtl/>
        </w:rPr>
        <w:tab/>
        <w:t>זכויות היסוד של האדם בישראל מושתתות על ההכרה בערך האדם, בקדושת חייו ובהיותו בן-חורין, והן יכובדו ברוח העקרונות שבהכרזה על הקמת מדינת ישראל.</w:t>
      </w:r>
    </w:p>
    <w:p w:rsidR="00AC74AF" w:rsidRPr="008242E3" w:rsidRDefault="00AC74AF" w:rsidP="00AC74AF">
      <w:pPr>
        <w:pStyle w:val="Ruller5"/>
        <w:rPr>
          <w:rFonts w:ascii="Century" w:hAnsi="Century" w:cs="Miriam"/>
          <w:b/>
          <w:spacing w:val="0"/>
          <w:szCs w:val="24"/>
          <w:rtl/>
        </w:rPr>
      </w:pPr>
      <w:r w:rsidRPr="008242E3">
        <w:rPr>
          <w:rFonts w:ascii="Century" w:hAnsi="Century" w:cs="Miriam"/>
          <w:b/>
          <w:spacing w:val="0"/>
          <w:szCs w:val="24"/>
          <w:rtl/>
        </w:rPr>
        <w:tab/>
      </w:r>
      <w:r w:rsidRPr="008242E3">
        <w:rPr>
          <w:rFonts w:ascii="Century" w:hAnsi="Century" w:cs="Miriam"/>
          <w:b/>
          <w:spacing w:val="0"/>
          <w:szCs w:val="24"/>
          <w:rtl/>
        </w:rPr>
        <w:tab/>
      </w:r>
    </w:p>
    <w:p w:rsidR="00AC74AF" w:rsidRPr="008242E3" w:rsidRDefault="00AC74AF" w:rsidP="00AC74AF">
      <w:pPr>
        <w:pStyle w:val="Ruller5"/>
        <w:ind w:left="3600" w:hanging="1313"/>
        <w:rPr>
          <w:rFonts w:ascii="Century" w:hAnsi="Century" w:cs="Miriam"/>
          <w:b/>
          <w:spacing w:val="0"/>
          <w:szCs w:val="24"/>
          <w:rtl/>
        </w:rPr>
      </w:pPr>
      <w:r w:rsidRPr="008242E3">
        <w:rPr>
          <w:rFonts w:ascii="Century" w:hAnsi="Century" w:cs="Miriam" w:hint="cs"/>
          <w:b/>
          <w:spacing w:val="0"/>
          <w:szCs w:val="24"/>
          <w:rtl/>
        </w:rPr>
        <w:t>1א. מטרה</w:t>
      </w:r>
      <w:r w:rsidRPr="008242E3">
        <w:rPr>
          <w:rFonts w:ascii="Century" w:hAnsi="Century" w:cs="Miriam" w:hint="cs"/>
          <w:b/>
          <w:spacing w:val="0"/>
          <w:szCs w:val="24"/>
          <w:rtl/>
        </w:rPr>
        <w:tab/>
        <w:t>חוק-יסוד זה, מטרתו להגן על כבוד האדם וחירותו, כדי לעגן בחוק-יסוד את ערכיה של מדינת ישראל כמדינה יהודית ודמוקרטית.</w:t>
      </w:r>
    </w:p>
    <w:p w:rsidR="00AC74AF" w:rsidRPr="00F60AAC" w:rsidRDefault="00AC74AF" w:rsidP="00AC74AF">
      <w:pPr>
        <w:pStyle w:val="Ruller41"/>
        <w:spacing w:line="240" w:lineRule="auto"/>
        <w:rPr>
          <w:rFonts w:ascii="Century" w:hAnsi="Century"/>
          <w:rtl/>
        </w:rPr>
      </w:pPr>
      <w:r w:rsidRPr="00F60AAC">
        <w:rPr>
          <w:rFonts w:ascii="Century" w:hAnsi="Century" w:hint="cs"/>
          <w:rtl/>
        </w:rPr>
        <w:tab/>
      </w:r>
    </w:p>
    <w:p w:rsidR="00AC74AF" w:rsidRPr="00F60AAC" w:rsidRDefault="00AC74AF" w:rsidP="00AC74AF">
      <w:pPr>
        <w:pStyle w:val="Ruller41"/>
        <w:rPr>
          <w:rFonts w:ascii="Century" w:hAnsi="Century"/>
          <w:rtl/>
        </w:rPr>
      </w:pPr>
      <w:r>
        <w:rPr>
          <w:rFonts w:ascii="Century" w:hAnsi="Century"/>
          <w:rtl/>
        </w:rPr>
        <w:tab/>
      </w:r>
      <w:r w:rsidRPr="00F60AAC">
        <w:rPr>
          <w:rFonts w:ascii="Century" w:hAnsi="Century" w:hint="cs"/>
          <w:rtl/>
        </w:rPr>
        <w:t xml:space="preserve">זאת ועוד. בהתאם לחוק-יסוד: הכנסת (סעיף 7א), </w:t>
      </w:r>
      <w:r w:rsidRPr="00F60AAC">
        <w:rPr>
          <w:rFonts w:ascii="Century" w:hAnsi="Century"/>
          <w:rtl/>
        </w:rPr>
        <w:t>שלילת קיומה של מדינת ישראל כמדינה יהודית ודמוקרטית</w:t>
      </w:r>
      <w:r w:rsidRPr="00F60AAC">
        <w:rPr>
          <w:rFonts w:ascii="Century" w:hAnsi="Century" w:hint="cs"/>
          <w:rtl/>
        </w:rPr>
        <w:t xml:space="preserve"> מהווה עילה לפסילת מועמד או רשימה ממועמדות לכנסת; ובכך גם חוק יסוד זה "</w:t>
      </w:r>
      <w:r w:rsidRPr="00C0527D">
        <w:rPr>
          <w:rFonts w:ascii="Century" w:hAnsi="Century" w:cs="Miriam" w:hint="eastAsia"/>
          <w:b/>
          <w:spacing w:val="0"/>
          <w:szCs w:val="24"/>
          <w:rtl/>
        </w:rPr>
        <w:t>מבטא</w:t>
      </w:r>
      <w:r w:rsidRPr="00C0527D">
        <w:rPr>
          <w:rFonts w:ascii="Century" w:hAnsi="Century" w:cs="Miriam"/>
          <w:b/>
          <w:spacing w:val="0"/>
          <w:szCs w:val="24"/>
          <w:rtl/>
        </w:rPr>
        <w:t xml:space="preserve"> </w:t>
      </w:r>
      <w:r w:rsidRPr="00C0527D">
        <w:rPr>
          <w:rFonts w:ascii="Century" w:hAnsi="Century" w:cs="Miriam" w:hint="eastAsia"/>
          <w:b/>
          <w:spacing w:val="0"/>
          <w:szCs w:val="24"/>
          <w:rtl/>
        </w:rPr>
        <w:t>בבירור</w:t>
      </w:r>
      <w:r w:rsidRPr="00C0527D">
        <w:rPr>
          <w:rFonts w:ascii="Century" w:hAnsi="Century" w:cs="Miriam"/>
          <w:b/>
          <w:spacing w:val="0"/>
          <w:szCs w:val="24"/>
          <w:rtl/>
        </w:rPr>
        <w:t xml:space="preserve"> </w:t>
      </w:r>
      <w:r w:rsidRPr="00C0527D">
        <w:rPr>
          <w:rFonts w:ascii="Century" w:hAnsi="Century" w:cs="Miriam" w:hint="eastAsia"/>
          <w:b/>
          <w:spacing w:val="0"/>
          <w:szCs w:val="24"/>
          <w:rtl/>
        </w:rPr>
        <w:t>את</w:t>
      </w:r>
      <w:r w:rsidRPr="00C0527D">
        <w:rPr>
          <w:rFonts w:ascii="Century" w:hAnsi="Century" w:cs="Miriam"/>
          <w:b/>
          <w:spacing w:val="0"/>
          <w:szCs w:val="24"/>
          <w:rtl/>
        </w:rPr>
        <w:t xml:space="preserve"> </w:t>
      </w:r>
      <w:r w:rsidRPr="00C0527D">
        <w:rPr>
          <w:rFonts w:ascii="Century" w:hAnsi="Century" w:cs="Miriam" w:hint="eastAsia"/>
          <w:b/>
          <w:spacing w:val="0"/>
          <w:szCs w:val="24"/>
          <w:rtl/>
        </w:rPr>
        <w:t>התפישה</w:t>
      </w:r>
      <w:r w:rsidRPr="00C0527D">
        <w:rPr>
          <w:rFonts w:ascii="Century" w:hAnsi="Century" w:cs="Miriam"/>
          <w:b/>
          <w:spacing w:val="0"/>
          <w:szCs w:val="24"/>
          <w:rtl/>
        </w:rPr>
        <w:t xml:space="preserve"> </w:t>
      </w:r>
      <w:r w:rsidRPr="00C0527D">
        <w:rPr>
          <w:rFonts w:ascii="Century" w:hAnsi="Century" w:cs="Miriam" w:hint="eastAsia"/>
          <w:b/>
          <w:spacing w:val="0"/>
          <w:szCs w:val="24"/>
          <w:rtl/>
        </w:rPr>
        <w:t>לפיה</w:t>
      </w:r>
      <w:r w:rsidRPr="00C0527D">
        <w:rPr>
          <w:rFonts w:ascii="Century" w:hAnsi="Century" w:cs="Miriam"/>
          <w:b/>
          <w:spacing w:val="0"/>
          <w:szCs w:val="24"/>
          <w:rtl/>
        </w:rPr>
        <w:t xml:space="preserve"> </w:t>
      </w:r>
      <w:r w:rsidRPr="00C0527D">
        <w:rPr>
          <w:rFonts w:ascii="Century" w:hAnsi="Century" w:cs="Miriam" w:hint="eastAsia"/>
          <w:b/>
          <w:spacing w:val="0"/>
          <w:szCs w:val="24"/>
          <w:rtl/>
        </w:rPr>
        <w:t>הבסיס</w:t>
      </w:r>
      <w:r w:rsidRPr="00C0527D">
        <w:rPr>
          <w:rFonts w:ascii="Century" w:hAnsi="Century" w:cs="Miriam"/>
          <w:b/>
          <w:spacing w:val="0"/>
          <w:szCs w:val="24"/>
          <w:rtl/>
        </w:rPr>
        <w:t xml:space="preserve"> </w:t>
      </w:r>
      <w:r w:rsidRPr="00C0527D">
        <w:rPr>
          <w:rFonts w:ascii="Century" w:hAnsi="Century" w:cs="Miriam" w:hint="eastAsia"/>
          <w:b/>
          <w:spacing w:val="0"/>
          <w:szCs w:val="24"/>
          <w:rtl/>
        </w:rPr>
        <w:t>להגדרה</w:t>
      </w:r>
      <w:r w:rsidRPr="00C0527D">
        <w:rPr>
          <w:rFonts w:ascii="Century" w:hAnsi="Century" w:cs="Miriam"/>
          <w:b/>
          <w:spacing w:val="0"/>
          <w:szCs w:val="24"/>
          <w:rtl/>
        </w:rPr>
        <w:t xml:space="preserve"> </w:t>
      </w:r>
      <w:r w:rsidRPr="00C0527D">
        <w:rPr>
          <w:rFonts w:ascii="Century" w:hAnsi="Century" w:cs="Miriam" w:hint="eastAsia"/>
          <w:b/>
          <w:spacing w:val="0"/>
          <w:szCs w:val="24"/>
          <w:rtl/>
        </w:rPr>
        <w:t>העצמית</w:t>
      </w:r>
      <w:r w:rsidRPr="00C0527D">
        <w:rPr>
          <w:rFonts w:ascii="Century" w:hAnsi="Century" w:cs="Miriam"/>
          <w:b/>
          <w:spacing w:val="0"/>
          <w:szCs w:val="24"/>
          <w:rtl/>
        </w:rPr>
        <w:t xml:space="preserve"> </w:t>
      </w:r>
      <w:r w:rsidRPr="00C0527D">
        <w:rPr>
          <w:rFonts w:ascii="Century" w:hAnsi="Century" w:cs="Miriam" w:hint="eastAsia"/>
          <w:b/>
          <w:spacing w:val="0"/>
          <w:szCs w:val="24"/>
          <w:rtl/>
        </w:rPr>
        <w:t>של</w:t>
      </w:r>
      <w:r w:rsidRPr="00C0527D">
        <w:rPr>
          <w:rFonts w:ascii="Century" w:hAnsi="Century" w:cs="Miriam"/>
          <w:b/>
          <w:spacing w:val="0"/>
          <w:szCs w:val="24"/>
          <w:rtl/>
        </w:rPr>
        <w:t xml:space="preserve"> </w:t>
      </w:r>
      <w:r w:rsidRPr="00C0527D">
        <w:rPr>
          <w:rFonts w:ascii="Century" w:hAnsi="Century" w:cs="Miriam" w:hint="eastAsia"/>
          <w:b/>
          <w:spacing w:val="0"/>
          <w:szCs w:val="24"/>
          <w:rtl/>
        </w:rPr>
        <w:t>מדינת</w:t>
      </w:r>
      <w:r w:rsidRPr="00C0527D">
        <w:rPr>
          <w:rFonts w:ascii="Century" w:hAnsi="Century" w:cs="Miriam"/>
          <w:b/>
          <w:spacing w:val="0"/>
          <w:szCs w:val="24"/>
          <w:rtl/>
        </w:rPr>
        <w:t xml:space="preserve"> </w:t>
      </w:r>
      <w:r w:rsidRPr="00C0527D">
        <w:rPr>
          <w:rFonts w:ascii="Century" w:hAnsi="Century" w:cs="Miriam" w:hint="eastAsia"/>
          <w:b/>
          <w:spacing w:val="0"/>
          <w:szCs w:val="24"/>
          <w:rtl/>
        </w:rPr>
        <w:t>ישראל</w:t>
      </w:r>
      <w:r w:rsidRPr="00C0527D">
        <w:rPr>
          <w:rFonts w:ascii="Century" w:hAnsi="Century" w:cs="Miriam"/>
          <w:b/>
          <w:spacing w:val="0"/>
          <w:szCs w:val="24"/>
          <w:rtl/>
        </w:rPr>
        <w:t xml:space="preserve"> </w:t>
      </w:r>
      <w:r w:rsidRPr="00C0527D">
        <w:rPr>
          <w:rFonts w:ascii="Century" w:hAnsi="Century" w:cs="Miriam" w:hint="eastAsia"/>
          <w:b/>
          <w:spacing w:val="0"/>
          <w:szCs w:val="24"/>
          <w:rtl/>
        </w:rPr>
        <w:t>הוא</w:t>
      </w:r>
      <w:r w:rsidRPr="00C0527D">
        <w:rPr>
          <w:rFonts w:ascii="Century" w:hAnsi="Century" w:cs="Miriam"/>
          <w:b/>
          <w:spacing w:val="0"/>
          <w:szCs w:val="24"/>
          <w:rtl/>
        </w:rPr>
        <w:t xml:space="preserve"> </w:t>
      </w:r>
      <w:r w:rsidRPr="00C0527D">
        <w:rPr>
          <w:rFonts w:ascii="Century" w:hAnsi="Century" w:cs="Miriam" w:hint="eastAsia"/>
          <w:b/>
          <w:spacing w:val="0"/>
          <w:szCs w:val="24"/>
          <w:rtl/>
        </w:rPr>
        <w:t>היותה</w:t>
      </w:r>
      <w:r w:rsidRPr="00C0527D">
        <w:rPr>
          <w:rFonts w:ascii="Century" w:hAnsi="Century" w:cs="Miriam"/>
          <w:b/>
          <w:spacing w:val="0"/>
          <w:szCs w:val="24"/>
          <w:rtl/>
        </w:rPr>
        <w:t xml:space="preserve"> </w:t>
      </w:r>
      <w:r w:rsidRPr="00C0527D">
        <w:rPr>
          <w:rFonts w:ascii="Century" w:hAnsi="Century" w:cs="Miriam" w:hint="eastAsia"/>
          <w:b/>
          <w:spacing w:val="0"/>
          <w:szCs w:val="24"/>
          <w:rtl/>
        </w:rPr>
        <w:t>מדינה</w:t>
      </w:r>
      <w:r w:rsidRPr="00C0527D">
        <w:rPr>
          <w:rFonts w:ascii="Century" w:hAnsi="Century" w:cs="Miriam"/>
          <w:b/>
          <w:spacing w:val="0"/>
          <w:szCs w:val="24"/>
          <w:rtl/>
        </w:rPr>
        <w:t xml:space="preserve"> </w:t>
      </w:r>
      <w:r w:rsidRPr="00C0527D">
        <w:rPr>
          <w:rFonts w:ascii="Century" w:hAnsi="Century" w:cs="Miriam" w:hint="eastAsia"/>
          <w:b/>
          <w:spacing w:val="0"/>
          <w:szCs w:val="24"/>
          <w:rtl/>
        </w:rPr>
        <w:t>יהודית</w:t>
      </w:r>
      <w:r w:rsidRPr="00C0527D">
        <w:rPr>
          <w:rFonts w:ascii="Century" w:hAnsi="Century" w:cs="Miriam"/>
          <w:b/>
          <w:spacing w:val="0"/>
          <w:szCs w:val="24"/>
          <w:rtl/>
        </w:rPr>
        <w:t xml:space="preserve"> </w:t>
      </w:r>
      <w:r w:rsidRPr="00C0527D">
        <w:rPr>
          <w:rFonts w:ascii="Century" w:hAnsi="Century" w:cs="Miriam" w:hint="eastAsia"/>
          <w:b/>
          <w:spacing w:val="0"/>
          <w:szCs w:val="24"/>
          <w:rtl/>
        </w:rPr>
        <w:t>ודמוקרטית</w:t>
      </w:r>
      <w:r w:rsidRPr="00F60AAC">
        <w:rPr>
          <w:rFonts w:ascii="Century" w:hAnsi="Century" w:hint="cs"/>
          <w:rtl/>
        </w:rPr>
        <w:t>" (</w:t>
      </w:r>
      <w:r w:rsidRPr="00F60AAC">
        <w:rPr>
          <w:rFonts w:ascii="Century" w:hAnsi="Century" w:hint="eastAsia"/>
          <w:rtl/>
        </w:rPr>
        <w:t>בג</w:t>
      </w:r>
      <w:r w:rsidRPr="00F60AAC">
        <w:rPr>
          <w:rFonts w:ascii="Century" w:hAnsi="Century"/>
          <w:rtl/>
        </w:rPr>
        <w:t>"</w:t>
      </w:r>
      <w:r w:rsidRPr="00F60AAC">
        <w:rPr>
          <w:rFonts w:ascii="Century" w:hAnsi="Century" w:hint="eastAsia"/>
          <w:rtl/>
        </w:rPr>
        <w:t>ץ</w:t>
      </w:r>
      <w:r w:rsidRPr="00F60AAC">
        <w:rPr>
          <w:rFonts w:ascii="Century" w:hAnsi="Century"/>
          <w:rtl/>
        </w:rPr>
        <w:t xml:space="preserve"> 5555/18 </w:t>
      </w:r>
      <w:r w:rsidRPr="00C0527D">
        <w:rPr>
          <w:rFonts w:ascii="Century" w:hAnsi="Century" w:cs="Miriam" w:hint="eastAsia"/>
          <w:b/>
          <w:spacing w:val="0"/>
          <w:szCs w:val="24"/>
          <w:rtl/>
        </w:rPr>
        <w:t>חסון</w:t>
      </w:r>
      <w:r w:rsidRPr="00C0527D">
        <w:rPr>
          <w:rFonts w:ascii="Century" w:hAnsi="Century" w:cs="Miriam"/>
          <w:b/>
          <w:spacing w:val="0"/>
          <w:szCs w:val="24"/>
          <w:rtl/>
        </w:rPr>
        <w:t xml:space="preserve"> </w:t>
      </w:r>
      <w:r w:rsidRPr="00C0527D">
        <w:rPr>
          <w:rFonts w:ascii="Century" w:hAnsi="Century" w:cs="Miriam" w:hint="eastAsia"/>
          <w:b/>
          <w:spacing w:val="0"/>
          <w:szCs w:val="24"/>
          <w:rtl/>
        </w:rPr>
        <w:t>נ</w:t>
      </w:r>
      <w:r w:rsidRPr="00C0527D">
        <w:rPr>
          <w:rFonts w:ascii="Century" w:hAnsi="Century" w:cs="Miriam"/>
          <w:b/>
          <w:spacing w:val="0"/>
          <w:szCs w:val="24"/>
          <w:rtl/>
        </w:rPr>
        <w:t xml:space="preserve">' </w:t>
      </w:r>
      <w:r w:rsidRPr="00C0527D">
        <w:rPr>
          <w:rFonts w:ascii="Century" w:hAnsi="Century" w:cs="Miriam" w:hint="eastAsia"/>
          <w:b/>
          <w:spacing w:val="0"/>
          <w:szCs w:val="24"/>
          <w:rtl/>
        </w:rPr>
        <w:t>כנסת</w:t>
      </w:r>
      <w:r w:rsidRPr="00C0527D">
        <w:rPr>
          <w:rFonts w:ascii="Century" w:hAnsi="Century" w:cs="Miriam"/>
          <w:b/>
          <w:spacing w:val="0"/>
          <w:szCs w:val="24"/>
          <w:rtl/>
        </w:rPr>
        <w:t xml:space="preserve"> </w:t>
      </w:r>
      <w:r w:rsidRPr="00C0527D">
        <w:rPr>
          <w:rFonts w:ascii="Century" w:hAnsi="Century" w:cs="Miriam" w:hint="eastAsia"/>
          <w:b/>
          <w:spacing w:val="0"/>
          <w:szCs w:val="24"/>
          <w:rtl/>
        </w:rPr>
        <w:lastRenderedPageBreak/>
        <w:t>ישראל</w:t>
      </w:r>
      <w:r w:rsidRPr="00F60AAC">
        <w:rPr>
          <w:rFonts w:ascii="Century" w:hAnsi="Century" w:hint="cs"/>
          <w:rtl/>
        </w:rPr>
        <w:t xml:space="preserve">, פסקה 19 לחוות דעתה של הנשיאה </w:t>
      </w:r>
      <w:r w:rsidRPr="00793806">
        <w:rPr>
          <w:rFonts w:ascii="Century" w:hAnsi="Century" w:cs="Miriam" w:hint="cs"/>
          <w:b/>
          <w:spacing w:val="0"/>
          <w:szCs w:val="24"/>
          <w:rtl/>
        </w:rPr>
        <w:t>א' חיות</w:t>
      </w:r>
      <w:r w:rsidRPr="00793806">
        <w:rPr>
          <w:rFonts w:ascii="Century" w:hAnsi="Century"/>
          <w:rtl/>
        </w:rPr>
        <w:t xml:space="preserve"> </w:t>
      </w:r>
      <w:r w:rsidRPr="00F60AAC">
        <w:rPr>
          <w:rFonts w:ascii="Century" w:hAnsi="Century"/>
          <w:rtl/>
        </w:rPr>
        <w:t>(</w:t>
      </w:r>
      <w:r w:rsidRPr="00F60AAC">
        <w:rPr>
          <w:rFonts w:ascii="Century" w:hAnsi="Century" w:hint="cs"/>
          <w:rtl/>
        </w:rPr>
        <w:t>8</w:t>
      </w:r>
      <w:r w:rsidRPr="00F60AAC">
        <w:rPr>
          <w:rFonts w:ascii="Century" w:hAnsi="Century"/>
          <w:rtl/>
        </w:rPr>
        <w:t>.</w:t>
      </w:r>
      <w:r w:rsidRPr="00F60AAC">
        <w:rPr>
          <w:rFonts w:ascii="Century" w:hAnsi="Century" w:hint="cs"/>
          <w:rtl/>
        </w:rPr>
        <w:t>7</w:t>
      </w:r>
      <w:r w:rsidRPr="00F60AAC">
        <w:rPr>
          <w:rFonts w:ascii="Century" w:hAnsi="Century"/>
          <w:rtl/>
        </w:rPr>
        <w:t>.2021)</w:t>
      </w:r>
      <w:r w:rsidRPr="00F60AAC">
        <w:rPr>
          <w:rFonts w:ascii="Century" w:hAnsi="Century" w:hint="cs"/>
          <w:rtl/>
        </w:rPr>
        <w:t xml:space="preserve">, להלן: </w:t>
      </w:r>
      <w:r w:rsidRPr="00C0527D">
        <w:rPr>
          <w:rFonts w:ascii="Century" w:hAnsi="Century" w:cs="Miriam" w:hint="cs"/>
          <w:b/>
          <w:spacing w:val="0"/>
          <w:szCs w:val="24"/>
          <w:rtl/>
        </w:rPr>
        <w:t>עניין חסון</w:t>
      </w:r>
      <w:r w:rsidRPr="00F60AAC">
        <w:rPr>
          <w:rFonts w:ascii="Century" w:hAnsi="Century" w:hint="cs"/>
          <w:rtl/>
        </w:rPr>
        <w:t>). אין זאת אלא ש</w:t>
      </w:r>
      <w:r w:rsidRPr="00F60AAC">
        <w:rPr>
          <w:rFonts w:ascii="Century" w:hAnsi="Century"/>
          <w:rtl/>
        </w:rPr>
        <w:t>היותה של המדינה יהודית ודמוקרטית היא</w:t>
      </w:r>
      <w:r w:rsidRPr="00F60AAC">
        <w:rPr>
          <w:rFonts w:ascii="Century" w:hAnsi="Century" w:hint="cs"/>
          <w:rtl/>
        </w:rPr>
        <w:t xml:space="preserve"> </w:t>
      </w:r>
      <w:r w:rsidRPr="00F60AAC">
        <w:rPr>
          <w:rFonts w:ascii="Century" w:hAnsi="Century"/>
          <w:rtl/>
        </w:rPr>
        <w:t>"</w:t>
      </w:r>
      <w:r w:rsidRPr="00C0527D">
        <w:rPr>
          <w:rFonts w:ascii="Century" w:hAnsi="Century" w:cs="Miriam"/>
          <w:b/>
          <w:spacing w:val="0"/>
          <w:szCs w:val="24"/>
          <w:rtl/>
        </w:rPr>
        <w:t>הבריח התיכון המחבר את משכננו המשותף</w:t>
      </w:r>
      <w:r w:rsidRPr="00F60AAC">
        <w:rPr>
          <w:rFonts w:ascii="Century" w:hAnsi="Century"/>
          <w:rtl/>
        </w:rPr>
        <w:t>", "</w:t>
      </w:r>
      <w:r w:rsidRPr="00C0527D">
        <w:rPr>
          <w:rFonts w:ascii="Century" w:hAnsi="Century" w:cs="Miriam"/>
          <w:b/>
          <w:spacing w:val="0"/>
          <w:szCs w:val="24"/>
          <w:rtl/>
        </w:rPr>
        <w:t>כאמור במקרא – 'וְהַבְּרִיחַ הַתִּיכֹן בְּתוֹךְ הַקְּרָשִׁים מַבְרִחַ מִן הַקָּצֶה אֶל הַקָּצֶה'</w:t>
      </w:r>
      <w:r w:rsidRPr="00C0527D">
        <w:rPr>
          <w:rFonts w:ascii="Century" w:hAnsi="Century"/>
          <w:rtl/>
        </w:rPr>
        <w:t xml:space="preserve"> </w:t>
      </w:r>
      <w:r w:rsidRPr="00C0527D">
        <w:rPr>
          <w:rFonts w:ascii="Century" w:hAnsi="Century" w:cs="Miriam"/>
          <w:b/>
          <w:spacing w:val="0"/>
          <w:szCs w:val="24"/>
          <w:rtl/>
        </w:rPr>
        <w:t>(שמות כו, 28)</w:t>
      </w:r>
      <w:r w:rsidRPr="00F60AAC">
        <w:rPr>
          <w:rFonts w:ascii="Century" w:hAnsi="Century"/>
          <w:rtl/>
        </w:rPr>
        <w:t>" (</w:t>
      </w:r>
      <w:r w:rsidRPr="00F60AAC">
        <w:rPr>
          <w:rFonts w:ascii="Century" w:hAnsi="Century" w:hint="cs"/>
          <w:rtl/>
        </w:rPr>
        <w:t>שם</w:t>
      </w:r>
      <w:r w:rsidRPr="00F60AAC">
        <w:rPr>
          <w:rFonts w:ascii="Century" w:hAnsi="Century"/>
          <w:rtl/>
        </w:rPr>
        <w:t>, פסקה 31)</w:t>
      </w:r>
      <w:r w:rsidRPr="00F60AAC">
        <w:rPr>
          <w:rFonts w:ascii="Century" w:hAnsi="Century" w:hint="cs"/>
          <w:rtl/>
        </w:rPr>
        <w:t xml:space="preserve">.  </w:t>
      </w:r>
    </w:p>
    <w:p w:rsidR="00AC74AF" w:rsidRPr="00F60AAC" w:rsidRDefault="00AC74AF" w:rsidP="00AC74AF">
      <w:pPr>
        <w:pStyle w:val="Ruller41"/>
        <w:spacing w:line="240" w:lineRule="auto"/>
        <w:rPr>
          <w:rFonts w:ascii="Century" w:hAnsi="Century"/>
          <w:rtl/>
        </w:rPr>
      </w:pPr>
    </w:p>
    <w:p w:rsidR="00AC74AF" w:rsidRPr="000521F1" w:rsidRDefault="00AC74AF" w:rsidP="00AC74AF">
      <w:pPr>
        <w:pStyle w:val="Ruller41"/>
        <w:rPr>
          <w:rFonts w:ascii="Century" w:hAnsi="Century" w:cs="Miriam"/>
          <w:b/>
          <w:spacing w:val="0"/>
          <w:szCs w:val="24"/>
          <w:rtl/>
        </w:rPr>
      </w:pPr>
      <w:r w:rsidRPr="000521F1">
        <w:rPr>
          <w:rFonts w:ascii="Century" w:hAnsi="Century" w:cs="Miriam" w:hint="cs"/>
          <w:b/>
          <w:spacing w:val="0"/>
          <w:szCs w:val="24"/>
          <w:rtl/>
        </w:rPr>
        <w:t>חריגה מסמכות מכוננת</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sidRPr="00F60AAC">
        <w:rPr>
          <w:rFonts w:ascii="Century" w:hAnsi="Century" w:hint="cs"/>
          <w:rtl/>
        </w:rPr>
        <w:t>4.</w:t>
      </w:r>
      <w:r w:rsidRPr="00F60AAC">
        <w:rPr>
          <w:rFonts w:ascii="Century" w:hAnsi="Century"/>
          <w:rtl/>
        </w:rPr>
        <w:tab/>
      </w:r>
      <w:r w:rsidRPr="00F60AAC">
        <w:rPr>
          <w:rFonts w:ascii="Century" w:hAnsi="Century" w:hint="cs"/>
          <w:rtl/>
        </w:rPr>
        <w:t xml:space="preserve">נקודת המוצא לדיון בעתירות שלפנינו היא שהסמכות המכוננת הנתונה בידי הכנסת אינה בלתי מוגבלת, וכי </w:t>
      </w:r>
      <w:r>
        <w:rPr>
          <w:rFonts w:ascii="Century" w:hAnsi="Century" w:hint="cs"/>
          <w:rtl/>
        </w:rPr>
        <w:t>הכנסת אינה</w:t>
      </w:r>
      <w:r w:rsidRPr="00F60AAC">
        <w:rPr>
          <w:rFonts w:ascii="Century" w:hAnsi="Century" w:hint="cs"/>
          <w:rtl/>
        </w:rPr>
        <w:t xml:space="preserve"> מוסמכת לשלול במסגרת חקיקת יסוד (או תיקונה) את מאפייניה הגרעיניים של מדינת ישראל כמדינה יהודית ודמוקרטית. הלכה זו נקבעה בפסק</w:t>
      </w:r>
      <w:r>
        <w:rPr>
          <w:rFonts w:ascii="Century" w:hAnsi="Century" w:hint="cs"/>
          <w:rtl/>
        </w:rPr>
        <w:t xml:space="preserve"> </w:t>
      </w:r>
      <w:r w:rsidRPr="00F60AAC">
        <w:rPr>
          <w:rFonts w:ascii="Century" w:hAnsi="Century" w:hint="cs"/>
          <w:rtl/>
        </w:rPr>
        <w:t xml:space="preserve">הדין שניתן בבית משפט זה בהרכב מורחב בעתירות שעניינן בשאלת החוקתיות של חוק-יסוד: ישראל </w:t>
      </w:r>
      <w:r w:rsidRPr="00F60AAC">
        <w:rPr>
          <w:rFonts w:ascii="Century" w:hAnsi="Century"/>
          <w:rtl/>
        </w:rPr>
        <w:t>–</w:t>
      </w:r>
      <w:r w:rsidRPr="00F60AAC">
        <w:rPr>
          <w:rFonts w:ascii="Century" w:hAnsi="Century" w:hint="cs"/>
          <w:rtl/>
        </w:rPr>
        <w:t xml:space="preserve"> מדינת הלאום של העם היהודי (עניין </w:t>
      </w:r>
      <w:r w:rsidRPr="001068E1">
        <w:rPr>
          <w:rFonts w:ascii="Century" w:hAnsi="Century" w:cs="Miriam" w:hint="cs"/>
          <w:b/>
          <w:spacing w:val="0"/>
          <w:szCs w:val="24"/>
          <w:rtl/>
        </w:rPr>
        <w:t>חסון</w:t>
      </w:r>
      <w:r w:rsidRPr="00F60AAC">
        <w:rPr>
          <w:rFonts w:ascii="Century" w:hAnsi="Century" w:hint="cs"/>
          <w:rtl/>
        </w:rPr>
        <w:t xml:space="preserve">). בהמשך לכך, בעניין </w:t>
      </w:r>
      <w:r w:rsidRPr="001068E1">
        <w:rPr>
          <w:rFonts w:ascii="Century" w:hAnsi="Century" w:cs="Miriam" w:hint="cs"/>
          <w:b/>
          <w:spacing w:val="0"/>
          <w:szCs w:val="24"/>
          <w:rtl/>
        </w:rPr>
        <w:t>חסון</w:t>
      </w:r>
      <w:r w:rsidRPr="001068E1">
        <w:rPr>
          <w:rFonts w:ascii="Century" w:hAnsi="Century" w:hint="cs"/>
          <w:rtl/>
        </w:rPr>
        <w:t xml:space="preserve"> </w:t>
      </w:r>
      <w:r w:rsidRPr="00F60AAC">
        <w:rPr>
          <w:rFonts w:ascii="Century" w:hAnsi="Century" w:hint="cs"/>
          <w:rtl/>
        </w:rPr>
        <w:t xml:space="preserve">עמדה לדיון גם שאלת סמכותו של בית המשפט העליון </w:t>
      </w:r>
      <w:r>
        <w:rPr>
          <w:rFonts w:ascii="Century" w:hAnsi="Century" w:hint="cs"/>
          <w:rtl/>
        </w:rPr>
        <w:t xml:space="preserve">בשבתו כבית משפט </w:t>
      </w:r>
      <w:r w:rsidRPr="00F60AAC">
        <w:rPr>
          <w:rFonts w:ascii="Century" w:hAnsi="Century" w:hint="cs"/>
          <w:rtl/>
        </w:rPr>
        <w:t xml:space="preserve">גבוה לצדק לקיים ביקורת שיפוטית ביחס לתוכנה של חקיקת יסוד </w:t>
      </w:r>
      <w:r w:rsidRPr="00F60AAC">
        <w:rPr>
          <w:rFonts w:ascii="Century" w:hAnsi="Century"/>
          <w:rtl/>
        </w:rPr>
        <w:t>–</w:t>
      </w:r>
      <w:r w:rsidRPr="00F60AAC">
        <w:rPr>
          <w:rFonts w:ascii="Century" w:hAnsi="Century" w:hint="cs"/>
          <w:rtl/>
        </w:rPr>
        <w:t xml:space="preserve"> באותם מקרים שבהם הכנסת חורגת מסמכותה המכוננת. הגם ששאלה זו נדונה שם לגופה בהרחבה, משלא נדרשה לצורך הכרעה היא נותרה פתוחה. היום שאלה זאת מונחת לפתחנו, והגיעה שעת הכרעה.</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sidRPr="00F60AAC">
        <w:rPr>
          <w:rFonts w:ascii="Century" w:hAnsi="Century"/>
          <w:rtl/>
        </w:rPr>
        <w:tab/>
      </w:r>
      <w:r w:rsidRPr="001068E1">
        <w:rPr>
          <w:rFonts w:ascii="Century" w:hAnsi="Century" w:cs="Miriam" w:hint="cs"/>
          <w:b/>
          <w:spacing w:val="0"/>
          <w:szCs w:val="24"/>
          <w:rtl/>
        </w:rPr>
        <w:t>הנשיאה</w:t>
      </w:r>
      <w:r w:rsidRPr="001068E1">
        <w:rPr>
          <w:rFonts w:ascii="Century" w:hAnsi="Century" w:hint="cs"/>
          <w:rtl/>
        </w:rPr>
        <w:t xml:space="preserve"> </w:t>
      </w:r>
      <w:r>
        <w:rPr>
          <w:rFonts w:ascii="Century" w:hAnsi="Century" w:hint="cs"/>
          <w:rtl/>
        </w:rPr>
        <w:t xml:space="preserve">פרשה בחוות דעתה יריעה רחבה ומלומדת, והוליכה אותנו צעד אחר צעד למסקנה המתחייבת לעניין הסמכות לקיים ביקורת שיפוטית על חקיקת יסוד. </w:t>
      </w:r>
      <w:r w:rsidRPr="00F60AAC">
        <w:rPr>
          <w:rFonts w:ascii="Century" w:hAnsi="Century" w:hint="cs"/>
          <w:rtl/>
        </w:rPr>
        <w:t xml:space="preserve">אומר מיד כי בסוגיה נכבדה זו, דעתי כדעתה </w:t>
      </w:r>
      <w:r>
        <w:rPr>
          <w:rFonts w:ascii="Century" w:hAnsi="Century" w:hint="cs"/>
          <w:rtl/>
        </w:rPr>
        <w:t>כי</w:t>
      </w:r>
      <w:r w:rsidRPr="00F60AAC">
        <w:rPr>
          <w:rFonts w:ascii="Century" w:hAnsi="Century" w:hint="cs"/>
          <w:rtl/>
        </w:rPr>
        <w:t xml:space="preserve"> באותם מקרים נדירים שבהם הכנסת חורגת מגבולות הסמכות המכוננת הנתונה לה </w:t>
      </w:r>
      <w:r w:rsidRPr="00F60AAC">
        <w:rPr>
          <w:rFonts w:ascii="Century" w:hAnsi="Century"/>
          <w:rtl/>
        </w:rPr>
        <w:t>–</w:t>
      </w:r>
      <w:r>
        <w:rPr>
          <w:rFonts w:ascii="Century" w:hAnsi="Century" w:hint="cs"/>
          <w:rtl/>
        </w:rPr>
        <w:t xml:space="preserve"> בית </w:t>
      </w:r>
      <w:r w:rsidRPr="00F60AAC">
        <w:rPr>
          <w:rFonts w:ascii="Century" w:hAnsi="Century" w:hint="cs"/>
          <w:rtl/>
        </w:rPr>
        <w:t xml:space="preserve">משפט </w:t>
      </w:r>
      <w:r>
        <w:rPr>
          <w:rFonts w:ascii="Century" w:hAnsi="Century" w:hint="cs"/>
          <w:rtl/>
        </w:rPr>
        <w:t xml:space="preserve">זה </w:t>
      </w:r>
      <w:r w:rsidRPr="00F60AAC">
        <w:rPr>
          <w:rFonts w:ascii="Century" w:hAnsi="Century" w:hint="cs"/>
          <w:rtl/>
        </w:rPr>
        <w:t xml:space="preserve">מוסמך לקבוע כי הנורמה החוקתית בטלה. התשתית לקביעה זו הונחה כאמור בעניין </w:t>
      </w:r>
      <w:r w:rsidRPr="000D3197">
        <w:rPr>
          <w:rFonts w:ascii="Century" w:hAnsi="Century" w:cs="Miriam" w:hint="cs"/>
          <w:b/>
          <w:spacing w:val="0"/>
          <w:szCs w:val="24"/>
          <w:rtl/>
        </w:rPr>
        <w:t>חסון</w:t>
      </w:r>
      <w:r w:rsidRPr="00F60AAC">
        <w:rPr>
          <w:rFonts w:ascii="Century" w:hAnsi="Century" w:hint="cs"/>
          <w:rtl/>
        </w:rPr>
        <w:t xml:space="preserve">. בפסק הדין שם הבהירה </w:t>
      </w:r>
      <w:r w:rsidRPr="000D3197">
        <w:rPr>
          <w:rFonts w:ascii="Century" w:hAnsi="Century" w:cs="Miriam" w:hint="cs"/>
          <w:b/>
          <w:spacing w:val="0"/>
          <w:szCs w:val="24"/>
          <w:rtl/>
        </w:rPr>
        <w:t>הנשיאה</w:t>
      </w:r>
      <w:r w:rsidRPr="000D3197">
        <w:rPr>
          <w:rFonts w:ascii="Century" w:hAnsi="Century" w:hint="cs"/>
          <w:rtl/>
        </w:rPr>
        <w:t xml:space="preserve"> </w:t>
      </w:r>
      <w:r w:rsidRPr="00F60AAC">
        <w:rPr>
          <w:rFonts w:ascii="Century" w:hAnsi="Century" w:hint="cs"/>
          <w:rtl/>
        </w:rPr>
        <w:t>כי בשלב זה לא ניתן לאמץ למשפט הישראלי את אחד המודלים של דוקטרינת "</w:t>
      </w:r>
      <w:r w:rsidRPr="000D3197">
        <w:rPr>
          <w:rFonts w:ascii="Century" w:hAnsi="Century" w:cs="Miriam" w:hint="cs"/>
          <w:b/>
          <w:spacing w:val="0"/>
          <w:szCs w:val="24"/>
          <w:rtl/>
        </w:rPr>
        <w:t>התיקון החוקתי שאינו חוקתי</w:t>
      </w:r>
      <w:r w:rsidRPr="00F60AAC">
        <w:rPr>
          <w:rFonts w:ascii="Century" w:hAnsi="Century" w:hint="cs"/>
          <w:rtl/>
        </w:rPr>
        <w:t xml:space="preserve">" כמות שהם </w:t>
      </w:r>
      <w:r w:rsidRPr="00F60AAC">
        <w:rPr>
          <w:rFonts w:ascii="Century" w:hAnsi="Century"/>
          <w:rtl/>
        </w:rPr>
        <w:t>–</w:t>
      </w:r>
      <w:r w:rsidRPr="00F60AAC">
        <w:rPr>
          <w:rFonts w:ascii="Century" w:hAnsi="Century" w:hint="cs"/>
          <w:rtl/>
        </w:rPr>
        <w:t xml:space="preserve"> שכן דוקטרינה זו הולמת שיטות משפט שבהן קיימת חוקה שלמה, שאז הדוקטרינה מופעלת ביחס לסמכות התיקון של חוקה זו; בעוד בישראל החוקה נבנית "פרקים פרקים" ומלאכת כינונה טרם הושלמה (שם, פסקה 14 </w:t>
      </w:r>
      <w:r>
        <w:rPr>
          <w:rFonts w:ascii="Century" w:hAnsi="Century" w:hint="cs"/>
          <w:rtl/>
        </w:rPr>
        <w:t>לחוות דעתה</w:t>
      </w:r>
      <w:r w:rsidRPr="00F60AAC">
        <w:rPr>
          <w:rFonts w:ascii="Century" w:hAnsi="Century" w:hint="cs"/>
          <w:rtl/>
        </w:rPr>
        <w:t xml:space="preserve"> של </w:t>
      </w:r>
      <w:r w:rsidRPr="00E06AB8">
        <w:rPr>
          <w:rFonts w:ascii="Century" w:hAnsi="Century" w:cs="Miriam" w:hint="cs"/>
          <w:b/>
          <w:spacing w:val="0"/>
          <w:szCs w:val="24"/>
          <w:rtl/>
        </w:rPr>
        <w:t>הנשיאה</w:t>
      </w:r>
      <w:r w:rsidRPr="00F60AAC">
        <w:rPr>
          <w:rFonts w:ascii="Century" w:hAnsi="Century" w:hint="cs"/>
          <w:rtl/>
        </w:rPr>
        <w:t>). עם זאת, כך נקבע, סמכוי</w:t>
      </w:r>
      <w:r>
        <w:rPr>
          <w:rFonts w:ascii="Century" w:hAnsi="Century" w:hint="cs"/>
          <w:rtl/>
        </w:rPr>
        <w:t xml:space="preserve">ותיה של הרשות המכוננת אינן בלתי </w:t>
      </w:r>
      <w:r w:rsidRPr="00F60AAC">
        <w:rPr>
          <w:rFonts w:ascii="Century" w:hAnsi="Century" w:hint="cs"/>
          <w:rtl/>
        </w:rPr>
        <w:t xml:space="preserve">מוגבלות; ומאפייניו הייחודיים של המשטר החוקתי בישראל </w:t>
      </w:r>
      <w:r>
        <w:rPr>
          <w:rFonts w:ascii="Century" w:hAnsi="Century" w:hint="cs"/>
          <w:rtl/>
        </w:rPr>
        <w:t xml:space="preserve">מחייבים קיומה של ביקורת </w:t>
      </w:r>
      <w:r w:rsidRPr="00F60AAC">
        <w:rPr>
          <w:rFonts w:ascii="Century" w:hAnsi="Century" w:hint="cs"/>
          <w:rtl/>
        </w:rPr>
        <w:t xml:space="preserve">שיפוטית על תוכנה של חקיקת יסוד. כך בפרט, היעדרה של חוקה שלמה; העובדה שלא קיים הבדל ממשי בין הליך חקיקת חוק "רגיל" ובין הליך כינון חוק יסוד; ולנוכח שליטתו של הרוב הפוליטי בכנסת ובתוך כך גם בהפעלת הסמכות המכוננת. וכלשונו של השופט </w:t>
      </w:r>
      <w:r w:rsidRPr="001068E1">
        <w:rPr>
          <w:rFonts w:ascii="Century" w:hAnsi="Century" w:cs="Miriam" w:hint="cs"/>
          <w:b/>
          <w:spacing w:val="0"/>
          <w:szCs w:val="24"/>
          <w:rtl/>
        </w:rPr>
        <w:t>מ' מזוז</w:t>
      </w:r>
      <w:r w:rsidRPr="00F60AAC">
        <w:rPr>
          <w:rFonts w:ascii="Century" w:hAnsi="Century" w:hint="cs"/>
          <w:rtl/>
        </w:rPr>
        <w:t>:</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5"/>
        <w:rPr>
          <w:rtl/>
        </w:rPr>
      </w:pPr>
      <w:r w:rsidRPr="00F60AAC">
        <w:rPr>
          <w:rFonts w:hint="cs"/>
          <w:rtl/>
        </w:rPr>
        <w:t>"</w:t>
      </w:r>
      <w:r w:rsidRPr="00F60AAC">
        <w:rPr>
          <w:rtl/>
        </w:rPr>
        <w:t xml:space="preserve">העדרה של חוקה שלמה, וקיומו של מצב חריג, כאשר נורמות חוקתיות בישראל נחקקות למעשה בהליך חקיקתי </w:t>
      </w:r>
      <w:r w:rsidRPr="00F60AAC">
        <w:rPr>
          <w:rtl/>
        </w:rPr>
        <w:lastRenderedPageBreak/>
        <w:t>רגיל, בהעדר הפרדה מוסדית והליכית בין חקיקת הוראות חוקתיות לבין חקיקה רגילה, ולא בהליך נוקשה וייחודי של חקיקת חוקה או תיקונים לחוקה כמקובל בחוקות בעולם, מעלה את הצורך והחשיבות בקיומן של מגבלות על הפעלת הסמכות המכוננת, ובקיום ביקורת שיפוטית דווקא בשלב זה</w:t>
      </w:r>
      <w:r w:rsidRPr="00F60AAC">
        <w:rPr>
          <w:rFonts w:hint="cs"/>
          <w:rtl/>
        </w:rPr>
        <w:t xml:space="preserve">" (עניין </w:t>
      </w:r>
      <w:r w:rsidRPr="001068E1">
        <w:rPr>
          <w:rFonts w:ascii="Century" w:hAnsi="Century" w:cs="Miriam" w:hint="cs"/>
          <w:b/>
          <w:spacing w:val="0"/>
          <w:szCs w:val="24"/>
          <w:rtl/>
        </w:rPr>
        <w:t>חסון</w:t>
      </w:r>
      <w:r w:rsidRPr="00F60AAC">
        <w:rPr>
          <w:rFonts w:hint="cs"/>
          <w:rtl/>
        </w:rPr>
        <w:t>, פסקה 5 לפסק דינו).</w:t>
      </w:r>
    </w:p>
    <w:p w:rsidR="00AC74AF" w:rsidRPr="009A0CD1" w:rsidRDefault="00AC74AF" w:rsidP="00AC74AF">
      <w:pPr>
        <w:pStyle w:val="Ruller41"/>
        <w:spacing w:line="240" w:lineRule="auto"/>
        <w:rPr>
          <w:rFonts w:ascii="Century" w:hAnsi="Century"/>
          <w:sz w:val="34"/>
          <w:szCs w:val="40"/>
          <w:rtl/>
        </w:rPr>
      </w:pPr>
    </w:p>
    <w:p w:rsidR="00AC74AF" w:rsidRDefault="00AC74AF" w:rsidP="00AC74AF">
      <w:pPr>
        <w:pStyle w:val="Ruller41"/>
        <w:rPr>
          <w:rFonts w:ascii="Century" w:hAnsi="Century"/>
          <w:rtl/>
        </w:rPr>
      </w:pPr>
      <w:r>
        <w:rPr>
          <w:rFonts w:ascii="Century" w:hAnsi="Century"/>
          <w:rtl/>
        </w:rPr>
        <w:tab/>
      </w:r>
      <w:r>
        <w:rPr>
          <w:rFonts w:ascii="Century" w:hAnsi="Century" w:hint="cs"/>
          <w:rtl/>
        </w:rPr>
        <w:t xml:space="preserve">כפי שהובהר על ידי </w:t>
      </w:r>
      <w:r w:rsidRPr="00796369">
        <w:rPr>
          <w:rFonts w:ascii="Century" w:hAnsi="Century" w:cs="Miriam" w:hint="cs"/>
          <w:b/>
          <w:spacing w:val="0"/>
          <w:szCs w:val="24"/>
          <w:rtl/>
        </w:rPr>
        <w:t>הנשיאה</w:t>
      </w:r>
      <w:r>
        <w:rPr>
          <w:rFonts w:ascii="Century" w:hAnsi="Century" w:hint="cs"/>
          <w:rtl/>
        </w:rPr>
        <w:t>, בית המשפט העליון הוא הגורם המתאים ביותר לקיים ביקורת שיפוטית על חקיקת יסוד. כך בהינתן "הנתונים החוקתיים" שביסוד תורת הרשות המכוננת; כך בהינתן מהות תפקידה של ערכאה זו במסגרת הפרדת הרשויות; וכך בהתאם לסמכות הרחבה שהוקנתה לבית משפט זה ליתן כל סעד למען הצדק ובכל</w:t>
      </w:r>
      <w:r w:rsidR="0064595F">
        <w:rPr>
          <w:rFonts w:ascii="Century" w:hAnsi="Century" w:hint="cs"/>
          <w:rtl/>
        </w:rPr>
        <w:t>ל זאת צווים לרשויות המדינה (פסקאות</w:t>
      </w:r>
      <w:r>
        <w:rPr>
          <w:rFonts w:ascii="Century" w:hAnsi="Century" w:hint="cs"/>
          <w:rtl/>
        </w:rPr>
        <w:t xml:space="preserve"> 66 </w:t>
      </w:r>
      <w:r w:rsidR="0064595F">
        <w:rPr>
          <w:rFonts w:ascii="Century" w:hAnsi="Century" w:hint="cs"/>
          <w:rtl/>
        </w:rPr>
        <w:t xml:space="preserve">ו-86 </w:t>
      </w:r>
      <w:r>
        <w:rPr>
          <w:rFonts w:ascii="Century" w:hAnsi="Century" w:hint="cs"/>
          <w:rtl/>
        </w:rPr>
        <w:t xml:space="preserve">לחוות דעתה של </w:t>
      </w:r>
      <w:r w:rsidRPr="00F5729E">
        <w:rPr>
          <w:rFonts w:ascii="Century" w:hAnsi="Century" w:cs="Miriam" w:hint="cs"/>
          <w:b/>
          <w:spacing w:val="0"/>
          <w:szCs w:val="24"/>
          <w:rtl/>
        </w:rPr>
        <w:t>הנשיאה</w:t>
      </w:r>
      <w:r>
        <w:rPr>
          <w:rFonts w:ascii="Century" w:hAnsi="Century" w:hint="cs"/>
          <w:rtl/>
        </w:rPr>
        <w:t xml:space="preserve">). סמכות זו אף עוגנה בסעיף 15 לחוק-יסוד: השפיטה ובכך זכתה למעמד נורמטיבי עליון. </w:t>
      </w:r>
    </w:p>
    <w:p w:rsidR="00AC74AF" w:rsidRDefault="00AC74AF" w:rsidP="00AC74AF">
      <w:pPr>
        <w:pStyle w:val="Ruller41"/>
        <w:rPr>
          <w:rFonts w:ascii="Century" w:hAnsi="Century"/>
          <w:rtl/>
        </w:rPr>
      </w:pPr>
      <w:r w:rsidRPr="00F60AAC">
        <w:rPr>
          <w:rFonts w:ascii="Century" w:hAnsi="Century"/>
          <w:rtl/>
        </w:rPr>
        <w:tab/>
      </w:r>
    </w:p>
    <w:p w:rsidR="00AC74AF" w:rsidRDefault="00AC74AF" w:rsidP="00AC74AF">
      <w:pPr>
        <w:pStyle w:val="Ruller41"/>
        <w:rPr>
          <w:rFonts w:ascii="Century" w:hAnsi="Century"/>
          <w:rtl/>
        </w:rPr>
      </w:pPr>
      <w:r>
        <w:rPr>
          <w:rFonts w:ascii="Century" w:hAnsi="Century" w:hint="cs"/>
          <w:rtl/>
        </w:rPr>
        <w:t>5.</w:t>
      </w:r>
      <w:r>
        <w:rPr>
          <w:rFonts w:ascii="Century" w:hAnsi="Century" w:hint="cs"/>
          <w:rtl/>
        </w:rPr>
        <w:tab/>
      </w:r>
      <w:r w:rsidRPr="00F60AAC">
        <w:rPr>
          <w:rFonts w:ascii="Century" w:hAnsi="Century" w:hint="cs"/>
          <w:rtl/>
        </w:rPr>
        <w:t xml:space="preserve">בהתייחס לסטנדרט הביקורת השיפוטית החל על תוכנה של חקיקת יסוד, בעניין </w:t>
      </w:r>
      <w:r w:rsidRPr="00796369">
        <w:rPr>
          <w:rFonts w:ascii="Century" w:hAnsi="Century" w:cs="Miriam" w:hint="cs"/>
          <w:b/>
          <w:spacing w:val="0"/>
          <w:szCs w:val="24"/>
          <w:rtl/>
        </w:rPr>
        <w:t>חסון</w:t>
      </w:r>
      <w:r w:rsidRPr="00796369">
        <w:rPr>
          <w:rFonts w:ascii="Century" w:hAnsi="Century" w:hint="cs"/>
          <w:rtl/>
        </w:rPr>
        <w:t xml:space="preserve"> </w:t>
      </w:r>
      <w:r w:rsidRPr="00F60AAC">
        <w:rPr>
          <w:rFonts w:ascii="Century" w:hAnsi="Century" w:hint="cs"/>
          <w:rtl/>
        </w:rPr>
        <w:t xml:space="preserve">הביעה </w:t>
      </w:r>
      <w:r w:rsidRPr="00796369">
        <w:rPr>
          <w:rFonts w:ascii="Century" w:hAnsi="Century" w:cs="Miriam" w:hint="cs"/>
          <w:b/>
          <w:spacing w:val="0"/>
          <w:szCs w:val="24"/>
          <w:rtl/>
        </w:rPr>
        <w:t>הנשיאה</w:t>
      </w:r>
      <w:r w:rsidRPr="00796369">
        <w:rPr>
          <w:rFonts w:ascii="Century" w:hAnsi="Century" w:hint="cs"/>
          <w:rtl/>
        </w:rPr>
        <w:t xml:space="preserve"> </w:t>
      </w:r>
      <w:r w:rsidRPr="00F60AAC">
        <w:rPr>
          <w:rFonts w:ascii="Century" w:hAnsi="Century" w:hint="cs"/>
          <w:rtl/>
        </w:rPr>
        <w:t>דעתה כי בשים לב</w:t>
      </w:r>
      <w:r w:rsidRPr="00F60AAC">
        <w:rPr>
          <w:rFonts w:ascii="Century" w:hAnsi="Century"/>
          <w:rtl/>
        </w:rPr>
        <w:t xml:space="preserve"> </w:t>
      </w:r>
      <w:r w:rsidRPr="00F60AAC">
        <w:rPr>
          <w:rFonts w:ascii="Century" w:hAnsi="Century" w:hint="cs"/>
          <w:rtl/>
        </w:rPr>
        <w:t>ל</w:t>
      </w:r>
      <w:r w:rsidRPr="00F60AAC">
        <w:rPr>
          <w:rFonts w:ascii="Century" w:hAnsi="Century"/>
          <w:rtl/>
        </w:rPr>
        <w:t xml:space="preserve">שלב שבו מצוי מפעל החוקה הישראלי, </w:t>
      </w:r>
      <w:r w:rsidRPr="00F60AAC">
        <w:rPr>
          <w:rFonts w:ascii="Century" w:hAnsi="Century" w:hint="cs"/>
          <w:rtl/>
        </w:rPr>
        <w:t>"</w:t>
      </w:r>
      <w:r w:rsidRPr="00796369">
        <w:rPr>
          <w:rFonts w:ascii="Century" w:hAnsi="Century" w:cs="Miriam"/>
          <w:b/>
          <w:spacing w:val="0"/>
          <w:szCs w:val="24"/>
          <w:rtl/>
        </w:rPr>
        <w:t>המגבלות החלות על הרשות המכוננת הן, כאמור, צרות ביותר, ונוגעות למצבים חריגים של שינוי חוקתי השולל את ליבת הזהות היהודית או הדמוקרטית של המדינה</w:t>
      </w:r>
      <w:r w:rsidRPr="00F60AAC">
        <w:rPr>
          <w:rFonts w:ascii="Century" w:hAnsi="Century" w:hint="cs"/>
          <w:rtl/>
        </w:rPr>
        <w:t>" (פסקה 28)</w:t>
      </w:r>
      <w:r w:rsidRPr="00F60AAC">
        <w:rPr>
          <w:rFonts w:ascii="Century" w:hAnsi="Century"/>
          <w:rtl/>
        </w:rPr>
        <w:t>.</w:t>
      </w:r>
      <w:r w:rsidRPr="00F60AAC">
        <w:rPr>
          <w:rFonts w:ascii="Century" w:hAnsi="Century" w:hint="cs"/>
          <w:rtl/>
        </w:rPr>
        <w:t xml:space="preserve"> במסגרת העתירות שלפנינו מוסיפה הנשיאה ומבהירה, כי "</w:t>
      </w:r>
      <w:r w:rsidRPr="00796369">
        <w:rPr>
          <w:rFonts w:ascii="Century" w:hAnsi="Century" w:cs="Miriam" w:hint="cs"/>
          <w:b/>
          <w:spacing w:val="0"/>
          <w:szCs w:val="24"/>
          <w:rtl/>
        </w:rPr>
        <w:t>השאלה שיש לשאול היא האם חוק היסוד או התיקון לחוק היסוד פוגעים פגיעה כה קשה במאפיינים הגרעיניים של המדינה, עד כדי זעזוע אבני הבניין של חוקתנו המתגבשת. ככל שזה המצב המסקנה היא כי עניין לנו בחוק יסוד החורג מגדרי סמכותה המכוננת של הכנסת</w:t>
      </w:r>
      <w:r w:rsidRPr="00F60AAC">
        <w:rPr>
          <w:rFonts w:ascii="Century" w:hAnsi="Century" w:hint="cs"/>
          <w:rtl/>
        </w:rPr>
        <w:t xml:space="preserve">" (פסקה 106 </w:t>
      </w:r>
      <w:r>
        <w:rPr>
          <w:rFonts w:ascii="Century" w:hAnsi="Century" w:hint="cs"/>
          <w:rtl/>
        </w:rPr>
        <w:t>לחוות דעתה</w:t>
      </w:r>
      <w:r w:rsidRPr="00F60AAC">
        <w:rPr>
          <w:rFonts w:ascii="Century" w:hAnsi="Century" w:hint="cs"/>
          <w:rtl/>
        </w:rPr>
        <w:t>).</w:t>
      </w:r>
      <w:r>
        <w:rPr>
          <w:rFonts w:ascii="Century" w:hAnsi="Century" w:hint="cs"/>
          <w:rtl/>
        </w:rPr>
        <w:t xml:space="preserve"> </w:t>
      </w:r>
    </w:p>
    <w:p w:rsidR="00AC74AF"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Pr>
          <w:rFonts w:ascii="Century" w:hAnsi="Century"/>
          <w:rtl/>
        </w:rPr>
        <w:tab/>
      </w:r>
      <w:r>
        <w:rPr>
          <w:rFonts w:ascii="Century" w:hAnsi="Century" w:hint="cs"/>
          <w:rtl/>
        </w:rPr>
        <w:t>חברי</w:t>
      </w:r>
      <w:r w:rsidRPr="00F60AAC">
        <w:rPr>
          <w:rFonts w:ascii="Century" w:hAnsi="Century" w:hint="cs"/>
          <w:rtl/>
        </w:rPr>
        <w:t xml:space="preserve"> השופט </w:t>
      </w:r>
      <w:r w:rsidRPr="00796369">
        <w:rPr>
          <w:rFonts w:ascii="Century" w:hAnsi="Century" w:cs="Miriam" w:hint="cs"/>
          <w:b/>
          <w:spacing w:val="0"/>
          <w:szCs w:val="24"/>
          <w:rtl/>
        </w:rPr>
        <w:t>יצחק עמית</w:t>
      </w:r>
      <w:r w:rsidRPr="00F60AAC">
        <w:rPr>
          <w:rFonts w:ascii="Century" w:hAnsi="Century" w:hint="cs"/>
          <w:rtl/>
        </w:rPr>
        <w:t>, לעומת זאת, סבור כי "</w:t>
      </w:r>
      <w:r w:rsidRPr="00796369">
        <w:rPr>
          <w:rFonts w:ascii="Century" w:hAnsi="Century" w:cs="Miriam" w:hint="cs"/>
          <w:b/>
          <w:spacing w:val="0"/>
          <w:szCs w:val="24"/>
          <w:rtl/>
        </w:rPr>
        <w:t>דווקא מאחר שהחוקה טרם הושלמה ואף לא נקבעו כללי המשחק לכינונה של החוקה, הדבר מחייב ביקורת שיפוטית על חוקי היסוד, שמא אף הנמכת רף ההתערבות השיפוטית</w:t>
      </w:r>
      <w:r w:rsidRPr="00F60AAC">
        <w:rPr>
          <w:rFonts w:ascii="Century" w:hAnsi="Century" w:hint="cs"/>
          <w:rtl/>
        </w:rPr>
        <w:t xml:space="preserve">" (פסקה 33 </w:t>
      </w:r>
      <w:r>
        <w:rPr>
          <w:rFonts w:ascii="Century" w:hAnsi="Century" w:hint="cs"/>
          <w:rtl/>
        </w:rPr>
        <w:t xml:space="preserve">לחוות דעתו; וראו גם חוות דעתה של השופטת </w:t>
      </w:r>
      <w:r w:rsidRPr="00E06AB8">
        <w:rPr>
          <w:rFonts w:ascii="Century" w:hAnsi="Century" w:cs="Miriam" w:hint="cs"/>
          <w:b/>
          <w:spacing w:val="0"/>
          <w:szCs w:val="24"/>
          <w:rtl/>
        </w:rPr>
        <w:t>ג' כנפי-שטייניץ</w:t>
      </w:r>
      <w:r>
        <w:rPr>
          <w:rFonts w:ascii="Century" w:hAnsi="Century" w:hint="cs"/>
          <w:rtl/>
        </w:rPr>
        <w:t xml:space="preserve">, פסקה 13; וחוות דעתו של ממלא מקום הנשיא </w:t>
      </w:r>
      <w:r w:rsidRPr="0099359C">
        <w:rPr>
          <w:rFonts w:ascii="Century" w:hAnsi="Century" w:cs="Miriam" w:hint="cs"/>
          <w:b/>
          <w:spacing w:val="0"/>
          <w:szCs w:val="24"/>
          <w:rtl/>
        </w:rPr>
        <w:t>ע' פוגלמן</w:t>
      </w:r>
      <w:r>
        <w:rPr>
          <w:rFonts w:ascii="Century" w:hAnsi="Century" w:hint="cs"/>
          <w:rtl/>
        </w:rPr>
        <w:t>, פסקה 7</w:t>
      </w:r>
      <w:r w:rsidRPr="00F60AAC">
        <w:rPr>
          <w:rFonts w:ascii="Century" w:hAnsi="Century" w:hint="cs"/>
          <w:rtl/>
        </w:rPr>
        <w:t xml:space="preserve">). </w:t>
      </w:r>
      <w:r>
        <w:rPr>
          <w:rFonts w:ascii="Century" w:hAnsi="Century" w:hint="cs"/>
          <w:rtl/>
        </w:rPr>
        <w:t>ייאמר</w:t>
      </w:r>
      <w:r w:rsidRPr="00F60AAC">
        <w:rPr>
          <w:rFonts w:ascii="Century" w:hAnsi="Century" w:hint="cs"/>
          <w:rtl/>
        </w:rPr>
        <w:t xml:space="preserve"> </w:t>
      </w:r>
      <w:r>
        <w:rPr>
          <w:rFonts w:ascii="Century" w:hAnsi="Century" w:hint="cs"/>
          <w:rtl/>
        </w:rPr>
        <w:t xml:space="preserve">כי </w:t>
      </w:r>
      <w:r w:rsidRPr="00F60AAC">
        <w:rPr>
          <w:rFonts w:ascii="Century" w:hAnsi="Century" w:hint="cs"/>
          <w:rtl/>
        </w:rPr>
        <w:t xml:space="preserve">אני נוטה להסכים עם גישתו של השופט </w:t>
      </w:r>
      <w:r w:rsidRPr="002C4321">
        <w:rPr>
          <w:rFonts w:ascii="Century" w:hAnsi="Century" w:cs="Miriam" w:hint="cs"/>
          <w:b/>
          <w:spacing w:val="0"/>
          <w:szCs w:val="24"/>
          <w:rtl/>
        </w:rPr>
        <w:t>עמית</w:t>
      </w:r>
      <w:r w:rsidRPr="00F60AAC">
        <w:rPr>
          <w:rFonts w:ascii="Century" w:hAnsi="Century" w:hint="cs"/>
          <w:rtl/>
        </w:rPr>
        <w:t>, ולכך כ</w:t>
      </w:r>
      <w:r>
        <w:rPr>
          <w:rFonts w:ascii="Century" w:hAnsi="Century" w:hint="cs"/>
          <w:rtl/>
        </w:rPr>
        <w:t>י</w:t>
      </w:r>
      <w:r w:rsidRPr="00F60AAC">
        <w:rPr>
          <w:rFonts w:ascii="Century" w:hAnsi="Century" w:hint="cs"/>
          <w:rtl/>
        </w:rPr>
        <w:t xml:space="preserve">וונתי כבר בעניין </w:t>
      </w:r>
      <w:r w:rsidRPr="00796369">
        <w:rPr>
          <w:rFonts w:ascii="Century" w:hAnsi="Century" w:cs="Miriam" w:hint="cs"/>
          <w:b/>
          <w:spacing w:val="0"/>
          <w:szCs w:val="24"/>
          <w:rtl/>
        </w:rPr>
        <w:t>חסון</w:t>
      </w:r>
      <w:r w:rsidRPr="00796369">
        <w:rPr>
          <w:rFonts w:ascii="Century" w:hAnsi="Century" w:hint="cs"/>
          <w:rtl/>
        </w:rPr>
        <w:t xml:space="preserve"> </w:t>
      </w:r>
      <w:r w:rsidRPr="00F60AAC">
        <w:rPr>
          <w:rFonts w:ascii="Century" w:hAnsi="Century" w:hint="cs"/>
          <w:rtl/>
        </w:rPr>
        <w:t xml:space="preserve">(שם, בפסקה 2 </w:t>
      </w:r>
      <w:r>
        <w:rPr>
          <w:rFonts w:ascii="Century" w:hAnsi="Century" w:hint="cs"/>
          <w:rtl/>
        </w:rPr>
        <w:t xml:space="preserve">לחוות דעתי; ובפסקה 9 לחוות דעתו של השופט </w:t>
      </w:r>
      <w:r w:rsidRPr="00E06AB8">
        <w:rPr>
          <w:rFonts w:ascii="Century" w:hAnsi="Century" w:cs="Miriam" w:hint="cs"/>
          <w:b/>
          <w:spacing w:val="0"/>
          <w:szCs w:val="24"/>
          <w:rtl/>
        </w:rPr>
        <w:t>ג' קרא</w:t>
      </w:r>
      <w:r w:rsidRPr="00F60AAC">
        <w:rPr>
          <w:rFonts w:ascii="Century" w:hAnsi="Century" w:hint="cs"/>
          <w:rtl/>
        </w:rPr>
        <w:t>). דומני כי</w:t>
      </w:r>
      <w:r w:rsidRPr="00F60AAC">
        <w:rPr>
          <w:rFonts w:ascii="Century" w:hAnsi="Century"/>
          <w:rtl/>
        </w:rPr>
        <w:t xml:space="preserve"> המצב המשטרי הייחודי למדינת ישראל, המ</w:t>
      </w:r>
      <w:r w:rsidRPr="00F60AAC">
        <w:rPr>
          <w:rFonts w:ascii="Century" w:hAnsi="Century" w:hint="cs"/>
          <w:rtl/>
        </w:rPr>
        <w:t>תא</w:t>
      </w:r>
      <w:r w:rsidRPr="00F60AAC">
        <w:rPr>
          <w:rFonts w:ascii="Century" w:hAnsi="Century"/>
          <w:rtl/>
        </w:rPr>
        <w:t xml:space="preserve">פיין בקלות </w:t>
      </w:r>
      <w:r w:rsidRPr="00F60AAC">
        <w:rPr>
          <w:rFonts w:ascii="Century" w:hAnsi="Century" w:hint="cs"/>
          <w:rtl/>
        </w:rPr>
        <w:t>ה</w:t>
      </w:r>
      <w:r w:rsidRPr="00F60AAC">
        <w:rPr>
          <w:rFonts w:ascii="Century" w:hAnsi="Century"/>
          <w:rtl/>
        </w:rPr>
        <w:t>יחסית שבה ניתן לחוקק ולתקן את חוקי</w:t>
      </w:r>
      <w:r>
        <w:rPr>
          <w:rFonts w:ascii="Century" w:hAnsi="Century" w:hint="cs"/>
          <w:rtl/>
        </w:rPr>
        <w:t xml:space="preserve"> </w:t>
      </w:r>
      <w:r w:rsidRPr="00F60AAC">
        <w:rPr>
          <w:rFonts w:ascii="Century" w:hAnsi="Century"/>
          <w:rtl/>
        </w:rPr>
        <w:t xml:space="preserve">היסוד, </w:t>
      </w:r>
      <w:r w:rsidRPr="00F60AAC">
        <w:rPr>
          <w:rFonts w:ascii="Century" w:hAnsi="Century" w:hint="cs"/>
          <w:rtl/>
        </w:rPr>
        <w:t>מצריך פתח רחב יותר</w:t>
      </w:r>
      <w:r>
        <w:rPr>
          <w:rFonts w:ascii="Century" w:hAnsi="Century"/>
          <w:rtl/>
        </w:rPr>
        <w:t xml:space="preserve"> לביקורת שיפוטית</w:t>
      </w:r>
      <w:r>
        <w:rPr>
          <w:rFonts w:ascii="Century" w:hAnsi="Century" w:hint="cs"/>
          <w:rtl/>
        </w:rPr>
        <w:t>; ואולם אינני נדרשת להכריע בסוגיה זו.</w:t>
      </w:r>
      <w:r w:rsidRPr="00F60AAC">
        <w:rPr>
          <w:rFonts w:ascii="Century" w:hAnsi="Century" w:hint="cs"/>
          <w:rtl/>
        </w:rPr>
        <w:t xml:space="preserve"> </w:t>
      </w:r>
    </w:p>
    <w:p w:rsidR="00AC74AF" w:rsidRPr="00F60AAC" w:rsidRDefault="00AC74AF" w:rsidP="00AC74AF">
      <w:pPr>
        <w:pStyle w:val="Ruller41"/>
        <w:rPr>
          <w:rFonts w:ascii="Century" w:hAnsi="Century"/>
          <w:rtl/>
        </w:rPr>
      </w:pPr>
    </w:p>
    <w:p w:rsidR="00AC74AF" w:rsidRPr="00F60AAC" w:rsidRDefault="00AC74AF" w:rsidP="00AC74AF">
      <w:pPr>
        <w:pStyle w:val="Ruller41"/>
        <w:rPr>
          <w:rFonts w:ascii="Century" w:hAnsi="Century"/>
          <w:rtl/>
        </w:rPr>
      </w:pPr>
      <w:r>
        <w:rPr>
          <w:rFonts w:ascii="Century" w:hAnsi="Century" w:hint="cs"/>
          <w:rtl/>
        </w:rPr>
        <w:t>6</w:t>
      </w:r>
      <w:r w:rsidRPr="00F60AAC">
        <w:rPr>
          <w:rFonts w:ascii="Century" w:hAnsi="Century" w:hint="cs"/>
          <w:rtl/>
        </w:rPr>
        <w:t>.</w:t>
      </w:r>
      <w:r w:rsidRPr="00F60AAC">
        <w:rPr>
          <w:rFonts w:ascii="Century" w:hAnsi="Century"/>
          <w:rtl/>
        </w:rPr>
        <w:tab/>
      </w:r>
      <w:r>
        <w:rPr>
          <w:rFonts w:ascii="Century" w:hAnsi="Century" w:hint="cs"/>
          <w:rtl/>
        </w:rPr>
        <w:t xml:space="preserve">כפי שקבעה </w:t>
      </w:r>
      <w:r w:rsidRPr="00796369">
        <w:rPr>
          <w:rFonts w:ascii="Century" w:hAnsi="Century" w:cs="Miriam" w:hint="cs"/>
          <w:b/>
          <w:spacing w:val="0"/>
          <w:szCs w:val="24"/>
          <w:rtl/>
        </w:rPr>
        <w:t>הנשיאה</w:t>
      </w:r>
      <w:r>
        <w:rPr>
          <w:rFonts w:ascii="Century" w:hAnsi="Century" w:hint="cs"/>
          <w:rtl/>
        </w:rPr>
        <w:t>,</w:t>
      </w:r>
      <w:r w:rsidRPr="00F60AAC">
        <w:rPr>
          <w:rFonts w:ascii="Century" w:hAnsi="Century" w:hint="cs"/>
          <w:rtl/>
        </w:rPr>
        <w:t xml:space="preserve"> במקרה שלפנינו התיקון לחוק</w:t>
      </w:r>
      <w:r>
        <w:rPr>
          <w:rFonts w:ascii="Century" w:hAnsi="Century" w:hint="cs"/>
          <w:rtl/>
        </w:rPr>
        <w:t>-</w:t>
      </w:r>
      <w:r w:rsidRPr="00F60AAC">
        <w:rPr>
          <w:rFonts w:ascii="Century" w:hAnsi="Century" w:hint="cs"/>
          <w:rtl/>
        </w:rPr>
        <w:t xml:space="preserve">יסוד: השפיטה אינו עומד </w:t>
      </w:r>
      <w:r>
        <w:rPr>
          <w:rFonts w:ascii="Century" w:hAnsi="Century" w:hint="cs"/>
          <w:rtl/>
        </w:rPr>
        <w:t xml:space="preserve">אף </w:t>
      </w:r>
      <w:r w:rsidRPr="00F60AAC">
        <w:rPr>
          <w:rFonts w:ascii="Century" w:hAnsi="Century" w:hint="cs"/>
          <w:rtl/>
        </w:rPr>
        <w:t xml:space="preserve">ברף המחמיר של הביקורת השיפוטית, </w:t>
      </w:r>
      <w:r>
        <w:rPr>
          <w:rFonts w:ascii="Century" w:hAnsi="Century" w:hint="cs"/>
          <w:rtl/>
        </w:rPr>
        <w:t>ו</w:t>
      </w:r>
      <w:r w:rsidRPr="00F60AAC">
        <w:rPr>
          <w:rFonts w:ascii="Century" w:hAnsi="Century" w:hint="cs"/>
          <w:rtl/>
        </w:rPr>
        <w:t>לנוכח פגיעתו האנושה במאפייניה הגרעיניים של מדינת ישראל כמדינה דמוקרטית,</w:t>
      </w:r>
      <w:r>
        <w:rPr>
          <w:rFonts w:ascii="Century" w:hAnsi="Century" w:hint="cs"/>
          <w:rtl/>
        </w:rPr>
        <w:t xml:space="preserve"> </w:t>
      </w:r>
      <w:r w:rsidRPr="00F60AAC">
        <w:rPr>
          <w:rFonts w:ascii="Century" w:hAnsi="Century" w:hint="cs"/>
          <w:rtl/>
        </w:rPr>
        <w:t xml:space="preserve">דינו בטלות; </w:t>
      </w:r>
      <w:r>
        <w:rPr>
          <w:rFonts w:ascii="Century" w:hAnsi="Century" w:hint="cs"/>
          <w:rtl/>
        </w:rPr>
        <w:t xml:space="preserve">חבריי ממלא מקום הנשיא </w:t>
      </w:r>
      <w:r w:rsidRPr="0099359C">
        <w:rPr>
          <w:rFonts w:ascii="Century" w:hAnsi="Century" w:cs="Miriam" w:hint="cs"/>
          <w:b/>
          <w:spacing w:val="0"/>
          <w:szCs w:val="24"/>
          <w:rtl/>
        </w:rPr>
        <w:t xml:space="preserve">עוזי </w:t>
      </w:r>
      <w:r w:rsidRPr="0099359C">
        <w:rPr>
          <w:rFonts w:ascii="Century" w:hAnsi="Century" w:cs="Miriam" w:hint="cs"/>
          <w:b/>
          <w:spacing w:val="0"/>
          <w:szCs w:val="24"/>
          <w:rtl/>
        </w:rPr>
        <w:lastRenderedPageBreak/>
        <w:t>פוגלמן</w:t>
      </w:r>
      <w:r>
        <w:rPr>
          <w:rFonts w:ascii="Century" w:hAnsi="Century" w:cs="Miriam" w:hint="cs"/>
          <w:b/>
          <w:spacing w:val="0"/>
          <w:szCs w:val="24"/>
          <w:rtl/>
        </w:rPr>
        <w:t>,</w:t>
      </w:r>
      <w:r w:rsidRPr="0099359C">
        <w:rPr>
          <w:rFonts w:ascii="Century" w:hAnsi="Century" w:hint="cs"/>
          <w:rtl/>
        </w:rPr>
        <w:t xml:space="preserve"> </w:t>
      </w:r>
      <w:r>
        <w:rPr>
          <w:rFonts w:ascii="Century" w:hAnsi="Century" w:hint="cs"/>
          <w:rtl/>
        </w:rPr>
        <w:t xml:space="preserve">השופט </w:t>
      </w:r>
      <w:r w:rsidRPr="00C6002A">
        <w:rPr>
          <w:rFonts w:ascii="Century" w:hAnsi="Century" w:cs="Miriam" w:hint="cs"/>
          <w:b/>
          <w:spacing w:val="0"/>
          <w:szCs w:val="24"/>
          <w:rtl/>
        </w:rPr>
        <w:t>יצחק עמית</w:t>
      </w:r>
      <w:r w:rsidRPr="00C6002A">
        <w:rPr>
          <w:rFonts w:ascii="Century" w:hAnsi="Century" w:hint="cs"/>
          <w:rtl/>
        </w:rPr>
        <w:t xml:space="preserve"> </w:t>
      </w:r>
      <w:r>
        <w:rPr>
          <w:rFonts w:ascii="Century" w:hAnsi="Century" w:hint="cs"/>
          <w:rtl/>
        </w:rPr>
        <w:t xml:space="preserve">והשופטת </w:t>
      </w:r>
      <w:r w:rsidRPr="00C6002A">
        <w:rPr>
          <w:rFonts w:ascii="Century" w:hAnsi="Century" w:cs="Miriam" w:hint="cs"/>
          <w:b/>
          <w:spacing w:val="0"/>
          <w:szCs w:val="24"/>
          <w:rtl/>
        </w:rPr>
        <w:t>רות רונן</w:t>
      </w:r>
      <w:r>
        <w:rPr>
          <w:rFonts w:ascii="Century" w:hAnsi="Century" w:hint="cs"/>
          <w:rtl/>
        </w:rPr>
        <w:t xml:space="preserve"> מסכימים עימה, ודעתי</w:t>
      </w:r>
      <w:r w:rsidRPr="00F60AAC">
        <w:rPr>
          <w:rFonts w:ascii="Century" w:hAnsi="Century" w:hint="cs"/>
          <w:rtl/>
        </w:rPr>
        <w:t xml:space="preserve"> כמותם. הדברים שאוסיף על חוות הדעת המפורטות של חבריי יוקדשו לנושא זה.</w:t>
      </w:r>
    </w:p>
    <w:p w:rsidR="00AC74AF" w:rsidRPr="00F60AAC" w:rsidRDefault="00AC74AF" w:rsidP="00AC74AF">
      <w:pPr>
        <w:pStyle w:val="Ruller41"/>
        <w:spacing w:line="240" w:lineRule="auto"/>
        <w:rPr>
          <w:rFonts w:ascii="Century" w:hAnsi="Century"/>
          <w:rtl/>
        </w:rPr>
      </w:pPr>
    </w:p>
    <w:p w:rsidR="00AC74AF" w:rsidRPr="00796369" w:rsidRDefault="00AC74AF" w:rsidP="00AC74AF">
      <w:pPr>
        <w:pStyle w:val="Ruller41"/>
        <w:rPr>
          <w:rFonts w:ascii="Century" w:hAnsi="Century" w:cs="Miriam"/>
          <w:b/>
          <w:spacing w:val="0"/>
          <w:szCs w:val="24"/>
          <w:rtl/>
        </w:rPr>
      </w:pPr>
      <w:r w:rsidRPr="00796369">
        <w:rPr>
          <w:rFonts w:ascii="Century" w:hAnsi="Century" w:cs="Miriam" w:hint="cs"/>
          <w:b/>
          <w:spacing w:val="0"/>
          <w:szCs w:val="24"/>
          <w:rtl/>
        </w:rPr>
        <w:t>עילת הסבירות</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Pr>
          <w:rFonts w:ascii="Century" w:hAnsi="Century" w:hint="cs"/>
          <w:rtl/>
        </w:rPr>
        <w:t>7</w:t>
      </w:r>
      <w:r w:rsidRPr="00F60AAC">
        <w:rPr>
          <w:rFonts w:ascii="Century" w:hAnsi="Century" w:hint="cs"/>
          <w:rtl/>
        </w:rPr>
        <w:t>.</w:t>
      </w:r>
      <w:r w:rsidRPr="00F60AAC">
        <w:rPr>
          <w:rFonts w:ascii="Century" w:hAnsi="Century" w:hint="cs"/>
          <w:rtl/>
        </w:rPr>
        <w:tab/>
      </w:r>
      <w:r>
        <w:rPr>
          <w:rFonts w:ascii="Century" w:hAnsi="Century" w:hint="cs"/>
          <w:rtl/>
        </w:rPr>
        <w:t xml:space="preserve">במוקד התיקון לחוק היסוד, ומשכך </w:t>
      </w:r>
      <w:r w:rsidRPr="00F60AAC">
        <w:rPr>
          <w:rFonts w:ascii="Century" w:hAnsi="Century" w:hint="cs"/>
          <w:rtl/>
        </w:rPr>
        <w:t xml:space="preserve">במוקד העתירות שלפנינו, ניצבת עילת הסבירות. עילה זו </w:t>
      </w:r>
      <w:r w:rsidRPr="00F60AAC">
        <w:rPr>
          <w:rFonts w:ascii="Century" w:hAnsi="Century"/>
          <w:rtl/>
        </w:rPr>
        <w:t xml:space="preserve">נקלטה במשפט המינהלי הישראלי מן המשפט האנגלי, שם היא נולדה כאמת מידה לביקורת שיפוטית על חוקי עזר. בפסק הדין המרכזי בעניין </w:t>
      </w:r>
      <w:r w:rsidRPr="00F60AAC">
        <w:rPr>
          <w:rFonts w:ascii="Century" w:hAnsi="Century"/>
        </w:rPr>
        <w:t>Wednesbury</w:t>
      </w:r>
      <w:r w:rsidRPr="00F60AAC">
        <w:rPr>
          <w:rFonts w:ascii="Century" w:hAnsi="Century"/>
          <w:rtl/>
        </w:rPr>
        <w:t xml:space="preserve">, נקבע כי </w:t>
      </w:r>
      <w:r>
        <w:rPr>
          <w:rFonts w:ascii="Century" w:hAnsi="Century" w:hint="cs"/>
          <w:rtl/>
        </w:rPr>
        <w:t xml:space="preserve">כאשר רשות מקבלת החלטה </w:t>
      </w:r>
      <w:r>
        <w:rPr>
          <w:rFonts w:ascii="Century" w:hAnsi="Century"/>
          <w:rtl/>
        </w:rPr>
        <w:t xml:space="preserve">שהיא כה בלתי סבירה </w:t>
      </w:r>
      <w:r w:rsidRPr="00F60AAC">
        <w:rPr>
          <w:rFonts w:ascii="Century" w:hAnsi="Century"/>
          <w:rtl/>
        </w:rPr>
        <w:t xml:space="preserve">עד שאף רשות סבירה לא היתה </w:t>
      </w:r>
      <w:r w:rsidRPr="00F60AAC">
        <w:rPr>
          <w:rFonts w:ascii="Century" w:hAnsi="Century" w:hint="cs"/>
          <w:rtl/>
        </w:rPr>
        <w:t>מגיעה אליה</w:t>
      </w:r>
      <w:r>
        <w:rPr>
          <w:rFonts w:ascii="Century" w:hAnsi="Century" w:hint="cs"/>
          <w:rtl/>
        </w:rPr>
        <w:t>, בית המשפט יתערב בה;</w:t>
      </w:r>
      <w:r w:rsidRPr="00F60AAC">
        <w:rPr>
          <w:rFonts w:ascii="Century" w:hAnsi="Century"/>
          <w:rtl/>
        </w:rPr>
        <w:t xml:space="preserve"> שכן מדובר למעשה בהחלטה החורגת מן הסמכות שניתנה לרשות</w:t>
      </w:r>
      <w:r w:rsidRPr="00F60AAC">
        <w:rPr>
          <w:rFonts w:ascii="Century" w:hAnsi="Century" w:hint="cs"/>
          <w:rtl/>
        </w:rPr>
        <w:t xml:space="preserve"> על ידי המחוקק</w:t>
      </w:r>
      <w:r w:rsidRPr="00F60AAC">
        <w:rPr>
          <w:rFonts w:ascii="Century" w:hAnsi="Century"/>
        </w:rPr>
        <w:t>Associated Provincial Picture Houses,</w:t>
      </w:r>
      <w:r w:rsidRPr="008731BC">
        <w:rPr>
          <w:rFonts w:ascii="FrankRuehl" w:hAnsi="FrankRuehl"/>
          <w:sz w:val="28"/>
        </w:rPr>
        <w:t>)</w:t>
      </w:r>
      <w:r w:rsidRPr="00F60AAC">
        <w:rPr>
          <w:rFonts w:ascii="Century" w:hAnsi="Century"/>
        </w:rPr>
        <w:t xml:space="preserve"> Ltd. v. Wednesbury Corporation [1948] 1 KB 223, 233-234 (C.A)</w:t>
      </w:r>
      <w:r w:rsidRPr="00F60AAC">
        <w:rPr>
          <w:rFonts w:ascii="Century" w:hAnsi="Century" w:hint="cs"/>
          <w:rtl/>
        </w:rPr>
        <w:t xml:space="preserve">; </w:t>
      </w:r>
      <w:r w:rsidRPr="00F60AAC">
        <w:rPr>
          <w:rFonts w:ascii="Century" w:hAnsi="Century"/>
          <w:rtl/>
        </w:rPr>
        <w:t xml:space="preserve">ע"א 311/57 </w:t>
      </w:r>
      <w:r w:rsidRPr="00505EA2">
        <w:rPr>
          <w:rFonts w:ascii="Century" w:hAnsi="Century" w:cs="Miriam"/>
          <w:b/>
          <w:spacing w:val="0"/>
          <w:szCs w:val="24"/>
          <w:rtl/>
        </w:rPr>
        <w:t>היועץ המשפטי לממשלה נ' מ. דיזנגוף ושות' (שיט) בע"מ ואח'</w:t>
      </w:r>
      <w:r w:rsidRPr="00F60AAC">
        <w:rPr>
          <w:rFonts w:ascii="Century" w:hAnsi="Century"/>
          <w:rtl/>
        </w:rPr>
        <w:t xml:space="preserve">, </w:t>
      </w:r>
      <w:r w:rsidRPr="00F60AAC">
        <w:rPr>
          <w:rFonts w:ascii="Century" w:hAnsi="Century" w:hint="cs"/>
          <w:rtl/>
        </w:rPr>
        <w:t xml:space="preserve">פ"ד </w:t>
      </w:r>
      <w:r w:rsidRPr="00F60AAC">
        <w:rPr>
          <w:rFonts w:ascii="Century" w:hAnsi="Century"/>
          <w:rtl/>
        </w:rPr>
        <w:t>יג 1026</w:t>
      </w:r>
      <w:r w:rsidRPr="00F60AAC">
        <w:rPr>
          <w:rFonts w:ascii="Century" w:hAnsi="Century" w:hint="cs"/>
          <w:rtl/>
        </w:rPr>
        <w:t xml:space="preserve">, 1039 </w:t>
      </w:r>
      <w:r w:rsidRPr="00F60AAC">
        <w:rPr>
          <w:rFonts w:ascii="Century" w:hAnsi="Century"/>
          <w:rtl/>
        </w:rPr>
        <w:t>(1959)</w:t>
      </w:r>
      <w:r w:rsidRPr="00F60AAC">
        <w:rPr>
          <w:rFonts w:ascii="Century" w:hAnsi="Century" w:hint="cs"/>
          <w:rtl/>
        </w:rPr>
        <w:t>).</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sidRPr="00F60AAC">
        <w:rPr>
          <w:rFonts w:ascii="Century" w:hAnsi="Century"/>
          <w:rtl/>
        </w:rPr>
        <w:tab/>
      </w:r>
      <w:r w:rsidRPr="00F60AAC">
        <w:rPr>
          <w:rFonts w:ascii="Century" w:hAnsi="Century" w:hint="cs"/>
          <w:rtl/>
        </w:rPr>
        <w:t xml:space="preserve">מאז קליטתה בשיטתנו ועד היום, </w:t>
      </w:r>
      <w:r>
        <w:rPr>
          <w:rFonts w:ascii="Century" w:hAnsi="Century" w:hint="cs"/>
          <w:rtl/>
        </w:rPr>
        <w:t>במשך עשרות שנים, חלה</w:t>
      </w:r>
      <w:r w:rsidRPr="00F60AAC">
        <w:rPr>
          <w:rFonts w:ascii="Century" w:hAnsi="Century" w:hint="cs"/>
          <w:rtl/>
        </w:rPr>
        <w:t xml:space="preserve"> בעילת הסבירות שורה של תמורות והיא הלכה והתפתחה בפסיקה עד שהתעצבה בדמותה הנוכחית. במובנה "המקורי", עילת הסבירות יוחדה בעיקר למקרים של "</w:t>
      </w:r>
      <w:r w:rsidRPr="00505EA2">
        <w:rPr>
          <w:rFonts w:ascii="Century" w:hAnsi="Century" w:cs="Miriam" w:hint="cs"/>
          <w:b/>
          <w:spacing w:val="0"/>
          <w:szCs w:val="24"/>
          <w:rtl/>
        </w:rPr>
        <w:t>שרירות או חוסר היגיון מוחלט בהחלטה</w:t>
      </w:r>
      <w:r w:rsidRPr="00F60AAC">
        <w:rPr>
          <w:rFonts w:ascii="Century" w:hAnsi="Century" w:hint="cs"/>
          <w:rtl/>
        </w:rPr>
        <w:t xml:space="preserve">", כך שהדגש הושם על תוצאת ההחלטה (להלן: </w:t>
      </w:r>
      <w:r w:rsidRPr="00505EA2">
        <w:rPr>
          <w:rFonts w:ascii="Century" w:hAnsi="Century" w:cs="Miriam" w:hint="cs"/>
          <w:b/>
          <w:spacing w:val="0"/>
          <w:szCs w:val="24"/>
          <w:rtl/>
        </w:rPr>
        <w:t xml:space="preserve">הסבירות </w:t>
      </w:r>
      <w:r>
        <w:rPr>
          <w:rFonts w:ascii="Century" w:hAnsi="Century" w:cs="Miriam" w:hint="cs"/>
          <w:b/>
          <w:spacing w:val="0"/>
          <w:szCs w:val="24"/>
          <w:rtl/>
        </w:rPr>
        <w:t>המסורתית</w:t>
      </w:r>
      <w:r w:rsidRPr="00F60AAC">
        <w:rPr>
          <w:rFonts w:ascii="Century" w:hAnsi="Century" w:hint="cs"/>
          <w:rtl/>
        </w:rPr>
        <w:t>); ואולם במובנה העכשווי עניינה של עילת הסבירות ב"</w:t>
      </w:r>
      <w:r w:rsidRPr="00505EA2">
        <w:rPr>
          <w:rFonts w:ascii="Century" w:hAnsi="Century" w:cs="Miriam" w:hint="cs"/>
          <w:b/>
          <w:spacing w:val="0"/>
          <w:szCs w:val="24"/>
          <w:rtl/>
        </w:rPr>
        <w:t>חוסר איזון פנימי בהחלטה</w:t>
      </w:r>
      <w:r w:rsidRPr="00F60AAC">
        <w:rPr>
          <w:rFonts w:ascii="Century" w:hAnsi="Century" w:hint="cs"/>
          <w:rtl/>
        </w:rPr>
        <w:t xml:space="preserve">", כך שהדגש הוא על שיקול הדעת המינהלי ביחס לשיקולים שהניעו את קבלת ההחלטה (להלן: </w:t>
      </w:r>
      <w:r w:rsidRPr="00505EA2">
        <w:rPr>
          <w:rFonts w:ascii="Century" w:hAnsi="Century" w:cs="Miriam" w:hint="cs"/>
          <w:b/>
          <w:spacing w:val="0"/>
          <w:szCs w:val="24"/>
          <w:rtl/>
        </w:rPr>
        <w:t>סבירות איזונית</w:t>
      </w:r>
      <w:r w:rsidRPr="00F60AAC">
        <w:rPr>
          <w:rFonts w:ascii="Century" w:hAnsi="Century" w:hint="cs"/>
          <w:rtl/>
        </w:rPr>
        <w:t>) (</w:t>
      </w:r>
      <w:r w:rsidRPr="00F60AAC">
        <w:rPr>
          <w:rFonts w:ascii="Century" w:hAnsi="Century"/>
          <w:rtl/>
        </w:rPr>
        <w:t xml:space="preserve">דפנה ברק-ארז </w:t>
      </w:r>
      <w:r w:rsidRPr="00505EA2">
        <w:rPr>
          <w:rFonts w:ascii="Century" w:hAnsi="Century" w:cs="Miriam"/>
          <w:b/>
          <w:spacing w:val="0"/>
          <w:szCs w:val="24"/>
          <w:rtl/>
        </w:rPr>
        <w:t>משפט מינהלי</w:t>
      </w:r>
      <w:r w:rsidRPr="00505EA2">
        <w:rPr>
          <w:rFonts w:ascii="Century" w:hAnsi="Century"/>
          <w:rtl/>
        </w:rPr>
        <w:t xml:space="preserve"> </w:t>
      </w:r>
      <w:r w:rsidRPr="00F60AAC">
        <w:rPr>
          <w:rFonts w:ascii="Century" w:hAnsi="Century" w:hint="cs"/>
          <w:rtl/>
        </w:rPr>
        <w:t xml:space="preserve">כרך ב </w:t>
      </w:r>
      <w:r>
        <w:rPr>
          <w:rFonts w:ascii="Century" w:hAnsi="Century" w:hint="cs"/>
          <w:rtl/>
        </w:rPr>
        <w:t>726</w:t>
      </w:r>
      <w:r w:rsidRPr="00F60AAC">
        <w:rPr>
          <w:rFonts w:ascii="Century" w:hAnsi="Century"/>
          <w:rtl/>
        </w:rPr>
        <w:t xml:space="preserve">-723 (2010), להלן: </w:t>
      </w:r>
      <w:r w:rsidRPr="00505EA2">
        <w:rPr>
          <w:rFonts w:ascii="Century" w:hAnsi="Century" w:cs="Miriam"/>
          <w:b/>
          <w:spacing w:val="0"/>
          <w:szCs w:val="24"/>
          <w:rtl/>
        </w:rPr>
        <w:t>ברק-ארז</w:t>
      </w:r>
      <w:r w:rsidRPr="00F60AAC">
        <w:rPr>
          <w:rFonts w:ascii="Century" w:hAnsi="Century"/>
          <w:rtl/>
        </w:rPr>
        <w:t>).</w:t>
      </w:r>
      <w:r w:rsidRPr="00F60AAC">
        <w:rPr>
          <w:rFonts w:ascii="Century" w:hAnsi="Century" w:hint="cs"/>
          <w:rtl/>
        </w:rPr>
        <w:t xml:space="preserve"> נוסף </w:t>
      </w:r>
      <w:r>
        <w:rPr>
          <w:rFonts w:ascii="Century" w:hAnsi="Century" w:hint="cs"/>
          <w:rtl/>
        </w:rPr>
        <w:t>על כך</w:t>
      </w:r>
      <w:r w:rsidRPr="00F60AAC">
        <w:rPr>
          <w:rFonts w:ascii="Century" w:hAnsi="Century" w:hint="cs"/>
          <w:rtl/>
        </w:rPr>
        <w:t xml:space="preserve">, </w:t>
      </w:r>
      <w:r w:rsidRPr="00F60AAC">
        <w:rPr>
          <w:rFonts w:ascii="Century" w:hAnsi="Century"/>
          <w:rtl/>
        </w:rPr>
        <w:t xml:space="preserve">בעוד בעבר נהוג </w:t>
      </w:r>
      <w:r w:rsidRPr="00F60AAC">
        <w:rPr>
          <w:rFonts w:ascii="Century" w:hAnsi="Century" w:hint="cs"/>
          <w:rtl/>
        </w:rPr>
        <w:t xml:space="preserve">היה </w:t>
      </w:r>
      <w:r w:rsidRPr="00F60AAC">
        <w:rPr>
          <w:rFonts w:ascii="Century" w:hAnsi="Century"/>
          <w:rtl/>
        </w:rPr>
        <w:t xml:space="preserve">לקשור את </w:t>
      </w:r>
      <w:r w:rsidRPr="00F60AAC">
        <w:rPr>
          <w:rFonts w:ascii="Century" w:hAnsi="Century" w:hint="cs"/>
          <w:rtl/>
        </w:rPr>
        <w:t>עילת הסבירות</w:t>
      </w:r>
      <w:r w:rsidRPr="00F60AAC">
        <w:rPr>
          <w:rFonts w:ascii="Century" w:hAnsi="Century"/>
          <w:rtl/>
        </w:rPr>
        <w:t xml:space="preserve"> עם עילות אחרות מהמשפט המ</w:t>
      </w:r>
      <w:r>
        <w:rPr>
          <w:rFonts w:ascii="Century" w:hAnsi="Century" w:hint="cs"/>
          <w:rtl/>
        </w:rPr>
        <w:t>י</w:t>
      </w:r>
      <w:r w:rsidRPr="00F60AAC">
        <w:rPr>
          <w:rFonts w:ascii="Century" w:hAnsi="Century"/>
          <w:rtl/>
        </w:rPr>
        <w:t>נהלי</w:t>
      </w:r>
      <w:r w:rsidRPr="00F60AAC">
        <w:rPr>
          <w:rFonts w:ascii="Century" w:hAnsi="Century" w:hint="cs"/>
          <w:rtl/>
        </w:rPr>
        <w:t xml:space="preserve"> </w:t>
      </w:r>
      <w:r w:rsidRPr="00F60AAC">
        <w:rPr>
          <w:rFonts w:ascii="Century" w:hAnsi="Century"/>
          <w:rtl/>
        </w:rPr>
        <w:t>–</w:t>
      </w:r>
      <w:r w:rsidRPr="00F60AAC">
        <w:rPr>
          <w:rFonts w:ascii="Century" w:hAnsi="Century" w:hint="cs"/>
          <w:rtl/>
        </w:rPr>
        <w:t xml:space="preserve"> כדוגמת</w:t>
      </w:r>
      <w:r w:rsidRPr="00F60AAC">
        <w:rPr>
          <w:rFonts w:ascii="Century" w:hAnsi="Century"/>
          <w:rtl/>
        </w:rPr>
        <w:t xml:space="preserve"> שיקולים זרים, הפליה או חוסר תום לב</w:t>
      </w:r>
      <w:r w:rsidRPr="00F60AAC">
        <w:rPr>
          <w:rFonts w:ascii="Century" w:hAnsi="Century" w:hint="cs"/>
          <w:rtl/>
        </w:rPr>
        <w:t xml:space="preserve"> </w:t>
      </w:r>
      <w:r w:rsidRPr="00F60AAC">
        <w:rPr>
          <w:rFonts w:ascii="Century" w:hAnsi="Century"/>
          <w:rtl/>
        </w:rPr>
        <w:t xml:space="preserve">– </w:t>
      </w:r>
      <w:r>
        <w:rPr>
          <w:rFonts w:ascii="Century" w:hAnsi="Century" w:hint="cs"/>
          <w:rtl/>
        </w:rPr>
        <w:t>זה מכבר</w:t>
      </w:r>
      <w:r w:rsidRPr="00F60AAC">
        <w:rPr>
          <w:rFonts w:ascii="Century" w:hAnsi="Century"/>
          <w:rtl/>
        </w:rPr>
        <w:t xml:space="preserve"> </w:t>
      </w:r>
      <w:r>
        <w:rPr>
          <w:rFonts w:ascii="Century" w:hAnsi="Century" w:hint="cs"/>
          <w:rtl/>
        </w:rPr>
        <w:t xml:space="preserve">משמשת </w:t>
      </w:r>
      <w:r w:rsidRPr="00F60AAC">
        <w:rPr>
          <w:rFonts w:ascii="Century" w:hAnsi="Century"/>
          <w:rtl/>
        </w:rPr>
        <w:t xml:space="preserve">עילת הסבירות </w:t>
      </w:r>
      <w:r w:rsidRPr="00F60AAC">
        <w:rPr>
          <w:rFonts w:ascii="Century" w:hAnsi="Century" w:hint="cs"/>
          <w:rtl/>
        </w:rPr>
        <w:t>כעילת ביקורת</w:t>
      </w:r>
      <w:r w:rsidRPr="00F60AAC">
        <w:rPr>
          <w:rFonts w:ascii="Century" w:hAnsi="Century"/>
          <w:rtl/>
        </w:rPr>
        <w:t xml:space="preserve"> עצמאי</w:t>
      </w:r>
      <w:r w:rsidRPr="00F60AAC">
        <w:rPr>
          <w:rFonts w:ascii="Century" w:hAnsi="Century" w:hint="cs"/>
          <w:rtl/>
        </w:rPr>
        <w:t>ת</w:t>
      </w:r>
      <w:r w:rsidRPr="00F60AAC">
        <w:rPr>
          <w:rFonts w:ascii="Century" w:hAnsi="Century"/>
          <w:rtl/>
        </w:rPr>
        <w:t xml:space="preserve"> (</w:t>
      </w:r>
      <w:r w:rsidRPr="00505EA2">
        <w:rPr>
          <w:rFonts w:ascii="Century" w:hAnsi="Century" w:cs="Miriam"/>
          <w:b/>
          <w:spacing w:val="0"/>
          <w:szCs w:val="24"/>
          <w:rtl/>
        </w:rPr>
        <w:t>ברק-ארז</w:t>
      </w:r>
      <w:r w:rsidRPr="00F60AAC">
        <w:rPr>
          <w:rFonts w:ascii="Century" w:hAnsi="Century"/>
          <w:rtl/>
        </w:rPr>
        <w:t xml:space="preserve">, עמ' 725; ראו גם: יצחק זמיר </w:t>
      </w:r>
      <w:r w:rsidRPr="00505EA2">
        <w:rPr>
          <w:rFonts w:ascii="Century" w:hAnsi="Century" w:cs="Miriam"/>
          <w:b/>
          <w:spacing w:val="0"/>
          <w:szCs w:val="24"/>
          <w:rtl/>
        </w:rPr>
        <w:t>הסמכות המינהלית</w:t>
      </w:r>
      <w:r w:rsidRPr="00505EA2">
        <w:rPr>
          <w:rFonts w:ascii="Century" w:hAnsi="Century"/>
          <w:rtl/>
        </w:rPr>
        <w:t xml:space="preserve"> </w:t>
      </w:r>
      <w:r>
        <w:rPr>
          <w:rFonts w:ascii="Century" w:hAnsi="Century" w:hint="cs"/>
          <w:rtl/>
        </w:rPr>
        <w:t>כרך ה 3850-3849</w:t>
      </w:r>
      <w:r w:rsidRPr="00F60AAC">
        <w:rPr>
          <w:rFonts w:ascii="Century" w:hAnsi="Century"/>
          <w:rtl/>
        </w:rPr>
        <w:t xml:space="preserve"> (2020), להלן: </w:t>
      </w:r>
      <w:r w:rsidRPr="00505EA2">
        <w:rPr>
          <w:rFonts w:ascii="Century" w:hAnsi="Century" w:cs="Miriam"/>
          <w:b/>
          <w:spacing w:val="0"/>
          <w:szCs w:val="24"/>
          <w:rtl/>
        </w:rPr>
        <w:t>זמיר</w:t>
      </w:r>
      <w:r w:rsidRPr="00F60AAC">
        <w:rPr>
          <w:rFonts w:ascii="Century" w:hAnsi="Century"/>
          <w:rtl/>
        </w:rPr>
        <w:t>).</w:t>
      </w:r>
    </w:p>
    <w:p w:rsidR="00AC74AF" w:rsidRPr="00F60AAC" w:rsidRDefault="00AC74AF" w:rsidP="00AC74AF">
      <w:pPr>
        <w:pStyle w:val="Ruller41"/>
        <w:rPr>
          <w:rFonts w:ascii="Century" w:hAnsi="Century"/>
          <w:rtl/>
        </w:rPr>
      </w:pPr>
    </w:p>
    <w:p w:rsidR="00AC74AF" w:rsidRPr="00F60AAC" w:rsidRDefault="00AC74AF" w:rsidP="00AC74AF">
      <w:pPr>
        <w:pStyle w:val="Ruller41"/>
        <w:rPr>
          <w:rFonts w:ascii="Century" w:hAnsi="Century"/>
          <w:rtl/>
        </w:rPr>
      </w:pPr>
      <w:r>
        <w:rPr>
          <w:rFonts w:ascii="Century" w:hAnsi="Century" w:hint="cs"/>
          <w:rtl/>
        </w:rPr>
        <w:t>8</w:t>
      </w:r>
      <w:r w:rsidRPr="00F60AAC">
        <w:rPr>
          <w:rFonts w:ascii="Century" w:hAnsi="Century" w:hint="cs"/>
          <w:rtl/>
        </w:rPr>
        <w:t>.</w:t>
      </w:r>
      <w:r w:rsidRPr="00F60AAC">
        <w:rPr>
          <w:rFonts w:ascii="Century" w:hAnsi="Century"/>
          <w:rtl/>
        </w:rPr>
        <w:tab/>
      </w:r>
      <w:r w:rsidRPr="00F60AAC">
        <w:rPr>
          <w:rFonts w:ascii="Century" w:hAnsi="Century" w:hint="cs"/>
          <w:rtl/>
        </w:rPr>
        <w:t>הנה כי כן, ביסוד עילת הסבירות האיזונית ניצבת ההנחה שלפיה החלטות מ</w:t>
      </w:r>
      <w:r>
        <w:rPr>
          <w:rFonts w:ascii="Century" w:hAnsi="Century" w:hint="cs"/>
          <w:rtl/>
        </w:rPr>
        <w:t>י</w:t>
      </w:r>
      <w:r w:rsidRPr="00F60AAC">
        <w:rPr>
          <w:rFonts w:ascii="Century" w:hAnsi="Century" w:hint="cs"/>
          <w:rtl/>
        </w:rPr>
        <w:t>נהליות המתקבלות מבלי שהרשות שקלה כדבעי את מכלול השיקולים הרלוונטיים, או מבלי לתת לשיקולים אלה משקל ראוי, הן החלטות העלולות לפגוע בפרט או בציבור בכללותו. משכך, עילה זו כפי שהתעצבה בפסיקה, מתמקדת ככלל ברציונליות של ההחלטה המינהלית:</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5"/>
        <w:rPr>
          <w:rtl/>
        </w:rPr>
      </w:pPr>
      <w:r w:rsidRPr="00F60AAC">
        <w:rPr>
          <w:rFonts w:hint="cs"/>
          <w:rtl/>
        </w:rPr>
        <w:t>"</w:t>
      </w:r>
      <w:r w:rsidRPr="00F60AAC">
        <w:rPr>
          <w:rtl/>
        </w:rPr>
        <w:t xml:space="preserve">באמצעות עילה זו, נבחנת הרציונליות שבהחלטת המינהל כמושג נורמטיבי, ולצורך בחינה זו נקבעו אמות מידה שעל בית המשפט לבחון, קרי: האם נשקלו על ידי </w:t>
      </w:r>
      <w:r w:rsidRPr="00F60AAC">
        <w:rPr>
          <w:rtl/>
        </w:rPr>
        <w:lastRenderedPageBreak/>
        <w:t>הרשות המינהלית מלוא השיקולים הרלבנטיים לענין, והם בלבד, או שמא נשקלו שיקולים זרים וחיצוניים לענין; שנית, האם הרשות ייחסה לכל אחד מהשיקולים הרלבנטיים את משקלו היחסי הראוי, והגיעה באמצעות שקילה זו לנקודת איזון ה</w:t>
      </w:r>
      <w:r>
        <w:rPr>
          <w:rtl/>
        </w:rPr>
        <w:t>מצויה במתחם הסבירות הנתון לה. מ</w:t>
      </w:r>
      <w:r w:rsidRPr="00F60AAC">
        <w:rPr>
          <w:rtl/>
        </w:rPr>
        <w:t>תחם סבירות זה עשוי להשתנות מענין לענין, בהתאם לנתוניו ולמאפייניו של המקרה. בלא הבטחה כי החלטת המינהל תהא סבירה ורציונלית, צפויים הפרט והציבור להיפגע פגיעה קשה. אין די בקבלת החלטה מינהלית בסמכות ובתום לב. על ההחלטה להיות רציונלית ונבונה במסגרת מיתחם שיקול הדעת הנתון לרשות המוסמכת</w:t>
      </w:r>
      <w:r w:rsidRPr="00F60AAC">
        <w:rPr>
          <w:rFonts w:hint="cs"/>
          <w:rtl/>
        </w:rPr>
        <w:t xml:space="preserve">" (5853/07 </w:t>
      </w:r>
      <w:r w:rsidRPr="00D93D6E">
        <w:rPr>
          <w:rFonts w:ascii="Century" w:hAnsi="Century" w:cs="Miriam" w:hint="cs"/>
          <w:b/>
          <w:spacing w:val="0"/>
          <w:szCs w:val="24"/>
          <w:rtl/>
        </w:rPr>
        <w:t xml:space="preserve">אמונה תנועת האישה הדתית לאומית נ' ראש </w:t>
      </w:r>
      <w:r>
        <w:rPr>
          <w:rFonts w:ascii="Century" w:hAnsi="Century" w:cs="Miriam" w:hint="cs"/>
          <w:b/>
          <w:spacing w:val="0"/>
          <w:szCs w:val="24"/>
          <w:rtl/>
        </w:rPr>
        <w:t>הממשלה</w:t>
      </w:r>
      <w:r w:rsidRPr="00F60AAC">
        <w:rPr>
          <w:rFonts w:hint="cs"/>
          <w:rtl/>
        </w:rPr>
        <w:t xml:space="preserve">, פסקה 33 לפסק דינה של השופטת </w:t>
      </w:r>
      <w:r w:rsidRPr="00412896">
        <w:rPr>
          <w:rFonts w:ascii="Century" w:hAnsi="Century" w:cs="Miriam" w:hint="cs"/>
          <w:b/>
          <w:spacing w:val="0"/>
          <w:szCs w:val="24"/>
          <w:rtl/>
        </w:rPr>
        <w:t>א' פרוקצ'יה</w:t>
      </w:r>
      <w:r w:rsidRPr="00412896">
        <w:rPr>
          <w:rFonts w:hint="cs"/>
          <w:rtl/>
        </w:rPr>
        <w:t xml:space="preserve"> </w:t>
      </w:r>
      <w:r w:rsidRPr="00F60AAC">
        <w:rPr>
          <w:rFonts w:hint="cs"/>
          <w:rtl/>
        </w:rPr>
        <w:t>(6.12.2007)</w:t>
      </w:r>
      <w:r>
        <w:rPr>
          <w:rFonts w:hint="cs"/>
          <w:rtl/>
        </w:rPr>
        <w:t xml:space="preserve">, להלן: </w:t>
      </w:r>
      <w:r w:rsidRPr="00666745">
        <w:rPr>
          <w:rFonts w:ascii="Century" w:hAnsi="Century" w:cs="Miriam" w:hint="cs"/>
          <w:b/>
          <w:spacing w:val="0"/>
          <w:szCs w:val="24"/>
          <w:rtl/>
        </w:rPr>
        <w:t>עניין אמונה</w:t>
      </w:r>
      <w:r w:rsidRPr="00F60AAC">
        <w:rPr>
          <w:rFonts w:hint="cs"/>
          <w:rtl/>
        </w:rPr>
        <w:t>) (</w:t>
      </w:r>
      <w:r w:rsidRPr="00F60AAC">
        <w:rPr>
          <w:rtl/>
        </w:rPr>
        <w:t xml:space="preserve">ראו גם: </w:t>
      </w:r>
      <w:r w:rsidRPr="00D93D6E">
        <w:rPr>
          <w:rFonts w:ascii="Century" w:hAnsi="Century" w:cs="Miriam"/>
          <w:b/>
          <w:spacing w:val="0"/>
          <w:szCs w:val="24"/>
          <w:rtl/>
        </w:rPr>
        <w:t>ברק-ארז</w:t>
      </w:r>
      <w:r w:rsidRPr="00D93D6E">
        <w:rPr>
          <w:rtl/>
        </w:rPr>
        <w:t xml:space="preserve"> </w:t>
      </w:r>
      <w:r>
        <w:rPr>
          <w:rFonts w:hint="cs"/>
          <w:rtl/>
        </w:rPr>
        <w:t>728</w:t>
      </w:r>
      <w:r w:rsidRPr="00F60AAC">
        <w:rPr>
          <w:rtl/>
        </w:rPr>
        <w:t xml:space="preserve">-723; </w:t>
      </w:r>
      <w:r w:rsidRPr="00D93D6E">
        <w:rPr>
          <w:rFonts w:ascii="Century" w:hAnsi="Century" w:cs="Miriam"/>
          <w:b/>
          <w:spacing w:val="0"/>
          <w:szCs w:val="24"/>
          <w:rtl/>
        </w:rPr>
        <w:t>זמיר</w:t>
      </w:r>
      <w:r w:rsidRPr="00D93D6E">
        <w:rPr>
          <w:rtl/>
        </w:rPr>
        <w:t xml:space="preserve"> </w:t>
      </w:r>
      <w:r>
        <w:rPr>
          <w:rtl/>
        </w:rPr>
        <w:t>3849</w:t>
      </w:r>
      <w:r>
        <w:rPr>
          <w:rFonts w:hint="cs"/>
          <w:rtl/>
        </w:rPr>
        <w:t>, 3853-3852</w:t>
      </w:r>
      <w:r w:rsidRPr="00F60AAC">
        <w:rPr>
          <w:rtl/>
        </w:rPr>
        <w:t>)</w:t>
      </w:r>
      <w:r w:rsidRPr="00F60AAC">
        <w:rPr>
          <w:rFonts w:hint="cs"/>
          <w:rtl/>
        </w:rPr>
        <w:t>.</w:t>
      </w:r>
    </w:p>
    <w:p w:rsidR="00AC74AF" w:rsidRPr="00F60AAC" w:rsidRDefault="00AC74AF" w:rsidP="004252F2">
      <w:pPr>
        <w:pStyle w:val="Ruller41"/>
        <w:rPr>
          <w:rFonts w:ascii="Century" w:hAnsi="Century"/>
          <w:rtl/>
        </w:rPr>
      </w:pPr>
    </w:p>
    <w:p w:rsidR="00AC74AF" w:rsidRPr="00F60AAC" w:rsidRDefault="00AC74AF" w:rsidP="00AC74AF">
      <w:pPr>
        <w:pStyle w:val="Ruller41"/>
        <w:rPr>
          <w:rFonts w:ascii="Century" w:hAnsi="Century"/>
          <w:rtl/>
        </w:rPr>
      </w:pPr>
      <w:r>
        <w:rPr>
          <w:rFonts w:ascii="Century" w:hAnsi="Century" w:hint="cs"/>
          <w:rtl/>
        </w:rPr>
        <w:t>9</w:t>
      </w:r>
      <w:r w:rsidRPr="00F60AAC">
        <w:rPr>
          <w:rFonts w:ascii="Century" w:hAnsi="Century" w:hint="cs"/>
          <w:rtl/>
        </w:rPr>
        <w:t>.</w:t>
      </w:r>
      <w:r w:rsidRPr="00F60AAC">
        <w:rPr>
          <w:rFonts w:ascii="Century" w:hAnsi="Century"/>
          <w:rtl/>
        </w:rPr>
        <w:tab/>
      </w:r>
      <w:r w:rsidRPr="00F60AAC">
        <w:rPr>
          <w:rFonts w:ascii="Century" w:hAnsi="Century" w:hint="cs"/>
          <w:rtl/>
        </w:rPr>
        <w:t>אבן דרך משמעותית בהתפתחותה של עילת הסבירות האיזונית במשפט הישראלי היא פסק הדין שניתן ב-</w:t>
      </w:r>
      <w:r w:rsidRPr="00F60AAC">
        <w:rPr>
          <w:rFonts w:ascii="Century" w:hAnsi="Century"/>
          <w:rtl/>
        </w:rPr>
        <w:t xml:space="preserve">בג"ץ 389/80 </w:t>
      </w:r>
      <w:r w:rsidRPr="00456B6E">
        <w:rPr>
          <w:rFonts w:ascii="Century" w:hAnsi="Century" w:cs="Miriam"/>
          <w:b/>
          <w:spacing w:val="0"/>
          <w:szCs w:val="24"/>
          <w:rtl/>
        </w:rPr>
        <w:t>דפי זהב בע"מ נ' רשות השידור</w:t>
      </w:r>
      <w:r w:rsidRPr="00F60AAC">
        <w:rPr>
          <w:rFonts w:ascii="Century" w:hAnsi="Century"/>
          <w:rtl/>
        </w:rPr>
        <w:t xml:space="preserve">, פ"ד לה(1) 421, 435 (1980) </w:t>
      </w:r>
      <w:r w:rsidRPr="00F60AAC">
        <w:rPr>
          <w:rFonts w:ascii="Century" w:hAnsi="Century" w:hint="cs"/>
          <w:rtl/>
        </w:rPr>
        <w:t>(</w:t>
      </w:r>
      <w:r w:rsidRPr="00F60AAC">
        <w:rPr>
          <w:rFonts w:ascii="Century" w:hAnsi="Century"/>
          <w:rtl/>
        </w:rPr>
        <w:t xml:space="preserve">להלן: </w:t>
      </w:r>
      <w:r w:rsidRPr="00456B6E">
        <w:rPr>
          <w:rFonts w:ascii="Century" w:hAnsi="Century" w:cs="Miriam"/>
          <w:b/>
          <w:spacing w:val="0"/>
          <w:szCs w:val="24"/>
          <w:rtl/>
        </w:rPr>
        <w:t>עניין דפי זהב</w:t>
      </w:r>
      <w:r w:rsidRPr="00F60AAC">
        <w:rPr>
          <w:rFonts w:ascii="Century" w:hAnsi="Century" w:hint="cs"/>
          <w:rtl/>
        </w:rPr>
        <w:t xml:space="preserve">); ויש אף מי שרואים בו "קו פרשת מים" </w:t>
      </w:r>
      <w:r>
        <w:rPr>
          <w:rFonts w:ascii="Century" w:hAnsi="Century" w:hint="cs"/>
          <w:rtl/>
        </w:rPr>
        <w:t xml:space="preserve">בהתפתחותה של עילת הסבירות </w:t>
      </w:r>
      <w:r>
        <w:rPr>
          <w:rFonts w:ascii="Century" w:hAnsi="Century"/>
          <w:rtl/>
        </w:rPr>
        <w:t>–</w:t>
      </w:r>
      <w:r>
        <w:rPr>
          <w:rFonts w:ascii="Century" w:hAnsi="Century" w:hint="cs"/>
          <w:rtl/>
        </w:rPr>
        <w:t xml:space="preserve"> מסבירות מסורתית לסבירות </w:t>
      </w:r>
      <w:r w:rsidRPr="00F60AAC">
        <w:rPr>
          <w:rFonts w:ascii="Century" w:hAnsi="Century" w:hint="cs"/>
          <w:rtl/>
        </w:rPr>
        <w:t xml:space="preserve">איזונית </w:t>
      </w:r>
      <w:r>
        <w:rPr>
          <w:rFonts w:ascii="Century" w:hAnsi="Century"/>
          <w:rtl/>
        </w:rPr>
        <w:t>–</w:t>
      </w:r>
      <w:r>
        <w:rPr>
          <w:rFonts w:ascii="Century" w:hAnsi="Century" w:hint="cs"/>
          <w:rtl/>
        </w:rPr>
        <w:t xml:space="preserve"> על אף שאינני שותפה לתפיסה זו </w:t>
      </w:r>
      <w:r w:rsidRPr="00F60AAC">
        <w:rPr>
          <w:rFonts w:ascii="Century" w:hAnsi="Century" w:hint="cs"/>
          <w:rtl/>
        </w:rPr>
        <w:t xml:space="preserve">(ראו, למשל, </w:t>
      </w:r>
      <w:r w:rsidRPr="00F60AAC">
        <w:rPr>
          <w:rFonts w:ascii="Century" w:hAnsi="Century"/>
          <w:rtl/>
        </w:rPr>
        <w:t xml:space="preserve">בג"ץ 6728/06 </w:t>
      </w:r>
      <w:r w:rsidRPr="00456B6E">
        <w:rPr>
          <w:rFonts w:ascii="Century" w:hAnsi="Century" w:cs="Miriam"/>
          <w:b/>
          <w:spacing w:val="0"/>
          <w:szCs w:val="24"/>
          <w:rtl/>
        </w:rPr>
        <w:t>עמותת "אומץ" (אזרחים למען מינהל תקין וצדק חברתי</w:t>
      </w:r>
      <w:r w:rsidRPr="00456B6E">
        <w:rPr>
          <w:rFonts w:ascii="Century" w:hAnsi="Century" w:cs="Miriam" w:hint="cs"/>
          <w:b/>
          <w:spacing w:val="0"/>
          <w:szCs w:val="24"/>
          <w:rtl/>
        </w:rPr>
        <w:t>)</w:t>
      </w:r>
      <w:r w:rsidRPr="00456B6E">
        <w:rPr>
          <w:rFonts w:ascii="Century" w:hAnsi="Century" w:cs="Miriam"/>
          <w:b/>
          <w:spacing w:val="0"/>
          <w:szCs w:val="24"/>
          <w:rtl/>
        </w:rPr>
        <w:t xml:space="preserve"> נ' ראש ממשלת ישראל</w:t>
      </w:r>
      <w:r w:rsidRPr="00F60AAC">
        <w:rPr>
          <w:rFonts w:ascii="Century" w:hAnsi="Century"/>
          <w:rtl/>
        </w:rPr>
        <w:t xml:space="preserve">, </w:t>
      </w:r>
      <w:r w:rsidRPr="00F60AAC">
        <w:rPr>
          <w:rFonts w:ascii="Century" w:hAnsi="Century" w:hint="cs"/>
          <w:rtl/>
        </w:rPr>
        <w:t xml:space="preserve">פסקה 7 לחוות דעתו של השופט </w:t>
      </w:r>
      <w:r w:rsidRPr="00456B6E">
        <w:rPr>
          <w:rFonts w:ascii="Century" w:hAnsi="Century" w:cs="Miriam" w:hint="cs"/>
          <w:b/>
          <w:spacing w:val="0"/>
          <w:szCs w:val="24"/>
          <w:rtl/>
        </w:rPr>
        <w:t>א' גרוניס</w:t>
      </w:r>
      <w:r w:rsidRPr="00456B6E">
        <w:rPr>
          <w:rFonts w:ascii="Century" w:hAnsi="Century"/>
          <w:rtl/>
        </w:rPr>
        <w:t xml:space="preserve"> </w:t>
      </w:r>
      <w:r w:rsidRPr="00F60AAC">
        <w:rPr>
          <w:rFonts w:ascii="Century" w:hAnsi="Century"/>
          <w:rtl/>
        </w:rPr>
        <w:t>(30.11.2006)</w:t>
      </w:r>
      <w:r w:rsidRPr="00F60AAC">
        <w:rPr>
          <w:rFonts w:ascii="Century" w:hAnsi="Century" w:hint="cs"/>
          <w:rtl/>
        </w:rPr>
        <w:t>;</w:t>
      </w:r>
      <w:r w:rsidRPr="00F60AAC">
        <w:rPr>
          <w:rFonts w:ascii="Century" w:hAnsi="Century"/>
          <w:rtl/>
        </w:rPr>
        <w:t xml:space="preserve"> רע"א 2063/16 </w:t>
      </w:r>
      <w:r w:rsidRPr="00456B6E">
        <w:rPr>
          <w:rFonts w:ascii="Century" w:hAnsi="Century" w:cs="Miriam"/>
          <w:b/>
          <w:spacing w:val="0"/>
          <w:szCs w:val="24"/>
          <w:rtl/>
        </w:rPr>
        <w:t>גליק נ' משטרת ישראל</w:t>
      </w:r>
      <w:r w:rsidRPr="00F60AAC">
        <w:rPr>
          <w:rFonts w:ascii="Century" w:hAnsi="Century" w:hint="cs"/>
          <w:rtl/>
        </w:rPr>
        <w:t xml:space="preserve">, פסקה 21 לחוות דעתו של השופט </w:t>
      </w:r>
      <w:r w:rsidRPr="00456B6E">
        <w:rPr>
          <w:rFonts w:ascii="Century" w:hAnsi="Century" w:cs="Miriam" w:hint="cs"/>
          <w:b/>
          <w:spacing w:val="0"/>
          <w:szCs w:val="24"/>
          <w:rtl/>
        </w:rPr>
        <w:t>י' עמית</w:t>
      </w:r>
      <w:r w:rsidRPr="00456B6E">
        <w:rPr>
          <w:rFonts w:ascii="Century" w:hAnsi="Century"/>
          <w:rtl/>
        </w:rPr>
        <w:t xml:space="preserve"> </w:t>
      </w:r>
      <w:r w:rsidRPr="00F60AAC">
        <w:rPr>
          <w:rFonts w:ascii="Century" w:hAnsi="Century"/>
          <w:rtl/>
        </w:rPr>
        <w:t>(19.</w:t>
      </w:r>
      <w:r w:rsidRPr="00F60AAC">
        <w:rPr>
          <w:rFonts w:ascii="Century" w:hAnsi="Century" w:hint="cs"/>
          <w:rtl/>
        </w:rPr>
        <w:t>1</w:t>
      </w:r>
      <w:r w:rsidRPr="00F60AAC">
        <w:rPr>
          <w:rFonts w:ascii="Century" w:hAnsi="Century"/>
          <w:rtl/>
        </w:rPr>
        <w:t>.2017)</w:t>
      </w:r>
      <w:r w:rsidRPr="00F60AAC">
        <w:rPr>
          <w:rFonts w:ascii="Century" w:hAnsi="Century" w:hint="cs"/>
          <w:rtl/>
        </w:rPr>
        <w:t xml:space="preserve">; </w:t>
      </w:r>
      <w:r w:rsidRPr="00F60AAC">
        <w:rPr>
          <w:rFonts w:ascii="Century" w:hAnsi="Century"/>
          <w:rtl/>
        </w:rPr>
        <w:t xml:space="preserve">דנ"פ 5387/20 </w:t>
      </w:r>
      <w:r w:rsidRPr="00456B6E">
        <w:rPr>
          <w:rFonts w:ascii="Century" w:hAnsi="Century" w:cs="Miriam"/>
          <w:b/>
          <w:spacing w:val="0"/>
          <w:szCs w:val="24"/>
          <w:rtl/>
        </w:rPr>
        <w:t>רותם נ' מדינת ישראל</w:t>
      </w:r>
      <w:r w:rsidRPr="00F60AAC">
        <w:rPr>
          <w:rFonts w:ascii="Century" w:hAnsi="Century" w:hint="cs"/>
          <w:rtl/>
        </w:rPr>
        <w:t xml:space="preserve">, פסקה 105 לחוות דעתו של השופט </w:t>
      </w:r>
      <w:r w:rsidRPr="00456B6E">
        <w:rPr>
          <w:rFonts w:ascii="Century" w:hAnsi="Century" w:cs="Miriam" w:hint="cs"/>
          <w:b/>
          <w:spacing w:val="0"/>
          <w:szCs w:val="24"/>
          <w:rtl/>
        </w:rPr>
        <w:t>ע' פוגלמן</w:t>
      </w:r>
      <w:r w:rsidRPr="00F60AAC">
        <w:rPr>
          <w:rFonts w:ascii="Century" w:hAnsi="Century" w:hint="cs"/>
          <w:rtl/>
        </w:rPr>
        <w:t xml:space="preserve">, פסקאות 14-13 לחוות דעתה של הנשיאה </w:t>
      </w:r>
      <w:r w:rsidRPr="00456B6E">
        <w:rPr>
          <w:rFonts w:ascii="Century" w:hAnsi="Century" w:cs="Miriam" w:hint="cs"/>
          <w:b/>
          <w:spacing w:val="0"/>
          <w:szCs w:val="24"/>
          <w:rtl/>
        </w:rPr>
        <w:t>א' חיות</w:t>
      </w:r>
      <w:r w:rsidRPr="00F60AAC">
        <w:rPr>
          <w:rFonts w:ascii="Century" w:hAnsi="Century" w:hint="cs"/>
          <w:rtl/>
        </w:rPr>
        <w:t xml:space="preserve">, פסקה 5 לחוות דעתו של השופט </w:t>
      </w:r>
      <w:r w:rsidRPr="00456B6E">
        <w:rPr>
          <w:rFonts w:ascii="Century" w:hAnsi="Century" w:cs="Miriam" w:hint="cs"/>
          <w:b/>
          <w:spacing w:val="0"/>
          <w:szCs w:val="24"/>
          <w:rtl/>
        </w:rPr>
        <w:t>א' שטיין</w:t>
      </w:r>
      <w:r w:rsidRPr="00456B6E">
        <w:rPr>
          <w:rFonts w:ascii="Century" w:hAnsi="Century"/>
          <w:rtl/>
        </w:rPr>
        <w:t xml:space="preserve"> </w:t>
      </w:r>
      <w:r w:rsidRPr="00F60AAC">
        <w:rPr>
          <w:rFonts w:ascii="Century" w:hAnsi="Century"/>
          <w:rtl/>
        </w:rPr>
        <w:t>(15.12.2021))</w:t>
      </w:r>
      <w:r w:rsidRPr="00F60AAC">
        <w:rPr>
          <w:rFonts w:ascii="Century" w:hAnsi="Century" w:hint="cs"/>
          <w:rtl/>
        </w:rPr>
        <w:t xml:space="preserve">. </w:t>
      </w:r>
      <w:r w:rsidRPr="00F60AAC">
        <w:rPr>
          <w:rFonts w:ascii="Century" w:hAnsi="Century"/>
          <w:rtl/>
        </w:rPr>
        <w:t xml:space="preserve">בפסק </w:t>
      </w:r>
      <w:r w:rsidRPr="00F60AAC">
        <w:rPr>
          <w:rFonts w:ascii="Century" w:hAnsi="Century" w:hint="cs"/>
          <w:rtl/>
        </w:rPr>
        <w:t>ה</w:t>
      </w:r>
      <w:r w:rsidRPr="00F60AAC">
        <w:rPr>
          <w:rFonts w:ascii="Century" w:hAnsi="Century"/>
          <w:rtl/>
        </w:rPr>
        <w:t xml:space="preserve">דין </w:t>
      </w:r>
      <w:r w:rsidRPr="00F60AAC">
        <w:rPr>
          <w:rFonts w:ascii="Century" w:hAnsi="Century" w:hint="cs"/>
          <w:rtl/>
        </w:rPr>
        <w:t xml:space="preserve">בעניין </w:t>
      </w:r>
      <w:r w:rsidRPr="00ED4192">
        <w:rPr>
          <w:rFonts w:ascii="Century" w:hAnsi="Century" w:cs="Miriam" w:hint="cs"/>
          <w:b/>
          <w:spacing w:val="0"/>
          <w:szCs w:val="24"/>
          <w:rtl/>
        </w:rPr>
        <w:t>דפי זהב</w:t>
      </w:r>
      <w:r w:rsidRPr="00ED4192">
        <w:rPr>
          <w:rFonts w:ascii="Century" w:hAnsi="Century"/>
          <w:rtl/>
        </w:rPr>
        <w:t xml:space="preserve"> </w:t>
      </w:r>
      <w:r w:rsidRPr="00F60AAC">
        <w:rPr>
          <w:rFonts w:ascii="Century" w:hAnsi="Century"/>
          <w:rtl/>
        </w:rPr>
        <w:t xml:space="preserve">טבע </w:t>
      </w:r>
      <w:r w:rsidRPr="00F60AAC">
        <w:rPr>
          <w:rFonts w:ascii="Century" w:hAnsi="Century" w:hint="cs"/>
          <w:rtl/>
        </w:rPr>
        <w:t xml:space="preserve">השופט </w:t>
      </w:r>
      <w:r w:rsidRPr="00ED4192">
        <w:rPr>
          <w:rFonts w:ascii="Century" w:hAnsi="Century" w:cs="Miriam" w:hint="cs"/>
          <w:b/>
          <w:spacing w:val="0"/>
          <w:szCs w:val="24"/>
          <w:rtl/>
        </w:rPr>
        <w:t>א' ברק</w:t>
      </w:r>
      <w:r w:rsidRPr="00ED4192">
        <w:rPr>
          <w:rFonts w:ascii="Century" w:hAnsi="Century" w:hint="cs"/>
          <w:rtl/>
        </w:rPr>
        <w:t xml:space="preserve"> </w:t>
      </w:r>
      <w:r w:rsidRPr="00F60AAC">
        <w:rPr>
          <w:rFonts w:ascii="Century" w:hAnsi="Century"/>
          <w:rtl/>
        </w:rPr>
        <w:t>את המושג "</w:t>
      </w:r>
      <w:r w:rsidRPr="00ED4192">
        <w:rPr>
          <w:rFonts w:ascii="Century" w:hAnsi="Century" w:cs="Miriam"/>
          <w:b/>
          <w:spacing w:val="0"/>
          <w:szCs w:val="24"/>
          <w:rtl/>
        </w:rPr>
        <w:t>מתחם הסבירות</w:t>
      </w:r>
      <w:r w:rsidRPr="00F60AAC">
        <w:rPr>
          <w:rFonts w:ascii="Century" w:hAnsi="Century"/>
          <w:rtl/>
        </w:rPr>
        <w:t xml:space="preserve">", </w:t>
      </w:r>
      <w:r w:rsidRPr="00F60AAC">
        <w:rPr>
          <w:rFonts w:ascii="Century" w:hAnsi="Century" w:hint="cs"/>
          <w:rtl/>
        </w:rPr>
        <w:t>ה</w:t>
      </w:r>
      <w:r w:rsidRPr="00F60AAC">
        <w:rPr>
          <w:rFonts w:ascii="Century" w:hAnsi="Century"/>
          <w:rtl/>
        </w:rPr>
        <w:t>מתאר את תחום האפשרויות הפרושות לפני הרשות המ</w:t>
      </w:r>
      <w:r>
        <w:rPr>
          <w:rFonts w:ascii="Century" w:hAnsi="Century" w:hint="cs"/>
          <w:rtl/>
        </w:rPr>
        <w:t>י</w:t>
      </w:r>
      <w:r w:rsidRPr="00F60AAC">
        <w:rPr>
          <w:rFonts w:ascii="Century" w:hAnsi="Century"/>
          <w:rtl/>
        </w:rPr>
        <w:t xml:space="preserve">נהלית </w:t>
      </w:r>
      <w:r w:rsidRPr="00F60AAC">
        <w:rPr>
          <w:rFonts w:ascii="Century" w:hAnsi="Century" w:hint="cs"/>
          <w:rtl/>
        </w:rPr>
        <w:t>"</w:t>
      </w:r>
      <w:r w:rsidRPr="00ED4192">
        <w:rPr>
          <w:rFonts w:ascii="Century" w:hAnsi="Century" w:cs="Miriam"/>
          <w:b/>
          <w:spacing w:val="0"/>
          <w:szCs w:val="24"/>
          <w:rtl/>
        </w:rPr>
        <w:t>שהינן סבירות בנסיבות העניין</w:t>
      </w:r>
      <w:r w:rsidRPr="00F60AAC">
        <w:rPr>
          <w:rFonts w:ascii="Century" w:hAnsi="Century" w:hint="cs"/>
          <w:rtl/>
        </w:rPr>
        <w:t>"</w:t>
      </w:r>
      <w:r w:rsidRPr="00F60AAC">
        <w:rPr>
          <w:rFonts w:ascii="Century" w:hAnsi="Century"/>
          <w:rtl/>
        </w:rPr>
        <w:t xml:space="preserve">; קרי: אפשרויות שהן פרי איזון בין האינטרסים הרלוונטיים לעניין, </w:t>
      </w:r>
      <w:r w:rsidRPr="00F60AAC">
        <w:rPr>
          <w:rFonts w:ascii="Century" w:hAnsi="Century" w:hint="cs"/>
          <w:rtl/>
        </w:rPr>
        <w:t>שבגדרו</w:t>
      </w:r>
      <w:r w:rsidRPr="00F60AAC">
        <w:rPr>
          <w:rFonts w:ascii="Century" w:hAnsi="Century"/>
          <w:rtl/>
        </w:rPr>
        <w:t xml:space="preserve"> ניתן לכל אחד מהם משקל ראוי. </w:t>
      </w:r>
      <w:r w:rsidRPr="00F60AAC">
        <w:rPr>
          <w:rFonts w:ascii="Century" w:hAnsi="Century" w:hint="cs"/>
          <w:rtl/>
        </w:rPr>
        <w:t>בהמשך לכך הובהר על ידו,</w:t>
      </w:r>
      <w:r w:rsidRPr="00F60AAC">
        <w:rPr>
          <w:rFonts w:ascii="Century" w:hAnsi="Century"/>
          <w:rtl/>
        </w:rPr>
        <w:t xml:space="preserve"> כי בית המשפט יתערב אך </w:t>
      </w:r>
      <w:r w:rsidRPr="00F60AAC">
        <w:rPr>
          <w:rFonts w:ascii="Century" w:hAnsi="Century" w:hint="cs"/>
          <w:rtl/>
        </w:rPr>
        <w:t>בהחלטות</w:t>
      </w:r>
      <w:r w:rsidRPr="00F60AAC">
        <w:rPr>
          <w:rFonts w:ascii="Century" w:hAnsi="Century"/>
          <w:rtl/>
        </w:rPr>
        <w:t xml:space="preserve"> </w:t>
      </w:r>
      <w:r w:rsidRPr="00F60AAC">
        <w:rPr>
          <w:rFonts w:ascii="Century" w:hAnsi="Century" w:hint="cs"/>
          <w:rtl/>
        </w:rPr>
        <w:t>הסוטות</w:t>
      </w:r>
      <w:r w:rsidRPr="00F60AAC">
        <w:rPr>
          <w:rFonts w:ascii="Century" w:hAnsi="Century"/>
          <w:rtl/>
        </w:rPr>
        <w:t xml:space="preserve"> ממתחם זה</w:t>
      </w:r>
      <w:r w:rsidRPr="00F60AAC">
        <w:rPr>
          <w:rFonts w:ascii="Century" w:hAnsi="Century" w:hint="cs"/>
          <w:rtl/>
        </w:rPr>
        <w:t xml:space="preserve"> סטייה "</w:t>
      </w:r>
      <w:r w:rsidRPr="0049621D">
        <w:rPr>
          <w:rFonts w:ascii="Century" w:hAnsi="Century" w:cs="Miriam" w:hint="cs"/>
          <w:b/>
          <w:spacing w:val="0"/>
          <w:szCs w:val="24"/>
          <w:rtl/>
        </w:rPr>
        <w:t>מהותית, היורדת לשורש העניין</w:t>
      </w:r>
      <w:r w:rsidRPr="00F60AAC">
        <w:rPr>
          <w:rFonts w:ascii="Century" w:hAnsi="Century" w:hint="cs"/>
          <w:rtl/>
        </w:rPr>
        <w:t>"</w:t>
      </w:r>
      <w:r w:rsidRPr="00F60AAC">
        <w:rPr>
          <w:rFonts w:ascii="Century" w:hAnsi="Century"/>
          <w:rtl/>
        </w:rPr>
        <w:t>.</w:t>
      </w:r>
      <w:r w:rsidRPr="00F60AAC">
        <w:rPr>
          <w:rFonts w:ascii="Century" w:hAnsi="Century" w:hint="cs"/>
          <w:rtl/>
        </w:rPr>
        <w:t xml:space="preserve"> </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sidRPr="00F60AAC">
        <w:rPr>
          <w:rFonts w:ascii="Century" w:hAnsi="Century"/>
          <w:rtl/>
        </w:rPr>
        <w:tab/>
        <w:t xml:space="preserve">ואולם לסבירות האיזונית יש </w:t>
      </w:r>
      <w:r w:rsidRPr="00F60AAC">
        <w:rPr>
          <w:rFonts w:ascii="Century" w:hAnsi="Century" w:hint="cs"/>
          <w:rtl/>
        </w:rPr>
        <w:t xml:space="preserve">למעשה </w:t>
      </w:r>
      <w:r w:rsidRPr="00F60AAC">
        <w:rPr>
          <w:rFonts w:ascii="Century" w:hAnsi="Century"/>
          <w:rtl/>
        </w:rPr>
        <w:t xml:space="preserve">שורשים בפסיקה </w:t>
      </w:r>
      <w:r>
        <w:rPr>
          <w:rFonts w:ascii="Century" w:hAnsi="Century" w:hint="cs"/>
          <w:rtl/>
        </w:rPr>
        <w:t>ה</w:t>
      </w:r>
      <w:r w:rsidRPr="00F60AAC">
        <w:rPr>
          <w:rFonts w:ascii="Century" w:hAnsi="Century"/>
          <w:rtl/>
        </w:rPr>
        <w:t xml:space="preserve">קודמת לעניין </w:t>
      </w:r>
      <w:r w:rsidRPr="00ED4192">
        <w:rPr>
          <w:rFonts w:ascii="Century" w:hAnsi="Century" w:cs="Miriam"/>
          <w:b/>
          <w:spacing w:val="0"/>
          <w:szCs w:val="24"/>
          <w:rtl/>
        </w:rPr>
        <w:t>דפי זהב</w:t>
      </w:r>
      <w:r w:rsidRPr="00F60AAC">
        <w:rPr>
          <w:rFonts w:ascii="Century" w:hAnsi="Century"/>
          <w:rtl/>
        </w:rPr>
        <w:t xml:space="preserve">. </w:t>
      </w:r>
      <w:r w:rsidRPr="00F60AAC">
        <w:rPr>
          <w:rFonts w:ascii="Century" w:hAnsi="Century" w:hint="cs"/>
          <w:rtl/>
        </w:rPr>
        <w:t xml:space="preserve">כך, למשל, </w:t>
      </w:r>
      <w:r w:rsidRPr="00F60AAC">
        <w:rPr>
          <w:rFonts w:ascii="Century" w:hAnsi="Century"/>
          <w:rtl/>
        </w:rPr>
        <w:t>ב</w:t>
      </w:r>
      <w:r w:rsidRPr="00F60AAC">
        <w:rPr>
          <w:rFonts w:ascii="Century" w:hAnsi="Century" w:hint="cs"/>
          <w:rtl/>
        </w:rPr>
        <w:t>-</w:t>
      </w:r>
      <w:r w:rsidRPr="00F60AAC">
        <w:rPr>
          <w:rFonts w:ascii="Century" w:hAnsi="Century"/>
          <w:rtl/>
        </w:rPr>
        <w:t xml:space="preserve">בג"ץ 156/75 </w:t>
      </w:r>
      <w:r w:rsidRPr="00ED4192">
        <w:rPr>
          <w:rFonts w:ascii="Century" w:hAnsi="Century" w:cs="Miriam"/>
          <w:b/>
          <w:spacing w:val="0"/>
          <w:szCs w:val="24"/>
          <w:rtl/>
        </w:rPr>
        <w:t>דקה נ' שר התחבורה</w:t>
      </w:r>
      <w:r w:rsidRPr="00F60AAC">
        <w:rPr>
          <w:rFonts w:ascii="Century" w:hAnsi="Century"/>
          <w:rtl/>
        </w:rPr>
        <w:t xml:space="preserve">, פ"ד ל(2) 94, 105 (1976) (להלן: </w:t>
      </w:r>
      <w:r w:rsidRPr="00ED4192">
        <w:rPr>
          <w:rFonts w:ascii="Century" w:hAnsi="Century" w:cs="Miriam"/>
          <w:b/>
          <w:spacing w:val="0"/>
          <w:szCs w:val="24"/>
          <w:rtl/>
        </w:rPr>
        <w:t>עניין דקה</w:t>
      </w:r>
      <w:r w:rsidRPr="00F60AAC">
        <w:rPr>
          <w:rFonts w:ascii="Century" w:hAnsi="Century"/>
          <w:rtl/>
        </w:rPr>
        <w:t xml:space="preserve">), </w:t>
      </w:r>
      <w:r w:rsidRPr="00F60AAC">
        <w:rPr>
          <w:rFonts w:ascii="Century" w:hAnsi="Century" w:hint="cs"/>
          <w:rtl/>
        </w:rPr>
        <w:t xml:space="preserve">האיר השופט </w:t>
      </w:r>
      <w:r w:rsidRPr="00ED4192">
        <w:rPr>
          <w:rFonts w:ascii="Century" w:hAnsi="Century" w:cs="Miriam" w:hint="cs"/>
          <w:b/>
          <w:spacing w:val="0"/>
          <w:szCs w:val="24"/>
          <w:rtl/>
        </w:rPr>
        <w:t>מ' שמגר</w:t>
      </w:r>
      <w:r w:rsidRPr="00ED4192">
        <w:rPr>
          <w:rFonts w:ascii="Century" w:hAnsi="Century"/>
          <w:rtl/>
        </w:rPr>
        <w:t xml:space="preserve"> </w:t>
      </w:r>
      <w:r w:rsidRPr="00F60AAC">
        <w:rPr>
          <w:rFonts w:ascii="Century" w:hAnsi="Century"/>
          <w:rtl/>
        </w:rPr>
        <w:t xml:space="preserve">זרקור על האיזון </w:t>
      </w:r>
      <w:r w:rsidRPr="00F60AAC">
        <w:rPr>
          <w:rFonts w:ascii="Century" w:hAnsi="Century" w:hint="cs"/>
          <w:rtl/>
        </w:rPr>
        <w:t xml:space="preserve">הדרוש </w:t>
      </w:r>
      <w:r w:rsidRPr="00F60AAC">
        <w:rPr>
          <w:rFonts w:ascii="Century" w:hAnsi="Century"/>
          <w:rtl/>
        </w:rPr>
        <w:t xml:space="preserve">בין השיקולים המנחים את הרשות בקבלת </w:t>
      </w:r>
      <w:r>
        <w:rPr>
          <w:rFonts w:ascii="Century" w:hAnsi="Century"/>
          <w:rtl/>
        </w:rPr>
        <w:t>ה</w:t>
      </w:r>
      <w:r w:rsidRPr="00F60AAC">
        <w:rPr>
          <w:rFonts w:ascii="Century" w:hAnsi="Century"/>
          <w:rtl/>
        </w:rPr>
        <w:t>חלטה</w:t>
      </w:r>
      <w:r>
        <w:rPr>
          <w:rFonts w:ascii="Century" w:hAnsi="Century" w:hint="cs"/>
          <w:rtl/>
        </w:rPr>
        <w:t xml:space="preserve"> על ידה</w:t>
      </w:r>
      <w:r w:rsidRPr="00F60AAC">
        <w:rPr>
          <w:rFonts w:ascii="Century" w:hAnsi="Century" w:hint="cs"/>
          <w:rtl/>
        </w:rPr>
        <w:t xml:space="preserve">. ועוד קודם לכן, </w:t>
      </w:r>
      <w:r w:rsidRPr="00F60AAC">
        <w:rPr>
          <w:rFonts w:ascii="Century" w:hAnsi="Century"/>
          <w:rtl/>
        </w:rPr>
        <w:t>ב</w:t>
      </w:r>
      <w:r w:rsidRPr="00F60AAC">
        <w:rPr>
          <w:rFonts w:ascii="Century" w:hAnsi="Century" w:hint="cs"/>
          <w:rtl/>
        </w:rPr>
        <w:t>-</w:t>
      </w:r>
      <w:r w:rsidRPr="00F60AAC">
        <w:rPr>
          <w:rFonts w:ascii="Century" w:hAnsi="Century"/>
          <w:rtl/>
        </w:rPr>
        <w:t xml:space="preserve">בג"ץ 73/53 </w:t>
      </w:r>
      <w:r w:rsidRPr="00ED4192">
        <w:rPr>
          <w:rFonts w:ascii="Century" w:hAnsi="Century" w:cs="Miriam"/>
          <w:b/>
          <w:spacing w:val="0"/>
          <w:szCs w:val="24"/>
          <w:rtl/>
        </w:rPr>
        <w:t>חברת "קול העם" בע"מ נ' שר הפנים</w:t>
      </w:r>
      <w:r w:rsidRPr="00F60AAC">
        <w:rPr>
          <w:rFonts w:ascii="Century" w:hAnsi="Century"/>
          <w:rtl/>
        </w:rPr>
        <w:t>,</w:t>
      </w:r>
      <w:r w:rsidRPr="00F60AAC">
        <w:rPr>
          <w:rFonts w:ascii="Century" w:hAnsi="Century" w:hint="cs"/>
          <w:rtl/>
        </w:rPr>
        <w:t xml:space="preserve"> פ"ד</w:t>
      </w:r>
      <w:r w:rsidRPr="00F60AAC">
        <w:rPr>
          <w:rFonts w:ascii="Century" w:hAnsi="Century"/>
          <w:rtl/>
        </w:rPr>
        <w:t xml:space="preserve"> ז 871 (1953)</w:t>
      </w:r>
      <w:r w:rsidRPr="00F60AAC">
        <w:rPr>
          <w:rFonts w:ascii="Century" w:hAnsi="Century" w:hint="cs"/>
          <w:rtl/>
        </w:rPr>
        <w:t xml:space="preserve"> </w:t>
      </w:r>
      <w:r w:rsidRPr="00F60AAC">
        <w:rPr>
          <w:rFonts w:ascii="Century" w:hAnsi="Century"/>
          <w:rtl/>
        </w:rPr>
        <w:t xml:space="preserve">נבחן שיקול הדעת של </w:t>
      </w:r>
      <w:r w:rsidRPr="00F60AAC">
        <w:rPr>
          <w:rFonts w:ascii="Century" w:hAnsi="Century" w:hint="cs"/>
          <w:rtl/>
        </w:rPr>
        <w:t>שר הפנים תוך בדיקה אם איזן כהלכה בין האינטרסים הכרוכים בשלום הציבור מזה ובין</w:t>
      </w:r>
      <w:r>
        <w:rPr>
          <w:rFonts w:ascii="Century" w:hAnsi="Century" w:hint="cs"/>
          <w:rtl/>
        </w:rPr>
        <w:t xml:space="preserve"> חופש הביטוי וחופש העיתונות מזה (וראו סקירה</w:t>
      </w:r>
      <w:r w:rsidRPr="00F60AAC">
        <w:rPr>
          <w:rFonts w:ascii="Century" w:hAnsi="Century" w:hint="cs"/>
          <w:rtl/>
        </w:rPr>
        <w:t xml:space="preserve"> </w:t>
      </w:r>
      <w:r>
        <w:rPr>
          <w:rFonts w:ascii="Century" w:hAnsi="Century" w:hint="cs"/>
          <w:rtl/>
        </w:rPr>
        <w:t>ו</w:t>
      </w:r>
      <w:r w:rsidRPr="00F60AAC">
        <w:rPr>
          <w:rFonts w:ascii="Century" w:hAnsi="Century" w:hint="cs"/>
          <w:rtl/>
        </w:rPr>
        <w:t xml:space="preserve">דוגמאות נוספות </w:t>
      </w:r>
      <w:r>
        <w:rPr>
          <w:rFonts w:ascii="Century" w:hAnsi="Century" w:hint="cs"/>
          <w:rtl/>
        </w:rPr>
        <w:t xml:space="preserve">בפסקה 9 לחוות דעתה של </w:t>
      </w:r>
      <w:r w:rsidRPr="00F60AAC">
        <w:rPr>
          <w:rFonts w:ascii="Century" w:hAnsi="Century" w:hint="cs"/>
          <w:rtl/>
        </w:rPr>
        <w:t xml:space="preserve">השופטת </w:t>
      </w:r>
      <w:r>
        <w:rPr>
          <w:rFonts w:ascii="Century" w:hAnsi="Century" w:cs="Miriam" w:hint="cs"/>
          <w:b/>
          <w:spacing w:val="0"/>
          <w:szCs w:val="24"/>
          <w:rtl/>
        </w:rPr>
        <w:t>ר'</w:t>
      </w:r>
      <w:r w:rsidRPr="00ED4192">
        <w:rPr>
          <w:rFonts w:ascii="Century" w:hAnsi="Century" w:cs="Miriam" w:hint="cs"/>
          <w:b/>
          <w:spacing w:val="0"/>
          <w:szCs w:val="24"/>
          <w:rtl/>
        </w:rPr>
        <w:t xml:space="preserve"> רונן</w:t>
      </w:r>
      <w:r w:rsidRPr="00F60AAC">
        <w:rPr>
          <w:rFonts w:ascii="Century" w:hAnsi="Century" w:hint="cs"/>
          <w:rtl/>
        </w:rPr>
        <w:t>).</w:t>
      </w:r>
    </w:p>
    <w:p w:rsidR="00AC74AF" w:rsidRPr="00F60AAC" w:rsidRDefault="00AC74AF" w:rsidP="00AC74AF">
      <w:pPr>
        <w:pStyle w:val="Ruller41"/>
        <w:rPr>
          <w:rFonts w:ascii="Century" w:hAnsi="Century"/>
          <w:rtl/>
        </w:rPr>
      </w:pPr>
    </w:p>
    <w:p w:rsidR="00AC74AF" w:rsidRPr="00F60AAC" w:rsidRDefault="00AC74AF" w:rsidP="00AC74AF">
      <w:pPr>
        <w:pStyle w:val="Ruller41"/>
        <w:rPr>
          <w:rFonts w:ascii="Century" w:hAnsi="Century"/>
          <w:rtl/>
        </w:rPr>
      </w:pPr>
      <w:r>
        <w:rPr>
          <w:rFonts w:ascii="Century" w:hAnsi="Century" w:hint="cs"/>
          <w:rtl/>
        </w:rPr>
        <w:t>10</w:t>
      </w:r>
      <w:r w:rsidRPr="00F60AAC">
        <w:rPr>
          <w:rFonts w:ascii="Century" w:hAnsi="Century" w:hint="cs"/>
          <w:rtl/>
        </w:rPr>
        <w:t>.</w:t>
      </w:r>
      <w:r w:rsidRPr="00F60AAC">
        <w:rPr>
          <w:rFonts w:ascii="Century" w:hAnsi="Century"/>
          <w:rtl/>
        </w:rPr>
        <w:tab/>
      </w:r>
      <w:r>
        <w:rPr>
          <w:rFonts w:ascii="Century" w:hAnsi="Century" w:hint="cs"/>
          <w:rtl/>
        </w:rPr>
        <w:t>בכל אופן</w:t>
      </w:r>
      <w:r w:rsidRPr="00F60AAC">
        <w:rPr>
          <w:rFonts w:ascii="Century" w:hAnsi="Century" w:hint="cs"/>
          <w:rtl/>
        </w:rPr>
        <w:t xml:space="preserve">, כיום עילת הסבירות משמשת תדיר את בתי המשפט להבטחת קיומו </w:t>
      </w:r>
      <w:r>
        <w:rPr>
          <w:rFonts w:ascii="Century" w:hAnsi="Century" w:hint="cs"/>
          <w:rtl/>
        </w:rPr>
        <w:t xml:space="preserve">של </w:t>
      </w:r>
      <w:r w:rsidRPr="00F60AAC">
        <w:rPr>
          <w:rFonts w:ascii="Century" w:hAnsi="Century" w:hint="cs"/>
          <w:rtl/>
        </w:rPr>
        <w:t>ממשל תקין, הוגן ונקי כפיים ולהגנה על האזרח מפני שימוש לרעה בכוח השררה. עילה זו "</w:t>
      </w:r>
      <w:r w:rsidRPr="00666745">
        <w:rPr>
          <w:rFonts w:ascii="Century" w:hAnsi="Century" w:cs="Miriam" w:hint="cs"/>
          <w:b/>
          <w:spacing w:val="0"/>
          <w:szCs w:val="24"/>
          <w:rtl/>
        </w:rPr>
        <w:t>ניצבת במוקד ההגנה על הפרט והציבור מפני שרירות השלטון</w:t>
      </w:r>
      <w:r w:rsidRPr="00F60AAC">
        <w:rPr>
          <w:rFonts w:ascii="Century" w:hAnsi="Century" w:hint="cs"/>
          <w:rtl/>
        </w:rPr>
        <w:t>" (</w:t>
      </w:r>
      <w:r>
        <w:rPr>
          <w:rFonts w:ascii="Century" w:hAnsi="Century" w:hint="cs"/>
          <w:rtl/>
        </w:rPr>
        <w:t>עניין</w:t>
      </w:r>
      <w:r w:rsidRPr="00F60AAC">
        <w:rPr>
          <w:rFonts w:ascii="Century" w:hAnsi="Century" w:hint="cs"/>
          <w:rtl/>
        </w:rPr>
        <w:t xml:space="preserve"> </w:t>
      </w:r>
      <w:r w:rsidRPr="00666745">
        <w:rPr>
          <w:rFonts w:ascii="Century" w:hAnsi="Century" w:cs="Miriam" w:hint="cs"/>
          <w:b/>
          <w:spacing w:val="0"/>
          <w:szCs w:val="24"/>
          <w:rtl/>
        </w:rPr>
        <w:t>אמונה</w:t>
      </w:r>
      <w:r w:rsidRPr="00F60AAC">
        <w:rPr>
          <w:rFonts w:ascii="Century" w:hAnsi="Century" w:hint="cs"/>
          <w:rtl/>
        </w:rPr>
        <w:t xml:space="preserve">, </w:t>
      </w:r>
      <w:r>
        <w:rPr>
          <w:rFonts w:ascii="Century" w:hAnsi="Century" w:hint="cs"/>
          <w:rtl/>
        </w:rPr>
        <w:t>פסקה 33</w:t>
      </w:r>
      <w:r w:rsidRPr="00F60AAC">
        <w:rPr>
          <w:rFonts w:ascii="Century" w:hAnsi="Century" w:hint="cs"/>
          <w:rtl/>
        </w:rPr>
        <w:t>). נתון לה "</w:t>
      </w:r>
      <w:r w:rsidRPr="009F3D07">
        <w:rPr>
          <w:rFonts w:ascii="Century" w:hAnsi="Century" w:cs="Miriam"/>
          <w:b/>
          <w:spacing w:val="0"/>
          <w:szCs w:val="24"/>
          <w:rtl/>
        </w:rPr>
        <w:t>מקום של כבוד בשמירה על ההגינות ועל טוהר המידות בשלטון הציבורי וכן היא תורמת להקפדה על זכויות אדם ולהגנה עליהן לבל תפגענה ממעשי השלטון במידה העולה על הראוי והנדרש</w:t>
      </w:r>
      <w:r w:rsidRPr="009F3D07">
        <w:rPr>
          <w:rFonts w:ascii="Century" w:hAnsi="Century" w:cs="Miriam" w:hint="cs"/>
          <w:b/>
          <w:spacing w:val="0"/>
          <w:szCs w:val="24"/>
          <w:rtl/>
        </w:rPr>
        <w:t>...</w:t>
      </w:r>
      <w:r w:rsidRPr="00F60AAC">
        <w:rPr>
          <w:rFonts w:ascii="Century" w:hAnsi="Century" w:hint="cs"/>
          <w:rtl/>
        </w:rPr>
        <w:t xml:space="preserve">" (דברי השופטת </w:t>
      </w:r>
      <w:r w:rsidRPr="009F3D07">
        <w:rPr>
          <w:rFonts w:ascii="Century" w:hAnsi="Century" w:cs="Miriam" w:hint="cs"/>
          <w:b/>
          <w:spacing w:val="0"/>
          <w:szCs w:val="24"/>
          <w:rtl/>
        </w:rPr>
        <w:t>א' חיות</w:t>
      </w:r>
      <w:r w:rsidRPr="00F60AAC">
        <w:rPr>
          <w:rFonts w:ascii="Century" w:hAnsi="Century" w:hint="cs"/>
          <w:rtl/>
        </w:rPr>
        <w:t xml:space="preserve"> ב-</w:t>
      </w:r>
      <w:r w:rsidRPr="00F60AAC">
        <w:rPr>
          <w:rFonts w:ascii="Century" w:hAnsi="Century" w:hint="eastAsia"/>
          <w:rtl/>
        </w:rPr>
        <w:t>בג</w:t>
      </w:r>
      <w:r w:rsidRPr="00F60AAC">
        <w:rPr>
          <w:rFonts w:ascii="Century" w:hAnsi="Century"/>
          <w:rtl/>
        </w:rPr>
        <w:t>"</w:t>
      </w:r>
      <w:r w:rsidRPr="00F60AAC">
        <w:rPr>
          <w:rFonts w:ascii="Century" w:hAnsi="Century" w:hint="eastAsia"/>
          <w:rtl/>
        </w:rPr>
        <w:t>ץ</w:t>
      </w:r>
      <w:r w:rsidRPr="00F60AAC">
        <w:rPr>
          <w:rFonts w:ascii="Century" w:hAnsi="Century"/>
          <w:rtl/>
        </w:rPr>
        <w:t xml:space="preserve"> 3997/14 </w:t>
      </w:r>
      <w:r w:rsidRPr="009F3D07">
        <w:rPr>
          <w:rFonts w:ascii="Century" w:hAnsi="Century" w:cs="Miriam" w:hint="eastAsia"/>
          <w:b/>
          <w:spacing w:val="0"/>
          <w:szCs w:val="24"/>
          <w:rtl/>
        </w:rPr>
        <w:t>התנועה</w:t>
      </w:r>
      <w:r w:rsidRPr="009F3D07">
        <w:rPr>
          <w:rFonts w:ascii="Century" w:hAnsi="Century" w:cs="Miriam"/>
          <w:b/>
          <w:spacing w:val="0"/>
          <w:szCs w:val="24"/>
          <w:rtl/>
        </w:rPr>
        <w:t xml:space="preserve"> </w:t>
      </w:r>
      <w:r w:rsidRPr="009F3D07">
        <w:rPr>
          <w:rFonts w:ascii="Century" w:hAnsi="Century" w:cs="Miriam" w:hint="eastAsia"/>
          <w:b/>
          <w:spacing w:val="0"/>
          <w:szCs w:val="24"/>
          <w:rtl/>
        </w:rPr>
        <w:t>למען</w:t>
      </w:r>
      <w:r w:rsidRPr="009F3D07">
        <w:rPr>
          <w:rFonts w:ascii="Century" w:hAnsi="Century" w:cs="Miriam"/>
          <w:b/>
          <w:spacing w:val="0"/>
          <w:szCs w:val="24"/>
          <w:rtl/>
        </w:rPr>
        <w:t xml:space="preserve"> </w:t>
      </w:r>
      <w:r w:rsidRPr="009F3D07">
        <w:rPr>
          <w:rFonts w:ascii="Century" w:hAnsi="Century" w:cs="Miriam" w:hint="eastAsia"/>
          <w:b/>
          <w:spacing w:val="0"/>
          <w:szCs w:val="24"/>
          <w:rtl/>
        </w:rPr>
        <w:t>איכות</w:t>
      </w:r>
      <w:r w:rsidRPr="009F3D07">
        <w:rPr>
          <w:rFonts w:ascii="Century" w:hAnsi="Century" w:cs="Miriam"/>
          <w:b/>
          <w:spacing w:val="0"/>
          <w:szCs w:val="24"/>
          <w:rtl/>
        </w:rPr>
        <w:t xml:space="preserve"> </w:t>
      </w:r>
      <w:r w:rsidRPr="009F3D07">
        <w:rPr>
          <w:rFonts w:ascii="Century" w:hAnsi="Century" w:cs="Miriam" w:hint="eastAsia"/>
          <w:b/>
          <w:spacing w:val="0"/>
          <w:szCs w:val="24"/>
          <w:rtl/>
        </w:rPr>
        <w:t>השלטון</w:t>
      </w:r>
      <w:r w:rsidRPr="009F3D07">
        <w:rPr>
          <w:rFonts w:ascii="Century" w:hAnsi="Century" w:cs="Miriam"/>
          <w:b/>
          <w:spacing w:val="0"/>
          <w:szCs w:val="24"/>
          <w:rtl/>
        </w:rPr>
        <w:t xml:space="preserve"> </w:t>
      </w:r>
      <w:r w:rsidRPr="009F3D07">
        <w:rPr>
          <w:rFonts w:ascii="Century" w:hAnsi="Century" w:cs="Miriam" w:hint="eastAsia"/>
          <w:b/>
          <w:spacing w:val="0"/>
          <w:szCs w:val="24"/>
          <w:rtl/>
        </w:rPr>
        <w:t>בישראל</w:t>
      </w:r>
      <w:r w:rsidRPr="009F3D07">
        <w:rPr>
          <w:rFonts w:ascii="Century" w:hAnsi="Century" w:cs="Miriam"/>
          <w:b/>
          <w:spacing w:val="0"/>
          <w:szCs w:val="24"/>
          <w:rtl/>
        </w:rPr>
        <w:t xml:space="preserve"> </w:t>
      </w:r>
      <w:r w:rsidRPr="009F3D07">
        <w:rPr>
          <w:rFonts w:ascii="Century" w:hAnsi="Century" w:cs="Miriam" w:hint="eastAsia"/>
          <w:b/>
          <w:spacing w:val="0"/>
          <w:szCs w:val="24"/>
          <w:rtl/>
        </w:rPr>
        <w:t>נ</w:t>
      </w:r>
      <w:r w:rsidRPr="009F3D07">
        <w:rPr>
          <w:rFonts w:ascii="Century" w:hAnsi="Century" w:cs="Miriam"/>
          <w:b/>
          <w:spacing w:val="0"/>
          <w:szCs w:val="24"/>
          <w:rtl/>
        </w:rPr>
        <w:t xml:space="preserve">' </w:t>
      </w:r>
      <w:r w:rsidRPr="009F3D07">
        <w:rPr>
          <w:rFonts w:ascii="Century" w:hAnsi="Century" w:cs="Miriam" w:hint="eastAsia"/>
          <w:b/>
          <w:spacing w:val="0"/>
          <w:szCs w:val="24"/>
          <w:rtl/>
        </w:rPr>
        <w:t>שר</w:t>
      </w:r>
      <w:r w:rsidRPr="009F3D07">
        <w:rPr>
          <w:rFonts w:ascii="Century" w:hAnsi="Century" w:cs="Miriam"/>
          <w:b/>
          <w:spacing w:val="0"/>
          <w:szCs w:val="24"/>
          <w:rtl/>
        </w:rPr>
        <w:t xml:space="preserve"> </w:t>
      </w:r>
      <w:r w:rsidRPr="009F3D07">
        <w:rPr>
          <w:rFonts w:ascii="Century" w:hAnsi="Century" w:cs="Miriam" w:hint="eastAsia"/>
          <w:b/>
          <w:spacing w:val="0"/>
          <w:szCs w:val="24"/>
          <w:rtl/>
        </w:rPr>
        <w:t>החוץ</w:t>
      </w:r>
      <w:r w:rsidRPr="00F60AAC">
        <w:rPr>
          <w:rFonts w:ascii="Century" w:hAnsi="Century" w:hint="cs"/>
          <w:rtl/>
        </w:rPr>
        <w:t>, פסקה 3</w:t>
      </w:r>
      <w:r w:rsidRPr="00F60AAC">
        <w:rPr>
          <w:rFonts w:ascii="Century" w:hAnsi="Century"/>
          <w:rtl/>
        </w:rPr>
        <w:t xml:space="preserve"> (12.</w:t>
      </w:r>
      <w:r w:rsidRPr="00F60AAC">
        <w:rPr>
          <w:rFonts w:ascii="Century" w:hAnsi="Century" w:hint="cs"/>
          <w:rtl/>
        </w:rPr>
        <w:t>2</w:t>
      </w:r>
      <w:r w:rsidRPr="00F60AAC">
        <w:rPr>
          <w:rFonts w:ascii="Century" w:hAnsi="Century"/>
          <w:rtl/>
        </w:rPr>
        <w:t>.2015)</w:t>
      </w:r>
      <w:r w:rsidRPr="00F60AAC">
        <w:rPr>
          <w:rFonts w:ascii="Century" w:hAnsi="Century" w:hint="cs"/>
          <w:rtl/>
        </w:rPr>
        <w:t xml:space="preserve">; להלן: </w:t>
      </w:r>
      <w:r w:rsidRPr="009F3D07">
        <w:rPr>
          <w:rFonts w:ascii="Century" w:hAnsi="Century" w:cs="Miriam" w:hint="cs"/>
          <w:b/>
          <w:spacing w:val="0"/>
          <w:szCs w:val="24"/>
          <w:rtl/>
        </w:rPr>
        <w:t>עניין הנגבי 2015</w:t>
      </w:r>
      <w:r w:rsidRPr="00F60AAC">
        <w:rPr>
          <w:rFonts w:ascii="Century" w:hAnsi="Century" w:hint="cs"/>
          <w:rtl/>
        </w:rPr>
        <w:t>).</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Pr>
          <w:rFonts w:ascii="Century" w:hAnsi="Century"/>
          <w:rtl/>
        </w:rPr>
        <w:tab/>
      </w:r>
      <w:r>
        <w:rPr>
          <w:rFonts w:ascii="Century" w:hAnsi="Century" w:hint="cs"/>
          <w:rtl/>
        </w:rPr>
        <w:t>ב</w:t>
      </w:r>
      <w:r w:rsidRPr="00F60AAC">
        <w:rPr>
          <w:rFonts w:ascii="Century" w:hAnsi="Century" w:hint="cs"/>
          <w:rtl/>
        </w:rPr>
        <w:t xml:space="preserve">פסיקתו של בית משפט זה </w:t>
      </w:r>
      <w:r>
        <w:rPr>
          <w:rFonts w:ascii="Century" w:hAnsi="Century" w:hint="cs"/>
          <w:rtl/>
        </w:rPr>
        <w:t>התגבש</w:t>
      </w:r>
      <w:r w:rsidRPr="00F60AAC">
        <w:rPr>
          <w:rFonts w:ascii="Century" w:hAnsi="Century" w:hint="cs"/>
          <w:rtl/>
        </w:rPr>
        <w:t xml:space="preserve"> </w:t>
      </w:r>
      <w:r>
        <w:rPr>
          <w:rFonts w:ascii="Century" w:hAnsi="Century" w:hint="cs"/>
          <w:rtl/>
        </w:rPr>
        <w:t xml:space="preserve">במהלך השנים </w:t>
      </w:r>
      <w:r w:rsidRPr="00F60AAC">
        <w:rPr>
          <w:rFonts w:ascii="Century" w:hAnsi="Century"/>
          <w:rtl/>
        </w:rPr>
        <w:t xml:space="preserve">קורפוס של הלכות, ובו כללים ועקרונות המסדירים את השימוש בעילת הסבירות. </w:t>
      </w:r>
      <w:r w:rsidRPr="00F60AAC">
        <w:rPr>
          <w:rFonts w:ascii="Century" w:hAnsi="Century" w:hint="cs"/>
          <w:rtl/>
        </w:rPr>
        <w:t>אחד מעקרונות היסוד שנקבעו בפסיקה בהקשר זה, הוא</w:t>
      </w:r>
      <w:r w:rsidRPr="00F60AAC">
        <w:rPr>
          <w:rFonts w:ascii="Century" w:hAnsi="Century"/>
          <w:rtl/>
        </w:rPr>
        <w:t xml:space="preserve"> </w:t>
      </w:r>
      <w:r>
        <w:rPr>
          <w:rFonts w:ascii="Century" w:hAnsi="Century" w:hint="cs"/>
          <w:rtl/>
        </w:rPr>
        <w:t>שעילה זו</w:t>
      </w:r>
      <w:r w:rsidRPr="00F60AAC">
        <w:rPr>
          <w:rFonts w:ascii="Century" w:hAnsi="Century"/>
          <w:rtl/>
        </w:rPr>
        <w:t xml:space="preserve"> נאכפת תוך מתן כבוד למתחם הסבירות</w:t>
      </w:r>
      <w:r w:rsidRPr="00F60AAC">
        <w:rPr>
          <w:rFonts w:ascii="Century" w:hAnsi="Century" w:hint="cs"/>
          <w:rtl/>
        </w:rPr>
        <w:t xml:space="preserve"> השמור לרשות</w:t>
      </w:r>
      <w:r w:rsidRPr="00F60AAC">
        <w:rPr>
          <w:rFonts w:ascii="Century" w:hAnsi="Century"/>
          <w:rtl/>
        </w:rPr>
        <w:t>, וכי "</w:t>
      </w:r>
      <w:r w:rsidRPr="00680625">
        <w:rPr>
          <w:rFonts w:ascii="Century" w:hAnsi="Century" w:cs="Miriam"/>
          <w:b/>
          <w:spacing w:val="0"/>
          <w:szCs w:val="24"/>
          <w:rtl/>
        </w:rPr>
        <w:t xml:space="preserve">אל לו [לבית </w:t>
      </w:r>
      <w:r>
        <w:rPr>
          <w:rFonts w:ascii="Century" w:hAnsi="Century" w:cs="Miriam" w:hint="cs"/>
          <w:b/>
          <w:spacing w:val="0"/>
          <w:szCs w:val="24"/>
          <w:rtl/>
        </w:rPr>
        <w:t>ה</w:t>
      </w:r>
      <w:r w:rsidRPr="00680625">
        <w:rPr>
          <w:rFonts w:ascii="Century" w:hAnsi="Century" w:cs="Miriam"/>
          <w:b/>
          <w:spacing w:val="0"/>
          <w:szCs w:val="24"/>
          <w:rtl/>
        </w:rPr>
        <w:t>משפט] לשים את שיקול-דעתו שלו תחת שיקול-דעתה של הרשות המינהלית, שבידיה סמכות ההחלטה על-פי החוק</w:t>
      </w:r>
      <w:r w:rsidRPr="00F60AAC">
        <w:rPr>
          <w:rFonts w:ascii="Century" w:hAnsi="Century"/>
          <w:rtl/>
        </w:rPr>
        <w:t>" (</w:t>
      </w:r>
      <w:r>
        <w:rPr>
          <w:rFonts w:ascii="Century" w:hAnsi="Century" w:hint="cs"/>
          <w:rtl/>
        </w:rPr>
        <w:t xml:space="preserve">השופט </w:t>
      </w:r>
      <w:r w:rsidRPr="00680625">
        <w:rPr>
          <w:rFonts w:ascii="Century" w:hAnsi="Century" w:cs="Miriam"/>
          <w:b/>
          <w:spacing w:val="0"/>
          <w:szCs w:val="24"/>
          <w:rtl/>
        </w:rPr>
        <w:t>מ' לנדוי</w:t>
      </w:r>
      <w:r w:rsidRPr="00680625">
        <w:rPr>
          <w:rFonts w:ascii="Century" w:hAnsi="Century"/>
          <w:rtl/>
        </w:rPr>
        <w:t xml:space="preserve"> </w:t>
      </w:r>
      <w:r w:rsidRPr="00F60AAC">
        <w:rPr>
          <w:rFonts w:ascii="Century" w:hAnsi="Century"/>
          <w:rtl/>
        </w:rPr>
        <w:t xml:space="preserve">בבג"ץ 243/62 </w:t>
      </w:r>
      <w:r w:rsidRPr="00680625">
        <w:rPr>
          <w:rFonts w:ascii="Century" w:hAnsi="Century" w:cs="Miriam"/>
          <w:b/>
          <w:spacing w:val="0"/>
          <w:szCs w:val="24"/>
          <w:rtl/>
        </w:rPr>
        <w:t>אולפני הסרטה בישראל בע״מ נ' לוי גרי והמועצה לביקורת סרטים ומחזות, משרד-הפנים</w:t>
      </w:r>
      <w:r w:rsidRPr="00F60AAC">
        <w:rPr>
          <w:rFonts w:ascii="Century" w:hAnsi="Century"/>
          <w:rtl/>
        </w:rPr>
        <w:t xml:space="preserve">, </w:t>
      </w:r>
      <w:r>
        <w:rPr>
          <w:rFonts w:ascii="Century" w:hAnsi="Century"/>
          <w:rtl/>
        </w:rPr>
        <w:t>פ"ד טז 2408, 2412 (1962)</w:t>
      </w:r>
      <w:r w:rsidRPr="00F60AAC">
        <w:rPr>
          <w:rFonts w:ascii="Century" w:hAnsi="Century"/>
          <w:rtl/>
        </w:rPr>
        <w:t>).</w:t>
      </w:r>
      <w:r w:rsidRPr="00F60AAC">
        <w:rPr>
          <w:rFonts w:ascii="Century" w:hAnsi="Century" w:hint="cs"/>
          <w:rtl/>
        </w:rPr>
        <w:t xml:space="preserve"> בהמשך לכך, בית המשפט</w:t>
      </w:r>
      <w:r w:rsidRPr="00F60AAC">
        <w:rPr>
          <w:rFonts w:ascii="Century" w:hAnsi="Century"/>
          <w:rtl/>
        </w:rPr>
        <w:t xml:space="preserve"> </w:t>
      </w:r>
      <w:r w:rsidRPr="00F60AAC">
        <w:rPr>
          <w:rFonts w:ascii="Century" w:hAnsi="Century" w:hint="cs"/>
          <w:rtl/>
        </w:rPr>
        <w:t>גוזר על עצמו</w:t>
      </w:r>
      <w:r w:rsidRPr="00F60AAC">
        <w:rPr>
          <w:rFonts w:ascii="Century" w:hAnsi="Century"/>
          <w:rtl/>
        </w:rPr>
        <w:t xml:space="preserve"> </w:t>
      </w:r>
      <w:r w:rsidRPr="00F60AAC">
        <w:rPr>
          <w:rFonts w:ascii="Century" w:hAnsi="Century" w:hint="cs"/>
          <w:rtl/>
        </w:rPr>
        <w:t xml:space="preserve">איפוק וריסון שיפוטי </w:t>
      </w:r>
      <w:r w:rsidRPr="00F60AAC">
        <w:rPr>
          <w:rFonts w:ascii="Century" w:hAnsi="Century"/>
          <w:rtl/>
        </w:rPr>
        <w:t xml:space="preserve">בעת </w:t>
      </w:r>
      <w:r w:rsidRPr="00F60AAC">
        <w:rPr>
          <w:rFonts w:ascii="Century" w:hAnsi="Century" w:hint="cs"/>
          <w:rtl/>
        </w:rPr>
        <w:t>שימוש</w:t>
      </w:r>
      <w:r w:rsidRPr="00F60AAC">
        <w:rPr>
          <w:rFonts w:ascii="Century" w:hAnsi="Century"/>
          <w:rtl/>
        </w:rPr>
        <w:t xml:space="preserve"> </w:t>
      </w:r>
      <w:r w:rsidRPr="00F60AAC">
        <w:rPr>
          <w:rFonts w:ascii="Century" w:hAnsi="Century" w:hint="cs"/>
          <w:rtl/>
        </w:rPr>
        <w:t>ב</w:t>
      </w:r>
      <w:r w:rsidRPr="00F60AAC">
        <w:rPr>
          <w:rFonts w:ascii="Century" w:hAnsi="Century"/>
          <w:rtl/>
        </w:rPr>
        <w:t>עילה</w:t>
      </w:r>
      <w:r w:rsidRPr="00F60AAC">
        <w:rPr>
          <w:rFonts w:ascii="Century" w:hAnsi="Century" w:hint="cs"/>
          <w:rtl/>
        </w:rPr>
        <w:t>:</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5"/>
        <w:rPr>
          <w:rtl/>
        </w:rPr>
      </w:pPr>
      <w:r w:rsidRPr="00F60AAC">
        <w:rPr>
          <w:rFonts w:hint="cs"/>
          <w:rtl/>
        </w:rPr>
        <w:t>"</w:t>
      </w:r>
      <w:r w:rsidRPr="00F60AAC">
        <w:rPr>
          <w:rtl/>
        </w:rPr>
        <w:t xml:space="preserve">בית-משפט זה אימץ, לכל רוחב הקשת של הביקורת השיפוטית על פעולותיהן ועל החלטותיהן של הרשויות השלטוניות, כללים שונים, אשר המכנה המשותף להם מבטא ריסון עצמי שיפוטי. עם הכללים האלה ניתן למנות – בלא למצות – את </w:t>
      </w:r>
      <w:r w:rsidRPr="00F60AAC">
        <w:rPr>
          <w:rFonts w:hint="cs"/>
          <w:rtl/>
        </w:rPr>
        <w:t>'</w:t>
      </w:r>
      <w:r w:rsidRPr="00F60AAC">
        <w:rPr>
          <w:rtl/>
        </w:rPr>
        <w:t>מיתחם הסבירות</w:t>
      </w:r>
      <w:r w:rsidRPr="00F60AAC">
        <w:rPr>
          <w:rFonts w:hint="cs"/>
          <w:rtl/>
        </w:rPr>
        <w:t>'</w:t>
      </w:r>
      <w:r w:rsidRPr="00F60AAC">
        <w:rPr>
          <w:rtl/>
        </w:rPr>
        <w:t xml:space="preserve">, את </w:t>
      </w:r>
      <w:r w:rsidRPr="00F60AAC">
        <w:rPr>
          <w:rFonts w:hint="cs"/>
          <w:rtl/>
        </w:rPr>
        <w:t>'</w:t>
      </w:r>
      <w:r w:rsidRPr="00F60AAC">
        <w:rPr>
          <w:rtl/>
        </w:rPr>
        <w:t>חזקת הכשרות</w:t>
      </w:r>
      <w:r w:rsidRPr="00F60AAC">
        <w:rPr>
          <w:rFonts w:hint="cs"/>
          <w:rtl/>
        </w:rPr>
        <w:t>'</w:t>
      </w:r>
      <w:r w:rsidRPr="00F60AAC">
        <w:rPr>
          <w:rtl/>
        </w:rPr>
        <w:t xml:space="preserve">, את </w:t>
      </w:r>
      <w:r w:rsidRPr="00F60AAC">
        <w:rPr>
          <w:rFonts w:hint="cs"/>
          <w:rtl/>
        </w:rPr>
        <w:t>'</w:t>
      </w:r>
      <w:r w:rsidRPr="00F60AAC">
        <w:rPr>
          <w:rtl/>
        </w:rPr>
        <w:t>חזקת החוקתיות</w:t>
      </w:r>
      <w:r w:rsidRPr="00F60AAC">
        <w:rPr>
          <w:rFonts w:hint="cs"/>
          <w:rtl/>
        </w:rPr>
        <w:t>'</w:t>
      </w:r>
      <w:r w:rsidRPr="00F60AAC">
        <w:rPr>
          <w:rtl/>
        </w:rPr>
        <w:t>, את הכלל שלפיו אין בית-המשפט מחליף את שיקול-דעתה של הרשות בשיקול-דעתו שלו ואת עילות הסף של המשפט המינהלי. כללים אלה אינם מן השפה אל החוץ. הם חלק בלתי נפרד והכרחי מן הביקורת השיפוטית. הפעלתם מושפעת, בין היתר, מן השאלה מיהו הגוף העומד לביקורת, ומהי הסמכות שהפעיל</w:t>
      </w:r>
      <w:r w:rsidRPr="00F60AAC">
        <w:rPr>
          <w:rFonts w:hint="cs"/>
          <w:rtl/>
        </w:rPr>
        <w:t xml:space="preserve">" (השופט </w:t>
      </w:r>
      <w:r w:rsidRPr="00680625">
        <w:rPr>
          <w:rFonts w:ascii="Century" w:hAnsi="Century" w:cs="Miriam" w:hint="cs"/>
          <w:b/>
          <w:spacing w:val="0"/>
          <w:szCs w:val="24"/>
          <w:rtl/>
        </w:rPr>
        <w:t>א' ריבלין</w:t>
      </w:r>
      <w:r w:rsidRPr="00680625">
        <w:rPr>
          <w:rFonts w:hint="cs"/>
          <w:rtl/>
        </w:rPr>
        <w:t xml:space="preserve"> </w:t>
      </w:r>
      <w:r>
        <w:rPr>
          <w:rFonts w:hint="cs"/>
          <w:rtl/>
        </w:rPr>
        <w:t>ב-</w:t>
      </w:r>
      <w:r w:rsidRPr="00F60AAC">
        <w:rPr>
          <w:rFonts w:ascii="Century" w:hAnsi="Century"/>
          <w:rtl/>
        </w:rPr>
        <w:t>בג"ץ 1993/03</w:t>
      </w:r>
      <w:r w:rsidRPr="00F60AAC">
        <w:rPr>
          <w:rFonts w:ascii="Century" w:hAnsi="Century" w:hint="cs"/>
          <w:rtl/>
        </w:rPr>
        <w:t xml:space="preserve"> </w:t>
      </w:r>
      <w:r w:rsidRPr="00680625">
        <w:rPr>
          <w:rFonts w:ascii="Century" w:hAnsi="Century" w:cs="Miriam"/>
          <w:b/>
          <w:spacing w:val="0"/>
          <w:szCs w:val="24"/>
          <w:rtl/>
        </w:rPr>
        <w:t>התנועה למען איכות השלטון בישראל נ' ראש-</w:t>
      </w:r>
      <w:r>
        <w:rPr>
          <w:rFonts w:ascii="Century" w:hAnsi="Century" w:cs="Miriam"/>
          <w:b/>
          <w:spacing w:val="0"/>
          <w:szCs w:val="24"/>
          <w:rtl/>
        </w:rPr>
        <w:t>הממשלה</w:t>
      </w:r>
      <w:r w:rsidRPr="00F60AAC">
        <w:rPr>
          <w:rFonts w:ascii="Century" w:hAnsi="Century" w:hint="cs"/>
          <w:rtl/>
        </w:rPr>
        <w:t xml:space="preserve">, פ"ד נז(6) 817, </w:t>
      </w:r>
      <w:r>
        <w:rPr>
          <w:rFonts w:ascii="Century" w:hAnsi="Century" w:hint="cs"/>
          <w:rtl/>
        </w:rPr>
        <w:t>836 (2003)</w:t>
      </w:r>
      <w:r w:rsidRPr="00F60AAC">
        <w:rPr>
          <w:rFonts w:hint="cs"/>
          <w:rtl/>
        </w:rPr>
        <w:t>).</w:t>
      </w:r>
    </w:p>
    <w:p w:rsidR="00AC74AF" w:rsidRPr="00F60AAC" w:rsidRDefault="00AC74AF" w:rsidP="00AC74AF">
      <w:pPr>
        <w:pStyle w:val="Ruller41"/>
        <w:rPr>
          <w:rFonts w:ascii="Century" w:hAnsi="Century"/>
          <w:rtl/>
        </w:rPr>
      </w:pPr>
    </w:p>
    <w:p w:rsidR="00AC74AF" w:rsidRPr="00F60AAC" w:rsidRDefault="00AC74AF" w:rsidP="00AC74AF">
      <w:pPr>
        <w:pStyle w:val="Ruller41"/>
        <w:rPr>
          <w:rFonts w:ascii="Century" w:hAnsi="Century"/>
          <w:rtl/>
        </w:rPr>
      </w:pPr>
      <w:r>
        <w:rPr>
          <w:rFonts w:ascii="Century" w:hAnsi="Century" w:hint="cs"/>
          <w:rtl/>
        </w:rPr>
        <w:t>11</w:t>
      </w:r>
      <w:r w:rsidRPr="00F60AAC">
        <w:rPr>
          <w:rFonts w:ascii="Century" w:hAnsi="Century" w:hint="cs"/>
          <w:rtl/>
        </w:rPr>
        <w:t>.</w:t>
      </w:r>
      <w:r w:rsidRPr="00F60AAC">
        <w:rPr>
          <w:rFonts w:ascii="Century" w:hAnsi="Century"/>
          <w:rtl/>
        </w:rPr>
        <w:tab/>
      </w:r>
      <w:r w:rsidRPr="00F60AAC">
        <w:rPr>
          <w:rFonts w:ascii="Century" w:hAnsi="Century" w:hint="cs"/>
          <w:rtl/>
        </w:rPr>
        <w:t xml:space="preserve">כלל יסוד שהשתרש </w:t>
      </w:r>
      <w:r>
        <w:rPr>
          <w:rFonts w:ascii="Century" w:hAnsi="Century" w:hint="cs"/>
          <w:rtl/>
        </w:rPr>
        <w:t xml:space="preserve">אפוא </w:t>
      </w:r>
      <w:r w:rsidRPr="00F60AAC">
        <w:rPr>
          <w:rFonts w:ascii="Century" w:hAnsi="Century" w:hint="cs"/>
          <w:rtl/>
        </w:rPr>
        <w:t xml:space="preserve">בפסיקתנו הוא שסבירות החלטות וחיקוקים תיבחן לאור מטרתם, ובית המשפט אינו שם עצמו בנעלי הרשות ואינו בוחן את איכות או יעילות ההחלטה. כלל זה עולה בקנה אחד עם </w:t>
      </w:r>
      <w:r w:rsidRPr="00C7157C">
        <w:rPr>
          <w:rFonts w:ascii="Century" w:hAnsi="Century" w:cs="Miriam" w:hint="cs"/>
          <w:b/>
          <w:spacing w:val="0"/>
          <w:szCs w:val="24"/>
          <w:rtl/>
        </w:rPr>
        <w:t>חזקת התקינות המ</w:t>
      </w:r>
      <w:r>
        <w:rPr>
          <w:rFonts w:ascii="Century" w:hAnsi="Century" w:cs="Miriam" w:hint="cs"/>
          <w:b/>
          <w:spacing w:val="0"/>
          <w:szCs w:val="24"/>
          <w:rtl/>
        </w:rPr>
        <w:t>י</w:t>
      </w:r>
      <w:r w:rsidRPr="00C7157C">
        <w:rPr>
          <w:rFonts w:ascii="Century" w:hAnsi="Century" w:cs="Miriam" w:hint="cs"/>
          <w:b/>
          <w:spacing w:val="0"/>
          <w:szCs w:val="24"/>
          <w:rtl/>
        </w:rPr>
        <w:t>נהלית</w:t>
      </w:r>
      <w:r w:rsidRPr="00C7157C">
        <w:rPr>
          <w:rFonts w:ascii="Century" w:hAnsi="Century" w:hint="cs"/>
          <w:rtl/>
        </w:rPr>
        <w:t xml:space="preserve"> </w:t>
      </w:r>
      <w:r w:rsidRPr="00F60AAC">
        <w:rPr>
          <w:rFonts w:ascii="Century" w:hAnsi="Century" w:hint="cs"/>
          <w:rtl/>
        </w:rPr>
        <w:t>הנהוגה במחוזותינו, והוא תוחם הלכה למעשה את היקף הביקורת השיפוטית על סבירות החלטותיה של הרשות המ</w:t>
      </w:r>
      <w:r>
        <w:rPr>
          <w:rFonts w:ascii="Century" w:hAnsi="Century" w:hint="cs"/>
          <w:rtl/>
        </w:rPr>
        <w:t>י</w:t>
      </w:r>
      <w:r w:rsidRPr="00F60AAC">
        <w:rPr>
          <w:rFonts w:ascii="Century" w:hAnsi="Century" w:hint="cs"/>
          <w:rtl/>
        </w:rPr>
        <w:t>נהלית</w:t>
      </w:r>
      <w:r>
        <w:rPr>
          <w:rFonts w:ascii="Century" w:hAnsi="Century" w:hint="cs"/>
          <w:rtl/>
        </w:rPr>
        <w:t xml:space="preserve"> (ראו מ</w:t>
      </w:r>
      <w:r w:rsidRPr="00F60AAC">
        <w:rPr>
          <w:rFonts w:ascii="Century" w:hAnsi="Century" w:hint="cs"/>
          <w:rtl/>
        </w:rPr>
        <w:t xml:space="preserve">ני רבים: </w:t>
      </w:r>
      <w:r w:rsidRPr="00C7157C">
        <w:rPr>
          <w:rFonts w:ascii="Century" w:hAnsi="Century" w:cs="Miriam" w:hint="cs"/>
          <w:b/>
          <w:spacing w:val="0"/>
          <w:szCs w:val="24"/>
          <w:rtl/>
        </w:rPr>
        <w:t>עניין דקה</w:t>
      </w:r>
      <w:r w:rsidRPr="00F60AAC">
        <w:rPr>
          <w:rFonts w:ascii="Century" w:hAnsi="Century" w:hint="cs"/>
          <w:rtl/>
        </w:rPr>
        <w:t xml:space="preserve">, עמ' </w:t>
      </w:r>
      <w:r>
        <w:rPr>
          <w:rFonts w:ascii="Century" w:hAnsi="Century" w:hint="cs"/>
          <w:rtl/>
        </w:rPr>
        <w:t>105-102</w:t>
      </w:r>
      <w:r w:rsidRPr="00F60AAC">
        <w:rPr>
          <w:rFonts w:ascii="Century" w:hAnsi="Century" w:hint="cs"/>
          <w:rtl/>
        </w:rPr>
        <w:t xml:space="preserve">; עניין </w:t>
      </w:r>
      <w:r w:rsidRPr="00C7157C">
        <w:rPr>
          <w:rFonts w:ascii="Century" w:hAnsi="Century" w:cs="Miriam" w:hint="cs"/>
          <w:b/>
          <w:spacing w:val="0"/>
          <w:szCs w:val="24"/>
          <w:rtl/>
        </w:rPr>
        <w:t>דפי זהב</w:t>
      </w:r>
      <w:r>
        <w:rPr>
          <w:rFonts w:ascii="Century" w:hAnsi="Century" w:cs="Miriam" w:hint="cs"/>
          <w:b/>
          <w:spacing w:val="0"/>
          <w:szCs w:val="24"/>
          <w:rtl/>
        </w:rPr>
        <w:t>,</w:t>
      </w:r>
      <w:r w:rsidRPr="00C7157C">
        <w:rPr>
          <w:rFonts w:ascii="Century" w:hAnsi="Century" w:hint="cs"/>
          <w:rtl/>
        </w:rPr>
        <w:t xml:space="preserve"> </w:t>
      </w:r>
      <w:r w:rsidRPr="00F60AAC">
        <w:rPr>
          <w:rFonts w:ascii="Century" w:hAnsi="Century" w:hint="cs"/>
          <w:rtl/>
        </w:rPr>
        <w:t xml:space="preserve">עמ' </w:t>
      </w:r>
      <w:r>
        <w:rPr>
          <w:rFonts w:ascii="Century" w:hAnsi="Century" w:hint="cs"/>
          <w:rtl/>
        </w:rPr>
        <w:t>432, 444-443</w:t>
      </w:r>
      <w:r w:rsidRPr="00F60AAC">
        <w:rPr>
          <w:rFonts w:ascii="Century" w:hAnsi="Century" w:hint="cs"/>
          <w:rtl/>
        </w:rPr>
        <w:t xml:space="preserve">; </w:t>
      </w:r>
      <w:r w:rsidRPr="00F60AAC">
        <w:rPr>
          <w:rFonts w:ascii="Century" w:hAnsi="Century" w:hint="eastAsia"/>
          <w:rtl/>
        </w:rPr>
        <w:t>בג</w:t>
      </w:r>
      <w:r w:rsidRPr="00F60AAC">
        <w:rPr>
          <w:rFonts w:ascii="Century" w:hAnsi="Century"/>
          <w:rtl/>
        </w:rPr>
        <w:t>"</w:t>
      </w:r>
      <w:r w:rsidRPr="00F60AAC">
        <w:rPr>
          <w:rFonts w:ascii="Century" w:hAnsi="Century" w:hint="eastAsia"/>
          <w:rtl/>
        </w:rPr>
        <w:t>ץ</w:t>
      </w:r>
      <w:r w:rsidRPr="00F60AAC">
        <w:rPr>
          <w:rFonts w:ascii="Century" w:hAnsi="Century"/>
          <w:rtl/>
        </w:rPr>
        <w:t xml:space="preserve"> 4500/07 </w:t>
      </w:r>
      <w:r w:rsidRPr="00F60AAC">
        <w:rPr>
          <w:rFonts w:ascii="Century" w:hAnsi="Century" w:hint="eastAsia"/>
          <w:rtl/>
        </w:rPr>
        <w:t>י</w:t>
      </w:r>
      <w:r w:rsidRPr="00C7157C">
        <w:rPr>
          <w:rFonts w:ascii="Century" w:hAnsi="Century" w:cs="Miriam" w:hint="eastAsia"/>
          <w:b/>
          <w:spacing w:val="0"/>
          <w:szCs w:val="24"/>
          <w:rtl/>
        </w:rPr>
        <w:t>חימוביץ</w:t>
      </w:r>
      <w:r w:rsidRPr="00C7157C">
        <w:rPr>
          <w:rFonts w:ascii="Century" w:hAnsi="Century" w:cs="Miriam"/>
          <w:b/>
          <w:spacing w:val="0"/>
          <w:szCs w:val="24"/>
          <w:rtl/>
        </w:rPr>
        <w:t xml:space="preserve">' </w:t>
      </w:r>
      <w:r w:rsidRPr="00C7157C">
        <w:rPr>
          <w:rFonts w:ascii="Century" w:hAnsi="Century" w:cs="Miriam" w:hint="eastAsia"/>
          <w:b/>
          <w:spacing w:val="0"/>
          <w:szCs w:val="24"/>
          <w:rtl/>
        </w:rPr>
        <w:t>נ</w:t>
      </w:r>
      <w:r w:rsidRPr="00C7157C">
        <w:rPr>
          <w:rFonts w:ascii="Century" w:hAnsi="Century" w:cs="Miriam"/>
          <w:b/>
          <w:spacing w:val="0"/>
          <w:szCs w:val="24"/>
          <w:rtl/>
        </w:rPr>
        <w:t xml:space="preserve">' </w:t>
      </w:r>
      <w:r w:rsidRPr="00C7157C">
        <w:rPr>
          <w:rFonts w:ascii="Century" w:hAnsi="Century" w:cs="Miriam" w:hint="eastAsia"/>
          <w:b/>
          <w:spacing w:val="0"/>
          <w:szCs w:val="24"/>
          <w:rtl/>
        </w:rPr>
        <w:t>מועצת</w:t>
      </w:r>
      <w:r w:rsidRPr="00C7157C">
        <w:rPr>
          <w:rFonts w:ascii="Century" w:hAnsi="Century" w:cs="Miriam"/>
          <w:b/>
          <w:spacing w:val="0"/>
          <w:szCs w:val="24"/>
          <w:rtl/>
        </w:rPr>
        <w:t xml:space="preserve"> </w:t>
      </w:r>
      <w:r w:rsidRPr="00C7157C">
        <w:rPr>
          <w:rFonts w:ascii="Century" w:hAnsi="Century" w:cs="Miriam" w:hint="eastAsia"/>
          <w:b/>
          <w:spacing w:val="0"/>
          <w:szCs w:val="24"/>
          <w:rtl/>
        </w:rPr>
        <w:t>הרשות</w:t>
      </w:r>
      <w:r w:rsidRPr="00C7157C">
        <w:rPr>
          <w:rFonts w:ascii="Century" w:hAnsi="Century" w:cs="Miriam"/>
          <w:b/>
          <w:spacing w:val="0"/>
          <w:szCs w:val="24"/>
          <w:rtl/>
        </w:rPr>
        <w:t xml:space="preserve"> </w:t>
      </w:r>
      <w:r w:rsidRPr="00C7157C">
        <w:rPr>
          <w:rFonts w:ascii="Century" w:hAnsi="Century" w:cs="Miriam" w:hint="eastAsia"/>
          <w:b/>
          <w:spacing w:val="0"/>
          <w:szCs w:val="24"/>
          <w:rtl/>
        </w:rPr>
        <w:t>השניה</w:t>
      </w:r>
      <w:r w:rsidRPr="00C7157C">
        <w:rPr>
          <w:rFonts w:ascii="Century" w:hAnsi="Century" w:cs="Miriam"/>
          <w:b/>
          <w:spacing w:val="0"/>
          <w:szCs w:val="24"/>
          <w:rtl/>
        </w:rPr>
        <w:t xml:space="preserve"> </w:t>
      </w:r>
      <w:r w:rsidRPr="00C7157C">
        <w:rPr>
          <w:rFonts w:ascii="Century" w:hAnsi="Century" w:cs="Miriam" w:hint="eastAsia"/>
          <w:b/>
          <w:spacing w:val="0"/>
          <w:szCs w:val="24"/>
          <w:rtl/>
        </w:rPr>
        <w:t>לרדיו</w:t>
      </w:r>
      <w:r w:rsidRPr="00C7157C">
        <w:rPr>
          <w:rFonts w:ascii="Century" w:hAnsi="Century" w:cs="Miriam"/>
          <w:b/>
          <w:spacing w:val="0"/>
          <w:szCs w:val="24"/>
          <w:rtl/>
        </w:rPr>
        <w:t xml:space="preserve"> </w:t>
      </w:r>
      <w:r w:rsidRPr="00C7157C">
        <w:rPr>
          <w:rFonts w:ascii="Century" w:hAnsi="Century" w:cs="Miriam" w:hint="eastAsia"/>
          <w:b/>
          <w:spacing w:val="0"/>
          <w:szCs w:val="24"/>
          <w:rtl/>
        </w:rPr>
        <w:t>ולטלוויזיה</w:t>
      </w:r>
      <w:r w:rsidRPr="00F60AAC">
        <w:rPr>
          <w:rFonts w:ascii="Century" w:hAnsi="Century" w:hint="cs"/>
          <w:rtl/>
        </w:rPr>
        <w:t xml:space="preserve">, פסקה 15 </w:t>
      </w:r>
      <w:r w:rsidRPr="00F60AAC">
        <w:rPr>
          <w:rFonts w:ascii="Century" w:hAnsi="Century" w:hint="cs"/>
          <w:rtl/>
        </w:rPr>
        <w:lastRenderedPageBreak/>
        <w:t xml:space="preserve">לפסק דינה של הנשיאה </w:t>
      </w:r>
      <w:r w:rsidRPr="00C7157C">
        <w:rPr>
          <w:rFonts w:ascii="Century" w:hAnsi="Century" w:cs="Miriam" w:hint="cs"/>
          <w:b/>
          <w:spacing w:val="0"/>
          <w:szCs w:val="24"/>
          <w:rtl/>
        </w:rPr>
        <w:t>ד' ביניש</w:t>
      </w:r>
      <w:r w:rsidRPr="00C7157C">
        <w:rPr>
          <w:rFonts w:ascii="Century" w:hAnsi="Century" w:hint="cs"/>
          <w:rtl/>
        </w:rPr>
        <w:t xml:space="preserve"> </w:t>
      </w:r>
      <w:r w:rsidRPr="00F60AAC">
        <w:rPr>
          <w:rFonts w:ascii="Century" w:hAnsi="Century"/>
          <w:rtl/>
        </w:rPr>
        <w:t>(21.11.2007)</w:t>
      </w:r>
      <w:r w:rsidRPr="00F60AAC">
        <w:rPr>
          <w:rFonts w:ascii="Century" w:hAnsi="Century" w:hint="cs"/>
          <w:rtl/>
        </w:rPr>
        <w:t xml:space="preserve">; </w:t>
      </w:r>
      <w:r w:rsidRPr="00F60AAC">
        <w:rPr>
          <w:rFonts w:ascii="Century" w:hAnsi="Century" w:hint="eastAsia"/>
          <w:rtl/>
        </w:rPr>
        <w:t>בג</w:t>
      </w:r>
      <w:r w:rsidRPr="00F60AAC">
        <w:rPr>
          <w:rFonts w:ascii="Century" w:hAnsi="Century"/>
          <w:rtl/>
        </w:rPr>
        <w:t>"</w:t>
      </w:r>
      <w:r w:rsidRPr="00F60AAC">
        <w:rPr>
          <w:rFonts w:ascii="Century" w:hAnsi="Century" w:hint="eastAsia"/>
          <w:rtl/>
        </w:rPr>
        <w:t>ץ</w:t>
      </w:r>
      <w:r w:rsidRPr="00F60AAC">
        <w:rPr>
          <w:rFonts w:ascii="Century" w:hAnsi="Century"/>
          <w:rtl/>
        </w:rPr>
        <w:t xml:space="preserve"> 11087/05 </w:t>
      </w:r>
      <w:r w:rsidRPr="00C7157C">
        <w:rPr>
          <w:rFonts w:ascii="Century" w:hAnsi="Century" w:cs="Miriam" w:hint="eastAsia"/>
          <w:b/>
          <w:spacing w:val="0"/>
          <w:szCs w:val="24"/>
          <w:rtl/>
        </w:rPr>
        <w:t>חברת</w:t>
      </w:r>
      <w:r w:rsidRPr="00C7157C">
        <w:rPr>
          <w:rFonts w:ascii="Century" w:hAnsi="Century" w:cs="Miriam"/>
          <w:b/>
          <w:spacing w:val="0"/>
          <w:szCs w:val="24"/>
          <w:rtl/>
        </w:rPr>
        <w:t xml:space="preserve"> </w:t>
      </w:r>
      <w:r w:rsidRPr="00C7157C">
        <w:rPr>
          <w:rFonts w:ascii="Century" w:hAnsi="Century" w:cs="Miriam" w:hint="eastAsia"/>
          <w:b/>
          <w:spacing w:val="0"/>
          <w:szCs w:val="24"/>
          <w:rtl/>
        </w:rPr>
        <w:t>העובדים</w:t>
      </w:r>
      <w:r w:rsidRPr="00C7157C">
        <w:rPr>
          <w:rFonts w:ascii="Century" w:hAnsi="Century" w:cs="Miriam"/>
          <w:b/>
          <w:spacing w:val="0"/>
          <w:szCs w:val="24"/>
          <w:rtl/>
        </w:rPr>
        <w:t xml:space="preserve"> </w:t>
      </w:r>
      <w:r w:rsidRPr="00C7157C">
        <w:rPr>
          <w:rFonts w:ascii="Century" w:hAnsi="Century" w:cs="Miriam" w:hint="eastAsia"/>
          <w:b/>
          <w:spacing w:val="0"/>
          <w:szCs w:val="24"/>
          <w:rtl/>
        </w:rPr>
        <w:t>השיתופית</w:t>
      </w:r>
      <w:r w:rsidRPr="00C7157C">
        <w:rPr>
          <w:rFonts w:ascii="Century" w:hAnsi="Century" w:cs="Miriam"/>
          <w:b/>
          <w:spacing w:val="0"/>
          <w:szCs w:val="24"/>
          <w:rtl/>
        </w:rPr>
        <w:t xml:space="preserve"> </w:t>
      </w:r>
      <w:r w:rsidRPr="00C7157C">
        <w:rPr>
          <w:rFonts w:ascii="Century" w:hAnsi="Century" w:cs="Miriam" w:hint="eastAsia"/>
          <w:b/>
          <w:spacing w:val="0"/>
          <w:szCs w:val="24"/>
          <w:rtl/>
        </w:rPr>
        <w:t>הכללית</w:t>
      </w:r>
      <w:r w:rsidRPr="00C7157C">
        <w:rPr>
          <w:rFonts w:ascii="Century" w:hAnsi="Century" w:cs="Miriam"/>
          <w:b/>
          <w:spacing w:val="0"/>
          <w:szCs w:val="24"/>
          <w:rtl/>
        </w:rPr>
        <w:t xml:space="preserve"> </w:t>
      </w:r>
      <w:r w:rsidRPr="00C7157C">
        <w:rPr>
          <w:rFonts w:ascii="Century" w:hAnsi="Century" w:cs="Miriam" w:hint="eastAsia"/>
          <w:b/>
          <w:spacing w:val="0"/>
          <w:szCs w:val="24"/>
          <w:rtl/>
        </w:rPr>
        <w:t>בא</w:t>
      </w:r>
      <w:r w:rsidRPr="00C7157C">
        <w:rPr>
          <w:rFonts w:ascii="Century" w:hAnsi="Century" w:cs="Miriam"/>
          <w:b/>
          <w:spacing w:val="0"/>
          <w:szCs w:val="24"/>
          <w:rtl/>
        </w:rPr>
        <w:t>"</w:t>
      </w:r>
      <w:r w:rsidRPr="00C7157C">
        <w:rPr>
          <w:rFonts w:ascii="Century" w:hAnsi="Century" w:cs="Miriam" w:hint="eastAsia"/>
          <w:b/>
          <w:spacing w:val="0"/>
          <w:szCs w:val="24"/>
          <w:rtl/>
        </w:rPr>
        <w:t>י</w:t>
      </w:r>
      <w:r w:rsidRPr="00C7157C">
        <w:rPr>
          <w:rFonts w:ascii="Century" w:hAnsi="Century" w:cs="Miriam"/>
          <w:b/>
          <w:spacing w:val="0"/>
          <w:szCs w:val="24"/>
          <w:rtl/>
        </w:rPr>
        <w:t xml:space="preserve"> </w:t>
      </w:r>
      <w:r w:rsidRPr="00C7157C">
        <w:rPr>
          <w:rFonts w:ascii="Century" w:hAnsi="Century" w:cs="Miriam" w:hint="eastAsia"/>
          <w:b/>
          <w:spacing w:val="0"/>
          <w:szCs w:val="24"/>
          <w:rtl/>
        </w:rPr>
        <w:t>בע</w:t>
      </w:r>
      <w:r w:rsidRPr="00C7157C">
        <w:rPr>
          <w:rFonts w:ascii="Century" w:hAnsi="Century" w:cs="Miriam"/>
          <w:b/>
          <w:spacing w:val="0"/>
          <w:szCs w:val="24"/>
          <w:rtl/>
        </w:rPr>
        <w:t>"</w:t>
      </w:r>
      <w:r w:rsidRPr="00C7157C">
        <w:rPr>
          <w:rFonts w:ascii="Century" w:hAnsi="Century" w:cs="Miriam" w:hint="eastAsia"/>
          <w:b/>
          <w:spacing w:val="0"/>
          <w:szCs w:val="24"/>
          <w:rtl/>
        </w:rPr>
        <w:t>מ</w:t>
      </w:r>
      <w:r w:rsidRPr="00C7157C">
        <w:rPr>
          <w:rFonts w:ascii="Century" w:hAnsi="Century" w:cs="Miriam"/>
          <w:b/>
          <w:spacing w:val="0"/>
          <w:szCs w:val="24"/>
          <w:rtl/>
        </w:rPr>
        <w:t xml:space="preserve"> </w:t>
      </w:r>
      <w:r w:rsidRPr="00C7157C">
        <w:rPr>
          <w:rFonts w:ascii="Century" w:hAnsi="Century" w:cs="Miriam" w:hint="eastAsia"/>
          <w:b/>
          <w:spacing w:val="0"/>
          <w:szCs w:val="24"/>
          <w:rtl/>
        </w:rPr>
        <w:t>נ</w:t>
      </w:r>
      <w:r w:rsidRPr="00C7157C">
        <w:rPr>
          <w:rFonts w:ascii="Century" w:hAnsi="Century" w:cs="Miriam"/>
          <w:b/>
          <w:spacing w:val="0"/>
          <w:szCs w:val="24"/>
          <w:rtl/>
        </w:rPr>
        <w:t xml:space="preserve">' </w:t>
      </w:r>
      <w:r w:rsidRPr="00C7157C">
        <w:rPr>
          <w:rFonts w:ascii="Century" w:hAnsi="Century" w:cs="Miriam" w:hint="eastAsia"/>
          <w:b/>
          <w:spacing w:val="0"/>
          <w:szCs w:val="24"/>
          <w:rtl/>
        </w:rPr>
        <w:t>מדינת</w:t>
      </w:r>
      <w:r w:rsidRPr="00C7157C">
        <w:rPr>
          <w:rFonts w:ascii="Century" w:hAnsi="Century" w:cs="Miriam"/>
          <w:b/>
          <w:spacing w:val="0"/>
          <w:szCs w:val="24"/>
          <w:rtl/>
        </w:rPr>
        <w:t xml:space="preserve"> </w:t>
      </w:r>
      <w:r w:rsidRPr="00C7157C">
        <w:rPr>
          <w:rFonts w:ascii="Century" w:hAnsi="Century" w:cs="Miriam" w:hint="eastAsia"/>
          <w:b/>
          <w:spacing w:val="0"/>
          <w:szCs w:val="24"/>
          <w:rtl/>
        </w:rPr>
        <w:t>ישראל</w:t>
      </w:r>
      <w:r w:rsidRPr="00F60AAC">
        <w:rPr>
          <w:rFonts w:ascii="Century" w:hAnsi="Century" w:hint="cs"/>
          <w:rtl/>
        </w:rPr>
        <w:t xml:space="preserve">, פסקה 13 לחוות דעתו של המשנה לנשיא (בדימ') </w:t>
      </w:r>
      <w:r w:rsidRPr="00C7157C">
        <w:rPr>
          <w:rFonts w:ascii="Century" w:hAnsi="Century" w:cs="Miriam" w:hint="cs"/>
          <w:b/>
          <w:spacing w:val="0"/>
          <w:szCs w:val="24"/>
          <w:rtl/>
        </w:rPr>
        <w:t>א' ריבלין</w:t>
      </w:r>
      <w:r w:rsidRPr="00C7157C">
        <w:rPr>
          <w:rFonts w:ascii="Century" w:hAnsi="Century"/>
          <w:rtl/>
        </w:rPr>
        <w:t xml:space="preserve"> </w:t>
      </w:r>
      <w:r w:rsidRPr="00F60AAC">
        <w:rPr>
          <w:rFonts w:ascii="Century" w:hAnsi="Century"/>
          <w:rtl/>
        </w:rPr>
        <w:t>(21.</w:t>
      </w:r>
      <w:r w:rsidRPr="00F60AAC">
        <w:rPr>
          <w:rFonts w:ascii="Century" w:hAnsi="Century" w:hint="cs"/>
          <w:rtl/>
        </w:rPr>
        <w:t>8</w:t>
      </w:r>
      <w:r w:rsidRPr="00F60AAC">
        <w:rPr>
          <w:rFonts w:ascii="Century" w:hAnsi="Century"/>
          <w:rtl/>
        </w:rPr>
        <w:t>.2012)</w:t>
      </w:r>
      <w:r w:rsidRPr="00F60AAC">
        <w:rPr>
          <w:rFonts w:ascii="Century" w:hAnsi="Century" w:hint="cs"/>
          <w:rtl/>
        </w:rPr>
        <w:t xml:space="preserve">; </w:t>
      </w:r>
      <w:r w:rsidRPr="00F60AAC">
        <w:rPr>
          <w:rFonts w:ascii="Century" w:hAnsi="Century" w:hint="eastAsia"/>
          <w:rtl/>
        </w:rPr>
        <w:t>רע</w:t>
      </w:r>
      <w:r w:rsidRPr="00F60AAC">
        <w:rPr>
          <w:rFonts w:ascii="Century" w:hAnsi="Century"/>
          <w:rtl/>
        </w:rPr>
        <w:t>"</w:t>
      </w:r>
      <w:r w:rsidRPr="00F60AAC">
        <w:rPr>
          <w:rFonts w:ascii="Century" w:hAnsi="Century" w:hint="eastAsia"/>
          <w:rtl/>
        </w:rPr>
        <w:t>א</w:t>
      </w:r>
      <w:r w:rsidRPr="00F60AAC">
        <w:rPr>
          <w:rFonts w:ascii="Century" w:hAnsi="Century"/>
          <w:rtl/>
        </w:rPr>
        <w:t xml:space="preserve"> 775/11 </w:t>
      </w:r>
      <w:r w:rsidRPr="00C7157C">
        <w:rPr>
          <w:rFonts w:ascii="Century" w:hAnsi="Century" w:cs="Miriam" w:hint="eastAsia"/>
          <w:b/>
          <w:spacing w:val="0"/>
          <w:szCs w:val="24"/>
          <w:rtl/>
        </w:rPr>
        <w:t>פלקסר</w:t>
      </w:r>
      <w:r w:rsidRPr="00C7157C">
        <w:rPr>
          <w:rFonts w:ascii="Century" w:hAnsi="Century" w:cs="Miriam"/>
          <w:b/>
          <w:spacing w:val="0"/>
          <w:szCs w:val="24"/>
          <w:rtl/>
        </w:rPr>
        <w:t xml:space="preserve"> </w:t>
      </w:r>
      <w:r w:rsidRPr="00C7157C">
        <w:rPr>
          <w:rFonts w:ascii="Century" w:hAnsi="Century" w:cs="Miriam" w:hint="eastAsia"/>
          <w:b/>
          <w:spacing w:val="0"/>
          <w:szCs w:val="24"/>
          <w:rtl/>
        </w:rPr>
        <w:t>נ</w:t>
      </w:r>
      <w:r w:rsidRPr="00C7157C">
        <w:rPr>
          <w:rFonts w:ascii="Century" w:hAnsi="Century" w:cs="Miriam"/>
          <w:b/>
          <w:spacing w:val="0"/>
          <w:szCs w:val="24"/>
          <w:rtl/>
        </w:rPr>
        <w:t xml:space="preserve">' </w:t>
      </w:r>
      <w:r w:rsidRPr="00C7157C">
        <w:rPr>
          <w:rFonts w:ascii="Century" w:hAnsi="Century" w:cs="Miriam" w:hint="eastAsia"/>
          <w:b/>
          <w:spacing w:val="0"/>
          <w:szCs w:val="24"/>
          <w:rtl/>
        </w:rPr>
        <w:t>משטרת</w:t>
      </w:r>
      <w:r w:rsidRPr="00C7157C">
        <w:rPr>
          <w:rFonts w:ascii="Century" w:hAnsi="Century" w:cs="Miriam"/>
          <w:b/>
          <w:spacing w:val="0"/>
          <w:szCs w:val="24"/>
          <w:rtl/>
        </w:rPr>
        <w:t xml:space="preserve"> </w:t>
      </w:r>
      <w:r w:rsidRPr="00C7157C">
        <w:rPr>
          <w:rFonts w:ascii="Century" w:hAnsi="Century" w:cs="Miriam" w:hint="eastAsia"/>
          <w:b/>
          <w:spacing w:val="0"/>
          <w:szCs w:val="24"/>
          <w:rtl/>
        </w:rPr>
        <w:t>ישראל</w:t>
      </w:r>
      <w:r w:rsidRPr="00F60AAC">
        <w:rPr>
          <w:rFonts w:ascii="Century" w:hAnsi="Century"/>
          <w:rtl/>
        </w:rPr>
        <w:t>,</w:t>
      </w:r>
      <w:r w:rsidRPr="00F60AAC">
        <w:rPr>
          <w:rFonts w:ascii="Century" w:hAnsi="Century" w:hint="cs"/>
          <w:rtl/>
        </w:rPr>
        <w:t xml:space="preserve"> </w:t>
      </w:r>
      <w:r>
        <w:rPr>
          <w:rFonts w:ascii="Century" w:hAnsi="Century" w:hint="cs"/>
          <w:rtl/>
        </w:rPr>
        <w:t xml:space="preserve">פסקה 28 לחוות דעתה של השופטת </w:t>
      </w:r>
      <w:r w:rsidRPr="00C91FFC">
        <w:rPr>
          <w:rFonts w:ascii="Century" w:hAnsi="Century" w:cs="Miriam" w:hint="cs"/>
          <w:b/>
          <w:spacing w:val="0"/>
          <w:szCs w:val="24"/>
          <w:rtl/>
        </w:rPr>
        <w:t>א' חיות</w:t>
      </w:r>
      <w:r w:rsidRPr="00C91FFC">
        <w:rPr>
          <w:rFonts w:ascii="Century" w:hAnsi="Century" w:hint="cs"/>
          <w:rtl/>
        </w:rPr>
        <w:t xml:space="preserve"> </w:t>
      </w:r>
      <w:r>
        <w:rPr>
          <w:rFonts w:ascii="Century" w:hAnsi="Century" w:hint="cs"/>
          <w:rtl/>
        </w:rPr>
        <w:t xml:space="preserve">ופסקה 3 לחוות דעתו של השופט </w:t>
      </w:r>
      <w:r w:rsidRPr="00C91FFC">
        <w:rPr>
          <w:rFonts w:ascii="Century" w:hAnsi="Century" w:cs="Miriam" w:hint="cs"/>
          <w:b/>
          <w:spacing w:val="0"/>
          <w:szCs w:val="24"/>
          <w:rtl/>
        </w:rPr>
        <w:t>י' עמית</w:t>
      </w:r>
      <w:r w:rsidRPr="00C91FFC">
        <w:rPr>
          <w:rFonts w:ascii="Century" w:hAnsi="Century" w:hint="cs"/>
          <w:rtl/>
        </w:rPr>
        <w:t xml:space="preserve"> </w:t>
      </w:r>
      <w:r>
        <w:rPr>
          <w:rFonts w:ascii="Century" w:hAnsi="Century" w:hint="cs"/>
          <w:rtl/>
        </w:rPr>
        <w:t>(11.8.2014)).</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Pr>
          <w:rFonts w:ascii="Century" w:hAnsi="Century"/>
          <w:rtl/>
        </w:rPr>
        <w:tab/>
      </w:r>
      <w:r w:rsidRPr="00F60AAC">
        <w:rPr>
          <w:rFonts w:ascii="Century" w:hAnsi="Century" w:hint="cs"/>
          <w:rtl/>
        </w:rPr>
        <w:t xml:space="preserve">אין זאת אלא, שעילת הסבירות שמורה למקרים חריגים שבהם ההחלטה המינהלית לוקה בחוסר סבירות </w:t>
      </w:r>
      <w:r w:rsidRPr="00A60EE4">
        <w:rPr>
          <w:rFonts w:ascii="Century" w:hAnsi="Century" w:cs="Miriam" w:hint="cs"/>
          <w:b/>
          <w:spacing w:val="0"/>
          <w:szCs w:val="24"/>
          <w:rtl/>
        </w:rPr>
        <w:t>קיצוני</w:t>
      </w:r>
      <w:r w:rsidRPr="00A60EE4">
        <w:rPr>
          <w:rFonts w:ascii="Century" w:hAnsi="Century" w:hint="cs"/>
          <w:rtl/>
        </w:rPr>
        <w:t xml:space="preserve"> </w:t>
      </w:r>
      <w:r w:rsidRPr="00F60AAC">
        <w:rPr>
          <w:rFonts w:ascii="Century" w:hAnsi="Century" w:hint="cs"/>
          <w:rtl/>
        </w:rPr>
        <w:t xml:space="preserve">או </w:t>
      </w:r>
      <w:r w:rsidRPr="00A60EE4">
        <w:rPr>
          <w:rFonts w:ascii="Century" w:hAnsi="Century" w:cs="Miriam" w:hint="cs"/>
          <w:b/>
          <w:spacing w:val="0"/>
          <w:szCs w:val="24"/>
          <w:rtl/>
        </w:rPr>
        <w:t>מהותי</w:t>
      </w:r>
      <w:r w:rsidRPr="00F60AAC">
        <w:rPr>
          <w:rFonts w:ascii="Century" w:hAnsi="Century" w:hint="cs"/>
          <w:rtl/>
        </w:rPr>
        <w:t>:</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5"/>
        <w:rPr>
          <w:rtl/>
        </w:rPr>
      </w:pPr>
      <w:r w:rsidRPr="00F60AAC">
        <w:rPr>
          <w:rFonts w:hint="cs"/>
          <w:rtl/>
        </w:rPr>
        <w:t>"</w:t>
      </w:r>
      <w:r w:rsidRPr="00F60AAC">
        <w:rPr>
          <w:rtl/>
        </w:rPr>
        <w:t xml:space="preserve">בניגוד למה שעלול להשתמע מן התיבה </w:t>
      </w:r>
      <w:r w:rsidRPr="00F60AAC">
        <w:rPr>
          <w:rFonts w:hint="cs"/>
          <w:rtl/>
        </w:rPr>
        <w:t>'</w:t>
      </w:r>
      <w:r w:rsidRPr="00F60AAC">
        <w:rPr>
          <w:rtl/>
        </w:rPr>
        <w:t>עילת הסבירות</w:t>
      </w:r>
      <w:r w:rsidRPr="00F60AAC">
        <w:rPr>
          <w:rFonts w:hint="cs"/>
          <w:rtl/>
        </w:rPr>
        <w:t>'</w:t>
      </w:r>
      <w:r w:rsidRPr="00F60AAC">
        <w:rPr>
          <w:rtl/>
        </w:rPr>
        <w:t xml:space="preserve">, כבר הובהר בפסיקה כי בית המשפט אינו שם עצמו בנעלי הרשות ואינו בוחן את תבונתה של ההחלטה. התערבות שיפוטית בהחלטות מינהליות שמורה למקרים חריגים של חוסר סבירות ניכר. בית המשפט לא שואל את עצמו מה </w:t>
      </w:r>
      <w:r w:rsidRPr="00F60AAC">
        <w:rPr>
          <w:rFonts w:hint="eastAsia"/>
          <w:rtl/>
        </w:rPr>
        <w:t>הוא</w:t>
      </w:r>
      <w:r w:rsidRPr="00F60AAC">
        <w:rPr>
          <w:rtl/>
        </w:rPr>
        <w:t xml:space="preserve"> היה מחליט בנסיבות המקרה, אלא מה </w:t>
      </w:r>
      <w:r w:rsidRPr="00F60AAC">
        <w:rPr>
          <w:rFonts w:hint="eastAsia"/>
          <w:rtl/>
        </w:rPr>
        <w:t>רשות</w:t>
      </w:r>
      <w:r w:rsidRPr="00F60AAC">
        <w:rPr>
          <w:rtl/>
        </w:rPr>
        <w:t xml:space="preserve"> </w:t>
      </w:r>
      <w:r w:rsidRPr="00F60AAC">
        <w:rPr>
          <w:rFonts w:hint="eastAsia"/>
          <w:rtl/>
        </w:rPr>
        <w:t>סבירה</w:t>
      </w:r>
      <w:r w:rsidRPr="00F60AAC">
        <w:rPr>
          <w:rtl/>
        </w:rPr>
        <w:t xml:space="preserve"> היתה מחליטה. בהקשר זה, מתחם שיקול הדעת הנתון לרשות בהחלטותיה הוא רחב, וכולל מגוון אלטרנטיבות שכולן עשויות להיות סבירות. מכל מקום, עילת הסבירות אינה מאפשרת לשופט לפסול כל החלטה שנראית לו </w:t>
      </w:r>
      <w:r w:rsidRPr="00F60AAC">
        <w:rPr>
          <w:rFonts w:hint="cs"/>
          <w:rtl/>
        </w:rPr>
        <w:t>'</w:t>
      </w:r>
      <w:r w:rsidRPr="00F60AAC">
        <w:rPr>
          <w:rtl/>
        </w:rPr>
        <w:t>בלתי סבירה</w:t>
      </w:r>
      <w:r w:rsidRPr="00F60AAC">
        <w:rPr>
          <w:rFonts w:hint="cs"/>
          <w:rtl/>
        </w:rPr>
        <w:t>'</w:t>
      </w:r>
      <w:r w:rsidRPr="00F60AAC">
        <w:rPr>
          <w:rtl/>
        </w:rPr>
        <w:t xml:space="preserve"> כמשמעותו של מונח זה בלשון שאינה משפטית (ראו דברי הנשיא </w:t>
      </w:r>
      <w:r w:rsidRPr="00F60AAC">
        <w:rPr>
          <w:rFonts w:hint="eastAsia"/>
          <w:rtl/>
        </w:rPr>
        <w:t>מ</w:t>
      </w:r>
      <w:r w:rsidRPr="00F60AAC">
        <w:rPr>
          <w:rtl/>
        </w:rPr>
        <w:t xml:space="preserve">' </w:t>
      </w:r>
      <w:r w:rsidRPr="00F60AAC">
        <w:rPr>
          <w:rFonts w:hint="eastAsia"/>
          <w:rtl/>
        </w:rPr>
        <w:t>לנדוי</w:t>
      </w:r>
      <w:r w:rsidRPr="00F60AAC">
        <w:rPr>
          <w:rtl/>
        </w:rPr>
        <w:t xml:space="preserve"> בעניין </w:t>
      </w:r>
      <w:r w:rsidRPr="00F60AAC">
        <w:rPr>
          <w:rFonts w:hint="eastAsia"/>
          <w:rtl/>
        </w:rPr>
        <w:t>דפי</w:t>
      </w:r>
      <w:r w:rsidRPr="00F60AAC">
        <w:rPr>
          <w:rtl/>
        </w:rPr>
        <w:t xml:space="preserve"> </w:t>
      </w:r>
      <w:r w:rsidRPr="00F60AAC">
        <w:rPr>
          <w:rFonts w:hint="eastAsia"/>
          <w:rtl/>
        </w:rPr>
        <w:t>זהב</w:t>
      </w:r>
      <w:r w:rsidRPr="00F60AAC">
        <w:rPr>
          <w:rtl/>
        </w:rPr>
        <w:t xml:space="preserve">, עמ' 433-432), ואין היא משמשת </w:t>
      </w:r>
      <w:r w:rsidRPr="00F60AAC">
        <w:rPr>
          <w:rFonts w:hint="cs"/>
          <w:rtl/>
        </w:rPr>
        <w:t>'</w:t>
      </w:r>
      <w:r w:rsidRPr="00F60AAC">
        <w:rPr>
          <w:rFonts w:hint="eastAsia"/>
          <w:rtl/>
        </w:rPr>
        <w:t>כסות</w:t>
      </w:r>
      <w:r w:rsidRPr="00F60AAC">
        <w:rPr>
          <w:rtl/>
        </w:rPr>
        <w:t xml:space="preserve"> </w:t>
      </w:r>
      <w:r w:rsidRPr="00F60AAC">
        <w:rPr>
          <w:rFonts w:hint="eastAsia"/>
          <w:rtl/>
        </w:rPr>
        <w:t>ומסך</w:t>
      </w:r>
      <w:r w:rsidRPr="00F60AAC">
        <w:rPr>
          <w:rtl/>
        </w:rPr>
        <w:t xml:space="preserve"> </w:t>
      </w:r>
      <w:r w:rsidRPr="00F60AAC">
        <w:rPr>
          <w:rFonts w:hint="eastAsia"/>
          <w:rtl/>
        </w:rPr>
        <w:t>להשקפותיו</w:t>
      </w:r>
      <w:r w:rsidRPr="00F60AAC">
        <w:rPr>
          <w:rtl/>
        </w:rPr>
        <w:t xml:space="preserve"> </w:t>
      </w:r>
      <w:r w:rsidRPr="00F60AAC">
        <w:rPr>
          <w:rFonts w:hint="eastAsia"/>
          <w:rtl/>
        </w:rPr>
        <w:t>של</w:t>
      </w:r>
      <w:r w:rsidRPr="00F60AAC">
        <w:rPr>
          <w:rtl/>
        </w:rPr>
        <w:t xml:space="preserve"> </w:t>
      </w:r>
      <w:r w:rsidRPr="00F60AAC">
        <w:rPr>
          <w:rFonts w:hint="eastAsia"/>
          <w:rtl/>
        </w:rPr>
        <w:t>בית</w:t>
      </w:r>
      <w:r w:rsidRPr="00F60AAC">
        <w:rPr>
          <w:rtl/>
        </w:rPr>
        <w:t xml:space="preserve"> </w:t>
      </w:r>
      <w:r w:rsidRPr="00F60AAC">
        <w:rPr>
          <w:rFonts w:hint="eastAsia"/>
          <w:rtl/>
        </w:rPr>
        <w:t>המשפט</w:t>
      </w:r>
      <w:r w:rsidRPr="00F60AAC">
        <w:rPr>
          <w:rFonts w:hint="cs"/>
          <w:rtl/>
        </w:rPr>
        <w:t>'</w:t>
      </w:r>
      <w:r w:rsidRPr="00F60AAC">
        <w:rPr>
          <w:rtl/>
        </w:rPr>
        <w:t xml:space="preserve"> (דברי השופט </w:t>
      </w:r>
      <w:r w:rsidRPr="00F60AAC">
        <w:rPr>
          <w:rFonts w:hint="eastAsia"/>
          <w:rtl/>
        </w:rPr>
        <w:t>א</w:t>
      </w:r>
      <w:r w:rsidRPr="00F60AAC">
        <w:rPr>
          <w:rtl/>
        </w:rPr>
        <w:t xml:space="preserve">' </w:t>
      </w:r>
      <w:r w:rsidRPr="00F60AAC">
        <w:rPr>
          <w:rFonts w:hint="eastAsia"/>
          <w:rtl/>
        </w:rPr>
        <w:t>ברק</w:t>
      </w:r>
      <w:r w:rsidRPr="00F60AAC">
        <w:rPr>
          <w:rtl/>
        </w:rPr>
        <w:t xml:space="preserve"> בעניין </w:t>
      </w:r>
      <w:r w:rsidRPr="00F60AAC">
        <w:rPr>
          <w:rFonts w:hint="eastAsia"/>
          <w:rtl/>
        </w:rPr>
        <w:t>דפי</w:t>
      </w:r>
      <w:r w:rsidRPr="00F60AAC">
        <w:rPr>
          <w:rtl/>
        </w:rPr>
        <w:t xml:space="preserve"> </w:t>
      </w:r>
      <w:r w:rsidRPr="00F60AAC">
        <w:rPr>
          <w:rFonts w:hint="eastAsia"/>
          <w:rtl/>
        </w:rPr>
        <w:t>זהב</w:t>
      </w:r>
      <w:r w:rsidRPr="00F60AAC">
        <w:rPr>
          <w:rtl/>
        </w:rPr>
        <w:t>, עמ' 440)</w:t>
      </w:r>
      <w:r>
        <w:rPr>
          <w:rFonts w:hint="cs"/>
          <w:rtl/>
        </w:rPr>
        <w:t xml:space="preserve">" </w:t>
      </w:r>
      <w:r w:rsidRPr="00F60AAC">
        <w:rPr>
          <w:rFonts w:hint="cs"/>
          <w:rtl/>
        </w:rPr>
        <w:t>(</w:t>
      </w:r>
      <w:r>
        <w:rPr>
          <w:rFonts w:ascii="FrankRuehl" w:hAnsi="FrankRuehl" w:hint="cs"/>
          <w:sz w:val="28"/>
          <w:rtl/>
        </w:rPr>
        <w:t xml:space="preserve">בג"ץ 8948/22 </w:t>
      </w:r>
      <w:r w:rsidRPr="000D0D33">
        <w:rPr>
          <w:rFonts w:ascii="Century" w:hAnsi="Century" w:cs="Miriam" w:hint="cs"/>
          <w:b/>
          <w:spacing w:val="0"/>
          <w:szCs w:val="24"/>
          <w:rtl/>
        </w:rPr>
        <w:t>שיינפלד נ' הכנסת</w:t>
      </w:r>
      <w:r>
        <w:rPr>
          <w:rFonts w:ascii="FrankRuehl" w:hAnsi="FrankRuehl" w:hint="cs"/>
          <w:sz w:val="28"/>
          <w:rtl/>
        </w:rPr>
        <w:t xml:space="preserve">, פסקה 5 לחוות דעתי (18.1.2023), להלן: </w:t>
      </w:r>
      <w:r w:rsidRPr="000D0D33">
        <w:rPr>
          <w:rFonts w:ascii="Century" w:hAnsi="Century" w:cs="Miriam" w:hint="cs"/>
          <w:b/>
          <w:spacing w:val="0"/>
          <w:szCs w:val="24"/>
          <w:rtl/>
        </w:rPr>
        <w:t>עניין שיינפלד</w:t>
      </w:r>
      <w:r w:rsidRPr="00F60AAC">
        <w:rPr>
          <w:rFonts w:hint="cs"/>
          <w:rtl/>
        </w:rPr>
        <w:t>)</w:t>
      </w:r>
      <w:r w:rsidRPr="00F60AAC">
        <w:rPr>
          <w:rtl/>
        </w:rPr>
        <w:t xml:space="preserve">. </w:t>
      </w:r>
    </w:p>
    <w:p w:rsidR="00AC74AF" w:rsidRPr="009A0CD1" w:rsidRDefault="00AC74AF" w:rsidP="004252F2">
      <w:pPr>
        <w:pStyle w:val="Ruller41"/>
        <w:rPr>
          <w:rFonts w:ascii="Century" w:hAnsi="Century"/>
          <w:sz w:val="28"/>
          <w:szCs w:val="34"/>
          <w:rtl/>
        </w:rPr>
      </w:pPr>
    </w:p>
    <w:p w:rsidR="00AC74AF" w:rsidRPr="000D0D33" w:rsidRDefault="00AC74AF" w:rsidP="00AC74AF">
      <w:pPr>
        <w:pStyle w:val="Ruller41"/>
        <w:rPr>
          <w:rFonts w:ascii="Century" w:hAnsi="Century" w:cs="Miriam"/>
          <w:b/>
          <w:spacing w:val="0"/>
          <w:szCs w:val="24"/>
          <w:rtl/>
        </w:rPr>
      </w:pPr>
      <w:r w:rsidRPr="000D0D33">
        <w:rPr>
          <w:rFonts w:ascii="Century" w:hAnsi="Century" w:cs="Miriam" w:hint="cs"/>
          <w:b/>
          <w:spacing w:val="0"/>
          <w:szCs w:val="24"/>
          <w:rtl/>
        </w:rPr>
        <w:t>התיקון לחוק היסוד</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Pr>
          <w:rFonts w:ascii="Century" w:hAnsi="Century" w:hint="cs"/>
          <w:rtl/>
        </w:rPr>
        <w:t>12</w:t>
      </w:r>
      <w:r w:rsidRPr="00F60AAC">
        <w:rPr>
          <w:rFonts w:ascii="Century" w:hAnsi="Century" w:hint="cs"/>
          <w:rtl/>
        </w:rPr>
        <w:t>.</w:t>
      </w:r>
      <w:r w:rsidRPr="00F60AAC">
        <w:rPr>
          <w:rFonts w:ascii="Century" w:hAnsi="Century"/>
          <w:rtl/>
        </w:rPr>
        <w:tab/>
      </w:r>
      <w:r w:rsidRPr="00F60AAC">
        <w:rPr>
          <w:rFonts w:ascii="Century" w:hAnsi="Century" w:hint="cs"/>
          <w:rtl/>
        </w:rPr>
        <w:t>ביום 24.7.2023 אושר בכנסת, בצעד דרמטי, תיקון לחוק-יסוד: השפיטה (תיקון חוק-יסוד: השפיטה (תיקון מס' 3)</w:t>
      </w:r>
      <w:r>
        <w:rPr>
          <w:rFonts w:ascii="Century" w:hAnsi="Century" w:hint="cs"/>
          <w:rtl/>
        </w:rPr>
        <w:t>)</w:t>
      </w:r>
      <w:r w:rsidRPr="00F60AAC">
        <w:rPr>
          <w:rFonts w:ascii="Century" w:hAnsi="Century" w:hint="cs"/>
          <w:rtl/>
        </w:rPr>
        <w:t xml:space="preserve">, </w:t>
      </w:r>
      <w:r>
        <w:rPr>
          <w:rFonts w:ascii="Century" w:hAnsi="Century" w:hint="cs"/>
          <w:rtl/>
        </w:rPr>
        <w:t>הוא</w:t>
      </w:r>
      <w:r w:rsidRPr="00F60AAC">
        <w:rPr>
          <w:rFonts w:ascii="Century" w:hAnsi="Century" w:hint="cs"/>
          <w:rtl/>
        </w:rPr>
        <w:t xml:space="preserve"> </w:t>
      </w:r>
      <w:r w:rsidRPr="0099648C">
        <w:rPr>
          <w:rFonts w:ascii="Century" w:hAnsi="Century" w:cs="Miriam" w:hint="cs"/>
          <w:b/>
          <w:spacing w:val="0"/>
          <w:szCs w:val="24"/>
          <w:rtl/>
        </w:rPr>
        <w:t>התיקון</w:t>
      </w:r>
      <w:r w:rsidRPr="0099648C">
        <w:rPr>
          <w:rFonts w:ascii="Century" w:hAnsi="Century" w:hint="cs"/>
          <w:rtl/>
        </w:rPr>
        <w:t xml:space="preserve"> </w:t>
      </w:r>
      <w:r w:rsidRPr="00F60AAC">
        <w:rPr>
          <w:rFonts w:ascii="Century" w:hAnsi="Century" w:hint="cs"/>
          <w:rtl/>
        </w:rPr>
        <w:t xml:space="preserve">או </w:t>
      </w:r>
      <w:r w:rsidRPr="0099648C">
        <w:rPr>
          <w:rFonts w:ascii="Century" w:hAnsi="Century" w:cs="Miriam" w:hint="cs"/>
          <w:b/>
          <w:spacing w:val="0"/>
          <w:szCs w:val="24"/>
          <w:rtl/>
        </w:rPr>
        <w:t>התיקון לחוק היסוד</w:t>
      </w:r>
      <w:r>
        <w:rPr>
          <w:rFonts w:ascii="Century" w:hAnsi="Century" w:hint="cs"/>
          <w:rtl/>
        </w:rPr>
        <w:t xml:space="preserve"> כהגדרתו לעיל</w:t>
      </w:r>
      <w:r w:rsidRPr="00F60AAC">
        <w:rPr>
          <w:rFonts w:ascii="Century" w:hAnsi="Century" w:hint="cs"/>
          <w:rtl/>
        </w:rPr>
        <w:t xml:space="preserve">. במסגרת התיקון הוסף לסעיף 15 </w:t>
      </w:r>
      <w:r>
        <w:rPr>
          <w:rFonts w:ascii="Century" w:hAnsi="Century" w:hint="cs"/>
          <w:rtl/>
        </w:rPr>
        <w:t>לחוק-</w:t>
      </w:r>
      <w:r w:rsidRPr="00F60AAC">
        <w:rPr>
          <w:rFonts w:ascii="Century" w:hAnsi="Century" w:hint="cs"/>
          <w:rtl/>
        </w:rPr>
        <w:t>יסוד</w:t>
      </w:r>
      <w:r>
        <w:rPr>
          <w:rFonts w:ascii="Century" w:hAnsi="Century" w:hint="cs"/>
          <w:rtl/>
        </w:rPr>
        <w:t>: השפיטה</w:t>
      </w:r>
      <w:r w:rsidRPr="00F60AAC">
        <w:rPr>
          <w:rFonts w:ascii="Century" w:hAnsi="Century" w:hint="cs"/>
          <w:rtl/>
        </w:rPr>
        <w:t xml:space="preserve"> סעיף קטן (ד1) שזו לשונו:</w:t>
      </w:r>
    </w:p>
    <w:p w:rsidR="00AC74AF" w:rsidRPr="00F60AAC" w:rsidRDefault="00AC74AF" w:rsidP="00AC74AF">
      <w:pPr>
        <w:pStyle w:val="Ruller41"/>
        <w:spacing w:line="240" w:lineRule="auto"/>
        <w:rPr>
          <w:rFonts w:ascii="Century" w:hAnsi="Century"/>
          <w:rtl/>
        </w:rPr>
      </w:pPr>
    </w:p>
    <w:p w:rsidR="00AC74AF" w:rsidRPr="0099648C" w:rsidRDefault="00AC74AF" w:rsidP="00AC74AF">
      <w:pPr>
        <w:pStyle w:val="Ruller5"/>
        <w:rPr>
          <w:rFonts w:ascii="Century" w:hAnsi="Century" w:cs="Miriam"/>
          <w:b/>
          <w:spacing w:val="0"/>
          <w:szCs w:val="24"/>
          <w:rtl/>
        </w:rPr>
      </w:pPr>
      <w:r w:rsidRPr="0099648C">
        <w:rPr>
          <w:rFonts w:ascii="Century" w:hAnsi="Century" w:cs="Miriam"/>
          <w:b/>
          <w:spacing w:val="0"/>
          <w:szCs w:val="24"/>
          <w:rtl/>
        </w:rPr>
        <w:t>על אף האמור בחוק</w:t>
      </w:r>
      <w:r w:rsidRPr="0099648C">
        <w:rPr>
          <w:rFonts w:ascii="Century" w:hAnsi="Century" w:cs="Miriam" w:hint="cs"/>
          <w:b/>
          <w:spacing w:val="0"/>
          <w:szCs w:val="24"/>
          <w:rtl/>
        </w:rPr>
        <w:t>-</w:t>
      </w:r>
      <w:r w:rsidRPr="0099648C">
        <w:rPr>
          <w:rFonts w:ascii="Century" w:hAnsi="Century" w:cs="Miriam"/>
          <w:b/>
          <w:spacing w:val="0"/>
          <w:szCs w:val="24"/>
          <w:rtl/>
        </w:rPr>
        <w:t xml:space="preserve">יסוד זה, מי שבידו סמכות שפיטה על פי דין, לרבות בית המשפט העליון בשבתו כבית משפט גבוה לצדק, לא ידון בעניין </w:t>
      </w:r>
      <w:bookmarkStart w:id="38" w:name="_Hlk153448770"/>
      <w:r w:rsidRPr="0099648C">
        <w:rPr>
          <w:rFonts w:ascii="Century" w:hAnsi="Century" w:cs="Miriam"/>
          <w:b/>
          <w:spacing w:val="0"/>
          <w:szCs w:val="24"/>
          <w:rtl/>
        </w:rPr>
        <w:t xml:space="preserve">סבירות ההחלטה של </w:t>
      </w:r>
      <w:r>
        <w:rPr>
          <w:rFonts w:ascii="Century" w:hAnsi="Century" w:cs="Miriam"/>
          <w:b/>
          <w:spacing w:val="0"/>
          <w:szCs w:val="24"/>
          <w:rtl/>
        </w:rPr>
        <w:t>הממשלה</w:t>
      </w:r>
      <w:r w:rsidRPr="0099648C">
        <w:rPr>
          <w:rFonts w:ascii="Century" w:hAnsi="Century" w:cs="Miriam" w:hint="cs"/>
          <w:b/>
          <w:spacing w:val="0"/>
          <w:szCs w:val="24"/>
          <w:rtl/>
        </w:rPr>
        <w:t xml:space="preserve">, </w:t>
      </w:r>
      <w:r w:rsidRPr="0099648C">
        <w:rPr>
          <w:rFonts w:ascii="Century" w:hAnsi="Century" w:cs="Miriam"/>
          <w:b/>
          <w:spacing w:val="0"/>
          <w:szCs w:val="24"/>
          <w:rtl/>
        </w:rPr>
        <w:t xml:space="preserve">של ראש </w:t>
      </w:r>
      <w:r>
        <w:rPr>
          <w:rFonts w:ascii="Century" w:hAnsi="Century" w:cs="Miriam"/>
          <w:b/>
          <w:spacing w:val="0"/>
          <w:szCs w:val="24"/>
          <w:rtl/>
        </w:rPr>
        <w:t>הממשלה</w:t>
      </w:r>
      <w:r w:rsidRPr="0099648C">
        <w:rPr>
          <w:rFonts w:ascii="Century" w:hAnsi="Century" w:cs="Miriam"/>
          <w:b/>
          <w:spacing w:val="0"/>
          <w:szCs w:val="24"/>
          <w:rtl/>
        </w:rPr>
        <w:t xml:space="preserve"> או של שר אחר</w:t>
      </w:r>
      <w:bookmarkEnd w:id="38"/>
      <w:r w:rsidRPr="0099648C">
        <w:rPr>
          <w:rFonts w:ascii="Century" w:hAnsi="Century" w:cs="Miriam"/>
          <w:b/>
          <w:spacing w:val="0"/>
          <w:szCs w:val="24"/>
          <w:rtl/>
        </w:rPr>
        <w:t xml:space="preserve">, ולא ייתן צו בעניין כאמור; בסעיף זה, "החלטה" </w:t>
      </w:r>
      <w:r>
        <w:rPr>
          <w:rFonts w:ascii="Century" w:hAnsi="Century" w:cs="Miriam"/>
          <w:b/>
          <w:spacing w:val="0"/>
          <w:szCs w:val="24"/>
          <w:rtl/>
        </w:rPr>
        <w:t>–</w:t>
      </w:r>
      <w:r>
        <w:rPr>
          <w:rFonts w:ascii="Century" w:hAnsi="Century" w:cs="Miriam" w:hint="cs"/>
          <w:b/>
          <w:spacing w:val="0"/>
          <w:szCs w:val="24"/>
          <w:rtl/>
        </w:rPr>
        <w:t xml:space="preserve"> </w:t>
      </w:r>
      <w:r w:rsidRPr="0099648C">
        <w:rPr>
          <w:rFonts w:ascii="Century" w:hAnsi="Century" w:cs="Miriam"/>
          <w:b/>
          <w:spacing w:val="0"/>
          <w:szCs w:val="24"/>
          <w:rtl/>
        </w:rPr>
        <w:t>כל</w:t>
      </w:r>
      <w:r>
        <w:rPr>
          <w:rFonts w:ascii="Century" w:hAnsi="Century" w:cs="Miriam" w:hint="cs"/>
          <w:b/>
          <w:spacing w:val="0"/>
          <w:szCs w:val="24"/>
          <w:rtl/>
        </w:rPr>
        <w:t xml:space="preserve"> </w:t>
      </w:r>
      <w:r w:rsidRPr="0099648C">
        <w:rPr>
          <w:rFonts w:ascii="Century" w:hAnsi="Century" w:cs="Miriam"/>
          <w:b/>
          <w:spacing w:val="0"/>
          <w:szCs w:val="24"/>
          <w:rtl/>
        </w:rPr>
        <w:t>החלטה, לרבות בענייני מינויים או החלטה להימנע מהפעלת כל סמכות</w:t>
      </w:r>
      <w:r w:rsidRPr="0099648C">
        <w:rPr>
          <w:rFonts w:ascii="Century" w:hAnsi="Century" w:cs="Miriam"/>
          <w:b/>
          <w:spacing w:val="0"/>
          <w:szCs w:val="24"/>
        </w:rPr>
        <w:t>.</w:t>
      </w:r>
    </w:p>
    <w:p w:rsidR="00AC74AF" w:rsidRPr="009A0CD1" w:rsidRDefault="00AC74AF" w:rsidP="00AC74AF">
      <w:pPr>
        <w:pStyle w:val="Ruller41"/>
        <w:spacing w:line="240" w:lineRule="auto"/>
        <w:rPr>
          <w:rFonts w:ascii="Century" w:hAnsi="Century"/>
          <w:sz w:val="32"/>
          <w:szCs w:val="38"/>
          <w:rtl/>
        </w:rPr>
      </w:pPr>
    </w:p>
    <w:p w:rsidR="00AC74AF" w:rsidRPr="00F60AAC" w:rsidRDefault="00AC74AF" w:rsidP="00AC74AF">
      <w:pPr>
        <w:pStyle w:val="Ruller41"/>
        <w:rPr>
          <w:rFonts w:ascii="Century" w:hAnsi="Century"/>
          <w:rtl/>
        </w:rPr>
      </w:pPr>
      <w:r>
        <w:rPr>
          <w:rFonts w:ascii="Century" w:hAnsi="Century"/>
          <w:rtl/>
        </w:rPr>
        <w:tab/>
      </w:r>
      <w:r w:rsidRPr="00F60AAC">
        <w:rPr>
          <w:rFonts w:ascii="Century" w:hAnsi="Century" w:hint="cs"/>
          <w:rtl/>
        </w:rPr>
        <w:t>תוכו של התיקון כ</w:t>
      </w:r>
      <w:r>
        <w:rPr>
          <w:rFonts w:ascii="Century" w:hAnsi="Century" w:hint="cs"/>
          <w:rtl/>
        </w:rPr>
        <w:t>ְּ</w:t>
      </w:r>
      <w:r w:rsidRPr="00F60AAC">
        <w:rPr>
          <w:rFonts w:ascii="Century" w:hAnsi="Century" w:hint="cs"/>
          <w:rtl/>
        </w:rPr>
        <w:t>ב</w:t>
      </w:r>
      <w:r>
        <w:rPr>
          <w:rFonts w:ascii="Century" w:hAnsi="Century" w:hint="cs"/>
          <w:rtl/>
        </w:rPr>
        <w:t>ָ</w:t>
      </w:r>
      <w:r w:rsidRPr="00F60AAC">
        <w:rPr>
          <w:rFonts w:ascii="Century" w:hAnsi="Century" w:hint="cs"/>
          <w:rtl/>
        </w:rPr>
        <w:t xml:space="preserve">רו. לשונו הברורה והחד-משמעית מעידה באופן שאינו משתמע לשני פנים על תכליתו: שינוי כללי המשחק של הדמוקרטיה הישראלית, כבילת ידיה של הרשות השופטת והסרת כבלי הביקורת השיפוטית מעל הרשות המבצעת. האמצעי: הושטת ידו הארוכה של השלטון אל ארגז הכלים השיפוטי ונטילתו של אחד </w:t>
      </w:r>
      <w:r w:rsidRPr="00F60AAC">
        <w:rPr>
          <w:rFonts w:ascii="Century" w:hAnsi="Century" w:hint="cs"/>
          <w:rtl/>
        </w:rPr>
        <w:lastRenderedPageBreak/>
        <w:t xml:space="preserve">המכשירים השימושיים </w:t>
      </w:r>
      <w:r>
        <w:rPr>
          <w:rFonts w:ascii="Century" w:hAnsi="Century" w:hint="cs"/>
          <w:rtl/>
        </w:rPr>
        <w:t>והמשמעותיים</w:t>
      </w:r>
      <w:r w:rsidRPr="00F60AAC">
        <w:rPr>
          <w:rFonts w:ascii="Century" w:hAnsi="Century" w:hint="cs"/>
          <w:rtl/>
        </w:rPr>
        <w:t xml:space="preserve"> לקיום ביקורת שיפוטית, הוא </w:t>
      </w:r>
      <w:r w:rsidRPr="003B04DD">
        <w:rPr>
          <w:rFonts w:ascii="Century" w:hAnsi="Century" w:cs="Miriam" w:hint="cs"/>
          <w:b/>
          <w:spacing w:val="0"/>
          <w:szCs w:val="24"/>
          <w:rtl/>
        </w:rPr>
        <w:t>עילת הסבירות</w:t>
      </w:r>
      <w:r w:rsidRPr="00F60AAC">
        <w:rPr>
          <w:rFonts w:ascii="Century" w:hAnsi="Century" w:hint="cs"/>
          <w:rtl/>
        </w:rPr>
        <w:t>. הדרך: קביעת איסור גורף ו</w:t>
      </w:r>
      <w:r>
        <w:rPr>
          <w:rFonts w:ascii="Century" w:hAnsi="Century" w:hint="cs"/>
          <w:rtl/>
        </w:rPr>
        <w:t>מוחלט, החל על כל ערכאה שיפוטית, לדון ולהושיט כל סעד</w:t>
      </w:r>
      <w:r w:rsidRPr="00F60AAC">
        <w:rPr>
          <w:rFonts w:ascii="Century" w:hAnsi="Century" w:hint="cs"/>
          <w:rtl/>
        </w:rPr>
        <w:t xml:space="preserve"> </w:t>
      </w:r>
      <w:r>
        <w:rPr>
          <w:rFonts w:ascii="Century" w:hAnsi="Century" w:hint="cs"/>
          <w:rtl/>
        </w:rPr>
        <w:t xml:space="preserve">במקרה של </w:t>
      </w:r>
      <w:r w:rsidRPr="00F60AAC">
        <w:rPr>
          <w:rFonts w:ascii="Century" w:hAnsi="Century" w:hint="cs"/>
          <w:rtl/>
        </w:rPr>
        <w:t xml:space="preserve">הפרת חובת הסבירות החלה על </w:t>
      </w:r>
      <w:r>
        <w:rPr>
          <w:rFonts w:ascii="Century" w:hAnsi="Century" w:hint="cs"/>
          <w:rtl/>
        </w:rPr>
        <w:t>הממשלה</w:t>
      </w:r>
      <w:r w:rsidRPr="00F60AAC">
        <w:rPr>
          <w:rFonts w:ascii="Century" w:hAnsi="Century" w:hint="cs"/>
          <w:rtl/>
        </w:rPr>
        <w:t xml:space="preserve">, שריה והעומד בראשה (יחדיו יכונו להלן: </w:t>
      </w:r>
      <w:r>
        <w:rPr>
          <w:rFonts w:ascii="Century" w:hAnsi="Century" w:cs="Miriam" w:hint="cs"/>
          <w:b/>
          <w:spacing w:val="0"/>
          <w:szCs w:val="24"/>
          <w:rtl/>
        </w:rPr>
        <w:t>הממשלה</w:t>
      </w:r>
      <w:r w:rsidRPr="00F60AAC">
        <w:rPr>
          <w:rFonts w:ascii="Century" w:hAnsi="Century" w:hint="cs"/>
          <w:rtl/>
        </w:rPr>
        <w:t xml:space="preserve">). התוצאה: הענקת חסינות מוחלטת מהפרה של חובת הסבירות, ביחס לכל החלטה שמתקבלת על ידי </w:t>
      </w:r>
      <w:r>
        <w:rPr>
          <w:rFonts w:ascii="Century" w:hAnsi="Century" w:hint="cs"/>
          <w:rtl/>
        </w:rPr>
        <w:t>הממשלה</w:t>
      </w:r>
      <w:r w:rsidRPr="00F60AAC">
        <w:rPr>
          <w:rFonts w:ascii="Century" w:hAnsi="Century" w:hint="cs"/>
          <w:rtl/>
        </w:rPr>
        <w:t xml:space="preserve">, ובכלל זה </w:t>
      </w:r>
      <w:r>
        <w:rPr>
          <w:rFonts w:ascii="Century" w:hAnsi="Century" w:hint="cs"/>
          <w:rtl/>
        </w:rPr>
        <w:t>החלטות בעניין מינויים ו</w:t>
      </w:r>
      <w:r w:rsidRPr="00F60AAC">
        <w:rPr>
          <w:rFonts w:ascii="Century" w:hAnsi="Century" w:hint="cs"/>
          <w:rtl/>
        </w:rPr>
        <w:t xml:space="preserve">אף החלטה להימנע מהפעלת סמכות. </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Pr>
          <w:rFonts w:ascii="Century" w:hAnsi="Century"/>
          <w:rtl/>
        </w:rPr>
        <w:tab/>
      </w:r>
      <w:r w:rsidRPr="00F60AAC">
        <w:rPr>
          <w:rFonts w:ascii="Century" w:hAnsi="Century" w:hint="cs"/>
          <w:rtl/>
        </w:rPr>
        <w:t xml:space="preserve">טרם שאנמק את עמדתי שלפיה מדובר במעשה חקיקה החותר תחת מאפייניה הגרעיניים של מדינת ישראל כמדינה דמוקרטית, יש לתת את הדעת להליך שבו נחקק התיקון לחוק </w:t>
      </w:r>
      <w:r>
        <w:rPr>
          <w:rFonts w:ascii="Century" w:hAnsi="Century" w:hint="cs"/>
          <w:rtl/>
        </w:rPr>
        <w:t xml:space="preserve">היסוד </w:t>
      </w:r>
      <w:r w:rsidRPr="00F60AAC">
        <w:rPr>
          <w:rFonts w:ascii="Century" w:hAnsi="Century"/>
          <w:rtl/>
        </w:rPr>
        <w:t>–</w:t>
      </w:r>
      <w:r w:rsidRPr="00F60AAC">
        <w:rPr>
          <w:rFonts w:ascii="Century" w:hAnsi="Century" w:hint="cs"/>
          <w:rtl/>
        </w:rPr>
        <w:t xml:space="preserve"> המעורר לא מעט קשיים כשלעצמו.</w:t>
      </w:r>
    </w:p>
    <w:p w:rsidR="00AC74AF" w:rsidRPr="00F60AAC" w:rsidRDefault="00AC74AF" w:rsidP="004252F2">
      <w:pPr>
        <w:pStyle w:val="Ruller41"/>
        <w:rPr>
          <w:rFonts w:ascii="Century" w:hAnsi="Century"/>
          <w:rtl/>
        </w:rPr>
      </w:pPr>
    </w:p>
    <w:p w:rsidR="00AC74AF" w:rsidRPr="003267B5" w:rsidRDefault="00AC74AF" w:rsidP="00AC74AF">
      <w:pPr>
        <w:pStyle w:val="Ruller41"/>
        <w:rPr>
          <w:rFonts w:ascii="Century" w:hAnsi="Century" w:cs="Miriam"/>
          <w:b/>
          <w:spacing w:val="0"/>
          <w:szCs w:val="24"/>
          <w:rtl/>
        </w:rPr>
      </w:pPr>
      <w:r w:rsidRPr="003267B5">
        <w:rPr>
          <w:rFonts w:ascii="Century" w:hAnsi="Century" w:cs="Miriam" w:hint="cs"/>
          <w:b/>
          <w:spacing w:val="0"/>
          <w:szCs w:val="24"/>
          <w:rtl/>
        </w:rPr>
        <w:t>הרקע לחקיקתו של התיקון לחוק ומהלך החקיקה</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Pr>
          <w:rFonts w:ascii="Century" w:hAnsi="Century" w:hint="cs"/>
          <w:rtl/>
        </w:rPr>
        <w:t>13</w:t>
      </w:r>
      <w:r w:rsidRPr="00F60AAC">
        <w:rPr>
          <w:rFonts w:ascii="Century" w:hAnsi="Century" w:hint="cs"/>
          <w:rtl/>
        </w:rPr>
        <w:t>.</w:t>
      </w:r>
      <w:r w:rsidRPr="00F60AAC">
        <w:rPr>
          <w:rFonts w:ascii="Century" w:hAnsi="Century"/>
          <w:rtl/>
        </w:rPr>
        <w:tab/>
      </w:r>
      <w:r w:rsidRPr="00F60AAC">
        <w:rPr>
          <w:rFonts w:ascii="Century" w:hAnsi="Century" w:hint="cs"/>
          <w:rtl/>
        </w:rPr>
        <w:t>התיקון לחוק היסוד נולד כחלק מת</w:t>
      </w:r>
      <w:r>
        <w:rPr>
          <w:rFonts w:ascii="Century" w:hAnsi="Century" w:hint="cs"/>
          <w:rtl/>
        </w:rPr>
        <w:t>ו</w:t>
      </w:r>
      <w:r w:rsidRPr="00F60AAC">
        <w:rPr>
          <w:rFonts w:ascii="Century" w:hAnsi="Century" w:hint="cs"/>
          <w:rtl/>
        </w:rPr>
        <w:t>כנית רחבה יותר לשינוי משטרי, שהגתה ממשלת ישראל ה-37 בהובלתו של שר המשפטים. מטרתה המוצהרת של הת</w:t>
      </w:r>
      <w:r>
        <w:rPr>
          <w:rFonts w:ascii="Century" w:hAnsi="Century" w:hint="cs"/>
          <w:rtl/>
        </w:rPr>
        <w:t>ו</w:t>
      </w:r>
      <w:r w:rsidRPr="00F60AAC">
        <w:rPr>
          <w:rFonts w:ascii="Century" w:hAnsi="Century" w:hint="cs"/>
          <w:rtl/>
        </w:rPr>
        <w:t xml:space="preserve">כנית היא לעצב מחדש את מערכת היחסים שבין שלוש הרשויות בישראל </w:t>
      </w:r>
      <w:r w:rsidRPr="00F60AAC">
        <w:rPr>
          <w:rFonts w:ascii="Century" w:hAnsi="Century"/>
          <w:rtl/>
        </w:rPr>
        <w:t>–</w:t>
      </w:r>
      <w:r w:rsidRPr="00F60AAC">
        <w:rPr>
          <w:rFonts w:ascii="Century" w:hAnsi="Century" w:hint="cs"/>
          <w:rtl/>
        </w:rPr>
        <w:t xml:space="preserve"> תוך הגבלת כוחה של הרשות השופטת לקיים ביקורת שיפוטית על הרשות המחוקקת והרשות המבצעת. בתוך כך, במסגרת ההסכמים הקוא</w:t>
      </w:r>
      <w:r>
        <w:rPr>
          <w:rFonts w:ascii="Century" w:hAnsi="Century" w:hint="cs"/>
          <w:rtl/>
        </w:rPr>
        <w:t>ליציוניים שנחתמו בין סיעת הליכוד</w:t>
      </w:r>
      <w:r w:rsidRPr="00F60AAC">
        <w:rPr>
          <w:rFonts w:ascii="Century" w:hAnsi="Century" w:hint="cs"/>
          <w:rtl/>
        </w:rPr>
        <w:t xml:space="preserve"> ליתר סיעות הקואליציה, עוגנה התחייבות מפורשת של הסיעות לקיים משמעת קואליציונית הדוקה ביחס להצעות חוק שיועלו לצורך קידומה של "</w:t>
      </w:r>
      <w:r w:rsidRPr="003267B5">
        <w:rPr>
          <w:rFonts w:ascii="Century" w:hAnsi="Century" w:cs="Miriam" w:hint="cs"/>
          <w:b/>
          <w:spacing w:val="0"/>
          <w:szCs w:val="24"/>
          <w:rtl/>
        </w:rPr>
        <w:t xml:space="preserve">הרפורמה להבטחת המשילות וחיזוק יכולת </w:t>
      </w:r>
      <w:r>
        <w:rPr>
          <w:rFonts w:ascii="Century" w:hAnsi="Century" w:cs="Miriam" w:hint="cs"/>
          <w:b/>
          <w:spacing w:val="0"/>
          <w:szCs w:val="24"/>
          <w:rtl/>
        </w:rPr>
        <w:t>הממשלה</w:t>
      </w:r>
      <w:r w:rsidRPr="003267B5">
        <w:rPr>
          <w:rFonts w:ascii="Century" w:hAnsi="Century" w:cs="Miriam" w:hint="cs"/>
          <w:b/>
          <w:spacing w:val="0"/>
          <w:szCs w:val="24"/>
          <w:rtl/>
        </w:rPr>
        <w:t xml:space="preserve"> לבצע את מדיניותה</w:t>
      </w:r>
      <w:r w:rsidRPr="00F60AAC">
        <w:rPr>
          <w:rFonts w:ascii="Century" w:hAnsi="Century" w:hint="cs"/>
          <w:rtl/>
        </w:rPr>
        <w:t xml:space="preserve">" (להלן: </w:t>
      </w:r>
      <w:r w:rsidRPr="003267B5">
        <w:rPr>
          <w:rFonts w:ascii="Century" w:hAnsi="Century" w:cs="Miriam" w:hint="cs"/>
          <w:b/>
          <w:spacing w:val="0"/>
          <w:szCs w:val="24"/>
          <w:rtl/>
        </w:rPr>
        <w:t>תוכנית הרפורמה</w:t>
      </w:r>
      <w:r w:rsidRPr="00F60AAC">
        <w:rPr>
          <w:rFonts w:ascii="Century" w:hAnsi="Century" w:hint="cs"/>
          <w:rtl/>
        </w:rPr>
        <w:t xml:space="preserve">).    </w:t>
      </w:r>
    </w:p>
    <w:p w:rsidR="00AC74AF" w:rsidRPr="00F60AAC" w:rsidRDefault="00AC74AF" w:rsidP="00AC74AF">
      <w:pPr>
        <w:pStyle w:val="Ruller41"/>
        <w:spacing w:line="240" w:lineRule="auto"/>
        <w:rPr>
          <w:rFonts w:ascii="Century" w:hAnsi="Century"/>
          <w:rtl/>
        </w:rPr>
      </w:pPr>
    </w:p>
    <w:p w:rsidR="00AC74AF" w:rsidRPr="000F50C4" w:rsidRDefault="00AC74AF" w:rsidP="00AC74AF">
      <w:pPr>
        <w:pStyle w:val="Ruller41"/>
        <w:rPr>
          <w:rtl/>
        </w:rPr>
      </w:pPr>
      <w:r>
        <w:rPr>
          <w:rtl/>
        </w:rPr>
        <w:tab/>
      </w:r>
      <w:r w:rsidRPr="000F50C4">
        <w:rPr>
          <w:rFonts w:hint="cs"/>
          <w:rtl/>
        </w:rPr>
        <w:t xml:space="preserve">תוכנית הרפורמה "הושקה" במסיבת עיתונאים חגיגית שערך שר המשפטים ביום 4.1.2023, ימים </w:t>
      </w:r>
      <w:r>
        <w:rPr>
          <w:rFonts w:hint="cs"/>
          <w:rtl/>
        </w:rPr>
        <w:t xml:space="preserve">ספורים </w:t>
      </w:r>
      <w:r w:rsidRPr="000F50C4">
        <w:rPr>
          <w:rFonts w:hint="cs"/>
          <w:rtl/>
        </w:rPr>
        <w:t xml:space="preserve">לאחר הקמת </w:t>
      </w:r>
      <w:r>
        <w:rPr>
          <w:rFonts w:hint="cs"/>
          <w:rtl/>
        </w:rPr>
        <w:t>הממשלה</w:t>
      </w:r>
      <w:r w:rsidRPr="000F50C4">
        <w:rPr>
          <w:rFonts w:hint="cs"/>
          <w:rtl/>
        </w:rPr>
        <w:t>, ובה פרש בפני הציבור את עיקריה. השלב הראשון של תוכנית הרפורמה, כך לדברי השר, כלל ארבעה צעדים עיקריים: שינוי הרכב הוועדה לבחירת שופטים, באופן שיבטיח לקואליציה שליטה במינויים; הגבלת הביקורת השיפוטית על הרשות המ</w:t>
      </w:r>
      <w:r>
        <w:rPr>
          <w:rFonts w:hint="cs"/>
          <w:rtl/>
        </w:rPr>
        <w:t>חוקקת, בין היתר באמצעות חקיקת פ</w:t>
      </w:r>
      <w:r w:rsidRPr="000F50C4">
        <w:rPr>
          <w:rFonts w:hint="cs"/>
          <w:rtl/>
        </w:rPr>
        <w:t xml:space="preserve">סקת התגברות; הגבלת הביקורת השיפוטית על הרשות המבצעת על ידי ביטול עילת הסבירות; והסרת כפיפות השרים לחוות הדעת של הייעוץ המשפטי לממשלה. תוכנית הרפורמה הוצגה על ידי השר </w:t>
      </w:r>
      <w:r>
        <w:rPr>
          <w:rFonts w:hint="cs"/>
          <w:rtl/>
        </w:rPr>
        <w:t xml:space="preserve">במסיבת עיתונאים </w:t>
      </w:r>
      <w:r w:rsidRPr="000F50C4">
        <w:rPr>
          <w:rFonts w:hint="cs"/>
          <w:rtl/>
        </w:rPr>
        <w:t>כתוכנית לחיזוק הדמוקרטיה הישראלית:</w:t>
      </w:r>
    </w:p>
    <w:p w:rsidR="00AC74AF" w:rsidRPr="00F60AAC" w:rsidRDefault="00AC74AF" w:rsidP="00AC74AF">
      <w:pPr>
        <w:pStyle w:val="Ruller41"/>
        <w:spacing w:line="240" w:lineRule="auto"/>
        <w:rPr>
          <w:rFonts w:ascii="Century" w:hAnsi="Century"/>
          <w:rtl/>
        </w:rPr>
      </w:pPr>
    </w:p>
    <w:p w:rsidR="00AC74AF" w:rsidRPr="00673835" w:rsidRDefault="00AC74AF" w:rsidP="00AC74AF">
      <w:pPr>
        <w:pStyle w:val="Ruller5"/>
        <w:rPr>
          <w:rFonts w:ascii="Century" w:hAnsi="Century" w:cs="Miriam"/>
          <w:b/>
          <w:spacing w:val="0"/>
          <w:szCs w:val="24"/>
          <w:rtl/>
        </w:rPr>
      </w:pPr>
      <w:r w:rsidRPr="00673835">
        <w:rPr>
          <w:rFonts w:ascii="Century" w:hAnsi="Century" w:cs="Miriam" w:hint="cs"/>
          <w:b/>
          <w:spacing w:val="0"/>
          <w:szCs w:val="24"/>
          <w:rtl/>
        </w:rPr>
        <w:t>"</w:t>
      </w:r>
      <w:r w:rsidRPr="00673835">
        <w:rPr>
          <w:rFonts w:ascii="Century" w:hAnsi="Century" w:cs="Miriam"/>
          <w:b/>
          <w:spacing w:val="0"/>
          <w:szCs w:val="24"/>
          <w:rtl/>
        </w:rPr>
        <w:t xml:space="preserve">המהפכה החוקתית וההתערבות ההולכת והגדלה של מערכת המשפט בהחלטות </w:t>
      </w:r>
      <w:r>
        <w:rPr>
          <w:rFonts w:ascii="Century" w:hAnsi="Century" w:cs="Miriam"/>
          <w:b/>
          <w:spacing w:val="0"/>
          <w:szCs w:val="24"/>
          <w:rtl/>
        </w:rPr>
        <w:t>הממשלה</w:t>
      </w:r>
      <w:r w:rsidRPr="00673835">
        <w:rPr>
          <w:rFonts w:ascii="Century" w:hAnsi="Century" w:cs="Miriam"/>
          <w:b/>
          <w:spacing w:val="0"/>
          <w:szCs w:val="24"/>
          <w:rtl/>
        </w:rPr>
        <w:t xml:space="preserve"> ובחקיקת הכנסת, דרדרו את האמון במערכת המשפט לשפל מסוכן, הביאו לאובדן המשילות ולפגיעה בדמוקרטיה.</w:t>
      </w:r>
      <w:r w:rsidRPr="00673835">
        <w:rPr>
          <w:rFonts w:ascii="Century" w:hAnsi="Century" w:cs="Miriam" w:hint="cs"/>
          <w:b/>
          <w:spacing w:val="0"/>
          <w:szCs w:val="24"/>
          <w:rtl/>
        </w:rPr>
        <w:t xml:space="preserve"> </w:t>
      </w:r>
      <w:r w:rsidRPr="00673835">
        <w:rPr>
          <w:rFonts w:ascii="Century" w:hAnsi="Century" w:cs="Miriam"/>
          <w:b/>
          <w:spacing w:val="0"/>
          <w:szCs w:val="24"/>
          <w:rtl/>
        </w:rPr>
        <w:t>אנחנו הולכים לקלפי, מצביעים, בוחרים. אך פעם אחר פעם אנשים שלא בחרנו מחליטים עבורנו. ציבורים רבים נושאים עיניהם למערכת המשפט ולא שומעים בה את קולם. זו לא דמוקרטיה.</w:t>
      </w:r>
      <w:r w:rsidRPr="00673835">
        <w:rPr>
          <w:rFonts w:ascii="Century" w:hAnsi="Century" w:cs="Miriam" w:hint="cs"/>
          <w:b/>
          <w:spacing w:val="0"/>
          <w:szCs w:val="24"/>
          <w:rtl/>
        </w:rPr>
        <w:t>"</w:t>
      </w:r>
    </w:p>
    <w:p w:rsidR="00AC74AF" w:rsidRPr="00216740" w:rsidRDefault="00AC74AF" w:rsidP="004252F2">
      <w:pPr>
        <w:pStyle w:val="Ruller41"/>
        <w:spacing w:line="276" w:lineRule="auto"/>
        <w:rPr>
          <w:rFonts w:ascii="Century" w:hAnsi="Century"/>
          <w:sz w:val="28"/>
          <w:szCs w:val="34"/>
          <w:rtl/>
        </w:rPr>
      </w:pPr>
    </w:p>
    <w:p w:rsidR="00AC74AF" w:rsidRPr="00F60AAC" w:rsidRDefault="00AC74AF" w:rsidP="00AC74AF">
      <w:pPr>
        <w:pStyle w:val="Ruller41"/>
        <w:rPr>
          <w:rFonts w:ascii="Century" w:hAnsi="Century"/>
          <w:rtl/>
        </w:rPr>
      </w:pPr>
      <w:r>
        <w:rPr>
          <w:rFonts w:ascii="Century" w:hAnsi="Century" w:hint="cs"/>
          <w:rtl/>
        </w:rPr>
        <w:t>14</w:t>
      </w:r>
      <w:r w:rsidRPr="00F60AAC">
        <w:rPr>
          <w:rFonts w:ascii="Century" w:hAnsi="Century" w:hint="cs"/>
          <w:rtl/>
        </w:rPr>
        <w:t>.</w:t>
      </w:r>
      <w:r w:rsidRPr="00F60AAC">
        <w:rPr>
          <w:rFonts w:ascii="Century" w:hAnsi="Century"/>
          <w:rtl/>
        </w:rPr>
        <w:tab/>
      </w:r>
      <w:r w:rsidRPr="00F60AAC">
        <w:rPr>
          <w:rFonts w:ascii="Century" w:hAnsi="Century" w:hint="cs"/>
          <w:rtl/>
        </w:rPr>
        <w:t>בחלוף כשבוע</w:t>
      </w:r>
      <w:r>
        <w:rPr>
          <w:rFonts w:ascii="Century" w:hAnsi="Century" w:hint="cs"/>
          <w:rtl/>
        </w:rPr>
        <w:t>,</w:t>
      </w:r>
      <w:r w:rsidRPr="00F60AAC">
        <w:rPr>
          <w:rFonts w:ascii="Century" w:hAnsi="Century" w:hint="cs"/>
          <w:rtl/>
        </w:rPr>
        <w:t xml:space="preserve"> ביום 11.1.2023</w:t>
      </w:r>
      <w:r>
        <w:rPr>
          <w:rFonts w:ascii="Century" w:hAnsi="Century" w:hint="cs"/>
          <w:rtl/>
        </w:rPr>
        <w:t>,</w:t>
      </w:r>
      <w:r w:rsidRPr="00F60AAC">
        <w:rPr>
          <w:rFonts w:ascii="Century" w:hAnsi="Century" w:hint="cs"/>
          <w:rtl/>
        </w:rPr>
        <w:t xml:space="preserve"> העביר שר המשפטים לבחינתה של היועצת המשפטית לממשלה (להלן: </w:t>
      </w:r>
      <w:r w:rsidRPr="000F50C4">
        <w:rPr>
          <w:rFonts w:ascii="Century" w:hAnsi="Century" w:cs="Miriam" w:hint="cs"/>
          <w:b/>
          <w:spacing w:val="0"/>
          <w:szCs w:val="24"/>
          <w:rtl/>
        </w:rPr>
        <w:t>היועמ"שית</w:t>
      </w:r>
      <w:r w:rsidRPr="00F60AAC">
        <w:rPr>
          <w:rFonts w:ascii="Century" w:hAnsi="Century" w:hint="cs"/>
          <w:rtl/>
        </w:rPr>
        <w:t xml:space="preserve">) טיוטת תזכיר חוק-יסוד: השפיטה (תיקון </w:t>
      </w:r>
      <w:r w:rsidRPr="00F60AAC">
        <w:rPr>
          <w:rFonts w:ascii="Century" w:hAnsi="Century"/>
          <w:rtl/>
        </w:rPr>
        <w:t>–</w:t>
      </w:r>
      <w:r w:rsidRPr="00F60AAC">
        <w:rPr>
          <w:rFonts w:ascii="Century" w:hAnsi="Century" w:hint="cs"/>
          <w:rtl/>
        </w:rPr>
        <w:t xml:space="preserve"> רפורמה במשפט). טיוטת התזכיר התייחסה לשלושה מתוך ארבעת היעדים שהוצבו בת</w:t>
      </w:r>
      <w:r>
        <w:rPr>
          <w:rFonts w:ascii="Century" w:hAnsi="Century" w:hint="cs"/>
          <w:rtl/>
        </w:rPr>
        <w:t>ו</w:t>
      </w:r>
      <w:r w:rsidRPr="00F60AAC">
        <w:rPr>
          <w:rFonts w:ascii="Century" w:hAnsi="Century" w:hint="cs"/>
          <w:rtl/>
        </w:rPr>
        <w:t>כנית הרפורמה, והיא כללה תיקוני חקיקה ביחס להרכב הוועדה ל</w:t>
      </w:r>
      <w:r>
        <w:rPr>
          <w:rFonts w:ascii="Century" w:hAnsi="Century" w:hint="cs"/>
          <w:rtl/>
        </w:rPr>
        <w:t>בחירת</w:t>
      </w:r>
      <w:r w:rsidRPr="00F60AAC">
        <w:rPr>
          <w:rFonts w:ascii="Century" w:hAnsi="Century" w:hint="cs"/>
          <w:rtl/>
        </w:rPr>
        <w:t xml:space="preserve"> שופטים ולסמכויותיו של בית המשפט העליון (הגבלת הביקורת השיפוטית על חקיקה של הכנסת וביטול עילת הסבירות). </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Pr>
          <w:rFonts w:ascii="Century" w:hAnsi="Century"/>
          <w:rtl/>
        </w:rPr>
        <w:tab/>
      </w:r>
      <w:r w:rsidRPr="00F60AAC">
        <w:rPr>
          <w:rFonts w:ascii="Century" w:hAnsi="Century" w:hint="cs"/>
          <w:rtl/>
        </w:rPr>
        <w:t>היועמ"שית הבהירה כי לעמדתה תיקוני החקיקה המבוקשים פוגעים באבני יסוד של המשטר הדמוקרטי, ובפרט בעקרון הפרדת הרשויות המחייב קיומה של רשות שופטת עצמאית ובלתי תלויה. לגישת</w:t>
      </w:r>
      <w:r>
        <w:rPr>
          <w:rFonts w:ascii="Century" w:hAnsi="Century" w:hint="cs"/>
          <w:rtl/>
        </w:rPr>
        <w:t>ה, תיקונים אלה מקנים לרשויות הש</w:t>
      </w:r>
      <w:r w:rsidRPr="00F60AAC">
        <w:rPr>
          <w:rFonts w:ascii="Century" w:hAnsi="Century" w:hint="cs"/>
          <w:rtl/>
        </w:rPr>
        <w:t xml:space="preserve">לטון כוח בלתי מוגבל, שמקים חשש לפגיעה בזכויות אדם, בשלטון החוק ובמינהל תקין. עוד הובהר, כי לא ניתן לקדם מהלך כזה של תיקון חקיקת יסוד ללא עבודת מטה מקצועית וגיבוש הסכמה רחבה. לאחר הדברים הללו, טיוטת התזכיר נגנזה </w:t>
      </w:r>
      <w:r w:rsidRPr="00F60AAC">
        <w:rPr>
          <w:rFonts w:ascii="Century" w:hAnsi="Century"/>
          <w:rtl/>
        </w:rPr>
        <w:t>–</w:t>
      </w:r>
      <w:r w:rsidRPr="00F60AAC">
        <w:rPr>
          <w:rFonts w:ascii="Century" w:hAnsi="Century" w:hint="cs"/>
          <w:rtl/>
        </w:rPr>
        <w:t xml:space="preserve"> אך לא ת</w:t>
      </w:r>
      <w:r>
        <w:rPr>
          <w:rFonts w:ascii="Century" w:hAnsi="Century" w:hint="cs"/>
          <w:rtl/>
        </w:rPr>
        <w:t>ו</w:t>
      </w:r>
      <w:r w:rsidRPr="00F60AAC">
        <w:rPr>
          <w:rFonts w:ascii="Century" w:hAnsi="Century" w:hint="cs"/>
          <w:rtl/>
        </w:rPr>
        <w:t xml:space="preserve">כנית הרפורמה. קידומה החל משלב זה נעשה בדרך של הצעות חקיקה פרטית והצעות מטעם ועדת החוקה, חוק ומשפט (להלן: </w:t>
      </w:r>
      <w:r w:rsidRPr="000F50C4">
        <w:rPr>
          <w:rFonts w:ascii="Century" w:hAnsi="Century" w:cs="Miriam" w:hint="cs"/>
          <w:b/>
          <w:spacing w:val="0"/>
          <w:szCs w:val="24"/>
          <w:rtl/>
        </w:rPr>
        <w:t>ועדת החוקה</w:t>
      </w:r>
      <w:r w:rsidRPr="00F60AAC">
        <w:rPr>
          <w:rFonts w:ascii="Century" w:hAnsi="Century" w:hint="cs"/>
          <w:rtl/>
        </w:rPr>
        <w:t>).</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Pr>
          <w:rFonts w:ascii="Century" w:hAnsi="Century"/>
          <w:rtl/>
        </w:rPr>
        <w:tab/>
      </w:r>
      <w:r w:rsidRPr="00F60AAC">
        <w:rPr>
          <w:rFonts w:ascii="Century" w:hAnsi="Century" w:hint="cs"/>
          <w:rtl/>
        </w:rPr>
        <w:t>במהלך חודש ינואר 2023 קיימה ועדת החוקה דיונים בהצעות חקיקה לשינוי מערכת היחסים בין שלוש הרשויות. דיונים אלה הוכתרו בכותרת "</w:t>
      </w:r>
      <w:r w:rsidRPr="000F50C4">
        <w:rPr>
          <w:rFonts w:ascii="Century" w:hAnsi="Century" w:cs="Miriam" w:hint="cs"/>
          <w:b/>
          <w:spacing w:val="0"/>
          <w:szCs w:val="24"/>
          <w:rtl/>
        </w:rPr>
        <w:t xml:space="preserve">ציון במשפט תיפדה </w:t>
      </w:r>
      <w:r w:rsidRPr="000F50C4">
        <w:rPr>
          <w:rFonts w:ascii="Century" w:hAnsi="Century" w:cs="Miriam"/>
          <w:b/>
          <w:spacing w:val="0"/>
          <w:szCs w:val="24"/>
          <w:rtl/>
        </w:rPr>
        <w:t>–</w:t>
      </w:r>
      <w:r w:rsidRPr="000F50C4">
        <w:rPr>
          <w:rFonts w:ascii="Century" w:hAnsi="Century" w:cs="Miriam" w:hint="cs"/>
          <w:b/>
          <w:spacing w:val="0"/>
          <w:szCs w:val="24"/>
          <w:rtl/>
        </w:rPr>
        <w:t xml:space="preserve"> מחזירים את הצדק למערכת המשפט</w:t>
      </w:r>
      <w:r w:rsidRPr="00F60AAC">
        <w:rPr>
          <w:rFonts w:ascii="Century" w:hAnsi="Century" w:hint="cs"/>
          <w:rtl/>
        </w:rPr>
        <w:t>". בתום סבב הדיונים, אישרה ועדת החוקה שתי הצעות חוק מטעמה: הצעת חוק-יסוד: השפיטה (תיקון מס' 3) (חיזוק הפרדת הרשויות), שעניינה בהרכב הוועדה ל</w:t>
      </w:r>
      <w:r>
        <w:rPr>
          <w:rFonts w:ascii="Century" w:hAnsi="Century" w:hint="cs"/>
          <w:rtl/>
        </w:rPr>
        <w:t>בחירת</w:t>
      </w:r>
      <w:r w:rsidRPr="00F60AAC">
        <w:rPr>
          <w:rFonts w:ascii="Century" w:hAnsi="Century" w:hint="cs"/>
          <w:rtl/>
        </w:rPr>
        <w:t xml:space="preserve"> שופטים; והצעת חוק-יסוד: השפיטה (תיקון מס' 4) שעסקה בהגבלת היקף הביקורת השיפוטית על חקיקה של הכנסת. הצעות אלה אושרו במליאת הכנסת בקריאה ראשונה (ביום </w:t>
      </w:r>
      <w:r>
        <w:rPr>
          <w:rFonts w:ascii="Century" w:hAnsi="Century" w:hint="cs"/>
          <w:rtl/>
        </w:rPr>
        <w:t>20.2.2023</w:t>
      </w:r>
      <w:r w:rsidRPr="00F60AAC">
        <w:rPr>
          <w:rFonts w:ascii="Century" w:hAnsi="Century" w:hint="cs"/>
          <w:rtl/>
        </w:rPr>
        <w:t xml:space="preserve"> וביום 13.3.2023 בהתאמה). הצעת החוק שעניינה בהרכב הוועדה לבחירת שופטים אף אושרה ביום 27.3.2023 על ידי ועדת החוקה לקריאה שנייה ושלישית.</w:t>
      </w:r>
    </w:p>
    <w:p w:rsidR="00AC74AF" w:rsidRPr="00F60AAC" w:rsidRDefault="00AC74AF" w:rsidP="00AC74AF">
      <w:pPr>
        <w:pStyle w:val="Ruller41"/>
        <w:rPr>
          <w:rFonts w:ascii="Century" w:hAnsi="Century"/>
          <w:rtl/>
        </w:rPr>
      </w:pPr>
    </w:p>
    <w:p w:rsidR="00AC74AF" w:rsidRPr="00F60AAC" w:rsidRDefault="00AC74AF" w:rsidP="00AC74AF">
      <w:pPr>
        <w:pStyle w:val="Ruller41"/>
        <w:rPr>
          <w:rFonts w:ascii="Century" w:hAnsi="Century"/>
          <w:rtl/>
        </w:rPr>
      </w:pPr>
      <w:r>
        <w:rPr>
          <w:rFonts w:ascii="Century" w:hAnsi="Century" w:hint="cs"/>
          <w:rtl/>
        </w:rPr>
        <w:t>15</w:t>
      </w:r>
      <w:r w:rsidRPr="00F60AAC">
        <w:rPr>
          <w:rFonts w:ascii="Century" w:hAnsi="Century" w:hint="cs"/>
          <w:rtl/>
        </w:rPr>
        <w:t>.</w:t>
      </w:r>
      <w:r w:rsidRPr="00F60AAC">
        <w:rPr>
          <w:rFonts w:ascii="Century" w:hAnsi="Century"/>
          <w:rtl/>
        </w:rPr>
        <w:tab/>
      </w:r>
      <w:r w:rsidRPr="00F60AAC">
        <w:rPr>
          <w:rFonts w:ascii="Century" w:hAnsi="Century" w:hint="cs"/>
          <w:rtl/>
        </w:rPr>
        <w:t>הדיונים בוועדת החוקה לוו במחאה חברתית חסרת תקדים בהיקפה ובעוצמתה. במשך שבועות ארוכים, מאות אלפי אזרחים יצאו לרחובות והפגינו נגד ת</w:t>
      </w:r>
      <w:r>
        <w:rPr>
          <w:rFonts w:ascii="Century" w:hAnsi="Century" w:hint="cs"/>
          <w:rtl/>
        </w:rPr>
        <w:t>ו</w:t>
      </w:r>
      <w:r w:rsidRPr="00F60AAC">
        <w:rPr>
          <w:rFonts w:ascii="Century" w:hAnsi="Century" w:hint="cs"/>
          <w:rtl/>
        </w:rPr>
        <w:t>כנית הרפורמה המשפטית, שאותה כינו "הפיכה משטרית". דגל ישראל הפך לסמלם של המתנגדים לת</w:t>
      </w:r>
      <w:r>
        <w:rPr>
          <w:rFonts w:ascii="Century" w:hAnsi="Century" w:hint="cs"/>
          <w:rtl/>
        </w:rPr>
        <w:t>ו</w:t>
      </w:r>
      <w:r w:rsidRPr="00F60AAC">
        <w:rPr>
          <w:rFonts w:ascii="Century" w:hAnsi="Century" w:hint="cs"/>
          <w:rtl/>
        </w:rPr>
        <w:t>כנית, שחזרו והתריעו מפני הסכנ</w:t>
      </w:r>
      <w:r>
        <w:rPr>
          <w:rFonts w:ascii="Century" w:hAnsi="Century" w:hint="cs"/>
          <w:rtl/>
        </w:rPr>
        <w:t>ות הגלומות בשחרורן של רשויות הש</w:t>
      </w:r>
      <w:r w:rsidRPr="00F60AAC">
        <w:rPr>
          <w:rFonts w:ascii="Century" w:hAnsi="Century" w:hint="cs"/>
          <w:rtl/>
        </w:rPr>
        <w:t>לטון מכבלי הביקורת השיפוטית. ככל ש</w:t>
      </w:r>
      <w:r>
        <w:rPr>
          <w:rFonts w:ascii="Century" w:hAnsi="Century" w:hint="cs"/>
          <w:rtl/>
        </w:rPr>
        <w:t>הממשלה</w:t>
      </w:r>
      <w:r w:rsidRPr="00F60AAC">
        <w:rPr>
          <w:rFonts w:ascii="Century" w:hAnsi="Century" w:hint="cs"/>
          <w:rtl/>
        </w:rPr>
        <w:t xml:space="preserve"> נקטה עוד ועוד צעדים לקידום ת</w:t>
      </w:r>
      <w:r>
        <w:rPr>
          <w:rFonts w:ascii="Century" w:hAnsi="Century" w:hint="cs"/>
          <w:rtl/>
        </w:rPr>
        <w:t>ו</w:t>
      </w:r>
      <w:r w:rsidRPr="00F60AAC">
        <w:rPr>
          <w:rFonts w:ascii="Century" w:hAnsi="Century" w:hint="cs"/>
          <w:rtl/>
        </w:rPr>
        <w:t xml:space="preserve">כנית הרפורמה כך הלכה המחאה והסלימה, וקרע עמוק </w:t>
      </w:r>
      <w:r>
        <w:rPr>
          <w:rFonts w:ascii="Century" w:hAnsi="Century" w:hint="cs"/>
          <w:rtl/>
        </w:rPr>
        <w:t>נפער</w:t>
      </w:r>
      <w:r w:rsidRPr="00F60AAC">
        <w:rPr>
          <w:rFonts w:ascii="Century" w:hAnsi="Century" w:hint="cs"/>
          <w:rtl/>
        </w:rPr>
        <w:t xml:space="preserve"> בחברה הישראלית בין תומכי הת</w:t>
      </w:r>
      <w:r>
        <w:rPr>
          <w:rFonts w:ascii="Century" w:hAnsi="Century" w:hint="cs"/>
          <w:rtl/>
        </w:rPr>
        <w:t>ו</w:t>
      </w:r>
      <w:r w:rsidRPr="00F60AAC">
        <w:rPr>
          <w:rFonts w:ascii="Century" w:hAnsi="Century" w:hint="cs"/>
          <w:rtl/>
        </w:rPr>
        <w:t xml:space="preserve">כנית למתנגדיה. </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Pr>
          <w:rFonts w:ascii="Century" w:hAnsi="Century"/>
          <w:rtl/>
        </w:rPr>
        <w:lastRenderedPageBreak/>
        <w:tab/>
      </w:r>
      <w:r w:rsidRPr="00F60AAC">
        <w:rPr>
          <w:rFonts w:ascii="Century" w:hAnsi="Century" w:hint="cs"/>
          <w:rtl/>
        </w:rPr>
        <w:t xml:space="preserve">ביום 27.3.2023 הודיע ראש </w:t>
      </w:r>
      <w:r>
        <w:rPr>
          <w:rFonts w:ascii="Century" w:hAnsi="Century" w:hint="cs"/>
          <w:rtl/>
        </w:rPr>
        <w:t>הממשלה</w:t>
      </w:r>
      <w:r w:rsidRPr="00F60AAC">
        <w:rPr>
          <w:rFonts w:ascii="Century" w:hAnsi="Century" w:hint="cs"/>
          <w:rtl/>
        </w:rPr>
        <w:t xml:space="preserve"> על השהיית הליכי החקיקה לצורך משא ומתן עם נציגי האופוזיציה במטרה לגבש מתווה פשרה מוסכם. מהלך זה לא נשא פרי, וביום 20.6.2023 הניח יו"ר ועדת החוקה על שולחן הוועדה הצעה לתיקון חוק היסוד ובה ביטול עילת הסבירות (הצעת חוק-יסוד: השפיטה (תיקון </w:t>
      </w:r>
      <w:r w:rsidRPr="00F60AAC">
        <w:rPr>
          <w:rFonts w:ascii="Century" w:hAnsi="Century"/>
          <w:rtl/>
        </w:rPr>
        <w:t>–</w:t>
      </w:r>
      <w:r w:rsidRPr="00F60AAC">
        <w:rPr>
          <w:rFonts w:ascii="Century" w:hAnsi="Century" w:hint="cs"/>
          <w:rtl/>
        </w:rPr>
        <w:t xml:space="preserve"> עילת הסבירות)); לימים הבשילה הצעה זו לתיקון לחוק היסוד שבו אנו עוסקים (להלן: </w:t>
      </w:r>
      <w:r w:rsidRPr="00AB6243">
        <w:rPr>
          <w:rFonts w:ascii="Century" w:hAnsi="Century" w:cs="Miriam" w:hint="cs"/>
          <w:b/>
          <w:spacing w:val="0"/>
          <w:szCs w:val="24"/>
          <w:rtl/>
        </w:rPr>
        <w:t>הצעת החוק</w:t>
      </w:r>
      <w:r w:rsidRPr="00F60AAC">
        <w:rPr>
          <w:rFonts w:ascii="Century" w:hAnsi="Century" w:hint="cs"/>
          <w:rtl/>
        </w:rPr>
        <w:t xml:space="preserve">). הצעה זו הוגשה כהצעת חוק מטעם ועדת החוקה מכוח סעיף 80(א) לתקנון הכנסת. </w:t>
      </w:r>
    </w:p>
    <w:p w:rsidR="00AC74AF" w:rsidRPr="00F60AAC" w:rsidRDefault="00AC74AF" w:rsidP="00AC74AF">
      <w:pPr>
        <w:pStyle w:val="Ruller41"/>
        <w:rPr>
          <w:rFonts w:ascii="Century" w:hAnsi="Century"/>
          <w:rtl/>
        </w:rPr>
      </w:pPr>
    </w:p>
    <w:p w:rsidR="00AC74AF" w:rsidRPr="00F60AAC" w:rsidRDefault="00AC74AF" w:rsidP="00AC74AF">
      <w:pPr>
        <w:pStyle w:val="Ruller41"/>
        <w:rPr>
          <w:rFonts w:ascii="Century" w:hAnsi="Century"/>
          <w:rtl/>
        </w:rPr>
      </w:pPr>
      <w:r>
        <w:rPr>
          <w:rFonts w:ascii="Century" w:hAnsi="Century" w:hint="cs"/>
          <w:rtl/>
        </w:rPr>
        <w:t>16</w:t>
      </w:r>
      <w:r w:rsidRPr="00F60AAC">
        <w:rPr>
          <w:rFonts w:ascii="Century" w:hAnsi="Century" w:hint="cs"/>
          <w:rtl/>
        </w:rPr>
        <w:t>.</w:t>
      </w:r>
      <w:r w:rsidRPr="00F60AAC">
        <w:rPr>
          <w:rFonts w:ascii="Century" w:hAnsi="Century"/>
          <w:rtl/>
        </w:rPr>
        <w:tab/>
      </w:r>
      <w:r w:rsidRPr="00F60AAC">
        <w:rPr>
          <w:rFonts w:ascii="Century" w:hAnsi="Century" w:hint="cs"/>
          <w:rtl/>
        </w:rPr>
        <w:t xml:space="preserve">ועדת החוקה ערכה חמישה דיונים בלבד לצורך הכנת הצעת החוק לקריאה ראשונה, שנמשכו על פני עשרה ימים, ובהם נשמעו עמדות הייעוץ המשפטי לוועדה, היועמ"שית, מומחים ואנשי משפט מהאקדמיה ומהשירות הציבורי. רבים מהם התריעו בפני חברי הוועדה על הסכנות הרבות הגלומות בתיקון לחוק היסוד. </w:t>
      </w:r>
    </w:p>
    <w:p w:rsidR="00AC74AF" w:rsidRPr="00F60AAC" w:rsidRDefault="00AC74AF" w:rsidP="00AC74AF">
      <w:pPr>
        <w:pStyle w:val="Ruller41"/>
        <w:rPr>
          <w:rFonts w:ascii="Century" w:hAnsi="Century"/>
          <w:rtl/>
        </w:rPr>
      </w:pPr>
    </w:p>
    <w:p w:rsidR="00AC74AF" w:rsidRPr="00F60AAC" w:rsidRDefault="00AC74AF" w:rsidP="00AC74AF">
      <w:pPr>
        <w:pStyle w:val="Ruller41"/>
        <w:rPr>
          <w:rFonts w:ascii="Century" w:hAnsi="Century"/>
          <w:rtl/>
        </w:rPr>
      </w:pPr>
      <w:r>
        <w:rPr>
          <w:rFonts w:ascii="Century" w:hAnsi="Century"/>
          <w:rtl/>
        </w:rPr>
        <w:tab/>
      </w:r>
      <w:r w:rsidRPr="00F60AAC">
        <w:rPr>
          <w:rFonts w:ascii="Century" w:hAnsi="Century" w:hint="cs"/>
          <w:rtl/>
        </w:rPr>
        <w:t>בתוך כך, היועץ המשפטי לוועדת החוקה, ע</w:t>
      </w:r>
      <w:r>
        <w:rPr>
          <w:rFonts w:ascii="Century" w:hAnsi="Century" w:hint="cs"/>
          <w:rtl/>
        </w:rPr>
        <w:t xml:space="preserve">ו"ד ד"ר גור בליי, עמד בכתב ובעל </w:t>
      </w:r>
      <w:r w:rsidRPr="00F60AAC">
        <w:rPr>
          <w:rFonts w:ascii="Century" w:hAnsi="Century" w:hint="cs"/>
          <w:rtl/>
        </w:rPr>
        <w:t>פה על שורה של קשיים שעלו מהצעת החוק. בראש ובראשונה, לעמדתו שלילה קטגורית של עילת הסבירות תביא ליצירת "חורים שחורים" בתחומי מינהל מסוימים שבהם לא ניתן יהיה לקיים ביקורת שיפוטית כלשהי (למשל בתחום המינויים</w:t>
      </w:r>
      <w:r>
        <w:rPr>
          <w:rFonts w:ascii="Century" w:hAnsi="Century" w:hint="cs"/>
          <w:rtl/>
        </w:rPr>
        <w:t xml:space="preserve"> בשירות הציבורי, ובפרט של שומרי הסף</w:t>
      </w:r>
      <w:r w:rsidRPr="00F60AAC">
        <w:rPr>
          <w:rFonts w:ascii="Century" w:hAnsi="Century" w:hint="cs"/>
          <w:rtl/>
        </w:rPr>
        <w:t xml:space="preserve">); וכן הצביע עו"ד בליי על קיומו של חשש כי ביטול </w:t>
      </w:r>
      <w:r w:rsidRPr="00AB6243">
        <w:rPr>
          <w:rFonts w:ascii="Century" w:hAnsi="Century" w:cs="Miriam" w:hint="cs"/>
          <w:b/>
          <w:spacing w:val="0"/>
          <w:szCs w:val="24"/>
          <w:rtl/>
        </w:rPr>
        <w:t>עילת</w:t>
      </w:r>
      <w:r w:rsidRPr="00AB6243">
        <w:rPr>
          <w:rFonts w:ascii="Century" w:hAnsi="Century" w:hint="cs"/>
          <w:rtl/>
        </w:rPr>
        <w:t xml:space="preserve"> </w:t>
      </w:r>
      <w:r w:rsidRPr="00F60AAC">
        <w:rPr>
          <w:rFonts w:ascii="Century" w:hAnsi="Century" w:hint="cs"/>
          <w:rtl/>
        </w:rPr>
        <w:t xml:space="preserve">הסבירות עלול להיתפס ככזה שפוטר את מקבלי ההחלטות מעצם </w:t>
      </w:r>
      <w:r w:rsidRPr="00AB6243">
        <w:rPr>
          <w:rFonts w:ascii="Century" w:hAnsi="Century" w:cs="Miriam" w:hint="cs"/>
          <w:b/>
          <w:spacing w:val="0"/>
          <w:szCs w:val="24"/>
          <w:rtl/>
        </w:rPr>
        <w:t>חובת</w:t>
      </w:r>
      <w:r w:rsidRPr="00AB6243">
        <w:rPr>
          <w:rFonts w:ascii="Century" w:hAnsi="Century" w:hint="cs"/>
          <w:rtl/>
        </w:rPr>
        <w:t xml:space="preserve"> </w:t>
      </w:r>
      <w:r w:rsidRPr="00F60AAC">
        <w:rPr>
          <w:rFonts w:ascii="Century" w:hAnsi="Century" w:hint="cs"/>
          <w:rtl/>
        </w:rPr>
        <w:t xml:space="preserve">הסבירות. היועץ המשפטי לוועדה הציע לבחון את ההצדקה להבחנה שנעשתה בהצעת החוק בין דרג נבחר לדרג מקצועי בכל הנוגע לתחולתה של עילת הסבירות, ותחת זאת לשקול מודל חלופי </w:t>
      </w:r>
      <w:r w:rsidRPr="00F60AAC">
        <w:rPr>
          <w:rFonts w:ascii="Century" w:hAnsi="Century"/>
          <w:rtl/>
        </w:rPr>
        <w:t>–</w:t>
      </w:r>
      <w:r w:rsidRPr="00F60AAC">
        <w:rPr>
          <w:rFonts w:ascii="Century" w:hAnsi="Century" w:hint="cs"/>
          <w:rtl/>
        </w:rPr>
        <w:t xml:space="preserve"> המצמצם את הביקורת השיפוטית רק ביחס ל</w:t>
      </w:r>
      <w:r w:rsidRPr="00AB6243">
        <w:rPr>
          <w:rFonts w:ascii="Century" w:hAnsi="Century" w:cs="Miriam" w:hint="cs"/>
          <w:b/>
          <w:spacing w:val="0"/>
          <w:szCs w:val="24"/>
          <w:rtl/>
        </w:rPr>
        <w:t>סוג</w:t>
      </w:r>
      <w:r w:rsidRPr="00F60AAC">
        <w:rPr>
          <w:rFonts w:ascii="Century" w:hAnsi="Century" w:hint="cs"/>
          <w:rtl/>
        </w:rPr>
        <w:t xml:space="preserve"> מסוים של החלטות. עו"ד בליי סבר שיש קושי גם בכך שההצעה אינה מגדירה את עילת הסבירות שהיא חלה ביחס אליה, וכתוצאה מכך ההסדר המוצע הוא על פניו גורף ורחב.</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sidRPr="00F60AAC">
        <w:rPr>
          <w:rFonts w:ascii="Century" w:hAnsi="Century"/>
          <w:rtl/>
        </w:rPr>
        <w:tab/>
      </w:r>
      <w:r w:rsidRPr="00F60AAC">
        <w:rPr>
          <w:rFonts w:ascii="Century" w:hAnsi="Century" w:hint="cs"/>
          <w:rtl/>
        </w:rPr>
        <w:t xml:space="preserve">המשנה ליועצת המשפטית לממשלה (משפט ציבורי-מינהלי), עו"ד גיל לימון, הביע אף הוא עמדה שלפיה הצעת החוק משחררת למעשה את נבחרי הציבור מחובת הסבירות, ובכך מאפשרת קבלת החלטות שרירותיות, המתעלמות מעובדות ושיקולים רלוונטיים. עו"ד לימון הוסיף והדגיש כי הצעת החוק כלל אינה מתמודדת עם המורכבויות של עילת הסבירות, ממילא גם לא מגדירה אותה, אלא מתמקדת בחסימה מוחלטת של ביקורת שיפוטית על החלטות בלתי סבירות באופן הפוגע פגיעה קשה בערכיה הבסיסיים של הדמוקרטיה.  </w:t>
      </w:r>
    </w:p>
    <w:p w:rsidR="00AC74AF" w:rsidRPr="00F60AAC" w:rsidRDefault="00AC74AF" w:rsidP="00AC74AF">
      <w:pPr>
        <w:pStyle w:val="Ruller41"/>
        <w:rPr>
          <w:rFonts w:ascii="Century" w:hAnsi="Century"/>
          <w:rtl/>
        </w:rPr>
      </w:pPr>
    </w:p>
    <w:p w:rsidR="00AC74AF" w:rsidRPr="00F60AAC" w:rsidRDefault="00AC74AF" w:rsidP="00AC74AF">
      <w:pPr>
        <w:pStyle w:val="Ruller41"/>
        <w:rPr>
          <w:rFonts w:ascii="Century" w:hAnsi="Century"/>
          <w:rtl/>
        </w:rPr>
      </w:pPr>
      <w:r>
        <w:rPr>
          <w:rFonts w:ascii="Century" w:hAnsi="Century" w:hint="cs"/>
          <w:rtl/>
        </w:rPr>
        <w:t>17</w:t>
      </w:r>
      <w:r w:rsidRPr="00F60AAC">
        <w:rPr>
          <w:rFonts w:ascii="Century" w:hAnsi="Century" w:hint="cs"/>
          <w:rtl/>
        </w:rPr>
        <w:t>.</w:t>
      </w:r>
      <w:r w:rsidRPr="00F60AAC">
        <w:rPr>
          <w:rFonts w:ascii="Century" w:hAnsi="Century"/>
          <w:rtl/>
        </w:rPr>
        <w:tab/>
      </w:r>
      <w:r w:rsidRPr="00F60AAC">
        <w:rPr>
          <w:rFonts w:ascii="Century" w:hAnsi="Century" w:hint="cs"/>
          <w:rtl/>
        </w:rPr>
        <w:t xml:space="preserve">חרף האמור, ביום 4.7.2023 אושרה הצעת החוק בוועדת החוקה להנחה לקריאה ראשונה, כהצעת חוק מטעם הוועדה. ביום 10.7.2023 היא אושרה במליאת הכנסת </w:t>
      </w:r>
      <w:r w:rsidRPr="00F60AAC">
        <w:rPr>
          <w:rFonts w:ascii="Century" w:hAnsi="Century" w:hint="cs"/>
          <w:rtl/>
        </w:rPr>
        <w:lastRenderedPageBreak/>
        <w:t xml:space="preserve">בקריאה ראשונה </w:t>
      </w:r>
      <w:r w:rsidRPr="00F60AAC">
        <w:rPr>
          <w:rFonts w:ascii="Century" w:hAnsi="Century"/>
          <w:rtl/>
        </w:rPr>
        <w:t>–</w:t>
      </w:r>
      <w:r w:rsidRPr="00F60AAC">
        <w:rPr>
          <w:rFonts w:ascii="Century" w:hAnsi="Century" w:hint="cs"/>
          <w:rtl/>
        </w:rPr>
        <w:t xml:space="preserve"> ברוב של 64 אל מול 56 חברי כנסת. בהמשך לכך נערכו בוועדת החוקה ארבעה דיונים נוספים להכנת הצעת החוק לקריאה שנייה ושלישית, שנמשכו על פני תשעה ימים, ובמהלכם נשמעו חוות דעת של משפטנים </w:t>
      </w:r>
      <w:r w:rsidRPr="00F60AAC">
        <w:rPr>
          <w:rFonts w:ascii="Century" w:hAnsi="Century"/>
          <w:rtl/>
        </w:rPr>
        <w:t>–</w:t>
      </w:r>
      <w:r w:rsidRPr="00F60AAC">
        <w:rPr>
          <w:rFonts w:ascii="Century" w:hAnsi="Century" w:hint="cs"/>
          <w:rtl/>
        </w:rPr>
        <w:t xml:space="preserve"> שחלקם הציעו נוסחים "מרוככים" יותר לביטול עילת הסבירות. בין היתר הוצע להגביל את ביטול עילת הסבירות להחלטות מדיניות כלליות להבדיל מהחלטות פרטניות; להבהיר כי לבית המשפט תהיה שמורה האפשרות להתערב במינויים לא ראויים בהתאם לעיקרון האוסר על שקילת שיקולים זרים; ל</w:t>
      </w:r>
      <w:r>
        <w:rPr>
          <w:rFonts w:ascii="Century" w:hAnsi="Century" w:hint="cs"/>
          <w:rtl/>
        </w:rPr>
        <w:t>הבהיר כי ביטול עילת הסבירות לא י</w:t>
      </w:r>
      <w:r w:rsidRPr="00F60AAC">
        <w:rPr>
          <w:rFonts w:ascii="Century" w:hAnsi="Century" w:hint="cs"/>
          <w:rtl/>
        </w:rPr>
        <w:t xml:space="preserve">חול על החלטה </w:t>
      </w:r>
      <w:r>
        <w:rPr>
          <w:rFonts w:ascii="Century" w:hAnsi="Century" w:hint="cs"/>
          <w:rtl/>
        </w:rPr>
        <w:t>שנתקבלה מתוקף</w:t>
      </w:r>
      <w:r w:rsidRPr="00F60AAC">
        <w:rPr>
          <w:rFonts w:ascii="Century" w:hAnsi="Century" w:hint="cs"/>
          <w:rtl/>
        </w:rPr>
        <w:t xml:space="preserve"> סמכות ששר נטל לעצמו מכוח סעיף 34 לחוק-יסוד: </w:t>
      </w:r>
      <w:r>
        <w:rPr>
          <w:rFonts w:ascii="Century" w:hAnsi="Century" w:hint="cs"/>
          <w:rtl/>
        </w:rPr>
        <w:t>הממשלה</w:t>
      </w:r>
      <w:r w:rsidRPr="00F60AAC">
        <w:rPr>
          <w:rFonts w:ascii="Century" w:hAnsi="Century" w:hint="cs"/>
          <w:rtl/>
        </w:rPr>
        <w:t>; ועוד. ואולם אף אחת מהצעות אלה לא נתקבלה.</w:t>
      </w:r>
    </w:p>
    <w:p w:rsidR="00AC74AF" w:rsidRPr="00F60AAC" w:rsidRDefault="00AC74AF" w:rsidP="00AC74AF">
      <w:pPr>
        <w:pStyle w:val="Ruller41"/>
        <w:rPr>
          <w:rFonts w:ascii="Century" w:hAnsi="Century"/>
          <w:rtl/>
        </w:rPr>
      </w:pPr>
    </w:p>
    <w:p w:rsidR="00AC74AF" w:rsidRPr="00F60AAC" w:rsidRDefault="00AC74AF" w:rsidP="00AC74AF">
      <w:pPr>
        <w:pStyle w:val="Ruller41"/>
        <w:rPr>
          <w:rFonts w:ascii="Century" w:hAnsi="Century"/>
          <w:rtl/>
        </w:rPr>
      </w:pPr>
      <w:r>
        <w:rPr>
          <w:rFonts w:ascii="Century" w:hAnsi="Century"/>
          <w:rtl/>
        </w:rPr>
        <w:tab/>
      </w:r>
      <w:r w:rsidRPr="00F60AAC">
        <w:rPr>
          <w:rFonts w:ascii="Century" w:hAnsi="Century" w:hint="cs"/>
          <w:rtl/>
        </w:rPr>
        <w:t>עוד במסגרת הכנת הצעת החוק לקריאה שנייה ושלישית, נמסר לחברי הוועדה נוסח מתוקן להצעת החוק. בהצעה זו הובהר כי ביטול עילת הסבירות יחול רק ביחס ל</w:t>
      </w:r>
      <w:r w:rsidRPr="00F60AAC">
        <w:rPr>
          <w:rFonts w:ascii="Century" w:hAnsi="Century"/>
          <w:rtl/>
        </w:rPr>
        <w:t xml:space="preserve">החלטה של </w:t>
      </w:r>
      <w:r>
        <w:rPr>
          <w:rFonts w:ascii="Century" w:hAnsi="Century"/>
          <w:rtl/>
        </w:rPr>
        <w:t>הממשלה</w:t>
      </w:r>
      <w:r w:rsidRPr="00F60AAC">
        <w:rPr>
          <w:rFonts w:ascii="Century" w:hAnsi="Century"/>
          <w:rtl/>
        </w:rPr>
        <w:t xml:space="preserve">, של ראש </w:t>
      </w:r>
      <w:r>
        <w:rPr>
          <w:rFonts w:ascii="Century" w:hAnsi="Century"/>
          <w:rtl/>
        </w:rPr>
        <w:t>הממשלה</w:t>
      </w:r>
      <w:r w:rsidRPr="00F60AAC">
        <w:rPr>
          <w:rFonts w:ascii="Century" w:hAnsi="Century"/>
          <w:rtl/>
        </w:rPr>
        <w:t xml:space="preserve"> או של שר אחר</w:t>
      </w:r>
      <w:r w:rsidRPr="00F60AAC">
        <w:rPr>
          <w:rFonts w:ascii="Century" w:hAnsi="Century" w:hint="cs"/>
          <w:rtl/>
        </w:rPr>
        <w:t>, ונשמט המשפט "</w:t>
      </w:r>
      <w:r w:rsidRPr="0095580E">
        <w:rPr>
          <w:rFonts w:ascii="Century" w:hAnsi="Century" w:cs="Miriam" w:hint="cs"/>
          <w:b/>
          <w:spacing w:val="0"/>
          <w:szCs w:val="24"/>
          <w:rtl/>
        </w:rPr>
        <w:t>וכן של נבחר ציבור אחר כפי שייקבע בחוק</w:t>
      </w:r>
      <w:r w:rsidRPr="00F60AAC">
        <w:rPr>
          <w:rFonts w:ascii="Century" w:hAnsi="Century" w:hint="cs"/>
          <w:rtl/>
        </w:rPr>
        <w:t>" שהופיע בנוסח המקורי. לעומת זאת, להצעת החוק נוספה הגדרה למושג "</w:t>
      </w:r>
      <w:r w:rsidRPr="0095580E">
        <w:rPr>
          <w:rFonts w:ascii="Century" w:hAnsi="Century" w:cs="Miriam" w:hint="cs"/>
          <w:b/>
          <w:spacing w:val="0"/>
          <w:szCs w:val="24"/>
          <w:rtl/>
        </w:rPr>
        <w:t>החלטה</w:t>
      </w:r>
      <w:r w:rsidRPr="00F60AAC">
        <w:rPr>
          <w:rFonts w:ascii="Century" w:hAnsi="Century" w:hint="cs"/>
          <w:rtl/>
        </w:rPr>
        <w:t>" הנזכר בה, שלפיה מדובר ב"</w:t>
      </w:r>
      <w:r w:rsidRPr="0095580E">
        <w:rPr>
          <w:rFonts w:ascii="Century" w:hAnsi="Century" w:cs="Miriam" w:hint="cs"/>
          <w:b/>
          <w:spacing w:val="0"/>
          <w:szCs w:val="24"/>
          <w:rtl/>
        </w:rPr>
        <w:t>כל החלטה לרבות בענייני מינויים או החלטה להימנע מהפעלת כל סמכות</w:t>
      </w:r>
      <w:r w:rsidRPr="00F60AAC">
        <w:rPr>
          <w:rFonts w:ascii="Century" w:hAnsi="Century" w:hint="cs"/>
          <w:rtl/>
        </w:rPr>
        <w:t xml:space="preserve">". </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Pr>
          <w:rFonts w:ascii="Century" w:hAnsi="Century"/>
          <w:rtl/>
        </w:rPr>
        <w:tab/>
      </w:r>
      <w:r w:rsidRPr="00F60AAC">
        <w:rPr>
          <w:rFonts w:ascii="Century" w:hAnsi="Century" w:hint="cs"/>
          <w:rtl/>
        </w:rPr>
        <w:t xml:space="preserve">ביום 19.7.2023 אושרה הצעת החוק בנוסח המתוקן בוועדת החוקה. ביום 24.7.2023 אושרה הצעת החוק גם בקריאה שנייה ושלישית במליאת הכנסת </w:t>
      </w:r>
      <w:r w:rsidRPr="00F60AAC">
        <w:rPr>
          <w:rFonts w:ascii="Century" w:hAnsi="Century"/>
          <w:rtl/>
        </w:rPr>
        <w:t>–</w:t>
      </w:r>
      <w:r w:rsidRPr="00F60AAC">
        <w:rPr>
          <w:rFonts w:ascii="Century" w:hAnsi="Century" w:hint="cs"/>
          <w:rtl/>
        </w:rPr>
        <w:t xml:space="preserve"> ברוב של 64 חברי כנסת וללא מתנגדים, משחברי הכנסת מטעם האופוזיציה החרימו את ההצבעה. השלמת חקיקתו של התיקון לחוק היסוד נחגגה על ידי חברי הקואליציה בתמונת "סלפי" שצילמו במליאה </w:t>
      </w:r>
      <w:r w:rsidRPr="00F60AAC">
        <w:rPr>
          <w:rFonts w:ascii="Century" w:hAnsi="Century"/>
          <w:rtl/>
        </w:rPr>
        <w:t>–</w:t>
      </w:r>
      <w:r w:rsidRPr="00F60AAC">
        <w:rPr>
          <w:rFonts w:ascii="Century" w:hAnsi="Century" w:hint="cs"/>
          <w:rtl/>
        </w:rPr>
        <w:t xml:space="preserve"> שנחרטה בתודעה הציבורית כתמונת ניצחון של תומכי הרפורמה בגוברם על מתנגדיה. </w:t>
      </w:r>
    </w:p>
    <w:p w:rsidR="00AC74AF" w:rsidRPr="00F60AAC" w:rsidRDefault="00AC74AF" w:rsidP="00AC74AF">
      <w:pPr>
        <w:pStyle w:val="Ruller41"/>
        <w:rPr>
          <w:rFonts w:ascii="Century" w:hAnsi="Century"/>
          <w:rtl/>
        </w:rPr>
      </w:pPr>
    </w:p>
    <w:p w:rsidR="00AC74AF" w:rsidRPr="00F60AAC" w:rsidRDefault="00AC74AF" w:rsidP="00AC74AF">
      <w:pPr>
        <w:pStyle w:val="Ruller41"/>
        <w:rPr>
          <w:rFonts w:ascii="Century" w:hAnsi="Century"/>
          <w:rtl/>
        </w:rPr>
      </w:pPr>
      <w:r>
        <w:rPr>
          <w:rFonts w:ascii="Century" w:hAnsi="Century" w:hint="cs"/>
          <w:rtl/>
        </w:rPr>
        <w:t>18</w:t>
      </w:r>
      <w:r w:rsidRPr="00F60AAC">
        <w:rPr>
          <w:rFonts w:ascii="Century" w:hAnsi="Century" w:hint="cs"/>
          <w:rtl/>
        </w:rPr>
        <w:t>.</w:t>
      </w:r>
      <w:r w:rsidRPr="00F60AAC">
        <w:rPr>
          <w:rFonts w:ascii="Century" w:hAnsi="Century"/>
          <w:rtl/>
        </w:rPr>
        <w:tab/>
      </w:r>
      <w:r w:rsidRPr="00F60AAC">
        <w:rPr>
          <w:rFonts w:ascii="Century" w:hAnsi="Century" w:hint="cs"/>
          <w:rtl/>
        </w:rPr>
        <w:t>חקיקת יסוד אמורה לסמל</w:t>
      </w:r>
      <w:r w:rsidRPr="00F60AAC">
        <w:rPr>
          <w:rFonts w:ascii="Century" w:hAnsi="Century"/>
          <w:rtl/>
        </w:rPr>
        <w:t xml:space="preserve"> </w:t>
      </w:r>
      <w:r w:rsidRPr="00F60AAC">
        <w:rPr>
          <w:rFonts w:ascii="Century" w:hAnsi="Century" w:hint="cs"/>
          <w:rtl/>
        </w:rPr>
        <w:t>"</w:t>
      </w:r>
      <w:r w:rsidRPr="00EA019F">
        <w:rPr>
          <w:rFonts w:ascii="Century" w:hAnsi="Century" w:cs="Miriam"/>
          <w:b/>
          <w:spacing w:val="0"/>
          <w:szCs w:val="24"/>
          <w:rtl/>
        </w:rPr>
        <w:t>קביעות, נצחיות המדינה והאומה, זכויות האדם והאזרח ובתוכן זכויות המיעוטים</w:t>
      </w:r>
      <w:r w:rsidRPr="00F60AAC">
        <w:rPr>
          <w:rFonts w:ascii="Century" w:hAnsi="Century"/>
          <w:rtl/>
        </w:rPr>
        <w:t xml:space="preserve">" (השופט </w:t>
      </w:r>
      <w:r w:rsidRPr="00EA019F">
        <w:rPr>
          <w:rFonts w:ascii="Century" w:hAnsi="Century" w:cs="Miriam"/>
          <w:b/>
          <w:spacing w:val="0"/>
          <w:szCs w:val="24"/>
          <w:rtl/>
        </w:rPr>
        <w:t>א' רובינשטיין</w:t>
      </w:r>
      <w:r w:rsidRPr="00EA019F">
        <w:rPr>
          <w:rFonts w:ascii="Century" w:hAnsi="Century"/>
          <w:rtl/>
        </w:rPr>
        <w:t xml:space="preserve"> </w:t>
      </w:r>
      <w:r w:rsidRPr="00F60AAC">
        <w:rPr>
          <w:rFonts w:ascii="Century" w:hAnsi="Century" w:hint="cs"/>
          <w:rtl/>
        </w:rPr>
        <w:t>ב-</w:t>
      </w:r>
      <w:r w:rsidRPr="00F60AAC">
        <w:rPr>
          <w:rFonts w:ascii="Century" w:hAnsi="Century"/>
          <w:rtl/>
        </w:rPr>
        <w:t xml:space="preserve">בג"ץ 4908/10 </w:t>
      </w:r>
      <w:r w:rsidRPr="00EA019F">
        <w:rPr>
          <w:rFonts w:ascii="Century" w:hAnsi="Century" w:cs="Miriam"/>
          <w:b/>
          <w:spacing w:val="0"/>
          <w:szCs w:val="24"/>
          <w:rtl/>
        </w:rPr>
        <w:t>ח"כ רוני בר-און נ' כנסת ישראל</w:t>
      </w:r>
      <w:r w:rsidRPr="00F60AAC">
        <w:rPr>
          <w:rFonts w:ascii="Century" w:hAnsi="Century" w:hint="cs"/>
          <w:rtl/>
        </w:rPr>
        <w:t xml:space="preserve">, פסקה ה </w:t>
      </w:r>
      <w:r w:rsidRPr="00F60AAC">
        <w:rPr>
          <w:rFonts w:ascii="Century" w:hAnsi="Century"/>
          <w:rtl/>
        </w:rPr>
        <w:t>(7.4.2011)).</w:t>
      </w:r>
      <w:r w:rsidRPr="00F60AAC">
        <w:rPr>
          <w:rFonts w:ascii="Century" w:hAnsi="Century" w:hint="cs"/>
          <w:rtl/>
        </w:rPr>
        <w:t xml:space="preserve"> כינונה של חוקה המעגנת ערכי יסוד, סדרי משטר וכללי משחק "</w:t>
      </w:r>
      <w:r w:rsidRPr="00EA019F">
        <w:rPr>
          <w:rFonts w:ascii="Century" w:hAnsi="Century" w:cs="Miriam" w:hint="cs"/>
          <w:b/>
          <w:spacing w:val="0"/>
          <w:szCs w:val="24"/>
          <w:rtl/>
        </w:rPr>
        <w:t>טעונה הסמכה, ומצריכה הסכמה ציבורית רחבה</w:t>
      </w:r>
      <w:r w:rsidRPr="00F60AAC">
        <w:rPr>
          <w:rFonts w:ascii="Century" w:hAnsi="Century" w:hint="cs"/>
          <w:rtl/>
        </w:rPr>
        <w:t xml:space="preserve">" (השופט </w:t>
      </w:r>
      <w:r w:rsidRPr="00EA019F">
        <w:rPr>
          <w:rFonts w:ascii="Century" w:hAnsi="Century" w:cs="Miriam" w:hint="cs"/>
          <w:b/>
          <w:spacing w:val="0"/>
          <w:szCs w:val="24"/>
          <w:rtl/>
        </w:rPr>
        <w:t>נ' סולברג</w:t>
      </w:r>
      <w:r w:rsidRPr="00EA019F">
        <w:rPr>
          <w:rFonts w:ascii="Century" w:hAnsi="Century" w:hint="cs"/>
          <w:rtl/>
        </w:rPr>
        <w:t xml:space="preserve"> </w:t>
      </w:r>
      <w:r w:rsidRPr="00F60AAC">
        <w:rPr>
          <w:rFonts w:ascii="Century" w:hAnsi="Century" w:hint="cs"/>
          <w:rtl/>
        </w:rPr>
        <w:t xml:space="preserve">ב-בג"ץ 2905/20 </w:t>
      </w:r>
      <w:r w:rsidRPr="00EA019F">
        <w:rPr>
          <w:rFonts w:ascii="Century" w:hAnsi="Century" w:cs="Miriam" w:hint="cs"/>
          <w:b/>
          <w:spacing w:val="0"/>
          <w:szCs w:val="24"/>
          <w:rtl/>
        </w:rPr>
        <w:t>התנועה למען איכות השלטון בישראל נ' כנסת ישראל</w:t>
      </w:r>
      <w:r w:rsidRPr="00F60AAC">
        <w:rPr>
          <w:rFonts w:ascii="Century" w:hAnsi="Century" w:hint="cs"/>
          <w:rtl/>
        </w:rPr>
        <w:t>, פסקה 6 (12.7.2021)</w:t>
      </w:r>
      <w:r>
        <w:rPr>
          <w:rFonts w:ascii="Century" w:hAnsi="Century" w:hint="cs"/>
          <w:rtl/>
        </w:rPr>
        <w:t>)</w:t>
      </w:r>
      <w:r w:rsidRPr="00F60AAC">
        <w:rPr>
          <w:rFonts w:ascii="Century" w:hAnsi="Century" w:hint="cs"/>
          <w:rtl/>
        </w:rPr>
        <w:t>. יום חקיקתו של חוק יסוד או תיקון לחוק יסוד אמור להיות "</w:t>
      </w:r>
      <w:r w:rsidRPr="00EA019F">
        <w:rPr>
          <w:rFonts w:ascii="Century" w:hAnsi="Century" w:cs="Miriam" w:hint="cs"/>
          <w:b/>
          <w:spacing w:val="0"/>
          <w:szCs w:val="24"/>
          <w:rtl/>
        </w:rPr>
        <w:t>יום חגיגי שבו הכנסת לובשת לבן ומצטחצחת בהתרגשות לקראת המאורע</w:t>
      </w:r>
      <w:r w:rsidRPr="00F60AAC">
        <w:rPr>
          <w:rFonts w:ascii="Century" w:hAnsi="Century" w:hint="cs"/>
          <w:rtl/>
        </w:rPr>
        <w:t xml:space="preserve">" (השופט </w:t>
      </w:r>
      <w:r w:rsidRPr="00EA019F">
        <w:rPr>
          <w:rFonts w:ascii="Century" w:hAnsi="Century" w:cs="Miriam" w:hint="cs"/>
          <w:b/>
          <w:spacing w:val="0"/>
          <w:szCs w:val="24"/>
          <w:rtl/>
        </w:rPr>
        <w:t>י' עמית</w:t>
      </w:r>
      <w:r w:rsidRPr="00EA019F">
        <w:rPr>
          <w:rFonts w:ascii="Century" w:hAnsi="Century" w:hint="cs"/>
          <w:rtl/>
        </w:rPr>
        <w:t xml:space="preserve"> </w:t>
      </w:r>
      <w:r w:rsidRPr="00F60AAC">
        <w:rPr>
          <w:rFonts w:ascii="Century" w:hAnsi="Century" w:hint="cs"/>
          <w:rtl/>
        </w:rPr>
        <w:t>ב-</w:t>
      </w:r>
      <w:r w:rsidRPr="00F60AAC">
        <w:rPr>
          <w:rFonts w:ascii="Century" w:hAnsi="Century"/>
          <w:rtl/>
        </w:rPr>
        <w:t>בג</w:t>
      </w:r>
      <w:r w:rsidRPr="00F60AAC">
        <w:rPr>
          <w:rFonts w:ascii="Century" w:hAnsi="Century" w:hint="cs"/>
          <w:rtl/>
        </w:rPr>
        <w:t>"</w:t>
      </w:r>
      <w:r w:rsidRPr="00F60AAC">
        <w:rPr>
          <w:rFonts w:ascii="Century" w:hAnsi="Century"/>
          <w:rtl/>
        </w:rPr>
        <w:t xml:space="preserve">ץ 5969/20 </w:t>
      </w:r>
      <w:r w:rsidRPr="00EA019F">
        <w:rPr>
          <w:rFonts w:ascii="Century" w:hAnsi="Century" w:cs="Miriam"/>
          <w:b/>
          <w:spacing w:val="0"/>
          <w:szCs w:val="24"/>
          <w:rtl/>
        </w:rPr>
        <w:t>שפיר נ' הכנסת</w:t>
      </w:r>
      <w:r w:rsidRPr="00F60AAC">
        <w:rPr>
          <w:rFonts w:ascii="Century" w:hAnsi="Century" w:hint="cs"/>
          <w:rtl/>
        </w:rPr>
        <w:t xml:space="preserve">, פסקה 4 (23.5.2021)). </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sidRPr="00F60AAC">
        <w:rPr>
          <w:rFonts w:ascii="Century" w:hAnsi="Century"/>
          <w:rtl/>
        </w:rPr>
        <w:lastRenderedPageBreak/>
        <w:tab/>
      </w:r>
      <w:r w:rsidRPr="00F60AAC">
        <w:rPr>
          <w:rFonts w:ascii="Century" w:hAnsi="Century" w:hint="cs"/>
          <w:rtl/>
        </w:rPr>
        <w:t xml:space="preserve">ואולם חקיקתו של התיקון לחוק היסוד רחוקה ממאפיינים אלה כרחוק מזרח ממערב. לא רק שהתיקון לחוק היסוד לא זכה להסכמה רחבה בכנסת, אלא שחקיקתו זרעה קרע ופילוג חסרי תקדים בחברה הישראלית. הוא עבר בקריאה שנייה ושלישית ברוב קואליציוני דחוק של 64 חברי כנסת, כאשר נציגי האופוזיציה נעדרו כולם מההצבעה כאקט של מחאה. מבחינת לוחות הזמנים וסדר הדיונים, חקיקתו של התיקון נעשתה בחיפזון, שלא לומר בחטף, באופן שאינו מתיישב עם הפעלה הולמת של הסמכות המכוננת. ספק אם השיח בוועדת החוקה הגיע לכדי מיצוי ואם נעשתה עבודת הכנה מקצועית ראויה, לא כל שכן בשים לב להשלכות הרוחב מרחיקות הלכת של התיקון. נוסף </w:t>
      </w:r>
      <w:r>
        <w:rPr>
          <w:rFonts w:ascii="Century" w:hAnsi="Century" w:hint="cs"/>
          <w:rtl/>
        </w:rPr>
        <w:t>ע</w:t>
      </w:r>
      <w:r w:rsidRPr="00F60AAC">
        <w:rPr>
          <w:rFonts w:ascii="Century" w:hAnsi="Century" w:hint="cs"/>
          <w:rtl/>
        </w:rPr>
        <w:t>ל</w:t>
      </w:r>
      <w:r>
        <w:rPr>
          <w:rFonts w:ascii="Century" w:hAnsi="Century" w:hint="cs"/>
          <w:rtl/>
        </w:rPr>
        <w:t xml:space="preserve"> </w:t>
      </w:r>
      <w:r w:rsidRPr="00F60AAC">
        <w:rPr>
          <w:rFonts w:ascii="Century" w:hAnsi="Century" w:hint="cs"/>
          <w:rtl/>
        </w:rPr>
        <w:t xml:space="preserve">כך, הצעת החוק קודמה כהצעת חוק שיזמה והכינה ועדת החוקה בהתאם לסעיף 80(א) לתקנון הכנסת </w:t>
      </w:r>
      <w:r w:rsidRPr="00F60AAC">
        <w:rPr>
          <w:rFonts w:ascii="Century" w:hAnsi="Century"/>
          <w:rtl/>
        </w:rPr>
        <w:t>–</w:t>
      </w:r>
      <w:r w:rsidRPr="00F60AAC">
        <w:rPr>
          <w:rFonts w:ascii="Century" w:hAnsi="Century" w:hint="cs"/>
          <w:rtl/>
        </w:rPr>
        <w:t xml:space="preserve"> הגם שמבחינה מהותית התיקון נולד כהצעת חוק פרטית. כך, כפי הנראה, על מנת "לדלג" על הפרוצדורה המתחייבת בהצעת חוק פרטית, הכוללת הצבעה בקריאה טרומית, המתנה של 45 ימים טרם הצבעה זו, וגיבוש עמדת </w:t>
      </w:r>
      <w:r>
        <w:rPr>
          <w:rFonts w:ascii="Century" w:hAnsi="Century" w:hint="cs"/>
          <w:rtl/>
        </w:rPr>
        <w:t>הממשלה</w:t>
      </w:r>
      <w:r w:rsidRPr="00F60AAC">
        <w:rPr>
          <w:rFonts w:ascii="Century" w:hAnsi="Century" w:hint="cs"/>
          <w:rtl/>
        </w:rPr>
        <w:t xml:space="preserve"> ביחס להצעה. מספר חסר תקדים של יותר מ-27,000 הסתייגויות </w:t>
      </w:r>
      <w:r>
        <w:rPr>
          <w:rFonts w:ascii="Century" w:hAnsi="Century" w:hint="cs"/>
          <w:rtl/>
        </w:rPr>
        <w:t>נרשם</w:t>
      </w:r>
      <w:r w:rsidRPr="00F60AAC">
        <w:rPr>
          <w:rFonts w:ascii="Century" w:hAnsi="Century" w:hint="cs"/>
          <w:rtl/>
        </w:rPr>
        <w:t xml:space="preserve"> לנוסח הצעת החוק שהוגש לוועדה </w:t>
      </w:r>
      <w:r w:rsidRPr="00F60AAC">
        <w:rPr>
          <w:rFonts w:ascii="Century" w:hAnsi="Century"/>
          <w:rtl/>
        </w:rPr>
        <w:t>–</w:t>
      </w:r>
      <w:r w:rsidRPr="00F60AAC">
        <w:rPr>
          <w:rFonts w:ascii="Century" w:hAnsi="Century" w:hint="cs"/>
          <w:rtl/>
        </w:rPr>
        <w:t xml:space="preserve"> אך הסתייגויות אלה נדונו במתווה מקוצר שקבע יו"ר ועדת החוקה, במשך שלושה דיונים בלבד, שבסופם נדחו כולן. </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Pr>
          <w:rFonts w:ascii="Century" w:hAnsi="Century"/>
          <w:rtl/>
        </w:rPr>
        <w:tab/>
      </w:r>
      <w:r w:rsidRPr="00F60AAC">
        <w:rPr>
          <w:rFonts w:ascii="Century" w:hAnsi="Century" w:hint="cs"/>
          <w:rtl/>
        </w:rPr>
        <w:t xml:space="preserve">אבהיר, כי </w:t>
      </w:r>
      <w:r w:rsidRPr="00AF5054">
        <w:rPr>
          <w:rFonts w:ascii="Century" w:hAnsi="Century" w:cs="Miriam" w:hint="cs"/>
          <w:b/>
          <w:spacing w:val="0"/>
          <w:szCs w:val="24"/>
          <w:rtl/>
        </w:rPr>
        <w:t>לא</w:t>
      </w:r>
      <w:r w:rsidRPr="00AF5054">
        <w:rPr>
          <w:rFonts w:ascii="Century" w:hAnsi="Century" w:hint="cs"/>
          <w:rtl/>
        </w:rPr>
        <w:t xml:space="preserve"> </w:t>
      </w:r>
      <w:r w:rsidRPr="00F60AAC">
        <w:rPr>
          <w:rFonts w:ascii="Century" w:hAnsi="Century" w:hint="cs"/>
          <w:rtl/>
        </w:rPr>
        <w:t xml:space="preserve">בשל פגמים אלה סבורתני כי יש להורות על בטלותו של התיקון </w:t>
      </w:r>
      <w:r w:rsidRPr="00F60AAC">
        <w:rPr>
          <w:rFonts w:ascii="Century" w:hAnsi="Century"/>
          <w:rtl/>
        </w:rPr>
        <w:t>–</w:t>
      </w:r>
      <w:r w:rsidRPr="00F60AAC">
        <w:rPr>
          <w:rFonts w:ascii="Century" w:hAnsi="Century" w:hint="cs"/>
          <w:rtl/>
        </w:rPr>
        <w:t xml:space="preserve"> אף על פי שניכר כי הליך כינונו לא הולם את המהות החוקתית הטבועה בחקיקת יסוד. אם הארכתי ב</w:t>
      </w:r>
      <w:r>
        <w:rPr>
          <w:rFonts w:ascii="Century" w:hAnsi="Century" w:hint="cs"/>
          <w:rtl/>
        </w:rPr>
        <w:t>התייחסותי להליכי החקיקה, היה זה</w:t>
      </w:r>
      <w:r w:rsidRPr="00F60AAC">
        <w:rPr>
          <w:rFonts w:ascii="Century" w:hAnsi="Century" w:hint="cs"/>
          <w:rtl/>
        </w:rPr>
        <w:t xml:space="preserve"> אפוא משום שמהלך חריג זה צובע בצבעים עזים את הנזקים הגלומים בתיקון </w:t>
      </w:r>
      <w:r>
        <w:rPr>
          <w:rFonts w:ascii="Century" w:hAnsi="Century" w:hint="cs"/>
          <w:rtl/>
        </w:rPr>
        <w:t xml:space="preserve">לחוק היסוד. נוסף על זאת, מהלך החקיקה </w:t>
      </w:r>
      <w:r w:rsidRPr="00F60AAC">
        <w:rPr>
          <w:rFonts w:ascii="Century" w:hAnsi="Century" w:hint="cs"/>
          <w:rtl/>
        </w:rPr>
        <w:t>מהווה נדבך משמעותי בפרשנותו</w:t>
      </w:r>
      <w:r>
        <w:rPr>
          <w:rFonts w:ascii="Century" w:hAnsi="Century" w:hint="cs"/>
          <w:rtl/>
        </w:rPr>
        <w:t xml:space="preserve"> של התיקון לחוק היסוד </w:t>
      </w:r>
      <w:r>
        <w:rPr>
          <w:rFonts w:ascii="Century" w:hAnsi="Century"/>
          <w:rtl/>
        </w:rPr>
        <w:t>–</w:t>
      </w:r>
      <w:r>
        <w:rPr>
          <w:rFonts w:ascii="Century" w:hAnsi="Century" w:hint="cs"/>
          <w:rtl/>
        </w:rPr>
        <w:t xml:space="preserve"> סוגיה שאליה אדרש עתה</w:t>
      </w:r>
      <w:r w:rsidRPr="00F60AAC">
        <w:rPr>
          <w:rFonts w:ascii="Century" w:hAnsi="Century" w:hint="cs"/>
          <w:rtl/>
        </w:rPr>
        <w:t xml:space="preserve">. </w:t>
      </w:r>
    </w:p>
    <w:p w:rsidR="00AC74AF" w:rsidRDefault="00AC74AF" w:rsidP="00AC74AF">
      <w:pPr>
        <w:pStyle w:val="Ruller41"/>
        <w:spacing w:line="240" w:lineRule="auto"/>
        <w:rPr>
          <w:rFonts w:ascii="Century" w:hAnsi="Century"/>
          <w:rtl/>
        </w:rPr>
      </w:pPr>
    </w:p>
    <w:p w:rsidR="00AC74AF" w:rsidRPr="00EA019F" w:rsidRDefault="00AC74AF" w:rsidP="00AC74AF">
      <w:pPr>
        <w:pStyle w:val="Ruller41"/>
        <w:rPr>
          <w:rFonts w:ascii="Century" w:hAnsi="Century" w:cs="Miriam"/>
          <w:b/>
          <w:spacing w:val="0"/>
          <w:szCs w:val="24"/>
          <w:rtl/>
        </w:rPr>
      </w:pPr>
      <w:r w:rsidRPr="00EA019F">
        <w:rPr>
          <w:rFonts w:ascii="Century" w:hAnsi="Century" w:cs="Miriam"/>
          <w:b/>
          <w:spacing w:val="0"/>
          <w:szCs w:val="24"/>
          <w:rtl/>
        </w:rPr>
        <w:t>פרשנות התיקון לחוק היסוד</w:t>
      </w:r>
    </w:p>
    <w:p w:rsidR="00AC74AF" w:rsidRPr="00EA019F" w:rsidRDefault="00AC74AF" w:rsidP="00AC74AF">
      <w:pPr>
        <w:pStyle w:val="Ruller41"/>
        <w:spacing w:line="240" w:lineRule="auto"/>
        <w:rPr>
          <w:rFonts w:ascii="Century" w:hAnsi="Century"/>
          <w:rtl/>
        </w:rPr>
      </w:pPr>
    </w:p>
    <w:p w:rsidR="00AC74AF" w:rsidRDefault="00AC74AF" w:rsidP="00AC74AF">
      <w:pPr>
        <w:pStyle w:val="Ruller41"/>
        <w:rPr>
          <w:rFonts w:ascii="Century" w:hAnsi="Century"/>
          <w:rtl/>
        </w:rPr>
      </w:pPr>
      <w:r>
        <w:rPr>
          <w:rFonts w:ascii="Century" w:hAnsi="Century" w:hint="cs"/>
          <w:rtl/>
        </w:rPr>
        <w:t>19.</w:t>
      </w:r>
      <w:r>
        <w:rPr>
          <w:rFonts w:ascii="Century" w:hAnsi="Century" w:hint="cs"/>
          <w:rtl/>
        </w:rPr>
        <w:tab/>
        <w:t xml:space="preserve">הכנסת מציעה לנו לאמץ פרשנות מקיימת של התיקון לחוק היסוד, שלפיה התיקון לא נועד לבטל כליל את השימוש בעילת הסבירות ביחס להחלטות הממשלה </w:t>
      </w:r>
      <w:r>
        <w:rPr>
          <w:rFonts w:ascii="Century" w:hAnsi="Century"/>
          <w:rtl/>
        </w:rPr>
        <w:t>–</w:t>
      </w:r>
      <w:r>
        <w:rPr>
          <w:rFonts w:ascii="Century" w:hAnsi="Century" w:hint="cs"/>
          <w:rtl/>
        </w:rPr>
        <w:t xml:space="preserve"> אלא "רק" את הסבירות האיזונית; קרי: הסבירות המסורתית נותרה על מכונה וניתן לעשות בה שימוש לצורך ביקורת שיפוטית על החלטות מופרכות או בלתי מתקבלות על הדעת. עמדה פרשנית זו נסמכת בעיקרה על דברי ההסבר לתיקון לחוק היסוד. לפי הנטען, דברי ההסבר מלמדים כי כוונת המחוקק הייתה להחזיר את הביקורת השיפוטית בעילת הסבירות למידותיה ערב פסק הדין בעניין </w:t>
      </w:r>
      <w:r w:rsidRPr="00D30E36">
        <w:rPr>
          <w:rFonts w:ascii="Century" w:hAnsi="Century" w:cs="Miriam" w:hint="cs"/>
          <w:b/>
          <w:spacing w:val="0"/>
          <w:szCs w:val="24"/>
          <w:rtl/>
        </w:rPr>
        <w:t>דפי זהב</w:t>
      </w:r>
      <w:r>
        <w:rPr>
          <w:rFonts w:ascii="Century" w:hAnsi="Century" w:cs="Miriam" w:hint="cs"/>
          <w:b/>
          <w:spacing w:val="0"/>
          <w:szCs w:val="24"/>
          <w:rtl/>
        </w:rPr>
        <w:t xml:space="preserve"> </w:t>
      </w:r>
      <w:r w:rsidRPr="00D30E36">
        <w:rPr>
          <w:rFonts w:ascii="Century" w:hAnsi="Century" w:hint="cs"/>
          <w:rtl/>
        </w:rPr>
        <w:t>(להלן:</w:t>
      </w:r>
      <w:r w:rsidRPr="00D30E36">
        <w:rPr>
          <w:rFonts w:ascii="Century" w:hAnsi="Century" w:cs="Miriam" w:hint="cs"/>
          <w:b/>
          <w:spacing w:val="0"/>
          <w:szCs w:val="24"/>
          <w:rtl/>
        </w:rPr>
        <w:t xml:space="preserve"> </w:t>
      </w:r>
      <w:r>
        <w:rPr>
          <w:rFonts w:ascii="Century" w:hAnsi="Century" w:cs="Miriam" w:hint="cs"/>
          <w:b/>
          <w:spacing w:val="0"/>
          <w:szCs w:val="24"/>
          <w:rtl/>
        </w:rPr>
        <w:t>הפרשנות המקיימת</w:t>
      </w:r>
      <w:r w:rsidRPr="00D30E36">
        <w:rPr>
          <w:rFonts w:ascii="Century" w:hAnsi="Century" w:hint="cs"/>
          <w:rtl/>
        </w:rPr>
        <w:t>).</w:t>
      </w:r>
      <w:r>
        <w:rPr>
          <w:rFonts w:ascii="Century" w:hAnsi="Century" w:hint="cs"/>
          <w:rtl/>
        </w:rPr>
        <w:t xml:space="preserve"> וכך צוין בדברי ההסבר: </w:t>
      </w:r>
    </w:p>
    <w:p w:rsidR="00AC74AF" w:rsidRPr="00EA019F" w:rsidRDefault="00AC74AF" w:rsidP="00AC74AF">
      <w:pPr>
        <w:pStyle w:val="Ruller41"/>
        <w:spacing w:line="240" w:lineRule="auto"/>
        <w:rPr>
          <w:rFonts w:ascii="Century" w:hAnsi="Century"/>
          <w:rtl/>
        </w:rPr>
      </w:pPr>
    </w:p>
    <w:p w:rsidR="00AC74AF" w:rsidRPr="00EA019F" w:rsidRDefault="00AC74AF" w:rsidP="00AC74AF">
      <w:pPr>
        <w:pStyle w:val="Ruller5"/>
        <w:rPr>
          <w:rtl/>
        </w:rPr>
      </w:pPr>
      <w:r w:rsidRPr="00EA019F">
        <w:rPr>
          <w:rtl/>
        </w:rPr>
        <w:t xml:space="preserve">"כיום עילה זו מאפשרת לבית המשפט לפסול החלטה מינהלית </w:t>
      </w:r>
      <w:r w:rsidRPr="00D30E36">
        <w:rPr>
          <w:rFonts w:ascii="Century" w:hAnsi="Century" w:cs="Miriam"/>
          <w:b/>
          <w:spacing w:val="0"/>
          <w:szCs w:val="24"/>
          <w:rtl/>
        </w:rPr>
        <w:t xml:space="preserve">הלוקה בחוסר סבירות במובן זה שהיא אינה נותנת 'משקל ראוי לאינטרסים השונים שעל הרשות המינהלית </w:t>
      </w:r>
      <w:r w:rsidRPr="00D30E36">
        <w:rPr>
          <w:rFonts w:ascii="Century" w:hAnsi="Century" w:cs="Miriam"/>
          <w:b/>
          <w:spacing w:val="0"/>
          <w:szCs w:val="24"/>
          <w:rtl/>
        </w:rPr>
        <w:lastRenderedPageBreak/>
        <w:t>להתחשב בהם בהחלטתה' (בג"ץ 389/80 דפי זהב בע"מ נ' רשות השידור, פ"ד לה(1) 421, 437 (1980)),</w:t>
      </w:r>
      <w:r w:rsidRPr="00EA019F">
        <w:rPr>
          <w:rtl/>
        </w:rPr>
        <w:t xml:space="preserve"> וזאת כשמדובר ב'חוסר </w:t>
      </w:r>
      <w:r>
        <w:rPr>
          <w:rtl/>
        </w:rPr>
        <w:t>סבירות מהותי או קיצוני' (שם, שם</w:t>
      </w:r>
      <w:r>
        <w:rPr>
          <w:rFonts w:hint="cs"/>
          <w:rtl/>
        </w:rPr>
        <w:t>)</w:t>
      </w:r>
      <w:r w:rsidRPr="00EA019F">
        <w:rPr>
          <w:rtl/>
        </w:rPr>
        <w:t xml:space="preserve">. על השימוש בעילת הסבירות </w:t>
      </w:r>
      <w:r w:rsidRPr="00D30E36">
        <w:rPr>
          <w:rFonts w:ascii="Century" w:hAnsi="Century" w:cs="Miriam"/>
          <w:b/>
          <w:spacing w:val="0"/>
          <w:szCs w:val="24"/>
          <w:rtl/>
        </w:rPr>
        <w:t>במובנה זה</w:t>
      </w:r>
      <w:r w:rsidRPr="00EA019F">
        <w:rPr>
          <w:rtl/>
        </w:rPr>
        <w:t xml:space="preserve">, ובפרט על החלת עילת הסבירות בנוגע להחלטות של הדרג הנבחר, נטען בין היתר כי קביעת האיזון הערכי בין השיקולים השונים הנוגעים להחלטה מינהלית צריכה להיות נתונה לנבחרי הציבור ולא לבית המשפט" </w:t>
      </w:r>
      <w:r>
        <w:rPr>
          <w:rFonts w:hint="cs"/>
          <w:rtl/>
        </w:rPr>
        <w:t xml:space="preserve">(ההדגשות שלי-ע'ב') </w:t>
      </w:r>
      <w:r w:rsidRPr="00EA019F">
        <w:rPr>
          <w:rtl/>
        </w:rPr>
        <w:t>(הצעת חוק-יסוד: השפיטה (תיקון מס' 5) (עילת הסבירות), ה"ח הכנסת התשפ"ג 110</w:t>
      </w:r>
      <w:r>
        <w:rPr>
          <w:rFonts w:hint="cs"/>
          <w:rtl/>
        </w:rPr>
        <w:t xml:space="preserve">; להלן: </w:t>
      </w:r>
      <w:r w:rsidRPr="00033324">
        <w:rPr>
          <w:rFonts w:ascii="Century" w:hAnsi="Century" w:cs="Miriam" w:hint="cs"/>
          <w:b/>
          <w:spacing w:val="0"/>
          <w:szCs w:val="24"/>
          <w:rtl/>
        </w:rPr>
        <w:t>דברי ההסבר</w:t>
      </w:r>
      <w:r w:rsidRPr="00EA019F">
        <w:rPr>
          <w:rtl/>
        </w:rPr>
        <w:t xml:space="preserve">). </w:t>
      </w:r>
    </w:p>
    <w:p w:rsidR="00AC74AF" w:rsidRDefault="00AC74AF" w:rsidP="00AC74AF">
      <w:pPr>
        <w:pStyle w:val="Ruller41"/>
        <w:rPr>
          <w:rFonts w:ascii="Century" w:hAnsi="Century"/>
          <w:rtl/>
        </w:rPr>
      </w:pPr>
    </w:p>
    <w:p w:rsidR="00AC74AF" w:rsidRDefault="00AC74AF" w:rsidP="00AC74AF">
      <w:pPr>
        <w:pStyle w:val="Ruller41"/>
        <w:rPr>
          <w:rFonts w:ascii="Century" w:hAnsi="Century"/>
          <w:rtl/>
        </w:rPr>
      </w:pPr>
      <w:r>
        <w:rPr>
          <w:rFonts w:ascii="Century" w:hAnsi="Century"/>
          <w:rtl/>
        </w:rPr>
        <w:tab/>
      </w:r>
      <w:r>
        <w:rPr>
          <w:rFonts w:ascii="Century" w:hAnsi="Century" w:hint="cs"/>
          <w:rtl/>
        </w:rPr>
        <w:t>על פי הפרשנות המקיימת, דברי ההסבר מלמדים כי התיקון לחוק נדרש על רקע הביקורת בנוגע לשימוש בעילת הסבירות "</w:t>
      </w:r>
      <w:r w:rsidRPr="00551CB9">
        <w:rPr>
          <w:rFonts w:ascii="Century" w:hAnsi="Century" w:cs="Miriam" w:hint="cs"/>
          <w:b/>
          <w:spacing w:val="0"/>
          <w:szCs w:val="24"/>
          <w:rtl/>
        </w:rPr>
        <w:t>במובנה זה</w:t>
      </w:r>
      <w:r>
        <w:rPr>
          <w:rFonts w:ascii="Century" w:hAnsi="Century" w:hint="cs"/>
          <w:rtl/>
        </w:rPr>
        <w:t>",</w:t>
      </w:r>
      <w:r w:rsidRPr="00EA019F">
        <w:rPr>
          <w:rFonts w:ascii="Century" w:hAnsi="Century"/>
          <w:rtl/>
        </w:rPr>
        <w:t xml:space="preserve"> </w:t>
      </w:r>
      <w:r>
        <w:rPr>
          <w:rFonts w:ascii="Century" w:hAnsi="Century" w:hint="cs"/>
          <w:rtl/>
        </w:rPr>
        <w:t xml:space="preserve">תוך הפניה לעניין </w:t>
      </w:r>
      <w:r w:rsidRPr="00551CB9">
        <w:rPr>
          <w:rFonts w:ascii="Century" w:hAnsi="Century" w:cs="Miriam" w:hint="cs"/>
          <w:b/>
          <w:spacing w:val="0"/>
          <w:szCs w:val="24"/>
          <w:rtl/>
        </w:rPr>
        <w:t>דפי זהב</w:t>
      </w:r>
      <w:r w:rsidRPr="00551CB9">
        <w:rPr>
          <w:rFonts w:ascii="Century" w:hAnsi="Century" w:hint="cs"/>
          <w:rtl/>
        </w:rPr>
        <w:t xml:space="preserve"> </w:t>
      </w:r>
      <w:r>
        <w:rPr>
          <w:rFonts w:ascii="Century" w:hAnsi="Century"/>
          <w:rtl/>
        </w:rPr>
        <w:t>–</w:t>
      </w:r>
      <w:r>
        <w:rPr>
          <w:rFonts w:ascii="Century" w:hAnsi="Century" w:hint="cs"/>
          <w:rtl/>
        </w:rPr>
        <w:t xml:space="preserve"> ומכאן שהכוונה היא לסבירות האיזונית. </w:t>
      </w:r>
      <w:r>
        <w:rPr>
          <w:rFonts w:ascii="Century" w:hAnsi="Century"/>
          <w:rtl/>
        </w:rPr>
        <w:t xml:space="preserve">פרשנות זו מקובלת על </w:t>
      </w:r>
      <w:r>
        <w:rPr>
          <w:rFonts w:ascii="Century" w:hAnsi="Century" w:hint="cs"/>
          <w:rtl/>
        </w:rPr>
        <w:t xml:space="preserve">חבריי השופט </w:t>
      </w:r>
      <w:r w:rsidRPr="00EB12B0">
        <w:rPr>
          <w:rFonts w:ascii="Century" w:hAnsi="Century" w:cs="Miriam" w:hint="cs"/>
          <w:b/>
          <w:spacing w:val="0"/>
          <w:szCs w:val="24"/>
          <w:rtl/>
        </w:rPr>
        <w:t>אלכס שטיין</w:t>
      </w:r>
      <w:r>
        <w:rPr>
          <w:rFonts w:ascii="Century" w:hAnsi="Century" w:hint="cs"/>
          <w:rtl/>
        </w:rPr>
        <w:t xml:space="preserve">, השופטת </w:t>
      </w:r>
      <w:r w:rsidRPr="00EB12B0">
        <w:rPr>
          <w:rFonts w:ascii="Century" w:hAnsi="Century" w:cs="Miriam" w:hint="cs"/>
          <w:b/>
          <w:spacing w:val="0"/>
          <w:szCs w:val="24"/>
          <w:rtl/>
        </w:rPr>
        <w:t>יעל וילנר</w:t>
      </w:r>
      <w:r w:rsidRPr="00EB12B0">
        <w:rPr>
          <w:rFonts w:ascii="Century" w:hAnsi="Century" w:hint="cs"/>
          <w:rtl/>
        </w:rPr>
        <w:t xml:space="preserve"> </w:t>
      </w:r>
      <w:r>
        <w:rPr>
          <w:rFonts w:ascii="Century" w:hAnsi="Century" w:hint="cs"/>
          <w:rtl/>
        </w:rPr>
        <w:t xml:space="preserve">והשופטת </w:t>
      </w:r>
      <w:r w:rsidRPr="00EB12B0">
        <w:rPr>
          <w:rFonts w:ascii="Century" w:hAnsi="Century" w:cs="Miriam" w:hint="cs"/>
          <w:b/>
          <w:spacing w:val="0"/>
          <w:szCs w:val="24"/>
          <w:rtl/>
        </w:rPr>
        <w:t>גילה כנפי-שטייניץ</w:t>
      </w:r>
      <w:r>
        <w:rPr>
          <w:rFonts w:ascii="Century" w:hAnsi="Century" w:hint="cs"/>
          <w:rtl/>
        </w:rPr>
        <w:t>, כל אחד מטעמיו</w:t>
      </w:r>
      <w:r w:rsidRPr="00EA019F">
        <w:rPr>
          <w:rFonts w:ascii="Century" w:hAnsi="Century"/>
          <w:rtl/>
        </w:rPr>
        <w:t xml:space="preserve">; ואולם לעמדתי </w:t>
      </w:r>
      <w:r>
        <w:rPr>
          <w:rFonts w:ascii="Century" w:hAnsi="Century" w:hint="cs"/>
          <w:rtl/>
        </w:rPr>
        <w:t>מדובר ב</w:t>
      </w:r>
      <w:r>
        <w:rPr>
          <w:rFonts w:ascii="Century" w:hAnsi="Century"/>
          <w:rtl/>
        </w:rPr>
        <w:t xml:space="preserve">מהלך פרשני </w:t>
      </w:r>
      <w:r w:rsidRPr="00EA019F">
        <w:rPr>
          <w:rFonts w:ascii="Century" w:hAnsi="Century"/>
          <w:rtl/>
        </w:rPr>
        <w:t>חסר אחיזה בטקסט החוקתי ובתכלית הסובייקטיבית שלו</w:t>
      </w:r>
      <w:r>
        <w:rPr>
          <w:rFonts w:ascii="Century" w:hAnsi="Century" w:hint="cs"/>
          <w:rtl/>
        </w:rPr>
        <w:t>,</w:t>
      </w:r>
      <w:r w:rsidRPr="00EA019F">
        <w:rPr>
          <w:rFonts w:ascii="Century" w:hAnsi="Century"/>
          <w:rtl/>
        </w:rPr>
        <w:t xml:space="preserve"> ולכן אין לו תקומה. </w:t>
      </w:r>
      <w:r>
        <w:rPr>
          <w:rFonts w:ascii="Century" w:hAnsi="Century" w:hint="cs"/>
          <w:rtl/>
        </w:rPr>
        <w:t>ואבאר.</w:t>
      </w:r>
    </w:p>
    <w:p w:rsidR="00AC74AF" w:rsidRDefault="00AC74AF" w:rsidP="00AC74AF">
      <w:pPr>
        <w:pStyle w:val="Ruller41"/>
        <w:rPr>
          <w:rFonts w:ascii="Century" w:hAnsi="Century"/>
          <w:rtl/>
        </w:rPr>
      </w:pPr>
    </w:p>
    <w:p w:rsidR="00AC74AF" w:rsidRDefault="00AC74AF" w:rsidP="00AC74AF">
      <w:pPr>
        <w:pStyle w:val="Ruller41"/>
        <w:rPr>
          <w:rFonts w:ascii="Century" w:hAnsi="Century"/>
          <w:rtl/>
        </w:rPr>
      </w:pPr>
      <w:r>
        <w:rPr>
          <w:rFonts w:ascii="Century" w:hAnsi="Century" w:hint="cs"/>
          <w:rtl/>
        </w:rPr>
        <w:t>20.</w:t>
      </w:r>
      <w:r>
        <w:rPr>
          <w:rFonts w:ascii="Century" w:hAnsi="Century" w:hint="cs"/>
          <w:rtl/>
        </w:rPr>
        <w:tab/>
        <w:t xml:space="preserve">ראשית, הפרשנות המקיימת יוצאת מנקודת הנחה שלפיה המצב המשפטי ערב פסק הדין בעניין </w:t>
      </w:r>
      <w:r w:rsidRPr="00551CB9">
        <w:rPr>
          <w:rFonts w:ascii="Century" w:hAnsi="Century" w:cs="Miriam" w:hint="cs"/>
          <w:b/>
          <w:spacing w:val="0"/>
          <w:szCs w:val="24"/>
          <w:rtl/>
        </w:rPr>
        <w:t>דפי זהב</w:t>
      </w:r>
      <w:r w:rsidRPr="00551CB9">
        <w:rPr>
          <w:rFonts w:ascii="Century" w:hAnsi="Century" w:hint="cs"/>
          <w:rtl/>
        </w:rPr>
        <w:t xml:space="preserve"> </w:t>
      </w:r>
      <w:r>
        <w:rPr>
          <w:rFonts w:ascii="Century" w:hAnsi="Century" w:hint="cs"/>
          <w:rtl/>
        </w:rPr>
        <w:t xml:space="preserve">היה שונה באופן חד וברור מהמצב ביום שלאחר פסק הדין </w:t>
      </w:r>
      <w:r>
        <w:rPr>
          <w:rFonts w:ascii="Century" w:hAnsi="Century"/>
          <w:rtl/>
        </w:rPr>
        <w:t>–</w:t>
      </w:r>
      <w:r>
        <w:rPr>
          <w:rFonts w:ascii="Century" w:hAnsi="Century" w:hint="cs"/>
          <w:rtl/>
        </w:rPr>
        <w:t xml:space="preserve"> אך דומני כי תיאור זה חוטא לאופן שבו התפתחה העילה בפסיקת בית משפט זה. אמנם אין חולק כי עניין </w:t>
      </w:r>
      <w:r w:rsidRPr="00753950">
        <w:rPr>
          <w:rFonts w:ascii="Century" w:hAnsi="Century" w:cs="Miriam" w:hint="cs"/>
          <w:b/>
          <w:spacing w:val="0"/>
          <w:szCs w:val="24"/>
          <w:rtl/>
        </w:rPr>
        <w:t>דפי זהב</w:t>
      </w:r>
      <w:r w:rsidRPr="00753950">
        <w:rPr>
          <w:rFonts w:ascii="Century" w:hAnsi="Century" w:hint="cs"/>
          <w:rtl/>
        </w:rPr>
        <w:t xml:space="preserve"> </w:t>
      </w:r>
      <w:r>
        <w:rPr>
          <w:rFonts w:ascii="Century" w:hAnsi="Century" w:hint="cs"/>
          <w:rtl/>
        </w:rPr>
        <w:t xml:space="preserve">מהווה אבן דרך משמעותית בהתפתחות שחלה בפסיקה ביחס לעילת הסבירות </w:t>
      </w:r>
      <w:r>
        <w:rPr>
          <w:rFonts w:ascii="Century" w:hAnsi="Century"/>
          <w:rtl/>
        </w:rPr>
        <w:t>–</w:t>
      </w:r>
      <w:r>
        <w:rPr>
          <w:rFonts w:ascii="Century" w:hAnsi="Century" w:hint="cs"/>
          <w:rtl/>
        </w:rPr>
        <w:t xml:space="preserve"> ואולם לא ניתן לסמנו כ"קו פרשת מים" ביחס לשימוש בסבירות האיזונית. השופטת </w:t>
      </w:r>
      <w:r w:rsidRPr="002A120D">
        <w:rPr>
          <w:rFonts w:ascii="Century" w:hAnsi="Century" w:cs="Miriam" w:hint="cs"/>
          <w:b/>
          <w:spacing w:val="0"/>
          <w:szCs w:val="24"/>
          <w:rtl/>
        </w:rPr>
        <w:t>רונן</w:t>
      </w:r>
      <w:r w:rsidRPr="002A120D">
        <w:rPr>
          <w:rFonts w:ascii="Century" w:hAnsi="Century" w:hint="cs"/>
          <w:rtl/>
        </w:rPr>
        <w:t xml:space="preserve"> </w:t>
      </w:r>
      <w:r>
        <w:rPr>
          <w:rFonts w:ascii="Century" w:hAnsi="Century" w:hint="cs"/>
          <w:rtl/>
        </w:rPr>
        <w:t xml:space="preserve">הדגימה והבהירה בחוות דעתה כי פסק הדין בעניין </w:t>
      </w:r>
      <w:r w:rsidRPr="002A120D">
        <w:rPr>
          <w:rFonts w:ascii="Century" w:hAnsi="Century" w:cs="Miriam" w:hint="cs"/>
          <w:b/>
          <w:spacing w:val="0"/>
          <w:szCs w:val="24"/>
          <w:rtl/>
        </w:rPr>
        <w:t>דפי זהב</w:t>
      </w:r>
      <w:r w:rsidRPr="002A120D">
        <w:rPr>
          <w:rFonts w:ascii="Century" w:hAnsi="Century" w:hint="cs"/>
          <w:rtl/>
        </w:rPr>
        <w:t xml:space="preserve"> </w:t>
      </w:r>
      <w:r>
        <w:rPr>
          <w:rFonts w:ascii="Century" w:hAnsi="Century" w:hint="cs"/>
          <w:rtl/>
        </w:rPr>
        <w:t>לא שינה באורח מהותי את אמת המידה שבה בחנו בתי המשפט את סבירותן של החלטות מינהליות כבר קודם לכן, אלא "</w:t>
      </w:r>
      <w:r w:rsidRPr="00661CB8">
        <w:rPr>
          <w:rFonts w:ascii="Century" w:hAnsi="Century" w:cs="Miriam" w:hint="cs"/>
          <w:b/>
          <w:spacing w:val="0"/>
          <w:szCs w:val="24"/>
          <w:rtl/>
        </w:rPr>
        <w:t>היווה רק חוליה אחת בשרשרת הדרגתית של התפתחות פסיקתית</w:t>
      </w:r>
      <w:r>
        <w:rPr>
          <w:rFonts w:ascii="Century" w:hAnsi="Century" w:hint="cs"/>
          <w:rtl/>
        </w:rPr>
        <w:t xml:space="preserve">" (בפסקה 15 לחוות דעתה); ואני מסכימה עימה. בעמדה דומה מחזיק פרופ' יצחק זמיר: </w:t>
      </w:r>
    </w:p>
    <w:p w:rsidR="00AC74AF" w:rsidRPr="00EA019F" w:rsidRDefault="00AC74AF" w:rsidP="00AC74AF">
      <w:pPr>
        <w:pStyle w:val="Ruller41"/>
        <w:spacing w:line="240" w:lineRule="auto"/>
        <w:rPr>
          <w:rFonts w:ascii="Century" w:hAnsi="Century"/>
          <w:rtl/>
        </w:rPr>
      </w:pPr>
    </w:p>
    <w:p w:rsidR="00AC74AF" w:rsidRPr="00EA019F" w:rsidRDefault="00AC74AF" w:rsidP="00AC74AF">
      <w:pPr>
        <w:pStyle w:val="Ruller5"/>
        <w:rPr>
          <w:rtl/>
        </w:rPr>
      </w:pPr>
      <w:r w:rsidRPr="00EA019F">
        <w:rPr>
          <w:rtl/>
        </w:rPr>
        <w:t>"</w:t>
      </w:r>
      <w:r>
        <w:rPr>
          <w:rFonts w:hint="cs"/>
          <w:rtl/>
        </w:rPr>
        <w:t>...</w:t>
      </w:r>
      <w:r w:rsidRPr="00EA019F">
        <w:rPr>
          <w:rtl/>
        </w:rPr>
        <w:t>מאז שנות החמישים נהג בית המשפט לפסול החלטות מינהליות גם כאשר הפגם היחיד שנפל בהחלטה היה מתן משקל בלתי ראוי לשיקול מסוים. לכן ברור שבית המשפט לא יצר, ואף לא התיימר ליצור מובן חדש לעילת הסבירות או עילת ביקורת חדשה, לא בפסק דין דקה משנת 1976 ואף לא בפסק דין דפי זהב משנת 1980. אכן, בפסקי דין אלה בית המשפט לא המציא את הגלגל, אלא רק הסיר ממנו את העטיפה שהסתירה אותו: הוא לא יצר עילה 'חדשה' לצד העילה 'הישנה', אלא רק הבהיר שעילת הסבירות מורכבת מאז ומתמיד משתי עילות, כלומר, ע</w:t>
      </w:r>
      <w:r>
        <w:rPr>
          <w:rtl/>
        </w:rPr>
        <w:t>ילת החלטה ועילת שיקול הדעת (</w:t>
      </w:r>
      <w:r w:rsidRPr="00B30CCD">
        <w:rPr>
          <w:rFonts w:ascii="Century" w:hAnsi="Century" w:cs="Miriam"/>
          <w:b/>
          <w:spacing w:val="0"/>
          <w:szCs w:val="24"/>
          <w:rtl/>
        </w:rPr>
        <w:t>זמיר</w:t>
      </w:r>
      <w:r w:rsidRPr="00B30CCD">
        <w:rPr>
          <w:rtl/>
        </w:rPr>
        <w:t xml:space="preserve"> </w:t>
      </w:r>
      <w:r>
        <w:rPr>
          <w:rtl/>
        </w:rPr>
        <w:t>3560-3559</w:t>
      </w:r>
      <w:r w:rsidRPr="00EA019F">
        <w:rPr>
          <w:rtl/>
        </w:rPr>
        <w:t>).</w:t>
      </w:r>
    </w:p>
    <w:p w:rsidR="00AC74AF" w:rsidRDefault="00AC74AF" w:rsidP="00AC74AF">
      <w:pPr>
        <w:pStyle w:val="Ruller41"/>
        <w:rPr>
          <w:rFonts w:ascii="Century" w:hAnsi="Century"/>
          <w:rtl/>
        </w:rPr>
      </w:pPr>
    </w:p>
    <w:p w:rsidR="00AC74AF" w:rsidRDefault="00AC74AF" w:rsidP="00AC74AF">
      <w:pPr>
        <w:pStyle w:val="Ruller41"/>
        <w:rPr>
          <w:rFonts w:ascii="Century" w:hAnsi="Century"/>
          <w:rtl/>
        </w:rPr>
      </w:pPr>
      <w:r>
        <w:rPr>
          <w:rFonts w:ascii="Century" w:hAnsi="Century"/>
          <w:rtl/>
        </w:rPr>
        <w:lastRenderedPageBreak/>
        <w:tab/>
      </w:r>
      <w:r>
        <w:rPr>
          <w:rFonts w:ascii="Century" w:hAnsi="Century" w:hint="cs"/>
          <w:rtl/>
        </w:rPr>
        <w:t xml:space="preserve">הנה כי כן, פסק הדין בעניין </w:t>
      </w:r>
      <w:r w:rsidRPr="002A120D">
        <w:rPr>
          <w:rFonts w:ascii="Century" w:hAnsi="Century" w:cs="Miriam" w:hint="cs"/>
          <w:b/>
          <w:spacing w:val="0"/>
          <w:szCs w:val="24"/>
          <w:rtl/>
        </w:rPr>
        <w:t>דפי זהב</w:t>
      </w:r>
      <w:r w:rsidRPr="002A120D">
        <w:rPr>
          <w:rFonts w:ascii="Century" w:hAnsi="Century" w:hint="cs"/>
          <w:rtl/>
        </w:rPr>
        <w:t xml:space="preserve"> </w:t>
      </w:r>
      <w:r>
        <w:rPr>
          <w:rFonts w:ascii="Century" w:hAnsi="Century" w:hint="cs"/>
          <w:rtl/>
        </w:rPr>
        <w:t xml:space="preserve">לא יצר יש מאין עילת ביקורת חדשה </w:t>
      </w:r>
      <w:r>
        <w:rPr>
          <w:rFonts w:ascii="Century" w:hAnsi="Century"/>
          <w:rtl/>
        </w:rPr>
        <w:t>–</w:t>
      </w:r>
      <w:r>
        <w:rPr>
          <w:rFonts w:ascii="Century" w:hAnsi="Century" w:hint="cs"/>
          <w:rtl/>
        </w:rPr>
        <w:t xml:space="preserve"> אלא המשיג והבהיר את הפרקטיקה האיזונית ואת האופן שבו בתי המשפט בחנו אי-סבירות של החלטות גם קודם לכן. משכך, בראייתי אין יסוד לדיכוטומיה שעליה נשענת הפרשנות המקיימת, בין עילת הסבירות במובנה לפני פסק הדין בעניין </w:t>
      </w:r>
      <w:r w:rsidRPr="00B90677">
        <w:rPr>
          <w:rFonts w:ascii="Century" w:hAnsi="Century" w:cs="Miriam" w:hint="cs"/>
          <w:b/>
          <w:spacing w:val="0"/>
          <w:szCs w:val="24"/>
          <w:rtl/>
        </w:rPr>
        <w:t>דפי זהב</w:t>
      </w:r>
      <w:r>
        <w:rPr>
          <w:rFonts w:ascii="Century" w:hAnsi="Century" w:hint="cs"/>
          <w:rtl/>
        </w:rPr>
        <w:t xml:space="preserve"> ובין עילת הסבירות במובנה ביום שלאחר מכן.</w:t>
      </w:r>
    </w:p>
    <w:p w:rsidR="00AC74AF" w:rsidRDefault="00AC74AF" w:rsidP="00AC74AF">
      <w:pPr>
        <w:pStyle w:val="Ruller41"/>
        <w:rPr>
          <w:rFonts w:ascii="Century" w:hAnsi="Century"/>
          <w:rtl/>
        </w:rPr>
      </w:pPr>
    </w:p>
    <w:p w:rsidR="00AC74AF" w:rsidRDefault="00AC74AF" w:rsidP="00AC74AF">
      <w:pPr>
        <w:pStyle w:val="Ruller41"/>
        <w:rPr>
          <w:rFonts w:ascii="Century" w:hAnsi="Century"/>
          <w:rtl/>
        </w:rPr>
      </w:pPr>
      <w:r>
        <w:rPr>
          <w:rFonts w:ascii="Century" w:hAnsi="Century" w:hint="cs"/>
          <w:rtl/>
        </w:rPr>
        <w:t>21.</w:t>
      </w:r>
      <w:r>
        <w:rPr>
          <w:rFonts w:ascii="Century" w:hAnsi="Century"/>
          <w:rtl/>
        </w:rPr>
        <w:tab/>
      </w:r>
      <w:r>
        <w:rPr>
          <w:rFonts w:ascii="Century" w:hAnsi="Century" w:hint="cs"/>
          <w:rtl/>
        </w:rPr>
        <w:t>שנית, וזה העיקר לטעמי, אין לפרשנות המקיימת כל נקודת אחיזה ארכימדית בלשון התיקון לחוק היסוד, והיא אף עומדת בסתירה מוחלטת לתכלית הסובייקטיבית שלו כפי שזו נלמדת מן המהלכים שקדמו לחקיקתו.</w:t>
      </w:r>
    </w:p>
    <w:p w:rsidR="00AC74AF" w:rsidRDefault="00AC74AF" w:rsidP="00AC74AF">
      <w:pPr>
        <w:pStyle w:val="Ruller41"/>
        <w:spacing w:line="240" w:lineRule="auto"/>
        <w:rPr>
          <w:rFonts w:ascii="Century" w:hAnsi="Century"/>
          <w:rtl/>
        </w:rPr>
      </w:pPr>
    </w:p>
    <w:p w:rsidR="00AC74AF" w:rsidRPr="006261C5" w:rsidRDefault="00AC74AF" w:rsidP="00AC74AF">
      <w:pPr>
        <w:pStyle w:val="Ruller41"/>
        <w:rPr>
          <w:rtl/>
        </w:rPr>
      </w:pPr>
      <w:r>
        <w:rPr>
          <w:rFonts w:ascii="Century" w:hAnsi="Century"/>
          <w:rtl/>
        </w:rPr>
        <w:tab/>
      </w:r>
      <w:r>
        <w:rPr>
          <w:rFonts w:ascii="Century" w:hAnsi="Century" w:hint="cs"/>
          <w:rtl/>
        </w:rPr>
        <w:t>ביסוד הפרשנות המקיימת עומדת "</w:t>
      </w:r>
      <w:r w:rsidRPr="006F02FD">
        <w:rPr>
          <w:rFonts w:ascii="Century" w:hAnsi="Century" w:cs="Miriam" w:hint="cs"/>
          <w:b/>
          <w:spacing w:val="0"/>
          <w:szCs w:val="24"/>
          <w:rtl/>
        </w:rPr>
        <w:t>חזקת חוקתיות</w:t>
      </w:r>
      <w:r>
        <w:rPr>
          <w:rFonts w:ascii="Century" w:hAnsi="Century" w:hint="cs"/>
          <w:rtl/>
        </w:rPr>
        <w:t xml:space="preserve">". </w:t>
      </w:r>
      <w:r>
        <w:rPr>
          <w:rFonts w:hint="cs"/>
          <w:rtl/>
        </w:rPr>
        <w:t>לפי חזקה זאת, שומה על הפרשן של החוק "</w:t>
      </w:r>
      <w:r w:rsidRPr="006F02FD">
        <w:rPr>
          <w:rFonts w:ascii="Century" w:hAnsi="Century" w:cs="Miriam" w:hint="cs"/>
          <w:b/>
          <w:spacing w:val="0"/>
          <w:szCs w:val="24"/>
          <w:rtl/>
        </w:rPr>
        <w:t xml:space="preserve">לעשות כל שניתן לעשות כדי לתת לחוק אותו פירוש אפשרי אשר יתאים לחוקה (ואצלנו </w:t>
      </w:r>
      <w:r w:rsidRPr="006F02FD">
        <w:rPr>
          <w:rFonts w:ascii="Century" w:hAnsi="Century" w:cs="Miriam"/>
          <w:b/>
          <w:spacing w:val="0"/>
          <w:szCs w:val="24"/>
          <w:rtl/>
        </w:rPr>
        <w:t>–</w:t>
      </w:r>
      <w:r w:rsidRPr="006F02FD">
        <w:rPr>
          <w:rFonts w:ascii="Century" w:hAnsi="Century" w:cs="Miriam" w:hint="cs"/>
          <w:b/>
          <w:spacing w:val="0"/>
          <w:szCs w:val="24"/>
          <w:rtl/>
        </w:rPr>
        <w:t xml:space="preserve"> </w:t>
      </w:r>
      <w:r w:rsidRPr="00273520">
        <w:rPr>
          <w:rFonts w:ascii="Century" w:hAnsi="Century" w:cs="Miriam" w:hint="eastAsia"/>
          <w:b/>
          <w:spacing w:val="0"/>
          <w:szCs w:val="24"/>
          <w:rtl/>
        </w:rPr>
        <w:t>חוק</w:t>
      </w:r>
      <w:r w:rsidRPr="00273520">
        <w:rPr>
          <w:rFonts w:ascii="Century" w:hAnsi="Century" w:cs="Miriam"/>
          <w:b/>
          <w:spacing w:val="0"/>
          <w:szCs w:val="24"/>
          <w:rtl/>
        </w:rPr>
        <w:t xml:space="preserve"> היסוד</w:t>
      </w:r>
      <w:r w:rsidRPr="006F02FD">
        <w:rPr>
          <w:rFonts w:ascii="Century" w:hAnsi="Century" w:cs="Miriam" w:hint="cs"/>
          <w:b/>
          <w:spacing w:val="0"/>
          <w:szCs w:val="24"/>
          <w:rtl/>
        </w:rPr>
        <w:t>) ולא</w:t>
      </w:r>
      <w:r>
        <w:rPr>
          <w:rFonts w:ascii="Century" w:hAnsi="Century" w:cs="Miriam" w:hint="cs"/>
          <w:b/>
          <w:spacing w:val="0"/>
          <w:szCs w:val="24"/>
          <w:rtl/>
        </w:rPr>
        <w:t xml:space="preserve"> ינגוד לה</w:t>
      </w:r>
      <w:r>
        <w:rPr>
          <w:rFonts w:hint="cs"/>
          <w:rtl/>
        </w:rPr>
        <w:t xml:space="preserve">"; וברי כי חזקה זו מקבלת משנה תוקף כאשר מדובר בפרשנות של חקיקת יסוד. ואולם ככל כלל פרשני, חזקת החוקתיות אף היא ניתנת לסתירה </w:t>
      </w:r>
      <w:r>
        <w:rPr>
          <w:rtl/>
        </w:rPr>
        <w:t>–</w:t>
      </w:r>
      <w:r>
        <w:rPr>
          <w:rFonts w:hint="cs"/>
          <w:rtl/>
        </w:rPr>
        <w:t xml:space="preserve"> באותם מקרים שבהם פירוש כזה איננו אפשרי (הנשיא </w:t>
      </w:r>
      <w:r w:rsidRPr="006F02FD">
        <w:rPr>
          <w:rFonts w:ascii="Century" w:hAnsi="Century" w:cs="Miriam" w:hint="cs"/>
          <w:b/>
          <w:spacing w:val="0"/>
          <w:szCs w:val="24"/>
          <w:rtl/>
        </w:rPr>
        <w:t>א' ברק</w:t>
      </w:r>
      <w:r w:rsidRPr="006F02FD">
        <w:rPr>
          <w:rFonts w:hint="cs"/>
          <w:rtl/>
        </w:rPr>
        <w:t xml:space="preserve"> </w:t>
      </w:r>
      <w:r>
        <w:rPr>
          <w:rFonts w:hint="cs"/>
          <w:rtl/>
        </w:rPr>
        <w:t>ב-בג"ץ</w:t>
      </w:r>
      <w:r>
        <w:rPr>
          <w:rtl/>
        </w:rPr>
        <w:t xml:space="preserve"> </w:t>
      </w:r>
      <w:r>
        <w:rPr>
          <w:rFonts w:hint="cs"/>
          <w:rtl/>
        </w:rPr>
        <w:t xml:space="preserve">9098/01 </w:t>
      </w:r>
      <w:r w:rsidRPr="006F02FD">
        <w:rPr>
          <w:rFonts w:ascii="Century" w:hAnsi="Century" w:cs="Miriam" w:hint="cs"/>
          <w:b/>
          <w:spacing w:val="0"/>
          <w:szCs w:val="24"/>
          <w:rtl/>
        </w:rPr>
        <w:t>גניס נ' משרד הבינוי והשיכון</w:t>
      </w:r>
      <w:r>
        <w:rPr>
          <w:rFonts w:hint="cs"/>
          <w:rtl/>
        </w:rPr>
        <w:t xml:space="preserve">, פ"ד נט(4) 241, 276 (2004)). בעניינו, התיקון לחוק היסוד נוקט לשון ברורה ונחרצת, שאינה מותירה מקום לספק כי הוא מורה על ביטולה המוחלט והבלתי מסויג של עילת הסבירות, וזאת ביחס לכל החלטה שנתקבלה על ידי הממשלה או כל אחד משריה. </w:t>
      </w:r>
      <w:r w:rsidRPr="003D7036">
        <w:rPr>
          <w:rFonts w:ascii="Century" w:hAnsi="Century"/>
          <w:rtl/>
        </w:rPr>
        <w:t>"</w:t>
      </w:r>
      <w:r w:rsidRPr="006F02FD">
        <w:rPr>
          <w:rFonts w:ascii="Century" w:hAnsi="Century" w:cs="Miriam"/>
          <w:b/>
          <w:spacing w:val="0"/>
          <w:szCs w:val="24"/>
          <w:rtl/>
        </w:rPr>
        <w:t>כל מילה, כל ביטוי בשפה ניתן לפרשם בצמצום וניתן לפרשם ברחבות, אף ברחבות-יתר. ואולם ככל שנרחיב ונוסיף ונרחיב נגיע לנקודה שבה יימתח קרום המעטפת עד לקצה-יכולתו</w:t>
      </w:r>
      <w:r w:rsidRPr="003D7036">
        <w:rPr>
          <w:rFonts w:ascii="Century" w:hAnsi="Century"/>
          <w:rtl/>
        </w:rPr>
        <w:t>" (</w:t>
      </w:r>
      <w:r>
        <w:rPr>
          <w:rFonts w:ascii="Century" w:hAnsi="Century"/>
          <w:rtl/>
        </w:rPr>
        <w:t xml:space="preserve">רע"א 6339/97 </w:t>
      </w:r>
      <w:r w:rsidRPr="006F02FD">
        <w:rPr>
          <w:rFonts w:ascii="Century" w:hAnsi="Century" w:cs="Miriam"/>
          <w:b/>
          <w:spacing w:val="0"/>
          <w:szCs w:val="24"/>
          <w:rtl/>
        </w:rPr>
        <w:t>רוקר נ' סלומון</w:t>
      </w:r>
      <w:r w:rsidRPr="003D7036">
        <w:rPr>
          <w:rFonts w:ascii="Century" w:hAnsi="Century"/>
          <w:rtl/>
        </w:rPr>
        <w:t xml:space="preserve">, </w:t>
      </w:r>
      <w:r>
        <w:rPr>
          <w:rFonts w:ascii="Century" w:hAnsi="Century" w:hint="cs"/>
          <w:rtl/>
        </w:rPr>
        <w:t>פ"ד נה(1) 199, 253 (1999)</w:t>
      </w:r>
      <w:r w:rsidRPr="003D7036">
        <w:rPr>
          <w:rFonts w:ascii="Century" w:hAnsi="Century"/>
          <w:rtl/>
        </w:rPr>
        <w:t>).</w:t>
      </w:r>
      <w:r>
        <w:rPr>
          <w:rFonts w:ascii="Century" w:hAnsi="Century" w:hint="cs"/>
          <w:rtl/>
        </w:rPr>
        <w:t xml:space="preserve"> זה המצב בענייננו: קריאה של מובנים שונים של עילת הסבירות לתוך התיקון פורצת את גבולות הלשון, וכבר בשל כך היא לא תסכון.</w:t>
      </w:r>
    </w:p>
    <w:p w:rsidR="00AC74AF" w:rsidRDefault="00AC74AF" w:rsidP="00AC74AF">
      <w:pPr>
        <w:pStyle w:val="Ruller41"/>
        <w:spacing w:line="240" w:lineRule="auto"/>
        <w:rPr>
          <w:rtl/>
        </w:rPr>
      </w:pPr>
    </w:p>
    <w:p w:rsidR="00AC74AF" w:rsidRDefault="00AC74AF" w:rsidP="00AC74AF">
      <w:pPr>
        <w:pStyle w:val="Ruller41"/>
        <w:rPr>
          <w:rtl/>
        </w:rPr>
      </w:pPr>
      <w:r>
        <w:rPr>
          <w:rtl/>
        </w:rPr>
        <w:tab/>
      </w:r>
      <w:r>
        <w:rPr>
          <w:rFonts w:hint="cs"/>
          <w:rtl/>
        </w:rPr>
        <w:t xml:space="preserve">ומכאן </w:t>
      </w:r>
      <w:r w:rsidRPr="00981700">
        <w:rPr>
          <w:rFonts w:ascii="Century" w:hAnsi="Century" w:cs="Miriam" w:hint="cs"/>
          <w:b/>
          <w:spacing w:val="0"/>
          <w:szCs w:val="24"/>
          <w:rtl/>
        </w:rPr>
        <w:t>לתכליתו הסובייקטיבית</w:t>
      </w:r>
      <w:r w:rsidRPr="00981700">
        <w:rPr>
          <w:rFonts w:hint="cs"/>
          <w:rtl/>
        </w:rPr>
        <w:t xml:space="preserve"> </w:t>
      </w:r>
      <w:r>
        <w:rPr>
          <w:rFonts w:hint="cs"/>
          <w:rtl/>
        </w:rPr>
        <w:t>של התיקון לחוק. המהלכים שקדמו לחקיקתו של התיקון אינם מותירים מרחב לדימיון בנוגע לחזונם של יוזמי החוק ומקדמיו. הדברים נאמרו בבירור במסיבת העיתונאים שבה יצאה תוכנית הרפורמה לדרך, בדיוניה של ועדת החוקה, במליאת הכנסת ולמעשה על כל במה אפשרית. מטרותיה המוצהרות של תוכנית הרפורמה כללו במפורש את ביצור מעמדה של הרשות המבצעת על ידי הצרת צעדיה של הרשות השופטת. יו"ר ועדת החוקה שיזם את הצעת החוק, חבר הכנסת שמחה רוטמן, הבהיר במסגרת הצגת התיקון לחוק היסוד במליאת הכנסת לקראת ההצבעה לקריאה שנייה ושלישית, כי משמעותו היא שרשות שיפוטית לא תוכל לדון בעניין סבירות החלטה של הממשלה, ראש הממשלה או שר אחר "</w:t>
      </w:r>
      <w:r w:rsidRPr="00967774">
        <w:rPr>
          <w:rFonts w:ascii="Century" w:hAnsi="Century" w:cs="Miriam" w:hint="cs"/>
          <w:b/>
          <w:spacing w:val="0"/>
          <w:szCs w:val="24"/>
          <w:rtl/>
        </w:rPr>
        <w:t>בין אם מכוח עילת הסבירות המקורית ובין אם מכוח עילת הסבירות החדשה, וזאת אף בנושא מינויים ובעניין החלטה שלא להפעיל סמכות..</w:t>
      </w:r>
      <w:r>
        <w:rPr>
          <w:rFonts w:hint="cs"/>
          <w:rtl/>
        </w:rPr>
        <w:t>." (פרוטוקול ישיבה 97 של הכנסת ה-25, 552-551 (27.3.2023)).</w:t>
      </w:r>
      <w:r w:rsidRPr="00FB1BD2">
        <w:rPr>
          <w:rFonts w:hint="cs"/>
          <w:rtl/>
        </w:rPr>
        <w:t xml:space="preserve"> </w:t>
      </w:r>
      <w:r>
        <w:rPr>
          <w:rFonts w:hint="cs"/>
          <w:rtl/>
        </w:rPr>
        <w:t xml:space="preserve">הייעוץ </w:t>
      </w:r>
      <w:r>
        <w:rPr>
          <w:rFonts w:hint="cs"/>
          <w:rtl/>
        </w:rPr>
        <w:lastRenderedPageBreak/>
        <w:t xml:space="preserve">המשפטי לוועדת החוקה, נציגי היועמש"ית ושורה של מומחים שהופיעו לפני הוועדה חזרו והתריעו מפני הסכנות הגלומות בביטול גורף ומוחלט של עילת הסבירות ביחס לכל החלטות הממשלה </w:t>
      </w:r>
      <w:r>
        <w:rPr>
          <w:rtl/>
        </w:rPr>
        <w:t>–</w:t>
      </w:r>
      <w:r>
        <w:rPr>
          <w:rFonts w:hint="cs"/>
          <w:rtl/>
        </w:rPr>
        <w:t xml:space="preserve"> ואולם אזהרות אלה נפלו על אוזניים ערלות. </w:t>
      </w:r>
    </w:p>
    <w:p w:rsidR="00AC74AF" w:rsidRDefault="00AC74AF" w:rsidP="00AC74AF">
      <w:pPr>
        <w:pStyle w:val="Ruller41"/>
        <w:rPr>
          <w:rtl/>
        </w:rPr>
      </w:pPr>
    </w:p>
    <w:p w:rsidR="00AC74AF" w:rsidRDefault="00AC74AF" w:rsidP="00AC74AF">
      <w:pPr>
        <w:pStyle w:val="Ruller41"/>
        <w:rPr>
          <w:rtl/>
        </w:rPr>
      </w:pPr>
      <w:r>
        <w:rPr>
          <w:rtl/>
        </w:rPr>
        <w:tab/>
      </w:r>
      <w:r>
        <w:rPr>
          <w:rFonts w:hint="cs"/>
          <w:rtl/>
        </w:rPr>
        <w:t xml:space="preserve">אם לאחר כל אלה נותר עוד מקום לספק, אזי במסגרת הדיון לפנינו הבהיר חבר הכנסת רוטמן כי מטרת התיקון לחוק היא לבטל את עילת הסבירות על כל מובניה וביחס לכל החלטה של הממשלה וחבריה (פרוטוקול יום 12.9.2023, עמ' 39-37). </w:t>
      </w:r>
    </w:p>
    <w:p w:rsidR="00AC74AF" w:rsidRDefault="00AC74AF" w:rsidP="00AC74AF">
      <w:pPr>
        <w:pStyle w:val="Ruller41"/>
        <w:rPr>
          <w:rtl/>
        </w:rPr>
      </w:pPr>
    </w:p>
    <w:p w:rsidR="00AC74AF" w:rsidRDefault="00AC74AF" w:rsidP="00AC74AF">
      <w:pPr>
        <w:pStyle w:val="Ruller41"/>
        <w:rPr>
          <w:rtl/>
        </w:rPr>
      </w:pPr>
      <w:r>
        <w:rPr>
          <w:rFonts w:hint="cs"/>
          <w:rtl/>
        </w:rPr>
        <w:t>22.</w:t>
      </w:r>
      <w:r>
        <w:rPr>
          <w:rFonts w:hint="cs"/>
          <w:rtl/>
        </w:rPr>
        <w:tab/>
        <w:t xml:space="preserve">אכן, במלאכת הפרשנות המשפטית אין התכלית הסובייקטיבית חזות הכל; ונדרש לתת משקל גם </w:t>
      </w:r>
      <w:r w:rsidRPr="00981700">
        <w:rPr>
          <w:rFonts w:ascii="Century" w:hAnsi="Century" w:cs="Miriam" w:hint="cs"/>
          <w:b/>
          <w:spacing w:val="0"/>
          <w:szCs w:val="24"/>
          <w:rtl/>
        </w:rPr>
        <w:t>לתכלית האובייקטיבית</w:t>
      </w:r>
      <w:r w:rsidRPr="00981700">
        <w:rPr>
          <w:rFonts w:hint="cs"/>
          <w:rtl/>
        </w:rPr>
        <w:t xml:space="preserve"> </w:t>
      </w:r>
      <w:r>
        <w:rPr>
          <w:rFonts w:hint="cs"/>
          <w:rtl/>
        </w:rPr>
        <w:t xml:space="preserve">של דבר החקיקה </w:t>
      </w:r>
      <w:r>
        <w:rPr>
          <w:rtl/>
        </w:rPr>
        <w:t>–</w:t>
      </w:r>
      <w:r>
        <w:rPr>
          <w:rFonts w:hint="cs"/>
          <w:rtl/>
        </w:rPr>
        <w:t xml:space="preserve"> "</w:t>
      </w:r>
      <w:r w:rsidRPr="00ED21DA">
        <w:rPr>
          <w:rFonts w:ascii="Century" w:hAnsi="Century" w:cs="Miriam" w:hint="cs"/>
          <w:b/>
          <w:spacing w:val="0"/>
          <w:szCs w:val="24"/>
          <w:rtl/>
        </w:rPr>
        <w:t xml:space="preserve">היא </w:t>
      </w:r>
      <w:r w:rsidRPr="00ED21DA">
        <w:rPr>
          <w:rFonts w:ascii="Century" w:hAnsi="Century" w:cs="Miriam"/>
          <w:b/>
          <w:spacing w:val="0"/>
          <w:szCs w:val="24"/>
          <w:rtl/>
        </w:rPr>
        <w:t>המטרות והמדיניות שדבר החקיקה נועד להגשים בשים לב לעיקרי יסודות השיטה והערכים עליהם בנוי המשטר הדמוקרטי</w:t>
      </w:r>
      <w:r w:rsidRPr="008B0F9E">
        <w:rPr>
          <w:rtl/>
        </w:rPr>
        <w:t xml:space="preserve">" (בג"ץ 962/07‏ </w:t>
      </w:r>
      <w:r w:rsidRPr="00ED21DA">
        <w:rPr>
          <w:rFonts w:ascii="Century" w:hAnsi="Century" w:cs="Miriam"/>
          <w:b/>
          <w:spacing w:val="0"/>
          <w:szCs w:val="24"/>
          <w:rtl/>
        </w:rPr>
        <w:t>לירן נ' היועץ המשפטי לממשלה</w:t>
      </w:r>
      <w:r>
        <w:rPr>
          <w:rFonts w:hint="cs"/>
          <w:rtl/>
        </w:rPr>
        <w:t>,</w:t>
      </w:r>
      <w:r w:rsidRPr="008B0F9E">
        <w:rPr>
          <w:rtl/>
        </w:rPr>
        <w:t xml:space="preserve"> פסקה 41 (1.4.2007)</w:t>
      </w:r>
      <w:r>
        <w:rPr>
          <w:rFonts w:hint="cs"/>
          <w:rtl/>
        </w:rPr>
        <w:t>;</w:t>
      </w:r>
      <w:r>
        <w:rPr>
          <w:rFonts w:hint="cs"/>
        </w:rPr>
        <w:t xml:space="preserve"> </w:t>
      </w:r>
      <w:r w:rsidRPr="00F60AAC">
        <w:rPr>
          <w:rFonts w:hint="cs"/>
          <w:rtl/>
        </w:rPr>
        <w:t xml:space="preserve">בג"ץ 7510/19 </w:t>
      </w:r>
      <w:r w:rsidRPr="00E0732A">
        <w:rPr>
          <w:rFonts w:ascii="Century" w:hAnsi="Century" w:cs="Miriam" w:hint="cs"/>
          <w:b/>
          <w:spacing w:val="0"/>
          <w:szCs w:val="24"/>
          <w:rtl/>
        </w:rPr>
        <w:t xml:space="preserve">אור-הכהן נ' ראש </w:t>
      </w:r>
      <w:r>
        <w:rPr>
          <w:rFonts w:ascii="Century" w:hAnsi="Century" w:cs="Miriam" w:hint="cs"/>
          <w:b/>
          <w:spacing w:val="0"/>
          <w:szCs w:val="24"/>
          <w:rtl/>
        </w:rPr>
        <w:t>הממשלה</w:t>
      </w:r>
      <w:r w:rsidRPr="00F60AAC">
        <w:rPr>
          <w:rFonts w:hint="cs"/>
          <w:rtl/>
        </w:rPr>
        <w:t xml:space="preserve">, פסקה </w:t>
      </w:r>
      <w:r>
        <w:rPr>
          <w:rFonts w:hint="cs"/>
          <w:rtl/>
        </w:rPr>
        <w:t>14</w:t>
      </w:r>
      <w:r w:rsidRPr="00F60AAC">
        <w:rPr>
          <w:rFonts w:hint="cs"/>
          <w:rtl/>
        </w:rPr>
        <w:t xml:space="preserve"> (9.1.2020)</w:t>
      </w:r>
      <w:r>
        <w:rPr>
          <w:rFonts w:hint="cs"/>
          <w:rtl/>
        </w:rPr>
        <w:t xml:space="preserve">; להלן: </w:t>
      </w:r>
      <w:r w:rsidRPr="00D341D8">
        <w:rPr>
          <w:rFonts w:ascii="Century" w:hAnsi="Century" w:cs="Miriam" w:hint="cs"/>
          <w:b/>
          <w:spacing w:val="0"/>
          <w:szCs w:val="24"/>
          <w:rtl/>
        </w:rPr>
        <w:t>עניין אור-הכהן</w:t>
      </w:r>
      <w:r>
        <w:rPr>
          <w:rtl/>
        </w:rPr>
        <w:t>)</w:t>
      </w:r>
      <w:r>
        <w:rPr>
          <w:rFonts w:hint="cs"/>
          <w:rtl/>
        </w:rPr>
        <w:t xml:space="preserve">. כפי שהדגישו חבריי, בפרשנות </w:t>
      </w:r>
      <w:r w:rsidRPr="00ED21DA">
        <w:rPr>
          <w:rFonts w:ascii="Century" w:hAnsi="Century" w:cs="Miriam" w:hint="cs"/>
          <w:b/>
          <w:spacing w:val="0"/>
          <w:szCs w:val="24"/>
          <w:rtl/>
        </w:rPr>
        <w:t>חקיקת יסוד</w:t>
      </w:r>
      <w:r w:rsidRPr="00ED21DA">
        <w:rPr>
          <w:rFonts w:hint="cs"/>
          <w:rtl/>
        </w:rPr>
        <w:t xml:space="preserve"> </w:t>
      </w:r>
      <w:r>
        <w:rPr>
          <w:rFonts w:hint="cs"/>
          <w:rtl/>
        </w:rPr>
        <w:t xml:space="preserve">אף נודעת לתכלית האובייקטיבית חשיבות יתרה (פסקה 33 לחוות דעתה של השופטת </w:t>
      </w:r>
      <w:r w:rsidRPr="00981700">
        <w:rPr>
          <w:rFonts w:ascii="Century" w:hAnsi="Century" w:cs="Miriam" w:hint="cs"/>
          <w:b/>
          <w:spacing w:val="0"/>
          <w:szCs w:val="24"/>
          <w:rtl/>
        </w:rPr>
        <w:t>ג' כנפי-שטייניץ</w:t>
      </w:r>
      <w:r>
        <w:rPr>
          <w:rFonts w:hint="cs"/>
          <w:rtl/>
        </w:rPr>
        <w:t xml:space="preserve">; פסקה 19 לחוות דעתו של ממלא מקום הנשיא </w:t>
      </w:r>
      <w:r w:rsidRPr="00981700">
        <w:rPr>
          <w:rFonts w:ascii="Century" w:hAnsi="Century" w:cs="Miriam" w:hint="cs"/>
          <w:b/>
          <w:spacing w:val="0"/>
          <w:szCs w:val="24"/>
          <w:rtl/>
        </w:rPr>
        <w:t>ע' פוגלמן</w:t>
      </w:r>
      <w:r>
        <w:rPr>
          <w:rFonts w:hint="cs"/>
          <w:rtl/>
        </w:rPr>
        <w:t xml:space="preserve">; וכן ראו דברי השופט </w:t>
      </w:r>
      <w:r w:rsidRPr="00981700">
        <w:rPr>
          <w:rFonts w:ascii="Century" w:hAnsi="Century" w:cs="Miriam" w:hint="cs"/>
          <w:b/>
          <w:spacing w:val="0"/>
          <w:szCs w:val="24"/>
          <w:rtl/>
        </w:rPr>
        <w:t>י' עמית</w:t>
      </w:r>
      <w:r w:rsidRPr="00981700">
        <w:rPr>
          <w:rFonts w:hint="cs"/>
          <w:rtl/>
        </w:rPr>
        <w:t xml:space="preserve"> </w:t>
      </w:r>
      <w:r>
        <w:rPr>
          <w:rFonts w:hint="cs"/>
          <w:rtl/>
        </w:rPr>
        <w:t xml:space="preserve">בעניין </w:t>
      </w:r>
      <w:r w:rsidRPr="00981700">
        <w:rPr>
          <w:rFonts w:ascii="Century" w:hAnsi="Century" w:cs="Miriam" w:hint="cs"/>
          <w:b/>
          <w:spacing w:val="0"/>
          <w:szCs w:val="24"/>
          <w:rtl/>
        </w:rPr>
        <w:t>חסון</w:t>
      </w:r>
      <w:r>
        <w:rPr>
          <w:rFonts w:hint="cs"/>
          <w:rtl/>
        </w:rPr>
        <w:t>, פסקה 4); ובהקשר זה, "</w:t>
      </w:r>
      <w:r w:rsidRPr="00DD6CFD">
        <w:rPr>
          <w:rFonts w:ascii="Century" w:hAnsi="Century" w:cs="Miriam"/>
          <w:b/>
          <w:spacing w:val="0"/>
          <w:szCs w:val="24"/>
          <w:rtl/>
        </w:rPr>
        <w:t>יש לתת ביטוי לאופיים של חוקי היסוד, אשר נועדו לעצב את דמותה של החברה ואת שאיפותיה במהלך ההיסטוריה; אשר באו לקבוע את תפיסותיה הבסיסיות של המדינה ואת היסוד לערכיה החברתיים; אשר מבקשים לקבוע את שאיפותיה, מחוייבויותיה ומגמותיה של המדינה</w:t>
      </w:r>
      <w:r>
        <w:rPr>
          <w:rFonts w:hint="cs"/>
          <w:rtl/>
        </w:rPr>
        <w:t xml:space="preserve">" (בג"ץ 6427/02 </w:t>
      </w:r>
      <w:r w:rsidRPr="00DD6CFD">
        <w:rPr>
          <w:rFonts w:ascii="Century" w:hAnsi="Century" w:cs="Miriam" w:hint="cs"/>
          <w:b/>
          <w:spacing w:val="0"/>
          <w:szCs w:val="24"/>
          <w:rtl/>
        </w:rPr>
        <w:t>התנועה לאיכות השלטון בישראל נ' הכנסת</w:t>
      </w:r>
      <w:r>
        <w:rPr>
          <w:rFonts w:hint="cs"/>
          <w:rtl/>
        </w:rPr>
        <w:t xml:space="preserve">, פסקה 24 לחוות דעתו של הנשיא </w:t>
      </w:r>
      <w:r w:rsidRPr="00DD6CFD">
        <w:rPr>
          <w:rFonts w:ascii="Century" w:hAnsi="Century" w:cs="Miriam" w:hint="cs"/>
          <w:b/>
          <w:spacing w:val="0"/>
          <w:szCs w:val="24"/>
          <w:rtl/>
        </w:rPr>
        <w:t>א' ברק</w:t>
      </w:r>
      <w:r w:rsidRPr="00DD6CFD">
        <w:rPr>
          <w:rFonts w:hint="cs"/>
          <w:rtl/>
        </w:rPr>
        <w:t xml:space="preserve"> </w:t>
      </w:r>
      <w:r>
        <w:rPr>
          <w:rFonts w:hint="cs"/>
          <w:rtl/>
        </w:rPr>
        <w:t xml:space="preserve">(11.5.2006)). </w:t>
      </w:r>
    </w:p>
    <w:p w:rsidR="00AC74AF" w:rsidRDefault="00AC74AF" w:rsidP="00AC74AF">
      <w:pPr>
        <w:pStyle w:val="Ruller41"/>
        <w:spacing w:line="240" w:lineRule="auto"/>
        <w:rPr>
          <w:rtl/>
        </w:rPr>
      </w:pPr>
    </w:p>
    <w:p w:rsidR="00AC74AF" w:rsidRDefault="00AC74AF" w:rsidP="00AC74AF">
      <w:pPr>
        <w:pStyle w:val="Ruller41"/>
        <w:rPr>
          <w:rtl/>
        </w:rPr>
      </w:pPr>
      <w:r>
        <w:rPr>
          <w:rtl/>
        </w:rPr>
        <w:tab/>
      </w:r>
      <w:r>
        <w:rPr>
          <w:rFonts w:hint="cs"/>
          <w:rtl/>
        </w:rPr>
        <w:t xml:space="preserve">בענייננו, במסגרת התכלית האובייקטיבית יש ליתן לתיקון לחוק היסוד פרשנות המקיימת את עקרונות היסוד של השיטה הדמוקרטית </w:t>
      </w:r>
      <w:r>
        <w:rPr>
          <w:rtl/>
        </w:rPr>
        <w:t>–</w:t>
      </w:r>
      <w:r>
        <w:rPr>
          <w:rFonts w:hint="cs"/>
          <w:rtl/>
        </w:rPr>
        <w:t xml:space="preserve"> ומבחינה זו התכלית  האובייקטיבית מתיישבת לכאורה עם הפרשנות המקיימת המוצעת. ואולם בהינתן התכלית הסובייקטיבית המובהקת של התיקון לחוק היסוד, כמפורט לעיל, מתן הבכורה לתכלית האובייקטיבית של החוק אינה אלא </w:t>
      </w:r>
      <w:r w:rsidRPr="0012197D">
        <w:rPr>
          <w:rFonts w:ascii="Century" w:hAnsi="Century" w:cs="Miriam" w:hint="cs"/>
          <w:b/>
          <w:spacing w:val="0"/>
          <w:szCs w:val="24"/>
          <w:rtl/>
        </w:rPr>
        <w:t>כתיבת חוק</w:t>
      </w:r>
      <w:r>
        <w:rPr>
          <w:rFonts w:ascii="Century" w:hAnsi="Century" w:cs="Miriam" w:hint="cs"/>
          <w:b/>
          <w:spacing w:val="0"/>
          <w:szCs w:val="24"/>
          <w:rtl/>
        </w:rPr>
        <w:t>-יסוד</w:t>
      </w:r>
      <w:r w:rsidRPr="0012197D">
        <w:rPr>
          <w:rFonts w:ascii="Century" w:hAnsi="Century" w:cs="Miriam" w:hint="cs"/>
          <w:b/>
          <w:spacing w:val="0"/>
          <w:szCs w:val="24"/>
          <w:rtl/>
        </w:rPr>
        <w:t xml:space="preserve"> חדש</w:t>
      </w:r>
      <w:r w:rsidRPr="0012197D">
        <w:rPr>
          <w:rFonts w:hint="cs"/>
          <w:rtl/>
        </w:rPr>
        <w:t xml:space="preserve"> </w:t>
      </w:r>
      <w:r>
        <w:rPr>
          <w:rtl/>
        </w:rPr>
        <w:t>–</w:t>
      </w:r>
      <w:r>
        <w:rPr>
          <w:rFonts w:hint="cs"/>
          <w:rtl/>
        </w:rPr>
        <w:t xml:space="preserve"> וזאת בוודאי שאין בסמכותו ולא מתפקידו של בית המשפט העליון.</w:t>
      </w:r>
    </w:p>
    <w:p w:rsidR="00AC74AF" w:rsidRDefault="00AC74AF" w:rsidP="00AC74AF">
      <w:pPr>
        <w:pStyle w:val="Ruller41"/>
        <w:spacing w:line="240" w:lineRule="auto"/>
        <w:rPr>
          <w:rtl/>
        </w:rPr>
      </w:pPr>
    </w:p>
    <w:p w:rsidR="00AC74AF" w:rsidRPr="00D73A14" w:rsidRDefault="00AC74AF" w:rsidP="00AC74AF">
      <w:pPr>
        <w:pStyle w:val="Ruller41"/>
        <w:rPr>
          <w:rtl/>
        </w:rPr>
      </w:pPr>
      <w:r>
        <w:rPr>
          <w:rtl/>
        </w:rPr>
        <w:tab/>
      </w:r>
      <w:r>
        <w:rPr>
          <w:rFonts w:hint="cs"/>
          <w:rtl/>
        </w:rPr>
        <w:t xml:space="preserve">בהתייחס למלאכת הפרשנות של טקסט משפטי, כבר נאמר כי </w:t>
      </w:r>
      <w:r>
        <w:rPr>
          <w:rFonts w:ascii="Century" w:hAnsi="Century"/>
          <w:rtl/>
        </w:rPr>
        <w:t>"</w:t>
      </w:r>
      <w:r w:rsidRPr="00456D94">
        <w:rPr>
          <w:rFonts w:ascii="Century" w:hAnsi="Century" w:cs="Miriam"/>
          <w:b/>
          <w:spacing w:val="0"/>
          <w:szCs w:val="24"/>
          <w:rtl/>
        </w:rPr>
        <w:t>אם התוצאה אינה הגיונית ונוגדת את השכל הישר, חזקה היא כי הפרשן טעה בגיבוש התכלית של דבר החקיקה</w:t>
      </w:r>
      <w:r w:rsidRPr="00567536">
        <w:rPr>
          <w:rFonts w:ascii="Century" w:hAnsi="Century"/>
          <w:rtl/>
        </w:rPr>
        <w:t>" (בש"א 1481/</w:t>
      </w:r>
      <w:r>
        <w:rPr>
          <w:rFonts w:ascii="Century" w:hAnsi="Century"/>
          <w:rtl/>
        </w:rPr>
        <w:t xml:space="preserve">96 </w:t>
      </w:r>
      <w:r w:rsidRPr="000D3E3C">
        <w:rPr>
          <w:rFonts w:ascii="Century" w:hAnsi="Century" w:cs="Miriam"/>
          <w:b/>
          <w:spacing w:val="0"/>
          <w:szCs w:val="24"/>
          <w:rtl/>
        </w:rPr>
        <w:t>נחמני נ' נחמני</w:t>
      </w:r>
      <w:r w:rsidRPr="00567536">
        <w:rPr>
          <w:rFonts w:ascii="Century" w:hAnsi="Century"/>
          <w:rtl/>
        </w:rPr>
        <w:t xml:space="preserve">, </w:t>
      </w:r>
      <w:r>
        <w:rPr>
          <w:rFonts w:ascii="Century" w:hAnsi="Century" w:hint="cs"/>
          <w:rtl/>
        </w:rPr>
        <w:t>פ"ד מט(5) 598, 606 (1996)</w:t>
      </w:r>
      <w:r w:rsidRPr="00567536">
        <w:rPr>
          <w:rFonts w:ascii="Century" w:hAnsi="Century"/>
          <w:rtl/>
        </w:rPr>
        <w:t>).</w:t>
      </w:r>
      <w:r>
        <w:rPr>
          <w:rFonts w:hint="cs"/>
          <w:rtl/>
        </w:rPr>
        <w:t xml:space="preserve"> בענייננו, כפי שהוברר, הפרשנות המקיימת היא יצירת יש מאַין וכזאת לא ניתָּן. </w:t>
      </w:r>
    </w:p>
    <w:p w:rsidR="00AC74AF" w:rsidRDefault="00AC74AF" w:rsidP="00AC74AF">
      <w:pPr>
        <w:pStyle w:val="Ruller41"/>
        <w:rPr>
          <w:rFonts w:ascii="Century" w:hAnsi="Century"/>
          <w:rtl/>
        </w:rPr>
      </w:pPr>
    </w:p>
    <w:p w:rsidR="00AC74AF" w:rsidRDefault="00AC74AF" w:rsidP="00AC74AF">
      <w:pPr>
        <w:pStyle w:val="Ruller41"/>
        <w:rPr>
          <w:rFonts w:ascii="Century" w:hAnsi="Century"/>
          <w:rtl/>
        </w:rPr>
      </w:pPr>
      <w:r>
        <w:rPr>
          <w:rFonts w:ascii="Century" w:hAnsi="Century" w:hint="cs"/>
          <w:rtl/>
        </w:rPr>
        <w:lastRenderedPageBreak/>
        <w:t>23.</w:t>
      </w:r>
      <w:r>
        <w:rPr>
          <w:rFonts w:ascii="Century" w:hAnsi="Century" w:hint="cs"/>
          <w:rtl/>
        </w:rPr>
        <w:tab/>
        <w:t xml:space="preserve">יצוין כי לצד הפרשנות המקיימת לתיקון לחוק היסוד, הכנסת מציעה כי בתי המשפט יעשו שימוש רחב בעילות הביקורת האחרות מן המשפט המינהלי </w:t>
      </w:r>
      <w:r>
        <w:rPr>
          <w:rFonts w:ascii="Century" w:hAnsi="Century"/>
          <w:rtl/>
        </w:rPr>
        <w:t>–</w:t>
      </w:r>
      <w:r>
        <w:rPr>
          <w:rFonts w:ascii="Century" w:hAnsi="Century" w:hint="cs"/>
          <w:rtl/>
        </w:rPr>
        <w:t xml:space="preserve"> ובכך לטענתה יצומצם עד מאוד הנזק הגלום בביטול עילת הסבירות ביחס להחלטות הממשלה. משמצאתי כי אין יסוד לפרשנות המקיימת לתיקון, ממילא תוכנית פעולה זו אין לה תקנה. זאת ועוד. מדובר ב"תוכנית מעקפים" </w:t>
      </w:r>
      <w:r>
        <w:rPr>
          <w:rFonts w:ascii="Century" w:hAnsi="Century"/>
          <w:rtl/>
        </w:rPr>
        <w:t>–</w:t>
      </w:r>
      <w:r>
        <w:rPr>
          <w:rFonts w:ascii="Century" w:hAnsi="Century" w:hint="cs"/>
          <w:rtl/>
        </w:rPr>
        <w:t xml:space="preserve"> שכל מטרתה להימנע מלהכריז על התיקון לחוק היסוד כבטל, אף במחיר ריקונו מתוכן. משיבי הממשלה, כמו גם יו"ר ועדת החוקה, מתנגדים כולם לתוכנית המוצעת על ידי הכנסת </w:t>
      </w:r>
      <w:r>
        <w:rPr>
          <w:rFonts w:ascii="Century" w:hAnsi="Century"/>
          <w:rtl/>
        </w:rPr>
        <w:t>–</w:t>
      </w:r>
      <w:r>
        <w:rPr>
          <w:rFonts w:ascii="Century" w:hAnsi="Century" w:hint="cs"/>
          <w:rtl/>
        </w:rPr>
        <w:t xml:space="preserve"> בהיותה חוטאת באופן מובהק לתכליתו הברורה של התיקון. בנקודה זו, ובה בלבד, אני תמימת דעים עימם. מכל מקום אין זה מדרכו של בית המשפט לעקוף דבר חקיקה, אלא לאכוף אותו. </w:t>
      </w:r>
    </w:p>
    <w:p w:rsidR="00AC74AF" w:rsidRDefault="00AC74AF" w:rsidP="00AC74AF">
      <w:pPr>
        <w:pStyle w:val="Ruller41"/>
        <w:spacing w:line="240" w:lineRule="auto"/>
        <w:rPr>
          <w:rFonts w:ascii="Century" w:hAnsi="Century"/>
          <w:rtl/>
        </w:rPr>
      </w:pPr>
      <w:r>
        <w:rPr>
          <w:rFonts w:ascii="Century" w:hAnsi="Century" w:hint="cs"/>
          <w:rtl/>
        </w:rPr>
        <w:t xml:space="preserve"> </w:t>
      </w:r>
    </w:p>
    <w:p w:rsidR="00AC74AF" w:rsidRDefault="00AC74AF" w:rsidP="00AC74AF">
      <w:pPr>
        <w:pStyle w:val="Ruller41"/>
        <w:rPr>
          <w:rFonts w:ascii="Century" w:hAnsi="Century"/>
          <w:rtl/>
        </w:rPr>
      </w:pPr>
      <w:r>
        <w:rPr>
          <w:rFonts w:ascii="Century" w:hAnsi="Century"/>
          <w:rtl/>
        </w:rPr>
        <w:tab/>
      </w:r>
      <w:r>
        <w:rPr>
          <w:rFonts w:ascii="Century" w:hAnsi="Century" w:hint="cs"/>
          <w:rtl/>
        </w:rPr>
        <w:t xml:space="preserve">ועוד ייאמר, כי ספק רב אם יש ביכולתן של </w:t>
      </w:r>
      <w:r w:rsidRPr="00751458">
        <w:rPr>
          <w:rFonts w:ascii="Century" w:hAnsi="Century"/>
          <w:rtl/>
        </w:rPr>
        <w:t xml:space="preserve">עילות ביקורת מינהליות אחרות </w:t>
      </w:r>
      <w:r>
        <w:rPr>
          <w:rFonts w:ascii="Century" w:hAnsi="Century" w:hint="cs"/>
          <w:rtl/>
        </w:rPr>
        <w:t>לכסות על היעדרה של עילת הסבירות מארסנל הביקורת השיפוטית על החלטות הממשלה. כך משום ש</w:t>
      </w:r>
      <w:r w:rsidRPr="00751458">
        <w:rPr>
          <w:rFonts w:ascii="Century" w:hAnsi="Century"/>
          <w:rtl/>
        </w:rPr>
        <w:t xml:space="preserve">הדיון בעילת הסבירות מניח כי הרשות שקלה שיקולים חוקיים בלבד, ובכך ייחודה ועדיפותה של עילה זו על פני </w:t>
      </w:r>
      <w:r>
        <w:rPr>
          <w:rFonts w:ascii="Century" w:hAnsi="Century" w:hint="cs"/>
          <w:rtl/>
        </w:rPr>
        <w:t>העילות</w:t>
      </w:r>
      <w:r w:rsidRPr="00751458">
        <w:rPr>
          <w:rFonts w:ascii="Century" w:hAnsi="Century"/>
          <w:rtl/>
        </w:rPr>
        <w:t xml:space="preserve"> </w:t>
      </w:r>
      <w:r>
        <w:rPr>
          <w:rFonts w:ascii="Century" w:hAnsi="Century" w:hint="cs"/>
          <w:rtl/>
        </w:rPr>
        <w:t>ה</w:t>
      </w:r>
      <w:r w:rsidRPr="00751458">
        <w:rPr>
          <w:rFonts w:ascii="Century" w:hAnsi="Century"/>
          <w:rtl/>
        </w:rPr>
        <w:t>אחרות כדוגמת חוסר תום לב, שרירות ושיקולים זרים (</w:t>
      </w:r>
      <w:r w:rsidRPr="008C127E">
        <w:rPr>
          <w:rFonts w:ascii="Century" w:hAnsi="Century" w:cs="Miriam"/>
          <w:b/>
          <w:spacing w:val="0"/>
          <w:szCs w:val="24"/>
          <w:rtl/>
        </w:rPr>
        <w:t>ברק-ארז</w:t>
      </w:r>
      <w:r>
        <w:rPr>
          <w:rFonts w:ascii="Century" w:hAnsi="Century"/>
          <w:rtl/>
        </w:rPr>
        <w:t>, עמ' 725)</w:t>
      </w:r>
      <w:r>
        <w:rPr>
          <w:rFonts w:ascii="Century" w:hAnsi="Century" w:hint="cs"/>
          <w:rtl/>
        </w:rPr>
        <w:t>; כך משום</w:t>
      </w:r>
      <w:r w:rsidRPr="00751458">
        <w:rPr>
          <w:rFonts w:ascii="Century" w:hAnsi="Century"/>
          <w:rtl/>
        </w:rPr>
        <w:t xml:space="preserve"> </w:t>
      </w:r>
      <w:r>
        <w:rPr>
          <w:rFonts w:ascii="Century" w:hAnsi="Century" w:hint="cs"/>
          <w:rtl/>
        </w:rPr>
        <w:t>ש</w:t>
      </w:r>
      <w:r w:rsidRPr="00751458">
        <w:rPr>
          <w:rFonts w:ascii="Century" w:hAnsi="Century"/>
          <w:rtl/>
        </w:rPr>
        <w:t xml:space="preserve">עילות אלה </w:t>
      </w:r>
      <w:r>
        <w:rPr>
          <w:rFonts w:ascii="Century" w:hAnsi="Century" w:hint="cs"/>
          <w:rtl/>
        </w:rPr>
        <w:t xml:space="preserve">קשות עד מאוד להוכחה, </w:t>
      </w:r>
      <w:r w:rsidRPr="00751458">
        <w:rPr>
          <w:rFonts w:ascii="Century" w:hAnsi="Century"/>
          <w:rtl/>
        </w:rPr>
        <w:t>שכן כידוע בית המשפט אינו "</w:t>
      </w:r>
      <w:r w:rsidRPr="008C127E">
        <w:rPr>
          <w:rFonts w:ascii="Century" w:hAnsi="Century" w:cs="Miriam"/>
          <w:b/>
          <w:spacing w:val="0"/>
          <w:szCs w:val="24"/>
          <w:rtl/>
        </w:rPr>
        <w:t>בוחן כליות ולב</w:t>
      </w:r>
      <w:r w:rsidRPr="00751458">
        <w:rPr>
          <w:rFonts w:ascii="Century" w:hAnsi="Century"/>
          <w:rtl/>
        </w:rPr>
        <w:t xml:space="preserve">" (בג"ץ 4790/14 </w:t>
      </w:r>
      <w:r w:rsidRPr="008C127E">
        <w:rPr>
          <w:rFonts w:ascii="Century" w:hAnsi="Century" w:cs="Miriam"/>
          <w:b/>
          <w:spacing w:val="0"/>
          <w:szCs w:val="24"/>
          <w:rtl/>
        </w:rPr>
        <w:t>יהדות התורה-אגודת ישראל-דגל התורה נ' השר לשירותי דת</w:t>
      </w:r>
      <w:r>
        <w:rPr>
          <w:rFonts w:ascii="Century" w:hAnsi="Century"/>
          <w:rtl/>
        </w:rPr>
        <w:t>, פסק</w:t>
      </w:r>
      <w:r>
        <w:rPr>
          <w:rFonts w:ascii="Century" w:hAnsi="Century" w:hint="cs"/>
          <w:rtl/>
        </w:rPr>
        <w:t>אות</w:t>
      </w:r>
      <w:r w:rsidRPr="00751458">
        <w:rPr>
          <w:rFonts w:ascii="Century" w:hAnsi="Century"/>
          <w:rtl/>
        </w:rPr>
        <w:t xml:space="preserve"> 50</w:t>
      </w:r>
      <w:r>
        <w:rPr>
          <w:rFonts w:ascii="Century" w:hAnsi="Century" w:hint="cs"/>
          <w:rtl/>
        </w:rPr>
        <w:t>, 55</w:t>
      </w:r>
      <w:r w:rsidRPr="00751458">
        <w:rPr>
          <w:rFonts w:ascii="Century" w:hAnsi="Century"/>
          <w:rtl/>
        </w:rPr>
        <w:t xml:space="preserve"> (19.10.2014)); </w:t>
      </w:r>
      <w:r>
        <w:rPr>
          <w:rFonts w:ascii="Century" w:hAnsi="Century" w:hint="cs"/>
          <w:rtl/>
        </w:rPr>
        <w:t>וכך משום</w:t>
      </w:r>
      <w:r w:rsidRPr="00751458">
        <w:rPr>
          <w:rFonts w:ascii="Century" w:hAnsi="Century"/>
          <w:rtl/>
        </w:rPr>
        <w:t xml:space="preserve"> שהשימוש בהן משמעותו כי בהחלטת המינהל דבקו דופי אישי או פגם מוסרי חמור. </w:t>
      </w:r>
      <w:r>
        <w:rPr>
          <w:rFonts w:ascii="Century" w:hAnsi="Century" w:hint="cs"/>
          <w:rtl/>
        </w:rPr>
        <w:t>לא בכדי אפוא עילת הסבירות דחקה במידה רבה את עילות הביקורת האחרות:</w:t>
      </w:r>
    </w:p>
    <w:p w:rsidR="00AC74AF" w:rsidRDefault="00AC74AF" w:rsidP="00AC74AF">
      <w:pPr>
        <w:pStyle w:val="Ruller41"/>
        <w:spacing w:line="240" w:lineRule="auto"/>
        <w:rPr>
          <w:rFonts w:ascii="Century" w:hAnsi="Century"/>
          <w:rtl/>
        </w:rPr>
      </w:pPr>
    </w:p>
    <w:p w:rsidR="00AC74AF" w:rsidRPr="00751458" w:rsidRDefault="00AC74AF" w:rsidP="00AC74AF">
      <w:pPr>
        <w:pStyle w:val="Ruller5"/>
        <w:rPr>
          <w:rtl/>
        </w:rPr>
      </w:pPr>
      <w:r w:rsidRPr="00A81684">
        <w:rPr>
          <w:rtl/>
        </w:rPr>
        <w:t xml:space="preserve">"אכן, נטל קשה מוטל על עותר, החייב להוכיח שיקול סובייקטיבי פסול של רשות מוסמכת. מחשבות קשות הן להוכחה, ומחשבות שלא כדין על אחת כמה וכמה. מכאן המגמה המודרנית במשפט המינהלי לעבור ממבחנים סובייקטיביים באשר לפסלות שיקול הדעת (כגון שיקולים זרים) לעבר מבחנים אובייקטיביים (כגון סבירות)" </w:t>
      </w:r>
      <w:r w:rsidRPr="00751458">
        <w:rPr>
          <w:rtl/>
        </w:rPr>
        <w:t xml:space="preserve">(בג"ץ 571/89 </w:t>
      </w:r>
      <w:r w:rsidRPr="008C127E">
        <w:rPr>
          <w:rFonts w:cs="Miriam"/>
          <w:b/>
          <w:spacing w:val="0"/>
          <w:szCs w:val="24"/>
          <w:rtl/>
        </w:rPr>
        <w:t>מוסקוביץ נ מועצת השמאים</w:t>
      </w:r>
      <w:r w:rsidRPr="00751458">
        <w:rPr>
          <w:rtl/>
        </w:rPr>
        <w:t>, פ"ד מד(2) 236, 246 (1990)).</w:t>
      </w:r>
    </w:p>
    <w:p w:rsidR="00AC74AF" w:rsidRPr="008D5DFF" w:rsidRDefault="00AC74AF" w:rsidP="00AC74AF">
      <w:pPr>
        <w:pStyle w:val="Ruller41"/>
        <w:rPr>
          <w:rFonts w:ascii="Century" w:hAnsi="Century"/>
          <w:sz w:val="28"/>
          <w:szCs w:val="34"/>
          <w:rtl/>
        </w:rPr>
      </w:pPr>
    </w:p>
    <w:p w:rsidR="00AC74AF" w:rsidRDefault="00AC74AF" w:rsidP="00AC74AF">
      <w:pPr>
        <w:pStyle w:val="Ruller41"/>
        <w:rPr>
          <w:rFonts w:ascii="Century" w:hAnsi="Century"/>
          <w:rtl/>
        </w:rPr>
      </w:pPr>
      <w:r>
        <w:rPr>
          <w:rFonts w:ascii="Century" w:hAnsi="Century"/>
          <w:rtl/>
        </w:rPr>
        <w:tab/>
      </w:r>
      <w:r w:rsidRPr="00787C15">
        <w:rPr>
          <w:rFonts w:ascii="Century" w:hAnsi="Century" w:cs="Miriam" w:hint="cs"/>
          <w:b/>
          <w:spacing w:val="0"/>
          <w:szCs w:val="24"/>
          <w:rtl/>
        </w:rPr>
        <w:t>עילת המידתיות</w:t>
      </w:r>
      <w:r w:rsidRPr="00787C15">
        <w:rPr>
          <w:rFonts w:ascii="Century" w:hAnsi="Century" w:hint="cs"/>
          <w:rtl/>
        </w:rPr>
        <w:t xml:space="preserve"> </w:t>
      </w:r>
      <w:r>
        <w:rPr>
          <w:rFonts w:ascii="Century" w:hAnsi="Century" w:hint="cs"/>
          <w:rtl/>
        </w:rPr>
        <w:t xml:space="preserve">אף היא אינה תחליף לעילת הסבירות ברבים מן המקרים </w:t>
      </w:r>
      <w:r>
        <w:rPr>
          <w:rFonts w:ascii="Century" w:hAnsi="Century"/>
          <w:rtl/>
        </w:rPr>
        <w:t>–</w:t>
      </w:r>
      <w:r>
        <w:rPr>
          <w:rFonts w:ascii="Century" w:hAnsi="Century" w:hint="cs"/>
          <w:rtl/>
        </w:rPr>
        <w:t xml:space="preserve"> שכן השימוש בה נועד למצבים ייחודיים שבהם החלטת הרשות פוגעת </w:t>
      </w:r>
      <w:r w:rsidRPr="00774625">
        <w:rPr>
          <w:rFonts w:ascii="Century" w:hAnsi="Century" w:cs="Miriam" w:hint="cs"/>
          <w:b/>
          <w:spacing w:val="0"/>
          <w:szCs w:val="24"/>
          <w:rtl/>
        </w:rPr>
        <w:t>בזכויות יסוד</w:t>
      </w:r>
      <w:r w:rsidRPr="00774625">
        <w:rPr>
          <w:rFonts w:ascii="Century" w:hAnsi="Century" w:hint="cs"/>
          <w:rtl/>
        </w:rPr>
        <w:t xml:space="preserve"> </w:t>
      </w:r>
      <w:r>
        <w:rPr>
          <w:rFonts w:ascii="Century" w:hAnsi="Century" w:hint="cs"/>
          <w:rtl/>
        </w:rPr>
        <w:t xml:space="preserve">של הפרט. יתרונה של עילת הסבירות הוא בכך שניתן לעשות בה שימוש גם ביחס לפגיעות שאינן עולות כדי פגיעה בזכות יסוד, כדוגמת פגיעה באינטרסים כלכליים, חברתיים ואחרים של הפרט. כפי שיפורט בהמשך, ישנם מצבים שבהם </w:t>
      </w:r>
      <w:r w:rsidRPr="00523908">
        <w:rPr>
          <w:rFonts w:ascii="Century" w:hAnsi="Century" w:cs="Miriam" w:hint="cs"/>
          <w:b/>
          <w:spacing w:val="0"/>
          <w:szCs w:val="24"/>
          <w:rtl/>
        </w:rPr>
        <w:t>כלל לא ניתן</w:t>
      </w:r>
      <w:r w:rsidRPr="00523908">
        <w:rPr>
          <w:rFonts w:ascii="Century" w:hAnsi="Century" w:hint="cs"/>
          <w:rtl/>
        </w:rPr>
        <w:t xml:space="preserve"> </w:t>
      </w:r>
      <w:r>
        <w:rPr>
          <w:rFonts w:ascii="Century" w:hAnsi="Century" w:hint="cs"/>
          <w:rtl/>
        </w:rPr>
        <w:t xml:space="preserve">להעביר את ההחלטה המינהלית תחת ביקורת שיפוטית אלא בעילה של סבירות איזונית </w:t>
      </w:r>
      <w:r>
        <w:rPr>
          <w:rFonts w:ascii="Century" w:hAnsi="Century"/>
          <w:rtl/>
        </w:rPr>
        <w:t>–</w:t>
      </w:r>
      <w:r>
        <w:rPr>
          <w:rFonts w:ascii="Century" w:hAnsi="Century" w:hint="cs"/>
          <w:rtl/>
        </w:rPr>
        <w:t xml:space="preserve"> וכאלה הן, למשל, החלטות בנושא מינויים בשירות הציבורי; החלטות המתקבלות על ידי ממשלות מעבר </w:t>
      </w:r>
      <w:r>
        <w:rPr>
          <w:rFonts w:ascii="Century" w:hAnsi="Century" w:hint="cs"/>
          <w:rtl/>
        </w:rPr>
        <w:lastRenderedPageBreak/>
        <w:t xml:space="preserve">בנושאים מסוימים; והחלטות שיש בהן פגיעה באינטרסים ציבוריים שאינה עולה כדי פגיעה בזכות של הפרט.  </w:t>
      </w:r>
    </w:p>
    <w:p w:rsidR="00AC74AF" w:rsidRDefault="00AC74AF" w:rsidP="00AC74AF">
      <w:pPr>
        <w:pStyle w:val="Ruller41"/>
        <w:rPr>
          <w:rFonts w:ascii="Century" w:hAnsi="Century"/>
          <w:rtl/>
        </w:rPr>
      </w:pPr>
    </w:p>
    <w:p w:rsidR="00AC74AF" w:rsidRDefault="00AC74AF" w:rsidP="004252F2">
      <w:pPr>
        <w:pStyle w:val="Ruller41"/>
        <w:rPr>
          <w:rFonts w:ascii="Century" w:hAnsi="Century"/>
          <w:rtl/>
        </w:rPr>
      </w:pPr>
      <w:r>
        <w:rPr>
          <w:rFonts w:ascii="Century" w:hAnsi="Century" w:hint="cs"/>
          <w:rtl/>
        </w:rPr>
        <w:t>24.</w:t>
      </w:r>
      <w:r>
        <w:rPr>
          <w:rFonts w:ascii="Century" w:hAnsi="Century"/>
          <w:rtl/>
        </w:rPr>
        <w:tab/>
      </w:r>
      <w:r>
        <w:rPr>
          <w:rFonts w:ascii="Century" w:hAnsi="Century" w:hint="cs"/>
          <w:rtl/>
        </w:rPr>
        <w:t xml:space="preserve">אוסיף עוד זאת. בהיעדר דיכוטומיה בנוגע למובניה השונים של עילת הסבירות, לא רק שנשמט היסוד תחת הפרשנות המקיימת </w:t>
      </w:r>
      <w:r>
        <w:rPr>
          <w:rFonts w:ascii="Century" w:hAnsi="Century"/>
          <w:rtl/>
        </w:rPr>
        <w:t>–</w:t>
      </w:r>
      <w:r>
        <w:rPr>
          <w:rFonts w:ascii="Century" w:hAnsi="Century" w:hint="cs"/>
          <w:rtl/>
        </w:rPr>
        <w:t xml:space="preserve"> אלא שאם היינו מאמצים אותה, היינו מכבירים על ההתדיינות המשפטית ביחס להחלטה המינהלית שורה של מחלוקות מזן חדש. בפרט, ייפתח הפתח לטעון ביחס לסבירות המסורתית הנטענת בעתירה, או ביחס לכל עילה אחרת מהמשפט המינהלי (כדוגמת מידתיות), כי מדובר למעשה בסבירות איזונית "במסווה". </w:t>
      </w:r>
    </w:p>
    <w:p w:rsidR="00AC74AF" w:rsidRPr="00F60AAC" w:rsidRDefault="00AC74AF" w:rsidP="00AC74AF">
      <w:pPr>
        <w:pStyle w:val="Ruller41"/>
        <w:spacing w:line="240" w:lineRule="auto"/>
        <w:rPr>
          <w:rFonts w:ascii="Century" w:hAnsi="Century"/>
          <w:rtl/>
        </w:rPr>
      </w:pPr>
    </w:p>
    <w:p w:rsidR="00AC74AF" w:rsidRPr="000055BB" w:rsidRDefault="00AC74AF" w:rsidP="00AC74AF">
      <w:pPr>
        <w:pStyle w:val="Ruller41"/>
        <w:rPr>
          <w:rFonts w:ascii="Century" w:hAnsi="Century" w:cs="Miriam"/>
          <w:b/>
          <w:spacing w:val="0"/>
          <w:szCs w:val="24"/>
          <w:rtl/>
        </w:rPr>
      </w:pPr>
      <w:r w:rsidRPr="000055BB">
        <w:rPr>
          <w:rFonts w:ascii="Century" w:hAnsi="Century" w:cs="Miriam" w:hint="cs"/>
          <w:b/>
          <w:spacing w:val="0"/>
          <w:szCs w:val="24"/>
          <w:rtl/>
        </w:rPr>
        <w:t xml:space="preserve">הפגיעה ביסודות הגרעיניים של הדמוקרטיה </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Pr>
          <w:rFonts w:ascii="Century" w:hAnsi="Century" w:hint="cs"/>
          <w:rtl/>
        </w:rPr>
        <w:t>25</w:t>
      </w:r>
      <w:r w:rsidRPr="00F60AAC">
        <w:rPr>
          <w:rFonts w:ascii="Century" w:hAnsi="Century" w:hint="cs"/>
          <w:rtl/>
        </w:rPr>
        <w:t>.</w:t>
      </w:r>
      <w:r w:rsidRPr="00F60AAC">
        <w:rPr>
          <w:rFonts w:ascii="Century" w:hAnsi="Century" w:hint="cs"/>
          <w:rtl/>
        </w:rPr>
        <w:tab/>
        <w:t xml:space="preserve">אדריכלי התיקון לחוק היסוד הציגו אותו לחברי ועדת החוקה, לכנסת ואף לציבור כמהלך שנועד "לחזק את הדמוקרטיה" </w:t>
      </w:r>
      <w:r w:rsidRPr="00F60AAC">
        <w:rPr>
          <w:rFonts w:ascii="Century" w:hAnsi="Century"/>
          <w:rtl/>
        </w:rPr>
        <w:t>–</w:t>
      </w:r>
      <w:r w:rsidRPr="00F60AAC">
        <w:rPr>
          <w:rFonts w:ascii="Century" w:hAnsi="Century" w:hint="cs"/>
          <w:rtl/>
        </w:rPr>
        <w:t xml:space="preserve"> זאת באמצעות ביצור ה"משילות". בתוך כך, בדברי ההסבר צוין כי "</w:t>
      </w:r>
      <w:r w:rsidRPr="005625E5">
        <w:rPr>
          <w:rFonts w:ascii="Century" w:hAnsi="Century" w:cs="Miriam" w:hint="cs"/>
          <w:b/>
          <w:spacing w:val="0"/>
          <w:szCs w:val="24"/>
          <w:rtl/>
        </w:rPr>
        <w:t xml:space="preserve">קביעת האיזון הערכי בין השיקולים השונים הנוגעים </w:t>
      </w:r>
      <w:r>
        <w:rPr>
          <w:rFonts w:ascii="Century" w:hAnsi="Century" w:cs="Miriam" w:hint="cs"/>
          <w:b/>
          <w:spacing w:val="0"/>
          <w:szCs w:val="24"/>
          <w:rtl/>
        </w:rPr>
        <w:t>להחלטה מינהלית</w:t>
      </w:r>
      <w:r w:rsidRPr="005625E5">
        <w:rPr>
          <w:rFonts w:ascii="Century" w:hAnsi="Century" w:cs="Miriam" w:hint="cs"/>
          <w:b/>
          <w:spacing w:val="0"/>
          <w:szCs w:val="24"/>
          <w:rtl/>
        </w:rPr>
        <w:t xml:space="preserve"> צריכה להיות נתונה לנבחרי הציבור ולא לבית המשפט</w:t>
      </w:r>
      <w:r w:rsidRPr="00F60AAC">
        <w:rPr>
          <w:rFonts w:ascii="Century" w:hAnsi="Century" w:hint="cs"/>
          <w:rtl/>
        </w:rPr>
        <w:t>"</w:t>
      </w:r>
      <w:r>
        <w:rPr>
          <w:rFonts w:ascii="Century" w:hAnsi="Century" w:hint="cs"/>
          <w:rtl/>
        </w:rPr>
        <w:t>.</w:t>
      </w:r>
      <w:r w:rsidRPr="00F60AAC">
        <w:rPr>
          <w:rFonts w:ascii="Century" w:hAnsi="Century" w:hint="cs"/>
          <w:rtl/>
        </w:rPr>
        <w:t xml:space="preserve"> בכל הכבוד, מדובר ברטוריקה מטעה. התיקון לחוק היסוד לא רק שאינו מחזק את המשטר הדמוקרטי בישראל </w:t>
      </w:r>
      <w:r w:rsidRPr="00F60AAC">
        <w:rPr>
          <w:rFonts w:ascii="Century" w:hAnsi="Century"/>
          <w:rtl/>
        </w:rPr>
        <w:t>–</w:t>
      </w:r>
      <w:r w:rsidRPr="00F60AAC">
        <w:rPr>
          <w:rFonts w:ascii="Century" w:hAnsi="Century" w:hint="cs"/>
          <w:rtl/>
        </w:rPr>
        <w:t xml:space="preserve"> אלא שהוא מנחית עליו מכת גרזן.</w:t>
      </w:r>
      <w:r>
        <w:rPr>
          <w:rFonts w:ascii="Century" w:hAnsi="Century" w:hint="cs"/>
          <w:rtl/>
        </w:rPr>
        <w:t xml:space="preserve"> ואבאר.</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sidRPr="00F60AAC">
        <w:rPr>
          <w:rFonts w:ascii="Century" w:hAnsi="Century"/>
          <w:rtl/>
        </w:rPr>
        <w:tab/>
      </w:r>
      <w:r w:rsidRPr="00F60AAC">
        <w:rPr>
          <w:rFonts w:ascii="Century" w:hAnsi="Century" w:hint="cs"/>
          <w:rtl/>
        </w:rPr>
        <w:t>כדי לרדת לשורש הדברים יש לחזור למושכלות ראשונים. מקורה של המילה "דמוקרטיה" בשפה היוונית, ומשמעותה המילולית היא "שלטון העם". ויודגש: שלטון העם ולא שלטון הרוב. "העם" הוא המִצרף של כל חלקיו ופרטיו, בין שהם נמנים עם קבוצת הרוב ובין עם קבוצות המיעוט. אכן, במשטר דמוקרטי הכרעות ציבוריות מתקבלות בהתאם ל</w:t>
      </w:r>
      <w:r w:rsidRPr="00F60AAC">
        <w:rPr>
          <w:rFonts w:ascii="Century" w:hAnsi="Century" w:hint="cs"/>
          <w:shd w:val="clear" w:color="auto" w:fill="FFFFFF"/>
          <w:rtl/>
        </w:rPr>
        <w:t>עקרון הרוב</w:t>
      </w:r>
      <w:r w:rsidRPr="00F60AAC">
        <w:rPr>
          <w:rFonts w:ascii="Century" w:hAnsi="Century" w:hint="cs"/>
          <w:rtl/>
        </w:rPr>
        <w:t xml:space="preserve"> (</w:t>
      </w:r>
      <w:r w:rsidRPr="005625E5">
        <w:rPr>
          <w:rFonts w:ascii="Century" w:hAnsi="Century" w:cs="Miriam" w:hint="cs"/>
          <w:b/>
          <w:spacing w:val="0"/>
          <w:szCs w:val="24"/>
          <w:shd w:val="clear" w:color="auto" w:fill="FFFFFF"/>
          <w:rtl/>
        </w:rPr>
        <w:t>בנק המזרחי</w:t>
      </w:r>
      <w:r w:rsidRPr="00F60AAC">
        <w:rPr>
          <w:rFonts w:ascii="Century" w:hAnsi="Century" w:hint="cs"/>
          <w:rtl/>
        </w:rPr>
        <w:t xml:space="preserve">, עמ' 546; ראו גם: </w:t>
      </w:r>
      <w:r w:rsidRPr="00F60AAC">
        <w:rPr>
          <w:rFonts w:ascii="Century" w:hAnsi="Century" w:hint="eastAsia"/>
          <w:rtl/>
        </w:rPr>
        <w:t>בג</w:t>
      </w:r>
      <w:r w:rsidRPr="00F60AAC">
        <w:rPr>
          <w:rFonts w:ascii="Century" w:hAnsi="Century"/>
          <w:rtl/>
        </w:rPr>
        <w:t>"</w:t>
      </w:r>
      <w:r w:rsidRPr="00F60AAC">
        <w:rPr>
          <w:rFonts w:ascii="Century" w:hAnsi="Century" w:hint="eastAsia"/>
          <w:rtl/>
        </w:rPr>
        <w:t>ץ</w:t>
      </w:r>
      <w:r w:rsidRPr="00F60AAC">
        <w:rPr>
          <w:rFonts w:ascii="Century" w:hAnsi="Century"/>
          <w:rtl/>
        </w:rPr>
        <w:t xml:space="preserve"> 4885/03 </w:t>
      </w:r>
      <w:r w:rsidRPr="005625E5">
        <w:rPr>
          <w:rFonts w:ascii="Century" w:hAnsi="Century" w:cs="Miriam" w:hint="eastAsia"/>
          <w:b/>
          <w:spacing w:val="0"/>
          <w:szCs w:val="24"/>
          <w:shd w:val="clear" w:color="auto" w:fill="FFFFFF"/>
          <w:rtl/>
        </w:rPr>
        <w:t>ארגון</w:t>
      </w:r>
      <w:r w:rsidRPr="005625E5">
        <w:rPr>
          <w:rFonts w:ascii="Century" w:hAnsi="Century" w:cs="Miriam"/>
          <w:b/>
          <w:spacing w:val="0"/>
          <w:szCs w:val="24"/>
          <w:shd w:val="clear" w:color="auto" w:fill="FFFFFF"/>
          <w:rtl/>
        </w:rPr>
        <w:t xml:space="preserve"> </w:t>
      </w:r>
      <w:r w:rsidRPr="005625E5">
        <w:rPr>
          <w:rFonts w:ascii="Century" w:hAnsi="Century" w:cs="Miriam" w:hint="eastAsia"/>
          <w:b/>
          <w:spacing w:val="0"/>
          <w:szCs w:val="24"/>
          <w:shd w:val="clear" w:color="auto" w:fill="FFFFFF"/>
          <w:rtl/>
        </w:rPr>
        <w:t>מגדלי</w:t>
      </w:r>
      <w:r w:rsidRPr="005625E5">
        <w:rPr>
          <w:rFonts w:ascii="Century" w:hAnsi="Century" w:cs="Miriam"/>
          <w:b/>
          <w:spacing w:val="0"/>
          <w:szCs w:val="24"/>
          <w:shd w:val="clear" w:color="auto" w:fill="FFFFFF"/>
          <w:rtl/>
        </w:rPr>
        <w:t xml:space="preserve"> </w:t>
      </w:r>
      <w:r w:rsidRPr="005625E5">
        <w:rPr>
          <w:rFonts w:ascii="Century" w:hAnsi="Century" w:cs="Miriam" w:hint="eastAsia"/>
          <w:b/>
          <w:spacing w:val="0"/>
          <w:szCs w:val="24"/>
          <w:shd w:val="clear" w:color="auto" w:fill="FFFFFF"/>
          <w:rtl/>
        </w:rPr>
        <w:t>העופות</w:t>
      </w:r>
      <w:r w:rsidRPr="005625E5">
        <w:rPr>
          <w:rFonts w:ascii="Century" w:hAnsi="Century" w:cs="Miriam"/>
          <w:b/>
          <w:spacing w:val="0"/>
          <w:szCs w:val="24"/>
          <w:shd w:val="clear" w:color="auto" w:fill="FFFFFF"/>
          <w:rtl/>
        </w:rPr>
        <w:t xml:space="preserve"> </w:t>
      </w:r>
      <w:r w:rsidRPr="005625E5">
        <w:rPr>
          <w:rFonts w:ascii="Century" w:hAnsi="Century" w:cs="Miriam" w:hint="eastAsia"/>
          <w:b/>
          <w:spacing w:val="0"/>
          <w:szCs w:val="24"/>
          <w:shd w:val="clear" w:color="auto" w:fill="FFFFFF"/>
          <w:rtl/>
        </w:rPr>
        <w:t>בישראל</w:t>
      </w:r>
      <w:r w:rsidRPr="005625E5">
        <w:rPr>
          <w:rFonts w:ascii="Century" w:hAnsi="Century" w:cs="Miriam"/>
          <w:b/>
          <w:spacing w:val="0"/>
          <w:szCs w:val="24"/>
          <w:shd w:val="clear" w:color="auto" w:fill="FFFFFF"/>
          <w:rtl/>
        </w:rPr>
        <w:t xml:space="preserve"> </w:t>
      </w:r>
      <w:r w:rsidRPr="005625E5">
        <w:rPr>
          <w:rFonts w:ascii="Century" w:hAnsi="Century" w:cs="Miriam" w:hint="eastAsia"/>
          <w:b/>
          <w:spacing w:val="0"/>
          <w:szCs w:val="24"/>
          <w:shd w:val="clear" w:color="auto" w:fill="FFFFFF"/>
          <w:rtl/>
        </w:rPr>
        <w:t>אגודה</w:t>
      </w:r>
      <w:r w:rsidRPr="005625E5">
        <w:rPr>
          <w:rFonts w:ascii="Century" w:hAnsi="Century" w:cs="Miriam"/>
          <w:b/>
          <w:spacing w:val="0"/>
          <w:szCs w:val="24"/>
          <w:shd w:val="clear" w:color="auto" w:fill="FFFFFF"/>
          <w:rtl/>
        </w:rPr>
        <w:t xml:space="preserve"> </w:t>
      </w:r>
      <w:r w:rsidRPr="005625E5">
        <w:rPr>
          <w:rFonts w:ascii="Century" w:hAnsi="Century" w:cs="Miriam" w:hint="eastAsia"/>
          <w:b/>
          <w:spacing w:val="0"/>
          <w:szCs w:val="24"/>
          <w:shd w:val="clear" w:color="auto" w:fill="FFFFFF"/>
          <w:rtl/>
        </w:rPr>
        <w:t>חקלאית</w:t>
      </w:r>
      <w:r w:rsidRPr="005625E5">
        <w:rPr>
          <w:rFonts w:ascii="Century" w:hAnsi="Century" w:cs="Miriam"/>
          <w:b/>
          <w:spacing w:val="0"/>
          <w:szCs w:val="24"/>
          <w:shd w:val="clear" w:color="auto" w:fill="FFFFFF"/>
          <w:rtl/>
        </w:rPr>
        <w:t xml:space="preserve"> </w:t>
      </w:r>
      <w:r w:rsidRPr="005625E5">
        <w:rPr>
          <w:rFonts w:ascii="Century" w:hAnsi="Century" w:cs="Miriam" w:hint="eastAsia"/>
          <w:b/>
          <w:spacing w:val="0"/>
          <w:szCs w:val="24"/>
          <w:shd w:val="clear" w:color="auto" w:fill="FFFFFF"/>
          <w:rtl/>
        </w:rPr>
        <w:t>שיתופית</w:t>
      </w:r>
      <w:r w:rsidRPr="005625E5">
        <w:rPr>
          <w:rFonts w:ascii="Century" w:hAnsi="Century" w:cs="Miriam"/>
          <w:b/>
          <w:spacing w:val="0"/>
          <w:szCs w:val="24"/>
          <w:shd w:val="clear" w:color="auto" w:fill="FFFFFF"/>
          <w:rtl/>
        </w:rPr>
        <w:t xml:space="preserve"> </w:t>
      </w:r>
      <w:r w:rsidRPr="005625E5">
        <w:rPr>
          <w:rFonts w:ascii="Century" w:hAnsi="Century" w:cs="Miriam" w:hint="eastAsia"/>
          <w:b/>
          <w:spacing w:val="0"/>
          <w:szCs w:val="24"/>
          <w:shd w:val="clear" w:color="auto" w:fill="FFFFFF"/>
          <w:rtl/>
        </w:rPr>
        <w:t>בע</w:t>
      </w:r>
      <w:r w:rsidRPr="005625E5">
        <w:rPr>
          <w:rFonts w:ascii="Century" w:hAnsi="Century" w:cs="Miriam"/>
          <w:b/>
          <w:spacing w:val="0"/>
          <w:szCs w:val="24"/>
          <w:shd w:val="clear" w:color="auto" w:fill="FFFFFF"/>
          <w:rtl/>
        </w:rPr>
        <w:t>"</w:t>
      </w:r>
      <w:r w:rsidRPr="005625E5">
        <w:rPr>
          <w:rFonts w:ascii="Century" w:hAnsi="Century" w:cs="Miriam" w:hint="eastAsia"/>
          <w:b/>
          <w:spacing w:val="0"/>
          <w:szCs w:val="24"/>
          <w:shd w:val="clear" w:color="auto" w:fill="FFFFFF"/>
          <w:rtl/>
        </w:rPr>
        <w:t>מ</w:t>
      </w:r>
      <w:r w:rsidRPr="005625E5">
        <w:rPr>
          <w:rFonts w:ascii="Century" w:hAnsi="Century" w:cs="Miriam"/>
          <w:b/>
          <w:spacing w:val="0"/>
          <w:szCs w:val="24"/>
          <w:shd w:val="clear" w:color="auto" w:fill="FFFFFF"/>
          <w:rtl/>
        </w:rPr>
        <w:t xml:space="preserve"> </w:t>
      </w:r>
      <w:r w:rsidRPr="005625E5">
        <w:rPr>
          <w:rFonts w:ascii="Century" w:hAnsi="Century" w:cs="Miriam" w:hint="eastAsia"/>
          <w:b/>
          <w:spacing w:val="0"/>
          <w:szCs w:val="24"/>
          <w:shd w:val="clear" w:color="auto" w:fill="FFFFFF"/>
          <w:rtl/>
        </w:rPr>
        <w:t>נ</w:t>
      </w:r>
      <w:r w:rsidRPr="005625E5">
        <w:rPr>
          <w:rFonts w:ascii="Century" w:hAnsi="Century" w:cs="Miriam"/>
          <w:b/>
          <w:spacing w:val="0"/>
          <w:szCs w:val="24"/>
          <w:shd w:val="clear" w:color="auto" w:fill="FFFFFF"/>
          <w:rtl/>
        </w:rPr>
        <w:t xml:space="preserve">' </w:t>
      </w:r>
      <w:r w:rsidRPr="005625E5">
        <w:rPr>
          <w:rFonts w:ascii="Century" w:hAnsi="Century" w:cs="Miriam" w:hint="eastAsia"/>
          <w:b/>
          <w:spacing w:val="0"/>
          <w:szCs w:val="24"/>
          <w:shd w:val="clear" w:color="auto" w:fill="FFFFFF"/>
          <w:rtl/>
        </w:rPr>
        <w:t>ממשלת</w:t>
      </w:r>
      <w:r w:rsidRPr="005625E5">
        <w:rPr>
          <w:rFonts w:ascii="Century" w:hAnsi="Century" w:cs="Miriam"/>
          <w:b/>
          <w:spacing w:val="0"/>
          <w:szCs w:val="24"/>
          <w:shd w:val="clear" w:color="auto" w:fill="FFFFFF"/>
          <w:rtl/>
        </w:rPr>
        <w:t xml:space="preserve"> </w:t>
      </w:r>
      <w:r w:rsidRPr="005625E5">
        <w:rPr>
          <w:rFonts w:ascii="Century" w:hAnsi="Century" w:cs="Miriam" w:hint="eastAsia"/>
          <w:b/>
          <w:spacing w:val="0"/>
          <w:szCs w:val="24"/>
          <w:shd w:val="clear" w:color="auto" w:fill="FFFFFF"/>
          <w:rtl/>
        </w:rPr>
        <w:t>ישראל</w:t>
      </w:r>
      <w:r w:rsidRPr="00F60AAC">
        <w:rPr>
          <w:rFonts w:ascii="Century" w:hAnsi="Century"/>
          <w:rtl/>
        </w:rPr>
        <w:t xml:space="preserve">, </w:t>
      </w:r>
      <w:r w:rsidRPr="00F60AAC">
        <w:rPr>
          <w:rFonts w:ascii="Century" w:hAnsi="Century" w:hint="eastAsia"/>
          <w:rtl/>
        </w:rPr>
        <w:t>נט</w:t>
      </w:r>
      <w:r w:rsidRPr="00F60AAC">
        <w:rPr>
          <w:rFonts w:ascii="Century" w:hAnsi="Century"/>
          <w:rtl/>
        </w:rPr>
        <w:t>(2) 14</w:t>
      </w:r>
      <w:r w:rsidRPr="00F60AAC">
        <w:rPr>
          <w:rFonts w:ascii="Century" w:hAnsi="Century" w:hint="cs"/>
          <w:rtl/>
        </w:rPr>
        <w:t xml:space="preserve">, </w:t>
      </w:r>
      <w:r>
        <w:rPr>
          <w:rFonts w:ascii="Century" w:hAnsi="Century" w:hint="cs"/>
          <w:rtl/>
        </w:rPr>
        <w:t>44</w:t>
      </w:r>
      <w:r w:rsidRPr="00F60AAC">
        <w:rPr>
          <w:rFonts w:ascii="Century" w:hAnsi="Century"/>
          <w:rtl/>
        </w:rPr>
        <w:t xml:space="preserve"> (2004)</w:t>
      </w:r>
      <w:r w:rsidRPr="00F60AAC">
        <w:rPr>
          <w:rFonts w:ascii="Century" w:hAnsi="Century" w:hint="cs"/>
          <w:rtl/>
        </w:rPr>
        <w:t xml:space="preserve">). אולם עקרון הרוב אינו </w:t>
      </w:r>
      <w:r>
        <w:rPr>
          <w:rFonts w:ascii="Century" w:hAnsi="Century" w:hint="cs"/>
          <w:rtl/>
        </w:rPr>
        <w:t>רישיון</w:t>
      </w:r>
      <w:r w:rsidRPr="00F60AAC">
        <w:rPr>
          <w:rFonts w:ascii="Century" w:hAnsi="Century" w:hint="cs"/>
          <w:rtl/>
        </w:rPr>
        <w:t xml:space="preserve"> לעריצות הרוב </w:t>
      </w:r>
      <w:r w:rsidRPr="00F60AAC">
        <w:rPr>
          <w:rFonts w:ascii="Century" w:hAnsi="Century"/>
          <w:rtl/>
        </w:rPr>
        <w:t>–</w:t>
      </w:r>
      <w:r w:rsidRPr="00F60AAC">
        <w:rPr>
          <w:rFonts w:ascii="Century" w:hAnsi="Century" w:hint="cs"/>
          <w:rtl/>
        </w:rPr>
        <w:t xml:space="preserve"> ולכן </w:t>
      </w:r>
      <w:r w:rsidRPr="00F60AAC">
        <w:rPr>
          <w:rFonts w:ascii="Century" w:hAnsi="Century" w:hint="cs"/>
          <w:shd w:val="clear" w:color="auto" w:fill="FFFFFF"/>
          <w:rtl/>
        </w:rPr>
        <w:t>"</w:t>
      </w:r>
      <w:r w:rsidRPr="005625E5">
        <w:rPr>
          <w:rFonts w:ascii="Century" w:hAnsi="Century" w:cs="Miriam"/>
          <w:b/>
          <w:spacing w:val="0"/>
          <w:szCs w:val="24"/>
          <w:shd w:val="clear" w:color="auto" w:fill="FFFFFF"/>
          <w:rtl/>
        </w:rPr>
        <w:t>במשטר דמוקרטי יש להגן מכל משמר אף על עקרונות יסוד של השיטה ועל זכויות אדם, ובהן זכויות המיעוט</w:t>
      </w:r>
      <w:r w:rsidRPr="00F60AAC">
        <w:rPr>
          <w:rFonts w:ascii="Century" w:hAnsi="Century" w:hint="cs"/>
          <w:rtl/>
        </w:rPr>
        <w:t>" (</w:t>
      </w:r>
      <w:r w:rsidRPr="00F60AAC">
        <w:rPr>
          <w:rFonts w:ascii="Century" w:hAnsi="Century" w:hint="eastAsia"/>
          <w:rtl/>
        </w:rPr>
        <w:t>בג</w:t>
      </w:r>
      <w:r w:rsidRPr="00F60AAC">
        <w:rPr>
          <w:rFonts w:ascii="Century" w:hAnsi="Century"/>
          <w:rtl/>
        </w:rPr>
        <w:t>"</w:t>
      </w:r>
      <w:r w:rsidRPr="00F60AAC">
        <w:rPr>
          <w:rFonts w:ascii="Century" w:hAnsi="Century" w:hint="eastAsia"/>
          <w:rtl/>
        </w:rPr>
        <w:t>ץ</w:t>
      </w:r>
      <w:r w:rsidRPr="00F60AAC">
        <w:rPr>
          <w:rFonts w:ascii="Century" w:hAnsi="Century"/>
          <w:rtl/>
        </w:rPr>
        <w:t xml:space="preserve"> 2592/20 </w:t>
      </w:r>
      <w:r w:rsidRPr="005625E5">
        <w:rPr>
          <w:rFonts w:ascii="Century" w:hAnsi="Century" w:cs="Miriam" w:hint="eastAsia"/>
          <w:b/>
          <w:spacing w:val="0"/>
          <w:szCs w:val="24"/>
          <w:rtl/>
        </w:rPr>
        <w:t>התנועה</w:t>
      </w:r>
      <w:r w:rsidRPr="005625E5">
        <w:rPr>
          <w:rFonts w:ascii="Century" w:hAnsi="Century" w:cs="Miriam"/>
          <w:b/>
          <w:spacing w:val="0"/>
          <w:szCs w:val="24"/>
          <w:rtl/>
        </w:rPr>
        <w:t xml:space="preserve"> </w:t>
      </w:r>
      <w:r w:rsidRPr="005625E5">
        <w:rPr>
          <w:rFonts w:ascii="Century" w:hAnsi="Century" w:cs="Miriam" w:hint="eastAsia"/>
          <w:b/>
          <w:spacing w:val="0"/>
          <w:szCs w:val="24"/>
          <w:rtl/>
        </w:rPr>
        <w:t>למען</w:t>
      </w:r>
      <w:r w:rsidRPr="005625E5">
        <w:rPr>
          <w:rFonts w:ascii="Century" w:hAnsi="Century" w:cs="Miriam"/>
          <w:b/>
          <w:spacing w:val="0"/>
          <w:szCs w:val="24"/>
          <w:rtl/>
        </w:rPr>
        <w:t xml:space="preserve"> </w:t>
      </w:r>
      <w:r w:rsidRPr="005625E5">
        <w:rPr>
          <w:rFonts w:ascii="Century" w:hAnsi="Century" w:cs="Miriam" w:hint="eastAsia"/>
          <w:b/>
          <w:spacing w:val="0"/>
          <w:szCs w:val="24"/>
          <w:rtl/>
        </w:rPr>
        <w:t>איכות</w:t>
      </w:r>
      <w:r w:rsidRPr="005625E5">
        <w:rPr>
          <w:rFonts w:ascii="Century" w:hAnsi="Century" w:cs="Miriam"/>
          <w:b/>
          <w:spacing w:val="0"/>
          <w:szCs w:val="24"/>
          <w:rtl/>
        </w:rPr>
        <w:t xml:space="preserve"> </w:t>
      </w:r>
      <w:r w:rsidRPr="005625E5">
        <w:rPr>
          <w:rFonts w:ascii="Century" w:hAnsi="Century" w:cs="Miriam" w:hint="eastAsia"/>
          <w:b/>
          <w:spacing w:val="0"/>
          <w:szCs w:val="24"/>
          <w:rtl/>
        </w:rPr>
        <w:t>השלטון</w:t>
      </w:r>
      <w:r w:rsidRPr="005625E5">
        <w:rPr>
          <w:rFonts w:ascii="Century" w:hAnsi="Century" w:cs="Miriam"/>
          <w:b/>
          <w:spacing w:val="0"/>
          <w:szCs w:val="24"/>
          <w:rtl/>
        </w:rPr>
        <w:t xml:space="preserve"> </w:t>
      </w:r>
      <w:r w:rsidRPr="005625E5">
        <w:rPr>
          <w:rFonts w:ascii="Century" w:hAnsi="Century" w:cs="Miriam" w:hint="eastAsia"/>
          <w:b/>
          <w:spacing w:val="0"/>
          <w:szCs w:val="24"/>
          <w:rtl/>
        </w:rPr>
        <w:t>בישראל</w:t>
      </w:r>
      <w:r w:rsidRPr="005625E5">
        <w:rPr>
          <w:rFonts w:ascii="Century" w:hAnsi="Century" w:cs="Miriam"/>
          <w:b/>
          <w:spacing w:val="0"/>
          <w:szCs w:val="24"/>
          <w:rtl/>
        </w:rPr>
        <w:t xml:space="preserve"> </w:t>
      </w:r>
      <w:r w:rsidRPr="005625E5">
        <w:rPr>
          <w:rFonts w:ascii="Century" w:hAnsi="Century" w:cs="Miriam" w:hint="eastAsia"/>
          <w:b/>
          <w:spacing w:val="0"/>
          <w:szCs w:val="24"/>
          <w:rtl/>
        </w:rPr>
        <w:t>נ</w:t>
      </w:r>
      <w:r w:rsidRPr="005625E5">
        <w:rPr>
          <w:rFonts w:ascii="Century" w:hAnsi="Century" w:cs="Miriam"/>
          <w:b/>
          <w:spacing w:val="0"/>
          <w:szCs w:val="24"/>
          <w:rtl/>
        </w:rPr>
        <w:t xml:space="preserve">' </w:t>
      </w:r>
      <w:r w:rsidRPr="005625E5">
        <w:rPr>
          <w:rFonts w:ascii="Century" w:hAnsi="Century" w:cs="Miriam" w:hint="eastAsia"/>
          <w:b/>
          <w:spacing w:val="0"/>
          <w:szCs w:val="24"/>
          <w:rtl/>
        </w:rPr>
        <w:t>היועץ</w:t>
      </w:r>
      <w:r w:rsidRPr="005625E5">
        <w:rPr>
          <w:rFonts w:ascii="Century" w:hAnsi="Century" w:cs="Miriam"/>
          <w:b/>
          <w:spacing w:val="0"/>
          <w:szCs w:val="24"/>
          <w:rtl/>
        </w:rPr>
        <w:t xml:space="preserve"> </w:t>
      </w:r>
      <w:r w:rsidRPr="005625E5">
        <w:rPr>
          <w:rFonts w:ascii="Century" w:hAnsi="Century" w:cs="Miriam" w:hint="eastAsia"/>
          <w:b/>
          <w:spacing w:val="0"/>
          <w:szCs w:val="24"/>
          <w:rtl/>
        </w:rPr>
        <w:t>המשפטי</w:t>
      </w:r>
      <w:r w:rsidRPr="005625E5">
        <w:rPr>
          <w:rFonts w:ascii="Century" w:hAnsi="Century" w:cs="Miriam"/>
          <w:b/>
          <w:spacing w:val="0"/>
          <w:szCs w:val="24"/>
          <w:rtl/>
        </w:rPr>
        <w:t xml:space="preserve"> </w:t>
      </w:r>
      <w:r w:rsidRPr="005625E5">
        <w:rPr>
          <w:rFonts w:ascii="Century" w:hAnsi="Century" w:cs="Miriam" w:hint="eastAsia"/>
          <w:b/>
          <w:spacing w:val="0"/>
          <w:szCs w:val="24"/>
          <w:rtl/>
        </w:rPr>
        <w:t>לממשלה</w:t>
      </w:r>
      <w:r w:rsidRPr="00F60AAC">
        <w:rPr>
          <w:rFonts w:ascii="Century" w:hAnsi="Century" w:hint="cs"/>
          <w:rtl/>
        </w:rPr>
        <w:t xml:space="preserve">, פסקה 8 </w:t>
      </w:r>
      <w:r>
        <w:rPr>
          <w:rFonts w:ascii="Century" w:hAnsi="Century" w:hint="cs"/>
          <w:rtl/>
        </w:rPr>
        <w:t>לחוות דעתי</w:t>
      </w:r>
      <w:r w:rsidRPr="00F60AAC">
        <w:rPr>
          <w:rFonts w:ascii="Century" w:hAnsi="Century"/>
          <w:rtl/>
        </w:rPr>
        <w:t xml:space="preserve"> (27.</w:t>
      </w:r>
      <w:r w:rsidRPr="00F60AAC">
        <w:rPr>
          <w:rFonts w:ascii="Century" w:hAnsi="Century" w:hint="cs"/>
          <w:rtl/>
        </w:rPr>
        <w:t>5</w:t>
      </w:r>
      <w:r w:rsidRPr="00F60AAC">
        <w:rPr>
          <w:rFonts w:ascii="Century" w:hAnsi="Century"/>
          <w:rtl/>
        </w:rPr>
        <w:t>.2020)</w:t>
      </w:r>
      <w:r w:rsidRPr="00F60AAC">
        <w:rPr>
          <w:rFonts w:ascii="Century" w:hAnsi="Century" w:hint="cs"/>
          <w:rtl/>
        </w:rPr>
        <w:t>. ראו גם:</w:t>
      </w:r>
      <w:r>
        <w:rPr>
          <w:rFonts w:ascii="Century" w:hAnsi="Century" w:hint="cs"/>
          <w:rtl/>
        </w:rPr>
        <w:t xml:space="preserve"> ע"פ 255/68 </w:t>
      </w:r>
      <w:r w:rsidRPr="00DA455A">
        <w:rPr>
          <w:rFonts w:ascii="Century" w:hAnsi="Century" w:cs="Miriam" w:hint="cs"/>
          <w:b/>
          <w:spacing w:val="0"/>
          <w:szCs w:val="24"/>
          <w:rtl/>
        </w:rPr>
        <w:t>מדינת ישראל נ' בן משה</w:t>
      </w:r>
      <w:r>
        <w:rPr>
          <w:rFonts w:ascii="Century" w:hAnsi="Century" w:hint="cs"/>
          <w:rtl/>
        </w:rPr>
        <w:t>, פ"ד כב(2) 427, 436 (1968)</w:t>
      </w:r>
      <w:r w:rsidRPr="00F60AAC">
        <w:rPr>
          <w:rFonts w:ascii="Century" w:hAnsi="Century" w:hint="cs"/>
          <w:rtl/>
        </w:rPr>
        <w:t xml:space="preserve">; </w:t>
      </w:r>
      <w:r w:rsidRPr="00F60AAC">
        <w:rPr>
          <w:rFonts w:ascii="Century" w:hAnsi="Century" w:hint="eastAsia"/>
          <w:rtl/>
        </w:rPr>
        <w:t>בג</w:t>
      </w:r>
      <w:r w:rsidRPr="00F60AAC">
        <w:rPr>
          <w:rFonts w:ascii="Century" w:hAnsi="Century"/>
          <w:rtl/>
        </w:rPr>
        <w:t>"</w:t>
      </w:r>
      <w:r w:rsidRPr="00F60AAC">
        <w:rPr>
          <w:rFonts w:ascii="Century" w:hAnsi="Century" w:hint="eastAsia"/>
          <w:rtl/>
        </w:rPr>
        <w:t>ץ</w:t>
      </w:r>
      <w:r w:rsidRPr="00F60AAC">
        <w:rPr>
          <w:rFonts w:ascii="Century" w:hAnsi="Century"/>
          <w:rtl/>
        </w:rPr>
        <w:t xml:space="preserve"> 2144/20 </w:t>
      </w:r>
      <w:r w:rsidRPr="0009293C">
        <w:rPr>
          <w:rFonts w:ascii="Century" w:hAnsi="Century" w:cs="Miriam" w:hint="eastAsia"/>
          <w:b/>
          <w:spacing w:val="0"/>
          <w:szCs w:val="24"/>
          <w:rtl/>
        </w:rPr>
        <w:t>התנועה</w:t>
      </w:r>
      <w:r w:rsidRPr="0009293C">
        <w:rPr>
          <w:rFonts w:ascii="Century" w:hAnsi="Century" w:cs="Miriam"/>
          <w:b/>
          <w:spacing w:val="0"/>
          <w:szCs w:val="24"/>
          <w:rtl/>
        </w:rPr>
        <w:t xml:space="preserve"> </w:t>
      </w:r>
      <w:r w:rsidRPr="0009293C">
        <w:rPr>
          <w:rFonts w:ascii="Century" w:hAnsi="Century" w:cs="Miriam" w:hint="eastAsia"/>
          <w:b/>
          <w:spacing w:val="0"/>
          <w:szCs w:val="24"/>
          <w:rtl/>
        </w:rPr>
        <w:t>למען</w:t>
      </w:r>
      <w:r w:rsidRPr="0009293C">
        <w:rPr>
          <w:rFonts w:ascii="Century" w:hAnsi="Century" w:cs="Miriam"/>
          <w:b/>
          <w:spacing w:val="0"/>
          <w:szCs w:val="24"/>
          <w:rtl/>
        </w:rPr>
        <w:t xml:space="preserve"> </w:t>
      </w:r>
      <w:r w:rsidRPr="0009293C">
        <w:rPr>
          <w:rFonts w:ascii="Century" w:hAnsi="Century" w:cs="Miriam" w:hint="eastAsia"/>
          <w:b/>
          <w:spacing w:val="0"/>
          <w:szCs w:val="24"/>
          <w:rtl/>
        </w:rPr>
        <w:t>איכות</w:t>
      </w:r>
      <w:r w:rsidRPr="0009293C">
        <w:rPr>
          <w:rFonts w:ascii="Century" w:hAnsi="Century" w:cs="Miriam"/>
          <w:b/>
          <w:spacing w:val="0"/>
          <w:szCs w:val="24"/>
          <w:rtl/>
        </w:rPr>
        <w:t xml:space="preserve"> </w:t>
      </w:r>
      <w:r w:rsidRPr="0009293C">
        <w:rPr>
          <w:rFonts w:ascii="Century" w:hAnsi="Century" w:cs="Miriam" w:hint="eastAsia"/>
          <w:b/>
          <w:spacing w:val="0"/>
          <w:szCs w:val="24"/>
          <w:rtl/>
        </w:rPr>
        <w:t>השלטון</w:t>
      </w:r>
      <w:r w:rsidRPr="0009293C">
        <w:rPr>
          <w:rFonts w:ascii="Century" w:hAnsi="Century" w:cs="Miriam"/>
          <w:b/>
          <w:spacing w:val="0"/>
          <w:szCs w:val="24"/>
          <w:rtl/>
        </w:rPr>
        <w:t xml:space="preserve"> </w:t>
      </w:r>
      <w:r w:rsidRPr="0009293C">
        <w:rPr>
          <w:rFonts w:ascii="Century" w:hAnsi="Century" w:cs="Miriam" w:hint="eastAsia"/>
          <w:b/>
          <w:spacing w:val="0"/>
          <w:szCs w:val="24"/>
          <w:rtl/>
        </w:rPr>
        <w:t>בישראל</w:t>
      </w:r>
      <w:r w:rsidRPr="0009293C">
        <w:rPr>
          <w:rFonts w:ascii="Century" w:hAnsi="Century" w:cs="Miriam"/>
          <w:b/>
          <w:spacing w:val="0"/>
          <w:szCs w:val="24"/>
          <w:rtl/>
        </w:rPr>
        <w:t xml:space="preserve"> </w:t>
      </w:r>
      <w:r w:rsidRPr="0009293C">
        <w:rPr>
          <w:rFonts w:ascii="Century" w:hAnsi="Century" w:cs="Miriam" w:hint="eastAsia"/>
          <w:b/>
          <w:spacing w:val="0"/>
          <w:szCs w:val="24"/>
          <w:rtl/>
        </w:rPr>
        <w:t>נ</w:t>
      </w:r>
      <w:r w:rsidRPr="0009293C">
        <w:rPr>
          <w:rFonts w:ascii="Century" w:hAnsi="Century" w:cs="Miriam"/>
          <w:b/>
          <w:spacing w:val="0"/>
          <w:szCs w:val="24"/>
          <w:rtl/>
        </w:rPr>
        <w:t xml:space="preserve">' </w:t>
      </w:r>
      <w:r w:rsidRPr="0009293C">
        <w:rPr>
          <w:rFonts w:ascii="Century" w:hAnsi="Century" w:cs="Miriam" w:hint="eastAsia"/>
          <w:b/>
          <w:spacing w:val="0"/>
          <w:szCs w:val="24"/>
          <w:rtl/>
        </w:rPr>
        <w:t>יושב</w:t>
      </w:r>
      <w:r w:rsidRPr="0009293C">
        <w:rPr>
          <w:rFonts w:ascii="Century" w:hAnsi="Century" w:cs="Miriam"/>
          <w:b/>
          <w:spacing w:val="0"/>
          <w:szCs w:val="24"/>
          <w:rtl/>
        </w:rPr>
        <w:t xml:space="preserve"> </w:t>
      </w:r>
      <w:r w:rsidRPr="0009293C">
        <w:rPr>
          <w:rFonts w:ascii="Century" w:hAnsi="Century" w:cs="Miriam" w:hint="eastAsia"/>
          <w:b/>
          <w:spacing w:val="0"/>
          <w:szCs w:val="24"/>
          <w:rtl/>
        </w:rPr>
        <w:t>ראש</w:t>
      </w:r>
      <w:r w:rsidRPr="0009293C">
        <w:rPr>
          <w:rFonts w:ascii="Century" w:hAnsi="Century" w:cs="Miriam"/>
          <w:b/>
          <w:spacing w:val="0"/>
          <w:szCs w:val="24"/>
          <w:rtl/>
        </w:rPr>
        <w:t xml:space="preserve"> </w:t>
      </w:r>
      <w:r w:rsidRPr="0009293C">
        <w:rPr>
          <w:rFonts w:ascii="Century" w:hAnsi="Century" w:cs="Miriam" w:hint="eastAsia"/>
          <w:b/>
          <w:spacing w:val="0"/>
          <w:szCs w:val="24"/>
          <w:rtl/>
        </w:rPr>
        <w:t>הכנסת</w:t>
      </w:r>
      <w:r w:rsidRPr="00F60AAC">
        <w:rPr>
          <w:rFonts w:ascii="Century" w:hAnsi="Century" w:hint="cs"/>
          <w:rtl/>
        </w:rPr>
        <w:t xml:space="preserve">, פסקה 3 לחוות דעתו של השופט </w:t>
      </w:r>
      <w:r w:rsidRPr="0009293C">
        <w:rPr>
          <w:rFonts w:ascii="Century" w:hAnsi="Century" w:cs="Miriam" w:hint="cs"/>
          <w:b/>
          <w:spacing w:val="0"/>
          <w:szCs w:val="24"/>
          <w:rtl/>
        </w:rPr>
        <w:t>י' עמית</w:t>
      </w:r>
      <w:r w:rsidRPr="0009293C">
        <w:rPr>
          <w:rFonts w:ascii="Century" w:hAnsi="Century" w:hint="cs"/>
          <w:rtl/>
        </w:rPr>
        <w:t xml:space="preserve"> </w:t>
      </w:r>
      <w:r w:rsidRPr="00F60AAC">
        <w:rPr>
          <w:rFonts w:ascii="Century" w:hAnsi="Century"/>
          <w:rtl/>
        </w:rPr>
        <w:t>(23.</w:t>
      </w:r>
      <w:r w:rsidRPr="00F60AAC">
        <w:rPr>
          <w:rFonts w:ascii="Century" w:hAnsi="Century" w:hint="cs"/>
          <w:rtl/>
        </w:rPr>
        <w:t>3</w:t>
      </w:r>
      <w:r w:rsidRPr="00F60AAC">
        <w:rPr>
          <w:rFonts w:ascii="Century" w:hAnsi="Century"/>
          <w:rtl/>
        </w:rPr>
        <w:t>.2020)</w:t>
      </w:r>
      <w:r w:rsidRPr="00F60AAC">
        <w:rPr>
          <w:rFonts w:ascii="Century" w:hAnsi="Century" w:hint="cs"/>
          <w:rtl/>
        </w:rPr>
        <w:t xml:space="preserve">; </w:t>
      </w:r>
      <w:r w:rsidRPr="00F60AAC">
        <w:rPr>
          <w:rFonts w:ascii="Century" w:hAnsi="Century" w:hint="eastAsia"/>
          <w:rtl/>
        </w:rPr>
        <w:t>אלקסיס</w:t>
      </w:r>
      <w:r w:rsidRPr="00F60AAC">
        <w:rPr>
          <w:rFonts w:ascii="Century" w:hAnsi="Century"/>
          <w:rtl/>
        </w:rPr>
        <w:t xml:space="preserve"> </w:t>
      </w:r>
      <w:r w:rsidRPr="00F60AAC">
        <w:rPr>
          <w:rFonts w:ascii="Century" w:hAnsi="Century" w:hint="eastAsia"/>
          <w:rtl/>
        </w:rPr>
        <w:t>דה</w:t>
      </w:r>
      <w:r w:rsidRPr="00F60AAC">
        <w:rPr>
          <w:rFonts w:ascii="Century" w:hAnsi="Century"/>
          <w:rtl/>
        </w:rPr>
        <w:t>-</w:t>
      </w:r>
      <w:r w:rsidRPr="00F60AAC">
        <w:rPr>
          <w:rFonts w:ascii="Century" w:hAnsi="Century" w:hint="eastAsia"/>
          <w:rtl/>
        </w:rPr>
        <w:t>טוקוויל</w:t>
      </w:r>
      <w:r w:rsidRPr="00F60AAC">
        <w:rPr>
          <w:rFonts w:ascii="Century" w:hAnsi="Century" w:hint="cs"/>
          <w:rtl/>
        </w:rPr>
        <w:t xml:space="preserve"> </w:t>
      </w:r>
      <w:r w:rsidRPr="0009293C">
        <w:rPr>
          <w:rFonts w:ascii="Century" w:hAnsi="Century" w:cs="Miriam" w:hint="eastAsia"/>
          <w:b/>
          <w:spacing w:val="0"/>
          <w:szCs w:val="24"/>
          <w:rtl/>
        </w:rPr>
        <w:t>הדמוקרטיה</w:t>
      </w:r>
      <w:r w:rsidRPr="0009293C">
        <w:rPr>
          <w:rFonts w:ascii="Century" w:hAnsi="Century" w:cs="Miriam"/>
          <w:b/>
          <w:spacing w:val="0"/>
          <w:szCs w:val="24"/>
          <w:rtl/>
        </w:rPr>
        <w:t xml:space="preserve"> </w:t>
      </w:r>
      <w:r w:rsidRPr="0009293C">
        <w:rPr>
          <w:rFonts w:ascii="Century" w:hAnsi="Century" w:cs="Miriam" w:hint="eastAsia"/>
          <w:b/>
          <w:spacing w:val="0"/>
          <w:szCs w:val="24"/>
          <w:rtl/>
        </w:rPr>
        <w:t>באמריקה</w:t>
      </w:r>
      <w:r w:rsidRPr="0009293C">
        <w:rPr>
          <w:rFonts w:ascii="Century" w:hAnsi="Century" w:hint="cs"/>
          <w:rtl/>
        </w:rPr>
        <w:t xml:space="preserve"> </w:t>
      </w:r>
      <w:r w:rsidRPr="00F60AAC">
        <w:rPr>
          <w:rFonts w:ascii="Century" w:hAnsi="Century" w:hint="cs"/>
          <w:rtl/>
        </w:rPr>
        <w:t xml:space="preserve">264 </w:t>
      </w:r>
      <w:r>
        <w:rPr>
          <w:rFonts w:ascii="Century" w:hAnsi="Century" w:hint="cs"/>
          <w:rtl/>
        </w:rPr>
        <w:t xml:space="preserve">(אהרן אמיר מתרגם) </w:t>
      </w:r>
      <w:r w:rsidRPr="00F60AAC">
        <w:rPr>
          <w:rFonts w:ascii="Century" w:hAnsi="Century" w:hint="cs"/>
          <w:rtl/>
        </w:rPr>
        <w:t xml:space="preserve">(2008)). ובלשונו של השופט </w:t>
      </w:r>
      <w:r w:rsidRPr="0009293C">
        <w:rPr>
          <w:rFonts w:ascii="Century" w:hAnsi="Century" w:cs="Miriam" w:hint="cs"/>
          <w:b/>
          <w:spacing w:val="0"/>
          <w:szCs w:val="24"/>
          <w:shd w:val="clear" w:color="auto" w:fill="FFFFFF"/>
          <w:rtl/>
        </w:rPr>
        <w:t>א' רובינשטיין</w:t>
      </w:r>
      <w:r w:rsidRPr="00F60AAC">
        <w:rPr>
          <w:rFonts w:ascii="Century" w:hAnsi="Century" w:hint="cs"/>
          <w:rtl/>
        </w:rPr>
        <w:t>:</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5"/>
        <w:rPr>
          <w:rtl/>
        </w:rPr>
      </w:pPr>
      <w:r w:rsidRPr="00F60AAC">
        <w:rPr>
          <w:rFonts w:hint="cs"/>
          <w:rtl/>
        </w:rPr>
        <w:t>"</w:t>
      </w:r>
      <w:r w:rsidRPr="00F60AAC">
        <w:rPr>
          <w:rtl/>
        </w:rPr>
        <w:t xml:space="preserve">דמוקרטיה, במשמעותה האמיתית והמהותית, טומנת בחובה לא רק את עקרון רצונו של הרוב אלא גם את הגבלת רצונו של הרוב. </w:t>
      </w:r>
      <w:r w:rsidRPr="008C4CE1">
        <w:rPr>
          <w:rFonts w:ascii="Century" w:hAnsi="Century" w:cs="Miriam"/>
          <w:b/>
          <w:spacing w:val="0"/>
          <w:szCs w:val="24"/>
          <w:shd w:val="clear" w:color="auto" w:fill="FFFFFF"/>
          <w:rtl/>
        </w:rPr>
        <w:t xml:space="preserve">המתח המתמיד שבין שני זרמים </w:t>
      </w:r>
      <w:r w:rsidRPr="008C4CE1">
        <w:rPr>
          <w:rFonts w:ascii="Century" w:hAnsi="Century" w:cs="Miriam"/>
          <w:b/>
          <w:spacing w:val="0"/>
          <w:szCs w:val="24"/>
          <w:shd w:val="clear" w:color="auto" w:fill="FFFFFF"/>
          <w:rtl/>
        </w:rPr>
        <w:lastRenderedPageBreak/>
        <w:t xml:space="preserve">אלה </w:t>
      </w:r>
      <w:r>
        <w:rPr>
          <w:rFonts w:ascii="Century" w:hAnsi="Century" w:cs="Miriam"/>
          <w:b/>
          <w:spacing w:val="0"/>
          <w:szCs w:val="24"/>
          <w:shd w:val="clear" w:color="auto" w:fill="FFFFFF"/>
          <w:rtl/>
        </w:rPr>
        <w:t>–</w:t>
      </w:r>
      <w:r w:rsidRPr="008C4CE1">
        <w:rPr>
          <w:rFonts w:ascii="Century" w:hAnsi="Century" w:cs="Miriam"/>
          <w:b/>
          <w:spacing w:val="0"/>
          <w:szCs w:val="24"/>
          <w:shd w:val="clear" w:color="auto" w:fill="FFFFFF"/>
          <w:rtl/>
        </w:rPr>
        <w:t xml:space="preserve"> כוח הרוב ומגבלותיו </w:t>
      </w:r>
      <w:r>
        <w:rPr>
          <w:rFonts w:ascii="Century" w:hAnsi="Century" w:cs="Miriam"/>
          <w:b/>
          <w:spacing w:val="0"/>
          <w:szCs w:val="24"/>
          <w:shd w:val="clear" w:color="auto" w:fill="FFFFFF"/>
          <w:rtl/>
        </w:rPr>
        <w:t>–</w:t>
      </w:r>
      <w:r w:rsidRPr="008C4CE1">
        <w:rPr>
          <w:rFonts w:ascii="Century" w:hAnsi="Century" w:cs="Miriam"/>
          <w:b/>
          <w:spacing w:val="0"/>
          <w:szCs w:val="24"/>
          <w:shd w:val="clear" w:color="auto" w:fill="FFFFFF"/>
          <w:rtl/>
        </w:rPr>
        <w:t xml:space="preserve"> הוא צירו של התהליך הדמוקרטי</w:t>
      </w:r>
      <w:r>
        <w:rPr>
          <w:rFonts w:hint="cs"/>
          <w:rtl/>
        </w:rPr>
        <w:t>:</w:t>
      </w:r>
      <w:r w:rsidRPr="00F60AAC">
        <w:rPr>
          <w:rtl/>
        </w:rPr>
        <w:t xml:space="preserve"> הוא מקנה זכויות מסוי</w:t>
      </w:r>
      <w:r>
        <w:rPr>
          <w:rtl/>
        </w:rPr>
        <w:t xml:space="preserve">מות </w:t>
      </w:r>
      <w:r>
        <w:rPr>
          <w:rFonts w:hint="cs"/>
          <w:rtl/>
        </w:rPr>
        <w:t>ב</w:t>
      </w:r>
      <w:r w:rsidRPr="00F60AAC">
        <w:rPr>
          <w:rtl/>
        </w:rPr>
        <w:t>פני הרוב למיעוט כלשהו, לאדם באשר הוא</w:t>
      </w:r>
      <w:r w:rsidRPr="00F60AAC">
        <w:rPr>
          <w:rFonts w:hint="cs"/>
          <w:rtl/>
        </w:rPr>
        <w:t>"</w:t>
      </w:r>
      <w:r w:rsidRPr="00F60AAC">
        <w:rPr>
          <w:rtl/>
        </w:rPr>
        <w:t xml:space="preserve"> </w:t>
      </w:r>
      <w:r w:rsidRPr="00F60AAC">
        <w:rPr>
          <w:rFonts w:hint="cs"/>
          <w:rtl/>
        </w:rPr>
        <w:t xml:space="preserve">(ההדגשה שלי-ע'ב') </w:t>
      </w:r>
      <w:r w:rsidRPr="00F60AAC">
        <w:rPr>
          <w:rtl/>
        </w:rPr>
        <w:t>(א</w:t>
      </w:r>
      <w:r>
        <w:rPr>
          <w:rFonts w:hint="cs"/>
          <w:rtl/>
        </w:rPr>
        <w:t>ליקים</w:t>
      </w:r>
      <w:r w:rsidRPr="00F60AAC">
        <w:rPr>
          <w:rtl/>
        </w:rPr>
        <w:t xml:space="preserve"> רובינשטיין "המשפט בישראל בשנות ה-70" </w:t>
      </w:r>
      <w:r w:rsidRPr="008C4CE1">
        <w:rPr>
          <w:rFonts w:ascii="Century" w:hAnsi="Century" w:cs="Miriam"/>
          <w:b/>
          <w:spacing w:val="0"/>
          <w:szCs w:val="24"/>
          <w:rtl/>
        </w:rPr>
        <w:t>עיוני משפט</w:t>
      </w:r>
      <w:r w:rsidRPr="008C4CE1">
        <w:rPr>
          <w:rtl/>
        </w:rPr>
        <w:t xml:space="preserve"> </w:t>
      </w:r>
      <w:r w:rsidRPr="00F60AAC">
        <w:rPr>
          <w:rtl/>
        </w:rPr>
        <w:t>ב' (תשל"ב-ל"ג) 271, 274)</w:t>
      </w:r>
      <w:r w:rsidRPr="00F60AAC">
        <w:rPr>
          <w:rFonts w:hint="cs"/>
          <w:rtl/>
        </w:rPr>
        <w:t xml:space="preserve"> (ראו גם: השופט </w:t>
      </w:r>
      <w:r w:rsidRPr="00076622">
        <w:rPr>
          <w:rFonts w:ascii="Century" w:hAnsi="Century" w:cs="Miriam" w:hint="cs"/>
          <w:b/>
          <w:spacing w:val="0"/>
          <w:szCs w:val="24"/>
          <w:shd w:val="clear" w:color="auto" w:fill="FFFFFF"/>
          <w:rtl/>
        </w:rPr>
        <w:t>א' ברק</w:t>
      </w:r>
      <w:r w:rsidRPr="00F60AAC">
        <w:rPr>
          <w:rFonts w:hint="cs"/>
          <w:rtl/>
        </w:rPr>
        <w:t xml:space="preserve"> בעניין </w:t>
      </w:r>
      <w:r w:rsidRPr="008C4CE1">
        <w:rPr>
          <w:rFonts w:ascii="Century" w:hAnsi="Century" w:cs="Miriam" w:hint="cs"/>
          <w:b/>
          <w:spacing w:val="0"/>
          <w:szCs w:val="24"/>
          <w:shd w:val="clear" w:color="auto" w:fill="FFFFFF"/>
          <w:rtl/>
        </w:rPr>
        <w:t>בנק המזרחי</w:t>
      </w:r>
      <w:r w:rsidRPr="00F60AAC">
        <w:rPr>
          <w:rFonts w:hint="cs"/>
          <w:rtl/>
        </w:rPr>
        <w:t>, עמ' 423).</w:t>
      </w:r>
    </w:p>
    <w:p w:rsidR="00AC74AF" w:rsidRPr="00F60AAC" w:rsidRDefault="00AC74AF" w:rsidP="00AC74AF">
      <w:pPr>
        <w:pStyle w:val="Ruller41"/>
        <w:rPr>
          <w:rFonts w:ascii="Century" w:hAnsi="Century"/>
          <w:rtl/>
        </w:rPr>
      </w:pPr>
    </w:p>
    <w:p w:rsidR="00AC74AF" w:rsidRPr="00F60AAC" w:rsidRDefault="00AC74AF" w:rsidP="00AC74AF">
      <w:pPr>
        <w:pStyle w:val="Ruller41"/>
        <w:rPr>
          <w:rFonts w:ascii="Century" w:hAnsi="Century"/>
          <w:rtl/>
        </w:rPr>
      </w:pPr>
      <w:r w:rsidRPr="00F60AAC">
        <w:rPr>
          <w:rFonts w:ascii="Century" w:hAnsi="Century"/>
          <w:rtl/>
        </w:rPr>
        <w:tab/>
      </w:r>
      <w:r>
        <w:rPr>
          <w:rFonts w:ascii="Century" w:hAnsi="Century" w:hint="cs"/>
          <w:rtl/>
        </w:rPr>
        <w:t>הרבה אמת טמונה באמירה המיוחסת</w:t>
      </w:r>
      <w:r w:rsidRPr="00F60AAC">
        <w:rPr>
          <w:rFonts w:ascii="Century" w:hAnsi="Century" w:hint="cs"/>
          <w:rtl/>
        </w:rPr>
        <w:t xml:space="preserve"> </w:t>
      </w:r>
      <w:r>
        <w:rPr>
          <w:rFonts w:ascii="Century" w:hAnsi="Century" w:hint="cs"/>
          <w:rtl/>
        </w:rPr>
        <w:t>לאברהם לינקולן:</w:t>
      </w:r>
      <w:r w:rsidRPr="00F60AAC">
        <w:rPr>
          <w:rFonts w:ascii="Century" w:hAnsi="Century" w:hint="cs"/>
          <w:rtl/>
        </w:rPr>
        <w:t xml:space="preserve"> </w:t>
      </w:r>
      <w:r w:rsidRPr="00F60AAC">
        <w:rPr>
          <w:rFonts w:ascii="Century" w:hAnsi="Century"/>
          <w:rtl/>
        </w:rPr>
        <w:t>"</w:t>
      </w:r>
      <w:r w:rsidRPr="00EB12B0">
        <w:rPr>
          <w:rFonts w:ascii="Century" w:hAnsi="Century" w:cs="Miriam"/>
          <w:b/>
          <w:spacing w:val="0"/>
          <w:szCs w:val="24"/>
          <w:rtl/>
        </w:rPr>
        <w:t>כמעט כל בני האדם יכולים להתמודד עם מצוקות. אם אתה רוצה להעמיד אדם במבחן אמיתי, תן לו כוח</w:t>
      </w:r>
      <w:r w:rsidRPr="00F60AAC">
        <w:rPr>
          <w:rFonts w:ascii="Century" w:hAnsi="Century"/>
          <w:rtl/>
        </w:rPr>
        <w:t xml:space="preserve">". </w:t>
      </w:r>
      <w:r w:rsidRPr="00F60AAC">
        <w:rPr>
          <w:rFonts w:ascii="Century" w:hAnsi="Century" w:hint="cs"/>
          <w:rtl/>
        </w:rPr>
        <w:t xml:space="preserve">רשויות השלטון אוצרות בידיהן כוח שררה רב, והרשות השופטת היא המופקדת על כך שלא ייעשה שימוש לרעה בכוח זה </w:t>
      </w:r>
      <w:r w:rsidRPr="00F60AAC">
        <w:rPr>
          <w:rFonts w:ascii="Century" w:hAnsi="Century"/>
          <w:rtl/>
        </w:rPr>
        <w:t>לקידום מטרותי</w:t>
      </w:r>
      <w:r w:rsidRPr="00F60AAC">
        <w:rPr>
          <w:rFonts w:ascii="Century" w:hAnsi="Century" w:hint="cs"/>
          <w:rtl/>
        </w:rPr>
        <w:t>ו של השלטון</w:t>
      </w:r>
      <w:r w:rsidRPr="00F60AAC">
        <w:rPr>
          <w:rFonts w:ascii="Century" w:hAnsi="Century"/>
          <w:rtl/>
        </w:rPr>
        <w:t xml:space="preserve"> </w:t>
      </w:r>
      <w:r w:rsidRPr="00F60AAC">
        <w:rPr>
          <w:rFonts w:ascii="Century" w:hAnsi="Century" w:hint="cs"/>
          <w:rtl/>
        </w:rPr>
        <w:t>תוך</w:t>
      </w:r>
      <w:r w:rsidRPr="00F60AAC">
        <w:rPr>
          <w:rFonts w:ascii="Century" w:hAnsi="Century"/>
          <w:rtl/>
        </w:rPr>
        <w:t xml:space="preserve"> פגיעה </w:t>
      </w:r>
      <w:r>
        <w:rPr>
          <w:rFonts w:ascii="Century" w:hAnsi="Century" w:hint="cs"/>
          <w:rtl/>
        </w:rPr>
        <w:t>בהפרדת הרשויות ובעצמאות הרשות השופטת, בשלטון החוק ו</w:t>
      </w:r>
      <w:r w:rsidRPr="00F60AAC">
        <w:rPr>
          <w:rFonts w:ascii="Century" w:hAnsi="Century" w:hint="cs"/>
          <w:rtl/>
        </w:rPr>
        <w:t>בזכויות אדם. בית המשפט נדרש לעמוד על המשמר ולהגן על עניינם של קבוצות מיעוט או יחידים שזכו</w:t>
      </w:r>
      <w:r w:rsidRPr="00F60AAC">
        <w:rPr>
          <w:rFonts w:ascii="Century" w:hAnsi="Century"/>
          <w:rtl/>
        </w:rPr>
        <w:t xml:space="preserve"> </w:t>
      </w:r>
      <w:r w:rsidRPr="00F60AAC">
        <w:rPr>
          <w:rFonts w:ascii="Century" w:hAnsi="Century" w:hint="cs"/>
          <w:rtl/>
        </w:rPr>
        <w:t>ל</w:t>
      </w:r>
      <w:r w:rsidRPr="00F60AAC">
        <w:rPr>
          <w:rFonts w:ascii="Century" w:hAnsi="Century"/>
          <w:rtl/>
        </w:rPr>
        <w:t xml:space="preserve">יחס </w:t>
      </w:r>
      <w:r w:rsidRPr="00F60AAC">
        <w:rPr>
          <w:rFonts w:ascii="Century" w:hAnsi="Century" w:hint="cs"/>
          <w:rtl/>
        </w:rPr>
        <w:t>בלתי-</w:t>
      </w:r>
      <w:r w:rsidRPr="00F60AAC">
        <w:rPr>
          <w:rFonts w:ascii="Century" w:hAnsi="Century"/>
          <w:rtl/>
        </w:rPr>
        <w:t xml:space="preserve">שוויוני </w:t>
      </w:r>
      <w:r w:rsidRPr="00F60AAC">
        <w:rPr>
          <w:rFonts w:ascii="Century" w:hAnsi="Century" w:hint="cs"/>
          <w:rtl/>
        </w:rPr>
        <w:t>או לא-</w:t>
      </w:r>
      <w:r w:rsidRPr="00F60AAC">
        <w:rPr>
          <w:rFonts w:ascii="Century" w:hAnsi="Century"/>
          <w:rtl/>
        </w:rPr>
        <w:t>צודק</w:t>
      </w:r>
      <w:r w:rsidRPr="00F60AAC">
        <w:rPr>
          <w:rFonts w:ascii="Century" w:hAnsi="Century" w:hint="cs"/>
          <w:rtl/>
        </w:rPr>
        <w:t xml:space="preserve">. </w:t>
      </w:r>
      <w:r w:rsidRPr="00F60AAC">
        <w:rPr>
          <w:rFonts w:ascii="Century" w:hAnsi="Century"/>
          <w:rtl/>
        </w:rPr>
        <w:t xml:space="preserve">שיטת </w:t>
      </w:r>
      <w:r w:rsidRPr="00F60AAC">
        <w:rPr>
          <w:rFonts w:ascii="Century" w:hAnsi="Century" w:hint="cs"/>
          <w:rtl/>
        </w:rPr>
        <w:t>ה</w:t>
      </w:r>
      <w:r w:rsidRPr="00F60AAC">
        <w:rPr>
          <w:rFonts w:ascii="Century" w:hAnsi="Century"/>
          <w:rtl/>
        </w:rPr>
        <w:t xml:space="preserve">משטר </w:t>
      </w:r>
      <w:r w:rsidRPr="00F60AAC">
        <w:rPr>
          <w:rFonts w:ascii="Century" w:hAnsi="Century" w:hint="cs"/>
          <w:rtl/>
        </w:rPr>
        <w:t>ה</w:t>
      </w:r>
      <w:r w:rsidRPr="00F60AAC">
        <w:rPr>
          <w:rFonts w:ascii="Century" w:hAnsi="Century"/>
          <w:rtl/>
        </w:rPr>
        <w:t xml:space="preserve">דמוקרטית מכירה </w:t>
      </w:r>
      <w:r w:rsidRPr="00F60AAC">
        <w:rPr>
          <w:rFonts w:ascii="Century" w:hAnsi="Century" w:hint="cs"/>
          <w:rtl/>
        </w:rPr>
        <w:t xml:space="preserve">אפוא </w:t>
      </w:r>
      <w:r w:rsidRPr="00F60AAC">
        <w:rPr>
          <w:rFonts w:ascii="Century" w:hAnsi="Century"/>
          <w:rtl/>
        </w:rPr>
        <w:t xml:space="preserve">במגבלות הכוח האנושי, </w:t>
      </w:r>
      <w:r w:rsidRPr="00F60AAC">
        <w:rPr>
          <w:rFonts w:ascii="Century" w:hAnsi="Century" w:hint="cs"/>
          <w:rtl/>
        </w:rPr>
        <w:t>ומכאן מרכזיותה וחשיבותה של הביקורת השיפוטית במערך האיזונים והבלמים של שלוש הרשויות. ואולם התיקון לחוק היסוד פועל בכיוון ההפוך: הוא מבקש להחליש את כוחה של הרשות השופטת, להקהות מעוקצה של הביקורת השיפוטית ו</w:t>
      </w:r>
      <w:r>
        <w:rPr>
          <w:rFonts w:ascii="Century" w:hAnsi="Century" w:hint="cs"/>
          <w:rtl/>
        </w:rPr>
        <w:t>להסיר את הרסן מעל הממשלה. זה אינו</w:t>
      </w:r>
      <w:r w:rsidRPr="00F60AAC">
        <w:rPr>
          <w:rFonts w:ascii="Century" w:hAnsi="Century" w:hint="cs"/>
          <w:rtl/>
        </w:rPr>
        <w:t xml:space="preserve"> מעשה דמוקרטי </w:t>
      </w:r>
      <w:r w:rsidRPr="00F60AAC">
        <w:rPr>
          <w:rFonts w:ascii="Century" w:hAnsi="Century"/>
          <w:rtl/>
        </w:rPr>
        <w:t>–</w:t>
      </w:r>
      <w:r w:rsidRPr="00F60AAC">
        <w:rPr>
          <w:rFonts w:ascii="Century" w:hAnsi="Century" w:hint="cs"/>
          <w:rtl/>
        </w:rPr>
        <w:t xml:space="preserve"> אלא אנטי דמוקרטי בעליל.</w:t>
      </w:r>
    </w:p>
    <w:p w:rsidR="00AC74AF" w:rsidRDefault="00AC74AF" w:rsidP="00AC74AF">
      <w:pPr>
        <w:pStyle w:val="Ruller41"/>
        <w:rPr>
          <w:rFonts w:ascii="Century" w:hAnsi="Century"/>
          <w:rtl/>
        </w:rPr>
      </w:pPr>
    </w:p>
    <w:p w:rsidR="00AC74AF" w:rsidRDefault="00AC74AF" w:rsidP="00AC74AF">
      <w:pPr>
        <w:pStyle w:val="Ruller41"/>
        <w:rPr>
          <w:rFonts w:ascii="Century" w:hAnsi="Century"/>
          <w:rtl/>
        </w:rPr>
      </w:pPr>
      <w:r>
        <w:rPr>
          <w:rFonts w:ascii="Century" w:hAnsi="Century" w:hint="cs"/>
          <w:rtl/>
        </w:rPr>
        <w:t>26.</w:t>
      </w:r>
      <w:r>
        <w:rPr>
          <w:rFonts w:ascii="Century" w:hAnsi="Century"/>
          <w:rtl/>
        </w:rPr>
        <w:tab/>
      </w:r>
      <w:r>
        <w:rPr>
          <w:rFonts w:ascii="Century" w:hAnsi="Century" w:hint="cs"/>
          <w:rtl/>
        </w:rPr>
        <w:t xml:space="preserve">ויודגש: התיקון לחוק היסוד הוא מעשה חקיקה גורף וקיצוני במיוחד. </w:t>
      </w:r>
    </w:p>
    <w:p w:rsidR="00AC74AF" w:rsidRDefault="00AC74AF" w:rsidP="00AC74AF">
      <w:pPr>
        <w:pStyle w:val="Ruller41"/>
        <w:spacing w:line="240" w:lineRule="auto"/>
        <w:rPr>
          <w:rtl/>
        </w:rPr>
      </w:pPr>
    </w:p>
    <w:p w:rsidR="00AC74AF" w:rsidRPr="00B32E23" w:rsidRDefault="00AC74AF" w:rsidP="00AC74AF">
      <w:pPr>
        <w:pStyle w:val="Ruller41"/>
        <w:rPr>
          <w:rtl/>
        </w:rPr>
      </w:pPr>
      <w:r>
        <w:rPr>
          <w:rtl/>
        </w:rPr>
        <w:tab/>
      </w:r>
      <w:r>
        <w:rPr>
          <w:rFonts w:hint="cs"/>
          <w:rtl/>
        </w:rPr>
        <w:t>כפי שנוסח, התיקון</w:t>
      </w:r>
      <w:r w:rsidRPr="00B32E23">
        <w:rPr>
          <w:rFonts w:hint="cs"/>
          <w:rtl/>
        </w:rPr>
        <w:t xml:space="preserve"> מתמקד בשלילת כוחו של בית המשפט לקיים ביקורת שיפוטית על </w:t>
      </w:r>
      <w:r>
        <w:rPr>
          <w:rFonts w:hint="cs"/>
          <w:rtl/>
        </w:rPr>
        <w:t>הממשלה</w:t>
      </w:r>
      <w:r w:rsidRPr="00B32E23">
        <w:rPr>
          <w:rFonts w:hint="cs"/>
          <w:rtl/>
        </w:rPr>
        <w:t xml:space="preserve"> מכוח עילת הסבירות </w:t>
      </w:r>
      <w:r w:rsidRPr="00B32E23">
        <w:rPr>
          <w:rtl/>
        </w:rPr>
        <w:t>–</w:t>
      </w:r>
      <w:r w:rsidRPr="00B32E23">
        <w:rPr>
          <w:rFonts w:hint="cs"/>
          <w:rtl/>
        </w:rPr>
        <w:t xml:space="preserve"> זאת מבלי להבטיח ולעגן בדרכים חלופיות את חובתה של </w:t>
      </w:r>
      <w:r>
        <w:rPr>
          <w:rFonts w:hint="cs"/>
          <w:rtl/>
        </w:rPr>
        <w:t>הממשלה</w:t>
      </w:r>
      <w:r w:rsidRPr="00B32E23">
        <w:rPr>
          <w:rFonts w:hint="cs"/>
          <w:rtl/>
        </w:rPr>
        <w:t xml:space="preserve"> ושריה לפעול בסבירות. </w:t>
      </w:r>
      <w:r>
        <w:rPr>
          <w:rFonts w:hint="cs"/>
          <w:rtl/>
        </w:rPr>
        <w:t>בנסיבות אלה עלולה</w:t>
      </w:r>
      <w:r w:rsidRPr="00B32E23">
        <w:rPr>
          <w:rFonts w:hint="cs"/>
          <w:rtl/>
        </w:rPr>
        <w:t xml:space="preserve"> </w:t>
      </w:r>
      <w:r>
        <w:rPr>
          <w:rFonts w:hint="cs"/>
          <w:rtl/>
        </w:rPr>
        <w:t xml:space="preserve">הממשלה ועלולים השרים לראות עצמם משוחררים </w:t>
      </w:r>
      <w:r w:rsidRPr="00B32E23">
        <w:rPr>
          <w:rFonts w:hint="cs"/>
          <w:rtl/>
        </w:rPr>
        <w:t>מהחובה הרובצת עליה</w:t>
      </w:r>
      <w:r>
        <w:rPr>
          <w:rFonts w:hint="cs"/>
          <w:rtl/>
        </w:rPr>
        <w:t xml:space="preserve">ם בנדון </w:t>
      </w:r>
      <w:r>
        <w:rPr>
          <w:rtl/>
        </w:rPr>
        <w:t>–</w:t>
      </w:r>
      <w:r w:rsidRPr="00B32E23">
        <w:rPr>
          <w:rFonts w:hint="cs"/>
          <w:rtl/>
        </w:rPr>
        <w:t xml:space="preserve"> </w:t>
      </w:r>
      <w:r>
        <w:rPr>
          <w:rFonts w:hint="cs"/>
          <w:rtl/>
        </w:rPr>
        <w:t xml:space="preserve">שאז </w:t>
      </w:r>
      <w:r w:rsidRPr="00B32E23">
        <w:rPr>
          <w:rFonts w:hint="cs"/>
          <w:rtl/>
        </w:rPr>
        <w:t xml:space="preserve">ביטול </w:t>
      </w:r>
      <w:r w:rsidRPr="00C67FD4">
        <w:rPr>
          <w:rFonts w:ascii="Century" w:hAnsi="Century" w:cs="Miriam" w:hint="cs"/>
          <w:b/>
          <w:spacing w:val="0"/>
          <w:szCs w:val="24"/>
          <w:rtl/>
        </w:rPr>
        <w:t>עילת</w:t>
      </w:r>
      <w:r w:rsidRPr="00C67FD4">
        <w:rPr>
          <w:rFonts w:hint="cs"/>
          <w:rtl/>
        </w:rPr>
        <w:t xml:space="preserve"> </w:t>
      </w:r>
      <w:r>
        <w:rPr>
          <w:rFonts w:hint="cs"/>
          <w:rtl/>
        </w:rPr>
        <w:t>הסבירות יוריד</w:t>
      </w:r>
      <w:r w:rsidRPr="00B32E23">
        <w:rPr>
          <w:rFonts w:hint="cs"/>
          <w:rtl/>
        </w:rPr>
        <w:t xml:space="preserve"> עימו ביגון שאולה אף את </w:t>
      </w:r>
      <w:r w:rsidRPr="00C67FD4">
        <w:rPr>
          <w:rFonts w:ascii="Century" w:hAnsi="Century" w:cs="Miriam" w:hint="cs"/>
          <w:b/>
          <w:spacing w:val="0"/>
          <w:szCs w:val="24"/>
          <w:rtl/>
        </w:rPr>
        <w:t>חובת</w:t>
      </w:r>
      <w:r w:rsidRPr="00C67FD4">
        <w:rPr>
          <w:rFonts w:hint="cs"/>
          <w:rtl/>
        </w:rPr>
        <w:t xml:space="preserve"> </w:t>
      </w:r>
      <w:r>
        <w:rPr>
          <w:rFonts w:hint="cs"/>
          <w:rtl/>
        </w:rPr>
        <w:t>הסבירות עצמה</w:t>
      </w:r>
      <w:r w:rsidRPr="00B32E23">
        <w:rPr>
          <w:rFonts w:hint="cs"/>
          <w:rtl/>
        </w:rPr>
        <w:t>. כידוע, "</w:t>
      </w:r>
      <w:r w:rsidRPr="00870EC8">
        <w:rPr>
          <w:rFonts w:ascii="Century" w:hAnsi="Century" w:cs="Miriam" w:hint="cs"/>
          <w:b/>
          <w:spacing w:val="0"/>
          <w:szCs w:val="24"/>
          <w:rtl/>
        </w:rPr>
        <w:t>באין דיין ייעלם אף הדין עימו</w:t>
      </w:r>
      <w:r>
        <w:rPr>
          <w:rFonts w:hint="cs"/>
          <w:rtl/>
        </w:rPr>
        <w:t xml:space="preserve">" </w:t>
      </w:r>
      <w:r w:rsidRPr="00420301">
        <w:rPr>
          <w:rtl/>
        </w:rPr>
        <w:t xml:space="preserve">(ע"א 733/95 </w:t>
      </w:r>
      <w:r w:rsidRPr="00420301">
        <w:rPr>
          <w:rFonts w:ascii="Century" w:hAnsi="Century" w:cs="Miriam"/>
          <w:b/>
          <w:spacing w:val="0"/>
          <w:szCs w:val="24"/>
          <w:rtl/>
        </w:rPr>
        <w:t>ארפל אלומיניום בע"מ נ' קליל תעשיות בע"מ</w:t>
      </w:r>
      <w:r w:rsidRPr="00420301">
        <w:rPr>
          <w:rtl/>
        </w:rPr>
        <w:t xml:space="preserve">, פ"ד נא(3) 577, 629 (1997), להלן: </w:t>
      </w:r>
      <w:r w:rsidRPr="00420301">
        <w:rPr>
          <w:rFonts w:ascii="Century" w:hAnsi="Century" w:cs="Miriam"/>
          <w:b/>
          <w:spacing w:val="0"/>
          <w:szCs w:val="24"/>
          <w:rtl/>
        </w:rPr>
        <w:t>עניין ארפל</w:t>
      </w:r>
      <w:r>
        <w:rPr>
          <w:rtl/>
        </w:rPr>
        <w:t>)</w:t>
      </w:r>
      <w:r w:rsidRPr="00B32E23">
        <w:rPr>
          <w:rFonts w:hint="cs"/>
          <w:rtl/>
        </w:rPr>
        <w:t>.</w:t>
      </w:r>
      <w:r>
        <w:rPr>
          <w:rFonts w:hint="cs"/>
          <w:rtl/>
        </w:rPr>
        <w:t xml:space="preserve"> וכפי שציין חברי ממלא מקום הנשיא, "קיומה של החובה לפעול בסבירות בלא ערובה מוסדית לאכיפתה משול לביטול חובה זו" (סעיף 25 לחוות דעתו, וראו גם פסקה 60 לחוות דעתו של השופט </w:t>
      </w:r>
      <w:r w:rsidRPr="00420301">
        <w:rPr>
          <w:rFonts w:ascii="Century" w:hAnsi="Century" w:cs="Miriam" w:hint="cs"/>
          <w:b/>
          <w:spacing w:val="0"/>
          <w:szCs w:val="24"/>
          <w:rtl/>
        </w:rPr>
        <w:t>י' עמית</w:t>
      </w:r>
      <w:r>
        <w:rPr>
          <w:rFonts w:hint="cs"/>
          <w:rtl/>
        </w:rPr>
        <w:t>).</w:t>
      </w:r>
      <w:r w:rsidRPr="00B32E23">
        <w:rPr>
          <w:rFonts w:hint="cs"/>
          <w:rtl/>
        </w:rPr>
        <w:t xml:space="preserve"> </w:t>
      </w:r>
    </w:p>
    <w:p w:rsidR="00AC74AF" w:rsidRPr="00B32E23" w:rsidRDefault="00AC74AF" w:rsidP="00AC74AF">
      <w:pPr>
        <w:pStyle w:val="Ruller41"/>
        <w:spacing w:line="240" w:lineRule="auto"/>
        <w:rPr>
          <w:rtl/>
        </w:rPr>
      </w:pPr>
    </w:p>
    <w:p w:rsidR="00AC74AF" w:rsidRPr="00B32E23" w:rsidRDefault="00AC74AF" w:rsidP="00AC74AF">
      <w:pPr>
        <w:pStyle w:val="Ruller41"/>
        <w:rPr>
          <w:rtl/>
        </w:rPr>
      </w:pPr>
      <w:r>
        <w:rPr>
          <w:rtl/>
        </w:rPr>
        <w:tab/>
      </w:r>
      <w:r w:rsidRPr="00B32E23">
        <w:rPr>
          <w:rtl/>
        </w:rPr>
        <w:t xml:space="preserve">ביטול עילת הסבירות </w:t>
      </w:r>
      <w:r>
        <w:rPr>
          <w:rFonts w:hint="cs"/>
          <w:rtl/>
        </w:rPr>
        <w:t>צפוי לפגוע אף</w:t>
      </w:r>
      <w:r w:rsidRPr="00B32E23">
        <w:rPr>
          <w:rtl/>
        </w:rPr>
        <w:t xml:space="preserve"> ביכולת</w:t>
      </w:r>
      <w:r>
        <w:rPr>
          <w:rFonts w:hint="cs"/>
          <w:rtl/>
        </w:rPr>
        <w:t>ו של מערך</w:t>
      </w:r>
      <w:r w:rsidRPr="00B32E23">
        <w:rPr>
          <w:rtl/>
        </w:rPr>
        <w:t xml:space="preserve"> הייעוץ המשפטי לממשלה לבלום "מבית" החלטות שרירותיות ובלתי סבירות באופן קיצוני</w:t>
      </w:r>
      <w:r>
        <w:rPr>
          <w:rFonts w:hint="cs"/>
          <w:rtl/>
        </w:rPr>
        <w:t>,</w:t>
      </w:r>
      <w:r w:rsidRPr="00B32E23">
        <w:rPr>
          <w:rtl/>
        </w:rPr>
        <w:t xml:space="preserve"> כבר במהלך גיבושן. בית המשפט בוחן את סבירות ה</w:t>
      </w:r>
      <w:r>
        <w:rPr>
          <w:rtl/>
        </w:rPr>
        <w:t>החלטה בדיעבד – לאחר שכבר נתקבלה</w:t>
      </w:r>
      <w:r>
        <w:rPr>
          <w:rFonts w:hint="cs"/>
          <w:rtl/>
        </w:rPr>
        <w:t>;</w:t>
      </w:r>
      <w:r w:rsidRPr="00B32E23">
        <w:rPr>
          <w:rtl/>
        </w:rPr>
        <w:t xml:space="preserve"> ואולם החשיבו</w:t>
      </w:r>
      <w:r>
        <w:rPr>
          <w:rtl/>
        </w:rPr>
        <w:t xml:space="preserve">ת </w:t>
      </w:r>
      <w:r>
        <w:rPr>
          <w:rFonts w:hint="cs"/>
          <w:rtl/>
        </w:rPr>
        <w:t>הטמונה</w:t>
      </w:r>
      <w:r>
        <w:rPr>
          <w:rtl/>
        </w:rPr>
        <w:t xml:space="preserve"> </w:t>
      </w:r>
      <w:r>
        <w:rPr>
          <w:rFonts w:hint="cs"/>
          <w:rtl/>
        </w:rPr>
        <w:t>ב</w:t>
      </w:r>
      <w:r>
        <w:rPr>
          <w:rtl/>
        </w:rPr>
        <w:t xml:space="preserve">עילה היא </w:t>
      </w:r>
      <w:r>
        <w:rPr>
          <w:rFonts w:hint="cs"/>
          <w:rtl/>
        </w:rPr>
        <w:t>קודם</w:t>
      </w:r>
      <w:r w:rsidRPr="00B32E23">
        <w:rPr>
          <w:rtl/>
        </w:rPr>
        <w:t xml:space="preserve"> </w:t>
      </w:r>
      <w:r>
        <w:rPr>
          <w:rFonts w:hint="cs"/>
          <w:rtl/>
        </w:rPr>
        <w:t xml:space="preserve">לכל </w:t>
      </w:r>
      <w:r w:rsidRPr="00B32E23">
        <w:rPr>
          <w:rtl/>
        </w:rPr>
        <w:t>בכך שהיא מקרינה על בחינתה</w:t>
      </w:r>
      <w:r>
        <w:rPr>
          <w:rFonts w:hint="cs"/>
          <w:rtl/>
        </w:rPr>
        <w:t xml:space="preserve"> של ההחלטה המינהלית</w:t>
      </w:r>
      <w:r w:rsidRPr="00B32E23">
        <w:rPr>
          <w:rtl/>
        </w:rPr>
        <w:t xml:space="preserve"> לכתחילה – בתוך המנגנון המינהלי, כבר בשלב גיבוש ועיצוב ההחלטה, וזאת מתוך ידיעה כי במשקפיים אלה ההחלטה תעמוד לביקורת שיפוטית.</w:t>
      </w:r>
    </w:p>
    <w:p w:rsidR="00AC74AF" w:rsidRPr="00B32E23" w:rsidRDefault="00AC74AF" w:rsidP="00AC74AF">
      <w:pPr>
        <w:pStyle w:val="Ruller41"/>
        <w:spacing w:line="240" w:lineRule="auto"/>
        <w:rPr>
          <w:rtl/>
        </w:rPr>
      </w:pPr>
    </w:p>
    <w:p w:rsidR="00AC74AF" w:rsidRDefault="00AC74AF" w:rsidP="00AC74AF">
      <w:pPr>
        <w:pStyle w:val="Ruller41"/>
        <w:rPr>
          <w:rFonts w:ascii="Century" w:hAnsi="Century"/>
          <w:rtl/>
        </w:rPr>
      </w:pPr>
      <w:r>
        <w:rPr>
          <w:rFonts w:ascii="Century" w:hAnsi="Century" w:hint="cs"/>
          <w:rtl/>
        </w:rPr>
        <w:t>27.</w:t>
      </w:r>
      <w:r>
        <w:rPr>
          <w:rFonts w:ascii="Century" w:hAnsi="Century" w:hint="cs"/>
          <w:rtl/>
        </w:rPr>
        <w:tab/>
        <w:t xml:space="preserve"> התיקון לחוק היסוד חוסם באופן מוחלט ביקורת שיפוטית על החלטות הממשלה בעילת הסבירות, ללא הבחנה בין סוגים שונים של החלטות </w:t>
      </w:r>
      <w:r>
        <w:rPr>
          <w:rFonts w:ascii="Century" w:hAnsi="Century"/>
          <w:rtl/>
        </w:rPr>
        <w:t>–</w:t>
      </w:r>
      <w:r>
        <w:rPr>
          <w:rFonts w:ascii="Century" w:hAnsi="Century" w:hint="cs"/>
          <w:rtl/>
        </w:rPr>
        <w:t xml:space="preserve"> ובפרט בין החלטות </w:t>
      </w:r>
      <w:r w:rsidRPr="00E63589">
        <w:rPr>
          <w:rFonts w:ascii="Century" w:hAnsi="Century" w:cs="Miriam" w:hint="cs"/>
          <w:b/>
          <w:spacing w:val="0"/>
          <w:szCs w:val="24"/>
          <w:rtl/>
        </w:rPr>
        <w:t>שבמדיניות רחבה</w:t>
      </w:r>
      <w:r w:rsidRPr="00E63589">
        <w:rPr>
          <w:rFonts w:ascii="Century" w:hAnsi="Century" w:hint="cs"/>
          <w:rtl/>
        </w:rPr>
        <w:t xml:space="preserve"> </w:t>
      </w:r>
      <w:r>
        <w:rPr>
          <w:rFonts w:ascii="Century" w:hAnsi="Century" w:hint="cs"/>
          <w:rtl/>
        </w:rPr>
        <w:t xml:space="preserve">ובין החלטות הניתנות </w:t>
      </w:r>
      <w:r w:rsidRPr="00E63589">
        <w:rPr>
          <w:rFonts w:ascii="Century" w:hAnsi="Century" w:cs="Miriam" w:hint="cs"/>
          <w:b/>
          <w:spacing w:val="0"/>
          <w:szCs w:val="24"/>
          <w:rtl/>
        </w:rPr>
        <w:t>בעניינו הפרטני</w:t>
      </w:r>
      <w:r w:rsidRPr="00E63589">
        <w:rPr>
          <w:rFonts w:ascii="Century" w:hAnsi="Century" w:hint="cs"/>
          <w:rtl/>
        </w:rPr>
        <w:t xml:space="preserve"> </w:t>
      </w:r>
      <w:r>
        <w:rPr>
          <w:rFonts w:ascii="Century" w:hAnsi="Century" w:hint="cs"/>
          <w:rtl/>
        </w:rPr>
        <w:t>של אדם או גוף מסוים.</w:t>
      </w:r>
      <w:r w:rsidRPr="00F60AAC">
        <w:rPr>
          <w:rFonts w:ascii="Century" w:hAnsi="Century" w:hint="cs"/>
          <w:rtl/>
        </w:rPr>
        <w:t xml:space="preserve"> </w:t>
      </w:r>
      <w:r>
        <w:rPr>
          <w:rFonts w:ascii="Century" w:hAnsi="Century" w:hint="cs"/>
          <w:rtl/>
        </w:rPr>
        <w:t xml:space="preserve">כידוע, </w:t>
      </w:r>
      <w:r w:rsidRPr="00F60AAC">
        <w:rPr>
          <w:rFonts w:ascii="Century" w:hAnsi="Century" w:hint="cs"/>
          <w:rtl/>
        </w:rPr>
        <w:t xml:space="preserve">שרי </w:t>
      </w:r>
      <w:r>
        <w:rPr>
          <w:rFonts w:ascii="Century" w:hAnsi="Century" w:hint="cs"/>
          <w:rtl/>
        </w:rPr>
        <w:t>הממשלה</w:t>
      </w:r>
      <w:r w:rsidRPr="00F60AAC">
        <w:rPr>
          <w:rFonts w:ascii="Century" w:hAnsi="Century" w:hint="cs"/>
          <w:rtl/>
        </w:rPr>
        <w:t xml:space="preserve"> מחזיקים בשורה ארוכה של סמכויות בעניינים פרטניים </w:t>
      </w:r>
      <w:r w:rsidRPr="00F60AAC">
        <w:rPr>
          <w:rFonts w:ascii="Century" w:hAnsi="Century"/>
          <w:rtl/>
        </w:rPr>
        <w:t>–</w:t>
      </w:r>
      <w:r w:rsidRPr="00F60AAC">
        <w:rPr>
          <w:rFonts w:ascii="Century" w:hAnsi="Century" w:hint="cs"/>
          <w:rtl/>
        </w:rPr>
        <w:t xml:space="preserve"> כדוגמת הענקת רישיונות, זיכיונות והיתרים (וביטולם של אלה); קביעת מעמד בישראל; הפקעת קרקעות ומתן פיצוי בגין ההפקעה; סמכויות בנוגע להליכים פליליים; וכיוצא באלה סמכויות רבות נוספות</w:t>
      </w:r>
      <w:r>
        <w:rPr>
          <w:rFonts w:ascii="Century" w:hAnsi="Century" w:hint="cs"/>
          <w:rtl/>
        </w:rPr>
        <w:t xml:space="preserve">. התיקון לחוק היסוד מוציא אפוא מתחולת עילת הסבירות החלטות פרטניות רבות המתקבלות כדבר שבשגרה מדי יום ביומו; ומדובר הן בהחלטות שבסמכותם הישירה של השרים, הן בהחלטות שבסמכות עובדי משרדם והשרים רשאים ליטול אותה לידיהם על מנת לחסן את ההחלטות מביקורת שיפוטית. </w:t>
      </w:r>
    </w:p>
    <w:p w:rsidR="00AC74AF" w:rsidRDefault="00AC74AF" w:rsidP="00AC74AF">
      <w:pPr>
        <w:pStyle w:val="Ruller41"/>
        <w:spacing w:line="240" w:lineRule="auto"/>
        <w:rPr>
          <w:rFonts w:ascii="Century" w:hAnsi="Century"/>
          <w:rtl/>
        </w:rPr>
      </w:pPr>
    </w:p>
    <w:p w:rsidR="00AC74AF" w:rsidRDefault="00AC74AF" w:rsidP="00AC74AF">
      <w:pPr>
        <w:pStyle w:val="Ruller41"/>
        <w:rPr>
          <w:rFonts w:ascii="Century" w:hAnsi="Century"/>
          <w:rtl/>
        </w:rPr>
      </w:pPr>
      <w:r>
        <w:rPr>
          <w:rFonts w:ascii="Century" w:hAnsi="Century"/>
          <w:rtl/>
        </w:rPr>
        <w:tab/>
      </w:r>
      <w:r>
        <w:rPr>
          <w:rFonts w:ascii="Century" w:hAnsi="Century" w:hint="cs"/>
          <w:rtl/>
        </w:rPr>
        <w:t xml:space="preserve">התיקון לא רק אוסר על בית המשפט ליתן סעד, אלא שנאסר עליו עצם הדיון בשאלת סבירותה של החלטת ממשלה </w:t>
      </w:r>
      <w:r>
        <w:rPr>
          <w:rFonts w:ascii="Century" w:hAnsi="Century"/>
          <w:rtl/>
        </w:rPr>
        <w:t>–</w:t>
      </w:r>
      <w:r>
        <w:rPr>
          <w:rFonts w:ascii="Century" w:hAnsi="Century" w:hint="cs"/>
          <w:rtl/>
        </w:rPr>
        <w:t xml:space="preserve"> קרי: המחוקק לא רק סוגר את הדלת על הביקורת השיפוטית, אלא גם נועל אותה בסורג ובריח. וכפי שהוברר לעיל, התיקון לחוק היסוד חל על עילת הסבירות על כל פניה </w:t>
      </w:r>
      <w:r>
        <w:rPr>
          <w:rFonts w:ascii="Century" w:hAnsi="Century"/>
          <w:rtl/>
        </w:rPr>
        <w:t>–</w:t>
      </w:r>
      <w:r>
        <w:rPr>
          <w:rFonts w:ascii="Century" w:hAnsi="Century" w:hint="cs"/>
          <w:rtl/>
        </w:rPr>
        <w:t xml:space="preserve"> לא רק סבירות איזונית אלא אף סבירות מסורתית, והמשמעות היא שלא ניתן לקיים ביקורת שיפוטית אף על החלטות מופרכות או בלתי מתקבלות על הדעת שיצאו מלפני הממשלה.</w:t>
      </w:r>
    </w:p>
    <w:p w:rsidR="00AC74AF" w:rsidRDefault="00AC74AF" w:rsidP="00AC74AF">
      <w:pPr>
        <w:pStyle w:val="Ruller41"/>
        <w:spacing w:line="240" w:lineRule="auto"/>
        <w:rPr>
          <w:rFonts w:ascii="Century" w:hAnsi="Century"/>
          <w:rtl/>
        </w:rPr>
      </w:pPr>
    </w:p>
    <w:p w:rsidR="00AC74AF" w:rsidRDefault="00AC74AF" w:rsidP="00AC74AF">
      <w:pPr>
        <w:pStyle w:val="Ruller41"/>
        <w:rPr>
          <w:rFonts w:ascii="Century" w:hAnsi="Century"/>
          <w:rtl/>
        </w:rPr>
      </w:pPr>
      <w:r>
        <w:rPr>
          <w:rFonts w:ascii="Century" w:hAnsi="Century" w:hint="cs"/>
          <w:rtl/>
        </w:rPr>
        <w:t>28.</w:t>
      </w:r>
      <w:r>
        <w:rPr>
          <w:rFonts w:ascii="Century" w:hAnsi="Century" w:hint="cs"/>
          <w:rtl/>
        </w:rPr>
        <w:tab/>
      </w:r>
      <w:r w:rsidRPr="00F60AAC">
        <w:rPr>
          <w:rFonts w:ascii="Century" w:hAnsi="Century" w:hint="cs"/>
          <w:rtl/>
        </w:rPr>
        <w:t>כבר במסגרת הליכי חקיקתו של התיקון לחוק היסוד, חזרה היועמ"שית והתריעה כי ביטול עילת הסבירות צפוי לפעור "</w:t>
      </w:r>
      <w:r w:rsidRPr="00AB140E">
        <w:rPr>
          <w:rFonts w:ascii="Century" w:hAnsi="Century" w:cs="Miriam" w:hint="cs"/>
          <w:b/>
          <w:spacing w:val="0"/>
          <w:szCs w:val="24"/>
          <w:rtl/>
        </w:rPr>
        <w:t>חורים שחורים נורמטיביים</w:t>
      </w:r>
      <w:r w:rsidRPr="00F60AAC">
        <w:rPr>
          <w:rFonts w:ascii="Century" w:hAnsi="Century" w:hint="cs"/>
          <w:rtl/>
        </w:rPr>
        <w:t xml:space="preserve">" במשפט המינהלי </w:t>
      </w:r>
      <w:r w:rsidRPr="00F60AAC">
        <w:rPr>
          <w:rFonts w:ascii="Century" w:hAnsi="Century"/>
          <w:rtl/>
        </w:rPr>
        <w:t>–</w:t>
      </w:r>
      <w:r w:rsidRPr="00F60AAC">
        <w:rPr>
          <w:rFonts w:ascii="Century" w:hAnsi="Century" w:hint="cs"/>
          <w:rtl/>
        </w:rPr>
        <w:t xml:space="preserve"> שבהם לא ניתן יהיה לקיים ביקורת שיפוטית על החלטות הרשות</w:t>
      </w:r>
      <w:r>
        <w:rPr>
          <w:rFonts w:ascii="Century" w:hAnsi="Century" w:hint="cs"/>
          <w:rtl/>
        </w:rPr>
        <w:t xml:space="preserve"> בעילת הסבירות</w:t>
      </w:r>
      <w:r w:rsidRPr="00F60AAC">
        <w:rPr>
          <w:rFonts w:ascii="Century" w:hAnsi="Century" w:hint="cs"/>
          <w:rtl/>
        </w:rPr>
        <w:t>.</w:t>
      </w:r>
      <w:r>
        <w:rPr>
          <w:rFonts w:ascii="Century" w:hAnsi="Century" w:hint="cs"/>
          <w:rtl/>
        </w:rPr>
        <w:t xml:space="preserve"> נושא זה נדון על ידה בהרחבה גם במסגרת עמדתה בעתירות, ואכן מדובר בסכנה מוחשית לתקינות המינהל הציבורי ולשלטון החוק. </w:t>
      </w:r>
    </w:p>
    <w:p w:rsidR="00AC74AF" w:rsidRDefault="00AC74AF" w:rsidP="00AC74AF">
      <w:pPr>
        <w:pStyle w:val="Ruller41"/>
        <w:spacing w:line="240" w:lineRule="auto"/>
        <w:rPr>
          <w:rFonts w:ascii="Century" w:hAnsi="Century"/>
          <w:rtl/>
        </w:rPr>
      </w:pPr>
    </w:p>
    <w:p w:rsidR="00AC74AF" w:rsidRDefault="00AC74AF" w:rsidP="00AC74AF">
      <w:pPr>
        <w:pStyle w:val="Ruller41"/>
        <w:rPr>
          <w:rFonts w:ascii="Century" w:hAnsi="Century"/>
          <w:rtl/>
        </w:rPr>
      </w:pPr>
      <w:r>
        <w:rPr>
          <w:rFonts w:ascii="Century" w:hAnsi="Century"/>
          <w:rtl/>
        </w:rPr>
        <w:tab/>
      </w:r>
      <w:r w:rsidRPr="00F60AAC">
        <w:rPr>
          <w:rFonts w:ascii="Century" w:hAnsi="Century" w:hint="cs"/>
          <w:rtl/>
        </w:rPr>
        <w:t xml:space="preserve">תחום מרכזי שיוותר פרוץ בעקבות התיקון לחוק הוא </w:t>
      </w:r>
      <w:r w:rsidRPr="00737305">
        <w:rPr>
          <w:rFonts w:ascii="Century" w:hAnsi="Century" w:cs="Miriam" w:hint="cs"/>
          <w:b/>
          <w:spacing w:val="0"/>
          <w:szCs w:val="24"/>
          <w:rtl/>
        </w:rPr>
        <w:t>תחום המינויים בשירות הציבורי</w:t>
      </w:r>
      <w:r w:rsidRPr="00F60AAC">
        <w:rPr>
          <w:rFonts w:ascii="Century" w:hAnsi="Century" w:hint="cs"/>
          <w:rtl/>
        </w:rPr>
        <w:t>.</w:t>
      </w:r>
      <w:r w:rsidRPr="00F60AAC">
        <w:rPr>
          <w:rFonts w:ascii="Century" w:hAnsi="Century"/>
          <w:rtl/>
        </w:rPr>
        <w:t xml:space="preserve"> החובה לנהוג בסבירות היא ערובה חסרת תחליף לשמירה על תקינות פעילות המינהל, על טוהר ה</w:t>
      </w:r>
      <w:r w:rsidRPr="00F60AAC">
        <w:rPr>
          <w:rFonts w:ascii="Century" w:hAnsi="Century" w:hint="cs"/>
          <w:rtl/>
        </w:rPr>
        <w:t>מ</w:t>
      </w:r>
      <w:r w:rsidRPr="00F60AAC">
        <w:rPr>
          <w:rFonts w:ascii="Century" w:hAnsi="Century"/>
          <w:rtl/>
        </w:rPr>
        <w:t>ידות של השירות הציבורי, על הגינות השלטון ביחסיו עם הפרט ועל שלטון החוק ואמון הציבור</w:t>
      </w:r>
      <w:r w:rsidRPr="00F60AAC">
        <w:rPr>
          <w:rFonts w:ascii="Century" w:hAnsi="Century" w:hint="cs"/>
          <w:rtl/>
        </w:rPr>
        <w:t xml:space="preserve">; והשימוש בעילת הסבירות הוא כפי הנראה האמצעי האפקטיבי ביותר, אם לא היחיד, למניעת מינויים לא ראויים המוכתבים משיקולים פוליטיים, או מינויים שדבק בהם פגם מוסרי-ערכי. </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Pr>
          <w:rFonts w:ascii="Century" w:hAnsi="Century"/>
          <w:rtl/>
        </w:rPr>
        <w:tab/>
      </w:r>
      <w:r>
        <w:rPr>
          <w:rFonts w:ascii="Century" w:hAnsi="Century" w:hint="cs"/>
          <w:rtl/>
        </w:rPr>
        <w:t>כעולה מעמדת היועמ"שית,</w:t>
      </w:r>
      <w:r w:rsidRPr="00F60AAC">
        <w:rPr>
          <w:rFonts w:ascii="Century" w:hAnsi="Century" w:hint="cs"/>
          <w:rtl/>
        </w:rPr>
        <w:t xml:space="preserve"> עילת הסבירות פורשת כנפיה</w:t>
      </w:r>
      <w:r>
        <w:rPr>
          <w:rFonts w:ascii="Century" w:hAnsi="Century" w:hint="cs"/>
          <w:rtl/>
        </w:rPr>
        <w:t xml:space="preserve"> </w:t>
      </w:r>
      <w:r w:rsidRPr="00F60AAC">
        <w:rPr>
          <w:rFonts w:ascii="Century" w:hAnsi="Century" w:hint="cs"/>
          <w:rtl/>
        </w:rPr>
        <w:t xml:space="preserve">על כלל המינויים הבכירים בשירות המדינה שעליהם אמונה </w:t>
      </w:r>
      <w:r>
        <w:rPr>
          <w:rFonts w:ascii="Century" w:hAnsi="Century" w:hint="cs"/>
          <w:rtl/>
        </w:rPr>
        <w:t>הממשלה</w:t>
      </w:r>
      <w:r w:rsidRPr="00F60AAC">
        <w:rPr>
          <w:rFonts w:ascii="Century" w:hAnsi="Century" w:hint="cs"/>
          <w:rtl/>
        </w:rPr>
        <w:t xml:space="preserve"> </w:t>
      </w:r>
      <w:r w:rsidRPr="00F60AAC">
        <w:rPr>
          <w:rFonts w:ascii="Century" w:hAnsi="Century"/>
          <w:rtl/>
        </w:rPr>
        <w:t>–</w:t>
      </w:r>
      <w:r>
        <w:rPr>
          <w:rFonts w:ascii="Century" w:hAnsi="Century" w:hint="cs"/>
          <w:rtl/>
        </w:rPr>
        <w:t xml:space="preserve"> ובהם </w:t>
      </w:r>
      <w:r w:rsidRPr="00F60AAC">
        <w:rPr>
          <w:rFonts w:ascii="Century" w:hAnsi="Century" w:hint="cs"/>
          <w:rtl/>
        </w:rPr>
        <w:t>תפקיד הרמטכ"ל, מפכ"ל המשטרה, ראש השב"כ, נגיד בנק ישראל ועוד כהנה</w:t>
      </w:r>
      <w:r>
        <w:rPr>
          <w:rFonts w:ascii="Century" w:hAnsi="Century" w:hint="cs"/>
          <w:rtl/>
        </w:rPr>
        <w:t xml:space="preserve"> וכהנה</w:t>
      </w:r>
      <w:r w:rsidRPr="00F60AAC">
        <w:rPr>
          <w:rFonts w:ascii="Century" w:hAnsi="Century" w:hint="cs"/>
          <w:rtl/>
        </w:rPr>
        <w:t xml:space="preserve"> תפקידים; כמו גם על רשימה </w:t>
      </w:r>
      <w:r w:rsidRPr="00F60AAC">
        <w:rPr>
          <w:rFonts w:ascii="Century" w:hAnsi="Century" w:hint="cs"/>
          <w:rtl/>
        </w:rPr>
        <w:lastRenderedPageBreak/>
        <w:t xml:space="preserve">ארוכה עד מאוד של מינויים הטעונים אישור של </w:t>
      </w:r>
      <w:r>
        <w:rPr>
          <w:rFonts w:ascii="Century" w:hAnsi="Century" w:hint="cs"/>
          <w:rtl/>
        </w:rPr>
        <w:t>הממשלה</w:t>
      </w:r>
      <w:r w:rsidRPr="00F60AAC">
        <w:rPr>
          <w:rFonts w:ascii="Century" w:hAnsi="Century" w:hint="cs"/>
          <w:rtl/>
        </w:rPr>
        <w:t xml:space="preserve"> לפי חוק שירות המדינה (מינויים), התשי"ט-1959 </w:t>
      </w:r>
      <w:r w:rsidRPr="00F60AAC">
        <w:rPr>
          <w:rFonts w:ascii="Century" w:hAnsi="Century"/>
          <w:rtl/>
        </w:rPr>
        <w:t>–</w:t>
      </w:r>
      <w:r w:rsidRPr="00F60AAC">
        <w:rPr>
          <w:rFonts w:ascii="Century" w:hAnsi="Century" w:hint="cs"/>
          <w:rtl/>
        </w:rPr>
        <w:t xml:space="preserve"> הכוללת בין היתר שורה של מאסדרים ושומרי סף כדוגמת הממונה על שוק ההון, הממונה על התקציבים, החשב הכללי, היועץ המשפטי לממשלה, פרקליט המדינה ועוד רבים. </w:t>
      </w:r>
      <w:r>
        <w:rPr>
          <w:rFonts w:ascii="Century" w:hAnsi="Century" w:hint="cs"/>
          <w:rtl/>
        </w:rPr>
        <w:t xml:space="preserve">מתן </w:t>
      </w:r>
      <w:r w:rsidRPr="00F60AAC">
        <w:rPr>
          <w:rFonts w:ascii="Century" w:hAnsi="Century"/>
          <w:rtl/>
        </w:rPr>
        <w:t xml:space="preserve">חסינות </w:t>
      </w:r>
      <w:r>
        <w:rPr>
          <w:rFonts w:ascii="Century" w:hAnsi="Century" w:hint="cs"/>
          <w:rtl/>
        </w:rPr>
        <w:t xml:space="preserve">להחלטות הממשלה ושריה </w:t>
      </w:r>
      <w:r w:rsidRPr="00F60AAC">
        <w:rPr>
          <w:rFonts w:ascii="Century" w:hAnsi="Century" w:hint="cs"/>
          <w:rtl/>
        </w:rPr>
        <w:t xml:space="preserve">ביחס </w:t>
      </w:r>
      <w:r>
        <w:rPr>
          <w:rFonts w:ascii="Century" w:hAnsi="Century" w:hint="cs"/>
          <w:rtl/>
        </w:rPr>
        <w:t xml:space="preserve">למינויים </w:t>
      </w:r>
      <w:r w:rsidRPr="00F60AAC">
        <w:rPr>
          <w:rFonts w:ascii="Century" w:hAnsi="Century" w:hint="cs"/>
          <w:rtl/>
        </w:rPr>
        <w:t xml:space="preserve">אלה </w:t>
      </w:r>
      <w:r>
        <w:rPr>
          <w:rFonts w:ascii="Century" w:hAnsi="Century" w:hint="cs"/>
          <w:rtl/>
        </w:rPr>
        <w:t>הוא מרשם ודאי</w:t>
      </w:r>
      <w:r w:rsidRPr="00F60AAC">
        <w:rPr>
          <w:rFonts w:ascii="Century" w:hAnsi="Century"/>
          <w:rtl/>
        </w:rPr>
        <w:t xml:space="preserve"> לפוליט</w:t>
      </w:r>
      <w:r>
        <w:rPr>
          <w:rFonts w:ascii="Century" w:hAnsi="Century" w:hint="cs"/>
          <w:rtl/>
        </w:rPr>
        <w:t>י</w:t>
      </w:r>
      <w:r>
        <w:rPr>
          <w:rFonts w:ascii="Century" w:hAnsi="Century"/>
          <w:rtl/>
        </w:rPr>
        <w:t>ז</w:t>
      </w:r>
      <w:r w:rsidRPr="00F60AAC">
        <w:rPr>
          <w:rFonts w:ascii="Century" w:hAnsi="Century"/>
          <w:rtl/>
        </w:rPr>
        <w:t>ציה ולמינוי של מקורבים</w:t>
      </w:r>
      <w:r w:rsidRPr="00F60AAC">
        <w:rPr>
          <w:rFonts w:ascii="Century" w:hAnsi="Century" w:hint="cs"/>
          <w:rtl/>
        </w:rPr>
        <w:t xml:space="preserve"> </w:t>
      </w:r>
      <w:r w:rsidRPr="00F60AAC">
        <w:rPr>
          <w:rFonts w:ascii="Century" w:hAnsi="Century"/>
          <w:rtl/>
        </w:rPr>
        <w:t>חלף מועמדים בעלי כישורים מתאימים</w:t>
      </w:r>
      <w:r>
        <w:rPr>
          <w:rFonts w:ascii="Century" w:hAnsi="Century" w:hint="cs"/>
          <w:rtl/>
        </w:rPr>
        <w:t>.</w:t>
      </w:r>
      <w:r w:rsidRPr="00F60AAC">
        <w:rPr>
          <w:rFonts w:ascii="Century" w:hAnsi="Century"/>
          <w:rtl/>
        </w:rPr>
        <w:t xml:space="preserve"> </w:t>
      </w:r>
      <w:r>
        <w:rPr>
          <w:rFonts w:ascii="Century" w:hAnsi="Century" w:hint="cs"/>
          <w:rtl/>
        </w:rPr>
        <w:t xml:space="preserve">אם סכנה זו תתממש, </w:t>
      </w:r>
      <w:r w:rsidRPr="00F60AAC">
        <w:rPr>
          <w:rFonts w:ascii="Century" w:hAnsi="Century"/>
          <w:rtl/>
        </w:rPr>
        <w:t>את</w:t>
      </w:r>
      <w:r>
        <w:rPr>
          <w:rFonts w:ascii="Century" w:hAnsi="Century" w:hint="cs"/>
          <w:rtl/>
        </w:rPr>
        <w:t xml:space="preserve"> מקומו של</w:t>
      </w:r>
      <w:r w:rsidRPr="00F60AAC">
        <w:rPr>
          <w:rFonts w:ascii="Century" w:hAnsi="Century"/>
          <w:rtl/>
        </w:rPr>
        <w:t xml:space="preserve"> הדרג המקצועי הבכי</w:t>
      </w:r>
      <w:r>
        <w:rPr>
          <w:rFonts w:ascii="Century" w:hAnsi="Century"/>
          <w:rtl/>
        </w:rPr>
        <w:t xml:space="preserve">ר במשרדי הממשלה </w:t>
      </w:r>
      <w:r>
        <w:rPr>
          <w:rFonts w:ascii="Century" w:hAnsi="Century" w:hint="cs"/>
          <w:rtl/>
        </w:rPr>
        <w:t>יתפסו</w:t>
      </w:r>
      <w:r>
        <w:rPr>
          <w:rFonts w:ascii="Century" w:hAnsi="Century"/>
          <w:rtl/>
        </w:rPr>
        <w:t xml:space="preserve"> אנשי אמו</w:t>
      </w:r>
      <w:r>
        <w:rPr>
          <w:rFonts w:ascii="Century" w:hAnsi="Century" w:hint="cs"/>
          <w:rtl/>
        </w:rPr>
        <w:t>נם של הפוליטיקאים,</w:t>
      </w:r>
      <w:r w:rsidRPr="00F60AAC">
        <w:rPr>
          <w:rFonts w:ascii="Century" w:hAnsi="Century"/>
          <w:rtl/>
        </w:rPr>
        <w:t xml:space="preserve"> </w:t>
      </w:r>
      <w:r>
        <w:rPr>
          <w:rFonts w:ascii="Century" w:hAnsi="Century" w:hint="cs"/>
          <w:rtl/>
        </w:rPr>
        <w:t xml:space="preserve">כאשר לנגד עיניהם </w:t>
      </w:r>
      <w:r w:rsidRPr="00F60AAC">
        <w:rPr>
          <w:rFonts w:ascii="Century" w:hAnsi="Century"/>
          <w:rtl/>
        </w:rPr>
        <w:t>אינטרסים קצרי טווח של השלטו</w:t>
      </w:r>
      <w:r>
        <w:rPr>
          <w:rFonts w:ascii="Century" w:hAnsi="Century"/>
          <w:rtl/>
        </w:rPr>
        <w:t>ן.</w:t>
      </w:r>
      <w:r>
        <w:rPr>
          <w:rFonts w:ascii="Century" w:hAnsi="Century" w:hint="cs"/>
          <w:rtl/>
        </w:rPr>
        <w:t xml:space="preserve"> </w:t>
      </w:r>
      <w:r w:rsidRPr="00F60AAC">
        <w:rPr>
          <w:rFonts w:ascii="Century" w:hAnsi="Century"/>
          <w:rtl/>
        </w:rPr>
        <w:t xml:space="preserve">המשמעות היא פגיעה </w:t>
      </w:r>
      <w:r>
        <w:rPr>
          <w:rFonts w:ascii="Century" w:hAnsi="Century" w:hint="cs"/>
          <w:rtl/>
        </w:rPr>
        <w:t xml:space="preserve">אנושה </w:t>
      </w:r>
      <w:r w:rsidRPr="00F60AAC">
        <w:rPr>
          <w:rFonts w:ascii="Century" w:hAnsi="Century"/>
          <w:rtl/>
        </w:rPr>
        <w:t>בתפקוד</w:t>
      </w:r>
      <w:r>
        <w:rPr>
          <w:rFonts w:ascii="Century" w:hAnsi="Century"/>
          <w:rtl/>
        </w:rPr>
        <w:t>ו ובמקצועיותו של השירות הציבורי</w:t>
      </w:r>
      <w:r w:rsidRPr="00F60AAC">
        <w:rPr>
          <w:rFonts w:ascii="Century" w:hAnsi="Century" w:hint="cs"/>
          <w:rtl/>
        </w:rPr>
        <w:t xml:space="preserve">. </w:t>
      </w:r>
    </w:p>
    <w:p w:rsidR="00AC74AF" w:rsidRPr="00F60AAC" w:rsidRDefault="00AC74AF" w:rsidP="00AC74AF">
      <w:pPr>
        <w:pStyle w:val="Ruller41"/>
        <w:spacing w:line="240" w:lineRule="auto"/>
        <w:rPr>
          <w:rFonts w:ascii="Century" w:hAnsi="Century"/>
          <w:rtl/>
        </w:rPr>
      </w:pPr>
    </w:p>
    <w:p w:rsidR="00AC74AF" w:rsidRDefault="00AC74AF" w:rsidP="00AC74AF">
      <w:pPr>
        <w:pStyle w:val="Ruller41"/>
        <w:rPr>
          <w:rFonts w:ascii="Century" w:hAnsi="Century"/>
          <w:rtl/>
        </w:rPr>
      </w:pPr>
      <w:r w:rsidRPr="00F60AAC">
        <w:rPr>
          <w:rFonts w:ascii="Century" w:hAnsi="Century" w:hint="cs"/>
          <w:rtl/>
        </w:rPr>
        <w:tab/>
        <w:t xml:space="preserve">יש </w:t>
      </w:r>
      <w:r>
        <w:rPr>
          <w:rFonts w:ascii="Century" w:hAnsi="Century" w:hint="cs"/>
          <w:rtl/>
        </w:rPr>
        <w:t>להדגיש כי</w:t>
      </w:r>
      <w:r w:rsidRPr="00F60AAC">
        <w:rPr>
          <w:rFonts w:ascii="Century" w:hAnsi="Century" w:hint="cs"/>
          <w:rtl/>
        </w:rPr>
        <w:t xml:space="preserve"> צידה השני של סמכות המינוי היא הסמכות להכריז על סיום הכהונה; ובהקשר זה </w:t>
      </w:r>
      <w:r>
        <w:rPr>
          <w:rFonts w:ascii="Century" w:hAnsi="Century" w:hint="cs"/>
          <w:rtl/>
        </w:rPr>
        <w:t xml:space="preserve">צפויה </w:t>
      </w:r>
      <w:r w:rsidRPr="00F60AAC">
        <w:rPr>
          <w:rFonts w:ascii="Century" w:hAnsi="Century" w:hint="cs"/>
          <w:rtl/>
        </w:rPr>
        <w:t>פגיעה בעצמאותם של בעלי התפקידים בדרג המקצועי של הרשות המבצעת, וביכולתם לבצע את תפקידם כאשר חרב הפיטורים מתנוססת מעל לראשם אם לא יסורו למרותו של הגורם שמינה אותם. חששות אלה חמורים במיוחד כאשר מדובר בשומרי הסף ובעלי סמכויות האכיפה והאסדרה בשירות הציבורי.</w:t>
      </w:r>
      <w:r>
        <w:rPr>
          <w:rFonts w:ascii="Century" w:hAnsi="Century" w:hint="cs"/>
          <w:rtl/>
        </w:rPr>
        <w:t xml:space="preserve"> בתוך כך, היועמ"שית מצביעה על כי לא תהיה כל מניעה לבטל את</w:t>
      </w:r>
      <w:r w:rsidRPr="00F60AAC">
        <w:rPr>
          <w:rFonts w:ascii="Century" w:hAnsi="Century"/>
          <w:rtl/>
        </w:rPr>
        <w:t xml:space="preserve"> ועד</w:t>
      </w:r>
      <w:r>
        <w:rPr>
          <w:rFonts w:ascii="Century" w:hAnsi="Century" w:hint="cs"/>
          <w:rtl/>
        </w:rPr>
        <w:t>ו</w:t>
      </w:r>
      <w:r w:rsidRPr="00F60AAC">
        <w:rPr>
          <w:rFonts w:ascii="Century" w:hAnsi="Century"/>
          <w:rtl/>
        </w:rPr>
        <w:t xml:space="preserve">ת </w:t>
      </w:r>
      <w:r>
        <w:rPr>
          <w:rFonts w:ascii="Century" w:hAnsi="Century" w:hint="cs"/>
          <w:rtl/>
        </w:rPr>
        <w:t>ה</w:t>
      </w:r>
      <w:r>
        <w:rPr>
          <w:rFonts w:ascii="Century" w:hAnsi="Century"/>
          <w:rtl/>
        </w:rPr>
        <w:t>איתור ל</w:t>
      </w:r>
      <w:r w:rsidRPr="00F60AAC">
        <w:rPr>
          <w:rFonts w:ascii="Century" w:hAnsi="Century"/>
          <w:rtl/>
        </w:rPr>
        <w:t>מינויים לתפקידים בכירים במשרד האוצר ובמשק, המשמשים כשומרי סף</w:t>
      </w:r>
      <w:r>
        <w:rPr>
          <w:rFonts w:ascii="Century" w:hAnsi="Century" w:hint="cs"/>
          <w:rtl/>
        </w:rPr>
        <w:t>. זאת משום שהחובה לקיים הליכי איתור ראויים אינה מעוגנת עלי חוק אלא בהחלטות ממשלה, שביטולן או שינוין מחמת אי סבירות חסין על פי התיקון מביקורת שיפוטית</w:t>
      </w:r>
      <w:r w:rsidRPr="00F60AAC">
        <w:rPr>
          <w:rFonts w:ascii="Century" w:hAnsi="Century"/>
          <w:rtl/>
        </w:rPr>
        <w:t xml:space="preserve">. </w:t>
      </w:r>
    </w:p>
    <w:p w:rsidR="00AC74AF" w:rsidRPr="00F60AAC" w:rsidRDefault="00AC74AF" w:rsidP="00AC74AF">
      <w:pPr>
        <w:pStyle w:val="Ruller41"/>
        <w:rPr>
          <w:rFonts w:ascii="Century" w:hAnsi="Century"/>
          <w:rtl/>
        </w:rPr>
      </w:pPr>
    </w:p>
    <w:p w:rsidR="00AC74AF" w:rsidRPr="00F60AAC" w:rsidRDefault="00AC74AF" w:rsidP="00AC74AF">
      <w:pPr>
        <w:pStyle w:val="Ruller41"/>
        <w:rPr>
          <w:rFonts w:ascii="Century" w:hAnsi="Century"/>
          <w:rtl/>
        </w:rPr>
      </w:pPr>
      <w:r>
        <w:rPr>
          <w:rFonts w:ascii="Century" w:hAnsi="Century" w:hint="cs"/>
          <w:rtl/>
        </w:rPr>
        <w:t>29.</w:t>
      </w:r>
      <w:r w:rsidRPr="00F60AAC">
        <w:rPr>
          <w:rFonts w:ascii="Century" w:hAnsi="Century"/>
          <w:rtl/>
        </w:rPr>
        <w:tab/>
      </w:r>
      <w:r w:rsidRPr="00F60AAC">
        <w:rPr>
          <w:rFonts w:ascii="Century" w:hAnsi="Century" w:hint="cs"/>
          <w:rtl/>
        </w:rPr>
        <w:t xml:space="preserve">עילת הסבירות משמשת באופן בלעדי כמעט גם להבטחת </w:t>
      </w:r>
      <w:r w:rsidRPr="00F60AAC">
        <w:rPr>
          <w:rFonts w:ascii="Century" w:hAnsi="Century"/>
          <w:rtl/>
        </w:rPr>
        <w:t xml:space="preserve">חובת האיפוק והריסון המוטלת על </w:t>
      </w:r>
      <w:r>
        <w:rPr>
          <w:rFonts w:ascii="Century" w:hAnsi="Century"/>
          <w:rtl/>
        </w:rPr>
        <w:t>הממשלה</w:t>
      </w:r>
      <w:r w:rsidRPr="00F60AAC">
        <w:rPr>
          <w:rFonts w:ascii="Century" w:hAnsi="Century"/>
          <w:rtl/>
        </w:rPr>
        <w:t xml:space="preserve"> וחבריה </w:t>
      </w:r>
      <w:r w:rsidRPr="005277FA">
        <w:rPr>
          <w:rFonts w:ascii="Century" w:hAnsi="Century" w:cs="Miriam"/>
          <w:b/>
          <w:spacing w:val="0"/>
          <w:szCs w:val="24"/>
          <w:rtl/>
        </w:rPr>
        <w:t>בתקופת בחירות</w:t>
      </w:r>
      <w:r w:rsidRPr="005277FA">
        <w:rPr>
          <w:rFonts w:ascii="Century" w:hAnsi="Century"/>
          <w:rtl/>
        </w:rPr>
        <w:t xml:space="preserve"> </w:t>
      </w:r>
      <w:r w:rsidRPr="00F60AAC">
        <w:rPr>
          <w:rFonts w:ascii="Century" w:hAnsi="Century"/>
          <w:rtl/>
        </w:rPr>
        <w:t>ועד להרכבת ממשלה חדשה.</w:t>
      </w:r>
      <w:r w:rsidRPr="00F60AAC">
        <w:rPr>
          <w:rFonts w:ascii="Century" w:hAnsi="Century" w:hint="cs"/>
          <w:rtl/>
        </w:rPr>
        <w:t xml:space="preserve"> בהקשר זה </w:t>
      </w:r>
      <w:r>
        <w:rPr>
          <w:rFonts w:ascii="Century" w:hAnsi="Century" w:hint="cs"/>
          <w:rtl/>
        </w:rPr>
        <w:t xml:space="preserve">נפתח פתח רחב לקבלת החלטות על ידי ממשלת מעבר </w:t>
      </w:r>
      <w:r w:rsidRPr="00F60AAC">
        <w:rPr>
          <w:rFonts w:ascii="Century" w:hAnsi="Century" w:hint="cs"/>
          <w:rtl/>
        </w:rPr>
        <w:t>שיש בהן משום</w:t>
      </w:r>
      <w:r w:rsidRPr="00F60AAC">
        <w:rPr>
          <w:rFonts w:ascii="Century" w:hAnsi="Century"/>
          <w:rtl/>
        </w:rPr>
        <w:t xml:space="preserve"> כבילת שיקול דעתה של </w:t>
      </w:r>
      <w:r>
        <w:rPr>
          <w:rFonts w:ascii="Century" w:hAnsi="Century"/>
          <w:rtl/>
        </w:rPr>
        <w:t>הממשלה</w:t>
      </w:r>
      <w:r w:rsidRPr="00F60AAC">
        <w:rPr>
          <w:rFonts w:ascii="Century" w:hAnsi="Century"/>
          <w:rtl/>
        </w:rPr>
        <w:t xml:space="preserve"> הבאה</w:t>
      </w:r>
      <w:r w:rsidRPr="00F60AAC">
        <w:rPr>
          <w:rFonts w:ascii="Century" w:hAnsi="Century" w:hint="cs"/>
          <w:rtl/>
        </w:rPr>
        <w:t xml:space="preserve"> אחריה</w:t>
      </w:r>
      <w:r>
        <w:rPr>
          <w:rFonts w:ascii="Century" w:hAnsi="Century" w:hint="cs"/>
          <w:rtl/>
        </w:rPr>
        <w:t>;</w:t>
      </w:r>
      <w:r>
        <w:rPr>
          <w:rFonts w:ascii="Century" w:hAnsi="Century"/>
          <w:rtl/>
        </w:rPr>
        <w:t xml:space="preserve"> ו</w:t>
      </w:r>
      <w:r>
        <w:rPr>
          <w:rFonts w:ascii="Century" w:hAnsi="Century" w:hint="cs"/>
          <w:rtl/>
        </w:rPr>
        <w:t>לכך</w:t>
      </w:r>
      <w:r w:rsidRPr="00F60AAC">
        <w:rPr>
          <w:rFonts w:ascii="Century" w:hAnsi="Century" w:hint="cs"/>
          <w:rtl/>
        </w:rPr>
        <w:t xml:space="preserve"> </w:t>
      </w:r>
      <w:r>
        <w:rPr>
          <w:rFonts w:ascii="Century" w:hAnsi="Century" w:hint="cs"/>
          <w:rtl/>
        </w:rPr>
        <w:t>ש</w:t>
      </w:r>
      <w:r w:rsidRPr="00F60AAC">
        <w:rPr>
          <w:rFonts w:ascii="Century" w:hAnsi="Century" w:hint="cs"/>
          <w:rtl/>
        </w:rPr>
        <w:t>ממשלת המעבר תנצל את</w:t>
      </w:r>
      <w:r w:rsidRPr="00F60AAC">
        <w:rPr>
          <w:rFonts w:ascii="Century" w:hAnsi="Century"/>
          <w:rtl/>
        </w:rPr>
        <w:t xml:space="preserve"> משאבי הציבור </w:t>
      </w:r>
      <w:r w:rsidRPr="00F60AAC">
        <w:rPr>
          <w:rFonts w:ascii="Century" w:hAnsi="Century" w:hint="cs"/>
          <w:rtl/>
        </w:rPr>
        <w:t xml:space="preserve">לטובתה </w:t>
      </w:r>
      <w:r w:rsidRPr="00F60AAC">
        <w:rPr>
          <w:rFonts w:ascii="Century" w:hAnsi="Century"/>
          <w:rtl/>
        </w:rPr>
        <w:t>באופן שפוגע בשוויון בבחירות.</w:t>
      </w:r>
      <w:r w:rsidRPr="00F60AAC">
        <w:rPr>
          <w:rFonts w:ascii="Century" w:hAnsi="Century" w:hint="cs"/>
          <w:rtl/>
        </w:rPr>
        <w:t xml:space="preserve"> על רקע חששות אלה נקבע בפסיקה כי מתחם הסבירות </w:t>
      </w:r>
      <w:r>
        <w:rPr>
          <w:rFonts w:ascii="Century" w:hAnsi="Century" w:hint="cs"/>
          <w:rtl/>
        </w:rPr>
        <w:t>הנתון להחלטותיה של</w:t>
      </w:r>
      <w:r w:rsidRPr="00F60AAC">
        <w:rPr>
          <w:rFonts w:ascii="Century" w:hAnsi="Century" w:hint="cs"/>
          <w:rtl/>
        </w:rPr>
        <w:t xml:space="preserve"> ממשלת מעבר הוא מצומצם ביחס לזה של </w:t>
      </w:r>
      <w:r>
        <w:rPr>
          <w:rFonts w:ascii="Century" w:hAnsi="Century" w:hint="cs"/>
          <w:rtl/>
        </w:rPr>
        <w:t xml:space="preserve">החלטות שהתקבלו על ידי </w:t>
      </w:r>
      <w:r w:rsidRPr="00F60AAC">
        <w:rPr>
          <w:rFonts w:ascii="Century" w:hAnsi="Century" w:hint="cs"/>
          <w:rtl/>
        </w:rPr>
        <w:t xml:space="preserve">ממשלה המכהנת מכוח אמון הכנסת: </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5"/>
        <w:rPr>
          <w:rtl/>
        </w:rPr>
      </w:pPr>
      <w:r w:rsidRPr="00F60AAC">
        <w:rPr>
          <w:rFonts w:hint="cs"/>
          <w:rtl/>
        </w:rPr>
        <w:t xml:space="preserve">"אף שלממשלת מעבר נתונות סמכויותיה של ממשלה רגילה, בבוא ממשלת מעבר להפעיל את סמכויותיה, עומד לרשותה מתחם סבירות צר מזה העומד לרשות ממשלה רגילה (עניין וייס, בעמ' 470). בהקשר זה ציין בית המשפט כי </w:t>
      </w:r>
      <w:r w:rsidRPr="00F60AAC">
        <w:rPr>
          <w:rtl/>
        </w:rPr>
        <w:t xml:space="preserve">במתח שבין הצורך ביציבות שלטונית והמשכיות ובין זמניותה של </w:t>
      </w:r>
      <w:r>
        <w:rPr>
          <w:rtl/>
        </w:rPr>
        <w:t>הממשלה</w:t>
      </w:r>
      <w:r w:rsidRPr="00F60AAC">
        <w:rPr>
          <w:rtl/>
        </w:rPr>
        <w:t xml:space="preserve"> ומקור סמכותה הבעייתי, על ממשלת מעבר לנהוג איפוק בפעולותיה אלא אם כן קיים </w:t>
      </w:r>
      <w:r w:rsidRPr="00F60AAC">
        <w:rPr>
          <w:rFonts w:hint="cs"/>
          <w:rtl/>
        </w:rPr>
        <w:t>'</w:t>
      </w:r>
      <w:r w:rsidRPr="00F60AAC">
        <w:rPr>
          <w:rtl/>
        </w:rPr>
        <w:t>צורך ציבורי חיוני בעשייה</w:t>
      </w:r>
      <w:r w:rsidRPr="00F60AAC">
        <w:rPr>
          <w:rFonts w:hint="cs"/>
          <w:rtl/>
        </w:rPr>
        <w:t>'</w:t>
      </w:r>
      <w:r w:rsidRPr="00F60AAC">
        <w:rPr>
          <w:rtl/>
        </w:rPr>
        <w:t>, וגם אז מוטלת עליה החובה לפעול להגשמתו במידתיות (שם, בעמ' 469-468)</w:t>
      </w:r>
      <w:r w:rsidRPr="00F60AAC">
        <w:rPr>
          <w:rFonts w:hint="cs"/>
          <w:rtl/>
        </w:rPr>
        <w:t xml:space="preserve">" (בג"ץ 7510/19 </w:t>
      </w:r>
      <w:r w:rsidRPr="00E0732A">
        <w:rPr>
          <w:rFonts w:ascii="Century" w:hAnsi="Century" w:cs="Miriam" w:hint="cs"/>
          <w:b/>
          <w:spacing w:val="0"/>
          <w:szCs w:val="24"/>
          <w:rtl/>
        </w:rPr>
        <w:t xml:space="preserve">אור-הכהן נ' ראש </w:t>
      </w:r>
      <w:r>
        <w:rPr>
          <w:rFonts w:ascii="Century" w:hAnsi="Century" w:cs="Miriam" w:hint="cs"/>
          <w:b/>
          <w:spacing w:val="0"/>
          <w:szCs w:val="24"/>
          <w:rtl/>
        </w:rPr>
        <w:t>הממשלה</w:t>
      </w:r>
      <w:r w:rsidRPr="00F60AAC">
        <w:rPr>
          <w:rFonts w:hint="cs"/>
          <w:rtl/>
        </w:rPr>
        <w:t>, פסקה 10 (9.1.2020)</w:t>
      </w:r>
      <w:r>
        <w:rPr>
          <w:rFonts w:hint="cs"/>
          <w:rtl/>
        </w:rPr>
        <w:t xml:space="preserve">; להלן: </w:t>
      </w:r>
      <w:r w:rsidRPr="00FC36B8">
        <w:rPr>
          <w:rFonts w:ascii="Century" w:hAnsi="Century" w:cs="Miriam" w:hint="cs"/>
          <w:b/>
          <w:spacing w:val="0"/>
          <w:szCs w:val="24"/>
          <w:rtl/>
        </w:rPr>
        <w:t>עניין אור-הכהן</w:t>
      </w:r>
      <w:r w:rsidRPr="00F60AAC">
        <w:rPr>
          <w:rFonts w:hint="cs"/>
          <w:rtl/>
        </w:rPr>
        <w:t>).</w:t>
      </w:r>
    </w:p>
    <w:p w:rsidR="00AC74AF" w:rsidRPr="00F60AAC" w:rsidRDefault="00AC74AF" w:rsidP="00AC74AF">
      <w:pPr>
        <w:pStyle w:val="Ruller41"/>
        <w:rPr>
          <w:rFonts w:ascii="Century" w:hAnsi="Century"/>
          <w:rtl/>
        </w:rPr>
      </w:pPr>
    </w:p>
    <w:p w:rsidR="00AC74AF" w:rsidRDefault="00AC74AF" w:rsidP="00AC74AF">
      <w:pPr>
        <w:pStyle w:val="Ruller41"/>
        <w:rPr>
          <w:rFonts w:ascii="Century" w:hAnsi="Century"/>
          <w:rtl/>
        </w:rPr>
      </w:pPr>
      <w:r>
        <w:rPr>
          <w:rFonts w:ascii="Century" w:hAnsi="Century" w:hint="cs"/>
          <w:rtl/>
        </w:rPr>
        <w:t>30.</w:t>
      </w:r>
      <w:r w:rsidRPr="00F60AAC">
        <w:rPr>
          <w:rFonts w:ascii="Century" w:hAnsi="Century"/>
          <w:rtl/>
        </w:rPr>
        <w:tab/>
      </w:r>
      <w:r>
        <w:rPr>
          <w:rFonts w:ascii="Century" w:hAnsi="Century" w:hint="cs"/>
          <w:rtl/>
        </w:rPr>
        <w:t>אין ל</w:t>
      </w:r>
      <w:r w:rsidRPr="00F60AAC">
        <w:rPr>
          <w:rFonts w:ascii="Century" w:hAnsi="Century" w:hint="cs"/>
          <w:rtl/>
        </w:rPr>
        <w:t xml:space="preserve">עילת הסבירות </w:t>
      </w:r>
      <w:r>
        <w:rPr>
          <w:rFonts w:ascii="Century" w:hAnsi="Century" w:hint="cs"/>
          <w:rtl/>
        </w:rPr>
        <w:t xml:space="preserve">תחליף ראוי גם בכל הנוגע </w:t>
      </w:r>
      <w:r w:rsidRPr="00F60AAC">
        <w:rPr>
          <w:rFonts w:ascii="Century" w:hAnsi="Century" w:hint="cs"/>
          <w:rtl/>
        </w:rPr>
        <w:t xml:space="preserve">להגנה על </w:t>
      </w:r>
      <w:r w:rsidRPr="00BE107E">
        <w:rPr>
          <w:rFonts w:ascii="Century" w:hAnsi="Century" w:cs="Miriam" w:hint="cs"/>
          <w:b/>
          <w:spacing w:val="0"/>
          <w:szCs w:val="24"/>
          <w:rtl/>
        </w:rPr>
        <w:t>אינטרסים ציבוריים</w:t>
      </w:r>
      <w:r w:rsidRPr="00BE107E">
        <w:rPr>
          <w:rFonts w:ascii="Century" w:hAnsi="Century" w:hint="cs"/>
          <w:rtl/>
        </w:rPr>
        <w:t xml:space="preserve"> </w:t>
      </w:r>
      <w:r w:rsidRPr="00F60AAC">
        <w:rPr>
          <w:rFonts w:ascii="Century" w:hAnsi="Century" w:hint="cs"/>
          <w:rtl/>
        </w:rPr>
        <w:t>חשובים</w:t>
      </w:r>
      <w:r>
        <w:rPr>
          <w:rFonts w:ascii="Century" w:hAnsi="Century" w:hint="cs"/>
          <w:rtl/>
        </w:rPr>
        <w:t xml:space="preserve"> שונים, שאינם עולים כדי פגיעה בזכות, מפני </w:t>
      </w:r>
      <w:r w:rsidRPr="00F60AAC">
        <w:rPr>
          <w:rFonts w:ascii="Century" w:hAnsi="Century" w:hint="cs"/>
          <w:rtl/>
        </w:rPr>
        <w:t xml:space="preserve">מפגיעה על ידי הרשות. </w:t>
      </w:r>
      <w:r>
        <w:rPr>
          <w:rFonts w:ascii="Century" w:hAnsi="Century" w:hint="cs"/>
          <w:rtl/>
        </w:rPr>
        <w:t xml:space="preserve">אחת הדוגמאות המובהקות לכך היא בתחום הגנת הסביבה והמשאבים הציבוריים </w:t>
      </w:r>
      <w:r>
        <w:rPr>
          <w:rFonts w:ascii="Century" w:hAnsi="Century"/>
          <w:rtl/>
        </w:rPr>
        <w:t>–</w:t>
      </w:r>
      <w:r>
        <w:rPr>
          <w:rFonts w:ascii="Century" w:hAnsi="Century" w:hint="cs"/>
          <w:rtl/>
        </w:rPr>
        <w:t xml:space="preserve"> שאז לא פעם הרשות המבצעת נוטה לבכר אינטרסים פוליטיים מיידיים על פני אלה של הדורות הבאים</w:t>
      </w:r>
      <w:r w:rsidRPr="00F60AAC">
        <w:rPr>
          <w:rFonts w:ascii="Century" w:hAnsi="Century" w:hint="cs"/>
          <w:rtl/>
        </w:rPr>
        <w:t xml:space="preserve">. </w:t>
      </w:r>
      <w:r>
        <w:rPr>
          <w:rFonts w:ascii="Century" w:hAnsi="Century" w:hint="cs"/>
          <w:rtl/>
        </w:rPr>
        <w:t>בתוך כך,</w:t>
      </w:r>
      <w:r w:rsidRPr="00F60AAC">
        <w:rPr>
          <w:rFonts w:ascii="Century" w:hAnsi="Century" w:hint="cs"/>
          <w:rtl/>
        </w:rPr>
        <w:t xml:space="preserve"> נפסק כי החלטה תכנונית שאינה נותנת משקל ראוי לשיקולים הסביבתיים עשויה להיות בלתי סבירה בעליל (</w:t>
      </w:r>
      <w:r>
        <w:rPr>
          <w:rFonts w:ascii="Century" w:hAnsi="Century" w:hint="cs"/>
          <w:rtl/>
        </w:rPr>
        <w:t xml:space="preserve">ראו למשל: </w:t>
      </w:r>
      <w:r w:rsidRPr="00F60AAC">
        <w:rPr>
          <w:rFonts w:ascii="Century" w:hAnsi="Century" w:hint="eastAsia"/>
          <w:rtl/>
        </w:rPr>
        <w:t>בג</w:t>
      </w:r>
      <w:r w:rsidRPr="00F60AAC">
        <w:rPr>
          <w:rFonts w:ascii="Century" w:hAnsi="Century"/>
          <w:rtl/>
        </w:rPr>
        <w:t>"</w:t>
      </w:r>
      <w:r w:rsidRPr="00F60AAC">
        <w:rPr>
          <w:rFonts w:ascii="Century" w:hAnsi="Century" w:hint="eastAsia"/>
          <w:rtl/>
        </w:rPr>
        <w:t>ץ</w:t>
      </w:r>
      <w:r w:rsidRPr="00F60AAC">
        <w:rPr>
          <w:rFonts w:ascii="Century" w:hAnsi="Century"/>
          <w:rtl/>
        </w:rPr>
        <w:t xml:space="preserve"> 9409/05 </w:t>
      </w:r>
      <w:r w:rsidRPr="00E0732A">
        <w:rPr>
          <w:rFonts w:ascii="Century" w:hAnsi="Century" w:cs="Miriam"/>
          <w:b/>
          <w:spacing w:val="0"/>
          <w:szCs w:val="24"/>
          <w:rtl/>
        </w:rPr>
        <w:t>אדם טבע ודין – אגודה ישראלית להגנה על הסביבה נ' הוועדה הארצית לתכנון ובנייה של תשתיות לאומית</w:t>
      </w:r>
      <w:r w:rsidRPr="00F60AAC">
        <w:rPr>
          <w:rFonts w:ascii="Century" w:hAnsi="Century"/>
          <w:rtl/>
        </w:rPr>
        <w:t>,</w:t>
      </w:r>
      <w:r w:rsidRPr="00F60AAC">
        <w:rPr>
          <w:rFonts w:ascii="Century" w:hAnsi="Century" w:hint="cs"/>
          <w:rtl/>
        </w:rPr>
        <w:t xml:space="preserve"> פ"ד</w:t>
      </w:r>
      <w:r w:rsidRPr="00F60AAC">
        <w:rPr>
          <w:rFonts w:ascii="Century" w:hAnsi="Century"/>
          <w:rtl/>
        </w:rPr>
        <w:t xml:space="preserve"> </w:t>
      </w:r>
      <w:r w:rsidRPr="00F60AAC">
        <w:rPr>
          <w:rFonts w:ascii="Century" w:hAnsi="Century" w:hint="eastAsia"/>
          <w:rtl/>
        </w:rPr>
        <w:t>סד</w:t>
      </w:r>
      <w:r w:rsidRPr="00F60AAC">
        <w:rPr>
          <w:rFonts w:ascii="Century" w:hAnsi="Century"/>
          <w:rtl/>
        </w:rPr>
        <w:t>(2) 316</w:t>
      </w:r>
      <w:r w:rsidRPr="00F60AAC">
        <w:rPr>
          <w:rFonts w:ascii="Century" w:hAnsi="Century" w:hint="cs"/>
          <w:rtl/>
        </w:rPr>
        <w:t>, 335</w:t>
      </w:r>
      <w:r w:rsidRPr="00F60AAC">
        <w:rPr>
          <w:rFonts w:ascii="Century" w:hAnsi="Century"/>
          <w:rtl/>
        </w:rPr>
        <w:t xml:space="preserve"> (2010)</w:t>
      </w:r>
      <w:r w:rsidRPr="00F60AAC">
        <w:rPr>
          <w:rFonts w:ascii="Century" w:hAnsi="Century" w:hint="cs"/>
          <w:rtl/>
        </w:rPr>
        <w:t>).</w:t>
      </w:r>
      <w:r>
        <w:rPr>
          <w:rFonts w:ascii="Century" w:hAnsi="Century" w:hint="cs"/>
          <w:rtl/>
        </w:rPr>
        <w:t xml:space="preserve"> וכן</w:t>
      </w:r>
      <w:r w:rsidRPr="00F60AAC">
        <w:rPr>
          <w:rFonts w:ascii="Century" w:hAnsi="Century" w:hint="cs"/>
          <w:rtl/>
        </w:rPr>
        <w:t xml:space="preserve"> </w:t>
      </w:r>
      <w:r>
        <w:rPr>
          <w:rFonts w:ascii="Century" w:hAnsi="Century" w:hint="cs"/>
          <w:rtl/>
        </w:rPr>
        <w:t xml:space="preserve">נקבע כי במסגרת </w:t>
      </w:r>
      <w:r w:rsidRPr="00F60AAC">
        <w:rPr>
          <w:rFonts w:ascii="Century" w:hAnsi="Century" w:hint="cs"/>
          <w:rtl/>
        </w:rPr>
        <w:t>החלטה לגבות דמי כניסה לחוף</w:t>
      </w:r>
      <w:r>
        <w:rPr>
          <w:rFonts w:ascii="Century" w:hAnsi="Century" w:hint="cs"/>
          <w:rtl/>
        </w:rPr>
        <w:t xml:space="preserve"> רחצה ציבורי,</w:t>
      </w:r>
      <w:r w:rsidRPr="00F60AAC">
        <w:rPr>
          <w:rFonts w:ascii="Century" w:hAnsi="Century" w:hint="cs"/>
          <w:rtl/>
        </w:rPr>
        <w:t xml:space="preserve"> נדרש היה לתת </w:t>
      </w:r>
      <w:r>
        <w:rPr>
          <w:rFonts w:ascii="Century" w:hAnsi="Century" w:hint="cs"/>
          <w:rtl/>
        </w:rPr>
        <w:t>משקל ראוי</w:t>
      </w:r>
      <w:r w:rsidRPr="00F60AAC">
        <w:rPr>
          <w:rFonts w:ascii="Century" w:hAnsi="Century" w:hint="cs"/>
          <w:rtl/>
        </w:rPr>
        <w:t xml:space="preserve"> ל</w:t>
      </w:r>
      <w:r>
        <w:rPr>
          <w:rFonts w:ascii="Century" w:hAnsi="Century" w:hint="cs"/>
          <w:rtl/>
        </w:rPr>
        <w:t xml:space="preserve">זכותו של הציבור ליהנות מהחופים שהם משאב לאומי, </w:t>
      </w:r>
      <w:r w:rsidRPr="00F60AAC">
        <w:rPr>
          <w:rFonts w:ascii="Century" w:hAnsi="Century" w:hint="cs"/>
          <w:rtl/>
        </w:rPr>
        <w:t>על פני</w:t>
      </w:r>
      <w:r>
        <w:rPr>
          <w:rFonts w:ascii="Century" w:hAnsi="Century" w:hint="cs"/>
          <w:rtl/>
        </w:rPr>
        <w:t xml:space="preserve"> האינטרסים המסחריים</w:t>
      </w:r>
      <w:r w:rsidRPr="00F60AAC">
        <w:rPr>
          <w:rFonts w:ascii="Century" w:hAnsi="Century" w:hint="cs"/>
          <w:rtl/>
        </w:rPr>
        <w:t xml:space="preserve"> </w:t>
      </w:r>
      <w:r>
        <w:rPr>
          <w:rFonts w:ascii="Century" w:hAnsi="Century" w:hint="cs"/>
          <w:rtl/>
        </w:rPr>
        <w:t>והכלכליים</w:t>
      </w:r>
      <w:r w:rsidRPr="00F60AAC">
        <w:rPr>
          <w:rFonts w:ascii="Century" w:hAnsi="Century" w:hint="cs"/>
          <w:rtl/>
        </w:rPr>
        <w:t xml:space="preserve"> </w:t>
      </w:r>
      <w:r>
        <w:rPr>
          <w:rFonts w:ascii="Century" w:hAnsi="Century" w:hint="cs"/>
          <w:rtl/>
        </w:rPr>
        <w:t xml:space="preserve">המוטלים על הכף </w:t>
      </w:r>
      <w:r w:rsidRPr="00F60AAC">
        <w:rPr>
          <w:rFonts w:ascii="Century" w:hAnsi="Century" w:hint="cs"/>
          <w:rtl/>
        </w:rPr>
        <w:t>(</w:t>
      </w:r>
      <w:r w:rsidRPr="00F60AAC">
        <w:rPr>
          <w:rFonts w:ascii="Century" w:hAnsi="Century" w:hint="eastAsia"/>
          <w:rtl/>
        </w:rPr>
        <w:t>בג</w:t>
      </w:r>
      <w:r w:rsidRPr="00F60AAC">
        <w:rPr>
          <w:rFonts w:ascii="Century" w:hAnsi="Century"/>
          <w:rtl/>
        </w:rPr>
        <w:t>"</w:t>
      </w:r>
      <w:r w:rsidRPr="00F60AAC">
        <w:rPr>
          <w:rFonts w:ascii="Century" w:hAnsi="Century" w:hint="eastAsia"/>
          <w:rtl/>
        </w:rPr>
        <w:t>ץ</w:t>
      </w:r>
      <w:r w:rsidRPr="00F60AAC">
        <w:rPr>
          <w:rFonts w:ascii="Century" w:hAnsi="Century"/>
          <w:rtl/>
        </w:rPr>
        <w:t xml:space="preserve"> 5824/05 </w:t>
      </w:r>
      <w:r w:rsidRPr="00E0732A">
        <w:rPr>
          <w:rFonts w:ascii="Century" w:hAnsi="Century" w:cs="Miriam"/>
          <w:b/>
          <w:spacing w:val="0"/>
          <w:szCs w:val="24"/>
          <w:rtl/>
        </w:rPr>
        <w:t>אדם טבע ודין – אגודה ישראלית להגנת הסביבה נ' שר הפנים</w:t>
      </w:r>
      <w:r w:rsidRPr="00F60AAC">
        <w:rPr>
          <w:rFonts w:ascii="Century" w:hAnsi="Century" w:hint="cs"/>
          <w:rtl/>
        </w:rPr>
        <w:t>, פסקה 18</w:t>
      </w:r>
      <w:r w:rsidRPr="00F60AAC">
        <w:rPr>
          <w:rFonts w:ascii="Century" w:hAnsi="Century"/>
          <w:rtl/>
        </w:rPr>
        <w:t xml:space="preserve"> (10.12.2009)</w:t>
      </w:r>
      <w:r w:rsidRPr="00F60AAC">
        <w:rPr>
          <w:rFonts w:ascii="Century" w:hAnsi="Century" w:hint="cs"/>
          <w:rtl/>
        </w:rPr>
        <w:t>).</w:t>
      </w:r>
      <w:r>
        <w:rPr>
          <w:rFonts w:ascii="Century" w:hAnsi="Century" w:hint="cs"/>
          <w:rtl/>
        </w:rPr>
        <w:t xml:space="preserve"> </w:t>
      </w:r>
    </w:p>
    <w:p w:rsidR="00AC74AF" w:rsidRDefault="00AC74AF" w:rsidP="00AC74AF">
      <w:pPr>
        <w:pStyle w:val="Ruller41"/>
        <w:spacing w:line="240" w:lineRule="auto"/>
        <w:rPr>
          <w:rFonts w:ascii="Century" w:hAnsi="Century"/>
          <w:rtl/>
        </w:rPr>
      </w:pPr>
    </w:p>
    <w:p w:rsidR="00AC74AF" w:rsidRDefault="00AC74AF" w:rsidP="00AC74AF">
      <w:pPr>
        <w:pStyle w:val="Ruller41"/>
        <w:rPr>
          <w:rFonts w:ascii="Century" w:hAnsi="Century"/>
          <w:rtl/>
        </w:rPr>
      </w:pPr>
      <w:r>
        <w:rPr>
          <w:rFonts w:ascii="Century" w:hAnsi="Century"/>
          <w:rtl/>
        </w:rPr>
        <w:tab/>
      </w:r>
      <w:r>
        <w:rPr>
          <w:rFonts w:ascii="Century" w:hAnsi="Century" w:hint="cs"/>
          <w:rtl/>
        </w:rPr>
        <w:t xml:space="preserve">בהקשר של הגנה על זכויות אדם, ורק לדוגמה, בית המשפט העליון </w:t>
      </w:r>
      <w:r w:rsidRPr="00F60AAC">
        <w:rPr>
          <w:rFonts w:ascii="Century" w:hAnsi="Century" w:hint="cs"/>
          <w:rtl/>
        </w:rPr>
        <w:t>הורה למשרד הביטחון, למשרד החינוך, למועצה האזורית שער הנגב ולראשיהם</w:t>
      </w:r>
      <w:r>
        <w:rPr>
          <w:rFonts w:ascii="Century" w:hAnsi="Century" w:hint="cs"/>
          <w:rtl/>
        </w:rPr>
        <w:t>,</w:t>
      </w:r>
      <w:r w:rsidRPr="00F60AAC">
        <w:rPr>
          <w:rFonts w:ascii="Century" w:hAnsi="Century" w:hint="cs"/>
          <w:rtl/>
        </w:rPr>
        <w:t xml:space="preserve"> למגן במיגון מלא כיתות בבתי ספר ביישובי עוטף עזה. זאת הגם שההחלטה למגן את כיתות בתי הספר היתה כרוכה בשקילת שיקולים תקציביים משמעותיים </w:t>
      </w:r>
      <w:r w:rsidRPr="00F60AAC">
        <w:rPr>
          <w:rFonts w:ascii="Century" w:hAnsi="Century"/>
          <w:rtl/>
        </w:rPr>
        <w:t>–</w:t>
      </w:r>
      <w:r w:rsidRPr="00F60AAC">
        <w:rPr>
          <w:rFonts w:ascii="Century" w:hAnsi="Century" w:hint="cs"/>
          <w:rtl/>
        </w:rPr>
        <w:t xml:space="preserve"> המצויה ככלל בגדר מתחם שיקול הדעת המסור לרשות. נקבע כי בית המשפט יתערב "</w:t>
      </w:r>
      <w:r w:rsidRPr="00D41E1B">
        <w:rPr>
          <w:rFonts w:ascii="Century" w:hAnsi="Century" w:cs="Miriam"/>
          <w:b/>
          <w:spacing w:val="0"/>
          <w:szCs w:val="24"/>
          <w:rtl/>
        </w:rPr>
        <w:t>אם כי לעיתים רחוקות ומתוך ריסון – אף בהחלטות הנוגעות לשיקול דעתה המקצועי של הרשות או לתקציבים המוקצים על ידה, אם החלטות אלה חורגות באופן קיצוני ממתחם הסבירות המוקנה לרשות המינהלית</w:t>
      </w:r>
      <w:r w:rsidRPr="00F60AAC">
        <w:rPr>
          <w:rFonts w:ascii="Century" w:hAnsi="Century" w:hint="cs"/>
          <w:rtl/>
        </w:rPr>
        <w:t>"</w:t>
      </w:r>
      <w:r w:rsidRPr="00F60AAC">
        <w:rPr>
          <w:rFonts w:ascii="Century" w:hAnsi="Century"/>
          <w:rtl/>
        </w:rPr>
        <w:t>.</w:t>
      </w:r>
      <w:r w:rsidRPr="00F60AAC">
        <w:rPr>
          <w:rFonts w:ascii="Century" w:hAnsi="Century" w:hint="cs"/>
          <w:rtl/>
        </w:rPr>
        <w:t xml:space="preserve"> ואולם הובהר, כי "</w:t>
      </w:r>
      <w:r w:rsidRPr="00D41E1B">
        <w:rPr>
          <w:rFonts w:ascii="Century" w:hAnsi="Century" w:cs="Miriam"/>
          <w:b/>
          <w:spacing w:val="0"/>
          <w:szCs w:val="24"/>
          <w:rtl/>
        </w:rPr>
        <w:t>על בית המשפט להתערב במידה רבה יותר כאשר עסקינן בהחלטות שעשויות להשליך על זכויות אדם בכלל</w:t>
      </w:r>
      <w:r>
        <w:rPr>
          <w:rFonts w:ascii="Century" w:hAnsi="Century" w:cs="Miriam" w:hint="cs"/>
          <w:b/>
          <w:spacing w:val="0"/>
          <w:szCs w:val="24"/>
          <w:rtl/>
        </w:rPr>
        <w:t>, ו</w:t>
      </w:r>
      <w:r w:rsidRPr="00D41E1B">
        <w:rPr>
          <w:rFonts w:ascii="Century" w:hAnsi="Century" w:cs="Miriam"/>
          <w:b/>
          <w:spacing w:val="0"/>
          <w:szCs w:val="24"/>
          <w:rtl/>
        </w:rPr>
        <w:t>על מידת הסיכון שנשקף לחיי אדם בפרט</w:t>
      </w:r>
      <w:r w:rsidRPr="00F60AAC">
        <w:rPr>
          <w:rFonts w:ascii="Century" w:hAnsi="Century" w:hint="cs"/>
          <w:rtl/>
        </w:rPr>
        <w:t>" (</w:t>
      </w:r>
      <w:r w:rsidRPr="00F60AAC">
        <w:rPr>
          <w:rFonts w:ascii="Century" w:hAnsi="Century" w:hint="eastAsia"/>
          <w:rtl/>
        </w:rPr>
        <w:t>בג</w:t>
      </w:r>
      <w:r w:rsidRPr="00F60AAC">
        <w:rPr>
          <w:rFonts w:ascii="Century" w:hAnsi="Century"/>
          <w:rtl/>
        </w:rPr>
        <w:t>"</w:t>
      </w:r>
      <w:r w:rsidRPr="00F60AAC">
        <w:rPr>
          <w:rFonts w:ascii="Century" w:hAnsi="Century" w:hint="eastAsia"/>
          <w:rtl/>
        </w:rPr>
        <w:t>ץ</w:t>
      </w:r>
      <w:r w:rsidRPr="00F60AAC">
        <w:rPr>
          <w:rFonts w:ascii="Century" w:hAnsi="Century"/>
          <w:rtl/>
        </w:rPr>
        <w:t xml:space="preserve"> 8397/06 </w:t>
      </w:r>
      <w:r w:rsidRPr="00D41E1B">
        <w:rPr>
          <w:rFonts w:ascii="Century" w:hAnsi="Century" w:cs="Miriam" w:hint="cs"/>
          <w:b/>
          <w:spacing w:val="0"/>
          <w:szCs w:val="24"/>
          <w:rtl/>
        </w:rPr>
        <w:t>ווסר</w:t>
      </w:r>
      <w:r w:rsidRPr="00D41E1B">
        <w:rPr>
          <w:rFonts w:ascii="Century" w:hAnsi="Century" w:cs="Miriam"/>
          <w:b/>
          <w:spacing w:val="0"/>
          <w:szCs w:val="24"/>
          <w:rtl/>
        </w:rPr>
        <w:t xml:space="preserve"> נ' שר הביטחון</w:t>
      </w:r>
      <w:r w:rsidRPr="00F60AAC">
        <w:rPr>
          <w:rFonts w:ascii="Century" w:hAnsi="Century"/>
          <w:rtl/>
        </w:rPr>
        <w:t xml:space="preserve">, </w:t>
      </w:r>
      <w:r w:rsidRPr="00F60AAC">
        <w:rPr>
          <w:rFonts w:ascii="Century" w:hAnsi="Century" w:hint="cs"/>
          <w:rtl/>
        </w:rPr>
        <w:t xml:space="preserve">פ"ד </w:t>
      </w:r>
      <w:r w:rsidRPr="00F60AAC">
        <w:rPr>
          <w:rFonts w:ascii="Century" w:hAnsi="Century" w:hint="eastAsia"/>
          <w:rtl/>
        </w:rPr>
        <w:t>סב</w:t>
      </w:r>
      <w:r w:rsidRPr="00F60AAC">
        <w:rPr>
          <w:rFonts w:ascii="Century" w:hAnsi="Century"/>
          <w:rtl/>
        </w:rPr>
        <w:t>(2) 198</w:t>
      </w:r>
      <w:r w:rsidRPr="00F60AAC">
        <w:rPr>
          <w:rFonts w:ascii="Century" w:hAnsi="Century" w:hint="cs"/>
          <w:rtl/>
        </w:rPr>
        <w:t xml:space="preserve">, 212 </w:t>
      </w:r>
      <w:r w:rsidRPr="00F60AAC">
        <w:rPr>
          <w:rFonts w:ascii="Century" w:hAnsi="Century"/>
          <w:rtl/>
        </w:rPr>
        <w:t>(2007)</w:t>
      </w:r>
      <w:r w:rsidRPr="00F60AAC">
        <w:rPr>
          <w:rFonts w:ascii="Century" w:hAnsi="Century" w:hint="cs"/>
          <w:rtl/>
        </w:rPr>
        <w:t xml:space="preserve">; בקשה לקיום דיון נוסף בעניין נדחתה, ראו: </w:t>
      </w:r>
      <w:r w:rsidRPr="00F60AAC">
        <w:rPr>
          <w:rFonts w:ascii="Century" w:hAnsi="Century" w:hint="eastAsia"/>
          <w:rtl/>
        </w:rPr>
        <w:t>דנג</w:t>
      </w:r>
      <w:r w:rsidRPr="00F60AAC">
        <w:rPr>
          <w:rFonts w:ascii="Century" w:hAnsi="Century"/>
          <w:rtl/>
        </w:rPr>
        <w:t>"</w:t>
      </w:r>
      <w:r w:rsidRPr="00F60AAC">
        <w:rPr>
          <w:rFonts w:ascii="Century" w:hAnsi="Century" w:hint="eastAsia"/>
          <w:rtl/>
        </w:rPr>
        <w:t>ץ</w:t>
      </w:r>
      <w:r w:rsidRPr="00F60AAC">
        <w:rPr>
          <w:rFonts w:ascii="Century" w:hAnsi="Century"/>
          <w:rtl/>
        </w:rPr>
        <w:t xml:space="preserve"> 5386/07 </w:t>
      </w:r>
      <w:r w:rsidRPr="00D41E1B">
        <w:rPr>
          <w:rFonts w:ascii="Century" w:hAnsi="Century" w:cs="Miriam"/>
          <w:b/>
          <w:spacing w:val="0"/>
          <w:szCs w:val="24"/>
          <w:rtl/>
        </w:rPr>
        <w:t>מדינת ישראל נ' ווסר</w:t>
      </w:r>
      <w:r w:rsidRPr="00D41E1B">
        <w:rPr>
          <w:rFonts w:ascii="Century" w:hAnsi="Century"/>
          <w:rtl/>
        </w:rPr>
        <w:t xml:space="preserve"> </w:t>
      </w:r>
      <w:r w:rsidRPr="00F60AAC">
        <w:rPr>
          <w:rFonts w:ascii="Century" w:hAnsi="Century"/>
          <w:rtl/>
        </w:rPr>
        <w:t>(19.</w:t>
      </w:r>
      <w:r w:rsidRPr="00F60AAC">
        <w:rPr>
          <w:rFonts w:ascii="Century" w:hAnsi="Century" w:hint="cs"/>
          <w:rtl/>
        </w:rPr>
        <w:t>7</w:t>
      </w:r>
      <w:r w:rsidRPr="00F60AAC">
        <w:rPr>
          <w:rFonts w:ascii="Century" w:hAnsi="Century"/>
          <w:rtl/>
        </w:rPr>
        <w:t>.2007)</w:t>
      </w:r>
      <w:r w:rsidRPr="00F60AAC">
        <w:rPr>
          <w:rFonts w:ascii="Century" w:hAnsi="Century" w:hint="cs"/>
          <w:rtl/>
        </w:rPr>
        <w:t>).</w:t>
      </w:r>
    </w:p>
    <w:p w:rsidR="00AC74AF" w:rsidRDefault="00AC74AF" w:rsidP="00AC74AF">
      <w:pPr>
        <w:pStyle w:val="Ruller41"/>
        <w:rPr>
          <w:rFonts w:ascii="Century" w:hAnsi="Century"/>
          <w:rtl/>
        </w:rPr>
      </w:pPr>
    </w:p>
    <w:p w:rsidR="00AC74AF" w:rsidRPr="0005265E" w:rsidRDefault="00AC74AF" w:rsidP="00AC74AF">
      <w:pPr>
        <w:pStyle w:val="Ruller41"/>
        <w:rPr>
          <w:rFonts w:ascii="Century" w:hAnsi="Century"/>
          <w:rtl/>
        </w:rPr>
      </w:pPr>
      <w:r>
        <w:rPr>
          <w:rFonts w:ascii="Century" w:hAnsi="Century" w:hint="cs"/>
          <w:rtl/>
        </w:rPr>
        <w:t>31.</w:t>
      </w:r>
      <w:r>
        <w:rPr>
          <w:rFonts w:ascii="Century" w:hAnsi="Century"/>
          <w:rtl/>
        </w:rPr>
        <w:tab/>
      </w:r>
      <w:r>
        <w:rPr>
          <w:rFonts w:ascii="Century" w:hAnsi="Century" w:hint="cs"/>
          <w:rtl/>
        </w:rPr>
        <w:t xml:space="preserve">אין לכחד, </w:t>
      </w:r>
      <w:r w:rsidRPr="00F60AAC">
        <w:rPr>
          <w:rFonts w:ascii="Century" w:hAnsi="Century" w:hint="cs"/>
          <w:rtl/>
        </w:rPr>
        <w:t>השימוש ההולך וגובר בעילת הסבירות</w:t>
      </w:r>
      <w:r w:rsidRPr="00F60AAC">
        <w:rPr>
          <w:rFonts w:ascii="Century" w:hAnsi="Century"/>
          <w:rtl/>
        </w:rPr>
        <w:t xml:space="preserve"> נכר</w:t>
      </w:r>
      <w:r w:rsidRPr="00F60AAC">
        <w:rPr>
          <w:rFonts w:ascii="Century" w:hAnsi="Century" w:hint="cs"/>
          <w:rtl/>
        </w:rPr>
        <w:t>ך</w:t>
      </w:r>
      <w:r w:rsidRPr="00F60AAC">
        <w:rPr>
          <w:rFonts w:ascii="Century" w:hAnsi="Century"/>
          <w:rtl/>
        </w:rPr>
        <w:t xml:space="preserve"> לא אחת בביקורת </w:t>
      </w:r>
      <w:r w:rsidRPr="00F60AAC">
        <w:rPr>
          <w:rFonts w:ascii="Century" w:hAnsi="Century" w:hint="cs"/>
          <w:rtl/>
        </w:rPr>
        <w:t>בדבר</w:t>
      </w:r>
      <w:r w:rsidRPr="00F60AAC">
        <w:rPr>
          <w:rFonts w:ascii="Century" w:hAnsi="Century"/>
          <w:rtl/>
        </w:rPr>
        <w:t xml:space="preserve"> עמימותה של עיל</w:t>
      </w:r>
      <w:r w:rsidRPr="00F60AAC">
        <w:rPr>
          <w:rFonts w:ascii="Century" w:hAnsi="Century" w:hint="cs"/>
          <w:rtl/>
        </w:rPr>
        <w:t xml:space="preserve">ה זו. </w:t>
      </w:r>
      <w:r w:rsidRPr="00F60AAC">
        <w:rPr>
          <w:rFonts w:ascii="Century" w:hAnsi="Century"/>
          <w:rtl/>
        </w:rPr>
        <w:t>בתוך כך, נטען כי "</w:t>
      </w:r>
      <w:r w:rsidRPr="00870EC8">
        <w:rPr>
          <w:rFonts w:ascii="Century" w:hAnsi="Century" w:cs="Miriam"/>
          <w:b/>
          <w:spacing w:val="0"/>
          <w:szCs w:val="24"/>
          <w:rtl/>
        </w:rPr>
        <w:t>מושג 'חוסר הסבירות' – הוא מונח כוללני ומעורפל, החסר תוכן מוגדר</w:t>
      </w:r>
      <w:r w:rsidRPr="00F60AAC">
        <w:rPr>
          <w:rFonts w:ascii="Century" w:hAnsi="Century"/>
          <w:rtl/>
        </w:rPr>
        <w:t xml:space="preserve">" (מיכל שקד "הערות על ביקורת הסבירות במשפט המינהלי" </w:t>
      </w:r>
      <w:r w:rsidRPr="00870EC8">
        <w:rPr>
          <w:rFonts w:ascii="Century" w:hAnsi="Century" w:cs="Miriam"/>
          <w:b/>
          <w:spacing w:val="0"/>
          <w:szCs w:val="24"/>
          <w:rtl/>
        </w:rPr>
        <w:t>משפטים</w:t>
      </w:r>
      <w:r w:rsidRPr="00870EC8">
        <w:rPr>
          <w:rFonts w:ascii="Century" w:hAnsi="Century"/>
          <w:rtl/>
        </w:rPr>
        <w:t xml:space="preserve"> </w:t>
      </w:r>
      <w:r w:rsidRPr="00F60AAC">
        <w:rPr>
          <w:rFonts w:ascii="Century" w:hAnsi="Century"/>
          <w:rtl/>
        </w:rPr>
        <w:t xml:space="preserve">יב 102, </w:t>
      </w:r>
      <w:r w:rsidRPr="00F60AAC">
        <w:rPr>
          <w:rFonts w:ascii="Century" w:hAnsi="Century" w:hint="cs"/>
          <w:rtl/>
        </w:rPr>
        <w:t>113</w:t>
      </w:r>
      <w:r w:rsidRPr="00F60AAC">
        <w:rPr>
          <w:rFonts w:ascii="Century" w:hAnsi="Century"/>
          <w:rtl/>
        </w:rPr>
        <w:t xml:space="preserve"> (1982)); </w:t>
      </w:r>
      <w:r w:rsidRPr="00F60AAC">
        <w:rPr>
          <w:rFonts w:ascii="Century" w:hAnsi="Century" w:hint="cs"/>
          <w:rtl/>
        </w:rPr>
        <w:t>וכי מושג זה משמש</w:t>
      </w:r>
      <w:r w:rsidRPr="00F60AAC">
        <w:rPr>
          <w:rFonts w:ascii="Century" w:hAnsi="Century"/>
          <w:rtl/>
        </w:rPr>
        <w:t xml:space="preserve"> "</w:t>
      </w:r>
      <w:r w:rsidRPr="00870EC8">
        <w:rPr>
          <w:rFonts w:ascii="Century" w:hAnsi="Century" w:cs="Miriam"/>
          <w:b/>
          <w:spacing w:val="0"/>
          <w:szCs w:val="24"/>
          <w:rtl/>
        </w:rPr>
        <w:t>כחומר ביד השופט היוצר – ברצותו מרחיב וברצותו מקצר</w:t>
      </w:r>
      <w:r w:rsidRPr="00F60AAC">
        <w:rPr>
          <w:rFonts w:ascii="Century" w:hAnsi="Century"/>
          <w:rtl/>
        </w:rPr>
        <w:t xml:space="preserve">" (נעם סולברג "הלכת דרעי-פנחסי בראי עילת הסבירות" </w:t>
      </w:r>
      <w:r w:rsidRPr="00870EC8">
        <w:rPr>
          <w:rFonts w:ascii="Century" w:hAnsi="Century" w:cs="Miriam"/>
          <w:b/>
          <w:spacing w:val="0"/>
          <w:szCs w:val="24"/>
          <w:rtl/>
        </w:rPr>
        <w:t>בלוג רשות הרבים</w:t>
      </w:r>
      <w:r w:rsidRPr="00F60AAC">
        <w:rPr>
          <w:rFonts w:ascii="Century" w:hAnsi="Century"/>
          <w:rtl/>
        </w:rPr>
        <w:t xml:space="preserve"> (16.1.2022)). </w:t>
      </w:r>
      <w:r w:rsidRPr="00F60AAC">
        <w:rPr>
          <w:rFonts w:ascii="Century" w:hAnsi="Century" w:hint="cs"/>
          <w:rtl/>
        </w:rPr>
        <w:t>עוד נטען כי</w:t>
      </w:r>
      <w:r w:rsidRPr="00F60AAC">
        <w:rPr>
          <w:rFonts w:ascii="Century" w:hAnsi="Century"/>
          <w:rtl/>
        </w:rPr>
        <w:t xml:space="preserve"> "</w:t>
      </w:r>
      <w:r w:rsidRPr="00870EC8">
        <w:rPr>
          <w:rFonts w:ascii="Century" w:hAnsi="Century" w:cs="Miriam"/>
          <w:b/>
          <w:spacing w:val="0"/>
          <w:szCs w:val="24"/>
          <w:rtl/>
        </w:rPr>
        <w:t>סבירות החלטה מינהלית אינה עניין לבית המשפט, משום שבית המשפט אינו כשיר ואינו מתאים להכריע בשאלה זאת יותר משר או רשות מינהלית אחרת; וכי השימוש בעילה זאת סותר את העיקרון של הפרדת הרשויות ופוגע ביכולת המשילות</w:t>
      </w:r>
      <w:r w:rsidRPr="00F60AAC">
        <w:rPr>
          <w:rFonts w:ascii="Century" w:hAnsi="Century"/>
          <w:rtl/>
        </w:rPr>
        <w:t>" (</w:t>
      </w:r>
      <w:r w:rsidRPr="00870EC8">
        <w:rPr>
          <w:rFonts w:ascii="Century" w:hAnsi="Century" w:cs="Miriam"/>
          <w:b/>
          <w:spacing w:val="0"/>
          <w:szCs w:val="24"/>
          <w:rtl/>
        </w:rPr>
        <w:t>זמיר</w:t>
      </w:r>
      <w:r w:rsidRPr="00F60AAC">
        <w:rPr>
          <w:rFonts w:ascii="Century" w:hAnsi="Century"/>
          <w:rtl/>
        </w:rPr>
        <w:t xml:space="preserve">, עמ' 3873). </w:t>
      </w:r>
      <w:r>
        <w:rPr>
          <w:rFonts w:ascii="Century" w:hAnsi="Century" w:hint="cs"/>
          <w:rtl/>
        </w:rPr>
        <w:t xml:space="preserve">עם זאת, גם המבקרים הנחרצים ביותר של העילה </w:t>
      </w:r>
      <w:r>
        <w:rPr>
          <w:rFonts w:ascii="Century" w:hAnsi="Century" w:hint="cs"/>
          <w:rtl/>
        </w:rPr>
        <w:lastRenderedPageBreak/>
        <w:t xml:space="preserve">לא הטילו ספק בעצם נחיצותה ולא ביקשו להגבילה בחקיקה </w:t>
      </w:r>
      <w:r>
        <w:rPr>
          <w:rFonts w:ascii="Century" w:hAnsi="Century"/>
          <w:rtl/>
        </w:rPr>
        <w:t>–</w:t>
      </w:r>
      <w:r>
        <w:rPr>
          <w:rFonts w:ascii="Century" w:hAnsi="Century" w:hint="cs"/>
          <w:rtl/>
        </w:rPr>
        <w:t xml:space="preserve"> אלא הציעו לצמצם את רוחב פרישתה בפסיקה (</w:t>
      </w:r>
      <w:r w:rsidRPr="0005265E">
        <w:rPr>
          <w:rFonts w:ascii="Century" w:hAnsi="Century" w:hint="cs"/>
          <w:rtl/>
        </w:rPr>
        <w:t xml:space="preserve">ראו דברי השופטת </w:t>
      </w:r>
      <w:r w:rsidRPr="0005265E">
        <w:rPr>
          <w:rFonts w:ascii="Century" w:hAnsi="Century" w:cs="Miriam" w:hint="cs"/>
          <w:b/>
          <w:spacing w:val="0"/>
          <w:szCs w:val="24"/>
          <w:rtl/>
        </w:rPr>
        <w:t>א' חיות</w:t>
      </w:r>
      <w:r w:rsidRPr="0005265E">
        <w:rPr>
          <w:rFonts w:ascii="Century" w:hAnsi="Century" w:hint="cs"/>
          <w:rtl/>
        </w:rPr>
        <w:t xml:space="preserve"> בעניין </w:t>
      </w:r>
      <w:r w:rsidRPr="0005265E">
        <w:rPr>
          <w:rFonts w:ascii="Century" w:hAnsi="Century" w:cs="Miriam" w:hint="cs"/>
          <w:b/>
          <w:spacing w:val="0"/>
          <w:szCs w:val="24"/>
          <w:rtl/>
        </w:rPr>
        <w:t>הנגבי 2015</w:t>
      </w:r>
      <w:r w:rsidRPr="0005265E">
        <w:rPr>
          <w:rFonts w:ascii="Century" w:hAnsi="Century" w:hint="cs"/>
          <w:rtl/>
        </w:rPr>
        <w:t xml:space="preserve">; ודברי השופטת </w:t>
      </w:r>
      <w:r w:rsidRPr="0005265E">
        <w:rPr>
          <w:rFonts w:ascii="Century" w:hAnsi="Century" w:cs="Miriam" w:hint="cs"/>
          <w:b/>
          <w:spacing w:val="0"/>
          <w:szCs w:val="24"/>
          <w:rtl/>
        </w:rPr>
        <w:t>א' פרוקצ'יה</w:t>
      </w:r>
      <w:r w:rsidRPr="0005265E">
        <w:rPr>
          <w:rFonts w:ascii="Century" w:hAnsi="Century" w:hint="cs"/>
          <w:rtl/>
        </w:rPr>
        <w:t xml:space="preserve"> בעניין </w:t>
      </w:r>
      <w:r w:rsidRPr="0005265E">
        <w:rPr>
          <w:rFonts w:ascii="Century" w:hAnsi="Century" w:cs="Miriam" w:hint="cs"/>
          <w:b/>
          <w:spacing w:val="0"/>
          <w:szCs w:val="24"/>
          <w:rtl/>
        </w:rPr>
        <w:t>אמונה</w:t>
      </w:r>
      <w:r>
        <w:rPr>
          <w:rFonts w:ascii="Century" w:hAnsi="Century" w:hint="cs"/>
          <w:rtl/>
        </w:rPr>
        <w:t>, פסקה 33;</w:t>
      </w:r>
      <w:r>
        <w:rPr>
          <w:rFonts w:hint="cs"/>
          <w:rtl/>
        </w:rPr>
        <w:t xml:space="preserve"> </w:t>
      </w:r>
      <w:r w:rsidRPr="00F60AAC">
        <w:rPr>
          <w:rFonts w:hint="cs"/>
          <w:rtl/>
        </w:rPr>
        <w:t xml:space="preserve">רון שפירא "על סבירותה של עילת הסבירות" </w:t>
      </w:r>
      <w:r w:rsidRPr="00870EC8">
        <w:rPr>
          <w:rFonts w:ascii="Century" w:hAnsi="Century" w:cs="Miriam"/>
          <w:b/>
          <w:spacing w:val="0"/>
          <w:szCs w:val="24"/>
          <w:rtl/>
        </w:rPr>
        <w:t>בלוג רשות הרבים</w:t>
      </w:r>
      <w:r w:rsidRPr="00F60AAC">
        <w:rPr>
          <w:rFonts w:hint="cs"/>
          <w:rtl/>
        </w:rPr>
        <w:t>, 7 (16.1.2023)).</w:t>
      </w:r>
      <w:r>
        <w:rPr>
          <w:rFonts w:hint="cs"/>
          <w:rtl/>
        </w:rPr>
        <w:t xml:space="preserve"> </w:t>
      </w:r>
    </w:p>
    <w:p w:rsidR="00AC74AF" w:rsidRDefault="00AC74AF" w:rsidP="00AC74AF">
      <w:pPr>
        <w:pStyle w:val="Ruller41"/>
        <w:rPr>
          <w:rFonts w:ascii="Century" w:hAnsi="Century"/>
          <w:rtl/>
        </w:rPr>
      </w:pPr>
      <w:r>
        <w:rPr>
          <w:rFonts w:ascii="Century" w:hAnsi="Century"/>
          <w:rtl/>
        </w:rPr>
        <w:tab/>
      </w:r>
    </w:p>
    <w:p w:rsidR="00AC74AF" w:rsidRDefault="00AC74AF" w:rsidP="00AC74AF">
      <w:pPr>
        <w:pStyle w:val="Ruller41"/>
        <w:rPr>
          <w:rFonts w:ascii="Century" w:hAnsi="Century"/>
          <w:rtl/>
        </w:rPr>
      </w:pPr>
      <w:r>
        <w:rPr>
          <w:rFonts w:ascii="Century" w:hAnsi="Century"/>
          <w:rtl/>
        </w:rPr>
        <w:tab/>
      </w:r>
      <w:r>
        <w:rPr>
          <w:rFonts w:ascii="Century" w:hAnsi="Century" w:hint="cs"/>
          <w:rtl/>
        </w:rPr>
        <w:t xml:space="preserve">אלא שבמקום לעצב את עילת הסבירות ממקרה למקרה, כדרך שבו מתפתחות הלכות המשפט המינהלי בישראל, התיקון לחוק היסוד מבטל אותה כליל ביחס להחלטות הממשלה, במעשה חקיקה חפוז ומגמתי; והטוטליות של התיקון לחוק היסוד סופה שתהפוך לפרקטיקות טוטליטריות. </w:t>
      </w:r>
    </w:p>
    <w:p w:rsidR="00AC74AF" w:rsidRDefault="00AC74AF" w:rsidP="00AC74AF">
      <w:pPr>
        <w:pStyle w:val="Ruller41"/>
        <w:rPr>
          <w:rFonts w:ascii="Century" w:hAnsi="Century"/>
          <w:rtl/>
        </w:rPr>
      </w:pPr>
    </w:p>
    <w:p w:rsidR="00AC74AF" w:rsidRPr="00F60AAC" w:rsidRDefault="00AC74AF" w:rsidP="00AC74AF">
      <w:pPr>
        <w:pStyle w:val="Ruller41"/>
        <w:rPr>
          <w:rFonts w:ascii="Century" w:hAnsi="Century"/>
          <w:rtl/>
        </w:rPr>
      </w:pPr>
      <w:r>
        <w:rPr>
          <w:rFonts w:ascii="Century" w:hAnsi="Century" w:hint="cs"/>
          <w:rtl/>
        </w:rPr>
        <w:t>32.</w:t>
      </w:r>
      <w:r>
        <w:rPr>
          <w:rFonts w:ascii="Century" w:hAnsi="Century" w:hint="cs"/>
          <w:rtl/>
        </w:rPr>
        <w:tab/>
        <w:t>הסכנות השונות הגלומות בתיקון לחוק היסוד מתעצמות עד מאוד לנוכח מעמדה של הרשות המבצעת במבנה המשטרי הישראלי</w:t>
      </w:r>
      <w:r w:rsidRPr="00F60AAC">
        <w:rPr>
          <w:rFonts w:ascii="Century" w:hAnsi="Century" w:hint="cs"/>
          <w:rtl/>
        </w:rPr>
        <w:t xml:space="preserve">. </w:t>
      </w:r>
      <w:r>
        <w:rPr>
          <w:rFonts w:ascii="Century" w:hAnsi="Century" w:hint="cs"/>
          <w:rtl/>
        </w:rPr>
        <w:t xml:space="preserve">כידוע, </w:t>
      </w:r>
      <w:r w:rsidRPr="00F60AAC">
        <w:rPr>
          <w:rFonts w:ascii="Century" w:hAnsi="Century" w:hint="cs"/>
          <w:rtl/>
        </w:rPr>
        <w:t xml:space="preserve">בישראל נהנית </w:t>
      </w:r>
      <w:r>
        <w:rPr>
          <w:rFonts w:ascii="Century" w:hAnsi="Century" w:hint="cs"/>
          <w:rtl/>
        </w:rPr>
        <w:t>הממשלה</w:t>
      </w:r>
      <w:r w:rsidRPr="00F60AAC">
        <w:rPr>
          <w:rFonts w:ascii="Century" w:hAnsi="Century" w:hint="cs"/>
          <w:rtl/>
        </w:rPr>
        <w:t xml:space="preserve"> מרוב </w:t>
      </w:r>
      <w:r>
        <w:rPr>
          <w:rFonts w:ascii="Century" w:hAnsi="Century" w:hint="cs"/>
          <w:rtl/>
        </w:rPr>
        <w:t>צייתני</w:t>
      </w:r>
      <w:r w:rsidRPr="00F60AAC">
        <w:rPr>
          <w:rFonts w:ascii="Century" w:hAnsi="Century" w:hint="cs"/>
          <w:rtl/>
        </w:rPr>
        <w:t xml:space="preserve"> בכנסת</w:t>
      </w:r>
      <w:r>
        <w:rPr>
          <w:rFonts w:ascii="Century" w:hAnsi="Century" w:hint="cs"/>
          <w:rtl/>
        </w:rPr>
        <w:t>, המרכין ראש בפניה ומקנה לה כוח חסר ביקורת כמעט לחלוטין</w:t>
      </w:r>
      <w:r w:rsidRPr="00F60AAC">
        <w:rPr>
          <w:rFonts w:ascii="Century" w:hAnsi="Century" w:hint="cs"/>
          <w:rtl/>
        </w:rPr>
        <w:t xml:space="preserve">. רוב זה, בשילוב עם פרקטיקות נהוגות כדוגמת "משמעת סיעתית", ו-"משמעת קואליציונית" שאף מעוגנת בהסכמים קואליציוניים, מקנה לממשלה </w:t>
      </w:r>
      <w:r w:rsidRPr="000D7F62">
        <w:rPr>
          <w:rFonts w:ascii="Century" w:hAnsi="Century" w:cs="Miriam" w:hint="cs"/>
          <w:b/>
          <w:spacing w:val="0"/>
          <w:szCs w:val="24"/>
          <w:rtl/>
        </w:rPr>
        <w:t>שליטה מלאה</w:t>
      </w:r>
      <w:r w:rsidRPr="000D7F62">
        <w:rPr>
          <w:rFonts w:ascii="Century" w:hAnsi="Century" w:hint="cs"/>
          <w:rtl/>
        </w:rPr>
        <w:t xml:space="preserve"> </w:t>
      </w:r>
      <w:r w:rsidRPr="00F60AAC">
        <w:rPr>
          <w:rFonts w:ascii="Century" w:hAnsi="Century" w:hint="cs"/>
          <w:rtl/>
        </w:rPr>
        <w:t xml:space="preserve">על הליכי החקיקה. בהיעדרו של חוק יסוד: החקיקה, </w:t>
      </w:r>
      <w:r>
        <w:rPr>
          <w:rFonts w:ascii="Century" w:hAnsi="Century" w:hint="cs"/>
          <w:rtl/>
        </w:rPr>
        <w:t xml:space="preserve">הליך חקיקת יסוד הוא כהליך </w:t>
      </w:r>
      <w:r w:rsidRPr="00F60AAC">
        <w:rPr>
          <w:rFonts w:ascii="Century" w:hAnsi="Century" w:hint="cs"/>
          <w:rtl/>
        </w:rPr>
        <w:t xml:space="preserve">חקיקה רגילה, </w:t>
      </w:r>
      <w:r>
        <w:rPr>
          <w:rFonts w:ascii="Century" w:hAnsi="Century" w:hint="cs"/>
          <w:rtl/>
        </w:rPr>
        <w:t xml:space="preserve">אינו כרוך בפרוצדורה נוקשה וייחודית, </w:t>
      </w:r>
      <w:r w:rsidRPr="00F60AAC">
        <w:rPr>
          <w:rFonts w:ascii="Century" w:hAnsi="Century" w:hint="cs"/>
          <w:rtl/>
        </w:rPr>
        <w:t>כך ש</w:t>
      </w:r>
      <w:r>
        <w:rPr>
          <w:rFonts w:ascii="Century" w:hAnsi="Century" w:hint="cs"/>
          <w:rtl/>
        </w:rPr>
        <w:t>הממשלה</w:t>
      </w:r>
      <w:r w:rsidRPr="00F60AAC">
        <w:rPr>
          <w:rFonts w:ascii="Century" w:hAnsi="Century" w:hint="cs"/>
          <w:rtl/>
        </w:rPr>
        <w:t xml:space="preserve"> חופש</w:t>
      </w:r>
      <w:r>
        <w:rPr>
          <w:rFonts w:ascii="Century" w:hAnsi="Century" w:hint="cs"/>
          <w:rtl/>
        </w:rPr>
        <w:t>י</w:t>
      </w:r>
      <w:r w:rsidRPr="00F60AAC">
        <w:rPr>
          <w:rFonts w:ascii="Century" w:hAnsi="Century" w:hint="cs"/>
          <w:rtl/>
        </w:rPr>
        <w:t>יה לעשות שימוש בסמכות המכוננת של הכנסת על מנת לעצב את כללי המשחק המשטריים כרצונה ובהתאם לאינטרסים שלה (ראו</w:t>
      </w:r>
      <w:r>
        <w:rPr>
          <w:rFonts w:ascii="Century" w:hAnsi="Century" w:hint="cs"/>
          <w:rtl/>
        </w:rPr>
        <w:t xml:space="preserve"> בפסקה 75 לחוות דעתה של </w:t>
      </w:r>
      <w:r w:rsidRPr="00A7163E">
        <w:rPr>
          <w:rFonts w:ascii="Century" w:hAnsi="Century" w:cs="Miriam" w:hint="cs"/>
          <w:b/>
          <w:spacing w:val="0"/>
          <w:szCs w:val="24"/>
          <w:rtl/>
        </w:rPr>
        <w:t>הנשיאה</w:t>
      </w:r>
      <w:r>
        <w:rPr>
          <w:rFonts w:ascii="Century" w:hAnsi="Century" w:hint="cs"/>
          <w:rtl/>
        </w:rPr>
        <w:t>;</w:t>
      </w:r>
      <w:r w:rsidRPr="00F60AAC">
        <w:rPr>
          <w:rFonts w:ascii="Century" w:hAnsi="Century" w:hint="cs"/>
          <w:rtl/>
        </w:rPr>
        <w:t xml:space="preserve"> עניין </w:t>
      </w:r>
      <w:r w:rsidRPr="00183F17">
        <w:rPr>
          <w:rFonts w:ascii="Century" w:hAnsi="Century" w:cs="Miriam" w:hint="cs"/>
          <w:b/>
          <w:spacing w:val="0"/>
          <w:szCs w:val="24"/>
          <w:rtl/>
        </w:rPr>
        <w:t>שיינפלד</w:t>
      </w:r>
      <w:r w:rsidRPr="00F60AAC">
        <w:rPr>
          <w:rFonts w:ascii="Century" w:hAnsi="Century" w:hint="cs"/>
          <w:rtl/>
        </w:rPr>
        <w:t xml:space="preserve">, פסקה 3 </w:t>
      </w:r>
      <w:r>
        <w:rPr>
          <w:rFonts w:ascii="Century" w:hAnsi="Century" w:hint="cs"/>
          <w:rtl/>
        </w:rPr>
        <w:t>לחוות דעתו</w:t>
      </w:r>
      <w:r w:rsidRPr="00F60AAC">
        <w:rPr>
          <w:rFonts w:ascii="Century" w:hAnsi="Century" w:hint="cs"/>
          <w:rtl/>
        </w:rPr>
        <w:t xml:space="preserve"> של השופט </w:t>
      </w:r>
      <w:r w:rsidRPr="00183F17">
        <w:rPr>
          <w:rFonts w:ascii="Century" w:hAnsi="Century" w:cs="Miriam" w:hint="cs"/>
          <w:b/>
          <w:spacing w:val="0"/>
          <w:szCs w:val="24"/>
          <w:rtl/>
        </w:rPr>
        <w:t>י' עמית</w:t>
      </w:r>
      <w:r w:rsidRPr="00F60AAC">
        <w:rPr>
          <w:rFonts w:ascii="Century" w:hAnsi="Century" w:hint="cs"/>
          <w:rtl/>
        </w:rPr>
        <w:t xml:space="preserve">; עניין </w:t>
      </w:r>
      <w:r w:rsidRPr="00183F17">
        <w:rPr>
          <w:rFonts w:ascii="Century" w:hAnsi="Century" w:cs="Miriam" w:hint="cs"/>
          <w:b/>
          <w:spacing w:val="0"/>
          <w:szCs w:val="24"/>
          <w:rtl/>
        </w:rPr>
        <w:t>חסון</w:t>
      </w:r>
      <w:r w:rsidRPr="00F60AAC">
        <w:rPr>
          <w:rFonts w:ascii="Century" w:hAnsi="Century" w:hint="cs"/>
          <w:rtl/>
        </w:rPr>
        <w:t xml:space="preserve">, פסקה 5 </w:t>
      </w:r>
      <w:r>
        <w:rPr>
          <w:rFonts w:ascii="Century" w:hAnsi="Century" w:hint="cs"/>
          <w:rtl/>
        </w:rPr>
        <w:t>לחוות דעתו</w:t>
      </w:r>
      <w:r w:rsidRPr="00F60AAC">
        <w:rPr>
          <w:rFonts w:ascii="Century" w:hAnsi="Century" w:hint="cs"/>
          <w:rtl/>
        </w:rPr>
        <w:t xml:space="preserve"> של השופט </w:t>
      </w:r>
      <w:r w:rsidRPr="00183F17">
        <w:rPr>
          <w:rFonts w:ascii="Century" w:hAnsi="Century" w:cs="Miriam" w:hint="cs"/>
          <w:b/>
          <w:spacing w:val="0"/>
          <w:szCs w:val="24"/>
          <w:rtl/>
        </w:rPr>
        <w:t>מ' מזוז</w:t>
      </w:r>
      <w:r w:rsidRPr="00F60AAC">
        <w:rPr>
          <w:rFonts w:ascii="Century" w:hAnsi="Century" w:hint="cs"/>
          <w:rtl/>
        </w:rPr>
        <w:t xml:space="preserve">). במבט השוואתי, אין בישראל אף לא אחד מהמנגנונים הנהוגים בדמוקרטיות אחרות ומשמשים שם לצורך ביזור כוח שלטוני </w:t>
      </w:r>
      <w:r w:rsidRPr="00F60AAC">
        <w:rPr>
          <w:rFonts w:ascii="Century" w:hAnsi="Century"/>
          <w:rtl/>
        </w:rPr>
        <w:t>–</w:t>
      </w:r>
      <w:r w:rsidRPr="00F60AAC">
        <w:rPr>
          <w:rFonts w:ascii="Century" w:hAnsi="Century" w:hint="cs"/>
          <w:rtl/>
        </w:rPr>
        <w:t xml:space="preserve"> כדוגמת מבנה פדרלי המחלק את הכוח בין שלטון מרכזי למדינות השונות; פרלמנט המורכב משני בתים; שיטה נשיאותית המפרידה בין הרשות המחוקקת לרשות המבצעת; ועוד. </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Pr>
          <w:rFonts w:ascii="Century" w:hAnsi="Century"/>
          <w:rtl/>
        </w:rPr>
        <w:tab/>
      </w:r>
      <w:r w:rsidRPr="00F60AAC">
        <w:rPr>
          <w:rFonts w:ascii="Century" w:hAnsi="Century" w:hint="cs"/>
          <w:rtl/>
        </w:rPr>
        <w:t xml:space="preserve">התוצאה היא שכוחה של הכנסת לפקח על </w:t>
      </w:r>
      <w:r>
        <w:rPr>
          <w:rFonts w:ascii="Century" w:hAnsi="Century" w:hint="cs"/>
          <w:rtl/>
        </w:rPr>
        <w:t>הממשלה</w:t>
      </w:r>
      <w:r w:rsidRPr="00F60AAC">
        <w:rPr>
          <w:rFonts w:ascii="Century" w:hAnsi="Century" w:hint="cs"/>
          <w:rtl/>
        </w:rPr>
        <w:t xml:space="preserve"> הוא מוגבל וחסר שיניים במידה רבה. בתוך כך יש לציין, כי מוסד אי האמון צומצם בחקיקה באופן משמעותי </w:t>
      </w:r>
      <w:r w:rsidRPr="00F60AAC">
        <w:rPr>
          <w:rFonts w:ascii="Century" w:hAnsi="Century"/>
          <w:rtl/>
        </w:rPr>
        <w:t>–</w:t>
      </w:r>
      <w:r w:rsidRPr="00F60AAC">
        <w:rPr>
          <w:rFonts w:ascii="Century" w:hAnsi="Century" w:hint="cs"/>
          <w:rtl/>
        </w:rPr>
        <w:t xml:space="preserve"> וכיום לא ניתן לעשות בו שימוש מבלי להצביע אמון בממשלה אחרת (סעיף 28 לחוק-יסוד: </w:t>
      </w:r>
      <w:r>
        <w:rPr>
          <w:rFonts w:ascii="Century" w:hAnsi="Century" w:hint="cs"/>
          <w:rtl/>
        </w:rPr>
        <w:t>הממשלה</w:t>
      </w:r>
      <w:r w:rsidRPr="00F60AAC">
        <w:rPr>
          <w:rFonts w:ascii="Century" w:hAnsi="Century" w:hint="cs"/>
          <w:rtl/>
        </w:rPr>
        <w:t xml:space="preserve">). חקיקת "החוק הנורבגי" העצימה אף היא את תלותם של חברי הכנסת בממשלה. חוק זה מאפשר לשר ולסגן שר להתפטר מהכנסת באופן שאת מקומם יתפוס מחליף מסיעתם, ועם סיום כהונתם בממשלה הם רשאים לחזור שוב לכיסאם בכנסת במקום מחליפיהם. מטבע הדברים, מנגנון זה יוצר מחויבות </w:t>
      </w:r>
      <w:r>
        <w:rPr>
          <w:rFonts w:ascii="Century" w:hAnsi="Century" w:hint="cs"/>
          <w:rtl/>
        </w:rPr>
        <w:t xml:space="preserve">אינהרנטית </w:t>
      </w:r>
      <w:r w:rsidRPr="00F60AAC">
        <w:rPr>
          <w:rFonts w:ascii="Century" w:hAnsi="Century" w:hint="cs"/>
          <w:rtl/>
        </w:rPr>
        <w:t xml:space="preserve">מצד חברי הכנסת המחליפים כלפי חברי </w:t>
      </w:r>
      <w:r>
        <w:rPr>
          <w:rFonts w:ascii="Century" w:hAnsi="Century" w:hint="cs"/>
          <w:rtl/>
        </w:rPr>
        <w:t>הממשלה</w:t>
      </w:r>
      <w:r w:rsidRPr="00F60AAC">
        <w:rPr>
          <w:rFonts w:ascii="Century" w:hAnsi="Century" w:hint="cs"/>
          <w:rtl/>
        </w:rPr>
        <w:t xml:space="preserve"> שהעניקו להם את מושבם </w:t>
      </w:r>
      <w:r w:rsidRPr="00F60AAC">
        <w:rPr>
          <w:rFonts w:ascii="Century" w:hAnsi="Century"/>
          <w:rtl/>
        </w:rPr>
        <w:t>–</w:t>
      </w:r>
      <w:r>
        <w:rPr>
          <w:rFonts w:ascii="Century" w:hAnsi="Century" w:hint="cs"/>
          <w:rtl/>
        </w:rPr>
        <w:t xml:space="preserve"> שברצותם עלולים לקחת</w:t>
      </w:r>
      <w:r w:rsidRPr="00F60AAC">
        <w:rPr>
          <w:rFonts w:ascii="Century" w:hAnsi="Century" w:hint="cs"/>
          <w:rtl/>
        </w:rPr>
        <w:t xml:space="preserve">ו בחזרה. </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Pr>
          <w:rFonts w:ascii="Century" w:hAnsi="Century"/>
          <w:rtl/>
        </w:rPr>
        <w:tab/>
      </w:r>
      <w:r w:rsidRPr="00F60AAC">
        <w:rPr>
          <w:rFonts w:ascii="Century" w:hAnsi="Century" w:hint="cs"/>
          <w:rtl/>
        </w:rPr>
        <w:t xml:space="preserve">אם לא די בכל אלה, הרי שלישראל אין חוקה יציבה ואף לא מגילת זכויות מלאה; </w:t>
      </w:r>
      <w:r>
        <w:rPr>
          <w:rFonts w:ascii="Century" w:hAnsi="Century" w:hint="cs"/>
          <w:rtl/>
        </w:rPr>
        <w:t>ו</w:t>
      </w:r>
      <w:r w:rsidRPr="00F60AAC">
        <w:rPr>
          <w:rFonts w:ascii="Century" w:hAnsi="Century" w:hint="cs"/>
          <w:rtl/>
        </w:rPr>
        <w:t xml:space="preserve">היא </w:t>
      </w:r>
      <w:r>
        <w:rPr>
          <w:rFonts w:ascii="Century" w:hAnsi="Century" w:hint="cs"/>
          <w:rtl/>
        </w:rPr>
        <w:t>אינה כפופה למנגנון פיקוח בין-</w:t>
      </w:r>
      <w:r w:rsidRPr="00F60AAC">
        <w:rPr>
          <w:rFonts w:ascii="Century" w:hAnsi="Century" w:hint="cs"/>
          <w:rtl/>
        </w:rPr>
        <w:t>לאומי כד</w:t>
      </w:r>
      <w:r>
        <w:rPr>
          <w:rFonts w:ascii="Century" w:hAnsi="Century" w:hint="cs"/>
          <w:rtl/>
        </w:rPr>
        <w:t>וגמת האמנה האירופית לזכויות אדם</w:t>
      </w:r>
      <w:r w:rsidRPr="00F60AAC">
        <w:rPr>
          <w:rFonts w:ascii="Century" w:hAnsi="Century" w:hint="cs"/>
          <w:rtl/>
        </w:rPr>
        <w:t xml:space="preserve">.       </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Pr>
          <w:rFonts w:ascii="Century" w:hAnsi="Century"/>
          <w:rtl/>
        </w:rPr>
        <w:tab/>
      </w:r>
      <w:r>
        <w:rPr>
          <w:rFonts w:ascii="Century" w:hAnsi="Century" w:hint="cs"/>
          <w:rtl/>
        </w:rPr>
        <w:t xml:space="preserve">הנה כי כן, בעוד </w:t>
      </w:r>
      <w:r w:rsidRPr="00F60AAC">
        <w:rPr>
          <w:rFonts w:ascii="Century" w:hAnsi="Century" w:hint="cs"/>
          <w:rtl/>
        </w:rPr>
        <w:t>לפי עקרון הפרדת הרשויות הכנסת היא הריבון וככזו אינה אמורה לשמש "</w:t>
      </w:r>
      <w:r w:rsidRPr="00183F17">
        <w:rPr>
          <w:rFonts w:ascii="Century" w:hAnsi="Century" w:cs="Miriam" w:hint="cs"/>
          <w:b/>
          <w:spacing w:val="0"/>
          <w:szCs w:val="24"/>
          <w:rtl/>
        </w:rPr>
        <w:t xml:space="preserve">להקת המעודדות של </w:t>
      </w:r>
      <w:r>
        <w:rPr>
          <w:rFonts w:ascii="Century" w:hAnsi="Century" w:cs="Miriam" w:hint="cs"/>
          <w:b/>
          <w:spacing w:val="0"/>
          <w:szCs w:val="24"/>
          <w:rtl/>
        </w:rPr>
        <w:t>הממשלה</w:t>
      </w:r>
      <w:r w:rsidRPr="00F60AAC">
        <w:rPr>
          <w:rFonts w:ascii="Century" w:hAnsi="Century" w:hint="cs"/>
          <w:rtl/>
        </w:rPr>
        <w:t xml:space="preserve">" (המשנה לנשיאה </w:t>
      </w:r>
      <w:r w:rsidRPr="00183F17">
        <w:rPr>
          <w:rFonts w:ascii="Century" w:hAnsi="Century" w:cs="Miriam" w:hint="cs"/>
          <w:b/>
          <w:spacing w:val="0"/>
          <w:szCs w:val="24"/>
          <w:rtl/>
        </w:rPr>
        <w:t>א' רובינשטיין</w:t>
      </w:r>
      <w:r w:rsidRPr="00183F17">
        <w:rPr>
          <w:rFonts w:ascii="Century" w:hAnsi="Century" w:hint="cs"/>
          <w:rtl/>
        </w:rPr>
        <w:t xml:space="preserve"> </w:t>
      </w:r>
      <w:r>
        <w:rPr>
          <w:rFonts w:ascii="Century" w:hAnsi="Century" w:hint="cs"/>
          <w:rtl/>
        </w:rPr>
        <w:t xml:space="preserve">ב-בג"ץ 4374/15 </w:t>
      </w:r>
      <w:r w:rsidRPr="00656AB9">
        <w:rPr>
          <w:rFonts w:ascii="Century" w:hAnsi="Century" w:cs="Miriam" w:hint="cs"/>
          <w:b/>
          <w:spacing w:val="0"/>
          <w:szCs w:val="24"/>
          <w:rtl/>
        </w:rPr>
        <w:t>התנועה למען איכותה שלטון בישראל נ' ראש ממשלת ישראל</w:t>
      </w:r>
      <w:r w:rsidRPr="00F60AAC">
        <w:rPr>
          <w:rFonts w:ascii="Century" w:hAnsi="Century" w:hint="cs"/>
          <w:rtl/>
        </w:rPr>
        <w:t>, פסקה קמב</w:t>
      </w:r>
      <w:r>
        <w:rPr>
          <w:rFonts w:ascii="Century" w:hAnsi="Century" w:hint="cs"/>
          <w:rtl/>
        </w:rPr>
        <w:t xml:space="preserve"> (27.3.2016)</w:t>
      </w:r>
      <w:r w:rsidRPr="00F60AAC">
        <w:rPr>
          <w:rFonts w:ascii="Century" w:hAnsi="Century" w:hint="cs"/>
          <w:rtl/>
        </w:rPr>
        <w:t xml:space="preserve">) </w:t>
      </w:r>
      <w:r w:rsidRPr="00F60AAC">
        <w:rPr>
          <w:rFonts w:ascii="Century" w:hAnsi="Century"/>
          <w:rtl/>
        </w:rPr>
        <w:t>–</w:t>
      </w:r>
      <w:r w:rsidRPr="00F60AAC">
        <w:rPr>
          <w:rFonts w:ascii="Century" w:hAnsi="Century" w:hint="cs"/>
          <w:rtl/>
        </w:rPr>
        <w:t xml:space="preserve"> בפועל זה במידה רבה המצב. </w:t>
      </w:r>
      <w:r>
        <w:rPr>
          <w:rFonts w:ascii="Century" w:hAnsi="Century" w:hint="cs"/>
          <w:rtl/>
        </w:rPr>
        <w:t>ו</w:t>
      </w:r>
      <w:r w:rsidRPr="00F60AAC">
        <w:rPr>
          <w:rFonts w:ascii="Century" w:hAnsi="Century" w:hint="cs"/>
          <w:rtl/>
        </w:rPr>
        <w:t>אל מול הכוח השלטוני רב הע</w:t>
      </w:r>
      <w:r>
        <w:rPr>
          <w:rFonts w:ascii="Century" w:hAnsi="Century" w:hint="cs"/>
          <w:rtl/>
        </w:rPr>
        <w:t>וצמה הנתון בידי ה</w:t>
      </w:r>
      <w:r w:rsidRPr="00F60AAC">
        <w:rPr>
          <w:rFonts w:ascii="Century" w:hAnsi="Century" w:hint="cs"/>
          <w:rtl/>
        </w:rPr>
        <w:t xml:space="preserve">רשות </w:t>
      </w:r>
      <w:r>
        <w:rPr>
          <w:rFonts w:ascii="Century" w:hAnsi="Century" w:hint="cs"/>
          <w:rtl/>
        </w:rPr>
        <w:t xml:space="preserve">המבצעת </w:t>
      </w:r>
      <w:r>
        <w:rPr>
          <w:rFonts w:ascii="Century" w:hAnsi="Century"/>
          <w:rtl/>
        </w:rPr>
        <w:t>–</w:t>
      </w:r>
      <w:r>
        <w:rPr>
          <w:rFonts w:ascii="Century" w:hAnsi="Century" w:hint="cs"/>
          <w:rtl/>
        </w:rPr>
        <w:t xml:space="preserve"> הרשות השופטת היא שנושאת בנטל השמירה על שלטון החוק, ותפקידה הוא </w:t>
      </w:r>
      <w:r>
        <w:rPr>
          <w:rtl/>
        </w:rPr>
        <w:t xml:space="preserve">להגן על זכויות אדם ועל ערכי </w:t>
      </w:r>
      <w:r>
        <w:rPr>
          <w:rFonts w:hint="cs"/>
          <w:rtl/>
        </w:rPr>
        <w:t>היסוד של הדמוקרטיה.</w:t>
      </w:r>
      <w:r>
        <w:rPr>
          <w:rFonts w:ascii="Century" w:hAnsi="Century" w:hint="cs"/>
          <w:rtl/>
        </w:rPr>
        <w:t xml:space="preserve"> אלא שהתיקון לחוק כובל את ידיה מלעשות כן באופן אפקטיבי. </w:t>
      </w:r>
    </w:p>
    <w:p w:rsidR="00AC74AF" w:rsidRPr="00F60AAC" w:rsidRDefault="00AC74AF" w:rsidP="00AC74AF">
      <w:pPr>
        <w:pStyle w:val="Ruller41"/>
        <w:rPr>
          <w:rFonts w:ascii="Century" w:hAnsi="Century"/>
          <w:rtl/>
        </w:rPr>
      </w:pPr>
    </w:p>
    <w:p w:rsidR="00AC74AF" w:rsidRPr="007E75AC" w:rsidRDefault="00AC74AF" w:rsidP="00AC74AF">
      <w:pPr>
        <w:pStyle w:val="Ruller41"/>
        <w:rPr>
          <w:rFonts w:ascii="Century" w:hAnsi="Century"/>
          <w:rtl/>
        </w:rPr>
      </w:pPr>
      <w:r>
        <w:rPr>
          <w:rFonts w:ascii="Century" w:hAnsi="Century" w:hint="cs"/>
          <w:rtl/>
        </w:rPr>
        <w:t>33.</w:t>
      </w:r>
      <w:r>
        <w:rPr>
          <w:rFonts w:ascii="Century" w:hAnsi="Century"/>
          <w:rtl/>
        </w:rPr>
        <w:tab/>
      </w:r>
      <w:r w:rsidRPr="00F60AAC">
        <w:rPr>
          <w:rFonts w:ascii="Century" w:hAnsi="Century" w:hint="cs"/>
          <w:rtl/>
        </w:rPr>
        <w:t xml:space="preserve">מאז ומתמיד </w:t>
      </w:r>
      <w:r>
        <w:rPr>
          <w:rFonts w:ascii="Century" w:hAnsi="Century" w:hint="cs"/>
          <w:rtl/>
        </w:rPr>
        <w:t xml:space="preserve">שימש </w:t>
      </w:r>
      <w:r w:rsidRPr="00F60AAC">
        <w:rPr>
          <w:rFonts w:ascii="Century" w:hAnsi="Century" w:hint="cs"/>
          <w:rtl/>
        </w:rPr>
        <w:t>בית המשפט הגבוה לצדק כתובת למי שנמצא נפגע כתוצאה מהפעלה בלתי</w:t>
      </w:r>
      <w:r>
        <w:rPr>
          <w:rFonts w:ascii="Century" w:hAnsi="Century" w:hint="cs"/>
          <w:rtl/>
        </w:rPr>
        <w:t xml:space="preserve"> סבירה של כוח השררה</w:t>
      </w:r>
      <w:r w:rsidRPr="00F60AAC">
        <w:rPr>
          <w:rFonts w:ascii="Century" w:hAnsi="Century" w:hint="cs"/>
          <w:rtl/>
        </w:rPr>
        <w:t xml:space="preserve"> </w:t>
      </w:r>
      <w:r w:rsidRPr="00F60AAC">
        <w:rPr>
          <w:rFonts w:ascii="Century" w:hAnsi="Century"/>
          <w:rtl/>
        </w:rPr>
        <w:t>–</w:t>
      </w:r>
      <w:r w:rsidRPr="00F60AAC">
        <w:rPr>
          <w:rFonts w:ascii="Century" w:hAnsi="Century" w:hint="cs"/>
          <w:rtl/>
        </w:rPr>
        <w:t xml:space="preserve"> ואולם התיקון לחוק היסוד אוסר על ערכאה זו מעתה ואילך, ולמעשה גם על כל ערכאה שיפוטית אחרת, לדון ולפסוק סעד בעניינו של הפרט</w:t>
      </w:r>
      <w:r>
        <w:rPr>
          <w:rFonts w:ascii="Century" w:hAnsi="Century" w:hint="cs"/>
          <w:rtl/>
        </w:rPr>
        <w:t xml:space="preserve"> ביחס להחלטות בלתי סבירות; כאשר לא אחת עילת הסבירות היא הכלי האפקטיבי המרכזי, אם לא היחיד, ליתן מענה לפגיעה מצד השלטון בעניינו של הפרט.</w:t>
      </w:r>
      <w:r w:rsidRPr="00351564">
        <w:rPr>
          <w:rtl/>
        </w:rPr>
        <w:t xml:space="preserve"> </w:t>
      </w:r>
    </w:p>
    <w:p w:rsidR="00AC74AF" w:rsidRPr="00F60AAC" w:rsidRDefault="00AC74AF" w:rsidP="00AC74AF">
      <w:pPr>
        <w:pStyle w:val="Ruller41"/>
        <w:spacing w:line="240" w:lineRule="auto"/>
        <w:rPr>
          <w:rFonts w:ascii="Century" w:hAnsi="Century"/>
          <w:rtl/>
        </w:rPr>
      </w:pPr>
    </w:p>
    <w:p w:rsidR="00AC74AF" w:rsidRDefault="00AC74AF" w:rsidP="00AC74AF">
      <w:pPr>
        <w:pStyle w:val="Ruller41"/>
        <w:rPr>
          <w:rFonts w:ascii="Century" w:hAnsi="Century"/>
          <w:rtl/>
        </w:rPr>
      </w:pPr>
      <w:r>
        <w:rPr>
          <w:rFonts w:ascii="Century" w:hAnsi="Century"/>
          <w:rtl/>
        </w:rPr>
        <w:tab/>
      </w:r>
      <w:r>
        <w:rPr>
          <w:rFonts w:ascii="Century" w:hAnsi="Century" w:hint="cs"/>
          <w:rtl/>
        </w:rPr>
        <w:t xml:space="preserve">ויובהר: </w:t>
      </w:r>
      <w:r w:rsidRPr="00F60AAC">
        <w:rPr>
          <w:rFonts w:ascii="Century" w:hAnsi="Century" w:hint="cs"/>
          <w:rtl/>
        </w:rPr>
        <w:t>אותו אדם או גוף שזכויותי</w:t>
      </w:r>
      <w:r>
        <w:rPr>
          <w:rFonts w:ascii="Century" w:hAnsi="Century" w:hint="cs"/>
          <w:rtl/>
        </w:rPr>
        <w:t>ו</w:t>
      </w:r>
      <w:r w:rsidRPr="00F60AAC">
        <w:rPr>
          <w:rFonts w:ascii="Century" w:hAnsi="Century" w:hint="cs"/>
          <w:rtl/>
        </w:rPr>
        <w:t xml:space="preserve"> קופחו על ידי הרשות נפגע פגיעה כפולה: פעם אחת כתוצאה מההחלטה הפרטנית בעניינ</w:t>
      </w:r>
      <w:r>
        <w:rPr>
          <w:rFonts w:ascii="Century" w:hAnsi="Century" w:hint="cs"/>
          <w:rtl/>
        </w:rPr>
        <w:t>ו</w:t>
      </w:r>
      <w:r w:rsidRPr="00F60AAC">
        <w:rPr>
          <w:rFonts w:ascii="Century" w:hAnsi="Century" w:hint="cs"/>
          <w:rtl/>
        </w:rPr>
        <w:t>, ופעם שנייה כתוצאה משלילת זכות הגישה של</w:t>
      </w:r>
      <w:r>
        <w:rPr>
          <w:rFonts w:ascii="Century" w:hAnsi="Century" w:hint="cs"/>
          <w:rtl/>
        </w:rPr>
        <w:t>ו</w:t>
      </w:r>
      <w:r w:rsidRPr="00F60AAC">
        <w:rPr>
          <w:rFonts w:ascii="Century" w:hAnsi="Century" w:hint="cs"/>
          <w:rtl/>
        </w:rPr>
        <w:t xml:space="preserve"> לערכאות </w:t>
      </w:r>
      <w:r w:rsidRPr="00F60AAC">
        <w:rPr>
          <w:rFonts w:ascii="Century" w:hAnsi="Century"/>
          <w:rtl/>
        </w:rPr>
        <w:t>–</w:t>
      </w:r>
      <w:r w:rsidRPr="00F60AAC">
        <w:rPr>
          <w:rFonts w:ascii="Century" w:hAnsi="Century" w:hint="cs"/>
          <w:rtl/>
        </w:rPr>
        <w:t xml:space="preserve"> שהינה זכות יסוד רבת חשיבות. ביחס לזכות הגישה לערכאות כבר צוין כי </w:t>
      </w:r>
      <w:r w:rsidRPr="00F60AAC">
        <w:rPr>
          <w:rFonts w:ascii="Century" w:hAnsi="Century"/>
          <w:rtl/>
        </w:rPr>
        <w:t>"</w:t>
      </w:r>
      <w:r w:rsidRPr="00DD6ABB">
        <w:rPr>
          <w:rFonts w:ascii="Century" w:hAnsi="Century" w:cs="Miriam"/>
          <w:b/>
          <w:spacing w:val="0"/>
          <w:szCs w:val="24"/>
          <w:rtl/>
        </w:rPr>
        <w:t>קיומה הינו תנאי הכרחי וחיוני לקיומן של שאר זכויות היסוד</w:t>
      </w:r>
      <w:r w:rsidRPr="00F60AAC">
        <w:rPr>
          <w:rFonts w:ascii="Century" w:hAnsi="Century"/>
          <w:rtl/>
        </w:rPr>
        <w:t>"</w:t>
      </w:r>
      <w:r w:rsidRPr="00F60AAC">
        <w:rPr>
          <w:rFonts w:ascii="Century" w:hAnsi="Century" w:hint="cs"/>
          <w:rtl/>
        </w:rPr>
        <w:t>;</w:t>
      </w:r>
      <w:r w:rsidRPr="00F60AAC">
        <w:rPr>
          <w:rFonts w:ascii="Century" w:hAnsi="Century"/>
          <w:rtl/>
        </w:rPr>
        <w:t xml:space="preserve"> </w:t>
      </w:r>
      <w:r w:rsidRPr="00F60AAC">
        <w:rPr>
          <w:rFonts w:ascii="Century" w:hAnsi="Century" w:hint="cs"/>
          <w:rtl/>
        </w:rPr>
        <w:t xml:space="preserve">וכי היא </w:t>
      </w:r>
      <w:r w:rsidRPr="00F60AAC">
        <w:rPr>
          <w:rFonts w:ascii="Century" w:hAnsi="Century"/>
          <w:rtl/>
        </w:rPr>
        <w:t>מהווה "</w:t>
      </w:r>
      <w:r w:rsidRPr="00DD6ABB">
        <w:rPr>
          <w:rFonts w:ascii="Century" w:hAnsi="Century" w:cs="Miriam"/>
          <w:b/>
          <w:spacing w:val="0"/>
          <w:szCs w:val="24"/>
          <w:rtl/>
        </w:rPr>
        <w:t>צינור החיים של בית המשפט</w:t>
      </w:r>
      <w:r w:rsidRPr="00F60AAC">
        <w:rPr>
          <w:rFonts w:ascii="Century" w:hAnsi="Century"/>
          <w:rtl/>
        </w:rPr>
        <w:t>" ו"</w:t>
      </w:r>
      <w:r w:rsidRPr="00DD6ABB">
        <w:rPr>
          <w:rFonts w:ascii="Century" w:hAnsi="Century" w:cs="Miriam"/>
          <w:b/>
          <w:spacing w:val="0"/>
          <w:szCs w:val="24"/>
          <w:rtl/>
        </w:rPr>
        <w:t>התשתית לקיומם של הרשות השופטת ושל שלטון החוק</w:t>
      </w:r>
      <w:r w:rsidRPr="00F60AAC">
        <w:rPr>
          <w:rFonts w:ascii="Century" w:hAnsi="Century"/>
          <w:rtl/>
        </w:rPr>
        <w:t>" (רע</w:t>
      </w:r>
      <w:r>
        <w:rPr>
          <w:rFonts w:ascii="Century" w:hAnsi="Century" w:hint="cs"/>
          <w:rtl/>
        </w:rPr>
        <w:t>"</w:t>
      </w:r>
      <w:r w:rsidRPr="00F60AAC">
        <w:rPr>
          <w:rFonts w:ascii="Century" w:hAnsi="Century"/>
          <w:rtl/>
        </w:rPr>
        <w:t xml:space="preserve">ב 8411/16 </w:t>
      </w:r>
      <w:r w:rsidRPr="00DD6ABB">
        <w:rPr>
          <w:rFonts w:ascii="Century" w:hAnsi="Century" w:cs="Miriam"/>
          <w:b/>
          <w:spacing w:val="0"/>
          <w:szCs w:val="24"/>
          <w:rtl/>
        </w:rPr>
        <w:t>סלע נ' שירות בתי הסוהר</w:t>
      </w:r>
      <w:r w:rsidRPr="00F60AAC">
        <w:rPr>
          <w:rFonts w:ascii="Century" w:hAnsi="Century" w:hint="cs"/>
          <w:rtl/>
        </w:rPr>
        <w:t>, פסקאות 15-</w:t>
      </w:r>
      <w:r>
        <w:rPr>
          <w:rFonts w:ascii="Century" w:hAnsi="Century" w:hint="cs"/>
          <w:rtl/>
        </w:rPr>
        <w:t>13</w:t>
      </w:r>
      <w:r w:rsidRPr="00F60AAC">
        <w:rPr>
          <w:rFonts w:ascii="Century" w:hAnsi="Century" w:hint="cs"/>
          <w:rtl/>
        </w:rPr>
        <w:t xml:space="preserve"> לחוות דעתו של השופט </w:t>
      </w:r>
      <w:r w:rsidRPr="00DD6ABB">
        <w:rPr>
          <w:rFonts w:ascii="Century" w:hAnsi="Century" w:cs="Miriam" w:hint="cs"/>
          <w:b/>
          <w:spacing w:val="0"/>
          <w:szCs w:val="24"/>
          <w:rtl/>
        </w:rPr>
        <w:t>ד' מינץ</w:t>
      </w:r>
      <w:r w:rsidRPr="00DD6ABB">
        <w:rPr>
          <w:rFonts w:ascii="Century" w:hAnsi="Century" w:hint="cs"/>
          <w:rtl/>
        </w:rPr>
        <w:t xml:space="preserve"> </w:t>
      </w:r>
      <w:r>
        <w:rPr>
          <w:rFonts w:ascii="Century" w:hAnsi="Century" w:hint="cs"/>
          <w:rtl/>
        </w:rPr>
        <w:t xml:space="preserve">(בדעת מיעוט אך לא לעניין זה) </w:t>
      </w:r>
      <w:r w:rsidRPr="00F60AAC">
        <w:rPr>
          <w:rFonts w:ascii="Century" w:hAnsi="Century" w:hint="cs"/>
          <w:rtl/>
        </w:rPr>
        <w:t xml:space="preserve">ופסקה 34 לחוות דעתה של הנשיאה </w:t>
      </w:r>
      <w:r w:rsidRPr="00DD6ABB">
        <w:rPr>
          <w:rFonts w:ascii="Century" w:hAnsi="Century" w:cs="Miriam" w:hint="cs"/>
          <w:b/>
          <w:spacing w:val="0"/>
          <w:szCs w:val="24"/>
          <w:rtl/>
        </w:rPr>
        <w:t>א' חיות</w:t>
      </w:r>
      <w:r w:rsidRPr="00DD6ABB">
        <w:rPr>
          <w:rFonts w:ascii="Century" w:hAnsi="Century" w:hint="cs"/>
          <w:rtl/>
        </w:rPr>
        <w:t xml:space="preserve"> </w:t>
      </w:r>
      <w:r>
        <w:rPr>
          <w:rFonts w:ascii="Century" w:hAnsi="Century" w:hint="cs"/>
          <w:rtl/>
        </w:rPr>
        <w:t>(17.7.2018)</w:t>
      </w:r>
      <w:r w:rsidRPr="00F60AAC">
        <w:rPr>
          <w:rFonts w:ascii="Century" w:hAnsi="Century"/>
          <w:rtl/>
        </w:rPr>
        <w:t>)</w:t>
      </w:r>
      <w:r w:rsidRPr="00F60AAC">
        <w:rPr>
          <w:rFonts w:ascii="Century" w:hAnsi="Century" w:hint="cs"/>
          <w:rtl/>
        </w:rPr>
        <w:t>.</w:t>
      </w:r>
      <w:r>
        <w:rPr>
          <w:rFonts w:ascii="Century" w:hAnsi="Century" w:hint="cs"/>
          <w:rtl/>
        </w:rPr>
        <w:t xml:space="preserve"> השופט </w:t>
      </w:r>
      <w:r w:rsidRPr="00761BB7">
        <w:rPr>
          <w:rFonts w:ascii="Century" w:hAnsi="Century" w:cs="Miriam" w:hint="cs"/>
          <w:b/>
          <w:spacing w:val="0"/>
          <w:szCs w:val="24"/>
          <w:rtl/>
        </w:rPr>
        <w:t>מ' חשין</w:t>
      </w:r>
      <w:r w:rsidRPr="00761BB7">
        <w:rPr>
          <w:rFonts w:ascii="Century" w:hAnsi="Century" w:hint="cs"/>
          <w:rtl/>
        </w:rPr>
        <w:t xml:space="preserve"> </w:t>
      </w:r>
      <w:r>
        <w:rPr>
          <w:rFonts w:ascii="Century" w:hAnsi="Century" w:hint="cs"/>
          <w:rtl/>
        </w:rPr>
        <w:t>עמד זה מכבר בלשונו הציורית והקולעת על הפגיעה הנגרמת לעצמאותה של הרשות השופטת כתוצאה מחסימת הגישה לערכאות:</w:t>
      </w:r>
    </w:p>
    <w:p w:rsidR="00AC74AF" w:rsidRDefault="00AC74AF" w:rsidP="00AC74AF">
      <w:pPr>
        <w:pStyle w:val="Ruller5"/>
        <w:spacing w:before="240" w:after="240"/>
        <w:rPr>
          <w:rtl/>
        </w:rPr>
      </w:pPr>
      <w:r w:rsidRPr="003B70AE">
        <w:rPr>
          <w:rtl/>
        </w:rPr>
        <w:t>"</w:t>
      </w:r>
      <w:r w:rsidRPr="003B70AE">
        <w:rPr>
          <w:rFonts w:hint="eastAsia"/>
          <w:rtl/>
        </w:rPr>
        <w:t>מושג</w:t>
      </w:r>
      <w:r w:rsidRPr="003B70AE">
        <w:rPr>
          <w:rtl/>
        </w:rPr>
        <w:t xml:space="preserve"> </w:t>
      </w:r>
      <w:r w:rsidRPr="003B70AE">
        <w:rPr>
          <w:rFonts w:hint="eastAsia"/>
          <w:rtl/>
        </w:rPr>
        <w:t>הדמוקרטיה</w:t>
      </w:r>
      <w:r w:rsidRPr="003B70AE">
        <w:rPr>
          <w:rtl/>
        </w:rPr>
        <w:t xml:space="preserve"> </w:t>
      </w:r>
      <w:r w:rsidRPr="003B70AE">
        <w:rPr>
          <w:rFonts w:hint="eastAsia"/>
          <w:rtl/>
        </w:rPr>
        <w:t>משמיע</w:t>
      </w:r>
      <w:r w:rsidRPr="003B70AE">
        <w:rPr>
          <w:rtl/>
        </w:rPr>
        <w:t xml:space="preserve"> – </w:t>
      </w:r>
      <w:r w:rsidRPr="003B70AE">
        <w:rPr>
          <w:rFonts w:hint="eastAsia"/>
          <w:rtl/>
        </w:rPr>
        <w:t>אף</w:t>
      </w:r>
      <w:r w:rsidRPr="003B70AE">
        <w:rPr>
          <w:rtl/>
        </w:rPr>
        <w:t xml:space="preserve"> </w:t>
      </w:r>
      <w:r w:rsidRPr="003B70AE">
        <w:rPr>
          <w:rFonts w:hint="eastAsia"/>
          <w:rtl/>
        </w:rPr>
        <w:t>זועק</w:t>
      </w:r>
      <w:r w:rsidRPr="003B70AE">
        <w:rPr>
          <w:rtl/>
        </w:rPr>
        <w:t xml:space="preserve"> – </w:t>
      </w:r>
      <w:r w:rsidRPr="003B70AE">
        <w:rPr>
          <w:rFonts w:hint="eastAsia"/>
          <w:rtl/>
        </w:rPr>
        <w:t>קיומה</w:t>
      </w:r>
      <w:r w:rsidRPr="003B70AE">
        <w:rPr>
          <w:rtl/>
        </w:rPr>
        <w:t xml:space="preserve"> </w:t>
      </w:r>
      <w:r w:rsidRPr="003B70AE">
        <w:rPr>
          <w:rFonts w:hint="eastAsia"/>
          <w:rtl/>
        </w:rPr>
        <w:t>של</w:t>
      </w:r>
      <w:r w:rsidRPr="003B70AE">
        <w:rPr>
          <w:rtl/>
        </w:rPr>
        <w:t xml:space="preserve"> </w:t>
      </w:r>
      <w:r w:rsidRPr="003B70AE">
        <w:rPr>
          <w:rFonts w:hint="eastAsia"/>
          <w:rtl/>
        </w:rPr>
        <w:t>רשות</w:t>
      </w:r>
      <w:r w:rsidRPr="003B70AE">
        <w:rPr>
          <w:rtl/>
        </w:rPr>
        <w:t xml:space="preserve"> </w:t>
      </w:r>
      <w:r w:rsidRPr="003B70AE">
        <w:rPr>
          <w:rFonts w:hint="eastAsia"/>
          <w:rtl/>
        </w:rPr>
        <w:t>שופטת</w:t>
      </w:r>
      <w:r w:rsidRPr="003B70AE">
        <w:rPr>
          <w:rtl/>
        </w:rPr>
        <w:t xml:space="preserve">. </w:t>
      </w:r>
      <w:r w:rsidRPr="003B70AE">
        <w:rPr>
          <w:rFonts w:hint="eastAsia"/>
          <w:rtl/>
        </w:rPr>
        <w:t>מוחה</w:t>
      </w:r>
      <w:r w:rsidRPr="003B70AE">
        <w:rPr>
          <w:rtl/>
        </w:rPr>
        <w:t xml:space="preserve"> </w:t>
      </w:r>
      <w:r w:rsidRPr="003B70AE">
        <w:rPr>
          <w:rFonts w:hint="eastAsia"/>
          <w:rtl/>
        </w:rPr>
        <w:t>של</w:t>
      </w:r>
      <w:r w:rsidRPr="003B70AE">
        <w:rPr>
          <w:rtl/>
        </w:rPr>
        <w:t xml:space="preserve"> </w:t>
      </w:r>
      <w:r w:rsidRPr="003B70AE">
        <w:rPr>
          <w:rFonts w:hint="eastAsia"/>
          <w:rtl/>
        </w:rPr>
        <w:t>הדימוקרטיה</w:t>
      </w:r>
      <w:r w:rsidRPr="003B70AE">
        <w:rPr>
          <w:rtl/>
        </w:rPr>
        <w:t xml:space="preserve"> </w:t>
      </w:r>
      <w:r w:rsidRPr="003B70AE">
        <w:rPr>
          <w:rFonts w:hint="eastAsia"/>
          <w:rtl/>
        </w:rPr>
        <w:t>עשוי</w:t>
      </w:r>
      <w:r w:rsidRPr="003B70AE">
        <w:rPr>
          <w:rtl/>
        </w:rPr>
        <w:t xml:space="preserve"> </w:t>
      </w:r>
      <w:r w:rsidRPr="003B70AE">
        <w:rPr>
          <w:rFonts w:hint="eastAsia"/>
          <w:rtl/>
        </w:rPr>
        <w:t>שלוש</w:t>
      </w:r>
      <w:r w:rsidRPr="003B70AE">
        <w:rPr>
          <w:rtl/>
        </w:rPr>
        <w:t xml:space="preserve"> </w:t>
      </w:r>
      <w:r w:rsidRPr="003B70AE">
        <w:rPr>
          <w:rFonts w:hint="eastAsia"/>
          <w:rtl/>
        </w:rPr>
        <w:t>אונות</w:t>
      </w:r>
      <w:r w:rsidRPr="003B70AE">
        <w:rPr>
          <w:rtl/>
        </w:rPr>
        <w:t xml:space="preserve">: </w:t>
      </w:r>
      <w:r w:rsidRPr="003B70AE">
        <w:rPr>
          <w:rFonts w:hint="eastAsia"/>
          <w:rtl/>
        </w:rPr>
        <w:t>האונה</w:t>
      </w:r>
      <w:r w:rsidRPr="003B70AE">
        <w:rPr>
          <w:rtl/>
        </w:rPr>
        <w:t xml:space="preserve"> </w:t>
      </w:r>
      <w:r w:rsidRPr="003B70AE">
        <w:rPr>
          <w:rFonts w:hint="eastAsia"/>
          <w:rtl/>
        </w:rPr>
        <w:t>המחוקקת</w:t>
      </w:r>
      <w:r w:rsidRPr="003B70AE">
        <w:rPr>
          <w:rtl/>
        </w:rPr>
        <w:t xml:space="preserve">, </w:t>
      </w:r>
      <w:r w:rsidRPr="003B70AE">
        <w:rPr>
          <w:rFonts w:hint="eastAsia"/>
          <w:rtl/>
        </w:rPr>
        <w:t>האונה</w:t>
      </w:r>
      <w:r w:rsidRPr="003B70AE">
        <w:rPr>
          <w:rtl/>
        </w:rPr>
        <w:t xml:space="preserve"> </w:t>
      </w:r>
      <w:r w:rsidRPr="003B70AE">
        <w:rPr>
          <w:rFonts w:hint="eastAsia"/>
          <w:rtl/>
        </w:rPr>
        <w:t>המבצעת</w:t>
      </w:r>
      <w:r w:rsidRPr="003B70AE">
        <w:rPr>
          <w:rtl/>
        </w:rPr>
        <w:t xml:space="preserve"> </w:t>
      </w:r>
      <w:r w:rsidRPr="003B70AE">
        <w:rPr>
          <w:rFonts w:hint="eastAsia"/>
          <w:rtl/>
        </w:rPr>
        <w:t>והאונה</w:t>
      </w:r>
      <w:r w:rsidRPr="003B70AE">
        <w:rPr>
          <w:rtl/>
        </w:rPr>
        <w:t xml:space="preserve"> </w:t>
      </w:r>
      <w:r w:rsidRPr="003B70AE">
        <w:rPr>
          <w:rFonts w:hint="eastAsia"/>
          <w:rtl/>
        </w:rPr>
        <w:t>השופטת</w:t>
      </w:r>
      <w:r w:rsidRPr="003B70AE">
        <w:rPr>
          <w:rtl/>
        </w:rPr>
        <w:t xml:space="preserve">. </w:t>
      </w:r>
      <w:r w:rsidRPr="003B70AE">
        <w:rPr>
          <w:rFonts w:hint="eastAsia"/>
          <w:rtl/>
        </w:rPr>
        <w:t>המוח</w:t>
      </w:r>
      <w:r w:rsidRPr="003B70AE">
        <w:rPr>
          <w:rtl/>
        </w:rPr>
        <w:t xml:space="preserve"> – </w:t>
      </w:r>
      <w:r w:rsidRPr="003B70AE">
        <w:rPr>
          <w:rFonts w:hint="eastAsia"/>
          <w:rtl/>
        </w:rPr>
        <w:t>על</w:t>
      </w:r>
      <w:r w:rsidRPr="003B70AE">
        <w:rPr>
          <w:rtl/>
        </w:rPr>
        <w:t xml:space="preserve"> </w:t>
      </w:r>
      <w:r w:rsidRPr="003B70AE">
        <w:rPr>
          <w:rFonts w:hint="eastAsia"/>
          <w:rtl/>
        </w:rPr>
        <w:t>שלוש</w:t>
      </w:r>
      <w:r w:rsidRPr="003B70AE">
        <w:rPr>
          <w:rtl/>
        </w:rPr>
        <w:t xml:space="preserve"> </w:t>
      </w:r>
      <w:r w:rsidRPr="003B70AE">
        <w:rPr>
          <w:rFonts w:hint="eastAsia"/>
          <w:rtl/>
        </w:rPr>
        <w:t>האונות</w:t>
      </w:r>
      <w:r w:rsidRPr="003B70AE">
        <w:rPr>
          <w:rtl/>
        </w:rPr>
        <w:t xml:space="preserve"> – </w:t>
      </w:r>
      <w:r w:rsidRPr="003B70AE">
        <w:rPr>
          <w:rFonts w:hint="eastAsia"/>
          <w:rtl/>
        </w:rPr>
        <w:t>הוא</w:t>
      </w:r>
      <w:r w:rsidRPr="003B70AE">
        <w:rPr>
          <w:rtl/>
        </w:rPr>
        <w:t xml:space="preserve"> </w:t>
      </w:r>
      <w:r w:rsidRPr="003B70AE">
        <w:rPr>
          <w:rFonts w:hint="eastAsia"/>
          <w:rtl/>
        </w:rPr>
        <w:t>השולט</w:t>
      </w:r>
      <w:r w:rsidRPr="003B70AE">
        <w:rPr>
          <w:rtl/>
        </w:rPr>
        <w:t xml:space="preserve"> </w:t>
      </w:r>
      <w:r w:rsidRPr="003B70AE">
        <w:rPr>
          <w:rFonts w:hint="eastAsia"/>
          <w:rtl/>
        </w:rPr>
        <w:t>על</w:t>
      </w:r>
      <w:r w:rsidRPr="003B70AE">
        <w:rPr>
          <w:rtl/>
        </w:rPr>
        <w:t xml:space="preserve"> </w:t>
      </w:r>
      <w:r w:rsidRPr="003B70AE">
        <w:rPr>
          <w:rFonts w:hint="eastAsia"/>
          <w:rtl/>
        </w:rPr>
        <w:t>הגוף</w:t>
      </w:r>
      <w:r w:rsidRPr="003B70AE">
        <w:rPr>
          <w:rtl/>
        </w:rPr>
        <w:t xml:space="preserve">, </w:t>
      </w:r>
      <w:r w:rsidRPr="003B70AE">
        <w:rPr>
          <w:rFonts w:hint="eastAsia"/>
          <w:rtl/>
        </w:rPr>
        <w:t>נותן</w:t>
      </w:r>
      <w:r w:rsidRPr="003B70AE">
        <w:rPr>
          <w:rtl/>
        </w:rPr>
        <w:t xml:space="preserve"> </w:t>
      </w:r>
      <w:r w:rsidRPr="003B70AE">
        <w:rPr>
          <w:rFonts w:hint="eastAsia"/>
          <w:rtl/>
        </w:rPr>
        <w:t>לגוף</w:t>
      </w:r>
      <w:r w:rsidRPr="003B70AE">
        <w:rPr>
          <w:rtl/>
        </w:rPr>
        <w:t xml:space="preserve"> </w:t>
      </w:r>
      <w:r w:rsidRPr="003B70AE">
        <w:rPr>
          <w:rFonts w:hint="eastAsia"/>
          <w:rtl/>
        </w:rPr>
        <w:t>חִיּוּת</w:t>
      </w:r>
      <w:r w:rsidRPr="003B70AE">
        <w:rPr>
          <w:rtl/>
        </w:rPr>
        <w:t xml:space="preserve"> </w:t>
      </w:r>
      <w:r w:rsidRPr="003B70AE">
        <w:rPr>
          <w:rFonts w:hint="eastAsia"/>
          <w:rtl/>
        </w:rPr>
        <w:t>ומעצב</w:t>
      </w:r>
      <w:r w:rsidRPr="003B70AE">
        <w:rPr>
          <w:rtl/>
        </w:rPr>
        <w:t xml:space="preserve"> </w:t>
      </w:r>
      <w:r w:rsidRPr="003B70AE">
        <w:rPr>
          <w:rFonts w:hint="eastAsia"/>
          <w:rtl/>
        </w:rPr>
        <w:t>את</w:t>
      </w:r>
      <w:r w:rsidRPr="003B70AE">
        <w:rPr>
          <w:rtl/>
        </w:rPr>
        <w:t xml:space="preserve"> </w:t>
      </w:r>
      <w:r w:rsidRPr="003B70AE">
        <w:rPr>
          <w:rFonts w:hint="eastAsia"/>
          <w:rtl/>
        </w:rPr>
        <w:t>חייו</w:t>
      </w:r>
      <w:r w:rsidRPr="003B70AE">
        <w:rPr>
          <w:rtl/>
        </w:rPr>
        <w:t xml:space="preserve">. </w:t>
      </w:r>
      <w:r w:rsidRPr="003B70AE">
        <w:rPr>
          <w:rFonts w:hint="eastAsia"/>
          <w:rtl/>
        </w:rPr>
        <w:t>שיתקת</w:t>
      </w:r>
      <w:r w:rsidRPr="003B70AE">
        <w:rPr>
          <w:rtl/>
        </w:rPr>
        <w:t xml:space="preserve"> </w:t>
      </w:r>
      <w:r w:rsidRPr="003B70AE">
        <w:rPr>
          <w:rFonts w:hint="eastAsia"/>
          <w:rtl/>
        </w:rPr>
        <w:t>אחת</w:t>
      </w:r>
      <w:r w:rsidRPr="003B70AE">
        <w:rPr>
          <w:rtl/>
        </w:rPr>
        <w:t xml:space="preserve"> </w:t>
      </w:r>
      <w:r w:rsidRPr="003B70AE">
        <w:rPr>
          <w:rFonts w:hint="eastAsia"/>
          <w:rtl/>
        </w:rPr>
        <w:t>משלוש</w:t>
      </w:r>
      <w:r w:rsidRPr="003B70AE">
        <w:rPr>
          <w:rtl/>
        </w:rPr>
        <w:t xml:space="preserve"> </w:t>
      </w:r>
      <w:r w:rsidRPr="003B70AE">
        <w:rPr>
          <w:rFonts w:hint="eastAsia"/>
          <w:rtl/>
        </w:rPr>
        <w:t>אונות</w:t>
      </w:r>
      <w:r w:rsidRPr="003B70AE">
        <w:rPr>
          <w:rtl/>
        </w:rPr>
        <w:t xml:space="preserve"> </w:t>
      </w:r>
      <w:r w:rsidRPr="003B70AE">
        <w:rPr>
          <w:rFonts w:hint="eastAsia"/>
          <w:rtl/>
        </w:rPr>
        <w:t>אלו</w:t>
      </w:r>
      <w:r w:rsidRPr="003B70AE">
        <w:rPr>
          <w:rtl/>
        </w:rPr>
        <w:t xml:space="preserve">, </w:t>
      </w:r>
      <w:r w:rsidRPr="003B70AE">
        <w:rPr>
          <w:rFonts w:hint="eastAsia"/>
          <w:rtl/>
        </w:rPr>
        <w:t>והדמוקרטיה</w:t>
      </w:r>
      <w:r w:rsidRPr="003B70AE">
        <w:rPr>
          <w:rtl/>
        </w:rPr>
        <w:t xml:space="preserve"> </w:t>
      </w:r>
      <w:r w:rsidRPr="003B70AE">
        <w:rPr>
          <w:rFonts w:hint="eastAsia"/>
          <w:rtl/>
        </w:rPr>
        <w:t>נעלמה</w:t>
      </w:r>
      <w:r w:rsidRPr="003B70AE">
        <w:rPr>
          <w:rtl/>
        </w:rPr>
        <w:t xml:space="preserve"> </w:t>
      </w:r>
      <w:r w:rsidRPr="003B70AE">
        <w:rPr>
          <w:rFonts w:hint="eastAsia"/>
          <w:rtl/>
        </w:rPr>
        <w:t>ואיננה</w:t>
      </w:r>
      <w:r w:rsidRPr="003B70AE">
        <w:rPr>
          <w:rtl/>
        </w:rPr>
        <w:t xml:space="preserve">. </w:t>
      </w:r>
      <w:r w:rsidRPr="003B70AE">
        <w:rPr>
          <w:rFonts w:hint="eastAsia"/>
          <w:rtl/>
        </w:rPr>
        <w:t>מסקנה</w:t>
      </w:r>
      <w:r w:rsidRPr="003B70AE">
        <w:rPr>
          <w:rtl/>
        </w:rPr>
        <w:t xml:space="preserve"> </w:t>
      </w:r>
      <w:r w:rsidRPr="003B70AE">
        <w:rPr>
          <w:rFonts w:hint="eastAsia"/>
          <w:rtl/>
        </w:rPr>
        <w:t>נדרשת</w:t>
      </w:r>
      <w:r w:rsidRPr="003B70AE">
        <w:rPr>
          <w:rtl/>
        </w:rPr>
        <w:t xml:space="preserve"> </w:t>
      </w:r>
      <w:r w:rsidRPr="003B70AE">
        <w:rPr>
          <w:rFonts w:hint="eastAsia"/>
          <w:rtl/>
        </w:rPr>
        <w:t>מאליה</w:t>
      </w:r>
      <w:r w:rsidRPr="003B70AE">
        <w:rPr>
          <w:rtl/>
        </w:rPr>
        <w:t xml:space="preserve"> </w:t>
      </w:r>
      <w:r w:rsidRPr="003B70AE">
        <w:rPr>
          <w:rFonts w:hint="eastAsia"/>
          <w:rtl/>
        </w:rPr>
        <w:t>היא</w:t>
      </w:r>
      <w:r w:rsidRPr="003B70AE">
        <w:rPr>
          <w:rtl/>
        </w:rPr>
        <w:t xml:space="preserve">, </w:t>
      </w:r>
      <w:r w:rsidRPr="003B70AE">
        <w:rPr>
          <w:rFonts w:hint="eastAsia"/>
          <w:rtl/>
        </w:rPr>
        <w:t>כי</w:t>
      </w:r>
      <w:r w:rsidRPr="003B70AE">
        <w:rPr>
          <w:rtl/>
        </w:rPr>
        <w:t xml:space="preserve"> </w:t>
      </w:r>
      <w:r w:rsidRPr="003B70AE">
        <w:rPr>
          <w:rFonts w:hint="eastAsia"/>
          <w:rtl/>
        </w:rPr>
        <w:t>קיומה</w:t>
      </w:r>
      <w:r w:rsidRPr="003B70AE">
        <w:rPr>
          <w:rtl/>
        </w:rPr>
        <w:t xml:space="preserve"> </w:t>
      </w:r>
      <w:r w:rsidRPr="003B70AE">
        <w:rPr>
          <w:rFonts w:hint="eastAsia"/>
          <w:rtl/>
        </w:rPr>
        <w:t>של</w:t>
      </w:r>
      <w:r w:rsidRPr="003B70AE">
        <w:rPr>
          <w:rtl/>
        </w:rPr>
        <w:t xml:space="preserve"> </w:t>
      </w:r>
      <w:r w:rsidRPr="003B70AE">
        <w:rPr>
          <w:rFonts w:hint="eastAsia"/>
          <w:rtl/>
        </w:rPr>
        <w:t>רשות</w:t>
      </w:r>
      <w:r w:rsidRPr="003B70AE">
        <w:rPr>
          <w:rtl/>
        </w:rPr>
        <w:t xml:space="preserve"> </w:t>
      </w:r>
      <w:r w:rsidRPr="003B70AE">
        <w:rPr>
          <w:rFonts w:hint="eastAsia"/>
          <w:rtl/>
        </w:rPr>
        <w:t>שופטת</w:t>
      </w:r>
      <w:r w:rsidRPr="003B70AE">
        <w:rPr>
          <w:rtl/>
        </w:rPr>
        <w:t xml:space="preserve"> – </w:t>
      </w:r>
      <w:r w:rsidRPr="003B70AE">
        <w:rPr>
          <w:rFonts w:hint="eastAsia"/>
          <w:rtl/>
        </w:rPr>
        <w:t>כאונה</w:t>
      </w:r>
      <w:r w:rsidRPr="003B70AE">
        <w:rPr>
          <w:rtl/>
        </w:rPr>
        <w:t xml:space="preserve"> </w:t>
      </w:r>
      <w:r w:rsidRPr="003B70AE">
        <w:rPr>
          <w:rFonts w:hint="eastAsia"/>
          <w:rtl/>
        </w:rPr>
        <w:t>חיונית</w:t>
      </w:r>
      <w:r w:rsidRPr="003B70AE">
        <w:rPr>
          <w:rtl/>
        </w:rPr>
        <w:t xml:space="preserve"> </w:t>
      </w:r>
      <w:r w:rsidRPr="003B70AE">
        <w:rPr>
          <w:rFonts w:hint="eastAsia"/>
          <w:rtl/>
        </w:rPr>
        <w:t>בגופה</w:t>
      </w:r>
      <w:r w:rsidRPr="003B70AE">
        <w:rPr>
          <w:rtl/>
        </w:rPr>
        <w:t xml:space="preserve"> </w:t>
      </w:r>
      <w:r w:rsidRPr="003B70AE">
        <w:rPr>
          <w:rFonts w:hint="eastAsia"/>
          <w:rtl/>
        </w:rPr>
        <w:t>של</w:t>
      </w:r>
      <w:r w:rsidRPr="003B70AE">
        <w:rPr>
          <w:rtl/>
        </w:rPr>
        <w:t xml:space="preserve"> </w:t>
      </w:r>
      <w:r w:rsidRPr="003B70AE">
        <w:rPr>
          <w:rFonts w:hint="eastAsia"/>
          <w:rtl/>
        </w:rPr>
        <w:t>המדינה</w:t>
      </w:r>
      <w:r w:rsidRPr="003B70AE">
        <w:rPr>
          <w:rtl/>
        </w:rPr>
        <w:t xml:space="preserve"> </w:t>
      </w:r>
      <w:r w:rsidRPr="003B70AE">
        <w:rPr>
          <w:rFonts w:hint="eastAsia"/>
          <w:rtl/>
        </w:rPr>
        <w:t>הדמוקרטית</w:t>
      </w:r>
      <w:r w:rsidRPr="003B70AE">
        <w:rPr>
          <w:rtl/>
        </w:rPr>
        <w:t xml:space="preserve"> – </w:t>
      </w:r>
      <w:r w:rsidRPr="003B70AE">
        <w:rPr>
          <w:rFonts w:hint="eastAsia"/>
          <w:rtl/>
        </w:rPr>
        <w:t>משמיע</w:t>
      </w:r>
      <w:r w:rsidRPr="003B70AE">
        <w:rPr>
          <w:rtl/>
        </w:rPr>
        <w:t xml:space="preserve"> </w:t>
      </w:r>
      <w:r w:rsidRPr="003B70AE">
        <w:rPr>
          <w:rFonts w:hint="eastAsia"/>
          <w:rtl/>
        </w:rPr>
        <w:t>מעצמו</w:t>
      </w:r>
      <w:r w:rsidRPr="003B70AE">
        <w:rPr>
          <w:rtl/>
        </w:rPr>
        <w:t xml:space="preserve"> </w:t>
      </w:r>
      <w:r w:rsidRPr="003B70AE">
        <w:rPr>
          <w:rFonts w:hint="eastAsia"/>
          <w:rtl/>
        </w:rPr>
        <w:t>איסור</w:t>
      </w:r>
      <w:r w:rsidRPr="003B70AE">
        <w:rPr>
          <w:rtl/>
        </w:rPr>
        <w:t xml:space="preserve"> </w:t>
      </w:r>
      <w:r w:rsidRPr="003B70AE">
        <w:rPr>
          <w:rFonts w:hint="eastAsia"/>
          <w:rtl/>
        </w:rPr>
        <w:t>חסימת</w:t>
      </w:r>
      <w:r w:rsidRPr="003B70AE">
        <w:rPr>
          <w:rtl/>
        </w:rPr>
        <w:t xml:space="preserve"> </w:t>
      </w:r>
      <w:r w:rsidRPr="003B70AE">
        <w:rPr>
          <w:rFonts w:hint="eastAsia"/>
          <w:rtl/>
        </w:rPr>
        <w:t>צינורות</w:t>
      </w:r>
      <w:r w:rsidRPr="003B70AE">
        <w:rPr>
          <w:rtl/>
        </w:rPr>
        <w:t xml:space="preserve"> </w:t>
      </w:r>
      <w:r w:rsidRPr="003B70AE">
        <w:rPr>
          <w:rFonts w:hint="eastAsia"/>
          <w:rtl/>
        </w:rPr>
        <w:t>הדם</w:t>
      </w:r>
      <w:r w:rsidRPr="003B70AE">
        <w:rPr>
          <w:rtl/>
        </w:rPr>
        <w:t xml:space="preserve"> </w:t>
      </w:r>
      <w:r w:rsidRPr="003B70AE">
        <w:rPr>
          <w:rFonts w:hint="eastAsia"/>
          <w:rtl/>
        </w:rPr>
        <w:t>המוליכים</w:t>
      </w:r>
      <w:r w:rsidRPr="003B70AE">
        <w:rPr>
          <w:rtl/>
        </w:rPr>
        <w:t xml:space="preserve"> </w:t>
      </w:r>
      <w:r w:rsidRPr="003B70AE">
        <w:rPr>
          <w:rFonts w:hint="eastAsia"/>
          <w:rtl/>
        </w:rPr>
        <w:t>אליה</w:t>
      </w:r>
      <w:r w:rsidRPr="003B70AE">
        <w:rPr>
          <w:rtl/>
        </w:rPr>
        <w:t xml:space="preserve">, </w:t>
      </w:r>
      <w:r w:rsidRPr="003B70AE">
        <w:rPr>
          <w:rFonts w:hint="eastAsia"/>
          <w:rtl/>
        </w:rPr>
        <w:t>איסור</w:t>
      </w:r>
      <w:r w:rsidRPr="003B70AE">
        <w:rPr>
          <w:rtl/>
        </w:rPr>
        <w:t xml:space="preserve"> </w:t>
      </w:r>
      <w:r w:rsidRPr="003B70AE">
        <w:rPr>
          <w:rFonts w:hint="eastAsia"/>
          <w:rtl/>
        </w:rPr>
        <w:t>חסימת</w:t>
      </w:r>
      <w:r w:rsidRPr="003B70AE">
        <w:rPr>
          <w:rtl/>
        </w:rPr>
        <w:t xml:space="preserve"> </w:t>
      </w:r>
      <w:r w:rsidRPr="003B70AE">
        <w:rPr>
          <w:rFonts w:hint="eastAsia"/>
          <w:rtl/>
        </w:rPr>
        <w:t>דרכו</w:t>
      </w:r>
      <w:r w:rsidRPr="003B70AE">
        <w:rPr>
          <w:rtl/>
        </w:rPr>
        <w:t xml:space="preserve"> </w:t>
      </w:r>
      <w:r w:rsidRPr="003B70AE">
        <w:rPr>
          <w:rFonts w:hint="eastAsia"/>
          <w:rtl/>
        </w:rPr>
        <w:t>של</w:t>
      </w:r>
      <w:r w:rsidRPr="003B70AE">
        <w:rPr>
          <w:rtl/>
        </w:rPr>
        <w:t xml:space="preserve"> </w:t>
      </w:r>
      <w:r w:rsidRPr="003B70AE">
        <w:rPr>
          <w:rFonts w:hint="eastAsia"/>
          <w:rtl/>
        </w:rPr>
        <w:t>אדם</w:t>
      </w:r>
      <w:r w:rsidRPr="003B70AE">
        <w:rPr>
          <w:rtl/>
        </w:rPr>
        <w:t xml:space="preserve"> </w:t>
      </w:r>
      <w:r w:rsidRPr="003B70AE">
        <w:rPr>
          <w:rFonts w:hint="eastAsia"/>
          <w:rtl/>
        </w:rPr>
        <w:t>לבית</w:t>
      </w:r>
      <w:r w:rsidRPr="003B70AE">
        <w:rPr>
          <w:rtl/>
        </w:rPr>
        <w:t>-</w:t>
      </w:r>
      <w:r w:rsidRPr="003B70AE">
        <w:rPr>
          <w:rFonts w:hint="eastAsia"/>
          <w:rtl/>
        </w:rPr>
        <w:t>המשפט</w:t>
      </w:r>
      <w:r w:rsidRPr="003B70AE">
        <w:rPr>
          <w:rtl/>
        </w:rPr>
        <w:t xml:space="preserve">. </w:t>
      </w:r>
      <w:r w:rsidRPr="003B70AE">
        <w:rPr>
          <w:rFonts w:hint="eastAsia"/>
          <w:rtl/>
        </w:rPr>
        <w:t>הסדר</w:t>
      </w:r>
      <w:r w:rsidRPr="003B70AE">
        <w:rPr>
          <w:rtl/>
        </w:rPr>
        <w:t xml:space="preserve"> </w:t>
      </w:r>
      <w:r w:rsidRPr="003B70AE">
        <w:rPr>
          <w:rFonts w:hint="eastAsia"/>
          <w:rtl/>
        </w:rPr>
        <w:t>ראוי</w:t>
      </w:r>
      <w:r w:rsidRPr="003B70AE">
        <w:rPr>
          <w:rtl/>
        </w:rPr>
        <w:t xml:space="preserve"> </w:t>
      </w:r>
      <w:r w:rsidRPr="003B70AE">
        <w:rPr>
          <w:rFonts w:hint="eastAsia"/>
          <w:rtl/>
        </w:rPr>
        <w:t>לפנייה</w:t>
      </w:r>
      <w:r w:rsidRPr="003B70AE">
        <w:rPr>
          <w:rtl/>
        </w:rPr>
        <w:t xml:space="preserve"> </w:t>
      </w:r>
      <w:r w:rsidRPr="003B70AE">
        <w:rPr>
          <w:rFonts w:hint="eastAsia"/>
          <w:rtl/>
        </w:rPr>
        <w:t>לבית</w:t>
      </w:r>
      <w:r w:rsidRPr="003B70AE">
        <w:rPr>
          <w:rtl/>
        </w:rPr>
        <w:t>-</w:t>
      </w:r>
      <w:r w:rsidRPr="003B70AE">
        <w:rPr>
          <w:rFonts w:hint="eastAsia"/>
          <w:rtl/>
        </w:rPr>
        <w:t>משפט</w:t>
      </w:r>
      <w:r w:rsidRPr="003B70AE">
        <w:rPr>
          <w:rtl/>
        </w:rPr>
        <w:t xml:space="preserve"> – </w:t>
      </w:r>
      <w:r w:rsidRPr="003B70AE">
        <w:rPr>
          <w:rFonts w:hint="eastAsia"/>
          <w:rtl/>
        </w:rPr>
        <w:lastRenderedPageBreak/>
        <w:t>כן</w:t>
      </w:r>
      <w:r w:rsidRPr="003B70AE">
        <w:rPr>
          <w:rtl/>
        </w:rPr>
        <w:t xml:space="preserve">; </w:t>
      </w:r>
      <w:r w:rsidRPr="003B70AE">
        <w:rPr>
          <w:rFonts w:hint="eastAsia"/>
          <w:rtl/>
        </w:rPr>
        <w:t>חסימת</w:t>
      </w:r>
      <w:r w:rsidRPr="003B70AE">
        <w:rPr>
          <w:rtl/>
        </w:rPr>
        <w:t xml:space="preserve"> </w:t>
      </w:r>
      <w:r w:rsidRPr="003B70AE">
        <w:rPr>
          <w:rFonts w:hint="eastAsia"/>
          <w:rtl/>
        </w:rPr>
        <w:t>הדרך</w:t>
      </w:r>
      <w:r w:rsidRPr="003B70AE">
        <w:rPr>
          <w:rtl/>
        </w:rPr>
        <w:t xml:space="preserve"> – </w:t>
      </w:r>
      <w:r w:rsidRPr="003B70AE">
        <w:rPr>
          <w:rFonts w:hint="eastAsia"/>
          <w:rtl/>
        </w:rPr>
        <w:t>בין</w:t>
      </w:r>
      <w:r w:rsidRPr="003B70AE">
        <w:rPr>
          <w:rtl/>
        </w:rPr>
        <w:t xml:space="preserve"> </w:t>
      </w:r>
      <w:r w:rsidRPr="003B70AE">
        <w:rPr>
          <w:rFonts w:hint="eastAsia"/>
          <w:rtl/>
        </w:rPr>
        <w:t>במישרין</w:t>
      </w:r>
      <w:r w:rsidRPr="003B70AE">
        <w:rPr>
          <w:rtl/>
        </w:rPr>
        <w:t xml:space="preserve"> </w:t>
      </w:r>
      <w:r w:rsidRPr="003B70AE">
        <w:rPr>
          <w:rFonts w:hint="eastAsia"/>
          <w:rtl/>
        </w:rPr>
        <w:t>בין</w:t>
      </w:r>
      <w:r w:rsidRPr="003B70AE">
        <w:rPr>
          <w:rtl/>
        </w:rPr>
        <w:t xml:space="preserve"> </w:t>
      </w:r>
      <w:r w:rsidRPr="003B70AE">
        <w:rPr>
          <w:rFonts w:hint="eastAsia"/>
          <w:rtl/>
        </w:rPr>
        <w:t>בעקיפין</w:t>
      </w:r>
      <w:r w:rsidRPr="003B70AE">
        <w:rPr>
          <w:rtl/>
        </w:rPr>
        <w:t xml:space="preserve"> – </w:t>
      </w:r>
      <w:r w:rsidRPr="003B70AE">
        <w:rPr>
          <w:rFonts w:hint="eastAsia"/>
          <w:rtl/>
        </w:rPr>
        <w:t>לא</w:t>
      </w:r>
      <w:r w:rsidRPr="003B70AE">
        <w:rPr>
          <w:rtl/>
        </w:rPr>
        <w:t xml:space="preserve"> </w:t>
      </w:r>
      <w:r w:rsidRPr="003B70AE">
        <w:rPr>
          <w:rFonts w:hint="eastAsia"/>
          <w:rtl/>
        </w:rPr>
        <w:t>ולא</w:t>
      </w:r>
      <w:r>
        <w:rPr>
          <w:rFonts w:hint="cs"/>
          <w:rtl/>
        </w:rPr>
        <w:t xml:space="preserve">." (עניין </w:t>
      </w:r>
      <w:r w:rsidRPr="00656AB9">
        <w:rPr>
          <w:rFonts w:ascii="Century" w:hAnsi="Century" w:cs="Miriam" w:hint="cs"/>
          <w:b/>
          <w:spacing w:val="0"/>
          <w:szCs w:val="24"/>
          <w:rtl/>
        </w:rPr>
        <w:t>ארפל</w:t>
      </w:r>
      <w:r>
        <w:rPr>
          <w:rFonts w:hint="cs"/>
          <w:rtl/>
        </w:rPr>
        <w:t>, עמ' 630).</w:t>
      </w:r>
    </w:p>
    <w:p w:rsidR="00AC74AF" w:rsidRDefault="00AC74AF" w:rsidP="00AC74AF">
      <w:pPr>
        <w:pStyle w:val="Ruller41"/>
        <w:spacing w:line="240" w:lineRule="auto"/>
        <w:rPr>
          <w:rtl/>
        </w:rPr>
      </w:pPr>
    </w:p>
    <w:p w:rsidR="00AC74AF" w:rsidRDefault="00AC74AF" w:rsidP="00AC74AF">
      <w:pPr>
        <w:pStyle w:val="Ruller41"/>
        <w:rPr>
          <w:rtl/>
        </w:rPr>
      </w:pPr>
      <w:r>
        <w:rPr>
          <w:rFonts w:hint="cs"/>
          <w:rtl/>
        </w:rPr>
        <w:tab/>
        <w:t xml:space="preserve">קיומה של רשות שופטת עצמאית ובלתי תלויה הוא אינטרס של כל אזרח ואזרחית בישראל, שבכל עת עלולים להיות חשופים לניצול לרעה של כוח השררה הנתון בידי השלטון. כל אדם עלול להזדקק בנסיבות כאלה או אחרות ל"כיפת הברזל" של בית המשפט, שתבלום את הפגיעה בזכויותיו. בטלותו של התיקון לחוק היסוד בפסיקתנו מתחייבת אפוא "לא בגלל דאגה עצמית להאדיר כוח ולהרבות חשיבות" (דברי השופט </w:t>
      </w:r>
      <w:r w:rsidRPr="0052043A">
        <w:rPr>
          <w:rFonts w:ascii="Century" w:hAnsi="Century" w:cs="Miriam" w:hint="cs"/>
          <w:b/>
          <w:spacing w:val="0"/>
          <w:szCs w:val="24"/>
          <w:rtl/>
        </w:rPr>
        <w:t>צ' ברנזון</w:t>
      </w:r>
      <w:r w:rsidRPr="0052043A">
        <w:rPr>
          <w:rFonts w:hint="cs"/>
          <w:rtl/>
        </w:rPr>
        <w:t xml:space="preserve"> </w:t>
      </w:r>
      <w:r>
        <w:rPr>
          <w:rFonts w:hint="cs"/>
          <w:rtl/>
        </w:rPr>
        <w:t xml:space="preserve">ב-בג"ץ 222/68 </w:t>
      </w:r>
      <w:r w:rsidRPr="0052043A">
        <w:rPr>
          <w:rFonts w:ascii="Century" w:hAnsi="Century" w:cs="Miriam" w:hint="cs"/>
          <w:b/>
          <w:spacing w:val="0"/>
          <w:szCs w:val="24"/>
          <w:rtl/>
        </w:rPr>
        <w:t>חוגים לאומיים אגודה רשומה נ' שר המשטרה</w:t>
      </w:r>
      <w:r>
        <w:rPr>
          <w:rFonts w:hint="cs"/>
          <w:rtl/>
        </w:rPr>
        <w:t xml:space="preserve">, פ"ד כד(2) 141, 172 (1970)) </w:t>
      </w:r>
      <w:r>
        <w:rPr>
          <w:rtl/>
        </w:rPr>
        <w:t>–</w:t>
      </w:r>
      <w:r>
        <w:rPr>
          <w:rFonts w:hint="cs"/>
          <w:rtl/>
        </w:rPr>
        <w:t xml:space="preserve"> אלא משום שרק רשות שופטת עצמאית יכולה להבטיח שהממשלה, שריה והעומד בראשה לא יציבו עצמם מעל ומחוץ לחוק. </w:t>
      </w:r>
    </w:p>
    <w:p w:rsidR="00AC74AF" w:rsidRDefault="00AC74AF" w:rsidP="00AC74AF">
      <w:pPr>
        <w:pStyle w:val="Ruller41"/>
        <w:spacing w:line="240" w:lineRule="auto"/>
        <w:rPr>
          <w:rtl/>
        </w:rPr>
      </w:pPr>
    </w:p>
    <w:p w:rsidR="00AC74AF" w:rsidRPr="00E13901" w:rsidRDefault="00AC74AF" w:rsidP="00AC74AF">
      <w:pPr>
        <w:pStyle w:val="Ruller41"/>
        <w:rPr>
          <w:rFonts w:ascii="Century" w:hAnsi="Century" w:cs="Miriam"/>
          <w:b/>
          <w:spacing w:val="0"/>
          <w:szCs w:val="24"/>
          <w:rtl/>
        </w:rPr>
      </w:pPr>
      <w:r w:rsidRPr="00E13901">
        <w:rPr>
          <w:rFonts w:ascii="Century" w:hAnsi="Century" w:cs="Miriam" w:hint="cs"/>
          <w:b/>
          <w:spacing w:val="0"/>
          <w:szCs w:val="24"/>
          <w:rtl/>
        </w:rPr>
        <w:t>חתימה</w:t>
      </w:r>
    </w:p>
    <w:p w:rsidR="00AC74AF" w:rsidRDefault="00AC74AF" w:rsidP="00AC74AF">
      <w:pPr>
        <w:pStyle w:val="Ruller41"/>
        <w:spacing w:line="240" w:lineRule="auto"/>
        <w:rPr>
          <w:u w:val="single"/>
          <w:rtl/>
        </w:rPr>
      </w:pPr>
    </w:p>
    <w:p w:rsidR="00AC74AF" w:rsidRDefault="00AC74AF" w:rsidP="00AC74AF">
      <w:pPr>
        <w:pStyle w:val="Ruller41"/>
        <w:rPr>
          <w:rtl/>
        </w:rPr>
      </w:pPr>
      <w:r>
        <w:rPr>
          <w:rFonts w:hint="cs"/>
          <w:rtl/>
        </w:rPr>
        <w:t>34.</w:t>
      </w:r>
      <w:r>
        <w:rPr>
          <w:rtl/>
        </w:rPr>
        <w:tab/>
      </w:r>
      <w:r>
        <w:rPr>
          <w:rFonts w:hint="cs"/>
          <w:rtl/>
        </w:rPr>
        <w:t xml:space="preserve">הדמוקרטיה היא אבן יסוד קיומית הנטועה בליבת עקרונותיה וערכיה של מדינת ישראל, חיונית להמשך קיומה ולשמירה על עתידה. </w:t>
      </w:r>
    </w:p>
    <w:p w:rsidR="00AC74AF" w:rsidRDefault="00AC74AF" w:rsidP="00AC74AF">
      <w:pPr>
        <w:pStyle w:val="Ruller41"/>
        <w:spacing w:line="240" w:lineRule="auto"/>
        <w:rPr>
          <w:rtl/>
        </w:rPr>
      </w:pPr>
    </w:p>
    <w:p w:rsidR="00AC74AF" w:rsidRDefault="00AC74AF" w:rsidP="00AC74AF">
      <w:pPr>
        <w:pStyle w:val="Ruller41"/>
        <w:rPr>
          <w:rtl/>
        </w:rPr>
      </w:pPr>
      <w:r>
        <w:rPr>
          <w:rtl/>
        </w:rPr>
        <w:tab/>
      </w:r>
      <w:r>
        <w:rPr>
          <w:rFonts w:hint="cs"/>
          <w:rtl/>
        </w:rPr>
        <w:t>התיקון לחוק היסוד הוא גורף וקיצוני. הוא מונע באופן מוחלט את יכולתו של בית המשפט לבקר את סבירות החלטותיהם מכל סוג של הממשלה והעומד בראשה וכל שר משריה. המשמעות היא הקניית חסינות להחלטותיהם, העמדתם מעל לביקורת שיפוטית אפקטיבית שהיא הכרחית כדי למנוע שימוש לרעה בכוח השררה. בעוד נבחרי הציבור חבים חובת נאמנות לציבור כולו, והחובה לנהוג בסבירות היא מרכיב מהותי של חובת הנאמנות, התיקון אינו מאפשר לאכוף חובה זו על הדרג הממשלתי הנבחר, ובאין דיין אין דין. "לרבות בענייני מינויים" מורה התיקון, ובכך בפועל ניטלים גם עצמאותם ואי תלותם של בעלי תפקיד הממונים על ידי הדרג הנבחר, ובדגש על שומרי הסף; שכן מינויָם, וממילא גם העברתם מכהונתם, נתונים לחסדי השרים והממשלה. בהיעדר ביקורת שיפוטית בעילת הסבירות, אף לא ניתן יהיה למנוע "חלוקת ג'ובים" ומינוי מקורבים בשירות הציבורי. במבנה המשטרי בישראל, הממשלה "שולטת" בכנסת הלכה למעשה מתוקף הרוב הקואליציוני והמשמעת הקואליציונית; ועקירת כלי מרכזי, ולא אחת בלעדי, מארגז כלי הביקורת השיפוטית, משמעה תוספת כוח שלטוני חסר תקדים המרוכז בידי הממשלה כ"רשות על" מבצעת-מחוקקת-מכוננת גם יחד.</w:t>
      </w:r>
    </w:p>
    <w:p w:rsidR="00AC74AF" w:rsidRDefault="00AC74AF" w:rsidP="00AC74AF">
      <w:pPr>
        <w:pStyle w:val="Ruller41"/>
        <w:spacing w:line="240" w:lineRule="auto"/>
        <w:rPr>
          <w:rtl/>
        </w:rPr>
      </w:pPr>
    </w:p>
    <w:p w:rsidR="00AC74AF" w:rsidRPr="005E62B2" w:rsidRDefault="00AC74AF" w:rsidP="00AC74AF">
      <w:pPr>
        <w:pStyle w:val="Ruller41"/>
        <w:rPr>
          <w:rFonts w:ascii="Century" w:hAnsi="Century"/>
          <w:rtl/>
        </w:rPr>
      </w:pPr>
      <w:r>
        <w:rPr>
          <w:rtl/>
        </w:rPr>
        <w:tab/>
      </w:r>
      <w:r>
        <w:rPr>
          <w:rFonts w:hint="cs"/>
          <w:rtl/>
        </w:rPr>
        <w:t xml:space="preserve">יש מי שמנסים לגמד את גודל האירוע, לייחס לתיקון לחוק אגביות זניחה, כאילו מדובר בעניין פעוט ושולי. אך זוהי שעה אקוטית שבה אנו מצוּוים בשמירה על עקרון הפרדת הרשויות, עצמאות מערכת המשפט, שלטון החוק וזכויות הפרט </w:t>
      </w:r>
      <w:r>
        <w:rPr>
          <w:rtl/>
        </w:rPr>
        <w:t>–</w:t>
      </w:r>
      <w:r>
        <w:rPr>
          <w:rFonts w:hint="cs"/>
          <w:rtl/>
        </w:rPr>
        <w:t xml:space="preserve"> שמירה על צביונה של המדינה, על ערכי הדמוקרטיה וערכי מגילת העצמאות. לא ניתן לעמוד מנגד. </w:t>
      </w:r>
      <w:r>
        <w:rPr>
          <w:rFonts w:hint="cs"/>
          <w:rtl/>
        </w:rPr>
        <w:lastRenderedPageBreak/>
        <w:t xml:space="preserve">דין התיקון בטלות. וכמילותיו עתיקות היומין של המשורר האנגלי ג'ון דאן (בתרגום רמי דיצני): </w:t>
      </w:r>
      <w:r w:rsidRPr="005E62B2">
        <w:rPr>
          <w:rFonts w:ascii="Century" w:hAnsi="Century" w:hint="cs"/>
          <w:rtl/>
        </w:rPr>
        <w:t>"</w:t>
      </w:r>
      <w:r w:rsidRPr="005E62B2">
        <w:rPr>
          <w:rStyle w:val="Ruller50"/>
          <w:rFonts w:ascii="Century" w:eastAsiaTheme="majorEastAsia" w:hAnsi="Century" w:hint="cs"/>
          <w:rtl/>
        </w:rPr>
        <w:t xml:space="preserve">לְעוֹלָם אַל תִּשְׁלַח לִשְׁאֹל לְמִי צִלְצְלוּ הַפַּעֲמוֹנִים </w:t>
      </w:r>
      <w:r w:rsidRPr="005E62B2">
        <w:rPr>
          <w:rStyle w:val="Ruller50"/>
          <w:rFonts w:ascii="Century" w:eastAsiaTheme="majorEastAsia" w:hAnsi="Century"/>
          <w:rtl/>
        </w:rPr>
        <w:t>–</w:t>
      </w:r>
      <w:r w:rsidRPr="005E62B2">
        <w:rPr>
          <w:rStyle w:val="Ruller50"/>
          <w:rFonts w:ascii="Century" w:eastAsiaTheme="majorEastAsia" w:hAnsi="Century" w:hint="cs"/>
          <w:rtl/>
        </w:rPr>
        <w:t xml:space="preserve"> לְךָ הֵם מְצַלְצְלִים</w:t>
      </w:r>
      <w:r w:rsidRPr="005E62B2">
        <w:rPr>
          <w:rFonts w:ascii="Century" w:hAnsi="Century" w:hint="cs"/>
          <w:rtl/>
        </w:rPr>
        <w:t>".</w:t>
      </w:r>
    </w:p>
    <w:p w:rsidR="00AC74AF" w:rsidRDefault="00AC74AF" w:rsidP="00F51B57">
      <w:pPr>
        <w:pStyle w:val="Ruller41"/>
        <w:rPr>
          <w:rtl/>
        </w:rPr>
      </w:pPr>
    </w:p>
    <w:p w:rsidR="002358E6" w:rsidRDefault="002358E6" w:rsidP="000A6755">
      <w:pPr>
        <w:pStyle w:val="Ruller41"/>
        <w:spacing w:line="480" w:lineRule="auto"/>
        <w:rPr>
          <w:rtl/>
        </w:rPr>
      </w:pPr>
    </w:p>
    <w:tbl>
      <w:tblPr>
        <w:bidiVisual/>
        <w:tblW w:w="8363" w:type="dxa"/>
        <w:tblLook w:val="01E0" w:firstRow="1" w:lastRow="1" w:firstColumn="1" w:lastColumn="1" w:noHBand="0" w:noVBand="0"/>
      </w:tblPr>
      <w:tblGrid>
        <w:gridCol w:w="2782"/>
        <w:gridCol w:w="2782"/>
        <w:gridCol w:w="2799"/>
      </w:tblGrid>
      <w:tr w:rsidR="002358E6" w:rsidTr="0003715A">
        <w:tc>
          <w:tcPr>
            <w:tcW w:w="2842" w:type="dxa"/>
            <w:shd w:val="clear" w:color="auto" w:fill="auto"/>
          </w:tcPr>
          <w:p w:rsidR="002358E6" w:rsidRDefault="002358E6" w:rsidP="000A6755">
            <w:pPr>
              <w:pStyle w:val="Ruller41"/>
              <w:spacing w:line="480" w:lineRule="auto"/>
              <w:rPr>
                <w:rtl/>
              </w:rPr>
            </w:pPr>
          </w:p>
        </w:tc>
        <w:tc>
          <w:tcPr>
            <w:tcW w:w="2843" w:type="dxa"/>
            <w:shd w:val="clear" w:color="auto" w:fill="auto"/>
          </w:tcPr>
          <w:p w:rsidR="002358E6" w:rsidRDefault="002358E6" w:rsidP="000A6755">
            <w:pPr>
              <w:pStyle w:val="Ruller41"/>
              <w:spacing w:line="480" w:lineRule="auto"/>
              <w:jc w:val="center"/>
              <w:rPr>
                <w:rtl/>
              </w:rPr>
            </w:pPr>
          </w:p>
        </w:tc>
        <w:tc>
          <w:tcPr>
            <w:tcW w:w="2843" w:type="dxa"/>
            <w:shd w:val="clear" w:color="auto" w:fill="auto"/>
          </w:tcPr>
          <w:p w:rsidR="002358E6" w:rsidRDefault="002358E6" w:rsidP="000A6755">
            <w:pPr>
              <w:pStyle w:val="Ruller41"/>
              <w:spacing w:line="480" w:lineRule="auto"/>
              <w:jc w:val="center"/>
              <w:rPr>
                <w:rtl/>
              </w:rPr>
            </w:pPr>
            <w:r>
              <w:rPr>
                <w:rFonts w:hint="cs"/>
                <w:rtl/>
              </w:rPr>
              <w:t>ש ו פ ט ת (בדימ')</w:t>
            </w:r>
          </w:p>
        </w:tc>
      </w:tr>
    </w:tbl>
    <w:p w:rsidR="00FF17DB" w:rsidRDefault="00FF17DB" w:rsidP="00F51B57">
      <w:pPr>
        <w:pStyle w:val="BODYVERDICT"/>
        <w:spacing w:line="360" w:lineRule="auto"/>
      </w:pPr>
    </w:p>
    <w:p w:rsidR="00FF17DB" w:rsidRPr="00A7762C" w:rsidRDefault="00FF17DB" w:rsidP="00FF17DB">
      <w:pPr>
        <w:pStyle w:val="BODYVERDICT"/>
        <w:outlineLvl w:val="0"/>
        <w:rPr>
          <w:rFonts w:ascii="Century" w:hAnsi="Century" w:cs="Miriam"/>
          <w:b/>
          <w:spacing w:val="0"/>
          <w:szCs w:val="24"/>
          <w:u w:val="single"/>
          <w:rtl/>
        </w:rPr>
      </w:pPr>
      <w:r w:rsidRPr="00462789">
        <w:rPr>
          <w:rFonts w:cs="Miriam" w:hint="cs"/>
          <w:sz w:val="24"/>
          <w:szCs w:val="24"/>
          <w:u w:val="single"/>
          <w:rtl/>
        </w:rPr>
        <w:t>השופט ע' גרוסקופף</w:t>
      </w:r>
      <w:r w:rsidRPr="00A7762C">
        <w:rPr>
          <w:rFonts w:ascii="Century" w:hAnsi="Century" w:cs="Miriam"/>
          <w:b/>
          <w:spacing w:val="0"/>
          <w:szCs w:val="24"/>
          <w:rtl/>
        </w:rPr>
        <w:t>:</w:t>
      </w:r>
    </w:p>
    <w:p w:rsidR="003D7BFC" w:rsidRPr="006C4917" w:rsidRDefault="003D7BFC" w:rsidP="003D7BFC">
      <w:pPr>
        <w:pStyle w:val="Ruller41"/>
        <w:keepNext/>
        <w:rPr>
          <w:rFonts w:ascii="Century" w:hAnsi="Century"/>
          <w:rtl/>
        </w:rPr>
      </w:pPr>
    </w:p>
    <w:p w:rsidR="003D7BFC" w:rsidRPr="006C4917" w:rsidRDefault="003D7BFC" w:rsidP="003D7BFC">
      <w:pPr>
        <w:pStyle w:val="Ruller41"/>
        <w:keepNext/>
        <w:rPr>
          <w:rtl/>
        </w:rPr>
      </w:pPr>
      <w:r w:rsidRPr="006C4917">
        <w:rPr>
          <w:rtl/>
        </w:rPr>
        <w:tab/>
      </w:r>
      <w:r w:rsidRPr="006C4917">
        <w:rPr>
          <w:rFonts w:hint="cs"/>
          <w:rtl/>
        </w:rPr>
        <w:t xml:space="preserve">אני מסכים לתוצאה אליה הגיעה חברתי, הנשיאה (בדימ') </w:t>
      </w:r>
      <w:r w:rsidRPr="006C4917">
        <w:rPr>
          <w:rFonts w:ascii="Century" w:hAnsi="Century" w:cs="Miriam" w:hint="cs"/>
          <w:b/>
          <w:spacing w:val="0"/>
          <w:szCs w:val="24"/>
          <w:rtl/>
        </w:rPr>
        <w:t>אסתר חיות</w:t>
      </w:r>
      <w:r w:rsidRPr="006C4917">
        <w:rPr>
          <w:rFonts w:hint="cs"/>
          <w:rtl/>
        </w:rPr>
        <w:t>, ולעיקר ההנמקות שפורטו בחוות דעתה המפורטת והמקיפה. עם זאת, דרכי אינה זהה לדרכה בהיבטים מסוימים, שעשויה להיות להם חשיבות לעתיד לבוא. מצאתי לפיכך לנכון לתאר בפירוט את נתיב הילוכי, ואולם באותם צמתים בהם מתלכדות דרכינו, אסתפק בהפניה לחוות דעתה.</w:t>
      </w:r>
    </w:p>
    <w:p w:rsidR="003D7BFC" w:rsidRPr="006C4917" w:rsidRDefault="003D7BFC" w:rsidP="003D7BFC">
      <w:pPr>
        <w:pStyle w:val="Ruller41"/>
        <w:rPr>
          <w:rFonts w:ascii="Century" w:hAnsi="Century" w:cs="Miriam"/>
          <w:b/>
          <w:spacing w:val="0"/>
          <w:szCs w:val="24"/>
          <w:rtl/>
        </w:rPr>
      </w:pPr>
    </w:p>
    <w:p w:rsidR="003D7BFC" w:rsidRPr="006C4917" w:rsidRDefault="003D7BFC" w:rsidP="003D7BFC">
      <w:pPr>
        <w:pStyle w:val="Ruller41"/>
        <w:keepNext/>
        <w:rPr>
          <w:rFonts w:ascii="Century" w:hAnsi="Century" w:cs="Miriam"/>
          <w:b/>
          <w:spacing w:val="0"/>
          <w:szCs w:val="24"/>
          <w:rtl/>
        </w:rPr>
      </w:pPr>
      <w:r w:rsidRPr="006C4917">
        <w:rPr>
          <w:rFonts w:ascii="Century" w:hAnsi="Century" w:cs="Miriam" w:hint="cs"/>
          <w:b/>
          <w:spacing w:val="0"/>
          <w:szCs w:val="24"/>
          <w:rtl/>
        </w:rPr>
        <w:t xml:space="preserve">הקדמה </w:t>
      </w:r>
      <w:r w:rsidRPr="006C4917">
        <w:rPr>
          <w:rFonts w:ascii="Century" w:hAnsi="Century" w:cs="Miriam"/>
          <w:b/>
          <w:spacing w:val="0"/>
          <w:szCs w:val="24"/>
          <w:rtl/>
        </w:rPr>
        <w:t>–</w:t>
      </w:r>
      <w:r w:rsidRPr="006C4917">
        <w:rPr>
          <w:rFonts w:ascii="Century" w:hAnsi="Century" w:cs="Miriam" w:hint="cs"/>
          <w:b/>
          <w:spacing w:val="0"/>
          <w:szCs w:val="24"/>
          <w:rtl/>
        </w:rPr>
        <w:t xml:space="preserve"> הפסיקה ככתיבת "רומן שרשרת"</w:t>
      </w:r>
    </w:p>
    <w:p w:rsidR="003D7BFC" w:rsidRPr="006C4917" w:rsidRDefault="003D7BFC" w:rsidP="00C81226">
      <w:pPr>
        <w:pStyle w:val="Ruller4"/>
        <w:keepNext/>
        <w:numPr>
          <w:ilvl w:val="0"/>
          <w:numId w:val="0"/>
        </w:numPr>
        <w:spacing w:line="276" w:lineRule="auto"/>
      </w:pPr>
    </w:p>
    <w:p w:rsidR="003D7BFC" w:rsidRPr="006C4917" w:rsidRDefault="003D7BFC" w:rsidP="001D7146">
      <w:pPr>
        <w:pStyle w:val="Ruller4"/>
        <w:keepNext/>
        <w:numPr>
          <w:ilvl w:val="0"/>
          <w:numId w:val="28"/>
        </w:numPr>
        <w:rPr>
          <w:rtl/>
        </w:rPr>
      </w:pPr>
      <w:r w:rsidRPr="006C4917">
        <w:rPr>
          <w:rFonts w:hint="cs"/>
          <w:rtl/>
        </w:rPr>
        <w:t>מלאכת השיפוט דומה למלאכת הכתיבה של "רומן שרשרת" (</w:t>
      </w:r>
      <w:r w:rsidRPr="001D7146">
        <w:rPr>
          <w:rFonts w:asciiTheme="majorBidi" w:hAnsiTheme="majorBidi"/>
        </w:rPr>
        <w:t>"Chain Novel"</w:t>
      </w:r>
      <w:r w:rsidRPr="006C4917">
        <w:rPr>
          <w:rFonts w:hint="cs"/>
          <w:rtl/>
        </w:rPr>
        <w:t>). מטאפורה זו, שנהגתה על ידי פרופ' רונלד דבורקין (</w:t>
      </w:r>
      <w:r w:rsidRPr="001D7146">
        <w:rPr>
          <w:rFonts w:asciiTheme="majorBidi" w:hAnsiTheme="majorBidi"/>
        </w:rPr>
        <w:t>Ronald Dworkin</w:t>
      </w:r>
      <w:r w:rsidRPr="006C4917">
        <w:rPr>
          <w:rFonts w:hint="cs"/>
          <w:rtl/>
        </w:rPr>
        <w:t>), באה להסביר ולהבהיר את טיב מלאכתו של שופט הניצב בפני מקרה הדורש הכרעה שיפוטית, ובתוך כך את המחויבויות והמגבלות הנלוות לה. בפני הסופר שאליו מדמה פרופ' דבורקין את השופט במשפט המקובל, עומדת המשימה לכתוב פרק חדש בסיפור שפרקיו הקודמים נכתבו זה מכבר. מלאכת הכתיבה של פרק זה, מסביר פרופ' דבורקין, מורכבת מפרשנות הטקסט הקיים ומיצירה של טקסט חדש אשר ממשיך את קודמו. אכן, הסופר האוחז בעט לקראת כתיבתו של פרק חדש אומנם מבטא את פרי יצירתו שלו, אך הוא אינו חופשי ביצירתו: הפרקים שנכתבו ומרכיבים את ראשיתו של הרומן מגבילים את יצירתו של הסופר הנוכחי, בתוכנם, בסגנונם ובמציאות שהם יצרו. ובלשונו של פרופ' דבורקין:</w:t>
      </w:r>
    </w:p>
    <w:p w:rsidR="003D7BFC" w:rsidRPr="006C4917" w:rsidRDefault="003D7BFC" w:rsidP="003D7BFC">
      <w:pPr>
        <w:pStyle w:val="Ruller41"/>
        <w:rPr>
          <w:rtl/>
        </w:rPr>
      </w:pPr>
    </w:p>
    <w:p w:rsidR="003D7BFC" w:rsidRPr="006C4917" w:rsidRDefault="003D7BFC" w:rsidP="003D7BFC">
      <w:pPr>
        <w:pStyle w:val="Ruller5"/>
        <w:tabs>
          <w:tab w:val="right" w:pos="5670"/>
        </w:tabs>
        <w:bidi w:val="0"/>
        <w:ind w:left="1134" w:right="2069"/>
        <w:rPr>
          <w:rFonts w:asciiTheme="majorBidi" w:hAnsiTheme="majorBidi" w:cstheme="majorBidi"/>
          <w:sz w:val="24"/>
          <w:szCs w:val="24"/>
        </w:rPr>
      </w:pPr>
      <w:r w:rsidRPr="006C4917">
        <w:rPr>
          <w:rFonts w:asciiTheme="majorBidi" w:hAnsiTheme="majorBidi"/>
          <w:sz w:val="24"/>
        </w:rPr>
        <w:t xml:space="preserve">Each judge must regard himself, in deciding the new case before him, as a partner in a complex chain enterprise of which these innumerable decisions, structures, conventions, and practices are the history; it is his job to continue that history into the future through what he does on the day. He must interpret what has gone before because he has a responsibility to advance the enterprise in hand rather than strike out in some new direction of his own. So he must determine, </w:t>
      </w:r>
      <w:r w:rsidRPr="006C4917">
        <w:rPr>
          <w:rFonts w:asciiTheme="majorBidi" w:hAnsiTheme="majorBidi"/>
          <w:sz w:val="24"/>
        </w:rPr>
        <w:lastRenderedPageBreak/>
        <w:t>according to his own judgment, what the earlier decisions come to, what the point or the practice so far, taken as a whole, really is. (Ronald Dworkin</w:t>
      </w:r>
      <w:r w:rsidRPr="006C4917">
        <w:rPr>
          <w:rFonts w:asciiTheme="majorBidi" w:hAnsiTheme="majorBidi" w:cstheme="majorBidi"/>
          <w:sz w:val="24"/>
          <w:szCs w:val="24"/>
        </w:rPr>
        <w:t>,</w:t>
      </w:r>
      <w:r w:rsidRPr="006C4917">
        <w:rPr>
          <w:rFonts w:asciiTheme="majorBidi" w:hAnsiTheme="majorBidi"/>
          <w:sz w:val="24"/>
        </w:rPr>
        <w:t xml:space="preserve"> </w:t>
      </w:r>
      <w:r w:rsidRPr="006C4917">
        <w:rPr>
          <w:rFonts w:asciiTheme="majorBidi" w:hAnsiTheme="majorBidi"/>
          <w:i/>
          <w:sz w:val="24"/>
        </w:rPr>
        <w:t>Law as Interpretation</w:t>
      </w:r>
      <w:r w:rsidRPr="006C4917">
        <w:rPr>
          <w:rFonts w:asciiTheme="majorBidi" w:hAnsiTheme="majorBidi"/>
          <w:sz w:val="24"/>
        </w:rPr>
        <w:t xml:space="preserve">, 60 </w:t>
      </w:r>
      <w:r w:rsidRPr="006C4917">
        <w:rPr>
          <w:rFonts w:asciiTheme="majorBidi" w:hAnsiTheme="majorBidi"/>
          <w:smallCaps/>
          <w:sz w:val="24"/>
        </w:rPr>
        <w:t>Tex. L. Rev.</w:t>
      </w:r>
      <w:r w:rsidRPr="006C4917">
        <w:rPr>
          <w:rFonts w:asciiTheme="majorBidi" w:hAnsiTheme="majorBidi"/>
          <w:sz w:val="24"/>
        </w:rPr>
        <w:t xml:space="preserve"> 527, 543 (1982);</w:t>
      </w:r>
      <w:r w:rsidRPr="006C4917">
        <w:rPr>
          <w:rFonts w:asciiTheme="majorBidi" w:hAnsiTheme="majorBidi" w:cstheme="majorBidi"/>
          <w:sz w:val="24"/>
          <w:szCs w:val="24"/>
          <w:rtl/>
        </w:rPr>
        <w:t xml:space="preserve"> </w:t>
      </w:r>
      <w:r w:rsidRPr="006C4917">
        <w:rPr>
          <w:rFonts w:asciiTheme="majorBidi" w:hAnsiTheme="majorBidi"/>
          <w:smallCaps/>
          <w:sz w:val="24"/>
        </w:rPr>
        <w:t>Ronald Dworkin Law's Empire 228-238 (1998</w:t>
      </w:r>
      <w:r w:rsidRPr="006C4917">
        <w:rPr>
          <w:rFonts w:asciiTheme="majorBidi" w:hAnsiTheme="majorBidi" w:cstheme="majorBidi"/>
          <w:sz w:val="24"/>
        </w:rPr>
        <w:t>)).</w:t>
      </w:r>
    </w:p>
    <w:p w:rsidR="003D7BFC" w:rsidRPr="006C4917" w:rsidRDefault="003D7BFC" w:rsidP="003D7BFC">
      <w:pPr>
        <w:pStyle w:val="Ruller41"/>
        <w:rPr>
          <w:rtl/>
        </w:rPr>
      </w:pPr>
    </w:p>
    <w:p w:rsidR="003D7BFC" w:rsidRPr="006C4917" w:rsidRDefault="00C81226" w:rsidP="00C81226">
      <w:pPr>
        <w:pStyle w:val="Ruller4"/>
        <w:numPr>
          <w:ilvl w:val="0"/>
          <w:numId w:val="0"/>
        </w:numPr>
        <w:rPr>
          <w:rtl/>
        </w:rPr>
      </w:pPr>
      <w:r>
        <w:rPr>
          <w:rtl/>
        </w:rPr>
        <w:tab/>
      </w:r>
      <w:r w:rsidR="003D7BFC" w:rsidRPr="006C4917">
        <w:rPr>
          <w:rFonts w:hint="cs"/>
          <w:rtl/>
        </w:rPr>
        <w:t>אם כן, לפי תיאורו של פרופ' דבורקין, מלאכת השפיטה, על אף החדשנות והיצירתיות הטבועות בה, ולמרות הכוח לסטות מתקדימים במקרים מתאימים ועל ידי הערכאה המוסמכת לכך, מוקפת בגדרות המציאות שנתגבשה עד לרגע הכתיבה, קרי, מחויבת בכיבוד ההלכות שהתגבשו בעבר, ונדרשת לפעול ככלל (שיש לו חריגים) בגבולות ד' אמותיה של הפסיקה הקודמת.</w:t>
      </w:r>
    </w:p>
    <w:p w:rsidR="003D7BFC" w:rsidRPr="006C4917" w:rsidRDefault="003D7BFC" w:rsidP="00C81226">
      <w:pPr>
        <w:pStyle w:val="Ruller4"/>
        <w:numPr>
          <w:ilvl w:val="0"/>
          <w:numId w:val="0"/>
        </w:numPr>
      </w:pPr>
    </w:p>
    <w:p w:rsidR="003D7BFC" w:rsidRPr="006C4917" w:rsidRDefault="003D7BFC" w:rsidP="00104D6D">
      <w:pPr>
        <w:pStyle w:val="Ruller4"/>
      </w:pPr>
      <w:r w:rsidRPr="006C4917">
        <w:rPr>
          <w:rFonts w:hint="cs"/>
          <w:rtl/>
        </w:rPr>
        <w:t>הסוגיה שהונחה לפתחנו מחייבת כתיבת פרקים חדשים במשפט החוקתי הישראלי. מכאן חשיבותה, ומטעם זה נקבעו העתירות דנן באופן תקדימי, לדיון בפני הרכב מלא (</w:t>
      </w:r>
      <w:r w:rsidRPr="006C4917">
        <w:rPr>
          <w:rFonts w:asciiTheme="majorBidi" w:hAnsiTheme="majorBidi"/>
          <w:i/>
        </w:rPr>
        <w:t>en banc</w:t>
      </w:r>
      <w:r w:rsidRPr="006C4917">
        <w:rPr>
          <w:rFonts w:hint="cs"/>
          <w:rtl/>
        </w:rPr>
        <w:t>) של שופטי ושופטות בית המשפט העליון. ואולם, פסק דין זה, עם כל חשיבותו, אינו מהווה, ואין זה ראוי כי יהיה, בריאה מחודשת של המשפט החוקתי הישראלי. תפקידנו אינו ליצור "יש מאין" משפט חוקתי לישראל. המשפט החוקתי הישראלי קיים גם קיים, ובהיבטים חשובים התפתחותו גם הגיעה להבשלה במשך 75 שנות קיום המדינה. תפקידנו, איפוא, הוא להמשיך בפיתוחו, תוך כתיבת הפרקים חדשים הנחוצים להכרעתנו, וזאת בהינתן הפרקים הקודמים ובהתבסס עליהם.</w:t>
      </w:r>
    </w:p>
    <w:p w:rsidR="003D7BFC" w:rsidRPr="006C4917" w:rsidRDefault="003D7BFC" w:rsidP="003D7BFC">
      <w:pPr>
        <w:pStyle w:val="Ruller41"/>
      </w:pPr>
    </w:p>
    <w:p w:rsidR="003D7BFC" w:rsidRPr="006C4917" w:rsidRDefault="003D7BFC" w:rsidP="00104D6D">
      <w:pPr>
        <w:pStyle w:val="Ruller4"/>
        <w:rPr>
          <w:rtl/>
        </w:rPr>
      </w:pPr>
      <w:r w:rsidRPr="006C4917">
        <w:rPr>
          <w:rFonts w:hint="cs"/>
          <w:rtl/>
        </w:rPr>
        <w:t xml:space="preserve">אם כן, וכפי שנכתבים "רומני שרשרת" כאמור, גם חוות דעת זו תנוע מהפרקים שכבר נכתבו על ידי בית משפט זה ב"ספר המשפט החוקתי" של מדינת ישראל </w:t>
      </w:r>
      <w:r w:rsidRPr="006C4917">
        <w:rPr>
          <w:rtl/>
        </w:rPr>
        <w:t>–</w:t>
      </w:r>
      <w:r w:rsidRPr="006C4917">
        <w:rPr>
          <w:rFonts w:hint="cs"/>
          <w:rtl/>
        </w:rPr>
        <w:t xml:space="preserve"> אותם אסקור ממעוף הציפור </w:t>
      </w:r>
      <w:r w:rsidRPr="006C4917">
        <w:rPr>
          <w:rtl/>
        </w:rPr>
        <w:t>–</w:t>
      </w:r>
      <w:r w:rsidRPr="006C4917">
        <w:rPr>
          <w:rFonts w:hint="cs"/>
          <w:rtl/>
        </w:rPr>
        <w:t xml:space="preserve"> אל עבר הפרקים החדשים שנדרש לכתוב על מנת להכריע במקרה שלפנינו, אותם אציג ביתר פירוט והרחבה. לאחר מכן, אדרש לבחינת התיקון לחוק שלפנינו.</w:t>
      </w:r>
    </w:p>
    <w:p w:rsidR="003D7BFC" w:rsidRPr="006C4917" w:rsidRDefault="003D7BFC" w:rsidP="00104D6D">
      <w:pPr>
        <w:pStyle w:val="Ruller4"/>
        <w:numPr>
          <w:ilvl w:val="0"/>
          <w:numId w:val="0"/>
        </w:numPr>
        <w:rPr>
          <w:rFonts w:ascii="Century" w:hAnsi="Century"/>
          <w:rtl/>
        </w:rPr>
      </w:pPr>
    </w:p>
    <w:p w:rsidR="003D7BFC" w:rsidRPr="006C4917" w:rsidRDefault="003D7BFC" w:rsidP="003D7BFC">
      <w:pPr>
        <w:pStyle w:val="Ruller41"/>
        <w:keepNext/>
        <w:rPr>
          <w:rFonts w:ascii="Century" w:hAnsi="Century" w:cs="Miriam"/>
          <w:b/>
          <w:spacing w:val="0"/>
          <w:szCs w:val="24"/>
          <w:rtl/>
        </w:rPr>
      </w:pPr>
      <w:r w:rsidRPr="006C4917">
        <w:rPr>
          <w:rFonts w:ascii="Century" w:hAnsi="Century" w:cs="Miriam" w:hint="cs"/>
          <w:b/>
          <w:spacing w:val="0"/>
          <w:szCs w:val="24"/>
          <w:rtl/>
        </w:rPr>
        <w:t xml:space="preserve">המצב החוקתי בו אנו מצויים </w:t>
      </w:r>
      <w:r w:rsidRPr="006C4917">
        <w:rPr>
          <w:rFonts w:ascii="Century" w:hAnsi="Century" w:cs="Miriam"/>
          <w:b/>
          <w:spacing w:val="0"/>
          <w:szCs w:val="24"/>
          <w:rtl/>
        </w:rPr>
        <w:t>–</w:t>
      </w:r>
      <w:r w:rsidRPr="006C4917">
        <w:rPr>
          <w:rFonts w:ascii="Century" w:hAnsi="Century" w:cs="Miriam" w:hint="cs"/>
          <w:b/>
          <w:spacing w:val="0"/>
          <w:szCs w:val="24"/>
          <w:rtl/>
        </w:rPr>
        <w:t xml:space="preserve"> "חוקה בהתהוות"</w:t>
      </w:r>
    </w:p>
    <w:p w:rsidR="003D7BFC" w:rsidRPr="006C4917" w:rsidRDefault="003D7BFC" w:rsidP="003D7BFC">
      <w:pPr>
        <w:pStyle w:val="Ruller41"/>
        <w:keepNext/>
        <w:rPr>
          <w:rtl/>
        </w:rPr>
      </w:pPr>
    </w:p>
    <w:p w:rsidR="003D7BFC" w:rsidRPr="006C4917" w:rsidRDefault="003D7BFC" w:rsidP="00104D6D">
      <w:pPr>
        <w:pStyle w:val="Ruller4"/>
      </w:pPr>
      <w:r w:rsidRPr="006C4917">
        <w:rPr>
          <w:rFonts w:ascii="Century" w:hAnsi="Century" w:cs="Miriam" w:hint="cs"/>
          <w:b/>
          <w:spacing w:val="0"/>
          <w:sz w:val="22"/>
          <w:szCs w:val="24"/>
          <w:rtl/>
        </w:rPr>
        <w:t>המשפט החוקתי</w:t>
      </w:r>
      <w:r w:rsidRPr="006C4917">
        <w:rPr>
          <w:rFonts w:hint="cs"/>
          <w:rtl/>
        </w:rPr>
        <w:t xml:space="preserve"> עוסק בהגדרת עקרונות היסוד של שיטת המשטר החלה במדינה </w:t>
      </w:r>
      <w:r w:rsidRPr="006C4917">
        <w:rPr>
          <w:rtl/>
        </w:rPr>
        <w:t>–</w:t>
      </w:r>
      <w:r w:rsidRPr="006C4917">
        <w:rPr>
          <w:rFonts w:hint="cs"/>
          <w:rtl/>
        </w:rPr>
        <w:t xml:space="preserve"> הגדרת ערכיה המרכזיים של השיטה; התוויית מבנה רשויות השלטון והיחסים ביניהן; ותחימת חובות וזכויות היסוד של הפרט. </w:t>
      </w:r>
      <w:r w:rsidRPr="006C4917">
        <w:rPr>
          <w:rFonts w:ascii="Century" w:hAnsi="Century" w:cs="Miriam" w:hint="cs"/>
          <w:b/>
          <w:spacing w:val="0"/>
          <w:sz w:val="22"/>
          <w:szCs w:val="24"/>
          <w:rtl/>
        </w:rPr>
        <w:t>חוקה</w:t>
      </w:r>
      <w:r w:rsidRPr="006C4917">
        <w:rPr>
          <w:rFonts w:hint="cs"/>
          <w:rtl/>
        </w:rPr>
        <w:t xml:space="preserve"> היא כלי משפטי בו מעוגנים עקרונות היסוד הללו </w:t>
      </w:r>
      <w:r w:rsidRPr="006C4917">
        <w:rPr>
          <w:rtl/>
        </w:rPr>
        <w:t>–</w:t>
      </w:r>
      <w:r w:rsidRPr="006C4917">
        <w:rPr>
          <w:rFonts w:hint="cs"/>
          <w:rtl/>
        </w:rPr>
        <w:t xml:space="preserve"> כולם או עיקרם. עמד על כך הנשיא (בדימ') </w:t>
      </w:r>
      <w:r w:rsidRPr="006C4917">
        <w:rPr>
          <w:rFonts w:ascii="Century" w:hAnsi="Century" w:cs="Miriam" w:hint="cs"/>
          <w:b/>
          <w:spacing w:val="0"/>
          <w:sz w:val="22"/>
          <w:szCs w:val="24"/>
          <w:rtl/>
        </w:rPr>
        <w:t>מאיר שמגר</w:t>
      </w:r>
      <w:r w:rsidRPr="006C4917">
        <w:rPr>
          <w:rFonts w:hint="cs"/>
          <w:rtl/>
        </w:rPr>
        <w:t>:</w:t>
      </w:r>
    </w:p>
    <w:p w:rsidR="003D7BFC" w:rsidRPr="006C4917" w:rsidRDefault="003D7BFC" w:rsidP="00104D6D">
      <w:pPr>
        <w:pStyle w:val="Ruller4"/>
        <w:numPr>
          <w:ilvl w:val="0"/>
          <w:numId w:val="0"/>
        </w:numPr>
      </w:pPr>
    </w:p>
    <w:p w:rsidR="003D7BFC" w:rsidRPr="006C4917" w:rsidRDefault="003D7BFC" w:rsidP="003D7BFC">
      <w:pPr>
        <w:pStyle w:val="Ruller5"/>
        <w:rPr>
          <w:rtl/>
        </w:rPr>
      </w:pPr>
      <w:r w:rsidRPr="006C4917">
        <w:rPr>
          <w:rFonts w:hint="eastAsia"/>
          <w:rtl/>
        </w:rPr>
        <w:lastRenderedPageBreak/>
        <w:t>חוקה</w:t>
      </w:r>
      <w:r w:rsidRPr="006C4917">
        <w:rPr>
          <w:rtl/>
        </w:rPr>
        <w:t xml:space="preserve"> </w:t>
      </w:r>
      <w:r w:rsidRPr="006C4917">
        <w:rPr>
          <w:rFonts w:hint="eastAsia"/>
          <w:rtl/>
        </w:rPr>
        <w:t>היא</w:t>
      </w:r>
      <w:r w:rsidRPr="006C4917">
        <w:rPr>
          <w:rtl/>
        </w:rPr>
        <w:t xml:space="preserve"> </w:t>
      </w:r>
      <w:r w:rsidRPr="006C4917">
        <w:rPr>
          <w:rFonts w:hint="eastAsia"/>
          <w:rtl/>
        </w:rPr>
        <w:t>קודקס</w:t>
      </w:r>
      <w:r w:rsidRPr="006C4917">
        <w:rPr>
          <w:rtl/>
        </w:rPr>
        <w:t xml:space="preserve">, </w:t>
      </w:r>
      <w:r w:rsidRPr="006C4917">
        <w:rPr>
          <w:rFonts w:hint="eastAsia"/>
          <w:rtl/>
        </w:rPr>
        <w:t>קובץ</w:t>
      </w:r>
      <w:r w:rsidRPr="006C4917">
        <w:rPr>
          <w:rtl/>
        </w:rPr>
        <w:t xml:space="preserve"> </w:t>
      </w:r>
      <w:r w:rsidRPr="006C4917">
        <w:rPr>
          <w:rFonts w:hint="eastAsia"/>
          <w:rtl/>
        </w:rPr>
        <w:t>הוראות</w:t>
      </w:r>
      <w:r w:rsidRPr="006C4917">
        <w:rPr>
          <w:rtl/>
        </w:rPr>
        <w:t xml:space="preserve"> </w:t>
      </w:r>
      <w:r w:rsidRPr="006C4917">
        <w:rPr>
          <w:rFonts w:hint="eastAsia"/>
          <w:rtl/>
        </w:rPr>
        <w:t>חוק</w:t>
      </w:r>
      <w:r w:rsidRPr="006C4917">
        <w:rPr>
          <w:rtl/>
        </w:rPr>
        <w:t xml:space="preserve"> </w:t>
      </w:r>
      <w:r w:rsidRPr="006C4917">
        <w:rPr>
          <w:rFonts w:hint="eastAsia"/>
          <w:rtl/>
        </w:rPr>
        <w:t>אשר</w:t>
      </w:r>
      <w:r w:rsidRPr="006C4917">
        <w:rPr>
          <w:rtl/>
        </w:rPr>
        <w:t xml:space="preserve"> </w:t>
      </w:r>
      <w:r w:rsidRPr="006C4917">
        <w:rPr>
          <w:rFonts w:hint="eastAsia"/>
          <w:rtl/>
        </w:rPr>
        <w:t>באמצעותו</w:t>
      </w:r>
      <w:r w:rsidRPr="006C4917">
        <w:rPr>
          <w:rtl/>
        </w:rPr>
        <w:t xml:space="preserve"> </w:t>
      </w:r>
      <w:r w:rsidRPr="006C4917">
        <w:rPr>
          <w:rFonts w:hint="eastAsia"/>
          <w:rtl/>
        </w:rPr>
        <w:t>מבקשים</w:t>
      </w:r>
      <w:r w:rsidRPr="006C4917">
        <w:rPr>
          <w:rtl/>
        </w:rPr>
        <w:t xml:space="preserve"> </w:t>
      </w:r>
      <w:r w:rsidRPr="006C4917">
        <w:rPr>
          <w:rFonts w:hint="eastAsia"/>
          <w:rtl/>
        </w:rPr>
        <w:t>להסדיר</w:t>
      </w:r>
      <w:r w:rsidRPr="006C4917">
        <w:rPr>
          <w:rtl/>
        </w:rPr>
        <w:t xml:space="preserve"> </w:t>
      </w:r>
      <w:r w:rsidRPr="006C4917">
        <w:rPr>
          <w:rFonts w:hint="eastAsia"/>
          <w:rtl/>
        </w:rPr>
        <w:t>את</w:t>
      </w:r>
      <w:r w:rsidRPr="006C4917">
        <w:rPr>
          <w:rtl/>
        </w:rPr>
        <w:t xml:space="preserve"> </w:t>
      </w:r>
      <w:r w:rsidRPr="006C4917">
        <w:rPr>
          <w:rFonts w:hint="eastAsia"/>
          <w:rtl/>
        </w:rPr>
        <w:t>חלוקת</w:t>
      </w:r>
      <w:r w:rsidRPr="006C4917">
        <w:rPr>
          <w:rtl/>
        </w:rPr>
        <w:t xml:space="preserve"> </w:t>
      </w:r>
      <w:r w:rsidRPr="006C4917">
        <w:rPr>
          <w:rFonts w:hint="eastAsia"/>
          <w:rtl/>
        </w:rPr>
        <w:t>התפקידים</w:t>
      </w:r>
      <w:r w:rsidRPr="006C4917">
        <w:rPr>
          <w:rtl/>
        </w:rPr>
        <w:t xml:space="preserve">, </w:t>
      </w:r>
      <w:r w:rsidRPr="006C4917">
        <w:rPr>
          <w:rFonts w:hint="eastAsia"/>
          <w:rtl/>
        </w:rPr>
        <w:t>את</w:t>
      </w:r>
      <w:r w:rsidRPr="006C4917">
        <w:rPr>
          <w:rtl/>
        </w:rPr>
        <w:t xml:space="preserve"> </w:t>
      </w:r>
      <w:r w:rsidRPr="006C4917">
        <w:rPr>
          <w:rFonts w:hint="eastAsia"/>
          <w:rtl/>
        </w:rPr>
        <w:t>הסמכויות</w:t>
      </w:r>
      <w:r w:rsidRPr="006C4917">
        <w:rPr>
          <w:rtl/>
        </w:rPr>
        <w:t xml:space="preserve"> </w:t>
      </w:r>
      <w:r w:rsidRPr="006C4917">
        <w:rPr>
          <w:rFonts w:hint="eastAsia"/>
          <w:rtl/>
        </w:rPr>
        <w:t>ואת</w:t>
      </w:r>
      <w:r w:rsidRPr="006C4917">
        <w:rPr>
          <w:rtl/>
        </w:rPr>
        <w:t xml:space="preserve"> </w:t>
      </w:r>
      <w:r w:rsidRPr="006C4917">
        <w:rPr>
          <w:rFonts w:hint="eastAsia"/>
          <w:rtl/>
        </w:rPr>
        <w:t>החובות</w:t>
      </w:r>
      <w:r w:rsidRPr="006C4917">
        <w:rPr>
          <w:rtl/>
        </w:rPr>
        <w:t xml:space="preserve"> </w:t>
      </w:r>
      <w:r w:rsidRPr="006C4917">
        <w:rPr>
          <w:rFonts w:hint="eastAsia"/>
          <w:rtl/>
        </w:rPr>
        <w:t>בין</w:t>
      </w:r>
      <w:r w:rsidRPr="006C4917">
        <w:rPr>
          <w:rtl/>
        </w:rPr>
        <w:t xml:space="preserve"> </w:t>
      </w:r>
      <w:r w:rsidRPr="006C4917">
        <w:rPr>
          <w:rFonts w:hint="eastAsia"/>
          <w:rtl/>
        </w:rPr>
        <w:t>רשויות</w:t>
      </w:r>
      <w:r w:rsidRPr="006C4917">
        <w:rPr>
          <w:rtl/>
        </w:rPr>
        <w:t xml:space="preserve"> </w:t>
      </w:r>
      <w:r w:rsidRPr="006C4917">
        <w:rPr>
          <w:rFonts w:hint="eastAsia"/>
          <w:rtl/>
        </w:rPr>
        <w:t>השלטון</w:t>
      </w:r>
      <w:r w:rsidRPr="006C4917">
        <w:rPr>
          <w:rtl/>
        </w:rPr>
        <w:t xml:space="preserve"> </w:t>
      </w:r>
      <w:r w:rsidRPr="006C4917">
        <w:rPr>
          <w:rFonts w:hint="eastAsia"/>
          <w:rtl/>
        </w:rPr>
        <w:t>ולהגדיר</w:t>
      </w:r>
      <w:r w:rsidRPr="006C4917">
        <w:rPr>
          <w:rtl/>
        </w:rPr>
        <w:t xml:space="preserve"> </w:t>
      </w:r>
      <w:r w:rsidRPr="006C4917">
        <w:rPr>
          <w:rFonts w:hint="eastAsia"/>
          <w:rtl/>
        </w:rPr>
        <w:t>את</w:t>
      </w:r>
      <w:r w:rsidRPr="006C4917">
        <w:rPr>
          <w:rtl/>
        </w:rPr>
        <w:t xml:space="preserve"> </w:t>
      </w:r>
      <w:r w:rsidRPr="006C4917">
        <w:rPr>
          <w:rFonts w:hint="eastAsia"/>
          <w:rtl/>
        </w:rPr>
        <w:t>מערכת</w:t>
      </w:r>
      <w:r w:rsidRPr="006C4917">
        <w:rPr>
          <w:rtl/>
        </w:rPr>
        <w:t xml:space="preserve"> </w:t>
      </w:r>
      <w:r w:rsidRPr="006C4917">
        <w:rPr>
          <w:rFonts w:hint="eastAsia"/>
          <w:rtl/>
        </w:rPr>
        <w:t>היחסים</w:t>
      </w:r>
      <w:r w:rsidRPr="006C4917">
        <w:rPr>
          <w:rtl/>
        </w:rPr>
        <w:t xml:space="preserve"> </w:t>
      </w:r>
      <w:r w:rsidRPr="006C4917">
        <w:rPr>
          <w:rFonts w:hint="eastAsia"/>
          <w:rtl/>
        </w:rPr>
        <w:t>ביניהן</w:t>
      </w:r>
      <w:r w:rsidRPr="006C4917">
        <w:rPr>
          <w:rtl/>
        </w:rPr>
        <w:t xml:space="preserve"> </w:t>
      </w:r>
      <w:r w:rsidRPr="006C4917">
        <w:rPr>
          <w:rFonts w:hint="eastAsia"/>
          <w:rtl/>
        </w:rPr>
        <w:t>לבין</w:t>
      </w:r>
      <w:r w:rsidRPr="006C4917">
        <w:rPr>
          <w:rtl/>
        </w:rPr>
        <w:t xml:space="preserve"> </w:t>
      </w:r>
      <w:r w:rsidRPr="006C4917">
        <w:rPr>
          <w:rFonts w:hint="eastAsia"/>
          <w:rtl/>
        </w:rPr>
        <w:t>עצמן</w:t>
      </w:r>
      <w:r w:rsidRPr="006C4917">
        <w:rPr>
          <w:rtl/>
        </w:rPr>
        <w:t xml:space="preserve"> </w:t>
      </w:r>
      <w:r w:rsidRPr="006C4917">
        <w:rPr>
          <w:rFonts w:hint="eastAsia"/>
          <w:rtl/>
        </w:rPr>
        <w:t>וביניהן</w:t>
      </w:r>
      <w:r w:rsidRPr="006C4917">
        <w:rPr>
          <w:rtl/>
        </w:rPr>
        <w:t xml:space="preserve"> </w:t>
      </w:r>
      <w:r w:rsidRPr="006C4917">
        <w:rPr>
          <w:rFonts w:hint="eastAsia"/>
          <w:rtl/>
        </w:rPr>
        <w:t>לבין</w:t>
      </w:r>
      <w:r w:rsidRPr="006C4917">
        <w:rPr>
          <w:rtl/>
        </w:rPr>
        <w:t xml:space="preserve"> </w:t>
      </w:r>
      <w:r w:rsidRPr="006C4917">
        <w:rPr>
          <w:rFonts w:hint="eastAsia"/>
          <w:rtl/>
        </w:rPr>
        <w:t>האזרח</w:t>
      </w:r>
      <w:r w:rsidRPr="006C4917">
        <w:rPr>
          <w:rtl/>
        </w:rPr>
        <w:t xml:space="preserve">. </w:t>
      </w:r>
      <w:r w:rsidRPr="006C4917">
        <w:rPr>
          <w:rFonts w:hint="eastAsia"/>
          <w:rtl/>
        </w:rPr>
        <w:t>רוב</w:t>
      </w:r>
      <w:r w:rsidRPr="006C4917">
        <w:rPr>
          <w:rtl/>
        </w:rPr>
        <w:t xml:space="preserve"> </w:t>
      </w:r>
      <w:r w:rsidRPr="006C4917">
        <w:rPr>
          <w:rFonts w:hint="eastAsia"/>
          <w:rtl/>
        </w:rPr>
        <w:t>החוקות</w:t>
      </w:r>
      <w:r w:rsidRPr="006C4917">
        <w:rPr>
          <w:rtl/>
        </w:rPr>
        <w:t xml:space="preserve"> </w:t>
      </w:r>
      <w:r w:rsidRPr="006C4917">
        <w:rPr>
          <w:rFonts w:hint="eastAsia"/>
          <w:rtl/>
        </w:rPr>
        <w:t>כיום</w:t>
      </w:r>
      <w:r w:rsidRPr="006C4917">
        <w:rPr>
          <w:rtl/>
        </w:rPr>
        <w:t xml:space="preserve"> </w:t>
      </w:r>
      <w:r w:rsidRPr="006C4917">
        <w:rPr>
          <w:rFonts w:hint="eastAsia"/>
          <w:rtl/>
        </w:rPr>
        <w:t>כוללות</w:t>
      </w:r>
      <w:r w:rsidRPr="006C4917">
        <w:rPr>
          <w:rtl/>
        </w:rPr>
        <w:t xml:space="preserve"> </w:t>
      </w:r>
      <w:r w:rsidRPr="006C4917">
        <w:rPr>
          <w:rFonts w:hint="eastAsia"/>
          <w:rtl/>
        </w:rPr>
        <w:t>גם</w:t>
      </w:r>
      <w:r w:rsidRPr="006C4917">
        <w:rPr>
          <w:rtl/>
        </w:rPr>
        <w:t xml:space="preserve"> </w:t>
      </w:r>
      <w:r w:rsidRPr="006C4917">
        <w:rPr>
          <w:rFonts w:hint="eastAsia"/>
          <w:rtl/>
        </w:rPr>
        <w:t>רשימה</w:t>
      </w:r>
      <w:r w:rsidRPr="006C4917">
        <w:rPr>
          <w:rtl/>
        </w:rPr>
        <w:t xml:space="preserve"> </w:t>
      </w:r>
      <w:r w:rsidRPr="006C4917">
        <w:rPr>
          <w:rFonts w:hint="eastAsia"/>
          <w:rtl/>
        </w:rPr>
        <w:t>של</w:t>
      </w:r>
      <w:r w:rsidRPr="006C4917">
        <w:rPr>
          <w:rtl/>
        </w:rPr>
        <w:t xml:space="preserve"> </w:t>
      </w:r>
      <w:r w:rsidRPr="006C4917">
        <w:rPr>
          <w:rFonts w:hint="eastAsia"/>
          <w:rtl/>
        </w:rPr>
        <w:t>זכויות</w:t>
      </w:r>
      <w:r w:rsidRPr="006C4917">
        <w:rPr>
          <w:rtl/>
        </w:rPr>
        <w:t xml:space="preserve"> </w:t>
      </w:r>
      <w:r w:rsidRPr="006C4917">
        <w:rPr>
          <w:rFonts w:hint="eastAsia"/>
          <w:rtl/>
        </w:rPr>
        <w:t>היסוד</w:t>
      </w:r>
      <w:r w:rsidRPr="006C4917">
        <w:rPr>
          <w:rtl/>
        </w:rPr>
        <w:t xml:space="preserve"> </w:t>
      </w:r>
      <w:r w:rsidRPr="006C4917">
        <w:rPr>
          <w:rFonts w:hint="eastAsia"/>
          <w:rtl/>
        </w:rPr>
        <w:t>של</w:t>
      </w:r>
      <w:r w:rsidRPr="006C4917">
        <w:rPr>
          <w:rtl/>
        </w:rPr>
        <w:t xml:space="preserve"> </w:t>
      </w:r>
      <w:r w:rsidRPr="006C4917">
        <w:rPr>
          <w:rFonts w:hint="eastAsia"/>
          <w:rtl/>
        </w:rPr>
        <w:t>האדם</w:t>
      </w:r>
      <w:r w:rsidRPr="006C4917">
        <w:rPr>
          <w:rtl/>
        </w:rPr>
        <w:t xml:space="preserve"> (</w:t>
      </w:r>
      <w:r w:rsidRPr="006C4917">
        <w:rPr>
          <w:rFonts w:asciiTheme="majorBidi" w:hAnsiTheme="majorBidi" w:cstheme="majorBidi"/>
          <w:sz w:val="24"/>
          <w:szCs w:val="24"/>
        </w:rPr>
        <w:t>bill of rights</w:t>
      </w:r>
      <w:r w:rsidRPr="006C4917">
        <w:rPr>
          <w:rtl/>
        </w:rPr>
        <w:t xml:space="preserve">) </w:t>
      </w:r>
      <w:r w:rsidRPr="006C4917">
        <w:rPr>
          <w:rFonts w:hint="eastAsia"/>
          <w:rtl/>
        </w:rPr>
        <w:t>אשר</w:t>
      </w:r>
      <w:r w:rsidRPr="006C4917">
        <w:rPr>
          <w:rtl/>
        </w:rPr>
        <w:t xml:space="preserve"> </w:t>
      </w:r>
      <w:r w:rsidRPr="006C4917">
        <w:rPr>
          <w:rFonts w:hint="eastAsia"/>
          <w:rtl/>
        </w:rPr>
        <w:t>חובה</w:t>
      </w:r>
      <w:r w:rsidRPr="006C4917">
        <w:rPr>
          <w:rtl/>
        </w:rPr>
        <w:t xml:space="preserve"> </w:t>
      </w:r>
      <w:r w:rsidRPr="006C4917">
        <w:rPr>
          <w:rFonts w:hint="eastAsia"/>
          <w:rtl/>
        </w:rPr>
        <w:t>על</w:t>
      </w:r>
      <w:r w:rsidRPr="006C4917">
        <w:rPr>
          <w:rtl/>
        </w:rPr>
        <w:t xml:space="preserve"> </w:t>
      </w:r>
      <w:r w:rsidRPr="006C4917">
        <w:rPr>
          <w:rFonts w:hint="eastAsia"/>
          <w:rtl/>
        </w:rPr>
        <w:t>כל</w:t>
      </w:r>
      <w:r w:rsidRPr="006C4917">
        <w:rPr>
          <w:rtl/>
        </w:rPr>
        <w:t xml:space="preserve"> </w:t>
      </w:r>
      <w:r w:rsidRPr="006C4917">
        <w:rPr>
          <w:rFonts w:hint="eastAsia"/>
          <w:rtl/>
        </w:rPr>
        <w:t>רשות</w:t>
      </w:r>
      <w:r w:rsidRPr="006C4917">
        <w:rPr>
          <w:rtl/>
        </w:rPr>
        <w:t xml:space="preserve"> </w:t>
      </w:r>
      <w:r w:rsidRPr="006C4917">
        <w:rPr>
          <w:rFonts w:hint="eastAsia"/>
          <w:rtl/>
        </w:rPr>
        <w:t>ורשות</w:t>
      </w:r>
      <w:r w:rsidRPr="006C4917">
        <w:rPr>
          <w:rtl/>
        </w:rPr>
        <w:t xml:space="preserve"> </w:t>
      </w:r>
      <w:r w:rsidRPr="006C4917">
        <w:rPr>
          <w:rFonts w:hint="eastAsia"/>
          <w:rtl/>
        </w:rPr>
        <w:t>לכבדן</w:t>
      </w:r>
      <w:r w:rsidRPr="006C4917">
        <w:rPr>
          <w:rtl/>
        </w:rPr>
        <w:t xml:space="preserve"> </w:t>
      </w:r>
      <w:r w:rsidRPr="006C4917">
        <w:rPr>
          <w:rFonts w:hint="eastAsia"/>
          <w:rtl/>
        </w:rPr>
        <w:t>ולהימנע</w:t>
      </w:r>
      <w:r w:rsidRPr="006C4917">
        <w:rPr>
          <w:rtl/>
        </w:rPr>
        <w:t xml:space="preserve"> </w:t>
      </w:r>
      <w:r w:rsidRPr="006C4917">
        <w:rPr>
          <w:rFonts w:hint="eastAsia"/>
          <w:rtl/>
        </w:rPr>
        <w:t>מן</w:t>
      </w:r>
      <w:r w:rsidRPr="006C4917">
        <w:rPr>
          <w:rtl/>
        </w:rPr>
        <w:t xml:space="preserve"> </w:t>
      </w:r>
      <w:r w:rsidRPr="006C4917">
        <w:rPr>
          <w:rFonts w:hint="eastAsia"/>
          <w:rtl/>
        </w:rPr>
        <w:t>הפגיעה</w:t>
      </w:r>
      <w:r w:rsidRPr="006C4917">
        <w:rPr>
          <w:rtl/>
        </w:rPr>
        <w:t xml:space="preserve"> </w:t>
      </w:r>
      <w:r w:rsidRPr="006C4917">
        <w:rPr>
          <w:rFonts w:hint="eastAsia"/>
          <w:rtl/>
        </w:rPr>
        <w:t>בהן</w:t>
      </w:r>
      <w:r w:rsidRPr="006C4917">
        <w:rPr>
          <w:rtl/>
        </w:rPr>
        <w:t xml:space="preserve">. </w:t>
      </w:r>
      <w:r w:rsidRPr="006C4917">
        <w:rPr>
          <w:rFonts w:hint="eastAsia"/>
          <w:rtl/>
        </w:rPr>
        <w:t>בחוקה</w:t>
      </w:r>
      <w:r w:rsidRPr="006C4917">
        <w:rPr>
          <w:rtl/>
        </w:rPr>
        <w:t xml:space="preserve"> </w:t>
      </w:r>
      <w:r w:rsidRPr="006C4917">
        <w:rPr>
          <w:rFonts w:hint="eastAsia"/>
          <w:rtl/>
        </w:rPr>
        <w:t>מקובצים</w:t>
      </w:r>
      <w:r w:rsidRPr="006C4917">
        <w:rPr>
          <w:rtl/>
        </w:rPr>
        <w:t xml:space="preserve"> </w:t>
      </w:r>
      <w:r w:rsidRPr="006C4917">
        <w:rPr>
          <w:rFonts w:hint="eastAsia"/>
          <w:rtl/>
        </w:rPr>
        <w:t>אפוא</w:t>
      </w:r>
      <w:r w:rsidRPr="006C4917">
        <w:rPr>
          <w:rtl/>
        </w:rPr>
        <w:t xml:space="preserve"> </w:t>
      </w:r>
      <w:r w:rsidRPr="006C4917">
        <w:rPr>
          <w:rFonts w:hint="eastAsia"/>
          <w:rtl/>
        </w:rPr>
        <w:t>העקרונות</w:t>
      </w:r>
      <w:r w:rsidRPr="006C4917">
        <w:rPr>
          <w:rtl/>
        </w:rPr>
        <w:t xml:space="preserve"> </w:t>
      </w:r>
      <w:r w:rsidRPr="006C4917">
        <w:rPr>
          <w:rFonts w:hint="eastAsia"/>
          <w:rtl/>
        </w:rPr>
        <w:t>היסודיים</w:t>
      </w:r>
      <w:r w:rsidRPr="006C4917">
        <w:rPr>
          <w:rtl/>
        </w:rPr>
        <w:t xml:space="preserve"> </w:t>
      </w:r>
      <w:r w:rsidRPr="006C4917">
        <w:rPr>
          <w:rFonts w:hint="eastAsia"/>
          <w:rtl/>
        </w:rPr>
        <w:t>אשר</w:t>
      </w:r>
      <w:r w:rsidRPr="006C4917">
        <w:rPr>
          <w:rtl/>
        </w:rPr>
        <w:t xml:space="preserve"> </w:t>
      </w:r>
      <w:r w:rsidRPr="006C4917">
        <w:rPr>
          <w:rFonts w:hint="eastAsia"/>
          <w:rtl/>
        </w:rPr>
        <w:t>עליהם</w:t>
      </w:r>
      <w:r w:rsidRPr="006C4917">
        <w:rPr>
          <w:rtl/>
        </w:rPr>
        <w:t xml:space="preserve"> </w:t>
      </w:r>
      <w:r w:rsidRPr="006C4917">
        <w:rPr>
          <w:rFonts w:hint="eastAsia"/>
          <w:rtl/>
        </w:rPr>
        <w:t>מושתת</w:t>
      </w:r>
      <w:r w:rsidRPr="006C4917">
        <w:rPr>
          <w:rtl/>
        </w:rPr>
        <w:t xml:space="preserve"> </w:t>
      </w:r>
      <w:r w:rsidRPr="006C4917">
        <w:rPr>
          <w:rFonts w:hint="eastAsia"/>
          <w:rtl/>
        </w:rPr>
        <w:t>השלטון</w:t>
      </w:r>
      <w:r w:rsidRPr="006C4917">
        <w:rPr>
          <w:rFonts w:hint="cs"/>
          <w:rtl/>
        </w:rPr>
        <w:t xml:space="preserve"> (מאיר שמגר </w:t>
      </w:r>
      <w:r w:rsidRPr="006C4917">
        <w:rPr>
          <w:rFonts w:ascii="Century" w:hAnsi="Century" w:cs="Miriam" w:hint="eastAsia"/>
          <w:b/>
          <w:spacing w:val="0"/>
          <w:szCs w:val="24"/>
          <w:rtl/>
        </w:rPr>
        <w:t>חוקה</w:t>
      </w:r>
      <w:r w:rsidRPr="006C4917">
        <w:rPr>
          <w:rFonts w:ascii="Century" w:hAnsi="Century" w:cs="Miriam"/>
          <w:b/>
          <w:spacing w:val="0"/>
          <w:szCs w:val="24"/>
          <w:rtl/>
        </w:rPr>
        <w:t xml:space="preserve"> </w:t>
      </w:r>
      <w:r w:rsidRPr="006C4917">
        <w:rPr>
          <w:rFonts w:ascii="Century" w:hAnsi="Century" w:cs="Miriam" w:hint="eastAsia"/>
          <w:b/>
          <w:spacing w:val="0"/>
          <w:szCs w:val="24"/>
          <w:rtl/>
        </w:rPr>
        <w:t>בהסכמה</w:t>
      </w:r>
      <w:r w:rsidRPr="006C4917">
        <w:rPr>
          <w:rFonts w:ascii="Century" w:hAnsi="Century" w:cs="Miriam"/>
          <w:b/>
          <w:spacing w:val="0"/>
          <w:szCs w:val="24"/>
          <w:rtl/>
        </w:rPr>
        <w:t xml:space="preserve">: </w:t>
      </w:r>
      <w:r w:rsidRPr="006C4917">
        <w:rPr>
          <w:rFonts w:ascii="Century" w:hAnsi="Century" w:cs="Miriam" w:hint="eastAsia"/>
          <w:b/>
          <w:spacing w:val="0"/>
          <w:szCs w:val="24"/>
          <w:rtl/>
        </w:rPr>
        <w:t>הצעת</w:t>
      </w:r>
      <w:r w:rsidRPr="006C4917">
        <w:rPr>
          <w:rFonts w:ascii="Century" w:hAnsi="Century" w:cs="Miriam"/>
          <w:b/>
          <w:spacing w:val="0"/>
          <w:szCs w:val="24"/>
          <w:rtl/>
        </w:rPr>
        <w:t xml:space="preserve"> </w:t>
      </w:r>
      <w:r w:rsidRPr="006C4917">
        <w:rPr>
          <w:rFonts w:ascii="Century" w:hAnsi="Century" w:cs="Miriam" w:hint="eastAsia"/>
          <w:b/>
          <w:spacing w:val="0"/>
          <w:szCs w:val="24"/>
          <w:rtl/>
        </w:rPr>
        <w:t>המכון</w:t>
      </w:r>
      <w:r w:rsidRPr="006C4917">
        <w:rPr>
          <w:rFonts w:ascii="Century" w:hAnsi="Century" w:cs="Miriam"/>
          <w:b/>
          <w:spacing w:val="0"/>
          <w:szCs w:val="24"/>
          <w:rtl/>
        </w:rPr>
        <w:t xml:space="preserve"> </w:t>
      </w:r>
      <w:r w:rsidRPr="006C4917">
        <w:rPr>
          <w:rFonts w:ascii="Century" w:hAnsi="Century" w:cs="Miriam" w:hint="eastAsia"/>
          <w:b/>
          <w:spacing w:val="0"/>
          <w:szCs w:val="24"/>
          <w:rtl/>
        </w:rPr>
        <w:t>הישראלי</w:t>
      </w:r>
      <w:r w:rsidRPr="006C4917">
        <w:rPr>
          <w:rFonts w:ascii="Century" w:hAnsi="Century" w:cs="Miriam"/>
          <w:b/>
          <w:spacing w:val="0"/>
          <w:szCs w:val="24"/>
          <w:rtl/>
        </w:rPr>
        <w:t xml:space="preserve"> </w:t>
      </w:r>
      <w:r w:rsidRPr="006C4917">
        <w:rPr>
          <w:rFonts w:ascii="Century" w:hAnsi="Century" w:cs="Miriam" w:hint="eastAsia"/>
          <w:b/>
          <w:spacing w:val="0"/>
          <w:szCs w:val="24"/>
          <w:rtl/>
        </w:rPr>
        <w:t>לדמוקרטיה</w:t>
      </w:r>
      <w:r w:rsidRPr="006C4917">
        <w:rPr>
          <w:rFonts w:hint="cs"/>
          <w:rtl/>
        </w:rPr>
        <w:t xml:space="preserve"> 11 (המכון הישראלי לדמוקרטיה, 2005)).</w:t>
      </w:r>
    </w:p>
    <w:p w:rsidR="003D7BFC" w:rsidRPr="006C4917" w:rsidRDefault="003D7BFC" w:rsidP="00104D6D">
      <w:pPr>
        <w:pStyle w:val="Ruller4"/>
        <w:numPr>
          <w:ilvl w:val="0"/>
          <w:numId w:val="0"/>
        </w:numPr>
        <w:rPr>
          <w:rtl/>
        </w:rPr>
      </w:pPr>
    </w:p>
    <w:p w:rsidR="003D7BFC" w:rsidRPr="006C4917" w:rsidRDefault="00104D6D" w:rsidP="00104D6D">
      <w:pPr>
        <w:pStyle w:val="Ruller4"/>
        <w:numPr>
          <w:ilvl w:val="0"/>
          <w:numId w:val="0"/>
        </w:numPr>
        <w:rPr>
          <w:rtl/>
        </w:rPr>
      </w:pPr>
      <w:r>
        <w:rPr>
          <w:rtl/>
        </w:rPr>
        <w:tab/>
      </w:r>
      <w:r w:rsidR="003D7BFC" w:rsidRPr="006C4917">
        <w:rPr>
          <w:rFonts w:hint="cs"/>
          <w:rtl/>
        </w:rPr>
        <w:t xml:space="preserve">[וראו גם </w:t>
      </w:r>
      <w:r w:rsidR="003D7BFC" w:rsidRPr="006C4917">
        <w:rPr>
          <w:rFonts w:hint="eastAsia"/>
          <w:rtl/>
        </w:rPr>
        <w:t>רות</w:t>
      </w:r>
      <w:r w:rsidR="003D7BFC" w:rsidRPr="006C4917">
        <w:rPr>
          <w:rtl/>
        </w:rPr>
        <w:t xml:space="preserve"> </w:t>
      </w:r>
      <w:r w:rsidR="003D7BFC" w:rsidRPr="006C4917">
        <w:rPr>
          <w:rFonts w:hint="eastAsia"/>
          <w:rtl/>
        </w:rPr>
        <w:t>גביזון</w:t>
      </w:r>
      <w:r w:rsidR="003D7BFC" w:rsidRPr="006C4917">
        <w:rPr>
          <w:rtl/>
        </w:rPr>
        <w:t xml:space="preserve"> "</w:t>
      </w:r>
      <w:r w:rsidR="003D7BFC" w:rsidRPr="006C4917">
        <w:rPr>
          <w:rFonts w:hint="eastAsia"/>
          <w:rtl/>
        </w:rPr>
        <w:t>המהפכה</w:t>
      </w:r>
      <w:r w:rsidR="003D7BFC" w:rsidRPr="006C4917">
        <w:rPr>
          <w:rtl/>
        </w:rPr>
        <w:t xml:space="preserve"> </w:t>
      </w:r>
      <w:r w:rsidR="003D7BFC" w:rsidRPr="006C4917">
        <w:rPr>
          <w:rFonts w:hint="eastAsia"/>
          <w:rtl/>
        </w:rPr>
        <w:t>החוקתית</w:t>
      </w:r>
      <w:r w:rsidR="003D7BFC" w:rsidRPr="006C4917">
        <w:rPr>
          <w:rtl/>
        </w:rPr>
        <w:t xml:space="preserve"> – </w:t>
      </w:r>
      <w:r w:rsidR="003D7BFC" w:rsidRPr="006C4917">
        <w:rPr>
          <w:rFonts w:hint="eastAsia"/>
          <w:rtl/>
        </w:rPr>
        <w:t>תיאור</w:t>
      </w:r>
      <w:r w:rsidR="003D7BFC" w:rsidRPr="006C4917">
        <w:rPr>
          <w:rtl/>
        </w:rPr>
        <w:t xml:space="preserve"> </w:t>
      </w:r>
      <w:r w:rsidR="003D7BFC" w:rsidRPr="006C4917">
        <w:rPr>
          <w:rFonts w:hint="eastAsia"/>
          <w:rtl/>
        </w:rPr>
        <w:t>המציאות</w:t>
      </w:r>
      <w:r w:rsidR="003D7BFC" w:rsidRPr="006C4917">
        <w:rPr>
          <w:rtl/>
        </w:rPr>
        <w:t xml:space="preserve"> </w:t>
      </w:r>
      <w:r w:rsidR="003D7BFC" w:rsidRPr="006C4917">
        <w:rPr>
          <w:rFonts w:hint="eastAsia"/>
          <w:rtl/>
        </w:rPr>
        <w:t>או</w:t>
      </w:r>
      <w:r w:rsidR="003D7BFC" w:rsidRPr="006C4917">
        <w:rPr>
          <w:rtl/>
        </w:rPr>
        <w:t xml:space="preserve"> </w:t>
      </w:r>
      <w:r w:rsidR="003D7BFC" w:rsidRPr="006C4917">
        <w:rPr>
          <w:rFonts w:hint="eastAsia"/>
          <w:rtl/>
        </w:rPr>
        <w:t>נבואה</w:t>
      </w:r>
      <w:r w:rsidR="003D7BFC" w:rsidRPr="006C4917">
        <w:rPr>
          <w:rtl/>
        </w:rPr>
        <w:t xml:space="preserve"> </w:t>
      </w:r>
      <w:r w:rsidR="003D7BFC" w:rsidRPr="006C4917">
        <w:rPr>
          <w:rFonts w:hint="eastAsia"/>
          <w:rtl/>
        </w:rPr>
        <w:t>המגשימה</w:t>
      </w:r>
      <w:r w:rsidR="003D7BFC" w:rsidRPr="006C4917">
        <w:rPr>
          <w:rtl/>
        </w:rPr>
        <w:t xml:space="preserve"> </w:t>
      </w:r>
      <w:r w:rsidR="003D7BFC" w:rsidRPr="006C4917">
        <w:rPr>
          <w:rFonts w:hint="eastAsia"/>
          <w:rtl/>
        </w:rPr>
        <w:t>את</w:t>
      </w:r>
      <w:r w:rsidR="003D7BFC" w:rsidRPr="006C4917">
        <w:rPr>
          <w:rtl/>
        </w:rPr>
        <w:t xml:space="preserve"> </w:t>
      </w:r>
      <w:r w:rsidR="003D7BFC" w:rsidRPr="006C4917">
        <w:rPr>
          <w:rFonts w:hint="eastAsia"/>
          <w:rtl/>
        </w:rPr>
        <w:t>עצמה</w:t>
      </w:r>
      <w:r w:rsidR="003D7BFC" w:rsidRPr="006C4917">
        <w:rPr>
          <w:rtl/>
        </w:rPr>
        <w:t xml:space="preserve">?" </w:t>
      </w:r>
      <w:r w:rsidR="003D7BFC" w:rsidRPr="006C4917">
        <w:rPr>
          <w:rFonts w:ascii="Century" w:hAnsi="Century" w:cs="Miriam" w:hint="eastAsia"/>
          <w:b/>
          <w:spacing w:val="0"/>
          <w:szCs w:val="24"/>
          <w:rtl/>
        </w:rPr>
        <w:t>משפטים</w:t>
      </w:r>
      <w:r w:rsidR="003D7BFC" w:rsidRPr="006C4917">
        <w:rPr>
          <w:rtl/>
        </w:rPr>
        <w:t xml:space="preserve"> </w:t>
      </w:r>
      <w:r w:rsidR="003D7BFC" w:rsidRPr="006C4917">
        <w:rPr>
          <w:rFonts w:hint="eastAsia"/>
          <w:rtl/>
        </w:rPr>
        <w:t>כח</w:t>
      </w:r>
      <w:r w:rsidR="003D7BFC" w:rsidRPr="006C4917">
        <w:rPr>
          <w:rtl/>
        </w:rPr>
        <w:t xml:space="preserve"> 21, </w:t>
      </w:r>
      <w:r w:rsidR="003D7BFC" w:rsidRPr="006C4917">
        <w:rPr>
          <w:rFonts w:hint="cs"/>
          <w:rtl/>
        </w:rPr>
        <w:t xml:space="preserve">29 </w:t>
      </w:r>
      <w:r w:rsidR="003D7BFC" w:rsidRPr="006C4917">
        <w:rPr>
          <w:rtl/>
        </w:rPr>
        <w:t>(1997)</w:t>
      </w:r>
      <w:r w:rsidR="003D7BFC" w:rsidRPr="006C4917">
        <w:rPr>
          <w:rFonts w:hint="cs"/>
          <w:rtl/>
        </w:rPr>
        <w:t xml:space="preserve"> (להלן: </w:t>
      </w:r>
      <w:r w:rsidR="003D7BFC" w:rsidRPr="006C4917">
        <w:rPr>
          <w:rFonts w:ascii="Century" w:hAnsi="Century" w:cs="Miriam" w:hint="cs"/>
          <w:b/>
          <w:spacing w:val="0"/>
          <w:szCs w:val="24"/>
          <w:rtl/>
        </w:rPr>
        <w:t>גביזון, המהפכה החוקתית</w:t>
      </w:r>
      <w:r w:rsidR="003D7BFC" w:rsidRPr="006C4917">
        <w:rPr>
          <w:rFonts w:hint="cs"/>
          <w:rtl/>
        </w:rPr>
        <w:t>): "</w:t>
      </w:r>
      <w:r w:rsidR="003D7BFC" w:rsidRPr="006C4917">
        <w:rPr>
          <w:rFonts w:ascii="Century" w:hAnsi="Century" w:cs="Miriam" w:hint="eastAsia"/>
          <w:b/>
          <w:spacing w:val="0"/>
          <w:szCs w:val="24"/>
          <w:rtl/>
        </w:rPr>
        <w:t>חוקה</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היא</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למעשה</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מסמך</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הקובע</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את</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כללי</w:t>
      </w:r>
      <w:r w:rsidR="003D7BFC" w:rsidRPr="006C4917">
        <w:rPr>
          <w:rFonts w:ascii="Century" w:hAnsi="Century" w:cs="Miriam"/>
          <w:b/>
          <w:spacing w:val="0"/>
          <w:szCs w:val="24"/>
          <w:rtl/>
        </w:rPr>
        <w:t>-</w:t>
      </w:r>
      <w:r w:rsidR="003D7BFC" w:rsidRPr="006C4917">
        <w:rPr>
          <w:rFonts w:ascii="Century" w:hAnsi="Century" w:cs="Miriam" w:hint="eastAsia"/>
          <w:b/>
          <w:spacing w:val="0"/>
          <w:szCs w:val="24"/>
          <w:rtl/>
        </w:rPr>
        <w:t>היסוד</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המשותפים</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לחברה</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החיה</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במסגרתה</w:t>
      </w:r>
      <w:r w:rsidR="003D7BFC" w:rsidRPr="006C4917">
        <w:rPr>
          <w:rFonts w:hint="cs"/>
          <w:rtl/>
        </w:rPr>
        <w:t>". בהמשך מבחינה פרופ' גביזון בין חוקה מטריאלית (או מהותית), המתייחסת למכלול ההסדרים הבסיסיים המגדירים את מוסדות השלטון והיחסים ביניהם, לבין חוקה פורמלית, המעגנת את כללי היסוד במסמכים חקיקתיים מובחנים. במינוח שנקטתי לעיל, המשפט החוקתי מקביל לחוקה מטריאלית והחוקה לחוקה פורמלית (שם, בעמ' 37-34)].</w:t>
      </w:r>
    </w:p>
    <w:p w:rsidR="003D7BFC" w:rsidRPr="006C4917" w:rsidRDefault="003D7BFC" w:rsidP="003D7BFC">
      <w:pPr>
        <w:pStyle w:val="Ruller41"/>
        <w:rPr>
          <w:rtl/>
        </w:rPr>
      </w:pPr>
    </w:p>
    <w:p w:rsidR="003D7BFC" w:rsidRPr="006C4917" w:rsidRDefault="003D7BFC" w:rsidP="00104D6D">
      <w:pPr>
        <w:pStyle w:val="Ruller4"/>
      </w:pPr>
      <w:r w:rsidRPr="006C4917">
        <w:rPr>
          <w:rFonts w:hint="cs"/>
          <w:rtl/>
        </w:rPr>
        <w:t>ודוק, לכל מדינה יש משפט חוקתי, אך לא לכל מדינה יש חוקה. בריטניה (</w:t>
      </w:r>
      <w:r w:rsidRPr="006C4917">
        <w:rPr>
          <w:rFonts w:asciiTheme="majorBidi" w:hAnsiTheme="majorBidi"/>
        </w:rPr>
        <w:t>United Kingdom</w:t>
      </w:r>
      <w:r w:rsidRPr="006C4917">
        <w:rPr>
          <w:rFonts w:hint="cs"/>
          <w:rtl/>
        </w:rPr>
        <w:t xml:space="preserve">) מוסיפה לשמש דוגמה בוהקת למדינה מערבית שיש לה משטר חוקתי, אך אין לה חוקה. אכן, משפט חוקתי הוא מאפיין אינהרנטי של כל מדינה </w:t>
      </w:r>
      <w:r w:rsidRPr="006C4917">
        <w:rPr>
          <w:rtl/>
        </w:rPr>
        <w:t>–</w:t>
      </w:r>
      <w:r w:rsidRPr="006C4917">
        <w:rPr>
          <w:rFonts w:hint="cs"/>
          <w:rtl/>
        </w:rPr>
        <w:t xml:space="preserve"> תכנית האב (</w:t>
      </w:r>
      <w:r w:rsidRPr="006C4917">
        <w:rPr>
          <w:rFonts w:asciiTheme="majorBidi" w:hAnsiTheme="majorBidi"/>
        </w:rPr>
        <w:t>blueprint</w:t>
      </w:r>
      <w:r w:rsidRPr="006C4917">
        <w:rPr>
          <w:rFonts w:hint="cs"/>
          <w:rtl/>
        </w:rPr>
        <w:t>) של קיומה; חוקה היא המכשיר המשפטי הנפוץ בעולם למתן ביטוי פורמלי לקווי המתאר של תכנית האב הזו, אך אין היא בגדר הכרח בלעדיו אין.</w:t>
      </w:r>
    </w:p>
    <w:p w:rsidR="003D7BFC" w:rsidRPr="006C4917" w:rsidRDefault="003D7BFC" w:rsidP="003D7BFC">
      <w:pPr>
        <w:pStyle w:val="Ruller41"/>
      </w:pPr>
    </w:p>
    <w:p w:rsidR="003D7BFC" w:rsidRPr="006C4917" w:rsidRDefault="003D7BFC" w:rsidP="00104D6D">
      <w:pPr>
        <w:pStyle w:val="Ruller4"/>
        <w:rPr>
          <w:rtl/>
        </w:rPr>
      </w:pPr>
      <w:r w:rsidRPr="006C4917">
        <w:rPr>
          <w:rFonts w:hint="cs"/>
          <w:rtl/>
        </w:rPr>
        <w:t>במרבית המדינות להן יש חוקה נוצרה החוקה כיחידה אחת בעקבות אירוע מכונן, המהווה את "כור ההיתוך החוקתי". עשרת הדיברות, חוקתו הקנונית של עם ישראל, ניתנו לנו במעמד הר סיני, טרם הכניסה לארץ ישראל, מפי הגבורה, "</w:t>
      </w:r>
      <w:r w:rsidRPr="006C4917">
        <w:rPr>
          <w:rFonts w:ascii="Century" w:hAnsi="Century" w:cs="Miriam" w:hint="eastAsia"/>
          <w:b/>
          <w:spacing w:val="0"/>
          <w:sz w:val="22"/>
          <w:szCs w:val="24"/>
          <w:rtl/>
        </w:rPr>
        <w:t>בתשואות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וקולות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וקהלה</w:t>
      </w:r>
      <w:r w:rsidRPr="006C4917">
        <w:rPr>
          <w:rFonts w:hint="cs"/>
          <w:rtl/>
        </w:rPr>
        <w:t xml:space="preserve">" (רש"י, שמות לד, ג). חוקות המדינות של ימינו, רובן ככולן, נוצרו אף הן בעקבות מאורע מכונן שניתן לכנותו "זמן חוקתי" (ייסוד המדינה; ארגונה מחדש בעקבות מלחמה או מהפכה וכדומה). בהעדר יכולת להתבסס על דברי אלוהים חיים, נשענות החוקות הללו לרוב על מהלך מיוחד המבקש לבססן על "קול העם" </w:t>
      </w:r>
      <w:r w:rsidRPr="006C4917">
        <w:rPr>
          <w:rtl/>
        </w:rPr>
        <w:t>–</w:t>
      </w:r>
      <w:r w:rsidRPr="006C4917">
        <w:rPr>
          <w:rFonts w:hint="cs"/>
          <w:rtl/>
        </w:rPr>
        <w:t xml:space="preserve"> אסיפה חוקתית, משאל עם וכן הלאה (לרעיון של "כור היתוך חוקתי" ראו </w:t>
      </w:r>
      <w:r w:rsidRPr="006C4917">
        <w:rPr>
          <w:rFonts w:asciiTheme="majorBidi" w:hAnsiTheme="majorBidi" w:cstheme="majorBidi"/>
        </w:rPr>
        <w:t xml:space="preserve">Robert Justin Lipkin, </w:t>
      </w:r>
      <w:r w:rsidRPr="006C4917">
        <w:rPr>
          <w:rFonts w:asciiTheme="majorBidi" w:hAnsiTheme="majorBidi" w:cstheme="majorBidi"/>
          <w:i/>
          <w:iCs/>
        </w:rPr>
        <w:t>The Anatomy of Constitutional Revolutions</w:t>
      </w:r>
      <w:r w:rsidRPr="006C4917">
        <w:rPr>
          <w:rFonts w:asciiTheme="majorBidi" w:hAnsiTheme="majorBidi" w:cstheme="majorBidi"/>
        </w:rPr>
        <w:t xml:space="preserve">, 68 </w:t>
      </w:r>
      <w:r w:rsidRPr="006C4917">
        <w:rPr>
          <w:rFonts w:asciiTheme="majorBidi" w:hAnsiTheme="majorBidi" w:cstheme="majorBidi"/>
          <w:smallCaps/>
        </w:rPr>
        <w:t>Neb</w:t>
      </w:r>
      <w:r w:rsidRPr="006C4917">
        <w:rPr>
          <w:rFonts w:asciiTheme="majorBidi" w:hAnsiTheme="majorBidi" w:cstheme="majorBidi"/>
        </w:rPr>
        <w:t xml:space="preserve">. </w:t>
      </w:r>
      <w:r w:rsidRPr="006C4917">
        <w:rPr>
          <w:rFonts w:asciiTheme="majorBidi" w:hAnsiTheme="majorBidi" w:cstheme="majorBidi"/>
          <w:smallCaps/>
        </w:rPr>
        <w:t>L. Rev</w:t>
      </w:r>
      <w:r w:rsidRPr="006C4917">
        <w:rPr>
          <w:rFonts w:asciiTheme="majorBidi" w:hAnsiTheme="majorBidi" w:cstheme="majorBidi"/>
        </w:rPr>
        <w:t xml:space="preserve">. 701, 737 (1989) ("Constitutional revolutions occur in the context of social, economic, and ideological upheaval"); Bruce A. Ackerman, </w:t>
      </w:r>
      <w:r w:rsidRPr="006C4917">
        <w:rPr>
          <w:rFonts w:asciiTheme="majorBidi" w:hAnsiTheme="majorBidi" w:cstheme="majorBidi"/>
          <w:i/>
          <w:iCs/>
        </w:rPr>
        <w:t>The Storrs Lectures: Discovering the Constitution</w:t>
      </w:r>
      <w:r w:rsidRPr="006C4917">
        <w:rPr>
          <w:rFonts w:asciiTheme="majorBidi" w:hAnsiTheme="majorBidi" w:cstheme="majorBidi"/>
        </w:rPr>
        <w:t xml:space="preserve">, 93 </w:t>
      </w:r>
      <w:r w:rsidRPr="006C4917">
        <w:rPr>
          <w:rFonts w:asciiTheme="majorBidi" w:hAnsiTheme="majorBidi" w:cstheme="majorBidi"/>
          <w:smallCaps/>
        </w:rPr>
        <w:t>Yale</w:t>
      </w:r>
      <w:r w:rsidRPr="006C4917">
        <w:rPr>
          <w:rFonts w:asciiTheme="majorBidi" w:hAnsiTheme="majorBidi" w:cstheme="majorBidi"/>
        </w:rPr>
        <w:t xml:space="preserve"> L.J. 1013, 1022 (1984); Jon Elster, </w:t>
      </w:r>
      <w:r w:rsidRPr="006C4917">
        <w:rPr>
          <w:rFonts w:asciiTheme="majorBidi" w:hAnsiTheme="majorBidi" w:cstheme="majorBidi"/>
          <w:i/>
          <w:iCs/>
        </w:rPr>
        <w:lastRenderedPageBreak/>
        <w:t>Forces and Mechanisms in the Constitution-Making Process</w:t>
      </w:r>
      <w:r w:rsidRPr="006C4917">
        <w:rPr>
          <w:rFonts w:asciiTheme="majorBidi" w:hAnsiTheme="majorBidi" w:cstheme="majorBidi"/>
        </w:rPr>
        <w:t xml:space="preserve">, 45 </w:t>
      </w:r>
      <w:r w:rsidRPr="006C4917">
        <w:rPr>
          <w:rFonts w:asciiTheme="majorBidi" w:hAnsiTheme="majorBidi" w:cstheme="majorBidi"/>
          <w:smallCaps/>
        </w:rPr>
        <w:t>Duke Law J.</w:t>
      </w:r>
      <w:r w:rsidRPr="006C4917">
        <w:rPr>
          <w:rFonts w:asciiTheme="majorBidi" w:hAnsiTheme="majorBidi" w:cstheme="majorBidi"/>
        </w:rPr>
        <w:t xml:space="preserve"> 364, 370-371 (1995); Bruce A. Ackerman, </w:t>
      </w:r>
      <w:r w:rsidRPr="006C4917">
        <w:rPr>
          <w:rFonts w:asciiTheme="majorBidi" w:hAnsiTheme="majorBidi" w:cstheme="majorBidi"/>
          <w:i/>
          <w:iCs/>
        </w:rPr>
        <w:t>Constitutional Politics/Constitutional Law</w:t>
      </w:r>
      <w:r w:rsidRPr="006C4917">
        <w:rPr>
          <w:rFonts w:asciiTheme="majorBidi" w:hAnsiTheme="majorBidi" w:cstheme="majorBidi"/>
        </w:rPr>
        <w:t xml:space="preserve">, 99 </w:t>
      </w:r>
      <w:r w:rsidRPr="006C4917">
        <w:rPr>
          <w:rFonts w:asciiTheme="majorBidi" w:hAnsiTheme="majorBidi" w:cstheme="majorBidi"/>
          <w:smallCaps/>
        </w:rPr>
        <w:t>Yale L.J.</w:t>
      </w:r>
      <w:r w:rsidRPr="006C4917">
        <w:rPr>
          <w:rFonts w:asciiTheme="majorBidi" w:hAnsiTheme="majorBidi" w:cstheme="majorBidi"/>
        </w:rPr>
        <w:t xml:space="preserve"> 453, 474 (1989)</w:t>
      </w:r>
      <w:r w:rsidRPr="006C4917">
        <w:rPr>
          <w:rFonts w:hint="cs"/>
          <w:rtl/>
        </w:rPr>
        <w:t>. לסקירה כללית על אודות האופן בו נוצרות חוקות ראו:</w:t>
      </w:r>
      <w:r w:rsidRPr="006C4917">
        <w:rPr>
          <w:rFonts w:asciiTheme="majorBidi" w:hAnsiTheme="majorBidi" w:cstheme="majorBidi"/>
          <w:smallCaps/>
        </w:rPr>
        <w:t>Todd Eisenstadt, A. Carl Levan, &amp; Tofigh Maboudi, Constituents Before Assembly: Participation, Deliberation, and Representation in the Crafting of New Constitutions</w:t>
      </w:r>
      <w:r w:rsidRPr="006C4917">
        <w:rPr>
          <w:rFonts w:asciiTheme="majorBidi" w:hAnsiTheme="majorBidi" w:cstheme="majorBidi"/>
        </w:rPr>
        <w:t xml:space="preserve"> (2017)</w:t>
      </w:r>
      <w:r w:rsidRPr="006C4917">
        <w:rPr>
          <w:rFonts w:hint="cs"/>
          <w:rtl/>
        </w:rPr>
        <w:t>).</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 xml:space="preserve">היווצרותה של חוקה ב"כור היתוך חוקתי" תואמת היטב את תכליותיה המרכזיות: הגדרת "כללי המשחק החוקתיים" על פיהם מתנהלים חיי המדינה. ויובהר, "כללי המשחק החוקתיים" עומדים לא רק מעל לכל אחת מרשויות המדינה, ומעל לכל אחד מהפרטים, אלא גם מעל לפוליטיקה היומיומית ולמשפט הנוהג. הן נציגי הציבור והן סוכני המשפט כפופים לחוקה, ומחויבים לפעול בהתאם להוראותיה </w:t>
      </w:r>
      <w:r w:rsidRPr="006C4917">
        <w:rPr>
          <w:rtl/>
        </w:rPr>
        <w:t>–</w:t>
      </w:r>
      <w:r w:rsidRPr="006C4917">
        <w:rPr>
          <w:rFonts w:hint="cs"/>
          <w:rtl/>
        </w:rPr>
        <w:t xml:space="preserve"> שהרי היא זו שמגדירה את כללי היסוד לחיי האומה, ומאפשרת את קיומו של שיתוף הפעולה האנושי במסגרת המדינתית.</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 xml:space="preserve">עם הקמתה של מדינת ישראל, ובהתאם לאמור בהחלטת האו"ם על הקמת המדינה (החלטה מס' 181 של עצרת האומות המאוחדות מכ"ט בנובמבר 1947), ביקשנו גם אנו לפעול </w:t>
      </w:r>
      <w:r w:rsidRPr="006C4917">
        <w:rPr>
          <w:rFonts w:hint="eastAsia"/>
          <w:rtl/>
        </w:rPr>
        <w:t>כ</w:t>
      </w:r>
      <w:r w:rsidRPr="006C4917">
        <w:rPr>
          <w:rFonts w:hint="cs"/>
          <w:rtl/>
        </w:rPr>
        <w:t xml:space="preserve">אחת </w:t>
      </w:r>
      <w:r w:rsidRPr="006C4917">
        <w:rPr>
          <w:rFonts w:hint="eastAsia"/>
          <w:rtl/>
        </w:rPr>
        <w:t>המדינות</w:t>
      </w:r>
      <w:r w:rsidRPr="006C4917">
        <w:rPr>
          <w:rFonts w:hint="cs"/>
          <w:rtl/>
        </w:rPr>
        <w:t xml:space="preserve"> המתוקנות, וליצור לעצמנו חוקה, אשר תלווה את מדינת ישראל, וזאת באמצעות "כור היתוך חקיקתי" שכונס בסמוך להקמת המדינה. כבר בהכרזה על הקמת מדינת ישראל (להלן: </w:t>
      </w:r>
      <w:r w:rsidRPr="006C4917">
        <w:rPr>
          <w:rFonts w:ascii="Century" w:hAnsi="Century" w:cs="Miriam" w:hint="cs"/>
          <w:b/>
          <w:spacing w:val="0"/>
          <w:szCs w:val="24"/>
          <w:rtl/>
        </w:rPr>
        <w:t>מגילת העצמאות</w:t>
      </w:r>
      <w:r w:rsidRPr="006C4917">
        <w:rPr>
          <w:rFonts w:hint="cs"/>
          <w:rtl/>
        </w:rPr>
        <w:t>) נאמר כי רשויות המדינה ("</w:t>
      </w:r>
      <w:r w:rsidRPr="006C4917">
        <w:rPr>
          <w:rFonts w:ascii="Century" w:hAnsi="Century" w:cs="Miriam" w:hint="cs"/>
          <w:b/>
          <w:spacing w:val="0"/>
          <w:szCs w:val="24"/>
          <w:rtl/>
        </w:rPr>
        <w:t>השלטונות הנבחרים והסדירים של המדינה</w:t>
      </w:r>
      <w:r w:rsidRPr="006C4917">
        <w:rPr>
          <w:rFonts w:hint="cs"/>
          <w:rtl/>
        </w:rPr>
        <w:t xml:space="preserve">") יוקמו </w:t>
      </w:r>
      <w:r w:rsidRPr="006C4917">
        <w:rPr>
          <w:rFonts w:ascii="Century" w:hAnsi="Century" w:cs="Miriam" w:hint="cs"/>
          <w:b/>
          <w:spacing w:val="0"/>
          <w:szCs w:val="24"/>
          <w:rtl/>
        </w:rPr>
        <w:t>"בהת</w:t>
      </w:r>
      <w:r w:rsidRPr="006C4917">
        <w:rPr>
          <w:rFonts w:ascii="Century" w:hAnsi="Century" w:cs="Miriam" w:hint="eastAsia"/>
          <w:b/>
          <w:spacing w:val="0"/>
          <w:szCs w:val="24"/>
          <w:rtl/>
        </w:rPr>
        <w:t>אם</w:t>
      </w:r>
      <w:r w:rsidRPr="006C4917">
        <w:rPr>
          <w:rFonts w:ascii="Century" w:hAnsi="Century" w:cs="Miriam" w:hint="cs"/>
          <w:b/>
          <w:spacing w:val="0"/>
          <w:szCs w:val="24"/>
          <w:rtl/>
        </w:rPr>
        <w:t xml:space="preserve"> לחוקה שתיקבע על-ידי האסיפה המכוננת הנבחרת לא יאוחר מ-1 באוקטובר 1948</w:t>
      </w:r>
      <w:r w:rsidRPr="006C4917">
        <w:rPr>
          <w:rFonts w:hint="cs"/>
          <w:rtl/>
        </w:rPr>
        <w:t>". מכאן שכוונתם המקורית של מקימי המדינה (הם חברי מועצת המדינה הזמנית) הייתה לעגן את "כללי המשחק החוקתיים" בחוקה, בלוח זמנים קצר מאד (4 חודשים וחצי) ועל ידי גוף שייבחר באופן דמוקרטי למטרה זו. דהיינו, גוף שיקיים "חשיבה חוקתית" ב"זמן חוקתי" (</w:t>
      </w:r>
      <w:r w:rsidRPr="006C4917">
        <w:rPr>
          <w:rFonts w:asciiTheme="majorBidi" w:hAnsiTheme="majorBidi" w:cstheme="majorBidi"/>
        </w:rPr>
        <w:t xml:space="preserve">Ruth Gavison, </w:t>
      </w:r>
      <w:r w:rsidRPr="006C4917">
        <w:rPr>
          <w:rFonts w:asciiTheme="majorBidi" w:hAnsiTheme="majorBidi" w:cstheme="majorBidi"/>
          <w:i/>
          <w:iCs/>
        </w:rPr>
        <w:t>The Controversy over Israel's Bill of Rights</w:t>
      </w:r>
      <w:r w:rsidRPr="006C4917">
        <w:rPr>
          <w:rFonts w:asciiTheme="majorBidi" w:hAnsiTheme="majorBidi" w:cstheme="majorBidi"/>
        </w:rPr>
        <w:t xml:space="preserve">, 15 </w:t>
      </w:r>
      <w:r w:rsidRPr="006C4917">
        <w:rPr>
          <w:rFonts w:asciiTheme="majorBidi" w:hAnsiTheme="majorBidi" w:cstheme="majorBidi"/>
          <w:smallCaps/>
        </w:rPr>
        <w:t xml:space="preserve">Isr. Y.b. Hum. Rts. </w:t>
      </w:r>
      <w:r w:rsidRPr="006C4917">
        <w:rPr>
          <w:rFonts w:asciiTheme="majorBidi" w:hAnsiTheme="majorBidi" w:cstheme="majorBidi"/>
        </w:rPr>
        <w:t>113, 117 (1985)</w:t>
      </w:r>
      <w:r w:rsidRPr="006C4917">
        <w:rPr>
          <w:rFonts w:hint="cs"/>
          <w:rtl/>
        </w:rPr>
        <w:t xml:space="preserve">; </w:t>
      </w:r>
      <w:r w:rsidRPr="006C4917">
        <w:rPr>
          <w:rFonts w:hint="eastAsia"/>
          <w:rtl/>
        </w:rPr>
        <w:t>אמנון</w:t>
      </w:r>
      <w:r w:rsidRPr="006C4917">
        <w:rPr>
          <w:rtl/>
        </w:rPr>
        <w:t xml:space="preserve"> </w:t>
      </w:r>
      <w:r w:rsidRPr="006C4917">
        <w:rPr>
          <w:rFonts w:hint="eastAsia"/>
          <w:rtl/>
        </w:rPr>
        <w:t>רובינשטיין</w:t>
      </w:r>
      <w:r w:rsidRPr="006C4917">
        <w:rPr>
          <w:rtl/>
        </w:rPr>
        <w:t xml:space="preserve"> </w:t>
      </w:r>
      <w:r w:rsidRPr="006C4917">
        <w:rPr>
          <w:rFonts w:hint="eastAsia"/>
          <w:rtl/>
        </w:rPr>
        <w:t>וברק</w:t>
      </w:r>
      <w:r w:rsidRPr="006C4917">
        <w:rPr>
          <w:rtl/>
        </w:rPr>
        <w:t xml:space="preserve"> </w:t>
      </w:r>
      <w:r w:rsidRPr="006C4917">
        <w:rPr>
          <w:rFonts w:hint="eastAsia"/>
          <w:rtl/>
        </w:rPr>
        <w:t>מדינה</w:t>
      </w:r>
      <w:r w:rsidRPr="006C4917">
        <w:rPr>
          <w:rtl/>
        </w:rPr>
        <w:t xml:space="preserve"> "</w:t>
      </w:r>
      <w:r w:rsidRPr="006C4917">
        <w:rPr>
          <w:rFonts w:hint="eastAsia"/>
          <w:rtl/>
        </w:rPr>
        <w:t>החוקה</w:t>
      </w:r>
      <w:r w:rsidRPr="006C4917">
        <w:rPr>
          <w:rtl/>
        </w:rPr>
        <w:t xml:space="preserve"> </w:t>
      </w:r>
      <w:r w:rsidRPr="006C4917">
        <w:rPr>
          <w:rFonts w:hint="eastAsia"/>
          <w:rtl/>
        </w:rPr>
        <w:t>של</w:t>
      </w:r>
      <w:r w:rsidRPr="006C4917">
        <w:rPr>
          <w:rtl/>
        </w:rPr>
        <w:t xml:space="preserve"> </w:t>
      </w:r>
      <w:r w:rsidRPr="006C4917">
        <w:rPr>
          <w:rFonts w:hint="eastAsia"/>
          <w:rtl/>
        </w:rPr>
        <w:t>מדינת</w:t>
      </w:r>
      <w:r w:rsidRPr="006C4917">
        <w:rPr>
          <w:rtl/>
        </w:rPr>
        <w:t xml:space="preserve"> </w:t>
      </w:r>
      <w:r w:rsidRPr="006C4917">
        <w:rPr>
          <w:rFonts w:hint="eastAsia"/>
          <w:rtl/>
        </w:rPr>
        <w:t>ישראל</w:t>
      </w:r>
      <w:r w:rsidRPr="006C4917">
        <w:rPr>
          <w:rtl/>
        </w:rPr>
        <w:t xml:space="preserve">" </w:t>
      </w:r>
      <w:r w:rsidRPr="006C4917">
        <w:rPr>
          <w:rFonts w:ascii="Century" w:hAnsi="Century" w:cs="Miriam" w:hint="eastAsia"/>
          <w:b/>
          <w:spacing w:val="0"/>
          <w:sz w:val="22"/>
          <w:szCs w:val="24"/>
          <w:rtl/>
        </w:rPr>
        <w:t>המשפט</w:t>
      </w:r>
      <w:r w:rsidRPr="006C4917">
        <w:rPr>
          <w:rtl/>
        </w:rPr>
        <w:t xml:space="preserve"> </w:t>
      </w:r>
      <w:r w:rsidRPr="006C4917">
        <w:rPr>
          <w:rFonts w:hint="eastAsia"/>
          <w:rtl/>
        </w:rPr>
        <w:t>כח</w:t>
      </w:r>
      <w:r w:rsidRPr="006C4917">
        <w:rPr>
          <w:rtl/>
        </w:rPr>
        <w:t xml:space="preserve"> </w:t>
      </w:r>
      <w:r w:rsidRPr="006C4917">
        <w:rPr>
          <w:rFonts w:hint="cs"/>
          <w:rtl/>
        </w:rPr>
        <w:t>219, 316</w:t>
      </w:r>
      <w:r w:rsidRPr="006C4917">
        <w:rPr>
          <w:rtl/>
        </w:rPr>
        <w:t xml:space="preserve"> (2003)</w:t>
      </w:r>
      <w:r w:rsidRPr="006C4917">
        <w:rPr>
          <w:rFonts w:hint="cs"/>
          <w:rtl/>
        </w:rPr>
        <w:t xml:space="preserve"> (להלן: </w:t>
      </w:r>
      <w:r w:rsidRPr="006C4917">
        <w:rPr>
          <w:rFonts w:ascii="Century" w:hAnsi="Century" w:cs="Miriam" w:hint="cs"/>
          <w:b/>
          <w:spacing w:val="0"/>
          <w:sz w:val="22"/>
          <w:szCs w:val="24"/>
          <w:rtl/>
        </w:rPr>
        <w:t>רובינשטיין ומדינה</w:t>
      </w:r>
      <w:r w:rsidRPr="006C4917">
        <w:rPr>
          <w:rFonts w:hint="cs"/>
          <w:rtl/>
        </w:rPr>
        <w:t>);</w:t>
      </w:r>
      <w:r w:rsidRPr="006C4917">
        <w:rPr>
          <w:rtl/>
        </w:rPr>
        <w:t xml:space="preserve"> </w:t>
      </w:r>
      <w:r w:rsidRPr="006C4917">
        <w:rPr>
          <w:rFonts w:hint="eastAsia"/>
          <w:rtl/>
        </w:rPr>
        <w:t>יצחק</w:t>
      </w:r>
      <w:r w:rsidRPr="006C4917">
        <w:rPr>
          <w:rtl/>
        </w:rPr>
        <w:t xml:space="preserve"> </w:t>
      </w:r>
      <w:r w:rsidRPr="006C4917">
        <w:rPr>
          <w:rFonts w:hint="eastAsia"/>
          <w:rtl/>
        </w:rPr>
        <w:t>אנגלרד</w:t>
      </w:r>
      <w:r w:rsidRPr="006C4917">
        <w:rPr>
          <w:rtl/>
        </w:rPr>
        <w:t xml:space="preserve"> </w:t>
      </w:r>
      <w:r w:rsidRPr="006C4917">
        <w:rPr>
          <w:rFonts w:ascii="Century" w:hAnsi="Century" w:cs="Miriam" w:hint="eastAsia"/>
          <w:b/>
          <w:spacing w:val="0"/>
          <w:sz w:val="22"/>
          <w:szCs w:val="24"/>
          <w:rtl/>
        </w:rPr>
        <w:t>מבוא</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לתורת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המשפט</w:t>
      </w:r>
      <w:r w:rsidRPr="006C4917">
        <w:rPr>
          <w:rtl/>
        </w:rPr>
        <w:t xml:space="preserve"> </w:t>
      </w:r>
      <w:r w:rsidRPr="006C4917">
        <w:rPr>
          <w:rFonts w:hint="cs"/>
          <w:rtl/>
        </w:rPr>
        <w:t xml:space="preserve">135 </w:t>
      </w:r>
      <w:r w:rsidRPr="006C4917">
        <w:rPr>
          <w:rtl/>
        </w:rPr>
        <w:t>(</w:t>
      </w:r>
      <w:r w:rsidRPr="006C4917">
        <w:rPr>
          <w:rFonts w:hint="eastAsia"/>
          <w:rtl/>
        </w:rPr>
        <w:t>מהדורה</w:t>
      </w:r>
      <w:r w:rsidRPr="006C4917">
        <w:rPr>
          <w:rtl/>
        </w:rPr>
        <w:t xml:space="preserve"> </w:t>
      </w:r>
      <w:r w:rsidRPr="006C4917">
        <w:rPr>
          <w:rFonts w:hint="eastAsia"/>
          <w:rtl/>
        </w:rPr>
        <w:t>שנייה</w:t>
      </w:r>
      <w:r w:rsidRPr="006C4917">
        <w:rPr>
          <w:rFonts w:hint="cs"/>
          <w:rtl/>
        </w:rPr>
        <w:t>,</w:t>
      </w:r>
      <w:r w:rsidRPr="006C4917">
        <w:rPr>
          <w:rtl/>
        </w:rPr>
        <w:t xml:space="preserve"> 2019)</w:t>
      </w:r>
      <w:r w:rsidRPr="006C4917">
        <w:rPr>
          <w:rFonts w:hint="cs"/>
          <w:rtl/>
        </w:rPr>
        <w:t xml:space="preserve"> (להלן: </w:t>
      </w:r>
      <w:r w:rsidRPr="006C4917">
        <w:rPr>
          <w:rFonts w:ascii="Century" w:hAnsi="Century" w:cs="Miriam" w:hint="cs"/>
          <w:b/>
          <w:spacing w:val="0"/>
          <w:sz w:val="22"/>
          <w:szCs w:val="24"/>
          <w:rtl/>
        </w:rPr>
        <w:t>אנגלרד</w:t>
      </w:r>
      <w:r w:rsidRPr="006C4917">
        <w:rPr>
          <w:rFonts w:hint="cs"/>
          <w:rtl/>
        </w:rPr>
        <w:t>)). ואכן, תוך חריגה מסוימת מלוח הזמנים שהוגדר (באופן מובן, בהינתן מלחמת העצמאות שהתחוללה עד ינואר 1949), התקיימו ביום 25.1.1949 בחירות לאסיפה המכוננת, שעיקר ייעודה היה לכונן חוקה למדינת ישראל. זה צריך היה להיות "כור ההיתוך החוקתי" של מדינת ישראל, אשר אמור היה להניב חוקה אחודה, שתעוצב על ידי גוף שנבחר למטרה זו, בשלבי ההתהוות הראשונים של המדינה.</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 xml:space="preserve">אלא, שכידוע, האסיפה המכוננת לא הגשימה את ייעודה המרכזי כ"כור ההיתוך החוקתי" של מדינת ישראל </w:t>
      </w:r>
      <w:r w:rsidRPr="006C4917">
        <w:rPr>
          <w:rtl/>
        </w:rPr>
        <w:t>–</w:t>
      </w:r>
      <w:r w:rsidRPr="006C4917">
        <w:rPr>
          <w:rFonts w:hint="cs"/>
          <w:rtl/>
        </w:rPr>
        <w:t xml:space="preserve"> ייעוד המשתקף בשם שניתן לה בראשונה. חלף זאת, היא שינתה את שמה ל"כנסת הראשונה" תוך פחות מחודש לאחר היבחרה, והתמקדה בייעוד אחר, שהוקנה לה ברגע האחרון </w:t>
      </w:r>
      <w:r w:rsidRPr="006C4917">
        <w:rPr>
          <w:rtl/>
        </w:rPr>
        <w:t>–</w:t>
      </w:r>
      <w:r w:rsidRPr="006C4917">
        <w:rPr>
          <w:rFonts w:hint="cs"/>
          <w:rtl/>
        </w:rPr>
        <w:t xml:space="preserve"> החלפת מועצת המדינה הזמנית (שהתפזרה עם בחירתה של האסיפה המכוננת) ונטילת כלל סמכויותיה, כך שהיא הפכה לרשות המחוקקת של מדינת ישראל (ראו סעיפים 1 ו-3 לפקודת המעבר לאסיפה המכוננת, התש"ט-1949; סעיף 1 לחוק המעבר, התש"ט-1949 (להלן: </w:t>
      </w:r>
      <w:r w:rsidRPr="006C4917">
        <w:rPr>
          <w:rFonts w:ascii="Century" w:hAnsi="Century" w:cs="Miriam" w:hint="eastAsia"/>
          <w:b/>
          <w:spacing w:val="0"/>
          <w:sz w:val="22"/>
          <w:szCs w:val="24"/>
          <w:rtl/>
        </w:rPr>
        <w:t>חוק</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המעבר</w:t>
      </w:r>
      <w:r w:rsidRPr="006C4917">
        <w:rPr>
          <w:rFonts w:hint="cs"/>
          <w:rtl/>
        </w:rPr>
        <w:t>)). לאחר תקופה של כשנה וחצי במהלכה לא הצליחו צירי האסיפה המכוננת (ששמם הוסב בינתיים ל"חברי כנסת". ראו סעיף 1 לחוק המעבר) לכונן חוקה מוסכמת, הם הגיעו לפשרה המכונה "החלטת הררי", מכוחה נקבע כי במקום חוקה שתינתן ב"כור ההיתוך החוקתי", "</w:t>
      </w:r>
      <w:r w:rsidRPr="006C4917">
        <w:rPr>
          <w:rFonts w:ascii="Century" w:hAnsi="Century" w:cs="Miriam"/>
          <w:b/>
          <w:spacing w:val="0"/>
          <w:szCs w:val="24"/>
          <w:rtl/>
        </w:rPr>
        <w:t>החוקה תהיה בנויה פרקים פרקים, באופן שכל אחד מהם יהווה חוק יסודי בפני עצמו. הפרקים יובאו בפני הכנסת, במידה שהוועדה תסיים את עבודתה, וכל הפרקים יחד יתאגדו לחוקת המדינה</w:t>
      </w:r>
      <w:r w:rsidRPr="006C4917">
        <w:rPr>
          <w:rFonts w:hint="cs"/>
          <w:rtl/>
        </w:rPr>
        <w:t xml:space="preserve">" (להלן: </w:t>
      </w:r>
      <w:r w:rsidRPr="006C4917">
        <w:rPr>
          <w:rFonts w:ascii="Century" w:hAnsi="Century" w:cs="Miriam" w:hint="eastAsia"/>
          <w:b/>
          <w:spacing w:val="0"/>
          <w:sz w:val="22"/>
          <w:szCs w:val="24"/>
          <w:rtl/>
        </w:rPr>
        <w:t>החלטת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הררי</w:t>
      </w:r>
      <w:r w:rsidRPr="006C4917">
        <w:rPr>
          <w:rFonts w:hint="cs"/>
          <w:rtl/>
        </w:rPr>
        <w:t>). החלטה זו התקבלה ביום 13.6.1950, לאחר "</w:t>
      </w:r>
      <w:r w:rsidRPr="006C4917">
        <w:rPr>
          <w:rFonts w:ascii="Century" w:hAnsi="Century" w:cs="Miriam" w:hint="cs"/>
          <w:b/>
          <w:spacing w:val="0"/>
          <w:sz w:val="22"/>
          <w:szCs w:val="24"/>
          <w:rtl/>
        </w:rPr>
        <w:t>ויכוח גדול שנמשך שעות</w:t>
      </w:r>
      <w:r w:rsidRPr="006C4917">
        <w:rPr>
          <w:rFonts w:hint="cs"/>
          <w:rtl/>
        </w:rPr>
        <w:t xml:space="preserve">" (פרוטוקול ישיבה 151 של הכנסת ה-1, 1719 (13.6.1950) (להלן: </w:t>
      </w:r>
      <w:r w:rsidRPr="006C4917">
        <w:rPr>
          <w:rFonts w:ascii="Century" w:hAnsi="Century" w:cs="Miriam" w:hint="cs"/>
          <w:b/>
          <w:spacing w:val="0"/>
          <w:sz w:val="22"/>
          <w:szCs w:val="24"/>
          <w:rtl/>
        </w:rPr>
        <w:t>פרוטוקול החלטת הררי</w:t>
      </w:r>
      <w:r w:rsidRPr="006C4917">
        <w:rPr>
          <w:rFonts w:hint="cs"/>
          <w:rtl/>
        </w:rPr>
        <w:t>)). בין 50 חברי הכנסת שהצביעו בעד החלטת הררי, היו כאלה שסברו כי אומנם ישנו צורך בכינון חוקה למדינת ישראל, אך זו לא הייתה העת המתאימה לכך (וראו למשל דבריו של חבר הכנסת אורי צבי גרינברג: "</w:t>
      </w:r>
      <w:r w:rsidRPr="006C4917">
        <w:rPr>
          <w:rFonts w:ascii="Century" w:hAnsi="Century" w:cs="Miriam" w:hint="cs"/>
          <w:b/>
          <w:spacing w:val="0"/>
          <w:sz w:val="22"/>
          <w:szCs w:val="24"/>
          <w:rtl/>
        </w:rPr>
        <w:t xml:space="preserve">כי לא תתכן יצירת חוקה ולא יתכן מתן חוקה מוגמרת בתנאים אלו שאנו נתונים בהם עכשיו </w:t>
      </w:r>
      <w:r w:rsidRPr="006C4917">
        <w:rPr>
          <w:rFonts w:ascii="Century" w:hAnsi="Century"/>
          <w:sz w:val="22"/>
          <w:rtl/>
        </w:rPr>
        <w:t>[...]</w:t>
      </w:r>
      <w:r w:rsidRPr="006C4917">
        <w:rPr>
          <w:rFonts w:ascii="Century" w:hAnsi="Century" w:cs="Miriam" w:hint="cs"/>
          <w:b/>
          <w:spacing w:val="0"/>
          <w:sz w:val="22"/>
          <w:szCs w:val="24"/>
          <w:rtl/>
        </w:rPr>
        <w:t xml:space="preserve"> כל זמן קיום הבית הזה בוערת האדמה מתחתינו</w:t>
      </w:r>
      <w:r w:rsidRPr="006C4917">
        <w:rPr>
          <w:rFonts w:hint="cs"/>
          <w:rtl/>
        </w:rPr>
        <w:t xml:space="preserve"> [...] </w:t>
      </w:r>
      <w:r w:rsidRPr="006C4917">
        <w:rPr>
          <w:rFonts w:ascii="Century" w:hAnsi="Century" w:cs="Miriam" w:hint="eastAsia"/>
          <w:b/>
          <w:spacing w:val="0"/>
          <w:sz w:val="22"/>
          <w:szCs w:val="24"/>
          <w:rtl/>
        </w:rPr>
        <w:t>ובאשר</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לעצם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הטעם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של</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מתן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חוקה</w:t>
      </w:r>
      <w:r w:rsidRPr="006C4917">
        <w:rPr>
          <w:rFonts w:ascii="Century" w:hAnsi="Century" w:cs="Miriam"/>
          <w:b/>
          <w:spacing w:val="0"/>
          <w:sz w:val="22"/>
          <w:szCs w:val="24"/>
          <w:rtl/>
        </w:rPr>
        <w:t xml:space="preserve">: </w:t>
      </w:r>
      <w:r w:rsidRPr="006C4917">
        <w:rPr>
          <w:rFonts w:ascii="Century" w:hAnsi="Century" w:cs="Miriam" w:hint="cs"/>
          <w:b/>
          <w:spacing w:val="0"/>
          <w:sz w:val="22"/>
          <w:szCs w:val="24"/>
          <w:rtl/>
        </w:rPr>
        <w:t>בקלות-דעת זו שאנו מוציאים לאור</w:t>
      </w:r>
      <w:r w:rsidRPr="006C4917">
        <w:rPr>
          <w:rFonts w:hint="cs"/>
          <w:rtl/>
        </w:rPr>
        <w:t xml:space="preserve"> [...] </w:t>
      </w:r>
      <w:r w:rsidRPr="006C4917">
        <w:rPr>
          <w:rFonts w:ascii="Century" w:hAnsi="Century" w:cs="Miriam" w:hint="cs"/>
          <w:b/>
          <w:spacing w:val="0"/>
          <w:sz w:val="22"/>
          <w:szCs w:val="24"/>
          <w:rtl/>
        </w:rPr>
        <w:t>הגדות לפסח בנוסח לוקאלי כיתתי, הרי אי-אפשר לגשת ליצור חוקה למדינה של עם-ישראל הגדול</w:t>
      </w:r>
      <w:r w:rsidRPr="006C4917">
        <w:rPr>
          <w:rFonts w:hint="cs"/>
          <w:rtl/>
        </w:rPr>
        <w:t>". פרוטוקול החלטת הררי, בעמ' 1718). מנגד, בין 39 חברי הכנסת שהתנגדו להחלטה, היו כאלה שהתרעמו על "</w:t>
      </w:r>
      <w:r w:rsidRPr="006C4917">
        <w:rPr>
          <w:rFonts w:ascii="Century" w:hAnsi="Century" w:cs="Miriam" w:hint="cs"/>
          <w:b/>
          <w:spacing w:val="0"/>
          <w:sz w:val="22"/>
          <w:szCs w:val="24"/>
          <w:rtl/>
        </w:rPr>
        <w:t>התחמקותה</w:t>
      </w:r>
      <w:r w:rsidRPr="006C4917">
        <w:rPr>
          <w:rFonts w:hint="cs"/>
          <w:rtl/>
        </w:rPr>
        <w:t>" של הכנסת הראשונה מהתפקיד העיקרי שהוטל עליה (שם, בעמ' 1721) ועל הזנת הציבור ב"</w:t>
      </w:r>
      <w:r w:rsidRPr="006C4917">
        <w:rPr>
          <w:rFonts w:ascii="Century" w:hAnsi="Century" w:cs="Miriam" w:hint="cs"/>
          <w:b/>
          <w:spacing w:val="0"/>
          <w:sz w:val="22"/>
          <w:szCs w:val="24"/>
          <w:rtl/>
        </w:rPr>
        <w:t>פירורי חוקה</w:t>
      </w:r>
      <w:r w:rsidRPr="006C4917">
        <w:rPr>
          <w:rFonts w:hint="cs"/>
          <w:rtl/>
        </w:rPr>
        <w:t>" (כלשונו של חבר הכנסת משה סנה. שם, בעמ' 1722). אכן, רבות נכתב על כישלונה של האסיפה המכוננת בכינון חוקה, ועל המניעים והאינטרסים השונים שעמדו בבסיסו ובבסיסה של החלטת הררי (ראו, למשל: אמנון רובינשטיין ורענן הר-זהב "חוק-יסוד: הכנסת</w:t>
      </w:r>
      <w:r w:rsidRPr="006C4917">
        <w:rPr>
          <w:rFonts w:ascii="Century" w:hAnsi="Century" w:hint="cs"/>
          <w:sz w:val="22"/>
          <w:rtl/>
        </w:rPr>
        <w:t>"</w:t>
      </w:r>
      <w:r w:rsidRPr="006C4917">
        <w:rPr>
          <w:rFonts w:ascii="Century" w:hAnsi="Century" w:cs="Miriam" w:hint="cs"/>
          <w:b/>
          <w:spacing w:val="0"/>
          <w:sz w:val="22"/>
          <w:szCs w:val="24"/>
          <w:rtl/>
        </w:rPr>
        <w:t xml:space="preserve"> פירוש לחוקי היסוד</w:t>
      </w:r>
      <w:r w:rsidRPr="006C4917">
        <w:rPr>
          <w:rFonts w:hint="cs"/>
          <w:rtl/>
        </w:rPr>
        <w:t xml:space="preserve"> 12 (יצחק זמיר עורך, 1993); יוסף ויילר ודורין לוסטיג "מקום טוב באמצע: מבט תלוי הקשר על המהפכה החוקתית בישראל" </w:t>
      </w:r>
      <w:r w:rsidRPr="006C4917">
        <w:rPr>
          <w:rFonts w:ascii="Century" w:hAnsi="Century" w:cs="Miriam" w:hint="eastAsia"/>
          <w:b/>
          <w:spacing w:val="0"/>
          <w:sz w:val="22"/>
          <w:szCs w:val="24"/>
          <w:rtl/>
        </w:rPr>
        <w:t>עיוני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משפט</w:t>
      </w:r>
      <w:r w:rsidRPr="006C4917">
        <w:rPr>
          <w:rFonts w:hint="cs"/>
          <w:rtl/>
        </w:rPr>
        <w:t xml:space="preserve"> לח 419, 467-463 (2016) (להלן</w:t>
      </w:r>
      <w:r w:rsidRPr="006C4917">
        <w:rPr>
          <w:rFonts w:ascii="Century" w:hAnsi="Century" w:cs="Miriam" w:hint="cs"/>
          <w:b/>
          <w:spacing w:val="0"/>
          <w:sz w:val="22"/>
          <w:szCs w:val="24"/>
          <w:rtl/>
        </w:rPr>
        <w:t>: ויילר ולוסטיג, מקום טוב באמצע</w:t>
      </w:r>
      <w:r w:rsidRPr="006C4917">
        <w:rPr>
          <w:rFonts w:hint="cs"/>
          <w:rtl/>
        </w:rPr>
        <w:t xml:space="preserve">); דניאל פרידמן </w:t>
      </w:r>
      <w:r w:rsidRPr="006C4917">
        <w:rPr>
          <w:rFonts w:ascii="Century" w:hAnsi="Century" w:cs="Miriam" w:hint="cs"/>
          <w:b/>
          <w:spacing w:val="0"/>
          <w:sz w:val="22"/>
          <w:szCs w:val="24"/>
          <w:rtl/>
        </w:rPr>
        <w:t xml:space="preserve">קץ התמימות </w:t>
      </w:r>
      <w:r w:rsidRPr="006C4917">
        <w:rPr>
          <w:rFonts w:ascii="Century" w:hAnsi="Century" w:cs="Miriam"/>
          <w:b/>
          <w:spacing w:val="0"/>
          <w:sz w:val="22"/>
          <w:szCs w:val="24"/>
          <w:rtl/>
        </w:rPr>
        <w:t>–</w:t>
      </w:r>
      <w:r w:rsidRPr="006C4917">
        <w:rPr>
          <w:rFonts w:ascii="Century" w:hAnsi="Century" w:cs="Miriam" w:hint="cs"/>
          <w:b/>
          <w:spacing w:val="0"/>
          <w:sz w:val="22"/>
          <w:szCs w:val="24"/>
          <w:rtl/>
        </w:rPr>
        <w:t xml:space="preserve"> משפט</w:t>
      </w:r>
      <w:r w:rsidRPr="006C4917">
        <w:rPr>
          <w:rFonts w:hint="cs"/>
          <w:rtl/>
        </w:rPr>
        <w:t xml:space="preserve"> </w:t>
      </w:r>
      <w:r w:rsidRPr="006C4917">
        <w:rPr>
          <w:rFonts w:ascii="Century" w:hAnsi="Century" w:cs="Miriam" w:hint="cs"/>
          <w:b/>
          <w:spacing w:val="0"/>
          <w:sz w:val="22"/>
          <w:szCs w:val="24"/>
          <w:rtl/>
        </w:rPr>
        <w:t>ושלטון בישראל</w:t>
      </w:r>
      <w:r w:rsidRPr="006C4917">
        <w:rPr>
          <w:rFonts w:hint="cs"/>
          <w:rtl/>
        </w:rPr>
        <w:t xml:space="preserve"> 157-149 (2019) (להלן: </w:t>
      </w:r>
      <w:r w:rsidRPr="006C4917">
        <w:rPr>
          <w:rFonts w:ascii="Century" w:hAnsi="Century" w:cs="Miriam" w:hint="cs"/>
          <w:b/>
          <w:spacing w:val="0"/>
          <w:sz w:val="22"/>
          <w:szCs w:val="24"/>
          <w:rtl/>
        </w:rPr>
        <w:t>פרידמן</w:t>
      </w:r>
      <w:r w:rsidRPr="006C4917">
        <w:rPr>
          <w:rFonts w:hint="cs"/>
          <w:rtl/>
        </w:rPr>
        <w:t>)), ואין זה המקום להרחיב עליהם. העיקר לדיוננו הוא כי בסופו של דבר החלטת הררי התקבלה, ועל פיה המשיך, מאז ועד היום, מפעל החוקה של מדינת ישראל.</w:t>
      </w:r>
    </w:p>
    <w:p w:rsidR="003D7BFC" w:rsidRPr="006C4917" w:rsidRDefault="003D7BFC" w:rsidP="003D7BFC">
      <w:pPr>
        <w:pStyle w:val="Ruller41"/>
        <w:rPr>
          <w:rtl/>
        </w:rPr>
      </w:pPr>
    </w:p>
    <w:p w:rsidR="003D7BFC" w:rsidRPr="006C4917" w:rsidRDefault="003D7BFC" w:rsidP="003D7BFC">
      <w:pPr>
        <w:pStyle w:val="Ruller4"/>
        <w:rPr>
          <w:rtl/>
        </w:rPr>
      </w:pPr>
      <w:r w:rsidRPr="006C4917">
        <w:rPr>
          <w:rFonts w:hint="cs"/>
          <w:rtl/>
        </w:rPr>
        <w:lastRenderedPageBreak/>
        <w:t xml:space="preserve">החלטת הררי שינתה את פניו של המפעל החוקתי הישראלי (ראו ויילר ולוסטיג </w:t>
      </w:r>
      <w:r w:rsidRPr="006C4917">
        <w:rPr>
          <w:rFonts w:ascii="Century" w:hAnsi="Century" w:cs="Miriam" w:hint="cs"/>
          <w:b/>
          <w:spacing w:val="0"/>
          <w:sz w:val="22"/>
          <w:szCs w:val="24"/>
          <w:rtl/>
        </w:rPr>
        <w:t>מקום טוב באמצע</w:t>
      </w:r>
      <w:r w:rsidRPr="006C4917">
        <w:rPr>
          <w:rFonts w:hint="cs"/>
          <w:rtl/>
        </w:rPr>
        <w:t>, בעמ' 470), והפכה אותו להמצאה ישראלית מקורית, קונץ-פטנט אשר למיטב ידיעתי אין לו אח ורע ברחבי העולם (אם כי יש מי שראה קווי דמיון בין הסיפור החוקתי הישראלי לבין הסיפורים החוקתיים של הודו או של אירלנד, אשר אימצו "אסטרטגיות חוקתיות תוספתיות" (</w:t>
      </w:r>
      <w:r w:rsidRPr="006C4917">
        <w:rPr>
          <w:rFonts w:asciiTheme="majorBidi" w:hAnsiTheme="majorBidi" w:cstheme="majorBidi"/>
        </w:rPr>
        <w:t>"incrementalist constitutional strategies"</w:t>
      </w:r>
      <w:r w:rsidRPr="006C4917">
        <w:rPr>
          <w:rFonts w:hint="cs"/>
          <w:rtl/>
        </w:rPr>
        <w:t xml:space="preserve">). ראו: </w:t>
      </w:r>
      <w:r w:rsidRPr="006C4917">
        <w:rPr>
          <w:rFonts w:asciiTheme="majorBidi" w:hAnsiTheme="majorBidi" w:cstheme="majorBidi"/>
        </w:rPr>
        <w:t xml:space="preserve">Hanna Lerner, </w:t>
      </w:r>
      <w:r w:rsidRPr="006C4917">
        <w:rPr>
          <w:rFonts w:asciiTheme="majorBidi" w:hAnsiTheme="majorBidi" w:cstheme="majorBidi"/>
          <w:i/>
          <w:iCs/>
        </w:rPr>
        <w:t>Constitution-writing in deeply divided societies: the incrementalist approach</w:t>
      </w:r>
      <w:r w:rsidRPr="006C4917">
        <w:rPr>
          <w:rFonts w:asciiTheme="majorBidi" w:hAnsiTheme="majorBidi" w:cstheme="majorBidi"/>
        </w:rPr>
        <w:t xml:space="preserve">, </w:t>
      </w:r>
      <w:r w:rsidRPr="006C4917">
        <w:rPr>
          <w:rFonts w:asciiTheme="majorBidi" w:hAnsiTheme="majorBidi" w:cstheme="majorBidi"/>
          <w:smallCaps/>
        </w:rPr>
        <w:t xml:space="preserve">Nations &amp; Nationalism </w:t>
      </w:r>
      <w:r w:rsidRPr="006C4917">
        <w:rPr>
          <w:rFonts w:asciiTheme="majorBidi" w:hAnsiTheme="majorBidi" w:cstheme="majorBidi"/>
        </w:rPr>
        <w:t>16(1) 68, 74 (2010)</w:t>
      </w:r>
      <w:r w:rsidRPr="006C4917">
        <w:rPr>
          <w:rFonts w:hint="cs"/>
          <w:rtl/>
        </w:rPr>
        <w:t xml:space="preserve">). במקום חוקה הניתנת כמקשה אחת בעקבות "כור היתוך חוקתי", הכלי המשפטי המגלם את המשפט החוקתי הישראלי מזה כ-70 שנים הוא בגדר "חוקה בהתהוות". ודוק, חוקות רבות אינן כוללות התייחסות למכלול היבטיו של המשפט החוקתי, ואף לא לכל היבטיו המרכזיים (להשוואה בין חוקות העולם בהיבטים שונים ומגוונים ראו </w:t>
      </w:r>
      <w:r w:rsidRPr="006C4917">
        <w:rPr>
          <w:rFonts w:asciiTheme="majorBidi" w:hAnsiTheme="majorBidi" w:cstheme="majorBidi"/>
          <w:smallCaps/>
          <w:szCs w:val="24"/>
        </w:rPr>
        <w:t>Tom Ginsburg &amp; Rosalind, Dixon Comparative Constitutional Law</w:t>
      </w:r>
      <w:r w:rsidRPr="006C4917">
        <w:rPr>
          <w:rFonts w:asciiTheme="majorBidi" w:hAnsiTheme="majorBidi" w:cstheme="majorBidi"/>
          <w:szCs w:val="24"/>
        </w:rPr>
        <w:t xml:space="preserve"> (2011)</w:t>
      </w:r>
      <w:r w:rsidRPr="006C4917">
        <w:rPr>
          <w:rFonts w:asciiTheme="majorBidi" w:hAnsiTheme="majorBidi" w:cstheme="majorBidi"/>
          <w:szCs w:val="24"/>
          <w:rtl/>
        </w:rPr>
        <w:t>).</w:t>
      </w:r>
      <w:r w:rsidRPr="006C4917">
        <w:rPr>
          <w:rFonts w:hint="cs"/>
          <w:rtl/>
        </w:rPr>
        <w:t xml:space="preserve"> בכך אין רבותא. ייחודה של מדינת ישראל, ולא לטובה, אינו בכך שחוקתה חלקית ואינה מושלמת, אלא בכך שמלאכת הכנת החוקה מתמשכת ואינה נשלמת. לא זו אף זו, למעט הקביעה מי הגוף האחראי על יצירת חוקי היסוד שירכיבו את חוקת ישראל (הוא כנסת ישראל על פי הסמכות שהועברה לה מכוח סעיפים 5, 9 ו-10 לחוק המעבר לכנסת השניה, התשי"א-1951), לא הוגדר בהחלטת הררי המתווה שעל פיו אותו גוף נדרש לפעול, ובכלל זה האופן בו יש לחוקק את חוקי היסוד, לתקנם או לשנותם (לביקורת על הערפול המאפיין את החלטת הררי, בפרט ביחס למנגנון האכיפה של חוקי יסוד ראו </w:t>
      </w:r>
      <w:r w:rsidRPr="006C4917">
        <w:rPr>
          <w:rFonts w:hint="eastAsia"/>
          <w:rtl/>
        </w:rPr>
        <w:t>בנימין</w:t>
      </w:r>
      <w:r w:rsidRPr="006C4917">
        <w:rPr>
          <w:rtl/>
        </w:rPr>
        <w:t xml:space="preserve"> </w:t>
      </w:r>
      <w:r w:rsidRPr="006C4917">
        <w:rPr>
          <w:rFonts w:hint="eastAsia"/>
          <w:rtl/>
        </w:rPr>
        <w:t>אקצין</w:t>
      </w:r>
      <w:r w:rsidRPr="006C4917">
        <w:rPr>
          <w:rtl/>
        </w:rPr>
        <w:t xml:space="preserve"> "</w:t>
      </w:r>
      <w:r w:rsidRPr="006C4917">
        <w:rPr>
          <w:rFonts w:hint="eastAsia"/>
          <w:rtl/>
        </w:rPr>
        <w:t>חוקי</w:t>
      </w:r>
      <w:r w:rsidRPr="006C4917">
        <w:rPr>
          <w:rtl/>
        </w:rPr>
        <w:t>-</w:t>
      </w:r>
      <w:r w:rsidRPr="006C4917">
        <w:rPr>
          <w:rFonts w:hint="eastAsia"/>
          <w:rtl/>
        </w:rPr>
        <w:t>יסוד</w:t>
      </w:r>
      <w:r w:rsidRPr="006C4917">
        <w:rPr>
          <w:rtl/>
        </w:rPr>
        <w:t xml:space="preserve"> </w:t>
      </w:r>
      <w:r w:rsidRPr="006C4917">
        <w:rPr>
          <w:rFonts w:hint="eastAsia"/>
          <w:rtl/>
        </w:rPr>
        <w:t>וחוקים</w:t>
      </w:r>
      <w:r w:rsidRPr="006C4917">
        <w:rPr>
          <w:rtl/>
        </w:rPr>
        <w:t xml:space="preserve"> </w:t>
      </w:r>
      <w:r w:rsidRPr="006C4917">
        <w:rPr>
          <w:rFonts w:hint="eastAsia"/>
          <w:rtl/>
        </w:rPr>
        <w:t>משוריינים</w:t>
      </w:r>
      <w:r w:rsidRPr="006C4917">
        <w:rPr>
          <w:rtl/>
        </w:rPr>
        <w:t xml:space="preserve"> </w:t>
      </w:r>
      <w:r w:rsidRPr="006C4917">
        <w:rPr>
          <w:rFonts w:hint="eastAsia"/>
          <w:rtl/>
        </w:rPr>
        <w:t>בישראל</w:t>
      </w:r>
      <w:r w:rsidRPr="006C4917">
        <w:rPr>
          <w:rtl/>
        </w:rPr>
        <w:t xml:space="preserve">" </w:t>
      </w:r>
      <w:r w:rsidRPr="006C4917">
        <w:rPr>
          <w:rFonts w:ascii="Century" w:hAnsi="Century" w:cs="Miriam" w:hint="eastAsia"/>
          <w:b/>
          <w:spacing w:val="0"/>
          <w:sz w:val="22"/>
          <w:szCs w:val="24"/>
          <w:rtl/>
        </w:rPr>
        <w:t>הפרקליט</w:t>
      </w:r>
      <w:r w:rsidRPr="006C4917">
        <w:rPr>
          <w:rtl/>
        </w:rPr>
        <w:t xml:space="preserve"> </w:t>
      </w:r>
      <w:r w:rsidRPr="006C4917">
        <w:rPr>
          <w:rFonts w:hint="eastAsia"/>
          <w:rtl/>
        </w:rPr>
        <w:t>יז</w:t>
      </w:r>
      <w:r w:rsidRPr="006C4917">
        <w:rPr>
          <w:rtl/>
        </w:rPr>
        <w:t xml:space="preserve"> 230, 233-232 (1960)</w:t>
      </w:r>
      <w:r w:rsidRPr="006C4917">
        <w:rPr>
          <w:rFonts w:hint="cs"/>
          <w:rtl/>
        </w:rPr>
        <w:t xml:space="preserve">; גביזון, </w:t>
      </w:r>
      <w:r w:rsidRPr="006C4917">
        <w:rPr>
          <w:rFonts w:ascii="Century" w:hAnsi="Century" w:cs="Miriam" w:hint="eastAsia"/>
          <w:b/>
          <w:spacing w:val="0"/>
          <w:sz w:val="22"/>
          <w:szCs w:val="24"/>
          <w:rtl/>
        </w:rPr>
        <w:t>המהפכה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החוקתית</w:t>
      </w:r>
      <w:r w:rsidRPr="006C4917">
        <w:rPr>
          <w:rFonts w:hint="cs"/>
          <w:rtl/>
        </w:rPr>
        <w:t>, בעמ' 76, 78).</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 xml:space="preserve">האמת חייבת להיאמר </w:t>
      </w:r>
      <w:r w:rsidRPr="006C4917">
        <w:rPr>
          <w:rtl/>
        </w:rPr>
        <w:t>–</w:t>
      </w:r>
      <w:r w:rsidRPr="006C4917">
        <w:rPr>
          <w:rFonts w:hint="cs"/>
          <w:rtl/>
        </w:rPr>
        <w:t xml:space="preserve"> ניתן להטיל ספק בעצם סמכותה של האסיפה המכוננת לקבל את החלטת הררי, שהרי היא, ורק היא, נבחרה על מנת לכונן חוקה, ואילו דעתו של הציבור לא נתבקשה ביחס להחלטת הררי. ניתן גם להטיל ספק בכך שפרשנותה הנכונה של החלטת הררי היא להסמיך כנסות עתידיות לכונן חוקה או כי חוקי היסוד יהיו בעל תוקף מחייב כשל חוקה קודם "שיתאגדו לחוקת המדינה" (כך, למשל, עמדתו של השופט </w:t>
      </w:r>
      <w:r w:rsidRPr="006C4917">
        <w:rPr>
          <w:rFonts w:ascii="Century" w:hAnsi="Century" w:cs="Miriam" w:hint="cs"/>
          <w:b/>
          <w:spacing w:val="0"/>
          <w:sz w:val="22"/>
          <w:szCs w:val="24"/>
          <w:rtl/>
        </w:rPr>
        <w:t>מישאל חשין</w:t>
      </w:r>
      <w:r w:rsidRPr="006C4917">
        <w:rPr>
          <w:rFonts w:hint="cs"/>
          <w:rtl/>
        </w:rPr>
        <w:t xml:space="preserve">, הייתה כי גם אם לאסיפה המכוננת ניתנה הסמכות לכונן חוקה, היא לא יכלה להעבירה לכנסות אחרות. ראו </w:t>
      </w:r>
      <w:r w:rsidRPr="006C4917">
        <w:rPr>
          <w:rFonts w:hint="eastAsia"/>
          <w:rtl/>
        </w:rPr>
        <w:t>ע</w:t>
      </w:r>
      <w:r w:rsidRPr="006C4917">
        <w:rPr>
          <w:rtl/>
        </w:rPr>
        <w:t>"</w:t>
      </w:r>
      <w:r w:rsidRPr="006C4917">
        <w:rPr>
          <w:rFonts w:hint="eastAsia"/>
          <w:rtl/>
        </w:rPr>
        <w:t>א</w:t>
      </w:r>
      <w:r w:rsidRPr="006C4917">
        <w:rPr>
          <w:rtl/>
        </w:rPr>
        <w:t xml:space="preserve"> 6821/93 </w:t>
      </w:r>
      <w:r w:rsidRPr="006C4917">
        <w:rPr>
          <w:rFonts w:ascii="Century" w:hAnsi="Century" w:cs="Miriam" w:hint="eastAsia"/>
          <w:b/>
          <w:spacing w:val="0"/>
          <w:sz w:val="22"/>
          <w:szCs w:val="24"/>
          <w:rtl/>
        </w:rPr>
        <w:t>בנק</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המזרחי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המאוחד</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בע</w:t>
      </w:r>
      <w:r w:rsidRPr="006C4917">
        <w:rPr>
          <w:rFonts w:ascii="Century" w:hAnsi="Century" w:cs="Miriam"/>
          <w:b/>
          <w:spacing w:val="0"/>
          <w:sz w:val="22"/>
          <w:szCs w:val="24"/>
          <w:rtl/>
        </w:rPr>
        <w:t>"</w:t>
      </w:r>
      <w:r w:rsidRPr="006C4917">
        <w:rPr>
          <w:rFonts w:ascii="Century" w:hAnsi="Century" w:cs="Miriam" w:hint="eastAsia"/>
          <w:b/>
          <w:spacing w:val="0"/>
          <w:sz w:val="22"/>
          <w:szCs w:val="24"/>
          <w:rtl/>
        </w:rPr>
        <w:t>מ</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מגדל</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כפר</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שיתופי</w:t>
      </w:r>
      <w:r w:rsidRPr="006C4917">
        <w:rPr>
          <w:rtl/>
        </w:rPr>
        <w:t xml:space="preserve">, </w:t>
      </w:r>
      <w:r w:rsidRPr="006C4917">
        <w:rPr>
          <w:rFonts w:hint="cs"/>
          <w:rtl/>
        </w:rPr>
        <w:t xml:space="preserve">פ"ד </w:t>
      </w:r>
      <w:r w:rsidRPr="006C4917">
        <w:rPr>
          <w:rFonts w:hint="eastAsia"/>
          <w:rtl/>
        </w:rPr>
        <w:t>מט</w:t>
      </w:r>
      <w:r w:rsidRPr="006C4917">
        <w:rPr>
          <w:rtl/>
        </w:rPr>
        <w:t>(4) 221</w:t>
      </w:r>
      <w:r w:rsidRPr="006C4917">
        <w:rPr>
          <w:rFonts w:hint="cs"/>
          <w:rtl/>
        </w:rPr>
        <w:t xml:space="preserve">, 475-474, 487-486, 492 </w:t>
      </w:r>
      <w:r w:rsidRPr="006C4917">
        <w:rPr>
          <w:rtl/>
        </w:rPr>
        <w:t>(1995)</w:t>
      </w:r>
      <w:r w:rsidRPr="006C4917">
        <w:rPr>
          <w:rFonts w:hint="cs"/>
          <w:rtl/>
        </w:rPr>
        <w:t xml:space="preserve"> (להלן: </w:t>
      </w:r>
      <w:r w:rsidRPr="006C4917">
        <w:rPr>
          <w:rFonts w:ascii="Century" w:hAnsi="Century" w:cs="Miriam" w:hint="cs"/>
          <w:b/>
          <w:spacing w:val="0"/>
          <w:sz w:val="22"/>
          <w:szCs w:val="24"/>
          <w:rtl/>
        </w:rPr>
        <w:t>עניין בנק המזרחי</w:t>
      </w:r>
      <w:r w:rsidRPr="006C4917">
        <w:rPr>
          <w:rFonts w:hint="cs"/>
          <w:rtl/>
        </w:rPr>
        <w:t xml:space="preserve">). כן ראו </w:t>
      </w:r>
      <w:r w:rsidRPr="006C4917">
        <w:rPr>
          <w:rFonts w:ascii="Century" w:hAnsi="Century" w:hint="eastAsia"/>
          <w:sz w:val="22"/>
          <w:rtl/>
        </w:rPr>
        <w:t>גביזון</w:t>
      </w:r>
      <w:r w:rsidRPr="006C4917">
        <w:rPr>
          <w:rFonts w:ascii="Century" w:hAnsi="Century" w:hint="cs"/>
          <w:sz w:val="22"/>
          <w:rtl/>
        </w:rPr>
        <w:t>,</w:t>
      </w:r>
      <w:r w:rsidRPr="006C4917">
        <w:rPr>
          <w:rFonts w:ascii="Century" w:hAnsi="Century" w:cs="Miriam"/>
          <w:b/>
          <w:spacing w:val="0"/>
          <w:sz w:val="22"/>
          <w:szCs w:val="24"/>
          <w:rtl/>
        </w:rPr>
        <w:t xml:space="preserve"> </w:t>
      </w:r>
      <w:r w:rsidRPr="006C4917">
        <w:rPr>
          <w:rFonts w:ascii="Century" w:hAnsi="Century" w:cs="Miriam" w:hint="cs"/>
          <w:b/>
          <w:spacing w:val="0"/>
          <w:sz w:val="22"/>
          <w:szCs w:val="24"/>
          <w:rtl/>
        </w:rPr>
        <w:t>המהפכה החוקתית</w:t>
      </w:r>
      <w:r w:rsidRPr="006C4917">
        <w:rPr>
          <w:rFonts w:hint="cs"/>
          <w:rtl/>
        </w:rPr>
        <w:t xml:space="preserve">, בעמ' 66 ה"ש 96. פרופ' גביזון אף סברה כי בעקבות החלטת הררי הוחמצה ההזדמנות ההיסטורית היחידה שבה ניתן היה לחוקק חוקה: </w:t>
      </w:r>
      <w:r w:rsidRPr="006C4917">
        <w:rPr>
          <w:rFonts w:hint="eastAsia"/>
          <w:rtl/>
        </w:rPr>
        <w:t>רות</w:t>
      </w:r>
      <w:r w:rsidRPr="006C4917">
        <w:rPr>
          <w:rtl/>
        </w:rPr>
        <w:t xml:space="preserve"> </w:t>
      </w:r>
      <w:r w:rsidRPr="006C4917">
        <w:rPr>
          <w:rFonts w:hint="eastAsia"/>
          <w:rtl/>
        </w:rPr>
        <w:t>גביזון</w:t>
      </w:r>
      <w:r w:rsidRPr="006C4917">
        <w:rPr>
          <w:rtl/>
        </w:rPr>
        <w:t xml:space="preserve"> "</w:t>
      </w:r>
      <w:r w:rsidRPr="006C4917">
        <w:rPr>
          <w:rFonts w:hint="eastAsia"/>
          <w:rtl/>
        </w:rPr>
        <w:t>ארבעים</w:t>
      </w:r>
      <w:r w:rsidRPr="006C4917">
        <w:rPr>
          <w:rtl/>
        </w:rPr>
        <w:t xml:space="preserve"> </w:t>
      </w:r>
      <w:r w:rsidRPr="006C4917">
        <w:rPr>
          <w:rFonts w:hint="eastAsia"/>
          <w:rtl/>
        </w:rPr>
        <w:t>שנה</w:t>
      </w:r>
      <w:r w:rsidRPr="006C4917">
        <w:rPr>
          <w:rtl/>
        </w:rPr>
        <w:t xml:space="preserve"> </w:t>
      </w:r>
      <w:r w:rsidRPr="006C4917">
        <w:rPr>
          <w:rFonts w:hint="eastAsia"/>
          <w:rtl/>
        </w:rPr>
        <w:t>למשפט</w:t>
      </w:r>
      <w:r w:rsidRPr="006C4917">
        <w:rPr>
          <w:rtl/>
        </w:rPr>
        <w:t xml:space="preserve"> </w:t>
      </w:r>
      <w:r w:rsidRPr="006C4917">
        <w:rPr>
          <w:rFonts w:hint="eastAsia"/>
          <w:rtl/>
        </w:rPr>
        <w:t>החוקתי</w:t>
      </w:r>
      <w:r w:rsidRPr="006C4917">
        <w:rPr>
          <w:rtl/>
        </w:rPr>
        <w:t xml:space="preserve"> (</w:t>
      </w:r>
      <w:r w:rsidRPr="006C4917">
        <w:rPr>
          <w:rFonts w:hint="eastAsia"/>
          <w:rtl/>
        </w:rPr>
        <w:t>תגובה</w:t>
      </w:r>
      <w:r w:rsidRPr="006C4917">
        <w:rPr>
          <w:rtl/>
        </w:rPr>
        <w:t xml:space="preserve"> </w:t>
      </w:r>
      <w:r w:rsidRPr="006C4917">
        <w:rPr>
          <w:rFonts w:hint="eastAsia"/>
          <w:rtl/>
        </w:rPr>
        <w:t>להרצאתו</w:t>
      </w:r>
      <w:r w:rsidRPr="006C4917">
        <w:rPr>
          <w:rtl/>
        </w:rPr>
        <w:t xml:space="preserve"> </w:t>
      </w:r>
      <w:r w:rsidRPr="006C4917">
        <w:rPr>
          <w:rFonts w:hint="eastAsia"/>
          <w:rtl/>
        </w:rPr>
        <w:t>של</w:t>
      </w:r>
      <w:r w:rsidRPr="006C4917">
        <w:rPr>
          <w:rtl/>
        </w:rPr>
        <w:t xml:space="preserve"> </w:t>
      </w:r>
      <w:r w:rsidRPr="006C4917">
        <w:rPr>
          <w:rFonts w:hint="eastAsia"/>
          <w:rtl/>
        </w:rPr>
        <w:t>פרופסור</w:t>
      </w:r>
      <w:r w:rsidRPr="006C4917">
        <w:rPr>
          <w:rtl/>
        </w:rPr>
        <w:t xml:space="preserve"> </w:t>
      </w:r>
      <w:r w:rsidRPr="006C4917">
        <w:rPr>
          <w:rFonts w:hint="eastAsia"/>
          <w:rtl/>
        </w:rPr>
        <w:lastRenderedPageBreak/>
        <w:t>שטרית</w:t>
      </w:r>
      <w:r w:rsidRPr="006C4917">
        <w:rPr>
          <w:rtl/>
        </w:rPr>
        <w:t xml:space="preserve">)" </w:t>
      </w:r>
      <w:r w:rsidRPr="006C4917">
        <w:rPr>
          <w:rFonts w:ascii="Century" w:hAnsi="Century" w:cs="Miriam" w:hint="eastAsia"/>
          <w:b/>
          <w:spacing w:val="0"/>
          <w:sz w:val="22"/>
          <w:szCs w:val="24"/>
          <w:rtl/>
        </w:rPr>
        <w:t>משפטים</w:t>
      </w:r>
      <w:r w:rsidRPr="006C4917">
        <w:rPr>
          <w:rtl/>
        </w:rPr>
        <w:t xml:space="preserve"> </w:t>
      </w:r>
      <w:r w:rsidRPr="006C4917">
        <w:rPr>
          <w:rFonts w:hint="eastAsia"/>
          <w:rtl/>
        </w:rPr>
        <w:t>יט</w:t>
      </w:r>
      <w:r w:rsidRPr="006C4917">
        <w:rPr>
          <w:rtl/>
        </w:rPr>
        <w:t xml:space="preserve"> 617, 619 (1989)</w:t>
      </w:r>
      <w:r w:rsidRPr="006C4917">
        <w:rPr>
          <w:rFonts w:hint="cs"/>
          <w:rtl/>
        </w:rPr>
        <w:t xml:space="preserve">. עוד ראו </w:t>
      </w:r>
      <w:r w:rsidRPr="006C4917">
        <w:rPr>
          <w:rFonts w:hint="eastAsia"/>
          <w:rtl/>
        </w:rPr>
        <w:t>אריאל</w:t>
      </w:r>
      <w:r w:rsidRPr="006C4917">
        <w:rPr>
          <w:rtl/>
        </w:rPr>
        <w:t xml:space="preserve"> </w:t>
      </w:r>
      <w:r w:rsidRPr="006C4917">
        <w:rPr>
          <w:rFonts w:hint="eastAsia"/>
          <w:rtl/>
        </w:rPr>
        <w:t>נתן</w:t>
      </w:r>
      <w:r w:rsidRPr="006C4917">
        <w:rPr>
          <w:rtl/>
        </w:rPr>
        <w:t xml:space="preserve"> "</w:t>
      </w:r>
      <w:r w:rsidRPr="006C4917">
        <w:rPr>
          <w:rFonts w:hint="eastAsia"/>
          <w:rtl/>
        </w:rPr>
        <w:t>החלטת</w:t>
      </w:r>
      <w:r w:rsidRPr="006C4917">
        <w:rPr>
          <w:rtl/>
        </w:rPr>
        <w:t xml:space="preserve"> </w:t>
      </w:r>
      <w:r w:rsidRPr="006C4917">
        <w:rPr>
          <w:rFonts w:hint="eastAsia"/>
          <w:rtl/>
        </w:rPr>
        <w:t>הררי</w:t>
      </w:r>
      <w:r w:rsidRPr="006C4917">
        <w:rPr>
          <w:rtl/>
        </w:rPr>
        <w:t xml:space="preserve"> – </w:t>
      </w:r>
      <w:r w:rsidRPr="006C4917">
        <w:rPr>
          <w:rFonts w:hint="eastAsia"/>
          <w:rtl/>
        </w:rPr>
        <w:t>על</w:t>
      </w:r>
      <w:r w:rsidRPr="006C4917">
        <w:rPr>
          <w:rtl/>
        </w:rPr>
        <w:t xml:space="preserve"> </w:t>
      </w:r>
      <w:r w:rsidRPr="006C4917">
        <w:rPr>
          <w:rFonts w:hint="eastAsia"/>
          <w:rtl/>
        </w:rPr>
        <w:t>החמצה</w:t>
      </w:r>
      <w:r w:rsidRPr="006C4917">
        <w:rPr>
          <w:rtl/>
        </w:rPr>
        <w:t xml:space="preserve"> </w:t>
      </w:r>
      <w:r w:rsidRPr="006C4917">
        <w:rPr>
          <w:rFonts w:hint="eastAsia"/>
          <w:rtl/>
        </w:rPr>
        <w:t>ופשרה</w:t>
      </w:r>
      <w:r w:rsidRPr="006C4917">
        <w:rPr>
          <w:rtl/>
        </w:rPr>
        <w:t xml:space="preserve">" </w:t>
      </w:r>
      <w:r w:rsidRPr="006C4917">
        <w:rPr>
          <w:rFonts w:ascii="Century" w:hAnsi="Century" w:cs="Miriam" w:hint="eastAsia"/>
          <w:b/>
          <w:spacing w:val="0"/>
          <w:sz w:val="22"/>
          <w:szCs w:val="24"/>
          <w:rtl/>
        </w:rPr>
        <w:t>שורשים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במשפט</w:t>
      </w:r>
      <w:r w:rsidRPr="006C4917">
        <w:rPr>
          <w:rtl/>
        </w:rPr>
        <w:t xml:space="preserve"> </w:t>
      </w:r>
      <w:r w:rsidRPr="006C4917">
        <w:rPr>
          <w:rFonts w:hint="cs"/>
          <w:rtl/>
        </w:rPr>
        <w:t xml:space="preserve">49, 55-52 </w:t>
      </w:r>
      <w:r w:rsidRPr="006C4917">
        <w:rPr>
          <w:rtl/>
        </w:rPr>
        <w:t>(</w:t>
      </w:r>
      <w:r w:rsidRPr="006C4917">
        <w:rPr>
          <w:rFonts w:hint="eastAsia"/>
          <w:rtl/>
        </w:rPr>
        <w:t>דינה</w:t>
      </w:r>
      <w:r w:rsidRPr="006C4917">
        <w:rPr>
          <w:rtl/>
        </w:rPr>
        <w:t xml:space="preserve"> </w:t>
      </w:r>
      <w:r w:rsidRPr="006C4917">
        <w:rPr>
          <w:rFonts w:hint="eastAsia"/>
          <w:rtl/>
        </w:rPr>
        <w:t>זילבר</w:t>
      </w:r>
      <w:r w:rsidRPr="006C4917">
        <w:rPr>
          <w:rtl/>
        </w:rPr>
        <w:t xml:space="preserve"> </w:t>
      </w:r>
      <w:r w:rsidRPr="006C4917">
        <w:rPr>
          <w:rFonts w:hint="eastAsia"/>
          <w:rtl/>
        </w:rPr>
        <w:t>עורכת</w:t>
      </w:r>
      <w:r w:rsidRPr="006C4917">
        <w:rPr>
          <w:rFonts w:hint="cs"/>
          <w:rtl/>
        </w:rPr>
        <w:t>,</w:t>
      </w:r>
      <w:r w:rsidRPr="006C4917">
        <w:rPr>
          <w:rtl/>
        </w:rPr>
        <w:t xml:space="preserve"> 2020)</w:t>
      </w:r>
      <w:r w:rsidRPr="006C4917">
        <w:rPr>
          <w:rFonts w:hint="cs"/>
          <w:rtl/>
        </w:rPr>
        <w:t xml:space="preserve">). ואולם, אין בדעתי לעשות כן. זאת מהטעם הפשוט שעניינים אלה נדונו והוכרעו זה מכבר על ידי בית משפט זה, ובהינתן הכרעות אלה אין מקום כי נעיין בהם מחדש. ברוח דימויו של פרופ' דבורקין: הכרעות אלה הן "הפרקים הקודמים", ותפקידנו </w:t>
      </w:r>
      <w:r w:rsidRPr="006C4917">
        <w:rPr>
          <w:rFonts w:ascii="Century" w:hAnsi="Century" w:hint="eastAsia"/>
          <w:sz w:val="22"/>
          <w:rtl/>
        </w:rPr>
        <w:t>להמשיך</w:t>
      </w:r>
      <w:r w:rsidRPr="006C4917">
        <w:rPr>
          <w:rFonts w:ascii="Century" w:hAnsi="Century"/>
          <w:sz w:val="22"/>
          <w:rtl/>
        </w:rPr>
        <w:t xml:space="preserve"> </w:t>
      </w:r>
      <w:r w:rsidRPr="006C4917">
        <w:rPr>
          <w:rFonts w:ascii="Century" w:hAnsi="Century" w:hint="eastAsia"/>
          <w:sz w:val="22"/>
          <w:rtl/>
        </w:rPr>
        <w:t>בכתיבת</w:t>
      </w:r>
      <w:r w:rsidRPr="006C4917">
        <w:rPr>
          <w:rFonts w:ascii="Century" w:hAnsi="Century"/>
          <w:sz w:val="22"/>
          <w:rtl/>
        </w:rPr>
        <w:t xml:space="preserve"> "</w:t>
      </w:r>
      <w:r w:rsidRPr="006C4917">
        <w:rPr>
          <w:rFonts w:ascii="Century" w:hAnsi="Century" w:hint="eastAsia"/>
          <w:sz w:val="22"/>
          <w:rtl/>
        </w:rPr>
        <w:t>ספר</w:t>
      </w:r>
      <w:r w:rsidRPr="006C4917">
        <w:rPr>
          <w:rFonts w:ascii="Century" w:hAnsi="Century" w:hint="cs"/>
          <w:sz w:val="22"/>
          <w:rtl/>
        </w:rPr>
        <w:t xml:space="preserve"> המשפט</w:t>
      </w:r>
      <w:r w:rsidRPr="006C4917">
        <w:rPr>
          <w:rFonts w:ascii="Century" w:hAnsi="Century"/>
          <w:sz w:val="22"/>
          <w:rtl/>
        </w:rPr>
        <w:t xml:space="preserve"> </w:t>
      </w:r>
      <w:r w:rsidRPr="006C4917">
        <w:rPr>
          <w:rFonts w:ascii="Century" w:hAnsi="Century" w:hint="eastAsia"/>
          <w:sz w:val="22"/>
          <w:rtl/>
        </w:rPr>
        <w:t>החוקתי</w:t>
      </w:r>
      <w:r w:rsidRPr="006C4917">
        <w:rPr>
          <w:rFonts w:ascii="Century" w:hAnsi="Century"/>
          <w:sz w:val="22"/>
          <w:rtl/>
        </w:rPr>
        <w:t xml:space="preserve">" </w:t>
      </w:r>
      <w:r w:rsidRPr="006C4917">
        <w:rPr>
          <w:rFonts w:ascii="Century" w:hAnsi="Century" w:hint="eastAsia"/>
          <w:sz w:val="22"/>
          <w:rtl/>
        </w:rPr>
        <w:t>של</w:t>
      </w:r>
      <w:r w:rsidRPr="006C4917">
        <w:rPr>
          <w:rFonts w:ascii="Century" w:hAnsi="Century"/>
          <w:sz w:val="22"/>
          <w:rtl/>
        </w:rPr>
        <w:t xml:space="preserve"> </w:t>
      </w:r>
      <w:r w:rsidRPr="006C4917">
        <w:rPr>
          <w:rFonts w:ascii="Century" w:hAnsi="Century" w:hint="eastAsia"/>
          <w:sz w:val="22"/>
          <w:rtl/>
        </w:rPr>
        <w:t>מדינת</w:t>
      </w:r>
      <w:r w:rsidRPr="006C4917">
        <w:rPr>
          <w:rFonts w:ascii="Century" w:hAnsi="Century"/>
          <w:sz w:val="22"/>
          <w:rtl/>
        </w:rPr>
        <w:t xml:space="preserve"> </w:t>
      </w:r>
      <w:r w:rsidRPr="006C4917">
        <w:rPr>
          <w:rFonts w:ascii="Century" w:hAnsi="Century" w:hint="eastAsia"/>
          <w:sz w:val="22"/>
          <w:rtl/>
        </w:rPr>
        <w:t>ישראל</w:t>
      </w:r>
      <w:r w:rsidRPr="006C4917">
        <w:rPr>
          <w:rFonts w:ascii="Century" w:hAnsi="Century"/>
          <w:sz w:val="22"/>
          <w:rtl/>
        </w:rPr>
        <w:t xml:space="preserve"> – </w:t>
      </w:r>
      <w:r w:rsidRPr="006C4917">
        <w:rPr>
          <w:rFonts w:ascii="Century" w:hAnsi="Century" w:hint="eastAsia"/>
          <w:sz w:val="22"/>
          <w:rtl/>
        </w:rPr>
        <w:t>לא</w:t>
      </w:r>
      <w:r w:rsidRPr="006C4917">
        <w:rPr>
          <w:rFonts w:ascii="Century" w:hAnsi="Century"/>
          <w:sz w:val="22"/>
          <w:rtl/>
        </w:rPr>
        <w:t xml:space="preserve"> </w:t>
      </w:r>
      <w:r w:rsidRPr="006C4917">
        <w:rPr>
          <w:rFonts w:ascii="Century" w:hAnsi="Century" w:hint="eastAsia"/>
          <w:sz w:val="22"/>
          <w:rtl/>
        </w:rPr>
        <w:t>למחוק</w:t>
      </w:r>
      <w:r w:rsidRPr="006C4917">
        <w:rPr>
          <w:rFonts w:ascii="Century" w:hAnsi="Century"/>
          <w:sz w:val="22"/>
          <w:rtl/>
        </w:rPr>
        <w:t xml:space="preserve"> </w:t>
      </w:r>
      <w:r w:rsidRPr="006C4917">
        <w:rPr>
          <w:rFonts w:ascii="Century" w:hAnsi="Century" w:hint="eastAsia"/>
          <w:sz w:val="22"/>
          <w:rtl/>
        </w:rPr>
        <w:t>את</w:t>
      </w:r>
      <w:r w:rsidRPr="006C4917">
        <w:rPr>
          <w:rFonts w:ascii="Century" w:hAnsi="Century"/>
          <w:sz w:val="22"/>
          <w:rtl/>
        </w:rPr>
        <w:t xml:space="preserve"> </w:t>
      </w:r>
      <w:r w:rsidRPr="006C4917">
        <w:rPr>
          <w:rFonts w:ascii="Century" w:hAnsi="Century" w:hint="eastAsia"/>
          <w:sz w:val="22"/>
          <w:rtl/>
        </w:rPr>
        <w:t>כל</w:t>
      </w:r>
      <w:r w:rsidRPr="006C4917">
        <w:rPr>
          <w:rFonts w:ascii="Century" w:hAnsi="Century"/>
          <w:sz w:val="22"/>
          <w:rtl/>
        </w:rPr>
        <w:t xml:space="preserve"> </w:t>
      </w:r>
      <w:r w:rsidRPr="006C4917">
        <w:rPr>
          <w:rFonts w:ascii="Century" w:hAnsi="Century" w:hint="eastAsia"/>
          <w:sz w:val="22"/>
          <w:rtl/>
        </w:rPr>
        <w:t>שנפסק</w:t>
      </w:r>
      <w:r w:rsidRPr="006C4917">
        <w:rPr>
          <w:rFonts w:ascii="Century" w:hAnsi="Century"/>
          <w:sz w:val="22"/>
          <w:rtl/>
        </w:rPr>
        <w:t xml:space="preserve"> </w:t>
      </w:r>
      <w:r w:rsidRPr="006C4917">
        <w:rPr>
          <w:rFonts w:ascii="Century" w:hAnsi="Century" w:hint="eastAsia"/>
          <w:sz w:val="22"/>
          <w:rtl/>
        </w:rPr>
        <w:t>לפנינו</w:t>
      </w:r>
      <w:r w:rsidRPr="006C4917">
        <w:rPr>
          <w:rFonts w:ascii="Century" w:hAnsi="Century"/>
          <w:sz w:val="22"/>
          <w:rtl/>
        </w:rPr>
        <w:t xml:space="preserve"> </w:t>
      </w:r>
      <w:r w:rsidRPr="006C4917">
        <w:rPr>
          <w:rFonts w:ascii="Century" w:hAnsi="Century" w:hint="eastAsia"/>
          <w:sz w:val="22"/>
          <w:rtl/>
        </w:rPr>
        <w:t>ולהתחיל</w:t>
      </w:r>
      <w:r w:rsidRPr="006C4917">
        <w:rPr>
          <w:rFonts w:ascii="Century" w:hAnsi="Century"/>
          <w:sz w:val="22"/>
          <w:rtl/>
        </w:rPr>
        <w:t xml:space="preserve"> </w:t>
      </w:r>
      <w:r w:rsidRPr="006C4917">
        <w:rPr>
          <w:rFonts w:ascii="Century" w:hAnsi="Century" w:hint="eastAsia"/>
          <w:sz w:val="22"/>
          <w:rtl/>
        </w:rPr>
        <w:t>את</w:t>
      </w:r>
      <w:r w:rsidRPr="006C4917">
        <w:rPr>
          <w:rFonts w:hint="cs"/>
          <w:rtl/>
        </w:rPr>
        <w:t xml:space="preserve"> המלאכה מבראשית.</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 xml:space="preserve">בית המשפט העליון הוא שנתן תוקף להחלטת הררי, כפי שפורשה על ידו, והכיר במעמד החוקתי העל-חוקי של חוקי היסוד שכוננו כנסות ישראל לאורך השנים (לביקורת חריפה על מהלך זה ראו </w:t>
      </w:r>
      <w:r w:rsidRPr="006C4917">
        <w:rPr>
          <w:rFonts w:ascii="Century" w:hAnsi="Century" w:cs="Miriam" w:hint="cs"/>
          <w:b/>
          <w:spacing w:val="0"/>
          <w:sz w:val="22"/>
          <w:szCs w:val="24"/>
          <w:rtl/>
        </w:rPr>
        <w:t>פרידמן</w:t>
      </w:r>
      <w:r w:rsidRPr="006C4917">
        <w:rPr>
          <w:rFonts w:hint="cs"/>
          <w:rtl/>
        </w:rPr>
        <w:t xml:space="preserve">, בעמ' 605-587). בכך נתן בית משפט זה תוקף למפעל "החוקה בהתהוות", והכיר ב"כפל כובעיה" של כנסת ישראל </w:t>
      </w:r>
      <w:r w:rsidRPr="006C4917">
        <w:rPr>
          <w:rtl/>
        </w:rPr>
        <w:t>–</w:t>
      </w:r>
      <w:r w:rsidRPr="006C4917">
        <w:rPr>
          <w:rFonts w:hint="cs"/>
          <w:rtl/>
        </w:rPr>
        <w:t xml:space="preserve"> כרשות מכוננת וכרשות מחוקקת. הוא עשה כן בשורה של פסקי דין, ששיאם בפסק הדין המכונן בעניין </w:t>
      </w:r>
      <w:r w:rsidRPr="006C4917">
        <w:rPr>
          <w:rFonts w:ascii="Century" w:hAnsi="Century" w:cs="Miriam" w:hint="cs"/>
          <w:b/>
          <w:spacing w:val="0"/>
          <w:szCs w:val="24"/>
          <w:rtl/>
        </w:rPr>
        <w:t>בנק המזרחי</w:t>
      </w:r>
      <w:r w:rsidRPr="006C4917">
        <w:rPr>
          <w:rFonts w:hint="cs"/>
          <w:rtl/>
        </w:rPr>
        <w:t xml:space="preserve">, בו הוכרה, ברוב דעות (כנגד דעתו החולקת של השופט </w:t>
      </w:r>
      <w:r w:rsidRPr="006C4917">
        <w:rPr>
          <w:rFonts w:ascii="Century" w:hAnsi="Century" w:cs="Miriam" w:hint="cs"/>
          <w:b/>
          <w:spacing w:val="0"/>
          <w:szCs w:val="24"/>
          <w:rtl/>
        </w:rPr>
        <w:t>חשין</w:t>
      </w:r>
      <w:r w:rsidRPr="006C4917">
        <w:rPr>
          <w:rFonts w:hint="cs"/>
          <w:rtl/>
        </w:rPr>
        <w:t xml:space="preserve">), עליונותם הנורמטיבית של חוקי היסוד ותוקפם המחייב טרם איגודם לחוקה, והמשכם בפסיקה עקבית לאורך קרוב ל-30 שנה, אשר אימצה, שוב בדעות רוב, את "תורת שני הכובעים" מבית מדרשו של הנשיא </w:t>
      </w:r>
      <w:r w:rsidRPr="006C4917">
        <w:rPr>
          <w:rFonts w:ascii="Century" w:hAnsi="Century" w:cs="Miriam" w:hint="eastAsia"/>
          <w:b/>
          <w:spacing w:val="0"/>
          <w:sz w:val="22"/>
          <w:szCs w:val="24"/>
          <w:rtl/>
        </w:rPr>
        <w:t>אהרן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ברק</w:t>
      </w:r>
      <w:r w:rsidRPr="006C4917">
        <w:rPr>
          <w:rFonts w:hint="cs"/>
          <w:rtl/>
        </w:rPr>
        <w:t>. על פי גישה זו, כל כנסת מכהנת בישראל משמשת, בו-זמנית, הן כרשות המחוקקת והן כרשות המכוננת, כאשר "</w:t>
      </w:r>
      <w:r w:rsidRPr="006C4917">
        <w:rPr>
          <w:rFonts w:ascii="Century" w:hAnsi="Century" w:cs="Miriam" w:hint="eastAsia"/>
          <w:b/>
          <w:spacing w:val="0"/>
          <w:sz w:val="22"/>
          <w:szCs w:val="24"/>
          <w:rtl/>
        </w:rPr>
        <w:t>בעת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כינון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חוקי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היסוד</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הכנסת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פועלת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w:t>
      </w:r>
      <w:r w:rsidRPr="006C4917">
        <w:rPr>
          <w:rFonts w:ascii="Century" w:hAnsi="Century" w:cs="Miriam"/>
          <w:b/>
          <w:spacing w:val="0"/>
          <w:sz w:val="22"/>
          <w:szCs w:val="24"/>
          <w:rtl/>
        </w:rPr>
        <w:t xml:space="preserve">'כובעה' כרשות מכוננת, </w:t>
      </w:r>
      <w:r w:rsidRPr="006C4917">
        <w:rPr>
          <w:rFonts w:ascii="Century" w:hAnsi="Century" w:cs="Miriam" w:hint="eastAsia"/>
          <w:b/>
          <w:spacing w:val="0"/>
          <w:sz w:val="22"/>
          <w:szCs w:val="24"/>
          <w:rtl/>
        </w:rPr>
        <w:t>וכוחה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זה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מאפשר</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להגביל</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את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כוחה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שלה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כרשות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מחוקקת</w:t>
      </w:r>
      <w:r w:rsidRPr="006C4917">
        <w:rPr>
          <w:rFonts w:hint="cs"/>
          <w:rtl/>
        </w:rPr>
        <w:t>" (</w:t>
      </w:r>
      <w:r w:rsidRPr="006C4917">
        <w:rPr>
          <w:rFonts w:hint="eastAsia"/>
          <w:rtl/>
        </w:rPr>
        <w:t>אהרן</w:t>
      </w:r>
      <w:r w:rsidRPr="006C4917">
        <w:rPr>
          <w:rtl/>
        </w:rPr>
        <w:t xml:space="preserve"> </w:t>
      </w:r>
      <w:r w:rsidRPr="006C4917">
        <w:rPr>
          <w:rFonts w:hint="eastAsia"/>
          <w:rtl/>
        </w:rPr>
        <w:t>ברק</w:t>
      </w:r>
      <w:r w:rsidRPr="006C4917">
        <w:rPr>
          <w:rtl/>
        </w:rPr>
        <w:t xml:space="preserve"> </w:t>
      </w:r>
      <w:r w:rsidRPr="006C4917">
        <w:rPr>
          <w:rFonts w:ascii="Century" w:hAnsi="Century" w:cs="Miriam" w:hint="eastAsia"/>
          <w:b/>
          <w:spacing w:val="0"/>
          <w:sz w:val="22"/>
          <w:szCs w:val="24"/>
          <w:rtl/>
        </w:rPr>
        <w:t>מבחר</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כתבים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ג</w:t>
      </w:r>
      <w:r w:rsidRPr="006C4917">
        <w:rPr>
          <w:rFonts w:ascii="Century" w:hAnsi="Century" w:cs="Miriam"/>
          <w:b/>
          <w:spacing w:val="0"/>
          <w:sz w:val="22"/>
          <w:szCs w:val="24"/>
          <w:rtl/>
        </w:rPr>
        <w:t xml:space="preserve"> – </w:t>
      </w:r>
      <w:r w:rsidRPr="006C4917">
        <w:rPr>
          <w:rFonts w:ascii="Century" w:hAnsi="Century" w:cs="Miriam" w:hint="eastAsia"/>
          <w:b/>
          <w:spacing w:val="0"/>
          <w:sz w:val="22"/>
          <w:szCs w:val="24"/>
          <w:rtl/>
        </w:rPr>
        <w:t>עיונים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חוקתיים</w:t>
      </w:r>
      <w:r w:rsidRPr="006C4917">
        <w:rPr>
          <w:rtl/>
        </w:rPr>
        <w:t xml:space="preserve"> 37 (2017)</w:t>
      </w:r>
      <w:r w:rsidRPr="006C4917">
        <w:rPr>
          <w:rFonts w:hint="cs"/>
          <w:rtl/>
        </w:rPr>
        <w:t xml:space="preserve">. להרחבה על גישה זו ראו פסקה 20 לחוות דעתו של השופט </w:t>
      </w:r>
      <w:r w:rsidRPr="006C4917">
        <w:rPr>
          <w:rFonts w:ascii="Century" w:hAnsi="Century" w:cs="Miriam" w:hint="cs"/>
          <w:b/>
          <w:spacing w:val="0"/>
          <w:sz w:val="22"/>
          <w:szCs w:val="24"/>
          <w:rtl/>
        </w:rPr>
        <w:t>יצחק עמית</w:t>
      </w:r>
      <w:r w:rsidRPr="006C4917">
        <w:rPr>
          <w:rFonts w:hint="cs"/>
          <w:rtl/>
        </w:rPr>
        <w:t xml:space="preserve">, והאסמכתאות שם). גישה זו זכתה למעמד בכורה, תוך העדפתה על "תורת הריבונות הבלתי מוגבלת של הכנסת" מבית מדרשו של הנשיא </w:t>
      </w:r>
      <w:r w:rsidRPr="006C4917">
        <w:rPr>
          <w:rFonts w:ascii="Century" w:hAnsi="Century" w:cs="Miriam" w:hint="cs"/>
          <w:b/>
          <w:spacing w:val="0"/>
          <w:szCs w:val="24"/>
          <w:rtl/>
        </w:rPr>
        <w:t>שמגר</w:t>
      </w:r>
      <w:r w:rsidRPr="006C4917">
        <w:rPr>
          <w:rFonts w:ascii="Century" w:hAnsi="Century" w:hint="cs"/>
          <w:sz w:val="22"/>
          <w:rtl/>
        </w:rPr>
        <w:t xml:space="preserve"> (ראו </w:t>
      </w:r>
      <w:r w:rsidRPr="006C4917">
        <w:rPr>
          <w:rFonts w:hint="cs"/>
          <w:rtl/>
        </w:rPr>
        <w:t xml:space="preserve">בג"ץ 4908/10 </w:t>
      </w:r>
      <w:r w:rsidRPr="006C4917">
        <w:rPr>
          <w:rFonts w:ascii="Century" w:hAnsi="Century" w:cs="Miriam" w:hint="cs"/>
          <w:b/>
          <w:spacing w:val="0"/>
          <w:sz w:val="22"/>
          <w:szCs w:val="24"/>
          <w:rtl/>
        </w:rPr>
        <w:t>בר-און נ' כנסת ישראל</w:t>
      </w:r>
      <w:r w:rsidRPr="006C4917">
        <w:rPr>
          <w:rFonts w:hint="cs"/>
          <w:rtl/>
        </w:rPr>
        <w:t xml:space="preserve">, פ"ד סד(3) 275, 292-291 (2011) (להלן: </w:t>
      </w:r>
      <w:r w:rsidRPr="006C4917">
        <w:rPr>
          <w:rFonts w:ascii="Century" w:hAnsi="Century" w:cs="Miriam" w:hint="eastAsia"/>
          <w:b/>
          <w:spacing w:val="0"/>
          <w:sz w:val="22"/>
          <w:szCs w:val="24"/>
          <w:rtl/>
        </w:rPr>
        <w:t>עניין</w:t>
      </w:r>
      <w:r w:rsidRPr="006C4917">
        <w:rPr>
          <w:rFonts w:ascii="Century" w:hAnsi="Century" w:cs="Miriam"/>
          <w:b/>
          <w:spacing w:val="0"/>
          <w:sz w:val="22"/>
          <w:szCs w:val="24"/>
          <w:rtl/>
        </w:rPr>
        <w:t xml:space="preserve"> </w:t>
      </w:r>
      <w:r w:rsidRPr="006C4917">
        <w:rPr>
          <w:rFonts w:ascii="Century" w:hAnsi="Century" w:cs="Miriam" w:hint="cs"/>
          <w:b/>
          <w:spacing w:val="0"/>
          <w:sz w:val="22"/>
          <w:szCs w:val="24"/>
          <w:rtl/>
        </w:rPr>
        <w:t>בר-און</w:t>
      </w:r>
      <w:r w:rsidRPr="006C4917">
        <w:rPr>
          <w:rFonts w:hint="cs"/>
          <w:rtl/>
        </w:rPr>
        <w:t xml:space="preserve">); </w:t>
      </w:r>
      <w:r w:rsidRPr="006C4917">
        <w:rPr>
          <w:rFonts w:hint="eastAsia"/>
          <w:rtl/>
        </w:rPr>
        <w:t>בג</w:t>
      </w:r>
      <w:r w:rsidRPr="006C4917">
        <w:rPr>
          <w:rtl/>
        </w:rPr>
        <w:t>"</w:t>
      </w:r>
      <w:r w:rsidRPr="006C4917">
        <w:rPr>
          <w:rFonts w:hint="eastAsia"/>
          <w:rtl/>
        </w:rPr>
        <w:t>ץ</w:t>
      </w:r>
      <w:r w:rsidRPr="006C4917">
        <w:rPr>
          <w:rtl/>
        </w:rPr>
        <w:t xml:space="preserve"> 3132/15 </w:t>
      </w:r>
      <w:r w:rsidRPr="006C4917">
        <w:rPr>
          <w:rFonts w:ascii="Century" w:hAnsi="Century" w:cs="Miriam" w:hint="eastAsia"/>
          <w:b/>
          <w:spacing w:val="0"/>
          <w:sz w:val="22"/>
          <w:szCs w:val="24"/>
          <w:rtl/>
        </w:rPr>
        <w:t>יש</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עתיד</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ראש</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ממשלת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ישראל</w:t>
      </w:r>
      <w:r w:rsidRPr="006C4917">
        <w:rPr>
          <w:rtl/>
        </w:rPr>
        <w:t xml:space="preserve">, </w:t>
      </w:r>
      <w:r w:rsidRPr="006C4917">
        <w:rPr>
          <w:rFonts w:hint="eastAsia"/>
          <w:rtl/>
        </w:rPr>
        <w:t>פס</w:t>
      </w:r>
      <w:r w:rsidRPr="006C4917">
        <w:rPr>
          <w:rFonts w:hint="cs"/>
          <w:rtl/>
        </w:rPr>
        <w:t>קה</w:t>
      </w:r>
      <w:r w:rsidRPr="006C4917">
        <w:rPr>
          <w:rtl/>
        </w:rPr>
        <w:t xml:space="preserve"> 7 </w:t>
      </w:r>
      <w:r w:rsidRPr="006C4917">
        <w:rPr>
          <w:rFonts w:hint="eastAsia"/>
          <w:rtl/>
        </w:rPr>
        <w:t>לפסק</w:t>
      </w:r>
      <w:r w:rsidRPr="006C4917">
        <w:rPr>
          <w:rtl/>
        </w:rPr>
        <w:t xml:space="preserve"> </w:t>
      </w:r>
      <w:r w:rsidRPr="006C4917">
        <w:rPr>
          <w:rFonts w:hint="eastAsia"/>
          <w:rtl/>
        </w:rPr>
        <w:t>דינו</w:t>
      </w:r>
      <w:r w:rsidRPr="006C4917">
        <w:rPr>
          <w:rtl/>
        </w:rPr>
        <w:t xml:space="preserve"> </w:t>
      </w:r>
      <w:r w:rsidRPr="006C4917">
        <w:rPr>
          <w:rFonts w:hint="eastAsia"/>
          <w:rtl/>
        </w:rPr>
        <w:t>של</w:t>
      </w:r>
      <w:r w:rsidRPr="006C4917">
        <w:rPr>
          <w:rtl/>
        </w:rPr>
        <w:t xml:space="preserve"> </w:t>
      </w:r>
      <w:r w:rsidRPr="006C4917">
        <w:rPr>
          <w:rFonts w:hint="eastAsia"/>
          <w:rtl/>
        </w:rPr>
        <w:t>השופט</w:t>
      </w:r>
      <w:r w:rsidRPr="006C4917">
        <w:rPr>
          <w:rFonts w:hint="cs"/>
          <w:rtl/>
        </w:rPr>
        <w:t xml:space="preserve"> </w:t>
      </w:r>
      <w:r w:rsidRPr="006C4917">
        <w:rPr>
          <w:rFonts w:ascii="Century" w:hAnsi="Century" w:cs="Miriam" w:hint="eastAsia"/>
          <w:b/>
          <w:spacing w:val="0"/>
          <w:sz w:val="22"/>
          <w:szCs w:val="24"/>
          <w:rtl/>
        </w:rPr>
        <w:t>חנן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מלצר</w:t>
      </w:r>
      <w:r w:rsidRPr="006C4917">
        <w:rPr>
          <w:rFonts w:hint="cs"/>
          <w:rtl/>
        </w:rPr>
        <w:t xml:space="preserve"> (13.4.2016); </w:t>
      </w:r>
      <w:r w:rsidRPr="006C4917">
        <w:rPr>
          <w:rFonts w:hint="eastAsia"/>
          <w:rtl/>
        </w:rPr>
        <w:t>ברק</w:t>
      </w:r>
      <w:r w:rsidRPr="006C4917">
        <w:rPr>
          <w:rtl/>
        </w:rPr>
        <w:t xml:space="preserve"> </w:t>
      </w:r>
      <w:r w:rsidRPr="006C4917">
        <w:rPr>
          <w:rFonts w:hint="eastAsia"/>
          <w:rtl/>
        </w:rPr>
        <w:t>מדינה</w:t>
      </w:r>
      <w:r w:rsidRPr="006C4917">
        <w:rPr>
          <w:rtl/>
        </w:rPr>
        <w:t xml:space="preserve"> </w:t>
      </w:r>
      <w:r w:rsidRPr="006C4917">
        <w:rPr>
          <w:rFonts w:ascii="Century" w:hAnsi="Century" w:hint="cs"/>
          <w:sz w:val="22"/>
          <w:rtl/>
        </w:rPr>
        <w:t>"</w:t>
      </w:r>
      <w:r w:rsidRPr="006C4917">
        <w:rPr>
          <w:rFonts w:ascii="Century" w:hAnsi="Century" w:hint="eastAsia"/>
          <w:sz w:val="22"/>
          <w:rtl/>
        </w:rPr>
        <w:t>גבולות</w:t>
      </w:r>
      <w:r w:rsidRPr="006C4917">
        <w:rPr>
          <w:rFonts w:ascii="Century" w:hAnsi="Century"/>
          <w:sz w:val="22"/>
          <w:rtl/>
        </w:rPr>
        <w:t xml:space="preserve"> </w:t>
      </w:r>
      <w:r w:rsidRPr="006C4917">
        <w:rPr>
          <w:rFonts w:ascii="Century" w:hAnsi="Century" w:hint="eastAsia"/>
          <w:sz w:val="22"/>
          <w:rtl/>
        </w:rPr>
        <w:t>סמכותה</w:t>
      </w:r>
      <w:r w:rsidRPr="006C4917">
        <w:rPr>
          <w:rFonts w:ascii="Century" w:hAnsi="Century"/>
          <w:sz w:val="22"/>
          <w:rtl/>
        </w:rPr>
        <w:t xml:space="preserve"> </w:t>
      </w:r>
      <w:r w:rsidRPr="006C4917">
        <w:rPr>
          <w:rFonts w:ascii="Century" w:hAnsi="Century" w:hint="eastAsia"/>
          <w:sz w:val="22"/>
          <w:rtl/>
        </w:rPr>
        <w:t>של</w:t>
      </w:r>
      <w:r w:rsidRPr="006C4917">
        <w:rPr>
          <w:rFonts w:ascii="Century" w:hAnsi="Century"/>
          <w:sz w:val="22"/>
          <w:rtl/>
        </w:rPr>
        <w:t xml:space="preserve"> </w:t>
      </w:r>
      <w:r w:rsidRPr="006C4917">
        <w:rPr>
          <w:rFonts w:ascii="Century" w:hAnsi="Century" w:hint="eastAsia"/>
          <w:sz w:val="22"/>
          <w:rtl/>
        </w:rPr>
        <w:t>הכנסת</w:t>
      </w:r>
      <w:r w:rsidRPr="006C4917">
        <w:rPr>
          <w:rFonts w:ascii="Century" w:hAnsi="Century"/>
          <w:sz w:val="22"/>
          <w:rtl/>
        </w:rPr>
        <w:t xml:space="preserve"> </w:t>
      </w:r>
      <w:r w:rsidRPr="006C4917">
        <w:rPr>
          <w:rFonts w:ascii="Century" w:hAnsi="Century" w:hint="eastAsia"/>
          <w:sz w:val="22"/>
          <w:rtl/>
        </w:rPr>
        <w:t>לקבוע</w:t>
      </w:r>
      <w:r w:rsidRPr="006C4917">
        <w:rPr>
          <w:rFonts w:ascii="Century" w:hAnsi="Century"/>
          <w:sz w:val="22"/>
          <w:rtl/>
        </w:rPr>
        <w:t xml:space="preserve"> </w:t>
      </w:r>
      <w:r w:rsidRPr="006C4917">
        <w:rPr>
          <w:rFonts w:ascii="Century" w:hAnsi="Century" w:hint="eastAsia"/>
          <w:sz w:val="22"/>
          <w:rtl/>
        </w:rPr>
        <w:t>הוראות</w:t>
      </w:r>
      <w:r w:rsidRPr="006C4917">
        <w:rPr>
          <w:rFonts w:ascii="Century" w:hAnsi="Century"/>
          <w:sz w:val="22"/>
          <w:rtl/>
        </w:rPr>
        <w:t xml:space="preserve"> </w:t>
      </w:r>
      <w:r w:rsidRPr="006C4917">
        <w:rPr>
          <w:rFonts w:ascii="Century" w:hAnsi="Century" w:hint="eastAsia"/>
          <w:sz w:val="22"/>
          <w:rtl/>
        </w:rPr>
        <w:t>שריון</w:t>
      </w:r>
      <w:r w:rsidRPr="006C4917">
        <w:rPr>
          <w:rFonts w:ascii="Century" w:hAnsi="Century" w:hint="cs"/>
          <w:sz w:val="22"/>
          <w:rtl/>
        </w:rPr>
        <w:t>"</w:t>
      </w:r>
      <w:r w:rsidRPr="006C4917">
        <w:rPr>
          <w:rtl/>
        </w:rPr>
        <w:t xml:space="preserve"> </w:t>
      </w:r>
      <w:r w:rsidRPr="006C4917">
        <w:rPr>
          <w:rFonts w:ascii="Century" w:hAnsi="Century" w:cs="Miriam" w:hint="eastAsia"/>
          <w:b/>
          <w:spacing w:val="0"/>
          <w:sz w:val="22"/>
          <w:szCs w:val="24"/>
          <w:rtl/>
        </w:rPr>
        <w:t>משפט</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וממשל</w:t>
      </w:r>
      <w:r w:rsidRPr="006C4917">
        <w:rPr>
          <w:rtl/>
        </w:rPr>
        <w:t xml:space="preserve"> </w:t>
      </w:r>
      <w:r w:rsidRPr="006C4917">
        <w:rPr>
          <w:rFonts w:hint="eastAsia"/>
          <w:rtl/>
        </w:rPr>
        <w:t>ו</w:t>
      </w:r>
      <w:r w:rsidRPr="006C4917">
        <w:rPr>
          <w:rtl/>
        </w:rPr>
        <w:t xml:space="preserve"> 509, 514-513</w:t>
      </w:r>
      <w:r w:rsidRPr="006C4917">
        <w:rPr>
          <w:rFonts w:hint="cs"/>
          <w:rtl/>
        </w:rPr>
        <w:t xml:space="preserve"> (2003). לעמדה כי בניגוד לתפיסה הרווחת, עמדתו של השופט </w:t>
      </w:r>
      <w:r w:rsidRPr="006C4917">
        <w:rPr>
          <w:rFonts w:ascii="Century" w:hAnsi="Century" w:cs="Miriam" w:hint="cs"/>
          <w:b/>
          <w:spacing w:val="0"/>
          <w:sz w:val="22"/>
          <w:szCs w:val="24"/>
          <w:rtl/>
        </w:rPr>
        <w:t>חשין</w:t>
      </w:r>
      <w:r w:rsidRPr="006C4917">
        <w:rPr>
          <w:rFonts w:hint="cs"/>
          <w:rtl/>
        </w:rPr>
        <w:t xml:space="preserve"> דווקא אומצה בפסיקה, ראו </w:t>
      </w:r>
      <w:r w:rsidRPr="006C4917">
        <w:rPr>
          <w:rFonts w:hint="eastAsia"/>
          <w:rtl/>
        </w:rPr>
        <w:t>יואב</w:t>
      </w:r>
      <w:r w:rsidRPr="006C4917">
        <w:rPr>
          <w:rtl/>
        </w:rPr>
        <w:t xml:space="preserve"> </w:t>
      </w:r>
      <w:r w:rsidRPr="006C4917">
        <w:rPr>
          <w:rFonts w:hint="eastAsia"/>
          <w:rtl/>
        </w:rPr>
        <w:t>דותן</w:t>
      </w:r>
      <w:r w:rsidRPr="006C4917">
        <w:rPr>
          <w:rtl/>
        </w:rPr>
        <w:t xml:space="preserve"> "</w:t>
      </w:r>
      <w:r w:rsidRPr="006C4917">
        <w:rPr>
          <w:rFonts w:hint="eastAsia"/>
          <w:rtl/>
        </w:rPr>
        <w:t>חצי</w:t>
      </w:r>
      <w:r w:rsidRPr="006C4917">
        <w:rPr>
          <w:rtl/>
        </w:rPr>
        <w:t xml:space="preserve"> </w:t>
      </w:r>
      <w:r w:rsidRPr="006C4917">
        <w:rPr>
          <w:rFonts w:hint="eastAsia"/>
          <w:rtl/>
        </w:rPr>
        <w:t>יובל</w:t>
      </w:r>
      <w:r w:rsidRPr="006C4917">
        <w:rPr>
          <w:rtl/>
        </w:rPr>
        <w:t xml:space="preserve"> </w:t>
      </w:r>
      <w:r w:rsidRPr="006C4917">
        <w:rPr>
          <w:rFonts w:hint="eastAsia"/>
          <w:rtl/>
        </w:rPr>
        <w:t>לפסק</w:t>
      </w:r>
      <w:r w:rsidRPr="006C4917">
        <w:rPr>
          <w:rtl/>
        </w:rPr>
        <w:t xml:space="preserve"> </w:t>
      </w:r>
      <w:r w:rsidRPr="006C4917">
        <w:rPr>
          <w:rFonts w:hint="eastAsia"/>
          <w:rtl/>
        </w:rPr>
        <w:t>דין</w:t>
      </w:r>
      <w:r w:rsidRPr="006C4917">
        <w:rPr>
          <w:rtl/>
        </w:rPr>
        <w:t xml:space="preserve"> </w:t>
      </w:r>
      <w:r w:rsidRPr="006C4917">
        <w:rPr>
          <w:rFonts w:hint="eastAsia"/>
          <w:rtl/>
        </w:rPr>
        <w:t>בנק</w:t>
      </w:r>
      <w:r w:rsidRPr="006C4917">
        <w:rPr>
          <w:rtl/>
        </w:rPr>
        <w:t xml:space="preserve"> </w:t>
      </w:r>
      <w:r w:rsidRPr="006C4917">
        <w:rPr>
          <w:rFonts w:hint="eastAsia"/>
          <w:rtl/>
        </w:rPr>
        <w:t>המזרחי</w:t>
      </w:r>
      <w:r w:rsidRPr="006C4917">
        <w:rPr>
          <w:rtl/>
        </w:rPr>
        <w:t xml:space="preserve">: </w:t>
      </w:r>
      <w:r w:rsidRPr="006C4917">
        <w:rPr>
          <w:rFonts w:hint="eastAsia"/>
          <w:rtl/>
        </w:rPr>
        <w:t>שאון</w:t>
      </w:r>
      <w:r w:rsidRPr="006C4917">
        <w:rPr>
          <w:rtl/>
        </w:rPr>
        <w:t xml:space="preserve"> </w:t>
      </w:r>
      <w:r w:rsidRPr="006C4917">
        <w:rPr>
          <w:rFonts w:hint="eastAsia"/>
          <w:rtl/>
        </w:rPr>
        <w:t>תופי</w:t>
      </w:r>
      <w:r w:rsidRPr="006C4917">
        <w:rPr>
          <w:rtl/>
        </w:rPr>
        <w:t xml:space="preserve"> </w:t>
      </w:r>
      <w:r w:rsidRPr="006C4917">
        <w:rPr>
          <w:rFonts w:hint="eastAsia"/>
          <w:rtl/>
        </w:rPr>
        <w:t>המהפכה</w:t>
      </w:r>
      <w:r w:rsidRPr="006C4917">
        <w:rPr>
          <w:rtl/>
        </w:rPr>
        <w:t xml:space="preserve"> </w:t>
      </w:r>
      <w:r w:rsidRPr="006C4917">
        <w:rPr>
          <w:rFonts w:hint="eastAsia"/>
          <w:rtl/>
        </w:rPr>
        <w:t>וקולו</w:t>
      </w:r>
      <w:r w:rsidRPr="006C4917">
        <w:rPr>
          <w:rtl/>
        </w:rPr>
        <w:t xml:space="preserve"> </w:t>
      </w:r>
      <w:r w:rsidRPr="006C4917">
        <w:rPr>
          <w:rFonts w:hint="eastAsia"/>
          <w:rtl/>
        </w:rPr>
        <w:t>של</w:t>
      </w:r>
      <w:r w:rsidRPr="006C4917">
        <w:rPr>
          <w:rtl/>
        </w:rPr>
        <w:t xml:space="preserve"> </w:t>
      </w:r>
      <w:r w:rsidRPr="006C4917">
        <w:rPr>
          <w:rFonts w:hint="eastAsia"/>
          <w:rtl/>
        </w:rPr>
        <w:t>הפיקולו</w:t>
      </w:r>
      <w:r w:rsidRPr="006C4917">
        <w:rPr>
          <w:rFonts w:hint="cs"/>
          <w:rtl/>
        </w:rPr>
        <w:t xml:space="preserve"> </w:t>
      </w:r>
      <w:r w:rsidRPr="006C4917">
        <w:rPr>
          <w:rtl/>
        </w:rPr>
        <w:t>–</w:t>
      </w:r>
      <w:r w:rsidRPr="006C4917">
        <w:rPr>
          <w:rFonts w:hint="cs"/>
          <w:rtl/>
        </w:rPr>
        <w:t xml:space="preserve"> </w:t>
      </w:r>
      <w:r w:rsidRPr="006C4917">
        <w:rPr>
          <w:rFonts w:hint="eastAsia"/>
          <w:rtl/>
        </w:rPr>
        <w:t>מורשתו</w:t>
      </w:r>
      <w:r w:rsidRPr="006C4917">
        <w:rPr>
          <w:rtl/>
        </w:rPr>
        <w:t xml:space="preserve"> </w:t>
      </w:r>
      <w:r w:rsidRPr="006C4917">
        <w:rPr>
          <w:rFonts w:hint="eastAsia"/>
          <w:rtl/>
        </w:rPr>
        <w:t>החוקתית</w:t>
      </w:r>
      <w:r w:rsidRPr="006C4917">
        <w:rPr>
          <w:rtl/>
        </w:rPr>
        <w:t xml:space="preserve"> </w:t>
      </w:r>
      <w:r w:rsidRPr="006C4917">
        <w:rPr>
          <w:rFonts w:hint="eastAsia"/>
          <w:rtl/>
        </w:rPr>
        <w:t>של</w:t>
      </w:r>
      <w:r w:rsidRPr="006C4917">
        <w:rPr>
          <w:rtl/>
        </w:rPr>
        <w:t xml:space="preserve"> </w:t>
      </w:r>
      <w:r w:rsidRPr="006C4917">
        <w:rPr>
          <w:rFonts w:hint="eastAsia"/>
          <w:rtl/>
        </w:rPr>
        <w:t>השופט</w:t>
      </w:r>
      <w:r w:rsidRPr="006C4917">
        <w:rPr>
          <w:rtl/>
        </w:rPr>
        <w:t xml:space="preserve"> </w:t>
      </w:r>
      <w:r w:rsidRPr="006C4917">
        <w:rPr>
          <w:rFonts w:hint="eastAsia"/>
          <w:rtl/>
        </w:rPr>
        <w:t>מישאל</w:t>
      </w:r>
      <w:r w:rsidRPr="006C4917">
        <w:rPr>
          <w:rtl/>
        </w:rPr>
        <w:t xml:space="preserve"> </w:t>
      </w:r>
      <w:r w:rsidRPr="006C4917">
        <w:rPr>
          <w:rFonts w:hint="eastAsia"/>
          <w:rtl/>
        </w:rPr>
        <w:t>חשין</w:t>
      </w:r>
      <w:r w:rsidRPr="006C4917">
        <w:rPr>
          <w:rtl/>
        </w:rPr>
        <w:t xml:space="preserve">" </w:t>
      </w:r>
      <w:r w:rsidRPr="006C4917">
        <w:rPr>
          <w:rFonts w:ascii="Century" w:hAnsi="Century" w:cs="Miriam" w:hint="eastAsia"/>
          <w:b/>
          <w:spacing w:val="0"/>
          <w:sz w:val="22"/>
          <w:szCs w:val="24"/>
          <w:rtl/>
        </w:rPr>
        <w:t>משפט</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ועסקים</w:t>
      </w:r>
      <w:r w:rsidRPr="006C4917">
        <w:rPr>
          <w:rtl/>
        </w:rPr>
        <w:t xml:space="preserve"> </w:t>
      </w:r>
      <w:r w:rsidRPr="006C4917">
        <w:rPr>
          <w:rFonts w:hint="eastAsia"/>
          <w:rtl/>
        </w:rPr>
        <w:t>כו</w:t>
      </w:r>
      <w:r w:rsidRPr="006C4917">
        <w:rPr>
          <w:rtl/>
        </w:rPr>
        <w:t xml:space="preserve"> 1, 3, 10 (2021)</w:t>
      </w:r>
      <w:r w:rsidRPr="006C4917">
        <w:rPr>
          <w:rFonts w:hint="cs"/>
          <w:rtl/>
        </w:rPr>
        <w:t xml:space="preserve">. לקריאה שונה, לפיה ישנם מספר פסקי דין חוקתיים אשר מבטאים דווקא את אימוץ גישת "תורת הריבונות הבלתי מוגבלת של הכנסת" של הנשיא </w:t>
      </w:r>
      <w:r w:rsidRPr="006C4917">
        <w:rPr>
          <w:rFonts w:ascii="Century" w:hAnsi="Century" w:cs="Miriam" w:hint="eastAsia"/>
          <w:b/>
          <w:spacing w:val="0"/>
          <w:sz w:val="22"/>
          <w:szCs w:val="24"/>
          <w:rtl/>
        </w:rPr>
        <w:t>שמגר</w:t>
      </w:r>
      <w:r w:rsidRPr="006C4917">
        <w:rPr>
          <w:rFonts w:hint="cs"/>
          <w:rtl/>
        </w:rPr>
        <w:t xml:space="preserve">, ראו </w:t>
      </w:r>
      <w:r w:rsidRPr="006C4917">
        <w:rPr>
          <w:rFonts w:hint="eastAsia"/>
          <w:rtl/>
        </w:rPr>
        <w:t>רבקה</w:t>
      </w:r>
      <w:r w:rsidRPr="006C4917">
        <w:rPr>
          <w:rtl/>
        </w:rPr>
        <w:t xml:space="preserve"> </w:t>
      </w:r>
      <w:r w:rsidRPr="006C4917">
        <w:rPr>
          <w:rFonts w:hint="eastAsia"/>
          <w:rtl/>
        </w:rPr>
        <w:t>ו</w:t>
      </w:r>
      <w:r w:rsidRPr="006C4917">
        <w:rPr>
          <w:rFonts w:hint="cs"/>
          <w:rtl/>
        </w:rPr>
        <w:t>ו</w:t>
      </w:r>
      <w:r w:rsidRPr="006C4917">
        <w:rPr>
          <w:rFonts w:hint="eastAsia"/>
          <w:rtl/>
        </w:rPr>
        <w:t>ייל</w:t>
      </w:r>
      <w:r w:rsidRPr="006C4917">
        <w:rPr>
          <w:rtl/>
        </w:rPr>
        <w:t xml:space="preserve"> "</w:t>
      </w:r>
      <w:r w:rsidRPr="006C4917">
        <w:rPr>
          <w:rFonts w:hint="eastAsia"/>
          <w:rtl/>
        </w:rPr>
        <w:t>עשרים</w:t>
      </w:r>
      <w:r w:rsidRPr="006C4917">
        <w:rPr>
          <w:rtl/>
        </w:rPr>
        <w:t xml:space="preserve"> </w:t>
      </w:r>
      <w:r w:rsidRPr="006C4917">
        <w:rPr>
          <w:rFonts w:hint="eastAsia"/>
          <w:rtl/>
        </w:rPr>
        <w:t>שנה</w:t>
      </w:r>
      <w:r w:rsidRPr="006C4917">
        <w:rPr>
          <w:rtl/>
        </w:rPr>
        <w:t xml:space="preserve"> </w:t>
      </w:r>
      <w:r w:rsidRPr="006C4917">
        <w:rPr>
          <w:rFonts w:hint="eastAsia"/>
          <w:rtl/>
        </w:rPr>
        <w:t>לבנק</w:t>
      </w:r>
      <w:r w:rsidRPr="006C4917">
        <w:rPr>
          <w:rtl/>
        </w:rPr>
        <w:t xml:space="preserve"> </w:t>
      </w:r>
      <w:r w:rsidRPr="006C4917">
        <w:rPr>
          <w:rFonts w:hint="eastAsia"/>
          <w:rtl/>
        </w:rPr>
        <w:t>המזרחי</w:t>
      </w:r>
      <w:r w:rsidRPr="006C4917">
        <w:rPr>
          <w:rtl/>
        </w:rPr>
        <w:t xml:space="preserve">: </w:t>
      </w:r>
      <w:r w:rsidRPr="006C4917">
        <w:rPr>
          <w:rFonts w:hint="eastAsia"/>
          <w:rtl/>
        </w:rPr>
        <w:t>סיפורה</w:t>
      </w:r>
      <w:r w:rsidRPr="006C4917">
        <w:rPr>
          <w:rtl/>
        </w:rPr>
        <w:t xml:space="preserve"> </w:t>
      </w:r>
      <w:r w:rsidRPr="006C4917">
        <w:rPr>
          <w:rFonts w:hint="eastAsia"/>
          <w:rtl/>
        </w:rPr>
        <w:t>הפיקנטי</w:t>
      </w:r>
      <w:r w:rsidRPr="006C4917">
        <w:rPr>
          <w:rtl/>
        </w:rPr>
        <w:t xml:space="preserve"> </w:t>
      </w:r>
      <w:r w:rsidRPr="006C4917">
        <w:rPr>
          <w:rFonts w:hint="eastAsia"/>
          <w:rtl/>
        </w:rPr>
        <w:t>של</w:t>
      </w:r>
      <w:r w:rsidRPr="006C4917">
        <w:rPr>
          <w:rtl/>
        </w:rPr>
        <w:t xml:space="preserve"> </w:t>
      </w:r>
      <w:r w:rsidRPr="006C4917">
        <w:rPr>
          <w:rFonts w:hint="eastAsia"/>
          <w:rtl/>
        </w:rPr>
        <w:t>חוקת</w:t>
      </w:r>
      <w:r w:rsidRPr="006C4917">
        <w:rPr>
          <w:rtl/>
        </w:rPr>
        <w:t xml:space="preserve"> </w:t>
      </w:r>
      <w:r w:rsidRPr="006C4917">
        <w:rPr>
          <w:rFonts w:hint="eastAsia"/>
          <w:rtl/>
        </w:rPr>
        <w:t>הכלאיים</w:t>
      </w:r>
      <w:r w:rsidRPr="006C4917">
        <w:rPr>
          <w:rtl/>
        </w:rPr>
        <w:t xml:space="preserve"> </w:t>
      </w:r>
      <w:r w:rsidRPr="006C4917">
        <w:rPr>
          <w:rFonts w:hint="eastAsia"/>
          <w:rtl/>
        </w:rPr>
        <w:t>הישראלית</w:t>
      </w:r>
      <w:r w:rsidRPr="006C4917">
        <w:rPr>
          <w:rtl/>
        </w:rPr>
        <w:t xml:space="preserve">" </w:t>
      </w:r>
      <w:r w:rsidRPr="006C4917">
        <w:rPr>
          <w:rFonts w:ascii="Century" w:hAnsi="Century" w:cs="Miriam" w:hint="eastAsia"/>
          <w:b/>
          <w:spacing w:val="0"/>
          <w:sz w:val="22"/>
          <w:szCs w:val="24"/>
          <w:rtl/>
        </w:rPr>
        <w:t>עיוני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משפט</w:t>
      </w:r>
      <w:r w:rsidRPr="006C4917">
        <w:rPr>
          <w:rtl/>
        </w:rPr>
        <w:t xml:space="preserve"> </w:t>
      </w:r>
      <w:r w:rsidRPr="006C4917">
        <w:rPr>
          <w:rFonts w:hint="eastAsia"/>
          <w:rtl/>
        </w:rPr>
        <w:t>לח</w:t>
      </w:r>
      <w:r w:rsidRPr="006C4917">
        <w:rPr>
          <w:rtl/>
        </w:rPr>
        <w:t xml:space="preserve"> 501, 515-514 (2016)</w:t>
      </w:r>
      <w:r w:rsidRPr="006C4917">
        <w:rPr>
          <w:rFonts w:hint="cs"/>
          <w:rtl/>
        </w:rPr>
        <w:t xml:space="preserve">). ודוק, עצם העובדה שהחלטות בית משפט זה התקבלו בדעת רוב, בניגוד לדעתם של ענקי משפט כדוגמת הנשיא </w:t>
      </w:r>
      <w:r w:rsidRPr="006C4917">
        <w:rPr>
          <w:rFonts w:ascii="Century" w:hAnsi="Century" w:cs="Miriam" w:hint="eastAsia"/>
          <w:b/>
          <w:spacing w:val="0"/>
          <w:sz w:val="22"/>
          <w:szCs w:val="24"/>
          <w:rtl/>
        </w:rPr>
        <w:t>שמגר</w:t>
      </w:r>
      <w:r w:rsidRPr="006C4917">
        <w:rPr>
          <w:rFonts w:hint="cs"/>
          <w:rtl/>
        </w:rPr>
        <w:t xml:space="preserve"> והשופט </w:t>
      </w:r>
      <w:r w:rsidRPr="006C4917">
        <w:rPr>
          <w:rFonts w:ascii="Century" w:hAnsi="Century" w:cs="Miriam" w:hint="cs"/>
          <w:b/>
          <w:spacing w:val="0"/>
          <w:sz w:val="22"/>
          <w:szCs w:val="24"/>
          <w:rtl/>
        </w:rPr>
        <w:t xml:space="preserve">חשין </w:t>
      </w:r>
      <w:r w:rsidRPr="006C4917">
        <w:rPr>
          <w:rFonts w:hint="cs"/>
          <w:rtl/>
        </w:rPr>
        <w:t xml:space="preserve">(אשר גם שנים לאחר מתן פסק הדין בעניין </w:t>
      </w:r>
      <w:r w:rsidRPr="006C4917">
        <w:rPr>
          <w:rFonts w:ascii="Century" w:hAnsi="Century" w:cs="Miriam" w:hint="cs"/>
          <w:b/>
          <w:spacing w:val="0"/>
          <w:sz w:val="22"/>
          <w:szCs w:val="24"/>
          <w:rtl/>
        </w:rPr>
        <w:lastRenderedPageBreak/>
        <w:t>בנק המזרחי</w:t>
      </w:r>
      <w:r w:rsidRPr="006C4917">
        <w:rPr>
          <w:rFonts w:hint="cs"/>
          <w:rtl/>
        </w:rPr>
        <w:t xml:space="preserve"> עמדו על עמדותיהם. ראו </w:t>
      </w:r>
      <w:r w:rsidRPr="006C4917">
        <w:rPr>
          <w:rFonts w:hint="eastAsia"/>
          <w:rtl/>
        </w:rPr>
        <w:t>טל</w:t>
      </w:r>
      <w:r w:rsidRPr="006C4917">
        <w:rPr>
          <w:rtl/>
        </w:rPr>
        <w:t xml:space="preserve"> </w:t>
      </w:r>
      <w:r w:rsidRPr="006C4917">
        <w:rPr>
          <w:rFonts w:hint="eastAsia"/>
          <w:rtl/>
        </w:rPr>
        <w:t>כהנא</w:t>
      </w:r>
      <w:r w:rsidRPr="006C4917">
        <w:rPr>
          <w:rFonts w:hint="cs"/>
          <w:rtl/>
        </w:rPr>
        <w:t xml:space="preserve"> ו</w:t>
      </w:r>
      <w:r w:rsidRPr="006C4917">
        <w:rPr>
          <w:rFonts w:hint="eastAsia"/>
          <w:rtl/>
        </w:rPr>
        <w:t>אילנה</w:t>
      </w:r>
      <w:r w:rsidRPr="006C4917">
        <w:rPr>
          <w:rtl/>
        </w:rPr>
        <w:t xml:space="preserve"> </w:t>
      </w:r>
      <w:r w:rsidRPr="006C4917">
        <w:rPr>
          <w:rFonts w:hint="eastAsia"/>
          <w:rtl/>
        </w:rPr>
        <w:t>פרנקל</w:t>
      </w:r>
      <w:r w:rsidRPr="006C4917">
        <w:rPr>
          <w:rtl/>
        </w:rPr>
        <w:t xml:space="preserve"> "</w:t>
      </w:r>
      <w:r w:rsidRPr="006C4917">
        <w:rPr>
          <w:rFonts w:hint="eastAsia"/>
          <w:rtl/>
        </w:rPr>
        <w:t>ריאיון</w:t>
      </w:r>
      <w:r w:rsidRPr="006C4917">
        <w:rPr>
          <w:rtl/>
        </w:rPr>
        <w:t xml:space="preserve"> </w:t>
      </w:r>
      <w:r w:rsidRPr="006C4917">
        <w:rPr>
          <w:rFonts w:hint="eastAsia"/>
          <w:rtl/>
        </w:rPr>
        <w:t>עם</w:t>
      </w:r>
      <w:r w:rsidRPr="006C4917">
        <w:rPr>
          <w:rtl/>
        </w:rPr>
        <w:t xml:space="preserve"> </w:t>
      </w:r>
      <w:r w:rsidRPr="006C4917">
        <w:rPr>
          <w:rFonts w:hint="eastAsia"/>
          <w:rtl/>
        </w:rPr>
        <w:t>המשנה</w:t>
      </w:r>
      <w:r w:rsidRPr="006C4917">
        <w:rPr>
          <w:rtl/>
        </w:rPr>
        <w:t xml:space="preserve"> </w:t>
      </w:r>
      <w:r w:rsidRPr="006C4917">
        <w:rPr>
          <w:rFonts w:hint="eastAsia"/>
          <w:rtl/>
        </w:rPr>
        <w:t>לנשיא</w:t>
      </w:r>
      <w:r w:rsidRPr="006C4917">
        <w:rPr>
          <w:rtl/>
        </w:rPr>
        <w:t xml:space="preserve"> </w:t>
      </w:r>
      <w:r w:rsidRPr="006C4917">
        <w:rPr>
          <w:rFonts w:hint="eastAsia"/>
          <w:rtl/>
        </w:rPr>
        <w:t>בית</w:t>
      </w:r>
      <w:r w:rsidRPr="006C4917">
        <w:rPr>
          <w:rtl/>
        </w:rPr>
        <w:t xml:space="preserve"> </w:t>
      </w:r>
      <w:r w:rsidRPr="006C4917">
        <w:rPr>
          <w:rFonts w:hint="eastAsia"/>
          <w:rtl/>
        </w:rPr>
        <w:t>המשפט</w:t>
      </w:r>
      <w:r w:rsidRPr="006C4917">
        <w:rPr>
          <w:rtl/>
        </w:rPr>
        <w:t xml:space="preserve"> </w:t>
      </w:r>
      <w:r w:rsidRPr="006C4917">
        <w:rPr>
          <w:rFonts w:hint="eastAsia"/>
          <w:rtl/>
        </w:rPr>
        <w:t>העליון</w:t>
      </w:r>
      <w:r w:rsidRPr="006C4917">
        <w:rPr>
          <w:rtl/>
        </w:rPr>
        <w:t xml:space="preserve"> (</w:t>
      </w:r>
      <w:r w:rsidRPr="006C4917">
        <w:rPr>
          <w:rFonts w:hint="eastAsia"/>
          <w:rtl/>
        </w:rPr>
        <w:t>בדימוס</w:t>
      </w:r>
      <w:r w:rsidRPr="006C4917">
        <w:rPr>
          <w:rtl/>
        </w:rPr>
        <w:t>), ‏</w:t>
      </w:r>
      <w:r w:rsidRPr="006C4917">
        <w:rPr>
          <w:rFonts w:hint="eastAsia"/>
          <w:rtl/>
        </w:rPr>
        <w:t>השופט</w:t>
      </w:r>
      <w:r w:rsidRPr="006C4917">
        <w:rPr>
          <w:rtl/>
        </w:rPr>
        <w:t xml:space="preserve"> </w:t>
      </w:r>
      <w:r w:rsidRPr="006C4917">
        <w:rPr>
          <w:rFonts w:hint="eastAsia"/>
          <w:rtl/>
        </w:rPr>
        <w:t>מישאל</w:t>
      </w:r>
      <w:r w:rsidRPr="006C4917">
        <w:rPr>
          <w:rtl/>
        </w:rPr>
        <w:t xml:space="preserve"> </w:t>
      </w:r>
      <w:r w:rsidRPr="006C4917">
        <w:rPr>
          <w:rFonts w:hint="eastAsia"/>
          <w:rtl/>
        </w:rPr>
        <w:t>חשין</w:t>
      </w:r>
      <w:r w:rsidRPr="006C4917">
        <w:rPr>
          <w:rtl/>
        </w:rPr>
        <w:t xml:space="preserve">" </w:t>
      </w:r>
      <w:r w:rsidRPr="006C4917">
        <w:rPr>
          <w:rFonts w:ascii="Century" w:hAnsi="Century" w:cs="Miriam" w:hint="eastAsia"/>
          <w:b/>
          <w:spacing w:val="0"/>
          <w:sz w:val="22"/>
          <w:szCs w:val="24"/>
          <w:rtl/>
        </w:rPr>
        <w:t>דין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ודברים</w:t>
      </w:r>
      <w:r w:rsidRPr="006C4917">
        <w:rPr>
          <w:rFonts w:ascii="Century" w:hAnsi="Century" w:cs="Miriam"/>
          <w:b/>
          <w:spacing w:val="0"/>
          <w:sz w:val="22"/>
          <w:szCs w:val="24"/>
          <w:rtl/>
        </w:rPr>
        <w:t xml:space="preserve"> </w:t>
      </w:r>
      <w:r w:rsidRPr="006C4917">
        <w:rPr>
          <w:rFonts w:hint="eastAsia"/>
          <w:rtl/>
        </w:rPr>
        <w:t>ג</w:t>
      </w:r>
      <w:r w:rsidRPr="006C4917">
        <w:rPr>
          <w:rtl/>
        </w:rPr>
        <w:t xml:space="preserve"> 195, 196 (2006)</w:t>
      </w:r>
      <w:r w:rsidRPr="006C4917">
        <w:rPr>
          <w:rFonts w:hint="cs"/>
          <w:rtl/>
        </w:rPr>
        <w:t xml:space="preserve">; "ריאיון </w:t>
      </w:r>
      <w:r w:rsidRPr="006C4917">
        <w:rPr>
          <w:rtl/>
        </w:rPr>
        <w:t>–</w:t>
      </w:r>
      <w:r w:rsidRPr="006C4917">
        <w:rPr>
          <w:rFonts w:hint="cs"/>
          <w:rtl/>
        </w:rPr>
        <w:t xml:space="preserve"> נשיא בית המשפט העליון בדימוס מאיר שמגר" </w:t>
      </w:r>
      <w:r w:rsidRPr="006C4917">
        <w:rPr>
          <w:rFonts w:ascii="Century" w:hAnsi="Century" w:cs="Miriam" w:hint="cs"/>
          <w:b/>
          <w:spacing w:val="0"/>
          <w:sz w:val="22"/>
          <w:szCs w:val="24"/>
          <w:rtl/>
        </w:rPr>
        <w:t>עלי משפט</w:t>
      </w:r>
      <w:r w:rsidRPr="006C4917">
        <w:rPr>
          <w:rFonts w:hint="cs"/>
          <w:rtl/>
        </w:rPr>
        <w:t xml:space="preserve"> ז 12 (2009)), מלמדת כי הכרעותיו של בית משפט זה בעניינים אלה בוודאי לא היו מובנות מאליהן, וכי ניתן היה לאמץ כיווני התפתחות חוקתיים אחרים. ואולם, כפי ששנינו, זו דרכו של המשפט </w:t>
      </w:r>
      <w:r w:rsidRPr="006C4917">
        <w:rPr>
          <w:rtl/>
        </w:rPr>
        <w:t>–</w:t>
      </w:r>
      <w:r w:rsidRPr="006C4917">
        <w:rPr>
          <w:rFonts w:hint="cs"/>
          <w:rtl/>
        </w:rPr>
        <w:t xml:space="preserve"> הוא נכתב "פרקים פרקים", על ידי שופטים שונים, ובהתאם לציווי "אחרי רבים להטות".</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ואכן, בהליכים שלפנינו איש מהטוענים לא ביקש לחלוק על עצם סמכותה של הכנסת לשמש לא רק כרשות המחוקקת של מדינת ישראל, אלא גם, בעת ובעונה אחת, כרשות המכוננת של מדינת ישראל. זאת ועוד, איש מהטוענים גם לא חלק על כך שבכובעה המכונן, הכנסת הנוכחית, הכנסת ה-25, היא ממשיכת הרשויות המכוננות שקדמו לה, דהיינו כל עשרים וארבע הכנסות שקדמו לה, וש"ירשו" אף הן את הסמכות המכוננת, כל אחת מקודמתה (כך, בין אם נראה בסמכות זו סמכות מכוננת "מקורית", ובין אם נראה בה סמכות מכוננת "נגזרת". ראו</w:t>
      </w:r>
      <w:r w:rsidRPr="006C4917">
        <w:rPr>
          <w:rFonts w:hint="eastAsia"/>
          <w:rtl/>
        </w:rPr>
        <w:t xml:space="preserve"> בג</w:t>
      </w:r>
      <w:r w:rsidRPr="006C4917">
        <w:rPr>
          <w:rtl/>
        </w:rPr>
        <w:t>"</w:t>
      </w:r>
      <w:r w:rsidRPr="006C4917">
        <w:rPr>
          <w:rFonts w:hint="eastAsia"/>
          <w:rtl/>
        </w:rPr>
        <w:t>ץ</w:t>
      </w:r>
      <w:r w:rsidRPr="006C4917">
        <w:rPr>
          <w:rtl/>
        </w:rPr>
        <w:t xml:space="preserve"> 5555/18 </w:t>
      </w:r>
      <w:r w:rsidRPr="006C4917">
        <w:rPr>
          <w:rFonts w:ascii="Century" w:hAnsi="Century" w:cs="Miriam" w:hint="eastAsia"/>
          <w:b/>
          <w:spacing w:val="0"/>
          <w:sz w:val="22"/>
          <w:szCs w:val="24"/>
          <w:rtl/>
        </w:rPr>
        <w:t>חסון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כנסת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ישראל</w:t>
      </w:r>
      <w:r w:rsidRPr="006C4917">
        <w:rPr>
          <w:rFonts w:hint="cs"/>
          <w:rtl/>
        </w:rPr>
        <w:t>,</w:t>
      </w:r>
      <w:r w:rsidRPr="006C4917">
        <w:rPr>
          <w:rtl/>
        </w:rPr>
        <w:t xml:space="preserve"> </w:t>
      </w:r>
      <w:r w:rsidRPr="006C4917">
        <w:rPr>
          <w:rFonts w:hint="eastAsia"/>
          <w:rtl/>
        </w:rPr>
        <w:t>פסקה</w:t>
      </w:r>
      <w:r w:rsidRPr="006C4917">
        <w:rPr>
          <w:rtl/>
        </w:rPr>
        <w:t xml:space="preserve"> 25 </w:t>
      </w:r>
      <w:r w:rsidRPr="006C4917">
        <w:rPr>
          <w:rFonts w:hint="eastAsia"/>
          <w:rtl/>
        </w:rPr>
        <w:t>לפסק</w:t>
      </w:r>
      <w:r w:rsidRPr="006C4917">
        <w:rPr>
          <w:rtl/>
        </w:rPr>
        <w:t xml:space="preserve"> </w:t>
      </w:r>
      <w:r w:rsidRPr="006C4917">
        <w:rPr>
          <w:rFonts w:hint="eastAsia"/>
          <w:rtl/>
        </w:rPr>
        <w:t>דינה</w:t>
      </w:r>
      <w:r w:rsidRPr="006C4917">
        <w:rPr>
          <w:rtl/>
        </w:rPr>
        <w:t xml:space="preserve"> </w:t>
      </w:r>
      <w:r w:rsidRPr="006C4917">
        <w:rPr>
          <w:rFonts w:hint="eastAsia"/>
          <w:rtl/>
        </w:rPr>
        <w:t>של</w:t>
      </w:r>
      <w:r w:rsidRPr="006C4917">
        <w:rPr>
          <w:rtl/>
        </w:rPr>
        <w:t xml:space="preserve"> </w:t>
      </w:r>
      <w:r w:rsidRPr="006C4917">
        <w:rPr>
          <w:rFonts w:hint="eastAsia"/>
          <w:rtl/>
        </w:rPr>
        <w:t>הנשיאה</w:t>
      </w:r>
      <w:r w:rsidRPr="006C4917">
        <w:rPr>
          <w:rtl/>
        </w:rPr>
        <w:t xml:space="preserve"> </w:t>
      </w:r>
      <w:r w:rsidRPr="006C4917">
        <w:rPr>
          <w:rFonts w:ascii="Century" w:hAnsi="Century" w:cs="Miriam" w:hint="eastAsia"/>
          <w:b/>
          <w:spacing w:val="0"/>
          <w:sz w:val="22"/>
          <w:szCs w:val="24"/>
          <w:rtl/>
        </w:rPr>
        <w:t>חיות</w:t>
      </w:r>
      <w:r w:rsidRPr="006C4917">
        <w:rPr>
          <w:rtl/>
        </w:rPr>
        <w:t xml:space="preserve"> </w:t>
      </w:r>
      <w:r w:rsidRPr="006C4917">
        <w:rPr>
          <w:rFonts w:hint="eastAsia"/>
          <w:rtl/>
        </w:rPr>
        <w:t>והאסמכתאות</w:t>
      </w:r>
      <w:r w:rsidRPr="006C4917">
        <w:rPr>
          <w:rtl/>
        </w:rPr>
        <w:t xml:space="preserve"> </w:t>
      </w:r>
      <w:r w:rsidRPr="006C4917">
        <w:rPr>
          <w:rFonts w:hint="eastAsia"/>
          <w:rtl/>
        </w:rPr>
        <w:t>שם</w:t>
      </w:r>
      <w:r w:rsidRPr="006C4917">
        <w:rPr>
          <w:rFonts w:hint="cs"/>
          <w:rtl/>
        </w:rPr>
        <w:t xml:space="preserve"> ופסקה 13 לפסק דינו של השופט </w:t>
      </w:r>
      <w:r w:rsidRPr="006C4917">
        <w:rPr>
          <w:rFonts w:ascii="Century" w:hAnsi="Century" w:cs="Miriam" w:hint="cs"/>
          <w:b/>
          <w:spacing w:val="0"/>
          <w:sz w:val="22"/>
          <w:szCs w:val="24"/>
          <w:rtl/>
        </w:rPr>
        <w:t>נעם סולברג</w:t>
      </w:r>
      <w:r w:rsidRPr="006C4917">
        <w:rPr>
          <w:rFonts w:hint="cs"/>
          <w:rtl/>
        </w:rPr>
        <w:t xml:space="preserve"> </w:t>
      </w:r>
      <w:r w:rsidRPr="006C4917">
        <w:rPr>
          <w:rtl/>
        </w:rPr>
        <w:t>(</w:t>
      </w:r>
      <w:r w:rsidRPr="006C4917">
        <w:rPr>
          <w:rFonts w:hint="cs"/>
          <w:rtl/>
        </w:rPr>
        <w:t>8</w:t>
      </w:r>
      <w:r w:rsidRPr="006C4917">
        <w:rPr>
          <w:rtl/>
        </w:rPr>
        <w:t>.</w:t>
      </w:r>
      <w:r w:rsidRPr="006C4917">
        <w:rPr>
          <w:rFonts w:hint="cs"/>
          <w:rtl/>
        </w:rPr>
        <w:t>7</w:t>
      </w:r>
      <w:r w:rsidRPr="006C4917">
        <w:rPr>
          <w:rtl/>
        </w:rPr>
        <w:t>.2021)</w:t>
      </w:r>
      <w:r w:rsidRPr="006C4917">
        <w:rPr>
          <w:rFonts w:hint="cs"/>
          <w:rtl/>
        </w:rPr>
        <w:t xml:space="preserve"> (להלן: </w:t>
      </w:r>
      <w:r w:rsidRPr="006C4917">
        <w:rPr>
          <w:rFonts w:ascii="Century" w:hAnsi="Century" w:cs="Miriam" w:hint="cs"/>
          <w:b/>
          <w:spacing w:val="0"/>
          <w:sz w:val="22"/>
          <w:szCs w:val="24"/>
          <w:rtl/>
        </w:rPr>
        <w:t>עניין חסון</w:t>
      </w:r>
      <w:r w:rsidRPr="006C4917">
        <w:rPr>
          <w:rFonts w:hint="cs"/>
          <w:rtl/>
        </w:rPr>
        <w:t xml:space="preserve">); </w:t>
      </w:r>
      <w:r w:rsidRPr="006C4917">
        <w:rPr>
          <w:rFonts w:hint="eastAsia"/>
          <w:rtl/>
        </w:rPr>
        <w:t>אריאל</w:t>
      </w:r>
      <w:r w:rsidRPr="006C4917">
        <w:rPr>
          <w:rtl/>
        </w:rPr>
        <w:t xml:space="preserve"> </w:t>
      </w:r>
      <w:r w:rsidRPr="006C4917">
        <w:rPr>
          <w:rFonts w:hint="eastAsia"/>
          <w:rtl/>
        </w:rPr>
        <w:t>בנדור</w:t>
      </w:r>
      <w:r w:rsidRPr="006C4917">
        <w:rPr>
          <w:rtl/>
        </w:rPr>
        <w:t xml:space="preserve"> "</w:t>
      </w:r>
      <w:r w:rsidRPr="006C4917">
        <w:rPr>
          <w:rFonts w:hint="eastAsia"/>
          <w:rtl/>
        </w:rPr>
        <w:t>המעמד</w:t>
      </w:r>
      <w:r w:rsidRPr="006C4917">
        <w:rPr>
          <w:rtl/>
        </w:rPr>
        <w:t xml:space="preserve"> </w:t>
      </w:r>
      <w:r w:rsidRPr="006C4917">
        <w:rPr>
          <w:rFonts w:hint="eastAsia"/>
          <w:rtl/>
        </w:rPr>
        <w:t>המשפטי</w:t>
      </w:r>
      <w:r w:rsidRPr="006C4917">
        <w:rPr>
          <w:rtl/>
        </w:rPr>
        <w:t xml:space="preserve"> </w:t>
      </w:r>
      <w:r w:rsidRPr="006C4917">
        <w:rPr>
          <w:rFonts w:hint="eastAsia"/>
          <w:rtl/>
        </w:rPr>
        <w:t>של</w:t>
      </w:r>
      <w:r w:rsidRPr="006C4917">
        <w:rPr>
          <w:rtl/>
        </w:rPr>
        <w:t xml:space="preserve"> </w:t>
      </w:r>
      <w:r w:rsidRPr="006C4917">
        <w:rPr>
          <w:rFonts w:hint="eastAsia"/>
          <w:rtl/>
        </w:rPr>
        <w:t>חוקי</w:t>
      </w:r>
      <w:r w:rsidRPr="006C4917">
        <w:rPr>
          <w:rtl/>
        </w:rPr>
        <w:t>-</w:t>
      </w:r>
      <w:r w:rsidRPr="006C4917">
        <w:rPr>
          <w:rFonts w:hint="eastAsia"/>
          <w:rtl/>
        </w:rPr>
        <w:t>יסוד</w:t>
      </w:r>
      <w:r w:rsidRPr="006C4917">
        <w:rPr>
          <w:rtl/>
        </w:rPr>
        <w:t xml:space="preserve">" </w:t>
      </w:r>
      <w:r w:rsidRPr="006C4917">
        <w:rPr>
          <w:rFonts w:ascii="Century" w:hAnsi="Century" w:cs="Miriam" w:hint="eastAsia"/>
          <w:b/>
          <w:spacing w:val="0"/>
          <w:sz w:val="22"/>
          <w:szCs w:val="24"/>
          <w:rtl/>
        </w:rPr>
        <w:t>ספר</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ברנזון</w:t>
      </w:r>
      <w:r w:rsidRPr="006C4917">
        <w:rPr>
          <w:rFonts w:ascii="Century" w:hAnsi="Century" w:cs="Miriam"/>
          <w:b/>
          <w:spacing w:val="0"/>
          <w:sz w:val="22"/>
          <w:szCs w:val="24"/>
          <w:rtl/>
        </w:rPr>
        <w:t xml:space="preserve"> </w:t>
      </w:r>
      <w:r w:rsidRPr="006C4917">
        <w:rPr>
          <w:rFonts w:ascii="Century" w:hAnsi="Century" w:hint="eastAsia"/>
          <w:sz w:val="22"/>
          <w:rtl/>
        </w:rPr>
        <w:t>כרך</w:t>
      </w:r>
      <w:r w:rsidRPr="006C4917">
        <w:rPr>
          <w:rFonts w:ascii="Century" w:hAnsi="Century"/>
          <w:sz w:val="22"/>
          <w:rtl/>
        </w:rPr>
        <w:t xml:space="preserve"> </w:t>
      </w:r>
      <w:r w:rsidRPr="006C4917">
        <w:rPr>
          <w:rFonts w:ascii="Century" w:hAnsi="Century" w:hint="eastAsia"/>
          <w:sz w:val="22"/>
          <w:rtl/>
        </w:rPr>
        <w:t>שני</w:t>
      </w:r>
      <w:r w:rsidRPr="006C4917">
        <w:rPr>
          <w:rFonts w:ascii="Century" w:hAnsi="Century" w:cs="Miriam"/>
          <w:b/>
          <w:spacing w:val="0"/>
          <w:sz w:val="22"/>
          <w:szCs w:val="24"/>
          <w:rtl/>
        </w:rPr>
        <w:t xml:space="preserve"> </w:t>
      </w:r>
      <w:r w:rsidRPr="006C4917">
        <w:rPr>
          <w:rtl/>
        </w:rPr>
        <w:t>135 (</w:t>
      </w:r>
      <w:r w:rsidRPr="006C4917">
        <w:rPr>
          <w:rFonts w:hint="cs"/>
          <w:rtl/>
        </w:rPr>
        <w:t>אהרן ברק וחיים ברנזון עורכים, 1997</w:t>
      </w:r>
      <w:r w:rsidRPr="006C4917">
        <w:rPr>
          <w:rtl/>
        </w:rPr>
        <w:t>)</w:t>
      </w:r>
      <w:r w:rsidRPr="006C4917">
        <w:rPr>
          <w:rFonts w:hint="cs"/>
          <w:rtl/>
        </w:rPr>
        <w:t xml:space="preserve"> (להלן: </w:t>
      </w:r>
      <w:r w:rsidRPr="006C4917">
        <w:rPr>
          <w:rFonts w:ascii="Century" w:hAnsi="Century" w:cs="Miriam" w:hint="cs"/>
          <w:b/>
          <w:spacing w:val="0"/>
          <w:sz w:val="22"/>
          <w:szCs w:val="24"/>
          <w:rtl/>
        </w:rPr>
        <w:t>בנדור, המעמד המשפטי של חוקי היסוד</w:t>
      </w:r>
      <w:r w:rsidRPr="006C4917">
        <w:rPr>
          <w:rFonts w:hint="cs"/>
          <w:rtl/>
        </w:rPr>
        <w:t xml:space="preserve">); </w:t>
      </w:r>
      <w:r w:rsidRPr="006C4917">
        <w:rPr>
          <w:rFonts w:hint="eastAsia"/>
          <w:rtl/>
        </w:rPr>
        <w:t>קלוד</w:t>
      </w:r>
      <w:r w:rsidRPr="006C4917">
        <w:rPr>
          <w:rtl/>
        </w:rPr>
        <w:t xml:space="preserve"> </w:t>
      </w:r>
      <w:r w:rsidRPr="006C4917">
        <w:rPr>
          <w:rFonts w:hint="eastAsia"/>
          <w:rtl/>
        </w:rPr>
        <w:t>קליין</w:t>
      </w:r>
      <w:r w:rsidRPr="006C4917">
        <w:rPr>
          <w:rtl/>
        </w:rPr>
        <w:t xml:space="preserve"> </w:t>
      </w:r>
      <w:r w:rsidRPr="006C4917">
        <w:rPr>
          <w:rFonts w:hint="cs"/>
          <w:rtl/>
        </w:rPr>
        <w:t>"</w:t>
      </w:r>
      <w:r w:rsidRPr="006C4917">
        <w:rPr>
          <w:rFonts w:hint="eastAsia"/>
          <w:rtl/>
        </w:rPr>
        <w:t>בעקבות</w:t>
      </w:r>
      <w:r w:rsidRPr="006C4917">
        <w:rPr>
          <w:rtl/>
        </w:rPr>
        <w:t xml:space="preserve"> </w:t>
      </w:r>
      <w:r w:rsidRPr="006C4917">
        <w:rPr>
          <w:rFonts w:hint="eastAsia"/>
          <w:rtl/>
        </w:rPr>
        <w:t>פסק</w:t>
      </w:r>
      <w:r w:rsidRPr="006C4917">
        <w:rPr>
          <w:rtl/>
        </w:rPr>
        <w:t xml:space="preserve"> </w:t>
      </w:r>
      <w:r w:rsidRPr="006C4917">
        <w:rPr>
          <w:rFonts w:hint="eastAsia"/>
          <w:rtl/>
        </w:rPr>
        <w:t>דין</w:t>
      </w:r>
      <w:r w:rsidRPr="006C4917">
        <w:rPr>
          <w:rtl/>
        </w:rPr>
        <w:t xml:space="preserve"> </w:t>
      </w:r>
      <w:r w:rsidRPr="006C4917">
        <w:rPr>
          <w:rFonts w:hint="eastAsia"/>
          <w:rtl/>
        </w:rPr>
        <w:t>המזרחי</w:t>
      </w:r>
      <w:r w:rsidRPr="006C4917">
        <w:rPr>
          <w:rtl/>
        </w:rPr>
        <w:t xml:space="preserve"> – </w:t>
      </w:r>
      <w:r w:rsidRPr="006C4917">
        <w:rPr>
          <w:rFonts w:hint="eastAsia"/>
          <w:rtl/>
        </w:rPr>
        <w:t>הסמכות</w:t>
      </w:r>
      <w:r w:rsidRPr="006C4917">
        <w:rPr>
          <w:rtl/>
        </w:rPr>
        <w:t xml:space="preserve"> </w:t>
      </w:r>
      <w:r w:rsidRPr="006C4917">
        <w:rPr>
          <w:rFonts w:hint="eastAsia"/>
          <w:rtl/>
        </w:rPr>
        <w:t>המכוננת</w:t>
      </w:r>
      <w:r w:rsidRPr="006C4917">
        <w:rPr>
          <w:rtl/>
        </w:rPr>
        <w:t xml:space="preserve"> </w:t>
      </w:r>
      <w:r w:rsidRPr="006C4917">
        <w:rPr>
          <w:rFonts w:hint="eastAsia"/>
          <w:rtl/>
        </w:rPr>
        <w:t>בראי</w:t>
      </w:r>
      <w:r w:rsidRPr="006C4917">
        <w:rPr>
          <w:rtl/>
        </w:rPr>
        <w:t xml:space="preserve"> </w:t>
      </w:r>
      <w:r w:rsidRPr="006C4917">
        <w:rPr>
          <w:rFonts w:hint="eastAsia"/>
          <w:rtl/>
        </w:rPr>
        <w:t>בית</w:t>
      </w:r>
      <w:r w:rsidRPr="006C4917">
        <w:rPr>
          <w:rtl/>
        </w:rPr>
        <w:t xml:space="preserve"> </w:t>
      </w:r>
      <w:r w:rsidRPr="006C4917">
        <w:rPr>
          <w:rFonts w:hint="eastAsia"/>
          <w:rtl/>
        </w:rPr>
        <w:t>המשפט</w:t>
      </w:r>
      <w:r w:rsidRPr="006C4917">
        <w:rPr>
          <w:rtl/>
        </w:rPr>
        <w:t xml:space="preserve"> </w:t>
      </w:r>
      <w:r w:rsidRPr="006C4917">
        <w:rPr>
          <w:rFonts w:hint="eastAsia"/>
          <w:rtl/>
        </w:rPr>
        <w:t>העליון</w:t>
      </w:r>
      <w:r w:rsidRPr="006C4917">
        <w:rPr>
          <w:rFonts w:hint="cs"/>
          <w:rtl/>
        </w:rPr>
        <w:t>"</w:t>
      </w:r>
      <w:r w:rsidRPr="006C4917">
        <w:rPr>
          <w:rtl/>
        </w:rPr>
        <w:t xml:space="preserve"> </w:t>
      </w:r>
      <w:r w:rsidRPr="006C4917">
        <w:rPr>
          <w:rFonts w:ascii="Century" w:hAnsi="Century" w:cs="Miriam" w:hint="eastAsia"/>
          <w:b/>
          <w:spacing w:val="0"/>
          <w:sz w:val="22"/>
          <w:szCs w:val="24"/>
          <w:rtl/>
        </w:rPr>
        <w:t>משפטים</w:t>
      </w:r>
      <w:r w:rsidRPr="006C4917">
        <w:rPr>
          <w:rtl/>
        </w:rPr>
        <w:t xml:space="preserve"> </w:t>
      </w:r>
      <w:r w:rsidRPr="006C4917">
        <w:rPr>
          <w:rFonts w:hint="eastAsia"/>
          <w:rtl/>
        </w:rPr>
        <w:t>כח</w:t>
      </w:r>
      <w:r w:rsidRPr="006C4917">
        <w:rPr>
          <w:rtl/>
        </w:rPr>
        <w:t xml:space="preserve"> 341, 3</w:t>
      </w:r>
      <w:r w:rsidRPr="006C4917">
        <w:rPr>
          <w:rFonts w:hint="cs"/>
          <w:rtl/>
        </w:rPr>
        <w:t>57-356</w:t>
      </w:r>
      <w:r w:rsidRPr="006C4917">
        <w:rPr>
          <w:rtl/>
        </w:rPr>
        <w:t xml:space="preserve"> (1997)</w:t>
      </w:r>
      <w:r w:rsidRPr="006C4917">
        <w:rPr>
          <w:rFonts w:hint="cs"/>
          <w:rtl/>
        </w:rPr>
        <w:t xml:space="preserve"> (להלן: </w:t>
      </w:r>
      <w:r w:rsidRPr="006C4917">
        <w:rPr>
          <w:rFonts w:ascii="Century" w:hAnsi="Century" w:cs="Miriam" w:hint="cs"/>
          <w:b/>
          <w:spacing w:val="0"/>
          <w:sz w:val="22"/>
          <w:szCs w:val="24"/>
          <w:rtl/>
        </w:rPr>
        <w:t>קליין, הסמכות המכוננת</w:t>
      </w:r>
      <w:r w:rsidRPr="006C4917">
        <w:rPr>
          <w:rFonts w:hint="cs"/>
          <w:rtl/>
        </w:rPr>
        <w:t xml:space="preserve">) (לעמדה כי הסמכות המקורית ממשיכה להתקיים ביחס לאותם נושאים שבהם טרם נחקקו חוקי היסוד, ואילו באותם נושאים שבהם נחקקו זה מכבר חוקי יסוד, מיצתה הכנסת את סמכותה המכוננת המקורית); </w:t>
      </w:r>
      <w:r w:rsidRPr="006C4917">
        <w:rPr>
          <w:rFonts w:hint="eastAsia"/>
          <w:rtl/>
        </w:rPr>
        <w:t>אהרן</w:t>
      </w:r>
      <w:r w:rsidRPr="006C4917">
        <w:rPr>
          <w:rtl/>
        </w:rPr>
        <w:t xml:space="preserve"> </w:t>
      </w:r>
      <w:r w:rsidRPr="006C4917">
        <w:rPr>
          <w:rFonts w:hint="eastAsia"/>
          <w:rtl/>
        </w:rPr>
        <w:t>ברק</w:t>
      </w:r>
      <w:r w:rsidRPr="006C4917">
        <w:rPr>
          <w:rtl/>
        </w:rPr>
        <w:t xml:space="preserve"> </w:t>
      </w:r>
      <w:r w:rsidRPr="006C4917">
        <w:rPr>
          <w:rFonts w:ascii="Century" w:hAnsi="Century" w:cs="Miriam" w:hint="eastAsia"/>
          <w:b/>
          <w:spacing w:val="0"/>
          <w:sz w:val="22"/>
          <w:szCs w:val="24"/>
          <w:rtl/>
        </w:rPr>
        <w:t>חוק</w:t>
      </w:r>
      <w:r w:rsidRPr="006C4917">
        <w:rPr>
          <w:rFonts w:ascii="Century" w:hAnsi="Century" w:cs="Miriam"/>
          <w:b/>
          <w:spacing w:val="0"/>
          <w:sz w:val="22"/>
          <w:szCs w:val="24"/>
          <w:rtl/>
        </w:rPr>
        <w:t>-</w:t>
      </w:r>
      <w:r w:rsidRPr="006C4917">
        <w:rPr>
          <w:rFonts w:ascii="Century" w:hAnsi="Century" w:cs="Miriam" w:hint="eastAsia"/>
          <w:b/>
          <w:spacing w:val="0"/>
          <w:sz w:val="22"/>
          <w:szCs w:val="24"/>
          <w:rtl/>
        </w:rPr>
        <w:t>יסוד</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כבוד</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האדם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וחירותו</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וחוק</w:t>
      </w:r>
      <w:r w:rsidRPr="006C4917">
        <w:rPr>
          <w:rFonts w:ascii="Century" w:hAnsi="Century" w:cs="Miriam" w:hint="cs"/>
          <w:b/>
          <w:spacing w:val="0"/>
          <w:sz w:val="22"/>
          <w:szCs w:val="24"/>
          <w:rtl/>
        </w:rPr>
        <w:t>-</w:t>
      </w:r>
      <w:r w:rsidRPr="006C4917">
        <w:rPr>
          <w:rFonts w:ascii="Century" w:hAnsi="Century" w:cs="Miriam" w:hint="eastAsia"/>
          <w:b/>
          <w:spacing w:val="0"/>
          <w:sz w:val="22"/>
          <w:szCs w:val="24"/>
          <w:rtl/>
        </w:rPr>
        <w:t>יסוד</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חופש</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העיסוק</w:t>
      </w:r>
      <w:r w:rsidRPr="006C4917">
        <w:rPr>
          <w:rtl/>
        </w:rPr>
        <w:t xml:space="preserve"> </w:t>
      </w:r>
      <w:r w:rsidRPr="006C4917">
        <w:rPr>
          <w:rFonts w:ascii="Century" w:hAnsi="Century" w:hint="eastAsia"/>
          <w:sz w:val="22"/>
          <w:rtl/>
        </w:rPr>
        <w:t>כרך</w:t>
      </w:r>
      <w:r w:rsidRPr="006C4917">
        <w:rPr>
          <w:rFonts w:ascii="Century" w:hAnsi="Century"/>
          <w:sz w:val="22"/>
          <w:rtl/>
        </w:rPr>
        <w:t xml:space="preserve"> </w:t>
      </w:r>
      <w:r w:rsidRPr="006C4917">
        <w:rPr>
          <w:rFonts w:ascii="Century" w:hAnsi="Century" w:hint="eastAsia"/>
          <w:sz w:val="22"/>
          <w:rtl/>
        </w:rPr>
        <w:t>א</w:t>
      </w:r>
      <w:r w:rsidRPr="006C4917">
        <w:rPr>
          <w:rFonts w:ascii="Century" w:hAnsi="Century"/>
          <w:sz w:val="22"/>
          <w:rtl/>
        </w:rPr>
        <w:t xml:space="preserve"> – </w:t>
      </w:r>
      <w:r w:rsidRPr="006C4917">
        <w:rPr>
          <w:rFonts w:ascii="Century" w:hAnsi="Century" w:hint="eastAsia"/>
          <w:sz w:val="22"/>
          <w:rtl/>
        </w:rPr>
        <w:t>תורת</w:t>
      </w:r>
      <w:r w:rsidRPr="006C4917">
        <w:rPr>
          <w:rFonts w:ascii="Century" w:hAnsi="Century"/>
          <w:sz w:val="22"/>
          <w:rtl/>
        </w:rPr>
        <w:t xml:space="preserve"> </w:t>
      </w:r>
      <w:r w:rsidRPr="006C4917">
        <w:rPr>
          <w:rFonts w:ascii="Century" w:hAnsi="Century" w:hint="eastAsia"/>
          <w:sz w:val="22"/>
          <w:rtl/>
        </w:rPr>
        <w:t>הזכויות</w:t>
      </w:r>
      <w:r w:rsidRPr="006C4917">
        <w:rPr>
          <w:rFonts w:ascii="Century" w:hAnsi="Century"/>
          <w:sz w:val="22"/>
          <w:rtl/>
        </w:rPr>
        <w:t xml:space="preserve"> </w:t>
      </w:r>
      <w:r w:rsidRPr="006C4917">
        <w:rPr>
          <w:rFonts w:ascii="Century" w:hAnsi="Century" w:hint="eastAsia"/>
          <w:sz w:val="22"/>
          <w:rtl/>
        </w:rPr>
        <w:t>החוקתיות</w:t>
      </w:r>
      <w:r w:rsidRPr="006C4917">
        <w:rPr>
          <w:rtl/>
        </w:rPr>
        <w:t xml:space="preserve"> 209 (</w:t>
      </w:r>
      <w:r w:rsidRPr="006C4917">
        <w:rPr>
          <w:rFonts w:hint="eastAsia"/>
          <w:rtl/>
        </w:rPr>
        <w:t>יצחק</w:t>
      </w:r>
      <w:r w:rsidRPr="006C4917">
        <w:rPr>
          <w:rtl/>
        </w:rPr>
        <w:t xml:space="preserve"> </w:t>
      </w:r>
      <w:r w:rsidRPr="006C4917">
        <w:rPr>
          <w:rFonts w:hint="eastAsia"/>
          <w:rtl/>
        </w:rPr>
        <w:t>זמיר</w:t>
      </w:r>
      <w:r w:rsidRPr="006C4917">
        <w:rPr>
          <w:rtl/>
        </w:rPr>
        <w:t xml:space="preserve"> </w:t>
      </w:r>
      <w:r w:rsidRPr="006C4917">
        <w:rPr>
          <w:rFonts w:hint="eastAsia"/>
          <w:rtl/>
        </w:rPr>
        <w:t>עורך</w:t>
      </w:r>
      <w:r w:rsidRPr="006C4917">
        <w:rPr>
          <w:rFonts w:hint="cs"/>
          <w:rtl/>
        </w:rPr>
        <w:t>,</w:t>
      </w:r>
      <w:r w:rsidRPr="006C4917">
        <w:rPr>
          <w:rtl/>
        </w:rPr>
        <w:t xml:space="preserve"> 2023)</w:t>
      </w:r>
      <w:r w:rsidRPr="006C4917">
        <w:rPr>
          <w:rFonts w:hint="cs"/>
          <w:rtl/>
        </w:rPr>
        <w:t xml:space="preserve"> (להלן: </w:t>
      </w:r>
      <w:r w:rsidRPr="006C4917">
        <w:rPr>
          <w:rFonts w:ascii="Century" w:hAnsi="Century" w:cs="Miriam" w:hint="cs"/>
          <w:b/>
          <w:spacing w:val="0"/>
          <w:sz w:val="22"/>
          <w:szCs w:val="24"/>
          <w:rtl/>
        </w:rPr>
        <w:t>ברק, תורת הזכויות החוקתיות</w:t>
      </w:r>
      <w:r w:rsidRPr="006C4917">
        <w:rPr>
          <w:rFonts w:hint="cs"/>
          <w:rtl/>
        </w:rPr>
        <w:t>)). אכן, כשם שהשופטים, לפי אופן פעולתם, כותבים את הפסיקה כ"רומן שרשרת"; לאור המציאות החוקתית בה אנו מצויים, גם הכנסת, מכוח החלטת הררי, כותבת את החוקה הישראלית כ"רומן שרשרת".</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 xml:space="preserve">השאלה החוקתית בה חלוקים הצדדים בתיק שלפנינו היא כפולה: </w:t>
      </w:r>
      <w:r w:rsidRPr="006C4917">
        <w:rPr>
          <w:rFonts w:ascii="Century" w:hAnsi="Century" w:cs="Miriam" w:hint="eastAsia"/>
          <w:b/>
          <w:spacing w:val="0"/>
          <w:sz w:val="22"/>
          <w:szCs w:val="24"/>
          <w:rtl/>
        </w:rPr>
        <w:t>ראשית</w:t>
      </w:r>
      <w:r w:rsidRPr="006C4917">
        <w:rPr>
          <w:rFonts w:hint="cs"/>
          <w:rtl/>
        </w:rPr>
        <w:t xml:space="preserve">, מהן, אם בכלל, המגבלות המוטלות על הכנסת בכובעה המכונן; </w:t>
      </w:r>
      <w:r w:rsidRPr="006C4917">
        <w:rPr>
          <w:rFonts w:ascii="Century" w:hAnsi="Century" w:cs="Miriam" w:hint="eastAsia"/>
          <w:b/>
          <w:spacing w:val="0"/>
          <w:sz w:val="22"/>
          <w:szCs w:val="24"/>
          <w:rtl/>
        </w:rPr>
        <w:t>שנית</w:t>
      </w:r>
      <w:r w:rsidRPr="006C4917">
        <w:rPr>
          <w:rFonts w:hint="cs"/>
          <w:rtl/>
        </w:rPr>
        <w:t xml:space="preserve">, וככל שמוטלות מגבלות כלשהן כאמור, האם לבית המשפט סמכות לפסוק בעתירות שליבתן בטענה כי הכנסת, בכובעה המכונן, חרגה מגדרות המגבלות האמורות. ביחס לשני העניינים הללו כבר נכתבו פרקים חשובים בספר המשפט החוקתי הישראלי, ומחובתנו לתת כבוד ראוי לאשר הכריעו קודמינו. עם זאת, היבטים מסוימים של השאלות הללו טרם הוכרעו. בהיבטים </w:t>
      </w:r>
      <w:r w:rsidRPr="006C4917">
        <w:rPr>
          <w:rFonts w:hint="cs"/>
          <w:rtl/>
        </w:rPr>
        <w:lastRenderedPageBreak/>
        <w:t>אלה נדרשים אנו להכריע, ואגב כך לכתוב פרקים חדשים בספר המשפט החוקתי הישראלי. להלן אתייחס לנושאים שלמיטב הבנתי כבר הוכרעו בפסיקתנו, ולאחר מכן אתייחס לאותם היבטים בהם נדרשים אנו לחרוש תלם לראשונה.</w:t>
      </w:r>
    </w:p>
    <w:p w:rsidR="003D7BFC" w:rsidRPr="006C4917" w:rsidRDefault="003D7BFC" w:rsidP="003D7BFC">
      <w:pPr>
        <w:pStyle w:val="Ruller41"/>
        <w:rPr>
          <w:rtl/>
        </w:rPr>
      </w:pPr>
    </w:p>
    <w:p w:rsidR="003D7BFC" w:rsidRPr="006C4917" w:rsidRDefault="003D7BFC" w:rsidP="003D7BFC">
      <w:pPr>
        <w:pStyle w:val="Ruller41"/>
        <w:keepNext/>
        <w:rPr>
          <w:rFonts w:ascii="Century" w:hAnsi="Century" w:cs="Miriam"/>
          <w:b/>
          <w:spacing w:val="0"/>
          <w:szCs w:val="24"/>
        </w:rPr>
      </w:pPr>
      <w:r w:rsidRPr="006C4917">
        <w:rPr>
          <w:rFonts w:ascii="Century" w:hAnsi="Century" w:cs="Miriam" w:hint="cs"/>
          <w:b/>
          <w:spacing w:val="0"/>
          <w:szCs w:val="24"/>
          <w:rtl/>
        </w:rPr>
        <w:t xml:space="preserve">המצב החוקתי בו אנו מצויים </w:t>
      </w:r>
      <w:r w:rsidRPr="006C4917">
        <w:rPr>
          <w:rFonts w:ascii="Century" w:hAnsi="Century" w:cs="Miriam"/>
          <w:b/>
          <w:spacing w:val="0"/>
          <w:szCs w:val="24"/>
          <w:rtl/>
        </w:rPr>
        <w:t>–</w:t>
      </w:r>
      <w:r w:rsidRPr="006C4917">
        <w:rPr>
          <w:rFonts w:ascii="Century" w:hAnsi="Century" w:cs="Miriam" w:hint="cs"/>
          <w:b/>
          <w:spacing w:val="0"/>
          <w:szCs w:val="24"/>
          <w:rtl/>
        </w:rPr>
        <w:t xml:space="preserve"> המגבלות על סמכויות הכנסת בכובעה המכונן</w:t>
      </w:r>
    </w:p>
    <w:p w:rsidR="003D7BFC" w:rsidRPr="006C4917" w:rsidRDefault="003D7BFC" w:rsidP="003D7BFC">
      <w:pPr>
        <w:pStyle w:val="Ruller41"/>
        <w:keepNext/>
        <w:rPr>
          <w:rtl/>
        </w:rPr>
      </w:pPr>
    </w:p>
    <w:p w:rsidR="003D7BFC" w:rsidRPr="006C4917" w:rsidRDefault="003D7BFC" w:rsidP="003D7BFC">
      <w:pPr>
        <w:pStyle w:val="Ruller4"/>
        <w:keepNext/>
        <w:rPr>
          <w:rtl/>
        </w:rPr>
      </w:pPr>
      <w:r w:rsidRPr="006C4917">
        <w:rPr>
          <w:rFonts w:hint="cs"/>
          <w:rtl/>
        </w:rPr>
        <w:t>שאלת היסוד בהקשר זה, היא האם הכנסת בכובעה המכונן היא "כל יכולה" (</w:t>
      </w:r>
      <w:r w:rsidRPr="006C4917">
        <w:rPr>
          <w:rFonts w:asciiTheme="majorBidi" w:hAnsiTheme="majorBidi"/>
        </w:rPr>
        <w:t>Omnipotent</w:t>
      </w:r>
      <w:r w:rsidRPr="006C4917">
        <w:rPr>
          <w:rFonts w:hint="cs"/>
          <w:rtl/>
        </w:rPr>
        <w:t xml:space="preserve">), או שמא מוטלות מגבלות על סמכויותיה. בשאלה זו עסק בית משפט זה בעבר, ואף הכריע. לפיכך, אינני סבור כי נדרשים אנו לבחון אותה שוב. הכרעתו של בית המשפט בעניין זה נובעת מדחיית "תורת הריבונות הבלתי מוגבלת של הכנסת" והעדפת "תורת שני הכובעים" על פניה (ראו פסקה 12 לעיל). ככל שנדרשת אסמכתא מפורשת לכך, הרי שהיא תימצא בדבריה אלה של הנשיאה </w:t>
      </w:r>
      <w:r w:rsidRPr="006C4917">
        <w:rPr>
          <w:rFonts w:ascii="Century" w:hAnsi="Century" w:cs="Miriam" w:hint="eastAsia"/>
          <w:b/>
          <w:spacing w:val="0"/>
          <w:sz w:val="22"/>
          <w:szCs w:val="24"/>
          <w:rtl/>
        </w:rPr>
        <w:t>חיות</w:t>
      </w:r>
      <w:r w:rsidRPr="006C4917">
        <w:rPr>
          <w:rFonts w:hint="cs"/>
          <w:rtl/>
        </w:rPr>
        <w:t xml:space="preserve"> </w:t>
      </w:r>
      <w:r w:rsidRPr="006C4917">
        <w:rPr>
          <w:rFonts w:hint="eastAsia"/>
          <w:rtl/>
        </w:rPr>
        <w:t>בעניין</w:t>
      </w:r>
      <w:r w:rsidRPr="006C4917">
        <w:rPr>
          <w:rtl/>
        </w:rPr>
        <w:t xml:space="preserve"> </w:t>
      </w:r>
      <w:r w:rsidRPr="006C4917">
        <w:rPr>
          <w:rFonts w:ascii="Century" w:hAnsi="Century" w:cs="Miriam" w:hint="eastAsia"/>
          <w:b/>
          <w:spacing w:val="0"/>
          <w:sz w:val="22"/>
          <w:szCs w:val="24"/>
          <w:rtl/>
        </w:rPr>
        <w:t>חסון</w:t>
      </w:r>
      <w:r w:rsidRPr="006C4917">
        <w:rPr>
          <w:rFonts w:hint="cs"/>
          <w:rtl/>
        </w:rPr>
        <w:t>:</w:t>
      </w:r>
    </w:p>
    <w:p w:rsidR="003D7BFC" w:rsidRPr="006C4917" w:rsidRDefault="003D7BFC" w:rsidP="003D7BFC">
      <w:pPr>
        <w:pStyle w:val="Ruller41"/>
        <w:rPr>
          <w:rFonts w:ascii="Century" w:hAnsi="Century"/>
        </w:rPr>
      </w:pPr>
    </w:p>
    <w:p w:rsidR="003D7BFC" w:rsidRPr="006C4917" w:rsidRDefault="003D7BFC" w:rsidP="003D7BFC">
      <w:pPr>
        <w:pStyle w:val="Ruller5"/>
        <w:rPr>
          <w:rtl/>
        </w:rPr>
      </w:pPr>
      <w:r w:rsidRPr="006C4917">
        <w:rPr>
          <w:rFonts w:hint="eastAsia"/>
          <w:rtl/>
        </w:rPr>
        <w:t>הבסיס</w:t>
      </w:r>
      <w:r w:rsidRPr="006C4917">
        <w:rPr>
          <w:rtl/>
        </w:rPr>
        <w:t xml:space="preserve"> </w:t>
      </w:r>
      <w:r w:rsidRPr="006C4917">
        <w:rPr>
          <w:rFonts w:hint="eastAsia"/>
          <w:rtl/>
        </w:rPr>
        <w:t>העיוני</w:t>
      </w:r>
      <w:r w:rsidRPr="006C4917">
        <w:rPr>
          <w:rtl/>
        </w:rPr>
        <w:t xml:space="preserve"> </w:t>
      </w:r>
      <w:r w:rsidRPr="006C4917">
        <w:rPr>
          <w:rFonts w:hint="eastAsia"/>
          <w:rtl/>
        </w:rPr>
        <w:t>לקביעה</w:t>
      </w:r>
      <w:r w:rsidRPr="006C4917">
        <w:rPr>
          <w:rtl/>
        </w:rPr>
        <w:t xml:space="preserve"> </w:t>
      </w:r>
      <w:r w:rsidRPr="006C4917">
        <w:rPr>
          <w:rFonts w:hint="eastAsia"/>
          <w:rtl/>
        </w:rPr>
        <w:t>לפיה</w:t>
      </w:r>
      <w:r w:rsidRPr="006C4917">
        <w:rPr>
          <w:rtl/>
        </w:rPr>
        <w:t xml:space="preserve"> </w:t>
      </w:r>
      <w:r w:rsidRPr="006C4917">
        <w:rPr>
          <w:rFonts w:hint="eastAsia"/>
          <w:rtl/>
        </w:rPr>
        <w:t>חרף</w:t>
      </w:r>
      <w:r w:rsidRPr="006C4917">
        <w:rPr>
          <w:rtl/>
        </w:rPr>
        <w:t xml:space="preserve"> </w:t>
      </w:r>
      <w:r w:rsidRPr="006C4917">
        <w:rPr>
          <w:rFonts w:hint="eastAsia"/>
          <w:rtl/>
        </w:rPr>
        <w:t>עליונותה</w:t>
      </w:r>
      <w:r w:rsidRPr="006C4917">
        <w:rPr>
          <w:rtl/>
        </w:rPr>
        <w:t xml:space="preserve"> </w:t>
      </w:r>
      <w:r w:rsidRPr="006C4917">
        <w:rPr>
          <w:rFonts w:hint="eastAsia"/>
          <w:rtl/>
        </w:rPr>
        <w:t>של</w:t>
      </w:r>
      <w:r w:rsidRPr="006C4917">
        <w:rPr>
          <w:rtl/>
        </w:rPr>
        <w:t xml:space="preserve"> </w:t>
      </w:r>
      <w:r w:rsidRPr="006C4917">
        <w:rPr>
          <w:rFonts w:hint="eastAsia"/>
          <w:rtl/>
        </w:rPr>
        <w:t>הכנסת</w:t>
      </w:r>
      <w:r w:rsidRPr="006C4917">
        <w:rPr>
          <w:rtl/>
        </w:rPr>
        <w:t xml:space="preserve"> </w:t>
      </w:r>
      <w:r w:rsidRPr="006C4917">
        <w:rPr>
          <w:rFonts w:hint="eastAsia"/>
          <w:rtl/>
        </w:rPr>
        <w:t>בכובעה</w:t>
      </w:r>
      <w:r w:rsidRPr="006C4917">
        <w:rPr>
          <w:rtl/>
        </w:rPr>
        <w:t xml:space="preserve"> </w:t>
      </w:r>
      <w:r w:rsidRPr="006C4917">
        <w:rPr>
          <w:rFonts w:hint="eastAsia"/>
          <w:rtl/>
        </w:rPr>
        <w:t>כרשות</w:t>
      </w:r>
      <w:r w:rsidRPr="006C4917">
        <w:rPr>
          <w:rtl/>
        </w:rPr>
        <w:t xml:space="preserve"> </w:t>
      </w:r>
      <w:r w:rsidRPr="006C4917">
        <w:rPr>
          <w:rFonts w:hint="eastAsia"/>
          <w:rtl/>
        </w:rPr>
        <w:t>המכוננת</w:t>
      </w:r>
      <w:r w:rsidRPr="006C4917">
        <w:rPr>
          <w:rtl/>
        </w:rPr>
        <w:t xml:space="preserve"> </w:t>
      </w:r>
      <w:r w:rsidRPr="006C4917">
        <w:rPr>
          <w:rFonts w:hint="eastAsia"/>
          <w:rtl/>
        </w:rPr>
        <w:t>היא</w:t>
      </w:r>
      <w:r w:rsidRPr="006C4917">
        <w:rPr>
          <w:rtl/>
        </w:rPr>
        <w:t xml:space="preserve"> </w:t>
      </w:r>
      <w:r w:rsidRPr="006C4917">
        <w:rPr>
          <w:rFonts w:hint="eastAsia"/>
          <w:rtl/>
        </w:rPr>
        <w:t>איננה</w:t>
      </w:r>
      <w:r w:rsidRPr="006C4917">
        <w:rPr>
          <w:rtl/>
        </w:rPr>
        <w:t xml:space="preserve"> "</w:t>
      </w:r>
      <w:r w:rsidRPr="006C4917">
        <w:rPr>
          <w:rFonts w:hint="eastAsia"/>
          <w:rtl/>
        </w:rPr>
        <w:t>כל</w:t>
      </w:r>
      <w:r w:rsidRPr="006C4917">
        <w:rPr>
          <w:rtl/>
        </w:rPr>
        <w:t xml:space="preserve"> </w:t>
      </w:r>
      <w:r w:rsidRPr="006C4917">
        <w:rPr>
          <w:rFonts w:hint="eastAsia"/>
          <w:rtl/>
        </w:rPr>
        <w:t>יכולה</w:t>
      </w:r>
      <w:r w:rsidRPr="006C4917">
        <w:rPr>
          <w:rtl/>
        </w:rPr>
        <w:t xml:space="preserve">", </w:t>
      </w:r>
      <w:r w:rsidRPr="006C4917">
        <w:rPr>
          <w:rFonts w:hint="eastAsia"/>
          <w:rtl/>
        </w:rPr>
        <w:t>נגזר</w:t>
      </w:r>
      <w:r w:rsidRPr="006C4917">
        <w:rPr>
          <w:rtl/>
        </w:rPr>
        <w:t xml:space="preserve"> </w:t>
      </w:r>
      <w:r w:rsidRPr="006C4917">
        <w:rPr>
          <w:rFonts w:hint="eastAsia"/>
          <w:rtl/>
        </w:rPr>
        <w:t>מכך</w:t>
      </w:r>
      <w:r w:rsidRPr="006C4917">
        <w:rPr>
          <w:rtl/>
        </w:rPr>
        <w:t xml:space="preserve"> </w:t>
      </w:r>
      <w:r w:rsidRPr="006C4917">
        <w:rPr>
          <w:rFonts w:hint="eastAsia"/>
          <w:rtl/>
        </w:rPr>
        <w:t>שסמכותה</w:t>
      </w:r>
      <w:r w:rsidRPr="006C4917">
        <w:rPr>
          <w:rtl/>
        </w:rPr>
        <w:t xml:space="preserve"> </w:t>
      </w:r>
      <w:r w:rsidRPr="006C4917">
        <w:rPr>
          <w:rFonts w:hint="eastAsia"/>
          <w:rtl/>
        </w:rPr>
        <w:t>זו</w:t>
      </w:r>
      <w:r w:rsidRPr="006C4917">
        <w:rPr>
          <w:rtl/>
        </w:rPr>
        <w:t xml:space="preserve"> </w:t>
      </w:r>
      <w:r w:rsidRPr="006C4917">
        <w:rPr>
          <w:rFonts w:hint="eastAsia"/>
          <w:rtl/>
        </w:rPr>
        <w:t>של</w:t>
      </w:r>
      <w:r w:rsidRPr="006C4917">
        <w:rPr>
          <w:rtl/>
        </w:rPr>
        <w:t xml:space="preserve"> </w:t>
      </w:r>
      <w:r w:rsidRPr="006C4917">
        <w:rPr>
          <w:rFonts w:hint="eastAsia"/>
          <w:rtl/>
        </w:rPr>
        <w:t>הכנסת</w:t>
      </w:r>
      <w:r w:rsidRPr="006C4917">
        <w:rPr>
          <w:rtl/>
        </w:rPr>
        <w:t xml:space="preserve"> </w:t>
      </w:r>
      <w:r w:rsidRPr="006C4917">
        <w:rPr>
          <w:rFonts w:hint="eastAsia"/>
          <w:rtl/>
        </w:rPr>
        <w:t>באה</w:t>
      </w:r>
      <w:r w:rsidRPr="006C4917">
        <w:rPr>
          <w:rtl/>
        </w:rPr>
        <w:t xml:space="preserve"> </w:t>
      </w:r>
      <w:r w:rsidRPr="006C4917">
        <w:rPr>
          <w:rFonts w:hint="eastAsia"/>
          <w:rtl/>
        </w:rPr>
        <w:t>לה</w:t>
      </w:r>
      <w:r w:rsidRPr="006C4917">
        <w:rPr>
          <w:rtl/>
        </w:rPr>
        <w:t xml:space="preserve"> </w:t>
      </w:r>
      <w:r w:rsidRPr="006C4917">
        <w:rPr>
          <w:rFonts w:hint="eastAsia"/>
          <w:rtl/>
        </w:rPr>
        <w:t>מן</w:t>
      </w:r>
      <w:r w:rsidRPr="006C4917">
        <w:rPr>
          <w:rtl/>
        </w:rPr>
        <w:t xml:space="preserve"> </w:t>
      </w:r>
      <w:r w:rsidRPr="006C4917">
        <w:rPr>
          <w:rFonts w:hint="eastAsia"/>
          <w:rtl/>
        </w:rPr>
        <w:t>הריבון</w:t>
      </w:r>
      <w:r w:rsidRPr="006C4917">
        <w:rPr>
          <w:rtl/>
        </w:rPr>
        <w:t xml:space="preserve"> – </w:t>
      </w:r>
      <w:r w:rsidRPr="006C4917">
        <w:rPr>
          <w:rFonts w:hint="eastAsia"/>
          <w:rtl/>
        </w:rPr>
        <w:t>העם</w:t>
      </w:r>
      <w:r w:rsidRPr="006C4917">
        <w:rPr>
          <w:rtl/>
        </w:rPr>
        <w:t xml:space="preserve"> – </w:t>
      </w:r>
      <w:r w:rsidRPr="006C4917">
        <w:rPr>
          <w:rFonts w:hint="eastAsia"/>
          <w:rtl/>
        </w:rPr>
        <w:t>ועברה</w:t>
      </w:r>
      <w:r w:rsidRPr="006C4917">
        <w:rPr>
          <w:rtl/>
        </w:rPr>
        <w:t xml:space="preserve"> </w:t>
      </w:r>
      <w:r w:rsidRPr="006C4917">
        <w:rPr>
          <w:rFonts w:hint="eastAsia"/>
          <w:rtl/>
        </w:rPr>
        <w:t>מהאסיפה</w:t>
      </w:r>
      <w:r w:rsidRPr="006C4917">
        <w:rPr>
          <w:rtl/>
        </w:rPr>
        <w:t xml:space="preserve"> </w:t>
      </w:r>
      <w:r w:rsidRPr="006C4917">
        <w:rPr>
          <w:rFonts w:hint="eastAsia"/>
          <w:rtl/>
        </w:rPr>
        <w:t>המכוננת</w:t>
      </w:r>
      <w:r w:rsidRPr="006C4917">
        <w:rPr>
          <w:rtl/>
        </w:rPr>
        <w:t xml:space="preserve"> (</w:t>
      </w:r>
      <w:r w:rsidRPr="006C4917">
        <w:rPr>
          <w:rFonts w:hint="eastAsia"/>
          <w:rtl/>
        </w:rPr>
        <w:t>הכנסת</w:t>
      </w:r>
      <w:r w:rsidRPr="006C4917">
        <w:rPr>
          <w:rtl/>
        </w:rPr>
        <w:t xml:space="preserve"> </w:t>
      </w:r>
      <w:r w:rsidRPr="006C4917">
        <w:rPr>
          <w:rFonts w:hint="eastAsia"/>
          <w:rtl/>
        </w:rPr>
        <w:t>הראשונה</w:t>
      </w:r>
      <w:r w:rsidRPr="006C4917">
        <w:rPr>
          <w:rtl/>
        </w:rPr>
        <w:t xml:space="preserve">) </w:t>
      </w:r>
      <w:r w:rsidRPr="006C4917">
        <w:rPr>
          <w:rFonts w:hint="eastAsia"/>
          <w:rtl/>
        </w:rPr>
        <w:t>אל</w:t>
      </w:r>
      <w:r w:rsidRPr="006C4917">
        <w:rPr>
          <w:rtl/>
        </w:rPr>
        <w:t xml:space="preserve"> </w:t>
      </w:r>
      <w:r w:rsidRPr="006C4917">
        <w:rPr>
          <w:rFonts w:hint="eastAsia"/>
          <w:rtl/>
        </w:rPr>
        <w:t>הכנסת</w:t>
      </w:r>
      <w:r w:rsidRPr="006C4917">
        <w:rPr>
          <w:rtl/>
        </w:rPr>
        <w:t xml:space="preserve"> </w:t>
      </w:r>
      <w:r w:rsidRPr="006C4917">
        <w:rPr>
          <w:rFonts w:hint="eastAsia"/>
          <w:rtl/>
        </w:rPr>
        <w:t>השנייה</w:t>
      </w:r>
      <w:r w:rsidRPr="006C4917">
        <w:rPr>
          <w:rtl/>
        </w:rPr>
        <w:t xml:space="preserve"> </w:t>
      </w:r>
      <w:r w:rsidRPr="006C4917">
        <w:rPr>
          <w:rFonts w:hint="eastAsia"/>
          <w:rtl/>
        </w:rPr>
        <w:t>וכך</w:t>
      </w:r>
      <w:r w:rsidRPr="006C4917">
        <w:rPr>
          <w:rtl/>
        </w:rPr>
        <w:t xml:space="preserve"> </w:t>
      </w:r>
      <w:r w:rsidRPr="006C4917">
        <w:rPr>
          <w:rFonts w:hint="eastAsia"/>
          <w:rtl/>
        </w:rPr>
        <w:t>מכנסת</w:t>
      </w:r>
      <w:r w:rsidRPr="006C4917">
        <w:rPr>
          <w:rtl/>
        </w:rPr>
        <w:t xml:space="preserve"> </w:t>
      </w:r>
      <w:r w:rsidRPr="006C4917">
        <w:rPr>
          <w:rFonts w:hint="eastAsia"/>
          <w:rtl/>
        </w:rPr>
        <w:t>לכנסת</w:t>
      </w:r>
      <w:r w:rsidRPr="006C4917">
        <w:rPr>
          <w:rtl/>
        </w:rPr>
        <w:t xml:space="preserve">, </w:t>
      </w:r>
      <w:r w:rsidRPr="006C4917">
        <w:rPr>
          <w:rFonts w:hint="eastAsia"/>
          <w:rtl/>
        </w:rPr>
        <w:t>עד</w:t>
      </w:r>
      <w:r w:rsidRPr="006C4917">
        <w:rPr>
          <w:rtl/>
        </w:rPr>
        <w:t xml:space="preserve"> </w:t>
      </w:r>
      <w:r w:rsidRPr="006C4917">
        <w:rPr>
          <w:rFonts w:hint="eastAsia"/>
          <w:rtl/>
        </w:rPr>
        <w:t>ימינו</w:t>
      </w:r>
      <w:r w:rsidRPr="006C4917">
        <w:rPr>
          <w:rtl/>
        </w:rPr>
        <w:t xml:space="preserve"> </w:t>
      </w:r>
      <w:r w:rsidRPr="006C4917">
        <w:rPr>
          <w:rFonts w:hint="eastAsia"/>
          <w:rtl/>
        </w:rPr>
        <w:t>אנו</w:t>
      </w:r>
      <w:r w:rsidRPr="006C4917">
        <w:rPr>
          <w:rtl/>
        </w:rPr>
        <w:t xml:space="preserve"> (</w:t>
      </w:r>
      <w:r w:rsidRPr="006C4917">
        <w:rPr>
          <w:rFonts w:hint="eastAsia"/>
          <w:rtl/>
        </w:rPr>
        <w:t>עניין</w:t>
      </w:r>
      <w:r w:rsidRPr="006C4917">
        <w:rPr>
          <w:rtl/>
        </w:rPr>
        <w:t xml:space="preserve"> </w:t>
      </w:r>
      <w:r w:rsidRPr="006C4917">
        <w:rPr>
          <w:rFonts w:ascii="Century" w:hAnsi="Century" w:cs="Miriam" w:hint="eastAsia"/>
          <w:b/>
          <w:spacing w:val="0"/>
          <w:szCs w:val="24"/>
          <w:rtl/>
        </w:rPr>
        <w:t>בנק</w:t>
      </w:r>
      <w:r w:rsidRPr="006C4917">
        <w:rPr>
          <w:rFonts w:ascii="Century" w:hAnsi="Century" w:cs="Miriam"/>
          <w:b/>
          <w:spacing w:val="0"/>
          <w:szCs w:val="24"/>
          <w:rtl/>
        </w:rPr>
        <w:t xml:space="preserve"> </w:t>
      </w:r>
      <w:r w:rsidRPr="006C4917">
        <w:rPr>
          <w:rFonts w:ascii="Century" w:hAnsi="Century" w:cs="Miriam" w:hint="eastAsia"/>
          <w:b/>
          <w:spacing w:val="0"/>
          <w:szCs w:val="24"/>
          <w:rtl/>
        </w:rPr>
        <w:t>המזרחי</w:t>
      </w:r>
      <w:r w:rsidRPr="006C4917">
        <w:rPr>
          <w:rtl/>
        </w:rPr>
        <w:t xml:space="preserve">, </w:t>
      </w:r>
      <w:r w:rsidRPr="006C4917">
        <w:rPr>
          <w:rFonts w:hint="eastAsia"/>
          <w:rtl/>
        </w:rPr>
        <w:t>בעמ</w:t>
      </w:r>
      <w:r w:rsidRPr="006C4917">
        <w:rPr>
          <w:rtl/>
        </w:rPr>
        <w:t xml:space="preserve">' 356, 369). </w:t>
      </w:r>
      <w:r w:rsidRPr="006C4917">
        <w:rPr>
          <w:rFonts w:hint="eastAsia"/>
          <w:rtl/>
        </w:rPr>
        <w:t>מכך</w:t>
      </w:r>
      <w:r w:rsidRPr="006C4917">
        <w:rPr>
          <w:rtl/>
        </w:rPr>
        <w:t xml:space="preserve"> </w:t>
      </w:r>
      <w:r w:rsidRPr="006C4917">
        <w:rPr>
          <w:rFonts w:hint="eastAsia"/>
          <w:rtl/>
        </w:rPr>
        <w:t>מתחייבת</w:t>
      </w:r>
      <w:r w:rsidRPr="006C4917">
        <w:rPr>
          <w:rtl/>
        </w:rPr>
        <w:t xml:space="preserve"> </w:t>
      </w:r>
      <w:r w:rsidRPr="006C4917">
        <w:rPr>
          <w:rFonts w:hint="eastAsia"/>
          <w:rtl/>
        </w:rPr>
        <w:t>המסקנה</w:t>
      </w:r>
      <w:r w:rsidRPr="006C4917">
        <w:rPr>
          <w:rtl/>
        </w:rPr>
        <w:t xml:space="preserve"> </w:t>
      </w:r>
      <w:r w:rsidRPr="006C4917">
        <w:rPr>
          <w:rFonts w:hint="eastAsia"/>
          <w:rtl/>
        </w:rPr>
        <w:t>כי</w:t>
      </w:r>
      <w:r w:rsidRPr="006C4917">
        <w:rPr>
          <w:rtl/>
        </w:rPr>
        <w:t xml:space="preserve"> </w:t>
      </w:r>
      <w:r w:rsidRPr="006C4917">
        <w:rPr>
          <w:rFonts w:hint="eastAsia"/>
          <w:rtl/>
        </w:rPr>
        <w:t>האפשרות</w:t>
      </w:r>
      <w:r w:rsidRPr="006C4917">
        <w:rPr>
          <w:rtl/>
        </w:rPr>
        <w:t xml:space="preserve"> </w:t>
      </w:r>
      <w:r w:rsidRPr="006C4917">
        <w:rPr>
          <w:rFonts w:hint="eastAsia"/>
          <w:rtl/>
        </w:rPr>
        <w:t>לקבוע</w:t>
      </w:r>
      <w:r w:rsidRPr="006C4917">
        <w:rPr>
          <w:rtl/>
        </w:rPr>
        <w:t xml:space="preserve"> </w:t>
      </w:r>
      <w:r w:rsidRPr="006C4917">
        <w:rPr>
          <w:rFonts w:hint="eastAsia"/>
          <w:rtl/>
        </w:rPr>
        <w:t>הוראה</w:t>
      </w:r>
      <w:r w:rsidRPr="006C4917">
        <w:rPr>
          <w:rtl/>
        </w:rPr>
        <w:t xml:space="preserve"> </w:t>
      </w:r>
      <w:r w:rsidRPr="006C4917">
        <w:rPr>
          <w:rFonts w:hint="eastAsia"/>
          <w:rtl/>
        </w:rPr>
        <w:t>חוקתית</w:t>
      </w:r>
      <w:r w:rsidRPr="006C4917">
        <w:rPr>
          <w:rtl/>
        </w:rPr>
        <w:t xml:space="preserve"> </w:t>
      </w:r>
      <w:r w:rsidRPr="006C4917">
        <w:rPr>
          <w:rFonts w:hint="eastAsia"/>
          <w:rtl/>
        </w:rPr>
        <w:t>אשר</w:t>
      </w:r>
      <w:r w:rsidRPr="006C4917">
        <w:rPr>
          <w:rtl/>
        </w:rPr>
        <w:t xml:space="preserve"> </w:t>
      </w:r>
      <w:r w:rsidRPr="006C4917">
        <w:rPr>
          <w:rFonts w:hint="eastAsia"/>
          <w:rtl/>
        </w:rPr>
        <w:t>תמוטט</w:t>
      </w:r>
      <w:r w:rsidRPr="006C4917">
        <w:rPr>
          <w:rtl/>
        </w:rPr>
        <w:t xml:space="preserve"> </w:t>
      </w:r>
      <w:r w:rsidRPr="006C4917">
        <w:rPr>
          <w:rFonts w:hint="eastAsia"/>
          <w:rtl/>
        </w:rPr>
        <w:t>את</w:t>
      </w:r>
      <w:r w:rsidRPr="006C4917">
        <w:rPr>
          <w:rtl/>
        </w:rPr>
        <w:t xml:space="preserve"> </w:t>
      </w:r>
      <w:r w:rsidRPr="006C4917">
        <w:rPr>
          <w:rFonts w:hint="eastAsia"/>
          <w:rtl/>
        </w:rPr>
        <w:t>המפעל</w:t>
      </w:r>
      <w:r w:rsidRPr="006C4917">
        <w:rPr>
          <w:rtl/>
        </w:rPr>
        <w:t xml:space="preserve"> </w:t>
      </w:r>
      <w:r w:rsidRPr="006C4917">
        <w:rPr>
          <w:rFonts w:hint="eastAsia"/>
          <w:rtl/>
        </w:rPr>
        <w:t>החוקתי</w:t>
      </w:r>
      <w:r w:rsidRPr="006C4917">
        <w:rPr>
          <w:rtl/>
        </w:rPr>
        <w:t xml:space="preserve"> </w:t>
      </w:r>
      <w:r w:rsidRPr="006C4917">
        <w:rPr>
          <w:rFonts w:hint="eastAsia"/>
          <w:rtl/>
        </w:rPr>
        <w:t>כולו</w:t>
      </w:r>
      <w:r w:rsidRPr="006C4917">
        <w:rPr>
          <w:rtl/>
        </w:rPr>
        <w:t xml:space="preserve"> </w:t>
      </w:r>
      <w:r w:rsidRPr="006C4917">
        <w:rPr>
          <w:rFonts w:hint="eastAsia"/>
          <w:rtl/>
        </w:rPr>
        <w:t>ותנתק</w:t>
      </w:r>
      <w:r w:rsidRPr="006C4917">
        <w:rPr>
          <w:rtl/>
        </w:rPr>
        <w:t xml:space="preserve"> </w:t>
      </w:r>
      <w:r w:rsidRPr="006C4917">
        <w:rPr>
          <w:rFonts w:hint="eastAsia"/>
          <w:rtl/>
        </w:rPr>
        <w:t>את</w:t>
      </w:r>
      <w:r w:rsidRPr="006C4917">
        <w:rPr>
          <w:rtl/>
        </w:rPr>
        <w:t xml:space="preserve"> "</w:t>
      </w:r>
      <w:r w:rsidRPr="006C4917">
        <w:rPr>
          <w:rFonts w:hint="eastAsia"/>
          <w:rtl/>
        </w:rPr>
        <w:t>הרציפות</w:t>
      </w:r>
      <w:r w:rsidRPr="006C4917">
        <w:rPr>
          <w:rtl/>
        </w:rPr>
        <w:t xml:space="preserve"> </w:t>
      </w:r>
      <w:r w:rsidRPr="006C4917">
        <w:rPr>
          <w:rFonts w:hint="eastAsia"/>
          <w:rtl/>
        </w:rPr>
        <w:t>החוקתית</w:t>
      </w:r>
      <w:r w:rsidRPr="006C4917">
        <w:rPr>
          <w:rtl/>
        </w:rPr>
        <w:t>" (</w:t>
      </w:r>
      <w:r w:rsidRPr="006C4917">
        <w:rPr>
          <w:rFonts w:hint="eastAsia"/>
          <w:rtl/>
        </w:rPr>
        <w:t>כפי</w:t>
      </w:r>
      <w:r w:rsidRPr="006C4917">
        <w:rPr>
          <w:rtl/>
        </w:rPr>
        <w:t xml:space="preserve"> </w:t>
      </w:r>
      <w:r w:rsidRPr="006C4917">
        <w:rPr>
          <w:rFonts w:hint="eastAsia"/>
          <w:rtl/>
        </w:rPr>
        <w:t>שכונתה</w:t>
      </w:r>
      <w:r w:rsidRPr="006C4917">
        <w:rPr>
          <w:rtl/>
        </w:rPr>
        <w:t xml:space="preserve"> </w:t>
      </w:r>
      <w:r w:rsidRPr="006C4917">
        <w:rPr>
          <w:rFonts w:hint="eastAsia"/>
          <w:rtl/>
        </w:rPr>
        <w:t>בעניין</w:t>
      </w:r>
      <w:r w:rsidRPr="006C4917">
        <w:rPr>
          <w:rtl/>
        </w:rPr>
        <w:t xml:space="preserve"> </w:t>
      </w:r>
      <w:r w:rsidRPr="006C4917">
        <w:rPr>
          <w:rFonts w:ascii="Century" w:hAnsi="Century" w:cs="Miriam" w:hint="eastAsia"/>
          <w:b/>
          <w:spacing w:val="0"/>
          <w:szCs w:val="24"/>
          <w:rtl/>
        </w:rPr>
        <w:t>בנק</w:t>
      </w:r>
      <w:r w:rsidRPr="006C4917">
        <w:rPr>
          <w:rFonts w:ascii="Century" w:hAnsi="Century" w:cs="Miriam"/>
          <w:b/>
          <w:spacing w:val="0"/>
          <w:szCs w:val="24"/>
          <w:rtl/>
        </w:rPr>
        <w:t xml:space="preserve"> </w:t>
      </w:r>
      <w:r w:rsidRPr="006C4917">
        <w:rPr>
          <w:rFonts w:ascii="Century" w:hAnsi="Century" w:cs="Miriam" w:hint="eastAsia"/>
          <w:b/>
          <w:spacing w:val="0"/>
          <w:szCs w:val="24"/>
          <w:rtl/>
        </w:rPr>
        <w:t>המזרחי</w:t>
      </w:r>
      <w:r w:rsidRPr="006C4917">
        <w:rPr>
          <w:rtl/>
        </w:rPr>
        <w:t xml:space="preserve">, </w:t>
      </w:r>
      <w:r w:rsidRPr="006C4917">
        <w:rPr>
          <w:rFonts w:hint="eastAsia"/>
          <w:rtl/>
        </w:rPr>
        <w:t>בעמ</w:t>
      </w:r>
      <w:r w:rsidRPr="006C4917">
        <w:rPr>
          <w:rtl/>
        </w:rPr>
        <w:t xml:space="preserve">' 356) </w:t>
      </w:r>
      <w:r w:rsidRPr="006C4917">
        <w:rPr>
          <w:rFonts w:hint="eastAsia"/>
          <w:rtl/>
        </w:rPr>
        <w:t>שהחלה</w:t>
      </w:r>
      <w:r w:rsidRPr="006C4917">
        <w:rPr>
          <w:rtl/>
        </w:rPr>
        <w:t xml:space="preserve"> </w:t>
      </w:r>
      <w:r w:rsidRPr="006C4917">
        <w:rPr>
          <w:rFonts w:hint="eastAsia"/>
          <w:rtl/>
        </w:rPr>
        <w:t>עם</w:t>
      </w:r>
      <w:r w:rsidRPr="006C4917">
        <w:rPr>
          <w:rtl/>
        </w:rPr>
        <w:t xml:space="preserve"> </w:t>
      </w:r>
      <w:r w:rsidRPr="006C4917">
        <w:rPr>
          <w:rFonts w:hint="eastAsia"/>
          <w:rtl/>
        </w:rPr>
        <w:t>קום</w:t>
      </w:r>
      <w:r w:rsidRPr="006C4917">
        <w:rPr>
          <w:rtl/>
        </w:rPr>
        <w:t xml:space="preserve"> </w:t>
      </w:r>
      <w:r w:rsidRPr="006C4917">
        <w:rPr>
          <w:rFonts w:hint="eastAsia"/>
          <w:rtl/>
        </w:rPr>
        <w:t>המדינה</w:t>
      </w:r>
      <w:r w:rsidRPr="006C4917">
        <w:rPr>
          <w:rtl/>
        </w:rPr>
        <w:t xml:space="preserve"> </w:t>
      </w:r>
      <w:r w:rsidRPr="006C4917">
        <w:rPr>
          <w:rFonts w:hint="eastAsia"/>
          <w:rtl/>
        </w:rPr>
        <w:t>ונמשכת</w:t>
      </w:r>
      <w:r w:rsidRPr="006C4917">
        <w:rPr>
          <w:rtl/>
        </w:rPr>
        <w:t xml:space="preserve"> </w:t>
      </w:r>
      <w:r w:rsidRPr="006C4917">
        <w:rPr>
          <w:rFonts w:hint="eastAsia"/>
          <w:rtl/>
        </w:rPr>
        <w:t>עד</w:t>
      </w:r>
      <w:r w:rsidRPr="006C4917">
        <w:rPr>
          <w:rtl/>
        </w:rPr>
        <w:t xml:space="preserve"> </w:t>
      </w:r>
      <w:r w:rsidRPr="006C4917">
        <w:rPr>
          <w:rFonts w:hint="eastAsia"/>
          <w:rtl/>
        </w:rPr>
        <w:t>היום</w:t>
      </w:r>
      <w:r w:rsidRPr="006C4917">
        <w:rPr>
          <w:rtl/>
        </w:rPr>
        <w:t xml:space="preserve">, </w:t>
      </w:r>
      <w:r w:rsidRPr="006C4917">
        <w:rPr>
          <w:rFonts w:hint="eastAsia"/>
          <w:rtl/>
        </w:rPr>
        <w:t>אינה</w:t>
      </w:r>
      <w:r w:rsidRPr="006C4917">
        <w:rPr>
          <w:rtl/>
        </w:rPr>
        <w:t xml:space="preserve"> </w:t>
      </w:r>
      <w:r w:rsidRPr="006C4917">
        <w:rPr>
          <w:rFonts w:hint="eastAsia"/>
          <w:rtl/>
        </w:rPr>
        <w:t>באה</w:t>
      </w:r>
      <w:r w:rsidRPr="006C4917">
        <w:rPr>
          <w:rtl/>
        </w:rPr>
        <w:t xml:space="preserve"> </w:t>
      </w:r>
      <w:r w:rsidRPr="006C4917">
        <w:rPr>
          <w:rFonts w:hint="eastAsia"/>
          <w:rtl/>
        </w:rPr>
        <w:t>בגדר</w:t>
      </w:r>
      <w:r w:rsidRPr="006C4917">
        <w:rPr>
          <w:rtl/>
        </w:rPr>
        <w:t xml:space="preserve"> </w:t>
      </w:r>
      <w:r w:rsidRPr="006C4917">
        <w:rPr>
          <w:rFonts w:hint="eastAsia"/>
          <w:rtl/>
        </w:rPr>
        <w:t>הסמכות</w:t>
      </w:r>
      <w:r w:rsidRPr="006C4917">
        <w:rPr>
          <w:rtl/>
        </w:rPr>
        <w:t xml:space="preserve"> </w:t>
      </w:r>
      <w:r w:rsidRPr="006C4917">
        <w:rPr>
          <w:rFonts w:hint="eastAsia"/>
          <w:rtl/>
        </w:rPr>
        <w:t>המכוננת</w:t>
      </w:r>
      <w:r w:rsidRPr="006C4917">
        <w:rPr>
          <w:rtl/>
        </w:rPr>
        <w:t xml:space="preserve"> </w:t>
      </w:r>
      <w:r w:rsidRPr="006C4917">
        <w:rPr>
          <w:rFonts w:hint="eastAsia"/>
          <w:rtl/>
        </w:rPr>
        <w:t>הנתונה</w:t>
      </w:r>
      <w:r w:rsidRPr="006C4917">
        <w:rPr>
          <w:rtl/>
        </w:rPr>
        <w:t xml:space="preserve"> </w:t>
      </w:r>
      <w:r w:rsidRPr="006C4917">
        <w:rPr>
          <w:rFonts w:hint="eastAsia"/>
          <w:rtl/>
        </w:rPr>
        <w:t>לכנסת</w:t>
      </w:r>
      <w:r w:rsidRPr="006C4917">
        <w:rPr>
          <w:rtl/>
        </w:rPr>
        <w:t xml:space="preserve"> (</w:t>
      </w:r>
      <w:r w:rsidRPr="006C4917">
        <w:rPr>
          <w:rFonts w:hint="eastAsia"/>
          <w:rtl/>
        </w:rPr>
        <w:t>ראו</w:t>
      </w:r>
      <w:r w:rsidRPr="006C4917">
        <w:rPr>
          <w:rtl/>
        </w:rPr>
        <w:t xml:space="preserve"> </w:t>
      </w:r>
      <w:r w:rsidRPr="006C4917">
        <w:rPr>
          <w:rFonts w:hint="eastAsia"/>
          <w:rtl/>
        </w:rPr>
        <w:t>והשוו</w:t>
      </w:r>
      <w:r w:rsidRPr="006C4917">
        <w:rPr>
          <w:rtl/>
        </w:rPr>
        <w:t xml:space="preserve">: </w:t>
      </w:r>
      <w:r w:rsidRPr="006C4917">
        <w:rPr>
          <w:rFonts w:hint="eastAsia"/>
          <w:rtl/>
        </w:rPr>
        <w:t>עניין</w:t>
      </w:r>
      <w:r w:rsidRPr="006C4917">
        <w:rPr>
          <w:rtl/>
        </w:rPr>
        <w:t xml:space="preserve"> </w:t>
      </w:r>
      <w:r w:rsidRPr="006C4917">
        <w:rPr>
          <w:rFonts w:ascii="Century" w:hAnsi="Century" w:cs="Miriam" w:hint="eastAsia"/>
          <w:b/>
          <w:spacing w:val="0"/>
          <w:szCs w:val="24"/>
          <w:rtl/>
        </w:rPr>
        <w:t>שפיר</w:t>
      </w:r>
      <w:r w:rsidRPr="006C4917">
        <w:rPr>
          <w:rtl/>
        </w:rPr>
        <w:t xml:space="preserve">, </w:t>
      </w:r>
      <w:r w:rsidRPr="006C4917">
        <w:rPr>
          <w:rFonts w:hint="eastAsia"/>
          <w:rtl/>
        </w:rPr>
        <w:t>בפסקה</w:t>
      </w:r>
      <w:r w:rsidRPr="006C4917">
        <w:rPr>
          <w:rtl/>
        </w:rPr>
        <w:t xml:space="preserve"> 60 </w:t>
      </w:r>
      <w:r w:rsidRPr="006C4917">
        <w:rPr>
          <w:rFonts w:hint="eastAsia"/>
          <w:rtl/>
        </w:rPr>
        <w:t>לחוות</w:t>
      </w:r>
      <w:r w:rsidRPr="006C4917">
        <w:rPr>
          <w:rtl/>
        </w:rPr>
        <w:t xml:space="preserve"> </w:t>
      </w:r>
      <w:r w:rsidRPr="006C4917">
        <w:rPr>
          <w:rFonts w:hint="eastAsia"/>
          <w:rtl/>
        </w:rPr>
        <w:t>דעתי</w:t>
      </w:r>
      <w:r w:rsidRPr="006C4917">
        <w:rPr>
          <w:rtl/>
        </w:rPr>
        <w:t xml:space="preserve"> </w:t>
      </w:r>
      <w:r w:rsidRPr="006C4917">
        <w:rPr>
          <w:rFonts w:hint="eastAsia"/>
          <w:rtl/>
        </w:rPr>
        <w:t>ובפסקה</w:t>
      </w:r>
      <w:r w:rsidRPr="006C4917">
        <w:rPr>
          <w:rtl/>
        </w:rPr>
        <w:t xml:space="preserve"> 31 </w:t>
      </w:r>
      <w:r w:rsidRPr="006C4917">
        <w:rPr>
          <w:rFonts w:hint="eastAsia"/>
          <w:rtl/>
        </w:rPr>
        <w:t>לחוות</w:t>
      </w:r>
      <w:r w:rsidRPr="006C4917">
        <w:rPr>
          <w:rtl/>
        </w:rPr>
        <w:t xml:space="preserve"> </w:t>
      </w:r>
      <w:r w:rsidRPr="006C4917">
        <w:rPr>
          <w:rFonts w:hint="eastAsia"/>
          <w:rtl/>
        </w:rPr>
        <w:t>דעתה</w:t>
      </w:r>
      <w:r w:rsidRPr="006C4917">
        <w:rPr>
          <w:rtl/>
        </w:rPr>
        <w:t xml:space="preserve"> </w:t>
      </w:r>
      <w:r w:rsidRPr="006C4917">
        <w:rPr>
          <w:rFonts w:hint="eastAsia"/>
          <w:rtl/>
        </w:rPr>
        <w:t>של</w:t>
      </w:r>
      <w:r w:rsidRPr="006C4917">
        <w:rPr>
          <w:rtl/>
        </w:rPr>
        <w:t xml:space="preserve"> </w:t>
      </w:r>
      <w:r w:rsidRPr="006C4917">
        <w:rPr>
          <w:rFonts w:hint="eastAsia"/>
          <w:rtl/>
        </w:rPr>
        <w:t>השופטת</w:t>
      </w:r>
      <w:r w:rsidRPr="006C4917">
        <w:rPr>
          <w:rtl/>
        </w:rPr>
        <w:t xml:space="preserve"> </w:t>
      </w:r>
      <w:r w:rsidRPr="006C4917">
        <w:rPr>
          <w:rFonts w:ascii="Century" w:hAnsi="Century" w:cs="Miriam" w:hint="eastAsia"/>
          <w:b/>
          <w:spacing w:val="0"/>
          <w:szCs w:val="24"/>
          <w:rtl/>
        </w:rPr>
        <w:t>ד</w:t>
      </w:r>
      <w:r w:rsidRPr="006C4917">
        <w:rPr>
          <w:rFonts w:ascii="Century" w:hAnsi="Century" w:cs="Miriam"/>
          <w:b/>
          <w:spacing w:val="0"/>
          <w:szCs w:val="24"/>
          <w:rtl/>
        </w:rPr>
        <w:t xml:space="preserve">' </w:t>
      </w:r>
      <w:r w:rsidRPr="006C4917">
        <w:rPr>
          <w:rFonts w:ascii="Century" w:hAnsi="Century" w:cs="Miriam" w:hint="eastAsia"/>
          <w:b/>
          <w:spacing w:val="0"/>
          <w:szCs w:val="24"/>
          <w:rtl/>
        </w:rPr>
        <w:t>ברק</w:t>
      </w:r>
      <w:r w:rsidRPr="006C4917">
        <w:rPr>
          <w:rFonts w:ascii="Century" w:hAnsi="Century" w:cs="Miriam"/>
          <w:b/>
          <w:spacing w:val="0"/>
          <w:szCs w:val="24"/>
          <w:rtl/>
        </w:rPr>
        <w:t>-</w:t>
      </w:r>
      <w:r w:rsidRPr="006C4917">
        <w:rPr>
          <w:rFonts w:ascii="Century" w:hAnsi="Century" w:cs="Miriam" w:hint="eastAsia"/>
          <w:b/>
          <w:spacing w:val="0"/>
          <w:szCs w:val="24"/>
          <w:rtl/>
        </w:rPr>
        <w:t>ארז</w:t>
      </w:r>
      <w:r w:rsidRPr="006C4917">
        <w:rPr>
          <w:rtl/>
        </w:rPr>
        <w:t xml:space="preserve">). </w:t>
      </w:r>
      <w:r w:rsidRPr="006C4917">
        <w:rPr>
          <w:rFonts w:hint="eastAsia"/>
          <w:rtl/>
        </w:rPr>
        <w:t>מסקנה</w:t>
      </w:r>
      <w:r w:rsidRPr="006C4917">
        <w:rPr>
          <w:rtl/>
        </w:rPr>
        <w:t xml:space="preserve"> </w:t>
      </w:r>
      <w:r w:rsidRPr="006C4917">
        <w:rPr>
          <w:rFonts w:hint="eastAsia"/>
          <w:rtl/>
        </w:rPr>
        <w:t>זו</w:t>
      </w:r>
      <w:r w:rsidRPr="006C4917">
        <w:rPr>
          <w:rtl/>
        </w:rPr>
        <w:t xml:space="preserve"> </w:t>
      </w:r>
      <w:r w:rsidRPr="006C4917">
        <w:rPr>
          <w:rFonts w:hint="eastAsia"/>
          <w:rtl/>
        </w:rPr>
        <w:t>נובעת</w:t>
      </w:r>
      <w:r w:rsidRPr="006C4917">
        <w:rPr>
          <w:rtl/>
        </w:rPr>
        <w:t xml:space="preserve"> </w:t>
      </w:r>
      <w:r w:rsidRPr="006C4917">
        <w:rPr>
          <w:rFonts w:hint="eastAsia"/>
          <w:rtl/>
        </w:rPr>
        <w:t>מעצם</w:t>
      </w:r>
      <w:r w:rsidRPr="006C4917">
        <w:rPr>
          <w:rtl/>
        </w:rPr>
        <w:t xml:space="preserve"> </w:t>
      </w:r>
      <w:r w:rsidRPr="006C4917">
        <w:rPr>
          <w:rFonts w:hint="eastAsia"/>
          <w:rtl/>
        </w:rPr>
        <w:t>קיומה</w:t>
      </w:r>
      <w:r w:rsidRPr="006C4917">
        <w:rPr>
          <w:rtl/>
        </w:rPr>
        <w:t xml:space="preserve"> </w:t>
      </w:r>
      <w:r w:rsidRPr="006C4917">
        <w:rPr>
          <w:rFonts w:hint="eastAsia"/>
          <w:rtl/>
        </w:rPr>
        <w:t>של</w:t>
      </w:r>
      <w:r w:rsidRPr="006C4917">
        <w:rPr>
          <w:rtl/>
        </w:rPr>
        <w:t xml:space="preserve"> </w:t>
      </w:r>
      <w:r w:rsidRPr="006C4917">
        <w:rPr>
          <w:rFonts w:hint="eastAsia"/>
          <w:rtl/>
        </w:rPr>
        <w:t>מסגרת</w:t>
      </w:r>
      <w:r w:rsidRPr="006C4917">
        <w:rPr>
          <w:rtl/>
        </w:rPr>
        <w:t xml:space="preserve"> </w:t>
      </w:r>
      <w:r w:rsidRPr="006C4917">
        <w:rPr>
          <w:rFonts w:hint="eastAsia"/>
          <w:rtl/>
        </w:rPr>
        <w:t>נורמטיבית</w:t>
      </w:r>
      <w:r w:rsidRPr="006C4917">
        <w:rPr>
          <w:rtl/>
        </w:rPr>
        <w:t xml:space="preserve"> </w:t>
      </w:r>
      <w:r w:rsidRPr="006C4917">
        <w:rPr>
          <w:rFonts w:hint="eastAsia"/>
          <w:rtl/>
        </w:rPr>
        <w:t>חוקתית</w:t>
      </w:r>
      <w:r w:rsidRPr="006C4917">
        <w:rPr>
          <w:rtl/>
        </w:rPr>
        <w:t xml:space="preserve">, </w:t>
      </w:r>
      <w:r w:rsidRPr="006C4917">
        <w:rPr>
          <w:rFonts w:hint="eastAsia"/>
          <w:rtl/>
        </w:rPr>
        <w:t>שהיא</w:t>
      </w:r>
      <w:r w:rsidRPr="006C4917">
        <w:rPr>
          <w:rtl/>
        </w:rPr>
        <w:t xml:space="preserve">, </w:t>
      </w:r>
      <w:r w:rsidRPr="006C4917">
        <w:rPr>
          <w:rFonts w:hint="eastAsia"/>
          <w:rtl/>
        </w:rPr>
        <w:t>כפי</w:t>
      </w:r>
      <w:r w:rsidRPr="006C4917">
        <w:rPr>
          <w:rtl/>
        </w:rPr>
        <w:t xml:space="preserve"> </w:t>
      </w:r>
      <w:r w:rsidRPr="006C4917">
        <w:rPr>
          <w:rFonts w:hint="eastAsia"/>
          <w:rtl/>
        </w:rPr>
        <w:t>שציין</w:t>
      </w:r>
      <w:r w:rsidRPr="006C4917">
        <w:rPr>
          <w:rtl/>
        </w:rPr>
        <w:t xml:space="preserve"> </w:t>
      </w:r>
      <w:r w:rsidRPr="006C4917">
        <w:rPr>
          <w:rFonts w:hint="eastAsia"/>
          <w:rtl/>
        </w:rPr>
        <w:t>השופט</w:t>
      </w:r>
      <w:r w:rsidRPr="006C4917">
        <w:rPr>
          <w:rtl/>
        </w:rPr>
        <w:t xml:space="preserve"> </w:t>
      </w:r>
      <w:r w:rsidRPr="006C4917">
        <w:rPr>
          <w:rFonts w:ascii="Century" w:hAnsi="Century" w:cs="Miriam" w:hint="eastAsia"/>
          <w:b/>
          <w:spacing w:val="0"/>
          <w:szCs w:val="24"/>
          <w:rtl/>
        </w:rPr>
        <w:t>א</w:t>
      </w:r>
      <w:r w:rsidRPr="006C4917">
        <w:rPr>
          <w:rFonts w:ascii="Century" w:hAnsi="Century" w:cs="Miriam"/>
          <w:b/>
          <w:spacing w:val="0"/>
          <w:szCs w:val="24"/>
          <w:rtl/>
        </w:rPr>
        <w:t xml:space="preserve">' </w:t>
      </w:r>
      <w:r w:rsidRPr="006C4917">
        <w:rPr>
          <w:rFonts w:ascii="Century" w:hAnsi="Century" w:cs="Miriam" w:hint="eastAsia"/>
          <w:b/>
          <w:spacing w:val="0"/>
          <w:szCs w:val="24"/>
          <w:rtl/>
        </w:rPr>
        <w:t>א</w:t>
      </w:r>
      <w:r w:rsidRPr="006C4917">
        <w:rPr>
          <w:rFonts w:ascii="Century" w:hAnsi="Century" w:cs="Miriam"/>
          <w:b/>
          <w:spacing w:val="0"/>
          <w:szCs w:val="24"/>
          <w:rtl/>
        </w:rPr>
        <w:t xml:space="preserve">' </w:t>
      </w:r>
      <w:r w:rsidRPr="006C4917">
        <w:rPr>
          <w:rFonts w:ascii="Century" w:hAnsi="Century" w:cs="Miriam" w:hint="eastAsia"/>
          <w:b/>
          <w:spacing w:val="0"/>
          <w:szCs w:val="24"/>
          <w:rtl/>
        </w:rPr>
        <w:t>לוי</w:t>
      </w:r>
      <w:r w:rsidRPr="006C4917">
        <w:rPr>
          <w:rtl/>
        </w:rPr>
        <w:t>, "</w:t>
      </w:r>
      <w:r w:rsidRPr="006C4917">
        <w:rPr>
          <w:rFonts w:hint="eastAsia"/>
          <w:rtl/>
        </w:rPr>
        <w:t>מבין</w:t>
      </w:r>
      <w:r w:rsidRPr="006C4917">
        <w:rPr>
          <w:rtl/>
        </w:rPr>
        <w:t xml:space="preserve"> </w:t>
      </w:r>
      <w:r w:rsidRPr="006C4917">
        <w:rPr>
          <w:rFonts w:hint="eastAsia"/>
          <w:rtl/>
        </w:rPr>
        <w:t>הכלים</w:t>
      </w:r>
      <w:r w:rsidRPr="006C4917">
        <w:rPr>
          <w:rtl/>
        </w:rPr>
        <w:t xml:space="preserve"> </w:t>
      </w:r>
      <w:r w:rsidRPr="006C4917">
        <w:rPr>
          <w:rFonts w:hint="eastAsia"/>
          <w:rtl/>
        </w:rPr>
        <w:t>המקנים</w:t>
      </w:r>
      <w:r w:rsidRPr="006C4917">
        <w:rPr>
          <w:rtl/>
        </w:rPr>
        <w:t xml:space="preserve"> </w:t>
      </w:r>
      <w:r w:rsidRPr="006C4917">
        <w:rPr>
          <w:rFonts w:hint="eastAsia"/>
          <w:rtl/>
        </w:rPr>
        <w:t>לשיטה</w:t>
      </w:r>
      <w:r w:rsidRPr="006C4917">
        <w:rPr>
          <w:rtl/>
        </w:rPr>
        <w:t xml:space="preserve"> </w:t>
      </w:r>
      <w:r w:rsidRPr="006C4917">
        <w:rPr>
          <w:rFonts w:hint="eastAsia"/>
          <w:rtl/>
        </w:rPr>
        <w:t>המשפטית</w:t>
      </w:r>
      <w:r w:rsidRPr="006C4917">
        <w:rPr>
          <w:rtl/>
        </w:rPr>
        <w:t xml:space="preserve"> </w:t>
      </w:r>
      <w:r w:rsidRPr="006C4917">
        <w:rPr>
          <w:rFonts w:hint="eastAsia"/>
          <w:rtl/>
        </w:rPr>
        <w:t>כוח</w:t>
      </w:r>
      <w:r w:rsidRPr="006C4917">
        <w:rPr>
          <w:rtl/>
        </w:rPr>
        <w:t xml:space="preserve"> </w:t>
      </w:r>
      <w:r w:rsidRPr="006C4917">
        <w:rPr>
          <w:rFonts w:hint="eastAsia"/>
          <w:rtl/>
        </w:rPr>
        <w:t>להגן</w:t>
      </w:r>
      <w:r w:rsidRPr="006C4917">
        <w:rPr>
          <w:rtl/>
        </w:rPr>
        <w:t xml:space="preserve"> </w:t>
      </w:r>
      <w:r w:rsidRPr="006C4917">
        <w:rPr>
          <w:rFonts w:hint="eastAsia"/>
          <w:rtl/>
        </w:rPr>
        <w:t>על</w:t>
      </w:r>
      <w:r w:rsidRPr="006C4917">
        <w:rPr>
          <w:rtl/>
        </w:rPr>
        <w:t xml:space="preserve"> </w:t>
      </w:r>
      <w:r w:rsidRPr="006C4917">
        <w:rPr>
          <w:rFonts w:hint="eastAsia"/>
          <w:rtl/>
        </w:rPr>
        <w:t>האומה</w:t>
      </w:r>
      <w:r w:rsidRPr="006C4917">
        <w:rPr>
          <w:rtl/>
        </w:rPr>
        <w:t xml:space="preserve"> </w:t>
      </w:r>
      <w:r w:rsidRPr="006C4917">
        <w:rPr>
          <w:rFonts w:hint="eastAsia"/>
          <w:rtl/>
        </w:rPr>
        <w:t>מפני</w:t>
      </w:r>
      <w:r w:rsidRPr="006C4917">
        <w:rPr>
          <w:rtl/>
        </w:rPr>
        <w:t xml:space="preserve"> </w:t>
      </w:r>
      <w:r w:rsidRPr="006C4917">
        <w:rPr>
          <w:rFonts w:hint="eastAsia"/>
          <w:rtl/>
        </w:rPr>
        <w:t>שינויים</w:t>
      </w:r>
      <w:r w:rsidRPr="006C4917">
        <w:rPr>
          <w:rtl/>
        </w:rPr>
        <w:t xml:space="preserve"> </w:t>
      </w:r>
      <w:r w:rsidRPr="006C4917">
        <w:rPr>
          <w:rFonts w:hint="eastAsia"/>
          <w:rtl/>
        </w:rPr>
        <w:t>קיצוניים</w:t>
      </w:r>
      <w:r w:rsidRPr="006C4917">
        <w:rPr>
          <w:rtl/>
        </w:rPr>
        <w:t xml:space="preserve"> </w:t>
      </w:r>
      <w:r w:rsidRPr="006C4917">
        <w:rPr>
          <w:rFonts w:hint="eastAsia"/>
          <w:rtl/>
        </w:rPr>
        <w:t>בנרטיב</w:t>
      </w:r>
      <w:r w:rsidRPr="006C4917">
        <w:rPr>
          <w:rtl/>
        </w:rPr>
        <w:t xml:space="preserve"> </w:t>
      </w:r>
      <w:r w:rsidRPr="006C4917">
        <w:rPr>
          <w:rFonts w:hint="eastAsia"/>
          <w:rtl/>
        </w:rPr>
        <w:t>המכונן</w:t>
      </w:r>
      <w:r w:rsidRPr="006C4917">
        <w:rPr>
          <w:rtl/>
        </w:rPr>
        <w:t xml:space="preserve">, </w:t>
      </w:r>
      <w:r w:rsidRPr="006C4917">
        <w:rPr>
          <w:rFonts w:hint="eastAsia"/>
          <w:rtl/>
        </w:rPr>
        <w:t>המאיימים</w:t>
      </w:r>
      <w:r w:rsidRPr="006C4917">
        <w:rPr>
          <w:rtl/>
        </w:rPr>
        <w:t xml:space="preserve"> </w:t>
      </w:r>
      <w:r w:rsidRPr="006C4917">
        <w:rPr>
          <w:rFonts w:hint="eastAsia"/>
          <w:rtl/>
        </w:rPr>
        <w:t>לפרק</w:t>
      </w:r>
      <w:r w:rsidRPr="006C4917">
        <w:rPr>
          <w:rtl/>
        </w:rPr>
        <w:t xml:space="preserve"> </w:t>
      </w:r>
      <w:r w:rsidRPr="006C4917">
        <w:rPr>
          <w:rFonts w:hint="eastAsia"/>
          <w:rtl/>
        </w:rPr>
        <w:t>את</w:t>
      </w:r>
      <w:r w:rsidRPr="006C4917">
        <w:rPr>
          <w:rtl/>
        </w:rPr>
        <w:t xml:space="preserve"> </w:t>
      </w:r>
      <w:r w:rsidRPr="006C4917">
        <w:rPr>
          <w:rFonts w:hint="eastAsia"/>
          <w:rtl/>
        </w:rPr>
        <w:t>רצף</w:t>
      </w:r>
      <w:r w:rsidRPr="006C4917">
        <w:rPr>
          <w:rtl/>
        </w:rPr>
        <w:t xml:space="preserve"> </w:t>
      </w:r>
      <w:r w:rsidRPr="006C4917">
        <w:rPr>
          <w:rFonts w:hint="eastAsia"/>
          <w:rtl/>
        </w:rPr>
        <w:t>אבני</w:t>
      </w:r>
      <w:r w:rsidRPr="006C4917">
        <w:rPr>
          <w:rtl/>
        </w:rPr>
        <w:t>-</w:t>
      </w:r>
      <w:r w:rsidRPr="006C4917">
        <w:rPr>
          <w:rFonts w:hint="eastAsia"/>
          <w:rtl/>
        </w:rPr>
        <w:t>הבנין</w:t>
      </w:r>
      <w:r w:rsidRPr="006C4917">
        <w:rPr>
          <w:rtl/>
        </w:rPr>
        <w:t xml:space="preserve"> </w:t>
      </w:r>
      <w:r w:rsidRPr="006C4917">
        <w:rPr>
          <w:rFonts w:hint="eastAsia"/>
          <w:rtl/>
        </w:rPr>
        <w:t>מהן</w:t>
      </w:r>
      <w:r w:rsidRPr="006C4917">
        <w:rPr>
          <w:rtl/>
        </w:rPr>
        <w:t xml:space="preserve"> </w:t>
      </w:r>
      <w:r w:rsidRPr="006C4917">
        <w:rPr>
          <w:rFonts w:hint="eastAsia"/>
          <w:rtl/>
        </w:rPr>
        <w:t>מורכב</w:t>
      </w:r>
      <w:r w:rsidRPr="006C4917">
        <w:rPr>
          <w:rtl/>
        </w:rPr>
        <w:t xml:space="preserve"> </w:t>
      </w:r>
      <w:r w:rsidRPr="006C4917">
        <w:rPr>
          <w:rFonts w:hint="eastAsia"/>
          <w:rtl/>
        </w:rPr>
        <w:t>סיפורה</w:t>
      </w:r>
      <w:r w:rsidRPr="006C4917">
        <w:rPr>
          <w:rtl/>
        </w:rPr>
        <w:t>" (</w:t>
      </w:r>
      <w:r w:rsidRPr="006C4917">
        <w:rPr>
          <w:rFonts w:hint="eastAsia"/>
          <w:rtl/>
        </w:rPr>
        <w:t>עניין</w:t>
      </w:r>
      <w:r w:rsidRPr="006C4917">
        <w:rPr>
          <w:rtl/>
        </w:rPr>
        <w:t xml:space="preserve"> </w:t>
      </w:r>
      <w:r w:rsidRPr="006C4917">
        <w:rPr>
          <w:rFonts w:ascii="Century" w:hAnsi="Century" w:cs="Miriam" w:hint="eastAsia"/>
          <w:b/>
          <w:spacing w:val="0"/>
          <w:szCs w:val="24"/>
          <w:rtl/>
        </w:rPr>
        <w:t>גלאון</w:t>
      </w:r>
      <w:r w:rsidRPr="006C4917">
        <w:rPr>
          <w:rtl/>
        </w:rPr>
        <w:t xml:space="preserve">, </w:t>
      </w:r>
      <w:r w:rsidRPr="006C4917">
        <w:rPr>
          <w:rFonts w:hint="eastAsia"/>
          <w:rtl/>
        </w:rPr>
        <w:t>בעמ</w:t>
      </w:r>
      <w:r w:rsidRPr="006C4917">
        <w:rPr>
          <w:rtl/>
        </w:rPr>
        <w:t>' 62-61).</w:t>
      </w:r>
    </w:p>
    <w:p w:rsidR="003D7BFC" w:rsidRPr="006C4917" w:rsidRDefault="003D7BFC" w:rsidP="003D7BFC">
      <w:pPr>
        <w:pStyle w:val="Ruller5"/>
        <w:rPr>
          <w:rtl/>
        </w:rPr>
      </w:pPr>
    </w:p>
    <w:p w:rsidR="003D7BFC" w:rsidRPr="006C4917" w:rsidRDefault="003D7BFC" w:rsidP="003D7BFC">
      <w:pPr>
        <w:pStyle w:val="Ruller5"/>
      </w:pPr>
      <w:r w:rsidRPr="006C4917">
        <w:rPr>
          <w:rFonts w:hint="cs"/>
          <w:rtl/>
        </w:rPr>
        <w:t>(פסקה 24 לחוות דעתה).</w:t>
      </w:r>
    </w:p>
    <w:p w:rsidR="003D7BFC" w:rsidRPr="006C4917" w:rsidRDefault="003D7BFC" w:rsidP="003D7BFC">
      <w:pPr>
        <w:pStyle w:val="Ruller41"/>
        <w:rPr>
          <w:rtl/>
        </w:rPr>
      </w:pPr>
    </w:p>
    <w:p w:rsidR="003D7BFC" w:rsidRPr="006C4917" w:rsidRDefault="00104D6D" w:rsidP="00104D6D">
      <w:pPr>
        <w:pStyle w:val="Ruller4"/>
        <w:numPr>
          <w:ilvl w:val="0"/>
          <w:numId w:val="0"/>
        </w:numPr>
        <w:rPr>
          <w:rtl/>
        </w:rPr>
      </w:pPr>
      <w:r>
        <w:rPr>
          <w:rtl/>
        </w:rPr>
        <w:tab/>
      </w:r>
      <w:r w:rsidR="003D7BFC" w:rsidRPr="006C4917">
        <w:rPr>
          <w:rFonts w:hint="cs"/>
          <w:rtl/>
        </w:rPr>
        <w:t xml:space="preserve">בהמשך לדברים אלה, הנשיאה </w:t>
      </w:r>
      <w:r w:rsidR="003D7BFC" w:rsidRPr="006C4917">
        <w:rPr>
          <w:rFonts w:ascii="Century" w:hAnsi="Century" w:cs="Miriam" w:hint="cs"/>
          <w:b/>
          <w:spacing w:val="0"/>
          <w:szCs w:val="24"/>
          <w:rtl/>
        </w:rPr>
        <w:t>חיות</w:t>
      </w:r>
      <w:r w:rsidR="003D7BFC" w:rsidRPr="006C4917">
        <w:rPr>
          <w:rFonts w:hint="cs"/>
          <w:rtl/>
        </w:rPr>
        <w:t xml:space="preserve"> סוקרת את ההצדקות והגישות השונות אשר מובילות כולן כאחת למסקנה כי הכנסת איננה "כל יכולה", גם אם הדרך העיונית של כל גישה שונה מזו של רעותה ונבדלת ממנה (בין גישות אלה, הובאה גם הגישה המבחינה בין סמכות מכוננת "מקורית" לסמכות מכוננת "נגזרת", כמפורט לעיל. ראו שם, פסקה 25 לחוות דעתה). המסקנה העולה מכך היא, איפוא, כי "[הגישות וההבחנות השונות]</w:t>
      </w:r>
      <w:r w:rsidR="003D7BFC" w:rsidRPr="006C4917">
        <w:rPr>
          <w:rtl/>
        </w:rPr>
        <w:t xml:space="preserve"> </w:t>
      </w:r>
      <w:r w:rsidR="003D7BFC" w:rsidRPr="006C4917">
        <w:rPr>
          <w:rFonts w:ascii="Century" w:hAnsi="Century" w:cs="Miriam" w:hint="eastAsia"/>
          <w:b/>
          <w:spacing w:val="0"/>
          <w:szCs w:val="24"/>
          <w:rtl/>
        </w:rPr>
        <w:t>מתלכדות</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בסופו</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של</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דבר</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לשורה</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תחתונה</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אחת</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והיא</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שבשלב</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זה</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של</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המפעל</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החוקתי</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lastRenderedPageBreak/>
        <w:t>הישראלי</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קיימות</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מגבלות</w:t>
      </w:r>
      <w:r w:rsidR="003D7BFC" w:rsidRPr="006C4917">
        <w:rPr>
          <w:rFonts w:ascii="Century" w:hAnsi="Century" w:cs="Miriam"/>
          <w:b/>
          <w:spacing w:val="0"/>
          <w:szCs w:val="24"/>
          <w:rtl/>
        </w:rPr>
        <w:t xml:space="preserve"> – </w:t>
      </w:r>
      <w:r w:rsidR="003D7BFC" w:rsidRPr="006C4917">
        <w:rPr>
          <w:rFonts w:ascii="Century" w:hAnsi="Century" w:cs="Miriam" w:hint="eastAsia"/>
          <w:b/>
          <w:spacing w:val="0"/>
          <w:szCs w:val="24"/>
          <w:rtl/>
        </w:rPr>
        <w:t>צרות</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ביותר</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בהיקפן</w:t>
      </w:r>
      <w:r w:rsidR="003D7BFC" w:rsidRPr="006C4917">
        <w:rPr>
          <w:rFonts w:ascii="Century" w:hAnsi="Century" w:cs="Miriam"/>
          <w:b/>
          <w:spacing w:val="0"/>
          <w:szCs w:val="24"/>
          <w:rtl/>
        </w:rPr>
        <w:t xml:space="preserve"> – </w:t>
      </w:r>
      <w:r w:rsidR="003D7BFC" w:rsidRPr="006C4917">
        <w:rPr>
          <w:rFonts w:ascii="Century" w:hAnsi="Century" w:cs="Miriam" w:hint="eastAsia"/>
          <w:b/>
          <w:spacing w:val="0"/>
          <w:szCs w:val="24"/>
          <w:rtl/>
        </w:rPr>
        <w:t>על</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סמכותה</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של</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הרשות</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המכוננת</w:t>
      </w:r>
      <w:r w:rsidR="003D7BFC" w:rsidRPr="006C4917">
        <w:rPr>
          <w:rFonts w:ascii="Century" w:hAnsi="Century" w:cs="Miriam" w:hint="cs"/>
          <w:b/>
          <w:spacing w:val="0"/>
          <w:szCs w:val="24"/>
          <w:rtl/>
        </w:rPr>
        <w:t xml:space="preserve"> [...]</w:t>
      </w:r>
      <w:r w:rsidR="003D7BFC" w:rsidRPr="006C4917">
        <w:rPr>
          <w:rFonts w:hint="cs"/>
          <w:rtl/>
        </w:rPr>
        <w:t>" (שם, פסקה 27).</w:t>
      </w:r>
    </w:p>
    <w:p w:rsidR="003D7BFC" w:rsidRPr="006C4917" w:rsidRDefault="003D7BFC" w:rsidP="003D7BFC">
      <w:pPr>
        <w:pStyle w:val="Ruller41"/>
      </w:pPr>
    </w:p>
    <w:p w:rsidR="003D7BFC" w:rsidRPr="006C4917" w:rsidRDefault="003D7BFC" w:rsidP="003D7BFC">
      <w:pPr>
        <w:pStyle w:val="Ruller4"/>
        <w:rPr>
          <w:rFonts w:ascii="Times New Roman" w:hAnsi="Times New Roman" w:cs="Times New Roman"/>
          <w:spacing w:val="0"/>
          <w:szCs w:val="24"/>
          <w:rtl/>
        </w:rPr>
      </w:pPr>
      <w:r w:rsidRPr="006C4917">
        <w:rPr>
          <w:rFonts w:hint="cs"/>
          <w:rtl/>
        </w:rPr>
        <w:t>יש הסבורים כי ההכרה במגבלות על סמכות הכנסת כ</w:t>
      </w:r>
      <w:r w:rsidRPr="006C4917">
        <w:rPr>
          <w:rFonts w:hint="eastAsia"/>
          <w:sz w:val="22"/>
          <w:rtl/>
        </w:rPr>
        <w:t>מחוקקת</w:t>
      </w:r>
      <w:r w:rsidRPr="006C4917">
        <w:rPr>
          <w:rFonts w:hint="cs"/>
          <w:rtl/>
        </w:rPr>
        <w:t xml:space="preserve"> (קרי, המגבלות המוטלות על הכנסת בחקיקתה חוק במעמד "רגיל") מחייבת לקבוע שאין מוטלות מגבלות על סמכותה כמכוננת. לשיטתי, זו טענה שגויה (וראו לעניין זה גם עמדתו של השופט </w:t>
      </w:r>
      <w:r w:rsidRPr="006C4917">
        <w:rPr>
          <w:rFonts w:ascii="Century" w:hAnsi="Century" w:cs="Miriam" w:hint="eastAsia"/>
          <w:b/>
          <w:spacing w:val="0"/>
          <w:sz w:val="22"/>
          <w:szCs w:val="24"/>
          <w:rtl/>
        </w:rPr>
        <w:t>עמית</w:t>
      </w:r>
      <w:r w:rsidRPr="006C4917">
        <w:rPr>
          <w:rFonts w:hint="cs"/>
          <w:rtl/>
        </w:rPr>
        <w:t xml:space="preserve"> בפסקה 13 לחוות דעתו). העובדה שבכוחה של הכנסת (כרשות המכוננת) לכבול את ידי עצמה (כרשות המחוקקת), אינה מלמדת כי סמכויותיה כרשות מכוננת אינן מוגבלות. ההנחה ביסוד טענה זו היא שאם הכנסת בכובעה כמחוקקת היא מוגבלת, אזי שוודאי שבכובעה האחר, כרשות מכוננת </w:t>
      </w:r>
      <w:r w:rsidRPr="006C4917">
        <w:rPr>
          <w:rtl/>
        </w:rPr>
        <w:t>–</w:t>
      </w:r>
      <w:r w:rsidRPr="006C4917">
        <w:rPr>
          <w:rFonts w:hint="cs"/>
          <w:rtl/>
        </w:rPr>
        <w:t xml:space="preserve"> היא אינה מוגבלת. במילים אחרות, ההנחה היא שבשיטת משטר חייב להתקיים גוף שכוחו אינו מוגבל. ואולם הדבר שקול להנחה כי אם כל בני האדם בני תמותה חייב להתקיים יצור שאינו בן אדם ואינו בן תמותה. ייתכן שקיים ייצור כזה, אך ייתכן כמובן גם שאין הוא קיים (והשוו ליחסו של איבן איליץ' לסוגיה קרובה: "</w:t>
      </w:r>
      <w:r w:rsidRPr="006C4917">
        <w:rPr>
          <w:rFonts w:ascii="Century" w:hAnsi="Century" w:cs="Miriam" w:hint="eastAsia"/>
          <w:b/>
          <w:spacing w:val="0"/>
          <w:sz w:val="22"/>
          <w:szCs w:val="24"/>
          <w:rtl/>
        </w:rPr>
        <w:t>הדיוק</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הידוע</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שלמד</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מלפנים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בספר</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למוד</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של</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כללי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ההגיון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של</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קיזיבֵטר</w:t>
      </w:r>
      <w:r w:rsidRPr="006C4917">
        <w:rPr>
          <w:rFonts w:ascii="Century" w:hAnsi="Century" w:cs="Miriam"/>
          <w:b/>
          <w:spacing w:val="0"/>
          <w:sz w:val="22"/>
          <w:szCs w:val="24"/>
          <w:rtl/>
        </w:rPr>
        <w:t xml:space="preserve"> </w:t>
      </w:r>
      <w:r w:rsidRPr="006C4917">
        <w:rPr>
          <w:rFonts w:ascii="Century" w:hAnsi="Century" w:cs="Miriam" w:hint="cs"/>
          <w:b/>
          <w:spacing w:val="0"/>
          <w:sz w:val="22"/>
          <w:szCs w:val="24"/>
          <w:rtl/>
        </w:rPr>
        <w:t>'</w:t>
      </w:r>
      <w:r w:rsidRPr="006C4917">
        <w:rPr>
          <w:rFonts w:ascii="Century" w:hAnsi="Century" w:cs="Miriam" w:hint="eastAsia"/>
          <w:b/>
          <w:spacing w:val="0"/>
          <w:sz w:val="22"/>
          <w:szCs w:val="24"/>
          <w:rtl/>
        </w:rPr>
        <w:t>קַיוּס</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הוא</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אדם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בני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אדם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בני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תמותה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שמע</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מיניה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שקיוס</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הוא</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תמותה</w:t>
      </w:r>
      <w:r w:rsidRPr="006C4917">
        <w:rPr>
          <w:rFonts w:ascii="Century" w:hAnsi="Century" w:cs="Miriam" w:hint="cs"/>
          <w:b/>
          <w:spacing w:val="0"/>
          <w:sz w:val="22"/>
          <w:szCs w:val="24"/>
          <w:rtl/>
        </w:rPr>
        <w:t>'</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נראה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לו</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תמיד</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למשפט</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צדק</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רק</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במה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שנוגע</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לקיוס</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אך</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לא</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במה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שנוגע</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אליו</w:t>
      </w:r>
      <w:r w:rsidRPr="006C4917">
        <w:rPr>
          <w:rFonts w:hint="cs"/>
          <w:rtl/>
        </w:rPr>
        <w:t xml:space="preserve">" (לב טולסטוי </w:t>
      </w:r>
      <w:r w:rsidRPr="006C4917">
        <w:rPr>
          <w:rFonts w:ascii="Century" w:hAnsi="Century" w:cs="Miriam" w:hint="cs"/>
          <w:b/>
          <w:spacing w:val="0"/>
          <w:sz w:val="22"/>
          <w:szCs w:val="24"/>
          <w:rtl/>
        </w:rPr>
        <w:t>מותו של איבן איליץ'</w:t>
      </w:r>
      <w:r w:rsidRPr="006C4917">
        <w:rPr>
          <w:rFonts w:hint="cs"/>
          <w:rtl/>
        </w:rPr>
        <w:t xml:space="preserve"> פרק שישי (אלכסנדר זיסקינד רבינוביץ' מתרגם, 1913))). מכל מקום, במערכת משטרית לא חייב להתקיים גוף שהוא כל יכול, וזהו מצב הדברים בשיטתנו. חמור מכך, אם היה קיים גוף כזה, היה בכך משום הפרת מערכת ״האיזונים והבלמים״ (</w:t>
      </w:r>
      <w:r w:rsidRPr="006C4917">
        <w:rPr>
          <w:rFonts w:asciiTheme="majorBidi" w:hAnsiTheme="majorBidi" w:cstheme="majorBidi"/>
        </w:rPr>
        <w:t>checks and balances</w:t>
      </w:r>
      <w:r w:rsidRPr="006C4917">
        <w:rPr>
          <w:rFonts w:hint="cs"/>
          <w:rtl/>
        </w:rPr>
        <w:t>) העומדת ביסוד שיטתנו המשטרי</w:t>
      </w:r>
      <w:r w:rsidRPr="006C4917">
        <w:rPr>
          <w:rFonts w:ascii="Century" w:hAnsi="Century" w:hint="eastAsia"/>
          <w:sz w:val="22"/>
          <w:rtl/>
        </w:rPr>
        <w:t>ת</w:t>
      </w:r>
      <w:r w:rsidRPr="006C4917">
        <w:rPr>
          <w:rFonts w:ascii="Century" w:hAnsi="Century" w:hint="cs"/>
          <w:sz w:val="22"/>
          <w:rtl/>
        </w:rPr>
        <w:t>, וביסוד כל שיטת משטר דמוקרטית.</w:t>
      </w:r>
    </w:p>
    <w:p w:rsidR="003D7BFC" w:rsidRPr="006C4917" w:rsidRDefault="003D7BFC" w:rsidP="00104D6D">
      <w:pPr>
        <w:pStyle w:val="Ruller4"/>
        <w:numPr>
          <w:ilvl w:val="0"/>
          <w:numId w:val="0"/>
        </w:numPr>
        <w:rPr>
          <w:sz w:val="22"/>
          <w:rtl/>
        </w:rPr>
      </w:pPr>
    </w:p>
    <w:p w:rsidR="003D7BFC" w:rsidRPr="006C4917" w:rsidRDefault="003D7BFC" w:rsidP="003D7BFC">
      <w:pPr>
        <w:pStyle w:val="Ruller4"/>
        <w:rPr>
          <w:rtl/>
        </w:rPr>
      </w:pPr>
      <w:r w:rsidRPr="006C4917">
        <w:rPr>
          <w:rFonts w:hint="cs"/>
          <w:rtl/>
        </w:rPr>
        <w:t xml:space="preserve">יש הטוענים כי הכנסת היא כל יכולה, מאחר שהיא מייצגת את העם ונבחרת על ידו, והעם הוא כל יכול. ביסוד טענה זו עומדת הנחת מוצא, "העם הוא כל יכול", המחייבת עיון ובירור </w:t>
      </w:r>
      <w:r w:rsidRPr="006C4917">
        <w:rPr>
          <w:rtl/>
        </w:rPr>
        <w:t>–</w:t>
      </w:r>
      <w:r w:rsidRPr="006C4917">
        <w:rPr>
          <w:rFonts w:hint="cs"/>
          <w:rtl/>
        </w:rPr>
        <w:t xml:space="preserve"> באיזה מובן ״העם הוא כל יכול״? מיהו ״העם״? כיצד מתבטאת עובדת היותו ״כל יכול״? בסופו של דבר, הטוען לכך מתכוון, לעיתים קרובות, לכך </w:t>
      </w:r>
      <w:r w:rsidRPr="006C4917">
        <w:rPr>
          <w:rFonts w:ascii="Century" w:hAnsi="Century" w:hint="cs"/>
          <w:sz w:val="22"/>
          <w:rtl/>
        </w:rPr>
        <w:t>ש״</w:t>
      </w:r>
      <w:r w:rsidRPr="006C4917">
        <w:rPr>
          <w:rFonts w:ascii="Century" w:hAnsi="Century" w:hint="eastAsia"/>
          <w:sz w:val="22"/>
          <w:rtl/>
        </w:rPr>
        <w:t>רצון</w:t>
      </w:r>
      <w:r w:rsidRPr="006C4917">
        <w:rPr>
          <w:rFonts w:ascii="Century" w:hAnsi="Century"/>
          <w:sz w:val="22"/>
          <w:rtl/>
        </w:rPr>
        <w:t xml:space="preserve"> </w:t>
      </w:r>
      <w:r w:rsidRPr="006C4917">
        <w:rPr>
          <w:rFonts w:ascii="Century" w:hAnsi="Century" w:cs="Miriam" w:hint="eastAsia"/>
          <w:b/>
          <w:spacing w:val="0"/>
          <w:sz w:val="22"/>
          <w:szCs w:val="24"/>
          <w:rtl/>
        </w:rPr>
        <w:t>רוב</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העם</w:t>
      </w:r>
      <w:r w:rsidRPr="006C4917">
        <w:rPr>
          <w:rFonts w:ascii="Century" w:hAnsi="Century"/>
          <w:sz w:val="22"/>
          <w:rtl/>
        </w:rPr>
        <w:t xml:space="preserve"> </w:t>
      </w:r>
      <w:r w:rsidRPr="006C4917">
        <w:rPr>
          <w:rFonts w:ascii="Century" w:hAnsi="Century" w:hint="cs"/>
          <w:sz w:val="22"/>
          <w:rtl/>
        </w:rPr>
        <w:t>הוא כל יכול״, ואולם קביעה זו שגויה בעליל בשיטתנו (ולמיטב הכרתי, בכל שיטת משטר דמוקרטית). בשיטתנו המשטרית, רוב העם אינו יכול להח</w:t>
      </w:r>
      <w:r w:rsidRPr="006C4917">
        <w:rPr>
          <w:rFonts w:hint="cs"/>
          <w:rtl/>
        </w:rPr>
        <w:t xml:space="preserve">ליט על גירוש המיעוט; אין הוא יכול להחליט על פגיעה שרירותית בזכויות הפרט; רוב העם בהווה אינו יכול להנציח את היותו הרוב גם בעתיד; בדמוקרטיה כשלנו, רוב העם אפילו אינו יכול להחליט על החלפת נציגיו הנבחרים, אלא במועד הבחירות </w:t>
      </w:r>
      <w:r w:rsidRPr="006C4917">
        <w:rPr>
          <w:rtl/>
        </w:rPr>
        <w:t>–</w:t>
      </w:r>
      <w:r w:rsidRPr="006C4917">
        <w:rPr>
          <w:rFonts w:hint="cs"/>
          <w:rtl/>
        </w:rPr>
        <w:t xml:space="preserve"> ואלה כמובן רק דוגמאות קיצוניות למגבלות המוטלות על רצון רוב העם. אמור מעתה: רצון רוב העם אינו כל יכול, וממילא לא ברור באיזה מובן העם הוא כל יכול.</w:t>
      </w:r>
    </w:p>
    <w:p w:rsidR="003D7BFC" w:rsidRPr="006C4917" w:rsidRDefault="003D7BFC" w:rsidP="00104D6D">
      <w:pPr>
        <w:pStyle w:val="Ruller4"/>
        <w:numPr>
          <w:ilvl w:val="0"/>
          <w:numId w:val="0"/>
        </w:numPr>
        <w:rPr>
          <w:rtl/>
        </w:rPr>
      </w:pPr>
    </w:p>
    <w:p w:rsidR="003D7BFC" w:rsidRPr="006C4917" w:rsidRDefault="003D7BFC" w:rsidP="003D7BFC">
      <w:pPr>
        <w:pStyle w:val="Ruller4"/>
      </w:pPr>
      <w:r w:rsidRPr="006C4917">
        <w:rPr>
          <w:rFonts w:hint="cs"/>
          <w:rtl/>
        </w:rPr>
        <w:t xml:space="preserve">ואולם נוכל להותיר עניינים פילוסופיים אלה לאחרים, באשר גם אם נניח כי יש מובן בו ״רצון </w:t>
      </w:r>
      <w:r w:rsidRPr="006C4917">
        <w:rPr>
          <w:rFonts w:ascii="Century" w:hAnsi="Century" w:cs="Miriam" w:hint="eastAsia"/>
          <w:b/>
          <w:spacing w:val="0"/>
          <w:sz w:val="22"/>
          <w:szCs w:val="24"/>
          <w:rtl/>
        </w:rPr>
        <w:t>העם</w:t>
      </w:r>
      <w:r w:rsidRPr="006C4917">
        <w:rPr>
          <w:rFonts w:hint="cs"/>
          <w:rtl/>
        </w:rPr>
        <w:t xml:space="preserve"> הוא כל יכול״, אין בכך כדי ללמד ש״</w:t>
      </w:r>
      <w:r w:rsidRPr="006C4917">
        <w:rPr>
          <w:rFonts w:ascii="Century" w:hAnsi="Century" w:cs="Miriam" w:hint="eastAsia"/>
          <w:b/>
          <w:spacing w:val="0"/>
          <w:sz w:val="22"/>
          <w:szCs w:val="24"/>
          <w:rtl/>
        </w:rPr>
        <w:t>הכנסת</w:t>
      </w:r>
      <w:r w:rsidRPr="006C4917">
        <w:rPr>
          <w:rFonts w:ascii="Century" w:hAnsi="Century" w:hint="cs"/>
          <w:sz w:val="22"/>
          <w:rtl/>
        </w:rPr>
        <w:t xml:space="preserve"> היא כל יכולה</w:t>
      </w:r>
      <w:r w:rsidRPr="006C4917">
        <w:rPr>
          <w:rFonts w:hint="cs"/>
          <w:rtl/>
        </w:rPr>
        <w:t>״. הכנסת בוודאי איננה העם; אומנם הכנסת מורכבת מנציגים שהעם בחר, ואשר הוסמכו לפעול למען העם במישורים שונים, ביניהם כמחוקקים וכמכוננים. ואולם, בהיותם נציגי העם, ממילא כוחם אינו בלתי מוגבל, אלא חייב להיות מופעל בהתאם לתכליות למענן ניתנה להם השליחות שמכוחה הפכו הם לנציגיו של העם לכתחילה, כאשר מתכליות אלה נגזרות מגבלותיהם. לשם השוואה: גם אם נניח כי "אדם הוא כל יכול ביחס לרכושו" (וכידוע, אין זהו המצב בשיטתנו), בוודאי שלא ניתן לומר כי שלוחו של אותו אדם הוא "כל יכול ביחס לרכוש מושא השליחות".</w:t>
      </w:r>
    </w:p>
    <w:p w:rsidR="003D7BFC" w:rsidRPr="006C4917" w:rsidRDefault="003D7BFC" w:rsidP="00104D6D">
      <w:pPr>
        <w:pStyle w:val="Ruller4"/>
        <w:numPr>
          <w:ilvl w:val="0"/>
          <w:numId w:val="0"/>
        </w:numPr>
        <w:rPr>
          <w:rtl/>
        </w:rPr>
      </w:pPr>
    </w:p>
    <w:p w:rsidR="003D7BFC" w:rsidRPr="006C4917" w:rsidRDefault="003D7BFC" w:rsidP="003D7BFC">
      <w:pPr>
        <w:pStyle w:val="Ruller4"/>
        <w:rPr>
          <w:rtl/>
        </w:rPr>
      </w:pPr>
      <w:r w:rsidRPr="006C4917">
        <w:rPr>
          <w:rFonts w:hint="cs"/>
          <w:rtl/>
        </w:rPr>
        <w:t xml:space="preserve">הכנסת, אם כך, אינה "כל יכולה" </w:t>
      </w:r>
      <w:r w:rsidRPr="006C4917">
        <w:rPr>
          <w:rtl/>
        </w:rPr>
        <w:t>–</w:t>
      </w:r>
      <w:r w:rsidRPr="006C4917">
        <w:rPr>
          <w:rFonts w:hint="cs"/>
          <w:rtl/>
        </w:rPr>
        <w:t xml:space="preserve"> והדבר נכון הן לפעולתה בכובעה כמחוקקת, והן לפעולתה בכובעה כמכוננת. מהן המגבלות המוטלות על הכנסת המכהנת בפועלה כרשות המכוננת? בית משפט זה סיפק לכך מספר תשובות בעבר. מגבלה אחת המוטלת על הכנסת בכובעה כמכוננת היא האיסור על שימוש לרעה בסמכות המכוננת. מגבלה זו פורשה והופעלה בפסיקת בית משפט זה כמתייחסת לשימוש בסמכות המכוננת בעניינים שאינם מתאימים להיכלל בחוקה. מגבלה זו אוסרת להכליל בחוקה הוראות שאינן ראויות להיכלל בה, מתוך הנחה (הניתנת לסתירה) כי פעולה זו מהווה ניצול לרעה של הסמכות המכוננת. בעיניי, מגבלה זו נובעת מחובת האמון הציבורית המוטלת על הכנסת וחבריה, המחייבת אותם להשתמש בסמכות המכוננת לתכלית שלשמה הוענקה. על כך עוד אתעכב בהמשך הדברים. מגבלה אחרת שנקבעה בפסיקה אך טרם הופעלה, היא האיסור על חריגה מסמכות הרשות המכוננת. חברתי, הנשיאה (בדימ') </w:t>
      </w:r>
      <w:r w:rsidRPr="006C4917">
        <w:rPr>
          <w:rFonts w:cs="Miriam" w:hint="eastAsia"/>
          <w:b/>
          <w:spacing w:val="0"/>
          <w:sz w:val="22"/>
          <w:szCs w:val="24"/>
          <w:rtl/>
        </w:rPr>
        <w:t>חיות</w:t>
      </w:r>
      <w:r w:rsidRPr="006C4917">
        <w:rPr>
          <w:rFonts w:hint="cs"/>
          <w:rtl/>
        </w:rPr>
        <w:t>, מפרשת מגבלה זו כמכוונת למצבים של שלילת אופייה "היהודי והדמוקרטי" של מדינת ישראל. בעניין זה, סבורני כי מדובר במופע חשוב, אך בלתי ממצה של ההגבלה. גם על כך ארחיב בהמשך. לצורך החלק הנוכחי, די לי במסקנה כי ב"פרקים הקודמים" של ספר המשפט החוקתי שלנו נקבע, שעל הכנסת בכובעה כרשות המכוננת, מוטלות מגבלות שונות, אשר עשויות לבוא לידי ביטוי בדמות איסור על שימוש לרעה בסמכות המכוננת או איסור על חריגה מהסמכות המכוננת. ברם, לדידי, תוכנן המלא של המגבלות המוטלות על הכנסת המכהנת בפועלה כרשות המכוננת, הוא עניין שטרם נאמרה לגביו המילה האחרונה. קרי, סוגיה זו החלה להיכתב ב"פרקים הקודמים" של ספר המשפט החוקתי שלנו, אך היא טרם מוצתה.</w:t>
      </w:r>
    </w:p>
    <w:p w:rsidR="003D7BFC" w:rsidRPr="006C4917" w:rsidRDefault="003D7BFC" w:rsidP="003D7BFC">
      <w:pPr>
        <w:pStyle w:val="Ruller41"/>
      </w:pPr>
    </w:p>
    <w:p w:rsidR="003D7BFC" w:rsidRPr="006C4917" w:rsidRDefault="003D7BFC" w:rsidP="003D7BFC">
      <w:pPr>
        <w:pStyle w:val="Ruller4"/>
      </w:pPr>
      <w:r w:rsidRPr="006C4917">
        <w:rPr>
          <w:rFonts w:hint="cs"/>
          <w:rtl/>
        </w:rPr>
        <w:lastRenderedPageBreak/>
        <w:t>בכך לא מסתכמות המסקנות שביכולתנו להסיק מהפסיקה הקיימת. בצד ההלכות שהבהירו אילו מגבלות מוטלות על הכנסת כרשות מכוננת, הבהירה הפסיקה גם אילו מגבלות אין ראוי להטיל עליה.</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 xml:space="preserve">בראש ובראשונה, להבנתי, לא התקבלה הגישה לפיה יש מקום להכיר במגבלות הנובעות מעקרונות אמורפיים שאין להם עיגון בדין הפוזיטיבי, בגדר "משפט טבעי" המגביל את הסמכות המכוננת. אכן, בשנותיו הראשונות של המשפט הישראלי נעשתה פנייה לעקרונות משפט הטבע על מנת לבסס קביעות במישור החוקתי (ראו </w:t>
      </w:r>
      <w:r w:rsidRPr="006C4917">
        <w:rPr>
          <w:rFonts w:hint="eastAsia"/>
          <w:rtl/>
        </w:rPr>
        <w:t>ע</w:t>
      </w:r>
      <w:r w:rsidRPr="006C4917">
        <w:rPr>
          <w:rtl/>
        </w:rPr>
        <w:t>"</w:t>
      </w:r>
      <w:r w:rsidRPr="006C4917">
        <w:rPr>
          <w:rFonts w:hint="eastAsia"/>
          <w:rtl/>
        </w:rPr>
        <w:t>ב</w:t>
      </w:r>
      <w:r w:rsidRPr="006C4917">
        <w:rPr>
          <w:rtl/>
        </w:rPr>
        <w:t xml:space="preserve"> 1/65 </w:t>
      </w:r>
      <w:r w:rsidRPr="006C4917">
        <w:rPr>
          <w:rFonts w:ascii="Century" w:hAnsi="Century" w:cs="Miriam" w:hint="eastAsia"/>
          <w:b/>
          <w:spacing w:val="0"/>
          <w:sz w:val="22"/>
          <w:szCs w:val="24"/>
          <w:rtl/>
        </w:rPr>
        <w:t>ירדור</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יושב</w:t>
      </w:r>
      <w:r w:rsidRPr="006C4917">
        <w:rPr>
          <w:rFonts w:ascii="Century" w:hAnsi="Century" w:cs="Miriam"/>
          <w:b/>
          <w:spacing w:val="0"/>
          <w:sz w:val="22"/>
          <w:szCs w:val="24"/>
          <w:rtl/>
        </w:rPr>
        <w:t>-</w:t>
      </w:r>
      <w:r w:rsidRPr="006C4917">
        <w:rPr>
          <w:rFonts w:ascii="Century" w:hAnsi="Century" w:cs="Miriam" w:hint="eastAsia"/>
          <w:b/>
          <w:spacing w:val="0"/>
          <w:sz w:val="22"/>
          <w:szCs w:val="24"/>
          <w:rtl/>
        </w:rPr>
        <w:t>ראש</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ועדת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הבחירות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המרכזית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לכנסת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השישית</w:t>
      </w:r>
      <w:r w:rsidRPr="006C4917">
        <w:rPr>
          <w:rtl/>
        </w:rPr>
        <w:t>,</w:t>
      </w:r>
      <w:r w:rsidRPr="006C4917">
        <w:rPr>
          <w:rFonts w:hint="cs"/>
          <w:rtl/>
        </w:rPr>
        <w:t xml:space="preserve"> פ"ד</w:t>
      </w:r>
      <w:r w:rsidRPr="006C4917">
        <w:rPr>
          <w:rtl/>
        </w:rPr>
        <w:t xml:space="preserve"> </w:t>
      </w:r>
      <w:r w:rsidRPr="006C4917">
        <w:rPr>
          <w:rFonts w:hint="eastAsia"/>
          <w:rtl/>
        </w:rPr>
        <w:t>יט</w:t>
      </w:r>
      <w:r w:rsidRPr="006C4917">
        <w:rPr>
          <w:rtl/>
        </w:rPr>
        <w:t xml:space="preserve"> </w:t>
      </w:r>
      <w:r w:rsidRPr="006C4917">
        <w:rPr>
          <w:rFonts w:hint="cs"/>
          <w:rtl/>
        </w:rPr>
        <w:t>365, 389, 390</w:t>
      </w:r>
      <w:r w:rsidRPr="006C4917">
        <w:rPr>
          <w:rtl/>
        </w:rPr>
        <w:t xml:space="preserve"> (1965)</w:t>
      </w:r>
      <w:r w:rsidRPr="006C4917">
        <w:rPr>
          <w:rFonts w:hint="cs"/>
          <w:rtl/>
        </w:rPr>
        <w:t xml:space="preserve">; </w:t>
      </w:r>
      <w:r w:rsidRPr="006C4917">
        <w:rPr>
          <w:rFonts w:ascii="Century" w:hAnsi="Century" w:cs="Miriam" w:hint="cs"/>
          <w:b/>
          <w:spacing w:val="0"/>
          <w:sz w:val="22"/>
          <w:szCs w:val="24"/>
          <w:rtl/>
        </w:rPr>
        <w:t>רובינשטיין ומדינה</w:t>
      </w:r>
      <w:r w:rsidRPr="006C4917">
        <w:rPr>
          <w:rFonts w:hint="cs"/>
          <w:rtl/>
        </w:rPr>
        <w:t xml:space="preserve">, בעמ' 352), ואף היו שופטים ומלומדים שראו בכך בסיס להכרה במגבלות על סמכות הכנסת לכונן חוקי יסוד (הבולט בהם היה השופט </w:t>
      </w:r>
      <w:r w:rsidRPr="006C4917">
        <w:rPr>
          <w:rFonts w:cs="Miriam" w:hint="eastAsia"/>
          <w:b/>
          <w:spacing w:val="0"/>
          <w:sz w:val="22"/>
          <w:szCs w:val="24"/>
          <w:rtl/>
        </w:rPr>
        <w:t>חשין</w:t>
      </w:r>
      <w:r w:rsidRPr="006C4917">
        <w:rPr>
          <w:rFonts w:hint="cs"/>
          <w:rtl/>
        </w:rPr>
        <w:t xml:space="preserve">. ראו </w:t>
      </w:r>
      <w:r w:rsidRPr="006C4917">
        <w:rPr>
          <w:rFonts w:hint="eastAsia"/>
          <w:rtl/>
        </w:rPr>
        <w:t>בג</w:t>
      </w:r>
      <w:r w:rsidRPr="006C4917">
        <w:rPr>
          <w:rtl/>
        </w:rPr>
        <w:t>"</w:t>
      </w:r>
      <w:r w:rsidRPr="006C4917">
        <w:rPr>
          <w:rFonts w:hint="eastAsia"/>
          <w:rtl/>
        </w:rPr>
        <w:t>ץ</w:t>
      </w:r>
      <w:r w:rsidRPr="006C4917">
        <w:rPr>
          <w:rtl/>
        </w:rPr>
        <w:t xml:space="preserve"> 6427/02 </w:t>
      </w:r>
      <w:r w:rsidRPr="006C4917">
        <w:rPr>
          <w:rFonts w:ascii="Century" w:hAnsi="Century" w:cs="Miriam" w:hint="eastAsia"/>
          <w:b/>
          <w:spacing w:val="0"/>
          <w:sz w:val="22"/>
          <w:szCs w:val="24"/>
          <w:rtl/>
        </w:rPr>
        <w:t>התנועה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למען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התנועה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למען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התנועה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למען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איכות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השלטון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בישראל</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כנסת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ישראל</w:t>
      </w:r>
      <w:r w:rsidRPr="006C4917">
        <w:rPr>
          <w:rFonts w:ascii="Century" w:hAnsi="Century" w:hint="cs"/>
          <w:sz w:val="22"/>
          <w:rtl/>
        </w:rPr>
        <w:t>,</w:t>
      </w:r>
      <w:r w:rsidRPr="006C4917">
        <w:rPr>
          <w:rtl/>
        </w:rPr>
        <w:t xml:space="preserve"> </w:t>
      </w:r>
      <w:r w:rsidRPr="006C4917">
        <w:rPr>
          <w:rFonts w:hint="eastAsia"/>
          <w:rtl/>
        </w:rPr>
        <w:t>פ</w:t>
      </w:r>
      <w:r w:rsidRPr="006C4917">
        <w:rPr>
          <w:rtl/>
        </w:rPr>
        <w:t>"</w:t>
      </w:r>
      <w:r w:rsidRPr="006C4917">
        <w:rPr>
          <w:rFonts w:hint="eastAsia"/>
          <w:rtl/>
        </w:rPr>
        <w:t>ד</w:t>
      </w:r>
      <w:r w:rsidRPr="006C4917">
        <w:rPr>
          <w:rtl/>
        </w:rPr>
        <w:t xml:space="preserve"> </w:t>
      </w:r>
      <w:r w:rsidRPr="006C4917">
        <w:rPr>
          <w:rFonts w:hint="eastAsia"/>
          <w:rtl/>
        </w:rPr>
        <w:t>סא</w:t>
      </w:r>
      <w:r w:rsidRPr="006C4917">
        <w:rPr>
          <w:rtl/>
        </w:rPr>
        <w:t xml:space="preserve">(1) 620, </w:t>
      </w:r>
      <w:r w:rsidRPr="006C4917">
        <w:rPr>
          <w:rFonts w:hint="cs"/>
          <w:rtl/>
        </w:rPr>
        <w:t>726-725</w:t>
      </w:r>
      <w:r w:rsidRPr="006C4917">
        <w:rPr>
          <w:rtl/>
        </w:rPr>
        <w:t xml:space="preserve"> (2006)</w:t>
      </w:r>
      <w:r w:rsidRPr="006C4917">
        <w:rPr>
          <w:rFonts w:hint="cs"/>
          <w:rtl/>
        </w:rPr>
        <w:t xml:space="preserve">. כן ראו </w:t>
      </w:r>
      <w:r w:rsidRPr="006C4917">
        <w:rPr>
          <w:rFonts w:hint="eastAsia"/>
          <w:rtl/>
        </w:rPr>
        <w:t>בג</w:t>
      </w:r>
      <w:r w:rsidRPr="006C4917">
        <w:rPr>
          <w:rtl/>
        </w:rPr>
        <w:t>"</w:t>
      </w:r>
      <w:r w:rsidRPr="006C4917">
        <w:rPr>
          <w:rFonts w:hint="eastAsia"/>
          <w:rtl/>
        </w:rPr>
        <w:t>ץ</w:t>
      </w:r>
      <w:r w:rsidRPr="006C4917">
        <w:rPr>
          <w:rtl/>
        </w:rPr>
        <w:t xml:space="preserve"> 1/49 </w:t>
      </w:r>
      <w:r w:rsidRPr="006C4917">
        <w:rPr>
          <w:rFonts w:ascii="Century" w:hAnsi="Century" w:cs="Miriam" w:hint="eastAsia"/>
          <w:b/>
          <w:spacing w:val="0"/>
          <w:sz w:val="22"/>
          <w:szCs w:val="24"/>
          <w:rtl/>
        </w:rPr>
        <w:t>בז</w:t>
      </w:r>
      <w:r w:rsidRPr="006C4917">
        <w:rPr>
          <w:rFonts w:ascii="Century" w:hAnsi="Century" w:cs="Miriam"/>
          <w:b/>
          <w:spacing w:val="0"/>
          <w:sz w:val="22"/>
          <w:szCs w:val="24"/>
          <w:rtl/>
        </w:rPr>
        <w:t>'</w:t>
      </w:r>
      <w:r w:rsidRPr="006C4917">
        <w:rPr>
          <w:rFonts w:ascii="Century" w:hAnsi="Century" w:cs="Miriam" w:hint="eastAsia"/>
          <w:b/>
          <w:spacing w:val="0"/>
          <w:sz w:val="22"/>
          <w:szCs w:val="24"/>
          <w:rtl/>
        </w:rPr>
        <w:t>רנו</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שר</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המשטרה</w:t>
      </w:r>
      <w:r w:rsidRPr="006C4917">
        <w:rPr>
          <w:rtl/>
        </w:rPr>
        <w:t xml:space="preserve">, </w:t>
      </w:r>
      <w:r w:rsidRPr="006C4917">
        <w:rPr>
          <w:rFonts w:hint="eastAsia"/>
          <w:rtl/>
        </w:rPr>
        <w:t>פ</w:t>
      </w:r>
      <w:r w:rsidRPr="006C4917">
        <w:rPr>
          <w:rtl/>
        </w:rPr>
        <w:t>"</w:t>
      </w:r>
      <w:r w:rsidRPr="006C4917">
        <w:rPr>
          <w:rFonts w:hint="eastAsia"/>
          <w:rtl/>
        </w:rPr>
        <w:t>ד</w:t>
      </w:r>
      <w:r w:rsidRPr="006C4917">
        <w:rPr>
          <w:rtl/>
        </w:rPr>
        <w:t xml:space="preserve"> </w:t>
      </w:r>
      <w:r w:rsidRPr="006C4917">
        <w:rPr>
          <w:rFonts w:hint="eastAsia"/>
          <w:rtl/>
        </w:rPr>
        <w:t>ב</w:t>
      </w:r>
      <w:r w:rsidRPr="006C4917">
        <w:rPr>
          <w:rtl/>
        </w:rPr>
        <w:t xml:space="preserve"> 80, 83</w:t>
      </w:r>
      <w:r w:rsidRPr="006C4917">
        <w:rPr>
          <w:rFonts w:hint="cs"/>
          <w:rtl/>
        </w:rPr>
        <w:t xml:space="preserve"> (1949); </w:t>
      </w:r>
      <w:r w:rsidRPr="006C4917">
        <w:rPr>
          <w:rFonts w:hint="eastAsia"/>
          <w:rtl/>
        </w:rPr>
        <w:t>בג</w:t>
      </w:r>
      <w:r w:rsidRPr="006C4917">
        <w:rPr>
          <w:rtl/>
        </w:rPr>
        <w:t>"</w:t>
      </w:r>
      <w:r w:rsidRPr="006C4917">
        <w:rPr>
          <w:rFonts w:hint="eastAsia"/>
          <w:rtl/>
        </w:rPr>
        <w:t>ץ</w:t>
      </w:r>
      <w:r w:rsidRPr="006C4917">
        <w:rPr>
          <w:rtl/>
        </w:rPr>
        <w:t xml:space="preserve"> 29/62 </w:t>
      </w:r>
      <w:r w:rsidRPr="006C4917">
        <w:rPr>
          <w:rFonts w:ascii="Century" w:hAnsi="Century" w:cs="Miriam" w:hint="eastAsia"/>
          <w:b/>
          <w:spacing w:val="0"/>
          <w:sz w:val="22"/>
          <w:szCs w:val="24"/>
          <w:rtl/>
        </w:rPr>
        <w:t>כהן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שר</w:t>
      </w:r>
      <w:r w:rsidRPr="006C4917">
        <w:rPr>
          <w:rFonts w:ascii="Century" w:hAnsi="Century" w:cs="Miriam"/>
          <w:b/>
          <w:spacing w:val="0"/>
          <w:sz w:val="22"/>
          <w:szCs w:val="24"/>
          <w:rtl/>
        </w:rPr>
        <w:t>-</w:t>
      </w:r>
      <w:r w:rsidRPr="006C4917">
        <w:rPr>
          <w:rFonts w:ascii="Century" w:hAnsi="Century" w:cs="Miriam" w:hint="eastAsia"/>
          <w:b/>
          <w:spacing w:val="0"/>
          <w:sz w:val="22"/>
          <w:szCs w:val="24"/>
          <w:rtl/>
        </w:rPr>
        <w:t>הביטחון</w:t>
      </w:r>
      <w:r w:rsidRPr="006C4917">
        <w:rPr>
          <w:rtl/>
        </w:rPr>
        <w:t xml:space="preserve">, </w:t>
      </w:r>
      <w:r w:rsidRPr="006C4917">
        <w:rPr>
          <w:rFonts w:hint="eastAsia"/>
          <w:rtl/>
        </w:rPr>
        <w:t>פ</w:t>
      </w:r>
      <w:r w:rsidRPr="006C4917">
        <w:rPr>
          <w:rtl/>
        </w:rPr>
        <w:t>"</w:t>
      </w:r>
      <w:r w:rsidRPr="006C4917">
        <w:rPr>
          <w:rFonts w:hint="eastAsia"/>
          <w:rtl/>
        </w:rPr>
        <w:t>ד</w:t>
      </w:r>
      <w:r w:rsidRPr="006C4917">
        <w:rPr>
          <w:rtl/>
        </w:rPr>
        <w:t xml:space="preserve"> </w:t>
      </w:r>
      <w:r w:rsidRPr="006C4917">
        <w:rPr>
          <w:rFonts w:hint="eastAsia"/>
          <w:rtl/>
        </w:rPr>
        <w:t>טז</w:t>
      </w:r>
      <w:r w:rsidRPr="006C4917">
        <w:rPr>
          <w:rtl/>
        </w:rPr>
        <w:t xml:space="preserve"> 1023, 1027</w:t>
      </w:r>
      <w:r w:rsidRPr="006C4917">
        <w:rPr>
          <w:rFonts w:hint="cs"/>
          <w:rtl/>
        </w:rPr>
        <w:t xml:space="preserve"> (1962); </w:t>
      </w:r>
      <w:r w:rsidRPr="006C4917">
        <w:rPr>
          <w:rFonts w:hint="eastAsia"/>
          <w:rtl/>
        </w:rPr>
        <w:t>בג</w:t>
      </w:r>
      <w:r w:rsidRPr="006C4917">
        <w:rPr>
          <w:rtl/>
        </w:rPr>
        <w:t>"</w:t>
      </w:r>
      <w:r w:rsidRPr="006C4917">
        <w:rPr>
          <w:rFonts w:hint="eastAsia"/>
          <w:rtl/>
        </w:rPr>
        <w:t>ץ</w:t>
      </w:r>
      <w:r w:rsidRPr="006C4917">
        <w:rPr>
          <w:rtl/>
        </w:rPr>
        <w:t xml:space="preserve"> 243/62 </w:t>
      </w:r>
      <w:r w:rsidRPr="006C4917">
        <w:rPr>
          <w:rFonts w:ascii="Century" w:hAnsi="Century" w:cs="Miriam" w:hint="eastAsia"/>
          <w:b/>
          <w:spacing w:val="0"/>
          <w:sz w:val="22"/>
          <w:szCs w:val="24"/>
          <w:rtl/>
        </w:rPr>
        <w:t>אולפני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הסרטה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בישראל</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בע</w:t>
      </w:r>
      <w:r w:rsidRPr="006C4917">
        <w:rPr>
          <w:rFonts w:ascii="Century" w:hAnsi="Century" w:cs="Miriam"/>
          <w:b/>
          <w:spacing w:val="0"/>
          <w:sz w:val="22"/>
          <w:szCs w:val="24"/>
          <w:rtl/>
        </w:rPr>
        <w:t>"</w:t>
      </w:r>
      <w:r w:rsidRPr="006C4917">
        <w:rPr>
          <w:rFonts w:ascii="Century" w:hAnsi="Century" w:cs="Miriam" w:hint="eastAsia"/>
          <w:b/>
          <w:spacing w:val="0"/>
          <w:sz w:val="22"/>
          <w:szCs w:val="24"/>
          <w:rtl/>
        </w:rPr>
        <w:t>מ</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גרי</w:t>
      </w:r>
      <w:r w:rsidRPr="006C4917">
        <w:rPr>
          <w:rtl/>
        </w:rPr>
        <w:t xml:space="preserve">, </w:t>
      </w:r>
      <w:r w:rsidRPr="006C4917">
        <w:rPr>
          <w:rFonts w:hint="eastAsia"/>
          <w:rtl/>
        </w:rPr>
        <w:t>פ</w:t>
      </w:r>
      <w:r w:rsidRPr="006C4917">
        <w:rPr>
          <w:rtl/>
        </w:rPr>
        <w:t>"</w:t>
      </w:r>
      <w:r w:rsidRPr="006C4917">
        <w:rPr>
          <w:rFonts w:hint="eastAsia"/>
          <w:rtl/>
        </w:rPr>
        <w:t>ד</w:t>
      </w:r>
      <w:r w:rsidRPr="006C4917">
        <w:rPr>
          <w:rtl/>
        </w:rPr>
        <w:t xml:space="preserve"> </w:t>
      </w:r>
      <w:r w:rsidRPr="006C4917">
        <w:rPr>
          <w:rFonts w:hint="eastAsia"/>
          <w:rtl/>
        </w:rPr>
        <w:t>טז</w:t>
      </w:r>
      <w:r w:rsidRPr="006C4917">
        <w:rPr>
          <w:rtl/>
        </w:rPr>
        <w:t xml:space="preserve"> 2407, 2415</w:t>
      </w:r>
      <w:r w:rsidRPr="006C4917">
        <w:rPr>
          <w:rFonts w:hint="cs"/>
          <w:rtl/>
        </w:rPr>
        <w:t xml:space="preserve"> (1962). וראו יישום דומה גם בתחום המשפט הפרטי: </w:t>
      </w:r>
      <w:r w:rsidRPr="006C4917">
        <w:rPr>
          <w:rFonts w:hint="eastAsia"/>
          <w:rtl/>
        </w:rPr>
        <w:t>ד</w:t>
      </w:r>
      <w:r w:rsidRPr="006C4917">
        <w:rPr>
          <w:rtl/>
        </w:rPr>
        <w:t>"</w:t>
      </w:r>
      <w:r w:rsidRPr="006C4917">
        <w:rPr>
          <w:rFonts w:hint="eastAsia"/>
          <w:rtl/>
        </w:rPr>
        <w:t>נ</w:t>
      </w:r>
      <w:r w:rsidRPr="006C4917">
        <w:rPr>
          <w:rtl/>
        </w:rPr>
        <w:t xml:space="preserve"> 29/84 </w:t>
      </w:r>
      <w:r w:rsidRPr="006C4917">
        <w:rPr>
          <w:rFonts w:ascii="Century" w:hAnsi="Century" w:cs="Miriam" w:hint="eastAsia"/>
          <w:b/>
          <w:spacing w:val="0"/>
          <w:sz w:val="22"/>
          <w:szCs w:val="24"/>
          <w:rtl/>
        </w:rPr>
        <w:t>קוסוי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בנק</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י</w:t>
      </w:r>
      <w:r w:rsidRPr="006C4917">
        <w:rPr>
          <w:rFonts w:ascii="Century" w:hAnsi="Century" w:cs="Miriam"/>
          <w:b/>
          <w:spacing w:val="0"/>
          <w:sz w:val="22"/>
          <w:szCs w:val="24"/>
          <w:rtl/>
        </w:rPr>
        <w:t>.</w:t>
      </w:r>
      <w:r w:rsidRPr="006C4917">
        <w:rPr>
          <w:rFonts w:ascii="Century" w:hAnsi="Century" w:cs="Miriam" w:hint="eastAsia"/>
          <w:b/>
          <w:spacing w:val="0"/>
          <w:sz w:val="22"/>
          <w:szCs w:val="24"/>
          <w:rtl/>
        </w:rPr>
        <w:t>ל</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פויכטונגר</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בע</w:t>
      </w:r>
      <w:r w:rsidRPr="006C4917">
        <w:rPr>
          <w:rFonts w:ascii="Century" w:hAnsi="Century" w:cs="Miriam"/>
          <w:b/>
          <w:spacing w:val="0"/>
          <w:sz w:val="22"/>
          <w:szCs w:val="24"/>
          <w:rtl/>
        </w:rPr>
        <w:t>"</w:t>
      </w:r>
      <w:r w:rsidRPr="006C4917">
        <w:rPr>
          <w:rFonts w:ascii="Century" w:hAnsi="Century" w:cs="Miriam" w:hint="eastAsia"/>
          <w:b/>
          <w:spacing w:val="0"/>
          <w:sz w:val="22"/>
          <w:szCs w:val="24"/>
          <w:rtl/>
        </w:rPr>
        <w:t>מ</w:t>
      </w:r>
      <w:r w:rsidRPr="006C4917">
        <w:rPr>
          <w:rtl/>
        </w:rPr>
        <w:t xml:space="preserve">, </w:t>
      </w:r>
      <w:r w:rsidRPr="006C4917">
        <w:rPr>
          <w:rFonts w:hint="eastAsia"/>
          <w:rtl/>
        </w:rPr>
        <w:t>פ</w:t>
      </w:r>
      <w:r w:rsidRPr="006C4917">
        <w:rPr>
          <w:rtl/>
        </w:rPr>
        <w:t>"</w:t>
      </w:r>
      <w:r w:rsidRPr="006C4917">
        <w:rPr>
          <w:rFonts w:hint="eastAsia"/>
          <w:rtl/>
        </w:rPr>
        <w:t>ד</w:t>
      </w:r>
      <w:r w:rsidRPr="006C4917">
        <w:rPr>
          <w:rtl/>
        </w:rPr>
        <w:t xml:space="preserve"> </w:t>
      </w:r>
      <w:r w:rsidRPr="006C4917">
        <w:rPr>
          <w:rFonts w:hint="eastAsia"/>
          <w:rtl/>
        </w:rPr>
        <w:t>לח</w:t>
      </w:r>
      <w:r w:rsidRPr="006C4917">
        <w:rPr>
          <w:rtl/>
        </w:rPr>
        <w:t xml:space="preserve">(4) 505, </w:t>
      </w:r>
      <w:r w:rsidRPr="006C4917">
        <w:rPr>
          <w:rFonts w:hint="cs"/>
          <w:rtl/>
        </w:rPr>
        <w:t xml:space="preserve">512-511 (1984)). ואולם, דומה כי עם התפתחותה של הפסיקה, וביתר שאת בעשור האחרון, נדחתה אפשרות זו, ולמצער הוקפא פיתוחה (לעמדה כי שופטי בית משפט זה נוהגים לצעוד ב"גישת הביניים", שאינה מכירה, מחד גיסא, במערכת-על ששיטת משפטנו כפופה לה, ומאידך גיסא, נוטה לשלב "עקרונות יסוד של השיטה", ראו </w:t>
      </w:r>
      <w:r w:rsidRPr="006C4917">
        <w:rPr>
          <w:rFonts w:ascii="Century" w:hAnsi="Century" w:cs="Miriam" w:hint="cs"/>
          <w:b/>
          <w:spacing w:val="0"/>
          <w:sz w:val="22"/>
          <w:szCs w:val="24"/>
          <w:rtl/>
        </w:rPr>
        <w:t>אנגלרד</w:t>
      </w:r>
      <w:r w:rsidRPr="006C4917">
        <w:rPr>
          <w:rFonts w:hint="cs"/>
          <w:rtl/>
        </w:rPr>
        <w:t xml:space="preserve">, בעמ' 88-87). זאת, בעיקר בזכות פסיקתה של הנשיאה </w:t>
      </w:r>
      <w:r w:rsidRPr="006C4917">
        <w:rPr>
          <w:rFonts w:cs="Miriam" w:hint="eastAsia"/>
          <w:b/>
          <w:spacing w:val="0"/>
          <w:sz w:val="22"/>
          <w:szCs w:val="24"/>
          <w:rtl/>
        </w:rPr>
        <w:t>חיות</w:t>
      </w:r>
      <w:r w:rsidRPr="006C4917">
        <w:rPr>
          <w:rFonts w:hint="cs"/>
          <w:rtl/>
        </w:rPr>
        <w:t xml:space="preserve">, בעקבותיה התקבעה במשפט החוקתי העמדה הפוזיטיביסטית כי את המגבלות המוטלות על הסמכות המכוננת של הכנסת ניתן וצריך למצוא במקורות משפטיים קיימים, אותם היא מכנה "נתונים חוקתיים", ולא בעקרונות מוסר או טבע, שסמכותם עמומה ותוכנם מעורפל (פסקאות 53 ו-66 לחוות דעתה. להרחבה ראו עניין </w:t>
      </w:r>
      <w:r w:rsidRPr="006C4917">
        <w:rPr>
          <w:rFonts w:ascii="Century" w:hAnsi="Century" w:cs="Miriam" w:hint="cs"/>
          <w:b/>
          <w:spacing w:val="0"/>
          <w:sz w:val="22"/>
          <w:szCs w:val="24"/>
          <w:rtl/>
        </w:rPr>
        <w:t>חסון</w:t>
      </w:r>
      <w:r w:rsidRPr="006C4917">
        <w:rPr>
          <w:rFonts w:hint="cs"/>
          <w:rtl/>
        </w:rPr>
        <w:t xml:space="preserve">, פסקאות 23-19 לחוות דעתה. חברי, השופט </w:t>
      </w:r>
      <w:r w:rsidRPr="006C4917">
        <w:rPr>
          <w:rFonts w:cs="Miriam" w:hint="eastAsia"/>
          <w:b/>
          <w:spacing w:val="0"/>
          <w:sz w:val="22"/>
          <w:szCs w:val="24"/>
          <w:rtl/>
        </w:rPr>
        <w:t>עמית</w:t>
      </w:r>
      <w:r w:rsidRPr="006C4917">
        <w:rPr>
          <w:rFonts w:hint="cs"/>
          <w:rtl/>
        </w:rPr>
        <w:t xml:space="preserve">, מותיר בחוות דעתו בצריך עיון את האפשרות לבסס באופן בלעדי את המגבלות המוטלות על הסמכות המכוננת של הכנסת על עקרונות על-חוקתיים, וזאת מאחר שאינו רואה נפקות מעשית לשאלת מקור המגבלות (פסקאות 17-16 לחוות דעתו). עמדה נחרצת נגד גישה שאינה פוזיטיביסטית מביע חברי, השופט </w:t>
      </w:r>
      <w:r w:rsidRPr="006C4917">
        <w:rPr>
          <w:rFonts w:ascii="Century" w:hAnsi="Century" w:cs="Miriam" w:hint="eastAsia"/>
          <w:b/>
          <w:spacing w:val="0"/>
          <w:sz w:val="22"/>
          <w:szCs w:val="24"/>
          <w:rtl/>
        </w:rPr>
        <w:t>אלכס</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שטיין</w:t>
      </w:r>
      <w:r w:rsidRPr="006C4917">
        <w:rPr>
          <w:rFonts w:hint="cs"/>
          <w:rtl/>
        </w:rPr>
        <w:t xml:space="preserve"> (ראו פסקאות 19-17 לחוות דעתו)).</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 xml:space="preserve">בדומה, נדחתה פעם אחר פעם האפשרות לראות במגילת העצמאות, כשלעצמה, מקור נורמטיבי המגביל את סמכויות הכנסת כרשות מכוננת. אכן, למגילת העצמאות </w:t>
      </w:r>
      <w:r w:rsidRPr="006C4917">
        <w:rPr>
          <w:rFonts w:hint="cs"/>
          <w:rtl/>
        </w:rPr>
        <w:lastRenderedPageBreak/>
        <w:t xml:space="preserve">תפקיד חשוב ומכונן בשיטתנו </w:t>
      </w:r>
      <w:r w:rsidRPr="006C4917">
        <w:rPr>
          <w:rtl/>
        </w:rPr>
        <w:t>–</w:t>
      </w:r>
      <w:r w:rsidRPr="006C4917">
        <w:rPr>
          <w:rFonts w:hint="cs"/>
          <w:rtl/>
        </w:rPr>
        <w:t xml:space="preserve"> מכוחה נוסדה מדינת ישראל, ומכוחה הפכה מועצת העם למועצת המדינה הזמנית, ומנהלת העם לממשלה הזמנית. מגילת העצמאות גם קבעה את שמה של המדינה החדשה "ישראל". ואולם, עם כל חשיבותה, מגילת העצמאות איננה חוקה, ומעולם לא התיימרה להיות חוקה. עניין זה עולה במפורש מהקביעה הכלולה בה לפיה האסיפה המכוננת הנבחרת היא שתקבע את החוקה. זאת ועוד, פסיקה עקבית וענפה של בית משפט זה הבהירה כי חלקים משמעותיים של מגילת העצמאות הם הצהרתיים בלבד, וכי אין לראות באמור בה משום קביעות בעלות תוקף נורמטיבי מחייב </w:t>
      </w:r>
      <w:r w:rsidRPr="006C4917">
        <w:rPr>
          <w:rtl/>
        </w:rPr>
        <w:t>–</w:t>
      </w:r>
      <w:r w:rsidRPr="006C4917">
        <w:rPr>
          <w:rFonts w:hint="cs"/>
          <w:rtl/>
        </w:rPr>
        <w:t xml:space="preserve"> לא כלפי רשויות המנהל, ובוודאי שלא כלפי הכנסת, בין בכובעה כרשות מחוקקת ובין בכובעה כרשות מכוננת (בג"ץ 10/48 </w:t>
      </w:r>
      <w:r w:rsidRPr="006C4917">
        <w:rPr>
          <w:rFonts w:ascii="Century" w:hAnsi="Century" w:cs="Miriam" w:hint="eastAsia"/>
          <w:b/>
          <w:spacing w:val="0"/>
          <w:sz w:val="22"/>
          <w:szCs w:val="24"/>
          <w:rtl/>
        </w:rPr>
        <w:t>צבי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הממונה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בפועל</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על</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האזור</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העירוני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תל</w:t>
      </w:r>
      <w:r w:rsidRPr="006C4917">
        <w:rPr>
          <w:rFonts w:ascii="Century" w:hAnsi="Century" w:cs="Miriam"/>
          <w:b/>
          <w:spacing w:val="0"/>
          <w:sz w:val="22"/>
          <w:szCs w:val="24"/>
          <w:rtl/>
        </w:rPr>
        <w:t>-</w:t>
      </w:r>
      <w:r w:rsidRPr="006C4917">
        <w:rPr>
          <w:rFonts w:ascii="Century" w:hAnsi="Century" w:cs="Miriam" w:hint="eastAsia"/>
          <w:b/>
          <w:spacing w:val="0"/>
          <w:sz w:val="22"/>
          <w:szCs w:val="24"/>
          <w:rtl/>
        </w:rPr>
        <w:t>אביב</w:t>
      </w:r>
      <w:r w:rsidRPr="006C4917">
        <w:rPr>
          <w:rFonts w:hint="cs"/>
          <w:rtl/>
        </w:rPr>
        <w:t xml:space="preserve">, פ"ד א 85, 89 (1948) ("[במגילת העצמאות] </w:t>
      </w:r>
      <w:r w:rsidRPr="006C4917">
        <w:rPr>
          <w:rFonts w:ascii="Century" w:hAnsi="Century" w:cs="Miriam" w:hint="eastAsia"/>
          <w:b/>
          <w:spacing w:val="0"/>
          <w:sz w:val="22"/>
          <w:szCs w:val="24"/>
          <w:rtl/>
        </w:rPr>
        <w:t>אין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משום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חוק</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קונסטיטוציוני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הפוסק</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הלכה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למעשה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בדבר</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קיום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פקודות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וחוקים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שונים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או</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ביטולם</w:t>
      </w:r>
      <w:r w:rsidRPr="006C4917">
        <w:rPr>
          <w:rFonts w:hint="cs"/>
          <w:rtl/>
        </w:rPr>
        <w:t>")</w:t>
      </w:r>
      <w:r w:rsidRPr="006C4917">
        <w:rPr>
          <w:rtl/>
        </w:rPr>
        <w:t xml:space="preserve">; </w:t>
      </w:r>
      <w:r w:rsidRPr="006C4917">
        <w:rPr>
          <w:rFonts w:hint="eastAsia"/>
          <w:rtl/>
        </w:rPr>
        <w:t>בג</w:t>
      </w:r>
      <w:r w:rsidRPr="006C4917">
        <w:rPr>
          <w:rtl/>
        </w:rPr>
        <w:t>"</w:t>
      </w:r>
      <w:r w:rsidRPr="006C4917">
        <w:rPr>
          <w:rFonts w:hint="eastAsia"/>
          <w:rtl/>
        </w:rPr>
        <w:t>ץ</w:t>
      </w:r>
      <w:r w:rsidRPr="006C4917">
        <w:rPr>
          <w:rtl/>
        </w:rPr>
        <w:t xml:space="preserve"> 726/94 </w:t>
      </w:r>
      <w:r w:rsidRPr="006C4917">
        <w:rPr>
          <w:rFonts w:ascii="Century" w:hAnsi="Century" w:cs="Miriam" w:hint="eastAsia"/>
          <w:b/>
          <w:spacing w:val="0"/>
          <w:sz w:val="22"/>
          <w:szCs w:val="24"/>
          <w:rtl/>
        </w:rPr>
        <w:t>כלל</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חברה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לביטוח</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בע</w:t>
      </w:r>
      <w:r w:rsidRPr="006C4917">
        <w:rPr>
          <w:rFonts w:ascii="Century" w:hAnsi="Century" w:cs="Miriam"/>
          <w:b/>
          <w:spacing w:val="0"/>
          <w:sz w:val="22"/>
          <w:szCs w:val="24"/>
          <w:rtl/>
        </w:rPr>
        <w:t>"</w:t>
      </w:r>
      <w:r w:rsidRPr="006C4917">
        <w:rPr>
          <w:rFonts w:ascii="Century" w:hAnsi="Century" w:cs="Miriam" w:hint="eastAsia"/>
          <w:b/>
          <w:spacing w:val="0"/>
          <w:sz w:val="22"/>
          <w:szCs w:val="24"/>
          <w:rtl/>
        </w:rPr>
        <w:t>מ</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שר</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האוצר</w:t>
      </w:r>
      <w:r w:rsidRPr="006C4917">
        <w:rPr>
          <w:rtl/>
        </w:rPr>
        <w:t xml:space="preserve">, </w:t>
      </w:r>
      <w:r w:rsidRPr="006C4917">
        <w:rPr>
          <w:rFonts w:hint="eastAsia"/>
          <w:rtl/>
        </w:rPr>
        <w:t>פ</w:t>
      </w:r>
      <w:r w:rsidRPr="006C4917">
        <w:rPr>
          <w:rtl/>
        </w:rPr>
        <w:t>"</w:t>
      </w:r>
      <w:r w:rsidRPr="006C4917">
        <w:rPr>
          <w:rFonts w:hint="eastAsia"/>
          <w:rtl/>
        </w:rPr>
        <w:t>ד</w:t>
      </w:r>
      <w:r w:rsidRPr="006C4917">
        <w:rPr>
          <w:rtl/>
        </w:rPr>
        <w:t xml:space="preserve"> </w:t>
      </w:r>
      <w:r w:rsidRPr="006C4917">
        <w:rPr>
          <w:rFonts w:hint="eastAsia"/>
          <w:rtl/>
        </w:rPr>
        <w:t>מח</w:t>
      </w:r>
      <w:r w:rsidRPr="006C4917">
        <w:rPr>
          <w:rtl/>
        </w:rPr>
        <w:t>(5) 441</w:t>
      </w:r>
      <w:r w:rsidRPr="006C4917">
        <w:rPr>
          <w:rFonts w:hint="cs"/>
          <w:rtl/>
        </w:rPr>
        <w:t>,</w:t>
      </w:r>
      <w:r w:rsidRPr="006C4917">
        <w:rPr>
          <w:rtl/>
        </w:rPr>
        <w:t xml:space="preserve"> 457 (1994)</w:t>
      </w:r>
      <w:r w:rsidRPr="006C4917">
        <w:rPr>
          <w:rFonts w:hint="cs"/>
          <w:rtl/>
        </w:rPr>
        <w:t xml:space="preserve"> (הוראות אלה אינן מהוות "</w:t>
      </w:r>
      <w:r w:rsidRPr="006C4917">
        <w:rPr>
          <w:rFonts w:ascii="Century" w:hAnsi="Century" w:cs="Miriam" w:hint="cs"/>
          <w:b/>
          <w:spacing w:val="0"/>
          <w:sz w:val="22"/>
          <w:szCs w:val="24"/>
          <w:rtl/>
        </w:rPr>
        <w:t>דין מחייב</w:t>
      </w:r>
      <w:r w:rsidRPr="006C4917">
        <w:rPr>
          <w:rFonts w:hint="cs"/>
          <w:rtl/>
        </w:rPr>
        <w:t>")</w:t>
      </w:r>
      <w:r w:rsidRPr="006C4917">
        <w:rPr>
          <w:rtl/>
        </w:rPr>
        <w:t xml:space="preserve">; </w:t>
      </w:r>
      <w:r w:rsidRPr="006C4917">
        <w:rPr>
          <w:rFonts w:hint="eastAsia"/>
          <w:rtl/>
        </w:rPr>
        <w:t>בג</w:t>
      </w:r>
      <w:r w:rsidRPr="006C4917">
        <w:rPr>
          <w:rtl/>
        </w:rPr>
        <w:t>"</w:t>
      </w:r>
      <w:r w:rsidRPr="006C4917">
        <w:rPr>
          <w:rFonts w:hint="eastAsia"/>
          <w:rtl/>
        </w:rPr>
        <w:t>ץ</w:t>
      </w:r>
      <w:r w:rsidRPr="006C4917">
        <w:rPr>
          <w:rtl/>
        </w:rPr>
        <w:t xml:space="preserve"> 301/63 </w:t>
      </w:r>
      <w:r w:rsidRPr="006C4917">
        <w:rPr>
          <w:rFonts w:ascii="Century" w:hAnsi="Century" w:cs="Miriam" w:hint="eastAsia"/>
          <w:b/>
          <w:spacing w:val="0"/>
          <w:sz w:val="22"/>
          <w:szCs w:val="24"/>
          <w:rtl/>
        </w:rPr>
        <w:t>שטרייט</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הרב</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הראשי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לישראל</w:t>
      </w:r>
      <w:r w:rsidRPr="006C4917">
        <w:rPr>
          <w:rtl/>
        </w:rPr>
        <w:t xml:space="preserve">, </w:t>
      </w:r>
      <w:r w:rsidRPr="006C4917">
        <w:rPr>
          <w:rFonts w:hint="eastAsia"/>
          <w:rtl/>
        </w:rPr>
        <w:t>פ</w:t>
      </w:r>
      <w:r w:rsidRPr="006C4917">
        <w:rPr>
          <w:rtl/>
        </w:rPr>
        <w:t>"</w:t>
      </w:r>
      <w:r w:rsidRPr="006C4917">
        <w:rPr>
          <w:rFonts w:hint="eastAsia"/>
          <w:rtl/>
        </w:rPr>
        <w:t>ד</w:t>
      </w:r>
      <w:r w:rsidRPr="006C4917">
        <w:rPr>
          <w:rtl/>
        </w:rPr>
        <w:t xml:space="preserve"> </w:t>
      </w:r>
      <w:r w:rsidRPr="006C4917">
        <w:rPr>
          <w:rFonts w:hint="eastAsia"/>
          <w:rtl/>
        </w:rPr>
        <w:t>יח</w:t>
      </w:r>
      <w:r w:rsidRPr="006C4917">
        <w:rPr>
          <w:rtl/>
        </w:rPr>
        <w:t xml:space="preserve">(1) </w:t>
      </w:r>
      <w:r w:rsidRPr="006C4917">
        <w:rPr>
          <w:rFonts w:hint="cs"/>
          <w:rtl/>
        </w:rPr>
        <w:t>598,</w:t>
      </w:r>
      <w:r w:rsidRPr="006C4917">
        <w:rPr>
          <w:rtl/>
        </w:rPr>
        <w:t xml:space="preserve"> 612 (1964)</w:t>
      </w:r>
      <w:r w:rsidRPr="006C4917">
        <w:rPr>
          <w:rFonts w:hint="cs"/>
          <w:rtl/>
        </w:rPr>
        <w:t xml:space="preserve"> (החלקים הראשון והשלישי של המגילה אינם "</w:t>
      </w:r>
      <w:r w:rsidRPr="006C4917">
        <w:rPr>
          <w:rFonts w:ascii="Century" w:hAnsi="Century" w:cs="Miriam" w:hint="cs"/>
          <w:b/>
          <w:spacing w:val="0"/>
          <w:sz w:val="22"/>
          <w:szCs w:val="24"/>
          <w:rtl/>
        </w:rPr>
        <w:t>בני פועל תחיקתי</w:t>
      </w:r>
      <w:r w:rsidRPr="006C4917">
        <w:rPr>
          <w:rFonts w:hint="cs"/>
          <w:rtl/>
        </w:rPr>
        <w:t xml:space="preserve">"). לעמדה חולקת, שפותחה בשנים האחרונות, ראו </w:t>
      </w:r>
      <w:r w:rsidRPr="006C4917">
        <w:rPr>
          <w:rFonts w:hint="eastAsia"/>
          <w:rtl/>
        </w:rPr>
        <w:t>אהרן</w:t>
      </w:r>
      <w:r w:rsidRPr="006C4917">
        <w:rPr>
          <w:rtl/>
        </w:rPr>
        <w:t xml:space="preserve"> </w:t>
      </w:r>
      <w:r w:rsidRPr="006C4917">
        <w:rPr>
          <w:rFonts w:hint="eastAsia"/>
          <w:rtl/>
        </w:rPr>
        <w:t>ברק</w:t>
      </w:r>
      <w:r w:rsidRPr="006C4917">
        <w:rPr>
          <w:rtl/>
        </w:rPr>
        <w:t xml:space="preserve"> "</w:t>
      </w:r>
      <w:r w:rsidRPr="006C4917">
        <w:rPr>
          <w:rFonts w:hint="eastAsia"/>
          <w:rtl/>
        </w:rPr>
        <w:t>מגילת</w:t>
      </w:r>
      <w:r w:rsidRPr="006C4917">
        <w:rPr>
          <w:rtl/>
        </w:rPr>
        <w:t xml:space="preserve"> </w:t>
      </w:r>
      <w:r w:rsidRPr="006C4917">
        <w:rPr>
          <w:rFonts w:hint="eastAsia"/>
          <w:rtl/>
        </w:rPr>
        <w:t>העצמאות</w:t>
      </w:r>
      <w:r w:rsidRPr="006C4917">
        <w:rPr>
          <w:rtl/>
        </w:rPr>
        <w:t xml:space="preserve"> </w:t>
      </w:r>
      <w:r w:rsidRPr="006C4917">
        <w:rPr>
          <w:rFonts w:hint="eastAsia"/>
          <w:rtl/>
        </w:rPr>
        <w:t>והכנסת</w:t>
      </w:r>
      <w:r w:rsidRPr="006C4917">
        <w:rPr>
          <w:rtl/>
        </w:rPr>
        <w:t xml:space="preserve"> </w:t>
      </w:r>
      <w:r w:rsidRPr="006C4917">
        <w:rPr>
          <w:rFonts w:hint="eastAsia"/>
          <w:rtl/>
        </w:rPr>
        <w:t>כרשות</w:t>
      </w:r>
      <w:r w:rsidRPr="006C4917">
        <w:rPr>
          <w:rtl/>
        </w:rPr>
        <w:t xml:space="preserve"> </w:t>
      </w:r>
      <w:r w:rsidRPr="006C4917">
        <w:rPr>
          <w:rFonts w:hint="eastAsia"/>
          <w:rtl/>
        </w:rPr>
        <w:t>מכוננת</w:t>
      </w:r>
      <w:r w:rsidRPr="006C4917">
        <w:rPr>
          <w:rtl/>
        </w:rPr>
        <w:t xml:space="preserve">" </w:t>
      </w:r>
      <w:r w:rsidRPr="006C4917">
        <w:rPr>
          <w:rFonts w:ascii="Century" w:hAnsi="Century" w:cs="Miriam" w:hint="eastAsia"/>
          <w:b/>
          <w:spacing w:val="0"/>
          <w:sz w:val="22"/>
          <w:szCs w:val="24"/>
          <w:rtl/>
        </w:rPr>
        <w:t>חוקים</w:t>
      </w:r>
      <w:r w:rsidRPr="006C4917">
        <w:rPr>
          <w:rtl/>
        </w:rPr>
        <w:t xml:space="preserve"> </w:t>
      </w:r>
      <w:r w:rsidRPr="006C4917">
        <w:rPr>
          <w:rFonts w:hint="eastAsia"/>
          <w:rtl/>
        </w:rPr>
        <w:t>יא</w:t>
      </w:r>
      <w:r w:rsidRPr="006C4917">
        <w:rPr>
          <w:rtl/>
        </w:rPr>
        <w:t xml:space="preserve"> 9, 19 (2018)</w:t>
      </w:r>
      <w:r w:rsidRPr="006C4917">
        <w:rPr>
          <w:rFonts w:hint="cs"/>
          <w:rtl/>
        </w:rPr>
        <w:t xml:space="preserve"> (להלן: </w:t>
      </w:r>
      <w:r w:rsidRPr="006C4917">
        <w:rPr>
          <w:rFonts w:ascii="Century" w:hAnsi="Century" w:cs="Miriam" w:hint="cs"/>
          <w:b/>
          <w:spacing w:val="0"/>
          <w:sz w:val="22"/>
          <w:szCs w:val="24"/>
          <w:rtl/>
        </w:rPr>
        <w:t>ברק, מגילת העצמאות</w:t>
      </w:r>
      <w:r w:rsidRPr="006C4917">
        <w:rPr>
          <w:rFonts w:hint="cs"/>
          <w:rtl/>
        </w:rPr>
        <w:t xml:space="preserve">) (לעמדתו, כל חלקיה של מגילת העצמאות מהוות נורמות משפטיות מחייבות). כן ראו </w:t>
      </w:r>
      <w:r w:rsidRPr="006C4917">
        <w:rPr>
          <w:rFonts w:ascii="Century" w:hAnsi="Century" w:hint="eastAsia"/>
          <w:sz w:val="22"/>
          <w:rtl/>
        </w:rPr>
        <w:t>בנדור</w:t>
      </w:r>
      <w:r w:rsidRPr="006C4917">
        <w:rPr>
          <w:rFonts w:ascii="Century" w:hAnsi="Century"/>
          <w:sz w:val="22"/>
          <w:rtl/>
        </w:rPr>
        <w:t>,</w:t>
      </w:r>
      <w:r w:rsidRPr="006C4917">
        <w:rPr>
          <w:rFonts w:ascii="Century" w:hAnsi="Century" w:cs="Miriam" w:hint="cs"/>
          <w:b/>
          <w:spacing w:val="0"/>
          <w:sz w:val="22"/>
          <w:szCs w:val="24"/>
          <w:rtl/>
        </w:rPr>
        <w:t xml:space="preserve"> המעמד המשפטי של חוקי היסוד</w:t>
      </w:r>
      <w:r w:rsidRPr="006C4917">
        <w:rPr>
          <w:rFonts w:hint="cs"/>
          <w:rtl/>
        </w:rPr>
        <w:t xml:space="preserve">, בעמ' 143. יחד עם זאת, ראוי לציין כי גם הנשיא (בדימ') </w:t>
      </w:r>
      <w:r w:rsidRPr="006C4917">
        <w:rPr>
          <w:rFonts w:ascii="Century" w:hAnsi="Century" w:cs="Miriam" w:hint="cs"/>
          <w:b/>
          <w:spacing w:val="0"/>
          <w:sz w:val="22"/>
          <w:szCs w:val="24"/>
          <w:rtl/>
        </w:rPr>
        <w:t>ברק</w:t>
      </w:r>
      <w:r w:rsidRPr="006C4917">
        <w:rPr>
          <w:rFonts w:hint="cs"/>
          <w:rtl/>
        </w:rPr>
        <w:t xml:space="preserve">, בכתיבתו האקדמית, אימץ את החלוקה ה"מסורתית" של המגילה לשלושה חלקים אשר בכל זאת נבדלים באופיים ומהותם (היסטורי-אידאולוגי; אופרטיבי ודקלרטיבי). ראו </w:t>
      </w:r>
      <w:r w:rsidRPr="006C4917">
        <w:rPr>
          <w:rFonts w:ascii="Century" w:hAnsi="Century" w:hint="eastAsia"/>
          <w:sz w:val="22"/>
          <w:rtl/>
        </w:rPr>
        <w:t>ברק</w:t>
      </w:r>
      <w:r w:rsidRPr="006C4917">
        <w:rPr>
          <w:rFonts w:ascii="Century" w:hAnsi="Century" w:hint="cs"/>
          <w:sz w:val="22"/>
          <w:rtl/>
        </w:rPr>
        <w:t>,</w:t>
      </w:r>
      <w:r w:rsidRPr="006C4917">
        <w:rPr>
          <w:rFonts w:ascii="Century" w:hAnsi="Century" w:cs="Miriam" w:hint="cs"/>
          <w:b/>
          <w:spacing w:val="0"/>
          <w:sz w:val="22"/>
          <w:szCs w:val="24"/>
          <w:rtl/>
        </w:rPr>
        <w:t xml:space="preserve"> תורת הזכויות החוקתיות</w:t>
      </w:r>
      <w:r w:rsidRPr="006C4917">
        <w:rPr>
          <w:rFonts w:hint="cs"/>
          <w:rtl/>
        </w:rPr>
        <w:t>, בעמ' 447-445).</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 xml:space="preserve">בחוות דעתו </w:t>
      </w:r>
      <w:r w:rsidRPr="006C4917">
        <w:rPr>
          <w:rFonts w:hint="eastAsia"/>
          <w:rtl/>
        </w:rPr>
        <w:t>ב</w:t>
      </w:r>
      <w:r w:rsidRPr="006C4917">
        <w:rPr>
          <w:rFonts w:hint="cs"/>
          <w:rtl/>
        </w:rPr>
        <w:t xml:space="preserve">בג"ץ 5119/23 </w:t>
      </w:r>
      <w:r w:rsidRPr="006C4917">
        <w:rPr>
          <w:rFonts w:ascii="Century" w:hAnsi="Century" w:cs="Miriam" w:hint="eastAsia"/>
          <w:b/>
          <w:spacing w:val="0"/>
          <w:sz w:val="22"/>
          <w:szCs w:val="24"/>
          <w:rtl/>
        </w:rPr>
        <w:t>התנועה</w:t>
      </w:r>
      <w:r w:rsidRPr="006C4917">
        <w:rPr>
          <w:rFonts w:ascii="Century" w:hAnsi="Century" w:cs="Miriam"/>
          <w:b/>
          <w:spacing w:val="0"/>
          <w:sz w:val="22"/>
          <w:szCs w:val="24"/>
          <w:rtl/>
        </w:rPr>
        <w:t xml:space="preserve"> </w:t>
      </w:r>
      <w:r w:rsidRPr="006C4917">
        <w:rPr>
          <w:rFonts w:ascii="Century" w:hAnsi="Century" w:cs="Miriam" w:hint="cs"/>
          <w:b/>
          <w:spacing w:val="0"/>
          <w:sz w:val="22"/>
          <w:szCs w:val="24"/>
          <w:rtl/>
        </w:rPr>
        <w:t>לטוהר</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המידות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הכנסת</w:t>
      </w:r>
      <w:r w:rsidRPr="006C4917">
        <w:rPr>
          <w:rFonts w:hint="cs"/>
          <w:rtl/>
        </w:rPr>
        <w:t xml:space="preserve"> (26.10.2023), אשר ניתנה אך לאחרונה, חרג השופט </w:t>
      </w:r>
      <w:r w:rsidRPr="006C4917">
        <w:rPr>
          <w:rFonts w:cs="Miriam" w:hint="cs"/>
          <w:b/>
          <w:spacing w:val="0"/>
          <w:sz w:val="22"/>
          <w:szCs w:val="24"/>
          <w:rtl/>
        </w:rPr>
        <w:t>שטיין</w:t>
      </w:r>
      <w:r w:rsidRPr="006C4917">
        <w:rPr>
          <w:rFonts w:hint="cs"/>
          <w:rtl/>
        </w:rPr>
        <w:t xml:space="preserve"> ממסורת ארוכת שנים זו, והביע עמדה לפיה מגילת העצמאות היא "כלל ההכרה" הבסיסי במשפט הישראלי, ולפיכך סמכותה של הכנסת, הן כרשות מחוקקת והן כרשות מכוננת, מוגבלת בהוראות ה"אני מאמין" הכלולות במגילת העצמאות. על עמדתו זו חזר חברי גם בחוות דעתו בהליך זה, ואולם היא נותרה לעת הזו בגדר "קול קורא במדבר" (למעט עמדתה של חברתי, השופטת </w:t>
      </w:r>
      <w:r w:rsidRPr="006C4917">
        <w:rPr>
          <w:rFonts w:ascii="Century" w:hAnsi="Century" w:cs="Miriam" w:hint="cs"/>
          <w:b/>
          <w:spacing w:val="0"/>
          <w:sz w:val="22"/>
          <w:szCs w:val="24"/>
          <w:rtl/>
        </w:rPr>
        <w:t>דפנה ברק-ארז</w:t>
      </w:r>
      <w:r w:rsidRPr="006C4917">
        <w:rPr>
          <w:rFonts w:hint="cs"/>
          <w:rtl/>
        </w:rPr>
        <w:t xml:space="preserve"> בפסקאות 12-7 לחוות דעתה בתיק זה, הסוברת כי מגילת העצמאות מגבילה את הכנסת בפעולתה כרשות המכוננת). אודה ולא אכחד </w:t>
      </w:r>
      <w:r w:rsidRPr="006C4917">
        <w:rPr>
          <w:rtl/>
        </w:rPr>
        <w:t>–</w:t>
      </w:r>
      <w:r w:rsidRPr="006C4917">
        <w:rPr>
          <w:rFonts w:hint="cs"/>
          <w:rtl/>
        </w:rPr>
        <w:t xml:space="preserve"> שיטתו של השופט </w:t>
      </w:r>
      <w:r w:rsidRPr="006C4917">
        <w:rPr>
          <w:rFonts w:cs="Miriam" w:hint="cs"/>
          <w:b/>
          <w:spacing w:val="0"/>
          <w:sz w:val="22"/>
          <w:szCs w:val="24"/>
          <w:rtl/>
        </w:rPr>
        <w:t>שטיין</w:t>
      </w:r>
      <w:r w:rsidRPr="006C4917">
        <w:rPr>
          <w:rFonts w:hint="cs"/>
          <w:rtl/>
        </w:rPr>
        <w:t xml:space="preserve"> מפתה כשם שהיא מקורית. עם זאת, לא אוכל להצטרף לעמדתו, ול</w:t>
      </w:r>
      <w:r w:rsidRPr="006C4917">
        <w:rPr>
          <w:rFonts w:ascii="FrankRuehl" w:hAnsi="FrankRuehl"/>
          <w:rtl/>
        </w:rPr>
        <w:t>וּ</w:t>
      </w:r>
      <w:r w:rsidRPr="006C4917">
        <w:rPr>
          <w:rFonts w:hint="cs"/>
          <w:rtl/>
        </w:rPr>
        <w:t xml:space="preserve"> מהטעם שלמיטב הכרתי היא חורגת בצורה חדה ממשפטנו החוקתי, כפי שפותח על ידי הענקים שקדמו לנו, והמהווים את ה"פרקים הקודמים" שנכתבו על ידם. כאמור, על פי הגישה שקנתה שביתה במשפטנו החוקתי, חלקיה הלא אופרטיביים של מגילת העצמאות הם הצהרתיים בלבד, </w:t>
      </w:r>
      <w:r w:rsidRPr="006C4917">
        <w:rPr>
          <w:rFonts w:hint="cs"/>
          <w:rtl/>
        </w:rPr>
        <w:lastRenderedPageBreak/>
        <w:t>ואין בהם כוח נורמטיבי מחייב. גישתו של חברי מקנה להם תוקף מחייב כלפי הכנסת, וממילא, כלפי כל רשויות השלטון. ייתכן שהדבר רצוי, ואולם הוא מהווה סטייה חדה מכל שידענו, וכל שנהגנו על פיו. זוהי מחיקת הקיים, וכתיבה מבראשית של ספר המשפט החוקתי הישראלי, ולמעשה של ספר המשפט הישראלי כולו. עניין זה, גם אם הוא מצוי מבחינה פורמלית בסמכותנו, חורג לתפיסתי מהאופן בו ראוי כי נפעל כשופטים. הדרך בה פעלו קודמנו בהקשר החוקתי אינה כה שגויה, עד כי ראוי לנהוג בה על פי האמור באינטרנציונל: "</w:t>
      </w:r>
      <w:r w:rsidRPr="006C4917">
        <w:rPr>
          <w:rFonts w:cs="Miriam"/>
          <w:b/>
          <w:spacing w:val="0"/>
          <w:sz w:val="22"/>
          <w:szCs w:val="24"/>
          <w:shd w:val="clear" w:color="auto" w:fill="FFFFFF"/>
          <w:rtl/>
        </w:rPr>
        <w:t>עוֹלָם יָשָׁן עֲדֵי הַיְּסוֹד נַחְרִימָה</w:t>
      </w:r>
      <w:r w:rsidRPr="006C4917">
        <w:rPr>
          <w:rFonts w:cs="Miriam" w:hint="cs"/>
          <w:b/>
          <w:spacing w:val="0"/>
          <w:sz w:val="22"/>
          <w:szCs w:val="24"/>
          <w:shd w:val="clear" w:color="auto" w:fill="FFFFFF"/>
          <w:rtl/>
        </w:rPr>
        <w:t xml:space="preserve">/ </w:t>
      </w:r>
      <w:r w:rsidRPr="006C4917">
        <w:rPr>
          <w:rFonts w:cs="Miriam"/>
          <w:b/>
          <w:spacing w:val="0"/>
          <w:sz w:val="22"/>
          <w:szCs w:val="24"/>
          <w:shd w:val="clear" w:color="auto" w:fill="FFFFFF"/>
          <w:rtl/>
        </w:rPr>
        <w:t>מִגַּב כָּפוּף נִפְרֹק הָעֹל</w:t>
      </w:r>
      <w:r w:rsidRPr="006C4917">
        <w:rPr>
          <w:rFonts w:cs="Miriam" w:hint="cs"/>
          <w:b/>
          <w:spacing w:val="0"/>
          <w:sz w:val="22"/>
          <w:szCs w:val="24"/>
          <w:rtl/>
        </w:rPr>
        <w:t>/</w:t>
      </w:r>
      <w:r w:rsidRPr="006C4917">
        <w:rPr>
          <w:rFonts w:cs="Miriam" w:hint="cs"/>
          <w:b/>
          <w:spacing w:val="0"/>
          <w:sz w:val="22"/>
          <w:szCs w:val="24"/>
          <w:shd w:val="clear" w:color="auto" w:fill="FFFFFF"/>
          <w:rtl/>
        </w:rPr>
        <w:t xml:space="preserve"> </w:t>
      </w:r>
      <w:r w:rsidRPr="006C4917">
        <w:rPr>
          <w:rFonts w:cs="Miriam"/>
          <w:b/>
          <w:spacing w:val="0"/>
          <w:sz w:val="22"/>
          <w:szCs w:val="24"/>
          <w:shd w:val="clear" w:color="auto" w:fill="FFFFFF"/>
          <w:rtl/>
        </w:rPr>
        <w:t>אֶת עוֹלָמֵנוּ אָז נָקִימָה</w:t>
      </w:r>
      <w:r w:rsidRPr="006C4917">
        <w:rPr>
          <w:rFonts w:cs="Miriam" w:hint="cs"/>
          <w:b/>
          <w:spacing w:val="0"/>
          <w:sz w:val="22"/>
          <w:szCs w:val="24"/>
          <w:rtl/>
        </w:rPr>
        <w:t xml:space="preserve">/ </w:t>
      </w:r>
      <w:r w:rsidRPr="006C4917">
        <w:rPr>
          <w:rFonts w:cs="Miriam"/>
          <w:b/>
          <w:spacing w:val="0"/>
          <w:sz w:val="22"/>
          <w:szCs w:val="24"/>
          <w:shd w:val="clear" w:color="auto" w:fill="FFFFFF"/>
          <w:rtl/>
        </w:rPr>
        <w:t>לֹא כְּלוּם מִתְּמוֹל</w:t>
      </w:r>
      <w:r w:rsidRPr="006C4917">
        <w:rPr>
          <w:bCs/>
          <w:spacing w:val="0"/>
          <w:sz w:val="22"/>
          <w:shd w:val="clear" w:color="auto" w:fill="FFFFFF"/>
        </w:rPr>
        <w:t>,</w:t>
      </w:r>
      <w:r w:rsidRPr="006C4917">
        <w:rPr>
          <w:rFonts w:cs="Miriam"/>
          <w:b/>
          <w:spacing w:val="0"/>
          <w:sz w:val="22"/>
          <w:szCs w:val="24"/>
          <w:shd w:val="clear" w:color="auto" w:fill="FFFFFF"/>
          <w:rtl/>
        </w:rPr>
        <w:t xml:space="preserve">/ </w:t>
      </w:r>
      <w:r w:rsidRPr="006C4917">
        <w:rPr>
          <w:rFonts w:cs="Miriam" w:hint="eastAsia"/>
          <w:b/>
          <w:spacing w:val="0"/>
          <w:sz w:val="22"/>
          <w:szCs w:val="24"/>
          <w:shd w:val="clear" w:color="auto" w:fill="FFFFFF"/>
          <w:rtl/>
        </w:rPr>
        <w:t>מָחָר</w:t>
      </w:r>
      <w:r w:rsidRPr="006C4917">
        <w:rPr>
          <w:rFonts w:cs="Miriam"/>
          <w:b/>
          <w:spacing w:val="0"/>
          <w:sz w:val="22"/>
          <w:szCs w:val="24"/>
          <w:shd w:val="clear" w:color="auto" w:fill="FFFFFF"/>
          <w:rtl/>
        </w:rPr>
        <w:t xml:space="preserve"> – </w:t>
      </w:r>
      <w:r w:rsidRPr="006C4917">
        <w:rPr>
          <w:rFonts w:cs="Miriam" w:hint="eastAsia"/>
          <w:b/>
          <w:spacing w:val="0"/>
          <w:sz w:val="22"/>
          <w:szCs w:val="24"/>
          <w:shd w:val="clear" w:color="auto" w:fill="FFFFFF"/>
          <w:rtl/>
        </w:rPr>
        <w:t>הַכֹּל</w:t>
      </w:r>
      <w:r w:rsidRPr="006C4917">
        <w:rPr>
          <w:rFonts w:ascii="David" w:hAnsi="David" w:cs="David"/>
          <w:color w:val="202122"/>
          <w:sz w:val="25"/>
          <w:szCs w:val="25"/>
          <w:shd w:val="clear" w:color="auto" w:fill="FFFFFF"/>
          <w:rtl/>
        </w:rPr>
        <w:t xml:space="preserve">" </w:t>
      </w:r>
      <w:r w:rsidRPr="006C4917">
        <w:rPr>
          <w:rFonts w:hint="cs"/>
          <w:rtl/>
        </w:rPr>
        <w:t>(בתרגום אברהם שלונסקי).</w:t>
      </w:r>
    </w:p>
    <w:p w:rsidR="003D7BFC" w:rsidRPr="006C4917" w:rsidRDefault="003D7BFC" w:rsidP="003D7BFC">
      <w:pPr>
        <w:pStyle w:val="Ruller41"/>
        <w:rPr>
          <w:rtl/>
        </w:rPr>
      </w:pPr>
    </w:p>
    <w:p w:rsidR="003D7BFC" w:rsidRPr="006C4917" w:rsidRDefault="003D7BFC" w:rsidP="003D7BFC">
      <w:pPr>
        <w:pStyle w:val="Ruller4"/>
        <w:rPr>
          <w:rFonts w:asciiTheme="majorBidi" w:hAnsiTheme="majorBidi" w:cstheme="majorBidi"/>
          <w:smallCaps/>
          <w:rtl/>
        </w:rPr>
      </w:pPr>
      <w:r w:rsidRPr="006C4917">
        <w:rPr>
          <w:rFonts w:hint="cs"/>
          <w:rtl/>
        </w:rPr>
        <w:t xml:space="preserve">בשולי הדברים אעיר כי הנחת חברי, השופט </w:t>
      </w:r>
      <w:r w:rsidRPr="006C4917">
        <w:rPr>
          <w:rFonts w:cs="Miriam" w:hint="cs"/>
          <w:b/>
          <w:spacing w:val="0"/>
          <w:sz w:val="22"/>
          <w:szCs w:val="24"/>
          <w:rtl/>
        </w:rPr>
        <w:t>שטיין</w:t>
      </w:r>
      <w:r w:rsidRPr="006C4917">
        <w:rPr>
          <w:rFonts w:hint="cs"/>
          <w:rtl/>
        </w:rPr>
        <w:t xml:space="preserve">, לפיה די שנראה במגילת העצמאות חלק מ"כלל ההכרה" של המשפט הישראלי, על מנת שכלל הוראותיה יחייבו את הכנסת הינה מרחיקת לכת. במגילת העצמאות חלק אופרטיבי, הכולל הכרזה על הקמת המדינה; על מוסדותיה הזמניים; ועל שמה. לחלק זה משמעות נורמטיבית ברורה. בצד חלק זה, יש במגילת העצמאות גם מבוא היסטורי-אידיאולוגי וחלק הצהרתי, אשר להם לא ניתן מעולם תוקף נורמטיבי במישרין (להבדיל מהפניה כמקור השראה. ראו, למשל, סעיף 1 לחוק-יסוד כבוד האדם וחירותו </w:t>
      </w:r>
      <w:r w:rsidRPr="006C4917">
        <w:rPr>
          <w:rtl/>
        </w:rPr>
        <w:t>–</w:t>
      </w:r>
      <w:r w:rsidRPr="006C4917">
        <w:rPr>
          <w:rFonts w:hint="cs"/>
          <w:rtl/>
        </w:rPr>
        <w:t xml:space="preserve"> "[...] </w:t>
      </w:r>
      <w:r w:rsidRPr="006C4917">
        <w:rPr>
          <w:rFonts w:cs="Miriam" w:hint="cs"/>
          <w:b/>
          <w:spacing w:val="0"/>
          <w:sz w:val="22"/>
          <w:szCs w:val="24"/>
          <w:rtl/>
        </w:rPr>
        <w:t>והן יכובדו ברוח העקרונות שבהכרזה על הקמת מדינת ישראל</w:t>
      </w:r>
      <w:r w:rsidRPr="006C4917">
        <w:rPr>
          <w:rFonts w:hint="cs"/>
          <w:rtl/>
        </w:rPr>
        <w:t xml:space="preserve">". לגישה שונה מהעת האחרונה ראו </w:t>
      </w:r>
      <w:r w:rsidRPr="006C4917">
        <w:rPr>
          <w:rFonts w:hint="eastAsia"/>
          <w:rtl/>
        </w:rPr>
        <w:t>ברק</w:t>
      </w:r>
      <w:r w:rsidRPr="006C4917">
        <w:rPr>
          <w:rFonts w:hint="cs"/>
          <w:rtl/>
        </w:rPr>
        <w:t>,</w:t>
      </w:r>
      <w:r w:rsidRPr="006C4917">
        <w:rPr>
          <w:rtl/>
        </w:rPr>
        <w:t xml:space="preserve"> </w:t>
      </w:r>
      <w:r w:rsidRPr="006C4917">
        <w:rPr>
          <w:rFonts w:ascii="Century" w:hAnsi="Century" w:cs="Miriam" w:hint="cs"/>
          <w:b/>
          <w:spacing w:val="0"/>
          <w:sz w:val="22"/>
          <w:szCs w:val="24"/>
          <w:rtl/>
        </w:rPr>
        <w:t>מגילת העצמאות</w:t>
      </w:r>
      <w:r w:rsidRPr="006C4917">
        <w:rPr>
          <w:rFonts w:hint="cs"/>
          <w:rtl/>
        </w:rPr>
        <w:t>)). במצב דברים זה, גם אם חלקיה האופרטיביים של מגילת העצמאות הם חלק מ"כלל ההכרה", לא עולה מכך כי גם חלקיה הדקלרטיביים של מגילת העצמאות מהווים חלק מ"כלל ההכרה" (</w:t>
      </w:r>
      <w:r w:rsidRPr="006C4917">
        <w:rPr>
          <w:rFonts w:hint="eastAsia"/>
          <w:rtl/>
        </w:rPr>
        <w:t>והשוו</w:t>
      </w:r>
      <w:r w:rsidRPr="006C4917">
        <w:rPr>
          <w:rtl/>
        </w:rPr>
        <w:t xml:space="preserve"> </w:t>
      </w:r>
      <w:r w:rsidRPr="006C4917">
        <w:rPr>
          <w:rFonts w:hint="eastAsia"/>
          <w:rtl/>
        </w:rPr>
        <w:t>ל</w:t>
      </w:r>
      <w:r w:rsidRPr="006C4917">
        <w:rPr>
          <w:rFonts w:hint="cs"/>
          <w:rtl/>
        </w:rPr>
        <w:t xml:space="preserve">מעמדה של </w:t>
      </w:r>
      <w:r w:rsidRPr="006C4917">
        <w:rPr>
          <w:rFonts w:hint="eastAsia"/>
          <w:rtl/>
        </w:rPr>
        <w:t>הכרזת</w:t>
      </w:r>
      <w:r w:rsidRPr="006C4917">
        <w:rPr>
          <w:rtl/>
        </w:rPr>
        <w:t xml:space="preserve"> </w:t>
      </w:r>
      <w:r w:rsidRPr="006C4917">
        <w:rPr>
          <w:rFonts w:hint="eastAsia"/>
          <w:rtl/>
        </w:rPr>
        <w:t>העצמאות</w:t>
      </w:r>
      <w:r w:rsidRPr="006C4917">
        <w:rPr>
          <w:rtl/>
        </w:rPr>
        <w:t xml:space="preserve"> </w:t>
      </w:r>
      <w:r w:rsidRPr="006C4917">
        <w:rPr>
          <w:rFonts w:hint="eastAsia"/>
          <w:rtl/>
        </w:rPr>
        <w:t>האמריקאית</w:t>
      </w:r>
      <w:r w:rsidRPr="006C4917">
        <w:rPr>
          <w:rFonts w:hint="cs"/>
          <w:rtl/>
        </w:rPr>
        <w:t xml:space="preserve">: </w:t>
      </w:r>
      <w:r w:rsidRPr="006C4917">
        <w:rPr>
          <w:rFonts w:asciiTheme="majorBidi" w:hAnsiTheme="majorBidi" w:cstheme="majorBidi"/>
        </w:rPr>
        <w:t xml:space="preserve">Dan Himmelfarb, </w:t>
      </w:r>
      <w:r w:rsidRPr="006C4917">
        <w:rPr>
          <w:rFonts w:asciiTheme="majorBidi" w:hAnsiTheme="majorBidi" w:cstheme="majorBidi"/>
          <w:i/>
          <w:iCs/>
        </w:rPr>
        <w:t>The Constitutional Relevance of the Second Sentence of the</w:t>
      </w:r>
      <w:r w:rsidRPr="006C4917">
        <w:rPr>
          <w:rFonts w:asciiTheme="majorBidi" w:hAnsiTheme="majorBidi" w:cstheme="majorBidi"/>
          <w:i/>
          <w:iCs/>
          <w:smallCaps/>
        </w:rPr>
        <w:t xml:space="preserve"> </w:t>
      </w:r>
      <w:r w:rsidRPr="006C4917">
        <w:rPr>
          <w:rFonts w:asciiTheme="majorBidi" w:hAnsiTheme="majorBidi" w:cstheme="majorBidi"/>
          <w:i/>
          <w:iCs/>
        </w:rPr>
        <w:t>Declaration of Independence</w:t>
      </w:r>
      <w:r w:rsidRPr="006C4917">
        <w:rPr>
          <w:rFonts w:asciiTheme="majorBidi" w:hAnsiTheme="majorBidi" w:cstheme="majorBidi"/>
        </w:rPr>
        <w:t xml:space="preserve">, 100 </w:t>
      </w:r>
      <w:r w:rsidRPr="006C4917">
        <w:rPr>
          <w:rFonts w:asciiTheme="majorBidi" w:hAnsiTheme="majorBidi" w:cstheme="majorBidi"/>
          <w:smallCaps/>
          <w:szCs w:val="24"/>
        </w:rPr>
        <w:t>Yale L.J.</w:t>
      </w:r>
      <w:r w:rsidRPr="006C4917">
        <w:rPr>
          <w:rFonts w:asciiTheme="majorBidi" w:hAnsiTheme="majorBidi" w:cstheme="majorBidi"/>
        </w:rPr>
        <w:t xml:space="preserve"> 169, 169 nn.2-5 (1990) (surveying the literature); </w:t>
      </w:r>
      <w:r w:rsidRPr="006C4917">
        <w:rPr>
          <w:rFonts w:asciiTheme="majorBidi" w:hAnsiTheme="majorBidi" w:cstheme="majorBidi"/>
          <w:smallCaps/>
          <w:szCs w:val="24"/>
        </w:rPr>
        <w:t>Walter Berns, Taking the Constitution Seriously 16 (1987)</w:t>
      </w:r>
      <w:r w:rsidRPr="006C4917">
        <w:rPr>
          <w:rFonts w:asciiTheme="majorBidi" w:hAnsiTheme="majorBidi" w:cstheme="majorBidi"/>
        </w:rPr>
        <w:t xml:space="preserve"> ("It has become common to hear scholars dismiss the Declaration as mere propaganda, or a clever lawyer's brief with a dash of natural law added for spice, a convenient weapon to wield against the British, and no more")</w:t>
      </w:r>
      <w:r w:rsidRPr="006C4917">
        <w:rPr>
          <w:rFonts w:hint="cs"/>
          <w:rtl/>
        </w:rPr>
        <w:t xml:space="preserve">. להרחבה וביקורת ראו </w:t>
      </w:r>
      <w:r w:rsidRPr="006C4917">
        <w:rPr>
          <w:rFonts w:asciiTheme="majorBidi" w:hAnsiTheme="majorBidi" w:cstheme="majorBidi"/>
        </w:rPr>
        <w:t xml:space="preserve">Carlton F. W. Larson, </w:t>
      </w:r>
      <w:r w:rsidRPr="006C4917">
        <w:rPr>
          <w:rFonts w:asciiTheme="majorBidi" w:hAnsiTheme="majorBidi" w:cstheme="majorBidi"/>
          <w:i/>
          <w:iCs/>
        </w:rPr>
        <w:t>The Declaration of Independence: A 225th Anniversary Re-Interpretation</w:t>
      </w:r>
      <w:r w:rsidRPr="006C4917">
        <w:rPr>
          <w:rFonts w:asciiTheme="majorBidi" w:hAnsiTheme="majorBidi" w:cstheme="majorBidi"/>
        </w:rPr>
        <w:t xml:space="preserve">, 76 </w:t>
      </w:r>
      <w:r w:rsidRPr="006C4917">
        <w:rPr>
          <w:rFonts w:asciiTheme="majorBidi" w:hAnsiTheme="majorBidi" w:cstheme="majorBidi"/>
          <w:smallCaps/>
          <w:szCs w:val="24"/>
        </w:rPr>
        <w:t>Wash. L. Rev.</w:t>
      </w:r>
      <w:r w:rsidRPr="006C4917">
        <w:rPr>
          <w:rFonts w:asciiTheme="majorBidi" w:hAnsiTheme="majorBidi" w:cstheme="majorBidi"/>
        </w:rPr>
        <w:t xml:space="preserve"> 701 (2001); Frederick Schauer, </w:t>
      </w:r>
      <w:r w:rsidRPr="006C4917">
        <w:rPr>
          <w:rFonts w:asciiTheme="majorBidi" w:hAnsiTheme="majorBidi" w:cstheme="majorBidi"/>
          <w:i/>
          <w:iCs/>
        </w:rPr>
        <w:t>Why the Declaration of Independence Is Not Law - And Why It Could Be</w:t>
      </w:r>
      <w:r w:rsidRPr="006C4917">
        <w:rPr>
          <w:rFonts w:asciiTheme="majorBidi" w:hAnsiTheme="majorBidi" w:cstheme="majorBidi"/>
        </w:rPr>
        <w:t xml:space="preserve">, 89 S. </w:t>
      </w:r>
      <w:r w:rsidRPr="006C4917">
        <w:rPr>
          <w:rFonts w:asciiTheme="majorBidi" w:hAnsiTheme="majorBidi" w:cstheme="majorBidi"/>
          <w:smallCaps/>
          <w:szCs w:val="24"/>
        </w:rPr>
        <w:t>Cal. L. Rev.</w:t>
      </w:r>
      <w:r w:rsidRPr="006C4917">
        <w:rPr>
          <w:rFonts w:asciiTheme="majorBidi" w:hAnsiTheme="majorBidi" w:cstheme="majorBidi"/>
        </w:rPr>
        <w:t xml:space="preserve"> 619 (2016)</w:t>
      </w:r>
      <w:r w:rsidRPr="006C4917">
        <w:rPr>
          <w:rtl/>
        </w:rPr>
        <w:t>)</w:t>
      </w:r>
      <w:r w:rsidRPr="006C4917">
        <w:rPr>
          <w:rFonts w:hint="cs"/>
          <w:rtl/>
        </w:rPr>
        <w:t>.</w:t>
      </w:r>
    </w:p>
    <w:p w:rsidR="003D7BFC" w:rsidRPr="006C4917" w:rsidRDefault="003D7BFC" w:rsidP="003D7BFC">
      <w:pPr>
        <w:pStyle w:val="Ruller41"/>
        <w:rPr>
          <w:rtl/>
        </w:rPr>
      </w:pPr>
    </w:p>
    <w:p w:rsidR="003D7BFC" w:rsidRPr="006C4917" w:rsidRDefault="003D7BFC" w:rsidP="003D7BFC">
      <w:pPr>
        <w:pStyle w:val="Ruller41"/>
        <w:keepNext/>
        <w:rPr>
          <w:rFonts w:ascii="Century" w:hAnsi="Century" w:cs="Miriam"/>
          <w:b/>
          <w:spacing w:val="0"/>
          <w:szCs w:val="24"/>
        </w:rPr>
      </w:pPr>
      <w:r w:rsidRPr="006C4917">
        <w:rPr>
          <w:rFonts w:ascii="Century" w:hAnsi="Century" w:cs="Miriam" w:hint="cs"/>
          <w:b/>
          <w:spacing w:val="0"/>
          <w:szCs w:val="24"/>
          <w:rtl/>
        </w:rPr>
        <w:lastRenderedPageBreak/>
        <w:t xml:space="preserve">המצב החוקתי בו אנו מצויים </w:t>
      </w:r>
      <w:r w:rsidRPr="006C4917">
        <w:rPr>
          <w:rFonts w:ascii="Century" w:hAnsi="Century" w:cs="Miriam"/>
          <w:b/>
          <w:spacing w:val="0"/>
          <w:szCs w:val="24"/>
          <w:rtl/>
        </w:rPr>
        <w:t>–</w:t>
      </w:r>
      <w:r w:rsidRPr="006C4917">
        <w:rPr>
          <w:rFonts w:ascii="Century" w:hAnsi="Century" w:cs="Miriam" w:hint="cs"/>
          <w:b/>
          <w:spacing w:val="0"/>
          <w:szCs w:val="24"/>
          <w:rtl/>
        </w:rPr>
        <w:t xml:space="preserve"> ביקורת שיפוטית על פעולת הכנסת בכובעה המכונן</w:t>
      </w:r>
    </w:p>
    <w:p w:rsidR="003D7BFC" w:rsidRPr="006C4917" w:rsidRDefault="003D7BFC" w:rsidP="003D7BFC">
      <w:pPr>
        <w:pStyle w:val="Ruller41"/>
        <w:keepNext/>
        <w:rPr>
          <w:rtl/>
        </w:rPr>
      </w:pPr>
    </w:p>
    <w:p w:rsidR="003D7BFC" w:rsidRPr="006C4917" w:rsidRDefault="003D7BFC" w:rsidP="003D7BFC">
      <w:pPr>
        <w:pStyle w:val="Ruller4"/>
        <w:keepNext/>
      </w:pPr>
      <w:r w:rsidRPr="006C4917">
        <w:rPr>
          <w:rFonts w:hint="cs"/>
          <w:rtl/>
        </w:rPr>
        <w:t xml:space="preserve">השאלה השנייה עליה נדרשים אנו לענות היא זו: האם לבית משפט זה סמכות לבצע ביקורת שיפוטית על עמידת הכנסת במגבלות המוטלות עליה בבואה לפעול בכובעה כרשות המכוננת? חברתי הנשיאה (בדימ') </w:t>
      </w:r>
      <w:r w:rsidRPr="006C4917">
        <w:rPr>
          <w:rFonts w:ascii="Century" w:hAnsi="Century" w:cs="Miriam" w:hint="eastAsia"/>
          <w:b/>
          <w:spacing w:val="0"/>
          <w:sz w:val="22"/>
          <w:szCs w:val="24"/>
          <w:rtl/>
        </w:rPr>
        <w:t>חיות</w:t>
      </w:r>
      <w:r w:rsidRPr="006C4917">
        <w:rPr>
          <w:rFonts w:hint="cs"/>
          <w:rtl/>
        </w:rPr>
        <w:t xml:space="preserve">, בפסקאות 59-56 לחוות דעתה, מבהירה כי לעניין זה, ככל שמדובר בפיקוח על המגבלה של "שימוש לרעה בסמכות המכוננת" </w:t>
      </w:r>
      <w:r w:rsidRPr="006C4917">
        <w:rPr>
          <w:rtl/>
        </w:rPr>
        <w:t>–</w:t>
      </w:r>
      <w:r w:rsidRPr="006C4917">
        <w:rPr>
          <w:rFonts w:hint="cs"/>
          <w:rtl/>
        </w:rPr>
        <w:t xml:space="preserve"> קיימת הלכה, וזאת לאור שנפסק ב</w:t>
      </w:r>
      <w:r w:rsidRPr="006C4917">
        <w:rPr>
          <w:rFonts w:hint="eastAsia"/>
          <w:rtl/>
        </w:rPr>
        <w:t>בג</w:t>
      </w:r>
      <w:r w:rsidRPr="006C4917">
        <w:rPr>
          <w:rtl/>
        </w:rPr>
        <w:t>"</w:t>
      </w:r>
      <w:r w:rsidRPr="006C4917">
        <w:rPr>
          <w:rFonts w:hint="eastAsia"/>
          <w:rtl/>
        </w:rPr>
        <w:t>ץ</w:t>
      </w:r>
      <w:r w:rsidRPr="006C4917">
        <w:rPr>
          <w:rtl/>
        </w:rPr>
        <w:t xml:space="preserve"> 8260/16</w:t>
      </w:r>
      <w:r w:rsidRPr="006C4917">
        <w:rPr>
          <w:rFonts w:hint="cs"/>
          <w:rtl/>
        </w:rPr>
        <w:t xml:space="preserve"> </w:t>
      </w:r>
      <w:r w:rsidRPr="006C4917">
        <w:rPr>
          <w:rFonts w:ascii="Century" w:hAnsi="Century" w:cs="Miriam" w:hint="cs"/>
          <w:b/>
          <w:spacing w:val="0"/>
          <w:sz w:val="22"/>
          <w:szCs w:val="24"/>
          <w:rtl/>
        </w:rPr>
        <w:t xml:space="preserve">המרכז האקדמי </w:t>
      </w:r>
      <w:r w:rsidRPr="006C4917">
        <w:rPr>
          <w:rFonts w:ascii="Century" w:hAnsi="Century" w:cs="Miriam" w:hint="eastAsia"/>
          <w:b/>
          <w:spacing w:val="0"/>
          <w:sz w:val="22"/>
          <w:szCs w:val="24"/>
          <w:rtl/>
        </w:rPr>
        <w:t>למשפט</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ולעסקים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כנסת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ישראל</w:t>
      </w:r>
      <w:r w:rsidRPr="006C4917">
        <w:rPr>
          <w:rtl/>
        </w:rPr>
        <w:t xml:space="preserve"> (</w:t>
      </w:r>
      <w:r w:rsidRPr="006C4917">
        <w:rPr>
          <w:rFonts w:hint="cs"/>
          <w:rtl/>
        </w:rPr>
        <w:t>6</w:t>
      </w:r>
      <w:r w:rsidRPr="006C4917">
        <w:rPr>
          <w:rtl/>
        </w:rPr>
        <w:t>.</w:t>
      </w:r>
      <w:r w:rsidRPr="006C4917">
        <w:rPr>
          <w:rFonts w:hint="cs"/>
          <w:rtl/>
        </w:rPr>
        <w:t>9</w:t>
      </w:r>
      <w:r w:rsidRPr="006C4917">
        <w:rPr>
          <w:rtl/>
        </w:rPr>
        <w:t xml:space="preserve">.2017) </w:t>
      </w:r>
      <w:r w:rsidRPr="006C4917">
        <w:rPr>
          <w:rFonts w:hint="cs"/>
          <w:rtl/>
        </w:rPr>
        <w:t xml:space="preserve">(להלן: </w:t>
      </w:r>
      <w:r w:rsidRPr="006C4917">
        <w:rPr>
          <w:rFonts w:ascii="Century" w:hAnsi="Century" w:cs="Miriam" w:hint="cs"/>
          <w:b/>
          <w:spacing w:val="0"/>
          <w:sz w:val="22"/>
          <w:szCs w:val="24"/>
          <w:rtl/>
        </w:rPr>
        <w:t>עניין המרכז האקדמי</w:t>
      </w:r>
      <w:r w:rsidRPr="006C4917">
        <w:rPr>
          <w:rFonts w:hint="cs"/>
          <w:rtl/>
        </w:rPr>
        <w:t xml:space="preserve">. כן ראו </w:t>
      </w:r>
      <w:r w:rsidRPr="006C4917">
        <w:rPr>
          <w:rFonts w:hint="eastAsia"/>
          <w:rtl/>
        </w:rPr>
        <w:t>בג</w:t>
      </w:r>
      <w:r w:rsidRPr="006C4917">
        <w:rPr>
          <w:rtl/>
        </w:rPr>
        <w:t>"</w:t>
      </w:r>
      <w:r w:rsidRPr="006C4917">
        <w:rPr>
          <w:rFonts w:hint="eastAsia"/>
          <w:rtl/>
        </w:rPr>
        <w:t>ץ</w:t>
      </w:r>
      <w:r w:rsidRPr="006C4917">
        <w:rPr>
          <w:rtl/>
        </w:rPr>
        <w:t xml:space="preserve"> 5969/20 </w:t>
      </w:r>
      <w:r w:rsidRPr="006C4917">
        <w:rPr>
          <w:rFonts w:ascii="Century" w:hAnsi="Century" w:cs="Miriam" w:hint="eastAsia"/>
          <w:b/>
          <w:spacing w:val="0"/>
          <w:sz w:val="22"/>
          <w:szCs w:val="24"/>
          <w:rtl/>
        </w:rPr>
        <w:t>שפיר</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הכנסת</w:t>
      </w:r>
      <w:r w:rsidRPr="006C4917">
        <w:rPr>
          <w:rFonts w:ascii="Century" w:hAnsi="Century" w:hint="cs"/>
          <w:sz w:val="22"/>
          <w:rtl/>
        </w:rPr>
        <w:t xml:space="preserve">, פסקאות 35-31 לחוות דעתה </w:t>
      </w:r>
      <w:r w:rsidRPr="006C4917">
        <w:rPr>
          <w:rtl/>
        </w:rPr>
        <w:t>(23.</w:t>
      </w:r>
      <w:r w:rsidRPr="006C4917">
        <w:rPr>
          <w:rFonts w:hint="cs"/>
          <w:rtl/>
        </w:rPr>
        <w:t>5</w:t>
      </w:r>
      <w:r w:rsidRPr="006C4917">
        <w:rPr>
          <w:rtl/>
        </w:rPr>
        <w:t>.2021)</w:t>
      </w:r>
      <w:r w:rsidRPr="006C4917">
        <w:rPr>
          <w:rFonts w:hint="cs"/>
          <w:rtl/>
        </w:rPr>
        <w:t xml:space="preserve"> (להלן: </w:t>
      </w:r>
      <w:r w:rsidRPr="006C4917">
        <w:rPr>
          <w:rFonts w:ascii="Century" w:hAnsi="Century" w:cs="Miriam" w:hint="cs"/>
          <w:b/>
          <w:spacing w:val="0"/>
          <w:sz w:val="22"/>
          <w:szCs w:val="24"/>
          <w:rtl/>
        </w:rPr>
        <w:t>עניין שפיר</w:t>
      </w:r>
      <w:r w:rsidRPr="006C4917">
        <w:rPr>
          <w:rFonts w:hint="cs"/>
          <w:rtl/>
        </w:rPr>
        <w:t xml:space="preserve">)). לעומת זאת, ככל שמדובר בפיקוח על מגבלת הסמכות, סבורה חברתי כי העניין טרם הוכרע עד היום (ראו בתמצית: עניין </w:t>
      </w:r>
      <w:r w:rsidRPr="006C4917">
        <w:rPr>
          <w:rFonts w:ascii="Century" w:hAnsi="Century" w:cs="Miriam" w:hint="cs"/>
          <w:b/>
          <w:spacing w:val="0"/>
          <w:sz w:val="22"/>
          <w:szCs w:val="24"/>
          <w:rtl/>
        </w:rPr>
        <w:t>חסון</w:t>
      </w:r>
      <w:r w:rsidRPr="006C4917">
        <w:rPr>
          <w:rFonts w:hint="cs"/>
          <w:rtl/>
        </w:rPr>
        <w:t>, פסקה 16 לחוות דעתה). גישתה הזהירה של חברתי לפיתוח הדין מקובלת עליי. אכן, ניתן לטעון כי אין מקום להפריד בין סמכויות הפיקוח מלכתחילה, ועל כן אם נתונה לבית משפט זה הסמכות לפקח על כך שהכנסת לא עשתה שימוש לרעה בסמכות המכוננת, נובע מכך, מניה וביה, כי בסמכותו גם לפקח שהכנסת לא חרגה ממגבלות אחרות המוטלות עליה, ובכלל זה שלא חרגה מגדר הסמכות הנתונה לה. עם זאת, ו</w:t>
      </w:r>
      <w:r w:rsidRPr="006C4917">
        <w:rPr>
          <w:rFonts w:ascii="Century" w:hAnsi="Century"/>
          <w:sz w:val="22"/>
          <w:shd w:val="clear" w:color="auto" w:fill="FFFFFF"/>
          <w:rtl/>
        </w:rPr>
        <w:t>לוּ</w:t>
      </w:r>
      <w:r w:rsidRPr="006C4917">
        <w:rPr>
          <w:rFonts w:ascii="Century" w:hAnsi="Century" w:hint="cs"/>
          <w:sz w:val="22"/>
          <w:rtl/>
        </w:rPr>
        <w:t xml:space="preserve"> </w:t>
      </w:r>
      <w:r w:rsidRPr="006C4917">
        <w:rPr>
          <w:rFonts w:hint="cs"/>
          <w:rtl/>
        </w:rPr>
        <w:t xml:space="preserve">למען הזהירות, אפסע אף אני בדרכה של חברתי הנשיאה (בדימ') </w:t>
      </w:r>
      <w:r w:rsidRPr="006C4917">
        <w:rPr>
          <w:rFonts w:ascii="Century" w:hAnsi="Century" w:cs="Miriam" w:hint="eastAsia"/>
          <w:b/>
          <w:spacing w:val="0"/>
          <w:sz w:val="22"/>
          <w:szCs w:val="24"/>
          <w:rtl/>
        </w:rPr>
        <w:t>חיות</w:t>
      </w:r>
      <w:r w:rsidRPr="006C4917">
        <w:rPr>
          <w:rFonts w:hint="cs"/>
          <w:rtl/>
        </w:rPr>
        <w:t>, ואקיים את הדיון תחת ההנחה שלעניין מגבלות אחרות המוטלות על פעולתה של הכנסת כרשות מכוננת, פרט למגבלה של שימוש לרעה בסמכות המכוננת, עדיין לא נקבעה הלכה בעניין סמכות הפיקוח של בית משפט זה.</w:t>
      </w:r>
    </w:p>
    <w:p w:rsidR="003D7BFC" w:rsidRPr="006C4917" w:rsidRDefault="003D7BFC" w:rsidP="003D7BFC">
      <w:pPr>
        <w:pStyle w:val="Ruller41"/>
        <w:rPr>
          <w:rtl/>
        </w:rPr>
      </w:pPr>
    </w:p>
    <w:p w:rsidR="003D7BFC" w:rsidRPr="006C4917" w:rsidRDefault="003D7BFC" w:rsidP="003D7BFC">
      <w:pPr>
        <w:pStyle w:val="Ruller4"/>
        <w:rPr>
          <w:rtl/>
        </w:rPr>
      </w:pPr>
      <w:r w:rsidRPr="006C4917">
        <w:rPr>
          <w:rFonts w:hint="cs"/>
          <w:rtl/>
        </w:rPr>
        <w:t xml:space="preserve">בטרם נפנה לכתיבת הפרקים החדשים בספר המשפט החוקתי שלנו, אבקש להתייחס לנקודה נוספת. לעיל נאמר כי בשיטתנו המשטרית אין גוף שהוא כל יכול, ובכלל זה גם הכנסת אינה כל יכולה. בהתאם לכך </w:t>
      </w:r>
      <w:r w:rsidRPr="006C4917">
        <w:rPr>
          <w:rtl/>
        </w:rPr>
        <w:t>–</w:t>
      </w:r>
      <w:r w:rsidRPr="006C4917">
        <w:rPr>
          <w:rFonts w:hint="cs"/>
          <w:rtl/>
        </w:rPr>
        <w:t xml:space="preserve"> פסיקתנו הכירה במגבלות המוטלות על הכנסת, הן בהפעלת סמכותה המחוקקת והן בהפעלת סמכותה המכוננת, כאשר לבית משפט זה הסמכות לערוך ביקורת שיפוטית על פעולות הכנסת הנעשות מכוח שתי הסמכויות הללו. ברם, ישאל השואל מה מגביל את כוחו של בית משפט זה אם רשאי הוא לערוך ביקורת שיפוטית על פעולותיה של הכנסת בכובעה כרשות מכוננת? על כך אשיב בשניים: </w:t>
      </w:r>
      <w:r w:rsidRPr="006C4917">
        <w:rPr>
          <w:rFonts w:ascii="Century" w:hAnsi="Century" w:cs="Miriam" w:hint="eastAsia"/>
          <w:b/>
          <w:spacing w:val="0"/>
          <w:sz w:val="22"/>
          <w:szCs w:val="24"/>
          <w:rtl/>
        </w:rPr>
        <w:t>ראשית</w:t>
      </w:r>
      <w:r w:rsidRPr="006C4917">
        <w:rPr>
          <w:rFonts w:hint="cs"/>
          <w:rtl/>
        </w:rPr>
        <w:t>, כפי שעמדתי לעיל, תפקידו של השופט מוגבל בפרקים הקודמים שנכתבו בספר המשפט החוקתי. אין הוא יוצר יש מאין, אלא הוא משתלב בתוך המסגרת המשפטית של "החוקה שבהתהוות", ובכלל זה בגדר מה שכבר נפסק והוכרע עוד קודם לכן לגביה. כך, כחלק מחובתו "</w:t>
      </w:r>
      <w:r w:rsidRPr="006C4917">
        <w:rPr>
          <w:rFonts w:ascii="Century" w:hAnsi="Century" w:cs="Miriam"/>
          <w:b/>
          <w:spacing w:val="0"/>
          <w:sz w:val="22"/>
          <w:szCs w:val="24"/>
          <w:rtl/>
        </w:rPr>
        <w:t>לשמור אמונים למדינת ישראל ולחוקיה, לשפוט משפט צדק, לא להטות משפט ולא להכיר פנים</w:t>
      </w:r>
      <w:r w:rsidRPr="006C4917">
        <w:rPr>
          <w:rFonts w:hint="cs"/>
          <w:rtl/>
        </w:rPr>
        <w:t xml:space="preserve">" (סעיף 6 לחוק-יסוד: השפיטה). </w:t>
      </w:r>
      <w:r w:rsidRPr="006C4917">
        <w:rPr>
          <w:rFonts w:ascii="Century" w:hAnsi="Century" w:cs="Miriam" w:hint="eastAsia"/>
          <w:b/>
          <w:spacing w:val="0"/>
          <w:sz w:val="22"/>
          <w:szCs w:val="24"/>
          <w:rtl/>
        </w:rPr>
        <w:t>שנית</w:t>
      </w:r>
      <w:r w:rsidRPr="006C4917">
        <w:rPr>
          <w:rFonts w:hint="cs"/>
          <w:rtl/>
        </w:rPr>
        <w:t xml:space="preserve">, הרשות השופטת היא גורם פסיבי מבחינת אופי פעולתה, הן בכלל והן בהקשר החוקתי. לבית המשפט אין סמכות ליזום חקיקה (ביכולתו, לכל היותר, לקרוא לחקיקה בעניין זה או </w:t>
      </w:r>
      <w:r w:rsidRPr="006C4917">
        <w:rPr>
          <w:rFonts w:hint="cs"/>
          <w:rtl/>
        </w:rPr>
        <w:lastRenderedPageBreak/>
        <w:t xml:space="preserve">אחר, וכידוע, לעיתים קרובות הדבר לא מסתייע), בוודאי שאין ביכולתו ליזום התקנת חוקי יסוד (ולראיה, למרות ההסכמה הכללית בבית משפט זה בדבר הצורך בחוק-יסוד: החקיקה, אין הוא נראה באופק); אין לו סמכות לייצר חקיקה, ובוודאי שלא לכתוב את החוקה; הוא אפילו אינו קובע את הנושאים הבאים לפניו (אם כי יש להודות שבעניין זה אנו "זוכים" כי יוגשו עתירות כמעט בכל סוגיה העולה על סדר היום הציבורי </w:t>
      </w:r>
      <w:r w:rsidRPr="006C4917">
        <w:rPr>
          <w:rtl/>
        </w:rPr>
        <w:t>–</w:t>
      </w:r>
      <w:r w:rsidRPr="006C4917">
        <w:rPr>
          <w:rFonts w:hint="cs"/>
          <w:rtl/>
        </w:rPr>
        <w:t xml:space="preserve"> בין לצורך ובין שלא לצורך). עיקר תפקידה של הרשות השופטת, בהקשר החוקתי, הוא לבחון את תוקפן של פעולות שעושות הרשויות האחרות: המחוקקת והמבצעת. אכן, לעיתים תמנע הרשות השופטת מרשויות אלה מלפעול במישור החוקתי כאוות נפשן (וזאת כשהשתכנעה שחרגו ממגבלות המוטלות עליהן), ואולם העדר יכולת ייזום ופעולה עצמאית של הרשות השופטת מהווה מגבלה משמעותית מאד על כוחה.</w:t>
      </w:r>
    </w:p>
    <w:p w:rsidR="003D7BFC" w:rsidRPr="006C4917" w:rsidRDefault="003D7BFC" w:rsidP="003D7BFC">
      <w:pPr>
        <w:pStyle w:val="Ruller41"/>
        <w:rPr>
          <w:rtl/>
        </w:rPr>
      </w:pPr>
    </w:p>
    <w:p w:rsidR="003D7BFC" w:rsidRPr="006C4917" w:rsidRDefault="003D7BFC" w:rsidP="003D7BFC">
      <w:pPr>
        <w:pStyle w:val="Ruller41"/>
        <w:keepNext/>
        <w:rPr>
          <w:rFonts w:ascii="Century" w:hAnsi="Century" w:cs="Miriam"/>
          <w:b/>
          <w:spacing w:val="0"/>
          <w:szCs w:val="24"/>
        </w:rPr>
      </w:pPr>
      <w:r w:rsidRPr="006C4917">
        <w:rPr>
          <w:rFonts w:ascii="Century" w:hAnsi="Century" w:cs="Miriam" w:hint="cs"/>
          <w:b/>
          <w:spacing w:val="0"/>
          <w:szCs w:val="24"/>
          <w:rtl/>
        </w:rPr>
        <w:t xml:space="preserve">הפרקים החדשים בספר המשפט החוקתי </w:t>
      </w:r>
      <w:r w:rsidRPr="006C4917">
        <w:rPr>
          <w:rFonts w:ascii="Century" w:hAnsi="Century" w:cs="Miriam"/>
          <w:b/>
          <w:spacing w:val="0"/>
          <w:szCs w:val="24"/>
          <w:rtl/>
        </w:rPr>
        <w:t>–</w:t>
      </w:r>
      <w:r w:rsidRPr="006C4917">
        <w:rPr>
          <w:rFonts w:ascii="Century" w:hAnsi="Century" w:cs="Miriam" w:hint="cs"/>
          <w:b/>
          <w:spacing w:val="0"/>
          <w:szCs w:val="24"/>
          <w:rtl/>
        </w:rPr>
        <w:t xml:space="preserve"> המגבלות המוטלות על הכנסת בכובעה המכונן</w:t>
      </w:r>
    </w:p>
    <w:p w:rsidR="003D7BFC" w:rsidRPr="006C4917" w:rsidRDefault="003D7BFC" w:rsidP="003D7BFC">
      <w:pPr>
        <w:pStyle w:val="Ruller41"/>
        <w:keepNext/>
      </w:pPr>
    </w:p>
    <w:p w:rsidR="003D7BFC" w:rsidRPr="006C4917" w:rsidRDefault="003D7BFC" w:rsidP="003D7BFC">
      <w:pPr>
        <w:pStyle w:val="Ruller4"/>
        <w:keepNext/>
      </w:pPr>
      <w:r w:rsidRPr="006C4917">
        <w:rPr>
          <w:rFonts w:hint="cs"/>
          <w:rtl/>
        </w:rPr>
        <w:t xml:space="preserve">חברתי הנשיאה (בדימ') </w:t>
      </w:r>
      <w:r w:rsidRPr="006C4917">
        <w:rPr>
          <w:rFonts w:ascii="Century" w:hAnsi="Century" w:cs="Miriam" w:hint="eastAsia"/>
          <w:b/>
          <w:spacing w:val="0"/>
          <w:sz w:val="22"/>
          <w:szCs w:val="24"/>
          <w:rtl/>
        </w:rPr>
        <w:t>חיות</w:t>
      </w:r>
      <w:r w:rsidRPr="006C4917">
        <w:rPr>
          <w:rFonts w:hint="cs"/>
          <w:rtl/>
        </w:rPr>
        <w:t xml:space="preserve">, פוסעת צעד מדוד ושקול, גם אם רב חשיבות, בהגדרת המגבלות המוטלות על הכנסת כמכוננת. בהתאם לעקרונות שהניחה בעניין </w:t>
      </w:r>
      <w:r w:rsidRPr="006C4917">
        <w:rPr>
          <w:rFonts w:ascii="Century" w:hAnsi="Century" w:cs="Miriam" w:hint="cs"/>
          <w:b/>
          <w:spacing w:val="0"/>
          <w:szCs w:val="24"/>
          <w:rtl/>
        </w:rPr>
        <w:t>חסון</w:t>
      </w:r>
      <w:r w:rsidRPr="006C4917">
        <w:rPr>
          <w:rFonts w:hint="cs"/>
          <w:rtl/>
        </w:rPr>
        <w:t xml:space="preserve">, היא מכירה במגבלה נוספת המוטלת על פעולת הכנסת כרשות מכוננת </w:t>
      </w:r>
      <w:r w:rsidRPr="006C4917">
        <w:rPr>
          <w:rtl/>
        </w:rPr>
        <w:t>–</w:t>
      </w:r>
      <w:r w:rsidRPr="006C4917">
        <w:rPr>
          <w:rFonts w:hint="cs"/>
          <w:rtl/>
        </w:rPr>
        <w:t xml:space="preserve"> האיסור לחרוג מגדר הסמכות שניתנה לה, באמצעות קביעת הוראות העומדות בסתירה</w:t>
      </w:r>
      <w:r w:rsidRPr="006C4917">
        <w:rPr>
          <w:rFonts w:ascii="Century" w:hAnsi="Century"/>
          <w:sz w:val="22"/>
          <w:rtl/>
        </w:rPr>
        <w:t xml:space="preserve"> </w:t>
      </w:r>
      <w:r w:rsidRPr="006C4917">
        <w:rPr>
          <w:rFonts w:ascii="Century" w:hAnsi="Century" w:hint="eastAsia"/>
          <w:sz w:val="22"/>
          <w:rtl/>
        </w:rPr>
        <w:t>ל</w:t>
      </w:r>
      <w:r w:rsidRPr="006C4917">
        <w:rPr>
          <w:rFonts w:ascii="Century" w:hAnsi="Century"/>
          <w:sz w:val="22"/>
          <w:rtl/>
        </w:rPr>
        <w:t>"</w:t>
      </w:r>
      <w:r w:rsidRPr="006C4917">
        <w:rPr>
          <w:rFonts w:ascii="Century" w:hAnsi="Century" w:hint="eastAsia"/>
          <w:sz w:val="22"/>
          <w:rtl/>
        </w:rPr>
        <w:t>מאפייני</w:t>
      </w:r>
      <w:r w:rsidRPr="006C4917">
        <w:rPr>
          <w:rFonts w:ascii="Century" w:hAnsi="Century"/>
          <w:sz w:val="22"/>
          <w:rtl/>
        </w:rPr>
        <w:t xml:space="preserve"> </w:t>
      </w:r>
      <w:r w:rsidRPr="006C4917">
        <w:rPr>
          <w:rFonts w:ascii="Century" w:hAnsi="Century" w:hint="eastAsia"/>
          <w:sz w:val="22"/>
          <w:rtl/>
        </w:rPr>
        <w:t>הזהות</w:t>
      </w:r>
      <w:r w:rsidRPr="006C4917">
        <w:rPr>
          <w:rFonts w:ascii="Century" w:hAnsi="Century"/>
          <w:sz w:val="22"/>
          <w:rtl/>
        </w:rPr>
        <w:t xml:space="preserve"> </w:t>
      </w:r>
      <w:r w:rsidRPr="006C4917">
        <w:rPr>
          <w:rFonts w:ascii="Century" w:hAnsi="Century" w:hint="eastAsia"/>
          <w:sz w:val="22"/>
          <w:rtl/>
        </w:rPr>
        <w:t>הגרעיניים</w:t>
      </w:r>
      <w:r w:rsidRPr="006C4917">
        <w:rPr>
          <w:rFonts w:ascii="Century" w:hAnsi="Century"/>
          <w:sz w:val="22"/>
          <w:rtl/>
        </w:rPr>
        <w:t xml:space="preserve"> </w:t>
      </w:r>
      <w:r w:rsidRPr="006C4917">
        <w:rPr>
          <w:rFonts w:ascii="Century" w:hAnsi="Century" w:hint="eastAsia"/>
          <w:sz w:val="22"/>
          <w:rtl/>
        </w:rPr>
        <w:t>של</w:t>
      </w:r>
      <w:r w:rsidRPr="006C4917">
        <w:rPr>
          <w:rFonts w:ascii="Century" w:hAnsi="Century"/>
          <w:sz w:val="22"/>
          <w:rtl/>
        </w:rPr>
        <w:t xml:space="preserve"> </w:t>
      </w:r>
      <w:r w:rsidRPr="006C4917">
        <w:rPr>
          <w:rFonts w:ascii="Century" w:hAnsi="Century" w:hint="eastAsia"/>
          <w:sz w:val="22"/>
          <w:rtl/>
        </w:rPr>
        <w:t>ישראל</w:t>
      </w:r>
      <w:r w:rsidRPr="006C4917">
        <w:rPr>
          <w:rFonts w:ascii="Century" w:hAnsi="Century"/>
          <w:sz w:val="22"/>
          <w:rtl/>
        </w:rPr>
        <w:t xml:space="preserve"> </w:t>
      </w:r>
      <w:r w:rsidRPr="006C4917">
        <w:rPr>
          <w:rFonts w:ascii="Century" w:hAnsi="Century" w:hint="eastAsia"/>
          <w:sz w:val="22"/>
          <w:rtl/>
        </w:rPr>
        <w:t>כמדינה</w:t>
      </w:r>
      <w:r w:rsidRPr="006C4917">
        <w:rPr>
          <w:rFonts w:ascii="Century" w:hAnsi="Century"/>
          <w:sz w:val="22"/>
          <w:rtl/>
        </w:rPr>
        <w:t xml:space="preserve"> </w:t>
      </w:r>
      <w:r w:rsidRPr="006C4917">
        <w:rPr>
          <w:rFonts w:ascii="Century" w:hAnsi="Century" w:hint="eastAsia"/>
          <w:sz w:val="22"/>
          <w:rtl/>
        </w:rPr>
        <w:t>יהודית</w:t>
      </w:r>
      <w:r w:rsidRPr="006C4917">
        <w:rPr>
          <w:rFonts w:ascii="Century" w:hAnsi="Century"/>
          <w:sz w:val="22"/>
          <w:rtl/>
        </w:rPr>
        <w:t xml:space="preserve"> </w:t>
      </w:r>
      <w:r w:rsidRPr="006C4917">
        <w:rPr>
          <w:rFonts w:ascii="Century" w:hAnsi="Century" w:hint="eastAsia"/>
          <w:sz w:val="22"/>
          <w:rtl/>
        </w:rPr>
        <w:t>ודמוקרטית</w:t>
      </w:r>
      <w:r w:rsidRPr="006C4917">
        <w:rPr>
          <w:rFonts w:ascii="Century" w:hAnsi="Century"/>
          <w:sz w:val="22"/>
          <w:rtl/>
        </w:rPr>
        <w:t>".</w:t>
      </w:r>
      <w:r w:rsidRPr="006C4917">
        <w:rPr>
          <w:rFonts w:hint="cs"/>
          <w:rtl/>
        </w:rPr>
        <w:t xml:space="preserve"> עמדתה של חברתי, על כלל הנמקותיה, מקובלת עליי. יחד עם זאת, סבור אני כי המגבלה בה היא מכירה בהקשר זה היא רק מופע אחד, גם אם חשוב ומרכזי, של מגבלת הסמכות המוטלת על הכנסת בכובעה המכונן. על מנת לתאר כהלכה את דרכי, אדרש להרחיב בנקודת המבט, ולהציג תמונה כוללת של המגבלות המוטלות על הכנסת בכובעה המכונן </w:t>
      </w:r>
      <w:r w:rsidRPr="006C4917">
        <w:rPr>
          <w:rtl/>
        </w:rPr>
        <w:t>–</w:t>
      </w:r>
      <w:r w:rsidRPr="006C4917">
        <w:rPr>
          <w:rFonts w:hint="cs"/>
          <w:rtl/>
        </w:rPr>
        <w:t xml:space="preserve"> תמונה שההלכות הקיימות משתלבות בה היטב.</w:t>
      </w:r>
    </w:p>
    <w:p w:rsidR="003D7BFC" w:rsidRPr="006C4917" w:rsidRDefault="003D7BFC" w:rsidP="003D7BFC">
      <w:pPr>
        <w:pStyle w:val="Ruller41"/>
      </w:pPr>
    </w:p>
    <w:p w:rsidR="003D7BFC" w:rsidRPr="006C4917" w:rsidRDefault="003D7BFC" w:rsidP="003D7BFC">
      <w:pPr>
        <w:pStyle w:val="Ruller4"/>
      </w:pPr>
      <w:r w:rsidRPr="006C4917">
        <w:rPr>
          <w:rFonts w:hint="cs"/>
          <w:rtl/>
        </w:rPr>
        <w:t xml:space="preserve">לגישתי, בבוא הכנסת להפעיל את הסמכות המכוננת שברשותה, על מנת לחדש או לעדכן את "החוקה בהתהוות", עליה </w:t>
      </w:r>
      <w:r w:rsidRPr="006C4917">
        <w:rPr>
          <w:rFonts w:ascii="Century" w:hAnsi="Century" w:hint="eastAsia"/>
          <w:sz w:val="22"/>
          <w:rtl/>
        </w:rPr>
        <w:t>לעשות</w:t>
      </w:r>
      <w:r w:rsidRPr="006C4917">
        <w:rPr>
          <w:rFonts w:ascii="Century" w:hAnsi="Century"/>
          <w:sz w:val="22"/>
          <w:rtl/>
        </w:rPr>
        <w:t xml:space="preserve"> </w:t>
      </w:r>
      <w:r w:rsidRPr="006C4917">
        <w:rPr>
          <w:rFonts w:ascii="Century" w:hAnsi="Century" w:hint="eastAsia"/>
          <w:sz w:val="22"/>
          <w:rtl/>
        </w:rPr>
        <w:t>כן</w:t>
      </w:r>
      <w:r w:rsidRPr="006C4917">
        <w:rPr>
          <w:rFonts w:ascii="Century" w:hAnsi="Century"/>
          <w:sz w:val="22"/>
          <w:rtl/>
        </w:rPr>
        <w:t xml:space="preserve"> </w:t>
      </w:r>
      <w:r w:rsidRPr="006C4917">
        <w:rPr>
          <w:rFonts w:ascii="Century" w:hAnsi="Century" w:hint="eastAsia"/>
          <w:sz w:val="22"/>
          <w:rtl/>
        </w:rPr>
        <w:t>בכפוף</w:t>
      </w:r>
      <w:r w:rsidRPr="006C4917">
        <w:rPr>
          <w:rFonts w:ascii="Century" w:hAnsi="Century"/>
          <w:sz w:val="22"/>
          <w:rtl/>
        </w:rPr>
        <w:t xml:space="preserve"> </w:t>
      </w:r>
      <w:r w:rsidRPr="006C4917">
        <w:rPr>
          <w:rFonts w:ascii="Century" w:hAnsi="Century" w:hint="eastAsia"/>
          <w:sz w:val="22"/>
          <w:rtl/>
        </w:rPr>
        <w:t>לשלוש</w:t>
      </w:r>
      <w:r w:rsidRPr="006C4917">
        <w:rPr>
          <w:rFonts w:ascii="Century" w:hAnsi="Century"/>
          <w:sz w:val="22"/>
          <w:rtl/>
        </w:rPr>
        <w:t xml:space="preserve"> </w:t>
      </w:r>
      <w:r w:rsidRPr="006C4917">
        <w:rPr>
          <w:rFonts w:ascii="Century" w:hAnsi="Century" w:hint="eastAsia"/>
          <w:sz w:val="22"/>
          <w:rtl/>
        </w:rPr>
        <w:t>מגבלות</w:t>
      </w:r>
      <w:r w:rsidRPr="006C4917">
        <w:rPr>
          <w:rFonts w:ascii="Century" w:hAnsi="Century"/>
          <w:sz w:val="22"/>
          <w:rtl/>
        </w:rPr>
        <w:t xml:space="preserve">: </w:t>
      </w:r>
      <w:r w:rsidRPr="006C4917">
        <w:rPr>
          <w:rFonts w:ascii="Century" w:hAnsi="Century" w:hint="eastAsia"/>
          <w:sz w:val="22"/>
          <w:rtl/>
        </w:rPr>
        <w:t>מגבלת</w:t>
      </w:r>
      <w:r w:rsidRPr="006C4917">
        <w:rPr>
          <w:rFonts w:ascii="Century" w:hAnsi="Century"/>
          <w:sz w:val="22"/>
          <w:rtl/>
        </w:rPr>
        <w:t xml:space="preserve"> </w:t>
      </w:r>
      <w:r w:rsidRPr="006C4917">
        <w:rPr>
          <w:rFonts w:ascii="Century" w:hAnsi="Century" w:hint="eastAsia"/>
          <w:sz w:val="22"/>
          <w:rtl/>
        </w:rPr>
        <w:t>התקינות</w:t>
      </w:r>
      <w:r w:rsidRPr="006C4917">
        <w:rPr>
          <w:rFonts w:ascii="Century" w:hAnsi="Century"/>
          <w:sz w:val="22"/>
          <w:rtl/>
        </w:rPr>
        <w:t xml:space="preserve">; </w:t>
      </w:r>
      <w:r w:rsidRPr="006C4917">
        <w:rPr>
          <w:rFonts w:ascii="Century" w:hAnsi="Century" w:hint="eastAsia"/>
          <w:sz w:val="22"/>
          <w:rtl/>
        </w:rPr>
        <w:t>מגבלת</w:t>
      </w:r>
      <w:r w:rsidRPr="006C4917">
        <w:rPr>
          <w:rFonts w:ascii="Century" w:hAnsi="Century"/>
          <w:sz w:val="22"/>
          <w:rtl/>
        </w:rPr>
        <w:t xml:space="preserve"> </w:t>
      </w:r>
      <w:r w:rsidRPr="006C4917">
        <w:rPr>
          <w:rFonts w:ascii="Century" w:hAnsi="Century" w:hint="eastAsia"/>
          <w:sz w:val="22"/>
          <w:rtl/>
        </w:rPr>
        <w:t>האמון</w:t>
      </w:r>
      <w:r w:rsidRPr="006C4917">
        <w:rPr>
          <w:rFonts w:ascii="Century" w:hAnsi="Century"/>
          <w:sz w:val="22"/>
          <w:rtl/>
        </w:rPr>
        <w:t xml:space="preserve">; </w:t>
      </w:r>
      <w:r w:rsidRPr="006C4917">
        <w:rPr>
          <w:rFonts w:ascii="Century" w:hAnsi="Century" w:hint="eastAsia"/>
          <w:sz w:val="22"/>
          <w:rtl/>
        </w:rPr>
        <w:t>ומגבלת</w:t>
      </w:r>
      <w:r w:rsidRPr="006C4917">
        <w:rPr>
          <w:rFonts w:ascii="Century" w:hAnsi="Century"/>
          <w:sz w:val="22"/>
          <w:rtl/>
        </w:rPr>
        <w:t xml:space="preserve"> </w:t>
      </w:r>
      <w:r w:rsidRPr="006C4917">
        <w:rPr>
          <w:rFonts w:ascii="Century" w:hAnsi="Century" w:hint="eastAsia"/>
          <w:sz w:val="22"/>
          <w:rtl/>
        </w:rPr>
        <w:t>הסמכות</w:t>
      </w:r>
      <w:r w:rsidRPr="006C4917">
        <w:rPr>
          <w:rFonts w:ascii="Century" w:hAnsi="Century"/>
          <w:sz w:val="22"/>
          <w:rtl/>
        </w:rPr>
        <w:t xml:space="preserve">. </w:t>
      </w:r>
      <w:r w:rsidRPr="006C4917">
        <w:rPr>
          <w:rFonts w:ascii="Century" w:hAnsi="Century" w:hint="eastAsia"/>
          <w:sz w:val="22"/>
          <w:rtl/>
        </w:rPr>
        <w:t>אציג</w:t>
      </w:r>
      <w:r w:rsidRPr="006C4917">
        <w:rPr>
          <w:rFonts w:hint="cs"/>
          <w:rtl/>
        </w:rPr>
        <w:t xml:space="preserve"> עתה כל מגבלה, ואת המקור הנורמטיבי להכפפת הכנסת אליה, בכובעה כרשות המכוננת.</w:t>
      </w:r>
    </w:p>
    <w:p w:rsidR="003D7BFC" w:rsidRPr="006C4917" w:rsidRDefault="003D7BFC" w:rsidP="003D7BFC">
      <w:pPr>
        <w:pStyle w:val="Ruller41"/>
      </w:pPr>
    </w:p>
    <w:p w:rsidR="003D7BFC" w:rsidRPr="006C4917" w:rsidRDefault="003D7BFC" w:rsidP="003D7BFC">
      <w:pPr>
        <w:pStyle w:val="Ruller4"/>
      </w:pPr>
      <w:r w:rsidRPr="006C4917">
        <w:rPr>
          <w:rFonts w:ascii="Century" w:hAnsi="Century" w:cs="Miriam" w:hint="cs"/>
          <w:b/>
          <w:spacing w:val="0"/>
          <w:szCs w:val="24"/>
          <w:rtl/>
        </w:rPr>
        <w:t>מגבלת התקינות</w:t>
      </w:r>
      <w:r w:rsidRPr="006C4917">
        <w:rPr>
          <w:rFonts w:hint="cs"/>
          <w:rtl/>
        </w:rPr>
        <w:t xml:space="preserve"> </w:t>
      </w:r>
      <w:r w:rsidRPr="006C4917">
        <w:rPr>
          <w:rFonts w:ascii="Century" w:hAnsi="Century" w:cs="Miriam" w:hint="cs"/>
          <w:b/>
          <w:spacing w:val="0"/>
          <w:szCs w:val="24"/>
          <w:rtl/>
        </w:rPr>
        <w:t>(החובה לפעול בהתאם לכללי הפרוצדורה המחייבים)</w:t>
      </w:r>
      <w:r w:rsidRPr="006C4917">
        <w:rPr>
          <w:rFonts w:hint="cs"/>
          <w:rtl/>
        </w:rPr>
        <w:t xml:space="preserve"> </w:t>
      </w:r>
      <w:r w:rsidRPr="006C4917">
        <w:rPr>
          <w:rtl/>
        </w:rPr>
        <w:t>–</w:t>
      </w:r>
      <w:r w:rsidRPr="006C4917">
        <w:rPr>
          <w:rFonts w:hint="cs"/>
          <w:rtl/>
        </w:rPr>
        <w:t xml:space="preserve"> נוגעת לכל פעולה משפטית, ומחייבת כי המוסמך לבצעה יפעל בהתאם למה שפרופ' ה.ל.א. הארט (</w:t>
      </w:r>
      <w:r w:rsidRPr="006C4917">
        <w:rPr>
          <w:rFonts w:asciiTheme="majorBidi" w:hAnsiTheme="majorBidi"/>
        </w:rPr>
        <w:t>H.L.A. Hart</w:t>
      </w:r>
      <w:r w:rsidRPr="006C4917">
        <w:rPr>
          <w:rFonts w:hint="cs"/>
          <w:rtl/>
        </w:rPr>
        <w:t>) כינה "כללים מסדר שני", כלומר על פי הכללים הנוהגים בשיטת המשפט על מנת להסדיר את דרך ביצועה של אותה פעולה משפטית (</w:t>
      </w:r>
      <w:r w:rsidRPr="006C4917">
        <w:rPr>
          <w:rFonts w:asciiTheme="majorBidi" w:hAnsiTheme="majorBidi" w:cstheme="majorBidi"/>
          <w:smallCaps/>
        </w:rPr>
        <w:t xml:space="preserve">H.L.A Hart, </w:t>
      </w:r>
      <w:r w:rsidRPr="006C4917">
        <w:rPr>
          <w:rFonts w:asciiTheme="majorBidi" w:hAnsiTheme="majorBidi" w:cstheme="majorBidi"/>
          <w:smallCaps/>
        </w:rPr>
        <w:lastRenderedPageBreak/>
        <w:t>The Concept of Law</w:t>
      </w:r>
      <w:r w:rsidRPr="006C4917">
        <w:rPr>
          <w:rFonts w:asciiTheme="majorBidi" w:hAnsiTheme="majorBidi" w:cstheme="majorBidi"/>
        </w:rPr>
        <w:t xml:space="preserve"> 94 (2nd ed., 1994)</w:t>
      </w:r>
      <w:r w:rsidRPr="006C4917">
        <w:rPr>
          <w:rFonts w:hint="cs"/>
          <w:rtl/>
        </w:rPr>
        <w:t xml:space="preserve">). בהקשר בו עסקינן, מגבלת התקינות משמיעה לכנסת כי בפועלה כרשות המכוננת מחובתה לפעול בהתאם לכללים </w:t>
      </w:r>
      <w:r w:rsidRPr="006C4917">
        <w:rPr>
          <w:rFonts w:hint="eastAsia"/>
          <w:rtl/>
        </w:rPr>
        <w:t>המסדירים</w:t>
      </w:r>
      <w:r w:rsidRPr="006C4917">
        <w:rPr>
          <w:rtl/>
        </w:rPr>
        <w:t xml:space="preserve"> </w:t>
      </w:r>
      <w:r w:rsidRPr="006C4917">
        <w:rPr>
          <w:rFonts w:ascii="Century" w:hAnsi="Century" w:hint="eastAsia"/>
          <w:sz w:val="22"/>
          <w:rtl/>
        </w:rPr>
        <w:t>כיצד</w:t>
      </w:r>
      <w:r w:rsidRPr="006C4917">
        <w:rPr>
          <w:rtl/>
        </w:rPr>
        <w:t xml:space="preserve"> </w:t>
      </w:r>
      <w:r w:rsidRPr="006C4917">
        <w:rPr>
          <w:rFonts w:hint="eastAsia"/>
          <w:rtl/>
        </w:rPr>
        <w:t>יש</w:t>
      </w:r>
      <w:r w:rsidRPr="006C4917">
        <w:rPr>
          <w:rtl/>
        </w:rPr>
        <w:t xml:space="preserve"> </w:t>
      </w:r>
      <w:r w:rsidRPr="006C4917">
        <w:rPr>
          <w:rFonts w:hint="eastAsia"/>
          <w:rtl/>
        </w:rPr>
        <w:t>לכונן</w:t>
      </w:r>
      <w:r w:rsidRPr="006C4917">
        <w:rPr>
          <w:rtl/>
        </w:rPr>
        <w:t xml:space="preserve"> </w:t>
      </w:r>
      <w:r w:rsidRPr="006C4917">
        <w:rPr>
          <w:rFonts w:hint="eastAsia"/>
          <w:rtl/>
        </w:rPr>
        <w:t>חוקי</w:t>
      </w:r>
      <w:r w:rsidRPr="006C4917">
        <w:rPr>
          <w:rtl/>
        </w:rPr>
        <w:t xml:space="preserve"> </w:t>
      </w:r>
      <w:r w:rsidRPr="006C4917">
        <w:rPr>
          <w:rFonts w:hint="eastAsia"/>
          <w:rtl/>
        </w:rPr>
        <w:t>יסוד</w:t>
      </w:r>
      <w:r w:rsidRPr="006C4917">
        <w:rPr>
          <w:rtl/>
        </w:rPr>
        <w:t xml:space="preserve">. </w:t>
      </w:r>
      <w:r w:rsidRPr="006C4917">
        <w:rPr>
          <w:rFonts w:hint="eastAsia"/>
          <w:rtl/>
        </w:rPr>
        <w:t>בהעדרו</w:t>
      </w:r>
      <w:r w:rsidRPr="006C4917">
        <w:rPr>
          <w:rtl/>
        </w:rPr>
        <w:t xml:space="preserve"> </w:t>
      </w:r>
      <w:r w:rsidRPr="006C4917">
        <w:rPr>
          <w:rFonts w:hint="eastAsia"/>
          <w:rtl/>
        </w:rPr>
        <w:t>של</w:t>
      </w:r>
      <w:r w:rsidRPr="006C4917">
        <w:rPr>
          <w:rtl/>
        </w:rPr>
        <w:t xml:space="preserve"> </w:t>
      </w:r>
      <w:r w:rsidRPr="006C4917">
        <w:rPr>
          <w:rFonts w:hint="eastAsia"/>
          <w:rtl/>
        </w:rPr>
        <w:t>חוק</w:t>
      </w:r>
      <w:r w:rsidRPr="006C4917">
        <w:rPr>
          <w:rtl/>
        </w:rPr>
        <w:t>-</w:t>
      </w:r>
      <w:r w:rsidRPr="006C4917">
        <w:rPr>
          <w:rFonts w:hint="eastAsia"/>
          <w:rtl/>
        </w:rPr>
        <w:t>יסוד</w:t>
      </w:r>
      <w:r w:rsidRPr="006C4917">
        <w:rPr>
          <w:rtl/>
        </w:rPr>
        <w:t xml:space="preserve">: </w:t>
      </w:r>
      <w:r w:rsidRPr="006C4917">
        <w:rPr>
          <w:rFonts w:hint="eastAsia"/>
          <w:rtl/>
        </w:rPr>
        <w:t>החקיקה</w:t>
      </w:r>
      <w:r w:rsidRPr="006C4917">
        <w:rPr>
          <w:rFonts w:hint="cs"/>
          <w:rtl/>
        </w:rPr>
        <w:t xml:space="preserve"> (אשר אמור להגדיר את הפרוצדורה לכינונם ולתיקונם של חוקי יסוד)</w:t>
      </w:r>
      <w:r w:rsidRPr="006C4917">
        <w:rPr>
          <w:rtl/>
        </w:rPr>
        <w:t xml:space="preserve">, </w:t>
      </w:r>
      <w:r w:rsidRPr="006C4917">
        <w:rPr>
          <w:rFonts w:hint="eastAsia"/>
          <w:rtl/>
        </w:rPr>
        <w:t>הכללים</w:t>
      </w:r>
      <w:r w:rsidRPr="006C4917">
        <w:rPr>
          <w:rtl/>
        </w:rPr>
        <w:t xml:space="preserve"> </w:t>
      </w:r>
      <w:r w:rsidRPr="006C4917">
        <w:rPr>
          <w:rFonts w:hint="eastAsia"/>
          <w:rtl/>
        </w:rPr>
        <w:t>החלים</w:t>
      </w:r>
      <w:r w:rsidRPr="006C4917">
        <w:rPr>
          <w:rtl/>
        </w:rPr>
        <w:t xml:space="preserve"> </w:t>
      </w:r>
      <w:r w:rsidRPr="006C4917">
        <w:rPr>
          <w:rFonts w:hint="eastAsia"/>
          <w:rtl/>
        </w:rPr>
        <w:t>על</w:t>
      </w:r>
      <w:r w:rsidRPr="006C4917">
        <w:rPr>
          <w:rtl/>
        </w:rPr>
        <w:t xml:space="preserve"> </w:t>
      </w:r>
      <w:r w:rsidRPr="006C4917">
        <w:rPr>
          <w:rFonts w:hint="eastAsia"/>
          <w:rtl/>
        </w:rPr>
        <w:t>הכנסת</w:t>
      </w:r>
      <w:r w:rsidRPr="006C4917">
        <w:rPr>
          <w:rtl/>
        </w:rPr>
        <w:t xml:space="preserve"> </w:t>
      </w:r>
      <w:r w:rsidRPr="006C4917">
        <w:rPr>
          <w:rFonts w:hint="eastAsia"/>
          <w:rtl/>
        </w:rPr>
        <w:t>מוגדרים</w:t>
      </w:r>
      <w:r w:rsidRPr="006C4917">
        <w:rPr>
          <w:rtl/>
        </w:rPr>
        <w:t xml:space="preserve"> </w:t>
      </w:r>
      <w:r w:rsidRPr="006C4917">
        <w:rPr>
          <w:rFonts w:hint="eastAsia"/>
          <w:rtl/>
        </w:rPr>
        <w:t>בעיקרם</w:t>
      </w:r>
      <w:r w:rsidRPr="006C4917">
        <w:rPr>
          <w:rtl/>
        </w:rPr>
        <w:t xml:space="preserve"> </w:t>
      </w:r>
      <w:r w:rsidRPr="006C4917">
        <w:rPr>
          <w:rFonts w:hint="eastAsia"/>
          <w:rtl/>
        </w:rPr>
        <w:t>בתקנון</w:t>
      </w:r>
      <w:r w:rsidRPr="006C4917">
        <w:rPr>
          <w:rtl/>
        </w:rPr>
        <w:t xml:space="preserve"> </w:t>
      </w:r>
      <w:r w:rsidRPr="006C4917">
        <w:rPr>
          <w:rFonts w:hint="eastAsia"/>
          <w:rtl/>
        </w:rPr>
        <w:t>הכנסת</w:t>
      </w:r>
      <w:r w:rsidRPr="006C4917">
        <w:rPr>
          <w:rtl/>
        </w:rPr>
        <w:t xml:space="preserve"> (</w:t>
      </w:r>
      <w:r w:rsidRPr="006C4917">
        <w:rPr>
          <w:rFonts w:hint="eastAsia"/>
          <w:rtl/>
        </w:rPr>
        <w:t>עניין</w:t>
      </w:r>
      <w:r w:rsidRPr="006C4917">
        <w:rPr>
          <w:rtl/>
        </w:rPr>
        <w:t xml:space="preserve"> </w:t>
      </w:r>
      <w:r w:rsidRPr="006C4917">
        <w:rPr>
          <w:rFonts w:ascii="Century" w:hAnsi="Century" w:cs="Miriam" w:hint="eastAsia"/>
          <w:b/>
          <w:spacing w:val="0"/>
          <w:sz w:val="22"/>
          <w:szCs w:val="24"/>
          <w:rtl/>
        </w:rPr>
        <w:t>בר</w:t>
      </w:r>
      <w:r w:rsidRPr="006C4917">
        <w:rPr>
          <w:rFonts w:ascii="Century" w:hAnsi="Century" w:cs="Miriam"/>
          <w:b/>
          <w:spacing w:val="0"/>
          <w:sz w:val="22"/>
          <w:szCs w:val="24"/>
          <w:rtl/>
        </w:rPr>
        <w:t>-</w:t>
      </w:r>
      <w:r w:rsidRPr="006C4917">
        <w:rPr>
          <w:rFonts w:ascii="Century" w:hAnsi="Century" w:cs="Miriam" w:hint="eastAsia"/>
          <w:b/>
          <w:spacing w:val="0"/>
          <w:sz w:val="22"/>
          <w:szCs w:val="24"/>
          <w:rtl/>
        </w:rPr>
        <w:t>און</w:t>
      </w:r>
      <w:r w:rsidRPr="006C4917">
        <w:rPr>
          <w:rFonts w:hint="cs"/>
          <w:rtl/>
        </w:rPr>
        <w:t xml:space="preserve">, </w:t>
      </w:r>
      <w:r w:rsidRPr="006C4917">
        <w:rPr>
          <w:rFonts w:hint="eastAsia"/>
          <w:rtl/>
        </w:rPr>
        <w:t>בעמ</w:t>
      </w:r>
      <w:r w:rsidRPr="006C4917">
        <w:rPr>
          <w:rtl/>
        </w:rPr>
        <w:t xml:space="preserve">' </w:t>
      </w:r>
      <w:r w:rsidRPr="006C4917">
        <w:rPr>
          <w:rFonts w:hint="cs"/>
          <w:rtl/>
        </w:rPr>
        <w:t>298). כך, למשל, על הכנסת להעביר חוק יסוד בשלוש קריאות במליאת הכנסת, אם מדובר בהצעה שהועלתה על ידי הממשלה, ובארבע קריאות, אם מדובר בהצעת חוק פרטית. בדומה, עליה לאפשר לכלל חברי הכנסת להשתתף בהצבעה, כשעומד לרשותם המידע המינימאלי הדרוש על מנת ליטול בה חלק (וראו ההלכה שנפסקה ב</w:t>
      </w:r>
      <w:r w:rsidRPr="006C4917">
        <w:rPr>
          <w:rFonts w:hint="eastAsia"/>
          <w:rtl/>
        </w:rPr>
        <w:t>בג</w:t>
      </w:r>
      <w:r w:rsidRPr="006C4917">
        <w:rPr>
          <w:rtl/>
        </w:rPr>
        <w:t>"</w:t>
      </w:r>
      <w:r w:rsidRPr="006C4917">
        <w:rPr>
          <w:rFonts w:hint="eastAsia"/>
          <w:rtl/>
        </w:rPr>
        <w:t>ץ</w:t>
      </w:r>
      <w:r w:rsidRPr="006C4917">
        <w:rPr>
          <w:rtl/>
        </w:rPr>
        <w:t xml:space="preserve"> 10042/16 </w:t>
      </w:r>
      <w:r w:rsidRPr="006C4917">
        <w:rPr>
          <w:rFonts w:ascii="Century" w:hAnsi="Century" w:cs="Miriam" w:hint="eastAsia"/>
          <w:b/>
          <w:spacing w:val="0"/>
          <w:sz w:val="22"/>
          <w:szCs w:val="24"/>
          <w:rtl/>
        </w:rPr>
        <w:t>קוונטינסקי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כנסת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ישראל</w:t>
      </w:r>
      <w:r w:rsidRPr="006C4917">
        <w:rPr>
          <w:rtl/>
        </w:rPr>
        <w:t xml:space="preserve"> (</w:t>
      </w:r>
      <w:r w:rsidRPr="006C4917">
        <w:rPr>
          <w:rFonts w:hint="cs"/>
          <w:rtl/>
        </w:rPr>
        <w:t>6</w:t>
      </w:r>
      <w:r w:rsidRPr="006C4917">
        <w:rPr>
          <w:rtl/>
        </w:rPr>
        <w:t>.</w:t>
      </w:r>
      <w:r w:rsidRPr="006C4917">
        <w:rPr>
          <w:rFonts w:hint="cs"/>
          <w:rtl/>
        </w:rPr>
        <w:t>8</w:t>
      </w:r>
      <w:r w:rsidRPr="006C4917">
        <w:rPr>
          <w:rtl/>
        </w:rPr>
        <w:t xml:space="preserve">.2017) </w:t>
      </w:r>
      <w:r w:rsidRPr="006C4917">
        <w:rPr>
          <w:rFonts w:hint="cs"/>
          <w:rtl/>
        </w:rPr>
        <w:t xml:space="preserve">שנקבעה אומנם ביחס לסמכות המחוקקת, אולם סבורני כי היא רלוונטית, ואולי אף ביתר שאת, ביחס לסמכות המכוננת. ראו גם: בג"ץ 8948/22 </w:t>
      </w:r>
      <w:r w:rsidRPr="006C4917">
        <w:rPr>
          <w:rFonts w:ascii="Century" w:hAnsi="Century" w:cs="Miriam" w:hint="eastAsia"/>
          <w:b/>
          <w:spacing w:val="0"/>
          <w:sz w:val="22"/>
          <w:szCs w:val="24"/>
          <w:rtl/>
        </w:rPr>
        <w:t>שיינפלד</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הכנסת</w:t>
      </w:r>
      <w:r w:rsidRPr="006C4917">
        <w:rPr>
          <w:rFonts w:hint="cs"/>
          <w:rtl/>
        </w:rPr>
        <w:t xml:space="preserve">, פסקה 45 לחוות דעתה של הנשיאה </w:t>
      </w:r>
      <w:r w:rsidRPr="006C4917">
        <w:rPr>
          <w:rFonts w:ascii="Century" w:hAnsi="Century" w:cs="Miriam" w:hint="eastAsia"/>
          <w:b/>
          <w:spacing w:val="0"/>
          <w:sz w:val="22"/>
          <w:szCs w:val="24"/>
          <w:rtl/>
        </w:rPr>
        <w:t>חיות</w:t>
      </w:r>
      <w:r w:rsidRPr="006C4917">
        <w:rPr>
          <w:rFonts w:hint="cs"/>
          <w:rtl/>
        </w:rPr>
        <w:t xml:space="preserve"> (18.1.2023) (להלן: </w:t>
      </w:r>
      <w:r w:rsidRPr="006C4917">
        <w:rPr>
          <w:rFonts w:ascii="Century" w:hAnsi="Century" w:cs="Miriam" w:hint="eastAsia"/>
          <w:b/>
          <w:spacing w:val="0"/>
          <w:sz w:val="22"/>
          <w:szCs w:val="24"/>
          <w:rtl/>
        </w:rPr>
        <w:t>עניין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שיינפלד</w:t>
      </w:r>
      <w:r w:rsidRPr="006C4917">
        <w:rPr>
          <w:rFonts w:hint="cs"/>
          <w:rtl/>
        </w:rPr>
        <w:t xml:space="preserve">)). כך, חוק יסוד שהועבר באופן לא תקין עשוי שלא להיות מוכר כלל. מקרה מובהק בהקשר זה הוא, למשל, מצב בו חוק יסוד עבר בשתי קריאות בלבד, או לא עמד בדרישה לרוב מיוחד שנקבעה לגביו. מצב אחר, המהווה אף הוא בעיניי מקרה ברור לאי-עמידה במגבלת התקינות, הוא כאשר לא התאפשר לחלק מחברי הכנסת להשתתף בהצבעה </w:t>
      </w:r>
      <w:r w:rsidRPr="006C4917">
        <w:rPr>
          <w:rtl/>
        </w:rPr>
        <w:t>–</w:t>
      </w:r>
      <w:r w:rsidRPr="006C4917">
        <w:rPr>
          <w:rFonts w:hint="cs"/>
          <w:rtl/>
        </w:rPr>
        <w:t xml:space="preserve"> כגון שדרכם למשכן הכנסת נחסמה בכוונת מכוון על ידי גורמים שלא היו מעוניינים לאפשר את השתתפותם בהצבעה. במצב דברים זה, חוק היסוד לא הועבר על ידי הכנסת באופן תקין, ולדבר השלכה על תוקף פעולתה כרשות מכוננת. מגבלת התקינות מתייחסת, איפוא, ל</w:t>
      </w:r>
      <w:r w:rsidRPr="006C4917">
        <w:rPr>
          <w:rFonts w:ascii="Century" w:hAnsi="Century" w:cs="Miriam" w:hint="eastAsia"/>
          <w:b/>
          <w:spacing w:val="0"/>
          <w:sz w:val="22"/>
          <w:szCs w:val="24"/>
          <w:rtl/>
        </w:rPr>
        <w:t>אופן</w:t>
      </w:r>
      <w:r w:rsidRPr="006C4917">
        <w:rPr>
          <w:rFonts w:hint="cs"/>
          <w:rtl/>
        </w:rPr>
        <w:t xml:space="preserve"> בו עבר חוק היסוד ולבחינת ההליך בו התקבל, וזאת במנותק מתכליתו או מתוכנו.</w:t>
      </w:r>
    </w:p>
    <w:p w:rsidR="003D7BFC" w:rsidRPr="006C4917" w:rsidRDefault="003D7BFC" w:rsidP="003D7BFC">
      <w:pPr>
        <w:pStyle w:val="Ruller41"/>
        <w:rPr>
          <w:rtl/>
        </w:rPr>
      </w:pPr>
    </w:p>
    <w:p w:rsidR="003D7BFC" w:rsidRPr="006C4917" w:rsidRDefault="003D7BFC" w:rsidP="003D7BFC">
      <w:pPr>
        <w:pStyle w:val="Ruller4"/>
      </w:pPr>
      <w:r w:rsidRPr="006C4917">
        <w:rPr>
          <w:rFonts w:ascii="Century" w:hAnsi="Century" w:cs="Miriam" w:hint="cs"/>
          <w:b/>
          <w:spacing w:val="0"/>
          <w:szCs w:val="24"/>
          <w:rtl/>
        </w:rPr>
        <w:t>מגבלת האמון</w:t>
      </w:r>
      <w:r w:rsidRPr="006C4917">
        <w:rPr>
          <w:rFonts w:hint="cs"/>
          <w:rtl/>
        </w:rPr>
        <w:t xml:space="preserve"> </w:t>
      </w:r>
      <w:r w:rsidRPr="006C4917">
        <w:rPr>
          <w:rFonts w:ascii="Century" w:hAnsi="Century" w:cs="Miriam" w:hint="cs"/>
          <w:b/>
          <w:spacing w:val="0"/>
          <w:szCs w:val="24"/>
          <w:rtl/>
        </w:rPr>
        <w:t>(החובה לפעול למען המטרות לשמן ניתנה הסמכות)</w:t>
      </w:r>
      <w:r w:rsidRPr="006C4917">
        <w:rPr>
          <w:rFonts w:hint="cs"/>
          <w:rtl/>
        </w:rPr>
        <w:t xml:space="preserve"> </w:t>
      </w:r>
      <w:r w:rsidRPr="006C4917">
        <w:rPr>
          <w:rtl/>
        </w:rPr>
        <w:t>–</w:t>
      </w:r>
      <w:r w:rsidRPr="006C4917">
        <w:rPr>
          <w:rFonts w:hint="cs"/>
          <w:rtl/>
        </w:rPr>
        <w:t xml:space="preserve"> נובעת מכך ששיטת המשטר שלנו היא דמוקרטיה ייצוגית, במסגרתה חברי הכנסת הם נציגיו של העם, וחבים לו חובת אמון במישור הציבורי (</w:t>
      </w:r>
      <w:r w:rsidRPr="006C4917">
        <w:rPr>
          <w:rFonts w:hint="eastAsia"/>
          <w:rtl/>
        </w:rPr>
        <w:t>לתיאוריה</w:t>
      </w:r>
      <w:r w:rsidRPr="006C4917">
        <w:rPr>
          <w:rtl/>
        </w:rPr>
        <w:t xml:space="preserve"> </w:t>
      </w:r>
      <w:r w:rsidRPr="006C4917">
        <w:rPr>
          <w:rFonts w:hint="eastAsia"/>
          <w:rtl/>
        </w:rPr>
        <w:t>שבבסיס</w:t>
      </w:r>
      <w:r w:rsidRPr="006C4917">
        <w:rPr>
          <w:rtl/>
        </w:rPr>
        <w:t xml:space="preserve"> </w:t>
      </w:r>
      <w:r w:rsidRPr="006C4917">
        <w:rPr>
          <w:rFonts w:hint="eastAsia"/>
          <w:rtl/>
        </w:rPr>
        <w:t>הדמוקרטיה</w:t>
      </w:r>
      <w:r w:rsidRPr="006C4917">
        <w:rPr>
          <w:rtl/>
        </w:rPr>
        <w:t xml:space="preserve"> </w:t>
      </w:r>
      <w:r w:rsidRPr="006C4917">
        <w:rPr>
          <w:rFonts w:hint="eastAsia"/>
          <w:rtl/>
        </w:rPr>
        <w:t>הייצוגית</w:t>
      </w:r>
      <w:r w:rsidRPr="006C4917">
        <w:rPr>
          <w:rtl/>
        </w:rPr>
        <w:t xml:space="preserve"> </w:t>
      </w:r>
      <w:r w:rsidRPr="006C4917">
        <w:rPr>
          <w:rFonts w:hint="eastAsia"/>
          <w:rtl/>
        </w:rPr>
        <w:t>ולביקורות</w:t>
      </w:r>
      <w:r w:rsidRPr="006C4917">
        <w:rPr>
          <w:rtl/>
        </w:rPr>
        <w:t xml:space="preserve"> </w:t>
      </w:r>
      <w:r w:rsidRPr="006C4917">
        <w:rPr>
          <w:rFonts w:hint="eastAsia"/>
          <w:rtl/>
        </w:rPr>
        <w:t>עליה</w:t>
      </w:r>
      <w:r w:rsidRPr="006C4917">
        <w:rPr>
          <w:rtl/>
        </w:rPr>
        <w:t xml:space="preserve">, </w:t>
      </w:r>
      <w:r w:rsidRPr="006C4917">
        <w:rPr>
          <w:rFonts w:hint="eastAsia"/>
          <w:rtl/>
        </w:rPr>
        <w:t>ראו</w:t>
      </w:r>
      <w:r w:rsidRPr="006C4917">
        <w:rPr>
          <w:rFonts w:hint="cs"/>
          <w:rtl/>
        </w:rPr>
        <w:t xml:space="preserve"> </w:t>
      </w:r>
      <w:r w:rsidRPr="006C4917">
        <w:rPr>
          <w:rFonts w:asciiTheme="majorBidi" w:hAnsiTheme="majorBidi" w:cstheme="majorBidi"/>
        </w:rPr>
        <w:t xml:space="preserve">Nadia Urbinati, </w:t>
      </w:r>
      <w:r w:rsidRPr="006C4917">
        <w:rPr>
          <w:rFonts w:asciiTheme="majorBidi" w:hAnsiTheme="majorBidi" w:cstheme="majorBidi"/>
          <w:i/>
          <w:iCs/>
        </w:rPr>
        <w:t xml:space="preserve">Representative democracy and its critics, </w:t>
      </w:r>
      <w:r w:rsidRPr="006C4917">
        <w:rPr>
          <w:rFonts w:asciiTheme="majorBidi" w:hAnsiTheme="majorBidi" w:cstheme="majorBidi"/>
        </w:rPr>
        <w:t>in </w:t>
      </w:r>
      <w:r w:rsidRPr="006C4917">
        <w:rPr>
          <w:rFonts w:asciiTheme="majorBidi" w:hAnsiTheme="majorBidi" w:cstheme="majorBidi"/>
          <w:smallCaps/>
        </w:rPr>
        <w:t>The Future of Representative Democracy</w:t>
      </w:r>
      <w:r w:rsidRPr="006C4917">
        <w:rPr>
          <w:rFonts w:asciiTheme="majorBidi" w:hAnsiTheme="majorBidi" w:cstheme="majorBidi"/>
        </w:rPr>
        <w:t> 23-49 (2011)</w:t>
      </w:r>
      <w:r w:rsidRPr="006C4917">
        <w:rPr>
          <w:rFonts w:hint="cs"/>
          <w:rtl/>
        </w:rPr>
        <w:t>). לא זהו המקום להרחיב ביחס למשמעותה של חובה זו</w:t>
      </w:r>
      <w:r w:rsidRPr="006C4917">
        <w:rPr>
          <w:rtl/>
        </w:rPr>
        <w:t xml:space="preserve">, </w:t>
      </w:r>
      <w:r w:rsidRPr="006C4917">
        <w:rPr>
          <w:rFonts w:hint="eastAsia"/>
          <w:rtl/>
        </w:rPr>
        <w:t>שהיא</w:t>
      </w:r>
      <w:r w:rsidRPr="006C4917">
        <w:rPr>
          <w:rtl/>
        </w:rPr>
        <w:t xml:space="preserve"> </w:t>
      </w:r>
      <w:r w:rsidRPr="006C4917">
        <w:rPr>
          <w:rFonts w:hint="eastAsia"/>
          <w:rtl/>
        </w:rPr>
        <w:t>בוודאי</w:t>
      </w:r>
      <w:r w:rsidRPr="006C4917">
        <w:rPr>
          <w:rtl/>
        </w:rPr>
        <w:t xml:space="preserve"> </w:t>
      </w:r>
      <w:r w:rsidRPr="006C4917">
        <w:rPr>
          <w:rFonts w:hint="eastAsia"/>
          <w:rtl/>
        </w:rPr>
        <w:t>שונה</w:t>
      </w:r>
      <w:r w:rsidRPr="006C4917">
        <w:rPr>
          <w:rtl/>
        </w:rPr>
        <w:t xml:space="preserve"> </w:t>
      </w:r>
      <w:r w:rsidRPr="006C4917">
        <w:rPr>
          <w:rFonts w:hint="eastAsia"/>
          <w:rtl/>
        </w:rPr>
        <w:t>מחובות</w:t>
      </w:r>
      <w:r w:rsidRPr="006C4917">
        <w:rPr>
          <w:rtl/>
        </w:rPr>
        <w:t xml:space="preserve"> </w:t>
      </w:r>
      <w:r w:rsidRPr="006C4917">
        <w:rPr>
          <w:rFonts w:hint="eastAsia"/>
          <w:rtl/>
        </w:rPr>
        <w:t>האמון</w:t>
      </w:r>
      <w:r w:rsidRPr="006C4917">
        <w:rPr>
          <w:rtl/>
        </w:rPr>
        <w:t xml:space="preserve"> </w:t>
      </w:r>
      <w:r w:rsidRPr="006C4917">
        <w:rPr>
          <w:rFonts w:hint="eastAsia"/>
          <w:rtl/>
        </w:rPr>
        <w:t>המוכרות</w:t>
      </w:r>
      <w:r w:rsidRPr="006C4917">
        <w:rPr>
          <w:rtl/>
        </w:rPr>
        <w:t xml:space="preserve"> </w:t>
      </w:r>
      <w:r w:rsidRPr="006C4917">
        <w:rPr>
          <w:rFonts w:hint="eastAsia"/>
          <w:rtl/>
        </w:rPr>
        <w:t>במסגרת</w:t>
      </w:r>
      <w:r w:rsidRPr="006C4917">
        <w:rPr>
          <w:rtl/>
        </w:rPr>
        <w:t xml:space="preserve"> </w:t>
      </w:r>
      <w:r w:rsidRPr="006C4917">
        <w:rPr>
          <w:rFonts w:hint="eastAsia"/>
          <w:rtl/>
        </w:rPr>
        <w:t>המשפט</w:t>
      </w:r>
      <w:r w:rsidRPr="006C4917">
        <w:rPr>
          <w:rtl/>
        </w:rPr>
        <w:t xml:space="preserve"> </w:t>
      </w:r>
      <w:r w:rsidRPr="006C4917">
        <w:rPr>
          <w:rFonts w:hint="eastAsia"/>
          <w:rtl/>
        </w:rPr>
        <w:t>הפרטי</w:t>
      </w:r>
      <w:r w:rsidRPr="006C4917">
        <w:rPr>
          <w:rtl/>
        </w:rPr>
        <w:t xml:space="preserve"> (</w:t>
      </w:r>
      <w:r w:rsidRPr="006C4917">
        <w:rPr>
          <w:rFonts w:hint="eastAsia"/>
          <w:rtl/>
        </w:rPr>
        <w:t>להרחבה</w:t>
      </w:r>
      <w:r w:rsidRPr="006C4917">
        <w:rPr>
          <w:rtl/>
        </w:rPr>
        <w:t xml:space="preserve"> </w:t>
      </w:r>
      <w:r w:rsidRPr="006C4917">
        <w:rPr>
          <w:rFonts w:hint="eastAsia"/>
          <w:rtl/>
        </w:rPr>
        <w:t>ביחס</w:t>
      </w:r>
      <w:r w:rsidRPr="006C4917">
        <w:rPr>
          <w:rtl/>
        </w:rPr>
        <w:t xml:space="preserve"> </w:t>
      </w:r>
      <w:r w:rsidRPr="006C4917">
        <w:rPr>
          <w:rFonts w:hint="eastAsia"/>
          <w:rtl/>
        </w:rPr>
        <w:t>לחובת</w:t>
      </w:r>
      <w:r w:rsidRPr="006C4917">
        <w:rPr>
          <w:rtl/>
        </w:rPr>
        <w:t xml:space="preserve"> </w:t>
      </w:r>
      <w:r w:rsidRPr="006C4917">
        <w:rPr>
          <w:rFonts w:hint="eastAsia"/>
          <w:rtl/>
        </w:rPr>
        <w:t>האמון</w:t>
      </w:r>
      <w:r w:rsidRPr="006C4917">
        <w:rPr>
          <w:rtl/>
        </w:rPr>
        <w:t xml:space="preserve"> </w:t>
      </w:r>
      <w:r w:rsidRPr="006C4917">
        <w:rPr>
          <w:rFonts w:hint="eastAsia"/>
          <w:rtl/>
        </w:rPr>
        <w:t>של</w:t>
      </w:r>
      <w:r w:rsidRPr="006C4917">
        <w:rPr>
          <w:rtl/>
        </w:rPr>
        <w:t xml:space="preserve"> </w:t>
      </w:r>
      <w:r w:rsidRPr="006C4917">
        <w:rPr>
          <w:rFonts w:hint="eastAsia"/>
          <w:rtl/>
        </w:rPr>
        <w:t>חברי</w:t>
      </w:r>
      <w:r w:rsidRPr="006C4917">
        <w:rPr>
          <w:rtl/>
        </w:rPr>
        <w:t xml:space="preserve"> </w:t>
      </w:r>
      <w:r w:rsidRPr="006C4917">
        <w:rPr>
          <w:rFonts w:hint="eastAsia"/>
          <w:rtl/>
        </w:rPr>
        <w:t>הכנסת</w:t>
      </w:r>
      <w:r w:rsidRPr="006C4917">
        <w:rPr>
          <w:rtl/>
        </w:rPr>
        <w:t xml:space="preserve"> </w:t>
      </w:r>
      <w:r w:rsidRPr="006C4917">
        <w:rPr>
          <w:rFonts w:hint="eastAsia"/>
          <w:rtl/>
        </w:rPr>
        <w:t>ראו</w:t>
      </w:r>
      <w:r w:rsidRPr="006C4917">
        <w:rPr>
          <w:rFonts w:hint="cs"/>
          <w:rtl/>
        </w:rPr>
        <w:t>:</w:t>
      </w:r>
      <w:r w:rsidRPr="006C4917">
        <w:rPr>
          <w:rtl/>
        </w:rPr>
        <w:t xml:space="preserve"> </w:t>
      </w:r>
      <w:r w:rsidRPr="006C4917">
        <w:rPr>
          <w:rFonts w:hint="eastAsia"/>
          <w:rtl/>
        </w:rPr>
        <w:t>סוזי</w:t>
      </w:r>
      <w:r w:rsidRPr="006C4917">
        <w:rPr>
          <w:rtl/>
        </w:rPr>
        <w:t xml:space="preserve"> </w:t>
      </w:r>
      <w:r w:rsidRPr="006C4917">
        <w:rPr>
          <w:rFonts w:hint="eastAsia"/>
          <w:rtl/>
        </w:rPr>
        <w:t>נבות</w:t>
      </w:r>
      <w:r w:rsidRPr="006C4917">
        <w:rPr>
          <w:rtl/>
        </w:rPr>
        <w:t xml:space="preserve"> "</w:t>
      </w:r>
      <w:r w:rsidRPr="006C4917">
        <w:rPr>
          <w:rFonts w:hint="eastAsia"/>
          <w:rtl/>
        </w:rPr>
        <w:t>חבר</w:t>
      </w:r>
      <w:r w:rsidRPr="006C4917">
        <w:rPr>
          <w:rtl/>
        </w:rPr>
        <w:t xml:space="preserve"> </w:t>
      </w:r>
      <w:r w:rsidRPr="006C4917">
        <w:rPr>
          <w:rFonts w:hint="eastAsia"/>
          <w:rtl/>
        </w:rPr>
        <w:t>כנסת</w:t>
      </w:r>
      <w:r w:rsidRPr="006C4917">
        <w:rPr>
          <w:rtl/>
        </w:rPr>
        <w:t xml:space="preserve"> </w:t>
      </w:r>
      <w:r w:rsidRPr="006C4917">
        <w:rPr>
          <w:rFonts w:hint="eastAsia"/>
          <w:rtl/>
        </w:rPr>
        <w:t>כ</w:t>
      </w:r>
      <w:r w:rsidRPr="006C4917">
        <w:rPr>
          <w:rtl/>
        </w:rPr>
        <w:t>'</w:t>
      </w:r>
      <w:r w:rsidRPr="006C4917">
        <w:rPr>
          <w:rFonts w:hint="eastAsia"/>
          <w:rtl/>
        </w:rPr>
        <w:t>נאמן</w:t>
      </w:r>
      <w:r w:rsidRPr="006C4917">
        <w:rPr>
          <w:rtl/>
        </w:rPr>
        <w:t xml:space="preserve"> </w:t>
      </w:r>
      <w:r w:rsidRPr="006C4917">
        <w:rPr>
          <w:rFonts w:hint="eastAsia"/>
          <w:rtl/>
        </w:rPr>
        <w:t>הציבור</w:t>
      </w:r>
      <w:r w:rsidRPr="006C4917">
        <w:rPr>
          <w:rtl/>
        </w:rPr>
        <w:t xml:space="preserve">'" </w:t>
      </w:r>
      <w:r w:rsidRPr="006C4917">
        <w:rPr>
          <w:rFonts w:ascii="Century" w:hAnsi="Century" w:cs="Miriam" w:hint="eastAsia"/>
          <w:b/>
          <w:spacing w:val="0"/>
          <w:szCs w:val="24"/>
          <w:rtl/>
        </w:rPr>
        <w:t>משפטים</w:t>
      </w:r>
      <w:r w:rsidRPr="006C4917">
        <w:rPr>
          <w:rtl/>
        </w:rPr>
        <w:t xml:space="preserve"> </w:t>
      </w:r>
      <w:r w:rsidRPr="006C4917">
        <w:rPr>
          <w:rFonts w:hint="eastAsia"/>
          <w:rtl/>
        </w:rPr>
        <w:t>לא</w:t>
      </w:r>
      <w:r w:rsidRPr="006C4917">
        <w:rPr>
          <w:rtl/>
        </w:rPr>
        <w:t xml:space="preserve"> 433 (2001)</w:t>
      </w:r>
      <w:r w:rsidRPr="006C4917">
        <w:rPr>
          <w:rFonts w:hint="cs"/>
          <w:rtl/>
        </w:rPr>
        <w:t xml:space="preserve">; </w:t>
      </w:r>
      <w:r w:rsidRPr="006C4917">
        <w:rPr>
          <w:rFonts w:ascii="Century" w:hAnsi="Century" w:hint="eastAsia"/>
          <w:sz w:val="22"/>
          <w:rtl/>
        </w:rPr>
        <w:t>יגאל</w:t>
      </w:r>
      <w:r w:rsidRPr="006C4917">
        <w:rPr>
          <w:rFonts w:ascii="Century" w:hAnsi="Century"/>
          <w:sz w:val="22"/>
          <w:rtl/>
        </w:rPr>
        <w:t xml:space="preserve"> </w:t>
      </w:r>
      <w:r w:rsidRPr="006C4917">
        <w:rPr>
          <w:rFonts w:ascii="Century" w:hAnsi="Century" w:hint="eastAsia"/>
          <w:sz w:val="22"/>
          <w:rtl/>
        </w:rPr>
        <w:t>מרזל</w:t>
      </w:r>
      <w:r w:rsidRPr="006C4917">
        <w:rPr>
          <w:rFonts w:ascii="Century" w:hAnsi="Century"/>
          <w:sz w:val="22"/>
          <w:rtl/>
        </w:rPr>
        <w:t xml:space="preserve"> "</w:t>
      </w:r>
      <w:r w:rsidRPr="006C4917">
        <w:rPr>
          <w:rFonts w:ascii="Century" w:hAnsi="Century" w:hint="eastAsia"/>
          <w:sz w:val="22"/>
          <w:rtl/>
        </w:rPr>
        <w:t>ניגוד</w:t>
      </w:r>
      <w:r w:rsidRPr="006C4917">
        <w:rPr>
          <w:rFonts w:ascii="Century" w:hAnsi="Century"/>
          <w:sz w:val="22"/>
          <w:rtl/>
        </w:rPr>
        <w:t xml:space="preserve"> </w:t>
      </w:r>
      <w:r w:rsidRPr="006C4917">
        <w:rPr>
          <w:rFonts w:ascii="Century" w:hAnsi="Century" w:hint="eastAsia"/>
          <w:sz w:val="22"/>
          <w:rtl/>
        </w:rPr>
        <w:t>עניינים</w:t>
      </w:r>
      <w:r w:rsidRPr="006C4917">
        <w:rPr>
          <w:rFonts w:ascii="Century" w:hAnsi="Century"/>
          <w:sz w:val="22"/>
          <w:rtl/>
        </w:rPr>
        <w:t xml:space="preserve"> </w:t>
      </w:r>
      <w:r w:rsidRPr="006C4917">
        <w:rPr>
          <w:rFonts w:ascii="Century" w:hAnsi="Century" w:hint="eastAsia"/>
          <w:sz w:val="22"/>
          <w:rtl/>
        </w:rPr>
        <w:t>של</w:t>
      </w:r>
      <w:r w:rsidRPr="006C4917">
        <w:rPr>
          <w:rFonts w:ascii="Century" w:hAnsi="Century"/>
          <w:sz w:val="22"/>
          <w:rtl/>
        </w:rPr>
        <w:t xml:space="preserve"> </w:t>
      </w:r>
      <w:r w:rsidRPr="006C4917">
        <w:rPr>
          <w:rFonts w:ascii="Century" w:hAnsi="Century" w:hint="eastAsia"/>
          <w:sz w:val="22"/>
          <w:rtl/>
        </w:rPr>
        <w:t>חברי</w:t>
      </w:r>
      <w:r w:rsidRPr="006C4917">
        <w:rPr>
          <w:rFonts w:ascii="Century" w:hAnsi="Century"/>
          <w:sz w:val="22"/>
          <w:rtl/>
        </w:rPr>
        <w:t xml:space="preserve"> </w:t>
      </w:r>
      <w:r w:rsidRPr="006C4917">
        <w:rPr>
          <w:rFonts w:ascii="Century" w:hAnsi="Century" w:hint="eastAsia"/>
          <w:sz w:val="22"/>
          <w:rtl/>
        </w:rPr>
        <w:t>כנסת</w:t>
      </w:r>
      <w:r w:rsidRPr="006C4917">
        <w:rPr>
          <w:rFonts w:ascii="Century" w:hAnsi="Century"/>
          <w:sz w:val="22"/>
          <w:rtl/>
        </w:rPr>
        <w:t xml:space="preserve">: </w:t>
      </w:r>
      <w:r w:rsidRPr="006C4917">
        <w:rPr>
          <w:rFonts w:ascii="Century" w:hAnsi="Century" w:hint="eastAsia"/>
          <w:sz w:val="22"/>
          <w:rtl/>
        </w:rPr>
        <w:t>בין</w:t>
      </w:r>
      <w:r w:rsidRPr="006C4917">
        <w:rPr>
          <w:rFonts w:ascii="Century" w:hAnsi="Century"/>
          <w:sz w:val="22"/>
          <w:rtl/>
        </w:rPr>
        <w:t xml:space="preserve"> </w:t>
      </w:r>
      <w:r w:rsidRPr="006C4917">
        <w:rPr>
          <w:rFonts w:ascii="Century" w:hAnsi="Century" w:hint="eastAsia"/>
          <w:sz w:val="22"/>
          <w:rtl/>
        </w:rPr>
        <w:t>הנאמנות</w:t>
      </w:r>
      <w:r w:rsidRPr="006C4917">
        <w:rPr>
          <w:rFonts w:ascii="Century" w:hAnsi="Century"/>
          <w:sz w:val="22"/>
          <w:rtl/>
        </w:rPr>
        <w:t xml:space="preserve"> </w:t>
      </w:r>
      <w:r w:rsidRPr="006C4917">
        <w:rPr>
          <w:rFonts w:ascii="Century" w:hAnsi="Century" w:hint="eastAsia"/>
          <w:sz w:val="22"/>
          <w:rtl/>
        </w:rPr>
        <w:t>למפלגה</w:t>
      </w:r>
      <w:r w:rsidRPr="006C4917">
        <w:rPr>
          <w:rFonts w:ascii="Century" w:hAnsi="Century"/>
          <w:sz w:val="22"/>
          <w:rtl/>
        </w:rPr>
        <w:t xml:space="preserve"> </w:t>
      </w:r>
      <w:r w:rsidRPr="006C4917">
        <w:rPr>
          <w:rFonts w:ascii="Century" w:hAnsi="Century" w:hint="eastAsia"/>
          <w:sz w:val="22"/>
          <w:rtl/>
        </w:rPr>
        <w:t>לנאמנות</w:t>
      </w:r>
      <w:r w:rsidRPr="006C4917">
        <w:rPr>
          <w:rFonts w:ascii="Century" w:hAnsi="Century"/>
          <w:sz w:val="22"/>
          <w:rtl/>
        </w:rPr>
        <w:t xml:space="preserve"> </w:t>
      </w:r>
      <w:r w:rsidRPr="006C4917">
        <w:rPr>
          <w:rFonts w:ascii="Century" w:hAnsi="Century" w:hint="eastAsia"/>
          <w:sz w:val="22"/>
          <w:rtl/>
        </w:rPr>
        <w:t>לציבור</w:t>
      </w:r>
      <w:r w:rsidRPr="006C4917">
        <w:rPr>
          <w:rFonts w:ascii="Century" w:hAnsi="Century"/>
          <w:sz w:val="22"/>
          <w:rtl/>
        </w:rPr>
        <w:t xml:space="preserve">?" </w:t>
      </w:r>
      <w:r w:rsidRPr="006C4917">
        <w:rPr>
          <w:rFonts w:ascii="Century" w:hAnsi="Century" w:cs="Miriam" w:hint="eastAsia"/>
          <w:b/>
          <w:spacing w:val="0"/>
          <w:sz w:val="22"/>
          <w:szCs w:val="24"/>
          <w:rtl/>
        </w:rPr>
        <w:t>ניגוד</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עניינים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במרחב</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הציבורי</w:t>
      </w:r>
      <w:r w:rsidRPr="006C4917">
        <w:rPr>
          <w:rFonts w:ascii="Century" w:hAnsi="Century" w:cs="Miriam"/>
          <w:b/>
          <w:spacing w:val="0"/>
          <w:sz w:val="22"/>
          <w:szCs w:val="24"/>
          <w:rtl/>
        </w:rPr>
        <w:t xml:space="preserve"> – </w:t>
      </w:r>
      <w:r w:rsidRPr="006C4917">
        <w:rPr>
          <w:rFonts w:ascii="Century" w:hAnsi="Century" w:cs="Miriam" w:hint="eastAsia"/>
          <w:b/>
          <w:spacing w:val="0"/>
          <w:sz w:val="22"/>
          <w:szCs w:val="24"/>
          <w:rtl/>
        </w:rPr>
        <w:t>משפט</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תרבות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אתיקה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פוליטיקה</w:t>
      </w:r>
      <w:r w:rsidRPr="006C4917">
        <w:rPr>
          <w:rFonts w:ascii="Century" w:hAnsi="Century"/>
          <w:sz w:val="22"/>
          <w:rtl/>
        </w:rPr>
        <w:t xml:space="preserve"> 389 (</w:t>
      </w:r>
      <w:r w:rsidRPr="006C4917">
        <w:rPr>
          <w:rFonts w:ascii="Century" w:hAnsi="Century" w:hint="eastAsia"/>
          <w:sz w:val="22"/>
          <w:rtl/>
        </w:rPr>
        <w:t>דפנה</w:t>
      </w:r>
      <w:r w:rsidRPr="006C4917">
        <w:rPr>
          <w:rFonts w:ascii="Century" w:hAnsi="Century"/>
          <w:sz w:val="22"/>
          <w:rtl/>
        </w:rPr>
        <w:t xml:space="preserve"> </w:t>
      </w:r>
      <w:r w:rsidRPr="006C4917">
        <w:rPr>
          <w:rFonts w:ascii="Century" w:hAnsi="Century" w:hint="eastAsia"/>
          <w:sz w:val="22"/>
          <w:rtl/>
        </w:rPr>
        <w:t>ברק</w:t>
      </w:r>
      <w:r w:rsidRPr="006C4917">
        <w:rPr>
          <w:rFonts w:ascii="Century" w:hAnsi="Century"/>
          <w:sz w:val="22"/>
          <w:rtl/>
        </w:rPr>
        <w:t>-</w:t>
      </w:r>
      <w:r w:rsidRPr="006C4917">
        <w:rPr>
          <w:rFonts w:ascii="Century" w:hAnsi="Century" w:hint="eastAsia"/>
          <w:sz w:val="22"/>
          <w:rtl/>
        </w:rPr>
        <w:t>ארז</w:t>
      </w:r>
      <w:r w:rsidRPr="006C4917">
        <w:rPr>
          <w:rFonts w:ascii="Century" w:hAnsi="Century"/>
          <w:sz w:val="22"/>
          <w:rtl/>
        </w:rPr>
        <w:t xml:space="preserve"> </w:t>
      </w:r>
      <w:r w:rsidRPr="006C4917">
        <w:rPr>
          <w:rFonts w:ascii="Century" w:hAnsi="Century" w:hint="eastAsia"/>
          <w:sz w:val="22"/>
          <w:rtl/>
        </w:rPr>
        <w:t>ואח</w:t>
      </w:r>
      <w:r w:rsidRPr="006C4917">
        <w:rPr>
          <w:rFonts w:ascii="Century" w:hAnsi="Century"/>
          <w:sz w:val="22"/>
          <w:rtl/>
        </w:rPr>
        <w:t xml:space="preserve">' </w:t>
      </w:r>
      <w:r w:rsidRPr="006C4917">
        <w:rPr>
          <w:rFonts w:ascii="Century" w:hAnsi="Century" w:hint="eastAsia"/>
          <w:sz w:val="22"/>
          <w:rtl/>
        </w:rPr>
        <w:t>עורכים</w:t>
      </w:r>
      <w:r w:rsidRPr="006C4917">
        <w:rPr>
          <w:rFonts w:ascii="Century" w:hAnsi="Century" w:hint="cs"/>
          <w:sz w:val="22"/>
          <w:rtl/>
        </w:rPr>
        <w:t>,</w:t>
      </w:r>
      <w:r w:rsidRPr="006C4917">
        <w:rPr>
          <w:rFonts w:ascii="Century" w:hAnsi="Century"/>
          <w:sz w:val="22"/>
          <w:rtl/>
        </w:rPr>
        <w:t xml:space="preserve"> 2009)</w:t>
      </w:r>
      <w:r w:rsidRPr="006C4917">
        <w:rPr>
          <w:rtl/>
        </w:rPr>
        <w:t xml:space="preserve">. </w:t>
      </w:r>
      <w:r w:rsidRPr="006C4917">
        <w:rPr>
          <w:rFonts w:hint="eastAsia"/>
          <w:rtl/>
        </w:rPr>
        <w:t>והשוו</w:t>
      </w:r>
      <w:r w:rsidRPr="006C4917">
        <w:rPr>
          <w:rtl/>
        </w:rPr>
        <w:t xml:space="preserve">: </w:t>
      </w:r>
      <w:r w:rsidRPr="006C4917">
        <w:rPr>
          <w:rFonts w:asciiTheme="majorBidi" w:hAnsiTheme="majorBidi" w:cstheme="majorBidi"/>
        </w:rPr>
        <w:t>Robert G. Natelson,</w:t>
      </w:r>
      <w:r w:rsidRPr="006C4917">
        <w:rPr>
          <w:rFonts w:asciiTheme="majorBidi" w:hAnsiTheme="majorBidi" w:cstheme="majorBidi"/>
          <w:i/>
          <w:iCs/>
        </w:rPr>
        <w:t xml:space="preserve"> The Constitution and the Public Trust</w:t>
      </w:r>
      <w:r w:rsidRPr="006C4917">
        <w:rPr>
          <w:rFonts w:asciiTheme="majorBidi" w:hAnsiTheme="majorBidi" w:cstheme="majorBidi"/>
        </w:rPr>
        <w:t xml:space="preserve">, 52 </w:t>
      </w:r>
      <w:r w:rsidRPr="006C4917">
        <w:rPr>
          <w:rFonts w:asciiTheme="majorBidi" w:hAnsiTheme="majorBidi" w:cstheme="majorBidi"/>
          <w:smallCaps/>
        </w:rPr>
        <w:t>Buff. L. Rev.</w:t>
      </w:r>
      <w:r w:rsidRPr="006C4917">
        <w:rPr>
          <w:rFonts w:asciiTheme="majorBidi" w:hAnsiTheme="majorBidi" w:cstheme="majorBidi"/>
        </w:rPr>
        <w:t xml:space="preserve"> 1077, 1148-1156 (2004); D. Theodore Rave, </w:t>
      </w:r>
      <w:r w:rsidRPr="006C4917">
        <w:rPr>
          <w:rFonts w:asciiTheme="majorBidi" w:hAnsiTheme="majorBidi" w:cstheme="majorBidi"/>
          <w:i/>
          <w:iCs/>
        </w:rPr>
        <w:t>Politicians as Fiduciaries</w:t>
      </w:r>
      <w:r w:rsidRPr="006C4917">
        <w:rPr>
          <w:rFonts w:asciiTheme="majorBidi" w:hAnsiTheme="majorBidi" w:cstheme="majorBidi"/>
        </w:rPr>
        <w:t xml:space="preserve">, 126 </w:t>
      </w:r>
      <w:r w:rsidRPr="006C4917">
        <w:rPr>
          <w:rFonts w:asciiTheme="majorBidi" w:hAnsiTheme="majorBidi" w:cstheme="majorBidi"/>
          <w:smallCaps/>
        </w:rPr>
        <w:t>Harv. L. Rev</w:t>
      </w:r>
      <w:r w:rsidRPr="006C4917">
        <w:rPr>
          <w:rFonts w:asciiTheme="majorBidi" w:hAnsiTheme="majorBidi" w:cstheme="majorBidi"/>
        </w:rPr>
        <w:t xml:space="preserve">. 671, 708-713 (2013); </w:t>
      </w:r>
      <w:r w:rsidRPr="006C4917">
        <w:rPr>
          <w:rFonts w:asciiTheme="majorBidi" w:hAnsiTheme="majorBidi" w:cstheme="majorBidi"/>
          <w:smallCaps/>
        </w:rPr>
        <w:t>Fiduciary Government</w:t>
      </w:r>
      <w:r w:rsidRPr="006C4917">
        <w:rPr>
          <w:rFonts w:asciiTheme="majorBidi" w:hAnsiTheme="majorBidi" w:cstheme="majorBidi"/>
        </w:rPr>
        <w:t xml:space="preserve"> (Evan J. Criddle </w:t>
      </w:r>
      <w:r w:rsidRPr="006C4917">
        <w:rPr>
          <w:rFonts w:asciiTheme="majorBidi" w:hAnsiTheme="majorBidi" w:cstheme="majorBidi"/>
        </w:rPr>
        <w:lastRenderedPageBreak/>
        <w:t>et al. eds., 2018)</w:t>
      </w:r>
      <w:r w:rsidRPr="006C4917">
        <w:rPr>
          <w:rFonts w:hint="cs"/>
          <w:rtl/>
        </w:rPr>
        <w:t>)</w:t>
      </w:r>
      <w:r w:rsidRPr="006C4917">
        <w:rPr>
          <w:rtl/>
        </w:rPr>
        <w:t xml:space="preserve">. </w:t>
      </w:r>
      <w:r w:rsidRPr="006C4917">
        <w:rPr>
          <w:rFonts w:hint="eastAsia"/>
          <w:rtl/>
        </w:rPr>
        <w:t>די</w:t>
      </w:r>
      <w:r w:rsidRPr="006C4917">
        <w:rPr>
          <w:rtl/>
        </w:rPr>
        <w:t xml:space="preserve"> </w:t>
      </w:r>
      <w:r w:rsidRPr="006C4917">
        <w:rPr>
          <w:rFonts w:hint="eastAsia"/>
          <w:rtl/>
        </w:rPr>
        <w:t>לענייננו</w:t>
      </w:r>
      <w:r w:rsidRPr="006C4917">
        <w:rPr>
          <w:rtl/>
        </w:rPr>
        <w:t xml:space="preserve"> </w:t>
      </w:r>
      <w:r w:rsidRPr="006C4917">
        <w:rPr>
          <w:rFonts w:hint="eastAsia"/>
          <w:rtl/>
        </w:rPr>
        <w:t>לציין</w:t>
      </w:r>
      <w:r w:rsidRPr="006C4917">
        <w:rPr>
          <w:rFonts w:hint="cs"/>
          <w:rtl/>
        </w:rPr>
        <w:t xml:space="preserve"> כי חברי הכנסת, כשלוחי העם, אינם רשאים לעשות שימוש בסמכויות המופקדות בידיהם כשליחי הציבור שלא לתכליות לשמן הופקדו בידיהם. ודוק, לחברי הכנסת שיקול דעת רחב מאד ביחס לתכליות שברצונם לקדם, והאופן בו יביאו להפעלת סמכויות הכנסת על מנת לקדמן. ואולם, שיקול דעת זה אינו בלתי מוגבל. כך, למשל, אין הם רשאים להשתמש בסמכויות החקיקה הנתונות בידיהם לצורך קידום מטרות פרטיות שלהם או של קרוביהם (והשוו לפרשת חבר הכנסת חיים כץ, במסגרתה נחקרה האפשרות להפרת חובת האמונים לצורך קידום אינטרסים כלכליים של קבוצה הקשורה בו. יצוין כי הסדר הטיעון באותו עניין היה מקל, לאחר שהיועץ המשפטי לממשלה שוכנע כי הבעיה הייתה במישור הפרת חובת הגילוי, ולא במישור הפעולה בניגוד עניינים. ראו בג</w:t>
      </w:r>
      <w:r w:rsidRPr="006C4917">
        <w:rPr>
          <w:rtl/>
        </w:rPr>
        <w:t>"</w:t>
      </w:r>
      <w:r w:rsidRPr="006C4917">
        <w:rPr>
          <w:rFonts w:hint="cs"/>
          <w:rtl/>
        </w:rPr>
        <w:t xml:space="preserve">ץ 8311/21 </w:t>
      </w:r>
      <w:r w:rsidRPr="006C4917">
        <w:rPr>
          <w:rFonts w:ascii="Century" w:hAnsi="Century" w:cs="Miriam" w:hint="cs"/>
          <w:b/>
          <w:spacing w:val="0"/>
          <w:szCs w:val="24"/>
          <w:rtl/>
        </w:rPr>
        <w:t>משמר הדמוקרטיה הישראלית נ' היועץ המשפטי לממשלה</w:t>
      </w:r>
      <w:r w:rsidRPr="006C4917">
        <w:rPr>
          <w:rFonts w:hint="cs"/>
          <w:rtl/>
        </w:rPr>
        <w:t xml:space="preserve"> (26.12.2021)). חובות אמון ציבוריות אלה חלות גם, ואפילו ביתר שאת, כאשר הכנסת מפעילה את סמכויותיה כרשות המכוננת. חברי הכנסת, בכובעם כצירים בגוף המכונן, בוודאי שאינם רשאים לפעול למען אינטרסים אישיים צרים שלהם, אלא נדרשים לאמץ לעצמם "חשיבה חוקתית" רחבה. לפיכך, חקיקת חוקי יסוד שכל תכליתם קידום עניינים פרטניים אד-הוק, ולא הסדרה כללית וקבועה, חורגת במקרה הרגיל מחובת האמון הציבורי המוטלת על חברי הכנסת, ודינה להתבטל.</w:t>
      </w:r>
    </w:p>
    <w:p w:rsidR="003D7BFC" w:rsidRPr="006C4917" w:rsidRDefault="003D7BFC" w:rsidP="003D7BFC">
      <w:pPr>
        <w:pStyle w:val="Ruller41"/>
      </w:pPr>
    </w:p>
    <w:p w:rsidR="003D7BFC" w:rsidRPr="006C4917" w:rsidRDefault="003D7BFC" w:rsidP="003D7BFC">
      <w:pPr>
        <w:pStyle w:val="Ruller4"/>
      </w:pPr>
      <w:r w:rsidRPr="006C4917">
        <w:rPr>
          <w:rFonts w:hint="cs"/>
          <w:rtl/>
        </w:rPr>
        <w:t>ואכן, המגבלה הראשונה שהוכרה בפסיקה על סמכותה של הכנסת בכובעה המכונן, היא האיסור על שימוש לרעה בסמכות זו, על דרך של הכללת הסדרים שמקומם לא יכירם בחוקי יסוד (הסדרים זמניים; פרטניים; או שאינם מתאימים מסיבה אחרת למארג החוקתי). ויובהר, דרך הילוכה של הפסיקה הייתה שלא לבחון במישרין את מניעיהם הפרטיים של חברי הכנסת, ועל כן נקבע, כהלכה, כי "</w:t>
      </w:r>
      <w:r w:rsidRPr="006C4917">
        <w:rPr>
          <w:rFonts w:ascii="Century" w:hAnsi="Century" w:cs="Miriam"/>
          <w:b/>
          <w:spacing w:val="0"/>
          <w:szCs w:val="24"/>
          <w:shd w:val="clear" w:color="auto" w:fill="FFFFFF"/>
          <w:rtl/>
        </w:rPr>
        <w:t xml:space="preserve">המניעים לחקיקת חוק </w:t>
      </w:r>
      <w:r w:rsidRPr="006C4917">
        <w:rPr>
          <w:rFonts w:ascii="Century" w:hAnsi="Century" w:cs="Miriam" w:hint="cs"/>
          <w:b/>
          <w:spacing w:val="0"/>
          <w:szCs w:val="24"/>
          <w:shd w:val="clear" w:color="auto" w:fill="FFFFFF"/>
          <w:rtl/>
        </w:rPr>
        <w:t xml:space="preserve">יסוד, </w:t>
      </w:r>
      <w:r w:rsidRPr="006C4917">
        <w:rPr>
          <w:rFonts w:ascii="Century" w:hAnsi="Century" w:cs="Miriam" w:hint="eastAsia"/>
          <w:bCs/>
          <w:spacing w:val="0"/>
          <w:szCs w:val="24"/>
          <w:shd w:val="clear" w:color="auto" w:fill="FFFFFF"/>
          <w:rtl/>
        </w:rPr>
        <w:t>כשלעצמם</w:t>
      </w:r>
      <w:r w:rsidRPr="006C4917">
        <w:rPr>
          <w:rFonts w:ascii="Century" w:hAnsi="Century" w:cs="Miriam" w:hint="cs"/>
          <w:b/>
          <w:spacing w:val="0"/>
          <w:szCs w:val="24"/>
          <w:shd w:val="clear" w:color="auto" w:fill="FFFFFF"/>
          <w:rtl/>
        </w:rPr>
        <w:t xml:space="preserve">, </w:t>
      </w:r>
      <w:r w:rsidRPr="006C4917">
        <w:rPr>
          <w:rFonts w:ascii="Century" w:hAnsi="Century" w:cs="Miriam"/>
          <w:b/>
          <w:spacing w:val="0"/>
          <w:szCs w:val="24"/>
          <w:shd w:val="clear" w:color="auto" w:fill="FFFFFF"/>
          <w:rtl/>
        </w:rPr>
        <w:t xml:space="preserve">אינם מהווים עילה </w:t>
      </w:r>
      <w:r w:rsidRPr="00FD28A5">
        <w:rPr>
          <w:rFonts w:ascii="Century" w:hAnsi="Century" w:cs="Miriam"/>
          <w:b/>
          <w:spacing w:val="0"/>
          <w:sz w:val="22"/>
          <w:szCs w:val="24"/>
          <w:shd w:val="clear" w:color="auto" w:fill="FFFFFF"/>
          <w:rtl/>
        </w:rPr>
        <w:t>לביקורת שיפוטית על</w:t>
      </w:r>
      <w:r w:rsidRPr="00FD28A5">
        <w:rPr>
          <w:rFonts w:ascii="Century" w:hAnsi="Century" w:cs="Miriam"/>
          <w:b/>
          <w:spacing w:val="0"/>
          <w:szCs w:val="24"/>
          <w:shd w:val="clear" w:color="auto" w:fill="FFFFFF"/>
          <w:rtl/>
        </w:rPr>
        <w:t xml:space="preserve"> </w:t>
      </w:r>
      <w:r w:rsidRPr="006C4917">
        <w:rPr>
          <w:rFonts w:ascii="Century" w:hAnsi="Century" w:cs="Miriam"/>
          <w:b/>
          <w:spacing w:val="0"/>
          <w:szCs w:val="24"/>
          <w:shd w:val="clear" w:color="auto" w:fill="FFFFFF"/>
          <w:rtl/>
        </w:rPr>
        <w:t>חוקי יסוד</w:t>
      </w:r>
      <w:r w:rsidRPr="006C4917">
        <w:rPr>
          <w:rFonts w:ascii="FrankRuehl" w:hAnsi="FrankRuehl" w:hint="cs"/>
          <w:color w:val="000000"/>
          <w:sz w:val="28"/>
          <w:shd w:val="clear" w:color="auto" w:fill="FFFFFF"/>
          <w:rtl/>
        </w:rPr>
        <w:t xml:space="preserve">" (דברי הנשיאה </w:t>
      </w:r>
      <w:r w:rsidRPr="006C4917">
        <w:rPr>
          <w:rFonts w:ascii="Century" w:hAnsi="Century" w:cs="Miriam" w:hint="cs"/>
          <w:b/>
          <w:spacing w:val="0"/>
          <w:szCs w:val="24"/>
          <w:shd w:val="clear" w:color="auto" w:fill="FFFFFF"/>
          <w:rtl/>
        </w:rPr>
        <w:t>חיות</w:t>
      </w:r>
      <w:r w:rsidRPr="006C4917">
        <w:rPr>
          <w:rFonts w:ascii="FrankRuehl" w:hAnsi="FrankRuehl" w:hint="cs"/>
          <w:color w:val="000000"/>
          <w:sz w:val="28"/>
          <w:shd w:val="clear" w:color="auto" w:fill="FFFFFF"/>
          <w:rtl/>
        </w:rPr>
        <w:t xml:space="preserve"> </w:t>
      </w:r>
      <w:r w:rsidRPr="006C4917">
        <w:rPr>
          <w:rFonts w:hint="cs"/>
          <w:rtl/>
        </w:rPr>
        <w:t>בבג</w:t>
      </w:r>
      <w:r w:rsidRPr="006C4917">
        <w:rPr>
          <w:rtl/>
        </w:rPr>
        <w:t>"</w:t>
      </w:r>
      <w:r w:rsidRPr="006C4917">
        <w:rPr>
          <w:rFonts w:hint="cs"/>
          <w:rtl/>
        </w:rPr>
        <w:t xml:space="preserve">ץ 2905/20 </w:t>
      </w:r>
      <w:r w:rsidRPr="006C4917">
        <w:rPr>
          <w:rFonts w:ascii="Century" w:hAnsi="Century" w:cs="Miriam"/>
          <w:b/>
          <w:spacing w:val="0"/>
          <w:szCs w:val="24"/>
          <w:shd w:val="clear" w:color="auto" w:fill="FFFFFF"/>
          <w:rtl/>
        </w:rPr>
        <w:t>התנועה למען איכות השלטון בישראל נ' כנסת ישראל</w:t>
      </w:r>
      <w:r w:rsidRPr="006C4917">
        <w:rPr>
          <w:rFonts w:hint="cs"/>
          <w:rtl/>
        </w:rPr>
        <w:t xml:space="preserve">, פסקה 17 והאסמכתאות הנזכרות שם (12.7.2021); </w:t>
      </w:r>
      <w:r w:rsidRPr="006C4917">
        <w:rPr>
          <w:rFonts w:ascii="FrankRuehl" w:hAnsi="FrankRuehl" w:hint="cs"/>
          <w:color w:val="000000"/>
          <w:sz w:val="28"/>
          <w:shd w:val="clear" w:color="auto" w:fill="FFFFFF"/>
          <w:rtl/>
        </w:rPr>
        <w:t>ההדגשה במקור</w:t>
      </w:r>
      <w:r w:rsidRPr="006C4917">
        <w:rPr>
          <w:rFonts w:hint="cs"/>
          <w:rtl/>
        </w:rPr>
        <w:t>). ואולם, כאשר התכלית הסובייקטיבית של השימוש בסמכות המכוננת, דהיינו אותם מטרות וערכים שהכנסת ביקשה לקדם באמצעות כינון חוק היסוד או תיקונו, חורגת מהתכליות שלשמן הוקנתה הסמכות המכוננת לכנסת מלכתחילה, וזאת על פי קריטריונים חיצוניים, כגון כשהשימוש בסמכות המכוננת נועדה לקדם תכלית פרסונלית (ולא כללית), להסדיר עניין בעל אופי זמני (להבדיל מקבוע), קבע בית משפט זה כי מדובר לכאורה בשימוש לרעה בסמכות המכוננת (</w:t>
      </w:r>
      <w:r w:rsidRPr="006C4917">
        <w:rPr>
          <w:rFonts w:ascii="FrankRuehl" w:hAnsi="FrankRuehl"/>
          <w:sz w:val="28"/>
          <w:rtl/>
        </w:rPr>
        <w:t xml:space="preserve">להרחבה </w:t>
      </w:r>
      <w:r w:rsidRPr="006C4917">
        <w:rPr>
          <w:rFonts w:ascii="FrankRuehl" w:hAnsi="FrankRuehl" w:hint="cs"/>
          <w:sz w:val="28"/>
          <w:rtl/>
        </w:rPr>
        <w:t xml:space="preserve">ראו פסקאות </w:t>
      </w:r>
      <w:r w:rsidRPr="006C4917">
        <w:rPr>
          <w:rFonts w:ascii="FrankRuehl" w:hAnsi="FrankRuehl"/>
          <w:sz w:val="28"/>
        </w:rPr>
        <w:t>59-56</w:t>
      </w:r>
      <w:r w:rsidRPr="006C4917">
        <w:rPr>
          <w:rFonts w:ascii="FrankRuehl" w:hAnsi="FrankRuehl" w:hint="cs"/>
          <w:sz w:val="28"/>
          <w:rtl/>
        </w:rPr>
        <w:t xml:space="preserve"> לחוות דעתה של הנשיאה (בדימ') </w:t>
      </w:r>
      <w:r w:rsidRPr="006C4917">
        <w:rPr>
          <w:rFonts w:ascii="Century" w:hAnsi="Century" w:cs="Miriam" w:hint="cs"/>
          <w:b/>
          <w:spacing w:val="0"/>
          <w:sz w:val="22"/>
          <w:szCs w:val="24"/>
          <w:rtl/>
        </w:rPr>
        <w:t>חיות</w:t>
      </w:r>
      <w:r w:rsidRPr="006C4917">
        <w:rPr>
          <w:rFonts w:ascii="FrankRuehl" w:hAnsi="FrankRuehl" w:hint="cs"/>
          <w:sz w:val="28"/>
          <w:rtl/>
        </w:rPr>
        <w:t xml:space="preserve">. כן </w:t>
      </w:r>
      <w:r w:rsidRPr="006C4917">
        <w:rPr>
          <w:rFonts w:ascii="FrankRuehl" w:hAnsi="FrankRuehl"/>
          <w:sz w:val="28"/>
          <w:rtl/>
        </w:rPr>
        <w:t xml:space="preserve">ראו </w:t>
      </w:r>
      <w:r w:rsidRPr="006C4917">
        <w:rPr>
          <w:rFonts w:ascii="FrankRuehl" w:hAnsi="FrankRuehl" w:hint="cs"/>
          <w:sz w:val="28"/>
          <w:rtl/>
        </w:rPr>
        <w:t xml:space="preserve">עניין </w:t>
      </w:r>
      <w:r w:rsidRPr="006C4917">
        <w:rPr>
          <w:rFonts w:ascii="Century" w:hAnsi="Century" w:cs="Miriam" w:hint="cs"/>
          <w:b/>
          <w:spacing w:val="0"/>
          <w:sz w:val="22"/>
          <w:szCs w:val="24"/>
          <w:rtl/>
        </w:rPr>
        <w:t>שפיר</w:t>
      </w:r>
      <w:r w:rsidRPr="006C4917">
        <w:rPr>
          <w:rFonts w:ascii="FrankRuehl" w:hAnsi="FrankRuehl" w:hint="cs"/>
          <w:sz w:val="28"/>
          <w:rtl/>
        </w:rPr>
        <w:t>,</w:t>
      </w:r>
      <w:r w:rsidRPr="006C4917">
        <w:rPr>
          <w:rFonts w:hint="cs"/>
          <w:rtl/>
        </w:rPr>
        <w:t xml:space="preserve"> פסקאות 42-38 לחוות דעתה של הנשיאה </w:t>
      </w:r>
      <w:r w:rsidRPr="006C4917">
        <w:rPr>
          <w:rFonts w:ascii="Century" w:hAnsi="Century" w:cs="Miriam" w:hint="cs"/>
          <w:b/>
          <w:spacing w:val="0"/>
          <w:sz w:val="22"/>
          <w:szCs w:val="24"/>
          <w:rtl/>
        </w:rPr>
        <w:t>חיות</w:t>
      </w:r>
      <w:r w:rsidRPr="006C4917">
        <w:rPr>
          <w:rFonts w:hint="cs"/>
          <w:rtl/>
        </w:rPr>
        <w:t xml:space="preserve">). כמובהר, מבחינה מושגית, המדובר במקרים בהם קיים חשש כי חברי הכנסת מפרים את האמון הציבורי שניתן בהם, </w:t>
      </w:r>
      <w:r w:rsidRPr="006C4917">
        <w:rPr>
          <w:rFonts w:hint="cs"/>
          <w:rtl/>
        </w:rPr>
        <w:lastRenderedPageBreak/>
        <w:t xml:space="preserve">ועושים בסמכות המכוננת שימוש לצרכים זרים. אכן, כפי שציינתי בעניין </w:t>
      </w:r>
      <w:r w:rsidRPr="006C4917">
        <w:rPr>
          <w:rFonts w:ascii="Century" w:hAnsi="Century" w:cs="Miriam" w:hint="cs"/>
          <w:b/>
          <w:spacing w:val="0"/>
          <w:szCs w:val="24"/>
          <w:rtl/>
        </w:rPr>
        <w:t>שיינפלד</w:t>
      </w:r>
      <w:r w:rsidRPr="006C4917">
        <w:rPr>
          <w:rFonts w:hint="cs"/>
          <w:rtl/>
        </w:rPr>
        <w:t>: "</w:t>
      </w:r>
      <w:r w:rsidRPr="006C4917">
        <w:rPr>
          <w:rFonts w:ascii="Century" w:hAnsi="Century" w:cs="Miriam" w:hint="eastAsia"/>
          <w:b/>
          <w:spacing w:val="0"/>
          <w:szCs w:val="24"/>
          <w:rtl/>
        </w:rPr>
        <w:t>שימוש</w:t>
      </w:r>
      <w:r w:rsidRPr="006C4917">
        <w:rPr>
          <w:rFonts w:ascii="Century" w:hAnsi="Century" w:cs="Miriam"/>
          <w:b/>
          <w:spacing w:val="0"/>
          <w:szCs w:val="24"/>
          <w:rtl/>
        </w:rPr>
        <w:t xml:space="preserve"> </w:t>
      </w:r>
      <w:r w:rsidRPr="006C4917">
        <w:rPr>
          <w:rFonts w:ascii="Century" w:hAnsi="Century" w:cs="Miriam" w:hint="eastAsia"/>
          <w:b/>
          <w:spacing w:val="0"/>
          <w:szCs w:val="24"/>
          <w:rtl/>
        </w:rPr>
        <w:t>לרעה</w:t>
      </w:r>
      <w:r w:rsidRPr="006C4917">
        <w:rPr>
          <w:rFonts w:ascii="Century" w:hAnsi="Century" w:cs="Miriam"/>
          <w:b/>
          <w:spacing w:val="0"/>
          <w:szCs w:val="24"/>
          <w:rtl/>
        </w:rPr>
        <w:t xml:space="preserve"> </w:t>
      </w:r>
      <w:r w:rsidRPr="006C4917">
        <w:rPr>
          <w:rFonts w:ascii="Century" w:hAnsi="Century" w:cs="Miriam" w:hint="eastAsia"/>
          <w:b/>
          <w:spacing w:val="0"/>
          <w:szCs w:val="24"/>
          <w:rtl/>
        </w:rPr>
        <w:t>בסמכות</w:t>
      </w:r>
      <w:r w:rsidRPr="006C4917">
        <w:rPr>
          <w:rFonts w:ascii="Century" w:hAnsi="Century" w:cs="Miriam"/>
          <w:b/>
          <w:spacing w:val="0"/>
          <w:szCs w:val="24"/>
          <w:rtl/>
        </w:rPr>
        <w:t xml:space="preserve"> (</w:t>
      </w:r>
      <w:r w:rsidRPr="006C4917">
        <w:rPr>
          <w:rFonts w:asciiTheme="majorBidi" w:hAnsiTheme="majorBidi"/>
          <w:b/>
          <w:spacing w:val="0"/>
        </w:rPr>
        <w:t>Abuse of Authority</w:t>
      </w:r>
      <w:r w:rsidRPr="006C4917">
        <w:rPr>
          <w:rFonts w:ascii="Century" w:hAnsi="Century" w:cs="Miriam"/>
          <w:b/>
          <w:spacing w:val="0"/>
          <w:szCs w:val="24"/>
          <w:rtl/>
        </w:rPr>
        <w:t xml:space="preserve">) </w:t>
      </w:r>
      <w:r w:rsidRPr="006C4917">
        <w:rPr>
          <w:rFonts w:ascii="Century" w:hAnsi="Century" w:cs="Miriam" w:hint="eastAsia"/>
          <w:b/>
          <w:spacing w:val="0"/>
          <w:szCs w:val="24"/>
          <w:rtl/>
        </w:rPr>
        <w:t>הוא</w:t>
      </w:r>
      <w:r w:rsidRPr="006C4917">
        <w:rPr>
          <w:rFonts w:ascii="Century" w:hAnsi="Century" w:cs="Miriam"/>
          <w:b/>
          <w:spacing w:val="0"/>
          <w:szCs w:val="24"/>
          <w:rtl/>
        </w:rPr>
        <w:t xml:space="preserve">, </w:t>
      </w:r>
      <w:r w:rsidRPr="006C4917">
        <w:rPr>
          <w:rFonts w:ascii="Century" w:hAnsi="Century" w:cs="Miriam" w:hint="eastAsia"/>
          <w:b/>
          <w:spacing w:val="0"/>
          <w:szCs w:val="24"/>
          <w:rtl/>
        </w:rPr>
        <w:t>בראש</w:t>
      </w:r>
      <w:r w:rsidRPr="006C4917">
        <w:rPr>
          <w:rFonts w:ascii="Century" w:hAnsi="Century" w:cs="Miriam"/>
          <w:b/>
          <w:spacing w:val="0"/>
          <w:szCs w:val="24"/>
          <w:rtl/>
        </w:rPr>
        <w:t xml:space="preserve"> </w:t>
      </w:r>
      <w:r w:rsidRPr="006C4917">
        <w:rPr>
          <w:rFonts w:ascii="Century" w:hAnsi="Century" w:cs="Miriam" w:hint="eastAsia"/>
          <w:b/>
          <w:spacing w:val="0"/>
          <w:szCs w:val="24"/>
          <w:rtl/>
        </w:rPr>
        <w:t>ובראשונה</w:t>
      </w:r>
      <w:r w:rsidRPr="006C4917">
        <w:rPr>
          <w:rFonts w:ascii="Century" w:hAnsi="Century" w:cs="Miriam"/>
          <w:b/>
          <w:spacing w:val="0"/>
          <w:szCs w:val="24"/>
          <w:rtl/>
        </w:rPr>
        <w:t xml:space="preserve">, </w:t>
      </w:r>
      <w:r w:rsidRPr="006C4917">
        <w:rPr>
          <w:rFonts w:ascii="Century" w:hAnsi="Century" w:cs="Miriam" w:hint="eastAsia"/>
          <w:b/>
          <w:spacing w:val="0"/>
          <w:szCs w:val="24"/>
          <w:rtl/>
        </w:rPr>
        <w:t>שימוש</w:t>
      </w:r>
      <w:r w:rsidRPr="006C4917">
        <w:rPr>
          <w:rFonts w:ascii="Century" w:hAnsi="Century" w:cs="Miriam"/>
          <w:b/>
          <w:spacing w:val="0"/>
          <w:szCs w:val="24"/>
          <w:rtl/>
        </w:rPr>
        <w:t xml:space="preserve"> </w:t>
      </w:r>
      <w:r w:rsidRPr="006C4917">
        <w:rPr>
          <w:rFonts w:ascii="Century" w:hAnsi="Century" w:cs="Miriam" w:hint="eastAsia"/>
          <w:b/>
          <w:spacing w:val="0"/>
          <w:szCs w:val="24"/>
          <w:rtl/>
        </w:rPr>
        <w:t>למטרה</w:t>
      </w:r>
      <w:r w:rsidRPr="006C4917">
        <w:rPr>
          <w:rFonts w:ascii="Century" w:hAnsi="Century" w:cs="Miriam"/>
          <w:b/>
          <w:spacing w:val="0"/>
          <w:szCs w:val="24"/>
          <w:rtl/>
        </w:rPr>
        <w:t xml:space="preserve"> </w:t>
      </w:r>
      <w:r w:rsidRPr="006C4917">
        <w:rPr>
          <w:rFonts w:ascii="Century" w:hAnsi="Century" w:cs="Miriam" w:hint="eastAsia"/>
          <w:b/>
          <w:spacing w:val="0"/>
          <w:szCs w:val="24"/>
          <w:rtl/>
        </w:rPr>
        <w:t>זרה</w:t>
      </w:r>
      <w:r w:rsidRPr="006C4917">
        <w:rPr>
          <w:rFonts w:ascii="Century" w:hAnsi="Century" w:cs="Miriam"/>
          <w:b/>
          <w:spacing w:val="0"/>
          <w:szCs w:val="24"/>
          <w:rtl/>
        </w:rPr>
        <w:t xml:space="preserve"> </w:t>
      </w:r>
      <w:r w:rsidRPr="006C4917">
        <w:rPr>
          <w:rFonts w:ascii="Century" w:hAnsi="Century" w:cs="Miriam" w:hint="eastAsia"/>
          <w:b/>
          <w:spacing w:val="0"/>
          <w:szCs w:val="24"/>
          <w:rtl/>
        </w:rPr>
        <w:t>החורגת</w:t>
      </w:r>
      <w:r w:rsidRPr="006C4917">
        <w:rPr>
          <w:rFonts w:ascii="Century" w:hAnsi="Century" w:cs="Miriam"/>
          <w:b/>
          <w:spacing w:val="0"/>
          <w:szCs w:val="24"/>
          <w:rtl/>
        </w:rPr>
        <w:t xml:space="preserve"> </w:t>
      </w:r>
      <w:r w:rsidRPr="006C4917">
        <w:rPr>
          <w:rFonts w:ascii="Century" w:hAnsi="Century" w:cs="Miriam" w:hint="eastAsia"/>
          <w:b/>
          <w:spacing w:val="0"/>
          <w:szCs w:val="24"/>
          <w:rtl/>
        </w:rPr>
        <w:t>מגדר</w:t>
      </w:r>
      <w:r w:rsidRPr="006C4917">
        <w:rPr>
          <w:rFonts w:ascii="Century" w:hAnsi="Century" w:cs="Miriam"/>
          <w:b/>
          <w:spacing w:val="0"/>
          <w:szCs w:val="24"/>
          <w:rtl/>
        </w:rPr>
        <w:t xml:space="preserve"> </w:t>
      </w:r>
      <w:r w:rsidRPr="006C4917">
        <w:rPr>
          <w:rFonts w:ascii="Century" w:hAnsi="Century" w:cs="Miriam" w:hint="eastAsia"/>
          <w:b/>
          <w:spacing w:val="0"/>
          <w:szCs w:val="24"/>
          <w:rtl/>
        </w:rPr>
        <w:t>המטרות</w:t>
      </w:r>
      <w:r w:rsidRPr="006C4917">
        <w:rPr>
          <w:rFonts w:ascii="Century" w:hAnsi="Century" w:cs="Miriam"/>
          <w:b/>
          <w:spacing w:val="0"/>
          <w:szCs w:val="24"/>
          <w:rtl/>
        </w:rPr>
        <w:t xml:space="preserve"> </w:t>
      </w:r>
      <w:r w:rsidRPr="006C4917">
        <w:rPr>
          <w:rFonts w:ascii="Century" w:hAnsi="Century" w:cs="Miriam" w:hint="eastAsia"/>
          <w:b/>
          <w:spacing w:val="0"/>
          <w:szCs w:val="24"/>
          <w:rtl/>
        </w:rPr>
        <w:t>שלשמן</w:t>
      </w:r>
      <w:r w:rsidRPr="006C4917">
        <w:rPr>
          <w:rFonts w:ascii="Century" w:hAnsi="Century" w:cs="Miriam"/>
          <w:b/>
          <w:spacing w:val="0"/>
          <w:szCs w:val="24"/>
          <w:rtl/>
        </w:rPr>
        <w:t xml:space="preserve"> </w:t>
      </w:r>
      <w:r w:rsidRPr="006C4917">
        <w:rPr>
          <w:rFonts w:ascii="Century" w:hAnsi="Century" w:cs="Miriam" w:hint="eastAsia"/>
          <w:b/>
          <w:spacing w:val="0"/>
          <w:szCs w:val="24"/>
          <w:rtl/>
        </w:rPr>
        <w:t>הוקנתה</w:t>
      </w:r>
      <w:r w:rsidRPr="006C4917">
        <w:rPr>
          <w:rFonts w:ascii="Century" w:hAnsi="Century" w:cs="Miriam"/>
          <w:b/>
          <w:spacing w:val="0"/>
          <w:szCs w:val="24"/>
          <w:rtl/>
        </w:rPr>
        <w:t xml:space="preserve"> </w:t>
      </w:r>
      <w:r w:rsidRPr="006C4917">
        <w:rPr>
          <w:rFonts w:ascii="Century" w:hAnsi="Century" w:cs="Miriam" w:hint="eastAsia"/>
          <w:b/>
          <w:spacing w:val="0"/>
          <w:szCs w:val="24"/>
          <w:rtl/>
        </w:rPr>
        <w:t>הסמכות</w:t>
      </w:r>
      <w:r w:rsidRPr="006C4917">
        <w:rPr>
          <w:rFonts w:ascii="Century" w:hAnsi="Century" w:hint="cs"/>
          <w:rtl/>
        </w:rPr>
        <w:t xml:space="preserve"> [האסמכתאות הושמטו]. </w:t>
      </w:r>
      <w:r w:rsidRPr="006C4917">
        <w:rPr>
          <w:rFonts w:ascii="Century" w:hAnsi="Century" w:cs="Miriam" w:hint="eastAsia"/>
          <w:b/>
          <w:spacing w:val="0"/>
          <w:szCs w:val="24"/>
          <w:rtl/>
        </w:rPr>
        <w:t>כך</w:t>
      </w:r>
      <w:r w:rsidRPr="006C4917">
        <w:rPr>
          <w:rFonts w:ascii="Century" w:hAnsi="Century" w:cs="Miriam"/>
          <w:b/>
          <w:spacing w:val="0"/>
          <w:szCs w:val="24"/>
          <w:rtl/>
        </w:rPr>
        <w:t xml:space="preserve"> </w:t>
      </w:r>
      <w:r w:rsidRPr="006C4917">
        <w:rPr>
          <w:rFonts w:ascii="Century" w:hAnsi="Century" w:cs="Miriam" w:hint="eastAsia"/>
          <w:b/>
          <w:spacing w:val="0"/>
          <w:szCs w:val="24"/>
          <w:rtl/>
        </w:rPr>
        <w:t>ביחס</w:t>
      </w:r>
      <w:r w:rsidRPr="006C4917">
        <w:rPr>
          <w:rFonts w:ascii="Century" w:hAnsi="Century" w:cs="Miriam"/>
          <w:b/>
          <w:spacing w:val="0"/>
          <w:szCs w:val="24"/>
          <w:rtl/>
        </w:rPr>
        <w:t xml:space="preserve"> </w:t>
      </w:r>
      <w:r w:rsidRPr="006C4917">
        <w:rPr>
          <w:rFonts w:ascii="Century" w:hAnsi="Century" w:cs="Miriam" w:hint="eastAsia"/>
          <w:b/>
          <w:spacing w:val="0"/>
          <w:szCs w:val="24"/>
          <w:rtl/>
        </w:rPr>
        <w:t>לכל</w:t>
      </w:r>
      <w:r w:rsidRPr="006C4917">
        <w:rPr>
          <w:rFonts w:ascii="Century" w:hAnsi="Century" w:cs="Miriam"/>
          <w:b/>
          <w:spacing w:val="0"/>
          <w:szCs w:val="24"/>
          <w:rtl/>
        </w:rPr>
        <w:t xml:space="preserve"> </w:t>
      </w:r>
      <w:r w:rsidRPr="006C4917">
        <w:rPr>
          <w:rFonts w:ascii="Century" w:hAnsi="Century" w:cs="Miriam" w:hint="eastAsia"/>
          <w:b/>
          <w:spacing w:val="0"/>
          <w:szCs w:val="24"/>
          <w:rtl/>
        </w:rPr>
        <w:t>סמכות</w:t>
      </w:r>
      <w:r w:rsidRPr="006C4917">
        <w:rPr>
          <w:rFonts w:ascii="Century" w:hAnsi="Century" w:cs="Miriam"/>
          <w:b/>
          <w:spacing w:val="0"/>
          <w:szCs w:val="24"/>
          <w:rtl/>
        </w:rPr>
        <w:t xml:space="preserve"> </w:t>
      </w:r>
      <w:r w:rsidRPr="006C4917">
        <w:rPr>
          <w:rFonts w:ascii="Century" w:hAnsi="Century" w:cs="Miriam" w:hint="eastAsia"/>
          <w:b/>
          <w:spacing w:val="0"/>
          <w:szCs w:val="24"/>
          <w:rtl/>
        </w:rPr>
        <w:t>הנתונה</w:t>
      </w:r>
      <w:r w:rsidRPr="006C4917">
        <w:rPr>
          <w:rFonts w:ascii="Century" w:hAnsi="Century" w:cs="Miriam"/>
          <w:b/>
          <w:spacing w:val="0"/>
          <w:szCs w:val="24"/>
          <w:rtl/>
        </w:rPr>
        <w:t xml:space="preserve"> </w:t>
      </w:r>
      <w:r w:rsidRPr="006C4917">
        <w:rPr>
          <w:rFonts w:ascii="Century" w:hAnsi="Century" w:cs="Miriam" w:hint="eastAsia"/>
          <w:b/>
          <w:spacing w:val="0"/>
          <w:szCs w:val="24"/>
          <w:rtl/>
        </w:rPr>
        <w:t>לגוף</w:t>
      </w:r>
      <w:r w:rsidRPr="006C4917">
        <w:rPr>
          <w:rFonts w:ascii="Century" w:hAnsi="Century" w:cs="Miriam"/>
          <w:b/>
          <w:spacing w:val="0"/>
          <w:szCs w:val="24"/>
          <w:rtl/>
        </w:rPr>
        <w:t xml:space="preserve"> </w:t>
      </w:r>
      <w:r w:rsidRPr="006C4917">
        <w:rPr>
          <w:rFonts w:ascii="Century" w:hAnsi="Century" w:cs="Miriam" w:hint="eastAsia"/>
          <w:b/>
          <w:spacing w:val="0"/>
          <w:szCs w:val="24"/>
          <w:rtl/>
        </w:rPr>
        <w:t>שלטוני</w:t>
      </w:r>
      <w:r w:rsidRPr="006C4917">
        <w:rPr>
          <w:rFonts w:ascii="Century" w:hAnsi="Century" w:cs="Miriam"/>
          <w:b/>
          <w:spacing w:val="0"/>
          <w:szCs w:val="24"/>
          <w:rtl/>
        </w:rPr>
        <w:t xml:space="preserve">, </w:t>
      </w:r>
      <w:r w:rsidRPr="006C4917">
        <w:rPr>
          <w:rFonts w:ascii="Century" w:hAnsi="Century" w:cs="Miriam" w:hint="eastAsia"/>
          <w:b/>
          <w:spacing w:val="0"/>
          <w:szCs w:val="24"/>
          <w:rtl/>
        </w:rPr>
        <w:t>ובכלל</w:t>
      </w:r>
      <w:r w:rsidRPr="006C4917">
        <w:rPr>
          <w:rFonts w:ascii="Century" w:hAnsi="Century" w:cs="Miriam"/>
          <w:b/>
          <w:spacing w:val="0"/>
          <w:szCs w:val="24"/>
          <w:rtl/>
        </w:rPr>
        <w:t xml:space="preserve"> </w:t>
      </w:r>
      <w:r w:rsidRPr="006C4917">
        <w:rPr>
          <w:rFonts w:ascii="Century" w:hAnsi="Century" w:cs="Miriam" w:hint="eastAsia"/>
          <w:b/>
          <w:spacing w:val="0"/>
          <w:szCs w:val="24"/>
          <w:rtl/>
        </w:rPr>
        <w:t>זה</w:t>
      </w:r>
      <w:r w:rsidRPr="006C4917">
        <w:rPr>
          <w:rFonts w:ascii="Century" w:hAnsi="Century" w:cs="Miriam"/>
          <w:b/>
          <w:spacing w:val="0"/>
          <w:szCs w:val="24"/>
          <w:rtl/>
        </w:rPr>
        <w:t xml:space="preserve">, </w:t>
      </w:r>
      <w:r w:rsidRPr="006C4917">
        <w:rPr>
          <w:rFonts w:ascii="Century" w:hAnsi="Century" w:cs="Miriam" w:hint="eastAsia"/>
          <w:b/>
          <w:spacing w:val="0"/>
          <w:szCs w:val="24"/>
          <w:rtl/>
        </w:rPr>
        <w:t>לכאורה</w:t>
      </w:r>
      <w:r w:rsidRPr="006C4917">
        <w:rPr>
          <w:rFonts w:ascii="Century" w:hAnsi="Century" w:cs="Miriam"/>
          <w:b/>
          <w:spacing w:val="0"/>
          <w:szCs w:val="24"/>
          <w:rtl/>
        </w:rPr>
        <w:t xml:space="preserve">, </w:t>
      </w:r>
      <w:r w:rsidRPr="006C4917">
        <w:rPr>
          <w:rFonts w:ascii="Century" w:hAnsi="Century" w:cs="Miriam" w:hint="eastAsia"/>
          <w:b/>
          <w:spacing w:val="0"/>
          <w:szCs w:val="24"/>
          <w:rtl/>
        </w:rPr>
        <w:t>גם</w:t>
      </w:r>
      <w:r w:rsidRPr="006C4917">
        <w:rPr>
          <w:rFonts w:ascii="Century" w:hAnsi="Century" w:cs="Miriam"/>
          <w:b/>
          <w:spacing w:val="0"/>
          <w:szCs w:val="24"/>
          <w:rtl/>
        </w:rPr>
        <w:t xml:space="preserve"> </w:t>
      </w:r>
      <w:r w:rsidRPr="006C4917">
        <w:rPr>
          <w:rFonts w:ascii="Century" w:hAnsi="Century" w:cs="Miriam" w:hint="eastAsia"/>
          <w:b/>
          <w:spacing w:val="0"/>
          <w:szCs w:val="24"/>
          <w:rtl/>
        </w:rPr>
        <w:t>הסמכויות</w:t>
      </w:r>
      <w:r w:rsidRPr="006C4917">
        <w:rPr>
          <w:rFonts w:ascii="Century" w:hAnsi="Century" w:cs="Miriam"/>
          <w:b/>
          <w:spacing w:val="0"/>
          <w:szCs w:val="24"/>
          <w:rtl/>
        </w:rPr>
        <w:t xml:space="preserve"> </w:t>
      </w:r>
      <w:r w:rsidRPr="006C4917">
        <w:rPr>
          <w:rFonts w:ascii="Century" w:hAnsi="Century" w:cs="Miriam" w:hint="eastAsia"/>
          <w:b/>
          <w:spacing w:val="0"/>
          <w:szCs w:val="24"/>
          <w:rtl/>
        </w:rPr>
        <w:t>השונות</w:t>
      </w:r>
      <w:r w:rsidRPr="006C4917">
        <w:rPr>
          <w:rFonts w:ascii="Century" w:hAnsi="Century" w:cs="Miriam"/>
          <w:b/>
          <w:spacing w:val="0"/>
          <w:szCs w:val="24"/>
          <w:rtl/>
        </w:rPr>
        <w:t xml:space="preserve"> </w:t>
      </w:r>
      <w:r w:rsidRPr="006C4917">
        <w:rPr>
          <w:rFonts w:ascii="Century" w:hAnsi="Century" w:cs="Miriam" w:hint="eastAsia"/>
          <w:b/>
          <w:spacing w:val="0"/>
          <w:szCs w:val="24"/>
          <w:rtl/>
        </w:rPr>
        <w:t>הנתונות</w:t>
      </w:r>
      <w:r w:rsidRPr="006C4917">
        <w:rPr>
          <w:rFonts w:ascii="Century" w:hAnsi="Century" w:cs="Miriam"/>
          <w:b/>
          <w:spacing w:val="0"/>
          <w:szCs w:val="24"/>
          <w:rtl/>
        </w:rPr>
        <w:t xml:space="preserve"> </w:t>
      </w:r>
      <w:r w:rsidRPr="006C4917">
        <w:rPr>
          <w:rFonts w:ascii="Century" w:hAnsi="Century" w:cs="Miriam" w:hint="eastAsia"/>
          <w:b/>
          <w:spacing w:val="0"/>
          <w:szCs w:val="24"/>
          <w:rtl/>
        </w:rPr>
        <w:t>לכנסת</w:t>
      </w:r>
      <w:r w:rsidRPr="006C4917">
        <w:rPr>
          <w:rFonts w:ascii="Century" w:hAnsi="Century" w:cs="Miriam"/>
          <w:b/>
          <w:spacing w:val="0"/>
          <w:szCs w:val="24"/>
          <w:rtl/>
        </w:rPr>
        <w:t xml:space="preserve"> </w:t>
      </w:r>
      <w:r w:rsidRPr="006C4917">
        <w:rPr>
          <w:rFonts w:ascii="Century" w:hAnsi="Century" w:cs="Miriam" w:hint="eastAsia"/>
          <w:b/>
          <w:spacing w:val="0"/>
          <w:szCs w:val="24"/>
          <w:rtl/>
        </w:rPr>
        <w:t>בכובעיה</w:t>
      </w:r>
      <w:r w:rsidRPr="006C4917">
        <w:rPr>
          <w:rFonts w:ascii="Century" w:hAnsi="Century" w:cs="Miriam"/>
          <w:b/>
          <w:spacing w:val="0"/>
          <w:szCs w:val="24"/>
          <w:rtl/>
        </w:rPr>
        <w:t xml:space="preserve"> </w:t>
      </w:r>
      <w:r w:rsidRPr="006C4917">
        <w:rPr>
          <w:rFonts w:ascii="Century" w:hAnsi="Century" w:cs="Miriam" w:hint="eastAsia"/>
          <w:b/>
          <w:spacing w:val="0"/>
          <w:szCs w:val="24"/>
          <w:rtl/>
        </w:rPr>
        <w:t>השונים</w:t>
      </w:r>
      <w:r w:rsidRPr="006C4917">
        <w:rPr>
          <w:rFonts w:ascii="Century" w:hAnsi="Century" w:hint="cs"/>
          <w:rtl/>
        </w:rPr>
        <w:t>"</w:t>
      </w:r>
      <w:r w:rsidRPr="006C4917">
        <w:rPr>
          <w:rFonts w:hint="cs"/>
          <w:rtl/>
        </w:rPr>
        <w:t xml:space="preserve"> (פסקה 4 לחוות דעתי).</w:t>
      </w:r>
    </w:p>
    <w:p w:rsidR="003D7BFC" w:rsidRPr="006C4917" w:rsidRDefault="003D7BFC" w:rsidP="003D7BFC">
      <w:pPr>
        <w:pStyle w:val="Ruller41"/>
      </w:pPr>
    </w:p>
    <w:p w:rsidR="003D7BFC" w:rsidRPr="006C4917" w:rsidRDefault="003D7BFC" w:rsidP="003D7BFC">
      <w:pPr>
        <w:pStyle w:val="Ruller4"/>
        <w:rPr>
          <w:rFonts w:ascii="Century" w:hAnsi="Century" w:cs="Miriam"/>
          <w:b/>
          <w:spacing w:val="0"/>
          <w:szCs w:val="24"/>
        </w:rPr>
      </w:pPr>
      <w:r w:rsidRPr="006C4917">
        <w:rPr>
          <w:rFonts w:hint="cs"/>
          <w:rtl/>
        </w:rPr>
        <w:t xml:space="preserve">ויודגש, לראייתי הדוקטרינה בדבר שימוש לרעה בסמכות אינה בוחנת אם מבחינת תוכנה ראויה ההוראה להיכלל בחוקה, אלא האם השימוש בסמכות המכוננת נעשה לשם הגשמת תכלית ראויה </w:t>
      </w:r>
      <w:r w:rsidRPr="006C4917">
        <w:rPr>
          <w:rtl/>
        </w:rPr>
        <w:t>–</w:t>
      </w:r>
      <w:r w:rsidRPr="006C4917">
        <w:rPr>
          <w:rFonts w:hint="cs"/>
          <w:rtl/>
        </w:rPr>
        <w:t xml:space="preserve"> דהיינו אחת מהתכליות שלשמן הוקנתה לכנסת הסמכות המכוננת. על כן קביעת הוראת חוק יסוד שתוכנה ראוי שיהווה חלק מהחוקה העתידית של מדינת ישראל, עדיין עלולה להיות בגדר שימוש לרעה בסמכות, למשל, אם התכלית להכללתה היא פרסונלית, ולא כללית, וזאת ללא צידוק מספיק (שאלה אחרת היא מה השלכת נתון זה במישור הסעד. עניין זה חורג מהדיון הנוכחי). כך נטיתי לראות את תיקון חוק היסוד שנדון בעניין </w:t>
      </w:r>
      <w:r w:rsidRPr="006C4917">
        <w:rPr>
          <w:rFonts w:ascii="Century" w:hAnsi="Century" w:cs="Miriam" w:hint="cs"/>
          <w:b/>
          <w:spacing w:val="0"/>
          <w:szCs w:val="24"/>
          <w:rtl/>
        </w:rPr>
        <w:t>שיינפלד</w:t>
      </w:r>
      <w:r w:rsidRPr="006C4917">
        <w:rPr>
          <w:rFonts w:hint="cs"/>
          <w:rtl/>
        </w:rPr>
        <w:t xml:space="preserve"> (וראו המשך פסקה 4 לחוות דעתי באותו עניין: "</w:t>
      </w:r>
      <w:r w:rsidRPr="006C4917">
        <w:rPr>
          <w:rFonts w:ascii="Century" w:hAnsi="Century" w:cs="Miriam" w:hint="eastAsia"/>
          <w:b/>
          <w:spacing w:val="0"/>
          <w:szCs w:val="24"/>
          <w:rtl/>
        </w:rPr>
        <w:t>בענייננו</w:t>
      </w:r>
      <w:r w:rsidRPr="006C4917">
        <w:rPr>
          <w:rFonts w:ascii="Century" w:hAnsi="Century" w:cs="Miriam"/>
          <w:b/>
          <w:spacing w:val="0"/>
          <w:szCs w:val="24"/>
          <w:rtl/>
        </w:rPr>
        <w:t xml:space="preserve">, </w:t>
      </w:r>
      <w:r w:rsidRPr="006C4917">
        <w:rPr>
          <w:rFonts w:ascii="Century" w:hAnsi="Century" w:cs="Miriam" w:hint="eastAsia"/>
          <w:b/>
          <w:spacing w:val="0"/>
          <w:szCs w:val="24"/>
          <w:rtl/>
        </w:rPr>
        <w:t>קיים</w:t>
      </w:r>
      <w:r w:rsidRPr="006C4917">
        <w:rPr>
          <w:rFonts w:ascii="Century" w:hAnsi="Century" w:cs="Miriam"/>
          <w:b/>
          <w:spacing w:val="0"/>
          <w:szCs w:val="24"/>
          <w:rtl/>
        </w:rPr>
        <w:t xml:space="preserve"> </w:t>
      </w:r>
      <w:r w:rsidRPr="006C4917">
        <w:rPr>
          <w:rFonts w:ascii="Century" w:hAnsi="Century" w:cs="Miriam" w:hint="eastAsia"/>
          <w:b/>
          <w:spacing w:val="0"/>
          <w:szCs w:val="24"/>
          <w:rtl/>
        </w:rPr>
        <w:t>חשש</w:t>
      </w:r>
      <w:r w:rsidRPr="006C4917">
        <w:rPr>
          <w:rFonts w:ascii="Century" w:hAnsi="Century" w:cs="Miriam"/>
          <w:b/>
          <w:spacing w:val="0"/>
          <w:szCs w:val="24"/>
          <w:rtl/>
        </w:rPr>
        <w:t xml:space="preserve"> </w:t>
      </w:r>
      <w:r w:rsidRPr="006C4917">
        <w:rPr>
          <w:rFonts w:ascii="Century" w:hAnsi="Century" w:cs="Miriam" w:hint="eastAsia"/>
          <w:b/>
          <w:spacing w:val="0"/>
          <w:szCs w:val="24"/>
          <w:rtl/>
        </w:rPr>
        <w:t>כבד</w:t>
      </w:r>
      <w:r w:rsidRPr="006C4917">
        <w:rPr>
          <w:rFonts w:ascii="Century" w:hAnsi="Century" w:cs="Miriam"/>
          <w:b/>
          <w:spacing w:val="0"/>
          <w:szCs w:val="24"/>
          <w:rtl/>
        </w:rPr>
        <w:t xml:space="preserve">, </w:t>
      </w:r>
      <w:r w:rsidRPr="006C4917">
        <w:rPr>
          <w:rFonts w:ascii="Century" w:hAnsi="Century" w:cs="Miriam" w:hint="eastAsia"/>
          <w:b/>
          <w:spacing w:val="0"/>
          <w:szCs w:val="24"/>
          <w:rtl/>
        </w:rPr>
        <w:t>ולמעשה</w:t>
      </w:r>
      <w:r w:rsidRPr="006C4917">
        <w:rPr>
          <w:rFonts w:ascii="Century" w:hAnsi="Century" w:cs="Miriam"/>
          <w:b/>
          <w:spacing w:val="0"/>
          <w:szCs w:val="24"/>
          <w:rtl/>
        </w:rPr>
        <w:t xml:space="preserve"> </w:t>
      </w:r>
      <w:r w:rsidRPr="006C4917">
        <w:rPr>
          <w:rFonts w:ascii="Century" w:hAnsi="Century" w:cs="Miriam" w:hint="eastAsia"/>
          <w:b/>
          <w:spacing w:val="0"/>
          <w:szCs w:val="24"/>
          <w:rtl/>
        </w:rPr>
        <w:t>אף</w:t>
      </w:r>
      <w:r w:rsidRPr="006C4917">
        <w:rPr>
          <w:rFonts w:ascii="Century" w:hAnsi="Century" w:cs="Miriam"/>
          <w:b/>
          <w:spacing w:val="0"/>
          <w:szCs w:val="24"/>
          <w:rtl/>
        </w:rPr>
        <w:t xml:space="preserve"> </w:t>
      </w:r>
      <w:r w:rsidRPr="006C4917">
        <w:rPr>
          <w:rFonts w:ascii="Century" w:hAnsi="Century" w:cs="Miriam" w:hint="eastAsia"/>
          <w:b/>
          <w:spacing w:val="0"/>
          <w:szCs w:val="24"/>
          <w:rtl/>
        </w:rPr>
        <w:t>מעבר</w:t>
      </w:r>
      <w:r w:rsidRPr="006C4917">
        <w:rPr>
          <w:rFonts w:ascii="Century" w:hAnsi="Century" w:cs="Miriam"/>
          <w:b/>
          <w:spacing w:val="0"/>
          <w:szCs w:val="24"/>
          <w:rtl/>
        </w:rPr>
        <w:t xml:space="preserve"> </w:t>
      </w:r>
      <w:r w:rsidRPr="006C4917">
        <w:rPr>
          <w:rFonts w:ascii="Century" w:hAnsi="Century" w:cs="Miriam" w:hint="eastAsia"/>
          <w:b/>
          <w:spacing w:val="0"/>
          <w:szCs w:val="24"/>
          <w:rtl/>
        </w:rPr>
        <w:t>לכך</w:t>
      </w:r>
      <w:r w:rsidRPr="006C4917">
        <w:rPr>
          <w:rFonts w:ascii="Century" w:hAnsi="Century" w:cs="Miriam"/>
          <w:b/>
          <w:spacing w:val="0"/>
          <w:szCs w:val="24"/>
          <w:rtl/>
        </w:rPr>
        <w:t xml:space="preserve">, </w:t>
      </w:r>
      <w:r w:rsidRPr="006C4917">
        <w:rPr>
          <w:rFonts w:ascii="Century" w:hAnsi="Century" w:cs="Miriam" w:hint="eastAsia"/>
          <w:b/>
          <w:spacing w:val="0"/>
          <w:szCs w:val="24"/>
          <w:rtl/>
        </w:rPr>
        <w:t>כי</w:t>
      </w:r>
      <w:r w:rsidRPr="006C4917">
        <w:rPr>
          <w:rFonts w:ascii="Century" w:hAnsi="Century" w:cs="Miriam"/>
          <w:b/>
          <w:spacing w:val="0"/>
          <w:szCs w:val="24"/>
          <w:rtl/>
        </w:rPr>
        <w:t xml:space="preserve"> </w:t>
      </w:r>
      <w:r w:rsidRPr="006C4917">
        <w:rPr>
          <w:rFonts w:ascii="Century" w:hAnsi="Century" w:cs="Miriam" w:hint="eastAsia"/>
          <w:b/>
          <w:spacing w:val="0"/>
          <w:szCs w:val="24"/>
          <w:rtl/>
        </w:rPr>
        <w:t>השימוש</w:t>
      </w:r>
      <w:r w:rsidRPr="006C4917">
        <w:rPr>
          <w:rFonts w:ascii="Century" w:hAnsi="Century" w:cs="Miriam"/>
          <w:b/>
          <w:spacing w:val="0"/>
          <w:szCs w:val="24"/>
          <w:rtl/>
        </w:rPr>
        <w:t xml:space="preserve"> </w:t>
      </w:r>
      <w:r w:rsidRPr="006C4917">
        <w:rPr>
          <w:rFonts w:ascii="Century" w:hAnsi="Century" w:cs="Miriam" w:hint="eastAsia"/>
          <w:b/>
          <w:spacing w:val="0"/>
          <w:szCs w:val="24"/>
          <w:rtl/>
        </w:rPr>
        <w:t>בסמכות</w:t>
      </w:r>
      <w:r w:rsidRPr="006C4917">
        <w:rPr>
          <w:rFonts w:ascii="Century" w:hAnsi="Century" w:cs="Miriam"/>
          <w:b/>
          <w:spacing w:val="0"/>
          <w:szCs w:val="24"/>
          <w:rtl/>
        </w:rPr>
        <w:t xml:space="preserve"> </w:t>
      </w:r>
      <w:r w:rsidRPr="006C4917">
        <w:rPr>
          <w:rFonts w:ascii="Century" w:hAnsi="Century" w:cs="Miriam" w:hint="eastAsia"/>
          <w:b/>
          <w:spacing w:val="0"/>
          <w:szCs w:val="24"/>
          <w:rtl/>
        </w:rPr>
        <w:t>המכוננת</w:t>
      </w:r>
      <w:r w:rsidRPr="006C4917">
        <w:rPr>
          <w:rFonts w:ascii="Century" w:hAnsi="Century" w:cs="Miriam"/>
          <w:b/>
          <w:spacing w:val="0"/>
          <w:szCs w:val="24"/>
          <w:rtl/>
        </w:rPr>
        <w:t xml:space="preserve"> </w:t>
      </w:r>
      <w:r w:rsidRPr="006C4917">
        <w:rPr>
          <w:rFonts w:ascii="Century" w:hAnsi="Century" w:cs="Miriam" w:hint="eastAsia"/>
          <w:b/>
          <w:spacing w:val="0"/>
          <w:szCs w:val="24"/>
          <w:rtl/>
        </w:rPr>
        <w:t>המגולם</w:t>
      </w:r>
      <w:r w:rsidRPr="006C4917">
        <w:rPr>
          <w:rFonts w:ascii="Century" w:hAnsi="Century" w:cs="Miriam"/>
          <w:b/>
          <w:spacing w:val="0"/>
          <w:szCs w:val="24"/>
          <w:rtl/>
        </w:rPr>
        <w:t xml:space="preserve"> </w:t>
      </w:r>
      <w:r w:rsidRPr="006C4917">
        <w:rPr>
          <w:rFonts w:ascii="Century" w:hAnsi="Century" w:cs="Miriam" w:hint="eastAsia"/>
          <w:b/>
          <w:spacing w:val="0"/>
          <w:szCs w:val="24"/>
          <w:rtl/>
        </w:rPr>
        <w:t>בתיקון</w:t>
      </w:r>
      <w:r w:rsidRPr="006C4917">
        <w:rPr>
          <w:rFonts w:ascii="Century" w:hAnsi="Century" w:cs="Miriam"/>
          <w:b/>
          <w:spacing w:val="0"/>
          <w:szCs w:val="24"/>
          <w:rtl/>
        </w:rPr>
        <w:t xml:space="preserve"> </w:t>
      </w:r>
      <w:r w:rsidRPr="006C4917">
        <w:rPr>
          <w:rFonts w:ascii="Century" w:hAnsi="Century" w:cs="Miriam" w:hint="eastAsia"/>
          <w:b/>
          <w:spacing w:val="0"/>
          <w:szCs w:val="24"/>
          <w:rtl/>
        </w:rPr>
        <w:t>חוק</w:t>
      </w:r>
      <w:r w:rsidRPr="006C4917">
        <w:rPr>
          <w:rFonts w:ascii="Century" w:hAnsi="Century" w:cs="Miriam"/>
          <w:b/>
          <w:spacing w:val="0"/>
          <w:szCs w:val="24"/>
          <w:rtl/>
        </w:rPr>
        <w:t xml:space="preserve"> </w:t>
      </w:r>
      <w:r w:rsidRPr="006C4917">
        <w:rPr>
          <w:rFonts w:ascii="Century" w:hAnsi="Century" w:cs="Miriam" w:hint="eastAsia"/>
          <w:b/>
          <w:spacing w:val="0"/>
          <w:szCs w:val="24"/>
          <w:rtl/>
        </w:rPr>
        <w:t>היסוד</w:t>
      </w:r>
      <w:r w:rsidRPr="006C4917">
        <w:rPr>
          <w:rFonts w:ascii="Century" w:hAnsi="Century" w:cs="Miriam"/>
          <w:b/>
          <w:spacing w:val="0"/>
          <w:szCs w:val="24"/>
          <w:rtl/>
        </w:rPr>
        <w:t xml:space="preserve">, </w:t>
      </w:r>
      <w:r w:rsidRPr="006C4917">
        <w:rPr>
          <w:rFonts w:ascii="Century" w:hAnsi="Century" w:cs="Miriam" w:hint="eastAsia"/>
          <w:b/>
          <w:spacing w:val="0"/>
          <w:szCs w:val="24"/>
          <w:rtl/>
        </w:rPr>
        <w:t>ובפרט</w:t>
      </w:r>
      <w:r w:rsidRPr="006C4917">
        <w:rPr>
          <w:rFonts w:ascii="Century" w:hAnsi="Century" w:cs="Miriam"/>
          <w:b/>
          <w:spacing w:val="0"/>
          <w:szCs w:val="24"/>
          <w:rtl/>
        </w:rPr>
        <w:t xml:space="preserve"> </w:t>
      </w:r>
      <w:r w:rsidRPr="006C4917">
        <w:rPr>
          <w:rFonts w:ascii="Century" w:hAnsi="Century" w:cs="Miriam" w:hint="eastAsia"/>
          <w:b/>
          <w:spacing w:val="0"/>
          <w:szCs w:val="24"/>
          <w:rtl/>
        </w:rPr>
        <w:t>הוראת</w:t>
      </w:r>
      <w:r w:rsidRPr="006C4917">
        <w:rPr>
          <w:rFonts w:ascii="Century" w:hAnsi="Century" w:cs="Miriam"/>
          <w:b/>
          <w:spacing w:val="0"/>
          <w:szCs w:val="24"/>
          <w:rtl/>
        </w:rPr>
        <w:t xml:space="preserve"> </w:t>
      </w:r>
      <w:r w:rsidRPr="006C4917">
        <w:rPr>
          <w:rFonts w:ascii="Century" w:hAnsi="Century" w:cs="Miriam" w:hint="eastAsia"/>
          <w:b/>
          <w:spacing w:val="0"/>
          <w:szCs w:val="24"/>
          <w:rtl/>
        </w:rPr>
        <w:t>התחילה</w:t>
      </w:r>
      <w:r w:rsidRPr="006C4917">
        <w:rPr>
          <w:rFonts w:ascii="Century" w:hAnsi="Century" w:cs="Miriam"/>
          <w:b/>
          <w:spacing w:val="0"/>
          <w:szCs w:val="24"/>
          <w:rtl/>
        </w:rPr>
        <w:t xml:space="preserve"> </w:t>
      </w:r>
      <w:r w:rsidRPr="006C4917">
        <w:rPr>
          <w:rFonts w:ascii="Century" w:hAnsi="Century" w:cs="Miriam" w:hint="eastAsia"/>
          <w:b/>
          <w:spacing w:val="0"/>
          <w:szCs w:val="24"/>
          <w:rtl/>
        </w:rPr>
        <w:t>שלו</w:t>
      </w:r>
      <w:r w:rsidRPr="006C4917">
        <w:rPr>
          <w:rFonts w:ascii="Century" w:hAnsi="Century" w:cs="Miriam"/>
          <w:b/>
          <w:spacing w:val="0"/>
          <w:szCs w:val="24"/>
          <w:rtl/>
        </w:rPr>
        <w:t xml:space="preserve">, </w:t>
      </w:r>
      <w:r w:rsidRPr="006C4917">
        <w:rPr>
          <w:rFonts w:ascii="Century" w:hAnsi="Century" w:cs="Miriam" w:hint="eastAsia"/>
          <w:b/>
          <w:spacing w:val="0"/>
          <w:szCs w:val="24"/>
          <w:rtl/>
        </w:rPr>
        <w:t>לא</w:t>
      </w:r>
      <w:r w:rsidRPr="006C4917">
        <w:rPr>
          <w:rFonts w:ascii="Century" w:hAnsi="Century" w:cs="Miriam"/>
          <w:b/>
          <w:spacing w:val="0"/>
          <w:szCs w:val="24"/>
          <w:rtl/>
        </w:rPr>
        <w:t xml:space="preserve"> </w:t>
      </w:r>
      <w:r w:rsidRPr="006C4917">
        <w:rPr>
          <w:rFonts w:ascii="Century" w:hAnsi="Century" w:cs="Miriam" w:hint="eastAsia"/>
          <w:b/>
          <w:spacing w:val="0"/>
          <w:szCs w:val="24"/>
          <w:rtl/>
        </w:rPr>
        <w:t>נעשה</w:t>
      </w:r>
      <w:r w:rsidRPr="006C4917">
        <w:rPr>
          <w:rFonts w:ascii="Century" w:hAnsi="Century" w:cs="Miriam"/>
          <w:b/>
          <w:spacing w:val="0"/>
          <w:szCs w:val="24"/>
          <w:rtl/>
        </w:rPr>
        <w:t xml:space="preserve"> </w:t>
      </w:r>
      <w:r w:rsidRPr="006C4917">
        <w:rPr>
          <w:rFonts w:ascii="Century" w:hAnsi="Century" w:cs="Miriam" w:hint="eastAsia"/>
          <w:b/>
          <w:spacing w:val="0"/>
          <w:szCs w:val="24"/>
          <w:rtl/>
        </w:rPr>
        <w:t>לשם</w:t>
      </w:r>
      <w:r w:rsidRPr="006C4917">
        <w:rPr>
          <w:rFonts w:ascii="Century" w:hAnsi="Century" w:cs="Miriam"/>
          <w:b/>
          <w:spacing w:val="0"/>
          <w:szCs w:val="24"/>
          <w:rtl/>
        </w:rPr>
        <w:t xml:space="preserve"> </w:t>
      </w:r>
      <w:r w:rsidRPr="006C4917">
        <w:rPr>
          <w:rFonts w:ascii="Century" w:hAnsi="Century" w:cs="Miriam" w:hint="eastAsia"/>
          <w:b/>
          <w:spacing w:val="0"/>
          <w:szCs w:val="24"/>
          <w:rtl/>
        </w:rPr>
        <w:t>השגת</w:t>
      </w:r>
      <w:r w:rsidRPr="006C4917">
        <w:rPr>
          <w:rFonts w:ascii="Century" w:hAnsi="Century" w:cs="Miriam"/>
          <w:b/>
          <w:spacing w:val="0"/>
          <w:szCs w:val="24"/>
          <w:rtl/>
        </w:rPr>
        <w:t xml:space="preserve"> </w:t>
      </w:r>
      <w:r w:rsidRPr="006C4917">
        <w:rPr>
          <w:rFonts w:ascii="Century" w:hAnsi="Century" w:cs="Miriam" w:hint="eastAsia"/>
          <w:b/>
          <w:spacing w:val="0"/>
          <w:szCs w:val="24"/>
          <w:rtl/>
        </w:rPr>
        <w:t>מבנה</w:t>
      </w:r>
      <w:r w:rsidRPr="006C4917">
        <w:rPr>
          <w:rFonts w:ascii="Century" w:hAnsi="Century" w:cs="Miriam"/>
          <w:b/>
          <w:spacing w:val="0"/>
          <w:szCs w:val="24"/>
          <w:rtl/>
        </w:rPr>
        <w:t xml:space="preserve"> </w:t>
      </w:r>
      <w:r w:rsidRPr="006C4917">
        <w:rPr>
          <w:rFonts w:ascii="Century" w:hAnsi="Century" w:cs="Miriam" w:hint="eastAsia"/>
          <w:b/>
          <w:spacing w:val="0"/>
          <w:szCs w:val="24"/>
          <w:rtl/>
        </w:rPr>
        <w:t>משטרי</w:t>
      </w:r>
      <w:r w:rsidRPr="006C4917">
        <w:rPr>
          <w:rFonts w:ascii="Century" w:hAnsi="Century" w:cs="Miriam"/>
          <w:b/>
          <w:spacing w:val="0"/>
          <w:szCs w:val="24"/>
          <w:rtl/>
        </w:rPr>
        <w:t xml:space="preserve"> </w:t>
      </w:r>
      <w:r w:rsidRPr="006C4917">
        <w:rPr>
          <w:rFonts w:ascii="Century" w:hAnsi="Century" w:cs="Miriam" w:hint="eastAsia"/>
          <w:b/>
          <w:spacing w:val="0"/>
          <w:szCs w:val="24"/>
          <w:rtl/>
        </w:rPr>
        <w:t>טוב</w:t>
      </w:r>
      <w:r w:rsidRPr="006C4917">
        <w:rPr>
          <w:rFonts w:ascii="Century" w:hAnsi="Century" w:cs="Miriam"/>
          <w:b/>
          <w:spacing w:val="0"/>
          <w:szCs w:val="24"/>
          <w:rtl/>
        </w:rPr>
        <w:t xml:space="preserve"> </w:t>
      </w:r>
      <w:r w:rsidRPr="006C4917">
        <w:rPr>
          <w:rFonts w:ascii="Century" w:hAnsi="Century" w:cs="Miriam" w:hint="eastAsia"/>
          <w:b/>
          <w:spacing w:val="0"/>
          <w:szCs w:val="24"/>
          <w:rtl/>
        </w:rPr>
        <w:t>יותר</w:t>
      </w:r>
      <w:r w:rsidRPr="006C4917">
        <w:rPr>
          <w:rFonts w:ascii="Century" w:hAnsi="Century" w:cs="Miriam"/>
          <w:b/>
          <w:spacing w:val="0"/>
          <w:szCs w:val="24"/>
          <w:rtl/>
        </w:rPr>
        <w:t xml:space="preserve"> </w:t>
      </w:r>
      <w:r w:rsidRPr="006C4917">
        <w:rPr>
          <w:rFonts w:ascii="Century" w:hAnsi="Century" w:cs="Miriam" w:hint="eastAsia"/>
          <w:b/>
          <w:spacing w:val="0"/>
          <w:szCs w:val="24"/>
          <w:rtl/>
        </w:rPr>
        <w:t>בראייה</w:t>
      </w:r>
      <w:r w:rsidRPr="006C4917">
        <w:rPr>
          <w:rFonts w:ascii="Century" w:hAnsi="Century" w:cs="Miriam"/>
          <w:b/>
          <w:spacing w:val="0"/>
          <w:szCs w:val="24"/>
          <w:rtl/>
        </w:rPr>
        <w:t xml:space="preserve"> </w:t>
      </w:r>
      <w:r w:rsidRPr="006C4917">
        <w:rPr>
          <w:rFonts w:ascii="Century" w:hAnsi="Century" w:cs="Miriam" w:hint="eastAsia"/>
          <w:b/>
          <w:spacing w:val="0"/>
          <w:szCs w:val="24"/>
          <w:rtl/>
        </w:rPr>
        <w:t>כללית</w:t>
      </w:r>
      <w:r w:rsidRPr="006C4917">
        <w:rPr>
          <w:rFonts w:ascii="Century" w:hAnsi="Century" w:cs="Miriam"/>
          <w:b/>
          <w:spacing w:val="0"/>
          <w:szCs w:val="24"/>
          <w:rtl/>
        </w:rPr>
        <w:t xml:space="preserve">, </w:t>
      </w:r>
      <w:r w:rsidRPr="006C4917">
        <w:rPr>
          <w:rFonts w:ascii="Century" w:hAnsi="Century" w:cs="Miriam" w:hint="eastAsia"/>
          <w:b/>
          <w:spacing w:val="0"/>
          <w:szCs w:val="24"/>
          <w:rtl/>
        </w:rPr>
        <w:t>אלא</w:t>
      </w:r>
      <w:r w:rsidRPr="006C4917">
        <w:rPr>
          <w:rFonts w:ascii="Century" w:hAnsi="Century" w:cs="Miriam"/>
          <w:b/>
          <w:spacing w:val="0"/>
          <w:szCs w:val="24"/>
          <w:rtl/>
        </w:rPr>
        <w:t xml:space="preserve"> </w:t>
      </w:r>
      <w:r w:rsidRPr="006C4917">
        <w:rPr>
          <w:rFonts w:ascii="Century" w:hAnsi="Century" w:cs="Miriam" w:hint="eastAsia"/>
          <w:b/>
          <w:spacing w:val="0"/>
          <w:szCs w:val="24"/>
          <w:rtl/>
        </w:rPr>
        <w:t>לצורך</w:t>
      </w:r>
      <w:r w:rsidRPr="006C4917">
        <w:rPr>
          <w:rFonts w:ascii="Century" w:hAnsi="Century" w:cs="Miriam"/>
          <w:b/>
          <w:spacing w:val="0"/>
          <w:szCs w:val="24"/>
          <w:rtl/>
        </w:rPr>
        <w:t xml:space="preserve"> </w:t>
      </w:r>
      <w:r w:rsidRPr="006C4917">
        <w:rPr>
          <w:rFonts w:ascii="Century" w:hAnsi="Century" w:cs="Miriam" w:hint="eastAsia"/>
          <w:b/>
          <w:spacing w:val="0"/>
          <w:szCs w:val="24"/>
          <w:rtl/>
        </w:rPr>
        <w:t>נקודתי</w:t>
      </w:r>
      <w:r w:rsidRPr="006C4917">
        <w:rPr>
          <w:rFonts w:ascii="Century" w:hAnsi="Century" w:cs="Miriam"/>
          <w:b/>
          <w:spacing w:val="0"/>
          <w:szCs w:val="24"/>
          <w:rtl/>
        </w:rPr>
        <w:t xml:space="preserve"> </w:t>
      </w:r>
      <w:r w:rsidRPr="006C4917">
        <w:rPr>
          <w:rFonts w:ascii="Century" w:hAnsi="Century" w:cs="Miriam" w:hint="eastAsia"/>
          <w:b/>
          <w:spacing w:val="0"/>
          <w:szCs w:val="24"/>
          <w:rtl/>
        </w:rPr>
        <w:t>ובעייתי</w:t>
      </w:r>
      <w:r w:rsidRPr="006C4917">
        <w:rPr>
          <w:rFonts w:ascii="Century" w:hAnsi="Century" w:cs="Miriam"/>
          <w:b/>
          <w:spacing w:val="0"/>
          <w:szCs w:val="24"/>
          <w:rtl/>
        </w:rPr>
        <w:t xml:space="preserve"> – </w:t>
      </w:r>
      <w:r w:rsidRPr="006C4917">
        <w:rPr>
          <w:rFonts w:ascii="Century" w:hAnsi="Century" w:cs="Miriam" w:hint="eastAsia"/>
          <w:b/>
          <w:spacing w:val="0"/>
          <w:szCs w:val="24"/>
          <w:rtl/>
        </w:rPr>
        <w:t>על</w:t>
      </w:r>
      <w:r w:rsidRPr="006C4917">
        <w:rPr>
          <w:rFonts w:ascii="Century" w:hAnsi="Century" w:cs="Miriam"/>
          <w:b/>
          <w:spacing w:val="0"/>
          <w:szCs w:val="24"/>
          <w:rtl/>
        </w:rPr>
        <w:t xml:space="preserve"> </w:t>
      </w:r>
      <w:r w:rsidRPr="006C4917">
        <w:rPr>
          <w:rFonts w:ascii="Century" w:hAnsi="Century" w:cs="Miriam" w:hint="eastAsia"/>
          <w:b/>
          <w:spacing w:val="0"/>
          <w:szCs w:val="24"/>
          <w:rtl/>
        </w:rPr>
        <w:t>מנת</w:t>
      </w:r>
      <w:r w:rsidRPr="006C4917">
        <w:rPr>
          <w:rFonts w:ascii="Century" w:hAnsi="Century" w:cs="Miriam"/>
          <w:b/>
          <w:spacing w:val="0"/>
          <w:szCs w:val="24"/>
          <w:rtl/>
        </w:rPr>
        <w:t xml:space="preserve"> </w:t>
      </w:r>
      <w:r w:rsidRPr="006C4917">
        <w:rPr>
          <w:rFonts w:ascii="Century" w:hAnsi="Century" w:cs="Miriam" w:hint="eastAsia"/>
          <w:b/>
          <w:spacing w:val="0"/>
          <w:szCs w:val="24"/>
          <w:rtl/>
        </w:rPr>
        <w:t>לעקוף</w:t>
      </w:r>
      <w:r w:rsidRPr="006C4917">
        <w:rPr>
          <w:rFonts w:ascii="Century" w:hAnsi="Century" w:cs="Miriam"/>
          <w:b/>
          <w:spacing w:val="0"/>
          <w:szCs w:val="24"/>
          <w:rtl/>
        </w:rPr>
        <w:t xml:space="preserve"> </w:t>
      </w:r>
      <w:r w:rsidRPr="006C4917">
        <w:rPr>
          <w:rFonts w:ascii="Century" w:hAnsi="Century" w:cs="Miriam" w:hint="eastAsia"/>
          <w:b/>
          <w:spacing w:val="0"/>
          <w:szCs w:val="24"/>
          <w:rtl/>
        </w:rPr>
        <w:t>את</w:t>
      </w:r>
      <w:r w:rsidRPr="006C4917">
        <w:rPr>
          <w:rFonts w:ascii="Century" w:hAnsi="Century" w:cs="Miriam"/>
          <w:b/>
          <w:spacing w:val="0"/>
          <w:szCs w:val="24"/>
          <w:rtl/>
        </w:rPr>
        <w:t xml:space="preserve"> </w:t>
      </w:r>
      <w:r w:rsidRPr="006C4917">
        <w:rPr>
          <w:rFonts w:ascii="Century" w:hAnsi="Century" w:cs="Miriam" w:hint="eastAsia"/>
          <w:b/>
          <w:spacing w:val="0"/>
          <w:szCs w:val="24"/>
          <w:rtl/>
        </w:rPr>
        <w:t>הדרישה</w:t>
      </w:r>
      <w:r w:rsidRPr="006C4917">
        <w:rPr>
          <w:rFonts w:ascii="Century" w:hAnsi="Century" w:cs="Miriam"/>
          <w:b/>
          <w:spacing w:val="0"/>
          <w:szCs w:val="24"/>
          <w:rtl/>
        </w:rPr>
        <w:t xml:space="preserve"> </w:t>
      </w:r>
      <w:r w:rsidRPr="006C4917">
        <w:rPr>
          <w:rFonts w:ascii="Century" w:hAnsi="Century" w:cs="Miriam" w:hint="eastAsia"/>
          <w:b/>
          <w:spacing w:val="0"/>
          <w:szCs w:val="24"/>
          <w:rtl/>
        </w:rPr>
        <w:t>לברר</w:t>
      </w:r>
      <w:r w:rsidRPr="006C4917">
        <w:rPr>
          <w:rFonts w:ascii="Century" w:hAnsi="Century" w:cs="Miriam"/>
          <w:b/>
          <w:spacing w:val="0"/>
          <w:szCs w:val="24"/>
          <w:rtl/>
        </w:rPr>
        <w:t xml:space="preserve"> </w:t>
      </w:r>
      <w:r w:rsidRPr="006C4917">
        <w:rPr>
          <w:rFonts w:ascii="Century" w:hAnsi="Century" w:cs="Miriam" w:hint="eastAsia"/>
          <w:b/>
          <w:spacing w:val="0"/>
          <w:szCs w:val="24"/>
          <w:rtl/>
        </w:rPr>
        <w:t>את</w:t>
      </w:r>
      <w:r w:rsidRPr="006C4917">
        <w:rPr>
          <w:rFonts w:ascii="Century" w:hAnsi="Century" w:cs="Miriam"/>
          <w:b/>
          <w:spacing w:val="0"/>
          <w:szCs w:val="24"/>
          <w:rtl/>
        </w:rPr>
        <w:t xml:space="preserve"> </w:t>
      </w:r>
      <w:r w:rsidRPr="006C4917">
        <w:rPr>
          <w:rFonts w:ascii="Century" w:hAnsi="Century" w:cs="Miriam" w:hint="eastAsia"/>
          <w:b/>
          <w:spacing w:val="0"/>
          <w:szCs w:val="24"/>
          <w:rtl/>
        </w:rPr>
        <w:t>השלכות</w:t>
      </w:r>
      <w:r w:rsidRPr="006C4917">
        <w:rPr>
          <w:rFonts w:ascii="Century" w:hAnsi="Century" w:cs="Miriam"/>
          <w:b/>
          <w:spacing w:val="0"/>
          <w:szCs w:val="24"/>
          <w:rtl/>
        </w:rPr>
        <w:t xml:space="preserve"> </w:t>
      </w:r>
      <w:r w:rsidRPr="006C4917">
        <w:rPr>
          <w:rFonts w:ascii="Century" w:hAnsi="Century" w:cs="Miriam" w:hint="eastAsia"/>
          <w:b/>
          <w:spacing w:val="0"/>
          <w:szCs w:val="24"/>
          <w:rtl/>
        </w:rPr>
        <w:t>ההליך</w:t>
      </w:r>
      <w:r w:rsidRPr="006C4917">
        <w:rPr>
          <w:rFonts w:ascii="Century" w:hAnsi="Century" w:cs="Miriam"/>
          <w:b/>
          <w:spacing w:val="0"/>
          <w:szCs w:val="24"/>
          <w:rtl/>
        </w:rPr>
        <w:t xml:space="preserve"> </w:t>
      </w:r>
      <w:r w:rsidRPr="006C4917">
        <w:rPr>
          <w:rFonts w:ascii="Century" w:hAnsi="Century" w:cs="Miriam" w:hint="eastAsia"/>
          <w:b/>
          <w:spacing w:val="0"/>
          <w:szCs w:val="24"/>
          <w:rtl/>
        </w:rPr>
        <w:t>הפלילי</w:t>
      </w:r>
      <w:r w:rsidRPr="006C4917">
        <w:rPr>
          <w:rFonts w:ascii="Century" w:hAnsi="Century" w:cs="Miriam"/>
          <w:b/>
          <w:spacing w:val="0"/>
          <w:szCs w:val="24"/>
          <w:rtl/>
        </w:rPr>
        <w:t xml:space="preserve"> </w:t>
      </w:r>
      <w:r w:rsidRPr="006C4917">
        <w:rPr>
          <w:rFonts w:ascii="Century" w:hAnsi="Century" w:cs="Miriam" w:hint="eastAsia"/>
          <w:b/>
          <w:spacing w:val="0"/>
          <w:szCs w:val="24"/>
          <w:rtl/>
        </w:rPr>
        <w:t>על</w:t>
      </w:r>
      <w:r w:rsidRPr="006C4917">
        <w:rPr>
          <w:rFonts w:ascii="Century" w:hAnsi="Century" w:cs="Miriam"/>
          <w:b/>
          <w:spacing w:val="0"/>
          <w:szCs w:val="24"/>
          <w:rtl/>
        </w:rPr>
        <w:t xml:space="preserve"> </w:t>
      </w:r>
      <w:r w:rsidRPr="006C4917">
        <w:rPr>
          <w:rFonts w:ascii="Century" w:hAnsi="Century" w:cs="Miriam" w:hint="eastAsia"/>
          <w:b/>
          <w:spacing w:val="0"/>
          <w:szCs w:val="24"/>
          <w:rtl/>
        </w:rPr>
        <w:t>כשירותו</w:t>
      </w:r>
      <w:r w:rsidRPr="006C4917">
        <w:rPr>
          <w:rFonts w:ascii="Century" w:hAnsi="Century" w:cs="Miriam"/>
          <w:b/>
          <w:spacing w:val="0"/>
          <w:szCs w:val="24"/>
          <w:rtl/>
        </w:rPr>
        <w:t xml:space="preserve"> </w:t>
      </w:r>
      <w:r w:rsidRPr="006C4917">
        <w:rPr>
          <w:rFonts w:ascii="Century" w:hAnsi="Century" w:cs="Miriam" w:hint="eastAsia"/>
          <w:b/>
          <w:spacing w:val="0"/>
          <w:szCs w:val="24"/>
          <w:rtl/>
        </w:rPr>
        <w:t>של</w:t>
      </w:r>
      <w:r w:rsidRPr="006C4917">
        <w:rPr>
          <w:rFonts w:ascii="Century" w:hAnsi="Century" w:cs="Miriam"/>
          <w:b/>
          <w:spacing w:val="0"/>
          <w:szCs w:val="24"/>
          <w:rtl/>
        </w:rPr>
        <w:t xml:space="preserve"> </w:t>
      </w:r>
      <w:r w:rsidRPr="006C4917">
        <w:rPr>
          <w:rFonts w:ascii="Century" w:hAnsi="Century" w:cs="Miriam" w:hint="eastAsia"/>
          <w:b/>
          <w:spacing w:val="0"/>
          <w:szCs w:val="24"/>
          <w:rtl/>
        </w:rPr>
        <w:t>חה</w:t>
      </w:r>
      <w:r w:rsidRPr="006C4917">
        <w:rPr>
          <w:rFonts w:ascii="Century" w:hAnsi="Century" w:cs="Miriam"/>
          <w:b/>
          <w:spacing w:val="0"/>
          <w:szCs w:val="24"/>
          <w:rtl/>
        </w:rPr>
        <w:t>"</w:t>
      </w:r>
      <w:r w:rsidRPr="006C4917">
        <w:rPr>
          <w:rFonts w:ascii="Century" w:hAnsi="Century" w:cs="Miriam" w:hint="eastAsia"/>
          <w:b/>
          <w:spacing w:val="0"/>
          <w:szCs w:val="24"/>
          <w:rtl/>
        </w:rPr>
        <w:t>כ</w:t>
      </w:r>
      <w:r w:rsidRPr="006C4917">
        <w:rPr>
          <w:rFonts w:ascii="Century" w:hAnsi="Century" w:cs="Miriam"/>
          <w:b/>
          <w:spacing w:val="0"/>
          <w:szCs w:val="24"/>
          <w:rtl/>
        </w:rPr>
        <w:t xml:space="preserve"> </w:t>
      </w:r>
      <w:r w:rsidRPr="006C4917">
        <w:rPr>
          <w:rFonts w:ascii="Century" w:hAnsi="Century" w:cs="Miriam" w:hint="eastAsia"/>
          <w:b/>
          <w:spacing w:val="0"/>
          <w:szCs w:val="24"/>
          <w:rtl/>
        </w:rPr>
        <w:t>דרעי</w:t>
      </w:r>
      <w:r w:rsidRPr="006C4917">
        <w:rPr>
          <w:rFonts w:ascii="Century" w:hAnsi="Century" w:cs="Miriam"/>
          <w:b/>
          <w:spacing w:val="0"/>
          <w:szCs w:val="24"/>
          <w:rtl/>
        </w:rPr>
        <w:t xml:space="preserve"> </w:t>
      </w:r>
      <w:r w:rsidRPr="006C4917">
        <w:rPr>
          <w:rFonts w:ascii="Century" w:hAnsi="Century" w:cs="Miriam" w:hint="eastAsia"/>
          <w:b/>
          <w:spacing w:val="0"/>
          <w:szCs w:val="24"/>
          <w:rtl/>
        </w:rPr>
        <w:t>להתמנות</w:t>
      </w:r>
      <w:r w:rsidRPr="006C4917">
        <w:rPr>
          <w:rFonts w:ascii="Century" w:hAnsi="Century" w:cs="Miriam"/>
          <w:b/>
          <w:spacing w:val="0"/>
          <w:szCs w:val="24"/>
          <w:rtl/>
        </w:rPr>
        <w:t xml:space="preserve"> </w:t>
      </w:r>
      <w:r w:rsidRPr="006C4917">
        <w:rPr>
          <w:rFonts w:ascii="Century" w:hAnsi="Century" w:cs="Miriam" w:hint="eastAsia"/>
          <w:b/>
          <w:spacing w:val="0"/>
          <w:szCs w:val="24"/>
          <w:rtl/>
        </w:rPr>
        <w:t>לשר</w:t>
      </w:r>
      <w:r w:rsidRPr="006C4917">
        <w:rPr>
          <w:rFonts w:ascii="Century" w:hAnsi="Century" w:cs="Miriam"/>
          <w:b/>
          <w:spacing w:val="0"/>
          <w:szCs w:val="24"/>
          <w:rtl/>
        </w:rPr>
        <w:t xml:space="preserve"> </w:t>
      </w:r>
      <w:r w:rsidRPr="006C4917">
        <w:rPr>
          <w:rFonts w:ascii="Century" w:hAnsi="Century" w:cs="Miriam" w:hint="eastAsia"/>
          <w:b/>
          <w:spacing w:val="0"/>
          <w:szCs w:val="24"/>
          <w:rtl/>
        </w:rPr>
        <w:t>באמצעות</w:t>
      </w:r>
      <w:r w:rsidRPr="006C4917">
        <w:rPr>
          <w:rFonts w:ascii="Century" w:hAnsi="Century" w:cs="Miriam"/>
          <w:b/>
          <w:spacing w:val="0"/>
          <w:szCs w:val="24"/>
          <w:rtl/>
        </w:rPr>
        <w:t xml:space="preserve"> </w:t>
      </w:r>
      <w:r w:rsidRPr="006C4917">
        <w:rPr>
          <w:rFonts w:ascii="Century" w:hAnsi="Century" w:cs="Miriam" w:hint="eastAsia"/>
          <w:b/>
          <w:spacing w:val="0"/>
          <w:szCs w:val="24"/>
          <w:rtl/>
        </w:rPr>
        <w:t>המסגרת</w:t>
      </w:r>
      <w:r w:rsidRPr="006C4917">
        <w:rPr>
          <w:rFonts w:ascii="Century" w:hAnsi="Century" w:cs="Miriam"/>
          <w:b/>
          <w:spacing w:val="0"/>
          <w:szCs w:val="24"/>
          <w:rtl/>
        </w:rPr>
        <w:t xml:space="preserve"> </w:t>
      </w:r>
      <w:r w:rsidRPr="006C4917">
        <w:rPr>
          <w:rFonts w:ascii="Century" w:hAnsi="Century" w:cs="Miriam" w:hint="eastAsia"/>
          <w:b/>
          <w:spacing w:val="0"/>
          <w:szCs w:val="24"/>
          <w:rtl/>
        </w:rPr>
        <w:t>המשפטית</w:t>
      </w:r>
      <w:r w:rsidRPr="006C4917">
        <w:rPr>
          <w:rFonts w:ascii="Century" w:hAnsi="Century" w:cs="Miriam"/>
          <w:b/>
          <w:spacing w:val="0"/>
          <w:szCs w:val="24"/>
          <w:rtl/>
        </w:rPr>
        <w:t xml:space="preserve"> </w:t>
      </w:r>
      <w:r w:rsidRPr="006C4917">
        <w:rPr>
          <w:rFonts w:ascii="Century" w:hAnsi="Century" w:cs="Miriam" w:hint="eastAsia"/>
          <w:b/>
          <w:spacing w:val="0"/>
          <w:szCs w:val="24"/>
          <w:rtl/>
        </w:rPr>
        <w:t>שנקבעה</w:t>
      </w:r>
      <w:r w:rsidRPr="006C4917">
        <w:rPr>
          <w:rFonts w:ascii="Century" w:hAnsi="Century" w:cs="Miriam"/>
          <w:b/>
          <w:spacing w:val="0"/>
          <w:szCs w:val="24"/>
          <w:rtl/>
        </w:rPr>
        <w:t xml:space="preserve"> </w:t>
      </w:r>
      <w:r w:rsidRPr="006C4917">
        <w:rPr>
          <w:rFonts w:ascii="Century" w:hAnsi="Century" w:cs="Miriam" w:hint="eastAsia"/>
          <w:b/>
          <w:spacing w:val="0"/>
          <w:szCs w:val="24"/>
          <w:rtl/>
        </w:rPr>
        <w:t>לכך</w:t>
      </w:r>
      <w:r w:rsidRPr="006C4917">
        <w:rPr>
          <w:rFonts w:ascii="Century" w:hAnsi="Century" w:cs="Miriam"/>
          <w:b/>
          <w:spacing w:val="0"/>
          <w:szCs w:val="24"/>
          <w:rtl/>
        </w:rPr>
        <w:t xml:space="preserve">, </w:t>
      </w:r>
      <w:r w:rsidRPr="006C4917">
        <w:rPr>
          <w:rFonts w:ascii="Century" w:hAnsi="Century" w:cs="Miriam" w:hint="eastAsia"/>
          <w:b/>
          <w:spacing w:val="0"/>
          <w:szCs w:val="24"/>
          <w:rtl/>
        </w:rPr>
        <w:t>קרי</w:t>
      </w:r>
      <w:r w:rsidRPr="006C4917">
        <w:rPr>
          <w:rFonts w:ascii="Century" w:hAnsi="Century" w:cs="Miriam"/>
          <w:b/>
          <w:spacing w:val="0"/>
          <w:szCs w:val="24"/>
          <w:rtl/>
        </w:rPr>
        <w:t xml:space="preserve">, </w:t>
      </w:r>
      <w:r w:rsidRPr="006C4917">
        <w:rPr>
          <w:rFonts w:ascii="Century" w:hAnsi="Century" w:cs="Miriam" w:hint="eastAsia"/>
          <w:b/>
          <w:spacing w:val="0"/>
          <w:szCs w:val="24"/>
          <w:rtl/>
        </w:rPr>
        <w:t>פנייה</w:t>
      </w:r>
      <w:r w:rsidRPr="006C4917">
        <w:rPr>
          <w:rFonts w:ascii="Century" w:hAnsi="Century" w:cs="Miriam"/>
          <w:b/>
          <w:spacing w:val="0"/>
          <w:szCs w:val="24"/>
          <w:rtl/>
        </w:rPr>
        <w:t xml:space="preserve"> </w:t>
      </w:r>
      <w:r w:rsidRPr="006C4917">
        <w:rPr>
          <w:rFonts w:ascii="Century" w:hAnsi="Century" w:cs="Miriam" w:hint="eastAsia"/>
          <w:b/>
          <w:spacing w:val="0"/>
          <w:szCs w:val="24"/>
          <w:rtl/>
        </w:rPr>
        <w:t>ליושב</w:t>
      </w:r>
      <w:r w:rsidRPr="006C4917">
        <w:rPr>
          <w:rFonts w:ascii="Century" w:hAnsi="Century" w:cs="Miriam"/>
          <w:b/>
          <w:spacing w:val="0"/>
          <w:szCs w:val="24"/>
          <w:rtl/>
        </w:rPr>
        <w:t xml:space="preserve"> </w:t>
      </w:r>
      <w:r w:rsidRPr="006C4917">
        <w:rPr>
          <w:rFonts w:ascii="Century" w:hAnsi="Century" w:cs="Miriam" w:hint="eastAsia"/>
          <w:b/>
          <w:spacing w:val="0"/>
          <w:szCs w:val="24"/>
          <w:rtl/>
        </w:rPr>
        <w:t>ראש</w:t>
      </w:r>
      <w:r w:rsidRPr="006C4917">
        <w:rPr>
          <w:rFonts w:ascii="Century" w:hAnsi="Century" w:cs="Miriam"/>
          <w:b/>
          <w:spacing w:val="0"/>
          <w:szCs w:val="24"/>
          <w:rtl/>
        </w:rPr>
        <w:t xml:space="preserve"> </w:t>
      </w:r>
      <w:r w:rsidRPr="006C4917">
        <w:rPr>
          <w:rFonts w:ascii="Century" w:hAnsi="Century" w:cs="Miriam" w:hint="eastAsia"/>
          <w:b/>
          <w:spacing w:val="0"/>
          <w:szCs w:val="24"/>
          <w:rtl/>
        </w:rPr>
        <w:t>ועדת</w:t>
      </w:r>
      <w:r w:rsidRPr="006C4917">
        <w:rPr>
          <w:rFonts w:ascii="Century" w:hAnsi="Century" w:cs="Miriam"/>
          <w:b/>
          <w:spacing w:val="0"/>
          <w:szCs w:val="24"/>
          <w:rtl/>
        </w:rPr>
        <w:t xml:space="preserve"> </w:t>
      </w:r>
      <w:r w:rsidRPr="006C4917">
        <w:rPr>
          <w:rFonts w:ascii="Century" w:hAnsi="Century" w:cs="Miriam" w:hint="eastAsia"/>
          <w:b/>
          <w:spacing w:val="0"/>
          <w:szCs w:val="24"/>
          <w:rtl/>
        </w:rPr>
        <w:t>הבחירות</w:t>
      </w:r>
      <w:r w:rsidRPr="006C4917">
        <w:rPr>
          <w:rFonts w:ascii="Century" w:hAnsi="Century" w:cs="Miriam"/>
          <w:b/>
          <w:spacing w:val="0"/>
          <w:szCs w:val="24"/>
          <w:rtl/>
        </w:rPr>
        <w:t xml:space="preserve"> </w:t>
      </w:r>
      <w:r w:rsidRPr="006C4917">
        <w:rPr>
          <w:rFonts w:ascii="Century" w:hAnsi="Century" w:cs="Miriam" w:hint="eastAsia"/>
          <w:b/>
          <w:spacing w:val="0"/>
          <w:szCs w:val="24"/>
          <w:rtl/>
        </w:rPr>
        <w:t>לכנסת</w:t>
      </w:r>
      <w:r w:rsidRPr="006C4917">
        <w:rPr>
          <w:rFonts w:ascii="Century" w:hAnsi="Century" w:cs="Miriam"/>
          <w:b/>
          <w:spacing w:val="0"/>
          <w:szCs w:val="24"/>
          <w:rtl/>
        </w:rPr>
        <w:t xml:space="preserve"> </w:t>
      </w:r>
      <w:r w:rsidRPr="006C4917">
        <w:rPr>
          <w:rFonts w:ascii="Century" w:hAnsi="Century" w:cs="Miriam" w:hint="eastAsia"/>
          <w:b/>
          <w:spacing w:val="0"/>
          <w:szCs w:val="24"/>
          <w:rtl/>
        </w:rPr>
        <w:t>כאמור</w:t>
      </w:r>
      <w:r w:rsidRPr="006C4917">
        <w:rPr>
          <w:rFonts w:ascii="Century" w:hAnsi="Century" w:cs="Miriam"/>
          <w:b/>
          <w:spacing w:val="0"/>
          <w:szCs w:val="24"/>
          <w:rtl/>
        </w:rPr>
        <w:t xml:space="preserve">. </w:t>
      </w:r>
      <w:r w:rsidRPr="006C4917">
        <w:rPr>
          <w:rFonts w:ascii="Century" w:hAnsi="Century" w:cs="Miriam" w:hint="eastAsia"/>
          <w:b/>
          <w:spacing w:val="0"/>
          <w:szCs w:val="24"/>
          <w:rtl/>
        </w:rPr>
        <w:t>לפיכך</w:t>
      </w:r>
      <w:r w:rsidRPr="006C4917">
        <w:rPr>
          <w:rFonts w:ascii="Century" w:hAnsi="Century" w:cs="Miriam"/>
          <w:b/>
          <w:spacing w:val="0"/>
          <w:szCs w:val="24"/>
          <w:rtl/>
        </w:rPr>
        <w:t xml:space="preserve">, </w:t>
      </w:r>
      <w:r w:rsidRPr="006C4917">
        <w:rPr>
          <w:rFonts w:ascii="Century" w:hAnsi="Century" w:cs="Miriam" w:hint="eastAsia"/>
          <w:b/>
          <w:spacing w:val="0"/>
          <w:szCs w:val="24"/>
          <w:rtl/>
        </w:rPr>
        <w:t>על</w:t>
      </w:r>
      <w:r w:rsidRPr="006C4917">
        <w:rPr>
          <w:rFonts w:ascii="Century" w:hAnsi="Century" w:cs="Miriam"/>
          <w:b/>
          <w:spacing w:val="0"/>
          <w:szCs w:val="24"/>
          <w:rtl/>
        </w:rPr>
        <w:t xml:space="preserve"> </w:t>
      </w:r>
      <w:r w:rsidRPr="006C4917">
        <w:rPr>
          <w:rFonts w:ascii="Century" w:hAnsi="Century" w:cs="Miriam" w:hint="eastAsia"/>
          <w:b/>
          <w:spacing w:val="0"/>
          <w:szCs w:val="24"/>
          <w:rtl/>
        </w:rPr>
        <w:t>פני</w:t>
      </w:r>
      <w:r w:rsidRPr="006C4917">
        <w:rPr>
          <w:rFonts w:ascii="Century" w:hAnsi="Century" w:cs="Miriam"/>
          <w:b/>
          <w:spacing w:val="0"/>
          <w:szCs w:val="24"/>
          <w:rtl/>
        </w:rPr>
        <w:t xml:space="preserve"> </w:t>
      </w:r>
      <w:r w:rsidRPr="006C4917">
        <w:rPr>
          <w:rFonts w:ascii="Century" w:hAnsi="Century" w:cs="Miriam" w:hint="eastAsia"/>
          <w:b/>
          <w:spacing w:val="0"/>
          <w:szCs w:val="24"/>
          <w:rtl/>
        </w:rPr>
        <w:t>הדברים</w:t>
      </w:r>
      <w:r w:rsidRPr="006C4917">
        <w:rPr>
          <w:rFonts w:ascii="Century" w:hAnsi="Century" w:cs="Miriam"/>
          <w:b/>
          <w:spacing w:val="0"/>
          <w:szCs w:val="24"/>
          <w:rtl/>
        </w:rPr>
        <w:t xml:space="preserve">, </w:t>
      </w:r>
      <w:r w:rsidRPr="006C4917">
        <w:rPr>
          <w:rFonts w:ascii="Century" w:hAnsi="Century" w:cs="Miriam" w:hint="eastAsia"/>
          <w:b/>
          <w:spacing w:val="0"/>
          <w:szCs w:val="24"/>
          <w:rtl/>
        </w:rPr>
        <w:t>אינני</w:t>
      </w:r>
      <w:r w:rsidRPr="006C4917">
        <w:rPr>
          <w:rFonts w:ascii="Century" w:hAnsi="Century" w:cs="Miriam"/>
          <w:b/>
          <w:spacing w:val="0"/>
          <w:szCs w:val="24"/>
          <w:rtl/>
        </w:rPr>
        <w:t xml:space="preserve"> </w:t>
      </w:r>
      <w:r w:rsidRPr="006C4917">
        <w:rPr>
          <w:rFonts w:ascii="Century" w:hAnsi="Century" w:cs="Miriam" w:hint="eastAsia"/>
          <w:b/>
          <w:spacing w:val="0"/>
          <w:szCs w:val="24"/>
          <w:rtl/>
        </w:rPr>
        <w:t>שולל</w:t>
      </w:r>
      <w:r w:rsidRPr="006C4917">
        <w:rPr>
          <w:rFonts w:ascii="Century" w:hAnsi="Century" w:cs="Miriam"/>
          <w:b/>
          <w:spacing w:val="0"/>
          <w:szCs w:val="24"/>
          <w:rtl/>
        </w:rPr>
        <w:t xml:space="preserve"> </w:t>
      </w:r>
      <w:r w:rsidRPr="006C4917">
        <w:rPr>
          <w:rFonts w:ascii="Century" w:hAnsi="Century" w:cs="Miriam" w:hint="eastAsia"/>
          <w:b/>
          <w:spacing w:val="0"/>
          <w:szCs w:val="24"/>
          <w:rtl/>
        </w:rPr>
        <w:t>כי</w:t>
      </w:r>
      <w:r w:rsidRPr="006C4917">
        <w:rPr>
          <w:rFonts w:ascii="Century" w:hAnsi="Century" w:cs="Miriam"/>
          <w:b/>
          <w:spacing w:val="0"/>
          <w:szCs w:val="24"/>
          <w:rtl/>
        </w:rPr>
        <w:t xml:space="preserve"> </w:t>
      </w:r>
      <w:r w:rsidRPr="006C4917">
        <w:rPr>
          <w:rFonts w:ascii="Century" w:hAnsi="Century" w:cs="Miriam" w:hint="eastAsia"/>
          <w:b/>
          <w:spacing w:val="0"/>
          <w:szCs w:val="24"/>
          <w:rtl/>
        </w:rPr>
        <w:t>נסיבות</w:t>
      </w:r>
      <w:r w:rsidRPr="006C4917">
        <w:rPr>
          <w:rFonts w:ascii="Century" w:hAnsi="Century" w:cs="Miriam"/>
          <w:b/>
          <w:spacing w:val="0"/>
          <w:szCs w:val="24"/>
          <w:rtl/>
        </w:rPr>
        <w:t xml:space="preserve"> </w:t>
      </w:r>
      <w:r w:rsidRPr="006C4917">
        <w:rPr>
          <w:rFonts w:ascii="Century" w:hAnsi="Century" w:cs="Miriam" w:hint="eastAsia"/>
          <w:b/>
          <w:spacing w:val="0"/>
          <w:szCs w:val="24"/>
          <w:rtl/>
        </w:rPr>
        <w:t>אלו</w:t>
      </w:r>
      <w:r w:rsidRPr="006C4917">
        <w:rPr>
          <w:rFonts w:ascii="Century" w:hAnsi="Century" w:cs="Miriam"/>
          <w:b/>
          <w:spacing w:val="0"/>
          <w:szCs w:val="24"/>
          <w:rtl/>
        </w:rPr>
        <w:t xml:space="preserve"> </w:t>
      </w:r>
      <w:r w:rsidRPr="006C4917">
        <w:rPr>
          <w:rFonts w:ascii="Century" w:hAnsi="Century" w:cs="Miriam" w:hint="eastAsia"/>
          <w:b/>
          <w:spacing w:val="0"/>
          <w:szCs w:val="24"/>
          <w:rtl/>
        </w:rPr>
        <w:t>עשויות</w:t>
      </w:r>
      <w:r w:rsidRPr="006C4917">
        <w:rPr>
          <w:rFonts w:ascii="Century" w:hAnsi="Century" w:cs="Miriam"/>
          <w:b/>
          <w:spacing w:val="0"/>
          <w:szCs w:val="24"/>
          <w:rtl/>
        </w:rPr>
        <w:t xml:space="preserve"> </w:t>
      </w:r>
      <w:r w:rsidRPr="006C4917">
        <w:rPr>
          <w:rFonts w:ascii="Century" w:hAnsi="Century" w:cs="Miriam" w:hint="eastAsia"/>
          <w:b/>
          <w:spacing w:val="0"/>
          <w:szCs w:val="24"/>
          <w:rtl/>
        </w:rPr>
        <w:t>לעלות</w:t>
      </w:r>
      <w:r w:rsidRPr="006C4917">
        <w:rPr>
          <w:rFonts w:ascii="Century" w:hAnsi="Century" w:cs="Miriam"/>
          <w:b/>
          <w:spacing w:val="0"/>
          <w:szCs w:val="24"/>
          <w:rtl/>
        </w:rPr>
        <w:t xml:space="preserve"> </w:t>
      </w:r>
      <w:r w:rsidRPr="006C4917">
        <w:rPr>
          <w:rFonts w:ascii="Century" w:hAnsi="Century" w:cs="Miriam" w:hint="eastAsia"/>
          <w:b/>
          <w:spacing w:val="0"/>
          <w:szCs w:val="24"/>
          <w:rtl/>
        </w:rPr>
        <w:t>לכדי</w:t>
      </w:r>
      <w:r w:rsidRPr="006C4917">
        <w:rPr>
          <w:rFonts w:ascii="Century" w:hAnsi="Century" w:cs="Miriam"/>
          <w:b/>
          <w:spacing w:val="0"/>
          <w:szCs w:val="24"/>
          <w:rtl/>
        </w:rPr>
        <w:t xml:space="preserve"> </w:t>
      </w:r>
      <w:r w:rsidRPr="006C4917">
        <w:rPr>
          <w:rFonts w:ascii="Century" w:hAnsi="Century" w:cs="Miriam" w:hint="eastAsia"/>
          <w:b/>
          <w:spacing w:val="0"/>
          <w:szCs w:val="24"/>
          <w:rtl/>
        </w:rPr>
        <w:t>שימוש</w:t>
      </w:r>
      <w:r w:rsidRPr="006C4917">
        <w:rPr>
          <w:rFonts w:ascii="Century" w:hAnsi="Century" w:cs="Miriam"/>
          <w:b/>
          <w:spacing w:val="0"/>
          <w:szCs w:val="24"/>
          <w:rtl/>
        </w:rPr>
        <w:t xml:space="preserve"> </w:t>
      </w:r>
      <w:r w:rsidRPr="006C4917">
        <w:rPr>
          <w:rFonts w:ascii="Century" w:hAnsi="Century" w:cs="Miriam" w:hint="eastAsia"/>
          <w:b/>
          <w:spacing w:val="0"/>
          <w:szCs w:val="24"/>
          <w:rtl/>
        </w:rPr>
        <w:t>לרעה</w:t>
      </w:r>
      <w:r w:rsidRPr="006C4917">
        <w:rPr>
          <w:rFonts w:ascii="Century" w:hAnsi="Century" w:cs="Miriam"/>
          <w:b/>
          <w:spacing w:val="0"/>
          <w:szCs w:val="24"/>
          <w:rtl/>
        </w:rPr>
        <w:t xml:space="preserve"> </w:t>
      </w:r>
      <w:r w:rsidRPr="006C4917">
        <w:rPr>
          <w:rFonts w:ascii="Century" w:hAnsi="Century" w:cs="Miriam" w:hint="eastAsia"/>
          <w:b/>
          <w:spacing w:val="0"/>
          <w:szCs w:val="24"/>
          <w:rtl/>
        </w:rPr>
        <w:t>בסמכות</w:t>
      </w:r>
      <w:r w:rsidRPr="006C4917">
        <w:rPr>
          <w:rFonts w:ascii="Century" w:hAnsi="Century" w:cs="Miriam"/>
          <w:b/>
          <w:spacing w:val="0"/>
          <w:szCs w:val="24"/>
          <w:rtl/>
        </w:rPr>
        <w:t xml:space="preserve"> </w:t>
      </w:r>
      <w:r w:rsidRPr="006C4917">
        <w:rPr>
          <w:rFonts w:ascii="Century" w:hAnsi="Century" w:cs="Miriam" w:hint="eastAsia"/>
          <w:b/>
          <w:spacing w:val="0"/>
          <w:szCs w:val="24"/>
          <w:rtl/>
        </w:rPr>
        <w:t>המכוננת</w:t>
      </w:r>
      <w:r w:rsidRPr="006C4917">
        <w:rPr>
          <w:rFonts w:ascii="Century" w:hAnsi="Century" w:hint="cs"/>
          <w:rtl/>
        </w:rPr>
        <w:t xml:space="preserve">"). מרכז הכובד, לפיכך, במגבלה בה עסקינן, </w:t>
      </w:r>
      <w:r w:rsidRPr="006C4917">
        <w:rPr>
          <w:rFonts w:hint="cs"/>
          <w:rtl/>
        </w:rPr>
        <w:t xml:space="preserve">אינו בתהייה אם מדובר בנורמה שיכולה למצוא עצמה, כעניין תוכני, במדרג החוקתי, אלא בשאלה אם השימוש בסמכות המכוננת על מנת לקבוע הוראה זו נעשה לתכלית לשמה הוענקה </w:t>
      </w:r>
      <w:r w:rsidRPr="006C4917">
        <w:rPr>
          <w:rtl/>
        </w:rPr>
        <w:t>–</w:t>
      </w:r>
      <w:r w:rsidRPr="006C4917">
        <w:rPr>
          <w:rFonts w:hint="cs"/>
          <w:rtl/>
        </w:rPr>
        <w:t xml:space="preserve"> הסדרת עקרונות היסוד של שיטת המשפט הישראלית באופן כללי וקבוע, אשר יכבלו את ידיו של הרוב המזדמן בכנסת.</w:t>
      </w:r>
    </w:p>
    <w:p w:rsidR="003D7BFC" w:rsidRPr="006C4917" w:rsidRDefault="003D7BFC" w:rsidP="003D7BFC">
      <w:pPr>
        <w:pStyle w:val="Ruller41"/>
        <w:rPr>
          <w:rtl/>
        </w:rPr>
      </w:pPr>
    </w:p>
    <w:p w:rsidR="003D7BFC" w:rsidRPr="006C4917" w:rsidRDefault="003D7BFC" w:rsidP="003D7BFC">
      <w:pPr>
        <w:pStyle w:val="Ruller4"/>
        <w:rPr>
          <w:rFonts w:ascii="Century" w:hAnsi="Century"/>
          <w:b/>
          <w:spacing w:val="0"/>
        </w:rPr>
      </w:pPr>
      <w:r w:rsidRPr="006C4917">
        <w:rPr>
          <w:rFonts w:ascii="Century" w:hAnsi="Century" w:cs="Miriam" w:hint="eastAsia"/>
          <w:b/>
          <w:spacing w:val="0"/>
          <w:szCs w:val="24"/>
          <w:rtl/>
        </w:rPr>
        <w:t>מגבלת</w:t>
      </w:r>
      <w:r w:rsidRPr="006C4917">
        <w:rPr>
          <w:rFonts w:ascii="Century" w:hAnsi="Century" w:cs="Miriam"/>
          <w:b/>
          <w:spacing w:val="0"/>
          <w:szCs w:val="24"/>
          <w:rtl/>
        </w:rPr>
        <w:t xml:space="preserve"> הסמכות (החובה </w:t>
      </w:r>
      <w:r w:rsidRPr="006C4917">
        <w:rPr>
          <w:rFonts w:ascii="Century" w:hAnsi="Century" w:cs="Miriam" w:hint="eastAsia"/>
          <w:b/>
          <w:spacing w:val="0"/>
          <w:szCs w:val="24"/>
          <w:rtl/>
        </w:rPr>
        <w:t>לפעול</w:t>
      </w:r>
      <w:r w:rsidRPr="006C4917">
        <w:rPr>
          <w:rFonts w:ascii="Century" w:hAnsi="Century" w:cs="Miriam"/>
          <w:b/>
          <w:spacing w:val="0"/>
          <w:szCs w:val="24"/>
          <w:rtl/>
        </w:rPr>
        <w:t xml:space="preserve"> </w:t>
      </w:r>
      <w:r w:rsidRPr="006C4917">
        <w:rPr>
          <w:rFonts w:ascii="Century" w:hAnsi="Century" w:cs="Miriam" w:hint="eastAsia"/>
          <w:b/>
          <w:spacing w:val="0"/>
          <w:szCs w:val="24"/>
          <w:rtl/>
        </w:rPr>
        <w:t>בתחום</w:t>
      </w:r>
      <w:r w:rsidRPr="006C4917">
        <w:rPr>
          <w:rFonts w:ascii="Century" w:hAnsi="Century" w:cs="Miriam"/>
          <w:b/>
          <w:spacing w:val="0"/>
          <w:szCs w:val="24"/>
          <w:rtl/>
        </w:rPr>
        <w:t xml:space="preserve"> </w:t>
      </w:r>
      <w:r w:rsidRPr="006C4917">
        <w:rPr>
          <w:rFonts w:ascii="Century" w:hAnsi="Century" w:cs="Miriam" w:hint="eastAsia"/>
          <w:b/>
          <w:spacing w:val="0"/>
          <w:szCs w:val="24"/>
          <w:rtl/>
        </w:rPr>
        <w:t>הסמכות</w:t>
      </w:r>
      <w:r w:rsidRPr="006C4917">
        <w:rPr>
          <w:rFonts w:ascii="Century" w:hAnsi="Century" w:cs="Miriam"/>
          <w:b/>
          <w:spacing w:val="0"/>
          <w:szCs w:val="24"/>
          <w:rtl/>
        </w:rPr>
        <w:t xml:space="preserve"> </w:t>
      </w:r>
      <w:r w:rsidRPr="006C4917">
        <w:rPr>
          <w:rFonts w:ascii="Century" w:hAnsi="Century" w:cs="Miriam" w:hint="eastAsia"/>
          <w:b/>
          <w:spacing w:val="0"/>
          <w:szCs w:val="24"/>
          <w:rtl/>
        </w:rPr>
        <w:t>שהוקנתה</w:t>
      </w:r>
      <w:r w:rsidRPr="006C4917">
        <w:rPr>
          <w:rFonts w:ascii="Century" w:hAnsi="Century" w:cs="Miriam" w:hint="cs"/>
          <w:b/>
          <w:spacing w:val="0"/>
          <w:szCs w:val="24"/>
          <w:rtl/>
        </w:rPr>
        <w:t xml:space="preserve"> לכנסת הנוכחית</w:t>
      </w:r>
      <w:r w:rsidRPr="006C4917">
        <w:rPr>
          <w:rFonts w:ascii="Century" w:hAnsi="Century" w:cs="Miriam"/>
          <w:b/>
          <w:spacing w:val="0"/>
          <w:szCs w:val="24"/>
          <w:rtl/>
        </w:rPr>
        <w:t>)</w:t>
      </w:r>
      <w:r w:rsidRPr="006C4917">
        <w:rPr>
          <w:rFonts w:cs="Miriam" w:hint="cs"/>
          <w:b/>
          <w:spacing w:val="0"/>
          <w:szCs w:val="24"/>
          <w:rtl/>
        </w:rPr>
        <w:t xml:space="preserve"> </w:t>
      </w:r>
      <w:r w:rsidRPr="006C4917">
        <w:rPr>
          <w:rtl/>
        </w:rPr>
        <w:t xml:space="preserve">– </w:t>
      </w:r>
      <w:r w:rsidRPr="006C4917">
        <w:rPr>
          <w:rFonts w:ascii="Century" w:hAnsi="Century" w:hint="cs"/>
          <w:rtl/>
        </w:rPr>
        <w:t xml:space="preserve">מגבלה זו </w:t>
      </w:r>
      <w:r w:rsidRPr="006C4917">
        <w:rPr>
          <w:rFonts w:hint="eastAsia"/>
          <w:rtl/>
        </w:rPr>
        <w:t>משמיעה</w:t>
      </w:r>
      <w:r w:rsidRPr="006C4917">
        <w:rPr>
          <w:rFonts w:ascii="Century" w:hAnsi="Century"/>
          <w:rtl/>
        </w:rPr>
        <w:t xml:space="preserve"> לנו כי </w:t>
      </w:r>
      <w:r w:rsidRPr="006C4917">
        <w:rPr>
          <w:rFonts w:ascii="Century" w:hAnsi="Century" w:hint="cs"/>
          <w:rtl/>
        </w:rPr>
        <w:t>ה</w:t>
      </w:r>
      <w:r w:rsidRPr="006C4917">
        <w:rPr>
          <w:rFonts w:ascii="Century" w:hAnsi="Century"/>
          <w:rtl/>
        </w:rPr>
        <w:t xml:space="preserve">כנסת </w:t>
      </w:r>
      <w:r w:rsidRPr="006C4917">
        <w:rPr>
          <w:rFonts w:ascii="Century" w:hAnsi="Century" w:hint="cs"/>
          <w:rtl/>
        </w:rPr>
        <w:t xml:space="preserve">הנוכחית </w:t>
      </w:r>
      <w:r w:rsidRPr="006C4917">
        <w:rPr>
          <w:rFonts w:ascii="Century" w:hAnsi="Century" w:hint="eastAsia"/>
          <w:rtl/>
        </w:rPr>
        <w:t>אינה</w:t>
      </w:r>
      <w:r w:rsidRPr="006C4917">
        <w:rPr>
          <w:rFonts w:ascii="Century" w:hAnsi="Century"/>
          <w:rtl/>
        </w:rPr>
        <w:t xml:space="preserve"> </w:t>
      </w:r>
      <w:r w:rsidRPr="006C4917">
        <w:rPr>
          <w:rFonts w:ascii="Century" w:hAnsi="Century" w:hint="eastAsia"/>
          <w:rtl/>
        </w:rPr>
        <w:t>מוסמכת</w:t>
      </w:r>
      <w:r w:rsidRPr="006C4917">
        <w:rPr>
          <w:rFonts w:ascii="Century" w:hAnsi="Century"/>
          <w:rtl/>
        </w:rPr>
        <w:t xml:space="preserve"> </w:t>
      </w:r>
      <w:r w:rsidRPr="006C4917">
        <w:rPr>
          <w:rFonts w:ascii="Century" w:hAnsi="Century" w:hint="eastAsia"/>
          <w:rtl/>
        </w:rPr>
        <w:t>לכונן</w:t>
      </w:r>
      <w:r w:rsidRPr="006C4917">
        <w:rPr>
          <w:rFonts w:ascii="Century" w:hAnsi="Century"/>
          <w:rtl/>
        </w:rPr>
        <w:t xml:space="preserve"> </w:t>
      </w:r>
      <w:r w:rsidRPr="006C4917">
        <w:rPr>
          <w:rFonts w:ascii="Century" w:hAnsi="Century" w:hint="eastAsia"/>
          <w:rtl/>
        </w:rPr>
        <w:t>כל</w:t>
      </w:r>
      <w:r w:rsidRPr="006C4917">
        <w:rPr>
          <w:rFonts w:ascii="Century" w:hAnsi="Century"/>
          <w:rtl/>
        </w:rPr>
        <w:t xml:space="preserve"> </w:t>
      </w:r>
      <w:r w:rsidRPr="006C4917">
        <w:rPr>
          <w:rFonts w:ascii="Century" w:hAnsi="Century" w:hint="eastAsia"/>
          <w:rtl/>
        </w:rPr>
        <w:t>חוק</w:t>
      </w:r>
      <w:r w:rsidRPr="006C4917">
        <w:rPr>
          <w:rFonts w:ascii="Century" w:hAnsi="Century"/>
          <w:rtl/>
        </w:rPr>
        <w:t xml:space="preserve"> </w:t>
      </w:r>
      <w:r w:rsidRPr="006C4917">
        <w:rPr>
          <w:rFonts w:ascii="Century" w:hAnsi="Century" w:hint="eastAsia"/>
          <w:rtl/>
        </w:rPr>
        <w:t>יסוד</w:t>
      </w:r>
      <w:r w:rsidRPr="006C4917">
        <w:rPr>
          <w:rFonts w:ascii="Century" w:hAnsi="Century"/>
          <w:rtl/>
        </w:rPr>
        <w:t xml:space="preserve"> </w:t>
      </w:r>
      <w:r w:rsidRPr="006C4917">
        <w:rPr>
          <w:rFonts w:ascii="Century" w:hAnsi="Century" w:hint="eastAsia"/>
          <w:rtl/>
        </w:rPr>
        <w:t>העולה</w:t>
      </w:r>
      <w:r w:rsidRPr="006C4917">
        <w:rPr>
          <w:rFonts w:ascii="Century" w:hAnsi="Century"/>
          <w:rtl/>
        </w:rPr>
        <w:t xml:space="preserve"> </w:t>
      </w:r>
      <w:r w:rsidRPr="006C4917">
        <w:rPr>
          <w:rFonts w:ascii="Century" w:hAnsi="Century" w:hint="eastAsia"/>
          <w:rtl/>
        </w:rPr>
        <w:t>על</w:t>
      </w:r>
      <w:r w:rsidRPr="006C4917">
        <w:rPr>
          <w:rFonts w:ascii="Century" w:hAnsi="Century"/>
          <w:rtl/>
        </w:rPr>
        <w:t xml:space="preserve"> </w:t>
      </w:r>
      <w:r w:rsidRPr="006C4917">
        <w:rPr>
          <w:rFonts w:ascii="Century" w:hAnsi="Century" w:hint="eastAsia"/>
          <w:rtl/>
        </w:rPr>
        <w:t>דעתה</w:t>
      </w:r>
      <w:r w:rsidRPr="006C4917">
        <w:rPr>
          <w:rFonts w:ascii="Century" w:hAnsi="Century"/>
          <w:rtl/>
        </w:rPr>
        <w:t xml:space="preserve">, אלא עליה לתת את דעתה להיקף סמכותה, הנגזר </w:t>
      </w:r>
      <w:r w:rsidRPr="006C4917">
        <w:rPr>
          <w:rFonts w:ascii="Century" w:hAnsi="Century" w:hint="eastAsia"/>
          <w:rtl/>
        </w:rPr>
        <w:t>מהיותה</w:t>
      </w:r>
      <w:r w:rsidRPr="006C4917">
        <w:rPr>
          <w:rFonts w:ascii="Century" w:hAnsi="Century"/>
          <w:rtl/>
        </w:rPr>
        <w:t xml:space="preserve"> חוליה אחת בשרשרת ארוכה של רשויות מכוננות, שתפקידן לכתוב </w:t>
      </w:r>
      <w:r w:rsidRPr="006C4917">
        <w:rPr>
          <w:rFonts w:ascii="Century" w:hAnsi="Century" w:hint="eastAsia"/>
          <w:rtl/>
        </w:rPr>
        <w:t>במאוחד</w:t>
      </w:r>
      <w:r w:rsidRPr="006C4917">
        <w:rPr>
          <w:rFonts w:ascii="Century" w:hAnsi="Century"/>
          <w:rtl/>
        </w:rPr>
        <w:t xml:space="preserve"> </w:t>
      </w:r>
      <w:r w:rsidRPr="006C4917">
        <w:rPr>
          <w:rFonts w:ascii="Century" w:hAnsi="Century" w:hint="eastAsia"/>
          <w:rtl/>
        </w:rPr>
        <w:t>את</w:t>
      </w:r>
      <w:r w:rsidRPr="006C4917">
        <w:rPr>
          <w:rFonts w:ascii="Century" w:hAnsi="Century"/>
          <w:rtl/>
        </w:rPr>
        <w:t xml:space="preserve"> </w:t>
      </w:r>
      <w:r w:rsidRPr="006C4917">
        <w:rPr>
          <w:rFonts w:ascii="Century" w:hAnsi="Century" w:hint="eastAsia"/>
          <w:rtl/>
        </w:rPr>
        <w:t>חוקתה</w:t>
      </w:r>
      <w:r w:rsidRPr="006C4917">
        <w:rPr>
          <w:rFonts w:ascii="Century" w:hAnsi="Century"/>
          <w:rtl/>
        </w:rPr>
        <w:t xml:space="preserve"> </w:t>
      </w:r>
      <w:r w:rsidRPr="006C4917">
        <w:rPr>
          <w:rFonts w:ascii="Century" w:hAnsi="Century" w:hint="eastAsia"/>
          <w:rtl/>
        </w:rPr>
        <w:t>של</w:t>
      </w:r>
      <w:r w:rsidRPr="006C4917">
        <w:rPr>
          <w:rFonts w:ascii="Century" w:hAnsi="Century"/>
          <w:rtl/>
        </w:rPr>
        <w:t xml:space="preserve"> </w:t>
      </w:r>
      <w:r w:rsidRPr="006C4917">
        <w:rPr>
          <w:rFonts w:ascii="Century" w:hAnsi="Century" w:hint="eastAsia"/>
          <w:rtl/>
        </w:rPr>
        <w:t>מדינת</w:t>
      </w:r>
      <w:r w:rsidRPr="006C4917">
        <w:rPr>
          <w:rFonts w:ascii="Century" w:hAnsi="Century"/>
          <w:rtl/>
        </w:rPr>
        <w:t xml:space="preserve"> </w:t>
      </w:r>
      <w:r w:rsidRPr="006C4917">
        <w:rPr>
          <w:rFonts w:ascii="Century" w:hAnsi="Century" w:hint="eastAsia"/>
          <w:rtl/>
        </w:rPr>
        <w:t>ישראל</w:t>
      </w:r>
      <w:r w:rsidRPr="006C4917">
        <w:rPr>
          <w:rFonts w:ascii="Century" w:hAnsi="Century"/>
          <w:rtl/>
        </w:rPr>
        <w:t xml:space="preserve">. </w:t>
      </w:r>
      <w:r w:rsidRPr="006C4917">
        <w:rPr>
          <w:rFonts w:ascii="Century" w:hAnsi="Century" w:hint="eastAsia"/>
          <w:rtl/>
        </w:rPr>
        <w:t>במילים</w:t>
      </w:r>
      <w:r w:rsidRPr="006C4917">
        <w:rPr>
          <w:rFonts w:ascii="Century" w:hAnsi="Century"/>
          <w:rtl/>
        </w:rPr>
        <w:t xml:space="preserve"> </w:t>
      </w:r>
      <w:r w:rsidRPr="006C4917">
        <w:rPr>
          <w:rFonts w:ascii="Century" w:hAnsi="Century" w:hint="eastAsia"/>
          <w:rtl/>
        </w:rPr>
        <w:t>אחרות</w:t>
      </w:r>
      <w:r w:rsidRPr="006C4917">
        <w:rPr>
          <w:rFonts w:ascii="Century" w:hAnsi="Century"/>
          <w:rtl/>
        </w:rPr>
        <w:t xml:space="preserve">, </w:t>
      </w:r>
      <w:r w:rsidRPr="006C4917">
        <w:rPr>
          <w:rFonts w:ascii="Century" w:hAnsi="Century" w:hint="eastAsia"/>
          <w:rtl/>
        </w:rPr>
        <w:t>על</w:t>
      </w:r>
      <w:r w:rsidRPr="006C4917">
        <w:rPr>
          <w:rFonts w:ascii="Century" w:hAnsi="Century"/>
          <w:rtl/>
        </w:rPr>
        <w:t xml:space="preserve"> </w:t>
      </w:r>
      <w:r w:rsidRPr="006C4917">
        <w:rPr>
          <w:rFonts w:ascii="Century" w:hAnsi="Century" w:hint="eastAsia"/>
          <w:rtl/>
        </w:rPr>
        <w:t>הכנסת</w:t>
      </w:r>
      <w:r w:rsidRPr="006C4917">
        <w:rPr>
          <w:rFonts w:ascii="Century" w:hAnsi="Century"/>
          <w:rtl/>
        </w:rPr>
        <w:t xml:space="preserve"> </w:t>
      </w:r>
      <w:r w:rsidRPr="006C4917">
        <w:rPr>
          <w:rFonts w:ascii="Century" w:hAnsi="Century" w:hint="eastAsia"/>
          <w:rtl/>
        </w:rPr>
        <w:t>הנוכחית</w:t>
      </w:r>
      <w:r w:rsidRPr="006C4917">
        <w:rPr>
          <w:rFonts w:ascii="Century" w:hAnsi="Century"/>
          <w:rtl/>
        </w:rPr>
        <w:t xml:space="preserve">, </w:t>
      </w:r>
      <w:r w:rsidRPr="006C4917">
        <w:rPr>
          <w:rFonts w:ascii="Century" w:hAnsi="Century" w:hint="eastAsia"/>
          <w:rtl/>
        </w:rPr>
        <w:t>בהפעילה</w:t>
      </w:r>
      <w:r w:rsidRPr="006C4917">
        <w:rPr>
          <w:rFonts w:ascii="Century" w:hAnsi="Century"/>
          <w:rtl/>
        </w:rPr>
        <w:t xml:space="preserve"> </w:t>
      </w:r>
      <w:r w:rsidRPr="006C4917">
        <w:rPr>
          <w:rFonts w:ascii="Century" w:hAnsi="Century" w:hint="eastAsia"/>
          <w:rtl/>
        </w:rPr>
        <w:t>את</w:t>
      </w:r>
      <w:r w:rsidRPr="006C4917">
        <w:rPr>
          <w:rFonts w:ascii="Century" w:hAnsi="Century"/>
          <w:rtl/>
        </w:rPr>
        <w:t xml:space="preserve"> </w:t>
      </w:r>
      <w:r w:rsidRPr="006C4917">
        <w:rPr>
          <w:rFonts w:ascii="Century" w:hAnsi="Century" w:hint="eastAsia"/>
          <w:rtl/>
        </w:rPr>
        <w:t>סמכותה</w:t>
      </w:r>
      <w:r w:rsidRPr="006C4917">
        <w:rPr>
          <w:rFonts w:ascii="Century" w:hAnsi="Century"/>
          <w:rtl/>
        </w:rPr>
        <w:t xml:space="preserve"> </w:t>
      </w:r>
      <w:r w:rsidRPr="006C4917">
        <w:rPr>
          <w:rFonts w:ascii="Century" w:hAnsi="Century" w:hint="eastAsia"/>
          <w:rtl/>
        </w:rPr>
        <w:t>המכוננת</w:t>
      </w:r>
      <w:r w:rsidRPr="006C4917">
        <w:rPr>
          <w:rFonts w:ascii="Century" w:hAnsi="Century"/>
          <w:rtl/>
        </w:rPr>
        <w:t xml:space="preserve">, </w:t>
      </w:r>
      <w:r w:rsidRPr="006C4917">
        <w:rPr>
          <w:rFonts w:ascii="Century" w:hAnsi="Century" w:hint="eastAsia"/>
          <w:rtl/>
        </w:rPr>
        <w:t>לתת</w:t>
      </w:r>
      <w:r w:rsidRPr="006C4917">
        <w:rPr>
          <w:rFonts w:ascii="Century" w:hAnsi="Century"/>
          <w:rtl/>
        </w:rPr>
        <w:t xml:space="preserve"> </w:t>
      </w:r>
      <w:r w:rsidRPr="006C4917">
        <w:rPr>
          <w:rFonts w:ascii="Century" w:hAnsi="Century" w:hint="eastAsia"/>
          <w:rtl/>
        </w:rPr>
        <w:t>דעתה</w:t>
      </w:r>
      <w:r w:rsidRPr="006C4917">
        <w:rPr>
          <w:rFonts w:ascii="Century" w:hAnsi="Century"/>
          <w:rtl/>
        </w:rPr>
        <w:t xml:space="preserve"> </w:t>
      </w:r>
      <w:r w:rsidRPr="006C4917">
        <w:rPr>
          <w:rFonts w:ascii="Century" w:hAnsi="Century" w:hint="eastAsia"/>
          <w:rtl/>
        </w:rPr>
        <w:t>על</w:t>
      </w:r>
      <w:r w:rsidRPr="006C4917">
        <w:rPr>
          <w:rFonts w:ascii="Century" w:hAnsi="Century"/>
          <w:rtl/>
        </w:rPr>
        <w:t xml:space="preserve"> </w:t>
      </w:r>
      <w:r w:rsidRPr="006C4917">
        <w:rPr>
          <w:rFonts w:ascii="Century" w:hAnsi="Century" w:hint="eastAsia"/>
          <w:rtl/>
        </w:rPr>
        <w:t>כך</w:t>
      </w:r>
      <w:r w:rsidRPr="006C4917">
        <w:rPr>
          <w:rFonts w:ascii="Century" w:hAnsi="Century"/>
          <w:rtl/>
        </w:rPr>
        <w:t xml:space="preserve"> </w:t>
      </w:r>
      <w:r w:rsidRPr="006C4917">
        <w:rPr>
          <w:rFonts w:ascii="Century" w:hAnsi="Century" w:hint="eastAsia"/>
          <w:rtl/>
        </w:rPr>
        <w:t>שאיננה</w:t>
      </w:r>
      <w:r w:rsidRPr="006C4917">
        <w:rPr>
          <w:rFonts w:ascii="Century" w:hAnsi="Century"/>
          <w:rtl/>
        </w:rPr>
        <w:t xml:space="preserve"> </w:t>
      </w:r>
      <w:r w:rsidRPr="006C4917">
        <w:rPr>
          <w:rFonts w:ascii="Century" w:hAnsi="Century" w:hint="eastAsia"/>
          <w:rtl/>
        </w:rPr>
        <w:t>יוצרת</w:t>
      </w:r>
      <w:r w:rsidRPr="006C4917">
        <w:rPr>
          <w:rFonts w:ascii="Century" w:hAnsi="Century"/>
          <w:rtl/>
        </w:rPr>
        <w:t xml:space="preserve"> חוקה חדשה מבראשית, אלא </w:t>
      </w:r>
      <w:r w:rsidRPr="006C4917">
        <w:rPr>
          <w:rFonts w:ascii="Century" w:hAnsi="Century" w:hint="eastAsia"/>
          <w:rtl/>
        </w:rPr>
        <w:t>היא</w:t>
      </w:r>
      <w:r w:rsidRPr="006C4917">
        <w:rPr>
          <w:rFonts w:ascii="Century" w:hAnsi="Century"/>
          <w:rtl/>
        </w:rPr>
        <w:t xml:space="preserve"> </w:t>
      </w:r>
      <w:r w:rsidRPr="006C4917">
        <w:rPr>
          <w:rFonts w:ascii="Century" w:hAnsi="Century" w:hint="eastAsia"/>
          <w:rtl/>
        </w:rPr>
        <w:t>חלק</w:t>
      </w:r>
      <w:r w:rsidRPr="006C4917">
        <w:rPr>
          <w:rFonts w:ascii="Century" w:hAnsi="Century"/>
          <w:rtl/>
        </w:rPr>
        <w:t xml:space="preserve"> </w:t>
      </w:r>
      <w:r w:rsidRPr="006C4917">
        <w:rPr>
          <w:rFonts w:ascii="Century" w:hAnsi="Century" w:hint="eastAsia"/>
          <w:rtl/>
        </w:rPr>
        <w:t>מפרויקט</w:t>
      </w:r>
      <w:r w:rsidRPr="006C4917">
        <w:rPr>
          <w:rFonts w:ascii="Century" w:hAnsi="Century"/>
          <w:rtl/>
        </w:rPr>
        <w:t xml:space="preserve"> </w:t>
      </w:r>
      <w:r w:rsidRPr="006C4917">
        <w:rPr>
          <w:rFonts w:ascii="Century" w:hAnsi="Century" w:hint="eastAsia"/>
          <w:rtl/>
        </w:rPr>
        <w:t>מתמשך</w:t>
      </w:r>
      <w:r w:rsidRPr="006C4917">
        <w:rPr>
          <w:rFonts w:ascii="Century" w:hAnsi="Century"/>
          <w:rtl/>
        </w:rPr>
        <w:t xml:space="preserve"> </w:t>
      </w:r>
      <w:r w:rsidRPr="006C4917">
        <w:rPr>
          <w:rFonts w:ascii="Century" w:hAnsi="Century" w:hint="eastAsia"/>
          <w:rtl/>
        </w:rPr>
        <w:t>אותו</w:t>
      </w:r>
      <w:r w:rsidRPr="006C4917">
        <w:rPr>
          <w:rFonts w:ascii="Century" w:hAnsi="Century"/>
          <w:rtl/>
        </w:rPr>
        <w:t xml:space="preserve"> </w:t>
      </w:r>
      <w:r w:rsidRPr="006C4917">
        <w:rPr>
          <w:rFonts w:ascii="Century" w:hAnsi="Century" w:hint="eastAsia"/>
          <w:rtl/>
        </w:rPr>
        <w:t>כיניתי</w:t>
      </w:r>
      <w:r w:rsidRPr="006C4917">
        <w:rPr>
          <w:rFonts w:ascii="Century" w:hAnsi="Century"/>
          <w:rtl/>
        </w:rPr>
        <w:t xml:space="preserve"> "חוקה </w:t>
      </w:r>
      <w:r w:rsidRPr="006C4917">
        <w:rPr>
          <w:rFonts w:ascii="Century" w:hAnsi="Century" w:hint="eastAsia"/>
          <w:rtl/>
        </w:rPr>
        <w:t>בהתהוות</w:t>
      </w:r>
      <w:r w:rsidRPr="006C4917">
        <w:rPr>
          <w:rFonts w:ascii="Century" w:hAnsi="Century"/>
          <w:rtl/>
        </w:rPr>
        <w:t xml:space="preserve">". </w:t>
      </w:r>
      <w:r w:rsidRPr="006C4917">
        <w:rPr>
          <w:rFonts w:ascii="Century" w:hAnsi="Century" w:hint="eastAsia"/>
          <w:rtl/>
        </w:rPr>
        <w:t>במסגרת</w:t>
      </w:r>
      <w:r w:rsidRPr="006C4917">
        <w:rPr>
          <w:rFonts w:ascii="Century" w:hAnsi="Century"/>
          <w:rtl/>
        </w:rPr>
        <w:t xml:space="preserve"> </w:t>
      </w:r>
      <w:r w:rsidRPr="006C4917">
        <w:rPr>
          <w:rFonts w:ascii="Century" w:hAnsi="Century" w:hint="eastAsia"/>
          <w:rtl/>
        </w:rPr>
        <w:t>פרויקט</w:t>
      </w:r>
      <w:r w:rsidRPr="006C4917">
        <w:rPr>
          <w:rFonts w:ascii="Century" w:hAnsi="Century"/>
          <w:rtl/>
        </w:rPr>
        <w:t xml:space="preserve"> </w:t>
      </w:r>
      <w:r w:rsidRPr="006C4917">
        <w:rPr>
          <w:rFonts w:ascii="Century" w:hAnsi="Century" w:hint="eastAsia"/>
          <w:rtl/>
        </w:rPr>
        <w:t>זה</w:t>
      </w:r>
      <w:r w:rsidRPr="006C4917">
        <w:rPr>
          <w:rFonts w:ascii="Century" w:hAnsi="Century"/>
          <w:rtl/>
        </w:rPr>
        <w:t xml:space="preserve"> </w:t>
      </w:r>
      <w:r w:rsidRPr="006C4917">
        <w:rPr>
          <w:rFonts w:ascii="Century" w:hAnsi="Century" w:hint="eastAsia"/>
          <w:rtl/>
        </w:rPr>
        <w:t>בסמכותה</w:t>
      </w:r>
      <w:r w:rsidRPr="006C4917">
        <w:rPr>
          <w:rFonts w:ascii="Century" w:hAnsi="Century"/>
          <w:rtl/>
        </w:rPr>
        <w:t xml:space="preserve"> </w:t>
      </w:r>
      <w:r w:rsidRPr="006C4917">
        <w:rPr>
          <w:rFonts w:ascii="Century" w:hAnsi="Century" w:hint="eastAsia"/>
          <w:rtl/>
        </w:rPr>
        <w:t>לכתוב</w:t>
      </w:r>
      <w:r w:rsidRPr="006C4917">
        <w:rPr>
          <w:rFonts w:ascii="Century" w:hAnsi="Century"/>
          <w:rtl/>
        </w:rPr>
        <w:t xml:space="preserve"> </w:t>
      </w:r>
      <w:r w:rsidRPr="006C4917">
        <w:rPr>
          <w:rFonts w:ascii="Century" w:hAnsi="Century" w:hint="eastAsia"/>
          <w:rtl/>
        </w:rPr>
        <w:t>פרקים</w:t>
      </w:r>
      <w:r w:rsidRPr="006C4917">
        <w:rPr>
          <w:rFonts w:ascii="Century" w:hAnsi="Century"/>
          <w:rtl/>
        </w:rPr>
        <w:t xml:space="preserve"> </w:t>
      </w:r>
      <w:r w:rsidRPr="006C4917">
        <w:rPr>
          <w:rFonts w:ascii="Century" w:hAnsi="Century" w:hint="eastAsia"/>
          <w:rtl/>
        </w:rPr>
        <w:t>חדשים</w:t>
      </w:r>
      <w:r w:rsidRPr="006C4917">
        <w:rPr>
          <w:rFonts w:ascii="Century" w:hAnsi="Century"/>
          <w:rtl/>
        </w:rPr>
        <w:t xml:space="preserve">, </w:t>
      </w:r>
      <w:r w:rsidRPr="006C4917">
        <w:rPr>
          <w:rFonts w:ascii="Century" w:hAnsi="Century" w:hint="eastAsia"/>
          <w:rtl/>
        </w:rPr>
        <w:t>ואף</w:t>
      </w:r>
      <w:r w:rsidRPr="006C4917">
        <w:rPr>
          <w:rFonts w:ascii="Century" w:hAnsi="Century"/>
          <w:rtl/>
        </w:rPr>
        <w:t xml:space="preserve"> </w:t>
      </w:r>
      <w:r w:rsidRPr="006C4917">
        <w:rPr>
          <w:rFonts w:ascii="Century" w:hAnsi="Century" w:hint="eastAsia"/>
          <w:rtl/>
        </w:rPr>
        <w:t>לתקן</w:t>
      </w:r>
      <w:r w:rsidRPr="006C4917">
        <w:rPr>
          <w:rFonts w:ascii="Century" w:hAnsi="Century"/>
          <w:rtl/>
        </w:rPr>
        <w:t xml:space="preserve"> </w:t>
      </w:r>
      <w:r w:rsidRPr="006C4917">
        <w:rPr>
          <w:rFonts w:ascii="Century" w:hAnsi="Century" w:hint="eastAsia"/>
          <w:rtl/>
        </w:rPr>
        <w:t>את</w:t>
      </w:r>
      <w:r w:rsidRPr="006C4917">
        <w:rPr>
          <w:rFonts w:ascii="Century" w:hAnsi="Century"/>
          <w:rtl/>
        </w:rPr>
        <w:t xml:space="preserve"> </w:t>
      </w:r>
      <w:r w:rsidRPr="006C4917">
        <w:rPr>
          <w:rFonts w:ascii="Century" w:hAnsi="Century" w:hint="eastAsia"/>
          <w:rtl/>
        </w:rPr>
        <w:t>הפרקים</w:t>
      </w:r>
      <w:r w:rsidRPr="006C4917">
        <w:rPr>
          <w:rFonts w:ascii="Century" w:hAnsi="Century"/>
          <w:rtl/>
        </w:rPr>
        <w:t xml:space="preserve"> </w:t>
      </w:r>
      <w:r w:rsidRPr="006C4917">
        <w:rPr>
          <w:rFonts w:ascii="Century" w:hAnsi="Century" w:hint="eastAsia"/>
          <w:rtl/>
        </w:rPr>
        <w:t>הקודמים</w:t>
      </w:r>
      <w:r w:rsidRPr="006C4917">
        <w:rPr>
          <w:rFonts w:ascii="Century" w:hAnsi="Century"/>
          <w:rtl/>
        </w:rPr>
        <w:t xml:space="preserve">, </w:t>
      </w:r>
      <w:r w:rsidRPr="006C4917">
        <w:rPr>
          <w:rFonts w:ascii="Century" w:hAnsi="Century" w:hint="eastAsia"/>
          <w:rtl/>
        </w:rPr>
        <w:t>אך</w:t>
      </w:r>
      <w:r w:rsidRPr="006C4917">
        <w:rPr>
          <w:rFonts w:ascii="Century" w:hAnsi="Century"/>
          <w:rtl/>
        </w:rPr>
        <w:t xml:space="preserve"> </w:t>
      </w:r>
      <w:r w:rsidRPr="006C4917">
        <w:rPr>
          <w:rFonts w:ascii="Century" w:hAnsi="Century" w:hint="eastAsia"/>
          <w:rtl/>
        </w:rPr>
        <w:t>אין</w:t>
      </w:r>
      <w:r w:rsidRPr="006C4917">
        <w:rPr>
          <w:rFonts w:ascii="Century" w:hAnsi="Century"/>
          <w:rtl/>
        </w:rPr>
        <w:t xml:space="preserve"> </w:t>
      </w:r>
      <w:r w:rsidRPr="006C4917">
        <w:rPr>
          <w:rFonts w:ascii="Century" w:hAnsi="Century" w:hint="eastAsia"/>
          <w:rtl/>
        </w:rPr>
        <w:t>באפשרותה</w:t>
      </w:r>
      <w:r w:rsidRPr="006C4917">
        <w:rPr>
          <w:rFonts w:ascii="Century" w:hAnsi="Century"/>
          <w:rtl/>
        </w:rPr>
        <w:t xml:space="preserve"> </w:t>
      </w:r>
      <w:r w:rsidRPr="006C4917">
        <w:rPr>
          <w:rFonts w:ascii="Century" w:hAnsi="Century" w:hint="eastAsia"/>
          <w:rtl/>
        </w:rPr>
        <w:t>להתעלם</w:t>
      </w:r>
      <w:r w:rsidRPr="006C4917">
        <w:rPr>
          <w:rFonts w:ascii="Century" w:hAnsi="Century"/>
          <w:rtl/>
        </w:rPr>
        <w:t xml:space="preserve"> </w:t>
      </w:r>
      <w:r w:rsidRPr="006C4917">
        <w:rPr>
          <w:rFonts w:ascii="Century" w:hAnsi="Century" w:hint="eastAsia"/>
          <w:rtl/>
        </w:rPr>
        <w:t>מהפרויקט</w:t>
      </w:r>
      <w:r w:rsidRPr="006C4917">
        <w:rPr>
          <w:rFonts w:ascii="Century" w:hAnsi="Century"/>
          <w:rtl/>
        </w:rPr>
        <w:t xml:space="preserve"> </w:t>
      </w:r>
      <w:r w:rsidRPr="006C4917">
        <w:rPr>
          <w:rFonts w:ascii="Century" w:hAnsi="Century" w:hint="eastAsia"/>
          <w:rtl/>
        </w:rPr>
        <w:t>שהתעצב</w:t>
      </w:r>
      <w:r w:rsidRPr="006C4917">
        <w:rPr>
          <w:rFonts w:ascii="Century" w:hAnsi="Century"/>
          <w:rtl/>
        </w:rPr>
        <w:t xml:space="preserve"> </w:t>
      </w:r>
      <w:r w:rsidRPr="006C4917">
        <w:rPr>
          <w:rFonts w:ascii="Century" w:hAnsi="Century" w:hint="eastAsia"/>
          <w:rtl/>
        </w:rPr>
        <w:t>עד</w:t>
      </w:r>
      <w:r w:rsidRPr="006C4917">
        <w:rPr>
          <w:rFonts w:ascii="Century" w:hAnsi="Century"/>
          <w:rtl/>
        </w:rPr>
        <w:t xml:space="preserve"> </w:t>
      </w:r>
      <w:r w:rsidRPr="006C4917">
        <w:rPr>
          <w:rFonts w:ascii="Century" w:hAnsi="Century" w:hint="eastAsia"/>
          <w:rtl/>
        </w:rPr>
        <w:t>כה</w:t>
      </w:r>
      <w:r w:rsidRPr="006C4917">
        <w:rPr>
          <w:rFonts w:ascii="Century" w:hAnsi="Century"/>
          <w:rtl/>
        </w:rPr>
        <w:t xml:space="preserve">, </w:t>
      </w:r>
      <w:r w:rsidRPr="006C4917">
        <w:rPr>
          <w:rFonts w:ascii="Century" w:hAnsi="Century" w:hint="eastAsia"/>
          <w:rtl/>
        </w:rPr>
        <w:t>מ</w:t>
      </w:r>
      <w:r w:rsidRPr="006C4917">
        <w:rPr>
          <w:rFonts w:ascii="Century" w:hAnsi="Century"/>
          <w:rtl/>
        </w:rPr>
        <w:t xml:space="preserve">"החוקה </w:t>
      </w:r>
      <w:r w:rsidRPr="006C4917">
        <w:rPr>
          <w:rFonts w:ascii="Century" w:hAnsi="Century" w:hint="eastAsia"/>
          <w:rtl/>
        </w:rPr>
        <w:lastRenderedPageBreak/>
        <w:t>בהתהוות</w:t>
      </w:r>
      <w:r w:rsidRPr="006C4917">
        <w:rPr>
          <w:rFonts w:ascii="Century" w:hAnsi="Century"/>
          <w:rtl/>
        </w:rPr>
        <w:t xml:space="preserve">" </w:t>
      </w:r>
      <w:r w:rsidRPr="006C4917">
        <w:rPr>
          <w:rFonts w:ascii="Century" w:hAnsi="Century" w:hint="cs"/>
          <w:rtl/>
        </w:rPr>
        <w:t>ב</w:t>
      </w:r>
      <w:r w:rsidRPr="006C4917">
        <w:rPr>
          <w:rFonts w:ascii="Century" w:hAnsi="Century" w:hint="eastAsia"/>
          <w:rtl/>
        </w:rPr>
        <w:t>מצבה</w:t>
      </w:r>
      <w:r w:rsidRPr="006C4917">
        <w:rPr>
          <w:rFonts w:ascii="Century" w:hAnsi="Century"/>
          <w:rtl/>
        </w:rPr>
        <w:t xml:space="preserve"> </w:t>
      </w:r>
      <w:r w:rsidRPr="006C4917">
        <w:rPr>
          <w:rFonts w:ascii="Century" w:hAnsi="Century" w:hint="eastAsia"/>
          <w:rtl/>
        </w:rPr>
        <w:t>ה</w:t>
      </w:r>
      <w:r w:rsidRPr="006C4917">
        <w:rPr>
          <w:rFonts w:ascii="Century" w:hAnsi="Century" w:hint="cs"/>
          <w:rtl/>
        </w:rPr>
        <w:t>נוכחי</w:t>
      </w:r>
      <w:r w:rsidRPr="006C4917">
        <w:rPr>
          <w:rFonts w:ascii="Century" w:hAnsi="Century"/>
          <w:rtl/>
        </w:rPr>
        <w:t xml:space="preserve">. </w:t>
      </w:r>
      <w:r w:rsidRPr="006C4917">
        <w:rPr>
          <w:rFonts w:ascii="Century" w:hAnsi="Century" w:hint="eastAsia"/>
          <w:rtl/>
        </w:rPr>
        <w:t>למגבלה</w:t>
      </w:r>
      <w:r w:rsidRPr="006C4917">
        <w:rPr>
          <w:rFonts w:ascii="Century" w:hAnsi="Century"/>
          <w:rtl/>
        </w:rPr>
        <w:t xml:space="preserve"> </w:t>
      </w:r>
      <w:r w:rsidRPr="006C4917">
        <w:rPr>
          <w:rFonts w:ascii="Century" w:hAnsi="Century" w:hint="eastAsia"/>
          <w:rtl/>
        </w:rPr>
        <w:t>זו</w:t>
      </w:r>
      <w:r w:rsidRPr="006C4917">
        <w:rPr>
          <w:rFonts w:ascii="Century" w:hAnsi="Century"/>
          <w:rtl/>
        </w:rPr>
        <w:t xml:space="preserve"> </w:t>
      </w:r>
      <w:r w:rsidRPr="006C4917">
        <w:rPr>
          <w:rFonts w:ascii="Century" w:hAnsi="Century" w:hint="eastAsia"/>
          <w:rtl/>
        </w:rPr>
        <w:t>ש</w:t>
      </w:r>
      <w:r w:rsidRPr="006C4917">
        <w:rPr>
          <w:rFonts w:ascii="Century" w:hAnsi="Century" w:hint="cs"/>
          <w:rtl/>
        </w:rPr>
        <w:t>תי הצדקות נורמטיביות:</w:t>
      </w:r>
      <w:r w:rsidRPr="006C4917">
        <w:rPr>
          <w:rFonts w:ascii="Century" w:hAnsi="Century"/>
          <w:rtl/>
        </w:rPr>
        <w:t xml:space="preserve"> </w:t>
      </w:r>
      <w:r w:rsidRPr="006C4917">
        <w:rPr>
          <w:rFonts w:ascii="Century" w:hAnsi="Century" w:hint="eastAsia"/>
          <w:rtl/>
        </w:rPr>
        <w:t>האח</w:t>
      </w:r>
      <w:r w:rsidRPr="006C4917">
        <w:rPr>
          <w:rFonts w:ascii="Century" w:hAnsi="Century" w:hint="cs"/>
          <w:rtl/>
        </w:rPr>
        <w:t>ת,</w:t>
      </w:r>
      <w:r w:rsidRPr="006C4917">
        <w:rPr>
          <w:rFonts w:ascii="Century" w:hAnsi="Century"/>
          <w:rtl/>
        </w:rPr>
        <w:t xml:space="preserve"> </w:t>
      </w:r>
      <w:r w:rsidRPr="006C4917">
        <w:rPr>
          <w:rFonts w:ascii="Century" w:hAnsi="Century" w:hint="cs"/>
          <w:rtl/>
        </w:rPr>
        <w:t xml:space="preserve">עניינה </w:t>
      </w:r>
      <w:r w:rsidRPr="006C4917">
        <w:rPr>
          <w:rFonts w:ascii="Century" w:hAnsi="Century" w:hint="eastAsia"/>
          <w:rtl/>
        </w:rPr>
        <w:t>היקף</w:t>
      </w:r>
      <w:r w:rsidRPr="006C4917">
        <w:rPr>
          <w:rFonts w:ascii="Century" w:hAnsi="Century"/>
          <w:rtl/>
        </w:rPr>
        <w:t xml:space="preserve"> </w:t>
      </w:r>
      <w:r w:rsidRPr="006C4917">
        <w:rPr>
          <w:rFonts w:hint="cs"/>
          <w:rtl/>
        </w:rPr>
        <w:t>ההסמכה</w:t>
      </w:r>
      <w:r w:rsidRPr="006C4917">
        <w:rPr>
          <w:rtl/>
        </w:rPr>
        <w:t xml:space="preserve"> </w:t>
      </w:r>
      <w:r w:rsidRPr="006C4917">
        <w:rPr>
          <w:rFonts w:ascii="Century" w:hAnsi="Century" w:hint="eastAsia"/>
          <w:rtl/>
        </w:rPr>
        <w:t>שקיבלה</w:t>
      </w:r>
      <w:r w:rsidRPr="006C4917">
        <w:rPr>
          <w:rFonts w:ascii="Century" w:hAnsi="Century"/>
          <w:rtl/>
        </w:rPr>
        <w:t xml:space="preserve"> הכנסת הנוכחית להשתתף במפעל החוקה (להלן: </w:t>
      </w:r>
      <w:r w:rsidRPr="006C4917">
        <w:rPr>
          <w:rFonts w:ascii="Century" w:hAnsi="Century" w:cs="Miriam" w:hint="eastAsia"/>
          <w:b/>
          <w:spacing w:val="0"/>
          <w:szCs w:val="24"/>
          <w:rtl/>
        </w:rPr>
        <w:t>היקף</w:t>
      </w:r>
      <w:r w:rsidRPr="006C4917">
        <w:rPr>
          <w:rFonts w:ascii="Century" w:hAnsi="Century" w:cs="Miriam"/>
          <w:b/>
          <w:spacing w:val="0"/>
          <w:szCs w:val="24"/>
          <w:rtl/>
        </w:rPr>
        <w:t xml:space="preserve"> </w:t>
      </w:r>
      <w:r w:rsidRPr="006C4917">
        <w:rPr>
          <w:rFonts w:ascii="Century" w:hAnsi="Century" w:cs="Miriam" w:hint="eastAsia"/>
          <w:b/>
          <w:spacing w:val="0"/>
          <w:szCs w:val="24"/>
          <w:rtl/>
        </w:rPr>
        <w:t>ההסמכה</w:t>
      </w:r>
      <w:r w:rsidRPr="006C4917">
        <w:rPr>
          <w:rFonts w:ascii="Century" w:hAnsi="Century" w:cs="Miriam"/>
          <w:b/>
          <w:spacing w:val="0"/>
          <w:szCs w:val="24"/>
          <w:rtl/>
        </w:rPr>
        <w:t xml:space="preserve"> שניתנה לכנסת הנוכחית</w:t>
      </w:r>
      <w:r w:rsidRPr="006C4917">
        <w:rPr>
          <w:rFonts w:ascii="Century" w:hAnsi="Century"/>
          <w:rtl/>
        </w:rPr>
        <w:t xml:space="preserve">); </w:t>
      </w:r>
      <w:r w:rsidRPr="006C4917">
        <w:rPr>
          <w:rFonts w:ascii="Century" w:hAnsi="Century" w:hint="eastAsia"/>
          <w:rtl/>
        </w:rPr>
        <w:t>השני</w:t>
      </w:r>
      <w:r w:rsidRPr="006C4917">
        <w:rPr>
          <w:rFonts w:ascii="Century" w:hAnsi="Century" w:hint="cs"/>
          <w:rtl/>
        </w:rPr>
        <w:t>יה,</w:t>
      </w:r>
      <w:r w:rsidRPr="006C4917">
        <w:rPr>
          <w:rFonts w:ascii="Century" w:hAnsi="Century"/>
          <w:rtl/>
        </w:rPr>
        <w:t xml:space="preserve"> </w:t>
      </w:r>
      <w:r w:rsidRPr="006C4917">
        <w:rPr>
          <w:rFonts w:ascii="Century" w:hAnsi="Century" w:hint="cs"/>
          <w:rtl/>
        </w:rPr>
        <w:t>נעוצה בת</w:t>
      </w:r>
      <w:r w:rsidRPr="006C4917">
        <w:rPr>
          <w:rFonts w:ascii="Century" w:hAnsi="Century" w:hint="eastAsia"/>
          <w:rtl/>
        </w:rPr>
        <w:t>כלית</w:t>
      </w:r>
      <w:r w:rsidRPr="006C4917">
        <w:rPr>
          <w:rFonts w:ascii="Century" w:hAnsi="Century"/>
          <w:rtl/>
        </w:rPr>
        <w:t xml:space="preserve"> </w:t>
      </w:r>
      <w:r w:rsidRPr="006C4917">
        <w:rPr>
          <w:rFonts w:ascii="Century" w:hAnsi="Century" w:hint="eastAsia"/>
          <w:rtl/>
        </w:rPr>
        <w:t>ההסמכה</w:t>
      </w:r>
      <w:r w:rsidRPr="006C4917">
        <w:rPr>
          <w:rFonts w:ascii="Century" w:hAnsi="Century"/>
          <w:rtl/>
        </w:rPr>
        <w:t xml:space="preserve"> שניתנה לכנסת לכינון חוקה (להלן: </w:t>
      </w:r>
      <w:r w:rsidRPr="006C4917">
        <w:rPr>
          <w:rFonts w:ascii="Century" w:hAnsi="Century" w:cs="Miriam" w:hint="eastAsia"/>
          <w:b/>
          <w:spacing w:val="0"/>
          <w:szCs w:val="24"/>
          <w:rtl/>
        </w:rPr>
        <w:t>תכלית</w:t>
      </w:r>
      <w:r w:rsidRPr="006C4917">
        <w:rPr>
          <w:rFonts w:ascii="Century" w:hAnsi="Century" w:cs="Miriam"/>
          <w:b/>
          <w:spacing w:val="0"/>
          <w:szCs w:val="24"/>
          <w:rtl/>
        </w:rPr>
        <w:t xml:space="preserve"> </w:t>
      </w:r>
      <w:r w:rsidRPr="006C4917">
        <w:rPr>
          <w:rFonts w:ascii="Century" w:hAnsi="Century" w:cs="Miriam" w:hint="eastAsia"/>
          <w:b/>
          <w:spacing w:val="0"/>
          <w:szCs w:val="24"/>
          <w:rtl/>
        </w:rPr>
        <w:t>ההסמכה</w:t>
      </w:r>
      <w:r w:rsidRPr="006C4917">
        <w:rPr>
          <w:rFonts w:ascii="Century" w:hAnsi="Century" w:cs="Miriam"/>
          <w:b/>
          <w:spacing w:val="0"/>
          <w:szCs w:val="24"/>
          <w:rtl/>
        </w:rPr>
        <w:t xml:space="preserve"> </w:t>
      </w:r>
      <w:r w:rsidRPr="006C4917">
        <w:rPr>
          <w:rFonts w:ascii="Century" w:hAnsi="Century" w:cs="Miriam" w:hint="eastAsia"/>
          <w:b/>
          <w:spacing w:val="0"/>
          <w:szCs w:val="24"/>
          <w:rtl/>
        </w:rPr>
        <w:t>לכינון</w:t>
      </w:r>
      <w:r w:rsidRPr="006C4917">
        <w:rPr>
          <w:rFonts w:ascii="Century" w:hAnsi="Century" w:cs="Miriam"/>
          <w:b/>
          <w:spacing w:val="0"/>
          <w:szCs w:val="24"/>
          <w:rtl/>
        </w:rPr>
        <w:t xml:space="preserve"> </w:t>
      </w:r>
      <w:r w:rsidRPr="006C4917">
        <w:rPr>
          <w:rFonts w:ascii="Century" w:hAnsi="Century" w:cs="Miriam" w:hint="eastAsia"/>
          <w:b/>
          <w:spacing w:val="0"/>
          <w:szCs w:val="24"/>
          <w:rtl/>
        </w:rPr>
        <w:t>חוקה</w:t>
      </w:r>
      <w:r w:rsidRPr="006C4917">
        <w:rPr>
          <w:rFonts w:ascii="Century" w:hAnsi="Century"/>
          <w:rtl/>
        </w:rPr>
        <w:t>)</w:t>
      </w:r>
      <w:r w:rsidRPr="006C4917">
        <w:rPr>
          <w:rFonts w:ascii="Century" w:hAnsi="Century" w:hint="cs"/>
          <w:b/>
          <w:spacing w:val="0"/>
          <w:rtl/>
        </w:rPr>
        <w:t>. אפרט קמעה ביחס להצדקות אלה.</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 xml:space="preserve">ההצדקה הראשונה, שעניינה היקף ההסמכה שניתנה לכנסת הנוכחית, נשענת על התהליך שהביא לכך שלכנסת הנוכחית נתונה הסמכות לפעול בכובעה המכונן. כמובהר, סמכות זו מקורה בהחלטת הררי, אשר שינתה את שיטת קביעת החוקה: מחוקה שתתקבל על ידי האסיפה המכוננת במהלך אחד </w:t>
      </w:r>
      <w:r w:rsidRPr="006C4917">
        <w:rPr>
          <w:rtl/>
        </w:rPr>
        <w:t>–</w:t>
      </w:r>
      <w:r w:rsidRPr="006C4917">
        <w:rPr>
          <w:rFonts w:hint="cs"/>
          <w:rtl/>
        </w:rPr>
        <w:t xml:space="preserve"> דהיינו ב"כור ההיתוך החוקתי" </w:t>
      </w:r>
      <w:r w:rsidRPr="006C4917">
        <w:rPr>
          <w:rtl/>
        </w:rPr>
        <w:t>–</w:t>
      </w:r>
      <w:r w:rsidRPr="006C4917">
        <w:rPr>
          <w:rFonts w:hint="cs"/>
          <w:rtl/>
        </w:rPr>
        <w:t xml:space="preserve"> לחוקה שתתקבל בשלבים</w:t>
      </w:r>
      <w:r w:rsidRPr="006C4917">
        <w:rPr>
          <w:rtl/>
        </w:rPr>
        <w:t>, "</w:t>
      </w:r>
      <w:r w:rsidRPr="006C4917">
        <w:rPr>
          <w:rFonts w:hint="eastAsia"/>
          <w:rtl/>
        </w:rPr>
        <w:t>פרקים</w:t>
      </w:r>
      <w:r w:rsidRPr="006C4917">
        <w:rPr>
          <w:rtl/>
        </w:rPr>
        <w:t xml:space="preserve"> </w:t>
      </w:r>
      <w:r w:rsidRPr="006C4917">
        <w:rPr>
          <w:rFonts w:hint="eastAsia"/>
          <w:rtl/>
        </w:rPr>
        <w:t>פרקים</w:t>
      </w:r>
      <w:r w:rsidRPr="006C4917">
        <w:rPr>
          <w:rtl/>
        </w:rPr>
        <w:t xml:space="preserve">", </w:t>
      </w:r>
      <w:r w:rsidRPr="006C4917">
        <w:rPr>
          <w:rFonts w:hint="eastAsia"/>
          <w:rtl/>
        </w:rPr>
        <w:t>על</w:t>
      </w:r>
      <w:r w:rsidRPr="006C4917">
        <w:rPr>
          <w:rtl/>
        </w:rPr>
        <w:t xml:space="preserve"> </w:t>
      </w:r>
      <w:r w:rsidRPr="006C4917">
        <w:rPr>
          <w:rFonts w:hint="eastAsia"/>
          <w:rtl/>
        </w:rPr>
        <w:t>ידי</w:t>
      </w:r>
      <w:r w:rsidRPr="006C4917">
        <w:rPr>
          <w:rtl/>
        </w:rPr>
        <w:t xml:space="preserve"> </w:t>
      </w:r>
      <w:r w:rsidRPr="006C4917">
        <w:rPr>
          <w:rFonts w:hint="eastAsia"/>
          <w:rtl/>
        </w:rPr>
        <w:t>מספר</w:t>
      </w:r>
      <w:r w:rsidRPr="006C4917">
        <w:rPr>
          <w:rtl/>
        </w:rPr>
        <w:t xml:space="preserve"> </w:t>
      </w:r>
      <w:r w:rsidRPr="006C4917">
        <w:rPr>
          <w:rFonts w:hint="eastAsia"/>
          <w:rtl/>
        </w:rPr>
        <w:t>בלתי</w:t>
      </w:r>
      <w:r w:rsidRPr="006C4917">
        <w:rPr>
          <w:rtl/>
        </w:rPr>
        <w:t xml:space="preserve"> </w:t>
      </w:r>
      <w:r w:rsidRPr="006C4917">
        <w:rPr>
          <w:rFonts w:hint="eastAsia"/>
          <w:rtl/>
        </w:rPr>
        <w:t>ידוע</w:t>
      </w:r>
      <w:r w:rsidRPr="006C4917">
        <w:rPr>
          <w:rtl/>
        </w:rPr>
        <w:t xml:space="preserve"> </w:t>
      </w:r>
      <w:r w:rsidRPr="006C4917">
        <w:rPr>
          <w:rFonts w:hint="eastAsia"/>
          <w:rtl/>
        </w:rPr>
        <w:t>של</w:t>
      </w:r>
      <w:r w:rsidRPr="006C4917">
        <w:rPr>
          <w:rtl/>
        </w:rPr>
        <w:t xml:space="preserve"> </w:t>
      </w:r>
      <w:r w:rsidRPr="006C4917">
        <w:rPr>
          <w:rFonts w:hint="eastAsia"/>
          <w:rtl/>
        </w:rPr>
        <w:t>כנסות</w:t>
      </w:r>
      <w:r w:rsidRPr="006C4917">
        <w:rPr>
          <w:rtl/>
        </w:rPr>
        <w:t xml:space="preserve">, </w:t>
      </w:r>
      <w:r w:rsidRPr="006C4917">
        <w:rPr>
          <w:rFonts w:hint="eastAsia"/>
          <w:rtl/>
        </w:rPr>
        <w:t>שיאוגדו</w:t>
      </w:r>
      <w:r w:rsidRPr="006C4917">
        <w:rPr>
          <w:rtl/>
        </w:rPr>
        <w:t xml:space="preserve"> </w:t>
      </w:r>
      <w:r w:rsidRPr="006C4917">
        <w:rPr>
          <w:rFonts w:hint="eastAsia"/>
          <w:rtl/>
        </w:rPr>
        <w:t>לבסוף</w:t>
      </w:r>
      <w:r w:rsidRPr="006C4917">
        <w:rPr>
          <w:rtl/>
        </w:rPr>
        <w:t xml:space="preserve"> </w:t>
      </w:r>
      <w:r w:rsidRPr="006C4917">
        <w:rPr>
          <w:rFonts w:hint="eastAsia"/>
          <w:rtl/>
        </w:rPr>
        <w:t>לחוקה</w:t>
      </w:r>
      <w:r w:rsidRPr="006C4917">
        <w:rPr>
          <w:rtl/>
        </w:rPr>
        <w:t xml:space="preserve"> </w:t>
      </w:r>
      <w:r w:rsidRPr="006C4917">
        <w:rPr>
          <w:rFonts w:hint="eastAsia"/>
          <w:rtl/>
        </w:rPr>
        <w:t>אחת</w:t>
      </w:r>
      <w:r w:rsidRPr="006C4917">
        <w:rPr>
          <w:rtl/>
        </w:rPr>
        <w:t xml:space="preserve">. </w:t>
      </w:r>
      <w:r w:rsidRPr="006C4917">
        <w:rPr>
          <w:rFonts w:hint="eastAsia"/>
          <w:rtl/>
        </w:rPr>
        <w:t>במצב</w:t>
      </w:r>
      <w:r w:rsidRPr="006C4917">
        <w:rPr>
          <w:rtl/>
        </w:rPr>
        <w:t xml:space="preserve"> </w:t>
      </w:r>
      <w:r w:rsidRPr="006C4917">
        <w:rPr>
          <w:rFonts w:hint="eastAsia"/>
          <w:rtl/>
        </w:rPr>
        <w:t>דברים</w:t>
      </w:r>
      <w:r w:rsidRPr="006C4917">
        <w:rPr>
          <w:rtl/>
        </w:rPr>
        <w:t xml:space="preserve"> </w:t>
      </w:r>
      <w:r w:rsidRPr="006C4917">
        <w:rPr>
          <w:rFonts w:hint="eastAsia"/>
          <w:rtl/>
        </w:rPr>
        <w:t>זה</w:t>
      </w:r>
      <w:r w:rsidRPr="006C4917">
        <w:rPr>
          <w:rtl/>
        </w:rPr>
        <w:t xml:space="preserve">, </w:t>
      </w:r>
      <w:r w:rsidRPr="006C4917">
        <w:rPr>
          <w:rFonts w:hint="eastAsia"/>
          <w:rtl/>
        </w:rPr>
        <w:t>הכנסת</w:t>
      </w:r>
      <w:r w:rsidRPr="006C4917">
        <w:rPr>
          <w:rtl/>
        </w:rPr>
        <w:t xml:space="preserve"> </w:t>
      </w:r>
      <w:r w:rsidRPr="006C4917">
        <w:rPr>
          <w:rFonts w:hint="eastAsia"/>
          <w:rtl/>
        </w:rPr>
        <w:t>ה</w:t>
      </w:r>
      <w:r w:rsidRPr="006C4917">
        <w:rPr>
          <w:rFonts w:hint="cs"/>
          <w:rtl/>
        </w:rPr>
        <w:t xml:space="preserve">מכהנת </w:t>
      </w:r>
      <w:r w:rsidRPr="006C4917">
        <w:rPr>
          <w:rFonts w:hint="eastAsia"/>
          <w:rtl/>
        </w:rPr>
        <w:t>איננה</w:t>
      </w:r>
      <w:r w:rsidRPr="006C4917">
        <w:rPr>
          <w:rtl/>
        </w:rPr>
        <w:t xml:space="preserve"> </w:t>
      </w:r>
      <w:r w:rsidRPr="006C4917">
        <w:rPr>
          <w:rFonts w:hint="eastAsia"/>
          <w:rtl/>
        </w:rPr>
        <w:t>סופר</w:t>
      </w:r>
      <w:r w:rsidRPr="006C4917">
        <w:rPr>
          <w:rtl/>
        </w:rPr>
        <w:t xml:space="preserve"> "</w:t>
      </w:r>
      <w:r w:rsidRPr="006C4917">
        <w:rPr>
          <w:rFonts w:hint="eastAsia"/>
          <w:rtl/>
        </w:rPr>
        <w:t>כל</w:t>
      </w:r>
      <w:r w:rsidRPr="006C4917">
        <w:rPr>
          <w:rtl/>
        </w:rPr>
        <w:t xml:space="preserve"> </w:t>
      </w:r>
      <w:r w:rsidRPr="006C4917">
        <w:rPr>
          <w:rFonts w:hint="eastAsia"/>
          <w:rtl/>
        </w:rPr>
        <w:t>יכול</w:t>
      </w:r>
      <w:r w:rsidRPr="006C4917">
        <w:rPr>
          <w:rtl/>
        </w:rPr>
        <w:t xml:space="preserve">", </w:t>
      </w:r>
      <w:r w:rsidRPr="006C4917">
        <w:rPr>
          <w:rFonts w:hint="eastAsia"/>
          <w:rtl/>
        </w:rPr>
        <w:t>הכותב</w:t>
      </w:r>
      <w:r w:rsidRPr="006C4917">
        <w:rPr>
          <w:rtl/>
        </w:rPr>
        <w:t xml:space="preserve"> </w:t>
      </w:r>
      <w:r w:rsidRPr="006C4917">
        <w:rPr>
          <w:rFonts w:hint="eastAsia"/>
          <w:rtl/>
        </w:rPr>
        <w:t>את</w:t>
      </w:r>
      <w:r w:rsidRPr="006C4917">
        <w:rPr>
          <w:rtl/>
        </w:rPr>
        <w:t xml:space="preserve"> </w:t>
      </w:r>
      <w:r w:rsidRPr="006C4917">
        <w:rPr>
          <w:rFonts w:hint="eastAsia"/>
          <w:rtl/>
        </w:rPr>
        <w:t>החוקה</w:t>
      </w:r>
      <w:r w:rsidRPr="006C4917">
        <w:rPr>
          <w:rtl/>
        </w:rPr>
        <w:t xml:space="preserve"> </w:t>
      </w:r>
      <w:r w:rsidRPr="006C4917">
        <w:rPr>
          <w:rFonts w:hint="eastAsia"/>
          <w:rtl/>
        </w:rPr>
        <w:t>כטוב</w:t>
      </w:r>
      <w:r w:rsidRPr="006C4917">
        <w:rPr>
          <w:rtl/>
        </w:rPr>
        <w:t xml:space="preserve"> </w:t>
      </w:r>
      <w:r w:rsidRPr="006C4917">
        <w:rPr>
          <w:rFonts w:hint="eastAsia"/>
          <w:rtl/>
        </w:rPr>
        <w:t>בעיניו</w:t>
      </w:r>
      <w:r w:rsidRPr="006C4917">
        <w:rPr>
          <w:rtl/>
        </w:rPr>
        <w:t xml:space="preserve">, </w:t>
      </w:r>
      <w:r w:rsidRPr="006C4917">
        <w:rPr>
          <w:rFonts w:hint="eastAsia"/>
          <w:rtl/>
        </w:rPr>
        <w:t>והרשאי</w:t>
      </w:r>
      <w:r w:rsidRPr="006C4917">
        <w:rPr>
          <w:rtl/>
        </w:rPr>
        <w:t xml:space="preserve"> </w:t>
      </w:r>
      <w:r w:rsidRPr="006C4917">
        <w:rPr>
          <w:rFonts w:hint="eastAsia"/>
          <w:rtl/>
        </w:rPr>
        <w:t>לראות</w:t>
      </w:r>
      <w:r w:rsidRPr="006C4917">
        <w:rPr>
          <w:rtl/>
        </w:rPr>
        <w:t xml:space="preserve"> </w:t>
      </w:r>
      <w:r w:rsidRPr="006C4917">
        <w:rPr>
          <w:rFonts w:hint="eastAsia"/>
          <w:rtl/>
        </w:rPr>
        <w:t>בפרקים</w:t>
      </w:r>
      <w:r w:rsidRPr="006C4917">
        <w:rPr>
          <w:rtl/>
        </w:rPr>
        <w:t xml:space="preserve"> </w:t>
      </w:r>
      <w:r w:rsidRPr="006C4917">
        <w:rPr>
          <w:rFonts w:hint="eastAsia"/>
          <w:rtl/>
        </w:rPr>
        <w:t>שכתבו</w:t>
      </w:r>
      <w:r w:rsidRPr="006C4917">
        <w:rPr>
          <w:rtl/>
        </w:rPr>
        <w:t xml:space="preserve"> </w:t>
      </w:r>
      <w:r w:rsidRPr="006C4917">
        <w:rPr>
          <w:rFonts w:hint="eastAsia"/>
          <w:rtl/>
        </w:rPr>
        <w:t>הכנסות</w:t>
      </w:r>
      <w:r w:rsidRPr="006C4917">
        <w:rPr>
          <w:rtl/>
        </w:rPr>
        <w:t xml:space="preserve"> </w:t>
      </w:r>
      <w:r w:rsidRPr="006C4917">
        <w:rPr>
          <w:rFonts w:hint="eastAsia"/>
          <w:rtl/>
        </w:rPr>
        <w:t>הקודמות</w:t>
      </w:r>
      <w:r w:rsidRPr="006C4917">
        <w:rPr>
          <w:rtl/>
        </w:rPr>
        <w:t xml:space="preserve"> </w:t>
      </w:r>
      <w:r w:rsidRPr="006C4917">
        <w:rPr>
          <w:rFonts w:hint="eastAsia"/>
          <w:rtl/>
        </w:rPr>
        <w:t>משום</w:t>
      </w:r>
      <w:r w:rsidRPr="006C4917">
        <w:rPr>
          <w:rtl/>
        </w:rPr>
        <w:t xml:space="preserve"> </w:t>
      </w:r>
      <w:r w:rsidRPr="006C4917">
        <w:rPr>
          <w:rFonts w:hint="eastAsia"/>
          <w:rtl/>
        </w:rPr>
        <w:t>טיוט</w:t>
      </w:r>
      <w:r w:rsidRPr="006C4917">
        <w:rPr>
          <w:rFonts w:hint="cs"/>
          <w:rtl/>
        </w:rPr>
        <w:t>ות,</w:t>
      </w:r>
      <w:r w:rsidRPr="006C4917">
        <w:rPr>
          <w:rtl/>
        </w:rPr>
        <w:t xml:space="preserve"> </w:t>
      </w:r>
      <w:r w:rsidRPr="006C4917">
        <w:rPr>
          <w:rFonts w:hint="cs"/>
          <w:rtl/>
        </w:rPr>
        <w:t xml:space="preserve">שברצונו יתייחס אליהם, וברצונו יתעלם מהם. הכנסת הנוכחית היא חוליה אחת בשרשרת ארוכה של רשויות מכוננות, ומחובתה לכבד בתרומתה את התרומות שהעניקו הכנסות הקודמות (והשוו: </w:t>
      </w:r>
      <w:r w:rsidRPr="006C4917">
        <w:rPr>
          <w:rFonts w:ascii="Century" w:hAnsi="Century" w:hint="cs"/>
          <w:sz w:val="22"/>
          <w:rtl/>
        </w:rPr>
        <w:t xml:space="preserve">קליין, </w:t>
      </w:r>
      <w:r w:rsidRPr="006C4917">
        <w:rPr>
          <w:rFonts w:ascii="Century" w:hAnsi="Century" w:cs="Miriam" w:hint="cs"/>
          <w:b/>
          <w:spacing w:val="0"/>
          <w:sz w:val="22"/>
          <w:szCs w:val="24"/>
          <w:rtl/>
        </w:rPr>
        <w:t>הסמכות המכוננת</w:t>
      </w:r>
      <w:r w:rsidRPr="006C4917">
        <w:rPr>
          <w:rFonts w:hint="cs"/>
          <w:rtl/>
        </w:rPr>
        <w:t xml:space="preserve">, בעמ' 357-356. ודוק, בשונה מפרופ' קלוד קליין אינני סבור שיש להבחין בין "סמכות מכוננת מקורית" לבין "סמכות מכוננת נגזרת". לשיטתי, הסמכות המכוננת שיש לכנסת המכהנת היא אחת, ואולם הפעלתה מחייבת התחשבות באופן בו הופעלה הסמכות המכוננת על ידי הכנסות הקודמות). אם ניעזר בדימויו של פרופ' דבורקין, הכנסת הנוכחית היא, בהתאם להחלטת הררי, ממשיכת דרכן של הכנסות הקודמות בכתיבת "החוקה בהתהוות", בגדר חוליה נוספת הכותבת את החוקה הישראלית, כסופרים הכותבים "רומן שרשרת" </w:t>
      </w:r>
      <w:r w:rsidRPr="006C4917">
        <w:rPr>
          <w:rtl/>
        </w:rPr>
        <w:t xml:space="preserve">– </w:t>
      </w:r>
      <w:r w:rsidRPr="006C4917">
        <w:rPr>
          <w:rFonts w:hint="cs"/>
          <w:rtl/>
        </w:rPr>
        <w:t xml:space="preserve">מכוח מעמדה זה, </w:t>
      </w:r>
      <w:r w:rsidRPr="006C4917">
        <w:rPr>
          <w:rFonts w:hint="eastAsia"/>
          <w:rtl/>
        </w:rPr>
        <w:t>ביכולתה</w:t>
      </w:r>
      <w:r w:rsidRPr="006C4917">
        <w:rPr>
          <w:rtl/>
        </w:rPr>
        <w:t xml:space="preserve"> </w:t>
      </w:r>
      <w:r w:rsidRPr="006C4917">
        <w:rPr>
          <w:rFonts w:hint="eastAsia"/>
          <w:rtl/>
        </w:rPr>
        <w:t>להשפיע</w:t>
      </w:r>
      <w:r w:rsidRPr="006C4917">
        <w:rPr>
          <w:rtl/>
        </w:rPr>
        <w:t xml:space="preserve"> </w:t>
      </w:r>
      <w:r w:rsidRPr="006C4917">
        <w:rPr>
          <w:rFonts w:hint="eastAsia"/>
          <w:rtl/>
        </w:rPr>
        <w:t>על</w:t>
      </w:r>
      <w:r w:rsidRPr="006C4917">
        <w:rPr>
          <w:rtl/>
        </w:rPr>
        <w:t xml:space="preserve"> </w:t>
      </w:r>
      <w:r w:rsidRPr="006C4917">
        <w:rPr>
          <w:rFonts w:hint="eastAsia"/>
          <w:rtl/>
        </w:rPr>
        <w:t>עיצוב</w:t>
      </w:r>
      <w:r w:rsidRPr="006C4917">
        <w:rPr>
          <w:rtl/>
        </w:rPr>
        <w:t xml:space="preserve"> </w:t>
      </w:r>
      <w:r w:rsidRPr="006C4917">
        <w:rPr>
          <w:rFonts w:hint="eastAsia"/>
          <w:rtl/>
        </w:rPr>
        <w:t>החוקה</w:t>
      </w:r>
      <w:r w:rsidRPr="006C4917">
        <w:rPr>
          <w:rtl/>
        </w:rPr>
        <w:t xml:space="preserve">, </w:t>
      </w:r>
      <w:r w:rsidRPr="006C4917">
        <w:rPr>
          <w:rFonts w:hint="eastAsia"/>
          <w:rtl/>
        </w:rPr>
        <w:t>אך</w:t>
      </w:r>
      <w:r w:rsidRPr="006C4917">
        <w:rPr>
          <w:rtl/>
        </w:rPr>
        <w:t xml:space="preserve"> </w:t>
      </w:r>
      <w:r w:rsidRPr="006C4917">
        <w:rPr>
          <w:rFonts w:hint="eastAsia"/>
          <w:rtl/>
        </w:rPr>
        <w:t>אין</w:t>
      </w:r>
      <w:r w:rsidRPr="006C4917">
        <w:rPr>
          <w:rtl/>
        </w:rPr>
        <w:t xml:space="preserve"> </w:t>
      </w:r>
      <w:r w:rsidRPr="006C4917">
        <w:rPr>
          <w:rFonts w:hint="eastAsia"/>
          <w:rtl/>
        </w:rPr>
        <w:t>בכוחה</w:t>
      </w:r>
      <w:r w:rsidRPr="006C4917">
        <w:rPr>
          <w:rtl/>
        </w:rPr>
        <w:t xml:space="preserve"> </w:t>
      </w:r>
      <w:r w:rsidRPr="006C4917">
        <w:rPr>
          <w:rFonts w:hint="eastAsia"/>
          <w:rtl/>
        </w:rPr>
        <w:t>להתעלם</w:t>
      </w:r>
      <w:r w:rsidRPr="006C4917">
        <w:rPr>
          <w:rtl/>
        </w:rPr>
        <w:t xml:space="preserve"> </w:t>
      </w:r>
      <w:r w:rsidRPr="006C4917">
        <w:rPr>
          <w:rFonts w:hint="eastAsia"/>
          <w:rtl/>
        </w:rPr>
        <w:t>משעשו</w:t>
      </w:r>
      <w:r w:rsidRPr="006C4917">
        <w:rPr>
          <w:rtl/>
        </w:rPr>
        <w:t xml:space="preserve"> </w:t>
      </w:r>
      <w:r w:rsidRPr="006C4917">
        <w:rPr>
          <w:rFonts w:hint="eastAsia"/>
          <w:rtl/>
        </w:rPr>
        <w:t>קודמ</w:t>
      </w:r>
      <w:r w:rsidRPr="006C4917">
        <w:rPr>
          <w:rFonts w:hint="cs"/>
          <w:rtl/>
        </w:rPr>
        <w:t>ות</w:t>
      </w:r>
      <w:r w:rsidRPr="006C4917">
        <w:rPr>
          <w:rFonts w:hint="eastAsia"/>
          <w:rtl/>
        </w:rPr>
        <w:t>יה</w:t>
      </w:r>
      <w:r w:rsidRPr="006C4917">
        <w:rPr>
          <w:rFonts w:hint="cs"/>
          <w:rtl/>
        </w:rPr>
        <w:t>.</w:t>
      </w:r>
    </w:p>
    <w:p w:rsidR="003D7BFC" w:rsidRPr="006C4917" w:rsidRDefault="003D7BFC" w:rsidP="003D7BFC">
      <w:pPr>
        <w:pStyle w:val="Ruller41"/>
        <w:rPr>
          <w:rtl/>
        </w:rPr>
      </w:pPr>
    </w:p>
    <w:p w:rsidR="003D7BFC" w:rsidRPr="006C4917" w:rsidRDefault="003D7BFC" w:rsidP="003D7BFC">
      <w:pPr>
        <w:pStyle w:val="Ruller4"/>
        <w:rPr>
          <w:rtl/>
        </w:rPr>
      </w:pPr>
      <w:r w:rsidRPr="006C4917">
        <w:rPr>
          <w:rFonts w:hint="cs"/>
          <w:rtl/>
        </w:rPr>
        <w:t xml:space="preserve">ההצדקה השנייה, תכלית ההסמכה לכינון חוקה, מצביעה על כך שתכלית עיקרית של חוקה היא להגביל את ידיו של הרוב המזדמן בכנסת, ולחייב אותו לפעול על פי כללי המשחק החוקתיים. אכן, כפי שציין חברי, השופט </w:t>
      </w:r>
      <w:r w:rsidRPr="006C4917">
        <w:rPr>
          <w:rFonts w:cs="Miriam" w:hint="cs"/>
          <w:b/>
          <w:spacing w:val="0"/>
          <w:szCs w:val="24"/>
          <w:rtl/>
        </w:rPr>
        <w:t>עמית</w:t>
      </w:r>
      <w:r w:rsidRPr="006C4917">
        <w:rPr>
          <w:rFonts w:ascii="Century" w:hAnsi="Century"/>
          <w:sz w:val="22"/>
          <w:rtl/>
        </w:rPr>
        <w:t>,</w:t>
      </w:r>
      <w:r w:rsidRPr="006C4917">
        <w:rPr>
          <w:rFonts w:hint="cs"/>
          <w:rtl/>
        </w:rPr>
        <w:t xml:space="preserve"> "</w:t>
      </w:r>
      <w:r w:rsidRPr="006C4917">
        <w:rPr>
          <w:rFonts w:cs="Miriam"/>
          <w:b/>
          <w:spacing w:val="0"/>
          <w:szCs w:val="24"/>
          <w:rtl/>
        </w:rPr>
        <w:t>החוקה נועדה דווקא על מנת להגביל את הרשות המחוקקת ואת הרוב הפוליטי המזדמן השולט בה</w:t>
      </w:r>
      <w:r w:rsidRPr="006C4917">
        <w:rPr>
          <w:rtl/>
        </w:rPr>
        <w:t>״</w:t>
      </w:r>
      <w:r w:rsidRPr="006C4917">
        <w:rPr>
          <w:rFonts w:hint="cs"/>
          <w:rtl/>
        </w:rPr>
        <w:t xml:space="preserve"> (פסקה 13 לחוות דעתו. כן ראו עניין </w:t>
      </w:r>
      <w:r w:rsidRPr="006C4917">
        <w:rPr>
          <w:rFonts w:ascii="Century" w:hAnsi="Century" w:cs="Miriam" w:hint="eastAsia"/>
          <w:b/>
          <w:spacing w:val="0"/>
          <w:sz w:val="22"/>
          <w:szCs w:val="24"/>
          <w:rtl/>
        </w:rPr>
        <w:t>בר</w:t>
      </w:r>
      <w:r w:rsidRPr="006C4917">
        <w:rPr>
          <w:rFonts w:ascii="Century" w:hAnsi="Century" w:cs="Miriam"/>
          <w:b/>
          <w:spacing w:val="0"/>
          <w:sz w:val="22"/>
          <w:szCs w:val="24"/>
          <w:rtl/>
        </w:rPr>
        <w:t>-און</w:t>
      </w:r>
      <w:r w:rsidRPr="006C4917">
        <w:rPr>
          <w:rFonts w:hint="cs"/>
          <w:rtl/>
        </w:rPr>
        <w:t>, בעמ' 313;</w:t>
      </w:r>
      <w:r w:rsidRPr="006C4917">
        <w:rPr>
          <w:rFonts w:ascii="Century" w:hAnsi="Century" w:hint="cs"/>
          <w:rtl/>
        </w:rPr>
        <w:t xml:space="preserve"> אהרן ברק </w:t>
      </w:r>
      <w:r w:rsidRPr="006C4917">
        <w:rPr>
          <w:rFonts w:ascii="Century" w:hAnsi="Century" w:cs="Miriam" w:hint="cs"/>
          <w:b/>
          <w:spacing w:val="0"/>
          <w:sz w:val="22"/>
          <w:szCs w:val="24"/>
          <w:rtl/>
        </w:rPr>
        <w:t>פרשנות במשפט</w:t>
      </w:r>
      <w:r w:rsidRPr="006C4917">
        <w:rPr>
          <w:rFonts w:ascii="Century" w:hAnsi="Century" w:hint="cs"/>
          <w:rtl/>
        </w:rPr>
        <w:t xml:space="preserve"> כרך ג 185-182 (1994); </w:t>
      </w:r>
      <w:r w:rsidRPr="006C4917">
        <w:rPr>
          <w:rFonts w:ascii="Century" w:hAnsi="Century" w:hint="eastAsia"/>
          <w:sz w:val="22"/>
          <w:rtl/>
        </w:rPr>
        <w:t>גביזון</w:t>
      </w:r>
      <w:r w:rsidRPr="006C4917">
        <w:rPr>
          <w:rFonts w:ascii="Century" w:hAnsi="Century" w:hint="cs"/>
          <w:sz w:val="22"/>
          <w:rtl/>
        </w:rPr>
        <w:t>,</w:t>
      </w:r>
      <w:r w:rsidRPr="006C4917">
        <w:rPr>
          <w:rFonts w:ascii="Century" w:hAnsi="Century" w:cs="Miriam"/>
          <w:b/>
          <w:spacing w:val="0"/>
          <w:sz w:val="22"/>
          <w:szCs w:val="24"/>
          <w:rtl/>
        </w:rPr>
        <w:t xml:space="preserve"> </w:t>
      </w:r>
      <w:r w:rsidRPr="006C4917">
        <w:rPr>
          <w:rFonts w:ascii="Century" w:hAnsi="Century" w:cs="Miriam" w:hint="cs"/>
          <w:b/>
          <w:spacing w:val="0"/>
          <w:sz w:val="22"/>
          <w:szCs w:val="24"/>
          <w:rtl/>
        </w:rPr>
        <w:t>המהפכה החוקתית</w:t>
      </w:r>
      <w:r w:rsidRPr="006C4917">
        <w:rPr>
          <w:rFonts w:hint="cs"/>
          <w:rtl/>
        </w:rPr>
        <w:t>, בעמ' 70-61</w:t>
      </w:r>
      <w:r w:rsidRPr="006C4917">
        <w:rPr>
          <w:rFonts w:ascii="Century" w:hAnsi="Century" w:hint="cs"/>
          <w:sz w:val="22"/>
          <w:rtl/>
        </w:rPr>
        <w:t xml:space="preserve"> (פרופ' גביזון מבחינה בין חוקה גמישה, שאינה כובלת את המחוקק, לבין חוקה קשיחה, הכובלת את המחוקק); בנדור,</w:t>
      </w:r>
      <w:r w:rsidRPr="006C4917">
        <w:rPr>
          <w:rFonts w:ascii="Century" w:hAnsi="Century" w:cs="Miriam" w:hint="cs"/>
          <w:b/>
          <w:spacing w:val="0"/>
          <w:sz w:val="22"/>
          <w:szCs w:val="24"/>
          <w:rtl/>
        </w:rPr>
        <w:t xml:space="preserve"> המעמד המשפטי של חוקי היסוד</w:t>
      </w:r>
      <w:r w:rsidRPr="006C4917">
        <w:rPr>
          <w:rFonts w:ascii="Century" w:hAnsi="Century" w:hint="cs"/>
          <w:rtl/>
        </w:rPr>
        <w:t>, בעמ' 130-128</w:t>
      </w:r>
      <w:r w:rsidRPr="006C4917">
        <w:rPr>
          <w:rFonts w:ascii="Century" w:hAnsi="Century" w:hint="cs"/>
          <w:sz w:val="22"/>
          <w:rtl/>
        </w:rPr>
        <w:t>)</w:t>
      </w:r>
      <w:r w:rsidRPr="006C4917">
        <w:rPr>
          <w:rFonts w:hint="cs"/>
          <w:rtl/>
        </w:rPr>
        <w:t xml:space="preserve">). לפיכך, אם הכנסת הנוכחית, בכובעה המכונן, חופשית לשחרר את עצמה מכל המגבלות החוקתיות שיצרו קודמותיה, הרי ש"החוקה בהתהוות" חסרה את עיקר תכליתה. מה תועלת לנו בכבילת ידיה של הכנסת כרשות המחוקקת, אם אותה כנסת רשאית להסיר מעצמה כל כבילה, בכובעה כרשות מכוננת? דרך אחרת להציג </w:t>
      </w:r>
      <w:r w:rsidRPr="006C4917">
        <w:rPr>
          <w:rFonts w:hint="cs"/>
          <w:rtl/>
        </w:rPr>
        <w:lastRenderedPageBreak/>
        <w:t xml:space="preserve">טעם זה היא כשיקוף של המגבלה על ניגוד עניינים מוסדי </w:t>
      </w:r>
      <w:r w:rsidRPr="006C4917">
        <w:rPr>
          <w:rtl/>
        </w:rPr>
        <w:t>–</w:t>
      </w:r>
      <w:r w:rsidRPr="006C4917">
        <w:rPr>
          <w:rFonts w:hint="cs"/>
          <w:rtl/>
        </w:rPr>
        <w:t xml:space="preserve"> בעקבות אימוץ תורת "שני הכובעים" הכנסת הנוכחית בכובעה כרשות המחוקקת היא הגורם המרכזי כלפיו מופנות ההגבלות החוקתיות שקבעו קודמותיה במסגרת "החוקה בהתהוות"; ובכובעה כרשות המכוננת היא בעלת הסמכות להוסיף ולשנות את "החוקה בהתהוות", ועשויה בכך לשחרר את עצמה ממגבלות אלה (עוד לעניין זה, ראו פסקה 59 להלן).</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המסקנה המתבקשת משתי ההצדקות הללו היא שעל הסמכות המכוננת של הכנסת הנוכחית יש מגבלות, אשר המקור להטלתן הוא חובתה לכבד את "החוקה בהתהוות", כפי שעוצבה על ידי הכנסות הקודמות. למה הדבר דומה? לבנאי הנכנס בנעליו של בנאי קודם, ונדרש להשלים מבנה שהאחר הניח לו יסודות והקים חלק ניכר מהתשתיות והקירות. בנאי שכזה אינו נדרש, ואף אינו רשאי (בהעדר הסמכה מהמזמין, ובענייננו העם), להרוס את המבנה בכללותו, אלא עליו לתקן ליקויים פה ושם, ולהשלים את שחסר. הריסת המבנה, כמוה ככתיבת החוקה מחדש, ומשמעה הצהרה "</w:t>
      </w:r>
      <w:r w:rsidRPr="006C4917">
        <w:rPr>
          <w:rFonts w:cs="Miriam"/>
          <w:b/>
          <w:spacing w:val="0"/>
          <w:sz w:val="22"/>
          <w:szCs w:val="24"/>
          <w:shd w:val="clear" w:color="auto" w:fill="FFFFFF"/>
          <w:rtl/>
        </w:rPr>
        <w:t>לֹא כְּלוּם מִתְּמוֹל</w:t>
      </w:r>
      <w:r w:rsidRPr="006C4917">
        <w:rPr>
          <w:bCs/>
          <w:spacing w:val="0"/>
          <w:sz w:val="22"/>
          <w:shd w:val="clear" w:color="auto" w:fill="FFFFFF"/>
        </w:rPr>
        <w:t>,</w:t>
      </w:r>
      <w:r w:rsidRPr="006C4917">
        <w:rPr>
          <w:rFonts w:cs="Miriam"/>
          <w:b/>
          <w:spacing w:val="0"/>
          <w:sz w:val="22"/>
          <w:szCs w:val="24"/>
          <w:shd w:val="clear" w:color="auto" w:fill="FFFFFF"/>
          <w:rtl/>
        </w:rPr>
        <w:t xml:space="preserve">/ </w:t>
      </w:r>
      <w:r w:rsidRPr="006C4917">
        <w:rPr>
          <w:rFonts w:cs="Miriam" w:hint="eastAsia"/>
          <w:b/>
          <w:spacing w:val="0"/>
          <w:sz w:val="22"/>
          <w:szCs w:val="24"/>
          <w:shd w:val="clear" w:color="auto" w:fill="FFFFFF"/>
          <w:rtl/>
        </w:rPr>
        <w:t>מָחָר</w:t>
      </w:r>
      <w:r w:rsidRPr="006C4917">
        <w:rPr>
          <w:rFonts w:cs="Miriam"/>
          <w:b/>
          <w:spacing w:val="0"/>
          <w:sz w:val="22"/>
          <w:szCs w:val="24"/>
          <w:shd w:val="clear" w:color="auto" w:fill="FFFFFF"/>
          <w:rtl/>
        </w:rPr>
        <w:t xml:space="preserve"> – </w:t>
      </w:r>
      <w:r w:rsidRPr="006C4917">
        <w:rPr>
          <w:rFonts w:cs="Miriam" w:hint="eastAsia"/>
          <w:b/>
          <w:spacing w:val="0"/>
          <w:sz w:val="22"/>
          <w:szCs w:val="24"/>
          <w:shd w:val="clear" w:color="auto" w:fill="FFFFFF"/>
          <w:rtl/>
        </w:rPr>
        <w:t>הַכֹּל</w:t>
      </w:r>
      <w:r w:rsidRPr="006C4917">
        <w:rPr>
          <w:rFonts w:hint="cs"/>
          <w:rtl/>
        </w:rPr>
        <w:t>". הצהרה כזו רשאי להשמיע המהפכן, המקים מדינה חדשה; לא הכנסת ה-25 של מדינת ישראל.</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 xml:space="preserve">מקור מגבלת הסמכות המוטלת על הכנסת הנוכחית בכובעה המכונן, איננו מצוי לפיכך, לא בעקרונות ערטילאיים (משפט הטבע), גם לא במסמך מכונן כלשהו (מגילת העצמאות), אלא ב"חוקה בהתהוות" עצמה </w:t>
      </w:r>
      <w:r w:rsidRPr="006C4917">
        <w:rPr>
          <w:rtl/>
        </w:rPr>
        <w:t>–</w:t>
      </w:r>
      <w:r w:rsidRPr="006C4917">
        <w:rPr>
          <w:rFonts w:hint="cs"/>
          <w:rtl/>
        </w:rPr>
        <w:t xml:space="preserve"> דהיינו בעקרונות שכבר הונחו בחוקי היסוד הקיימים כפי שנחקקו על ידי הכנסות הקודמות בכובען המכונן. חברתי, הנשיאה (בדימ') </w:t>
      </w:r>
      <w:r w:rsidRPr="006C4917">
        <w:rPr>
          <w:rFonts w:ascii="Century" w:hAnsi="Century" w:cs="Miriam" w:hint="eastAsia"/>
          <w:b/>
          <w:spacing w:val="0"/>
          <w:sz w:val="22"/>
          <w:szCs w:val="24"/>
          <w:rtl/>
        </w:rPr>
        <w:t>חיות</w:t>
      </w:r>
      <w:r w:rsidRPr="006C4917">
        <w:rPr>
          <w:rFonts w:ascii="Century" w:hAnsi="Century" w:hint="cs"/>
          <w:sz w:val="22"/>
          <w:rtl/>
        </w:rPr>
        <w:t xml:space="preserve">, </w:t>
      </w:r>
      <w:r w:rsidRPr="006C4917">
        <w:rPr>
          <w:rFonts w:hint="cs"/>
          <w:rtl/>
        </w:rPr>
        <w:t xml:space="preserve">מכנה עקרונות אלה בשם "נתונים חוקתיים" (פסקאות 53 ו-66 לחוות דעתה; עניין </w:t>
      </w:r>
      <w:r w:rsidRPr="006C4917">
        <w:rPr>
          <w:rFonts w:ascii="Century" w:hAnsi="Century" w:cs="Miriam" w:hint="cs"/>
          <w:b/>
          <w:spacing w:val="0"/>
          <w:sz w:val="22"/>
          <w:szCs w:val="24"/>
          <w:rtl/>
        </w:rPr>
        <w:t>חסון</w:t>
      </w:r>
      <w:r w:rsidRPr="006C4917">
        <w:rPr>
          <w:rFonts w:hint="cs"/>
          <w:rtl/>
        </w:rPr>
        <w:t xml:space="preserve">, פסקאות 23-19 לחוות דעתה ופסקה 4 לחוות דעתו של השופט </w:t>
      </w:r>
      <w:r w:rsidRPr="006C4917">
        <w:rPr>
          <w:rFonts w:ascii="Century" w:hAnsi="Century" w:cs="Miriam" w:hint="eastAsia"/>
          <w:b/>
          <w:spacing w:val="0"/>
          <w:sz w:val="22"/>
          <w:szCs w:val="24"/>
          <w:rtl/>
        </w:rPr>
        <w:t>הנדל</w:t>
      </w:r>
      <w:r w:rsidRPr="006C4917">
        <w:rPr>
          <w:rFonts w:hint="cs"/>
          <w:rtl/>
        </w:rPr>
        <w:t xml:space="preserve">), וכך אנהג גם אני. מגבלות אלה אינן מונעות מהכנסת הנוכחית להוסיף פרקים ל"חוקה בהתהוות" או לשנותם, ואולם הן מציבות בפניה שני סייגים מרכזיים: </w:t>
      </w:r>
      <w:r w:rsidRPr="006C4917">
        <w:rPr>
          <w:rFonts w:cs="Miriam" w:hint="cs"/>
          <w:b/>
          <w:spacing w:val="0"/>
          <w:sz w:val="22"/>
          <w:szCs w:val="24"/>
          <w:shd w:val="clear" w:color="auto" w:fill="FFFFFF"/>
          <w:rtl/>
        </w:rPr>
        <w:t>ראשית</w:t>
      </w:r>
      <w:r w:rsidRPr="006C4917">
        <w:rPr>
          <w:rFonts w:hint="cs"/>
          <w:rtl/>
        </w:rPr>
        <w:t xml:space="preserve">, הכנסת הנוכחית אינה מוסמכת </w:t>
      </w:r>
      <w:r w:rsidRPr="006C4917">
        <w:rPr>
          <w:rFonts w:hint="eastAsia"/>
          <w:rtl/>
        </w:rPr>
        <w:t>לקעקע</w:t>
      </w:r>
      <w:r w:rsidRPr="006C4917">
        <w:rPr>
          <w:rtl/>
        </w:rPr>
        <w:t xml:space="preserve"> </w:t>
      </w:r>
      <w:r w:rsidRPr="006C4917">
        <w:rPr>
          <w:rFonts w:hint="eastAsia"/>
          <w:rtl/>
        </w:rPr>
        <w:t>את</w:t>
      </w:r>
      <w:r w:rsidRPr="006C4917">
        <w:rPr>
          <w:rtl/>
        </w:rPr>
        <w:t xml:space="preserve"> </w:t>
      </w:r>
      <w:r w:rsidRPr="006C4917">
        <w:rPr>
          <w:rFonts w:hint="eastAsia"/>
          <w:rtl/>
        </w:rPr>
        <w:t>עקרונות</w:t>
      </w:r>
      <w:r w:rsidRPr="006C4917">
        <w:rPr>
          <w:rtl/>
        </w:rPr>
        <w:t xml:space="preserve"> </w:t>
      </w:r>
      <w:r w:rsidRPr="006C4917">
        <w:rPr>
          <w:rFonts w:hint="eastAsia"/>
          <w:rtl/>
        </w:rPr>
        <w:t>היסוד</w:t>
      </w:r>
      <w:r w:rsidRPr="006C4917">
        <w:rPr>
          <w:rtl/>
        </w:rPr>
        <w:t xml:space="preserve"> </w:t>
      </w:r>
      <w:r w:rsidRPr="006C4917">
        <w:rPr>
          <w:rFonts w:hint="eastAsia"/>
          <w:rtl/>
        </w:rPr>
        <w:t>שכבר</w:t>
      </w:r>
      <w:r w:rsidRPr="006C4917">
        <w:rPr>
          <w:rtl/>
        </w:rPr>
        <w:t xml:space="preserve"> </w:t>
      </w:r>
      <w:r w:rsidRPr="006C4917">
        <w:rPr>
          <w:rFonts w:hint="eastAsia"/>
          <w:rtl/>
        </w:rPr>
        <w:t>נוצקו</w:t>
      </w:r>
      <w:r w:rsidRPr="006C4917">
        <w:rPr>
          <w:rtl/>
        </w:rPr>
        <w:t xml:space="preserve"> ב"חוקה </w:t>
      </w:r>
      <w:r w:rsidRPr="006C4917">
        <w:rPr>
          <w:rFonts w:hint="eastAsia"/>
          <w:rtl/>
        </w:rPr>
        <w:t>בהתהוות</w:t>
      </w:r>
      <w:r w:rsidRPr="006C4917">
        <w:rPr>
          <w:rtl/>
        </w:rPr>
        <w:t xml:space="preserve">", </w:t>
      </w:r>
      <w:r w:rsidRPr="006C4917">
        <w:rPr>
          <w:rFonts w:hint="eastAsia"/>
          <w:rtl/>
        </w:rPr>
        <w:t>קרי</w:t>
      </w:r>
      <w:r w:rsidRPr="006C4917">
        <w:rPr>
          <w:rtl/>
        </w:rPr>
        <w:t xml:space="preserve"> </w:t>
      </w:r>
      <w:r w:rsidRPr="006C4917">
        <w:rPr>
          <w:rFonts w:hint="eastAsia"/>
          <w:rtl/>
        </w:rPr>
        <w:t>את</w:t>
      </w:r>
      <w:r w:rsidRPr="006C4917">
        <w:rPr>
          <w:rtl/>
        </w:rPr>
        <w:t xml:space="preserve"> </w:t>
      </w:r>
      <w:r w:rsidRPr="006C4917">
        <w:rPr>
          <w:rFonts w:hint="eastAsia"/>
          <w:rtl/>
        </w:rPr>
        <w:t>ה</w:t>
      </w:r>
      <w:r w:rsidRPr="006C4917">
        <w:rPr>
          <w:rtl/>
        </w:rPr>
        <w:t xml:space="preserve">"נתונים </w:t>
      </w:r>
      <w:r w:rsidRPr="006C4917">
        <w:rPr>
          <w:rFonts w:hint="eastAsia"/>
          <w:rtl/>
        </w:rPr>
        <w:t>החוקתיים</w:t>
      </w:r>
      <w:r w:rsidRPr="006C4917">
        <w:rPr>
          <w:rtl/>
        </w:rPr>
        <w:t xml:space="preserve">", </w:t>
      </w:r>
      <w:r w:rsidRPr="006C4917">
        <w:rPr>
          <w:rFonts w:hint="eastAsia"/>
          <w:rtl/>
        </w:rPr>
        <w:t>באופן</w:t>
      </w:r>
      <w:r w:rsidRPr="006C4917">
        <w:rPr>
          <w:rtl/>
        </w:rPr>
        <w:t xml:space="preserve"> </w:t>
      </w:r>
      <w:r w:rsidRPr="006C4917">
        <w:rPr>
          <w:rFonts w:hint="eastAsia"/>
          <w:rtl/>
        </w:rPr>
        <w:t>הממוטט</w:t>
      </w:r>
      <w:r w:rsidRPr="006C4917">
        <w:rPr>
          <w:rtl/>
        </w:rPr>
        <w:t xml:space="preserve"> </w:t>
      </w:r>
      <w:r w:rsidRPr="006C4917">
        <w:rPr>
          <w:rFonts w:hint="eastAsia"/>
          <w:rtl/>
        </w:rPr>
        <w:t>את</w:t>
      </w:r>
      <w:r w:rsidRPr="006C4917">
        <w:rPr>
          <w:rtl/>
        </w:rPr>
        <w:t xml:space="preserve"> </w:t>
      </w:r>
      <w:r w:rsidRPr="006C4917">
        <w:rPr>
          <w:rFonts w:hint="eastAsia"/>
          <w:rtl/>
        </w:rPr>
        <w:t>המבנה</w:t>
      </w:r>
      <w:r w:rsidRPr="006C4917">
        <w:rPr>
          <w:rtl/>
        </w:rPr>
        <w:t xml:space="preserve"> </w:t>
      </w:r>
      <w:r w:rsidRPr="006C4917">
        <w:rPr>
          <w:rFonts w:hint="eastAsia"/>
          <w:rtl/>
        </w:rPr>
        <w:t>שייצרו</w:t>
      </w:r>
      <w:r w:rsidRPr="006C4917">
        <w:rPr>
          <w:rtl/>
        </w:rPr>
        <w:t xml:space="preserve"> </w:t>
      </w:r>
      <w:r w:rsidRPr="006C4917">
        <w:rPr>
          <w:rFonts w:hint="eastAsia"/>
          <w:rtl/>
        </w:rPr>
        <w:t>קודמותיה</w:t>
      </w:r>
      <w:r w:rsidRPr="006C4917">
        <w:rPr>
          <w:rtl/>
        </w:rPr>
        <w:t xml:space="preserve">; </w:t>
      </w:r>
      <w:r w:rsidRPr="006C4917">
        <w:rPr>
          <w:rFonts w:cs="Miriam" w:hint="cs"/>
          <w:b/>
          <w:spacing w:val="0"/>
          <w:sz w:val="22"/>
          <w:szCs w:val="24"/>
          <w:shd w:val="clear" w:color="auto" w:fill="FFFFFF"/>
          <w:rtl/>
        </w:rPr>
        <w:t>שנית</w:t>
      </w:r>
      <w:r w:rsidRPr="006C4917">
        <w:rPr>
          <w:rFonts w:hint="cs"/>
          <w:rtl/>
        </w:rPr>
        <w:t xml:space="preserve">, </w:t>
      </w:r>
      <w:r w:rsidRPr="006C4917">
        <w:rPr>
          <w:rFonts w:hint="eastAsia"/>
          <w:rtl/>
        </w:rPr>
        <w:t>סמכותה</w:t>
      </w:r>
      <w:r w:rsidRPr="006C4917">
        <w:rPr>
          <w:rtl/>
        </w:rPr>
        <w:t xml:space="preserve"> </w:t>
      </w:r>
      <w:r w:rsidRPr="006C4917">
        <w:rPr>
          <w:rFonts w:hint="eastAsia"/>
          <w:rtl/>
        </w:rPr>
        <w:t>של</w:t>
      </w:r>
      <w:r w:rsidRPr="006C4917">
        <w:rPr>
          <w:rtl/>
        </w:rPr>
        <w:t xml:space="preserve"> </w:t>
      </w:r>
      <w:r w:rsidRPr="006C4917">
        <w:rPr>
          <w:rFonts w:hint="eastAsia"/>
          <w:rtl/>
        </w:rPr>
        <w:t>הכנסת</w:t>
      </w:r>
      <w:r w:rsidRPr="006C4917">
        <w:rPr>
          <w:rtl/>
        </w:rPr>
        <w:t xml:space="preserve"> </w:t>
      </w:r>
      <w:r w:rsidRPr="006C4917">
        <w:rPr>
          <w:rFonts w:hint="eastAsia"/>
          <w:rtl/>
        </w:rPr>
        <w:t>הנוכחית</w:t>
      </w:r>
      <w:r w:rsidRPr="006C4917">
        <w:rPr>
          <w:rtl/>
        </w:rPr>
        <w:t xml:space="preserve"> </w:t>
      </w:r>
      <w:r w:rsidRPr="006C4917">
        <w:rPr>
          <w:rFonts w:hint="eastAsia"/>
          <w:rtl/>
        </w:rPr>
        <w:t>לבצע</w:t>
      </w:r>
      <w:r w:rsidRPr="006C4917">
        <w:rPr>
          <w:rtl/>
        </w:rPr>
        <w:t xml:space="preserve"> שינויים המהווים סטייה ניכרת </w:t>
      </w:r>
      <w:r w:rsidRPr="006C4917">
        <w:rPr>
          <w:rFonts w:hint="eastAsia"/>
          <w:rtl/>
        </w:rPr>
        <w:t>מעקרונות</w:t>
      </w:r>
      <w:r w:rsidRPr="006C4917">
        <w:rPr>
          <w:rtl/>
        </w:rPr>
        <w:t xml:space="preserve"> </w:t>
      </w:r>
      <w:r w:rsidRPr="006C4917">
        <w:rPr>
          <w:rFonts w:hint="eastAsia"/>
          <w:rtl/>
        </w:rPr>
        <w:t>היסוד</w:t>
      </w:r>
      <w:r w:rsidRPr="006C4917">
        <w:rPr>
          <w:rtl/>
        </w:rPr>
        <w:t xml:space="preserve"> </w:t>
      </w:r>
      <w:r w:rsidRPr="006C4917">
        <w:rPr>
          <w:rFonts w:hint="eastAsia"/>
          <w:rtl/>
        </w:rPr>
        <w:t>שכבר</w:t>
      </w:r>
      <w:r w:rsidRPr="006C4917">
        <w:rPr>
          <w:rtl/>
        </w:rPr>
        <w:t xml:space="preserve"> </w:t>
      </w:r>
      <w:r w:rsidRPr="006C4917">
        <w:rPr>
          <w:rFonts w:hint="eastAsia"/>
          <w:rtl/>
        </w:rPr>
        <w:t>נוצקו</w:t>
      </w:r>
      <w:r w:rsidRPr="006C4917">
        <w:rPr>
          <w:rtl/>
        </w:rPr>
        <w:t xml:space="preserve"> </w:t>
      </w:r>
      <w:r w:rsidRPr="006C4917">
        <w:rPr>
          <w:rFonts w:hint="eastAsia"/>
          <w:rtl/>
        </w:rPr>
        <w:t>ב</w:t>
      </w:r>
      <w:r w:rsidRPr="006C4917">
        <w:rPr>
          <w:rtl/>
        </w:rPr>
        <w:t xml:space="preserve">"חוקה </w:t>
      </w:r>
      <w:r w:rsidRPr="006C4917">
        <w:rPr>
          <w:rFonts w:hint="eastAsia"/>
          <w:rtl/>
        </w:rPr>
        <w:t>בהתהוות</w:t>
      </w:r>
      <w:r w:rsidRPr="006C4917">
        <w:rPr>
          <w:rtl/>
        </w:rPr>
        <w:t xml:space="preserve">", </w:t>
      </w:r>
      <w:r w:rsidRPr="006C4917">
        <w:rPr>
          <w:rFonts w:hint="eastAsia"/>
          <w:rtl/>
        </w:rPr>
        <w:t>דהיינו</w:t>
      </w:r>
      <w:r w:rsidRPr="006C4917">
        <w:rPr>
          <w:rtl/>
        </w:rPr>
        <w:t xml:space="preserve"> </w:t>
      </w:r>
      <w:r w:rsidRPr="006C4917">
        <w:rPr>
          <w:rFonts w:hint="eastAsia"/>
          <w:rtl/>
        </w:rPr>
        <w:t>מ</w:t>
      </w:r>
      <w:r w:rsidRPr="006C4917">
        <w:rPr>
          <w:rtl/>
        </w:rPr>
        <w:t xml:space="preserve">"הנתונים </w:t>
      </w:r>
      <w:r w:rsidRPr="006C4917">
        <w:rPr>
          <w:rFonts w:hint="eastAsia"/>
          <w:rtl/>
        </w:rPr>
        <w:t>החוקתיים</w:t>
      </w:r>
      <w:r w:rsidRPr="006C4917">
        <w:rPr>
          <w:rtl/>
        </w:rPr>
        <w:t xml:space="preserve">", </w:t>
      </w:r>
      <w:r w:rsidRPr="006C4917">
        <w:rPr>
          <w:rFonts w:hint="eastAsia"/>
          <w:rtl/>
        </w:rPr>
        <w:t>מותנית</w:t>
      </w:r>
      <w:r w:rsidRPr="006C4917">
        <w:rPr>
          <w:rtl/>
        </w:rPr>
        <w:t xml:space="preserve"> בגיבוש </w:t>
      </w:r>
      <w:r w:rsidRPr="006C4917">
        <w:rPr>
          <w:rFonts w:hint="eastAsia"/>
          <w:rtl/>
        </w:rPr>
        <w:t>הסכמה</w:t>
      </w:r>
      <w:r w:rsidRPr="006C4917">
        <w:rPr>
          <w:rtl/>
        </w:rPr>
        <w:t xml:space="preserve"> </w:t>
      </w:r>
      <w:r w:rsidRPr="006C4917">
        <w:rPr>
          <w:rFonts w:hint="eastAsia"/>
          <w:rtl/>
        </w:rPr>
        <w:t>רחבה</w:t>
      </w:r>
      <w:r w:rsidRPr="006C4917">
        <w:rPr>
          <w:rtl/>
        </w:rPr>
        <w:t>, ואינה יכולה להתבצע באמצעות הרוב המזדמן – אותו רוב שאת כוחו מיועדת החוקה להגביל. אעמוד ביתר פירוט על כל אחד מהסייגים הללו</w:t>
      </w:r>
      <w:r w:rsidRPr="006C4917">
        <w:rPr>
          <w:rFonts w:hint="cs"/>
          <w:rtl/>
        </w:rPr>
        <w:t>.</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 xml:space="preserve">הסייג הראשון, המרכזי והמהותי, הוא, בעיקרו, זה שעליו מצביעה הנשיאה (בדימ') </w:t>
      </w:r>
      <w:r w:rsidRPr="006C4917">
        <w:rPr>
          <w:rFonts w:ascii="Century" w:hAnsi="Century" w:cs="Miriam" w:hint="eastAsia"/>
          <w:b/>
          <w:spacing w:val="0"/>
          <w:sz w:val="22"/>
          <w:szCs w:val="24"/>
          <w:rtl/>
        </w:rPr>
        <w:t>חיות</w:t>
      </w:r>
      <w:r w:rsidRPr="006C4917">
        <w:rPr>
          <w:rFonts w:hint="cs"/>
          <w:rtl/>
        </w:rPr>
        <w:t xml:space="preserve"> בחוות דעתה. הכנסת הנוכחית, בכובעה המכונן, אינה רשאית להחריב את </w:t>
      </w:r>
      <w:r w:rsidRPr="006C4917">
        <w:rPr>
          <w:rFonts w:hint="cs"/>
          <w:rtl/>
        </w:rPr>
        <w:lastRenderedPageBreak/>
        <w:t>המבנה הקיים של "החוקה בהתהוות". בדימוי הבנאי בו עשיתי שימוש, אין היא רשאית למוטט את המבנה החוקתי שיצרו קודמותיה, על ידי הריסת יסודותיו או הסרת קורות היסוד המונחות בבסיסו. מטעם זה, דעתי כדעתה, כי פגיעה ב"</w:t>
      </w:r>
      <w:r w:rsidRPr="006C4917">
        <w:rPr>
          <w:rFonts w:ascii="Century" w:hAnsi="Century" w:cs="Miriam" w:hint="cs"/>
          <w:b/>
          <w:spacing w:val="0"/>
          <w:sz w:val="22"/>
          <w:szCs w:val="24"/>
          <w:rtl/>
        </w:rPr>
        <w:t>מאפייני הזהות הגרעיניים המינימאליים של מדינת ישראל</w:t>
      </w:r>
      <w:r w:rsidRPr="006C4917">
        <w:rPr>
          <w:rFonts w:hint="cs"/>
          <w:rtl/>
        </w:rPr>
        <w:t>", כפי שהונחו בחוקי היסוד הקיימים, חורגת מסמכותה של הכנסת הנוכחית. מהלך שכזה, הוא בגדר כפירה בעיקר הפרויקט של "ה</w:t>
      </w:r>
      <w:r w:rsidRPr="006C4917">
        <w:rPr>
          <w:rFonts w:hint="eastAsia"/>
          <w:rtl/>
        </w:rPr>
        <w:t>חוקה</w:t>
      </w:r>
      <w:r w:rsidRPr="006C4917">
        <w:rPr>
          <w:rtl/>
        </w:rPr>
        <w:t xml:space="preserve"> </w:t>
      </w:r>
      <w:r w:rsidRPr="006C4917">
        <w:rPr>
          <w:rFonts w:hint="eastAsia"/>
          <w:rtl/>
        </w:rPr>
        <w:t>בהתהוות</w:t>
      </w:r>
      <w:r w:rsidRPr="006C4917">
        <w:rPr>
          <w:rtl/>
        </w:rPr>
        <w:t>".</w:t>
      </w:r>
      <w:r w:rsidRPr="006C4917">
        <w:rPr>
          <w:rFonts w:hint="cs"/>
          <w:rtl/>
        </w:rPr>
        <w:t xml:space="preserve"> משכך,</w:t>
      </w:r>
      <w:r w:rsidRPr="006C4917">
        <w:rPr>
          <w:rtl/>
        </w:rPr>
        <w:t xml:space="preserve"> </w:t>
      </w:r>
      <w:r w:rsidRPr="006C4917">
        <w:rPr>
          <w:rFonts w:hint="eastAsia"/>
          <w:rtl/>
        </w:rPr>
        <w:t>אין</w:t>
      </w:r>
      <w:r w:rsidRPr="006C4917">
        <w:rPr>
          <w:rtl/>
        </w:rPr>
        <w:t xml:space="preserve"> </w:t>
      </w:r>
      <w:r w:rsidRPr="006C4917">
        <w:rPr>
          <w:rFonts w:hint="eastAsia"/>
          <w:rtl/>
        </w:rPr>
        <w:t>הוא</w:t>
      </w:r>
      <w:r w:rsidRPr="006C4917">
        <w:rPr>
          <w:rtl/>
        </w:rPr>
        <w:t xml:space="preserve"> </w:t>
      </w:r>
      <w:r w:rsidRPr="006C4917">
        <w:rPr>
          <w:rFonts w:hint="eastAsia"/>
          <w:rtl/>
        </w:rPr>
        <w:t>יכול</w:t>
      </w:r>
      <w:r w:rsidRPr="006C4917">
        <w:rPr>
          <w:rtl/>
        </w:rPr>
        <w:t xml:space="preserve"> </w:t>
      </w:r>
      <w:r w:rsidRPr="006C4917">
        <w:rPr>
          <w:rFonts w:hint="eastAsia"/>
          <w:rtl/>
        </w:rPr>
        <w:t>להוות</w:t>
      </w:r>
      <w:r w:rsidRPr="006C4917">
        <w:rPr>
          <w:rtl/>
        </w:rPr>
        <w:t xml:space="preserve"> </w:t>
      </w:r>
      <w:r w:rsidRPr="006C4917">
        <w:rPr>
          <w:rFonts w:hint="eastAsia"/>
          <w:rtl/>
        </w:rPr>
        <w:t>פעולה</w:t>
      </w:r>
      <w:r w:rsidRPr="006C4917">
        <w:rPr>
          <w:rtl/>
        </w:rPr>
        <w:t xml:space="preserve"> </w:t>
      </w:r>
      <w:r w:rsidRPr="006C4917">
        <w:rPr>
          <w:rFonts w:hint="eastAsia"/>
          <w:rtl/>
        </w:rPr>
        <w:t>מכוח</w:t>
      </w:r>
      <w:r w:rsidRPr="006C4917">
        <w:rPr>
          <w:rtl/>
        </w:rPr>
        <w:t xml:space="preserve"> </w:t>
      </w:r>
      <w:r w:rsidRPr="006C4917">
        <w:rPr>
          <w:rFonts w:hint="eastAsia"/>
          <w:rtl/>
        </w:rPr>
        <w:t>סמכות</w:t>
      </w:r>
      <w:r w:rsidRPr="006C4917">
        <w:rPr>
          <w:rtl/>
        </w:rPr>
        <w:t xml:space="preserve"> </w:t>
      </w:r>
      <w:r w:rsidRPr="006C4917">
        <w:rPr>
          <w:rFonts w:hint="eastAsia"/>
          <w:rtl/>
        </w:rPr>
        <w:t>המשכית</w:t>
      </w:r>
      <w:r w:rsidRPr="006C4917">
        <w:rPr>
          <w:rtl/>
        </w:rPr>
        <w:t xml:space="preserve"> </w:t>
      </w:r>
      <w:r w:rsidRPr="006C4917">
        <w:rPr>
          <w:rFonts w:hint="eastAsia"/>
          <w:rtl/>
        </w:rPr>
        <w:t>שנמסרה</w:t>
      </w:r>
      <w:r w:rsidRPr="006C4917">
        <w:rPr>
          <w:rtl/>
        </w:rPr>
        <w:t xml:space="preserve"> </w:t>
      </w:r>
      <w:r w:rsidRPr="006C4917">
        <w:rPr>
          <w:rFonts w:hint="eastAsia"/>
          <w:rtl/>
        </w:rPr>
        <w:t>לכנסת</w:t>
      </w:r>
      <w:r w:rsidRPr="006C4917">
        <w:rPr>
          <w:rtl/>
        </w:rPr>
        <w:t xml:space="preserve"> </w:t>
      </w:r>
      <w:r w:rsidRPr="006C4917">
        <w:rPr>
          <w:rFonts w:hint="eastAsia"/>
          <w:rtl/>
        </w:rPr>
        <w:t>הנוכחית</w:t>
      </w:r>
      <w:r w:rsidRPr="006C4917">
        <w:rPr>
          <w:rtl/>
        </w:rPr>
        <w:t xml:space="preserve"> </w:t>
      </w:r>
      <w:r w:rsidRPr="006C4917">
        <w:rPr>
          <w:rFonts w:hint="cs"/>
          <w:rtl/>
        </w:rPr>
        <w:t>על פי החלטת הררי.</w:t>
      </w:r>
    </w:p>
    <w:p w:rsidR="003D7BFC" w:rsidRPr="006C4917" w:rsidRDefault="003D7BFC" w:rsidP="003D7BFC">
      <w:pPr>
        <w:pStyle w:val="Ruller41"/>
        <w:rPr>
          <w:rtl/>
        </w:rPr>
      </w:pPr>
    </w:p>
    <w:p w:rsidR="003D7BFC" w:rsidRPr="006C4917" w:rsidRDefault="003D7BFC" w:rsidP="003D7BFC">
      <w:pPr>
        <w:pStyle w:val="Ruller4"/>
        <w:rPr>
          <w:rtl/>
        </w:rPr>
      </w:pPr>
      <w:r w:rsidRPr="006C4917">
        <w:rPr>
          <w:rFonts w:hint="cs"/>
          <w:rtl/>
        </w:rPr>
        <w:t xml:space="preserve">ודוק, הקורא את </w:t>
      </w:r>
      <w:r w:rsidRPr="006C4917">
        <w:rPr>
          <w:rFonts w:ascii="Century" w:hAnsi="Century" w:hint="cs"/>
          <w:rtl/>
        </w:rPr>
        <w:t>חוקי</w:t>
      </w:r>
      <w:r w:rsidRPr="006C4917">
        <w:rPr>
          <w:rFonts w:hint="cs"/>
          <w:rtl/>
        </w:rPr>
        <w:t xml:space="preserve"> היסוד שכוננו עד כה, יזהה על נקלה את קיומם של אותם "נתונים חוקתיים" המצויים בתשתית חקיקת היסוד כולה. </w:t>
      </w:r>
      <w:r w:rsidRPr="006C4917">
        <w:rPr>
          <w:rFonts w:hint="eastAsia"/>
          <w:rtl/>
        </w:rPr>
        <w:t>אכן</w:t>
      </w:r>
      <w:r w:rsidRPr="006C4917">
        <w:rPr>
          <w:rtl/>
        </w:rPr>
        <w:t>, "</w:t>
      </w:r>
      <w:r w:rsidRPr="006C4917">
        <w:rPr>
          <w:rFonts w:ascii="Century" w:hAnsi="Century" w:cs="Miriam" w:hint="eastAsia"/>
          <w:b/>
          <w:spacing w:val="0"/>
          <w:sz w:val="22"/>
          <w:szCs w:val="24"/>
          <w:rtl/>
        </w:rPr>
        <w:t>המערך</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החוקתי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בכללותו</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אינו</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מותיר</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מקום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לספק</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כי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קיומה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ודמותה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של</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מדינת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ישראל</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באו</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מן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השילוב</w:t>
      </w:r>
      <w:r w:rsidRPr="006C4917">
        <w:rPr>
          <w:rFonts w:ascii="Century" w:hAnsi="Century" w:cs="Miriam"/>
          <w:b/>
          <w:spacing w:val="0"/>
          <w:sz w:val="22"/>
          <w:szCs w:val="24"/>
          <w:rtl/>
        </w:rPr>
        <w:t xml:space="preserve"> – '</w:t>
      </w:r>
      <w:r w:rsidRPr="006C4917">
        <w:rPr>
          <w:rFonts w:ascii="Century" w:hAnsi="Century" w:cs="Miriam" w:hint="eastAsia"/>
          <w:b/>
          <w:spacing w:val="0"/>
          <w:sz w:val="22"/>
          <w:szCs w:val="24"/>
          <w:rtl/>
        </w:rPr>
        <w:t>יהודית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ודמוקרטית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וכי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זהו</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הלב</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הפועם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של</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החוקה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נוסח</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ישראל</w:t>
      </w:r>
      <w:r w:rsidRPr="006C4917">
        <w:rPr>
          <w:rFonts w:ascii="Century" w:hAnsi="Century" w:cs="Miriam"/>
          <w:b/>
          <w:spacing w:val="0"/>
          <w:sz w:val="22"/>
          <w:szCs w:val="24"/>
          <w:rtl/>
        </w:rPr>
        <w:t>'</w:t>
      </w:r>
      <w:r w:rsidRPr="006C4917">
        <w:rPr>
          <w:rtl/>
        </w:rPr>
        <w:t xml:space="preserve">" (עניין </w:t>
      </w:r>
      <w:r w:rsidRPr="006C4917">
        <w:rPr>
          <w:rFonts w:ascii="Century" w:hAnsi="Century" w:cs="Miriam" w:hint="eastAsia"/>
          <w:b/>
          <w:spacing w:val="0"/>
          <w:sz w:val="22"/>
          <w:szCs w:val="24"/>
          <w:rtl/>
        </w:rPr>
        <w:t>חסון</w:t>
      </w:r>
      <w:r w:rsidRPr="006C4917">
        <w:rPr>
          <w:rtl/>
        </w:rPr>
        <w:t xml:space="preserve">, </w:t>
      </w:r>
      <w:r w:rsidRPr="006C4917">
        <w:rPr>
          <w:rFonts w:hint="eastAsia"/>
          <w:rtl/>
        </w:rPr>
        <w:t>פסקה</w:t>
      </w:r>
      <w:r w:rsidRPr="006C4917">
        <w:rPr>
          <w:rtl/>
        </w:rPr>
        <w:t xml:space="preserve"> 18 </w:t>
      </w:r>
      <w:r w:rsidRPr="006C4917">
        <w:rPr>
          <w:rFonts w:hint="eastAsia"/>
          <w:rtl/>
        </w:rPr>
        <w:t>לפסק</w:t>
      </w:r>
      <w:r w:rsidRPr="006C4917">
        <w:rPr>
          <w:rtl/>
        </w:rPr>
        <w:t xml:space="preserve"> </w:t>
      </w:r>
      <w:r w:rsidRPr="006C4917">
        <w:rPr>
          <w:rFonts w:hint="eastAsia"/>
          <w:rtl/>
        </w:rPr>
        <w:t>דינה</w:t>
      </w:r>
      <w:r w:rsidRPr="006C4917">
        <w:rPr>
          <w:rtl/>
        </w:rPr>
        <w:t xml:space="preserve"> </w:t>
      </w:r>
      <w:r w:rsidRPr="006C4917">
        <w:rPr>
          <w:rFonts w:hint="eastAsia"/>
          <w:rtl/>
        </w:rPr>
        <w:t>של</w:t>
      </w:r>
      <w:r w:rsidRPr="006C4917">
        <w:rPr>
          <w:rtl/>
        </w:rPr>
        <w:t xml:space="preserve"> </w:t>
      </w:r>
      <w:r w:rsidRPr="006C4917">
        <w:rPr>
          <w:rFonts w:hint="eastAsia"/>
          <w:rtl/>
        </w:rPr>
        <w:t>הנשיאה</w:t>
      </w:r>
      <w:r w:rsidRPr="006C4917">
        <w:rPr>
          <w:rtl/>
        </w:rPr>
        <w:t xml:space="preserve"> </w:t>
      </w:r>
      <w:r w:rsidRPr="006C4917">
        <w:rPr>
          <w:rFonts w:ascii="Century" w:hAnsi="Century" w:cs="Miriam" w:hint="eastAsia"/>
          <w:b/>
          <w:spacing w:val="0"/>
          <w:sz w:val="22"/>
          <w:szCs w:val="24"/>
          <w:rtl/>
        </w:rPr>
        <w:t>חיות</w:t>
      </w:r>
      <w:r w:rsidRPr="006C4917">
        <w:rPr>
          <w:rtl/>
        </w:rPr>
        <w:t>)</w:t>
      </w:r>
      <w:r w:rsidRPr="006C4917">
        <w:rPr>
          <w:rFonts w:hint="cs"/>
          <w:rtl/>
        </w:rPr>
        <w:t>. מתוך רשימה של מקורות מהם ניתן ללמוד על אותם "נתונים חוקתיים", סבורני כי שתי נורמות מצביעות באופן הברור ביותר על זיהויים של רכיבי ה"יהודית" וה"דמוקרטית" כבסיס החוקה.</w:t>
      </w:r>
    </w:p>
    <w:p w:rsidR="003D7BFC" w:rsidRPr="006C4917" w:rsidRDefault="003D7BFC" w:rsidP="003D7BFC">
      <w:pPr>
        <w:pStyle w:val="Ruller41"/>
      </w:pPr>
    </w:p>
    <w:p w:rsidR="003D7BFC" w:rsidRPr="006C4917" w:rsidRDefault="003D7BFC" w:rsidP="003D7BFC">
      <w:pPr>
        <w:pStyle w:val="Ruller4"/>
        <w:rPr>
          <w:rtl/>
        </w:rPr>
      </w:pPr>
      <w:r w:rsidRPr="006C4917">
        <w:rPr>
          <w:rtl/>
        </w:rPr>
        <w:tab/>
      </w:r>
      <w:r w:rsidRPr="006C4917">
        <w:rPr>
          <w:rFonts w:hint="cs"/>
          <w:rtl/>
        </w:rPr>
        <w:t>מקור אחד הוא סעיף 7א(א)(1) לחוק-יסוד: הכנסת, שלפיו מועמד או רשימת מועמדים לא ישתתפו בבחירות לכנסת אם יש במטרותיהם או במעשיהם משום "</w:t>
      </w:r>
      <w:r w:rsidRPr="006C4917">
        <w:rPr>
          <w:rFonts w:ascii="Century" w:hAnsi="Century" w:cs="Miriam" w:hint="cs"/>
          <w:b/>
          <w:spacing w:val="0"/>
          <w:szCs w:val="24"/>
          <w:rtl/>
        </w:rPr>
        <w:t>שלילת קיומה של ישראל כמדינה יהודית ודמוקרטית</w:t>
      </w:r>
      <w:r w:rsidRPr="006C4917">
        <w:rPr>
          <w:rFonts w:hint="cs"/>
          <w:rtl/>
        </w:rPr>
        <w:t>". במסגרת סעיף זה גילתה הרשות המכוננת את דעתה כי יסודותיה היהודיים והדמוקרטיים של מדינת ישראל קודמים לזכות היסוד להיבחר, ובכך מהווים "הגרעין המינימלי" של זהות המדינה (</w:t>
      </w:r>
      <w:r w:rsidRPr="006C4917">
        <w:rPr>
          <w:rFonts w:hint="eastAsia"/>
          <w:rtl/>
        </w:rPr>
        <w:t>השוו</w:t>
      </w:r>
      <w:r w:rsidRPr="006C4917">
        <w:rPr>
          <w:rtl/>
        </w:rPr>
        <w:t xml:space="preserve">: </w:t>
      </w:r>
      <w:r w:rsidRPr="006C4917">
        <w:rPr>
          <w:rFonts w:hint="eastAsia"/>
          <w:rtl/>
        </w:rPr>
        <w:t>רע</w:t>
      </w:r>
      <w:r w:rsidRPr="006C4917">
        <w:rPr>
          <w:rtl/>
        </w:rPr>
        <w:t>"</w:t>
      </w:r>
      <w:r w:rsidRPr="006C4917">
        <w:rPr>
          <w:rFonts w:hint="eastAsia"/>
          <w:rtl/>
        </w:rPr>
        <w:t>א</w:t>
      </w:r>
      <w:r w:rsidRPr="006C4917">
        <w:rPr>
          <w:rtl/>
        </w:rPr>
        <w:t xml:space="preserve"> 7504/95 </w:t>
      </w:r>
      <w:r w:rsidRPr="006C4917">
        <w:rPr>
          <w:rFonts w:cs="Miriam" w:hint="eastAsia"/>
          <w:spacing w:val="0"/>
          <w:szCs w:val="24"/>
          <w:rtl/>
        </w:rPr>
        <w:t>יאסין</w:t>
      </w:r>
      <w:r w:rsidRPr="006C4917">
        <w:rPr>
          <w:rFonts w:cs="Miriam"/>
          <w:spacing w:val="0"/>
          <w:szCs w:val="24"/>
          <w:rtl/>
        </w:rPr>
        <w:t xml:space="preserve"> </w:t>
      </w:r>
      <w:r w:rsidRPr="006C4917">
        <w:rPr>
          <w:rFonts w:cs="Miriam" w:hint="eastAsia"/>
          <w:spacing w:val="0"/>
          <w:szCs w:val="24"/>
          <w:rtl/>
        </w:rPr>
        <w:t>נ</w:t>
      </w:r>
      <w:r w:rsidRPr="006C4917">
        <w:rPr>
          <w:rFonts w:cs="Miriam"/>
          <w:spacing w:val="0"/>
          <w:szCs w:val="24"/>
          <w:rtl/>
        </w:rPr>
        <w:t xml:space="preserve">' </w:t>
      </w:r>
      <w:r w:rsidRPr="006C4917">
        <w:rPr>
          <w:rFonts w:cs="Miriam" w:hint="eastAsia"/>
          <w:spacing w:val="0"/>
          <w:szCs w:val="24"/>
          <w:rtl/>
        </w:rPr>
        <w:t>רשם</w:t>
      </w:r>
      <w:r w:rsidRPr="006C4917">
        <w:rPr>
          <w:rFonts w:cs="Miriam"/>
          <w:spacing w:val="0"/>
          <w:szCs w:val="24"/>
          <w:rtl/>
        </w:rPr>
        <w:t xml:space="preserve"> </w:t>
      </w:r>
      <w:r w:rsidRPr="006C4917">
        <w:rPr>
          <w:rFonts w:cs="Miriam" w:hint="eastAsia"/>
          <w:spacing w:val="0"/>
          <w:szCs w:val="24"/>
          <w:rtl/>
        </w:rPr>
        <w:t>המפלגות</w:t>
      </w:r>
      <w:r w:rsidRPr="006C4917">
        <w:rPr>
          <w:rtl/>
        </w:rPr>
        <w:t xml:space="preserve">, </w:t>
      </w:r>
      <w:r w:rsidRPr="006C4917">
        <w:rPr>
          <w:rFonts w:hint="eastAsia"/>
          <w:rtl/>
        </w:rPr>
        <w:t>פ</w:t>
      </w:r>
      <w:r w:rsidRPr="006C4917">
        <w:rPr>
          <w:rtl/>
        </w:rPr>
        <w:t>"</w:t>
      </w:r>
      <w:r w:rsidRPr="006C4917">
        <w:rPr>
          <w:rFonts w:hint="eastAsia"/>
          <w:rtl/>
        </w:rPr>
        <w:t>ד</w:t>
      </w:r>
      <w:r w:rsidRPr="006C4917">
        <w:rPr>
          <w:rtl/>
        </w:rPr>
        <w:t xml:space="preserve"> </w:t>
      </w:r>
      <w:r w:rsidRPr="006C4917">
        <w:rPr>
          <w:rFonts w:hint="eastAsia"/>
          <w:rtl/>
        </w:rPr>
        <w:t>נ</w:t>
      </w:r>
      <w:r w:rsidRPr="006C4917">
        <w:rPr>
          <w:rtl/>
        </w:rPr>
        <w:t xml:space="preserve">(2) 45, 66-65 </w:t>
      </w:r>
      <w:r w:rsidRPr="006C4917">
        <w:rPr>
          <w:rFonts w:hint="cs"/>
          <w:rtl/>
        </w:rPr>
        <w:t>(1996);</w:t>
      </w:r>
      <w:r w:rsidRPr="006C4917">
        <w:rPr>
          <w:rtl/>
        </w:rPr>
        <w:t xml:space="preserve"> </w:t>
      </w:r>
      <w:r w:rsidRPr="006C4917">
        <w:rPr>
          <w:rFonts w:hint="eastAsia"/>
          <w:rtl/>
        </w:rPr>
        <w:t>א</w:t>
      </w:r>
      <w:r w:rsidRPr="006C4917">
        <w:rPr>
          <w:rtl/>
        </w:rPr>
        <w:t>"</w:t>
      </w:r>
      <w:r w:rsidRPr="006C4917">
        <w:rPr>
          <w:rFonts w:hint="eastAsia"/>
          <w:rtl/>
        </w:rPr>
        <w:t>ב</w:t>
      </w:r>
      <w:r w:rsidRPr="006C4917">
        <w:rPr>
          <w:rtl/>
        </w:rPr>
        <w:t xml:space="preserve"> 11280/02 </w:t>
      </w:r>
      <w:r w:rsidRPr="006C4917">
        <w:rPr>
          <w:rFonts w:cs="Miriam" w:hint="eastAsia"/>
          <w:spacing w:val="0"/>
          <w:szCs w:val="24"/>
          <w:rtl/>
        </w:rPr>
        <w:t>ועדת</w:t>
      </w:r>
      <w:r w:rsidRPr="006C4917">
        <w:rPr>
          <w:rFonts w:cs="Miriam"/>
          <w:spacing w:val="0"/>
          <w:szCs w:val="24"/>
          <w:rtl/>
        </w:rPr>
        <w:t xml:space="preserve"> </w:t>
      </w:r>
      <w:r w:rsidRPr="006C4917">
        <w:rPr>
          <w:rFonts w:cs="Miriam" w:hint="eastAsia"/>
          <w:spacing w:val="0"/>
          <w:szCs w:val="24"/>
          <w:rtl/>
        </w:rPr>
        <w:t>הבחירות</w:t>
      </w:r>
      <w:r w:rsidRPr="006C4917">
        <w:rPr>
          <w:rFonts w:cs="Miriam"/>
          <w:spacing w:val="0"/>
          <w:szCs w:val="24"/>
          <w:rtl/>
        </w:rPr>
        <w:t xml:space="preserve"> </w:t>
      </w:r>
      <w:r w:rsidRPr="006C4917">
        <w:rPr>
          <w:rFonts w:cs="Miriam" w:hint="eastAsia"/>
          <w:spacing w:val="0"/>
          <w:szCs w:val="24"/>
          <w:rtl/>
        </w:rPr>
        <w:t>המרכזית</w:t>
      </w:r>
      <w:r w:rsidRPr="006C4917">
        <w:rPr>
          <w:rFonts w:cs="Miriam"/>
          <w:spacing w:val="0"/>
          <w:szCs w:val="24"/>
          <w:rtl/>
        </w:rPr>
        <w:t xml:space="preserve"> </w:t>
      </w:r>
      <w:r w:rsidRPr="006C4917">
        <w:rPr>
          <w:rFonts w:cs="Miriam" w:hint="eastAsia"/>
          <w:spacing w:val="0"/>
          <w:szCs w:val="24"/>
          <w:rtl/>
        </w:rPr>
        <w:t>לכנסת</w:t>
      </w:r>
      <w:r w:rsidRPr="006C4917">
        <w:rPr>
          <w:rFonts w:cs="Miriam"/>
          <w:spacing w:val="0"/>
          <w:szCs w:val="24"/>
          <w:rtl/>
        </w:rPr>
        <w:t xml:space="preserve"> </w:t>
      </w:r>
      <w:r w:rsidRPr="006C4917">
        <w:rPr>
          <w:rFonts w:cs="Miriam" w:hint="eastAsia"/>
          <w:spacing w:val="0"/>
          <w:szCs w:val="24"/>
          <w:rtl/>
        </w:rPr>
        <w:t>השש</w:t>
      </w:r>
      <w:r w:rsidRPr="006C4917">
        <w:rPr>
          <w:rFonts w:cs="Miriam"/>
          <w:spacing w:val="0"/>
          <w:szCs w:val="24"/>
          <w:rtl/>
        </w:rPr>
        <w:t>-</w:t>
      </w:r>
      <w:r w:rsidRPr="006C4917">
        <w:rPr>
          <w:rFonts w:cs="Miriam" w:hint="eastAsia"/>
          <w:spacing w:val="0"/>
          <w:szCs w:val="24"/>
          <w:rtl/>
        </w:rPr>
        <w:t>עשרה</w:t>
      </w:r>
      <w:r w:rsidRPr="006C4917">
        <w:rPr>
          <w:rFonts w:cs="Miriam"/>
          <w:spacing w:val="0"/>
          <w:szCs w:val="24"/>
          <w:rtl/>
        </w:rPr>
        <w:t xml:space="preserve"> </w:t>
      </w:r>
      <w:r w:rsidRPr="006C4917">
        <w:rPr>
          <w:rFonts w:cs="Miriam" w:hint="eastAsia"/>
          <w:spacing w:val="0"/>
          <w:szCs w:val="24"/>
          <w:rtl/>
        </w:rPr>
        <w:t>נ</w:t>
      </w:r>
      <w:r w:rsidRPr="006C4917">
        <w:rPr>
          <w:rFonts w:cs="Miriam"/>
          <w:spacing w:val="0"/>
          <w:szCs w:val="24"/>
          <w:rtl/>
        </w:rPr>
        <w:t xml:space="preserve">' </w:t>
      </w:r>
      <w:r w:rsidRPr="006C4917">
        <w:rPr>
          <w:rFonts w:cs="Miriam" w:hint="eastAsia"/>
          <w:spacing w:val="0"/>
          <w:szCs w:val="24"/>
          <w:rtl/>
        </w:rPr>
        <w:t>טיבי</w:t>
      </w:r>
      <w:r w:rsidRPr="006C4917">
        <w:rPr>
          <w:rtl/>
        </w:rPr>
        <w:t xml:space="preserve">, </w:t>
      </w:r>
      <w:r w:rsidRPr="006C4917">
        <w:rPr>
          <w:rFonts w:hint="eastAsia"/>
          <w:rtl/>
        </w:rPr>
        <w:t>פ</w:t>
      </w:r>
      <w:r w:rsidRPr="006C4917">
        <w:rPr>
          <w:rtl/>
        </w:rPr>
        <w:t>"</w:t>
      </w:r>
      <w:r w:rsidRPr="006C4917">
        <w:rPr>
          <w:rFonts w:hint="eastAsia"/>
          <w:rtl/>
        </w:rPr>
        <w:t>ד</w:t>
      </w:r>
      <w:r w:rsidRPr="006C4917">
        <w:rPr>
          <w:rtl/>
        </w:rPr>
        <w:t xml:space="preserve"> </w:t>
      </w:r>
      <w:r w:rsidRPr="006C4917">
        <w:rPr>
          <w:rFonts w:hint="eastAsia"/>
          <w:rtl/>
        </w:rPr>
        <w:t>נז</w:t>
      </w:r>
      <w:r w:rsidRPr="006C4917">
        <w:rPr>
          <w:rtl/>
        </w:rPr>
        <w:t xml:space="preserve">(4) 1, </w:t>
      </w:r>
      <w:r w:rsidRPr="006C4917">
        <w:rPr>
          <w:rFonts w:hint="cs"/>
          <w:rtl/>
        </w:rPr>
        <w:t>24-21</w:t>
      </w:r>
      <w:r w:rsidRPr="006C4917">
        <w:rPr>
          <w:rtl/>
        </w:rPr>
        <w:t xml:space="preserve"> (2003</w:t>
      </w:r>
      <w:r w:rsidRPr="006C4917">
        <w:rPr>
          <w:sz w:val="22"/>
          <w:rtl/>
        </w:rPr>
        <w:t>);</w:t>
      </w:r>
      <w:r w:rsidRPr="006C4917">
        <w:rPr>
          <w:rFonts w:hint="cs"/>
          <w:sz w:val="22"/>
          <w:rtl/>
        </w:rPr>
        <w:t xml:space="preserve"> </w:t>
      </w:r>
      <w:r w:rsidRPr="006C4917">
        <w:rPr>
          <w:rFonts w:hint="eastAsia"/>
          <w:sz w:val="22"/>
          <w:rtl/>
        </w:rPr>
        <w:t>א</w:t>
      </w:r>
      <w:r w:rsidRPr="006C4917">
        <w:rPr>
          <w:sz w:val="22"/>
          <w:rtl/>
        </w:rPr>
        <w:t>"</w:t>
      </w:r>
      <w:r w:rsidRPr="006C4917">
        <w:rPr>
          <w:rFonts w:hint="eastAsia"/>
          <w:sz w:val="22"/>
          <w:rtl/>
        </w:rPr>
        <w:t>ב</w:t>
      </w:r>
      <w:r w:rsidRPr="006C4917">
        <w:rPr>
          <w:sz w:val="22"/>
          <w:rtl/>
        </w:rPr>
        <w:t xml:space="preserve"> 1806/19 </w:t>
      </w:r>
      <w:r w:rsidRPr="006C4917">
        <w:rPr>
          <w:rFonts w:cs="Miriam" w:hint="eastAsia"/>
          <w:spacing w:val="0"/>
          <w:sz w:val="22"/>
          <w:szCs w:val="24"/>
          <w:rtl/>
        </w:rPr>
        <w:t>ועדת</w:t>
      </w:r>
      <w:r w:rsidRPr="006C4917">
        <w:rPr>
          <w:rFonts w:cs="Miriam"/>
          <w:spacing w:val="0"/>
          <w:sz w:val="22"/>
          <w:szCs w:val="24"/>
          <w:rtl/>
        </w:rPr>
        <w:t xml:space="preserve"> </w:t>
      </w:r>
      <w:r w:rsidRPr="006C4917">
        <w:rPr>
          <w:rFonts w:cs="Miriam" w:hint="eastAsia"/>
          <w:spacing w:val="0"/>
          <w:sz w:val="22"/>
          <w:szCs w:val="24"/>
          <w:rtl/>
        </w:rPr>
        <w:t>הבחירות</w:t>
      </w:r>
      <w:r w:rsidRPr="006C4917">
        <w:rPr>
          <w:rFonts w:cs="Miriam"/>
          <w:spacing w:val="0"/>
          <w:sz w:val="22"/>
          <w:szCs w:val="24"/>
          <w:rtl/>
        </w:rPr>
        <w:t xml:space="preserve"> </w:t>
      </w:r>
      <w:r w:rsidRPr="006C4917">
        <w:rPr>
          <w:rFonts w:cs="Miriam" w:hint="eastAsia"/>
          <w:spacing w:val="0"/>
          <w:sz w:val="22"/>
          <w:szCs w:val="24"/>
          <w:rtl/>
        </w:rPr>
        <w:t>המרכזית</w:t>
      </w:r>
      <w:r w:rsidRPr="006C4917">
        <w:rPr>
          <w:rFonts w:cs="Miriam"/>
          <w:spacing w:val="0"/>
          <w:sz w:val="22"/>
          <w:szCs w:val="24"/>
          <w:rtl/>
        </w:rPr>
        <w:t xml:space="preserve"> </w:t>
      </w:r>
      <w:r w:rsidRPr="006C4917">
        <w:rPr>
          <w:rFonts w:cs="Miriam" w:hint="eastAsia"/>
          <w:spacing w:val="0"/>
          <w:sz w:val="22"/>
          <w:szCs w:val="24"/>
          <w:rtl/>
        </w:rPr>
        <w:t>לכנסת</w:t>
      </w:r>
      <w:r w:rsidRPr="006C4917">
        <w:rPr>
          <w:rFonts w:cs="Miriam"/>
          <w:spacing w:val="0"/>
          <w:sz w:val="22"/>
          <w:szCs w:val="24"/>
          <w:rtl/>
        </w:rPr>
        <w:t xml:space="preserve"> </w:t>
      </w:r>
      <w:r w:rsidRPr="006C4917">
        <w:rPr>
          <w:rFonts w:cs="Miriam" w:hint="eastAsia"/>
          <w:spacing w:val="0"/>
          <w:sz w:val="22"/>
          <w:szCs w:val="24"/>
          <w:rtl/>
        </w:rPr>
        <w:t>ה</w:t>
      </w:r>
      <w:r w:rsidRPr="006C4917">
        <w:rPr>
          <w:rFonts w:cs="Miriam"/>
          <w:spacing w:val="0"/>
          <w:sz w:val="22"/>
          <w:szCs w:val="24"/>
          <w:rtl/>
        </w:rPr>
        <w:t xml:space="preserve">-21 </w:t>
      </w:r>
      <w:r w:rsidRPr="006C4917">
        <w:rPr>
          <w:rFonts w:cs="Miriam" w:hint="eastAsia"/>
          <w:spacing w:val="0"/>
          <w:sz w:val="22"/>
          <w:szCs w:val="24"/>
          <w:rtl/>
        </w:rPr>
        <w:t>נ</w:t>
      </w:r>
      <w:r w:rsidRPr="006C4917">
        <w:rPr>
          <w:rFonts w:cs="Miriam"/>
          <w:spacing w:val="0"/>
          <w:sz w:val="22"/>
          <w:szCs w:val="24"/>
          <w:rtl/>
        </w:rPr>
        <w:t xml:space="preserve">' </w:t>
      </w:r>
      <w:r w:rsidRPr="006C4917">
        <w:rPr>
          <w:rFonts w:cs="Miriam" w:hint="eastAsia"/>
          <w:spacing w:val="0"/>
          <w:sz w:val="22"/>
          <w:szCs w:val="24"/>
          <w:rtl/>
        </w:rPr>
        <w:t>כסיף</w:t>
      </w:r>
      <w:r w:rsidRPr="006C4917">
        <w:rPr>
          <w:rFonts w:cs="Miriam"/>
          <w:spacing w:val="0"/>
          <w:sz w:val="22"/>
          <w:szCs w:val="24"/>
          <w:rtl/>
        </w:rPr>
        <w:t xml:space="preserve"> </w:t>
      </w:r>
      <w:r w:rsidRPr="006C4917">
        <w:rPr>
          <w:rFonts w:cs="Miriam" w:hint="eastAsia"/>
          <w:spacing w:val="0"/>
          <w:sz w:val="22"/>
          <w:szCs w:val="24"/>
          <w:rtl/>
        </w:rPr>
        <w:t>ואח</w:t>
      </w:r>
      <w:r w:rsidRPr="006C4917">
        <w:rPr>
          <w:rFonts w:cs="Miriam"/>
          <w:spacing w:val="0"/>
          <w:sz w:val="22"/>
          <w:szCs w:val="24"/>
          <w:rtl/>
        </w:rPr>
        <w:t>'</w:t>
      </w:r>
      <w:r w:rsidRPr="006C4917">
        <w:rPr>
          <w:sz w:val="22"/>
          <w:rtl/>
        </w:rPr>
        <w:t xml:space="preserve">, </w:t>
      </w:r>
      <w:r w:rsidRPr="006C4917">
        <w:rPr>
          <w:rFonts w:hint="eastAsia"/>
          <w:sz w:val="22"/>
          <w:rtl/>
        </w:rPr>
        <w:t>פסקה</w:t>
      </w:r>
      <w:r w:rsidRPr="006C4917">
        <w:rPr>
          <w:sz w:val="22"/>
          <w:rtl/>
        </w:rPr>
        <w:t xml:space="preserve"> 1</w:t>
      </w:r>
      <w:r w:rsidRPr="006C4917">
        <w:rPr>
          <w:rFonts w:hint="cs"/>
          <w:sz w:val="22"/>
          <w:rtl/>
        </w:rPr>
        <w:t>3</w:t>
      </w:r>
      <w:r w:rsidRPr="006C4917">
        <w:rPr>
          <w:sz w:val="22"/>
          <w:rtl/>
        </w:rPr>
        <w:t xml:space="preserve"> (18.7.2019)</w:t>
      </w:r>
      <w:r w:rsidRPr="006C4917">
        <w:rPr>
          <w:rtl/>
        </w:rPr>
        <w:t>)</w:t>
      </w:r>
      <w:r w:rsidRPr="006C4917">
        <w:rPr>
          <w:rFonts w:hint="cs"/>
          <w:rtl/>
        </w:rPr>
        <w:t>. יתרה מכך, ניתן לקרוא את סעיף 7א לחוק-יסוד: הכנסת ככזה המבסס את קדימו</w:t>
      </w:r>
      <w:r w:rsidRPr="006C4917">
        <w:rPr>
          <w:rFonts w:hint="eastAsia"/>
          <w:rtl/>
        </w:rPr>
        <w:t>תם</w:t>
      </w:r>
      <w:r w:rsidRPr="006C4917">
        <w:rPr>
          <w:rtl/>
        </w:rPr>
        <w:t xml:space="preserve"> </w:t>
      </w:r>
      <w:r w:rsidRPr="006C4917">
        <w:rPr>
          <w:rFonts w:hint="eastAsia"/>
          <w:rtl/>
        </w:rPr>
        <w:t>של</w:t>
      </w:r>
      <w:r w:rsidRPr="006C4917">
        <w:rPr>
          <w:rFonts w:hint="cs"/>
          <w:rtl/>
        </w:rPr>
        <w:t xml:space="preserve"> עקרונות היסוד על פני הפעלתה של הסמכות המכוננת אף בכך שהוא מונע, הלכה למעשה, את איושה של הרשות המכוננת במחוקקים שעשויים לפעול לשלילת קיומה של ישראל כמדינה יהודית ודמוקרטית. באספקלריה זו, ניתן לראות בסעיף זה כלל חוקתי שנועד למנוע מלכתחילה אפשרות של שינוי בסיס החוקה (ראו: עניין </w:t>
      </w:r>
      <w:r w:rsidRPr="006C4917">
        <w:rPr>
          <w:rFonts w:ascii="Century" w:hAnsi="Century" w:cs="Miriam" w:hint="cs"/>
          <w:b/>
          <w:spacing w:val="0"/>
          <w:szCs w:val="24"/>
          <w:rtl/>
        </w:rPr>
        <w:t>חסון</w:t>
      </w:r>
      <w:r w:rsidRPr="006C4917">
        <w:rPr>
          <w:rFonts w:ascii="Century" w:hAnsi="Century" w:hint="cs"/>
          <w:rtl/>
        </w:rPr>
        <w:t xml:space="preserve">, פסקה 19 לפסק דינה של הנשיאה </w:t>
      </w:r>
      <w:r w:rsidRPr="006C4917">
        <w:rPr>
          <w:rFonts w:ascii="Century" w:hAnsi="Century" w:cs="Miriam" w:hint="cs"/>
          <w:b/>
          <w:spacing w:val="0"/>
          <w:sz w:val="22"/>
          <w:szCs w:val="24"/>
          <w:rtl/>
        </w:rPr>
        <w:t>חיות</w:t>
      </w:r>
      <w:r w:rsidRPr="006C4917">
        <w:rPr>
          <w:rFonts w:ascii="Century" w:hAnsi="Century" w:hint="cs"/>
          <w:sz w:val="22"/>
          <w:rtl/>
        </w:rPr>
        <w:t xml:space="preserve">; </w:t>
      </w:r>
      <w:r w:rsidRPr="006C4917">
        <w:rPr>
          <w:rFonts w:ascii="Century" w:hAnsi="Century" w:hint="eastAsia"/>
          <w:rtl/>
        </w:rPr>
        <w:t>אביחי</w:t>
      </w:r>
      <w:r w:rsidRPr="006C4917">
        <w:rPr>
          <w:rFonts w:ascii="Century" w:hAnsi="Century"/>
          <w:rtl/>
        </w:rPr>
        <w:t xml:space="preserve"> </w:t>
      </w:r>
      <w:r w:rsidRPr="006C4917">
        <w:rPr>
          <w:rFonts w:ascii="Century" w:hAnsi="Century" w:hint="eastAsia"/>
          <w:rtl/>
        </w:rPr>
        <w:t>דורפמן</w:t>
      </w:r>
      <w:r w:rsidRPr="006C4917">
        <w:rPr>
          <w:rFonts w:ascii="Century" w:hAnsi="Century"/>
          <w:rtl/>
        </w:rPr>
        <w:t xml:space="preserve"> "</w:t>
      </w:r>
      <w:r w:rsidRPr="006C4917">
        <w:rPr>
          <w:rFonts w:ascii="Century" w:hAnsi="Century" w:hint="eastAsia"/>
          <w:rtl/>
        </w:rPr>
        <w:t>התיאוריה</w:t>
      </w:r>
      <w:r w:rsidRPr="006C4917">
        <w:rPr>
          <w:rFonts w:ascii="Century" w:hAnsi="Century"/>
          <w:rtl/>
        </w:rPr>
        <w:t xml:space="preserve"> </w:t>
      </w:r>
      <w:r w:rsidRPr="006C4917">
        <w:rPr>
          <w:rFonts w:ascii="Century" w:hAnsi="Century" w:hint="eastAsia"/>
          <w:rtl/>
        </w:rPr>
        <w:t>של</w:t>
      </w:r>
      <w:r w:rsidRPr="006C4917">
        <w:rPr>
          <w:rFonts w:ascii="Century" w:hAnsi="Century"/>
          <w:rtl/>
        </w:rPr>
        <w:t xml:space="preserve"> </w:t>
      </w:r>
      <w:r w:rsidRPr="006C4917">
        <w:rPr>
          <w:rFonts w:ascii="Century" w:hAnsi="Century" w:hint="eastAsia"/>
          <w:rtl/>
        </w:rPr>
        <w:t>כלל</w:t>
      </w:r>
      <w:r w:rsidRPr="006C4917">
        <w:rPr>
          <w:rFonts w:ascii="Century" w:hAnsi="Century"/>
          <w:rtl/>
        </w:rPr>
        <w:t xml:space="preserve"> </w:t>
      </w:r>
      <w:r w:rsidRPr="006C4917">
        <w:rPr>
          <w:rFonts w:ascii="Century" w:hAnsi="Century" w:hint="eastAsia"/>
          <w:rtl/>
        </w:rPr>
        <w:t>השינוי</w:t>
      </w:r>
      <w:r w:rsidRPr="006C4917">
        <w:rPr>
          <w:rFonts w:ascii="Century" w:hAnsi="Century"/>
          <w:rtl/>
        </w:rPr>
        <w:t xml:space="preserve"> </w:t>
      </w:r>
      <w:r w:rsidRPr="006C4917">
        <w:rPr>
          <w:rFonts w:ascii="Century" w:hAnsi="Century" w:hint="eastAsia"/>
          <w:rtl/>
        </w:rPr>
        <w:t>החוקתי</w:t>
      </w:r>
      <w:r w:rsidRPr="006C4917">
        <w:rPr>
          <w:rFonts w:ascii="Century" w:hAnsi="Century" w:hint="cs"/>
          <w:rtl/>
        </w:rPr>
        <w:t>: מדוע אופן תיקון החוקה משליך על אופי המשטר?</w:t>
      </w:r>
      <w:r w:rsidRPr="006C4917">
        <w:rPr>
          <w:rFonts w:ascii="Century" w:hAnsi="Century"/>
          <w:rtl/>
        </w:rPr>
        <w:t xml:space="preserve">" </w:t>
      </w:r>
      <w:r w:rsidRPr="006C4917">
        <w:rPr>
          <w:rFonts w:ascii="Century" w:hAnsi="Century" w:cs="Miriam" w:hint="eastAsia"/>
          <w:b/>
          <w:spacing w:val="0"/>
          <w:sz w:val="22"/>
          <w:szCs w:val="24"/>
          <w:rtl/>
        </w:rPr>
        <w:t>משפט</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וממשל</w:t>
      </w:r>
      <w:r w:rsidRPr="006C4917">
        <w:rPr>
          <w:rFonts w:ascii="Century" w:hAnsi="Century"/>
          <w:rtl/>
        </w:rPr>
        <w:t xml:space="preserve"> </w:t>
      </w:r>
      <w:r w:rsidRPr="006C4917">
        <w:rPr>
          <w:rFonts w:ascii="Century" w:hAnsi="Century" w:hint="eastAsia"/>
          <w:rtl/>
        </w:rPr>
        <w:t>י</w:t>
      </w:r>
      <w:r w:rsidRPr="006C4917">
        <w:rPr>
          <w:rFonts w:ascii="Century" w:hAnsi="Century"/>
          <w:rtl/>
        </w:rPr>
        <w:t xml:space="preserve"> 429 (2007)</w:t>
      </w:r>
      <w:r w:rsidRPr="006C4917">
        <w:rPr>
          <w:rFonts w:hint="cs"/>
          <w:rtl/>
        </w:rPr>
        <w:t>).</w:t>
      </w:r>
    </w:p>
    <w:p w:rsidR="003D7BFC" w:rsidRPr="006C4917" w:rsidRDefault="003D7BFC" w:rsidP="003D7BFC">
      <w:pPr>
        <w:pStyle w:val="Ruller41"/>
        <w:rPr>
          <w:rtl/>
        </w:rPr>
      </w:pPr>
    </w:p>
    <w:p w:rsidR="003D7BFC" w:rsidRPr="006C4917" w:rsidRDefault="003D7BFC" w:rsidP="003D7BFC">
      <w:pPr>
        <w:pStyle w:val="Ruller41"/>
        <w:rPr>
          <w:rtl/>
        </w:rPr>
      </w:pPr>
      <w:r w:rsidRPr="006C4917">
        <w:rPr>
          <w:rtl/>
        </w:rPr>
        <w:tab/>
      </w:r>
      <w:r w:rsidRPr="006C4917">
        <w:rPr>
          <w:rFonts w:hint="cs"/>
          <w:rtl/>
        </w:rPr>
        <w:t xml:space="preserve">ויובהר, סעיף 7א(א)(1) לחוק-יסוד: הכנסת מלמד על החשיבות הרבה המיוחסת לאופייה "היהודי והדמוקרטי" של המדינה ב"חוקה בהתהוות". ואולם לא ניתן ללמוד </w:t>
      </w:r>
      <w:r w:rsidRPr="006C4917">
        <w:rPr>
          <w:rFonts w:hint="cs"/>
          <w:rtl/>
        </w:rPr>
        <w:lastRenderedPageBreak/>
        <w:t>ממנו גזירה שווה, לפיה מגבלת הסמכות של הכנסת כרשות המכוננת כוללת רק את אותם עניינם בגינם יפסלו אדם או רשימה מלהתמודד לכנסת. תכלית המגבלות, זו הנוגעת להתמודדות לכנסת מזה, וזו הנוגעת לסמכות המכוננת של הכנסת מזה, שונה, ואין אפשרות ללמוד מהיקפה של האחת על היקפה של האחרת. כך, למשל, אינני סבור כי יש לפסול מהתמודדות לכנסת אדם הקורא לשינוי בהרכב הוועדה לבחירת שופטים בדרך כזו או אחרת, למרות שברור לדידי כי שינויים מסוימים בדרך מינוי שופטים (למשל, מתן שליטה מוחלטת לממשלה על מנגנון המינוי) נוגדים את עקרון העצמאות השיפוטית, ולפיכך עומדים בסתירה חזיתית לאופייה הדמוקרטי של המדינה.</w:t>
      </w:r>
    </w:p>
    <w:p w:rsidR="003D7BFC" w:rsidRPr="006C4917" w:rsidRDefault="003D7BFC" w:rsidP="003D7BFC">
      <w:pPr>
        <w:pStyle w:val="Ruller41"/>
      </w:pPr>
    </w:p>
    <w:p w:rsidR="003D7BFC" w:rsidRPr="006C4917" w:rsidRDefault="003D7BFC" w:rsidP="003D7BFC">
      <w:pPr>
        <w:pStyle w:val="Ruller4"/>
        <w:rPr>
          <w:rtl/>
        </w:rPr>
      </w:pPr>
      <w:r w:rsidRPr="006C4917">
        <w:rPr>
          <w:rFonts w:hint="cs"/>
          <w:rtl/>
        </w:rPr>
        <w:t xml:space="preserve">מקור מרכזי נוסף מצוי הן בחוק-יסוד: כבוד האדם וחירותו והן בחוק-יסוד: חופש העיסוק. המבוא לשני חוקי יסוד אלו, שיש הטוענים שניתן לראות בו מבוא למפעל החוקתי הישראלי כולו (ראו: אמנון רובינשטיין וליאב אורגד "המבוא לחוקה ומעמדו המשפטי: המקרה של ישראל" </w:t>
      </w:r>
      <w:r w:rsidRPr="006C4917">
        <w:rPr>
          <w:rFonts w:ascii="Century" w:hAnsi="Century" w:cs="Miriam" w:hint="cs"/>
          <w:b/>
          <w:spacing w:val="0"/>
          <w:szCs w:val="24"/>
          <w:rtl/>
        </w:rPr>
        <w:t>המשפט</w:t>
      </w:r>
      <w:r w:rsidRPr="006C4917">
        <w:rPr>
          <w:rFonts w:ascii="Century" w:hAnsi="Century" w:hint="cs"/>
          <w:rtl/>
        </w:rPr>
        <w:t xml:space="preserve"> יא 79, 105-103 (2007)</w:t>
      </w:r>
      <w:r w:rsidRPr="006C4917">
        <w:rPr>
          <w:rFonts w:hint="cs"/>
          <w:rtl/>
        </w:rPr>
        <w:t>), מלמד כי מטרתם של חוקים אלה היא להגן על כבוד האדם ועל חופש העיסוק "</w:t>
      </w:r>
      <w:r w:rsidRPr="006C4917">
        <w:rPr>
          <w:rFonts w:ascii="Century" w:hAnsi="Century" w:cs="Miriam" w:hint="cs"/>
          <w:b/>
          <w:spacing w:val="0"/>
          <w:szCs w:val="24"/>
          <w:rtl/>
        </w:rPr>
        <w:t>כדי לעגן בחוק יסוד את ערכיה של מדינת ישראל כמדינה יהודית ודמוקרטית</w:t>
      </w:r>
      <w:r w:rsidRPr="006C4917">
        <w:rPr>
          <w:rFonts w:hint="cs"/>
          <w:rtl/>
        </w:rPr>
        <w:t>".</w:t>
      </w:r>
    </w:p>
    <w:p w:rsidR="003D7BFC" w:rsidRPr="006C4917" w:rsidRDefault="003D7BFC" w:rsidP="003D7BFC">
      <w:pPr>
        <w:pStyle w:val="Ruller41"/>
        <w:rPr>
          <w:rtl/>
        </w:rPr>
      </w:pPr>
    </w:p>
    <w:p w:rsidR="003D7BFC" w:rsidRPr="006C4917" w:rsidRDefault="003D7BFC" w:rsidP="003D7BFC">
      <w:pPr>
        <w:pStyle w:val="Ruller4"/>
        <w:rPr>
          <w:rtl/>
        </w:rPr>
      </w:pPr>
      <w:r w:rsidRPr="006C4917">
        <w:rPr>
          <w:rFonts w:hint="cs"/>
          <w:rtl/>
        </w:rPr>
        <w:t>קיצורו של דבר, מפעל "החוקה בהתהוות" המתפרש על פני 75 שנות קיומה של המדינה, יצק מסגרת של עקרונות יסוד, של "נתונים חוקתיים", שאין הכנסת בכובעה המכונן רשאית להתעלם מהם, ובוודאי שאינה רשאית לעקרם מן היסוד.</w:t>
      </w:r>
    </w:p>
    <w:p w:rsidR="003D7BFC" w:rsidRPr="006C4917" w:rsidRDefault="003D7BFC" w:rsidP="003D7BFC">
      <w:pPr>
        <w:pStyle w:val="Ruller41"/>
        <w:rPr>
          <w:rtl/>
        </w:rPr>
      </w:pPr>
    </w:p>
    <w:p w:rsidR="003D7BFC" w:rsidRPr="006C4917" w:rsidRDefault="003D7BFC" w:rsidP="003D7BFC">
      <w:pPr>
        <w:pStyle w:val="Ruller4"/>
        <w:rPr>
          <w:rtl/>
        </w:rPr>
      </w:pPr>
      <w:r w:rsidRPr="006C4917">
        <w:rPr>
          <w:rFonts w:hint="cs"/>
          <w:rtl/>
        </w:rPr>
        <w:t>הסייג השני, אותו סבור אני כי נדרש להוסיף, נוגע לשינויים ב"נתונים החוקתיים", אשר אינם כה קיצוניים, עד כדי החרבת המבנה, ואולם הם מהווים סטייה ניכרת מ"החוקה בהתהוות" כפי שהתגבשה עד כה, בגדר הריסת קירות או הזזת מיקום התשתיות. שינויים ניכרים כאלה חורגים מסמכותו של הרוב המזדמן</w:t>
      </w:r>
      <w:r w:rsidRPr="006C4917">
        <w:rPr>
          <w:rtl/>
        </w:rPr>
        <w:t xml:space="preserve"> בכנסת הנוכחית, </w:t>
      </w:r>
      <w:r w:rsidRPr="006C4917">
        <w:rPr>
          <w:rFonts w:hint="cs"/>
          <w:rtl/>
        </w:rPr>
        <w:t xml:space="preserve">אשר </w:t>
      </w:r>
      <w:r w:rsidRPr="006C4917">
        <w:rPr>
          <w:rFonts w:hint="eastAsia"/>
          <w:rtl/>
        </w:rPr>
        <w:t>תכליתה</w:t>
      </w:r>
      <w:r w:rsidRPr="006C4917">
        <w:rPr>
          <w:rtl/>
        </w:rPr>
        <w:t xml:space="preserve"> </w:t>
      </w:r>
      <w:r w:rsidRPr="006C4917">
        <w:rPr>
          <w:rFonts w:hint="eastAsia"/>
          <w:rtl/>
        </w:rPr>
        <w:t>של</w:t>
      </w:r>
      <w:r w:rsidRPr="006C4917">
        <w:rPr>
          <w:rtl/>
        </w:rPr>
        <w:t xml:space="preserve"> </w:t>
      </w:r>
      <w:r w:rsidRPr="006C4917">
        <w:rPr>
          <w:rFonts w:hint="eastAsia"/>
          <w:rtl/>
        </w:rPr>
        <w:t>החוקה</w:t>
      </w:r>
      <w:r w:rsidRPr="006C4917">
        <w:rPr>
          <w:rtl/>
        </w:rPr>
        <w:t xml:space="preserve"> </w:t>
      </w:r>
      <w:r w:rsidRPr="006C4917">
        <w:rPr>
          <w:rFonts w:hint="eastAsia"/>
          <w:rtl/>
        </w:rPr>
        <w:t>הייתה</w:t>
      </w:r>
      <w:r w:rsidRPr="006C4917">
        <w:rPr>
          <w:rtl/>
        </w:rPr>
        <w:t xml:space="preserve"> </w:t>
      </w:r>
      <w:r w:rsidRPr="006C4917">
        <w:rPr>
          <w:rFonts w:hint="eastAsia"/>
          <w:rtl/>
        </w:rPr>
        <w:t>לתחום</w:t>
      </w:r>
      <w:r w:rsidRPr="006C4917">
        <w:rPr>
          <w:rtl/>
        </w:rPr>
        <w:t xml:space="preserve"> </w:t>
      </w:r>
      <w:r w:rsidRPr="006C4917">
        <w:rPr>
          <w:rFonts w:hint="eastAsia"/>
          <w:rtl/>
        </w:rPr>
        <w:t>אותו</w:t>
      </w:r>
      <w:r w:rsidRPr="006C4917">
        <w:rPr>
          <w:rtl/>
        </w:rPr>
        <w:t xml:space="preserve"> </w:t>
      </w:r>
      <w:r w:rsidRPr="006C4917">
        <w:rPr>
          <w:rFonts w:hint="eastAsia"/>
          <w:rtl/>
        </w:rPr>
        <w:t>לתבנית</w:t>
      </w:r>
      <w:r w:rsidRPr="006C4917">
        <w:rPr>
          <w:rtl/>
        </w:rPr>
        <w:t xml:space="preserve"> </w:t>
      </w:r>
      <w:r w:rsidRPr="006C4917">
        <w:rPr>
          <w:rFonts w:hint="eastAsia"/>
          <w:rtl/>
        </w:rPr>
        <w:t>המבנה</w:t>
      </w:r>
      <w:r w:rsidRPr="006C4917">
        <w:rPr>
          <w:rtl/>
        </w:rPr>
        <w:t xml:space="preserve"> </w:t>
      </w:r>
      <w:r w:rsidRPr="006C4917">
        <w:rPr>
          <w:rFonts w:hint="eastAsia"/>
          <w:rtl/>
        </w:rPr>
        <w:t>הקיים</w:t>
      </w:r>
      <w:r w:rsidRPr="006C4917">
        <w:rPr>
          <w:rFonts w:hint="cs"/>
          <w:rtl/>
        </w:rPr>
        <w:t xml:space="preserve"> (ולהרחבה ראו פסקאות 78-77 לחוות דעתה של הנשיאה (בדימ') </w:t>
      </w:r>
      <w:r w:rsidRPr="006C4917">
        <w:rPr>
          <w:rFonts w:ascii="Century" w:hAnsi="Century" w:cs="Miriam" w:hint="eastAsia"/>
          <w:b/>
          <w:spacing w:val="0"/>
          <w:sz w:val="22"/>
          <w:szCs w:val="24"/>
          <w:rtl/>
        </w:rPr>
        <w:t>חיות</w:t>
      </w:r>
      <w:r w:rsidRPr="006C4917">
        <w:rPr>
          <w:rFonts w:hint="cs"/>
          <w:rtl/>
        </w:rPr>
        <w:t>)</w:t>
      </w:r>
      <w:r w:rsidRPr="006C4917">
        <w:rPr>
          <w:rtl/>
        </w:rPr>
        <w:t>. יחד עם זאת, אינני סבור שה</w:t>
      </w:r>
      <w:r w:rsidRPr="006C4917">
        <w:rPr>
          <w:rFonts w:hint="cs"/>
          <w:rtl/>
        </w:rPr>
        <w:t>ם</w:t>
      </w:r>
      <w:r w:rsidRPr="006C4917">
        <w:rPr>
          <w:rtl/>
        </w:rPr>
        <w:t xml:space="preserve"> חורג</w:t>
      </w:r>
      <w:r w:rsidRPr="006C4917">
        <w:rPr>
          <w:rFonts w:hint="cs"/>
          <w:rtl/>
        </w:rPr>
        <w:t>ים</w:t>
      </w:r>
      <w:r w:rsidRPr="006C4917">
        <w:rPr>
          <w:rtl/>
        </w:rPr>
        <w:t xml:space="preserve"> מסמכותה של הכנסת בכובעה המכונן, ובלבד שפעולתה משקפת הסכמה רחבה, </w:t>
      </w:r>
      <w:r w:rsidRPr="006C4917">
        <w:rPr>
          <w:rFonts w:hint="cs"/>
          <w:rtl/>
        </w:rPr>
        <w:t xml:space="preserve">העולה על </w:t>
      </w:r>
      <w:r w:rsidRPr="006C4917">
        <w:rPr>
          <w:rtl/>
        </w:rPr>
        <w:t xml:space="preserve">גדרו של </w:t>
      </w:r>
      <w:r w:rsidRPr="006C4917">
        <w:rPr>
          <w:rFonts w:hint="eastAsia"/>
          <w:rtl/>
        </w:rPr>
        <w:t>הרוב</w:t>
      </w:r>
      <w:r w:rsidRPr="006C4917">
        <w:rPr>
          <w:rtl/>
        </w:rPr>
        <w:t xml:space="preserve"> </w:t>
      </w:r>
      <w:r w:rsidRPr="006C4917">
        <w:rPr>
          <w:rFonts w:hint="cs"/>
          <w:rtl/>
        </w:rPr>
        <w:t xml:space="preserve">הקואליציוני </w:t>
      </w:r>
      <w:r w:rsidRPr="006C4917">
        <w:rPr>
          <w:rFonts w:hint="eastAsia"/>
          <w:rtl/>
        </w:rPr>
        <w:t>הנוכחי</w:t>
      </w:r>
      <w:r w:rsidRPr="006C4917">
        <w:rPr>
          <w:rtl/>
        </w:rPr>
        <w:t xml:space="preserve">. במילים אחרות, כאשר הכנסת מבקשת לשנות באופן מהותי חלק קיים שהוגדר על ידי קודמותיה, </w:t>
      </w:r>
      <w:r w:rsidRPr="006C4917">
        <w:rPr>
          <w:rFonts w:hint="eastAsia"/>
          <w:rtl/>
        </w:rPr>
        <w:t>אין</w:t>
      </w:r>
      <w:r w:rsidRPr="006C4917">
        <w:rPr>
          <w:rtl/>
        </w:rPr>
        <w:t xml:space="preserve"> היא רשאית לעשות כן בכוחו של רוב מזדמן השולט בה, אלא עליה לגבש לשם </w:t>
      </w:r>
      <w:r w:rsidRPr="006C4917">
        <w:rPr>
          <w:rFonts w:ascii="Century" w:hAnsi="Century" w:hint="eastAsia"/>
          <w:sz w:val="22"/>
          <w:rtl/>
        </w:rPr>
        <w:t>כך</w:t>
      </w:r>
      <w:r w:rsidRPr="006C4917">
        <w:rPr>
          <w:rFonts w:ascii="Century" w:hAnsi="Century"/>
          <w:sz w:val="22"/>
          <w:rtl/>
        </w:rPr>
        <w:t xml:space="preserve"> </w:t>
      </w:r>
      <w:r w:rsidRPr="006C4917">
        <w:rPr>
          <w:rFonts w:ascii="Century" w:hAnsi="Century" w:hint="eastAsia"/>
          <w:sz w:val="22"/>
          <w:rtl/>
        </w:rPr>
        <w:t>הסכמה</w:t>
      </w:r>
      <w:r w:rsidRPr="006C4917">
        <w:rPr>
          <w:rFonts w:ascii="Century" w:hAnsi="Century"/>
          <w:sz w:val="22"/>
          <w:rtl/>
        </w:rPr>
        <w:t xml:space="preserve"> </w:t>
      </w:r>
      <w:r w:rsidRPr="006C4917">
        <w:rPr>
          <w:rFonts w:ascii="Century" w:hAnsi="Century" w:hint="eastAsia"/>
          <w:sz w:val="22"/>
          <w:rtl/>
        </w:rPr>
        <w:t>רחבה</w:t>
      </w:r>
      <w:r w:rsidRPr="006C4917">
        <w:rPr>
          <w:rFonts w:ascii="Century" w:hAnsi="Century"/>
          <w:sz w:val="22"/>
          <w:rtl/>
        </w:rPr>
        <w:t xml:space="preserve"> (</w:t>
      </w:r>
      <w:r w:rsidRPr="006C4917">
        <w:rPr>
          <w:rtl/>
        </w:rPr>
        <w:t xml:space="preserve">גם אם לא </w:t>
      </w:r>
      <w:r w:rsidRPr="006C4917">
        <w:rPr>
          <w:rFonts w:hint="eastAsia"/>
          <w:rtl/>
        </w:rPr>
        <w:t>הסכמה</w:t>
      </w:r>
      <w:r w:rsidRPr="006C4917">
        <w:rPr>
          <w:rtl/>
        </w:rPr>
        <w:t xml:space="preserve"> </w:t>
      </w:r>
      <w:r w:rsidRPr="006C4917">
        <w:rPr>
          <w:rFonts w:hint="eastAsia"/>
          <w:rtl/>
        </w:rPr>
        <w:t>כללית</w:t>
      </w:r>
      <w:r w:rsidRPr="006C4917">
        <w:rPr>
          <w:rtl/>
        </w:rPr>
        <w:t xml:space="preserve">). כך, הן משום שללא הסכמה כזו אין הצדקה </w:t>
      </w:r>
      <w:r w:rsidRPr="006C4917">
        <w:rPr>
          <w:rFonts w:hint="eastAsia"/>
          <w:rtl/>
        </w:rPr>
        <w:t>שתסטה</w:t>
      </w:r>
      <w:r w:rsidRPr="006C4917">
        <w:rPr>
          <w:rtl/>
        </w:rPr>
        <w:t xml:space="preserve"> </w:t>
      </w:r>
      <w:r w:rsidRPr="006C4917">
        <w:rPr>
          <w:rFonts w:hint="eastAsia"/>
          <w:rtl/>
        </w:rPr>
        <w:t>בצורה</w:t>
      </w:r>
      <w:r w:rsidRPr="006C4917">
        <w:rPr>
          <w:rtl/>
        </w:rPr>
        <w:t xml:space="preserve"> </w:t>
      </w:r>
      <w:r w:rsidRPr="006C4917">
        <w:rPr>
          <w:rFonts w:hint="eastAsia"/>
          <w:rtl/>
        </w:rPr>
        <w:t>חדה</w:t>
      </w:r>
      <w:r w:rsidRPr="006C4917">
        <w:rPr>
          <w:rtl/>
        </w:rPr>
        <w:t xml:space="preserve"> </w:t>
      </w:r>
      <w:r w:rsidRPr="006C4917">
        <w:rPr>
          <w:rFonts w:hint="eastAsia"/>
          <w:rtl/>
        </w:rPr>
        <w:t>מהכיוון</w:t>
      </w:r>
      <w:r w:rsidRPr="006C4917">
        <w:rPr>
          <w:rtl/>
        </w:rPr>
        <w:t xml:space="preserve"> </w:t>
      </w:r>
      <w:r w:rsidRPr="006C4917">
        <w:rPr>
          <w:rFonts w:hint="eastAsia"/>
          <w:rtl/>
        </w:rPr>
        <w:t>בו</w:t>
      </w:r>
      <w:r w:rsidRPr="006C4917">
        <w:rPr>
          <w:rtl/>
        </w:rPr>
        <w:t xml:space="preserve"> </w:t>
      </w:r>
      <w:r w:rsidRPr="006C4917">
        <w:rPr>
          <w:rFonts w:hint="eastAsia"/>
          <w:rtl/>
        </w:rPr>
        <w:t>פסעו</w:t>
      </w:r>
      <w:r w:rsidRPr="006C4917">
        <w:rPr>
          <w:rtl/>
        </w:rPr>
        <w:t xml:space="preserve"> </w:t>
      </w:r>
      <w:r w:rsidRPr="006C4917">
        <w:rPr>
          <w:rFonts w:hint="eastAsia"/>
          <w:rtl/>
        </w:rPr>
        <w:t>קודמותיה</w:t>
      </w:r>
      <w:r w:rsidRPr="006C4917">
        <w:rPr>
          <w:rtl/>
        </w:rPr>
        <w:t xml:space="preserve"> (היבט היקף ההסמכה</w:t>
      </w:r>
      <w:r w:rsidRPr="006C4917">
        <w:rPr>
          <w:rFonts w:hint="cs"/>
          <w:rtl/>
        </w:rPr>
        <w:t xml:space="preserve"> שניתנה</w:t>
      </w:r>
      <w:r w:rsidRPr="006C4917">
        <w:rPr>
          <w:rtl/>
        </w:rPr>
        <w:t xml:space="preserve"> לכנסת הנוכחית), ו</w:t>
      </w:r>
      <w:r w:rsidRPr="006C4917">
        <w:rPr>
          <w:rFonts w:hint="cs"/>
          <w:rtl/>
        </w:rPr>
        <w:t xml:space="preserve">הן בשל קיומו של </w:t>
      </w:r>
      <w:r w:rsidRPr="006C4917">
        <w:rPr>
          <w:rFonts w:hint="eastAsia"/>
          <w:rtl/>
        </w:rPr>
        <w:lastRenderedPageBreak/>
        <w:t>סיכון</w:t>
      </w:r>
      <w:r w:rsidRPr="006C4917">
        <w:rPr>
          <w:rtl/>
        </w:rPr>
        <w:t xml:space="preserve"> </w:t>
      </w:r>
      <w:r w:rsidRPr="006C4917">
        <w:rPr>
          <w:rFonts w:hint="eastAsia"/>
          <w:rtl/>
        </w:rPr>
        <w:t>כי</w:t>
      </w:r>
      <w:r w:rsidRPr="006C4917">
        <w:rPr>
          <w:rtl/>
        </w:rPr>
        <w:t xml:space="preserve"> </w:t>
      </w:r>
      <w:r w:rsidRPr="006C4917">
        <w:rPr>
          <w:rFonts w:hint="cs"/>
          <w:rtl/>
        </w:rPr>
        <w:t xml:space="preserve">שימוש שכזה בסמכות המכוננת מסכל את </w:t>
      </w:r>
      <w:r w:rsidRPr="006C4917">
        <w:rPr>
          <w:rFonts w:hint="eastAsia"/>
          <w:rtl/>
        </w:rPr>
        <w:t>מטרתה</w:t>
      </w:r>
      <w:r w:rsidRPr="006C4917">
        <w:rPr>
          <w:rtl/>
        </w:rPr>
        <w:t xml:space="preserve"> </w:t>
      </w:r>
      <w:r w:rsidRPr="006C4917">
        <w:rPr>
          <w:rFonts w:hint="eastAsia"/>
          <w:rtl/>
        </w:rPr>
        <w:t>של</w:t>
      </w:r>
      <w:r w:rsidRPr="006C4917">
        <w:rPr>
          <w:rtl/>
        </w:rPr>
        <w:t xml:space="preserve"> </w:t>
      </w:r>
      <w:r w:rsidRPr="006C4917">
        <w:rPr>
          <w:rFonts w:hint="cs"/>
          <w:rtl/>
        </w:rPr>
        <w:t>"</w:t>
      </w:r>
      <w:r w:rsidRPr="006C4917">
        <w:rPr>
          <w:rFonts w:hint="eastAsia"/>
          <w:rtl/>
        </w:rPr>
        <w:t>החוקה</w:t>
      </w:r>
      <w:r w:rsidRPr="006C4917">
        <w:rPr>
          <w:rtl/>
        </w:rPr>
        <w:t xml:space="preserve"> </w:t>
      </w:r>
      <w:r w:rsidRPr="006C4917">
        <w:rPr>
          <w:rFonts w:hint="eastAsia"/>
          <w:rtl/>
        </w:rPr>
        <w:t>בהתהוות</w:t>
      </w:r>
      <w:r w:rsidRPr="006C4917">
        <w:rPr>
          <w:rFonts w:hint="cs"/>
          <w:rtl/>
        </w:rPr>
        <w:t>"</w:t>
      </w:r>
      <w:r w:rsidRPr="006C4917">
        <w:rPr>
          <w:rtl/>
        </w:rPr>
        <w:t xml:space="preserve"> </w:t>
      </w:r>
      <w:r w:rsidRPr="006C4917">
        <w:rPr>
          <w:rFonts w:hint="eastAsia"/>
          <w:rtl/>
        </w:rPr>
        <w:t>בהגבלת</w:t>
      </w:r>
      <w:r w:rsidRPr="006C4917">
        <w:rPr>
          <w:rtl/>
        </w:rPr>
        <w:t xml:space="preserve"> </w:t>
      </w:r>
      <w:r w:rsidRPr="006C4917">
        <w:rPr>
          <w:rFonts w:hint="eastAsia"/>
          <w:rtl/>
        </w:rPr>
        <w:t>הכנסת</w:t>
      </w:r>
      <w:r w:rsidRPr="006C4917">
        <w:rPr>
          <w:rtl/>
        </w:rPr>
        <w:t xml:space="preserve"> </w:t>
      </w:r>
      <w:r w:rsidRPr="006C4917">
        <w:rPr>
          <w:rFonts w:hint="eastAsia"/>
          <w:rtl/>
        </w:rPr>
        <w:t>בכובעה</w:t>
      </w:r>
      <w:r w:rsidRPr="006C4917">
        <w:rPr>
          <w:rtl/>
        </w:rPr>
        <w:t xml:space="preserve"> </w:t>
      </w:r>
      <w:r w:rsidRPr="006C4917">
        <w:rPr>
          <w:rFonts w:hint="eastAsia"/>
          <w:rtl/>
        </w:rPr>
        <w:t>כמחוקקת</w:t>
      </w:r>
      <w:r w:rsidRPr="006C4917">
        <w:rPr>
          <w:rtl/>
        </w:rPr>
        <w:t xml:space="preserve"> (היבט </w:t>
      </w:r>
      <w:r w:rsidRPr="006C4917">
        <w:rPr>
          <w:rFonts w:hint="eastAsia"/>
          <w:rtl/>
        </w:rPr>
        <w:t>תכלית</w:t>
      </w:r>
      <w:r w:rsidRPr="006C4917">
        <w:rPr>
          <w:rtl/>
        </w:rPr>
        <w:t xml:space="preserve"> </w:t>
      </w:r>
      <w:r w:rsidRPr="006C4917">
        <w:rPr>
          <w:rFonts w:hint="eastAsia"/>
          <w:rtl/>
        </w:rPr>
        <w:t>ההסמכה</w:t>
      </w:r>
      <w:r w:rsidRPr="006C4917">
        <w:rPr>
          <w:rtl/>
        </w:rPr>
        <w:t xml:space="preserve"> </w:t>
      </w:r>
      <w:r w:rsidRPr="006C4917">
        <w:rPr>
          <w:rFonts w:hint="eastAsia"/>
          <w:rtl/>
        </w:rPr>
        <w:t>לכ</w:t>
      </w:r>
      <w:r w:rsidRPr="006C4917">
        <w:rPr>
          <w:rFonts w:hint="cs"/>
          <w:rtl/>
        </w:rPr>
        <w:t>ינון</w:t>
      </w:r>
      <w:r w:rsidRPr="006C4917">
        <w:rPr>
          <w:rtl/>
        </w:rPr>
        <w:t xml:space="preserve"> </w:t>
      </w:r>
      <w:r w:rsidRPr="006C4917">
        <w:rPr>
          <w:rFonts w:hint="eastAsia"/>
          <w:rtl/>
        </w:rPr>
        <w:t>חוקה</w:t>
      </w:r>
      <w:r w:rsidRPr="006C4917">
        <w:rPr>
          <w:rtl/>
        </w:rPr>
        <w:t>).</w:t>
      </w:r>
    </w:p>
    <w:p w:rsidR="003D7BFC" w:rsidRPr="006C4917" w:rsidRDefault="003D7BFC" w:rsidP="003D7BFC">
      <w:pPr>
        <w:pStyle w:val="Ruller41"/>
      </w:pPr>
    </w:p>
    <w:p w:rsidR="003D7BFC" w:rsidRPr="006C4917" w:rsidRDefault="003D7BFC" w:rsidP="003D7BFC">
      <w:pPr>
        <w:pStyle w:val="Ruller4"/>
      </w:pPr>
      <w:r w:rsidRPr="006C4917">
        <w:rPr>
          <w:rFonts w:hint="eastAsia"/>
          <w:rtl/>
        </w:rPr>
        <w:t>למיטב</w:t>
      </w:r>
      <w:r w:rsidRPr="006C4917">
        <w:rPr>
          <w:rFonts w:ascii="Century" w:hAnsi="Century"/>
          <w:rtl/>
        </w:rPr>
        <w:t xml:space="preserve"> הכרתי, עד ל</w:t>
      </w:r>
      <w:r w:rsidRPr="006C4917">
        <w:rPr>
          <w:rFonts w:ascii="Century" w:hAnsi="Century" w:hint="cs"/>
          <w:rtl/>
        </w:rPr>
        <w:t>אחרונה</w:t>
      </w:r>
      <w:r w:rsidRPr="006C4917">
        <w:rPr>
          <w:rFonts w:ascii="Century" w:hAnsi="Century"/>
          <w:rtl/>
        </w:rPr>
        <w:t>, מפעל "החוקה בהתהוות" נוהל</w:t>
      </w:r>
      <w:r w:rsidRPr="006C4917">
        <w:rPr>
          <w:rFonts w:ascii="Century" w:hAnsi="Century" w:hint="cs"/>
          <w:rtl/>
        </w:rPr>
        <w:t>, ככלל,</w:t>
      </w:r>
      <w:r w:rsidRPr="006C4917">
        <w:rPr>
          <w:rFonts w:ascii="Century" w:hAnsi="Century"/>
          <w:rtl/>
        </w:rPr>
        <w:t xml:space="preserve"> בהתאם למתווה שתואר לעיל. דהיינו, </w:t>
      </w:r>
      <w:r w:rsidRPr="006C4917">
        <w:rPr>
          <w:rFonts w:ascii="Century" w:hAnsi="Century" w:hint="eastAsia"/>
          <w:rtl/>
        </w:rPr>
        <w:t>הפעלת</w:t>
      </w:r>
      <w:r w:rsidRPr="006C4917">
        <w:rPr>
          <w:rFonts w:ascii="Century" w:hAnsi="Century"/>
          <w:rtl/>
        </w:rPr>
        <w:t xml:space="preserve"> הסמכות המכוננת, בין אם לשם קביעת הסדרים חדשים, ובין אם לשם </w:t>
      </w:r>
      <w:r w:rsidRPr="006C4917">
        <w:rPr>
          <w:rFonts w:ascii="Century" w:hAnsi="Century" w:hint="cs"/>
          <w:rtl/>
        </w:rPr>
        <w:t>שינוי מהותי של ה</w:t>
      </w:r>
      <w:r w:rsidRPr="006C4917">
        <w:rPr>
          <w:rFonts w:ascii="Century" w:hAnsi="Century"/>
          <w:rtl/>
        </w:rPr>
        <w:t>סדרים קיימים, נעשתה ב</w:t>
      </w:r>
      <w:r w:rsidRPr="006C4917">
        <w:rPr>
          <w:rFonts w:ascii="Century" w:hAnsi="Century" w:hint="cs"/>
          <w:rtl/>
        </w:rPr>
        <w:t>הסכמה רחבה או ב</w:t>
      </w:r>
      <w:r w:rsidRPr="006C4917">
        <w:rPr>
          <w:rFonts w:ascii="Century" w:hAnsi="Century"/>
          <w:rtl/>
        </w:rPr>
        <w:t>התאם ל</w:t>
      </w:r>
      <w:r w:rsidRPr="006C4917">
        <w:rPr>
          <w:rFonts w:ascii="Century" w:hAnsi="Century" w:hint="cs"/>
          <w:rtl/>
        </w:rPr>
        <w:t>"</w:t>
      </w:r>
      <w:r w:rsidRPr="006C4917">
        <w:rPr>
          <w:rFonts w:ascii="Century" w:hAnsi="Century"/>
          <w:rtl/>
        </w:rPr>
        <w:t>נתונים החוקתיים</w:t>
      </w:r>
      <w:r w:rsidRPr="006C4917">
        <w:rPr>
          <w:rFonts w:ascii="Century" w:hAnsi="Century" w:hint="cs"/>
          <w:rtl/>
        </w:rPr>
        <w:t>"</w:t>
      </w:r>
      <w:r w:rsidRPr="006C4917">
        <w:rPr>
          <w:rFonts w:ascii="Century" w:hAnsi="Century"/>
          <w:rtl/>
        </w:rPr>
        <w:t xml:space="preserve"> </w:t>
      </w:r>
      <w:r w:rsidRPr="006C4917">
        <w:rPr>
          <w:rFonts w:ascii="Century" w:hAnsi="Century" w:hint="cs"/>
          <w:rtl/>
        </w:rPr>
        <w:t>ה</w:t>
      </w:r>
      <w:r w:rsidRPr="006C4917">
        <w:rPr>
          <w:rFonts w:ascii="Century" w:hAnsi="Century"/>
          <w:rtl/>
        </w:rPr>
        <w:t xml:space="preserve">קיימים. </w:t>
      </w:r>
      <w:r w:rsidRPr="006C4917">
        <w:rPr>
          <w:rFonts w:ascii="Century" w:hAnsi="Century" w:hint="cs"/>
          <w:rtl/>
        </w:rPr>
        <w:t xml:space="preserve">כך, למשל, חוק-יסוד: הכנסת עבר ברוב של 0:96, חוק-יסוד: הממשלה עבר ברוב של 37:72 ואילו חוק-יסוד: הצבא, וחוק-יסוד: השפיטה עברו ללא כל מתנגדים (למצער, לא כאלה שצוינו בפרוטוקול הדיון). </w:t>
      </w:r>
      <w:r w:rsidRPr="006C4917">
        <w:rPr>
          <w:rFonts w:ascii="Century" w:hAnsi="Century"/>
          <w:rtl/>
        </w:rPr>
        <w:t>כך היה גם ביחס לחוק</w:t>
      </w:r>
      <w:r w:rsidRPr="006C4917">
        <w:rPr>
          <w:rFonts w:ascii="Century" w:hAnsi="Century" w:hint="cs"/>
          <w:rtl/>
        </w:rPr>
        <w:t>-</w:t>
      </w:r>
      <w:r w:rsidRPr="006C4917">
        <w:rPr>
          <w:rFonts w:ascii="Century" w:hAnsi="Century"/>
          <w:rtl/>
        </w:rPr>
        <w:t>יסוד: כבוד האדם וחירותו וחוק</w:t>
      </w:r>
      <w:r w:rsidRPr="006C4917">
        <w:rPr>
          <w:rFonts w:ascii="Century" w:hAnsi="Century" w:hint="cs"/>
          <w:rtl/>
        </w:rPr>
        <w:t>-</w:t>
      </w:r>
      <w:r w:rsidRPr="006C4917">
        <w:rPr>
          <w:rFonts w:ascii="Century" w:hAnsi="Century"/>
          <w:rtl/>
        </w:rPr>
        <w:t xml:space="preserve">יסוד: חופש העיסוק, אשר ההצבעה </w:t>
      </w:r>
      <w:r w:rsidRPr="006C4917">
        <w:rPr>
          <w:rFonts w:ascii="Century" w:hAnsi="Century" w:hint="cs"/>
          <w:rtl/>
        </w:rPr>
        <w:t xml:space="preserve">בקריאה שלישית </w:t>
      </w:r>
      <w:r w:rsidRPr="006C4917">
        <w:rPr>
          <w:rFonts w:ascii="Century" w:hAnsi="Century"/>
          <w:rtl/>
        </w:rPr>
        <w:t xml:space="preserve">שהתקיימה בכנסת ביחס לנוסחם המקורי הסתיימה אומנם בתוצאה </w:t>
      </w:r>
      <w:r w:rsidRPr="006C4917">
        <w:rPr>
          <w:rFonts w:ascii="Century" w:hAnsi="Century" w:hint="eastAsia"/>
          <w:rtl/>
        </w:rPr>
        <w:t>של</w:t>
      </w:r>
      <w:r w:rsidRPr="006C4917">
        <w:rPr>
          <w:rFonts w:ascii="Century" w:hAnsi="Century"/>
          <w:rtl/>
        </w:rPr>
        <w:t xml:space="preserve"> </w:t>
      </w:r>
      <w:r w:rsidRPr="006C4917">
        <w:rPr>
          <w:rFonts w:ascii="Century" w:hAnsi="Century" w:hint="cs"/>
          <w:rtl/>
        </w:rPr>
        <w:t xml:space="preserve">21:32 </w:t>
      </w:r>
      <w:r w:rsidRPr="006C4917">
        <w:rPr>
          <w:rFonts w:ascii="Century" w:hAnsi="Century" w:hint="eastAsia"/>
          <w:rtl/>
        </w:rPr>
        <w:t>ו</w:t>
      </w:r>
      <w:r w:rsidRPr="006C4917">
        <w:rPr>
          <w:rFonts w:ascii="Century" w:hAnsi="Century"/>
          <w:rtl/>
        </w:rPr>
        <w:t>-</w:t>
      </w:r>
      <w:r w:rsidRPr="006C4917">
        <w:rPr>
          <w:rFonts w:hint="cs"/>
          <w:rtl/>
        </w:rPr>
        <w:t>0:23, בהתאמה</w:t>
      </w:r>
      <w:r w:rsidRPr="006C4917">
        <w:rPr>
          <w:rtl/>
        </w:rPr>
        <w:t>,</w:t>
      </w:r>
      <w:r w:rsidRPr="006C4917">
        <w:rPr>
          <w:rFonts w:ascii="Century" w:hAnsi="Century"/>
          <w:rtl/>
        </w:rPr>
        <w:t xml:space="preserve"> ואולם, כפי שניתן ללמוד מהצבעות שהתקיימו </w:t>
      </w:r>
      <w:r w:rsidRPr="006C4917">
        <w:rPr>
          <w:rFonts w:ascii="Century" w:hAnsi="Century" w:hint="cs"/>
          <w:rtl/>
        </w:rPr>
        <w:t xml:space="preserve">כשנתיים לאחר חקיקתם לראשונה, </w:t>
      </w:r>
      <w:r w:rsidRPr="006C4917">
        <w:rPr>
          <w:rFonts w:ascii="Century" w:hAnsi="Century"/>
          <w:rtl/>
        </w:rPr>
        <w:t xml:space="preserve">ביחס לתיקונים שהוכנסו בהם, </w:t>
      </w:r>
      <w:r w:rsidRPr="006C4917">
        <w:rPr>
          <w:rFonts w:ascii="Century" w:hAnsi="Century" w:hint="cs"/>
          <w:rtl/>
        </w:rPr>
        <w:t xml:space="preserve">הם </w:t>
      </w:r>
      <w:r w:rsidRPr="006C4917">
        <w:rPr>
          <w:rFonts w:ascii="Century" w:hAnsi="Century"/>
          <w:rtl/>
        </w:rPr>
        <w:t>זכו</w:t>
      </w:r>
      <w:r w:rsidRPr="006C4917">
        <w:rPr>
          <w:rFonts w:ascii="Century" w:hAnsi="Century" w:hint="cs"/>
          <w:rtl/>
        </w:rPr>
        <w:t>, הלכה למעשה,</w:t>
      </w:r>
      <w:r w:rsidRPr="006C4917">
        <w:rPr>
          <w:rFonts w:ascii="Century" w:hAnsi="Century"/>
          <w:rtl/>
        </w:rPr>
        <w:t xml:space="preserve"> להסכמה רחבה מאד (</w:t>
      </w:r>
      <w:r w:rsidRPr="006C4917">
        <w:rPr>
          <w:rFonts w:ascii="Century" w:hAnsi="Century" w:hint="cs"/>
          <w:rtl/>
        </w:rPr>
        <w:t xml:space="preserve">כך, נוסחו המחודש של חוק-יסוד: חופש העיסוק עבר בקריאה שלישית ברוב של 9:67, ותיקונו של חוק-יסוד: כבוד האדם וחירותו שנעשה במסגרת כינונו מחדש של חוק-יסוד: חופש העיסוק, ואשר הוסיף את סעיף "עקרונות היסוד" המגדיר את העקרונות עליהם מושתת החוק, התקבל ברוב של 0:75 בקריאה שנייה. לעניין ההסכמה הרחבה שהובילה לחקיקתם של חוקי-היסוד, ראו התבטאויותיהם של חברי הכנסת אשר הובילו את הליך חקיקת התיקונים: אוריאל לין "חוקי-היסוד כחלק מהחוקה הישראלית הכתובה" </w:t>
      </w:r>
      <w:r w:rsidRPr="006C4917">
        <w:rPr>
          <w:rFonts w:ascii="Century" w:hAnsi="Century" w:cs="Miriam" w:hint="eastAsia"/>
          <w:b/>
          <w:spacing w:val="0"/>
          <w:szCs w:val="24"/>
          <w:rtl/>
        </w:rPr>
        <w:t>המשפט</w:t>
      </w:r>
      <w:r w:rsidRPr="006C4917">
        <w:rPr>
          <w:rFonts w:ascii="Century" w:hAnsi="Century" w:hint="cs"/>
          <w:rtl/>
        </w:rPr>
        <w:t xml:space="preserve"> ה 267, 273-272 (2000); אמנון רובינשטיין "סיפורם של חוקי-היסוד" </w:t>
      </w:r>
      <w:r w:rsidRPr="006C4917">
        <w:rPr>
          <w:rFonts w:ascii="Century" w:hAnsi="Century" w:cs="Miriam" w:hint="eastAsia"/>
          <w:b/>
          <w:spacing w:val="0"/>
          <w:szCs w:val="24"/>
          <w:rtl/>
        </w:rPr>
        <w:t>משפט</w:t>
      </w:r>
      <w:r w:rsidRPr="006C4917">
        <w:rPr>
          <w:rFonts w:ascii="Century" w:hAnsi="Century" w:cs="Miriam"/>
          <w:b/>
          <w:spacing w:val="0"/>
          <w:szCs w:val="24"/>
          <w:rtl/>
        </w:rPr>
        <w:t xml:space="preserve"> </w:t>
      </w:r>
      <w:r w:rsidRPr="006C4917">
        <w:rPr>
          <w:rFonts w:ascii="Century" w:hAnsi="Century" w:cs="Miriam" w:hint="eastAsia"/>
          <w:b/>
          <w:spacing w:val="0"/>
          <w:szCs w:val="24"/>
          <w:rtl/>
        </w:rPr>
        <w:t>ועסקים</w:t>
      </w:r>
      <w:r w:rsidRPr="006C4917">
        <w:rPr>
          <w:rFonts w:ascii="Century" w:hAnsi="Century" w:hint="cs"/>
          <w:rtl/>
        </w:rPr>
        <w:t xml:space="preserve"> יד 79, 97-94 (2012); אוריאל לין ושלומי לויה "כיצד הצליחה ועדת החוקה בכנסת השתים-עשרה במקום שבו נכשלו אחרים: דגשים והרהורים לגבי העתיד" </w:t>
      </w:r>
      <w:r w:rsidRPr="006C4917">
        <w:rPr>
          <w:rFonts w:ascii="Century" w:hAnsi="Century" w:cs="Miriam" w:hint="eastAsia"/>
          <w:b/>
          <w:spacing w:val="0"/>
          <w:sz w:val="22"/>
          <w:szCs w:val="24"/>
          <w:rtl/>
        </w:rPr>
        <w:t>משפט</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ועסקים</w:t>
      </w:r>
      <w:r w:rsidRPr="006C4917">
        <w:rPr>
          <w:rFonts w:ascii="Century" w:hAnsi="Century" w:hint="cs"/>
          <w:rtl/>
        </w:rPr>
        <w:t xml:space="preserve"> יד 261, 270-267 (2012) (להלן: </w:t>
      </w:r>
      <w:r w:rsidRPr="006C4917">
        <w:rPr>
          <w:rFonts w:ascii="Century" w:hAnsi="Century" w:cs="Miriam" w:hint="eastAsia"/>
          <w:b/>
          <w:spacing w:val="0"/>
          <w:sz w:val="22"/>
          <w:szCs w:val="24"/>
          <w:rtl/>
        </w:rPr>
        <w:t>לין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ולויה</w:t>
      </w:r>
      <w:r w:rsidRPr="006C4917">
        <w:rPr>
          <w:rFonts w:ascii="Century" w:hAnsi="Century" w:hint="cs"/>
          <w:rtl/>
        </w:rPr>
        <w:t>))</w:t>
      </w:r>
      <w:r w:rsidRPr="006C4917">
        <w:rPr>
          <w:rFonts w:ascii="Century" w:hAnsi="Century"/>
          <w:rtl/>
        </w:rPr>
        <w:t xml:space="preserve">. </w:t>
      </w:r>
      <w:r w:rsidRPr="006C4917">
        <w:rPr>
          <w:rFonts w:ascii="Century" w:hAnsi="Century" w:hint="eastAsia"/>
          <w:rtl/>
        </w:rPr>
        <w:t>שונים</w:t>
      </w:r>
      <w:r w:rsidRPr="006C4917">
        <w:rPr>
          <w:rFonts w:ascii="Century" w:hAnsi="Century"/>
          <w:rtl/>
        </w:rPr>
        <w:t xml:space="preserve"> </w:t>
      </w:r>
      <w:r w:rsidRPr="006C4917">
        <w:rPr>
          <w:rFonts w:ascii="Century" w:hAnsi="Century" w:hint="eastAsia"/>
          <w:rtl/>
        </w:rPr>
        <w:t>הדברים</w:t>
      </w:r>
      <w:r w:rsidRPr="006C4917">
        <w:rPr>
          <w:rFonts w:ascii="Century" w:hAnsi="Century" w:hint="cs"/>
          <w:rtl/>
        </w:rPr>
        <w:t xml:space="preserve">, כפי שיפורט בהמשך, </w:t>
      </w:r>
      <w:r w:rsidRPr="006C4917">
        <w:rPr>
          <w:rFonts w:ascii="Century" w:hAnsi="Century" w:hint="eastAsia"/>
          <w:rtl/>
        </w:rPr>
        <w:t>במקרה</w:t>
      </w:r>
      <w:r w:rsidRPr="006C4917">
        <w:rPr>
          <w:rFonts w:ascii="Century" w:hAnsi="Century"/>
          <w:rtl/>
        </w:rPr>
        <w:t xml:space="preserve"> </w:t>
      </w:r>
      <w:r w:rsidRPr="006C4917">
        <w:rPr>
          <w:rFonts w:ascii="Century" w:hAnsi="Century" w:hint="eastAsia"/>
          <w:rtl/>
        </w:rPr>
        <w:t>דנן</w:t>
      </w:r>
      <w:r w:rsidRPr="006C4917">
        <w:rPr>
          <w:rFonts w:ascii="Century" w:hAnsi="Century"/>
          <w:rtl/>
        </w:rPr>
        <w:t xml:space="preserve">, </w:t>
      </w:r>
      <w:r w:rsidRPr="006C4917">
        <w:rPr>
          <w:rFonts w:ascii="Century" w:hAnsi="Century" w:hint="eastAsia"/>
          <w:rtl/>
        </w:rPr>
        <w:t>ועל</w:t>
      </w:r>
      <w:r w:rsidRPr="006C4917">
        <w:rPr>
          <w:rFonts w:ascii="Century" w:hAnsi="Century"/>
          <w:rtl/>
        </w:rPr>
        <w:t xml:space="preserve"> </w:t>
      </w:r>
      <w:r w:rsidRPr="006C4917">
        <w:rPr>
          <w:rFonts w:ascii="Century" w:hAnsi="Century" w:hint="eastAsia"/>
          <w:rtl/>
        </w:rPr>
        <w:t>כן</w:t>
      </w:r>
      <w:r w:rsidRPr="006C4917">
        <w:rPr>
          <w:rFonts w:ascii="Century" w:hAnsi="Century"/>
          <w:rtl/>
        </w:rPr>
        <w:t xml:space="preserve"> </w:t>
      </w:r>
      <w:r w:rsidRPr="006C4917">
        <w:rPr>
          <w:rFonts w:ascii="Century" w:hAnsi="Century" w:hint="eastAsia"/>
          <w:rtl/>
        </w:rPr>
        <w:t>הצורך</w:t>
      </w:r>
      <w:r w:rsidRPr="006C4917">
        <w:rPr>
          <w:rFonts w:ascii="Century" w:hAnsi="Century"/>
          <w:rtl/>
        </w:rPr>
        <w:t xml:space="preserve"> </w:t>
      </w:r>
      <w:r w:rsidRPr="006C4917">
        <w:rPr>
          <w:rFonts w:ascii="Century" w:hAnsi="Century" w:hint="eastAsia"/>
          <w:rtl/>
        </w:rPr>
        <w:t>שנוצר</w:t>
      </w:r>
      <w:r w:rsidRPr="006C4917">
        <w:rPr>
          <w:rFonts w:ascii="Century" w:hAnsi="Century"/>
          <w:rtl/>
        </w:rPr>
        <w:t xml:space="preserve"> </w:t>
      </w:r>
      <w:r w:rsidRPr="006C4917">
        <w:rPr>
          <w:rFonts w:ascii="Century" w:hAnsi="Century" w:hint="eastAsia"/>
          <w:rtl/>
        </w:rPr>
        <w:t>בהבהרת</w:t>
      </w:r>
      <w:r w:rsidRPr="006C4917">
        <w:rPr>
          <w:rFonts w:ascii="Century" w:hAnsi="Century"/>
          <w:rtl/>
        </w:rPr>
        <w:t xml:space="preserve"> </w:t>
      </w:r>
      <w:r w:rsidRPr="006C4917">
        <w:rPr>
          <w:rFonts w:ascii="Century" w:hAnsi="Century" w:hint="eastAsia"/>
          <w:rtl/>
        </w:rPr>
        <w:t>מגבלת</w:t>
      </w:r>
      <w:r w:rsidRPr="006C4917">
        <w:rPr>
          <w:rFonts w:ascii="Century" w:hAnsi="Century"/>
          <w:rtl/>
        </w:rPr>
        <w:t xml:space="preserve"> </w:t>
      </w:r>
      <w:r w:rsidRPr="006C4917">
        <w:rPr>
          <w:rFonts w:ascii="Century" w:hAnsi="Century" w:hint="eastAsia"/>
          <w:rtl/>
        </w:rPr>
        <w:t>הסמכות</w:t>
      </w:r>
      <w:r w:rsidRPr="006C4917">
        <w:rPr>
          <w:rFonts w:ascii="Century" w:hAnsi="Century" w:hint="cs"/>
          <w:rtl/>
        </w:rPr>
        <w:t>.</w:t>
      </w:r>
    </w:p>
    <w:p w:rsidR="003D7BFC" w:rsidRPr="006C4917" w:rsidRDefault="003D7BFC" w:rsidP="00104D6D">
      <w:pPr>
        <w:pStyle w:val="Ruller4"/>
        <w:numPr>
          <w:ilvl w:val="0"/>
          <w:numId w:val="0"/>
        </w:numPr>
      </w:pPr>
    </w:p>
    <w:p w:rsidR="003D7BFC" w:rsidRPr="006C4917" w:rsidRDefault="00104D6D" w:rsidP="00104D6D">
      <w:pPr>
        <w:pStyle w:val="Ruller4"/>
        <w:numPr>
          <w:ilvl w:val="0"/>
          <w:numId w:val="0"/>
        </w:numPr>
      </w:pPr>
      <w:r>
        <w:rPr>
          <w:rFonts w:ascii="Century" w:hAnsi="Century"/>
          <w:rtl/>
        </w:rPr>
        <w:tab/>
      </w:r>
      <w:r w:rsidR="003D7BFC" w:rsidRPr="006C4917">
        <w:rPr>
          <w:rFonts w:ascii="Century" w:hAnsi="Century" w:hint="eastAsia"/>
          <w:sz w:val="22"/>
          <w:rtl/>
        </w:rPr>
        <w:t>יוער</w:t>
      </w:r>
      <w:r w:rsidR="003D7BFC" w:rsidRPr="006C4917">
        <w:rPr>
          <w:rFonts w:ascii="Century" w:hAnsi="Century"/>
          <w:sz w:val="22"/>
          <w:rtl/>
        </w:rPr>
        <w:t xml:space="preserve">, </w:t>
      </w:r>
      <w:r w:rsidR="003D7BFC" w:rsidRPr="006C4917">
        <w:rPr>
          <w:rFonts w:ascii="Century" w:hAnsi="Century" w:hint="eastAsia"/>
          <w:sz w:val="22"/>
          <w:rtl/>
        </w:rPr>
        <w:t>כי</w:t>
      </w:r>
      <w:r w:rsidR="003D7BFC" w:rsidRPr="006C4917">
        <w:rPr>
          <w:rFonts w:ascii="Century" w:hAnsi="Century" w:hint="cs"/>
          <w:rtl/>
        </w:rPr>
        <w:t xml:space="preserve"> בעשור האחרון התקבלו מספר חוקי יסוד שנויים במחלוקת ללא הסכמה רחבה. כך, למשל, חוק-יסוד: משאל עם התקבל ביום 12.3.2014 ברוב של 0:68, כאשר חברי האופוזיציה החרימו את ההצבעה; חוק-יסוד: ישראל </w:t>
      </w:r>
      <w:r w:rsidR="003D7BFC" w:rsidRPr="006C4917">
        <w:rPr>
          <w:rFonts w:ascii="Century" w:hAnsi="Century"/>
          <w:rtl/>
        </w:rPr>
        <w:t>–</w:t>
      </w:r>
      <w:r w:rsidR="003D7BFC" w:rsidRPr="006C4917">
        <w:rPr>
          <w:rFonts w:ascii="Century" w:hAnsi="Century" w:hint="cs"/>
          <w:rtl/>
        </w:rPr>
        <w:t xml:space="preserve"> מדינת הלאום של העם היהודי התקבל ביום 26.7.2018 בהצבעה שתוצאתה הייתה 55:62, כאשר הרוב היה מורכב מחברי הקואליציה בלבד. עם זאת, נראה כי בשני המקרים הללו לא דובר בחידוש או שינוי העומד בסתירה ל"נתונים החוקתיים" של "החוקה בהתהוות". במקרה הראשון, הוחלש כוחה של הכנסת, וחוזק כוחה של הדמוקרטיה הישירה, בכך שנדרש משאל עם</w:t>
      </w:r>
      <w:r w:rsidR="003D7BFC" w:rsidRPr="006C4917">
        <w:rPr>
          <w:rFonts w:hint="cs"/>
          <w:rtl/>
        </w:rPr>
        <w:t xml:space="preserve">; </w:t>
      </w:r>
      <w:r w:rsidR="003D7BFC" w:rsidRPr="006C4917">
        <w:rPr>
          <w:rFonts w:hint="cs"/>
          <w:rtl/>
        </w:rPr>
        <w:lastRenderedPageBreak/>
        <w:t xml:space="preserve">ובמקרה השני, בהתאם לעמדת הרוב בעניין </w:t>
      </w:r>
      <w:r w:rsidR="003D7BFC" w:rsidRPr="006C4917">
        <w:rPr>
          <w:rFonts w:ascii="Century" w:hAnsi="Century" w:cs="Miriam" w:hint="cs"/>
          <w:b/>
          <w:spacing w:val="0"/>
          <w:sz w:val="22"/>
          <w:szCs w:val="24"/>
          <w:rtl/>
        </w:rPr>
        <w:t>חסון</w:t>
      </w:r>
      <w:r w:rsidR="003D7BFC" w:rsidRPr="006C4917">
        <w:rPr>
          <w:rFonts w:hint="cs"/>
          <w:rtl/>
        </w:rPr>
        <w:t>, החוק ניתן לפרשנות שאינה פוגעת במאפיינים הדמוקרטיים הגרעיניים של מדינת ישראל.</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מהם "קורות היסוד" של "החוקה בהתהוות", אשר אותן אין הכנסת הנוכחית בכובעה המכונן רשאית לשנות? מהי "סטייה ניכרת" מ"החוקה בהתהוות" אותה היא רשאית לקדם רק ב"הסכמה רחבה"?</w:t>
      </w:r>
      <w:r w:rsidRPr="006C4917">
        <w:rPr>
          <w:rtl/>
        </w:rPr>
        <w:t xml:space="preserve"> </w:t>
      </w:r>
      <w:r w:rsidRPr="006C4917">
        <w:rPr>
          <w:rFonts w:hint="cs"/>
          <w:rtl/>
        </w:rPr>
        <w:t>ומהי אותה "הסכמה רחבה"? הגורם שראוי כי ייתן תשובות לשאלות אלה הוא הרשות המכוננת, וזאת על דרך של קביעת חוק-יסוד: החקיקה, אשר יניח את הגג מעל "החוקה בהתהוות", ויאפשר להפוך אותה לחוקה שנשלמה הכנתה (גם אם תיוותר בלתי מושלמת מבחינת התכנים שבה). אלא שהכנסות השונות, בכובען כרשות המכוננת, סירבו עד כה ליטול על עצמן משימה זו, ונמנעו מהשלמת מבנה החוקה. כיצד עלינו לנהוג במצב דברים זה?</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אפשרות אחת, אותה הציעו חלק מהעותרים (סעיף 25 לעיקרי הטיעון שהגישו העותרות בבג</w:t>
      </w:r>
      <w:r w:rsidRPr="006C4917">
        <w:rPr>
          <w:rtl/>
        </w:rPr>
        <w:t>"</w:t>
      </w:r>
      <w:r w:rsidRPr="006C4917">
        <w:rPr>
          <w:rFonts w:hint="cs"/>
          <w:rtl/>
        </w:rPr>
        <w:t xml:space="preserve">ץ 5661/23), ואשר זוכה לתמיכה מסוימת בחוות דעתו של חברי, השופט </w:t>
      </w:r>
      <w:r w:rsidRPr="006C4917">
        <w:rPr>
          <w:rFonts w:ascii="Century" w:hAnsi="Century" w:cs="Miriam" w:hint="cs"/>
          <w:b/>
          <w:spacing w:val="0"/>
          <w:szCs w:val="24"/>
          <w:rtl/>
        </w:rPr>
        <w:t>שטיין</w:t>
      </w:r>
      <w:r w:rsidRPr="006C4917">
        <w:rPr>
          <w:rFonts w:hint="cs"/>
          <w:rtl/>
        </w:rPr>
        <w:t xml:space="preserve"> (פסקאות 83-77 לחוות דעתו), היא שבית משפט זה יימנע מלהכיר בתוקפם של חוקי יסוד חדשים כל עוד לא תיקבע על ידי הכנסת, בכובעה כרשות המכוננת, פרוצדורת הכינון, דהיינו כל עוד לא יועבר חוק-יסוד: החקיקה. אפשרת אחרת, הפוכה בתוצאתה, היא שכל עוד לא הוגדרו בחוק-יסוד: החקיקה עניינים אלה, יימנע בית משפט זה מלהעביר כל ביקורת על חוקי היסוד, ויכיר בכך בכוחה של הכנסת המכהנת להעביר חוקי יסוד כחוכמתה (דומה שבדרך זו פוסע חברי, השופט </w:t>
      </w:r>
      <w:r w:rsidRPr="006C4917">
        <w:rPr>
          <w:rFonts w:ascii="Century" w:hAnsi="Century" w:cs="Miriam" w:hint="cs"/>
          <w:b/>
          <w:spacing w:val="0"/>
          <w:szCs w:val="24"/>
          <w:rtl/>
        </w:rPr>
        <w:t>דוד מינץ</w:t>
      </w:r>
      <w:r w:rsidRPr="006C4917">
        <w:rPr>
          <w:rFonts w:hint="cs"/>
          <w:rtl/>
        </w:rPr>
        <w:t>). שתי אפשרויות הקצה הללו נראות לי בלתי ראויות. האחת, משמעה עצירת מפעל "החוקה בהתהוות", ומניעת התקדמותו כל עוד לא ייחקק חוק-יסוד: החקיקה, וזאת באופן שיסכל לא רק את התקדמות באמצעות הוספת פרקים חדשים, אלא גם תיקון ליקויים קלים, שאין כל טעם שלא להכיר בסמכות הכנסת המכהנת לבצעם, וזאת גם ללא שתתגבש סביבם הסכמה רחבה. השנייה, פירושה הסרת כל המגבלות מעל הכנסת המכהנת, באופן שמעורר חשש כי תימצא כזו אשר תגרום למפעל החוקתי נזק עצום, תוך הסטתו באופן חד מנתיבו, דווקא בשלבים הקריטיים של התהוותו, מבלי שיהיה לו מציל ומושיע. בכך תסוכל תכליתה של "החוקה בהתהוות", ויינתן, הלכה למעשה, תוקף לחריגות ניכרות מסמכות הכנסת הנוכחית, בכובעה המכונן.</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 xml:space="preserve">הפתרון הראוי בעיניי הוא שבתקופת הביניים, עד שיונח הגג בדמותו של חוק-יסוד: החקיקה, נייחס, מחד גיסא, משמעות למגבלת הסמכות, אך נמנע, מאידך גיסא, מלהגדיר אותה באופן מדויק מעבר לעקרונות המנחים שצוינו לעיל. במילים אחרות, </w:t>
      </w:r>
      <w:r w:rsidRPr="006C4917">
        <w:rPr>
          <w:rFonts w:hint="cs"/>
          <w:rtl/>
        </w:rPr>
        <w:lastRenderedPageBreak/>
        <w:t>נבחן כל מקרה לגופו, וננסה לתת בו סימנים בהתאם לעקרונות שהוגדרו לעיל: ככל שמדובר בחוק יסוד המקעקע את ה"נתונים החוקתיים" שהונחו כבר ב"חוקה בהתהוות", בראש ובראשונה "גרעין אופייה היהודי והדמוקרטי" של מדינת ישראל, נראה בו חריגה ממגבלת הסמכות; ככל שמדובר בחוק יסוד המהווה סטייה מהותית מה"נתונים החוקתיים" של "החוקה בהתהוות", כפי שהתגבשה עד כה, נראה בו חריגה ממגבלת הסמכות, אלא אם נשתכנע כי זכה להסכמה רחבה, דהיינו להסכמה העולה משמעותית על רוב קואליציוני דחוק. אכן, הנחיות אלה רחוקות מלהיות אופטימליות או ממצות. הן כוללות בחובן מרכיב אי ודאות ניכר, שמוטב היה להימנע ממנו, בוודאי בהקשר החוקתי. עם זאת, יש בהן איזון ראוי בין שתי שאיפות: האחת, לאפשר לכנסת להשלים את המפעל החוקתי, בכלל זה באמצעות כינון חוק-יסוד: החקיקה, בצורה שתוסיף בהירות וודאות הרצויות לכל הדעות; השנייה, למנוע ריקון מתוכן, ואולי אף חורבן, של "החוקה בהתהוות" בתקופת הביניים, על ידי רוב מזדמן בכנסת, אשר השקפותיו החוקתיות עשויות להיות שונות בתכלית מאלה של החוליות שקדמו לו ביצירת המפעל החוקתי.</w:t>
      </w:r>
    </w:p>
    <w:p w:rsidR="003D7BFC" w:rsidRPr="006C4917" w:rsidRDefault="003D7BFC" w:rsidP="00104D6D">
      <w:pPr>
        <w:pStyle w:val="Ruller4"/>
        <w:numPr>
          <w:ilvl w:val="0"/>
          <w:numId w:val="0"/>
        </w:numPr>
        <w:rPr>
          <w:rtl/>
        </w:rPr>
      </w:pPr>
    </w:p>
    <w:p w:rsidR="003D7BFC" w:rsidRPr="006C4917" w:rsidRDefault="003D7BFC" w:rsidP="003D7BFC">
      <w:pPr>
        <w:pStyle w:val="Ruller4"/>
      </w:pPr>
      <w:r w:rsidRPr="006C4917">
        <w:rPr>
          <w:rFonts w:hint="cs"/>
          <w:rtl/>
        </w:rPr>
        <w:t>ויובהר, המבנה האמור של מגבלת הסמכות איננו הכרחי כשמדובר בחוקה שלמה, ואולם הוא נדרש לשיטתי בעת הזו, דהיינו כל עוד מצויים אנו בתקופת "החוקה בהתהוות". כך, בהינתן המציאות החוקתית הייחודית שנוצרה בישראל, במסגרתה כנסת מכהנת, המשמשת הן כרשות המחוקקת והן כרשות המכוננת, נדרשת להמשיך במפעלן של כל הכנסות שקדמו לה. מציאות זו מחייבת להגביל בתקופת הביניים שעד להשלמת מפעל החוקה את סמכותה המכוננת של הכנסת המכהנת, הן מפאת הכבוד שהיא מחויבת בו למפעל החוקה שנוצר על ידי קודמותיה, והן על מנת שלא לסכל את תכלית קיומה של החוקה, באמצעות מתן כוח עודף לרוב מזדמן לא רק להסיר מעליו את כבלי "החוקה בהתהוות", אלא אף לשבש את המפעל החוקתי בכללותו.</w:t>
      </w:r>
    </w:p>
    <w:p w:rsidR="003D7BFC" w:rsidRPr="006C4917" w:rsidRDefault="003D7BFC" w:rsidP="00104D6D">
      <w:pPr>
        <w:pStyle w:val="Ruller4"/>
        <w:numPr>
          <w:ilvl w:val="0"/>
          <w:numId w:val="0"/>
        </w:numPr>
        <w:rPr>
          <w:rtl/>
        </w:rPr>
      </w:pPr>
    </w:p>
    <w:p w:rsidR="003D7BFC" w:rsidRPr="006C4917" w:rsidRDefault="003D7BFC" w:rsidP="003D7BFC">
      <w:pPr>
        <w:pStyle w:val="Ruller4"/>
      </w:pPr>
      <w:r w:rsidRPr="006C4917">
        <w:rPr>
          <w:rFonts w:hint="cs"/>
          <w:rtl/>
        </w:rPr>
        <w:t>לאור המובהר, כשתקבע הכנסת בכובעה המכונן את חוק-יסוד: החקיקה, אין היא מחויבת לאמץ את המבנה האמור, אלא בסמכותה לקבוע הסדר אחר לעניין אופן כינון חוקי היסוד ותיקונם. כך, למשל, באפשרותה לקבוע מנגנון אחיד לתיקון חוקי היסוד, אשר יימנע מלהבחין בין סוגים שונים של שינויים חוקתיים לפי מידת סטייתם מעקרונות היסוד של החוקה.</w:t>
      </w:r>
    </w:p>
    <w:p w:rsidR="003D7BFC" w:rsidRPr="006C4917" w:rsidRDefault="003D7BFC" w:rsidP="00104D6D">
      <w:pPr>
        <w:pStyle w:val="Ruller4"/>
        <w:numPr>
          <w:ilvl w:val="0"/>
          <w:numId w:val="0"/>
        </w:numPr>
        <w:rPr>
          <w:rtl/>
        </w:rPr>
      </w:pPr>
    </w:p>
    <w:p w:rsidR="003D7BFC" w:rsidRPr="006C4917" w:rsidRDefault="003D7BFC" w:rsidP="003D7BFC">
      <w:pPr>
        <w:pStyle w:val="Ruller4"/>
        <w:rPr>
          <w:rtl/>
        </w:rPr>
      </w:pPr>
      <w:r w:rsidRPr="006C4917">
        <w:rPr>
          <w:rFonts w:hint="cs"/>
          <w:rtl/>
        </w:rPr>
        <w:t xml:space="preserve">אעיר עם זאת, כי במשפט המשווה קיימות חוקות, המבוססות על מבנה מרובד, תוך הבחנה בין עקרונות צאן ברזל, אשר אינם ניתנים לשינוי (או כמעט ואינם ניתנים לשינוי), ובין כללים שניתן לשנות במנגנון גמיש יותר. דוגמה לכך היא החוקה הקנדית. </w:t>
      </w:r>
      <w:r w:rsidRPr="006C4917">
        <w:rPr>
          <w:rFonts w:hint="cs"/>
          <w:rtl/>
        </w:rPr>
        <w:lastRenderedPageBreak/>
        <w:t>בשנת 1982 עבר המשטר החוקתי של קנדה שינוי משמעותי אשר עיקרו בא לידי ביטוי בחקיקת ה-</w:t>
      </w:r>
      <w:r w:rsidRPr="006C4917">
        <w:rPr>
          <w:rFonts w:asciiTheme="majorBidi" w:hAnsiTheme="majorBidi"/>
        </w:rPr>
        <w:t>Constitution Act 1982</w:t>
      </w:r>
      <w:r w:rsidRPr="006C4917">
        <w:rPr>
          <w:rFonts w:hint="cs"/>
          <w:rtl/>
        </w:rPr>
        <w:t>. לצד יצירת רשימת זכויות וחירויות מוגנות, נקבעו בחוקה מנגנונים הדרגתיים לתיקונים חוקתיים, אשר מגדירים פרוצדורות תיקון שונות לתיקונים שונים. בתמצית, המודל הקנדי בנוי כך שתיקונים שמשמעותם פחותה באופן יחסי, דורשים פרוצדורת תיקון פשוטה, בעוד שתיקונים דרמטיים תלויים במנגנונים הליכיים מסובכים עד בלתי אפשריים. כך, שינויים קלים ומקומיים בחוקה, דוגמת שינויים שחלים רק על פרובינציה אחת, דורשים בסך הכול רוב של הרשות המחוקקת באותה פרובינציה (</w:t>
      </w:r>
      <w:r w:rsidRPr="006C4917">
        <w:rPr>
          <w:rFonts w:asciiTheme="majorBidi" w:hAnsiTheme="majorBidi" w:cstheme="majorBidi"/>
          <w:szCs w:val="24"/>
        </w:rPr>
        <w:t>Section 45</w:t>
      </w:r>
      <w:r w:rsidRPr="006C4917">
        <w:rPr>
          <w:rFonts w:hint="cs"/>
          <w:rtl/>
        </w:rPr>
        <w:t>). החלטות משמעותיות וכלליות יותר, למשל מנגנון הבחירה של הסנאט או יצירת פרובינציות חדשות, תלויות בהחלטות של הסנאט ובית הנבחרים, ובאישור בתי המחוקקים של שני שלישים מהפרובינציות (</w:t>
      </w:r>
      <w:r w:rsidRPr="006C4917">
        <w:rPr>
          <w:rFonts w:asciiTheme="majorBidi" w:hAnsiTheme="majorBidi"/>
        </w:rPr>
        <w:t>Section 38.1</w:t>
      </w:r>
      <w:r w:rsidRPr="006C4917">
        <w:rPr>
          <w:rFonts w:hint="cs"/>
          <w:rtl/>
        </w:rPr>
        <w:t>). לבסוף, השינויים החוקתיים הדרמטיים ביותר, למשל, כאלה הנוגעים בהרכב בית המשפט העליון ומעמדן של השפות הצרפתית והאנגלית בקנדה כולה, דורשים בנוסף לאישור הסנאט ובית הנבחרים הסכמה פה</w:t>
      </w:r>
      <w:r w:rsidRPr="006C4917">
        <w:t xml:space="preserve"> </w:t>
      </w:r>
      <w:r w:rsidRPr="006C4917">
        <w:rPr>
          <w:rFonts w:hint="cs"/>
          <w:rtl/>
        </w:rPr>
        <w:t>אחד של כל עשר הפרובינציות (</w:t>
      </w:r>
      <w:r w:rsidRPr="006C4917">
        <w:rPr>
          <w:rFonts w:asciiTheme="majorBidi" w:hAnsiTheme="majorBidi"/>
        </w:rPr>
        <w:t>Section 41</w:t>
      </w:r>
      <w:r w:rsidRPr="006C4917">
        <w:rPr>
          <w:rFonts w:hint="cs"/>
          <w:rtl/>
        </w:rPr>
        <w:t xml:space="preserve">). הנה כי כן, הקושי לשנות סעיף בחוקה הקנדית תלוי במידה רבה בתוכנו של הסעיף, וזאת בהתאם למידת רגישות השינוי ביחס לאופייה של המדינה ולשיטת המשטר (להרחבה אודות המודל הקנדי, ראו: </w:t>
      </w:r>
      <w:r w:rsidRPr="006C4917">
        <w:rPr>
          <w:rFonts w:asciiTheme="majorBidi" w:hAnsiTheme="majorBidi" w:cstheme="majorBidi"/>
        </w:rPr>
        <w:t xml:space="preserve">Richard Albert, </w:t>
      </w:r>
      <w:r w:rsidRPr="006C4917">
        <w:rPr>
          <w:rFonts w:asciiTheme="majorBidi" w:hAnsiTheme="majorBidi" w:cstheme="majorBidi"/>
          <w:i/>
          <w:iCs/>
        </w:rPr>
        <w:t>The Difficulty of Constitutional Amendment in Canada</w:t>
      </w:r>
      <w:r w:rsidRPr="006C4917">
        <w:rPr>
          <w:rFonts w:asciiTheme="majorBidi" w:hAnsiTheme="majorBidi" w:cstheme="majorBidi"/>
        </w:rPr>
        <w:t xml:space="preserve">, 53 </w:t>
      </w:r>
      <w:r w:rsidRPr="006C4917">
        <w:rPr>
          <w:rFonts w:asciiTheme="majorBidi" w:hAnsiTheme="majorBidi" w:cstheme="majorBidi"/>
          <w:smallCaps/>
        </w:rPr>
        <w:t>Alta. L. Rev</w:t>
      </w:r>
      <w:r w:rsidRPr="006C4917">
        <w:rPr>
          <w:rFonts w:asciiTheme="majorBidi" w:hAnsiTheme="majorBidi" w:cstheme="majorBidi"/>
        </w:rPr>
        <w:t>. 85, 93-96 (2015)</w:t>
      </w:r>
      <w:r w:rsidRPr="006C4917">
        <w:rPr>
          <w:rFonts w:hint="cs"/>
          <w:rtl/>
        </w:rPr>
        <w:t>).</w:t>
      </w:r>
    </w:p>
    <w:p w:rsidR="003D7BFC" w:rsidRPr="006C4917" w:rsidRDefault="003D7BFC" w:rsidP="00104D6D">
      <w:pPr>
        <w:pStyle w:val="Ruller4"/>
        <w:numPr>
          <w:ilvl w:val="0"/>
          <w:numId w:val="0"/>
        </w:numPr>
        <w:rPr>
          <w:rtl/>
        </w:rPr>
      </w:pPr>
    </w:p>
    <w:p w:rsidR="003D7BFC" w:rsidRPr="006C4917" w:rsidRDefault="003D7BFC" w:rsidP="003D7BFC">
      <w:pPr>
        <w:pStyle w:val="Ruller4"/>
      </w:pPr>
      <w:r w:rsidRPr="006C4917">
        <w:rPr>
          <w:rFonts w:ascii="Century" w:hAnsi="Century" w:cs="Miriam" w:hint="eastAsia"/>
          <w:b/>
          <w:spacing w:val="0"/>
          <w:sz w:val="22"/>
          <w:szCs w:val="24"/>
          <w:rtl/>
        </w:rPr>
        <w:t>סיכומו</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של</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חלק</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זה</w:t>
      </w:r>
      <w:r w:rsidRPr="006C4917">
        <w:rPr>
          <w:rFonts w:hint="cs"/>
          <w:rtl/>
        </w:rPr>
        <w:t>: לעיל הצגתי את המגבלות המוטלות לשיטתי על הכנסת, בכובעה המכונן. חלקן נובעות מעצם העובדה שיצירת חוקה היא פעולה משפטית, וככזו, היא צריכה להתבצע בהתאם ל"כללים מסדר שני", שעניינם אופן הפעלת הסמכות המכוננת (</w:t>
      </w:r>
      <w:r w:rsidRPr="006C4917">
        <w:rPr>
          <w:rFonts w:ascii="Century" w:hAnsi="Century" w:cs="Miriam" w:hint="eastAsia"/>
          <w:b/>
          <w:spacing w:val="0"/>
          <w:sz w:val="22"/>
          <w:szCs w:val="24"/>
          <w:rtl/>
        </w:rPr>
        <w:t>מגבלת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התקינות</w:t>
      </w:r>
      <w:r w:rsidRPr="006C4917">
        <w:rPr>
          <w:rFonts w:hint="cs"/>
          <w:rtl/>
        </w:rPr>
        <w:t>); חלקן מכך שחברי הכנסת הם שליחי ציבור, ולפיכך חייבים במכלול פעולותיהם, ובכלל זה בעשותם במלאכת כינון החוקה, לפעול בהתאם לחובותיהם הציבוריות להיות נאמנים לשליחותם (</w:t>
      </w:r>
      <w:r w:rsidRPr="006C4917">
        <w:rPr>
          <w:rFonts w:ascii="Century" w:hAnsi="Century" w:cs="Miriam" w:hint="eastAsia"/>
          <w:b/>
          <w:spacing w:val="0"/>
          <w:sz w:val="22"/>
          <w:szCs w:val="24"/>
          <w:rtl/>
        </w:rPr>
        <w:t>מגבלת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האמון</w:t>
      </w:r>
      <w:r w:rsidRPr="006C4917">
        <w:rPr>
          <w:rFonts w:hint="cs"/>
          <w:rtl/>
        </w:rPr>
        <w:t>); וחלקן מכך שהליך יצירת החוקה במדינת ישראל מבוצע באופן ייחודי, כ"חוקה בהתהוות", ולפיכך על העושים בו מוטלות מגבלות ייחודיות, הנובעות הן מהיותם חוליה נוספת, אחת מבין רבות, של "מכונני החוקה הישראלית", והן ממעמדה הכפול של הכנסת, כרשות המחוקקת, שאת הרוב המזדמן בה מבקשת החוקה להגביל, וכרשות מכוננת, הרשאית להסיר מגבלות אלה (</w:t>
      </w:r>
      <w:r w:rsidRPr="006C4917">
        <w:rPr>
          <w:rFonts w:ascii="Century" w:hAnsi="Century" w:cs="Miriam" w:hint="eastAsia"/>
          <w:b/>
          <w:spacing w:val="0"/>
          <w:sz w:val="22"/>
          <w:szCs w:val="24"/>
          <w:rtl/>
        </w:rPr>
        <w:t>מגבלת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הסמכות</w:t>
      </w:r>
      <w:r w:rsidRPr="006C4917">
        <w:rPr>
          <w:rFonts w:hint="cs"/>
          <w:rtl/>
        </w:rPr>
        <w:t>). ודוק, הפסיקה הכירה אומנם במופעים מרכזיים של מגבלות אלה, ואולם אודה כי הצגתם באופן האמור היא בגדר חידוש. עם זאת, סבורני כי חידוש זה הוא הרחבה של נתיבים שכבר נחרשו בפסיקה, ולא סטייה מהם. ככזה הוא תואם את תפקיד השופט בפיתוח ההלכה הפסוקה, כסופר השותף בפרויקט של "רומן שרשרת".</w:t>
      </w:r>
    </w:p>
    <w:p w:rsidR="003D7BFC" w:rsidRPr="006C4917" w:rsidRDefault="003D7BFC" w:rsidP="00104D6D">
      <w:pPr>
        <w:pStyle w:val="Ruller4"/>
        <w:numPr>
          <w:ilvl w:val="0"/>
          <w:numId w:val="0"/>
        </w:numPr>
        <w:rPr>
          <w:rtl/>
        </w:rPr>
      </w:pPr>
    </w:p>
    <w:p w:rsidR="003D7BFC" w:rsidRPr="006C4917" w:rsidRDefault="003D7BFC" w:rsidP="003D7BFC">
      <w:pPr>
        <w:pStyle w:val="Ruller41"/>
        <w:keepNext/>
        <w:rPr>
          <w:rFonts w:ascii="Century" w:hAnsi="Century" w:cs="Miriam"/>
          <w:b/>
          <w:spacing w:val="0"/>
          <w:szCs w:val="24"/>
          <w:rtl/>
        </w:rPr>
      </w:pPr>
      <w:r w:rsidRPr="006C4917">
        <w:rPr>
          <w:rFonts w:ascii="Century" w:hAnsi="Century" w:cs="Miriam" w:hint="cs"/>
          <w:b/>
          <w:spacing w:val="0"/>
          <w:szCs w:val="24"/>
          <w:rtl/>
        </w:rPr>
        <w:lastRenderedPageBreak/>
        <w:t xml:space="preserve">הפרקים החדשים בספר המשפט החוקתי </w:t>
      </w:r>
      <w:r w:rsidRPr="006C4917">
        <w:rPr>
          <w:rFonts w:ascii="Century" w:hAnsi="Century" w:cs="Miriam"/>
          <w:b/>
          <w:spacing w:val="0"/>
          <w:szCs w:val="24"/>
          <w:rtl/>
        </w:rPr>
        <w:t>–</w:t>
      </w:r>
      <w:r w:rsidRPr="006C4917">
        <w:rPr>
          <w:rFonts w:ascii="Century" w:hAnsi="Century" w:cs="Miriam" w:hint="cs"/>
          <w:b/>
          <w:spacing w:val="0"/>
          <w:szCs w:val="24"/>
          <w:rtl/>
        </w:rPr>
        <w:t xml:space="preserve"> הביקורת השיפוטית על הכנסת בכובעה המכונן</w:t>
      </w:r>
    </w:p>
    <w:p w:rsidR="003D7BFC" w:rsidRPr="006C4917" w:rsidRDefault="003D7BFC" w:rsidP="00104D6D">
      <w:pPr>
        <w:pStyle w:val="Ruller4"/>
        <w:keepNext/>
        <w:numPr>
          <w:ilvl w:val="0"/>
          <w:numId w:val="0"/>
        </w:numPr>
      </w:pPr>
    </w:p>
    <w:p w:rsidR="003D7BFC" w:rsidRPr="006C4917" w:rsidRDefault="003D7BFC" w:rsidP="003D7BFC">
      <w:pPr>
        <w:pStyle w:val="Ruller4"/>
        <w:keepNext/>
      </w:pPr>
      <w:r w:rsidRPr="006C4917">
        <w:rPr>
          <w:rFonts w:hint="cs"/>
          <w:rtl/>
        </w:rPr>
        <w:t xml:space="preserve">השאלה השנייה עליה עלינו לתת את הדעת היא האם לבית משפט זה, בשבתו כבית המשפט הגבוה לצדק, נתונה הסמכות לפקח על עמידת הכנסת במגבלות השונות המוטלות על פעולתה כרשות המכוננת. כפי שציינה חברתי הנשיאה (בדימ') </w:t>
      </w:r>
      <w:r w:rsidRPr="006C4917">
        <w:rPr>
          <w:rFonts w:ascii="Century" w:hAnsi="Century" w:cs="Miriam" w:hint="eastAsia"/>
          <w:b/>
          <w:spacing w:val="0"/>
          <w:sz w:val="22"/>
          <w:szCs w:val="24"/>
          <w:rtl/>
        </w:rPr>
        <w:t>חיות</w:t>
      </w:r>
      <w:r w:rsidRPr="006C4917">
        <w:rPr>
          <w:rFonts w:hint="cs"/>
          <w:rtl/>
        </w:rPr>
        <w:t xml:space="preserve">, עצם קיומן של מגבלות על פעולה של הכנסת בכובעה כמכוננת אינו מלמד, מניה וביה, כי לערכאה שיפוטית כזו או אחרת נתונה הסמכות לביקורת שיפוטית על מגבלות אלה. עם זאת, כחברתי הנשיאה (בדימ') </w:t>
      </w:r>
      <w:r w:rsidRPr="006C4917">
        <w:rPr>
          <w:rFonts w:ascii="Century" w:hAnsi="Century" w:cs="Miriam" w:hint="eastAsia"/>
          <w:b/>
          <w:spacing w:val="0"/>
          <w:sz w:val="22"/>
          <w:szCs w:val="24"/>
          <w:rtl/>
        </w:rPr>
        <w:t>חיות</w:t>
      </w:r>
      <w:r w:rsidRPr="006C4917">
        <w:rPr>
          <w:rFonts w:hint="cs"/>
          <w:rtl/>
        </w:rPr>
        <w:t xml:space="preserve">, וכרובם המכריע של שופטי ההרכב, גם אני בדעה שסמכות לביקורת שיפוטית כזו עומדת לבית המשפט העליון בשבתו כבית המשפט הגבוה לצדק (להלן: </w:t>
      </w:r>
      <w:r w:rsidRPr="006C4917">
        <w:rPr>
          <w:rFonts w:ascii="Century" w:hAnsi="Century" w:cs="Miriam" w:hint="cs"/>
          <w:b/>
          <w:spacing w:val="0"/>
          <w:szCs w:val="24"/>
          <w:rtl/>
        </w:rPr>
        <w:t>סמכות בג"ץ</w:t>
      </w:r>
      <w:r w:rsidRPr="006C4917">
        <w:rPr>
          <w:rFonts w:hint="cs"/>
          <w:rtl/>
        </w:rPr>
        <w:t xml:space="preserve">). טעמיי בעניין זה דומים בעיקרם לטעמיה של חברתי הנשיאה (בדימ') </w:t>
      </w:r>
      <w:r w:rsidRPr="006C4917">
        <w:rPr>
          <w:rFonts w:ascii="Century" w:hAnsi="Century" w:cs="Miriam" w:hint="eastAsia"/>
          <w:b/>
          <w:spacing w:val="0"/>
          <w:sz w:val="22"/>
          <w:szCs w:val="24"/>
          <w:rtl/>
        </w:rPr>
        <w:t>חיות</w:t>
      </w:r>
      <w:r w:rsidRPr="006C4917">
        <w:rPr>
          <w:rFonts w:hint="cs"/>
          <w:rtl/>
        </w:rPr>
        <w:t xml:space="preserve"> (ראו </w:t>
      </w:r>
      <w:r w:rsidRPr="006C4917">
        <w:rPr>
          <w:rFonts w:hint="eastAsia"/>
          <w:rtl/>
        </w:rPr>
        <w:t>פסקאות</w:t>
      </w:r>
      <w:r w:rsidRPr="006C4917">
        <w:rPr>
          <w:rtl/>
        </w:rPr>
        <w:t xml:space="preserve"> 95-68 </w:t>
      </w:r>
      <w:r w:rsidRPr="006C4917">
        <w:rPr>
          <w:rFonts w:hint="eastAsia"/>
          <w:rtl/>
        </w:rPr>
        <w:t>לחוות</w:t>
      </w:r>
      <w:r w:rsidRPr="006C4917">
        <w:rPr>
          <w:rtl/>
        </w:rPr>
        <w:t xml:space="preserve"> </w:t>
      </w:r>
      <w:r w:rsidRPr="006C4917">
        <w:rPr>
          <w:rFonts w:hint="eastAsia"/>
          <w:rtl/>
        </w:rPr>
        <w:t>דעתה</w:t>
      </w:r>
      <w:r w:rsidRPr="006C4917">
        <w:rPr>
          <w:rFonts w:hint="cs"/>
          <w:rtl/>
        </w:rPr>
        <w:t>), ועל כן אסתפק בהצגת עיקרי הדברים בלשוני ובקצרה.</w:t>
      </w:r>
    </w:p>
    <w:p w:rsidR="003D7BFC" w:rsidRPr="00104D6D" w:rsidRDefault="003D7BFC" w:rsidP="003D7BFC">
      <w:pPr>
        <w:pStyle w:val="Ruller41"/>
      </w:pPr>
    </w:p>
    <w:p w:rsidR="003D7BFC" w:rsidRPr="006C4917" w:rsidRDefault="003D7BFC" w:rsidP="003D7BFC">
      <w:pPr>
        <w:pStyle w:val="Ruller4"/>
        <w:rPr>
          <w:rtl/>
        </w:rPr>
      </w:pPr>
      <w:r w:rsidRPr="006C4917">
        <w:rPr>
          <w:rFonts w:hint="eastAsia"/>
          <w:rtl/>
        </w:rPr>
        <w:t>אין</w:t>
      </w:r>
      <w:r w:rsidRPr="006C4917">
        <w:rPr>
          <w:rFonts w:hint="cs"/>
          <w:rtl/>
        </w:rPr>
        <w:t xml:space="preserve"> ספק שיש הבדל אנליטי, תיאורטי ומעשי, בין שאלת סמכותה של ערכאה שיפוטית לערוך ביקורת על תוקפה של הוראה בחוקה, לבין השאלה שעניינה עילות הביקורת במקרה כזה (ראו, למשל: עניין </w:t>
      </w:r>
      <w:r w:rsidRPr="006C4917">
        <w:rPr>
          <w:rFonts w:ascii="Century" w:hAnsi="Century" w:cs="Miriam" w:hint="cs"/>
          <w:b/>
          <w:spacing w:val="0"/>
          <w:sz w:val="22"/>
          <w:szCs w:val="24"/>
          <w:rtl/>
        </w:rPr>
        <w:t>חסון</w:t>
      </w:r>
      <w:r w:rsidRPr="006C4917">
        <w:rPr>
          <w:rFonts w:hint="cs"/>
          <w:rtl/>
        </w:rPr>
        <w:t xml:space="preserve">, פסקה 16 לפסק דינה של הנשיאה </w:t>
      </w:r>
      <w:r w:rsidRPr="006C4917">
        <w:rPr>
          <w:rFonts w:ascii="Century" w:hAnsi="Century" w:cs="Miriam" w:hint="cs"/>
          <w:b/>
          <w:spacing w:val="0"/>
          <w:sz w:val="22"/>
          <w:szCs w:val="24"/>
          <w:rtl/>
        </w:rPr>
        <w:t>חיות</w:t>
      </w:r>
      <w:r w:rsidRPr="006C4917">
        <w:rPr>
          <w:rFonts w:ascii="Century" w:hAnsi="Century" w:hint="cs"/>
          <w:sz w:val="22"/>
          <w:rtl/>
        </w:rPr>
        <w:t xml:space="preserve">; </w:t>
      </w:r>
      <w:r w:rsidRPr="006C4917">
        <w:rPr>
          <w:rFonts w:hint="cs"/>
          <w:rtl/>
        </w:rPr>
        <w:t xml:space="preserve">אהרן ברק "תיקון של חוקה שאינו חוקתי" </w:t>
      </w:r>
      <w:r w:rsidRPr="006C4917">
        <w:rPr>
          <w:rFonts w:ascii="Century" w:hAnsi="Century" w:cs="Miriam" w:hint="cs"/>
          <w:b/>
          <w:spacing w:val="0"/>
          <w:sz w:val="22"/>
          <w:szCs w:val="24"/>
          <w:rtl/>
        </w:rPr>
        <w:t>ספר גבריאל בך</w:t>
      </w:r>
      <w:r w:rsidRPr="006C4917">
        <w:rPr>
          <w:rFonts w:ascii="Century" w:hAnsi="Century" w:hint="cs"/>
          <w:sz w:val="22"/>
          <w:rtl/>
        </w:rPr>
        <w:t xml:space="preserve"> 361, 373 (2011). כן ראו פסקה 16 לחוות דעתו של השופט </w:t>
      </w:r>
      <w:r w:rsidRPr="006C4917">
        <w:rPr>
          <w:rFonts w:ascii="Century" w:hAnsi="Century" w:cs="Miriam" w:hint="cs"/>
          <w:b/>
          <w:spacing w:val="0"/>
          <w:sz w:val="22"/>
          <w:szCs w:val="24"/>
          <w:rtl/>
        </w:rPr>
        <w:t>עמית</w:t>
      </w:r>
      <w:r w:rsidRPr="006C4917">
        <w:rPr>
          <w:rFonts w:hint="cs"/>
          <w:rtl/>
        </w:rPr>
        <w:t>). יחד עם זאת, אני מחזיק בעמדה שלפיה על אף ההפרדה האמורה, הסוגיות אינן כה רחוקות זו מזו.</w:t>
      </w:r>
    </w:p>
    <w:p w:rsidR="003D7BFC" w:rsidRPr="006C4917" w:rsidRDefault="003D7BFC" w:rsidP="003D7BFC">
      <w:pPr>
        <w:pStyle w:val="Ruller41"/>
      </w:pPr>
    </w:p>
    <w:p w:rsidR="003D7BFC" w:rsidRPr="006C4917" w:rsidRDefault="003D7BFC" w:rsidP="003D7BFC">
      <w:pPr>
        <w:pStyle w:val="Ruller4"/>
      </w:pPr>
      <w:r w:rsidRPr="006C4917">
        <w:rPr>
          <w:rFonts w:hint="cs"/>
          <w:rtl/>
        </w:rPr>
        <w:t>העיגון הדוקטרינרי לסמכות בג"ץ לבצע ביקורת שיפוטית על עמידת הכנסת במגבלות המוטלות על הפעלת הסמכות המכוננת מצוי בסעיפים 15(ג) ו-15(ד)(2) לחוק-יסוד: השפיטה. הוראות אלה מכירות בסמכות כללית של בג"ץ לדון באותם "</w:t>
      </w:r>
      <w:r w:rsidRPr="006C4917">
        <w:rPr>
          <w:rFonts w:ascii="Century" w:hAnsi="Century" w:cs="Miriam"/>
          <w:b/>
          <w:spacing w:val="0"/>
          <w:szCs w:val="24"/>
          <w:rtl/>
        </w:rPr>
        <w:t>ענינים אשר הוא רואה צורך לתת בהם סעד למען הצדק ואשר אינם בסמכותו של בית משפט או של בית דין אח</w:t>
      </w:r>
      <w:r w:rsidRPr="006C4917">
        <w:rPr>
          <w:rFonts w:ascii="Century" w:hAnsi="Century" w:cs="Miriam" w:hint="cs"/>
          <w:b/>
          <w:spacing w:val="0"/>
          <w:szCs w:val="24"/>
          <w:rtl/>
        </w:rPr>
        <w:t xml:space="preserve">ר" </w:t>
      </w:r>
      <w:r w:rsidRPr="006C4917">
        <w:rPr>
          <w:rFonts w:ascii="Century" w:hAnsi="Century" w:hint="cs"/>
          <w:rtl/>
        </w:rPr>
        <w:t>(סעיף 15(ג)), ובכלל זה</w:t>
      </w:r>
      <w:r w:rsidRPr="006C4917">
        <w:rPr>
          <w:rFonts w:ascii="Century" w:hAnsi="Century" w:cs="Miriam" w:hint="cs"/>
          <w:b/>
          <w:spacing w:val="0"/>
          <w:szCs w:val="24"/>
          <w:rtl/>
        </w:rPr>
        <w:t xml:space="preserve"> </w:t>
      </w:r>
      <w:r w:rsidRPr="006C4917">
        <w:rPr>
          <w:rFonts w:hint="cs"/>
          <w:rtl/>
        </w:rPr>
        <w:t>"</w:t>
      </w:r>
      <w:r w:rsidRPr="006C4917">
        <w:rPr>
          <w:rFonts w:ascii="Century" w:hAnsi="Century" w:cs="Miriam"/>
          <w:b/>
          <w:spacing w:val="0"/>
          <w:szCs w:val="24"/>
          <w:rtl/>
        </w:rPr>
        <w:t>לתת צווים לרשויות המדינה, לרשויות מקומיות, לפקידיהן ולגופים ולאנשים אחרים הממלאים תפקידים ציבוריים על פי דין, לעשות מעשה או להימנע מעשות מעשה במילוי תפקידיהם כדין, ואם נבחרו או נתמנו שלא כדין – להימנע מלפעול</w:t>
      </w:r>
      <w:r w:rsidRPr="006C4917">
        <w:rPr>
          <w:rFonts w:hint="cs"/>
          <w:rtl/>
        </w:rPr>
        <w:t>". הכנסת, הן בכובעה כמחוקקת והן בכובעה כמכוננת, היא רשות מדינה, וככזו כפופה היא לסמכות בג"ץ. ממילא, ככל שהכנסת מפרה את המגבלות המוטלות עליה בפועלה כרשות המכוננת, בין אם מגבלת התקינות, בין אם מגבלת האמון ובין אם מגבלת הסמכות, מסורה לבית משפט זה הסמכות לבצע ביקורת שיפוטית על פעולתה.</w:t>
      </w:r>
    </w:p>
    <w:p w:rsidR="003D7BFC" w:rsidRPr="006C4917" w:rsidRDefault="003D7BFC" w:rsidP="003D7BFC">
      <w:pPr>
        <w:pStyle w:val="Ruller41"/>
      </w:pPr>
    </w:p>
    <w:p w:rsidR="003D7BFC" w:rsidRPr="006C4917" w:rsidRDefault="003D7BFC" w:rsidP="003D7BFC">
      <w:pPr>
        <w:pStyle w:val="Ruller4"/>
      </w:pPr>
      <w:r w:rsidRPr="006C4917">
        <w:rPr>
          <w:rFonts w:hint="cs"/>
          <w:rtl/>
        </w:rPr>
        <w:lastRenderedPageBreak/>
        <w:t xml:space="preserve">הכנסת ומשיבי הממשלה טענו, כי סעיף 15 לחוק-יסוד: השפיטה אינו יכול להוות בסיס לביקורת שיפוטית בענייננו, מאחר שמדובר בהוראה הקבועה באותו רובד נורמטיבי כמו ההוראות אותן מתבקש בית משפט זה לבקר מכוחו (חוק יסוד מול חוק יסוד). טיעון זה אינו משכנע, משלושה טעמים (וראו גם פסקה 10 לחוות דעת חברי, השופט </w:t>
      </w:r>
      <w:r w:rsidRPr="006C4917">
        <w:rPr>
          <w:rFonts w:ascii="Century" w:hAnsi="Century" w:cs="Miriam" w:hint="cs"/>
          <w:b/>
          <w:spacing w:val="0"/>
          <w:sz w:val="22"/>
          <w:szCs w:val="24"/>
          <w:rtl/>
        </w:rPr>
        <w:t>יחיאל כשר</w:t>
      </w:r>
      <w:r w:rsidRPr="006C4917">
        <w:rPr>
          <w:rFonts w:hint="cs"/>
          <w:rtl/>
        </w:rPr>
        <w:t xml:space="preserve">): </w:t>
      </w:r>
      <w:r w:rsidRPr="006C4917">
        <w:rPr>
          <w:rFonts w:ascii="Century" w:hAnsi="Century" w:cs="Miriam" w:hint="cs"/>
          <w:b/>
          <w:spacing w:val="0"/>
          <w:szCs w:val="24"/>
          <w:rtl/>
        </w:rPr>
        <w:t>ראשית</w:t>
      </w:r>
      <w:r w:rsidRPr="006C4917">
        <w:rPr>
          <w:rFonts w:hint="cs"/>
          <w:rtl/>
        </w:rPr>
        <w:t xml:space="preserve">, כעניין עקרוני, במדינות בהן קיימת חוקה, היא מהווה במקרה הרגיל את הנורמה העליונה בפירמידת הנורמות. בהעדר הוראה העומדת מעליה, ממילא לא ניתן לדרוש שהסמכות לפקח על החוקה תיקבע במדרג נורמטיבי גבוה מהחוקה. מכאן, שהטוען כי לא ניתן לבצע ביקורת שיפוטית על חוק יסוד מכוח חוק יסוד בשל עמידתם באותו מישור נורמטיבי, כופר בכל אפשרות אנליטית לבצע ביקורת שיפוטית על הליך כינונם של חוקי היסוד. כטיעון אנליטי, זו מסקנה מרחיקת לכת, שכן משמעה שלא תיתכן כלל, כעניין הגדרתי, ביקורת שיפוטית על חוקה; </w:t>
      </w:r>
      <w:r w:rsidRPr="006C4917">
        <w:rPr>
          <w:rFonts w:ascii="Century" w:hAnsi="Century" w:cs="Miriam" w:hint="cs"/>
          <w:b/>
          <w:spacing w:val="0"/>
          <w:szCs w:val="24"/>
          <w:rtl/>
        </w:rPr>
        <w:t>שנית</w:t>
      </w:r>
      <w:r w:rsidRPr="006C4917">
        <w:rPr>
          <w:rFonts w:hint="cs"/>
          <w:rtl/>
        </w:rPr>
        <w:t xml:space="preserve">, בחוקות של מדינות רבות קבועה האפשרות לביקורת שיפוטית על הליכי תיקון החוקה (וראו פסקאות 61-60 לחוות דעתה של הנשיאה </w:t>
      </w:r>
      <w:r w:rsidRPr="006C4917">
        <w:rPr>
          <w:rFonts w:ascii="Century" w:hAnsi="Century" w:hint="cs"/>
          <w:sz w:val="22"/>
          <w:rtl/>
        </w:rPr>
        <w:t>(בדימ')</w:t>
      </w:r>
      <w:r w:rsidRPr="006C4917">
        <w:rPr>
          <w:rFonts w:ascii="Century" w:hAnsi="Century" w:cs="Miriam" w:hint="cs"/>
          <w:b/>
          <w:spacing w:val="0"/>
          <w:sz w:val="22"/>
          <w:szCs w:val="24"/>
          <w:rtl/>
        </w:rPr>
        <w:t xml:space="preserve"> חיות</w:t>
      </w:r>
      <w:r w:rsidRPr="006C4917">
        <w:rPr>
          <w:rFonts w:hint="cs"/>
          <w:rtl/>
        </w:rPr>
        <w:t>. כפי שמוסבר שם, הסמכות לבצע ביקורת שיפוטית על תיקוני החוקה אינה תמיד מפורשת ומעוגנת בטקסט החוקתי</w:t>
      </w:r>
      <w:r w:rsidRPr="006C4917">
        <w:rPr>
          <w:rtl/>
        </w:rPr>
        <w:t>).</w:t>
      </w:r>
      <w:r w:rsidRPr="006C4917">
        <w:rPr>
          <w:rFonts w:hint="cs"/>
          <w:rtl/>
        </w:rPr>
        <w:t xml:space="preserve"> מכאן שלא רק שכעניין אנליטי הטיעון מעורר קושי, אלא שגם במציאות, "ואף על פי כן נוע תנוע". </w:t>
      </w:r>
      <w:r w:rsidRPr="006C4917">
        <w:rPr>
          <w:rFonts w:ascii="Century" w:hAnsi="Century" w:cs="Miriam" w:hint="cs"/>
          <w:b/>
          <w:spacing w:val="0"/>
          <w:szCs w:val="24"/>
          <w:rtl/>
        </w:rPr>
        <w:t>שלישית</w:t>
      </w:r>
      <w:r w:rsidRPr="006C4917">
        <w:rPr>
          <w:rFonts w:hint="cs"/>
          <w:rtl/>
        </w:rPr>
        <w:t>, במציאות החוקתית הישראלית, סעיף 15 לחוק-יסוד: השפיטה משקף עקרונות יסוד שכבר נוצקו ב"חוקה בהתהוות" (שלטון החוק; הפרדת רשויות; עצמאות שיפוטית). על כן, לא רק שניתן, אלא גם ראוי לפעול מכוחו, ולמנוע מכנסת מכהנת לחרוג ממגבלותיה בבואה לתרום את חלקה להשלמת הליך גיבוש החוקה.</w:t>
      </w:r>
    </w:p>
    <w:p w:rsidR="003D7BFC" w:rsidRPr="006C4917" w:rsidRDefault="003D7BFC" w:rsidP="00104D6D">
      <w:pPr>
        <w:pStyle w:val="Ruller41"/>
        <w:rPr>
          <w:rtl/>
        </w:rPr>
      </w:pPr>
    </w:p>
    <w:p w:rsidR="003D7BFC" w:rsidRPr="006C4917" w:rsidRDefault="003D7BFC" w:rsidP="003D7BFC">
      <w:pPr>
        <w:pStyle w:val="Ruller4"/>
      </w:pPr>
      <w:r w:rsidRPr="006C4917">
        <w:rPr>
          <w:rFonts w:hint="cs"/>
          <w:rtl/>
        </w:rPr>
        <w:t>בצד העוגן הדוקטרינרי (בו ניתן היה להסתפק מבחינה פורמלית) קיימות גם הצדקות מהותיות להכיר בסמכות בג"ץ לבצע ביקורת שיפוטית על עמידת הכנסת במגבלות המוטלות עליה בפועלה בכובעה כרשות המכוננת. אעמוד על המרכזיות שבהן.</w:t>
      </w:r>
    </w:p>
    <w:p w:rsidR="003D7BFC" w:rsidRPr="006C4917" w:rsidRDefault="003D7BFC" w:rsidP="003D7BFC">
      <w:pPr>
        <w:pStyle w:val="Ruller41"/>
        <w:rPr>
          <w:rtl/>
        </w:rPr>
      </w:pPr>
    </w:p>
    <w:p w:rsidR="003D7BFC" w:rsidRPr="006C4917" w:rsidRDefault="003D7BFC" w:rsidP="003D7BFC">
      <w:pPr>
        <w:pStyle w:val="Ruller4"/>
      </w:pPr>
      <w:r w:rsidRPr="006C4917">
        <w:rPr>
          <w:rFonts w:ascii="Century" w:hAnsi="Century" w:cs="Miriam" w:hint="cs"/>
          <w:b/>
          <w:spacing w:val="0"/>
          <w:szCs w:val="24"/>
          <w:rtl/>
        </w:rPr>
        <w:t>ראשית</w:t>
      </w:r>
      <w:r w:rsidRPr="006C4917">
        <w:rPr>
          <w:rFonts w:hint="cs"/>
          <w:rtl/>
        </w:rPr>
        <w:t xml:space="preserve">, בשיטת משפט מתוקנת חייב להתקיים מנגנון לבירור טענות שעניינן תוקפן של פעולות משפטיות </w:t>
      </w:r>
      <w:r w:rsidRPr="006C4917">
        <w:rPr>
          <w:rFonts w:ascii="Century" w:hAnsi="Century" w:cs="Miriam" w:hint="eastAsia"/>
          <w:b/>
          <w:spacing w:val="0"/>
          <w:sz w:val="22"/>
          <w:szCs w:val="24"/>
          <w:rtl/>
        </w:rPr>
        <w:t>מכל</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סוג</w:t>
      </w:r>
      <w:r w:rsidRPr="006C4917">
        <w:rPr>
          <w:rFonts w:hint="cs"/>
          <w:rtl/>
        </w:rPr>
        <w:t xml:space="preserve">, ובכלל זה חוקי יסוד. מבלי שיתקיים מנגנון שכזה, לא ניתן לקבוע אם יש לפעולה המשפטית תוקף, ואם יש לפעול על פיה. הכופרים בסמכות בג"ץ </w:t>
      </w:r>
      <w:r w:rsidRPr="006C4917">
        <w:rPr>
          <w:rFonts w:ascii="Century" w:hAnsi="Century" w:cs="Miriam" w:hint="eastAsia"/>
          <w:b/>
          <w:spacing w:val="0"/>
          <w:sz w:val="22"/>
          <w:szCs w:val="24"/>
          <w:rtl/>
        </w:rPr>
        <w:t>לבחון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את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תוקפם</w:t>
      </w:r>
      <w:r w:rsidRPr="006C4917">
        <w:rPr>
          <w:rFonts w:hint="cs"/>
          <w:rtl/>
        </w:rPr>
        <w:t xml:space="preserve"> של חוקי היסוד אינם סבורים, הלכה למעשה, כי בתי המשפט צריכים להימנע </w:t>
      </w:r>
      <w:r w:rsidRPr="006C4917">
        <w:rPr>
          <w:rFonts w:ascii="Century" w:hAnsi="Century" w:cs="Miriam" w:hint="eastAsia"/>
          <w:b/>
          <w:spacing w:val="0"/>
          <w:sz w:val="22"/>
          <w:szCs w:val="24"/>
          <w:rtl/>
        </w:rPr>
        <w:t>מלהתייחס</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לתוקפם</w:t>
      </w:r>
      <w:r w:rsidRPr="006C4917">
        <w:rPr>
          <w:rFonts w:hint="cs"/>
          <w:rtl/>
        </w:rPr>
        <w:t xml:space="preserve"> של חוקי יסוד. טענתם היא כי בתי המשפט, ובכללם בית המשפט הגבוה לצדק, צריכים לקבל באופן אוטומטי </w:t>
      </w:r>
      <w:r w:rsidRPr="006C4917">
        <w:rPr>
          <w:rFonts w:ascii="Century" w:hAnsi="Century" w:cs="Miriam" w:hint="eastAsia"/>
          <w:b/>
          <w:spacing w:val="0"/>
          <w:sz w:val="22"/>
          <w:szCs w:val="24"/>
          <w:rtl/>
        </w:rPr>
        <w:t>כל</w:t>
      </w:r>
      <w:r w:rsidRPr="006C4917">
        <w:rPr>
          <w:rFonts w:ascii="Century" w:hAnsi="Century" w:cs="Miriam"/>
          <w:b/>
          <w:spacing w:val="0"/>
          <w:sz w:val="22"/>
          <w:szCs w:val="24"/>
          <w:rtl/>
        </w:rPr>
        <w:t xml:space="preserve"> </w:t>
      </w:r>
      <w:r w:rsidRPr="006C4917">
        <w:rPr>
          <w:rFonts w:hint="cs"/>
          <w:rtl/>
        </w:rPr>
        <w:t xml:space="preserve">חוק יסוד כמחייב, ולפעול על פיו. במילים אחרות, בתי המשפט לא מנועים מלהתייחס לתוקפו של חוק יסוד; הם מחויבים להכיר בתוקפו, וזאת גם אם נטען כי הכנסת חרגה ממגבלותיה בעת שקיבלה אותו. אלא שבטיעון זה יש משום מעגל שוטה: על מנת שבית המשפט יכיר </w:t>
      </w:r>
      <w:r w:rsidRPr="006C4917">
        <w:rPr>
          <w:rFonts w:hint="cs"/>
          <w:rtl/>
        </w:rPr>
        <w:lastRenderedPageBreak/>
        <w:t>בחוק יסוד כמחייב, עליו להשתכנע כי אכן מדובר בחוק יסוד; כיצד ישתכנע שמדובר בחוק יסוד, אם הוא מנוע מלבחון כי הכנסת פעלה במסגרת מגבלותיה? טלו, למשל, מצב שבו התבצעה הצבעה בקריאה שלישית בכנסת על חוק יסוד, כאשר מספר גדול של חברי כנסת לא נכחו בה בשל נעילה מכוונת של דלתות המליאה בפניהם. רוב מתוך הנוכחים באולם המליאה הצביע בעד חוק היסוד, וכתוצאה מכך הוא פורסם ברשומות יום למחרת. כיצד ידע בית המשפט אם להתייחס למסמך המובא לפניו כחוק יסוד, אם אין גורם היכול לבחון אם הטענה לבטלותו שגויה או נכונה? מבחינה אנליטית, ניתן כמובן לפתור עניין זה, למשל על ידי קביעת חזקה חלוטה לפיה יש להתייחס לחוק יסוד שפורסם ברשומות כאילו התקבל כדין. ואולם, "כלל הכרה" כזה אינו נוהג בשיטתנו, וטוב שכך. אילו היה זה כלל ההכרה הנוהג, הרי שמי שבידיו השליטה בפרסום ברשומות, שהוא בוודאי לא "העם" או "הכנסת", היה הופך כל יכול, וזהו מצב בלתי רצוי. המסקנה המתבקשת היא שנדרש כי יתקיים גורם שיוכל לבחון טענות לחריגת הכנסת ממגבלותיה גם בכובעה כמכוננת. בשיטתנו המשפטית הגורם הזה, בהעדר הסמכה לגורם שיפוטי אחר, הוא בית המשפט העליון ביושבו כבית המשפט הגבוה לצדק.</w:t>
      </w:r>
    </w:p>
    <w:p w:rsidR="003D7BFC" w:rsidRPr="006C4917" w:rsidRDefault="003D7BFC" w:rsidP="003D7BFC">
      <w:pPr>
        <w:pStyle w:val="Ruller41"/>
        <w:rPr>
          <w:rtl/>
        </w:rPr>
      </w:pPr>
    </w:p>
    <w:p w:rsidR="003D7BFC" w:rsidRPr="006C4917" w:rsidRDefault="003D7BFC" w:rsidP="003D7BFC">
      <w:pPr>
        <w:pStyle w:val="Ruller4"/>
      </w:pPr>
      <w:r w:rsidRPr="006C4917">
        <w:rPr>
          <w:rFonts w:ascii="Century" w:hAnsi="Century" w:cs="Miriam" w:hint="cs"/>
          <w:b/>
          <w:spacing w:val="0"/>
          <w:szCs w:val="24"/>
          <w:rtl/>
        </w:rPr>
        <w:t>שנית</w:t>
      </w:r>
      <w:r w:rsidRPr="006C4917">
        <w:rPr>
          <w:rFonts w:hint="cs"/>
          <w:rtl/>
        </w:rPr>
        <w:t xml:space="preserve">, דווקא בהינתן מעמדה העליון של החוקה בפירמידת הנורמות, חשוב להקפיד הקפדה יתרה בכינון החוקה, על מנת לוודא כי הוראה שנכללה במדרג זה נקבעה כדין. במרבית מדינות העולם מושגת תוצאה זו אף ללא פיקוח שיפוטי הדוק (ולעיתים מבלי שנדרש כלל פיקוח שיפוטי) באמצעות שילוב בין הליך יצירה ב"כור היתוך חוקתי" (חקיקה המאושרת כיחידה אחת בעקבות אירוע מכונן), לבין הליכי תיקון במנגנונים מורכבים המחייבים הסכמה רחבה (בין מנגנונים אלה, ניתן למנות, למשל: אישור בשני בתי הפרלמנט; משאל עם; אישור ברוב מיוחד; אישור בפרלמנט הפדרלי והמדינתי; וכן אישור רק לאחר קיום בחירות לפרלמנט. </w:t>
      </w:r>
      <w:r w:rsidRPr="006C4917">
        <w:rPr>
          <w:rFonts w:hint="eastAsia"/>
          <w:rtl/>
        </w:rPr>
        <w:t>ראו</w:t>
      </w:r>
      <w:r w:rsidRPr="006C4917">
        <w:rPr>
          <w:rtl/>
        </w:rPr>
        <w:t xml:space="preserve"> </w:t>
      </w:r>
      <w:r w:rsidRPr="006C4917">
        <w:rPr>
          <w:rFonts w:hint="eastAsia"/>
          <w:rtl/>
        </w:rPr>
        <w:t>פסקה</w:t>
      </w:r>
      <w:r w:rsidRPr="006C4917">
        <w:rPr>
          <w:rtl/>
        </w:rPr>
        <w:t xml:space="preserve"> 76 </w:t>
      </w:r>
      <w:r w:rsidRPr="006C4917">
        <w:rPr>
          <w:rFonts w:hint="eastAsia"/>
          <w:rtl/>
        </w:rPr>
        <w:t>בחוות</w:t>
      </w:r>
      <w:r w:rsidRPr="006C4917">
        <w:rPr>
          <w:rtl/>
        </w:rPr>
        <w:t xml:space="preserve"> </w:t>
      </w:r>
      <w:r w:rsidRPr="006C4917">
        <w:rPr>
          <w:rFonts w:hint="eastAsia"/>
          <w:rtl/>
        </w:rPr>
        <w:t>דעת</w:t>
      </w:r>
      <w:r w:rsidRPr="006C4917">
        <w:rPr>
          <w:rtl/>
        </w:rPr>
        <w:t xml:space="preserve"> </w:t>
      </w:r>
      <w:r w:rsidRPr="006C4917">
        <w:rPr>
          <w:rFonts w:hint="eastAsia"/>
          <w:rtl/>
        </w:rPr>
        <w:t>הנשיאה</w:t>
      </w:r>
      <w:r w:rsidRPr="006C4917">
        <w:rPr>
          <w:rFonts w:hint="cs"/>
          <w:rtl/>
        </w:rPr>
        <w:t xml:space="preserve"> (בדימ') </w:t>
      </w:r>
      <w:r w:rsidRPr="006C4917">
        <w:rPr>
          <w:rFonts w:ascii="Century" w:hAnsi="Century" w:cs="Miriam" w:hint="eastAsia"/>
          <w:b/>
          <w:spacing w:val="0"/>
          <w:sz w:val="22"/>
          <w:szCs w:val="24"/>
          <w:rtl/>
        </w:rPr>
        <w:t>חיות</w:t>
      </w:r>
      <w:r w:rsidRPr="006C4917">
        <w:rPr>
          <w:rFonts w:hint="cs"/>
          <w:rtl/>
        </w:rPr>
        <w:t xml:space="preserve">). ייתכן כי כשיתקבל חוק-יסוד: החקיקה, נזכה אף אנו למנגנונים שכאלה. ואולם לעת הזו, וככל שאין ביקורת שיפוטית על המגבלות המוטלות על הכנסת בכובעה כמכוננת, הדרישה היחידה מהכנסת הנבחרת היא לתת לחוק את הכותרת "חוק-יסוד", ולהעבירו במתכונת החקיקה הרגילה. מצב דברים זה </w:t>
      </w:r>
      <w:r w:rsidRPr="006C4917">
        <w:rPr>
          <w:rtl/>
        </w:rPr>
        <w:t>–</w:t>
      </w:r>
      <w:r w:rsidRPr="006C4917">
        <w:rPr>
          <w:rFonts w:hint="cs"/>
          <w:rtl/>
        </w:rPr>
        <w:t xml:space="preserve"> "</w:t>
      </w:r>
      <w:r w:rsidRPr="006C4917">
        <w:rPr>
          <w:rFonts w:ascii="Century" w:hAnsi="Century" w:cs="Miriam" w:hint="cs"/>
          <w:b/>
          <w:spacing w:val="0"/>
          <w:szCs w:val="24"/>
          <w:rtl/>
        </w:rPr>
        <w:t>הקלות הבלתי נסבלת של חקיקת חוקי היסוד ותיקונם</w:t>
      </w:r>
      <w:r w:rsidRPr="006C4917">
        <w:rPr>
          <w:rFonts w:hint="cs"/>
          <w:rtl/>
        </w:rPr>
        <w:t xml:space="preserve">" בלשונו הקולעת של פרופ' אריאל בנדור </w:t>
      </w:r>
      <w:r w:rsidRPr="006C4917">
        <w:rPr>
          <w:rtl/>
        </w:rPr>
        <w:t>–</w:t>
      </w:r>
      <w:r w:rsidRPr="006C4917">
        <w:rPr>
          <w:rFonts w:hint="cs"/>
          <w:rtl/>
        </w:rPr>
        <w:t xml:space="preserve"> אינו רצוי; למצער הוא מחייב כי בית המשפט יפקח היטב על כך שהכנסת בפועלה כרשות מכוננת לא תחרוג מהמגבלות המוטלות עליה (אריאל בנדור "פגמים בחקיקת חוקי-היסוד" </w:t>
      </w:r>
      <w:r w:rsidRPr="006C4917">
        <w:rPr>
          <w:rFonts w:ascii="Century" w:hAnsi="Century" w:cs="Miriam" w:hint="cs"/>
          <w:b/>
          <w:spacing w:val="0"/>
          <w:szCs w:val="24"/>
          <w:rtl/>
        </w:rPr>
        <w:t>משפט וממשל</w:t>
      </w:r>
      <w:r w:rsidRPr="006C4917">
        <w:rPr>
          <w:rFonts w:ascii="Century" w:hAnsi="Century" w:hint="cs"/>
          <w:rtl/>
        </w:rPr>
        <w:t xml:space="preserve"> ב 443, 444 (1994). וראו גם חוות דעתו של השופט </w:t>
      </w:r>
      <w:r w:rsidRPr="006C4917">
        <w:rPr>
          <w:rFonts w:ascii="Century" w:hAnsi="Century" w:cs="Miriam" w:hint="eastAsia"/>
          <w:b/>
          <w:spacing w:val="0"/>
          <w:sz w:val="22"/>
          <w:szCs w:val="24"/>
          <w:rtl/>
        </w:rPr>
        <w:t>עמית</w:t>
      </w:r>
      <w:r w:rsidRPr="006C4917">
        <w:rPr>
          <w:rFonts w:ascii="Century" w:hAnsi="Century" w:hint="cs"/>
          <w:rtl/>
        </w:rPr>
        <w:t>, פסקאות 35-20)</w:t>
      </w:r>
      <w:r w:rsidRPr="006C4917">
        <w:rPr>
          <w:rFonts w:hint="cs"/>
          <w:rtl/>
        </w:rPr>
        <w:t>.</w:t>
      </w:r>
    </w:p>
    <w:p w:rsidR="003D7BFC" w:rsidRPr="006C4917" w:rsidRDefault="003D7BFC" w:rsidP="003D7BFC">
      <w:pPr>
        <w:pStyle w:val="Ruller41"/>
        <w:rPr>
          <w:rtl/>
        </w:rPr>
      </w:pPr>
    </w:p>
    <w:p w:rsidR="003D7BFC" w:rsidRPr="006C4917" w:rsidRDefault="003D7BFC" w:rsidP="003D7BFC">
      <w:pPr>
        <w:pStyle w:val="Ruller4"/>
      </w:pPr>
      <w:r w:rsidRPr="006C4917">
        <w:rPr>
          <w:rFonts w:ascii="Century" w:hAnsi="Century" w:cs="Miriam" w:hint="cs"/>
          <w:b/>
          <w:spacing w:val="0"/>
          <w:szCs w:val="24"/>
          <w:rtl/>
        </w:rPr>
        <w:t>שלישית</w:t>
      </w:r>
      <w:r w:rsidRPr="006C4917">
        <w:rPr>
          <w:rFonts w:hint="cs"/>
          <w:rtl/>
        </w:rPr>
        <w:t xml:space="preserve">, לדידי, המציאות של "חוקה בהתהוות", במסגרתה מקל הסמכות עובר מכנסת לכנסת מזה 75 שנים, לא רק שאינה מפחיתה את הצורך בפיקוח שיפוטי, אלא </w:t>
      </w:r>
      <w:r w:rsidRPr="006C4917">
        <w:rPr>
          <w:rFonts w:hint="cs"/>
          <w:rtl/>
        </w:rPr>
        <w:lastRenderedPageBreak/>
        <w:t>שהיא מגבירה אותו באופן משמעותי. בהינתן שתפקיד מרכזי של חוקה הוא "</w:t>
      </w:r>
      <w:r w:rsidRPr="006C4917">
        <w:rPr>
          <w:rFonts w:ascii="Century" w:hAnsi="Century" w:cs="Miriam"/>
          <w:b/>
          <w:spacing w:val="0"/>
          <w:szCs w:val="24"/>
          <w:rtl/>
        </w:rPr>
        <w:t>להגביל את הרשות המחוקקת ואת הרוב הפוליטי המזדמן השולט בה</w:t>
      </w:r>
      <w:r w:rsidRPr="006C4917">
        <w:rPr>
          <w:rtl/>
        </w:rPr>
        <w:t>״</w:t>
      </w:r>
      <w:r w:rsidRPr="006C4917">
        <w:rPr>
          <w:rFonts w:hint="cs"/>
          <w:rtl/>
        </w:rPr>
        <w:t xml:space="preserve"> (ראו דבריו של השופט </w:t>
      </w:r>
      <w:r w:rsidRPr="006C4917">
        <w:rPr>
          <w:rFonts w:ascii="Century" w:hAnsi="Century" w:cs="Miriam" w:hint="cs"/>
          <w:b/>
          <w:spacing w:val="0"/>
          <w:sz w:val="22"/>
          <w:szCs w:val="24"/>
          <w:rtl/>
        </w:rPr>
        <w:t>עמית</w:t>
      </w:r>
      <w:r w:rsidRPr="006C4917">
        <w:rPr>
          <w:rFonts w:hint="cs"/>
          <w:rtl/>
        </w:rPr>
        <w:t xml:space="preserve"> המובאים בפסקה 35 לעיל</w:t>
      </w:r>
      <w:r w:rsidRPr="006C4917">
        <w:rPr>
          <w:rtl/>
        </w:rPr>
        <w:t xml:space="preserve">), </w:t>
      </w:r>
      <w:r w:rsidRPr="006C4917">
        <w:rPr>
          <w:rFonts w:hint="eastAsia"/>
          <w:rtl/>
        </w:rPr>
        <w:t>מצויה</w:t>
      </w:r>
      <w:r w:rsidRPr="006C4917">
        <w:rPr>
          <w:rtl/>
        </w:rPr>
        <w:t xml:space="preserve"> </w:t>
      </w:r>
      <w:r w:rsidRPr="006C4917">
        <w:rPr>
          <w:rFonts w:hint="eastAsia"/>
          <w:rtl/>
        </w:rPr>
        <w:t>הכנסת</w:t>
      </w:r>
      <w:r w:rsidRPr="006C4917">
        <w:rPr>
          <w:rtl/>
        </w:rPr>
        <w:t xml:space="preserve"> </w:t>
      </w:r>
      <w:r w:rsidRPr="006C4917">
        <w:rPr>
          <w:rFonts w:hint="cs"/>
          <w:rtl/>
        </w:rPr>
        <w:t>המכהנת</w:t>
      </w:r>
      <w:r w:rsidRPr="006C4917">
        <w:rPr>
          <w:rtl/>
        </w:rPr>
        <w:t xml:space="preserve"> </w:t>
      </w:r>
      <w:r w:rsidRPr="006C4917">
        <w:rPr>
          <w:rFonts w:hint="eastAsia"/>
          <w:rtl/>
        </w:rPr>
        <w:t>במצב</w:t>
      </w:r>
      <w:r w:rsidRPr="006C4917">
        <w:rPr>
          <w:rtl/>
        </w:rPr>
        <w:t xml:space="preserve"> </w:t>
      </w:r>
      <w:r w:rsidRPr="006C4917">
        <w:rPr>
          <w:rFonts w:hint="eastAsia"/>
          <w:rtl/>
        </w:rPr>
        <w:t>של</w:t>
      </w:r>
      <w:r w:rsidRPr="006C4917">
        <w:rPr>
          <w:rtl/>
        </w:rPr>
        <w:t xml:space="preserve"> </w:t>
      </w:r>
      <w:r w:rsidRPr="006C4917">
        <w:rPr>
          <w:rFonts w:hint="eastAsia"/>
          <w:rtl/>
        </w:rPr>
        <w:t>ניגוד</w:t>
      </w:r>
      <w:r w:rsidRPr="006C4917">
        <w:rPr>
          <w:rtl/>
        </w:rPr>
        <w:t xml:space="preserve"> </w:t>
      </w:r>
      <w:r w:rsidRPr="006C4917">
        <w:rPr>
          <w:rFonts w:hint="eastAsia"/>
          <w:rtl/>
        </w:rPr>
        <w:t>עניינים</w:t>
      </w:r>
      <w:r w:rsidRPr="006C4917">
        <w:rPr>
          <w:rtl/>
        </w:rPr>
        <w:t xml:space="preserve"> </w:t>
      </w:r>
      <w:r w:rsidRPr="006C4917">
        <w:rPr>
          <w:rFonts w:hint="eastAsia"/>
          <w:rtl/>
        </w:rPr>
        <w:t>מוסדי</w:t>
      </w:r>
      <w:r w:rsidRPr="006C4917">
        <w:rPr>
          <w:rtl/>
        </w:rPr>
        <w:t xml:space="preserve"> </w:t>
      </w:r>
      <w:r w:rsidRPr="006C4917">
        <w:rPr>
          <w:rFonts w:hint="eastAsia"/>
          <w:rtl/>
        </w:rPr>
        <w:t>בבואה</w:t>
      </w:r>
      <w:r w:rsidRPr="006C4917">
        <w:rPr>
          <w:rtl/>
        </w:rPr>
        <w:t xml:space="preserve"> </w:t>
      </w:r>
      <w:r w:rsidRPr="006C4917">
        <w:rPr>
          <w:rFonts w:hint="eastAsia"/>
          <w:rtl/>
        </w:rPr>
        <w:t>להפעיל</w:t>
      </w:r>
      <w:r w:rsidRPr="006C4917">
        <w:rPr>
          <w:rtl/>
        </w:rPr>
        <w:t xml:space="preserve"> </w:t>
      </w:r>
      <w:r w:rsidRPr="006C4917">
        <w:rPr>
          <w:rFonts w:hint="eastAsia"/>
          <w:rtl/>
        </w:rPr>
        <w:t>את</w:t>
      </w:r>
      <w:r w:rsidRPr="006C4917">
        <w:rPr>
          <w:rtl/>
        </w:rPr>
        <w:t xml:space="preserve"> </w:t>
      </w:r>
      <w:r w:rsidRPr="006C4917">
        <w:rPr>
          <w:rFonts w:hint="eastAsia"/>
          <w:rtl/>
        </w:rPr>
        <w:t>סמכותה</w:t>
      </w:r>
      <w:r w:rsidRPr="006C4917">
        <w:rPr>
          <w:rtl/>
        </w:rPr>
        <w:t xml:space="preserve"> </w:t>
      </w:r>
      <w:r w:rsidRPr="006C4917">
        <w:rPr>
          <w:rFonts w:hint="eastAsia"/>
          <w:rtl/>
        </w:rPr>
        <w:t>המכוננת</w:t>
      </w:r>
      <w:r w:rsidRPr="006C4917">
        <w:rPr>
          <w:rtl/>
        </w:rPr>
        <w:t xml:space="preserve">: </w:t>
      </w:r>
      <w:r w:rsidRPr="006C4917">
        <w:rPr>
          <w:rFonts w:hint="eastAsia"/>
          <w:rtl/>
        </w:rPr>
        <w:t>בכובעה</w:t>
      </w:r>
      <w:r w:rsidRPr="006C4917">
        <w:rPr>
          <w:rtl/>
        </w:rPr>
        <w:t xml:space="preserve"> </w:t>
      </w:r>
      <w:r w:rsidRPr="006C4917">
        <w:rPr>
          <w:rFonts w:hint="eastAsia"/>
          <w:rtl/>
        </w:rPr>
        <w:t>האחד</w:t>
      </w:r>
      <w:r w:rsidRPr="006C4917">
        <w:rPr>
          <w:rtl/>
        </w:rPr>
        <w:t xml:space="preserve">, </w:t>
      </w:r>
      <w:r w:rsidRPr="006C4917">
        <w:rPr>
          <w:rFonts w:hint="eastAsia"/>
          <w:rtl/>
        </w:rPr>
        <w:t>כרשות</w:t>
      </w:r>
      <w:r w:rsidRPr="006C4917">
        <w:rPr>
          <w:rtl/>
        </w:rPr>
        <w:t xml:space="preserve"> </w:t>
      </w:r>
      <w:r w:rsidRPr="006C4917">
        <w:rPr>
          <w:rFonts w:hint="eastAsia"/>
          <w:rtl/>
        </w:rPr>
        <w:t>מכוננת</w:t>
      </w:r>
      <w:r w:rsidRPr="006C4917">
        <w:rPr>
          <w:rtl/>
        </w:rPr>
        <w:t xml:space="preserve">, </w:t>
      </w:r>
      <w:r w:rsidRPr="006C4917">
        <w:rPr>
          <w:rFonts w:hint="eastAsia"/>
          <w:rtl/>
        </w:rPr>
        <w:t>היא</w:t>
      </w:r>
      <w:r w:rsidRPr="006C4917">
        <w:rPr>
          <w:rtl/>
        </w:rPr>
        <w:t xml:space="preserve"> </w:t>
      </w:r>
      <w:r w:rsidRPr="006C4917">
        <w:rPr>
          <w:rFonts w:hint="eastAsia"/>
          <w:rtl/>
        </w:rPr>
        <w:t>נדרשת</w:t>
      </w:r>
      <w:r w:rsidRPr="006C4917">
        <w:rPr>
          <w:rtl/>
        </w:rPr>
        <w:t xml:space="preserve"> </w:t>
      </w:r>
      <w:r w:rsidRPr="006C4917">
        <w:rPr>
          <w:rFonts w:hint="eastAsia"/>
          <w:rtl/>
        </w:rPr>
        <w:t>ליצור</w:t>
      </w:r>
      <w:r w:rsidRPr="006C4917">
        <w:rPr>
          <w:rtl/>
        </w:rPr>
        <w:t xml:space="preserve"> </w:t>
      </w:r>
      <w:r w:rsidRPr="006C4917">
        <w:rPr>
          <w:rFonts w:hint="eastAsia"/>
          <w:rtl/>
        </w:rPr>
        <w:t>חוקי</w:t>
      </w:r>
      <w:r w:rsidRPr="006C4917">
        <w:rPr>
          <w:rtl/>
        </w:rPr>
        <w:t xml:space="preserve"> </w:t>
      </w:r>
      <w:r w:rsidRPr="006C4917">
        <w:rPr>
          <w:rFonts w:hint="eastAsia"/>
          <w:rtl/>
        </w:rPr>
        <w:t>יסוד</w:t>
      </w:r>
      <w:r w:rsidRPr="006C4917">
        <w:rPr>
          <w:rtl/>
        </w:rPr>
        <w:t xml:space="preserve"> </w:t>
      </w:r>
      <w:r w:rsidRPr="006C4917">
        <w:rPr>
          <w:rFonts w:hint="eastAsia"/>
          <w:rtl/>
        </w:rPr>
        <w:t>ראויים</w:t>
      </w:r>
      <w:r w:rsidRPr="006C4917">
        <w:rPr>
          <w:rtl/>
        </w:rPr>
        <w:t xml:space="preserve">, </w:t>
      </w:r>
      <w:r w:rsidRPr="006C4917">
        <w:rPr>
          <w:rFonts w:hint="eastAsia"/>
          <w:rtl/>
        </w:rPr>
        <w:t>הכובלים</w:t>
      </w:r>
      <w:r w:rsidRPr="006C4917">
        <w:rPr>
          <w:rtl/>
        </w:rPr>
        <w:t xml:space="preserve"> </w:t>
      </w:r>
      <w:r w:rsidRPr="006C4917">
        <w:rPr>
          <w:rFonts w:hint="eastAsia"/>
          <w:rtl/>
        </w:rPr>
        <w:t>את</w:t>
      </w:r>
      <w:r w:rsidRPr="006C4917">
        <w:rPr>
          <w:rtl/>
        </w:rPr>
        <w:t xml:space="preserve"> </w:t>
      </w:r>
      <w:r w:rsidRPr="006C4917">
        <w:rPr>
          <w:rFonts w:hint="eastAsia"/>
          <w:rtl/>
        </w:rPr>
        <w:t>יד</w:t>
      </w:r>
      <w:r w:rsidRPr="006C4917">
        <w:rPr>
          <w:rFonts w:hint="cs"/>
          <w:rtl/>
        </w:rPr>
        <w:t>י</w:t>
      </w:r>
      <w:r w:rsidRPr="006C4917">
        <w:rPr>
          <w:rFonts w:hint="eastAsia"/>
          <w:rtl/>
        </w:rPr>
        <w:t>ה</w:t>
      </w:r>
      <w:r w:rsidRPr="006C4917">
        <w:rPr>
          <w:rtl/>
        </w:rPr>
        <w:t xml:space="preserve"> </w:t>
      </w:r>
      <w:r w:rsidRPr="006C4917">
        <w:rPr>
          <w:rFonts w:hint="eastAsia"/>
          <w:rtl/>
        </w:rPr>
        <w:t>של</w:t>
      </w:r>
      <w:r w:rsidRPr="006C4917">
        <w:rPr>
          <w:rtl/>
        </w:rPr>
        <w:t xml:space="preserve"> </w:t>
      </w:r>
      <w:r w:rsidRPr="006C4917">
        <w:rPr>
          <w:rFonts w:hint="eastAsia"/>
          <w:rtl/>
        </w:rPr>
        <w:t>הרשות</w:t>
      </w:r>
      <w:r w:rsidRPr="006C4917">
        <w:rPr>
          <w:rtl/>
        </w:rPr>
        <w:t xml:space="preserve"> </w:t>
      </w:r>
      <w:r w:rsidRPr="006C4917">
        <w:rPr>
          <w:rFonts w:hint="eastAsia"/>
          <w:rtl/>
        </w:rPr>
        <w:t>המחוקקת</w:t>
      </w:r>
      <w:r w:rsidRPr="006C4917">
        <w:rPr>
          <w:rtl/>
        </w:rPr>
        <w:t xml:space="preserve"> </w:t>
      </w:r>
      <w:r w:rsidRPr="006C4917">
        <w:rPr>
          <w:rFonts w:hint="eastAsia"/>
          <w:rtl/>
        </w:rPr>
        <w:t>במידה</w:t>
      </w:r>
      <w:r w:rsidRPr="006C4917">
        <w:rPr>
          <w:rtl/>
        </w:rPr>
        <w:t xml:space="preserve"> </w:t>
      </w:r>
      <w:r w:rsidRPr="006C4917">
        <w:rPr>
          <w:rFonts w:hint="eastAsia"/>
          <w:rtl/>
        </w:rPr>
        <w:t>הנדרשת</w:t>
      </w:r>
      <w:r w:rsidRPr="006C4917">
        <w:rPr>
          <w:rtl/>
        </w:rPr>
        <w:t xml:space="preserve">; </w:t>
      </w:r>
      <w:r w:rsidRPr="006C4917">
        <w:rPr>
          <w:rFonts w:hint="eastAsia"/>
          <w:rtl/>
        </w:rPr>
        <w:t>בכובעה</w:t>
      </w:r>
      <w:r w:rsidRPr="006C4917">
        <w:rPr>
          <w:rtl/>
        </w:rPr>
        <w:t xml:space="preserve"> </w:t>
      </w:r>
      <w:r w:rsidRPr="006C4917">
        <w:rPr>
          <w:rFonts w:hint="eastAsia"/>
          <w:rtl/>
        </w:rPr>
        <w:t>האחר</w:t>
      </w:r>
      <w:r w:rsidRPr="006C4917">
        <w:rPr>
          <w:rtl/>
        </w:rPr>
        <w:t xml:space="preserve">, </w:t>
      </w:r>
      <w:r w:rsidRPr="006C4917">
        <w:rPr>
          <w:rFonts w:hint="eastAsia"/>
          <w:rtl/>
        </w:rPr>
        <w:t>כרשות</w:t>
      </w:r>
      <w:r w:rsidRPr="006C4917">
        <w:rPr>
          <w:rtl/>
        </w:rPr>
        <w:t xml:space="preserve"> </w:t>
      </w:r>
      <w:r w:rsidRPr="006C4917">
        <w:rPr>
          <w:rFonts w:hint="eastAsia"/>
          <w:rtl/>
        </w:rPr>
        <w:t>המחוקקת</w:t>
      </w:r>
      <w:r w:rsidRPr="006C4917">
        <w:rPr>
          <w:rtl/>
        </w:rPr>
        <w:t xml:space="preserve">, </w:t>
      </w:r>
      <w:r w:rsidRPr="006C4917">
        <w:rPr>
          <w:rFonts w:hint="eastAsia"/>
          <w:rtl/>
        </w:rPr>
        <w:t>היא</w:t>
      </w:r>
      <w:r w:rsidRPr="006C4917">
        <w:rPr>
          <w:rtl/>
        </w:rPr>
        <w:t xml:space="preserve"> </w:t>
      </w:r>
      <w:r w:rsidRPr="006C4917">
        <w:rPr>
          <w:rFonts w:hint="eastAsia"/>
          <w:rtl/>
        </w:rPr>
        <w:t>מעוניינת</w:t>
      </w:r>
      <w:r w:rsidRPr="006C4917">
        <w:rPr>
          <w:rtl/>
        </w:rPr>
        <w:t xml:space="preserve"> </w:t>
      </w:r>
      <w:r w:rsidRPr="006C4917">
        <w:rPr>
          <w:rFonts w:hint="eastAsia"/>
          <w:rtl/>
        </w:rPr>
        <w:t>להחליש</w:t>
      </w:r>
      <w:r w:rsidRPr="006C4917">
        <w:rPr>
          <w:rtl/>
        </w:rPr>
        <w:t xml:space="preserve"> </w:t>
      </w:r>
      <w:r w:rsidRPr="006C4917">
        <w:rPr>
          <w:rFonts w:hint="eastAsia"/>
          <w:rtl/>
        </w:rPr>
        <w:t>את</w:t>
      </w:r>
      <w:r w:rsidRPr="006C4917">
        <w:rPr>
          <w:rtl/>
        </w:rPr>
        <w:t xml:space="preserve"> </w:t>
      </w:r>
      <w:r w:rsidRPr="006C4917">
        <w:rPr>
          <w:rFonts w:hint="eastAsia"/>
          <w:rtl/>
        </w:rPr>
        <w:t>אחיזתם</w:t>
      </w:r>
      <w:r w:rsidRPr="006C4917">
        <w:rPr>
          <w:rtl/>
        </w:rPr>
        <w:t xml:space="preserve"> </w:t>
      </w:r>
      <w:r w:rsidRPr="006C4917">
        <w:rPr>
          <w:rFonts w:hint="eastAsia"/>
          <w:rtl/>
        </w:rPr>
        <w:t>של</w:t>
      </w:r>
      <w:r w:rsidRPr="006C4917">
        <w:rPr>
          <w:rtl/>
        </w:rPr>
        <w:t xml:space="preserve"> </w:t>
      </w:r>
      <w:r w:rsidRPr="006C4917">
        <w:rPr>
          <w:rFonts w:hint="eastAsia"/>
          <w:rtl/>
        </w:rPr>
        <w:t>חוקי</w:t>
      </w:r>
      <w:r w:rsidRPr="006C4917">
        <w:rPr>
          <w:rtl/>
        </w:rPr>
        <w:t xml:space="preserve"> </w:t>
      </w:r>
      <w:r w:rsidRPr="006C4917">
        <w:rPr>
          <w:rFonts w:hint="eastAsia"/>
          <w:rtl/>
        </w:rPr>
        <w:t>היסוד</w:t>
      </w:r>
      <w:r w:rsidRPr="006C4917">
        <w:rPr>
          <w:rtl/>
        </w:rPr>
        <w:t xml:space="preserve"> </w:t>
      </w:r>
      <w:r w:rsidRPr="006C4917">
        <w:rPr>
          <w:rFonts w:hint="eastAsia"/>
          <w:rtl/>
        </w:rPr>
        <w:t>על</w:t>
      </w:r>
      <w:r w:rsidRPr="006C4917">
        <w:rPr>
          <w:rtl/>
        </w:rPr>
        <w:t xml:space="preserve"> </w:t>
      </w:r>
      <w:r w:rsidRPr="006C4917">
        <w:rPr>
          <w:rFonts w:hint="eastAsia"/>
          <w:rtl/>
        </w:rPr>
        <w:t>עצמה</w:t>
      </w:r>
      <w:r w:rsidRPr="006C4917">
        <w:rPr>
          <w:rtl/>
        </w:rPr>
        <w:t xml:space="preserve">, </w:t>
      </w:r>
      <w:r w:rsidRPr="006C4917">
        <w:rPr>
          <w:rFonts w:hint="eastAsia"/>
          <w:rtl/>
        </w:rPr>
        <w:t>על</w:t>
      </w:r>
      <w:r w:rsidRPr="006C4917">
        <w:rPr>
          <w:rtl/>
        </w:rPr>
        <w:t xml:space="preserve"> </w:t>
      </w:r>
      <w:r w:rsidRPr="006C4917">
        <w:rPr>
          <w:rFonts w:hint="eastAsia"/>
          <w:rtl/>
        </w:rPr>
        <w:t>מנת</w:t>
      </w:r>
      <w:r w:rsidRPr="006C4917">
        <w:rPr>
          <w:rtl/>
        </w:rPr>
        <w:t xml:space="preserve"> </w:t>
      </w:r>
      <w:r w:rsidRPr="006C4917">
        <w:rPr>
          <w:rFonts w:hint="eastAsia"/>
          <w:rtl/>
        </w:rPr>
        <w:t>להגביר</w:t>
      </w:r>
      <w:r w:rsidRPr="006C4917">
        <w:rPr>
          <w:rtl/>
        </w:rPr>
        <w:t xml:space="preserve"> </w:t>
      </w:r>
      <w:r w:rsidRPr="006C4917">
        <w:rPr>
          <w:rFonts w:hint="eastAsia"/>
          <w:rtl/>
        </w:rPr>
        <w:t>את</w:t>
      </w:r>
      <w:r w:rsidRPr="006C4917">
        <w:rPr>
          <w:rtl/>
        </w:rPr>
        <w:t xml:space="preserve"> </w:t>
      </w:r>
      <w:r w:rsidRPr="006C4917">
        <w:rPr>
          <w:rFonts w:hint="eastAsia"/>
          <w:rtl/>
        </w:rPr>
        <w:t>חופש</w:t>
      </w:r>
      <w:r w:rsidRPr="006C4917">
        <w:rPr>
          <w:rtl/>
        </w:rPr>
        <w:t xml:space="preserve"> </w:t>
      </w:r>
      <w:r w:rsidRPr="006C4917">
        <w:rPr>
          <w:rFonts w:hint="eastAsia"/>
          <w:rtl/>
        </w:rPr>
        <w:t>פעולתה</w:t>
      </w:r>
      <w:r w:rsidRPr="006C4917">
        <w:rPr>
          <w:rtl/>
        </w:rPr>
        <w:t xml:space="preserve"> (</w:t>
      </w:r>
      <w:r w:rsidRPr="006C4917">
        <w:rPr>
          <w:rFonts w:hint="eastAsia"/>
          <w:rtl/>
        </w:rPr>
        <w:t>לשאלה</w:t>
      </w:r>
      <w:r w:rsidRPr="006C4917">
        <w:rPr>
          <w:rtl/>
        </w:rPr>
        <w:t xml:space="preserve"> </w:t>
      </w:r>
      <w:r w:rsidRPr="006C4917">
        <w:rPr>
          <w:rFonts w:hint="eastAsia"/>
          <w:rtl/>
        </w:rPr>
        <w:t>מהו</w:t>
      </w:r>
      <w:r w:rsidRPr="006C4917">
        <w:rPr>
          <w:rtl/>
        </w:rPr>
        <w:t xml:space="preserve"> </w:t>
      </w:r>
      <w:r w:rsidRPr="006C4917">
        <w:rPr>
          <w:rFonts w:hint="eastAsia"/>
          <w:rtl/>
        </w:rPr>
        <w:t>ניגוד</w:t>
      </w:r>
      <w:r w:rsidRPr="006C4917">
        <w:rPr>
          <w:rtl/>
        </w:rPr>
        <w:t xml:space="preserve"> </w:t>
      </w:r>
      <w:r w:rsidRPr="006C4917">
        <w:rPr>
          <w:rFonts w:hint="eastAsia"/>
          <w:rtl/>
        </w:rPr>
        <w:t>עניינים</w:t>
      </w:r>
      <w:r w:rsidRPr="006C4917">
        <w:rPr>
          <w:rtl/>
        </w:rPr>
        <w:t xml:space="preserve"> </w:t>
      </w:r>
      <w:r w:rsidRPr="006C4917">
        <w:rPr>
          <w:rFonts w:hint="eastAsia"/>
          <w:rtl/>
        </w:rPr>
        <w:t>מוסדי</w:t>
      </w:r>
      <w:r w:rsidRPr="006C4917">
        <w:rPr>
          <w:rtl/>
        </w:rPr>
        <w:t xml:space="preserve"> </w:t>
      </w:r>
      <w:r w:rsidRPr="006C4917">
        <w:rPr>
          <w:rFonts w:hint="eastAsia"/>
          <w:rtl/>
        </w:rPr>
        <w:t>ראו</w:t>
      </w:r>
      <w:r w:rsidRPr="006C4917">
        <w:rPr>
          <w:rtl/>
        </w:rPr>
        <w:t xml:space="preserve"> </w:t>
      </w:r>
      <w:r w:rsidRPr="006C4917">
        <w:rPr>
          <w:rFonts w:hint="eastAsia"/>
          <w:rtl/>
        </w:rPr>
        <w:t>בג</w:t>
      </w:r>
      <w:r w:rsidRPr="006C4917">
        <w:rPr>
          <w:rtl/>
        </w:rPr>
        <w:t>"</w:t>
      </w:r>
      <w:r w:rsidRPr="006C4917">
        <w:rPr>
          <w:rFonts w:hint="eastAsia"/>
          <w:rtl/>
        </w:rPr>
        <w:t>ץ</w:t>
      </w:r>
      <w:r w:rsidRPr="006C4917">
        <w:rPr>
          <w:rtl/>
        </w:rPr>
        <w:t xml:space="preserve"> 531/79 </w:t>
      </w:r>
      <w:r w:rsidRPr="006C4917">
        <w:rPr>
          <w:rFonts w:ascii="Century" w:hAnsi="Century" w:cs="Miriam" w:hint="eastAsia"/>
          <w:b/>
          <w:spacing w:val="0"/>
          <w:szCs w:val="24"/>
          <w:rtl/>
        </w:rPr>
        <w:t>סיעת</w:t>
      </w:r>
      <w:r w:rsidRPr="006C4917">
        <w:rPr>
          <w:rFonts w:ascii="Century" w:hAnsi="Century" w:cs="Miriam"/>
          <w:b/>
          <w:spacing w:val="0"/>
          <w:szCs w:val="24"/>
          <w:rtl/>
        </w:rPr>
        <w:t xml:space="preserve"> </w:t>
      </w:r>
      <w:r w:rsidRPr="006C4917">
        <w:rPr>
          <w:rFonts w:ascii="Century" w:hAnsi="Century" w:cs="Miriam" w:hint="eastAsia"/>
          <w:b/>
          <w:spacing w:val="0"/>
          <w:szCs w:val="24"/>
          <w:rtl/>
        </w:rPr>
        <w:t>הליכוד</w:t>
      </w:r>
      <w:r w:rsidRPr="006C4917">
        <w:rPr>
          <w:rFonts w:ascii="Century" w:hAnsi="Century" w:cs="Miriam"/>
          <w:b/>
          <w:spacing w:val="0"/>
          <w:szCs w:val="24"/>
          <w:rtl/>
        </w:rPr>
        <w:t xml:space="preserve"> </w:t>
      </w:r>
      <w:r w:rsidRPr="006C4917">
        <w:rPr>
          <w:rFonts w:ascii="Century" w:hAnsi="Century" w:cs="Miriam" w:hint="eastAsia"/>
          <w:b/>
          <w:spacing w:val="0"/>
          <w:szCs w:val="24"/>
          <w:rtl/>
        </w:rPr>
        <w:t>בעיריית</w:t>
      </w:r>
      <w:r w:rsidRPr="006C4917">
        <w:rPr>
          <w:rFonts w:ascii="Century" w:hAnsi="Century" w:cs="Miriam"/>
          <w:b/>
          <w:spacing w:val="0"/>
          <w:szCs w:val="24"/>
          <w:rtl/>
        </w:rPr>
        <w:t xml:space="preserve"> </w:t>
      </w:r>
      <w:r w:rsidRPr="006C4917">
        <w:rPr>
          <w:rFonts w:ascii="Century" w:hAnsi="Century" w:cs="Miriam" w:hint="eastAsia"/>
          <w:b/>
          <w:spacing w:val="0"/>
          <w:szCs w:val="24"/>
          <w:rtl/>
        </w:rPr>
        <w:t>פתח</w:t>
      </w:r>
      <w:r w:rsidRPr="006C4917">
        <w:rPr>
          <w:rFonts w:ascii="Century" w:hAnsi="Century" w:cs="Miriam"/>
          <w:b/>
          <w:spacing w:val="0"/>
          <w:szCs w:val="24"/>
          <w:rtl/>
        </w:rPr>
        <w:t xml:space="preserve"> </w:t>
      </w:r>
      <w:r w:rsidRPr="006C4917">
        <w:rPr>
          <w:rFonts w:ascii="Century" w:hAnsi="Century" w:cs="Miriam" w:hint="eastAsia"/>
          <w:b/>
          <w:spacing w:val="0"/>
          <w:szCs w:val="24"/>
          <w:rtl/>
        </w:rPr>
        <w:t>תקווה</w:t>
      </w:r>
      <w:r w:rsidRPr="006C4917">
        <w:rPr>
          <w:rFonts w:ascii="Century" w:hAnsi="Century" w:cs="Miriam"/>
          <w:b/>
          <w:spacing w:val="0"/>
          <w:szCs w:val="24"/>
          <w:rtl/>
        </w:rPr>
        <w:t xml:space="preserve"> </w:t>
      </w:r>
      <w:r w:rsidRPr="006C4917">
        <w:rPr>
          <w:rFonts w:ascii="Century" w:hAnsi="Century" w:cs="Miriam" w:hint="eastAsia"/>
          <w:b/>
          <w:spacing w:val="0"/>
          <w:szCs w:val="24"/>
          <w:rtl/>
        </w:rPr>
        <w:t>נ</w:t>
      </w:r>
      <w:r w:rsidRPr="006C4917">
        <w:rPr>
          <w:rFonts w:ascii="Century" w:hAnsi="Century" w:cs="Miriam"/>
          <w:b/>
          <w:spacing w:val="0"/>
          <w:szCs w:val="24"/>
          <w:rtl/>
        </w:rPr>
        <w:t xml:space="preserve">' </w:t>
      </w:r>
      <w:r w:rsidRPr="006C4917">
        <w:rPr>
          <w:rFonts w:ascii="Century" w:hAnsi="Century" w:cs="Miriam" w:hint="eastAsia"/>
          <w:b/>
          <w:spacing w:val="0"/>
          <w:szCs w:val="24"/>
          <w:rtl/>
        </w:rPr>
        <w:t>מועצת</w:t>
      </w:r>
      <w:r w:rsidRPr="006C4917">
        <w:rPr>
          <w:rFonts w:ascii="Century" w:hAnsi="Century" w:cs="Miriam"/>
          <w:b/>
          <w:spacing w:val="0"/>
          <w:szCs w:val="24"/>
          <w:rtl/>
        </w:rPr>
        <w:t xml:space="preserve"> </w:t>
      </w:r>
      <w:r w:rsidRPr="006C4917">
        <w:rPr>
          <w:rFonts w:ascii="Century" w:hAnsi="Century" w:cs="Miriam" w:hint="eastAsia"/>
          <w:b/>
          <w:spacing w:val="0"/>
          <w:szCs w:val="24"/>
          <w:rtl/>
        </w:rPr>
        <w:t>עיריית</w:t>
      </w:r>
      <w:r w:rsidRPr="006C4917">
        <w:rPr>
          <w:rFonts w:ascii="Century" w:hAnsi="Century" w:cs="Miriam"/>
          <w:b/>
          <w:spacing w:val="0"/>
          <w:szCs w:val="24"/>
          <w:rtl/>
        </w:rPr>
        <w:t xml:space="preserve"> </w:t>
      </w:r>
      <w:r w:rsidRPr="006C4917">
        <w:rPr>
          <w:rFonts w:ascii="Century" w:hAnsi="Century" w:cs="Miriam" w:hint="eastAsia"/>
          <w:b/>
          <w:spacing w:val="0"/>
          <w:szCs w:val="24"/>
          <w:rtl/>
        </w:rPr>
        <w:t>פתח</w:t>
      </w:r>
      <w:r w:rsidRPr="006C4917">
        <w:rPr>
          <w:rFonts w:ascii="Century" w:hAnsi="Century" w:cs="Miriam"/>
          <w:b/>
          <w:spacing w:val="0"/>
          <w:szCs w:val="24"/>
          <w:rtl/>
        </w:rPr>
        <w:t xml:space="preserve"> </w:t>
      </w:r>
      <w:r w:rsidRPr="006C4917">
        <w:rPr>
          <w:rFonts w:ascii="Century" w:hAnsi="Century" w:cs="Miriam" w:hint="eastAsia"/>
          <w:b/>
          <w:spacing w:val="0"/>
          <w:szCs w:val="24"/>
          <w:rtl/>
        </w:rPr>
        <w:t>תקווה</w:t>
      </w:r>
      <w:r w:rsidRPr="006C4917">
        <w:rPr>
          <w:rtl/>
        </w:rPr>
        <w:t xml:space="preserve">, </w:t>
      </w:r>
      <w:r w:rsidRPr="006C4917">
        <w:rPr>
          <w:rFonts w:hint="eastAsia"/>
          <w:rtl/>
        </w:rPr>
        <w:t>פ</w:t>
      </w:r>
      <w:r w:rsidRPr="006C4917">
        <w:rPr>
          <w:rtl/>
        </w:rPr>
        <w:t>"</w:t>
      </w:r>
      <w:r w:rsidRPr="006C4917">
        <w:rPr>
          <w:rFonts w:hint="eastAsia"/>
          <w:rtl/>
        </w:rPr>
        <w:t>ד</w:t>
      </w:r>
      <w:r w:rsidRPr="006C4917">
        <w:rPr>
          <w:rtl/>
        </w:rPr>
        <w:t xml:space="preserve"> </w:t>
      </w:r>
      <w:r w:rsidRPr="006C4917">
        <w:rPr>
          <w:rFonts w:hint="eastAsia"/>
          <w:rtl/>
        </w:rPr>
        <w:t>לד</w:t>
      </w:r>
      <w:r w:rsidRPr="006C4917">
        <w:rPr>
          <w:rtl/>
        </w:rPr>
        <w:t xml:space="preserve">(2) 566, 571-570 (1980); </w:t>
      </w:r>
      <w:r w:rsidRPr="006C4917">
        <w:rPr>
          <w:rFonts w:hint="eastAsia"/>
          <w:rtl/>
        </w:rPr>
        <w:t>בג</w:t>
      </w:r>
      <w:r w:rsidRPr="006C4917">
        <w:rPr>
          <w:rtl/>
        </w:rPr>
        <w:t>"</w:t>
      </w:r>
      <w:r w:rsidRPr="006C4917">
        <w:rPr>
          <w:rFonts w:hint="eastAsia"/>
          <w:rtl/>
        </w:rPr>
        <w:t>ץ</w:t>
      </w:r>
      <w:r w:rsidRPr="006C4917">
        <w:rPr>
          <w:rtl/>
        </w:rPr>
        <w:t xml:space="preserve"> 11745/04 </w:t>
      </w:r>
      <w:r w:rsidRPr="006C4917">
        <w:rPr>
          <w:rFonts w:ascii="Century" w:hAnsi="Century" w:cs="Miriam" w:hint="eastAsia"/>
          <w:b/>
          <w:spacing w:val="0"/>
          <w:szCs w:val="24"/>
          <w:rtl/>
        </w:rPr>
        <w:t>רמות</w:t>
      </w:r>
      <w:r w:rsidRPr="006C4917">
        <w:rPr>
          <w:rFonts w:ascii="Century" w:hAnsi="Century" w:cs="Miriam"/>
          <w:b/>
          <w:spacing w:val="0"/>
          <w:szCs w:val="24"/>
          <w:rtl/>
        </w:rPr>
        <w:t xml:space="preserve"> </w:t>
      </w:r>
      <w:r w:rsidRPr="006C4917">
        <w:rPr>
          <w:rFonts w:ascii="Century" w:hAnsi="Century" w:cs="Miriam" w:hint="eastAsia"/>
          <w:b/>
          <w:spacing w:val="0"/>
          <w:szCs w:val="24"/>
          <w:rtl/>
        </w:rPr>
        <w:t>למען</w:t>
      </w:r>
      <w:r w:rsidRPr="006C4917">
        <w:rPr>
          <w:rFonts w:ascii="Century" w:hAnsi="Century" w:cs="Miriam"/>
          <w:b/>
          <w:spacing w:val="0"/>
          <w:szCs w:val="24"/>
          <w:rtl/>
        </w:rPr>
        <w:t xml:space="preserve"> </w:t>
      </w:r>
      <w:r w:rsidRPr="006C4917">
        <w:rPr>
          <w:rFonts w:ascii="Century" w:hAnsi="Century" w:cs="Miriam" w:hint="eastAsia"/>
          <w:b/>
          <w:spacing w:val="0"/>
          <w:szCs w:val="24"/>
          <w:rtl/>
        </w:rPr>
        <w:t>הסביבה</w:t>
      </w:r>
      <w:r w:rsidRPr="006C4917">
        <w:rPr>
          <w:rFonts w:ascii="Century" w:hAnsi="Century" w:cs="Miriam"/>
          <w:b/>
          <w:spacing w:val="0"/>
          <w:szCs w:val="24"/>
          <w:rtl/>
        </w:rPr>
        <w:t xml:space="preserve"> </w:t>
      </w:r>
      <w:r w:rsidRPr="006C4917">
        <w:rPr>
          <w:rFonts w:ascii="Century" w:hAnsi="Century" w:cs="Miriam" w:hint="eastAsia"/>
          <w:b/>
          <w:spacing w:val="0"/>
          <w:szCs w:val="24"/>
          <w:rtl/>
        </w:rPr>
        <w:t>נ</w:t>
      </w:r>
      <w:r w:rsidRPr="006C4917">
        <w:rPr>
          <w:rFonts w:ascii="Century" w:hAnsi="Century" w:cs="Miriam"/>
          <w:b/>
          <w:spacing w:val="0"/>
          <w:szCs w:val="24"/>
          <w:rtl/>
        </w:rPr>
        <w:t xml:space="preserve">' </w:t>
      </w:r>
      <w:r w:rsidRPr="006C4917">
        <w:rPr>
          <w:rFonts w:ascii="Century" w:hAnsi="Century" w:cs="Miriam" w:hint="eastAsia"/>
          <w:b/>
          <w:spacing w:val="0"/>
          <w:szCs w:val="24"/>
          <w:rtl/>
        </w:rPr>
        <w:t>המועצה</w:t>
      </w:r>
      <w:r w:rsidRPr="006C4917">
        <w:rPr>
          <w:rFonts w:ascii="Century" w:hAnsi="Century" w:cs="Miriam"/>
          <w:b/>
          <w:spacing w:val="0"/>
          <w:szCs w:val="24"/>
          <w:rtl/>
        </w:rPr>
        <w:t xml:space="preserve"> </w:t>
      </w:r>
      <w:r w:rsidRPr="006C4917">
        <w:rPr>
          <w:rFonts w:ascii="Century" w:hAnsi="Century" w:cs="Miriam" w:hint="eastAsia"/>
          <w:b/>
          <w:spacing w:val="0"/>
          <w:szCs w:val="24"/>
          <w:rtl/>
        </w:rPr>
        <w:t>הארצית</w:t>
      </w:r>
      <w:r w:rsidRPr="006C4917">
        <w:rPr>
          <w:rFonts w:ascii="Century" w:hAnsi="Century" w:cs="Miriam"/>
          <w:b/>
          <w:spacing w:val="0"/>
          <w:szCs w:val="24"/>
          <w:rtl/>
        </w:rPr>
        <w:t xml:space="preserve"> </w:t>
      </w:r>
      <w:r w:rsidRPr="006C4917">
        <w:rPr>
          <w:rFonts w:ascii="Century" w:hAnsi="Century" w:cs="Miriam" w:hint="eastAsia"/>
          <w:b/>
          <w:spacing w:val="0"/>
          <w:szCs w:val="24"/>
          <w:rtl/>
        </w:rPr>
        <w:t>לתכנון</w:t>
      </w:r>
      <w:r w:rsidRPr="006C4917">
        <w:rPr>
          <w:rFonts w:ascii="Century" w:hAnsi="Century" w:cs="Miriam"/>
          <w:b/>
          <w:spacing w:val="0"/>
          <w:szCs w:val="24"/>
          <w:rtl/>
        </w:rPr>
        <w:t xml:space="preserve"> </w:t>
      </w:r>
      <w:r w:rsidRPr="006C4917">
        <w:rPr>
          <w:rFonts w:ascii="Century" w:hAnsi="Century" w:cs="Miriam" w:hint="eastAsia"/>
          <w:b/>
          <w:spacing w:val="0"/>
          <w:szCs w:val="24"/>
          <w:rtl/>
        </w:rPr>
        <w:t>ולבניה</w:t>
      </w:r>
      <w:r w:rsidRPr="006C4917">
        <w:rPr>
          <w:rtl/>
        </w:rPr>
        <w:t xml:space="preserve">, </w:t>
      </w:r>
      <w:r w:rsidRPr="006C4917">
        <w:rPr>
          <w:rFonts w:hint="eastAsia"/>
          <w:rtl/>
        </w:rPr>
        <w:t>פסקה</w:t>
      </w:r>
      <w:r w:rsidRPr="006C4917">
        <w:rPr>
          <w:rtl/>
        </w:rPr>
        <w:t xml:space="preserve"> 15 (4.9.2008); </w:t>
      </w:r>
      <w:r w:rsidRPr="006C4917">
        <w:rPr>
          <w:rFonts w:hint="eastAsia"/>
          <w:rtl/>
        </w:rPr>
        <w:t>בג</w:t>
      </w:r>
      <w:r w:rsidRPr="006C4917">
        <w:rPr>
          <w:rtl/>
        </w:rPr>
        <w:t>"</w:t>
      </w:r>
      <w:r w:rsidRPr="006C4917">
        <w:rPr>
          <w:rFonts w:hint="eastAsia"/>
          <w:rtl/>
        </w:rPr>
        <w:t>ץ</w:t>
      </w:r>
      <w:r w:rsidRPr="006C4917">
        <w:rPr>
          <w:rtl/>
        </w:rPr>
        <w:t xml:space="preserve"> 1893/23 </w:t>
      </w:r>
      <w:r w:rsidRPr="006C4917">
        <w:rPr>
          <w:rFonts w:ascii="Century" w:hAnsi="Century" w:cs="Miriam" w:hint="eastAsia"/>
          <w:b/>
          <w:spacing w:val="0"/>
          <w:szCs w:val="24"/>
          <w:rtl/>
        </w:rPr>
        <w:t>ארגון</w:t>
      </w:r>
      <w:r w:rsidRPr="006C4917">
        <w:rPr>
          <w:rFonts w:ascii="Century" w:hAnsi="Century" w:cs="Miriam"/>
          <w:b/>
          <w:spacing w:val="0"/>
          <w:szCs w:val="24"/>
          <w:rtl/>
        </w:rPr>
        <w:t xml:space="preserve"> </w:t>
      </w:r>
      <w:r w:rsidRPr="006C4917">
        <w:rPr>
          <w:rFonts w:ascii="Century" w:hAnsi="Century" w:cs="Miriam" w:hint="eastAsia"/>
          <w:b/>
          <w:spacing w:val="0"/>
          <w:szCs w:val="24"/>
          <w:rtl/>
        </w:rPr>
        <w:t>לביא</w:t>
      </w:r>
      <w:r w:rsidRPr="006C4917">
        <w:rPr>
          <w:rFonts w:ascii="Century" w:hAnsi="Century" w:cs="Miriam"/>
          <w:b/>
          <w:spacing w:val="0"/>
          <w:szCs w:val="24"/>
          <w:rtl/>
        </w:rPr>
        <w:t xml:space="preserve"> </w:t>
      </w:r>
      <w:r w:rsidRPr="006C4917">
        <w:rPr>
          <w:rFonts w:ascii="Century" w:hAnsi="Century" w:cs="Miriam" w:hint="eastAsia"/>
          <w:b/>
          <w:spacing w:val="0"/>
          <w:szCs w:val="24"/>
          <w:rtl/>
        </w:rPr>
        <w:t>נ</w:t>
      </w:r>
      <w:r w:rsidRPr="006C4917">
        <w:rPr>
          <w:rFonts w:ascii="Century" w:hAnsi="Century" w:cs="Miriam"/>
          <w:b/>
          <w:spacing w:val="0"/>
          <w:szCs w:val="24"/>
          <w:rtl/>
        </w:rPr>
        <w:t xml:space="preserve">' </w:t>
      </w:r>
      <w:r w:rsidRPr="006C4917">
        <w:rPr>
          <w:rFonts w:ascii="Century" w:hAnsi="Century" w:cs="Miriam" w:hint="eastAsia"/>
          <w:b/>
          <w:spacing w:val="0"/>
          <w:szCs w:val="24"/>
          <w:rtl/>
        </w:rPr>
        <w:t>היועצת</w:t>
      </w:r>
      <w:r w:rsidRPr="006C4917">
        <w:rPr>
          <w:rFonts w:ascii="Century" w:hAnsi="Century" w:cs="Miriam"/>
          <w:b/>
          <w:spacing w:val="0"/>
          <w:szCs w:val="24"/>
          <w:rtl/>
        </w:rPr>
        <w:t xml:space="preserve"> </w:t>
      </w:r>
      <w:r w:rsidRPr="006C4917">
        <w:rPr>
          <w:rFonts w:ascii="Century" w:hAnsi="Century" w:cs="Miriam" w:hint="eastAsia"/>
          <w:b/>
          <w:spacing w:val="0"/>
          <w:szCs w:val="24"/>
          <w:rtl/>
        </w:rPr>
        <w:t>המשפטית</w:t>
      </w:r>
      <w:r w:rsidRPr="006C4917">
        <w:rPr>
          <w:rFonts w:ascii="Century" w:hAnsi="Century" w:cs="Miriam"/>
          <w:b/>
          <w:spacing w:val="0"/>
          <w:szCs w:val="24"/>
          <w:rtl/>
        </w:rPr>
        <w:t xml:space="preserve"> </w:t>
      </w:r>
      <w:r w:rsidRPr="006C4917">
        <w:rPr>
          <w:rFonts w:ascii="Century" w:hAnsi="Century" w:cs="Miriam" w:hint="eastAsia"/>
          <w:b/>
          <w:spacing w:val="0"/>
          <w:szCs w:val="24"/>
          <w:rtl/>
        </w:rPr>
        <w:t>לממשלה</w:t>
      </w:r>
      <w:r w:rsidRPr="006C4917">
        <w:rPr>
          <w:rtl/>
        </w:rPr>
        <w:t xml:space="preserve">, </w:t>
      </w:r>
      <w:r w:rsidRPr="006C4917">
        <w:rPr>
          <w:rFonts w:hint="eastAsia"/>
          <w:rtl/>
        </w:rPr>
        <w:t>פסקה</w:t>
      </w:r>
      <w:r w:rsidRPr="006C4917">
        <w:rPr>
          <w:rtl/>
        </w:rPr>
        <w:t xml:space="preserve"> 3 (22.3.2023); </w:t>
      </w:r>
      <w:r w:rsidRPr="006C4917">
        <w:rPr>
          <w:rFonts w:hint="eastAsia"/>
          <w:rtl/>
        </w:rPr>
        <w:t>יצחק</w:t>
      </w:r>
      <w:r w:rsidRPr="006C4917">
        <w:rPr>
          <w:rtl/>
        </w:rPr>
        <w:t xml:space="preserve"> </w:t>
      </w:r>
      <w:r w:rsidRPr="006C4917">
        <w:rPr>
          <w:rFonts w:hint="eastAsia"/>
          <w:rtl/>
        </w:rPr>
        <w:t>זמיר</w:t>
      </w:r>
      <w:r w:rsidRPr="006C4917">
        <w:rPr>
          <w:rtl/>
        </w:rPr>
        <w:t xml:space="preserve"> "</w:t>
      </w:r>
      <w:r w:rsidRPr="006C4917">
        <w:rPr>
          <w:rFonts w:hint="eastAsia"/>
          <w:rtl/>
        </w:rPr>
        <w:t>ניגוד</w:t>
      </w:r>
      <w:r w:rsidRPr="006C4917">
        <w:rPr>
          <w:rtl/>
        </w:rPr>
        <w:t xml:space="preserve"> </w:t>
      </w:r>
      <w:r w:rsidRPr="006C4917">
        <w:rPr>
          <w:rFonts w:hint="eastAsia"/>
          <w:rtl/>
        </w:rPr>
        <w:t>עניינים</w:t>
      </w:r>
      <w:r w:rsidRPr="006C4917">
        <w:rPr>
          <w:rtl/>
        </w:rPr>
        <w:t xml:space="preserve"> </w:t>
      </w:r>
      <w:r w:rsidRPr="006C4917">
        <w:rPr>
          <w:rFonts w:hint="eastAsia"/>
          <w:rtl/>
        </w:rPr>
        <w:t>בשירות</w:t>
      </w:r>
      <w:r w:rsidRPr="006C4917">
        <w:rPr>
          <w:rtl/>
        </w:rPr>
        <w:t xml:space="preserve"> </w:t>
      </w:r>
      <w:r w:rsidRPr="006C4917">
        <w:rPr>
          <w:rFonts w:hint="eastAsia"/>
          <w:rtl/>
        </w:rPr>
        <w:t>הציבורי</w:t>
      </w:r>
      <w:r w:rsidRPr="006C4917">
        <w:rPr>
          <w:rtl/>
        </w:rPr>
        <w:t xml:space="preserve">" </w:t>
      </w:r>
      <w:r w:rsidRPr="006C4917">
        <w:rPr>
          <w:rFonts w:ascii="Century" w:hAnsi="Century" w:cs="Miriam" w:hint="eastAsia"/>
          <w:b/>
          <w:spacing w:val="0"/>
          <w:szCs w:val="24"/>
          <w:rtl/>
        </w:rPr>
        <w:t>ניגוד</w:t>
      </w:r>
      <w:r w:rsidRPr="006C4917">
        <w:rPr>
          <w:rFonts w:ascii="Century" w:hAnsi="Century" w:cs="Miriam"/>
          <w:b/>
          <w:spacing w:val="0"/>
          <w:szCs w:val="24"/>
          <w:rtl/>
        </w:rPr>
        <w:t xml:space="preserve"> </w:t>
      </w:r>
      <w:r w:rsidRPr="006C4917">
        <w:rPr>
          <w:rFonts w:ascii="Century" w:hAnsi="Century" w:cs="Miriam" w:hint="eastAsia"/>
          <w:b/>
          <w:spacing w:val="0"/>
          <w:szCs w:val="24"/>
          <w:rtl/>
        </w:rPr>
        <w:t>עניינים</w:t>
      </w:r>
      <w:r w:rsidRPr="006C4917">
        <w:rPr>
          <w:rFonts w:ascii="Century" w:hAnsi="Century" w:cs="Miriam"/>
          <w:b/>
          <w:spacing w:val="0"/>
          <w:szCs w:val="24"/>
          <w:rtl/>
        </w:rPr>
        <w:t xml:space="preserve"> </w:t>
      </w:r>
      <w:r w:rsidRPr="006C4917">
        <w:rPr>
          <w:rFonts w:ascii="Century" w:hAnsi="Century" w:cs="Miriam" w:hint="eastAsia"/>
          <w:b/>
          <w:spacing w:val="0"/>
          <w:szCs w:val="24"/>
          <w:rtl/>
        </w:rPr>
        <w:t>במרחב</w:t>
      </w:r>
      <w:r w:rsidRPr="006C4917">
        <w:rPr>
          <w:rFonts w:ascii="Century" w:hAnsi="Century" w:cs="Miriam"/>
          <w:b/>
          <w:spacing w:val="0"/>
          <w:szCs w:val="24"/>
          <w:rtl/>
        </w:rPr>
        <w:t xml:space="preserve"> </w:t>
      </w:r>
      <w:r w:rsidRPr="006C4917">
        <w:rPr>
          <w:rFonts w:ascii="Century" w:hAnsi="Century" w:cs="Miriam" w:hint="eastAsia"/>
          <w:b/>
          <w:spacing w:val="0"/>
          <w:szCs w:val="24"/>
          <w:rtl/>
        </w:rPr>
        <w:t>הציבורי</w:t>
      </w:r>
      <w:r w:rsidRPr="006C4917">
        <w:rPr>
          <w:rtl/>
        </w:rPr>
        <w:t xml:space="preserve"> 225, </w:t>
      </w:r>
      <w:r w:rsidRPr="006C4917">
        <w:rPr>
          <w:rFonts w:hint="cs"/>
          <w:rtl/>
        </w:rPr>
        <w:t>251-244</w:t>
      </w:r>
      <w:r w:rsidRPr="006C4917">
        <w:rPr>
          <w:rtl/>
        </w:rPr>
        <w:t xml:space="preserve"> (</w:t>
      </w:r>
      <w:r w:rsidRPr="006C4917">
        <w:rPr>
          <w:rFonts w:hint="eastAsia"/>
          <w:rtl/>
        </w:rPr>
        <w:t>דפנה</w:t>
      </w:r>
      <w:r w:rsidRPr="006C4917">
        <w:rPr>
          <w:rtl/>
        </w:rPr>
        <w:t xml:space="preserve"> </w:t>
      </w:r>
      <w:r w:rsidRPr="006C4917">
        <w:rPr>
          <w:rFonts w:hint="eastAsia"/>
          <w:rtl/>
        </w:rPr>
        <w:t>ברק</w:t>
      </w:r>
      <w:r w:rsidRPr="006C4917">
        <w:rPr>
          <w:rtl/>
        </w:rPr>
        <w:t>-</w:t>
      </w:r>
      <w:r w:rsidRPr="006C4917">
        <w:rPr>
          <w:rFonts w:hint="eastAsia"/>
          <w:rtl/>
        </w:rPr>
        <w:t>ארז</w:t>
      </w:r>
      <w:r w:rsidRPr="006C4917">
        <w:rPr>
          <w:rtl/>
        </w:rPr>
        <w:t xml:space="preserve">, </w:t>
      </w:r>
      <w:r w:rsidRPr="006C4917">
        <w:rPr>
          <w:rFonts w:hint="eastAsia"/>
          <w:rtl/>
        </w:rPr>
        <w:t>דורון</w:t>
      </w:r>
      <w:r w:rsidRPr="006C4917">
        <w:rPr>
          <w:rtl/>
        </w:rPr>
        <w:t xml:space="preserve"> </w:t>
      </w:r>
      <w:r w:rsidRPr="006C4917">
        <w:rPr>
          <w:rFonts w:hint="eastAsia"/>
          <w:rtl/>
        </w:rPr>
        <w:t>נבות</w:t>
      </w:r>
      <w:r w:rsidRPr="006C4917">
        <w:rPr>
          <w:rtl/>
        </w:rPr>
        <w:t xml:space="preserve"> </w:t>
      </w:r>
      <w:r w:rsidRPr="006C4917">
        <w:rPr>
          <w:rFonts w:hint="eastAsia"/>
          <w:rtl/>
        </w:rPr>
        <w:t>ומרדכי</w:t>
      </w:r>
      <w:r w:rsidRPr="006C4917">
        <w:rPr>
          <w:rtl/>
        </w:rPr>
        <w:t xml:space="preserve"> </w:t>
      </w:r>
      <w:r w:rsidRPr="006C4917">
        <w:rPr>
          <w:rFonts w:hint="eastAsia"/>
          <w:rtl/>
        </w:rPr>
        <w:t>קרמניצר</w:t>
      </w:r>
      <w:r w:rsidRPr="006C4917">
        <w:rPr>
          <w:rtl/>
        </w:rPr>
        <w:t xml:space="preserve"> </w:t>
      </w:r>
      <w:r w:rsidRPr="006C4917">
        <w:rPr>
          <w:rFonts w:hint="eastAsia"/>
          <w:rtl/>
        </w:rPr>
        <w:t>עורכים</w:t>
      </w:r>
      <w:r w:rsidRPr="006C4917">
        <w:rPr>
          <w:rFonts w:hint="cs"/>
          <w:rtl/>
        </w:rPr>
        <w:t>,</w:t>
      </w:r>
      <w:r w:rsidRPr="006C4917">
        <w:rPr>
          <w:rtl/>
        </w:rPr>
        <w:t xml:space="preserve"> 2009)</w:t>
      </w:r>
      <w:r w:rsidRPr="006C4917">
        <w:rPr>
          <w:rFonts w:hint="cs"/>
          <w:rtl/>
        </w:rPr>
        <w:t xml:space="preserve">; </w:t>
      </w:r>
      <w:r w:rsidRPr="006C4917">
        <w:rPr>
          <w:rFonts w:hint="eastAsia"/>
          <w:rtl/>
        </w:rPr>
        <w:t>דפנה</w:t>
      </w:r>
      <w:r w:rsidRPr="006C4917">
        <w:rPr>
          <w:rtl/>
        </w:rPr>
        <w:t xml:space="preserve"> </w:t>
      </w:r>
      <w:r w:rsidRPr="006C4917">
        <w:rPr>
          <w:rFonts w:hint="eastAsia"/>
          <w:rtl/>
        </w:rPr>
        <w:t>ברק</w:t>
      </w:r>
      <w:r w:rsidRPr="006C4917">
        <w:rPr>
          <w:rtl/>
        </w:rPr>
        <w:t>-</w:t>
      </w:r>
      <w:r w:rsidRPr="006C4917">
        <w:rPr>
          <w:rFonts w:hint="eastAsia"/>
          <w:rtl/>
        </w:rPr>
        <w:t>ארז</w:t>
      </w:r>
      <w:r w:rsidRPr="006C4917">
        <w:rPr>
          <w:rtl/>
        </w:rPr>
        <w:t xml:space="preserve"> </w:t>
      </w:r>
      <w:r w:rsidRPr="006C4917">
        <w:rPr>
          <w:rFonts w:ascii="Century" w:hAnsi="Century" w:cs="Miriam" w:hint="eastAsia"/>
          <w:b/>
          <w:spacing w:val="0"/>
          <w:szCs w:val="24"/>
          <w:rtl/>
        </w:rPr>
        <w:t>משפט</w:t>
      </w:r>
      <w:r w:rsidRPr="006C4917">
        <w:rPr>
          <w:rFonts w:ascii="Century" w:hAnsi="Century" w:cs="Miriam"/>
          <w:b/>
          <w:spacing w:val="0"/>
          <w:szCs w:val="24"/>
          <w:rtl/>
        </w:rPr>
        <w:t xml:space="preserve"> </w:t>
      </w:r>
      <w:r w:rsidRPr="006C4917">
        <w:rPr>
          <w:rFonts w:ascii="Century" w:hAnsi="Century" w:cs="Miriam" w:hint="eastAsia"/>
          <w:b/>
          <w:spacing w:val="0"/>
          <w:szCs w:val="24"/>
          <w:rtl/>
        </w:rPr>
        <w:t>מינהלי</w:t>
      </w:r>
      <w:r w:rsidRPr="006C4917">
        <w:rPr>
          <w:rtl/>
        </w:rPr>
        <w:t xml:space="preserve"> </w:t>
      </w:r>
      <w:r w:rsidRPr="006C4917">
        <w:rPr>
          <w:rFonts w:hint="eastAsia"/>
          <w:rtl/>
        </w:rPr>
        <w:t>כרך</w:t>
      </w:r>
      <w:r w:rsidRPr="006C4917">
        <w:rPr>
          <w:rtl/>
        </w:rPr>
        <w:t xml:space="preserve"> </w:t>
      </w:r>
      <w:r w:rsidRPr="006C4917">
        <w:rPr>
          <w:rFonts w:hint="eastAsia"/>
          <w:rtl/>
        </w:rPr>
        <w:t>א</w:t>
      </w:r>
      <w:r w:rsidRPr="006C4917">
        <w:rPr>
          <w:rtl/>
        </w:rPr>
        <w:t xml:space="preserve"> </w:t>
      </w:r>
      <w:r w:rsidRPr="006C4917">
        <w:rPr>
          <w:rFonts w:hint="cs"/>
          <w:rtl/>
        </w:rPr>
        <w:t>537-535</w:t>
      </w:r>
      <w:r w:rsidRPr="006C4917">
        <w:rPr>
          <w:rtl/>
        </w:rPr>
        <w:t>, 545 (2010)).</w:t>
      </w:r>
      <w:r w:rsidRPr="006C4917">
        <w:rPr>
          <w:rFonts w:hint="cs"/>
          <w:rtl/>
        </w:rPr>
        <w:t xml:space="preserve"> אכן, בהינתן החלטת הררי, ניגוד עניינים מוסדי זה הוא מבני, וטבוע בתורת "שני הכובעים". ואולם, הדבר מחייב פיקוח שיפוטי על פעולת הכנסת בכובעה המכונן </w:t>
      </w:r>
      <w:r w:rsidRPr="006C4917">
        <w:rPr>
          <w:rtl/>
        </w:rPr>
        <w:t>–</w:t>
      </w:r>
      <w:r w:rsidRPr="006C4917">
        <w:rPr>
          <w:rFonts w:hint="cs"/>
          <w:rtl/>
        </w:rPr>
        <w:t xml:space="preserve"> פיקוח שיפוטי שהצורך בו, כך נדמה, הולך וגובר ככל ששימוש הכנסת בכלי של תיקון ושינוי חוקי יסוד הופך נפוץ ותדיר יותר (וראו גם פסקאות 26-22 לחוות דעתה של חברתי, השופטת </w:t>
      </w:r>
      <w:r w:rsidRPr="006C4917">
        <w:rPr>
          <w:rFonts w:ascii="Century" w:hAnsi="Century" w:cs="Miriam" w:hint="cs"/>
          <w:b/>
          <w:spacing w:val="0"/>
          <w:sz w:val="22"/>
          <w:szCs w:val="24"/>
          <w:rtl/>
        </w:rPr>
        <w:t>רות רונן</w:t>
      </w:r>
      <w:r w:rsidRPr="006C4917">
        <w:rPr>
          <w:rFonts w:ascii="Century" w:hAnsi="Century" w:hint="cs"/>
          <w:sz w:val="22"/>
          <w:rtl/>
        </w:rPr>
        <w:t>, המרחיבה ומפתחת טיעון זה</w:t>
      </w:r>
      <w:r w:rsidRPr="006C4917">
        <w:rPr>
          <w:rFonts w:hint="cs"/>
          <w:rtl/>
        </w:rPr>
        <w:t>). נמנה אני, אם כן, על אלה הסבורים כי "</w:t>
      </w:r>
      <w:r w:rsidRPr="006C4917">
        <w:rPr>
          <w:rFonts w:ascii="Century" w:hAnsi="Century" w:cs="Miriam" w:hint="cs"/>
          <w:b/>
          <w:spacing w:val="0"/>
          <w:szCs w:val="24"/>
          <w:rtl/>
        </w:rPr>
        <w:t xml:space="preserve">אי-השלמת המפעל החוקתי הישראלי, אינה מקשה על החלת ביקורת שיפוטית על חוקי יסוד, אלא להיפך </w:t>
      </w:r>
      <w:r w:rsidRPr="006C4917">
        <w:rPr>
          <w:rFonts w:ascii="Century" w:hAnsi="Century" w:cs="Miriam"/>
          <w:b/>
          <w:spacing w:val="0"/>
          <w:szCs w:val="24"/>
          <w:rtl/>
        </w:rPr>
        <w:t>–</w:t>
      </w:r>
      <w:r w:rsidRPr="006C4917">
        <w:rPr>
          <w:rFonts w:ascii="Century" w:hAnsi="Century" w:cs="Miriam" w:hint="cs"/>
          <w:b/>
          <w:spacing w:val="0"/>
          <w:szCs w:val="24"/>
          <w:rtl/>
        </w:rPr>
        <w:t xml:space="preserve"> מהווה טעם נוסף להחלתה</w:t>
      </w:r>
      <w:r w:rsidRPr="006C4917">
        <w:rPr>
          <w:rFonts w:hint="cs"/>
          <w:rtl/>
        </w:rPr>
        <w:t xml:space="preserve">" (פסקה 13 לחוות דעת של השופטת </w:t>
      </w:r>
      <w:r w:rsidRPr="006C4917">
        <w:rPr>
          <w:rFonts w:ascii="Century" w:hAnsi="Century" w:cs="Miriam" w:hint="cs"/>
          <w:b/>
          <w:spacing w:val="0"/>
          <w:sz w:val="22"/>
          <w:szCs w:val="24"/>
          <w:rtl/>
        </w:rPr>
        <w:t>גילה</w:t>
      </w:r>
      <w:r w:rsidRPr="006C4917">
        <w:rPr>
          <w:rtl/>
        </w:rPr>
        <w:t xml:space="preserve"> </w:t>
      </w:r>
      <w:r w:rsidRPr="006C4917">
        <w:rPr>
          <w:rFonts w:ascii="Century" w:hAnsi="Century" w:cs="Miriam" w:hint="eastAsia"/>
          <w:b/>
          <w:spacing w:val="0"/>
          <w:sz w:val="22"/>
          <w:szCs w:val="24"/>
          <w:rtl/>
        </w:rPr>
        <w:t>כנפי</w:t>
      </w:r>
      <w:r w:rsidRPr="006C4917">
        <w:rPr>
          <w:rFonts w:ascii="Century" w:hAnsi="Century" w:cs="Miriam" w:hint="cs"/>
          <w:b/>
          <w:spacing w:val="0"/>
          <w:sz w:val="22"/>
          <w:szCs w:val="24"/>
          <w:rtl/>
        </w:rPr>
        <w:t>-</w:t>
      </w:r>
      <w:r w:rsidRPr="006C4917">
        <w:rPr>
          <w:rFonts w:ascii="Century" w:hAnsi="Century" w:cs="Miriam" w:hint="eastAsia"/>
          <w:b/>
          <w:spacing w:val="0"/>
          <w:sz w:val="22"/>
          <w:szCs w:val="24"/>
          <w:rtl/>
        </w:rPr>
        <w:t>שטייניץ</w:t>
      </w:r>
      <w:r w:rsidRPr="006C4917">
        <w:rPr>
          <w:rFonts w:hint="cs"/>
          <w:rtl/>
        </w:rPr>
        <w:t>.</w:t>
      </w:r>
      <w:r w:rsidRPr="006C4917">
        <w:rPr>
          <w:rtl/>
        </w:rPr>
        <w:t xml:space="preserve"> וראו גם פסקה 33</w:t>
      </w:r>
      <w:r w:rsidRPr="006C4917">
        <w:rPr>
          <w:rFonts w:hint="cs"/>
          <w:rtl/>
        </w:rPr>
        <w:t xml:space="preserve"> לחוות דעתו של השופט </w:t>
      </w:r>
      <w:r w:rsidRPr="006C4917">
        <w:rPr>
          <w:rFonts w:ascii="Century" w:hAnsi="Century" w:cs="Miriam" w:hint="cs"/>
          <w:b/>
          <w:spacing w:val="0"/>
          <w:sz w:val="22"/>
          <w:szCs w:val="24"/>
          <w:rtl/>
        </w:rPr>
        <w:t>עמית</w:t>
      </w:r>
      <w:r w:rsidRPr="006C4917">
        <w:rPr>
          <w:rFonts w:hint="cs"/>
          <w:rtl/>
        </w:rPr>
        <w:t xml:space="preserve"> ופסקה 5 לחוות דעת השופטת (בדימ') </w:t>
      </w:r>
      <w:r w:rsidRPr="006C4917">
        <w:rPr>
          <w:rFonts w:ascii="Century" w:hAnsi="Century" w:cs="Miriam" w:hint="cs"/>
          <w:b/>
          <w:spacing w:val="0"/>
          <w:sz w:val="22"/>
          <w:szCs w:val="24"/>
          <w:rtl/>
        </w:rPr>
        <w:t>ענת ברון</w:t>
      </w:r>
      <w:r w:rsidRPr="006C4917">
        <w:rPr>
          <w:rFonts w:hint="cs"/>
          <w:rtl/>
        </w:rPr>
        <w:t>)).</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הצטרפות כל אלה, העיגון הדוקטרינרי לסמכות בג</w:t>
      </w:r>
      <w:r w:rsidRPr="006C4917">
        <w:rPr>
          <w:rtl/>
        </w:rPr>
        <w:t>"</w:t>
      </w:r>
      <w:r w:rsidRPr="006C4917">
        <w:rPr>
          <w:rFonts w:hint="cs"/>
          <w:rtl/>
        </w:rPr>
        <w:t xml:space="preserve">ץ לפקח על עמידת הכנסת במגבלות המוטלות עליה בכובעה המכונן, מזה, וההצדקות המהותיות המלמדות על הצורך בפיקוח שכזה, בוודאי בתקופה בה לפנינו "חוקה שבהתהוות", מזה, מביאים אותי למסקנה כי יש להכיר בכך שסמכות בג"ץ לפקח על הליך כינונם של חוקי היסוד משתרעת על כל המגבלות המוטלות על הפעלת הסמכות המכוננת על ידי הכנסת </w:t>
      </w:r>
      <w:r w:rsidRPr="006C4917">
        <w:rPr>
          <w:rtl/>
        </w:rPr>
        <w:t>–</w:t>
      </w:r>
      <w:r w:rsidRPr="006C4917">
        <w:rPr>
          <w:rFonts w:hint="cs"/>
          <w:rtl/>
        </w:rPr>
        <w:t xml:space="preserve"> מגבלת התקינות, מגבלת האמון ומגבלת הסמכות.</w:t>
      </w:r>
    </w:p>
    <w:p w:rsidR="003D7BFC" w:rsidRPr="006C4917" w:rsidRDefault="003D7BFC" w:rsidP="003D7BFC">
      <w:pPr>
        <w:pStyle w:val="Ruller41"/>
        <w:rPr>
          <w:rFonts w:ascii="Century" w:hAnsi="Century"/>
        </w:rPr>
      </w:pPr>
    </w:p>
    <w:p w:rsidR="003D7BFC" w:rsidRPr="006C4917" w:rsidRDefault="003D7BFC" w:rsidP="003D7BFC">
      <w:pPr>
        <w:pStyle w:val="Ruller4"/>
        <w:rPr>
          <w:rtl/>
        </w:rPr>
      </w:pPr>
      <w:r w:rsidRPr="006C4917">
        <w:rPr>
          <w:rFonts w:hint="cs"/>
          <w:rtl/>
        </w:rPr>
        <w:t xml:space="preserve">ויודגש: סמכות לחוד </w:t>
      </w:r>
      <w:r w:rsidRPr="006C4917">
        <w:rPr>
          <w:rtl/>
        </w:rPr>
        <w:t>–</w:t>
      </w:r>
      <w:r w:rsidRPr="006C4917">
        <w:rPr>
          <w:rFonts w:hint="cs"/>
          <w:rtl/>
        </w:rPr>
        <w:t xml:space="preserve"> ושיקול דעת לחוד. כפי שנפסק בעבר "</w:t>
      </w:r>
      <w:r w:rsidRPr="006C4917">
        <w:rPr>
          <w:rFonts w:cs="Miriam" w:hint="cs"/>
          <w:b/>
          <w:spacing w:val="0"/>
          <w:szCs w:val="24"/>
          <w:rtl/>
        </w:rPr>
        <w:t xml:space="preserve">יש להבחין בין </w:t>
      </w:r>
      <w:r w:rsidRPr="006C4917">
        <w:rPr>
          <w:rFonts w:cs="Miriam" w:hint="eastAsia"/>
          <w:bCs/>
          <w:spacing w:val="0"/>
          <w:szCs w:val="24"/>
          <w:rtl/>
        </w:rPr>
        <w:t>עצם</w:t>
      </w:r>
      <w:r w:rsidRPr="006C4917">
        <w:rPr>
          <w:rFonts w:cs="Miriam"/>
          <w:bCs/>
          <w:spacing w:val="0"/>
          <w:szCs w:val="24"/>
          <w:rtl/>
        </w:rPr>
        <w:t xml:space="preserve"> </w:t>
      </w:r>
      <w:r w:rsidRPr="006C4917">
        <w:rPr>
          <w:rFonts w:cs="Miriam" w:hint="eastAsia"/>
          <w:bCs/>
          <w:spacing w:val="0"/>
          <w:szCs w:val="24"/>
          <w:rtl/>
        </w:rPr>
        <w:t>קיומה</w:t>
      </w:r>
      <w:r w:rsidRPr="006C4917">
        <w:rPr>
          <w:rFonts w:cs="Miriam" w:hint="cs"/>
          <w:b/>
          <w:spacing w:val="0"/>
          <w:szCs w:val="24"/>
          <w:rtl/>
        </w:rPr>
        <w:t xml:space="preserve"> של הסמכות של בית המשפט הגבוה לצדק לבין </w:t>
      </w:r>
      <w:r w:rsidRPr="006C4917">
        <w:rPr>
          <w:rFonts w:cs="Miriam" w:hint="eastAsia"/>
          <w:bCs/>
          <w:spacing w:val="0"/>
          <w:szCs w:val="24"/>
          <w:rtl/>
        </w:rPr>
        <w:t>דרך</w:t>
      </w:r>
      <w:r w:rsidRPr="006C4917">
        <w:rPr>
          <w:rFonts w:cs="Miriam"/>
          <w:bCs/>
          <w:spacing w:val="0"/>
          <w:szCs w:val="24"/>
          <w:rtl/>
        </w:rPr>
        <w:t xml:space="preserve"> </w:t>
      </w:r>
      <w:r w:rsidRPr="006C4917">
        <w:rPr>
          <w:rFonts w:cs="Miriam" w:hint="eastAsia"/>
          <w:bCs/>
          <w:spacing w:val="0"/>
          <w:szCs w:val="24"/>
          <w:rtl/>
        </w:rPr>
        <w:t>הפעלתה</w:t>
      </w:r>
      <w:r w:rsidRPr="006C4917">
        <w:rPr>
          <w:rFonts w:hint="cs"/>
          <w:rtl/>
        </w:rPr>
        <w:t xml:space="preserve">" (בג"ץ 325/85 </w:t>
      </w:r>
      <w:r w:rsidRPr="006C4917">
        <w:rPr>
          <w:rFonts w:ascii="Century" w:hAnsi="Century" w:cs="Miriam" w:hint="cs"/>
          <w:b/>
          <w:spacing w:val="0"/>
          <w:sz w:val="22"/>
          <w:szCs w:val="24"/>
          <w:rtl/>
        </w:rPr>
        <w:t>מיערי נ' יו"ר הכנסת</w:t>
      </w:r>
      <w:r w:rsidRPr="006C4917">
        <w:rPr>
          <w:rFonts w:hint="cs"/>
          <w:rtl/>
        </w:rPr>
        <w:t xml:space="preserve">, פ"ד לט(3) 122, 129 (1985) (להלן: </w:t>
      </w:r>
      <w:r w:rsidRPr="006C4917">
        <w:rPr>
          <w:rFonts w:ascii="Century" w:hAnsi="Century" w:cs="Miriam" w:hint="eastAsia"/>
          <w:b/>
          <w:spacing w:val="0"/>
          <w:sz w:val="22"/>
          <w:szCs w:val="24"/>
          <w:rtl/>
        </w:rPr>
        <w:t>עניין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מיערי</w:t>
      </w:r>
      <w:r w:rsidRPr="006C4917">
        <w:rPr>
          <w:rFonts w:hint="cs"/>
          <w:rtl/>
        </w:rPr>
        <w:t xml:space="preserve">); בג"ץ 9070/00 </w:t>
      </w:r>
      <w:r w:rsidRPr="006C4917">
        <w:rPr>
          <w:rFonts w:cs="Miriam" w:hint="cs"/>
          <w:b/>
          <w:spacing w:val="0"/>
          <w:szCs w:val="24"/>
          <w:rtl/>
        </w:rPr>
        <w:t>ח"כ לבנת נ' ח"כ רובינשטיין</w:t>
      </w:r>
      <w:r w:rsidRPr="006C4917">
        <w:rPr>
          <w:rFonts w:hint="cs"/>
          <w:rtl/>
        </w:rPr>
        <w:t xml:space="preserve">, פ"ד נה(4) 800, 809 (2001); ההדגשות במקור). כאשר </w:t>
      </w:r>
      <w:r w:rsidRPr="006C4917">
        <w:rPr>
          <w:rFonts w:hint="cs"/>
          <w:rtl/>
        </w:rPr>
        <w:lastRenderedPageBreak/>
        <w:t>עסקינן בביקורת על הכנסת, "</w:t>
      </w:r>
      <w:r w:rsidRPr="006C4917">
        <w:rPr>
          <w:rFonts w:cs="Miriam" w:hint="cs"/>
          <w:b/>
          <w:spacing w:val="0"/>
          <w:szCs w:val="24"/>
          <w:rtl/>
        </w:rPr>
        <w:t>בית הנבחרים של המדינה</w:t>
      </w:r>
      <w:r w:rsidRPr="006C4917">
        <w:rPr>
          <w:rFonts w:hint="cs"/>
          <w:rtl/>
        </w:rPr>
        <w:t xml:space="preserve">" (סעיף 1 לחוק-יסוד: הכנסת), ובכלל זה, בפועלה כמכונן החוקה, אין ספק כי עלינו לנקוט בריסון רב. ריסון זה, בין היתר, הביא לכך שסמכותו הנזכרת של בית המשפט לפקח על יצירת חוקי היסוד ותיקונם לא הופעלה עד היום. אכן, הביקורת השיפוטית על הכנסת על ידי בית משפט זה נעשית בדחילו ורחימו, תוך הקפדה יתרה על כבוד ראוי בין הרשויות. כך, הן כאשר הכנסת פועלת כרשות המחוקקת; וביתר שאת כאשר הכנסת פועלת כרשות המכוננת. ואולם, כפי שהוזכר בפסיקות עבר לא אחת, הריסון האמור מחייב הדדיות. בהקשר החוקתי, משמעה של הדדיות זו הוא כי הכנסת, בכובעה כרשות המכוננת, נדרשת לנהוג בכבוד הראוי, וזאת הן כלפי העבר, הן בהינתן ההווה והן ביחס לעתיד: </w:t>
      </w:r>
      <w:r w:rsidRPr="006C4917">
        <w:rPr>
          <w:rFonts w:ascii="Century" w:hAnsi="Century" w:cs="Miriam" w:hint="eastAsia"/>
          <w:b/>
          <w:spacing w:val="0"/>
          <w:sz w:val="22"/>
          <w:szCs w:val="24"/>
          <w:rtl/>
        </w:rPr>
        <w:t>כלפי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העבר</w:t>
      </w:r>
      <w:r w:rsidRPr="006C4917">
        <w:rPr>
          <w:rFonts w:hint="cs"/>
          <w:rtl/>
        </w:rPr>
        <w:t xml:space="preserve">, בכך שתיתן ערך הולם לכנסות הקודמות אשר עשו במלאכה לפניה; </w:t>
      </w:r>
      <w:r w:rsidRPr="006C4917">
        <w:rPr>
          <w:rFonts w:ascii="Century" w:hAnsi="Century" w:cs="Miriam" w:hint="eastAsia"/>
          <w:b/>
          <w:spacing w:val="0"/>
          <w:sz w:val="22"/>
          <w:szCs w:val="24"/>
          <w:rtl/>
        </w:rPr>
        <w:t>בהינתן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ההווה</w:t>
      </w:r>
      <w:r w:rsidRPr="006C4917">
        <w:rPr>
          <w:rFonts w:hint="cs"/>
          <w:rtl/>
        </w:rPr>
        <w:t xml:space="preserve">, בכך שתימנע מלהתחשב בשיקולים פוליטיים צרים ומזדמנים, ותפעל במטרה ליצור הסדר הנהנה מהסכמה רחבה; </w:t>
      </w:r>
      <w:r w:rsidRPr="006C4917">
        <w:rPr>
          <w:rFonts w:ascii="Century" w:hAnsi="Century" w:cs="Miriam" w:hint="eastAsia"/>
          <w:b/>
          <w:spacing w:val="0"/>
          <w:sz w:val="22"/>
          <w:szCs w:val="24"/>
          <w:rtl/>
        </w:rPr>
        <w:t>וביחס</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לעתיד</w:t>
      </w:r>
      <w:r w:rsidRPr="006C4917">
        <w:rPr>
          <w:rFonts w:hint="cs"/>
          <w:rtl/>
        </w:rPr>
        <w:t xml:space="preserve">, בכך שתקבע את עקרונותיה החוקתיים של המדינה באופן המיטבי בראיית הדורות הבאים. בהקשר זה, אין לי אלא להביא מדבריו של המשנה לנשיאה (בדימ') </w:t>
      </w:r>
      <w:r w:rsidRPr="006C4917">
        <w:rPr>
          <w:rFonts w:cs="Miriam" w:hint="cs"/>
          <w:b/>
          <w:spacing w:val="0"/>
          <w:szCs w:val="24"/>
          <w:rtl/>
        </w:rPr>
        <w:t>אליקים רובינשטיין</w:t>
      </w:r>
      <w:r w:rsidRPr="006C4917">
        <w:rPr>
          <w:rFonts w:hint="cs"/>
          <w:rtl/>
        </w:rPr>
        <w:t>:</w:t>
      </w:r>
    </w:p>
    <w:p w:rsidR="003D7BFC" w:rsidRPr="006C4917" w:rsidRDefault="003D7BFC" w:rsidP="003D7BFC">
      <w:pPr>
        <w:pStyle w:val="Ruller41"/>
        <w:rPr>
          <w:rFonts w:ascii="Century" w:hAnsi="Century"/>
        </w:rPr>
      </w:pPr>
    </w:p>
    <w:p w:rsidR="003D7BFC" w:rsidRPr="006C4917" w:rsidRDefault="003D7BFC" w:rsidP="003D7BFC">
      <w:pPr>
        <w:pStyle w:val="Ruller5"/>
        <w:rPr>
          <w:rtl/>
        </w:rPr>
      </w:pPr>
      <w:r w:rsidRPr="006C4917">
        <w:rPr>
          <w:rFonts w:hint="cs"/>
          <w:rtl/>
        </w:rPr>
        <w:t xml:space="preserve">הריסון אותה נוקטת הרשות המכוננת בתיקון החוקה מחייב גם ריסון מצד בית המשפט; ואולם נדמה שההמשך הטבעי לדברים אלה, הוא שככל שהרשות המכוננת אינה נוקטת היא עצמה ריסון של ממש בבואה לתקן את עקרונותיה החוקתיים של המדינה, נכונותו של בית המשפט לבקרה </w:t>
      </w:r>
      <w:r w:rsidRPr="006C4917">
        <w:rPr>
          <w:rtl/>
        </w:rPr>
        <w:t>–</w:t>
      </w:r>
      <w:r w:rsidRPr="006C4917">
        <w:rPr>
          <w:rFonts w:hint="cs"/>
          <w:rtl/>
        </w:rPr>
        <w:t xml:space="preserve"> רחבה יותר [...] (עניין </w:t>
      </w:r>
      <w:r w:rsidRPr="006C4917">
        <w:rPr>
          <w:rFonts w:ascii="Century" w:hAnsi="Century" w:cs="Miriam" w:hint="eastAsia"/>
          <w:b/>
          <w:spacing w:val="0"/>
          <w:szCs w:val="24"/>
          <w:rtl/>
        </w:rPr>
        <w:t>המרכז</w:t>
      </w:r>
      <w:r w:rsidRPr="006C4917">
        <w:rPr>
          <w:rFonts w:ascii="Century" w:hAnsi="Century" w:cs="Miriam"/>
          <w:b/>
          <w:spacing w:val="0"/>
          <w:szCs w:val="24"/>
          <w:rtl/>
        </w:rPr>
        <w:t xml:space="preserve"> </w:t>
      </w:r>
      <w:r w:rsidRPr="006C4917">
        <w:rPr>
          <w:rFonts w:ascii="Century" w:hAnsi="Century" w:cs="Miriam" w:hint="eastAsia"/>
          <w:b/>
          <w:spacing w:val="0"/>
          <w:szCs w:val="24"/>
          <w:rtl/>
        </w:rPr>
        <w:t>האקדמי</w:t>
      </w:r>
      <w:r w:rsidRPr="006C4917">
        <w:rPr>
          <w:rFonts w:hint="cs"/>
          <w:rtl/>
        </w:rPr>
        <w:t xml:space="preserve">, פסקה ל"ה לחוות דעתו של המשנה לנשיאה (בדימ') </w:t>
      </w:r>
      <w:r w:rsidRPr="006C4917">
        <w:rPr>
          <w:rFonts w:ascii="Century" w:hAnsi="Century" w:cs="Miriam" w:hint="eastAsia"/>
          <w:b/>
          <w:spacing w:val="0"/>
          <w:szCs w:val="24"/>
          <w:rtl/>
        </w:rPr>
        <w:t>אליקים</w:t>
      </w:r>
      <w:r w:rsidRPr="006C4917">
        <w:rPr>
          <w:rFonts w:ascii="Century" w:hAnsi="Century" w:cs="Miriam"/>
          <w:b/>
          <w:spacing w:val="0"/>
          <w:szCs w:val="24"/>
          <w:rtl/>
        </w:rPr>
        <w:t xml:space="preserve"> </w:t>
      </w:r>
      <w:r w:rsidRPr="006C4917">
        <w:rPr>
          <w:rFonts w:ascii="Century" w:hAnsi="Century" w:cs="Miriam" w:hint="eastAsia"/>
          <w:b/>
          <w:spacing w:val="0"/>
          <w:szCs w:val="24"/>
          <w:rtl/>
        </w:rPr>
        <w:t>רובינשטיין</w:t>
      </w:r>
      <w:r w:rsidRPr="006C4917">
        <w:rPr>
          <w:rFonts w:hint="cs"/>
          <w:rtl/>
        </w:rPr>
        <w:t xml:space="preserve"> (6.9.2017). ראו גם: </w:t>
      </w:r>
      <w:r w:rsidRPr="006C4917">
        <w:rPr>
          <w:rFonts w:asciiTheme="majorBidi" w:hAnsiTheme="majorBidi"/>
          <w:sz w:val="24"/>
        </w:rPr>
        <w:t xml:space="preserve">Suzie Navot &amp; Yaniv Roznai </w:t>
      </w:r>
      <w:r w:rsidRPr="006C4917">
        <w:rPr>
          <w:rFonts w:asciiTheme="majorBidi" w:hAnsiTheme="majorBidi"/>
          <w:i/>
          <w:sz w:val="24"/>
        </w:rPr>
        <w:t>From Supra-Constitutional Principles to The Misuse of Constituent Power in Israel</w:t>
      </w:r>
      <w:r w:rsidRPr="006C4917">
        <w:rPr>
          <w:rFonts w:asciiTheme="majorBidi" w:hAnsiTheme="majorBidi"/>
          <w:sz w:val="24"/>
        </w:rPr>
        <w:t>, 21</w:t>
      </w:r>
      <w:r w:rsidRPr="006C4917">
        <w:rPr>
          <w:rFonts w:asciiTheme="majorBidi" w:hAnsiTheme="majorBidi"/>
          <w:smallCaps/>
          <w:sz w:val="24"/>
        </w:rPr>
        <w:t xml:space="preserve"> Eur. J.L. Reform</w:t>
      </w:r>
      <w:r w:rsidRPr="006C4917">
        <w:rPr>
          <w:rFonts w:asciiTheme="majorBidi" w:hAnsiTheme="majorBidi"/>
          <w:sz w:val="24"/>
        </w:rPr>
        <w:t xml:space="preserve"> 403, 421-422 (2019)</w:t>
      </w:r>
      <w:r w:rsidRPr="006C4917">
        <w:rPr>
          <w:rFonts w:hint="cs"/>
          <w:rtl/>
        </w:rPr>
        <w:t>).</w:t>
      </w:r>
    </w:p>
    <w:p w:rsidR="003D7BFC" w:rsidRPr="006C4917" w:rsidRDefault="003D7BFC" w:rsidP="003D7BFC">
      <w:pPr>
        <w:pStyle w:val="Ruller41"/>
        <w:rPr>
          <w:rFonts w:ascii="Century" w:hAnsi="Century"/>
          <w:rtl/>
        </w:rPr>
      </w:pPr>
    </w:p>
    <w:p w:rsidR="003D7BFC" w:rsidRPr="006C4917" w:rsidRDefault="003D7BFC" w:rsidP="003D7BFC">
      <w:pPr>
        <w:pStyle w:val="Ruller41"/>
        <w:rPr>
          <w:rFonts w:ascii="Century" w:hAnsi="Century"/>
          <w:rtl/>
        </w:rPr>
      </w:pPr>
    </w:p>
    <w:p w:rsidR="003D7BFC" w:rsidRPr="006C4917" w:rsidRDefault="003D7BFC" w:rsidP="003D7BFC">
      <w:pPr>
        <w:pStyle w:val="Ruller41"/>
        <w:keepNext/>
        <w:rPr>
          <w:rFonts w:ascii="Century" w:hAnsi="Century" w:cs="Miriam"/>
          <w:b/>
          <w:spacing w:val="0"/>
          <w:szCs w:val="24"/>
          <w:rtl/>
        </w:rPr>
      </w:pPr>
      <w:r w:rsidRPr="006C4917">
        <w:rPr>
          <w:rFonts w:ascii="Century" w:hAnsi="Century" w:cs="Miriam" w:hint="cs"/>
          <w:b/>
          <w:spacing w:val="0"/>
          <w:szCs w:val="24"/>
          <w:rtl/>
        </w:rPr>
        <w:t>העמדות הכופרות בסמכות בג״ץ לבקר חוקי יסוד</w:t>
      </w:r>
    </w:p>
    <w:p w:rsidR="003D7BFC" w:rsidRPr="006C4917" w:rsidRDefault="003D7BFC" w:rsidP="00EC44D7">
      <w:pPr>
        <w:pStyle w:val="Ruller41"/>
        <w:keepNext/>
        <w:spacing w:line="276" w:lineRule="auto"/>
        <w:rPr>
          <w:rFonts w:ascii="Century" w:hAnsi="Century"/>
        </w:rPr>
      </w:pPr>
      <w:r w:rsidRPr="006C4917">
        <w:rPr>
          <w:rFonts w:ascii="Century" w:hAnsi="Century"/>
          <w:rtl/>
        </w:rPr>
        <w:tab/>
      </w:r>
    </w:p>
    <w:p w:rsidR="003D7BFC" w:rsidRPr="006C4917" w:rsidRDefault="0053004E" w:rsidP="0053004E">
      <w:pPr>
        <w:pStyle w:val="Ruller4"/>
        <w:keepNext/>
        <w:numPr>
          <w:ilvl w:val="0"/>
          <w:numId w:val="0"/>
        </w:numPr>
        <w:rPr>
          <w:rFonts w:ascii="Century" w:hAnsi="Century"/>
          <w:sz w:val="22"/>
          <w:rtl/>
        </w:rPr>
      </w:pPr>
      <w:r>
        <w:rPr>
          <w:rFonts w:ascii="Century" w:hAnsi="Century" w:hint="cs"/>
          <w:sz w:val="22"/>
          <w:rtl/>
        </w:rPr>
        <w:t>61</w:t>
      </w:r>
      <w:r w:rsidR="003D7BFC" w:rsidRPr="006C4917">
        <w:rPr>
          <w:rFonts w:ascii="Century" w:hAnsi="Century" w:hint="cs"/>
          <w:sz w:val="22"/>
          <w:rtl/>
        </w:rPr>
        <w:t xml:space="preserve">א. </w:t>
      </w:r>
      <w:r w:rsidR="003D7BFC" w:rsidRPr="006C4917">
        <w:rPr>
          <w:rFonts w:ascii="Century" w:hAnsi="Century" w:hint="cs"/>
          <w:sz w:val="22"/>
          <w:rtl/>
        </w:rPr>
        <w:tab/>
        <w:t xml:space="preserve">כאשר כתבתי את עיקר חוות דעתי, עמדו לפניי רק חלק מחוות הדעת של חברותיי וחבריי. עתה, משהושלמה המלאכה, וכל שופטי המותב הביעו דעתם, אבקש להוסיף התייחסות קצרה לעמדות שני השופטים הכופרים בסמכות בית משפט זה להעמיד לביקורת שיפוטית את פעולת הכנסת כרשות המכוננת </w:t>
      </w:r>
      <w:r w:rsidR="003D7BFC" w:rsidRPr="006C4917">
        <w:rPr>
          <w:rFonts w:ascii="Century" w:hAnsi="Century"/>
          <w:sz w:val="22"/>
          <w:rtl/>
        </w:rPr>
        <w:t>–</w:t>
      </w:r>
      <w:r w:rsidR="003D7BFC" w:rsidRPr="006C4917">
        <w:rPr>
          <w:rFonts w:ascii="Century" w:hAnsi="Century" w:hint="cs"/>
          <w:sz w:val="22"/>
          <w:rtl/>
        </w:rPr>
        <w:t xml:space="preserve"> חבריי, השופטים </w:t>
      </w:r>
      <w:r w:rsidR="003D7BFC" w:rsidRPr="006C4917">
        <w:rPr>
          <w:rFonts w:ascii="Century" w:hAnsi="Century" w:cs="Miriam" w:hint="cs"/>
          <w:b/>
          <w:spacing w:val="0"/>
          <w:sz w:val="22"/>
          <w:szCs w:val="24"/>
          <w:rtl/>
        </w:rPr>
        <w:t>סולברג</w:t>
      </w:r>
      <w:r w:rsidR="003D7BFC" w:rsidRPr="006C4917">
        <w:rPr>
          <w:rFonts w:ascii="Century" w:hAnsi="Century" w:hint="cs"/>
          <w:sz w:val="22"/>
          <w:rtl/>
        </w:rPr>
        <w:t xml:space="preserve"> ו</w:t>
      </w:r>
      <w:r w:rsidR="003D7BFC" w:rsidRPr="006C4917">
        <w:rPr>
          <w:rFonts w:ascii="Century" w:hAnsi="Century" w:cs="Miriam" w:hint="cs"/>
          <w:b/>
          <w:spacing w:val="0"/>
          <w:sz w:val="22"/>
          <w:szCs w:val="24"/>
          <w:rtl/>
        </w:rPr>
        <w:t>מינץ</w:t>
      </w:r>
      <w:r w:rsidR="003D7BFC" w:rsidRPr="006C4917">
        <w:rPr>
          <w:rFonts w:ascii="Century" w:hAnsi="Century" w:hint="cs"/>
          <w:sz w:val="22"/>
          <w:rtl/>
        </w:rPr>
        <w:t xml:space="preserve">. </w:t>
      </w:r>
    </w:p>
    <w:p w:rsidR="003D7BFC" w:rsidRPr="006C4917" w:rsidRDefault="003D7BFC" w:rsidP="003D7BFC">
      <w:pPr>
        <w:pStyle w:val="Ruller41"/>
        <w:rPr>
          <w:rFonts w:ascii="Century" w:hAnsi="Century"/>
          <w:rtl/>
        </w:rPr>
      </w:pPr>
    </w:p>
    <w:p w:rsidR="003D7BFC" w:rsidRPr="006C4917" w:rsidRDefault="0053004E" w:rsidP="0053004E">
      <w:pPr>
        <w:pStyle w:val="Ruller4"/>
        <w:numPr>
          <w:ilvl w:val="0"/>
          <w:numId w:val="0"/>
        </w:numPr>
        <w:rPr>
          <w:rFonts w:ascii="Century" w:hAnsi="Century"/>
          <w:sz w:val="22"/>
          <w:rtl/>
        </w:rPr>
      </w:pPr>
      <w:r>
        <w:rPr>
          <w:rFonts w:ascii="Century" w:hAnsi="Century" w:hint="cs"/>
          <w:sz w:val="22"/>
          <w:rtl/>
        </w:rPr>
        <w:t>61</w:t>
      </w:r>
      <w:r w:rsidR="003D7BFC" w:rsidRPr="006C4917">
        <w:rPr>
          <w:rFonts w:ascii="Century" w:hAnsi="Century" w:hint="cs"/>
          <w:sz w:val="22"/>
          <w:rtl/>
        </w:rPr>
        <w:t>ב.</w:t>
      </w:r>
      <w:r w:rsidR="003D7BFC" w:rsidRPr="006C4917">
        <w:rPr>
          <w:rFonts w:ascii="Century" w:hAnsi="Century" w:hint="cs"/>
          <w:sz w:val="22"/>
          <w:rtl/>
        </w:rPr>
        <w:tab/>
        <w:t xml:space="preserve">כבר בראשית ההתייחסות ראוי להדגיש כי רוב גדול של שופטי ההרכב, 12 מתוך 15 שופטי המותב (דהיינו 80%) קובעים במפורש כי לבית משפט זה יש סמכות לבקר </w:t>
      </w:r>
      <w:r w:rsidR="003D7BFC" w:rsidRPr="006C4917">
        <w:rPr>
          <w:rFonts w:ascii="Century" w:hAnsi="Century" w:hint="cs"/>
          <w:sz w:val="22"/>
          <w:rtl/>
        </w:rPr>
        <w:lastRenderedPageBreak/>
        <w:t xml:space="preserve">חוקי יסוד (שופט נוסף, השופט </w:t>
      </w:r>
      <w:r w:rsidR="003D7BFC" w:rsidRPr="006C4917">
        <w:rPr>
          <w:rFonts w:ascii="Century" w:hAnsi="Century" w:cs="Miriam" w:hint="cs"/>
          <w:b/>
          <w:spacing w:val="0"/>
          <w:sz w:val="22"/>
          <w:szCs w:val="24"/>
          <w:rtl/>
        </w:rPr>
        <w:t>אלרון</w:t>
      </w:r>
      <w:r w:rsidR="003D7BFC" w:rsidRPr="006C4917">
        <w:rPr>
          <w:rFonts w:ascii="Century" w:hAnsi="Century" w:hint="cs"/>
          <w:sz w:val="22"/>
          <w:rtl/>
        </w:rPr>
        <w:t>, מותיר את האפשרות להכיר ב"</w:t>
      </w:r>
      <w:r w:rsidR="003D7BFC" w:rsidRPr="006C4917">
        <w:rPr>
          <w:rFonts w:ascii="Century" w:hAnsi="Century" w:cs="Miriam" w:hint="cs"/>
          <w:b/>
          <w:spacing w:val="0"/>
          <w:sz w:val="22"/>
          <w:szCs w:val="24"/>
          <w:rtl/>
        </w:rPr>
        <w:t>קיומו של חריג צר</w:t>
      </w:r>
      <w:r w:rsidR="003D7BFC" w:rsidRPr="006C4917">
        <w:rPr>
          <w:rFonts w:ascii="Century" w:hAnsi="Century" w:hint="cs"/>
          <w:sz w:val="22"/>
          <w:rtl/>
        </w:rPr>
        <w:t xml:space="preserve">" בצריך עיון; ראו פסקה 4 בחוות דעתו). רק שניים משופטי ההרכב (השופטים </w:t>
      </w:r>
      <w:r w:rsidR="003D7BFC" w:rsidRPr="006C4917">
        <w:rPr>
          <w:rFonts w:ascii="Century" w:hAnsi="Century" w:cs="Miriam" w:hint="cs"/>
          <w:b/>
          <w:spacing w:val="0"/>
          <w:sz w:val="22"/>
          <w:szCs w:val="24"/>
          <w:rtl/>
        </w:rPr>
        <w:t xml:space="preserve">סולברג </w:t>
      </w:r>
      <w:r w:rsidR="003D7BFC" w:rsidRPr="006C4917">
        <w:rPr>
          <w:rFonts w:ascii="Century" w:hAnsi="Century" w:hint="cs"/>
          <w:sz w:val="22"/>
          <w:rtl/>
        </w:rPr>
        <w:t>ו</w:t>
      </w:r>
      <w:r w:rsidR="003D7BFC" w:rsidRPr="006C4917">
        <w:rPr>
          <w:rFonts w:ascii="Century" w:hAnsi="Century" w:cs="Miriam" w:hint="cs"/>
          <w:b/>
          <w:spacing w:val="0"/>
          <w:sz w:val="22"/>
          <w:szCs w:val="24"/>
          <w:rtl/>
        </w:rPr>
        <w:t>מינץ</w:t>
      </w:r>
      <w:r w:rsidR="003D7BFC" w:rsidRPr="006C4917">
        <w:rPr>
          <w:rFonts w:ascii="Century" w:hAnsi="Century" w:hint="cs"/>
          <w:sz w:val="22"/>
          <w:rtl/>
        </w:rPr>
        <w:t>) כופרים מכל וכל בסמכות זו. מכאן שההכרעה בשאלת יסוד זו היא ברורה, ומייצגת הסכמה רחבה (גם אם לא פה אחד) בקרב שופטי ושופטות בית המשפט העליון.</w:t>
      </w:r>
    </w:p>
    <w:p w:rsidR="003D7BFC" w:rsidRPr="006C4917" w:rsidRDefault="003D7BFC" w:rsidP="003D7BFC">
      <w:pPr>
        <w:pStyle w:val="Ruller41"/>
        <w:rPr>
          <w:rFonts w:ascii="Century" w:hAnsi="Century"/>
          <w:rtl/>
        </w:rPr>
      </w:pPr>
    </w:p>
    <w:p w:rsidR="003D7BFC" w:rsidRPr="006C4917" w:rsidRDefault="00EC44D7" w:rsidP="00EC44D7">
      <w:pPr>
        <w:pStyle w:val="Ruller4"/>
        <w:numPr>
          <w:ilvl w:val="0"/>
          <w:numId w:val="0"/>
        </w:numPr>
        <w:rPr>
          <w:rFonts w:ascii="Century" w:hAnsi="Century"/>
          <w:sz w:val="22"/>
          <w:rtl/>
        </w:rPr>
      </w:pPr>
      <w:r>
        <w:rPr>
          <w:rFonts w:ascii="Century" w:hAnsi="Century"/>
          <w:sz w:val="22"/>
          <w:rtl/>
        </w:rPr>
        <w:tab/>
      </w:r>
      <w:r w:rsidR="003D7BFC" w:rsidRPr="006C4917">
        <w:rPr>
          <w:rFonts w:ascii="Century" w:hAnsi="Century" w:hint="cs"/>
          <w:sz w:val="22"/>
          <w:rtl/>
        </w:rPr>
        <w:t xml:space="preserve">עמדות השופטים </w:t>
      </w:r>
      <w:r w:rsidR="003D7BFC" w:rsidRPr="006C4917">
        <w:rPr>
          <w:rFonts w:ascii="Century" w:hAnsi="Century" w:cs="Miriam" w:hint="cs"/>
          <w:b/>
          <w:spacing w:val="0"/>
          <w:sz w:val="22"/>
          <w:szCs w:val="24"/>
          <w:rtl/>
        </w:rPr>
        <w:t>סולברג</w:t>
      </w:r>
      <w:r w:rsidR="003D7BFC" w:rsidRPr="006C4917">
        <w:rPr>
          <w:rFonts w:ascii="Century" w:hAnsi="Century" w:hint="cs"/>
          <w:sz w:val="22"/>
          <w:rtl/>
        </w:rPr>
        <w:t xml:space="preserve"> ו</w:t>
      </w:r>
      <w:r w:rsidR="003D7BFC" w:rsidRPr="006C4917">
        <w:rPr>
          <w:rFonts w:ascii="Century" w:hAnsi="Century" w:cs="Miriam" w:hint="cs"/>
          <w:b/>
          <w:spacing w:val="0"/>
          <w:sz w:val="22"/>
          <w:szCs w:val="24"/>
          <w:rtl/>
        </w:rPr>
        <w:t>מינץ</w:t>
      </w:r>
      <w:r w:rsidR="003D7BFC" w:rsidRPr="006C4917">
        <w:rPr>
          <w:rFonts w:ascii="Century" w:hAnsi="Century" w:hint="cs"/>
          <w:sz w:val="22"/>
          <w:rtl/>
        </w:rPr>
        <w:t xml:space="preserve"> אינן עשויות מאותו עור. אתייחס לפיכך בנפרד, ובקצרה, לכל אחת מהן.</w:t>
      </w:r>
    </w:p>
    <w:p w:rsidR="003D7BFC" w:rsidRPr="006C4917" w:rsidRDefault="003D7BFC" w:rsidP="003D7BFC">
      <w:pPr>
        <w:pStyle w:val="Ruller41"/>
        <w:rPr>
          <w:rFonts w:ascii="Century" w:hAnsi="Century"/>
          <w:rtl/>
        </w:rPr>
      </w:pPr>
    </w:p>
    <w:p w:rsidR="003D7BFC" w:rsidRPr="006C4917" w:rsidRDefault="00EC44D7" w:rsidP="00EC44D7">
      <w:pPr>
        <w:pStyle w:val="Ruller4"/>
        <w:numPr>
          <w:ilvl w:val="0"/>
          <w:numId w:val="0"/>
        </w:numPr>
        <w:rPr>
          <w:rFonts w:ascii="Century" w:hAnsi="Century"/>
          <w:sz w:val="22"/>
          <w:rtl/>
        </w:rPr>
      </w:pPr>
      <w:r>
        <w:rPr>
          <w:rFonts w:ascii="Century" w:hAnsi="Century" w:hint="cs"/>
          <w:sz w:val="22"/>
          <w:rtl/>
        </w:rPr>
        <w:t>61</w:t>
      </w:r>
      <w:r w:rsidR="003D7BFC" w:rsidRPr="006C4917">
        <w:rPr>
          <w:rFonts w:ascii="Century" w:hAnsi="Century" w:hint="cs"/>
          <w:sz w:val="22"/>
          <w:rtl/>
        </w:rPr>
        <w:t xml:space="preserve">ג. </w:t>
      </w:r>
      <w:r w:rsidR="003D7BFC" w:rsidRPr="006C4917">
        <w:rPr>
          <w:rFonts w:ascii="Century" w:hAnsi="Century"/>
          <w:sz w:val="22"/>
          <w:rtl/>
        </w:rPr>
        <w:tab/>
      </w:r>
      <w:r w:rsidR="003D7BFC" w:rsidRPr="006C4917">
        <w:rPr>
          <w:rFonts w:ascii="Century" w:hAnsi="Century" w:cs="Miriam" w:hint="eastAsia"/>
          <w:b/>
          <w:spacing w:val="0"/>
          <w:sz w:val="22"/>
          <w:szCs w:val="24"/>
          <w:rtl/>
        </w:rPr>
        <w:t>עמדת</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השופט</w:t>
      </w:r>
      <w:r w:rsidR="003D7BFC" w:rsidRPr="006C4917">
        <w:rPr>
          <w:rFonts w:ascii="Century" w:hAnsi="Century" w:cs="Miriam"/>
          <w:b/>
          <w:spacing w:val="0"/>
          <w:sz w:val="22"/>
          <w:szCs w:val="24"/>
          <w:rtl/>
        </w:rPr>
        <w:t xml:space="preserve"> </w:t>
      </w:r>
      <w:r w:rsidR="003D7BFC" w:rsidRPr="006C4917">
        <w:rPr>
          <w:rFonts w:ascii="Century" w:hAnsi="Century" w:cs="Miriam" w:hint="cs"/>
          <w:b/>
          <w:spacing w:val="0"/>
          <w:sz w:val="22"/>
          <w:szCs w:val="24"/>
          <w:rtl/>
        </w:rPr>
        <w:t>מינץ</w:t>
      </w:r>
      <w:r w:rsidR="003D7BFC" w:rsidRPr="006C4917">
        <w:rPr>
          <w:rFonts w:ascii="Century" w:hAnsi="Century" w:hint="cs"/>
          <w:sz w:val="22"/>
          <w:rtl/>
        </w:rPr>
        <w:t xml:space="preserve"> </w:t>
      </w:r>
      <w:r w:rsidR="003D7BFC" w:rsidRPr="006C4917">
        <w:rPr>
          <w:rFonts w:ascii="Century" w:hAnsi="Century"/>
          <w:sz w:val="22"/>
          <w:rtl/>
        </w:rPr>
        <w:t>–</w:t>
      </w:r>
      <w:r w:rsidR="003D7BFC" w:rsidRPr="006C4917">
        <w:rPr>
          <w:rFonts w:ascii="Century" w:hAnsi="Century" w:hint="cs"/>
          <w:sz w:val="22"/>
          <w:rtl/>
        </w:rPr>
        <w:t xml:space="preserve"> חלק לא מבוטל של חוות דעתו מקדיש חברי, כפי שהוא עצמו מודה, למשפט חוקתי אלטרנטיבי לזה שהתפתח הלכה למעשה בפסיקתנו (פסקאות 25-9 לחוות דעתו). ואולם, עיסוק בהיסטוריה חלופית (</w:t>
      </w:r>
      <w:r w:rsidR="003D7BFC" w:rsidRPr="006C4917">
        <w:rPr>
          <w:rFonts w:asciiTheme="majorBidi" w:hAnsiTheme="majorBidi" w:cstheme="majorBidi"/>
        </w:rPr>
        <w:t>Alternate History</w:t>
      </w:r>
      <w:r w:rsidR="003D7BFC" w:rsidRPr="006C4917">
        <w:rPr>
          <w:rFonts w:ascii="Century" w:hAnsi="Century" w:hint="cs"/>
          <w:sz w:val="22"/>
          <w:rtl/>
        </w:rPr>
        <w:t xml:space="preserve"> או </w:t>
      </w:r>
      <w:r w:rsidR="003D7BFC" w:rsidRPr="006C4917">
        <w:rPr>
          <w:rFonts w:asciiTheme="majorBidi" w:hAnsiTheme="majorBidi" w:cstheme="majorBidi"/>
        </w:rPr>
        <w:t>Uchronia</w:t>
      </w:r>
      <w:r w:rsidR="003D7BFC" w:rsidRPr="006C4917">
        <w:rPr>
          <w:rFonts w:ascii="Century" w:hAnsi="Century" w:hint="cs"/>
          <w:sz w:val="22"/>
          <w:rtl/>
        </w:rPr>
        <w:t xml:space="preserve">), דהיינו עולם בו ההיסטוריה סטתה ממסלולה המוכר לנו במציאות, הוא עניין לסופרים </w:t>
      </w:r>
      <w:r w:rsidR="003D7BFC" w:rsidRPr="006C4917">
        <w:rPr>
          <w:rFonts w:ascii="Century" w:hAnsi="Century"/>
          <w:sz w:val="22"/>
          <w:rtl/>
        </w:rPr>
        <w:t>–</w:t>
      </w:r>
      <w:r w:rsidR="003D7BFC" w:rsidRPr="006C4917">
        <w:rPr>
          <w:rFonts w:ascii="Century" w:hAnsi="Century" w:hint="cs"/>
          <w:sz w:val="22"/>
          <w:rtl/>
        </w:rPr>
        <w:t xml:space="preserve"> לא לשופטים (</w:t>
      </w:r>
      <w:r w:rsidR="003D7BFC" w:rsidRPr="006C4917">
        <w:rPr>
          <w:rFonts w:ascii="Century" w:hAnsi="Century"/>
          <w:sz w:val="22"/>
          <w:rtl/>
        </w:rPr>
        <w:t>ראו, ל</w:t>
      </w:r>
      <w:r w:rsidR="003D7BFC" w:rsidRPr="006C4917">
        <w:rPr>
          <w:rFonts w:ascii="Century" w:hAnsi="Century" w:hint="cs"/>
          <w:sz w:val="22"/>
          <w:rtl/>
        </w:rPr>
        <w:t>דוגמה,</w:t>
      </w:r>
      <w:r w:rsidR="003D7BFC" w:rsidRPr="006C4917">
        <w:rPr>
          <w:rFonts w:ascii="Century" w:hAnsi="Century"/>
          <w:sz w:val="22"/>
          <w:rtl/>
        </w:rPr>
        <w:t xml:space="preserve"> פיליפ רות׳ </w:t>
      </w:r>
      <w:r w:rsidR="003D7BFC" w:rsidRPr="006C4917">
        <w:rPr>
          <w:rFonts w:ascii="Century" w:hAnsi="Century" w:cs="Miriam"/>
          <w:b/>
          <w:spacing w:val="0"/>
          <w:sz w:val="22"/>
          <w:szCs w:val="24"/>
          <w:rtl/>
        </w:rPr>
        <w:t>הקנוניה נגד אמריקה</w:t>
      </w:r>
      <w:r w:rsidR="003D7BFC" w:rsidRPr="006C4917">
        <w:rPr>
          <w:rFonts w:ascii="Century" w:hAnsi="Century"/>
          <w:sz w:val="22"/>
          <w:rtl/>
        </w:rPr>
        <w:t xml:space="preserve"> (שרה ריפמן </w:t>
      </w:r>
      <w:r w:rsidR="003D7BFC" w:rsidRPr="006C4917">
        <w:rPr>
          <w:rFonts w:ascii="Century" w:hAnsi="Century" w:hint="cs"/>
          <w:sz w:val="22"/>
          <w:rtl/>
        </w:rPr>
        <w:t xml:space="preserve">מתרגמת, </w:t>
      </w:r>
      <w:r w:rsidR="003D7BFC" w:rsidRPr="006C4917">
        <w:rPr>
          <w:rFonts w:ascii="Century" w:hAnsi="Century"/>
          <w:sz w:val="22"/>
          <w:rtl/>
        </w:rPr>
        <w:t>2007)</w:t>
      </w:r>
      <w:r w:rsidR="003D7BFC" w:rsidRPr="006C4917">
        <w:rPr>
          <w:rFonts w:ascii="Century" w:hAnsi="Century" w:hint="cs"/>
          <w:sz w:val="22"/>
          <w:rtl/>
        </w:rPr>
        <w:t xml:space="preserve">). אכן, אינני חולק על חברי כי ניתן היה ללכת במסלול חוקתי אחר מזה בו פסע בית המשפט העליון (כאמור בפסקאות 12-11 של חוות דעתי, שני נתיבים כאלה אף הוצעו על ידי הנשיא </w:t>
      </w:r>
      <w:r w:rsidR="003D7BFC" w:rsidRPr="006C4917">
        <w:rPr>
          <w:rFonts w:ascii="Century" w:hAnsi="Century" w:cs="Miriam" w:hint="cs"/>
          <w:b/>
          <w:spacing w:val="0"/>
          <w:sz w:val="22"/>
          <w:szCs w:val="24"/>
          <w:rtl/>
        </w:rPr>
        <w:t>שמגר</w:t>
      </w:r>
      <w:r w:rsidR="003D7BFC" w:rsidRPr="006C4917">
        <w:rPr>
          <w:rFonts w:ascii="Century" w:hAnsi="Century" w:hint="cs"/>
          <w:sz w:val="22"/>
          <w:rtl/>
        </w:rPr>
        <w:t xml:space="preserve"> מזה והשופט </w:t>
      </w:r>
      <w:r w:rsidR="003D7BFC" w:rsidRPr="006C4917">
        <w:rPr>
          <w:rFonts w:ascii="Century" w:hAnsi="Century" w:cs="Miriam" w:hint="cs"/>
          <w:b/>
          <w:spacing w:val="0"/>
          <w:sz w:val="22"/>
          <w:szCs w:val="24"/>
          <w:rtl/>
        </w:rPr>
        <w:t>חשין</w:t>
      </w:r>
      <w:r w:rsidR="003D7BFC" w:rsidRPr="006C4917">
        <w:rPr>
          <w:rFonts w:ascii="Century" w:hAnsi="Century" w:hint="cs"/>
          <w:sz w:val="22"/>
          <w:rtl/>
        </w:rPr>
        <w:t xml:space="preserve"> מזה). ואולם, לא כך פותחה פסיקתנו ב-30 השנה שחלפו מאז ההלכה שנקבעה בעניין </w:t>
      </w:r>
      <w:r w:rsidR="003D7BFC" w:rsidRPr="006C4917">
        <w:rPr>
          <w:rFonts w:ascii="Century" w:hAnsi="Century" w:cs="Miriam" w:hint="cs"/>
          <w:b/>
          <w:spacing w:val="0"/>
          <w:sz w:val="22"/>
          <w:szCs w:val="24"/>
          <w:rtl/>
        </w:rPr>
        <w:t>בנק המזרחי</w:t>
      </w:r>
      <w:r w:rsidR="003D7BFC" w:rsidRPr="006C4917">
        <w:rPr>
          <w:rFonts w:ascii="Century" w:hAnsi="Century" w:hint="cs"/>
          <w:sz w:val="22"/>
          <w:rtl/>
        </w:rPr>
        <w:t>, וחזרה אחורה בשלב זה, כאילו לא היו הדברים מעולם, אינה רצויה, ולמעשה גם אינה אפשרית. על כך לא חולק גם חברי, המקבל עליו את דין הרוב בציינו: ״</w:t>
      </w:r>
      <w:r w:rsidR="003D7BFC" w:rsidRPr="006C4917">
        <w:rPr>
          <w:rFonts w:ascii="Century" w:hAnsi="Century" w:cs="Miriam" w:hint="cs"/>
          <w:b/>
          <w:spacing w:val="0"/>
          <w:sz w:val="22"/>
          <w:szCs w:val="24"/>
          <w:rtl/>
        </w:rPr>
        <w:t>אינני עיוור לכך שבית משפט זה פילס לו כאמור דרך שונה, והמציאות על פיה בית משפט זה מוסמך לבקר חוקים קנתה לה שביתה</w:t>
      </w:r>
      <w:r w:rsidR="003D7BFC" w:rsidRPr="006C4917">
        <w:rPr>
          <w:rFonts w:ascii="Century" w:hAnsi="Century" w:hint="cs"/>
          <w:sz w:val="22"/>
          <w:rtl/>
        </w:rPr>
        <w:t>״ (ראו פסקה 26 לחוות דעתו).</w:t>
      </w:r>
    </w:p>
    <w:p w:rsidR="003D7BFC" w:rsidRPr="006C4917" w:rsidRDefault="003D7BFC" w:rsidP="003D7BFC">
      <w:pPr>
        <w:pStyle w:val="Ruller41"/>
        <w:rPr>
          <w:rFonts w:ascii="Century" w:hAnsi="Century"/>
          <w:rtl/>
        </w:rPr>
      </w:pPr>
    </w:p>
    <w:p w:rsidR="003D7BFC" w:rsidRPr="006C4917" w:rsidRDefault="008B0A5C" w:rsidP="008B0A5C">
      <w:pPr>
        <w:pStyle w:val="Ruller4"/>
        <w:numPr>
          <w:ilvl w:val="0"/>
          <w:numId w:val="0"/>
        </w:numPr>
        <w:rPr>
          <w:rtl/>
        </w:rPr>
      </w:pPr>
      <w:r>
        <w:rPr>
          <w:rtl/>
        </w:rPr>
        <w:tab/>
      </w:r>
      <w:r w:rsidR="003D7BFC" w:rsidRPr="006C4917">
        <w:rPr>
          <w:rFonts w:hint="cs"/>
          <w:rtl/>
        </w:rPr>
        <w:t xml:space="preserve">חברי השופט </w:t>
      </w:r>
      <w:r w:rsidR="003D7BFC" w:rsidRPr="006C4917">
        <w:rPr>
          <w:rFonts w:cs="Miriam" w:hint="cs"/>
          <w:b/>
          <w:spacing w:val="0"/>
          <w:szCs w:val="24"/>
          <w:rtl/>
        </w:rPr>
        <w:t>מינץ</w:t>
      </w:r>
      <w:r w:rsidR="003D7BFC" w:rsidRPr="006C4917">
        <w:rPr>
          <w:rFonts w:hint="cs"/>
          <w:rtl/>
        </w:rPr>
        <w:t xml:space="preserve">, סבור כי לבית משפט זה אין סמכות לבקר את חוקי היסוד מבחינת תוכנם (פסקאות 30-27 לחוות דעתו). ככל שהדברים נוגעים לביקורת על חוקי יסוד על בסיס עמידתם בניגוד לעקרונות ערטילאיים שאינם מבוססים ב״חוקה בהתהוות״ </w:t>
      </w:r>
      <w:r w:rsidR="003D7BFC" w:rsidRPr="006C4917">
        <w:rPr>
          <w:rtl/>
        </w:rPr>
        <w:t>–</w:t>
      </w:r>
      <w:r w:rsidR="003D7BFC" w:rsidRPr="006C4917">
        <w:rPr>
          <w:rFonts w:hint="cs"/>
          <w:rtl/>
        </w:rPr>
        <w:t xml:space="preserve"> יש כוח משכנע בטיעונו (ראו פסקה 21 לעיל). שונים הם פני הדברים ביחס למצבים בהם הביקורת השיפוטית מבוצעת על בסיס ״הנתונים החוקתיים״ שנקבעו על ידי כנסת ישראל לדורותיה, בכובעה כרשות המכוננת, ב״חוקה בהתהוות״ (כמובהר בפסקאות 48-33 לעיל).</w:t>
      </w:r>
    </w:p>
    <w:p w:rsidR="003D7BFC" w:rsidRPr="006C4917" w:rsidRDefault="003D7BFC" w:rsidP="003D7BFC">
      <w:pPr>
        <w:pStyle w:val="Ruller41"/>
        <w:rPr>
          <w:rFonts w:ascii="Century" w:hAnsi="Century"/>
          <w:rtl/>
        </w:rPr>
      </w:pPr>
    </w:p>
    <w:p w:rsidR="003D7BFC" w:rsidRPr="006C4917" w:rsidRDefault="008B0A5C" w:rsidP="008B0A5C">
      <w:pPr>
        <w:pStyle w:val="Ruller4"/>
        <w:numPr>
          <w:ilvl w:val="0"/>
          <w:numId w:val="0"/>
        </w:numPr>
        <w:rPr>
          <w:rFonts w:ascii="Century" w:hAnsi="Century"/>
          <w:sz w:val="22"/>
          <w:rtl/>
        </w:rPr>
      </w:pPr>
      <w:r>
        <w:rPr>
          <w:rFonts w:ascii="Century" w:hAnsi="Century"/>
          <w:sz w:val="22"/>
          <w:rtl/>
        </w:rPr>
        <w:tab/>
      </w:r>
      <w:r w:rsidR="003D7BFC" w:rsidRPr="006C4917">
        <w:rPr>
          <w:rFonts w:ascii="Century" w:hAnsi="Century" w:hint="cs"/>
          <w:sz w:val="22"/>
          <w:rtl/>
        </w:rPr>
        <w:t>עוד כותב חברי כי הקניית סמכות לבקר חוקי יסוד מעמידה את בית המשפט העליון ״</w:t>
      </w:r>
      <w:r w:rsidR="003D7BFC" w:rsidRPr="006C4917">
        <w:rPr>
          <w:rFonts w:ascii="Century" w:hAnsi="Century" w:cs="Miriam" w:hint="cs"/>
          <w:b/>
          <w:spacing w:val="0"/>
          <w:sz w:val="22"/>
          <w:szCs w:val="24"/>
          <w:rtl/>
        </w:rPr>
        <w:t>'בראש הפירמידה' באופן שיש בכוחו לעצב את גדריהן של סמכויות הרשויות כולן</w:t>
      </w:r>
      <w:r w:rsidR="003D7BFC" w:rsidRPr="006C4917">
        <w:rPr>
          <w:rFonts w:ascii="Century" w:hAnsi="Century" w:hint="cs"/>
          <w:sz w:val="22"/>
          <w:rtl/>
        </w:rPr>
        <w:t>״ (פסקה 41 לחוות דעתו). ואולם, כפי שהוא עצמו מבהיר ״</w:t>
      </w:r>
      <w:r w:rsidR="003D7BFC" w:rsidRPr="006C4917">
        <w:rPr>
          <w:rFonts w:ascii="Century" w:hAnsi="Century" w:cs="Miriam" w:hint="cs"/>
          <w:b/>
          <w:spacing w:val="0"/>
          <w:sz w:val="22"/>
          <w:szCs w:val="24"/>
          <w:rtl/>
        </w:rPr>
        <w:t>ככל שיטת משטר דמוקרטית, גם שיטת המשטר במדינת ישראל מבוססת על קיומה של מערכת בלמים ואיזונים</w:t>
      </w:r>
      <w:r w:rsidR="003D7BFC" w:rsidRPr="006C4917">
        <w:rPr>
          <w:rFonts w:ascii="Century" w:hAnsi="Century" w:hint="cs"/>
          <w:sz w:val="22"/>
          <w:rtl/>
        </w:rPr>
        <w:t xml:space="preserve">״ (פסקה 68 </w:t>
      </w:r>
      <w:r w:rsidR="003D7BFC" w:rsidRPr="006C4917">
        <w:rPr>
          <w:rFonts w:ascii="Century" w:hAnsi="Century" w:hint="cs"/>
          <w:sz w:val="22"/>
          <w:rtl/>
        </w:rPr>
        <w:lastRenderedPageBreak/>
        <w:t xml:space="preserve">לחוות דעתו). עקרון הפרדת הרשויות, מכוחו כל רשות עליונה בתחומה </w:t>
      </w:r>
      <w:r w:rsidR="003D7BFC" w:rsidRPr="006C4917">
        <w:rPr>
          <w:rFonts w:ascii="Century" w:hAnsi="Century"/>
          <w:sz w:val="22"/>
          <w:rtl/>
        </w:rPr>
        <w:t>–</w:t>
      </w:r>
      <w:r w:rsidR="003D7BFC" w:rsidRPr="006C4917">
        <w:rPr>
          <w:rFonts w:ascii="Century" w:hAnsi="Century" w:hint="cs"/>
          <w:sz w:val="22"/>
          <w:rtl/>
        </w:rPr>
        <w:t xml:space="preserve"> הכנסת בתחום החקיקה; הממשלה בתחום הביצוע; הרשות השופטת בתחום השיפוט </w:t>
      </w:r>
      <w:r w:rsidR="003D7BFC" w:rsidRPr="006C4917">
        <w:rPr>
          <w:rFonts w:ascii="Century" w:hAnsi="Century"/>
          <w:sz w:val="22"/>
          <w:rtl/>
        </w:rPr>
        <w:t>–</w:t>
      </w:r>
      <w:r w:rsidR="003D7BFC" w:rsidRPr="006C4917">
        <w:rPr>
          <w:rFonts w:ascii="Century" w:hAnsi="Century" w:hint="cs"/>
          <w:sz w:val="22"/>
          <w:rtl/>
        </w:rPr>
        <w:t xml:space="preserve"> הוא ליבה הפועם של מערכת הבלמים והאיזונים הזו (להרחבה אודות הביטויים השונים של עקרון האיזונים והבלמים בשיטת המשטר הישראלית, ראו עמיר פוקס ומרדכי קרמניצר </w:t>
      </w:r>
      <w:r w:rsidR="003D7BFC" w:rsidRPr="006C4917">
        <w:rPr>
          <w:rFonts w:ascii="Century" w:hAnsi="Century" w:cs="Miriam" w:hint="eastAsia"/>
          <w:b/>
          <w:spacing w:val="0"/>
          <w:sz w:val="22"/>
          <w:szCs w:val="24"/>
          <w:rtl/>
        </w:rPr>
        <w:t>ביזור</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סמכויות</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ולא</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הפרדת</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רשויות</w:t>
      </w:r>
      <w:r w:rsidR="003D7BFC" w:rsidRPr="006C4917">
        <w:rPr>
          <w:rFonts w:ascii="Century" w:hAnsi="Century" w:cs="Miriam"/>
          <w:b/>
          <w:spacing w:val="0"/>
          <w:sz w:val="22"/>
          <w:szCs w:val="24"/>
          <w:rtl/>
        </w:rPr>
        <w:t xml:space="preserve"> : </w:t>
      </w:r>
      <w:r w:rsidR="003D7BFC" w:rsidRPr="006C4917">
        <w:rPr>
          <w:rFonts w:ascii="Century" w:hAnsi="Century" w:cs="Miriam" w:hint="eastAsia"/>
          <w:b/>
          <w:spacing w:val="0"/>
          <w:sz w:val="22"/>
          <w:szCs w:val="24"/>
          <w:rtl/>
        </w:rPr>
        <w:t>על</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מניעת</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כוח</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מוחלט</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מרשויות</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השלטון</w:t>
      </w:r>
      <w:r w:rsidR="003D7BFC" w:rsidRPr="006C4917">
        <w:rPr>
          <w:rFonts w:ascii="Century" w:hAnsi="Century" w:hint="cs"/>
          <w:sz w:val="22"/>
          <w:rtl/>
        </w:rPr>
        <w:t xml:space="preserve">, 85-67 </w:t>
      </w:r>
      <w:r w:rsidR="003D7BFC" w:rsidRPr="006C4917">
        <w:rPr>
          <w:rFonts w:ascii="Century" w:hAnsi="Century"/>
          <w:sz w:val="22"/>
          <w:rtl/>
        </w:rPr>
        <w:t>(מחקר מדיניות 133, המכון הישראלי לדמוקרטיה, 2019)</w:t>
      </w:r>
      <w:r w:rsidR="003D7BFC" w:rsidRPr="006C4917">
        <w:rPr>
          <w:rFonts w:ascii="Century" w:hAnsi="Century" w:hint="cs"/>
          <w:sz w:val="22"/>
          <w:rtl/>
        </w:rPr>
        <w:t>. לדוגמאות המבטאות פיקוח הדדי בין הרשויות, ראו שם, בעמ' 91-85).</w:t>
      </w:r>
    </w:p>
    <w:p w:rsidR="003D7BFC" w:rsidRPr="006C4917" w:rsidRDefault="003D7BFC" w:rsidP="003D7BFC">
      <w:pPr>
        <w:pStyle w:val="Ruller41"/>
        <w:rPr>
          <w:rFonts w:ascii="Century" w:hAnsi="Century"/>
          <w:rtl/>
        </w:rPr>
      </w:pPr>
    </w:p>
    <w:p w:rsidR="003D7BFC" w:rsidRPr="006C4917" w:rsidRDefault="008B0A5C" w:rsidP="008B0A5C">
      <w:pPr>
        <w:pStyle w:val="Ruller4"/>
        <w:numPr>
          <w:ilvl w:val="0"/>
          <w:numId w:val="0"/>
        </w:numPr>
        <w:rPr>
          <w:rFonts w:ascii="Century" w:hAnsi="Century"/>
          <w:sz w:val="22"/>
          <w:rtl/>
        </w:rPr>
      </w:pPr>
      <w:r>
        <w:rPr>
          <w:rFonts w:ascii="Century" w:hAnsi="Century"/>
          <w:sz w:val="22"/>
          <w:rtl/>
        </w:rPr>
        <w:tab/>
      </w:r>
      <w:r w:rsidR="003D7BFC" w:rsidRPr="006C4917">
        <w:rPr>
          <w:rFonts w:ascii="Century" w:hAnsi="Century" w:hint="cs"/>
          <w:sz w:val="22"/>
          <w:rtl/>
        </w:rPr>
        <w:t xml:space="preserve">זאת ועוד, בכל תחום נקבעה רשות שיורית, דהיינו רשות המוסמכת לפעול בהעדר גוף אחר שהוסמך לפעול, וכך גם בישראל: הכנסת היא הרשות השיורית בתחום החקיקה, מעצם מעמדה כבית המחוקקים הנבחר; הממשלה היא הרשות השיורית בתחום הביצועי, מכוח סעיף 32 לחוק-יסוד: הממשלה; בית המשפט העליון בשבתו כבית המשפט הגבוה לצדק הוא הרשות השיורית בתחום השיפוט, מכוח סעיף 15(ג) לחוק-יסוד: השפיטה. מכאן, שהכרה בסמכות השיפוט של בית משפט זה בשבתו כבית המשפט הגבוה לצדק, כרשות השיורית בתחום השיפוט, גם ביחס להפעלת הסמכות המכוננת על ידי הכנסת, אינה הופכת את בית המשפט העליון ל״ראש הפירמידה״ העומד מעל לרשויות האחרות. הכנסת הייתה ונותרה רשות החקיקה העליונה (בצד היותה הרשות המכוננת); הממשלה הייתה ונותרה הרשות המבצעת העליונה; בית המשפט העליון היה ונותר רשות השיפוט העליונה. אכן, כל רשות משלוש הרשויות העליונות והשיוריות הללו </w:t>
      </w:r>
      <w:r w:rsidR="003D7BFC" w:rsidRPr="006C4917">
        <w:rPr>
          <w:rFonts w:ascii="Century" w:hAnsi="Century"/>
          <w:sz w:val="22"/>
          <w:rtl/>
        </w:rPr>
        <w:t>–</w:t>
      </w:r>
      <w:r w:rsidR="003D7BFC" w:rsidRPr="006C4917">
        <w:rPr>
          <w:rFonts w:ascii="Century" w:hAnsi="Century" w:hint="cs"/>
          <w:sz w:val="22"/>
          <w:rtl/>
        </w:rPr>
        <w:t xml:space="preserve"> הכנסת, הממשלה ובית המשפט העליון </w:t>
      </w:r>
      <w:r w:rsidR="003D7BFC" w:rsidRPr="006C4917">
        <w:rPr>
          <w:rFonts w:ascii="Century" w:hAnsi="Century"/>
          <w:sz w:val="22"/>
          <w:rtl/>
        </w:rPr>
        <w:t>–</w:t>
      </w:r>
      <w:r w:rsidR="003D7BFC" w:rsidRPr="006C4917">
        <w:rPr>
          <w:rFonts w:ascii="Century" w:hAnsi="Century" w:hint="cs"/>
          <w:sz w:val="22"/>
          <w:rtl/>
        </w:rPr>
        <w:t xml:space="preserve"> היא עליונה בממלכתה, כאשר שלוש הממלכות אומנם נוגעות האחת ברעותה, אך זאת מבלי שלאחת מהן ניתן בשל כך מעמד "כל יכול" ביחס לאחרת. </w:t>
      </w:r>
    </w:p>
    <w:p w:rsidR="003D7BFC" w:rsidRPr="006C4917" w:rsidRDefault="003D7BFC" w:rsidP="003D7BFC">
      <w:pPr>
        <w:pStyle w:val="Ruller41"/>
        <w:rPr>
          <w:rFonts w:ascii="Century" w:hAnsi="Century"/>
          <w:rtl/>
        </w:rPr>
      </w:pPr>
    </w:p>
    <w:p w:rsidR="003D7BFC" w:rsidRPr="006C4917" w:rsidRDefault="008B0A5C" w:rsidP="00A73C38">
      <w:pPr>
        <w:pStyle w:val="Ruller4"/>
        <w:numPr>
          <w:ilvl w:val="0"/>
          <w:numId w:val="0"/>
        </w:numPr>
        <w:rPr>
          <w:rFonts w:ascii="Century" w:hAnsi="Century"/>
          <w:sz w:val="22"/>
          <w:rtl/>
        </w:rPr>
      </w:pPr>
      <w:r>
        <w:rPr>
          <w:rFonts w:ascii="Century" w:hAnsi="Century" w:hint="cs"/>
          <w:sz w:val="22"/>
          <w:rtl/>
        </w:rPr>
        <w:t>61</w:t>
      </w:r>
      <w:r w:rsidR="003D7BFC" w:rsidRPr="006C4917">
        <w:rPr>
          <w:rFonts w:ascii="Century" w:hAnsi="Century" w:hint="cs"/>
          <w:sz w:val="22"/>
          <w:rtl/>
        </w:rPr>
        <w:t xml:space="preserve">ד. </w:t>
      </w:r>
      <w:r w:rsidR="003D7BFC" w:rsidRPr="006C4917">
        <w:rPr>
          <w:rFonts w:ascii="Century" w:hAnsi="Century"/>
          <w:sz w:val="22"/>
          <w:rtl/>
        </w:rPr>
        <w:tab/>
      </w:r>
      <w:r w:rsidR="003D7BFC" w:rsidRPr="006C4917">
        <w:rPr>
          <w:rFonts w:ascii="Century" w:hAnsi="Century" w:cs="Miriam" w:hint="cs"/>
          <w:b/>
          <w:spacing w:val="0"/>
          <w:sz w:val="22"/>
          <w:szCs w:val="24"/>
          <w:rtl/>
        </w:rPr>
        <w:t>עמדת השופט סולברג</w:t>
      </w:r>
      <w:r w:rsidR="003D7BFC" w:rsidRPr="006C4917">
        <w:rPr>
          <w:rFonts w:ascii="Century" w:hAnsi="Century" w:hint="cs"/>
          <w:sz w:val="22"/>
          <w:rtl/>
        </w:rPr>
        <w:t xml:space="preserve"> </w:t>
      </w:r>
      <w:r w:rsidR="003D7BFC" w:rsidRPr="006C4917">
        <w:rPr>
          <w:rFonts w:ascii="Century" w:hAnsi="Century"/>
          <w:sz w:val="22"/>
          <w:rtl/>
        </w:rPr>
        <w:t>–</w:t>
      </w:r>
      <w:r w:rsidR="003D7BFC" w:rsidRPr="006C4917">
        <w:rPr>
          <w:rFonts w:ascii="Century" w:hAnsi="Century" w:hint="cs"/>
          <w:sz w:val="22"/>
          <w:rtl/>
        </w:rPr>
        <w:t xml:space="preserve"> חוות דעתו של חברי ארוכה ומתייחסת למגוון סוגיות. מחציתה השנייה (פסקאות </w:t>
      </w:r>
      <w:r w:rsidR="00A73C38">
        <w:rPr>
          <w:rFonts w:ascii="Century" w:hAnsi="Century" w:hint="cs"/>
          <w:sz w:val="22"/>
          <w:rtl/>
        </w:rPr>
        <w:t>250-152</w:t>
      </w:r>
      <w:r w:rsidR="003D7BFC" w:rsidRPr="006C4917">
        <w:rPr>
          <w:rFonts w:ascii="Century" w:hAnsi="Century" w:hint="cs"/>
          <w:sz w:val="22"/>
          <w:rtl/>
        </w:rPr>
        <w:t xml:space="preserve">) עוסקת בעיקרה בשאלת תחומה של עילת הסבירות, ולנושא זה גופו נמנעתי מלהתייחס בפסק דין זה, ולא בשל העדר דעה, אלא מהטעם השני המובהר בפסקה 71 להלן. מחציתה הראשונה עוסקת בעניין הסמכות לבקר חוקי יסוד, ואף היא נחלקת לשניים: בחלקה הראשון, מציג השופט </w:t>
      </w:r>
      <w:r w:rsidR="003D7BFC" w:rsidRPr="006C4917">
        <w:rPr>
          <w:rFonts w:ascii="Century" w:hAnsi="Century" w:cs="Miriam" w:hint="cs"/>
          <w:b/>
          <w:spacing w:val="0"/>
          <w:sz w:val="22"/>
          <w:szCs w:val="24"/>
          <w:rtl/>
        </w:rPr>
        <w:t>סולברג</w:t>
      </w:r>
      <w:r w:rsidR="003D7BFC" w:rsidRPr="006C4917">
        <w:rPr>
          <w:rFonts w:ascii="Century" w:hAnsi="Century" w:hint="cs"/>
          <w:sz w:val="22"/>
          <w:rtl/>
        </w:rPr>
        <w:t xml:space="preserve"> את טעמיו לגופה של המחלוקת, דהיינו את עמדתו כי אין לבית משפט זה סמכות לבקר חוקי יסוד; בחלקה השני מעלה השופט </w:t>
      </w:r>
      <w:r w:rsidR="003D7BFC" w:rsidRPr="006C4917">
        <w:rPr>
          <w:rFonts w:ascii="Century" w:hAnsi="Century" w:cs="Miriam" w:hint="cs"/>
          <w:b/>
          <w:spacing w:val="0"/>
          <w:sz w:val="22"/>
          <w:szCs w:val="24"/>
          <w:rtl/>
        </w:rPr>
        <w:t>סולברג</w:t>
      </w:r>
      <w:r w:rsidR="003D7BFC" w:rsidRPr="006C4917">
        <w:rPr>
          <w:rFonts w:ascii="Century" w:hAnsi="Century" w:hint="cs"/>
          <w:sz w:val="22"/>
          <w:rtl/>
        </w:rPr>
        <w:t xml:space="preserve"> תהיות בדבר אופן ההכרעה במחלוקת עת מבקרים חוקי יסוד. אתייחס לשני החלקים הללו כסדרם.</w:t>
      </w:r>
    </w:p>
    <w:p w:rsidR="003D7BFC" w:rsidRPr="006C4917" w:rsidRDefault="003D7BFC" w:rsidP="003D7BFC">
      <w:pPr>
        <w:pStyle w:val="Ruller41"/>
        <w:rPr>
          <w:rFonts w:ascii="Century" w:hAnsi="Century"/>
          <w:rtl/>
        </w:rPr>
      </w:pPr>
    </w:p>
    <w:p w:rsidR="003D7BFC" w:rsidRPr="006C4917" w:rsidRDefault="00FF49CB" w:rsidP="006555A3">
      <w:pPr>
        <w:pStyle w:val="Ruller4"/>
        <w:numPr>
          <w:ilvl w:val="0"/>
          <w:numId w:val="0"/>
        </w:numPr>
        <w:rPr>
          <w:rFonts w:ascii="Century" w:hAnsi="Century"/>
          <w:sz w:val="22"/>
          <w:rtl/>
        </w:rPr>
      </w:pPr>
      <w:r>
        <w:rPr>
          <w:rFonts w:ascii="Century" w:hAnsi="Century"/>
          <w:sz w:val="22"/>
          <w:rtl/>
        </w:rPr>
        <w:tab/>
      </w:r>
      <w:r w:rsidR="003D7BFC" w:rsidRPr="006C4917">
        <w:rPr>
          <w:rFonts w:ascii="Century" w:hAnsi="Century" w:hint="cs"/>
          <w:sz w:val="22"/>
          <w:rtl/>
        </w:rPr>
        <w:t xml:space="preserve">לעניין המחלוקת גופה, דהיינו השאלה האם קיימת לבית משפט זה סמכות לבקר חוקי יסוד שיצאו מתחת ידיה של הכנסת בפועלה כרשות מכוננת, מתבסס השופט </w:t>
      </w:r>
      <w:r w:rsidR="003D7BFC" w:rsidRPr="006C4917">
        <w:rPr>
          <w:rFonts w:ascii="Century" w:hAnsi="Century" w:cs="Miriam" w:hint="cs"/>
          <w:b/>
          <w:spacing w:val="0"/>
          <w:sz w:val="22"/>
          <w:szCs w:val="24"/>
          <w:rtl/>
        </w:rPr>
        <w:t>סולברג</w:t>
      </w:r>
      <w:r w:rsidR="003D7BFC" w:rsidRPr="006C4917">
        <w:rPr>
          <w:rFonts w:ascii="Century" w:hAnsi="Century" w:hint="cs"/>
          <w:sz w:val="22"/>
          <w:rtl/>
        </w:rPr>
        <w:t xml:space="preserve"> </w:t>
      </w:r>
      <w:r w:rsidR="003D7BFC" w:rsidRPr="006C4917">
        <w:rPr>
          <w:rFonts w:ascii="Century" w:hAnsi="Century" w:hint="cs"/>
          <w:sz w:val="22"/>
          <w:rtl/>
        </w:rPr>
        <w:lastRenderedPageBreak/>
        <w:t xml:space="preserve">בעיקר חוות דעתו (פסקאות 66-7) על טיעון </w:t>
      </w:r>
      <w:r w:rsidR="003D7BFC">
        <w:rPr>
          <w:rFonts w:ascii="Century" w:hAnsi="Century" w:hint="cs"/>
          <w:sz w:val="22"/>
          <w:rtl/>
        </w:rPr>
        <w:t>שיש בו</w:t>
      </w:r>
      <w:r w:rsidR="003D7BFC" w:rsidRPr="006C4917">
        <w:rPr>
          <w:rFonts w:ascii="Century" w:hAnsi="Century" w:hint="cs"/>
          <w:sz w:val="22"/>
          <w:rtl/>
        </w:rPr>
        <w:t xml:space="preserve"> כשל כרונולוגי, הסוקר בהרחבה התייחסות של שופטים שפעלו במשטר חוקתי אחר (משטר שלא הכיר במעמדם החוקתי-העל-חוקי של חוקי היסוד) לשאלות שונות מאלו שלפנינו (שהרי לשאלה שלפנינו כלל לא הייתה משמעות במשטר החוקתי בו פעלו). באותה מידה ניתן ללמוד גזירה שווה מעמדת השופטים בתקופת המנדט הבריטי בארץ ישראל לעניין כוחו המחייב של דבר המלך במועצתו (ואכן גם עניין זה מוזכר על ידי חברי כתומך בעמדתו. ראו פסקה </w:t>
      </w:r>
      <w:r w:rsidR="006555A3">
        <w:rPr>
          <w:rFonts w:ascii="Century" w:hAnsi="Century" w:hint="cs"/>
          <w:sz w:val="22"/>
          <w:rtl/>
        </w:rPr>
        <w:t xml:space="preserve">116 </w:t>
      </w:r>
      <w:r w:rsidR="003D7BFC" w:rsidRPr="006C4917">
        <w:rPr>
          <w:rFonts w:ascii="Century" w:hAnsi="Century" w:hint="cs"/>
          <w:sz w:val="22"/>
          <w:rtl/>
        </w:rPr>
        <w:t xml:space="preserve">לחוות דעתו). </w:t>
      </w:r>
    </w:p>
    <w:p w:rsidR="003D7BFC" w:rsidRPr="006C4917" w:rsidRDefault="003D7BFC" w:rsidP="003D7BFC">
      <w:pPr>
        <w:pStyle w:val="Ruller41"/>
        <w:rPr>
          <w:rFonts w:ascii="Century" w:hAnsi="Century"/>
          <w:rtl/>
        </w:rPr>
      </w:pPr>
    </w:p>
    <w:p w:rsidR="003D7BFC" w:rsidRPr="006C4917" w:rsidRDefault="00FF49CB" w:rsidP="00BB1869">
      <w:pPr>
        <w:pStyle w:val="Ruller4"/>
        <w:numPr>
          <w:ilvl w:val="0"/>
          <w:numId w:val="0"/>
        </w:numPr>
        <w:rPr>
          <w:rFonts w:ascii="Century" w:hAnsi="Century"/>
          <w:sz w:val="22"/>
          <w:rtl/>
        </w:rPr>
      </w:pPr>
      <w:r>
        <w:rPr>
          <w:rFonts w:ascii="Century" w:hAnsi="Century"/>
          <w:sz w:val="22"/>
          <w:rtl/>
        </w:rPr>
        <w:tab/>
      </w:r>
      <w:r w:rsidR="003D7BFC" w:rsidRPr="006C4917">
        <w:rPr>
          <w:rFonts w:ascii="Century" w:hAnsi="Century" w:hint="cs"/>
          <w:sz w:val="22"/>
          <w:rtl/>
        </w:rPr>
        <w:t xml:space="preserve">הטיעונים המהותיים שמציג חברי, השופט </w:t>
      </w:r>
      <w:r w:rsidR="003D7BFC" w:rsidRPr="006C4917">
        <w:rPr>
          <w:rFonts w:ascii="Century" w:hAnsi="Century" w:cs="Miriam" w:hint="cs"/>
          <w:b/>
          <w:spacing w:val="0"/>
          <w:sz w:val="22"/>
          <w:szCs w:val="24"/>
          <w:rtl/>
        </w:rPr>
        <w:t>סולברג</w:t>
      </w:r>
      <w:r w:rsidR="003D7BFC" w:rsidRPr="006C4917">
        <w:rPr>
          <w:rFonts w:ascii="Century" w:hAnsi="Century" w:hint="cs"/>
          <w:sz w:val="22"/>
          <w:rtl/>
        </w:rPr>
        <w:t xml:space="preserve">, כנגד העמדה, המקובלת על רוב שופטי בית משפט זה, לפיה סעיף 15(ג) לחוק-יסוד: השפיטה הוא בסיס סמכותו של בית המשפט העליון, בשבתו כבית המשפט הגבוה לצדק, לבקר את פעולת הכנסת בכובעה כרשות המכוננת, הם ביסודם שניים: </w:t>
      </w:r>
      <w:r w:rsidR="003D7BFC" w:rsidRPr="006C4917">
        <w:rPr>
          <w:rFonts w:ascii="Century" w:hAnsi="Century" w:cs="Miriam" w:hint="eastAsia"/>
          <w:b/>
          <w:spacing w:val="0"/>
          <w:sz w:val="22"/>
          <w:szCs w:val="24"/>
          <w:rtl/>
        </w:rPr>
        <w:t>ראשית</w:t>
      </w:r>
      <w:r w:rsidR="003D7BFC" w:rsidRPr="006C4917">
        <w:rPr>
          <w:rFonts w:ascii="Century" w:hAnsi="Century" w:hint="cs"/>
          <w:sz w:val="22"/>
          <w:rtl/>
        </w:rPr>
        <w:t xml:space="preserve">, סעיף 15(ג) לחוק-יסוד: השפיטה לא שימש בסיס להכרה בסמכות בית משפט זה לערוך ביקורת שיפוטית על חוקים, וממילא אין לראות בו מקור סמכות לערוך ביקורת שיפוטית על חוקי יסוד (פסקאות </w:t>
      </w:r>
      <w:r w:rsidR="00BB1869">
        <w:rPr>
          <w:rFonts w:ascii="Century" w:hAnsi="Century" w:hint="cs"/>
          <w:sz w:val="22"/>
          <w:rtl/>
        </w:rPr>
        <w:t>118-115</w:t>
      </w:r>
      <w:r w:rsidR="003D7BFC" w:rsidRPr="006C4917">
        <w:rPr>
          <w:rFonts w:ascii="Century" w:hAnsi="Century" w:hint="cs"/>
          <w:sz w:val="22"/>
          <w:rtl/>
        </w:rPr>
        <w:t xml:space="preserve"> לחוות דעתו); </w:t>
      </w:r>
      <w:r w:rsidR="003D7BFC" w:rsidRPr="006C4917">
        <w:rPr>
          <w:rFonts w:ascii="Century" w:hAnsi="Century" w:cs="Miriam" w:hint="eastAsia"/>
          <w:b/>
          <w:spacing w:val="0"/>
          <w:sz w:val="22"/>
          <w:szCs w:val="24"/>
          <w:rtl/>
        </w:rPr>
        <w:t>שנית</w:t>
      </w:r>
      <w:r w:rsidR="003D7BFC" w:rsidRPr="006C4917">
        <w:rPr>
          <w:rFonts w:ascii="Century" w:hAnsi="Century" w:hint="cs"/>
          <w:sz w:val="22"/>
          <w:rtl/>
        </w:rPr>
        <w:t xml:space="preserve">, חוק-יסוד: השפיטה מצוי באותו מדרג נורמטיבי כמו יתר חוקי היסוד, ואינו יכול להקנות בסיס חוקי לביקורת על הכנסת בכינונם (פסקאות </w:t>
      </w:r>
      <w:r w:rsidR="00BB1869">
        <w:rPr>
          <w:rFonts w:ascii="Century" w:hAnsi="Century" w:hint="cs"/>
          <w:sz w:val="22"/>
          <w:rtl/>
        </w:rPr>
        <w:t>120-119</w:t>
      </w:r>
      <w:r w:rsidR="003D7BFC" w:rsidRPr="006C4917">
        <w:rPr>
          <w:rFonts w:ascii="Century" w:hAnsi="Century" w:hint="cs"/>
          <w:sz w:val="22"/>
          <w:rtl/>
        </w:rPr>
        <w:t xml:space="preserve"> לחוות דעתו). הטיעון הראשון מבוסס על תפיסה שגויה בדבר מהותו של סעיף 15(ג) לחוק-יסוד: השפיטה, ועניין זה אבהיר בקצרה להלן. לטיעון השני התייחסתי לעיל (בפסקה 55), ומאחר שבדברי חברי אין תשובה של ממש לטיעוניי, אינני רואה להוסיף לגביו. </w:t>
      </w:r>
    </w:p>
    <w:p w:rsidR="003D7BFC" w:rsidRPr="006C4917" w:rsidRDefault="003D7BFC" w:rsidP="003D7BFC">
      <w:pPr>
        <w:pStyle w:val="Ruller41"/>
        <w:rPr>
          <w:rFonts w:ascii="Century" w:hAnsi="Century"/>
          <w:rtl/>
        </w:rPr>
      </w:pPr>
    </w:p>
    <w:p w:rsidR="003D7BFC" w:rsidRPr="006C4917" w:rsidRDefault="00FF49CB" w:rsidP="00BB1869">
      <w:pPr>
        <w:pStyle w:val="Ruller4"/>
        <w:numPr>
          <w:ilvl w:val="0"/>
          <w:numId w:val="0"/>
        </w:numPr>
        <w:rPr>
          <w:rFonts w:ascii="Century" w:hAnsi="Century"/>
          <w:sz w:val="22"/>
          <w:rtl/>
        </w:rPr>
      </w:pPr>
      <w:r>
        <w:rPr>
          <w:rFonts w:ascii="Century" w:hAnsi="Century"/>
          <w:sz w:val="22"/>
          <w:rtl/>
        </w:rPr>
        <w:tab/>
      </w:r>
      <w:r w:rsidR="003D7BFC" w:rsidRPr="006C4917">
        <w:rPr>
          <w:rFonts w:ascii="Century" w:hAnsi="Century" w:hint="cs"/>
          <w:sz w:val="22"/>
          <w:rtl/>
        </w:rPr>
        <w:t>חברי מציין בחוות דעתו כי "</w:t>
      </w:r>
      <w:r w:rsidR="003D7BFC" w:rsidRPr="006C4917">
        <w:rPr>
          <w:rFonts w:ascii="Century" w:hAnsi="Century" w:cs="Miriam" w:hint="cs"/>
          <w:b/>
          <w:spacing w:val="0"/>
          <w:sz w:val="22"/>
          <w:szCs w:val="24"/>
          <w:rtl/>
        </w:rPr>
        <w:t>איש מ</w:t>
      </w:r>
      <w:r w:rsidR="003D7BFC" w:rsidRPr="006C4917">
        <w:rPr>
          <w:rFonts w:ascii="Century" w:hAnsi="Century" w:hint="cs"/>
          <w:sz w:val="22"/>
          <w:rtl/>
        </w:rPr>
        <w:t>[שופטי הדורות הראשונים של בית משפט זה]</w:t>
      </w:r>
      <w:r w:rsidR="003D7BFC" w:rsidRPr="006C4917">
        <w:rPr>
          <w:rFonts w:ascii="Century" w:hAnsi="Century" w:cs="Miriam" w:hint="cs"/>
          <w:b/>
          <w:sz w:val="22"/>
          <w:rtl/>
        </w:rPr>
        <w:t xml:space="preserve"> </w:t>
      </w:r>
      <w:r w:rsidR="003D7BFC" w:rsidRPr="006C4917">
        <w:rPr>
          <w:rFonts w:ascii="Century" w:hAnsi="Century" w:cs="Miriam" w:hint="cs"/>
          <w:b/>
          <w:spacing w:val="0"/>
          <w:sz w:val="22"/>
          <w:szCs w:val="24"/>
          <w:rtl/>
        </w:rPr>
        <w:t>לא העלה על קצה דעתו, אפשרות של ביטול חוק 'רגיל' של הכנסת, מכוח</w:t>
      </w:r>
      <w:r w:rsidR="003D7BFC" w:rsidRPr="006C4917">
        <w:rPr>
          <w:rFonts w:ascii="Century" w:hAnsi="Century" w:cs="Miriam" w:hint="cs"/>
          <w:b/>
          <w:sz w:val="22"/>
          <w:rtl/>
        </w:rPr>
        <w:t xml:space="preserve"> </w:t>
      </w:r>
      <w:r w:rsidR="003D7BFC" w:rsidRPr="006C4917">
        <w:rPr>
          <w:rFonts w:ascii="Century" w:hAnsi="Century" w:hint="cs"/>
          <w:sz w:val="22"/>
          <w:rtl/>
        </w:rPr>
        <w:t>[סעיף 15(ג) לחוק-יסוד: השפיטה]</w:t>
      </w:r>
      <w:r w:rsidR="003D7BFC" w:rsidRPr="006C4917">
        <w:rPr>
          <w:rFonts w:ascii="Century" w:hAnsi="Century" w:cs="Miriam" w:hint="cs"/>
          <w:b/>
          <w:sz w:val="22"/>
          <w:rtl/>
        </w:rPr>
        <w:t xml:space="preserve">; </w:t>
      </w:r>
      <w:r w:rsidR="003D7BFC" w:rsidRPr="006C4917">
        <w:rPr>
          <w:rFonts w:ascii="Century" w:hAnsi="Century" w:cs="Miriam" w:hint="cs"/>
          <w:b/>
          <w:spacing w:val="0"/>
          <w:sz w:val="22"/>
          <w:szCs w:val="24"/>
          <w:rtl/>
        </w:rPr>
        <w:t>קל וחומר ביטולו של חוק-יסוד</w:t>
      </w:r>
      <w:r w:rsidR="003D7BFC" w:rsidRPr="006C4917">
        <w:rPr>
          <w:rFonts w:ascii="Century" w:hAnsi="Century" w:hint="cs"/>
          <w:sz w:val="22"/>
          <w:rtl/>
        </w:rPr>
        <w:t xml:space="preserve">" (פסקה </w:t>
      </w:r>
      <w:r w:rsidR="00BB1869">
        <w:rPr>
          <w:rFonts w:ascii="Century" w:hAnsi="Century" w:hint="cs"/>
          <w:sz w:val="22"/>
          <w:rtl/>
        </w:rPr>
        <w:t>115</w:t>
      </w:r>
      <w:r w:rsidR="003D7BFC" w:rsidRPr="006C4917">
        <w:rPr>
          <w:rFonts w:ascii="Century" w:hAnsi="Century" w:hint="cs"/>
          <w:sz w:val="22"/>
          <w:rtl/>
        </w:rPr>
        <w:t xml:space="preserve"> לחוות דעתו). בהמשך דבריו הוא מציין כי הדבר נכון גם ביחס ל"</w:t>
      </w:r>
      <w:r w:rsidR="003D7BFC" w:rsidRPr="006C4917">
        <w:rPr>
          <w:rFonts w:ascii="Century" w:hAnsi="Century" w:cs="Miriam" w:hint="cs"/>
          <w:b/>
          <w:spacing w:val="0"/>
          <w:sz w:val="22"/>
          <w:szCs w:val="24"/>
          <w:rtl/>
        </w:rPr>
        <w:t>כלל שופטי בית המשפט העליון המנדטורי</w:t>
      </w:r>
      <w:r w:rsidR="003D7BFC" w:rsidRPr="006C4917">
        <w:rPr>
          <w:rFonts w:ascii="Century" w:hAnsi="Century" w:hint="cs"/>
          <w:sz w:val="22"/>
          <w:rtl/>
        </w:rPr>
        <w:t xml:space="preserve">", אשר פעלו מכוח הוראה דומה קודמת (סעיף 43 לדבר המלך במועצה על ארץ ישראל, 1922) (פסקה </w:t>
      </w:r>
      <w:r w:rsidR="00BB1869">
        <w:rPr>
          <w:rFonts w:ascii="Century" w:hAnsi="Century" w:hint="cs"/>
          <w:sz w:val="22"/>
          <w:rtl/>
        </w:rPr>
        <w:t>116</w:t>
      </w:r>
      <w:r w:rsidR="003D7BFC" w:rsidRPr="006C4917">
        <w:rPr>
          <w:rFonts w:ascii="Century" w:hAnsi="Century" w:hint="cs"/>
          <w:sz w:val="22"/>
          <w:rtl/>
        </w:rPr>
        <w:t xml:space="preserve"> לחוות דעתו). לעיל כבר התייחסתי לכשל הכרוך בטיעון מסוג זה, ולא אחזור על כך. בצד זאת, ראוי להבהיר כי טיעון זה אינו רלוונטי כלל לסוגיה בה עסקינן. סעיף 15(ג) לחוק-יסוד: השפיטה אינו מגבלה על סמכות הכנסת </w:t>
      </w:r>
      <w:r w:rsidR="003D7BFC" w:rsidRPr="006C4917">
        <w:rPr>
          <w:rFonts w:ascii="Century" w:hAnsi="Century"/>
          <w:sz w:val="22"/>
          <w:rtl/>
        </w:rPr>
        <w:t>–</w:t>
      </w:r>
      <w:r w:rsidR="003D7BFC" w:rsidRPr="006C4917">
        <w:rPr>
          <w:rFonts w:ascii="Century" w:hAnsi="Century" w:hint="cs"/>
          <w:sz w:val="22"/>
          <w:rtl/>
        </w:rPr>
        <w:t xml:space="preserve"> לא בכובעה כרשות המכוננת ולא בכובעה כרשות המחוקקת. על כן אין בו כדי להקנות לחוקי היסוד מעמד חוקתי-על-חוקי, וממילא אין הוא יכול, ומעולם לא נטען כי הוא מהווה, מקור נורמטיבי לפסילת חוק או חוק יסוד שחוקקה הכנסת. סעיף 15(ג) לחוק היסוד הוא מקור הסמכות השיורית המסורה לבית המשפט העליון בשבתו כבג"ץ לדון בעניינים </w:t>
      </w:r>
      <w:r w:rsidR="003D7BFC" w:rsidRPr="006C4917">
        <w:rPr>
          <w:rFonts w:ascii="Century" w:hAnsi="Century" w:cs="Miriam" w:hint="cs"/>
          <w:b/>
          <w:sz w:val="22"/>
          <w:rtl/>
        </w:rPr>
        <w:t>"</w:t>
      </w:r>
      <w:r w:rsidR="003D7BFC" w:rsidRPr="006C4917">
        <w:rPr>
          <w:rFonts w:ascii="Century" w:hAnsi="Century" w:cs="Miriam" w:hint="cs"/>
          <w:b/>
          <w:spacing w:val="0"/>
          <w:sz w:val="22"/>
          <w:szCs w:val="24"/>
          <w:rtl/>
        </w:rPr>
        <w:t xml:space="preserve">[] </w:t>
      </w:r>
      <w:r w:rsidR="003D7BFC" w:rsidRPr="006C4917">
        <w:rPr>
          <w:rFonts w:ascii="Century" w:hAnsi="Century" w:cs="Miriam"/>
          <w:b/>
          <w:spacing w:val="0"/>
          <w:sz w:val="22"/>
          <w:szCs w:val="24"/>
          <w:rtl/>
        </w:rPr>
        <w:t xml:space="preserve">אשר אינם בסמכותו של בית משפט או של בית דין </w:t>
      </w:r>
      <w:r w:rsidR="003D7BFC" w:rsidRPr="006C4917">
        <w:rPr>
          <w:rFonts w:ascii="Century" w:hAnsi="Century" w:cs="Miriam" w:hint="cs"/>
          <w:b/>
          <w:spacing w:val="0"/>
          <w:sz w:val="22"/>
          <w:szCs w:val="24"/>
          <w:rtl/>
        </w:rPr>
        <w:t>אחר</w:t>
      </w:r>
      <w:r w:rsidR="003D7BFC" w:rsidRPr="006C4917">
        <w:rPr>
          <w:rFonts w:ascii="Century" w:hAnsi="Century" w:hint="cs"/>
          <w:sz w:val="22"/>
          <w:rtl/>
        </w:rPr>
        <w:t xml:space="preserve">". במילים אחרות </w:t>
      </w:r>
      <w:r w:rsidR="003D7BFC" w:rsidRPr="006C4917">
        <w:rPr>
          <w:rFonts w:ascii="Century" w:hAnsi="Century"/>
          <w:sz w:val="22"/>
          <w:rtl/>
        </w:rPr>
        <w:t>–</w:t>
      </w:r>
      <w:r w:rsidR="003D7BFC" w:rsidRPr="006C4917">
        <w:rPr>
          <w:rFonts w:ascii="Century" w:hAnsi="Century" w:hint="cs"/>
          <w:sz w:val="22"/>
          <w:rtl/>
        </w:rPr>
        <w:t xml:space="preserve"> את מגבלת הסמכות, </w:t>
      </w:r>
      <w:r w:rsidR="003D7BFC" w:rsidRPr="006C4917">
        <w:rPr>
          <w:rFonts w:ascii="Century" w:hAnsi="Century" w:hint="cs"/>
          <w:sz w:val="22"/>
          <w:rtl/>
        </w:rPr>
        <w:lastRenderedPageBreak/>
        <w:t xml:space="preserve">או כל מגבלה אחרת המוטלת על הכנסת, לא ניתן ללמוד מסעיף 15(ג) לחוק-יסוד: השפיטה; את סמכות בית המשפט העליון לפקח על מגבלה כזו, ככל שמגבלה זו מוטלת ממקור משפטי אחר, ניתן גם ניתן ללמוד. </w:t>
      </w:r>
    </w:p>
    <w:p w:rsidR="003D7BFC" w:rsidRPr="006C4917" w:rsidRDefault="003D7BFC" w:rsidP="003D7BFC">
      <w:pPr>
        <w:pStyle w:val="Ruller41"/>
        <w:rPr>
          <w:rFonts w:ascii="Century" w:hAnsi="Century"/>
          <w:rtl/>
        </w:rPr>
      </w:pPr>
    </w:p>
    <w:p w:rsidR="003D7BFC" w:rsidRPr="006C4917" w:rsidRDefault="00FF49CB" w:rsidP="006C7E8F">
      <w:pPr>
        <w:pStyle w:val="Ruller4"/>
        <w:numPr>
          <w:ilvl w:val="0"/>
          <w:numId w:val="0"/>
        </w:numPr>
        <w:rPr>
          <w:rFonts w:ascii="Century" w:hAnsi="Century"/>
          <w:sz w:val="22"/>
          <w:rtl/>
        </w:rPr>
      </w:pPr>
      <w:r>
        <w:rPr>
          <w:rFonts w:ascii="Century" w:hAnsi="Century"/>
          <w:sz w:val="22"/>
          <w:rtl/>
        </w:rPr>
        <w:tab/>
      </w:r>
      <w:r w:rsidR="003D7BFC" w:rsidRPr="006C4917">
        <w:rPr>
          <w:rFonts w:ascii="Century" w:hAnsi="Century" w:hint="cs"/>
          <w:sz w:val="22"/>
          <w:rtl/>
        </w:rPr>
        <w:t xml:space="preserve">מעבר לכך לא מצאתי בחוות דעתו של חברי, השופט </w:t>
      </w:r>
      <w:r w:rsidR="003D7BFC" w:rsidRPr="006C4917">
        <w:rPr>
          <w:rFonts w:ascii="Century" w:hAnsi="Century" w:cs="Miriam" w:hint="cs"/>
          <w:b/>
          <w:spacing w:val="0"/>
          <w:sz w:val="22"/>
          <w:szCs w:val="24"/>
          <w:rtl/>
        </w:rPr>
        <w:t>סולברג</w:t>
      </w:r>
      <w:r w:rsidR="003D7BFC" w:rsidRPr="006C4917">
        <w:rPr>
          <w:rFonts w:ascii="Century" w:hAnsi="Century" w:hint="cs"/>
          <w:sz w:val="22"/>
          <w:rtl/>
        </w:rPr>
        <w:t xml:space="preserve">, התמודדות של ממש עם התפיסה העומדת ביסוד גישת הנשיאה </w:t>
      </w:r>
      <w:r w:rsidR="003D7BFC" w:rsidRPr="006C4917">
        <w:rPr>
          <w:rFonts w:ascii="Century" w:hAnsi="Century" w:cs="Miriam" w:hint="cs"/>
          <w:b/>
          <w:spacing w:val="0"/>
          <w:sz w:val="22"/>
          <w:szCs w:val="24"/>
          <w:rtl/>
        </w:rPr>
        <w:t>חיות</w:t>
      </w:r>
      <w:r w:rsidR="003D7BFC" w:rsidRPr="006C4917">
        <w:rPr>
          <w:rFonts w:ascii="Century" w:hAnsi="Century" w:hint="cs"/>
          <w:sz w:val="22"/>
          <w:rtl/>
        </w:rPr>
        <w:t xml:space="preserve">, שהיא גם גישתי, לפיה מגבלת הסמכות על פעולת הכנסת הנוכחית כרשות מכוננת נגזרת מ״נתונים חוקתיים״ שכבר נקבעו ב"חוקה בהתהוות" על ידי הכנסות שקדמו לה. כל שהוא מציין בעניין זה מצוי בפסקה </w:t>
      </w:r>
      <w:r w:rsidR="006C7E8F">
        <w:rPr>
          <w:rFonts w:ascii="Century" w:hAnsi="Century" w:hint="cs"/>
          <w:sz w:val="22"/>
          <w:rtl/>
        </w:rPr>
        <w:t>105</w:t>
      </w:r>
      <w:r w:rsidR="003D7BFC" w:rsidRPr="006C4917">
        <w:rPr>
          <w:rFonts w:ascii="Century" w:hAnsi="Century" w:hint="cs"/>
          <w:sz w:val="22"/>
          <w:rtl/>
        </w:rPr>
        <w:t xml:space="preserve"> לחוות דעתו, ומתמצה במשפט קצר אחד: ״</w:t>
      </w:r>
      <w:r w:rsidR="003D7BFC" w:rsidRPr="006C4917">
        <w:rPr>
          <w:rFonts w:ascii="Century" w:hAnsi="Century" w:cs="Miriam" w:hint="cs"/>
          <w:b/>
          <w:spacing w:val="0"/>
          <w:sz w:val="22"/>
          <w:szCs w:val="24"/>
          <w:rtl/>
        </w:rPr>
        <w:t>מהם אפוא אותם ׳נתונים חוקתיים׳? זאת לא נדע</w:t>
      </w:r>
      <w:r w:rsidR="003D7BFC" w:rsidRPr="006C4917">
        <w:rPr>
          <w:rFonts w:ascii="Century" w:hAnsi="Century" w:hint="cs"/>
          <w:sz w:val="22"/>
          <w:rtl/>
        </w:rPr>
        <w:t xml:space="preserve">״. סבורני שלשאלה זו תשובות טובות הן בחוות דעת הנשיאה (בדימ') </w:t>
      </w:r>
      <w:r w:rsidR="003D7BFC" w:rsidRPr="006C4917">
        <w:rPr>
          <w:rFonts w:ascii="Century" w:hAnsi="Century" w:cs="Miriam" w:hint="cs"/>
          <w:b/>
          <w:spacing w:val="0"/>
          <w:sz w:val="22"/>
          <w:szCs w:val="24"/>
          <w:rtl/>
        </w:rPr>
        <w:t>חיות</w:t>
      </w:r>
      <w:r w:rsidR="003D7BFC" w:rsidRPr="006C4917">
        <w:rPr>
          <w:rFonts w:ascii="Century" w:hAnsi="Century" w:hint="cs"/>
          <w:sz w:val="22"/>
          <w:rtl/>
        </w:rPr>
        <w:t xml:space="preserve"> והן בחוות דעתי, וגם בעניין זה אמנע מלהוסיף.</w:t>
      </w:r>
    </w:p>
    <w:p w:rsidR="003D7BFC" w:rsidRPr="006C4917" w:rsidRDefault="003D7BFC" w:rsidP="003D7BFC">
      <w:pPr>
        <w:pStyle w:val="Ruller41"/>
        <w:rPr>
          <w:rFonts w:ascii="Century" w:hAnsi="Century"/>
          <w:rtl/>
        </w:rPr>
      </w:pPr>
    </w:p>
    <w:p w:rsidR="003D7BFC" w:rsidRPr="006C4917" w:rsidRDefault="00FF49CB" w:rsidP="006C7E8F">
      <w:pPr>
        <w:pStyle w:val="Ruller4"/>
        <w:numPr>
          <w:ilvl w:val="0"/>
          <w:numId w:val="0"/>
        </w:numPr>
        <w:rPr>
          <w:rFonts w:ascii="Century" w:hAnsi="Century"/>
          <w:sz w:val="22"/>
          <w:rtl/>
        </w:rPr>
      </w:pPr>
      <w:r>
        <w:rPr>
          <w:rFonts w:ascii="Century" w:hAnsi="Century" w:hint="cs"/>
          <w:sz w:val="22"/>
          <w:rtl/>
        </w:rPr>
        <w:t>61</w:t>
      </w:r>
      <w:r w:rsidR="003D7BFC" w:rsidRPr="006C4917">
        <w:rPr>
          <w:rFonts w:ascii="Century" w:hAnsi="Century" w:hint="cs"/>
          <w:sz w:val="22"/>
          <w:rtl/>
        </w:rPr>
        <w:t xml:space="preserve">ה. </w:t>
      </w:r>
      <w:r w:rsidR="003D7BFC" w:rsidRPr="006C4917">
        <w:rPr>
          <w:rFonts w:ascii="Century" w:hAnsi="Century"/>
          <w:sz w:val="22"/>
          <w:rtl/>
        </w:rPr>
        <w:tab/>
      </w:r>
      <w:r w:rsidR="003D7BFC" w:rsidRPr="006C4917">
        <w:rPr>
          <w:rFonts w:ascii="Century" w:hAnsi="Century" w:hint="cs"/>
          <w:sz w:val="22"/>
          <w:rtl/>
        </w:rPr>
        <w:t xml:space="preserve">חלקה השני של התייחסות חברי לשאלת הסמכות מעלה תהיות תורת-משפטיות בדבר סמכותנו להכריע ברוב דעות בשאלה המשפטית שלפנינו: קיומה או העדרה של סמכות לרשות השופטת לבקר חוקי יסוד. שתי תהיות מוצגות על ידי חברי בהקשר זה: האחת, באיזה רוב מקרב שופטי ההרכב נדרש להכריע בשאלה שבמחלוקת </w:t>
      </w:r>
      <w:r w:rsidR="003D7BFC" w:rsidRPr="006C4917">
        <w:rPr>
          <w:rFonts w:ascii="Century" w:hAnsi="Century"/>
          <w:sz w:val="22"/>
          <w:rtl/>
        </w:rPr>
        <w:t>–</w:t>
      </w:r>
      <w:r w:rsidR="003D7BFC" w:rsidRPr="006C4917">
        <w:rPr>
          <w:rFonts w:ascii="Century" w:hAnsi="Century" w:hint="cs"/>
          <w:sz w:val="22"/>
          <w:rtl/>
        </w:rPr>
        <w:t xml:space="preserve"> דהיינו, האם ניתן להכריע בה ברוב רגיל או שנדרשת הסכמה פה אחד (קונצנזוס) (להלן: </w:t>
      </w:r>
      <w:r w:rsidR="003D7BFC" w:rsidRPr="006C4917">
        <w:rPr>
          <w:rFonts w:ascii="Century" w:hAnsi="Century" w:cs="Miriam" w:hint="cs"/>
          <w:b/>
          <w:spacing w:val="0"/>
          <w:sz w:val="22"/>
          <w:szCs w:val="24"/>
          <w:rtl/>
        </w:rPr>
        <w:t>התהייה בשאלת סמכות הרוב להכריע</w:t>
      </w:r>
      <w:r w:rsidR="003D7BFC" w:rsidRPr="006C4917">
        <w:rPr>
          <w:rFonts w:ascii="Century" w:hAnsi="Century" w:hint="cs"/>
          <w:sz w:val="22"/>
          <w:rtl/>
        </w:rPr>
        <w:t xml:space="preserve">. פסקאות </w:t>
      </w:r>
      <w:r w:rsidR="006C7E8F">
        <w:rPr>
          <w:rFonts w:ascii="Century" w:hAnsi="Century" w:hint="cs"/>
          <w:sz w:val="22"/>
          <w:rtl/>
        </w:rPr>
        <w:t>127-124</w:t>
      </w:r>
      <w:r w:rsidR="003D7BFC" w:rsidRPr="006C4917">
        <w:rPr>
          <w:rFonts w:ascii="Century" w:hAnsi="Century" w:hint="cs"/>
          <w:sz w:val="22"/>
          <w:rtl/>
        </w:rPr>
        <w:t xml:space="preserve"> לחוות דעתו); השנייה, האם יש לרשות השופטת בכלל סמכות להכריע בשאלת סמכותה (להלן: </w:t>
      </w:r>
      <w:r w:rsidR="003D7BFC" w:rsidRPr="006C4917">
        <w:rPr>
          <w:rFonts w:ascii="Century" w:hAnsi="Century" w:cs="Miriam" w:hint="cs"/>
          <w:b/>
          <w:spacing w:val="0"/>
          <w:sz w:val="22"/>
          <w:szCs w:val="24"/>
          <w:rtl/>
        </w:rPr>
        <w:t>התהייה בשאלת סמכות הרשות השופטת</w:t>
      </w:r>
      <w:r w:rsidR="003D7BFC" w:rsidRPr="006C4917">
        <w:rPr>
          <w:rFonts w:ascii="Century" w:hAnsi="Century" w:hint="cs"/>
          <w:sz w:val="22"/>
          <w:rtl/>
        </w:rPr>
        <w:t xml:space="preserve">. פסקאות </w:t>
      </w:r>
      <w:r w:rsidR="006C7E8F">
        <w:rPr>
          <w:rFonts w:ascii="Century" w:hAnsi="Century" w:hint="cs"/>
          <w:sz w:val="22"/>
          <w:rtl/>
        </w:rPr>
        <w:t>141-130</w:t>
      </w:r>
      <w:r w:rsidR="003D7BFC" w:rsidRPr="006C4917">
        <w:rPr>
          <w:rFonts w:ascii="Century" w:hAnsi="Century" w:hint="cs"/>
          <w:sz w:val="22"/>
          <w:rtl/>
        </w:rPr>
        <w:t xml:space="preserve"> לחוות דעתו). להלן אבהיר בקצרה מדוע אני סבור שלשתי התהיות הללו אין מקום. </w:t>
      </w:r>
    </w:p>
    <w:p w:rsidR="003D7BFC" w:rsidRPr="006C4917" w:rsidRDefault="003D7BFC" w:rsidP="003D7BFC">
      <w:pPr>
        <w:pStyle w:val="Ruller41"/>
        <w:rPr>
          <w:rFonts w:ascii="Century" w:hAnsi="Century"/>
          <w:rtl/>
        </w:rPr>
      </w:pPr>
    </w:p>
    <w:p w:rsidR="003D7BFC" w:rsidRPr="006C4917" w:rsidRDefault="002C3679" w:rsidP="006C7E8F">
      <w:pPr>
        <w:pStyle w:val="Ruller4"/>
        <w:numPr>
          <w:ilvl w:val="0"/>
          <w:numId w:val="0"/>
        </w:numPr>
        <w:rPr>
          <w:rFonts w:ascii="Century" w:hAnsi="Century"/>
          <w:sz w:val="22"/>
          <w:rtl/>
        </w:rPr>
      </w:pPr>
      <w:r>
        <w:rPr>
          <w:rFonts w:ascii="Century" w:hAnsi="Century"/>
          <w:sz w:val="22"/>
          <w:rtl/>
        </w:rPr>
        <w:tab/>
      </w:r>
      <w:r w:rsidR="003D7BFC" w:rsidRPr="006C4917">
        <w:rPr>
          <w:rFonts w:ascii="Century" w:hAnsi="Century" w:hint="cs"/>
          <w:sz w:val="22"/>
          <w:rtl/>
        </w:rPr>
        <w:t xml:space="preserve">התהייה בשאלת סמכות הרוב להכריע נוגעת לעניין המצוי ביסוד מנגנון ההכרעה המקובל בכל ההליכים השיפוטיים בישראל, "אחר רבים להטות" </w:t>
      </w:r>
      <w:r w:rsidR="003D7BFC" w:rsidRPr="006C4917">
        <w:rPr>
          <w:rFonts w:ascii="Century" w:hAnsi="Century"/>
          <w:sz w:val="22"/>
          <w:rtl/>
        </w:rPr>
        <w:t>–</w:t>
      </w:r>
      <w:r w:rsidR="003D7BFC" w:rsidRPr="006C4917">
        <w:rPr>
          <w:rFonts w:ascii="Century" w:hAnsi="Century" w:hint="cs"/>
          <w:sz w:val="22"/>
          <w:rtl/>
        </w:rPr>
        <w:t xml:space="preserve"> המעוגן נורמטיבית בסעיף 80(א) לחוק בתי המשפט [נוסח משולב], התשמ"ד-1984. חברי השופט </w:t>
      </w:r>
      <w:r w:rsidR="003D7BFC" w:rsidRPr="006C4917">
        <w:rPr>
          <w:rFonts w:ascii="Century" w:hAnsi="Century" w:cs="Miriam" w:hint="cs"/>
          <w:b/>
          <w:spacing w:val="0"/>
          <w:sz w:val="22"/>
          <w:szCs w:val="24"/>
          <w:rtl/>
        </w:rPr>
        <w:t>סולברג</w:t>
      </w:r>
      <w:r w:rsidR="003D7BFC" w:rsidRPr="006C4917">
        <w:rPr>
          <w:rFonts w:ascii="Century" w:hAnsi="Century" w:hint="cs"/>
          <w:sz w:val="22"/>
          <w:rtl/>
        </w:rPr>
        <w:t xml:space="preserve"> מודע כמובן לכך, ואולם הוא עדיין סבור שיש מקום לעורר את התהייה בהקשר בו עסקינן, מאחר שהעיקרון ״אחר רבים להטות״ לא עוגן בחוק יסוד (ראו פסקה </w:t>
      </w:r>
      <w:r w:rsidR="006C7E8F">
        <w:rPr>
          <w:rFonts w:ascii="Century" w:hAnsi="Century" w:hint="cs"/>
          <w:sz w:val="22"/>
          <w:rtl/>
        </w:rPr>
        <w:t xml:space="preserve">128 </w:t>
      </w:r>
      <w:r w:rsidR="003D7BFC" w:rsidRPr="006C4917">
        <w:rPr>
          <w:rFonts w:ascii="Century" w:hAnsi="Century" w:hint="cs"/>
          <w:sz w:val="22"/>
          <w:rtl/>
        </w:rPr>
        <w:t xml:space="preserve">לחוות דעתו). ואולם, בהעדר כל קביעה נוגדת בחוק יסוד, אין זה ברור כלל מדוע קביעה זו של המחוקק איננה מחייבת גם בעניין זה. לצורך השוואה, די שאציין כי מנגנון ההכרעה של הכנסת ביחס לכינון חוק יסוד נקבע אפילו במדרג נורמטיבי נמוך מחקיקה ראשית (תקנון הכנסת. ראו עניין </w:t>
      </w:r>
      <w:r w:rsidR="003D7BFC" w:rsidRPr="006C4917">
        <w:rPr>
          <w:rFonts w:ascii="Century" w:hAnsi="Century" w:cs="Miriam" w:hint="cs"/>
          <w:b/>
          <w:spacing w:val="0"/>
          <w:sz w:val="22"/>
          <w:szCs w:val="24"/>
          <w:rtl/>
        </w:rPr>
        <w:t>בר-און</w:t>
      </w:r>
      <w:r w:rsidR="003D7BFC" w:rsidRPr="006C4917">
        <w:rPr>
          <w:rFonts w:ascii="Century" w:hAnsi="Century" w:hint="cs"/>
          <w:sz w:val="22"/>
          <w:rtl/>
        </w:rPr>
        <w:t>, בעמ' 298), ואיש אינו כופר בתוקפו רק משום שלא נקבע בחוק יסוד.</w:t>
      </w:r>
    </w:p>
    <w:p w:rsidR="003D7BFC" w:rsidRPr="006C4917" w:rsidRDefault="003D7BFC" w:rsidP="003D7BFC">
      <w:pPr>
        <w:pStyle w:val="Ruller41"/>
        <w:rPr>
          <w:rFonts w:ascii="Century" w:hAnsi="Century"/>
          <w:rtl/>
        </w:rPr>
      </w:pPr>
    </w:p>
    <w:p w:rsidR="003D7BFC" w:rsidRPr="006C4917" w:rsidRDefault="002C3679" w:rsidP="004E24BB">
      <w:pPr>
        <w:pStyle w:val="Ruller4"/>
        <w:numPr>
          <w:ilvl w:val="0"/>
          <w:numId w:val="0"/>
        </w:numPr>
        <w:rPr>
          <w:rFonts w:ascii="Century" w:hAnsi="Century"/>
          <w:sz w:val="22"/>
        </w:rPr>
      </w:pPr>
      <w:r>
        <w:rPr>
          <w:rFonts w:ascii="Century" w:hAnsi="Century"/>
          <w:sz w:val="22"/>
          <w:rtl/>
        </w:rPr>
        <w:lastRenderedPageBreak/>
        <w:tab/>
      </w:r>
      <w:r w:rsidR="003D7BFC" w:rsidRPr="006C4917">
        <w:rPr>
          <w:rFonts w:ascii="Century" w:hAnsi="Century" w:hint="cs"/>
          <w:sz w:val="22"/>
          <w:rtl/>
        </w:rPr>
        <w:t>התהייה בשאלת סמכות הרשות השופטת, מוגדרת על ידי חברי כ"</w:t>
      </w:r>
      <w:r w:rsidR="003D7BFC" w:rsidRPr="006C4917">
        <w:rPr>
          <w:rFonts w:ascii="Century" w:hAnsi="Century" w:cs="Miriam" w:hint="cs"/>
          <w:b/>
          <w:spacing w:val="0"/>
          <w:sz w:val="22"/>
          <w:szCs w:val="24"/>
          <w:rtl/>
        </w:rPr>
        <w:t>מטא-שאלה</w:t>
      </w:r>
      <w:r w:rsidR="003D7BFC" w:rsidRPr="006C4917">
        <w:rPr>
          <w:rFonts w:ascii="Century" w:hAnsi="Century" w:hint="cs"/>
          <w:sz w:val="22"/>
          <w:rtl/>
        </w:rPr>
        <w:t xml:space="preserve">״: מהיכן לנו שלרשות השופטת בכלל, ולבית משפט זה בפרט, הסמכות להכריע בשאלה מהו הדין הנוהג (הדין הפוזיטיבי) בדבר סמכות בית המשפט העליון לבקר חוקי יסוד? (פסקאות </w:t>
      </w:r>
      <w:r w:rsidR="004E24BB">
        <w:rPr>
          <w:rFonts w:ascii="Century" w:hAnsi="Century" w:hint="cs"/>
          <w:sz w:val="22"/>
          <w:rtl/>
        </w:rPr>
        <w:t>133-132</w:t>
      </w:r>
      <w:r w:rsidR="003D7BFC" w:rsidRPr="006C4917">
        <w:rPr>
          <w:rFonts w:ascii="Century" w:hAnsi="Century" w:hint="cs"/>
          <w:sz w:val="22"/>
          <w:rtl/>
        </w:rPr>
        <w:t xml:space="preserve"> לחוות דעתו). תהייה זו מעמידה על המוקד מושכלת יסוד, העומדת בבסיס שיטתנו החוקתית. אכן, תיתכן שיטת משטר בה גורם אחר </w:t>
      </w:r>
      <w:r w:rsidR="003D7BFC" w:rsidRPr="006C4917">
        <w:rPr>
          <w:rFonts w:ascii="Century" w:hAnsi="Century"/>
          <w:sz w:val="22"/>
          <w:rtl/>
        </w:rPr>
        <w:t>–</w:t>
      </w:r>
      <w:r w:rsidR="003D7BFC" w:rsidRPr="006C4917">
        <w:rPr>
          <w:rFonts w:ascii="Century" w:hAnsi="Century" w:hint="cs"/>
          <w:sz w:val="22"/>
          <w:rtl/>
        </w:rPr>
        <w:t xml:space="preserve"> ולא הרשות השופטת </w:t>
      </w:r>
      <w:r w:rsidR="003D7BFC" w:rsidRPr="006C4917">
        <w:rPr>
          <w:rFonts w:ascii="Century" w:hAnsi="Century"/>
          <w:sz w:val="22"/>
          <w:rtl/>
        </w:rPr>
        <w:t>–</w:t>
      </w:r>
      <w:r w:rsidR="003D7BFC" w:rsidRPr="006C4917">
        <w:rPr>
          <w:rFonts w:ascii="Century" w:hAnsi="Century" w:hint="cs"/>
          <w:sz w:val="22"/>
          <w:rtl/>
        </w:rPr>
        <w:t xml:space="preserve"> מופקד על הקביעה הפרשנית מהו הדין הנוהג בשאלות יסוד חוקתיות, ואולם בשיטה זו אין הפרדת רשויות ואין דמוקרטיה. תחת המוסכמה החוקתית לפיה הרשות השופטת היא זו שמכריעה בשאלה הפרשנית מהו הדין הנוהג, גם בשאלות יסוד חוקתיות (ובכלל זה שאלות פרשניות הנגועות ל"כללים מסדר שני". ראו פסקה 29 לעיל), ובהעדר גוף שיפוטי אחר שהוסמך כדין להחליט בעניין (כגון, בית משפט חוקתי), בית משפט זה, מכוח סמכותו השיורית שבסעיף 15(ג) לחוק-יסוד: השפיטה, הוא הגורם המוסמך להכריע גם בשאלות פרשניות המתעוררות ביחס לתחומי סמכותו </w:t>
      </w:r>
      <w:r w:rsidR="003D7BFC" w:rsidRPr="006C4917">
        <w:rPr>
          <w:rFonts w:ascii="Century" w:hAnsi="Century"/>
          <w:sz w:val="22"/>
          <w:rtl/>
        </w:rPr>
        <w:t>–</w:t>
      </w:r>
      <w:r w:rsidR="003D7BFC" w:rsidRPr="006C4917">
        <w:rPr>
          <w:rFonts w:ascii="Century" w:hAnsi="Century" w:hint="cs"/>
          <w:sz w:val="22"/>
          <w:rtl/>
        </w:rPr>
        <w:t xml:space="preserve"> על כך בוודאי שהיה, ולמיטב הבנתי עדיין יש, קונצנזוס בקרב כלל שופטי בית המשפט העליון לדורותיו. </w:t>
      </w:r>
    </w:p>
    <w:p w:rsidR="003D7BFC" w:rsidRPr="006C4917" w:rsidRDefault="003D7BFC" w:rsidP="003D7BFC">
      <w:pPr>
        <w:pStyle w:val="Ruller41"/>
        <w:rPr>
          <w:rFonts w:ascii="Century" w:hAnsi="Century"/>
          <w:rtl/>
        </w:rPr>
      </w:pPr>
    </w:p>
    <w:p w:rsidR="003D7BFC" w:rsidRPr="006C4917" w:rsidRDefault="003D7BFC" w:rsidP="003D7BFC">
      <w:pPr>
        <w:pStyle w:val="Ruller41"/>
        <w:keepNext/>
        <w:rPr>
          <w:rFonts w:ascii="Century" w:hAnsi="Century" w:cs="Miriam"/>
          <w:b/>
          <w:spacing w:val="0"/>
          <w:szCs w:val="24"/>
          <w:rtl/>
        </w:rPr>
      </w:pPr>
      <w:r w:rsidRPr="006C4917">
        <w:rPr>
          <w:rFonts w:ascii="Century" w:hAnsi="Century" w:cs="Miriam" w:hint="cs"/>
          <w:b/>
          <w:spacing w:val="0"/>
          <w:szCs w:val="24"/>
          <w:rtl/>
        </w:rPr>
        <w:t>סיכום הדיון העקרוני</w:t>
      </w:r>
    </w:p>
    <w:p w:rsidR="003D7BFC" w:rsidRPr="006C4917" w:rsidRDefault="003D7BFC" w:rsidP="002C3679">
      <w:pPr>
        <w:pStyle w:val="Ruller41"/>
        <w:keepNext/>
        <w:spacing w:line="276" w:lineRule="auto"/>
        <w:rPr>
          <w:rFonts w:ascii="Century" w:hAnsi="Century"/>
        </w:rPr>
      </w:pPr>
    </w:p>
    <w:p w:rsidR="003D7BFC" w:rsidRPr="006C4917" w:rsidRDefault="003D7BFC" w:rsidP="003D7BFC">
      <w:pPr>
        <w:pStyle w:val="Ruller4"/>
        <w:keepNext/>
        <w:rPr>
          <w:rtl/>
        </w:rPr>
      </w:pPr>
      <w:r w:rsidRPr="006C4917">
        <w:rPr>
          <w:rFonts w:hint="cs"/>
          <w:rtl/>
        </w:rPr>
        <w:t>עמדתי, המשלבת בין המצב החוקתי הקיים לבין "הפרקים החדשים" אותם עלינו לכתוב בספר המשפט החוקתי הישראלי, היא, איפוא, כדלהלן:</w:t>
      </w:r>
    </w:p>
    <w:p w:rsidR="003D7BFC" w:rsidRPr="006C4917" w:rsidRDefault="003D7BFC" w:rsidP="003D7BFC">
      <w:pPr>
        <w:pStyle w:val="Ruller41"/>
      </w:pPr>
    </w:p>
    <w:p w:rsidR="003D7BFC" w:rsidRPr="006C4917" w:rsidRDefault="003D7BFC" w:rsidP="003D7BFC">
      <w:pPr>
        <w:pStyle w:val="Ruller41"/>
        <w:numPr>
          <w:ilvl w:val="0"/>
          <w:numId w:val="23"/>
        </w:numPr>
      </w:pPr>
      <w:r w:rsidRPr="006C4917">
        <w:rPr>
          <w:rFonts w:hint="cs"/>
          <w:rtl/>
        </w:rPr>
        <w:t>מפעל החוקה הישראלי הוא ייחודי, ומבוסס לעת הזו על "חוקה בהתהוות", אשר היא תוצר של פרויקט מתמשך, בו נטלו חלק כנסות ישראל לדורותיהן, בכובען כרשות המכוננת, והוא טרם הגיע אל סיומו.</w:t>
      </w:r>
    </w:p>
    <w:p w:rsidR="003D7BFC" w:rsidRPr="006C4917" w:rsidRDefault="003D7BFC" w:rsidP="003D7BFC">
      <w:pPr>
        <w:pStyle w:val="Ruller41"/>
      </w:pPr>
    </w:p>
    <w:p w:rsidR="003D7BFC" w:rsidRPr="006C4917" w:rsidRDefault="003D7BFC" w:rsidP="003D7BFC">
      <w:pPr>
        <w:pStyle w:val="Ruller41"/>
        <w:numPr>
          <w:ilvl w:val="0"/>
          <w:numId w:val="23"/>
        </w:numPr>
      </w:pPr>
      <w:r w:rsidRPr="006C4917">
        <w:rPr>
          <w:rFonts w:hint="cs"/>
          <w:rtl/>
        </w:rPr>
        <w:t>"החוקה בהתהוות" מורכבת "פרקים פרקים", מחוקי יסוד אשר מהווים את הנורמה העליונה בפירמידת הנורמות של המשפט הישראלי, וזאת כבר ממועד התחילה שנקבע בהם, ועוד בטרם יושלם מפעל החוקה.</w:t>
      </w:r>
    </w:p>
    <w:p w:rsidR="003D7BFC" w:rsidRPr="006C4917" w:rsidRDefault="003D7BFC" w:rsidP="003D7BFC">
      <w:pPr>
        <w:pStyle w:val="Ruller41"/>
        <w:rPr>
          <w:rtl/>
        </w:rPr>
      </w:pPr>
    </w:p>
    <w:p w:rsidR="003D7BFC" w:rsidRPr="006C4917" w:rsidRDefault="003D7BFC" w:rsidP="003D7BFC">
      <w:pPr>
        <w:pStyle w:val="Ruller41"/>
        <w:numPr>
          <w:ilvl w:val="0"/>
          <w:numId w:val="23"/>
        </w:numPr>
      </w:pPr>
      <w:r w:rsidRPr="006C4917">
        <w:rPr>
          <w:rFonts w:hint="cs"/>
          <w:rtl/>
        </w:rPr>
        <w:t>בהתאם ל"תורת שני הכובעים", משמשת הכנסת המכהנת הן כרשות המחוקקת, והן כרשות המכוננת של מדינת ישראל. בכובעה המכונן הכנסת היא ממשיכת דרכן של הכנסות הקודמות במפעל "החוקה בהתהוות", ותפקידה הוא להמשיך את פרויקט החוקה, ולקדמו לכדי סיום.</w:t>
      </w:r>
    </w:p>
    <w:p w:rsidR="003D7BFC" w:rsidRPr="006C4917" w:rsidRDefault="003D7BFC" w:rsidP="003D7BFC">
      <w:pPr>
        <w:pStyle w:val="Ruller41"/>
        <w:rPr>
          <w:rtl/>
        </w:rPr>
      </w:pPr>
    </w:p>
    <w:p w:rsidR="003D7BFC" w:rsidRPr="006C4917" w:rsidRDefault="003D7BFC" w:rsidP="003D7BFC">
      <w:pPr>
        <w:pStyle w:val="Ruller41"/>
        <w:numPr>
          <w:ilvl w:val="0"/>
          <w:numId w:val="23"/>
        </w:numPr>
      </w:pPr>
      <w:r w:rsidRPr="006C4917">
        <w:rPr>
          <w:rFonts w:hint="cs"/>
          <w:rtl/>
        </w:rPr>
        <w:lastRenderedPageBreak/>
        <w:t>לכנסת המכהנת, עומדת בכובעה המכונן הסמכות לתקן ולהוסיף על "החוקה בהתהוות", וזאת בכפוף למגבלות משלושה סוגים:</w:t>
      </w:r>
    </w:p>
    <w:p w:rsidR="003D7BFC" w:rsidRPr="006C4917" w:rsidRDefault="003D7BFC" w:rsidP="003D7BFC">
      <w:pPr>
        <w:pStyle w:val="Ruller41"/>
        <w:rPr>
          <w:rtl/>
        </w:rPr>
      </w:pPr>
    </w:p>
    <w:p w:rsidR="003D7BFC" w:rsidRPr="006C4917" w:rsidRDefault="003D7BFC" w:rsidP="003D7BFC">
      <w:pPr>
        <w:pStyle w:val="Ruller41"/>
        <w:numPr>
          <w:ilvl w:val="0"/>
          <w:numId w:val="24"/>
        </w:numPr>
      </w:pPr>
      <w:r w:rsidRPr="006C4917">
        <w:rPr>
          <w:rFonts w:ascii="Century" w:hAnsi="Century" w:cs="Miriam" w:hint="cs"/>
          <w:b/>
          <w:spacing w:val="0"/>
          <w:szCs w:val="24"/>
          <w:rtl/>
        </w:rPr>
        <w:t>מגבלת התקינות</w:t>
      </w:r>
      <w:r w:rsidRPr="006C4917">
        <w:rPr>
          <w:rFonts w:hint="cs"/>
          <w:rtl/>
        </w:rPr>
        <w:t>: העברת חוק יסוד חדש, או תיקון לחוק יסוד קיים, צריכה להתבצע בהתאם לכללים "מסדר שני" המבהירים כיצד יש להעביר חוק יסוד או לתקנו.</w:t>
      </w:r>
    </w:p>
    <w:p w:rsidR="003D7BFC" w:rsidRPr="006C4917" w:rsidRDefault="003D7BFC" w:rsidP="003D7BFC">
      <w:pPr>
        <w:pStyle w:val="Ruller41"/>
      </w:pPr>
    </w:p>
    <w:p w:rsidR="003D7BFC" w:rsidRPr="006C4917" w:rsidRDefault="003D7BFC" w:rsidP="003D7BFC">
      <w:pPr>
        <w:pStyle w:val="Ruller41"/>
        <w:numPr>
          <w:ilvl w:val="0"/>
          <w:numId w:val="24"/>
        </w:numPr>
      </w:pPr>
      <w:r w:rsidRPr="006C4917">
        <w:rPr>
          <w:rFonts w:ascii="Century" w:hAnsi="Century" w:cs="Miriam" w:hint="cs"/>
          <w:b/>
          <w:spacing w:val="0"/>
          <w:szCs w:val="24"/>
          <w:rtl/>
        </w:rPr>
        <w:t>מגבלת האמון</w:t>
      </w:r>
      <w:r w:rsidRPr="006C4917">
        <w:rPr>
          <w:rFonts w:hint="cs"/>
          <w:rtl/>
        </w:rPr>
        <w:t>: בהפעילה את הסמכות המכוננת, על הכנסת וחבריה לפעול לשם הגשמת התכלית לשמה ניתנה להם הסמכות, דהיינו עיצוב קווי המתאר החוקתיים של מדינת ישראל. הוספת חוק יסוד או תיקון חוק יסוד הנעשים למטרה זרה, הינם בגדר שימוש לרעה בסמכות המכוננת. זה המצב, למשל, בחקיקת חוק יסוד שתכליתו פרסונלית או זמנית ללא צידוק מספיק.</w:t>
      </w:r>
    </w:p>
    <w:p w:rsidR="003D7BFC" w:rsidRPr="006C4917" w:rsidRDefault="003D7BFC" w:rsidP="003D7BFC">
      <w:pPr>
        <w:pStyle w:val="Ruller41"/>
        <w:rPr>
          <w:rtl/>
        </w:rPr>
      </w:pPr>
    </w:p>
    <w:p w:rsidR="003D7BFC" w:rsidRPr="006C4917" w:rsidRDefault="003D7BFC" w:rsidP="003D7BFC">
      <w:pPr>
        <w:pStyle w:val="Ruller41"/>
        <w:numPr>
          <w:ilvl w:val="0"/>
          <w:numId w:val="24"/>
        </w:numPr>
        <w:rPr>
          <w:rFonts w:ascii="Century" w:hAnsi="Century" w:cs="Miriam"/>
          <w:b/>
          <w:spacing w:val="0"/>
          <w:szCs w:val="24"/>
        </w:rPr>
      </w:pPr>
      <w:r w:rsidRPr="006C4917">
        <w:rPr>
          <w:rFonts w:ascii="Century" w:hAnsi="Century" w:cs="Miriam" w:hint="cs"/>
          <w:b/>
          <w:spacing w:val="0"/>
          <w:szCs w:val="24"/>
          <w:rtl/>
        </w:rPr>
        <w:t>מגבלת הסמכות</w:t>
      </w:r>
      <w:r w:rsidRPr="006C4917">
        <w:rPr>
          <w:rFonts w:ascii="Century" w:hAnsi="Century" w:hint="cs"/>
          <w:rtl/>
        </w:rPr>
        <w:t>: בהינתן טיבה של סמכות הכנסת המכהנת במפעל "החוקה בהתהוות" (המשך המפעל החוקתי, ולא יצירתו מבראשית), מחד גיסא, ותכליתה המרכזית של חוקה (מכשיר להגבלת כוחו של הרוב המזדמן בכנסת בכובעה כרשות המחוקקת), מאידך גיסא, הכנסת הנוכחית מוגבלת בסמכותה המכוננת בשני סייגים:</w:t>
      </w:r>
    </w:p>
    <w:p w:rsidR="003D7BFC" w:rsidRPr="006C4917" w:rsidRDefault="003D7BFC" w:rsidP="003D7BFC">
      <w:pPr>
        <w:pStyle w:val="Ruller41"/>
        <w:rPr>
          <w:rtl/>
        </w:rPr>
      </w:pPr>
    </w:p>
    <w:p w:rsidR="003D7BFC" w:rsidRPr="006C4917" w:rsidRDefault="003D7BFC" w:rsidP="003D7BFC">
      <w:pPr>
        <w:pStyle w:val="Ruller41"/>
        <w:numPr>
          <w:ilvl w:val="0"/>
          <w:numId w:val="25"/>
        </w:numPr>
        <w:rPr>
          <w:rFonts w:ascii="Century" w:hAnsi="Century" w:cs="Miriam"/>
          <w:b/>
          <w:spacing w:val="0"/>
          <w:szCs w:val="24"/>
        </w:rPr>
      </w:pPr>
      <w:r w:rsidRPr="006C4917">
        <w:rPr>
          <w:rFonts w:ascii="Century" w:hAnsi="Century" w:hint="cs"/>
          <w:rtl/>
        </w:rPr>
        <w:t>הכנסת הנוכחית אינה מוסמכת כלל לקעקע את עקרונות היסוד שכבר נוצקו ב"חוקה בהתהוות", באופן הממוטט את המבנה שיצרו קודמותיה;</w:t>
      </w:r>
    </w:p>
    <w:p w:rsidR="003D7BFC" w:rsidRPr="006C4917" w:rsidRDefault="003D7BFC" w:rsidP="003D7BFC">
      <w:pPr>
        <w:pStyle w:val="Ruller41"/>
        <w:rPr>
          <w:rFonts w:ascii="Century" w:hAnsi="Century"/>
        </w:rPr>
      </w:pPr>
    </w:p>
    <w:p w:rsidR="003D7BFC" w:rsidRPr="006C4917" w:rsidRDefault="003D7BFC" w:rsidP="003D7BFC">
      <w:pPr>
        <w:pStyle w:val="Ruller41"/>
        <w:numPr>
          <w:ilvl w:val="0"/>
          <w:numId w:val="25"/>
        </w:numPr>
        <w:rPr>
          <w:rFonts w:ascii="Century" w:hAnsi="Century" w:cs="Miriam"/>
          <w:b/>
          <w:spacing w:val="0"/>
          <w:szCs w:val="24"/>
        </w:rPr>
      </w:pPr>
      <w:r w:rsidRPr="006C4917">
        <w:rPr>
          <w:rFonts w:ascii="Century" w:hAnsi="Century" w:hint="cs"/>
          <w:rtl/>
        </w:rPr>
        <w:t xml:space="preserve">סמכותה של הכנסת הנוכחית לבצע שינויים המהווים סטייה ניכרת מעקרונות היסוד שכבר נוצקו ב"חוקה בהתהוות" מותנית בגיבוש הסכמה רחבה, ואינה יכולה להתבצע על בסיס רוב מזדמן </w:t>
      </w:r>
      <w:r w:rsidRPr="006C4917">
        <w:rPr>
          <w:rFonts w:ascii="Century" w:hAnsi="Century"/>
          <w:rtl/>
        </w:rPr>
        <w:t>–</w:t>
      </w:r>
      <w:r w:rsidRPr="006C4917">
        <w:rPr>
          <w:rFonts w:ascii="Century" w:hAnsi="Century" w:hint="cs"/>
          <w:rtl/>
        </w:rPr>
        <w:t xml:space="preserve"> אותו רוב שאת כוחו מיועדת החוקה להגביל.</w:t>
      </w:r>
    </w:p>
    <w:p w:rsidR="003D7BFC" w:rsidRPr="006C4917" w:rsidRDefault="003D7BFC" w:rsidP="003D7BFC">
      <w:pPr>
        <w:pStyle w:val="Ruller41"/>
        <w:rPr>
          <w:rFonts w:ascii="Century" w:hAnsi="Century"/>
          <w:rtl/>
        </w:rPr>
      </w:pPr>
    </w:p>
    <w:p w:rsidR="003D7BFC" w:rsidRPr="006C4917" w:rsidRDefault="003D7BFC" w:rsidP="003D7BFC">
      <w:pPr>
        <w:pStyle w:val="Ruller41"/>
        <w:numPr>
          <w:ilvl w:val="0"/>
          <w:numId w:val="23"/>
        </w:numPr>
      </w:pPr>
      <w:r w:rsidRPr="006C4917">
        <w:rPr>
          <w:rFonts w:hint="cs"/>
          <w:rtl/>
        </w:rPr>
        <w:t>לבית המשפט העליון, בכובעו כבית המשפט הגבוה לצדק, נתונה מכוח סעיף 15 לחוק-יסוד: השפיטה, הסמכות לפקח על כך שהכנסת, בפועלה כרשות מכוננת, לא חרגה מגדר המגבלות המוטלות עליה.</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lastRenderedPageBreak/>
        <w:t>בהינתן כל אלה, נוכל לעבור לבחינת המקרה שלפנינו.</w:t>
      </w:r>
    </w:p>
    <w:p w:rsidR="003D7BFC" w:rsidRPr="006C4917" w:rsidRDefault="003D7BFC" w:rsidP="003D7BFC">
      <w:pPr>
        <w:pStyle w:val="Ruller41"/>
        <w:rPr>
          <w:rtl/>
        </w:rPr>
      </w:pPr>
    </w:p>
    <w:p w:rsidR="003D7BFC" w:rsidRPr="006C4917" w:rsidRDefault="003D7BFC" w:rsidP="003D7BFC">
      <w:pPr>
        <w:pStyle w:val="Ruller41"/>
        <w:keepNext/>
        <w:rPr>
          <w:rFonts w:ascii="Century" w:hAnsi="Century" w:cs="Miriam"/>
          <w:b/>
          <w:spacing w:val="0"/>
          <w:szCs w:val="24"/>
          <w:rtl/>
        </w:rPr>
      </w:pPr>
      <w:r w:rsidRPr="006C4917">
        <w:rPr>
          <w:rFonts w:ascii="Century" w:hAnsi="Century" w:cs="Miriam" w:hint="cs"/>
          <w:b/>
          <w:spacing w:val="0"/>
          <w:szCs w:val="24"/>
          <w:rtl/>
        </w:rPr>
        <w:t xml:space="preserve">תיקון מס' 3 לחוק-יסוד: השפיטה </w:t>
      </w:r>
      <w:r w:rsidRPr="006C4917">
        <w:rPr>
          <w:rFonts w:ascii="Century" w:hAnsi="Century" w:cs="Miriam"/>
          <w:b/>
          <w:spacing w:val="0"/>
          <w:szCs w:val="24"/>
          <w:rtl/>
        </w:rPr>
        <w:t>–</w:t>
      </w:r>
      <w:r w:rsidRPr="006C4917">
        <w:rPr>
          <w:rFonts w:ascii="Century" w:hAnsi="Century" w:cs="Miriam" w:hint="cs"/>
          <w:b/>
          <w:spacing w:val="0"/>
          <w:szCs w:val="24"/>
          <w:rtl/>
        </w:rPr>
        <w:t xml:space="preserve"> השאלות המתעוררות</w:t>
      </w:r>
    </w:p>
    <w:p w:rsidR="003D7BFC" w:rsidRPr="006C4917" w:rsidRDefault="003D7BFC" w:rsidP="003D7BFC">
      <w:pPr>
        <w:pStyle w:val="Ruller41"/>
        <w:keepNext/>
        <w:rPr>
          <w:rFonts w:ascii="Century" w:hAnsi="Century"/>
          <w:rtl/>
        </w:rPr>
      </w:pPr>
    </w:p>
    <w:p w:rsidR="003D7BFC" w:rsidRPr="006C4917" w:rsidRDefault="003D7BFC" w:rsidP="003D7BFC">
      <w:pPr>
        <w:pStyle w:val="Ruller4"/>
        <w:keepNext/>
      </w:pPr>
      <w:r w:rsidRPr="006C4917">
        <w:rPr>
          <w:rFonts w:hint="cs"/>
          <w:rtl/>
        </w:rPr>
        <w:t xml:space="preserve">חברתי הנשיאה (בדימ') </w:t>
      </w:r>
      <w:r w:rsidRPr="006C4917">
        <w:rPr>
          <w:rFonts w:ascii="Century" w:hAnsi="Century" w:cs="Miriam" w:hint="eastAsia"/>
          <w:b/>
          <w:spacing w:val="0"/>
          <w:sz w:val="22"/>
          <w:szCs w:val="24"/>
          <w:rtl/>
        </w:rPr>
        <w:t>חיות</w:t>
      </w:r>
      <w:r w:rsidRPr="006C4917">
        <w:rPr>
          <w:rFonts w:hint="cs"/>
          <w:rtl/>
        </w:rPr>
        <w:t xml:space="preserve"> סקרה בחוות דעתה את הרקע העובדתי הדרוש לענייננו, ובכלל זה את טיעוני הצדדים. אין בכוונתי לחזור על הדברים, ולפיכך אעבור מיד לדיון לגופו של עניין.</w:t>
      </w:r>
    </w:p>
    <w:p w:rsidR="003D7BFC" w:rsidRPr="006C4917" w:rsidRDefault="003D7BFC" w:rsidP="003D7BFC">
      <w:pPr>
        <w:pStyle w:val="Ruller41"/>
      </w:pPr>
    </w:p>
    <w:p w:rsidR="003D7BFC" w:rsidRPr="006C4917" w:rsidRDefault="003D7BFC" w:rsidP="003D7BFC">
      <w:pPr>
        <w:pStyle w:val="Ruller4"/>
      </w:pPr>
      <w:r w:rsidRPr="006C4917">
        <w:rPr>
          <w:rFonts w:hint="cs"/>
          <w:rtl/>
        </w:rPr>
        <w:t xml:space="preserve">לאור האמור בחלק העקרוני של חוות דעתי, עמדתי היא שיש בידינו סמכות לבקר את העברת חוק-יסוד: השפיטה (תיקון מס' 3) (להלן: </w:t>
      </w:r>
      <w:r w:rsidRPr="006C4917">
        <w:rPr>
          <w:rFonts w:ascii="Century" w:hAnsi="Century" w:cs="Miriam" w:hint="cs"/>
          <w:b/>
          <w:spacing w:val="0"/>
          <w:sz w:val="22"/>
          <w:szCs w:val="24"/>
          <w:rtl/>
        </w:rPr>
        <w:t xml:space="preserve">תיקון מס' 3 </w:t>
      </w:r>
      <w:r w:rsidRPr="006C4917">
        <w:rPr>
          <w:rFonts w:ascii="Century" w:hAnsi="Century" w:hint="cs"/>
          <w:sz w:val="22"/>
          <w:rtl/>
        </w:rPr>
        <w:t>או</w:t>
      </w:r>
      <w:r w:rsidRPr="006C4917">
        <w:rPr>
          <w:rFonts w:ascii="Century" w:hAnsi="Century" w:cs="Miriam" w:hint="cs"/>
          <w:b/>
          <w:spacing w:val="0"/>
          <w:sz w:val="22"/>
          <w:szCs w:val="24"/>
          <w:rtl/>
        </w:rPr>
        <w:t xml:space="preserve"> התיקון</w:t>
      </w:r>
      <w:r w:rsidRPr="006C4917">
        <w:rPr>
          <w:rFonts w:hint="cs"/>
          <w:rtl/>
        </w:rPr>
        <w:t xml:space="preserve">) בהתאם לכל אחת משלוש המגבלות המוטלות על הכנסת בכובעה כרשות מכוננת. העותרים העלו טענות הנוגעות לכל אחת משלוש המגבלות הללו, ואולם חברתי הנשיאה (בדימ') </w:t>
      </w:r>
      <w:r w:rsidRPr="006C4917">
        <w:rPr>
          <w:rFonts w:ascii="Century" w:hAnsi="Century" w:cs="Miriam" w:hint="eastAsia"/>
          <w:b/>
          <w:spacing w:val="0"/>
          <w:sz w:val="22"/>
          <w:szCs w:val="24"/>
          <w:rtl/>
        </w:rPr>
        <w:t>חיות</w:t>
      </w:r>
      <w:r w:rsidRPr="006C4917">
        <w:rPr>
          <w:rFonts w:hint="cs"/>
          <w:rtl/>
        </w:rPr>
        <w:t>, ביססה את פסק דינה בעיקר על מגבלת הסמכות, וכך נהגו גם רוב חברי המותב. לפיכך, אפסע גם אני בנתיב זה, תוך שאייחד הערות השלמה קצרות ביחס לשתי המגבלות הנוספות בסיום הדברים.</w:t>
      </w:r>
    </w:p>
    <w:p w:rsidR="003D7BFC" w:rsidRPr="006C4917" w:rsidRDefault="003D7BFC" w:rsidP="003D7BFC">
      <w:pPr>
        <w:pStyle w:val="Ruller41"/>
      </w:pPr>
    </w:p>
    <w:p w:rsidR="003D7BFC" w:rsidRPr="006C4917" w:rsidRDefault="003D7BFC" w:rsidP="003D7BFC">
      <w:pPr>
        <w:pStyle w:val="Ruller4"/>
      </w:pPr>
      <w:r w:rsidRPr="006C4917">
        <w:rPr>
          <w:rFonts w:hint="cs"/>
          <w:rtl/>
        </w:rPr>
        <w:t>חילוקי הדעות בין חבריי וחברותיי ביחס לעמידת התיקון במגבלת הסמכות, נוגעים בעיקרם לשתי שאלות מרכזיות:</w:t>
      </w:r>
    </w:p>
    <w:p w:rsidR="003D7BFC" w:rsidRPr="006C4917" w:rsidRDefault="003D7BFC" w:rsidP="003D7BFC">
      <w:pPr>
        <w:pStyle w:val="Ruller41"/>
      </w:pPr>
    </w:p>
    <w:p w:rsidR="003D7BFC" w:rsidRPr="006C4917" w:rsidRDefault="003D7BFC" w:rsidP="003D7BFC">
      <w:pPr>
        <w:pStyle w:val="Ruller41"/>
        <w:numPr>
          <w:ilvl w:val="0"/>
          <w:numId w:val="26"/>
        </w:numPr>
      </w:pPr>
      <w:r w:rsidRPr="006C4917">
        <w:rPr>
          <w:rFonts w:hint="cs"/>
          <w:rtl/>
        </w:rPr>
        <w:t xml:space="preserve">מהי הפרשנות שיש לתת לתיקון מס' 3 </w:t>
      </w:r>
      <w:r w:rsidRPr="006C4917">
        <w:rPr>
          <w:rtl/>
        </w:rPr>
        <w:t>–</w:t>
      </w:r>
      <w:r w:rsidRPr="006C4917">
        <w:rPr>
          <w:rFonts w:hint="cs"/>
          <w:rtl/>
        </w:rPr>
        <w:t xml:space="preserve"> האם שלילה מוחלטת של הסמכות לדון בסבירות החלטות של הממשלה, ראש הממשלה והשרים (להלן: </w:t>
      </w:r>
      <w:r w:rsidRPr="006C4917">
        <w:rPr>
          <w:rFonts w:ascii="Century" w:hAnsi="Century" w:cs="Miriam" w:hint="cs"/>
          <w:b/>
          <w:spacing w:val="0"/>
          <w:szCs w:val="24"/>
          <w:rtl/>
        </w:rPr>
        <w:t>החלטות הדרג הממשלתי</w:t>
      </w:r>
      <w:r w:rsidRPr="006C4917">
        <w:rPr>
          <w:rFonts w:hint="cs"/>
          <w:rtl/>
        </w:rPr>
        <w:t xml:space="preserve">), או שמא רק שלילה חלקית של הסמכות האמורה, המתייחסת לבחינת סבירות החלטות הדרג הממשלתי במבחן הסבירות האיזונית (מבחן </w:t>
      </w:r>
      <w:r w:rsidRPr="006C4917">
        <w:rPr>
          <w:rFonts w:ascii="Century" w:hAnsi="Century" w:cs="Miriam" w:hint="cs"/>
          <w:b/>
          <w:spacing w:val="0"/>
          <w:szCs w:val="24"/>
          <w:rtl/>
        </w:rPr>
        <w:t>דפי זהב</w:t>
      </w:r>
      <w:r w:rsidRPr="006C4917">
        <w:rPr>
          <w:rFonts w:hint="cs"/>
          <w:rtl/>
        </w:rPr>
        <w:t xml:space="preserve">), ולא לבחינתה במבחן הסבירות המקורית (מבחן </w:t>
      </w:r>
      <w:r w:rsidRPr="006C4917">
        <w:rPr>
          <w:rFonts w:ascii="Century" w:hAnsi="Century" w:cs="Miriam" w:hint="cs"/>
          <w:b/>
          <w:spacing w:val="0"/>
          <w:szCs w:val="24"/>
          <w:rtl/>
        </w:rPr>
        <w:t>ונסבורי</w:t>
      </w:r>
      <w:r w:rsidRPr="006C4917">
        <w:rPr>
          <w:rFonts w:hint="cs"/>
          <w:rtl/>
        </w:rPr>
        <w:t xml:space="preserve">)? חלק מחבריי וחברותיי (הנשיאה (בדימ') </w:t>
      </w:r>
      <w:r w:rsidRPr="006C4917">
        <w:rPr>
          <w:rFonts w:ascii="Century" w:hAnsi="Century" w:cs="Miriam" w:hint="cs"/>
          <w:b/>
          <w:spacing w:val="0"/>
          <w:szCs w:val="24"/>
          <w:rtl/>
        </w:rPr>
        <w:t>חיות</w:t>
      </w:r>
      <w:r w:rsidRPr="006C4917">
        <w:rPr>
          <w:rFonts w:hint="cs"/>
          <w:rtl/>
        </w:rPr>
        <w:t>, ממלא מקום הנשיא</w:t>
      </w:r>
      <w:r w:rsidRPr="006C4917">
        <w:rPr>
          <w:rFonts w:ascii="Century" w:hAnsi="Century" w:cs="Miriam" w:hint="cs"/>
          <w:b/>
          <w:spacing w:val="0"/>
          <w:szCs w:val="24"/>
          <w:rtl/>
        </w:rPr>
        <w:t xml:space="preserve"> פוגלמן</w:t>
      </w:r>
      <w:r w:rsidRPr="006C4917">
        <w:rPr>
          <w:rFonts w:hint="cs"/>
          <w:rtl/>
        </w:rPr>
        <w:t xml:space="preserve">, השופט </w:t>
      </w:r>
      <w:r w:rsidRPr="006C4917">
        <w:rPr>
          <w:rFonts w:ascii="Century" w:hAnsi="Century" w:cs="Miriam" w:hint="eastAsia"/>
          <w:b/>
          <w:spacing w:val="0"/>
          <w:szCs w:val="24"/>
          <w:rtl/>
        </w:rPr>
        <w:t>עמית</w:t>
      </w:r>
      <w:r w:rsidRPr="006C4917">
        <w:rPr>
          <w:rFonts w:ascii="Century" w:hAnsi="Century" w:cs="Miriam" w:hint="cs"/>
          <w:b/>
          <w:spacing w:val="0"/>
          <w:szCs w:val="24"/>
          <w:rtl/>
        </w:rPr>
        <w:t xml:space="preserve"> </w:t>
      </w:r>
      <w:r w:rsidRPr="006C4917">
        <w:rPr>
          <w:rFonts w:ascii="Century" w:hAnsi="Century" w:hint="cs"/>
          <w:rtl/>
        </w:rPr>
        <w:t>והשופטת</w:t>
      </w:r>
      <w:r w:rsidRPr="006C4917">
        <w:rPr>
          <w:rFonts w:ascii="Century" w:hAnsi="Century" w:cs="Miriam" w:hint="cs"/>
          <w:b/>
          <w:spacing w:val="0"/>
          <w:szCs w:val="24"/>
          <w:rtl/>
        </w:rPr>
        <w:t xml:space="preserve"> רונן</w:t>
      </w:r>
      <w:r w:rsidRPr="006C4917">
        <w:rPr>
          <w:rFonts w:hint="cs"/>
          <w:rtl/>
        </w:rPr>
        <w:t xml:space="preserve">), סבורים כי פרשנותו הנכונה של התיקון היא ביטול מוחלט של האפשרות לבצע ביקורת שיפוטית על החלטות הדרג הממשלתי בעילת הסבירות (להלן: </w:t>
      </w:r>
      <w:r w:rsidRPr="006C4917">
        <w:rPr>
          <w:rFonts w:ascii="Century" w:hAnsi="Century" w:cs="Miriam" w:hint="cs"/>
          <w:b/>
          <w:spacing w:val="0"/>
          <w:szCs w:val="24"/>
          <w:rtl/>
        </w:rPr>
        <w:t>גישת הביטול המלא</w:t>
      </w:r>
      <w:r w:rsidRPr="006C4917">
        <w:rPr>
          <w:rFonts w:hint="cs"/>
          <w:rtl/>
        </w:rPr>
        <w:t xml:space="preserve">); ואילו חלק אחר מהם (השופטת </w:t>
      </w:r>
      <w:r w:rsidRPr="006C4917">
        <w:rPr>
          <w:rFonts w:ascii="Century" w:hAnsi="Century" w:cs="Miriam" w:hint="eastAsia"/>
          <w:b/>
          <w:spacing w:val="0"/>
          <w:szCs w:val="24"/>
          <w:rtl/>
        </w:rPr>
        <w:t>יעל</w:t>
      </w:r>
      <w:r w:rsidRPr="006C4917">
        <w:rPr>
          <w:rFonts w:ascii="Century" w:hAnsi="Century" w:cs="Miriam"/>
          <w:b/>
          <w:spacing w:val="0"/>
          <w:szCs w:val="24"/>
          <w:rtl/>
        </w:rPr>
        <w:t xml:space="preserve"> </w:t>
      </w:r>
      <w:r w:rsidRPr="006C4917">
        <w:rPr>
          <w:rFonts w:ascii="Century" w:hAnsi="Century" w:cs="Miriam" w:hint="eastAsia"/>
          <w:b/>
          <w:spacing w:val="0"/>
          <w:szCs w:val="24"/>
          <w:rtl/>
        </w:rPr>
        <w:t>וילנר</w:t>
      </w:r>
      <w:r w:rsidRPr="006C4917">
        <w:rPr>
          <w:rFonts w:hint="cs"/>
          <w:rtl/>
        </w:rPr>
        <w:t xml:space="preserve">, השופט </w:t>
      </w:r>
      <w:r w:rsidRPr="006C4917">
        <w:rPr>
          <w:rFonts w:ascii="Century" w:hAnsi="Century" w:cs="Miriam" w:hint="eastAsia"/>
          <w:b/>
          <w:spacing w:val="0"/>
          <w:szCs w:val="24"/>
          <w:rtl/>
        </w:rPr>
        <w:t>שטיין</w:t>
      </w:r>
      <w:r w:rsidRPr="006C4917">
        <w:rPr>
          <w:rFonts w:hint="cs"/>
          <w:rtl/>
        </w:rPr>
        <w:t xml:space="preserve"> והשופטת</w:t>
      </w:r>
      <w:r w:rsidRPr="006C4917">
        <w:rPr>
          <w:rFonts w:ascii="Century" w:hAnsi="Century" w:cs="Miriam" w:hint="cs"/>
          <w:b/>
          <w:spacing w:val="0"/>
          <w:szCs w:val="24"/>
          <w:rtl/>
        </w:rPr>
        <w:t xml:space="preserve"> </w:t>
      </w:r>
      <w:r w:rsidRPr="006C4917">
        <w:rPr>
          <w:rFonts w:ascii="Century" w:hAnsi="Century" w:cs="Miriam" w:hint="eastAsia"/>
          <w:b/>
          <w:spacing w:val="0"/>
          <w:szCs w:val="24"/>
          <w:rtl/>
        </w:rPr>
        <w:t>כנפי</w:t>
      </w:r>
      <w:r w:rsidRPr="006C4917">
        <w:rPr>
          <w:rFonts w:ascii="Century" w:hAnsi="Century" w:cs="Miriam"/>
          <w:b/>
          <w:spacing w:val="0"/>
          <w:szCs w:val="24"/>
          <w:rtl/>
        </w:rPr>
        <w:t>-שטייניץ</w:t>
      </w:r>
      <w:r w:rsidRPr="006C4917">
        <w:rPr>
          <w:rFonts w:hint="cs"/>
          <w:rtl/>
        </w:rPr>
        <w:t xml:space="preserve">), סבורים כי פרשנותו הנכונה של תיקון מס' 3 (בין אם על דרך של פרשנות מצמצמת ובין אם על דרך פרשנות מקיימת), היא שלילת הסמכות לביקורת שיפוטית על החלטות הדרג הממשלתי רק במבחן הסבירות האיזונית, תוך הותרת </w:t>
      </w:r>
      <w:r w:rsidRPr="006C4917">
        <w:rPr>
          <w:rFonts w:hint="cs"/>
          <w:rtl/>
        </w:rPr>
        <w:lastRenderedPageBreak/>
        <w:t xml:space="preserve">האפשרות לבקר החלטות אלה על פי מבחן הסבירות המקורית (להלן: </w:t>
      </w:r>
      <w:r w:rsidRPr="006C4917">
        <w:rPr>
          <w:rFonts w:ascii="Century" w:hAnsi="Century" w:cs="Miriam" w:hint="cs"/>
          <w:b/>
          <w:spacing w:val="0"/>
          <w:szCs w:val="24"/>
          <w:rtl/>
        </w:rPr>
        <w:t>גישת הביטול החלקי</w:t>
      </w:r>
      <w:r w:rsidRPr="006C4917">
        <w:rPr>
          <w:rFonts w:hint="cs"/>
          <w:rtl/>
        </w:rPr>
        <w:t>).</w:t>
      </w:r>
    </w:p>
    <w:p w:rsidR="003D7BFC" w:rsidRPr="006C4917" w:rsidRDefault="003D7BFC" w:rsidP="003D7BFC">
      <w:pPr>
        <w:pStyle w:val="Ruller41"/>
        <w:rPr>
          <w:rFonts w:ascii="Century" w:hAnsi="Century"/>
          <w:rtl/>
        </w:rPr>
      </w:pPr>
    </w:p>
    <w:p w:rsidR="003D7BFC" w:rsidRPr="006C4917" w:rsidRDefault="003D7BFC" w:rsidP="003D7BFC">
      <w:pPr>
        <w:pStyle w:val="Ruller41"/>
        <w:ind w:left="1080"/>
        <w:rPr>
          <w:rtl/>
        </w:rPr>
      </w:pPr>
      <w:r w:rsidRPr="006C4917">
        <w:rPr>
          <w:rFonts w:ascii="Century" w:hAnsi="Century"/>
          <w:rtl/>
        </w:rPr>
        <w:tab/>
      </w:r>
      <w:r w:rsidRPr="006C4917">
        <w:rPr>
          <w:rFonts w:ascii="Century" w:hAnsi="Century" w:hint="cs"/>
          <w:rtl/>
        </w:rPr>
        <w:t>יוער כי</w:t>
      </w:r>
      <w:r w:rsidRPr="006C4917">
        <w:rPr>
          <w:rFonts w:hint="cs"/>
          <w:rtl/>
        </w:rPr>
        <w:t xml:space="preserve"> חברי, השופט </w:t>
      </w:r>
      <w:r w:rsidRPr="006C4917">
        <w:rPr>
          <w:rFonts w:ascii="Century" w:hAnsi="Century" w:cs="Miriam" w:hint="cs"/>
          <w:b/>
          <w:spacing w:val="0"/>
          <w:szCs w:val="24"/>
          <w:rtl/>
        </w:rPr>
        <w:t>יוסף אלרון</w:t>
      </w:r>
      <w:r w:rsidRPr="006C4917">
        <w:rPr>
          <w:rFonts w:hint="cs"/>
          <w:rtl/>
        </w:rPr>
        <w:t xml:space="preserve">, נוקט גישה שונה, לפיה מאחר שלא ניתן לעת הזו לדעת מהי פרשנותו הנכונה של התיקון, וכיצד ייושם, יש לקבוע כי העתירות אינן בשלות לדיון (עמדה זו הובעה גם על ידי הכנסת בעתירות שלפנינו). לא אוכל להצטרף לגישה זו, וזאת כבר מהטעם ששאלת תוקפו של התיקון היא שאלה משפטית אקוטית, המונחת כבר עתה על שולחננו במספר עתירות הולך וגדל. דחיית הדיון בשאלה זו רק תרבה מבוכה ואי ודאות. אין בה תועלת של ממש, וזאת גם אם קיימת מחלוקת ביחס לפרשנותו של התיקון (וראו פסקאות 102-98 לחוות דעת הנשיאה (בדימ') </w:t>
      </w:r>
      <w:r w:rsidRPr="006C4917">
        <w:rPr>
          <w:rFonts w:ascii="Century" w:hAnsi="Century" w:cs="Miriam" w:hint="eastAsia"/>
          <w:b/>
          <w:spacing w:val="0"/>
          <w:szCs w:val="24"/>
          <w:rtl/>
        </w:rPr>
        <w:t>חיות</w:t>
      </w:r>
      <w:r w:rsidRPr="006C4917">
        <w:rPr>
          <w:rFonts w:hint="cs"/>
          <w:rtl/>
        </w:rPr>
        <w:t xml:space="preserve">; פסקה 114 לחוות דעת השופט </w:t>
      </w:r>
      <w:r w:rsidRPr="006C4917">
        <w:rPr>
          <w:rFonts w:ascii="Century" w:hAnsi="Century" w:cs="Miriam" w:hint="eastAsia"/>
          <w:b/>
          <w:spacing w:val="0"/>
          <w:szCs w:val="24"/>
          <w:rtl/>
        </w:rPr>
        <w:t>עמית</w:t>
      </w:r>
      <w:r w:rsidRPr="006C4917">
        <w:rPr>
          <w:rFonts w:hint="cs"/>
          <w:rtl/>
        </w:rPr>
        <w:t xml:space="preserve">; פסקה 51 לחוות דעת השופט </w:t>
      </w:r>
      <w:r w:rsidRPr="006C4917">
        <w:rPr>
          <w:rFonts w:ascii="Century" w:hAnsi="Century" w:cs="Miriam" w:hint="eastAsia"/>
          <w:b/>
          <w:spacing w:val="0"/>
          <w:szCs w:val="24"/>
          <w:rtl/>
        </w:rPr>
        <w:t>כשר</w:t>
      </w:r>
      <w:r w:rsidRPr="006C4917">
        <w:rPr>
          <w:rFonts w:hint="cs"/>
          <w:rtl/>
        </w:rPr>
        <w:t>).</w:t>
      </w:r>
    </w:p>
    <w:p w:rsidR="003D7BFC" w:rsidRPr="006C4917" w:rsidRDefault="003D7BFC" w:rsidP="003D7BFC">
      <w:pPr>
        <w:pStyle w:val="Ruller41"/>
      </w:pPr>
    </w:p>
    <w:p w:rsidR="003D7BFC" w:rsidRPr="006C4917" w:rsidRDefault="003D7BFC" w:rsidP="003D7BFC">
      <w:pPr>
        <w:pStyle w:val="Ruller41"/>
        <w:numPr>
          <w:ilvl w:val="0"/>
          <w:numId w:val="26"/>
        </w:numPr>
      </w:pPr>
      <w:r w:rsidRPr="006C4917">
        <w:rPr>
          <w:rFonts w:hint="cs"/>
          <w:rtl/>
        </w:rPr>
        <w:t xml:space="preserve">האם תיקון מס' 3 חורג ממגבלת הסמכות המוטלת על הכנסת בכובעה כרשות המכוננת? מטבע הדברים, עניין זה עשוי להיות מושפע מהעמדה בשאלה הפרשנית. כך, למשל, השופטים </w:t>
      </w:r>
      <w:r w:rsidRPr="006C4917">
        <w:rPr>
          <w:rFonts w:ascii="Century" w:hAnsi="Century" w:cs="Miriam" w:hint="eastAsia"/>
          <w:b/>
          <w:spacing w:val="0"/>
          <w:szCs w:val="24"/>
          <w:rtl/>
        </w:rPr>
        <w:t>וילנר</w:t>
      </w:r>
      <w:r w:rsidRPr="006C4917">
        <w:rPr>
          <w:rFonts w:hint="cs"/>
          <w:rtl/>
        </w:rPr>
        <w:t xml:space="preserve"> ו</w:t>
      </w:r>
      <w:r w:rsidRPr="006C4917">
        <w:rPr>
          <w:rFonts w:ascii="Century" w:hAnsi="Century" w:cs="Miriam" w:hint="eastAsia"/>
          <w:b/>
          <w:spacing w:val="0"/>
          <w:szCs w:val="24"/>
          <w:rtl/>
        </w:rPr>
        <w:t>שטיין</w:t>
      </w:r>
      <w:r w:rsidRPr="006C4917">
        <w:rPr>
          <w:rFonts w:hint="cs"/>
          <w:rtl/>
        </w:rPr>
        <w:t xml:space="preserve"> מבהירים כי לשיטתם הכנסת לא חרגה ממגבלת הסמכות, בשל כך שלדידם יש לאמץ את גישת הביטול החלקי, תוך שהם מבהירים כי ל</w:t>
      </w:r>
      <w:r w:rsidRPr="006C4917">
        <w:rPr>
          <w:rFonts w:ascii="FrankRuehl" w:hAnsi="FrankRuehl"/>
          <w:rtl/>
        </w:rPr>
        <w:t>וּ</w:t>
      </w:r>
      <w:r w:rsidRPr="006C4917">
        <w:rPr>
          <w:rFonts w:hint="cs"/>
          <w:rtl/>
        </w:rPr>
        <w:t xml:space="preserve"> היו סבורים שאין מנוס מאימוץ גישת הביטול המלא, הרי שהיו נוטים להצטרף לעמדה לפיה דין תיקון מס' 3 להתבטל (פסקאות 8-7 לחוות דעתה של השופטת </w:t>
      </w:r>
      <w:r w:rsidRPr="006C4917">
        <w:rPr>
          <w:rFonts w:ascii="Century" w:hAnsi="Century" w:cs="Miriam" w:hint="cs"/>
          <w:b/>
          <w:spacing w:val="0"/>
          <w:szCs w:val="24"/>
          <w:rtl/>
        </w:rPr>
        <w:t>וילנר</w:t>
      </w:r>
      <w:r w:rsidRPr="006C4917">
        <w:rPr>
          <w:rFonts w:hint="cs"/>
          <w:rtl/>
        </w:rPr>
        <w:t xml:space="preserve">; ופסקאות 99-98 לחוות דעתו של השופט </w:t>
      </w:r>
      <w:r w:rsidRPr="006C4917">
        <w:rPr>
          <w:rFonts w:ascii="Century" w:hAnsi="Century" w:cs="Miriam" w:hint="cs"/>
          <w:b/>
          <w:spacing w:val="0"/>
          <w:szCs w:val="24"/>
          <w:rtl/>
        </w:rPr>
        <w:t>שטיין</w:t>
      </w:r>
      <w:r w:rsidRPr="006C4917">
        <w:rPr>
          <w:rFonts w:hint="cs"/>
          <w:rtl/>
        </w:rPr>
        <w:t xml:space="preserve">). ויובהר, העמדה הקושרת בין פרשנות תיקון מס' 3 לבין תוקפו אינה מקובלת על כל שופטי המותב. כך, למשל, השופט </w:t>
      </w:r>
      <w:r w:rsidRPr="006C4917">
        <w:rPr>
          <w:rFonts w:ascii="Century" w:hAnsi="Century" w:cs="Miriam" w:hint="cs"/>
          <w:b/>
          <w:spacing w:val="0"/>
          <w:szCs w:val="24"/>
          <w:rtl/>
        </w:rPr>
        <w:t>כשר</w:t>
      </w:r>
      <w:r w:rsidRPr="006C4917">
        <w:rPr>
          <w:rFonts w:hint="cs"/>
          <w:rtl/>
        </w:rPr>
        <w:t xml:space="preserve"> מבהיר כי לשיטתו אין מקום לפסול את תיקון מס' 3 גם אם יש לפרשו בהתאם לגישת הביטול המלא (ראו פסקאות 35-22 לחוות דעתו), ואילו ממלא מקום הנשיא </w:t>
      </w:r>
      <w:r w:rsidRPr="006C4917">
        <w:rPr>
          <w:rFonts w:ascii="Century" w:hAnsi="Century" w:cs="Miriam" w:hint="cs"/>
          <w:b/>
          <w:spacing w:val="0"/>
          <w:szCs w:val="24"/>
          <w:rtl/>
        </w:rPr>
        <w:t>פוגלמן</w:t>
      </w:r>
      <w:r w:rsidRPr="006C4917">
        <w:rPr>
          <w:rFonts w:hint="cs"/>
          <w:rtl/>
        </w:rPr>
        <w:t xml:space="preserve"> מציין כי ייתכן מאד שיש לפסול את התיקון גם אם ניתן לפרשו בהתאם לגישת הביטול החלקי (ראו פסקאות 27-21 לחוות דעתו).</w:t>
      </w:r>
    </w:p>
    <w:p w:rsidR="003D7BFC" w:rsidRPr="006C4917" w:rsidRDefault="003D7BFC" w:rsidP="003D7BFC">
      <w:pPr>
        <w:pStyle w:val="Ruller41"/>
        <w:rPr>
          <w:rtl/>
        </w:rPr>
      </w:pPr>
    </w:p>
    <w:p w:rsidR="003D7BFC" w:rsidRPr="006C4917" w:rsidRDefault="000B2012" w:rsidP="000B2012">
      <w:pPr>
        <w:pStyle w:val="Ruller4"/>
        <w:numPr>
          <w:ilvl w:val="0"/>
          <w:numId w:val="0"/>
        </w:numPr>
        <w:rPr>
          <w:rtl/>
        </w:rPr>
      </w:pPr>
      <w:r>
        <w:rPr>
          <w:rtl/>
        </w:rPr>
        <w:tab/>
      </w:r>
      <w:r w:rsidR="003D7BFC" w:rsidRPr="006C4917">
        <w:rPr>
          <w:rFonts w:hint="cs"/>
          <w:rtl/>
        </w:rPr>
        <w:t>אפנה לדון בשתי השאלות האמורות כסדרן.</w:t>
      </w:r>
    </w:p>
    <w:p w:rsidR="003D7BFC" w:rsidRPr="006C4917" w:rsidRDefault="003D7BFC" w:rsidP="003D7BFC">
      <w:pPr>
        <w:pStyle w:val="Ruller41"/>
        <w:rPr>
          <w:rtl/>
        </w:rPr>
      </w:pPr>
    </w:p>
    <w:p w:rsidR="003D7BFC" w:rsidRPr="006C4917" w:rsidRDefault="003D7BFC" w:rsidP="003D7BFC">
      <w:pPr>
        <w:pStyle w:val="Ruller41"/>
        <w:keepNext/>
        <w:rPr>
          <w:rFonts w:ascii="Century" w:hAnsi="Century" w:cs="Miriam"/>
          <w:b/>
          <w:spacing w:val="0"/>
          <w:szCs w:val="24"/>
          <w:rtl/>
        </w:rPr>
      </w:pPr>
      <w:r w:rsidRPr="006C4917">
        <w:rPr>
          <w:rFonts w:ascii="Century" w:hAnsi="Century" w:cs="Miriam" w:hint="cs"/>
          <w:b/>
          <w:spacing w:val="0"/>
          <w:szCs w:val="24"/>
          <w:rtl/>
        </w:rPr>
        <w:lastRenderedPageBreak/>
        <w:t xml:space="preserve">תיקון מס' 3 </w:t>
      </w:r>
      <w:r w:rsidRPr="006C4917">
        <w:rPr>
          <w:rFonts w:ascii="Century" w:hAnsi="Century" w:cs="Miriam"/>
          <w:b/>
          <w:spacing w:val="0"/>
          <w:szCs w:val="24"/>
          <w:rtl/>
        </w:rPr>
        <w:t>–</w:t>
      </w:r>
      <w:r w:rsidRPr="006C4917">
        <w:rPr>
          <w:rFonts w:ascii="Century" w:hAnsi="Century" w:cs="Miriam" w:hint="cs"/>
          <w:b/>
          <w:spacing w:val="0"/>
          <w:szCs w:val="24"/>
          <w:rtl/>
        </w:rPr>
        <w:t xml:space="preserve"> השאלה הפרשנית</w:t>
      </w:r>
    </w:p>
    <w:p w:rsidR="003D7BFC" w:rsidRPr="006C4917" w:rsidRDefault="003D7BFC" w:rsidP="003D7BFC">
      <w:pPr>
        <w:pStyle w:val="Ruller41"/>
        <w:keepNext/>
      </w:pPr>
    </w:p>
    <w:p w:rsidR="003D7BFC" w:rsidRPr="006C4917" w:rsidRDefault="003D7BFC" w:rsidP="003D7BFC">
      <w:pPr>
        <w:pStyle w:val="Ruller4"/>
        <w:keepNext/>
      </w:pPr>
      <w:r w:rsidRPr="006C4917">
        <w:rPr>
          <w:rFonts w:hint="cs"/>
          <w:rtl/>
        </w:rPr>
        <w:t>חבריי וחברותיי הקדישו מאמץ ניכר לשאלת הפרשנות, ולא הותירו לגביה אבן על אבן. במצב דברים זה, אמנע מלחזור על הדברים ואסתפק בשורה התחתונה ובעיקרי הנימוקים ששכנעו אותי.</w:t>
      </w:r>
    </w:p>
    <w:p w:rsidR="003D7BFC" w:rsidRPr="006C4917" w:rsidRDefault="003D7BFC" w:rsidP="003D7BFC">
      <w:pPr>
        <w:pStyle w:val="Ruller41"/>
      </w:pPr>
    </w:p>
    <w:p w:rsidR="003D7BFC" w:rsidRPr="006C4917" w:rsidRDefault="003D7BFC" w:rsidP="003D7BFC">
      <w:pPr>
        <w:pStyle w:val="Ruller4"/>
      </w:pPr>
      <w:r w:rsidRPr="006C4917">
        <w:rPr>
          <w:rFonts w:hint="cs"/>
          <w:rtl/>
        </w:rPr>
        <w:t xml:space="preserve">לדידי, פרשנותו של תיקון מס' 3 ברורה </w:t>
      </w:r>
      <w:r w:rsidRPr="006C4917">
        <w:rPr>
          <w:rtl/>
        </w:rPr>
        <w:t>–</w:t>
      </w:r>
      <w:r w:rsidRPr="006C4917">
        <w:rPr>
          <w:rFonts w:hint="cs"/>
          <w:rtl/>
        </w:rPr>
        <w:t xml:space="preserve"> ביטול מוחלט של אפשרות הביקורת השיפוטית בעילת הסבירות ביחס להחלטות הדרג הממשלתי. פרשנות זו, גישת הביטול המלא, קבועה בצורה חד-משמעית בלשונו של התיקון, ומתיישבת היטב עם תכליתו כפי שהיא עולה בבירור מהליך החקיקה. כך, תיקון מס' 3 קובע ב"רחל בתך הקטנה" כי "</w:t>
      </w:r>
      <w:r w:rsidRPr="006C4917">
        <w:rPr>
          <w:rFonts w:ascii="Century" w:hAnsi="Century" w:cs="Miriam" w:hint="eastAsia"/>
          <w:b/>
          <w:spacing w:val="0"/>
          <w:sz w:val="22"/>
          <w:szCs w:val="24"/>
          <w:rtl/>
        </w:rPr>
        <w:t>מי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שבידו</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סמכות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שפיטה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על</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פי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דין</w:t>
      </w:r>
      <w:r w:rsidRPr="006C4917">
        <w:rPr>
          <w:rFonts w:ascii="Century" w:hAnsi="Century" w:cs="Miriam" w:hint="cs"/>
          <w:b/>
          <w:spacing w:val="0"/>
          <w:sz w:val="22"/>
          <w:szCs w:val="24"/>
          <w:rtl/>
        </w:rPr>
        <w:t xml:space="preserve"> </w:t>
      </w:r>
      <w:r w:rsidRPr="006C4917">
        <w:rPr>
          <w:rFonts w:ascii="Century" w:hAnsi="Century"/>
          <w:sz w:val="22"/>
          <w:rtl/>
        </w:rPr>
        <w:t>[...]</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לא</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ידון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בעניין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סבירות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ההחלטה</w:t>
      </w:r>
      <w:r w:rsidRPr="006C4917">
        <w:rPr>
          <w:rFonts w:ascii="Century" w:hAnsi="Century" w:cs="Miriam" w:hint="cs"/>
          <w:b/>
          <w:spacing w:val="0"/>
          <w:sz w:val="22"/>
          <w:szCs w:val="24"/>
          <w:rtl/>
        </w:rPr>
        <w:t xml:space="preserve"> </w:t>
      </w:r>
      <w:r w:rsidRPr="006C4917">
        <w:rPr>
          <w:rFonts w:ascii="Century" w:hAnsi="Century" w:hint="cs"/>
          <w:sz w:val="22"/>
          <w:rtl/>
        </w:rPr>
        <w:t>[</w:t>
      </w:r>
      <w:r w:rsidRPr="006C4917">
        <w:rPr>
          <w:rFonts w:ascii="Century" w:hAnsi="Century"/>
          <w:sz w:val="22"/>
          <w:rtl/>
        </w:rPr>
        <w:t>...</w:t>
      </w:r>
      <w:r w:rsidRPr="006C4917">
        <w:rPr>
          <w:rFonts w:ascii="Century" w:hAnsi="Century" w:hint="cs"/>
          <w:sz w:val="22"/>
          <w:rtl/>
        </w:rPr>
        <w:t>]</w:t>
      </w:r>
      <w:r w:rsidRPr="006C4917">
        <w:rPr>
          <w:rFonts w:hint="cs"/>
          <w:rtl/>
        </w:rPr>
        <w:t>". ניסוח פשוט וברור זה, אינו מותיר מבחינה לשונית מקום לאפשרות כי בית משפט רשאי לדון "</w:t>
      </w:r>
      <w:r w:rsidRPr="006C4917">
        <w:rPr>
          <w:rFonts w:ascii="Century" w:hAnsi="Century" w:cs="Miriam" w:hint="cs"/>
          <w:b/>
          <w:spacing w:val="0"/>
          <w:szCs w:val="24"/>
          <w:rtl/>
        </w:rPr>
        <w:t>בעניין סבירות ההחלטה</w:t>
      </w:r>
      <w:r w:rsidRPr="006C4917">
        <w:rPr>
          <w:rFonts w:hint="cs"/>
          <w:rtl/>
        </w:rPr>
        <w:t xml:space="preserve">" על פי איזו מהמשמעויות המשפטיות השונות שניתן לתת לעילת הסבירות </w:t>
      </w:r>
      <w:r w:rsidRPr="006C4917">
        <w:rPr>
          <w:rtl/>
        </w:rPr>
        <w:t>–</w:t>
      </w:r>
      <w:r w:rsidRPr="006C4917">
        <w:rPr>
          <w:rFonts w:hint="cs"/>
          <w:rtl/>
        </w:rPr>
        <w:t xml:space="preserve"> לא המשמעות הרחבה של סבירות איזונית; לא המשמעות הצרה של הסבירות המקורית; ולא כל משמעות אחרת שניתן להעניק למונח סבירות </w:t>
      </w:r>
      <w:r w:rsidRPr="006C4917">
        <w:rPr>
          <w:rtl/>
        </w:rPr>
        <w:t>–</w:t>
      </w:r>
      <w:r w:rsidRPr="006C4917">
        <w:rPr>
          <w:rFonts w:hint="cs"/>
          <w:rtl/>
        </w:rPr>
        <w:t xml:space="preserve"> בקיצור, סבירות </w:t>
      </w:r>
      <w:r w:rsidRPr="006C4917">
        <w:rPr>
          <w:rtl/>
        </w:rPr>
        <w:t>יוֹק</w:t>
      </w:r>
      <w:r w:rsidRPr="006C4917">
        <w:rPr>
          <w:rFonts w:hint="cs"/>
          <w:rtl/>
        </w:rPr>
        <w:t>!</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 xml:space="preserve">אך לא רק </w:t>
      </w:r>
      <w:r w:rsidRPr="006C4917">
        <w:rPr>
          <w:rFonts w:ascii="Century" w:hAnsi="Century" w:hint="eastAsia"/>
          <w:sz w:val="22"/>
          <w:rtl/>
        </w:rPr>
        <w:t>הלשון</w:t>
      </w:r>
      <w:r w:rsidRPr="006C4917">
        <w:rPr>
          <w:rFonts w:ascii="Century" w:hAnsi="Century"/>
          <w:sz w:val="22"/>
          <w:rtl/>
        </w:rPr>
        <w:t xml:space="preserve">, </w:t>
      </w:r>
      <w:r w:rsidRPr="006C4917">
        <w:rPr>
          <w:rFonts w:ascii="Century" w:hAnsi="Century" w:hint="eastAsia"/>
          <w:sz w:val="22"/>
          <w:rtl/>
        </w:rPr>
        <w:t>אלא</w:t>
      </w:r>
      <w:r w:rsidRPr="006C4917">
        <w:rPr>
          <w:rFonts w:ascii="Century" w:hAnsi="Century"/>
          <w:sz w:val="22"/>
          <w:rtl/>
        </w:rPr>
        <w:t xml:space="preserve"> </w:t>
      </w:r>
      <w:r w:rsidRPr="006C4917">
        <w:rPr>
          <w:rFonts w:ascii="Century" w:hAnsi="Century" w:hint="eastAsia"/>
          <w:sz w:val="22"/>
          <w:rtl/>
        </w:rPr>
        <w:t>גם</w:t>
      </w:r>
      <w:r w:rsidRPr="006C4917">
        <w:rPr>
          <w:rFonts w:ascii="Century" w:hAnsi="Century"/>
          <w:sz w:val="22"/>
          <w:rtl/>
        </w:rPr>
        <w:t xml:space="preserve"> </w:t>
      </w:r>
      <w:r w:rsidRPr="006C4917">
        <w:rPr>
          <w:rFonts w:ascii="Century" w:hAnsi="Century" w:hint="eastAsia"/>
          <w:sz w:val="22"/>
          <w:rtl/>
        </w:rPr>
        <w:t>התכלית</w:t>
      </w:r>
      <w:r w:rsidRPr="006C4917">
        <w:rPr>
          <w:rFonts w:ascii="Century" w:hAnsi="Century"/>
          <w:sz w:val="22"/>
          <w:rtl/>
        </w:rPr>
        <w:t xml:space="preserve"> </w:t>
      </w:r>
      <w:r w:rsidRPr="006C4917">
        <w:rPr>
          <w:rFonts w:ascii="Century" w:hAnsi="Century" w:hint="eastAsia"/>
          <w:sz w:val="22"/>
          <w:rtl/>
        </w:rPr>
        <w:t>של</w:t>
      </w:r>
      <w:r w:rsidRPr="006C4917">
        <w:rPr>
          <w:rFonts w:hint="cs"/>
          <w:rtl/>
        </w:rPr>
        <w:t xml:space="preserve"> תיקון מס' 3 אינה מתיישבת עם גישת הביטול החלקי. בחינת הליך החקיקה מלמדת כי השאלה אם מדובר בביטול חלקי או בביטול מלא התחדדה היטב במהלך הדיון בהצעת חוק היסוד, והעמדה העקבית והבלתי מתפשרת של העומדים מאחורי התיקון, ובראשם חבר הכנסת שמחה רוטמן, הייתה שתכלית התיקון היא אחת </w:t>
      </w:r>
      <w:r w:rsidRPr="006C4917">
        <w:rPr>
          <w:rtl/>
        </w:rPr>
        <w:t>–</w:t>
      </w:r>
      <w:r w:rsidRPr="006C4917">
        <w:rPr>
          <w:rFonts w:hint="cs"/>
          <w:rtl/>
        </w:rPr>
        <w:t xml:space="preserve"> שלילת האפשרות לביקורת שיפוטית על החלטות הדרג הממשלתי בעילת הסבירות. ולא בכדי לדידם. לשיטת תומכי גישת הביטול המלא, אותה הבהיר היטב חבר הכנסת רוטמן, אין טעם בביטול חלקי של עילת הסבירות, מאחר שבחיי המעשה לא ניתן להבחין בצורה חדה בין סוגי הסבירויות, ולא ניתן לוודא כי הביקורת השיפוטית תוגבל לסוג סבירות אחת (סבירות מקורית) ולא תתרחב לסוג סבירות אחרת (סבירות איזונית) (לעמדת חבר הכנסת רוטמן ראו פרוטוקול הדיון מיום 12.9.2023, בעמ' 37-35; פרוטוקול ישיבה 125 של ועדת חוקה, חוק ומשפט, הכנסת ה-25, 15 (13.7.2023). ראו גם את דבריו של בא-כוח משיבי הממשלה, בפרוטוקול הדיון מיום 12.9.2023, בעמ' 64-60; וסעיף 45 להשלמת טיעון מטעם משיבי הממשלה). עמדה זו התקבלה על דעת הכנסת בהליכי החקיקה, ולראיה דחיית כל הניסיונות וההצעות לסייג את הלשון הגורפת של התיקון. במצב דברים זה, בו שתי החלופות הפרשניות נבחנו על ידי הכנסת, ואחת מהן נבחרת בכוונת מכוון, ומשתקפת בנוסח התיקון, אינני סבור כי </w:t>
      </w:r>
      <w:r w:rsidRPr="006C4917">
        <w:rPr>
          <w:rFonts w:hint="cs"/>
          <w:rtl/>
        </w:rPr>
        <w:lastRenderedPageBreak/>
        <w:t>באפשרותנו לטמון ראשנו בחול ולקבוע כי תכלית התיקון (אובייקטיבית כסובייקטיבית) שונה מהתכלית המבוררת שהוצגה ונבחרה על ידי הכנסת.</w:t>
      </w:r>
    </w:p>
    <w:p w:rsidR="003D7BFC" w:rsidRPr="006C4917" w:rsidRDefault="003D7BFC" w:rsidP="003D7BFC">
      <w:pPr>
        <w:pStyle w:val="Ruller41"/>
        <w:rPr>
          <w:rtl/>
        </w:rPr>
      </w:pPr>
    </w:p>
    <w:p w:rsidR="003D7BFC" w:rsidRPr="006C4917" w:rsidRDefault="003D7BFC" w:rsidP="003D7BFC">
      <w:pPr>
        <w:pStyle w:val="Ruller4"/>
        <w:rPr>
          <w:rtl/>
        </w:rPr>
      </w:pPr>
      <w:r w:rsidRPr="006C4917">
        <w:rPr>
          <w:rFonts w:hint="cs"/>
          <w:rtl/>
        </w:rPr>
        <w:t xml:space="preserve">כמוצא אחרון, מציעה חברתי, השופטת </w:t>
      </w:r>
      <w:r w:rsidRPr="006C4917">
        <w:rPr>
          <w:rFonts w:ascii="Century" w:hAnsi="Century" w:cs="Miriam" w:hint="eastAsia"/>
          <w:b/>
          <w:spacing w:val="0"/>
          <w:sz w:val="22"/>
          <w:szCs w:val="24"/>
          <w:rtl/>
        </w:rPr>
        <w:t>וילנר</w:t>
      </w:r>
      <w:r w:rsidRPr="006C4917">
        <w:rPr>
          <w:rFonts w:hint="cs"/>
          <w:rtl/>
        </w:rPr>
        <w:t xml:space="preserve">, את חלופת הפרשנות המקיימת, כדוקטרינה המאפשרת לאמץ את גישת הביטול החלקי </w:t>
      </w:r>
      <w:r w:rsidRPr="006C4917">
        <w:rPr>
          <w:rFonts w:ascii="Century" w:hAnsi="Century"/>
          <w:sz w:val="22"/>
          <w:rtl/>
        </w:rPr>
        <w:t>(</w:t>
      </w:r>
      <w:r w:rsidRPr="006C4917">
        <w:rPr>
          <w:rFonts w:hint="cs"/>
          <w:rtl/>
        </w:rPr>
        <w:t xml:space="preserve">פסקאות 43-42 לחוות דעתה. לעמדתה בעניין זה מצטרפים גם השופטים </w:t>
      </w:r>
      <w:r w:rsidRPr="006C4917">
        <w:rPr>
          <w:rFonts w:ascii="Century" w:hAnsi="Century" w:cs="Miriam" w:hint="eastAsia"/>
          <w:b/>
          <w:spacing w:val="0"/>
          <w:sz w:val="22"/>
          <w:szCs w:val="24"/>
          <w:rtl/>
        </w:rPr>
        <w:t>שטיין</w:t>
      </w:r>
      <w:r w:rsidRPr="006C4917">
        <w:rPr>
          <w:rFonts w:hint="cs"/>
          <w:rtl/>
        </w:rPr>
        <w:t xml:space="preserve"> (פסקאות 102-99 לחוות דעתו) ו</w:t>
      </w:r>
      <w:r w:rsidRPr="006C4917">
        <w:rPr>
          <w:rFonts w:ascii="Century" w:hAnsi="Century" w:cs="Miriam" w:hint="eastAsia"/>
          <w:b/>
          <w:spacing w:val="0"/>
          <w:sz w:val="22"/>
          <w:szCs w:val="24"/>
          <w:rtl/>
        </w:rPr>
        <w:t>כנפי</w:t>
      </w:r>
      <w:r w:rsidRPr="006C4917">
        <w:rPr>
          <w:rFonts w:ascii="Century" w:hAnsi="Century" w:cs="Miriam"/>
          <w:b/>
          <w:spacing w:val="0"/>
          <w:sz w:val="22"/>
          <w:szCs w:val="24"/>
          <w:rtl/>
        </w:rPr>
        <w:t>-</w:t>
      </w:r>
      <w:r w:rsidRPr="006C4917">
        <w:rPr>
          <w:rFonts w:ascii="Century" w:hAnsi="Century" w:cs="Miriam" w:hint="eastAsia"/>
          <w:b/>
          <w:spacing w:val="0"/>
          <w:sz w:val="22"/>
          <w:szCs w:val="24"/>
          <w:rtl/>
        </w:rPr>
        <w:t>שטייניץ</w:t>
      </w:r>
      <w:r w:rsidRPr="006C4917">
        <w:rPr>
          <w:rFonts w:ascii="Century" w:hAnsi="Century" w:cs="Miriam"/>
          <w:b/>
          <w:spacing w:val="0"/>
          <w:sz w:val="22"/>
          <w:szCs w:val="24"/>
          <w:rtl/>
        </w:rPr>
        <w:t xml:space="preserve"> </w:t>
      </w:r>
      <w:r w:rsidRPr="006C4917">
        <w:rPr>
          <w:rFonts w:hint="cs"/>
          <w:rtl/>
        </w:rPr>
        <w:t xml:space="preserve">(פסקאות 39-34 לחוות דעתה)). פרשנות מקיימת אכן מאפשרת להעדיף פרשנות חיקוק (ובכלל זה חוק יסוד) התואמת במידה פחותה את לשונו ותכליתו של מעשה החקיקה, ככל שהיא תציל אותו מדין בטלות. ואולם, ספק גדול בעיניי אם ניתן לאמץ את גישת הביטול החלקי בהתאם לדוקטרינת הפרשנות המקיימת, וזאת מהטעמים בהם הרחיבו אחרים, ובמיוחד חברתי, השופטת </w:t>
      </w:r>
      <w:r w:rsidRPr="006C4917">
        <w:rPr>
          <w:rFonts w:ascii="Century" w:hAnsi="Century" w:cs="Miriam" w:hint="cs"/>
          <w:b/>
          <w:spacing w:val="0"/>
          <w:sz w:val="22"/>
          <w:szCs w:val="24"/>
          <w:rtl/>
        </w:rPr>
        <w:t>רונן</w:t>
      </w:r>
      <w:r w:rsidRPr="006C4917">
        <w:rPr>
          <w:rFonts w:hint="cs"/>
          <w:rtl/>
        </w:rPr>
        <w:t xml:space="preserve"> (ראו פסקאות 18-5 לחוות דעתה), אשר ניתוחה בעניין זה מקובל עליי במלואו.</w:t>
      </w:r>
    </w:p>
    <w:p w:rsidR="003D7BFC" w:rsidRPr="006C4917" w:rsidRDefault="003D7BFC" w:rsidP="003D7BFC">
      <w:pPr>
        <w:pStyle w:val="Ruller41"/>
      </w:pPr>
    </w:p>
    <w:p w:rsidR="003D7BFC" w:rsidRPr="006C4917" w:rsidRDefault="003D7BFC" w:rsidP="003D7BFC">
      <w:pPr>
        <w:pStyle w:val="Ruller4"/>
      </w:pPr>
      <w:r w:rsidRPr="006C4917">
        <w:rPr>
          <w:rFonts w:hint="cs"/>
          <w:rtl/>
        </w:rPr>
        <w:t>לא זו אף זו, גם אם אניח לצורך הדיון כי פרשנות מקיימת אפשרית במקרה דנן, לא השתכנעתי כי נכון שנלך בדרך זו במקרה הנוכחי. לכך שלושה טעמים מצטברים:</w:t>
      </w:r>
    </w:p>
    <w:p w:rsidR="003D7BFC" w:rsidRPr="006C4917" w:rsidRDefault="003D7BFC" w:rsidP="00245D2F">
      <w:pPr>
        <w:pStyle w:val="Ruller4"/>
        <w:numPr>
          <w:ilvl w:val="0"/>
          <w:numId w:val="0"/>
        </w:numPr>
      </w:pPr>
    </w:p>
    <w:p w:rsidR="003D7BFC" w:rsidRPr="006C4917" w:rsidRDefault="00245D2F" w:rsidP="00245D2F">
      <w:pPr>
        <w:pStyle w:val="Ruller4"/>
        <w:numPr>
          <w:ilvl w:val="0"/>
          <w:numId w:val="0"/>
        </w:numPr>
        <w:rPr>
          <w:rtl/>
        </w:rPr>
      </w:pPr>
      <w:r>
        <w:rPr>
          <w:rFonts w:ascii="Century" w:hAnsi="Century"/>
          <w:sz w:val="22"/>
          <w:rtl/>
        </w:rPr>
        <w:tab/>
      </w:r>
      <w:r w:rsidR="003D7BFC" w:rsidRPr="006C4917">
        <w:rPr>
          <w:rFonts w:ascii="Century" w:hAnsi="Century" w:cs="Miriam" w:hint="cs"/>
          <w:b/>
          <w:spacing w:val="0"/>
          <w:szCs w:val="24"/>
          <w:rtl/>
        </w:rPr>
        <w:t>ראשית</w:t>
      </w:r>
      <w:r w:rsidR="003D7BFC" w:rsidRPr="006C4917">
        <w:rPr>
          <w:rFonts w:hint="cs"/>
          <w:rtl/>
        </w:rPr>
        <w:t>, משמעות ההצעה לאמץ את גישת הביטול החלקי בדרך זו היא לכפות על התיקון פרשנות שהובאה בפני הכנסת במהלך הדיון בהצעת חוק היסוד, ונדחתה על ידי רוב חברי הכנסת בכוונת מכוון. במילים אחרות, אימוץ גישה זו משמעה הכללה בתוך "החוקה בהתהוות" הוראה שהרשות המכוננת לא רצתה בה בזמן אמת (הגם שבאי כוחה טענו לה בדיעבד), ואשר אין לדעת אם הייתה מאמצת, ל</w:t>
      </w:r>
      <w:r w:rsidR="003D7BFC" w:rsidRPr="006C4917">
        <w:rPr>
          <w:rFonts w:ascii="FrankRuehl" w:hAnsi="FrankRuehl"/>
          <w:rtl/>
        </w:rPr>
        <w:t>וּ</w:t>
      </w:r>
      <w:r w:rsidR="003D7BFC" w:rsidRPr="006C4917">
        <w:rPr>
          <w:rFonts w:hint="cs"/>
          <w:rtl/>
        </w:rPr>
        <w:t xml:space="preserve"> היה מובהר לחברי הכנסת כי ביטול מלא של עילת הסבירות חורג ממגבלות הסמכות (למצער, כשהוא נעשה ללא הסכמה רחבה). מבחינת חלוקת הסמכויות בין הרשויות, מצב דברים זה אינו ראוי, ולא בהכרח במידה פחותה מזה של ביטול מלא, שכן יש בו התערבות פוזיטיבית (הכתבת תוכן החוקה), ולא רק נגטיבית (אי הכרה בתוקף תיקון החוקה), מצדה של הרשות השופטת במעשי הכנסת כרשות המכוננת (ראו גם פסקה 26 לעיל, והשוו לדברי השופט </w:t>
      </w:r>
      <w:r w:rsidR="003D7BFC" w:rsidRPr="006C4917">
        <w:rPr>
          <w:rFonts w:ascii="Century" w:hAnsi="Century" w:cs="Miriam" w:hint="cs"/>
          <w:b/>
          <w:spacing w:val="0"/>
          <w:sz w:val="22"/>
          <w:szCs w:val="24"/>
          <w:rtl/>
        </w:rPr>
        <w:t>אליעזר ריבלין</w:t>
      </w:r>
      <w:r w:rsidR="003D7BFC" w:rsidRPr="006C4917">
        <w:rPr>
          <w:rFonts w:hint="cs"/>
          <w:rtl/>
        </w:rPr>
        <w:t xml:space="preserve"> בבג"ץ 9098/01 </w:t>
      </w:r>
      <w:r w:rsidR="003D7BFC" w:rsidRPr="006C4917">
        <w:rPr>
          <w:rFonts w:ascii="Century" w:hAnsi="Century" w:cs="Miriam" w:hint="cs"/>
          <w:b/>
          <w:spacing w:val="0"/>
          <w:sz w:val="22"/>
          <w:szCs w:val="24"/>
          <w:rtl/>
        </w:rPr>
        <w:t>גניס נ' משרד הבינוי והשיכון</w:t>
      </w:r>
      <w:r w:rsidR="003D7BFC" w:rsidRPr="006C4917">
        <w:rPr>
          <w:rFonts w:hint="cs"/>
          <w:rtl/>
        </w:rPr>
        <w:t xml:space="preserve">, פ"ד נט(4) 241, 289 (2004), המצוטטים בפסקה 13 לחוות דעת של חברתי, השופטת </w:t>
      </w:r>
      <w:r w:rsidR="003D7BFC" w:rsidRPr="006C4917">
        <w:rPr>
          <w:rFonts w:ascii="Century" w:hAnsi="Century" w:cs="Miriam" w:hint="cs"/>
          <w:b/>
          <w:spacing w:val="0"/>
          <w:sz w:val="22"/>
          <w:szCs w:val="24"/>
          <w:rtl/>
        </w:rPr>
        <w:t>רונן</w:t>
      </w:r>
      <w:r w:rsidR="003D7BFC" w:rsidRPr="006C4917">
        <w:rPr>
          <w:rFonts w:hint="cs"/>
          <w:rtl/>
        </w:rPr>
        <w:t>).</w:t>
      </w:r>
    </w:p>
    <w:p w:rsidR="003D7BFC" w:rsidRPr="006C4917" w:rsidRDefault="003D7BFC" w:rsidP="00245D2F">
      <w:pPr>
        <w:pStyle w:val="Ruller4"/>
        <w:numPr>
          <w:ilvl w:val="0"/>
          <w:numId w:val="0"/>
        </w:numPr>
        <w:rPr>
          <w:rtl/>
        </w:rPr>
      </w:pPr>
    </w:p>
    <w:p w:rsidR="003D7BFC" w:rsidRPr="006C4917" w:rsidRDefault="00245D2F" w:rsidP="00245D2F">
      <w:pPr>
        <w:pStyle w:val="Ruller4"/>
        <w:numPr>
          <w:ilvl w:val="0"/>
          <w:numId w:val="0"/>
        </w:numPr>
        <w:rPr>
          <w:rFonts w:ascii="Century" w:hAnsi="Century" w:cs="Miriam"/>
          <w:b/>
          <w:spacing w:val="0"/>
          <w:szCs w:val="24"/>
          <w:rtl/>
        </w:rPr>
      </w:pPr>
      <w:r>
        <w:rPr>
          <w:rFonts w:ascii="Century" w:hAnsi="Century"/>
          <w:sz w:val="22"/>
          <w:rtl/>
        </w:rPr>
        <w:tab/>
      </w:r>
      <w:r w:rsidR="003D7BFC" w:rsidRPr="006C4917">
        <w:rPr>
          <w:rFonts w:ascii="Century" w:hAnsi="Century" w:cs="Miriam" w:hint="cs"/>
          <w:b/>
          <w:spacing w:val="0"/>
          <w:sz w:val="22"/>
          <w:szCs w:val="24"/>
          <w:rtl/>
        </w:rPr>
        <w:t>שנית</w:t>
      </w:r>
      <w:r w:rsidR="003D7BFC" w:rsidRPr="006C4917">
        <w:rPr>
          <w:rFonts w:ascii="Century" w:hAnsi="Century"/>
          <w:sz w:val="22"/>
          <w:rtl/>
        </w:rPr>
        <w:t xml:space="preserve">, </w:t>
      </w:r>
      <w:r w:rsidR="003D7BFC" w:rsidRPr="006C4917">
        <w:rPr>
          <w:rFonts w:ascii="Century" w:hAnsi="Century" w:hint="cs"/>
          <w:rtl/>
        </w:rPr>
        <w:t xml:space="preserve">אכן, כפי שמיטיבים </w:t>
      </w:r>
      <w:r w:rsidR="003D7BFC" w:rsidRPr="006C4917">
        <w:rPr>
          <w:rFonts w:hint="cs"/>
          <w:rtl/>
        </w:rPr>
        <w:t>חלק</w:t>
      </w:r>
      <w:r w:rsidR="003D7BFC" w:rsidRPr="006C4917">
        <w:rPr>
          <w:rFonts w:ascii="Century" w:hAnsi="Century" w:hint="cs"/>
          <w:rtl/>
        </w:rPr>
        <w:t xml:space="preserve"> מחבריי וחברותיי להראות, בפסיקה ובספרות קיים ויכוח ער בשאלת היקפה הראוי של עילת הסבירות (ראו הסקירות המקיפות שבפסקאות 36-26 לחוות דעתה של השופטת </w:t>
      </w:r>
      <w:r w:rsidR="003D7BFC" w:rsidRPr="006C4917">
        <w:rPr>
          <w:rFonts w:ascii="Century" w:hAnsi="Century" w:cs="Miriam" w:hint="eastAsia"/>
          <w:b/>
          <w:spacing w:val="0"/>
          <w:sz w:val="22"/>
          <w:szCs w:val="24"/>
          <w:rtl/>
        </w:rPr>
        <w:t>וילנר</w:t>
      </w:r>
      <w:r w:rsidR="003D7BFC" w:rsidRPr="006C4917">
        <w:rPr>
          <w:rFonts w:ascii="Century" w:hAnsi="Century" w:hint="cs"/>
          <w:rtl/>
        </w:rPr>
        <w:t xml:space="preserve">, ובפסקאות 28-18 בחוות דעתה של השופטת </w:t>
      </w:r>
      <w:r w:rsidR="003D7BFC" w:rsidRPr="006C4917">
        <w:rPr>
          <w:rFonts w:ascii="Century" w:hAnsi="Century" w:cs="Miriam" w:hint="eastAsia"/>
          <w:b/>
          <w:spacing w:val="0"/>
          <w:sz w:val="22"/>
          <w:szCs w:val="24"/>
          <w:rtl/>
        </w:rPr>
        <w:t>כנפי</w:t>
      </w:r>
      <w:r w:rsidR="003D7BFC" w:rsidRPr="006C4917">
        <w:rPr>
          <w:rFonts w:ascii="Century" w:hAnsi="Century" w:cs="Miriam" w:hint="cs"/>
          <w:b/>
          <w:spacing w:val="0"/>
          <w:sz w:val="22"/>
          <w:szCs w:val="24"/>
          <w:rtl/>
        </w:rPr>
        <w:t>-</w:t>
      </w:r>
      <w:r w:rsidR="003D7BFC" w:rsidRPr="006C4917">
        <w:rPr>
          <w:rFonts w:ascii="Century" w:hAnsi="Century" w:cs="Miriam" w:hint="eastAsia"/>
          <w:b/>
          <w:spacing w:val="0"/>
          <w:sz w:val="22"/>
          <w:szCs w:val="24"/>
          <w:rtl/>
        </w:rPr>
        <w:t>שטייניץ</w:t>
      </w:r>
      <w:r w:rsidR="003D7BFC" w:rsidRPr="006C4917">
        <w:rPr>
          <w:rFonts w:ascii="Century" w:hAnsi="Century" w:hint="cs"/>
          <w:rtl/>
        </w:rPr>
        <w:t xml:space="preserve">). ויכוח זה הוא בוודאי לגיטימי, וארשה לעצמי לנבא (מבלי </w:t>
      </w:r>
      <w:r w:rsidR="003D7BFC" w:rsidRPr="006C4917">
        <w:rPr>
          <w:rFonts w:ascii="Century" w:hAnsi="Century" w:hint="cs"/>
          <w:rtl/>
        </w:rPr>
        <w:lastRenderedPageBreak/>
        <w:t>להביע עמדה לגופו) כי טרם נאמרה בו המילה האחרונה. ואולם, אינני סבור כי ראוי להכריע בוויכוח הלגיטימי הזה, במסגרת מהלך פרשני דחוק ביחס למעשה חקיקה שלא ניתן לקיים לתכלית שלשמה נעשה.</w:t>
      </w:r>
    </w:p>
    <w:p w:rsidR="003D7BFC" w:rsidRPr="006C4917" w:rsidRDefault="003D7BFC" w:rsidP="00CD21A3">
      <w:pPr>
        <w:pStyle w:val="Ruller4"/>
        <w:numPr>
          <w:ilvl w:val="0"/>
          <w:numId w:val="0"/>
        </w:numPr>
        <w:rPr>
          <w:rFonts w:ascii="Century" w:hAnsi="Century"/>
          <w:sz w:val="22"/>
          <w:rtl/>
        </w:rPr>
      </w:pPr>
    </w:p>
    <w:p w:rsidR="003D7BFC" w:rsidRPr="006C4917" w:rsidRDefault="00CD21A3" w:rsidP="00CD21A3">
      <w:pPr>
        <w:pStyle w:val="Ruller4"/>
        <w:numPr>
          <w:ilvl w:val="0"/>
          <w:numId w:val="0"/>
        </w:numPr>
      </w:pPr>
      <w:r>
        <w:rPr>
          <w:rFonts w:ascii="Century" w:hAnsi="Century"/>
          <w:sz w:val="22"/>
          <w:rtl/>
        </w:rPr>
        <w:tab/>
      </w:r>
      <w:r w:rsidR="003D7BFC" w:rsidRPr="006C4917">
        <w:rPr>
          <w:rFonts w:ascii="Century" w:hAnsi="Century" w:cs="Miriam" w:hint="cs"/>
          <w:b/>
          <w:spacing w:val="0"/>
          <w:szCs w:val="24"/>
          <w:rtl/>
        </w:rPr>
        <w:t>ולבסוף</w:t>
      </w:r>
      <w:r w:rsidR="003D7BFC" w:rsidRPr="006C4917">
        <w:rPr>
          <w:rFonts w:hint="cs"/>
          <w:rtl/>
        </w:rPr>
        <w:t xml:space="preserve">, גישת הביטול החלקי נותנת אומנם לתיקון מס' 3 פרשנות פגומה פחות מזו שמתקבלת על פי גישת הביטול המלא, אך גם לאורה התיקון מוסיף לעורר קושי ניכר (ולראיה, גם השופטים התומכים בפרשנות המקיימת מודים כי אף לאחר יישומה במקרה הנוכחי, יש בתיקון ליקויים. </w:t>
      </w:r>
      <w:r w:rsidR="003D7BFC" w:rsidRPr="006C4917">
        <w:rPr>
          <w:rFonts w:hint="eastAsia"/>
          <w:rtl/>
        </w:rPr>
        <w:t>ראו</w:t>
      </w:r>
      <w:r w:rsidR="003D7BFC" w:rsidRPr="006C4917">
        <w:rPr>
          <w:rtl/>
        </w:rPr>
        <w:t xml:space="preserve"> </w:t>
      </w:r>
      <w:r w:rsidR="003D7BFC" w:rsidRPr="006C4917">
        <w:rPr>
          <w:rFonts w:hint="cs"/>
          <w:rtl/>
        </w:rPr>
        <w:t xml:space="preserve">פסקה 70 לחוות דעתה של השופטת </w:t>
      </w:r>
      <w:r w:rsidR="003D7BFC" w:rsidRPr="006C4917">
        <w:rPr>
          <w:rFonts w:ascii="Century" w:hAnsi="Century" w:cs="Miriam" w:hint="eastAsia"/>
          <w:b/>
          <w:spacing w:val="0"/>
          <w:sz w:val="22"/>
          <w:szCs w:val="24"/>
          <w:rtl/>
        </w:rPr>
        <w:t>וילנר</w:t>
      </w:r>
      <w:r w:rsidR="003D7BFC" w:rsidRPr="006C4917">
        <w:rPr>
          <w:rFonts w:ascii="Century" w:hAnsi="Century" w:cs="Miriam"/>
          <w:b/>
          <w:spacing w:val="0"/>
          <w:sz w:val="22"/>
          <w:szCs w:val="24"/>
          <w:rtl/>
        </w:rPr>
        <w:t xml:space="preserve"> </w:t>
      </w:r>
      <w:r w:rsidR="003D7BFC" w:rsidRPr="006C4917">
        <w:rPr>
          <w:rFonts w:hint="cs"/>
          <w:rtl/>
        </w:rPr>
        <w:t>("</w:t>
      </w:r>
      <w:r w:rsidR="003D7BFC" w:rsidRPr="006C4917">
        <w:rPr>
          <w:rFonts w:ascii="Century" w:hAnsi="Century" w:cs="Miriam" w:hint="cs"/>
          <w:b/>
          <w:spacing w:val="0"/>
          <w:sz w:val="22"/>
          <w:szCs w:val="24"/>
          <w:rtl/>
        </w:rPr>
        <w:t>התיקון אינו חף מקשיים</w:t>
      </w:r>
      <w:r w:rsidR="003D7BFC" w:rsidRPr="006C4917">
        <w:rPr>
          <w:rFonts w:hint="cs"/>
          <w:rtl/>
        </w:rPr>
        <w:t xml:space="preserve">"). לעמדתה בעניין זה מצטרפים גם </w:t>
      </w:r>
      <w:r w:rsidR="003D7BFC" w:rsidRPr="006C4917">
        <w:rPr>
          <w:rFonts w:hint="eastAsia"/>
          <w:rtl/>
        </w:rPr>
        <w:t>השופטים</w:t>
      </w:r>
      <w:r w:rsidR="003D7BFC" w:rsidRPr="006C4917">
        <w:rPr>
          <w:rtl/>
        </w:rPr>
        <w:t xml:space="preserve"> </w:t>
      </w:r>
      <w:r w:rsidR="003D7BFC" w:rsidRPr="006C4917">
        <w:rPr>
          <w:rFonts w:ascii="Century" w:hAnsi="Century" w:cs="Miriam" w:hint="eastAsia"/>
          <w:b/>
          <w:spacing w:val="0"/>
          <w:sz w:val="22"/>
          <w:szCs w:val="24"/>
          <w:rtl/>
        </w:rPr>
        <w:t>שטיין</w:t>
      </w:r>
      <w:r w:rsidR="003D7BFC" w:rsidRPr="006C4917">
        <w:rPr>
          <w:rFonts w:hint="cs"/>
          <w:rtl/>
        </w:rPr>
        <w:t>,</w:t>
      </w:r>
      <w:r w:rsidR="003D7BFC" w:rsidRPr="006C4917">
        <w:rPr>
          <w:rtl/>
        </w:rPr>
        <w:t xml:space="preserve"> </w:t>
      </w:r>
      <w:r w:rsidR="003D7BFC" w:rsidRPr="006C4917">
        <w:rPr>
          <w:rFonts w:hint="cs"/>
          <w:rtl/>
        </w:rPr>
        <w:t>בפסקה 109 לחוות דעתו ("</w:t>
      </w:r>
      <w:r w:rsidR="003D7BFC" w:rsidRPr="006C4917">
        <w:rPr>
          <w:rFonts w:ascii="Century" w:hAnsi="Century" w:cs="Miriam" w:hint="cs"/>
          <w:b/>
          <w:spacing w:val="0"/>
          <w:sz w:val="22"/>
          <w:szCs w:val="24"/>
          <w:rtl/>
        </w:rPr>
        <w:t>ההוראה נושא דיוננו יכלה להיות מנוסחת טוב יותר מכפי שנוסחה</w:t>
      </w:r>
      <w:r w:rsidR="003D7BFC" w:rsidRPr="006C4917">
        <w:rPr>
          <w:rFonts w:hint="cs"/>
          <w:rtl/>
        </w:rPr>
        <w:t xml:space="preserve">") וכן השופטת </w:t>
      </w:r>
      <w:r w:rsidR="003D7BFC" w:rsidRPr="006C4917">
        <w:rPr>
          <w:rFonts w:ascii="Century" w:hAnsi="Century" w:cs="Miriam" w:hint="cs"/>
          <w:b/>
          <w:spacing w:val="0"/>
          <w:szCs w:val="24"/>
          <w:rtl/>
        </w:rPr>
        <w:t>כנפי</w:t>
      </w:r>
      <w:r w:rsidR="003D7BFC" w:rsidRPr="006C4917">
        <w:rPr>
          <w:rFonts w:ascii="Century" w:hAnsi="Century" w:cs="Miriam"/>
          <w:b/>
          <w:spacing w:val="0"/>
          <w:szCs w:val="24"/>
          <w:rtl/>
        </w:rPr>
        <w:t>-שטייניץ</w:t>
      </w:r>
      <w:r w:rsidR="003D7BFC" w:rsidRPr="006C4917">
        <w:rPr>
          <w:rFonts w:hint="cs"/>
          <w:rtl/>
        </w:rPr>
        <w:t xml:space="preserve">, בפסקה 40 לחוות דעתה </w:t>
      </w:r>
      <w:r w:rsidR="003D7BFC" w:rsidRPr="006C4917">
        <w:rPr>
          <w:rtl/>
        </w:rPr>
        <w:t>("</w:t>
      </w:r>
      <w:r w:rsidR="003D7BFC" w:rsidRPr="006C4917">
        <w:rPr>
          <w:rFonts w:ascii="Century" w:hAnsi="Century" w:cs="Miriam" w:hint="eastAsia"/>
          <w:b/>
          <w:spacing w:val="0"/>
          <w:sz w:val="22"/>
          <w:szCs w:val="24"/>
          <w:rtl/>
        </w:rPr>
        <w:t>אין</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מנוס</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מלומר</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דיון</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לגיטימי</w:t>
      </w:r>
      <w:r w:rsidR="003D7BFC" w:rsidRPr="006C4917">
        <w:rPr>
          <w:rtl/>
        </w:rPr>
        <w:t xml:space="preserve"> [...] </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הוליד</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חוק</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חפוז</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רחב</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וגורף</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שנגזר</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במגזריים</w:t>
      </w:r>
      <w:r w:rsidR="003D7BFC" w:rsidRPr="006C4917">
        <w:rPr>
          <w:rtl/>
        </w:rPr>
        <w:t xml:space="preserve"> </w:t>
      </w:r>
      <w:r w:rsidR="003D7BFC" w:rsidRPr="006C4917">
        <w:rPr>
          <w:rFonts w:ascii="Century" w:hAnsi="Century" w:cs="Miriam" w:hint="eastAsia"/>
          <w:b/>
          <w:spacing w:val="0"/>
          <w:sz w:val="22"/>
          <w:szCs w:val="24"/>
          <w:rtl/>
        </w:rPr>
        <w:t>גסים</w:t>
      </w:r>
      <w:r w:rsidR="003D7BFC" w:rsidRPr="006C4917">
        <w:rPr>
          <w:rtl/>
        </w:rPr>
        <w:t xml:space="preserve"> [...]</w:t>
      </w:r>
      <w:r w:rsidR="003D7BFC" w:rsidRPr="006C4917">
        <w:rPr>
          <w:rFonts w:ascii="Century" w:hAnsi="Century" w:cs="Miriam"/>
          <w:b/>
          <w:spacing w:val="0"/>
          <w:sz w:val="22"/>
          <w:szCs w:val="24"/>
          <w:rtl/>
        </w:rPr>
        <w:t>.</w:t>
      </w:r>
      <w:r w:rsidR="003D7BFC" w:rsidRPr="006C4917">
        <w:rPr>
          <w:rtl/>
        </w:rPr>
        <w:t xml:space="preserve"> </w:t>
      </w:r>
      <w:r w:rsidR="003D7BFC" w:rsidRPr="006C4917">
        <w:rPr>
          <w:rFonts w:ascii="Century" w:hAnsi="Century" w:cs="Miriam" w:hint="eastAsia"/>
          <w:b/>
          <w:spacing w:val="0"/>
          <w:sz w:val="22"/>
          <w:szCs w:val="24"/>
          <w:rtl/>
        </w:rPr>
        <w:t>החוק</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במתכונתו</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הקיימת</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מעלה</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שורה</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של</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קשיים</w:t>
      </w:r>
      <w:r w:rsidR="003D7BFC" w:rsidRPr="006C4917">
        <w:rPr>
          <w:rFonts w:ascii="Century" w:hAnsi="Century" w:cs="Miriam" w:hint="cs"/>
          <w:b/>
          <w:spacing w:val="0"/>
          <w:sz w:val="22"/>
          <w:szCs w:val="24"/>
          <w:rtl/>
        </w:rPr>
        <w:t xml:space="preserve"> </w:t>
      </w:r>
      <w:r w:rsidR="003D7BFC" w:rsidRPr="006C4917">
        <w:rPr>
          <w:rtl/>
        </w:rPr>
        <w:t>[...]</w:t>
      </w:r>
      <w:r w:rsidR="003D7BFC" w:rsidRPr="006C4917">
        <w:rPr>
          <w:rFonts w:ascii="Century" w:hAnsi="Century"/>
          <w:sz w:val="22"/>
          <w:rtl/>
        </w:rPr>
        <w:t>"</w:t>
      </w:r>
      <w:r w:rsidR="003D7BFC" w:rsidRPr="006C4917">
        <w:rPr>
          <w:rFonts w:hint="cs"/>
          <w:rtl/>
        </w:rPr>
        <w:t>)</w:t>
      </w:r>
      <w:r w:rsidR="003D7BFC" w:rsidRPr="006C4917">
        <w:rPr>
          <w:rtl/>
        </w:rPr>
        <w:t>)</w:t>
      </w:r>
      <w:r w:rsidR="003D7BFC" w:rsidRPr="006C4917">
        <w:rPr>
          <w:rFonts w:hint="cs"/>
          <w:rtl/>
        </w:rPr>
        <w:t xml:space="preserve">. בשים לב לכך, לא ברור לי כלל, כי התיקון, גם בראי גישת הביטול החלקי, עומד במגבלת הסמכות (והשוו לפסקאות 27-21 לחוות דעתו של ממלא מקום הנשיא </w:t>
      </w:r>
      <w:r w:rsidR="003D7BFC" w:rsidRPr="006C4917">
        <w:rPr>
          <w:rFonts w:ascii="Century" w:hAnsi="Century" w:cs="Miriam" w:hint="cs"/>
          <w:b/>
          <w:spacing w:val="0"/>
          <w:sz w:val="22"/>
          <w:szCs w:val="24"/>
          <w:rtl/>
        </w:rPr>
        <w:t>פוגלמן</w:t>
      </w:r>
      <w:r w:rsidR="003D7BFC" w:rsidRPr="006C4917">
        <w:rPr>
          <w:rFonts w:hint="cs"/>
          <w:rtl/>
        </w:rPr>
        <w:t xml:space="preserve">). כך, </w:t>
      </w:r>
      <w:r w:rsidR="003D7BFC" w:rsidRPr="006C4917">
        <w:rPr>
          <w:rFonts w:ascii="Century" w:hAnsi="Century" w:cs="Miriam" w:hint="cs"/>
          <w:b/>
          <w:spacing w:val="0"/>
          <w:sz w:val="22"/>
          <w:szCs w:val="24"/>
          <w:rtl/>
        </w:rPr>
        <w:t>במיוחד</w:t>
      </w:r>
      <w:r w:rsidR="003D7BFC" w:rsidRPr="006C4917">
        <w:rPr>
          <w:rFonts w:hint="cs"/>
          <w:rtl/>
        </w:rPr>
        <w:t xml:space="preserve"> בהינתן עמדתי לפיה מגבלת הסמכות כוללת לא רק איסור למוטט את יסודות המבנה של החוקה בהתהוות, אלא גם דרישה כי סטייה ניכרת ממנו תתקבל בהסכמה רחבה.</w:t>
      </w:r>
    </w:p>
    <w:p w:rsidR="003D7BFC" w:rsidRPr="006C4917" w:rsidRDefault="003D7BFC" w:rsidP="003D7BFC">
      <w:pPr>
        <w:pStyle w:val="Ruller41"/>
      </w:pPr>
    </w:p>
    <w:p w:rsidR="003D7BFC" w:rsidRPr="006C4917" w:rsidRDefault="003D7BFC" w:rsidP="003D7BFC">
      <w:pPr>
        <w:pStyle w:val="Ruller4"/>
      </w:pPr>
      <w:r w:rsidRPr="006C4917">
        <w:rPr>
          <w:rFonts w:hint="cs"/>
          <w:rtl/>
        </w:rPr>
        <w:t>המסקנה מהאמור, היא שבחינתו של תיקון מס' 3 צריכה להתבצע, על פי הפרשנות המניחה את גישת הביטול המלא, וכי אין אפשרות לפרשו או לקיימו בהתאם לגישת הביטול החלקי.</w:t>
      </w:r>
    </w:p>
    <w:p w:rsidR="003D7BFC" w:rsidRPr="006C4917" w:rsidRDefault="003D7BFC" w:rsidP="003D7BFC">
      <w:pPr>
        <w:pStyle w:val="Ruller41"/>
        <w:rPr>
          <w:rtl/>
        </w:rPr>
      </w:pPr>
    </w:p>
    <w:p w:rsidR="003D7BFC" w:rsidRPr="006C4917" w:rsidRDefault="003D7BFC" w:rsidP="003D7BFC">
      <w:pPr>
        <w:pStyle w:val="Ruller41"/>
        <w:keepNext/>
        <w:rPr>
          <w:rFonts w:ascii="Century" w:hAnsi="Century" w:cs="Miriam"/>
          <w:b/>
          <w:spacing w:val="0"/>
          <w:szCs w:val="24"/>
          <w:rtl/>
        </w:rPr>
      </w:pPr>
      <w:r w:rsidRPr="006C4917">
        <w:rPr>
          <w:rFonts w:ascii="Century" w:hAnsi="Century" w:cs="Miriam" w:hint="cs"/>
          <w:b/>
          <w:spacing w:val="0"/>
          <w:szCs w:val="24"/>
          <w:rtl/>
        </w:rPr>
        <w:t xml:space="preserve">תיקון מס' 3 </w:t>
      </w:r>
      <w:r w:rsidRPr="006C4917">
        <w:rPr>
          <w:rFonts w:ascii="Century" w:hAnsi="Century" w:cs="Miriam"/>
          <w:b/>
          <w:spacing w:val="0"/>
          <w:szCs w:val="24"/>
          <w:rtl/>
        </w:rPr>
        <w:t>–</w:t>
      </w:r>
      <w:r w:rsidRPr="006C4917">
        <w:rPr>
          <w:rFonts w:ascii="Century" w:hAnsi="Century" w:cs="Miriam" w:hint="cs"/>
          <w:b/>
          <w:spacing w:val="0"/>
          <w:szCs w:val="24"/>
          <w:rtl/>
        </w:rPr>
        <w:t xml:space="preserve"> תוקפו לאור מגבלת הסמכות</w:t>
      </w:r>
    </w:p>
    <w:p w:rsidR="003D7BFC" w:rsidRPr="006C4917" w:rsidRDefault="003D7BFC" w:rsidP="00303340">
      <w:pPr>
        <w:pStyle w:val="Ruller41"/>
        <w:keepNext/>
        <w:spacing w:line="276" w:lineRule="auto"/>
      </w:pPr>
    </w:p>
    <w:p w:rsidR="003D7BFC" w:rsidRPr="006C4917" w:rsidRDefault="003D7BFC" w:rsidP="003D7BFC">
      <w:pPr>
        <w:pStyle w:val="Ruller4"/>
        <w:keepNext/>
      </w:pPr>
      <w:r w:rsidRPr="006C4917">
        <w:rPr>
          <w:rFonts w:hint="cs"/>
          <w:rtl/>
        </w:rPr>
        <w:t xml:space="preserve">בהינתן עמדתי בשאלה הפרשנית, מתעוררת השאלה האם תיקון מס' 3 חורג ממגבלת הסמכות. מצטרף אני לעמדתה של חברתי הנשיאה (בדימ') </w:t>
      </w:r>
      <w:r w:rsidRPr="006C4917">
        <w:rPr>
          <w:rFonts w:ascii="Century" w:hAnsi="Century" w:cs="Miriam" w:hint="eastAsia"/>
          <w:b/>
          <w:spacing w:val="0"/>
          <w:sz w:val="22"/>
          <w:szCs w:val="24"/>
          <w:rtl/>
        </w:rPr>
        <w:t>חיות</w:t>
      </w:r>
      <w:r w:rsidRPr="006C4917">
        <w:rPr>
          <w:rFonts w:hint="cs"/>
          <w:rtl/>
        </w:rPr>
        <w:t xml:space="preserve">, כי הפגמים הערכיים בתיקון הם כה יסודיים וחמורים, עד שראוי לראות בו משום סתירה חזיתית של עקרונות היסוד של "החוקה בהתהוות". כך, במיוחד, לדידי, בשים לב לחומרת פגיעתו בעקרון שלטון החוק, שהוא בעיניי עקרון יסוד ב"חוקה בהתהוות", ואשר אותו הופך התיקון, מבחינה רעיונית, לאסקופה נדרסת. ומה משמיע לנו תיקון מס' 3? כל רשות ציבורית חייבת לפעול בסבירות. חובה זו חלה גם, ואולי אף בראש ובראשונה, על הדרג הממשלתי. ואולם, בעוד שעל כל רשות ציבורית אחרת, רשאי בית המשפט המוסמך להפעיל ביקורת שיפוטית, ולוודא את עמידתה בחובת הסבירות, דווקא על החלטות הדרג הממשלתי, שהן מטבע הדברים החשובות והגורליות בהחלטות המתקבלות במישור </w:t>
      </w:r>
      <w:r w:rsidRPr="006C4917">
        <w:rPr>
          <w:rFonts w:hint="cs"/>
          <w:rtl/>
        </w:rPr>
        <w:lastRenderedPageBreak/>
        <w:t>הציבורי, "</w:t>
      </w:r>
      <w:r w:rsidRPr="006C4917">
        <w:rPr>
          <w:rFonts w:ascii="Century" w:hAnsi="Century" w:cs="Miriam" w:hint="cs"/>
          <w:b/>
          <w:spacing w:val="0"/>
          <w:szCs w:val="24"/>
          <w:rtl/>
        </w:rPr>
        <w:t>מי שבידו סמכות שפיטה על פי דין, לרבות בית המשפט העליון בשבתו כבית משפט גבוה לצדק, לא ידון בעניין סבירות ההחלטה</w:t>
      </w:r>
      <w:r w:rsidRPr="006C4917">
        <w:rPr>
          <w:rFonts w:hint="cs"/>
          <w:rtl/>
        </w:rPr>
        <w:t xml:space="preserve">". לקביעה מסוג זה לא הוצג בפנינו כל אח ורע. משמעה </w:t>
      </w:r>
      <w:r w:rsidRPr="006C4917">
        <w:rPr>
          <w:rFonts w:ascii="Century" w:hAnsi="Century" w:cs="Miriam" w:hint="eastAsia"/>
          <w:b/>
          <w:spacing w:val="0"/>
          <w:sz w:val="22"/>
          <w:szCs w:val="24"/>
          <w:rtl/>
        </w:rPr>
        <w:t>חסינות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מוחלטת</w:t>
      </w:r>
      <w:r w:rsidRPr="006C4917">
        <w:rPr>
          <w:rtl/>
        </w:rPr>
        <w:t xml:space="preserve"> </w:t>
      </w:r>
      <w:r w:rsidRPr="006C4917">
        <w:rPr>
          <w:rFonts w:hint="cs"/>
          <w:rtl/>
        </w:rPr>
        <w:t xml:space="preserve">לדרג הממשלתי מבחינה שיפוטית ביחס לעמידתו בחובת הסבירות. ודוק, חובת הסבירות היא נורמה משפטית מחייבת בשיטתנו, ולא ניתן להשוות אותה למידות טובות, כגון תבונה או מוסריות, בהן הביקורת המשפטית אינה עוסקת, ומעולם לא עסקה. כפי שציינה חברתי הנשיאה (בדימ') </w:t>
      </w:r>
      <w:r w:rsidRPr="006C4917">
        <w:rPr>
          <w:rFonts w:ascii="Century" w:hAnsi="Century" w:cs="Miriam" w:hint="eastAsia"/>
          <w:b/>
          <w:spacing w:val="0"/>
          <w:sz w:val="22"/>
          <w:szCs w:val="24"/>
          <w:rtl/>
        </w:rPr>
        <w:t>חיות</w:t>
      </w:r>
      <w:r w:rsidRPr="006C4917">
        <w:rPr>
          <w:rFonts w:hint="cs"/>
          <w:rtl/>
        </w:rPr>
        <w:t>, נפקות הדבר היא כי לגבי החלטות הדרג הממשלתי, בסוגיית הסבירות, יש דין (חובת סבירות) אך אין דיין (ביקורת שיפוטית). לפיכך, בקבלה את תיקון מס' 3 בחרה הכנסת המכהנת, בכובעה כמכוננת, לשים את הדרג הממשלתי מעל לחוק בהיבט חשוב ומהותי של חובותיו לפי המשפט המנהלי. קביעה שכזו עומדת, לתפיסתי, בניגוד לעקרון שלטון החוק. היא שקולה לקביעה כי הדרג הממשלתי חייב להימנע מהפליה, אך שהחלטותיו לא יבוקרו על ידי הרשות השופטת בשל עילת ההפליה; או כי הוא חייב להימנע משיקולים זרים, אך החלטותיו לא ייבחנו על ידי הרשות השופטת מהיבט השיקולים הזרים.</w:t>
      </w:r>
    </w:p>
    <w:p w:rsidR="003D7BFC" w:rsidRPr="006C4917" w:rsidRDefault="003D7BFC" w:rsidP="003D7BFC">
      <w:pPr>
        <w:pStyle w:val="Ruller41"/>
      </w:pPr>
    </w:p>
    <w:p w:rsidR="003D7BFC" w:rsidRPr="006C4917" w:rsidRDefault="003D7BFC" w:rsidP="003D7BFC">
      <w:pPr>
        <w:pStyle w:val="Ruller4"/>
        <w:rPr>
          <w:rFonts w:ascii="Century" w:hAnsi="Century"/>
          <w:sz w:val="22"/>
          <w:rtl/>
        </w:rPr>
      </w:pPr>
      <w:r w:rsidRPr="006C4917">
        <w:rPr>
          <w:rFonts w:hint="cs"/>
          <w:rtl/>
        </w:rPr>
        <w:t xml:space="preserve">ויודגש, עקרון שלטון החוק, הוא יסוד מיסודות המשטר הדמוקרטי, ואין הוא חי בשלום עם מצב לפיו חובה משמעותית כמו זו הנדונה כאן החלה על חברי הרשות המבצעת אינה מקבלת כל גיבוי בדמות סמכות פיקוח של ערכאה שיפוטית בלתי תלויה. קביעה זו נטועה בתורת המשפט הכללית (ראו למשל: </w:t>
      </w:r>
      <w:r w:rsidRPr="006C4917">
        <w:rPr>
          <w:rFonts w:asciiTheme="majorBidi" w:hAnsiTheme="majorBidi"/>
        </w:rPr>
        <w:t xml:space="preserve">Louis L. Jaffe, </w:t>
      </w:r>
      <w:r w:rsidRPr="006C4917">
        <w:rPr>
          <w:rFonts w:asciiTheme="majorBidi" w:hAnsiTheme="majorBidi"/>
          <w:i/>
        </w:rPr>
        <w:t>The Right to Judicial Review I</w:t>
      </w:r>
      <w:r w:rsidRPr="006C4917">
        <w:rPr>
          <w:rFonts w:asciiTheme="majorBidi" w:hAnsiTheme="majorBidi"/>
        </w:rPr>
        <w:t xml:space="preserve">, 71 </w:t>
      </w:r>
      <w:r w:rsidRPr="006C4917">
        <w:rPr>
          <w:rFonts w:asciiTheme="majorBidi" w:hAnsiTheme="majorBidi"/>
          <w:smallCaps/>
        </w:rPr>
        <w:t>Harv. L. Rev.</w:t>
      </w:r>
      <w:r w:rsidRPr="006C4917">
        <w:rPr>
          <w:rFonts w:asciiTheme="majorBidi" w:hAnsiTheme="majorBidi"/>
        </w:rPr>
        <w:t xml:space="preserve"> 401, 401 (1957): ("The availability of judicial review is the necessary condition, psychologically if not logically, of a system of administrative power which purports to be legitimate, or legally valid</w:t>
      </w:r>
      <w:r w:rsidRPr="006C4917">
        <w:rPr>
          <w:rFonts w:asciiTheme="majorBidi" w:hAnsiTheme="majorBidi" w:cstheme="majorBidi"/>
          <w:szCs w:val="24"/>
        </w:rPr>
        <w:t>")</w:t>
      </w:r>
      <w:r w:rsidRPr="006C4917">
        <w:rPr>
          <w:rFonts w:asciiTheme="majorBidi" w:hAnsiTheme="majorBidi" w:cstheme="majorBidi" w:hint="cs"/>
          <w:rtl/>
        </w:rPr>
        <w:t xml:space="preserve">. </w:t>
      </w:r>
      <w:r w:rsidRPr="006C4917">
        <w:rPr>
          <w:rFonts w:ascii="Century" w:hAnsi="Century" w:hint="cs"/>
          <w:sz w:val="22"/>
          <w:rtl/>
        </w:rPr>
        <w:t>וראו גם:</w:t>
      </w:r>
      <w:r w:rsidRPr="006C4917">
        <w:rPr>
          <w:rFonts w:asciiTheme="majorBidi" w:hAnsiTheme="majorBidi" w:cstheme="majorBidi" w:hint="cs"/>
          <w:rtl/>
        </w:rPr>
        <w:t xml:space="preserve"> </w:t>
      </w:r>
      <w:r w:rsidRPr="006C4917">
        <w:rPr>
          <w:rFonts w:asciiTheme="majorBidi" w:hAnsiTheme="majorBidi" w:cstheme="majorBidi"/>
        </w:rPr>
        <w:t xml:space="preserve">Henry P. Monaghan, </w:t>
      </w:r>
      <w:r w:rsidRPr="006C4917">
        <w:rPr>
          <w:rFonts w:asciiTheme="majorBidi" w:hAnsiTheme="majorBidi" w:cstheme="majorBidi"/>
          <w:i/>
          <w:iCs/>
        </w:rPr>
        <w:t>Jurisdiction Stripping circa 2020: What the Dialogue (Still) Has to Teach Us</w:t>
      </w:r>
      <w:r w:rsidRPr="006C4917">
        <w:rPr>
          <w:rFonts w:asciiTheme="majorBidi" w:hAnsiTheme="majorBidi" w:cstheme="majorBidi"/>
        </w:rPr>
        <w:t>, 69 D</w:t>
      </w:r>
      <w:r w:rsidRPr="006C4917">
        <w:rPr>
          <w:rFonts w:asciiTheme="majorBidi" w:hAnsiTheme="majorBidi" w:cstheme="majorBidi"/>
          <w:sz w:val="22"/>
          <w:szCs w:val="24"/>
        </w:rPr>
        <w:t>UKE</w:t>
      </w:r>
      <w:r w:rsidRPr="006C4917">
        <w:rPr>
          <w:rFonts w:asciiTheme="majorBidi" w:hAnsiTheme="majorBidi" w:cstheme="majorBidi"/>
        </w:rPr>
        <w:t xml:space="preserve"> L.J. 1 (2019).</w:t>
      </w:r>
      <w:r w:rsidRPr="006C4917">
        <w:rPr>
          <w:rFonts w:ascii="Century" w:hAnsi="Century" w:hint="cs"/>
          <w:sz w:val="22"/>
          <w:rtl/>
        </w:rPr>
        <w:t xml:space="preserve">), ואת הדיה ניתן לזהות בפסיקתנו (ראו, למשל: </w:t>
      </w:r>
      <w:r w:rsidRPr="006C4917">
        <w:rPr>
          <w:rFonts w:ascii="Century" w:hAnsi="Century"/>
          <w:rtl/>
        </w:rPr>
        <w:t xml:space="preserve">בג"ץ 109/70 </w:t>
      </w:r>
      <w:r w:rsidRPr="006C4917">
        <w:rPr>
          <w:rFonts w:ascii="Century" w:hAnsi="Century" w:cs="Miriam"/>
          <w:b/>
          <w:spacing w:val="0"/>
          <w:szCs w:val="24"/>
          <w:rtl/>
        </w:rPr>
        <w:t>המוטראן הקופטי האורתודוכסי של הכסא הקדוש נ' שר המשטרה, ירושלים</w:t>
      </w:r>
      <w:r w:rsidRPr="006C4917">
        <w:rPr>
          <w:rFonts w:ascii="Century" w:hAnsi="Century"/>
          <w:rtl/>
        </w:rPr>
        <w:t xml:space="preserve">, </w:t>
      </w:r>
      <w:r w:rsidRPr="006C4917">
        <w:rPr>
          <w:rFonts w:ascii="Century" w:hAnsi="Century" w:hint="cs"/>
          <w:rtl/>
        </w:rPr>
        <w:t xml:space="preserve">פ"ד </w:t>
      </w:r>
      <w:r w:rsidRPr="006C4917">
        <w:rPr>
          <w:rFonts w:ascii="Century" w:hAnsi="Century"/>
          <w:rtl/>
        </w:rPr>
        <w:t xml:space="preserve">כה(1) </w:t>
      </w:r>
      <w:r w:rsidRPr="006C4917">
        <w:rPr>
          <w:rFonts w:ascii="Century" w:hAnsi="Century" w:hint="cs"/>
          <w:rtl/>
        </w:rPr>
        <w:t>225, 250 (1971) ("</w:t>
      </w:r>
      <w:r w:rsidRPr="006C4917">
        <w:rPr>
          <w:rFonts w:ascii="Century" w:hAnsi="Century" w:cs="Miriam" w:hint="eastAsia"/>
          <w:b/>
          <w:spacing w:val="0"/>
          <w:szCs w:val="24"/>
          <w:rtl/>
        </w:rPr>
        <w:t>עקרון</w:t>
      </w:r>
      <w:r w:rsidRPr="006C4917">
        <w:rPr>
          <w:rFonts w:ascii="Century" w:hAnsi="Century" w:cs="Miriam"/>
          <w:b/>
          <w:spacing w:val="0"/>
          <w:szCs w:val="24"/>
          <w:rtl/>
        </w:rPr>
        <w:t xml:space="preserve"> </w:t>
      </w:r>
      <w:r w:rsidRPr="006C4917">
        <w:rPr>
          <w:rFonts w:ascii="Century" w:hAnsi="Century" w:cs="Miriam" w:hint="eastAsia"/>
          <w:b/>
          <w:spacing w:val="0"/>
          <w:szCs w:val="24"/>
          <w:rtl/>
        </w:rPr>
        <w:t>היסוד</w:t>
      </w:r>
      <w:r w:rsidRPr="006C4917">
        <w:rPr>
          <w:rFonts w:ascii="Century" w:hAnsi="Century" w:cs="Miriam"/>
          <w:b/>
          <w:spacing w:val="0"/>
          <w:szCs w:val="24"/>
          <w:rtl/>
        </w:rPr>
        <w:t xml:space="preserve"> </w:t>
      </w:r>
      <w:r w:rsidRPr="006C4917">
        <w:rPr>
          <w:rFonts w:ascii="Century" w:hAnsi="Century" w:cs="Miriam" w:hint="eastAsia"/>
          <w:b/>
          <w:spacing w:val="0"/>
          <w:szCs w:val="24"/>
          <w:rtl/>
        </w:rPr>
        <w:t>של</w:t>
      </w:r>
      <w:r w:rsidRPr="006C4917">
        <w:rPr>
          <w:rFonts w:ascii="Century" w:hAnsi="Century" w:cs="Miriam"/>
          <w:b/>
          <w:spacing w:val="0"/>
          <w:szCs w:val="24"/>
          <w:rtl/>
        </w:rPr>
        <w:t xml:space="preserve"> </w:t>
      </w:r>
      <w:r w:rsidRPr="006C4917">
        <w:rPr>
          <w:rFonts w:ascii="Century" w:hAnsi="Century" w:cs="Miriam" w:hint="eastAsia"/>
          <w:b/>
          <w:spacing w:val="0"/>
          <w:szCs w:val="24"/>
          <w:rtl/>
        </w:rPr>
        <w:t>שלטון</w:t>
      </w:r>
      <w:r w:rsidRPr="006C4917">
        <w:rPr>
          <w:rFonts w:ascii="Century" w:hAnsi="Century" w:cs="Miriam"/>
          <w:b/>
          <w:spacing w:val="0"/>
          <w:szCs w:val="24"/>
          <w:rtl/>
        </w:rPr>
        <w:t xml:space="preserve"> </w:t>
      </w:r>
      <w:r w:rsidRPr="006C4917">
        <w:rPr>
          <w:rFonts w:ascii="Century" w:hAnsi="Century" w:cs="Miriam" w:hint="eastAsia"/>
          <w:b/>
          <w:spacing w:val="0"/>
          <w:szCs w:val="24"/>
          <w:rtl/>
        </w:rPr>
        <w:t>החוק</w:t>
      </w:r>
      <w:r w:rsidRPr="006C4917">
        <w:rPr>
          <w:rFonts w:ascii="Century" w:hAnsi="Century" w:cs="Miriam"/>
          <w:b/>
          <w:spacing w:val="0"/>
          <w:szCs w:val="24"/>
          <w:rtl/>
        </w:rPr>
        <w:t xml:space="preserve"> </w:t>
      </w:r>
      <w:r w:rsidRPr="006C4917">
        <w:rPr>
          <w:rFonts w:ascii="Century" w:hAnsi="Century" w:cs="Miriam" w:hint="eastAsia"/>
          <w:b/>
          <w:spacing w:val="0"/>
          <w:szCs w:val="24"/>
          <w:rtl/>
        </w:rPr>
        <w:t>מחייב</w:t>
      </w:r>
      <w:r w:rsidRPr="006C4917">
        <w:rPr>
          <w:rFonts w:ascii="Century" w:hAnsi="Century" w:cs="Miriam"/>
          <w:b/>
          <w:spacing w:val="0"/>
          <w:szCs w:val="24"/>
          <w:rtl/>
        </w:rPr>
        <w:t xml:space="preserve">, </w:t>
      </w:r>
      <w:r w:rsidRPr="006C4917">
        <w:rPr>
          <w:rFonts w:ascii="Century" w:hAnsi="Century" w:cs="Miriam" w:hint="eastAsia"/>
          <w:b/>
          <w:spacing w:val="0"/>
          <w:szCs w:val="24"/>
          <w:rtl/>
        </w:rPr>
        <w:t>שלא</w:t>
      </w:r>
      <w:r w:rsidRPr="006C4917">
        <w:rPr>
          <w:rFonts w:ascii="Century" w:hAnsi="Century" w:cs="Miriam"/>
          <w:b/>
          <w:spacing w:val="0"/>
          <w:szCs w:val="24"/>
          <w:rtl/>
        </w:rPr>
        <w:t xml:space="preserve"> </w:t>
      </w:r>
      <w:r w:rsidRPr="006C4917">
        <w:rPr>
          <w:rFonts w:ascii="Century" w:hAnsi="Century" w:cs="Miriam" w:hint="eastAsia"/>
          <w:b/>
          <w:spacing w:val="0"/>
          <w:szCs w:val="24"/>
          <w:rtl/>
        </w:rPr>
        <w:t>לכבול</w:t>
      </w:r>
      <w:r w:rsidRPr="006C4917">
        <w:rPr>
          <w:rFonts w:ascii="Century" w:hAnsi="Century" w:cs="Miriam"/>
          <w:b/>
          <w:spacing w:val="0"/>
          <w:szCs w:val="24"/>
          <w:rtl/>
        </w:rPr>
        <w:t xml:space="preserve"> </w:t>
      </w:r>
      <w:r w:rsidRPr="006C4917">
        <w:rPr>
          <w:rFonts w:ascii="Century" w:hAnsi="Century" w:cs="Miriam" w:hint="eastAsia"/>
          <w:b/>
          <w:spacing w:val="0"/>
          <w:szCs w:val="24"/>
          <w:rtl/>
        </w:rPr>
        <w:t>את</w:t>
      </w:r>
      <w:r w:rsidRPr="006C4917">
        <w:rPr>
          <w:rFonts w:ascii="Century" w:hAnsi="Century" w:cs="Miriam"/>
          <w:b/>
          <w:spacing w:val="0"/>
          <w:szCs w:val="24"/>
          <w:rtl/>
        </w:rPr>
        <w:t xml:space="preserve"> </w:t>
      </w:r>
      <w:r w:rsidRPr="006C4917">
        <w:rPr>
          <w:rFonts w:ascii="Century" w:hAnsi="Century" w:cs="Miriam" w:hint="eastAsia"/>
          <w:b/>
          <w:spacing w:val="0"/>
          <w:szCs w:val="24"/>
          <w:rtl/>
        </w:rPr>
        <w:t>ידי</w:t>
      </w:r>
      <w:r w:rsidRPr="006C4917">
        <w:rPr>
          <w:rFonts w:ascii="Century" w:hAnsi="Century" w:cs="Miriam"/>
          <w:b/>
          <w:spacing w:val="0"/>
          <w:szCs w:val="24"/>
          <w:rtl/>
        </w:rPr>
        <w:t xml:space="preserve"> </w:t>
      </w:r>
      <w:r w:rsidRPr="006C4917">
        <w:rPr>
          <w:rFonts w:ascii="Century" w:hAnsi="Century" w:cs="Miriam" w:hint="eastAsia"/>
          <w:b/>
          <w:spacing w:val="0"/>
          <w:szCs w:val="24"/>
          <w:rtl/>
        </w:rPr>
        <w:t>בית</w:t>
      </w:r>
      <w:r w:rsidRPr="006C4917">
        <w:rPr>
          <w:rFonts w:ascii="Century" w:hAnsi="Century" w:cs="Miriam"/>
          <w:b/>
          <w:spacing w:val="0"/>
          <w:szCs w:val="24"/>
          <w:rtl/>
        </w:rPr>
        <w:t xml:space="preserve"> </w:t>
      </w:r>
      <w:r w:rsidRPr="006C4917">
        <w:rPr>
          <w:rFonts w:ascii="Century" w:hAnsi="Century" w:cs="Miriam" w:hint="eastAsia"/>
          <w:b/>
          <w:spacing w:val="0"/>
          <w:szCs w:val="24"/>
          <w:rtl/>
        </w:rPr>
        <w:t>המשפט</w:t>
      </w:r>
      <w:r w:rsidRPr="006C4917">
        <w:rPr>
          <w:rFonts w:ascii="Century" w:hAnsi="Century" w:cs="Miriam"/>
          <w:b/>
          <w:spacing w:val="0"/>
          <w:szCs w:val="24"/>
          <w:rtl/>
        </w:rPr>
        <w:t xml:space="preserve">, </w:t>
      </w:r>
      <w:r w:rsidRPr="006C4917">
        <w:rPr>
          <w:rFonts w:ascii="Century" w:hAnsi="Century" w:cs="Miriam" w:hint="eastAsia"/>
          <w:b/>
          <w:spacing w:val="0"/>
          <w:szCs w:val="24"/>
          <w:rtl/>
        </w:rPr>
        <w:t>בשל</w:t>
      </w:r>
      <w:r w:rsidRPr="006C4917">
        <w:rPr>
          <w:rFonts w:ascii="Century" w:hAnsi="Century" w:cs="Miriam"/>
          <w:b/>
          <w:spacing w:val="0"/>
          <w:szCs w:val="24"/>
          <w:rtl/>
        </w:rPr>
        <w:t xml:space="preserve"> </w:t>
      </w:r>
      <w:r w:rsidRPr="006C4917">
        <w:rPr>
          <w:rFonts w:ascii="Century" w:hAnsi="Century" w:cs="Miriam" w:hint="eastAsia"/>
          <w:b/>
          <w:spacing w:val="0"/>
          <w:szCs w:val="24"/>
          <w:rtl/>
        </w:rPr>
        <w:t>תורת</w:t>
      </w:r>
      <w:r w:rsidRPr="006C4917">
        <w:rPr>
          <w:rFonts w:ascii="Century" w:hAnsi="Century" w:cs="Miriam"/>
          <w:b/>
          <w:spacing w:val="0"/>
          <w:szCs w:val="24"/>
          <w:rtl/>
        </w:rPr>
        <w:t xml:space="preserve"> </w:t>
      </w:r>
      <w:r w:rsidRPr="006C4917">
        <w:rPr>
          <w:rFonts w:ascii="Century" w:hAnsi="Century" w:cs="Miriam" w:hint="eastAsia"/>
          <w:b/>
          <w:spacing w:val="0"/>
          <w:szCs w:val="24"/>
          <w:rtl/>
        </w:rPr>
        <w:t>השפיטות</w:t>
      </w:r>
      <w:r w:rsidRPr="006C4917">
        <w:rPr>
          <w:rFonts w:ascii="Century" w:hAnsi="Century" w:cs="Miriam"/>
          <w:b/>
          <w:spacing w:val="0"/>
          <w:szCs w:val="24"/>
          <w:rtl/>
        </w:rPr>
        <w:t xml:space="preserve"> </w:t>
      </w:r>
      <w:r w:rsidRPr="006C4917">
        <w:rPr>
          <w:rFonts w:ascii="Century" w:hAnsi="Century" w:cs="Miriam" w:hint="eastAsia"/>
          <w:b/>
          <w:spacing w:val="0"/>
          <w:szCs w:val="24"/>
          <w:rtl/>
        </w:rPr>
        <w:t>בלבד</w:t>
      </w:r>
      <w:r w:rsidRPr="006C4917">
        <w:rPr>
          <w:rFonts w:ascii="Century" w:hAnsi="Century" w:cs="Miriam"/>
          <w:b/>
          <w:spacing w:val="0"/>
          <w:szCs w:val="24"/>
          <w:rtl/>
        </w:rPr>
        <w:t xml:space="preserve">, </w:t>
      </w:r>
      <w:r w:rsidRPr="006C4917">
        <w:rPr>
          <w:rFonts w:ascii="Century" w:hAnsi="Century" w:cs="Miriam" w:hint="eastAsia"/>
          <w:b/>
          <w:spacing w:val="0"/>
          <w:szCs w:val="24"/>
          <w:rtl/>
        </w:rPr>
        <w:t>מלהתערב</w:t>
      </w:r>
      <w:r w:rsidRPr="006C4917">
        <w:rPr>
          <w:rFonts w:ascii="Century" w:hAnsi="Century" w:cs="Miriam"/>
          <w:b/>
          <w:spacing w:val="0"/>
          <w:szCs w:val="24"/>
          <w:rtl/>
        </w:rPr>
        <w:t xml:space="preserve"> </w:t>
      </w:r>
      <w:r w:rsidRPr="006C4917">
        <w:rPr>
          <w:rFonts w:ascii="Century" w:hAnsi="Century" w:cs="Miriam" w:hint="eastAsia"/>
          <w:b/>
          <w:spacing w:val="0"/>
          <w:szCs w:val="24"/>
          <w:rtl/>
        </w:rPr>
        <w:t>לשם</w:t>
      </w:r>
      <w:r w:rsidRPr="006C4917">
        <w:rPr>
          <w:rFonts w:ascii="Century" w:hAnsi="Century" w:cs="Miriam"/>
          <w:b/>
          <w:spacing w:val="0"/>
          <w:szCs w:val="24"/>
          <w:rtl/>
        </w:rPr>
        <w:t xml:space="preserve"> </w:t>
      </w:r>
      <w:r w:rsidRPr="006C4917">
        <w:rPr>
          <w:rFonts w:ascii="Century" w:hAnsi="Century" w:cs="Miriam" w:hint="eastAsia"/>
          <w:b/>
          <w:spacing w:val="0"/>
          <w:szCs w:val="24"/>
          <w:rtl/>
        </w:rPr>
        <w:t>קיום</w:t>
      </w:r>
      <w:r w:rsidRPr="006C4917">
        <w:rPr>
          <w:rFonts w:ascii="Century" w:hAnsi="Century" w:cs="Miriam"/>
          <w:b/>
          <w:spacing w:val="0"/>
          <w:szCs w:val="24"/>
          <w:rtl/>
        </w:rPr>
        <w:t xml:space="preserve"> </w:t>
      </w:r>
      <w:r w:rsidRPr="006C4917">
        <w:rPr>
          <w:rFonts w:ascii="Century" w:hAnsi="Century" w:cs="Miriam" w:hint="eastAsia"/>
          <w:b/>
          <w:spacing w:val="0"/>
          <w:szCs w:val="24"/>
          <w:rtl/>
        </w:rPr>
        <w:t>הסדר</w:t>
      </w:r>
      <w:r w:rsidRPr="006C4917">
        <w:rPr>
          <w:rFonts w:ascii="Century" w:hAnsi="Century" w:cs="Miriam"/>
          <w:b/>
          <w:spacing w:val="0"/>
          <w:szCs w:val="24"/>
          <w:rtl/>
        </w:rPr>
        <w:t xml:space="preserve"> </w:t>
      </w:r>
      <w:r w:rsidRPr="006C4917">
        <w:rPr>
          <w:rFonts w:ascii="Century" w:hAnsi="Century" w:cs="Miriam" w:hint="eastAsia"/>
          <w:b/>
          <w:spacing w:val="0"/>
          <w:szCs w:val="24"/>
          <w:rtl/>
        </w:rPr>
        <w:t>הציבורי</w:t>
      </w:r>
      <w:r w:rsidRPr="006C4917">
        <w:rPr>
          <w:rFonts w:ascii="Century" w:hAnsi="Century" w:hint="cs"/>
          <w:rtl/>
        </w:rPr>
        <w:t xml:space="preserve">"); עניין </w:t>
      </w:r>
      <w:r w:rsidRPr="006C4917">
        <w:rPr>
          <w:rFonts w:ascii="Century" w:hAnsi="Century" w:cs="Miriam" w:hint="cs"/>
          <w:b/>
          <w:spacing w:val="0"/>
          <w:szCs w:val="24"/>
          <w:rtl/>
        </w:rPr>
        <w:t>מיערי</w:t>
      </w:r>
      <w:r w:rsidRPr="006C4917">
        <w:rPr>
          <w:rFonts w:ascii="Century" w:hAnsi="Century" w:hint="cs"/>
          <w:rtl/>
        </w:rPr>
        <w:t>, בעמ' 129-128 ("</w:t>
      </w:r>
      <w:r w:rsidRPr="006C4917">
        <w:rPr>
          <w:rFonts w:ascii="Century" w:hAnsi="Century" w:cs="Miriam" w:hint="eastAsia"/>
          <w:b/>
          <w:spacing w:val="0"/>
          <w:szCs w:val="24"/>
          <w:rtl/>
        </w:rPr>
        <w:t>הסמכות</w:t>
      </w:r>
      <w:r w:rsidRPr="006C4917">
        <w:rPr>
          <w:rFonts w:ascii="Century" w:hAnsi="Century" w:cs="Miriam"/>
          <w:b/>
          <w:spacing w:val="0"/>
          <w:szCs w:val="24"/>
          <w:rtl/>
        </w:rPr>
        <w:t xml:space="preserve"> </w:t>
      </w:r>
      <w:r w:rsidRPr="006C4917">
        <w:rPr>
          <w:rFonts w:ascii="Century" w:hAnsi="Century" w:cs="Miriam" w:hint="eastAsia"/>
          <w:b/>
          <w:spacing w:val="0"/>
          <w:szCs w:val="24"/>
          <w:rtl/>
        </w:rPr>
        <w:t>לקיים</w:t>
      </w:r>
      <w:r w:rsidRPr="006C4917">
        <w:rPr>
          <w:rFonts w:ascii="Century" w:hAnsi="Century" w:cs="Miriam"/>
          <w:b/>
          <w:spacing w:val="0"/>
          <w:szCs w:val="24"/>
          <w:rtl/>
        </w:rPr>
        <w:t xml:space="preserve"> </w:t>
      </w:r>
      <w:r w:rsidRPr="006C4917">
        <w:rPr>
          <w:rFonts w:ascii="Century" w:hAnsi="Century" w:cs="Miriam" w:hint="eastAsia"/>
          <w:b/>
          <w:spacing w:val="0"/>
          <w:szCs w:val="24"/>
          <w:rtl/>
        </w:rPr>
        <w:t>ביקורת</w:t>
      </w:r>
      <w:r w:rsidRPr="006C4917">
        <w:rPr>
          <w:rFonts w:ascii="Century" w:hAnsi="Century" w:cs="Miriam" w:hint="cs"/>
          <w:b/>
          <w:spacing w:val="0"/>
          <w:szCs w:val="24"/>
          <w:rtl/>
        </w:rPr>
        <w:t xml:space="preserve"> ש</w:t>
      </w:r>
      <w:r w:rsidRPr="006C4917">
        <w:rPr>
          <w:rFonts w:ascii="Century" w:hAnsi="Century" w:cs="Miriam" w:hint="eastAsia"/>
          <w:b/>
          <w:spacing w:val="0"/>
          <w:szCs w:val="24"/>
          <w:rtl/>
        </w:rPr>
        <w:t>יפוטית</w:t>
      </w:r>
      <w:r w:rsidRPr="006C4917">
        <w:rPr>
          <w:rFonts w:ascii="Century" w:hAnsi="Century" w:cs="Miriam"/>
          <w:b/>
          <w:spacing w:val="0"/>
          <w:szCs w:val="24"/>
          <w:rtl/>
        </w:rPr>
        <w:t xml:space="preserve"> </w:t>
      </w:r>
      <w:r w:rsidRPr="006C4917">
        <w:rPr>
          <w:rFonts w:ascii="Century" w:hAnsi="Century" w:cs="Miriam" w:hint="eastAsia"/>
          <w:b/>
          <w:spacing w:val="0"/>
          <w:szCs w:val="24"/>
          <w:rtl/>
        </w:rPr>
        <w:t>על</w:t>
      </w:r>
      <w:r w:rsidRPr="006C4917">
        <w:rPr>
          <w:rFonts w:ascii="Century" w:hAnsi="Century" w:cs="Miriam"/>
          <w:b/>
          <w:spacing w:val="0"/>
          <w:szCs w:val="24"/>
          <w:rtl/>
        </w:rPr>
        <w:t xml:space="preserve"> </w:t>
      </w:r>
      <w:r w:rsidRPr="006C4917">
        <w:rPr>
          <w:rFonts w:ascii="Century" w:hAnsi="Century" w:cs="Miriam" w:hint="eastAsia"/>
          <w:b/>
          <w:spacing w:val="0"/>
          <w:szCs w:val="24"/>
          <w:rtl/>
        </w:rPr>
        <w:t>פעולות</w:t>
      </w:r>
      <w:r w:rsidRPr="006C4917">
        <w:rPr>
          <w:rFonts w:ascii="Century" w:hAnsi="Century" w:cs="Miriam"/>
          <w:b/>
          <w:spacing w:val="0"/>
          <w:szCs w:val="24"/>
          <w:rtl/>
        </w:rPr>
        <w:t xml:space="preserve"> </w:t>
      </w:r>
      <w:r w:rsidRPr="006C4917">
        <w:rPr>
          <w:rFonts w:ascii="Century" w:hAnsi="Century" w:cs="Miriam" w:hint="eastAsia"/>
          <w:b/>
          <w:spacing w:val="0"/>
          <w:szCs w:val="24"/>
          <w:rtl/>
        </w:rPr>
        <w:t>הכנסת</w:t>
      </w:r>
      <w:r w:rsidRPr="006C4917">
        <w:rPr>
          <w:rFonts w:ascii="Century" w:hAnsi="Century" w:cs="Miriam"/>
          <w:b/>
          <w:spacing w:val="0"/>
          <w:szCs w:val="24"/>
          <w:rtl/>
        </w:rPr>
        <w:t xml:space="preserve"> </w:t>
      </w:r>
      <w:r w:rsidRPr="006C4917">
        <w:rPr>
          <w:rFonts w:ascii="Century" w:hAnsi="Century" w:cs="Miriam" w:hint="eastAsia"/>
          <w:b/>
          <w:spacing w:val="0"/>
          <w:szCs w:val="24"/>
          <w:rtl/>
        </w:rPr>
        <w:t>מסתברת</w:t>
      </w:r>
      <w:r w:rsidRPr="006C4917">
        <w:rPr>
          <w:rFonts w:ascii="Century" w:hAnsi="Century" w:cs="Miriam"/>
          <w:b/>
          <w:spacing w:val="0"/>
          <w:szCs w:val="24"/>
          <w:rtl/>
        </w:rPr>
        <w:t xml:space="preserve"> </w:t>
      </w:r>
      <w:r w:rsidRPr="006C4917">
        <w:rPr>
          <w:rFonts w:ascii="Century" w:hAnsi="Century" w:cs="Miriam" w:hint="eastAsia"/>
          <w:b/>
          <w:spacing w:val="0"/>
          <w:szCs w:val="24"/>
          <w:rtl/>
        </w:rPr>
        <w:t>גם</w:t>
      </w:r>
      <w:r w:rsidRPr="006C4917">
        <w:rPr>
          <w:rFonts w:ascii="Century" w:hAnsi="Century" w:cs="Miriam"/>
          <w:b/>
          <w:spacing w:val="0"/>
          <w:szCs w:val="24"/>
          <w:rtl/>
        </w:rPr>
        <w:t xml:space="preserve"> </w:t>
      </w:r>
      <w:r w:rsidRPr="006C4917">
        <w:rPr>
          <w:rFonts w:ascii="Century" w:hAnsi="Century" w:cs="Miriam" w:hint="eastAsia"/>
          <w:b/>
          <w:spacing w:val="0"/>
          <w:szCs w:val="24"/>
          <w:rtl/>
        </w:rPr>
        <w:t>מתפיסות</w:t>
      </w:r>
      <w:r w:rsidRPr="006C4917">
        <w:rPr>
          <w:rFonts w:ascii="Century" w:hAnsi="Century" w:cs="Miriam"/>
          <w:b/>
          <w:spacing w:val="0"/>
          <w:szCs w:val="24"/>
          <w:rtl/>
        </w:rPr>
        <w:t xml:space="preserve"> </w:t>
      </w:r>
      <w:r w:rsidRPr="006C4917">
        <w:rPr>
          <w:rFonts w:ascii="Century" w:hAnsi="Century" w:cs="Miriam" w:hint="eastAsia"/>
          <w:b/>
          <w:spacing w:val="0"/>
          <w:szCs w:val="24"/>
          <w:rtl/>
        </w:rPr>
        <w:t>היסוד</w:t>
      </w:r>
      <w:r w:rsidRPr="006C4917">
        <w:rPr>
          <w:rFonts w:ascii="Century" w:hAnsi="Century" w:cs="Miriam"/>
          <w:b/>
          <w:spacing w:val="0"/>
          <w:szCs w:val="24"/>
          <w:rtl/>
        </w:rPr>
        <w:t xml:space="preserve"> </w:t>
      </w:r>
      <w:r w:rsidRPr="006C4917">
        <w:rPr>
          <w:rFonts w:ascii="Century" w:hAnsi="Century" w:cs="Miriam" w:hint="eastAsia"/>
          <w:b/>
          <w:spacing w:val="0"/>
          <w:szCs w:val="24"/>
          <w:rtl/>
        </w:rPr>
        <w:t>החוקתיות</w:t>
      </w:r>
      <w:r w:rsidRPr="006C4917">
        <w:rPr>
          <w:rFonts w:ascii="Century" w:hAnsi="Century" w:cs="Miriam"/>
          <w:b/>
          <w:spacing w:val="0"/>
          <w:szCs w:val="24"/>
          <w:rtl/>
        </w:rPr>
        <w:t xml:space="preserve">, </w:t>
      </w:r>
      <w:r w:rsidRPr="006C4917">
        <w:rPr>
          <w:rFonts w:ascii="Century" w:hAnsi="Century" w:cs="Miriam" w:hint="eastAsia"/>
          <w:b/>
          <w:spacing w:val="0"/>
          <w:szCs w:val="24"/>
          <w:rtl/>
        </w:rPr>
        <w:t>אשר</w:t>
      </w:r>
      <w:r w:rsidRPr="006C4917">
        <w:rPr>
          <w:rFonts w:ascii="Century" w:hAnsi="Century" w:cs="Miriam"/>
          <w:b/>
          <w:spacing w:val="0"/>
          <w:szCs w:val="24"/>
          <w:rtl/>
        </w:rPr>
        <w:t xml:space="preserve"> </w:t>
      </w:r>
      <w:r w:rsidRPr="006C4917">
        <w:rPr>
          <w:rFonts w:ascii="Century" w:hAnsi="Century" w:cs="Miriam" w:hint="eastAsia"/>
          <w:b/>
          <w:spacing w:val="0"/>
          <w:szCs w:val="24"/>
          <w:rtl/>
        </w:rPr>
        <w:t>לפיהן</w:t>
      </w:r>
      <w:r w:rsidRPr="006C4917">
        <w:rPr>
          <w:rFonts w:ascii="Century" w:hAnsi="Century" w:cs="Miriam"/>
          <w:b/>
          <w:spacing w:val="0"/>
          <w:szCs w:val="24"/>
          <w:rtl/>
        </w:rPr>
        <w:t xml:space="preserve"> </w:t>
      </w:r>
      <w:r w:rsidRPr="006C4917">
        <w:rPr>
          <w:rFonts w:ascii="Century" w:hAnsi="Century" w:cs="Miriam" w:hint="eastAsia"/>
          <w:b/>
          <w:spacing w:val="0"/>
          <w:szCs w:val="24"/>
          <w:rtl/>
        </w:rPr>
        <w:t>קיומה</w:t>
      </w:r>
      <w:r w:rsidRPr="006C4917">
        <w:rPr>
          <w:rFonts w:ascii="Century" w:hAnsi="Century" w:cs="Miriam"/>
          <w:b/>
          <w:spacing w:val="0"/>
          <w:szCs w:val="24"/>
          <w:rtl/>
        </w:rPr>
        <w:t xml:space="preserve"> </w:t>
      </w:r>
      <w:r w:rsidRPr="006C4917">
        <w:rPr>
          <w:rFonts w:ascii="Century" w:hAnsi="Century" w:cs="Miriam" w:hint="eastAsia"/>
          <w:b/>
          <w:spacing w:val="0"/>
          <w:szCs w:val="24"/>
          <w:rtl/>
        </w:rPr>
        <w:t>של</w:t>
      </w:r>
      <w:r w:rsidRPr="006C4917">
        <w:rPr>
          <w:rFonts w:ascii="Century" w:hAnsi="Century" w:cs="Miriam" w:hint="cs"/>
          <w:b/>
          <w:spacing w:val="0"/>
          <w:szCs w:val="24"/>
          <w:rtl/>
        </w:rPr>
        <w:t xml:space="preserve"> </w:t>
      </w:r>
      <w:r w:rsidRPr="006C4917">
        <w:rPr>
          <w:rFonts w:ascii="Century" w:hAnsi="Century" w:cs="Miriam" w:hint="eastAsia"/>
          <w:b/>
          <w:spacing w:val="0"/>
          <w:szCs w:val="24"/>
          <w:rtl/>
        </w:rPr>
        <w:t>הביקורת</w:t>
      </w:r>
      <w:r w:rsidRPr="006C4917">
        <w:rPr>
          <w:rFonts w:ascii="Century" w:hAnsi="Century" w:cs="Miriam"/>
          <w:b/>
          <w:spacing w:val="0"/>
          <w:szCs w:val="24"/>
          <w:rtl/>
        </w:rPr>
        <w:t xml:space="preserve"> </w:t>
      </w:r>
      <w:r w:rsidRPr="006C4917">
        <w:rPr>
          <w:rFonts w:ascii="Century" w:hAnsi="Century" w:cs="Miriam" w:hint="eastAsia"/>
          <w:b/>
          <w:spacing w:val="0"/>
          <w:szCs w:val="24"/>
          <w:rtl/>
        </w:rPr>
        <w:t>השיפוטית</w:t>
      </w:r>
      <w:r w:rsidRPr="006C4917">
        <w:rPr>
          <w:rFonts w:ascii="Century" w:hAnsi="Century" w:cs="Miriam"/>
          <w:b/>
          <w:spacing w:val="0"/>
          <w:szCs w:val="24"/>
          <w:rtl/>
        </w:rPr>
        <w:t xml:space="preserve"> </w:t>
      </w:r>
      <w:r w:rsidRPr="006C4917">
        <w:rPr>
          <w:rFonts w:ascii="Century" w:hAnsi="Century" w:cs="Miriam" w:hint="eastAsia"/>
          <w:b/>
          <w:spacing w:val="0"/>
          <w:szCs w:val="24"/>
          <w:rtl/>
        </w:rPr>
        <w:t>על</w:t>
      </w:r>
      <w:r w:rsidRPr="006C4917">
        <w:rPr>
          <w:rFonts w:ascii="Century" w:hAnsi="Century" w:cs="Miriam"/>
          <w:b/>
          <w:spacing w:val="0"/>
          <w:szCs w:val="24"/>
          <w:rtl/>
        </w:rPr>
        <w:t xml:space="preserve"> </w:t>
      </w:r>
      <w:r w:rsidRPr="006C4917">
        <w:rPr>
          <w:rFonts w:ascii="Century" w:hAnsi="Century" w:cs="Miriam" w:hint="eastAsia"/>
          <w:b/>
          <w:spacing w:val="0"/>
          <w:szCs w:val="24"/>
          <w:rtl/>
        </w:rPr>
        <w:t>חוקיות</w:t>
      </w:r>
      <w:r w:rsidRPr="006C4917">
        <w:rPr>
          <w:rFonts w:ascii="Century" w:hAnsi="Century" w:cs="Miriam"/>
          <w:b/>
          <w:spacing w:val="0"/>
          <w:szCs w:val="24"/>
          <w:rtl/>
        </w:rPr>
        <w:t xml:space="preserve"> </w:t>
      </w:r>
      <w:r w:rsidRPr="006C4917">
        <w:rPr>
          <w:rFonts w:ascii="Century" w:hAnsi="Century" w:cs="Miriam" w:hint="eastAsia"/>
          <w:b/>
          <w:spacing w:val="0"/>
          <w:szCs w:val="24"/>
          <w:rtl/>
        </w:rPr>
        <w:t>פעולתה</w:t>
      </w:r>
      <w:r w:rsidRPr="006C4917">
        <w:rPr>
          <w:rFonts w:ascii="Century" w:hAnsi="Century" w:cs="Miriam"/>
          <w:b/>
          <w:spacing w:val="0"/>
          <w:szCs w:val="24"/>
          <w:rtl/>
        </w:rPr>
        <w:t xml:space="preserve"> </w:t>
      </w:r>
      <w:r w:rsidRPr="006C4917">
        <w:rPr>
          <w:rFonts w:ascii="Century" w:hAnsi="Century" w:cs="Miriam" w:hint="eastAsia"/>
          <w:b/>
          <w:spacing w:val="0"/>
          <w:szCs w:val="24"/>
          <w:rtl/>
        </w:rPr>
        <w:t>של</w:t>
      </w:r>
      <w:r w:rsidRPr="006C4917">
        <w:rPr>
          <w:rFonts w:ascii="Century" w:hAnsi="Century" w:cs="Miriam"/>
          <w:b/>
          <w:spacing w:val="0"/>
          <w:szCs w:val="24"/>
          <w:rtl/>
        </w:rPr>
        <w:t xml:space="preserve"> </w:t>
      </w:r>
      <w:r w:rsidRPr="006C4917">
        <w:rPr>
          <w:rFonts w:ascii="Century" w:hAnsi="Century" w:cs="Miriam" w:hint="eastAsia"/>
          <w:b/>
          <w:spacing w:val="0"/>
          <w:szCs w:val="24"/>
          <w:rtl/>
        </w:rPr>
        <w:t>כל</w:t>
      </w:r>
      <w:r w:rsidRPr="006C4917">
        <w:rPr>
          <w:rFonts w:ascii="Century" w:hAnsi="Century" w:cs="Miriam"/>
          <w:b/>
          <w:spacing w:val="0"/>
          <w:szCs w:val="24"/>
          <w:rtl/>
        </w:rPr>
        <w:t xml:space="preserve"> </w:t>
      </w:r>
      <w:r w:rsidRPr="006C4917">
        <w:rPr>
          <w:rFonts w:ascii="Century" w:hAnsi="Century" w:cs="Miriam" w:hint="eastAsia"/>
          <w:b/>
          <w:spacing w:val="0"/>
          <w:szCs w:val="24"/>
          <w:rtl/>
        </w:rPr>
        <w:t>רשות</w:t>
      </w:r>
      <w:r w:rsidRPr="006C4917">
        <w:rPr>
          <w:rFonts w:ascii="Century" w:hAnsi="Century" w:cs="Miriam"/>
          <w:b/>
          <w:spacing w:val="0"/>
          <w:szCs w:val="24"/>
          <w:rtl/>
        </w:rPr>
        <w:t xml:space="preserve"> </w:t>
      </w:r>
      <w:r w:rsidRPr="006C4917">
        <w:rPr>
          <w:rFonts w:ascii="Century" w:hAnsi="Century" w:cs="Miriam" w:hint="eastAsia"/>
          <w:b/>
          <w:spacing w:val="0"/>
          <w:szCs w:val="24"/>
          <w:rtl/>
        </w:rPr>
        <w:t>הוא</w:t>
      </w:r>
      <w:r w:rsidRPr="006C4917">
        <w:rPr>
          <w:rFonts w:ascii="Century" w:hAnsi="Century" w:cs="Miriam"/>
          <w:b/>
          <w:spacing w:val="0"/>
          <w:szCs w:val="24"/>
          <w:rtl/>
        </w:rPr>
        <w:t xml:space="preserve"> </w:t>
      </w:r>
      <w:r w:rsidRPr="006C4917">
        <w:rPr>
          <w:rFonts w:ascii="Century" w:hAnsi="Century" w:cs="Miriam" w:hint="eastAsia"/>
          <w:b/>
          <w:spacing w:val="0"/>
          <w:szCs w:val="24"/>
          <w:rtl/>
        </w:rPr>
        <w:t>תנאי</w:t>
      </w:r>
      <w:r w:rsidRPr="006C4917">
        <w:rPr>
          <w:rFonts w:ascii="Century" w:hAnsi="Century" w:cs="Miriam"/>
          <w:b/>
          <w:spacing w:val="0"/>
          <w:szCs w:val="24"/>
          <w:rtl/>
        </w:rPr>
        <w:t xml:space="preserve"> </w:t>
      </w:r>
      <w:r w:rsidRPr="006C4917">
        <w:rPr>
          <w:rFonts w:ascii="Century" w:hAnsi="Century" w:cs="Miriam" w:hint="eastAsia"/>
          <w:b/>
          <w:spacing w:val="0"/>
          <w:szCs w:val="24"/>
          <w:rtl/>
        </w:rPr>
        <w:t>יסוד</w:t>
      </w:r>
      <w:r w:rsidRPr="006C4917">
        <w:rPr>
          <w:rFonts w:ascii="Century" w:hAnsi="Century" w:cs="Miriam"/>
          <w:b/>
          <w:spacing w:val="0"/>
          <w:szCs w:val="24"/>
          <w:rtl/>
        </w:rPr>
        <w:t xml:space="preserve"> </w:t>
      </w:r>
      <w:r w:rsidRPr="006C4917">
        <w:rPr>
          <w:rFonts w:ascii="Century" w:hAnsi="Century" w:cs="Miriam" w:hint="eastAsia"/>
          <w:b/>
          <w:spacing w:val="0"/>
          <w:szCs w:val="24"/>
          <w:rtl/>
        </w:rPr>
        <w:t>לשלטון</w:t>
      </w:r>
      <w:r w:rsidRPr="006C4917">
        <w:rPr>
          <w:rFonts w:ascii="Century" w:hAnsi="Century" w:cs="Miriam"/>
          <w:b/>
          <w:spacing w:val="0"/>
          <w:szCs w:val="24"/>
          <w:rtl/>
        </w:rPr>
        <w:t xml:space="preserve"> </w:t>
      </w:r>
      <w:r w:rsidRPr="006C4917">
        <w:rPr>
          <w:rFonts w:ascii="Century" w:hAnsi="Century" w:cs="Miriam" w:hint="eastAsia"/>
          <w:b/>
          <w:spacing w:val="0"/>
          <w:szCs w:val="24"/>
          <w:rtl/>
        </w:rPr>
        <w:t>החוק</w:t>
      </w:r>
      <w:r w:rsidRPr="006C4917">
        <w:rPr>
          <w:rFonts w:ascii="Century" w:hAnsi="Century" w:hint="cs"/>
          <w:rtl/>
        </w:rPr>
        <w:t xml:space="preserve">"); </w:t>
      </w:r>
      <w:r w:rsidRPr="006C4917">
        <w:rPr>
          <w:rFonts w:ascii="Century" w:hAnsi="Century" w:hint="cs"/>
          <w:sz w:val="22"/>
          <w:rtl/>
        </w:rPr>
        <w:t xml:space="preserve">בג"ץ 1843/93 </w:t>
      </w:r>
      <w:r w:rsidRPr="006C4917">
        <w:rPr>
          <w:rFonts w:ascii="Century" w:hAnsi="Century" w:cs="Miriam" w:hint="cs"/>
          <w:b/>
          <w:spacing w:val="0"/>
          <w:sz w:val="22"/>
          <w:szCs w:val="24"/>
          <w:rtl/>
        </w:rPr>
        <w:t>פנחסי נ' כנסת ישראל</w:t>
      </w:r>
      <w:r w:rsidRPr="006C4917">
        <w:rPr>
          <w:rFonts w:ascii="Century" w:hAnsi="Century" w:hint="cs"/>
          <w:sz w:val="22"/>
          <w:rtl/>
        </w:rPr>
        <w:t xml:space="preserve">, פ"ד מט(1) 661, 698-697 (1995) </w:t>
      </w:r>
      <w:r w:rsidRPr="006C4917">
        <w:rPr>
          <w:rFonts w:ascii="Century" w:hAnsi="Century" w:hint="cs"/>
          <w:rtl/>
        </w:rPr>
        <w:t>("</w:t>
      </w:r>
      <w:r w:rsidRPr="006C4917">
        <w:rPr>
          <w:rFonts w:ascii="Century" w:hAnsi="Century" w:cs="Miriam" w:hint="eastAsia"/>
          <w:b/>
          <w:spacing w:val="0"/>
          <w:szCs w:val="24"/>
          <w:rtl/>
        </w:rPr>
        <w:t>תפקידה</w:t>
      </w:r>
      <w:r w:rsidRPr="006C4917">
        <w:rPr>
          <w:rFonts w:ascii="Century" w:hAnsi="Century" w:cs="Miriam"/>
          <w:b/>
          <w:spacing w:val="0"/>
          <w:szCs w:val="24"/>
          <w:rtl/>
        </w:rPr>
        <w:t xml:space="preserve"> </w:t>
      </w:r>
      <w:r w:rsidRPr="006C4917">
        <w:rPr>
          <w:rFonts w:ascii="Century" w:hAnsi="Century" w:cs="Miriam" w:hint="eastAsia"/>
          <w:b/>
          <w:spacing w:val="0"/>
          <w:szCs w:val="24"/>
          <w:rtl/>
        </w:rPr>
        <w:t>של</w:t>
      </w:r>
      <w:r w:rsidRPr="006C4917">
        <w:rPr>
          <w:rFonts w:ascii="Century" w:hAnsi="Century" w:cs="Miriam"/>
          <w:b/>
          <w:spacing w:val="0"/>
          <w:szCs w:val="24"/>
          <w:rtl/>
        </w:rPr>
        <w:t xml:space="preserve"> </w:t>
      </w:r>
      <w:r w:rsidRPr="006C4917">
        <w:rPr>
          <w:rFonts w:ascii="Century" w:hAnsi="Century" w:cs="Miriam" w:hint="eastAsia"/>
          <w:b/>
          <w:spacing w:val="0"/>
          <w:szCs w:val="24"/>
          <w:rtl/>
        </w:rPr>
        <w:t>הביקורת</w:t>
      </w:r>
      <w:r w:rsidRPr="006C4917">
        <w:rPr>
          <w:rFonts w:ascii="Century" w:hAnsi="Century" w:cs="Miriam"/>
          <w:b/>
          <w:spacing w:val="0"/>
          <w:szCs w:val="24"/>
          <w:rtl/>
        </w:rPr>
        <w:t xml:space="preserve"> </w:t>
      </w:r>
      <w:r w:rsidRPr="006C4917">
        <w:rPr>
          <w:rFonts w:ascii="Century" w:hAnsi="Century" w:cs="Miriam" w:hint="eastAsia"/>
          <w:b/>
          <w:spacing w:val="0"/>
          <w:szCs w:val="24"/>
          <w:rtl/>
        </w:rPr>
        <w:t>השיפוטית</w:t>
      </w:r>
      <w:r w:rsidRPr="006C4917">
        <w:rPr>
          <w:rFonts w:ascii="Century" w:hAnsi="Century" w:cs="Miriam"/>
          <w:b/>
          <w:spacing w:val="0"/>
          <w:szCs w:val="24"/>
          <w:rtl/>
        </w:rPr>
        <w:t xml:space="preserve"> </w:t>
      </w:r>
      <w:r w:rsidRPr="006C4917">
        <w:rPr>
          <w:rFonts w:ascii="Century" w:hAnsi="Century" w:cs="Miriam" w:hint="eastAsia"/>
          <w:b/>
          <w:spacing w:val="0"/>
          <w:szCs w:val="24"/>
          <w:rtl/>
        </w:rPr>
        <w:t>לקיים</w:t>
      </w:r>
      <w:r w:rsidRPr="006C4917">
        <w:rPr>
          <w:rFonts w:ascii="Century" w:hAnsi="Century" w:cs="Miriam"/>
          <w:b/>
          <w:spacing w:val="0"/>
          <w:szCs w:val="24"/>
          <w:rtl/>
        </w:rPr>
        <w:t xml:space="preserve"> </w:t>
      </w:r>
      <w:r w:rsidRPr="006C4917">
        <w:rPr>
          <w:rFonts w:ascii="Century" w:hAnsi="Century" w:cs="Miriam" w:hint="eastAsia"/>
          <w:b/>
          <w:spacing w:val="0"/>
          <w:szCs w:val="24"/>
          <w:rtl/>
        </w:rPr>
        <w:t>הלכה</w:t>
      </w:r>
      <w:r w:rsidRPr="006C4917">
        <w:rPr>
          <w:rFonts w:ascii="Century" w:hAnsi="Century" w:cs="Miriam"/>
          <w:b/>
          <w:spacing w:val="0"/>
          <w:szCs w:val="24"/>
          <w:rtl/>
        </w:rPr>
        <w:t xml:space="preserve"> </w:t>
      </w:r>
      <w:r w:rsidRPr="006C4917">
        <w:rPr>
          <w:rFonts w:ascii="Century" w:hAnsi="Century" w:cs="Miriam" w:hint="eastAsia"/>
          <w:b/>
          <w:spacing w:val="0"/>
          <w:szCs w:val="24"/>
          <w:rtl/>
        </w:rPr>
        <w:t>למעשה</w:t>
      </w:r>
      <w:r w:rsidRPr="006C4917">
        <w:rPr>
          <w:rFonts w:ascii="Century" w:hAnsi="Century" w:cs="Miriam"/>
          <w:b/>
          <w:spacing w:val="0"/>
          <w:szCs w:val="24"/>
          <w:rtl/>
        </w:rPr>
        <w:t xml:space="preserve"> </w:t>
      </w:r>
      <w:r w:rsidRPr="006C4917">
        <w:rPr>
          <w:rFonts w:ascii="Century" w:hAnsi="Century" w:cs="Miriam" w:hint="eastAsia"/>
          <w:b/>
          <w:spacing w:val="0"/>
          <w:szCs w:val="24"/>
          <w:rtl/>
        </w:rPr>
        <w:t>את</w:t>
      </w:r>
      <w:r w:rsidRPr="006C4917">
        <w:rPr>
          <w:rFonts w:ascii="Century" w:hAnsi="Century" w:cs="Miriam"/>
          <w:b/>
          <w:spacing w:val="0"/>
          <w:szCs w:val="24"/>
          <w:rtl/>
        </w:rPr>
        <w:t xml:space="preserve"> </w:t>
      </w:r>
      <w:r w:rsidRPr="006C4917">
        <w:rPr>
          <w:rFonts w:ascii="Century" w:hAnsi="Century" w:cs="Miriam" w:hint="eastAsia"/>
          <w:b/>
          <w:spacing w:val="0"/>
          <w:szCs w:val="24"/>
          <w:rtl/>
        </w:rPr>
        <w:t>שלטון</w:t>
      </w:r>
      <w:r w:rsidRPr="006C4917">
        <w:rPr>
          <w:rFonts w:ascii="Century" w:hAnsi="Century" w:cs="Miriam"/>
          <w:b/>
          <w:spacing w:val="0"/>
          <w:szCs w:val="24"/>
          <w:rtl/>
        </w:rPr>
        <w:t xml:space="preserve"> </w:t>
      </w:r>
      <w:r w:rsidRPr="006C4917">
        <w:rPr>
          <w:rFonts w:ascii="Century" w:hAnsi="Century" w:cs="Miriam" w:hint="eastAsia"/>
          <w:b/>
          <w:spacing w:val="0"/>
          <w:szCs w:val="24"/>
          <w:rtl/>
        </w:rPr>
        <w:t>החוק</w:t>
      </w:r>
      <w:r w:rsidRPr="006C4917">
        <w:rPr>
          <w:rFonts w:ascii="Century" w:hAnsi="Century" w:cs="Miriam"/>
          <w:b/>
          <w:spacing w:val="0"/>
          <w:szCs w:val="24"/>
          <w:rtl/>
        </w:rPr>
        <w:t xml:space="preserve"> </w:t>
      </w:r>
      <w:r w:rsidRPr="006C4917">
        <w:rPr>
          <w:rFonts w:ascii="Century" w:hAnsi="Century" w:cs="Miriam" w:hint="eastAsia"/>
          <w:b/>
          <w:spacing w:val="0"/>
          <w:szCs w:val="24"/>
          <w:rtl/>
        </w:rPr>
        <w:t>בשלטון</w:t>
      </w:r>
      <w:r w:rsidRPr="006C4917">
        <w:rPr>
          <w:rFonts w:ascii="Century" w:hAnsi="Century" w:cs="Miriam"/>
          <w:b/>
          <w:spacing w:val="0"/>
          <w:szCs w:val="24"/>
          <w:rtl/>
        </w:rPr>
        <w:t>.</w:t>
      </w:r>
      <w:r w:rsidRPr="006C4917">
        <w:rPr>
          <w:rFonts w:ascii="Century" w:hAnsi="Century" w:cs="Miriam" w:hint="cs"/>
          <w:b/>
          <w:spacing w:val="0"/>
          <w:szCs w:val="24"/>
          <w:rtl/>
        </w:rPr>
        <w:t xml:space="preserve">.. </w:t>
      </w:r>
      <w:r w:rsidRPr="006C4917">
        <w:rPr>
          <w:rFonts w:ascii="Century" w:hAnsi="Century" w:cs="Miriam" w:hint="eastAsia"/>
          <w:b/>
          <w:spacing w:val="0"/>
          <w:szCs w:val="24"/>
          <w:rtl/>
        </w:rPr>
        <w:t>הכול</w:t>
      </w:r>
      <w:r w:rsidRPr="006C4917">
        <w:rPr>
          <w:rFonts w:ascii="Century" w:hAnsi="Century" w:cs="Miriam"/>
          <w:b/>
          <w:spacing w:val="0"/>
          <w:szCs w:val="24"/>
          <w:rtl/>
        </w:rPr>
        <w:t xml:space="preserve"> </w:t>
      </w:r>
      <w:r w:rsidRPr="006C4917">
        <w:rPr>
          <w:rFonts w:ascii="Century" w:hAnsi="Century" w:cs="Miriam" w:hint="eastAsia"/>
          <w:b/>
          <w:spacing w:val="0"/>
          <w:szCs w:val="24"/>
          <w:rtl/>
        </w:rPr>
        <w:t>כפופים</w:t>
      </w:r>
      <w:r w:rsidRPr="006C4917">
        <w:rPr>
          <w:rFonts w:ascii="Century" w:hAnsi="Century" w:cs="Miriam"/>
          <w:b/>
          <w:spacing w:val="0"/>
          <w:szCs w:val="24"/>
          <w:rtl/>
        </w:rPr>
        <w:t xml:space="preserve"> </w:t>
      </w:r>
      <w:r w:rsidRPr="006C4917">
        <w:rPr>
          <w:rFonts w:ascii="Century" w:hAnsi="Century" w:cs="Miriam" w:hint="eastAsia"/>
          <w:b/>
          <w:spacing w:val="0"/>
          <w:szCs w:val="24"/>
          <w:rtl/>
        </w:rPr>
        <w:t>לחוק</w:t>
      </w:r>
      <w:r w:rsidRPr="006C4917">
        <w:rPr>
          <w:rFonts w:ascii="Century" w:hAnsi="Century" w:cs="Miriam"/>
          <w:b/>
          <w:spacing w:val="0"/>
          <w:szCs w:val="24"/>
          <w:rtl/>
        </w:rPr>
        <w:t xml:space="preserve">, </w:t>
      </w:r>
      <w:r w:rsidRPr="006C4917">
        <w:rPr>
          <w:rFonts w:ascii="Century" w:hAnsi="Century" w:cs="Miriam" w:hint="eastAsia"/>
          <w:b/>
          <w:spacing w:val="0"/>
          <w:szCs w:val="24"/>
          <w:rtl/>
        </w:rPr>
        <w:t>והכול</w:t>
      </w:r>
      <w:r w:rsidRPr="006C4917">
        <w:rPr>
          <w:rFonts w:ascii="Century" w:hAnsi="Century" w:cs="Miriam"/>
          <w:b/>
          <w:spacing w:val="0"/>
          <w:szCs w:val="24"/>
          <w:rtl/>
        </w:rPr>
        <w:t xml:space="preserve"> </w:t>
      </w:r>
      <w:r w:rsidRPr="006C4917">
        <w:rPr>
          <w:rFonts w:ascii="Century" w:hAnsi="Century" w:cs="Miriam" w:hint="eastAsia"/>
          <w:b/>
          <w:spacing w:val="0"/>
          <w:szCs w:val="24"/>
          <w:rtl/>
        </w:rPr>
        <w:t>כפופים</w:t>
      </w:r>
      <w:r w:rsidRPr="006C4917">
        <w:rPr>
          <w:rFonts w:ascii="Century" w:hAnsi="Century" w:cs="Miriam"/>
          <w:b/>
          <w:spacing w:val="0"/>
          <w:szCs w:val="24"/>
          <w:rtl/>
        </w:rPr>
        <w:t xml:space="preserve"> </w:t>
      </w:r>
      <w:r w:rsidRPr="006C4917">
        <w:rPr>
          <w:rFonts w:ascii="Century" w:hAnsi="Century" w:cs="Miriam" w:hint="eastAsia"/>
          <w:b/>
          <w:spacing w:val="0"/>
          <w:szCs w:val="24"/>
          <w:rtl/>
        </w:rPr>
        <w:t>לביקורת</w:t>
      </w:r>
      <w:r w:rsidRPr="006C4917">
        <w:rPr>
          <w:rFonts w:ascii="Century" w:hAnsi="Century" w:cs="Miriam"/>
          <w:b/>
          <w:spacing w:val="0"/>
          <w:szCs w:val="24"/>
          <w:rtl/>
        </w:rPr>
        <w:t xml:space="preserve"> </w:t>
      </w:r>
      <w:r w:rsidRPr="006C4917">
        <w:rPr>
          <w:rFonts w:ascii="Century" w:hAnsi="Century" w:cs="Miriam" w:hint="eastAsia"/>
          <w:b/>
          <w:spacing w:val="0"/>
          <w:szCs w:val="24"/>
          <w:rtl/>
        </w:rPr>
        <w:t>שיפוטית</w:t>
      </w:r>
      <w:r w:rsidRPr="006C4917">
        <w:rPr>
          <w:rFonts w:ascii="Century" w:hAnsi="Century" w:cs="Miriam"/>
          <w:b/>
          <w:spacing w:val="0"/>
          <w:szCs w:val="24"/>
          <w:rtl/>
        </w:rPr>
        <w:t xml:space="preserve"> </w:t>
      </w:r>
      <w:r w:rsidRPr="006C4917">
        <w:rPr>
          <w:rFonts w:ascii="Century" w:hAnsi="Century" w:cs="Miriam" w:hint="eastAsia"/>
          <w:b/>
          <w:spacing w:val="0"/>
          <w:szCs w:val="24"/>
          <w:rtl/>
        </w:rPr>
        <w:t>שנועדה</w:t>
      </w:r>
      <w:r w:rsidRPr="006C4917">
        <w:rPr>
          <w:rFonts w:ascii="Century" w:hAnsi="Century" w:cs="Miriam"/>
          <w:b/>
          <w:spacing w:val="0"/>
          <w:szCs w:val="24"/>
          <w:rtl/>
        </w:rPr>
        <w:t xml:space="preserve"> </w:t>
      </w:r>
      <w:r w:rsidRPr="006C4917">
        <w:rPr>
          <w:rFonts w:ascii="Century" w:hAnsi="Century" w:cs="Miriam" w:hint="eastAsia"/>
          <w:b/>
          <w:spacing w:val="0"/>
          <w:szCs w:val="24"/>
          <w:rtl/>
        </w:rPr>
        <w:t>להבטיח</w:t>
      </w:r>
      <w:r w:rsidRPr="006C4917">
        <w:rPr>
          <w:rFonts w:ascii="Century" w:hAnsi="Century" w:cs="Miriam"/>
          <w:b/>
          <w:spacing w:val="0"/>
          <w:szCs w:val="24"/>
          <w:rtl/>
        </w:rPr>
        <w:t xml:space="preserve"> </w:t>
      </w:r>
      <w:r w:rsidRPr="006C4917">
        <w:rPr>
          <w:rFonts w:ascii="Century" w:hAnsi="Century" w:cs="Miriam" w:hint="eastAsia"/>
          <w:b/>
          <w:spacing w:val="0"/>
          <w:szCs w:val="24"/>
          <w:rtl/>
        </w:rPr>
        <w:t>כיבוד</w:t>
      </w:r>
      <w:r w:rsidRPr="006C4917">
        <w:rPr>
          <w:rFonts w:ascii="Century" w:hAnsi="Century" w:cs="Miriam"/>
          <w:b/>
          <w:spacing w:val="0"/>
          <w:szCs w:val="24"/>
          <w:rtl/>
        </w:rPr>
        <w:t xml:space="preserve"> </w:t>
      </w:r>
      <w:r w:rsidRPr="006C4917">
        <w:rPr>
          <w:rFonts w:ascii="Century" w:hAnsi="Century" w:cs="Miriam" w:hint="eastAsia"/>
          <w:b/>
          <w:spacing w:val="0"/>
          <w:szCs w:val="24"/>
          <w:rtl/>
        </w:rPr>
        <w:t>החוק</w:t>
      </w:r>
      <w:r w:rsidRPr="006C4917">
        <w:rPr>
          <w:rFonts w:ascii="Century" w:hAnsi="Century" w:hint="cs"/>
          <w:rtl/>
        </w:rPr>
        <w:t>")</w:t>
      </w:r>
      <w:r w:rsidRPr="006C4917">
        <w:rPr>
          <w:rFonts w:ascii="Century" w:hAnsi="Century" w:hint="cs"/>
          <w:sz w:val="22"/>
          <w:rtl/>
        </w:rPr>
        <w:t>).</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lastRenderedPageBreak/>
        <w:t xml:space="preserve">ויובהר, לא כל גריעה מסמכותו של בית המשפט היא בגדר פגיעה אנושה בעקרון שלטון החוק. רחוק מכך, פגיעות רבות בסמכות בית המשפט, גם אם יש בהן משום פגיעה מסוימת בעקרון שלטון החוק, הן לא רק נסבלות, אלא גם רצויות, בשל תרומתן לקידום תכליות רצויות (זהו, למשל, המצב עם דין ההתיישנות. ראו יששכר רוזן-צבי "זיכרון ושכחה בהליך המשפטי" </w:t>
      </w:r>
      <w:r w:rsidRPr="006C4917">
        <w:rPr>
          <w:rFonts w:ascii="Century" w:hAnsi="Century" w:cs="Miriam" w:hint="cs"/>
          <w:b/>
          <w:spacing w:val="0"/>
          <w:sz w:val="22"/>
          <w:szCs w:val="24"/>
          <w:rtl/>
        </w:rPr>
        <w:t xml:space="preserve">משפט תרבות וספר </w:t>
      </w:r>
      <w:r w:rsidRPr="006C4917">
        <w:rPr>
          <w:rFonts w:ascii="Century" w:hAnsi="Century" w:cs="Miriam"/>
          <w:b/>
          <w:spacing w:val="0"/>
          <w:sz w:val="22"/>
          <w:szCs w:val="24"/>
          <w:rtl/>
        </w:rPr>
        <w:t>–</w:t>
      </w:r>
      <w:r w:rsidRPr="006C4917">
        <w:rPr>
          <w:rFonts w:ascii="Century" w:hAnsi="Century" w:cs="Miriam" w:hint="cs"/>
          <w:b/>
          <w:spacing w:val="0"/>
          <w:sz w:val="22"/>
          <w:szCs w:val="24"/>
          <w:rtl/>
        </w:rPr>
        <w:t xml:space="preserve"> ספר נילי כהן</w:t>
      </w:r>
      <w:r w:rsidRPr="006C4917">
        <w:rPr>
          <w:rFonts w:hint="cs"/>
          <w:rtl/>
        </w:rPr>
        <w:t xml:space="preserve"> 164 (עופר גרוסקופף ושי לביא עורכים, 2017)). לעניין עוצמת הפגיעה, יש לתת את הדעת לשני היבטים: האחד </w:t>
      </w:r>
      <w:r w:rsidRPr="006C4917">
        <w:rPr>
          <w:rFonts w:ascii="Century" w:hAnsi="Century" w:cs="Miriam" w:hint="cs"/>
          <w:b/>
          <w:spacing w:val="0"/>
          <w:sz w:val="22"/>
          <w:szCs w:val="24"/>
          <w:rtl/>
        </w:rPr>
        <w:t>ערכי</w:t>
      </w:r>
      <w:r w:rsidRPr="006C4917">
        <w:rPr>
          <w:rFonts w:hint="cs"/>
          <w:rtl/>
        </w:rPr>
        <w:t xml:space="preserve">, ועניינו חומרת ההתנגשות שבין ההגבלה על הסמכות השיפוטית לבין עקרון שלטון החוק; השני, </w:t>
      </w:r>
      <w:r w:rsidRPr="006C4917">
        <w:rPr>
          <w:rFonts w:ascii="Century" w:hAnsi="Century" w:cs="Miriam" w:hint="cs"/>
          <w:b/>
          <w:spacing w:val="0"/>
          <w:sz w:val="22"/>
          <w:szCs w:val="24"/>
          <w:rtl/>
        </w:rPr>
        <w:t>תוצאתני</w:t>
      </w:r>
      <w:r w:rsidRPr="006C4917">
        <w:rPr>
          <w:rFonts w:hint="cs"/>
          <w:rtl/>
        </w:rPr>
        <w:t xml:space="preserve">, ועניינו הנזקים שעלולים להיגרם בעקבות שלילת הביקורת השיפוטית (חברי, השופט </w:t>
      </w:r>
      <w:r w:rsidRPr="006C4917">
        <w:rPr>
          <w:rFonts w:ascii="Century" w:hAnsi="Century" w:cs="Miriam" w:hint="cs"/>
          <w:b/>
          <w:spacing w:val="0"/>
          <w:sz w:val="22"/>
          <w:szCs w:val="24"/>
          <w:rtl/>
        </w:rPr>
        <w:t>כשר</w:t>
      </w:r>
      <w:r w:rsidRPr="006C4917">
        <w:rPr>
          <w:rFonts w:hint="cs"/>
          <w:rtl/>
        </w:rPr>
        <w:t>, מציין בפסקה 30 לחוות דעתו, כי אינו חושב שבהיבט הערכי, אותו הוא מכנה "</w:t>
      </w:r>
      <w:r w:rsidRPr="006C4917">
        <w:rPr>
          <w:rFonts w:ascii="Century" w:hAnsi="Century" w:cs="Miriam" w:hint="cs"/>
          <w:b/>
          <w:spacing w:val="0"/>
          <w:sz w:val="22"/>
          <w:szCs w:val="24"/>
          <w:rtl/>
        </w:rPr>
        <w:t>הפגיעה העקרונית/הישירה</w:t>
      </w:r>
      <w:r w:rsidRPr="006C4917">
        <w:rPr>
          <w:rFonts w:hint="cs"/>
          <w:rtl/>
        </w:rPr>
        <w:t>", "</w:t>
      </w:r>
      <w:r w:rsidRPr="006C4917">
        <w:rPr>
          <w:rFonts w:ascii="Century" w:hAnsi="Century" w:cs="Miriam" w:hint="cs"/>
          <w:b/>
          <w:spacing w:val="0"/>
          <w:sz w:val="22"/>
          <w:szCs w:val="24"/>
          <w:rtl/>
        </w:rPr>
        <w:t>יש כדי להוסיף משקל של ממש לעניין ההכרעה דנן</w:t>
      </w:r>
      <w:r w:rsidRPr="006C4917">
        <w:rPr>
          <w:rFonts w:hint="cs"/>
          <w:rtl/>
        </w:rPr>
        <w:t>". דיון פילוסופי בשאלה אם, ובאיזה אופן, יש להתחשב בשיקולים דאונטולוגיים בוודאי חורג מהמסגרת הנוכחית. עמדתי היא שבהקשרים חוקתיים, בוודאי לא ניתן להתעלם משיקולים אלה. מכל מקום, המבקש להרחיב במקומם של שיקולים דאונטולוגיים במשפט מוזמן לעיין ב-</w:t>
      </w:r>
      <w:r w:rsidRPr="006C4917">
        <w:rPr>
          <w:rFonts w:asciiTheme="majorBidi" w:hAnsiTheme="majorBidi" w:cstheme="majorBidi"/>
          <w:smallCaps/>
          <w:szCs w:val="24"/>
        </w:rPr>
        <w:t>Eyal Zamir &amp; Barak Medina</w:t>
      </w:r>
      <w:r w:rsidRPr="006C4917">
        <w:rPr>
          <w:rFonts w:asciiTheme="majorBidi" w:hAnsiTheme="majorBidi" w:cstheme="majorBidi"/>
          <w:bCs/>
          <w:smallCaps/>
          <w:spacing w:val="0"/>
          <w:szCs w:val="24"/>
        </w:rPr>
        <w:t>,</w:t>
      </w:r>
      <w:r w:rsidRPr="006C4917">
        <w:rPr>
          <w:rFonts w:asciiTheme="majorBidi" w:hAnsiTheme="majorBidi" w:cstheme="majorBidi"/>
          <w:b/>
          <w:spacing w:val="0"/>
          <w:szCs w:val="24"/>
        </w:rPr>
        <w:t xml:space="preserve"> </w:t>
      </w:r>
      <w:r w:rsidRPr="006C4917">
        <w:rPr>
          <w:rFonts w:asciiTheme="majorBidi" w:hAnsiTheme="majorBidi" w:cstheme="majorBidi"/>
          <w:smallCaps/>
          <w:szCs w:val="24"/>
        </w:rPr>
        <w:t>Law, Economics, and Morality</w:t>
      </w:r>
      <w:r w:rsidRPr="006C4917">
        <w:rPr>
          <w:rFonts w:asciiTheme="majorBidi" w:hAnsiTheme="majorBidi" w:cstheme="majorBidi"/>
          <w:szCs w:val="24"/>
        </w:rPr>
        <w:t xml:space="preserve"> (2010)</w:t>
      </w:r>
      <w:r w:rsidRPr="006C4917">
        <w:rPr>
          <w:rFonts w:hint="cs"/>
          <w:rtl/>
        </w:rPr>
        <w:t xml:space="preserve">. לדיון ביקורתי (בעברית) ראו אריאל פורת "איל זמיר וברק מדינה, משפט, כלכלה ומוסר (הוצאת אוקספורד)" </w:t>
      </w:r>
      <w:r w:rsidRPr="006C4917">
        <w:rPr>
          <w:rFonts w:ascii="Century" w:hAnsi="Century" w:cs="Miriam" w:hint="cs"/>
          <w:b/>
          <w:spacing w:val="0"/>
          <w:sz w:val="22"/>
          <w:szCs w:val="24"/>
          <w:rtl/>
        </w:rPr>
        <w:t>משפטים</w:t>
      </w:r>
      <w:r w:rsidRPr="006C4917">
        <w:rPr>
          <w:rFonts w:hint="cs"/>
          <w:rtl/>
        </w:rPr>
        <w:t xml:space="preserve"> מא 415 (2011)).</w:t>
      </w:r>
    </w:p>
    <w:p w:rsidR="003D7BFC" w:rsidRPr="006C4917" w:rsidRDefault="003D7BFC" w:rsidP="00303340">
      <w:pPr>
        <w:pStyle w:val="Ruller4"/>
        <w:numPr>
          <w:ilvl w:val="0"/>
          <w:numId w:val="0"/>
        </w:numPr>
      </w:pPr>
    </w:p>
    <w:p w:rsidR="003D7BFC" w:rsidRPr="006C4917" w:rsidRDefault="003D7BFC" w:rsidP="003D7BFC">
      <w:pPr>
        <w:pStyle w:val="Ruller4"/>
      </w:pPr>
      <w:r w:rsidRPr="006C4917">
        <w:rPr>
          <w:rFonts w:hint="cs"/>
          <w:rtl/>
        </w:rPr>
        <w:t>במקרה בו עסקינן סבורני כי ביטול הביקורת השיפוטית ביחס לעמידת הדרג הממשלתי בחובה המנהלית לפעול בסבירות יוצר התנגשות חמורה במיוחד עם עקרון שלטון החוק (בהיבט הערכי), ועלול אף לגרום לנזקים קשים לדמוקרטיה הישראלית (בהיבט התוצאתני). חברותיי וחבריי הרחיבו ביחס לטיעון התוצאתני, ולא אחזור על הדברים (</w:t>
      </w:r>
      <w:r w:rsidRPr="006C4917">
        <w:rPr>
          <w:rFonts w:hint="eastAsia"/>
          <w:rtl/>
        </w:rPr>
        <w:t>ראו</w:t>
      </w:r>
      <w:r w:rsidRPr="006C4917">
        <w:rPr>
          <w:rtl/>
        </w:rPr>
        <w:t xml:space="preserve"> </w:t>
      </w:r>
      <w:r w:rsidRPr="006C4917">
        <w:rPr>
          <w:rFonts w:hint="eastAsia"/>
          <w:rtl/>
        </w:rPr>
        <w:t>פסקאות</w:t>
      </w:r>
      <w:r w:rsidRPr="006C4917">
        <w:rPr>
          <w:rtl/>
        </w:rPr>
        <w:t xml:space="preserve"> </w:t>
      </w:r>
      <w:r w:rsidRPr="006C4917">
        <w:rPr>
          <w:rFonts w:hint="cs"/>
          <w:rtl/>
        </w:rPr>
        <w:t>175-141</w:t>
      </w:r>
      <w:r w:rsidRPr="006C4917">
        <w:rPr>
          <w:rtl/>
        </w:rPr>
        <w:t xml:space="preserve"> </w:t>
      </w:r>
      <w:r w:rsidRPr="006C4917">
        <w:rPr>
          <w:rFonts w:hint="cs"/>
          <w:rtl/>
        </w:rPr>
        <w:t>ל</w:t>
      </w:r>
      <w:r w:rsidRPr="006C4917">
        <w:rPr>
          <w:rFonts w:hint="eastAsia"/>
          <w:rtl/>
        </w:rPr>
        <w:t>חוות</w:t>
      </w:r>
      <w:r w:rsidRPr="006C4917">
        <w:rPr>
          <w:rtl/>
        </w:rPr>
        <w:t xml:space="preserve"> </w:t>
      </w:r>
      <w:r w:rsidRPr="006C4917">
        <w:rPr>
          <w:rFonts w:hint="eastAsia"/>
          <w:rtl/>
        </w:rPr>
        <w:t>דעת</w:t>
      </w:r>
      <w:r w:rsidRPr="006C4917">
        <w:rPr>
          <w:rFonts w:hint="cs"/>
          <w:rtl/>
        </w:rPr>
        <w:t>ה של</w:t>
      </w:r>
      <w:r w:rsidRPr="006C4917">
        <w:rPr>
          <w:rtl/>
        </w:rPr>
        <w:t xml:space="preserve"> </w:t>
      </w:r>
      <w:r w:rsidRPr="006C4917">
        <w:rPr>
          <w:rFonts w:hint="eastAsia"/>
          <w:rtl/>
        </w:rPr>
        <w:t>הנשיאה</w:t>
      </w:r>
      <w:r w:rsidRPr="006C4917">
        <w:rPr>
          <w:rFonts w:hint="cs"/>
          <w:rtl/>
        </w:rPr>
        <w:t xml:space="preserve"> (בדימ') </w:t>
      </w:r>
      <w:r w:rsidRPr="006C4917">
        <w:rPr>
          <w:rFonts w:ascii="Century" w:hAnsi="Century" w:cs="Miriam" w:hint="eastAsia"/>
          <w:b/>
          <w:spacing w:val="0"/>
          <w:sz w:val="22"/>
          <w:szCs w:val="24"/>
          <w:rtl/>
        </w:rPr>
        <w:t>חיות</w:t>
      </w:r>
      <w:r w:rsidRPr="006C4917">
        <w:rPr>
          <w:rtl/>
        </w:rPr>
        <w:t xml:space="preserve">; </w:t>
      </w:r>
      <w:r w:rsidRPr="006C4917">
        <w:rPr>
          <w:rFonts w:hint="eastAsia"/>
          <w:rtl/>
        </w:rPr>
        <w:t>פסקאות</w:t>
      </w:r>
      <w:r w:rsidRPr="006C4917">
        <w:rPr>
          <w:rtl/>
        </w:rPr>
        <w:t xml:space="preserve"> 101-78 </w:t>
      </w:r>
      <w:r w:rsidRPr="006C4917">
        <w:rPr>
          <w:rFonts w:hint="eastAsia"/>
          <w:rtl/>
        </w:rPr>
        <w:t>לחוות</w:t>
      </w:r>
      <w:r w:rsidRPr="006C4917">
        <w:rPr>
          <w:rtl/>
        </w:rPr>
        <w:t xml:space="preserve"> </w:t>
      </w:r>
      <w:r w:rsidRPr="006C4917">
        <w:rPr>
          <w:rFonts w:hint="eastAsia"/>
          <w:rtl/>
        </w:rPr>
        <w:t>דעתו</w:t>
      </w:r>
      <w:r w:rsidRPr="006C4917">
        <w:rPr>
          <w:rtl/>
        </w:rPr>
        <w:t xml:space="preserve"> </w:t>
      </w:r>
      <w:r w:rsidRPr="006C4917">
        <w:rPr>
          <w:rFonts w:hint="eastAsia"/>
          <w:rtl/>
        </w:rPr>
        <w:t>של</w:t>
      </w:r>
      <w:r w:rsidRPr="006C4917">
        <w:rPr>
          <w:rtl/>
        </w:rPr>
        <w:t xml:space="preserve"> </w:t>
      </w:r>
      <w:r w:rsidRPr="006C4917">
        <w:rPr>
          <w:rFonts w:hint="eastAsia"/>
          <w:rtl/>
        </w:rPr>
        <w:t>השופט</w:t>
      </w:r>
      <w:r w:rsidRPr="006C4917">
        <w:rPr>
          <w:rtl/>
        </w:rPr>
        <w:t xml:space="preserve"> </w:t>
      </w:r>
      <w:r w:rsidRPr="006C4917">
        <w:rPr>
          <w:rFonts w:ascii="Century" w:hAnsi="Century" w:cs="Miriam" w:hint="eastAsia"/>
          <w:b/>
          <w:spacing w:val="0"/>
          <w:sz w:val="22"/>
          <w:szCs w:val="24"/>
          <w:rtl/>
        </w:rPr>
        <w:t>עמית</w:t>
      </w:r>
      <w:r w:rsidRPr="006C4917">
        <w:rPr>
          <w:rFonts w:hint="cs"/>
          <w:rtl/>
        </w:rPr>
        <w:t>). אחדד, כי מבחינת עוצמת ההתנגשות בערך שלטון החוק (השיקול הערכי), הפטור שמעניק תיקון מס' 3 מביקורת שיפוטית פוגעני במיוחד. כך, בשל הצטברות כל אלה:</w:t>
      </w:r>
    </w:p>
    <w:p w:rsidR="003D7BFC" w:rsidRPr="006C4917" w:rsidRDefault="003D7BFC" w:rsidP="00303340">
      <w:pPr>
        <w:pStyle w:val="Ruller4"/>
        <w:numPr>
          <w:ilvl w:val="0"/>
          <w:numId w:val="0"/>
        </w:numPr>
        <w:rPr>
          <w:rtl/>
        </w:rPr>
      </w:pPr>
    </w:p>
    <w:p w:rsidR="003D7BFC" w:rsidRPr="006C4917" w:rsidRDefault="003D7BFC" w:rsidP="003D7BFC">
      <w:pPr>
        <w:pStyle w:val="Ruller4"/>
        <w:numPr>
          <w:ilvl w:val="0"/>
          <w:numId w:val="27"/>
        </w:numPr>
        <w:rPr>
          <w:rtl/>
        </w:rPr>
      </w:pPr>
      <w:r w:rsidRPr="006C4917">
        <w:rPr>
          <w:rFonts w:hint="cs"/>
          <w:rtl/>
        </w:rPr>
        <w:t xml:space="preserve">הפטור ניתן לעומדים בראש הפירמידה </w:t>
      </w:r>
      <w:r w:rsidRPr="006C4917">
        <w:rPr>
          <w:rFonts w:ascii="Century" w:hAnsi="Century"/>
          <w:sz w:val="22"/>
          <w:rtl/>
        </w:rPr>
        <w:t>–</w:t>
      </w:r>
      <w:r w:rsidRPr="006C4917">
        <w:rPr>
          <w:rFonts w:hint="cs"/>
          <w:rtl/>
        </w:rPr>
        <w:t xml:space="preserve"> מי שהדרישה להחיל עליהם את שלטון החוק היא בליבתו של הציווי כי אין אדם שאינו כפוף לשלטונו של החוק (שהרי על האזרח הפשוט החוק חל ממילא, ללא "הנחות", בכל שיטת משטר);</w:t>
      </w:r>
    </w:p>
    <w:p w:rsidR="003D7BFC" w:rsidRPr="006C4917" w:rsidRDefault="003D7BFC" w:rsidP="003D7BFC">
      <w:pPr>
        <w:pStyle w:val="Ruller41"/>
        <w:rPr>
          <w:rtl/>
        </w:rPr>
      </w:pPr>
    </w:p>
    <w:p w:rsidR="003D7BFC" w:rsidRPr="006C4917" w:rsidRDefault="003D7BFC" w:rsidP="003D7BFC">
      <w:pPr>
        <w:pStyle w:val="Ruller4"/>
        <w:numPr>
          <w:ilvl w:val="0"/>
          <w:numId w:val="27"/>
        </w:numPr>
        <w:rPr>
          <w:rtl/>
        </w:rPr>
      </w:pPr>
      <w:r w:rsidRPr="006C4917">
        <w:rPr>
          <w:rFonts w:hint="cs"/>
          <w:rtl/>
        </w:rPr>
        <w:t xml:space="preserve">הפטור ניתן למי שהחלטותיו הן המשמעותיות ביותר </w:t>
      </w:r>
      <w:r w:rsidRPr="006C4917">
        <w:rPr>
          <w:rFonts w:ascii="Century" w:hAnsi="Century"/>
          <w:sz w:val="22"/>
          <w:rtl/>
        </w:rPr>
        <w:t>–</w:t>
      </w:r>
      <w:r w:rsidRPr="006C4917">
        <w:rPr>
          <w:rFonts w:hint="cs"/>
          <w:rtl/>
        </w:rPr>
        <w:t xml:space="preserve"> הדרג הממשלתי;</w:t>
      </w:r>
    </w:p>
    <w:p w:rsidR="003D7BFC" w:rsidRPr="006C4917" w:rsidRDefault="003D7BFC" w:rsidP="003D7BFC">
      <w:pPr>
        <w:pStyle w:val="Ruller41"/>
        <w:rPr>
          <w:rtl/>
        </w:rPr>
      </w:pPr>
    </w:p>
    <w:p w:rsidR="003D7BFC" w:rsidRPr="006C4917" w:rsidRDefault="003D7BFC" w:rsidP="003D7BFC">
      <w:pPr>
        <w:pStyle w:val="Ruller4"/>
        <w:numPr>
          <w:ilvl w:val="0"/>
          <w:numId w:val="27"/>
        </w:numPr>
        <w:rPr>
          <w:rtl/>
        </w:rPr>
      </w:pPr>
      <w:r w:rsidRPr="006C4917">
        <w:rPr>
          <w:rFonts w:hint="cs"/>
          <w:rtl/>
        </w:rPr>
        <w:t>הפטור מבחין ללא הצדקה מבוררת בין הדרג הממשלתי לבין דרגים אחרים של מקבלי החלטות (לרבות נבחרי ציבור אחרים, כגון ראשי רשויות מקומיות);</w:t>
      </w:r>
    </w:p>
    <w:p w:rsidR="003D7BFC" w:rsidRPr="006C4917" w:rsidRDefault="003D7BFC" w:rsidP="003D7BFC">
      <w:pPr>
        <w:pStyle w:val="Ruller41"/>
        <w:rPr>
          <w:rtl/>
        </w:rPr>
      </w:pPr>
    </w:p>
    <w:p w:rsidR="003D7BFC" w:rsidRPr="006C4917" w:rsidRDefault="003D7BFC" w:rsidP="003D7BFC">
      <w:pPr>
        <w:pStyle w:val="Ruller4"/>
        <w:numPr>
          <w:ilvl w:val="0"/>
          <w:numId w:val="27"/>
        </w:numPr>
        <w:rPr>
          <w:rtl/>
        </w:rPr>
      </w:pPr>
      <w:r w:rsidRPr="006C4917">
        <w:rPr>
          <w:rFonts w:hint="cs"/>
          <w:rtl/>
        </w:rPr>
        <w:t>הפטור גורף מאד מבחינת תחולתו, ומתייחס לכל פעולה ולכל סוג של החלטה (ובכלל זה, הימנעות מלקבל החלטה);</w:t>
      </w:r>
    </w:p>
    <w:p w:rsidR="003D7BFC" w:rsidRPr="006C4917" w:rsidRDefault="003D7BFC" w:rsidP="003D7BFC">
      <w:pPr>
        <w:pStyle w:val="Ruller41"/>
        <w:rPr>
          <w:rtl/>
        </w:rPr>
      </w:pPr>
    </w:p>
    <w:p w:rsidR="003D7BFC" w:rsidRPr="006C4917" w:rsidRDefault="003D7BFC" w:rsidP="003D7BFC">
      <w:pPr>
        <w:pStyle w:val="Ruller4"/>
        <w:numPr>
          <w:ilvl w:val="0"/>
          <w:numId w:val="27"/>
        </w:numPr>
        <w:rPr>
          <w:rtl/>
        </w:rPr>
      </w:pPr>
      <w:r w:rsidRPr="006C4917">
        <w:rPr>
          <w:rFonts w:hint="cs"/>
          <w:rtl/>
        </w:rPr>
        <w:t>הפטור אינו מבחין בין סוגי החלטות, ולפיכך הוא כורך יחדיו החלטות מדיניות והחלטות מקצועיות; החלטות כלליות והחלטות פרטניות; החלטות הפוגעות בזכויות אדם והחלטות שאינן נוגעות להן, וכיו"ב;</w:t>
      </w:r>
    </w:p>
    <w:p w:rsidR="003D7BFC" w:rsidRPr="006C4917" w:rsidRDefault="003D7BFC" w:rsidP="003D7BFC">
      <w:pPr>
        <w:pStyle w:val="Ruller41"/>
        <w:rPr>
          <w:rtl/>
        </w:rPr>
      </w:pPr>
    </w:p>
    <w:p w:rsidR="00303340" w:rsidRDefault="003D7BFC" w:rsidP="00303340">
      <w:pPr>
        <w:pStyle w:val="Ruller4"/>
        <w:numPr>
          <w:ilvl w:val="0"/>
          <w:numId w:val="27"/>
        </w:numPr>
        <w:rPr>
          <w:rtl/>
        </w:rPr>
      </w:pPr>
      <w:r w:rsidRPr="006C4917">
        <w:rPr>
          <w:rFonts w:hint="cs"/>
          <w:rtl/>
        </w:rPr>
        <w:t>הפטור ניתן להרחבה לפי שיקול דעת הדרג הממשלתי באמצעות נטילת סמכויות;</w:t>
      </w:r>
    </w:p>
    <w:p w:rsidR="00303340" w:rsidRPr="00303340" w:rsidRDefault="00303340" w:rsidP="00303340">
      <w:pPr>
        <w:pStyle w:val="Ruller41"/>
      </w:pPr>
    </w:p>
    <w:p w:rsidR="003D7BFC" w:rsidRPr="006C4917" w:rsidRDefault="003D7BFC" w:rsidP="00303340">
      <w:pPr>
        <w:pStyle w:val="Ruller4"/>
        <w:numPr>
          <w:ilvl w:val="0"/>
          <w:numId w:val="27"/>
        </w:numPr>
        <w:rPr>
          <w:rtl/>
        </w:rPr>
      </w:pPr>
      <w:r w:rsidRPr="006C4917">
        <w:rPr>
          <w:rFonts w:hint="cs"/>
          <w:rtl/>
        </w:rPr>
        <w:t>הפטור הוא מכל סוג של ביקורת שיפוטית בעילה זו, לרבות ביקורת של בית המשפט העליון בשבתו כבית משפט גבוה לצדק.</w:t>
      </w:r>
    </w:p>
    <w:p w:rsidR="003D7BFC" w:rsidRPr="006C4917" w:rsidRDefault="003D7BFC" w:rsidP="002A2985">
      <w:pPr>
        <w:pStyle w:val="Ruller4"/>
        <w:numPr>
          <w:ilvl w:val="0"/>
          <w:numId w:val="0"/>
        </w:numPr>
        <w:rPr>
          <w:rtl/>
        </w:rPr>
      </w:pPr>
    </w:p>
    <w:p w:rsidR="003D7BFC" w:rsidRPr="006C4917" w:rsidRDefault="002A2985" w:rsidP="002A2985">
      <w:pPr>
        <w:pStyle w:val="Ruller4"/>
        <w:numPr>
          <w:ilvl w:val="0"/>
          <w:numId w:val="0"/>
        </w:numPr>
      </w:pPr>
      <w:r>
        <w:rPr>
          <w:rtl/>
        </w:rPr>
        <w:tab/>
      </w:r>
      <w:r w:rsidR="003D7BFC" w:rsidRPr="006C4917">
        <w:rPr>
          <w:rFonts w:hint="cs"/>
          <w:rtl/>
        </w:rPr>
        <w:t xml:space="preserve">למעשה, רק בהיבט אחד הפגיעה ממותנת </w:t>
      </w:r>
      <w:r w:rsidR="003D7BFC" w:rsidRPr="006C4917">
        <w:rPr>
          <w:rFonts w:ascii="Century" w:hAnsi="Century"/>
          <w:sz w:val="22"/>
          <w:rtl/>
        </w:rPr>
        <w:t>–</w:t>
      </w:r>
      <w:r w:rsidR="003D7BFC" w:rsidRPr="006C4917">
        <w:rPr>
          <w:rFonts w:hint="cs"/>
          <w:rtl/>
        </w:rPr>
        <w:t xml:space="preserve"> קיומן של עילות ביקורת אחרות. ואולם, במצב דברים זה מתקיים אחד משניים: אם עילות אלה מחליפות באופן מלא (או כמעט מלא) את עילת הסבירות, כך שאין לתיקון השפעה תוצאתנית, ממילא אין תכלית היכולה להצדיק פגיעה כה קשה בשלטון החוק מההיבט הערכי; ואם העילות האחרות אינן מהוות תחליף טוב לעילת הסבירות, הרי שלתיקון השפעה תוצאתנית משמעותית, העומדת בצד הפגיעה הערכית. בין כך ובין כך, נימוק זה לבדו אינו מצדיק שלא לסווג את תיקון מס' 3 ככזה המסב פגיעה אנושה לעקרון שלטון החוק.</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 xml:space="preserve">זאת ועוד, לשיטתי תיקון מס' 3 דינו להיפסל גם אם נניח, לצורך הדיון, כי הפגמים בו אינם כה חמורים, עד כדי מיטוט "הנתונים החוקתיים" שנלמדים מ"החוקה בהתהוות". הטעם לכך הוא שלמצער, תיקון זה מהווה, מהטעמים שפירטה חברתי הנשיאה (בדימ') </w:t>
      </w:r>
      <w:r w:rsidRPr="006C4917">
        <w:rPr>
          <w:rFonts w:ascii="Century" w:hAnsi="Century" w:cs="Miriam" w:hint="eastAsia"/>
          <w:b/>
          <w:spacing w:val="0"/>
          <w:sz w:val="22"/>
          <w:szCs w:val="24"/>
          <w:rtl/>
        </w:rPr>
        <w:t>חיות</w:t>
      </w:r>
      <w:r w:rsidRPr="006C4917">
        <w:rPr>
          <w:rFonts w:hint="cs"/>
          <w:rtl/>
        </w:rPr>
        <w:t xml:space="preserve">, משום סטייה ניכרת מה"נתונים החוקתיים" שכבר הוטבעו ב"חוקה בהתהוות", ועל כן חייב היה להתקבל בהסכמה רחבה. והנה, דומה שאיש לא יחלוק על כך שמדובר בתיקון שהועבר ברוב קואליציוני דחוק שהתגבש בכנסת המכהנת, דהיינו מההיבט החוקתי </w:t>
      </w:r>
      <w:r w:rsidRPr="006C4917">
        <w:rPr>
          <w:rFonts w:ascii="Century" w:hAnsi="Century"/>
          <w:sz w:val="22"/>
          <w:rtl/>
        </w:rPr>
        <w:t>–</w:t>
      </w:r>
      <w:r w:rsidRPr="006C4917">
        <w:rPr>
          <w:rFonts w:hint="cs"/>
          <w:rtl/>
        </w:rPr>
        <w:t xml:space="preserve"> ברוב מזדמן, ומבלי שגובשה סביבו הסכמה רחבה. במצב </w:t>
      </w:r>
      <w:r w:rsidRPr="006C4917">
        <w:rPr>
          <w:rFonts w:hint="cs"/>
          <w:rtl/>
        </w:rPr>
        <w:lastRenderedPageBreak/>
        <w:t xml:space="preserve">דברים זה, גם אם אניח שאין מדובר בתיקון המזעזע את אמות הסיפים של עקרונות היסוד שב"חוקה בהתהוות", פשיטא כי אין הוא עומד בסייג השני לסמכות הכנסת כמכוננת </w:t>
      </w:r>
      <w:r w:rsidRPr="006C4917">
        <w:rPr>
          <w:rtl/>
        </w:rPr>
        <w:t>–</w:t>
      </w:r>
      <w:r w:rsidRPr="006C4917">
        <w:rPr>
          <w:rFonts w:hint="cs"/>
          <w:rtl/>
        </w:rPr>
        <w:t xml:space="preserve"> הוא מהווה, למצער, סטייה משמעותית מעקרונות מרכזיים ב"חוקה בהתהוות", אותם העביר רוב מזדמן בכנסת המכהנת, באופן המנוגד הן לתכליתו של מוסד החוקה, הן למאפיינו של מפעל החוקה הישראלי. מכאן שגם על פי דרך זו דינו להתבטל (והשוו גם לפסקאות 30-27 לחוות דעת חברתי, השופטת </w:t>
      </w:r>
      <w:r w:rsidRPr="006C4917">
        <w:rPr>
          <w:rFonts w:ascii="Century" w:hAnsi="Century" w:cs="Miriam" w:hint="cs"/>
          <w:b/>
          <w:spacing w:val="0"/>
          <w:sz w:val="22"/>
          <w:szCs w:val="24"/>
          <w:rtl/>
        </w:rPr>
        <w:t>רונן</w:t>
      </w:r>
      <w:r w:rsidRPr="006C4917">
        <w:rPr>
          <w:rFonts w:hint="cs"/>
          <w:rtl/>
        </w:rPr>
        <w:t>).</w:t>
      </w:r>
    </w:p>
    <w:p w:rsidR="003D7BFC" w:rsidRPr="006C4917" w:rsidRDefault="003D7BFC" w:rsidP="003D7BFC">
      <w:pPr>
        <w:pStyle w:val="Ruller41"/>
        <w:rPr>
          <w:rtl/>
        </w:rPr>
      </w:pPr>
    </w:p>
    <w:p w:rsidR="003D7BFC" w:rsidRPr="006C4917" w:rsidRDefault="003D7BFC" w:rsidP="003D7BFC">
      <w:pPr>
        <w:pStyle w:val="Ruller41"/>
        <w:keepNext/>
        <w:rPr>
          <w:rFonts w:ascii="Century" w:hAnsi="Century" w:cs="Miriam"/>
          <w:b/>
          <w:spacing w:val="0"/>
          <w:szCs w:val="24"/>
          <w:rtl/>
        </w:rPr>
      </w:pPr>
      <w:r w:rsidRPr="006C4917">
        <w:rPr>
          <w:rFonts w:ascii="Century" w:hAnsi="Century" w:cs="Miriam" w:hint="cs"/>
          <w:b/>
          <w:spacing w:val="0"/>
          <w:szCs w:val="24"/>
          <w:rtl/>
        </w:rPr>
        <w:t xml:space="preserve">עוללות </w:t>
      </w:r>
      <w:r w:rsidRPr="006C4917">
        <w:rPr>
          <w:rFonts w:ascii="Century" w:hAnsi="Century" w:cs="Miriam"/>
          <w:b/>
          <w:spacing w:val="0"/>
          <w:szCs w:val="24"/>
          <w:rtl/>
        </w:rPr>
        <w:t>–</w:t>
      </w:r>
      <w:r w:rsidRPr="006C4917">
        <w:rPr>
          <w:rFonts w:ascii="Century" w:hAnsi="Century" w:cs="Miriam" w:hint="cs"/>
          <w:b/>
          <w:spacing w:val="0"/>
          <w:szCs w:val="24"/>
          <w:rtl/>
        </w:rPr>
        <w:t xml:space="preserve"> עמידת תיקון 3 במגבלת התקינות ובמגבלת האמון</w:t>
      </w:r>
    </w:p>
    <w:p w:rsidR="003D7BFC" w:rsidRPr="006C4917" w:rsidRDefault="003D7BFC" w:rsidP="003D7BFC">
      <w:pPr>
        <w:pStyle w:val="Ruller41"/>
        <w:keepNext/>
        <w:rPr>
          <w:rtl/>
        </w:rPr>
      </w:pPr>
    </w:p>
    <w:p w:rsidR="003D7BFC" w:rsidRPr="006C4917" w:rsidRDefault="003D7BFC" w:rsidP="003D7BFC">
      <w:pPr>
        <w:pStyle w:val="Ruller4"/>
        <w:keepNext/>
      </w:pPr>
      <w:r w:rsidRPr="006C4917">
        <w:rPr>
          <w:rFonts w:hint="cs"/>
          <w:rtl/>
        </w:rPr>
        <w:t xml:space="preserve">עמדתי, איפוא, היא כעמדת הנשיאה (בדימ') </w:t>
      </w:r>
      <w:r w:rsidRPr="006C4917">
        <w:rPr>
          <w:rFonts w:ascii="Century" w:hAnsi="Century" w:cs="Miriam" w:hint="eastAsia"/>
          <w:b/>
          <w:spacing w:val="0"/>
          <w:sz w:val="22"/>
          <w:szCs w:val="24"/>
          <w:rtl/>
        </w:rPr>
        <w:t>חיות</w:t>
      </w:r>
      <w:r w:rsidRPr="006C4917">
        <w:rPr>
          <w:rFonts w:hint="cs"/>
          <w:rtl/>
        </w:rPr>
        <w:t>, כי תיקון מס' 3 דינו להתבטל מאחר שאינו עומד במגבלת הסמכות. קביעה זו מייתרת את הדיון בטענות שעלו לעניין עמידת תיקון מס' 3 במגבלת התקינות ובמגבלת האמון. לפיכך, אסתפק בעניינים אלה בהערות טלגרפיות בלבד.</w:t>
      </w:r>
    </w:p>
    <w:p w:rsidR="003D7BFC" w:rsidRPr="006C4917" w:rsidRDefault="003D7BFC" w:rsidP="003D7BFC">
      <w:pPr>
        <w:pStyle w:val="Ruller41"/>
      </w:pPr>
    </w:p>
    <w:p w:rsidR="003D7BFC" w:rsidRPr="006C4917" w:rsidRDefault="003D7BFC" w:rsidP="003D7BFC">
      <w:pPr>
        <w:pStyle w:val="Ruller4"/>
      </w:pPr>
      <w:r w:rsidRPr="006C4917">
        <w:rPr>
          <w:rFonts w:hint="cs"/>
          <w:rtl/>
        </w:rPr>
        <w:t xml:space="preserve">ככל שמדובר </w:t>
      </w:r>
      <w:r w:rsidRPr="006C4917">
        <w:rPr>
          <w:rFonts w:ascii="Century" w:hAnsi="Century" w:hint="eastAsia"/>
          <w:sz w:val="22"/>
          <w:rtl/>
        </w:rPr>
        <w:t>ב</w:t>
      </w:r>
      <w:r w:rsidRPr="006C4917">
        <w:rPr>
          <w:rFonts w:ascii="Century" w:hAnsi="Century" w:cs="Miriam" w:hint="eastAsia"/>
          <w:b/>
          <w:spacing w:val="0"/>
          <w:sz w:val="22"/>
          <w:szCs w:val="24"/>
          <w:rtl/>
        </w:rPr>
        <w:t>מגבלת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התקינות</w:t>
      </w:r>
      <w:r w:rsidRPr="006C4917">
        <w:rPr>
          <w:rFonts w:hint="cs"/>
          <w:rtl/>
        </w:rPr>
        <w:t>, לדידי הטענה המרכזית שהועלתה, ואשר חודדה בעיקר בטיעוני העותרים בבג"ץ 5659/23</w:t>
      </w:r>
      <w:r w:rsidRPr="006C4917">
        <w:rPr>
          <w:rtl/>
        </w:rPr>
        <w:t>,</w:t>
      </w:r>
      <w:r w:rsidRPr="006C4917">
        <w:rPr>
          <w:rFonts w:hint="cs"/>
          <w:rtl/>
        </w:rPr>
        <w:t xml:space="preserve"> היא שלא היה ניתן להעביר את התיקון במסלול הוועדה, הקבוע בסעיף 80 לתקנון הכנסת. חברתי הנשיאה (בדימ') </w:t>
      </w:r>
      <w:r w:rsidRPr="006C4917">
        <w:rPr>
          <w:rFonts w:ascii="Century" w:hAnsi="Century" w:cs="Miriam" w:hint="eastAsia"/>
          <w:b/>
          <w:spacing w:val="0"/>
          <w:sz w:val="22"/>
          <w:szCs w:val="24"/>
          <w:rtl/>
        </w:rPr>
        <w:t>חיות</w:t>
      </w:r>
      <w:r w:rsidRPr="006C4917">
        <w:rPr>
          <w:rFonts w:hint="cs"/>
          <w:rtl/>
        </w:rPr>
        <w:t xml:space="preserve"> דנה בעניין זה ביסודיות ובדייקנות המאפיינות אותה (ראו פסקאות 203-196 לחוות דעתה), ועמדתי כעמדתה כי קיים קושי ניכר בבחירה בדרך זו (ראו לעניין זה גם עמדת חברי, ממלא מקום הנשיא </w:t>
      </w:r>
      <w:r w:rsidRPr="006C4917">
        <w:rPr>
          <w:rFonts w:ascii="Century" w:hAnsi="Century" w:cs="Miriam" w:hint="cs"/>
          <w:b/>
          <w:spacing w:val="0"/>
          <w:sz w:val="22"/>
          <w:szCs w:val="24"/>
          <w:rtl/>
        </w:rPr>
        <w:t>פוגלמן</w:t>
      </w:r>
      <w:r w:rsidRPr="006C4917">
        <w:rPr>
          <w:rFonts w:hint="cs"/>
          <w:rtl/>
        </w:rPr>
        <w:t xml:space="preserve">, בפסקאות 33-28 לחוות דעתו). במיוחד מטריד לראות כי מובילי התיקון בחרו לעקוף את שתי החלופות המקובלות </w:t>
      </w:r>
      <w:r w:rsidRPr="006C4917">
        <w:rPr>
          <w:rtl/>
        </w:rPr>
        <w:t>–</w:t>
      </w:r>
      <w:r w:rsidRPr="006C4917">
        <w:rPr>
          <w:rFonts w:hint="cs"/>
          <w:rtl/>
        </w:rPr>
        <w:t xml:space="preserve"> הצעת חוק ממשלתית, על הליכי הבדיקה היסודיים המלווים אותה; הצעת חוק פרטית, על מנגנוני האישור המכבידים שנקבעו על מנת לרסנה </w:t>
      </w:r>
      <w:r w:rsidRPr="006C4917">
        <w:rPr>
          <w:rtl/>
        </w:rPr>
        <w:t>–</w:t>
      </w:r>
      <w:r w:rsidRPr="006C4917">
        <w:rPr>
          <w:rFonts w:hint="cs"/>
          <w:rtl/>
        </w:rPr>
        <w:t xml:space="preserve"> ופנו, לאחר שגילו כי לא ניתן לקדם במהירות הרצויה להם את ההצעה בשני המסלולים הללו, למסלול שלישי, שלא היה נהוג להשתמש בו בעניינים מסוג זה. זאת, על מנת להשתחרר הן מהליכי הבדיקה היסודיים, הן ממנגנוני האישור המכב</w:t>
      </w:r>
      <w:r w:rsidRPr="006C4917">
        <w:rPr>
          <w:rFonts w:hint="eastAsia"/>
          <w:rtl/>
        </w:rPr>
        <w:t>ידים</w:t>
      </w:r>
      <w:r w:rsidRPr="006C4917">
        <w:rPr>
          <w:rFonts w:hint="cs"/>
          <w:rtl/>
        </w:rPr>
        <w:t>. הדבר אינו ראוי, וייתכן שגם אינו תקין.</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ככל שמדובר ב</w:t>
      </w:r>
      <w:r w:rsidRPr="006C4917">
        <w:rPr>
          <w:rFonts w:ascii="Century" w:hAnsi="Century" w:cs="Miriam" w:hint="eastAsia"/>
          <w:b/>
          <w:spacing w:val="0"/>
          <w:sz w:val="22"/>
          <w:szCs w:val="24"/>
          <w:rtl/>
        </w:rPr>
        <w:t>מגבלת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האמון</w:t>
      </w:r>
      <w:r w:rsidRPr="006C4917">
        <w:rPr>
          <w:rFonts w:hint="cs"/>
          <w:rtl/>
        </w:rPr>
        <w:t xml:space="preserve">, דהיינו דוקטרינת השימוש לרעה בסמכות המכוננת, הרי שאינני סבור שיש קושי משמעותי בתיקון. אכן, ייתכן כי הסוגיה בה עוסק התיקון איננה מהסוג בו מקובל לעסוק בחוקות, ואולם אינני סבור כי תפקידו של בית משפט זה הוא לשמש כ"עורך הספרותי" של החוקה, ולגזור מתוכה הסדרים רק מפאת היותם סרח עודף. גם בחוקות העמים ניתן למצוא הסדרים שברור וגלוי כי ניתן וראוי היה לכלול אותם בדבר חקיקה ברמה נמוכה במדרג הנורמטיבי (ראו, למשל, התיקון </w:t>
      </w:r>
      <w:r w:rsidRPr="006C4917">
        <w:rPr>
          <w:rFonts w:hint="cs"/>
          <w:rtl/>
        </w:rPr>
        <w:lastRenderedPageBreak/>
        <w:t>השלישי לחוקה האמריקאית, האוסר על שיכון חיילים בבתים פרטיים ללא הסכמת בעליהם (</w:t>
      </w:r>
      <w:r w:rsidRPr="006C4917">
        <w:rPr>
          <w:rFonts w:asciiTheme="majorBidi" w:hAnsiTheme="majorBidi" w:cstheme="majorBidi"/>
          <w:szCs w:val="24"/>
          <w:shd w:val="clear" w:color="auto" w:fill="FFFFFF"/>
        </w:rPr>
        <w:t>"No Soldier shall, in time of peace be quartered in any house, without the consent of the Owner, nor in time of war, but in a manner to be prescribed by law" (</w:t>
      </w:r>
      <w:r w:rsidRPr="006C4917">
        <w:rPr>
          <w:rFonts w:asciiTheme="majorBidi" w:hAnsiTheme="majorBidi" w:cstheme="majorBidi"/>
          <w:smallCaps/>
          <w:szCs w:val="24"/>
          <w:shd w:val="clear" w:color="auto" w:fill="FFFFFF"/>
        </w:rPr>
        <w:t>U.S. Const</w:t>
      </w:r>
      <w:r w:rsidRPr="006C4917">
        <w:rPr>
          <w:rFonts w:asciiTheme="majorBidi" w:hAnsiTheme="majorBidi" w:cstheme="majorBidi"/>
          <w:szCs w:val="24"/>
          <w:shd w:val="clear" w:color="auto" w:fill="FFFFFF"/>
        </w:rPr>
        <w:t>. amend. III)</w:t>
      </w:r>
      <w:r w:rsidRPr="006C4917">
        <w:rPr>
          <w:rFonts w:hint="cs"/>
          <w:rtl/>
        </w:rPr>
        <w:t xml:space="preserve">), וזאת כתגובה לחוק אנגלי שהועבר בזמן מלחמת העצמאות האמריקאית). מכל מקום, הכרעה בשאלות מסוג זה היא במידה רבה עניין של טעם ובחירה, כמו גם מסורת חוקתית והתפתחויות היסטוריות, שאינני סבור שעל בית משפט זה לעסוק בהן. הקושי, מבחינת מגבלת האמון, מתגבש כאשר הטיעון נגד השימוש בכלי החוקתי איננו בשל כך שהדבר סר טעם, אלא שהוא נעשה שלא לתכלית שלשמה ניתנה הסמכות המכוננת, דהיינו, לתכלית זרה. בענייננו, לא ניתן היה להשיג את תכלית התיקון </w:t>
      </w:r>
      <w:r w:rsidRPr="006C4917">
        <w:rPr>
          <w:rtl/>
        </w:rPr>
        <w:t>–</w:t>
      </w:r>
      <w:r w:rsidRPr="006C4917">
        <w:rPr>
          <w:rFonts w:hint="cs"/>
          <w:rtl/>
        </w:rPr>
        <w:t xml:space="preserve"> ביטול מוחלט של עילת הסבירות </w:t>
      </w:r>
      <w:r w:rsidRPr="006C4917">
        <w:rPr>
          <w:rtl/>
        </w:rPr>
        <w:t>–</w:t>
      </w:r>
      <w:r w:rsidRPr="006C4917">
        <w:rPr>
          <w:rFonts w:hint="cs"/>
          <w:rtl/>
        </w:rPr>
        <w:t xml:space="preserve"> ללא הכללתו בחוק יסוד, וזאת מאחר שהכלל אותו הוא בא לסייג קבוע בחוק יסוד (ודוק, אילו היה מדובר בביטול חלקי של עילת הסבירות, ספק אם נדרש היה לבצע זאת בחוק יסוד). </w:t>
      </w:r>
      <w:r w:rsidRPr="006C4917">
        <w:rPr>
          <w:rFonts w:hint="eastAsia"/>
          <w:rtl/>
        </w:rPr>
        <w:t>די</w:t>
      </w:r>
      <w:r w:rsidRPr="006C4917">
        <w:rPr>
          <w:rFonts w:hint="cs"/>
          <w:rtl/>
        </w:rPr>
        <w:t xml:space="preserve"> בכך,</w:t>
      </w:r>
      <w:r w:rsidRPr="006C4917">
        <w:rPr>
          <w:rtl/>
        </w:rPr>
        <w:t xml:space="preserve"> </w:t>
      </w:r>
      <w:r w:rsidRPr="006C4917">
        <w:rPr>
          <w:rFonts w:hint="eastAsia"/>
          <w:rtl/>
        </w:rPr>
        <w:t>לטעמי</w:t>
      </w:r>
      <w:r w:rsidRPr="006C4917">
        <w:rPr>
          <w:rtl/>
        </w:rPr>
        <w:t xml:space="preserve">, </w:t>
      </w:r>
      <w:r w:rsidRPr="006C4917">
        <w:rPr>
          <w:rFonts w:hint="eastAsia"/>
          <w:rtl/>
        </w:rPr>
        <w:t>על</w:t>
      </w:r>
      <w:r w:rsidRPr="006C4917">
        <w:rPr>
          <w:rtl/>
        </w:rPr>
        <w:t xml:space="preserve"> </w:t>
      </w:r>
      <w:r w:rsidRPr="006C4917">
        <w:rPr>
          <w:rFonts w:hint="eastAsia"/>
          <w:rtl/>
        </w:rPr>
        <w:t>מנת</w:t>
      </w:r>
      <w:r w:rsidRPr="006C4917">
        <w:rPr>
          <w:rtl/>
        </w:rPr>
        <w:t xml:space="preserve"> </w:t>
      </w:r>
      <w:r w:rsidRPr="006C4917">
        <w:rPr>
          <w:rFonts w:hint="eastAsia"/>
          <w:rtl/>
        </w:rPr>
        <w:t>ללמד</w:t>
      </w:r>
      <w:r w:rsidRPr="006C4917">
        <w:rPr>
          <w:rtl/>
        </w:rPr>
        <w:t xml:space="preserve"> </w:t>
      </w:r>
      <w:r w:rsidRPr="006C4917">
        <w:rPr>
          <w:rFonts w:hint="eastAsia"/>
          <w:rtl/>
        </w:rPr>
        <w:t>כי</w:t>
      </w:r>
      <w:r w:rsidRPr="006C4917">
        <w:rPr>
          <w:rtl/>
        </w:rPr>
        <w:t xml:space="preserve"> </w:t>
      </w:r>
      <w:r w:rsidRPr="006C4917">
        <w:rPr>
          <w:rFonts w:hint="eastAsia"/>
          <w:rtl/>
        </w:rPr>
        <w:t>אין</w:t>
      </w:r>
      <w:r w:rsidRPr="006C4917">
        <w:rPr>
          <w:rtl/>
        </w:rPr>
        <w:t xml:space="preserve"> </w:t>
      </w:r>
      <w:r w:rsidRPr="006C4917">
        <w:rPr>
          <w:rFonts w:hint="eastAsia"/>
          <w:rtl/>
        </w:rPr>
        <w:t>מדובר</w:t>
      </w:r>
      <w:r w:rsidRPr="006C4917">
        <w:rPr>
          <w:rtl/>
        </w:rPr>
        <w:t xml:space="preserve"> </w:t>
      </w:r>
      <w:r w:rsidRPr="006C4917">
        <w:rPr>
          <w:rFonts w:hint="eastAsia"/>
          <w:rtl/>
        </w:rPr>
        <w:t>במקרה</w:t>
      </w:r>
      <w:r w:rsidRPr="006C4917">
        <w:rPr>
          <w:rtl/>
        </w:rPr>
        <w:t xml:space="preserve"> </w:t>
      </w:r>
      <w:r w:rsidRPr="006C4917">
        <w:rPr>
          <w:rFonts w:hint="eastAsia"/>
          <w:rtl/>
        </w:rPr>
        <w:t>זה</w:t>
      </w:r>
      <w:r w:rsidRPr="006C4917">
        <w:rPr>
          <w:rtl/>
        </w:rPr>
        <w:t xml:space="preserve"> </w:t>
      </w:r>
      <w:r w:rsidRPr="006C4917">
        <w:rPr>
          <w:rFonts w:hint="eastAsia"/>
          <w:rtl/>
        </w:rPr>
        <w:t>בשימוש</w:t>
      </w:r>
      <w:r w:rsidRPr="006C4917">
        <w:rPr>
          <w:rtl/>
        </w:rPr>
        <w:t xml:space="preserve"> </w:t>
      </w:r>
      <w:r w:rsidRPr="006C4917">
        <w:rPr>
          <w:rFonts w:hint="eastAsia"/>
          <w:rtl/>
        </w:rPr>
        <w:t>לרעה</w:t>
      </w:r>
      <w:r w:rsidRPr="006C4917">
        <w:rPr>
          <w:rtl/>
        </w:rPr>
        <w:t xml:space="preserve"> </w:t>
      </w:r>
      <w:r w:rsidRPr="006C4917">
        <w:rPr>
          <w:rFonts w:hint="eastAsia"/>
          <w:rtl/>
        </w:rPr>
        <w:t>בסמכות</w:t>
      </w:r>
      <w:r w:rsidRPr="006C4917">
        <w:rPr>
          <w:rtl/>
        </w:rPr>
        <w:t xml:space="preserve"> </w:t>
      </w:r>
      <w:r w:rsidRPr="006C4917">
        <w:rPr>
          <w:rFonts w:hint="eastAsia"/>
          <w:rtl/>
        </w:rPr>
        <w:t>המכוננת</w:t>
      </w:r>
      <w:r w:rsidRPr="006C4917">
        <w:rPr>
          <w:rFonts w:hint="cs"/>
          <w:rtl/>
        </w:rPr>
        <w:t>.</w:t>
      </w:r>
    </w:p>
    <w:p w:rsidR="003D7BFC" w:rsidRPr="006C4917" w:rsidRDefault="003D7BFC" w:rsidP="003D7BFC">
      <w:pPr>
        <w:pStyle w:val="Ruller41"/>
        <w:rPr>
          <w:rFonts w:ascii="Century" w:hAnsi="Century" w:cs="Miriam"/>
          <w:b/>
          <w:spacing w:val="0"/>
          <w:szCs w:val="24"/>
          <w:rtl/>
        </w:rPr>
      </w:pPr>
    </w:p>
    <w:p w:rsidR="003D7BFC" w:rsidRPr="006C4917" w:rsidRDefault="003D7BFC" w:rsidP="003D7BFC">
      <w:pPr>
        <w:pStyle w:val="Ruller41"/>
        <w:keepNext/>
        <w:rPr>
          <w:rFonts w:ascii="Century" w:hAnsi="Century" w:cs="Miriam"/>
          <w:b/>
          <w:spacing w:val="0"/>
          <w:szCs w:val="24"/>
          <w:rtl/>
        </w:rPr>
      </w:pPr>
      <w:r w:rsidRPr="006C4917">
        <w:rPr>
          <w:rFonts w:ascii="Century" w:hAnsi="Century" w:cs="Miriam" w:hint="cs"/>
          <w:b/>
          <w:spacing w:val="0"/>
          <w:szCs w:val="24"/>
          <w:rtl/>
        </w:rPr>
        <w:t>סוף דבר</w:t>
      </w:r>
    </w:p>
    <w:p w:rsidR="003D7BFC" w:rsidRPr="006C4917" w:rsidRDefault="003D7BFC" w:rsidP="003D7BFC">
      <w:pPr>
        <w:pStyle w:val="Ruller41"/>
        <w:keepNext/>
        <w:rPr>
          <w:rtl/>
        </w:rPr>
      </w:pPr>
    </w:p>
    <w:p w:rsidR="003D7BFC" w:rsidRPr="006C4917" w:rsidRDefault="003D7BFC" w:rsidP="003D7BFC">
      <w:pPr>
        <w:pStyle w:val="Ruller4"/>
        <w:keepNext/>
        <w:rPr>
          <w:rFonts w:ascii="Times New Roman" w:hAnsi="Times New Roman" w:cs="Times New Roman"/>
          <w:spacing w:val="0"/>
          <w:szCs w:val="24"/>
        </w:rPr>
      </w:pPr>
      <w:r w:rsidRPr="006C4917">
        <w:rPr>
          <w:rFonts w:hint="cs"/>
          <w:rtl/>
        </w:rPr>
        <w:t>הימים בהם נכתבים דברים אלה הם ימי מלחמה. מלחמת אין ברירה, שנכפתה עלינו על ידי עמלק אכזר, אשר הבסתו חיונית לקיומה של מדינת ישראל ולהבטחת שלומם של כל החיים בה. הדאגה לבנינו ובנותינו הנלחמים בשלוש חזיתות, כמו גם לשלומם של החטופים והחטופות, מציפה את כל הווייתנ</w:t>
      </w:r>
      <w:r w:rsidRPr="006C4917">
        <w:rPr>
          <w:rFonts w:hint="eastAsia"/>
          <w:rtl/>
        </w:rPr>
        <w:t>ו</w:t>
      </w:r>
      <w:r w:rsidRPr="006C4917">
        <w:rPr>
          <w:rFonts w:hint="cs"/>
          <w:rtl/>
        </w:rPr>
        <w:t xml:space="preserve"> ומאחדת את כולנו. אכן נוח וטוב היה לנו שלא לעסוק בתקופה נוראה זו, כשבשורות איוב משדה הקרב רודפות אותנו זו אחר זו, בסוגיות חוקתיות, חשובות ככל שיהיו, המפלגות את העם והמעוררות מחלוקת גם בקרב שופטי ושופטות בית משפט זה.</w:t>
      </w:r>
    </w:p>
    <w:p w:rsidR="003D7BFC" w:rsidRPr="006C4917" w:rsidRDefault="003D7BFC" w:rsidP="003D7BFC">
      <w:pPr>
        <w:pStyle w:val="Ruller41"/>
        <w:rPr>
          <w:rtl/>
        </w:rPr>
      </w:pPr>
    </w:p>
    <w:p w:rsidR="003D7BFC" w:rsidRPr="006C4917" w:rsidRDefault="003D7BFC" w:rsidP="003D7BFC">
      <w:pPr>
        <w:pStyle w:val="Ruller4"/>
        <w:rPr>
          <w:rtl/>
        </w:rPr>
      </w:pPr>
      <w:r w:rsidRPr="006C4917">
        <w:rPr>
          <w:rFonts w:hint="cs"/>
          <w:rtl/>
        </w:rPr>
        <w:t>אלא שהרשות השופטת, בשונה מרשויות השלטון האחרות, אינה קובעת את הנושאים המונחים לפתחה, ובמקרה דנן, גם לא את עיתוי מתן פסקי דינה. אלה מוכתבים לה על ידי המציאות, המייצרת סכסוכים משפטיים, ועל ידי הצדדים העותרים למתן הכרעה שיפוטית בהם. במקרה דנן, גם המגבלות המוטלות על תקופת כהונת שופטים יוצרות אילוץ, המונע את השהיית מתן פסק הדין לזמנים טובים מאלה. אכן הרשות השופטת לא רק שאינה ״כל יכולה״, אלא שהיא, כפי שציין המילטון, ״</w:t>
      </w:r>
      <w:r w:rsidRPr="006C4917">
        <w:rPr>
          <w:rFonts w:ascii="Century" w:hAnsi="Century" w:cs="Miriam" w:hint="cs"/>
          <w:b/>
          <w:spacing w:val="0"/>
          <w:sz w:val="22"/>
          <w:szCs w:val="24"/>
          <w:rtl/>
        </w:rPr>
        <w:t>החלשה ביותר, לאין ערוך, מבין שלוש מחלקות השלטון</w:t>
      </w:r>
      <w:r w:rsidRPr="006C4917">
        <w:rPr>
          <w:rFonts w:hint="cs"/>
          <w:rtl/>
        </w:rPr>
        <w:t xml:space="preserve">״ (אלכסנדר המילטון, ג'יימס מדיסון וג'ון ג'יי </w:t>
      </w:r>
      <w:r w:rsidRPr="006C4917">
        <w:rPr>
          <w:rFonts w:ascii="Century" w:hAnsi="Century" w:cs="Miriam" w:hint="cs"/>
          <w:b/>
          <w:spacing w:val="0"/>
          <w:sz w:val="22"/>
          <w:szCs w:val="24"/>
          <w:rtl/>
        </w:rPr>
        <w:t>הפדרליסט</w:t>
      </w:r>
      <w:r w:rsidRPr="006C4917">
        <w:rPr>
          <w:rFonts w:hint="cs"/>
          <w:rtl/>
        </w:rPr>
        <w:t xml:space="preserve"> (מאמר 78) 389 (אהרון אמיר מתרגם, 2001)) </w:t>
      </w:r>
      <w:r w:rsidRPr="006C4917">
        <w:rPr>
          <w:rtl/>
        </w:rPr>
        <w:t>–</w:t>
      </w:r>
      <w:r w:rsidRPr="006C4917">
        <w:rPr>
          <w:rFonts w:hint="cs"/>
          <w:rtl/>
        </w:rPr>
        <w:t xml:space="preserve"> ובכלל זה בשל חוסר יכולתה לשלוט בסדר יומה.</w:t>
      </w:r>
    </w:p>
    <w:p w:rsidR="003D7BFC" w:rsidRPr="006C4917" w:rsidRDefault="003D7BFC" w:rsidP="002A2985">
      <w:pPr>
        <w:pStyle w:val="Ruller4"/>
        <w:numPr>
          <w:ilvl w:val="0"/>
          <w:numId w:val="0"/>
        </w:numPr>
      </w:pPr>
    </w:p>
    <w:p w:rsidR="003D7BFC" w:rsidRPr="006C4917" w:rsidRDefault="003D7BFC" w:rsidP="003D7BFC">
      <w:pPr>
        <w:pStyle w:val="Ruller4"/>
        <w:rPr>
          <w:rtl/>
        </w:rPr>
      </w:pPr>
      <w:r w:rsidRPr="006C4917">
        <w:rPr>
          <w:rFonts w:hint="cs"/>
          <w:rtl/>
        </w:rPr>
        <w:lastRenderedPageBreak/>
        <w:t>המלחמה האכזרית באויבי המדינה השקיטה לעת הזו את המאבק הפנימי הקשה שהתחולל בעקבות תכנית "הרפורמה המשפטית" שקידמה הקואליציה הנוכחית. השקיטה, אך לא השכיחה. תיקון מס׳ 3 לחוק-יסוד: השפיטה, המבטל את עילת הסבירות, עודנו כתוב עלי ספר החוקה הישראלית, והעתירות כנגדו עודן מונחות לפתחנו. לפיכך, מחובתנו להכריע בהן.</w:t>
      </w:r>
    </w:p>
    <w:p w:rsidR="003D7BFC" w:rsidRPr="006C4917" w:rsidRDefault="003D7BFC" w:rsidP="002A2985">
      <w:pPr>
        <w:pStyle w:val="Ruller4"/>
        <w:numPr>
          <w:ilvl w:val="0"/>
          <w:numId w:val="0"/>
        </w:numPr>
        <w:rPr>
          <w:rtl/>
        </w:rPr>
      </w:pPr>
    </w:p>
    <w:p w:rsidR="003D7BFC" w:rsidRPr="006C4917" w:rsidRDefault="003D7BFC" w:rsidP="003D7BFC">
      <w:pPr>
        <w:pStyle w:val="Ruller4"/>
        <w:rPr>
          <w:rtl/>
        </w:rPr>
      </w:pPr>
      <w:r w:rsidRPr="006C4917">
        <w:rPr>
          <w:rFonts w:hint="cs"/>
          <w:rtl/>
        </w:rPr>
        <w:t xml:space="preserve">עיצוב דמותה של מדינת ישראל נעשה על ידי אזרחיה </w:t>
      </w:r>
      <w:r w:rsidRPr="006C4917">
        <w:rPr>
          <w:rtl/>
        </w:rPr>
        <w:t>–</w:t>
      </w:r>
      <w:r w:rsidRPr="006C4917">
        <w:rPr>
          <w:rFonts w:hint="cs"/>
          <w:rtl/>
        </w:rPr>
        <w:t xml:space="preserve"> באמצעות רשויות השלטון השונות; בפעילותם בזירה הציבורית; ובאמצעות עשייתם כבני החברה האזרחית. גם לרשות השופטת, כאחת מרשויות השלטון, חלק נכבד במשימה כבירה זו. השמירה על מאפייני הליבה של מדינת ישראל כ״מדינה יהודית ודמוקרטית״, היא מהמופעים החשובים, אם לא החשוב שבמופעים, בהם משתקפת תרומתה של הרשות השופטת לעיצוב דמותה של החברה הישראלית. חובתנו בהקשר זה היא לוודא שהספינה עליה כולנו מצויים, מדינת ישראל, אינה מפליגה למים מסוכנים, בהם היא עלולה להתנגש בקרחון העלול להטביעה. אכן, אם חס וחלילה יתממש הסיכון, ונמצא עצמנו מפליגים בחשיכה כטיטניק לתוך הקרחון, תקצר ידה של הרשות השופטת מלהושיע. ואולם, אם נמלא חובתנו, ונתקן את נתיב השייט מבעוד מועד, עשוי הדבר להבטיח שמדינת ישראל תיוותר נאמנה לצביונה ״היהודי והדמוקרטי״, כפי שמבקש רוב גדול של העם, וכפי שמשקפת "החוקה בהתהוות״.</w:t>
      </w:r>
    </w:p>
    <w:p w:rsidR="003D7BFC" w:rsidRPr="006C4917" w:rsidRDefault="003D7BFC" w:rsidP="002A2985">
      <w:pPr>
        <w:pStyle w:val="Ruller4"/>
        <w:numPr>
          <w:ilvl w:val="0"/>
          <w:numId w:val="0"/>
        </w:numPr>
        <w:rPr>
          <w:rtl/>
        </w:rPr>
      </w:pPr>
    </w:p>
    <w:p w:rsidR="003D7BFC" w:rsidRPr="006C4917" w:rsidRDefault="003D7BFC" w:rsidP="003D7BFC">
      <w:pPr>
        <w:pStyle w:val="Ruller4"/>
        <w:rPr>
          <w:rtl/>
        </w:rPr>
      </w:pPr>
      <w:r w:rsidRPr="006C4917">
        <w:rPr>
          <w:rFonts w:hint="cs"/>
          <w:rtl/>
        </w:rPr>
        <w:t xml:space="preserve">תיקון מס׳ 3, המבטל את עילת הסבירות, אינו בגדר ״התנגשות בקרחון״, ואולם, מבחינת עקרון שלטון החוק, החיוני לכל מדינה דמוקרטית, הוא בגדר הסטת נתיב הספינה ל״מים מסוכנים״ </w:t>
      </w:r>
      <w:r w:rsidRPr="006C4917">
        <w:rPr>
          <w:rFonts w:ascii="Century" w:hAnsi="Century"/>
          <w:sz w:val="22"/>
          <w:rtl/>
        </w:rPr>
        <w:t>–</w:t>
      </w:r>
      <w:r w:rsidRPr="006C4917">
        <w:rPr>
          <w:rFonts w:hint="cs"/>
          <w:rtl/>
        </w:rPr>
        <w:t xml:space="preserve"> מסוכנים מאד. במצב דברים זה, ובמיוחד בהינתן חוסר ההסכמה העמוק שנלווה לתיקון זה, מצטרף אני לעמדתה של הנשיאה (בדימ') </w:t>
      </w:r>
      <w:r w:rsidRPr="006C4917">
        <w:rPr>
          <w:rFonts w:ascii="Century" w:hAnsi="Century" w:cs="Miriam" w:hint="eastAsia"/>
          <w:b/>
          <w:spacing w:val="0"/>
          <w:sz w:val="22"/>
          <w:szCs w:val="24"/>
          <w:rtl/>
        </w:rPr>
        <w:t>חיות</w:t>
      </w:r>
      <w:r w:rsidRPr="006C4917">
        <w:rPr>
          <w:rFonts w:hint="cs"/>
          <w:rtl/>
        </w:rPr>
        <w:t>, שהנהגתה הטיבה לנווט את דרכנו בשנות כהונתה רצופות המשברים, לפיה דין העתירות להתקבל, ודין תיקון מס׳ 3 להתבטל.</w:t>
      </w:r>
    </w:p>
    <w:p w:rsidR="00FF17DB" w:rsidRDefault="00FF17DB" w:rsidP="00CA52BD">
      <w:pPr>
        <w:pStyle w:val="Ruller41"/>
        <w:rPr>
          <w:rtl/>
        </w:rPr>
      </w:pPr>
    </w:p>
    <w:p w:rsidR="00C60397" w:rsidRDefault="00C60397" w:rsidP="00CA52BD">
      <w:pPr>
        <w:pStyle w:val="Ruller41"/>
        <w:rPr>
          <w:rtl/>
        </w:rPr>
      </w:pPr>
    </w:p>
    <w:tbl>
      <w:tblPr>
        <w:bidiVisual/>
        <w:tblW w:w="8363" w:type="dxa"/>
        <w:tblLook w:val="01E0" w:firstRow="1" w:lastRow="1" w:firstColumn="1" w:lastColumn="1" w:noHBand="0" w:noVBand="0"/>
      </w:tblPr>
      <w:tblGrid>
        <w:gridCol w:w="2786"/>
        <w:gridCol w:w="2787"/>
        <w:gridCol w:w="2790"/>
      </w:tblGrid>
      <w:tr w:rsidR="00EC32E0" w:rsidTr="00DD4ADA">
        <w:tc>
          <w:tcPr>
            <w:tcW w:w="2842" w:type="dxa"/>
            <w:shd w:val="clear" w:color="auto" w:fill="auto"/>
          </w:tcPr>
          <w:p w:rsidR="00EC32E0" w:rsidRDefault="00EC32E0" w:rsidP="00DD4ADA">
            <w:pPr>
              <w:pStyle w:val="Ruller41"/>
              <w:rPr>
                <w:rtl/>
              </w:rPr>
            </w:pPr>
          </w:p>
        </w:tc>
        <w:tc>
          <w:tcPr>
            <w:tcW w:w="2843" w:type="dxa"/>
            <w:shd w:val="clear" w:color="auto" w:fill="auto"/>
          </w:tcPr>
          <w:p w:rsidR="00EC32E0" w:rsidRDefault="00EC32E0" w:rsidP="00DD4ADA">
            <w:pPr>
              <w:pStyle w:val="Ruller41"/>
              <w:jc w:val="center"/>
              <w:rPr>
                <w:rtl/>
              </w:rPr>
            </w:pPr>
          </w:p>
        </w:tc>
        <w:tc>
          <w:tcPr>
            <w:tcW w:w="2843" w:type="dxa"/>
            <w:shd w:val="clear" w:color="auto" w:fill="auto"/>
          </w:tcPr>
          <w:p w:rsidR="00EC32E0" w:rsidRDefault="00EC32E0" w:rsidP="00DD4ADA">
            <w:pPr>
              <w:pStyle w:val="Ruller41"/>
              <w:jc w:val="center"/>
              <w:rPr>
                <w:rtl/>
              </w:rPr>
            </w:pPr>
            <w:r>
              <w:rPr>
                <w:rtl/>
              </w:rPr>
              <w:t>ש ו פ ט</w:t>
            </w:r>
          </w:p>
        </w:tc>
      </w:tr>
    </w:tbl>
    <w:p w:rsidR="00FF17DB" w:rsidRDefault="00FF17DB" w:rsidP="00140975">
      <w:pPr>
        <w:pStyle w:val="BODYVERDICT"/>
        <w:spacing w:line="360" w:lineRule="auto"/>
        <w:rPr>
          <w:rtl/>
        </w:rPr>
      </w:pPr>
    </w:p>
    <w:p w:rsidR="00FF17DB" w:rsidRDefault="00FF17DB" w:rsidP="00FF17DB">
      <w:pPr>
        <w:pStyle w:val="BODYVERDICT"/>
        <w:outlineLvl w:val="0"/>
        <w:rPr>
          <w:rFonts w:cs="Miriam"/>
          <w:sz w:val="24"/>
          <w:szCs w:val="24"/>
          <w:u w:val="single"/>
          <w:rtl/>
        </w:rPr>
      </w:pPr>
      <w:r w:rsidRPr="00462789">
        <w:rPr>
          <w:rFonts w:cs="Miriam" w:hint="cs"/>
          <w:sz w:val="24"/>
          <w:szCs w:val="24"/>
          <w:u w:val="single"/>
          <w:rtl/>
        </w:rPr>
        <w:t>השופטת ד' ברק-ארז</w:t>
      </w:r>
      <w:r w:rsidRPr="000075A3">
        <w:rPr>
          <w:rFonts w:cs="Miriam"/>
          <w:sz w:val="24"/>
          <w:szCs w:val="24"/>
          <w:rtl/>
        </w:rPr>
        <w:t>:</w:t>
      </w:r>
    </w:p>
    <w:p w:rsidR="00E31875" w:rsidRDefault="00E31875" w:rsidP="006335BE">
      <w:pPr>
        <w:pStyle w:val="Ruller41"/>
        <w:rPr>
          <w:rtl/>
        </w:rPr>
      </w:pPr>
    </w:p>
    <w:p w:rsidR="00E31875" w:rsidRDefault="00E31875" w:rsidP="00E31875">
      <w:pPr>
        <w:pStyle w:val="Ruller41"/>
        <w:rPr>
          <w:rtl/>
        </w:rPr>
      </w:pPr>
      <w:r>
        <w:rPr>
          <w:rFonts w:hint="cs"/>
          <w:rtl/>
        </w:rPr>
        <w:t>1.</w:t>
      </w:r>
      <w:r>
        <w:rPr>
          <w:rFonts w:hint="cs"/>
          <w:rtl/>
        </w:rPr>
        <w:tab/>
        <w:t xml:space="preserve">שרה בממשלה הורתה על פיטוריו של עובד ציבור בכיר שהציג עמדה מקצועית שאינה מקובלת עליה. הממשלה החליטה לתמוך בהקמת מפעל מזהם במרכזה של שמורת טבע. שר אחר החליט על הענקת תמיכות בתחום התרבות רק ליוצרים שהם "לטעמו". </w:t>
      </w:r>
      <w:r>
        <w:rPr>
          <w:rFonts w:hint="cs"/>
          <w:rtl/>
        </w:rPr>
        <w:lastRenderedPageBreak/>
        <w:t xml:space="preserve">ככל שהחלטות כאלה יתקבלו, הרי שעל-פי חוק-יסוד: השפיטה (תיקון מס' 3) התיקון העומד במרכז הדיון שבפנינו (להלן: </w:t>
      </w:r>
      <w:r w:rsidRPr="00D87434">
        <w:rPr>
          <w:rFonts w:ascii="Century" w:hAnsi="Century" w:cs="Miriam" w:hint="cs"/>
          <w:b/>
          <w:spacing w:val="0"/>
          <w:szCs w:val="24"/>
          <w:rtl/>
        </w:rPr>
        <w:t xml:space="preserve">תיקון מס' 3 </w:t>
      </w:r>
      <w:r>
        <w:rPr>
          <w:rFonts w:hint="cs"/>
          <w:rtl/>
        </w:rPr>
        <w:t xml:space="preserve">או </w:t>
      </w:r>
      <w:r w:rsidRPr="00D87434">
        <w:rPr>
          <w:rFonts w:ascii="Century" w:hAnsi="Century" w:cs="Miriam" w:hint="cs"/>
          <w:b/>
          <w:spacing w:val="0"/>
          <w:szCs w:val="24"/>
          <w:rtl/>
        </w:rPr>
        <w:t>התיקון</w:t>
      </w:r>
      <w:r w:rsidRPr="00640FF1">
        <w:rPr>
          <w:rFonts w:hint="cs"/>
          <w:rtl/>
        </w:rPr>
        <w:t>), שאלת אי-סבירותן לא תוכל להיבחן על-ידי אף ערכאה שיפוטית במדינה. הייתכן?</w:t>
      </w:r>
      <w:r>
        <w:rPr>
          <w:rFonts w:hint="cs"/>
          <w:rtl/>
        </w:rPr>
        <w:t xml:space="preserve"> </w:t>
      </w:r>
    </w:p>
    <w:p w:rsidR="00E31875" w:rsidRDefault="00E31875" w:rsidP="00E31875">
      <w:pPr>
        <w:pStyle w:val="Ruller41"/>
        <w:rPr>
          <w:rtl/>
        </w:rPr>
      </w:pPr>
    </w:p>
    <w:p w:rsidR="00E31875" w:rsidRDefault="00E31875" w:rsidP="00E31875">
      <w:pPr>
        <w:pStyle w:val="Ruller41"/>
        <w:rPr>
          <w:rtl/>
        </w:rPr>
      </w:pPr>
      <w:r>
        <w:rPr>
          <w:rFonts w:hint="cs"/>
          <w:rtl/>
        </w:rPr>
        <w:t xml:space="preserve">2. </w:t>
      </w:r>
      <w:r>
        <w:rPr>
          <w:rFonts w:hint="cs"/>
          <w:rtl/>
        </w:rPr>
        <w:tab/>
        <w:t xml:space="preserve">חשוב להדגיש: הדילמה שבה פתחתי אינה מכוונת לדיון במשפט הרצוי. היא מתמקדת בשאלה האם ביטול האפשרות לביקורת שיפוטית בשל אי-סבירותה של החלטה </w:t>
      </w:r>
      <w:r w:rsidRPr="00AD5C6A">
        <w:rPr>
          <w:rtl/>
        </w:rPr>
        <w:t>ש</w:t>
      </w:r>
      <w:r>
        <w:rPr>
          <w:rFonts w:hint="cs"/>
          <w:rtl/>
        </w:rPr>
        <w:t>התקבלה על-ידי</w:t>
      </w:r>
      <w:r w:rsidRPr="00AD5C6A">
        <w:rPr>
          <w:rtl/>
        </w:rPr>
        <w:t xml:space="preserve"> הממשלה, ראש הממשלה או שר </w:t>
      </w:r>
      <w:r>
        <w:rPr>
          <w:rFonts w:hint="cs"/>
          <w:rtl/>
        </w:rPr>
        <w:t>בממשלה עולה כדי שלילת המאפיינים הדמוקרטיים הגרעיניים של מדינת ישראל במידה המחייבת לראות בתיקון מס' 3 חריגה מסמכותה של הרשות המכוננת? שאלה זו אינה תיאורטית גרידא, ואיננו נדרשים לה בחלל הריק. היא אינה מתייחסת לאפשרות של ביטול הסמכות לקיים ביקורת שיפוטית על יסודה של עילת הסבירות במדינות אחרות, על מכלול ההסדרים החוקתיים הנוהגים בהן. היא ממוקדת באפשרות של ביטול סמכות זו בישראל, בהינתן המצב הקיים בה בכל הנוגע לבקרה ההדדית של הרשויות זו כלפי זו, ולערובות הקיימות בשיטתנו המשפטית לשמירה על שלטון החוק.</w:t>
      </w:r>
    </w:p>
    <w:p w:rsidR="00E31875" w:rsidRDefault="00E31875" w:rsidP="00E31875">
      <w:pPr>
        <w:pStyle w:val="Ruller41"/>
        <w:rPr>
          <w:rtl/>
        </w:rPr>
      </w:pPr>
    </w:p>
    <w:p w:rsidR="00E31875" w:rsidRDefault="00E31875" w:rsidP="00E31875">
      <w:pPr>
        <w:pStyle w:val="Ruller41"/>
        <w:rPr>
          <w:rtl/>
        </w:rPr>
      </w:pPr>
      <w:r>
        <w:rPr>
          <w:rFonts w:hint="cs"/>
          <w:rtl/>
        </w:rPr>
        <w:t xml:space="preserve">3. </w:t>
      </w:r>
      <w:r>
        <w:rPr>
          <w:rFonts w:hint="cs"/>
          <w:rtl/>
        </w:rPr>
        <w:tab/>
        <w:t xml:space="preserve">חברתי הנשיאה (בדימ') </w:t>
      </w:r>
      <w:r w:rsidRPr="00D87434">
        <w:rPr>
          <w:rFonts w:ascii="Century" w:hAnsi="Century" w:cs="Miriam" w:hint="cs"/>
          <w:b/>
          <w:spacing w:val="0"/>
          <w:szCs w:val="24"/>
          <w:rtl/>
        </w:rPr>
        <w:t>א' חיות</w:t>
      </w:r>
      <w:r w:rsidRPr="00D87434">
        <w:rPr>
          <w:rFonts w:hint="cs"/>
          <w:rtl/>
        </w:rPr>
        <w:t xml:space="preserve"> </w:t>
      </w:r>
      <w:r>
        <w:rPr>
          <w:rFonts w:hint="cs"/>
          <w:rtl/>
        </w:rPr>
        <w:t>סבורה כי אכן מדובר במקרה זה בתיקון חוקתי החורג מגדר סמכותה של הרשות המכוננת, כי בית משפט זה מוסמך להכריז על בטלותו, וכי יש מקום לכך שיעשה כן במקרה דנן. אני מסכימה עמה. על כן, אמקד את דבריי בהבהרות ובדגשים החשובים מנקודת מבטי.</w:t>
      </w:r>
    </w:p>
    <w:p w:rsidR="00E31875" w:rsidRDefault="00E31875" w:rsidP="00E31875">
      <w:pPr>
        <w:pStyle w:val="Ruller41"/>
        <w:rPr>
          <w:rFonts w:ascii="FrankRuehl" w:hAnsi="FrankRuehl"/>
          <w:sz w:val="28"/>
          <w:rtl/>
        </w:rPr>
      </w:pPr>
    </w:p>
    <w:p w:rsidR="00E31875" w:rsidRPr="00EB49E9" w:rsidRDefault="00E31875" w:rsidP="00E31875">
      <w:pPr>
        <w:pStyle w:val="Ruller41"/>
        <w:rPr>
          <w:rFonts w:ascii="FrankRuehl" w:hAnsi="FrankRuehl"/>
          <w:sz w:val="28"/>
          <w:rtl/>
        </w:rPr>
      </w:pPr>
      <w:r>
        <w:rPr>
          <w:rFonts w:ascii="FrankRuehl" w:hAnsi="FrankRuehl" w:hint="cs"/>
          <w:sz w:val="28"/>
          <w:rtl/>
        </w:rPr>
        <w:t xml:space="preserve">4. </w:t>
      </w:r>
      <w:r>
        <w:rPr>
          <w:rFonts w:ascii="FrankRuehl" w:hAnsi="FrankRuehl" w:hint="cs"/>
          <w:sz w:val="28"/>
          <w:rtl/>
        </w:rPr>
        <w:tab/>
        <w:t xml:space="preserve">לא אוכל לצלול לגוף הדברים מבלי לציין שכמו עבור חבריי כולם, גם עבורי כתיבתו של פסק דין זה בימים אלה של מלחמה עקובה מדם, ימים של שכול ואובדן בחברה הישראלית, מכבידה על הלב. אולם, זוהי מלאכתנו כשופטים, וכפי שאסביר </w:t>
      </w:r>
      <w:r>
        <w:rPr>
          <w:rFonts w:ascii="FrankRuehl" w:hAnsi="FrankRuehl"/>
          <w:sz w:val="28"/>
          <w:rtl/>
        </w:rPr>
        <w:t>–</w:t>
      </w:r>
      <w:r>
        <w:rPr>
          <w:rFonts w:ascii="FrankRuehl" w:hAnsi="FrankRuehl" w:hint="cs"/>
          <w:sz w:val="28"/>
          <w:rtl/>
        </w:rPr>
        <w:t xml:space="preserve"> נוכח הסכנה הגלומה בתיקון מס' 3 ליציבותה הדמוקרטית של המדינה </w:t>
      </w:r>
      <w:r>
        <w:rPr>
          <w:rFonts w:ascii="FrankRuehl" w:hAnsi="FrankRuehl"/>
          <w:sz w:val="28"/>
          <w:rtl/>
        </w:rPr>
        <w:t>–</w:t>
      </w:r>
      <w:r>
        <w:rPr>
          <w:rFonts w:ascii="FrankRuehl" w:hAnsi="FrankRuehl" w:hint="cs"/>
          <w:sz w:val="28"/>
          <w:rtl/>
        </w:rPr>
        <w:t xml:space="preserve"> זוהי מלאכה שיש בה אף הכרח. אין אנו בני חורין להיבטל ממנה. </w:t>
      </w:r>
    </w:p>
    <w:p w:rsidR="00E31875" w:rsidRDefault="00E31875" w:rsidP="00E31875">
      <w:pPr>
        <w:spacing w:line="360" w:lineRule="auto"/>
        <w:jc w:val="both"/>
        <w:rPr>
          <w:rFonts w:ascii="FrankRuehl" w:hAnsi="FrankRuehl" w:cs="FrankRuehl"/>
          <w:b/>
          <w:bCs/>
          <w:sz w:val="28"/>
          <w:szCs w:val="28"/>
          <w:u w:val="single"/>
          <w:rtl/>
        </w:rPr>
      </w:pPr>
    </w:p>
    <w:p w:rsidR="00E31875" w:rsidRPr="00D87434" w:rsidRDefault="00E31875" w:rsidP="00E31875">
      <w:pPr>
        <w:spacing w:line="360" w:lineRule="auto"/>
        <w:jc w:val="both"/>
        <w:rPr>
          <w:rFonts w:ascii="Century" w:hAnsi="Century" w:cs="Miriam"/>
          <w:b/>
          <w:sz w:val="22"/>
          <w:rtl/>
        </w:rPr>
      </w:pPr>
      <w:r w:rsidRPr="00D87434">
        <w:rPr>
          <w:rFonts w:ascii="Century" w:hAnsi="Century" w:cs="Miriam" w:hint="cs"/>
          <w:b/>
          <w:sz w:val="22"/>
          <w:rtl/>
        </w:rPr>
        <w:t>הסמכות המכוננת: המגבלות עליה והביקורת השיפוטית על הפעלתה</w:t>
      </w:r>
    </w:p>
    <w:p w:rsidR="00E31875" w:rsidRDefault="00E31875" w:rsidP="00E31875">
      <w:pPr>
        <w:spacing w:line="360" w:lineRule="auto"/>
        <w:jc w:val="both"/>
        <w:rPr>
          <w:rFonts w:ascii="FrankRuehl" w:hAnsi="FrankRuehl" w:cs="FrankRuehl"/>
          <w:sz w:val="28"/>
          <w:szCs w:val="28"/>
          <w:rtl/>
        </w:rPr>
      </w:pPr>
    </w:p>
    <w:p w:rsidR="00E31875" w:rsidRPr="00640FF1" w:rsidRDefault="00E31875" w:rsidP="00E31875">
      <w:pPr>
        <w:pStyle w:val="Ruller41"/>
        <w:rPr>
          <w:rtl/>
        </w:rPr>
      </w:pPr>
      <w:r w:rsidRPr="00640FF1">
        <w:rPr>
          <w:rFonts w:hint="cs"/>
          <w:rtl/>
        </w:rPr>
        <w:t xml:space="preserve">5. </w:t>
      </w:r>
      <w:r w:rsidRPr="00640FF1">
        <w:rPr>
          <w:rFonts w:hint="cs"/>
          <w:rtl/>
        </w:rPr>
        <w:tab/>
        <w:t>בפתחו של הדיון שהתקיים בפנינו ניצבו שתי שאלות מרכזיות: מהן המגבלות החלות על הפעלת סמכותה המכוננת של הכנסת? כמו כן, ובהמשך לכך, האם בית משפט זה מוסמך לבקר את אופן הפעלתה של סמכות זו? חברתי הנשיאה (בדימ')</w:t>
      </w:r>
      <w:r>
        <w:rPr>
          <w:rFonts w:hint="cs"/>
          <w:rtl/>
        </w:rPr>
        <w:t xml:space="preserve"> </w:t>
      </w:r>
      <w:r w:rsidRPr="00D87434">
        <w:rPr>
          <w:rFonts w:ascii="Century" w:hAnsi="Century" w:cs="Miriam" w:hint="eastAsia"/>
          <w:b/>
          <w:spacing w:val="0"/>
          <w:szCs w:val="24"/>
          <w:rtl/>
        </w:rPr>
        <w:t>חיות</w:t>
      </w:r>
      <w:r>
        <w:rPr>
          <w:rFonts w:hint="cs"/>
          <w:rtl/>
        </w:rPr>
        <w:t xml:space="preserve"> </w:t>
      </w:r>
      <w:r w:rsidRPr="00640FF1">
        <w:rPr>
          <w:rFonts w:hint="cs"/>
          <w:rtl/>
        </w:rPr>
        <w:t>השיבה על שאלות אלו כשהיא פוסעת בדרך שכבר נסללה בפסק הדין שניתן בבג"ץ 5555/18</w:t>
      </w:r>
      <w:r>
        <w:rPr>
          <w:rFonts w:hint="cs"/>
          <w:rtl/>
        </w:rPr>
        <w:t xml:space="preserve"> </w:t>
      </w:r>
      <w:r w:rsidRPr="00D87434">
        <w:rPr>
          <w:rFonts w:ascii="Century" w:hAnsi="Century" w:cs="Miriam" w:hint="cs"/>
          <w:b/>
          <w:spacing w:val="0"/>
          <w:szCs w:val="24"/>
          <w:rtl/>
        </w:rPr>
        <w:t>חסון נ' כנסת ישראל</w:t>
      </w:r>
      <w:r w:rsidRPr="00D87434">
        <w:rPr>
          <w:rFonts w:hint="cs"/>
          <w:rtl/>
        </w:rPr>
        <w:t xml:space="preserve"> </w:t>
      </w:r>
      <w:r w:rsidRPr="00640FF1">
        <w:rPr>
          <w:rFonts w:hint="cs"/>
          <w:rtl/>
        </w:rPr>
        <w:t>(8.7.2021) (להלן: עניין</w:t>
      </w:r>
      <w:r>
        <w:rPr>
          <w:rFonts w:hint="cs"/>
          <w:rtl/>
        </w:rPr>
        <w:t xml:space="preserve"> </w:t>
      </w:r>
      <w:r w:rsidRPr="00D87434">
        <w:rPr>
          <w:rFonts w:ascii="Century" w:hAnsi="Century" w:cs="Miriam" w:hint="cs"/>
          <w:b/>
          <w:spacing w:val="0"/>
          <w:szCs w:val="24"/>
          <w:rtl/>
        </w:rPr>
        <w:t>חסון</w:t>
      </w:r>
      <w:r>
        <w:rPr>
          <w:rFonts w:hint="cs"/>
          <w:rtl/>
        </w:rPr>
        <w:t>)</w:t>
      </w:r>
      <w:r w:rsidRPr="00640FF1">
        <w:rPr>
          <w:rFonts w:hint="cs"/>
          <w:rtl/>
        </w:rPr>
        <w:t xml:space="preserve"> שנסב על עתירות לביטולו של חוק-יסוד: ישראל </w:t>
      </w:r>
      <w:r w:rsidRPr="00640FF1">
        <w:rPr>
          <w:rtl/>
        </w:rPr>
        <w:t>–</w:t>
      </w:r>
      <w:r w:rsidRPr="00640FF1">
        <w:rPr>
          <w:rFonts w:hint="cs"/>
          <w:rtl/>
        </w:rPr>
        <w:t xml:space="preserve"> מדינת הלאום של העם היהודי (להלן:</w:t>
      </w:r>
      <w:r>
        <w:rPr>
          <w:rFonts w:hint="cs"/>
          <w:rtl/>
        </w:rPr>
        <w:t xml:space="preserve"> </w:t>
      </w:r>
      <w:r w:rsidRPr="00D87434">
        <w:rPr>
          <w:rFonts w:ascii="Century" w:hAnsi="Century" w:cs="Miriam" w:hint="eastAsia"/>
          <w:b/>
          <w:spacing w:val="0"/>
          <w:szCs w:val="24"/>
          <w:rtl/>
        </w:rPr>
        <w:t>חוק</w:t>
      </w:r>
      <w:r w:rsidRPr="00D87434">
        <w:rPr>
          <w:rFonts w:ascii="Century" w:hAnsi="Century" w:cs="Miriam"/>
          <w:b/>
          <w:spacing w:val="0"/>
          <w:szCs w:val="24"/>
          <w:rtl/>
        </w:rPr>
        <w:t xml:space="preserve"> </w:t>
      </w:r>
      <w:r w:rsidRPr="00D87434">
        <w:rPr>
          <w:rFonts w:ascii="Century" w:hAnsi="Century" w:cs="Miriam" w:hint="cs"/>
          <w:b/>
          <w:spacing w:val="0"/>
          <w:szCs w:val="24"/>
          <w:rtl/>
        </w:rPr>
        <w:t xml:space="preserve">יסוד: </w:t>
      </w:r>
      <w:r w:rsidRPr="00D87434">
        <w:rPr>
          <w:rFonts w:ascii="Century" w:hAnsi="Century" w:cs="Miriam" w:hint="eastAsia"/>
          <w:b/>
          <w:spacing w:val="0"/>
          <w:szCs w:val="24"/>
          <w:rtl/>
        </w:rPr>
        <w:t>הלאום</w:t>
      </w:r>
      <w:r w:rsidRPr="00640FF1">
        <w:rPr>
          <w:rFonts w:hint="cs"/>
          <w:rtl/>
        </w:rPr>
        <w:t xml:space="preserve">), וממשיכה אותה </w:t>
      </w:r>
      <w:r w:rsidRPr="00640FF1">
        <w:rPr>
          <w:rFonts w:hint="cs"/>
          <w:rtl/>
        </w:rPr>
        <w:lastRenderedPageBreak/>
        <w:t>במידה הנדרשת. כפי שציינה חברתי הנשיאה (בדימ')</w:t>
      </w:r>
      <w:r>
        <w:rPr>
          <w:rFonts w:hint="cs"/>
          <w:rtl/>
        </w:rPr>
        <w:t xml:space="preserve"> </w:t>
      </w:r>
      <w:r w:rsidRPr="00D87434">
        <w:rPr>
          <w:rFonts w:ascii="Century" w:hAnsi="Century" w:cs="Miriam" w:hint="eastAsia"/>
          <w:b/>
          <w:spacing w:val="0"/>
          <w:szCs w:val="24"/>
          <w:rtl/>
        </w:rPr>
        <w:t>חיות</w:t>
      </w:r>
      <w:r w:rsidRPr="00640FF1">
        <w:rPr>
          <w:rFonts w:hint="cs"/>
          <w:rtl/>
        </w:rPr>
        <w:t>, בעניין</w:t>
      </w:r>
      <w:r>
        <w:rPr>
          <w:rFonts w:hint="cs"/>
          <w:rtl/>
        </w:rPr>
        <w:t xml:space="preserve"> </w:t>
      </w:r>
      <w:r w:rsidRPr="00D87434">
        <w:rPr>
          <w:rFonts w:ascii="Century" w:hAnsi="Century" w:cs="Miriam" w:hint="eastAsia"/>
          <w:b/>
          <w:spacing w:val="0"/>
          <w:szCs w:val="24"/>
          <w:rtl/>
        </w:rPr>
        <w:t>חסון</w:t>
      </w:r>
      <w:r w:rsidRPr="00695EEC">
        <w:rPr>
          <w:rFonts w:ascii="Century" w:hAnsi="Century" w:cs="Miriam"/>
          <w:b/>
          <w:szCs w:val="24"/>
          <w:rtl/>
        </w:rPr>
        <w:t xml:space="preserve"> </w:t>
      </w:r>
      <w:r w:rsidRPr="00640FF1">
        <w:rPr>
          <w:rFonts w:hint="cs"/>
          <w:rtl/>
        </w:rPr>
        <w:t xml:space="preserve">קבע בית משפט זה, לראשונה, בדעת רוב, כי סמכותה של הכנסת כרשות מכוננת אינה בלתי מוגבלת, במובן זה שהיא אינה מוסמכת לשלול את מאפייני הזהות הגרעיניים של ישראל כמדינה יהודית ודמוקרטית. פסיקתנו במקרה דנן נדרשת אפוא אך ליישום העקרונות שנקבעו שם. </w:t>
      </w:r>
      <w:r>
        <w:rPr>
          <w:rFonts w:hint="cs"/>
          <w:rtl/>
        </w:rPr>
        <w:t>במישור נוסף</w:t>
      </w:r>
      <w:r w:rsidRPr="00640FF1">
        <w:rPr>
          <w:rFonts w:hint="cs"/>
          <w:rtl/>
        </w:rPr>
        <w:t>, שאלת סמכותו של בית משפט זה לקיים ביקורת שיפוטית (גם אם מצומצמת) על חוקי היסוד נותרה</w:t>
      </w:r>
      <w:r>
        <w:rPr>
          <w:rFonts w:hint="cs"/>
          <w:rtl/>
        </w:rPr>
        <w:t>, לפחות</w:t>
      </w:r>
      <w:r w:rsidRPr="00640FF1">
        <w:rPr>
          <w:rFonts w:hint="cs"/>
          <w:rtl/>
        </w:rPr>
        <w:t xml:space="preserve"> באופן פורמאלי</w:t>
      </w:r>
      <w:r>
        <w:rPr>
          <w:rFonts w:hint="cs"/>
          <w:rtl/>
        </w:rPr>
        <w:t>,</w:t>
      </w:r>
      <w:r w:rsidRPr="00640FF1">
        <w:rPr>
          <w:rFonts w:hint="cs"/>
          <w:rtl/>
        </w:rPr>
        <w:t xml:space="preserve"> שאלה פתוחה. חברתי הנשיאה (בדימ')</w:t>
      </w:r>
      <w:r>
        <w:rPr>
          <w:rFonts w:hint="cs"/>
          <w:rtl/>
        </w:rPr>
        <w:t xml:space="preserve"> </w:t>
      </w:r>
      <w:r w:rsidRPr="00D87434">
        <w:rPr>
          <w:rFonts w:ascii="Century" w:hAnsi="Century" w:cs="Miriam" w:hint="eastAsia"/>
          <w:b/>
          <w:spacing w:val="0"/>
          <w:szCs w:val="24"/>
          <w:rtl/>
        </w:rPr>
        <w:t>חיות</w:t>
      </w:r>
      <w:r w:rsidRPr="00640FF1">
        <w:rPr>
          <w:rFonts w:hint="cs"/>
          <w:rtl/>
        </w:rPr>
        <w:t xml:space="preserve"> משיבה כעת בחיוב אף על שאל</w:t>
      </w:r>
      <w:r>
        <w:rPr>
          <w:rFonts w:hint="cs"/>
          <w:rtl/>
        </w:rPr>
        <w:t>ה זו</w:t>
      </w:r>
      <w:r w:rsidRPr="00640FF1">
        <w:rPr>
          <w:rFonts w:hint="cs"/>
          <w:rtl/>
        </w:rPr>
        <w:t>, ואני מסכימה עמה גם ב</w:t>
      </w:r>
      <w:r>
        <w:rPr>
          <w:rFonts w:hint="cs"/>
          <w:rtl/>
        </w:rPr>
        <w:t>כך</w:t>
      </w:r>
      <w:r w:rsidRPr="00640FF1">
        <w:rPr>
          <w:rFonts w:hint="cs"/>
          <w:rtl/>
        </w:rPr>
        <w:t>. יתר על כן, מנקודת מבטי, שאלת גבולות סמכותה של הרשות המכוננת ושאלת הסמכות לקיים ביקורת שיפוטית על</w:t>
      </w:r>
      <w:r>
        <w:rPr>
          <w:rFonts w:hint="cs"/>
          <w:rtl/>
        </w:rPr>
        <w:t>יה</w:t>
      </w:r>
      <w:r w:rsidRPr="00640FF1">
        <w:rPr>
          <w:rFonts w:hint="cs"/>
          <w:rtl/>
        </w:rPr>
        <w:t xml:space="preserve"> קשורות זו בזו כמעט עד לבלי הפרד.</w:t>
      </w:r>
    </w:p>
    <w:p w:rsidR="00E31875" w:rsidRDefault="00E31875" w:rsidP="00E31875">
      <w:pPr>
        <w:pStyle w:val="Ruller41"/>
        <w:rPr>
          <w:rtl/>
        </w:rPr>
      </w:pPr>
    </w:p>
    <w:p w:rsidR="00E31875" w:rsidRDefault="00E31875" w:rsidP="00E31875">
      <w:pPr>
        <w:pStyle w:val="Ruller41"/>
        <w:rPr>
          <w:rtl/>
        </w:rPr>
      </w:pPr>
      <w:r>
        <w:rPr>
          <w:rFonts w:hint="cs"/>
          <w:rtl/>
        </w:rPr>
        <w:t>6.</w:t>
      </w:r>
      <w:r>
        <w:rPr>
          <w:rFonts w:hint="cs"/>
          <w:rtl/>
        </w:rPr>
        <w:tab/>
        <w:t>באשר ל</w:t>
      </w:r>
      <w:r w:rsidRPr="0022693F">
        <w:rPr>
          <w:rFonts w:hint="cs"/>
          <w:rtl/>
        </w:rPr>
        <w:t>מגבלות החלות על הרשות המכוננת</w:t>
      </w:r>
      <w:r>
        <w:rPr>
          <w:rFonts w:hint="cs"/>
          <w:rtl/>
        </w:rPr>
        <w:t xml:space="preserve">, חברתי הנשיאה (בדימ') </w:t>
      </w:r>
      <w:r w:rsidRPr="00D87434">
        <w:rPr>
          <w:rFonts w:ascii="Century" w:hAnsi="Century" w:cs="Miriam" w:hint="eastAsia"/>
          <w:b/>
          <w:spacing w:val="0"/>
          <w:szCs w:val="24"/>
          <w:rtl/>
        </w:rPr>
        <w:t>חיות</w:t>
      </w:r>
      <w:r w:rsidRPr="00D87434">
        <w:rPr>
          <w:rFonts w:ascii="Century" w:hAnsi="Century" w:cs="Miriam" w:hint="cs"/>
          <w:b/>
          <w:spacing w:val="0"/>
          <w:szCs w:val="24"/>
          <w:rtl/>
        </w:rPr>
        <w:t xml:space="preserve"> </w:t>
      </w:r>
      <w:r>
        <w:rPr>
          <w:rFonts w:hint="cs"/>
          <w:rtl/>
        </w:rPr>
        <w:t xml:space="preserve">קובעת כעת, בהמשך לעניין </w:t>
      </w:r>
      <w:r w:rsidRPr="00D87434">
        <w:rPr>
          <w:rFonts w:ascii="Century" w:hAnsi="Century" w:cs="Miriam" w:hint="eastAsia"/>
          <w:b/>
          <w:spacing w:val="0"/>
          <w:szCs w:val="24"/>
          <w:rtl/>
        </w:rPr>
        <w:t>חסון</w:t>
      </w:r>
      <w:r w:rsidRPr="00903650">
        <w:rPr>
          <w:rFonts w:ascii="Century" w:hAnsi="Century"/>
          <w:rtl/>
        </w:rPr>
        <w:t>,</w:t>
      </w:r>
      <w:r>
        <w:rPr>
          <w:rFonts w:hint="cs"/>
          <w:rtl/>
        </w:rPr>
        <w:t xml:space="preserve"> כי מגבלות אלו נובעות מהגדרתה של ישראל כמדינה "יהודית ודמוקרטית" כפי שזו התעצבה לאורך השנים. אכן, הגדרתה של המדינה כ"יהודית ודמוקרטית" נתמכת כיום במערך חוקתי עשיר ומבוסס. יחד עם זאת, מאחר שענייננו בקביעת גבולות פורמאליים של סמכות, כשלעצמי חלקי עם הסוברים ששורשי ההגבלה נעוצים במסמך היסוד של המדינה </w:t>
      </w:r>
      <w:r>
        <w:rPr>
          <w:rtl/>
        </w:rPr>
        <w:t>–</w:t>
      </w:r>
      <w:r>
        <w:rPr>
          <w:rFonts w:hint="cs"/>
          <w:rtl/>
        </w:rPr>
        <w:t xml:space="preserve"> הכרזת העצמאות. </w:t>
      </w:r>
    </w:p>
    <w:p w:rsidR="00E31875" w:rsidRDefault="00E31875" w:rsidP="00E31875">
      <w:pPr>
        <w:pStyle w:val="Ruller41"/>
        <w:rPr>
          <w:rtl/>
        </w:rPr>
      </w:pPr>
    </w:p>
    <w:p w:rsidR="00E31875" w:rsidRDefault="00E31875" w:rsidP="00E31875">
      <w:pPr>
        <w:pStyle w:val="Ruller41"/>
        <w:rPr>
          <w:rtl/>
        </w:rPr>
      </w:pPr>
      <w:r>
        <w:rPr>
          <w:rFonts w:hint="cs"/>
          <w:rtl/>
        </w:rPr>
        <w:t xml:space="preserve">7. </w:t>
      </w:r>
      <w:r>
        <w:rPr>
          <w:rtl/>
        </w:rPr>
        <w:tab/>
      </w:r>
      <w:r>
        <w:rPr>
          <w:rFonts w:hint="cs"/>
          <w:rtl/>
        </w:rPr>
        <w:t>אפתח במובן מאליו: הכנסת בכובעה כרשות המכוננת של מדינת ישראל, בדומה לאסיפה מכוננת של כל מדינה אחרת, אמורה להוביל ליצירת חוקה התואמת את עקרונות היסוד שעליהם מושתתת המדינה. בהקשר הישראלי, עקרונות יסוד אלו נקבעו בהכרזת העצמאות, אשר מכוחה נבחרה האסיפה המכוננת. וכך נקבע בה בעניין זה:</w:t>
      </w:r>
    </w:p>
    <w:p w:rsidR="00E31875" w:rsidRDefault="00E31875" w:rsidP="00E31875">
      <w:pPr>
        <w:pStyle w:val="Ruller5"/>
        <w:rPr>
          <w:rtl/>
        </w:rPr>
      </w:pPr>
    </w:p>
    <w:p w:rsidR="00E31875" w:rsidRDefault="00E31875" w:rsidP="00E31875">
      <w:pPr>
        <w:pStyle w:val="Ruller5"/>
        <w:rPr>
          <w:rtl/>
        </w:rPr>
      </w:pPr>
      <w:r>
        <w:rPr>
          <w:rFonts w:hint="cs"/>
          <w:rtl/>
        </w:rPr>
        <w:t>"</w:t>
      </w:r>
      <w:r w:rsidRPr="00A343D2">
        <w:rPr>
          <w:rtl/>
        </w:rPr>
        <w:t xml:space="preserve">אנו קובעים שהחל מרגע סיום המנדט, הלילה, אור ליום שבת ו' אייר תש"ח, 15 במאי 1948, ועד להקמת השלטונות הנבחרים והסדירים של המדינה </w:t>
      </w:r>
      <w:r w:rsidRPr="00D87434">
        <w:rPr>
          <w:rFonts w:ascii="Century" w:hAnsi="Century" w:cs="Miriam"/>
          <w:b/>
          <w:spacing w:val="0"/>
          <w:szCs w:val="24"/>
          <w:rtl/>
        </w:rPr>
        <w:t xml:space="preserve">בהתאם לחוקה </w:t>
      </w:r>
      <w:r w:rsidRPr="00DD20C7">
        <w:rPr>
          <w:rFonts w:ascii="Century" w:hAnsi="Century" w:cs="Miriam"/>
          <w:b/>
          <w:spacing w:val="0"/>
          <w:szCs w:val="24"/>
          <w:rtl/>
        </w:rPr>
        <w:t>שתיקבע על ידי האספה המכוננת הנבחרת</w:t>
      </w:r>
      <w:r w:rsidRPr="00D87434">
        <w:rPr>
          <w:rtl/>
        </w:rPr>
        <w:t xml:space="preserve"> </w:t>
      </w:r>
      <w:r>
        <w:rPr>
          <w:rtl/>
        </w:rPr>
        <w:t>לא יאוחר מ-1 באוקטובר 1948</w:t>
      </w:r>
      <w:r>
        <w:rPr>
          <w:rFonts w:hint="cs"/>
          <w:rtl/>
        </w:rPr>
        <w:t xml:space="preserve"> </w:t>
      </w:r>
      <w:r>
        <w:rPr>
          <w:rtl/>
        </w:rPr>
        <w:t>–</w:t>
      </w:r>
      <w:r>
        <w:rPr>
          <w:rFonts w:hint="cs"/>
          <w:rtl/>
        </w:rPr>
        <w:t xml:space="preserve"> תפעל </w:t>
      </w:r>
      <w:r w:rsidRPr="00A343D2">
        <w:rPr>
          <w:rtl/>
        </w:rPr>
        <w:t>מועצת העם כמועצת מדינה זמנית, ומוסד הביצוע שלה, מנהלת-העם, יהווה את הממשלה הזמנית של המדינה היהודית, אשר תיקרא בשם ישראל</w:t>
      </w:r>
      <w:r>
        <w:rPr>
          <w:rFonts w:hint="cs"/>
          <w:rtl/>
        </w:rPr>
        <w:t xml:space="preserve">" (ההדגשה הוספה </w:t>
      </w:r>
      <w:r>
        <w:rPr>
          <w:rtl/>
        </w:rPr>
        <w:t>–</w:t>
      </w:r>
      <w:r>
        <w:rPr>
          <w:rFonts w:hint="cs"/>
          <w:rtl/>
        </w:rPr>
        <w:t xml:space="preserve"> </w:t>
      </w:r>
      <w:r w:rsidRPr="00D87434">
        <w:rPr>
          <w:rFonts w:ascii="Century" w:hAnsi="Century" w:cs="Miriam" w:hint="eastAsia"/>
          <w:b/>
          <w:spacing w:val="0"/>
          <w:szCs w:val="24"/>
          <w:rtl/>
        </w:rPr>
        <w:t>ד</w:t>
      </w:r>
      <w:r w:rsidRPr="00D87434">
        <w:rPr>
          <w:rFonts w:ascii="Century" w:hAnsi="Century" w:cs="Miriam"/>
          <w:b/>
          <w:spacing w:val="0"/>
          <w:szCs w:val="24"/>
          <w:rtl/>
        </w:rPr>
        <w:t xml:space="preserve">' </w:t>
      </w:r>
      <w:r w:rsidRPr="00D87434">
        <w:rPr>
          <w:rFonts w:ascii="Century" w:hAnsi="Century" w:cs="Miriam" w:hint="eastAsia"/>
          <w:b/>
          <w:spacing w:val="0"/>
          <w:szCs w:val="24"/>
          <w:rtl/>
        </w:rPr>
        <w:t>ב</w:t>
      </w:r>
      <w:r w:rsidRPr="00D87434">
        <w:rPr>
          <w:rFonts w:ascii="Century" w:hAnsi="Century" w:cs="Miriam"/>
          <w:b/>
          <w:spacing w:val="0"/>
          <w:szCs w:val="24"/>
          <w:rtl/>
        </w:rPr>
        <w:t xml:space="preserve">' </w:t>
      </w:r>
      <w:r w:rsidRPr="00D87434">
        <w:rPr>
          <w:rFonts w:ascii="Century" w:hAnsi="Century" w:cs="Miriam" w:hint="eastAsia"/>
          <w:b/>
          <w:spacing w:val="0"/>
          <w:szCs w:val="24"/>
          <w:rtl/>
        </w:rPr>
        <w:t>א</w:t>
      </w:r>
      <w:r w:rsidRPr="00D87434">
        <w:rPr>
          <w:rFonts w:ascii="Century" w:hAnsi="Century" w:cs="Miriam"/>
          <w:b/>
          <w:spacing w:val="0"/>
          <w:szCs w:val="24"/>
          <w:rtl/>
        </w:rPr>
        <w:t>'</w:t>
      </w:r>
      <w:r>
        <w:rPr>
          <w:rFonts w:hint="cs"/>
          <w:rtl/>
        </w:rPr>
        <w:t>).</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tl/>
        </w:rPr>
        <w:tab/>
      </w:r>
      <w:r>
        <w:rPr>
          <w:rFonts w:hint="cs"/>
          <w:rtl/>
        </w:rPr>
        <w:t>אם כן, הסמכות המכוננת, בעת שהוקנתה, לא הייתה בלתי מוגבלת. היא ניתנה כשטר ושובר בצדו. תובנה היסטורית זו משמיעה מסקנה הכרחית וחשובה: המנדט ליצירתם של הסדרים חוקתיים במדינת ישראל מבוסס על ההסמכה שבהכרזת העצמאות, ועל כן צריך להיות מוגבל לעקרונות שנקבעו בה. זה היה המנדט של האסיפה המכוננת הנבחרת, וזהו גם המנדט שאותו "ירשה" הכנסת, המחזיקה בסמכות מכוננת ש"שורשרה" אליה מכוחה של החלטת הררי, מיום 13.6.1950 (</w:t>
      </w:r>
      <w:r>
        <w:rPr>
          <w:rtl/>
        </w:rPr>
        <w:t>דברי הכנסת 5, 1743 (התש"י)</w:t>
      </w:r>
      <w:r>
        <w:rPr>
          <w:rFonts w:hint="cs"/>
          <w:rtl/>
        </w:rPr>
        <w:t>)</w:t>
      </w:r>
      <w:r w:rsidRPr="00AD1EA5">
        <w:rPr>
          <w:rtl/>
        </w:rPr>
        <w:t xml:space="preserve"> </w:t>
      </w:r>
      <w:r>
        <w:rPr>
          <w:rFonts w:hint="cs"/>
          <w:rtl/>
        </w:rPr>
        <w:t xml:space="preserve">(ראו: </w:t>
      </w:r>
      <w:r>
        <w:rPr>
          <w:rFonts w:hint="cs"/>
          <w:rtl/>
        </w:rPr>
        <w:lastRenderedPageBreak/>
        <w:t xml:space="preserve">בג"ץ 5969/20 </w:t>
      </w:r>
      <w:r w:rsidRPr="00D87434">
        <w:rPr>
          <w:rFonts w:ascii="Century" w:hAnsi="Century" w:cs="Miriam" w:hint="cs"/>
          <w:b/>
          <w:spacing w:val="0"/>
          <w:szCs w:val="24"/>
          <w:rtl/>
        </w:rPr>
        <w:t>שפיר נ' הכנסת</w:t>
      </w:r>
      <w:r>
        <w:rPr>
          <w:rFonts w:hint="cs"/>
          <w:rtl/>
        </w:rPr>
        <w:t xml:space="preserve">, פסקאות 17-15 לפסק דיני (23.5.2021) (להלן: עניין </w:t>
      </w:r>
      <w:r w:rsidRPr="00D87434">
        <w:rPr>
          <w:rFonts w:ascii="Century" w:hAnsi="Century" w:cs="Miriam" w:hint="eastAsia"/>
          <w:b/>
          <w:spacing w:val="0"/>
          <w:szCs w:val="24"/>
          <w:rtl/>
        </w:rPr>
        <w:t>שפיר</w:t>
      </w:r>
      <w:r>
        <w:rPr>
          <w:rFonts w:hint="cs"/>
          <w:rtl/>
        </w:rPr>
        <w:t xml:space="preserve">)). בהמשך לכך, כמו גם בהתאם לעיקרון המשפטי הבסיסי הגורס כי לשליח אין סמכות רחבה יותר מאשר לשולחו </w:t>
      </w:r>
      <w:r>
        <w:rPr>
          <w:rtl/>
        </w:rPr>
        <w:t>–</w:t>
      </w:r>
      <w:r>
        <w:rPr>
          <w:rFonts w:hint="cs"/>
          <w:rtl/>
        </w:rPr>
        <w:t xml:space="preserve"> לכנסת, בכובעה כרשות מכוננת, אין סמכות רחבה יותר מזו שהוקנתה לאסיפה המכוננת המקורית, ובהמשך לכך לכנסת הראשונה ולכל הכנסות שבאו אחריה. המסקנה היא שסמכותה המכוננת של הכנסת היא רחבה עד מאד, אך אינה בלתי מוגבלת (כפי שפירטתי בעניין </w:t>
      </w:r>
      <w:r w:rsidRPr="00D87434">
        <w:rPr>
          <w:rFonts w:ascii="Century" w:hAnsi="Century" w:cs="Miriam" w:hint="cs"/>
          <w:b/>
          <w:spacing w:val="0"/>
          <w:szCs w:val="24"/>
          <w:rtl/>
        </w:rPr>
        <w:t>חסון</w:t>
      </w:r>
      <w:r>
        <w:rPr>
          <w:rFonts w:hint="cs"/>
          <w:rtl/>
        </w:rPr>
        <w:t xml:space="preserve">, בפסקה 14 לפסק דיני). </w:t>
      </w:r>
    </w:p>
    <w:p w:rsidR="00E31875" w:rsidRDefault="00E31875" w:rsidP="00E31875">
      <w:pPr>
        <w:spacing w:line="360" w:lineRule="auto"/>
        <w:jc w:val="both"/>
        <w:rPr>
          <w:rFonts w:ascii="FrankRuehl" w:hAnsi="FrankRuehl" w:cs="FrankRuehl"/>
          <w:sz w:val="28"/>
          <w:szCs w:val="28"/>
          <w:rtl/>
        </w:rPr>
      </w:pPr>
    </w:p>
    <w:p w:rsidR="00E31875" w:rsidRPr="007F598A" w:rsidRDefault="00E31875" w:rsidP="00E31875">
      <w:pPr>
        <w:pStyle w:val="Ruller41"/>
        <w:rPr>
          <w:rFonts w:ascii="Century" w:hAnsi="Century"/>
          <w:rtl/>
        </w:rPr>
      </w:pPr>
      <w:r>
        <w:rPr>
          <w:rFonts w:hint="cs"/>
          <w:rtl/>
        </w:rPr>
        <w:t xml:space="preserve">8. </w:t>
      </w:r>
      <w:r>
        <w:rPr>
          <w:rFonts w:hint="cs"/>
          <w:rtl/>
        </w:rPr>
        <w:tab/>
      </w:r>
      <w:r w:rsidRPr="007F598A">
        <w:rPr>
          <w:rFonts w:ascii="Century" w:hAnsi="Century" w:hint="eastAsia"/>
          <w:rtl/>
        </w:rPr>
        <w:t>מהי</w:t>
      </w:r>
      <w:r w:rsidRPr="007F598A">
        <w:rPr>
          <w:rFonts w:ascii="Century" w:hAnsi="Century"/>
          <w:rtl/>
        </w:rPr>
        <w:t xml:space="preserve"> המשמעות הנורמטיבית של עיגון הסמכות המכוננת ב</w:t>
      </w:r>
      <w:r w:rsidRPr="007F598A">
        <w:rPr>
          <w:rFonts w:ascii="Century" w:hAnsi="Century" w:hint="eastAsia"/>
          <w:rtl/>
        </w:rPr>
        <w:t>הכרזת</w:t>
      </w:r>
      <w:r w:rsidRPr="007F598A">
        <w:rPr>
          <w:rFonts w:ascii="Century" w:hAnsi="Century"/>
          <w:rtl/>
        </w:rPr>
        <w:t xml:space="preserve"> העצמאות? במהלך הדיון בפנינו, נטען כי על-פי פסיקתו המסורתית של בית משפט זה, הכרזת העצמאות, כשלעצמה, אינה מהווה חוקה, ועל כן לא יכולה לשמש בסיס לביקורת שיפוטית על חקיקה (כפי שנפסק </w:t>
      </w:r>
      <w:r w:rsidRPr="007F598A">
        <w:rPr>
          <w:rFonts w:ascii="Century" w:hAnsi="Century" w:hint="eastAsia"/>
          <w:rtl/>
        </w:rPr>
        <w:t>עוד</w:t>
      </w:r>
      <w:r w:rsidRPr="007F598A">
        <w:rPr>
          <w:rFonts w:ascii="Century" w:hAnsi="Century"/>
          <w:rtl/>
        </w:rPr>
        <w:t xml:space="preserve"> </w:t>
      </w:r>
      <w:r w:rsidRPr="007F598A">
        <w:rPr>
          <w:rFonts w:ascii="Century" w:hAnsi="Century" w:hint="eastAsia"/>
          <w:rtl/>
        </w:rPr>
        <w:t>בימיה</w:t>
      </w:r>
      <w:r w:rsidRPr="007F598A">
        <w:rPr>
          <w:rFonts w:ascii="Century" w:hAnsi="Century"/>
          <w:rtl/>
        </w:rPr>
        <w:t xml:space="preserve"> </w:t>
      </w:r>
      <w:r w:rsidRPr="007F598A">
        <w:rPr>
          <w:rFonts w:ascii="Century" w:hAnsi="Century" w:hint="eastAsia"/>
          <w:rtl/>
        </w:rPr>
        <w:t>הראשונים</w:t>
      </w:r>
      <w:r w:rsidRPr="007F598A">
        <w:rPr>
          <w:rFonts w:ascii="Century" w:hAnsi="Century"/>
          <w:rtl/>
        </w:rPr>
        <w:t xml:space="preserve"> </w:t>
      </w:r>
      <w:r w:rsidRPr="007F598A">
        <w:rPr>
          <w:rFonts w:ascii="Century" w:hAnsi="Century" w:hint="eastAsia"/>
          <w:rtl/>
        </w:rPr>
        <w:t>של</w:t>
      </w:r>
      <w:r w:rsidRPr="007F598A">
        <w:rPr>
          <w:rFonts w:ascii="Century" w:hAnsi="Century"/>
          <w:rtl/>
        </w:rPr>
        <w:t xml:space="preserve"> </w:t>
      </w:r>
      <w:r w:rsidRPr="007F598A">
        <w:rPr>
          <w:rFonts w:ascii="Century" w:hAnsi="Century" w:hint="eastAsia"/>
          <w:rtl/>
        </w:rPr>
        <w:t>המדינה</w:t>
      </w:r>
      <w:r w:rsidRPr="007F598A">
        <w:rPr>
          <w:rFonts w:ascii="Century" w:hAnsi="Century"/>
          <w:rtl/>
        </w:rPr>
        <w:t xml:space="preserve">, </w:t>
      </w:r>
      <w:r w:rsidRPr="007F598A">
        <w:rPr>
          <w:rFonts w:ascii="Century" w:hAnsi="Century" w:hint="eastAsia"/>
          <w:rtl/>
        </w:rPr>
        <w:t>בבג</w:t>
      </w:r>
      <w:r w:rsidRPr="007F598A">
        <w:rPr>
          <w:rFonts w:ascii="Century" w:hAnsi="Century"/>
          <w:rtl/>
        </w:rPr>
        <w:t>"ץ 10/48</w:t>
      </w:r>
      <w:r w:rsidRPr="00E93E24">
        <w:rPr>
          <w:rFonts w:hint="cs"/>
          <w:rtl/>
        </w:rPr>
        <w:t xml:space="preserve"> </w:t>
      </w:r>
      <w:r w:rsidRPr="00D87434">
        <w:rPr>
          <w:rFonts w:ascii="Century" w:hAnsi="Century" w:cs="Miriam" w:hint="eastAsia"/>
          <w:b/>
          <w:spacing w:val="0"/>
          <w:szCs w:val="24"/>
          <w:rtl/>
        </w:rPr>
        <w:t>זיו</w:t>
      </w:r>
      <w:r w:rsidRPr="00D87434">
        <w:rPr>
          <w:rFonts w:ascii="Century" w:hAnsi="Century" w:cs="Miriam"/>
          <w:b/>
          <w:spacing w:val="0"/>
          <w:szCs w:val="24"/>
          <w:rtl/>
        </w:rPr>
        <w:t xml:space="preserve"> </w:t>
      </w:r>
      <w:r w:rsidRPr="00D87434">
        <w:rPr>
          <w:rFonts w:ascii="Century" w:hAnsi="Century" w:cs="Miriam" w:hint="eastAsia"/>
          <w:b/>
          <w:spacing w:val="0"/>
          <w:szCs w:val="24"/>
          <w:rtl/>
        </w:rPr>
        <w:t>נ</w:t>
      </w:r>
      <w:r w:rsidRPr="00D87434">
        <w:rPr>
          <w:rFonts w:ascii="Century" w:hAnsi="Century" w:cs="Miriam"/>
          <w:b/>
          <w:spacing w:val="0"/>
          <w:szCs w:val="24"/>
          <w:rtl/>
        </w:rPr>
        <w:t xml:space="preserve">' </w:t>
      </w:r>
      <w:r w:rsidRPr="00D87434">
        <w:rPr>
          <w:rFonts w:ascii="Century" w:hAnsi="Century" w:cs="Miriam" w:hint="eastAsia"/>
          <w:b/>
          <w:spacing w:val="0"/>
          <w:szCs w:val="24"/>
          <w:rtl/>
        </w:rPr>
        <w:t>הממונה</w:t>
      </w:r>
      <w:r w:rsidRPr="00D87434">
        <w:rPr>
          <w:rFonts w:ascii="Century" w:hAnsi="Century" w:cs="Miriam"/>
          <w:b/>
          <w:spacing w:val="0"/>
          <w:szCs w:val="24"/>
          <w:rtl/>
        </w:rPr>
        <w:t xml:space="preserve"> </w:t>
      </w:r>
      <w:r w:rsidRPr="00D87434">
        <w:rPr>
          <w:rFonts w:ascii="Century" w:hAnsi="Century" w:cs="Miriam" w:hint="eastAsia"/>
          <w:b/>
          <w:spacing w:val="0"/>
          <w:szCs w:val="24"/>
          <w:rtl/>
        </w:rPr>
        <w:t>בפועל</w:t>
      </w:r>
      <w:r w:rsidRPr="00D87434">
        <w:rPr>
          <w:rFonts w:ascii="Century" w:hAnsi="Century" w:cs="Miriam"/>
          <w:b/>
          <w:spacing w:val="0"/>
          <w:szCs w:val="24"/>
          <w:rtl/>
        </w:rPr>
        <w:t xml:space="preserve"> </w:t>
      </w:r>
      <w:r w:rsidRPr="00D87434">
        <w:rPr>
          <w:rFonts w:ascii="Century" w:hAnsi="Century" w:cs="Miriam" w:hint="eastAsia"/>
          <w:b/>
          <w:spacing w:val="0"/>
          <w:szCs w:val="24"/>
          <w:rtl/>
        </w:rPr>
        <w:t>על</w:t>
      </w:r>
      <w:r w:rsidRPr="00D87434">
        <w:rPr>
          <w:rFonts w:ascii="Century" w:hAnsi="Century" w:cs="Miriam"/>
          <w:b/>
          <w:spacing w:val="0"/>
          <w:szCs w:val="24"/>
          <w:rtl/>
        </w:rPr>
        <w:t xml:space="preserve"> </w:t>
      </w:r>
      <w:r w:rsidRPr="00D87434">
        <w:rPr>
          <w:rFonts w:ascii="Century" w:hAnsi="Century" w:cs="Miriam" w:hint="eastAsia"/>
          <w:b/>
          <w:spacing w:val="0"/>
          <w:szCs w:val="24"/>
          <w:rtl/>
        </w:rPr>
        <w:t>האזור</w:t>
      </w:r>
      <w:r w:rsidRPr="00D87434">
        <w:rPr>
          <w:rFonts w:ascii="Century" w:hAnsi="Century" w:cs="Miriam"/>
          <w:b/>
          <w:spacing w:val="0"/>
          <w:szCs w:val="24"/>
          <w:rtl/>
        </w:rPr>
        <w:t xml:space="preserve"> </w:t>
      </w:r>
      <w:r w:rsidRPr="00D87434">
        <w:rPr>
          <w:rFonts w:ascii="Century" w:hAnsi="Century" w:cs="Miriam" w:hint="eastAsia"/>
          <w:b/>
          <w:spacing w:val="0"/>
          <w:szCs w:val="24"/>
          <w:rtl/>
        </w:rPr>
        <w:t>העירוני</w:t>
      </w:r>
      <w:r w:rsidRPr="00D87434">
        <w:rPr>
          <w:rFonts w:ascii="Century" w:hAnsi="Century" w:cs="Miriam"/>
          <w:b/>
          <w:spacing w:val="0"/>
          <w:szCs w:val="24"/>
          <w:rtl/>
        </w:rPr>
        <w:t xml:space="preserve"> </w:t>
      </w:r>
      <w:r w:rsidRPr="00D87434">
        <w:rPr>
          <w:rFonts w:ascii="Century" w:hAnsi="Century" w:cs="Miriam" w:hint="eastAsia"/>
          <w:b/>
          <w:spacing w:val="0"/>
          <w:szCs w:val="24"/>
          <w:rtl/>
        </w:rPr>
        <w:t>תל</w:t>
      </w:r>
      <w:r w:rsidRPr="00D87434">
        <w:rPr>
          <w:rFonts w:ascii="Century" w:hAnsi="Century" w:cs="Miriam"/>
          <w:b/>
          <w:spacing w:val="0"/>
          <w:szCs w:val="24"/>
          <w:rtl/>
        </w:rPr>
        <w:t>-</w:t>
      </w:r>
      <w:r w:rsidRPr="00D87434">
        <w:rPr>
          <w:rFonts w:ascii="Century" w:hAnsi="Century" w:cs="Miriam" w:hint="eastAsia"/>
          <w:b/>
          <w:spacing w:val="0"/>
          <w:szCs w:val="24"/>
          <w:rtl/>
        </w:rPr>
        <w:t>אביב</w:t>
      </w:r>
      <w:r w:rsidRPr="00D87434">
        <w:rPr>
          <w:rFonts w:ascii="Century" w:hAnsi="Century" w:cs="Miriam"/>
          <w:b/>
          <w:spacing w:val="0"/>
          <w:szCs w:val="24"/>
          <w:rtl/>
        </w:rPr>
        <w:t xml:space="preserve"> (</w:t>
      </w:r>
      <w:r w:rsidRPr="00D87434">
        <w:rPr>
          <w:rFonts w:ascii="Century" w:hAnsi="Century" w:cs="Miriam" w:hint="eastAsia"/>
          <w:b/>
          <w:spacing w:val="0"/>
          <w:szCs w:val="24"/>
          <w:rtl/>
        </w:rPr>
        <w:t>יהושע</w:t>
      </w:r>
      <w:r w:rsidRPr="00D87434">
        <w:rPr>
          <w:rFonts w:ascii="Century" w:hAnsi="Century" w:cs="Miriam"/>
          <w:b/>
          <w:spacing w:val="0"/>
          <w:szCs w:val="24"/>
          <w:rtl/>
        </w:rPr>
        <w:t xml:space="preserve"> </w:t>
      </w:r>
      <w:r w:rsidRPr="00D87434">
        <w:rPr>
          <w:rFonts w:ascii="Century" w:hAnsi="Century" w:cs="Miriam" w:hint="eastAsia"/>
          <w:b/>
          <w:spacing w:val="0"/>
          <w:szCs w:val="24"/>
          <w:rtl/>
        </w:rPr>
        <w:t>גוברניק</w:t>
      </w:r>
      <w:r w:rsidRPr="00D87434">
        <w:rPr>
          <w:rFonts w:ascii="Century" w:hAnsi="Century" w:cs="Miriam"/>
          <w:b/>
          <w:spacing w:val="0"/>
          <w:szCs w:val="24"/>
          <w:rtl/>
        </w:rPr>
        <w:t>)</w:t>
      </w:r>
      <w:r>
        <w:rPr>
          <w:rFonts w:hint="cs"/>
          <w:rtl/>
        </w:rPr>
        <w:t xml:space="preserve">, פ"ד א 85, 89 (1948) (להלן: עניין </w:t>
      </w:r>
      <w:r w:rsidRPr="00D87434">
        <w:rPr>
          <w:rFonts w:ascii="Century" w:hAnsi="Century" w:cs="Miriam" w:hint="eastAsia"/>
          <w:b/>
          <w:spacing w:val="0"/>
          <w:szCs w:val="24"/>
          <w:rtl/>
        </w:rPr>
        <w:t>זיו</w:t>
      </w:r>
      <w:r w:rsidRPr="00D87434">
        <w:rPr>
          <w:rFonts w:ascii="Century" w:hAnsi="Century" w:cs="Miriam"/>
          <w:b/>
          <w:spacing w:val="0"/>
          <w:szCs w:val="24"/>
          <w:rtl/>
        </w:rPr>
        <w:t xml:space="preserve"> </w:t>
      </w:r>
      <w:r w:rsidRPr="00D87434">
        <w:rPr>
          <w:rFonts w:ascii="Century" w:hAnsi="Century" w:cs="Miriam" w:hint="eastAsia"/>
          <w:b/>
          <w:spacing w:val="0"/>
          <w:szCs w:val="24"/>
          <w:rtl/>
        </w:rPr>
        <w:t>נ</w:t>
      </w:r>
      <w:r w:rsidRPr="00D87434">
        <w:rPr>
          <w:rFonts w:ascii="Century" w:hAnsi="Century" w:cs="Miriam"/>
          <w:b/>
          <w:spacing w:val="0"/>
          <w:szCs w:val="24"/>
          <w:rtl/>
        </w:rPr>
        <w:t xml:space="preserve">' </w:t>
      </w:r>
      <w:r w:rsidRPr="00D87434">
        <w:rPr>
          <w:rFonts w:ascii="Century" w:hAnsi="Century" w:cs="Miriam" w:hint="eastAsia"/>
          <w:b/>
          <w:spacing w:val="0"/>
          <w:szCs w:val="24"/>
          <w:rtl/>
        </w:rPr>
        <w:t>גוברניק</w:t>
      </w:r>
      <w:r>
        <w:rPr>
          <w:rFonts w:hint="cs"/>
          <w:rtl/>
        </w:rPr>
        <w:t xml:space="preserve">)). </w:t>
      </w:r>
      <w:r w:rsidRPr="007F598A">
        <w:rPr>
          <w:rFonts w:ascii="Century" w:hAnsi="Century" w:hint="eastAsia"/>
          <w:rtl/>
        </w:rPr>
        <w:t>האם</w:t>
      </w:r>
      <w:r w:rsidRPr="007F598A">
        <w:rPr>
          <w:rFonts w:ascii="Century" w:hAnsi="Century"/>
          <w:rtl/>
        </w:rPr>
        <w:t xml:space="preserve"> ההכרה ב</w:t>
      </w:r>
      <w:r>
        <w:rPr>
          <w:rFonts w:ascii="Century" w:hAnsi="Century" w:hint="cs"/>
          <w:rtl/>
        </w:rPr>
        <w:t>מ</w:t>
      </w:r>
      <w:r w:rsidRPr="007F598A">
        <w:rPr>
          <w:rFonts w:ascii="Century" w:hAnsi="Century"/>
          <w:rtl/>
        </w:rPr>
        <w:t xml:space="preserve">גבלות החלות על </w:t>
      </w:r>
      <w:r w:rsidRPr="007F598A">
        <w:rPr>
          <w:rFonts w:ascii="Century" w:hAnsi="Century" w:hint="eastAsia"/>
          <w:rtl/>
        </w:rPr>
        <w:t>הכנסת</w:t>
      </w:r>
      <w:r w:rsidRPr="007F598A">
        <w:rPr>
          <w:rFonts w:ascii="Century" w:hAnsi="Century"/>
          <w:rtl/>
        </w:rPr>
        <w:t xml:space="preserve">, </w:t>
      </w:r>
      <w:r w:rsidRPr="007F598A">
        <w:rPr>
          <w:rFonts w:ascii="Century" w:hAnsi="Century" w:hint="eastAsia"/>
          <w:rtl/>
        </w:rPr>
        <w:t>בכובעה</w:t>
      </w:r>
      <w:r w:rsidRPr="007F598A">
        <w:rPr>
          <w:rFonts w:ascii="Century" w:hAnsi="Century"/>
          <w:rtl/>
        </w:rPr>
        <w:t xml:space="preserve"> </w:t>
      </w:r>
      <w:r w:rsidRPr="007F598A">
        <w:rPr>
          <w:rFonts w:ascii="Century" w:hAnsi="Century" w:hint="eastAsia"/>
          <w:rtl/>
        </w:rPr>
        <w:t>כרשות</w:t>
      </w:r>
      <w:r w:rsidRPr="007F598A">
        <w:rPr>
          <w:rFonts w:ascii="Century" w:hAnsi="Century"/>
          <w:rtl/>
        </w:rPr>
        <w:t xml:space="preserve"> </w:t>
      </w:r>
      <w:r w:rsidRPr="007F598A">
        <w:rPr>
          <w:rFonts w:ascii="Century" w:hAnsi="Century" w:hint="eastAsia"/>
          <w:rtl/>
        </w:rPr>
        <w:t>מכוננת</w:t>
      </w:r>
      <w:r w:rsidRPr="007F598A">
        <w:rPr>
          <w:rFonts w:ascii="Century" w:hAnsi="Century"/>
          <w:rtl/>
        </w:rPr>
        <w:t xml:space="preserve">, </w:t>
      </w:r>
      <w:r w:rsidRPr="007F598A">
        <w:rPr>
          <w:rFonts w:ascii="Century" w:hAnsi="Century" w:hint="eastAsia"/>
          <w:rtl/>
        </w:rPr>
        <w:t>אשר</w:t>
      </w:r>
      <w:r w:rsidRPr="007F598A">
        <w:rPr>
          <w:rFonts w:ascii="Century" w:hAnsi="Century"/>
          <w:rtl/>
        </w:rPr>
        <w:t xml:space="preserve"> </w:t>
      </w:r>
      <w:r w:rsidRPr="007F598A">
        <w:rPr>
          <w:rFonts w:ascii="Century" w:hAnsi="Century" w:hint="eastAsia"/>
          <w:rtl/>
        </w:rPr>
        <w:t>הועברו</w:t>
      </w:r>
      <w:r w:rsidRPr="007F598A">
        <w:rPr>
          <w:rFonts w:ascii="Century" w:hAnsi="Century"/>
          <w:rtl/>
        </w:rPr>
        <w:t xml:space="preserve"> </w:t>
      </w:r>
      <w:r w:rsidRPr="007F598A">
        <w:rPr>
          <w:rFonts w:ascii="Century" w:hAnsi="Century" w:hint="eastAsia"/>
          <w:rtl/>
        </w:rPr>
        <w:t>אליה</w:t>
      </w:r>
      <w:r w:rsidRPr="007F598A">
        <w:rPr>
          <w:rFonts w:ascii="Century" w:hAnsi="Century"/>
          <w:rtl/>
        </w:rPr>
        <w:t xml:space="preserve"> "בירושה" </w:t>
      </w:r>
      <w:r w:rsidRPr="007F598A">
        <w:rPr>
          <w:rFonts w:ascii="Century" w:hAnsi="Century" w:hint="eastAsia"/>
          <w:rtl/>
        </w:rPr>
        <w:t>מהאסיפה</w:t>
      </w:r>
      <w:r w:rsidRPr="007F598A">
        <w:rPr>
          <w:rFonts w:ascii="Century" w:hAnsi="Century"/>
          <w:rtl/>
        </w:rPr>
        <w:t xml:space="preserve"> </w:t>
      </w:r>
      <w:r w:rsidRPr="007F598A">
        <w:rPr>
          <w:rFonts w:ascii="Century" w:hAnsi="Century" w:hint="eastAsia"/>
          <w:rtl/>
        </w:rPr>
        <w:t>המכוננת</w:t>
      </w:r>
      <w:r w:rsidRPr="007F598A">
        <w:rPr>
          <w:rFonts w:ascii="Century" w:hAnsi="Century"/>
          <w:rtl/>
        </w:rPr>
        <w:t xml:space="preserve"> </w:t>
      </w:r>
      <w:r w:rsidRPr="007F598A">
        <w:rPr>
          <w:rFonts w:ascii="Century" w:hAnsi="Century" w:hint="eastAsia"/>
          <w:rtl/>
        </w:rPr>
        <w:t>סוטה</w:t>
      </w:r>
      <w:r w:rsidRPr="007F598A">
        <w:rPr>
          <w:rFonts w:ascii="Century" w:hAnsi="Century"/>
          <w:rtl/>
        </w:rPr>
        <w:t xml:space="preserve"> מהלכה זו? אינני סבורה </w:t>
      </w:r>
      <w:r w:rsidRPr="007F598A">
        <w:rPr>
          <w:rFonts w:ascii="Century" w:hAnsi="Century" w:hint="eastAsia"/>
          <w:rtl/>
        </w:rPr>
        <w:t>כן</w:t>
      </w:r>
      <w:r w:rsidRPr="007F598A">
        <w:rPr>
          <w:rFonts w:ascii="Century" w:hAnsi="Century"/>
          <w:rtl/>
        </w:rPr>
        <w:t xml:space="preserve">. </w:t>
      </w:r>
    </w:p>
    <w:p w:rsidR="00E31875" w:rsidRDefault="00E31875" w:rsidP="00E31875">
      <w:pPr>
        <w:spacing w:line="360" w:lineRule="auto"/>
        <w:jc w:val="both"/>
        <w:rPr>
          <w:rFonts w:ascii="FrankRuehl" w:hAnsi="FrankRuehl" w:cs="FrankRuehl"/>
          <w:sz w:val="28"/>
          <w:szCs w:val="28"/>
          <w:rtl/>
        </w:rPr>
      </w:pPr>
    </w:p>
    <w:p w:rsidR="00E31875" w:rsidRPr="007F598A" w:rsidRDefault="00E31875" w:rsidP="00E31875">
      <w:pPr>
        <w:pStyle w:val="Ruller41"/>
        <w:rPr>
          <w:rFonts w:ascii="Century" w:hAnsi="Century"/>
          <w:rtl/>
        </w:rPr>
      </w:pPr>
      <w:r w:rsidRPr="007F598A">
        <w:rPr>
          <w:rFonts w:ascii="Century" w:hAnsi="Century"/>
          <w:rtl/>
        </w:rPr>
        <w:t xml:space="preserve">9. </w:t>
      </w:r>
      <w:r w:rsidRPr="007F598A">
        <w:rPr>
          <w:rFonts w:ascii="Century" w:hAnsi="Century"/>
          <w:rtl/>
        </w:rPr>
        <w:tab/>
      </w:r>
      <w:r w:rsidRPr="007F598A">
        <w:rPr>
          <w:rFonts w:ascii="Century" w:hAnsi="Century" w:hint="eastAsia"/>
          <w:rtl/>
        </w:rPr>
        <w:t>לצורך</w:t>
      </w:r>
      <w:r w:rsidRPr="007F598A">
        <w:rPr>
          <w:rFonts w:ascii="Century" w:hAnsi="Century"/>
          <w:rtl/>
        </w:rPr>
        <w:t xml:space="preserve"> </w:t>
      </w:r>
      <w:r w:rsidRPr="007F598A">
        <w:rPr>
          <w:rFonts w:ascii="Century" w:hAnsi="Century" w:hint="eastAsia"/>
          <w:rtl/>
        </w:rPr>
        <w:t>מתן</w:t>
      </w:r>
      <w:r w:rsidRPr="007F598A">
        <w:rPr>
          <w:rFonts w:ascii="Century" w:hAnsi="Century"/>
          <w:rtl/>
        </w:rPr>
        <w:t xml:space="preserve"> מענה על </w:t>
      </w:r>
      <w:r w:rsidRPr="007F598A">
        <w:rPr>
          <w:rFonts w:ascii="Century" w:hAnsi="Century" w:hint="eastAsia"/>
          <w:rtl/>
        </w:rPr>
        <w:t>כך</w:t>
      </w:r>
      <w:r w:rsidRPr="007F598A">
        <w:rPr>
          <w:rFonts w:ascii="Century" w:hAnsi="Century"/>
          <w:rtl/>
        </w:rPr>
        <w:t xml:space="preserve">, יש להבחין בין שתי </w:t>
      </w:r>
      <w:r w:rsidRPr="007F598A">
        <w:rPr>
          <w:rFonts w:ascii="Century" w:hAnsi="Century" w:hint="eastAsia"/>
          <w:rtl/>
        </w:rPr>
        <w:t>גישות</w:t>
      </w:r>
      <w:r w:rsidRPr="007F598A">
        <w:rPr>
          <w:rFonts w:ascii="Century" w:hAnsi="Century"/>
          <w:rtl/>
        </w:rPr>
        <w:t xml:space="preserve"> אפשריות ביחס להשלכותיה של הכרזת העצמאות על המשפט החוקתי של ישראל, </w:t>
      </w:r>
      <w:r w:rsidRPr="007F598A">
        <w:rPr>
          <w:rFonts w:ascii="Century" w:hAnsi="Century" w:hint="eastAsia"/>
          <w:rtl/>
        </w:rPr>
        <w:t>ובאופן</w:t>
      </w:r>
      <w:r w:rsidRPr="007F598A">
        <w:rPr>
          <w:rFonts w:ascii="Century" w:hAnsi="Century"/>
          <w:rtl/>
        </w:rPr>
        <w:t xml:space="preserve"> </w:t>
      </w:r>
      <w:r w:rsidRPr="007F598A">
        <w:rPr>
          <w:rFonts w:ascii="Century" w:hAnsi="Century" w:hint="eastAsia"/>
          <w:rtl/>
        </w:rPr>
        <w:t>יותר</w:t>
      </w:r>
      <w:r w:rsidRPr="007F598A">
        <w:rPr>
          <w:rFonts w:ascii="Century" w:hAnsi="Century"/>
          <w:rtl/>
        </w:rPr>
        <w:t xml:space="preserve"> </w:t>
      </w:r>
      <w:r w:rsidRPr="007F598A">
        <w:rPr>
          <w:rFonts w:ascii="Century" w:hAnsi="Century" w:hint="eastAsia"/>
          <w:rtl/>
        </w:rPr>
        <w:t>קונקרטי</w:t>
      </w:r>
      <w:r w:rsidRPr="007F598A">
        <w:rPr>
          <w:rFonts w:ascii="Century" w:hAnsi="Century"/>
          <w:rtl/>
        </w:rPr>
        <w:t xml:space="preserve">, </w:t>
      </w:r>
      <w:r w:rsidRPr="007F598A">
        <w:rPr>
          <w:rFonts w:ascii="Century" w:hAnsi="Century" w:hint="eastAsia"/>
          <w:rtl/>
        </w:rPr>
        <w:t>ביחס</w:t>
      </w:r>
      <w:r w:rsidRPr="007F598A">
        <w:rPr>
          <w:rFonts w:ascii="Century" w:hAnsi="Century"/>
          <w:rtl/>
        </w:rPr>
        <w:t xml:space="preserve"> </w:t>
      </w:r>
      <w:r w:rsidRPr="007F598A">
        <w:rPr>
          <w:rFonts w:ascii="Century" w:hAnsi="Century" w:hint="eastAsia"/>
          <w:rtl/>
        </w:rPr>
        <w:t>לשימוש</w:t>
      </w:r>
      <w:r w:rsidRPr="007F598A">
        <w:rPr>
          <w:rFonts w:ascii="Century" w:hAnsi="Century"/>
          <w:rtl/>
        </w:rPr>
        <w:t xml:space="preserve"> </w:t>
      </w:r>
      <w:r w:rsidRPr="007F598A">
        <w:rPr>
          <w:rFonts w:ascii="Century" w:hAnsi="Century" w:hint="eastAsia"/>
          <w:rtl/>
        </w:rPr>
        <w:t>בה</w:t>
      </w:r>
      <w:r w:rsidRPr="007F598A">
        <w:rPr>
          <w:rFonts w:ascii="Century" w:hAnsi="Century"/>
          <w:rtl/>
        </w:rPr>
        <w:t xml:space="preserve"> </w:t>
      </w:r>
      <w:r w:rsidRPr="007F598A">
        <w:rPr>
          <w:rFonts w:ascii="Century" w:hAnsi="Century" w:hint="eastAsia"/>
          <w:rtl/>
        </w:rPr>
        <w:t>ככלי</w:t>
      </w:r>
      <w:r w:rsidRPr="007F598A">
        <w:rPr>
          <w:rFonts w:ascii="Century" w:hAnsi="Century"/>
          <w:rtl/>
        </w:rPr>
        <w:t xml:space="preserve"> </w:t>
      </w:r>
      <w:r w:rsidRPr="007F598A">
        <w:rPr>
          <w:rFonts w:ascii="Century" w:hAnsi="Century" w:hint="eastAsia"/>
          <w:rtl/>
        </w:rPr>
        <w:t>להפעלת</w:t>
      </w:r>
      <w:r w:rsidRPr="007F598A">
        <w:rPr>
          <w:rFonts w:ascii="Century" w:hAnsi="Century"/>
          <w:rtl/>
        </w:rPr>
        <w:t xml:space="preserve"> </w:t>
      </w:r>
      <w:r w:rsidRPr="007F598A">
        <w:rPr>
          <w:rFonts w:ascii="Century" w:hAnsi="Century" w:hint="eastAsia"/>
          <w:rtl/>
        </w:rPr>
        <w:t>ביקורת</w:t>
      </w:r>
      <w:r w:rsidRPr="007F598A">
        <w:rPr>
          <w:rFonts w:ascii="Century" w:hAnsi="Century"/>
          <w:rtl/>
        </w:rPr>
        <w:t xml:space="preserve"> </w:t>
      </w:r>
      <w:r w:rsidRPr="007F598A">
        <w:rPr>
          <w:rFonts w:ascii="Century" w:hAnsi="Century" w:hint="eastAsia"/>
          <w:rtl/>
        </w:rPr>
        <w:t>שיפוטית</w:t>
      </w:r>
      <w:r w:rsidRPr="007F598A">
        <w:rPr>
          <w:rFonts w:ascii="Century" w:hAnsi="Century"/>
          <w:rtl/>
        </w:rPr>
        <w:t xml:space="preserve">. </w:t>
      </w:r>
      <w:r w:rsidRPr="007F598A">
        <w:rPr>
          <w:rFonts w:ascii="Century" w:hAnsi="Century" w:hint="eastAsia"/>
          <w:rtl/>
        </w:rPr>
        <w:t>אקדים</w:t>
      </w:r>
      <w:r w:rsidRPr="007F598A">
        <w:rPr>
          <w:rFonts w:ascii="Century" w:hAnsi="Century"/>
          <w:rtl/>
        </w:rPr>
        <w:t xml:space="preserve"> ואציין </w:t>
      </w:r>
      <w:r w:rsidRPr="007F598A">
        <w:rPr>
          <w:rFonts w:ascii="Century" w:hAnsi="Century" w:hint="eastAsia"/>
          <w:rtl/>
        </w:rPr>
        <w:t>כי</w:t>
      </w:r>
      <w:r w:rsidRPr="007F598A">
        <w:rPr>
          <w:rFonts w:ascii="Century" w:hAnsi="Century"/>
          <w:rtl/>
        </w:rPr>
        <w:t xml:space="preserve"> </w:t>
      </w:r>
      <w:r w:rsidRPr="007F598A">
        <w:rPr>
          <w:rFonts w:ascii="Century" w:hAnsi="Century" w:hint="eastAsia"/>
          <w:rtl/>
        </w:rPr>
        <w:t>לצורך</w:t>
      </w:r>
      <w:r w:rsidRPr="007F598A">
        <w:rPr>
          <w:rFonts w:ascii="Century" w:hAnsi="Century"/>
          <w:rtl/>
        </w:rPr>
        <w:t xml:space="preserve"> </w:t>
      </w:r>
      <w:r w:rsidRPr="007F598A">
        <w:rPr>
          <w:rFonts w:ascii="Century" w:hAnsi="Century" w:hint="eastAsia"/>
          <w:rtl/>
        </w:rPr>
        <w:t>הדיון</w:t>
      </w:r>
      <w:r w:rsidRPr="007F598A">
        <w:rPr>
          <w:rFonts w:ascii="Century" w:hAnsi="Century"/>
          <w:rtl/>
        </w:rPr>
        <w:t xml:space="preserve"> </w:t>
      </w:r>
      <w:r w:rsidRPr="007F598A">
        <w:rPr>
          <w:rFonts w:ascii="Century" w:hAnsi="Century" w:hint="eastAsia"/>
          <w:rtl/>
        </w:rPr>
        <w:t>שבפנינו</w:t>
      </w:r>
      <w:r w:rsidRPr="007F598A">
        <w:rPr>
          <w:rFonts w:ascii="Century" w:hAnsi="Century"/>
          <w:rtl/>
        </w:rPr>
        <w:t xml:space="preserve"> </w:t>
      </w:r>
      <w:r w:rsidRPr="007F598A">
        <w:rPr>
          <w:rFonts w:ascii="Century" w:hAnsi="Century" w:hint="eastAsia"/>
          <w:rtl/>
        </w:rPr>
        <w:t>די</w:t>
      </w:r>
      <w:r w:rsidRPr="007F598A">
        <w:rPr>
          <w:rFonts w:ascii="Century" w:hAnsi="Century"/>
          <w:rtl/>
        </w:rPr>
        <w:t xml:space="preserve"> </w:t>
      </w:r>
      <w:r w:rsidRPr="007F598A">
        <w:rPr>
          <w:rFonts w:ascii="Century" w:hAnsi="Century" w:hint="eastAsia"/>
          <w:rtl/>
        </w:rPr>
        <w:t>לנו</w:t>
      </w:r>
      <w:r w:rsidRPr="007F598A">
        <w:rPr>
          <w:rFonts w:ascii="Century" w:hAnsi="Century"/>
          <w:rtl/>
        </w:rPr>
        <w:t xml:space="preserve"> </w:t>
      </w:r>
      <w:r w:rsidRPr="007F598A">
        <w:rPr>
          <w:rFonts w:ascii="Century" w:hAnsi="Century" w:hint="eastAsia"/>
          <w:rtl/>
        </w:rPr>
        <w:t>בקבלת</w:t>
      </w:r>
      <w:r w:rsidRPr="007F598A">
        <w:rPr>
          <w:rFonts w:ascii="Century" w:hAnsi="Century"/>
          <w:rtl/>
        </w:rPr>
        <w:t xml:space="preserve"> </w:t>
      </w:r>
      <w:r w:rsidRPr="007F598A">
        <w:rPr>
          <w:rFonts w:ascii="Century" w:hAnsi="Century" w:hint="eastAsia"/>
          <w:rtl/>
        </w:rPr>
        <w:t>הגישה</w:t>
      </w:r>
      <w:r w:rsidRPr="007F598A">
        <w:rPr>
          <w:rFonts w:ascii="Century" w:hAnsi="Century"/>
          <w:rtl/>
        </w:rPr>
        <w:t xml:space="preserve"> השנייה, </w:t>
      </w:r>
      <w:r w:rsidRPr="007F598A">
        <w:rPr>
          <w:rFonts w:ascii="Century" w:hAnsi="Century" w:hint="eastAsia"/>
          <w:rtl/>
        </w:rPr>
        <w:t>המצומצמת</w:t>
      </w:r>
      <w:r w:rsidRPr="007F598A">
        <w:rPr>
          <w:rFonts w:ascii="Century" w:hAnsi="Century"/>
          <w:rtl/>
        </w:rPr>
        <w:t xml:space="preserve"> </w:t>
      </w:r>
      <w:r w:rsidRPr="007F598A">
        <w:rPr>
          <w:rFonts w:ascii="Century" w:hAnsi="Century" w:hint="eastAsia"/>
          <w:rtl/>
        </w:rPr>
        <w:t>יותר</w:t>
      </w:r>
      <w:r w:rsidRPr="007F598A">
        <w:rPr>
          <w:rFonts w:ascii="Century" w:hAnsi="Century"/>
          <w:rtl/>
        </w:rPr>
        <w:t>.</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10. </w:t>
      </w:r>
      <w:r>
        <w:rPr>
          <w:rFonts w:hint="cs"/>
          <w:rtl/>
        </w:rPr>
        <w:tab/>
      </w:r>
      <w:r w:rsidRPr="00D87434">
        <w:rPr>
          <w:rFonts w:ascii="Century" w:hAnsi="Century" w:cs="Miriam" w:hint="eastAsia"/>
          <w:b/>
          <w:spacing w:val="0"/>
          <w:szCs w:val="24"/>
          <w:rtl/>
        </w:rPr>
        <w:t>הגישה</w:t>
      </w:r>
      <w:r w:rsidRPr="00D87434">
        <w:rPr>
          <w:rFonts w:ascii="Century" w:hAnsi="Century" w:cs="Miriam"/>
          <w:b/>
          <w:spacing w:val="0"/>
          <w:szCs w:val="24"/>
          <w:rtl/>
        </w:rPr>
        <w:t xml:space="preserve"> </w:t>
      </w:r>
      <w:r w:rsidRPr="00D87434">
        <w:rPr>
          <w:rFonts w:ascii="Century" w:hAnsi="Century" w:cs="Miriam" w:hint="eastAsia"/>
          <w:b/>
          <w:spacing w:val="0"/>
          <w:szCs w:val="24"/>
          <w:rtl/>
        </w:rPr>
        <w:t>הראשונה</w:t>
      </w:r>
      <w:r w:rsidRPr="00D87434">
        <w:rPr>
          <w:rFonts w:hint="cs"/>
          <w:rtl/>
        </w:rPr>
        <w:t xml:space="preserve"> </w:t>
      </w:r>
      <w:r w:rsidRPr="007F598A">
        <w:rPr>
          <w:rFonts w:ascii="Century" w:hAnsi="Century"/>
          <w:rtl/>
        </w:rPr>
        <w:t xml:space="preserve">– </w:t>
      </w:r>
      <w:r w:rsidRPr="007F598A">
        <w:rPr>
          <w:rFonts w:ascii="Century" w:hAnsi="Century" w:hint="eastAsia"/>
          <w:rtl/>
        </w:rPr>
        <w:t>גישה</w:t>
      </w:r>
      <w:r w:rsidRPr="007F598A">
        <w:rPr>
          <w:rFonts w:ascii="Century" w:hAnsi="Century"/>
          <w:rtl/>
        </w:rPr>
        <w:t xml:space="preserve"> זו גורסת כי </w:t>
      </w:r>
      <w:r w:rsidRPr="007F598A">
        <w:rPr>
          <w:rFonts w:ascii="Century" w:hAnsi="Century" w:hint="eastAsia"/>
          <w:rtl/>
        </w:rPr>
        <w:t>הכרזת</w:t>
      </w:r>
      <w:r w:rsidRPr="007F598A">
        <w:rPr>
          <w:rFonts w:ascii="Century" w:hAnsi="Century"/>
          <w:rtl/>
        </w:rPr>
        <w:t xml:space="preserve"> העצמאות היא שמקנה לכנסת את הסמכות לחוקק הן חוקים רגילים</w:t>
      </w:r>
      <w:r>
        <w:rPr>
          <w:rFonts w:ascii="Century" w:hAnsi="Century" w:hint="cs"/>
          <w:rtl/>
        </w:rPr>
        <w:t xml:space="preserve"> והן חוקי יסוד</w:t>
      </w:r>
      <w:r w:rsidRPr="007F598A">
        <w:rPr>
          <w:rFonts w:ascii="Century" w:hAnsi="Century"/>
          <w:rtl/>
        </w:rPr>
        <w:t xml:space="preserve">, ולכן </w:t>
      </w:r>
      <w:r w:rsidRPr="007F598A">
        <w:rPr>
          <w:rFonts w:ascii="Century" w:hAnsi="Century" w:hint="eastAsia"/>
          <w:rtl/>
        </w:rPr>
        <w:t>הנורמות</w:t>
      </w:r>
      <w:r w:rsidRPr="007F598A">
        <w:rPr>
          <w:rFonts w:ascii="Century" w:hAnsi="Century"/>
          <w:rtl/>
        </w:rPr>
        <w:t xml:space="preserve"> </w:t>
      </w:r>
      <w:r w:rsidRPr="007F598A">
        <w:rPr>
          <w:rFonts w:ascii="Century" w:hAnsi="Century" w:hint="eastAsia"/>
          <w:rtl/>
        </w:rPr>
        <w:t>הקבועות</w:t>
      </w:r>
      <w:r w:rsidRPr="007F598A">
        <w:rPr>
          <w:rFonts w:ascii="Century" w:hAnsi="Century"/>
          <w:rtl/>
        </w:rPr>
        <w:t xml:space="preserve"> בה </w:t>
      </w:r>
      <w:r w:rsidRPr="007F598A">
        <w:rPr>
          <w:rFonts w:ascii="Century" w:hAnsi="Century" w:hint="eastAsia"/>
          <w:rtl/>
        </w:rPr>
        <w:t>מגדירות</w:t>
      </w:r>
      <w:r w:rsidRPr="007F598A">
        <w:rPr>
          <w:rFonts w:ascii="Century" w:hAnsi="Century"/>
          <w:rtl/>
        </w:rPr>
        <w:t xml:space="preserve"> </w:t>
      </w:r>
      <w:r w:rsidRPr="007F598A">
        <w:rPr>
          <w:rFonts w:ascii="Century" w:hAnsi="Century" w:hint="eastAsia"/>
          <w:rtl/>
        </w:rPr>
        <w:t>את</w:t>
      </w:r>
      <w:r w:rsidRPr="007F598A">
        <w:rPr>
          <w:rFonts w:ascii="Century" w:hAnsi="Century"/>
          <w:rtl/>
        </w:rPr>
        <w:t xml:space="preserve"> </w:t>
      </w:r>
      <w:r w:rsidRPr="007F598A">
        <w:rPr>
          <w:rFonts w:ascii="Century" w:hAnsi="Century" w:hint="eastAsia"/>
          <w:rtl/>
        </w:rPr>
        <w:t>מתחם</w:t>
      </w:r>
      <w:r w:rsidRPr="007F598A">
        <w:rPr>
          <w:rFonts w:ascii="Century" w:hAnsi="Century"/>
          <w:rtl/>
        </w:rPr>
        <w:t xml:space="preserve"> </w:t>
      </w:r>
      <w:r w:rsidRPr="007F598A">
        <w:rPr>
          <w:rFonts w:ascii="Century" w:hAnsi="Century" w:hint="eastAsia"/>
          <w:rtl/>
        </w:rPr>
        <w:t>פעילותה</w:t>
      </w:r>
      <w:r w:rsidRPr="007F598A">
        <w:rPr>
          <w:rFonts w:ascii="Century" w:hAnsi="Century"/>
          <w:rtl/>
        </w:rPr>
        <w:t xml:space="preserve"> </w:t>
      </w:r>
      <w:r w:rsidRPr="007F598A">
        <w:rPr>
          <w:rFonts w:ascii="Century" w:hAnsi="Century" w:hint="eastAsia"/>
          <w:rtl/>
        </w:rPr>
        <w:t>של</w:t>
      </w:r>
      <w:r w:rsidRPr="007F598A">
        <w:rPr>
          <w:rFonts w:ascii="Century" w:hAnsi="Century"/>
          <w:rtl/>
        </w:rPr>
        <w:t xml:space="preserve"> </w:t>
      </w:r>
      <w:r w:rsidRPr="007F598A">
        <w:rPr>
          <w:rFonts w:ascii="Century" w:hAnsi="Century" w:hint="eastAsia"/>
          <w:rtl/>
        </w:rPr>
        <w:t>הכנסת</w:t>
      </w:r>
      <w:r w:rsidRPr="007F598A">
        <w:rPr>
          <w:rFonts w:ascii="Century" w:hAnsi="Century"/>
          <w:rtl/>
        </w:rPr>
        <w:t xml:space="preserve"> </w:t>
      </w:r>
      <w:r w:rsidRPr="007F598A">
        <w:rPr>
          <w:rFonts w:ascii="Century" w:hAnsi="Century" w:hint="eastAsia"/>
          <w:rtl/>
        </w:rPr>
        <w:t>בין</w:t>
      </w:r>
      <w:r w:rsidRPr="007F598A">
        <w:rPr>
          <w:rFonts w:ascii="Century" w:hAnsi="Century"/>
          <w:rtl/>
        </w:rPr>
        <w:t xml:space="preserve"> </w:t>
      </w:r>
      <w:r w:rsidRPr="007F598A">
        <w:rPr>
          <w:rFonts w:ascii="Century" w:hAnsi="Century" w:hint="eastAsia"/>
          <w:rtl/>
        </w:rPr>
        <w:t>בפועלה</w:t>
      </w:r>
      <w:r w:rsidRPr="007F598A">
        <w:rPr>
          <w:rFonts w:ascii="Century" w:hAnsi="Century"/>
          <w:rtl/>
        </w:rPr>
        <w:t xml:space="preserve"> </w:t>
      </w:r>
      <w:r w:rsidRPr="007F598A">
        <w:rPr>
          <w:rFonts w:ascii="Century" w:hAnsi="Century" w:hint="eastAsia"/>
          <w:rtl/>
        </w:rPr>
        <w:t>כרשות</w:t>
      </w:r>
      <w:r w:rsidRPr="007F598A">
        <w:rPr>
          <w:rFonts w:ascii="Century" w:hAnsi="Century"/>
          <w:rtl/>
        </w:rPr>
        <w:t xml:space="preserve"> </w:t>
      </w:r>
      <w:r>
        <w:rPr>
          <w:rFonts w:ascii="Century" w:hAnsi="Century" w:hint="cs"/>
          <w:rtl/>
        </w:rPr>
        <w:t>מחוקקת</w:t>
      </w:r>
      <w:r w:rsidRPr="007F598A">
        <w:rPr>
          <w:rFonts w:ascii="Century" w:hAnsi="Century"/>
          <w:rtl/>
        </w:rPr>
        <w:t xml:space="preserve"> </w:t>
      </w:r>
      <w:r w:rsidRPr="007F598A">
        <w:rPr>
          <w:rFonts w:ascii="Century" w:hAnsi="Century" w:hint="eastAsia"/>
          <w:rtl/>
        </w:rPr>
        <w:t>ובין</w:t>
      </w:r>
      <w:r w:rsidRPr="007F598A">
        <w:rPr>
          <w:rFonts w:ascii="Century" w:hAnsi="Century"/>
          <w:rtl/>
        </w:rPr>
        <w:t xml:space="preserve"> </w:t>
      </w:r>
      <w:r w:rsidRPr="007F598A">
        <w:rPr>
          <w:rFonts w:ascii="Century" w:hAnsi="Century" w:hint="eastAsia"/>
          <w:rtl/>
        </w:rPr>
        <w:t>כרשות</w:t>
      </w:r>
      <w:r w:rsidRPr="007F598A">
        <w:rPr>
          <w:rFonts w:ascii="Century" w:hAnsi="Century"/>
          <w:rtl/>
        </w:rPr>
        <w:t xml:space="preserve"> </w:t>
      </w:r>
      <w:r>
        <w:rPr>
          <w:rFonts w:ascii="Century" w:hAnsi="Century" w:hint="cs"/>
          <w:rtl/>
        </w:rPr>
        <w:t>מכוננת</w:t>
      </w:r>
      <w:r w:rsidRPr="007F598A">
        <w:rPr>
          <w:rFonts w:ascii="Century" w:hAnsi="Century"/>
          <w:rtl/>
        </w:rPr>
        <w:t xml:space="preserve">. </w:t>
      </w:r>
      <w:r w:rsidRPr="007F598A">
        <w:rPr>
          <w:rFonts w:ascii="Century" w:hAnsi="Century" w:hint="eastAsia"/>
          <w:rtl/>
        </w:rPr>
        <w:t>זו</w:t>
      </w:r>
      <w:r w:rsidRPr="007F598A">
        <w:rPr>
          <w:rFonts w:ascii="Century" w:hAnsi="Century"/>
          <w:rtl/>
        </w:rPr>
        <w:t xml:space="preserve"> </w:t>
      </w:r>
      <w:r w:rsidRPr="007F598A">
        <w:rPr>
          <w:rFonts w:ascii="Century" w:hAnsi="Century" w:hint="eastAsia"/>
          <w:rtl/>
        </w:rPr>
        <w:t>הגישה</w:t>
      </w:r>
      <w:r w:rsidRPr="007F598A">
        <w:rPr>
          <w:rFonts w:ascii="Century" w:hAnsi="Century"/>
          <w:rtl/>
        </w:rPr>
        <w:t xml:space="preserve"> </w:t>
      </w:r>
      <w:r w:rsidRPr="007F598A">
        <w:rPr>
          <w:rFonts w:ascii="Century" w:hAnsi="Century" w:hint="eastAsia"/>
          <w:rtl/>
        </w:rPr>
        <w:t>שבה</w:t>
      </w:r>
      <w:r w:rsidRPr="007F598A">
        <w:rPr>
          <w:rFonts w:ascii="Century" w:hAnsi="Century"/>
          <w:rtl/>
        </w:rPr>
        <w:t xml:space="preserve"> </w:t>
      </w:r>
      <w:r w:rsidRPr="007F598A">
        <w:rPr>
          <w:rFonts w:ascii="Century" w:hAnsi="Century" w:hint="eastAsia"/>
          <w:rtl/>
        </w:rPr>
        <w:t>מחזיק</w:t>
      </w:r>
      <w:r w:rsidRPr="007F598A">
        <w:rPr>
          <w:rFonts w:ascii="Century" w:hAnsi="Century"/>
          <w:rtl/>
        </w:rPr>
        <w:t xml:space="preserve"> </w:t>
      </w:r>
      <w:r w:rsidRPr="007F598A">
        <w:rPr>
          <w:rFonts w:ascii="Century" w:hAnsi="Century" w:hint="eastAsia"/>
          <w:rtl/>
        </w:rPr>
        <w:t>חברי</w:t>
      </w:r>
      <w:r w:rsidRPr="007F598A">
        <w:rPr>
          <w:rFonts w:ascii="Century" w:hAnsi="Century"/>
          <w:rtl/>
        </w:rPr>
        <w:t xml:space="preserve"> </w:t>
      </w:r>
      <w:r w:rsidRPr="007F598A">
        <w:rPr>
          <w:rFonts w:ascii="Century" w:hAnsi="Century" w:hint="eastAsia"/>
          <w:rtl/>
        </w:rPr>
        <w:t>השופט</w:t>
      </w:r>
      <w:r>
        <w:rPr>
          <w:rFonts w:hint="cs"/>
          <w:rtl/>
        </w:rPr>
        <w:t xml:space="preserve"> </w:t>
      </w:r>
      <w:r w:rsidRPr="00D87434">
        <w:rPr>
          <w:rFonts w:ascii="Century" w:hAnsi="Century" w:cs="Miriam" w:hint="eastAsia"/>
          <w:b/>
          <w:spacing w:val="0"/>
          <w:szCs w:val="24"/>
          <w:rtl/>
        </w:rPr>
        <w:t>א</w:t>
      </w:r>
      <w:r w:rsidRPr="00D87434">
        <w:rPr>
          <w:rFonts w:ascii="Century" w:hAnsi="Century" w:cs="Miriam"/>
          <w:b/>
          <w:spacing w:val="0"/>
          <w:szCs w:val="24"/>
          <w:rtl/>
        </w:rPr>
        <w:t xml:space="preserve">' </w:t>
      </w:r>
      <w:r w:rsidRPr="00D87434">
        <w:rPr>
          <w:rFonts w:ascii="Century" w:hAnsi="Century" w:cs="Miriam" w:hint="eastAsia"/>
          <w:b/>
          <w:spacing w:val="0"/>
          <w:szCs w:val="24"/>
          <w:rtl/>
        </w:rPr>
        <w:t>שטיין</w:t>
      </w:r>
      <w:r>
        <w:rPr>
          <w:rFonts w:hint="cs"/>
          <w:rtl/>
        </w:rPr>
        <w:t xml:space="preserve">. בפסק דינו בבג"ץ 5119/23 </w:t>
      </w:r>
      <w:r w:rsidRPr="00D87434">
        <w:rPr>
          <w:rFonts w:ascii="Century" w:hAnsi="Century" w:cs="Miriam" w:hint="cs"/>
          <w:b/>
          <w:spacing w:val="0"/>
          <w:szCs w:val="24"/>
          <w:rtl/>
        </w:rPr>
        <w:t>התנועה לטוהר המידות נ' הכנסת</w:t>
      </w:r>
      <w:r w:rsidRPr="006D385B">
        <w:rPr>
          <w:rFonts w:hint="cs"/>
          <w:rtl/>
        </w:rPr>
        <w:t xml:space="preserve"> </w:t>
      </w:r>
      <w:r>
        <w:rPr>
          <w:rFonts w:hint="cs"/>
          <w:rtl/>
        </w:rPr>
        <w:t xml:space="preserve">(26.10.2023), התמקד חברי באפשרות לקיים ביקורת שיפוטית על חקיקה רגילה מכוחה של הכרזת העצמאות, ובכך סטה מההלכה הפסוקה שנקבעה בעניין </w:t>
      </w:r>
      <w:r w:rsidRPr="00D87434">
        <w:rPr>
          <w:rFonts w:ascii="Century" w:hAnsi="Century" w:cs="Miriam" w:hint="eastAsia"/>
          <w:b/>
          <w:spacing w:val="0"/>
          <w:szCs w:val="24"/>
          <w:rtl/>
        </w:rPr>
        <w:t>זיו</w:t>
      </w:r>
      <w:r w:rsidRPr="00D87434">
        <w:rPr>
          <w:rFonts w:ascii="Century" w:hAnsi="Century" w:cs="Miriam"/>
          <w:b/>
          <w:spacing w:val="0"/>
          <w:szCs w:val="24"/>
          <w:rtl/>
        </w:rPr>
        <w:t xml:space="preserve"> </w:t>
      </w:r>
      <w:r w:rsidRPr="00D87434">
        <w:rPr>
          <w:rFonts w:ascii="Century" w:hAnsi="Century" w:cs="Miriam" w:hint="eastAsia"/>
          <w:b/>
          <w:spacing w:val="0"/>
          <w:szCs w:val="24"/>
          <w:rtl/>
        </w:rPr>
        <w:t>נ</w:t>
      </w:r>
      <w:r w:rsidRPr="00D87434">
        <w:rPr>
          <w:rFonts w:ascii="Century" w:hAnsi="Century" w:cs="Miriam"/>
          <w:b/>
          <w:spacing w:val="0"/>
          <w:szCs w:val="24"/>
          <w:rtl/>
        </w:rPr>
        <w:t xml:space="preserve">' </w:t>
      </w:r>
      <w:r w:rsidRPr="00D87434">
        <w:rPr>
          <w:rFonts w:ascii="Century" w:hAnsi="Century" w:cs="Miriam" w:hint="eastAsia"/>
          <w:b/>
          <w:spacing w:val="0"/>
          <w:szCs w:val="24"/>
          <w:rtl/>
        </w:rPr>
        <w:t>גוברניק</w:t>
      </w:r>
      <w:r w:rsidRPr="00D87434">
        <w:rPr>
          <w:rFonts w:hint="cs"/>
          <w:rtl/>
        </w:rPr>
        <w:t xml:space="preserve"> </w:t>
      </w:r>
      <w:r>
        <w:rPr>
          <w:rFonts w:hint="cs"/>
          <w:rtl/>
        </w:rPr>
        <w:t xml:space="preserve">לפיה ההכרזה אינה יכולה לשמש בסיס נורמטיבי לכך. יש להודות: מבחינות מסוימות, הגישה המוצעת על-ידי חברי השופט </w:t>
      </w:r>
      <w:r w:rsidRPr="00111D9C">
        <w:rPr>
          <w:rFonts w:ascii="Century" w:hAnsi="Century" w:cs="Miriam" w:hint="eastAsia"/>
          <w:b/>
          <w:szCs w:val="24"/>
          <w:rtl/>
        </w:rPr>
        <w:t>שטיין</w:t>
      </w:r>
      <w:r>
        <w:rPr>
          <w:rFonts w:hint="cs"/>
          <w:rtl/>
        </w:rPr>
        <w:t xml:space="preserve"> היא שובת לב, אך היא גם מעוררת שאלות וקשיים רבים. די יהיה בכך שאציין כי לכאורה גישה זו שומטת את הקרקע תחת פסיקה בת עשרות שנים באשר למעמדה הנורמטיבי של הכרזת העצמאות ולאפשרות לבסס עליה ביקורת שיפוטית על חקיקה רגילה (</w:t>
      </w:r>
      <w:r w:rsidRPr="00111D9C">
        <w:rPr>
          <w:rtl/>
        </w:rPr>
        <w:t>ראו</w:t>
      </w:r>
      <w:r>
        <w:rPr>
          <w:rFonts w:hint="cs"/>
          <w:rtl/>
        </w:rPr>
        <w:t xml:space="preserve"> למשל</w:t>
      </w:r>
      <w:r w:rsidRPr="00111D9C">
        <w:rPr>
          <w:rtl/>
        </w:rPr>
        <w:t xml:space="preserve">: ע"א 450/70 </w:t>
      </w:r>
      <w:r w:rsidRPr="00D87434">
        <w:rPr>
          <w:rFonts w:ascii="Century" w:hAnsi="Century" w:cs="Miriam"/>
          <w:b/>
          <w:spacing w:val="0"/>
          <w:szCs w:val="24"/>
          <w:rtl/>
        </w:rPr>
        <w:t>רוגוזינסקי נ' מדינת ישראל</w:t>
      </w:r>
      <w:r w:rsidRPr="00111D9C">
        <w:rPr>
          <w:rtl/>
        </w:rPr>
        <w:t xml:space="preserve">, פ"ד כו(1) 129, </w:t>
      </w:r>
      <w:r>
        <w:rPr>
          <w:rFonts w:hint="cs"/>
          <w:rtl/>
        </w:rPr>
        <w:t>136</w:t>
      </w:r>
      <w:r w:rsidRPr="00111D9C">
        <w:rPr>
          <w:rtl/>
        </w:rPr>
        <w:t>-</w:t>
      </w:r>
      <w:r>
        <w:rPr>
          <w:rFonts w:hint="cs"/>
          <w:rtl/>
        </w:rPr>
        <w:t>134</w:t>
      </w:r>
      <w:r w:rsidRPr="00111D9C">
        <w:rPr>
          <w:rtl/>
        </w:rPr>
        <w:t xml:space="preserve"> (1971)). </w:t>
      </w:r>
      <w:r>
        <w:rPr>
          <w:rFonts w:hint="cs"/>
          <w:rtl/>
        </w:rPr>
        <w:t xml:space="preserve">במקרה שבפנינו, מסביר חברי השופט </w:t>
      </w:r>
      <w:r w:rsidRPr="00D87434">
        <w:rPr>
          <w:rFonts w:ascii="Century" w:hAnsi="Century" w:cs="Miriam" w:hint="cs"/>
          <w:b/>
          <w:spacing w:val="0"/>
          <w:szCs w:val="24"/>
          <w:rtl/>
        </w:rPr>
        <w:t>שטיין</w:t>
      </w:r>
      <w:r>
        <w:rPr>
          <w:rFonts w:hint="cs"/>
          <w:rtl/>
        </w:rPr>
        <w:t xml:space="preserve"> כי מנקודת מבטו הדברים יפים, בשינויים המחויבים, גם ביחס לביקורת שיפוטית על חוקי יסוד. בהמשך לכך, אני מבקשת להבהיר, כי בעוד ההתבססות </w:t>
      </w:r>
      <w:r>
        <w:rPr>
          <w:rFonts w:hint="cs"/>
          <w:rtl/>
        </w:rPr>
        <w:lastRenderedPageBreak/>
        <w:t>על הכרזת העצמאות לצורך ביקורת על חקיקה רגילה מעוררת בעיניי קשיים, הפנייה אליה לצורך ביקורת על חוק יסוד היא ראויה, ולאמיתו של דבר "מתלכדת" עם הגישה השנייה שאתאר להלן.</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11. </w:t>
      </w:r>
      <w:r>
        <w:rPr>
          <w:rFonts w:hint="cs"/>
          <w:rtl/>
        </w:rPr>
        <w:tab/>
      </w:r>
      <w:r w:rsidRPr="00D87434">
        <w:rPr>
          <w:rFonts w:ascii="Century" w:hAnsi="Century" w:cs="Miriam" w:hint="cs"/>
          <w:b/>
          <w:spacing w:val="0"/>
          <w:szCs w:val="24"/>
          <w:rtl/>
        </w:rPr>
        <w:t>הגישה השנייה</w:t>
      </w:r>
      <w:r w:rsidRPr="00D87434">
        <w:rPr>
          <w:rFonts w:hint="cs"/>
          <w:rtl/>
        </w:rPr>
        <w:t xml:space="preserve"> </w:t>
      </w:r>
      <w:r>
        <w:rPr>
          <w:rtl/>
        </w:rPr>
        <w:t>–</w:t>
      </w:r>
      <w:r>
        <w:rPr>
          <w:rFonts w:hint="cs"/>
          <w:rtl/>
        </w:rPr>
        <w:t xml:space="preserve"> בשונה מקודמתה, גישה זו גורסת שהכרזת העצמאות עצמה, מאחר שאינה חוקה, אינה יכולה לשמש בסיס לביקורת על חקיקה רגילה. לצד זאת, מאחר שבהכרזה נקבעה המסגרת להסדרת החוקה היא מטילה מגבלות בסיסיות על תוכנה של אותה חוקה. בהתאם לכך, הכרזת העצמאות יכולה לשמש אמת מידה לשאלה של חריגה מסמכותה של הרשות המכוננת (להבדיל מכלי לביקורת שיפוטית על חקיקה רגילה). גישה זו היא המנחה אותי כאן. לשיטתי, הכרזת העצמאות מטילה מגבלות על כינונה של חוקה על-ידי האסיפה המכוננת, ולימים, על-ידי הכנסת. התבססות על הכרזת העצמאות לצורך ביקורת על חוקי יסוד בלבד (במצבי קיצון), להבדיל מחקיקה רגילה, מתיישבת עם תפקידה ההיסטורי כמסמך שמכוחו נבחרה האסיפה המכוננת. לפי גישה זו, הכרזת העצמאות נועדה לקבוע את עקרונות המסגרת לחוקה שתתקבל (ובמונחי הימים האלה לחוקי היסוד), ולא לחקיקה רגילה. בנקודה זו חשוב להבהיר: שאלת המגבלות החלות על האסיפה המכוננת כלל לא נדונה בפסקי דינו המוקדמים של בית משפט זה, כדוגמת עניין </w:t>
      </w:r>
      <w:r w:rsidRPr="00D87434">
        <w:rPr>
          <w:rFonts w:ascii="Century" w:hAnsi="Century" w:cs="Miriam" w:hint="eastAsia"/>
          <w:b/>
          <w:spacing w:val="0"/>
          <w:szCs w:val="24"/>
          <w:rtl/>
        </w:rPr>
        <w:t>זיו</w:t>
      </w:r>
      <w:r w:rsidRPr="00D87434">
        <w:rPr>
          <w:rFonts w:ascii="Century" w:hAnsi="Century" w:cs="Miriam"/>
          <w:b/>
          <w:spacing w:val="0"/>
          <w:szCs w:val="24"/>
          <w:rtl/>
        </w:rPr>
        <w:t xml:space="preserve"> נ' </w:t>
      </w:r>
      <w:r w:rsidRPr="00D87434">
        <w:rPr>
          <w:rFonts w:ascii="Century" w:hAnsi="Century" w:cs="Miriam" w:hint="eastAsia"/>
          <w:b/>
          <w:spacing w:val="0"/>
          <w:szCs w:val="24"/>
          <w:rtl/>
        </w:rPr>
        <w:t>גוברניק</w:t>
      </w:r>
      <w:r>
        <w:rPr>
          <w:rFonts w:hint="cs"/>
          <w:rtl/>
        </w:rPr>
        <w:t xml:space="preserve">. בעניין זה אינני רואה עין בעין עם חברי השופט </w:t>
      </w:r>
      <w:r w:rsidRPr="00D87434">
        <w:rPr>
          <w:rFonts w:ascii="Century" w:hAnsi="Century" w:cs="Miriam" w:hint="cs"/>
          <w:b/>
          <w:spacing w:val="0"/>
          <w:szCs w:val="24"/>
          <w:rtl/>
        </w:rPr>
        <w:t>ע' גרוסקופף</w:t>
      </w:r>
      <w:r w:rsidRPr="00D87434">
        <w:rPr>
          <w:rFonts w:hint="cs"/>
          <w:rtl/>
        </w:rPr>
        <w:t xml:space="preserve"> </w:t>
      </w:r>
      <w:r>
        <w:rPr>
          <w:rFonts w:hint="cs"/>
          <w:rtl/>
        </w:rPr>
        <w:t xml:space="preserve">המציין כי פסיקתו של בית משפט זה קבעה שהכרזת העצמאות אינה מגבילה את הסמכות המכוננת. הפסיקה שעסקה בנושא זה קבעה רק כי הכרזת העצמאות אינה מגבילה את הסמכות המחוקקת. הטעם לכך הוא פשוט: באותה עת טרם נחקקו חוקי יסוד, ולפיכך בית משפט זה נדרש להכריע רק בשאלה אם ניתן להסתמך על הכרזת העצמאות במישרין כעל חוקה מהותית (לצורך ביקורת שיפוטית על חקיקה רגילה). למעשה, אני סבורה שהבחנה זו המוצעת על-ידי נותנת מענה לביקורת שמתח חברי השופט </w:t>
      </w:r>
      <w:r w:rsidRPr="00D87434">
        <w:rPr>
          <w:rFonts w:ascii="Century" w:hAnsi="Century" w:cs="Miriam" w:hint="cs"/>
          <w:b/>
          <w:spacing w:val="0"/>
          <w:szCs w:val="24"/>
          <w:rtl/>
        </w:rPr>
        <w:t>ד' מינץ</w:t>
      </w:r>
      <w:r w:rsidRPr="00D87434">
        <w:rPr>
          <w:rFonts w:hint="cs"/>
          <w:rtl/>
        </w:rPr>
        <w:t xml:space="preserve"> </w:t>
      </w:r>
      <w:r>
        <w:rPr>
          <w:rFonts w:hint="cs"/>
          <w:rtl/>
        </w:rPr>
        <w:t>על הפיכתה של הכרזת העצמאות למעין חוקה. הכרזת העצמאות אינה חוקה, אך משמשת תשתית לחוקי היסוד, ועל כן גם תוחמת את גבולותיה של הסמכות המכוננת.</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12. </w:t>
      </w:r>
      <w:r>
        <w:rPr>
          <w:rFonts w:hint="cs"/>
          <w:rtl/>
        </w:rPr>
        <w:tab/>
        <w:t xml:space="preserve">בהינתן מעמדה הנורמטיבי של הכרזת העצמאות לפי הגישה השנייה, והסמכות המכוננת המוקנית מכוחה לכנסת, השאלה העומדת לפתחנו כעת היא מהם אותם עקרונות הקבועים במגילת העצמאות ומגבילים את הסמכות המכוננת? עקרונות אלו קשורים בטבורם להנחת היסוד המוסדית של הכרזת העצמאות: היותה של מדינת ישראל מדינה יהודית ודמוקרטית. אמנם, כידוע, הכרזת העצמאות לא עשתה שימוש מפורש במילה "דמוקרטיה" (להרחבה על ההיסטוריה של הכרזת העצמאות בהקשר זה, ראו: יורם שחר </w:t>
      </w:r>
      <w:r w:rsidRPr="00D87434">
        <w:rPr>
          <w:rFonts w:ascii="Century" w:hAnsi="Century" w:cs="Miriam" w:hint="eastAsia"/>
          <w:b/>
          <w:spacing w:val="0"/>
          <w:szCs w:val="24"/>
          <w:rtl/>
        </w:rPr>
        <w:t>כבוד</w:t>
      </w:r>
      <w:r w:rsidRPr="00D87434">
        <w:rPr>
          <w:rFonts w:ascii="Century" w:hAnsi="Century" w:cs="Miriam"/>
          <w:b/>
          <w:spacing w:val="0"/>
          <w:szCs w:val="24"/>
          <w:rtl/>
        </w:rPr>
        <w:t xml:space="preserve">, </w:t>
      </w:r>
      <w:r w:rsidRPr="00D87434">
        <w:rPr>
          <w:rFonts w:ascii="Century" w:hAnsi="Century" w:cs="Miriam" w:hint="eastAsia"/>
          <w:b/>
          <w:spacing w:val="0"/>
          <w:szCs w:val="24"/>
          <w:rtl/>
        </w:rPr>
        <w:t>חירות</w:t>
      </w:r>
      <w:r w:rsidRPr="00D87434">
        <w:rPr>
          <w:rFonts w:ascii="Century" w:hAnsi="Century" w:cs="Miriam"/>
          <w:b/>
          <w:spacing w:val="0"/>
          <w:szCs w:val="24"/>
          <w:rtl/>
        </w:rPr>
        <w:t xml:space="preserve"> </w:t>
      </w:r>
      <w:r w:rsidRPr="00D87434">
        <w:rPr>
          <w:rFonts w:ascii="Century" w:hAnsi="Century" w:cs="Miriam" w:hint="eastAsia"/>
          <w:b/>
          <w:spacing w:val="0"/>
          <w:szCs w:val="24"/>
          <w:rtl/>
        </w:rPr>
        <w:t>ועמל</w:t>
      </w:r>
      <w:r w:rsidRPr="00D87434">
        <w:rPr>
          <w:rFonts w:ascii="Century" w:hAnsi="Century" w:cs="Miriam"/>
          <w:b/>
          <w:spacing w:val="0"/>
          <w:szCs w:val="24"/>
          <w:rtl/>
        </w:rPr>
        <w:t xml:space="preserve">-ישרים: </w:t>
      </w:r>
      <w:r w:rsidRPr="00D87434">
        <w:rPr>
          <w:rFonts w:ascii="Century" w:hAnsi="Century" w:cs="Miriam" w:hint="eastAsia"/>
          <w:b/>
          <w:spacing w:val="0"/>
          <w:szCs w:val="24"/>
          <w:rtl/>
        </w:rPr>
        <w:t>סיפור</w:t>
      </w:r>
      <w:r w:rsidRPr="00D87434">
        <w:rPr>
          <w:rFonts w:ascii="Century" w:hAnsi="Century" w:cs="Miriam"/>
          <w:b/>
          <w:spacing w:val="0"/>
          <w:szCs w:val="24"/>
          <w:rtl/>
        </w:rPr>
        <w:t xml:space="preserve"> </w:t>
      </w:r>
      <w:r w:rsidRPr="00D87434">
        <w:rPr>
          <w:rFonts w:ascii="Century" w:hAnsi="Century" w:cs="Miriam" w:hint="eastAsia"/>
          <w:b/>
          <w:spacing w:val="0"/>
          <w:szCs w:val="24"/>
          <w:rtl/>
        </w:rPr>
        <w:t>חיבורה</w:t>
      </w:r>
      <w:r w:rsidRPr="00D87434">
        <w:rPr>
          <w:rFonts w:ascii="Century" w:hAnsi="Century" w:cs="Miriam"/>
          <w:b/>
          <w:spacing w:val="0"/>
          <w:szCs w:val="24"/>
          <w:rtl/>
        </w:rPr>
        <w:t xml:space="preserve"> </w:t>
      </w:r>
      <w:r w:rsidRPr="00D87434">
        <w:rPr>
          <w:rFonts w:ascii="Century" w:hAnsi="Century" w:cs="Miriam" w:hint="eastAsia"/>
          <w:b/>
          <w:spacing w:val="0"/>
          <w:szCs w:val="24"/>
          <w:rtl/>
        </w:rPr>
        <w:t>של</w:t>
      </w:r>
      <w:r w:rsidRPr="00D87434">
        <w:rPr>
          <w:rFonts w:ascii="Century" w:hAnsi="Century" w:cs="Miriam"/>
          <w:b/>
          <w:spacing w:val="0"/>
          <w:szCs w:val="24"/>
          <w:rtl/>
        </w:rPr>
        <w:t xml:space="preserve"> </w:t>
      </w:r>
      <w:r w:rsidRPr="00D87434">
        <w:rPr>
          <w:rFonts w:ascii="Century" w:hAnsi="Century" w:cs="Miriam" w:hint="eastAsia"/>
          <w:b/>
          <w:spacing w:val="0"/>
          <w:szCs w:val="24"/>
          <w:rtl/>
        </w:rPr>
        <w:t>הכרזת</w:t>
      </w:r>
      <w:r w:rsidRPr="00D87434">
        <w:rPr>
          <w:rFonts w:ascii="Century" w:hAnsi="Century" w:cs="Miriam"/>
          <w:b/>
          <w:spacing w:val="0"/>
          <w:szCs w:val="24"/>
          <w:rtl/>
        </w:rPr>
        <w:t xml:space="preserve"> </w:t>
      </w:r>
      <w:r w:rsidRPr="00D87434">
        <w:rPr>
          <w:rFonts w:ascii="Century" w:hAnsi="Century" w:cs="Miriam" w:hint="eastAsia"/>
          <w:b/>
          <w:spacing w:val="0"/>
          <w:szCs w:val="24"/>
          <w:rtl/>
        </w:rPr>
        <w:t>העצמאות</w:t>
      </w:r>
      <w:r>
        <w:rPr>
          <w:rFonts w:hint="cs"/>
          <w:rtl/>
        </w:rPr>
        <w:t xml:space="preserve"> 268-260 (2021)). הטעם לכך הוא שהכרזת העצמאות לא נועדה להיות מנוסחת בלשון לגליסטית וטכנית. עם זאת, </w:t>
      </w:r>
      <w:r>
        <w:rPr>
          <w:rFonts w:hint="cs"/>
          <w:rtl/>
        </w:rPr>
        <w:lastRenderedPageBreak/>
        <w:t xml:space="preserve">עיקר מאפייניה של השיטה הדמוקרטית טבועים בה. כך למשל, הכרתה של הכרזת העצמאות ב"שויון זכויות חברתי ומדיני גמור" היא הבסיס לקיומן של בחירות דמוקרטיות על בסיס של שוויון. כמו כן, ההבטחה הגלומה בה לפיתוח הארץ "לטובת כל תושביה" מבטאת את מחויבותה של המדינה לפעול לא רק לטובתה של קבוצת הרוב, אלא עבור כלל אזרחי המדינה ותושביה. במובן זה הכרזת העצמאות דוחה את התפיסה שהשלטון בישראל מחויב רק לרצונו של הרוב. על כך יש להוסיף, כי הכרזת העצמאות קובעת שכללי היסוד של השיטה המשפטית יעוגנו בחוקה על-ידי האסיפה המכוננת הנבחרת. היא מוסיפה וקובעת, כי עד לקיום הבחירות ניהול המדינה ייעשה במתכונת של הפרדת רשויות </w:t>
      </w:r>
      <w:r>
        <w:rPr>
          <w:rtl/>
        </w:rPr>
        <w:t>–</w:t>
      </w:r>
      <w:r>
        <w:rPr>
          <w:rFonts w:hint="cs"/>
          <w:rtl/>
        </w:rPr>
        <w:t xml:space="preserve"> כך שמועצת העם תפעל כמועצת המדינה הזמנית (כלומר, הרשות המחוקקת) ואילו מִנהלת העם תפעל כממשלה הזמנית (כלומר, הרשות המבצעת). זאת ועוד, ההכרזה מצהירה אמונים "לעקרונותיה של מגילת האומות המאוחדות" ומייסדת עצמה, בין השאר, על החלטתה של העצרת הכללית של האו"ם מיום 29 בנובמבר 1947, שכללה הוראות מפורשות המופנות כלפי המדינות שנועדו לקום על-פיה </w:t>
      </w:r>
      <w:r>
        <w:rPr>
          <w:rtl/>
        </w:rPr>
        <w:t>–</w:t>
      </w:r>
      <w:r>
        <w:rPr>
          <w:rFonts w:hint="cs"/>
          <w:rtl/>
        </w:rPr>
        <w:t xml:space="preserve"> בדבר עריכת בחירות המקנות זכות בחירה לכול, וכן בדבר הקמת מוסדות שלטון שמקיימים הפרדת רשויות (תוך הבחנה, גם כאן, בין הרשות המחוקקת לרשות המבצעת). עיון במרכיבים אלה כולם מלמד שהכרזת העצמאות חזתה לא רק מדינה ששיטת המשטר בה היא דמוקרטית, אלא גם כזו שמשתיתה את ניהול ענייניה על אדני החוק.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13. </w:t>
      </w:r>
      <w:r>
        <w:rPr>
          <w:rFonts w:hint="cs"/>
          <w:rtl/>
        </w:rPr>
        <w:tab/>
        <w:t xml:space="preserve">ומכאן לסוגיה המשלימה, שבה נדרשת הכרעתנו </w:t>
      </w:r>
      <w:r>
        <w:rPr>
          <w:rtl/>
        </w:rPr>
        <w:t>–</w:t>
      </w:r>
      <w:r>
        <w:rPr>
          <w:rFonts w:hint="cs"/>
          <w:rtl/>
        </w:rPr>
        <w:t xml:space="preserve"> שאלת סמכותו של בית משפט זה לקיים ביקורת שיפוטית על מנת לבחון אם ישנה חריגה מגדרי סמכותה של הרשות המכוננת. </w:t>
      </w:r>
    </w:p>
    <w:p w:rsidR="00E31875" w:rsidRDefault="00E31875" w:rsidP="00E31875">
      <w:pPr>
        <w:pStyle w:val="Ruller41"/>
        <w:rPr>
          <w:rtl/>
        </w:rPr>
      </w:pPr>
    </w:p>
    <w:p w:rsidR="00E31875" w:rsidRDefault="00E31875" w:rsidP="00E31875">
      <w:pPr>
        <w:pStyle w:val="Ruller41"/>
        <w:rPr>
          <w:rtl/>
        </w:rPr>
      </w:pPr>
      <w:r>
        <w:rPr>
          <w:rFonts w:hint="cs"/>
          <w:rtl/>
        </w:rPr>
        <w:t xml:space="preserve">14. </w:t>
      </w:r>
      <w:r>
        <w:rPr>
          <w:rFonts w:hint="cs"/>
          <w:rtl/>
        </w:rPr>
        <w:tab/>
        <w:t xml:space="preserve">משיבי הממשלה טענו כי קיום ביקורת שיפוטית על חקיקת יסוד חורגת מסטנדרטים חוקתיים מקובלים בעולם. באופן יותר ספציפי, טענו משיבי הממשלה כי ביקורת כזו מתאימה לשיטות משפט שכללו מגבלות על תיקונים חוקתיים מסוימים בחוקותיהן (כמו בחוק היסוד הגרמני) או למקרי קצה שתוארו כלא מייצגים או כשונים במאפייניהם מהשיטה הישראלית (תוך הפנייה, למשל, להלכה הפסוקה בהודו). אני סבורה שטיעון זה אינו מביא בחשבון מאפיין המייחד את המשפט החוקתי בישראל, ואשר מצדיק הכרה בסמכות לקיים ביקורת שיפוטית (גם אם מצומצמת וחריגה) על הפעלתה של הסמכות המכוננת: ה"קלות הבלתי נסבלת" של תיקון חוקי יסוד בישראל (כפי שמדגימים חבריי הנשיאה (בדימ') </w:t>
      </w:r>
      <w:r w:rsidRPr="00D87434">
        <w:rPr>
          <w:rFonts w:ascii="Century" w:hAnsi="Century" w:cs="Miriam" w:hint="eastAsia"/>
          <w:b/>
          <w:spacing w:val="0"/>
          <w:szCs w:val="24"/>
          <w:rtl/>
        </w:rPr>
        <w:t>חיות</w:t>
      </w:r>
      <w:r>
        <w:rPr>
          <w:rFonts w:hint="cs"/>
          <w:rtl/>
        </w:rPr>
        <w:t xml:space="preserve"> והשופט </w:t>
      </w:r>
      <w:r w:rsidRPr="00D87434">
        <w:rPr>
          <w:rFonts w:ascii="Century" w:hAnsi="Century" w:cs="Miriam" w:hint="cs"/>
          <w:b/>
          <w:spacing w:val="0"/>
          <w:szCs w:val="24"/>
          <w:rtl/>
        </w:rPr>
        <w:t>י' עמית</w:t>
      </w:r>
      <w:r>
        <w:rPr>
          <w:rFonts w:hint="cs"/>
          <w:rtl/>
        </w:rPr>
        <w:t xml:space="preserve">). ככל שאישורו של תיקון חוקתי כרוך במגבלות קשיחות יותר המהוות ערובה עקיפה להתאמתו לתפיסות היסוד החוקתיות (כדוגמת הליכי חקיקה ממושכים ומורכבים יותר ודרישות של רוב מיוחס) כן קטן מלכתחילה הצורך ב"שסתום ביטחון" של ביקורת על תיקונים חוקתיים, ולהפך. כך </w:t>
      </w:r>
      <w:r>
        <w:rPr>
          <w:rFonts w:hint="cs"/>
          <w:rtl/>
        </w:rPr>
        <w:lastRenderedPageBreak/>
        <w:t xml:space="preserve">הסברתי בעבר ביחס לביקורת על שימוש לרעה בחוק יסוד (ראו: עניין </w:t>
      </w:r>
      <w:r w:rsidRPr="00D87434">
        <w:rPr>
          <w:rFonts w:ascii="Century" w:hAnsi="Century" w:cs="Miriam" w:hint="eastAsia"/>
          <w:b/>
          <w:spacing w:val="0"/>
          <w:szCs w:val="24"/>
          <w:rtl/>
        </w:rPr>
        <w:t>שפיר</w:t>
      </w:r>
      <w:r>
        <w:rPr>
          <w:rFonts w:hint="cs"/>
          <w:rtl/>
        </w:rPr>
        <w:t>, בפסקה 8 לפסק דיני),</w:t>
      </w:r>
      <w:r w:rsidRPr="00CB66BA">
        <w:rPr>
          <w:rFonts w:hint="cs"/>
          <w:rtl/>
        </w:rPr>
        <w:t xml:space="preserve"> </w:t>
      </w:r>
      <w:r>
        <w:rPr>
          <w:rFonts w:hint="cs"/>
          <w:rtl/>
        </w:rPr>
        <w:t>והדברים יפים בשינויים המחויבים גם להצדקת ביקורת שיפוטית על חריגה מגבולות סמכותה של הרשות המכוננת. והנה, בישראל לא נדרש רוב מיוחד לשם חקיקת חוק יסוד. למעשה, הפרוצדורה לחקיקת חוק יסוד, או לתיקונו (למעט סעיפים ספציפיים שהם סעיפים משורייני</w:t>
      </w:r>
      <w:r>
        <w:rPr>
          <w:rFonts w:hint="eastAsia"/>
          <w:rtl/>
        </w:rPr>
        <w:t>ם</w:t>
      </w:r>
      <w:r>
        <w:rPr>
          <w:rFonts w:hint="cs"/>
          <w:rtl/>
        </w:rPr>
        <w:t xml:space="preserve">) אינה שונה בדבר מן הפרוצדורה לחקיקת חוק רגיל. בהינתן מאפייני יסוד אלה של השיטה החוקתית בישראל, אני מצטרפת למסקנתם של חבריי הנשיאה (בדימ') </w:t>
      </w:r>
      <w:r w:rsidRPr="00D87434">
        <w:rPr>
          <w:rFonts w:ascii="Century" w:hAnsi="Century" w:cs="Miriam" w:hint="cs"/>
          <w:b/>
          <w:spacing w:val="0"/>
          <w:szCs w:val="24"/>
          <w:rtl/>
        </w:rPr>
        <w:t>חיות</w:t>
      </w:r>
      <w:r>
        <w:rPr>
          <w:rFonts w:hint="cs"/>
          <w:rtl/>
        </w:rPr>
        <w:t xml:space="preserve"> וממלא מקום הנשיא </w:t>
      </w:r>
      <w:r w:rsidRPr="00D87434">
        <w:rPr>
          <w:rFonts w:ascii="Century" w:hAnsi="Century" w:cs="Miriam" w:hint="cs"/>
          <w:b/>
          <w:spacing w:val="0"/>
          <w:szCs w:val="24"/>
          <w:rtl/>
        </w:rPr>
        <w:t>ע' פוגלמן</w:t>
      </w:r>
      <w:r w:rsidRPr="00D87434">
        <w:rPr>
          <w:rFonts w:hint="cs"/>
          <w:rtl/>
        </w:rPr>
        <w:t xml:space="preserve"> </w:t>
      </w:r>
      <w:r>
        <w:rPr>
          <w:rFonts w:hint="cs"/>
          <w:rtl/>
        </w:rPr>
        <w:t>כי הסמכות לקיים ביקורת שיפוטית על חריגה מן הסמכות המכוננת חייבת ללכת יד ביד עם ההכרה בהגבלה על הסמכות המכוננת.</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15. </w:t>
      </w:r>
      <w:r>
        <w:rPr>
          <w:rFonts w:hint="cs"/>
          <w:rtl/>
        </w:rPr>
        <w:tab/>
        <w:t xml:space="preserve">חברתי השופטת </w:t>
      </w:r>
      <w:r w:rsidRPr="00D87434">
        <w:rPr>
          <w:rFonts w:ascii="Century" w:hAnsi="Century" w:cs="Miriam" w:hint="cs"/>
          <w:b/>
          <w:spacing w:val="0"/>
          <w:szCs w:val="24"/>
          <w:rtl/>
        </w:rPr>
        <w:t>י' וילנר</w:t>
      </w:r>
      <w:r w:rsidRPr="00D87434">
        <w:rPr>
          <w:rFonts w:hint="cs"/>
          <w:rtl/>
        </w:rPr>
        <w:t xml:space="preserve"> </w:t>
      </w:r>
      <w:r>
        <w:rPr>
          <w:rFonts w:hint="cs"/>
          <w:rtl/>
        </w:rPr>
        <w:t xml:space="preserve">הוסיפה והצביעה על סעיף 15(ג) לחוק-יסוד: השפיטה כמקור סמכות פורמאלי </w:t>
      </w:r>
      <w:r w:rsidRPr="003E23F3">
        <w:rPr>
          <w:rtl/>
        </w:rPr>
        <w:t xml:space="preserve">לעריכת ביקורת שיפוטית </w:t>
      </w:r>
      <w:r>
        <w:rPr>
          <w:rFonts w:hint="cs"/>
          <w:rtl/>
        </w:rPr>
        <w:t xml:space="preserve">על תוכנם של חוקי היסוד, והסכימו עמה בנקודה זו גם חלק מחבריי. גם אם אכן ניתן להסתמך על סעיף 15(ג) לחוק-יסוד: השפיטה בחזקת תנא דמסייע במקרים מסוימים (למשל, כאשר מדובר בחוק יסוד שאינו נסב על סמכותו של בית המשפט), אין די בו כדי לבסס מקור סמכות כללי לביקורת שיפוטית על חוקי יסוד. ראשית, אין בכך מענה למצב של תיקון לחוק היסוד שמטרתו היא לבטל או לצמצם את סעיף 15(ג) עצמו. במידה מסוימת, זהו גם אופיו של תיקון מס' 3 (המכוון לצמצום סמכותם של בתי המשפט, ובכללם בית המשפט העליון). שנית, ובמישור עקרוני יותר, המגבלות (במקרים קיצוניים בלבד) על חקיקתם של חוקי יסוד אינן יכולות לנבוע מדבר חקיקה במדרג נורמטיבי זהה, אלא צריכות להיות מעוגנות בעיקרון-על בסיסי. הדברים אמורים, בשינויים המחויבים, אף ביחס להישענות כללית יותר על חוקי היסוד עצמם כמקור סמכות לאפשרות לקיים ביקורת שיפוטית על הפעלתה של הסמכות המכוננת, כפי שהציעה חברתי השופטת </w:t>
      </w:r>
      <w:r w:rsidRPr="00D87434">
        <w:rPr>
          <w:rFonts w:ascii="Century" w:hAnsi="Century" w:cs="Miriam" w:hint="eastAsia"/>
          <w:b/>
          <w:spacing w:val="0"/>
          <w:szCs w:val="24"/>
          <w:rtl/>
        </w:rPr>
        <w:t>ג</w:t>
      </w:r>
      <w:r w:rsidRPr="00D87434">
        <w:rPr>
          <w:rFonts w:ascii="Century" w:hAnsi="Century" w:cs="Miriam"/>
          <w:b/>
          <w:spacing w:val="0"/>
          <w:szCs w:val="24"/>
          <w:rtl/>
        </w:rPr>
        <w:t xml:space="preserve">' </w:t>
      </w:r>
      <w:r w:rsidRPr="00D87434">
        <w:rPr>
          <w:rFonts w:ascii="Century" w:hAnsi="Century" w:cs="Miriam" w:hint="eastAsia"/>
          <w:b/>
          <w:spacing w:val="0"/>
          <w:szCs w:val="24"/>
          <w:rtl/>
        </w:rPr>
        <w:t>כנפי</w:t>
      </w:r>
      <w:r w:rsidRPr="00D87434">
        <w:rPr>
          <w:rFonts w:ascii="Century" w:hAnsi="Century" w:cs="Miriam"/>
          <w:b/>
          <w:spacing w:val="0"/>
          <w:szCs w:val="24"/>
          <w:rtl/>
        </w:rPr>
        <w:t>-שטייניץ</w:t>
      </w:r>
      <w:r w:rsidRPr="00D87434">
        <w:rPr>
          <w:rFonts w:hint="cs"/>
          <w:rtl/>
        </w:rPr>
        <w:t xml:space="preserve"> </w:t>
      </w:r>
      <w:r>
        <w:rPr>
          <w:rFonts w:hint="cs"/>
          <w:rtl/>
        </w:rPr>
        <w:t xml:space="preserve">(בפסקה 13 לפסק דינה). </w:t>
      </w:r>
    </w:p>
    <w:p w:rsidR="00E31875" w:rsidRDefault="00E31875" w:rsidP="00E31875">
      <w:pPr>
        <w:pStyle w:val="Ruller41"/>
        <w:rPr>
          <w:rtl/>
        </w:rPr>
      </w:pPr>
    </w:p>
    <w:p w:rsidR="00E31875" w:rsidRDefault="00E31875" w:rsidP="00E31875">
      <w:pPr>
        <w:pStyle w:val="Ruller41"/>
        <w:rPr>
          <w:rtl/>
        </w:rPr>
      </w:pPr>
      <w:r>
        <w:rPr>
          <w:rFonts w:hint="cs"/>
          <w:rtl/>
        </w:rPr>
        <w:t xml:space="preserve">16. </w:t>
      </w:r>
      <w:r>
        <w:rPr>
          <w:rFonts w:hint="cs"/>
          <w:rtl/>
        </w:rPr>
        <w:tab/>
        <w:t xml:space="preserve">חברי השופט </w:t>
      </w:r>
      <w:r w:rsidRPr="00D87434">
        <w:rPr>
          <w:rFonts w:ascii="Century" w:hAnsi="Century" w:cs="Miriam" w:hint="cs"/>
          <w:b/>
          <w:spacing w:val="0"/>
          <w:szCs w:val="24"/>
          <w:rtl/>
        </w:rPr>
        <w:t>מינץ</w:t>
      </w:r>
      <w:r>
        <w:rPr>
          <w:rFonts w:hint="cs"/>
          <w:rtl/>
        </w:rPr>
        <w:t xml:space="preserve"> תר אחר מקור סמכותו של בית המשפט לקיים ביקורת שיפוטית על חוקי יסוד בתוכנם של חוקים וחוקי יסוד קיימים. את גישתו זו הוא תומך בעקרון חוקיות המינהל, אשר מכוחו כל רשות מינהלית חייבת לפעול בגדרי סמכותה (ובשינויים המחויבים אף ערכאות שיפוטיות). אולם, הלך מחשבה זה אינו מתאים למקרים שבהם הטענה הבסיסית היא של חריגה מעקרונות המשטר החוקתי עצמו. עקרון חוקיות המינהל הוא עיקרון הנמצא "בתוך" השיטה. הוא אחד הביטויים של עקרון שלטון החוק, שהוא מאבני היסוד של המשטר הדמוקרטי שלנו. כאשר התיקון החוקתי משמיט, הלכה למעשה, את הבסיס לעקרונות היסוד של המשטר, החיפוש אחר מקור הסמכה פורמאלי בתוך השיטה עצמה מוביל לפרדוקס מובנה. למעשה, כפי שהסברתי </w:t>
      </w:r>
      <w:r>
        <w:rPr>
          <w:rFonts w:hint="cs"/>
          <w:rtl/>
        </w:rPr>
        <w:lastRenderedPageBreak/>
        <w:t xml:space="preserve">לעיל, משום כך לא הצטרפתי לחברותיי השופטות </w:t>
      </w:r>
      <w:r w:rsidRPr="00D87434">
        <w:rPr>
          <w:rFonts w:ascii="Century" w:hAnsi="Century" w:cs="Miriam" w:hint="cs"/>
          <w:b/>
          <w:spacing w:val="0"/>
          <w:szCs w:val="24"/>
          <w:rtl/>
        </w:rPr>
        <w:t>וילנר</w:t>
      </w:r>
      <w:r>
        <w:rPr>
          <w:rFonts w:hint="cs"/>
          <w:rtl/>
        </w:rPr>
        <w:t xml:space="preserve"> ו-</w:t>
      </w:r>
      <w:r w:rsidRPr="00D87434">
        <w:rPr>
          <w:rFonts w:ascii="Century" w:hAnsi="Century" w:cs="Miriam" w:hint="cs"/>
          <w:b/>
          <w:spacing w:val="0"/>
          <w:szCs w:val="24"/>
          <w:rtl/>
        </w:rPr>
        <w:t xml:space="preserve">כנפי-שטייניץ </w:t>
      </w:r>
      <w:r>
        <w:rPr>
          <w:rFonts w:hint="cs"/>
          <w:rtl/>
        </w:rPr>
        <w:t xml:space="preserve">שניסו לבסס את סמכותו של בית המשפט במקרה זה על חוקי היסוד הקיימים. חוקי היסוד לא יכולים לספק מענה לאתגר, ובכך אני מסכימה עם חברי השופט </w:t>
      </w:r>
      <w:r w:rsidRPr="00D87434">
        <w:rPr>
          <w:rFonts w:ascii="Century" w:hAnsi="Century" w:cs="Miriam" w:hint="cs"/>
          <w:b/>
          <w:spacing w:val="0"/>
          <w:szCs w:val="24"/>
          <w:rtl/>
        </w:rPr>
        <w:t>מינץ</w:t>
      </w:r>
      <w:r>
        <w:rPr>
          <w:rFonts w:hint="cs"/>
          <w:rtl/>
        </w:rPr>
        <w:t xml:space="preserve"> </w:t>
      </w:r>
      <w:r>
        <w:rPr>
          <w:rtl/>
        </w:rPr>
        <w:t>–</w:t>
      </w:r>
      <w:r>
        <w:rPr>
          <w:rFonts w:hint="cs"/>
          <w:rtl/>
        </w:rPr>
        <w:t xml:space="preserve"> אך המסקנה שאני מפיקה מכך הפוכה משלו. לא למותר לציין, שבית משפט זה אף הכיר בעבר </w:t>
      </w:r>
      <w:r>
        <w:rPr>
          <w:rtl/>
        </w:rPr>
        <w:t>–</w:t>
      </w:r>
      <w:r>
        <w:rPr>
          <w:rFonts w:hint="cs"/>
          <w:rtl/>
        </w:rPr>
        <w:t xml:space="preserve"> במקרה של פגיעה בעקרונות היסוד של השיטה </w:t>
      </w:r>
      <w:r>
        <w:rPr>
          <w:rtl/>
        </w:rPr>
        <w:t>–</w:t>
      </w:r>
      <w:r>
        <w:rPr>
          <w:rFonts w:hint="cs"/>
          <w:rtl/>
        </w:rPr>
        <w:t xml:space="preserve"> בחריגה מעקרון חוקיות המינהל, כאשר נפסלה רשימת </w:t>
      </w:r>
      <w:r w:rsidRPr="00E43DE1">
        <w:rPr>
          <w:rtl/>
        </w:rPr>
        <w:t>הסוציאליסטים</w:t>
      </w:r>
      <w:r>
        <w:rPr>
          <w:rFonts w:hint="cs"/>
          <w:rtl/>
        </w:rPr>
        <w:t xml:space="preserve"> מהתמודדות בבחירות לכנסת בפסק הדין הידוע שניתן בע"ב 1/65 </w:t>
      </w:r>
      <w:r w:rsidRPr="00D87434">
        <w:rPr>
          <w:rFonts w:ascii="Century" w:hAnsi="Century" w:cs="Miriam" w:hint="cs"/>
          <w:b/>
          <w:spacing w:val="0"/>
          <w:szCs w:val="24"/>
          <w:rtl/>
        </w:rPr>
        <w:t>ירדור נ' יושב-ראש ועדת הבחירות המרכזית לכנסת השישית</w:t>
      </w:r>
      <w:r>
        <w:rPr>
          <w:rFonts w:hint="cs"/>
          <w:rtl/>
        </w:rPr>
        <w:t xml:space="preserve">, פ"ד יט(3) 365 (1965) (להלן: עניין </w:t>
      </w:r>
      <w:r w:rsidRPr="00D87434">
        <w:rPr>
          <w:rFonts w:ascii="Century" w:hAnsi="Century" w:cs="Miriam" w:hint="cs"/>
          <w:b/>
          <w:spacing w:val="0"/>
          <w:szCs w:val="24"/>
          <w:rtl/>
        </w:rPr>
        <w:t>ירדור</w:t>
      </w:r>
      <w:r>
        <w:rPr>
          <w:rFonts w:ascii="Century" w:hAnsi="Century" w:hint="cs"/>
          <w:rtl/>
        </w:rPr>
        <w:t>)</w:t>
      </w:r>
      <w:r>
        <w:rPr>
          <w:rFonts w:hint="cs"/>
          <w:rtl/>
        </w:rPr>
        <w:t xml:space="preserve"> (כפי שציינתי בהתייחס לגבולות הסמכות המכוננת כבר בעניין </w:t>
      </w:r>
      <w:r w:rsidRPr="00D87434">
        <w:rPr>
          <w:rFonts w:ascii="Century" w:hAnsi="Century" w:cs="Miriam" w:hint="cs"/>
          <w:b/>
          <w:spacing w:val="0"/>
          <w:szCs w:val="24"/>
          <w:rtl/>
        </w:rPr>
        <w:t>חסון</w:t>
      </w:r>
      <w:r>
        <w:rPr>
          <w:rFonts w:hint="cs"/>
          <w:rtl/>
        </w:rPr>
        <w:t>, בפסקה 15 לפסק דיני).</w:t>
      </w:r>
    </w:p>
    <w:p w:rsidR="00E31875" w:rsidRDefault="00E31875" w:rsidP="00E31875">
      <w:pPr>
        <w:pStyle w:val="Ruller41"/>
        <w:rPr>
          <w:rtl/>
        </w:rPr>
      </w:pPr>
    </w:p>
    <w:p w:rsidR="00E31875" w:rsidRPr="00D87434" w:rsidRDefault="00E31875" w:rsidP="00E31875">
      <w:pPr>
        <w:pStyle w:val="Ruller41"/>
        <w:rPr>
          <w:rFonts w:ascii="Century" w:hAnsi="Century" w:cs="Miriam"/>
          <w:b/>
          <w:spacing w:val="0"/>
          <w:szCs w:val="24"/>
          <w:rtl/>
        </w:rPr>
      </w:pPr>
      <w:r w:rsidRPr="00D87434">
        <w:rPr>
          <w:rFonts w:ascii="Century" w:hAnsi="Century" w:cs="Miriam" w:hint="cs"/>
          <w:b/>
          <w:spacing w:val="0"/>
          <w:szCs w:val="24"/>
          <w:rtl/>
        </w:rPr>
        <w:t>מתי יש להכיר בחריגה מהסמכות המכוננת?</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17.</w:t>
      </w:r>
      <w:r>
        <w:rPr>
          <w:rFonts w:hint="cs"/>
          <w:rtl/>
        </w:rPr>
        <w:tab/>
        <w:t xml:space="preserve">בשלב זה, יש להוסיף ולבחון האם תיקון מס' 3 הוא מקרה חריג המצדיק התערבות שיפוטית בו? נקודת המוצא למענה על שאלה זו היא הפסיקה בעניין </w:t>
      </w:r>
      <w:r w:rsidRPr="00D87434">
        <w:rPr>
          <w:rFonts w:ascii="Century" w:hAnsi="Century" w:cs="Miriam" w:hint="eastAsia"/>
          <w:b/>
          <w:spacing w:val="0"/>
          <w:szCs w:val="24"/>
          <w:rtl/>
        </w:rPr>
        <w:t>חסון</w:t>
      </w:r>
      <w:r>
        <w:rPr>
          <w:rFonts w:hint="cs"/>
          <w:rtl/>
        </w:rPr>
        <w:t>, שבה נקבע כי יש מקום להכיר בחריגה מ</w:t>
      </w:r>
      <w:r w:rsidRPr="009F79E5">
        <w:rPr>
          <w:rFonts w:hint="cs"/>
          <w:rtl/>
        </w:rPr>
        <w:t xml:space="preserve">הסמכות המכוננת רק </w:t>
      </w:r>
      <w:r>
        <w:rPr>
          <w:rFonts w:hint="cs"/>
          <w:rtl/>
        </w:rPr>
        <w:t>ב</w:t>
      </w:r>
      <w:r w:rsidRPr="009F79E5">
        <w:rPr>
          <w:rFonts w:hint="cs"/>
          <w:rtl/>
        </w:rPr>
        <w:t xml:space="preserve">אותם מקרים קיצוניים יחסית שבהם </w:t>
      </w:r>
      <w:r>
        <w:rPr>
          <w:rFonts w:hint="cs"/>
          <w:rtl/>
        </w:rPr>
        <w:t>הכנסת פעלה באופן ששולל את מאפייניה הגרעיניים של מדינת ישראל כמדינה "יהודית ודמוקרטית"</w:t>
      </w:r>
      <w:r w:rsidRPr="009F79E5">
        <w:rPr>
          <w:rFonts w:hint="cs"/>
          <w:rtl/>
        </w:rPr>
        <w:t xml:space="preserve">. </w:t>
      </w:r>
      <w:r>
        <w:rPr>
          <w:rFonts w:hint="cs"/>
          <w:rtl/>
        </w:rPr>
        <w:t xml:space="preserve">אני עצמי ציינתי באותו עניין, כי ביקורת שיפוטית כזו אמורה להיות שמורה למקרים של "שבירת כלים" במובן של "הרס בלתי הפיך של השיטה החוקתית" (עניין </w:t>
      </w:r>
      <w:r w:rsidRPr="00D87434">
        <w:rPr>
          <w:rFonts w:ascii="Century" w:hAnsi="Century" w:cs="Miriam" w:hint="cs"/>
          <w:b/>
          <w:spacing w:val="0"/>
          <w:szCs w:val="24"/>
          <w:rtl/>
        </w:rPr>
        <w:t>חסון</w:t>
      </w:r>
      <w:r>
        <w:rPr>
          <w:rFonts w:hint="cs"/>
          <w:rtl/>
        </w:rPr>
        <w:t xml:space="preserve">, בפסקה 16 לפסק דיני). אני מודעת לכך שזהו מבחן צר יחסית, ואני סבורה שהוא אכן מבטא את הגישה הראויה </w:t>
      </w:r>
      <w:r>
        <w:rPr>
          <w:rtl/>
        </w:rPr>
        <w:t>–</w:t>
      </w:r>
      <w:r>
        <w:rPr>
          <w:rFonts w:hint="cs"/>
          <w:rtl/>
        </w:rPr>
        <w:t xml:space="preserve"> "בדחילו ורחימו" </w:t>
      </w:r>
      <w:r>
        <w:rPr>
          <w:rtl/>
        </w:rPr>
        <w:t>–</w:t>
      </w:r>
      <w:r>
        <w:rPr>
          <w:rFonts w:hint="cs"/>
          <w:rtl/>
        </w:rPr>
        <w:t xml:space="preserve"> לביקורת על חוקי יסוד.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18. </w:t>
      </w:r>
      <w:r>
        <w:rPr>
          <w:rFonts w:hint="cs"/>
          <w:rtl/>
        </w:rPr>
        <w:tab/>
        <w:t xml:space="preserve">למעשה, מנקודת מבטי, לא זו בלבד שעלינו להוסיף ולדבוק במבחן מצמצם לביקורת שיפוטית על חוקי יסוד, אלא שמבחן זה צריך להיות בעל אופי פורמאלי וגבולות ברורים, להבדיל ממבחן גמיש הנתון לפרשנות ולשיקול דעת רחב מצד בית המשפט. דווקא משום שבפנינו סוגיה הנוגעת ליסודותיה של השיטה החוקתית, חשוב מאד שהביקורת השיפוטית בתחום זה תהיה מבוססת על עקרונות פשוטים ובהירים יחסית. זהו החיסרון שאני מוצאת במבחנים גמישים ותלויי הקשר, כמו זה של חברתי השופטת </w:t>
      </w:r>
      <w:r w:rsidRPr="00D87434">
        <w:rPr>
          <w:rFonts w:ascii="Century" w:hAnsi="Century" w:cs="Miriam" w:hint="eastAsia"/>
          <w:b/>
          <w:spacing w:val="0"/>
          <w:szCs w:val="24"/>
          <w:rtl/>
        </w:rPr>
        <w:t>ר</w:t>
      </w:r>
      <w:r w:rsidRPr="00D87434">
        <w:rPr>
          <w:rFonts w:ascii="Century" w:hAnsi="Century" w:cs="Miriam"/>
          <w:b/>
          <w:spacing w:val="0"/>
          <w:szCs w:val="24"/>
          <w:rtl/>
        </w:rPr>
        <w:t>'</w:t>
      </w:r>
      <w:r w:rsidRPr="00D87434">
        <w:rPr>
          <w:rFonts w:ascii="Century" w:hAnsi="Century" w:cs="Miriam" w:hint="cs"/>
          <w:b/>
          <w:spacing w:val="0"/>
          <w:szCs w:val="24"/>
          <w:rtl/>
        </w:rPr>
        <w:t xml:space="preserve"> </w:t>
      </w:r>
      <w:r w:rsidRPr="00D87434">
        <w:rPr>
          <w:rFonts w:ascii="Century" w:hAnsi="Century" w:cs="Miriam" w:hint="eastAsia"/>
          <w:b/>
          <w:spacing w:val="0"/>
          <w:szCs w:val="24"/>
          <w:rtl/>
        </w:rPr>
        <w:t>רונן</w:t>
      </w:r>
      <w:r w:rsidRPr="00D87434">
        <w:rPr>
          <w:rFonts w:hint="cs"/>
          <w:rtl/>
        </w:rPr>
        <w:t xml:space="preserve"> </w:t>
      </w:r>
      <w:r>
        <w:rPr>
          <w:rFonts w:hint="cs"/>
          <w:rtl/>
        </w:rPr>
        <w:t xml:space="preserve">המציעה ליישם מבחן המתחשב באיתור של "ניגוד עניינים מוסדי" בפעילותה של הרשות המכוננת ובמידת השותפות של נציגים מן האופוזיציה בחקיקה. הוא הדין בהבחנה שמציע חברי השופט </w:t>
      </w:r>
      <w:r w:rsidRPr="00D87434">
        <w:rPr>
          <w:rFonts w:ascii="Century" w:hAnsi="Century" w:cs="Miriam" w:hint="cs"/>
          <w:b/>
          <w:spacing w:val="0"/>
          <w:szCs w:val="24"/>
          <w:rtl/>
        </w:rPr>
        <w:t>גרוסקופף</w:t>
      </w:r>
      <w:r>
        <w:rPr>
          <w:rFonts w:hint="cs"/>
          <w:rtl/>
        </w:rPr>
        <w:t xml:space="preserve"> באשר להתייחסות השונה ל"סטייה ניכרת" מהחוקה בהתהוות שנעשית בהסכמה רחבה לבין סטייה כזו שנעשית ללא הסכמה רחבה. עוד אעיר, בהקשר זה, כי עשויים להיות מקרים שבהם חוק יסוד יחוקק גם על </w:t>
      </w:r>
      <w:r>
        <w:rPr>
          <w:rFonts w:hint="cs"/>
          <w:rtl/>
        </w:rPr>
        <w:lastRenderedPageBreak/>
        <w:t>בסיס תמיכה של חלק מחברי האופוזיציה, ועדיין תגולם בו פגיעה בעקרונות דמוקרטיים גרעיניים (למשל, ככל שזה יהיה מכוון כנגד קבוצת מיעוט).</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19. </w:t>
      </w:r>
      <w:r>
        <w:rPr>
          <w:rFonts w:hint="cs"/>
          <w:rtl/>
        </w:rPr>
        <w:tab/>
        <w:t xml:space="preserve">יש להבהיר: גם כאשר קיימת הסכמה בנוגע להנחות היסוד החוקתיות שתוארו </w:t>
      </w:r>
      <w:r>
        <w:rPr>
          <w:rtl/>
        </w:rPr>
        <w:t>–</w:t>
      </w:r>
      <w:r>
        <w:rPr>
          <w:rFonts w:hint="cs"/>
          <w:rtl/>
        </w:rPr>
        <w:t xml:space="preserve"> דהיינו לכך שהסמכות המכוננת אינה בלתי מוגבלת ושלבית משפט זה מסורה סמכות עקרונית לבחון אם הרשות המכוננת חרגה מסמכותה </w:t>
      </w:r>
      <w:r>
        <w:rPr>
          <w:rtl/>
        </w:rPr>
        <w:t>–</w:t>
      </w:r>
      <w:r>
        <w:rPr>
          <w:rFonts w:hint="cs"/>
          <w:rtl/>
        </w:rPr>
        <w:t xml:space="preserve"> עשויה להתגלע מחלוקת ביחס ליישומן. במלים אחרות, גם מי שמסכים להנחות אלה, עשוי לסבור שתיקון חוקתי מסוים שנטען לגביו כי נחקק תוך חריגה מן הסמכות המכוננת </w:t>
      </w:r>
      <w:r>
        <w:rPr>
          <w:rtl/>
        </w:rPr>
        <w:t>–</w:t>
      </w:r>
      <w:r>
        <w:rPr>
          <w:rFonts w:hint="cs"/>
          <w:rtl/>
        </w:rPr>
        <w:t xml:space="preserve"> אינו נגוע בחריגה כזו. במקרה שבפנינו, זוהי דרכם של חבריי השופטים </w:t>
      </w:r>
      <w:r w:rsidRPr="00D87434">
        <w:rPr>
          <w:rFonts w:ascii="Century" w:hAnsi="Century" w:cs="Miriam" w:hint="eastAsia"/>
          <w:b/>
          <w:spacing w:val="0"/>
          <w:szCs w:val="24"/>
          <w:rtl/>
        </w:rPr>
        <w:t>וילנר</w:t>
      </w:r>
      <w:r>
        <w:rPr>
          <w:rFonts w:hint="cs"/>
          <w:rtl/>
        </w:rPr>
        <w:t xml:space="preserve">, </w:t>
      </w:r>
      <w:r w:rsidRPr="00D87434">
        <w:rPr>
          <w:rFonts w:ascii="Century" w:hAnsi="Century" w:cs="Miriam" w:hint="eastAsia"/>
          <w:b/>
          <w:spacing w:val="0"/>
          <w:szCs w:val="24"/>
          <w:rtl/>
        </w:rPr>
        <w:t>שטיין</w:t>
      </w:r>
      <w:r>
        <w:rPr>
          <w:rFonts w:hint="cs"/>
          <w:rtl/>
        </w:rPr>
        <w:t xml:space="preserve">, </w:t>
      </w:r>
      <w:r w:rsidRPr="00D87434">
        <w:rPr>
          <w:rFonts w:ascii="Century" w:hAnsi="Century" w:cs="Miriam" w:hint="cs"/>
          <w:b/>
          <w:spacing w:val="0"/>
          <w:szCs w:val="24"/>
          <w:rtl/>
        </w:rPr>
        <w:t>כנפי-שטייניץ</w:t>
      </w:r>
      <w:r w:rsidRPr="00D87434">
        <w:rPr>
          <w:rFonts w:hint="cs"/>
          <w:rtl/>
        </w:rPr>
        <w:t xml:space="preserve"> </w:t>
      </w:r>
      <w:r>
        <w:rPr>
          <w:rFonts w:hint="cs"/>
          <w:rtl/>
        </w:rPr>
        <w:t>ו-</w:t>
      </w:r>
      <w:r w:rsidRPr="00D87434">
        <w:rPr>
          <w:rFonts w:ascii="Century" w:hAnsi="Century" w:cs="Miriam" w:hint="eastAsia"/>
          <w:b/>
          <w:spacing w:val="0"/>
          <w:szCs w:val="24"/>
          <w:rtl/>
        </w:rPr>
        <w:t>כשר</w:t>
      </w:r>
      <w:r>
        <w:rPr>
          <w:rFonts w:hint="cs"/>
          <w:rtl/>
        </w:rPr>
        <w:t xml:space="preserve">. בשונה מהם, אני סבורה כי אין מוצא מן המסקנה שבחקיקתו של תיקון מס' 3 הכנסת הרחיקה לכת עד כדי חריגה מגדרי סמכותה המכוננת. </w:t>
      </w:r>
    </w:p>
    <w:p w:rsidR="00E31875" w:rsidRDefault="00E31875" w:rsidP="00E31875">
      <w:pPr>
        <w:spacing w:line="360" w:lineRule="auto"/>
        <w:jc w:val="both"/>
        <w:rPr>
          <w:rFonts w:ascii="FrankRuehl" w:hAnsi="FrankRuehl" w:cs="FrankRuehl"/>
          <w:sz w:val="28"/>
          <w:szCs w:val="28"/>
          <w:rtl/>
        </w:rPr>
      </w:pPr>
    </w:p>
    <w:p w:rsidR="00E31875" w:rsidRPr="00D87434" w:rsidRDefault="00E31875" w:rsidP="00E31875">
      <w:pPr>
        <w:spacing w:line="360" w:lineRule="auto"/>
        <w:jc w:val="both"/>
        <w:rPr>
          <w:rFonts w:ascii="Century" w:hAnsi="Century" w:cs="Miriam"/>
          <w:b/>
          <w:sz w:val="22"/>
          <w:rtl/>
        </w:rPr>
      </w:pPr>
      <w:r w:rsidRPr="00D87434">
        <w:rPr>
          <w:rFonts w:ascii="Century" w:hAnsi="Century" w:cs="Miriam" w:hint="cs"/>
          <w:b/>
          <w:sz w:val="22"/>
          <w:rtl/>
        </w:rPr>
        <w:t>מהותו של התיקון שבפנינו: חסינות רחבה לממשלה מפני ביקורת אפקטיבית</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20.</w:t>
      </w:r>
      <w:r>
        <w:rPr>
          <w:rFonts w:hint="cs"/>
          <w:rtl/>
        </w:rPr>
        <w:tab/>
        <w:t>אפנה כעת לבחון את מהותו ומשמעותו של התיקון שהוצב לפתחנו, המכוון לביטול הביקורת השיפוטית מכוח עילת הסבירות. בתמצית, תיקון מס' 3 מבטל באופן גורף את סמכותן של כלל ערכאות השיפוט לקיים ביקורת שיפוטית מכוח עילת הסבירות על החלטות (או אי-קבלת החלטות) שהתקבלו בדרג המיניסטריאלי. בכך הוא</w:t>
      </w:r>
      <w:r w:rsidRPr="007532B4">
        <w:rPr>
          <w:rtl/>
        </w:rPr>
        <w:t xml:space="preserve"> מבטא פגיעה מהותית </w:t>
      </w:r>
      <w:r>
        <w:rPr>
          <w:rFonts w:hint="cs"/>
          <w:rtl/>
        </w:rPr>
        <w:t xml:space="preserve">באיזונים הבסיסיים של השיטה הדמוקרטית שלנו ובפרט בעקרון שלטון החוק. באופן יותר ספציפי, וכפי שאסביר, התיקון האמור חוסם פנייה לערכאות שיפוטיות בנוגע להחלטות רבות מספור שיש הצדקה ואף הכרח לקיים ביקורת שיפוטית מלאה ביחס אליהן </w:t>
      </w:r>
      <w:r>
        <w:rPr>
          <w:rtl/>
        </w:rPr>
        <w:t>–</w:t>
      </w:r>
      <w:r>
        <w:rPr>
          <w:rFonts w:hint="cs"/>
          <w:rtl/>
        </w:rPr>
        <w:t xml:space="preserve"> החלטות הפוגעות בזכויותיהם של אנשים קונקרטיים; החלטות שהתקבלו על-ידי ממשלת מעבר; וכן החלטות שעניינן מינויים או פיטורין של שומרי סף ובעלי תפקידים אחרים שעצמאותם היא חיונית כמשקל נגד לכוחה של הממשלה. במובן זה, אני סבורה שתיקון מס' 3 עולה כדי "שבירת כלים", באופן המצדיק את התערבותו החריגה של בית משפט זה בחקיקת חוק יסוד.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21. </w:t>
      </w:r>
      <w:r>
        <w:rPr>
          <w:rFonts w:hint="cs"/>
          <w:rtl/>
        </w:rPr>
        <w:tab/>
        <w:t xml:space="preserve">כאשר נחקק תיקון מס' 3 הוא הוצג לעתים כ"ביטול" של עילת הסבירות, כלומר כשינוי או תיקון של נורמה מסוימת בתחום המשפט המינהלי ותו לא. לכאורה, ניתן היה להתרשם שמדובר בתיקון של "פרט" אחד בתוך עולמו הרחב והמגוון של המשפט המינהלי, וממילא לא בנורמה מן הסוג שביטולה מחייב הפעלה של ביקורת שיפוטית על חוק יסוד. לאמיתו של דבר, פני הדברים שונים לחלוטין. התיקון שבפנינו אינו מהווה רק רפורמה נקודתית בכלליו של המשפט המינהלי. הוא מחולל מהפכה של ממש בכך שהוא סותם את הגולל על האפשרות של קבלת סעד מבית משפט, גם במקרה שבו הייתה </w:t>
      </w:r>
      <w:r>
        <w:rPr>
          <w:rFonts w:hint="cs"/>
          <w:rtl/>
        </w:rPr>
        <w:lastRenderedPageBreak/>
        <w:t>הפרה של הדין, ובכלל זה במקרה שבו קיים אדם ספציפי שנפגע מכך פגיעה משמעותית.</w:t>
      </w:r>
      <w:r>
        <w:rPr>
          <w:rFonts w:hint="cs"/>
        </w:rPr>
        <w:t xml:space="preserve"> </w:t>
      </w:r>
      <w:r>
        <w:rPr>
          <w:rFonts w:hint="cs"/>
          <w:rtl/>
        </w:rPr>
        <w:t xml:space="preserve">השאלה המרכזית העומדת להכרעתנו אינה נוגעת אפוא ל"תיקון" דוקטרינרי זה או אחר, אלא לסוגיה העומדת ביסוד שיטתנו המשפטית </w:t>
      </w:r>
      <w:r>
        <w:rPr>
          <w:rtl/>
        </w:rPr>
        <w:t>–</w:t>
      </w:r>
      <w:r>
        <w:rPr>
          <w:rFonts w:hint="cs"/>
          <w:rtl/>
        </w:rPr>
        <w:t xml:space="preserve"> האפשרות לקבל סעד במקרה של פגיעה בזכות.</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22.</w:t>
      </w:r>
      <w:r>
        <w:rPr>
          <w:rtl/>
        </w:rPr>
        <w:tab/>
      </w:r>
      <w:r>
        <w:rPr>
          <w:rFonts w:hint="cs"/>
          <w:rtl/>
        </w:rPr>
        <w:t xml:space="preserve">תובנה זו מתחדדת נוכח עמדתם של משיבי הממשלה עצמם, הגורסים אף הם כי </w:t>
      </w:r>
      <w:r w:rsidRPr="00CE74CB">
        <w:rPr>
          <w:rFonts w:hint="cs"/>
          <w:rtl/>
        </w:rPr>
        <w:t>חובת</w:t>
      </w:r>
      <w:r>
        <w:rPr>
          <w:rFonts w:hint="cs"/>
          <w:rtl/>
        </w:rPr>
        <w:t xml:space="preserve"> הסבירות המוטלת על הממשלה ושריה בעינה עומדת אף לאחר חקיקתו של התיקון. אף לשיטתם, תיקון מס' 3 לא ביטל את זכותם של הפרטים העומדים בפני השלטון כי ההחלטות בעניינם יהיו החלטות סבירות. אם כן, גם הם גורסים כי התיקון אינו מבטל </w:t>
      </w:r>
      <w:r w:rsidRPr="00D87434">
        <w:rPr>
          <w:rFonts w:ascii="Century" w:hAnsi="Century" w:cs="Miriam" w:hint="cs"/>
          <w:b/>
          <w:spacing w:val="0"/>
          <w:szCs w:val="24"/>
          <w:rtl/>
        </w:rPr>
        <w:t>ה</w:t>
      </w:r>
      <w:r w:rsidRPr="00D87434">
        <w:rPr>
          <w:rFonts w:ascii="Century" w:hAnsi="Century" w:cs="Miriam" w:hint="eastAsia"/>
          <w:b/>
          <w:spacing w:val="0"/>
          <w:szCs w:val="24"/>
          <w:rtl/>
        </w:rPr>
        <w:t>חובה</w:t>
      </w:r>
      <w:r>
        <w:rPr>
          <w:rFonts w:hint="cs"/>
          <w:rtl/>
        </w:rPr>
        <w:t xml:space="preserve"> זו אלא רק חוסם את הדרך ל</w:t>
      </w:r>
      <w:r w:rsidRPr="00D87434">
        <w:rPr>
          <w:rFonts w:ascii="Century" w:hAnsi="Century" w:cs="Miriam" w:hint="cs"/>
          <w:b/>
          <w:spacing w:val="0"/>
          <w:szCs w:val="24"/>
          <w:rtl/>
        </w:rPr>
        <w:t>ביקורת</w:t>
      </w:r>
      <w:r w:rsidRPr="00D87434">
        <w:rPr>
          <w:rFonts w:ascii="Century" w:hAnsi="Century" w:cs="Miriam"/>
          <w:b/>
          <w:spacing w:val="0"/>
          <w:szCs w:val="24"/>
          <w:rtl/>
        </w:rPr>
        <w:t xml:space="preserve"> שיפוטית </w:t>
      </w:r>
      <w:r>
        <w:rPr>
          <w:rFonts w:hint="cs"/>
          <w:rtl/>
        </w:rPr>
        <w:t>במקרה שבו מועלית טענה באשר להפרתה.</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23. </w:t>
      </w:r>
      <w:r>
        <w:rPr>
          <w:rFonts w:hint="cs"/>
          <w:rtl/>
        </w:rPr>
        <w:tab/>
        <w:t xml:space="preserve">על רקע האמור, חשוב לחזור ולהבהיר: השאלה שאנו נדרשים להכריע בה אינה אם תחולה רחבה של חובת הסבירות היא כלל משפטי רצוי או עדיף. זה אינו תפקידה של הביקורת השיפוטית החוקתית. השאלה שבה אנו עוסקים היא רק אם תיקון מס' 3, המונע לחלוטין דיון משפטי בסבירותן של החלטות המתקבלות בדרג הממשלתי, חותר תחת תפיסות היסוד של שיטתנו המשפטית, בהתאם להגדרת הבסיס של "מדינה יהודית ודמוקרטית". כפי שאראה להלן, תשובתי לשאלה זו היא בחיוב. </w:t>
      </w:r>
    </w:p>
    <w:p w:rsidR="00E31875" w:rsidRDefault="00E31875" w:rsidP="00E31875">
      <w:pPr>
        <w:spacing w:line="360" w:lineRule="auto"/>
        <w:jc w:val="both"/>
        <w:rPr>
          <w:rFonts w:ascii="Century" w:hAnsi="Century" w:cs="FrankRuehl"/>
          <w:spacing w:val="10"/>
          <w:szCs w:val="28"/>
          <w:rtl/>
        </w:rPr>
      </w:pPr>
    </w:p>
    <w:p w:rsidR="00E31875" w:rsidRDefault="00E31875" w:rsidP="00E31875">
      <w:pPr>
        <w:pStyle w:val="Ruller41"/>
        <w:rPr>
          <w:rtl/>
        </w:rPr>
      </w:pPr>
      <w:r>
        <w:rPr>
          <w:rFonts w:hint="cs"/>
          <w:rtl/>
        </w:rPr>
        <w:t xml:space="preserve">24. </w:t>
      </w:r>
      <w:r>
        <w:rPr>
          <w:rFonts w:hint="cs"/>
          <w:rtl/>
        </w:rPr>
        <w:tab/>
        <w:t xml:space="preserve">לצורך הצגת גישתי, חשוב להבהיר כי כדי שמדינה תיחשב דמוקרטית אין די בכך ששיטת המשפט שלה תכיר בקיומן של בחירות סדירות, שבמסגרתן יש "קול אחד לכל אחד". זהו כמובן תנאי בסיסי, אך אין הוא מספיק לבדו. שיטת משפט דמוקרטית חייבת לאפשר קיומם של מנגנוני ביקורת עצמאיים על השלטון, ובהקשר הנוכחי, על הרשות המבצעת. ללא מנגנוני ביקורת מסוג זה החלטות רבות עשויות להישאר, להלכה ולמעשה, חסינות מכל ביקורת. לא כל מודל שלטוני המקיים דרישות פורמאליות של קיום בחירות הוא דמוקרטי במהותו. </w:t>
      </w:r>
    </w:p>
    <w:p w:rsidR="00E31875" w:rsidRDefault="00E31875" w:rsidP="00E31875">
      <w:pPr>
        <w:pStyle w:val="Ruller41"/>
        <w:rPr>
          <w:rFonts w:ascii="Century" w:hAnsi="Century"/>
          <w:rtl/>
        </w:rPr>
      </w:pPr>
    </w:p>
    <w:p w:rsidR="00E31875" w:rsidRDefault="00E31875" w:rsidP="00E31875">
      <w:pPr>
        <w:pStyle w:val="Ruller41"/>
        <w:rPr>
          <w:rFonts w:ascii="FrankRuehl" w:hAnsi="FrankRuehl"/>
          <w:sz w:val="28"/>
          <w:rtl/>
        </w:rPr>
      </w:pPr>
      <w:r>
        <w:rPr>
          <w:rFonts w:hint="cs"/>
          <w:rtl/>
        </w:rPr>
        <w:t xml:space="preserve">25. </w:t>
      </w:r>
      <w:r>
        <w:rPr>
          <w:rFonts w:hint="cs"/>
          <w:rtl/>
        </w:rPr>
        <w:tab/>
        <w:t xml:space="preserve">באופן יותר קונקרטי, בחירות סדירות אינן מאפשרות ביקורת על החלטות ספציפיות, כאלה שאינן מצדיקות חילופי שלטון. זאת ועוד: ביקורת כזו אינה מובטחת אף במסגרת פרלמנטרית, כאשר לממשלה שליטה אפקטיבית בבית הנבחרים. </w:t>
      </w:r>
      <w:r>
        <w:rPr>
          <w:rFonts w:ascii="FrankRuehl" w:hAnsi="FrankRuehl" w:hint="cs"/>
          <w:sz w:val="28"/>
          <w:rtl/>
        </w:rPr>
        <w:t xml:space="preserve">כפי שציין פרופ' דיויד פלדמן, ביחס לביקורת שניתן לצפות לה במסגרת משטר פרלמנטרי כזה: </w:t>
      </w:r>
      <w:r w:rsidRPr="00EC2CB3">
        <w:rPr>
          <w:rFonts w:asciiTheme="majorBidi" w:hAnsiTheme="majorBidi" w:cstheme="majorBidi"/>
          <w:sz w:val="24"/>
          <w:szCs w:val="24"/>
        </w:rPr>
        <w:t>"… the government, once chosen… usually controls the Parliament rather than being controlled by it"</w:t>
      </w:r>
      <w:r>
        <w:rPr>
          <w:rFonts w:asciiTheme="majorBidi" w:hAnsiTheme="majorBidi" w:cstheme="majorBidi" w:hint="cs"/>
          <w:rtl/>
        </w:rPr>
        <w:t xml:space="preserve"> </w:t>
      </w:r>
      <w:r>
        <w:rPr>
          <w:rFonts w:ascii="FrankRuehl" w:hAnsi="FrankRuehl" w:hint="cs"/>
          <w:sz w:val="28"/>
          <w:rtl/>
        </w:rPr>
        <w:t xml:space="preserve">(ראו: </w:t>
      </w:r>
      <w:r w:rsidRPr="00686ED5">
        <w:rPr>
          <w:rFonts w:asciiTheme="majorBidi" w:hAnsiTheme="majorBidi" w:cstheme="majorBidi"/>
          <w:sz w:val="24"/>
          <w:szCs w:val="24"/>
        </w:rPr>
        <w:t xml:space="preserve">David Feldman, </w:t>
      </w:r>
      <w:r>
        <w:rPr>
          <w:rFonts w:asciiTheme="majorBidi" w:hAnsiTheme="majorBidi" w:cstheme="majorBidi"/>
          <w:i/>
          <w:iCs/>
          <w:sz w:val="24"/>
          <w:szCs w:val="24"/>
        </w:rPr>
        <w:t>Democracy, t</w:t>
      </w:r>
      <w:r w:rsidRPr="00686ED5">
        <w:rPr>
          <w:rFonts w:asciiTheme="majorBidi" w:hAnsiTheme="majorBidi" w:cstheme="majorBidi"/>
          <w:i/>
          <w:iCs/>
          <w:sz w:val="24"/>
          <w:szCs w:val="24"/>
        </w:rPr>
        <w:t>he Rule of Law and Judicial Review</w:t>
      </w:r>
      <w:r w:rsidRPr="00686ED5">
        <w:rPr>
          <w:rFonts w:asciiTheme="majorBidi" w:hAnsiTheme="majorBidi" w:cstheme="majorBidi"/>
          <w:sz w:val="24"/>
          <w:szCs w:val="24"/>
        </w:rPr>
        <w:t xml:space="preserve">, 19 </w:t>
      </w:r>
      <w:r w:rsidRPr="00686ED5">
        <w:rPr>
          <w:rFonts w:asciiTheme="majorBidi" w:hAnsiTheme="majorBidi" w:cstheme="majorBidi"/>
          <w:smallCaps/>
          <w:sz w:val="24"/>
          <w:szCs w:val="24"/>
        </w:rPr>
        <w:t>Fed. L. Rev.</w:t>
      </w:r>
      <w:r w:rsidRPr="00686ED5">
        <w:rPr>
          <w:rFonts w:asciiTheme="majorBidi" w:hAnsiTheme="majorBidi" w:cstheme="majorBidi"/>
          <w:sz w:val="24"/>
          <w:szCs w:val="24"/>
        </w:rPr>
        <w:t xml:space="preserve"> 1</w:t>
      </w:r>
      <w:r>
        <w:rPr>
          <w:rFonts w:asciiTheme="majorBidi" w:hAnsiTheme="majorBidi" w:cstheme="majorBidi"/>
          <w:sz w:val="24"/>
          <w:szCs w:val="24"/>
        </w:rPr>
        <w:t>, 6</w:t>
      </w:r>
      <w:r w:rsidRPr="00686ED5">
        <w:rPr>
          <w:rFonts w:asciiTheme="majorBidi" w:hAnsiTheme="majorBidi" w:cstheme="majorBidi"/>
          <w:sz w:val="24"/>
          <w:szCs w:val="24"/>
        </w:rPr>
        <w:t xml:space="preserve"> (1990)</w:t>
      </w:r>
      <w:r>
        <w:rPr>
          <w:rFonts w:ascii="FrankRuehl" w:hAnsi="FrankRuehl" w:hint="cs"/>
          <w:sz w:val="28"/>
          <w:rtl/>
        </w:rPr>
        <w:t xml:space="preserve">). במלים אחרות, ככל שתיפסק </w:t>
      </w:r>
      <w:r>
        <w:rPr>
          <w:rFonts w:ascii="FrankRuehl" w:hAnsi="FrankRuehl" w:hint="cs"/>
          <w:sz w:val="28"/>
          <w:rtl/>
        </w:rPr>
        <w:lastRenderedPageBreak/>
        <w:t xml:space="preserve">פעילותם של מנגנוני ביקורת משלימים, החלטות רבות ייהנו מחסינות דה-פקטו מפני ביקורת. ברוח זו, ממשיך וכותב פרופ' פלדמן: </w:t>
      </w:r>
      <w:r w:rsidRPr="00686ED5">
        <w:rPr>
          <w:rFonts w:asciiTheme="majorBidi" w:hAnsiTheme="majorBidi" w:cstheme="majorBidi"/>
          <w:sz w:val="24"/>
          <w:szCs w:val="24"/>
        </w:rPr>
        <w:t>"So far as the political process fails to secure real accountability for government action, it is democratically justifiable to supplement it with legal accountability by way of judicial review of executive action"</w:t>
      </w:r>
      <w:r>
        <w:rPr>
          <w:rFonts w:ascii="FrankRuehl" w:hAnsi="FrankRuehl" w:hint="cs"/>
          <w:sz w:val="28"/>
          <w:rtl/>
        </w:rPr>
        <w:t xml:space="preserve"> (</w:t>
      </w:r>
      <w:r w:rsidRPr="00E73799">
        <w:rPr>
          <w:rFonts w:cs="Miriam" w:hint="eastAsia"/>
          <w:b/>
          <w:szCs w:val="24"/>
          <w:rtl/>
        </w:rPr>
        <w:t>שם</w:t>
      </w:r>
      <w:r>
        <w:rPr>
          <w:rFonts w:ascii="FrankRuehl" w:hAnsi="FrankRuehl" w:hint="cs"/>
          <w:sz w:val="28"/>
          <w:rtl/>
        </w:rPr>
        <w:t xml:space="preserve">, בעמ' 7-6).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26.</w:t>
      </w:r>
      <w:r>
        <w:rPr>
          <w:rFonts w:hint="cs"/>
          <w:rtl/>
        </w:rPr>
        <w:tab/>
        <w:t xml:space="preserve"> על רקע האמור, בחינת השאלה אם תיקון מס' 3 פוגע במאפיינים הגרעיניים של הדמוקרטיה הישראלית אינה יכולה להיבחן אך בהתאם למצב השורר במדינה ביום שלאחר חקיקתו. אינני שותפה אפוא לנכונותם של חלק מחבריי להסתפק בכך שמדינת ישראל היא דמוקרטיה גם כיום, לאחר חקיקתו של תיקון מס' 3. אינני חולקת על כך. אולם, תיקון מס' 3 פוגע במערכות בקרה בסיסיות של הדמוקרטיה באופן שמחבל בה ומאיים על יציבותה. חוזקו של מבנה נבחן בעת רעידת אדמה. רק אז מתברר אם חסר בו עמוד תווך חיוני. חוזקו של גוף האדם נבחן בעת שפוקדת אותו מחלה קשה. רק אז מתברר אם המערכת החיסונית שלו איתנה דיה. לטעמי, גם אם ביום שאחרי חקיקתו של תיקון מס' 3 אפשר לומר ש"הכול בסדר" ועולם כמנהגו נוהג </w:t>
      </w:r>
      <w:r>
        <w:rPr>
          <w:rtl/>
        </w:rPr>
        <w:t>–</w:t>
      </w:r>
      <w:r>
        <w:rPr>
          <w:rFonts w:hint="cs"/>
          <w:rtl/>
        </w:rPr>
        <w:t xml:space="preserve"> אני סבורה שזהו רושם מתעתע. לא לעולם חוסן.</w:t>
      </w:r>
    </w:p>
    <w:p w:rsidR="00E31875" w:rsidRDefault="00E31875" w:rsidP="00E31875">
      <w:pPr>
        <w:spacing w:line="360" w:lineRule="auto"/>
        <w:jc w:val="both"/>
        <w:rPr>
          <w:rFonts w:ascii="FrankRuehl" w:hAnsi="FrankRuehl" w:cs="FrankRuehl"/>
          <w:sz w:val="28"/>
          <w:szCs w:val="28"/>
          <w:rtl/>
        </w:rPr>
      </w:pPr>
    </w:p>
    <w:p w:rsidR="00E31875" w:rsidRPr="00D87434" w:rsidRDefault="00E31875" w:rsidP="00E31875">
      <w:pPr>
        <w:spacing w:line="360" w:lineRule="auto"/>
        <w:jc w:val="both"/>
        <w:rPr>
          <w:rFonts w:ascii="Century" w:hAnsi="Century" w:cs="Miriam"/>
          <w:b/>
          <w:sz w:val="22"/>
          <w:rtl/>
        </w:rPr>
      </w:pPr>
      <w:r w:rsidRPr="00D87434">
        <w:rPr>
          <w:rFonts w:ascii="Century" w:hAnsi="Century" w:cs="Miriam" w:hint="cs"/>
          <w:b/>
          <w:sz w:val="22"/>
          <w:rtl/>
        </w:rPr>
        <w:t xml:space="preserve">פגיעה אנושה בתשתית החוקתית </w:t>
      </w:r>
      <w:r w:rsidRPr="00D87434">
        <w:rPr>
          <w:rFonts w:ascii="Century" w:hAnsi="Century" w:cs="Miriam"/>
          <w:b/>
          <w:sz w:val="22"/>
          <w:rtl/>
        </w:rPr>
        <w:t>–</w:t>
      </w:r>
      <w:r w:rsidRPr="00D87434">
        <w:rPr>
          <w:rFonts w:ascii="Century" w:hAnsi="Century" w:cs="Miriam" w:hint="cs"/>
          <w:b/>
          <w:sz w:val="22"/>
          <w:rtl/>
        </w:rPr>
        <w:t xml:space="preserve"> באילו מובנים?</w:t>
      </w:r>
    </w:p>
    <w:p w:rsidR="00E31875" w:rsidRDefault="00E31875" w:rsidP="00E31875">
      <w:pPr>
        <w:spacing w:line="360" w:lineRule="auto"/>
        <w:jc w:val="both"/>
        <w:rPr>
          <w:rFonts w:ascii="Century" w:hAnsi="Century" w:cs="Miriam"/>
          <w:b/>
        </w:rPr>
      </w:pPr>
    </w:p>
    <w:p w:rsidR="00E31875" w:rsidRDefault="00E31875" w:rsidP="00E31875">
      <w:pPr>
        <w:pStyle w:val="Ruller41"/>
        <w:rPr>
          <w:rtl/>
        </w:rPr>
      </w:pPr>
      <w:r>
        <w:rPr>
          <w:rFonts w:hint="cs"/>
          <w:rtl/>
        </w:rPr>
        <w:t xml:space="preserve">27. </w:t>
      </w:r>
      <w:r>
        <w:rPr>
          <w:rFonts w:hint="cs"/>
          <w:rtl/>
        </w:rPr>
        <w:tab/>
        <w:t xml:space="preserve">בשלב זה, אבקש להצביע על עיקרי הפגיעה האנושה הגלומה בתיקון מס' 3 לאבני הבסיס של שיטתנו החוקתית. הפגיעה היא לפחות בשלושה היבטים עיקריים. ראשית, תיקון מס' 3 מאפשר מצבים של פגיעה קונקרטית מצד השלטון בזכויות ואינטרסים של אנשים מבלי שיוכלו לקבל סעד שיפוטי להגנה עליהם. זוהי פגיעה אנושה בשלטון החוק. שנית, תיקון מס' 3 יוצר מצב של העדר מנגנון ביקורת על החלטותיה של ממשלת מעבר, אשר עשויות, במצבים מסוימים, להשפיע על תוצאות הבחירות. זוהי פגיעה אנושה בהיבט מבני בסיסי של הדמוקרטיה </w:t>
      </w:r>
      <w:r>
        <w:rPr>
          <w:rtl/>
        </w:rPr>
        <w:t>–</w:t>
      </w:r>
      <w:r>
        <w:rPr>
          <w:rFonts w:hint="cs"/>
          <w:rtl/>
        </w:rPr>
        <w:t xml:space="preserve"> הבטחת האפשרות של חילופי שלטון. שלישית, תיקון מס' 3 מחזק באופן משמעותי את כוחה של הממשלה באמצעות החלשה דרסטית של בעלי תפקידים שהם "שומרי סף" או רגולטורים, שלעצמאותם המקצועית יש חשיבות מבנית. אפנה עתה להבהרת כל אחת מסכנות אלה.</w:t>
      </w:r>
    </w:p>
    <w:p w:rsidR="00E31875" w:rsidRDefault="00E31875" w:rsidP="00E31875">
      <w:pPr>
        <w:spacing w:line="360" w:lineRule="auto"/>
        <w:jc w:val="both"/>
        <w:rPr>
          <w:rFonts w:ascii="Century" w:hAnsi="Century" w:cs="FrankRuehl"/>
          <w:spacing w:val="10"/>
          <w:szCs w:val="28"/>
          <w:rtl/>
        </w:rPr>
      </w:pPr>
    </w:p>
    <w:p w:rsidR="00E31875" w:rsidRPr="00D87434" w:rsidRDefault="00E31875" w:rsidP="00E31875">
      <w:pPr>
        <w:spacing w:line="360" w:lineRule="auto"/>
        <w:jc w:val="both"/>
        <w:rPr>
          <w:rFonts w:ascii="Century" w:hAnsi="Century" w:cs="Miriam"/>
          <w:b/>
          <w:sz w:val="22"/>
          <w:rtl/>
        </w:rPr>
      </w:pPr>
      <w:r w:rsidRPr="00D87434">
        <w:rPr>
          <w:rFonts w:ascii="Century" w:hAnsi="Century" w:cs="Miriam" w:hint="cs"/>
          <w:b/>
          <w:sz w:val="22"/>
          <w:rtl/>
        </w:rPr>
        <w:t xml:space="preserve">המובן הראשון: </w:t>
      </w:r>
      <w:r w:rsidRPr="00D87434">
        <w:rPr>
          <w:rFonts w:ascii="Century" w:hAnsi="Century" w:cs="Miriam" w:hint="eastAsia"/>
          <w:b/>
          <w:sz w:val="22"/>
          <w:rtl/>
        </w:rPr>
        <w:t>פגיעה</w:t>
      </w:r>
      <w:r w:rsidRPr="00D87434">
        <w:rPr>
          <w:rFonts w:ascii="Century" w:hAnsi="Century" w:cs="Miriam"/>
          <w:b/>
          <w:sz w:val="22"/>
          <w:rtl/>
        </w:rPr>
        <w:t xml:space="preserve"> </w:t>
      </w:r>
      <w:r w:rsidRPr="00D87434">
        <w:rPr>
          <w:rFonts w:ascii="Century" w:hAnsi="Century" w:cs="Miriam" w:hint="eastAsia"/>
          <w:b/>
          <w:sz w:val="22"/>
          <w:rtl/>
        </w:rPr>
        <w:t>בזכויות</w:t>
      </w:r>
      <w:r w:rsidRPr="00D87434">
        <w:rPr>
          <w:rFonts w:ascii="Century" w:hAnsi="Century" w:cs="Miriam"/>
          <w:b/>
          <w:sz w:val="22"/>
          <w:rtl/>
        </w:rPr>
        <w:t xml:space="preserve"> </w:t>
      </w:r>
      <w:r w:rsidRPr="00D87434">
        <w:rPr>
          <w:rFonts w:ascii="Century" w:hAnsi="Century" w:cs="Miriam" w:hint="eastAsia"/>
          <w:b/>
          <w:sz w:val="22"/>
          <w:rtl/>
        </w:rPr>
        <w:t>ואינטרסים</w:t>
      </w:r>
      <w:r w:rsidRPr="00D87434">
        <w:rPr>
          <w:rFonts w:ascii="Century" w:hAnsi="Century" w:cs="Miriam"/>
          <w:b/>
          <w:sz w:val="22"/>
          <w:rtl/>
        </w:rPr>
        <w:t xml:space="preserve"> </w:t>
      </w:r>
      <w:r w:rsidRPr="00D87434">
        <w:rPr>
          <w:rFonts w:ascii="Century" w:hAnsi="Century" w:cs="Miriam" w:hint="eastAsia"/>
          <w:b/>
          <w:sz w:val="22"/>
          <w:rtl/>
        </w:rPr>
        <w:t>של</w:t>
      </w:r>
      <w:r w:rsidRPr="00D87434">
        <w:rPr>
          <w:rFonts w:ascii="Century" w:hAnsi="Century" w:cs="Miriam"/>
          <w:b/>
          <w:sz w:val="22"/>
          <w:rtl/>
        </w:rPr>
        <w:t xml:space="preserve"> </w:t>
      </w:r>
      <w:r w:rsidRPr="00D87434">
        <w:rPr>
          <w:rFonts w:ascii="Century" w:hAnsi="Century" w:cs="Miriam" w:hint="eastAsia"/>
          <w:b/>
          <w:sz w:val="22"/>
          <w:rtl/>
        </w:rPr>
        <w:t>אנשים</w:t>
      </w:r>
      <w:r w:rsidRPr="00D87434">
        <w:rPr>
          <w:rFonts w:ascii="Century" w:hAnsi="Century" w:cs="Miriam"/>
          <w:b/>
          <w:sz w:val="22"/>
          <w:rtl/>
        </w:rPr>
        <w:t xml:space="preserve"> </w:t>
      </w:r>
      <w:r w:rsidRPr="00D87434">
        <w:rPr>
          <w:rFonts w:ascii="Century" w:hAnsi="Century" w:cs="Miriam" w:hint="eastAsia"/>
          <w:b/>
          <w:sz w:val="22"/>
          <w:rtl/>
        </w:rPr>
        <w:t>ו</w:t>
      </w:r>
      <w:r w:rsidRPr="00D87434">
        <w:rPr>
          <w:rFonts w:ascii="Century" w:hAnsi="Century" w:cs="Miriam" w:hint="cs"/>
          <w:b/>
          <w:sz w:val="22"/>
          <w:rtl/>
        </w:rPr>
        <w:t xml:space="preserve">ההגנה על </w:t>
      </w:r>
      <w:r w:rsidRPr="00D87434">
        <w:rPr>
          <w:rFonts w:ascii="Century" w:hAnsi="Century" w:cs="Miriam" w:hint="eastAsia"/>
          <w:b/>
          <w:sz w:val="22"/>
          <w:rtl/>
        </w:rPr>
        <w:t>שלטון</w:t>
      </w:r>
      <w:r w:rsidRPr="00D87434">
        <w:rPr>
          <w:rFonts w:ascii="Century" w:hAnsi="Century" w:cs="Miriam"/>
          <w:b/>
          <w:sz w:val="22"/>
          <w:rtl/>
        </w:rPr>
        <w:t xml:space="preserve"> </w:t>
      </w:r>
      <w:r w:rsidRPr="00D87434">
        <w:rPr>
          <w:rFonts w:ascii="Century" w:hAnsi="Century" w:cs="Miriam" w:hint="eastAsia"/>
          <w:b/>
          <w:sz w:val="22"/>
          <w:rtl/>
        </w:rPr>
        <w:t>החוק</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28. </w:t>
      </w:r>
      <w:r>
        <w:rPr>
          <w:rFonts w:hint="cs"/>
          <w:rtl/>
        </w:rPr>
        <w:tab/>
        <w:t xml:space="preserve">שלטון החוק משמעו שלטון החוק גם בממשלה ובשריה. על כן, הגבלת האפשרות לפנות לערכאות שיפוטיות על מנת לבחון את סבירותה של החלטה שהתקבלה </w:t>
      </w:r>
      <w:r>
        <w:rPr>
          <w:rFonts w:hint="cs"/>
          <w:rtl/>
        </w:rPr>
        <w:lastRenderedPageBreak/>
        <w:t xml:space="preserve">על-ידי הממשלה או שריה, כאשר זו משליכה על עניינם של פרטים, פוגעת פגיעה אנושה בשלטון החוק. הדברים אמורים בין אם מדובר בהחלטה הנוגעת לפרט ובין אם מדובר בהחלטה הנוגעת לקבוצה, אך משליכה באופן קונקרטי על כל אחד ואחת מחבריה. ניתן להזכיר בהקשר זה את דבריו של השופט </w:t>
      </w:r>
      <w:r w:rsidRPr="00D87434">
        <w:rPr>
          <w:rFonts w:ascii="Century" w:hAnsi="Century" w:cs="Miriam" w:hint="cs"/>
          <w:b/>
          <w:spacing w:val="0"/>
          <w:szCs w:val="24"/>
          <w:rtl/>
        </w:rPr>
        <w:t>מ' חשין</w:t>
      </w:r>
      <w:r w:rsidRPr="00D87434">
        <w:rPr>
          <w:rFonts w:hint="cs"/>
          <w:rtl/>
        </w:rPr>
        <w:t xml:space="preserve"> </w:t>
      </w:r>
      <w:r>
        <w:rPr>
          <w:rFonts w:hint="cs"/>
          <w:rtl/>
        </w:rPr>
        <w:t xml:space="preserve">בע"א </w:t>
      </w:r>
      <w:r w:rsidRPr="00A26835">
        <w:rPr>
          <w:rtl/>
        </w:rPr>
        <w:t>733/95</w:t>
      </w:r>
      <w:r w:rsidRPr="00EF6FFE">
        <w:rPr>
          <w:rFonts w:ascii="Century" w:hAnsi="Century" w:cs="Miriam" w:hint="cs"/>
          <w:b/>
          <w:szCs w:val="24"/>
          <w:rtl/>
        </w:rPr>
        <w:t xml:space="preserve"> </w:t>
      </w:r>
      <w:r w:rsidRPr="00D87434">
        <w:rPr>
          <w:rFonts w:ascii="Century" w:hAnsi="Century" w:cs="Miriam" w:hint="cs"/>
          <w:b/>
          <w:spacing w:val="0"/>
          <w:szCs w:val="24"/>
          <w:rtl/>
        </w:rPr>
        <w:t>ארפל אלומיניום בע"מ נ' קליל תעשיות בע"מ</w:t>
      </w:r>
      <w:r>
        <w:rPr>
          <w:rFonts w:hint="cs"/>
          <w:rtl/>
        </w:rPr>
        <w:t xml:space="preserve">, פ"ד נא(3) 577 (1997):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5"/>
        <w:rPr>
          <w:rtl/>
        </w:rPr>
      </w:pPr>
      <w:r>
        <w:rPr>
          <w:rFonts w:hint="cs"/>
          <w:rtl/>
        </w:rPr>
        <w:t xml:space="preserve">"זכות הגישה לבית-המשפט אין היא זכות-יסוד במובנו הרגיל של המושג זכות יסוד. שייכת היא למסדר נורמות אחר בשיטת המשפט. ניתן לומר </w:t>
      </w:r>
      <w:r>
        <w:rPr>
          <w:rtl/>
        </w:rPr>
        <w:t>–</w:t>
      </w:r>
      <w:r>
        <w:rPr>
          <w:rFonts w:hint="cs"/>
          <w:rtl/>
        </w:rPr>
        <w:t xml:space="preserve"> וכך אומַר אני </w:t>
      </w:r>
      <w:r>
        <w:rPr>
          <w:rtl/>
        </w:rPr>
        <w:t>–</w:t>
      </w:r>
      <w:r>
        <w:rPr>
          <w:rFonts w:hint="cs"/>
          <w:rtl/>
        </w:rPr>
        <w:t xml:space="preserve"> כי נעלה היא על זכות-יסוד. לא עוד, אלא שקיומה הינו תנאי הכרחי וחיוני לקיומן של שאר זכויות-היסוד. זכות הגישה לבית-המשפט הינה צינור החיים של בית-המשפט. התשתית לקיומם של הרשות השופטת ושל שלטון החוק" (</w:t>
      </w:r>
      <w:r w:rsidRPr="003240B8">
        <w:rPr>
          <w:rFonts w:ascii="Century" w:hAnsi="Century" w:cs="Miriam" w:hint="eastAsia"/>
          <w:b/>
          <w:szCs w:val="24"/>
          <w:rtl/>
        </w:rPr>
        <w:t>שם</w:t>
      </w:r>
      <w:r>
        <w:rPr>
          <w:rFonts w:hint="cs"/>
          <w:rtl/>
        </w:rPr>
        <w:t xml:space="preserve">, בעמ' 629. ראו גם: יורם רבין "זכות הגישה לערכאות </w:t>
      </w:r>
      <w:r>
        <w:rPr>
          <w:rtl/>
        </w:rPr>
        <w:t>–</w:t>
      </w:r>
      <w:r>
        <w:rPr>
          <w:rFonts w:hint="cs"/>
          <w:rtl/>
        </w:rPr>
        <w:t xml:space="preserve"> מזכות רגילה לזכות חוקתית" </w:t>
      </w:r>
      <w:r w:rsidRPr="00D87434">
        <w:rPr>
          <w:rFonts w:ascii="Century" w:hAnsi="Century" w:cs="Miriam" w:hint="cs"/>
          <w:b/>
          <w:spacing w:val="0"/>
          <w:szCs w:val="24"/>
          <w:rtl/>
        </w:rPr>
        <w:t>המשפט</w:t>
      </w:r>
      <w:r>
        <w:rPr>
          <w:rFonts w:hint="cs"/>
          <w:rtl/>
        </w:rPr>
        <w:t xml:space="preserve"> ה 217 (2000)).</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tl/>
        </w:rPr>
        <w:tab/>
      </w:r>
      <w:r>
        <w:rPr>
          <w:rFonts w:hint="cs"/>
          <w:rtl/>
        </w:rPr>
        <w:t xml:space="preserve">לאמיתו של דבר, כאשר יש לאדם זכות, והוא אינו יכול לממשה (באמצעות פנייה לערכאות), הזכות נותרת חלולה. לפיכך, ביטול הביקורת השיפוטית מכוח עילת הסבירות </w:t>
      </w:r>
      <w:r w:rsidRPr="005A1936">
        <w:rPr>
          <w:rtl/>
        </w:rPr>
        <w:t>על החלטה של הממשלה ושריה,</w:t>
      </w:r>
      <w:r>
        <w:rPr>
          <w:rFonts w:hint="cs"/>
          <w:rtl/>
        </w:rPr>
        <w:t xml:space="preserve"> מרוקנת מתוכן את זכות הגישה לערכאות של אדם שנפגע כתוצאה מאותה החלטה. מטעם זה, אין משמעות מעשית להצהרת משיבי הממשלה כי חובת הממשלה לנהוג בסבירות נותרת על כנה גם לאחר התיקון. אכן, שיטת המשפט שלנו, ובכלל זה המשפט החוקתי, מכירה במצבים שבהם מוטלות הגבלות על זכות הגישה לערכאות, כדוגמת דיני ההתיישנות. אולם, כפי שאסביר בהמשך, כאן בפנינו "חומת הפרדה" המונעת ביקורת שיפוטית אפקטיבית וחיונית ביחס למכלול רחב של החלטות, לרבות במצבים שבהם הפנייה לערכאות הייתה עשויה ליתן סעד מהיר ויעיל.</w:t>
      </w:r>
    </w:p>
    <w:p w:rsidR="00E31875" w:rsidRDefault="00E31875" w:rsidP="00E31875">
      <w:pPr>
        <w:spacing w:line="360" w:lineRule="auto"/>
        <w:jc w:val="both"/>
        <w:rPr>
          <w:rFonts w:ascii="FrankRuehl" w:hAnsi="FrankRuehl" w:cs="FrankRuehl"/>
          <w:sz w:val="28"/>
          <w:szCs w:val="28"/>
          <w:rtl/>
        </w:rPr>
      </w:pPr>
      <w:r>
        <w:rPr>
          <w:rFonts w:ascii="FrankRuehl" w:hAnsi="FrankRuehl" w:cs="FrankRuehl" w:hint="cs"/>
          <w:sz w:val="28"/>
          <w:szCs w:val="28"/>
          <w:rtl/>
        </w:rPr>
        <w:t xml:space="preserve"> </w:t>
      </w:r>
    </w:p>
    <w:p w:rsidR="00E31875" w:rsidRDefault="00E31875" w:rsidP="00E31875">
      <w:pPr>
        <w:pStyle w:val="Ruller41"/>
        <w:rPr>
          <w:rtl/>
        </w:rPr>
      </w:pPr>
      <w:r>
        <w:rPr>
          <w:rFonts w:hint="cs"/>
          <w:rtl/>
        </w:rPr>
        <w:t xml:space="preserve">29. </w:t>
      </w:r>
      <w:r>
        <w:rPr>
          <w:rFonts w:hint="cs"/>
          <w:rtl/>
        </w:rPr>
        <w:tab/>
        <w:t xml:space="preserve">בראייה היסטורית, ניתן לומר שגישה המצדדת בקביעת תחומים שבהם אין תחולה לביקורת שיפוטית על השלטון, הגם שהופרו כללים משפטיים </w:t>
      </w:r>
      <w:r>
        <w:rPr>
          <w:rtl/>
        </w:rPr>
        <w:t>–</w:t>
      </w:r>
      <w:r>
        <w:rPr>
          <w:rFonts w:hint="cs"/>
          <w:rtl/>
        </w:rPr>
        <w:t xml:space="preserve"> היא גישה שקדמה לדמוקרטיזציה של שיטות המשפט בנות זמננו. מלכים מורמים מעם לא היו כפופים, לכל דבר ועניין, לביקורת שיפוטית. החלת שלטון החוק על השלטון עצמו היא האנטי-תזה לכך. למעשה, התפתחותו של המשפט המודרני הביאה להסרת חסינויות רחבות שהוקנו בעבר לשלטון המרכזי (המיוצג לעתים על-ידי "הכתר" או "המלך"). דוגמה אחת לכך, מתחום דיני הנזיקין, היא </w:t>
      </w:r>
      <w:r w:rsidRPr="005A1936">
        <w:rPr>
          <w:rtl/>
        </w:rPr>
        <w:t>חוק הנזיקים האזרחיים (אחריות המדינה), התשי"ב-1952</w:t>
      </w:r>
      <w:r>
        <w:rPr>
          <w:rFonts w:hint="cs"/>
          <w:rtl/>
        </w:rPr>
        <w:t xml:space="preserve">. במסגרת החוק האמור זנח המשפט הישראלי את העמדה המסורתית של המשפט האנגלי (וגם של המשפט המנדטורי) אשר צידדה בחסינות הכתר וממילא גם בחוסר האפשרות להכפיף אותו לבקרה של בתי המשפט. עמדה זו יוצגה על-ידי המימרה </w:t>
      </w:r>
      <w:r>
        <w:rPr>
          <w:rFonts w:hint="cs"/>
          <w:rtl/>
        </w:rPr>
        <w:lastRenderedPageBreak/>
        <w:t xml:space="preserve">הנודעת </w:t>
      </w:r>
      <w:r>
        <w:rPr>
          <w:rFonts w:asciiTheme="majorBidi" w:hAnsiTheme="majorBidi" w:cstheme="majorBidi"/>
          <w:sz w:val="24"/>
          <w:szCs w:val="24"/>
        </w:rPr>
        <w:t>"</w:t>
      </w:r>
      <w:r w:rsidRPr="006D14F8">
        <w:rPr>
          <w:rFonts w:asciiTheme="majorBidi" w:hAnsiTheme="majorBidi" w:cstheme="majorBidi"/>
          <w:sz w:val="24"/>
          <w:szCs w:val="24"/>
        </w:rPr>
        <w:t>The King can do no wro</w:t>
      </w:r>
      <w:r>
        <w:rPr>
          <w:rFonts w:asciiTheme="majorBidi" w:hAnsiTheme="majorBidi" w:cstheme="majorBidi"/>
          <w:sz w:val="24"/>
          <w:szCs w:val="24"/>
        </w:rPr>
        <w:t>ng"</w:t>
      </w:r>
      <w:r>
        <w:rPr>
          <w:rFonts w:hint="cs"/>
          <w:rtl/>
        </w:rPr>
        <w:t xml:space="preserve">, כפי שהזכיר גם חברי השופט </w:t>
      </w:r>
      <w:r w:rsidRPr="00D87434">
        <w:rPr>
          <w:rFonts w:ascii="Century" w:hAnsi="Century" w:cs="Miriam" w:hint="cs"/>
          <w:b/>
          <w:spacing w:val="0"/>
          <w:szCs w:val="24"/>
          <w:rtl/>
        </w:rPr>
        <w:t>י' עמית</w:t>
      </w:r>
      <w:r>
        <w:rPr>
          <w:rFonts w:hint="cs"/>
          <w:rtl/>
        </w:rPr>
        <w:t xml:space="preserve">. על משמעותו של השינוי נאמר כבר בפסיקתנו כי הייתה זו "שעתו היפה של המשפט הישראלי" (ראו: ע"א 243/83 </w:t>
      </w:r>
      <w:r w:rsidRPr="00D87434">
        <w:rPr>
          <w:rFonts w:ascii="Century" w:hAnsi="Century" w:cs="Miriam" w:hint="cs"/>
          <w:b/>
          <w:spacing w:val="0"/>
          <w:szCs w:val="24"/>
          <w:rtl/>
        </w:rPr>
        <w:t>עיריית ירושלים נ' גורדון</w:t>
      </w:r>
      <w:r>
        <w:rPr>
          <w:rFonts w:hint="cs"/>
          <w:rtl/>
        </w:rPr>
        <w:t>, פ"ד לט(1) 113, 134 (1985)). דוגמה נוספת לכך היא ביטולו של סעיף 5 ב</w:t>
      </w:r>
      <w:r w:rsidRPr="00DA2CFC">
        <w:rPr>
          <w:rtl/>
        </w:rPr>
        <w:t xml:space="preserve">חוק לתיקון סדרי הדין האזרחי (המדינה כבעל דין), </w:t>
      </w:r>
      <w:r>
        <w:rPr>
          <w:rFonts w:hint="cs"/>
          <w:rtl/>
        </w:rPr>
        <w:t>ה</w:t>
      </w:r>
      <w:r>
        <w:rPr>
          <w:rtl/>
        </w:rPr>
        <w:t>תשי"ח-1958</w:t>
      </w:r>
      <w:r>
        <w:rPr>
          <w:rFonts w:hint="cs"/>
          <w:rtl/>
        </w:rPr>
        <w:t>, אשר הורה כי "לא יתן בית המשפט סעד נגד המדינה בדרך צו מניעה או ביצוע בעין; והוא כשאין בחוק הוראה אחרת" (ראו</w:t>
      </w:r>
      <w:r>
        <w:t>:</w:t>
      </w:r>
      <w:r>
        <w:rPr>
          <w:rFonts w:hint="cs"/>
          <w:rtl/>
        </w:rPr>
        <w:t xml:space="preserve"> </w:t>
      </w:r>
      <w:r w:rsidRPr="005A1936">
        <w:rPr>
          <w:rtl/>
        </w:rPr>
        <w:t>חוק לתיקון סדרי הדין האזרחי</w:t>
      </w:r>
      <w:r>
        <w:rPr>
          <w:rFonts w:hint="cs"/>
          <w:rtl/>
        </w:rPr>
        <w:t xml:space="preserve"> </w:t>
      </w:r>
      <w:r w:rsidRPr="005A1936">
        <w:rPr>
          <w:rtl/>
        </w:rPr>
        <w:t>(המדינה כבעל דין)</w:t>
      </w:r>
      <w:r>
        <w:rPr>
          <w:rFonts w:hint="cs"/>
          <w:rtl/>
        </w:rPr>
        <w:t xml:space="preserve"> </w:t>
      </w:r>
      <w:r w:rsidRPr="005A1936">
        <w:rPr>
          <w:rtl/>
        </w:rPr>
        <w:t>(תיקון),</w:t>
      </w:r>
      <w:r>
        <w:rPr>
          <w:rFonts w:hint="cs"/>
          <w:rtl/>
        </w:rPr>
        <w:t xml:space="preserve"> התשנ"ט-1998). אינני טוענת כי יש דמיון מלא בין דברי החקיקה שהובאו מתחום המשפט האזרחי לבין התיקון שאנו דנים בו כעת </w:t>
      </w:r>
      <w:r>
        <w:rPr>
          <w:rtl/>
        </w:rPr>
        <w:t>–</w:t>
      </w:r>
      <w:r>
        <w:rPr>
          <w:rFonts w:hint="cs"/>
          <w:rtl/>
        </w:rPr>
        <w:t xml:space="preserve"> אך אין ספק שהתפיסה הדמוקרטית אינה מצדדת בחסינות רחבה של גורמים שלטוניים מפני ביקורת שיפוטית בכל תחומי המשפט.</w:t>
      </w:r>
      <w:r>
        <w:rPr>
          <w:rtl/>
        </w:rPr>
        <w:t xml:space="preserve">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30. </w:t>
      </w:r>
      <w:r>
        <w:rPr>
          <w:rFonts w:hint="cs"/>
          <w:rtl/>
        </w:rPr>
        <w:tab/>
        <w:t xml:space="preserve">בדברים אלה אין כדי לגרוע מן ההכרה בכך שמעמדה המיוחד של הממשלה ורוחב סמכויותיה הכתיבו, מאז ומתמיד, ביקורת שיפוטית זהירה ומצומצמת על החלטות מדיניות מובהקות שלה. היקף החלתה של עילת הסבירות (להבדיל מן השאלה אם היא יכולה לשמש בסיס לביקורת שיפוטית אם לאו) הושפע תמיד מזהותה של הרשות שקיבלה את ההחלטה, טיב סמכויותיה והקשר הדיון (ראו עוד: דפנה ברק-ארז </w:t>
      </w:r>
      <w:r w:rsidRPr="00D87434">
        <w:rPr>
          <w:rFonts w:ascii="Century" w:hAnsi="Century" w:cs="Miriam" w:hint="cs"/>
          <w:b/>
          <w:spacing w:val="0"/>
          <w:szCs w:val="24"/>
          <w:rtl/>
        </w:rPr>
        <w:t>משפט מינהלי</w:t>
      </w:r>
      <w:r w:rsidRPr="006D14F8">
        <w:rPr>
          <w:rFonts w:hint="cs"/>
          <w:rtl/>
        </w:rPr>
        <w:t xml:space="preserve"> </w:t>
      </w:r>
      <w:r>
        <w:rPr>
          <w:rFonts w:hint="cs"/>
          <w:rtl/>
        </w:rPr>
        <w:t xml:space="preserve">כרך ב 760-757 (2010) (להלן: </w:t>
      </w:r>
      <w:r w:rsidRPr="00D87434">
        <w:rPr>
          <w:rFonts w:ascii="Century" w:hAnsi="Century" w:cs="Miriam" w:hint="cs"/>
          <w:b/>
          <w:spacing w:val="0"/>
          <w:szCs w:val="24"/>
          <w:rtl/>
        </w:rPr>
        <w:t>ברק-ארז ב</w:t>
      </w:r>
      <w:r>
        <w:rPr>
          <w:rFonts w:hint="cs"/>
          <w:rtl/>
        </w:rPr>
        <w:t xml:space="preserve">)). עוד יש לומר, כי התיקון שבפנינו אף שונה מהדיון בשפיטותן של סוגיות מסוימות (ראו: </w:t>
      </w:r>
      <w:r w:rsidRPr="00F1710A">
        <w:rPr>
          <w:rtl/>
        </w:rPr>
        <w:t xml:space="preserve">דפנה ברק-ארז </w:t>
      </w:r>
      <w:r w:rsidRPr="00D87434">
        <w:rPr>
          <w:rFonts w:ascii="Century" w:hAnsi="Century" w:cs="Miriam"/>
          <w:b/>
          <w:spacing w:val="0"/>
          <w:szCs w:val="24"/>
          <w:rtl/>
        </w:rPr>
        <w:t>משפט מינהלי</w:t>
      </w:r>
      <w:r w:rsidRPr="00D87434">
        <w:rPr>
          <w:rFonts w:hint="cs"/>
          <w:rtl/>
        </w:rPr>
        <w:t xml:space="preserve"> </w:t>
      </w:r>
      <w:r>
        <w:rPr>
          <w:rFonts w:hint="cs"/>
          <w:rtl/>
        </w:rPr>
        <w:t xml:space="preserve">כרך ד </w:t>
      </w:r>
      <w:r>
        <w:rPr>
          <w:rtl/>
        </w:rPr>
        <w:t>–</w:t>
      </w:r>
      <w:r>
        <w:rPr>
          <w:rFonts w:hint="cs"/>
          <w:rtl/>
        </w:rPr>
        <w:t xml:space="preserve"> משפט מינהלי דיוני</w:t>
      </w:r>
      <w:r w:rsidRPr="00F1710A">
        <w:rPr>
          <w:rtl/>
        </w:rPr>
        <w:t xml:space="preserve"> </w:t>
      </w:r>
      <w:r>
        <w:rPr>
          <w:rFonts w:hint="cs"/>
          <w:rtl/>
        </w:rPr>
        <w:t>345-306</w:t>
      </w:r>
      <w:r w:rsidRPr="00F1710A">
        <w:rPr>
          <w:rtl/>
        </w:rPr>
        <w:t xml:space="preserve"> (2017)</w:t>
      </w:r>
      <w:r>
        <w:rPr>
          <w:rFonts w:hint="cs"/>
          <w:rtl/>
        </w:rPr>
        <w:t xml:space="preserve"> (להלן: </w:t>
      </w:r>
      <w:r w:rsidRPr="00D87434">
        <w:rPr>
          <w:rFonts w:ascii="Century" w:hAnsi="Century" w:cs="Miriam" w:hint="eastAsia"/>
          <w:b/>
          <w:spacing w:val="0"/>
          <w:szCs w:val="24"/>
          <w:rtl/>
        </w:rPr>
        <w:t>ברק</w:t>
      </w:r>
      <w:r w:rsidRPr="00D87434">
        <w:rPr>
          <w:rFonts w:ascii="Century" w:hAnsi="Century" w:cs="Miriam"/>
          <w:b/>
          <w:spacing w:val="0"/>
          <w:szCs w:val="24"/>
          <w:rtl/>
        </w:rPr>
        <w:t xml:space="preserve">-ארז </w:t>
      </w:r>
      <w:r w:rsidRPr="00D87434">
        <w:rPr>
          <w:rFonts w:ascii="Century" w:hAnsi="Century" w:cs="Miriam" w:hint="eastAsia"/>
          <w:b/>
          <w:spacing w:val="0"/>
          <w:szCs w:val="24"/>
          <w:rtl/>
        </w:rPr>
        <w:t>ד</w:t>
      </w:r>
      <w:r>
        <w:rPr>
          <w:rFonts w:hint="cs"/>
          <w:rtl/>
        </w:rPr>
        <w:t xml:space="preserve">)). כאשר בית משפט נמנע מהכרעה ביחס לסוגיה מסוימת שאותה הוא מוצא כלא שפיטה </w:t>
      </w:r>
      <w:r>
        <w:rPr>
          <w:rtl/>
        </w:rPr>
        <w:t>–</w:t>
      </w:r>
      <w:r>
        <w:rPr>
          <w:rFonts w:hint="cs"/>
          <w:rtl/>
        </w:rPr>
        <w:t xml:space="preserve"> ומבלי להידרש לחילוקי הדעות בשאלה זו </w:t>
      </w:r>
      <w:r>
        <w:rPr>
          <w:rtl/>
        </w:rPr>
        <w:t>–</w:t>
      </w:r>
      <w:r>
        <w:rPr>
          <w:rFonts w:hint="cs"/>
          <w:rtl/>
        </w:rPr>
        <w:t xml:space="preserve"> הוא עושה כן בגדרי שיקול הדעת המסור לו בהפעלת סמכותו, ולא מכוח חוק יסוד המגביל את סמכותו.</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31</w:t>
      </w:r>
      <w:r w:rsidRPr="009A2B88">
        <w:rPr>
          <w:rtl/>
        </w:rPr>
        <w:t xml:space="preserve">. </w:t>
      </w:r>
      <w:r w:rsidRPr="009A2B88">
        <w:rPr>
          <w:rtl/>
        </w:rPr>
        <w:tab/>
      </w:r>
      <w:r w:rsidRPr="009A2B88">
        <w:rPr>
          <w:rFonts w:hint="eastAsia"/>
          <w:rtl/>
        </w:rPr>
        <w:t>בשלב</w:t>
      </w:r>
      <w:r w:rsidRPr="009A2B88">
        <w:rPr>
          <w:rtl/>
        </w:rPr>
        <w:t xml:space="preserve"> </w:t>
      </w:r>
      <w:r w:rsidRPr="009A2B88">
        <w:rPr>
          <w:rFonts w:hint="eastAsia"/>
          <w:rtl/>
        </w:rPr>
        <w:t>זה</w:t>
      </w:r>
      <w:r w:rsidRPr="009A2B88">
        <w:rPr>
          <w:rtl/>
        </w:rPr>
        <w:t xml:space="preserve"> </w:t>
      </w:r>
      <w:r w:rsidRPr="009A2B88">
        <w:rPr>
          <w:rFonts w:hint="eastAsia"/>
          <w:rtl/>
        </w:rPr>
        <w:t>אבקש</w:t>
      </w:r>
      <w:r w:rsidRPr="009A2B88">
        <w:rPr>
          <w:rtl/>
        </w:rPr>
        <w:t xml:space="preserve"> </w:t>
      </w:r>
      <w:r w:rsidRPr="009A2B88">
        <w:rPr>
          <w:rFonts w:hint="eastAsia"/>
          <w:rtl/>
        </w:rPr>
        <w:t>לבחון</w:t>
      </w:r>
      <w:r w:rsidRPr="009A2B88">
        <w:rPr>
          <w:rtl/>
        </w:rPr>
        <w:t xml:space="preserve"> </w:t>
      </w:r>
      <w:r w:rsidRPr="009A2B88">
        <w:rPr>
          <w:rFonts w:hint="eastAsia"/>
          <w:rtl/>
        </w:rPr>
        <w:t>את</w:t>
      </w:r>
      <w:r w:rsidRPr="009A2B88">
        <w:rPr>
          <w:rtl/>
        </w:rPr>
        <w:t xml:space="preserve"> </w:t>
      </w:r>
      <w:r w:rsidRPr="009A2B88">
        <w:rPr>
          <w:rFonts w:hint="eastAsia"/>
          <w:rtl/>
        </w:rPr>
        <w:t>משמעותו</w:t>
      </w:r>
      <w:r w:rsidRPr="009A2B88">
        <w:rPr>
          <w:rtl/>
        </w:rPr>
        <w:t xml:space="preserve"> </w:t>
      </w:r>
      <w:r w:rsidRPr="009A2B88">
        <w:rPr>
          <w:rFonts w:hint="eastAsia"/>
          <w:rtl/>
        </w:rPr>
        <w:t>של</w:t>
      </w:r>
      <w:r w:rsidRPr="009A2B88">
        <w:rPr>
          <w:rtl/>
        </w:rPr>
        <w:t xml:space="preserve"> </w:t>
      </w:r>
      <w:r w:rsidRPr="009A2B88">
        <w:rPr>
          <w:rFonts w:hint="eastAsia"/>
          <w:rtl/>
        </w:rPr>
        <w:t>התיקון</w:t>
      </w:r>
      <w:r w:rsidRPr="009A2B88">
        <w:rPr>
          <w:rtl/>
        </w:rPr>
        <w:t xml:space="preserve"> </w:t>
      </w:r>
      <w:r w:rsidRPr="009A2B88">
        <w:rPr>
          <w:rFonts w:hint="eastAsia"/>
          <w:rtl/>
        </w:rPr>
        <w:t>הלכה</w:t>
      </w:r>
      <w:r w:rsidRPr="009A2B88">
        <w:rPr>
          <w:rtl/>
        </w:rPr>
        <w:t xml:space="preserve"> </w:t>
      </w:r>
      <w:r w:rsidRPr="009A2B88">
        <w:rPr>
          <w:rFonts w:hint="eastAsia"/>
          <w:rtl/>
        </w:rPr>
        <w:t>למעשה</w:t>
      </w:r>
      <w:r w:rsidRPr="009A2B88">
        <w:rPr>
          <w:rtl/>
        </w:rPr>
        <w:t xml:space="preserve">. </w:t>
      </w:r>
      <w:r w:rsidRPr="009A2B88">
        <w:rPr>
          <w:rFonts w:hint="eastAsia"/>
          <w:rtl/>
        </w:rPr>
        <w:t>לצורך</w:t>
      </w:r>
      <w:r w:rsidRPr="009A2B88">
        <w:rPr>
          <w:rtl/>
        </w:rPr>
        <w:t xml:space="preserve"> </w:t>
      </w:r>
      <w:r w:rsidRPr="009A2B88">
        <w:rPr>
          <w:rFonts w:hint="eastAsia"/>
          <w:rtl/>
        </w:rPr>
        <w:t>כך</w:t>
      </w:r>
      <w:r w:rsidRPr="009A2B88">
        <w:rPr>
          <w:rtl/>
        </w:rPr>
        <w:t xml:space="preserve"> </w:t>
      </w:r>
      <w:r w:rsidRPr="009A2B88">
        <w:rPr>
          <w:rFonts w:hint="eastAsia"/>
          <w:rtl/>
        </w:rPr>
        <w:t>אפתח</w:t>
      </w:r>
      <w:r w:rsidRPr="009A2B88">
        <w:rPr>
          <w:rtl/>
        </w:rPr>
        <w:t xml:space="preserve"> </w:t>
      </w:r>
      <w:r w:rsidRPr="009A2B88">
        <w:rPr>
          <w:rFonts w:hint="eastAsia"/>
          <w:rtl/>
        </w:rPr>
        <w:t>בדוגמה</w:t>
      </w:r>
      <w:r w:rsidRPr="009A2B88">
        <w:rPr>
          <w:rtl/>
        </w:rPr>
        <w:t xml:space="preserve"> </w:t>
      </w:r>
      <w:r w:rsidRPr="009A2B88">
        <w:rPr>
          <w:rFonts w:hint="eastAsia"/>
          <w:rtl/>
        </w:rPr>
        <w:t>מובהקת</w:t>
      </w:r>
      <w:r w:rsidRPr="009A2B88">
        <w:rPr>
          <w:rtl/>
        </w:rPr>
        <w:t xml:space="preserve"> </w:t>
      </w:r>
      <w:r w:rsidRPr="009A2B88">
        <w:rPr>
          <w:rFonts w:hint="eastAsia"/>
          <w:rtl/>
        </w:rPr>
        <w:t>הנוגעת</w:t>
      </w:r>
      <w:r w:rsidRPr="009A2B88">
        <w:rPr>
          <w:rtl/>
        </w:rPr>
        <w:t xml:space="preserve"> </w:t>
      </w:r>
      <w:r w:rsidRPr="009A2B88">
        <w:rPr>
          <w:rFonts w:hint="eastAsia"/>
          <w:rtl/>
        </w:rPr>
        <w:t>לתחולתו</w:t>
      </w:r>
      <w:r w:rsidRPr="009A2B88">
        <w:rPr>
          <w:rtl/>
        </w:rPr>
        <w:t xml:space="preserve"> </w:t>
      </w:r>
      <w:r w:rsidRPr="009A2B88">
        <w:rPr>
          <w:rFonts w:hint="eastAsia"/>
          <w:rtl/>
        </w:rPr>
        <w:t>של</w:t>
      </w:r>
      <w:r w:rsidRPr="009A2B88">
        <w:rPr>
          <w:rtl/>
        </w:rPr>
        <w:t xml:space="preserve"> </w:t>
      </w:r>
      <w:r w:rsidRPr="009A2B88">
        <w:rPr>
          <w:rFonts w:hint="eastAsia"/>
          <w:rtl/>
        </w:rPr>
        <w:t>תיקון</w:t>
      </w:r>
      <w:r w:rsidRPr="009A2B88">
        <w:rPr>
          <w:rtl/>
        </w:rPr>
        <w:t xml:space="preserve"> </w:t>
      </w:r>
      <w:r w:rsidRPr="009A2B88">
        <w:rPr>
          <w:rFonts w:hint="eastAsia"/>
          <w:rtl/>
        </w:rPr>
        <w:t>מס</w:t>
      </w:r>
      <w:r w:rsidRPr="009A2B88">
        <w:rPr>
          <w:rtl/>
        </w:rPr>
        <w:t xml:space="preserve">' 3 </w:t>
      </w:r>
      <w:r w:rsidRPr="009A2B88">
        <w:rPr>
          <w:rFonts w:hint="eastAsia"/>
          <w:rtl/>
        </w:rPr>
        <w:t>והשלכותיו</w:t>
      </w:r>
      <w:r w:rsidRPr="009A2B88">
        <w:rPr>
          <w:rtl/>
        </w:rPr>
        <w:t xml:space="preserve"> על זכויות של יחידים הצפויים להיפגע: </w:t>
      </w:r>
      <w:r w:rsidRPr="009A2B88">
        <w:rPr>
          <w:rFonts w:hint="eastAsia"/>
          <w:rtl/>
        </w:rPr>
        <w:t>החלטות</w:t>
      </w:r>
      <w:r w:rsidRPr="009A2B88">
        <w:rPr>
          <w:rtl/>
        </w:rPr>
        <w:t xml:space="preserve"> </w:t>
      </w:r>
      <w:r w:rsidRPr="009A2B88">
        <w:rPr>
          <w:rFonts w:hint="eastAsia"/>
          <w:rtl/>
        </w:rPr>
        <w:t>הנוגעות</w:t>
      </w:r>
      <w:r w:rsidRPr="009A2B88">
        <w:rPr>
          <w:rtl/>
        </w:rPr>
        <w:t xml:space="preserve"> </w:t>
      </w:r>
      <w:r w:rsidRPr="009A2B88">
        <w:rPr>
          <w:rFonts w:hint="eastAsia"/>
          <w:rtl/>
        </w:rPr>
        <w:t>למינויים</w:t>
      </w:r>
      <w:r w:rsidRPr="009A2B88">
        <w:rPr>
          <w:rtl/>
        </w:rPr>
        <w:t xml:space="preserve"> </w:t>
      </w:r>
      <w:r w:rsidRPr="009A2B88">
        <w:rPr>
          <w:rFonts w:hint="eastAsia"/>
          <w:rtl/>
        </w:rPr>
        <w:t>ולפיטורין</w:t>
      </w:r>
      <w:r w:rsidRPr="009A2B88">
        <w:rPr>
          <w:rtl/>
        </w:rPr>
        <w:t xml:space="preserve"> בשירות ה</w:t>
      </w:r>
      <w:r>
        <w:rPr>
          <w:rFonts w:hint="cs"/>
          <w:rtl/>
        </w:rPr>
        <w:t>ציבורי</w:t>
      </w:r>
      <w:r w:rsidRPr="009A2B88">
        <w:rPr>
          <w:rtl/>
        </w:rPr>
        <w:t xml:space="preserve">. החלטות מסוג זה הן החלטות אשר באופן מובהק משליכות על זכויות ואינטרסים מוגנים של </w:t>
      </w:r>
      <w:r w:rsidRPr="009A2B88">
        <w:rPr>
          <w:rFonts w:hint="eastAsia"/>
          <w:rtl/>
        </w:rPr>
        <w:t>אותם</w:t>
      </w:r>
      <w:r w:rsidRPr="009A2B88">
        <w:rPr>
          <w:rtl/>
        </w:rPr>
        <w:t xml:space="preserve"> </w:t>
      </w:r>
      <w:r w:rsidRPr="009A2B88">
        <w:rPr>
          <w:rFonts w:hint="eastAsia"/>
          <w:rtl/>
        </w:rPr>
        <w:t>עובדים</w:t>
      </w:r>
      <w:r w:rsidRPr="009A2B88">
        <w:rPr>
          <w:rtl/>
        </w:rPr>
        <w:t xml:space="preserve"> </w:t>
      </w:r>
      <w:r w:rsidRPr="009A2B88">
        <w:rPr>
          <w:rFonts w:hint="eastAsia"/>
          <w:rtl/>
        </w:rPr>
        <w:t>המועסקים</w:t>
      </w:r>
      <w:r w:rsidRPr="009A2B88">
        <w:rPr>
          <w:rtl/>
        </w:rPr>
        <w:t xml:space="preserve"> </w:t>
      </w:r>
      <w:r w:rsidRPr="009A2B88">
        <w:rPr>
          <w:rFonts w:hint="eastAsia"/>
          <w:rtl/>
        </w:rPr>
        <w:t>או</w:t>
      </w:r>
      <w:r w:rsidRPr="009A2B88">
        <w:rPr>
          <w:rtl/>
        </w:rPr>
        <w:t xml:space="preserve"> </w:t>
      </w:r>
      <w:r>
        <w:rPr>
          <w:rFonts w:hint="cs"/>
          <w:rtl/>
        </w:rPr>
        <w:t>ה</w:t>
      </w:r>
      <w:r w:rsidRPr="009A2B88">
        <w:rPr>
          <w:rFonts w:hint="eastAsia"/>
          <w:rtl/>
        </w:rPr>
        <w:t>מבקשים</w:t>
      </w:r>
      <w:r w:rsidRPr="009A2B88">
        <w:rPr>
          <w:rtl/>
        </w:rPr>
        <w:t xml:space="preserve"> </w:t>
      </w:r>
      <w:r w:rsidRPr="009A2B88">
        <w:rPr>
          <w:rFonts w:hint="eastAsia"/>
          <w:rtl/>
        </w:rPr>
        <w:t>להיות</w:t>
      </w:r>
      <w:r w:rsidRPr="009A2B88">
        <w:rPr>
          <w:rtl/>
        </w:rPr>
        <w:t xml:space="preserve"> </w:t>
      </w:r>
      <w:r w:rsidRPr="009A2B88">
        <w:rPr>
          <w:rFonts w:hint="eastAsia"/>
          <w:rtl/>
        </w:rPr>
        <w:t>מועסקים</w:t>
      </w:r>
      <w:r w:rsidRPr="009A2B88">
        <w:rPr>
          <w:rtl/>
        </w:rPr>
        <w:t xml:space="preserve"> </w:t>
      </w:r>
      <w:r w:rsidRPr="009A2B88">
        <w:rPr>
          <w:rFonts w:hint="eastAsia"/>
          <w:rtl/>
        </w:rPr>
        <w:t>בשירות</w:t>
      </w:r>
      <w:r w:rsidRPr="009A2B88">
        <w:rPr>
          <w:rtl/>
        </w:rPr>
        <w:t xml:space="preserve"> </w:t>
      </w:r>
      <w:r w:rsidRPr="009A2B88">
        <w:rPr>
          <w:rFonts w:hint="eastAsia"/>
          <w:rtl/>
        </w:rPr>
        <w:t>המדינה</w:t>
      </w:r>
      <w:r w:rsidRPr="009A2B88">
        <w:rPr>
          <w:rtl/>
        </w:rPr>
        <w:t xml:space="preserve">. </w:t>
      </w:r>
      <w:r w:rsidRPr="009A2B88">
        <w:rPr>
          <w:rFonts w:hint="eastAsia"/>
          <w:rtl/>
        </w:rPr>
        <w:t>חרף</w:t>
      </w:r>
      <w:r w:rsidRPr="009A2B88">
        <w:rPr>
          <w:rtl/>
        </w:rPr>
        <w:t xml:space="preserve"> </w:t>
      </w:r>
      <w:r w:rsidRPr="009A2B88">
        <w:rPr>
          <w:rFonts w:hint="eastAsia"/>
          <w:rtl/>
        </w:rPr>
        <w:t>זאת</w:t>
      </w:r>
      <w:r w:rsidRPr="009A2B88">
        <w:rPr>
          <w:rtl/>
        </w:rPr>
        <w:t xml:space="preserve">, </w:t>
      </w:r>
      <w:r w:rsidRPr="009A2B88">
        <w:rPr>
          <w:rFonts w:hint="eastAsia"/>
          <w:rtl/>
        </w:rPr>
        <w:t>התיקון</w:t>
      </w:r>
      <w:r w:rsidRPr="009A2B88">
        <w:rPr>
          <w:rtl/>
        </w:rPr>
        <w:t xml:space="preserve"> </w:t>
      </w:r>
      <w:r w:rsidRPr="009A2B88">
        <w:rPr>
          <w:rFonts w:hint="eastAsia"/>
          <w:rtl/>
        </w:rPr>
        <w:t>שבפנינו</w:t>
      </w:r>
      <w:r w:rsidRPr="009A2B88">
        <w:rPr>
          <w:rtl/>
        </w:rPr>
        <w:t xml:space="preserve"> </w:t>
      </w:r>
      <w:r w:rsidRPr="009A2B88">
        <w:rPr>
          <w:rFonts w:hint="eastAsia"/>
          <w:rtl/>
        </w:rPr>
        <w:t>חוסם</w:t>
      </w:r>
      <w:r w:rsidRPr="009A2B88">
        <w:rPr>
          <w:rtl/>
        </w:rPr>
        <w:t xml:space="preserve"> </w:t>
      </w:r>
      <w:r w:rsidRPr="009A2B88">
        <w:rPr>
          <w:rFonts w:hint="eastAsia"/>
          <w:rtl/>
        </w:rPr>
        <w:t>באופן</w:t>
      </w:r>
      <w:r w:rsidRPr="009A2B88">
        <w:rPr>
          <w:rtl/>
        </w:rPr>
        <w:t xml:space="preserve"> </w:t>
      </w:r>
      <w:r w:rsidRPr="009A2B88">
        <w:rPr>
          <w:rFonts w:hint="eastAsia"/>
          <w:rtl/>
        </w:rPr>
        <w:t>מוחלט</w:t>
      </w:r>
      <w:r w:rsidRPr="009A2B88">
        <w:rPr>
          <w:rtl/>
        </w:rPr>
        <w:t xml:space="preserve"> </w:t>
      </w:r>
      <w:r w:rsidRPr="009A2B88">
        <w:rPr>
          <w:rFonts w:hint="eastAsia"/>
          <w:rtl/>
        </w:rPr>
        <w:t>את</w:t>
      </w:r>
      <w:r w:rsidRPr="009A2B88">
        <w:rPr>
          <w:rtl/>
        </w:rPr>
        <w:t xml:space="preserve"> </w:t>
      </w:r>
      <w:r w:rsidRPr="009A2B88">
        <w:rPr>
          <w:rFonts w:hint="eastAsia"/>
          <w:rtl/>
        </w:rPr>
        <w:t>דרכם</w:t>
      </w:r>
      <w:r w:rsidRPr="009A2B88">
        <w:rPr>
          <w:rtl/>
        </w:rPr>
        <w:t xml:space="preserve"> </w:t>
      </w:r>
      <w:r w:rsidRPr="009A2B88">
        <w:rPr>
          <w:rFonts w:hint="eastAsia"/>
          <w:rtl/>
        </w:rPr>
        <w:t>לערכאות</w:t>
      </w:r>
      <w:r w:rsidRPr="009A2B88">
        <w:rPr>
          <w:rtl/>
        </w:rPr>
        <w:t xml:space="preserve"> – </w:t>
      </w:r>
      <w:r w:rsidRPr="009A2B88">
        <w:rPr>
          <w:rFonts w:hint="eastAsia"/>
          <w:rtl/>
        </w:rPr>
        <w:t>וחשוב</w:t>
      </w:r>
      <w:r w:rsidRPr="009A2B88">
        <w:rPr>
          <w:rtl/>
        </w:rPr>
        <w:t xml:space="preserve"> </w:t>
      </w:r>
      <w:r w:rsidRPr="009A2B88">
        <w:rPr>
          <w:rFonts w:hint="eastAsia"/>
          <w:rtl/>
        </w:rPr>
        <w:t>להדגיש</w:t>
      </w:r>
      <w:r w:rsidRPr="009A2B88">
        <w:rPr>
          <w:rtl/>
        </w:rPr>
        <w:t xml:space="preserve">: </w:t>
      </w:r>
      <w:r w:rsidRPr="009A2B88">
        <w:rPr>
          <w:rFonts w:hint="eastAsia"/>
          <w:rtl/>
        </w:rPr>
        <w:t>כל</w:t>
      </w:r>
      <w:r w:rsidRPr="009A2B88">
        <w:rPr>
          <w:rtl/>
        </w:rPr>
        <w:t xml:space="preserve"> </w:t>
      </w:r>
      <w:r w:rsidRPr="009A2B88">
        <w:rPr>
          <w:rFonts w:hint="eastAsia"/>
          <w:rtl/>
        </w:rPr>
        <w:t>ערכאות</w:t>
      </w:r>
      <w:r w:rsidRPr="009A2B88">
        <w:rPr>
          <w:rtl/>
        </w:rPr>
        <w:t xml:space="preserve"> השיפוט – ככל שמדובר בעילת הסבירות. </w:t>
      </w:r>
      <w:r w:rsidRPr="009A2B88">
        <w:rPr>
          <w:rFonts w:hint="eastAsia"/>
          <w:rtl/>
        </w:rPr>
        <w:t>לצורך</w:t>
      </w:r>
      <w:r w:rsidRPr="009A2B88">
        <w:rPr>
          <w:rtl/>
        </w:rPr>
        <w:t xml:space="preserve"> המחשה, </w:t>
      </w:r>
      <w:r w:rsidRPr="009A2B88">
        <w:rPr>
          <w:rFonts w:hint="eastAsia"/>
          <w:rtl/>
        </w:rPr>
        <w:t>בהתחשב</w:t>
      </w:r>
      <w:r w:rsidRPr="009A2B88">
        <w:rPr>
          <w:rtl/>
        </w:rPr>
        <w:t xml:space="preserve"> באמור </w:t>
      </w:r>
      <w:r w:rsidRPr="009A2B88">
        <w:rPr>
          <w:rFonts w:hint="eastAsia"/>
          <w:rtl/>
        </w:rPr>
        <w:t>בתיקון</w:t>
      </w:r>
      <w:r w:rsidRPr="009A2B88">
        <w:rPr>
          <w:rtl/>
        </w:rPr>
        <w:t xml:space="preserve"> </w:t>
      </w:r>
      <w:r w:rsidRPr="009A2B88">
        <w:rPr>
          <w:rFonts w:hint="eastAsia"/>
          <w:rtl/>
        </w:rPr>
        <w:t>מס</w:t>
      </w:r>
      <w:r w:rsidRPr="009A2B88">
        <w:rPr>
          <w:rtl/>
        </w:rPr>
        <w:t xml:space="preserve">' 3, דרכם </w:t>
      </w:r>
      <w:r w:rsidRPr="009A2B88">
        <w:rPr>
          <w:rFonts w:hint="eastAsia"/>
          <w:rtl/>
        </w:rPr>
        <w:t>של</w:t>
      </w:r>
      <w:r w:rsidRPr="009A2B88">
        <w:rPr>
          <w:rtl/>
        </w:rPr>
        <w:t xml:space="preserve"> </w:t>
      </w:r>
      <w:r w:rsidRPr="009A2B88">
        <w:rPr>
          <w:rFonts w:hint="eastAsia"/>
          <w:rtl/>
        </w:rPr>
        <w:t>מי</w:t>
      </w:r>
      <w:r w:rsidRPr="009A2B88">
        <w:rPr>
          <w:rtl/>
        </w:rPr>
        <w:t xml:space="preserve"> </w:t>
      </w:r>
      <w:r w:rsidRPr="009A2B88">
        <w:rPr>
          <w:rFonts w:hint="eastAsia"/>
          <w:rtl/>
        </w:rPr>
        <w:t>שנפגעו</w:t>
      </w:r>
      <w:r w:rsidRPr="009A2B88">
        <w:rPr>
          <w:rtl/>
        </w:rPr>
        <w:t xml:space="preserve"> כתוצאה מהחלטה של </w:t>
      </w:r>
      <w:r w:rsidRPr="009A2B88">
        <w:rPr>
          <w:rFonts w:hint="eastAsia"/>
          <w:rtl/>
        </w:rPr>
        <w:t>הממשלה</w:t>
      </w:r>
      <w:r w:rsidRPr="009A2B88">
        <w:rPr>
          <w:rtl/>
        </w:rPr>
        <w:t xml:space="preserve"> </w:t>
      </w:r>
      <w:r w:rsidRPr="009A2B88">
        <w:rPr>
          <w:rFonts w:hint="eastAsia"/>
          <w:rtl/>
        </w:rPr>
        <w:t>ושריה</w:t>
      </w:r>
      <w:r w:rsidRPr="009A2B88">
        <w:rPr>
          <w:rtl/>
        </w:rPr>
        <w:t xml:space="preserve"> </w:t>
      </w:r>
      <w:r w:rsidRPr="009A2B88">
        <w:rPr>
          <w:rFonts w:hint="eastAsia"/>
          <w:rtl/>
        </w:rPr>
        <w:t>ביחס</w:t>
      </w:r>
      <w:r w:rsidRPr="009A2B88">
        <w:rPr>
          <w:rtl/>
        </w:rPr>
        <w:t xml:space="preserve"> </w:t>
      </w:r>
      <w:r w:rsidRPr="009A2B88">
        <w:rPr>
          <w:rFonts w:hint="eastAsia"/>
          <w:rtl/>
        </w:rPr>
        <w:t>למינוי</w:t>
      </w:r>
      <w:r w:rsidRPr="009A2B88">
        <w:rPr>
          <w:rtl/>
        </w:rPr>
        <w:t xml:space="preserve"> </w:t>
      </w:r>
      <w:r w:rsidRPr="009A2B88">
        <w:rPr>
          <w:rFonts w:hint="eastAsia"/>
          <w:rtl/>
        </w:rPr>
        <w:t>או</w:t>
      </w:r>
      <w:r w:rsidRPr="009A2B88">
        <w:rPr>
          <w:rtl/>
        </w:rPr>
        <w:t xml:space="preserve"> </w:t>
      </w:r>
      <w:r w:rsidRPr="009A2B88">
        <w:rPr>
          <w:rFonts w:hint="eastAsia"/>
          <w:rtl/>
        </w:rPr>
        <w:t>הפסקת</w:t>
      </w:r>
      <w:r w:rsidRPr="009A2B88">
        <w:rPr>
          <w:rtl/>
        </w:rPr>
        <w:t xml:space="preserve"> </w:t>
      </w:r>
      <w:r w:rsidRPr="009A2B88">
        <w:rPr>
          <w:rFonts w:hint="eastAsia"/>
          <w:rtl/>
        </w:rPr>
        <w:t>העסקה</w:t>
      </w:r>
      <w:r w:rsidRPr="009A2B88">
        <w:rPr>
          <w:rtl/>
        </w:rPr>
        <w:t xml:space="preserve">, </w:t>
      </w:r>
      <w:r w:rsidRPr="009A2B88">
        <w:rPr>
          <w:rFonts w:hint="eastAsia"/>
          <w:rtl/>
        </w:rPr>
        <w:t>תהיה</w:t>
      </w:r>
      <w:r w:rsidRPr="009A2B88">
        <w:rPr>
          <w:rtl/>
        </w:rPr>
        <w:t xml:space="preserve"> חסומה לקבלת סעד </w:t>
      </w:r>
      <w:r w:rsidRPr="009A2B88">
        <w:rPr>
          <w:rFonts w:hint="eastAsia"/>
          <w:rtl/>
        </w:rPr>
        <w:t>בשל</w:t>
      </w:r>
      <w:r w:rsidRPr="009A2B88">
        <w:rPr>
          <w:rtl/>
        </w:rPr>
        <w:t xml:space="preserve"> </w:t>
      </w:r>
      <w:r w:rsidRPr="009A2B88">
        <w:rPr>
          <w:rFonts w:hint="eastAsia"/>
          <w:rtl/>
        </w:rPr>
        <w:t>חוסר</w:t>
      </w:r>
      <w:r w:rsidRPr="009A2B88">
        <w:rPr>
          <w:rtl/>
        </w:rPr>
        <w:t xml:space="preserve"> </w:t>
      </w:r>
      <w:r w:rsidRPr="009A2B88">
        <w:rPr>
          <w:rFonts w:hint="eastAsia"/>
          <w:rtl/>
        </w:rPr>
        <w:t>הסבירות</w:t>
      </w:r>
      <w:r w:rsidRPr="009A2B88">
        <w:rPr>
          <w:rtl/>
        </w:rPr>
        <w:t xml:space="preserve"> </w:t>
      </w:r>
      <w:r w:rsidRPr="009A2B88">
        <w:rPr>
          <w:rFonts w:hint="eastAsia"/>
          <w:rtl/>
        </w:rPr>
        <w:t>שלה</w:t>
      </w:r>
      <w:r w:rsidRPr="009A2B88">
        <w:rPr>
          <w:rtl/>
        </w:rPr>
        <w:t xml:space="preserve"> </w:t>
      </w:r>
      <w:r w:rsidRPr="009A2B88">
        <w:rPr>
          <w:rFonts w:hint="eastAsia"/>
          <w:rtl/>
        </w:rPr>
        <w:t>אף</w:t>
      </w:r>
      <w:r w:rsidRPr="009A2B88">
        <w:rPr>
          <w:rtl/>
        </w:rPr>
        <w:t xml:space="preserve"> </w:t>
      </w:r>
      <w:r w:rsidRPr="009A2B88">
        <w:rPr>
          <w:rFonts w:hint="eastAsia"/>
          <w:rtl/>
        </w:rPr>
        <w:t>בבית</w:t>
      </w:r>
      <w:r w:rsidRPr="009A2B88">
        <w:rPr>
          <w:rtl/>
        </w:rPr>
        <w:t xml:space="preserve"> </w:t>
      </w:r>
      <w:r w:rsidRPr="009A2B88">
        <w:rPr>
          <w:rFonts w:hint="eastAsia"/>
          <w:rtl/>
        </w:rPr>
        <w:t>הדין</w:t>
      </w:r>
      <w:r w:rsidRPr="009A2B88">
        <w:rPr>
          <w:rtl/>
        </w:rPr>
        <w:t xml:space="preserve"> </w:t>
      </w:r>
      <w:r w:rsidRPr="009A2B88">
        <w:rPr>
          <w:rFonts w:hint="eastAsia"/>
          <w:rtl/>
        </w:rPr>
        <w:t>לעבודה</w:t>
      </w:r>
      <w:r w:rsidRPr="009A2B88">
        <w:rPr>
          <w:rtl/>
        </w:rPr>
        <w:t xml:space="preserve">. </w:t>
      </w:r>
      <w:r w:rsidRPr="009A2B88">
        <w:rPr>
          <w:rFonts w:hint="eastAsia"/>
          <w:rtl/>
        </w:rPr>
        <w:t>הפגיעה</w:t>
      </w:r>
      <w:r w:rsidRPr="009A2B88">
        <w:rPr>
          <w:rtl/>
        </w:rPr>
        <w:t xml:space="preserve"> </w:t>
      </w:r>
      <w:r w:rsidRPr="009A2B88">
        <w:rPr>
          <w:rFonts w:hint="eastAsia"/>
          <w:rtl/>
        </w:rPr>
        <w:t>בשלטון</w:t>
      </w:r>
      <w:r w:rsidRPr="009A2B88">
        <w:rPr>
          <w:rtl/>
        </w:rPr>
        <w:t xml:space="preserve"> </w:t>
      </w:r>
      <w:r w:rsidRPr="009A2B88">
        <w:rPr>
          <w:rFonts w:hint="eastAsia"/>
          <w:rtl/>
        </w:rPr>
        <w:t>החוק</w:t>
      </w:r>
      <w:r w:rsidRPr="009A2B88">
        <w:rPr>
          <w:rtl/>
        </w:rPr>
        <w:t xml:space="preserve"> </w:t>
      </w:r>
      <w:r w:rsidRPr="009A2B88">
        <w:rPr>
          <w:rFonts w:hint="eastAsia"/>
          <w:rtl/>
        </w:rPr>
        <w:t>היא</w:t>
      </w:r>
      <w:r w:rsidRPr="009A2B88">
        <w:rPr>
          <w:rtl/>
        </w:rPr>
        <w:t xml:space="preserve"> </w:t>
      </w:r>
      <w:r w:rsidRPr="009A2B88">
        <w:rPr>
          <w:rFonts w:hint="eastAsia"/>
          <w:rtl/>
        </w:rPr>
        <w:t>אפוא</w:t>
      </w:r>
      <w:r w:rsidRPr="009A2B88">
        <w:rPr>
          <w:rtl/>
        </w:rPr>
        <w:t xml:space="preserve"> </w:t>
      </w:r>
      <w:r w:rsidRPr="009A2B88">
        <w:rPr>
          <w:rFonts w:hint="eastAsia"/>
          <w:rtl/>
        </w:rPr>
        <w:t>מיידית</w:t>
      </w:r>
      <w:r w:rsidRPr="009A2B88">
        <w:rPr>
          <w:rtl/>
        </w:rPr>
        <w:t>, אישית ומוחלטת. דוגמה זו היא חשובה, בין השאר, משום שב</w:t>
      </w:r>
      <w:r w:rsidRPr="009A2B88">
        <w:rPr>
          <w:rFonts w:hint="eastAsia"/>
          <w:rtl/>
        </w:rPr>
        <w:t>כל</w:t>
      </w:r>
      <w:r w:rsidRPr="009A2B88">
        <w:rPr>
          <w:rtl/>
        </w:rPr>
        <w:t xml:space="preserve"> הנוגע למינויים לתפקידים ולהעסקת עובדים </w:t>
      </w:r>
      <w:r w:rsidRPr="009A2B88">
        <w:rPr>
          <w:rFonts w:hint="eastAsia"/>
          <w:rtl/>
        </w:rPr>
        <w:t>ההגנה</w:t>
      </w:r>
      <w:r w:rsidRPr="009A2B88">
        <w:rPr>
          <w:rtl/>
        </w:rPr>
        <w:t xml:space="preserve"> על זכויות היא </w:t>
      </w:r>
      <w:r w:rsidRPr="009A2B88">
        <w:rPr>
          <w:rFonts w:hint="eastAsia"/>
          <w:rtl/>
        </w:rPr>
        <w:t>חיונית</w:t>
      </w:r>
      <w:r w:rsidRPr="009A2B88">
        <w:rPr>
          <w:rtl/>
        </w:rPr>
        <w:t xml:space="preserve">, </w:t>
      </w:r>
      <w:r w:rsidRPr="009A2B88">
        <w:rPr>
          <w:rFonts w:hint="eastAsia"/>
          <w:rtl/>
        </w:rPr>
        <w:lastRenderedPageBreak/>
        <w:t>הגם</w:t>
      </w:r>
      <w:r w:rsidRPr="009A2B88">
        <w:rPr>
          <w:rtl/>
        </w:rPr>
        <w:t xml:space="preserve"> </w:t>
      </w:r>
      <w:r w:rsidRPr="009A2B88">
        <w:rPr>
          <w:rFonts w:hint="eastAsia"/>
          <w:rtl/>
        </w:rPr>
        <w:t>שלא</w:t>
      </w:r>
      <w:r w:rsidRPr="009A2B88">
        <w:rPr>
          <w:rtl/>
        </w:rPr>
        <w:t xml:space="preserve"> </w:t>
      </w:r>
      <w:r w:rsidRPr="009A2B88">
        <w:rPr>
          <w:rFonts w:hint="eastAsia"/>
          <w:rtl/>
        </w:rPr>
        <w:t>אחת</w:t>
      </w:r>
      <w:r w:rsidRPr="009A2B88">
        <w:rPr>
          <w:rtl/>
        </w:rPr>
        <w:t xml:space="preserve"> </w:t>
      </w:r>
      <w:r w:rsidRPr="009A2B88">
        <w:rPr>
          <w:rFonts w:hint="eastAsia"/>
          <w:rtl/>
        </w:rPr>
        <w:t>אין</w:t>
      </w:r>
      <w:r w:rsidRPr="009A2B88">
        <w:rPr>
          <w:rtl/>
        </w:rPr>
        <w:t xml:space="preserve"> </w:t>
      </w:r>
      <w:r w:rsidRPr="009A2B88">
        <w:rPr>
          <w:rFonts w:hint="eastAsia"/>
          <w:rtl/>
        </w:rPr>
        <w:t>מדובר</w:t>
      </w:r>
      <w:r w:rsidRPr="009A2B88">
        <w:rPr>
          <w:rtl/>
        </w:rPr>
        <w:t xml:space="preserve"> </w:t>
      </w:r>
      <w:r w:rsidRPr="009A2B88">
        <w:rPr>
          <w:rFonts w:hint="eastAsia"/>
          <w:rtl/>
        </w:rPr>
        <w:t>בזכויות</w:t>
      </w:r>
      <w:r w:rsidRPr="009A2B88">
        <w:rPr>
          <w:rtl/>
        </w:rPr>
        <w:t xml:space="preserve"> </w:t>
      </w:r>
      <w:r w:rsidRPr="009A2B88">
        <w:rPr>
          <w:rFonts w:hint="eastAsia"/>
          <w:rtl/>
        </w:rPr>
        <w:t>אדם</w:t>
      </w:r>
      <w:r w:rsidRPr="009A2B88">
        <w:rPr>
          <w:rtl/>
        </w:rPr>
        <w:t xml:space="preserve">, </w:t>
      </w:r>
      <w:r w:rsidRPr="009A2B88">
        <w:rPr>
          <w:rFonts w:hint="eastAsia"/>
          <w:rtl/>
        </w:rPr>
        <w:t>אלא</w:t>
      </w:r>
      <w:r w:rsidRPr="009A2B88">
        <w:rPr>
          <w:rtl/>
        </w:rPr>
        <w:t xml:space="preserve"> </w:t>
      </w:r>
      <w:r w:rsidRPr="009A2B88">
        <w:rPr>
          <w:rFonts w:hint="eastAsia"/>
          <w:rtl/>
        </w:rPr>
        <w:t>אך</w:t>
      </w:r>
      <w:r w:rsidRPr="009A2B88">
        <w:rPr>
          <w:rtl/>
        </w:rPr>
        <w:t xml:space="preserve"> </w:t>
      </w:r>
      <w:r w:rsidRPr="009A2B88">
        <w:rPr>
          <w:rFonts w:hint="eastAsia"/>
          <w:rtl/>
        </w:rPr>
        <w:t>בזכויות</w:t>
      </w:r>
      <w:r w:rsidRPr="009A2B88">
        <w:rPr>
          <w:rtl/>
        </w:rPr>
        <w:t xml:space="preserve"> </w:t>
      </w:r>
      <w:r>
        <w:rPr>
          <w:rFonts w:hint="cs"/>
          <w:rtl/>
        </w:rPr>
        <w:t xml:space="preserve">קונקרטיות </w:t>
      </w:r>
      <w:r w:rsidRPr="009A2B88">
        <w:rPr>
          <w:rFonts w:hint="eastAsia"/>
          <w:rtl/>
        </w:rPr>
        <w:t>מתחום</w:t>
      </w:r>
      <w:r w:rsidRPr="009A2B88">
        <w:rPr>
          <w:rtl/>
        </w:rPr>
        <w:t xml:space="preserve"> </w:t>
      </w:r>
      <w:r w:rsidRPr="009A2B88">
        <w:rPr>
          <w:rFonts w:hint="eastAsia"/>
          <w:rtl/>
        </w:rPr>
        <w:t>דיני</w:t>
      </w:r>
      <w:r w:rsidRPr="009A2B88">
        <w:rPr>
          <w:rtl/>
        </w:rPr>
        <w:t xml:space="preserve"> </w:t>
      </w:r>
      <w:r w:rsidRPr="009A2B88">
        <w:rPr>
          <w:rFonts w:hint="eastAsia"/>
          <w:rtl/>
        </w:rPr>
        <w:t>העבודה</w:t>
      </w:r>
      <w:r w:rsidRPr="009A2B88">
        <w:rPr>
          <w:rtl/>
        </w:rPr>
        <w:t xml:space="preserve">. </w:t>
      </w:r>
      <w:r w:rsidRPr="009A2B88">
        <w:rPr>
          <w:rFonts w:hint="eastAsia"/>
          <w:rtl/>
        </w:rPr>
        <w:t>דוגמה</w:t>
      </w:r>
      <w:r w:rsidRPr="009A2B88">
        <w:rPr>
          <w:rtl/>
        </w:rPr>
        <w:t xml:space="preserve"> זו מלמדת </w:t>
      </w:r>
      <w:r w:rsidRPr="009A2B88">
        <w:rPr>
          <w:rFonts w:hint="eastAsia"/>
          <w:rtl/>
        </w:rPr>
        <w:t>אם</w:t>
      </w:r>
      <w:r w:rsidRPr="009A2B88">
        <w:rPr>
          <w:rtl/>
        </w:rPr>
        <w:t xml:space="preserve"> כן ש</w:t>
      </w:r>
      <w:r w:rsidRPr="009A2B88">
        <w:rPr>
          <w:rFonts w:hint="eastAsia"/>
          <w:rtl/>
        </w:rPr>
        <w:t>עילת</w:t>
      </w:r>
      <w:r w:rsidRPr="009A2B88">
        <w:rPr>
          <w:rtl/>
        </w:rPr>
        <w:t xml:space="preserve"> </w:t>
      </w:r>
      <w:r w:rsidRPr="009A2B88">
        <w:rPr>
          <w:rFonts w:hint="eastAsia"/>
          <w:rtl/>
        </w:rPr>
        <w:t>הסבירות</w:t>
      </w:r>
      <w:r w:rsidRPr="009A2B88">
        <w:rPr>
          <w:rtl/>
        </w:rPr>
        <w:t xml:space="preserve"> </w:t>
      </w:r>
      <w:r w:rsidRPr="009A2B88">
        <w:rPr>
          <w:rFonts w:hint="eastAsia"/>
          <w:rtl/>
        </w:rPr>
        <w:t>חשובה</w:t>
      </w:r>
      <w:r w:rsidRPr="009A2B88">
        <w:rPr>
          <w:rtl/>
        </w:rPr>
        <w:t xml:space="preserve"> </w:t>
      </w:r>
      <w:r w:rsidRPr="009A2B88">
        <w:rPr>
          <w:rFonts w:hint="eastAsia"/>
          <w:rtl/>
        </w:rPr>
        <w:t>להגנה</w:t>
      </w:r>
      <w:r w:rsidRPr="009A2B88">
        <w:rPr>
          <w:rtl/>
        </w:rPr>
        <w:t xml:space="preserve"> </w:t>
      </w:r>
      <w:r w:rsidRPr="009A2B88">
        <w:rPr>
          <w:rFonts w:hint="eastAsia"/>
          <w:rtl/>
        </w:rPr>
        <w:t>על</w:t>
      </w:r>
      <w:r w:rsidRPr="009A2B88">
        <w:rPr>
          <w:rtl/>
        </w:rPr>
        <w:t xml:space="preserve"> </w:t>
      </w:r>
      <w:r w:rsidRPr="009A2B88">
        <w:rPr>
          <w:rFonts w:hint="eastAsia"/>
          <w:rtl/>
        </w:rPr>
        <w:t>מכלול</w:t>
      </w:r>
      <w:r w:rsidRPr="009A2B88">
        <w:rPr>
          <w:rtl/>
        </w:rPr>
        <w:t xml:space="preserve"> </w:t>
      </w:r>
      <w:r w:rsidRPr="009A2B88">
        <w:rPr>
          <w:rFonts w:hint="eastAsia"/>
          <w:rtl/>
        </w:rPr>
        <w:t>רחב</w:t>
      </w:r>
      <w:r w:rsidRPr="009A2B88">
        <w:rPr>
          <w:rtl/>
        </w:rPr>
        <w:t xml:space="preserve"> </w:t>
      </w:r>
      <w:r w:rsidRPr="009A2B88">
        <w:rPr>
          <w:rFonts w:hint="eastAsia"/>
          <w:rtl/>
        </w:rPr>
        <w:t>של</w:t>
      </w:r>
      <w:r w:rsidRPr="009A2B88">
        <w:rPr>
          <w:rtl/>
        </w:rPr>
        <w:t xml:space="preserve"> </w:t>
      </w:r>
      <w:r w:rsidRPr="009A2B88">
        <w:rPr>
          <w:rFonts w:hint="eastAsia"/>
          <w:rtl/>
        </w:rPr>
        <w:t>זכויות</w:t>
      </w:r>
      <w:r w:rsidRPr="009A2B88">
        <w:rPr>
          <w:rtl/>
        </w:rPr>
        <w:t xml:space="preserve">, </w:t>
      </w:r>
      <w:r w:rsidRPr="009A2B88">
        <w:rPr>
          <w:rFonts w:hint="eastAsia"/>
          <w:rtl/>
        </w:rPr>
        <w:t>מעבר</w:t>
      </w:r>
      <w:r w:rsidRPr="009A2B88">
        <w:rPr>
          <w:rtl/>
        </w:rPr>
        <w:t xml:space="preserve"> </w:t>
      </w:r>
      <w:r w:rsidRPr="009A2B88">
        <w:rPr>
          <w:rFonts w:hint="eastAsia"/>
          <w:rtl/>
        </w:rPr>
        <w:t>לתחום</w:t>
      </w:r>
      <w:r w:rsidRPr="009A2B88">
        <w:rPr>
          <w:rtl/>
        </w:rPr>
        <w:t xml:space="preserve"> </w:t>
      </w:r>
      <w:r w:rsidRPr="009A2B88">
        <w:rPr>
          <w:rFonts w:hint="eastAsia"/>
          <w:rtl/>
        </w:rPr>
        <w:t>הצר</w:t>
      </w:r>
      <w:r w:rsidRPr="009A2B88">
        <w:rPr>
          <w:rtl/>
        </w:rPr>
        <w:t xml:space="preserve"> </w:t>
      </w:r>
      <w:r w:rsidRPr="009A2B88">
        <w:rPr>
          <w:rFonts w:hint="eastAsia"/>
          <w:rtl/>
        </w:rPr>
        <w:t>יותר</w:t>
      </w:r>
      <w:r w:rsidRPr="009A2B88">
        <w:rPr>
          <w:rtl/>
        </w:rPr>
        <w:t xml:space="preserve"> </w:t>
      </w:r>
      <w:r w:rsidRPr="009A2B88">
        <w:rPr>
          <w:rFonts w:hint="eastAsia"/>
          <w:rtl/>
        </w:rPr>
        <w:t>של</w:t>
      </w:r>
      <w:r w:rsidRPr="009A2B88">
        <w:rPr>
          <w:rtl/>
        </w:rPr>
        <w:t xml:space="preserve"> </w:t>
      </w:r>
      <w:r w:rsidRPr="009A2B88">
        <w:rPr>
          <w:rFonts w:hint="eastAsia"/>
          <w:rtl/>
        </w:rPr>
        <w:t>הגנה</w:t>
      </w:r>
      <w:r w:rsidRPr="009A2B88">
        <w:rPr>
          <w:rtl/>
        </w:rPr>
        <w:t xml:space="preserve"> </w:t>
      </w:r>
      <w:r w:rsidRPr="009A2B88">
        <w:rPr>
          <w:rFonts w:hint="eastAsia"/>
          <w:rtl/>
        </w:rPr>
        <w:t>על</w:t>
      </w:r>
      <w:r w:rsidRPr="009A2B88">
        <w:rPr>
          <w:rtl/>
        </w:rPr>
        <w:t xml:space="preserve"> </w:t>
      </w:r>
      <w:r w:rsidRPr="009A2B88">
        <w:rPr>
          <w:rFonts w:hint="eastAsia"/>
          <w:rtl/>
        </w:rPr>
        <w:t>זכויות</w:t>
      </w:r>
      <w:r w:rsidRPr="009A2B88">
        <w:rPr>
          <w:rtl/>
        </w:rPr>
        <w:t xml:space="preserve"> </w:t>
      </w:r>
      <w:r w:rsidRPr="009A2B88">
        <w:rPr>
          <w:rFonts w:hint="eastAsia"/>
          <w:rtl/>
        </w:rPr>
        <w:t>אדם</w:t>
      </w:r>
      <w:r w:rsidRPr="009A2B88">
        <w:rPr>
          <w:rtl/>
        </w:rPr>
        <w:t>.</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32. </w:t>
      </w:r>
      <w:r>
        <w:rPr>
          <w:rFonts w:hint="cs"/>
          <w:rtl/>
        </w:rPr>
        <w:tab/>
        <w:t xml:space="preserve">פרספקטיבה חשובה להתבוננות על הדברים נוגעת לבנייה ההדרגתית של הגנות על זכויות ואינטרסים חיוניים של יחידים על סמך עילת הסבירות, שהחלה להכות שורשים בפסיקתו של בית משפט זה עוד בשנות החמישים של המאה הקודמת. לא יהיה זה מוגזם לומר כי הביקורת על החלטות מינהליות, ובכלל זה על החלטות של הדרג המיניסטריאלי, על סמך עילת הסבירות היא חלק בלתי נפרד מן המשפט המינהלי של ישראל </w:t>
      </w:r>
      <w:r w:rsidRPr="00422144">
        <w:rPr>
          <w:rFonts w:hint="cs"/>
          <w:rtl/>
        </w:rPr>
        <w:t xml:space="preserve">מראשיתו. </w:t>
      </w:r>
      <w:r w:rsidRPr="00422144">
        <w:rPr>
          <w:rFonts w:hint="eastAsia"/>
          <w:rtl/>
        </w:rPr>
        <w:t>הלכות</w:t>
      </w:r>
      <w:r w:rsidRPr="00422144">
        <w:rPr>
          <w:rtl/>
        </w:rPr>
        <w:t xml:space="preserve"> </w:t>
      </w:r>
      <w:r w:rsidRPr="00422144">
        <w:rPr>
          <w:rFonts w:hint="eastAsia"/>
          <w:rtl/>
        </w:rPr>
        <w:t>רבות</w:t>
      </w:r>
      <w:r w:rsidRPr="00422144">
        <w:rPr>
          <w:rtl/>
        </w:rPr>
        <w:t xml:space="preserve"> </w:t>
      </w:r>
      <w:r w:rsidRPr="00422144">
        <w:rPr>
          <w:rFonts w:hint="eastAsia"/>
          <w:rtl/>
        </w:rPr>
        <w:t>מבוססות</w:t>
      </w:r>
      <w:r w:rsidRPr="00422144">
        <w:rPr>
          <w:rtl/>
        </w:rPr>
        <w:t xml:space="preserve"> </w:t>
      </w:r>
      <w:r w:rsidRPr="00422144">
        <w:rPr>
          <w:rFonts w:hint="eastAsia"/>
          <w:rtl/>
        </w:rPr>
        <w:t>על</w:t>
      </w:r>
      <w:r w:rsidRPr="00422144">
        <w:rPr>
          <w:rtl/>
        </w:rPr>
        <w:t xml:space="preserve"> </w:t>
      </w:r>
      <w:r w:rsidRPr="00422144">
        <w:rPr>
          <w:rFonts w:hint="eastAsia"/>
          <w:rtl/>
        </w:rPr>
        <w:t>עילה</w:t>
      </w:r>
      <w:r w:rsidRPr="00422144">
        <w:rPr>
          <w:rtl/>
        </w:rPr>
        <w:t xml:space="preserve"> </w:t>
      </w:r>
      <w:r w:rsidRPr="00422144">
        <w:rPr>
          <w:rFonts w:hint="eastAsia"/>
          <w:rtl/>
        </w:rPr>
        <w:t>זו</w:t>
      </w:r>
      <w:r w:rsidRPr="00422144">
        <w:rPr>
          <w:rtl/>
        </w:rPr>
        <w:t xml:space="preserve">, </w:t>
      </w:r>
      <w:r w:rsidRPr="00422144">
        <w:rPr>
          <w:rFonts w:hint="eastAsia"/>
          <w:rtl/>
        </w:rPr>
        <w:t>ועל</w:t>
      </w:r>
      <w:r w:rsidRPr="00422144">
        <w:rPr>
          <w:rtl/>
        </w:rPr>
        <w:t xml:space="preserve"> </w:t>
      </w:r>
      <w:r w:rsidRPr="00422144">
        <w:rPr>
          <w:rFonts w:hint="eastAsia"/>
          <w:rtl/>
        </w:rPr>
        <w:t>כן</w:t>
      </w:r>
      <w:r w:rsidRPr="00422144">
        <w:rPr>
          <w:rtl/>
        </w:rPr>
        <w:t xml:space="preserve"> </w:t>
      </w:r>
      <w:r w:rsidRPr="00422144">
        <w:rPr>
          <w:rFonts w:hint="eastAsia"/>
          <w:rtl/>
        </w:rPr>
        <w:t>הגנ</w:t>
      </w:r>
      <w:r>
        <w:rPr>
          <w:rFonts w:hint="cs"/>
          <w:rtl/>
        </w:rPr>
        <w:t>ה על</w:t>
      </w:r>
      <w:r w:rsidRPr="00422144">
        <w:rPr>
          <w:rtl/>
        </w:rPr>
        <w:t xml:space="preserve"> </w:t>
      </w:r>
      <w:r w:rsidRPr="00422144">
        <w:rPr>
          <w:rFonts w:hint="eastAsia"/>
          <w:rtl/>
        </w:rPr>
        <w:t>זכויות</w:t>
      </w:r>
      <w:r w:rsidRPr="00422144">
        <w:rPr>
          <w:rtl/>
        </w:rPr>
        <w:t xml:space="preserve"> </w:t>
      </w:r>
      <w:r w:rsidRPr="00422144">
        <w:rPr>
          <w:rFonts w:hint="eastAsia"/>
          <w:rtl/>
        </w:rPr>
        <w:t>ואינטרסים</w:t>
      </w:r>
      <w:r w:rsidRPr="00422144">
        <w:rPr>
          <w:rtl/>
        </w:rPr>
        <w:t xml:space="preserve"> </w:t>
      </w:r>
      <w:r w:rsidRPr="00422144">
        <w:rPr>
          <w:rFonts w:hint="eastAsia"/>
          <w:rtl/>
        </w:rPr>
        <w:t>רבים</w:t>
      </w:r>
      <w:r w:rsidRPr="00422144">
        <w:rPr>
          <w:rtl/>
        </w:rPr>
        <w:t xml:space="preserve"> </w:t>
      </w:r>
      <w:r w:rsidRPr="00422144">
        <w:rPr>
          <w:rFonts w:hint="eastAsia"/>
          <w:rtl/>
        </w:rPr>
        <w:t>תלויה</w:t>
      </w:r>
      <w:r w:rsidRPr="00422144">
        <w:rPr>
          <w:rtl/>
        </w:rPr>
        <w:t xml:space="preserve"> </w:t>
      </w:r>
      <w:r w:rsidRPr="00422144">
        <w:rPr>
          <w:rFonts w:hint="eastAsia"/>
          <w:rtl/>
        </w:rPr>
        <w:t>בה</w:t>
      </w:r>
      <w:r w:rsidRPr="00422144">
        <w:rPr>
          <w:rFonts w:hint="cs"/>
          <w:rtl/>
        </w:rPr>
        <w:t>. ההנחה או שמא ההשערה</w:t>
      </w:r>
      <w:r>
        <w:rPr>
          <w:rFonts w:hint="cs"/>
          <w:rtl/>
        </w:rPr>
        <w:t xml:space="preserve"> שבית המשפט יוכל לפתח, במקרים מתאימים, דוקטרינות חלופיות במהלך השנים, אינה נותנת מענה לפגיעה המיידית הנובעת מתיקונו של חוק היסוד. התרופה לפגיעה מיידית אינה יכולה להיות מבוססת על אפשרות ספקולטיבית ששוכנת (אולי) בחיקו של העתיד.</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33.</w:t>
      </w:r>
      <w:r>
        <w:rPr>
          <w:rFonts w:hint="cs"/>
          <w:rtl/>
        </w:rPr>
        <w:tab/>
        <w:t xml:space="preserve">על מנת להדגים את התפתחותה ההדרגתית של עילת הסבירות, גם לצורך הגנה על אינטרסים חשובים שאינם בתחום הספציפי של זכויות אדם, ניתן לחזור לפסקי הדין מעצבי הדרך שניתנו כאמור בשנותיו הראשונות של המשפט הישראלי. כך למשל, בבג"ץ 21/51 </w:t>
      </w:r>
      <w:r w:rsidRPr="00D87434">
        <w:rPr>
          <w:rFonts w:ascii="Century" w:hAnsi="Century" w:cs="Miriam" w:hint="cs"/>
          <w:b/>
          <w:spacing w:val="0"/>
          <w:szCs w:val="24"/>
          <w:rtl/>
        </w:rPr>
        <w:t>ביננבוים נ' עירית תל-אביב</w:t>
      </w:r>
      <w:r>
        <w:rPr>
          <w:rFonts w:hint="cs"/>
          <w:rtl/>
        </w:rPr>
        <w:t>, פ"ד ו 375 (1952) פסל בית משפט זה חקיקת משנה רטרואקטיבית ביחס לגביית תשלום חובה. כפי שנקבע שם, לרשות המינהלית עשויים להיות טעמים טובים לגבייתו של מס חדש, אך החלתו באופן רטרואקטיבי מפרה את האיזון בין שיקולים של הסתמכות לבין השיקולים הנוגעים לקידום מדיניותה של הרשות. על רקע זה, הגבייה הרטרואקטיבית הוסברה כבלתי סבירה, או בלשון הימים ההם "בלתי הגיונית ובלתי מוצדקת" (</w:t>
      </w:r>
      <w:r w:rsidRPr="00D87434">
        <w:rPr>
          <w:rFonts w:ascii="Century" w:hAnsi="Century" w:cs="Miriam" w:hint="eastAsia"/>
          <w:b/>
          <w:spacing w:val="0"/>
          <w:szCs w:val="24"/>
          <w:rtl/>
        </w:rPr>
        <w:t>שם</w:t>
      </w:r>
      <w:r>
        <w:rPr>
          <w:rFonts w:hint="cs"/>
          <w:rtl/>
        </w:rPr>
        <w:t xml:space="preserve">, בעמ' 386). ראוי לציין שזמן לא רב מאוחר יותר הבהיר בית המשפט העליון כי החלתו של "מבחן הסבירות" לצורך שלילתה של תחולה רטרואקטיבית של חקיקת משנה יפה לא רק למישור המוניציפאלי, אלא גם לחקיקת משנה של השלטון המרכזי (ראו: ע"א 311/57 </w:t>
      </w:r>
      <w:r w:rsidRPr="00D87434">
        <w:rPr>
          <w:rFonts w:ascii="Century" w:hAnsi="Century" w:cs="Miriam" w:hint="cs"/>
          <w:b/>
          <w:spacing w:val="0"/>
          <w:szCs w:val="24"/>
          <w:rtl/>
        </w:rPr>
        <w:t>היועץ המשפטי לממשלה נ' מ. דיזנגוף ושות' (שיט) בע"מ</w:t>
      </w:r>
      <w:r>
        <w:rPr>
          <w:rFonts w:hint="cs"/>
          <w:rtl/>
        </w:rPr>
        <w:t>, פ"ד יג 1026, 1030 (1959)). כלומר, עמדתה הבסיסית של הפסיקה המסורתית שללה מתן "חסינות" מביקורת שיפוטית בעילת הסבירות לשלטון המרכזי, ובכלל זה לתקנות שהתקין שר. בעניין אחרון זה אף צוין כי מבחינות מסוימות ביקורת שיפוטית על חקיקת משנה על בסיס עילת הסבירות חיונית בישראל יותר מאשר באנגליה שממנה "ירש" המשפט הישראלי עילה זו, בשל כך שהביקורת הפרלמנטרית בישראל מצומצמת יותר (</w:t>
      </w:r>
      <w:r w:rsidRPr="00D87434">
        <w:rPr>
          <w:rFonts w:ascii="Century" w:hAnsi="Century" w:cs="Miriam" w:hint="eastAsia"/>
          <w:b/>
          <w:spacing w:val="0"/>
          <w:szCs w:val="24"/>
          <w:rtl/>
        </w:rPr>
        <w:t>שם</w:t>
      </w:r>
      <w:r>
        <w:rPr>
          <w:rFonts w:hint="cs"/>
          <w:rtl/>
        </w:rPr>
        <w:t xml:space="preserve">, בעמ' 1037).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lastRenderedPageBreak/>
        <w:t>34.</w:t>
      </w:r>
      <w:r>
        <w:rPr>
          <w:rFonts w:hint="cs"/>
          <w:rtl/>
        </w:rPr>
        <w:tab/>
        <w:t xml:space="preserve">למעשה, החלטות מינהליות (גם בדרג הממשלתי) משליכות לא אחת באופן משמעותי על זכויות ואינטרסים של הפרטים הנוגעים בדבר, גם כאשר אין מדובר בזכויות אדם במובן הצר או בזכויות המוגנות תחת כנפיהם של חוקי היסוד. דוגמה מובהקת לכך היא, למשל, החלטה על שלילת מעמד קבע בישראל (לפי סעיף 11א לחוק הכניסה לישראל, התשי"ב-1952). ברבות השנים, נוספו דוגמאות רבות אחרות למצבים שבהם עילת הסבירות שימשה כלי עיקרי למניעת פגיעה בזכויות או למצער באינטרסים ראויים להגנה. במקרים רבים לא היה מדובר בעניינים שברומו של עולם, אלא דווקא בענייני דיומא שהשלכתם העיקרית הייתה ביחס לפרט הנוגע בדבר. כך למשל, בפסק הדין הידוע שניתן בבג"ץ 156/75 </w:t>
      </w:r>
      <w:r w:rsidRPr="00D87434">
        <w:rPr>
          <w:rFonts w:ascii="Century" w:hAnsi="Century" w:cs="Miriam" w:hint="cs"/>
          <w:b/>
          <w:spacing w:val="0"/>
          <w:szCs w:val="24"/>
          <w:rtl/>
        </w:rPr>
        <w:t>דקה נ' שר התחבורה</w:t>
      </w:r>
      <w:r>
        <w:rPr>
          <w:rFonts w:hint="cs"/>
          <w:rtl/>
        </w:rPr>
        <w:t xml:space="preserve">, פ"ד ל(2) 94 (1976) שימשה עילת הסבירות ככלי לביקורת על תקנות בתחום של רישוי מוניות. השימוש בעילת הסבירות ככלי להפעלת ביקורת שיפוטית נעשה לא רק לצורך הגנה על אינטרסים רכושיים, אלא גם על אינטרסים אישיים הראויים להגנה לא פחות מכך, כמו למשל המשקל שיש לתת לרגשות המשפחות השכולות בכל הנוגע לכיתוב על גבי המצבות של יקיריהן בבתי העלמין הצבאיים (ולעניין זה ראו: דנג"ץ 3299/93 </w:t>
      </w:r>
      <w:r w:rsidRPr="00D87434">
        <w:rPr>
          <w:rFonts w:ascii="Century" w:hAnsi="Century" w:cs="Miriam" w:hint="cs"/>
          <w:b/>
          <w:spacing w:val="0"/>
          <w:szCs w:val="24"/>
          <w:rtl/>
        </w:rPr>
        <w:t>ויכסלבאום נ' שר הביטחון</w:t>
      </w:r>
      <w:r>
        <w:rPr>
          <w:rFonts w:hint="cs"/>
          <w:rtl/>
        </w:rPr>
        <w:t xml:space="preserve">, פ"ד מט(2) 195 (1995)). עוד ניתן להזכיר, כפי שהדגימה גם חברתי הנשיאה (בדימ') </w:t>
      </w:r>
      <w:r w:rsidRPr="00D87434">
        <w:rPr>
          <w:rFonts w:ascii="Century" w:hAnsi="Century" w:cs="Miriam" w:hint="eastAsia"/>
          <w:b/>
          <w:spacing w:val="0"/>
          <w:szCs w:val="24"/>
          <w:rtl/>
        </w:rPr>
        <w:t>חיות</w:t>
      </w:r>
      <w:r>
        <w:rPr>
          <w:rFonts w:hint="cs"/>
          <w:rtl/>
        </w:rPr>
        <w:t xml:space="preserve">, את השימוש שנעשה בעילת הסבירות לצורך הגנה על זכויות של יחידים, גם כאשר הם חלק מקבוצה, למשל בהקשר של מיגון כיתות הלימוד במוסדות החינוך ביישובי עוטף עזה (שנדון בבג"ץ 8397/06 </w:t>
      </w:r>
      <w:r w:rsidRPr="00D87434">
        <w:rPr>
          <w:rFonts w:ascii="Century" w:hAnsi="Century" w:cs="Miriam" w:hint="cs"/>
          <w:b/>
          <w:spacing w:val="0"/>
          <w:szCs w:val="24"/>
          <w:rtl/>
        </w:rPr>
        <w:t>ווסר נ' שר הביטחון</w:t>
      </w:r>
      <w:r>
        <w:rPr>
          <w:rFonts w:hint="cs"/>
          <w:rtl/>
        </w:rPr>
        <w:t>, פ"ד סב(2) 198 (2007)). דומה שהשנים שחלפו מאז, על האיומים הביטחוניים הנמשכים על תושבי הדרום, רק המחישו את חשיבותו של פסק הדין, כמו גם את העובדה שללא יכולתם של אנשים לפנות לקבלת סעד מבית המשפט, החובה הערטילאית של הממשלה ושריה לפעול בסבירות נותרת חסרת משמעות מעשית.</w:t>
      </w:r>
      <w:r w:rsidRPr="0037641C">
        <w:rPr>
          <w:rtl/>
        </w:rPr>
        <w:t xml:space="preserve"> </w:t>
      </w:r>
    </w:p>
    <w:p w:rsidR="00E31875" w:rsidRDefault="00E31875" w:rsidP="00E31875">
      <w:pPr>
        <w:spacing w:line="360" w:lineRule="auto"/>
        <w:jc w:val="both"/>
        <w:rPr>
          <w:rFonts w:ascii="FrankRuehl" w:hAnsi="FrankRuehl" w:cs="FrankRuehl"/>
          <w:sz w:val="28"/>
          <w:szCs w:val="28"/>
          <w:rtl/>
        </w:rPr>
      </w:pPr>
    </w:p>
    <w:p w:rsidR="00E31875" w:rsidRPr="00D87434" w:rsidRDefault="00E31875" w:rsidP="00E31875">
      <w:pPr>
        <w:spacing w:line="360" w:lineRule="auto"/>
        <w:jc w:val="both"/>
        <w:rPr>
          <w:rFonts w:ascii="Century" w:hAnsi="Century" w:cs="Miriam"/>
          <w:b/>
          <w:sz w:val="22"/>
          <w:rtl/>
        </w:rPr>
      </w:pPr>
      <w:r w:rsidRPr="00D87434">
        <w:rPr>
          <w:rFonts w:ascii="Century" w:hAnsi="Century" w:cs="Miriam" w:hint="eastAsia"/>
          <w:b/>
          <w:sz w:val="22"/>
          <w:rtl/>
        </w:rPr>
        <w:t>המ</w:t>
      </w:r>
      <w:r w:rsidRPr="00D87434">
        <w:rPr>
          <w:rFonts w:ascii="Century" w:hAnsi="Century" w:cs="Miriam" w:hint="cs"/>
          <w:b/>
          <w:sz w:val="22"/>
          <w:rtl/>
        </w:rPr>
        <w:t>ובן</w:t>
      </w:r>
      <w:r w:rsidRPr="00D87434">
        <w:rPr>
          <w:rFonts w:ascii="Century" w:hAnsi="Century" w:cs="Miriam"/>
          <w:b/>
          <w:sz w:val="22"/>
          <w:rtl/>
        </w:rPr>
        <w:t xml:space="preserve"> </w:t>
      </w:r>
      <w:r w:rsidRPr="00D87434">
        <w:rPr>
          <w:rFonts w:ascii="Century" w:hAnsi="Century" w:cs="Miriam" w:hint="eastAsia"/>
          <w:b/>
          <w:sz w:val="22"/>
          <w:rtl/>
        </w:rPr>
        <w:t>השני</w:t>
      </w:r>
      <w:r w:rsidRPr="00D87434">
        <w:rPr>
          <w:rFonts w:ascii="Century" w:hAnsi="Century" w:cs="Miriam"/>
          <w:b/>
          <w:sz w:val="22"/>
          <w:rtl/>
        </w:rPr>
        <w:t xml:space="preserve">: </w:t>
      </w:r>
      <w:r w:rsidRPr="00D87434">
        <w:rPr>
          <w:rFonts w:ascii="Century" w:hAnsi="Century" w:cs="Miriam" w:hint="eastAsia"/>
          <w:b/>
          <w:sz w:val="22"/>
          <w:rtl/>
        </w:rPr>
        <w:t>השפעה</w:t>
      </w:r>
      <w:r w:rsidRPr="00D87434">
        <w:rPr>
          <w:rFonts w:ascii="Century" w:hAnsi="Century" w:cs="Miriam"/>
          <w:b/>
          <w:sz w:val="22"/>
          <w:rtl/>
        </w:rPr>
        <w:t xml:space="preserve"> </w:t>
      </w:r>
      <w:r w:rsidRPr="00D87434">
        <w:rPr>
          <w:rFonts w:ascii="Century" w:hAnsi="Century" w:cs="Miriam" w:hint="eastAsia"/>
          <w:b/>
          <w:sz w:val="22"/>
          <w:rtl/>
        </w:rPr>
        <w:t>פוטנציאלית</w:t>
      </w:r>
      <w:r w:rsidRPr="00D87434">
        <w:rPr>
          <w:rFonts w:ascii="Century" w:hAnsi="Century" w:cs="Miriam"/>
          <w:b/>
          <w:sz w:val="22"/>
          <w:rtl/>
        </w:rPr>
        <w:t xml:space="preserve"> </w:t>
      </w:r>
      <w:r w:rsidRPr="00D87434">
        <w:rPr>
          <w:rFonts w:ascii="Century" w:hAnsi="Century" w:cs="Miriam" w:hint="eastAsia"/>
          <w:b/>
          <w:sz w:val="22"/>
          <w:rtl/>
        </w:rPr>
        <w:t>על</w:t>
      </w:r>
      <w:r w:rsidRPr="00D87434">
        <w:rPr>
          <w:rFonts w:ascii="Century" w:hAnsi="Century" w:cs="Miriam"/>
          <w:b/>
          <w:sz w:val="22"/>
          <w:rtl/>
        </w:rPr>
        <w:t xml:space="preserve"> </w:t>
      </w:r>
      <w:r w:rsidRPr="00D87434">
        <w:rPr>
          <w:rFonts w:ascii="Century" w:hAnsi="Century" w:cs="Miriam" w:hint="eastAsia"/>
          <w:b/>
          <w:sz w:val="22"/>
          <w:rtl/>
        </w:rPr>
        <w:t>חילופי</w:t>
      </w:r>
      <w:r w:rsidRPr="00D87434">
        <w:rPr>
          <w:rFonts w:ascii="Century" w:hAnsi="Century" w:cs="Miriam"/>
          <w:b/>
          <w:sz w:val="22"/>
          <w:rtl/>
        </w:rPr>
        <w:t xml:space="preserve"> </w:t>
      </w:r>
      <w:r w:rsidRPr="00D87434">
        <w:rPr>
          <w:rFonts w:ascii="Century" w:hAnsi="Century" w:cs="Miriam" w:hint="eastAsia"/>
          <w:b/>
          <w:sz w:val="22"/>
          <w:rtl/>
        </w:rPr>
        <w:t>שלטון</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35. </w:t>
      </w:r>
      <w:r>
        <w:rPr>
          <w:rFonts w:hint="cs"/>
          <w:rtl/>
        </w:rPr>
        <w:tab/>
        <w:t>היבט נוסף של הפגיעה האנושה בדמוקרטיה הגלומה בתיקון שבפנינו נוגע להחלשה משמעותית של הביקורת השיפוטית על הפעלת סמכויות שלטוניות שיש בהן כדי להשפיע על חילופי השלטון עצמם. הדוגמה המרכזית לכך היא זו של קבלת החלטות על-ידי ממשלת מעבר, אך כפי שאבהיר זו אינה הדוגמה היחידה.</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36. </w:t>
      </w:r>
      <w:r>
        <w:rPr>
          <w:rFonts w:hint="cs"/>
          <w:rtl/>
        </w:rPr>
        <w:tab/>
        <w:t xml:space="preserve">אפתח בסוגיה של קבלת החלטות על-ידי ממשלת מעבר. כידוע, ממשלת מעבר היא ממשלה שמכהנת על מנת למלא רִיק במערכת הפוליטית, מבלי שהיא נהנית מאמון הכנסת. על רקע זה, החשיבות הנודעת להגבלת פעולותיה היא מרבית, ממספר טעמים. ראשית, הפיקוח הפרלמנטרי אינו משמעותי עוד ביחס אליה, וממילא, אין עליה כל </w:t>
      </w:r>
      <w:r>
        <w:rPr>
          <w:rFonts w:hint="cs"/>
          <w:rtl/>
        </w:rPr>
        <w:lastRenderedPageBreak/>
        <w:t xml:space="preserve">ביקורת ממשית. שנית, זוהי ממשלה שלה אינטרס מובנה לקבל החלטות שיסייעו לגורמים המרכיבים אותה בבחירות הקרובות. המענה שנמצא לכך במשפט הישראלי הוא ביקורת שיפוטית על קבלת החלטות של ממשלת מעבר המבוססת בעיקרה על עילת הסבירות (ראו למשל: בג"ץ 5167/00 </w:t>
      </w:r>
      <w:r w:rsidRPr="00D87434">
        <w:rPr>
          <w:rFonts w:ascii="Century" w:hAnsi="Century" w:cs="Miriam" w:hint="cs"/>
          <w:b/>
          <w:spacing w:val="0"/>
          <w:szCs w:val="24"/>
          <w:rtl/>
        </w:rPr>
        <w:t>וייס נ' ראש-הממשלה של מדינת ישראל</w:t>
      </w:r>
      <w:r>
        <w:rPr>
          <w:rFonts w:hint="cs"/>
          <w:rtl/>
        </w:rPr>
        <w:t xml:space="preserve">, פ"ד נה(2) 455 (2001) (להלן: עניין </w:t>
      </w:r>
      <w:r w:rsidRPr="00EE6CA6">
        <w:rPr>
          <w:rFonts w:ascii="Century" w:hAnsi="Century" w:cs="Miriam" w:hint="eastAsia"/>
          <w:b/>
          <w:spacing w:val="0"/>
          <w:szCs w:val="24"/>
          <w:rtl/>
        </w:rPr>
        <w:t>וייס</w:t>
      </w:r>
      <w:r>
        <w:rPr>
          <w:rFonts w:hint="cs"/>
          <w:rtl/>
        </w:rPr>
        <w:t xml:space="preserve">); בג"ץ 9577/02 </w:t>
      </w:r>
      <w:r w:rsidRPr="00EE6CA6">
        <w:rPr>
          <w:rFonts w:ascii="Century" w:hAnsi="Century" w:cs="Miriam" w:hint="cs"/>
          <w:b/>
          <w:spacing w:val="0"/>
          <w:szCs w:val="24"/>
          <w:rtl/>
        </w:rPr>
        <w:t>סיעת המפד"ל נ' יושב-ראש הכנסת</w:t>
      </w:r>
      <w:r>
        <w:rPr>
          <w:rFonts w:hint="cs"/>
          <w:rtl/>
        </w:rPr>
        <w:t xml:space="preserve">, פ"ד נז(1) 710 (2002); בג"ץ 8815/05 </w:t>
      </w:r>
      <w:r w:rsidRPr="00EE6CA6">
        <w:rPr>
          <w:rFonts w:ascii="Century" w:hAnsi="Century" w:cs="Miriam" w:hint="cs"/>
          <w:b/>
          <w:spacing w:val="0"/>
          <w:szCs w:val="24"/>
          <w:rtl/>
        </w:rPr>
        <w:t>לנדשטיין נ' שפיגלר</w:t>
      </w:r>
      <w:r w:rsidRPr="00EE6CA6">
        <w:rPr>
          <w:rFonts w:ascii="Century" w:hAnsi="Century" w:cs="Miriam" w:hint="cs"/>
          <w:b/>
          <w:szCs w:val="24"/>
          <w:rtl/>
        </w:rPr>
        <w:t xml:space="preserve"> </w:t>
      </w:r>
      <w:r>
        <w:rPr>
          <w:rFonts w:hint="cs"/>
          <w:rtl/>
        </w:rPr>
        <w:t xml:space="preserve">(26.12.2005); בג"ץ 2453/06 </w:t>
      </w:r>
      <w:r w:rsidRPr="00D87434">
        <w:rPr>
          <w:rFonts w:ascii="Century" w:hAnsi="Century" w:cs="Miriam" w:hint="cs"/>
          <w:b/>
          <w:spacing w:val="0"/>
          <w:szCs w:val="24"/>
          <w:rtl/>
        </w:rPr>
        <w:t>ההסתדרות הרפואית בישראל נ' היועץ המשפטי לממשלה</w:t>
      </w:r>
      <w:r w:rsidRPr="00D87434">
        <w:rPr>
          <w:rFonts w:hint="cs"/>
          <w:rtl/>
        </w:rPr>
        <w:t xml:space="preserve"> </w:t>
      </w:r>
      <w:r>
        <w:rPr>
          <w:rFonts w:hint="cs"/>
          <w:rtl/>
        </w:rPr>
        <w:t xml:space="preserve">(21.3.2006); בג"ץ 9843/08 </w:t>
      </w:r>
      <w:r w:rsidRPr="00D87434">
        <w:rPr>
          <w:rFonts w:ascii="Century" w:hAnsi="Century" w:cs="Miriam" w:hint="cs"/>
          <w:b/>
          <w:spacing w:val="0"/>
          <w:szCs w:val="24"/>
          <w:rtl/>
        </w:rPr>
        <w:t>פורום משפטי למען ארץ ישראל ע"ר נ' הוועדה לבחירת שופטים לפי סעיף 4 לחוק יסוד</w:t>
      </w:r>
      <w:r w:rsidRPr="00D87434">
        <w:rPr>
          <w:rFonts w:hint="cs"/>
          <w:rtl/>
        </w:rPr>
        <w:t xml:space="preserve"> </w:t>
      </w:r>
      <w:r>
        <w:rPr>
          <w:rFonts w:hint="cs"/>
          <w:rtl/>
        </w:rPr>
        <w:t xml:space="preserve">(8.1.2009); בג"ץ 1004/15 </w:t>
      </w:r>
      <w:r w:rsidRPr="00EE6CA6">
        <w:rPr>
          <w:rFonts w:ascii="Century" w:hAnsi="Century" w:cs="Miriam" w:hint="cs"/>
          <w:b/>
          <w:spacing w:val="0"/>
          <w:szCs w:val="24"/>
          <w:rtl/>
        </w:rPr>
        <w:t>התנועה למשילות ודמוקרטיה נ' השר לבטחון פנים</w:t>
      </w:r>
      <w:r>
        <w:rPr>
          <w:rFonts w:hint="cs"/>
          <w:rtl/>
        </w:rPr>
        <w:t xml:space="preserve">, פסקה 15 (1.4.2015)). על-פי ההלכה הפסוקה, סמכויותיה של ממשלת מעבר אינן צרות מאלה של ממשלה "רגילה", אך מתחם הסבירות הנוגע להחלטותיה הוא צר יותר (ראו: עניין </w:t>
      </w:r>
      <w:r w:rsidRPr="00D87434">
        <w:rPr>
          <w:rFonts w:ascii="Century" w:hAnsi="Century" w:cs="Miriam" w:hint="eastAsia"/>
          <w:b/>
          <w:spacing w:val="0"/>
          <w:szCs w:val="24"/>
          <w:rtl/>
        </w:rPr>
        <w:t>וייס</w:t>
      </w:r>
      <w:r>
        <w:rPr>
          <w:rFonts w:hint="cs"/>
          <w:rtl/>
        </w:rPr>
        <w:t xml:space="preserve">, בעמ' 470-469). </w:t>
      </w:r>
      <w:r w:rsidRPr="00DA6277">
        <w:rPr>
          <w:rFonts w:hint="cs"/>
          <w:rtl/>
        </w:rPr>
        <w:t xml:space="preserve">זאת, כתולדה של האיזון בין תפוגתו של המנדט הציבורי שניתן לממשלה להוסיף ולנהל את ענייני המדינה לבין העיקרון החוקתי של רציפות הממשלה. </w:t>
      </w:r>
      <w:r>
        <w:rPr>
          <w:rFonts w:hint="cs"/>
          <w:rtl/>
        </w:rPr>
        <w:t xml:space="preserve">במלים אחרות, </w:t>
      </w:r>
      <w:r w:rsidRPr="00DA6277">
        <w:rPr>
          <w:rFonts w:hint="cs"/>
          <w:rtl/>
        </w:rPr>
        <w:t xml:space="preserve">הפיקוח על החלטותיה של ממשלת מעבר על יסודה של עילת הסבירות מבוסס על עיקרון דמוקרטי חיוני נוסף, והוא </w:t>
      </w:r>
      <w:r w:rsidRPr="00D87434">
        <w:rPr>
          <w:rFonts w:ascii="Century" w:hAnsi="Century" w:cs="Miriam" w:hint="eastAsia"/>
          <w:b/>
          <w:spacing w:val="0"/>
          <w:szCs w:val="24"/>
          <w:rtl/>
        </w:rPr>
        <w:t>הבטחת</w:t>
      </w:r>
      <w:r w:rsidRPr="00D87434">
        <w:rPr>
          <w:rFonts w:ascii="Century" w:hAnsi="Century" w:cs="Miriam"/>
          <w:b/>
          <w:spacing w:val="0"/>
          <w:szCs w:val="24"/>
          <w:rtl/>
        </w:rPr>
        <w:t xml:space="preserve"> האפשרות של </w:t>
      </w:r>
      <w:r w:rsidRPr="00D87434">
        <w:rPr>
          <w:rFonts w:ascii="Century" w:hAnsi="Century" w:cs="Miriam" w:hint="eastAsia"/>
          <w:b/>
          <w:spacing w:val="0"/>
          <w:szCs w:val="24"/>
          <w:rtl/>
        </w:rPr>
        <w:t>חילופי</w:t>
      </w:r>
      <w:r w:rsidRPr="00D87434">
        <w:rPr>
          <w:rFonts w:ascii="Century" w:hAnsi="Century" w:cs="Miriam"/>
          <w:b/>
          <w:spacing w:val="0"/>
          <w:szCs w:val="24"/>
          <w:rtl/>
        </w:rPr>
        <w:t xml:space="preserve"> </w:t>
      </w:r>
      <w:r w:rsidRPr="00D87434">
        <w:rPr>
          <w:rFonts w:ascii="Century" w:hAnsi="Century" w:cs="Miriam" w:hint="eastAsia"/>
          <w:b/>
          <w:spacing w:val="0"/>
          <w:szCs w:val="24"/>
          <w:rtl/>
        </w:rPr>
        <w:t>שלטון</w:t>
      </w:r>
      <w:r w:rsidRPr="00DA6277">
        <w:rPr>
          <w:rFonts w:hint="cs"/>
          <w:rtl/>
        </w:rPr>
        <w:t xml:space="preserve">, מבלי שהממשלה המכהנת תוכל להשפיע באופן בלתי הוגן על תוצאות הבחירות. והנה, תיקון מס' 3, על-פי לשונו, </w:t>
      </w:r>
      <w:r>
        <w:rPr>
          <w:rFonts w:hint="cs"/>
          <w:rtl/>
        </w:rPr>
        <w:t>יחסום</w:t>
      </w:r>
      <w:r w:rsidRPr="00DA6277">
        <w:rPr>
          <w:rFonts w:hint="cs"/>
          <w:rtl/>
        </w:rPr>
        <w:t xml:space="preserve"> גם פיקוח על סבירות החלטותיה של ממשלת מעבר. חסימה זו היא בעלת משמעות אקוטית מבחינת התהליך הדמוקרטי עצמו. ללא עילת הסבירות תוכל ממשלה שאינה נהנית מאמון הכנסת לעשות ככל העולה על רוחה</w:t>
      </w:r>
      <w:r>
        <w:rPr>
          <w:rFonts w:hint="cs"/>
          <w:rtl/>
        </w:rPr>
        <w:t>, לקבל החלטות הרות גורל</w:t>
      </w:r>
      <w:r w:rsidRPr="00DA6277">
        <w:rPr>
          <w:rFonts w:hint="cs"/>
          <w:rtl/>
        </w:rPr>
        <w:t>, ואולי אף להשפיע בעקיפין על תוצאות הבחירות העומדות בפתח (למשל, באמצעות קידום מדיניות "פופולרית" ערב</w:t>
      </w:r>
      <w:r>
        <w:rPr>
          <w:rFonts w:hint="cs"/>
          <w:rtl/>
        </w:rPr>
        <w:t xml:space="preserve"> הבחירות). האין זו סכנה גדולה וממשית למשטר הדמוקרטי בישראל?</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37.</w:t>
      </w:r>
      <w:r>
        <w:rPr>
          <w:rFonts w:hint="cs"/>
          <w:rtl/>
        </w:rPr>
        <w:tab/>
        <w:t xml:space="preserve">ההשלכות החמורות של העדר פיקוח אפקטיבי על פעילותן של ממשלות מעבר, במתכונת שעלולה להשליך על חילופי שלטון דמוקרטיים, מתעצמת נוכח המציאות הפוליטית הלא-יציבה בישראל, שבה התקיימו בשנים האחרונות מספר מערכות בחירות בזו אחר זו, כך שממשלות מעבר כיהנו במשך תקופה ארוכה. לא למותר להזכיר כי ממשלות מעבר עשויות לקבל החלטות שעלולות להשפיע בעקיפין אף על הבחירות עצמן. די יהיה להזכיר בהקשר זה את ההחלטות שהוחלו על כניסה לישראל ערב הבחירות שהתקיימו בחודש מרץ 2021 בתקופת הקורונה (ראו: </w:t>
      </w:r>
      <w:r w:rsidRPr="00D03350">
        <w:rPr>
          <w:rFonts w:ascii="Century" w:hAnsi="Century"/>
          <w:rtl/>
        </w:rPr>
        <w:t>בג״ץ 1107/21</w:t>
      </w:r>
      <w:r w:rsidRPr="00D03350">
        <w:rPr>
          <w:rFonts w:ascii="Century" w:hAnsi="Century" w:hint="cs"/>
          <w:rtl/>
        </w:rPr>
        <w:t xml:space="preserve"> </w:t>
      </w:r>
      <w:r w:rsidRPr="00D87434">
        <w:rPr>
          <w:rFonts w:ascii="Century" w:hAnsi="Century" w:cs="Miriam" w:hint="cs"/>
          <w:b/>
          <w:spacing w:val="0"/>
          <w:szCs w:val="24"/>
          <w:rtl/>
        </w:rPr>
        <w:t>שמש נ' ראש הממשלה</w:t>
      </w:r>
      <w:r w:rsidRPr="00D03350">
        <w:rPr>
          <w:rFonts w:ascii="Century" w:hAnsi="Century" w:hint="cs"/>
          <w:rtl/>
        </w:rPr>
        <w:t xml:space="preserve"> (17.3.2021)</w:t>
      </w:r>
      <w:r>
        <w:rPr>
          <w:rFonts w:ascii="Century" w:hAnsi="Century" w:hint="cs"/>
          <w:rtl/>
        </w:rPr>
        <w:t>).</w:t>
      </w:r>
      <w:r>
        <w:rPr>
          <w:rFonts w:hint="cs"/>
          <w:rtl/>
        </w:rPr>
        <w:t xml:space="preserve"> אם כן, ההתייחסות המיוחדת לתופעה של ממשלות מעבר, שיש לה חשיבות חוקתית בכל עת, מקבלת משנה תוקף נוכח השפעתו המפליגה של התיקון על תופעה שהפכה, למרבה הצער, לשכיחה במדינתנו.</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lastRenderedPageBreak/>
        <w:t xml:space="preserve">38. </w:t>
      </w:r>
      <w:r>
        <w:rPr>
          <w:rFonts w:hint="cs"/>
          <w:rtl/>
        </w:rPr>
        <w:tab/>
        <w:t xml:space="preserve">הדברים נכונים, בשינויים המחויבים, גם ביחס לכוחו של השלטון המרכזי להשפיע על היבטים מסוימים של הבחירות במישור המוניציפאלי. כך, לדוגמה, שר הפנים הוא בעל סמכות להורות על מינויה של ועדה קרואה (ראו: סעיפים 144-143 לפקודת העיריות [נוסח חדש], וכן סעיפים 38-38א </w:t>
      </w:r>
      <w:r w:rsidRPr="00DC5915">
        <w:rPr>
          <w:rtl/>
        </w:rPr>
        <w:t>לפק</w:t>
      </w:r>
      <w:r>
        <w:rPr>
          <w:rtl/>
        </w:rPr>
        <w:t>ודת המועצות המקומיות [נוסח חדש</w:t>
      </w:r>
      <w:r>
        <w:rPr>
          <w:rFonts w:hint="cs"/>
          <w:rtl/>
        </w:rPr>
        <w:t xml:space="preserve">]). דוגמה נוספת היא שיקול הדעת שהוקנה לשר הפנים לבחור בין שני מועדים שונים לבחירות המקומיות, לאחר שאלו נדחו בעקבות המצב הביטחוני (ראו: חוק לדחיית הבחירות הכלליות לרשויות המקומיות, התשפ"ד-2023). מעבר לדוגמאות אלו, ישנן עוד סמכויות רבות המוקנות לממשלה ולשריה ושלהן חשיבות מבחינת ניהולן התקין של הבחירות במדינת ישראל. </w:t>
      </w:r>
    </w:p>
    <w:p w:rsidR="00E31875" w:rsidRDefault="00E31875" w:rsidP="00E31875">
      <w:pPr>
        <w:spacing w:line="360" w:lineRule="auto"/>
        <w:jc w:val="both"/>
        <w:rPr>
          <w:rFonts w:ascii="FrankRuehl" w:hAnsi="FrankRuehl" w:cs="FrankRuehl"/>
          <w:sz w:val="28"/>
          <w:szCs w:val="28"/>
          <w:rtl/>
        </w:rPr>
      </w:pPr>
    </w:p>
    <w:p w:rsidR="00E31875" w:rsidRPr="00D87434" w:rsidRDefault="00E31875" w:rsidP="00E31875">
      <w:pPr>
        <w:spacing w:line="360" w:lineRule="auto"/>
        <w:jc w:val="both"/>
        <w:rPr>
          <w:rFonts w:ascii="Century" w:hAnsi="Century" w:cs="Miriam"/>
          <w:b/>
          <w:sz w:val="22"/>
          <w:rtl/>
        </w:rPr>
      </w:pPr>
      <w:r w:rsidRPr="00D87434">
        <w:rPr>
          <w:rFonts w:ascii="Century" w:hAnsi="Century" w:cs="Miriam" w:hint="eastAsia"/>
          <w:b/>
          <w:sz w:val="22"/>
          <w:rtl/>
        </w:rPr>
        <w:t>המ</w:t>
      </w:r>
      <w:r w:rsidRPr="00D87434">
        <w:rPr>
          <w:rFonts w:ascii="Century" w:hAnsi="Century" w:cs="Miriam" w:hint="cs"/>
          <w:b/>
          <w:sz w:val="22"/>
          <w:rtl/>
        </w:rPr>
        <w:t xml:space="preserve">ובן </w:t>
      </w:r>
      <w:r w:rsidRPr="00D87434">
        <w:rPr>
          <w:rFonts w:ascii="Century" w:hAnsi="Century" w:cs="Miriam" w:hint="eastAsia"/>
          <w:b/>
          <w:sz w:val="22"/>
          <w:rtl/>
        </w:rPr>
        <w:t>השלישי</w:t>
      </w:r>
      <w:r w:rsidRPr="00D87434">
        <w:rPr>
          <w:rFonts w:ascii="Century" w:hAnsi="Century" w:cs="Miriam"/>
          <w:b/>
          <w:sz w:val="22"/>
          <w:rtl/>
        </w:rPr>
        <w:t xml:space="preserve">: </w:t>
      </w:r>
      <w:r w:rsidRPr="00D87434">
        <w:rPr>
          <w:rFonts w:ascii="Century" w:hAnsi="Century" w:cs="Miriam" w:hint="cs"/>
          <w:b/>
          <w:sz w:val="22"/>
          <w:rtl/>
        </w:rPr>
        <w:t>החלשה משמעותית של ה</w:t>
      </w:r>
      <w:r w:rsidRPr="00D87434">
        <w:rPr>
          <w:rFonts w:ascii="Century" w:hAnsi="Century" w:cs="Miriam" w:hint="eastAsia"/>
          <w:b/>
          <w:sz w:val="22"/>
          <w:rtl/>
        </w:rPr>
        <w:t>ביקורת</w:t>
      </w:r>
      <w:r w:rsidRPr="00D87434">
        <w:rPr>
          <w:rFonts w:ascii="Century" w:hAnsi="Century" w:cs="Miriam"/>
          <w:b/>
          <w:sz w:val="22"/>
          <w:rtl/>
        </w:rPr>
        <w:t xml:space="preserve"> </w:t>
      </w:r>
      <w:r w:rsidRPr="00D87434">
        <w:rPr>
          <w:rFonts w:ascii="Century" w:hAnsi="Century" w:cs="Miriam" w:hint="eastAsia"/>
          <w:b/>
          <w:sz w:val="22"/>
          <w:rtl/>
        </w:rPr>
        <w:t>על</w:t>
      </w:r>
      <w:r w:rsidRPr="00D87434">
        <w:rPr>
          <w:rFonts w:ascii="Century" w:hAnsi="Century" w:cs="Miriam"/>
          <w:b/>
          <w:sz w:val="22"/>
          <w:rtl/>
        </w:rPr>
        <w:t xml:space="preserve">-ידי </w:t>
      </w:r>
      <w:r w:rsidRPr="00D87434">
        <w:rPr>
          <w:rFonts w:ascii="Century" w:hAnsi="Century" w:cs="Miriam" w:hint="eastAsia"/>
          <w:b/>
          <w:sz w:val="22"/>
          <w:rtl/>
        </w:rPr>
        <w:t>שומרי</w:t>
      </w:r>
      <w:r w:rsidRPr="00D87434">
        <w:rPr>
          <w:rFonts w:ascii="Century" w:hAnsi="Century" w:cs="Miriam"/>
          <w:b/>
          <w:sz w:val="22"/>
          <w:rtl/>
        </w:rPr>
        <w:t xml:space="preserve"> </w:t>
      </w:r>
      <w:r w:rsidRPr="00D87434">
        <w:rPr>
          <w:rFonts w:ascii="Century" w:hAnsi="Century" w:cs="Miriam" w:hint="eastAsia"/>
          <w:b/>
          <w:sz w:val="22"/>
          <w:rtl/>
        </w:rPr>
        <w:t>סף</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39. </w:t>
      </w:r>
      <w:r>
        <w:rPr>
          <w:rFonts w:hint="cs"/>
          <w:rtl/>
        </w:rPr>
        <w:tab/>
        <w:t xml:space="preserve">לבסוף, תיקון מס' 3 פוגע באופן ממשי וחמור באחד ממנגנוני הבקרה החשובים על הממשלה, לצד הביקורת השיפוטית </w:t>
      </w:r>
      <w:r>
        <w:rPr>
          <w:rtl/>
        </w:rPr>
        <w:t>–</w:t>
      </w:r>
      <w:r>
        <w:rPr>
          <w:rFonts w:hint="cs"/>
          <w:rtl/>
        </w:rPr>
        <w:t xml:space="preserve"> ביקורת באמצעות שומרי סף ורגולטורים עצמאיים. זאת, בשים לב לכך שהממשלה והשרים מופקדים על מינויים של שומרי סף רבים וחשובים, ואף פעמים רבות מחזיקים בסמכות הפורמאלית לסיים את כהונתם של אותם שומרי סף. בעיה זו עלולה למצוא ביטוי מעשי כבר בשלב המינוי של אותם בעלי תפקידים, ובהמשך להיות בעלת משמעות קריטית בשלב הפיטורין. מינויים ופיטורין של בעלי תפקידים אלה ללא אכיפה של סטנדרט הסבירות עלולים להחליש את ההגנה על משאבי הציבור, וכן לעקר מנגנוני ביקורת חיוניים על כוחו של השלטון המרכזי.</w:t>
      </w:r>
    </w:p>
    <w:p w:rsidR="00E31875" w:rsidRDefault="00E31875" w:rsidP="00E31875">
      <w:pPr>
        <w:spacing w:line="360" w:lineRule="auto"/>
        <w:jc w:val="both"/>
        <w:rPr>
          <w:rFonts w:ascii="FrankRuehl" w:hAnsi="FrankRuehl" w:cs="FrankRuehl"/>
          <w:sz w:val="28"/>
          <w:szCs w:val="28"/>
          <w:rtl/>
        </w:rPr>
      </w:pPr>
    </w:p>
    <w:p w:rsidR="00E31875" w:rsidRDefault="00E31875" w:rsidP="00AC19F2">
      <w:pPr>
        <w:pStyle w:val="Ruller41"/>
        <w:rPr>
          <w:rtl/>
        </w:rPr>
      </w:pPr>
      <w:r>
        <w:rPr>
          <w:rFonts w:hint="cs"/>
          <w:rtl/>
        </w:rPr>
        <w:t xml:space="preserve">40. </w:t>
      </w:r>
      <w:r>
        <w:rPr>
          <w:rFonts w:hint="cs"/>
          <w:rtl/>
        </w:rPr>
        <w:tab/>
        <w:t>כבר התייחסתי לעיל להשלכותיו של תיקון מס' 3 על פיטורין אפשריים של בעלי תפקיד בשירות הציבורי והצבעתי על הפגיעה בזכויותיהם. אולם, יש ליתן את הדעת להיבט נוסף של נושא זה. פיטורין של שומרי סף אינם בעייתיים רק בשל הפגיעה האישית בהם. הם מעוררים קושי פוטנציאלי אף מהיבט פגיעתם במנגנון ביקורת מרכזי על הממשלה, מנגנון מרכזי בהקשרה של השיטה הישראלית. נשווה בדעתנו מצב שבו הממשלה בוחרת לפטר את היועץ המשפטי (או היועצת המשפטית) לה. אין ספק שביטולה של עילת הביקורת המרכזית על נקיטת צעד כזה מצד הממשלה אינה מאיימת רק על זכויותיו של נושא המשרה, אלא אף על עצמאותו של הייעוץ המשפטי לממשלה. אכן, במצב המשפטי דהיום, פיטורין של היועץ המשפטי לממשלה מחייבים נקיטת הליך לפי החלטת הממשלה העוסקת בכך (ראו: החלטה 2274 של הממשלה ה-28 "הודעה בדבר קביעת הדרכים והתנאים למינויו של היועץ המשפטי לממשלה" (20.8.2000), וכן</w:t>
      </w:r>
      <w:r w:rsidR="00AC19F2">
        <w:rPr>
          <w:rFonts w:hint="cs"/>
          <w:rtl/>
        </w:rPr>
        <w:t xml:space="preserve"> </w:t>
      </w:r>
      <w:r w:rsidRPr="0032004F">
        <w:rPr>
          <w:rtl/>
        </w:rPr>
        <w:t>הודעה בדבר קביעת הדרכים והתנאים למינויו של היועץ המשפטי לממשלה, י"פ התש"ס 4894</w:t>
      </w:r>
      <w:r>
        <w:rPr>
          <w:rFonts w:hint="cs"/>
          <w:rtl/>
        </w:rPr>
        <w:t xml:space="preserve">). אולם, מדובר בנורמה המבוססת על החלטת ממשלה בלבד, והיא בת ביטול </w:t>
      </w:r>
      <w:r>
        <w:rPr>
          <w:rFonts w:hint="cs"/>
          <w:rtl/>
        </w:rPr>
        <w:lastRenderedPageBreak/>
        <w:t>ברצונה של הממשלה. אין כל ערובה חוקתית או חוקית פורמאלית אחרת להגבלה על סמכות הפיטורין במקרה מסוג זה (כמו זו שקיימת, למשל, ביחס להפסקת כהונתם של נגיד בנק ישראל או משנהו, כפי שמורים סעיפים 14-13 לחוק בנק ישראל, התש"ע-2010). לא למותר לציין כי שמירת מעמדו העצמאי של מוסד היועץ המשפטי לממשלה היא לא רק בעלת חשיבות עצומה מהיבט השמירה על טוהר המידות בזירה הציבורית, אלא לכאורה תורמת להערכתם של מוסדות בינלאומיים את מערכת אכיפת החוק של ישראל, על כל ההשלכות הכרוכות בכך.</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41. </w:t>
      </w:r>
      <w:r>
        <w:rPr>
          <w:rFonts w:hint="cs"/>
          <w:rtl/>
        </w:rPr>
        <w:tab/>
        <w:t xml:space="preserve">הדברים אמורים כמובן לא רק ביחס לגורמי הייעוץ המשפטי לממשלה, אלא גם ביחס למערך רחב של בעלי תפקידים מקצועיים שמשמשים כרגולטורים וכיועצים מקצועיים, אשר הממשלה היא שמקבלת את ההחלטה על מינוייהם. החשש טמון כמובן בפגיעה בעצמאותם, שלה חשיבות קריטית למערך האיזונים המבטיח ביזור כוח ופיקוח על השלטון המרכזי. אכן, לאורך השנים נשמעו טענות הנוגעות לסמכותה ואף לזכותה של הממשלה למנות בעלי תפקידים על-פי שיקול דעתה, לצורך קידום מדיניותה. הדברים נכונים, אך לא באופן מוחלט. קידום מדיניות </w:t>
      </w:r>
      <w:r>
        <w:rPr>
          <w:rtl/>
        </w:rPr>
        <w:t>–</w:t>
      </w:r>
      <w:r>
        <w:rPr>
          <w:rFonts w:hint="cs"/>
          <w:rtl/>
        </w:rPr>
        <w:t xml:space="preserve"> לחוד; הגבלה ממשית של האפשרות לבחון החלטות של הדרג הממשלתי הנוגעות למינויים ופיטורין במתכונת שעלולה לעקר כל בקרה על כוח שלטוני </w:t>
      </w:r>
      <w:r>
        <w:rPr>
          <w:rtl/>
        </w:rPr>
        <w:t>–</w:t>
      </w:r>
      <w:r>
        <w:rPr>
          <w:rFonts w:hint="cs"/>
          <w:rtl/>
        </w:rPr>
        <w:t xml:space="preserve"> לחוד. היריעה תקצר מלהציג את התמונה המלאה ביחס לבעלי תפקידים סטטוטוריים שלעצמאותם יש חשיבות מבנית מההיבט של "משקל נגד" להפעלת כוח בלתי מרוסן על-ידי הממשלה. אזכיר רק את ההסדרים הסטטוטוריים הנוגעים לחלק מאותם בעלי תפקידים: סעיף 41(א) לחוק התחרות הכלכלית, התשמ"ח-1988 קובע כי "הממשלה תמנה, לפי הצעת השר, ממונה על התחרות". סעיף 2(א) לחוק הפיקוח על שירותים פיננסיים (ביטוח), התשמ"א-1981 קובע כי "שר האוצר ימנה, באישור הממשלה, ממונה על שוק ההון ביטוח וחיסכון". סעיף 3 לחוק ניירות ערך, התשכ"ח-1968 מורה כי שר האוצר ימנה את חברי הרשות לניירות ערך, וכן ימנה אחד מהם לתפקיד יושב-ראש הרשות. ועוד היד נטויה. לא למותר להזכיר שאף מינויו של הצנזור לפי תקנות ההגנה (שעת-חירום), 1945, תפקיד שלו השלכות ברורות על חופש הביטוי בזירה הציבורית, מסור בידיו של שר הביטחון (כפי שמורה תקנה 86 להן). ללא ביקורת שיפוטית אפקטיבית על מינויים של בעלי תפקידים אלו קיים חשש מהותי לניצול הכוח השלטוני באופן שירתום את משאבי הציבור לעגלתם של אינטרסים פוליטיים קצרי טווח.</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42. </w:t>
      </w:r>
      <w:r>
        <w:rPr>
          <w:rFonts w:hint="cs"/>
          <w:rtl/>
        </w:rPr>
        <w:tab/>
        <w:t xml:space="preserve">יתר על כן, תשומת לב מיוחדת צריכה להינתן לסמכות הפיטורין של אותם נושאי משרה, הנתונה אף היא לממשלה או לשריה, ועלולה לשמוט בסיס חיוני ממערך הבקרה על פעולותיה. ראוי לציין כי גם באותם מקרים שבהם החקיקה קובעת כי המינוי של בעל </w:t>
      </w:r>
      <w:r>
        <w:rPr>
          <w:rFonts w:hint="cs"/>
          <w:rtl/>
        </w:rPr>
        <w:lastRenderedPageBreak/>
        <w:t xml:space="preserve">תפקיד הוא לקדנציה הנמשכת פרק זמן קצוב, הסדר זה אינו חוסם את האפשרות לפיטוריו עוד קודם לכן. למעשה, בכל דברי החקיקה שצוינו אין הגנה חקיקתית, ולא כל שכן הגנה חוקתית, מפני פיטוריהם של אותם בעלי תפקידים. ברי כי ביטולה של עילת הסבירות בכל הנוגע לפיטוריהם של שומרי סף, מעלה חשש מפגיעה בעצמאותם של אותם בעלי תפקידים, אשר עלולים להיות מפוטרים רק בשל כך שהציגו עמדה מקצועית שאינה מקובלת על הממשלה. הגבלת הביקורת השיפוטית בהקשר זה עלולה לטשטש את ההבדלים בין מינויים למשרות אמון שנעשים על בסיס שיקולים פוליטיים ואישיים למינויים של בעלי תפקידים מקצועיים מובהקים, ולהוביל להכפפת שיקול דעתם של שומרי סף לשיקול דעתה של הממשלה. על דרך ההשוואה, ובשינויים המחויבים הנובעים מההקשר החוקתי השונה, יש לציין כי בארצות הברית קיימת הסדרה חקיקתית בכל הנוגע לכוחו של הנשיא להתערב בעצמאותם של ראשי סוכנויות פדרליות ולפטרם (להרחבה, ראו: </w:t>
      </w:r>
      <w:r>
        <w:rPr>
          <w:rFonts w:asciiTheme="majorBidi" w:hAnsiTheme="majorBidi" w:cstheme="majorBidi"/>
          <w:sz w:val="24"/>
          <w:szCs w:val="24"/>
        </w:rPr>
        <w:t>Reginald Parker</w:t>
      </w:r>
      <w:r w:rsidRPr="00A70889">
        <w:rPr>
          <w:rFonts w:asciiTheme="majorBidi" w:hAnsiTheme="majorBidi" w:cstheme="majorBidi"/>
          <w:sz w:val="24"/>
          <w:szCs w:val="24"/>
        </w:rPr>
        <w:t>,</w:t>
      </w:r>
      <w:r w:rsidRPr="00A70889">
        <w:rPr>
          <w:rFonts w:asciiTheme="majorBidi" w:hAnsiTheme="majorBidi" w:cstheme="majorBidi"/>
          <w:i/>
          <w:iCs/>
          <w:sz w:val="24"/>
          <w:szCs w:val="24"/>
        </w:rPr>
        <w:t xml:space="preserve"> The Removal Power of the President and Independent Administrative Agencies</w:t>
      </w:r>
      <w:r>
        <w:rPr>
          <w:rFonts w:asciiTheme="majorBidi" w:hAnsiTheme="majorBidi" w:cstheme="majorBidi"/>
          <w:sz w:val="24"/>
          <w:szCs w:val="24"/>
        </w:rPr>
        <w:t xml:space="preserve">, 36 </w:t>
      </w:r>
      <w:r w:rsidRPr="009528B9">
        <w:rPr>
          <w:rFonts w:asciiTheme="majorBidi" w:hAnsiTheme="majorBidi" w:cstheme="majorBidi"/>
          <w:smallCaps/>
          <w:sz w:val="24"/>
          <w:szCs w:val="24"/>
        </w:rPr>
        <w:t>Ind. L. J.</w:t>
      </w:r>
      <w:r>
        <w:rPr>
          <w:rFonts w:asciiTheme="majorBidi" w:hAnsiTheme="majorBidi" w:cstheme="majorBidi"/>
          <w:sz w:val="24"/>
          <w:szCs w:val="24"/>
        </w:rPr>
        <w:t xml:space="preserve"> 63 (1960); </w:t>
      </w:r>
      <w:r w:rsidRPr="001B2545">
        <w:rPr>
          <w:rFonts w:asciiTheme="majorBidi" w:hAnsiTheme="majorBidi" w:cstheme="majorBidi"/>
          <w:sz w:val="24"/>
          <w:szCs w:val="24"/>
        </w:rPr>
        <w:t xml:space="preserve">Cass R. Sunstein &amp; Adrian Vermeule, </w:t>
      </w:r>
      <w:r w:rsidRPr="001B2545">
        <w:rPr>
          <w:rFonts w:asciiTheme="majorBidi" w:hAnsiTheme="majorBidi" w:cstheme="majorBidi"/>
          <w:i/>
          <w:iCs/>
          <w:sz w:val="24"/>
          <w:szCs w:val="24"/>
        </w:rPr>
        <w:t>Presidential Review: The President's Statutory Authority over Independent Agencies</w:t>
      </w:r>
      <w:r w:rsidRPr="001B2545">
        <w:rPr>
          <w:rFonts w:asciiTheme="majorBidi" w:hAnsiTheme="majorBidi" w:cstheme="majorBidi"/>
          <w:sz w:val="24"/>
          <w:szCs w:val="24"/>
        </w:rPr>
        <w:t xml:space="preserve">, 109 </w:t>
      </w:r>
      <w:r w:rsidRPr="001B2545">
        <w:rPr>
          <w:rFonts w:asciiTheme="majorBidi" w:hAnsiTheme="majorBidi" w:cstheme="majorBidi"/>
          <w:smallCaps/>
          <w:sz w:val="24"/>
          <w:szCs w:val="24"/>
        </w:rPr>
        <w:t>Geo</w:t>
      </w:r>
      <w:r>
        <w:rPr>
          <w:rFonts w:asciiTheme="majorBidi" w:hAnsiTheme="majorBidi" w:cstheme="majorBidi"/>
          <w:smallCaps/>
          <w:sz w:val="24"/>
          <w:szCs w:val="24"/>
        </w:rPr>
        <w:t>.</w:t>
      </w:r>
      <w:r w:rsidRPr="001B2545">
        <w:rPr>
          <w:rFonts w:asciiTheme="majorBidi" w:hAnsiTheme="majorBidi" w:cstheme="majorBidi"/>
          <w:smallCaps/>
          <w:sz w:val="24"/>
          <w:szCs w:val="24"/>
        </w:rPr>
        <w:t xml:space="preserve"> L. J. </w:t>
      </w:r>
      <w:r w:rsidRPr="001B2545">
        <w:rPr>
          <w:rFonts w:asciiTheme="majorBidi" w:hAnsiTheme="majorBidi" w:cstheme="majorBidi"/>
          <w:sz w:val="24"/>
          <w:szCs w:val="24"/>
        </w:rPr>
        <w:t xml:space="preserve">637 (2021); Jane Manners &amp; Lev Menand, </w:t>
      </w:r>
      <w:r w:rsidRPr="001B2545">
        <w:rPr>
          <w:rFonts w:asciiTheme="majorBidi" w:hAnsiTheme="majorBidi" w:cstheme="majorBidi"/>
          <w:i/>
          <w:iCs/>
          <w:sz w:val="24"/>
          <w:szCs w:val="24"/>
        </w:rPr>
        <w:t>The Three Permissions: Presidential Removal and the Statutory Limits of Agency Independence</w:t>
      </w:r>
      <w:r w:rsidRPr="001B2545">
        <w:rPr>
          <w:rFonts w:asciiTheme="majorBidi" w:hAnsiTheme="majorBidi" w:cstheme="majorBidi"/>
          <w:sz w:val="24"/>
          <w:szCs w:val="24"/>
        </w:rPr>
        <w:t xml:space="preserve">, 121 </w:t>
      </w:r>
      <w:r w:rsidRPr="001B2545">
        <w:rPr>
          <w:rFonts w:asciiTheme="majorBidi" w:hAnsiTheme="majorBidi" w:cstheme="majorBidi"/>
          <w:smallCaps/>
          <w:sz w:val="24"/>
          <w:szCs w:val="24"/>
        </w:rPr>
        <w:t xml:space="preserve">Colum. L. Rev. </w:t>
      </w:r>
      <w:r w:rsidRPr="001B2545">
        <w:rPr>
          <w:rFonts w:asciiTheme="majorBidi" w:hAnsiTheme="majorBidi" w:cstheme="majorBidi"/>
          <w:sz w:val="24"/>
          <w:szCs w:val="24"/>
        </w:rPr>
        <w:t>1 (2021)</w:t>
      </w:r>
      <w:r>
        <w:rPr>
          <w:rFonts w:hint="cs"/>
          <w:rtl/>
        </w:rPr>
        <w:t>). ההשוואה היא בעלת ערך מוגבל, כמובן, בהתחשב בכך שבארצות הברית נוהג משטר נשיאותי, אשר בו מטבע הדברים הנשיא הנבחר עומד בראשה של הרשות המבצעת. אולם, הדברים אמורים מקל וחומר. קיומה של ביקורת שיפוטית על פיטורין של ראשי רשויות עצמאיות, ולא כל שכן שומרי סף, היא בעלת חשיבות יתרה בהקשר הישראלי, כמפורט להלן.</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43. </w:t>
      </w:r>
      <w:r>
        <w:rPr>
          <w:rFonts w:hint="cs"/>
          <w:rtl/>
        </w:rPr>
        <w:tab/>
        <w:t>באופן יותר קונקרטי, ניתן לומר שכיום רבות מן הנורמות המגבילות החלות על מינויים של בעלי משרה בכירים מעוגנות בהחלטות ממשלה בלבד, ללא כל תוקף נורמטיבי אחר. הדברים אמורים לא רק ביחס לתפקיד היועץ המשפטי לממשלה, אלא גם ביחס לבעלי תפקידים כדוגמת הרמטכ"ל וראש השב"כ, הממונים על-ידי הממשלה (בהתאמה, ראו: סעיף 3(ג) לחוק-יסוד: הצבא וסעיף 3(א) לחוק שירות הביטחון הכללי, התשס"ב-2002). הוועדה המייעצת למינוי בכירים בשירות הציבורי פועלת מכוח החלטות ממשלה בלבד (החל בהחלטת ממשלה 2225 מיום 20.6.1997 בנושא של "</w:t>
      </w:r>
      <w:r w:rsidRPr="00F63647">
        <w:rPr>
          <w:rFonts w:ascii="Century" w:hAnsi="Century"/>
          <w:shd w:val="clear" w:color="auto" w:fill="FFFFFF"/>
          <w:rtl/>
        </w:rPr>
        <w:t>ועדה מייעצת לענין מינויים לתפקידים בכירים בשירות המדינה הנדונים בממשלה</w:t>
      </w:r>
      <w:r>
        <w:rPr>
          <w:rFonts w:ascii="Century" w:hAnsi="Century" w:hint="cs"/>
          <w:rtl/>
        </w:rPr>
        <w:t>" והחלטות ממשלה עוקבות שעדכנו אותה לאורך השנים).</w:t>
      </w:r>
      <w:r>
        <w:rPr>
          <w:rFonts w:hint="cs"/>
          <w:rtl/>
        </w:rPr>
        <w:t xml:space="preserve"> במצב המשפטי הנוכחי, הפיקוח על מינויים לתפקידים אלה מבוסס אפוא על רצונה הטוב של הממשלה בקיומן של החלטות אלה ועל ביקורת שיפוטית הנשענת בעיקרה על עילת הסבירות. תיקון מס' 3 מערער מערך פיקוח זה מיסודו.</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44. </w:t>
      </w:r>
      <w:r>
        <w:rPr>
          <w:rFonts w:hint="cs"/>
          <w:rtl/>
        </w:rPr>
        <w:tab/>
        <w:t>סוגיה קרובה היא כוחה של הממשלה להשפיע על מינויים בגופים המפקחים על גופי התקשורת בישראל (ראו: סעיפים 7 ו-114 לחוק הרשות השניה לטלויזיה ורדיו, התש"ן-1990, וכן סעיפים 9 ו-29 לחוק השידור הציבורי הישראלי, התשע"ד-2014). לגופים אלה יש השפעה, ולו עקיפה, על שוק הדעות בישראל ועל חשיפה למידע. לא ניתן להכביר בחשיבותם של אלה על מנת להבטיח שהבחירות יתקיימו על בסיס חשיפה מלאה למידע ולמחלוקות בזירה הציבורית. שליטה של הממשלה במינויים אלה, ללא ביקורת שיפוטית על סבירות החלטותיה, מעצימה אפוא את כוחה בהקשר שיש לו משמעות מובהקת על תנאי הרקע של הבחירות.</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45. </w:t>
      </w:r>
      <w:r>
        <w:rPr>
          <w:rFonts w:hint="cs"/>
          <w:rtl/>
        </w:rPr>
        <w:tab/>
        <w:t xml:space="preserve">תפקידם החשוב של שומרי הסף מתחדד נוכח העובדה שהם מפקחים על החלטות ספציפיות של הממשלה ושריה. כפי שכבר הסברתי (לעיל בפסקה </w:t>
      </w:r>
      <w:r w:rsidRPr="00277759">
        <w:rPr>
          <w:rtl/>
        </w:rPr>
        <w:t>2</w:t>
      </w:r>
      <w:r>
        <w:rPr>
          <w:rFonts w:hint="cs"/>
          <w:rtl/>
        </w:rPr>
        <w:t>5), במישור העיוני, כלל החלטות הממשלה עומדות ל"משפט הציבור" ביום הבחירות, ולא יכול להיות ספק באשר לכך שהכרעת הבוחר היא בעלת חשיבות מרכזית בדמוקרטיה. אולם, מטבע הדברים, ביום הבחירות נדרשים האזרחים לבחור במפלגה מסוימת, תוך מתן משקל ל"מכלול" המועמדים מטעמה והעמדות שהיא מציגה ביחס לנושאים שונים. הכרעה מסוג זה אינה יכולה להידרש להחלטות פגומות רבות שהתקבלו לאורך הדרך. הדברים אמורים, בשינויים המחויבים, ביחס לאחריותיות של הממשלה בפני הכנסת. לא כל החלטת ממשלה שאינה נושאת חן בעיני חברי הכנסת תגרום להחלפת הממשלה. כידוע, המציאות רחוקה מכך מרחק רב.</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46. </w:t>
      </w:r>
      <w:r>
        <w:rPr>
          <w:rFonts w:hint="cs"/>
          <w:rtl/>
        </w:rPr>
        <w:tab/>
        <w:t xml:space="preserve">הקשיים שעליהם הצבעתי אף מתעצמים כאשר מביאים בחשבון את פוטנציאל החיבור בין שני ההיבטים האחרונים שעליהם עמדתי </w:t>
      </w:r>
      <w:r>
        <w:rPr>
          <w:rtl/>
        </w:rPr>
        <w:t>–</w:t>
      </w:r>
      <w:r>
        <w:rPr>
          <w:rFonts w:hint="cs"/>
          <w:rtl/>
        </w:rPr>
        <w:t xml:space="preserve"> חופש הפעולה של ממשלת מעבר והעדר פיקוח אפקטיבי של שומרי סף. בין השאר, המגבלות החלות על ממשלת מעבר נוגעות למינויים, ובכלל זה מינויים של בעלי תפקידים המוגדרים כשומרי סף. </w:t>
      </w:r>
    </w:p>
    <w:p w:rsidR="00E31875" w:rsidRDefault="00E31875" w:rsidP="00E31875">
      <w:pPr>
        <w:spacing w:line="360" w:lineRule="auto"/>
        <w:jc w:val="both"/>
        <w:rPr>
          <w:rFonts w:ascii="FrankRuehl" w:hAnsi="FrankRuehl" w:cs="FrankRuehl"/>
          <w:sz w:val="28"/>
          <w:szCs w:val="28"/>
          <w:rtl/>
        </w:rPr>
      </w:pPr>
    </w:p>
    <w:p w:rsidR="00E31875" w:rsidRPr="00A93CA9" w:rsidRDefault="00E31875" w:rsidP="00E31875">
      <w:pPr>
        <w:spacing w:line="360" w:lineRule="auto"/>
        <w:jc w:val="both"/>
        <w:rPr>
          <w:rFonts w:ascii="Century" w:hAnsi="Century" w:cs="Miriam"/>
          <w:b/>
          <w:rtl/>
        </w:rPr>
      </w:pPr>
      <w:r>
        <w:rPr>
          <w:rFonts w:ascii="Century" w:hAnsi="Century" w:cs="Miriam" w:hint="cs"/>
          <w:b/>
          <w:rtl/>
        </w:rPr>
        <w:t>מבט</w:t>
      </w:r>
      <w:r w:rsidRPr="00A93CA9">
        <w:rPr>
          <w:rFonts w:ascii="Century" w:hAnsi="Century" w:cs="Miriam"/>
          <w:b/>
          <w:rtl/>
        </w:rPr>
        <w:t xml:space="preserve"> השוואתי: עילת הסבירות כסטנדרט </w:t>
      </w:r>
      <w:r w:rsidRPr="00A93CA9">
        <w:rPr>
          <w:rFonts w:ascii="Century" w:hAnsi="Century" w:cs="Miriam" w:hint="eastAsia"/>
          <w:b/>
          <w:rtl/>
        </w:rPr>
        <w:t>מקובל</w:t>
      </w:r>
      <w:r>
        <w:rPr>
          <w:rFonts w:ascii="Century" w:hAnsi="Century" w:cs="Miriam" w:hint="cs"/>
          <w:b/>
          <w:rtl/>
        </w:rPr>
        <w:t xml:space="preserve"> בהפעלת ביקורת שיפוטית</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47. </w:t>
      </w:r>
      <w:r>
        <w:rPr>
          <w:rFonts w:hint="cs"/>
          <w:rtl/>
        </w:rPr>
        <w:tab/>
        <w:t xml:space="preserve">דרך נוספת להשקיף על אופיו החריג של תיקון מס' 3 היא באמצעות השוואה לשיטות משפט דמוקרטיות אחרות. עיון זה מלמד כי ההכרה בכך שכלי הסבירות הוא חלק מ"ארגז הכלים השיפוטי" חוצה שיטות משפט. אכן, כפי שציינו גם חלק מחבריי, השימוש במשפט ההשוואתי לעולם צריך להיעשות בזהירות. עוד יש להודות שהיקפה של דוקטרינת הסבירות משתנה בין שיטות משפט שונות. אולם, עיון משווה במעמדה של עילת הסבירות בשיטות משפט אחרות מלמד כי תיקון מס' 3, המבטל כליל את </w:t>
      </w:r>
      <w:r>
        <w:rPr>
          <w:rFonts w:hint="cs"/>
          <w:rtl/>
        </w:rPr>
        <w:lastRenderedPageBreak/>
        <w:t xml:space="preserve">הביקורת השיפוטית המבוססת על עילה זו (בצורתה הצרה או הרחבה), ככל שמדובר בהחלטות של הדרג המיניסטריאלי, מצטייר כחריג במיוחד. בשלב זה אינני נדרשת אפוא לשאלת </w:t>
      </w:r>
      <w:r w:rsidRPr="00D87434">
        <w:rPr>
          <w:rFonts w:ascii="Century" w:hAnsi="Century" w:cs="Miriam" w:hint="cs"/>
          <w:b/>
          <w:spacing w:val="0"/>
          <w:szCs w:val="24"/>
          <w:rtl/>
        </w:rPr>
        <w:t>היקפה</w:t>
      </w:r>
      <w:r>
        <w:rPr>
          <w:rFonts w:hint="cs"/>
          <w:rtl/>
        </w:rPr>
        <w:t xml:space="preserve"> של עילת הסבירות (או עילות מקבילות לה) בשיטות משפט אחרות. תחת זאת, בכוונתי להתמקד תחילה בכך שהחתירה לביטול </w:t>
      </w:r>
      <w:r w:rsidRPr="00D87434">
        <w:rPr>
          <w:rFonts w:ascii="Century" w:hAnsi="Century" w:cs="Miriam" w:hint="cs"/>
          <w:b/>
          <w:spacing w:val="0"/>
          <w:szCs w:val="24"/>
          <w:rtl/>
        </w:rPr>
        <w:t>גורף</w:t>
      </w:r>
      <w:r w:rsidRPr="006D7C0C">
        <w:rPr>
          <w:rFonts w:ascii="Century" w:hAnsi="Century" w:cs="Miriam" w:hint="cs"/>
          <w:b/>
          <w:szCs w:val="24"/>
          <w:rtl/>
        </w:rPr>
        <w:t xml:space="preserve"> </w:t>
      </w:r>
      <w:r>
        <w:rPr>
          <w:rFonts w:hint="cs"/>
          <w:rtl/>
        </w:rPr>
        <w:t>של עילת הסבירות אינה מתיישבת עם סטנדרטים מקובלים במדינות דמוקרטיות. להיקף העילה, גם במבט השוואתי, אתייחס בהמשך.</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48. </w:t>
      </w:r>
      <w:r>
        <w:rPr>
          <w:rFonts w:hint="cs"/>
          <w:rtl/>
        </w:rPr>
        <w:tab/>
        <w:t xml:space="preserve">אתחיל במובן מאליו </w:t>
      </w:r>
      <w:r>
        <w:rPr>
          <w:rtl/>
        </w:rPr>
        <w:t>–</w:t>
      </w:r>
      <w:r>
        <w:rPr>
          <w:rFonts w:hint="cs"/>
          <w:rtl/>
        </w:rPr>
        <w:t xml:space="preserve"> הביקורת השיפוטית המבוססת על דוקטרינת הסבירות נקלטה במשפט המינהלי של ישראל מן המשפט המינהלי האנגלי, עוד בראשית שנותיו. ואכן, עד היום דוקטרינת הסבירות היא אבן יסוד של המשפט המינהלי באנגליה, כפי שעוד אפרט </w:t>
      </w:r>
      <w:r w:rsidRPr="00752FCE">
        <w:rPr>
          <w:rFonts w:hint="cs"/>
          <w:rtl/>
        </w:rPr>
        <w:t>בהמשך</w:t>
      </w:r>
      <w:r>
        <w:rPr>
          <w:rFonts w:hint="cs"/>
          <w:rtl/>
        </w:rPr>
        <w:t xml:space="preserve">. בשלב זה, אסתפק בקביעה שדוקטרינת הסבירות התפתחה במשפט האנגלי, מכוח הפסיקה, ובהתאמה היקפה לא נותר אחיד במהלך השנים. בעבר, השימוש בעילת הסבירות באנגליה היה מזוהה עם הגישה המצמצמת שניתן לה ביטוי בפסק הדין </w:t>
      </w:r>
      <w:r w:rsidRPr="00B776E0">
        <w:rPr>
          <w:rFonts w:hint="cs"/>
          <w:rtl/>
        </w:rPr>
        <w:t xml:space="preserve">בעניין </w:t>
      </w:r>
      <w:r w:rsidRPr="00B776E0">
        <w:rPr>
          <w:rFonts w:asciiTheme="majorBidi" w:hAnsiTheme="majorBidi" w:cstheme="majorBidi"/>
          <w:color w:val="202122"/>
          <w:sz w:val="24"/>
          <w:szCs w:val="24"/>
          <w:shd w:val="clear" w:color="auto" w:fill="FFFFFF"/>
        </w:rPr>
        <w:t>Associated Provincial Picture Houses Ltd. v</w:t>
      </w:r>
      <w:r>
        <w:rPr>
          <w:rFonts w:asciiTheme="majorBidi" w:hAnsiTheme="majorBidi" w:cstheme="majorBidi"/>
          <w:color w:val="202122"/>
          <w:sz w:val="24"/>
          <w:szCs w:val="24"/>
          <w:shd w:val="clear" w:color="auto" w:fill="FFFFFF"/>
        </w:rPr>
        <w:t>.</w:t>
      </w:r>
      <w:r w:rsidRPr="00B776E0">
        <w:rPr>
          <w:rFonts w:asciiTheme="majorBidi" w:hAnsiTheme="majorBidi" w:cstheme="majorBidi"/>
          <w:color w:val="202122"/>
          <w:sz w:val="24"/>
          <w:szCs w:val="24"/>
          <w:shd w:val="clear" w:color="auto" w:fill="FFFFFF"/>
        </w:rPr>
        <w:t xml:space="preserve"> Wednesbury Corp</w:t>
      </w:r>
      <w:r>
        <w:rPr>
          <w:rFonts w:asciiTheme="majorBidi" w:hAnsiTheme="majorBidi" w:cstheme="majorBidi"/>
          <w:color w:val="202122"/>
          <w:sz w:val="24"/>
          <w:szCs w:val="24"/>
          <w:shd w:val="clear" w:color="auto" w:fill="FFFFFF"/>
        </w:rPr>
        <w:t>.</w:t>
      </w:r>
      <w:r w:rsidRPr="00B776E0">
        <w:rPr>
          <w:rFonts w:asciiTheme="majorBidi" w:hAnsiTheme="majorBidi" w:cstheme="majorBidi"/>
          <w:color w:val="202122"/>
          <w:sz w:val="24"/>
          <w:szCs w:val="24"/>
          <w:shd w:val="clear" w:color="auto" w:fill="FFFFFF"/>
        </w:rPr>
        <w:t> </w:t>
      </w:r>
      <w:r w:rsidRPr="00887C70">
        <w:rPr>
          <w:rFonts w:asciiTheme="majorBidi" w:hAnsiTheme="majorBidi" w:cstheme="majorBidi"/>
          <w:color w:val="202122"/>
          <w:sz w:val="24"/>
          <w:szCs w:val="24"/>
          <w:shd w:val="clear" w:color="auto" w:fill="FFFFFF"/>
        </w:rPr>
        <w:t>[1948] 1 KB 223</w:t>
      </w:r>
      <w:r>
        <w:rPr>
          <w:rFonts w:hint="cs"/>
          <w:rtl/>
        </w:rPr>
        <w:t xml:space="preserve"> (להלן: עניין </w:t>
      </w:r>
      <w:r w:rsidRPr="00D87434">
        <w:rPr>
          <w:rFonts w:ascii="Century" w:hAnsi="Century" w:cs="Miriam" w:hint="eastAsia"/>
          <w:b/>
          <w:spacing w:val="0"/>
          <w:szCs w:val="24"/>
          <w:rtl/>
        </w:rPr>
        <w:t>וו</w:t>
      </w:r>
      <w:r w:rsidRPr="00D87434">
        <w:rPr>
          <w:rFonts w:ascii="Century" w:hAnsi="Century" w:cs="Miriam" w:hint="cs"/>
          <w:b/>
          <w:spacing w:val="0"/>
          <w:szCs w:val="24"/>
          <w:rtl/>
        </w:rPr>
        <w:t>נ</w:t>
      </w:r>
      <w:r w:rsidRPr="00D87434">
        <w:rPr>
          <w:rFonts w:ascii="Century" w:hAnsi="Century" w:cs="Miriam" w:hint="eastAsia"/>
          <w:b/>
          <w:spacing w:val="0"/>
          <w:szCs w:val="24"/>
          <w:rtl/>
        </w:rPr>
        <w:t>דסברי</w:t>
      </w:r>
      <w:r>
        <w:rPr>
          <w:rFonts w:hint="cs"/>
          <w:rtl/>
        </w:rPr>
        <w:t>). אולם, כפי שאראה בהמשך, גישה מצמצמת זו אינה מייצגת עוד את עמדתו של המשפט האנגלי.</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49. </w:t>
      </w:r>
      <w:r>
        <w:rPr>
          <w:rFonts w:hint="cs"/>
          <w:rtl/>
        </w:rPr>
        <w:tab/>
        <w:t xml:space="preserve">שיטות משפט רבות אחרות, בעיקר כאלה שמקורן במשפט האנגלי (אך לא רק), אימצו אף הן את דוקטרינת הסבירות, בהיקף ובמשקל שונים. אין צורך להידרש בהרחבה למצב המשפטי בכל אחת ואחת מהן. אולם, יש חשיבות לכך שמדובר בעילה "לגיטימית", אשר כל אחת משיטות המשפט יצקה לתוכה תוכן ממשי </w:t>
      </w:r>
      <w:r>
        <w:rPr>
          <w:rtl/>
        </w:rPr>
        <w:t>–</w:t>
      </w:r>
      <w:r>
        <w:rPr>
          <w:rFonts w:hint="cs"/>
          <w:rtl/>
        </w:rPr>
        <w:t xml:space="preserve"> המתאים לעקרונות המשפטיים האחרים ולדוקטרינות הנוהגות בה.</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50. </w:t>
      </w:r>
      <w:r>
        <w:rPr>
          <w:rFonts w:hint="cs"/>
          <w:rtl/>
        </w:rPr>
        <w:tab/>
        <w:t xml:space="preserve">כך למשל, במשפט המינהלי של קנדה, אחת מן המדינות ששיטתן המשפטית שאבה ממקורות המשפט האנגלי, הסבירות היא חלק בלתי נפרד מתורת הביקורת השיפוטית על מעשי המינהל. לאורך השנים, בית המשפט העליון של קנדה התלבט בשאלה מהו המבחן שראוי לאמץ לצורך החלתה של עילת הסבירות, אך זאת על בסיס ההנחה שהעילה אכן חלה. נקודת ציון חשובה הייתה ההלכה שנקבעה בעניין </w:t>
      </w:r>
      <w:r w:rsidRPr="00B776E0">
        <w:rPr>
          <w:rFonts w:asciiTheme="majorBidi" w:hAnsiTheme="majorBidi" w:cstheme="majorBidi"/>
          <w:sz w:val="24"/>
          <w:szCs w:val="24"/>
          <w:shd w:val="clear" w:color="auto" w:fill="FFFFFF"/>
        </w:rPr>
        <w:t>Dunsmuir v</w:t>
      </w:r>
      <w:r>
        <w:rPr>
          <w:rFonts w:asciiTheme="majorBidi" w:hAnsiTheme="majorBidi" w:cstheme="majorBidi"/>
          <w:sz w:val="24"/>
          <w:szCs w:val="24"/>
          <w:shd w:val="clear" w:color="auto" w:fill="FFFFFF"/>
        </w:rPr>
        <w:t>.</w:t>
      </w:r>
      <w:r w:rsidRPr="00B776E0">
        <w:rPr>
          <w:rFonts w:asciiTheme="majorBidi" w:hAnsiTheme="majorBidi" w:cstheme="majorBidi"/>
          <w:sz w:val="24"/>
          <w:szCs w:val="24"/>
          <w:shd w:val="clear" w:color="auto" w:fill="FFFFFF"/>
        </w:rPr>
        <w:t xml:space="preserve"> New Brunswick</w:t>
      </w:r>
      <w:r w:rsidRPr="000953D0">
        <w:rPr>
          <w:rFonts w:asciiTheme="majorBidi" w:hAnsiTheme="majorBidi" w:cstheme="majorBidi"/>
          <w:sz w:val="24"/>
          <w:szCs w:val="24"/>
          <w:shd w:val="clear" w:color="auto" w:fill="FFFFFF"/>
        </w:rPr>
        <w:t xml:space="preserve"> [2008] 1 SCR 190</w:t>
      </w:r>
      <w:r w:rsidRPr="000953D0">
        <w:rPr>
          <w:rFonts w:asciiTheme="majorBidi" w:hAnsiTheme="majorBidi" w:cstheme="majorBidi" w:hint="cs"/>
          <w:sz w:val="24"/>
          <w:szCs w:val="24"/>
          <w:rtl/>
        </w:rPr>
        <w:t xml:space="preserve"> (</w:t>
      </w:r>
      <w:r w:rsidRPr="000953D0">
        <w:rPr>
          <w:rFonts w:ascii="Century" w:hAnsi="Century" w:hint="cs"/>
          <w:rtl/>
        </w:rPr>
        <w:t xml:space="preserve">לפרשנותה </w:t>
      </w:r>
      <w:r w:rsidRPr="000953D0">
        <w:rPr>
          <w:rFonts w:ascii="Century" w:hAnsi="Century" w:hint="eastAsia"/>
          <w:rtl/>
        </w:rPr>
        <w:t>ראו</w:t>
      </w:r>
      <w:r w:rsidRPr="000953D0">
        <w:rPr>
          <w:rFonts w:ascii="Century" w:hAnsi="Century"/>
          <w:rtl/>
        </w:rPr>
        <w:t>:</w:t>
      </w:r>
      <w:r w:rsidRPr="000953D0">
        <w:rPr>
          <w:rFonts w:asciiTheme="majorBidi" w:hAnsiTheme="majorBidi" w:cstheme="majorBidi" w:hint="cs"/>
          <w:sz w:val="24"/>
          <w:szCs w:val="24"/>
          <w:rtl/>
        </w:rPr>
        <w:t xml:space="preserve"> </w:t>
      </w:r>
      <w:r w:rsidRPr="000953D0">
        <w:rPr>
          <w:rFonts w:asciiTheme="majorBidi" w:hAnsiTheme="majorBidi" w:cstheme="majorBidi"/>
          <w:sz w:val="24"/>
          <w:szCs w:val="24"/>
        </w:rPr>
        <w:t xml:space="preserve">Paul Daly, </w:t>
      </w:r>
      <w:r w:rsidRPr="000953D0">
        <w:rPr>
          <w:rFonts w:asciiTheme="majorBidi" w:hAnsiTheme="majorBidi" w:cstheme="majorBidi"/>
          <w:i/>
          <w:iCs/>
          <w:sz w:val="24"/>
          <w:szCs w:val="24"/>
        </w:rPr>
        <w:t>The Scope and Meaning of Reasonableness Review</w:t>
      </w:r>
      <w:r>
        <w:rPr>
          <w:rFonts w:asciiTheme="majorBidi" w:hAnsiTheme="majorBidi" w:cstheme="majorBidi"/>
          <w:sz w:val="24"/>
          <w:szCs w:val="24"/>
        </w:rPr>
        <w:t>, 52</w:t>
      </w:r>
      <w:r w:rsidRPr="000953D0">
        <w:rPr>
          <w:rFonts w:asciiTheme="majorBidi" w:hAnsiTheme="majorBidi" w:cstheme="majorBidi"/>
          <w:sz w:val="24"/>
          <w:szCs w:val="24"/>
        </w:rPr>
        <w:t xml:space="preserve"> </w:t>
      </w:r>
      <w:r w:rsidRPr="000953D0">
        <w:rPr>
          <w:rFonts w:asciiTheme="majorBidi" w:hAnsiTheme="majorBidi" w:cstheme="majorBidi"/>
          <w:smallCaps/>
          <w:sz w:val="24"/>
          <w:szCs w:val="24"/>
        </w:rPr>
        <w:t>Alta. L. Rev.</w:t>
      </w:r>
      <w:r w:rsidRPr="000953D0">
        <w:rPr>
          <w:rFonts w:asciiTheme="majorBidi" w:hAnsiTheme="majorBidi" w:cstheme="majorBidi"/>
          <w:sz w:val="24"/>
          <w:szCs w:val="24"/>
        </w:rPr>
        <w:t xml:space="preserve"> 799 (2005)</w:t>
      </w:r>
      <w:r>
        <w:rPr>
          <w:rFonts w:asciiTheme="majorBidi" w:hAnsiTheme="majorBidi" w:cstheme="majorBidi"/>
          <w:sz w:val="24"/>
          <w:szCs w:val="24"/>
        </w:rPr>
        <w:t xml:space="preserve">; Paul Daly, </w:t>
      </w:r>
      <w:r w:rsidRPr="00CB470E">
        <w:rPr>
          <w:rFonts w:asciiTheme="majorBidi" w:hAnsiTheme="majorBidi" w:cstheme="majorBidi"/>
          <w:i/>
          <w:iCs/>
          <w:sz w:val="24"/>
          <w:szCs w:val="24"/>
        </w:rPr>
        <w:t>Struggling Toward Coherence in Canadian Administrative Law? Recent Cases on Standard of Review and Reasonableness</w:t>
      </w:r>
      <w:r>
        <w:rPr>
          <w:rFonts w:asciiTheme="majorBidi" w:hAnsiTheme="majorBidi" w:cstheme="majorBidi"/>
          <w:sz w:val="24"/>
          <w:szCs w:val="24"/>
        </w:rPr>
        <w:t xml:space="preserve">, 62 </w:t>
      </w:r>
      <w:r w:rsidRPr="00CB470E">
        <w:rPr>
          <w:rFonts w:asciiTheme="majorBidi" w:hAnsiTheme="majorBidi" w:cstheme="majorBidi"/>
          <w:smallCaps/>
          <w:sz w:val="24"/>
          <w:szCs w:val="24"/>
        </w:rPr>
        <w:t>McGill L.</w:t>
      </w:r>
      <w:r>
        <w:rPr>
          <w:rFonts w:asciiTheme="majorBidi" w:hAnsiTheme="majorBidi" w:cstheme="majorBidi"/>
          <w:smallCaps/>
          <w:sz w:val="24"/>
          <w:szCs w:val="24"/>
        </w:rPr>
        <w:t xml:space="preserve"> </w:t>
      </w:r>
      <w:r w:rsidRPr="00CB470E">
        <w:rPr>
          <w:rFonts w:asciiTheme="majorBidi" w:hAnsiTheme="majorBidi" w:cstheme="majorBidi"/>
          <w:smallCaps/>
          <w:sz w:val="24"/>
          <w:szCs w:val="24"/>
        </w:rPr>
        <w:t xml:space="preserve">J. </w:t>
      </w:r>
      <w:r>
        <w:rPr>
          <w:rFonts w:asciiTheme="majorBidi" w:hAnsiTheme="majorBidi" w:cstheme="majorBidi"/>
          <w:sz w:val="24"/>
          <w:szCs w:val="24"/>
        </w:rPr>
        <w:t>527 (2016)</w:t>
      </w:r>
      <w:r>
        <w:rPr>
          <w:rFonts w:asciiTheme="majorBidi" w:hAnsiTheme="majorBidi" w:cstheme="majorBidi" w:hint="cs"/>
          <w:sz w:val="24"/>
          <w:szCs w:val="24"/>
          <w:rtl/>
        </w:rPr>
        <w:t xml:space="preserve">). </w:t>
      </w:r>
      <w:r>
        <w:rPr>
          <w:rFonts w:hint="cs"/>
          <w:rtl/>
        </w:rPr>
        <w:t xml:space="preserve">בהמשך, בית המשפט העליון של קנדה הבהיר את גישתו בכל הנוגע למבחנים להפעלתה של ביקורת שיפוטית המבוססת על סבירות בעניין </w:t>
      </w:r>
      <w:r w:rsidRPr="00B776E0">
        <w:rPr>
          <w:rFonts w:asciiTheme="majorBidi" w:hAnsiTheme="majorBidi" w:cstheme="majorBidi"/>
          <w:sz w:val="24"/>
          <w:szCs w:val="24"/>
        </w:rPr>
        <w:t xml:space="preserve">Canada (Minister of </w:t>
      </w:r>
      <w:r w:rsidRPr="00B776E0">
        <w:rPr>
          <w:rFonts w:asciiTheme="majorBidi" w:hAnsiTheme="majorBidi" w:cstheme="majorBidi"/>
          <w:sz w:val="24"/>
          <w:szCs w:val="24"/>
        </w:rPr>
        <w:lastRenderedPageBreak/>
        <w:t>Citizenship and Immigration) v. Vavilov</w:t>
      </w:r>
      <w:r w:rsidRPr="002703A4">
        <w:rPr>
          <w:rFonts w:asciiTheme="majorBidi" w:hAnsiTheme="majorBidi" w:cstheme="majorBidi"/>
          <w:sz w:val="24"/>
          <w:szCs w:val="24"/>
        </w:rPr>
        <w:t xml:space="preserve"> [2019] 4 S.C.R. 653</w:t>
      </w:r>
      <w:r>
        <w:rPr>
          <w:rFonts w:hint="cs"/>
          <w:rtl/>
        </w:rPr>
        <w:t xml:space="preserve"> (להלן: עניין </w:t>
      </w:r>
      <w:r w:rsidRPr="00B776E0">
        <w:rPr>
          <w:rFonts w:asciiTheme="majorBidi" w:hAnsiTheme="majorBidi" w:cstheme="majorBidi"/>
          <w:sz w:val="24"/>
          <w:szCs w:val="24"/>
        </w:rPr>
        <w:t>Vavilov</w:t>
      </w:r>
      <w:r>
        <w:rPr>
          <w:rFonts w:hint="cs"/>
          <w:rtl/>
        </w:rPr>
        <w:t xml:space="preserve">). מעניין לציין שפסק דין זה עסק בסבירות החלטות מינהליות בהקשר המורכב של הגירה ואזרחות, שנהוג לראות בו תחום מובהק של קביעת מדיניות ממשלתית. </w:t>
      </w:r>
    </w:p>
    <w:p w:rsidR="00E31875" w:rsidRDefault="00E31875" w:rsidP="00E31875">
      <w:pPr>
        <w:spacing w:line="360" w:lineRule="auto"/>
        <w:jc w:val="both"/>
        <w:rPr>
          <w:rFonts w:ascii="FrankRuehl" w:hAnsi="FrankRuehl" w:cs="FrankRuehl"/>
          <w:sz w:val="28"/>
          <w:szCs w:val="28"/>
          <w:rtl/>
        </w:rPr>
      </w:pPr>
    </w:p>
    <w:p w:rsidR="00E31875" w:rsidRPr="000953D0" w:rsidRDefault="00E31875" w:rsidP="00E31875">
      <w:pPr>
        <w:pStyle w:val="Ruller41"/>
        <w:rPr>
          <w:rtl/>
        </w:rPr>
      </w:pPr>
      <w:r>
        <w:rPr>
          <w:rFonts w:hint="cs"/>
          <w:rtl/>
        </w:rPr>
        <w:t xml:space="preserve">51. </w:t>
      </w:r>
      <w:r>
        <w:rPr>
          <w:rFonts w:hint="cs"/>
          <w:rtl/>
        </w:rPr>
        <w:tab/>
        <w:t>דוגמה נוספת ניתן להביא מן המשפט המינהלי של אוסטרליה, עוד "ענף" שצמח מן המשפט המינהלי האנגלי. גם באוסטרליה עילת הסבירות היא חלק בלתי נפרד מן הביקורת השיפוטית. מבלי להרחיב, יצוין כי הבהרת ההלכה בתחום זה נעשתה בפסק דין שעסק גם כן בתחום ההגירה</w:t>
      </w:r>
      <w:r>
        <w:rPr>
          <w:rFonts w:asciiTheme="majorBidi" w:hAnsiTheme="majorBidi" w:cstheme="majorBidi" w:hint="cs"/>
          <w:i/>
          <w:iCs/>
          <w:color w:val="000000"/>
          <w:sz w:val="24"/>
          <w:szCs w:val="24"/>
          <w:rtl/>
        </w:rPr>
        <w:t xml:space="preserve"> </w:t>
      </w:r>
      <w:r>
        <w:rPr>
          <w:rFonts w:ascii="Century" w:hAnsi="Century" w:hint="cs"/>
          <w:rtl/>
        </w:rPr>
        <w:t xml:space="preserve">(ראו: </w:t>
      </w:r>
      <w:r w:rsidRPr="00B776E0">
        <w:rPr>
          <w:rFonts w:asciiTheme="majorBidi" w:hAnsiTheme="majorBidi" w:cstheme="majorBidi"/>
          <w:sz w:val="24"/>
          <w:szCs w:val="24"/>
        </w:rPr>
        <w:t>Minister for Immigration and Citizenship v. Li</w:t>
      </w:r>
      <w:r w:rsidRPr="00AE2191">
        <w:rPr>
          <w:rFonts w:asciiTheme="majorBidi" w:hAnsiTheme="majorBidi" w:cstheme="majorBidi"/>
          <w:sz w:val="24"/>
          <w:szCs w:val="24"/>
        </w:rPr>
        <w:t xml:space="preserve"> [2013] HCA </w:t>
      </w:r>
      <w:r w:rsidRPr="00AB6426">
        <w:rPr>
          <w:rFonts w:ascii="Century" w:hAnsi="Century"/>
        </w:rPr>
        <w:t>18</w:t>
      </w:r>
      <w:r w:rsidRPr="00AB6426">
        <w:rPr>
          <w:rFonts w:ascii="Century" w:hAnsi="Century" w:hint="cs"/>
          <w:rtl/>
        </w:rPr>
        <w:t xml:space="preserve"> (להלן: עניין</w:t>
      </w:r>
      <w:r w:rsidRPr="00AB6426">
        <w:rPr>
          <w:rFonts w:asciiTheme="majorBidi" w:hAnsiTheme="majorBidi" w:cstheme="majorBidi" w:hint="cs"/>
          <w:rtl/>
        </w:rPr>
        <w:t xml:space="preserve"> </w:t>
      </w:r>
      <w:r w:rsidRPr="00B776E0">
        <w:rPr>
          <w:rFonts w:asciiTheme="majorBidi" w:hAnsiTheme="majorBidi" w:cstheme="majorBidi"/>
          <w:sz w:val="24"/>
          <w:szCs w:val="24"/>
        </w:rPr>
        <w:t>Li</w:t>
      </w:r>
      <w:r>
        <w:rPr>
          <w:rFonts w:asciiTheme="majorBidi" w:hAnsiTheme="majorBidi" w:cstheme="majorBidi" w:hint="cs"/>
          <w:rtl/>
        </w:rPr>
        <w:t>)</w:t>
      </w:r>
      <w:r>
        <w:rPr>
          <w:rFonts w:ascii="Century" w:hAnsi="Century" w:hint="cs"/>
          <w:rtl/>
        </w:rPr>
        <w:t xml:space="preserve">. להרחבה, ראו: </w:t>
      </w:r>
      <w:r w:rsidRPr="003565DD">
        <w:rPr>
          <w:rFonts w:asciiTheme="majorBidi" w:hAnsiTheme="majorBidi" w:cstheme="majorBidi"/>
          <w:sz w:val="24"/>
          <w:szCs w:val="24"/>
        </w:rPr>
        <w:t xml:space="preserve">Leighton McDonald, </w:t>
      </w:r>
      <w:r w:rsidRPr="003565DD">
        <w:rPr>
          <w:rFonts w:asciiTheme="majorBidi" w:hAnsiTheme="majorBidi" w:cstheme="majorBidi"/>
          <w:i/>
          <w:iCs/>
          <w:sz w:val="24"/>
          <w:szCs w:val="24"/>
        </w:rPr>
        <w:t>Rethinking Unreasonableness Review</w:t>
      </w:r>
      <w:r w:rsidRPr="003565DD">
        <w:rPr>
          <w:rFonts w:asciiTheme="majorBidi" w:hAnsiTheme="majorBidi" w:cstheme="majorBidi"/>
          <w:sz w:val="24"/>
          <w:szCs w:val="24"/>
        </w:rPr>
        <w:t xml:space="preserve">, 25 </w:t>
      </w:r>
      <w:r w:rsidRPr="003565DD">
        <w:rPr>
          <w:rFonts w:asciiTheme="majorBidi" w:hAnsiTheme="majorBidi" w:cstheme="majorBidi"/>
          <w:smallCaps/>
          <w:sz w:val="24"/>
          <w:szCs w:val="24"/>
        </w:rPr>
        <w:t>Pub. L. Rev.</w:t>
      </w:r>
      <w:r w:rsidRPr="003565DD">
        <w:rPr>
          <w:rFonts w:asciiTheme="majorBidi" w:hAnsiTheme="majorBidi" w:cstheme="majorBidi"/>
          <w:sz w:val="24"/>
          <w:szCs w:val="24"/>
        </w:rPr>
        <w:t xml:space="preserve"> 117 (2014)</w:t>
      </w:r>
      <w:r>
        <w:rPr>
          <w:rFonts w:asciiTheme="majorBidi" w:hAnsiTheme="majorBidi" w:cstheme="majorBidi"/>
          <w:sz w:val="24"/>
          <w:szCs w:val="24"/>
        </w:rPr>
        <w:t xml:space="preserve">; Janina Boughey, </w:t>
      </w:r>
      <w:r w:rsidRPr="00AA0A1B">
        <w:rPr>
          <w:rFonts w:asciiTheme="majorBidi" w:hAnsiTheme="majorBidi" w:cstheme="majorBidi"/>
          <w:i/>
          <w:iCs/>
          <w:sz w:val="24"/>
          <w:szCs w:val="24"/>
        </w:rPr>
        <w:t>Legal Unreasonableness: In Need of a New Justification</w:t>
      </w:r>
      <w:r>
        <w:rPr>
          <w:rFonts w:asciiTheme="majorBidi" w:hAnsiTheme="majorBidi" w:cstheme="majorBidi"/>
          <w:sz w:val="24"/>
          <w:szCs w:val="24"/>
        </w:rPr>
        <w:t xml:space="preserve">, 45 </w:t>
      </w:r>
      <w:r w:rsidRPr="00B776E0">
        <w:rPr>
          <w:rFonts w:asciiTheme="majorBidi" w:hAnsiTheme="majorBidi" w:cstheme="majorBidi"/>
          <w:smallCaps/>
          <w:sz w:val="24"/>
          <w:szCs w:val="24"/>
        </w:rPr>
        <w:t>Univ</w:t>
      </w:r>
      <w:r>
        <w:rPr>
          <w:rFonts w:asciiTheme="majorBidi" w:hAnsiTheme="majorBidi" w:cstheme="majorBidi"/>
          <w:sz w:val="24"/>
          <w:szCs w:val="24"/>
        </w:rPr>
        <w:t>. N.S.W. L. J. 113 (2022)</w:t>
      </w:r>
      <w:r>
        <w:rPr>
          <w:rFonts w:asciiTheme="majorBidi" w:hAnsiTheme="majorBidi" w:cstheme="majorBidi" w:hint="cs"/>
          <w:sz w:val="24"/>
          <w:szCs w:val="24"/>
          <w:rtl/>
        </w:rPr>
        <w:t>).</w:t>
      </w:r>
      <w:r>
        <w:rPr>
          <w:rFonts w:asciiTheme="majorBidi" w:hAnsiTheme="majorBidi" w:cstheme="majorBidi"/>
          <w:sz w:val="24"/>
          <w:szCs w:val="24"/>
        </w:rPr>
        <w:t xml:space="preserve"> </w:t>
      </w:r>
      <w:r>
        <w:rPr>
          <w:rFonts w:hint="cs"/>
          <w:rtl/>
        </w:rPr>
        <w:t xml:space="preserve">והוא הדין בניו זילנד, שאף בה עילת הסבירות חזרה והתבססה בפסיקה עדכנית (ראו: </w:t>
      </w:r>
      <w:r w:rsidRPr="00F96F56">
        <w:rPr>
          <w:rFonts w:asciiTheme="majorBidi" w:hAnsiTheme="majorBidi" w:cstheme="majorBidi"/>
          <w:sz w:val="24"/>
          <w:szCs w:val="24"/>
        </w:rPr>
        <w:t xml:space="preserve">Wolf v. Minister of Immigration </w:t>
      </w:r>
      <w:r w:rsidRPr="000953D0">
        <w:rPr>
          <w:rFonts w:asciiTheme="majorBidi" w:hAnsiTheme="majorBidi" w:cstheme="majorBidi"/>
          <w:sz w:val="24"/>
          <w:szCs w:val="24"/>
        </w:rPr>
        <w:t xml:space="preserve">[2004] NZAR 414; </w:t>
      </w:r>
      <w:r w:rsidRPr="00F96F56">
        <w:rPr>
          <w:rFonts w:asciiTheme="majorBidi" w:hAnsiTheme="majorBidi" w:cstheme="majorBidi"/>
          <w:sz w:val="24"/>
          <w:szCs w:val="24"/>
        </w:rPr>
        <w:t>Watson v. Chief Exec</w:t>
      </w:r>
      <w:r>
        <w:rPr>
          <w:rFonts w:asciiTheme="majorBidi" w:hAnsiTheme="majorBidi" w:cstheme="majorBidi"/>
          <w:sz w:val="24"/>
          <w:szCs w:val="24"/>
        </w:rPr>
        <w:t>. of the Dep't</w:t>
      </w:r>
      <w:r w:rsidRPr="00F96F56">
        <w:rPr>
          <w:rFonts w:asciiTheme="majorBidi" w:hAnsiTheme="majorBidi" w:cstheme="majorBidi"/>
          <w:sz w:val="24"/>
          <w:szCs w:val="24"/>
        </w:rPr>
        <w:t xml:space="preserve"> of </w:t>
      </w:r>
      <w:r>
        <w:rPr>
          <w:rFonts w:asciiTheme="majorBidi" w:hAnsiTheme="majorBidi" w:cstheme="majorBidi"/>
          <w:sz w:val="24"/>
          <w:szCs w:val="24"/>
        </w:rPr>
        <w:t>Corr.</w:t>
      </w:r>
      <w:r w:rsidRPr="000953D0">
        <w:rPr>
          <w:rFonts w:asciiTheme="majorBidi" w:hAnsiTheme="majorBidi" w:cstheme="majorBidi"/>
          <w:sz w:val="24"/>
          <w:szCs w:val="24"/>
        </w:rPr>
        <w:t xml:space="preserve"> [2016] NZHC 1996</w:t>
      </w:r>
      <w:r w:rsidRPr="00F96F56">
        <w:rPr>
          <w:rFonts w:asciiTheme="majorBidi" w:hAnsiTheme="majorBidi" w:cstheme="majorBidi"/>
          <w:sz w:val="24"/>
          <w:szCs w:val="24"/>
        </w:rPr>
        <w:t xml:space="preserve">; Deliu v. Connell </w:t>
      </w:r>
      <w:r w:rsidRPr="000953D0">
        <w:rPr>
          <w:rFonts w:asciiTheme="majorBidi" w:hAnsiTheme="majorBidi" w:cstheme="majorBidi"/>
          <w:sz w:val="24"/>
          <w:szCs w:val="24"/>
        </w:rPr>
        <w:t>[2016] NZHC 361</w:t>
      </w:r>
      <w:r>
        <w:rPr>
          <w:rFonts w:hint="cs"/>
          <w:rtl/>
        </w:rPr>
        <w:t>).</w:t>
      </w:r>
    </w:p>
    <w:p w:rsidR="00E31875" w:rsidRPr="00AE2191" w:rsidRDefault="00E31875" w:rsidP="00E31875">
      <w:pPr>
        <w:spacing w:line="360" w:lineRule="auto"/>
        <w:jc w:val="both"/>
        <w:rPr>
          <w:rFonts w:asciiTheme="majorBidi" w:hAnsiTheme="majorBidi" w:cstheme="majorBidi"/>
          <w:spacing w:val="10"/>
          <w:szCs w:val="28"/>
          <w:rtl/>
        </w:rPr>
      </w:pPr>
    </w:p>
    <w:p w:rsidR="00E31875" w:rsidRPr="00EB7536" w:rsidRDefault="00E31875" w:rsidP="00E31875">
      <w:pPr>
        <w:pStyle w:val="Ruller41"/>
        <w:rPr>
          <w:rFonts w:asciiTheme="majorBidi" w:hAnsiTheme="majorBidi" w:cstheme="majorBidi"/>
          <w:sz w:val="24"/>
          <w:szCs w:val="24"/>
          <w:rtl/>
        </w:rPr>
      </w:pPr>
      <w:r>
        <w:rPr>
          <w:rFonts w:hint="cs"/>
          <w:rtl/>
        </w:rPr>
        <w:t xml:space="preserve">52. </w:t>
      </w:r>
      <w:r>
        <w:rPr>
          <w:rFonts w:hint="cs"/>
          <w:rtl/>
        </w:rPr>
        <w:tab/>
        <w:t>ראוי להוסיף, כי הגם שביקורת שיפוטית מכוח עילת הסבירות מזוהה במידה רבה עם המסורת הפסיקתית של המשפט האנגלי, אפשר להצביע על דוקטרינות הממלאות פונקציה דומה גם בשיטות משפט אחרות. דוגמה לכך אפשר להביא מן המשפט הצרפתי, שבו המשפט המינהלי הוא תחום משפט מפותח במיוחד הנדון בפני מערכת נפרדת של בתי משפט מינהליים, שבראשה עומדת מועצת המדינה (</w:t>
      </w:r>
      <w:r w:rsidRPr="00F54991">
        <w:rPr>
          <w:rFonts w:asciiTheme="majorBidi" w:hAnsiTheme="majorBidi" w:cstheme="majorBidi"/>
          <w:sz w:val="24"/>
          <w:szCs w:val="24"/>
        </w:rPr>
        <w:t>Conseil d'Etat</w:t>
      </w:r>
      <w:r>
        <w:rPr>
          <w:rFonts w:hint="cs"/>
          <w:rtl/>
        </w:rPr>
        <w:t>).</w:t>
      </w:r>
      <w:r w:rsidRPr="002703A4">
        <w:t xml:space="preserve"> </w:t>
      </w:r>
      <w:r>
        <w:rPr>
          <w:rFonts w:hint="cs"/>
          <w:rtl/>
        </w:rPr>
        <w:t>המשפט הצרפתי מכיר בדוקטרינה של "טעות בולטת בהערכה" (</w:t>
      </w:r>
      <w:r>
        <w:rPr>
          <w:rFonts w:asciiTheme="majorBidi" w:hAnsiTheme="majorBidi" w:cstheme="majorBidi"/>
          <w:sz w:val="24"/>
          <w:szCs w:val="24"/>
        </w:rPr>
        <w:t xml:space="preserve">erreur </w:t>
      </w:r>
      <w:r w:rsidRPr="002703A4">
        <w:rPr>
          <w:rFonts w:asciiTheme="majorBidi" w:hAnsiTheme="majorBidi" w:cstheme="majorBidi"/>
          <w:sz w:val="24"/>
          <w:szCs w:val="24"/>
        </w:rPr>
        <w:t>manifeste d'appréciation</w:t>
      </w:r>
      <w:r w:rsidRPr="002703A4">
        <w:rPr>
          <w:rFonts w:asciiTheme="majorBidi" w:hAnsiTheme="majorBidi" w:cstheme="majorBidi"/>
          <w:sz w:val="24"/>
          <w:szCs w:val="24"/>
          <w:rtl/>
        </w:rPr>
        <w:t>)</w:t>
      </w:r>
      <w:r>
        <w:rPr>
          <w:rFonts w:hint="cs"/>
          <w:rtl/>
        </w:rPr>
        <w:t xml:space="preserve"> הממוקדת אף היא, במהותה, במקרים של אי-סבירות קיצונית (ראו למשל: </w:t>
      </w:r>
      <w:r w:rsidRPr="004B50EE">
        <w:rPr>
          <w:rFonts w:asciiTheme="majorBidi" w:hAnsiTheme="majorBidi" w:cstheme="majorBidi"/>
          <w:sz w:val="24"/>
          <w:szCs w:val="24"/>
        </w:rPr>
        <w:t xml:space="preserve">George A. Bermann, </w:t>
      </w:r>
      <w:r w:rsidRPr="004B50EE">
        <w:rPr>
          <w:rFonts w:asciiTheme="majorBidi" w:hAnsiTheme="majorBidi" w:cstheme="majorBidi"/>
          <w:i/>
          <w:iCs/>
          <w:sz w:val="24"/>
          <w:szCs w:val="24"/>
        </w:rPr>
        <w:t>The Scope of Judicial Review in French Administrative Law</w:t>
      </w:r>
      <w:r w:rsidRPr="004B50EE">
        <w:rPr>
          <w:rFonts w:asciiTheme="majorBidi" w:hAnsiTheme="majorBidi" w:cstheme="majorBidi"/>
          <w:sz w:val="24"/>
          <w:szCs w:val="24"/>
        </w:rPr>
        <w:t xml:space="preserve">, 16 </w:t>
      </w:r>
      <w:r w:rsidRPr="004B50EE">
        <w:rPr>
          <w:rFonts w:asciiTheme="majorBidi" w:hAnsiTheme="majorBidi" w:cstheme="majorBidi"/>
          <w:smallCaps/>
          <w:sz w:val="24"/>
          <w:szCs w:val="24"/>
        </w:rPr>
        <w:t>Colum. J. Transn</w:t>
      </w:r>
      <w:r>
        <w:rPr>
          <w:rFonts w:asciiTheme="majorBidi" w:hAnsiTheme="majorBidi" w:cstheme="majorBidi"/>
          <w:smallCaps/>
          <w:sz w:val="24"/>
          <w:szCs w:val="24"/>
        </w:rPr>
        <w:t>at</w:t>
      </w:r>
      <w:r w:rsidRPr="004B50EE">
        <w:rPr>
          <w:rFonts w:asciiTheme="majorBidi" w:hAnsiTheme="majorBidi" w:cstheme="majorBidi"/>
          <w:smallCaps/>
          <w:sz w:val="24"/>
          <w:szCs w:val="24"/>
        </w:rPr>
        <w:t>'l L.</w:t>
      </w:r>
      <w:r>
        <w:rPr>
          <w:rFonts w:asciiTheme="majorBidi" w:hAnsiTheme="majorBidi" w:cstheme="majorBidi"/>
          <w:sz w:val="24"/>
          <w:szCs w:val="24"/>
        </w:rPr>
        <w:t xml:space="preserve"> 195 (1977); </w:t>
      </w:r>
      <w:r>
        <w:rPr>
          <w:rFonts w:hint="cs"/>
          <w:rtl/>
        </w:rPr>
        <w:t xml:space="preserve"> </w:t>
      </w:r>
      <w:r w:rsidRPr="00EB7536">
        <w:rPr>
          <w:rFonts w:asciiTheme="majorBidi" w:hAnsiTheme="majorBidi" w:cstheme="majorBidi"/>
          <w:sz w:val="24"/>
          <w:szCs w:val="24"/>
        </w:rPr>
        <w:t xml:space="preserve">Federico Fabrini, </w:t>
      </w:r>
      <w:r w:rsidRPr="00EB7536">
        <w:rPr>
          <w:rFonts w:asciiTheme="majorBidi" w:hAnsiTheme="majorBidi" w:cstheme="majorBidi"/>
          <w:i/>
          <w:iCs/>
          <w:sz w:val="24"/>
          <w:szCs w:val="24"/>
        </w:rPr>
        <w:t xml:space="preserve">"Reasonableness" as a Test for Judicial Review of Legislation in the French Constitutional </w:t>
      </w:r>
      <w:r>
        <w:rPr>
          <w:rFonts w:asciiTheme="majorBidi" w:hAnsiTheme="majorBidi" w:cstheme="majorBidi"/>
          <w:i/>
          <w:iCs/>
          <w:sz w:val="24"/>
          <w:szCs w:val="24"/>
        </w:rPr>
        <w:t>Council</w:t>
      </w:r>
      <w:r w:rsidRPr="00EB7536">
        <w:rPr>
          <w:rFonts w:asciiTheme="majorBidi" w:hAnsiTheme="majorBidi" w:cstheme="majorBidi"/>
          <w:sz w:val="24"/>
          <w:szCs w:val="24"/>
        </w:rPr>
        <w:t xml:space="preserve">, 4 </w:t>
      </w:r>
      <w:r w:rsidRPr="00EB7536">
        <w:rPr>
          <w:rFonts w:asciiTheme="majorBidi" w:hAnsiTheme="majorBidi" w:cstheme="majorBidi"/>
          <w:smallCaps/>
          <w:sz w:val="24"/>
          <w:szCs w:val="24"/>
        </w:rPr>
        <w:t xml:space="preserve">J. Comp. L. </w:t>
      </w:r>
      <w:r w:rsidRPr="00EB7536">
        <w:rPr>
          <w:rFonts w:asciiTheme="majorBidi" w:hAnsiTheme="majorBidi" w:cstheme="majorBidi"/>
          <w:sz w:val="24"/>
          <w:szCs w:val="24"/>
        </w:rPr>
        <w:t>39, 42-44 (2009)</w:t>
      </w:r>
      <w:r w:rsidRPr="00EB7536">
        <w:rPr>
          <w:rFonts w:asciiTheme="majorBidi" w:hAnsiTheme="majorBidi" w:cstheme="majorBidi"/>
          <w:sz w:val="24"/>
          <w:szCs w:val="24"/>
          <w:rtl/>
        </w:rPr>
        <w:t>).</w:t>
      </w:r>
    </w:p>
    <w:p w:rsidR="00E31875" w:rsidRDefault="00E31875" w:rsidP="00E31875">
      <w:pPr>
        <w:spacing w:line="360" w:lineRule="auto"/>
        <w:jc w:val="both"/>
        <w:rPr>
          <w:rFonts w:ascii="FrankRuehl" w:hAnsi="FrankRuehl" w:cs="FrankRuehl"/>
          <w:sz w:val="28"/>
          <w:szCs w:val="28"/>
          <w:rtl/>
        </w:rPr>
      </w:pPr>
    </w:p>
    <w:p w:rsidR="00E31875" w:rsidRPr="00EF2A4F" w:rsidRDefault="00E31875" w:rsidP="00E31875">
      <w:pPr>
        <w:pStyle w:val="Ruller41"/>
        <w:rPr>
          <w:rtl/>
        </w:rPr>
      </w:pPr>
      <w:r>
        <w:rPr>
          <w:rFonts w:hint="cs"/>
          <w:rtl/>
        </w:rPr>
        <w:t xml:space="preserve">53. </w:t>
      </w:r>
      <w:r>
        <w:rPr>
          <w:rFonts w:hint="cs"/>
          <w:rtl/>
        </w:rPr>
        <w:tab/>
        <w:t>מעבר לדוקטרינות הפסיקתיות, יש שיטות משפט שמצאו לעגן את ביקורת הסבירות אף בחקיקה. כך למשל, ניתן להזכיר את ההסדר החקיקתי בארצות הברית הקבוע ב-</w:t>
      </w:r>
      <w:r w:rsidRPr="00675A9D">
        <w:rPr>
          <w:rFonts w:asciiTheme="majorBidi" w:hAnsiTheme="majorBidi" w:cstheme="majorBidi"/>
          <w:sz w:val="24"/>
          <w:szCs w:val="24"/>
        </w:rPr>
        <w:t>Administrative Procedure Act, 1946</w:t>
      </w:r>
      <w:r>
        <w:t xml:space="preserve"> </w:t>
      </w:r>
      <w:r>
        <w:rPr>
          <w:rFonts w:hint="cs"/>
          <w:rtl/>
        </w:rPr>
        <w:t xml:space="preserve">המכיר בביקורת שיפוטית על החלטות שהן "שרירותיות", "קפריזיות", נגועות ב"שימוש לרעה בשיקול דעת" או שאינן עולות בקנה אחד עם החוק </w:t>
      </w:r>
      <w:r w:rsidRPr="004B50EE">
        <w:rPr>
          <w:rFonts w:asciiTheme="majorBidi" w:hAnsiTheme="majorBidi" w:cstheme="majorBidi"/>
          <w:sz w:val="24"/>
          <w:szCs w:val="24"/>
          <w:rtl/>
        </w:rPr>
        <w:t>(</w:t>
      </w:r>
      <w:r w:rsidRPr="004B50EE">
        <w:rPr>
          <w:rFonts w:asciiTheme="majorBidi" w:hAnsiTheme="majorBidi" w:cstheme="majorBidi"/>
          <w:color w:val="202020"/>
          <w:sz w:val="24"/>
          <w:szCs w:val="24"/>
          <w:shd w:val="clear" w:color="auto" w:fill="FEFEFF"/>
        </w:rPr>
        <w:t xml:space="preserve">“arbitrary, capricious, an abuse of discretion, or otherwise </w:t>
      </w:r>
      <w:r w:rsidRPr="004B50EE">
        <w:rPr>
          <w:rFonts w:asciiTheme="majorBidi" w:hAnsiTheme="majorBidi" w:cstheme="majorBidi"/>
          <w:color w:val="202020"/>
          <w:sz w:val="24"/>
          <w:szCs w:val="24"/>
          <w:shd w:val="clear" w:color="auto" w:fill="FEFEFF"/>
        </w:rPr>
        <w:lastRenderedPageBreak/>
        <w:t>not in accordance with law” 5 U.S.C. § 706(2)(A).</w:t>
      </w:r>
      <w:r w:rsidRPr="004B50EE">
        <w:rPr>
          <w:rFonts w:asciiTheme="majorBidi" w:hAnsiTheme="majorBidi" w:cstheme="majorBidi"/>
          <w:sz w:val="24"/>
          <w:szCs w:val="24"/>
          <w:rtl/>
        </w:rPr>
        <w:t>).</w:t>
      </w:r>
      <w:r>
        <w:rPr>
          <w:rFonts w:hint="cs"/>
          <w:rtl/>
        </w:rPr>
        <w:t xml:space="preserve"> אכן, מונחים אלה משקפים לכאורה ביקורת שיפוטית מצומצמת יחסית מכוח עילת הסבירות. אולם, לצורך הדיון הנוכחי, המתמקד במשמעות של ביטול מוחלט של ביקורת שיפוטית המבוססת על סבירות בדרג המיניסטריאלי, את עיקר המשקל יש לייחס לעצם הבחירה לעגן בחקיקה ביקורת שיפוטית הנשענת על עילה זו. על כך יש להוסיף, כי בית המשפט העליון האמריקני קבע שבמקרים מסוימים סטנדרט הביקורת יהיה בפועל מחמיר יותר, ולצורך כך טבע את המונח "</w:t>
      </w:r>
      <w:r w:rsidRPr="007D4FA1">
        <w:rPr>
          <w:rFonts w:asciiTheme="majorBidi" w:hAnsiTheme="majorBidi" w:cstheme="majorBidi"/>
          <w:sz w:val="24"/>
          <w:szCs w:val="24"/>
        </w:rPr>
        <w:t>hard look review</w:t>
      </w:r>
      <w:r w:rsidRPr="007D4FA1">
        <w:rPr>
          <w:rFonts w:hint="cs"/>
          <w:rtl/>
        </w:rPr>
        <w:t>"</w:t>
      </w:r>
      <w:r>
        <w:rPr>
          <w:rFonts w:hint="cs"/>
          <w:rtl/>
        </w:rPr>
        <w:t xml:space="preserve"> (מה שניתן לכנות "ביקורת קפדנית"). תקדים מרכזי בהקשר זה </w:t>
      </w:r>
      <w:r>
        <w:rPr>
          <w:rtl/>
        </w:rPr>
        <w:t>–</w:t>
      </w:r>
      <w:r>
        <w:rPr>
          <w:rFonts w:hint="cs"/>
          <w:rtl/>
        </w:rPr>
        <w:t xml:space="preserve"> </w:t>
      </w:r>
      <w:r w:rsidRPr="008D05F4">
        <w:rPr>
          <w:rFonts w:ascii="Times New Roman" w:hAnsi="Times New Roman" w:cs="Times New Roman"/>
          <w:color w:val="202122"/>
          <w:sz w:val="21"/>
          <w:szCs w:val="21"/>
          <w:shd w:val="clear" w:color="auto" w:fill="FFFFFF"/>
        </w:rPr>
        <w:t>M</w:t>
      </w:r>
      <w:r w:rsidRPr="008D05F4">
        <w:rPr>
          <w:rFonts w:asciiTheme="majorBidi" w:hAnsiTheme="majorBidi" w:cstheme="majorBidi"/>
          <w:color w:val="202122"/>
          <w:sz w:val="24"/>
          <w:szCs w:val="24"/>
          <w:shd w:val="clear" w:color="auto" w:fill="FFFFFF"/>
        </w:rPr>
        <w:t xml:space="preserve">otor Vehicle </w:t>
      </w:r>
      <w:r>
        <w:rPr>
          <w:rFonts w:asciiTheme="majorBidi" w:hAnsiTheme="majorBidi" w:cstheme="majorBidi"/>
          <w:color w:val="202122"/>
          <w:sz w:val="24"/>
          <w:szCs w:val="24"/>
          <w:shd w:val="clear" w:color="auto" w:fill="FFFFFF"/>
        </w:rPr>
        <w:t>Mfrs.</w:t>
      </w:r>
      <w:r w:rsidRPr="008D05F4">
        <w:rPr>
          <w:rFonts w:asciiTheme="majorBidi" w:hAnsiTheme="majorBidi" w:cstheme="majorBidi"/>
          <w:color w:val="202122"/>
          <w:sz w:val="24"/>
          <w:szCs w:val="24"/>
          <w:shd w:val="clear" w:color="auto" w:fill="FFFFFF"/>
        </w:rPr>
        <w:t xml:space="preserve"> </w:t>
      </w:r>
      <w:r>
        <w:rPr>
          <w:rFonts w:asciiTheme="majorBidi" w:hAnsiTheme="majorBidi" w:cstheme="majorBidi"/>
          <w:color w:val="202122"/>
          <w:sz w:val="24"/>
          <w:szCs w:val="24"/>
          <w:shd w:val="clear" w:color="auto" w:fill="FFFFFF"/>
        </w:rPr>
        <w:t>Ass'n</w:t>
      </w:r>
      <w:r w:rsidRPr="008D05F4">
        <w:rPr>
          <w:rFonts w:asciiTheme="majorBidi" w:hAnsiTheme="majorBidi" w:cstheme="majorBidi"/>
          <w:color w:val="202122"/>
          <w:sz w:val="24"/>
          <w:szCs w:val="24"/>
          <w:shd w:val="clear" w:color="auto" w:fill="FFFFFF"/>
        </w:rPr>
        <w:t xml:space="preserve"> v. State Farm Mutual Automobile Insurance Co.</w:t>
      </w:r>
      <w:r w:rsidRPr="007D4FA1">
        <w:rPr>
          <w:rFonts w:asciiTheme="majorBidi" w:hAnsiTheme="majorBidi" w:cstheme="majorBidi"/>
          <w:color w:val="202122"/>
          <w:sz w:val="24"/>
          <w:szCs w:val="24"/>
          <w:shd w:val="clear" w:color="auto" w:fill="FFFFFF"/>
        </w:rPr>
        <w:t>, 463 U.S. 29 (1983)</w:t>
      </w:r>
      <w:r>
        <w:rPr>
          <w:rFonts w:hint="cs"/>
          <w:rtl/>
        </w:rPr>
        <w:t xml:space="preserve"> </w:t>
      </w:r>
      <w:r>
        <w:rPr>
          <w:rtl/>
        </w:rPr>
        <w:t>–</w:t>
      </w:r>
      <w:r>
        <w:rPr>
          <w:rFonts w:hint="cs"/>
          <w:rtl/>
        </w:rPr>
        <w:t xml:space="preserve"> נסב על החלטה שהתקבלה לאחר בחירתו של הנשיא רייגן, לבטל את הרגולציה מתקופתו של הנשיא קרטר, שדרשה התקנת אמצעי בטיחות (כדוגמת חגורות בטיחות) בכלי רכב. הגם שההחלטה החדשה התקבלה לאחר הבחירות וניתן היה להציג אותה כעניין של "מדיניות", בית המשפט העליון האמריקני בחן אותה בהתאם לגישת ה-</w:t>
      </w:r>
      <w:r w:rsidRPr="00D47300">
        <w:rPr>
          <w:rFonts w:ascii="Times New Roman" w:hAnsi="Times New Roman" w:cs="Times New Roman"/>
          <w:sz w:val="24"/>
          <w:szCs w:val="24"/>
        </w:rPr>
        <w:t>hard lo</w:t>
      </w:r>
      <w:r>
        <w:rPr>
          <w:rFonts w:ascii="Times New Roman" w:hAnsi="Times New Roman" w:cs="Times New Roman"/>
          <w:sz w:val="24"/>
          <w:szCs w:val="24"/>
        </w:rPr>
        <w:t>ok</w:t>
      </w:r>
      <w:r>
        <w:rPr>
          <w:rFonts w:hint="cs"/>
          <w:rtl/>
        </w:rPr>
        <w:t xml:space="preserve">, ובפועל התערב בהחלטה שהתקבלה בהצביעו על כך שהיא לא בחנה את החלופה של דרישה להתקין אמצעי בטיחות אחר </w:t>
      </w:r>
      <w:r>
        <w:rPr>
          <w:rtl/>
        </w:rPr>
        <w:t>–</w:t>
      </w:r>
      <w:r>
        <w:rPr>
          <w:rFonts w:hint="cs"/>
          <w:rtl/>
        </w:rPr>
        <w:t xml:space="preserve"> כריות אוויר. במבט רחב אף יותר, הספרות המשפטית מלמדת על התחזקות השימוש בסטנדרט של "סבירות" </w:t>
      </w:r>
      <w:r>
        <w:t>(</w:t>
      </w:r>
      <w:r w:rsidRPr="008F09A4">
        <w:rPr>
          <w:rFonts w:asciiTheme="majorBidi" w:hAnsiTheme="majorBidi" w:cstheme="majorBidi"/>
          <w:sz w:val="26"/>
          <w:szCs w:val="26"/>
        </w:rPr>
        <w:t>reasonableness</w:t>
      </w:r>
      <w:r>
        <w:t>)</w:t>
      </w:r>
      <w:r>
        <w:rPr>
          <w:rFonts w:hint="cs"/>
          <w:rtl/>
        </w:rPr>
        <w:t xml:space="preserve"> בפסיקתם של בתי המשפט האמריקניים (ראו למשל: </w:t>
      </w:r>
      <w:r w:rsidRPr="00EF2A4F">
        <w:rPr>
          <w:rFonts w:asciiTheme="majorBidi" w:hAnsiTheme="majorBidi" w:cstheme="majorBidi"/>
          <w:sz w:val="24"/>
          <w:szCs w:val="24"/>
        </w:rPr>
        <w:t>David Zaring</w:t>
      </w:r>
      <w:r w:rsidRPr="00EF2A4F">
        <w:rPr>
          <w:rFonts w:asciiTheme="majorBidi" w:hAnsiTheme="majorBidi" w:cstheme="majorBidi"/>
          <w:i/>
          <w:iCs/>
          <w:sz w:val="24"/>
          <w:szCs w:val="24"/>
        </w:rPr>
        <w:t>, Rule by Reasonableness</w:t>
      </w:r>
      <w:r w:rsidRPr="00EF2A4F">
        <w:rPr>
          <w:rFonts w:asciiTheme="majorBidi" w:hAnsiTheme="majorBidi" w:cstheme="majorBidi"/>
          <w:sz w:val="24"/>
          <w:szCs w:val="24"/>
        </w:rPr>
        <w:t>, 63</w:t>
      </w:r>
      <w:r>
        <w:rPr>
          <w:rFonts w:asciiTheme="majorBidi" w:hAnsiTheme="majorBidi" w:cstheme="majorBidi"/>
          <w:sz w:val="24"/>
          <w:szCs w:val="24"/>
        </w:rPr>
        <w:t xml:space="preserve"> </w:t>
      </w:r>
      <w:r w:rsidRPr="00EF2A4F">
        <w:rPr>
          <w:rFonts w:asciiTheme="majorBidi" w:hAnsiTheme="majorBidi" w:cstheme="majorBidi"/>
          <w:smallCaps/>
          <w:sz w:val="24"/>
          <w:szCs w:val="24"/>
        </w:rPr>
        <w:t xml:space="preserve">Adm. L. Rev. </w:t>
      </w:r>
      <w:r w:rsidRPr="00EF2A4F">
        <w:rPr>
          <w:rFonts w:asciiTheme="majorBidi" w:hAnsiTheme="majorBidi" w:cstheme="majorBidi"/>
          <w:sz w:val="24"/>
          <w:szCs w:val="24"/>
        </w:rPr>
        <w:t>525 (</w:t>
      </w:r>
      <w:r>
        <w:t xml:space="preserve">2011); </w:t>
      </w:r>
      <w:r w:rsidRPr="002948F8">
        <w:rPr>
          <w:rFonts w:asciiTheme="majorBidi" w:hAnsiTheme="majorBidi" w:cstheme="majorBidi"/>
          <w:sz w:val="24"/>
          <w:szCs w:val="24"/>
        </w:rPr>
        <w:t xml:space="preserve">Alyse Bertenthal, </w:t>
      </w:r>
      <w:r w:rsidRPr="002948F8">
        <w:rPr>
          <w:rFonts w:asciiTheme="majorBidi" w:hAnsiTheme="majorBidi" w:cstheme="majorBidi"/>
          <w:i/>
          <w:iCs/>
          <w:sz w:val="24"/>
          <w:szCs w:val="24"/>
        </w:rPr>
        <w:t>Administrative Reasonableness: An Empirical Analysis</w:t>
      </w:r>
      <w:r w:rsidRPr="002948F8">
        <w:rPr>
          <w:rFonts w:asciiTheme="majorBidi" w:hAnsiTheme="majorBidi" w:cstheme="majorBidi"/>
          <w:sz w:val="24"/>
          <w:szCs w:val="24"/>
        </w:rPr>
        <w:t xml:space="preserve">, </w:t>
      </w:r>
      <w:r w:rsidRPr="002948F8">
        <w:rPr>
          <w:rFonts w:asciiTheme="majorBidi" w:hAnsiTheme="majorBidi" w:cstheme="majorBidi"/>
          <w:smallCaps/>
          <w:sz w:val="24"/>
          <w:szCs w:val="24"/>
        </w:rPr>
        <w:t>Wis. L. Rev.</w:t>
      </w:r>
      <w:r w:rsidRPr="002948F8">
        <w:rPr>
          <w:rFonts w:asciiTheme="majorBidi" w:hAnsiTheme="majorBidi" w:cstheme="majorBidi"/>
          <w:sz w:val="24"/>
          <w:szCs w:val="24"/>
        </w:rPr>
        <w:t xml:space="preserve"> 85 (2020)</w:t>
      </w:r>
      <w:r>
        <w:rPr>
          <w:rFonts w:hint="cs"/>
          <w:rtl/>
        </w:rPr>
        <w:t>).</w:t>
      </w:r>
    </w:p>
    <w:p w:rsidR="00E31875" w:rsidRDefault="00E31875" w:rsidP="00E31875">
      <w:pPr>
        <w:spacing w:line="360" w:lineRule="auto"/>
        <w:jc w:val="both"/>
        <w:rPr>
          <w:rFonts w:ascii="FrankRuehl" w:hAnsi="FrankRuehl" w:cs="FrankRuehl"/>
          <w:sz w:val="28"/>
          <w:szCs w:val="28"/>
          <w:rtl/>
        </w:rPr>
      </w:pPr>
    </w:p>
    <w:p w:rsidR="00E31875" w:rsidRPr="00E13E61" w:rsidRDefault="00E31875" w:rsidP="00E31875">
      <w:pPr>
        <w:pStyle w:val="Ruller41"/>
        <w:rPr>
          <w:rtl/>
        </w:rPr>
      </w:pPr>
      <w:r>
        <w:rPr>
          <w:rFonts w:hint="cs"/>
          <w:rtl/>
        </w:rPr>
        <w:t xml:space="preserve">54. </w:t>
      </w:r>
      <w:r>
        <w:rPr>
          <w:rFonts w:hint="cs"/>
          <w:rtl/>
        </w:rPr>
        <w:tab/>
        <w:t xml:space="preserve">עניין מיוחד מעוררת חוקתה של דרום-אפריקה שעיגנה את ההכרה בזכותו של הפרט לקבלת החלטה מינהלית בעניינו, שהיא לא רק חוקית והוגנת מבחינת פרוצדוראלית, אלא גם "סבירה". סעיף 33(1) לחוקה זו קובע כך: </w:t>
      </w:r>
      <w:r w:rsidRPr="0037550A">
        <w:rPr>
          <w:rFonts w:asciiTheme="majorBidi" w:hAnsiTheme="majorBidi" w:cstheme="majorBidi"/>
          <w:sz w:val="24"/>
          <w:szCs w:val="24"/>
        </w:rPr>
        <w:t>"Everyone has the right to administrative action that is lawful, reasonable and procedurally fair"</w:t>
      </w:r>
      <w:r>
        <w:rPr>
          <w:rFonts w:hint="cs"/>
          <w:rtl/>
        </w:rPr>
        <w:t xml:space="preserve">. בהתאם לכך, החקיקה בתחום </w:t>
      </w:r>
      <w:r>
        <w:rPr>
          <w:rtl/>
        </w:rPr>
        <w:t>–</w:t>
      </w:r>
      <w:r>
        <w:rPr>
          <w:rFonts w:hint="cs"/>
          <w:rtl/>
        </w:rPr>
        <w:t xml:space="preserve">  </w:t>
      </w:r>
      <w:r w:rsidRPr="0037550A">
        <w:rPr>
          <w:rFonts w:asciiTheme="majorBidi" w:hAnsiTheme="majorBidi" w:cstheme="majorBidi"/>
          <w:sz w:val="24"/>
          <w:szCs w:val="24"/>
        </w:rPr>
        <w:t>Promotion of Administrative Justice Act, 2000</w:t>
      </w:r>
      <w:r>
        <w:rPr>
          <w:rFonts w:hint="cs"/>
          <w:rtl/>
        </w:rPr>
        <w:t xml:space="preserve"> </w:t>
      </w:r>
      <w:r>
        <w:rPr>
          <w:rtl/>
        </w:rPr>
        <w:t>–</w:t>
      </w:r>
      <w:r>
        <w:rPr>
          <w:rFonts w:hint="cs"/>
          <w:rtl/>
        </w:rPr>
        <w:t xml:space="preserve"> מעגנת את הזכות לביקורת שיפוטית על בסיסה של עילת הסבירות (בסעיף </w:t>
      </w:r>
      <w:r w:rsidRPr="00015907">
        <w:rPr>
          <w:rFonts w:asciiTheme="majorBidi" w:hAnsiTheme="majorBidi" w:cstheme="majorBidi"/>
          <w:sz w:val="24"/>
          <w:szCs w:val="24"/>
        </w:rPr>
        <w:t>6(</w:t>
      </w:r>
      <w:r>
        <w:rPr>
          <w:rFonts w:asciiTheme="majorBidi" w:hAnsiTheme="majorBidi" w:cstheme="majorBidi"/>
          <w:sz w:val="24"/>
          <w:szCs w:val="24"/>
        </w:rPr>
        <w:t>2</w:t>
      </w:r>
      <w:r w:rsidRPr="00015907">
        <w:rPr>
          <w:rFonts w:asciiTheme="majorBidi" w:hAnsiTheme="majorBidi" w:cstheme="majorBidi"/>
          <w:sz w:val="24"/>
          <w:szCs w:val="24"/>
        </w:rPr>
        <w:t>)(</w:t>
      </w:r>
      <w:r>
        <w:rPr>
          <w:rFonts w:asciiTheme="majorBidi" w:hAnsiTheme="majorBidi" w:cstheme="majorBidi"/>
          <w:sz w:val="24"/>
          <w:szCs w:val="24"/>
        </w:rPr>
        <w:t>h</w:t>
      </w:r>
      <w:r>
        <w:t>)</w:t>
      </w:r>
      <w:r>
        <w:rPr>
          <w:rFonts w:hint="cs"/>
          <w:rtl/>
        </w:rPr>
        <w:t xml:space="preserve">). חשוב לציין כי הגם שנוסח החוק האמור דומה לניסוחה של עילת הסבירות בעניין </w:t>
      </w:r>
      <w:r w:rsidRPr="00E13E61">
        <w:rPr>
          <w:rFonts w:ascii="Century" w:hAnsi="Century" w:cs="Miriam" w:hint="cs"/>
          <w:b/>
          <w:szCs w:val="24"/>
          <w:rtl/>
        </w:rPr>
        <w:t>וו</w:t>
      </w:r>
      <w:r>
        <w:rPr>
          <w:rFonts w:ascii="Century" w:hAnsi="Century" w:cs="Miriam" w:hint="cs"/>
          <w:b/>
          <w:szCs w:val="24"/>
          <w:rtl/>
        </w:rPr>
        <w:t>נד</w:t>
      </w:r>
      <w:r w:rsidRPr="00E13E61">
        <w:rPr>
          <w:rFonts w:ascii="Century" w:hAnsi="Century" w:cs="Miriam" w:hint="cs"/>
          <w:b/>
          <w:szCs w:val="24"/>
          <w:rtl/>
        </w:rPr>
        <w:t>סברי</w:t>
      </w:r>
      <w:r>
        <w:rPr>
          <w:rFonts w:hint="cs"/>
          <w:rtl/>
        </w:rPr>
        <w:t xml:space="preserve">, הפסיקה הדרום-אפריקנית לא אימצה את מבחן </w:t>
      </w:r>
      <w:r w:rsidRPr="00D87434">
        <w:rPr>
          <w:rFonts w:ascii="Century" w:hAnsi="Century" w:cs="Miriam" w:hint="cs"/>
          <w:b/>
          <w:spacing w:val="0"/>
          <w:szCs w:val="24"/>
          <w:rtl/>
        </w:rPr>
        <w:t>וונדסברי</w:t>
      </w:r>
      <w:r>
        <w:rPr>
          <w:rFonts w:hint="cs"/>
          <w:rtl/>
        </w:rPr>
        <w:t xml:space="preserve">, אלא מבחן סבירות רחב יותר (ראו: </w:t>
      </w:r>
      <w:r w:rsidRPr="006225BC">
        <w:rPr>
          <w:rFonts w:asciiTheme="majorBidi" w:hAnsiTheme="majorBidi" w:cstheme="majorBidi"/>
          <w:sz w:val="24"/>
          <w:szCs w:val="24"/>
        </w:rPr>
        <w:t xml:space="preserve">Bato Star Fishing (Pty) Ltd v. Minister of </w:t>
      </w:r>
      <w:r>
        <w:rPr>
          <w:rFonts w:asciiTheme="majorBidi" w:hAnsiTheme="majorBidi" w:cstheme="majorBidi"/>
          <w:sz w:val="24"/>
          <w:szCs w:val="24"/>
        </w:rPr>
        <w:t>Env't</w:t>
      </w:r>
      <w:r w:rsidRPr="006225BC">
        <w:rPr>
          <w:rFonts w:asciiTheme="majorBidi" w:hAnsiTheme="majorBidi" w:cstheme="majorBidi"/>
          <w:sz w:val="24"/>
          <w:szCs w:val="24"/>
        </w:rPr>
        <w:t xml:space="preserve"> Affairs and Tourism</w:t>
      </w:r>
      <w:r>
        <w:rPr>
          <w:rFonts w:asciiTheme="majorBidi" w:hAnsiTheme="majorBidi" w:cstheme="majorBidi"/>
          <w:sz w:val="24"/>
          <w:szCs w:val="24"/>
        </w:rPr>
        <w:t>,</w:t>
      </w:r>
      <w:r w:rsidRPr="00E13E61">
        <w:rPr>
          <w:rFonts w:asciiTheme="majorBidi" w:hAnsiTheme="majorBidi" w:cstheme="majorBidi"/>
          <w:sz w:val="24"/>
          <w:szCs w:val="24"/>
        </w:rPr>
        <w:t xml:space="preserve"> 2004(4) SA 490 (CC)</w:t>
      </w:r>
      <w:r>
        <w:rPr>
          <w:rFonts w:hint="cs"/>
          <w:rtl/>
        </w:rPr>
        <w:t xml:space="preserve">. להרחבה, ראו: </w:t>
      </w:r>
      <w:r w:rsidRPr="00E13E61">
        <w:rPr>
          <w:rFonts w:asciiTheme="majorBidi" w:hAnsiTheme="majorBidi" w:cstheme="majorBidi"/>
          <w:sz w:val="24"/>
          <w:szCs w:val="24"/>
        </w:rPr>
        <w:t xml:space="preserve">Anshri Pillay, </w:t>
      </w:r>
      <w:r w:rsidRPr="00E13E61">
        <w:rPr>
          <w:rFonts w:asciiTheme="majorBidi" w:hAnsiTheme="majorBidi" w:cstheme="majorBidi"/>
          <w:i/>
          <w:iCs/>
          <w:sz w:val="24"/>
          <w:szCs w:val="24"/>
        </w:rPr>
        <w:t>Reviewing Reasonableness: An Appropriate Standard for Evaluating State Action and Inaction</w:t>
      </w:r>
      <w:r w:rsidRPr="00673C4C">
        <w:rPr>
          <w:rFonts w:asciiTheme="majorBidi" w:hAnsiTheme="majorBidi" w:cstheme="majorBidi"/>
          <w:i/>
          <w:iCs/>
          <w:sz w:val="24"/>
          <w:szCs w:val="24"/>
        </w:rPr>
        <w:t>?</w:t>
      </w:r>
      <w:r w:rsidRPr="00E13E61">
        <w:rPr>
          <w:rFonts w:asciiTheme="majorBidi" w:hAnsiTheme="majorBidi" w:cstheme="majorBidi"/>
          <w:sz w:val="24"/>
          <w:szCs w:val="24"/>
        </w:rPr>
        <w:t xml:space="preserve">, 122 </w:t>
      </w:r>
      <w:r w:rsidRPr="00E13E61">
        <w:rPr>
          <w:rFonts w:asciiTheme="majorBidi" w:hAnsiTheme="majorBidi" w:cstheme="majorBidi"/>
          <w:smallCaps/>
          <w:sz w:val="24"/>
          <w:szCs w:val="24"/>
        </w:rPr>
        <w:t>S. African L.</w:t>
      </w:r>
      <w:r>
        <w:rPr>
          <w:rFonts w:asciiTheme="majorBidi" w:hAnsiTheme="majorBidi" w:cstheme="majorBidi"/>
          <w:smallCaps/>
          <w:sz w:val="24"/>
          <w:szCs w:val="24"/>
        </w:rPr>
        <w:t xml:space="preserve"> </w:t>
      </w:r>
      <w:r w:rsidRPr="00E13E61">
        <w:rPr>
          <w:rFonts w:asciiTheme="majorBidi" w:hAnsiTheme="majorBidi" w:cstheme="majorBidi"/>
          <w:smallCaps/>
          <w:sz w:val="24"/>
          <w:szCs w:val="24"/>
        </w:rPr>
        <w:t>J.</w:t>
      </w:r>
      <w:r w:rsidRPr="00E13E61">
        <w:rPr>
          <w:rFonts w:asciiTheme="majorBidi" w:hAnsiTheme="majorBidi" w:cstheme="majorBidi"/>
          <w:sz w:val="24"/>
          <w:szCs w:val="24"/>
        </w:rPr>
        <w:t xml:space="preserve"> 419 (2005)</w:t>
      </w:r>
      <w:r>
        <w:rPr>
          <w:rFonts w:asciiTheme="majorBidi" w:hAnsiTheme="majorBidi" w:cstheme="majorBidi"/>
          <w:sz w:val="24"/>
          <w:szCs w:val="24"/>
        </w:rPr>
        <w:t xml:space="preserve">; D. J. Brynard, </w:t>
      </w:r>
      <w:r w:rsidRPr="00CB470E">
        <w:rPr>
          <w:rFonts w:asciiTheme="majorBidi" w:hAnsiTheme="majorBidi" w:cstheme="majorBidi"/>
          <w:i/>
          <w:iCs/>
          <w:sz w:val="24"/>
          <w:szCs w:val="24"/>
        </w:rPr>
        <w:t>Justifying Administrative Action for Reasonableness – A Quest for Accountable Public Admin</w:t>
      </w:r>
      <w:r>
        <w:rPr>
          <w:rFonts w:asciiTheme="majorBidi" w:hAnsiTheme="majorBidi" w:cstheme="majorBidi"/>
          <w:i/>
          <w:iCs/>
          <w:sz w:val="24"/>
          <w:szCs w:val="24"/>
        </w:rPr>
        <w:t>i</w:t>
      </w:r>
      <w:r w:rsidRPr="00CB470E">
        <w:rPr>
          <w:rFonts w:asciiTheme="majorBidi" w:hAnsiTheme="majorBidi" w:cstheme="majorBidi"/>
          <w:i/>
          <w:iCs/>
          <w:sz w:val="24"/>
          <w:szCs w:val="24"/>
        </w:rPr>
        <w:t>stration</w:t>
      </w:r>
      <w:r>
        <w:rPr>
          <w:rFonts w:asciiTheme="majorBidi" w:hAnsiTheme="majorBidi" w:cstheme="majorBidi"/>
          <w:sz w:val="24"/>
          <w:szCs w:val="24"/>
        </w:rPr>
        <w:t xml:space="preserve">, 21 </w:t>
      </w:r>
      <w:r w:rsidRPr="00CB470E">
        <w:rPr>
          <w:rFonts w:asciiTheme="majorBidi" w:hAnsiTheme="majorBidi" w:cstheme="majorBidi"/>
          <w:smallCaps/>
          <w:sz w:val="24"/>
          <w:szCs w:val="24"/>
        </w:rPr>
        <w:t>Administratio Publica</w:t>
      </w:r>
      <w:r>
        <w:rPr>
          <w:rFonts w:asciiTheme="majorBidi" w:hAnsiTheme="majorBidi" w:cstheme="majorBidi"/>
          <w:sz w:val="24"/>
          <w:szCs w:val="24"/>
        </w:rPr>
        <w:t xml:space="preserve"> 69 ((2013)</w:t>
      </w:r>
      <w:r>
        <w:rPr>
          <w:rFonts w:hint="cs"/>
          <w:rtl/>
        </w:rPr>
        <w:t>).</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55. </w:t>
      </w:r>
      <w:r>
        <w:rPr>
          <w:rFonts w:hint="cs"/>
          <w:rtl/>
        </w:rPr>
        <w:tab/>
        <w:t xml:space="preserve">די לנו בסקירה השוואתית תמציתית זו כדי לקבוע שעילת הסבירות אינה "גידול פרא" חריג בנוף המשפט המינהלי של שיטות משפט אחרות ששורשיהן דומים לאלה של המשפט המינהלי האנגלי (וממילא גם למשפט הישראלי). אדרבה, זוהי עילה הנחשבת "לגיטימית" ואף חיונית </w:t>
      </w:r>
      <w:r>
        <w:rPr>
          <w:rtl/>
        </w:rPr>
        <w:t>–</w:t>
      </w:r>
      <w:r>
        <w:rPr>
          <w:rFonts w:hint="cs"/>
          <w:rtl/>
        </w:rPr>
        <w:t xml:space="preserve"> כזו שבתי המשפט יכולים ונדרשים לפתח כלים דוקטרינריים לצורך יישומה ואכיפתה. למעשה, ניתן לומר כי הגישה החשדנית והעוינת לעילת הסבירות שעליה מבוסס תיקון מס' 3 היא יוצאת דופן במבט השוואתי. </w:t>
      </w:r>
    </w:p>
    <w:p w:rsidR="00E31875" w:rsidRDefault="00E31875" w:rsidP="00E31875">
      <w:pPr>
        <w:spacing w:line="360" w:lineRule="auto"/>
        <w:jc w:val="both"/>
        <w:rPr>
          <w:rFonts w:ascii="FrankRuehl" w:hAnsi="FrankRuehl" w:cs="FrankRuehl"/>
          <w:sz w:val="28"/>
          <w:szCs w:val="28"/>
          <w:rtl/>
        </w:rPr>
      </w:pPr>
    </w:p>
    <w:p w:rsidR="00E31875" w:rsidRPr="00D87434" w:rsidRDefault="00E31875" w:rsidP="00E31875">
      <w:pPr>
        <w:spacing w:line="360" w:lineRule="auto"/>
        <w:jc w:val="both"/>
        <w:rPr>
          <w:rFonts w:ascii="Century" w:hAnsi="Century" w:cs="Miriam"/>
          <w:b/>
          <w:sz w:val="22"/>
          <w:rtl/>
        </w:rPr>
      </w:pPr>
      <w:r w:rsidRPr="00D87434">
        <w:rPr>
          <w:rFonts w:ascii="Century" w:hAnsi="Century" w:cs="Miriam" w:hint="cs"/>
          <w:b/>
          <w:sz w:val="22"/>
          <w:rtl/>
        </w:rPr>
        <w:t xml:space="preserve">מבט </w:t>
      </w:r>
      <w:r w:rsidRPr="00D87434">
        <w:rPr>
          <w:rFonts w:ascii="Century" w:hAnsi="Century" w:cs="Miriam" w:hint="eastAsia"/>
          <w:b/>
          <w:sz w:val="22"/>
          <w:rtl/>
        </w:rPr>
        <w:t>השוואתי</w:t>
      </w:r>
      <w:r w:rsidRPr="00D87434">
        <w:rPr>
          <w:rFonts w:ascii="Century" w:hAnsi="Century" w:cs="Miriam" w:hint="cs"/>
          <w:b/>
          <w:sz w:val="22"/>
          <w:rtl/>
        </w:rPr>
        <w:t xml:space="preserve"> נוסף</w:t>
      </w:r>
      <w:r w:rsidRPr="00D87434">
        <w:rPr>
          <w:rFonts w:ascii="Century" w:hAnsi="Century" w:cs="Miriam"/>
          <w:b/>
          <w:sz w:val="22"/>
          <w:rtl/>
        </w:rPr>
        <w:t xml:space="preserve">: </w:t>
      </w:r>
      <w:r w:rsidRPr="00D87434">
        <w:rPr>
          <w:rFonts w:ascii="Century" w:hAnsi="Century" w:cs="Miriam" w:hint="eastAsia"/>
          <w:b/>
          <w:sz w:val="22"/>
          <w:rtl/>
        </w:rPr>
        <w:t>הגבלה</w:t>
      </w:r>
      <w:r w:rsidRPr="00D87434">
        <w:rPr>
          <w:rFonts w:ascii="Century" w:hAnsi="Century" w:cs="Miriam"/>
          <w:b/>
          <w:sz w:val="22"/>
          <w:rtl/>
        </w:rPr>
        <w:t xml:space="preserve"> </w:t>
      </w:r>
      <w:r w:rsidRPr="00D87434">
        <w:rPr>
          <w:rFonts w:ascii="Century" w:hAnsi="Century" w:cs="Miriam" w:hint="eastAsia"/>
          <w:b/>
          <w:sz w:val="22"/>
          <w:rtl/>
        </w:rPr>
        <w:t>מראש</w:t>
      </w:r>
      <w:r w:rsidRPr="00D87434">
        <w:rPr>
          <w:rFonts w:ascii="Century" w:hAnsi="Century" w:cs="Miriam"/>
          <w:b/>
          <w:sz w:val="22"/>
          <w:rtl/>
        </w:rPr>
        <w:t xml:space="preserve"> </w:t>
      </w:r>
      <w:r w:rsidRPr="00D87434">
        <w:rPr>
          <w:rFonts w:ascii="Century" w:hAnsi="Century" w:cs="Miriam" w:hint="eastAsia"/>
          <w:b/>
          <w:sz w:val="22"/>
          <w:rtl/>
        </w:rPr>
        <w:t>של</w:t>
      </w:r>
      <w:r w:rsidRPr="00D87434">
        <w:rPr>
          <w:rFonts w:ascii="Century" w:hAnsi="Century" w:cs="Miriam"/>
          <w:b/>
          <w:sz w:val="22"/>
          <w:rtl/>
        </w:rPr>
        <w:t xml:space="preserve"> </w:t>
      </w:r>
      <w:r w:rsidRPr="00D87434">
        <w:rPr>
          <w:rFonts w:ascii="Century" w:hAnsi="Century" w:cs="Miriam" w:hint="eastAsia"/>
          <w:b/>
          <w:sz w:val="22"/>
          <w:rtl/>
        </w:rPr>
        <w:t>ביקורת</w:t>
      </w:r>
      <w:r w:rsidRPr="00D87434">
        <w:rPr>
          <w:rFonts w:ascii="Century" w:hAnsi="Century" w:cs="Miriam"/>
          <w:b/>
          <w:sz w:val="22"/>
          <w:rtl/>
        </w:rPr>
        <w:t xml:space="preserve"> </w:t>
      </w:r>
      <w:r w:rsidRPr="00D87434">
        <w:rPr>
          <w:rFonts w:ascii="Century" w:hAnsi="Century" w:cs="Miriam" w:hint="eastAsia"/>
          <w:b/>
          <w:sz w:val="22"/>
          <w:rtl/>
        </w:rPr>
        <w:t>שיפוטית</w:t>
      </w:r>
      <w:r w:rsidRPr="00D87434">
        <w:rPr>
          <w:rFonts w:ascii="Century" w:hAnsi="Century" w:cs="Miriam"/>
          <w:b/>
          <w:sz w:val="22"/>
          <w:rtl/>
        </w:rPr>
        <w:t xml:space="preserve"> </w:t>
      </w:r>
      <w:r w:rsidRPr="00D87434">
        <w:rPr>
          <w:rFonts w:ascii="Century" w:hAnsi="Century" w:cs="Miriam" w:hint="eastAsia"/>
          <w:b/>
          <w:sz w:val="22"/>
          <w:rtl/>
        </w:rPr>
        <w:t>כפגיעה</w:t>
      </w:r>
      <w:r w:rsidRPr="00D87434">
        <w:rPr>
          <w:rFonts w:ascii="Century" w:hAnsi="Century" w:cs="Miriam"/>
          <w:b/>
          <w:sz w:val="22"/>
          <w:rtl/>
        </w:rPr>
        <w:t xml:space="preserve"> </w:t>
      </w:r>
      <w:r w:rsidRPr="00D87434">
        <w:rPr>
          <w:rFonts w:ascii="Century" w:hAnsi="Century" w:cs="Miriam" w:hint="eastAsia"/>
          <w:b/>
          <w:sz w:val="22"/>
          <w:rtl/>
        </w:rPr>
        <w:t>בשלטון</w:t>
      </w:r>
      <w:r w:rsidRPr="00D87434">
        <w:rPr>
          <w:rFonts w:ascii="Century" w:hAnsi="Century" w:cs="Miriam"/>
          <w:b/>
          <w:sz w:val="22"/>
          <w:rtl/>
        </w:rPr>
        <w:t xml:space="preserve"> </w:t>
      </w:r>
      <w:r w:rsidRPr="00D87434">
        <w:rPr>
          <w:rFonts w:ascii="Century" w:hAnsi="Century" w:cs="Miriam" w:hint="eastAsia"/>
          <w:b/>
          <w:sz w:val="22"/>
          <w:rtl/>
        </w:rPr>
        <w:t>החוק</w:t>
      </w:r>
    </w:p>
    <w:p w:rsidR="00E31875" w:rsidRPr="002948F8"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56. </w:t>
      </w:r>
      <w:r>
        <w:rPr>
          <w:rFonts w:hint="cs"/>
          <w:rtl/>
        </w:rPr>
        <w:tab/>
        <w:t>פרספקטיבה חשובה נוספת המאפשרת להשקיף על השלכותיו של תיקון מס' 3 על השמירה על שלטון החוק</w:t>
      </w:r>
      <w:r>
        <w:t xml:space="preserve"> </w:t>
      </w:r>
      <w:r>
        <w:rPr>
          <w:rFonts w:hint="cs"/>
          <w:rtl/>
        </w:rPr>
        <w:t>מספקת לנו הפסיקה ארוכת השנים, גם במשפט האנגלי, בכל הנוגע להסדרים חוקיים ה"חוסמים" ביקורת שיפוטית על החלטות מינהליות או החלטות של גופים שיפוטיים ומעין-שיפוטיים. הסדרים מסוג זה מוכרים במסורת של המשפט האנגלי ושיטות המשפט שהתפתחו ממנו, בשם "</w:t>
      </w:r>
      <w:r w:rsidRPr="004C036A">
        <w:rPr>
          <w:rFonts w:asciiTheme="majorBidi" w:hAnsiTheme="majorBidi" w:cstheme="majorBidi"/>
          <w:sz w:val="24"/>
          <w:szCs w:val="24"/>
        </w:rPr>
        <w:t>ouster clauses</w:t>
      </w:r>
      <w:r>
        <w:rPr>
          <w:rFonts w:hint="cs"/>
          <w:rtl/>
        </w:rPr>
        <w:t xml:space="preserve">", כלומר הוראות של "סילוק" או "הוצאה" של ביקורת שיפוטית. מונח זה שימש לדיון במצבים שבהם חוק ספציפי זה או אחר כלל הוראה הקובעת כי החלטות מסוימות שהתקבלו מכוחו לא יהיו כפופות לביקורת שיפוטית. באופן מסורתי, הוראות מסוג זה נדונו מתוך עמדה "חשדנית" המכירה בכך שכל הגבלה על הביקורת השיפוטית פוגעת בשלטון החוק. בהתאם לכך, הפרשנות שניתנה להן חתרה תמיד לצמצום של היקף תחולתן. גישה מצמצמת זו להוראות המגבילות את הביקורת השיפוטית אומצה בפסקי דין תקדימיים שניתנו בבית משפט זה כבר בשנות החמישים והששים של המאה הקודמת (ראו: בג"ץ 176/54 </w:t>
      </w:r>
      <w:r w:rsidRPr="00D87434">
        <w:rPr>
          <w:rFonts w:ascii="Century" w:hAnsi="Century" w:cs="Miriam" w:hint="cs"/>
          <w:b/>
          <w:spacing w:val="0"/>
          <w:szCs w:val="24"/>
          <w:rtl/>
        </w:rPr>
        <w:t>יהושע נ' ועדת ערעור לפי חוק הנכים (תגמולים ושיקום), תש"ט-1949</w:t>
      </w:r>
      <w:r>
        <w:rPr>
          <w:rFonts w:hint="cs"/>
          <w:rtl/>
        </w:rPr>
        <w:t xml:space="preserve">, פ"ד ט 617 (1955); בג"ץ 76/63 </w:t>
      </w:r>
      <w:r w:rsidRPr="00D87434">
        <w:rPr>
          <w:rFonts w:ascii="Century" w:hAnsi="Century" w:cs="Miriam" w:hint="cs"/>
          <w:b/>
          <w:spacing w:val="0"/>
          <w:szCs w:val="24"/>
          <w:rtl/>
        </w:rPr>
        <w:t>טרודלר נ' פקידי החירות לוועדות החקלאיות</w:t>
      </w:r>
      <w:r>
        <w:rPr>
          <w:rFonts w:hint="cs"/>
          <w:rtl/>
        </w:rPr>
        <w:t xml:space="preserve">, פ"ד יז 2503 (1963) (להלן: עניין </w:t>
      </w:r>
      <w:r>
        <w:rPr>
          <w:rFonts w:ascii="Century" w:hAnsi="Century" w:cs="Miriam" w:hint="cs"/>
          <w:b/>
          <w:spacing w:val="0"/>
          <w:szCs w:val="24"/>
          <w:rtl/>
        </w:rPr>
        <w:t>טרודלר</w:t>
      </w:r>
      <w:r>
        <w:rPr>
          <w:rFonts w:ascii="Century" w:hAnsi="Century" w:hint="cs"/>
          <w:rtl/>
        </w:rPr>
        <w:t>)</w:t>
      </w:r>
      <w:r>
        <w:rPr>
          <w:rFonts w:hint="cs"/>
          <w:rtl/>
        </w:rPr>
        <w:t xml:space="preserve">. ראו עוד: </w:t>
      </w:r>
      <w:r w:rsidRPr="00784C5B">
        <w:rPr>
          <w:rFonts w:ascii="Century" w:hAnsi="Century" w:cs="Miriam" w:hint="eastAsia"/>
          <w:b/>
          <w:spacing w:val="0"/>
          <w:szCs w:val="24"/>
          <w:rtl/>
        </w:rPr>
        <w:t>ברק</w:t>
      </w:r>
      <w:r w:rsidRPr="00784C5B">
        <w:rPr>
          <w:rFonts w:ascii="Century" w:hAnsi="Century" w:cs="Miriam"/>
          <w:b/>
          <w:spacing w:val="0"/>
          <w:szCs w:val="24"/>
          <w:rtl/>
        </w:rPr>
        <w:t>-ארז</w:t>
      </w:r>
      <w:r>
        <w:rPr>
          <w:rFonts w:ascii="Century" w:hAnsi="Century" w:cs="Miriam"/>
          <w:b/>
          <w:spacing w:val="0"/>
          <w:szCs w:val="24"/>
          <w:rtl/>
        </w:rPr>
        <w:t xml:space="preserve"> ד</w:t>
      </w:r>
      <w:r>
        <w:rPr>
          <w:rFonts w:hint="cs"/>
          <w:rtl/>
        </w:rPr>
        <w:t xml:space="preserve">, בעמ' 122-119). פסיקותיהם של בתי המשפט באנגליה, וכן במדינות אחרות ששורשיהן במשפט האנגלי, חזרו וחידדו את הגישה המצמצמת להוראות חוק מסוג זה, וביתר שאת מאז פסק הדין התקדימי שניתן בעניין </w:t>
      </w:r>
      <w:r w:rsidRPr="00F77F0C">
        <w:rPr>
          <w:rFonts w:asciiTheme="majorBidi" w:hAnsiTheme="majorBidi" w:cstheme="majorBidi"/>
          <w:sz w:val="24"/>
          <w:szCs w:val="24"/>
        </w:rPr>
        <w:t>Anisminic Ltd v. Foreign Comp. Comm'n</w:t>
      </w:r>
      <w:r w:rsidRPr="001B142C">
        <w:rPr>
          <w:rFonts w:asciiTheme="majorBidi" w:hAnsiTheme="majorBidi" w:cstheme="majorBidi"/>
          <w:sz w:val="24"/>
          <w:szCs w:val="24"/>
        </w:rPr>
        <w:t xml:space="preserve"> [1969] 2 AC 147</w:t>
      </w:r>
      <w:r w:rsidRPr="001B142C">
        <w:rPr>
          <w:rFonts w:asciiTheme="majorBidi" w:hAnsiTheme="majorBidi" w:cstheme="majorBidi"/>
          <w:sz w:val="24"/>
          <w:szCs w:val="24"/>
          <w:rtl/>
        </w:rPr>
        <w:t xml:space="preserve"> </w:t>
      </w:r>
      <w:r>
        <w:rPr>
          <w:rFonts w:hint="cs"/>
          <w:rtl/>
        </w:rPr>
        <w:t xml:space="preserve">(להלן: </w:t>
      </w:r>
      <w:r w:rsidRPr="00F77F0C">
        <w:rPr>
          <w:rFonts w:hint="cs"/>
          <w:rtl/>
        </w:rPr>
        <w:t>עניין</w:t>
      </w:r>
      <w:r w:rsidRPr="00F77F0C">
        <w:rPr>
          <w:rFonts w:asciiTheme="majorBidi" w:hAnsiTheme="majorBidi" w:cstheme="majorBidi"/>
          <w:sz w:val="24"/>
          <w:szCs w:val="24"/>
        </w:rPr>
        <w:t>Anisminic</w:t>
      </w:r>
      <w:r w:rsidRPr="001B142C">
        <w:rPr>
          <w:rFonts w:asciiTheme="majorBidi" w:hAnsiTheme="majorBidi" w:cstheme="majorBidi"/>
          <w:i/>
          <w:iCs/>
          <w:sz w:val="24"/>
          <w:szCs w:val="24"/>
        </w:rPr>
        <w:t xml:space="preserve"> </w:t>
      </w:r>
      <w:r>
        <w:rPr>
          <w:rFonts w:hint="cs"/>
          <w:rtl/>
        </w:rPr>
        <w:t>).</w:t>
      </w:r>
    </w:p>
    <w:p w:rsidR="00E31875" w:rsidRDefault="00E31875" w:rsidP="00E31875">
      <w:pPr>
        <w:pStyle w:val="Ruller41"/>
        <w:rPr>
          <w:rtl/>
        </w:rPr>
      </w:pPr>
    </w:p>
    <w:p w:rsidR="00E31875" w:rsidRDefault="00E31875" w:rsidP="00E31875">
      <w:pPr>
        <w:pStyle w:val="Ruller41"/>
        <w:rPr>
          <w:rtl/>
        </w:rPr>
      </w:pPr>
      <w:r>
        <w:rPr>
          <w:rFonts w:hint="cs"/>
          <w:rtl/>
        </w:rPr>
        <w:t xml:space="preserve">57. </w:t>
      </w:r>
      <w:r>
        <w:rPr>
          <w:rFonts w:hint="cs"/>
          <w:rtl/>
        </w:rPr>
        <w:tab/>
        <w:t xml:space="preserve">כיצד משליך הדיון בסוגיה זו על ענייננו? לכאורה, ניתן היה להצביע על כך שהמסורת הפסיקתית המתוארת מבטאת אמנם הסתייגות ממדיניות משפטית שמייצגת חקיקה המגבילה ביקורת שיפוטית, אך אינה מכירה בפסלותה המוחלטת. אולם, עיון נוסף בדברים מוביל למסקנה מורכבת יותר. אכן, מקרים פרטניים של חקיקה המגבילה </w:t>
      </w:r>
      <w:r>
        <w:rPr>
          <w:rFonts w:hint="cs"/>
          <w:rtl/>
        </w:rPr>
        <w:lastRenderedPageBreak/>
        <w:t>את היקפה של הביקורת השיפוטית הוכרו כמבטאים מדיניות משפטית בעייתית אך תקפה, תוך אימוץ פרשנות מצמצמת שלה. יחד עם זאת, יש לשים לב להבדלים משמעותיים בין המסורת המוקדמת של המשפט האנגלי בנושא זה לבין המקרה העומד בפנינו. ראשית, ההלכה האנגלית בנושא זה התגבשה בשיטת משפט המניחה, כנקודת מוצא, את ריבונות המחוקק (בהעדר חוקה פורמאלית). ממילא, בעוד הלכה זו עסקה בהגבלת ביקורת שיפוטית ביחס לחקיקה, היא לא נדרשה לקביעת העקרונות החלים על הגבלת ביקורת שיפוטית בחקיקת יסוד. לעומת זאת, בשיטת המשפט שלנו, הדיון נוגע לכללי המסגרת החלים על העקרונות המנחים את כתיבת החוקה הישראלית, גם אם במתכונת של פרקים פרקים. שנית, וחשוב הרבה יותר, התקדימים המסורתיים בנושא זה נסבו על מקרים נקודתיים של הגבלת הביקורת השיפוטית בהקשרים של חוק מסוים או סמכות נתונה. המקרה שבפנינו שונה מדעיקרא. אין ענייננו בהגבלת הביקורת השיפוטית על נושא ספציפי</w:t>
      </w:r>
      <w:r w:rsidRPr="0037448C">
        <w:rPr>
          <w:rFonts w:hint="cs"/>
          <w:rtl/>
        </w:rPr>
        <w:t xml:space="preserve"> </w:t>
      </w:r>
      <w:r>
        <w:rPr>
          <w:rFonts w:hint="cs"/>
          <w:rtl/>
        </w:rPr>
        <w:t xml:space="preserve">אלא בהגבלה גורפת החלה על החלטות אין ספור, ולכן משפיעה באופן מהותי על שלטון החוק במדינה. אדרבה, אם במקרים נקודתיים של הגבלת הביקורת השיפוטית, הנחת המוצא של הדיון הייתה חשדנות והסתייגות מהגבלת הביקורת השיפוטית, קל וחומר שהדבר כן כאשר מדובר </w:t>
      </w:r>
      <w:r w:rsidRPr="00C75D35">
        <w:rPr>
          <w:rFonts w:ascii="Century" w:hAnsi="Century" w:hint="cs"/>
          <w:rtl/>
        </w:rPr>
        <w:t>ב</w:t>
      </w:r>
      <w:r w:rsidRPr="00C75D35">
        <w:rPr>
          <w:rFonts w:ascii="Century" w:hAnsi="Century" w:cs="Miriam" w:hint="cs"/>
          <w:b/>
          <w:spacing w:val="0"/>
          <w:szCs w:val="24"/>
          <w:rtl/>
        </w:rPr>
        <w:t xml:space="preserve">הגבלה גורפת </w:t>
      </w:r>
      <w:r w:rsidRPr="00B24737">
        <w:rPr>
          <w:rFonts w:ascii="Century" w:hAnsi="Century" w:hint="eastAsia"/>
          <w:rtl/>
        </w:rPr>
        <w:t>על</w:t>
      </w:r>
      <w:r w:rsidRPr="00B24737">
        <w:rPr>
          <w:rFonts w:ascii="Century" w:hAnsi="Century"/>
          <w:rtl/>
        </w:rPr>
        <w:t xml:space="preserve"> </w:t>
      </w:r>
      <w:r w:rsidRPr="00B24737">
        <w:rPr>
          <w:rFonts w:ascii="Century" w:hAnsi="Century" w:hint="eastAsia"/>
          <w:rtl/>
        </w:rPr>
        <w:t>הביקורת</w:t>
      </w:r>
      <w:r w:rsidRPr="00B24737">
        <w:rPr>
          <w:rFonts w:ascii="Century" w:hAnsi="Century"/>
          <w:rtl/>
        </w:rPr>
        <w:t xml:space="preserve"> </w:t>
      </w:r>
      <w:r w:rsidRPr="00B24737">
        <w:rPr>
          <w:rFonts w:ascii="Century" w:hAnsi="Century" w:hint="eastAsia"/>
          <w:rtl/>
        </w:rPr>
        <w:t>השיפוטית</w:t>
      </w:r>
      <w:r w:rsidRPr="00B24737">
        <w:rPr>
          <w:rFonts w:ascii="Century" w:hAnsi="Century"/>
          <w:rtl/>
        </w:rPr>
        <w:t xml:space="preserve"> – </w:t>
      </w:r>
      <w:r w:rsidRPr="00B24737">
        <w:rPr>
          <w:rFonts w:ascii="Century" w:hAnsi="Century" w:hint="eastAsia"/>
          <w:rtl/>
        </w:rPr>
        <w:t>על</w:t>
      </w:r>
      <w:r w:rsidRPr="00B24737">
        <w:rPr>
          <w:rFonts w:ascii="Century" w:hAnsi="Century"/>
          <w:rtl/>
        </w:rPr>
        <w:t xml:space="preserve"> </w:t>
      </w:r>
      <w:r w:rsidRPr="00B24737">
        <w:rPr>
          <w:rFonts w:ascii="Century" w:hAnsi="Century" w:hint="eastAsia"/>
          <w:rtl/>
        </w:rPr>
        <w:t>סמך</w:t>
      </w:r>
      <w:r w:rsidRPr="00B24737">
        <w:rPr>
          <w:rFonts w:ascii="Century" w:hAnsi="Century"/>
          <w:rtl/>
        </w:rPr>
        <w:t xml:space="preserve"> </w:t>
      </w:r>
      <w:r w:rsidRPr="00B24737">
        <w:rPr>
          <w:rFonts w:ascii="Century" w:hAnsi="Century" w:hint="eastAsia"/>
          <w:rtl/>
        </w:rPr>
        <w:t>עילת</w:t>
      </w:r>
      <w:r w:rsidRPr="00B24737">
        <w:rPr>
          <w:rFonts w:ascii="Century" w:hAnsi="Century"/>
          <w:rtl/>
        </w:rPr>
        <w:t xml:space="preserve"> </w:t>
      </w:r>
      <w:r w:rsidRPr="00B24737">
        <w:rPr>
          <w:rFonts w:ascii="Century" w:hAnsi="Century" w:hint="eastAsia"/>
          <w:rtl/>
        </w:rPr>
        <w:t>ביקורת</w:t>
      </w:r>
      <w:r w:rsidRPr="00B24737">
        <w:rPr>
          <w:rFonts w:ascii="Century" w:hAnsi="Century"/>
          <w:rtl/>
        </w:rPr>
        <w:t xml:space="preserve"> </w:t>
      </w:r>
      <w:r w:rsidRPr="00B24737">
        <w:rPr>
          <w:rFonts w:ascii="Century" w:hAnsi="Century" w:hint="eastAsia"/>
          <w:rtl/>
        </w:rPr>
        <w:t>מרכזית</w:t>
      </w:r>
      <w:r w:rsidRPr="00B24737">
        <w:rPr>
          <w:rFonts w:ascii="Century" w:hAnsi="Century"/>
          <w:rtl/>
        </w:rPr>
        <w:t xml:space="preserve"> –</w:t>
      </w:r>
      <w:r w:rsidRPr="00787794">
        <w:rPr>
          <w:rFonts w:ascii="Century" w:hAnsi="Century" w:cs="Miriam" w:hint="cs"/>
          <w:b/>
          <w:spacing w:val="0"/>
          <w:szCs w:val="24"/>
          <w:rtl/>
        </w:rPr>
        <w:t xml:space="preserve"> </w:t>
      </w:r>
      <w:r w:rsidRPr="00B24737">
        <w:rPr>
          <w:rFonts w:ascii="Century" w:hAnsi="Century" w:hint="eastAsia"/>
          <w:rtl/>
        </w:rPr>
        <w:t>על</w:t>
      </w:r>
      <w:r>
        <w:rPr>
          <w:rFonts w:ascii="Century" w:hAnsi="Century" w:cs="Miriam" w:hint="cs"/>
          <w:b/>
          <w:spacing w:val="0"/>
          <w:szCs w:val="24"/>
          <w:rtl/>
        </w:rPr>
        <w:t xml:space="preserve"> </w:t>
      </w:r>
      <w:r w:rsidRPr="00D87434">
        <w:rPr>
          <w:rFonts w:ascii="Century" w:hAnsi="Century" w:cs="Miriam" w:hint="cs"/>
          <w:b/>
          <w:spacing w:val="0"/>
          <w:szCs w:val="24"/>
          <w:rtl/>
        </w:rPr>
        <w:t xml:space="preserve">כלל ההחלטות </w:t>
      </w:r>
      <w:r w:rsidRPr="00B24737">
        <w:rPr>
          <w:rFonts w:ascii="Century" w:hAnsi="Century" w:hint="eastAsia"/>
          <w:rtl/>
        </w:rPr>
        <w:t>שמקבלים</w:t>
      </w:r>
      <w:r w:rsidRPr="00B24737">
        <w:rPr>
          <w:rFonts w:ascii="Century" w:hAnsi="Century"/>
          <w:rtl/>
        </w:rPr>
        <w:t xml:space="preserve"> </w:t>
      </w:r>
      <w:r w:rsidRPr="00B24737">
        <w:rPr>
          <w:rFonts w:ascii="Century" w:hAnsi="Century" w:hint="eastAsia"/>
          <w:rtl/>
        </w:rPr>
        <w:t>שרי</w:t>
      </w:r>
      <w:r w:rsidRPr="00B24737">
        <w:rPr>
          <w:rFonts w:ascii="Century" w:hAnsi="Century"/>
          <w:rtl/>
        </w:rPr>
        <w:t xml:space="preserve"> </w:t>
      </w:r>
      <w:r w:rsidRPr="00B24737">
        <w:rPr>
          <w:rFonts w:ascii="Century" w:hAnsi="Century" w:hint="eastAsia"/>
          <w:rtl/>
        </w:rPr>
        <w:t>הממשלה</w:t>
      </w:r>
      <w:r w:rsidRPr="00B24737">
        <w:rPr>
          <w:rFonts w:ascii="Century" w:hAnsi="Century"/>
          <w:rtl/>
        </w:rPr>
        <w:t xml:space="preserve">, </w:t>
      </w:r>
      <w:r w:rsidRPr="00B24737">
        <w:rPr>
          <w:rFonts w:ascii="Century" w:hAnsi="Century" w:hint="eastAsia"/>
          <w:rtl/>
        </w:rPr>
        <w:t>ראש</w:t>
      </w:r>
      <w:r w:rsidRPr="00B24737">
        <w:rPr>
          <w:rFonts w:ascii="Century" w:hAnsi="Century"/>
          <w:rtl/>
        </w:rPr>
        <w:t xml:space="preserve"> </w:t>
      </w:r>
      <w:r w:rsidRPr="00B24737">
        <w:rPr>
          <w:rFonts w:ascii="Century" w:hAnsi="Century" w:hint="eastAsia"/>
          <w:rtl/>
        </w:rPr>
        <w:t>הממשלה</w:t>
      </w:r>
      <w:r w:rsidRPr="00B24737">
        <w:rPr>
          <w:rFonts w:ascii="Century" w:hAnsi="Century"/>
          <w:rtl/>
        </w:rPr>
        <w:t xml:space="preserve"> </w:t>
      </w:r>
      <w:r w:rsidRPr="00B24737">
        <w:rPr>
          <w:rFonts w:ascii="Century" w:hAnsi="Century" w:hint="eastAsia"/>
          <w:rtl/>
        </w:rPr>
        <w:t>או</w:t>
      </w:r>
      <w:r w:rsidRPr="00B24737">
        <w:rPr>
          <w:rFonts w:ascii="Century" w:hAnsi="Century"/>
          <w:rtl/>
        </w:rPr>
        <w:t xml:space="preserve"> </w:t>
      </w:r>
      <w:r w:rsidRPr="00B24737">
        <w:rPr>
          <w:rFonts w:ascii="Century" w:hAnsi="Century" w:hint="eastAsia"/>
          <w:rtl/>
        </w:rPr>
        <w:t>הממשלה</w:t>
      </w:r>
      <w:r w:rsidRPr="00B24737">
        <w:rPr>
          <w:rFonts w:ascii="Century" w:hAnsi="Century"/>
          <w:rtl/>
        </w:rPr>
        <w:t xml:space="preserve"> </w:t>
      </w:r>
      <w:r w:rsidRPr="00B24737">
        <w:rPr>
          <w:rFonts w:ascii="Century" w:hAnsi="Century" w:hint="eastAsia"/>
          <w:rtl/>
        </w:rPr>
        <w:t>במליאתה</w:t>
      </w:r>
      <w:r w:rsidRPr="00B24737">
        <w:rPr>
          <w:rFonts w:ascii="Century" w:hAnsi="Century"/>
          <w:rtl/>
        </w:rPr>
        <w:t xml:space="preserve"> </w:t>
      </w:r>
      <w:r w:rsidRPr="00B24737">
        <w:rPr>
          <w:rFonts w:ascii="Century" w:hAnsi="Century" w:hint="eastAsia"/>
          <w:rtl/>
        </w:rPr>
        <w:t>על</w:t>
      </w:r>
      <w:r w:rsidRPr="00B24737">
        <w:rPr>
          <w:rFonts w:ascii="Century" w:hAnsi="Century"/>
          <w:rtl/>
        </w:rPr>
        <w:t>-</w:t>
      </w:r>
      <w:r w:rsidRPr="00B24737">
        <w:rPr>
          <w:rFonts w:ascii="Century" w:hAnsi="Century" w:hint="eastAsia"/>
          <w:rtl/>
        </w:rPr>
        <w:t>פי</w:t>
      </w:r>
      <w:r w:rsidRPr="00B24737">
        <w:rPr>
          <w:rFonts w:ascii="Century" w:hAnsi="Century"/>
          <w:rtl/>
        </w:rPr>
        <w:t xml:space="preserve"> </w:t>
      </w:r>
      <w:r w:rsidRPr="00C75D35">
        <w:rPr>
          <w:rFonts w:ascii="Century" w:hAnsi="Century" w:cs="Miriam" w:hint="cs"/>
          <w:b/>
          <w:spacing w:val="0"/>
          <w:szCs w:val="24"/>
          <w:rtl/>
        </w:rPr>
        <w:t xml:space="preserve">כלל דברי החקיקה </w:t>
      </w:r>
      <w:r w:rsidRPr="00B24737">
        <w:rPr>
          <w:rFonts w:ascii="Century" w:hAnsi="Century" w:hint="eastAsia"/>
          <w:rtl/>
        </w:rPr>
        <w:t>במדינת</w:t>
      </w:r>
      <w:r w:rsidRPr="00B24737">
        <w:rPr>
          <w:rFonts w:ascii="Century" w:hAnsi="Century"/>
          <w:rtl/>
        </w:rPr>
        <w:t xml:space="preserve"> </w:t>
      </w:r>
      <w:r w:rsidRPr="00B24737">
        <w:rPr>
          <w:rFonts w:ascii="Century" w:hAnsi="Century" w:hint="eastAsia"/>
          <w:rtl/>
        </w:rPr>
        <w:t>ישראל</w:t>
      </w:r>
      <w:r>
        <w:rPr>
          <w:rFonts w:hint="cs"/>
          <w:rtl/>
        </w:rPr>
        <w:t>.</w:t>
      </w:r>
    </w:p>
    <w:p w:rsidR="00E31875" w:rsidRDefault="00E31875" w:rsidP="00E31875">
      <w:pPr>
        <w:pStyle w:val="Ruller41"/>
        <w:rPr>
          <w:rtl/>
        </w:rPr>
      </w:pPr>
    </w:p>
    <w:p w:rsidR="00E31875" w:rsidRPr="0066084B" w:rsidRDefault="00E31875" w:rsidP="00E31875">
      <w:pPr>
        <w:pStyle w:val="Ruller41"/>
        <w:rPr>
          <w:rFonts w:ascii="Century" w:hAnsi="Century"/>
          <w:rtl/>
        </w:rPr>
      </w:pPr>
      <w:r>
        <w:rPr>
          <w:rFonts w:hint="cs"/>
          <w:rtl/>
        </w:rPr>
        <w:t xml:space="preserve">58. </w:t>
      </w:r>
      <w:r>
        <w:rPr>
          <w:rFonts w:hint="cs"/>
          <w:rtl/>
        </w:rPr>
        <w:tab/>
        <w:t xml:space="preserve">לא למותר לציין, שפסיקתו העדכנית של בית המשפט העליון באנגליה מחדדת את הקושי הכרוך בחקיקה המגבילה את תחומי הביקורת השיפוטית, אף כאשר מדובר בחוק ספציפי (כלומר, לא במתכונת גורפת כמו זו שבפנינו). כך עולה מפסק הדין שניתן בעניין </w:t>
      </w:r>
      <w:r w:rsidRPr="00DB5097">
        <w:rPr>
          <w:rFonts w:asciiTheme="majorBidi" w:hAnsiTheme="majorBidi" w:cstheme="majorBidi"/>
          <w:sz w:val="24"/>
          <w:szCs w:val="24"/>
        </w:rPr>
        <w:t xml:space="preserve">R (on the application of Privacy International) v. Investigatory Powers </w:t>
      </w:r>
      <w:r>
        <w:rPr>
          <w:rFonts w:asciiTheme="majorBidi" w:hAnsiTheme="majorBidi" w:cstheme="majorBidi"/>
          <w:sz w:val="24"/>
          <w:szCs w:val="24"/>
        </w:rPr>
        <w:t>Trib.</w:t>
      </w:r>
      <w:r w:rsidRPr="00E76971">
        <w:rPr>
          <w:rFonts w:asciiTheme="majorBidi" w:hAnsiTheme="majorBidi" w:cstheme="majorBidi"/>
          <w:sz w:val="24"/>
          <w:szCs w:val="24"/>
        </w:rPr>
        <w:t xml:space="preserve"> [2019] UKSC 22</w:t>
      </w:r>
      <w:r>
        <w:rPr>
          <w:rFonts w:hint="cs"/>
          <w:rtl/>
        </w:rPr>
        <w:t>). במקרה זה, נדונה דוגמה נוספת של</w:t>
      </w:r>
      <w:r w:rsidRPr="00E021F0">
        <w:rPr>
          <w:rFonts w:asciiTheme="majorBidi" w:hAnsiTheme="majorBidi" w:cstheme="majorBidi"/>
          <w:sz w:val="24"/>
          <w:szCs w:val="24"/>
        </w:rPr>
        <w:t xml:space="preserve">ouster clause </w:t>
      </w:r>
      <w:r>
        <w:rPr>
          <w:rFonts w:hint="cs"/>
          <w:rtl/>
        </w:rPr>
        <w:t xml:space="preserve"> בהקשרו של חוק ספציפי </w:t>
      </w:r>
      <w:r>
        <w:rPr>
          <w:rtl/>
        </w:rPr>
        <w:t>–</w:t>
      </w:r>
      <w:r>
        <w:rPr>
          <w:rFonts w:hint="cs"/>
          <w:rtl/>
        </w:rPr>
        <w:t xml:space="preserve"> </w:t>
      </w:r>
      <w:r w:rsidRPr="00E021F0">
        <w:rPr>
          <w:rFonts w:asciiTheme="majorBidi" w:hAnsiTheme="majorBidi" w:cstheme="majorBidi"/>
          <w:sz w:val="24"/>
          <w:szCs w:val="24"/>
        </w:rPr>
        <w:t>Regulation of Investigatory Powers Act</w:t>
      </w:r>
      <w:r>
        <w:rPr>
          <w:rFonts w:asciiTheme="majorBidi" w:hAnsiTheme="majorBidi" w:cstheme="majorBidi"/>
          <w:sz w:val="24"/>
          <w:szCs w:val="24"/>
        </w:rPr>
        <w:t>,</w:t>
      </w:r>
      <w:r w:rsidRPr="00E021F0">
        <w:rPr>
          <w:rFonts w:asciiTheme="majorBidi" w:hAnsiTheme="majorBidi" w:cstheme="majorBidi"/>
          <w:sz w:val="24"/>
          <w:szCs w:val="24"/>
        </w:rPr>
        <w:t xml:space="preserve"> 2000</w:t>
      </w:r>
      <w:r>
        <w:rPr>
          <w:rFonts w:hint="cs"/>
          <w:rtl/>
        </w:rPr>
        <w:t>.</w:t>
      </w:r>
      <w:r>
        <w:t xml:space="preserve"> </w:t>
      </w:r>
      <w:r>
        <w:rPr>
          <w:rFonts w:hint="cs"/>
          <w:rtl/>
        </w:rPr>
        <w:t xml:space="preserve">אכן, פסק הדין התבסס בסופו של דבר, במישור האופרטיבי, על פרשנות מצמצמת של הוראת החוק שנדונה בו. עם זאת, </w:t>
      </w:r>
      <w:r w:rsidRPr="00EB784F">
        <w:rPr>
          <w:rFonts w:asciiTheme="majorBidi" w:hAnsiTheme="majorBidi" w:cstheme="majorBidi"/>
          <w:sz w:val="24"/>
          <w:szCs w:val="24"/>
        </w:rPr>
        <w:t>Lord Carnwath</w:t>
      </w:r>
      <w:r>
        <w:rPr>
          <w:rFonts w:hint="cs"/>
          <w:rtl/>
        </w:rPr>
        <w:t xml:space="preserve">, שכתב את חוות הדעת העיקרית (בהסכמת </w:t>
      </w:r>
      <w:r w:rsidRPr="00EB784F">
        <w:rPr>
          <w:rFonts w:asciiTheme="majorBidi" w:hAnsiTheme="majorBidi" w:cstheme="majorBidi"/>
          <w:sz w:val="24"/>
          <w:szCs w:val="24"/>
        </w:rPr>
        <w:t>Lady Hale</w:t>
      </w:r>
      <w:r>
        <w:rPr>
          <w:rFonts w:hint="cs"/>
          <w:rtl/>
        </w:rPr>
        <w:t xml:space="preserve"> ו-</w:t>
      </w:r>
      <w:r w:rsidRPr="00EB784F">
        <w:rPr>
          <w:rFonts w:asciiTheme="majorBidi" w:hAnsiTheme="majorBidi" w:cstheme="majorBidi"/>
          <w:sz w:val="24"/>
          <w:szCs w:val="24"/>
        </w:rPr>
        <w:t>Lord Kerr</w:t>
      </w:r>
      <w:r>
        <w:rPr>
          <w:rFonts w:hint="cs"/>
          <w:rtl/>
        </w:rPr>
        <w:t xml:space="preserve">) לא הגביל את דבריו אך לכך וקבע, גם אם למעלה מן הצורך, כי ההכרעה באשר לתחום התחולה של הביקורת השיפוטית אינה יכולה להיות מסורה בידי המחוקק בלבד, בהתחשב בקשר הישיר בין קיומה של ביקורת שיפוטית לבין השמירה על שלטון החוק. לדבריו, עמדתו זו </w:t>
      </w:r>
      <w:r>
        <w:rPr>
          <w:rtl/>
        </w:rPr>
        <w:t>–</w:t>
      </w:r>
      <w:r>
        <w:rPr>
          <w:rFonts w:hint="cs"/>
          <w:rtl/>
        </w:rPr>
        <w:t xml:space="preserve"> </w:t>
      </w:r>
      <w:r w:rsidRPr="0037448C">
        <w:rPr>
          <w:rFonts w:asciiTheme="majorBidi" w:hAnsiTheme="majorBidi" w:cstheme="majorBidi"/>
          <w:sz w:val="24"/>
          <w:szCs w:val="24"/>
        </w:rPr>
        <w:t>"</w:t>
      </w:r>
      <w:r>
        <w:rPr>
          <w:rFonts w:asciiTheme="majorBidi" w:hAnsiTheme="majorBidi" w:cstheme="majorBidi"/>
          <w:sz w:val="24"/>
          <w:szCs w:val="24"/>
        </w:rPr>
        <w:t>…</w:t>
      </w:r>
      <w:r w:rsidRPr="0037448C">
        <w:rPr>
          <w:rFonts w:asciiTheme="majorBidi" w:hAnsiTheme="majorBidi" w:cstheme="majorBidi"/>
          <w:sz w:val="24"/>
          <w:szCs w:val="24"/>
        </w:rPr>
        <w:t xml:space="preserve"> should be seen as based, not on such elusive concepts as jurisdiction (wide or narrow), ultra vires, or nullity, but rather as a natural application of the constitutional principle of the rule of law"</w:t>
      </w:r>
      <w:r>
        <w:rPr>
          <w:rFonts w:asciiTheme="majorBidi" w:hAnsiTheme="majorBidi" w:cstheme="majorBidi" w:hint="cs"/>
          <w:sz w:val="24"/>
          <w:szCs w:val="24"/>
          <w:rtl/>
        </w:rPr>
        <w:t xml:space="preserve"> </w:t>
      </w:r>
      <w:r w:rsidRPr="00927C27">
        <w:rPr>
          <w:rFonts w:asciiTheme="majorBidi" w:hAnsiTheme="majorBidi" w:cstheme="majorBidi"/>
          <w:sz w:val="24"/>
          <w:szCs w:val="24"/>
          <w:rtl/>
        </w:rPr>
        <w:t>(</w:t>
      </w:r>
      <w:r w:rsidRPr="00115648">
        <w:rPr>
          <w:rFonts w:ascii="Century" w:hAnsi="Century" w:cs="Miriam" w:hint="eastAsia"/>
          <w:b/>
          <w:spacing w:val="0"/>
          <w:szCs w:val="24"/>
          <w:rtl/>
        </w:rPr>
        <w:t>שם</w:t>
      </w:r>
      <w:r w:rsidRPr="00927C27">
        <w:rPr>
          <w:rFonts w:ascii="Century" w:hAnsi="Century"/>
          <w:rtl/>
        </w:rPr>
        <w:t xml:space="preserve">, </w:t>
      </w:r>
      <w:r w:rsidRPr="00927C27">
        <w:rPr>
          <w:rFonts w:ascii="Century" w:hAnsi="Century" w:hint="eastAsia"/>
          <w:rtl/>
        </w:rPr>
        <w:t>בפסקה</w:t>
      </w:r>
      <w:r w:rsidRPr="00927C27">
        <w:rPr>
          <w:rFonts w:ascii="Century" w:hAnsi="Century"/>
          <w:rtl/>
        </w:rPr>
        <w:t xml:space="preserve"> 132 </w:t>
      </w:r>
      <w:r w:rsidRPr="00927C27">
        <w:rPr>
          <w:rFonts w:ascii="Century" w:hAnsi="Century" w:hint="eastAsia"/>
          <w:rtl/>
        </w:rPr>
        <w:t>ל</w:t>
      </w:r>
      <w:r>
        <w:rPr>
          <w:rFonts w:ascii="Century" w:hAnsi="Century" w:hint="cs"/>
          <w:rtl/>
        </w:rPr>
        <w:t>פסק דינו</w:t>
      </w:r>
      <w:r w:rsidRPr="00927C27">
        <w:rPr>
          <w:rFonts w:asciiTheme="majorBidi" w:hAnsiTheme="majorBidi" w:cstheme="majorBidi"/>
          <w:sz w:val="24"/>
          <w:szCs w:val="24"/>
          <w:rtl/>
        </w:rPr>
        <w:t>)</w:t>
      </w:r>
      <w:r>
        <w:rPr>
          <w:rFonts w:asciiTheme="majorBidi" w:hAnsiTheme="majorBidi" w:cstheme="majorBidi" w:hint="cs"/>
          <w:sz w:val="24"/>
          <w:szCs w:val="24"/>
          <w:rtl/>
        </w:rPr>
        <w:t xml:space="preserve">. </w:t>
      </w:r>
    </w:p>
    <w:p w:rsidR="00E31875" w:rsidRDefault="00E31875" w:rsidP="00E31875">
      <w:pPr>
        <w:pStyle w:val="Ruller41"/>
        <w:bidi w:val="0"/>
      </w:pPr>
    </w:p>
    <w:p w:rsidR="00E31875" w:rsidRPr="00275703" w:rsidRDefault="00E31875" w:rsidP="00E31875">
      <w:pPr>
        <w:pStyle w:val="Ruller41"/>
        <w:rPr>
          <w:rtl/>
        </w:rPr>
      </w:pPr>
      <w:r>
        <w:rPr>
          <w:rFonts w:hint="cs"/>
          <w:rtl/>
        </w:rPr>
        <w:lastRenderedPageBreak/>
        <w:t xml:space="preserve">59. </w:t>
      </w:r>
      <w:r>
        <w:rPr>
          <w:rFonts w:hint="cs"/>
          <w:rtl/>
        </w:rPr>
        <w:tab/>
      </w:r>
      <w:r w:rsidRPr="00640FF1">
        <w:rPr>
          <w:rFonts w:hint="cs"/>
          <w:rtl/>
        </w:rPr>
        <w:t>דברים אלה בדבר הקשר בין קיומה של ביקורת שיפוטית לבין השמירה על שלטון החוק אף מתחדדים בשים לב לכך שהם נאמרו ביחס לחוק (</w:t>
      </w:r>
      <w:r>
        <w:rPr>
          <w:rFonts w:hint="cs"/>
          <w:rtl/>
        </w:rPr>
        <w:t>להבדיל מ</w:t>
      </w:r>
      <w:r w:rsidRPr="00640FF1">
        <w:rPr>
          <w:rFonts w:hint="cs"/>
          <w:rtl/>
        </w:rPr>
        <w:t>חוק יסוד) שעניינו הגבלת הביקורת השיפוטית על טריבונל המפקח על פעולותיה של הרשות המינהלית. תיקון מס' 3 עוסק בהגבלה</w:t>
      </w:r>
      <w:r>
        <w:rPr>
          <w:rFonts w:hint="cs"/>
          <w:rtl/>
        </w:rPr>
        <w:t xml:space="preserve"> קיצונית אף יותר של הביקורת השיפוטית: לא הגבלת הביקורת השיפוטית בגדרו של חוק במדרג נורמטיבי "רגיל", אלא בגדרו של חוק יסוד; לא הגבלת הביקורת השיפוטית על טריבונל מסוים בלבד שמבקר את פעילות הממשלה, אלא על כלל בתי המשפט ביחס לכלל ההחלטות של הממשלה ושריה.</w:t>
      </w:r>
    </w:p>
    <w:p w:rsidR="00E31875" w:rsidRPr="00F7008B" w:rsidRDefault="00E31875" w:rsidP="00E31875">
      <w:pPr>
        <w:spacing w:line="360" w:lineRule="auto"/>
        <w:jc w:val="both"/>
        <w:rPr>
          <w:rFonts w:ascii="FrankRuehl" w:hAnsi="FrankRuehl" w:cs="FrankRuehl"/>
          <w:sz w:val="28"/>
          <w:szCs w:val="28"/>
          <w:rtl/>
        </w:rPr>
      </w:pPr>
    </w:p>
    <w:p w:rsidR="00E31875" w:rsidRPr="00D87434" w:rsidRDefault="00E31875" w:rsidP="00E31875">
      <w:pPr>
        <w:spacing w:line="360" w:lineRule="auto"/>
        <w:jc w:val="both"/>
        <w:rPr>
          <w:rFonts w:ascii="Century" w:hAnsi="Century" w:cs="Miriam"/>
          <w:b/>
          <w:sz w:val="22"/>
          <w:rtl/>
        </w:rPr>
      </w:pPr>
      <w:r w:rsidRPr="00D87434">
        <w:rPr>
          <w:rFonts w:ascii="Century" w:hAnsi="Century" w:cs="Miriam"/>
          <w:b/>
          <w:sz w:val="22"/>
          <w:rtl/>
        </w:rPr>
        <w:t>סבירות ישנה וסבירות חדשה?</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Fonts w:ascii="Century" w:hAnsi="Century"/>
          <w:rtl/>
        </w:rPr>
      </w:pPr>
      <w:r>
        <w:rPr>
          <w:rFonts w:hint="cs"/>
          <w:rtl/>
        </w:rPr>
        <w:t xml:space="preserve">60. </w:t>
      </w:r>
      <w:r>
        <w:rPr>
          <w:rFonts w:hint="cs"/>
          <w:rtl/>
        </w:rPr>
        <w:tab/>
        <w:t xml:space="preserve">בשלב זה אבקש להבהיר מדוע, חרף העדיפות שצריכה להינתן לבחירה בסעד שיפוטי מצמצם כאשר הדבר אפשרי, אין חלקי עם חבריי השופטים </w:t>
      </w:r>
      <w:r w:rsidRPr="00D87434">
        <w:rPr>
          <w:rFonts w:ascii="Century" w:hAnsi="Century" w:cs="Miriam"/>
          <w:b/>
          <w:spacing w:val="0"/>
          <w:szCs w:val="24"/>
          <w:rtl/>
        </w:rPr>
        <w:t>וילנר</w:t>
      </w:r>
      <w:r>
        <w:rPr>
          <w:rFonts w:ascii="Century" w:hAnsi="Century" w:hint="cs"/>
          <w:rtl/>
        </w:rPr>
        <w:t xml:space="preserve">, </w:t>
      </w:r>
      <w:r w:rsidRPr="00D87434">
        <w:rPr>
          <w:rFonts w:ascii="Century" w:hAnsi="Century" w:cs="Miriam" w:hint="eastAsia"/>
          <w:b/>
          <w:spacing w:val="0"/>
          <w:szCs w:val="24"/>
          <w:rtl/>
        </w:rPr>
        <w:t>שטיין</w:t>
      </w:r>
      <w:r>
        <w:rPr>
          <w:rFonts w:hint="cs"/>
          <w:rtl/>
        </w:rPr>
        <w:t xml:space="preserve"> ו-</w:t>
      </w:r>
      <w:r w:rsidRPr="00D87434">
        <w:rPr>
          <w:rFonts w:ascii="Century" w:hAnsi="Century" w:cs="Miriam" w:hint="cs"/>
          <w:b/>
          <w:spacing w:val="0"/>
          <w:szCs w:val="24"/>
          <w:rtl/>
        </w:rPr>
        <w:t>כנפי-שטייניץ</w:t>
      </w:r>
      <w:r>
        <w:rPr>
          <w:rFonts w:hint="cs"/>
          <w:rtl/>
        </w:rPr>
        <w:t xml:space="preserve">. באופן יותר קונקרטי, אני מבקשת להסביר מדוע לא ניתן למצוא מענה לקושי שמעורר התיקון לחוק היסוד באמצעות קריאתו כך שתחולתו תוגבל רק לעילת הסבירות "הקלאסית", כפי שאומצה במשפט הישראלי בשנות החמישים והששים של המאה הקודמת. </w:t>
      </w:r>
    </w:p>
    <w:p w:rsidR="00E31875" w:rsidRDefault="00E31875" w:rsidP="00E31875">
      <w:pPr>
        <w:spacing w:line="360" w:lineRule="auto"/>
        <w:jc w:val="both"/>
        <w:rPr>
          <w:rFonts w:ascii="Century" w:hAnsi="Century" w:cs="FrankRuehl"/>
          <w:spacing w:val="10"/>
          <w:szCs w:val="28"/>
          <w:rtl/>
        </w:rPr>
      </w:pPr>
    </w:p>
    <w:p w:rsidR="00E31875" w:rsidRDefault="00E31875" w:rsidP="00E31875">
      <w:pPr>
        <w:pStyle w:val="Ruller41"/>
        <w:rPr>
          <w:rtl/>
        </w:rPr>
      </w:pPr>
      <w:r>
        <w:rPr>
          <w:rFonts w:hint="cs"/>
          <w:rtl/>
        </w:rPr>
        <w:t xml:space="preserve">61. </w:t>
      </w:r>
      <w:r>
        <w:rPr>
          <w:rFonts w:hint="cs"/>
          <w:rtl/>
        </w:rPr>
        <w:tab/>
        <w:t xml:space="preserve">בעיקרו של דבר, אני מסכימה עם חברתי הנשיאה (בדימ') </w:t>
      </w:r>
      <w:r w:rsidRPr="00D87434">
        <w:rPr>
          <w:rFonts w:ascii="Century" w:hAnsi="Century" w:cs="Miriam" w:hint="cs"/>
          <w:b/>
          <w:spacing w:val="0"/>
          <w:szCs w:val="24"/>
          <w:rtl/>
        </w:rPr>
        <w:t>חיות</w:t>
      </w:r>
      <w:r>
        <w:rPr>
          <w:rFonts w:hint="cs"/>
          <w:rtl/>
        </w:rPr>
        <w:t xml:space="preserve"> כי קריאה זו של תיקון מס' 3 חורגת מכלל פרשנות גרידא, ועולה כדי כתיבתו מחדש של חוק היסוד, בניגוד ללשונו המפורשת. אימוץ של "פרשנות מקיימת" במקרה זה משמעותו בחירת חלופה פרשנית שאין לה כל עיגון בלשונו המפורשת של החוק, שאינה משתמעת לשני פנים. במובן זה ענייננו שונה מזה שנדון בעניין </w:t>
      </w:r>
      <w:r w:rsidRPr="00D87434">
        <w:rPr>
          <w:rFonts w:ascii="Century" w:hAnsi="Century" w:cs="Miriam" w:hint="eastAsia"/>
          <w:b/>
          <w:spacing w:val="0"/>
          <w:szCs w:val="24"/>
          <w:rtl/>
        </w:rPr>
        <w:t>חסון</w:t>
      </w:r>
      <w:r>
        <w:rPr>
          <w:rFonts w:hint="cs"/>
          <w:rtl/>
        </w:rPr>
        <w:t xml:space="preserve">. באותו עניין נדון כאמור חוק יסוד: הלאום אשר לשונו הייתה כללית וביקשה לעגן בחקיקת יסוד "אתוס לאומי" </w:t>
      </w:r>
      <w:r>
        <w:rPr>
          <w:rtl/>
        </w:rPr>
        <w:t>–</w:t>
      </w:r>
      <w:r>
        <w:rPr>
          <w:rFonts w:hint="cs"/>
          <w:rtl/>
        </w:rPr>
        <w:t xml:space="preserve"> אסופת עקרונות מכוננים ביחס להגדרתה של ישראל כמדינה יהודית. על כן, חוק יסוד: הלאום</w:t>
      </w:r>
      <w:r w:rsidRPr="00405B7D">
        <w:rPr>
          <w:rFonts w:hint="cs"/>
          <w:rtl/>
        </w:rPr>
        <w:t xml:space="preserve"> </w:t>
      </w:r>
      <w:r>
        <w:rPr>
          <w:rFonts w:hint="cs"/>
          <w:rtl/>
        </w:rPr>
        <w:t xml:space="preserve">כולל אמירות בעלות אופי כללי, שתוכנן אכן היה פתוח לפרשנויות בכיוונים שונים. כמו כן, </w:t>
      </w:r>
      <w:r w:rsidRPr="002D4EBC">
        <w:rPr>
          <w:rtl/>
        </w:rPr>
        <w:t>אופיו ההצהרתי</w:t>
      </w:r>
      <w:r>
        <w:rPr>
          <w:rFonts w:hint="cs"/>
          <w:rtl/>
        </w:rPr>
        <w:t xml:space="preserve"> של חוק יסוד: הלאום אפשר קריאה שלו לצד הסדרים חקיקתיים ופסיקתיים שונים אשר התעצבו במשפט הישראלי במהלך השנים, ויכול היה לדור עימם בכפיפה אחת. לעומת זאת, בענייננו לשונו של התיקון היא חד משמעית וקובעת כי בית משפט "</w:t>
      </w:r>
      <w:r w:rsidRPr="008373DD">
        <w:rPr>
          <w:rtl/>
        </w:rPr>
        <w:t>לא ידון בעניין סבירות ההחלט</w:t>
      </w:r>
      <w:r>
        <w:rPr>
          <w:rFonts w:hint="cs"/>
          <w:rtl/>
        </w:rPr>
        <w:t xml:space="preserve">ה". היא אינה מאפשרת פתח לקריאה של החוק אשר עולה בקנה אחד עם עקרונות היסוד הגרעיניים של המדינה כמדינה יהודית ודמוקרטית. </w:t>
      </w:r>
    </w:p>
    <w:p w:rsidR="00E31875" w:rsidRDefault="00E31875" w:rsidP="00E31875">
      <w:pPr>
        <w:spacing w:line="360" w:lineRule="auto"/>
        <w:jc w:val="both"/>
        <w:rPr>
          <w:rFonts w:ascii="Century" w:hAnsi="Century" w:cs="FrankRuehl"/>
          <w:spacing w:val="10"/>
          <w:szCs w:val="28"/>
          <w:rtl/>
        </w:rPr>
      </w:pPr>
    </w:p>
    <w:p w:rsidR="00E31875" w:rsidRDefault="00E31875" w:rsidP="00E31875">
      <w:pPr>
        <w:pStyle w:val="Ruller41"/>
        <w:rPr>
          <w:rtl/>
        </w:rPr>
      </w:pPr>
      <w:r>
        <w:rPr>
          <w:rFonts w:hint="cs"/>
          <w:rtl/>
        </w:rPr>
        <w:t xml:space="preserve">62. </w:t>
      </w:r>
      <w:r>
        <w:rPr>
          <w:rFonts w:hint="cs"/>
          <w:rtl/>
        </w:rPr>
        <w:tab/>
        <w:t xml:space="preserve">דברים אלה מקבלים משנה תוקף נוכח ההיסטוריה החקיקתית של תיקון מס' 3, שקריאתי אותה דומה לזו של חבריי הנשיאה (בדימ') </w:t>
      </w:r>
      <w:r w:rsidRPr="00D87434">
        <w:rPr>
          <w:rFonts w:ascii="Century" w:hAnsi="Century" w:cs="Miriam" w:hint="cs"/>
          <w:b/>
          <w:spacing w:val="0"/>
          <w:szCs w:val="24"/>
          <w:rtl/>
        </w:rPr>
        <w:t>חיות</w:t>
      </w:r>
      <w:r>
        <w:rPr>
          <w:rFonts w:hint="cs"/>
          <w:rtl/>
        </w:rPr>
        <w:t xml:space="preserve">. הם מתחדדים גם נוכח </w:t>
      </w:r>
      <w:r>
        <w:rPr>
          <w:rFonts w:hint="cs"/>
          <w:rtl/>
        </w:rPr>
        <w:lastRenderedPageBreak/>
        <w:t xml:space="preserve">טענותיהם המפורשות של משיבי הממשלה בדיון שהתקיים בפנינו, ובהמשך לכך בהשלמת הטיעון מטעמם בכתב, שהצהירו על כוונת המחוקק באופן שאינו משתמע לשני פנים. </w:t>
      </w:r>
    </w:p>
    <w:p w:rsidR="00E31875" w:rsidRDefault="00E31875" w:rsidP="00E31875">
      <w:pPr>
        <w:spacing w:line="360" w:lineRule="auto"/>
        <w:jc w:val="both"/>
        <w:rPr>
          <w:rFonts w:ascii="Century" w:hAnsi="Century" w:cs="FrankRuehl"/>
          <w:spacing w:val="10"/>
          <w:szCs w:val="28"/>
          <w:rtl/>
        </w:rPr>
      </w:pPr>
    </w:p>
    <w:p w:rsidR="00E31875" w:rsidRDefault="00E31875" w:rsidP="00E31875">
      <w:pPr>
        <w:pStyle w:val="Ruller41"/>
        <w:rPr>
          <w:rtl/>
        </w:rPr>
      </w:pPr>
      <w:r>
        <w:rPr>
          <w:rFonts w:hint="cs"/>
          <w:rtl/>
        </w:rPr>
        <w:t xml:space="preserve">63. </w:t>
      </w:r>
      <w:r>
        <w:rPr>
          <w:rtl/>
        </w:rPr>
        <w:tab/>
      </w:r>
      <w:r>
        <w:rPr>
          <w:rFonts w:hint="cs"/>
          <w:rtl/>
        </w:rPr>
        <w:t xml:space="preserve">חבריי השופטים </w:t>
      </w:r>
      <w:r w:rsidRPr="00D87434">
        <w:rPr>
          <w:rFonts w:ascii="Century" w:hAnsi="Century" w:cs="Miriam" w:hint="cs"/>
          <w:b/>
          <w:spacing w:val="0"/>
          <w:szCs w:val="24"/>
          <w:rtl/>
        </w:rPr>
        <w:t>וילנר</w:t>
      </w:r>
      <w:r>
        <w:rPr>
          <w:rFonts w:hint="cs"/>
          <w:rtl/>
        </w:rPr>
        <w:t xml:space="preserve">, </w:t>
      </w:r>
      <w:r w:rsidRPr="00D87434">
        <w:rPr>
          <w:rFonts w:ascii="Century" w:hAnsi="Century" w:cs="Miriam" w:hint="cs"/>
          <w:b/>
          <w:spacing w:val="0"/>
          <w:szCs w:val="24"/>
          <w:rtl/>
        </w:rPr>
        <w:t>שטיין</w:t>
      </w:r>
      <w:r>
        <w:rPr>
          <w:rFonts w:hint="cs"/>
          <w:rtl/>
        </w:rPr>
        <w:t xml:space="preserve"> ו-</w:t>
      </w:r>
      <w:r w:rsidRPr="00D87434">
        <w:rPr>
          <w:rFonts w:ascii="Century" w:hAnsi="Century" w:cs="Miriam" w:hint="cs"/>
          <w:b/>
          <w:spacing w:val="0"/>
          <w:szCs w:val="24"/>
          <w:rtl/>
        </w:rPr>
        <w:t>כנפי-שטייניץ</w:t>
      </w:r>
      <w:r>
        <w:rPr>
          <w:rFonts w:hint="cs"/>
          <w:rtl/>
        </w:rPr>
        <w:t xml:space="preserve"> </w:t>
      </w:r>
      <w:r w:rsidRPr="009D59A4">
        <w:rPr>
          <w:rFonts w:hint="cs"/>
          <w:rtl/>
        </w:rPr>
        <w:t>אכן</w:t>
      </w:r>
      <w:r>
        <w:rPr>
          <w:rFonts w:cs="Miriam" w:hint="cs"/>
          <w:b/>
          <w:szCs w:val="24"/>
          <w:rtl/>
        </w:rPr>
        <w:t xml:space="preserve"> </w:t>
      </w:r>
      <w:r>
        <w:rPr>
          <w:rFonts w:hint="cs"/>
          <w:rtl/>
        </w:rPr>
        <w:t xml:space="preserve">היטיבו להציג את מגוון הגישות שעלו בפסיקה ובספרות המשפטית ביחס להיקפה של עילת הסבירות. מחלוקת זו היא רבת שנים, ויש לשער כי תוסיף להעסיק את מלומדי המשפט אף בעתיד. אולם, בעת שאנו נדרשים לשאלה הפרשנית שבפנינו עלינו לבחון קודם כל את ה"יש", דהיינו את האמור בתיקון מס' 3. לא ניתן לעטות על תיקון מס' 3 מחלצות לא לו </w:t>
      </w:r>
      <w:r>
        <w:rPr>
          <w:rtl/>
        </w:rPr>
        <w:t>–</w:t>
      </w:r>
      <w:r>
        <w:rPr>
          <w:rFonts w:hint="cs"/>
          <w:rtl/>
        </w:rPr>
        <w:t xml:space="preserve"> ולכפות עליו גישות שזכרן לא בא בנוסחו. העדר המתאם בין נוסחו של התיקון לבין הפרשנויות שהציעו לו חבריי </w:t>
      </w:r>
      <w:r>
        <w:rPr>
          <w:rtl/>
        </w:rPr>
        <w:t>–</w:t>
      </w:r>
      <w:r>
        <w:rPr>
          <w:rFonts w:hint="cs"/>
          <w:rtl/>
        </w:rPr>
        <w:t xml:space="preserve"> בין שזוהי "פרשנות מקיימת" כגישתה של </w:t>
      </w:r>
      <w:r w:rsidRPr="00395DA2">
        <w:rPr>
          <w:rtl/>
        </w:rPr>
        <w:t xml:space="preserve">חברתי השופטת </w:t>
      </w:r>
      <w:r w:rsidRPr="00D87434">
        <w:rPr>
          <w:rFonts w:ascii="Century" w:hAnsi="Century" w:cs="Miriam" w:hint="eastAsia"/>
          <w:b/>
          <w:spacing w:val="0"/>
          <w:szCs w:val="24"/>
          <w:rtl/>
        </w:rPr>
        <w:t>וילנר</w:t>
      </w:r>
      <w:r>
        <w:rPr>
          <w:rFonts w:hint="cs"/>
          <w:rtl/>
        </w:rPr>
        <w:t xml:space="preserve">, "גישה ראייתית" שבה מצדד חברי השופט </w:t>
      </w:r>
      <w:r w:rsidRPr="00D87434">
        <w:rPr>
          <w:rFonts w:ascii="Century" w:hAnsi="Century" w:cs="Miriam" w:hint="eastAsia"/>
          <w:b/>
          <w:spacing w:val="0"/>
          <w:szCs w:val="24"/>
          <w:rtl/>
        </w:rPr>
        <w:t>שטיין</w:t>
      </w:r>
      <w:r w:rsidRPr="00D87434">
        <w:rPr>
          <w:rFonts w:ascii="Century" w:hAnsi="Century" w:cs="Miriam" w:hint="cs"/>
          <w:b/>
          <w:spacing w:val="0"/>
          <w:szCs w:val="24"/>
          <w:rtl/>
        </w:rPr>
        <w:t xml:space="preserve"> </w:t>
      </w:r>
      <w:r>
        <w:rPr>
          <w:rFonts w:hint="cs"/>
          <w:rtl/>
        </w:rPr>
        <w:t xml:space="preserve">או "פרשנות מצמצמת" כגישת חברתי השופטת </w:t>
      </w:r>
      <w:r w:rsidRPr="00D87434">
        <w:rPr>
          <w:rFonts w:ascii="Century" w:hAnsi="Century" w:cs="Miriam" w:hint="cs"/>
          <w:b/>
          <w:spacing w:val="0"/>
          <w:szCs w:val="24"/>
          <w:rtl/>
        </w:rPr>
        <w:t>כנפי-שטייניץ</w:t>
      </w:r>
      <w:r>
        <w:rPr>
          <w:rFonts w:hint="cs"/>
          <w:rtl/>
        </w:rPr>
        <w:t xml:space="preserve"> </w:t>
      </w:r>
      <w:r>
        <w:rPr>
          <w:rtl/>
        </w:rPr>
        <w:t>–</w:t>
      </w:r>
      <w:r>
        <w:rPr>
          <w:rFonts w:hint="cs"/>
          <w:rtl/>
        </w:rPr>
        <w:t xml:space="preserve"> הוא טעם רב משקל כנגד קבלת עמדתם. אולם, לא עליו בלבד אני מבססת את גישתי. </w:t>
      </w:r>
    </w:p>
    <w:p w:rsidR="00E31875" w:rsidRDefault="00E31875" w:rsidP="00E31875">
      <w:pPr>
        <w:spacing w:line="360" w:lineRule="auto"/>
        <w:jc w:val="both"/>
        <w:rPr>
          <w:rFonts w:ascii="Century" w:hAnsi="Century" w:cs="FrankRuehl"/>
          <w:spacing w:val="10"/>
          <w:szCs w:val="28"/>
          <w:rtl/>
        </w:rPr>
      </w:pPr>
    </w:p>
    <w:p w:rsidR="00E31875" w:rsidRDefault="00E31875" w:rsidP="00E31875">
      <w:pPr>
        <w:pStyle w:val="Ruller41"/>
        <w:rPr>
          <w:rtl/>
        </w:rPr>
      </w:pPr>
      <w:r>
        <w:rPr>
          <w:rFonts w:hint="cs"/>
          <w:rtl/>
        </w:rPr>
        <w:t>64.</w:t>
      </w:r>
      <w:r>
        <w:rPr>
          <w:rFonts w:hint="cs"/>
          <w:rtl/>
        </w:rPr>
        <w:tab/>
        <w:t xml:space="preserve">קושי ממשי לא פחות הוא שפרשנות זו של תיקון מס' 3 עלולה להותיר את מערך הביקורת השיפוטית על הממשלה ושריה חסר וחלש במידה שעלולה להיות בעייתית, בהתחשב בהעדרם של מנגנוני ביקורת אפקטיביים אחרים. הדברים אמורים על רקע העובדה שעילת הסבירות במתכונת שהתגבשה לאורך השנים, משמשת כיום בסיס לנורמות חיוניות של המשפט המינהלי של ישראל. השארת תיקון מס' 3 על מכונו במתכונת שבה מצדדים חלק מחבריי (כל אחד מהם בדרכו) אינה נותנת לכך מענה. ככל שגישתם מכוונת לצמצום מהותי של תחומי עילת הסבירות, על דרך של חזרה עשרות שנים אחורנית ב"מנהרת הזמן" </w:t>
      </w:r>
      <w:r>
        <w:rPr>
          <w:rtl/>
        </w:rPr>
        <w:t>–</w:t>
      </w:r>
      <w:r>
        <w:rPr>
          <w:rFonts w:hint="cs"/>
          <w:rtl/>
        </w:rPr>
        <w:t xml:space="preserve"> הרי שפרשנות זו עלולה לשמוט את הקרקע תחת תקדימים חיוניים להגנה על הדמוקרטיה ועל שלטון החוק (למשל, כפי שהדגמתי לעיל, ביחס להחלטותיה של ממשלת מעבר). חברי ממלא מקום הנשיא </w:t>
      </w:r>
      <w:r w:rsidRPr="00D87434">
        <w:rPr>
          <w:rFonts w:ascii="Century" w:hAnsi="Century" w:cs="Miriam" w:hint="cs"/>
          <w:b/>
          <w:spacing w:val="0"/>
          <w:szCs w:val="24"/>
          <w:rtl/>
        </w:rPr>
        <w:t>פוגלמן</w:t>
      </w:r>
      <w:r>
        <w:rPr>
          <w:rFonts w:hint="cs"/>
          <w:rtl/>
        </w:rPr>
        <w:t xml:space="preserve"> מציין כי במקרה כזה יישארו בשיטתנו "חורים שחורים", ואני מסכימה להערכה זו. מנגד, ככל שאין מדובר בשינוי מהותי כזה אלא רק ב"ויתור" על הגדרתה של העילה כפי שנקבעה </w:t>
      </w:r>
      <w:r>
        <w:rPr>
          <w:rFonts w:ascii="FrankRuehl" w:hAnsi="FrankRuehl" w:hint="cs"/>
          <w:sz w:val="28"/>
          <w:rtl/>
        </w:rPr>
        <w:t xml:space="preserve">בבג"ץ 389/80 </w:t>
      </w:r>
      <w:r w:rsidRPr="00D87434">
        <w:rPr>
          <w:rFonts w:ascii="Century" w:hAnsi="Century" w:cs="Miriam" w:hint="cs"/>
          <w:b/>
          <w:spacing w:val="0"/>
          <w:szCs w:val="24"/>
          <w:rtl/>
        </w:rPr>
        <w:t>דפי זהב בע"מ נ' רשות השידור</w:t>
      </w:r>
      <w:r>
        <w:rPr>
          <w:rFonts w:ascii="FrankRuehl" w:hAnsi="FrankRuehl" w:hint="cs"/>
          <w:sz w:val="28"/>
          <w:rtl/>
        </w:rPr>
        <w:t xml:space="preserve">, פ"ד לה(1) 421 (1980) (להלן: </w:t>
      </w:r>
      <w:r>
        <w:rPr>
          <w:rFonts w:hint="cs"/>
          <w:rtl/>
        </w:rPr>
        <w:t xml:space="preserve">עניין </w:t>
      </w:r>
      <w:r w:rsidRPr="00D87434">
        <w:rPr>
          <w:rFonts w:ascii="Century" w:hAnsi="Century" w:cs="Miriam" w:hint="eastAsia"/>
          <w:b/>
          <w:spacing w:val="0"/>
          <w:szCs w:val="24"/>
          <w:rtl/>
        </w:rPr>
        <w:t>דפי</w:t>
      </w:r>
      <w:r w:rsidRPr="00D87434">
        <w:rPr>
          <w:rFonts w:ascii="Century" w:hAnsi="Century" w:cs="Miriam"/>
          <w:b/>
          <w:spacing w:val="0"/>
          <w:szCs w:val="24"/>
          <w:rtl/>
        </w:rPr>
        <w:t xml:space="preserve"> </w:t>
      </w:r>
      <w:r w:rsidRPr="00D87434">
        <w:rPr>
          <w:rFonts w:ascii="Century" w:hAnsi="Century" w:cs="Miriam" w:hint="eastAsia"/>
          <w:b/>
          <w:spacing w:val="0"/>
          <w:szCs w:val="24"/>
          <w:rtl/>
        </w:rPr>
        <w:t>זהב</w:t>
      </w:r>
      <w:r>
        <w:rPr>
          <w:rFonts w:hint="cs"/>
          <w:rtl/>
        </w:rPr>
        <w:t xml:space="preserve">), הרי שניתן לתהות מה הועילו חכמים בתקנתם (או שופטים בפרשנותם). </w:t>
      </w:r>
    </w:p>
    <w:p w:rsidR="00E31875" w:rsidRDefault="00E31875" w:rsidP="00E31875">
      <w:pPr>
        <w:spacing w:line="360" w:lineRule="auto"/>
        <w:jc w:val="both"/>
        <w:rPr>
          <w:rFonts w:ascii="Century" w:hAnsi="Century" w:cs="FrankRuehl"/>
          <w:spacing w:val="10"/>
          <w:szCs w:val="28"/>
          <w:rtl/>
        </w:rPr>
      </w:pPr>
    </w:p>
    <w:p w:rsidR="00E31875" w:rsidRDefault="00E31875" w:rsidP="00E31875">
      <w:pPr>
        <w:pStyle w:val="Ruller41"/>
        <w:rPr>
          <w:rtl/>
        </w:rPr>
      </w:pPr>
      <w:r>
        <w:rPr>
          <w:rFonts w:ascii="Century" w:hAnsi="Century" w:hint="cs"/>
          <w:rtl/>
        </w:rPr>
        <w:t xml:space="preserve">65. </w:t>
      </w:r>
      <w:r>
        <w:rPr>
          <w:rFonts w:ascii="Century" w:hAnsi="Century"/>
          <w:rtl/>
        </w:rPr>
        <w:tab/>
      </w:r>
      <w:r>
        <w:rPr>
          <w:rFonts w:ascii="Century" w:hAnsi="Century" w:hint="cs"/>
          <w:rtl/>
        </w:rPr>
        <w:t xml:space="preserve">כאן יש להבהיר, כי </w:t>
      </w:r>
      <w:r>
        <w:rPr>
          <w:rFonts w:hint="cs"/>
          <w:rtl/>
        </w:rPr>
        <w:t xml:space="preserve">בעניין </w:t>
      </w:r>
      <w:r w:rsidRPr="00D87434">
        <w:rPr>
          <w:rFonts w:ascii="Century" w:hAnsi="Century" w:cs="Miriam"/>
          <w:b/>
          <w:spacing w:val="0"/>
          <w:szCs w:val="24"/>
          <w:rtl/>
        </w:rPr>
        <w:t>דפי זהב</w:t>
      </w:r>
      <w:r w:rsidRPr="00D87434">
        <w:rPr>
          <w:rFonts w:hint="cs"/>
          <w:rtl/>
        </w:rPr>
        <w:t xml:space="preserve"> </w:t>
      </w:r>
      <w:r>
        <w:rPr>
          <w:rFonts w:hint="cs"/>
          <w:rtl/>
        </w:rPr>
        <w:t>הוגדרה עילת הסבירות ככוללת בחינה של האיזון בין השיקולים הרלוונטיים השונים שהרשות הביאה בחשבון. הגדרה זו לא נוצרה יש מאין. היא נועדה לתת "כלי עבודה" להחלתה של אותה עילה כפי שהוכרה בפסיקתו של בית משפט זה עוד קודם לכן.</w:t>
      </w:r>
      <w:r w:rsidRPr="007F303C">
        <w:rPr>
          <w:rtl/>
        </w:rPr>
        <w:t xml:space="preserve"> </w:t>
      </w:r>
      <w:r>
        <w:rPr>
          <w:rFonts w:hint="cs"/>
          <w:rtl/>
        </w:rPr>
        <w:t xml:space="preserve">לאמיתו של דבר, כפי שעולה מן הדוגמאות שהובאו </w:t>
      </w:r>
      <w:r>
        <w:rPr>
          <w:rFonts w:hint="cs"/>
          <w:rtl/>
        </w:rPr>
        <w:lastRenderedPageBreak/>
        <w:t xml:space="preserve">בפסק הדין בעניין </w:t>
      </w:r>
      <w:r w:rsidRPr="00D87434">
        <w:rPr>
          <w:rFonts w:ascii="Century" w:hAnsi="Century" w:cs="Miriam"/>
          <w:b/>
          <w:spacing w:val="0"/>
          <w:szCs w:val="24"/>
          <w:rtl/>
        </w:rPr>
        <w:t>דפי זהב</w:t>
      </w:r>
      <w:r w:rsidRPr="00D87434">
        <w:rPr>
          <w:rFonts w:hint="cs"/>
          <w:rtl/>
        </w:rPr>
        <w:t xml:space="preserve"> </w:t>
      </w:r>
      <w:r>
        <w:rPr>
          <w:rFonts w:hint="cs"/>
          <w:rtl/>
        </w:rPr>
        <w:t xml:space="preserve">עצמו, בחינת האיזון בין השיקולים הרלוונטיים שעליהם מבוססת ההחלטה המינהלית, וליתר דיוק בחינת השאלה אם לא הייתה חריגה קיצונית מן האיזון בין השיקולים שעמדו ביסוד ההחלטה, התבטאה גם בפסיקה מוקדמת יותר. למעשה, כפי שצוין בעניין </w:t>
      </w:r>
      <w:r w:rsidRPr="00C75D35">
        <w:rPr>
          <w:rFonts w:ascii="Century" w:hAnsi="Century" w:cs="Miriam" w:hint="eastAsia"/>
          <w:b/>
          <w:spacing w:val="0"/>
          <w:szCs w:val="24"/>
          <w:rtl/>
        </w:rPr>
        <w:t>דפי</w:t>
      </w:r>
      <w:r w:rsidRPr="00C75D35">
        <w:rPr>
          <w:rFonts w:ascii="Century" w:hAnsi="Century" w:cs="Miriam"/>
          <w:b/>
          <w:spacing w:val="0"/>
          <w:szCs w:val="24"/>
          <w:rtl/>
        </w:rPr>
        <w:t xml:space="preserve"> </w:t>
      </w:r>
      <w:r w:rsidRPr="00C75D35">
        <w:rPr>
          <w:rFonts w:ascii="Century" w:hAnsi="Century" w:cs="Miriam" w:hint="eastAsia"/>
          <w:b/>
          <w:spacing w:val="0"/>
          <w:szCs w:val="24"/>
          <w:rtl/>
        </w:rPr>
        <w:t>זהב</w:t>
      </w:r>
      <w:r>
        <w:rPr>
          <w:rFonts w:hint="cs"/>
          <w:rtl/>
        </w:rPr>
        <w:t xml:space="preserve"> (בפסקה 13 לפסק דינו של השופט </w:t>
      </w:r>
      <w:r w:rsidRPr="00D87434">
        <w:rPr>
          <w:rFonts w:ascii="Century" w:hAnsi="Century" w:cs="Miriam" w:hint="eastAsia"/>
          <w:b/>
          <w:spacing w:val="0"/>
          <w:szCs w:val="24"/>
          <w:rtl/>
        </w:rPr>
        <w:t>א</w:t>
      </w:r>
      <w:r w:rsidRPr="00D87434">
        <w:rPr>
          <w:rFonts w:ascii="Century" w:hAnsi="Century" w:cs="Miriam"/>
          <w:b/>
          <w:spacing w:val="0"/>
          <w:szCs w:val="24"/>
          <w:rtl/>
        </w:rPr>
        <w:t xml:space="preserve">' </w:t>
      </w:r>
      <w:r w:rsidRPr="00D87434">
        <w:rPr>
          <w:rFonts w:ascii="Century" w:hAnsi="Century" w:cs="Miriam" w:hint="eastAsia"/>
          <w:b/>
          <w:spacing w:val="0"/>
          <w:szCs w:val="24"/>
          <w:rtl/>
        </w:rPr>
        <w:t>ברק</w:t>
      </w:r>
      <w:r>
        <w:rPr>
          <w:rFonts w:hint="cs"/>
          <w:rtl/>
        </w:rPr>
        <w:t xml:space="preserve">), איזון זה הוא שעמד אף ביסודו של פסק הדין </w:t>
      </w:r>
      <w:r>
        <w:rPr>
          <w:rFonts w:ascii="Century" w:hAnsi="Century" w:hint="cs"/>
          <w:rtl/>
        </w:rPr>
        <w:t xml:space="preserve">המנחה שניתן בבג"ץ </w:t>
      </w:r>
      <w:r w:rsidRPr="00887C70">
        <w:rPr>
          <w:rFonts w:ascii="Century" w:hAnsi="Century" w:hint="cs"/>
          <w:rtl/>
        </w:rPr>
        <w:t>73/53</w:t>
      </w:r>
      <w:r>
        <w:rPr>
          <w:rFonts w:ascii="Century" w:hAnsi="Century" w:hint="cs"/>
          <w:rtl/>
        </w:rPr>
        <w:t xml:space="preserve"> </w:t>
      </w:r>
      <w:r w:rsidRPr="00C75D35">
        <w:rPr>
          <w:rFonts w:ascii="Century" w:hAnsi="Century" w:cs="Miriam" w:hint="cs"/>
          <w:b/>
          <w:spacing w:val="0"/>
          <w:szCs w:val="24"/>
          <w:rtl/>
        </w:rPr>
        <w:t xml:space="preserve">חברת </w:t>
      </w:r>
      <w:r w:rsidRPr="00C75D35">
        <w:rPr>
          <w:rFonts w:ascii="Century" w:hAnsi="Century" w:cs="Miriam"/>
          <w:b/>
          <w:spacing w:val="0"/>
          <w:szCs w:val="24"/>
          <w:rtl/>
        </w:rPr>
        <w:t>"קול העם" בע"מ נ' שר</w:t>
      </w:r>
      <w:r w:rsidRPr="00C75D35">
        <w:rPr>
          <w:rFonts w:ascii="Century" w:hAnsi="Century" w:cs="Miriam" w:hint="cs"/>
          <w:b/>
          <w:spacing w:val="0"/>
          <w:szCs w:val="24"/>
          <w:rtl/>
        </w:rPr>
        <w:t>-</w:t>
      </w:r>
      <w:r w:rsidRPr="00C75D35">
        <w:rPr>
          <w:rFonts w:ascii="Century" w:hAnsi="Century" w:cs="Miriam"/>
          <w:b/>
          <w:spacing w:val="0"/>
          <w:szCs w:val="24"/>
          <w:rtl/>
        </w:rPr>
        <w:t>הפנים</w:t>
      </w:r>
      <w:r w:rsidRPr="00887C70">
        <w:rPr>
          <w:rFonts w:ascii="Century" w:hAnsi="Century" w:hint="cs"/>
          <w:rtl/>
        </w:rPr>
        <w:t>, פ"ד ז 871 (1953)</w:t>
      </w:r>
      <w:r>
        <w:rPr>
          <w:rFonts w:ascii="Century" w:hAnsi="Century" w:hint="cs"/>
          <w:rtl/>
        </w:rPr>
        <w:t xml:space="preserve">, שבו </w:t>
      </w:r>
      <w:r>
        <w:rPr>
          <w:rFonts w:hint="cs"/>
          <w:rtl/>
        </w:rPr>
        <w:t xml:space="preserve">נפסלה החלטתו של שר הפנים בשל כך שלא ייחסה משקל ראוי לחופש הביטוי (לצד ההגנה על שלום הציבור). במלים אחרות, הקושי הכרוך בעמדתם של חבריי השופטים </w:t>
      </w:r>
      <w:r w:rsidRPr="00D87434">
        <w:rPr>
          <w:rFonts w:ascii="Century" w:hAnsi="Century" w:cs="Miriam" w:hint="eastAsia"/>
          <w:b/>
          <w:spacing w:val="0"/>
          <w:szCs w:val="24"/>
          <w:rtl/>
        </w:rPr>
        <w:t>וילנר</w:t>
      </w:r>
      <w:r>
        <w:rPr>
          <w:rFonts w:hint="cs"/>
          <w:rtl/>
        </w:rPr>
        <w:t xml:space="preserve">, </w:t>
      </w:r>
      <w:r w:rsidRPr="00D87434">
        <w:rPr>
          <w:rFonts w:ascii="Century" w:hAnsi="Century" w:cs="Miriam" w:hint="eastAsia"/>
          <w:b/>
          <w:spacing w:val="0"/>
          <w:szCs w:val="24"/>
          <w:rtl/>
        </w:rPr>
        <w:t>שטיין</w:t>
      </w:r>
      <w:r>
        <w:rPr>
          <w:rFonts w:hint="cs"/>
          <w:rtl/>
        </w:rPr>
        <w:t xml:space="preserve"> ו-</w:t>
      </w:r>
      <w:r w:rsidRPr="00D87434">
        <w:rPr>
          <w:rFonts w:ascii="Century" w:hAnsi="Century" w:cs="Miriam" w:hint="eastAsia"/>
          <w:b/>
          <w:spacing w:val="0"/>
          <w:szCs w:val="24"/>
          <w:rtl/>
        </w:rPr>
        <w:t>כנפי</w:t>
      </w:r>
      <w:r w:rsidRPr="00D87434">
        <w:rPr>
          <w:rFonts w:ascii="Century" w:hAnsi="Century" w:cs="Miriam"/>
          <w:b/>
          <w:spacing w:val="0"/>
          <w:szCs w:val="24"/>
          <w:rtl/>
        </w:rPr>
        <w:t>-שטייניץ</w:t>
      </w:r>
      <w:r w:rsidRPr="00D87434">
        <w:rPr>
          <w:rFonts w:hint="cs"/>
          <w:rtl/>
        </w:rPr>
        <w:t xml:space="preserve"> </w:t>
      </w:r>
      <w:r>
        <w:rPr>
          <w:rFonts w:hint="cs"/>
          <w:rtl/>
        </w:rPr>
        <w:t xml:space="preserve">נעוץ גם בהצגה ה"דיכוטומית" של עולם המשפט המינהלי לפני פסק הדין בעניין </w:t>
      </w:r>
      <w:r w:rsidRPr="00D87434">
        <w:rPr>
          <w:rFonts w:ascii="Century" w:hAnsi="Century" w:cs="Miriam" w:hint="eastAsia"/>
          <w:b/>
          <w:spacing w:val="0"/>
          <w:szCs w:val="24"/>
          <w:rtl/>
        </w:rPr>
        <w:t>דפי</w:t>
      </w:r>
      <w:r w:rsidRPr="00D87434">
        <w:rPr>
          <w:rFonts w:ascii="Century" w:hAnsi="Century" w:cs="Miriam"/>
          <w:b/>
          <w:spacing w:val="0"/>
          <w:szCs w:val="24"/>
          <w:rtl/>
        </w:rPr>
        <w:t xml:space="preserve"> </w:t>
      </w:r>
      <w:r w:rsidRPr="00D87434">
        <w:rPr>
          <w:rFonts w:ascii="Century" w:hAnsi="Century" w:cs="Miriam" w:hint="eastAsia"/>
          <w:b/>
          <w:spacing w:val="0"/>
          <w:szCs w:val="24"/>
          <w:rtl/>
        </w:rPr>
        <w:t>זהב</w:t>
      </w:r>
      <w:r w:rsidRPr="00D87434">
        <w:rPr>
          <w:rFonts w:hint="cs"/>
          <w:rtl/>
        </w:rPr>
        <w:t xml:space="preserve"> </w:t>
      </w:r>
      <w:r>
        <w:rPr>
          <w:rFonts w:hint="cs"/>
          <w:rtl/>
        </w:rPr>
        <w:t xml:space="preserve">ולאחריו. לא ניתן לבטל את חשיבותו של פסק דין זה כציון דרך. אולם, בניגוד לעמדתם, וכפי שהסבירו חבריי הנשיאה (בדימ') </w:t>
      </w:r>
      <w:r w:rsidRPr="00D87434">
        <w:rPr>
          <w:rFonts w:ascii="Century" w:hAnsi="Century" w:cs="Miriam" w:hint="cs"/>
          <w:b/>
          <w:spacing w:val="0"/>
          <w:szCs w:val="24"/>
          <w:rtl/>
        </w:rPr>
        <w:t>חיות</w:t>
      </w:r>
      <w:r>
        <w:rPr>
          <w:rFonts w:hint="cs"/>
          <w:rtl/>
        </w:rPr>
        <w:t xml:space="preserve">, ממלא מקום הנשיא </w:t>
      </w:r>
      <w:r w:rsidRPr="006B2A83">
        <w:rPr>
          <w:rFonts w:ascii="Century" w:hAnsi="Century" w:cs="Miriam" w:hint="cs"/>
          <w:b/>
          <w:spacing w:val="0"/>
          <w:szCs w:val="24"/>
          <w:rtl/>
        </w:rPr>
        <w:t>פוגלמן</w:t>
      </w:r>
      <w:r>
        <w:rPr>
          <w:rFonts w:hint="cs"/>
          <w:rtl/>
        </w:rPr>
        <w:t xml:space="preserve">, השופטת </w:t>
      </w:r>
      <w:r w:rsidRPr="006B2A83">
        <w:rPr>
          <w:rFonts w:ascii="Century" w:hAnsi="Century" w:cs="Miriam" w:hint="cs"/>
          <w:b/>
          <w:spacing w:val="0"/>
          <w:szCs w:val="24"/>
          <w:rtl/>
        </w:rPr>
        <w:t>רונן</w:t>
      </w:r>
      <w:r>
        <w:rPr>
          <w:rFonts w:hint="cs"/>
          <w:rtl/>
        </w:rPr>
        <w:t xml:space="preserve"> והשופטת (בדימ')</w:t>
      </w:r>
      <w:r w:rsidRPr="00F90488">
        <w:rPr>
          <w:rFonts w:ascii="Century" w:hAnsi="Century" w:cs="Miriam" w:hint="cs"/>
          <w:b/>
          <w:spacing w:val="0"/>
          <w:szCs w:val="24"/>
          <w:rtl/>
        </w:rPr>
        <w:t xml:space="preserve"> </w:t>
      </w:r>
      <w:r w:rsidRPr="00D87434">
        <w:rPr>
          <w:rFonts w:ascii="Century" w:hAnsi="Century" w:cs="Miriam" w:hint="cs"/>
          <w:b/>
          <w:spacing w:val="0"/>
          <w:szCs w:val="24"/>
          <w:rtl/>
        </w:rPr>
        <w:t>ע' ברון</w:t>
      </w:r>
      <w:r>
        <w:rPr>
          <w:rFonts w:hint="cs"/>
          <w:rtl/>
        </w:rPr>
        <w:t xml:space="preserve">, המבחן שהוצע בעניין </w:t>
      </w:r>
      <w:r w:rsidRPr="00D87434">
        <w:rPr>
          <w:rFonts w:ascii="Century" w:hAnsi="Century" w:cs="Miriam" w:hint="eastAsia"/>
          <w:b/>
          <w:spacing w:val="0"/>
          <w:szCs w:val="24"/>
          <w:rtl/>
        </w:rPr>
        <w:t>דפי</w:t>
      </w:r>
      <w:r w:rsidRPr="00D87434">
        <w:rPr>
          <w:rFonts w:ascii="Century" w:hAnsi="Century" w:cs="Miriam"/>
          <w:b/>
          <w:spacing w:val="0"/>
          <w:szCs w:val="24"/>
          <w:rtl/>
        </w:rPr>
        <w:t xml:space="preserve"> </w:t>
      </w:r>
      <w:r w:rsidRPr="00D87434">
        <w:rPr>
          <w:rFonts w:ascii="Century" w:hAnsi="Century" w:cs="Miriam" w:hint="eastAsia"/>
          <w:b/>
          <w:spacing w:val="0"/>
          <w:szCs w:val="24"/>
          <w:rtl/>
        </w:rPr>
        <w:t>זהב</w:t>
      </w:r>
      <w:r w:rsidRPr="00D87434">
        <w:rPr>
          <w:rFonts w:hint="cs"/>
          <w:rtl/>
        </w:rPr>
        <w:t xml:space="preserve"> </w:t>
      </w:r>
      <w:r>
        <w:rPr>
          <w:rFonts w:hint="cs"/>
          <w:rtl/>
        </w:rPr>
        <w:t xml:space="preserve">מבטא הבשלה של התפתחות הדרגתית בפסיקה לאורך השנים (ראו גם: </w:t>
      </w:r>
      <w:r w:rsidRPr="007F03BB">
        <w:rPr>
          <w:rFonts w:ascii="Century" w:hAnsi="Century" w:cs="Miriam" w:hint="cs"/>
          <w:b/>
          <w:spacing w:val="0"/>
          <w:szCs w:val="24"/>
          <w:rtl/>
        </w:rPr>
        <w:t>ברק-ארז ב</w:t>
      </w:r>
      <w:r>
        <w:rPr>
          <w:rFonts w:hint="cs"/>
          <w:rtl/>
        </w:rPr>
        <w:t xml:space="preserve">, בעמ' 731-729).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66.</w:t>
      </w:r>
      <w:r>
        <w:rPr>
          <w:rFonts w:hint="cs"/>
          <w:rtl/>
        </w:rPr>
        <w:tab/>
        <w:t xml:space="preserve">הקושי בגישות המבקשות לדבוק בעילת הסבירות "הישנה" אף מתחדד נוכח העובדה שהלכת </w:t>
      </w:r>
      <w:r w:rsidRPr="00D87434">
        <w:rPr>
          <w:rFonts w:ascii="Century" w:hAnsi="Century" w:cs="Miriam" w:hint="eastAsia"/>
          <w:b/>
          <w:spacing w:val="0"/>
          <w:szCs w:val="24"/>
          <w:rtl/>
        </w:rPr>
        <w:t>וו</w:t>
      </w:r>
      <w:r w:rsidRPr="00D87434">
        <w:rPr>
          <w:rFonts w:ascii="Century" w:hAnsi="Century" w:cs="Miriam" w:hint="cs"/>
          <w:b/>
          <w:spacing w:val="0"/>
          <w:szCs w:val="24"/>
          <w:rtl/>
        </w:rPr>
        <w:t>נד</w:t>
      </w:r>
      <w:r w:rsidRPr="00D87434">
        <w:rPr>
          <w:rFonts w:ascii="Century" w:hAnsi="Century" w:cs="Miriam" w:hint="eastAsia"/>
          <w:b/>
          <w:spacing w:val="0"/>
          <w:szCs w:val="24"/>
          <w:rtl/>
        </w:rPr>
        <w:t>סברי</w:t>
      </w:r>
      <w:r>
        <w:rPr>
          <w:rFonts w:hint="cs"/>
          <w:rtl/>
        </w:rPr>
        <w:t xml:space="preserve"> אינה מעגנת כל מבחן חלופי ממשי להגדרתה של עילת הסבירות כממוקדת באיזון בין השיקולים שביסוד ההחלטה המינהלית. המבחן שאומץ בעניין </w:t>
      </w:r>
      <w:r w:rsidRPr="00D87434">
        <w:rPr>
          <w:rFonts w:ascii="Century" w:hAnsi="Century" w:cs="Miriam" w:hint="eastAsia"/>
          <w:b/>
          <w:spacing w:val="0"/>
          <w:szCs w:val="24"/>
          <w:rtl/>
        </w:rPr>
        <w:t>וו</w:t>
      </w:r>
      <w:r w:rsidRPr="00D87434">
        <w:rPr>
          <w:rFonts w:ascii="Century" w:hAnsi="Century" w:cs="Miriam" w:hint="cs"/>
          <w:b/>
          <w:spacing w:val="0"/>
          <w:szCs w:val="24"/>
          <w:rtl/>
        </w:rPr>
        <w:t>נד</w:t>
      </w:r>
      <w:r w:rsidRPr="00D87434">
        <w:rPr>
          <w:rFonts w:ascii="Century" w:hAnsi="Century" w:cs="Miriam" w:hint="eastAsia"/>
          <w:b/>
          <w:spacing w:val="0"/>
          <w:szCs w:val="24"/>
          <w:rtl/>
        </w:rPr>
        <w:t>סברי</w:t>
      </w:r>
      <w:r w:rsidRPr="009F34DC">
        <w:rPr>
          <w:rFonts w:ascii="Century" w:hAnsi="Century" w:cs="Miriam"/>
          <w:b/>
          <w:szCs w:val="24"/>
          <w:rtl/>
        </w:rPr>
        <w:t xml:space="preserve"> </w:t>
      </w:r>
      <w:r>
        <w:rPr>
          <w:rtl/>
        </w:rPr>
        <w:t>–</w:t>
      </w:r>
      <w:r>
        <w:rPr>
          <w:rFonts w:hint="cs"/>
          <w:rtl/>
        </w:rPr>
        <w:t xml:space="preserve"> שעל-פיו החלטה של רשות מינהלית תיפסל אם אף רשות מינהלית סבירה לא הייתה מקבלת החלטה דומה </w:t>
      </w:r>
      <w:r>
        <w:rPr>
          <w:rtl/>
        </w:rPr>
        <w:t>–</w:t>
      </w:r>
      <w:r>
        <w:rPr>
          <w:rFonts w:hint="cs"/>
          <w:rtl/>
        </w:rPr>
        <w:t xml:space="preserve"> עושה שימוש בהגדרה טאוטולוגית, שנעדרת תוכן עצמאי. חברי השופט </w:t>
      </w:r>
      <w:r w:rsidRPr="00910E3F">
        <w:rPr>
          <w:rFonts w:ascii="Century" w:hAnsi="Century" w:cs="Miriam" w:hint="cs"/>
          <w:b/>
          <w:szCs w:val="24"/>
          <w:rtl/>
        </w:rPr>
        <w:t>שטיין</w:t>
      </w:r>
      <w:r w:rsidRPr="00910E3F">
        <w:rPr>
          <w:rFonts w:hint="cs"/>
          <w:rtl/>
        </w:rPr>
        <w:t xml:space="preserve"> </w:t>
      </w:r>
      <w:r>
        <w:rPr>
          <w:rFonts w:hint="cs"/>
          <w:rtl/>
        </w:rPr>
        <w:t xml:space="preserve">חוזר ומציין כי הוא חושש מעילת סבירות במתכונת של "המשפט זה אני". לעומתו, אני סבורה שדווקא הוויתור על העילה המובנית של הסבירות כפי שעוצבה בעניין </w:t>
      </w:r>
      <w:r w:rsidRPr="00D87434">
        <w:rPr>
          <w:rFonts w:ascii="Century" w:hAnsi="Century" w:cs="Miriam" w:hint="eastAsia"/>
          <w:b/>
          <w:spacing w:val="0"/>
          <w:szCs w:val="24"/>
          <w:rtl/>
        </w:rPr>
        <w:t>דפי</w:t>
      </w:r>
      <w:r w:rsidRPr="00D87434">
        <w:rPr>
          <w:rFonts w:ascii="Century" w:hAnsi="Century" w:cs="Miriam"/>
          <w:b/>
          <w:spacing w:val="0"/>
          <w:szCs w:val="24"/>
          <w:rtl/>
        </w:rPr>
        <w:t xml:space="preserve"> </w:t>
      </w:r>
      <w:r w:rsidRPr="00D87434">
        <w:rPr>
          <w:rFonts w:ascii="Century" w:hAnsi="Century" w:cs="Miriam" w:hint="eastAsia"/>
          <w:b/>
          <w:spacing w:val="0"/>
          <w:szCs w:val="24"/>
          <w:rtl/>
        </w:rPr>
        <w:t>זהב</w:t>
      </w:r>
      <w:r w:rsidRPr="00D87434">
        <w:rPr>
          <w:rFonts w:hint="cs"/>
          <w:rtl/>
        </w:rPr>
        <w:t xml:space="preserve"> </w:t>
      </w:r>
      <w:r>
        <w:rPr>
          <w:rFonts w:hint="cs"/>
          <w:rtl/>
        </w:rPr>
        <w:t xml:space="preserve">מותירה את השופט עם הערכה סובייקטיבית לחלוטין. בסופו של דבר, </w:t>
      </w:r>
      <w:r w:rsidRPr="00D87434">
        <w:rPr>
          <w:rFonts w:ascii="Century" w:hAnsi="Century" w:cs="Miriam" w:hint="cs"/>
          <w:b/>
          <w:spacing w:val="0"/>
          <w:szCs w:val="24"/>
          <w:rtl/>
        </w:rPr>
        <w:t xml:space="preserve">הלכת </w:t>
      </w:r>
      <w:r w:rsidRPr="00D87434">
        <w:rPr>
          <w:rFonts w:ascii="Century" w:hAnsi="Century" w:cs="Miriam" w:hint="eastAsia"/>
          <w:b/>
          <w:spacing w:val="0"/>
          <w:szCs w:val="24"/>
          <w:rtl/>
        </w:rPr>
        <w:t>וונדסברי</w:t>
      </w:r>
      <w:r>
        <w:rPr>
          <w:rFonts w:hint="cs"/>
          <w:rtl/>
        </w:rPr>
        <w:t>, שאותה מציע חברי לשוב ולאמץ, לפיה יש לקבוע איזו החלטה לא הייתה מתקבלת על-ידי אף רשות מינהלית סבירה, מתמצה בהערכה סובייקטיבית הנעשית על-ידי השופטת או השופט. זו אינה אפוא הגדרה הנושאת בשורה בהשוואה להערכה השיפוטית אם הרשות המינהלית חרגה באופן קיצוני ממתחם הסבירות. זוהי הגדרה שיש ליצוק לתוכה תוכן, והיא עצמה אינה משמיעה דבר. יכול שיהיו מחלוקות ביחס להיקף השימוש בעילת הסבירות, ואלה הן מחלוקות לגיטימיות. אפשר אף לסבור שפסק דין כזה או אחר שניתן בבית משפט זה על סמך עילת הסבירות היה מוטעה. אולם, אינני סבורה שאימוץ ניסוח, טאוטולוגי כשלעצמו, המופיע בפסק דין אנגלי ישן, יכול לשמש בסיס להסדרה חוקתית, או אף לפרשנות חוקתית.</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67. </w:t>
      </w:r>
      <w:r>
        <w:rPr>
          <w:rFonts w:hint="cs"/>
          <w:rtl/>
        </w:rPr>
        <w:tab/>
        <w:t xml:space="preserve">ברקע הדברים אוסיף, גם אם למעלה מן הצורך, כי התפיסה לפיה האיזון בין השיקולים שביסוד ההחלטה הוא העומד במרכזה של עילת הסבירות </w:t>
      </w:r>
      <w:r>
        <w:rPr>
          <w:rtl/>
        </w:rPr>
        <w:t>–</w:t>
      </w:r>
      <w:r>
        <w:rPr>
          <w:rFonts w:hint="cs"/>
          <w:rtl/>
        </w:rPr>
        <w:t xml:space="preserve"> תואמת גם את </w:t>
      </w:r>
      <w:r>
        <w:rPr>
          <w:rFonts w:hint="cs"/>
          <w:rtl/>
        </w:rPr>
        <w:lastRenderedPageBreak/>
        <w:t xml:space="preserve">ההתפתחויות שחלו במשפט המינהלי האנגלי, כמו גם בשיטות משפט נוספות. בכל הכבוד, אינני שותפה להערכתם של חבריי השופטים </w:t>
      </w:r>
      <w:r w:rsidRPr="00D87434">
        <w:rPr>
          <w:rFonts w:ascii="Century" w:hAnsi="Century" w:cs="Miriam" w:hint="cs"/>
          <w:b/>
          <w:spacing w:val="0"/>
          <w:szCs w:val="24"/>
          <w:rtl/>
        </w:rPr>
        <w:t>וילנר</w:t>
      </w:r>
      <w:r>
        <w:rPr>
          <w:rFonts w:hint="cs"/>
          <w:rtl/>
        </w:rPr>
        <w:t xml:space="preserve"> ו-</w:t>
      </w:r>
      <w:r w:rsidRPr="00D87434">
        <w:rPr>
          <w:rFonts w:ascii="Century" w:hAnsi="Century" w:cs="Miriam" w:hint="eastAsia"/>
          <w:b/>
          <w:spacing w:val="0"/>
          <w:szCs w:val="24"/>
          <w:rtl/>
        </w:rPr>
        <w:t>שטיין</w:t>
      </w:r>
      <w:r>
        <w:rPr>
          <w:rFonts w:hint="cs"/>
          <w:rtl/>
        </w:rPr>
        <w:t xml:space="preserve"> אף בעניין זה.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68. </w:t>
      </w:r>
      <w:r>
        <w:rPr>
          <w:rtl/>
        </w:rPr>
        <w:tab/>
      </w:r>
      <w:r>
        <w:rPr>
          <w:rFonts w:hint="cs"/>
          <w:rtl/>
        </w:rPr>
        <w:t xml:space="preserve">אינני סבורה שזהו המקום וההקשר המתאימים לדיון בפרטי הדוקטרינה הנוהגת בשיטות משפט אחרות. אולם, יש חשיבות להכרה בכך שהמשפט, מטבעו, אינו קופא על שמריו. המקום שבו עמד המשפט המינהלי האנגלי בסוף שנות הארבעים של המאה הקודמת אינו מהווה עוד נקודת ייחוס מתאימה או רלוונטית. בניגוד לנטען על-ידי חבריי, קשה לומר כי המבחן של הלכת </w:t>
      </w:r>
      <w:r w:rsidRPr="00D87434">
        <w:rPr>
          <w:rFonts w:ascii="Century" w:hAnsi="Century" w:cs="Miriam" w:hint="eastAsia"/>
          <w:b/>
          <w:spacing w:val="0"/>
          <w:szCs w:val="24"/>
          <w:rtl/>
        </w:rPr>
        <w:t>וונדסברי</w:t>
      </w:r>
      <w:r w:rsidRPr="0066084B">
        <w:rPr>
          <w:rFonts w:ascii="Century" w:hAnsi="Century" w:cs="Miriam"/>
          <w:b/>
          <w:szCs w:val="24"/>
          <w:rtl/>
        </w:rPr>
        <w:t xml:space="preserve"> </w:t>
      </w:r>
      <w:r>
        <w:rPr>
          <w:rFonts w:hint="cs"/>
          <w:rtl/>
        </w:rPr>
        <w:t>עודו שולט בכיפה כבעבר. במידה רבה, אף המשפט האנגלי נוטה כיום לעמדה שנקודת הכובד של עילת הסבירות מצויה באיזון בין השיקולים הרלוונטיים שעל הרשות לשקול בעת קבלת ההחלטה, ובמשקל הראוי שיש לייחס לכל אחד מהם. כך הגדיר את הדברים פרופ' פול קרייג (</w:t>
      </w:r>
      <w:r w:rsidRPr="00B24737">
        <w:rPr>
          <w:rFonts w:asciiTheme="majorBidi" w:hAnsiTheme="majorBidi" w:cstheme="majorBidi"/>
          <w:sz w:val="24"/>
          <w:szCs w:val="24"/>
        </w:rPr>
        <w:t>Paul Craig</w:t>
      </w:r>
      <w:r>
        <w:rPr>
          <w:rFonts w:hint="cs"/>
          <w:rtl/>
        </w:rPr>
        <w:t>), מן המלומדים הבולטים של המשפט המינהלי באנגליה, במאמר חשוב מפרי עטו:</w:t>
      </w:r>
    </w:p>
    <w:p w:rsidR="00E31875" w:rsidRPr="00B24737" w:rsidRDefault="00E31875" w:rsidP="00E31875">
      <w:pPr>
        <w:spacing w:line="360" w:lineRule="auto"/>
        <w:jc w:val="both"/>
        <w:rPr>
          <w:rFonts w:ascii="FrankRuehl" w:hAnsi="FrankRuehl" w:cs="FrankRuehl"/>
          <w:sz w:val="24"/>
          <w:rtl/>
        </w:rPr>
      </w:pPr>
    </w:p>
    <w:p w:rsidR="00E31875" w:rsidRPr="00B24737" w:rsidRDefault="00E31875" w:rsidP="00E31875">
      <w:pPr>
        <w:pStyle w:val="Ruller5"/>
        <w:bidi w:val="0"/>
        <w:rPr>
          <w:rFonts w:asciiTheme="majorBidi" w:hAnsiTheme="majorBidi" w:cstheme="majorBidi"/>
          <w:sz w:val="24"/>
          <w:szCs w:val="24"/>
        </w:rPr>
      </w:pPr>
      <w:r w:rsidRPr="00B24737">
        <w:rPr>
          <w:rFonts w:asciiTheme="majorBidi" w:hAnsiTheme="majorBidi" w:cstheme="majorBidi"/>
          <w:sz w:val="24"/>
          <w:szCs w:val="24"/>
        </w:rPr>
        <w:t xml:space="preserve">"It follows that reasonableness review is concerned with the weight accorded by the primary decision-maker to factors that have been or can be deemed relevant" (Paul Craig, </w:t>
      </w:r>
      <w:r w:rsidRPr="00B24737">
        <w:rPr>
          <w:rFonts w:asciiTheme="majorBidi" w:hAnsiTheme="majorBidi" w:cstheme="majorBidi"/>
          <w:i/>
          <w:iCs/>
          <w:sz w:val="24"/>
          <w:szCs w:val="24"/>
        </w:rPr>
        <w:t>The Nature of Reasonableness Review</w:t>
      </w:r>
      <w:r w:rsidRPr="00B24737">
        <w:rPr>
          <w:rFonts w:asciiTheme="majorBidi" w:hAnsiTheme="majorBidi" w:cstheme="majorBidi"/>
          <w:sz w:val="24"/>
          <w:szCs w:val="24"/>
        </w:rPr>
        <w:t xml:space="preserve">, </w:t>
      </w:r>
      <w:r w:rsidRPr="00B24737">
        <w:rPr>
          <w:rFonts w:asciiTheme="majorBidi" w:hAnsiTheme="majorBidi" w:cstheme="majorBidi"/>
          <w:smallCaps/>
          <w:sz w:val="24"/>
          <w:szCs w:val="24"/>
        </w:rPr>
        <w:t>Current Leg. Prob.</w:t>
      </w:r>
      <w:r w:rsidRPr="00B24737">
        <w:rPr>
          <w:rFonts w:asciiTheme="majorBidi" w:hAnsiTheme="majorBidi" w:cstheme="majorBidi"/>
          <w:sz w:val="24"/>
          <w:szCs w:val="24"/>
        </w:rPr>
        <w:t xml:space="preserve"> 1</w:t>
      </w:r>
      <w:r>
        <w:rPr>
          <w:rFonts w:asciiTheme="majorBidi" w:hAnsiTheme="majorBidi" w:cstheme="majorBidi"/>
          <w:sz w:val="24"/>
          <w:szCs w:val="24"/>
        </w:rPr>
        <w:t>31</w:t>
      </w:r>
      <w:r w:rsidRPr="00B24737">
        <w:rPr>
          <w:rFonts w:asciiTheme="majorBidi" w:hAnsiTheme="majorBidi" w:cstheme="majorBidi"/>
          <w:sz w:val="24"/>
          <w:szCs w:val="24"/>
        </w:rPr>
        <w:t xml:space="preserve">, </w:t>
      </w:r>
      <w:r>
        <w:rPr>
          <w:rFonts w:asciiTheme="majorBidi" w:hAnsiTheme="majorBidi" w:cstheme="majorBidi"/>
          <w:sz w:val="24"/>
          <w:szCs w:val="24"/>
        </w:rPr>
        <w:t>13</w:t>
      </w:r>
      <w:r w:rsidRPr="00B24737">
        <w:rPr>
          <w:rFonts w:asciiTheme="majorBidi" w:hAnsiTheme="majorBidi" w:cstheme="majorBidi"/>
          <w:sz w:val="24"/>
          <w:szCs w:val="24"/>
        </w:rPr>
        <w:t>6 (2013)).</w:t>
      </w:r>
    </w:p>
    <w:p w:rsidR="00E31875" w:rsidRPr="00B24737" w:rsidRDefault="00E31875" w:rsidP="00E31875">
      <w:pPr>
        <w:bidi w:val="0"/>
        <w:spacing w:line="360" w:lineRule="auto"/>
        <w:jc w:val="both"/>
        <w:rPr>
          <w:rFonts w:asciiTheme="majorBidi" w:hAnsiTheme="majorBidi" w:cstheme="majorBidi"/>
          <w:sz w:val="24"/>
        </w:rPr>
      </w:pPr>
    </w:p>
    <w:p w:rsidR="00E31875" w:rsidRDefault="00E31875" w:rsidP="00E31875">
      <w:pPr>
        <w:pStyle w:val="Ruller41"/>
        <w:rPr>
          <w:rtl/>
        </w:rPr>
      </w:pPr>
      <w:r>
        <w:rPr>
          <w:rtl/>
        </w:rPr>
        <w:tab/>
      </w:r>
      <w:r>
        <w:rPr>
          <w:rFonts w:hint="cs"/>
          <w:rtl/>
        </w:rPr>
        <w:t xml:space="preserve">בדומה לכך, במהדורה העדכנית לספרו הקלאסי של </w:t>
      </w:r>
      <w:r w:rsidRPr="00D1755C">
        <w:rPr>
          <w:rFonts w:asciiTheme="majorBidi" w:hAnsiTheme="majorBidi" w:cstheme="majorBidi"/>
          <w:sz w:val="24"/>
          <w:szCs w:val="24"/>
        </w:rPr>
        <w:t>de Smith</w:t>
      </w:r>
      <w:r>
        <w:rPr>
          <w:rFonts w:hint="cs"/>
          <w:rtl/>
        </w:rPr>
        <w:t xml:space="preserve"> על הביקורת השיפוטית במשפט המינהלי האנגלי, נכתב כך:</w:t>
      </w:r>
    </w:p>
    <w:p w:rsidR="00E31875" w:rsidRPr="00B24737" w:rsidRDefault="00E31875" w:rsidP="00E31875">
      <w:pPr>
        <w:spacing w:line="360" w:lineRule="auto"/>
        <w:jc w:val="both"/>
        <w:rPr>
          <w:rFonts w:ascii="FrankRuehl" w:hAnsi="FrankRuehl" w:cs="FrankRuehl"/>
          <w:sz w:val="24"/>
          <w:rtl/>
        </w:rPr>
      </w:pPr>
    </w:p>
    <w:p w:rsidR="00E31875" w:rsidRPr="00B24737" w:rsidRDefault="00E31875" w:rsidP="00E31875">
      <w:pPr>
        <w:pStyle w:val="Ruller5"/>
        <w:bidi w:val="0"/>
        <w:rPr>
          <w:rFonts w:asciiTheme="majorBidi" w:hAnsiTheme="majorBidi" w:cstheme="majorBidi"/>
          <w:sz w:val="24"/>
          <w:szCs w:val="24"/>
        </w:rPr>
      </w:pPr>
      <w:r w:rsidRPr="00B24737">
        <w:rPr>
          <w:rFonts w:asciiTheme="majorBidi" w:hAnsiTheme="majorBidi" w:cstheme="majorBidi"/>
          <w:sz w:val="24"/>
          <w:szCs w:val="24"/>
        </w:rPr>
        <w:t>"Where undue weight is given to any particular consideration, this may result in the decision being held to be unreasonable, and therefore unlawful, because manifestly excessive or manifestly inadequate weight has been accorded to a relevant consideration" (</w:t>
      </w:r>
      <w:r w:rsidRPr="00333554">
        <w:rPr>
          <w:rFonts w:asciiTheme="majorBidi" w:hAnsiTheme="majorBidi" w:cstheme="majorBidi"/>
          <w:smallCaps/>
          <w:sz w:val="24"/>
          <w:szCs w:val="24"/>
        </w:rPr>
        <w:t xml:space="preserve">Harry Woolf </w:t>
      </w:r>
      <w:r>
        <w:rPr>
          <w:rFonts w:asciiTheme="majorBidi" w:hAnsiTheme="majorBidi" w:cstheme="majorBidi"/>
          <w:smallCaps/>
          <w:sz w:val="24"/>
          <w:szCs w:val="24"/>
        </w:rPr>
        <w:t>et al</w:t>
      </w:r>
      <w:r w:rsidRPr="00333554">
        <w:rPr>
          <w:rFonts w:asciiTheme="majorBidi" w:hAnsiTheme="majorBidi" w:cstheme="majorBidi"/>
          <w:smallCaps/>
          <w:sz w:val="24"/>
          <w:szCs w:val="24"/>
        </w:rPr>
        <w:t>., De Smith'</w:t>
      </w:r>
      <w:r>
        <w:rPr>
          <w:rFonts w:asciiTheme="majorBidi" w:hAnsiTheme="majorBidi" w:cstheme="majorBidi"/>
          <w:smallCaps/>
          <w:sz w:val="24"/>
          <w:szCs w:val="24"/>
        </w:rPr>
        <w:t>s</w:t>
      </w:r>
      <w:r w:rsidRPr="00333554">
        <w:rPr>
          <w:rFonts w:asciiTheme="majorBidi" w:hAnsiTheme="majorBidi" w:cstheme="majorBidi"/>
          <w:smallCaps/>
          <w:sz w:val="24"/>
          <w:szCs w:val="24"/>
        </w:rPr>
        <w:t xml:space="preserve"> Judicial Review</w:t>
      </w:r>
      <w:r w:rsidRPr="00B24737">
        <w:rPr>
          <w:rFonts w:asciiTheme="majorBidi" w:hAnsiTheme="majorBidi" w:cstheme="majorBidi"/>
          <w:sz w:val="24"/>
          <w:szCs w:val="24"/>
        </w:rPr>
        <w:t xml:space="preserve"> 603 (8th ed., 2018)</w:t>
      </w:r>
      <w:r>
        <w:rPr>
          <w:rFonts w:asciiTheme="majorBidi" w:hAnsiTheme="majorBidi" w:cstheme="majorBidi"/>
          <w:sz w:val="24"/>
          <w:szCs w:val="24"/>
        </w:rPr>
        <w:t>)</w:t>
      </w:r>
      <w:r w:rsidRPr="00B24737">
        <w:rPr>
          <w:rFonts w:asciiTheme="majorBidi" w:hAnsiTheme="majorBidi" w:cstheme="majorBidi"/>
          <w:sz w:val="24"/>
          <w:szCs w:val="24"/>
        </w:rPr>
        <w:t xml:space="preserve">.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69. </w:t>
      </w:r>
      <w:r>
        <w:rPr>
          <w:rtl/>
        </w:rPr>
        <w:tab/>
      </w:r>
      <w:r>
        <w:rPr>
          <w:rFonts w:hint="cs"/>
          <w:rtl/>
        </w:rPr>
        <w:t xml:space="preserve">למעשה, הרחבת העיון המשווה שבו פתחתי ביחס להתפתחויות שחלו גם בשיטות משפט נוספות ששורשיהן במשפט האנגלי, מלמדת כי המבחן של הלכת </w:t>
      </w:r>
      <w:r w:rsidRPr="00D87434">
        <w:rPr>
          <w:rFonts w:ascii="Century" w:hAnsi="Century" w:cs="Miriam" w:hint="eastAsia"/>
          <w:b/>
          <w:spacing w:val="0"/>
          <w:szCs w:val="24"/>
          <w:rtl/>
        </w:rPr>
        <w:t>וו</w:t>
      </w:r>
      <w:r w:rsidRPr="00D87434">
        <w:rPr>
          <w:rFonts w:ascii="Century" w:hAnsi="Century" w:cs="Miriam" w:hint="cs"/>
          <w:b/>
          <w:spacing w:val="0"/>
          <w:szCs w:val="24"/>
          <w:rtl/>
        </w:rPr>
        <w:t>נד</w:t>
      </w:r>
      <w:r w:rsidRPr="00D87434">
        <w:rPr>
          <w:rFonts w:ascii="Century" w:hAnsi="Century" w:cs="Miriam" w:hint="eastAsia"/>
          <w:b/>
          <w:spacing w:val="0"/>
          <w:szCs w:val="24"/>
          <w:rtl/>
        </w:rPr>
        <w:t>סברי</w:t>
      </w:r>
      <w:r w:rsidRPr="00D87434">
        <w:rPr>
          <w:rFonts w:ascii="Century" w:hAnsi="Century" w:cs="Miriam" w:hint="cs"/>
          <w:b/>
          <w:spacing w:val="0"/>
          <w:szCs w:val="24"/>
          <w:rtl/>
        </w:rPr>
        <w:t xml:space="preserve"> </w:t>
      </w:r>
      <w:r>
        <w:rPr>
          <w:rFonts w:hint="cs"/>
          <w:rtl/>
        </w:rPr>
        <w:t xml:space="preserve">אינו משמש עוד כהנחת המוצא לדיון. גישת הרוב בפסק הדין המנחה שניתן על-ידי בית המשפט העליון של אוסטרליה בעניין </w:t>
      </w:r>
      <w:r w:rsidRPr="00337DB2">
        <w:rPr>
          <w:rFonts w:asciiTheme="majorBidi" w:hAnsiTheme="majorBidi" w:cstheme="majorBidi"/>
          <w:sz w:val="24"/>
          <w:szCs w:val="24"/>
        </w:rPr>
        <w:t>Li</w:t>
      </w:r>
      <w:r w:rsidRPr="003565DD">
        <w:rPr>
          <w:rFonts w:hint="cs"/>
          <w:i/>
          <w:iCs/>
          <w:rtl/>
        </w:rPr>
        <w:t xml:space="preserve"> </w:t>
      </w:r>
      <w:r>
        <w:rPr>
          <w:rFonts w:hint="cs"/>
          <w:rtl/>
        </w:rPr>
        <w:t xml:space="preserve">הלכה כברת דרך מעבר להלכת </w:t>
      </w:r>
      <w:r w:rsidRPr="00D87434">
        <w:rPr>
          <w:rFonts w:ascii="Century" w:hAnsi="Century" w:cs="Miriam" w:hint="eastAsia"/>
          <w:b/>
          <w:spacing w:val="0"/>
          <w:szCs w:val="24"/>
          <w:rtl/>
        </w:rPr>
        <w:t>וו</w:t>
      </w:r>
      <w:r w:rsidRPr="00D87434">
        <w:rPr>
          <w:rFonts w:ascii="Century" w:hAnsi="Century" w:cs="Miriam" w:hint="cs"/>
          <w:b/>
          <w:spacing w:val="0"/>
          <w:szCs w:val="24"/>
          <w:rtl/>
        </w:rPr>
        <w:t>נד</w:t>
      </w:r>
      <w:r w:rsidRPr="00D87434">
        <w:rPr>
          <w:rFonts w:ascii="Century" w:hAnsi="Century" w:cs="Miriam" w:hint="eastAsia"/>
          <w:b/>
          <w:spacing w:val="0"/>
          <w:szCs w:val="24"/>
          <w:rtl/>
        </w:rPr>
        <w:t>סברי</w:t>
      </w:r>
      <w:r>
        <w:rPr>
          <w:rFonts w:hint="cs"/>
          <w:rtl/>
        </w:rPr>
        <w:t xml:space="preserve"> לעבר גישה הבוחנת חריגה לא ראויה מן המשקל שניתן לשיקולים שביסוד ההחלטה. די יהיה בכך שאביא משפט אחד מחוות הדעת המרכזית שניתנה בעניין </w:t>
      </w:r>
      <w:r w:rsidRPr="00337DB2">
        <w:rPr>
          <w:rFonts w:asciiTheme="majorBidi" w:hAnsiTheme="majorBidi" w:cstheme="majorBidi"/>
          <w:sz w:val="24"/>
          <w:szCs w:val="24"/>
        </w:rPr>
        <w:t>Li</w:t>
      </w:r>
      <w:r w:rsidRPr="005F5120">
        <w:rPr>
          <w:rFonts w:hint="cs"/>
          <w:sz w:val="24"/>
          <w:szCs w:val="24"/>
          <w:rtl/>
        </w:rPr>
        <w:t xml:space="preserve"> </w:t>
      </w:r>
      <w:r>
        <w:rPr>
          <w:rFonts w:hint="cs"/>
          <w:rtl/>
        </w:rPr>
        <w:t>(בפסקה 68 שלה) בזו הלשון</w:t>
      </w:r>
      <w:r w:rsidRPr="005F5120">
        <w:rPr>
          <w:rFonts w:asciiTheme="majorBidi" w:hAnsiTheme="majorBidi" w:cstheme="majorBidi"/>
          <w:sz w:val="24"/>
          <w:szCs w:val="24"/>
          <w:rtl/>
        </w:rPr>
        <w:t>:</w:t>
      </w:r>
      <w:r w:rsidRPr="005F5120">
        <w:rPr>
          <w:rFonts w:asciiTheme="majorBidi" w:hAnsiTheme="majorBidi" w:cstheme="majorBidi"/>
          <w:sz w:val="24"/>
          <w:szCs w:val="24"/>
        </w:rPr>
        <w:t xml:space="preserve">"Wednesbury is not the starting point for the </w:t>
      </w:r>
      <w:r w:rsidRPr="005F5120">
        <w:rPr>
          <w:rFonts w:asciiTheme="majorBidi" w:hAnsiTheme="majorBidi" w:cstheme="majorBidi"/>
          <w:sz w:val="24"/>
          <w:szCs w:val="24"/>
        </w:rPr>
        <w:lastRenderedPageBreak/>
        <w:t>standard of reasonableness, nor should it be considered the end point"</w:t>
      </w:r>
      <w:r>
        <w:rPr>
          <w:rFonts w:hint="cs"/>
          <w:rtl/>
        </w:rPr>
        <w:t xml:space="preserve">. גם הפסיקה הקנדית, ניתקה זה מכבר את "חבל הטבור" שלה מעמדתו המסורתית של המשפט האנגלי, כפי שעולה גם מעניין </w:t>
      </w:r>
      <w:r w:rsidRPr="00337DB2">
        <w:rPr>
          <w:rFonts w:asciiTheme="majorBidi" w:hAnsiTheme="majorBidi" w:cstheme="majorBidi"/>
          <w:sz w:val="24"/>
          <w:szCs w:val="24"/>
        </w:rPr>
        <w:t>Vavilov</w:t>
      </w:r>
      <w:r>
        <w:rPr>
          <w:rFonts w:hint="cs"/>
          <w:rtl/>
        </w:rPr>
        <w:t xml:space="preserve"> שכבר נזכר. אין אפוא, בשלב הנוכחי, כל בסיס לראות בהלכת </w:t>
      </w:r>
      <w:r w:rsidRPr="00D87434">
        <w:rPr>
          <w:rFonts w:ascii="Century" w:hAnsi="Century" w:cs="Miriam" w:hint="eastAsia"/>
          <w:b/>
          <w:spacing w:val="0"/>
          <w:szCs w:val="24"/>
          <w:rtl/>
        </w:rPr>
        <w:t>וו</w:t>
      </w:r>
      <w:r w:rsidRPr="00D87434">
        <w:rPr>
          <w:rFonts w:ascii="Century" w:hAnsi="Century" w:cs="Miriam" w:hint="cs"/>
          <w:b/>
          <w:spacing w:val="0"/>
          <w:szCs w:val="24"/>
          <w:rtl/>
        </w:rPr>
        <w:t>נד</w:t>
      </w:r>
      <w:r w:rsidRPr="00D87434">
        <w:rPr>
          <w:rFonts w:ascii="Century" w:hAnsi="Century" w:cs="Miriam" w:hint="eastAsia"/>
          <w:b/>
          <w:spacing w:val="0"/>
          <w:szCs w:val="24"/>
          <w:rtl/>
        </w:rPr>
        <w:t>סברי</w:t>
      </w:r>
      <w:r>
        <w:rPr>
          <w:rFonts w:hint="cs"/>
          <w:rtl/>
        </w:rPr>
        <w:t xml:space="preserve"> המוקדמת "סטנדרט זהב" שיש להעלות על נס. יש התומכים בה, ויש המתנגדים לה. אסתפק בכך שאזכיר כי הקריאה לנטוש הלכה זו תוארה בספרות המשפטית כקריאה ל-</w:t>
      </w:r>
      <w:r w:rsidRPr="00457F7B">
        <w:rPr>
          <w:rFonts w:asciiTheme="majorBidi" w:hAnsiTheme="majorBidi" w:cstheme="majorBidi"/>
          <w:sz w:val="24"/>
          <w:szCs w:val="24"/>
        </w:rPr>
        <w:t>Wednesburia</w:t>
      </w:r>
      <w:r>
        <w:t>l</w:t>
      </w:r>
      <w:r>
        <w:rPr>
          <w:rFonts w:hint="cs"/>
          <w:rtl/>
        </w:rPr>
        <w:t xml:space="preserve"> (ראו: </w:t>
      </w:r>
      <w:r w:rsidRPr="00457F7B">
        <w:rPr>
          <w:rFonts w:asciiTheme="majorBidi" w:hAnsiTheme="majorBidi" w:cstheme="majorBidi"/>
          <w:sz w:val="24"/>
          <w:szCs w:val="24"/>
        </w:rPr>
        <w:t xml:space="preserve">Rodney Harrison, </w:t>
      </w:r>
      <w:r w:rsidRPr="00457F7B">
        <w:rPr>
          <w:rFonts w:asciiTheme="majorBidi" w:hAnsiTheme="majorBidi" w:cstheme="majorBidi"/>
          <w:i/>
          <w:iCs/>
          <w:sz w:val="24"/>
          <w:szCs w:val="24"/>
        </w:rPr>
        <w:t>The New Public Law: A New Zealand Perspective</w:t>
      </w:r>
      <w:r w:rsidRPr="00457F7B">
        <w:rPr>
          <w:rFonts w:asciiTheme="majorBidi" w:hAnsiTheme="majorBidi" w:cstheme="majorBidi"/>
          <w:sz w:val="24"/>
          <w:szCs w:val="24"/>
        </w:rPr>
        <w:t xml:space="preserve">, 14 </w:t>
      </w:r>
      <w:r w:rsidRPr="00457F7B">
        <w:rPr>
          <w:rFonts w:asciiTheme="majorBidi" w:hAnsiTheme="majorBidi" w:cstheme="majorBidi"/>
          <w:smallCaps/>
          <w:sz w:val="24"/>
          <w:szCs w:val="24"/>
        </w:rPr>
        <w:t>Pub. L. Rev.</w:t>
      </w:r>
      <w:r w:rsidRPr="00457F7B">
        <w:rPr>
          <w:rFonts w:asciiTheme="majorBidi" w:hAnsiTheme="majorBidi" w:cstheme="majorBidi"/>
          <w:sz w:val="24"/>
          <w:szCs w:val="24"/>
        </w:rPr>
        <w:t xml:space="preserve"> 41 (2003)</w:t>
      </w:r>
      <w:r>
        <w:rPr>
          <w:rFonts w:hint="cs"/>
          <w:rtl/>
        </w:rPr>
        <w:t>).</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70. </w:t>
      </w:r>
      <w:r>
        <w:rPr>
          <w:rtl/>
        </w:rPr>
        <w:tab/>
      </w:r>
      <w:r>
        <w:rPr>
          <w:rFonts w:hint="cs"/>
          <w:rtl/>
        </w:rPr>
        <w:t xml:space="preserve">וממדינות הים </w:t>
      </w:r>
      <w:r>
        <w:rPr>
          <w:rtl/>
        </w:rPr>
        <w:t>–</w:t>
      </w:r>
      <w:r>
        <w:rPr>
          <w:rFonts w:hint="cs"/>
          <w:rtl/>
        </w:rPr>
        <w:t xml:space="preserve"> בחזרה לשיטתנו המשפטית. כבר בשנותיו הראשונות של המשפט הישראלי אימץ בית משפט זה את התפיסה הגורסת כי אין הוא מחויב לפרטי הדין באנגליה. כדברי השופט </w:t>
      </w:r>
      <w:r w:rsidRPr="00D87434">
        <w:rPr>
          <w:rFonts w:ascii="Century" w:hAnsi="Century" w:cs="Miriam"/>
          <w:b/>
          <w:spacing w:val="0"/>
          <w:szCs w:val="24"/>
          <w:rtl/>
        </w:rPr>
        <w:t>צ' ברנזון</w:t>
      </w:r>
      <w:r w:rsidRPr="00D87434">
        <w:rPr>
          <w:rFonts w:hint="cs"/>
          <w:rtl/>
        </w:rPr>
        <w:t xml:space="preserve"> </w:t>
      </w:r>
      <w:r>
        <w:rPr>
          <w:rFonts w:hint="cs"/>
          <w:rtl/>
        </w:rPr>
        <w:t xml:space="preserve">בעניין </w:t>
      </w:r>
      <w:r w:rsidRPr="00D87434">
        <w:rPr>
          <w:rFonts w:ascii="Century" w:hAnsi="Century" w:cs="Miriam"/>
          <w:b/>
          <w:spacing w:val="0"/>
          <w:szCs w:val="24"/>
          <w:rtl/>
        </w:rPr>
        <w:t>טרודלר</w:t>
      </w:r>
      <w:r>
        <w:rPr>
          <w:rFonts w:hint="cs"/>
          <w:rtl/>
        </w:rPr>
        <w:t xml:space="preserve">: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5"/>
        <w:rPr>
          <w:rtl/>
        </w:rPr>
      </w:pPr>
      <w:r w:rsidRPr="00640FF1">
        <w:rPr>
          <w:rFonts w:hint="cs"/>
          <w:rtl/>
        </w:rPr>
        <w:t xml:space="preserve">"מעולם לא היינו חייבים לנהוג לפי הכללים הנהוגים באנגליה לגבי מתן תרופות פרירוגטיביות וגם לא נהגנו כך... ואם בעבר, אף בידענו את המעיין ממנו שאב החוק המקומי את מימיו, לא ראינו את עצמנו כפותים להלכה האנגלית ביחס לתרופות אלו, עכשיו שהחוק שיחרר אותנו מכבלי התקדים המחייב גם של הלכה פסוקה שלנו </w:t>
      </w:r>
      <w:r w:rsidRPr="00640FF1">
        <w:rPr>
          <w:rtl/>
        </w:rPr>
        <w:t>–</w:t>
      </w:r>
      <w:r w:rsidRPr="00640FF1">
        <w:rPr>
          <w:rFonts w:hint="cs"/>
          <w:rtl/>
        </w:rPr>
        <w:t xml:space="preserve"> לא כל שכן" (</w:t>
      </w:r>
      <w:r w:rsidRPr="00D87434">
        <w:rPr>
          <w:rFonts w:ascii="Century" w:hAnsi="Century" w:cs="Miriam" w:hint="cs"/>
          <w:b/>
          <w:spacing w:val="0"/>
          <w:szCs w:val="24"/>
          <w:rtl/>
        </w:rPr>
        <w:t>שם</w:t>
      </w:r>
      <w:r w:rsidRPr="00640FF1">
        <w:rPr>
          <w:rFonts w:hint="cs"/>
          <w:rtl/>
        </w:rPr>
        <w:t>, בעמ' 2513</w:t>
      </w:r>
      <w:r>
        <w:rPr>
          <w:rFonts w:hint="cs"/>
          <w:rtl/>
        </w:rPr>
        <w:t>).</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71. </w:t>
      </w:r>
      <w:r>
        <w:rPr>
          <w:rFonts w:hint="cs"/>
          <w:rtl/>
        </w:rPr>
        <w:tab/>
        <w:t xml:space="preserve">למעשה, עיון בהיסטוריה של המשפט הישראלי מלמד כי דווקא בתחום המשפט המינהלי, ההלכות שנפסקו בבית המשפט העליון הישראלי בראשית דרכו, על בסיס פיתוח עקרונות שנשאבו מן המשפט המינהלי האנגלי, "ניבאו" או הקדימו התפתחויות שחלו זמן קצר לאחר מכן באנגליה עצמה, על בסיס אותם עקרונות (באופן כללי, ראו: </w:t>
      </w:r>
      <w:r w:rsidRPr="00D1755C">
        <w:rPr>
          <w:rFonts w:asciiTheme="majorBidi" w:hAnsiTheme="majorBidi" w:cstheme="majorBidi"/>
          <w:sz w:val="24"/>
          <w:szCs w:val="24"/>
        </w:rPr>
        <w:t xml:space="preserve">Daphne Barak-Erez, </w:t>
      </w:r>
      <w:r w:rsidRPr="00D1755C">
        <w:rPr>
          <w:rFonts w:asciiTheme="majorBidi" w:hAnsiTheme="majorBidi" w:cstheme="majorBidi"/>
          <w:i/>
          <w:iCs/>
          <w:sz w:val="24"/>
          <w:szCs w:val="24"/>
        </w:rPr>
        <w:t>Israeli Administrative Law and the Quartet – One Step Ahead</w:t>
      </w:r>
      <w:r>
        <w:rPr>
          <w:rFonts w:asciiTheme="majorBidi" w:hAnsiTheme="majorBidi" w:cstheme="majorBidi"/>
          <w:sz w:val="24"/>
          <w:szCs w:val="24"/>
        </w:rPr>
        <w:t xml:space="preserve"> </w:t>
      </w:r>
      <w:r w:rsidRPr="00471A80">
        <w:rPr>
          <w:rFonts w:asciiTheme="majorBidi" w:hAnsiTheme="majorBidi" w:cstheme="majorBidi"/>
          <w:i/>
          <w:iCs/>
          <w:sz w:val="24"/>
          <w:szCs w:val="24"/>
        </w:rPr>
        <w:t>in</w:t>
      </w:r>
      <w:r w:rsidRPr="00D1755C">
        <w:rPr>
          <w:rFonts w:asciiTheme="majorBidi" w:hAnsiTheme="majorBidi" w:cstheme="majorBidi"/>
          <w:sz w:val="24"/>
          <w:szCs w:val="24"/>
        </w:rPr>
        <w:t xml:space="preserve"> </w:t>
      </w:r>
      <w:r w:rsidRPr="00D1755C">
        <w:rPr>
          <w:rFonts w:asciiTheme="majorBidi" w:hAnsiTheme="majorBidi" w:cstheme="majorBidi"/>
          <w:smallCaps/>
          <w:sz w:val="24"/>
          <w:szCs w:val="24"/>
        </w:rPr>
        <w:t>Executive Decision-Making and the Courts – Revisiting the Origins of Modern Judicial Review</w:t>
      </w:r>
      <w:r w:rsidRPr="00D1755C">
        <w:rPr>
          <w:rFonts w:asciiTheme="majorBidi" w:hAnsiTheme="majorBidi" w:cstheme="majorBidi"/>
          <w:sz w:val="24"/>
          <w:szCs w:val="24"/>
        </w:rPr>
        <w:t xml:space="preserve"> 281 (T.T. Arvind</w:t>
      </w:r>
      <w:r>
        <w:rPr>
          <w:rFonts w:asciiTheme="majorBidi" w:hAnsiTheme="majorBidi" w:cstheme="majorBidi"/>
          <w:sz w:val="24"/>
          <w:szCs w:val="24"/>
        </w:rPr>
        <w:t xml:space="preserve"> et al. eds.,</w:t>
      </w:r>
      <w:r w:rsidRPr="00D1755C">
        <w:rPr>
          <w:rFonts w:asciiTheme="majorBidi" w:hAnsiTheme="majorBidi" w:cstheme="majorBidi"/>
          <w:sz w:val="24"/>
          <w:szCs w:val="24"/>
        </w:rPr>
        <w:t xml:space="preserve"> 2021)</w:t>
      </w:r>
      <w:r>
        <w:rPr>
          <w:rFonts w:hint="cs"/>
          <w:rtl/>
        </w:rPr>
        <w:t xml:space="preserve">; דפנה ברק-ארז "'הקוורטט' העברי </w:t>
      </w:r>
      <w:r>
        <w:rPr>
          <w:rtl/>
        </w:rPr>
        <w:t>–</w:t>
      </w:r>
      <w:r>
        <w:rPr>
          <w:rFonts w:hint="cs"/>
          <w:rtl/>
        </w:rPr>
        <w:t xml:space="preserve"> כך הקדים המשפט המנהלי בישראל את זמנו" </w:t>
      </w:r>
      <w:r w:rsidRPr="00D87434">
        <w:rPr>
          <w:rFonts w:ascii="Century" w:hAnsi="Century" w:cs="Miriam"/>
          <w:b/>
          <w:spacing w:val="0"/>
          <w:szCs w:val="24"/>
          <w:rtl/>
        </w:rPr>
        <w:t>משפט ועסקים</w:t>
      </w:r>
      <w:r>
        <w:rPr>
          <w:rFonts w:hint="cs"/>
          <w:rtl/>
        </w:rPr>
        <w:t xml:space="preserve"> כ"ו (צפוי להתפרסם ב-2024)). ואמנם, כפי שהראיתי לעיל, העמדה הגורסת כי עילת הסבירות משקפת את החובה לאזן בין שיקולים רלוונטיים, שאומצה בעניין </w:t>
      </w:r>
      <w:r w:rsidRPr="00D87434">
        <w:rPr>
          <w:rFonts w:ascii="Century" w:hAnsi="Century" w:cs="Miriam" w:hint="cs"/>
          <w:b/>
          <w:spacing w:val="0"/>
          <w:szCs w:val="24"/>
          <w:rtl/>
        </w:rPr>
        <w:t>דפי זהב</w:t>
      </w:r>
      <w:r>
        <w:rPr>
          <w:rFonts w:hint="cs"/>
          <w:rtl/>
        </w:rPr>
        <w:t>, משקפת כיום גם גישות מרכזיות במשפט המינהלי האנגלי.</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72. </w:t>
      </w:r>
      <w:r>
        <w:rPr>
          <w:rFonts w:hint="cs"/>
          <w:rtl/>
        </w:rPr>
        <w:tab/>
        <w:t xml:space="preserve">החזרה להלכה האנגלית בעניין </w:t>
      </w:r>
      <w:r w:rsidRPr="00D87434">
        <w:rPr>
          <w:rFonts w:ascii="Century" w:hAnsi="Century" w:cs="Miriam" w:hint="cs"/>
          <w:b/>
          <w:spacing w:val="0"/>
          <w:szCs w:val="24"/>
          <w:rtl/>
        </w:rPr>
        <w:t>וונדסברי</w:t>
      </w:r>
      <w:r>
        <w:rPr>
          <w:rFonts w:hint="cs"/>
          <w:rtl/>
        </w:rPr>
        <w:t xml:space="preserve"> כאבן בוחן שאמורה להנחות אותנו כעת היא מוקשית במיוחד גם בשים לב לכך, שאף בשנותיו המוקדמות של המשפט הישראלי תקדים זה אוזכר בפסיקה פעמים בודדות בלבד, ככל הנראה פעמיים בלבד עובר לפסק הדין בעניין </w:t>
      </w:r>
      <w:r w:rsidRPr="00D87434">
        <w:rPr>
          <w:rFonts w:ascii="Century" w:hAnsi="Century" w:cs="Miriam" w:hint="eastAsia"/>
          <w:b/>
          <w:spacing w:val="0"/>
          <w:szCs w:val="24"/>
          <w:rtl/>
        </w:rPr>
        <w:t>דפי</w:t>
      </w:r>
      <w:r w:rsidRPr="00D87434">
        <w:rPr>
          <w:rFonts w:ascii="Century" w:hAnsi="Century" w:cs="Miriam"/>
          <w:b/>
          <w:spacing w:val="0"/>
          <w:szCs w:val="24"/>
          <w:rtl/>
        </w:rPr>
        <w:t xml:space="preserve"> </w:t>
      </w:r>
      <w:r w:rsidRPr="00D87434">
        <w:rPr>
          <w:rFonts w:ascii="Century" w:hAnsi="Century" w:cs="Miriam" w:hint="eastAsia"/>
          <w:b/>
          <w:spacing w:val="0"/>
          <w:szCs w:val="24"/>
          <w:rtl/>
        </w:rPr>
        <w:t>זהב</w:t>
      </w:r>
      <w:r w:rsidRPr="00D87434">
        <w:rPr>
          <w:rFonts w:hint="cs"/>
          <w:rtl/>
        </w:rPr>
        <w:t xml:space="preserve"> </w:t>
      </w:r>
      <w:r>
        <w:rPr>
          <w:rFonts w:hint="cs"/>
          <w:rtl/>
        </w:rPr>
        <w:t xml:space="preserve">(ראו: מרגית כהן "עילת אי-הסבירות במשפט המנהלי: היבטים </w:t>
      </w:r>
      <w:r>
        <w:rPr>
          <w:rFonts w:hint="cs"/>
          <w:rtl/>
        </w:rPr>
        <w:lastRenderedPageBreak/>
        <w:t xml:space="preserve">השוואתיים והערות נורמטיביות אחדות" </w:t>
      </w:r>
      <w:r w:rsidRPr="00D87434">
        <w:rPr>
          <w:rFonts w:ascii="Century" w:hAnsi="Century" w:cs="Miriam" w:hint="cs"/>
          <w:b/>
          <w:spacing w:val="0"/>
          <w:szCs w:val="24"/>
          <w:rtl/>
        </w:rPr>
        <w:t>ספר אור: קובץ מאמרים לכבודו של השופט תיאודור אור</w:t>
      </w:r>
      <w:r>
        <w:rPr>
          <w:rFonts w:ascii="Century" w:hAnsi="Century" w:cs="Miriam" w:hint="cs"/>
          <w:b/>
          <w:szCs w:val="24"/>
          <w:rtl/>
        </w:rPr>
        <w:t xml:space="preserve"> </w:t>
      </w:r>
      <w:r>
        <w:rPr>
          <w:rFonts w:ascii="Century" w:hAnsi="Century" w:hint="cs"/>
          <w:rtl/>
        </w:rPr>
        <w:t>773, 793 (</w:t>
      </w:r>
      <w:r w:rsidRPr="008A21C8">
        <w:rPr>
          <w:rFonts w:ascii="Century" w:hAnsi="Century" w:hint="eastAsia"/>
          <w:rtl/>
        </w:rPr>
        <w:t>אהרן</w:t>
      </w:r>
      <w:r w:rsidRPr="008A21C8">
        <w:rPr>
          <w:rFonts w:ascii="Century" w:hAnsi="Century"/>
          <w:rtl/>
        </w:rPr>
        <w:t xml:space="preserve"> </w:t>
      </w:r>
      <w:r w:rsidRPr="008A21C8">
        <w:rPr>
          <w:rFonts w:ascii="Century" w:hAnsi="Century" w:hint="eastAsia"/>
          <w:rtl/>
        </w:rPr>
        <w:t>ברק</w:t>
      </w:r>
      <w:r>
        <w:rPr>
          <w:rFonts w:ascii="Century" w:hAnsi="Century" w:hint="cs"/>
          <w:rtl/>
        </w:rPr>
        <w:t xml:space="preserve"> ואח'</w:t>
      </w:r>
      <w:r w:rsidRPr="008A21C8">
        <w:rPr>
          <w:rFonts w:ascii="Century" w:hAnsi="Century"/>
          <w:rtl/>
        </w:rPr>
        <w:t xml:space="preserve"> </w:t>
      </w:r>
      <w:r w:rsidRPr="008A21C8">
        <w:rPr>
          <w:rFonts w:ascii="Century" w:hAnsi="Century" w:hint="eastAsia"/>
          <w:rtl/>
        </w:rPr>
        <w:t>עורכים</w:t>
      </w:r>
      <w:r w:rsidRPr="008A21C8">
        <w:rPr>
          <w:rFonts w:ascii="Century" w:hAnsi="Century"/>
          <w:rtl/>
        </w:rPr>
        <w:t xml:space="preserve"> 2013)</w:t>
      </w:r>
      <w:r>
        <w:rPr>
          <w:rFonts w:hint="cs"/>
          <w:rtl/>
        </w:rPr>
        <w:t xml:space="preserve">). על כך יש להוסיף, כ"עדות" לתפיסה המשפטית שהחלה להכות שורשים שנים רבות לפני הפסיקה בעניין </w:t>
      </w:r>
      <w:r w:rsidRPr="00D87434">
        <w:rPr>
          <w:rFonts w:ascii="Century" w:hAnsi="Century" w:cs="Miriam" w:hint="eastAsia"/>
          <w:b/>
          <w:spacing w:val="0"/>
          <w:szCs w:val="24"/>
          <w:rtl/>
        </w:rPr>
        <w:t>דפי</w:t>
      </w:r>
      <w:r w:rsidRPr="00D87434">
        <w:rPr>
          <w:rFonts w:ascii="Century" w:hAnsi="Century" w:cs="Miriam"/>
          <w:b/>
          <w:spacing w:val="0"/>
          <w:szCs w:val="24"/>
          <w:rtl/>
        </w:rPr>
        <w:t xml:space="preserve"> </w:t>
      </w:r>
      <w:r w:rsidRPr="00D87434">
        <w:rPr>
          <w:rFonts w:ascii="Century" w:hAnsi="Century" w:cs="Miriam" w:hint="eastAsia"/>
          <w:b/>
          <w:spacing w:val="0"/>
          <w:szCs w:val="24"/>
          <w:rtl/>
        </w:rPr>
        <w:t>זהב</w:t>
      </w:r>
      <w:r>
        <w:rPr>
          <w:rFonts w:hint="cs"/>
          <w:rtl/>
        </w:rPr>
        <w:t>, כי בהרצאותיו בקורס היסוד "משפט מינהלי" כבר בשנות הששים של המאה הקודמת, הדגיש פרופ' יצחק זמיר לתלמידיו כי עילת הסבירות מושתתת על הפרת האיזון בין השיקולים שעל הרשות המינהלית לשקול בטרם קבלת החלטתה (</w:t>
      </w:r>
      <w:r w:rsidRPr="00D87434">
        <w:rPr>
          <w:rFonts w:ascii="Century" w:hAnsi="Century" w:cs="Miriam" w:hint="eastAsia"/>
          <w:b/>
          <w:spacing w:val="0"/>
          <w:szCs w:val="24"/>
          <w:rtl/>
        </w:rPr>
        <w:t>שם</w:t>
      </w:r>
      <w:r>
        <w:rPr>
          <w:rFonts w:hint="cs"/>
          <w:rtl/>
        </w:rPr>
        <w:t xml:space="preserve">, בעמ' 796-795). אם כן, הטענה לפיה יש להשיב את המשפט הישראלי אחור לנקודת הזמן שקדמה לפסק הדין בעניין </w:t>
      </w:r>
      <w:r w:rsidRPr="00DD73F9">
        <w:rPr>
          <w:rFonts w:ascii="Century" w:hAnsi="Century" w:cs="Miriam" w:hint="cs"/>
          <w:b/>
          <w:szCs w:val="24"/>
          <w:rtl/>
        </w:rPr>
        <w:t>דפי זהב</w:t>
      </w:r>
      <w:r w:rsidRPr="00DD73F9">
        <w:rPr>
          <w:rFonts w:hint="cs"/>
          <w:rtl/>
        </w:rPr>
        <w:t xml:space="preserve"> </w:t>
      </w:r>
      <w:r>
        <w:rPr>
          <w:rFonts w:hint="cs"/>
          <w:rtl/>
        </w:rPr>
        <w:t>היא טענה המבקשת לחזור לעבר אבוד שהוא יותר בגדר מיתוס.</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73. </w:t>
      </w:r>
      <w:r>
        <w:rPr>
          <w:rFonts w:hint="cs"/>
          <w:rtl/>
        </w:rPr>
        <w:tab/>
        <w:t xml:space="preserve">ככל שפנינו לדיון השוואתי בתיקון מס' 3, חשוב להטעים נקודה עקרונית נוספת. אפילו הלכת </w:t>
      </w:r>
      <w:r w:rsidRPr="00D87434">
        <w:rPr>
          <w:rFonts w:ascii="Century" w:hAnsi="Century" w:cs="Miriam" w:hint="eastAsia"/>
          <w:b/>
          <w:spacing w:val="0"/>
          <w:szCs w:val="24"/>
          <w:rtl/>
        </w:rPr>
        <w:t>וו</w:t>
      </w:r>
      <w:r w:rsidRPr="00D87434">
        <w:rPr>
          <w:rFonts w:ascii="Century" w:hAnsi="Century" w:cs="Miriam" w:hint="cs"/>
          <w:b/>
          <w:spacing w:val="0"/>
          <w:szCs w:val="24"/>
          <w:rtl/>
        </w:rPr>
        <w:t>נד</w:t>
      </w:r>
      <w:r w:rsidRPr="00D87434">
        <w:rPr>
          <w:rFonts w:ascii="Century" w:hAnsi="Century" w:cs="Miriam" w:hint="eastAsia"/>
          <w:b/>
          <w:spacing w:val="0"/>
          <w:szCs w:val="24"/>
          <w:rtl/>
        </w:rPr>
        <w:t>סברי</w:t>
      </w:r>
      <w:r>
        <w:rPr>
          <w:rFonts w:hint="cs"/>
          <w:rtl/>
        </w:rPr>
        <w:t xml:space="preserve"> הייתה מוסיפה לשלוט בכיפה במשפט האנגלי </w:t>
      </w:r>
      <w:r>
        <w:rPr>
          <w:rtl/>
        </w:rPr>
        <w:t>–</w:t>
      </w:r>
      <w:r>
        <w:rPr>
          <w:rFonts w:hint="cs"/>
          <w:rtl/>
        </w:rPr>
        <w:t xml:space="preserve"> וכאמור, אינני סבורה שאלה הם פני הדברים </w:t>
      </w:r>
      <w:r>
        <w:rPr>
          <w:rtl/>
        </w:rPr>
        <w:t>–</w:t>
      </w:r>
      <w:r>
        <w:rPr>
          <w:rFonts w:hint="cs"/>
          <w:rtl/>
        </w:rPr>
        <w:t xml:space="preserve"> השוואת השימוש בעילת הסבירות במשפט הישראלי לשימוש בה בשיטות משפט אחרות אינה יכולה להיעשות באופן נטול הקשר. בהקשר הישראלי עילת הסבירות משמשת כלי חשוב במסגרת מערך האיזון בין שלוש רשויות השלטון. ביסודם של דברים, הרשות החזקה מבין השלוש היא הרשות המבצעת. לה נתונות סמכויות ביצוע ואכיפה. היא השולטת בהוצאות מתקציב המדינה. לכאורה, היא כפופה לביקורת פרלמנטרית. אולם, בישראל, בהינתן קרבת האינטרסים בין הממשלה לבין הרוב הקואליציוני בכנסת, הביקורת הממשית היחידה על החלטות המתקבלות על-ידי הממשלה ושריה היא הביקורת השיפוטית. חסימתה של ביקורת זו ביחס לאחת מעילות הביקורת המרכזיות של המשפט המינהלי משמעותה נגיסה משמעותית באפשרות לבקר את הממשלה ושריה, כאשר להחלטותיהם יש השפעה גדולה על אנשים ועל מהלך חייהם.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74.</w:t>
      </w:r>
      <w:r>
        <w:rPr>
          <w:rFonts w:hint="cs"/>
          <w:rtl/>
        </w:rPr>
        <w:tab/>
        <w:t xml:space="preserve">על כך יש להוסיף, כי במדינת ישראל, כפי שהיטיבו לציין חבריי הנשיאה (בדימ') </w:t>
      </w:r>
      <w:r w:rsidRPr="00D87434">
        <w:rPr>
          <w:rFonts w:ascii="Century" w:hAnsi="Century" w:cs="Miriam" w:hint="cs"/>
          <w:b/>
          <w:spacing w:val="0"/>
          <w:szCs w:val="24"/>
          <w:rtl/>
        </w:rPr>
        <w:t>חיות</w:t>
      </w:r>
      <w:r>
        <w:rPr>
          <w:rFonts w:hint="cs"/>
          <w:rtl/>
        </w:rPr>
        <w:t xml:space="preserve"> והשופט </w:t>
      </w:r>
      <w:r w:rsidRPr="00D87434">
        <w:rPr>
          <w:rFonts w:ascii="Century" w:hAnsi="Century" w:cs="Miriam" w:hint="cs"/>
          <w:b/>
          <w:spacing w:val="0"/>
          <w:szCs w:val="24"/>
          <w:rtl/>
        </w:rPr>
        <w:t>י' עמית</w:t>
      </w:r>
      <w:r>
        <w:rPr>
          <w:rFonts w:hint="cs"/>
          <w:rtl/>
        </w:rPr>
        <w:t>, כוחה העודף של הממשלה הוא רב במיוחד, על רקע העדרם של מנגנוני ביקורת אפקטיביים. במדינת ישראל לא פועלים שני בתי פרלמנט, אלא פרלמנט אחד בלבד, הכנסת, ששליטתה של הרשות המבצעת בו היא רבה. במדינת ישראל אין חוקה שלמה, והיא אף אינה כפופה להסדרים משפטיים אזוריים, כדוגמת האמנה האירופית לזכויות אדם. לפיכך, אני סבורה שיש קושי עצום בצמצום מקומה של הביקורת השיפוטית, תוך השוואה לשיטות שבהן קיימים מנגנוני ביקורת חשובים אחרים על הרשות המבצעת. לא בכדי מלומדי המשפט העוסקים בתחום המשפט ההשוואתי חזרו והתריעו מפני התופעה של השוואת הסדרים קונקרטיים זה לזה, מבלי להתייחס להקשר הרחב שבו הם נטועים. למעשה,</w:t>
      </w:r>
      <w:r>
        <w:rPr>
          <w:rFonts w:hint="cs"/>
        </w:rPr>
        <w:t xml:space="preserve"> </w:t>
      </w:r>
      <w:r>
        <w:rPr>
          <w:rFonts w:hint="cs"/>
          <w:rtl/>
        </w:rPr>
        <w:t xml:space="preserve">"ליקוט" של הסדרים משפטיים ממדינות שונות ו"חיבורם" זה לזה ללא הקשר אף זכה לכינוי רב המשמעות </w:t>
      </w:r>
      <w:r w:rsidRPr="00081D6E">
        <w:rPr>
          <w:rFonts w:asciiTheme="majorBidi" w:hAnsiTheme="majorBidi" w:cstheme="majorBidi"/>
          <w:sz w:val="24"/>
          <w:szCs w:val="24"/>
        </w:rPr>
        <w:t>"Frankenstate"</w:t>
      </w:r>
      <w:r w:rsidRPr="00081D6E">
        <w:rPr>
          <w:rFonts w:hint="cs"/>
          <w:sz w:val="24"/>
          <w:szCs w:val="24"/>
          <w:rtl/>
        </w:rPr>
        <w:t xml:space="preserve"> </w:t>
      </w:r>
      <w:r>
        <w:rPr>
          <w:rFonts w:hint="cs"/>
          <w:rtl/>
        </w:rPr>
        <w:t xml:space="preserve">(ראו: </w:t>
      </w:r>
      <w:r w:rsidRPr="00B04475">
        <w:rPr>
          <w:rFonts w:asciiTheme="majorBidi" w:hAnsiTheme="majorBidi" w:cstheme="majorBidi"/>
          <w:spacing w:val="4"/>
          <w:sz w:val="24"/>
          <w:szCs w:val="24"/>
        </w:rPr>
        <w:t xml:space="preserve">Kim </w:t>
      </w:r>
      <w:r w:rsidRPr="00B04475">
        <w:rPr>
          <w:rFonts w:asciiTheme="majorBidi" w:hAnsiTheme="majorBidi" w:cstheme="majorBidi"/>
          <w:spacing w:val="4"/>
          <w:sz w:val="24"/>
          <w:szCs w:val="24"/>
        </w:rPr>
        <w:lastRenderedPageBreak/>
        <w:t>Lane Scheppele, </w:t>
      </w:r>
      <w:r w:rsidRPr="00B04475">
        <w:rPr>
          <w:rFonts w:asciiTheme="majorBidi" w:hAnsiTheme="majorBidi" w:cstheme="majorBidi"/>
          <w:i/>
          <w:iCs/>
          <w:spacing w:val="4"/>
          <w:sz w:val="24"/>
          <w:szCs w:val="24"/>
        </w:rPr>
        <w:t>The Rule of Law and the Frankenstate: Why Governance Checklists Do Not Work</w:t>
      </w:r>
      <w:r w:rsidRPr="00B04475">
        <w:rPr>
          <w:rFonts w:asciiTheme="majorBidi" w:hAnsiTheme="majorBidi" w:cstheme="majorBidi"/>
          <w:spacing w:val="4"/>
          <w:sz w:val="24"/>
          <w:szCs w:val="24"/>
        </w:rPr>
        <w:t>, 26 Governance 559 (2013)</w:t>
      </w:r>
      <w:r>
        <w:rPr>
          <w:rFonts w:hint="cs"/>
          <w:rtl/>
        </w:rPr>
        <w:t xml:space="preserve">). במובן זה, קיים אכן קושי להשוות בין המקרה הישראלי לבין שיטות משפט אחרות שמכילות בתוכן מנגנוני ביקורת אחרים. למעשה, העדרם של מנגנוני ביקורת נוספים בשיטה הישראלית ממחיש היטב את הסכנה הטמונה כעת בחזרה למבחן של </w:t>
      </w:r>
      <w:r w:rsidRPr="00D87434">
        <w:rPr>
          <w:rFonts w:ascii="Century" w:hAnsi="Century" w:cs="Miriam" w:hint="eastAsia"/>
          <w:b/>
          <w:spacing w:val="0"/>
          <w:szCs w:val="24"/>
          <w:rtl/>
        </w:rPr>
        <w:t>וונדסברי</w:t>
      </w:r>
      <w:r>
        <w:rPr>
          <w:rFonts w:hint="cs"/>
          <w:rtl/>
        </w:rPr>
        <w:t xml:space="preserve">, בנסיבות שבהן מבחן זה אינו מטיל מגבלה של ממש על הרשות המבצעת מקבלת החלטות פוגעניות כלפי האזרחים. כך במיוחד, כאשר תיקון מס' 3 לא חתר למצב שבו הגבלת הביקורת השיפוטית תהיה מלווה בהנהגתו של מנגנון ביקורת אחר. מגמתו של התיקון אחת </w:t>
      </w:r>
      <w:r>
        <w:rPr>
          <w:rtl/>
        </w:rPr>
        <w:t>–</w:t>
      </w:r>
      <w:r>
        <w:rPr>
          <w:rFonts w:hint="cs"/>
          <w:rtl/>
        </w:rPr>
        <w:t xml:space="preserve"> צמצום משמעותי של מרחב הביקורת על הממשלה ושריה.</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75.</w:t>
      </w:r>
      <w:r>
        <w:rPr>
          <w:rFonts w:hint="cs"/>
          <w:rtl/>
        </w:rPr>
        <w:tab/>
        <w:t xml:space="preserve"> לבסוף, אני סבורה שההצעה לחזור לעילת הסבירות "של פעם" מתעלמת מההקשר המשפטי והחוקתי הרחב שבו הייתה נטועה הביקורת השיפוטית בעילת הסבירות בשנות החמישים והששים של המאה הקודמת. ברוח האמירה המיוחסת להוגה הדעות הרקליטוס </w:t>
      </w:r>
      <w:r>
        <w:rPr>
          <w:rtl/>
        </w:rPr>
        <w:t>–</w:t>
      </w:r>
      <w:r>
        <w:rPr>
          <w:rFonts w:hint="cs"/>
          <w:rtl/>
        </w:rPr>
        <w:t xml:space="preserve"> "אינך יכול להיכנס לאותו נהר פעמיים" </w:t>
      </w:r>
      <w:r>
        <w:rPr>
          <w:rtl/>
        </w:rPr>
        <w:t>–</w:t>
      </w:r>
      <w:r>
        <w:rPr>
          <w:rFonts w:hint="cs"/>
          <w:rtl/>
        </w:rPr>
        <w:t xml:space="preserve"> ההשלכות שיהיו לאימוצה של עילת הסבירות "המצומצמת" בעת הזו אינן דומות להשלכות ולהקשר של אימוצה בעבר. כדי להמחיש את הדברים אבקש להביא דוגמה שיש לה חשיבות מכרעת בעיניי. בעבר, למעשה עד שנת 2014, כלי ביקורת מרכזי על הממשלה היה האפשרות להביא בפני הכנסת הצבעת אי-אמון, ללא מגבלות מיוחדות. בשנת 2014 תוקן חוק-יסוד: הממשלה כך שעל-פי האמור בסעיף 28 לו, העלאתה של הצבעת אי-אמון היא רק במתכונת של "אי-אמון קונסטרוקטיבי", כלומר מחייבת הצגתה של ממשלה חלופית. להסדר חוקתי זה משמעות ברורה </w:t>
      </w:r>
      <w:r>
        <w:rPr>
          <w:rtl/>
        </w:rPr>
        <w:t>–</w:t>
      </w:r>
      <w:r>
        <w:rPr>
          <w:rFonts w:hint="cs"/>
          <w:rtl/>
        </w:rPr>
        <w:t xml:space="preserve"> צמצום משמעותי של הביקורת הפרלמנטרית האפקטיבית על החלטות הממשלה ושריה. קשה אפוא לחזור אחורנית בזמן רק לעניינה של עילת הסבירות, כאשר העולם המשפטי שסביבה השתנה כליל; את חשיבותה של עילת הסבירות ככלי ביקורת על החלטות של הממשל ושריה יש להעריך על רקע מנגנוני הביקורת האחרים הנוהגים כעת.</w:t>
      </w:r>
    </w:p>
    <w:p w:rsidR="00E31875" w:rsidRDefault="00E31875" w:rsidP="00E31875">
      <w:pPr>
        <w:spacing w:line="360" w:lineRule="auto"/>
        <w:jc w:val="both"/>
        <w:rPr>
          <w:rFonts w:ascii="FrankRuehl" w:hAnsi="FrankRuehl" w:cs="FrankRuehl"/>
          <w:sz w:val="28"/>
          <w:szCs w:val="28"/>
          <w:rtl/>
        </w:rPr>
      </w:pPr>
    </w:p>
    <w:p w:rsidR="00E31875" w:rsidRPr="00D87434" w:rsidRDefault="00E31875" w:rsidP="00E31875">
      <w:pPr>
        <w:spacing w:line="360" w:lineRule="auto"/>
        <w:jc w:val="both"/>
        <w:rPr>
          <w:rFonts w:ascii="Century" w:hAnsi="Century" w:cs="Miriam"/>
          <w:b/>
          <w:sz w:val="22"/>
          <w:rtl/>
        </w:rPr>
      </w:pPr>
      <w:r w:rsidRPr="00D87434">
        <w:rPr>
          <w:rFonts w:ascii="Century" w:hAnsi="Century" w:cs="Miriam" w:hint="cs"/>
          <w:b/>
          <w:sz w:val="22"/>
          <w:rtl/>
        </w:rPr>
        <w:t>האמנם יש חלופות מספיקות לעילת הסבירות?</w:t>
      </w:r>
    </w:p>
    <w:p w:rsidR="00E31875" w:rsidRPr="005E1E89" w:rsidRDefault="00E31875" w:rsidP="00E31875">
      <w:pPr>
        <w:spacing w:line="360" w:lineRule="auto"/>
        <w:jc w:val="both"/>
        <w:rPr>
          <w:rFonts w:ascii="Century" w:hAnsi="Century" w:cs="Miriam"/>
          <w:b/>
          <w:rtl/>
        </w:rPr>
      </w:pPr>
    </w:p>
    <w:p w:rsidR="00E31875" w:rsidRDefault="00E31875" w:rsidP="00E31875">
      <w:pPr>
        <w:pStyle w:val="Ruller41"/>
        <w:rPr>
          <w:rtl/>
        </w:rPr>
      </w:pPr>
      <w:r>
        <w:rPr>
          <w:rFonts w:hint="cs"/>
          <w:rtl/>
        </w:rPr>
        <w:t xml:space="preserve">76. </w:t>
      </w:r>
      <w:r>
        <w:rPr>
          <w:rFonts w:hint="cs"/>
          <w:rtl/>
        </w:rPr>
        <w:tab/>
        <w:t xml:space="preserve">להשלמת התמונה דומה שנדרשת התייחסות לטענה כי אף ללא ביקורת שיפוטית המבוססת על סבירות יוכל בית המשפט להגן על הזכויות והאינטרסים של מי שנפגעו מהחלטות מינהליות. כפי שאני מבינה את הדברים, זהו אחד הטעמים שהובילו חלק מחבריי למסקנה כי "לא כצעקתה". עם כל הכבוד, דעתי שונה. אכן, ניתן להצביע על תחומים שבהם יש חפיפה בין עילת הסבירות לבין עילות אחרות, אולם לא תמיד אלה הם פני הדברים. ואמנם, לא בכדי עילת הסבירות ממשיכה לשמש לצדן של עילות ביקורת </w:t>
      </w:r>
      <w:r>
        <w:rPr>
          <w:rFonts w:hint="cs"/>
          <w:rtl/>
        </w:rPr>
        <w:lastRenderedPageBreak/>
        <w:t xml:space="preserve">נוספות, חלקן מאוחרות יותר כדוגמת עילת המידתיות, גם בשיטות משפט אחרות (באופן כללי, ראו: </w:t>
      </w:r>
      <w:r w:rsidRPr="00E13E61">
        <w:rPr>
          <w:rFonts w:asciiTheme="majorBidi" w:hAnsiTheme="majorBidi" w:cstheme="majorBidi"/>
          <w:sz w:val="24"/>
          <w:szCs w:val="24"/>
        </w:rPr>
        <w:t xml:space="preserve">Swati Jhaveri, </w:t>
      </w:r>
      <w:r w:rsidRPr="00E13E61">
        <w:rPr>
          <w:rFonts w:asciiTheme="majorBidi" w:hAnsiTheme="majorBidi" w:cstheme="majorBidi"/>
          <w:i/>
          <w:iCs/>
          <w:sz w:val="24"/>
          <w:szCs w:val="24"/>
        </w:rPr>
        <w:t>The Survival of Reasonableness Review: Confirming the Boundaries</w:t>
      </w:r>
      <w:r w:rsidRPr="00E13E61">
        <w:rPr>
          <w:rFonts w:asciiTheme="majorBidi" w:hAnsiTheme="majorBidi" w:cstheme="majorBidi"/>
          <w:sz w:val="24"/>
          <w:szCs w:val="24"/>
        </w:rPr>
        <w:t xml:space="preserve">, 46 </w:t>
      </w:r>
      <w:r w:rsidRPr="00E13E61">
        <w:rPr>
          <w:rFonts w:asciiTheme="majorBidi" w:hAnsiTheme="majorBidi" w:cstheme="majorBidi"/>
          <w:smallCaps/>
          <w:sz w:val="24"/>
          <w:szCs w:val="24"/>
        </w:rPr>
        <w:t xml:space="preserve">Fed. L. Rev. </w:t>
      </w:r>
      <w:r w:rsidRPr="00E13E61">
        <w:rPr>
          <w:rFonts w:asciiTheme="majorBidi" w:hAnsiTheme="majorBidi" w:cstheme="majorBidi"/>
          <w:sz w:val="24"/>
          <w:szCs w:val="24"/>
        </w:rPr>
        <w:t>137 (</w:t>
      </w:r>
      <w:r>
        <w:rPr>
          <w:rFonts w:asciiTheme="majorBidi" w:hAnsiTheme="majorBidi" w:cstheme="majorBidi"/>
          <w:sz w:val="24"/>
          <w:szCs w:val="24"/>
        </w:rPr>
        <w:t>2018</w:t>
      </w:r>
      <w:r w:rsidRPr="00E13E61">
        <w:rPr>
          <w:rFonts w:asciiTheme="majorBidi" w:hAnsiTheme="majorBidi" w:cstheme="majorBidi"/>
          <w:sz w:val="24"/>
          <w:szCs w:val="24"/>
        </w:rPr>
        <w:t>)</w:t>
      </w:r>
      <w:r>
        <w:rPr>
          <w:rFonts w:hint="cs"/>
          <w:rtl/>
        </w:rPr>
        <w:t>). הלכה למעשה, כפי שאראה, חלק מהעילות האחרות (כדוגמת עילת השיקולים הזרים) "מכסות" תחומים שונים ומובחנים מאלה שנופלים לתחומיה של עילת הסבירות. בנוסף לכך, חלק מן העילות האחרות שלובות עד לבלי הפרד בעילת הסבירות, כך שביטולה יפגע באפשרות המעשית לדון אף בהן בצורה שלמה. אסביר.</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77. </w:t>
      </w:r>
      <w:r>
        <w:rPr>
          <w:rFonts w:hint="cs"/>
          <w:rtl/>
        </w:rPr>
        <w:tab/>
      </w:r>
      <w:r w:rsidRPr="00D87434">
        <w:rPr>
          <w:rFonts w:ascii="Century" w:hAnsi="Century" w:cs="Miriam" w:hint="cs"/>
          <w:b/>
          <w:spacing w:val="0"/>
          <w:szCs w:val="24"/>
          <w:rtl/>
        </w:rPr>
        <w:t>סבירות ושיקולים זרים</w:t>
      </w:r>
      <w:r w:rsidRPr="005E1E89">
        <w:rPr>
          <w:rFonts w:hint="cs"/>
          <w:rtl/>
        </w:rPr>
        <w:t xml:space="preserve"> </w:t>
      </w:r>
      <w:r>
        <w:rPr>
          <w:rtl/>
        </w:rPr>
        <w:t>–</w:t>
      </w:r>
      <w:r>
        <w:rPr>
          <w:rFonts w:hint="cs"/>
          <w:rtl/>
        </w:rPr>
        <w:t xml:space="preserve"> במרכזה של עילת הסבירות עומד היפוך קיצוני של המשקל שניתן לשיקולים חוקיים כשלעצמם (וכפי שחשוב לחזור ולהדגיש </w:t>
      </w:r>
      <w:r>
        <w:rPr>
          <w:rtl/>
        </w:rPr>
        <w:t>–</w:t>
      </w:r>
      <w:r>
        <w:rPr>
          <w:rFonts w:hint="cs"/>
          <w:rtl/>
        </w:rPr>
        <w:t xml:space="preserve"> רק היפוך קיצוני כזה). ממילא ברור, כי עילת השיקולים הזרים לבדה אינה נותנת תחליף מספק לעילת הסבירות. אכן, יש מקרים שבהם השיבוש הקיצוני באיזון בין השיקולים שעל הרשות לשקול יכול לשמש אינדיקציה ראייתית לשיקולים זרים, אך מכאן ועד לחפיפה בין העילות </w:t>
      </w:r>
      <w:r>
        <w:rPr>
          <w:rtl/>
        </w:rPr>
        <w:t>–</w:t>
      </w:r>
      <w:r>
        <w:rPr>
          <w:rFonts w:hint="cs"/>
          <w:rtl/>
        </w:rPr>
        <w:t xml:space="preserve"> הדרך ארוכה. יטען הטוען: וכי מה אם חל שיבוש באיזון בין השיקולים? לכך אשיב: אכן, במקרים רבים אין בכך רבותא, ככל שהדברים אמורים בביקורת שיפוטית (שאינה אמורה "להחליף" את שיקול דעתה של הרשות). אולם, כאשר השיבוש הוא קיצוני </w:t>
      </w:r>
      <w:r>
        <w:rPr>
          <w:rtl/>
        </w:rPr>
        <w:t>–</w:t>
      </w:r>
      <w:r>
        <w:rPr>
          <w:rFonts w:hint="cs"/>
          <w:rtl/>
        </w:rPr>
        <w:t xml:space="preserve"> פגיעתו עשויה להיות חמורה לא פחות מזו של שיקולים זרים. בעבר, הדגמתי את הדברים באמצעות מטפורות מחיי המעשה. אל חלקן הפנה חברי השופט </w:t>
      </w:r>
      <w:r w:rsidRPr="00D87434">
        <w:rPr>
          <w:rFonts w:ascii="Century" w:hAnsi="Century" w:cs="Miriam" w:hint="eastAsia"/>
          <w:b/>
          <w:spacing w:val="0"/>
          <w:szCs w:val="24"/>
          <w:rtl/>
        </w:rPr>
        <w:t>עמית</w:t>
      </w:r>
      <w:r>
        <w:rPr>
          <w:rFonts w:hint="cs"/>
          <w:rtl/>
        </w:rPr>
        <w:t xml:space="preserve">, ועל כן אחזור על הדברים רק בקצרה. כך, כאשר במקום כפית של מלח מכניסים לתבשיל קילו של מלח, המרכיבים עשויים להיות דרושים כולם, ובכל זאת התבשיל יוקדח (ראו: </w:t>
      </w:r>
      <w:r w:rsidRPr="00D87434">
        <w:rPr>
          <w:rFonts w:ascii="Century" w:hAnsi="Century" w:cs="Miriam" w:hint="eastAsia"/>
          <w:b/>
          <w:spacing w:val="0"/>
          <w:szCs w:val="24"/>
          <w:rtl/>
        </w:rPr>
        <w:t>ברק</w:t>
      </w:r>
      <w:r w:rsidRPr="00D87434">
        <w:rPr>
          <w:rFonts w:ascii="Century" w:hAnsi="Century" w:cs="Miriam"/>
          <w:b/>
          <w:spacing w:val="0"/>
          <w:szCs w:val="24"/>
          <w:rtl/>
        </w:rPr>
        <w:t>-ארז ב</w:t>
      </w:r>
      <w:r>
        <w:rPr>
          <w:rFonts w:hint="cs"/>
          <w:rtl/>
        </w:rPr>
        <w:t>,</w:t>
      </w:r>
      <w:r w:rsidRPr="00250123">
        <w:rPr>
          <w:rFonts w:hint="cs"/>
          <w:rtl/>
        </w:rPr>
        <w:t xml:space="preserve"> </w:t>
      </w:r>
      <w:r>
        <w:rPr>
          <w:rFonts w:hint="cs"/>
          <w:rtl/>
        </w:rPr>
        <w:t>בעמ' 725). הוא הדין בשיבוש מוחלט בקביעת מינון של תרופה, חיונית כשלעצמה.</w:t>
      </w:r>
      <w:r w:rsidRPr="003344B5">
        <w:rPr>
          <w:rtl/>
        </w:rPr>
        <w:t xml:space="preserve"> על כך יש להוסיף, כי עילת הסבירות יכולה לתת מענה במקום שבו קיים קושי ראייתי להוכחת שיקולים זרים, שפעמים רבות הם בבחינת "דברים שבלב"</w:t>
      </w:r>
      <w:r>
        <w:rPr>
          <w:rFonts w:hint="cs"/>
          <w:rtl/>
        </w:rPr>
        <w:t xml:space="preserve"> (ראו: בג"ץ 3823/22 </w:t>
      </w:r>
      <w:r w:rsidRPr="00D87434">
        <w:rPr>
          <w:rFonts w:ascii="Century" w:hAnsi="Century" w:cs="Miriam" w:hint="cs"/>
          <w:b/>
          <w:spacing w:val="0"/>
          <w:szCs w:val="24"/>
          <w:rtl/>
        </w:rPr>
        <w:t>נתניהו נ' היועצת המשפטית לממשלה</w:t>
      </w:r>
      <w:r>
        <w:rPr>
          <w:rFonts w:hint="cs"/>
          <w:rtl/>
        </w:rPr>
        <w:t xml:space="preserve">, פסקאות 5-4 לפסק דיני (17.7.2023) (להלן: </w:t>
      </w:r>
      <w:r w:rsidRPr="00D87434">
        <w:rPr>
          <w:rFonts w:ascii="Century" w:hAnsi="Century" w:cs="Miriam" w:hint="eastAsia"/>
          <w:b/>
          <w:spacing w:val="0"/>
          <w:szCs w:val="24"/>
          <w:rtl/>
        </w:rPr>
        <w:t>בג</w:t>
      </w:r>
      <w:r w:rsidRPr="00D87434">
        <w:rPr>
          <w:rFonts w:ascii="Century" w:hAnsi="Century" w:cs="Miriam"/>
          <w:b/>
          <w:spacing w:val="0"/>
          <w:szCs w:val="24"/>
          <w:rtl/>
        </w:rPr>
        <w:t>"ץ 3823/22</w:t>
      </w:r>
      <w:r>
        <w:rPr>
          <w:rFonts w:hint="cs"/>
          <w:rtl/>
        </w:rPr>
        <w:t>).</w:t>
      </w:r>
      <w:r w:rsidRPr="003344B5">
        <w:rPr>
          <w:rtl/>
        </w:rPr>
        <w:t xml:space="preserve">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78. </w:t>
      </w:r>
      <w:r>
        <w:rPr>
          <w:rFonts w:hint="cs"/>
          <w:rtl/>
        </w:rPr>
        <w:tab/>
        <w:t>על כן, הטענה, שהוצגה בפנינו, כאילו במקרים שבהם נהוג לעשות שימוש בעילת הסבירות, ניתן יהיה להתבסס על עילת השיקולים הזרים (מאחר שאי-הסבירות היא "סימן" לקיומם של שיקולים זרים נסתרים) מעוררת קושי. אכן, שיקולים זרים עשויים להוביל לא אחת לקבלת החלטות בלתי סבירות. אולם, לא כל החלטה שאינה סבירה היא החלטה המבוססת על שיקולים זרים. במישור הלוגי הפשוט, אין מדובר ביחס דו-סיטרי מלא. בנוסף לכך, הכוונתו של בית המשפט לייחס לרשות שיקולים זרים על סמך אי-סבירות החלטתה, מעבר לכך שאינה נכונה, עלולה להעצים את החיכוך בין רשויות השלטון שלא לצורך.</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79. </w:t>
      </w:r>
      <w:r>
        <w:rPr>
          <w:rFonts w:hint="cs"/>
          <w:rtl/>
        </w:rPr>
        <w:tab/>
        <w:t xml:space="preserve">לבסוף, כפי שציינתי גם בעבר, עילת השיקולים הזרים, עם כל חשיבותה, היא עילה שהשימוש המעשי בה אינו שכיח. הוכחת קיומם של שיקולים זרים שעמדו בבסיס קבלת החלטה מינהלית היא קשה ביותר, ולא כל שכן במסגרת סדרי הדין המקובלים בעתירות מינהליות, שבהן הבירור העובדתי הוא מהיר ומקוצר (ראו: </w:t>
      </w:r>
      <w:r w:rsidRPr="00D87434">
        <w:rPr>
          <w:rFonts w:ascii="Century" w:hAnsi="Century" w:cs="Miriam" w:hint="eastAsia"/>
          <w:b/>
          <w:spacing w:val="0"/>
          <w:szCs w:val="24"/>
          <w:rtl/>
        </w:rPr>
        <w:t>בג</w:t>
      </w:r>
      <w:r w:rsidRPr="00D87434">
        <w:rPr>
          <w:rFonts w:ascii="Century" w:hAnsi="Century" w:cs="Miriam"/>
          <w:b/>
          <w:spacing w:val="0"/>
          <w:szCs w:val="24"/>
          <w:rtl/>
        </w:rPr>
        <w:t>"ץ 3823/22</w:t>
      </w:r>
      <w:r>
        <w:rPr>
          <w:rFonts w:hint="cs"/>
          <w:rtl/>
        </w:rPr>
        <w:t xml:space="preserve">, בפסקה 5 לפסק דיני. כן ראו: </w:t>
      </w:r>
      <w:r w:rsidRPr="00D87434">
        <w:rPr>
          <w:rFonts w:ascii="Century" w:hAnsi="Century" w:cs="Miriam" w:hint="eastAsia"/>
          <w:b/>
          <w:spacing w:val="0"/>
          <w:szCs w:val="24"/>
          <w:rtl/>
        </w:rPr>
        <w:t>ברק</w:t>
      </w:r>
      <w:r w:rsidRPr="00D87434">
        <w:rPr>
          <w:rFonts w:ascii="Century" w:hAnsi="Century" w:cs="Miriam"/>
          <w:b/>
          <w:spacing w:val="0"/>
          <w:szCs w:val="24"/>
          <w:rtl/>
        </w:rPr>
        <w:t xml:space="preserve">-ארז </w:t>
      </w:r>
      <w:r w:rsidRPr="00D87434">
        <w:rPr>
          <w:rFonts w:ascii="Century" w:hAnsi="Century" w:cs="Miriam" w:hint="eastAsia"/>
          <w:b/>
          <w:spacing w:val="0"/>
          <w:szCs w:val="24"/>
          <w:rtl/>
        </w:rPr>
        <w:t>ב</w:t>
      </w:r>
      <w:r>
        <w:rPr>
          <w:rFonts w:hint="cs"/>
          <w:rtl/>
        </w:rPr>
        <w:t xml:space="preserve">, 672-669). לכן, ככל שסדרי הדין המינהליים נותרים על כנם </w:t>
      </w:r>
      <w:r>
        <w:rPr>
          <w:rtl/>
        </w:rPr>
        <w:t>–</w:t>
      </w:r>
      <w:r>
        <w:rPr>
          <w:rFonts w:hint="cs"/>
          <w:rtl/>
        </w:rPr>
        <w:t xml:space="preserve"> ואלה צפויים להיות פני הדברים כדי שהביקורת המינהלית תתאפשר בפרקי זמן מתאימים </w:t>
      </w:r>
      <w:r>
        <w:rPr>
          <w:rtl/>
        </w:rPr>
        <w:t>–</w:t>
      </w:r>
      <w:r>
        <w:rPr>
          <w:rFonts w:hint="cs"/>
          <w:rtl/>
        </w:rPr>
        <w:t xml:space="preserve"> הסתמכות היתר על עילת השיקולים הזרים צפויה להתברר כמשענת קנה רצוץ.</w:t>
      </w:r>
    </w:p>
    <w:p w:rsidR="00E31875" w:rsidRDefault="00E31875" w:rsidP="00E31875">
      <w:pPr>
        <w:spacing w:line="360" w:lineRule="auto"/>
        <w:jc w:val="both"/>
        <w:rPr>
          <w:rFonts w:ascii="FrankRuehl" w:hAnsi="FrankRuehl" w:cs="FrankRuehl"/>
          <w:sz w:val="28"/>
          <w:szCs w:val="28"/>
        </w:rPr>
      </w:pPr>
    </w:p>
    <w:p w:rsidR="00E31875" w:rsidRDefault="00E31875" w:rsidP="00E31875">
      <w:pPr>
        <w:pStyle w:val="Ruller41"/>
        <w:rPr>
          <w:rtl/>
        </w:rPr>
      </w:pPr>
      <w:r>
        <w:rPr>
          <w:rFonts w:hint="cs"/>
          <w:rtl/>
        </w:rPr>
        <w:t xml:space="preserve">80. </w:t>
      </w:r>
      <w:r>
        <w:rPr>
          <w:rFonts w:hint="cs"/>
          <w:rtl/>
        </w:rPr>
        <w:tab/>
      </w:r>
      <w:r w:rsidRPr="00D87434">
        <w:rPr>
          <w:rFonts w:ascii="Century" w:hAnsi="Century" w:cs="Miriam" w:hint="cs"/>
          <w:b/>
          <w:spacing w:val="0"/>
          <w:szCs w:val="24"/>
          <w:rtl/>
        </w:rPr>
        <w:t>סבירות ומידתיות</w:t>
      </w:r>
      <w:r w:rsidRPr="00D87434">
        <w:rPr>
          <w:rFonts w:hint="cs"/>
          <w:rtl/>
        </w:rPr>
        <w:t xml:space="preserve"> </w:t>
      </w:r>
      <w:r>
        <w:rPr>
          <w:rtl/>
        </w:rPr>
        <w:t>–</w:t>
      </w:r>
      <w:r>
        <w:rPr>
          <w:rFonts w:hint="cs"/>
          <w:rtl/>
        </w:rPr>
        <w:t xml:space="preserve"> ומה באשר לעילת המידתיות? ראשית, האמת ניתנת להיאמר כי כיום ניתן להתבסס על עילת המידתיות בחלק מן המקרים שבהם הפסיקה התבססה באופן בלעדי על עילת הסבירות. הטעם לכך הוא שהמידתיות היא "סוג" של סבירות, מאחר שהיא כוללת את בחינת הסבירות של האמצעי שנבחר להשגת התכלית החקיקתית או המינהלית. דווקא משום כך, קשה ליישב בין התפיסה השוללת את הסבירות לבין הפנייה לעילת המידתיות, ככל שזו כוללת את מלוא מרכיביה, לרבות תת המבחן השלישי של המידתיות המתמקד בשאלת הסבירות. שנית, במישור הפורמאלי, עילת המידתיות ממוקדת במצבים שבהם הפגיעה היא בזכות, בעוד שתחום השתרעותה של עילת הסבירות כולל גם מקרים של פגיעה באינטרסים ראויים להגנה (ראו: דפנה ברק-ארז </w:t>
      </w:r>
      <w:r w:rsidRPr="00D87434">
        <w:rPr>
          <w:rFonts w:ascii="Century" w:hAnsi="Century" w:cs="Miriam" w:hint="cs"/>
          <w:b/>
          <w:spacing w:val="0"/>
          <w:szCs w:val="24"/>
          <w:rtl/>
        </w:rPr>
        <w:t>משפט מינהלי</w:t>
      </w:r>
      <w:r w:rsidRPr="00D87434">
        <w:rPr>
          <w:rFonts w:hint="cs"/>
          <w:rtl/>
        </w:rPr>
        <w:t xml:space="preserve"> </w:t>
      </w:r>
      <w:r>
        <w:rPr>
          <w:rFonts w:hint="cs"/>
          <w:rtl/>
        </w:rPr>
        <w:t xml:space="preserve">כרך א 20-19 (2010) (להלן: </w:t>
      </w:r>
      <w:r w:rsidRPr="00D87434">
        <w:rPr>
          <w:rFonts w:ascii="Century" w:hAnsi="Century" w:cs="Miriam" w:hint="cs"/>
          <w:b/>
          <w:spacing w:val="0"/>
          <w:szCs w:val="24"/>
          <w:rtl/>
        </w:rPr>
        <w:t>ברק-ארז א</w:t>
      </w:r>
      <w:r>
        <w:rPr>
          <w:rFonts w:hint="cs"/>
          <w:rtl/>
        </w:rPr>
        <w:t xml:space="preserve">)). כך למשל, העלאה מופרזת של שיעור האגרה עשויה להיות בלתי סבירה, אף מבלי שניתן להצביע על זכות אדם שנפגעה בשל כך. בדומה לכך, הגנה מפני פגיעה בלתי סבירה באינטרס ההסתמכות היא חשובה ורבת ערך מבחינת הפרט הנוגע בדבר (להרחבה, ראו: דפנה ברק-ארז "הגנת ההסתמכות במשפט המינהלי" </w:t>
      </w:r>
      <w:r w:rsidRPr="00D87434">
        <w:rPr>
          <w:rFonts w:ascii="Century" w:hAnsi="Century" w:cs="Miriam" w:hint="cs"/>
          <w:b/>
          <w:spacing w:val="0"/>
          <w:szCs w:val="24"/>
          <w:rtl/>
        </w:rPr>
        <w:t>משפטים</w:t>
      </w:r>
      <w:r w:rsidRPr="006B2A83">
        <w:rPr>
          <w:rFonts w:ascii="Century" w:hAnsi="Century" w:cs="Miriam" w:hint="cs"/>
          <w:b/>
          <w:spacing w:val="0"/>
          <w:szCs w:val="24"/>
          <w:rtl/>
        </w:rPr>
        <w:t xml:space="preserve"> </w:t>
      </w:r>
      <w:r>
        <w:rPr>
          <w:rFonts w:hint="cs"/>
          <w:rtl/>
        </w:rPr>
        <w:t>כז 17 (התשנ"ו)).</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Fonts w:ascii="Century" w:hAnsi="Century"/>
          <w:rtl/>
        </w:rPr>
      </w:pPr>
      <w:r>
        <w:rPr>
          <w:rFonts w:hint="cs"/>
          <w:rtl/>
        </w:rPr>
        <w:t>81.</w:t>
      </w:r>
      <w:r>
        <w:rPr>
          <w:rFonts w:hint="cs"/>
          <w:rtl/>
        </w:rPr>
        <w:tab/>
      </w:r>
      <w:r w:rsidRPr="00D87434">
        <w:rPr>
          <w:rFonts w:ascii="Century" w:hAnsi="Century" w:cs="Miriam" w:hint="cs"/>
          <w:b/>
          <w:spacing w:val="0"/>
          <w:szCs w:val="24"/>
          <w:rtl/>
        </w:rPr>
        <w:t>סבירות ושוויון</w:t>
      </w:r>
      <w:r w:rsidRPr="00D87434">
        <w:rPr>
          <w:rFonts w:hint="cs"/>
          <w:rtl/>
        </w:rPr>
        <w:t xml:space="preserve"> </w:t>
      </w:r>
      <w:r>
        <w:rPr>
          <w:rtl/>
        </w:rPr>
        <w:t>–</w:t>
      </w:r>
      <w:r>
        <w:rPr>
          <w:rFonts w:hint="cs"/>
          <w:rtl/>
        </w:rPr>
        <w:t xml:space="preserve"> זווית מועילה נוספת על הדיון מספקת הזיקה החזקה הקיימת בין עילת אי-הסבירות לעילת השוויון. עילת ההפליה המינהלית היא רחבה מזו החוקתית, עניין שעליו כבר נשברו קולמוסים לא מעטים (ראו והשוו: בג"ץ 3390/16 </w:t>
      </w:r>
      <w:r w:rsidRPr="00D87434">
        <w:rPr>
          <w:rFonts w:ascii="Century" w:hAnsi="Century" w:cs="Miriam" w:hint="cs"/>
          <w:b/>
          <w:spacing w:val="0"/>
          <w:szCs w:val="24"/>
          <w:rtl/>
        </w:rPr>
        <w:t xml:space="preserve">עדאלה </w:t>
      </w:r>
      <w:r w:rsidRPr="00D87434">
        <w:rPr>
          <w:rFonts w:ascii="Century" w:hAnsi="Century" w:cs="Miriam"/>
          <w:b/>
          <w:spacing w:val="0"/>
          <w:szCs w:val="24"/>
          <w:rtl/>
        </w:rPr>
        <w:t>–</w:t>
      </w:r>
      <w:r w:rsidRPr="00D87434">
        <w:rPr>
          <w:rFonts w:ascii="Century" w:hAnsi="Century" w:cs="Miriam" w:hint="cs"/>
          <w:b/>
          <w:spacing w:val="0"/>
          <w:szCs w:val="24"/>
          <w:rtl/>
        </w:rPr>
        <w:t xml:space="preserve"> המרכז המשפטי לזכויות המיעוט הערבי בישראל נ' הכנסת</w:t>
      </w:r>
      <w:r>
        <w:rPr>
          <w:rFonts w:hint="cs"/>
          <w:rtl/>
        </w:rPr>
        <w:t xml:space="preserve">, פסקה 32 לפסק דיני (8.7.2021)). בעיקרו של דבר, על-פי עילת הסבירות המינהלית, אין מקום להבחין בין מי שמצויים באותה קבוצת שוויון. נוסף על כך, גם ההבחנה שנעשית בין קבוצות שוויון אמורה להיות סבירה. ניתן להדגים את הדברים מפסק הדין התקדימי שניתן בבג"ץ 3792/95 </w:t>
      </w:r>
      <w:r w:rsidRPr="00D87434">
        <w:rPr>
          <w:rFonts w:ascii="Century" w:hAnsi="Century" w:cs="Miriam" w:hint="cs"/>
          <w:b/>
          <w:spacing w:val="0"/>
          <w:szCs w:val="24"/>
          <w:rtl/>
        </w:rPr>
        <w:t>תאטרון ארצי לנוער נ' שרת המדע והאמנויות</w:t>
      </w:r>
      <w:r>
        <w:rPr>
          <w:rFonts w:hint="cs"/>
          <w:rtl/>
        </w:rPr>
        <w:t xml:space="preserve">, פ"ד נא(4) 259 (1997), שנסב על הבחנה בין התמיכות הניתנות ל"תיאטרון חדש" לבין התמיכות הניתנות ל"תיאטרון </w:t>
      </w:r>
      <w:r>
        <w:rPr>
          <w:rFonts w:hint="cs"/>
          <w:rtl/>
        </w:rPr>
        <w:lastRenderedPageBreak/>
        <w:t xml:space="preserve">ותיק". ניתן בהחלט לקבל כי מוסדות תרבות בעלי ותק שונה אינם שייכים לאותה קבוצת שוויון, וכי לפיכך הבחנה ביניהם היא אפשרית. אולם, מתן משקל בלתי ראוי לשיקול של ותק </w:t>
      </w:r>
      <w:r>
        <w:rPr>
          <w:rtl/>
        </w:rPr>
        <w:t>–</w:t>
      </w:r>
      <w:r>
        <w:rPr>
          <w:rFonts w:hint="cs"/>
          <w:rtl/>
        </w:rPr>
        <w:t xml:space="preserve"> שיקול ענייני כשלעצמו </w:t>
      </w:r>
      <w:r>
        <w:rPr>
          <w:rtl/>
        </w:rPr>
        <w:t>–</w:t>
      </w:r>
      <w:r>
        <w:rPr>
          <w:rFonts w:hint="cs"/>
          <w:rtl/>
        </w:rPr>
        <w:t xml:space="preserve"> חורג ממתחם הסבירות באופן קיצוני. נשווה בדעתנו מצב שבו מוסדות חדשים יקבלו אך שבריר אחוז מכלל התקציב. האם ניתן להלום זאת? כיצד ניתן יהיה לדון בהפליה במצב דברים זה מבלי להתייחס למשקל שניתן לוותק, דהיינו לסבירות ההבחנה? הדברים שלובים זה בזה עד לבלי הפרד. כדברי השופט</w:t>
      </w:r>
      <w:r w:rsidRPr="00787794">
        <w:rPr>
          <w:rFonts w:ascii="Century" w:hAnsi="Century" w:cs="Miriam"/>
          <w:b/>
          <w:szCs w:val="24"/>
          <w:rtl/>
        </w:rPr>
        <w:t xml:space="preserve"> </w:t>
      </w:r>
      <w:r w:rsidRPr="006B2A83">
        <w:rPr>
          <w:rFonts w:ascii="Century" w:hAnsi="Century" w:cs="Miriam" w:hint="cs"/>
          <w:b/>
          <w:spacing w:val="0"/>
          <w:szCs w:val="24"/>
          <w:rtl/>
        </w:rPr>
        <w:t xml:space="preserve">י' </w:t>
      </w:r>
      <w:r w:rsidRPr="006B2A83">
        <w:rPr>
          <w:rFonts w:ascii="Century" w:hAnsi="Century" w:cs="Miriam" w:hint="eastAsia"/>
          <w:b/>
          <w:spacing w:val="0"/>
          <w:szCs w:val="24"/>
          <w:rtl/>
        </w:rPr>
        <w:t>זמיר</w:t>
      </w:r>
      <w:r w:rsidRPr="006B2A83">
        <w:rPr>
          <w:rFonts w:ascii="Century" w:hAnsi="Century" w:cs="Miriam" w:hint="cs"/>
          <w:b/>
          <w:spacing w:val="0"/>
          <w:szCs w:val="24"/>
          <w:rtl/>
        </w:rPr>
        <w:t xml:space="preserve"> </w:t>
      </w:r>
      <w:r>
        <w:rPr>
          <w:rFonts w:hint="cs"/>
          <w:rtl/>
        </w:rPr>
        <w:t>באותו עניין:</w:t>
      </w:r>
    </w:p>
    <w:p w:rsidR="00E31875" w:rsidRDefault="00E31875" w:rsidP="00E31875">
      <w:pPr>
        <w:pStyle w:val="Ruller5"/>
        <w:rPr>
          <w:rtl/>
        </w:rPr>
      </w:pPr>
    </w:p>
    <w:p w:rsidR="00E31875" w:rsidRDefault="00E31875" w:rsidP="00E31875">
      <w:pPr>
        <w:pStyle w:val="Ruller5"/>
        <w:rPr>
          <w:rtl/>
        </w:rPr>
      </w:pPr>
      <w:r w:rsidRPr="00375A68">
        <w:rPr>
          <w:rFonts w:hint="cs"/>
          <w:rtl/>
        </w:rPr>
        <w:t>"</w:t>
      </w:r>
      <w:r w:rsidRPr="00375A68">
        <w:rPr>
          <w:rtl/>
        </w:rPr>
        <w:t>אפשר גם שקבוצת שוויון תוקם על יסוד שיקול ענייני, ובכל זאת לא תהיה הצדקה לקיום הנפרד של קבוצת שוויון זאת. הכיצד? אפשר שבנסיבות המקרה המשקל של השיקול הענייני יהיה קטן עד כדי כך שהוא לא יצדיק את הקיום של קבוצת שוויון נפרדת. במקרה כזה, ההחלטה להקים קבוצת שווי</w:t>
      </w:r>
      <w:r>
        <w:rPr>
          <w:rtl/>
        </w:rPr>
        <w:t>ון נפרדת על יסוד שיקול זה נפגמת</w:t>
      </w:r>
      <w:r w:rsidRPr="00375A68">
        <w:rPr>
          <w:rtl/>
        </w:rPr>
        <w:t xml:space="preserve"> לא בשל שיקול זר, אלא בשל משקל בלתי ראוי שניתן לשיקול ענייני. לשון אחרת, המשקל שניתן לשיקול הענייני חורג ממיתחם הסבירות, ובשל כך ההחלטה להקים קבוצת שוויון על יסוד שיקול זה נעשית בלתי סבירה</w:t>
      </w:r>
      <w:r w:rsidRPr="00375A68">
        <w:rPr>
          <w:rFonts w:hint="cs"/>
          <w:rtl/>
        </w:rPr>
        <w:t>"</w:t>
      </w:r>
      <w:r>
        <w:rPr>
          <w:rFonts w:hint="cs"/>
          <w:rtl/>
        </w:rPr>
        <w:t xml:space="preserve"> (</w:t>
      </w:r>
      <w:r w:rsidRPr="000B61A1">
        <w:rPr>
          <w:rFonts w:cs="Miriam" w:hint="eastAsia"/>
          <w:b/>
          <w:szCs w:val="24"/>
          <w:rtl/>
        </w:rPr>
        <w:t>שם</w:t>
      </w:r>
      <w:r w:rsidRPr="00375A68">
        <w:rPr>
          <w:rFonts w:hint="cs"/>
          <w:rtl/>
        </w:rPr>
        <w:t>, ב</w:t>
      </w:r>
      <w:r w:rsidRPr="00375A68">
        <w:rPr>
          <w:rtl/>
        </w:rPr>
        <w:t>ע</w:t>
      </w:r>
      <w:r w:rsidRPr="00375A68">
        <w:rPr>
          <w:rFonts w:hint="cs"/>
          <w:rtl/>
        </w:rPr>
        <w:t>מ' 283</w:t>
      </w:r>
      <w:r>
        <w:rPr>
          <w:rFonts w:hint="cs"/>
          <w:rtl/>
        </w:rPr>
        <w:t>)</w:t>
      </w:r>
      <w:r w:rsidRPr="00375A68">
        <w:rPr>
          <w:rFonts w:hint="cs"/>
          <w:rtl/>
        </w:rPr>
        <w:t xml:space="preserve">. </w:t>
      </w:r>
    </w:p>
    <w:p w:rsidR="00E31875" w:rsidRDefault="00E31875" w:rsidP="00E31875">
      <w:pPr>
        <w:spacing w:line="360" w:lineRule="auto"/>
        <w:jc w:val="both"/>
        <w:rPr>
          <w:rFonts w:ascii="Century" w:hAnsi="Century" w:cs="FrankRuehl"/>
          <w:spacing w:val="10"/>
          <w:szCs w:val="28"/>
          <w:rtl/>
        </w:rPr>
      </w:pPr>
      <w:r>
        <w:rPr>
          <w:rFonts w:ascii="Century" w:hAnsi="Century" w:cs="FrankRuehl"/>
          <w:spacing w:val="10"/>
          <w:szCs w:val="28"/>
          <w:rtl/>
        </w:rPr>
        <w:tab/>
      </w:r>
    </w:p>
    <w:p w:rsidR="00E31875" w:rsidRDefault="00E31875" w:rsidP="00E31875">
      <w:pPr>
        <w:pStyle w:val="Ruller41"/>
        <w:rPr>
          <w:rtl/>
        </w:rPr>
      </w:pPr>
      <w:r>
        <w:rPr>
          <w:rtl/>
        </w:rPr>
        <w:tab/>
      </w:r>
      <w:r>
        <w:rPr>
          <w:rFonts w:hint="cs"/>
          <w:rtl/>
        </w:rPr>
        <w:t>דברים אלה מלמדים כי יישומו של עקרון השוויון המינהלי הולך "יד ביד" עם עילת הסבירות.</w:t>
      </w:r>
    </w:p>
    <w:p w:rsidR="00E31875" w:rsidRDefault="00E31875" w:rsidP="00E31875">
      <w:pPr>
        <w:spacing w:line="360" w:lineRule="auto"/>
        <w:jc w:val="both"/>
        <w:rPr>
          <w:rFonts w:ascii="Century" w:hAnsi="Century" w:cs="FrankRuehl"/>
          <w:spacing w:val="10"/>
          <w:szCs w:val="28"/>
          <w:rtl/>
        </w:rPr>
      </w:pPr>
    </w:p>
    <w:p w:rsidR="00E31875" w:rsidRDefault="00E31875" w:rsidP="00E31875">
      <w:pPr>
        <w:pStyle w:val="Ruller41"/>
        <w:rPr>
          <w:rFonts w:ascii="FrankRuehl" w:hAnsi="FrankRuehl"/>
          <w:sz w:val="28"/>
          <w:rtl/>
        </w:rPr>
      </w:pPr>
      <w:r>
        <w:rPr>
          <w:rFonts w:hint="cs"/>
          <w:rtl/>
        </w:rPr>
        <w:t xml:space="preserve">82. </w:t>
      </w:r>
      <w:r>
        <w:rPr>
          <w:rFonts w:hint="cs"/>
          <w:rtl/>
        </w:rPr>
        <w:tab/>
        <w:t xml:space="preserve">במבט כולל יותר, גם אם למעלה מן הצורך, אציין כי העמדה הגורסת שיש מקום לביקורת שיפוטית ללא עילת הסבירות (יהא היקפה אשר יהא) מעוררת תמיהה גם בפרספקטיבה רחבה יותר. החלת אמות מידה אובייקטיביות ביחס להתנהגות אנושית היא מקובלת בכל תחומי המשפט. הסבירות היא מושג מרכזי, חוצה תחומי משפט, במסורת המשפט האנגלו-אמריקני, שהשפיעה על התפתחותו של המשפט הישראלי (ראו עוד: </w:t>
      </w:r>
      <w:r w:rsidRPr="00765AFE">
        <w:rPr>
          <w:rFonts w:asciiTheme="majorBidi" w:hAnsiTheme="majorBidi" w:cstheme="majorBidi"/>
          <w:sz w:val="24"/>
          <w:szCs w:val="24"/>
        </w:rPr>
        <w:t xml:space="preserve">George P. Fletcher, </w:t>
      </w:r>
      <w:r w:rsidRPr="00765AFE">
        <w:rPr>
          <w:rFonts w:asciiTheme="majorBidi" w:hAnsiTheme="majorBidi" w:cstheme="majorBidi"/>
          <w:i/>
          <w:iCs/>
          <w:sz w:val="24"/>
          <w:szCs w:val="24"/>
        </w:rPr>
        <w:t>The Right and the Reasonable</w:t>
      </w:r>
      <w:r w:rsidRPr="00765AFE">
        <w:rPr>
          <w:rFonts w:asciiTheme="majorBidi" w:hAnsiTheme="majorBidi" w:cstheme="majorBidi"/>
          <w:sz w:val="24"/>
          <w:szCs w:val="24"/>
        </w:rPr>
        <w:t xml:space="preserve">, 98 </w:t>
      </w:r>
      <w:r w:rsidRPr="00765AFE">
        <w:rPr>
          <w:rFonts w:asciiTheme="majorBidi" w:hAnsiTheme="majorBidi" w:cstheme="majorBidi"/>
          <w:smallCaps/>
          <w:sz w:val="24"/>
          <w:szCs w:val="24"/>
        </w:rPr>
        <w:t xml:space="preserve">Harv. L. Rev. </w:t>
      </w:r>
      <w:r w:rsidRPr="00765AFE">
        <w:rPr>
          <w:rFonts w:asciiTheme="majorBidi" w:hAnsiTheme="majorBidi" w:cstheme="majorBidi"/>
          <w:sz w:val="24"/>
          <w:szCs w:val="24"/>
        </w:rPr>
        <w:t>949 (1985)</w:t>
      </w:r>
      <w:r>
        <w:rPr>
          <w:rFonts w:hint="cs"/>
          <w:rtl/>
        </w:rPr>
        <w:t xml:space="preserve">). כך באשר ל"אדם הסביר" בדיני הנזיקין. כך </w:t>
      </w:r>
      <w:r w:rsidRPr="00CE02AF">
        <w:rPr>
          <w:rtl/>
        </w:rPr>
        <w:t xml:space="preserve">לגבי "נושא משרה סביר" או "דירקטור סביר" </w:t>
      </w:r>
      <w:r>
        <w:rPr>
          <w:rFonts w:hint="cs"/>
          <w:rtl/>
        </w:rPr>
        <w:t xml:space="preserve">בדיני החברות. כך גם ביחס לרף ההוכחה של "מעל לספק סביר" במשפט הפלילי ושל "סיכוי סביר" במשפט האזרחי </w:t>
      </w:r>
      <w:r w:rsidRPr="00CE02AF">
        <w:rPr>
          <w:rtl/>
        </w:rPr>
        <w:t>וכן להתקיימות העילות "חשד סביר" בפרוצדורה הפלילית ו"חשש סביר" במשפט המינהלי (</w:t>
      </w:r>
      <w:r>
        <w:rPr>
          <w:rtl/>
        </w:rPr>
        <w:t>בכל הנוגע לקיומו של משוא פנים)</w:t>
      </w:r>
      <w:r>
        <w:rPr>
          <w:rFonts w:hint="cs"/>
          <w:rtl/>
        </w:rPr>
        <w:t xml:space="preserve"> (ראו למשל: </w:t>
      </w:r>
      <w:r>
        <w:rPr>
          <w:rtl/>
        </w:rPr>
        <w:t>בע</w:t>
      </w:r>
      <w:r>
        <w:rPr>
          <w:rFonts w:hint="cs"/>
          <w:rtl/>
        </w:rPr>
        <w:t>"ם</w:t>
      </w:r>
      <w:r>
        <w:rPr>
          <w:rtl/>
        </w:rPr>
        <w:t xml:space="preserve"> 856/23 ‏</w:t>
      </w:r>
      <w:r w:rsidRPr="00D87434">
        <w:rPr>
          <w:rFonts w:ascii="Century" w:hAnsi="Century" w:cs="Miriam" w:hint="eastAsia"/>
          <w:b/>
          <w:spacing w:val="0"/>
          <w:szCs w:val="24"/>
          <w:rtl/>
        </w:rPr>
        <w:t>אלמונית</w:t>
      </w:r>
      <w:r w:rsidRPr="00D87434">
        <w:rPr>
          <w:rFonts w:ascii="Century" w:hAnsi="Century" w:cs="Miriam"/>
          <w:b/>
          <w:spacing w:val="0"/>
          <w:szCs w:val="24"/>
          <w:rtl/>
        </w:rPr>
        <w:t xml:space="preserve"> </w:t>
      </w:r>
      <w:r w:rsidRPr="00D87434">
        <w:rPr>
          <w:rFonts w:ascii="Century" w:hAnsi="Century" w:cs="Miriam" w:hint="eastAsia"/>
          <w:b/>
          <w:spacing w:val="0"/>
          <w:szCs w:val="24"/>
          <w:rtl/>
        </w:rPr>
        <w:t>נ</w:t>
      </w:r>
      <w:r w:rsidRPr="00D87434">
        <w:rPr>
          <w:rFonts w:ascii="Century" w:hAnsi="Century" w:cs="Miriam"/>
          <w:b/>
          <w:spacing w:val="0"/>
          <w:szCs w:val="24"/>
          <w:rtl/>
        </w:rPr>
        <w:t xml:space="preserve">' </w:t>
      </w:r>
      <w:r w:rsidRPr="00D87434">
        <w:rPr>
          <w:rFonts w:ascii="Century" w:hAnsi="Century" w:cs="Miriam" w:hint="eastAsia"/>
          <w:b/>
          <w:spacing w:val="0"/>
          <w:szCs w:val="24"/>
          <w:rtl/>
        </w:rPr>
        <w:t>פלונית</w:t>
      </w:r>
      <w:r>
        <w:rPr>
          <w:rFonts w:hint="cs"/>
          <w:rtl/>
        </w:rPr>
        <w:t xml:space="preserve">, פסקאות 68-64 לפסק דיני (6.3.2023)). ועוד היד נטויה. על כן, הטענה ששבה והועלתה כי עילת הסבירות חורגת מן המקובל בעולם המשפט אינה מבוססת כלל. נהפוך הוא. וחשוב להטעים, אף בתחומי משפט אחרים שבהם נוהגת הסבירות החלתה כרוכה בקביעת סטנדרט התנהגות, ולא רק בפסילת התנהגות "אבסורדית" או "שרירותית". </w:t>
      </w:r>
      <w:r>
        <w:rPr>
          <w:rFonts w:ascii="FrankRuehl" w:hAnsi="FrankRuehl" w:hint="cs"/>
          <w:sz w:val="28"/>
          <w:rtl/>
        </w:rPr>
        <w:t xml:space="preserve">התובנה כי מושג הסבירות הוא מושג </w:t>
      </w:r>
      <w:r>
        <w:rPr>
          <w:rFonts w:ascii="FrankRuehl" w:hAnsi="FrankRuehl" w:hint="cs"/>
          <w:sz w:val="28"/>
          <w:rtl/>
        </w:rPr>
        <w:lastRenderedPageBreak/>
        <w:t>בר-הגדרה ובר-יישום גם בתחומי משפט אחרים שומטת את הקרקע מתחת לטענה הכוללנית כי הסבירות היא סובייקטיבית לחלוטין.</w:t>
      </w:r>
      <w:r>
        <w:rPr>
          <w:rFonts w:hint="cs"/>
          <w:rtl/>
        </w:rPr>
        <w:t xml:space="preserve"> אין בדברים אלה כדי לשלול את ההיבטים המיוחדים לביקורת שיפוטית המבוססת על עילת הסבירות, אשר יש בה ממד ברור של פסיקה ביחס לעתיד, ולא רק ביחס לעבר. אולם, ייחוד זה מחייב גישה זהירה ומתונה בהפעלתה של עילת הסבירות, להבדיל מאשר את ביטולה, תוך הפיכת המשפט המינהלי לטריטוריה ייחודית שבה אין מקום לסבירות.</w:t>
      </w:r>
      <w:r>
        <w:rPr>
          <w:rFonts w:ascii="FrankRuehl" w:hAnsi="FrankRuehl" w:hint="cs"/>
          <w:sz w:val="28"/>
          <w:rtl/>
        </w:rPr>
        <w:t xml:space="preserve"> </w:t>
      </w:r>
    </w:p>
    <w:p w:rsidR="00E31875" w:rsidRDefault="00E31875" w:rsidP="00E31875">
      <w:pPr>
        <w:spacing w:line="360" w:lineRule="auto"/>
        <w:jc w:val="both"/>
        <w:rPr>
          <w:rFonts w:ascii="FrankRuehl" w:hAnsi="FrankRuehl" w:cs="FrankRuehl"/>
          <w:sz w:val="28"/>
          <w:szCs w:val="28"/>
          <w:rtl/>
        </w:rPr>
      </w:pPr>
    </w:p>
    <w:p w:rsidR="00E31875" w:rsidRPr="00D87434" w:rsidRDefault="00E31875" w:rsidP="00E31875">
      <w:pPr>
        <w:spacing w:line="360" w:lineRule="auto"/>
        <w:jc w:val="both"/>
        <w:rPr>
          <w:rFonts w:ascii="Century" w:hAnsi="Century" w:cs="Miriam"/>
          <w:b/>
          <w:sz w:val="22"/>
          <w:rtl/>
        </w:rPr>
      </w:pPr>
      <w:r w:rsidRPr="00D87434">
        <w:rPr>
          <w:rFonts w:ascii="Century" w:hAnsi="Century" w:cs="Miriam" w:hint="cs"/>
          <w:b/>
          <w:sz w:val="22"/>
          <w:rtl/>
        </w:rPr>
        <w:t>מבט נוסף על שאלת החלופות</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83. </w:t>
      </w:r>
      <w:r>
        <w:rPr>
          <w:rtl/>
        </w:rPr>
        <w:tab/>
      </w:r>
      <w:r>
        <w:rPr>
          <w:rFonts w:hint="cs"/>
          <w:rtl/>
        </w:rPr>
        <w:t xml:space="preserve">את הטענה בדבר קיומן של חלופות לעילת הסבירות יש לבחון גם מזווית נוספת, המתרוממת אל מעבר להשוואה דוקטרינרית שעניינה מידת החפיפה בין עילות הביקורת השונות. השאלה שבפנינו אינה אם מבחינה היפותטית ניתן היה לפתח את המשפט המינהלי בישראל באופן ראוי אף ללא עילת הסבירות במתכונתה העדכנית. ניתן בהחלט להעלות על הדעת את האפשרות שאילו לפני עשרות שנים, ואולי מיד לאחר פסק הדין בעניין </w:t>
      </w:r>
      <w:r w:rsidRPr="00D87434">
        <w:rPr>
          <w:rFonts w:ascii="Century" w:hAnsi="Century" w:cs="Miriam" w:hint="eastAsia"/>
          <w:b/>
          <w:spacing w:val="0"/>
          <w:szCs w:val="24"/>
          <w:rtl/>
        </w:rPr>
        <w:t>דפי</w:t>
      </w:r>
      <w:r w:rsidRPr="00D87434">
        <w:rPr>
          <w:rFonts w:ascii="Century" w:hAnsi="Century" w:cs="Miriam"/>
          <w:b/>
          <w:spacing w:val="0"/>
          <w:szCs w:val="24"/>
          <w:rtl/>
        </w:rPr>
        <w:t xml:space="preserve"> </w:t>
      </w:r>
      <w:r w:rsidRPr="00D87434">
        <w:rPr>
          <w:rFonts w:ascii="Century" w:hAnsi="Century" w:cs="Miriam" w:hint="eastAsia"/>
          <w:b/>
          <w:spacing w:val="0"/>
          <w:szCs w:val="24"/>
          <w:rtl/>
        </w:rPr>
        <w:t>זהב</w:t>
      </w:r>
      <w:r>
        <w:rPr>
          <w:rFonts w:hint="cs"/>
          <w:rtl/>
        </w:rPr>
        <w:t xml:space="preserve">, היה מתקבל דבר חקיקה שתוחם את גבולותיה של עילת הסבירות, לא היה בכך כדי להשפיע על יציבותה של השיטה הדמוקרטית שלנו. אילו כך נעשה, המשפט היה מתפתח על יסוד ההנחה שעילת הסבירות היא צרה או אף לא קיימת, ובהתאמה היו מתפתחות עילות אחרות. אלא שלא זה המצב שבפנינו. בעשרות השנים שחלפו מאז החל להתפתח המשפט הישראלי, עילת הסבירות הפכה להיות יסוד חשוב של ההגנה על השלטון החוק וההגנה על הפרט מפני שימוש פוגעני בכוח שלטוני. הסרתה של הגנה זו, מבלי שבמהלך השנים הללו פותחו מנגנוני ביקורת אחרים, יוצרת חלל שעצם קיומו </w:t>
      </w:r>
      <w:r>
        <w:rPr>
          <w:rtl/>
        </w:rPr>
        <w:t>–</w:t>
      </w:r>
      <w:r>
        <w:rPr>
          <w:rFonts w:hint="cs"/>
          <w:rtl/>
        </w:rPr>
        <w:t xml:space="preserve"> מבלי שניתן לו מענה מיידי </w:t>
      </w:r>
      <w:r>
        <w:rPr>
          <w:rtl/>
        </w:rPr>
        <w:t>–</w:t>
      </w:r>
      <w:r>
        <w:rPr>
          <w:rFonts w:hint="cs"/>
          <w:rtl/>
        </w:rPr>
        <w:t xml:space="preserve"> עלול ליצור נזקים בלתי הפיכים. די אם נשוב ונזכיר את הדוגמאות שציינתי לעיל: פיטורין של שומרי סף ללא ערובות שימנעו זאת ופעולות לא מבוקרות של ממשלות מעבר. למה הדבר דומה? לחולה הנדרש באחת להפסיק את הטיפול התרופתי שהוא נוטל לטיפול בבעיית לחץ דם. מלכתחילה, ייתכן שניתן היה לתת לו תרופה אחרת. אולם, הפסקת התרופה מבלי להבטיח תחליף באופן מיידי עלולה להיות מסכנת חיים עבורו. להבדיל, ניתן להעלות על הדעת תכנון של מבנה במתכונות ייצוב שונות. כל אחת מהן היא אפשרית. אולם, הסרת עמוד תמך שנבנה, מבלי שקיימת לו חלופה לתמיכת המבנה (גם אם מלכתחילה ניתן היה לבנותו באופן שונה לחלוטין) עלולה להיות הרסנית.</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84. </w:t>
      </w:r>
      <w:r>
        <w:rPr>
          <w:rFonts w:hint="cs"/>
          <w:rtl/>
        </w:rPr>
        <w:tab/>
        <w:t xml:space="preserve">זאת ועוד, שיח החלופות לעילת הסבירות מתמקד במלאכתם של בתי המשפט בלבד, ללא דגש מספק, כך לדעתי, על תפקידו של הייעוץ המשפטי. תיקון מס' 3 נועד להשפיע לא רק על פעילותם של בתי המשפט, אלא </w:t>
      </w:r>
      <w:r>
        <w:rPr>
          <w:rtl/>
        </w:rPr>
        <w:t>–</w:t>
      </w:r>
      <w:r>
        <w:rPr>
          <w:rFonts w:hint="cs"/>
          <w:rtl/>
        </w:rPr>
        <w:t xml:space="preserve"> לא פחות מכך </w:t>
      </w:r>
      <w:r>
        <w:rPr>
          <w:rtl/>
        </w:rPr>
        <w:t>–</w:t>
      </w:r>
      <w:r>
        <w:rPr>
          <w:rFonts w:hint="cs"/>
          <w:rtl/>
        </w:rPr>
        <w:t xml:space="preserve"> על פעילותו </w:t>
      </w:r>
      <w:r>
        <w:rPr>
          <w:rFonts w:hint="cs"/>
          <w:rtl/>
        </w:rPr>
        <w:lastRenderedPageBreak/>
        <w:t>השוטפת של הייעוץ המשפטי לממשלה וזרועותיו. אם החלטות מיניסטריאליות לא ייבחנו על-ידי בתי המשפט על-פי עילת הסבירות, יהיה בכך כדי להשליך על הגדרת הקשיים המשפטיים עוד בשלב המקדים של הייעוץ המשפטי. השיקול של פיתוח חלופות לעילת הסבירות אינו נותן מענה למצבים שעמם יידרש להתמודד הייעוץ המשפטי, המחויב בדרך-כלל להלכה הפסוקה כפי שהיא.</w:t>
      </w:r>
      <w:r w:rsidRPr="00AB3D9E">
        <w:rPr>
          <w:rFonts w:hint="cs"/>
          <w:rtl/>
        </w:rPr>
        <w:t xml:space="preserve"> </w:t>
      </w:r>
      <w:r>
        <w:rPr>
          <w:rFonts w:hint="cs"/>
          <w:rtl/>
        </w:rPr>
        <w:t xml:space="preserve">קשיים אלה אף מתעצמים בהתחשב בכך שמקרים רבים נעצרים על ספו של הייעוץ המשפטי, ואינם מגיעים כלל לשלב הביקורת השיפוטית. על כך יש להוסיף, כי ביטול הביקורת השיפוטית מכוח עילת הסבירות צפוי להשפיע אף על התנהלות הממשלה ושריה עצמם, ביודעם שההחלטות שיתקבלו על-ידיהם אינן צפויות לעמוד למבחן. אם כן, הלכה למעשה, קיומו של תיקון מס' 3 עלול להיות בעל השפעות מרחיקות לכת על הפרקטיקה של משרדי הממשלה, עוד לפני שלב הביקורת השיפוטית.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85. </w:t>
      </w:r>
      <w:r>
        <w:rPr>
          <w:rFonts w:hint="cs"/>
          <w:rtl/>
        </w:rPr>
        <w:tab/>
        <w:t xml:space="preserve">לבסוף, בהקשר זה, דווקא היותו של תיקון מס' 3 תיקון "קטן" מחדדת את אופיו הבעייתי, אף יותר מזה של תיקון "גדול". דווקא תיקון "קטן" מסוג זה יוצר חלל, "חור שחור" של שלטון החוק, מבלי שהוא מלווה במהלכים שהיו עשויים לצמצם את הקשיים שהוא יוצר במסגרת הסדרה כוללת יותר </w:t>
      </w:r>
      <w:r>
        <w:rPr>
          <w:rtl/>
        </w:rPr>
        <w:t>–</w:t>
      </w:r>
      <w:r>
        <w:rPr>
          <w:rFonts w:hint="cs"/>
          <w:rtl/>
        </w:rPr>
        <w:t xml:space="preserve"> כדוגמת הגדרה של עילות הביקורת האחרות במתכונת רחבה, קביעת הגנות מפני פיטורין של שומרי סף, הגדרה מצמצמת של סמכויותיה של ממשלת מעבר ועוד.</w:t>
      </w:r>
    </w:p>
    <w:p w:rsidR="00E31875" w:rsidRDefault="00E31875" w:rsidP="00E31875">
      <w:pPr>
        <w:spacing w:line="360" w:lineRule="auto"/>
        <w:jc w:val="both"/>
        <w:rPr>
          <w:rFonts w:ascii="FrankRuehl" w:hAnsi="FrankRuehl" w:cs="FrankRuehl"/>
          <w:sz w:val="28"/>
          <w:szCs w:val="28"/>
          <w:rtl/>
        </w:rPr>
      </w:pPr>
    </w:p>
    <w:p w:rsidR="00E31875" w:rsidRPr="00D87434" w:rsidRDefault="00E31875" w:rsidP="00E31875">
      <w:pPr>
        <w:spacing w:line="360" w:lineRule="auto"/>
        <w:jc w:val="both"/>
        <w:rPr>
          <w:rFonts w:ascii="Century" w:hAnsi="Century" w:cs="Miriam"/>
          <w:b/>
          <w:sz w:val="22"/>
          <w:rtl/>
        </w:rPr>
      </w:pPr>
      <w:r w:rsidRPr="00D87434">
        <w:rPr>
          <w:rFonts w:ascii="Century" w:hAnsi="Century" w:cs="Miriam" w:hint="cs"/>
          <w:b/>
          <w:sz w:val="22"/>
          <w:rtl/>
        </w:rPr>
        <w:t>האמנם "שבירת כלים"?</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86. </w:t>
      </w:r>
      <w:r>
        <w:rPr>
          <w:rFonts w:hint="cs"/>
          <w:rtl/>
        </w:rPr>
        <w:tab/>
        <w:t xml:space="preserve">בשלב זה, אני מבקשת לחזור לשאלה שבה התבקשנו להכריע: האם חסימתה של כל ביקורת שיפוטית על החלטות מיניסטריאליות וממשלתיות על סמך עילת הסבירות פוגעת באמות הספים של המשטר החוקתי של ישראל, במידה המצדיקה הפעלתה של ביקורת שיפוטית על חוק יסוד? אני משיבה על שאלה זו בחיוב. אודה ולא אבוש: אני סבורה שעילת הסבירות היא כלי חיוני לביקורת שיפוטית, התורם באופן מכריע להגנה על זכויות ואינטרסים של אנשים שעלולים להיפגע מהחלטות שלטוניות. אולם, עמדתי זו </w:t>
      </w:r>
      <w:r>
        <w:rPr>
          <w:rtl/>
        </w:rPr>
        <w:t>–</w:t>
      </w:r>
      <w:r>
        <w:rPr>
          <w:rFonts w:hint="cs"/>
          <w:rtl/>
        </w:rPr>
        <w:t xml:space="preserve"> המבטאת את השקפת עולמי המשפטית </w:t>
      </w:r>
      <w:r>
        <w:rPr>
          <w:rtl/>
        </w:rPr>
        <w:t>–</w:t>
      </w:r>
      <w:r>
        <w:rPr>
          <w:rFonts w:hint="cs"/>
          <w:rtl/>
        </w:rPr>
        <w:t xml:space="preserve"> אינה אמת המידה להכרעה בשאלת היקפה הראוי של הביקורת השיפוטית על תיקון מס' 3. אמת מידה זו היא מצומצמת בהרבה. אולם, כפי שאסביר, אף כאשר בוחנים את הדברים בהתאם לאמת המידה המצומצמת של "שבירת כלים", תיקון מס' 3 אינו יכול לעמוד.</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87. </w:t>
      </w:r>
      <w:r>
        <w:rPr>
          <w:rtl/>
        </w:rPr>
        <w:tab/>
      </w:r>
      <w:r>
        <w:rPr>
          <w:rFonts w:hint="cs"/>
          <w:rtl/>
        </w:rPr>
        <w:t xml:space="preserve">הטעם למסקנתי נעוץ בכך שתיקון מס' 3 כולל "אגרגציה" של כמה בעיות יסוד </w:t>
      </w:r>
      <w:r>
        <w:rPr>
          <w:rtl/>
        </w:rPr>
        <w:t>–</w:t>
      </w:r>
      <w:r>
        <w:rPr>
          <w:rFonts w:hint="cs"/>
          <w:rtl/>
        </w:rPr>
        <w:t xml:space="preserve"> הן פגיעה בפרטים שאינם יכולים לקבל סעד שיפוטי; הן פגיעה בביקורת על החלטות </w:t>
      </w:r>
      <w:r>
        <w:rPr>
          <w:rFonts w:hint="cs"/>
          <w:rtl/>
        </w:rPr>
        <w:lastRenderedPageBreak/>
        <w:t xml:space="preserve">שלהן פוטנציאל של השפעה על חילופי שלטון; והן פגיעה בביקורת של שומרי סף. אין זו ה"אגרגרציה" שמפניה הזהירו העותרים </w:t>
      </w:r>
      <w:r>
        <w:rPr>
          <w:rtl/>
        </w:rPr>
        <w:t>–</w:t>
      </w:r>
      <w:r>
        <w:rPr>
          <w:rFonts w:hint="cs"/>
          <w:rtl/>
        </w:rPr>
        <w:t xml:space="preserve"> כזו המתייחסת לאירועים שעשויים להתרחש ונמצאים עדיין בחיקו של העתיד. זוהי אגרגציה של נזקים הגלומים כולם כבר כעת בתיקון מס' 3 עצמו.</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88.</w:t>
      </w:r>
      <w:r>
        <w:rPr>
          <w:rFonts w:hint="cs"/>
          <w:rtl/>
        </w:rPr>
        <w:tab/>
        <w:t xml:space="preserve"> אני מתחזקת בדעתי גם נוכח העובדה שתחולתו של התיקון היא רחבה ורבת היקף מכפי שעולה מקריאה ראשונית בנוסחו. התיקון חל על-פי לשונו רק על החלטות של הממשלה עצמה ושל שריה, ומשאיר לכאורה על מכונה את הביקורת השיפוטית המבוססת על עילת הסבירות ביחס לעובדי ציבור ובעלי תפקידים אחרים במערך הממשלתי, שאינם חברים בממשלה עצמה. אולם, בהקשרים רבים תחולתו של התיקון משתרעת דה-פקטו, ולמעשה גם דה-יורה, על תחום הפעולה של משרדי הממשלה בכללותם. הרי, גם כאשר החלטות מינהליות מתקבלות על-ידי בעלי תפקידים אחרים במערך הממשלתי, הם אמורים לפעול כאשר הם משווים את מדיניות הממשלה נגד עיניהם. אם כן, כאשר רשות מינהלית או אחד מעובדיה יקבלו החלטה על-פי מדיניות השר, אשר כשלעצמה אינה כפופה לביקורת שיפוטית המבוססת על סבירות, לכאורה לא יהיה מקום לבקר החלטה זו על שום אי-סבירותה.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89. </w:t>
      </w:r>
      <w:r>
        <w:rPr>
          <w:rtl/>
        </w:rPr>
        <w:tab/>
      </w:r>
      <w:r>
        <w:rPr>
          <w:rFonts w:hint="cs"/>
          <w:rtl/>
        </w:rPr>
        <w:t xml:space="preserve">יתר על כן, כפי שציינה גם חברתי הנשיאה (בדימ') </w:t>
      </w:r>
      <w:r w:rsidRPr="00D87434">
        <w:rPr>
          <w:rFonts w:ascii="Century" w:hAnsi="Century" w:cs="Miriam" w:hint="eastAsia"/>
          <w:b/>
          <w:spacing w:val="0"/>
          <w:szCs w:val="24"/>
          <w:rtl/>
        </w:rPr>
        <w:t>חיות</w:t>
      </w:r>
      <w:r>
        <w:rPr>
          <w:rFonts w:hint="cs"/>
          <w:rtl/>
        </w:rPr>
        <w:t xml:space="preserve">, אין כל מניעה לכך שכמעט בכל מקרה שנוי במחלוקת ההחלטה תתקבל בפועל על-ידי השר הנוגע בדבר, על-מנת להימנע מביקורת שיפוטית. אכן, קיימת פרקטיקה של אצילת סמכויות, כך שבמקרים רבים ההחלטות אינן מתקבלות על-ידי השר עצמו. אולם, אין כל מניעה לבטל אצילת סמכויות בכל עת, ואחד מעקרונות היסוד של המשפט המינהלי הוא הזכות העומדת תמיד לבעל הסמכות הסטטוטורית לבטל את האצילה ולקבל החלטה בעצמו. כמו כן, השר המאציל את הסמכות, כמי שממשיך לשאת באחריות, יכול וחייב להדריך את הגורם שלו הוא מאציל את הסמכות באשר לאופן הפעלתה (ראו: </w:t>
      </w:r>
      <w:r w:rsidRPr="00D87434">
        <w:rPr>
          <w:rFonts w:ascii="Century" w:hAnsi="Century" w:cs="Miriam" w:hint="eastAsia"/>
          <w:b/>
          <w:spacing w:val="0"/>
          <w:szCs w:val="24"/>
          <w:rtl/>
        </w:rPr>
        <w:t>ברק</w:t>
      </w:r>
      <w:r w:rsidRPr="00D87434">
        <w:rPr>
          <w:rFonts w:ascii="Century" w:hAnsi="Century" w:cs="Miriam"/>
          <w:b/>
          <w:spacing w:val="0"/>
          <w:szCs w:val="24"/>
          <w:rtl/>
        </w:rPr>
        <w:t xml:space="preserve">-ארז </w:t>
      </w:r>
      <w:r w:rsidRPr="00D87434">
        <w:rPr>
          <w:rFonts w:ascii="Century" w:hAnsi="Century" w:cs="Miriam" w:hint="eastAsia"/>
          <w:b/>
          <w:spacing w:val="0"/>
          <w:szCs w:val="24"/>
          <w:rtl/>
        </w:rPr>
        <w:t>א</w:t>
      </w:r>
      <w:r>
        <w:rPr>
          <w:rFonts w:hint="cs"/>
          <w:rtl/>
        </w:rPr>
        <w:t>, בעמ' 188-187). יתר על כן, אף במצבים שבהם החוק מקנה את הסמכות במישרין לעובד ציבור הכפוף לשר, לרוב לא תהיה מניעה לנטילת הסמכות על-ידי השר (</w:t>
      </w:r>
      <w:r w:rsidRPr="00D87434">
        <w:rPr>
          <w:rFonts w:ascii="Century" w:hAnsi="Century" w:cs="Miriam" w:hint="eastAsia"/>
          <w:b/>
          <w:spacing w:val="0"/>
          <w:szCs w:val="24"/>
          <w:rtl/>
        </w:rPr>
        <w:t>שם</w:t>
      </w:r>
      <w:r>
        <w:rPr>
          <w:rFonts w:hint="cs"/>
          <w:rtl/>
        </w:rPr>
        <w:t xml:space="preserve">, בעמ' 199-198); הכול </w:t>
      </w:r>
      <w:r>
        <w:rPr>
          <w:rtl/>
        </w:rPr>
        <w:t>–</w:t>
      </w:r>
      <w:r>
        <w:rPr>
          <w:rFonts w:hint="cs"/>
          <w:rtl/>
        </w:rPr>
        <w:t xml:space="preserve"> בהתאם לתנאים הקבועים בסעיפים 34-33 לחוק-יסוד: הממשלה ביחס לאצילת סמכויות ולנטילת סמכויות. ניתן אמנם להניח שהשרים לא יפעלו לקבל את כלל ההחלטות בעצמם. אולם, המקרים החשובים לפיקוח על פעילותה של הרשות המבצעת הם דווקא אותם מקרים שמעוררים קושי או מחלוקת. במקרים אלה על-פי רוב ניתן יהיה "לחסן" את ההחלטה באמצעות ביטול אצילה או נטילת הסמכות. לא זו אף זו: יצירת "עיר מקלט" מפני ביקורת שיפוטית </w:t>
      </w:r>
      <w:r>
        <w:rPr>
          <w:rtl/>
        </w:rPr>
        <w:t>–</w:t>
      </w:r>
      <w:r>
        <w:rPr>
          <w:rFonts w:hint="cs"/>
          <w:rtl/>
        </w:rPr>
        <w:t xml:space="preserve"> החלטות בדרג הממשלתי </w:t>
      </w:r>
      <w:r>
        <w:rPr>
          <w:rtl/>
        </w:rPr>
        <w:t>–</w:t>
      </w:r>
      <w:r>
        <w:rPr>
          <w:rFonts w:hint="cs"/>
          <w:rtl/>
        </w:rPr>
        <w:t xml:space="preserve"> עלולה ליצור תמריץ </w:t>
      </w:r>
      <w:r>
        <w:rPr>
          <w:rFonts w:hint="cs"/>
          <w:rtl/>
        </w:rPr>
        <w:lastRenderedPageBreak/>
        <w:t>לחקיקה שתעניק עוד ועוד סמכויות דווקא לדרג הממשלתי, ובפרט החלטות המועדות לביקורת שיפוטית.</w:t>
      </w:r>
    </w:p>
    <w:p w:rsidR="00E31875" w:rsidRDefault="00E31875" w:rsidP="00E31875">
      <w:pPr>
        <w:spacing w:line="360" w:lineRule="auto"/>
        <w:jc w:val="both"/>
        <w:rPr>
          <w:rFonts w:ascii="FrankRuehl" w:hAnsi="FrankRuehl" w:cs="FrankRuehl"/>
          <w:sz w:val="28"/>
          <w:szCs w:val="28"/>
          <w:rtl/>
        </w:rPr>
      </w:pPr>
    </w:p>
    <w:p w:rsidR="00E31875" w:rsidRPr="00582BEF" w:rsidRDefault="00E31875" w:rsidP="00E31875">
      <w:pPr>
        <w:pStyle w:val="Ruller41"/>
        <w:rPr>
          <w:rFonts w:ascii="Century" w:hAnsi="Century"/>
          <w:rtl/>
        </w:rPr>
      </w:pPr>
      <w:r>
        <w:rPr>
          <w:rFonts w:hint="cs"/>
          <w:rtl/>
        </w:rPr>
        <w:t xml:space="preserve">90. </w:t>
      </w:r>
      <w:r>
        <w:rPr>
          <w:rFonts w:hint="cs"/>
          <w:rtl/>
        </w:rPr>
        <w:tab/>
        <w:t>על דרך ההשוואה, מעניין לציין כי הזיקה הקיימת בין החלטות המתקבלות על-ידי הדרג הפוליטי לבין החלטות שמתקבלות על-ידי הדרג המקצועי השפיעה על התפתחות המשפט המינהלי בארצות הברית בכיוון הפוך מזה שבו מצדד תיקון מס' 3. השוואה זו נוגעת לפרקטיקה של הוצאת "צווים נשיאותיים" (</w:t>
      </w:r>
      <w:r w:rsidRPr="000D302F">
        <w:rPr>
          <w:rFonts w:asciiTheme="majorBidi" w:hAnsiTheme="majorBidi" w:cstheme="majorBidi"/>
          <w:sz w:val="24"/>
          <w:szCs w:val="24"/>
        </w:rPr>
        <w:t>Presidential Orders</w:t>
      </w:r>
      <w:r>
        <w:rPr>
          <w:rFonts w:hint="cs"/>
          <w:rtl/>
        </w:rPr>
        <w:t xml:space="preserve">) אשר להם נפקות מבחינת הכוונת ההחלטות המתקבלות על-ידי הרשויות עצמן (במינוח המקובל שם </w:t>
      </w:r>
      <w:r>
        <w:rPr>
          <w:rtl/>
        </w:rPr>
        <w:t>–</w:t>
      </w:r>
      <w:r>
        <w:rPr>
          <w:rFonts w:hint="cs"/>
          <w:rtl/>
        </w:rPr>
        <w:t xml:space="preserve"> </w:t>
      </w:r>
      <w:r w:rsidRPr="000D302F">
        <w:rPr>
          <w:rFonts w:asciiTheme="majorBidi" w:hAnsiTheme="majorBidi" w:cstheme="majorBidi"/>
          <w:sz w:val="24"/>
          <w:szCs w:val="24"/>
        </w:rPr>
        <w:t>agencies</w:t>
      </w:r>
      <w:r>
        <w:rPr>
          <w:rFonts w:hint="cs"/>
          <w:rtl/>
        </w:rPr>
        <w:t>). בהינתן השפעה זו, בתי המשפט הפדרליים החלו לפתוח שעריהם גם להליכים המכוונים נגד הצווים הנשיאותיים עצמם, ולא רק נגד החלטות הרשויות שעליהן חל במישרין ה-</w:t>
      </w:r>
      <w:r w:rsidRPr="00582BEF">
        <w:rPr>
          <w:rFonts w:asciiTheme="majorBidi" w:hAnsiTheme="majorBidi" w:cstheme="majorBidi"/>
          <w:sz w:val="24"/>
          <w:szCs w:val="24"/>
        </w:rPr>
        <w:t>Administrative Procedure Act, 1946</w:t>
      </w:r>
      <w:r>
        <w:rPr>
          <w:rFonts w:hint="cs"/>
          <w:rtl/>
        </w:rPr>
        <w:t xml:space="preserve"> </w:t>
      </w:r>
      <w:r>
        <w:rPr>
          <w:rFonts w:ascii="Century" w:hAnsi="Century" w:hint="cs"/>
          <w:rtl/>
        </w:rPr>
        <w:t xml:space="preserve">(ראו למשל: </w:t>
      </w:r>
      <w:r w:rsidRPr="00582BEF">
        <w:rPr>
          <w:rFonts w:asciiTheme="majorBidi" w:hAnsiTheme="majorBidi" w:cstheme="majorBidi"/>
          <w:sz w:val="24"/>
          <w:szCs w:val="24"/>
        </w:rPr>
        <w:t xml:space="preserve">Lisa Manheim &amp; Kathryn A. Watts, </w:t>
      </w:r>
      <w:r w:rsidRPr="00582BEF">
        <w:rPr>
          <w:rFonts w:asciiTheme="majorBidi" w:hAnsiTheme="majorBidi" w:cstheme="majorBidi"/>
          <w:i/>
          <w:iCs/>
          <w:sz w:val="24"/>
          <w:szCs w:val="24"/>
        </w:rPr>
        <w:t>Reviewing Presidential Orders</w:t>
      </w:r>
      <w:r w:rsidRPr="00582BEF">
        <w:rPr>
          <w:rFonts w:asciiTheme="majorBidi" w:hAnsiTheme="majorBidi" w:cstheme="majorBidi"/>
          <w:sz w:val="24"/>
          <w:szCs w:val="24"/>
        </w:rPr>
        <w:t xml:space="preserve">, 86 </w:t>
      </w:r>
      <w:r w:rsidRPr="00582BEF">
        <w:rPr>
          <w:rFonts w:asciiTheme="majorBidi" w:hAnsiTheme="majorBidi" w:cstheme="majorBidi"/>
          <w:smallCaps/>
          <w:sz w:val="24"/>
          <w:szCs w:val="24"/>
        </w:rPr>
        <w:t>U. Chi. L. Rev.</w:t>
      </w:r>
      <w:r w:rsidRPr="00582BEF">
        <w:rPr>
          <w:rFonts w:asciiTheme="majorBidi" w:hAnsiTheme="majorBidi" w:cstheme="majorBidi"/>
          <w:sz w:val="24"/>
          <w:szCs w:val="24"/>
        </w:rPr>
        <w:t xml:space="preserve"> 1743 (2019)</w:t>
      </w:r>
      <w:r>
        <w:rPr>
          <w:rFonts w:ascii="Century" w:hAnsi="Century" w:hint="cs"/>
          <w:rtl/>
        </w:rPr>
        <w:t xml:space="preserve">). תיקון מס' 3 מבטא מגמה הפוכה </w:t>
      </w:r>
      <w:r>
        <w:rPr>
          <w:rFonts w:ascii="Century" w:hAnsi="Century"/>
          <w:rtl/>
        </w:rPr>
        <w:t>–</w:t>
      </w:r>
      <w:r>
        <w:rPr>
          <w:rFonts w:ascii="Century" w:hAnsi="Century" w:hint="cs"/>
          <w:rtl/>
        </w:rPr>
        <w:t xml:space="preserve"> צמצום היקפה של הביקורת השיפוטית על הדרג הנבחר, באופן שעלול להשפיע במישרין גם על צמצום היקפה של הביקורת השיפוטית על הדרג הפקידותי.</w:t>
      </w:r>
    </w:p>
    <w:p w:rsidR="00E31875" w:rsidRDefault="00E31875" w:rsidP="00E31875">
      <w:pPr>
        <w:spacing w:line="360" w:lineRule="auto"/>
        <w:jc w:val="both"/>
        <w:rPr>
          <w:rFonts w:ascii="FrankRuehl" w:hAnsi="FrankRuehl" w:cs="FrankRuehl"/>
          <w:sz w:val="28"/>
          <w:szCs w:val="28"/>
          <w:rtl/>
        </w:rPr>
      </w:pPr>
    </w:p>
    <w:p w:rsidR="00E31875" w:rsidRPr="00D87434" w:rsidRDefault="00E31875" w:rsidP="00E31875">
      <w:pPr>
        <w:spacing w:line="360" w:lineRule="auto"/>
        <w:jc w:val="both"/>
        <w:rPr>
          <w:rFonts w:ascii="Century" w:hAnsi="Century" w:cs="Miriam"/>
          <w:b/>
          <w:sz w:val="22"/>
          <w:rtl/>
        </w:rPr>
      </w:pPr>
      <w:r w:rsidRPr="00D87434">
        <w:rPr>
          <w:rFonts w:ascii="Century" w:hAnsi="Century" w:cs="Miriam" w:hint="eastAsia"/>
          <w:b/>
          <w:sz w:val="22"/>
          <w:rtl/>
        </w:rPr>
        <w:t>האם</w:t>
      </w:r>
      <w:r w:rsidRPr="00D87434">
        <w:rPr>
          <w:rFonts w:ascii="Century" w:hAnsi="Century" w:cs="Miriam"/>
          <w:b/>
          <w:sz w:val="22"/>
          <w:rtl/>
        </w:rPr>
        <w:t xml:space="preserve"> </w:t>
      </w:r>
      <w:r w:rsidRPr="00D87434">
        <w:rPr>
          <w:rFonts w:ascii="Century" w:hAnsi="Century" w:cs="Miriam" w:hint="eastAsia"/>
          <w:b/>
          <w:sz w:val="22"/>
          <w:rtl/>
        </w:rPr>
        <w:t>קיימת</w:t>
      </w:r>
      <w:r w:rsidRPr="00D87434">
        <w:rPr>
          <w:rFonts w:ascii="Century" w:hAnsi="Century" w:cs="Miriam"/>
          <w:b/>
          <w:sz w:val="22"/>
          <w:rtl/>
        </w:rPr>
        <w:t xml:space="preserve"> </w:t>
      </w:r>
      <w:r w:rsidRPr="00D87434">
        <w:rPr>
          <w:rFonts w:ascii="Century" w:hAnsi="Century" w:cs="Miriam" w:hint="eastAsia"/>
          <w:b/>
          <w:sz w:val="22"/>
          <w:rtl/>
        </w:rPr>
        <w:t>חלופה</w:t>
      </w:r>
      <w:r w:rsidRPr="00D87434">
        <w:rPr>
          <w:rFonts w:ascii="Century" w:hAnsi="Century" w:cs="Miriam"/>
          <w:b/>
          <w:sz w:val="22"/>
          <w:rtl/>
        </w:rPr>
        <w:t xml:space="preserve"> </w:t>
      </w:r>
      <w:r w:rsidRPr="00D87434">
        <w:rPr>
          <w:rFonts w:ascii="Century" w:hAnsi="Century" w:cs="Miriam" w:hint="eastAsia"/>
          <w:b/>
          <w:sz w:val="22"/>
          <w:rtl/>
        </w:rPr>
        <w:t>לפסילה</w:t>
      </w:r>
      <w:r w:rsidRPr="00D87434">
        <w:rPr>
          <w:rFonts w:ascii="Century" w:hAnsi="Century" w:cs="Miriam"/>
          <w:b/>
          <w:sz w:val="22"/>
          <w:rtl/>
        </w:rPr>
        <w:t xml:space="preserve"> </w:t>
      </w:r>
      <w:r w:rsidRPr="00D87434">
        <w:rPr>
          <w:rFonts w:ascii="Century" w:hAnsi="Century" w:cs="Miriam" w:hint="cs"/>
          <w:b/>
          <w:sz w:val="22"/>
          <w:rtl/>
        </w:rPr>
        <w:t>מוחלטת</w:t>
      </w:r>
      <w:r w:rsidRPr="00D87434">
        <w:rPr>
          <w:rFonts w:ascii="Century" w:hAnsi="Century" w:cs="Miriam"/>
          <w:b/>
          <w:sz w:val="22"/>
          <w:rtl/>
        </w:rPr>
        <w:t xml:space="preserve"> </w:t>
      </w:r>
      <w:r w:rsidRPr="00D87434">
        <w:rPr>
          <w:rFonts w:ascii="Century" w:hAnsi="Century" w:cs="Miriam" w:hint="eastAsia"/>
          <w:b/>
          <w:sz w:val="22"/>
          <w:rtl/>
        </w:rPr>
        <w:t>של</w:t>
      </w:r>
      <w:r w:rsidRPr="00D87434">
        <w:rPr>
          <w:rFonts w:ascii="Century" w:hAnsi="Century" w:cs="Miriam"/>
          <w:b/>
          <w:sz w:val="22"/>
          <w:rtl/>
        </w:rPr>
        <w:t xml:space="preserve"> </w:t>
      </w:r>
      <w:r w:rsidRPr="00D87434">
        <w:rPr>
          <w:rFonts w:ascii="Century" w:hAnsi="Century" w:cs="Miriam" w:hint="eastAsia"/>
          <w:b/>
          <w:sz w:val="22"/>
          <w:rtl/>
        </w:rPr>
        <w:t>תיקון</w:t>
      </w:r>
      <w:r w:rsidRPr="00D87434">
        <w:rPr>
          <w:rFonts w:ascii="Century" w:hAnsi="Century" w:cs="Miriam"/>
          <w:b/>
          <w:sz w:val="22"/>
          <w:rtl/>
        </w:rPr>
        <w:t xml:space="preserve"> </w:t>
      </w:r>
      <w:r w:rsidRPr="00D87434">
        <w:rPr>
          <w:rFonts w:ascii="Century" w:hAnsi="Century" w:cs="Miriam" w:hint="eastAsia"/>
          <w:b/>
          <w:sz w:val="22"/>
          <w:rtl/>
        </w:rPr>
        <w:t>מס</w:t>
      </w:r>
      <w:r w:rsidRPr="00D87434">
        <w:rPr>
          <w:rFonts w:ascii="Century" w:hAnsi="Century" w:cs="Miriam"/>
          <w:b/>
          <w:sz w:val="22"/>
          <w:rtl/>
        </w:rPr>
        <w:t>' 3?</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91. </w:t>
      </w:r>
      <w:r>
        <w:rPr>
          <w:rFonts w:hint="cs"/>
          <w:rtl/>
        </w:rPr>
        <w:tab/>
        <w:t xml:space="preserve">האמת ניתנת להיאמר: בהתחשב באמת המידה המצמצמת שצריכה להנחות אותנו בדיון החוקתי, אפשר להעלות על הדעת סוגים מסוימים של החלטות שביחס אליהן הגבלת הביקורת השיפוטית המבוססת על סבירות </w:t>
      </w:r>
      <w:r>
        <w:rPr>
          <w:rtl/>
        </w:rPr>
        <w:t>–</w:t>
      </w:r>
      <w:r>
        <w:rPr>
          <w:rFonts w:hint="cs"/>
          <w:rtl/>
        </w:rPr>
        <w:t xml:space="preserve"> גם אם אינה אופטימלית </w:t>
      </w:r>
      <w:r>
        <w:rPr>
          <w:rtl/>
        </w:rPr>
        <w:t>–</w:t>
      </w:r>
      <w:r>
        <w:rPr>
          <w:rFonts w:hint="cs"/>
          <w:rtl/>
        </w:rPr>
        <w:t xml:space="preserve"> אינה פוגעת בהכרח ביסודות השיטה הדמוקרטית. כך למשל, קביעה כי החלטות מדיניות רחבות של הממשלה, כאלה שנושאות אופי כללי (למשל, העדפת פיתוח הנגב על פני פיתוח של חבלי ארץ אחרים) לא הייתה מעוררת בהכרח קושי חוקתי. זאת, מאחר שאלה אינן החלטות המשפיעות במישרין על זכויות של אנשים מסוימים. למעשה, במידה רבה תיקון כזה היה משקף את הפרקטיקה הקיימת של התערבות שיפוטית מצומצמת ביותר בהחלטות מדיניות של הממשלה ושריה</w:t>
      </w:r>
      <w:r w:rsidRPr="007F303C">
        <w:rPr>
          <w:rtl/>
        </w:rPr>
        <w:t xml:space="preserve"> </w:t>
      </w:r>
      <w:r>
        <w:rPr>
          <w:rFonts w:hint="cs"/>
          <w:rtl/>
        </w:rPr>
        <w:t xml:space="preserve">(ראו למשל: </w:t>
      </w:r>
      <w:r w:rsidRPr="007F303C">
        <w:rPr>
          <w:rtl/>
        </w:rPr>
        <w:t>בג"ץ 6654</w:t>
      </w:r>
      <w:r>
        <w:rPr>
          <w:rFonts w:hint="cs"/>
          <w:rtl/>
        </w:rPr>
        <w:t>/</w:t>
      </w:r>
      <w:r w:rsidRPr="007F303C">
        <w:rPr>
          <w:rtl/>
        </w:rPr>
        <w:t xml:space="preserve">22 </w:t>
      </w:r>
      <w:r w:rsidRPr="00D87434">
        <w:rPr>
          <w:rFonts w:ascii="Century" w:hAnsi="Century" w:cs="Miriam"/>
          <w:b/>
          <w:spacing w:val="0"/>
          <w:szCs w:val="24"/>
          <w:rtl/>
        </w:rPr>
        <w:t>פורום קהלת נ' ראש הממשלה</w:t>
      </w:r>
      <w:r w:rsidRPr="008F09A4">
        <w:rPr>
          <w:rFonts w:hint="cs"/>
          <w:rtl/>
        </w:rPr>
        <w:t xml:space="preserve"> </w:t>
      </w:r>
      <w:r>
        <w:rPr>
          <w:rFonts w:hint="cs"/>
          <w:rtl/>
        </w:rPr>
        <w:t xml:space="preserve">(13.12.2022); בג"ץ 8349/23 </w:t>
      </w:r>
      <w:r w:rsidRPr="00D87434">
        <w:rPr>
          <w:rFonts w:ascii="Century" w:hAnsi="Century" w:cs="Miriam" w:hint="eastAsia"/>
          <w:b/>
          <w:spacing w:val="0"/>
          <w:szCs w:val="24"/>
          <w:rtl/>
        </w:rPr>
        <w:t>ארגון</w:t>
      </w:r>
      <w:r w:rsidRPr="00D87434">
        <w:rPr>
          <w:rFonts w:ascii="Century" w:hAnsi="Century" w:cs="Miriam"/>
          <w:b/>
          <w:spacing w:val="0"/>
          <w:szCs w:val="24"/>
          <w:rtl/>
        </w:rPr>
        <w:t xml:space="preserve"> </w:t>
      </w:r>
      <w:r w:rsidRPr="00D87434">
        <w:rPr>
          <w:rFonts w:ascii="Century" w:hAnsi="Century" w:cs="Miriam" w:hint="eastAsia"/>
          <w:b/>
          <w:spacing w:val="0"/>
          <w:szCs w:val="24"/>
          <w:rtl/>
        </w:rPr>
        <w:t>אלמגור</w:t>
      </w:r>
      <w:r w:rsidRPr="00D87434">
        <w:rPr>
          <w:rFonts w:ascii="Century" w:hAnsi="Century" w:cs="Miriam"/>
          <w:b/>
          <w:spacing w:val="0"/>
          <w:szCs w:val="24"/>
          <w:rtl/>
        </w:rPr>
        <w:t xml:space="preserve"> </w:t>
      </w:r>
      <w:r w:rsidRPr="00D87434">
        <w:rPr>
          <w:rFonts w:ascii="Century" w:hAnsi="Century" w:cs="Miriam" w:hint="eastAsia"/>
          <w:b/>
          <w:spacing w:val="0"/>
          <w:szCs w:val="24"/>
          <w:rtl/>
        </w:rPr>
        <w:t>נ</w:t>
      </w:r>
      <w:r w:rsidRPr="00D87434">
        <w:rPr>
          <w:rFonts w:ascii="Century" w:hAnsi="Century" w:cs="Miriam"/>
          <w:b/>
          <w:spacing w:val="0"/>
          <w:szCs w:val="24"/>
          <w:rtl/>
        </w:rPr>
        <w:t xml:space="preserve">' </w:t>
      </w:r>
      <w:r w:rsidRPr="00D87434">
        <w:rPr>
          <w:rFonts w:ascii="Century" w:hAnsi="Century" w:cs="Miriam" w:hint="eastAsia"/>
          <w:b/>
          <w:spacing w:val="0"/>
          <w:szCs w:val="24"/>
          <w:rtl/>
        </w:rPr>
        <w:t>מדינת</w:t>
      </w:r>
      <w:r w:rsidRPr="00D87434">
        <w:rPr>
          <w:rFonts w:ascii="Century" w:hAnsi="Century" w:cs="Miriam"/>
          <w:b/>
          <w:spacing w:val="0"/>
          <w:szCs w:val="24"/>
          <w:rtl/>
        </w:rPr>
        <w:t xml:space="preserve"> </w:t>
      </w:r>
      <w:r w:rsidRPr="00D87434">
        <w:rPr>
          <w:rFonts w:ascii="Century" w:hAnsi="Century" w:cs="Miriam" w:hint="eastAsia"/>
          <w:b/>
          <w:spacing w:val="0"/>
          <w:szCs w:val="24"/>
          <w:rtl/>
        </w:rPr>
        <w:t>ישראל</w:t>
      </w:r>
      <w:r w:rsidRPr="00D87434">
        <w:rPr>
          <w:rFonts w:hint="cs"/>
          <w:rtl/>
        </w:rPr>
        <w:t xml:space="preserve"> </w:t>
      </w:r>
      <w:r>
        <w:rPr>
          <w:rFonts w:hint="cs"/>
          <w:rtl/>
        </w:rPr>
        <w:t xml:space="preserve">(22.11.2023). ראו עוד </w:t>
      </w:r>
      <w:r w:rsidRPr="00B32E48">
        <w:rPr>
          <w:rFonts w:hint="cs"/>
          <w:rtl/>
        </w:rPr>
        <w:t xml:space="preserve">בפסקה </w:t>
      </w:r>
      <w:r>
        <w:rPr>
          <w:rFonts w:hint="cs"/>
          <w:rtl/>
        </w:rPr>
        <w:t>30</w:t>
      </w:r>
      <w:r w:rsidRPr="00B32E48">
        <w:rPr>
          <w:rFonts w:hint="cs"/>
          <w:rtl/>
        </w:rPr>
        <w:t xml:space="preserve"> לעיל</w:t>
      </w:r>
      <w:r>
        <w:rPr>
          <w:rFonts w:hint="cs"/>
          <w:rtl/>
        </w:rPr>
        <w:t xml:space="preserve">).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92.</w:t>
      </w:r>
      <w:r>
        <w:rPr>
          <w:rFonts w:hint="cs"/>
          <w:rtl/>
        </w:rPr>
        <w:tab/>
        <w:t xml:space="preserve">מבלי לקבוע מסמרות, דוגמה נוספת עשויה להיות הביקורת השיפוטית על החלטות הנוגעות למינויים ולפיטורים של שרים וסגני שרים (להבדיל ממינויים ופיטורים באופן כללי). החלטות אלו נושאות אופי מיוחד. ההחלטה על בחירתם של מועמדים לתפקידי שרים וסגני שרים וההחלטה לפטרם מונעת כל כולה משיקולים פוליטיים, </w:t>
      </w:r>
      <w:r>
        <w:rPr>
          <w:rFonts w:hint="cs"/>
          <w:rtl/>
        </w:rPr>
        <w:lastRenderedPageBreak/>
        <w:t xml:space="preserve">ושיקולים אלה הם לגיטימיים באותו הקשר, בשונה מאשר בהקשרים אחרים. אף במקרים שבהם בית משפט זה התערב על יסודה של עילת הסבירות בסוגיה הנוגעת למינויים ולפיטורים של שרים הוא הבהיר שהתחשבות בשיקולים פוליטיים בהקשר זה היא חוקית (ראו: בג"ץ 3094/93 </w:t>
      </w:r>
      <w:r w:rsidRPr="00D87434">
        <w:rPr>
          <w:rFonts w:ascii="Century" w:hAnsi="Century" w:cs="Miriam" w:hint="cs"/>
          <w:b/>
          <w:spacing w:val="0"/>
          <w:szCs w:val="24"/>
          <w:rtl/>
        </w:rPr>
        <w:t>התנועה למען איכות השלטון בישראל נ' ממשלת ישראל</w:t>
      </w:r>
      <w:r>
        <w:rPr>
          <w:rFonts w:hint="cs"/>
          <w:rtl/>
        </w:rPr>
        <w:t xml:space="preserve">, פ"ד מז(5) 404, 420 (1993); בג"ץ 4287/93 </w:t>
      </w:r>
      <w:r w:rsidRPr="00D87434">
        <w:rPr>
          <w:rFonts w:ascii="Century" w:hAnsi="Century" w:cs="Miriam" w:hint="cs"/>
          <w:b/>
          <w:spacing w:val="0"/>
          <w:szCs w:val="24"/>
          <w:rtl/>
        </w:rPr>
        <w:t xml:space="preserve">אמיתי </w:t>
      </w:r>
      <w:r w:rsidRPr="00D87434">
        <w:rPr>
          <w:rFonts w:ascii="Century" w:hAnsi="Century" w:cs="Miriam"/>
          <w:b/>
          <w:spacing w:val="0"/>
          <w:szCs w:val="24"/>
          <w:rtl/>
        </w:rPr>
        <w:t>–</w:t>
      </w:r>
      <w:r w:rsidRPr="00D87434">
        <w:rPr>
          <w:rFonts w:ascii="Century" w:hAnsi="Century" w:cs="Miriam" w:hint="cs"/>
          <w:b/>
          <w:spacing w:val="0"/>
          <w:szCs w:val="24"/>
          <w:rtl/>
        </w:rPr>
        <w:t xml:space="preserve"> אזרחים למען מינהל תקין וטוהר המידות נ' ראש ממשלת ישראל</w:t>
      </w:r>
      <w:r>
        <w:rPr>
          <w:rFonts w:hint="cs"/>
          <w:rtl/>
        </w:rPr>
        <w:t xml:space="preserve">, פ"ד מז(5) 441, 463 (1993)). בכך תפקידים אלה שונים ביסודם מכל מינוי אחר. אכן, הביקורת השיפוטית על החלטות אלה בגדרה של עילת הסבירות העלתה תרומה חשובה לפיקוח על טוהר המידות של המכהנים בתפקידים כאלה (כפי שעולה משני פסקי הדין הנזכרים לעיל וידועים כהלכת </w:t>
      </w:r>
      <w:r w:rsidRPr="00D87434">
        <w:rPr>
          <w:rFonts w:ascii="Century" w:hAnsi="Century" w:cs="Miriam"/>
          <w:b/>
          <w:spacing w:val="0"/>
          <w:szCs w:val="24"/>
          <w:rtl/>
        </w:rPr>
        <w:t>דרעי-פנחסי</w:t>
      </w:r>
      <w:r>
        <w:rPr>
          <w:rFonts w:hint="cs"/>
          <w:rtl/>
        </w:rPr>
        <w:t xml:space="preserve">)). עם זאת, קשה לומר שהגבלה על הביקורת השיפוטית ביחס להחלטות על מינויים ופיטורים של שרים וסגני שרים הייתה עולה כדי פגיעה בזכויות של הנוגעים בדבר, בהתחשב בכך שההחלטות בתחום זה הן מלכתחילה, ובדין, פוליטיות. על כן, מבלי לקבוע מסמרות, וכפי שמציין גם חברי השופט </w:t>
      </w:r>
      <w:r w:rsidRPr="00D87434">
        <w:rPr>
          <w:rFonts w:ascii="Century" w:hAnsi="Century" w:cs="Miriam" w:hint="cs"/>
          <w:b/>
          <w:spacing w:val="0"/>
          <w:szCs w:val="24"/>
          <w:rtl/>
        </w:rPr>
        <w:t>עמית</w:t>
      </w:r>
      <w:r w:rsidRPr="00031830">
        <w:rPr>
          <w:rFonts w:ascii="Century" w:hAnsi="Century" w:cs="Miriam" w:hint="cs"/>
          <w:b/>
          <w:szCs w:val="24"/>
          <w:rtl/>
        </w:rPr>
        <w:t xml:space="preserve"> </w:t>
      </w:r>
      <w:r>
        <w:rPr>
          <w:rFonts w:hint="cs"/>
          <w:rtl/>
        </w:rPr>
        <w:t xml:space="preserve">(בפסקה 3 לפסק דינו), ייתכן שתיקון המגביל את הביקורת השיפוטית לפי עילת הסבירות על החלטות הנוגעות למינויים ולפיטורים של שרים, לו היה נחקק, גם אם לא היה משקף מדיניות רצויה, היה נותר בגדרי המסגרת החוקתית הלגיטימית (בכפוף לביקורת שיפוטית מכוח עילות אחרות, במקרים מתאימים, כפי שסברתי </w:t>
      </w:r>
      <w:r w:rsidRPr="003F67B9">
        <w:rPr>
          <w:rtl/>
        </w:rPr>
        <w:t xml:space="preserve">בבג"ץ 8948/22 </w:t>
      </w:r>
      <w:r w:rsidRPr="00D87434">
        <w:rPr>
          <w:rFonts w:ascii="Century" w:hAnsi="Century" w:cs="Miriam"/>
          <w:b/>
          <w:spacing w:val="0"/>
          <w:szCs w:val="24"/>
          <w:rtl/>
        </w:rPr>
        <w:t>שיינפלד נ' הכנסת</w:t>
      </w:r>
      <w:r>
        <w:rPr>
          <w:rFonts w:hint="cs"/>
          <w:rtl/>
        </w:rPr>
        <w:t>, פסקאות 21-20 לפסק דיני</w:t>
      </w:r>
      <w:r w:rsidRPr="003F67B9">
        <w:rPr>
          <w:rtl/>
        </w:rPr>
        <w:t xml:space="preserve"> (18.1.2023)</w:t>
      </w:r>
      <w:r>
        <w:rPr>
          <w:rFonts w:hint="cs"/>
          <w:rtl/>
        </w:rPr>
        <w:t>).</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93. </w:t>
      </w:r>
      <w:r>
        <w:rPr>
          <w:rFonts w:hint="cs"/>
          <w:rtl/>
        </w:rPr>
        <w:tab/>
        <w:t xml:space="preserve">אם כן, מנקודת מבטי, תיקון מס' 3 בנוסח שבו התקבל כורך בתוכו סוגים שונים של חסימת הדרך לערכאות במקרה של הפרת חובת הסבירות מצד הממשלה או שריה. ככל שמדובר בהחלטות שלהן השלכה ברורה על עניינם של אנשים פרטיים (לרבות קבוצות של אנשים מסוימים), למעט מינויים ופיטורים של שרים וסגני שרים, תיקון מס' 3 פוגע בשלטון החוק במובנו הגרעיני, בשל חסימת האפשרות לאכוף פגיעה באינטרסים וזכויות. באופן אחר, החלטות בלתי סבירות המתקבלות על-ידי ממשלת מעבר עלולות לפגוע בהליך הדמוקרטי, בשל השלכותיהן הפוטנציאליות על חילופי השלטון, וכן עלולות ליצור הפרה של האיזון בין הרשויות, ככל שהדברים נוגעים לתפקודם של שומרי הסף. לעומת זאת, ככל שהתיקון נועד לחסום ביקורת שיפוטית על החלטות מדיניות בעלות אופי כללי (ללא השלכה קונקרטית על אנשים מסוימים) או על מינויים ופיטורים של שרים וסגני שרים </w:t>
      </w:r>
      <w:r>
        <w:rPr>
          <w:rtl/>
        </w:rPr>
        <w:t>–</w:t>
      </w:r>
      <w:r>
        <w:rPr>
          <w:rFonts w:hint="cs"/>
          <w:rtl/>
        </w:rPr>
        <w:t xml:space="preserve"> אני סבורה שחרף האופי הבעייתי של התיקון, לא ניתן היה לומר על היבטים אלה בלבד שהם עולים כדי פגיעה ביסודות השיטה.</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94. </w:t>
      </w:r>
      <w:r>
        <w:rPr>
          <w:rFonts w:hint="cs"/>
          <w:rtl/>
        </w:rPr>
        <w:tab/>
        <w:t xml:space="preserve">זה המקום לציין כי חלק גדול מן הביקורות שהובעו ביחס לעילת הסבירות, כפי שתוארו בפסק דינה של חברתי השופטת </w:t>
      </w:r>
      <w:r w:rsidRPr="00D87434">
        <w:rPr>
          <w:rFonts w:ascii="Century" w:hAnsi="Century" w:cs="Miriam" w:hint="eastAsia"/>
          <w:b/>
          <w:spacing w:val="0"/>
          <w:szCs w:val="24"/>
          <w:rtl/>
        </w:rPr>
        <w:t>וילנר</w:t>
      </w:r>
      <w:r>
        <w:rPr>
          <w:rFonts w:hint="cs"/>
          <w:rtl/>
        </w:rPr>
        <w:t>, התמקדו במקרים מסוימים של אופן והיקף הפעלתה. כך למשל, במרכזן של רבות מן הביקורות שהוזכרו</w:t>
      </w:r>
      <w:r w:rsidRPr="00250123">
        <w:rPr>
          <w:rFonts w:hint="cs"/>
          <w:rtl/>
        </w:rPr>
        <w:t xml:space="preserve"> </w:t>
      </w:r>
      <w:r>
        <w:rPr>
          <w:rFonts w:hint="cs"/>
          <w:rtl/>
        </w:rPr>
        <w:t xml:space="preserve">עמדה הביקורת </w:t>
      </w:r>
      <w:r>
        <w:rPr>
          <w:rFonts w:hint="cs"/>
          <w:rtl/>
        </w:rPr>
        <w:lastRenderedPageBreak/>
        <w:t>השיפוטית על מינויי שרים מטעמים של סבירות. דווקא משום כך ניתן להצטער על כך שתיקון מס' 3 כרך, ללא הפרדה, בין סוגים שונים של ביקורת שיפוטית על החלטות הממשלה ושריה, וחתר לביטול כולל ופוגעני של עילת הסבירות גם בהקשרים מובהקים של פגיעה בעניינם של אנשים קונקרטיים, ובהקשרים שאין בינם לבין החיים הפוליטיים ולא כלום.</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95. </w:t>
      </w:r>
      <w:r>
        <w:rPr>
          <w:rFonts w:hint="cs"/>
          <w:rtl/>
        </w:rPr>
        <w:tab/>
        <w:t xml:space="preserve">על רקע האמור, יכולה הייתה להתעורר השאלה האם זהו אחד מאותם מקרים שבהם ניתן לעשות שימוש ב"עקרון העיפרון הכחול", המאפשר להפריד בין החוקי לבין הבלתי חוקי, תוך צמצום הסעד רק לאותם היבטים של התיקון שאינם צולחים את מבחני החוקתיות. בעיקרון זה נעשה שימוש בענפי משפט שונים. הוא מוכר מתחום דיני החוזים, שמאפשרים להורות על בטלותו של חוזה בלתי חוקי רק ביחס לחלקיו הבלתי חוקיים, כל עוד החוזה "ניתן להפרדה" (סעיפים 19 ו-31 לחוק החוזים (חלק כללי), התשל"ג-1973). בדומה לכך, במישור העקרוני, אף בתחום המשפט החוקתי, בית המשפט עשוי להורות על ביטול חלקי של דבר חקיקה העומד לדיון. בית משפט זה נהג כך בכמה הזדמנויות כאשר נדונו בפניו עתירות חוקתיות. אכן, המקרה הרגיל שבו נעשה שימוש בכלל זה היא של ביקורת שיפוטית על חוק רגיל מכוחו של חוק יסוד. ניתן להזכיר בהקשר זה את דעת המיעוט של השופט </w:t>
      </w:r>
      <w:r w:rsidRPr="00D87434">
        <w:rPr>
          <w:rFonts w:ascii="Century" w:hAnsi="Century" w:cs="Miriam" w:hint="cs"/>
          <w:b/>
          <w:spacing w:val="0"/>
          <w:szCs w:val="24"/>
          <w:rtl/>
        </w:rPr>
        <w:t>נ' סולברג</w:t>
      </w:r>
      <w:r w:rsidRPr="00D87434">
        <w:rPr>
          <w:rFonts w:hint="cs"/>
          <w:rtl/>
        </w:rPr>
        <w:t xml:space="preserve"> </w:t>
      </w:r>
      <w:r>
        <w:rPr>
          <w:rFonts w:hint="cs"/>
          <w:rtl/>
        </w:rPr>
        <w:t xml:space="preserve">בבג"ץ 1308/17 </w:t>
      </w:r>
      <w:r w:rsidRPr="00D87434">
        <w:rPr>
          <w:rFonts w:ascii="Century" w:hAnsi="Century" w:cs="Miriam" w:hint="cs"/>
          <w:b/>
          <w:spacing w:val="0"/>
          <w:szCs w:val="24"/>
          <w:rtl/>
        </w:rPr>
        <w:t>עיריית סלואד נ' הכנסת</w:t>
      </w:r>
      <w:r w:rsidRPr="00887C70">
        <w:rPr>
          <w:rFonts w:hint="cs"/>
          <w:rtl/>
        </w:rPr>
        <w:t xml:space="preserve"> </w:t>
      </w:r>
      <w:r>
        <w:rPr>
          <w:rFonts w:hint="cs"/>
          <w:rtl/>
        </w:rPr>
        <w:t>(9.6.2020), שסבר כי יש להורות על בטלות חלקית</w:t>
      </w:r>
      <w:r w:rsidRPr="00694588">
        <w:rPr>
          <w:rtl/>
        </w:rPr>
        <w:t xml:space="preserve"> </w:t>
      </w:r>
      <w:r>
        <w:rPr>
          <w:rFonts w:hint="cs"/>
          <w:rtl/>
        </w:rPr>
        <w:t xml:space="preserve">בלבד של </w:t>
      </w:r>
      <w:r w:rsidRPr="00694588">
        <w:rPr>
          <w:rtl/>
        </w:rPr>
        <w:t>החוק להסדרת ההתיישבות ביהודה והשומרון, התשע"ז-2017</w:t>
      </w:r>
      <w:r>
        <w:rPr>
          <w:rFonts w:hint="cs"/>
          <w:rtl/>
        </w:rPr>
        <w:t xml:space="preserve">, וכן את דעת המיעוט (לעניין הסעד) של השופט </w:t>
      </w:r>
      <w:r w:rsidRPr="006B2A83">
        <w:rPr>
          <w:rFonts w:ascii="Century" w:hAnsi="Century" w:cs="Miriam" w:hint="cs"/>
          <w:b/>
          <w:spacing w:val="0"/>
          <w:szCs w:val="24"/>
          <w:rtl/>
        </w:rPr>
        <w:t>פוגלמן</w:t>
      </w:r>
      <w:r w:rsidRPr="006B2A83">
        <w:rPr>
          <w:rFonts w:hint="cs"/>
          <w:rtl/>
        </w:rPr>
        <w:t xml:space="preserve"> </w:t>
      </w:r>
      <w:r>
        <w:rPr>
          <w:rFonts w:hint="cs"/>
          <w:rtl/>
        </w:rPr>
        <w:t xml:space="preserve">בבג"ץ 781/15 </w:t>
      </w:r>
      <w:r w:rsidRPr="00D87434">
        <w:rPr>
          <w:rFonts w:ascii="Century" w:hAnsi="Century" w:cs="Miriam" w:hint="cs"/>
          <w:b/>
          <w:spacing w:val="0"/>
          <w:szCs w:val="24"/>
          <w:rtl/>
        </w:rPr>
        <w:t>ארד-פנקס נ' הוועדה לאישור הסכמים לנשיאת עוברים על פי חוק הסכמים לנשיאת עוברים (אישור הסכם ומעמד הילוד), התשנ"ו-1996</w:t>
      </w:r>
      <w:r w:rsidRPr="006B2A83">
        <w:rPr>
          <w:rFonts w:hint="cs"/>
          <w:rtl/>
        </w:rPr>
        <w:t xml:space="preserve"> </w:t>
      </w:r>
      <w:r>
        <w:rPr>
          <w:rFonts w:hint="cs"/>
          <w:rtl/>
        </w:rPr>
        <w:t xml:space="preserve">(27.2.2020), שבו הוא צידד בסעד המורה על בטלות החלקים הבלתי חוקתיים בהסדר הפונדקאות שנדון שם. כשלעצמי, איני שוללת את האפשרות לעשות שימוש בסעד מסוג זה גם ביחס לחוק יסוד, במקרה המתאים, לנוכח העדיפות הנודעת לצמצום היקפה של הביקורת השיפוטית בהקשרים כאלה. דא עקא, במקרה שבפנינו לא ניתן "למחוק" מן החוק מלים מסוימות תוך הותרתו על כנו. שימוש ב"עקרון העיפרון הכחול" אינו אמור להוביל ל"כתיבה" מחדש של הטקסט החוקתי.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96.</w:t>
      </w:r>
      <w:r>
        <w:rPr>
          <w:rFonts w:hint="cs"/>
          <w:rtl/>
        </w:rPr>
        <w:tab/>
        <w:t xml:space="preserve"> בדרכי לתור אחר סעדים "רכים" יותר, עלתה בדעתי גם האפשרות של הותרת תיקון מס' 3 בתוקף, על בסיס ההנחה שההלכות אשר נקבעו מכוחה של עילת הסבירות ייוותרו על כנן מכוח עקרון התקדים המחייב. אולם, בניגוד לחברי השופט </w:t>
      </w:r>
      <w:r w:rsidRPr="00D87434">
        <w:rPr>
          <w:rFonts w:ascii="Century" w:hAnsi="Century" w:cs="Miriam" w:hint="eastAsia"/>
          <w:b/>
          <w:spacing w:val="0"/>
          <w:szCs w:val="24"/>
          <w:rtl/>
        </w:rPr>
        <w:t>כשר</w:t>
      </w:r>
      <w:r>
        <w:rPr>
          <w:rFonts w:hint="cs"/>
          <w:rtl/>
        </w:rPr>
        <w:t xml:space="preserve">, אינני סבורה שפתרון זה הוא אפשרי. ראשית, הוא מנוגד בעליל לכוונת מחוקקיו. דומה שאלה לא שיערו שבית משפט זה יוסיף, למשל, לבקר מינויי שרים מכוח התקדים המחייב של הלכת </w:t>
      </w:r>
      <w:r w:rsidRPr="00D87434">
        <w:rPr>
          <w:rFonts w:ascii="Century" w:hAnsi="Century" w:cs="Miriam" w:hint="eastAsia"/>
          <w:b/>
          <w:spacing w:val="0"/>
          <w:szCs w:val="24"/>
          <w:rtl/>
        </w:rPr>
        <w:t>דרעי</w:t>
      </w:r>
      <w:r w:rsidRPr="00D87434">
        <w:rPr>
          <w:rFonts w:ascii="Century" w:hAnsi="Century" w:cs="Miriam"/>
          <w:b/>
          <w:spacing w:val="0"/>
          <w:szCs w:val="24"/>
          <w:rtl/>
        </w:rPr>
        <w:t>-פנחסי</w:t>
      </w:r>
      <w:r>
        <w:rPr>
          <w:rFonts w:hint="cs"/>
          <w:rtl/>
        </w:rPr>
        <w:t xml:space="preserve">, ללא עילת הסבירות. שנית, וזאת במישור המשפטי הטהור, התקדימים </w:t>
      </w:r>
      <w:r>
        <w:rPr>
          <w:rFonts w:hint="cs"/>
          <w:rtl/>
        </w:rPr>
        <w:lastRenderedPageBreak/>
        <w:t xml:space="preserve">שנקבעו מכוחה של עילת הסבירות ועילת הסבירות חד הם. לא ניתן להפריד ביניהם. אכן, לעתים, בית משפט זה מסתמך על תקדימים המבוססים על עילת הסבירות, מבלי להזכיר אותה במישרין, במתכונת של הנמקה הפוסעת בדרכה של ההלכה הפסוקה (ראו למשל: בג"ץ 5403/22 </w:t>
      </w:r>
      <w:r w:rsidRPr="00D87434">
        <w:rPr>
          <w:rFonts w:ascii="Century" w:hAnsi="Century" w:cs="Miriam" w:hint="cs"/>
          <w:b/>
          <w:spacing w:val="0"/>
          <w:szCs w:val="24"/>
          <w:rtl/>
        </w:rPr>
        <w:t>לביא, זכויות אזרח, מינהל תקין ועידוד ההתיישבות נ' ראש הממשלה</w:t>
      </w:r>
      <w:r>
        <w:rPr>
          <w:rFonts w:hint="cs"/>
          <w:rtl/>
        </w:rPr>
        <w:t xml:space="preserve"> (22.9.2022)). אולם, אין לטעות בכך. אותם תקדימים מבוססים על עילת הסבירות וממנה הם שואבים את חיותם. על דרך ההשוואה ניתן להזכיר את סעיף 23 לחוק הפרשנות, התשמ"א-1981 המורה כי עם ביטולו של חוק </w:t>
      </w:r>
      <w:r>
        <w:rPr>
          <w:rtl/>
        </w:rPr>
        <w:t>–</w:t>
      </w:r>
      <w:r>
        <w:rPr>
          <w:rFonts w:hint="cs"/>
          <w:rtl/>
        </w:rPr>
        <w:t xml:space="preserve"> בטלות גם תקנות ומינויים שנעשו מכוחו. הלכה למעשה, תיקון מס' 3 מכוון, אם כן, לבטל את הביקורת השיפוטית המבוססת על עילת הסבירות, על תולדותיה ופירותיה, ומכאן פגיעתו האנושה בעקרונות הבסיס של שיטתנו. </w:t>
      </w:r>
    </w:p>
    <w:p w:rsidR="00E31875" w:rsidRDefault="00E31875" w:rsidP="00E31875">
      <w:pPr>
        <w:spacing w:line="360" w:lineRule="auto"/>
        <w:jc w:val="both"/>
        <w:rPr>
          <w:rFonts w:ascii="FrankRuehl" w:hAnsi="FrankRuehl" w:cs="FrankRuehl"/>
          <w:sz w:val="28"/>
          <w:szCs w:val="28"/>
          <w:rtl/>
        </w:rPr>
      </w:pPr>
    </w:p>
    <w:p w:rsidR="00E31875" w:rsidRPr="00CE4809" w:rsidRDefault="00E31875" w:rsidP="00E31875">
      <w:pPr>
        <w:spacing w:line="360" w:lineRule="auto"/>
        <w:jc w:val="both"/>
        <w:rPr>
          <w:rFonts w:ascii="Century" w:hAnsi="Century" w:cs="Miriam"/>
          <w:b/>
          <w:rtl/>
        </w:rPr>
      </w:pPr>
      <w:r>
        <w:rPr>
          <w:rFonts w:ascii="Century" w:hAnsi="Century" w:cs="Miriam" w:hint="cs"/>
          <w:b/>
          <w:rtl/>
        </w:rPr>
        <w:t>שימוש לרעה בסמכות המכוננת?</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97. </w:t>
      </w:r>
      <w:r>
        <w:rPr>
          <w:rFonts w:hint="cs"/>
          <w:rtl/>
        </w:rPr>
        <w:tab/>
        <w:t xml:space="preserve">מכל הטעמים האמורים, אני סבורה שהמקרה שבפנינו הוא יוצא דופן במידה המצדיקה התערבות יוצאת דופן בגין חריגה מתחום סמכותה של הרשות המכוננת. ממילא, כפי שציינה חברתי הנשיאה (בדימ') </w:t>
      </w:r>
      <w:r w:rsidRPr="00D87434">
        <w:rPr>
          <w:rFonts w:ascii="Century" w:hAnsi="Century" w:cs="Miriam" w:hint="eastAsia"/>
          <w:b/>
          <w:spacing w:val="0"/>
          <w:szCs w:val="24"/>
          <w:rtl/>
        </w:rPr>
        <w:t>חיות</w:t>
      </w:r>
      <w:r>
        <w:rPr>
          <w:rFonts w:hint="cs"/>
          <w:rtl/>
        </w:rPr>
        <w:t xml:space="preserve"> אין צורך להידרש להיבטים חשובים אחרים של הנושא שנדונו בפנינו, ואפשר להתמקד בעיקר.</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98. </w:t>
      </w:r>
      <w:r>
        <w:rPr>
          <w:rFonts w:hint="cs"/>
          <w:rtl/>
        </w:rPr>
        <w:tab/>
        <w:t xml:space="preserve">מטעמים אלה, אסתפק אפוא רק בהבהרה קצרה הנוגעת לאפשרות של ביקורת שיפוטית על תיקון מס' 3 בגדר הדוקטרינה של שימוש לרעה בסמכות המכוננת.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99. </w:t>
      </w:r>
      <w:r>
        <w:rPr>
          <w:rFonts w:hint="cs"/>
          <w:rtl/>
        </w:rPr>
        <w:tab/>
        <w:t xml:space="preserve">כפי שציינתי בפתח הדברים, תיקון מס' 3 הוצג לעתים כ"הסדרה" של עילת הסבירות, וזאת על רקע העובדה שעילה זו (כשאר עילות הביקורת של המשפט המינהלי) טרם עוגנה בחקיקה, אלא רק בפסיקתם של בתי המשפט. אילו אלה היו פני הדברים, דהיינו אילו תיקון מס' 3 היה נסב על הגדרת תוכנה של עילת הסבירות, ניתן היה לטעון כי אכן מדובר בשימוש לרעה בסמכות המכוננת, במובן זה שקביעת תכניו המהותיים של המשפט המינהלי מתאימה לחקיקה רגילה, ולא לחוקי יסוד. מנקודת מבטי, עיגון נורמות רגילות במתכונת של חוק יסוד פוגעת במאפיין "המובחנות" שאותו הדגשתי בעניין </w:t>
      </w:r>
      <w:r w:rsidRPr="00D87434">
        <w:rPr>
          <w:rFonts w:ascii="Century" w:hAnsi="Century" w:cs="Miriam" w:hint="eastAsia"/>
          <w:b/>
          <w:spacing w:val="0"/>
          <w:szCs w:val="24"/>
          <w:rtl/>
        </w:rPr>
        <w:t>שפיר</w:t>
      </w:r>
      <w:r>
        <w:rPr>
          <w:rFonts w:hint="cs"/>
          <w:rtl/>
        </w:rPr>
        <w:t xml:space="preserve"> (בפסקאות 26-21 לפסק דיני). חוקי יסוד צריכים לעסוק בנושאים שהם "מובחנים" מן התחומים המסורים לרשויות האחרות </w:t>
      </w:r>
      <w:r>
        <w:rPr>
          <w:rtl/>
        </w:rPr>
        <w:t>–</w:t>
      </w:r>
      <w:r>
        <w:rPr>
          <w:rFonts w:hint="cs"/>
          <w:rtl/>
        </w:rPr>
        <w:t xml:space="preserve"> בין הרשות המחוקקת, בין הרשות השופטת ובין הרשות המבצעת.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100. </w:t>
      </w:r>
      <w:r>
        <w:rPr>
          <w:rFonts w:hint="cs"/>
          <w:rtl/>
        </w:rPr>
        <w:tab/>
        <w:t xml:space="preserve">אולם, הלכה למעשה, תיקון מס' 3 לא עסק בהסדרת כלליו של המשפט המינהלי (ותעיד העובדה שהוא לא כלל הסדרה של עילות הביקורת האחרות) </w:t>
      </w:r>
      <w:r>
        <w:rPr>
          <w:rtl/>
        </w:rPr>
        <w:t>–</w:t>
      </w:r>
      <w:r>
        <w:rPr>
          <w:rFonts w:hint="cs"/>
          <w:rtl/>
        </w:rPr>
        <w:t xml:space="preserve"> אלא בהגבלה על </w:t>
      </w:r>
      <w:r>
        <w:rPr>
          <w:rFonts w:hint="cs"/>
          <w:rtl/>
        </w:rPr>
        <w:lastRenderedPageBreak/>
        <w:t xml:space="preserve">סמכותם של בתי המשפט לעסוק בביקורת שיפוטית. קביעת תחומי סמכותם של בתי המשפט היא ודאי עניין שמתאים לחוקי יסוד, כפי שמציין גם חברי השופט </w:t>
      </w:r>
      <w:r w:rsidRPr="00D87434">
        <w:rPr>
          <w:rFonts w:ascii="Century" w:hAnsi="Century" w:cs="Miriam" w:hint="cs"/>
          <w:b/>
          <w:spacing w:val="0"/>
          <w:szCs w:val="24"/>
          <w:rtl/>
        </w:rPr>
        <w:t>ח' כבוב</w:t>
      </w:r>
      <w:r>
        <w:rPr>
          <w:rFonts w:hint="cs"/>
          <w:rtl/>
        </w:rPr>
        <w:t xml:space="preserve">. במובן זה הסוגיה שבפנינו מדגימה היטב את יתרונותיו של מבחן ה"מובחנות", שהצעתי בפסק דיני בעניין </w:t>
      </w:r>
      <w:r w:rsidRPr="00D87434">
        <w:rPr>
          <w:rFonts w:ascii="Century" w:hAnsi="Century" w:cs="Miriam" w:hint="eastAsia"/>
          <w:b/>
          <w:spacing w:val="0"/>
          <w:szCs w:val="24"/>
          <w:rtl/>
        </w:rPr>
        <w:t>שפיר</w:t>
      </w:r>
      <w:r>
        <w:rPr>
          <w:rFonts w:hint="cs"/>
          <w:rtl/>
        </w:rPr>
        <w:t>, ככלי עזר לצורך יצירת הבחנה מהותית בין חוקי יסוד לחוקים רגילים. על רקע האמור, לשיטתי, הפרספקטיבה המתאימה ביותר לביקורת שיפוטית על חקיקת תיקון מס' 3 היא זו של חריגה מתחומי סמכותה של הרשות המכוננת, והיא אכן זו שהנחתה אותי בדיון עד כה.</w:t>
      </w:r>
    </w:p>
    <w:p w:rsidR="00E31875" w:rsidRDefault="00E31875" w:rsidP="00E31875">
      <w:pPr>
        <w:pStyle w:val="Ruller41"/>
        <w:rPr>
          <w:rtl/>
        </w:rPr>
      </w:pPr>
    </w:p>
    <w:p w:rsidR="00E31875" w:rsidRPr="00D87434" w:rsidRDefault="00E31875" w:rsidP="00E31875">
      <w:pPr>
        <w:pStyle w:val="Ruller41"/>
        <w:rPr>
          <w:rFonts w:ascii="Century" w:hAnsi="Century" w:cs="Miriam"/>
          <w:b/>
          <w:spacing w:val="0"/>
          <w:szCs w:val="24"/>
          <w:rtl/>
        </w:rPr>
      </w:pPr>
      <w:r w:rsidRPr="00D87434">
        <w:rPr>
          <w:rFonts w:ascii="Century" w:hAnsi="Century" w:cs="Miriam"/>
          <w:b/>
          <w:spacing w:val="0"/>
          <w:szCs w:val="24"/>
          <w:rtl/>
        </w:rPr>
        <w:t>לפני סיום: על ראשונים ואחרונים</w:t>
      </w:r>
    </w:p>
    <w:p w:rsidR="00E31875" w:rsidRPr="0037714D" w:rsidRDefault="00E31875" w:rsidP="00E31875">
      <w:pPr>
        <w:pStyle w:val="Ruller41"/>
        <w:rPr>
          <w:rtl/>
        </w:rPr>
      </w:pPr>
    </w:p>
    <w:p w:rsidR="00E31875" w:rsidRPr="0037714D" w:rsidRDefault="00E31875" w:rsidP="00E31875">
      <w:pPr>
        <w:pStyle w:val="Ruller41"/>
        <w:rPr>
          <w:rtl/>
        </w:rPr>
      </w:pPr>
      <w:r w:rsidRPr="0037714D">
        <w:rPr>
          <w:rFonts w:hint="cs"/>
          <w:rtl/>
        </w:rPr>
        <w:t xml:space="preserve">101. </w:t>
      </w:r>
      <w:r w:rsidRPr="0037714D">
        <w:rPr>
          <w:rtl/>
        </w:rPr>
        <w:tab/>
      </w:r>
      <w:r w:rsidRPr="0037714D">
        <w:rPr>
          <w:rFonts w:hint="cs"/>
          <w:rtl/>
        </w:rPr>
        <w:t xml:space="preserve">בשלב זה, לאחר שהגיע לעיוני פסק דינו של חברי השופט </w:t>
      </w:r>
      <w:r w:rsidRPr="00D87434">
        <w:rPr>
          <w:rFonts w:ascii="Century" w:hAnsi="Century" w:cs="Miriam"/>
          <w:b/>
          <w:spacing w:val="0"/>
          <w:szCs w:val="24"/>
          <w:rtl/>
        </w:rPr>
        <w:t>נ' סולברג</w:t>
      </w:r>
      <w:r w:rsidRPr="0037714D">
        <w:rPr>
          <w:rFonts w:hint="cs"/>
          <w:rtl/>
        </w:rPr>
        <w:t>, אני מבקשת להוסיף מספר הבהרות חשובות. חברי נדרש בפסק דינו הן לשאלה העקרונית של ביקורת שיפוטית על חוקי יסוד והן לשאלת היקפה הראוי של הביקורת השיפוטית המיוסדת על עילת הסבירות. אתייחס בקצרה לדבריו בשני העניינים.</w:t>
      </w:r>
    </w:p>
    <w:p w:rsidR="00E31875" w:rsidRPr="0037714D" w:rsidRDefault="00E31875" w:rsidP="00E31875">
      <w:pPr>
        <w:pStyle w:val="Ruller41"/>
        <w:rPr>
          <w:rtl/>
        </w:rPr>
      </w:pPr>
    </w:p>
    <w:p w:rsidR="00E31875" w:rsidRPr="0037714D" w:rsidRDefault="00E31875" w:rsidP="00E31875">
      <w:pPr>
        <w:pStyle w:val="Ruller41"/>
        <w:rPr>
          <w:rtl/>
        </w:rPr>
      </w:pPr>
      <w:r w:rsidRPr="0037714D">
        <w:rPr>
          <w:rFonts w:hint="cs"/>
          <w:rtl/>
        </w:rPr>
        <w:t xml:space="preserve">102. </w:t>
      </w:r>
      <w:r w:rsidRPr="0037714D">
        <w:rPr>
          <w:rFonts w:hint="cs"/>
          <w:rtl/>
        </w:rPr>
        <w:tab/>
        <w:t xml:space="preserve">באשר לביקורת השיפוטית על חקיקה בכלל ועל חוקי יסוד בפרט, חברי השופט </w:t>
      </w:r>
      <w:r w:rsidRPr="00D87434">
        <w:rPr>
          <w:rFonts w:ascii="Century" w:hAnsi="Century" w:cs="Miriam"/>
          <w:b/>
          <w:spacing w:val="0"/>
          <w:szCs w:val="24"/>
          <w:rtl/>
        </w:rPr>
        <w:t>סולברג</w:t>
      </w:r>
      <w:r w:rsidRPr="0037714D">
        <w:rPr>
          <w:rFonts w:hint="cs"/>
          <w:rtl/>
        </w:rPr>
        <w:t xml:space="preserve"> מבקש להתבסס על דבריהם של "ראשונים" שאותם הוא מעדיף על דבריהם של "אחרונים". מבלי לגרוע מן הכבוד הראוי לראשונים, אני סבורה שהבסיס העיוני להנמקה זו אינו עומד איתן. במישור התורת-משפטי, בשיטתנו נוהג עקרון התקדים המחייב. בהתאם לו, בית המשפט העליון אמנם </w:t>
      </w:r>
      <w:r>
        <w:rPr>
          <w:rFonts w:hint="cs"/>
          <w:rtl/>
        </w:rPr>
        <w:t xml:space="preserve">מונחה על-פי </w:t>
      </w:r>
      <w:r w:rsidRPr="0037714D">
        <w:rPr>
          <w:rFonts w:hint="cs"/>
          <w:rtl/>
        </w:rPr>
        <w:t xml:space="preserve">תקדימיו, אך מוסמך לסטות מהם במקרים מתאימים, ולעתים אף מחויב לעשות כן נוכח שינוי הזמנים והנסיבות. מנקודת מבטי, האופן שבו חברי השופט </w:t>
      </w:r>
      <w:r w:rsidRPr="00D87434">
        <w:rPr>
          <w:rFonts w:ascii="Century" w:hAnsi="Century" w:cs="Miriam"/>
          <w:b/>
          <w:spacing w:val="0"/>
          <w:szCs w:val="24"/>
          <w:rtl/>
        </w:rPr>
        <w:t>סולברג</w:t>
      </w:r>
      <w:r w:rsidRPr="0037714D">
        <w:rPr>
          <w:rFonts w:hint="cs"/>
          <w:rtl/>
        </w:rPr>
        <w:t xml:space="preserve"> סומך את עמדתו על דבריהם של "ראשונים" מתנגש באופן חזיתי בעקרונות אלה שעליהם מבוססת פסיקתנו כולה. איננו רשאים לחזור לאחור ולדלות מן העבר גישות משפטיות שהתפתחו ועברו שינויים לאורך השנים אך משום שמי מאיתנו רואה בהן גישות עדיפות. כבודם של הראשונים במקומו מונח, אך בכל תחומי המשפט חלו תמורות בהשוואה לפסיקה בשנותיו הפורמטיביות של המשפט הישראלי. האם בתחום דיני החוזים נקבל פסיקה הפונה לעיקרון הזכור (ולאו דווקא לטוב) של "ייזהר הקונה", כתחליף להגנה ראויה על צרכנים, אך משום שעיקרון זה שלט בכיפה בעבר? האם בתחום המשפט הפלילי נבקש לחזור לימים שבהם נדרשה קורבן של עבירת מין להראות שהתנגדה באופן פעיל ופיזי לתקיפה כדי לבטא את התנגדותה? האם בתחום דיני הנזיקין נתרפק על הימים שבהם ניתן היה להפחית מפיצויים שניתנים לאלמנה אך בשל כך שיש לה סיכוי להינשא בשנית? לא כל מה שהיה והוכר בעבר הוא עדיף. אכן, לא תמיד יש להוציא ישן מפני חדש, אך גם אין להניח כי בתחום המשפט עדיף בהכרח "יין ישן". חדש אינו אסור מן התורה (המשפטית).</w:t>
      </w:r>
    </w:p>
    <w:p w:rsidR="00E31875" w:rsidRPr="0037714D" w:rsidRDefault="00E31875" w:rsidP="00E31875">
      <w:pPr>
        <w:pStyle w:val="Ruller41"/>
        <w:rPr>
          <w:rtl/>
        </w:rPr>
      </w:pPr>
    </w:p>
    <w:p w:rsidR="00E31875" w:rsidRPr="0037714D" w:rsidRDefault="00E31875" w:rsidP="00E31875">
      <w:pPr>
        <w:pStyle w:val="Ruller41"/>
        <w:rPr>
          <w:rtl/>
        </w:rPr>
      </w:pPr>
      <w:r>
        <w:rPr>
          <w:rFonts w:hint="cs"/>
          <w:rtl/>
        </w:rPr>
        <w:t xml:space="preserve">103. </w:t>
      </w:r>
      <w:r>
        <w:rPr>
          <w:rFonts w:hint="cs"/>
          <w:rtl/>
        </w:rPr>
        <w:tab/>
        <w:t xml:space="preserve">על כך יש להוסיף, כפי </w:t>
      </w:r>
      <w:r w:rsidRPr="0037714D">
        <w:rPr>
          <w:rFonts w:hint="cs"/>
          <w:rtl/>
        </w:rPr>
        <w:t xml:space="preserve">שמציין אף חברי, כי עיקר הדברים שהובאו מפי אותם "ראשונים" נאמרו בתקופה שקדמה לפסיקה העקרונית בדבר המגבלות החלות על ריבונותה של הכנסת בע"א 6821/93 </w:t>
      </w:r>
      <w:r w:rsidRPr="00D87434">
        <w:rPr>
          <w:rFonts w:ascii="Century" w:hAnsi="Century" w:cs="Miriam"/>
          <w:b/>
          <w:spacing w:val="0"/>
          <w:szCs w:val="24"/>
          <w:rtl/>
        </w:rPr>
        <w:t>בנק המזרחי המאוחד בע"מ נ' בנק מגדל כפר שיתופי</w:t>
      </w:r>
      <w:r w:rsidRPr="0037714D">
        <w:rPr>
          <w:rFonts w:hint="cs"/>
          <w:rtl/>
        </w:rPr>
        <w:t xml:space="preserve">, פ"ד מט(4) 221 (1995) (להלן: עניין </w:t>
      </w:r>
      <w:r w:rsidRPr="00D87434">
        <w:rPr>
          <w:rFonts w:ascii="Century" w:hAnsi="Century" w:cs="Miriam"/>
          <w:b/>
          <w:spacing w:val="0"/>
          <w:szCs w:val="24"/>
          <w:rtl/>
        </w:rPr>
        <w:t>בנק המזרחי</w:t>
      </w:r>
      <w:r w:rsidRPr="0037714D">
        <w:rPr>
          <w:rFonts w:hint="cs"/>
          <w:rtl/>
        </w:rPr>
        <w:t xml:space="preserve">). כל אותן אמירות שהתייחסו באופן בלתי מסויג לריבונותה של הכנסת וקדמו לתקדים הנזכר לא ביטאו העדפה ממשית של דרך אחת על פני דרך אחרת </w:t>
      </w:r>
      <w:r w:rsidRPr="0037714D">
        <w:rPr>
          <w:rtl/>
        </w:rPr>
        <w:t>–</w:t>
      </w:r>
      <w:r w:rsidRPr="0037714D">
        <w:rPr>
          <w:rFonts w:hint="cs"/>
          <w:rtl/>
        </w:rPr>
        <w:t xml:space="preserve"> אלא את הקונצנזוס של תקופתן, קונצנזוס שאינו משקף את עמדתו של המשפט הישראלי זה מספר עשורים. בפנינו מצב חדש ומשברי, שלא התעורר בעבר. ממילא חובתנו היא לבחון כיצד יש לתת לו מענה.</w:t>
      </w:r>
    </w:p>
    <w:p w:rsidR="00E31875" w:rsidRPr="0037714D" w:rsidRDefault="00E31875" w:rsidP="00E31875">
      <w:pPr>
        <w:pStyle w:val="Ruller41"/>
        <w:rPr>
          <w:rtl/>
        </w:rPr>
      </w:pPr>
    </w:p>
    <w:p w:rsidR="00E31875" w:rsidRPr="0037714D" w:rsidRDefault="00E31875" w:rsidP="00E31875">
      <w:pPr>
        <w:pStyle w:val="Ruller41"/>
        <w:rPr>
          <w:rtl/>
        </w:rPr>
      </w:pPr>
      <w:r w:rsidRPr="0037714D">
        <w:rPr>
          <w:rFonts w:hint="cs"/>
          <w:rtl/>
        </w:rPr>
        <w:t xml:space="preserve">104. </w:t>
      </w:r>
      <w:r w:rsidRPr="0037714D">
        <w:rPr>
          <w:rFonts w:hint="cs"/>
          <w:rtl/>
        </w:rPr>
        <w:tab/>
        <w:t xml:space="preserve">לא זו אף זו: דור לדור יביע אומר. בין אותם "ראשונים" שעליהם מבקש חברי השופט </w:t>
      </w:r>
      <w:r w:rsidRPr="00D87434">
        <w:rPr>
          <w:rFonts w:ascii="Century" w:hAnsi="Century" w:cs="Miriam" w:hint="cs"/>
          <w:b/>
          <w:spacing w:val="0"/>
          <w:szCs w:val="24"/>
          <w:rtl/>
        </w:rPr>
        <w:t>סולברג</w:t>
      </w:r>
      <w:r w:rsidRPr="0037714D">
        <w:rPr>
          <w:rFonts w:ascii="Century" w:hAnsi="Century" w:cs="Miriam" w:hint="cs"/>
          <w:b/>
          <w:spacing w:val="0"/>
          <w:szCs w:val="24"/>
          <w:rtl/>
        </w:rPr>
        <w:t xml:space="preserve"> </w:t>
      </w:r>
      <w:r w:rsidRPr="0037714D">
        <w:rPr>
          <w:rFonts w:hint="cs"/>
          <w:rtl/>
        </w:rPr>
        <w:t xml:space="preserve">להתבסס לבינינו היום, ה"אחרונים", היו עוד דורות שיפוטיים. מדוע לפסוח על שופטים ונשיאים אחרים, שאף הם בגדר "ראשונים" גם אם לא "ראשוני ראשונים": הנשיאה (בדימ') </w:t>
      </w:r>
      <w:r w:rsidRPr="00D87434">
        <w:rPr>
          <w:rFonts w:ascii="Century" w:hAnsi="Century" w:cs="Miriam"/>
          <w:b/>
          <w:spacing w:val="0"/>
          <w:szCs w:val="24"/>
          <w:rtl/>
        </w:rPr>
        <w:t>ד' ביניש</w:t>
      </w:r>
      <w:r w:rsidRPr="0037714D">
        <w:rPr>
          <w:rFonts w:hint="cs"/>
          <w:rtl/>
        </w:rPr>
        <w:t xml:space="preserve">, הנשיא (בדימ') </w:t>
      </w:r>
      <w:r w:rsidRPr="00D87434">
        <w:rPr>
          <w:rFonts w:ascii="Century" w:hAnsi="Century" w:cs="Miriam"/>
          <w:b/>
          <w:spacing w:val="0"/>
          <w:szCs w:val="24"/>
          <w:rtl/>
        </w:rPr>
        <w:t>א' גרוניס</w:t>
      </w:r>
      <w:r w:rsidRPr="0037714D">
        <w:rPr>
          <w:rFonts w:hint="cs"/>
          <w:rtl/>
        </w:rPr>
        <w:t xml:space="preserve">, הנשיאה (בדימ') </w:t>
      </w:r>
      <w:r w:rsidRPr="00D87434">
        <w:rPr>
          <w:rFonts w:ascii="Century" w:hAnsi="Century" w:cs="Miriam"/>
          <w:b/>
          <w:spacing w:val="0"/>
          <w:szCs w:val="24"/>
          <w:rtl/>
        </w:rPr>
        <w:t>מ' נאור</w:t>
      </w:r>
      <w:r w:rsidRPr="0037714D">
        <w:rPr>
          <w:rFonts w:hint="cs"/>
          <w:rtl/>
        </w:rPr>
        <w:t xml:space="preserve"> ורבים רבים נוספים. התפתחותו של המשפט הישראלי היא התפתחות אורגנית. רבים מחברינו שכבר פרשו, מפיהם למדנו ולצדם ישבנו בדין </w:t>
      </w:r>
      <w:r w:rsidRPr="0037714D">
        <w:rPr>
          <w:rtl/>
        </w:rPr>
        <w:t>–</w:t>
      </w:r>
      <w:r w:rsidRPr="0037714D">
        <w:rPr>
          <w:rFonts w:hint="cs"/>
          <w:rtl/>
        </w:rPr>
        <w:t xml:space="preserve"> לא חזרו על תורת "ריבונות המחוקק" אלא חרשו תלמים שהעמיקו את פסיקתו של בית משפט זה בכל הנוגע לביקורת שיפוטית חוקתית גם לאחר שניתן פסק הדין בעניין </w:t>
      </w:r>
      <w:r w:rsidRPr="00D87434">
        <w:rPr>
          <w:rFonts w:ascii="Century" w:hAnsi="Century" w:cs="Miriam"/>
          <w:b/>
          <w:spacing w:val="0"/>
          <w:szCs w:val="24"/>
          <w:rtl/>
        </w:rPr>
        <w:t>בנק המזרחי</w:t>
      </w:r>
      <w:r w:rsidRPr="0037714D">
        <w:rPr>
          <w:rFonts w:hint="cs"/>
          <w:rtl/>
        </w:rPr>
        <w:t>.</w:t>
      </w:r>
    </w:p>
    <w:p w:rsidR="00E31875" w:rsidRPr="0037714D" w:rsidRDefault="00E31875" w:rsidP="00E31875">
      <w:pPr>
        <w:pStyle w:val="Ruller41"/>
        <w:rPr>
          <w:rtl/>
        </w:rPr>
      </w:pPr>
    </w:p>
    <w:p w:rsidR="00E31875" w:rsidRPr="0037714D" w:rsidRDefault="00E31875" w:rsidP="00E31875">
      <w:pPr>
        <w:pStyle w:val="Ruller41"/>
        <w:rPr>
          <w:rtl/>
        </w:rPr>
      </w:pPr>
      <w:r w:rsidRPr="0037714D">
        <w:rPr>
          <w:rFonts w:hint="cs"/>
          <w:rtl/>
        </w:rPr>
        <w:t xml:space="preserve">105. </w:t>
      </w:r>
      <w:r w:rsidRPr="0037714D">
        <w:rPr>
          <w:rFonts w:hint="cs"/>
          <w:rtl/>
        </w:rPr>
        <w:tab/>
        <w:t xml:space="preserve">כך או כך, ומבלי להידרש לפירוט, אני מוצאת קושי בניתוח שהציע חברי השופט </w:t>
      </w:r>
      <w:r w:rsidRPr="00D87434">
        <w:rPr>
          <w:rFonts w:ascii="Century" w:hAnsi="Century" w:cs="Miriam" w:hint="eastAsia"/>
          <w:b/>
          <w:spacing w:val="0"/>
          <w:szCs w:val="24"/>
          <w:rtl/>
        </w:rPr>
        <w:t>סולברג</w:t>
      </w:r>
      <w:r w:rsidRPr="0037714D">
        <w:rPr>
          <w:rFonts w:hint="cs"/>
          <w:rtl/>
        </w:rPr>
        <w:t xml:space="preserve"> ביחס לפסיקתו של בית משפט זה גם בשנים שקדמו לפסק הדין התקדימי בעניין </w:t>
      </w:r>
      <w:r w:rsidRPr="00D87434">
        <w:rPr>
          <w:rFonts w:ascii="Century" w:hAnsi="Century" w:cs="Miriam" w:hint="cs"/>
          <w:b/>
          <w:spacing w:val="0"/>
          <w:szCs w:val="24"/>
          <w:rtl/>
        </w:rPr>
        <w:t>בנק המזרחי</w:t>
      </w:r>
      <w:r w:rsidRPr="0037714D">
        <w:rPr>
          <w:rFonts w:hint="cs"/>
          <w:rtl/>
        </w:rPr>
        <w:t xml:space="preserve">. אכן, העיקרון ששלט בכיפה בעשורים הראשונים של המדינה היה זה של ריבונות המחוקק. אולם, אין להתעלם מן התמורות ההדרגתיות שחלו בו. כך, </w:t>
      </w:r>
      <w:r w:rsidRPr="0037714D">
        <w:rPr>
          <w:rFonts w:hint="eastAsia"/>
          <w:rtl/>
        </w:rPr>
        <w:t>בג</w:t>
      </w:r>
      <w:r w:rsidRPr="0037714D">
        <w:rPr>
          <w:rtl/>
        </w:rPr>
        <w:t xml:space="preserve">"ץ 98/69 </w:t>
      </w:r>
      <w:r w:rsidRPr="00D87434">
        <w:rPr>
          <w:rFonts w:ascii="Century" w:hAnsi="Century" w:cs="Miriam" w:hint="eastAsia"/>
          <w:b/>
          <w:spacing w:val="0"/>
          <w:szCs w:val="24"/>
          <w:rtl/>
        </w:rPr>
        <w:t>ברגמן</w:t>
      </w:r>
      <w:r w:rsidRPr="00D87434">
        <w:rPr>
          <w:rFonts w:ascii="Century" w:hAnsi="Century" w:cs="Miriam"/>
          <w:b/>
          <w:spacing w:val="0"/>
          <w:szCs w:val="24"/>
          <w:rtl/>
        </w:rPr>
        <w:t xml:space="preserve"> </w:t>
      </w:r>
      <w:r w:rsidRPr="00D87434">
        <w:rPr>
          <w:rFonts w:ascii="Century" w:hAnsi="Century" w:cs="Miriam" w:hint="eastAsia"/>
          <w:b/>
          <w:spacing w:val="0"/>
          <w:szCs w:val="24"/>
          <w:rtl/>
        </w:rPr>
        <w:t>נ</w:t>
      </w:r>
      <w:r w:rsidRPr="00D87434">
        <w:rPr>
          <w:rFonts w:ascii="Century" w:hAnsi="Century" w:cs="Miriam"/>
          <w:b/>
          <w:spacing w:val="0"/>
          <w:szCs w:val="24"/>
          <w:rtl/>
        </w:rPr>
        <w:t xml:space="preserve">' </w:t>
      </w:r>
      <w:r w:rsidRPr="00D87434">
        <w:rPr>
          <w:rFonts w:ascii="Century" w:hAnsi="Century" w:cs="Miriam" w:hint="eastAsia"/>
          <w:b/>
          <w:spacing w:val="0"/>
          <w:szCs w:val="24"/>
          <w:rtl/>
        </w:rPr>
        <w:t>שר</w:t>
      </w:r>
      <w:r w:rsidRPr="00D87434">
        <w:rPr>
          <w:rFonts w:ascii="Century" w:hAnsi="Century" w:cs="Miriam"/>
          <w:b/>
          <w:spacing w:val="0"/>
          <w:szCs w:val="24"/>
          <w:rtl/>
        </w:rPr>
        <w:t xml:space="preserve"> </w:t>
      </w:r>
      <w:r w:rsidRPr="00D87434">
        <w:rPr>
          <w:rFonts w:ascii="Century" w:hAnsi="Century" w:cs="Miriam" w:hint="eastAsia"/>
          <w:b/>
          <w:spacing w:val="0"/>
          <w:szCs w:val="24"/>
          <w:rtl/>
        </w:rPr>
        <w:t>האוצר</w:t>
      </w:r>
      <w:r w:rsidRPr="0037714D">
        <w:rPr>
          <w:rtl/>
        </w:rPr>
        <w:t xml:space="preserve">, פ"ד כג(1) 693 (1969) </w:t>
      </w:r>
      <w:r w:rsidRPr="0037714D">
        <w:rPr>
          <w:rFonts w:hint="eastAsia"/>
          <w:rtl/>
        </w:rPr>
        <w:t>אינו</w:t>
      </w:r>
      <w:r w:rsidRPr="0037714D">
        <w:rPr>
          <w:rtl/>
        </w:rPr>
        <w:t xml:space="preserve"> </w:t>
      </w:r>
      <w:r w:rsidRPr="0037714D">
        <w:rPr>
          <w:rFonts w:hint="eastAsia"/>
          <w:rtl/>
        </w:rPr>
        <w:t>דוגמה</w:t>
      </w:r>
      <w:r w:rsidRPr="0037714D">
        <w:rPr>
          <w:rtl/>
        </w:rPr>
        <w:t xml:space="preserve"> "הרמונית" </w:t>
      </w:r>
      <w:r w:rsidRPr="0037714D">
        <w:rPr>
          <w:rFonts w:hint="eastAsia"/>
          <w:rtl/>
        </w:rPr>
        <w:t>לתפיסה</w:t>
      </w:r>
      <w:r w:rsidRPr="0037714D">
        <w:rPr>
          <w:rtl/>
        </w:rPr>
        <w:t xml:space="preserve"> </w:t>
      </w:r>
      <w:r w:rsidRPr="0037714D">
        <w:rPr>
          <w:rFonts w:hint="eastAsia"/>
          <w:rtl/>
        </w:rPr>
        <w:t>של</w:t>
      </w:r>
      <w:r w:rsidRPr="0037714D">
        <w:rPr>
          <w:rtl/>
        </w:rPr>
        <w:t xml:space="preserve"> </w:t>
      </w:r>
      <w:r w:rsidRPr="0037714D">
        <w:rPr>
          <w:rFonts w:hint="eastAsia"/>
          <w:rtl/>
        </w:rPr>
        <w:t>ריבונות</w:t>
      </w:r>
      <w:r w:rsidRPr="0037714D">
        <w:rPr>
          <w:rtl/>
        </w:rPr>
        <w:t xml:space="preserve"> </w:t>
      </w:r>
      <w:r w:rsidRPr="0037714D">
        <w:rPr>
          <w:rFonts w:hint="eastAsia"/>
          <w:rtl/>
        </w:rPr>
        <w:t>המחוקק</w:t>
      </w:r>
      <w:r w:rsidRPr="0037714D">
        <w:rPr>
          <w:rtl/>
        </w:rPr>
        <w:t xml:space="preserve"> </w:t>
      </w:r>
      <w:r w:rsidRPr="0037714D">
        <w:rPr>
          <w:rFonts w:hint="eastAsia"/>
          <w:rtl/>
        </w:rPr>
        <w:t>כפי</w:t>
      </w:r>
      <w:r w:rsidRPr="0037714D">
        <w:rPr>
          <w:rtl/>
        </w:rPr>
        <w:t xml:space="preserve"> </w:t>
      </w:r>
      <w:r w:rsidRPr="0037714D">
        <w:rPr>
          <w:rFonts w:hint="eastAsia"/>
          <w:rtl/>
        </w:rPr>
        <w:t>שמתאר</w:t>
      </w:r>
      <w:r w:rsidRPr="0037714D">
        <w:rPr>
          <w:rtl/>
        </w:rPr>
        <w:t xml:space="preserve"> </w:t>
      </w:r>
      <w:r w:rsidRPr="0037714D">
        <w:rPr>
          <w:rFonts w:hint="eastAsia"/>
          <w:rtl/>
        </w:rPr>
        <w:t>חברי</w:t>
      </w:r>
      <w:r w:rsidRPr="0037714D">
        <w:rPr>
          <w:rtl/>
        </w:rPr>
        <w:t xml:space="preserve">, </w:t>
      </w:r>
      <w:r w:rsidRPr="0037714D">
        <w:rPr>
          <w:rFonts w:hint="eastAsia"/>
          <w:rtl/>
        </w:rPr>
        <w:t>אלא</w:t>
      </w:r>
      <w:r w:rsidRPr="0037714D">
        <w:rPr>
          <w:rtl/>
        </w:rPr>
        <w:t xml:space="preserve"> </w:t>
      </w:r>
      <w:r w:rsidRPr="0037714D">
        <w:rPr>
          <w:rFonts w:hint="eastAsia"/>
          <w:rtl/>
        </w:rPr>
        <w:t>להפך</w:t>
      </w:r>
      <w:r w:rsidRPr="0037714D">
        <w:rPr>
          <w:rtl/>
        </w:rPr>
        <w:t xml:space="preserve">, </w:t>
      </w:r>
      <w:r w:rsidRPr="0037714D">
        <w:rPr>
          <w:rFonts w:hint="cs"/>
          <w:rtl/>
        </w:rPr>
        <w:t xml:space="preserve">פסק דין זה הביא עמו </w:t>
      </w:r>
      <w:r w:rsidRPr="0037714D">
        <w:rPr>
          <w:rFonts w:hint="eastAsia"/>
          <w:rtl/>
        </w:rPr>
        <w:t>חידוש</w:t>
      </w:r>
      <w:r w:rsidRPr="0037714D">
        <w:rPr>
          <w:rtl/>
        </w:rPr>
        <w:t xml:space="preserve"> </w:t>
      </w:r>
      <w:r w:rsidRPr="0037714D">
        <w:rPr>
          <w:rFonts w:hint="eastAsia"/>
          <w:rtl/>
        </w:rPr>
        <w:t>גדול</w:t>
      </w:r>
      <w:r w:rsidRPr="0037714D">
        <w:rPr>
          <w:rtl/>
        </w:rPr>
        <w:t xml:space="preserve"> </w:t>
      </w:r>
      <w:r w:rsidRPr="0037714D">
        <w:rPr>
          <w:rFonts w:hint="eastAsia"/>
          <w:rtl/>
        </w:rPr>
        <w:t>שעניינו</w:t>
      </w:r>
      <w:r w:rsidRPr="0037714D">
        <w:rPr>
          <w:rtl/>
        </w:rPr>
        <w:t xml:space="preserve"> </w:t>
      </w:r>
      <w:r w:rsidRPr="0037714D">
        <w:rPr>
          <w:rFonts w:hint="eastAsia"/>
          <w:rtl/>
        </w:rPr>
        <w:t>הכרה</w:t>
      </w:r>
      <w:r w:rsidRPr="0037714D">
        <w:rPr>
          <w:rtl/>
        </w:rPr>
        <w:t xml:space="preserve"> </w:t>
      </w:r>
      <w:r w:rsidRPr="0037714D">
        <w:rPr>
          <w:rFonts w:hint="eastAsia"/>
          <w:rtl/>
        </w:rPr>
        <w:t>במגבלות</w:t>
      </w:r>
      <w:r w:rsidRPr="0037714D">
        <w:rPr>
          <w:rtl/>
        </w:rPr>
        <w:t xml:space="preserve"> </w:t>
      </w:r>
      <w:r w:rsidRPr="0037714D">
        <w:rPr>
          <w:rFonts w:hint="eastAsia"/>
          <w:rtl/>
        </w:rPr>
        <w:t>על</w:t>
      </w:r>
      <w:r w:rsidRPr="0037714D">
        <w:rPr>
          <w:rtl/>
        </w:rPr>
        <w:t xml:space="preserve"> </w:t>
      </w:r>
      <w:r w:rsidRPr="0037714D">
        <w:rPr>
          <w:rFonts w:hint="eastAsia"/>
          <w:rtl/>
        </w:rPr>
        <w:t>ריבונות</w:t>
      </w:r>
      <w:r w:rsidRPr="0037714D">
        <w:rPr>
          <w:rtl/>
        </w:rPr>
        <w:t xml:space="preserve"> </w:t>
      </w:r>
      <w:r w:rsidRPr="0037714D">
        <w:rPr>
          <w:rFonts w:hint="eastAsia"/>
          <w:rtl/>
        </w:rPr>
        <w:t>המחוקק</w:t>
      </w:r>
      <w:r w:rsidRPr="0037714D">
        <w:rPr>
          <w:rtl/>
        </w:rPr>
        <w:t xml:space="preserve">. </w:t>
      </w:r>
      <w:r w:rsidRPr="0037714D">
        <w:rPr>
          <w:rFonts w:hint="eastAsia"/>
          <w:rtl/>
        </w:rPr>
        <w:t>אכן</w:t>
      </w:r>
      <w:r w:rsidRPr="0037714D">
        <w:rPr>
          <w:rtl/>
        </w:rPr>
        <w:t xml:space="preserve">, </w:t>
      </w:r>
      <w:r w:rsidRPr="0037714D">
        <w:rPr>
          <w:rFonts w:hint="eastAsia"/>
          <w:rtl/>
        </w:rPr>
        <w:t>באותו</w:t>
      </w:r>
      <w:r w:rsidRPr="0037714D">
        <w:rPr>
          <w:rtl/>
        </w:rPr>
        <w:t xml:space="preserve"> </w:t>
      </w:r>
      <w:r w:rsidRPr="0037714D">
        <w:rPr>
          <w:rFonts w:hint="eastAsia"/>
          <w:rtl/>
        </w:rPr>
        <w:t>עניין</w:t>
      </w:r>
      <w:r w:rsidRPr="0037714D">
        <w:rPr>
          <w:rtl/>
        </w:rPr>
        <w:t xml:space="preserve"> </w:t>
      </w:r>
      <w:r w:rsidRPr="0037714D">
        <w:rPr>
          <w:rFonts w:hint="eastAsia"/>
          <w:rtl/>
        </w:rPr>
        <w:t>נדונה</w:t>
      </w:r>
      <w:r w:rsidRPr="0037714D">
        <w:rPr>
          <w:rtl/>
        </w:rPr>
        <w:t xml:space="preserve"> </w:t>
      </w:r>
      <w:r w:rsidRPr="0037714D">
        <w:rPr>
          <w:rFonts w:hint="eastAsia"/>
          <w:rtl/>
        </w:rPr>
        <w:t>סטייה</w:t>
      </w:r>
      <w:r w:rsidRPr="0037714D">
        <w:rPr>
          <w:rtl/>
        </w:rPr>
        <w:t xml:space="preserve"> </w:t>
      </w:r>
      <w:r w:rsidRPr="0037714D">
        <w:rPr>
          <w:rFonts w:hint="eastAsia"/>
          <w:rtl/>
        </w:rPr>
        <w:t>מעקרון</w:t>
      </w:r>
      <w:r w:rsidRPr="0037714D">
        <w:rPr>
          <w:rtl/>
        </w:rPr>
        <w:t xml:space="preserve"> </w:t>
      </w:r>
      <w:r w:rsidRPr="0037714D">
        <w:rPr>
          <w:rFonts w:hint="eastAsia"/>
          <w:rtl/>
        </w:rPr>
        <w:t>השוויון</w:t>
      </w:r>
      <w:r w:rsidRPr="0037714D">
        <w:rPr>
          <w:rtl/>
        </w:rPr>
        <w:t xml:space="preserve"> </w:t>
      </w:r>
      <w:r w:rsidRPr="0037714D">
        <w:rPr>
          <w:rFonts w:hint="eastAsia"/>
          <w:rtl/>
        </w:rPr>
        <w:t>שזכה</w:t>
      </w:r>
      <w:r w:rsidRPr="0037714D">
        <w:rPr>
          <w:rtl/>
        </w:rPr>
        <w:t xml:space="preserve"> </w:t>
      </w:r>
      <w:r w:rsidRPr="0037714D">
        <w:rPr>
          <w:rFonts w:hint="eastAsia"/>
          <w:rtl/>
        </w:rPr>
        <w:t>ל</w:t>
      </w:r>
      <w:r w:rsidRPr="0037714D">
        <w:rPr>
          <w:rtl/>
        </w:rPr>
        <w:t xml:space="preserve">"שריון" </w:t>
      </w:r>
      <w:r w:rsidRPr="0037714D">
        <w:rPr>
          <w:rFonts w:hint="eastAsia"/>
          <w:rtl/>
        </w:rPr>
        <w:t>בסעיף</w:t>
      </w:r>
      <w:r w:rsidRPr="0037714D">
        <w:rPr>
          <w:rtl/>
        </w:rPr>
        <w:t xml:space="preserve"> 4 </w:t>
      </w:r>
      <w:r w:rsidRPr="0037714D">
        <w:rPr>
          <w:rFonts w:hint="eastAsia"/>
          <w:rtl/>
        </w:rPr>
        <w:t>לחוק</w:t>
      </w:r>
      <w:r>
        <w:rPr>
          <w:rFonts w:hint="cs"/>
          <w:rtl/>
        </w:rPr>
        <w:t>-</w:t>
      </w:r>
      <w:r w:rsidRPr="0037714D">
        <w:rPr>
          <w:rFonts w:hint="eastAsia"/>
          <w:rtl/>
        </w:rPr>
        <w:t>יסוד</w:t>
      </w:r>
      <w:r w:rsidRPr="0037714D">
        <w:rPr>
          <w:rtl/>
        </w:rPr>
        <w:t>: הכנסת, המאפשר חקיקה מחדש של הסדר לא שוויוני ברוב של 61 חברי כנסת. אולם, ה</w:t>
      </w:r>
      <w:r w:rsidRPr="0037714D">
        <w:rPr>
          <w:rFonts w:hint="cs"/>
          <w:rtl/>
        </w:rPr>
        <w:t xml:space="preserve">חידוש המרכזי </w:t>
      </w:r>
      <w:r w:rsidRPr="0037714D">
        <w:rPr>
          <w:rtl/>
        </w:rPr>
        <w:t xml:space="preserve">המצוי ביסודו של פסק הדין אינו מתמקד באפשרות לחקיקה מחודשת ברוב </w:t>
      </w:r>
      <w:r w:rsidRPr="0037714D">
        <w:rPr>
          <w:rFonts w:hint="cs"/>
          <w:rtl/>
        </w:rPr>
        <w:t>האמור</w:t>
      </w:r>
      <w:r w:rsidRPr="0037714D">
        <w:rPr>
          <w:rtl/>
        </w:rPr>
        <w:t xml:space="preserve">, אלא דווקא בהגבלה על ריבונות המחוקק. </w:t>
      </w:r>
      <w:r w:rsidRPr="0037714D">
        <w:rPr>
          <w:rFonts w:hint="eastAsia"/>
          <w:rtl/>
        </w:rPr>
        <w:t>הוא</w:t>
      </w:r>
      <w:r w:rsidRPr="0037714D">
        <w:rPr>
          <w:rtl/>
        </w:rPr>
        <w:t xml:space="preserve"> הדין בעניין </w:t>
      </w:r>
      <w:r w:rsidRPr="00D87434">
        <w:rPr>
          <w:rFonts w:ascii="Century" w:hAnsi="Century" w:cs="Miriam" w:hint="eastAsia"/>
          <w:b/>
          <w:spacing w:val="0"/>
          <w:szCs w:val="24"/>
          <w:rtl/>
        </w:rPr>
        <w:t>ירדור</w:t>
      </w:r>
      <w:r w:rsidRPr="0037714D">
        <w:rPr>
          <w:rtl/>
        </w:rPr>
        <w:t xml:space="preserve"> שאת דבריו של השופט </w:t>
      </w:r>
      <w:r w:rsidRPr="00D87434">
        <w:rPr>
          <w:rFonts w:ascii="Century" w:hAnsi="Century" w:cs="Miriam" w:hint="eastAsia"/>
          <w:b/>
          <w:spacing w:val="0"/>
          <w:szCs w:val="24"/>
          <w:rtl/>
        </w:rPr>
        <w:t>י</w:t>
      </w:r>
      <w:r w:rsidRPr="00D87434">
        <w:rPr>
          <w:rFonts w:ascii="Century" w:hAnsi="Century" w:cs="Miriam"/>
          <w:b/>
          <w:spacing w:val="0"/>
          <w:szCs w:val="24"/>
          <w:rtl/>
        </w:rPr>
        <w:t xml:space="preserve">' </w:t>
      </w:r>
      <w:r w:rsidRPr="00D87434">
        <w:rPr>
          <w:rFonts w:ascii="Century" w:hAnsi="Century" w:cs="Miriam" w:hint="eastAsia"/>
          <w:b/>
          <w:spacing w:val="0"/>
          <w:szCs w:val="24"/>
          <w:rtl/>
        </w:rPr>
        <w:t>זוסמן</w:t>
      </w:r>
      <w:r w:rsidRPr="00D87434">
        <w:rPr>
          <w:rtl/>
        </w:rPr>
        <w:t xml:space="preserve"> </w:t>
      </w:r>
      <w:r w:rsidRPr="0037714D">
        <w:rPr>
          <w:rtl/>
        </w:rPr>
        <w:t>ב</w:t>
      </w:r>
      <w:r w:rsidRPr="0037714D">
        <w:rPr>
          <w:rFonts w:hint="cs"/>
          <w:rtl/>
        </w:rPr>
        <w:t>אותו עניין</w:t>
      </w:r>
      <w:r w:rsidRPr="0037714D">
        <w:rPr>
          <w:rtl/>
        </w:rPr>
        <w:t xml:space="preserve"> פוטר חברי בהגדרתם כ"חריג" על רקע פסקי דין אחרים שלו. </w:t>
      </w:r>
      <w:r w:rsidRPr="0037714D">
        <w:rPr>
          <w:rFonts w:hint="cs"/>
          <w:rtl/>
        </w:rPr>
        <w:t xml:space="preserve">אולם, דווקא החריג הוא החשוב בהקשר זה. ברור לכל, וכך גם היום, שברגיל המילה האחרונה היא של המחוקק. אולם, ההכרה בכך שלא תמיד אלה הם פני הדברים היא החשובה. יתר על כן, </w:t>
      </w:r>
      <w:r w:rsidRPr="0037714D">
        <w:rPr>
          <w:rtl/>
        </w:rPr>
        <w:t xml:space="preserve">תיאור זה של </w:t>
      </w:r>
      <w:r w:rsidRPr="0037714D">
        <w:rPr>
          <w:rtl/>
        </w:rPr>
        <w:lastRenderedPageBreak/>
        <w:t xml:space="preserve">הדברים אינו מייחס משקל מספיק להכרעתו של הנשיא </w:t>
      </w:r>
      <w:r w:rsidRPr="00D87434">
        <w:rPr>
          <w:rFonts w:ascii="Century" w:hAnsi="Century" w:cs="Miriam" w:hint="eastAsia"/>
          <w:b/>
          <w:spacing w:val="0"/>
          <w:szCs w:val="24"/>
          <w:rtl/>
        </w:rPr>
        <w:t>ש</w:t>
      </w:r>
      <w:r w:rsidRPr="00D87434">
        <w:rPr>
          <w:rFonts w:ascii="Century" w:hAnsi="Century" w:cs="Miriam"/>
          <w:b/>
          <w:spacing w:val="0"/>
          <w:szCs w:val="24"/>
          <w:rtl/>
        </w:rPr>
        <w:t xml:space="preserve">' </w:t>
      </w:r>
      <w:r w:rsidRPr="00D87434">
        <w:rPr>
          <w:rFonts w:ascii="Century" w:hAnsi="Century" w:cs="Miriam" w:hint="eastAsia"/>
          <w:b/>
          <w:spacing w:val="0"/>
          <w:szCs w:val="24"/>
          <w:rtl/>
        </w:rPr>
        <w:t>אגרנט</w:t>
      </w:r>
      <w:r w:rsidRPr="00D87434">
        <w:rPr>
          <w:rtl/>
        </w:rPr>
        <w:t xml:space="preserve"> </w:t>
      </w:r>
      <w:r w:rsidRPr="0037714D">
        <w:rPr>
          <w:rtl/>
        </w:rPr>
        <w:t>באותו עניין, שהיה נכון אף הוא ל</w:t>
      </w:r>
      <w:r w:rsidRPr="0037714D">
        <w:rPr>
          <w:rFonts w:hint="cs"/>
          <w:rtl/>
        </w:rPr>
        <w:t xml:space="preserve">קרוא אל תוך לשון החוק את </w:t>
      </w:r>
      <w:r w:rsidRPr="0037714D">
        <w:rPr>
          <w:rtl/>
        </w:rPr>
        <w:t>הנחות היסוד של הכרזת העצמאות.</w:t>
      </w:r>
    </w:p>
    <w:p w:rsidR="00E31875" w:rsidRPr="0037714D" w:rsidRDefault="00E31875" w:rsidP="00E31875">
      <w:pPr>
        <w:pStyle w:val="Ruller41"/>
        <w:rPr>
          <w:rtl/>
        </w:rPr>
      </w:pPr>
    </w:p>
    <w:p w:rsidR="00E31875" w:rsidRPr="0037714D" w:rsidRDefault="00E31875" w:rsidP="00E31875">
      <w:pPr>
        <w:pStyle w:val="Ruller41"/>
        <w:rPr>
          <w:rtl/>
        </w:rPr>
      </w:pPr>
      <w:r w:rsidRPr="0037714D">
        <w:rPr>
          <w:rFonts w:hint="cs"/>
          <w:rtl/>
        </w:rPr>
        <w:t xml:space="preserve">106. </w:t>
      </w:r>
      <w:r w:rsidRPr="0037714D">
        <w:rPr>
          <w:rFonts w:hint="cs"/>
          <w:rtl/>
        </w:rPr>
        <w:tab/>
        <w:t xml:space="preserve">אינני שותפה לדרך פרשנותו של חברי השופט </w:t>
      </w:r>
      <w:r w:rsidRPr="00D87434">
        <w:rPr>
          <w:rFonts w:ascii="Century" w:hAnsi="Century" w:cs="Miriam"/>
          <w:b/>
          <w:spacing w:val="0"/>
          <w:szCs w:val="24"/>
          <w:rtl/>
        </w:rPr>
        <w:t>סולברג</w:t>
      </w:r>
      <w:r w:rsidRPr="0037714D">
        <w:rPr>
          <w:rFonts w:hint="cs"/>
          <w:rtl/>
        </w:rPr>
        <w:t xml:space="preserve"> גם ביחס לעניין </w:t>
      </w:r>
      <w:r w:rsidRPr="00D87434">
        <w:rPr>
          <w:rFonts w:ascii="Century" w:hAnsi="Century" w:cs="Miriam"/>
          <w:b/>
          <w:spacing w:val="0"/>
          <w:szCs w:val="24"/>
          <w:rtl/>
        </w:rPr>
        <w:t>בנק המזרחי</w:t>
      </w:r>
      <w:r w:rsidRPr="0037714D">
        <w:rPr>
          <w:rFonts w:hint="cs"/>
          <w:rtl/>
        </w:rPr>
        <w:t xml:space="preserve"> עצמו.</w:t>
      </w:r>
      <w:r w:rsidRPr="0037714D">
        <w:rPr>
          <w:rFonts w:ascii="Miriam" w:hAnsi="Miriam" w:cs="Miriam" w:hint="cs"/>
          <w:sz w:val="24"/>
          <w:szCs w:val="24"/>
          <w:rtl/>
        </w:rPr>
        <w:t xml:space="preserve"> </w:t>
      </w:r>
      <w:r w:rsidRPr="0037714D">
        <w:rPr>
          <w:rFonts w:hint="cs"/>
          <w:rtl/>
        </w:rPr>
        <w:t xml:space="preserve">חברי מסביר כי פסק דין זה שינה דבר אחד בלבד בדוקטרינה החוקתית שלנו </w:t>
      </w:r>
      <w:r w:rsidRPr="0037714D">
        <w:rPr>
          <w:rtl/>
        </w:rPr>
        <w:t>–</w:t>
      </w:r>
      <w:r w:rsidRPr="0037714D">
        <w:rPr>
          <w:rFonts w:hint="cs"/>
          <w:rtl/>
        </w:rPr>
        <w:t xml:space="preserve"> בכך שהוסיף הכרה בעליונותם של חוקי היסוד על פני חקיקה רגילה של הכנסת. מכאן הוא גוזר שלילה מוחלטת של ביקורת על חוקי היסוד עצמם. אני סבורה שיש להבין את הדברים באופן שונה בתכלית. אכן, בהתאם לתקדים שנקבע בעניין </w:t>
      </w:r>
      <w:r w:rsidRPr="00D87434">
        <w:rPr>
          <w:rFonts w:ascii="Century" w:hAnsi="Century" w:cs="Miriam"/>
          <w:b/>
          <w:spacing w:val="0"/>
          <w:szCs w:val="24"/>
          <w:rtl/>
        </w:rPr>
        <w:t>בנק המזרחי</w:t>
      </w:r>
      <w:r w:rsidRPr="00D87434">
        <w:rPr>
          <w:rFonts w:hint="cs"/>
          <w:rtl/>
        </w:rPr>
        <w:t xml:space="preserve"> </w:t>
      </w:r>
      <w:r w:rsidRPr="0037714D">
        <w:rPr>
          <w:rFonts w:hint="cs"/>
          <w:rtl/>
        </w:rPr>
        <w:t xml:space="preserve">חוקי היסוד הם נעלים מחוקים רגילים. אולם, תקדים זה לא קבע שהם נעלים ממקור ההסמכה שלהם עצמם. למעשה, הוא כלל לא עסק בשאלה זו. לשיטתי, מקור ההסמכה מצוי בעקרונות הבסיס של הכרזת העצמאות. אין מדובר בהכפפה של חוקי היסוד לעקרונות-על אמורפיים, אלא לעמידה בדרישה הבסיסית של כל שיטת משפט: הימנעות מלחרוג ממסגרת ההסמכה. חברי השופט </w:t>
      </w:r>
      <w:r w:rsidRPr="00D87434">
        <w:rPr>
          <w:rFonts w:ascii="Century" w:hAnsi="Century" w:cs="Miriam"/>
          <w:b/>
          <w:spacing w:val="0"/>
          <w:szCs w:val="24"/>
          <w:rtl/>
        </w:rPr>
        <w:t>סולברג</w:t>
      </w:r>
      <w:r w:rsidRPr="0037714D">
        <w:rPr>
          <w:rFonts w:ascii="Miriam" w:hAnsi="Miriam" w:cs="Miriam"/>
          <w:sz w:val="24"/>
          <w:szCs w:val="24"/>
          <w:rtl/>
        </w:rPr>
        <w:t xml:space="preserve"> </w:t>
      </w:r>
      <w:r w:rsidRPr="0037714D">
        <w:rPr>
          <w:rFonts w:hint="cs"/>
          <w:rtl/>
        </w:rPr>
        <w:t xml:space="preserve">חוזר ומציין כי הכרזת העצמאות אינה מהווה כשלעצמה חוקה. לכך אני מסכימה. אולם </w:t>
      </w:r>
      <w:r w:rsidRPr="0037714D">
        <w:rPr>
          <w:rtl/>
        </w:rPr>
        <w:t>–</w:t>
      </w:r>
      <w:r w:rsidRPr="0037714D">
        <w:rPr>
          <w:rFonts w:hint="cs"/>
          <w:rtl/>
        </w:rPr>
        <w:t xml:space="preserve"> כפי שהסברתי בפסק דיני, ההימנעות מהכרה במעמדה של הכרזת העצמאות כחוקה אינה שקולה לביטול מעמדה כ"חישוק המסגרת" הקובע את המגבלות החלות גם על חקיקתם של חוקי יסוד. למעשה, גישתו של חברי מובילה לתוצאה פרדוקסלית </w:t>
      </w:r>
      <w:r w:rsidRPr="0037714D">
        <w:rPr>
          <w:rtl/>
        </w:rPr>
        <w:t>–</w:t>
      </w:r>
      <w:r w:rsidRPr="0037714D">
        <w:rPr>
          <w:rFonts w:hint="cs"/>
          <w:rtl/>
        </w:rPr>
        <w:t xml:space="preserve"> חיזוק כוחה של הכנסת מכוחו של התקדים בעניין </w:t>
      </w:r>
      <w:r w:rsidRPr="00D87434">
        <w:rPr>
          <w:rFonts w:ascii="Century" w:hAnsi="Century" w:cs="Miriam"/>
          <w:b/>
          <w:spacing w:val="0"/>
          <w:szCs w:val="24"/>
          <w:rtl/>
        </w:rPr>
        <w:t>בנק המזרחי</w:t>
      </w:r>
      <w:r w:rsidRPr="0037714D">
        <w:rPr>
          <w:rFonts w:hint="cs"/>
          <w:rtl/>
        </w:rPr>
        <w:t xml:space="preserve">, וזאת דווקא מכוחו של פסק דין שהבהיר את המגבלות על כוחה. שאלת החריגה ממסגרת ההסמכה של הרשות המכוננת לא נדונה כלל בעניין </w:t>
      </w:r>
      <w:r w:rsidRPr="00D87434">
        <w:rPr>
          <w:rFonts w:ascii="Century" w:hAnsi="Century" w:cs="Miriam" w:hint="cs"/>
          <w:b/>
          <w:spacing w:val="0"/>
          <w:szCs w:val="24"/>
          <w:rtl/>
        </w:rPr>
        <w:t>בנק המזרחי</w:t>
      </w:r>
      <w:r w:rsidRPr="0037714D">
        <w:rPr>
          <w:rFonts w:hint="cs"/>
          <w:rtl/>
        </w:rPr>
        <w:t xml:space="preserve">. אכן, עניין </w:t>
      </w:r>
      <w:r w:rsidRPr="0037714D">
        <w:rPr>
          <w:rFonts w:ascii="Century" w:hAnsi="Century" w:cs="Miriam" w:hint="cs"/>
          <w:b/>
          <w:spacing w:val="0"/>
          <w:szCs w:val="24"/>
          <w:rtl/>
        </w:rPr>
        <w:t>בנק המזרחי</w:t>
      </w:r>
      <w:r w:rsidRPr="0037714D">
        <w:rPr>
          <w:rFonts w:hint="cs"/>
          <w:rtl/>
        </w:rPr>
        <w:t xml:space="preserve"> העלה על נס את חוקי היסוד, אך היה רחוק מלהידרש למקרה הקצה של חוק יסוד החותר תחת עקרונותיה של הכרזת העצמאות. </w:t>
      </w:r>
    </w:p>
    <w:p w:rsidR="00E31875" w:rsidRPr="0037714D" w:rsidRDefault="00E31875" w:rsidP="00E31875">
      <w:pPr>
        <w:pStyle w:val="Ruller41"/>
        <w:rPr>
          <w:rtl/>
        </w:rPr>
      </w:pPr>
    </w:p>
    <w:p w:rsidR="00E31875" w:rsidRPr="0037714D" w:rsidRDefault="00E31875" w:rsidP="00E31875">
      <w:pPr>
        <w:pStyle w:val="Ruller41"/>
        <w:rPr>
          <w:rtl/>
        </w:rPr>
      </w:pPr>
      <w:r w:rsidRPr="0037714D">
        <w:rPr>
          <w:rFonts w:hint="cs"/>
          <w:rtl/>
        </w:rPr>
        <w:t xml:space="preserve">107. </w:t>
      </w:r>
      <w:r w:rsidRPr="0037714D">
        <w:rPr>
          <w:rFonts w:hint="cs"/>
          <w:rtl/>
        </w:rPr>
        <w:tab/>
        <w:t xml:space="preserve">בשלב זה, אוסיף רק עוד מספר מלים על עילת הסבירות, שהביאה אותנו עד הלום. חברי השופט </w:t>
      </w:r>
      <w:r w:rsidRPr="00D87434">
        <w:rPr>
          <w:rFonts w:ascii="Century" w:hAnsi="Century" w:cs="Miriam"/>
          <w:b/>
          <w:spacing w:val="0"/>
          <w:szCs w:val="24"/>
          <w:rtl/>
        </w:rPr>
        <w:t>סולברג</w:t>
      </w:r>
      <w:r w:rsidRPr="0037714D">
        <w:rPr>
          <w:rFonts w:hint="cs"/>
          <w:rtl/>
        </w:rPr>
        <w:t xml:space="preserve"> מקדיש חלק נכבד מדבריו לעילה זו, ועל כן אני מבקשת לחזור ולהזכיר: לא בעילת הסבירות עוסק תיקון מס' 3 לחוק היסוד שבפנינו, אלא בצמצום רדיקלי של סמכויות בתי המשפט לבקר את פעולות הממשלה ושריה. על כך יש להוסיף, כי אני מוצאת קושי רב בהצגת ה"נרטיב ההיסטורי" של חברי ביחס להתפתחותה של עילת הסבירות. לשיטתו, עילת הסבירות הלכה ותפחה, עד ש"בלעה" את עיל</w:t>
      </w:r>
      <w:r>
        <w:rPr>
          <w:rFonts w:hint="cs"/>
          <w:rtl/>
        </w:rPr>
        <w:t xml:space="preserve">ות הביקורת האחרות, ומשסירב בית </w:t>
      </w:r>
      <w:r w:rsidRPr="0037714D">
        <w:rPr>
          <w:rFonts w:hint="cs"/>
          <w:rtl/>
        </w:rPr>
        <w:t xml:space="preserve">משפט זה להכיר בכך הביא הוא על עצמו את תיקון מס' 3. אני רואה את הדברים באופן שונה בתכלית. בשלב הנוכחי של כתיבת פסק דיננו תקצר היריעה מלהוסיף פרטים, אך חשוב לומר כי יש פער בין ה"מיתוס" לבין המציאות. אכן, עילת הסבירות היא עילת ביקורת חשובה במשפט הישראלי. אולם, לצדה עילות חשובות נוספות. בתי המשפט אינם פונים אליה כאל מוצא ראשון, וטוב שכך. הקושי שמעוררת עילת הסבירות, והיא אכן לא חפה מקשיים, אינו שונה משאלות שמעורר </w:t>
      </w:r>
      <w:r w:rsidRPr="0037714D">
        <w:rPr>
          <w:rFonts w:hint="cs"/>
          <w:rtl/>
        </w:rPr>
        <w:lastRenderedPageBreak/>
        <w:t xml:space="preserve">השימוש במושגי שסתום בענפים אחרים של המשפט. כך למשל, אינני סבורה שיש מי שמציע באופן רציני לבטל את עקרון תום הלב במשפט האזרחי של ישראל, גם אם שימוש נרחב בו, תוך ויתור על פנייה לכללים משפטיים ספציפיים, אינו רצוי. כפי שכבר ציינתי, יכולה להיות ביקורת על השימוש בעילת הסבירות במקרה זה או אחר. כאמור, אפשר אף להעלות על הדעת תיקון מצומצם בהקשרים שבהם היא חלה. אולם, מכאן ועד פסילה קטגורית של השימוש בעילה זו ביחס לכלל ההחלטות של הממשלה ושריה </w:t>
      </w:r>
      <w:r w:rsidRPr="0037714D">
        <w:rPr>
          <w:rtl/>
        </w:rPr>
        <w:t>–</w:t>
      </w:r>
      <w:r w:rsidRPr="0037714D">
        <w:rPr>
          <w:rFonts w:hint="cs"/>
          <w:rtl/>
        </w:rPr>
        <w:t xml:space="preserve"> הדרך רבה. תיקון מס' 3 חל על מכלול רחב של החלטות "רגילות" של שרים, לא רק על החלטות של הממשלה במליאתה. משמעותו היא חסימה מאסיבית של ביקורת שיפוטית על יומיום מינהלי, גם כזה שאינו מעורר שאלות שראוי לכנותן "ערכיות" או "פוליטיות", אשר בהן מתמקד חברי. </w:t>
      </w:r>
    </w:p>
    <w:p w:rsidR="00E31875" w:rsidRPr="0037714D" w:rsidRDefault="00E31875" w:rsidP="00E31875">
      <w:pPr>
        <w:pStyle w:val="Ruller41"/>
        <w:rPr>
          <w:rtl/>
        </w:rPr>
      </w:pPr>
    </w:p>
    <w:p w:rsidR="00E31875" w:rsidRPr="0037714D" w:rsidRDefault="00E31875" w:rsidP="00E31875">
      <w:pPr>
        <w:pStyle w:val="Ruller41"/>
        <w:rPr>
          <w:rtl/>
        </w:rPr>
      </w:pPr>
      <w:r w:rsidRPr="0037714D">
        <w:rPr>
          <w:rFonts w:hint="cs"/>
          <w:rtl/>
        </w:rPr>
        <w:t xml:space="preserve">108. </w:t>
      </w:r>
      <w:r w:rsidRPr="0037714D">
        <w:rPr>
          <w:rFonts w:hint="cs"/>
          <w:rtl/>
        </w:rPr>
        <w:tab/>
        <w:t xml:space="preserve">במאמר מוסגר אציין כי חברי מעלה הצעות שונות ביחס למשפט הרצוי גם במישורים נוספים, כדוגמת הרוב שבו צריכות להתקבל חלק מההחלטות בבית משפט זה. מכיוון שהנושא אינו בפנינו, לא אתייחס להצעות אלה בפירוט. אולם, אני רואה חובה לעצמי לציין כי חלק מאותן הצעות מעלות קשיים ממשיים. כך למשל, חברי מציין כי יש להעדיף הכרעה ב"קונצנזוס" של בית המשפט בביקורת שיפוטית על חוקי יסוד או אף על דברי חקיקה רגילים. דא עקא, מודל של קונצנזוס הוא מודל של שיתוק וחוסר יכולת לפעול. לא בכדי אף הממשלה והכנסת אינן נדרשות לקונצנזוס גם בקבלת החלטות חשובות ונכבדות, לרבות החלטות שחיים ומוות תלויים בהן. ככל שחברי מוצא קושי בהחלת הכלל של החלטה על-פי רוב השופטים תוך התבססות על סעיף 80 לחוק בתי המשפט [נוסח משולב], התשמ"ד-1984, בשל קביעתו בחקיקה רגילה, יש לחזור ולהזכיר כי זהו עיקרון חוצה שיטות משפט, ומקובל אף במקורותינו: "אחרי רבים להטות" (להרחבה, ראו: דפנה ברק-ארז </w:t>
      </w:r>
      <w:r w:rsidRPr="00D87434">
        <w:rPr>
          <w:rFonts w:ascii="Century" w:hAnsi="Century" w:cs="Miriam"/>
          <w:b/>
          <w:spacing w:val="0"/>
          <w:szCs w:val="24"/>
          <w:rtl/>
        </w:rPr>
        <w:t>מחשבות על שפיטה</w:t>
      </w:r>
      <w:r w:rsidRPr="0037714D">
        <w:rPr>
          <w:rFonts w:hint="cs"/>
          <w:rtl/>
        </w:rPr>
        <w:t xml:space="preserve"> 77-75 (2022)). בשינויים המחויבים, אני רואה קושי גם בהצעות הנוגעות להרכב השופטים ולהליך של הביקורת השיפוטית על יסודה של עילת הסבירות. אינני מוצאת כל הצדקה לכך שביקורת שיפוטית על החלטות כאלה תיעשה בהרכב מורחב או במתכונת שמחייבת קונצנזוס. למעשה, הצעות מסוג זה עלולות לגרום לכך שהליך הביקורת השיפוטית יהפוך לחסם ביורוקרטי מסוכן המעכב תהליכי קבלת החלטות בישראל, נוכח התמשכותה של ההתדיינות.</w:t>
      </w:r>
    </w:p>
    <w:p w:rsidR="00E31875" w:rsidRPr="0037714D" w:rsidRDefault="00E31875" w:rsidP="00E31875">
      <w:pPr>
        <w:pStyle w:val="Ruller41"/>
        <w:rPr>
          <w:rtl/>
        </w:rPr>
      </w:pPr>
    </w:p>
    <w:p w:rsidR="00E31875" w:rsidRDefault="00E31875" w:rsidP="00E31875">
      <w:pPr>
        <w:pStyle w:val="Ruller41"/>
        <w:rPr>
          <w:rtl/>
        </w:rPr>
      </w:pPr>
      <w:r w:rsidRPr="0037714D">
        <w:rPr>
          <w:rFonts w:hint="cs"/>
          <w:rtl/>
        </w:rPr>
        <w:t xml:space="preserve">109. </w:t>
      </w:r>
      <w:r w:rsidRPr="0037714D">
        <w:rPr>
          <w:rFonts w:hint="cs"/>
          <w:rtl/>
        </w:rPr>
        <w:tab/>
        <w:t xml:space="preserve">לא אוכל לחתום מבלי להתייחס להצעה שבה חותם חברי את פסק דינו </w:t>
      </w:r>
      <w:r w:rsidRPr="0037714D">
        <w:rPr>
          <w:rtl/>
        </w:rPr>
        <w:t>–</w:t>
      </w:r>
      <w:r w:rsidRPr="0037714D">
        <w:rPr>
          <w:rFonts w:hint="cs"/>
          <w:rtl/>
        </w:rPr>
        <w:t xml:space="preserve"> הצעה לכך שתיקון מס' 3 אכן יוכרז כבטל, אלא שאז יקבל על עצמו בית המשפט ליישם את עילת הסבירות במתכונתה הישנה והמצמצמת ביותר ביחס להחלטות של הממשלה ושריה. אכן, טובות דרכי שלום. אלא שבית המשפט לא תובע כאן את "עלבונו" ולא על כבודו הוא מבקש להגן. מנקודת מבטי, הצעתו של חברי אינה נותנת מענה לחשש כי בלא </w:t>
      </w:r>
      <w:r w:rsidRPr="0037714D">
        <w:rPr>
          <w:rFonts w:hint="cs"/>
          <w:rtl/>
        </w:rPr>
        <w:lastRenderedPageBreak/>
        <w:t xml:space="preserve">עילת הסבירות במתכונתה הנוכחית, ומבלי שנוספו מנגנוני ביקורת אחרים על הרשות המבצעת, יישאר שלטון החוק חשוף לסכנה ממשית. </w:t>
      </w:r>
    </w:p>
    <w:p w:rsidR="00E31875" w:rsidRDefault="00E31875" w:rsidP="00E31875">
      <w:pPr>
        <w:pStyle w:val="Ruller41"/>
        <w:rPr>
          <w:rtl/>
        </w:rPr>
      </w:pPr>
    </w:p>
    <w:p w:rsidR="00E31875" w:rsidRPr="00A8570E" w:rsidRDefault="00E31875" w:rsidP="00E31875">
      <w:pPr>
        <w:spacing w:line="360" w:lineRule="auto"/>
        <w:jc w:val="both"/>
        <w:rPr>
          <w:rFonts w:ascii="Century" w:hAnsi="Century" w:cs="Miriam"/>
          <w:b/>
          <w:rtl/>
        </w:rPr>
      </w:pPr>
      <w:r>
        <w:rPr>
          <w:rFonts w:ascii="Century" w:hAnsi="Century" w:cs="Miriam" w:hint="cs"/>
          <w:b/>
          <w:rtl/>
        </w:rPr>
        <w:t>עיקר העיקרים</w:t>
      </w:r>
      <w:r w:rsidRPr="00A8570E">
        <w:rPr>
          <w:rFonts w:ascii="Century" w:hAnsi="Century" w:cs="Miriam" w:hint="cs"/>
          <w:b/>
          <w:rtl/>
        </w:rPr>
        <w:t>: שלטון החוק בשלטון</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110. </w:t>
      </w:r>
      <w:r>
        <w:rPr>
          <w:rFonts w:hint="cs"/>
          <w:rtl/>
        </w:rPr>
        <w:tab/>
        <w:t xml:space="preserve">עם חתימה אני מבקשת לחזור לנקודה שבה פתחתי. ביקורת שיפוטית על חוקי יסוד מתאימה למצבי קיצון. </w:t>
      </w:r>
      <w:r w:rsidRPr="0037714D">
        <w:rPr>
          <w:rFonts w:hint="cs"/>
          <w:rtl/>
        </w:rPr>
        <w:t>לעמדה זו שותפים כעת שנים עשר משופטי הרכב זה.</w:t>
      </w:r>
      <w:r>
        <w:rPr>
          <w:rFonts w:hint="cs"/>
          <w:rtl/>
        </w:rPr>
        <w:t xml:space="preserve"> שלילתה של כל ביקורת שיפוטית על חוקיות של החלטות ראש הממשלה, הממשלה ושריה </w:t>
      </w:r>
      <w:r>
        <w:rPr>
          <w:rtl/>
        </w:rPr>
        <w:t>–</w:t>
      </w:r>
      <w:r>
        <w:rPr>
          <w:rFonts w:hint="cs"/>
          <w:rtl/>
        </w:rPr>
        <w:t xml:space="preserve"> גם אם בעילה מרכזית אחת, ולא בכל העילות </w:t>
      </w:r>
      <w:r>
        <w:rPr>
          <w:rtl/>
        </w:rPr>
        <w:t>–</w:t>
      </w:r>
      <w:r>
        <w:rPr>
          <w:rFonts w:hint="cs"/>
          <w:rtl/>
        </w:rPr>
        <w:t xml:space="preserve"> היא מצב קיצון שכזה. הטעם העיקרי שהוביל אותי למסקנה זו הוא כי תיקון מס' 3 פוגע אנושות בהגנה על זכויות ואינטרסים של פרטים, בכך שהוא חוסם את דרכם לקבלת סעד מבית המשפט. עם זאת, אין מדובר בטעם יחיד, ויוכיחו הדוגמאות החשובות שעניינן ההשלכות הקשות של חסימת הביקורת השיפוטית על החלטות של ממשלת מעבר ועל קיומה של ביקורת מטעמם של בעלי תפקידים שהם שומרי סף.</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111. </w:t>
      </w:r>
      <w:r>
        <w:rPr>
          <w:rFonts w:hint="cs"/>
          <w:rtl/>
        </w:rPr>
        <w:tab/>
        <w:t xml:space="preserve">במהלך החודשים שחלפו מאז התקבל תיקון מס' 3 והוגשו העתירות שבפנינו, נחשפנו הלכה למעשה לקושי הגלום בחסימת הביקורת השיפוטית על החלטות של הממשלה ושריה על בסיס עילת הסבירות. כפי שציינה גם חברתי הנשיאה (בדימ') </w:t>
      </w:r>
      <w:r w:rsidRPr="00D87434">
        <w:rPr>
          <w:rFonts w:ascii="Century" w:hAnsi="Century" w:cs="Miriam" w:hint="eastAsia"/>
          <w:b/>
          <w:spacing w:val="0"/>
          <w:szCs w:val="24"/>
          <w:rtl/>
        </w:rPr>
        <w:t>חיות</w:t>
      </w:r>
      <w:r>
        <w:rPr>
          <w:rFonts w:hint="cs"/>
          <w:rtl/>
        </w:rPr>
        <w:t xml:space="preserve">, בתקופה זו שבו והתדפקו על דלתו של בית משפט זה בעלי דין רבים המנהלים הליכים משפטיים הנסבים על זכויותיהם, שבהם עילת הביקורת המרכזית היא הסבירות. בכל אותם הליכים התבקשנו לעכב את הדיון המשפטי עד להכרעה בעתירות דנן. מקרים אלו המחישו היטב את העובדה שהסוגיה שבפנינו אינה מתמצה בדיון תיאורטי, שהעיסוק בו שמור ליודעי ח"ן ולחובבי תורת המשפט. כל אותם הליכים תלויים ועומדים מעידים כמאה עדים על כך שאין מדובר בעתירות שאינן בשלות, כעמדת חבריי השופטים </w:t>
      </w:r>
      <w:r w:rsidRPr="00D87434">
        <w:rPr>
          <w:rFonts w:ascii="Century" w:hAnsi="Century" w:cs="Miriam" w:hint="cs"/>
          <w:b/>
          <w:spacing w:val="0"/>
          <w:szCs w:val="24"/>
          <w:rtl/>
        </w:rPr>
        <w:t>י' אלרון</w:t>
      </w:r>
      <w:r w:rsidRPr="00D87434">
        <w:rPr>
          <w:rFonts w:hint="cs"/>
          <w:rtl/>
        </w:rPr>
        <w:t xml:space="preserve"> </w:t>
      </w:r>
      <w:r>
        <w:rPr>
          <w:rFonts w:hint="cs"/>
          <w:rtl/>
        </w:rPr>
        <w:t>ו-</w:t>
      </w:r>
      <w:r w:rsidRPr="0044076D">
        <w:rPr>
          <w:rFonts w:ascii="Century" w:hAnsi="Century" w:cs="Miriam" w:hint="cs"/>
          <w:b/>
          <w:spacing w:val="0"/>
          <w:szCs w:val="24"/>
          <w:rtl/>
        </w:rPr>
        <w:t>מינץ</w:t>
      </w:r>
      <w:r>
        <w:rPr>
          <w:rFonts w:hint="cs"/>
          <w:rtl/>
        </w:rPr>
        <w:t xml:space="preserve">. אדרבה, אלה עתירות ששעתן הגיעה גם הגיעה, והן עוסקות בנושאים המשליכים על זכויותיהם של בעלי דין רבים, כאן ועכשיו. </w:t>
      </w:r>
      <w:r w:rsidRPr="0037714D">
        <w:rPr>
          <w:rFonts w:hint="cs"/>
          <w:rtl/>
        </w:rPr>
        <w:t>במבט רחב יותר, ניתן להוסיף, כי אין זה אחד מאותם פסקי דין שהיינו רשאים להמתין עם כתיבתם, גם אם "מסביב ייהום הסער". מערכות המדינה אינן עומדות במקומן. החלטות מינהליות מתקבלות ומשפיעות באופן יומיומי על ענייניהם של אנשים. מינויים בשירות הציבורי מתבצעים, ולעתים גם פיטורים. איננו ששים אלי הכרעה. אנו נאלצים להכריע.</w:t>
      </w:r>
    </w:p>
    <w:p w:rsidR="00E31875" w:rsidRDefault="00E31875" w:rsidP="00E31875">
      <w:pPr>
        <w:pStyle w:val="Ruller41"/>
        <w:rPr>
          <w:rtl/>
        </w:rPr>
      </w:pPr>
    </w:p>
    <w:p w:rsidR="00E31875" w:rsidRDefault="00E31875" w:rsidP="00E31875">
      <w:pPr>
        <w:pStyle w:val="Ruller41"/>
        <w:rPr>
          <w:rtl/>
        </w:rPr>
      </w:pPr>
      <w:r>
        <w:rPr>
          <w:rFonts w:hint="cs"/>
          <w:rtl/>
        </w:rPr>
        <w:t xml:space="preserve">112. </w:t>
      </w:r>
      <w:r>
        <w:rPr>
          <w:rtl/>
        </w:rPr>
        <w:tab/>
      </w:r>
      <w:r w:rsidRPr="0037714D">
        <w:rPr>
          <w:rFonts w:hint="cs"/>
          <w:rtl/>
        </w:rPr>
        <w:t>לבסוף,</w:t>
      </w:r>
      <w:r>
        <w:rPr>
          <w:rFonts w:hint="cs"/>
          <w:rtl/>
        </w:rPr>
        <w:t xml:space="preserve"> לא ניתן לסיים מבלי לחזור ולחדד שתיקון מס' 3 אף לא ביקש להמיר את הביקורת השיפוטית במנגנון ביקורת מחייב אחר. באופן מטפורי ניתן לומר שזהו </w:t>
      </w:r>
      <w:r>
        <w:rPr>
          <w:rFonts w:hint="cs"/>
          <w:rtl/>
        </w:rPr>
        <w:lastRenderedPageBreak/>
        <w:t xml:space="preserve">מצב שבו לא רק נשמטה רגל של השולחן, אלא שגם לא הוספה לו כל תמיכה אחרת. התוצאה היא מבנה חוקתי בלתי יציב ומט לנפול. </w:t>
      </w:r>
    </w:p>
    <w:p w:rsidR="00EC32E0" w:rsidRDefault="00EC32E0" w:rsidP="00522A38">
      <w:pPr>
        <w:pStyle w:val="Ruller41"/>
        <w:rPr>
          <w:rtl/>
        </w:rPr>
      </w:pPr>
    </w:p>
    <w:p w:rsidR="000D4C61" w:rsidRDefault="000D4C61" w:rsidP="00522A38">
      <w:pPr>
        <w:pStyle w:val="Ruller41"/>
        <w:rPr>
          <w:rtl/>
        </w:rPr>
      </w:pPr>
    </w:p>
    <w:tbl>
      <w:tblPr>
        <w:bidiVisual/>
        <w:tblW w:w="8363" w:type="dxa"/>
        <w:tblLook w:val="01E0" w:firstRow="1" w:lastRow="1" w:firstColumn="1" w:lastColumn="1" w:noHBand="0" w:noVBand="0"/>
      </w:tblPr>
      <w:tblGrid>
        <w:gridCol w:w="2786"/>
        <w:gridCol w:w="2787"/>
        <w:gridCol w:w="2790"/>
      </w:tblGrid>
      <w:tr w:rsidR="00EC32E0" w:rsidTr="00DD4ADA">
        <w:tc>
          <w:tcPr>
            <w:tcW w:w="2842" w:type="dxa"/>
            <w:shd w:val="clear" w:color="auto" w:fill="auto"/>
          </w:tcPr>
          <w:p w:rsidR="00EC32E0" w:rsidRDefault="00EC32E0" w:rsidP="00522A38">
            <w:pPr>
              <w:pStyle w:val="Ruller41"/>
              <w:rPr>
                <w:rtl/>
              </w:rPr>
            </w:pPr>
          </w:p>
        </w:tc>
        <w:tc>
          <w:tcPr>
            <w:tcW w:w="2843" w:type="dxa"/>
            <w:shd w:val="clear" w:color="auto" w:fill="auto"/>
          </w:tcPr>
          <w:p w:rsidR="00EC32E0" w:rsidRDefault="00EC32E0" w:rsidP="00522A38">
            <w:pPr>
              <w:pStyle w:val="Ruller41"/>
              <w:jc w:val="center"/>
              <w:rPr>
                <w:rtl/>
              </w:rPr>
            </w:pPr>
          </w:p>
        </w:tc>
        <w:tc>
          <w:tcPr>
            <w:tcW w:w="2843" w:type="dxa"/>
            <w:shd w:val="clear" w:color="auto" w:fill="auto"/>
          </w:tcPr>
          <w:p w:rsidR="00EC32E0" w:rsidRDefault="00EC32E0" w:rsidP="00522A38">
            <w:pPr>
              <w:pStyle w:val="Ruller41"/>
              <w:jc w:val="center"/>
              <w:rPr>
                <w:rtl/>
              </w:rPr>
            </w:pPr>
            <w:r>
              <w:rPr>
                <w:rtl/>
              </w:rPr>
              <w:t>ש ו פ ט</w:t>
            </w:r>
            <w:r>
              <w:rPr>
                <w:rFonts w:hint="cs"/>
                <w:rtl/>
              </w:rPr>
              <w:t xml:space="preserve"> ת</w:t>
            </w:r>
          </w:p>
        </w:tc>
      </w:tr>
    </w:tbl>
    <w:p w:rsidR="00FF17DB" w:rsidRDefault="00FF17DB" w:rsidP="00522A38">
      <w:pPr>
        <w:pStyle w:val="BODYVERDICT"/>
        <w:spacing w:line="360" w:lineRule="auto"/>
      </w:pPr>
    </w:p>
    <w:p w:rsidR="00FF17DB" w:rsidRPr="000075A3" w:rsidRDefault="00FF17DB" w:rsidP="00FF17DB">
      <w:pPr>
        <w:pStyle w:val="BODYVERDICT"/>
        <w:outlineLvl w:val="0"/>
        <w:rPr>
          <w:rFonts w:cs="Miriam"/>
          <w:sz w:val="24"/>
          <w:szCs w:val="24"/>
          <w:rtl/>
        </w:rPr>
      </w:pPr>
      <w:r w:rsidRPr="00462789">
        <w:rPr>
          <w:rFonts w:cs="Miriam" w:hint="cs"/>
          <w:sz w:val="24"/>
          <w:szCs w:val="24"/>
          <w:u w:val="single"/>
          <w:rtl/>
        </w:rPr>
        <w:t>השופט נ' סולברג</w:t>
      </w:r>
      <w:r w:rsidRPr="000075A3">
        <w:rPr>
          <w:rFonts w:cs="Miriam"/>
          <w:sz w:val="24"/>
          <w:szCs w:val="24"/>
          <w:rtl/>
        </w:rPr>
        <w:t>:</w:t>
      </w:r>
    </w:p>
    <w:p w:rsidR="00EB02E1" w:rsidRDefault="00EB02E1" w:rsidP="00EB02E1">
      <w:pPr>
        <w:pStyle w:val="Ruller41"/>
        <w:spacing w:line="276" w:lineRule="auto"/>
        <w:rPr>
          <w:u w:val="single"/>
          <w:rtl/>
        </w:rPr>
      </w:pPr>
    </w:p>
    <w:p w:rsidR="00EB02E1" w:rsidRDefault="00EB02E1" w:rsidP="007572DB">
      <w:pPr>
        <w:pStyle w:val="Ruller41"/>
        <w:rPr>
          <w:rFonts w:ascii="Century" w:hAnsi="Century" w:cs="Miriam"/>
          <w:b/>
          <w:spacing w:val="0"/>
          <w:szCs w:val="24"/>
          <w:rtl/>
        </w:rPr>
      </w:pPr>
      <w:r w:rsidRPr="00714872">
        <w:rPr>
          <w:rFonts w:ascii="Century" w:hAnsi="Century" w:cs="Miriam" w:hint="eastAsia"/>
          <w:b/>
          <w:spacing w:val="0"/>
          <w:szCs w:val="24"/>
          <w:rtl/>
        </w:rPr>
        <w:t>תוכן</w:t>
      </w:r>
      <w:r w:rsidRPr="00714872">
        <w:rPr>
          <w:rFonts w:ascii="Century" w:hAnsi="Century" w:cs="Miriam"/>
          <w:b/>
          <w:spacing w:val="0"/>
          <w:szCs w:val="24"/>
          <w:rtl/>
        </w:rPr>
        <w:t xml:space="preserve"> </w:t>
      </w:r>
      <w:r w:rsidRPr="00714872">
        <w:rPr>
          <w:rFonts w:ascii="Century" w:hAnsi="Century" w:cs="Miriam" w:hint="eastAsia"/>
          <w:b/>
          <w:spacing w:val="0"/>
          <w:szCs w:val="24"/>
          <w:rtl/>
        </w:rPr>
        <w:t>עניינים</w:t>
      </w:r>
      <w:r>
        <w:rPr>
          <w:rFonts w:ascii="Century" w:hAnsi="Century" w:cs="Miriam" w:hint="cs"/>
          <w:b/>
          <w:spacing w:val="0"/>
          <w:szCs w:val="24"/>
          <w:rtl/>
        </w:rPr>
        <w:t>:</w:t>
      </w:r>
    </w:p>
    <w:p w:rsidR="007572DB" w:rsidRPr="007572DB" w:rsidRDefault="000D4A81" w:rsidP="007572DB">
      <w:pPr>
        <w:tabs>
          <w:tab w:val="right" w:leader="dot" w:pos="8302"/>
        </w:tabs>
        <w:spacing w:before="120" w:after="120" w:line="276" w:lineRule="auto"/>
        <w:jc w:val="both"/>
        <w:rPr>
          <w:rFonts w:asciiTheme="minorHAnsi" w:eastAsiaTheme="minorEastAsia" w:hAnsiTheme="minorHAnsi" w:cstheme="minorBidi"/>
          <w:b/>
          <w:bCs/>
          <w:caps/>
          <w:noProof/>
          <w:color w:val="000000" w:themeColor="text1"/>
          <w:sz w:val="24"/>
          <w:rtl/>
        </w:rPr>
      </w:pPr>
      <w:hyperlink w:anchor="_Toc154947517" w:history="1">
        <w:r w:rsidR="007572DB" w:rsidRPr="008803AE">
          <w:rPr>
            <w:rFonts w:ascii="Miriam" w:hAnsi="Miriam" w:cs="Miriam"/>
            <w:b/>
            <w:bCs/>
            <w:caps/>
            <w:noProof/>
            <w:color w:val="000000" w:themeColor="text1"/>
            <w:sz w:val="24"/>
            <w:rtl/>
          </w:rPr>
          <w:t xml:space="preserve">חלק א' </w:t>
        </w:r>
        <w:r w:rsidR="007572DB" w:rsidRPr="008803AE">
          <w:rPr>
            <w:rFonts w:ascii="Century" w:hAnsi="Century" w:cs="FrankRuehl"/>
            <w:b/>
            <w:bCs/>
            <w:noProof/>
            <w:color w:val="000000" w:themeColor="text1"/>
            <w:spacing w:val="10"/>
            <w:sz w:val="22"/>
            <w:szCs w:val="28"/>
            <w:rtl/>
          </w:rPr>
          <w:t>–</w:t>
        </w:r>
        <w:r w:rsidR="007572DB" w:rsidRPr="008803AE">
          <w:rPr>
            <w:rFonts w:ascii="Miriam" w:hAnsi="Miriam" w:cs="Miriam"/>
            <w:b/>
            <w:bCs/>
            <w:caps/>
            <w:noProof/>
            <w:color w:val="000000" w:themeColor="text1"/>
            <w:sz w:val="24"/>
            <w:rtl/>
          </w:rPr>
          <w:t xml:space="preserve"> הסמכות</w:t>
        </w:r>
      </w:hyperlink>
    </w:p>
    <w:p w:rsidR="007572DB" w:rsidRPr="007572DB" w:rsidRDefault="000D4A81" w:rsidP="007572DB">
      <w:pPr>
        <w:tabs>
          <w:tab w:val="right" w:leader="dot" w:pos="8302"/>
        </w:tabs>
        <w:spacing w:line="360" w:lineRule="auto"/>
        <w:ind w:left="200"/>
        <w:jc w:val="both"/>
        <w:rPr>
          <w:rFonts w:asciiTheme="minorHAnsi" w:eastAsiaTheme="minorEastAsia" w:hAnsiTheme="minorHAnsi" w:cstheme="minorBidi"/>
          <w:noProof/>
          <w:color w:val="000000" w:themeColor="text1"/>
          <w:sz w:val="22"/>
          <w:szCs w:val="22"/>
          <w:rtl/>
        </w:rPr>
      </w:pPr>
      <w:hyperlink w:anchor="_Toc154947518" w:history="1">
        <w:r w:rsidR="007572DB" w:rsidRPr="008803AE">
          <w:rPr>
            <w:rFonts w:ascii="Century" w:hAnsi="Century" w:cs="Miriam"/>
            <w:b/>
            <w:smallCaps/>
            <w:noProof/>
            <w:color w:val="000000" w:themeColor="text1"/>
            <w:sz w:val="22"/>
            <w:szCs w:val="22"/>
            <w:rtl/>
          </w:rPr>
          <w:t>"</w:t>
        </w:r>
        <w:r w:rsidR="007572DB" w:rsidRPr="008803AE">
          <w:rPr>
            <w:rFonts w:ascii="Miriam" w:hAnsi="Miriam" w:cs="Miriam"/>
            <w:smallCaps/>
            <w:noProof/>
            <w:color w:val="000000" w:themeColor="text1"/>
            <w:sz w:val="22"/>
            <w:szCs w:val="22"/>
            <w:rtl/>
          </w:rPr>
          <w:t>זְכֹר יְמוֹת עוֹלָם בִּינוּ שְׁנוֹת דּוֹר וָדוֹר שְׁאַל אָבִיךָ וְיַגֵּדְךָ זְקֵנֶיךָ וְיֹאמְרוּ לָךְ</w:t>
        </w:r>
        <w:r w:rsidR="007572DB" w:rsidRPr="008803AE">
          <w:rPr>
            <w:rFonts w:ascii="Century" w:hAnsi="Century" w:cs="Miriam"/>
            <w:b/>
            <w:smallCaps/>
            <w:noProof/>
            <w:color w:val="000000" w:themeColor="text1"/>
            <w:sz w:val="22"/>
            <w:szCs w:val="22"/>
            <w:rtl/>
          </w:rPr>
          <w:t>"</w:t>
        </w:r>
        <w:r w:rsidR="007572DB" w:rsidRPr="008803AE">
          <w:rPr>
            <w:rFonts w:ascii="Century" w:hAnsi="Century" w:cs="Miriam" w:hint="cs"/>
            <w:b/>
            <w:smallCaps/>
            <w:noProof/>
            <w:color w:val="000000" w:themeColor="text1"/>
            <w:sz w:val="22"/>
            <w:szCs w:val="22"/>
            <w:rtl/>
          </w:rPr>
          <w:t xml:space="preserve"> </w:t>
        </w:r>
        <w:r w:rsidR="007572DB" w:rsidRPr="008803AE">
          <w:rPr>
            <w:rFonts w:ascii="Century" w:hAnsi="Century" w:cs="Miriam"/>
            <w:b/>
            <w:smallCaps/>
            <w:noProof/>
            <w:color w:val="000000" w:themeColor="text1"/>
            <w:sz w:val="22"/>
            <w:szCs w:val="22"/>
            <w:rtl/>
          </w:rPr>
          <w:t>(דברים לב</w:t>
        </w:r>
        <w:r w:rsidR="007572DB" w:rsidRPr="008803AE">
          <w:rPr>
            <w:rFonts w:ascii="Century" w:hAnsi="Century" w:cs="Miriam" w:hint="cs"/>
            <w:b/>
            <w:smallCaps/>
            <w:noProof/>
            <w:color w:val="000000" w:themeColor="text1"/>
            <w:sz w:val="22"/>
            <w:szCs w:val="22"/>
            <w:rtl/>
          </w:rPr>
          <w:t>,</w:t>
        </w:r>
        <w:r w:rsidR="007572DB" w:rsidRPr="008803AE">
          <w:rPr>
            <w:rFonts w:ascii="Century" w:hAnsi="Century" w:cs="Miriam"/>
            <w:b/>
            <w:smallCaps/>
            <w:noProof/>
            <w:color w:val="000000" w:themeColor="text1"/>
            <w:sz w:val="22"/>
            <w:szCs w:val="22"/>
            <w:rtl/>
          </w:rPr>
          <w:t xml:space="preserve"> ז)</w:t>
        </w:r>
      </w:hyperlink>
    </w:p>
    <w:p w:rsidR="007572DB" w:rsidRPr="007572DB" w:rsidRDefault="000D4A81" w:rsidP="007572DB">
      <w:pPr>
        <w:tabs>
          <w:tab w:val="right" w:leader="dot" w:pos="8302"/>
        </w:tabs>
        <w:spacing w:line="360" w:lineRule="auto"/>
        <w:ind w:left="200"/>
        <w:jc w:val="both"/>
        <w:rPr>
          <w:rFonts w:asciiTheme="minorHAnsi" w:eastAsiaTheme="minorEastAsia" w:hAnsiTheme="minorHAnsi" w:cstheme="minorBidi"/>
          <w:noProof/>
          <w:color w:val="000000" w:themeColor="text1"/>
          <w:sz w:val="22"/>
          <w:szCs w:val="22"/>
          <w:rtl/>
        </w:rPr>
      </w:pPr>
      <w:hyperlink w:anchor="_Toc154947519" w:history="1">
        <w:r w:rsidR="007572DB" w:rsidRPr="008803AE">
          <w:rPr>
            <w:rFonts w:ascii="Century" w:hAnsi="Century" w:cs="Miriam"/>
            <w:b/>
            <w:smallCaps/>
            <w:noProof/>
            <w:color w:val="000000" w:themeColor="text1"/>
            <w:sz w:val="22"/>
            <w:szCs w:val="22"/>
            <w:rtl/>
          </w:rPr>
          <w:t>המילה האחרונה; למי ולמה</w:t>
        </w:r>
      </w:hyperlink>
    </w:p>
    <w:p w:rsidR="007572DB" w:rsidRPr="007572DB" w:rsidRDefault="000D4A81" w:rsidP="007572DB">
      <w:pPr>
        <w:tabs>
          <w:tab w:val="right" w:leader="dot" w:pos="8302"/>
        </w:tabs>
        <w:spacing w:line="360" w:lineRule="auto"/>
        <w:ind w:left="200"/>
        <w:jc w:val="both"/>
        <w:rPr>
          <w:rFonts w:asciiTheme="minorHAnsi" w:eastAsiaTheme="minorEastAsia" w:hAnsiTheme="minorHAnsi" w:cstheme="minorBidi"/>
          <w:noProof/>
          <w:color w:val="000000" w:themeColor="text1"/>
          <w:sz w:val="22"/>
          <w:szCs w:val="22"/>
          <w:rtl/>
        </w:rPr>
      </w:pPr>
      <w:hyperlink w:anchor="_Toc154947520" w:history="1">
        <w:r w:rsidR="007572DB" w:rsidRPr="008803AE">
          <w:rPr>
            <w:rFonts w:ascii="Century" w:hAnsi="Century" w:cs="Miriam"/>
            <w:b/>
            <w:smallCaps/>
            <w:noProof/>
            <w:color w:val="000000" w:themeColor="text1"/>
            <w:sz w:val="22"/>
            <w:szCs w:val="22"/>
            <w:rtl/>
          </w:rPr>
          <w:t>מגילת העצמאות</w:t>
        </w:r>
      </w:hyperlink>
    </w:p>
    <w:p w:rsidR="007572DB" w:rsidRPr="007572DB" w:rsidRDefault="000D4A81" w:rsidP="007572DB">
      <w:pPr>
        <w:tabs>
          <w:tab w:val="right" w:leader="dot" w:pos="8302"/>
        </w:tabs>
        <w:spacing w:line="360" w:lineRule="auto"/>
        <w:ind w:left="200"/>
        <w:jc w:val="both"/>
        <w:rPr>
          <w:rFonts w:asciiTheme="minorHAnsi" w:eastAsiaTheme="minorEastAsia" w:hAnsiTheme="minorHAnsi" w:cstheme="minorBidi"/>
          <w:noProof/>
          <w:color w:val="000000" w:themeColor="text1"/>
          <w:sz w:val="22"/>
          <w:szCs w:val="22"/>
          <w:rtl/>
        </w:rPr>
      </w:pPr>
      <w:hyperlink w:anchor="_Toc154947521" w:history="1">
        <w:r w:rsidR="007572DB" w:rsidRPr="008803AE">
          <w:rPr>
            <w:rFonts w:ascii="Century" w:hAnsi="Century" w:cs="Miriam"/>
            <w:b/>
            <w:smallCaps/>
            <w:noProof/>
            <w:color w:val="000000" w:themeColor="text1"/>
            <w:sz w:val="22"/>
            <w:szCs w:val="22"/>
            <w:rtl/>
          </w:rPr>
          <w:t>'נתונים חוקתיים'</w:t>
        </w:r>
      </w:hyperlink>
    </w:p>
    <w:p w:rsidR="007572DB" w:rsidRPr="007572DB" w:rsidRDefault="000D4A81" w:rsidP="007572DB">
      <w:pPr>
        <w:tabs>
          <w:tab w:val="right" w:leader="dot" w:pos="8302"/>
        </w:tabs>
        <w:spacing w:line="360" w:lineRule="auto"/>
        <w:ind w:left="200"/>
        <w:jc w:val="both"/>
        <w:rPr>
          <w:rFonts w:asciiTheme="minorHAnsi" w:eastAsiaTheme="minorEastAsia" w:hAnsiTheme="minorHAnsi" w:cstheme="minorBidi"/>
          <w:noProof/>
          <w:color w:val="000000" w:themeColor="text1"/>
          <w:sz w:val="22"/>
          <w:szCs w:val="22"/>
          <w:rtl/>
        </w:rPr>
      </w:pPr>
      <w:hyperlink w:anchor="_Toc154947522" w:history="1">
        <w:r w:rsidR="007572DB" w:rsidRPr="008803AE">
          <w:rPr>
            <w:rFonts w:ascii="Century" w:hAnsi="Century" w:cs="Miriam"/>
            <w:b/>
            <w:smallCaps/>
            <w:noProof/>
            <w:color w:val="000000" w:themeColor="text1"/>
            <w:sz w:val="22"/>
            <w:szCs w:val="22"/>
            <w:rtl/>
          </w:rPr>
          <w:t>סעיף 7א לחוק-יסוד: הכנסת</w:t>
        </w:r>
      </w:hyperlink>
    </w:p>
    <w:p w:rsidR="007572DB" w:rsidRPr="007572DB" w:rsidRDefault="000D4A81" w:rsidP="007572DB">
      <w:pPr>
        <w:tabs>
          <w:tab w:val="right" w:leader="dot" w:pos="8302"/>
        </w:tabs>
        <w:spacing w:line="360" w:lineRule="auto"/>
        <w:ind w:left="200"/>
        <w:jc w:val="both"/>
        <w:rPr>
          <w:rFonts w:asciiTheme="minorHAnsi" w:eastAsiaTheme="minorEastAsia" w:hAnsiTheme="minorHAnsi" w:cstheme="minorBidi"/>
          <w:noProof/>
          <w:color w:val="000000" w:themeColor="text1"/>
          <w:sz w:val="22"/>
          <w:szCs w:val="22"/>
          <w:rtl/>
        </w:rPr>
      </w:pPr>
      <w:hyperlink w:anchor="_Toc154947523" w:history="1">
        <w:r w:rsidR="007572DB" w:rsidRPr="008803AE">
          <w:rPr>
            <w:rFonts w:ascii="Century" w:hAnsi="Century" w:cs="Miriam"/>
            <w:b/>
            <w:smallCaps/>
            <w:noProof/>
            <w:color w:val="000000" w:themeColor="text1"/>
            <w:sz w:val="22"/>
            <w:szCs w:val="22"/>
            <w:rtl/>
          </w:rPr>
          <w:t>סעיף 15(ג) לחוק-יסוד: השפיטה</w:t>
        </w:r>
      </w:hyperlink>
    </w:p>
    <w:p w:rsidR="007572DB" w:rsidRPr="007572DB" w:rsidRDefault="000D4A81" w:rsidP="007572DB">
      <w:pPr>
        <w:tabs>
          <w:tab w:val="right" w:leader="dot" w:pos="8302"/>
        </w:tabs>
        <w:spacing w:line="360" w:lineRule="auto"/>
        <w:ind w:left="200"/>
        <w:jc w:val="both"/>
        <w:rPr>
          <w:rFonts w:asciiTheme="minorHAnsi" w:eastAsiaTheme="minorEastAsia" w:hAnsiTheme="minorHAnsi" w:cstheme="minorBidi"/>
          <w:noProof/>
          <w:color w:val="000000" w:themeColor="text1"/>
          <w:sz w:val="22"/>
          <w:szCs w:val="22"/>
          <w:rtl/>
        </w:rPr>
      </w:pPr>
      <w:hyperlink w:anchor="_Toc154947524" w:history="1">
        <w:r w:rsidR="007572DB" w:rsidRPr="008803AE">
          <w:rPr>
            <w:rFonts w:ascii="Century" w:hAnsi="Century" w:cs="Miriam"/>
            <w:b/>
            <w:smallCaps/>
            <w:noProof/>
            <w:color w:val="000000" w:themeColor="text1"/>
            <w:sz w:val="22"/>
            <w:szCs w:val="22"/>
            <w:rtl/>
          </w:rPr>
          <w:t>ניגוד עניינים מוסדי</w:t>
        </w:r>
      </w:hyperlink>
    </w:p>
    <w:p w:rsidR="007572DB" w:rsidRPr="007572DB" w:rsidRDefault="000D4A81" w:rsidP="007572DB">
      <w:pPr>
        <w:tabs>
          <w:tab w:val="right" w:leader="dot" w:pos="8302"/>
        </w:tabs>
        <w:spacing w:line="360" w:lineRule="auto"/>
        <w:ind w:left="200"/>
        <w:jc w:val="both"/>
        <w:rPr>
          <w:rFonts w:asciiTheme="minorHAnsi" w:eastAsiaTheme="minorEastAsia" w:hAnsiTheme="minorHAnsi" w:cstheme="minorBidi"/>
          <w:noProof/>
          <w:color w:val="000000" w:themeColor="text1"/>
          <w:sz w:val="22"/>
          <w:szCs w:val="22"/>
          <w:rtl/>
        </w:rPr>
      </w:pPr>
      <w:hyperlink w:anchor="_Toc154947525" w:history="1">
        <w:r w:rsidR="007572DB" w:rsidRPr="008803AE">
          <w:rPr>
            <w:rFonts w:ascii="Century" w:hAnsi="Century" w:cs="Miriam"/>
            <w:b/>
            <w:smallCaps/>
            <w:noProof/>
            <w:color w:val="000000" w:themeColor="text1"/>
            <w:sz w:val="22"/>
            <w:szCs w:val="22"/>
            <w:rtl/>
          </w:rPr>
          <w:t>הרוב קובע?</w:t>
        </w:r>
      </w:hyperlink>
    </w:p>
    <w:p w:rsidR="007572DB" w:rsidRPr="007572DB" w:rsidRDefault="000D4A81" w:rsidP="007572DB">
      <w:pPr>
        <w:tabs>
          <w:tab w:val="right" w:leader="dot" w:pos="8302"/>
        </w:tabs>
        <w:spacing w:line="360" w:lineRule="auto"/>
        <w:ind w:left="200"/>
        <w:jc w:val="both"/>
        <w:rPr>
          <w:rFonts w:asciiTheme="minorHAnsi" w:eastAsiaTheme="minorEastAsia" w:hAnsiTheme="minorHAnsi" w:cstheme="minorBidi"/>
          <w:noProof/>
          <w:color w:val="000000" w:themeColor="text1"/>
          <w:sz w:val="22"/>
          <w:szCs w:val="22"/>
          <w:rtl/>
        </w:rPr>
      </w:pPr>
      <w:hyperlink w:anchor="_Toc154947526" w:history="1">
        <w:r w:rsidR="007572DB" w:rsidRPr="008803AE">
          <w:rPr>
            <w:rFonts w:ascii="Century" w:hAnsi="Century" w:cs="Miriam"/>
            <w:b/>
            <w:smallCaps/>
            <w:noProof/>
            <w:color w:val="000000" w:themeColor="text1"/>
            <w:sz w:val="22"/>
            <w:szCs w:val="22"/>
            <w:rtl/>
          </w:rPr>
          <w:t>הנורמה הבסיסית של המשפט הישראלי</w:t>
        </w:r>
      </w:hyperlink>
    </w:p>
    <w:p w:rsidR="007572DB" w:rsidRPr="007572DB" w:rsidRDefault="000D4A81" w:rsidP="007572DB">
      <w:pPr>
        <w:tabs>
          <w:tab w:val="right" w:leader="dot" w:pos="8302"/>
        </w:tabs>
        <w:spacing w:line="360" w:lineRule="auto"/>
        <w:ind w:left="200"/>
        <w:jc w:val="both"/>
        <w:rPr>
          <w:rFonts w:asciiTheme="minorHAnsi" w:eastAsiaTheme="minorEastAsia" w:hAnsiTheme="minorHAnsi" w:cstheme="minorBidi"/>
          <w:noProof/>
          <w:color w:val="000000" w:themeColor="text1"/>
          <w:sz w:val="22"/>
          <w:szCs w:val="22"/>
          <w:rtl/>
        </w:rPr>
      </w:pPr>
      <w:hyperlink w:anchor="_Toc154947527" w:history="1">
        <w:r w:rsidR="007572DB" w:rsidRPr="008803AE">
          <w:rPr>
            <w:rFonts w:ascii="Century" w:hAnsi="Century" w:cs="Miriam"/>
            <w:b/>
            <w:smallCaps/>
            <w:noProof/>
            <w:color w:val="000000" w:themeColor="text1"/>
            <w:sz w:val="22"/>
            <w:szCs w:val="22"/>
            <w:rtl/>
          </w:rPr>
          <w:t>הדין הרצוי</w:t>
        </w:r>
      </w:hyperlink>
    </w:p>
    <w:p w:rsidR="007572DB" w:rsidRPr="007572DB" w:rsidRDefault="000D4A81" w:rsidP="007572DB">
      <w:pPr>
        <w:tabs>
          <w:tab w:val="right" w:leader="dot" w:pos="8302"/>
        </w:tabs>
        <w:spacing w:before="120" w:after="120" w:line="276" w:lineRule="auto"/>
        <w:jc w:val="both"/>
        <w:rPr>
          <w:rFonts w:asciiTheme="minorHAnsi" w:eastAsiaTheme="minorEastAsia" w:hAnsiTheme="minorHAnsi" w:cstheme="minorBidi"/>
          <w:b/>
          <w:bCs/>
          <w:caps/>
          <w:noProof/>
          <w:color w:val="000000" w:themeColor="text1"/>
          <w:sz w:val="24"/>
          <w:rtl/>
        </w:rPr>
      </w:pPr>
      <w:hyperlink w:anchor="_Toc154947528" w:history="1">
        <w:r w:rsidR="007572DB" w:rsidRPr="008803AE">
          <w:rPr>
            <w:rFonts w:ascii="Miriam" w:hAnsi="Miriam" w:cs="Miriam"/>
            <w:b/>
            <w:bCs/>
            <w:caps/>
            <w:noProof/>
            <w:color w:val="000000" w:themeColor="text1"/>
            <w:sz w:val="24"/>
            <w:rtl/>
          </w:rPr>
          <w:t xml:space="preserve">חלק ב' </w:t>
        </w:r>
        <w:r w:rsidR="007572DB" w:rsidRPr="008803AE">
          <w:rPr>
            <w:rFonts w:ascii="Century" w:hAnsi="Century" w:cs="FrankRuehl"/>
            <w:noProof/>
            <w:color w:val="000000" w:themeColor="text1"/>
            <w:spacing w:val="10"/>
            <w:sz w:val="22"/>
            <w:szCs w:val="28"/>
            <w:rtl/>
          </w:rPr>
          <w:t>–</w:t>
        </w:r>
        <w:r w:rsidR="007572DB" w:rsidRPr="008803AE">
          <w:rPr>
            <w:rFonts w:ascii="Miriam" w:hAnsi="Miriam" w:cs="Miriam"/>
            <w:b/>
            <w:bCs/>
            <w:caps/>
            <w:noProof/>
            <w:color w:val="000000" w:themeColor="text1"/>
            <w:sz w:val="24"/>
            <w:rtl/>
          </w:rPr>
          <w:t xml:space="preserve"> על עילת הסבירות</w:t>
        </w:r>
      </w:hyperlink>
    </w:p>
    <w:p w:rsidR="007572DB" w:rsidRPr="007572DB" w:rsidRDefault="000D4A81" w:rsidP="007572DB">
      <w:pPr>
        <w:tabs>
          <w:tab w:val="right" w:leader="dot" w:pos="8302"/>
        </w:tabs>
        <w:spacing w:line="360" w:lineRule="auto"/>
        <w:ind w:left="200"/>
        <w:jc w:val="both"/>
        <w:rPr>
          <w:rFonts w:asciiTheme="minorHAnsi" w:eastAsiaTheme="minorEastAsia" w:hAnsiTheme="minorHAnsi" w:cstheme="minorBidi"/>
          <w:noProof/>
          <w:color w:val="000000" w:themeColor="text1"/>
          <w:sz w:val="22"/>
          <w:szCs w:val="22"/>
          <w:rtl/>
        </w:rPr>
      </w:pPr>
      <w:hyperlink w:anchor="_Toc154947529" w:history="1">
        <w:r w:rsidR="007572DB" w:rsidRPr="008803AE">
          <w:rPr>
            <w:rFonts w:ascii="Century" w:hAnsi="Century" w:cs="Miriam"/>
            <w:b/>
            <w:smallCaps/>
            <w:noProof/>
            <w:color w:val="000000" w:themeColor="text1"/>
            <w:sz w:val="22"/>
            <w:szCs w:val="22"/>
            <w:rtl/>
          </w:rPr>
          <w:t>פרשנות התיקון לחוק-היסוד; בצמצום או ברווח</w:t>
        </w:r>
      </w:hyperlink>
    </w:p>
    <w:p w:rsidR="007572DB" w:rsidRPr="007572DB" w:rsidRDefault="000D4A81" w:rsidP="007572DB">
      <w:pPr>
        <w:tabs>
          <w:tab w:val="right" w:leader="dot" w:pos="8302"/>
        </w:tabs>
        <w:spacing w:line="360" w:lineRule="auto"/>
        <w:ind w:left="200"/>
        <w:jc w:val="both"/>
        <w:rPr>
          <w:rFonts w:asciiTheme="minorHAnsi" w:eastAsiaTheme="minorEastAsia" w:hAnsiTheme="minorHAnsi" w:cstheme="minorBidi"/>
          <w:noProof/>
          <w:color w:val="000000" w:themeColor="text1"/>
          <w:sz w:val="22"/>
          <w:szCs w:val="22"/>
          <w:rtl/>
        </w:rPr>
      </w:pPr>
      <w:hyperlink w:anchor="_Toc154947530" w:history="1">
        <w:r w:rsidR="007572DB" w:rsidRPr="008803AE">
          <w:rPr>
            <w:rFonts w:ascii="Century" w:hAnsi="Century" w:cs="Miriam"/>
            <w:b/>
            <w:smallCaps/>
            <w:noProof/>
            <w:color w:val="000000" w:themeColor="text1"/>
            <w:sz w:val="22"/>
            <w:szCs w:val="22"/>
            <w:rtl/>
          </w:rPr>
          <w:t>מעמדם של דברי-ההסבר; הערת אזהרה כללית</w:t>
        </w:r>
      </w:hyperlink>
    </w:p>
    <w:p w:rsidR="007572DB" w:rsidRPr="007572DB" w:rsidRDefault="000D4A81" w:rsidP="007572DB">
      <w:pPr>
        <w:tabs>
          <w:tab w:val="right" w:leader="dot" w:pos="8302"/>
        </w:tabs>
        <w:spacing w:line="360" w:lineRule="auto"/>
        <w:ind w:left="200"/>
        <w:jc w:val="both"/>
        <w:rPr>
          <w:rFonts w:asciiTheme="minorHAnsi" w:eastAsiaTheme="minorEastAsia" w:hAnsiTheme="minorHAnsi" w:cstheme="minorBidi"/>
          <w:noProof/>
          <w:color w:val="000000" w:themeColor="text1"/>
          <w:sz w:val="22"/>
          <w:szCs w:val="22"/>
          <w:rtl/>
        </w:rPr>
      </w:pPr>
      <w:hyperlink w:anchor="_Toc154947531" w:history="1">
        <w:r w:rsidR="007572DB" w:rsidRPr="008803AE">
          <w:rPr>
            <w:rFonts w:ascii="Century" w:hAnsi="Century" w:cs="Miriam"/>
            <w:b/>
            <w:smallCaps/>
            <w:noProof/>
            <w:color w:val="000000" w:themeColor="text1"/>
            <w:sz w:val="22"/>
            <w:szCs w:val="22"/>
            <w:rtl/>
          </w:rPr>
          <w:t>'על ערכים סובייקטיביים ושופטים אובייקטיביים'</w:t>
        </w:r>
      </w:hyperlink>
    </w:p>
    <w:p w:rsidR="007572DB" w:rsidRPr="007572DB" w:rsidRDefault="000D4A81" w:rsidP="007572DB">
      <w:pPr>
        <w:tabs>
          <w:tab w:val="right" w:leader="dot" w:pos="8302"/>
        </w:tabs>
        <w:spacing w:line="360" w:lineRule="auto"/>
        <w:ind w:left="200"/>
        <w:jc w:val="both"/>
        <w:rPr>
          <w:rFonts w:asciiTheme="minorHAnsi" w:eastAsiaTheme="minorEastAsia" w:hAnsiTheme="minorHAnsi" w:cstheme="minorBidi"/>
          <w:noProof/>
          <w:color w:val="000000" w:themeColor="text1"/>
          <w:sz w:val="22"/>
          <w:szCs w:val="22"/>
          <w:rtl/>
        </w:rPr>
      </w:pPr>
      <w:hyperlink w:anchor="_Toc154947532" w:history="1">
        <w:r w:rsidR="007572DB" w:rsidRPr="008803AE">
          <w:rPr>
            <w:rFonts w:ascii="Century" w:hAnsi="Century" w:cs="Miriam"/>
            <w:b/>
            <w:smallCaps/>
            <w:noProof/>
            <w:color w:val="000000" w:themeColor="text1"/>
            <w:sz w:val="22"/>
            <w:szCs w:val="22"/>
            <w:shd w:val="clear" w:color="auto" w:fill="FFFFFF"/>
            <w:rtl/>
          </w:rPr>
          <w:t>'שלילת עצם היותה של ישראל מדינה יהודית ודמוקרטית'</w:t>
        </w:r>
      </w:hyperlink>
    </w:p>
    <w:p w:rsidR="007572DB" w:rsidRPr="007572DB" w:rsidRDefault="000D4A81" w:rsidP="007572DB">
      <w:pPr>
        <w:tabs>
          <w:tab w:val="right" w:leader="dot" w:pos="8302"/>
        </w:tabs>
        <w:spacing w:line="360" w:lineRule="auto"/>
        <w:ind w:left="200"/>
        <w:jc w:val="both"/>
        <w:rPr>
          <w:rFonts w:asciiTheme="minorHAnsi" w:eastAsiaTheme="minorEastAsia" w:hAnsiTheme="minorHAnsi" w:cstheme="minorBidi"/>
          <w:noProof/>
          <w:color w:val="000000" w:themeColor="text1"/>
          <w:sz w:val="22"/>
          <w:szCs w:val="22"/>
          <w:rtl/>
        </w:rPr>
      </w:pPr>
      <w:hyperlink w:anchor="_Toc154947533" w:history="1">
        <w:r w:rsidR="007572DB" w:rsidRPr="008803AE">
          <w:rPr>
            <w:rFonts w:ascii="Century" w:hAnsi="Century" w:cs="Miriam"/>
            <w:b/>
            <w:smallCaps/>
            <w:noProof/>
            <w:color w:val="000000" w:themeColor="text1"/>
            <w:sz w:val="22"/>
            <w:szCs w:val="22"/>
            <w:rtl/>
          </w:rPr>
          <w:t>שימוש לרעה בסמכות המכוננת</w:t>
        </w:r>
      </w:hyperlink>
    </w:p>
    <w:p w:rsidR="007572DB" w:rsidRPr="00EC481E" w:rsidRDefault="000D4A81" w:rsidP="007572DB">
      <w:pPr>
        <w:tabs>
          <w:tab w:val="right" w:leader="dot" w:pos="8302"/>
        </w:tabs>
        <w:spacing w:line="360" w:lineRule="auto"/>
        <w:ind w:left="200"/>
        <w:jc w:val="both"/>
        <w:rPr>
          <w:rFonts w:asciiTheme="minorHAnsi" w:eastAsiaTheme="minorEastAsia" w:hAnsiTheme="minorHAnsi" w:cstheme="minorBidi"/>
          <w:noProof/>
          <w:color w:val="000000" w:themeColor="text1"/>
          <w:sz w:val="22"/>
          <w:szCs w:val="22"/>
          <w:rtl/>
        </w:rPr>
      </w:pPr>
      <w:hyperlink w:anchor="_Toc154947534" w:history="1">
        <w:r w:rsidR="007572DB" w:rsidRPr="008803AE">
          <w:rPr>
            <w:rFonts w:ascii="Century" w:hAnsi="Century" w:cs="Miriam"/>
            <w:b/>
            <w:smallCaps/>
            <w:noProof/>
            <w:color w:val="000000" w:themeColor="text1"/>
            <w:sz w:val="22"/>
            <w:szCs w:val="22"/>
            <w:rtl/>
          </w:rPr>
          <w:t>הצעת-חוק מטעם ועדה</w:t>
        </w:r>
      </w:hyperlink>
    </w:p>
    <w:p w:rsidR="007572DB" w:rsidRPr="00084D72" w:rsidRDefault="000D4A81" w:rsidP="00084D72">
      <w:pPr>
        <w:tabs>
          <w:tab w:val="right" w:leader="dot" w:pos="8302"/>
        </w:tabs>
        <w:spacing w:line="360" w:lineRule="auto"/>
        <w:ind w:left="200"/>
        <w:jc w:val="both"/>
        <w:rPr>
          <w:rFonts w:asciiTheme="minorHAnsi" w:eastAsiaTheme="minorEastAsia" w:hAnsiTheme="minorHAnsi" w:cstheme="minorBidi"/>
          <w:noProof/>
          <w:color w:val="000000" w:themeColor="text1"/>
          <w:sz w:val="22"/>
          <w:szCs w:val="22"/>
        </w:rPr>
      </w:pPr>
      <w:hyperlink w:anchor="_Toc154947535" w:history="1">
        <w:r w:rsidR="00EC481E" w:rsidRPr="00EC481E">
          <w:rPr>
            <w:rFonts w:ascii="Century" w:hAnsi="Century" w:cs="Miriam"/>
            <w:b/>
            <w:smallCaps/>
            <w:noProof/>
            <w:color w:val="000000" w:themeColor="text1"/>
            <w:sz w:val="22"/>
            <w:szCs w:val="22"/>
            <w:rtl/>
          </w:rPr>
          <w:t>הגשמת רצון המכונן</w:t>
        </w:r>
      </w:hyperlink>
    </w:p>
    <w:p w:rsidR="00EB02E1" w:rsidRPr="00714872" w:rsidRDefault="00EB02E1" w:rsidP="00084D72">
      <w:pPr>
        <w:pStyle w:val="1"/>
        <w:spacing w:before="240"/>
        <w:rPr>
          <w:rFonts w:ascii="Miriam" w:hAnsi="Miriam"/>
          <w:sz w:val="18"/>
          <w:rtl/>
        </w:rPr>
      </w:pPr>
      <w:bookmarkStart w:id="39" w:name="_Toc154943864"/>
      <w:bookmarkStart w:id="40" w:name="_Toc154944407"/>
      <w:bookmarkStart w:id="41" w:name="_Toc154947517"/>
      <w:r w:rsidRPr="00714872">
        <w:rPr>
          <w:rFonts w:ascii="Miriam" w:hAnsi="Miriam" w:hint="eastAsia"/>
          <w:sz w:val="24"/>
          <w:rtl/>
        </w:rPr>
        <w:t>חלק</w:t>
      </w:r>
      <w:r w:rsidRPr="00714872">
        <w:rPr>
          <w:rFonts w:ascii="Miriam" w:hAnsi="Miriam"/>
          <w:sz w:val="24"/>
          <w:rtl/>
        </w:rPr>
        <w:t xml:space="preserve"> </w:t>
      </w:r>
      <w:r w:rsidRPr="00714872">
        <w:rPr>
          <w:rFonts w:ascii="Miriam" w:hAnsi="Miriam" w:hint="eastAsia"/>
          <w:sz w:val="24"/>
          <w:rtl/>
        </w:rPr>
        <w:t>א</w:t>
      </w:r>
      <w:r w:rsidRPr="00714872">
        <w:rPr>
          <w:rFonts w:ascii="Miriam" w:hAnsi="Miriam"/>
          <w:sz w:val="24"/>
          <w:rtl/>
        </w:rPr>
        <w:t xml:space="preserve">' </w:t>
      </w:r>
      <w:r w:rsidRPr="00714872">
        <w:rPr>
          <w:rFonts w:cs="FrankRuehl"/>
          <w:spacing w:val="10"/>
          <w:szCs w:val="28"/>
          <w:rtl/>
        </w:rPr>
        <w:t>–</w:t>
      </w:r>
      <w:r w:rsidRPr="00714872">
        <w:rPr>
          <w:rFonts w:ascii="Miriam" w:hAnsi="Miriam"/>
          <w:sz w:val="24"/>
          <w:rtl/>
        </w:rPr>
        <w:t xml:space="preserve"> </w:t>
      </w:r>
      <w:r w:rsidRPr="00714872">
        <w:rPr>
          <w:rFonts w:ascii="Miriam" w:hAnsi="Miriam" w:hint="eastAsia"/>
          <w:sz w:val="24"/>
          <w:rtl/>
        </w:rPr>
        <w:t>הסמכות</w:t>
      </w:r>
      <w:bookmarkEnd w:id="39"/>
      <w:bookmarkEnd w:id="40"/>
      <w:bookmarkEnd w:id="41"/>
    </w:p>
    <w:p w:rsidR="00EB02E1" w:rsidRPr="00084D72" w:rsidRDefault="00EB02E1" w:rsidP="00EB02E1">
      <w:pPr>
        <w:pStyle w:val="aff7"/>
        <w:rPr>
          <w:sz w:val="20"/>
          <w:szCs w:val="20"/>
        </w:rPr>
      </w:pPr>
    </w:p>
    <w:p w:rsidR="00EB02E1" w:rsidRDefault="00EB02E1" w:rsidP="00084D72">
      <w:pPr>
        <w:pStyle w:val="Ruller4"/>
        <w:numPr>
          <w:ilvl w:val="0"/>
          <w:numId w:val="44"/>
        </w:numPr>
        <w:textAlignment w:val="auto"/>
        <w:rPr>
          <w:rtl/>
        </w:rPr>
      </w:pPr>
      <w:r>
        <w:rPr>
          <w:rtl/>
        </w:rPr>
        <w:t>חוות דעת</w:t>
      </w:r>
      <w:r>
        <w:rPr>
          <w:rFonts w:hint="cs"/>
          <w:rtl/>
        </w:rPr>
        <w:t xml:space="preserve"> מקיפה כתבה חברתי</w:t>
      </w:r>
      <w:r>
        <w:rPr>
          <w:rtl/>
        </w:rPr>
        <w:t xml:space="preserve"> הנשיאה (בדימ') </w:t>
      </w:r>
      <w:r w:rsidRPr="00084D72">
        <w:rPr>
          <w:rFonts w:ascii="Century" w:hAnsi="Century" w:cs="Miriam"/>
          <w:b/>
          <w:spacing w:val="0"/>
          <w:sz w:val="22"/>
          <w:szCs w:val="24"/>
          <w:rtl/>
        </w:rPr>
        <w:t>א' חיות</w:t>
      </w:r>
      <w:r>
        <w:rPr>
          <w:rtl/>
        </w:rPr>
        <w:t xml:space="preserve">, </w:t>
      </w:r>
      <w:r>
        <w:rPr>
          <w:rFonts w:hint="cs"/>
          <w:rtl/>
        </w:rPr>
        <w:t xml:space="preserve">ובעקבותיה </w:t>
      </w:r>
      <w:r>
        <w:rPr>
          <w:rtl/>
        </w:rPr>
        <w:t>–</w:t>
      </w:r>
      <w:r>
        <w:rPr>
          <w:rFonts w:hint="cs"/>
          <w:rtl/>
        </w:rPr>
        <w:t xml:space="preserve"> מי ברב ומי במעט </w:t>
      </w:r>
      <w:r>
        <w:rPr>
          <w:rtl/>
        </w:rPr>
        <w:t>–</w:t>
      </w:r>
      <w:r>
        <w:rPr>
          <w:rFonts w:hint="cs"/>
          <w:rtl/>
        </w:rPr>
        <w:t xml:space="preserve"> מרבית חברַי וחברותי. </w:t>
      </w:r>
      <w:r>
        <w:rPr>
          <w:rtl/>
        </w:rPr>
        <w:t xml:space="preserve">לצערי, לא אוכל להצטרף למסקנותיהם, אף לא להנמקותיהם. </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 xml:space="preserve">סבורני, כי מוטב היה לוּ </w:t>
      </w:r>
      <w:r>
        <w:rPr>
          <w:rFonts w:hint="cs"/>
          <w:rtl/>
        </w:rPr>
        <w:t>דחינו</w:t>
      </w:r>
      <w:r>
        <w:rPr>
          <w:rtl/>
        </w:rPr>
        <w:t xml:space="preserve"> את העתירות כולן על הסף, </w:t>
      </w:r>
      <w:r>
        <w:rPr>
          <w:rFonts w:hint="cs"/>
          <w:rtl/>
        </w:rPr>
        <w:t>בלי אומר ודברים, זולת קביעה</w:t>
      </w:r>
      <w:r>
        <w:rPr>
          <w:rtl/>
        </w:rPr>
        <w:t xml:space="preserve"> קצרה, שלפיה</w:t>
      </w:r>
      <w:r>
        <w:rPr>
          <w:rFonts w:hint="cs"/>
          <w:rtl/>
        </w:rPr>
        <w:t xml:space="preserve"> </w:t>
      </w:r>
      <w:r>
        <w:rPr>
          <w:rtl/>
        </w:rPr>
        <w:t>–</w:t>
      </w:r>
      <w:r>
        <w:rPr>
          <w:rFonts w:hint="cs"/>
          <w:rtl/>
        </w:rPr>
        <w:t xml:space="preserve"> </w:t>
      </w:r>
      <w:r>
        <w:rPr>
          <w:rFonts w:ascii="Century" w:hAnsi="Century" w:cs="Miriam"/>
          <w:b/>
          <w:spacing w:val="0"/>
          <w:sz w:val="22"/>
          <w:szCs w:val="24"/>
          <w:rtl/>
        </w:rPr>
        <w:t>"</w:t>
      </w:r>
      <w:r>
        <w:rPr>
          <w:rFonts w:ascii="Century" w:hAnsi="Century" w:cs="Miriam"/>
          <w:b/>
          <w:spacing w:val="0"/>
          <w:sz w:val="22"/>
          <w:szCs w:val="24"/>
          <w:shd w:val="clear" w:color="auto" w:fill="FFFFFF"/>
          <w:rtl/>
        </w:rPr>
        <w:t xml:space="preserve">אין בידינו סמכות להפעיל ביקורת שיפוטית על חוקי-היסוד, שכן במשפטנו לא נמצא דבר חקיקה הניצב ממעל להם. מן הטעם הזה, דינן של העתירות </w:t>
      </w:r>
      <w:r>
        <w:rPr>
          <w:rFonts w:ascii="Century" w:hAnsi="Century" w:cs="Miriam"/>
          <w:b/>
          <w:spacing w:val="0"/>
          <w:sz w:val="22"/>
          <w:szCs w:val="24"/>
          <w:shd w:val="clear" w:color="auto" w:fill="FFFFFF"/>
          <w:rtl/>
        </w:rPr>
        <w:lastRenderedPageBreak/>
        <w:t>להידחות"</w:t>
      </w:r>
      <w:r>
        <w:rPr>
          <w:rFonts w:ascii="FrankRuehl" w:hAnsi="FrankRuehl"/>
          <w:color w:val="000000"/>
          <w:sz w:val="28"/>
          <w:shd w:val="clear" w:color="auto" w:fill="FFFFFF"/>
          <w:rtl/>
        </w:rPr>
        <w:t xml:space="preserve"> (</w:t>
      </w:r>
      <w:r>
        <w:rPr>
          <w:color w:val="000000"/>
          <w:sz w:val="27"/>
          <w:szCs w:val="27"/>
          <w:rtl/>
        </w:rPr>
        <w:t xml:space="preserve">בג"ץ 5555/18 </w:t>
      </w:r>
      <w:r>
        <w:rPr>
          <w:rFonts w:ascii="Century" w:hAnsi="Century" w:cs="Miriam"/>
          <w:b/>
          <w:spacing w:val="0"/>
          <w:sz w:val="22"/>
          <w:szCs w:val="24"/>
          <w:rtl/>
        </w:rPr>
        <w:t>ח"כ חסון נ' כנסת ישראל</w:t>
      </w:r>
      <w:r>
        <w:rPr>
          <w:color w:val="000000"/>
          <w:sz w:val="27"/>
          <w:szCs w:val="27"/>
          <w:rtl/>
        </w:rPr>
        <w:t>, פסקה 43 לחוות דעתי (</w:t>
      </w:r>
      <w:r>
        <w:rPr>
          <w:rFonts w:hint="cs"/>
          <w:color w:val="000000"/>
          <w:sz w:val="27"/>
          <w:szCs w:val="27"/>
          <w:rtl/>
        </w:rPr>
        <w:t>8</w:t>
      </w:r>
      <w:r>
        <w:rPr>
          <w:color w:val="000000"/>
          <w:sz w:val="27"/>
          <w:szCs w:val="27"/>
          <w:rtl/>
        </w:rPr>
        <w:t>.</w:t>
      </w:r>
      <w:r>
        <w:rPr>
          <w:rFonts w:hint="cs"/>
          <w:color w:val="000000"/>
          <w:sz w:val="27"/>
          <w:szCs w:val="27"/>
          <w:rtl/>
        </w:rPr>
        <w:t>7</w:t>
      </w:r>
      <w:r>
        <w:rPr>
          <w:color w:val="000000"/>
          <w:sz w:val="27"/>
          <w:szCs w:val="27"/>
          <w:rtl/>
        </w:rPr>
        <w:t>.2021)</w:t>
      </w:r>
      <w:r>
        <w:rPr>
          <w:rtl/>
        </w:rPr>
        <w:t xml:space="preserve"> (להלן: </w:t>
      </w:r>
      <w:r w:rsidRPr="00D42C20">
        <w:rPr>
          <w:rFonts w:ascii="Century" w:hAnsi="Century" w:cs="Miriam"/>
          <w:b/>
          <w:spacing w:val="0"/>
          <w:sz w:val="22"/>
          <w:szCs w:val="24"/>
          <w:rtl/>
        </w:rPr>
        <w:t>עניין</w:t>
      </w:r>
      <w:r>
        <w:rPr>
          <w:rtl/>
        </w:rPr>
        <w:t xml:space="preserve"> </w:t>
      </w:r>
      <w:r>
        <w:rPr>
          <w:rFonts w:ascii="Century" w:hAnsi="Century" w:cs="Miriam"/>
          <w:b/>
          <w:spacing w:val="0"/>
          <w:sz w:val="22"/>
          <w:szCs w:val="24"/>
          <w:rtl/>
        </w:rPr>
        <w:t>חסון</w:t>
      </w:r>
      <w:r>
        <w:rPr>
          <w:rtl/>
        </w:rPr>
        <w:t>)).</w:t>
      </w:r>
    </w:p>
    <w:p w:rsidR="00EB02E1" w:rsidRDefault="00EB02E1" w:rsidP="00EB02E1">
      <w:pPr>
        <w:pStyle w:val="Ruller4"/>
        <w:numPr>
          <w:ilvl w:val="0"/>
          <w:numId w:val="0"/>
        </w:numPr>
        <w:spacing w:line="240" w:lineRule="auto"/>
      </w:pPr>
    </w:p>
    <w:p w:rsidR="00EB02E1" w:rsidRDefault="00EB02E1" w:rsidP="00EB02E1">
      <w:pPr>
        <w:pStyle w:val="Ruller4"/>
        <w:textAlignment w:val="auto"/>
      </w:pPr>
      <w:r>
        <w:rPr>
          <w:rtl/>
        </w:rPr>
        <w:t>חברתי הנשיאה (בדימ')</w:t>
      </w:r>
      <w:r>
        <w:rPr>
          <w:rFonts w:hint="cs"/>
          <w:rtl/>
        </w:rPr>
        <w:t xml:space="preserve"> </w:t>
      </w:r>
      <w:r w:rsidRPr="00E22F59">
        <w:rPr>
          <w:rFonts w:ascii="Century" w:hAnsi="Century" w:cs="Miriam" w:hint="cs"/>
          <w:b/>
          <w:spacing w:val="0"/>
          <w:sz w:val="22"/>
          <w:szCs w:val="24"/>
          <w:rtl/>
        </w:rPr>
        <w:t>א' חיות</w:t>
      </w:r>
      <w:r>
        <w:rPr>
          <w:rFonts w:hint="cs"/>
          <w:rtl/>
        </w:rPr>
        <w:t xml:space="preserve"> </w:t>
      </w:r>
      <w:r>
        <w:rPr>
          <w:rtl/>
        </w:rPr>
        <w:t xml:space="preserve">מציינת, כי </w:t>
      </w:r>
      <w:r w:rsidRPr="00AB4B60">
        <w:rPr>
          <w:rFonts w:ascii="Century" w:hAnsi="Century" w:cs="Miriam"/>
          <w:b/>
          <w:spacing w:val="0"/>
          <w:sz w:val="22"/>
          <w:szCs w:val="24"/>
          <w:rtl/>
        </w:rPr>
        <w:t>"בהליכים שלפנינו מתעוררות שתי שאלות עיקריות: השאלה הראשונה היא האם ניתן לקי</w:t>
      </w:r>
      <w:r>
        <w:rPr>
          <w:rFonts w:ascii="Century" w:hAnsi="Century" w:cs="Miriam" w:hint="cs"/>
          <w:b/>
          <w:spacing w:val="0"/>
          <w:sz w:val="22"/>
          <w:szCs w:val="24"/>
          <w:rtl/>
        </w:rPr>
        <w:t>י</w:t>
      </w:r>
      <w:r w:rsidRPr="00AB4B60">
        <w:rPr>
          <w:rFonts w:ascii="Century" w:hAnsi="Century" w:cs="Miriam"/>
          <w:b/>
          <w:spacing w:val="0"/>
          <w:sz w:val="22"/>
          <w:szCs w:val="24"/>
          <w:rtl/>
        </w:rPr>
        <w:t>ם ביקורת שיפוטית על תוכנם של חוקי היסוד כאשר מועלית טענה לפיה הכנסת חרגה מסמכותה המכוננת.</w:t>
      </w:r>
      <w:r w:rsidRPr="00AB4B60">
        <w:rPr>
          <w:rtl/>
        </w:rPr>
        <w:t xml:space="preserve"> </w:t>
      </w:r>
      <w:r w:rsidRPr="00AB4B60">
        <w:rPr>
          <w:rFonts w:ascii="Century" w:hAnsi="Century" w:cs="Miriam"/>
          <w:b/>
          <w:spacing w:val="0"/>
          <w:sz w:val="22"/>
          <w:szCs w:val="24"/>
          <w:u w:val="single"/>
          <w:rtl/>
        </w:rPr>
        <w:t>זוהי שאלה מורכבת ועד עתה נמנע בית משפט זה מלהכריע בה</w:t>
      </w:r>
      <w:r>
        <w:rPr>
          <w:rtl/>
        </w:rPr>
        <w:t xml:space="preserve">, </w:t>
      </w:r>
      <w:r w:rsidRPr="00AB4B60">
        <w:rPr>
          <w:rFonts w:ascii="Century" w:hAnsi="Century" w:cs="Miriam"/>
          <w:b/>
          <w:spacing w:val="0"/>
          <w:sz w:val="22"/>
          <w:szCs w:val="24"/>
          <w:rtl/>
        </w:rPr>
        <w:t>אך כעת היא ניצבת בבסיס העתירות ודורשת הכרעה. השאלה השנייה, שהתשובה לה תלויה במענה שיינתן לשאלה הראשונה, היא האם התיקון נושא העתירות [...] דינו בטלות</w:t>
      </w:r>
      <w:r>
        <w:rPr>
          <w:rtl/>
        </w:rPr>
        <w:t xml:space="preserve"> (ההדגש</w:t>
      </w:r>
      <w:r>
        <w:rPr>
          <w:rFonts w:hint="cs"/>
          <w:rtl/>
        </w:rPr>
        <w:t>ות</w:t>
      </w:r>
      <w:r>
        <w:rPr>
          <w:rtl/>
        </w:rPr>
        <w:t xml:space="preserve"> </w:t>
      </w:r>
      <w:r>
        <w:rPr>
          <w:rFonts w:hint="cs"/>
          <w:rtl/>
        </w:rPr>
        <w:t xml:space="preserve">כאן ולהלן </w:t>
      </w:r>
      <w:r>
        <w:rPr>
          <w:rtl/>
        </w:rPr>
        <w:t>הוספ</w:t>
      </w:r>
      <w:r>
        <w:rPr>
          <w:rFonts w:hint="cs"/>
          <w:rtl/>
        </w:rPr>
        <w:t>ו</w:t>
      </w:r>
      <w:r>
        <w:rPr>
          <w:rtl/>
        </w:rPr>
        <w:t xml:space="preserve"> – נ' ס').</w:t>
      </w:r>
    </w:p>
    <w:p w:rsidR="00EB02E1" w:rsidRDefault="00EB02E1" w:rsidP="00EB02E1">
      <w:pPr>
        <w:pStyle w:val="Ruller41"/>
        <w:spacing w:line="240" w:lineRule="auto"/>
        <w:rPr>
          <w:rtl/>
        </w:rPr>
      </w:pPr>
    </w:p>
    <w:p w:rsidR="00EB02E1" w:rsidRDefault="00EB02E1" w:rsidP="00EB02E1">
      <w:pPr>
        <w:pStyle w:val="Ruller4"/>
        <w:textAlignment w:val="auto"/>
        <w:rPr>
          <w:rtl/>
        </w:rPr>
      </w:pPr>
      <w:r>
        <w:rPr>
          <w:rFonts w:hint="cs"/>
          <w:rtl/>
        </w:rPr>
        <w:t>ל</w:t>
      </w:r>
      <w:r>
        <w:rPr>
          <w:rtl/>
        </w:rPr>
        <w:t xml:space="preserve">גבי דידי, אין מדובר ב'שאלה מורכבת'; תשובה מן המוכן לפנינו. </w:t>
      </w:r>
      <w:r>
        <w:rPr>
          <w:rFonts w:hint="cs"/>
          <w:rtl/>
        </w:rPr>
        <w:t>ה</w:t>
      </w:r>
      <w:r>
        <w:rPr>
          <w:rtl/>
        </w:rPr>
        <w:t>שאלה</w:t>
      </w:r>
      <w:r>
        <w:rPr>
          <w:rFonts w:hint="cs"/>
          <w:rtl/>
        </w:rPr>
        <w:t xml:space="preserve"> </w:t>
      </w:r>
      <w:r>
        <w:rPr>
          <w:rtl/>
        </w:rPr>
        <w:t xml:space="preserve"> האם ניתן לקיים ביקורת שיפוטית על </w:t>
      </w:r>
      <w:r>
        <w:rPr>
          <w:rFonts w:hint="cs"/>
          <w:rtl/>
        </w:rPr>
        <w:t>תוכנם של חוקי-יסוד</w:t>
      </w:r>
      <w:r>
        <w:rPr>
          <w:rtl/>
        </w:rPr>
        <w:t xml:space="preserve"> – הוכרעה עוד בימי בראשית; לא פעם ולא פעמיים. כל אותן קונסטרוקציות משפטיות רעועות, שעליהן מבקשים העותרים להסתמך, המאפשרות כביכול פסילת חוקי</w:t>
      </w:r>
      <w:r>
        <w:rPr>
          <w:rFonts w:hint="cs"/>
          <w:rtl/>
        </w:rPr>
        <w:t>-</w:t>
      </w:r>
      <w:r>
        <w:rPr>
          <w:rtl/>
        </w:rPr>
        <w:t>יסוד על</w:t>
      </w:r>
      <w:r>
        <w:rPr>
          <w:rFonts w:hint="cs"/>
          <w:rtl/>
        </w:rPr>
        <w:t>-</w:t>
      </w:r>
      <w:r>
        <w:rPr>
          <w:rtl/>
        </w:rPr>
        <w:t>ידי בית משפט זה, נדונו זה מכבר, ונדחו שוב ושוב. אין מקום אפוא להשליך קורפוס פסיקה עשיר, אותו נושאים אנו בצקלוננו מימים ימימה, להציג את השאלה כ'שאלה מורכבת' ו'חדשה', הדורשת הכרעה, ולהסיג את גבול</w:t>
      </w:r>
      <w:r>
        <w:rPr>
          <w:rFonts w:hint="cs"/>
          <w:rtl/>
        </w:rPr>
        <w:t>ה</w:t>
      </w:r>
      <w:r>
        <w:rPr>
          <w:rtl/>
        </w:rPr>
        <w:t xml:space="preserve"> של הכנסת ב</w:t>
      </w:r>
      <w:r>
        <w:rPr>
          <w:rFonts w:hint="cs"/>
          <w:rtl/>
        </w:rPr>
        <w:t>'</w:t>
      </w:r>
      <w:r>
        <w:rPr>
          <w:rtl/>
        </w:rPr>
        <w:t>כובעה</w:t>
      </w:r>
      <w:r>
        <w:rPr>
          <w:rFonts w:hint="cs"/>
          <w:rtl/>
        </w:rPr>
        <w:t>'</w:t>
      </w:r>
      <w:r>
        <w:rPr>
          <w:rtl/>
        </w:rPr>
        <w:t xml:space="preserve"> כרשות מכוננת. משהשב</w:t>
      </w:r>
      <w:r>
        <w:rPr>
          <w:rFonts w:hint="cs"/>
          <w:rtl/>
        </w:rPr>
        <w:t>תי</w:t>
      </w:r>
      <w:r>
        <w:rPr>
          <w:rtl/>
        </w:rPr>
        <w:t xml:space="preserve"> על השאלה הראשונה</w:t>
      </w:r>
      <w:r>
        <w:rPr>
          <w:rFonts w:hint="cs"/>
          <w:rtl/>
        </w:rPr>
        <w:t xml:space="preserve"> בשלילה</w:t>
      </w:r>
      <w:r>
        <w:rPr>
          <w:rtl/>
        </w:rPr>
        <w:t xml:space="preserve">, הרי שאין עוד מקום </w:t>
      </w:r>
      <w:r>
        <w:rPr>
          <w:rFonts w:hint="cs"/>
          <w:rtl/>
        </w:rPr>
        <w:t xml:space="preserve">לפי גישתי </w:t>
      </w:r>
      <w:r>
        <w:rPr>
          <w:rtl/>
        </w:rPr>
        <w:t>לה</w:t>
      </w:r>
      <w:r>
        <w:rPr>
          <w:rFonts w:hint="cs"/>
          <w:rtl/>
        </w:rPr>
        <w:t>י</w:t>
      </w:r>
      <w:r>
        <w:rPr>
          <w:rtl/>
        </w:rPr>
        <w:t>דרש לשאלה השנייה; התמוטט היסוד</w:t>
      </w:r>
      <w:r>
        <w:rPr>
          <w:rFonts w:hint="cs"/>
          <w:rtl/>
        </w:rPr>
        <w:t>,</w:t>
      </w:r>
      <w:r>
        <w:rPr>
          <w:rtl/>
        </w:rPr>
        <w:t xml:space="preserve"> נפל הבניין.</w:t>
      </w:r>
    </w:p>
    <w:p w:rsidR="00EB02E1" w:rsidRDefault="00EB02E1" w:rsidP="00EB02E1">
      <w:pPr>
        <w:pStyle w:val="Ruller41"/>
        <w:spacing w:line="240" w:lineRule="auto"/>
        <w:rPr>
          <w:rtl/>
        </w:rPr>
      </w:pPr>
      <w:r>
        <w:rPr>
          <w:rtl/>
        </w:rPr>
        <w:t xml:space="preserve"> </w:t>
      </w:r>
    </w:p>
    <w:p w:rsidR="00EB02E1" w:rsidRDefault="00EB02E1" w:rsidP="00EB02E1">
      <w:pPr>
        <w:pStyle w:val="Ruller4"/>
        <w:textAlignment w:val="auto"/>
        <w:rPr>
          <w:rtl/>
        </w:rPr>
      </w:pPr>
      <w:r>
        <w:rPr>
          <w:rtl/>
        </w:rPr>
        <w:t xml:space="preserve">בעניין </w:t>
      </w:r>
      <w:r>
        <w:rPr>
          <w:rFonts w:ascii="Century" w:hAnsi="Century" w:cs="Miriam"/>
          <w:b/>
          <w:spacing w:val="0"/>
          <w:sz w:val="22"/>
          <w:szCs w:val="24"/>
          <w:rtl/>
        </w:rPr>
        <w:t>חסון</w:t>
      </w:r>
      <w:r>
        <w:rPr>
          <w:rtl/>
        </w:rPr>
        <w:t xml:space="preserve"> שבתי אל דעת הרוב העקרונית של הנשיא (בדימ') </w:t>
      </w:r>
      <w:r>
        <w:rPr>
          <w:rFonts w:ascii="Century" w:hAnsi="Century" w:cs="Miriam"/>
          <w:b/>
          <w:spacing w:val="0"/>
          <w:sz w:val="22"/>
          <w:szCs w:val="24"/>
          <w:rtl/>
        </w:rPr>
        <w:t>שמגר</w:t>
      </w:r>
      <w:r>
        <w:rPr>
          <w:rtl/>
        </w:rPr>
        <w:t xml:space="preserve"> ברע"א 1908/94 </w:t>
      </w:r>
      <w:r>
        <w:rPr>
          <w:rFonts w:ascii="Century" w:hAnsi="Century" w:cs="Miriam"/>
          <w:b/>
          <w:spacing w:val="0"/>
          <w:sz w:val="22"/>
          <w:szCs w:val="24"/>
          <w:rtl/>
        </w:rPr>
        <w:t>בנק המזרחי המאוחד בע"מ נ' מגדל כפר שיתופי</w:t>
      </w:r>
      <w:r>
        <w:rPr>
          <w:rtl/>
        </w:rPr>
        <w:t>, פ"ד מט(4) 221, 320 (1995) (להלן:</w:t>
      </w:r>
      <w:r w:rsidRPr="00D42C20">
        <w:rPr>
          <w:rFonts w:ascii="Century" w:hAnsi="Century" w:cs="Miriam"/>
          <w:b/>
          <w:spacing w:val="0"/>
          <w:sz w:val="22"/>
          <w:szCs w:val="24"/>
          <w:rtl/>
        </w:rPr>
        <w:t xml:space="preserve"> עניין</w:t>
      </w:r>
      <w:r>
        <w:rPr>
          <w:rtl/>
        </w:rPr>
        <w:t xml:space="preserve"> </w:t>
      </w:r>
      <w:r>
        <w:rPr>
          <w:rFonts w:ascii="Century" w:hAnsi="Century" w:cs="Miriam"/>
          <w:b/>
          <w:spacing w:val="0"/>
          <w:sz w:val="22"/>
          <w:szCs w:val="24"/>
          <w:rtl/>
        </w:rPr>
        <w:t>בנק המזרחי</w:t>
      </w:r>
      <w:r>
        <w:rPr>
          <w:rtl/>
        </w:rPr>
        <w:t>)</w:t>
      </w:r>
      <w:r>
        <w:rPr>
          <w:rFonts w:hint="cs"/>
          <w:rtl/>
        </w:rPr>
        <w:t>:</w:t>
      </w:r>
      <w:r>
        <w:rPr>
          <w:rtl/>
        </w:rPr>
        <w:t xml:space="preserve"> </w:t>
      </w:r>
      <w:r>
        <w:rPr>
          <w:rFonts w:ascii="Century" w:hAnsi="Century" w:cs="Miriam"/>
          <w:b/>
          <w:spacing w:val="0"/>
          <w:sz w:val="22"/>
          <w:szCs w:val="24"/>
          <w:rtl/>
        </w:rPr>
        <w:t>"כדי להראות כי ביקורת שיפוטית על חקיקה ראשית, מתאפשרת אך מכוח הגבלות שהטילה הכנסת, ב'כובעה' כרשות מכוננת על תפקודה ב'כובעה' האחר כרשות מחוקקת [...].</w:t>
      </w:r>
      <w:r>
        <w:rPr>
          <w:rFonts w:ascii="Century" w:hAnsi="Century" w:cs="Miriam"/>
          <w:b/>
          <w:spacing w:val="0"/>
          <w:sz w:val="22"/>
          <w:szCs w:val="24"/>
        </w:rPr>
        <w:t> </w:t>
      </w:r>
      <w:r>
        <w:rPr>
          <w:rFonts w:ascii="Century" w:hAnsi="Century" w:cs="Miriam"/>
          <w:b/>
          <w:spacing w:val="0"/>
          <w:sz w:val="22"/>
          <w:szCs w:val="24"/>
          <w:rtl/>
        </w:rPr>
        <w:t>התפיסה שאומצה מאפשרת ביקורת שיפוטית, רק כל אימת שתימצא סתירה בין נורמות מדרגות שונות. אמור מעתה, כי המבקש להפעיל ביקורת שיפוטית על חוקי-היסוד גופם, נדרש להוכיח קיומן של נורמות חוקתיות המצויות גבוה מעל גבוה, ממעל לחוקי-היסוד. ברם, משפטנו אינו מכיר נורמה הניצבת ממעל לחוקי-היסוד; לא במפורש, גם לא במשתמע"</w:t>
      </w:r>
      <w:r>
        <w:rPr>
          <w:rFonts w:hint="cs"/>
          <w:rtl/>
        </w:rPr>
        <w:t xml:space="preserve"> </w:t>
      </w:r>
      <w:r>
        <w:rPr>
          <w:rtl/>
        </w:rPr>
        <w:t xml:space="preserve">(פסקאות 6 ו-8). </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 xml:space="preserve">בעניין </w:t>
      </w:r>
      <w:r>
        <w:rPr>
          <w:rFonts w:ascii="Century" w:hAnsi="Century" w:cs="Miriam"/>
          <w:b/>
          <w:spacing w:val="0"/>
          <w:sz w:val="22"/>
          <w:szCs w:val="24"/>
          <w:rtl/>
        </w:rPr>
        <w:t>בנק המזרחי</w:t>
      </w:r>
      <w:r>
        <w:rPr>
          <w:rtl/>
        </w:rPr>
        <w:t>, 'נטרפו הקלפים החוקתיים'. הוחלש מעמדם של חוקים ראשיים 'רגילים', כך שא</w:t>
      </w:r>
      <w:r>
        <w:rPr>
          <w:rFonts w:hint="cs"/>
          <w:rtl/>
        </w:rPr>
        <w:t>ֵ</w:t>
      </w:r>
      <w:r>
        <w:rPr>
          <w:rtl/>
        </w:rPr>
        <w:t xml:space="preserve">לו הוכפפו </w:t>
      </w:r>
      <w:r>
        <w:rPr>
          <w:rFonts w:hint="cs"/>
          <w:rtl/>
        </w:rPr>
        <w:t xml:space="preserve">וכונסו </w:t>
      </w:r>
      <w:r>
        <w:rPr>
          <w:rtl/>
        </w:rPr>
        <w:t>תחת כנפיהם של חוקי</w:t>
      </w:r>
      <w:r>
        <w:rPr>
          <w:rFonts w:hint="cs"/>
          <w:rtl/>
        </w:rPr>
        <w:t>-</w:t>
      </w:r>
      <w:r>
        <w:rPr>
          <w:rtl/>
        </w:rPr>
        <w:t xml:space="preserve">היסוד. </w:t>
      </w:r>
      <w:r>
        <w:rPr>
          <w:rFonts w:hint="cs"/>
          <w:rtl/>
        </w:rPr>
        <w:t>ברם</w:t>
      </w:r>
      <w:r>
        <w:rPr>
          <w:rtl/>
        </w:rPr>
        <w:t>, מעמדם של הניצבים בראש הפירמידה החוקתית, חוקי</w:t>
      </w:r>
      <w:r>
        <w:rPr>
          <w:rFonts w:hint="cs"/>
          <w:rtl/>
        </w:rPr>
        <w:t>-</w:t>
      </w:r>
      <w:r>
        <w:rPr>
          <w:rtl/>
        </w:rPr>
        <w:t>היסוד עצמם – נותר איתן כבתחילה. מעמדם החוקתי של חוקי</w:t>
      </w:r>
      <w:r>
        <w:rPr>
          <w:rFonts w:hint="cs"/>
          <w:rtl/>
        </w:rPr>
        <w:t>-</w:t>
      </w:r>
      <w:r>
        <w:rPr>
          <w:rtl/>
        </w:rPr>
        <w:t xml:space="preserve">היסוד לאחר 'המהפכה החוקתית', זהה אפוא למעמד החוקתי שיוחס לחוקי הכנסת כולם, טרם המהפכה. מכאן מסקנה, כי השאלה שלפנינו אינה כה </w:t>
      </w:r>
      <w:r>
        <w:rPr>
          <w:rtl/>
        </w:rPr>
        <w:lastRenderedPageBreak/>
        <w:t xml:space="preserve">חדשה. השאלה זהה לשאלה שאליה נדרשו דורות קודמים של שופטים אשר </w:t>
      </w:r>
      <w:r>
        <w:rPr>
          <w:rFonts w:hint="cs"/>
          <w:rtl/>
        </w:rPr>
        <w:t>דנו ופסקו</w:t>
      </w:r>
      <w:r>
        <w:rPr>
          <w:rtl/>
        </w:rPr>
        <w:t xml:space="preserve"> לפנינו: האם ישנן הגבלות על סמכותה של הכנסת כרשות </w:t>
      </w:r>
      <w:r w:rsidRPr="00C03B0F">
        <w:rPr>
          <w:rFonts w:ascii="Century" w:hAnsi="Century" w:cs="Miriam"/>
          <w:b/>
          <w:spacing w:val="0"/>
          <w:sz w:val="22"/>
          <w:szCs w:val="24"/>
          <w:rtl/>
        </w:rPr>
        <w:t>מחוקקת</w:t>
      </w:r>
      <w:r>
        <w:rPr>
          <w:rFonts w:hint="cs"/>
          <w:rtl/>
        </w:rPr>
        <w:t>,</w:t>
      </w:r>
      <w:r>
        <w:rPr>
          <w:rtl/>
        </w:rPr>
        <w:t xml:space="preserve"> או שמא, סמכותה בלתי מוגבלת</w:t>
      </w:r>
      <w:r>
        <w:rPr>
          <w:rFonts w:hint="cs"/>
          <w:rtl/>
        </w:rPr>
        <w:t>?</w:t>
      </w:r>
      <w:r>
        <w:rPr>
          <w:rtl/>
        </w:rPr>
        <w:t xml:space="preserve"> עתה, משעלינו כיתה נורמטיבית, בעטיה של המהפכה החוקתית – הניסוח שונה, אך 'נשמתה' של השאלה זהה: האם קיימות הגבלות על סמכותה של הכנסת כרשות </w:t>
      </w:r>
      <w:r w:rsidRPr="00C03B0F">
        <w:rPr>
          <w:rFonts w:ascii="Century" w:hAnsi="Century" w:cs="Miriam"/>
          <w:b/>
          <w:spacing w:val="0"/>
          <w:sz w:val="22"/>
          <w:szCs w:val="24"/>
          <w:rtl/>
        </w:rPr>
        <w:t>מכוננת</w:t>
      </w:r>
      <w:r>
        <w:rPr>
          <w:rFonts w:hint="cs"/>
          <w:rtl/>
        </w:rPr>
        <w:t>?</w:t>
      </w:r>
      <w:r>
        <w:rPr>
          <w:rtl/>
        </w:rPr>
        <w:t xml:space="preserve"> או שמא סמכותה</w:t>
      </w:r>
      <w:r>
        <w:rPr>
          <w:rFonts w:hint="cs"/>
          <w:rtl/>
        </w:rPr>
        <w:t xml:space="preserve"> של הכנסת</w:t>
      </w:r>
      <w:r>
        <w:rPr>
          <w:rtl/>
        </w:rPr>
        <w:t>, למצער כרשות מכוננת, בלתי מוגבלת</w:t>
      </w:r>
      <w:r>
        <w:rPr>
          <w:rFonts w:hint="cs"/>
          <w:rtl/>
        </w:rPr>
        <w:t>?</w:t>
      </w:r>
      <w:r>
        <w:rPr>
          <w:rtl/>
        </w:rPr>
        <w:t xml:space="preserve"> 'אותה גברת בשינוי אדרת'</w:t>
      </w:r>
      <w:r>
        <w:rPr>
          <w:rFonts w:hint="cs"/>
          <w:rtl/>
        </w:rPr>
        <w:t xml:space="preserve"> (</w:t>
      </w:r>
      <w:r w:rsidRPr="00A847AD">
        <w:rPr>
          <w:rFonts w:hint="cs"/>
          <w:rtl/>
        </w:rPr>
        <w:t>ראו דברי להלן, פסקאות 6</w:t>
      </w:r>
      <w:r>
        <w:rPr>
          <w:rFonts w:hint="cs"/>
          <w:rtl/>
        </w:rPr>
        <w:t>7</w:t>
      </w:r>
      <w:r w:rsidRPr="00A847AD">
        <w:rPr>
          <w:rFonts w:hint="cs"/>
          <w:rtl/>
        </w:rPr>
        <w:t>-64)</w:t>
      </w:r>
      <w:r w:rsidRPr="00A847AD">
        <w:rPr>
          <w:rtl/>
        </w:rPr>
        <w:t>.</w:t>
      </w:r>
      <w:r>
        <w:rPr>
          <w:rtl/>
        </w:rPr>
        <w:t xml:space="preserve"> </w:t>
      </w:r>
    </w:p>
    <w:p w:rsidR="00EB02E1" w:rsidRDefault="00EB02E1" w:rsidP="00EB02E1">
      <w:pPr>
        <w:pStyle w:val="Ruller41"/>
        <w:rPr>
          <w:rtl/>
        </w:rPr>
      </w:pPr>
    </w:p>
    <w:p w:rsidR="00E8755B" w:rsidRPr="00E8755B" w:rsidRDefault="00E8755B" w:rsidP="00E8755B">
      <w:pPr>
        <w:keepNext/>
        <w:keepLines/>
        <w:spacing w:before="40" w:line="360" w:lineRule="auto"/>
        <w:outlineLvl w:val="1"/>
        <w:rPr>
          <w:rFonts w:asciiTheme="majorHAnsi" w:eastAsiaTheme="majorEastAsia" w:hAnsiTheme="majorHAnsi" w:cstheme="majorBidi"/>
          <w:color w:val="2E74B5" w:themeColor="accent1" w:themeShade="BF"/>
          <w:sz w:val="26"/>
          <w:szCs w:val="26"/>
          <w:rtl/>
        </w:rPr>
      </w:pPr>
      <w:r w:rsidRPr="00E8755B">
        <w:rPr>
          <w:rFonts w:ascii="Century" w:eastAsiaTheme="majorEastAsia" w:hAnsi="Century" w:cs="Miriam"/>
          <w:b/>
          <w:sz w:val="22"/>
          <w:rtl/>
        </w:rPr>
        <w:t>"זְכֹר יְמוֹת עוֹלָם בִּינוּ שְׁנוֹת דּוֹר וָדוֹר שְׁאַל אָבִיךָ וְיַגֵּדְךָ זְקֵנֶיךָ וְיֹאמְרוּ לָךְ</w:t>
      </w:r>
      <w:r w:rsidRPr="00E8755B">
        <w:rPr>
          <w:rFonts w:ascii="Century" w:eastAsiaTheme="majorEastAsia" w:hAnsi="Century" w:cs="Miriam" w:hint="cs"/>
          <w:b/>
          <w:szCs w:val="22"/>
          <w:rtl/>
        </w:rPr>
        <w:t>"</w:t>
      </w:r>
      <w:r w:rsidRPr="00E8755B">
        <w:rPr>
          <w:rFonts w:ascii="Century" w:eastAsiaTheme="majorEastAsia" w:hAnsi="Century" w:cs="Miriam" w:hint="cs"/>
          <w:b/>
          <w:sz w:val="22"/>
          <w:rtl/>
        </w:rPr>
        <w:t xml:space="preserve"> </w:t>
      </w:r>
      <w:r w:rsidRPr="00E8755B">
        <w:rPr>
          <w:rFonts w:ascii="Century" w:eastAsiaTheme="majorEastAsia" w:hAnsi="Century" w:cs="Miriam"/>
          <w:b/>
          <w:sz w:val="22"/>
          <w:rtl/>
        </w:rPr>
        <w:t xml:space="preserve">(דברים </w:t>
      </w:r>
      <w:r w:rsidRPr="00E8755B">
        <w:rPr>
          <w:rFonts w:ascii="Century" w:eastAsiaTheme="majorEastAsia" w:hAnsi="Century" w:cs="Miriam" w:hint="eastAsia"/>
          <w:b/>
          <w:sz w:val="22"/>
          <w:rtl/>
        </w:rPr>
        <w:t>לב</w:t>
      </w:r>
      <w:r w:rsidRPr="00E8755B">
        <w:rPr>
          <w:rFonts w:ascii="Century" w:eastAsiaTheme="majorEastAsia" w:hAnsi="Century" w:cs="Miriam" w:hint="cs"/>
          <w:b/>
          <w:sz w:val="22"/>
          <w:rtl/>
        </w:rPr>
        <w:t>,</w:t>
      </w:r>
      <w:r w:rsidRPr="00E8755B">
        <w:rPr>
          <w:rFonts w:ascii="Century" w:eastAsiaTheme="majorEastAsia" w:hAnsi="Century" w:cs="Miriam"/>
          <w:b/>
          <w:sz w:val="22"/>
          <w:rtl/>
        </w:rPr>
        <w:t xml:space="preserve"> </w:t>
      </w:r>
      <w:r w:rsidRPr="00E8755B">
        <w:rPr>
          <w:rFonts w:ascii="Century" w:eastAsiaTheme="majorEastAsia" w:hAnsi="Century" w:cs="Miriam" w:hint="eastAsia"/>
          <w:b/>
          <w:sz w:val="22"/>
          <w:rtl/>
        </w:rPr>
        <w:t>ז</w:t>
      </w:r>
      <w:r w:rsidRPr="00E8755B">
        <w:rPr>
          <w:rFonts w:ascii="Century" w:eastAsiaTheme="majorEastAsia" w:hAnsi="Century" w:cs="Miriam"/>
          <w:b/>
          <w:sz w:val="22"/>
          <w:rtl/>
        </w:rPr>
        <w:t>)</w:t>
      </w:r>
    </w:p>
    <w:p w:rsidR="00EB02E1" w:rsidRDefault="00EB02E1" w:rsidP="00EB02E1">
      <w:pPr>
        <w:pStyle w:val="Ruller4"/>
        <w:textAlignment w:val="auto"/>
        <w:rPr>
          <w:rtl/>
        </w:rPr>
      </w:pPr>
      <w:r w:rsidRPr="007716CA">
        <w:rPr>
          <w:rFonts w:ascii="Century" w:hAnsi="Century"/>
          <w:sz w:val="22"/>
          <w:rtl/>
        </w:rPr>
        <w:t>חברתי הנשיאה (בדימ'</w:t>
      </w:r>
      <w:r>
        <w:rPr>
          <w:rFonts w:ascii="Century" w:hAnsi="Century" w:hint="cs"/>
          <w:sz w:val="22"/>
          <w:rtl/>
        </w:rPr>
        <w:t>)</w:t>
      </w:r>
      <w:r>
        <w:rPr>
          <w:rtl/>
        </w:rPr>
        <w:t xml:space="preserve"> מוסיפה</w:t>
      </w:r>
      <w:r>
        <w:rPr>
          <w:rFonts w:hint="cs"/>
          <w:rtl/>
        </w:rPr>
        <w:t>,</w:t>
      </w:r>
      <w:r>
        <w:rPr>
          <w:rtl/>
        </w:rPr>
        <w:t xml:space="preserve"> כי </w:t>
      </w:r>
      <w:r>
        <w:rPr>
          <w:rFonts w:ascii="Century" w:hAnsi="Century" w:cs="Miriam"/>
          <w:b/>
          <w:spacing w:val="0"/>
          <w:sz w:val="22"/>
          <w:szCs w:val="24"/>
          <w:rtl/>
        </w:rPr>
        <w:t>"בהינתן חשיבות הסוגיות שהתעוררו בעתירות דנן קיימנו בהן, באופן תקדימי, דיון בהרכב מלא של 15 שופטי בית המשפט העליון"</w:t>
      </w:r>
      <w:r>
        <w:rPr>
          <w:rtl/>
        </w:rPr>
        <w:t>. סבורני, כי בהינתן חשיבותן של הסוגיות המתעוררות, ולאחר שעמד</w:t>
      </w:r>
      <w:r>
        <w:rPr>
          <w:rFonts w:hint="cs"/>
          <w:rtl/>
        </w:rPr>
        <w:t>תי</w:t>
      </w:r>
      <w:r>
        <w:rPr>
          <w:rtl/>
        </w:rPr>
        <w:t xml:space="preserve"> על כך </w:t>
      </w:r>
      <w:r>
        <w:rPr>
          <w:rFonts w:hint="cs"/>
          <w:rtl/>
        </w:rPr>
        <w:t>ש</w:t>
      </w:r>
      <w:r>
        <w:rPr>
          <w:rtl/>
        </w:rPr>
        <w:t>השאלה הנכבדה שבה אנו עוסקים – אינה חדשה עמנו, עלינו לפסוע צעד נוסף</w:t>
      </w:r>
      <w:r>
        <w:rPr>
          <w:rFonts w:hint="cs"/>
          <w:rtl/>
        </w:rPr>
        <w:t>; סִמלי ומהותי</w:t>
      </w:r>
      <w:r>
        <w:rPr>
          <w:rtl/>
        </w:rPr>
        <w:t>: נרחיב את ההרכב, הרחבה נוספת, כך שי</w:t>
      </w:r>
      <w:r>
        <w:rPr>
          <w:rFonts w:hint="cs"/>
          <w:rtl/>
        </w:rPr>
        <w:t>ִ</w:t>
      </w:r>
      <w:r>
        <w:rPr>
          <w:rtl/>
        </w:rPr>
        <w:t>כלו</w:t>
      </w:r>
      <w:r>
        <w:rPr>
          <w:rFonts w:hint="cs"/>
          <w:rtl/>
        </w:rPr>
        <w:t>ֹ</w:t>
      </w:r>
      <w:r>
        <w:rPr>
          <w:rtl/>
        </w:rPr>
        <w:t xml:space="preserve">ל את כל </w:t>
      </w:r>
      <w:r>
        <w:rPr>
          <w:rFonts w:hint="cs"/>
          <w:rtl/>
        </w:rPr>
        <w:t xml:space="preserve">שופטי </w:t>
      </w:r>
      <w:r>
        <w:rPr>
          <w:rtl/>
        </w:rPr>
        <w:t>בית המשפט</w:t>
      </w:r>
      <w:r>
        <w:rPr>
          <w:rFonts w:hint="cs"/>
          <w:rtl/>
        </w:rPr>
        <w:t xml:space="preserve"> העליון;</w:t>
      </w:r>
      <w:r>
        <w:rPr>
          <w:rtl/>
        </w:rPr>
        <w:t xml:space="preserve"> א</w:t>
      </w:r>
      <w:r>
        <w:rPr>
          <w:rFonts w:hint="cs"/>
          <w:rtl/>
        </w:rPr>
        <w:t>ֵ</w:t>
      </w:r>
      <w:r>
        <w:rPr>
          <w:rtl/>
        </w:rPr>
        <w:t>לו המכהנים בו כיום, א</w:t>
      </w:r>
      <w:r>
        <w:rPr>
          <w:rFonts w:hint="cs"/>
          <w:rtl/>
        </w:rPr>
        <w:t>ֵ</w:t>
      </w:r>
      <w:r>
        <w:rPr>
          <w:rtl/>
        </w:rPr>
        <w:t xml:space="preserve">לו שפרשו זה מכבר, עד שופטי הדור הראשון, דור התקומה. רבים מהם אינם בין החיים, אך דבריהם הלא הם כתובים על ספר דברי הימים של בית משפט זה. אין כל מניעה להיזקק לדברי החכמה שנשמעו מפיהם; שנים רבות חלפו, אך </w:t>
      </w:r>
      <w:r>
        <w:rPr>
          <w:rFonts w:ascii="Century" w:hAnsi="Century" w:cs="Miriam"/>
          <w:b/>
          <w:spacing w:val="0"/>
          <w:sz w:val="22"/>
          <w:szCs w:val="24"/>
          <w:rtl/>
        </w:rPr>
        <w:t>"עמד טעמו בו וריחו לא נמר"</w:t>
      </w:r>
      <w:r>
        <w:rPr>
          <w:rtl/>
        </w:rPr>
        <w:t xml:space="preserve"> (ירמיהו מח, יא). </w:t>
      </w:r>
    </w:p>
    <w:p w:rsidR="00EB02E1" w:rsidRDefault="00EB02E1" w:rsidP="00EB02E1">
      <w:pPr>
        <w:pStyle w:val="Ruller41"/>
        <w:rPr>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t>הנשיא</w:t>
      </w:r>
      <w:r>
        <w:rPr>
          <w:rFonts w:ascii="Century" w:hAnsi="Century" w:cs="Miriam" w:hint="cs"/>
          <w:b/>
          <w:spacing w:val="0"/>
          <w:szCs w:val="24"/>
          <w:rtl/>
        </w:rPr>
        <w:t xml:space="preserve"> א'</w:t>
      </w:r>
      <w:r>
        <w:rPr>
          <w:rFonts w:ascii="Century" w:hAnsi="Century" w:cs="Miriam"/>
          <w:b/>
          <w:spacing w:val="0"/>
          <w:szCs w:val="24"/>
          <w:rtl/>
        </w:rPr>
        <w:t xml:space="preserve"> זמורה</w:t>
      </w:r>
    </w:p>
    <w:p w:rsidR="00EB02E1" w:rsidRDefault="00EB02E1" w:rsidP="00EB02E1">
      <w:pPr>
        <w:pStyle w:val="Ruller4"/>
        <w:textAlignment w:val="auto"/>
        <w:rPr>
          <w:rtl/>
        </w:rPr>
      </w:pPr>
      <w:r>
        <w:rPr>
          <w:rtl/>
        </w:rPr>
        <w:t xml:space="preserve">ראש וראשון, הוא </w:t>
      </w:r>
      <w:r>
        <w:rPr>
          <w:rFonts w:hint="cs"/>
          <w:rtl/>
        </w:rPr>
        <w:t>הנשיא</w:t>
      </w:r>
      <w:r>
        <w:rPr>
          <w:rtl/>
        </w:rPr>
        <w:t xml:space="preserve"> </w:t>
      </w:r>
      <w:r>
        <w:rPr>
          <w:rFonts w:ascii="Century" w:hAnsi="Century" w:cs="Miriam"/>
          <w:b/>
          <w:spacing w:val="0"/>
          <w:sz w:val="22"/>
          <w:szCs w:val="24"/>
          <w:rtl/>
        </w:rPr>
        <w:t>א' זמורה</w:t>
      </w:r>
      <w:r>
        <w:rPr>
          <w:rtl/>
        </w:rPr>
        <w:t xml:space="preserve">. כמה וכמה דברים נשמעו מפיו </w:t>
      </w:r>
      <w:r>
        <w:rPr>
          <w:rFonts w:hint="cs"/>
          <w:rtl/>
        </w:rPr>
        <w:t xml:space="preserve">על </w:t>
      </w:r>
      <w:r>
        <w:rPr>
          <w:rtl/>
        </w:rPr>
        <w:t xml:space="preserve">אודות השאלה הנכבדה שבה עסקינן, בשורה של פסקי דין שבהם ישב </w:t>
      </w:r>
      <w:r>
        <w:rPr>
          <w:rFonts w:hint="cs"/>
          <w:rtl/>
        </w:rPr>
        <w:t>על מִ</w:t>
      </w:r>
      <w:r>
        <w:rPr>
          <w:rtl/>
        </w:rPr>
        <w:t>ד</w:t>
      </w:r>
      <w:r>
        <w:rPr>
          <w:rFonts w:hint="cs"/>
          <w:rtl/>
        </w:rPr>
        <w:t>ִּ</w:t>
      </w:r>
      <w:r>
        <w:rPr>
          <w:rtl/>
        </w:rPr>
        <w:t xml:space="preserve">ין. עיתים כתב </w:t>
      </w:r>
      <w:r>
        <w:rPr>
          <w:rFonts w:hint="cs"/>
          <w:rtl/>
        </w:rPr>
        <w:t xml:space="preserve">הוא </w:t>
      </w:r>
      <w:r>
        <w:rPr>
          <w:rtl/>
        </w:rPr>
        <w:t>עצמו את פסק הדין, עתים הצטרף לדברי חבריו. טרם נטה א</w:t>
      </w:r>
      <w:r>
        <w:rPr>
          <w:rFonts w:hint="cs"/>
          <w:rtl/>
        </w:rPr>
        <w:t>ו</w:t>
      </w:r>
      <w:r>
        <w:rPr>
          <w:rtl/>
        </w:rPr>
        <w:t>זנ</w:t>
      </w:r>
      <w:r>
        <w:rPr>
          <w:rFonts w:hint="cs"/>
          <w:rtl/>
        </w:rPr>
        <w:t>י</w:t>
      </w:r>
      <w:r>
        <w:rPr>
          <w:rtl/>
        </w:rPr>
        <w:t>נו לשמוע את דבריו אלה, נחזור 75 שנה לאחור. יום י' באלול התש"ח, 14.9.1948,</w:t>
      </w:r>
      <w:r>
        <w:rPr>
          <w:rFonts w:hint="cs"/>
          <w:rtl/>
        </w:rPr>
        <w:t xml:space="preserve"> </w:t>
      </w:r>
      <w:r>
        <w:rPr>
          <w:rtl/>
        </w:rPr>
        <w:t>היה יום חגה של הרשות השופטת</w:t>
      </w:r>
      <w:r>
        <w:rPr>
          <w:rFonts w:hint="cs"/>
          <w:rtl/>
        </w:rPr>
        <w:t xml:space="preserve"> </w:t>
      </w:r>
      <w:r>
        <w:rPr>
          <w:rtl/>
        </w:rPr>
        <w:t>–</w:t>
      </w:r>
      <w:r>
        <w:rPr>
          <w:rFonts w:hint="cs"/>
          <w:rtl/>
        </w:rPr>
        <w:t xml:space="preserve"> חנוכת </w:t>
      </w:r>
      <w:r>
        <w:rPr>
          <w:rtl/>
        </w:rPr>
        <w:t xml:space="preserve">בית המשפט העליון בירושלים. </w:t>
      </w:r>
      <w:r>
        <w:rPr>
          <w:rFonts w:ascii="Century" w:hAnsi="Century" w:cs="Miriam"/>
          <w:b/>
          <w:spacing w:val="0"/>
          <w:sz w:val="22"/>
          <w:szCs w:val="24"/>
          <w:rtl/>
        </w:rPr>
        <w:t xml:space="preserve">"בטקס מכונן ומרגש נשא הנשיא זמורה נאום לאומה, כשהוא פותח במילים: </w:t>
      </w:r>
      <w:r>
        <w:rPr>
          <w:rFonts w:ascii="Century" w:hAnsi="Century" w:cs="Miriam" w:hint="cs"/>
          <w:b/>
          <w:spacing w:val="0"/>
          <w:sz w:val="22"/>
          <w:szCs w:val="24"/>
          <w:rtl/>
        </w:rPr>
        <w:t>'</w:t>
      </w:r>
      <w:r>
        <w:rPr>
          <w:rFonts w:ascii="Century" w:hAnsi="Century" w:cs="Miriam"/>
          <w:b/>
          <w:spacing w:val="0"/>
          <w:sz w:val="22"/>
          <w:szCs w:val="24"/>
          <w:rtl/>
        </w:rPr>
        <w:t>נתגלגלה עלי הזכות הגדולה לפתוח את בית המשפט העליון הראשון למדינת ישראל. זכות זו גדולה עד מאד והאחריות הכרוכה בה עוד גדולה ממנה. כל פתיחת בית דין עליון היא מאורע חשוב בכל ארץ ובכל עם. על אחת כמה וכמה פתיחת בית המשפט העליון הראשון למדינת ישראל אחרי תקומתה</w:t>
      </w:r>
      <w:r>
        <w:rPr>
          <w:rFonts w:ascii="Century" w:hAnsi="Century" w:cs="Miriam" w:hint="cs"/>
          <w:b/>
          <w:spacing w:val="0"/>
          <w:sz w:val="22"/>
          <w:szCs w:val="24"/>
          <w:rtl/>
        </w:rPr>
        <w:t>'</w:t>
      </w:r>
      <w:r>
        <w:rPr>
          <w:rFonts w:ascii="Century" w:hAnsi="Century" w:cs="Miriam"/>
          <w:b/>
          <w:spacing w:val="0"/>
          <w:sz w:val="22"/>
          <w:szCs w:val="24"/>
          <w:rtl/>
        </w:rPr>
        <w:t>..."</w:t>
      </w:r>
      <w:r>
        <w:rPr>
          <w:rtl/>
        </w:rPr>
        <w:t xml:space="preserve"> (</w:t>
      </w:r>
      <w:hyperlink r:id="rId20" w:history="1">
        <w:r>
          <w:rPr>
            <w:rStyle w:val="Hyperlink"/>
          </w:rPr>
          <w:t>https://supreme.court.gov.il/museum/Pages/Supreme_Court_of_Israel.aspx</w:t>
        </w:r>
      </w:hyperlink>
      <w:r>
        <w:rPr>
          <w:rtl/>
        </w:rPr>
        <w:t xml:space="preserve">). </w:t>
      </w:r>
    </w:p>
    <w:p w:rsidR="00EB02E1" w:rsidRDefault="00EB02E1" w:rsidP="00EB02E1">
      <w:pPr>
        <w:pStyle w:val="Ruller4"/>
        <w:numPr>
          <w:ilvl w:val="0"/>
          <w:numId w:val="0"/>
        </w:numPr>
        <w:spacing w:line="240" w:lineRule="auto"/>
        <w:rPr>
          <w:rtl/>
        </w:rPr>
      </w:pPr>
    </w:p>
    <w:p w:rsidR="00EB02E1" w:rsidRDefault="00EB02E1" w:rsidP="00EB02E1">
      <w:pPr>
        <w:pStyle w:val="Ruller4"/>
        <w:textAlignment w:val="auto"/>
        <w:rPr>
          <w:rtl/>
        </w:rPr>
      </w:pPr>
      <w:r>
        <w:rPr>
          <w:rtl/>
        </w:rPr>
        <w:t xml:space="preserve">את המשך אותו נאום פתיחה היסטורי, הקדיש הנשיא </w:t>
      </w:r>
      <w:r>
        <w:rPr>
          <w:rFonts w:ascii="Century" w:hAnsi="Century" w:cs="Miriam"/>
          <w:b/>
          <w:spacing w:val="0"/>
          <w:sz w:val="22"/>
          <w:szCs w:val="24"/>
          <w:rtl/>
        </w:rPr>
        <w:t>זמורה</w:t>
      </w:r>
      <w:r>
        <w:rPr>
          <w:rtl/>
        </w:rPr>
        <w:t xml:space="preserve"> עבורנו, השופטים, בו הנחיל לנו נשיאנו הראשון אורחות שפיטה</w:t>
      </w:r>
      <w:r>
        <w:rPr>
          <w:rFonts w:hint="cs"/>
          <w:rtl/>
        </w:rPr>
        <w:t>.</w:t>
      </w:r>
      <w:r>
        <w:rPr>
          <w:rtl/>
        </w:rPr>
        <w:t xml:space="preserve"> כ</w:t>
      </w:r>
      <w:r>
        <w:rPr>
          <w:rFonts w:hint="cs"/>
          <w:rtl/>
        </w:rPr>
        <w:t>ּ</w:t>
      </w:r>
      <w:r>
        <w:rPr>
          <w:rtl/>
        </w:rPr>
        <w:t xml:space="preserve">ה היו דבריו: </w:t>
      </w:r>
      <w:r>
        <w:rPr>
          <w:rFonts w:ascii="Century" w:hAnsi="Century" w:cs="Miriam"/>
          <w:b/>
          <w:spacing w:val="0"/>
          <w:sz w:val="22"/>
          <w:szCs w:val="24"/>
          <w:rtl/>
        </w:rPr>
        <w:t>"לא נעבור על סמכותנו ולא נתו</w:t>
      </w:r>
      <w:r>
        <w:rPr>
          <w:rFonts w:ascii="Century" w:hAnsi="Century" w:cs="Miriam" w:hint="cs"/>
          <w:b/>
          <w:spacing w:val="0"/>
          <w:sz w:val="22"/>
          <w:szCs w:val="24"/>
          <w:rtl/>
        </w:rPr>
        <w:t>ו</w:t>
      </w:r>
      <w:r>
        <w:rPr>
          <w:rFonts w:ascii="Century" w:hAnsi="Century" w:cs="Miriam"/>
          <w:b/>
          <w:spacing w:val="0"/>
          <w:sz w:val="22"/>
          <w:szCs w:val="24"/>
          <w:rtl/>
        </w:rPr>
        <w:t xml:space="preserve">ה כאן קווים לחידוש החוקים. </w:t>
      </w:r>
      <w:r>
        <w:rPr>
          <w:rFonts w:ascii="Century" w:hAnsi="Century" w:cs="Miriam"/>
          <w:b/>
          <w:spacing w:val="0"/>
          <w:sz w:val="22"/>
          <w:szCs w:val="24"/>
          <w:u w:val="single"/>
          <w:rtl/>
        </w:rPr>
        <w:t>גם מי שאינו חסיד אדוק של הפרדת הרשויות במדינה יודה בכך שאסור לנו להסיג את גבולו של המחוקק</w:t>
      </w:r>
      <w:r>
        <w:rPr>
          <w:rFonts w:ascii="Century" w:hAnsi="Century" w:cs="Miriam"/>
          <w:b/>
          <w:spacing w:val="0"/>
          <w:sz w:val="22"/>
          <w:szCs w:val="24"/>
          <w:rtl/>
        </w:rPr>
        <w:t xml:space="preserve">. ידוע ידעתי שחוק מופתי כמו החוק האזרחי השוויצרי קובע שאם השופט אינו מוצא בחוק הלכה שעל פיה יכול לפסוק את הדין וגם מנהג </w:t>
      </w:r>
      <w:r>
        <w:rPr>
          <w:rFonts w:ascii="Century" w:hAnsi="Century" w:cs="Miriam"/>
          <w:b/>
          <w:spacing w:val="0"/>
          <w:sz w:val="22"/>
          <w:szCs w:val="24"/>
          <w:rtl/>
        </w:rPr>
        <w:lastRenderedPageBreak/>
        <w:t xml:space="preserve">אין לפניו, עליו להורות הלכה לפי מה שהוא, השופט, היה קובע לו היה מחוקק. אבל במה דברים אמורים? כשיש באמת מגרעה </w:t>
      </w:r>
      <w:r>
        <w:rPr>
          <w:rFonts w:ascii="Century" w:hAnsi="Century" w:cs="Miriam" w:hint="cs"/>
          <w:b/>
          <w:spacing w:val="0"/>
          <w:sz w:val="22"/>
          <w:szCs w:val="24"/>
          <w:rtl/>
        </w:rPr>
        <w:t>[</w:t>
      </w:r>
      <w:r>
        <w:rPr>
          <w:rFonts w:ascii="Century" w:hAnsi="Century" w:cs="Miriam"/>
          <w:b/>
          <w:spacing w:val="0"/>
          <w:sz w:val="22"/>
          <w:szCs w:val="24"/>
          <w:rtl/>
        </w:rPr>
        <w:t xml:space="preserve">=לקונה </w:t>
      </w:r>
      <w:r>
        <w:rPr>
          <w:rFonts w:ascii="Century" w:hAnsi="Century"/>
          <w:sz w:val="22"/>
          <w:rtl/>
        </w:rPr>
        <w:t>–</w:t>
      </w:r>
      <w:r>
        <w:rPr>
          <w:rFonts w:ascii="Century" w:hAnsi="Century" w:cs="Miriam"/>
          <w:b/>
          <w:spacing w:val="0"/>
          <w:sz w:val="22"/>
          <w:szCs w:val="24"/>
          <w:rtl/>
        </w:rPr>
        <w:t xml:space="preserve"> נ' ס'</w:t>
      </w:r>
      <w:r>
        <w:rPr>
          <w:rFonts w:ascii="Century" w:hAnsi="Century" w:cs="Miriam" w:hint="cs"/>
          <w:b/>
          <w:spacing w:val="0"/>
          <w:sz w:val="22"/>
          <w:szCs w:val="24"/>
          <w:rtl/>
        </w:rPr>
        <w:t>]</w:t>
      </w:r>
      <w:r>
        <w:rPr>
          <w:rFonts w:ascii="Century" w:hAnsi="Century" w:cs="Miriam"/>
          <w:b/>
          <w:spacing w:val="0"/>
          <w:sz w:val="22"/>
          <w:szCs w:val="24"/>
          <w:rtl/>
        </w:rPr>
        <w:t xml:space="preserve"> בחוק. כשאין מגרעה כזאת, עליו לפסוק את הדין לפי החוק הֶחָרות על הלוחות. לפעמים יוכל אולי השופט לנהוג חֵרות בַ</w:t>
      </w:r>
      <w:r>
        <w:rPr>
          <w:rFonts w:ascii="Century" w:hAnsi="Century" w:cs="Miriam" w:hint="cs"/>
          <w:b/>
          <w:spacing w:val="0"/>
          <w:sz w:val="22"/>
          <w:szCs w:val="24"/>
          <w:rtl/>
        </w:rPr>
        <w:t>ּ</w:t>
      </w:r>
      <w:r>
        <w:rPr>
          <w:rFonts w:ascii="Century" w:hAnsi="Century" w:cs="Miriam"/>
          <w:b/>
          <w:spacing w:val="0"/>
          <w:sz w:val="22"/>
          <w:szCs w:val="24"/>
          <w:rtl/>
        </w:rPr>
        <w:t xml:space="preserve">חוק החָרות כדי להגיע להחלטה שהיא מתאימה לצדק וליושר, </w:t>
      </w:r>
      <w:r>
        <w:rPr>
          <w:rFonts w:ascii="Century" w:hAnsi="Century" w:cs="Miriam"/>
          <w:b/>
          <w:spacing w:val="0"/>
          <w:sz w:val="22"/>
          <w:szCs w:val="24"/>
          <w:u w:val="single"/>
          <w:rtl/>
        </w:rPr>
        <w:t>אבל לחרות הזאת יש גבולות, ואם לשופט יראה שאיננו יכול להתגבר על החוק הקיים, אין לו דרך אחרת מאשר לפסוק על פיו</w:t>
      </w:r>
      <w:r>
        <w:rPr>
          <w:rFonts w:ascii="Century" w:hAnsi="Century" w:cs="Miriam"/>
          <w:b/>
          <w:spacing w:val="0"/>
          <w:sz w:val="22"/>
          <w:szCs w:val="24"/>
          <w:rtl/>
        </w:rPr>
        <w:t xml:space="preserve"> ולהפנות את תשו</w:t>
      </w:r>
      <w:r>
        <w:rPr>
          <w:rFonts w:ascii="Century" w:hAnsi="Century" w:cs="Miriam" w:hint="cs"/>
          <w:b/>
          <w:spacing w:val="0"/>
          <w:sz w:val="22"/>
          <w:szCs w:val="24"/>
          <w:rtl/>
        </w:rPr>
        <w:t>מ</w:t>
      </w:r>
      <w:r>
        <w:rPr>
          <w:rFonts w:ascii="Century" w:hAnsi="Century" w:cs="Miriam"/>
          <w:b/>
          <w:spacing w:val="0"/>
          <w:sz w:val="22"/>
          <w:szCs w:val="24"/>
          <w:rtl/>
        </w:rPr>
        <w:t>ת לב המחוקק לכך שהחוק טעון תיקון"</w:t>
      </w:r>
      <w:r>
        <w:rPr>
          <w:rtl/>
        </w:rPr>
        <w:t xml:space="preserve">. </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 xml:space="preserve">הנה כי כן, כבר במעמד היסוד של בית משפט זה, הניח הנשיא </w:t>
      </w:r>
      <w:r>
        <w:rPr>
          <w:rFonts w:ascii="Century" w:hAnsi="Century" w:cs="Miriam"/>
          <w:b/>
          <w:spacing w:val="0"/>
          <w:sz w:val="22"/>
          <w:szCs w:val="24"/>
          <w:rtl/>
        </w:rPr>
        <w:t>זמורה</w:t>
      </w:r>
      <w:r>
        <w:rPr>
          <w:rtl/>
        </w:rPr>
        <w:t xml:space="preserve"> את המסד שעליו נבנתה מורשת פסיקה מפוארת, והבהיר, כי אם ברצוננו, השופטים, לשמור על הפרדת הרשויות, עלינו לה</w:t>
      </w:r>
      <w:r>
        <w:rPr>
          <w:rFonts w:hint="cs"/>
          <w:rtl/>
        </w:rPr>
        <w:t>י</w:t>
      </w:r>
      <w:r>
        <w:rPr>
          <w:rtl/>
        </w:rPr>
        <w:t xml:space="preserve">מנע מלהסיג את גבולה של הרשות המחוקקת-המכוננת. מדבריו של הנשיא </w:t>
      </w:r>
      <w:r>
        <w:rPr>
          <w:rFonts w:ascii="Century" w:hAnsi="Century" w:cs="Miriam"/>
          <w:b/>
          <w:spacing w:val="0"/>
          <w:sz w:val="22"/>
          <w:szCs w:val="24"/>
          <w:rtl/>
        </w:rPr>
        <w:t>זמורה</w:t>
      </w:r>
      <w:r>
        <w:rPr>
          <w:rtl/>
        </w:rPr>
        <w:t xml:space="preserve"> למדנו, כי </w:t>
      </w:r>
      <w:r>
        <w:rPr>
          <w:rFonts w:hint="cs"/>
          <w:rtl/>
        </w:rPr>
        <w:t>ב</w:t>
      </w:r>
      <w:r>
        <w:rPr>
          <w:rtl/>
        </w:rPr>
        <w:t>פסילת חוק</w:t>
      </w:r>
      <w:r>
        <w:rPr>
          <w:rFonts w:hint="cs"/>
          <w:rtl/>
        </w:rPr>
        <w:t>י-</w:t>
      </w:r>
      <w:r>
        <w:rPr>
          <w:rtl/>
        </w:rPr>
        <w:t>יסוד או התערבות בהם, א</w:t>
      </w:r>
      <w:r>
        <w:rPr>
          <w:rFonts w:hint="cs"/>
          <w:rtl/>
        </w:rPr>
        <w:t>ין</w:t>
      </w:r>
      <w:r>
        <w:rPr>
          <w:rtl/>
        </w:rPr>
        <w:t xml:space="preserve"> </w:t>
      </w:r>
      <w:r>
        <w:rPr>
          <w:rFonts w:hint="cs"/>
          <w:rtl/>
        </w:rPr>
        <w:t>שמירה</w:t>
      </w:r>
      <w:r>
        <w:rPr>
          <w:rtl/>
        </w:rPr>
        <w:t xml:space="preserve"> על הפרדת הרשויות</w:t>
      </w:r>
      <w:r>
        <w:rPr>
          <w:rFonts w:hint="cs"/>
          <w:rtl/>
        </w:rPr>
        <w:t>;</w:t>
      </w:r>
      <w:r>
        <w:rPr>
          <w:rtl/>
        </w:rPr>
        <w:t xml:space="preserve"> להפך</w:t>
      </w:r>
      <w:r>
        <w:rPr>
          <w:rFonts w:hint="cs"/>
          <w:rtl/>
        </w:rPr>
        <w:t xml:space="preserve">. </w:t>
      </w:r>
      <w:r>
        <w:rPr>
          <w:rtl/>
        </w:rPr>
        <w:t xml:space="preserve">עלינו לכוף את ראשינו בפני החוק, שאם לא כן נמצאנו פולשים לשטחה של הרשות המחוקקת-מכוננת. לשפיטה נבחרנו; לא לחקיקה. </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חודשים ספורים חלפו מאז פתח בית המשפט העליון את שעריו, וביום 2.12.1948 ניתן פסק דין ב</w:t>
      </w:r>
      <w:r>
        <w:rPr>
          <w:color w:val="000000"/>
          <w:sz w:val="27"/>
          <w:szCs w:val="27"/>
          <w:rtl/>
        </w:rPr>
        <w:t xml:space="preserve">בג"ץ 10/48 </w:t>
      </w:r>
      <w:r>
        <w:rPr>
          <w:rFonts w:ascii="Century" w:hAnsi="Century" w:cs="Miriam"/>
          <w:b/>
          <w:spacing w:val="0"/>
          <w:sz w:val="22"/>
          <w:szCs w:val="24"/>
          <w:rtl/>
        </w:rPr>
        <w:t>זיו נ' הממונה בפועל על האזור העירוני תל-אביב (יהושע גוברניק)</w:t>
      </w:r>
      <w:r>
        <w:rPr>
          <w:color w:val="000000"/>
          <w:sz w:val="27"/>
          <w:szCs w:val="27"/>
          <w:rtl/>
        </w:rPr>
        <w:t>, פ"ד א 85</w:t>
      </w:r>
      <w:r>
        <w:rPr>
          <w:rFonts w:hint="cs"/>
          <w:color w:val="000000"/>
          <w:sz w:val="27"/>
          <w:szCs w:val="27"/>
        </w:rPr>
        <w:t xml:space="preserve"> </w:t>
      </w:r>
      <w:r>
        <w:rPr>
          <w:color w:val="000000"/>
          <w:sz w:val="27"/>
          <w:szCs w:val="27"/>
          <w:rtl/>
        </w:rPr>
        <w:t>(1948)</w:t>
      </w:r>
      <w:r>
        <w:rPr>
          <w:rtl/>
        </w:rPr>
        <w:t xml:space="preserve"> (להלן: </w:t>
      </w:r>
      <w:r w:rsidRPr="00D42C20">
        <w:rPr>
          <w:rFonts w:ascii="Century" w:hAnsi="Century" w:cs="Miriam"/>
          <w:b/>
          <w:spacing w:val="0"/>
          <w:sz w:val="22"/>
          <w:szCs w:val="24"/>
          <w:rtl/>
        </w:rPr>
        <w:t>עניין</w:t>
      </w:r>
      <w:r w:rsidRPr="0071504A">
        <w:rPr>
          <w:rFonts w:ascii="Century" w:hAnsi="Century" w:cs="Miriam"/>
          <w:b/>
          <w:spacing w:val="0"/>
          <w:sz w:val="22"/>
          <w:szCs w:val="24"/>
          <w:rtl/>
        </w:rPr>
        <w:t xml:space="preserve"> </w:t>
      </w:r>
      <w:r>
        <w:rPr>
          <w:rFonts w:ascii="Century" w:hAnsi="Century" w:cs="Miriam"/>
          <w:b/>
          <w:spacing w:val="0"/>
          <w:sz w:val="22"/>
          <w:szCs w:val="24"/>
          <w:rtl/>
        </w:rPr>
        <w:t>זיו</w:t>
      </w:r>
      <w:r w:rsidRPr="00F85BAB">
        <w:rPr>
          <w:rtl/>
        </w:rPr>
        <w:t>)</w:t>
      </w:r>
      <w:r>
        <w:rPr>
          <w:rtl/>
        </w:rPr>
        <w:t>. ב"כ העותר ניסה לעשות שימוש בהכרזת העצמאות, או בשמה הרשמי 'ההכרזה על הקמת מדינת ישראל', ככלי נשק גרעיני, על-חוקי. זאת, על מנת ל</w:t>
      </w:r>
      <w:r>
        <w:rPr>
          <w:rFonts w:hint="cs"/>
          <w:rtl/>
        </w:rPr>
        <w:t>הביא ל</w:t>
      </w:r>
      <w:r>
        <w:rPr>
          <w:rtl/>
        </w:rPr>
        <w:t>ב</w:t>
      </w:r>
      <w:r>
        <w:rPr>
          <w:rFonts w:hint="cs"/>
          <w:rtl/>
        </w:rPr>
        <w:t>י</w:t>
      </w:r>
      <w:r>
        <w:rPr>
          <w:rtl/>
        </w:rPr>
        <w:t>ט</w:t>
      </w:r>
      <w:r>
        <w:rPr>
          <w:rFonts w:hint="cs"/>
          <w:rtl/>
        </w:rPr>
        <w:t>ו</w:t>
      </w:r>
      <w:r>
        <w:rPr>
          <w:rtl/>
        </w:rPr>
        <w:t>ל</w:t>
      </w:r>
      <w:r>
        <w:rPr>
          <w:rFonts w:hint="cs"/>
          <w:rtl/>
        </w:rPr>
        <w:t>ן של</w:t>
      </w:r>
      <w:r>
        <w:rPr>
          <w:rtl/>
        </w:rPr>
        <w:t xml:space="preserve"> תקנות ההגנה הבריטיות משנת 1939, שחלו אז מכוח פקודת סדרי השלטון והמשפט, התש"ח-1948. </w:t>
      </w:r>
      <w:r>
        <w:rPr>
          <w:rFonts w:ascii="Century" w:hAnsi="Century" w:cs="Miriam"/>
          <w:b/>
          <w:spacing w:val="0"/>
          <w:sz w:val="22"/>
          <w:szCs w:val="24"/>
          <w:rtl/>
        </w:rPr>
        <w:t>"כדי לשכנע את בית-המשפט, כי אין להעלות על הדעת משמעות אחרת לסעיף 9 (א) הביא מר נוחימובסקי לפנינו את ההכרזה על הקמת מדינת ישראל, שפורסמה בעתון הרשמי מס' 1, הכוללת את הפסוק 'מדינת ישראל תהיה מושתתת על יסודות החירות, הצדק והשלום לאור חזונם של נביאי ישראל'. לדברי בא-כוח המבקש נכללת ההכרזה בהגדרה של 'חוק' בפקודת הפירושים, 1945, והחוק הזה יחזיר לאזרח במדינה את כל חירויות האדם, ומכיון שכך, הרי בוטלו כל אותם החוקים אשר שימשו קודם לכן מקור לתקנות השוללות חירויות אלה"</w:t>
      </w:r>
      <w:r>
        <w:rPr>
          <w:rtl/>
        </w:rPr>
        <w:t>.</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בית המשפט העליון, בהרכב שבו ישבו שלושה מחמשת השופטים המייסדים</w:t>
      </w:r>
      <w:r>
        <w:rPr>
          <w:rFonts w:hint="cs"/>
          <w:rtl/>
        </w:rPr>
        <w:t xml:space="preserve"> </w:t>
      </w:r>
      <w:r>
        <w:rPr>
          <w:rtl/>
        </w:rPr>
        <w:t>–</w:t>
      </w:r>
      <w:r>
        <w:rPr>
          <w:rFonts w:hint="cs"/>
          <w:rtl/>
        </w:rPr>
        <w:t xml:space="preserve"> </w:t>
      </w:r>
      <w:r>
        <w:rPr>
          <w:rtl/>
        </w:rPr>
        <w:t xml:space="preserve">הנשיא </w:t>
      </w:r>
      <w:r>
        <w:rPr>
          <w:rFonts w:ascii="Century" w:hAnsi="Century" w:cs="Miriam" w:hint="cs"/>
          <w:b/>
          <w:spacing w:val="0"/>
          <w:sz w:val="22"/>
          <w:szCs w:val="24"/>
          <w:rtl/>
        </w:rPr>
        <w:t xml:space="preserve">א' </w:t>
      </w:r>
      <w:r>
        <w:rPr>
          <w:rFonts w:ascii="Century" w:hAnsi="Century" w:cs="Miriam"/>
          <w:b/>
          <w:spacing w:val="0"/>
          <w:sz w:val="22"/>
          <w:szCs w:val="24"/>
          <w:rtl/>
        </w:rPr>
        <w:t>זמורה</w:t>
      </w:r>
      <w:r>
        <w:rPr>
          <w:rtl/>
        </w:rPr>
        <w:t xml:space="preserve">, והשופטים </w:t>
      </w:r>
      <w:r>
        <w:rPr>
          <w:rFonts w:ascii="Century" w:hAnsi="Century" w:cs="Miriam"/>
          <w:b/>
          <w:spacing w:val="0"/>
          <w:sz w:val="22"/>
          <w:szCs w:val="24"/>
          <w:rtl/>
        </w:rPr>
        <w:t>י' אולשן</w:t>
      </w:r>
      <w:r>
        <w:rPr>
          <w:rtl/>
        </w:rPr>
        <w:t xml:space="preserve"> ו-</w:t>
      </w:r>
      <w:r>
        <w:rPr>
          <w:rFonts w:ascii="Century" w:hAnsi="Century" w:cs="Miriam"/>
          <w:b/>
          <w:spacing w:val="0"/>
          <w:sz w:val="22"/>
          <w:szCs w:val="24"/>
          <w:rtl/>
        </w:rPr>
        <w:t>ש"ז חשין</w:t>
      </w:r>
      <w:r>
        <w:rPr>
          <w:rtl/>
        </w:rPr>
        <w:t xml:space="preserve"> – דחה את הטענה. נפסק, כי </w:t>
      </w:r>
      <w:r>
        <w:rPr>
          <w:rFonts w:ascii="Century" w:hAnsi="Century" w:cs="Miriam"/>
          <w:b/>
          <w:spacing w:val="0"/>
          <w:sz w:val="22"/>
          <w:szCs w:val="24"/>
          <w:rtl/>
        </w:rPr>
        <w:t>"אין אנו יכולים לקבל את טענתו הנלבבת של בא-כוח המבקש. ההכרזה [...] באה רק לשם קביעת העובדה של יסוד המדינה והקמתה לצורך הכרתה על-ידי החוק הבינלאומי. היא מבטאת את חזון העם ואת 'האני מאמין' שלו, אבל אין בה משום חוק קונסטיטוציוני הפוסק הלכה למעשה בדבר קיום פקודות וחוקים שונים, או ביטולם"</w:t>
      </w:r>
      <w:r>
        <w:rPr>
          <w:rtl/>
        </w:rPr>
        <w:t xml:space="preserve">. הא למדנו, כי הניסיונות להפוך את מגילת העצמאות ל'חוק קונסטיטוציוני', לא מקרוב באו. ימיהם כימי בית משפט זה. כבר באותם ימים ראשונים, שמר בית המשפט העליון אמונים לתפקידו הקונסטיטוציוני, עמד בפרץ, </w:t>
      </w:r>
      <w:r>
        <w:rPr>
          <w:rtl/>
        </w:rPr>
        <w:lastRenderedPageBreak/>
        <w:t xml:space="preserve">ודחה אותן טענות. זאת, על אף שבכך הגביל </w:t>
      </w:r>
      <w:r>
        <w:rPr>
          <w:rFonts w:hint="cs"/>
          <w:rtl/>
        </w:rPr>
        <w:t>בית המשפט העליון</w:t>
      </w:r>
      <w:r>
        <w:rPr>
          <w:rtl/>
        </w:rPr>
        <w:t>, כביכול, את כוחו</w:t>
      </w:r>
      <w:r>
        <w:rPr>
          <w:rFonts w:hint="cs"/>
          <w:rtl/>
        </w:rPr>
        <w:t>-שלו</w:t>
      </w:r>
      <w:r>
        <w:rPr>
          <w:rtl/>
        </w:rPr>
        <w:t xml:space="preserve">, </w:t>
      </w:r>
      <w:r>
        <w:rPr>
          <w:rFonts w:hint="cs"/>
          <w:rtl/>
        </w:rPr>
        <w:t xml:space="preserve">הרכין את ראשו </w:t>
      </w:r>
      <w:r>
        <w:rPr>
          <w:rtl/>
        </w:rPr>
        <w:t xml:space="preserve">וצמצם את סמכויותיו. </w:t>
      </w:r>
    </w:p>
    <w:p w:rsidR="00EB02E1" w:rsidRDefault="00EB02E1" w:rsidP="00EB02E1">
      <w:pPr>
        <w:pStyle w:val="Ruller41"/>
        <w:rPr>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t xml:space="preserve">הנשיא </w:t>
      </w:r>
      <w:r>
        <w:rPr>
          <w:rFonts w:ascii="Century" w:hAnsi="Century" w:cs="Miriam" w:hint="cs"/>
          <w:b/>
          <w:spacing w:val="0"/>
          <w:szCs w:val="24"/>
          <w:rtl/>
        </w:rPr>
        <w:t xml:space="preserve">י' </w:t>
      </w:r>
      <w:r>
        <w:rPr>
          <w:rFonts w:ascii="Century" w:hAnsi="Century" w:cs="Miriam"/>
          <w:b/>
          <w:spacing w:val="0"/>
          <w:szCs w:val="24"/>
          <w:rtl/>
        </w:rPr>
        <w:t xml:space="preserve">אולשן </w:t>
      </w:r>
    </w:p>
    <w:p w:rsidR="00EB02E1" w:rsidRDefault="00EB02E1" w:rsidP="00EB02E1">
      <w:pPr>
        <w:pStyle w:val="Ruller4"/>
        <w:textAlignment w:val="auto"/>
        <w:rPr>
          <w:rtl/>
        </w:rPr>
      </w:pPr>
      <w:r>
        <w:rPr>
          <w:rtl/>
        </w:rPr>
        <w:t xml:space="preserve">נפנה </w:t>
      </w:r>
      <w:r>
        <w:rPr>
          <w:rFonts w:hint="cs"/>
          <w:rtl/>
        </w:rPr>
        <w:t>עתה להטות אוזן קשבת ל</w:t>
      </w:r>
      <w:r>
        <w:rPr>
          <w:rtl/>
        </w:rPr>
        <w:t xml:space="preserve">חוות דעתו של נשיאו השני של בית משפט זה, ומי שכיהן כאחד מחמשת שופטי 'דור המייסדים', הנשיא </w:t>
      </w:r>
      <w:r>
        <w:rPr>
          <w:rFonts w:ascii="Century" w:hAnsi="Century" w:cs="Miriam"/>
          <w:b/>
          <w:spacing w:val="0"/>
          <w:sz w:val="22"/>
          <w:szCs w:val="24"/>
          <w:rtl/>
        </w:rPr>
        <w:t>י' אולשן</w:t>
      </w:r>
      <w:r>
        <w:rPr>
          <w:rtl/>
        </w:rPr>
        <w:t xml:space="preserve">. השופט </w:t>
      </w:r>
      <w:r>
        <w:rPr>
          <w:rFonts w:ascii="Century" w:hAnsi="Century" w:cs="Miriam"/>
          <w:b/>
          <w:spacing w:val="0"/>
          <w:sz w:val="22"/>
          <w:szCs w:val="24"/>
          <w:rtl/>
        </w:rPr>
        <w:t>אולשן</w:t>
      </w:r>
      <w:r>
        <w:rPr>
          <w:rtl/>
        </w:rPr>
        <w:t xml:space="preserve"> חתום, כאמור, על פסק הדין </w:t>
      </w:r>
      <w:r>
        <w:rPr>
          <w:rFonts w:hint="cs"/>
          <w:rtl/>
        </w:rPr>
        <w:t xml:space="preserve">הנ"ל </w:t>
      </w:r>
      <w:r>
        <w:rPr>
          <w:rtl/>
        </w:rPr>
        <w:t xml:space="preserve">בעניין </w:t>
      </w:r>
      <w:r>
        <w:rPr>
          <w:rFonts w:ascii="Century" w:hAnsi="Century" w:cs="Miriam"/>
          <w:b/>
          <w:spacing w:val="0"/>
          <w:sz w:val="22"/>
          <w:szCs w:val="24"/>
          <w:rtl/>
        </w:rPr>
        <w:t>זיו</w:t>
      </w:r>
      <w:r>
        <w:rPr>
          <w:rtl/>
        </w:rPr>
        <w:t>. פסק דין נוסף, חשוב לא פחות, הוא פסק הדין ב</w:t>
      </w:r>
      <w:r>
        <w:rPr>
          <w:color w:val="000000"/>
          <w:sz w:val="27"/>
          <w:szCs w:val="27"/>
          <w:rtl/>
        </w:rPr>
        <w:t xml:space="preserve">בג"ץ 7/48 </w:t>
      </w:r>
      <w:r>
        <w:rPr>
          <w:rFonts w:ascii="Century" w:hAnsi="Century" w:cs="Miriam"/>
          <w:b/>
          <w:spacing w:val="0"/>
          <w:sz w:val="22"/>
          <w:szCs w:val="24"/>
          <w:rtl/>
        </w:rPr>
        <w:t>אל-כרבוטלי נ' שר-הבטחון</w:t>
      </w:r>
      <w:r>
        <w:rPr>
          <w:color w:val="000000"/>
          <w:sz w:val="27"/>
          <w:szCs w:val="27"/>
          <w:rtl/>
        </w:rPr>
        <w:t>, פ"ד ב 5</w:t>
      </w:r>
      <w:r>
        <w:rPr>
          <w:rtl/>
        </w:rPr>
        <w:t xml:space="preserve"> (1949) (להלן: </w:t>
      </w:r>
      <w:r w:rsidRPr="00D42C20">
        <w:rPr>
          <w:rFonts w:ascii="Century" w:hAnsi="Century" w:cs="Miriam"/>
          <w:b/>
          <w:spacing w:val="0"/>
          <w:sz w:val="22"/>
          <w:szCs w:val="24"/>
          <w:rtl/>
        </w:rPr>
        <w:t>עניין</w:t>
      </w:r>
      <w:r w:rsidRPr="0078141D">
        <w:rPr>
          <w:rFonts w:ascii="Century" w:hAnsi="Century" w:cs="Miriam"/>
          <w:b/>
          <w:spacing w:val="0"/>
          <w:sz w:val="22"/>
          <w:szCs w:val="24"/>
          <w:rtl/>
        </w:rPr>
        <w:t xml:space="preserve"> </w:t>
      </w:r>
      <w:r>
        <w:rPr>
          <w:rFonts w:ascii="Century" w:hAnsi="Century" w:cs="Miriam"/>
          <w:b/>
          <w:spacing w:val="0"/>
          <w:sz w:val="22"/>
          <w:szCs w:val="24"/>
          <w:rtl/>
        </w:rPr>
        <w:t>אל-כרבוטלי</w:t>
      </w:r>
      <w:r w:rsidRPr="00F35CDD">
        <w:rPr>
          <w:rFonts w:ascii="Century" w:hAnsi="Century"/>
          <w:sz w:val="22"/>
          <w:rtl/>
        </w:rPr>
        <w:t>)</w:t>
      </w:r>
      <w:r>
        <w:rPr>
          <w:rtl/>
        </w:rPr>
        <w:t>. פסק הדין ניתן כחודש</w:t>
      </w:r>
      <w:r>
        <w:rPr>
          <w:rFonts w:hint="cs"/>
          <w:rtl/>
        </w:rPr>
        <w:t>-</w:t>
      </w:r>
      <w:r>
        <w:rPr>
          <w:rtl/>
        </w:rPr>
        <w:t>ימים לאחר פסק הדין בענ</w:t>
      </w:r>
      <w:r>
        <w:rPr>
          <w:rFonts w:hint="cs"/>
          <w:rtl/>
        </w:rPr>
        <w:t>י</w:t>
      </w:r>
      <w:r>
        <w:rPr>
          <w:rtl/>
        </w:rPr>
        <w:t xml:space="preserve">ין </w:t>
      </w:r>
      <w:r>
        <w:rPr>
          <w:rFonts w:ascii="Century" w:hAnsi="Century" w:cs="Miriam"/>
          <w:b/>
          <w:spacing w:val="0"/>
          <w:sz w:val="22"/>
          <w:szCs w:val="24"/>
          <w:rtl/>
        </w:rPr>
        <w:t>זיו</w:t>
      </w:r>
      <w:r>
        <w:rPr>
          <w:rtl/>
        </w:rPr>
        <w:t xml:space="preserve">, על-ידי אותו הרכב שופטים: השופט </w:t>
      </w:r>
      <w:r>
        <w:rPr>
          <w:rFonts w:ascii="Century" w:hAnsi="Century" w:cs="Miriam"/>
          <w:b/>
          <w:spacing w:val="0"/>
          <w:sz w:val="22"/>
          <w:szCs w:val="24"/>
          <w:rtl/>
        </w:rPr>
        <w:t>אולשן</w:t>
      </w:r>
      <w:r>
        <w:rPr>
          <w:rtl/>
        </w:rPr>
        <w:t xml:space="preserve"> שכתב את פסק הדין, בהסכמת יתר חברי ההרכב, הנשיא </w:t>
      </w:r>
      <w:r>
        <w:rPr>
          <w:rFonts w:ascii="Century" w:hAnsi="Century" w:cs="Miriam"/>
          <w:b/>
          <w:spacing w:val="0"/>
          <w:sz w:val="22"/>
          <w:szCs w:val="24"/>
          <w:rtl/>
        </w:rPr>
        <w:t>זמורה</w:t>
      </w:r>
      <w:r>
        <w:rPr>
          <w:rtl/>
        </w:rPr>
        <w:t xml:space="preserve"> והשופט </w:t>
      </w:r>
      <w:r>
        <w:rPr>
          <w:rFonts w:ascii="Century" w:hAnsi="Century" w:cs="Miriam"/>
          <w:b/>
          <w:spacing w:val="0"/>
          <w:sz w:val="22"/>
          <w:szCs w:val="24"/>
          <w:rtl/>
        </w:rPr>
        <w:t>ש"ז</w:t>
      </w:r>
      <w:r>
        <w:rPr>
          <w:rtl/>
        </w:rPr>
        <w:t xml:space="preserve"> </w:t>
      </w:r>
      <w:r>
        <w:rPr>
          <w:rFonts w:ascii="Century" w:hAnsi="Century" w:cs="Miriam"/>
          <w:b/>
          <w:spacing w:val="0"/>
          <w:sz w:val="22"/>
          <w:szCs w:val="24"/>
          <w:rtl/>
        </w:rPr>
        <w:t>חשין</w:t>
      </w:r>
      <w:r>
        <w:rPr>
          <w:rtl/>
        </w:rPr>
        <w:t>. יש לראותו</w:t>
      </w:r>
      <w:r>
        <w:rPr>
          <w:rFonts w:hint="cs"/>
          <w:rtl/>
        </w:rPr>
        <w:t>,</w:t>
      </w:r>
      <w:r>
        <w:rPr>
          <w:rtl/>
        </w:rPr>
        <w:t xml:space="preserve"> אם כן, </w:t>
      </w:r>
      <w:r>
        <w:rPr>
          <w:rFonts w:hint="cs"/>
          <w:rtl/>
        </w:rPr>
        <w:t>כ</w:t>
      </w:r>
      <w:r>
        <w:rPr>
          <w:rtl/>
        </w:rPr>
        <w:t xml:space="preserve">השלמה וביאור לפסק הדין בעניין </w:t>
      </w:r>
      <w:r>
        <w:rPr>
          <w:rFonts w:ascii="Century" w:hAnsi="Century" w:cs="Miriam"/>
          <w:b/>
          <w:spacing w:val="0"/>
          <w:sz w:val="22"/>
          <w:szCs w:val="24"/>
          <w:rtl/>
        </w:rPr>
        <w:t>זיו</w:t>
      </w:r>
      <w:r>
        <w:rPr>
          <w:rtl/>
        </w:rPr>
        <w:t xml:space="preserve">. </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 xml:space="preserve">גם כאן ניסה ב"כ העותרים את מזלו בטענה לסתירה בין דבר חקיקה לבין הכרזת העצמאות. גם כאן, כמו בעניין </w:t>
      </w:r>
      <w:r>
        <w:rPr>
          <w:rFonts w:ascii="Century" w:hAnsi="Century" w:cs="Miriam"/>
          <w:b/>
          <w:spacing w:val="0"/>
          <w:sz w:val="22"/>
          <w:szCs w:val="24"/>
          <w:rtl/>
        </w:rPr>
        <w:t>זיו</w:t>
      </w:r>
      <w:r>
        <w:rPr>
          <w:rtl/>
        </w:rPr>
        <w:t>, הטענה – נדחתה.</w:t>
      </w:r>
    </w:p>
    <w:p w:rsidR="00EB02E1" w:rsidRDefault="00EB02E1" w:rsidP="00EB02E1">
      <w:pPr>
        <w:pStyle w:val="Ruller4"/>
        <w:numPr>
          <w:ilvl w:val="0"/>
          <w:numId w:val="0"/>
        </w:numPr>
        <w:spacing w:line="240" w:lineRule="auto"/>
      </w:pPr>
    </w:p>
    <w:p w:rsidR="00EB02E1" w:rsidRDefault="00EB02E1" w:rsidP="00EB02E1">
      <w:pPr>
        <w:pStyle w:val="Ruller4"/>
        <w:numPr>
          <w:ilvl w:val="0"/>
          <w:numId w:val="0"/>
        </w:numPr>
        <w:rPr>
          <w:rtl/>
        </w:rPr>
      </w:pPr>
      <w:r>
        <w:rPr>
          <w:rtl/>
        </w:rPr>
        <w:tab/>
      </w:r>
      <w:r>
        <w:rPr>
          <w:rFonts w:ascii="Century" w:hAnsi="Century" w:cs="Miriam"/>
          <w:b/>
          <w:spacing w:val="0"/>
          <w:sz w:val="22"/>
          <w:szCs w:val="24"/>
          <w:rtl/>
        </w:rPr>
        <w:t>"את טענתו השניה מבסס בא-כוח המבקש על 'ההכרזה על הקמת מדינת ישראל' והוא מדגיש את המלים בהכרזה הזאת, כי 'מדינת ישראל</w:t>
      </w:r>
      <w:r>
        <w:rPr>
          <w:rFonts w:ascii="Century" w:hAnsi="Century" w:cs="Miriam" w:hint="cs"/>
          <w:b/>
          <w:spacing w:val="0"/>
          <w:sz w:val="22"/>
          <w:szCs w:val="24"/>
          <w:rtl/>
        </w:rPr>
        <w:t xml:space="preserve"> [</w:t>
      </w:r>
      <w:r>
        <w:rPr>
          <w:rFonts w:ascii="Century" w:hAnsi="Century" w:cs="Miriam"/>
          <w:b/>
          <w:spacing w:val="0"/>
          <w:sz w:val="22"/>
          <w:szCs w:val="24"/>
          <w:rtl/>
        </w:rPr>
        <w:t>...</w:t>
      </w:r>
      <w:r>
        <w:rPr>
          <w:rFonts w:ascii="Century" w:hAnsi="Century" w:cs="Miriam" w:hint="cs"/>
          <w:b/>
          <w:spacing w:val="0"/>
          <w:sz w:val="22"/>
          <w:szCs w:val="24"/>
          <w:rtl/>
        </w:rPr>
        <w:t>]</w:t>
      </w:r>
      <w:r>
        <w:rPr>
          <w:rFonts w:ascii="Century" w:hAnsi="Century" w:cs="Miriam"/>
          <w:b/>
          <w:spacing w:val="0"/>
          <w:sz w:val="22"/>
          <w:szCs w:val="24"/>
          <w:rtl/>
        </w:rPr>
        <w:t xml:space="preserve"> תהא מושתתת על יסודות החירות, הצדק והשלום לאור חזונם של נביאי ישראל'. הדברים האלה, טוען בא-כוח המבקש, מבטיחים לאזרחים במדינה את חופש הפרט, ומכיון שבתקנה 111(1) יש משום שלילת חירותו של הפרט, ללא כל ערובה, היא פסולה ויש לראותה כבטלה ומבוטלת. התשובה לטענה הזאת כבר ניתנה על-ידי בית־ משפט זה ב-בג״צ 10/48, שם נאמר: [...] ההכרזה [...] באה רק לשם קביעת העובדה של יסוד המדינה והקמתה לצורך הכרתה על-ידי החוק הבי</w:t>
      </w:r>
      <w:r>
        <w:rPr>
          <w:rFonts w:ascii="Century" w:hAnsi="Century" w:cs="Miriam" w:hint="cs"/>
          <w:b/>
          <w:spacing w:val="0"/>
          <w:sz w:val="22"/>
          <w:szCs w:val="24"/>
          <w:rtl/>
        </w:rPr>
        <w:t>נ</w:t>
      </w:r>
      <w:r>
        <w:rPr>
          <w:rFonts w:ascii="Century" w:hAnsi="Century" w:cs="Miriam"/>
          <w:b/>
          <w:spacing w:val="0"/>
          <w:sz w:val="22"/>
          <w:szCs w:val="24"/>
          <w:rtl/>
        </w:rPr>
        <w:t>לאומי. היא מבטאה את חזון העם ואת ה'אני מאמין' שלו, אבל אין בה משום חוק קונסטיטוציוני הפוסק הלכה למעשה בדבר קיום פקודות וחוקים שונים או ביטולם'.</w:t>
      </w:r>
      <w:r>
        <w:rPr>
          <w:rtl/>
        </w:rPr>
        <w:t xml:space="preserve"> </w:t>
      </w:r>
    </w:p>
    <w:p w:rsidR="00EB02E1" w:rsidRDefault="00EB02E1" w:rsidP="00EB02E1">
      <w:pPr>
        <w:pStyle w:val="Ruller4"/>
        <w:numPr>
          <w:ilvl w:val="0"/>
          <w:numId w:val="0"/>
        </w:numPr>
        <w:spacing w:line="240" w:lineRule="auto"/>
        <w:rPr>
          <w:rtl/>
        </w:rPr>
      </w:pPr>
    </w:p>
    <w:p w:rsidR="00EB02E1" w:rsidRDefault="00EB02E1" w:rsidP="00EB02E1">
      <w:pPr>
        <w:pStyle w:val="Ruller4"/>
        <w:numPr>
          <w:ilvl w:val="0"/>
          <w:numId w:val="0"/>
        </w:numPr>
        <w:rPr>
          <w:rtl/>
        </w:rPr>
      </w:pPr>
      <w:r>
        <w:rPr>
          <w:rtl/>
        </w:rPr>
        <w:tab/>
      </w:r>
      <w:r>
        <w:rPr>
          <w:rFonts w:ascii="Century" w:hAnsi="Century" w:cs="Miriam"/>
          <w:b/>
          <w:spacing w:val="0"/>
          <w:sz w:val="22"/>
          <w:szCs w:val="24"/>
          <w:rtl/>
        </w:rPr>
        <w:t xml:space="preserve">בא-כוח המבקש כופר בנכונות הדעה הזאת, מפני שלדעתו היא מבוססת על ההשקפה, שההכרזה היא רק מסמך פוליטי. </w:t>
      </w:r>
      <w:r>
        <w:rPr>
          <w:rFonts w:ascii="Century" w:hAnsi="Century" w:cs="Miriam"/>
          <w:b/>
          <w:spacing w:val="0"/>
          <w:sz w:val="22"/>
          <w:szCs w:val="24"/>
          <w:u w:val="single"/>
          <w:rtl/>
        </w:rPr>
        <w:t>בית־ המשפט בפסק-דינו הנ״ל לא ראה את ההכרזה כראות מסמך פוליטי גרידא. להיפך, הודגש בו, כי התעודה הזאת יש לה ערך של חוק לצורך קביעת העובדה של ההקמה החוקית של המדינה: אולם בית־ המשפט לא קיבל את הטענה, כי תעודה זאת מהווה את החוקה, שלאורה יש לבחון כשרותם של חוקים</w:t>
      </w:r>
      <w:r>
        <w:rPr>
          <w:rFonts w:ascii="Century" w:hAnsi="Century" w:cs="Miriam"/>
          <w:b/>
          <w:spacing w:val="0"/>
          <w:sz w:val="22"/>
          <w:szCs w:val="24"/>
          <w:rtl/>
        </w:rPr>
        <w:t xml:space="preserve"> בטרם נקבעה על-ידי האסיפה המכוננת, החוקה היסודית, אשר עצם ההכרזה מדברת עליה"</w:t>
      </w:r>
      <w:r>
        <w:rPr>
          <w:rtl/>
        </w:rPr>
        <w:t xml:space="preserve">; דברים כדורבנות. </w:t>
      </w:r>
    </w:p>
    <w:p w:rsidR="00EB02E1" w:rsidRDefault="00EB02E1" w:rsidP="00EB02E1">
      <w:pPr>
        <w:pStyle w:val="Ruller41"/>
        <w:rPr>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t>מ"מ הנשיא ש"ז חשין</w:t>
      </w:r>
    </w:p>
    <w:p w:rsidR="00EB02E1" w:rsidRDefault="00EB02E1" w:rsidP="00EB02E1">
      <w:pPr>
        <w:pStyle w:val="Ruller4"/>
        <w:textAlignment w:val="auto"/>
        <w:rPr>
          <w:rtl/>
        </w:rPr>
      </w:pPr>
      <w:r>
        <w:rPr>
          <w:rtl/>
        </w:rPr>
        <w:t xml:space="preserve">השופט </w:t>
      </w:r>
      <w:r>
        <w:rPr>
          <w:rFonts w:ascii="Century" w:hAnsi="Century" w:cs="Miriam"/>
          <w:b/>
          <w:spacing w:val="0"/>
          <w:sz w:val="22"/>
          <w:szCs w:val="24"/>
          <w:rtl/>
        </w:rPr>
        <w:t>ש"ז חשין</w:t>
      </w:r>
      <w:r>
        <w:rPr>
          <w:rtl/>
        </w:rPr>
        <w:t>, גם הוא משופטי ההרכב הראשון של בית המשפט</w:t>
      </w:r>
      <w:r>
        <w:rPr>
          <w:rFonts w:hint="cs"/>
          <w:rtl/>
        </w:rPr>
        <w:t xml:space="preserve"> העליון</w:t>
      </w:r>
      <w:r>
        <w:rPr>
          <w:rtl/>
        </w:rPr>
        <w:t xml:space="preserve">, הצטרף כאמור לפסקי הדין בעניין </w:t>
      </w:r>
      <w:r>
        <w:rPr>
          <w:rFonts w:ascii="Century" w:hAnsi="Century" w:cs="Miriam"/>
          <w:b/>
          <w:spacing w:val="0"/>
          <w:sz w:val="22"/>
          <w:szCs w:val="24"/>
          <w:rtl/>
        </w:rPr>
        <w:t>זיו</w:t>
      </w:r>
      <w:r>
        <w:rPr>
          <w:rtl/>
        </w:rPr>
        <w:t xml:space="preserve">, ובעניין </w:t>
      </w:r>
      <w:r>
        <w:rPr>
          <w:rFonts w:ascii="Century" w:hAnsi="Century" w:cs="Miriam"/>
          <w:b/>
          <w:spacing w:val="0"/>
          <w:sz w:val="22"/>
          <w:szCs w:val="24"/>
          <w:rtl/>
        </w:rPr>
        <w:t>אל-כרבוטלי</w:t>
      </w:r>
      <w:r>
        <w:rPr>
          <w:rtl/>
        </w:rPr>
        <w:t xml:space="preserve">. השופט </w:t>
      </w:r>
      <w:r>
        <w:rPr>
          <w:rFonts w:ascii="Century" w:hAnsi="Century" w:cs="Miriam"/>
          <w:b/>
          <w:spacing w:val="0"/>
          <w:sz w:val="22"/>
          <w:szCs w:val="24"/>
          <w:rtl/>
        </w:rPr>
        <w:t>חשין</w:t>
      </w:r>
      <w:r>
        <w:rPr>
          <w:rtl/>
        </w:rPr>
        <w:t xml:space="preserve">, סבר גם הוא, </w:t>
      </w:r>
      <w:r>
        <w:rPr>
          <w:rtl/>
        </w:rPr>
        <w:lastRenderedPageBreak/>
        <w:t xml:space="preserve">כחבריו, כי אין </w:t>
      </w:r>
      <w:r>
        <w:rPr>
          <w:rFonts w:hint="cs"/>
          <w:rtl/>
        </w:rPr>
        <w:t xml:space="preserve">לו סמכות, לבית המשפט, </w:t>
      </w:r>
      <w:r>
        <w:rPr>
          <w:rtl/>
        </w:rPr>
        <w:t xml:space="preserve">לערוך ביקורת שיפוטית על חוקי הכנסת, גם לא מכוחה של מגילת העצמאות. </w:t>
      </w:r>
    </w:p>
    <w:p w:rsidR="00EB02E1" w:rsidRDefault="00EB02E1" w:rsidP="00EB02E1">
      <w:pPr>
        <w:pStyle w:val="Ruller41"/>
        <w:rPr>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t xml:space="preserve">הנשיא </w:t>
      </w:r>
      <w:r>
        <w:rPr>
          <w:rFonts w:ascii="Century" w:hAnsi="Century" w:cs="Miriam" w:hint="cs"/>
          <w:b/>
          <w:spacing w:val="0"/>
          <w:szCs w:val="24"/>
          <w:rtl/>
        </w:rPr>
        <w:t xml:space="preserve">ש' </w:t>
      </w:r>
      <w:r>
        <w:rPr>
          <w:rFonts w:ascii="Century" w:hAnsi="Century" w:cs="Miriam"/>
          <w:b/>
          <w:spacing w:val="0"/>
          <w:szCs w:val="24"/>
          <w:rtl/>
        </w:rPr>
        <w:t>אגרנט</w:t>
      </w:r>
    </w:p>
    <w:p w:rsidR="00EB02E1" w:rsidRDefault="00EB02E1" w:rsidP="00EB02E1">
      <w:pPr>
        <w:pStyle w:val="Ruller4"/>
        <w:textAlignment w:val="auto"/>
        <w:rPr>
          <w:rtl/>
        </w:rPr>
      </w:pPr>
      <w:r>
        <w:rPr>
          <w:rtl/>
        </w:rPr>
        <w:t xml:space="preserve">חשיבות רבה נודעת לפסק הדין של הנשיא השלישי של בית משפט זה, השופט </w:t>
      </w:r>
      <w:r>
        <w:rPr>
          <w:rFonts w:ascii="Century" w:hAnsi="Century" w:cs="Miriam"/>
          <w:b/>
          <w:spacing w:val="0"/>
          <w:sz w:val="22"/>
          <w:szCs w:val="24"/>
          <w:rtl/>
        </w:rPr>
        <w:t>ש' אגרנט</w:t>
      </w:r>
      <w:r>
        <w:rPr>
          <w:rtl/>
        </w:rPr>
        <w:t xml:space="preserve">, בבג"ץ 73/53 </w:t>
      </w:r>
      <w:r>
        <w:rPr>
          <w:rFonts w:ascii="Century" w:hAnsi="Century" w:cs="Miriam"/>
          <w:b/>
          <w:spacing w:val="0"/>
          <w:sz w:val="22"/>
          <w:szCs w:val="24"/>
          <w:rtl/>
        </w:rPr>
        <w:t>חברת 'קול העם' בע"מ נ' שר הפנים</w:t>
      </w:r>
      <w:r>
        <w:rPr>
          <w:rtl/>
        </w:rPr>
        <w:t>, פ"ד ז 871, 88</w:t>
      </w:r>
      <w:r>
        <w:rPr>
          <w:rFonts w:hint="cs"/>
          <w:rtl/>
        </w:rPr>
        <w:t>4</w:t>
      </w:r>
      <w:r>
        <w:rPr>
          <w:rtl/>
        </w:rPr>
        <w:t xml:space="preserve"> (1953) (להלן: </w:t>
      </w:r>
      <w:r w:rsidRPr="00D42C20">
        <w:rPr>
          <w:rFonts w:ascii="Century" w:hAnsi="Century" w:cs="Miriam"/>
          <w:b/>
          <w:spacing w:val="0"/>
          <w:sz w:val="22"/>
          <w:szCs w:val="24"/>
          <w:rtl/>
        </w:rPr>
        <w:t>עניין</w:t>
      </w:r>
      <w:r w:rsidRPr="00637221">
        <w:rPr>
          <w:rtl/>
        </w:rPr>
        <w:t xml:space="preserve"> </w:t>
      </w:r>
      <w:r>
        <w:rPr>
          <w:rFonts w:ascii="Century" w:hAnsi="Century" w:cs="Miriam"/>
          <w:b/>
          <w:spacing w:val="0"/>
          <w:sz w:val="22"/>
          <w:szCs w:val="24"/>
          <w:rtl/>
        </w:rPr>
        <w:t>קול העם</w:t>
      </w:r>
      <w:r>
        <w:rPr>
          <w:rtl/>
        </w:rPr>
        <w:t xml:space="preserve">). </w:t>
      </w:r>
      <w:r>
        <w:rPr>
          <w:rFonts w:ascii="Century" w:hAnsi="Century" w:cs="Miriam"/>
          <w:b/>
          <w:spacing w:val="0"/>
          <w:sz w:val="22"/>
          <w:szCs w:val="24"/>
          <w:rtl/>
        </w:rPr>
        <w:t>"פסק הדין הוא מרכזי במשפט הישראלי בשל ההלכות שנקבעו בו לעניין חופש העיתונות בפרט, וחופש הדיבור ואופיה הדמוקרטי של המדינה בכלל"</w:t>
      </w:r>
      <w:r>
        <w:rPr>
          <w:rtl/>
        </w:rPr>
        <w:t xml:space="preserve"> (אהרן ברק "הנשיא אגרנט: 'קול העם' – קולו של העם", </w:t>
      </w:r>
      <w:r>
        <w:rPr>
          <w:rFonts w:ascii="Century" w:hAnsi="Century" w:cs="Miriam"/>
          <w:b/>
          <w:spacing w:val="0"/>
          <w:sz w:val="22"/>
          <w:szCs w:val="24"/>
          <w:rtl/>
        </w:rPr>
        <w:t>מבחר כתבים א</w:t>
      </w:r>
      <w:r>
        <w:rPr>
          <w:rtl/>
        </w:rPr>
        <w:t xml:space="preserve"> 575, 576 (2000)). פסק דין זה הרחיב את ההגנה על זכויות האדם במשפט הישראלי, אך בד-בבד חזר והבהיר את גבולות ה</w:t>
      </w:r>
      <w:r>
        <w:rPr>
          <w:rFonts w:hint="cs"/>
          <w:rtl/>
        </w:rPr>
        <w:t xml:space="preserve">ביקורת </w:t>
      </w:r>
      <w:r>
        <w:rPr>
          <w:rtl/>
        </w:rPr>
        <w:t xml:space="preserve">השיפוטית. מי שמעלה </w:t>
      </w:r>
      <w:r>
        <w:rPr>
          <w:rFonts w:hint="cs"/>
          <w:rtl/>
        </w:rPr>
        <w:t>על</w:t>
      </w:r>
      <w:r>
        <w:rPr>
          <w:rtl/>
        </w:rPr>
        <w:t xml:space="preserve"> נס את </w:t>
      </w:r>
      <w:r>
        <w:rPr>
          <w:rFonts w:hint="cs"/>
          <w:rtl/>
        </w:rPr>
        <w:t>האמוּר ב</w:t>
      </w:r>
      <w:r>
        <w:rPr>
          <w:rtl/>
        </w:rPr>
        <w:t>פסק הדין, כי הכרזת העצמאות</w:t>
      </w:r>
      <w:r>
        <w:rPr>
          <w:rFonts w:hint="cs"/>
          <w:rtl/>
        </w:rPr>
        <w:t xml:space="preserve"> </w:t>
      </w:r>
      <w:r>
        <w:rPr>
          <w:rtl/>
        </w:rPr>
        <w:t>–</w:t>
      </w:r>
      <w:r>
        <w:rPr>
          <w:rFonts w:hint="cs"/>
          <w:rtl/>
        </w:rPr>
        <w:t xml:space="preserve"> </w:t>
      </w:r>
      <w:r>
        <w:rPr>
          <w:rFonts w:ascii="Century" w:hAnsi="Century" w:cs="Miriam"/>
          <w:b/>
          <w:spacing w:val="0"/>
          <w:sz w:val="22"/>
          <w:szCs w:val="24"/>
          <w:rtl/>
        </w:rPr>
        <w:t>"במידה שהיא 'מבטאה את חזון העם ואת האני-מאמין שלו' [...] מחובתנו לשים את לבנו לדברים שהוצהרו בה, בשעה שאנו באים לפרש ולתת מובן לחוקי המדינה"</w:t>
      </w:r>
      <w:r>
        <w:rPr>
          <w:rtl/>
        </w:rPr>
        <w:t xml:space="preserve">, אינו רשאי להתעלם </w:t>
      </w:r>
      <w:r>
        <w:rPr>
          <w:rFonts w:hint="cs"/>
          <w:rtl/>
        </w:rPr>
        <w:t xml:space="preserve">מדברים שנאמרו בחדא מחתא, בחלקו הראשון של אותו משפט. </w:t>
      </w:r>
      <w:r>
        <w:rPr>
          <w:rtl/>
        </w:rPr>
        <w:t xml:space="preserve">השופט </w:t>
      </w:r>
      <w:r>
        <w:rPr>
          <w:rFonts w:ascii="Century" w:hAnsi="Century" w:cs="Miriam"/>
          <w:b/>
          <w:spacing w:val="0"/>
          <w:sz w:val="22"/>
          <w:szCs w:val="24"/>
          <w:rtl/>
        </w:rPr>
        <w:t>אגרנט</w:t>
      </w:r>
      <w:r>
        <w:rPr>
          <w:rtl/>
        </w:rPr>
        <w:t xml:space="preserve"> שב ומצטט </w:t>
      </w:r>
      <w:r>
        <w:rPr>
          <w:rFonts w:hint="cs"/>
          <w:rtl/>
        </w:rPr>
        <w:t xml:space="preserve">שם </w:t>
      </w:r>
      <w:r>
        <w:rPr>
          <w:rtl/>
        </w:rPr>
        <w:t xml:space="preserve">בהסכמה </w:t>
      </w:r>
      <w:r>
        <w:rPr>
          <w:rFonts w:hint="cs"/>
          <w:rtl/>
        </w:rPr>
        <w:t>מ</w:t>
      </w:r>
      <w:r>
        <w:rPr>
          <w:rtl/>
        </w:rPr>
        <w:t xml:space="preserve">פסק הדין בעניין </w:t>
      </w:r>
      <w:r>
        <w:rPr>
          <w:rFonts w:ascii="Century" w:hAnsi="Century" w:cs="Miriam"/>
          <w:b/>
          <w:spacing w:val="0"/>
          <w:sz w:val="22"/>
          <w:szCs w:val="24"/>
          <w:rtl/>
        </w:rPr>
        <w:t>זיו</w:t>
      </w:r>
      <w:r>
        <w:rPr>
          <w:rtl/>
        </w:rPr>
        <w:t xml:space="preserve">, </w:t>
      </w:r>
      <w:r>
        <w:rPr>
          <w:rFonts w:hint="cs"/>
          <w:rtl/>
        </w:rPr>
        <w:t>על כך ש</w:t>
      </w:r>
      <w:r>
        <w:rPr>
          <w:rtl/>
        </w:rPr>
        <w:t>הכרז</w:t>
      </w:r>
      <w:r>
        <w:rPr>
          <w:rFonts w:hint="cs"/>
          <w:rtl/>
        </w:rPr>
        <w:t xml:space="preserve">ת </w:t>
      </w:r>
      <w:r>
        <w:rPr>
          <w:rtl/>
        </w:rPr>
        <w:t>ה</w:t>
      </w:r>
      <w:r>
        <w:rPr>
          <w:rFonts w:hint="cs"/>
          <w:rtl/>
        </w:rPr>
        <w:t xml:space="preserve">עצמאות </w:t>
      </w:r>
      <w:r>
        <w:rPr>
          <w:rtl/>
        </w:rPr>
        <w:t>–</w:t>
      </w:r>
      <w:r>
        <w:rPr>
          <w:rFonts w:hint="cs"/>
          <w:rtl/>
        </w:rPr>
        <w:t xml:space="preserve"> </w:t>
      </w:r>
      <w:r>
        <w:rPr>
          <w:rFonts w:ascii="Century" w:hAnsi="Century" w:cs="Miriam"/>
          <w:b/>
          <w:spacing w:val="0"/>
          <w:sz w:val="22"/>
          <w:szCs w:val="24"/>
          <w:rtl/>
        </w:rPr>
        <w:t>"אין בה משום חוק קונסטיטוציוני הפוסק הלכה למעשה בדבר קיום פקודות וחוקים שונים או ביטולם"</w:t>
      </w:r>
      <w:r>
        <w:rPr>
          <w:rtl/>
        </w:rPr>
        <w:t>.</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 xml:space="preserve">הנשיא </w:t>
      </w:r>
      <w:r>
        <w:rPr>
          <w:rFonts w:ascii="Century" w:hAnsi="Century" w:cs="Miriam"/>
          <w:b/>
          <w:spacing w:val="0"/>
          <w:sz w:val="22"/>
          <w:szCs w:val="24"/>
          <w:rtl/>
        </w:rPr>
        <w:t>אגרנט</w:t>
      </w:r>
      <w:r>
        <w:rPr>
          <w:rtl/>
        </w:rPr>
        <w:t xml:space="preserve">, חזר </w:t>
      </w:r>
      <w:r>
        <w:rPr>
          <w:rFonts w:hint="cs"/>
          <w:rtl/>
        </w:rPr>
        <w:t>וביטא</w:t>
      </w:r>
      <w:r>
        <w:rPr>
          <w:rtl/>
        </w:rPr>
        <w:t xml:space="preserve"> את מחו</w:t>
      </w:r>
      <w:r>
        <w:rPr>
          <w:rFonts w:hint="cs"/>
          <w:rtl/>
        </w:rPr>
        <w:t>י</w:t>
      </w:r>
      <w:r>
        <w:rPr>
          <w:rtl/>
        </w:rPr>
        <w:t xml:space="preserve">יבותו העמוקה לעיקרון-העל הדמוקרטי, בדבר עליונותו של המחוקק. כך למשל, בפסק הדין בבג"ץ 148/73 </w:t>
      </w:r>
      <w:r>
        <w:rPr>
          <w:rFonts w:ascii="Century" w:hAnsi="Century" w:cs="Miriam"/>
          <w:b/>
          <w:spacing w:val="0"/>
          <w:sz w:val="22"/>
          <w:szCs w:val="24"/>
          <w:rtl/>
        </w:rPr>
        <w:t>קניאל נ' שר המשפטים</w:t>
      </w:r>
      <w:r>
        <w:rPr>
          <w:rtl/>
        </w:rPr>
        <w:t xml:space="preserve">, פ"ד כז(1) 794, 797 (1973) (להלן: </w:t>
      </w:r>
      <w:r>
        <w:rPr>
          <w:rFonts w:ascii="Century" w:hAnsi="Century" w:cs="Miriam"/>
          <w:b/>
          <w:spacing w:val="0"/>
          <w:sz w:val="22"/>
          <w:szCs w:val="24"/>
          <w:rtl/>
        </w:rPr>
        <w:t>עניין קניאל</w:t>
      </w:r>
      <w:r>
        <w:rPr>
          <w:rtl/>
        </w:rPr>
        <w:t>), שנכתב על</w:t>
      </w:r>
      <w:r>
        <w:rPr>
          <w:rFonts w:hint="cs"/>
          <w:rtl/>
        </w:rPr>
        <w:t>-</w:t>
      </w:r>
      <w:r>
        <w:rPr>
          <w:rtl/>
        </w:rPr>
        <w:t xml:space="preserve">ידי ההרכב שבראשו ישב הנשיא </w:t>
      </w:r>
      <w:r>
        <w:rPr>
          <w:rFonts w:ascii="Century" w:hAnsi="Century" w:cs="Miriam" w:hint="cs"/>
          <w:b/>
          <w:spacing w:val="0"/>
          <w:sz w:val="22"/>
          <w:szCs w:val="24"/>
          <w:rtl/>
        </w:rPr>
        <w:t>אגרנט</w:t>
      </w:r>
      <w:r>
        <w:rPr>
          <w:rtl/>
        </w:rPr>
        <w:t>, נאמר כ</w:t>
      </w:r>
      <w:r>
        <w:rPr>
          <w:rFonts w:hint="cs"/>
          <w:rtl/>
        </w:rPr>
        <w:t>ך:</w:t>
      </w:r>
      <w:r>
        <w:rPr>
          <w:rtl/>
        </w:rPr>
        <w:t xml:space="preserve"> </w:t>
      </w:r>
      <w:r>
        <w:rPr>
          <w:rFonts w:ascii="Century" w:hAnsi="Century" w:cs="Miriam"/>
          <w:b/>
          <w:spacing w:val="0"/>
          <w:sz w:val="22"/>
          <w:szCs w:val="24"/>
          <w:rtl/>
        </w:rPr>
        <w:t xml:space="preserve">"החוק החדש נתקבל כדין ולא נוכל איפוא להרהר אחריו, כי במשטר החוקתי שלנו דין הכנסת כרשות המחוקקת הוא דין, </w:t>
      </w:r>
      <w:r>
        <w:rPr>
          <w:rFonts w:ascii="Century" w:hAnsi="Century" w:cs="Miriam"/>
          <w:b/>
          <w:spacing w:val="0"/>
          <w:sz w:val="22"/>
          <w:szCs w:val="24"/>
          <w:u w:val="single"/>
          <w:rtl/>
        </w:rPr>
        <w:t>ועל בית-המשפט לפרש את הדין ולהפעילו, ולא לבטלו או לשנותו</w:t>
      </w:r>
      <w:r>
        <w:rPr>
          <w:rFonts w:ascii="Century" w:hAnsi="Century" w:cs="Miriam"/>
          <w:b/>
          <w:spacing w:val="0"/>
          <w:sz w:val="22"/>
          <w:szCs w:val="24"/>
          <w:rtl/>
        </w:rPr>
        <w:t>, כפי שבא-כוח העותר ביקש מא</w:t>
      </w:r>
      <w:r>
        <w:rPr>
          <w:rFonts w:ascii="Century" w:hAnsi="Century" w:cs="Miriam" w:hint="cs"/>
          <w:b/>
          <w:spacing w:val="0"/>
          <w:sz w:val="22"/>
          <w:szCs w:val="24"/>
          <w:rtl/>
        </w:rPr>
        <w:t>י</w:t>
      </w:r>
      <w:r>
        <w:rPr>
          <w:rFonts w:ascii="Century" w:hAnsi="Century" w:cs="Miriam"/>
          <w:b/>
          <w:spacing w:val="0"/>
          <w:sz w:val="22"/>
          <w:szCs w:val="24"/>
          <w:rtl/>
        </w:rPr>
        <w:t>תנו בטענותיו הכלליות על אי-הצדק הטמון בחוק החדש. 'הכנסת היא ריבונית בחקיקת חוקים. היא חפשית בבחירת הנושא לכל חוק ובקביעת ת</w:t>
      </w:r>
      <w:r>
        <w:rPr>
          <w:rFonts w:ascii="Century" w:hAnsi="Century" w:cs="Miriam" w:hint="cs"/>
          <w:b/>
          <w:spacing w:val="0"/>
          <w:sz w:val="22"/>
          <w:szCs w:val="24"/>
          <w:rtl/>
        </w:rPr>
        <w:t>ו</w:t>
      </w:r>
      <w:r>
        <w:rPr>
          <w:rFonts w:ascii="Century" w:hAnsi="Century" w:cs="Miriam"/>
          <w:b/>
          <w:spacing w:val="0"/>
          <w:sz w:val="22"/>
          <w:szCs w:val="24"/>
          <w:rtl/>
        </w:rPr>
        <w:t>כנו, וכל חוק היוצא מבית היוצר שלה יש לתת לו ולכל חלק שבו תוקף' [...]</w:t>
      </w:r>
      <w:r w:rsidRPr="00D34858">
        <w:rPr>
          <w:rFonts w:ascii="Century" w:hAnsi="Century" w:cs="Miriam"/>
          <w:b/>
          <w:spacing w:val="0"/>
          <w:sz w:val="22"/>
          <w:szCs w:val="24"/>
          <w:rtl/>
        </w:rPr>
        <w:t>"</w:t>
      </w:r>
      <w:r>
        <w:rPr>
          <w:rtl/>
        </w:rPr>
        <w:t>.</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 xml:space="preserve">כך גם למדנו </w:t>
      </w:r>
      <w:r>
        <w:rPr>
          <w:rFonts w:hint="cs"/>
          <w:rtl/>
        </w:rPr>
        <w:t xml:space="preserve">ושנינו </w:t>
      </w:r>
      <w:r>
        <w:rPr>
          <w:rtl/>
        </w:rPr>
        <w:t xml:space="preserve">בבג"ץ 98/69 </w:t>
      </w:r>
      <w:r>
        <w:rPr>
          <w:rFonts w:ascii="Century" w:hAnsi="Century" w:cs="Miriam"/>
          <w:b/>
          <w:spacing w:val="0"/>
          <w:sz w:val="22"/>
          <w:szCs w:val="24"/>
          <w:rtl/>
        </w:rPr>
        <w:t>ברגמן נ' שר האוצר</w:t>
      </w:r>
      <w:r>
        <w:rPr>
          <w:rtl/>
        </w:rPr>
        <w:t xml:space="preserve">, </w:t>
      </w:r>
      <w:r>
        <w:rPr>
          <w:rFonts w:hint="cs"/>
          <w:rtl/>
        </w:rPr>
        <w:t xml:space="preserve">פ"ד </w:t>
      </w:r>
      <w:r>
        <w:rPr>
          <w:rtl/>
        </w:rPr>
        <w:t xml:space="preserve">כג(1) 693, 701 (1969) (להלן: </w:t>
      </w:r>
      <w:r>
        <w:rPr>
          <w:rFonts w:ascii="Century" w:hAnsi="Century" w:cs="Miriam"/>
          <w:b/>
          <w:spacing w:val="0"/>
          <w:sz w:val="22"/>
          <w:szCs w:val="24"/>
          <w:rtl/>
        </w:rPr>
        <w:t>עניין ברגמן</w:t>
      </w:r>
      <w:r>
        <w:rPr>
          <w:rtl/>
        </w:rPr>
        <w:t xml:space="preserve">). פסק הדין זכור </w:t>
      </w:r>
      <w:r>
        <w:rPr>
          <w:rFonts w:hint="cs"/>
          <w:rtl/>
        </w:rPr>
        <w:t xml:space="preserve">היטב, משום </w:t>
      </w:r>
      <w:r>
        <w:rPr>
          <w:rtl/>
        </w:rPr>
        <w:t>שבו בוטל בפעם הראשונה חוק ראשי של הכנסת. זאת, בשל הפרה של עיקרון השוויון בבחירות לכנסת, ה</w:t>
      </w:r>
      <w:r>
        <w:rPr>
          <w:rFonts w:hint="cs"/>
          <w:rtl/>
        </w:rPr>
        <w:t>מעוגן</w:t>
      </w:r>
      <w:r>
        <w:rPr>
          <w:rtl/>
        </w:rPr>
        <w:t xml:space="preserve"> בסעיף 4 לחוק-יסוד: הכנסת. סעיף זה 'משוריין', כך שלא ניתן לשנותו אלא ברוב של 61 חברי כנסת, ואילו החוק שבוטל לא התקבל ברוב הדרוש. עם זאת, חשוב לזכור, כי פסק הדין שניתן פה</w:t>
      </w:r>
      <w:r>
        <w:rPr>
          <w:rFonts w:hint="cs"/>
          <w:rtl/>
        </w:rPr>
        <w:t xml:space="preserve"> </w:t>
      </w:r>
      <w:r>
        <w:rPr>
          <w:rtl/>
        </w:rPr>
        <w:t xml:space="preserve">אחד, בהרכב מורחב בראשות הנשיא </w:t>
      </w:r>
      <w:r>
        <w:rPr>
          <w:rFonts w:ascii="Century" w:hAnsi="Century" w:cs="Miriam" w:hint="cs"/>
          <w:b/>
          <w:spacing w:val="0"/>
          <w:sz w:val="22"/>
          <w:szCs w:val="24"/>
          <w:rtl/>
        </w:rPr>
        <w:t xml:space="preserve">ש' </w:t>
      </w:r>
      <w:r>
        <w:rPr>
          <w:rFonts w:ascii="Century" w:hAnsi="Century" w:cs="Miriam"/>
          <w:b/>
          <w:spacing w:val="0"/>
          <w:sz w:val="22"/>
          <w:szCs w:val="24"/>
          <w:rtl/>
        </w:rPr>
        <w:t>אגרנט</w:t>
      </w:r>
      <w:r>
        <w:rPr>
          <w:rtl/>
        </w:rPr>
        <w:t xml:space="preserve">, יחד עם חבריו השופטים </w:t>
      </w:r>
      <w:r>
        <w:rPr>
          <w:rFonts w:ascii="Century" w:hAnsi="Century" w:cs="Miriam"/>
          <w:b/>
          <w:spacing w:val="0"/>
          <w:sz w:val="22"/>
          <w:szCs w:val="24"/>
          <w:rtl/>
        </w:rPr>
        <w:t>י' זוסמן</w:t>
      </w:r>
      <w:r>
        <w:rPr>
          <w:rtl/>
        </w:rPr>
        <w:t xml:space="preserve">, </w:t>
      </w:r>
      <w:r>
        <w:rPr>
          <w:rFonts w:ascii="Century" w:hAnsi="Century" w:cs="Miriam"/>
          <w:b/>
          <w:spacing w:val="0"/>
          <w:sz w:val="22"/>
          <w:szCs w:val="24"/>
          <w:rtl/>
        </w:rPr>
        <w:t>מ' לנדוי</w:t>
      </w:r>
      <w:r>
        <w:rPr>
          <w:rtl/>
        </w:rPr>
        <w:t xml:space="preserve">, </w:t>
      </w:r>
      <w:r>
        <w:rPr>
          <w:rFonts w:ascii="Century" w:hAnsi="Century" w:cs="Miriam"/>
          <w:b/>
          <w:spacing w:val="0"/>
          <w:sz w:val="22"/>
          <w:szCs w:val="24"/>
          <w:rtl/>
        </w:rPr>
        <w:t>צ' ברנזון</w:t>
      </w:r>
      <w:r>
        <w:rPr>
          <w:rtl/>
        </w:rPr>
        <w:t xml:space="preserve"> ו-</w:t>
      </w:r>
      <w:r>
        <w:rPr>
          <w:rFonts w:ascii="Century" w:hAnsi="Century" w:cs="Miriam"/>
          <w:b/>
          <w:spacing w:val="0"/>
          <w:sz w:val="22"/>
          <w:szCs w:val="24"/>
          <w:rtl/>
        </w:rPr>
        <w:t>א' מני</w:t>
      </w:r>
      <w:r>
        <w:rPr>
          <w:rtl/>
        </w:rPr>
        <w:t xml:space="preserve"> קובע, כי </w:t>
      </w:r>
      <w:r>
        <w:rPr>
          <w:rFonts w:hint="cs"/>
          <w:rtl/>
        </w:rPr>
        <w:t>חר</w:t>
      </w:r>
      <w:r>
        <w:rPr>
          <w:rtl/>
        </w:rPr>
        <w:t xml:space="preserve">ף הפגיעה בעיקרון השוויון, הרי שהכנסת </w:t>
      </w:r>
      <w:r>
        <w:rPr>
          <w:rtl/>
        </w:rPr>
        <w:lastRenderedPageBreak/>
        <w:t xml:space="preserve">רשאית </w:t>
      </w:r>
      <w:r>
        <w:rPr>
          <w:rFonts w:hint="cs"/>
          <w:rtl/>
        </w:rPr>
        <w:t>לשוב ו</w:t>
      </w:r>
      <w:r>
        <w:rPr>
          <w:rtl/>
        </w:rPr>
        <w:t xml:space="preserve">לחוקק את החוק, כל עוד יחוקק ברוב המינימלי הנדרש: </w:t>
      </w:r>
      <w:r>
        <w:rPr>
          <w:rFonts w:ascii="Century" w:hAnsi="Century" w:cs="Miriam"/>
          <w:b/>
          <w:spacing w:val="0"/>
          <w:sz w:val="22"/>
          <w:szCs w:val="24"/>
          <w:rtl/>
        </w:rPr>
        <w:t>"יוצא איפוא שהכנסת יכולה לעשות אחת משתיים: היא יכולה לחזור ולחוקק את הוראות המימון שבחוק המימון, למרות חוסר השוויון שבהן, אם יימצא להן הרוב הדרוש לפי הסעיפים 4, ו-46 של חוק היסוד; או שהיא יכולה לתקנו כדי להסיר את חוסר השוויון, והצבענו לעיל על דרך אפשרית בה ניתן לעשות זאת"</w:t>
      </w:r>
      <w:r>
        <w:rPr>
          <w:rtl/>
        </w:rPr>
        <w:t xml:space="preserve">. </w:t>
      </w:r>
      <w:r>
        <w:rPr>
          <w:rFonts w:hint="cs"/>
          <w:rtl/>
        </w:rPr>
        <w:t xml:space="preserve">הרי לנו </w:t>
      </w:r>
      <w:r>
        <w:rPr>
          <w:rtl/>
        </w:rPr>
        <w:t>תפיסה דמוקרטית שורשית, המכירה בכך שסמכותה של הכנסת לחוקק חוקים – בלתי מוגבלת, גם אם א</w:t>
      </w:r>
      <w:r>
        <w:rPr>
          <w:rFonts w:hint="cs"/>
          <w:rtl/>
        </w:rPr>
        <w:t>ֵ</w:t>
      </w:r>
      <w:r>
        <w:rPr>
          <w:rtl/>
        </w:rPr>
        <w:t>לו פוגעים בעיקרון השוויון.</w:t>
      </w:r>
    </w:p>
    <w:p w:rsidR="00EB02E1" w:rsidRDefault="00EB02E1" w:rsidP="00EB02E1">
      <w:pPr>
        <w:pStyle w:val="Ruller41"/>
        <w:rPr>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t xml:space="preserve">השופט </w:t>
      </w:r>
      <w:r>
        <w:rPr>
          <w:rFonts w:ascii="Century" w:hAnsi="Century" w:cs="Miriam" w:hint="cs"/>
          <w:b/>
          <w:spacing w:val="0"/>
          <w:szCs w:val="24"/>
          <w:rtl/>
        </w:rPr>
        <w:t xml:space="preserve">מ' </w:t>
      </w:r>
      <w:r>
        <w:rPr>
          <w:rFonts w:ascii="Century" w:hAnsi="Century" w:cs="Miriam"/>
          <w:b/>
          <w:spacing w:val="0"/>
          <w:szCs w:val="24"/>
          <w:rtl/>
        </w:rPr>
        <w:t>זילברג</w:t>
      </w:r>
    </w:p>
    <w:p w:rsidR="00EB02E1" w:rsidRDefault="00EB02E1" w:rsidP="00EB02E1">
      <w:pPr>
        <w:pStyle w:val="Ruller4"/>
        <w:textAlignment w:val="auto"/>
      </w:pPr>
      <w:r>
        <w:rPr>
          <w:rtl/>
        </w:rPr>
        <w:t xml:space="preserve">דעתו של השופט </w:t>
      </w:r>
      <w:r>
        <w:rPr>
          <w:rFonts w:ascii="Century" w:hAnsi="Century" w:cs="Miriam"/>
          <w:b/>
          <w:spacing w:val="0"/>
          <w:sz w:val="22"/>
          <w:szCs w:val="24"/>
          <w:rtl/>
        </w:rPr>
        <w:t>מ' זילברג</w:t>
      </w:r>
      <w:r>
        <w:rPr>
          <w:rtl/>
        </w:rPr>
        <w:t xml:space="preserve">, אף היא אינה משתמעת לשני פנים. בד"נ 3/62 </w:t>
      </w:r>
      <w:r>
        <w:rPr>
          <w:rFonts w:ascii="Century" w:hAnsi="Century" w:cs="Miriam"/>
          <w:b/>
          <w:spacing w:val="0"/>
          <w:sz w:val="22"/>
          <w:szCs w:val="24"/>
          <w:rtl/>
        </w:rPr>
        <w:t>שר-הפנים נ' מוסא</w:t>
      </w:r>
      <w:r>
        <w:rPr>
          <w:rtl/>
        </w:rPr>
        <w:t xml:space="preserve">, פ"ד טז 2467, 2471-2470 (1962), כתב השופט </w:t>
      </w:r>
      <w:r>
        <w:rPr>
          <w:rFonts w:ascii="Century" w:hAnsi="Century" w:cs="Miriam"/>
          <w:b/>
          <w:spacing w:val="0"/>
          <w:sz w:val="22"/>
          <w:szCs w:val="24"/>
          <w:rtl/>
        </w:rPr>
        <w:t>זילברג</w:t>
      </w:r>
      <w:r>
        <w:rPr>
          <w:rtl/>
        </w:rPr>
        <w:t xml:space="preserve"> כדברים האלה: </w:t>
      </w:r>
      <w:r>
        <w:rPr>
          <w:rFonts w:ascii="Century" w:hAnsi="Century" w:cs="Miriam"/>
          <w:b/>
          <w:spacing w:val="0"/>
          <w:sz w:val="22"/>
          <w:szCs w:val="24"/>
          <w:rtl/>
        </w:rPr>
        <w:t xml:space="preserve">"השאלה שניסרה בחלל בית-המשפט מבעד, או מאחורי, הדיון הנוסף הנוכחי, היא; מה יעשה השופט ולא יחטא, בעמדו מול הוראת-חוק הגוררת אחריה תוצאה קיצונית, אשר לדעתו </w:t>
      </w:r>
      <w:r>
        <w:rPr>
          <w:rFonts w:ascii="Century" w:hAnsi="Century"/>
          <w:sz w:val="22"/>
          <w:rtl/>
        </w:rPr>
        <w:t>–</w:t>
      </w:r>
      <w:r>
        <w:rPr>
          <w:rFonts w:ascii="Century" w:hAnsi="Century" w:cs="Miriam"/>
          <w:b/>
          <w:spacing w:val="0"/>
          <w:sz w:val="22"/>
          <w:szCs w:val="24"/>
          <w:rtl/>
        </w:rPr>
        <w:t xml:space="preserve"> אין הדעת סובלתה? המותר לו, במקרה חירום זה, לעקם את הכתוב ולהוריד את תחולת החוק עד לשיעור הרציונלי שבו </w:t>
      </w:r>
      <w:r>
        <w:rPr>
          <w:rFonts w:ascii="Century" w:hAnsi="Century"/>
          <w:sz w:val="22"/>
          <w:rtl/>
        </w:rPr>
        <w:t>–</w:t>
      </w:r>
      <w:r>
        <w:rPr>
          <w:rFonts w:ascii="Century" w:hAnsi="Century" w:cs="Miriam"/>
          <w:b/>
          <w:spacing w:val="0"/>
          <w:sz w:val="22"/>
          <w:szCs w:val="24"/>
          <w:rtl/>
        </w:rPr>
        <w:t xml:space="preserve"> רציונלי, לדעת השופט </w:t>
      </w:r>
      <w:r>
        <w:rPr>
          <w:rFonts w:ascii="Century" w:hAnsi="Century"/>
          <w:sz w:val="22"/>
          <w:rtl/>
        </w:rPr>
        <w:t>–</w:t>
      </w:r>
      <w:r>
        <w:rPr>
          <w:rFonts w:ascii="Century" w:hAnsi="Century" w:cs="Miriam"/>
          <w:b/>
          <w:spacing w:val="0"/>
          <w:sz w:val="22"/>
          <w:szCs w:val="24"/>
          <w:rtl/>
        </w:rPr>
        <w:t xml:space="preserve"> או דילמא חייב הוא לומר: 'יבוא בעל הכרם ויכלה את קוציו', אף עד שלא עשה כן, חייב אני להחיל את החוק כמות שהוא, ללא כל גירוע או ייתור?</w:t>
      </w:r>
    </w:p>
    <w:p w:rsidR="00EB02E1" w:rsidRDefault="00EB02E1" w:rsidP="00EB02E1">
      <w:pPr>
        <w:pStyle w:val="Ruller41"/>
        <w:spacing w:line="240" w:lineRule="auto"/>
        <w:rPr>
          <w:rtl/>
        </w:rPr>
      </w:pPr>
    </w:p>
    <w:p w:rsidR="00EB02E1" w:rsidRDefault="00EB02E1" w:rsidP="00EB02E1">
      <w:pPr>
        <w:pStyle w:val="Ruller4"/>
        <w:numPr>
          <w:ilvl w:val="0"/>
          <w:numId w:val="0"/>
        </w:numPr>
        <w:rPr>
          <w:rtl/>
        </w:rPr>
      </w:pPr>
      <w:r>
        <w:rPr>
          <w:rFonts w:ascii="Century" w:hAnsi="Century" w:cs="Miriam"/>
          <w:b/>
          <w:spacing w:val="0"/>
          <w:sz w:val="22"/>
          <w:szCs w:val="24"/>
          <w:rtl/>
        </w:rPr>
        <w:tab/>
        <w:t xml:space="preserve">בעיני ברור הדבר, כי מן הדין והחובה הוא ללכת בדרך השניה. לא באתי לכפור חלילה בסמכותו הפרשנית של השופט. ודאי! כאשר משמעותו של החוק אינה ברורה, או שלשונו משתמעת לשתי פנים ויותר, מותר לו, ואף חייב הוא, להיכנס לפנים מן הקלעים, ולתור אחרי כל נקודת אחיזה </w:t>
      </w:r>
      <w:r>
        <w:rPr>
          <w:rFonts w:ascii="Century" w:hAnsi="Century"/>
          <w:sz w:val="22"/>
          <w:rtl/>
        </w:rPr>
        <w:t>–</w:t>
      </w:r>
      <w:r>
        <w:rPr>
          <w:rFonts w:ascii="Century" w:hAnsi="Century" w:cs="Miriam"/>
          <w:b/>
          <w:spacing w:val="0"/>
          <w:sz w:val="22"/>
          <w:szCs w:val="24"/>
          <w:rtl/>
        </w:rPr>
        <w:t xml:space="preserve"> משפטית, היסטורית, כלכלית, בטחונית, בלשנית וכד׳ שיש בה כדי לגלות או להצביע על רצונו הכמוס של המחוקק. ברם, אם לאחר כל אותה חקירה-ודרישה מגיע השופט לידי מסקנה, כי אכן זו היא, זו ולא אחרת, כוונתו של המחוקק, אזי אף השיקול ההגיוני ביותר אינו משמש לו היתר לעבור על החוק. </w:t>
      </w:r>
      <w:r>
        <w:rPr>
          <w:rFonts w:ascii="Century" w:hAnsi="Century" w:cs="Miriam"/>
          <w:b/>
          <w:spacing w:val="0"/>
          <w:sz w:val="22"/>
          <w:szCs w:val="24"/>
          <w:u w:val="single"/>
          <w:rtl/>
        </w:rPr>
        <w:t xml:space="preserve">שאם לא ינהג כן </w:t>
      </w:r>
      <w:r>
        <w:rPr>
          <w:rFonts w:ascii="Century" w:hAnsi="Century"/>
          <w:sz w:val="22"/>
          <w:u w:val="single"/>
          <w:rtl/>
        </w:rPr>
        <w:t>–</w:t>
      </w:r>
      <w:r>
        <w:rPr>
          <w:rFonts w:ascii="Century" w:hAnsi="Century" w:cs="Miriam"/>
          <w:b/>
          <w:spacing w:val="0"/>
          <w:sz w:val="22"/>
          <w:szCs w:val="24"/>
          <w:u w:val="single"/>
          <w:rtl/>
        </w:rPr>
        <w:t xml:space="preserve"> עשויה הזרוע השיפוטית של המדינה להתנשא על הזרוע המחוקקת שלה, ולערער את ש</w:t>
      </w:r>
      <w:r>
        <w:rPr>
          <w:rFonts w:ascii="Century" w:hAnsi="Century" w:cs="Miriam" w:hint="cs"/>
          <w:b/>
          <w:spacing w:val="0"/>
          <w:sz w:val="22"/>
          <w:szCs w:val="24"/>
          <w:u w:val="single"/>
          <w:rtl/>
        </w:rPr>
        <w:t>י</w:t>
      </w:r>
      <w:r>
        <w:rPr>
          <w:rFonts w:ascii="Century" w:hAnsi="Century" w:cs="Miriam"/>
          <w:b/>
          <w:spacing w:val="0"/>
          <w:sz w:val="22"/>
          <w:szCs w:val="24"/>
          <w:u w:val="single"/>
          <w:rtl/>
        </w:rPr>
        <w:t>ווי המשקל של השילוש הקיים בכל מדינה דמוקרטית, נאורה, עקב חלוקת הרשויות</w:t>
      </w:r>
      <w:r>
        <w:rPr>
          <w:rFonts w:ascii="Century" w:hAnsi="Century" w:cs="Miriam"/>
          <w:b/>
          <w:spacing w:val="0"/>
          <w:sz w:val="22"/>
          <w:szCs w:val="24"/>
          <w:rtl/>
        </w:rPr>
        <w:t xml:space="preserve">. ואף גם זאת: בל נשכח, כי תורת המשפט וחוקיה אינם ממדעי הטבע המדויקים, בהם האינטלקט הוא הקובע בלעדית מה היא המציאות הנכונה. בתחום המשפט, המצוי הוא תולדה של הרצוי; והרצוי אף הוא איננו יתום! הוא מוסב ומונע ומודרך על-ידי שיקולים תועלתיים, היינו: ההגנה על אינטרסים, שהחברה, בצדק או שלא בצדק, חפצה ביקרם. ואם השופט יורשה לבכר את 'הרצוי' הפרטי שלו על פני 'הרצוי' של המחוקק, אזי יקיץ הקץ על נייטרליותם, העדר-פנייתם ועל-מפלגתיותם של שופטי המדינה. הדין ייהפך אז ל'פונקציה' של הדיין, זאת אומרת: החלטותיו השיפוטיות תהיינה פועל-יוצא ומסובב של ההשקפות האישיות-פרטיות שיש לו, לאותו שופט, באשר הוא אזרח, בעניני משטר, מעמד, פוליטיקה, מוסר, תרבות, חינוך וכל כיוצא בזה. </w:t>
      </w:r>
      <w:r>
        <w:rPr>
          <w:rFonts w:ascii="Century" w:hAnsi="Century" w:cs="Miriam"/>
          <w:b/>
          <w:spacing w:val="0"/>
          <w:sz w:val="22"/>
          <w:szCs w:val="24"/>
          <w:u w:val="single"/>
          <w:rtl/>
        </w:rPr>
        <w:t>קיימת רק ערובה אחת לטוהר שיפוטו של השופט, והיא: כניעתו הגמורה לרצונו הברור של החוק</w:t>
      </w:r>
      <w:r>
        <w:rPr>
          <w:rFonts w:ascii="Century" w:hAnsi="Century" w:cs="Miriam"/>
          <w:b/>
          <w:spacing w:val="0"/>
          <w:sz w:val="22"/>
          <w:szCs w:val="24"/>
          <w:rtl/>
        </w:rPr>
        <w:t>"</w:t>
      </w:r>
      <w:r>
        <w:rPr>
          <w:rtl/>
        </w:rPr>
        <w:t>.</w:t>
      </w:r>
      <w:r>
        <w:rPr>
          <w:rFonts w:hint="cs"/>
          <w:rtl/>
        </w:rPr>
        <w:t xml:space="preserve"> דברי השופט</w:t>
      </w:r>
      <w:r>
        <w:rPr>
          <w:rFonts w:ascii="Century" w:hAnsi="Century" w:cs="Miriam" w:hint="cs"/>
          <w:b/>
          <w:spacing w:val="0"/>
          <w:szCs w:val="24"/>
          <w:rtl/>
        </w:rPr>
        <w:t xml:space="preserve"> </w:t>
      </w:r>
      <w:r>
        <w:rPr>
          <w:rFonts w:ascii="Century" w:hAnsi="Century" w:cs="Miriam"/>
          <w:b/>
          <w:spacing w:val="0"/>
          <w:szCs w:val="24"/>
          <w:rtl/>
        </w:rPr>
        <w:t>זילברג</w:t>
      </w:r>
      <w:r>
        <w:rPr>
          <w:rFonts w:hint="cs"/>
          <w:rtl/>
        </w:rPr>
        <w:t xml:space="preserve"> מבטאים היטב את השקפתי; זהו הֶגְיוֹן לִבִּי.</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 xml:space="preserve">השופט </w:t>
      </w:r>
      <w:r>
        <w:rPr>
          <w:rFonts w:ascii="Century" w:hAnsi="Century" w:cs="Miriam"/>
          <w:b/>
          <w:spacing w:val="0"/>
          <w:sz w:val="22"/>
          <w:szCs w:val="24"/>
          <w:rtl/>
        </w:rPr>
        <w:t>זילברג</w:t>
      </w:r>
      <w:r>
        <w:rPr>
          <w:rtl/>
        </w:rPr>
        <w:t xml:space="preserve"> אינו מסתפק בהצהרה כי </w:t>
      </w:r>
      <w:r w:rsidRPr="009D07F6">
        <w:rPr>
          <w:rFonts w:ascii="Century" w:hAnsi="Century" w:cs="Miriam"/>
          <w:b/>
          <w:spacing w:val="0"/>
          <w:sz w:val="22"/>
          <w:szCs w:val="24"/>
          <w:rtl/>
        </w:rPr>
        <w:t>הדין המצוי</w:t>
      </w:r>
      <w:r w:rsidRPr="009D07F6">
        <w:rPr>
          <w:rtl/>
        </w:rPr>
        <w:t xml:space="preserve"> </w:t>
      </w:r>
      <w:r>
        <w:rPr>
          <w:rtl/>
        </w:rPr>
        <w:t>מחייב את עליונותה המוחלטת של הנורמה התחיקתית הגבוהה, מעש</w:t>
      </w:r>
      <w:r>
        <w:rPr>
          <w:rFonts w:hint="cs"/>
          <w:rtl/>
        </w:rPr>
        <w:t>ה-י</w:t>
      </w:r>
      <w:r>
        <w:rPr>
          <w:rtl/>
        </w:rPr>
        <w:t xml:space="preserve">דיה של כנסת ישראל. בדומה לנשיא </w:t>
      </w:r>
      <w:r>
        <w:rPr>
          <w:rFonts w:ascii="Century" w:hAnsi="Century" w:cs="Miriam"/>
          <w:b/>
          <w:spacing w:val="0"/>
          <w:sz w:val="22"/>
          <w:szCs w:val="24"/>
          <w:rtl/>
        </w:rPr>
        <w:t>זמורה</w:t>
      </w:r>
      <w:r>
        <w:rPr>
          <w:rtl/>
        </w:rPr>
        <w:t xml:space="preserve">, מדגיש השופט </w:t>
      </w:r>
      <w:r>
        <w:rPr>
          <w:rFonts w:ascii="Century" w:hAnsi="Century" w:cs="Miriam"/>
          <w:b/>
          <w:spacing w:val="0"/>
          <w:sz w:val="22"/>
          <w:szCs w:val="24"/>
          <w:rtl/>
        </w:rPr>
        <w:t>זילברג</w:t>
      </w:r>
      <w:r>
        <w:rPr>
          <w:rtl/>
        </w:rPr>
        <w:t xml:space="preserve"> כי זהו אף </w:t>
      </w:r>
      <w:r w:rsidRPr="009D07F6">
        <w:rPr>
          <w:rFonts w:ascii="Century" w:hAnsi="Century" w:cs="Miriam"/>
          <w:b/>
          <w:spacing w:val="0"/>
          <w:sz w:val="22"/>
          <w:szCs w:val="24"/>
          <w:rtl/>
        </w:rPr>
        <w:t>הדין הרצוי</w:t>
      </w:r>
      <w:r>
        <w:rPr>
          <w:rtl/>
        </w:rPr>
        <w:t xml:space="preserve">. אם ברצוננו לשמור על הפרדת הרשויות, ועל </w:t>
      </w:r>
      <w:r>
        <w:rPr>
          <w:rFonts w:ascii="Century" w:hAnsi="Century" w:cs="Miriam"/>
          <w:b/>
          <w:spacing w:val="0"/>
          <w:sz w:val="22"/>
          <w:szCs w:val="24"/>
          <w:rtl/>
        </w:rPr>
        <w:t>"טוהר שיפוטו של השופט"</w:t>
      </w:r>
      <w:r>
        <w:rPr>
          <w:rtl/>
        </w:rPr>
        <w:t xml:space="preserve">, עלינו להכיר </w:t>
      </w:r>
      <w:r>
        <w:rPr>
          <w:rFonts w:hint="cs"/>
          <w:rtl/>
        </w:rPr>
        <w:t xml:space="preserve">נכוחה </w:t>
      </w:r>
      <w:r>
        <w:rPr>
          <w:rtl/>
        </w:rPr>
        <w:t>את מקומנו במארג החוקתי, ולא לנסות 'לספח שטחים' שאינם בסמכותנו</w:t>
      </w:r>
      <w:r>
        <w:rPr>
          <w:rFonts w:hint="cs"/>
          <w:rtl/>
        </w:rPr>
        <w:t xml:space="preserve">. </w:t>
      </w:r>
      <w:r>
        <w:rPr>
          <w:rtl/>
        </w:rPr>
        <w:t xml:space="preserve"> </w:t>
      </w:r>
    </w:p>
    <w:p w:rsidR="00EB02E1" w:rsidRDefault="00EB02E1" w:rsidP="00EB02E1">
      <w:pPr>
        <w:pStyle w:val="Ruller41"/>
        <w:rPr>
          <w:rtl/>
        </w:rPr>
      </w:pPr>
    </w:p>
    <w:p w:rsidR="00EB02E1" w:rsidRDefault="00EB02E1" w:rsidP="00EB02E1">
      <w:pPr>
        <w:pStyle w:val="Ruller4"/>
        <w:numPr>
          <w:ilvl w:val="0"/>
          <w:numId w:val="0"/>
        </w:numPr>
        <w:rPr>
          <w:rFonts w:ascii="Century" w:hAnsi="Century" w:cs="Miriam"/>
          <w:b/>
          <w:spacing w:val="0"/>
          <w:sz w:val="22"/>
          <w:szCs w:val="24"/>
          <w:rtl/>
        </w:rPr>
      </w:pPr>
      <w:r>
        <w:rPr>
          <w:rFonts w:ascii="Century" w:hAnsi="Century" w:cs="Miriam"/>
          <w:b/>
          <w:spacing w:val="0"/>
          <w:sz w:val="22"/>
          <w:szCs w:val="24"/>
          <w:rtl/>
        </w:rPr>
        <w:t>הנשיא</w:t>
      </w:r>
      <w:r>
        <w:rPr>
          <w:rFonts w:ascii="Century" w:hAnsi="Century" w:cs="Miriam" w:hint="cs"/>
          <w:b/>
          <w:spacing w:val="0"/>
          <w:sz w:val="22"/>
          <w:szCs w:val="24"/>
          <w:rtl/>
        </w:rPr>
        <w:t xml:space="preserve"> י'</w:t>
      </w:r>
      <w:r>
        <w:rPr>
          <w:rFonts w:ascii="Century" w:hAnsi="Century" w:cs="Miriam"/>
          <w:b/>
          <w:spacing w:val="0"/>
          <w:sz w:val="22"/>
          <w:szCs w:val="24"/>
          <w:rtl/>
        </w:rPr>
        <w:t xml:space="preserve"> זוסמן</w:t>
      </w:r>
    </w:p>
    <w:p w:rsidR="00EB02E1" w:rsidRDefault="00EB02E1" w:rsidP="00EB02E1">
      <w:pPr>
        <w:pStyle w:val="Ruller4"/>
        <w:textAlignment w:val="auto"/>
        <w:rPr>
          <w:rtl/>
        </w:rPr>
      </w:pPr>
      <w:r>
        <w:rPr>
          <w:rtl/>
        </w:rPr>
        <w:t xml:space="preserve">נשיאו הרביעי של בית המשפט, הנשיא </w:t>
      </w:r>
      <w:r>
        <w:rPr>
          <w:rFonts w:ascii="Century" w:hAnsi="Century" w:cs="Miriam"/>
          <w:b/>
          <w:spacing w:val="0"/>
          <w:sz w:val="22"/>
          <w:szCs w:val="24"/>
          <w:rtl/>
        </w:rPr>
        <w:t>י' זוסמן</w:t>
      </w:r>
      <w:r>
        <w:rPr>
          <w:rtl/>
        </w:rPr>
        <w:t xml:space="preserve">, </w:t>
      </w:r>
      <w:r>
        <w:rPr>
          <w:rFonts w:hint="cs"/>
          <w:rtl/>
        </w:rPr>
        <w:t xml:space="preserve">המשיך </w:t>
      </w:r>
      <w:r>
        <w:rPr>
          <w:rtl/>
        </w:rPr>
        <w:t xml:space="preserve">אף הוא </w:t>
      </w:r>
      <w:r>
        <w:rPr>
          <w:rFonts w:hint="cs"/>
          <w:rtl/>
        </w:rPr>
        <w:t>ב</w:t>
      </w:r>
      <w:r>
        <w:rPr>
          <w:rtl/>
        </w:rPr>
        <w:t>מסורת הדמוקרטית של קודמיו. אמנם, יש מבין חסידי 'עקרונות היסוד של השיטה', המבקשים להיתלות בדבריו</w:t>
      </w:r>
      <w:r>
        <w:rPr>
          <w:rFonts w:hint="cs"/>
          <w:rtl/>
        </w:rPr>
        <w:t>, בדעת יחיד,</w:t>
      </w:r>
      <w:r>
        <w:rPr>
          <w:rtl/>
        </w:rPr>
        <w:t xml:space="preserve"> בע"ב 1/65 </w:t>
      </w:r>
      <w:r>
        <w:rPr>
          <w:rFonts w:ascii="Century" w:hAnsi="Century" w:cs="Miriam"/>
          <w:b/>
          <w:spacing w:val="0"/>
          <w:sz w:val="22"/>
          <w:szCs w:val="24"/>
          <w:rtl/>
        </w:rPr>
        <w:t>ירדור נ' יושב ראש ועדת הבחירות המרכזית לכנסת הששית</w:t>
      </w:r>
      <w:r>
        <w:rPr>
          <w:rtl/>
        </w:rPr>
        <w:t xml:space="preserve">, פ"ד יט(3) 365 (1964) (להלן: </w:t>
      </w:r>
      <w:r>
        <w:rPr>
          <w:rFonts w:ascii="Century" w:hAnsi="Century" w:cs="Miriam"/>
          <w:b/>
          <w:spacing w:val="0"/>
          <w:sz w:val="22"/>
          <w:szCs w:val="24"/>
          <w:rtl/>
        </w:rPr>
        <w:t>עניין ירדור</w:t>
      </w:r>
      <w:r>
        <w:rPr>
          <w:rtl/>
        </w:rPr>
        <w:t xml:space="preserve">). באותו עניין קבע הנשיא </w:t>
      </w:r>
      <w:r w:rsidRPr="009D07F6">
        <w:rPr>
          <w:rFonts w:ascii="Century" w:hAnsi="Century" w:cs="Miriam"/>
          <w:b/>
          <w:spacing w:val="0"/>
          <w:sz w:val="22"/>
          <w:szCs w:val="24"/>
          <w:rtl/>
        </w:rPr>
        <w:t>זוסמן</w:t>
      </w:r>
      <w:r>
        <w:rPr>
          <w:rtl/>
        </w:rPr>
        <w:t xml:space="preserve">, כי </w:t>
      </w:r>
      <w:r>
        <w:rPr>
          <w:rFonts w:hint="cs"/>
          <w:rtl/>
        </w:rPr>
        <w:t>חרף</w:t>
      </w:r>
      <w:r>
        <w:rPr>
          <w:rtl/>
        </w:rPr>
        <w:t xml:space="preserve"> העדר קיומו של חוק המאפשר לפסול רשימה התומכת בחיסולה של המדינה, הרי שניתן לאסור על השתתפותה בבחירות מכוח 'עקרונות שאינם כתובים עלי ספר'. עם זאת, דומני, כי עיון כולל במשנתו החוקתית של הנשיא </w:t>
      </w:r>
      <w:r>
        <w:rPr>
          <w:rFonts w:ascii="Century" w:hAnsi="Century" w:cs="Miriam"/>
          <w:b/>
          <w:spacing w:val="0"/>
          <w:sz w:val="22"/>
          <w:szCs w:val="24"/>
          <w:rtl/>
        </w:rPr>
        <w:t>זוסמן</w:t>
      </w:r>
      <w:r>
        <w:rPr>
          <w:rtl/>
        </w:rPr>
        <w:t xml:space="preserve"> – מוליך למסקנה שונה. </w:t>
      </w:r>
    </w:p>
    <w:p w:rsidR="00EB02E1" w:rsidRDefault="00EB02E1" w:rsidP="00EB02E1">
      <w:pPr>
        <w:pStyle w:val="Ruller41"/>
        <w:spacing w:line="240" w:lineRule="auto"/>
        <w:rPr>
          <w:rtl/>
        </w:rPr>
      </w:pPr>
    </w:p>
    <w:p w:rsidR="00EB02E1" w:rsidRDefault="00EB02E1" w:rsidP="00EB02E1">
      <w:pPr>
        <w:pStyle w:val="Ruller4"/>
        <w:textAlignment w:val="auto"/>
        <w:rPr>
          <w:rtl/>
        </w:rPr>
      </w:pPr>
      <w:r>
        <w:rPr>
          <w:rFonts w:hint="cs"/>
          <w:rtl/>
        </w:rPr>
        <w:t>א</w:t>
      </w:r>
      <w:r>
        <w:rPr>
          <w:rtl/>
        </w:rPr>
        <w:t xml:space="preserve">פתח בדבריו בבג"ץ 163/57 </w:t>
      </w:r>
      <w:r>
        <w:rPr>
          <w:rFonts w:ascii="Century" w:hAnsi="Century" w:cs="Miriam"/>
          <w:b/>
          <w:spacing w:val="0"/>
          <w:sz w:val="22"/>
          <w:szCs w:val="24"/>
          <w:rtl/>
        </w:rPr>
        <w:t>לובין נ' עירית תל-אביב-יפו</w:t>
      </w:r>
      <w:r>
        <w:rPr>
          <w:rtl/>
        </w:rPr>
        <w:t xml:space="preserve">, פ"ד יב 1041, 1079 (1958): </w:t>
      </w:r>
      <w:r>
        <w:rPr>
          <w:rFonts w:ascii="Century" w:hAnsi="Century" w:cs="Miriam"/>
          <w:b/>
          <w:spacing w:val="0"/>
          <w:sz w:val="22"/>
          <w:szCs w:val="24"/>
          <w:rtl/>
        </w:rPr>
        <w:t>"מדינת ישראל, נאמר במגילת העצמאות, 'מושתתת על יסודות החירות, הצדק והשלום'; מלים אלה היו מתרוקנות מת</w:t>
      </w:r>
      <w:r>
        <w:rPr>
          <w:rFonts w:ascii="Century" w:hAnsi="Century" w:cs="Miriam" w:hint="cs"/>
          <w:b/>
          <w:spacing w:val="0"/>
          <w:sz w:val="22"/>
          <w:szCs w:val="24"/>
          <w:rtl/>
        </w:rPr>
        <w:t>ו</w:t>
      </w:r>
      <w:r>
        <w:rPr>
          <w:rFonts w:ascii="Century" w:hAnsi="Century" w:cs="Miriam"/>
          <w:b/>
          <w:spacing w:val="0"/>
          <w:sz w:val="22"/>
          <w:szCs w:val="24"/>
          <w:rtl/>
        </w:rPr>
        <w:t>כנן ושלטון החוק היה מתמוטט, לולא הניחה הרשות עקרון זה נר לרגליה. אלא שרשאי המחוקק הכל-יכול להתיר את הפגיעה באזרח ללא דין וללא דיין"</w:t>
      </w:r>
      <w:r>
        <w:rPr>
          <w:rtl/>
        </w:rPr>
        <w:t>. הֱוֵי אומ</w:t>
      </w:r>
      <w:r w:rsidRPr="006829E2">
        <w:rPr>
          <w:rtl/>
        </w:rPr>
        <w:t>ר</w:t>
      </w:r>
      <w:r>
        <w:rPr>
          <w:rtl/>
        </w:rPr>
        <w:t xml:space="preserve">, אין ביכולתה של מגילת העצמאות לגבור על דבר חקיקה מפורש, </w:t>
      </w:r>
      <w:r>
        <w:rPr>
          <w:rFonts w:hint="cs"/>
          <w:rtl/>
        </w:rPr>
        <w:t xml:space="preserve">לבטל או להגביל </w:t>
      </w:r>
      <w:r>
        <w:rPr>
          <w:rtl/>
        </w:rPr>
        <w:t xml:space="preserve">את ריבונות הכנסת. </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 xml:space="preserve">שמא </w:t>
      </w:r>
      <w:r>
        <w:rPr>
          <w:rFonts w:hint="cs"/>
          <w:rtl/>
        </w:rPr>
        <w:t>יעלה במחשבה</w:t>
      </w:r>
      <w:r>
        <w:rPr>
          <w:rtl/>
        </w:rPr>
        <w:t>, כי הדברים ה</w:t>
      </w:r>
      <w:r>
        <w:rPr>
          <w:rFonts w:hint="cs"/>
          <w:rtl/>
        </w:rPr>
        <w:t>ל</w:t>
      </w:r>
      <w:r>
        <w:rPr>
          <w:rtl/>
        </w:rPr>
        <w:t xml:space="preserve">לו נכתבו לפני פסק הדין בעניין </w:t>
      </w:r>
      <w:r>
        <w:rPr>
          <w:rFonts w:ascii="Century" w:hAnsi="Century" w:cs="Miriam"/>
          <w:b/>
          <w:spacing w:val="0"/>
          <w:sz w:val="22"/>
          <w:szCs w:val="24"/>
          <w:rtl/>
        </w:rPr>
        <w:t>ירדור</w:t>
      </w:r>
      <w:r>
        <w:rPr>
          <w:rtl/>
        </w:rPr>
        <w:t xml:space="preserve">, וכי הנשיא </w:t>
      </w:r>
      <w:r>
        <w:rPr>
          <w:rFonts w:ascii="Century" w:hAnsi="Century" w:cs="Miriam"/>
          <w:b/>
          <w:spacing w:val="0"/>
          <w:sz w:val="22"/>
          <w:szCs w:val="24"/>
          <w:rtl/>
        </w:rPr>
        <w:t>זוסמן</w:t>
      </w:r>
      <w:r>
        <w:rPr>
          <w:rtl/>
        </w:rPr>
        <w:t xml:space="preserve"> חזר בו? אף אנ</w:t>
      </w:r>
      <w:r>
        <w:rPr>
          <w:rFonts w:hint="cs"/>
          <w:rtl/>
        </w:rPr>
        <w:t>י</w:t>
      </w:r>
      <w:r>
        <w:rPr>
          <w:rtl/>
        </w:rPr>
        <w:t xml:space="preserve"> </w:t>
      </w:r>
      <w:r>
        <w:rPr>
          <w:rFonts w:hint="cs"/>
          <w:rtl/>
        </w:rPr>
        <w:t>א</w:t>
      </w:r>
      <w:r>
        <w:rPr>
          <w:rtl/>
        </w:rPr>
        <w:t>שוב ו</w:t>
      </w:r>
      <w:r>
        <w:rPr>
          <w:rFonts w:hint="cs"/>
          <w:rtl/>
        </w:rPr>
        <w:t>א</w:t>
      </w:r>
      <w:r>
        <w:rPr>
          <w:rtl/>
        </w:rPr>
        <w:t>זכיר</w:t>
      </w:r>
      <w:r>
        <w:rPr>
          <w:rFonts w:hint="cs"/>
          <w:rtl/>
        </w:rPr>
        <w:t>,</w:t>
      </w:r>
      <w:r>
        <w:rPr>
          <w:rtl/>
        </w:rPr>
        <w:t xml:space="preserve"> כי הנשיא </w:t>
      </w:r>
      <w:r>
        <w:rPr>
          <w:rFonts w:ascii="Century" w:hAnsi="Century" w:cs="Miriam"/>
          <w:b/>
          <w:spacing w:val="0"/>
          <w:sz w:val="22"/>
          <w:szCs w:val="24"/>
          <w:rtl/>
        </w:rPr>
        <w:t>זוסמן</w:t>
      </w:r>
      <w:r>
        <w:rPr>
          <w:rtl/>
        </w:rPr>
        <w:t xml:space="preserve"> </w:t>
      </w:r>
      <w:r>
        <w:rPr>
          <w:rFonts w:hint="cs"/>
          <w:rtl/>
        </w:rPr>
        <w:t xml:space="preserve">נמנה על שופטי </w:t>
      </w:r>
      <w:r>
        <w:rPr>
          <w:rtl/>
        </w:rPr>
        <w:t xml:space="preserve">ההרכב המורחב שנתן את פסק הדין </w:t>
      </w:r>
      <w:r>
        <w:rPr>
          <w:rFonts w:hint="cs"/>
          <w:rtl/>
        </w:rPr>
        <w:t xml:space="preserve">הנ"ל </w:t>
      </w:r>
      <w:r>
        <w:rPr>
          <w:rtl/>
        </w:rPr>
        <w:t xml:space="preserve">בעניין </w:t>
      </w:r>
      <w:r>
        <w:rPr>
          <w:rFonts w:ascii="Century" w:hAnsi="Century" w:cs="Miriam"/>
          <w:b/>
          <w:spacing w:val="0"/>
          <w:sz w:val="22"/>
          <w:szCs w:val="24"/>
          <w:rtl/>
        </w:rPr>
        <w:t>ברגמן</w:t>
      </w:r>
      <w:r>
        <w:rPr>
          <w:rtl/>
        </w:rPr>
        <w:t xml:space="preserve">, כמה שנים לאחר פסק הדין בעניין </w:t>
      </w:r>
      <w:r>
        <w:rPr>
          <w:rFonts w:ascii="Century" w:hAnsi="Century" w:cs="Miriam"/>
          <w:b/>
          <w:spacing w:val="0"/>
          <w:sz w:val="22"/>
          <w:szCs w:val="24"/>
          <w:rtl/>
        </w:rPr>
        <w:t>ירדור</w:t>
      </w:r>
      <w:r>
        <w:rPr>
          <w:rFonts w:hint="cs"/>
          <w:rtl/>
        </w:rPr>
        <w:t>;</w:t>
      </w:r>
      <w:r>
        <w:rPr>
          <w:rtl/>
        </w:rPr>
        <w:t xml:space="preserve"> פסק דין שחזר וא</w:t>
      </w:r>
      <w:r>
        <w:rPr>
          <w:rFonts w:hint="cs"/>
          <w:rtl/>
        </w:rPr>
        <w:t>י</w:t>
      </w:r>
      <w:r>
        <w:rPr>
          <w:rtl/>
        </w:rPr>
        <w:t xml:space="preserve">שרר את ריבונות הכנסת, אף מקום שבו זו פוגעת בעיקרון השוויון. </w:t>
      </w:r>
    </w:p>
    <w:p w:rsidR="00EB02E1" w:rsidRDefault="00EB02E1" w:rsidP="00EB02E1">
      <w:pPr>
        <w:pStyle w:val="Ruller41"/>
        <w:spacing w:line="240" w:lineRule="auto"/>
        <w:rPr>
          <w:rtl/>
        </w:rPr>
      </w:pPr>
    </w:p>
    <w:p w:rsidR="00EB02E1" w:rsidRDefault="00EB02E1" w:rsidP="00EB02E1">
      <w:pPr>
        <w:pStyle w:val="Ruller4"/>
        <w:textAlignment w:val="auto"/>
        <w:rPr>
          <w:rtl/>
        </w:rPr>
      </w:pPr>
      <w:r>
        <w:rPr>
          <w:rFonts w:hint="cs"/>
          <w:rtl/>
        </w:rPr>
        <w:t>ו</w:t>
      </w:r>
      <w:r>
        <w:rPr>
          <w:rtl/>
        </w:rPr>
        <w:t>אולי, סוף כל סוף, מקום שבו 'עקרונות היסוד של השיטה' מצויים בהתנגשות חזיתית עם חוק חרות של הכנסת, י</w:t>
      </w:r>
      <w:r>
        <w:rPr>
          <w:rFonts w:hint="cs"/>
          <w:rtl/>
        </w:rPr>
        <w:t>פסוק</w:t>
      </w:r>
      <w:r>
        <w:rPr>
          <w:rtl/>
        </w:rPr>
        <w:t xml:space="preserve"> הנשיא </w:t>
      </w:r>
      <w:r>
        <w:rPr>
          <w:rFonts w:ascii="Century" w:hAnsi="Century" w:cs="Miriam"/>
          <w:b/>
          <w:spacing w:val="0"/>
          <w:sz w:val="22"/>
          <w:szCs w:val="24"/>
          <w:rtl/>
        </w:rPr>
        <w:t>זוסמן</w:t>
      </w:r>
      <w:r>
        <w:rPr>
          <w:rtl/>
        </w:rPr>
        <w:t xml:space="preserve"> כי יש מקום להכריז על ביטול חוק ראשי של הכנסת, שמא אף חוק-יסוד? 'נעלה באוב' אפוא את פסק הדין ב</w:t>
      </w:r>
      <w:r>
        <w:rPr>
          <w:color w:val="000000"/>
          <w:sz w:val="27"/>
          <w:szCs w:val="27"/>
          <w:rtl/>
        </w:rPr>
        <w:t>ע"א 450/70 </w:t>
      </w:r>
      <w:r>
        <w:rPr>
          <w:rFonts w:ascii="Century" w:hAnsi="Century" w:cs="Miriam"/>
          <w:b/>
          <w:spacing w:val="0"/>
          <w:sz w:val="22"/>
          <w:szCs w:val="24"/>
          <w:rtl/>
        </w:rPr>
        <w:t>רוגוזינסקי נ' מדינת ישראל</w:t>
      </w:r>
      <w:r>
        <w:rPr>
          <w:color w:val="000000"/>
          <w:sz w:val="27"/>
          <w:szCs w:val="27"/>
          <w:rtl/>
        </w:rPr>
        <w:t>, פ"ד כו(1) 129 (1971) (להלן:</w:t>
      </w:r>
      <w:r>
        <w:rPr>
          <w:rFonts w:hint="cs"/>
          <w:color w:val="000000"/>
          <w:sz w:val="27"/>
          <w:szCs w:val="27"/>
          <w:rtl/>
        </w:rPr>
        <w:t xml:space="preserve"> עניין</w:t>
      </w:r>
      <w:r>
        <w:rPr>
          <w:rFonts w:ascii="Century" w:hAnsi="Century" w:cs="Miriam"/>
          <w:b/>
          <w:spacing w:val="0"/>
          <w:sz w:val="22"/>
          <w:szCs w:val="24"/>
          <w:rtl/>
        </w:rPr>
        <w:t xml:space="preserve"> רוגוזינסקי</w:t>
      </w:r>
      <w:r>
        <w:rPr>
          <w:color w:val="000000"/>
          <w:sz w:val="27"/>
          <w:szCs w:val="27"/>
          <w:rtl/>
        </w:rPr>
        <w:t>)</w:t>
      </w:r>
      <w:r>
        <w:rPr>
          <w:rtl/>
        </w:rPr>
        <w:t xml:space="preserve">. פסק הדין ניתן גם הוא לאחר פסק הדין בעניין </w:t>
      </w:r>
      <w:r>
        <w:rPr>
          <w:rFonts w:ascii="Century" w:hAnsi="Century" w:cs="Miriam"/>
          <w:b/>
          <w:spacing w:val="0"/>
          <w:sz w:val="22"/>
          <w:szCs w:val="24"/>
          <w:rtl/>
        </w:rPr>
        <w:t>ירדור</w:t>
      </w:r>
      <w:r>
        <w:rPr>
          <w:rtl/>
        </w:rPr>
        <w:t xml:space="preserve">, בהרכב מורחב בראשות מ"מ הנשיא </w:t>
      </w:r>
      <w:r>
        <w:rPr>
          <w:rFonts w:ascii="Century" w:hAnsi="Century" w:cs="Miriam"/>
          <w:b/>
          <w:spacing w:val="0"/>
          <w:sz w:val="22"/>
          <w:szCs w:val="24"/>
          <w:rtl/>
        </w:rPr>
        <w:t>זוסמן</w:t>
      </w:r>
      <w:r>
        <w:rPr>
          <w:rtl/>
        </w:rPr>
        <w:t xml:space="preserve">, ונכתב על-ידי השופט </w:t>
      </w:r>
      <w:r>
        <w:rPr>
          <w:rFonts w:ascii="Century" w:hAnsi="Century" w:cs="Miriam"/>
          <w:b/>
          <w:spacing w:val="0"/>
          <w:sz w:val="22"/>
          <w:szCs w:val="24"/>
          <w:rtl/>
        </w:rPr>
        <w:t>צ' ברנזון</w:t>
      </w:r>
      <w:r>
        <w:rPr>
          <w:rtl/>
        </w:rPr>
        <w:t xml:space="preserve">, בהסכמת כל חברי ההרכב (מ"מ הנשיא </w:t>
      </w:r>
      <w:r>
        <w:rPr>
          <w:rFonts w:ascii="Century" w:hAnsi="Century" w:cs="Miriam"/>
          <w:b/>
          <w:spacing w:val="0"/>
          <w:sz w:val="22"/>
          <w:szCs w:val="24"/>
          <w:rtl/>
        </w:rPr>
        <w:t>י' זוסמן</w:t>
      </w:r>
      <w:r>
        <w:rPr>
          <w:rtl/>
        </w:rPr>
        <w:t xml:space="preserve">, </w:t>
      </w:r>
      <w:r>
        <w:rPr>
          <w:rtl/>
        </w:rPr>
        <w:lastRenderedPageBreak/>
        <w:t xml:space="preserve">והשופטים: </w:t>
      </w:r>
      <w:r>
        <w:rPr>
          <w:rFonts w:ascii="Century" w:hAnsi="Century" w:cs="Miriam"/>
          <w:b/>
          <w:spacing w:val="0"/>
          <w:sz w:val="22"/>
          <w:szCs w:val="24"/>
          <w:rtl/>
        </w:rPr>
        <w:t>א' מני</w:t>
      </w:r>
      <w:r>
        <w:rPr>
          <w:rtl/>
        </w:rPr>
        <w:t xml:space="preserve">, </w:t>
      </w:r>
      <w:r>
        <w:rPr>
          <w:rFonts w:ascii="Century" w:hAnsi="Century" w:cs="Miriam"/>
          <w:b/>
          <w:spacing w:val="0"/>
          <w:sz w:val="22"/>
          <w:szCs w:val="24"/>
          <w:rtl/>
        </w:rPr>
        <w:t>מ' עציוני</w:t>
      </w:r>
      <w:r>
        <w:rPr>
          <w:rtl/>
        </w:rPr>
        <w:t>, ו-</w:t>
      </w:r>
      <w:r>
        <w:rPr>
          <w:rFonts w:ascii="Century" w:hAnsi="Century" w:cs="Miriam"/>
          <w:b/>
          <w:spacing w:val="0"/>
          <w:sz w:val="22"/>
          <w:szCs w:val="24"/>
          <w:rtl/>
        </w:rPr>
        <w:t>י' כהן</w:t>
      </w:r>
      <w:r>
        <w:rPr>
          <w:rtl/>
        </w:rPr>
        <w:t>). הדברים נכתבו לפני שנים רבות, אך כמו נכתבו לעניי</w:t>
      </w:r>
      <w:r>
        <w:rPr>
          <w:rFonts w:hint="cs"/>
          <w:rtl/>
        </w:rPr>
        <w:t xml:space="preserve">ננו-שלנו. </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המערערים</w:t>
      </w:r>
      <w:r>
        <w:rPr>
          <w:rFonts w:hint="cs"/>
          <w:rtl/>
        </w:rPr>
        <w:t xml:space="preserve"> ביקשו שם </w:t>
      </w:r>
      <w:r>
        <w:rPr>
          <w:rtl/>
        </w:rPr>
        <w:t>לערער על תוקפו של חוק שיפוט בתי-דין רבניים (נישואין וגירושין), התשי"ג-1953, בטענה כי החוק סותר את האמור בהכרזת העצמאות. בית המשפט, נאמן לפסיקתו העקבית מאז ומ</w:t>
      </w:r>
      <w:r>
        <w:rPr>
          <w:rFonts w:hint="cs"/>
          <w:rtl/>
        </w:rPr>
        <w:t>קד</w:t>
      </w:r>
      <w:r>
        <w:rPr>
          <w:rtl/>
        </w:rPr>
        <w:t xml:space="preserve">ם – דחה את הטענה: </w:t>
      </w:r>
      <w:r>
        <w:rPr>
          <w:rFonts w:ascii="Century" w:hAnsi="Century" w:cs="Miriam"/>
          <w:b/>
          <w:spacing w:val="0"/>
          <w:sz w:val="22"/>
          <w:szCs w:val="24"/>
          <w:rtl/>
        </w:rPr>
        <w:t>"ואשר להכרזת העצמאות, הלכה פסוקה היא שזו איננה בגדר חוקה שחוקי המדינה כפופים לה או שיש בה כדי להשפיע על קיומו או ביטולו של חוק המדינה. לא אחת נאמר, כי הכרזת העצמאות אמנם 'מבטאת את חזון העם ואת האני מאמין שלו', אבל אין לה תוקף של חוק. ת</w:t>
      </w:r>
      <w:r>
        <w:rPr>
          <w:rFonts w:ascii="Century" w:hAnsi="Century" w:cs="Miriam" w:hint="cs"/>
          <w:b/>
          <w:spacing w:val="0"/>
          <w:sz w:val="22"/>
          <w:szCs w:val="24"/>
          <w:rtl/>
        </w:rPr>
        <w:t>ו</w:t>
      </w:r>
      <w:r>
        <w:rPr>
          <w:rFonts w:ascii="Century" w:hAnsi="Century" w:cs="Miriam"/>
          <w:b/>
          <w:spacing w:val="0"/>
          <w:sz w:val="22"/>
          <w:szCs w:val="24"/>
          <w:rtl/>
        </w:rPr>
        <w:t xml:space="preserve">קפה המשפטי הוא בכך, שיש לפרש כל הוראת חוק לאורה ועד כמה שאפשר בהתאמה עם עקרונותיה המנחים ולא בניגוד להם. ברם, </w:t>
      </w:r>
      <w:r>
        <w:rPr>
          <w:rFonts w:ascii="Century" w:hAnsi="Century" w:cs="Miriam"/>
          <w:b/>
          <w:spacing w:val="0"/>
          <w:sz w:val="22"/>
          <w:szCs w:val="24"/>
          <w:u w:val="single"/>
          <w:rtl/>
        </w:rPr>
        <w:t>כאשר קיימת הוראת חוק מפורשת של הכנסת, שאינה משאירה מקום לשום ספק, יש ללכת על-פיה, הגם שאינה עולה בקנה אחד עם אחד העקרונות שבהכרזת העצמאות</w:t>
      </w:r>
      <w:r>
        <w:rPr>
          <w:rFonts w:ascii="Century" w:hAnsi="Century" w:cs="Miriam"/>
          <w:b/>
          <w:spacing w:val="0"/>
          <w:sz w:val="22"/>
          <w:szCs w:val="24"/>
          <w:rtl/>
        </w:rPr>
        <w:t>"</w:t>
      </w:r>
      <w:r>
        <w:rPr>
          <w:rtl/>
        </w:rPr>
        <w:t xml:space="preserve"> (שם, בעמ' 136). </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 xml:space="preserve">השופט </w:t>
      </w:r>
      <w:r>
        <w:rPr>
          <w:rFonts w:ascii="Century" w:hAnsi="Century" w:cs="Miriam"/>
          <w:b/>
          <w:spacing w:val="0"/>
          <w:sz w:val="22"/>
          <w:szCs w:val="24"/>
          <w:rtl/>
        </w:rPr>
        <w:t>ברנזון</w:t>
      </w:r>
      <w:r>
        <w:rPr>
          <w:rtl/>
        </w:rPr>
        <w:t xml:space="preserve"> מוסיף ומחזק את הדברים, </w:t>
      </w:r>
      <w:r>
        <w:rPr>
          <w:rFonts w:hint="cs"/>
          <w:rtl/>
        </w:rPr>
        <w:t>בציינו</w:t>
      </w:r>
      <w:r>
        <w:rPr>
          <w:rtl/>
        </w:rPr>
        <w:t xml:space="preserve"> כי </w:t>
      </w:r>
      <w:r>
        <w:rPr>
          <w:rFonts w:ascii="Century" w:hAnsi="Century" w:cs="Miriam"/>
          <w:b/>
          <w:spacing w:val="0"/>
          <w:sz w:val="22"/>
          <w:szCs w:val="24"/>
          <w:rtl/>
        </w:rPr>
        <w:t>"</w:t>
      </w:r>
      <w:r>
        <w:rPr>
          <w:rFonts w:ascii="Century" w:hAnsi="Century" w:cs="Miriam"/>
          <w:b/>
          <w:spacing w:val="0"/>
          <w:sz w:val="22"/>
          <w:szCs w:val="24"/>
          <w:shd w:val="clear" w:color="auto" w:fill="FFFFFF"/>
          <w:rtl/>
        </w:rPr>
        <w:t xml:space="preserve">יהיה הדבר כאשר יהיה, ברור על-כל-פנים כי חוק המדינה אשר מסר את עניני הנישואין והגירושין של יהודים בישראל, אזרחי המדינה או תושביה, לשיפוטם של בתי-הדין הרבניים, והורה שנישואין וגירושין כאלה ייערכו לפי דין תורה, עדיף על עקרון חופש המצפון, </w:t>
      </w:r>
      <w:r>
        <w:rPr>
          <w:rFonts w:ascii="Century" w:hAnsi="Century" w:cs="Miriam"/>
          <w:b/>
          <w:spacing w:val="0"/>
          <w:sz w:val="22"/>
          <w:szCs w:val="24"/>
          <w:u w:val="single"/>
          <w:shd w:val="clear" w:color="auto" w:fill="FFFFFF"/>
          <w:rtl/>
        </w:rPr>
        <w:t>כשם שכל הוראת חוק מפורשת אחרת גוברת על כל דבר אחר האמור בהכרזת העצמאות</w:t>
      </w:r>
      <w:r>
        <w:rPr>
          <w:rFonts w:ascii="Century" w:hAnsi="Century" w:cs="Miriam"/>
          <w:b/>
          <w:spacing w:val="0"/>
          <w:sz w:val="22"/>
          <w:szCs w:val="24"/>
          <w:rtl/>
        </w:rPr>
        <w:t>"</w:t>
      </w:r>
      <w:r>
        <w:rPr>
          <w:rtl/>
        </w:rPr>
        <w:t xml:space="preserve"> (שם).</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 xml:space="preserve">המערערים לא אמרו נואש, וכבר אז, בשנים קדמוניות, ניסו לעשות שימוש ב'עקרונות היסוד של השיטה', וב'משפט משווה', כדי להתגבר על עליונות המחוקק-המכונן: </w:t>
      </w:r>
      <w:r>
        <w:rPr>
          <w:rFonts w:ascii="Century" w:hAnsi="Century" w:cs="Miriam"/>
          <w:b/>
          <w:spacing w:val="0"/>
          <w:sz w:val="22"/>
          <w:szCs w:val="24"/>
          <w:rtl/>
        </w:rPr>
        <w:t xml:space="preserve">"[בא-כוח המערערים] מבקש מאתנו ללמוד מהדוגמה של ארצות-הברית. הוא אומר: 'מדינת ישראל היא מדינת חוק דמוקרטית וערכי היסוד שלה מחייבים במידה שווה את כל רשויות המדינה ומכאן זכותו </w:t>
      </w:r>
      <w:r>
        <w:rPr>
          <w:rFonts w:ascii="Century" w:hAnsi="Century"/>
          <w:sz w:val="22"/>
          <w:rtl/>
        </w:rPr>
        <w:t>–</w:t>
      </w:r>
      <w:r>
        <w:rPr>
          <w:rFonts w:ascii="Century" w:hAnsi="Century" w:cs="Miriam"/>
          <w:b/>
          <w:spacing w:val="0"/>
          <w:sz w:val="22"/>
          <w:szCs w:val="24"/>
          <w:rtl/>
        </w:rPr>
        <w:t xml:space="preserve"> יתר-על-כן חובתו של בית-משפט זה לפסול כל חוק המפר ומחלל ערכים אלה. גם בארצות-הברית אין כל הוראת חוק מפורשת המסמיכה את בית-המשפט העלי</w:t>
      </w:r>
      <w:r w:rsidR="00863C7F">
        <w:rPr>
          <w:rFonts w:ascii="Century" w:hAnsi="Century" w:cs="Miriam"/>
          <w:b/>
          <w:spacing w:val="0"/>
          <w:sz w:val="22"/>
          <w:szCs w:val="24"/>
          <w:rtl/>
        </w:rPr>
        <w:t>ון לפסול את חוקי הקונגרס והמדינ</w:t>
      </w:r>
      <w:r>
        <w:rPr>
          <w:rFonts w:ascii="Century" w:hAnsi="Century" w:cs="Miriam"/>
          <w:b/>
          <w:spacing w:val="0"/>
          <w:sz w:val="22"/>
          <w:szCs w:val="24"/>
          <w:rtl/>
        </w:rPr>
        <w:t>ות. בית-המשפט שם ייחס לעצמו סמכות זו מתוך גישה דומה לגישה שאני טוען לה ותרם תרומה עצומה לדמוקרטיה האמריקאית"</w:t>
      </w:r>
      <w:r>
        <w:rPr>
          <w:rtl/>
        </w:rPr>
        <w:t xml:space="preserve">. </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 xml:space="preserve">בית המשפט משיב תחילה על ההקבלה לארצות הברית, בהקשר של מגילת העצמאות. הדברים מקבלים משנה רלבנטיות בימינו, ומחדדים את התהום הפעורה בין </w:t>
      </w:r>
      <w:r>
        <w:rPr>
          <w:rFonts w:hint="cs"/>
          <w:rtl/>
        </w:rPr>
        <w:t>ה</w:t>
      </w:r>
      <w:r>
        <w:rPr>
          <w:rtl/>
        </w:rPr>
        <w:t>ביקורת השיפוטית ש</w:t>
      </w:r>
      <w:r>
        <w:rPr>
          <w:rFonts w:hint="cs"/>
          <w:rtl/>
        </w:rPr>
        <w:t xml:space="preserve">ל </w:t>
      </w:r>
      <w:r>
        <w:rPr>
          <w:rtl/>
        </w:rPr>
        <w:t xml:space="preserve">בית משפט זה על חקיקה רגילה מכוח חוקי-היסוד, לבין ניסיון לבקר את חוקי-היסוד עצמם: </w:t>
      </w:r>
      <w:r>
        <w:rPr>
          <w:rFonts w:ascii="Century" w:hAnsi="Century" w:cs="Miriam"/>
          <w:b/>
          <w:spacing w:val="0"/>
          <w:sz w:val="22"/>
          <w:szCs w:val="24"/>
          <w:rtl/>
        </w:rPr>
        <w:t xml:space="preserve">"חושבני שהדוגמה אינה דוגמה ואין אנו יכולים ללמוד ממנה מאומה. בארצות-הברית, </w:t>
      </w:r>
      <w:r>
        <w:rPr>
          <w:rFonts w:ascii="Century" w:hAnsi="Century" w:cs="Miriam"/>
          <w:b/>
          <w:spacing w:val="0"/>
          <w:sz w:val="22"/>
          <w:szCs w:val="24"/>
          <w:u w:val="single"/>
          <w:rtl/>
        </w:rPr>
        <w:t>כאשר עמדו זה מול זו חוק וחוקה, ברור היה שהחוקה עדיפה ובית-המשפט רק נתן ביטוי מעשי להלכה ברורה זו. אצלנו, השאלה היא חוק הכנסת מול הכרזת העצמאות, וזו כמבואר לעיל אין לה תוקף של חוק, לא-כל-שכן שאין לה תוקף של חוקה בעלת תוקף עילאי הגוברת על כל חוק רגיל</w:t>
      </w:r>
      <w:r>
        <w:rPr>
          <w:rFonts w:ascii="Century" w:hAnsi="Century" w:cs="Miriam"/>
          <w:b/>
          <w:spacing w:val="0"/>
          <w:sz w:val="22"/>
          <w:szCs w:val="24"/>
          <w:rtl/>
        </w:rPr>
        <w:t xml:space="preserve">. כאשר ברור, מעל לכל ספק, רצונו של המחוקק </w:t>
      </w:r>
      <w:r>
        <w:rPr>
          <w:rFonts w:ascii="Century" w:hAnsi="Century" w:cs="Miriam"/>
          <w:b/>
          <w:spacing w:val="0"/>
          <w:sz w:val="22"/>
          <w:szCs w:val="24"/>
          <w:rtl/>
        </w:rPr>
        <w:lastRenderedPageBreak/>
        <w:t xml:space="preserve">למסור לשיפוטם של בתי-הדין הדתיים היהודיים עניני הנישואין והגירושין של יהודים ושנישואין וגירושין אלו ייערכו לפי דין תורה, ולא לפי דין אחר, על בתי-המשפט לכבד רצון זה ולתת לו תוקף, אף אם אינו עולה בקנה אחד עם העקרון של חופש המצפון שבהכרזת העצמאות [...]. אמת נכון הדבר [...] כי כל רשויות המדינה חייבות לפעול ברוח הכרזת העצמאות ולהימנע עד כמה שאפשר מעשיית מעשה העומד בניגוד לה. כן יש לפרש חוק, עד כמה שאפשר, בהתאמה עם הכרזת העצמאות ולא בניגוד לה. יחד עם זאת, </w:t>
      </w:r>
      <w:r>
        <w:rPr>
          <w:rFonts w:ascii="Century" w:hAnsi="Century" w:cs="Miriam"/>
          <w:b/>
          <w:spacing w:val="0"/>
          <w:sz w:val="22"/>
          <w:szCs w:val="24"/>
          <w:u w:val="single"/>
          <w:rtl/>
        </w:rPr>
        <w:t>לא פחות ברור הדבר, כי הכנסת בתורת הרשות המחוקקת של המדינה היא ריבונית ובכוחה לחוקק כל חוק הנראה לה, והוא הקובע את משפט המדינה</w:t>
      </w:r>
      <w:r>
        <w:rPr>
          <w:rFonts w:ascii="Century" w:hAnsi="Century" w:cs="Miriam"/>
          <w:b/>
          <w:spacing w:val="0"/>
          <w:sz w:val="22"/>
          <w:szCs w:val="24"/>
          <w:rtl/>
        </w:rPr>
        <w:t>"</w:t>
      </w:r>
      <w:r>
        <w:rPr>
          <w:color w:val="000000"/>
          <w:sz w:val="27"/>
          <w:szCs w:val="27"/>
          <w:rtl/>
        </w:rPr>
        <w:t>.</w:t>
      </w:r>
    </w:p>
    <w:p w:rsidR="00EB02E1" w:rsidRDefault="00EB02E1" w:rsidP="00EB02E1">
      <w:pPr>
        <w:pStyle w:val="Ruller4"/>
        <w:numPr>
          <w:ilvl w:val="0"/>
          <w:numId w:val="0"/>
        </w:numPr>
        <w:spacing w:line="240" w:lineRule="auto"/>
      </w:pPr>
      <w:r>
        <w:rPr>
          <w:color w:val="000000"/>
          <w:sz w:val="27"/>
          <w:szCs w:val="27"/>
          <w:rtl/>
        </w:rPr>
        <w:t xml:space="preserve"> </w:t>
      </w:r>
    </w:p>
    <w:p w:rsidR="00EB02E1" w:rsidRDefault="00EB02E1" w:rsidP="00EB02E1">
      <w:pPr>
        <w:pStyle w:val="Ruller4"/>
        <w:textAlignment w:val="auto"/>
      </w:pPr>
      <w:r>
        <w:rPr>
          <w:color w:val="000000"/>
          <w:sz w:val="27"/>
          <w:szCs w:val="27"/>
          <w:rtl/>
        </w:rPr>
        <w:t xml:space="preserve"> מכאן ממשיך השופט </w:t>
      </w:r>
      <w:r>
        <w:rPr>
          <w:rFonts w:ascii="Century" w:hAnsi="Century" w:cs="Miriam"/>
          <w:b/>
          <w:spacing w:val="0"/>
          <w:sz w:val="22"/>
          <w:szCs w:val="24"/>
          <w:rtl/>
        </w:rPr>
        <w:t>ברנזון</w:t>
      </w:r>
      <w:r>
        <w:rPr>
          <w:color w:val="000000"/>
          <w:sz w:val="27"/>
          <w:szCs w:val="27"/>
          <w:rtl/>
        </w:rPr>
        <w:t>, כאמור</w:t>
      </w:r>
      <w:r w:rsidR="001632F7">
        <w:rPr>
          <w:rFonts w:hint="cs"/>
          <w:color w:val="000000"/>
          <w:sz w:val="27"/>
          <w:szCs w:val="27"/>
          <w:rtl/>
        </w:rPr>
        <w:t>,</w:t>
      </w:r>
      <w:r>
        <w:rPr>
          <w:color w:val="000000"/>
          <w:sz w:val="27"/>
          <w:szCs w:val="27"/>
          <w:rtl/>
        </w:rPr>
        <w:t xml:space="preserve"> בהסכמת חבריו להרכב, ודוחה את הניסיון להכפיף את ריבונות המחוקק למרותם של 'ערכי היסוד של השיטה': </w:t>
      </w:r>
      <w:r>
        <w:rPr>
          <w:rFonts w:ascii="Century" w:hAnsi="Century" w:cs="Miriam"/>
          <w:b/>
          <w:spacing w:val="0"/>
          <w:sz w:val="22"/>
          <w:szCs w:val="24"/>
          <w:rtl/>
        </w:rPr>
        <w:t>"[בא-כוח המערערים] אף הרחיק לכת וטען, כי ישנם ערכי יסוד בסיסיים בחיי מדינה, שהגם שאינם כתובים בחוקה או בספר החוקים של המדינה, הם מהווים 'נורמות על-חוקתיות' שבכוחן לפסול כל דבר חוק שאינו מתיישב עמהן. מתוך כך, יכול בית-המשפט לפסול חוק הנוגד ערך יסוד עילאי, וחופש המצפון וזכות ההגדרה העצמית הם כאלה [...]"</w:t>
      </w:r>
      <w:r>
        <w:rPr>
          <w:rFonts w:ascii="Century" w:hAnsi="Century"/>
          <w:sz w:val="22"/>
          <w:rtl/>
        </w:rPr>
        <w:t>. על כך משיב בית המשפט</w:t>
      </w:r>
      <w:r>
        <w:rPr>
          <w:rFonts w:ascii="Century" w:hAnsi="Century" w:hint="cs"/>
          <w:sz w:val="22"/>
          <w:rtl/>
        </w:rPr>
        <w:t xml:space="preserve"> העליון</w:t>
      </w:r>
      <w:r>
        <w:rPr>
          <w:rFonts w:ascii="Century" w:hAnsi="Century"/>
          <w:sz w:val="22"/>
          <w:rtl/>
        </w:rPr>
        <w:t xml:space="preserve">: </w:t>
      </w:r>
      <w:r>
        <w:rPr>
          <w:rFonts w:ascii="Century" w:hAnsi="Century" w:cs="Miriam"/>
          <w:b/>
          <w:spacing w:val="0"/>
          <w:sz w:val="22"/>
          <w:szCs w:val="24"/>
          <w:rtl/>
        </w:rPr>
        <w:t xml:space="preserve">"הזכות להגדרה עצמית, [שבא-כוח המערערים] טוען לה על-סמך חופש המצפון, משמעותה המעשית היא, שרק אותם האנשים המוכנים מרצונם החפשי להירתם בעול השיפוט הדתי, יהיו כפופים לו. כלומר, הברירה בידי כל אדם מן היישוב, שהוא יהודי לפי ההלכה: רוצה </w:t>
      </w:r>
      <w:r w:rsidRPr="00D34858">
        <w:rPr>
          <w:rFonts w:ascii="Century" w:hAnsi="Century"/>
          <w:sz w:val="22"/>
          <w:rtl/>
        </w:rPr>
        <w:t>–</w:t>
      </w:r>
      <w:r>
        <w:rPr>
          <w:rFonts w:ascii="Century" w:hAnsi="Century" w:cs="Miriam" w:hint="cs"/>
          <w:b/>
          <w:spacing w:val="0"/>
          <w:sz w:val="22"/>
          <w:szCs w:val="24"/>
          <w:rtl/>
        </w:rPr>
        <w:t xml:space="preserve"> </w:t>
      </w:r>
      <w:r>
        <w:rPr>
          <w:rFonts w:ascii="Century" w:hAnsi="Century" w:cs="Miriam"/>
          <w:b/>
          <w:spacing w:val="0"/>
          <w:sz w:val="22"/>
          <w:szCs w:val="24"/>
          <w:rtl/>
        </w:rPr>
        <w:t xml:space="preserve">מכיר הוא בשיפוט הדתי ונכנס בעולו; אינו רוצה </w:t>
      </w:r>
      <w:r w:rsidRPr="00D34858">
        <w:rPr>
          <w:rFonts w:ascii="Century" w:hAnsi="Century"/>
          <w:sz w:val="22"/>
          <w:rtl/>
        </w:rPr>
        <w:t>–</w:t>
      </w:r>
      <w:r w:rsidRPr="008555E7">
        <w:rPr>
          <w:rFonts w:ascii="Century" w:hAnsi="Century" w:cs="Miriam"/>
          <w:b/>
          <w:spacing w:val="0"/>
          <w:sz w:val="22"/>
          <w:szCs w:val="24"/>
          <w:rtl/>
        </w:rPr>
        <w:t xml:space="preserve"> </w:t>
      </w:r>
      <w:r>
        <w:rPr>
          <w:rFonts w:ascii="Century" w:hAnsi="Century" w:cs="Miriam"/>
          <w:b/>
          <w:spacing w:val="0"/>
          <w:sz w:val="22"/>
          <w:szCs w:val="24"/>
          <w:rtl/>
        </w:rPr>
        <w:t xml:space="preserve">אינו מכיר. </w:t>
      </w:r>
      <w:r>
        <w:rPr>
          <w:rFonts w:ascii="Century" w:hAnsi="Century" w:cs="Miriam"/>
          <w:b/>
          <w:spacing w:val="0"/>
          <w:sz w:val="22"/>
          <w:szCs w:val="24"/>
          <w:u w:val="single"/>
          <w:rtl/>
        </w:rPr>
        <w:t>אפשרות זו היתה אולי טובה וראויה לו</w:t>
      </w:r>
      <w:r>
        <w:rPr>
          <w:rFonts w:ascii="Century" w:hAnsi="Century" w:cs="Miriam" w:hint="cs"/>
          <w:b/>
          <w:spacing w:val="0"/>
          <w:sz w:val="22"/>
          <w:szCs w:val="24"/>
          <w:u w:val="single"/>
          <w:rtl/>
        </w:rPr>
        <w:t>ּ</w:t>
      </w:r>
      <w:r>
        <w:rPr>
          <w:rFonts w:ascii="Century" w:hAnsi="Century" w:cs="Miriam"/>
          <w:b/>
          <w:spacing w:val="0"/>
          <w:sz w:val="22"/>
          <w:szCs w:val="24"/>
          <w:u w:val="single"/>
          <w:rtl/>
        </w:rPr>
        <w:t xml:space="preserve"> המחוקק רצה בה, אבל הוא גילה את דעתו אחרת</w:t>
      </w:r>
      <w:r>
        <w:rPr>
          <w:rFonts w:ascii="Century" w:hAnsi="Century" w:cs="Miriam"/>
          <w:b/>
          <w:spacing w:val="0"/>
          <w:sz w:val="22"/>
          <w:szCs w:val="24"/>
          <w:rtl/>
        </w:rPr>
        <w:t xml:space="preserve"> [...] זכות ההגדרה העצמית בשאלות הדת והלאום, כבודה במקומה מונח. ואולם</w:t>
      </w:r>
      <w:r>
        <w:rPr>
          <w:rFonts w:ascii="Century" w:hAnsi="Century" w:cs="Miriam" w:hint="cs"/>
          <w:b/>
          <w:spacing w:val="0"/>
          <w:sz w:val="22"/>
          <w:szCs w:val="24"/>
          <w:rtl/>
        </w:rPr>
        <w:t>,</w:t>
      </w:r>
      <w:r>
        <w:rPr>
          <w:rFonts w:ascii="Century" w:hAnsi="Century" w:cs="Miriam"/>
          <w:b/>
          <w:spacing w:val="0"/>
          <w:sz w:val="22"/>
          <w:szCs w:val="24"/>
          <w:rtl/>
        </w:rPr>
        <w:t xml:space="preserve"> כפי שאמר השופט ח' כהן בדונו בענין שטדרמן בשאלת הלאום היהודי: 'זכות זו מתבטלת ונדחית מפני הוראה מפורשת של החוק'. הוא הדין כאן: נוכח ההוראה המפורשת של חוק שיפוט בתי-הדין הרבניים בדבר שיפוטם הייחודי של בתי-דין אלה בעניני נישואין וגירושין של יהודים בישראל, לא יועיל למערערים, ברצונם להתנער משיפוט זה"</w:t>
      </w:r>
      <w:r>
        <w:rPr>
          <w:rFonts w:ascii="Century" w:hAnsi="Century" w:cs="Miriam" w:hint="cs"/>
          <w:b/>
          <w:spacing w:val="0"/>
          <w:sz w:val="22"/>
          <w:szCs w:val="24"/>
          <w:rtl/>
        </w:rPr>
        <w:t xml:space="preserve"> </w:t>
      </w:r>
      <w:r>
        <w:rPr>
          <w:rtl/>
        </w:rPr>
        <w:t xml:space="preserve">(שם, בעמ' 138-136). בית המשפט היה כה נחרץ, בדחייתו את הטענות בדבר כפיפותם של חוקי הכנסת למגילת העצמאות, או ל'ערכי היסוד של השיטה', עד שבשולי פסק הדין נכתב כי </w:t>
      </w:r>
      <w:r>
        <w:rPr>
          <w:rFonts w:ascii="Century" w:hAnsi="Century" w:cs="Miriam"/>
          <w:b/>
          <w:spacing w:val="0"/>
          <w:sz w:val="22"/>
          <w:szCs w:val="24"/>
          <w:rtl/>
        </w:rPr>
        <w:t>"</w:t>
      </w:r>
      <w:r>
        <w:rPr>
          <w:rFonts w:ascii="Century" w:hAnsi="Century" w:cs="Miriam"/>
          <w:b/>
          <w:spacing w:val="0"/>
          <w:sz w:val="22"/>
          <w:szCs w:val="24"/>
          <w:shd w:val="clear" w:color="auto" w:fill="FFFFFF"/>
          <w:rtl/>
        </w:rPr>
        <w:t xml:space="preserve">ראינו לנכון לדחות את הערעור ביום שמיעתו </w:t>
      </w:r>
      <w:r>
        <w:rPr>
          <w:rFonts w:ascii="Century" w:hAnsi="Century" w:cs="Miriam"/>
          <w:b/>
          <w:spacing w:val="0"/>
          <w:sz w:val="22"/>
          <w:szCs w:val="24"/>
          <w:u w:val="single"/>
          <w:shd w:val="clear" w:color="auto" w:fill="FFFFFF"/>
          <w:rtl/>
        </w:rPr>
        <w:t>בלי לבקש את תשובת המדינה</w:t>
      </w:r>
      <w:r>
        <w:rPr>
          <w:rFonts w:ascii="Century" w:hAnsi="Century" w:cs="Miriam"/>
          <w:b/>
          <w:spacing w:val="0"/>
          <w:sz w:val="22"/>
          <w:szCs w:val="24"/>
          <w:rtl/>
        </w:rPr>
        <w:t xml:space="preserve">" </w:t>
      </w:r>
      <w:r>
        <w:rPr>
          <w:rtl/>
        </w:rPr>
        <w:t xml:space="preserve">(שם, בעמ' 141); </w:t>
      </w:r>
      <w:r>
        <w:rPr>
          <w:rFonts w:hint="cs"/>
          <w:rtl/>
        </w:rPr>
        <w:t>לגבי דידי, כאז כן עתה; ראוי היה לנו לדחות על אתר את העתירות שלפנינו.</w:t>
      </w:r>
      <w:r>
        <w:rPr>
          <w:rtl/>
        </w:rPr>
        <w:t xml:space="preserve"> </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 xml:space="preserve">לאחר שעמדנו על משנתו החוקתית הכוללת של הנשיא </w:t>
      </w:r>
      <w:r>
        <w:rPr>
          <w:rFonts w:ascii="Century" w:hAnsi="Century" w:cs="Miriam"/>
          <w:b/>
          <w:spacing w:val="0"/>
          <w:sz w:val="22"/>
          <w:szCs w:val="24"/>
          <w:rtl/>
        </w:rPr>
        <w:t>זוסמן</w:t>
      </w:r>
      <w:r>
        <w:rPr>
          <w:rtl/>
        </w:rPr>
        <w:t xml:space="preserve">, כיצד ניתן ליישבה, עם האמור בחוות דעתו של הנשיא </w:t>
      </w:r>
      <w:r w:rsidRPr="00F41926">
        <w:rPr>
          <w:rFonts w:ascii="Century" w:hAnsi="Century" w:cs="Miriam"/>
          <w:b/>
          <w:spacing w:val="0"/>
          <w:sz w:val="22"/>
          <w:szCs w:val="24"/>
          <w:rtl/>
        </w:rPr>
        <w:t>זוסמן</w:t>
      </w:r>
      <w:r>
        <w:rPr>
          <w:rtl/>
        </w:rPr>
        <w:t xml:space="preserve">, בעניין </w:t>
      </w:r>
      <w:r>
        <w:rPr>
          <w:rFonts w:ascii="Century" w:hAnsi="Century" w:cs="Miriam"/>
          <w:b/>
          <w:spacing w:val="0"/>
          <w:sz w:val="22"/>
          <w:szCs w:val="24"/>
          <w:rtl/>
        </w:rPr>
        <w:t>ירדור</w:t>
      </w:r>
      <w:r>
        <w:rPr>
          <w:rtl/>
        </w:rPr>
        <w:t xml:space="preserve">? הסבר לכך ניתן במאמרו של </w:t>
      </w:r>
      <w:r w:rsidRPr="008F52BD">
        <w:rPr>
          <w:rtl/>
        </w:rPr>
        <w:t>פרופ'</w:t>
      </w:r>
      <w:r w:rsidRPr="008F52BD">
        <w:rPr>
          <w:rFonts w:ascii="Century" w:hAnsi="Century" w:cs="Miriam"/>
          <w:b/>
          <w:spacing w:val="0"/>
          <w:sz w:val="22"/>
          <w:szCs w:val="24"/>
          <w:shd w:val="clear" w:color="auto" w:fill="FFFFFF"/>
          <w:rtl/>
        </w:rPr>
        <w:t xml:space="preserve"> ד</w:t>
      </w:r>
      <w:r w:rsidRPr="008F52BD">
        <w:rPr>
          <w:rFonts w:ascii="Century" w:hAnsi="Century" w:cs="Miriam" w:hint="cs"/>
          <w:b/>
          <w:spacing w:val="0"/>
          <w:sz w:val="22"/>
          <w:szCs w:val="24"/>
          <w:shd w:val="clear" w:color="auto" w:fill="FFFFFF"/>
          <w:rtl/>
        </w:rPr>
        <w:t>'</w:t>
      </w:r>
      <w:r w:rsidRPr="008F52BD">
        <w:rPr>
          <w:rFonts w:ascii="Century" w:hAnsi="Century" w:cs="Miriam"/>
          <w:b/>
          <w:spacing w:val="0"/>
          <w:sz w:val="22"/>
          <w:szCs w:val="24"/>
          <w:shd w:val="clear" w:color="auto" w:fill="FFFFFF"/>
          <w:rtl/>
        </w:rPr>
        <w:t xml:space="preserve"> פרידמן</w:t>
      </w:r>
      <w:r>
        <w:rPr>
          <w:rtl/>
        </w:rPr>
        <w:t xml:space="preserve"> (דניאל פרידמן "היש לישראל חוקה ומי כותב אותה?" </w:t>
      </w:r>
      <w:r>
        <w:rPr>
          <w:rFonts w:ascii="Century" w:hAnsi="Century" w:cs="Miriam"/>
          <w:b/>
          <w:spacing w:val="0"/>
          <w:sz w:val="22"/>
          <w:szCs w:val="24"/>
          <w:rtl/>
        </w:rPr>
        <w:t>משפט ועסקים</w:t>
      </w:r>
      <w:r>
        <w:rPr>
          <w:rtl/>
        </w:rPr>
        <w:t xml:space="preserve"> יד 117, 129 (2012)): </w:t>
      </w:r>
      <w:r>
        <w:rPr>
          <w:rFonts w:ascii="Century" w:hAnsi="Century" w:cs="Miriam"/>
          <w:b/>
          <w:spacing w:val="0"/>
          <w:sz w:val="22"/>
          <w:szCs w:val="24"/>
          <w:rtl/>
        </w:rPr>
        <w:t>"פסק-דין ירדור משקף גישה אקטיביסטית של בית-המשפט, בכך שבית-המשפט</w:t>
      </w:r>
      <w:r>
        <w:rPr>
          <w:rFonts w:ascii="Century" w:hAnsi="Century" w:cs="Miriam"/>
          <w:b/>
          <w:spacing w:val="0"/>
          <w:sz w:val="22"/>
          <w:szCs w:val="24"/>
        </w:rPr>
        <w:t xml:space="preserve"> </w:t>
      </w:r>
      <w:r>
        <w:rPr>
          <w:rFonts w:ascii="Century" w:hAnsi="Century" w:cs="Miriam"/>
          <w:b/>
          <w:spacing w:val="0"/>
          <w:sz w:val="22"/>
          <w:szCs w:val="24"/>
          <w:rtl/>
        </w:rPr>
        <w:t xml:space="preserve">מכיר באפשרות לפסול רשימה לכנסת למרות העדר הוראה בחוק המאפשרת זאת. אולם זו גישה אקטיביסטית מוגבלת, שכן בית-המשפט אינו שולל את תוקפו של דבר חקיקה, ואינו מתיימר כלל לעשות זאת. למרות אמרות-האגב של השופט זוסמן, </w:t>
      </w:r>
      <w:r>
        <w:rPr>
          <w:rFonts w:ascii="Century" w:hAnsi="Century" w:cs="Miriam"/>
          <w:b/>
          <w:spacing w:val="0"/>
          <w:sz w:val="22"/>
          <w:szCs w:val="24"/>
          <w:u w:val="single"/>
          <w:rtl/>
        </w:rPr>
        <w:t xml:space="preserve">שניתן להן </w:t>
      </w:r>
      <w:r>
        <w:rPr>
          <w:rFonts w:ascii="Century" w:hAnsi="Century" w:cs="Miriam"/>
          <w:b/>
          <w:spacing w:val="0"/>
          <w:sz w:val="22"/>
          <w:szCs w:val="24"/>
          <w:u w:val="single"/>
          <w:rtl/>
        </w:rPr>
        <w:lastRenderedPageBreak/>
        <w:t>פירוש החורג בהרבה מכוונתו</w:t>
      </w:r>
      <w:r>
        <w:rPr>
          <w:rFonts w:ascii="Century" w:hAnsi="Century" w:cs="Miriam"/>
          <w:b/>
          <w:spacing w:val="0"/>
          <w:sz w:val="22"/>
          <w:szCs w:val="24"/>
          <w:rtl/>
        </w:rPr>
        <w:t xml:space="preserve">, ברור שבית-המשפט הישן </w:t>
      </w:r>
      <w:r>
        <w:rPr>
          <w:rFonts w:ascii="Century" w:hAnsi="Century" w:cs="Miriam"/>
          <w:b/>
          <w:spacing w:val="0"/>
          <w:sz w:val="22"/>
          <w:szCs w:val="24"/>
          <w:u w:val="single"/>
          <w:rtl/>
        </w:rPr>
        <w:t>מכיר בעליונות המחוק</w:t>
      </w:r>
      <w:r>
        <w:rPr>
          <w:rFonts w:ascii="Century" w:hAnsi="Century" w:cs="Miriam" w:hint="cs"/>
          <w:b/>
          <w:spacing w:val="0"/>
          <w:sz w:val="22"/>
          <w:szCs w:val="24"/>
          <w:u w:val="single"/>
          <w:rtl/>
        </w:rPr>
        <w:t>ק</w:t>
      </w:r>
      <w:r w:rsidRPr="00F41926">
        <w:rPr>
          <w:rFonts w:ascii="Century" w:hAnsi="Century" w:cs="Miriam" w:hint="cs"/>
          <w:b/>
          <w:spacing w:val="0"/>
          <w:sz w:val="22"/>
          <w:szCs w:val="24"/>
          <w:rtl/>
        </w:rPr>
        <w:t xml:space="preserve">, וכל </w:t>
      </w:r>
      <w:r>
        <w:rPr>
          <w:rFonts w:ascii="Century" w:hAnsi="Century" w:cs="Miriam"/>
          <w:b/>
          <w:spacing w:val="0"/>
          <w:sz w:val="22"/>
          <w:szCs w:val="24"/>
          <w:rtl/>
        </w:rPr>
        <w:t xml:space="preserve">שנעשה בעניין ירדור הוא </w:t>
      </w:r>
      <w:r>
        <w:rPr>
          <w:rFonts w:ascii="Century" w:hAnsi="Century" w:cs="Miriam"/>
          <w:b/>
          <w:spacing w:val="0"/>
          <w:sz w:val="22"/>
          <w:szCs w:val="24"/>
          <w:u w:val="single"/>
          <w:rtl/>
        </w:rPr>
        <w:t>השלמת החקיקה</w:t>
      </w:r>
      <w:r>
        <w:rPr>
          <w:rFonts w:ascii="Century" w:hAnsi="Century" w:cs="Miriam"/>
          <w:b/>
          <w:spacing w:val="0"/>
          <w:sz w:val="22"/>
          <w:szCs w:val="24"/>
          <w:rtl/>
        </w:rPr>
        <w:t xml:space="preserve"> בנקודה חשובה עד-מאוד שהמחוקק לא התייחס אליה"</w:t>
      </w:r>
      <w:r>
        <w:rPr>
          <w:rtl/>
        </w:rPr>
        <w:t>.</w:t>
      </w:r>
      <w:r>
        <w:rPr>
          <w:rFonts w:hint="cs"/>
          <w:rtl/>
        </w:rPr>
        <w:t xml:space="preserve"> </w:t>
      </w:r>
    </w:p>
    <w:p w:rsidR="00EB02E1" w:rsidRDefault="00EB02E1" w:rsidP="00EB02E1">
      <w:pPr>
        <w:pStyle w:val="Ruller41"/>
        <w:spacing w:line="240" w:lineRule="auto"/>
        <w:rPr>
          <w:rtl/>
        </w:rPr>
      </w:pPr>
    </w:p>
    <w:p w:rsidR="00EB02E1" w:rsidRPr="005A7DD8" w:rsidRDefault="00EB02E1" w:rsidP="00EB02E1">
      <w:pPr>
        <w:pStyle w:val="Ruller4"/>
        <w:textAlignment w:val="auto"/>
        <w:rPr>
          <w:rtl/>
        </w:rPr>
      </w:pPr>
      <w:r>
        <w:rPr>
          <w:rFonts w:hint="cs"/>
          <w:rtl/>
        </w:rPr>
        <w:t xml:space="preserve">חברתי השופטת </w:t>
      </w:r>
      <w:r w:rsidRPr="005A7DD8">
        <w:rPr>
          <w:rFonts w:ascii="Century" w:hAnsi="Century" w:cs="Miriam" w:hint="cs"/>
          <w:b/>
          <w:spacing w:val="0"/>
          <w:sz w:val="22"/>
          <w:szCs w:val="24"/>
          <w:rtl/>
        </w:rPr>
        <w:t>ג' כנפי-שטייניץ</w:t>
      </w:r>
      <w:r>
        <w:rPr>
          <w:rFonts w:hint="cs"/>
          <w:rtl/>
        </w:rPr>
        <w:t xml:space="preserve"> (בפסקה 1 לחוות דעתה</w:t>
      </w:r>
      <w:r w:rsidRPr="007B2A76">
        <w:rPr>
          <w:rFonts w:hint="cs"/>
          <w:rtl/>
        </w:rPr>
        <w:t xml:space="preserve">), </w:t>
      </w:r>
      <w:r>
        <w:rPr>
          <w:rFonts w:hint="cs"/>
          <w:rtl/>
        </w:rPr>
        <w:t xml:space="preserve">מבקשת להתבסס על עמדתו של השופט </w:t>
      </w:r>
      <w:r w:rsidRPr="00D34858">
        <w:rPr>
          <w:rFonts w:ascii="Century" w:hAnsi="Century" w:cs="Miriam" w:hint="eastAsia"/>
          <w:b/>
          <w:spacing w:val="0"/>
          <w:sz w:val="22"/>
          <w:szCs w:val="24"/>
          <w:rtl/>
        </w:rPr>
        <w:t>זוסמן</w:t>
      </w:r>
      <w:r>
        <w:rPr>
          <w:rFonts w:hint="cs"/>
          <w:rtl/>
        </w:rPr>
        <w:t xml:space="preserve">, בענין </w:t>
      </w:r>
      <w:r w:rsidRPr="005A7DD8">
        <w:rPr>
          <w:rFonts w:ascii="Century" w:hAnsi="Century" w:cs="Miriam" w:hint="cs"/>
          <w:b/>
          <w:spacing w:val="0"/>
          <w:sz w:val="22"/>
          <w:szCs w:val="24"/>
          <w:rtl/>
        </w:rPr>
        <w:t>ירדור</w:t>
      </w:r>
      <w:r>
        <w:rPr>
          <w:rFonts w:hint="cs"/>
          <w:rtl/>
        </w:rPr>
        <w:t xml:space="preserve"> (פסקה 6 לחוות דעתו), אלא שגישתו מיוסדת על </w:t>
      </w:r>
      <w:r w:rsidRPr="001A6A4C">
        <w:rPr>
          <w:rFonts w:ascii="Century" w:hAnsi="Century" w:cs="Miriam" w:hint="cs"/>
          <w:b/>
          <w:spacing w:val="0"/>
          <w:sz w:val="22"/>
          <w:szCs w:val="24"/>
          <w:rtl/>
        </w:rPr>
        <w:t>'משפט הטבע'</w:t>
      </w:r>
      <w:r>
        <w:rPr>
          <w:rFonts w:hint="cs"/>
          <w:rtl/>
        </w:rPr>
        <w:t xml:space="preserve">. אין תימה אפוא על כך שהשופט </w:t>
      </w:r>
      <w:r w:rsidRPr="00D34858">
        <w:rPr>
          <w:rFonts w:ascii="Century" w:hAnsi="Century" w:cs="Miriam" w:hint="eastAsia"/>
          <w:b/>
          <w:spacing w:val="0"/>
          <w:sz w:val="22"/>
          <w:szCs w:val="24"/>
          <w:rtl/>
        </w:rPr>
        <w:t>זוסמן</w:t>
      </w:r>
      <w:r>
        <w:rPr>
          <w:rFonts w:hint="cs"/>
          <w:rtl/>
        </w:rPr>
        <w:t xml:space="preserve"> סייג את דבריו רק לעניינה של רשימה המבקשת לערער על עצם קיומה הפיזי של המדינה. אף לשיטתו, שמירה על יסודות המשטר הדמוקרטי </w:t>
      </w:r>
      <w:r>
        <w:rPr>
          <w:rtl/>
        </w:rPr>
        <w:t>–</w:t>
      </w:r>
      <w:r>
        <w:rPr>
          <w:rFonts w:hint="cs"/>
          <w:rtl/>
        </w:rPr>
        <w:t xml:space="preserve"> אינה יכולה לשמש נימוק לפסילה, גם לא תמיכה בטרור או בגזענות (ראו: דברי השופט </w:t>
      </w:r>
      <w:r w:rsidRPr="005A7DD8">
        <w:rPr>
          <w:rFonts w:ascii="Century" w:hAnsi="Century" w:cs="Miriam" w:hint="cs"/>
          <w:b/>
          <w:spacing w:val="0"/>
          <w:sz w:val="22"/>
          <w:szCs w:val="24"/>
          <w:rtl/>
        </w:rPr>
        <w:t>מ' בייסקי</w:t>
      </w:r>
      <w:r>
        <w:rPr>
          <w:rFonts w:hint="cs"/>
          <w:rtl/>
        </w:rPr>
        <w:t xml:space="preserve"> ב</w:t>
      </w:r>
      <w:r w:rsidRPr="008F5615">
        <w:rPr>
          <w:rtl/>
        </w:rPr>
        <w:t xml:space="preserve">ע"ב 2/84 </w:t>
      </w:r>
      <w:r w:rsidRPr="005A7DD8">
        <w:rPr>
          <w:rFonts w:ascii="Century" w:hAnsi="Century" w:cs="Miriam"/>
          <w:b/>
          <w:spacing w:val="0"/>
          <w:sz w:val="22"/>
          <w:szCs w:val="24"/>
          <w:rtl/>
        </w:rPr>
        <w:t>ניימן נ' יו"ר ועדת הבחירות המרכזית לכנסת האחת-עשרה</w:t>
      </w:r>
      <w:r w:rsidRPr="008F5615">
        <w:rPr>
          <w:rtl/>
        </w:rPr>
        <w:t xml:space="preserve">, </w:t>
      </w:r>
      <w:r>
        <w:rPr>
          <w:rFonts w:hint="cs"/>
          <w:rtl/>
        </w:rPr>
        <w:t xml:space="preserve">פ"ד </w:t>
      </w:r>
      <w:r w:rsidRPr="008F5615">
        <w:rPr>
          <w:rtl/>
        </w:rPr>
        <w:t>לט(2) 225</w:t>
      </w:r>
      <w:r>
        <w:rPr>
          <w:rFonts w:hint="cs"/>
          <w:rtl/>
        </w:rPr>
        <w:t>, 332-325</w:t>
      </w:r>
      <w:r w:rsidRPr="008F5615">
        <w:rPr>
          <w:rtl/>
        </w:rPr>
        <w:t xml:space="preserve"> (1985)</w:t>
      </w:r>
      <w:r>
        <w:rPr>
          <w:rFonts w:hint="cs"/>
          <w:rtl/>
        </w:rPr>
        <w:t xml:space="preserve"> </w:t>
      </w:r>
      <w:r>
        <w:rPr>
          <w:rtl/>
        </w:rPr>
        <w:t>(</w:t>
      </w:r>
      <w:r>
        <w:rPr>
          <w:rFonts w:hint="eastAsia"/>
          <w:rtl/>
        </w:rPr>
        <w:t>להלן</w:t>
      </w:r>
      <w:r>
        <w:rPr>
          <w:rtl/>
        </w:rPr>
        <w:t xml:space="preserve">: </w:t>
      </w:r>
      <w:r>
        <w:rPr>
          <w:rFonts w:ascii="Century" w:hAnsi="Century" w:cs="Miriam" w:hint="cs"/>
          <w:b/>
          <w:spacing w:val="0"/>
          <w:sz w:val="22"/>
          <w:szCs w:val="24"/>
          <w:rtl/>
        </w:rPr>
        <w:t>עניין ניימן</w:t>
      </w:r>
      <w:r>
        <w:rPr>
          <w:rFonts w:hint="cs"/>
          <w:rtl/>
        </w:rPr>
        <w:t xml:space="preserve">)). ממילא, כל אֵלו המבקשים להעלות על נס ערכים מופשטים, בדמות 'ערכי היסוד של השיטה', או 'יהודית ודמוקרטית', אינם יכולים להיתלות בדברים שנאמרו בעניין </w:t>
      </w:r>
      <w:r w:rsidRPr="005A7DD8">
        <w:rPr>
          <w:rFonts w:ascii="Century" w:hAnsi="Century" w:cs="Miriam" w:hint="cs"/>
          <w:b/>
          <w:spacing w:val="0"/>
          <w:sz w:val="22"/>
          <w:szCs w:val="24"/>
          <w:rtl/>
        </w:rPr>
        <w:t>ירדור</w:t>
      </w:r>
      <w:r>
        <w:rPr>
          <w:rFonts w:hint="cs"/>
          <w:rtl/>
        </w:rPr>
        <w:t xml:space="preserve"> (לביקורת ברוח דומה ראו דבריו של חברי, השופט </w:t>
      </w:r>
      <w:r w:rsidRPr="00E379D5">
        <w:rPr>
          <w:rFonts w:ascii="Century" w:hAnsi="Century" w:cs="Miriam" w:hint="cs"/>
          <w:b/>
          <w:spacing w:val="0"/>
          <w:sz w:val="22"/>
          <w:szCs w:val="24"/>
          <w:rtl/>
        </w:rPr>
        <w:t>ע' גרוסקופף</w:t>
      </w:r>
      <w:r>
        <w:rPr>
          <w:rFonts w:hint="cs"/>
          <w:rtl/>
        </w:rPr>
        <w:t xml:space="preserve"> בפסקה 21). נוסף על כך, חשוב לזכור, כי פסק הדין בעניין </w:t>
      </w:r>
      <w:r w:rsidRPr="005A7DD8">
        <w:rPr>
          <w:rFonts w:ascii="Century" w:hAnsi="Century" w:cs="Miriam" w:hint="cs"/>
          <w:b/>
          <w:spacing w:val="0"/>
          <w:sz w:val="22"/>
          <w:szCs w:val="24"/>
          <w:rtl/>
        </w:rPr>
        <w:t>בנק המזרחי</w:t>
      </w:r>
      <w:r>
        <w:rPr>
          <w:rFonts w:hint="cs"/>
          <w:rtl/>
        </w:rPr>
        <w:t xml:space="preserve"> </w:t>
      </w:r>
      <w:r>
        <w:rPr>
          <w:rtl/>
        </w:rPr>
        <w:t>–</w:t>
      </w:r>
      <w:r>
        <w:rPr>
          <w:rFonts w:hint="cs"/>
          <w:rtl/>
        </w:rPr>
        <w:t xml:space="preserve"> הן חוות דעתו של הנשיא (בדימ') </w:t>
      </w:r>
      <w:r w:rsidRPr="005A7DD8">
        <w:rPr>
          <w:rFonts w:ascii="Century" w:hAnsi="Century" w:cs="Miriam" w:hint="cs"/>
          <w:b/>
          <w:spacing w:val="0"/>
          <w:sz w:val="22"/>
          <w:szCs w:val="24"/>
          <w:rtl/>
        </w:rPr>
        <w:t>שמגר</w:t>
      </w:r>
      <w:r>
        <w:rPr>
          <w:rFonts w:hint="cs"/>
          <w:rtl/>
        </w:rPr>
        <w:t xml:space="preserve">, הן חוות דעתו של הנשיא </w:t>
      </w:r>
      <w:r w:rsidRPr="005A7DD8">
        <w:rPr>
          <w:rFonts w:ascii="Century" w:hAnsi="Century" w:cs="Miriam" w:hint="cs"/>
          <w:b/>
          <w:spacing w:val="0"/>
          <w:sz w:val="22"/>
          <w:szCs w:val="24"/>
          <w:rtl/>
        </w:rPr>
        <w:t>ברק</w:t>
      </w:r>
      <w:r>
        <w:rPr>
          <w:rFonts w:hint="cs"/>
          <w:rtl/>
        </w:rPr>
        <w:t xml:space="preserve"> </w:t>
      </w:r>
      <w:r>
        <w:rPr>
          <w:rtl/>
        </w:rPr>
        <w:t>–</w:t>
      </w:r>
      <w:r>
        <w:rPr>
          <w:rFonts w:hint="cs"/>
          <w:rtl/>
        </w:rPr>
        <w:t xml:space="preserve"> מבוסס כולו על גישת המשפט הפוזיטיביסטי; לא משפט הטבע. </w:t>
      </w:r>
    </w:p>
    <w:p w:rsidR="00EB02E1" w:rsidRDefault="00EB02E1" w:rsidP="00EB02E1">
      <w:pPr>
        <w:pStyle w:val="Ruller41"/>
        <w:rPr>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t xml:space="preserve">הנשיא </w:t>
      </w:r>
      <w:r>
        <w:rPr>
          <w:rFonts w:ascii="Century" w:hAnsi="Century" w:cs="Miriam" w:hint="cs"/>
          <w:b/>
          <w:spacing w:val="0"/>
          <w:szCs w:val="24"/>
          <w:rtl/>
        </w:rPr>
        <w:t xml:space="preserve">מ' </w:t>
      </w:r>
      <w:r>
        <w:rPr>
          <w:rFonts w:ascii="Century" w:hAnsi="Century" w:cs="Miriam"/>
          <w:b/>
          <w:spacing w:val="0"/>
          <w:szCs w:val="24"/>
          <w:rtl/>
        </w:rPr>
        <w:t>לנדוי</w:t>
      </w:r>
    </w:p>
    <w:p w:rsidR="00EB02E1" w:rsidRDefault="00EB02E1" w:rsidP="00EB02E1">
      <w:pPr>
        <w:pStyle w:val="Ruller4"/>
        <w:textAlignment w:val="auto"/>
      </w:pPr>
      <w:r>
        <w:rPr>
          <w:rtl/>
        </w:rPr>
        <w:t>ה</w:t>
      </w:r>
      <w:r>
        <w:rPr>
          <w:rFonts w:hint="cs"/>
          <w:rtl/>
        </w:rPr>
        <w:t>שופט</w:t>
      </w:r>
      <w:r>
        <w:rPr>
          <w:rtl/>
        </w:rPr>
        <w:t xml:space="preserve"> </w:t>
      </w:r>
      <w:r>
        <w:rPr>
          <w:rFonts w:ascii="Century" w:hAnsi="Century" w:cs="Miriam"/>
          <w:b/>
          <w:spacing w:val="0"/>
          <w:sz w:val="22"/>
          <w:szCs w:val="24"/>
          <w:rtl/>
        </w:rPr>
        <w:t>מ' לנדוי</w:t>
      </w:r>
      <w:r>
        <w:rPr>
          <w:rtl/>
        </w:rPr>
        <w:t xml:space="preserve">, נשיאו החמישי של בית משפט זה, אף הוא פרס את משנתו בשאלה שעל הפרק, בשורה ארוכה של פסקי דין, שיצאו תחת ידיו במשך השנים הרבות שבהן ישב על מדין. </w:t>
      </w:r>
    </w:p>
    <w:p w:rsidR="00EB02E1" w:rsidRPr="004766E7" w:rsidRDefault="00EB02E1" w:rsidP="00EB02E1">
      <w:pPr>
        <w:pStyle w:val="Ruller41"/>
        <w:spacing w:line="240" w:lineRule="auto"/>
        <w:rPr>
          <w:rtl/>
        </w:rPr>
      </w:pPr>
    </w:p>
    <w:p w:rsidR="00EB02E1" w:rsidRDefault="00EB02E1" w:rsidP="00EB02E1">
      <w:pPr>
        <w:pStyle w:val="Ruller4"/>
        <w:textAlignment w:val="auto"/>
      </w:pPr>
      <w:r>
        <w:rPr>
          <w:rtl/>
        </w:rPr>
        <w:t xml:space="preserve"> כבר בפסק הדין בע"פ 112/50 </w:t>
      </w:r>
      <w:r>
        <w:rPr>
          <w:rFonts w:ascii="Century" w:hAnsi="Century" w:cs="Miriam"/>
          <w:b/>
          <w:spacing w:val="0"/>
          <w:sz w:val="22"/>
          <w:szCs w:val="24"/>
          <w:rtl/>
        </w:rPr>
        <w:t>יוסיפוף נ' היועץ המשפטי לממשלת ישראל</w:t>
      </w:r>
      <w:r>
        <w:rPr>
          <w:rtl/>
        </w:rPr>
        <w:t xml:space="preserve">, פ"ד ה 481, 489-488 (1951), שניתן בשנותיה הראשונות של המדינה, נכתב על-ידי השופט </w:t>
      </w:r>
      <w:r>
        <w:rPr>
          <w:rFonts w:ascii="Century" w:hAnsi="Century" w:cs="Miriam"/>
          <w:b/>
          <w:spacing w:val="0"/>
          <w:sz w:val="22"/>
          <w:szCs w:val="24"/>
          <w:rtl/>
        </w:rPr>
        <w:t>לנדוי</w:t>
      </w:r>
      <w:r>
        <w:rPr>
          <w:rtl/>
        </w:rPr>
        <w:t xml:space="preserve">, כי </w:t>
      </w:r>
      <w:r>
        <w:rPr>
          <w:rFonts w:ascii="Century" w:hAnsi="Century" w:cs="Miriam"/>
          <w:b/>
          <w:spacing w:val="0"/>
          <w:sz w:val="22"/>
          <w:szCs w:val="24"/>
          <w:rtl/>
        </w:rPr>
        <w:t>"עקרון אי-ההפליה משקף את השאיפה לש</w:t>
      </w:r>
      <w:r>
        <w:rPr>
          <w:rFonts w:ascii="Century" w:hAnsi="Century" w:cs="Miriam" w:hint="cs"/>
          <w:b/>
          <w:spacing w:val="0"/>
          <w:sz w:val="22"/>
          <w:szCs w:val="24"/>
          <w:rtl/>
        </w:rPr>
        <w:t>ו</w:t>
      </w:r>
      <w:r>
        <w:rPr>
          <w:rFonts w:ascii="Century" w:hAnsi="Century" w:cs="Miriam"/>
          <w:b/>
          <w:spacing w:val="0"/>
          <w:sz w:val="22"/>
          <w:szCs w:val="24"/>
          <w:rtl/>
        </w:rPr>
        <w:t>ויון כל האזרחים בפני החוק; חופש המצפון והפולחן הוא אחת מחרויות הפרט המובטחות לו בכל משטר דמוקרטי נאור. בהכרזה על הקמת מדינת ישראל נאמר: 'מדינת ישראל... תקיים ש</w:t>
      </w:r>
      <w:r>
        <w:rPr>
          <w:rFonts w:ascii="Century" w:hAnsi="Century" w:cs="Miriam" w:hint="cs"/>
          <w:b/>
          <w:spacing w:val="0"/>
          <w:sz w:val="22"/>
          <w:szCs w:val="24"/>
          <w:rtl/>
        </w:rPr>
        <w:t>ו</w:t>
      </w:r>
      <w:r>
        <w:rPr>
          <w:rFonts w:ascii="Century" w:hAnsi="Century" w:cs="Miriam"/>
          <w:b/>
          <w:spacing w:val="0"/>
          <w:sz w:val="22"/>
          <w:szCs w:val="24"/>
          <w:rtl/>
        </w:rPr>
        <w:t xml:space="preserve">ויון זכויות חברתי ומדיני גמור לכל אזרחיה, בלי הבדל דת, גזע ומין; תבטיח חופש דת, מצפון, לשון, חינוך ותרבות...' [בא-כוח המערער] הזכיר בטענותיו את המלים האלה. אבל </w:t>
      </w:r>
      <w:r>
        <w:rPr>
          <w:rFonts w:ascii="Century" w:hAnsi="Century" w:cs="Miriam"/>
          <w:b/>
          <w:spacing w:val="0"/>
          <w:sz w:val="22"/>
          <w:szCs w:val="24"/>
          <w:u w:val="single"/>
          <w:rtl/>
        </w:rPr>
        <w:t>לא הסיק מהן שום מסקנות משפטיות, והצדק עמו</w:t>
      </w:r>
      <w:r>
        <w:rPr>
          <w:rFonts w:ascii="Century" w:hAnsi="Century" w:cs="Miriam"/>
          <w:b/>
          <w:spacing w:val="0"/>
          <w:sz w:val="22"/>
          <w:szCs w:val="24"/>
          <w:rtl/>
        </w:rPr>
        <w:t>, כי בית משפט זה כבר החליט [...] ש'אין בהכרזה משום חוק קונסטיטוציוני הפוסק הלכה למעשה בד</w:t>
      </w:r>
      <w:r>
        <w:rPr>
          <w:rFonts w:ascii="Century" w:hAnsi="Century" w:cs="Miriam" w:hint="cs"/>
          <w:b/>
          <w:spacing w:val="0"/>
          <w:sz w:val="22"/>
          <w:szCs w:val="24"/>
          <w:rtl/>
        </w:rPr>
        <w:t>ב</w:t>
      </w:r>
      <w:r>
        <w:rPr>
          <w:rFonts w:ascii="Century" w:hAnsi="Century" w:cs="Miriam"/>
          <w:b/>
          <w:spacing w:val="0"/>
          <w:sz w:val="22"/>
          <w:szCs w:val="24"/>
          <w:rtl/>
        </w:rPr>
        <w:t xml:space="preserve">ר קיום פקודות וחוקים שונים, או ביטולם'. לכן הסכים [בא-כוח המערער] שאילו חוקקה הכנסת במדינת ישראל סעיף כסעיף 181 הנדון כאן, </w:t>
      </w:r>
      <w:r>
        <w:rPr>
          <w:rFonts w:ascii="Century" w:hAnsi="Century" w:cs="Miriam"/>
          <w:b/>
          <w:spacing w:val="0"/>
          <w:sz w:val="22"/>
          <w:szCs w:val="24"/>
          <w:u w:val="single"/>
          <w:rtl/>
        </w:rPr>
        <w:t>לא היה יכול לערער על חוקיותו</w:t>
      </w:r>
      <w:r>
        <w:rPr>
          <w:rFonts w:ascii="Century" w:hAnsi="Century" w:cs="Miriam"/>
          <w:b/>
          <w:spacing w:val="0"/>
          <w:sz w:val="22"/>
          <w:szCs w:val="24"/>
          <w:rtl/>
        </w:rPr>
        <w:t>"</w:t>
      </w:r>
      <w:r>
        <w:rPr>
          <w:rtl/>
        </w:rPr>
        <w:t>.</w:t>
      </w:r>
    </w:p>
    <w:p w:rsidR="00EB02E1" w:rsidRPr="004766E7" w:rsidRDefault="00EB02E1" w:rsidP="00EB02E1">
      <w:pPr>
        <w:pStyle w:val="Ruller41"/>
        <w:spacing w:line="240" w:lineRule="auto"/>
        <w:rPr>
          <w:rtl/>
        </w:rPr>
      </w:pPr>
    </w:p>
    <w:p w:rsidR="00EB02E1" w:rsidRDefault="00EB02E1" w:rsidP="00EB02E1">
      <w:pPr>
        <w:pStyle w:val="Ruller4"/>
        <w:textAlignment w:val="auto"/>
        <w:rPr>
          <w:rtl/>
        </w:rPr>
      </w:pPr>
      <w:r>
        <w:rPr>
          <w:rtl/>
        </w:rPr>
        <w:lastRenderedPageBreak/>
        <w:t xml:space="preserve">גם בבג"ץ 112/77 </w:t>
      </w:r>
      <w:r>
        <w:rPr>
          <w:rFonts w:ascii="Century" w:hAnsi="Century" w:cs="Miriam"/>
          <w:b/>
          <w:spacing w:val="0"/>
          <w:sz w:val="22"/>
          <w:szCs w:val="24"/>
          <w:rtl/>
        </w:rPr>
        <w:t>פוגל נ' רשות השידור</w:t>
      </w:r>
      <w:r>
        <w:rPr>
          <w:rtl/>
        </w:rPr>
        <w:t xml:space="preserve">, פ"ד לא(3) 657, 665 (1977) (להלן: </w:t>
      </w:r>
      <w:r w:rsidRPr="00D42C20">
        <w:rPr>
          <w:rFonts w:ascii="Century" w:hAnsi="Century" w:cs="Miriam"/>
          <w:b/>
          <w:spacing w:val="0"/>
          <w:sz w:val="22"/>
          <w:szCs w:val="24"/>
          <w:rtl/>
        </w:rPr>
        <w:t>עניין</w:t>
      </w:r>
      <w:r>
        <w:rPr>
          <w:rFonts w:ascii="Century" w:hAnsi="Century" w:cs="Miriam"/>
          <w:b/>
          <w:spacing w:val="0"/>
          <w:sz w:val="22"/>
          <w:szCs w:val="24"/>
          <w:rtl/>
        </w:rPr>
        <w:t xml:space="preserve"> פוגל</w:t>
      </w:r>
      <w:r>
        <w:rPr>
          <w:rtl/>
        </w:rPr>
        <w:t xml:space="preserve">), שנינו מפיו של השופט </w:t>
      </w:r>
      <w:r>
        <w:rPr>
          <w:rFonts w:ascii="Century" w:hAnsi="Century" w:cs="Miriam"/>
          <w:b/>
          <w:spacing w:val="0"/>
          <w:sz w:val="22"/>
          <w:szCs w:val="24"/>
          <w:rtl/>
        </w:rPr>
        <w:t>לנדוי</w:t>
      </w:r>
      <w:r>
        <w:rPr>
          <w:rtl/>
        </w:rPr>
        <w:t xml:space="preserve">, כי </w:t>
      </w:r>
      <w:r>
        <w:rPr>
          <w:rFonts w:ascii="Century" w:hAnsi="Century" w:cs="Miriam"/>
          <w:b/>
          <w:spacing w:val="0"/>
          <w:sz w:val="22"/>
          <w:szCs w:val="24"/>
          <w:rtl/>
        </w:rPr>
        <w:t xml:space="preserve">"במילים האחרונות מבהיר השופט ויתקון שהתפתחות הפסיקה, כפי שהוא משרטט אותה, יסודה בהגנה על חופש הפרט, דהיינו על חירויות האזרח, אף שאלה 'אינן כתובות על ספר'. כך זכינו למעין מגילת זכויות שיפוטית, בדומה למגילות כאלה הכתובות בחוקות של מדינות אחרות, אך להבדיל מאחדות מהן (לא כולן) </w:t>
      </w:r>
      <w:r>
        <w:rPr>
          <w:rFonts w:ascii="Century" w:hAnsi="Century" w:cs="Miriam"/>
          <w:b/>
          <w:spacing w:val="0"/>
          <w:sz w:val="22"/>
          <w:szCs w:val="24"/>
          <w:u w:val="single"/>
          <w:rtl/>
        </w:rPr>
        <w:t>כפופה מגילת הזכויות שלנו לרצונה הריבוני של הכנסת כרשות המחוקקת</w:t>
      </w:r>
      <w:r>
        <w:rPr>
          <w:rFonts w:ascii="Century" w:hAnsi="Century" w:cs="Miriam"/>
          <w:b/>
          <w:spacing w:val="0"/>
          <w:sz w:val="22"/>
          <w:szCs w:val="24"/>
          <w:rtl/>
        </w:rPr>
        <w:t>"</w:t>
      </w:r>
      <w:r>
        <w:rPr>
          <w:rtl/>
        </w:rPr>
        <w:t>.</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 xml:space="preserve">בבג"ץ 306/81 </w:t>
      </w:r>
      <w:r>
        <w:rPr>
          <w:rFonts w:ascii="Century" w:hAnsi="Century" w:cs="Miriam"/>
          <w:b/>
          <w:spacing w:val="0"/>
          <w:sz w:val="22"/>
          <w:szCs w:val="24"/>
          <w:rtl/>
        </w:rPr>
        <w:t>פלאטו שרון נ' ועדת הכנסת</w:t>
      </w:r>
      <w:r>
        <w:rPr>
          <w:rtl/>
        </w:rPr>
        <w:t>, פ"ד לה(4) 118, 137-136 (1981)</w:t>
      </w:r>
      <w:r>
        <w:rPr>
          <w:rFonts w:hint="cs"/>
          <w:rtl/>
        </w:rPr>
        <w:t xml:space="preserve"> </w:t>
      </w:r>
      <w:r>
        <w:rPr>
          <w:rtl/>
        </w:rPr>
        <w:t>חזר הנשיא</w:t>
      </w:r>
      <w:r>
        <w:rPr>
          <w:rFonts w:ascii="Century" w:hAnsi="Century" w:cs="Miriam"/>
          <w:b/>
          <w:spacing w:val="0"/>
          <w:sz w:val="22"/>
          <w:szCs w:val="24"/>
          <w:rtl/>
        </w:rPr>
        <w:t xml:space="preserve"> לנדוי</w:t>
      </w:r>
      <w:r>
        <w:rPr>
          <w:rtl/>
        </w:rPr>
        <w:t xml:space="preserve"> וציין כי </w:t>
      </w:r>
      <w:r>
        <w:rPr>
          <w:rFonts w:ascii="Century" w:hAnsi="Century" w:cs="Miriam"/>
          <w:b/>
          <w:spacing w:val="0"/>
          <w:sz w:val="22"/>
          <w:szCs w:val="24"/>
          <w:rtl/>
        </w:rPr>
        <w:t>"דעת הכול היא, לפי ההסדר החוקתי הקיים אצלנו לעת עתה, כי בנתון לבעיה המיוחדת של הוראות חוק משוריינות, אין בית-משפט זה נוטל לעצמו סמכות ביקורת על תוכן חקיקתה של הכנסת"</w:t>
      </w:r>
      <w:r>
        <w:rPr>
          <w:rtl/>
        </w:rPr>
        <w:t>. אכן, ההסדר החוקתי הקיים, בכל ה</w:t>
      </w:r>
      <w:r>
        <w:rPr>
          <w:rFonts w:hint="cs"/>
          <w:rtl/>
        </w:rPr>
        <w:t>נוגע</w:t>
      </w:r>
      <w:r>
        <w:rPr>
          <w:rtl/>
        </w:rPr>
        <w:t xml:space="preserve"> למעמדם של חוקים רגילים – השתנה מאז. אך בכל הקשור לביקורת על חוקי-היסוד עצמם, הרי ש</w:t>
      </w:r>
      <w:r>
        <w:rPr>
          <w:rFonts w:ascii="Century" w:hAnsi="Century" w:cs="Miriam"/>
          <w:b/>
          <w:spacing w:val="0"/>
          <w:sz w:val="22"/>
          <w:szCs w:val="24"/>
          <w:rtl/>
        </w:rPr>
        <w:t>"ההסדר החוקתי הקיים אצלנו לעת עתה"</w:t>
      </w:r>
      <w:r>
        <w:rPr>
          <w:rtl/>
        </w:rPr>
        <w:t xml:space="preserve">, </w:t>
      </w:r>
      <w:r>
        <w:rPr>
          <w:rFonts w:hint="cs"/>
          <w:rtl/>
        </w:rPr>
        <w:t>שריר ו</w:t>
      </w:r>
      <w:r>
        <w:rPr>
          <w:rtl/>
        </w:rPr>
        <w:t>קיים גם עתה, כפי שביארתי ב</w:t>
      </w:r>
      <w:r>
        <w:rPr>
          <w:rFonts w:hint="cs"/>
          <w:rtl/>
        </w:rPr>
        <w:t>ּ</w:t>
      </w:r>
      <w:r>
        <w:rPr>
          <w:rtl/>
        </w:rPr>
        <w:t>פ</w:t>
      </w:r>
      <w:r>
        <w:rPr>
          <w:rFonts w:hint="cs"/>
          <w:rtl/>
        </w:rPr>
        <w:t>ִ</w:t>
      </w:r>
      <w:r>
        <w:rPr>
          <w:rtl/>
        </w:rPr>
        <w:t>תחה של חוות דעתי</w:t>
      </w:r>
      <w:r>
        <w:rPr>
          <w:rFonts w:hint="cs"/>
          <w:rtl/>
        </w:rPr>
        <w:t xml:space="preserve"> (ראו גם פסקאות 67-64 להלן)</w:t>
      </w:r>
      <w:r>
        <w:rPr>
          <w:rtl/>
        </w:rPr>
        <w:t xml:space="preserve">. </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 xml:space="preserve">נוסף על פסקי דין אלו, היה השופט </w:t>
      </w:r>
      <w:r>
        <w:rPr>
          <w:rFonts w:ascii="Century" w:hAnsi="Century" w:cs="Miriam"/>
          <w:b/>
          <w:spacing w:val="0"/>
          <w:sz w:val="22"/>
          <w:szCs w:val="24"/>
          <w:rtl/>
        </w:rPr>
        <w:t>לנדוי</w:t>
      </w:r>
      <w:r>
        <w:rPr>
          <w:rtl/>
        </w:rPr>
        <w:t xml:space="preserve"> שותף לפסק הדין בעניין </w:t>
      </w:r>
      <w:r>
        <w:rPr>
          <w:rFonts w:ascii="Century" w:hAnsi="Century" w:cs="Miriam"/>
          <w:b/>
          <w:spacing w:val="0"/>
          <w:sz w:val="22"/>
          <w:szCs w:val="24"/>
          <w:rtl/>
        </w:rPr>
        <w:t>קניאל</w:t>
      </w:r>
      <w:r>
        <w:rPr>
          <w:rtl/>
        </w:rPr>
        <w:t xml:space="preserve">, והצטרף בהסכמה גם לפסקי הדין בעניין </w:t>
      </w:r>
      <w:r>
        <w:rPr>
          <w:rFonts w:ascii="Century" w:hAnsi="Century" w:cs="Miriam"/>
          <w:b/>
          <w:spacing w:val="0"/>
          <w:sz w:val="22"/>
          <w:szCs w:val="24"/>
          <w:rtl/>
        </w:rPr>
        <w:t>קול העם</w:t>
      </w:r>
      <w:r>
        <w:rPr>
          <w:rtl/>
        </w:rPr>
        <w:t xml:space="preserve">, ובעניין </w:t>
      </w:r>
      <w:r>
        <w:rPr>
          <w:rFonts w:ascii="Century" w:hAnsi="Century" w:cs="Miriam"/>
          <w:b/>
          <w:spacing w:val="0"/>
          <w:sz w:val="22"/>
          <w:szCs w:val="24"/>
          <w:rtl/>
        </w:rPr>
        <w:t>ברגמן</w:t>
      </w:r>
      <w:r>
        <w:rPr>
          <w:rFonts w:hint="cs"/>
          <w:rtl/>
        </w:rPr>
        <w:t>;</w:t>
      </w:r>
      <w:r>
        <w:rPr>
          <w:rtl/>
        </w:rPr>
        <w:t xml:space="preserve"> כולם נסקרו לעיל. </w:t>
      </w:r>
    </w:p>
    <w:p w:rsidR="00EB02E1" w:rsidRDefault="00EB02E1" w:rsidP="00EB02E1">
      <w:pPr>
        <w:pStyle w:val="Ruller41"/>
        <w:rPr>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t xml:space="preserve">השופט </w:t>
      </w:r>
      <w:r>
        <w:rPr>
          <w:rFonts w:ascii="Century" w:hAnsi="Century" w:cs="Miriam" w:hint="cs"/>
          <w:b/>
          <w:spacing w:val="0"/>
          <w:szCs w:val="24"/>
          <w:rtl/>
        </w:rPr>
        <w:t xml:space="preserve">צ' </w:t>
      </w:r>
      <w:r>
        <w:rPr>
          <w:rFonts w:ascii="Century" w:hAnsi="Century" w:cs="Miriam"/>
          <w:b/>
          <w:spacing w:val="0"/>
          <w:szCs w:val="24"/>
          <w:rtl/>
        </w:rPr>
        <w:t>ברנזון</w:t>
      </w:r>
    </w:p>
    <w:p w:rsidR="00EB02E1" w:rsidRDefault="00EB02E1" w:rsidP="00EB02E1">
      <w:pPr>
        <w:pStyle w:val="Ruller4"/>
        <w:textAlignment w:val="auto"/>
        <w:rPr>
          <w:rtl/>
        </w:rPr>
      </w:pPr>
      <w:r>
        <w:rPr>
          <w:rtl/>
        </w:rPr>
        <w:t>במשך קרוב לשנות</w:t>
      </w:r>
      <w:r>
        <w:rPr>
          <w:rFonts w:hint="cs"/>
          <w:rtl/>
        </w:rPr>
        <w:t>-</w:t>
      </w:r>
      <w:r>
        <w:rPr>
          <w:rtl/>
        </w:rPr>
        <w:t>דור</w:t>
      </w:r>
      <w:r>
        <w:rPr>
          <w:rFonts w:hint="cs"/>
          <w:rtl/>
        </w:rPr>
        <w:t>,</w:t>
      </w:r>
      <w:r>
        <w:rPr>
          <w:rtl/>
        </w:rPr>
        <w:t xml:space="preserve"> </w:t>
      </w:r>
      <w:r>
        <w:rPr>
          <w:rFonts w:hint="cs"/>
          <w:rtl/>
        </w:rPr>
        <w:t xml:space="preserve">כיהן השופט </w:t>
      </w:r>
      <w:r w:rsidRPr="004021C7">
        <w:rPr>
          <w:rFonts w:ascii="Century" w:hAnsi="Century" w:cs="Miriam" w:hint="cs"/>
          <w:b/>
          <w:spacing w:val="0"/>
          <w:sz w:val="22"/>
          <w:szCs w:val="24"/>
          <w:rtl/>
        </w:rPr>
        <w:t xml:space="preserve">צ' ברנזון </w:t>
      </w:r>
      <w:r>
        <w:rPr>
          <w:rtl/>
        </w:rPr>
        <w:t xml:space="preserve">בבית המשפט העליון, גם הוא </w:t>
      </w:r>
      <w:r>
        <w:rPr>
          <w:rFonts w:hint="cs"/>
          <w:rtl/>
        </w:rPr>
        <w:t xml:space="preserve">השאיר </w:t>
      </w:r>
      <w:r>
        <w:rPr>
          <w:rtl/>
        </w:rPr>
        <w:t>אחריו ברכה, כמה וכמה פסקי דין, ללמד</w:t>
      </w:r>
      <w:r>
        <w:rPr>
          <w:rFonts w:hint="cs"/>
          <w:rtl/>
        </w:rPr>
        <w:t>נו</w:t>
      </w:r>
      <w:r>
        <w:rPr>
          <w:rtl/>
        </w:rPr>
        <w:t xml:space="preserve"> על דעתו הנחרצת והברורה. ראש וראשון להם הוא פסק הדין בעניין </w:t>
      </w:r>
      <w:r>
        <w:rPr>
          <w:rFonts w:ascii="Century" w:hAnsi="Century" w:cs="Miriam"/>
          <w:b/>
          <w:spacing w:val="0"/>
          <w:sz w:val="22"/>
          <w:szCs w:val="24"/>
          <w:rtl/>
        </w:rPr>
        <w:t>רוגוזינסקי</w:t>
      </w:r>
      <w:r>
        <w:rPr>
          <w:rtl/>
        </w:rPr>
        <w:t xml:space="preserve">, שצוטט לעיל בארוכה, </w:t>
      </w:r>
      <w:r>
        <w:rPr>
          <w:rFonts w:hint="cs"/>
          <w:rtl/>
        </w:rPr>
        <w:t xml:space="preserve">ובו </w:t>
      </w:r>
      <w:r>
        <w:rPr>
          <w:rtl/>
        </w:rPr>
        <w:t xml:space="preserve">דחה השופט </w:t>
      </w:r>
      <w:r>
        <w:rPr>
          <w:rFonts w:ascii="Century" w:hAnsi="Century" w:cs="Miriam"/>
          <w:b/>
          <w:spacing w:val="0"/>
          <w:sz w:val="22"/>
          <w:szCs w:val="24"/>
          <w:rtl/>
        </w:rPr>
        <w:t>ברנזון</w:t>
      </w:r>
      <w:r>
        <w:rPr>
          <w:rtl/>
        </w:rPr>
        <w:t xml:space="preserve"> את הנסיון להכפיף את כוחו של המחוקק, הן למגילת העצמאות, הן ל'עקרונות היסוד של השיטה'. </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 xml:space="preserve">בפסק הדין בע"א 228/63 </w:t>
      </w:r>
      <w:r>
        <w:rPr>
          <w:rFonts w:ascii="Century" w:hAnsi="Century" w:cs="Miriam"/>
          <w:b/>
          <w:spacing w:val="0"/>
          <w:sz w:val="22"/>
          <w:szCs w:val="24"/>
          <w:rtl/>
        </w:rPr>
        <w:t>עזוז נ' עזר</w:t>
      </w:r>
      <w:r>
        <w:rPr>
          <w:rtl/>
        </w:rPr>
        <w:t xml:space="preserve">, פ"ד יז 2541, 2547 (1963) </w:t>
      </w:r>
      <w:r>
        <w:rPr>
          <w:rFonts w:hint="cs"/>
          <w:rtl/>
        </w:rPr>
        <w:t>אמר</w:t>
      </w:r>
      <w:r>
        <w:rPr>
          <w:rtl/>
        </w:rPr>
        <w:t xml:space="preserve"> השופט </w:t>
      </w:r>
      <w:r>
        <w:rPr>
          <w:rFonts w:ascii="Century" w:hAnsi="Century" w:cs="Miriam"/>
          <w:b/>
          <w:spacing w:val="0"/>
          <w:sz w:val="22"/>
          <w:szCs w:val="24"/>
          <w:rtl/>
        </w:rPr>
        <w:t>ברנזון</w:t>
      </w:r>
      <w:r>
        <w:rPr>
          <w:rFonts w:hint="cs"/>
          <w:rtl/>
        </w:rPr>
        <w:t xml:space="preserve"> כדברים האלה:</w:t>
      </w:r>
      <w:r>
        <w:rPr>
          <w:rtl/>
        </w:rPr>
        <w:t xml:space="preserve"> </w:t>
      </w:r>
      <w:r>
        <w:rPr>
          <w:rFonts w:ascii="Century" w:hAnsi="Century" w:cs="Miriam"/>
          <w:b/>
          <w:spacing w:val="0"/>
          <w:sz w:val="22"/>
          <w:szCs w:val="24"/>
          <w:rtl/>
        </w:rPr>
        <w:t xml:space="preserve">"תמיד חשבתי, כי </w:t>
      </w:r>
      <w:r>
        <w:rPr>
          <w:rFonts w:ascii="Century" w:hAnsi="Century" w:cs="Miriam"/>
          <w:b/>
          <w:spacing w:val="0"/>
          <w:sz w:val="22"/>
          <w:szCs w:val="24"/>
          <w:u w:val="single"/>
          <w:rtl/>
        </w:rPr>
        <w:t>נעלה מכל ספק</w:t>
      </w:r>
      <w:r>
        <w:rPr>
          <w:rFonts w:ascii="Century" w:hAnsi="Century" w:cs="Miriam"/>
          <w:b/>
          <w:spacing w:val="0"/>
          <w:sz w:val="22"/>
          <w:szCs w:val="24"/>
          <w:rtl/>
        </w:rPr>
        <w:t xml:space="preserve"> הוא שלפי המשטר החוקתי השורר במדינה, הכנסת היא ריבונית ובכוחה לחוקק כל חוק ולמלאו תוכן כעולה על רוחה. </w:t>
      </w:r>
      <w:r>
        <w:rPr>
          <w:rFonts w:ascii="Century" w:hAnsi="Century" w:cs="Miriam"/>
          <w:b/>
          <w:spacing w:val="0"/>
          <w:sz w:val="22"/>
          <w:szCs w:val="24"/>
          <w:u w:val="single"/>
          <w:rtl/>
        </w:rPr>
        <w:t>אין כלל להעלות על הדעת</w:t>
      </w:r>
      <w:r>
        <w:rPr>
          <w:rFonts w:ascii="Century" w:hAnsi="Century" w:cs="Miriam"/>
          <w:b/>
          <w:spacing w:val="0"/>
          <w:sz w:val="22"/>
          <w:szCs w:val="24"/>
          <w:rtl/>
        </w:rPr>
        <w:t xml:space="preserve"> אפשרות של שלילת תוקפו של חוק הכנסת או של הוראה בחוק הכנסת שנעשה כדין על יסוד נימוק זה או אחר"</w:t>
      </w:r>
      <w:r>
        <w:rPr>
          <w:rtl/>
        </w:rPr>
        <w:t xml:space="preserve">. פסק דין זה ניתן פה-אחד בהסכמת חבריו להרכב, הנשיא </w:t>
      </w:r>
      <w:r>
        <w:rPr>
          <w:rFonts w:ascii="Century" w:hAnsi="Century" w:cs="Miriam"/>
          <w:b/>
          <w:spacing w:val="0"/>
          <w:sz w:val="22"/>
          <w:szCs w:val="24"/>
          <w:rtl/>
        </w:rPr>
        <w:t>י' אולשן</w:t>
      </w:r>
      <w:r>
        <w:rPr>
          <w:rtl/>
        </w:rPr>
        <w:t xml:space="preserve">, והשופט </w:t>
      </w:r>
      <w:r>
        <w:rPr>
          <w:rFonts w:ascii="Century" w:hAnsi="Century" w:cs="Miriam"/>
          <w:b/>
          <w:spacing w:val="0"/>
          <w:sz w:val="22"/>
          <w:szCs w:val="24"/>
          <w:rtl/>
        </w:rPr>
        <w:t>ח' כהן</w:t>
      </w:r>
      <w:r>
        <w:rPr>
          <w:rtl/>
        </w:rPr>
        <w:t>.</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 xml:space="preserve">כך גם בבג"ץ 188/63 </w:t>
      </w:r>
      <w:r>
        <w:rPr>
          <w:rFonts w:ascii="Century" w:hAnsi="Century" w:cs="Miriam"/>
          <w:b/>
          <w:spacing w:val="0"/>
          <w:sz w:val="22"/>
          <w:szCs w:val="24"/>
          <w:rtl/>
        </w:rPr>
        <w:t>אל מג'יד אלאזהרי נ' שר הפנים</w:t>
      </w:r>
      <w:r>
        <w:rPr>
          <w:rtl/>
        </w:rPr>
        <w:t xml:space="preserve">, פ"ד יט 337, 349 (1965), האריך השופט </w:t>
      </w:r>
      <w:r>
        <w:rPr>
          <w:rFonts w:ascii="Century" w:hAnsi="Century" w:cs="Miriam"/>
          <w:b/>
          <w:spacing w:val="0"/>
          <w:sz w:val="22"/>
          <w:szCs w:val="24"/>
          <w:rtl/>
        </w:rPr>
        <w:t>ברנזון</w:t>
      </w:r>
      <w:r>
        <w:rPr>
          <w:rtl/>
        </w:rPr>
        <w:t xml:space="preserve"> בדברים</w:t>
      </w:r>
      <w:r>
        <w:rPr>
          <w:rFonts w:hint="cs"/>
          <w:rtl/>
        </w:rPr>
        <w:t>,</w:t>
      </w:r>
      <w:r>
        <w:rPr>
          <w:rtl/>
        </w:rPr>
        <w:t xml:space="preserve"> שמא כדי להוציא מדברי המלעיזים: </w:t>
      </w:r>
      <w:r>
        <w:rPr>
          <w:rFonts w:ascii="Century" w:hAnsi="Century" w:cs="Miriam"/>
          <w:b/>
          <w:spacing w:val="0"/>
          <w:sz w:val="22"/>
          <w:szCs w:val="24"/>
          <w:rtl/>
        </w:rPr>
        <w:t xml:space="preserve">"הכנסת היא הרשות המחוקקת במדינה וכל חוק שלה, שלא נקבע בו אחרת, מקבל תוקף ביום פירסומו ברשומות </w:t>
      </w:r>
      <w:r>
        <w:rPr>
          <w:rFonts w:ascii="Century" w:hAnsi="Century" w:cs="Miriam"/>
          <w:b/>
          <w:spacing w:val="0"/>
          <w:sz w:val="22"/>
          <w:szCs w:val="24"/>
          <w:rtl/>
        </w:rPr>
        <w:lastRenderedPageBreak/>
        <w:t>והפרסום משמש ראיה כי החוק ניתן ונחתם כדין [...] הכנסת היא ריבונית בחקיקת חוקים. היא חופשיה בבחירת הנושא לכל חוק ובקביעת תוכנו, וכל חוק היוצא מבית היוצר שלה יש לתת לו ולכל חלק שבו תוקף. חושבני, כי הכל מסכימים שאין בתי המשפט יכולים להרהר אחרי מידותיו של המחוקק הריבוני</w:t>
      </w:r>
      <w:r>
        <w:rPr>
          <w:rFonts w:ascii="Century" w:hAnsi="Century" w:cs="Miriam" w:hint="cs"/>
          <w:b/>
          <w:spacing w:val="0"/>
          <w:sz w:val="22"/>
          <w:szCs w:val="24"/>
          <w:rtl/>
        </w:rPr>
        <w:t>,</w:t>
      </w:r>
      <w:r>
        <w:rPr>
          <w:rFonts w:ascii="Century" w:hAnsi="Century" w:cs="Miriam"/>
          <w:b/>
          <w:spacing w:val="0"/>
          <w:sz w:val="22"/>
          <w:szCs w:val="24"/>
          <w:rtl/>
        </w:rPr>
        <w:t xml:space="preserve"> כפי שהן מוצאות את ביטויין בחוקים המתקבלים על ידיו. בית המשפט יכול רק לפרש חוק הכנסת ולא להעמיד בסימן שאלה תוקפו של חוק ונכונות הדברים האמורים בו. בספר של </w:t>
      </w:r>
      <w:r>
        <w:rPr>
          <w:rFonts w:ascii="Century" w:hAnsi="Century" w:cs="Miriam"/>
          <w:bCs/>
          <w:spacing w:val="0"/>
          <w:sz w:val="22"/>
          <w:szCs w:val="24"/>
        </w:rPr>
        <w:t>Keir &amp; Lawson</w:t>
      </w:r>
      <w:r>
        <w:rPr>
          <w:rFonts w:ascii="Century" w:hAnsi="Century" w:cs="Miriam"/>
          <w:bCs/>
          <w:spacing w:val="0"/>
          <w:sz w:val="22"/>
          <w:szCs w:val="24"/>
          <w:rtl/>
        </w:rPr>
        <w:t xml:space="preserve"> </w:t>
      </w:r>
      <w:r>
        <w:rPr>
          <w:rFonts w:ascii="Century" w:hAnsi="Century" w:cs="Miriam"/>
          <w:b/>
          <w:spacing w:val="0"/>
          <w:sz w:val="22"/>
          <w:szCs w:val="24"/>
          <w:rtl/>
        </w:rPr>
        <w:t>על המשפט הקונסטיטוציוני מובאים הדברים הבאים של לורד דונדין (</w:t>
      </w:r>
      <w:r>
        <w:rPr>
          <w:rFonts w:ascii="Century" w:hAnsi="Century" w:cs="Miriam"/>
          <w:bCs/>
          <w:spacing w:val="0"/>
          <w:sz w:val="22"/>
          <w:szCs w:val="24"/>
        </w:rPr>
        <w:t>Dunedin</w:t>
      </w:r>
      <w:r>
        <w:rPr>
          <w:rFonts w:ascii="Century" w:hAnsi="Century" w:cs="Miriam"/>
          <w:b/>
          <w:spacing w:val="0"/>
          <w:sz w:val="22"/>
          <w:szCs w:val="24"/>
          <w:rtl/>
        </w:rPr>
        <w:t>) [...] 'בשבילנו חוק הפרלמנט, שעבר את בית הלורדים ובית הנבחרים ואושר על ידי המלך, הוא מעל לכל ואנו חייבים לתת תוקף להוראותיו'</w:t>
      </w:r>
      <w:r>
        <w:rPr>
          <w:rFonts w:ascii="Century" w:hAnsi="Century" w:cs="Miriam" w:hint="cs"/>
          <w:b/>
          <w:spacing w:val="0"/>
          <w:sz w:val="22"/>
          <w:szCs w:val="24"/>
          <w:rtl/>
        </w:rPr>
        <w:t>.</w:t>
      </w:r>
      <w:r>
        <w:rPr>
          <w:rFonts w:ascii="Century" w:hAnsi="Century" w:cs="Miriam"/>
          <w:b/>
          <w:spacing w:val="0"/>
          <w:sz w:val="22"/>
          <w:szCs w:val="24"/>
          <w:rtl/>
        </w:rPr>
        <w:t xml:space="preserve"> וכבר אמר לפניו השופט </w:t>
      </w:r>
      <w:r>
        <w:rPr>
          <w:rFonts w:ascii="Century" w:hAnsi="Century" w:cs="Miriam"/>
          <w:bCs/>
          <w:spacing w:val="0"/>
          <w:sz w:val="22"/>
          <w:szCs w:val="24"/>
        </w:rPr>
        <w:t>Willes</w:t>
      </w:r>
      <w:r>
        <w:rPr>
          <w:rFonts w:ascii="Century" w:hAnsi="Century" w:cs="Miriam"/>
          <w:b/>
          <w:spacing w:val="0"/>
          <w:sz w:val="22"/>
          <w:szCs w:val="24"/>
          <w:rtl/>
        </w:rPr>
        <w:t xml:space="preserve"> </w:t>
      </w:r>
      <w:r>
        <w:rPr>
          <w:rFonts w:ascii="Century" w:hAnsi="Century" w:cs="Miriam" w:hint="cs"/>
          <w:b/>
          <w:spacing w:val="0"/>
          <w:sz w:val="22"/>
          <w:szCs w:val="24"/>
          <w:rtl/>
        </w:rPr>
        <w:t>'אם חוק הפרלמנט הושג שלא כראוי, ענינו של המחוקק הוא לתקנו על ידי ביטולו, ואולם כל זמן שהוא קיים כחוק, על בתי המשפט לציית לו. ההליכים כאן הם שיפוטיים ולא אוטוקרטיים, והם עשויים להיות כאלה אילו נטלנו לעצמנו את הכוח לעשות חוקים במקום לבצע אותם'. הוא הדין, לדעתי, כשמדובר לא בעשיית חוק אלא בשלילת תוקפו, שבשני המקרים זו היא התערבות שרירותית מצד בית המשפט בסמכות הבלעדית של המחוקק. אחרי שחוק נתקבל בכנסת ופורסם ברשומות, עלינו להרכין ראש בפניו ולא להרהר אחרי הוראותיו, קביעותיו והנחותיו. הכנסת נוסכת את יינה לתוך קנקן החוק, ובית המשפט יכול רק לומר, בדרך של פירוש החוק, מהו טעמו של היין. הוא אינו יכול לומר שהקנקן ריק מיין בניגוד לאמור בחוק עצמו"</w:t>
      </w:r>
      <w:r>
        <w:rPr>
          <w:rtl/>
        </w:rPr>
        <w:t xml:space="preserve">. </w:t>
      </w:r>
    </w:p>
    <w:p w:rsidR="00EB02E1" w:rsidRDefault="00EB02E1" w:rsidP="00EB02E1">
      <w:pPr>
        <w:pStyle w:val="Ruller41"/>
        <w:rPr>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t>מ"מ הנשיא ח' כהן</w:t>
      </w:r>
    </w:p>
    <w:p w:rsidR="00EB02E1" w:rsidRDefault="00EB02E1" w:rsidP="00EB02E1">
      <w:pPr>
        <w:pStyle w:val="Ruller4"/>
        <w:textAlignment w:val="auto"/>
        <w:rPr>
          <w:rtl/>
        </w:rPr>
      </w:pPr>
      <w:r>
        <w:rPr>
          <w:rtl/>
        </w:rPr>
        <w:t xml:space="preserve">השופט </w:t>
      </w:r>
      <w:r>
        <w:rPr>
          <w:rFonts w:ascii="Century" w:hAnsi="Century" w:cs="Miriam"/>
          <w:b/>
          <w:spacing w:val="0"/>
          <w:sz w:val="22"/>
          <w:szCs w:val="24"/>
          <w:rtl/>
        </w:rPr>
        <w:t>ח' כהן</w:t>
      </w:r>
      <w:r>
        <w:rPr>
          <w:rtl/>
        </w:rPr>
        <w:t>, גם הוא נדרש לשאלה</w:t>
      </w:r>
      <w:r>
        <w:rPr>
          <w:rFonts w:hint="cs"/>
          <w:rtl/>
        </w:rPr>
        <w:t xml:space="preserve"> הנדונה</w:t>
      </w:r>
      <w:r>
        <w:rPr>
          <w:rtl/>
        </w:rPr>
        <w:t xml:space="preserve">, לא פעם ולא פעמיים, </w:t>
      </w:r>
      <w:r>
        <w:rPr>
          <w:rFonts w:hint="cs"/>
          <w:rtl/>
        </w:rPr>
        <w:t>ו</w:t>
      </w:r>
      <w:r>
        <w:rPr>
          <w:rtl/>
        </w:rPr>
        <w:t xml:space="preserve">תשובתו – חדה וברורה. בע"א 780/70 </w:t>
      </w:r>
      <w:r>
        <w:rPr>
          <w:rFonts w:ascii="Century" w:hAnsi="Century" w:cs="Miriam"/>
          <w:b/>
          <w:spacing w:val="0"/>
          <w:sz w:val="22"/>
          <w:szCs w:val="24"/>
          <w:rtl/>
        </w:rPr>
        <w:t>עירית תל-אביב-יפו נ' ספיר</w:t>
      </w:r>
      <w:r>
        <w:rPr>
          <w:rtl/>
        </w:rPr>
        <w:t xml:space="preserve">, פ"ד כה(2) 486, 496 (1971), משמיענו השופט </w:t>
      </w:r>
      <w:r>
        <w:rPr>
          <w:rFonts w:ascii="Century" w:hAnsi="Century" w:cs="Miriam" w:hint="cs"/>
          <w:b/>
          <w:spacing w:val="0"/>
          <w:sz w:val="22"/>
          <w:szCs w:val="24"/>
          <w:rtl/>
        </w:rPr>
        <w:t xml:space="preserve">ח' </w:t>
      </w:r>
      <w:r>
        <w:rPr>
          <w:rFonts w:ascii="Century" w:hAnsi="Century" w:cs="Miriam"/>
          <w:b/>
          <w:spacing w:val="0"/>
          <w:sz w:val="22"/>
          <w:szCs w:val="24"/>
          <w:rtl/>
        </w:rPr>
        <w:t>כהן</w:t>
      </w:r>
      <w:r>
        <w:rPr>
          <w:rtl/>
        </w:rPr>
        <w:t xml:space="preserve">, כי </w:t>
      </w:r>
      <w:r>
        <w:rPr>
          <w:rFonts w:ascii="Century" w:hAnsi="Century" w:cs="Miriam"/>
          <w:b/>
          <w:spacing w:val="0"/>
          <w:sz w:val="22"/>
          <w:szCs w:val="24"/>
          <w:rtl/>
        </w:rPr>
        <w:t xml:space="preserve">"הדין הוא שאין מהרהרים אחר החוק, לא באשר הוא סביר מטבע ברייתו, אלא על-אף היותו בלתי-סביר: החוק עומד בחזקת תוקף וכשרות, אך אין הוא עומד בחזקת סבירות </w:t>
      </w:r>
      <w:r>
        <w:rPr>
          <w:rFonts w:ascii="Century" w:hAnsi="Century"/>
          <w:sz w:val="22"/>
          <w:rtl/>
        </w:rPr>
        <w:t>–</w:t>
      </w:r>
      <w:r>
        <w:rPr>
          <w:rFonts w:ascii="Century" w:hAnsi="Century" w:cs="Miriam"/>
          <w:b/>
          <w:spacing w:val="0"/>
          <w:sz w:val="22"/>
          <w:szCs w:val="24"/>
          <w:rtl/>
        </w:rPr>
        <w:t xml:space="preserve"> ואין הוא זקוק לחזקה זו. אם אין אחרי רצונו של המחוקק הריבוני ולא כלום, אין זאת באשר סביר הוא אלא באשר רצונו הוא"</w:t>
      </w:r>
      <w:r>
        <w:rPr>
          <w:rtl/>
        </w:rPr>
        <w:t xml:space="preserve">. </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 xml:space="preserve">כך גם בבג"ץ 120/73 </w:t>
      </w:r>
      <w:r>
        <w:rPr>
          <w:rFonts w:ascii="Century" w:hAnsi="Century" w:cs="Miriam"/>
          <w:b/>
          <w:spacing w:val="0"/>
          <w:sz w:val="22"/>
          <w:szCs w:val="24"/>
          <w:rtl/>
        </w:rPr>
        <w:t>טוביס נ' ממשלת ישראל</w:t>
      </w:r>
      <w:r>
        <w:rPr>
          <w:rtl/>
        </w:rPr>
        <w:t xml:space="preserve">, פ"ד כז(1) 757 (1973) (להלן: </w:t>
      </w:r>
      <w:r>
        <w:rPr>
          <w:rFonts w:ascii="Century" w:hAnsi="Century" w:cs="Miriam"/>
          <w:b/>
          <w:spacing w:val="0"/>
          <w:sz w:val="22"/>
          <w:szCs w:val="24"/>
          <w:rtl/>
        </w:rPr>
        <w:t>עניין טוביס</w:t>
      </w:r>
      <w:r>
        <w:rPr>
          <w:rtl/>
        </w:rPr>
        <w:t xml:space="preserve">), נכתב מפיו של השופט </w:t>
      </w:r>
      <w:r w:rsidRPr="00EB379D">
        <w:rPr>
          <w:rFonts w:ascii="Century" w:hAnsi="Century" w:cs="Miriam" w:hint="cs"/>
          <w:b/>
          <w:spacing w:val="0"/>
          <w:sz w:val="22"/>
          <w:szCs w:val="24"/>
          <w:rtl/>
        </w:rPr>
        <w:t xml:space="preserve">ח' </w:t>
      </w:r>
      <w:r w:rsidRPr="00EB379D">
        <w:rPr>
          <w:rFonts w:ascii="Century" w:hAnsi="Century" w:cs="Miriam"/>
          <w:b/>
          <w:spacing w:val="0"/>
          <w:sz w:val="22"/>
          <w:szCs w:val="24"/>
          <w:rtl/>
        </w:rPr>
        <w:t>כהן</w:t>
      </w:r>
      <w:r>
        <w:rPr>
          <w:rtl/>
        </w:rPr>
        <w:t xml:space="preserve">, כי </w:t>
      </w:r>
      <w:r>
        <w:rPr>
          <w:rFonts w:ascii="Century" w:hAnsi="Century" w:cs="Miriam"/>
          <w:b/>
          <w:spacing w:val="0"/>
          <w:sz w:val="22"/>
          <w:szCs w:val="24"/>
          <w:rtl/>
        </w:rPr>
        <w:t xml:space="preserve">"התשובה הקצרה לכל שלוש הטענות הללו אחת היא: המעשים הפסולים </w:t>
      </w:r>
      <w:r>
        <w:rPr>
          <w:rFonts w:ascii="Century" w:hAnsi="Century"/>
          <w:sz w:val="22"/>
          <w:rtl/>
        </w:rPr>
        <w:t>–</w:t>
      </w:r>
      <w:r>
        <w:rPr>
          <w:rFonts w:ascii="Century" w:hAnsi="Century" w:cs="Miriam"/>
          <w:b/>
          <w:spacing w:val="0"/>
          <w:sz w:val="22"/>
          <w:szCs w:val="24"/>
          <w:rtl/>
        </w:rPr>
        <w:t xml:space="preserve"> בהנחה הבלתי-מוכחת שאמנם יש בהם פסול </w:t>
      </w:r>
      <w:r>
        <w:rPr>
          <w:rFonts w:ascii="Century" w:hAnsi="Century"/>
          <w:sz w:val="22"/>
          <w:rtl/>
        </w:rPr>
        <w:t>–</w:t>
      </w:r>
      <w:r>
        <w:rPr>
          <w:rFonts w:ascii="Century" w:hAnsi="Century" w:cs="Miriam"/>
          <w:b/>
          <w:spacing w:val="0"/>
          <w:sz w:val="22"/>
          <w:szCs w:val="24"/>
          <w:rtl/>
        </w:rPr>
        <w:t xml:space="preserve"> נעשו לא בידי הממשלה כי אם בידי הכנסת, ואין בית-משפט זה מהרהר אחר הכנסת. אדון אחרון ראשון: דמי שכירות שנקבעו על-ידי הממשלה [...] זכו לגושפנקה מאת המחוקק בסעיף 46 לחוק. אפילו בלתי-סבירים הם, אין נגד חוסר סבירותו של המחוקק לא עצה ולא סעד בבית-משפט זה"</w:t>
      </w:r>
      <w:r>
        <w:rPr>
          <w:rtl/>
        </w:rPr>
        <w:t xml:space="preserve">. </w:t>
      </w:r>
    </w:p>
    <w:p w:rsidR="00EB02E1" w:rsidRDefault="00EB02E1" w:rsidP="00EB02E1">
      <w:pPr>
        <w:pStyle w:val="Ruller41"/>
        <w:spacing w:line="240" w:lineRule="auto"/>
        <w:rPr>
          <w:rtl/>
        </w:rPr>
      </w:pPr>
    </w:p>
    <w:p w:rsidR="00EB02E1" w:rsidRDefault="00EB02E1" w:rsidP="00EB02E1">
      <w:pPr>
        <w:pStyle w:val="Ruller4"/>
        <w:textAlignment w:val="auto"/>
      </w:pPr>
      <w:r>
        <w:rPr>
          <w:rtl/>
        </w:rPr>
        <w:t xml:space="preserve">בבג"ץ 262/62 </w:t>
      </w:r>
      <w:r w:rsidRPr="005331C3">
        <w:rPr>
          <w:rFonts w:ascii="Century" w:hAnsi="Century" w:cs="Miriam"/>
          <w:b/>
          <w:spacing w:val="0"/>
          <w:sz w:val="22"/>
          <w:szCs w:val="24"/>
          <w:rtl/>
        </w:rPr>
        <w:t>פרץ נ' יושב ראש, חברי המועצה המקומית ותושבי כפר-שמריהו</w:t>
      </w:r>
      <w:r>
        <w:rPr>
          <w:rtl/>
        </w:rPr>
        <w:t xml:space="preserve">, פ"ד טו 2101, 2107 (1962) חזר השופט </w:t>
      </w:r>
      <w:r>
        <w:rPr>
          <w:rFonts w:ascii="Century" w:hAnsi="Century" w:cs="Miriam" w:hint="cs"/>
          <w:b/>
          <w:spacing w:val="0"/>
          <w:sz w:val="22"/>
          <w:szCs w:val="24"/>
          <w:rtl/>
        </w:rPr>
        <w:t xml:space="preserve">ח' </w:t>
      </w:r>
      <w:r>
        <w:rPr>
          <w:rFonts w:ascii="Century" w:hAnsi="Century" w:cs="Miriam"/>
          <w:b/>
          <w:spacing w:val="0"/>
          <w:sz w:val="22"/>
          <w:szCs w:val="24"/>
          <w:rtl/>
        </w:rPr>
        <w:t>כהן</w:t>
      </w:r>
      <w:r>
        <w:rPr>
          <w:rtl/>
        </w:rPr>
        <w:t xml:space="preserve"> על ההלכה המושרשת</w:t>
      </w:r>
      <w:r>
        <w:rPr>
          <w:rFonts w:hint="cs"/>
          <w:rtl/>
        </w:rPr>
        <w:t xml:space="preserve"> באשר להכרזת העצמאות:</w:t>
      </w:r>
      <w:r>
        <w:rPr>
          <w:rtl/>
        </w:rPr>
        <w:t xml:space="preserve"> </w:t>
      </w:r>
      <w:r>
        <w:rPr>
          <w:rFonts w:ascii="Century" w:hAnsi="Century" w:cs="Miriam"/>
          <w:b/>
          <w:spacing w:val="0"/>
          <w:sz w:val="22"/>
          <w:szCs w:val="24"/>
          <w:rtl/>
        </w:rPr>
        <w:t>"אין הכרזה זו בגדר חוק אשר אפשר לבסס עליו עילת תובענה"</w:t>
      </w:r>
      <w:r>
        <w:rPr>
          <w:rtl/>
        </w:rPr>
        <w:t xml:space="preserve">. </w:t>
      </w:r>
    </w:p>
    <w:p w:rsidR="00EB02E1" w:rsidRPr="00EB379D" w:rsidRDefault="00EB02E1" w:rsidP="00EB02E1">
      <w:pPr>
        <w:pStyle w:val="Ruller41"/>
        <w:spacing w:line="240" w:lineRule="auto"/>
        <w:rPr>
          <w:rtl/>
        </w:rPr>
      </w:pPr>
    </w:p>
    <w:p w:rsidR="00EB02E1" w:rsidRDefault="00EB02E1" w:rsidP="00EB02E1">
      <w:pPr>
        <w:pStyle w:val="Ruller4"/>
        <w:textAlignment w:val="auto"/>
      </w:pPr>
      <w:r>
        <w:rPr>
          <w:rFonts w:hint="cs"/>
          <w:rtl/>
        </w:rPr>
        <w:t>דברים מפורשים</w:t>
      </w:r>
      <w:r>
        <w:rPr>
          <w:rtl/>
        </w:rPr>
        <w:t xml:space="preserve"> </w:t>
      </w:r>
      <w:r>
        <w:rPr>
          <w:rFonts w:hint="cs"/>
          <w:rtl/>
        </w:rPr>
        <w:t xml:space="preserve">אמר </w:t>
      </w:r>
      <w:r>
        <w:rPr>
          <w:rtl/>
        </w:rPr>
        <w:t xml:space="preserve">השופט </w:t>
      </w:r>
      <w:r w:rsidRPr="00EB379D">
        <w:rPr>
          <w:rFonts w:ascii="Century" w:hAnsi="Century" w:cs="Miriam" w:hint="cs"/>
          <w:b/>
          <w:spacing w:val="0"/>
          <w:sz w:val="22"/>
          <w:szCs w:val="24"/>
          <w:rtl/>
        </w:rPr>
        <w:t xml:space="preserve">ח' </w:t>
      </w:r>
      <w:r>
        <w:rPr>
          <w:rFonts w:ascii="Century" w:hAnsi="Century" w:cs="Miriam"/>
          <w:b/>
          <w:spacing w:val="0"/>
          <w:sz w:val="22"/>
          <w:szCs w:val="24"/>
          <w:rtl/>
        </w:rPr>
        <w:t>כהן</w:t>
      </w:r>
      <w:r>
        <w:rPr>
          <w:rtl/>
        </w:rPr>
        <w:t xml:space="preserve"> </w:t>
      </w:r>
      <w:r>
        <w:rPr>
          <w:rFonts w:hint="cs"/>
          <w:rtl/>
        </w:rPr>
        <w:t xml:space="preserve">בנחישות </w:t>
      </w:r>
      <w:r>
        <w:rPr>
          <w:rtl/>
        </w:rPr>
        <w:t xml:space="preserve">בעניין </w:t>
      </w:r>
      <w:r>
        <w:rPr>
          <w:rFonts w:ascii="Century" w:hAnsi="Century" w:cs="Miriam"/>
          <w:b/>
          <w:spacing w:val="0"/>
          <w:sz w:val="22"/>
          <w:szCs w:val="24"/>
          <w:rtl/>
        </w:rPr>
        <w:t>ירדור</w:t>
      </w:r>
      <w:r>
        <w:rPr>
          <w:rtl/>
        </w:rPr>
        <w:t xml:space="preserve"> (בעמ' 379): </w:t>
      </w:r>
      <w:r>
        <w:rPr>
          <w:rFonts w:ascii="Century" w:hAnsi="Century" w:cs="Miriam"/>
          <w:b/>
          <w:spacing w:val="0"/>
          <w:sz w:val="22"/>
          <w:szCs w:val="24"/>
          <w:rtl/>
        </w:rPr>
        <w:t>"לא ועדת הבחירות המרכזית ולא בית-משפט זה מחוקקים במדינה הזאת: הכנסת היא הרשות המחוקקת, והיא אשר מסמיכה את מוסמכיה, אם רצונה בכך, לעשות לאיש כדרכיו וכפרי מעלליו. בהעדר הסמכה כזאת מאת המחוקק, לא ההגיון ולא הכורח ולא אהבת המולדת ולא שום שיקול אחר, יהא אשר יהא</w:t>
      </w:r>
      <w:r>
        <w:rPr>
          <w:rFonts w:ascii="Century" w:hAnsi="Century"/>
          <w:sz w:val="22"/>
          <w:rtl/>
        </w:rPr>
        <w:t xml:space="preserve"> –</w:t>
      </w:r>
      <w:r>
        <w:rPr>
          <w:rFonts w:ascii="Century" w:hAnsi="Century" w:cs="Miriam"/>
          <w:b/>
          <w:spacing w:val="0"/>
          <w:sz w:val="22"/>
          <w:szCs w:val="24"/>
          <w:rtl/>
        </w:rPr>
        <w:t xml:space="preserve"> מצדיקים עשיית דין על דעת עצמו ושלילת זכות הזולת"</w:t>
      </w:r>
      <w:r>
        <w:rPr>
          <w:rFonts w:ascii="Century" w:hAnsi="Century"/>
          <w:sz w:val="22"/>
          <w:rtl/>
        </w:rPr>
        <w:t>.</w:t>
      </w:r>
    </w:p>
    <w:p w:rsidR="00EB02E1" w:rsidRDefault="00EB02E1" w:rsidP="00EB02E1">
      <w:pPr>
        <w:pStyle w:val="Ruller4"/>
        <w:numPr>
          <w:ilvl w:val="0"/>
          <w:numId w:val="0"/>
        </w:numPr>
        <w:spacing w:line="240" w:lineRule="auto"/>
        <w:rPr>
          <w:rFonts w:ascii="Century" w:hAnsi="Century" w:cs="Miriam"/>
          <w:b/>
          <w:spacing w:val="0"/>
          <w:sz w:val="22"/>
          <w:szCs w:val="24"/>
          <w:rtl/>
        </w:rPr>
      </w:pPr>
    </w:p>
    <w:p w:rsidR="00EB02E1" w:rsidRDefault="00EB02E1" w:rsidP="00EB02E1">
      <w:pPr>
        <w:pStyle w:val="Ruller4"/>
        <w:textAlignment w:val="auto"/>
        <w:rPr>
          <w:rtl/>
        </w:rPr>
      </w:pPr>
      <w:r>
        <w:rPr>
          <w:rtl/>
        </w:rPr>
        <w:t>בהמשך דבריו, יוצא השופט</w:t>
      </w:r>
      <w:r w:rsidRPr="00EB379D">
        <w:rPr>
          <w:rtl/>
        </w:rPr>
        <w:t xml:space="preserve"> </w:t>
      </w:r>
      <w:r w:rsidRPr="00F34795">
        <w:rPr>
          <w:rFonts w:ascii="Century" w:hAnsi="Century" w:cs="Miriam" w:hint="cs"/>
          <w:b/>
          <w:spacing w:val="0"/>
          <w:sz w:val="22"/>
          <w:szCs w:val="24"/>
          <w:rtl/>
        </w:rPr>
        <w:t xml:space="preserve">ח' </w:t>
      </w:r>
      <w:r w:rsidRPr="00F34795">
        <w:rPr>
          <w:rFonts w:ascii="Century" w:hAnsi="Century" w:cs="Miriam"/>
          <w:b/>
          <w:spacing w:val="0"/>
          <w:sz w:val="22"/>
          <w:szCs w:val="24"/>
          <w:rtl/>
        </w:rPr>
        <w:t>כהן</w:t>
      </w:r>
      <w:r>
        <w:rPr>
          <w:rtl/>
        </w:rPr>
        <w:t xml:space="preserve"> חוצץ נגד הניסיונות להשליט ערכים חוקתיים מופשטים על משפט המדינה הפוזיטיבי, שנחקק על-ידי הכנסת: </w:t>
      </w:r>
      <w:r w:rsidRPr="00142F34">
        <w:rPr>
          <w:rFonts w:ascii="Century" w:hAnsi="Century" w:cs="Miriam"/>
          <w:b/>
          <w:spacing w:val="0"/>
          <w:sz w:val="22"/>
          <w:szCs w:val="24"/>
          <w:rtl/>
        </w:rPr>
        <w:t xml:space="preserve">"יש מהן מן המדינות אשר בהן בטחון המדינה, או קדושת הדת, או הישגי הריבולוציה וסכנות הקונטררבולוציה, וכל כיוצא באלה ערכים מערכים שונים, מכסים על כל פשע ומכפרים על כל מעשה שנעשה ללא סמכות ובניגוד לחוק. יש מהם אשר המציאו להם </w:t>
      </w:r>
      <w:r w:rsidRPr="00142F34">
        <w:rPr>
          <w:rFonts w:ascii="Century" w:hAnsi="Century" w:cs="Miriam" w:hint="cs"/>
          <w:b/>
          <w:spacing w:val="0"/>
          <w:sz w:val="22"/>
          <w:szCs w:val="24"/>
          <w:rtl/>
        </w:rPr>
        <w:t>'</w:t>
      </w:r>
      <w:r w:rsidRPr="00142F34">
        <w:rPr>
          <w:rFonts w:ascii="Century" w:hAnsi="Century" w:cs="Miriam"/>
          <w:b/>
          <w:spacing w:val="0"/>
          <w:sz w:val="22"/>
          <w:szCs w:val="24"/>
          <w:rtl/>
        </w:rPr>
        <w:t>משפט טבעי</w:t>
      </w:r>
      <w:r w:rsidRPr="00142F34">
        <w:rPr>
          <w:rFonts w:ascii="Century" w:hAnsi="Century" w:cs="Miriam" w:hint="cs"/>
          <w:b/>
          <w:spacing w:val="0"/>
          <w:sz w:val="22"/>
          <w:szCs w:val="24"/>
          <w:rtl/>
        </w:rPr>
        <w:t>'</w:t>
      </w:r>
      <w:r w:rsidRPr="00142F34">
        <w:rPr>
          <w:rFonts w:ascii="Century" w:hAnsi="Century" w:cs="Miriam"/>
          <w:b/>
          <w:spacing w:val="0"/>
          <w:sz w:val="22"/>
          <w:szCs w:val="24"/>
          <w:rtl/>
        </w:rPr>
        <w:t xml:space="preserve"> הגבוה מכל חוק, והמבטל אותו במקרה של צורך, בחינת עת לעשות הפרו התורה. כל אלה אינן דרכיה של מדינת ישראל: דרכיה דרכי חוק, והחוק ניתן מפי הכנסת או מכוח הסמכתה המפורשת" </w:t>
      </w:r>
      <w:r>
        <w:rPr>
          <w:rtl/>
        </w:rPr>
        <w:t>(שם בעמ' 382).</w:t>
      </w:r>
    </w:p>
    <w:p w:rsidR="00EB02E1" w:rsidRDefault="00EB02E1" w:rsidP="00EB02E1">
      <w:pPr>
        <w:pStyle w:val="Ruller41"/>
        <w:spacing w:line="240" w:lineRule="auto"/>
        <w:rPr>
          <w:rFonts w:ascii="Century" w:hAnsi="Century" w:cs="Miriam"/>
          <w:b/>
          <w:spacing w:val="0"/>
          <w:szCs w:val="24"/>
          <w:rtl/>
        </w:rPr>
      </w:pPr>
    </w:p>
    <w:p w:rsidR="00EB02E1" w:rsidRDefault="00EB02E1" w:rsidP="00EB02E1">
      <w:pPr>
        <w:pStyle w:val="Ruller41"/>
        <w:spacing w:line="240" w:lineRule="auto"/>
        <w:rPr>
          <w:rFonts w:ascii="Century" w:hAnsi="Century" w:cs="Miriam"/>
          <w:b/>
          <w:spacing w:val="0"/>
          <w:szCs w:val="24"/>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t xml:space="preserve">השופט </w:t>
      </w:r>
      <w:r>
        <w:rPr>
          <w:rFonts w:ascii="Century" w:hAnsi="Century" w:cs="Miriam" w:hint="cs"/>
          <w:b/>
          <w:spacing w:val="0"/>
          <w:szCs w:val="24"/>
          <w:rtl/>
        </w:rPr>
        <w:t xml:space="preserve">א' </w:t>
      </w:r>
      <w:r>
        <w:rPr>
          <w:rFonts w:ascii="Century" w:hAnsi="Century" w:cs="Miriam"/>
          <w:b/>
          <w:spacing w:val="0"/>
          <w:szCs w:val="24"/>
          <w:rtl/>
        </w:rPr>
        <w:t>מני</w:t>
      </w:r>
    </w:p>
    <w:p w:rsidR="00EB02E1" w:rsidRDefault="00EB02E1" w:rsidP="00EB02E1">
      <w:pPr>
        <w:pStyle w:val="Ruller4"/>
        <w:textAlignment w:val="auto"/>
        <w:rPr>
          <w:rtl/>
        </w:rPr>
      </w:pPr>
      <w:r>
        <w:rPr>
          <w:rtl/>
        </w:rPr>
        <w:t xml:space="preserve">השופט </w:t>
      </w:r>
      <w:r>
        <w:rPr>
          <w:rFonts w:ascii="Century" w:hAnsi="Century" w:cs="Miriam"/>
          <w:b/>
          <w:spacing w:val="0"/>
          <w:sz w:val="22"/>
          <w:szCs w:val="24"/>
          <w:rtl/>
        </w:rPr>
        <w:t>א' מני</w:t>
      </w:r>
      <w:r>
        <w:rPr>
          <w:rtl/>
        </w:rPr>
        <w:t xml:space="preserve">, גם הוא משתייך לזרם הדמוקרטי ה'מיושן', שעליו נמנו, כאמור, רוב מניין ורוב בניין של שופטי בית משפט זה. השופט </w:t>
      </w:r>
      <w:r>
        <w:rPr>
          <w:rFonts w:ascii="Century" w:hAnsi="Century" w:cs="Miriam"/>
          <w:b/>
          <w:spacing w:val="0"/>
          <w:sz w:val="22"/>
          <w:szCs w:val="24"/>
          <w:rtl/>
        </w:rPr>
        <w:t>מני</w:t>
      </w:r>
      <w:r>
        <w:rPr>
          <w:rtl/>
        </w:rPr>
        <w:t xml:space="preserve"> הצטרף בהסכמה לפסקי הדין בעניין </w:t>
      </w:r>
      <w:r>
        <w:rPr>
          <w:rFonts w:ascii="Century" w:hAnsi="Century" w:cs="Miriam"/>
          <w:b/>
          <w:spacing w:val="0"/>
          <w:sz w:val="22"/>
          <w:szCs w:val="24"/>
          <w:rtl/>
        </w:rPr>
        <w:t>רוגוזינסקי</w:t>
      </w:r>
      <w:r>
        <w:rPr>
          <w:rtl/>
        </w:rPr>
        <w:t xml:space="preserve">, בעניין </w:t>
      </w:r>
      <w:r>
        <w:rPr>
          <w:rFonts w:ascii="Century" w:hAnsi="Century" w:cs="Miriam"/>
          <w:b/>
          <w:spacing w:val="0"/>
          <w:sz w:val="22"/>
          <w:szCs w:val="24"/>
          <w:rtl/>
        </w:rPr>
        <w:t>ברגמן</w:t>
      </w:r>
      <w:r>
        <w:rPr>
          <w:rtl/>
        </w:rPr>
        <w:t xml:space="preserve">, ובעניין </w:t>
      </w:r>
      <w:r>
        <w:rPr>
          <w:rFonts w:ascii="Century" w:hAnsi="Century" w:cs="Miriam"/>
          <w:b/>
          <w:spacing w:val="0"/>
          <w:sz w:val="22"/>
          <w:szCs w:val="24"/>
          <w:rtl/>
        </w:rPr>
        <w:t>טוביס</w:t>
      </w:r>
      <w:r>
        <w:rPr>
          <w:rtl/>
        </w:rPr>
        <w:t xml:space="preserve">. כולם נסקרו לעיל בהרחבה. </w:t>
      </w:r>
    </w:p>
    <w:p w:rsidR="00EB02E1" w:rsidRDefault="00EB02E1" w:rsidP="00EB02E1">
      <w:pPr>
        <w:pStyle w:val="Ruller41"/>
        <w:rPr>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t xml:space="preserve">השופט </w:t>
      </w:r>
      <w:r>
        <w:rPr>
          <w:rFonts w:ascii="Century" w:hAnsi="Century" w:cs="Miriam" w:hint="cs"/>
          <w:b/>
          <w:spacing w:val="0"/>
          <w:szCs w:val="24"/>
          <w:rtl/>
        </w:rPr>
        <w:t xml:space="preserve">י' </w:t>
      </w:r>
      <w:r>
        <w:rPr>
          <w:rFonts w:ascii="Century" w:hAnsi="Century" w:cs="Miriam"/>
          <w:b/>
          <w:spacing w:val="0"/>
          <w:szCs w:val="24"/>
          <w:rtl/>
        </w:rPr>
        <w:t>קיסטר</w:t>
      </w:r>
    </w:p>
    <w:p w:rsidR="00EB02E1" w:rsidRDefault="00EB02E1" w:rsidP="00EB02E1">
      <w:pPr>
        <w:pStyle w:val="Ruller4"/>
        <w:textAlignment w:val="auto"/>
        <w:rPr>
          <w:rtl/>
        </w:rPr>
      </w:pPr>
      <w:r>
        <w:rPr>
          <w:rtl/>
        </w:rPr>
        <w:t xml:space="preserve">השופט </w:t>
      </w:r>
      <w:r>
        <w:rPr>
          <w:rFonts w:ascii="Century" w:hAnsi="Century" w:cs="Miriam"/>
          <w:b/>
          <w:spacing w:val="0"/>
          <w:sz w:val="22"/>
          <w:szCs w:val="24"/>
          <w:rtl/>
        </w:rPr>
        <w:t>י' קיסטר</w:t>
      </w:r>
      <w:r>
        <w:rPr>
          <w:rtl/>
        </w:rPr>
        <w:t xml:space="preserve"> היה שותף לפסק הדין בעניין </w:t>
      </w:r>
      <w:r>
        <w:rPr>
          <w:rFonts w:ascii="Century" w:hAnsi="Century" w:cs="Miriam"/>
          <w:b/>
          <w:spacing w:val="0"/>
          <w:sz w:val="22"/>
          <w:szCs w:val="24"/>
          <w:rtl/>
        </w:rPr>
        <w:t>קניאל</w:t>
      </w:r>
      <w:r>
        <w:rPr>
          <w:rtl/>
        </w:rPr>
        <w:t xml:space="preserve"> שנסקר לעיל, וניתן פה-אחד על-ידי ההרכב בראשות הנשיא </w:t>
      </w:r>
      <w:r>
        <w:rPr>
          <w:rFonts w:ascii="Century" w:hAnsi="Century" w:cs="Miriam"/>
          <w:b/>
          <w:spacing w:val="0"/>
          <w:sz w:val="22"/>
          <w:szCs w:val="24"/>
          <w:rtl/>
        </w:rPr>
        <w:t>אגרנט</w:t>
      </w:r>
      <w:r>
        <w:rPr>
          <w:rtl/>
        </w:rPr>
        <w:t xml:space="preserve">. בפסק דין זה נתן השופט </w:t>
      </w:r>
      <w:r>
        <w:rPr>
          <w:rFonts w:ascii="Century" w:hAnsi="Century" w:cs="Miriam"/>
          <w:b/>
          <w:spacing w:val="0"/>
          <w:sz w:val="22"/>
          <w:szCs w:val="24"/>
          <w:rtl/>
        </w:rPr>
        <w:t>קיסטר</w:t>
      </w:r>
      <w:r>
        <w:rPr>
          <w:rtl/>
        </w:rPr>
        <w:t xml:space="preserve"> ביטוי להשקפת עולמו, שנהנתה באותם ימים מקונצנזוס מוחלט, בדבר עליונותו המוחלטת של המחוקק-המכונן. </w:t>
      </w:r>
    </w:p>
    <w:p w:rsidR="00EB02E1" w:rsidRDefault="00EB02E1" w:rsidP="00EB02E1">
      <w:pPr>
        <w:pStyle w:val="Ruller41"/>
        <w:spacing w:line="240" w:lineRule="auto"/>
        <w:rPr>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t xml:space="preserve">השופט </w:t>
      </w:r>
      <w:r>
        <w:rPr>
          <w:rFonts w:ascii="Century" w:hAnsi="Century" w:cs="Miriam" w:hint="cs"/>
          <w:b/>
          <w:spacing w:val="0"/>
          <w:szCs w:val="24"/>
          <w:rtl/>
        </w:rPr>
        <w:t xml:space="preserve">מ' </w:t>
      </w:r>
      <w:r>
        <w:rPr>
          <w:rFonts w:ascii="Century" w:hAnsi="Century" w:cs="Miriam"/>
          <w:b/>
          <w:spacing w:val="0"/>
          <w:szCs w:val="24"/>
          <w:rtl/>
        </w:rPr>
        <w:t>עציוני</w:t>
      </w:r>
    </w:p>
    <w:p w:rsidR="00EB02E1" w:rsidRDefault="00EB02E1" w:rsidP="00EB02E1">
      <w:pPr>
        <w:pStyle w:val="Ruller4"/>
        <w:textAlignment w:val="auto"/>
        <w:rPr>
          <w:rtl/>
        </w:rPr>
      </w:pPr>
      <w:r>
        <w:rPr>
          <w:rtl/>
        </w:rPr>
        <w:t xml:space="preserve">השופט </w:t>
      </w:r>
      <w:r w:rsidRPr="00012518">
        <w:rPr>
          <w:rFonts w:ascii="Century" w:hAnsi="Century" w:cs="Miriam"/>
          <w:b/>
          <w:spacing w:val="0"/>
          <w:sz w:val="22"/>
          <w:szCs w:val="24"/>
          <w:rtl/>
        </w:rPr>
        <w:t>מ' עציוני</w:t>
      </w:r>
      <w:r>
        <w:rPr>
          <w:rtl/>
        </w:rPr>
        <w:t xml:space="preserve"> פרס יריעה רחבה בפסק הדין בע"א 373/72 </w:t>
      </w:r>
      <w:r w:rsidRPr="00012518">
        <w:rPr>
          <w:rFonts w:ascii="Century" w:hAnsi="Century" w:cs="Miriam"/>
          <w:b/>
          <w:spacing w:val="0"/>
          <w:sz w:val="22"/>
          <w:szCs w:val="24"/>
          <w:rtl/>
        </w:rPr>
        <w:t>טפר נ' מדינת ישראל</w:t>
      </w:r>
      <w:r>
        <w:rPr>
          <w:rtl/>
        </w:rPr>
        <w:t xml:space="preserve">, פ"ד כח(2) 7, 17-14 (1974). לאחר הצטרפותו לקביעתו של השופט </w:t>
      </w:r>
      <w:r w:rsidRPr="00012518">
        <w:rPr>
          <w:rFonts w:ascii="Century" w:hAnsi="Century" w:cs="Miriam"/>
          <w:b/>
          <w:spacing w:val="0"/>
          <w:sz w:val="22"/>
          <w:szCs w:val="24"/>
          <w:rtl/>
        </w:rPr>
        <w:t>א' ויתקון</w:t>
      </w:r>
      <w:r>
        <w:rPr>
          <w:rtl/>
        </w:rPr>
        <w:t xml:space="preserve">, כי דין הערעור להידחות, מוסיף השופט </w:t>
      </w:r>
      <w:r w:rsidRPr="00012518">
        <w:rPr>
          <w:rFonts w:ascii="Century" w:hAnsi="Century" w:cs="Miriam"/>
          <w:b/>
          <w:spacing w:val="0"/>
          <w:sz w:val="22"/>
          <w:szCs w:val="24"/>
          <w:rtl/>
        </w:rPr>
        <w:t>עציוני</w:t>
      </w:r>
      <w:r>
        <w:rPr>
          <w:rtl/>
        </w:rPr>
        <w:t xml:space="preserve">, ואומר כך: </w:t>
      </w:r>
      <w:r w:rsidRPr="00012518">
        <w:rPr>
          <w:rFonts w:ascii="Century" w:hAnsi="Century" w:cs="Miriam"/>
          <w:b/>
          <w:spacing w:val="0"/>
          <w:sz w:val="22"/>
          <w:szCs w:val="24"/>
          <w:rtl/>
        </w:rPr>
        <w:t>"אם אוסיף כמה דברים משלי, הרי עושה אני זאת לאור הנסיון החוזר ונשנה להשיג דרך בית-משפט זה את מה שסירב להעניק המחוקק עצמו. מן הראוי לתחום את הגבולות בין הסמכות שניתנה לנו לבין הסמכות, שהיא בתחום הרשות המחוקקת, היא הכנסת. מה [ש]מבקש מאתנו בא-כוח המערערים הוא, לא פחות ולא יותר מאשר להנהיג בארץ את המוסד של נישואין אזרחיים מתוך ההנחה שעל בית-משפט זה מוטל התפקיד למלא את מה שהחסיר המחוקק</w:t>
      </w:r>
      <w:r>
        <w:rPr>
          <w:rtl/>
        </w:rPr>
        <w:t>.</w:t>
      </w:r>
      <w:r>
        <w:rPr>
          <w:rFonts w:hint="cs"/>
          <w:rtl/>
        </w:rPr>
        <w:t xml:space="preserve"> </w:t>
      </w:r>
      <w:r w:rsidRPr="00012518">
        <w:rPr>
          <w:rFonts w:ascii="Century" w:hAnsi="Century" w:cs="Miriam"/>
          <w:b/>
          <w:spacing w:val="0"/>
          <w:szCs w:val="24"/>
          <w:rtl/>
        </w:rPr>
        <w:t xml:space="preserve">[...] הסמכות לחוקק חוקים היא </w:t>
      </w:r>
      <w:r w:rsidRPr="00012518">
        <w:rPr>
          <w:rFonts w:ascii="Century" w:hAnsi="Century" w:cs="Miriam"/>
          <w:b/>
          <w:spacing w:val="0"/>
          <w:szCs w:val="24"/>
          <w:rtl/>
        </w:rPr>
        <w:lastRenderedPageBreak/>
        <w:t>בידי [הכנסת] בלבד ולא בידי בתי-המשפט, וכשלעצמי רואה אני את תפקידו של השופט לא כ-</w:t>
      </w:r>
      <w:r w:rsidRPr="00012518">
        <w:rPr>
          <w:rFonts w:ascii="Century" w:hAnsi="Century" w:cs="Miriam"/>
          <w:bCs/>
          <w:spacing w:val="0"/>
          <w:sz w:val="20"/>
          <w:szCs w:val="22"/>
        </w:rPr>
        <w:t>LAW</w:t>
      </w:r>
      <w:r w:rsidRPr="00012518">
        <w:rPr>
          <w:rFonts w:ascii="Century" w:hAnsi="Century" w:cs="Miriam"/>
          <w:bCs/>
          <w:spacing w:val="0"/>
          <w:szCs w:val="24"/>
        </w:rPr>
        <w:t xml:space="preserve"> </w:t>
      </w:r>
      <w:r w:rsidRPr="00012518">
        <w:rPr>
          <w:rFonts w:ascii="Century" w:hAnsi="Century" w:cs="Miriam"/>
          <w:bCs/>
          <w:spacing w:val="0"/>
          <w:sz w:val="20"/>
          <w:szCs w:val="22"/>
        </w:rPr>
        <w:t>MARKER</w:t>
      </w:r>
      <w:r w:rsidRPr="00012518">
        <w:rPr>
          <w:rFonts w:ascii="Century" w:hAnsi="Century" w:cs="Miriam"/>
          <w:b/>
          <w:spacing w:val="0"/>
          <w:szCs w:val="24"/>
          <w:rtl/>
        </w:rPr>
        <w:t xml:space="preserve"> </w:t>
      </w:r>
      <w:r w:rsidRPr="00012518">
        <w:rPr>
          <w:rFonts w:ascii="Century" w:hAnsi="Century" w:cs="Miriam" w:hint="cs"/>
          <w:b/>
          <w:spacing w:val="0"/>
          <w:szCs w:val="24"/>
          <w:rtl/>
        </w:rPr>
        <w:t>אלא כ-</w:t>
      </w:r>
      <w:r w:rsidRPr="00012518">
        <w:rPr>
          <w:rFonts w:ascii="Century" w:hAnsi="Century" w:cs="Miriam"/>
          <w:bCs/>
          <w:spacing w:val="0"/>
          <w:sz w:val="20"/>
          <w:szCs w:val="22"/>
        </w:rPr>
        <w:t>LAW</w:t>
      </w:r>
      <w:r w:rsidRPr="00012518">
        <w:rPr>
          <w:rFonts w:ascii="Century" w:hAnsi="Century" w:cs="Miriam"/>
          <w:bCs/>
          <w:spacing w:val="0"/>
          <w:szCs w:val="24"/>
        </w:rPr>
        <w:t xml:space="preserve"> </w:t>
      </w:r>
      <w:r w:rsidRPr="00012518">
        <w:rPr>
          <w:rFonts w:ascii="Century" w:hAnsi="Century" w:cs="Miriam"/>
          <w:bCs/>
          <w:spacing w:val="0"/>
          <w:sz w:val="20"/>
          <w:szCs w:val="22"/>
        </w:rPr>
        <w:t>DECLARER</w:t>
      </w:r>
      <w:r w:rsidRPr="00012518">
        <w:rPr>
          <w:rFonts w:ascii="Century" w:hAnsi="Century" w:cs="Miriam"/>
          <w:b/>
          <w:spacing w:val="0"/>
          <w:szCs w:val="24"/>
          <w:rtl/>
        </w:rPr>
        <w:t xml:space="preserve">. אמנם לא פעם עלינו לעשות את מלאכת המחוקק בבואנו לפרש את החוק ולמלא את אשר החסיר [...] כשהמחוקק בהיסח הדעת או מתוך טעות בולטת החסיר דבר ועל-ידי כך עלול להיגרם לאזרחים עוול אליו לא התכוון המחוקק, יבוא בית-המשפט וינסה לתקן את מה שהחסיר המחוקק וזאת כאמור במקרים יוצאי דופן. לא כן הדבר כשמדובר בהנהגת מוסד משפטי חדש כנישואין אזרחיים בארץ. כאן לא בהיסח הדעת החסיר המחוקק את המוסד הזה מספר החוקים. ברור לכל מי שעוקב אחרי עבודת הכנסת ודעות המפלגות השונות שענין זה הוא סלע מחלוקת חריף בציבור הישראלי וכי עדיין לא נפלה ההכרעה להנהגת נישואין אזרחיים, הכרעה [שתקבל] צורה משפטית נאותה. ומה לנו בתור שופטים, המצווים להתרחק מכל פולמוס וריב פוליטי, לבוא במקום המחוקק ולהכריע בשאלה שמפלגת את הציבור? </w:t>
      </w:r>
      <w:r w:rsidRPr="00012518">
        <w:rPr>
          <w:rFonts w:ascii="Century" w:hAnsi="Century" w:cs="Miriam"/>
          <w:b/>
          <w:spacing w:val="0"/>
          <w:szCs w:val="24"/>
          <w:u w:val="single"/>
          <w:rtl/>
        </w:rPr>
        <w:t xml:space="preserve">ואם היינו עושים זאת האם לא היו שואלים אותנו בצדק 'מי שמכם' ומי הסמיך אתכם להסיג את גבולו של המחוקק, והרי שלטון החוק בו אנו חיים ועליו אנו מצווים לשמור כבבת עינינו </w:t>
      </w:r>
      <w:r w:rsidRPr="00C04041">
        <w:rPr>
          <w:rFonts w:ascii="Century" w:hAnsi="Century"/>
          <w:sz w:val="22"/>
          <w:u w:val="single"/>
          <w:rtl/>
        </w:rPr>
        <w:t>–</w:t>
      </w:r>
      <w:r w:rsidRPr="00012518">
        <w:rPr>
          <w:rFonts w:ascii="Century" w:hAnsi="Century" w:cs="Miriam"/>
          <w:b/>
          <w:spacing w:val="0"/>
          <w:szCs w:val="24"/>
          <w:u w:val="single"/>
          <w:rtl/>
        </w:rPr>
        <w:t xml:space="preserve"> יסודו בהפרדת הרשויות ושמירה על התחומים שביניהם באופן שאחד לא יסיג את גבולו של השני</w:t>
      </w:r>
      <w:r w:rsidRPr="00012518">
        <w:rPr>
          <w:rFonts w:ascii="Century" w:hAnsi="Century" w:cs="Miriam"/>
          <w:b/>
          <w:spacing w:val="0"/>
          <w:szCs w:val="24"/>
          <w:rtl/>
        </w:rPr>
        <w:t xml:space="preserve">. [...] הגיעה לכן השעה כי הפרקליטים המלומדים, או אלה העומדים מאחוריהם, יבינו כי </w:t>
      </w:r>
      <w:r w:rsidRPr="00012518">
        <w:rPr>
          <w:rFonts w:ascii="Century" w:hAnsi="Century" w:cs="Miriam"/>
          <w:b/>
          <w:spacing w:val="0"/>
          <w:szCs w:val="24"/>
          <w:u w:val="single"/>
          <w:rtl/>
        </w:rPr>
        <w:t>את התיקון, למה שנראה להם כמצב הפוגע בזכויות האדם, יש לחפש במישור הפוליטי הפרלמנטרי ולא בבית-המשפט</w:t>
      </w:r>
      <w:r w:rsidRPr="00012518">
        <w:rPr>
          <w:rFonts w:ascii="Century" w:hAnsi="Century" w:cs="Miriam"/>
          <w:b/>
          <w:spacing w:val="0"/>
          <w:szCs w:val="24"/>
          <w:rtl/>
        </w:rPr>
        <w:t>, וכי אין זה ביכלתנו ואף לא מתפקידנו להכריע במקום שנחוצה הכרעת הכנסת"</w:t>
      </w:r>
      <w:r>
        <w:rPr>
          <w:rtl/>
        </w:rPr>
        <w:t xml:space="preserve">. </w:t>
      </w:r>
    </w:p>
    <w:p w:rsidR="00EB02E1" w:rsidRDefault="00EB02E1" w:rsidP="00EB02E1">
      <w:pPr>
        <w:pStyle w:val="Ruller41"/>
        <w:spacing w:line="240" w:lineRule="auto"/>
        <w:rPr>
          <w:rtl/>
        </w:rPr>
      </w:pPr>
    </w:p>
    <w:p w:rsidR="00EB02E1" w:rsidRDefault="00EB02E1" w:rsidP="00EB02E1">
      <w:pPr>
        <w:pStyle w:val="Ruller4"/>
        <w:numPr>
          <w:ilvl w:val="0"/>
          <w:numId w:val="0"/>
        </w:numPr>
        <w:rPr>
          <w:rtl/>
        </w:rPr>
      </w:pPr>
      <w:r>
        <w:rPr>
          <w:rtl/>
        </w:rPr>
        <w:tab/>
        <w:t xml:space="preserve">נוסף על כך, הצטרף השופט </w:t>
      </w:r>
      <w:r>
        <w:rPr>
          <w:rFonts w:ascii="Century" w:hAnsi="Century" w:cs="Miriam"/>
          <w:b/>
          <w:spacing w:val="0"/>
          <w:sz w:val="22"/>
          <w:szCs w:val="24"/>
          <w:rtl/>
        </w:rPr>
        <w:t>עציוני</w:t>
      </w:r>
      <w:r>
        <w:rPr>
          <w:rtl/>
        </w:rPr>
        <w:t xml:space="preserve"> בהסכמה, לפסקי הדין בעניין </w:t>
      </w:r>
      <w:r>
        <w:rPr>
          <w:rFonts w:ascii="Century" w:hAnsi="Century" w:cs="Miriam"/>
          <w:b/>
          <w:spacing w:val="0"/>
          <w:sz w:val="22"/>
          <w:szCs w:val="24"/>
          <w:rtl/>
        </w:rPr>
        <w:t>רוגוזינסקי</w:t>
      </w:r>
      <w:r>
        <w:rPr>
          <w:rtl/>
        </w:rPr>
        <w:t xml:space="preserve"> ובעניין </w:t>
      </w:r>
      <w:r>
        <w:rPr>
          <w:rFonts w:ascii="Century" w:hAnsi="Century" w:cs="Miriam"/>
          <w:b/>
          <w:spacing w:val="0"/>
          <w:sz w:val="22"/>
          <w:szCs w:val="24"/>
          <w:rtl/>
        </w:rPr>
        <w:t>טוביס</w:t>
      </w:r>
      <w:r>
        <w:rPr>
          <w:rtl/>
        </w:rPr>
        <w:t xml:space="preserve"> שהובאו לעיל. </w:t>
      </w:r>
    </w:p>
    <w:p w:rsidR="00EB02E1" w:rsidRDefault="00EB02E1" w:rsidP="00EB02E1">
      <w:pPr>
        <w:pStyle w:val="Ruller41"/>
        <w:rPr>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t>הנשיא י' כַ</w:t>
      </w:r>
      <w:r>
        <w:rPr>
          <w:rFonts w:ascii="Century" w:hAnsi="Century" w:cs="Miriam" w:hint="cs"/>
          <w:b/>
          <w:spacing w:val="0"/>
          <w:szCs w:val="24"/>
          <w:rtl/>
        </w:rPr>
        <w:t>ּ</w:t>
      </w:r>
      <w:r>
        <w:rPr>
          <w:rFonts w:ascii="Century" w:hAnsi="Century" w:cs="Miriam"/>
          <w:b/>
          <w:spacing w:val="0"/>
          <w:szCs w:val="24"/>
          <w:rtl/>
        </w:rPr>
        <w:t>הן</w:t>
      </w:r>
    </w:p>
    <w:p w:rsidR="00EB02E1" w:rsidRDefault="00EB02E1" w:rsidP="00EB02E1">
      <w:pPr>
        <w:pStyle w:val="Ruller4"/>
        <w:numPr>
          <w:ilvl w:val="0"/>
          <w:numId w:val="0"/>
        </w:numPr>
        <w:rPr>
          <w:rtl/>
        </w:rPr>
      </w:pPr>
      <w:r>
        <w:rPr>
          <w:rFonts w:hint="cs"/>
          <w:rtl/>
        </w:rPr>
        <w:t>48.</w:t>
      </w:r>
      <w:r>
        <w:rPr>
          <w:rFonts w:hint="cs"/>
          <w:rtl/>
        </w:rPr>
        <w:tab/>
      </w:r>
      <w:r>
        <w:rPr>
          <w:rtl/>
        </w:rPr>
        <w:t>הנשיא הששי של בית המשפט</w:t>
      </w:r>
      <w:r>
        <w:rPr>
          <w:rFonts w:hint="cs"/>
          <w:rtl/>
        </w:rPr>
        <w:t xml:space="preserve"> העליון</w:t>
      </w:r>
      <w:r>
        <w:rPr>
          <w:rtl/>
        </w:rPr>
        <w:t>, ה</w:t>
      </w:r>
      <w:r>
        <w:rPr>
          <w:rFonts w:hint="cs"/>
          <w:rtl/>
        </w:rPr>
        <w:t xml:space="preserve">שופט </w:t>
      </w:r>
      <w:r>
        <w:rPr>
          <w:rFonts w:ascii="Century" w:hAnsi="Century" w:cs="Miriam"/>
          <w:b/>
          <w:spacing w:val="0"/>
          <w:sz w:val="22"/>
          <w:szCs w:val="24"/>
          <w:rtl/>
        </w:rPr>
        <w:t>י' כ</w:t>
      </w:r>
      <w:r>
        <w:rPr>
          <w:rFonts w:ascii="Century" w:hAnsi="Century" w:cs="Miriam" w:hint="cs"/>
          <w:b/>
          <w:spacing w:val="0"/>
          <w:sz w:val="22"/>
          <w:szCs w:val="24"/>
          <w:rtl/>
        </w:rPr>
        <w:t>ַּ</w:t>
      </w:r>
      <w:r>
        <w:rPr>
          <w:rFonts w:ascii="Century" w:hAnsi="Century" w:cs="Miriam"/>
          <w:b/>
          <w:spacing w:val="0"/>
          <w:sz w:val="22"/>
          <w:szCs w:val="24"/>
          <w:rtl/>
        </w:rPr>
        <w:t>הן</w:t>
      </w:r>
      <w:r>
        <w:rPr>
          <w:rtl/>
        </w:rPr>
        <w:t xml:space="preserve">, הצטרף בהסכמה לפסק הדין בעניין </w:t>
      </w:r>
      <w:r>
        <w:rPr>
          <w:rFonts w:ascii="Century" w:hAnsi="Century" w:cs="Miriam"/>
          <w:b/>
          <w:spacing w:val="0"/>
          <w:sz w:val="22"/>
          <w:szCs w:val="24"/>
          <w:rtl/>
        </w:rPr>
        <w:t>רוגוזינסקי</w:t>
      </w:r>
      <w:r>
        <w:rPr>
          <w:rtl/>
        </w:rPr>
        <w:t xml:space="preserve"> הנזכר לעיל, שבו נשללה האפשרות להכיר בעקרונות על-חוקתיים</w:t>
      </w:r>
      <w:r>
        <w:rPr>
          <w:rFonts w:hint="cs"/>
          <w:rtl/>
        </w:rPr>
        <w:t>;</w:t>
      </w:r>
      <w:r>
        <w:rPr>
          <w:rtl/>
        </w:rPr>
        <w:t xml:space="preserve"> תהא זו מגילת העצמאות, יהיו אלו 'עקרונות היסוד של השיטה'</w:t>
      </w:r>
      <w:r>
        <w:rPr>
          <w:rFonts w:hint="cs"/>
          <w:rtl/>
        </w:rPr>
        <w:t>,</w:t>
      </w:r>
      <w:r>
        <w:rPr>
          <w:rtl/>
        </w:rPr>
        <w:t xml:space="preserve"> אחת דתם</w:t>
      </w:r>
      <w:r>
        <w:rPr>
          <w:rFonts w:hint="cs"/>
          <w:rtl/>
        </w:rPr>
        <w:t xml:space="preserve"> </w:t>
      </w:r>
      <w:r>
        <w:rPr>
          <w:rtl/>
        </w:rPr>
        <w:t>–</w:t>
      </w:r>
      <w:r>
        <w:rPr>
          <w:rFonts w:hint="cs"/>
          <w:rtl/>
        </w:rPr>
        <w:t xml:space="preserve"> </w:t>
      </w:r>
      <w:r>
        <w:rPr>
          <w:rtl/>
        </w:rPr>
        <w:t xml:space="preserve">להידחות. </w:t>
      </w:r>
    </w:p>
    <w:p w:rsidR="00EB02E1" w:rsidRDefault="00EB02E1" w:rsidP="00EB02E1">
      <w:pPr>
        <w:pStyle w:val="Ruller41"/>
        <w:rPr>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t xml:space="preserve">הנשיא </w:t>
      </w:r>
      <w:r>
        <w:rPr>
          <w:rFonts w:ascii="Century" w:hAnsi="Century" w:cs="Miriam" w:hint="cs"/>
          <w:b/>
          <w:spacing w:val="0"/>
          <w:szCs w:val="24"/>
          <w:rtl/>
        </w:rPr>
        <w:t xml:space="preserve">מ' </w:t>
      </w:r>
      <w:r>
        <w:rPr>
          <w:rFonts w:ascii="Century" w:hAnsi="Century" w:cs="Miriam"/>
          <w:b/>
          <w:spacing w:val="0"/>
          <w:szCs w:val="24"/>
          <w:rtl/>
        </w:rPr>
        <w:t>שמגר</w:t>
      </w:r>
    </w:p>
    <w:p w:rsidR="00EB02E1" w:rsidRDefault="00EB02E1" w:rsidP="00EB02E1">
      <w:pPr>
        <w:pStyle w:val="Ruller4"/>
        <w:numPr>
          <w:ilvl w:val="0"/>
          <w:numId w:val="0"/>
        </w:numPr>
        <w:rPr>
          <w:rtl/>
        </w:rPr>
      </w:pPr>
      <w:r>
        <w:rPr>
          <w:rFonts w:hint="cs"/>
          <w:rtl/>
        </w:rPr>
        <w:t>49.</w:t>
      </w:r>
      <w:r>
        <w:rPr>
          <w:rFonts w:hint="cs"/>
          <w:rtl/>
        </w:rPr>
        <w:tab/>
      </w:r>
      <w:r>
        <w:rPr>
          <w:rtl/>
        </w:rPr>
        <w:t>הנשיא השביעי של בית המשפט</w:t>
      </w:r>
      <w:r>
        <w:rPr>
          <w:rFonts w:hint="cs"/>
          <w:rtl/>
        </w:rPr>
        <w:t xml:space="preserve"> </w:t>
      </w:r>
      <w:r>
        <w:rPr>
          <w:rFonts w:ascii="Century" w:hAnsi="Century" w:cs="Miriam"/>
          <w:b/>
          <w:spacing w:val="0"/>
          <w:sz w:val="22"/>
          <w:szCs w:val="24"/>
          <w:rtl/>
        </w:rPr>
        <w:t>מ' שמגר</w:t>
      </w:r>
      <w:r>
        <w:rPr>
          <w:rtl/>
        </w:rPr>
        <w:t xml:space="preserve">, מונה לכהן כשופט בבית המשפט העליון בשנת 1975, עת כיהנו בו שרידי השופטים מ'דור הנפילים'. את התייחסותו הראשונה של השופט </w:t>
      </w:r>
      <w:r>
        <w:rPr>
          <w:rFonts w:ascii="Century" w:hAnsi="Century" w:cs="Miriam"/>
          <w:b/>
          <w:spacing w:val="0"/>
          <w:sz w:val="22"/>
          <w:szCs w:val="24"/>
          <w:rtl/>
        </w:rPr>
        <w:t>שמגר</w:t>
      </w:r>
      <w:r>
        <w:rPr>
          <w:rtl/>
        </w:rPr>
        <w:t xml:space="preserve"> לסוגיה שעל הפרק, מוצאים אנו מתנוססת על-גבי פסקי הדין של בית משפט זה, עוד טרם מונה לכהן כשופט. פסק הדין בעניין </w:t>
      </w:r>
      <w:r>
        <w:rPr>
          <w:rFonts w:ascii="Century" w:hAnsi="Century" w:cs="Miriam"/>
          <w:b/>
          <w:spacing w:val="0"/>
          <w:sz w:val="22"/>
          <w:szCs w:val="24"/>
          <w:rtl/>
        </w:rPr>
        <w:t>ברגמן</w:t>
      </w:r>
      <w:r>
        <w:rPr>
          <w:rtl/>
        </w:rPr>
        <w:t xml:space="preserve"> ניתן </w:t>
      </w:r>
      <w:r>
        <w:rPr>
          <w:rFonts w:hint="cs"/>
          <w:rtl/>
        </w:rPr>
        <w:t>כאשר</w:t>
      </w:r>
      <w:r>
        <w:rPr>
          <w:rtl/>
        </w:rPr>
        <w:t xml:space="preserve"> כיהן </w:t>
      </w:r>
      <w:r w:rsidRPr="00A1194E">
        <w:rPr>
          <w:rFonts w:ascii="Century" w:hAnsi="Century" w:cs="Miriam" w:hint="cs"/>
          <w:b/>
          <w:spacing w:val="0"/>
          <w:sz w:val="22"/>
          <w:szCs w:val="24"/>
          <w:rtl/>
        </w:rPr>
        <w:t xml:space="preserve">מ' </w:t>
      </w:r>
      <w:r w:rsidRPr="00517BBB">
        <w:rPr>
          <w:rFonts w:ascii="Century" w:hAnsi="Century" w:cs="Miriam"/>
          <w:b/>
          <w:spacing w:val="0"/>
          <w:sz w:val="22"/>
          <w:szCs w:val="24"/>
          <w:rtl/>
        </w:rPr>
        <w:t>שמגר</w:t>
      </w:r>
      <w:r w:rsidRPr="00517BBB">
        <w:rPr>
          <w:rtl/>
        </w:rPr>
        <w:t xml:space="preserve"> </w:t>
      </w:r>
      <w:r>
        <w:rPr>
          <w:rtl/>
        </w:rPr>
        <w:t xml:space="preserve">בתפקיד היועץ המשפטי </w:t>
      </w:r>
      <w:r>
        <w:rPr>
          <w:rFonts w:hint="cs"/>
          <w:rtl/>
        </w:rPr>
        <w:t>ל</w:t>
      </w:r>
      <w:r>
        <w:rPr>
          <w:rtl/>
        </w:rPr>
        <w:t xml:space="preserve">ממשלה. </w:t>
      </w:r>
      <w:r>
        <w:rPr>
          <w:rFonts w:hint="cs"/>
          <w:rtl/>
        </w:rPr>
        <w:t>מחמת</w:t>
      </w:r>
      <w:r>
        <w:rPr>
          <w:rtl/>
        </w:rPr>
        <w:t xml:space="preserve"> החשיבות שניתנה לשאלה שהתעוררה בעניין </w:t>
      </w:r>
      <w:r w:rsidRPr="00517BBB">
        <w:rPr>
          <w:rFonts w:ascii="Century" w:hAnsi="Century" w:cs="Miriam"/>
          <w:b/>
          <w:spacing w:val="0"/>
          <w:sz w:val="22"/>
          <w:szCs w:val="24"/>
          <w:rtl/>
        </w:rPr>
        <w:t>ברגמן</w:t>
      </w:r>
      <w:r>
        <w:rPr>
          <w:rtl/>
        </w:rPr>
        <w:t xml:space="preserve">, התייצב היועץ המשפטי לממשלה לדיון, וייצג </w:t>
      </w:r>
      <w:r>
        <w:rPr>
          <w:rFonts w:hint="cs"/>
          <w:rtl/>
        </w:rPr>
        <w:t xml:space="preserve">הוא </w:t>
      </w:r>
      <w:r>
        <w:rPr>
          <w:rtl/>
        </w:rPr>
        <w:t xml:space="preserve">עצמו את עמדת הממשלה; 'לא על-ידי אחר ולא על-ידי שליח'. בפסק הדין מובא טיעונו של היועץ המשפטי </w:t>
      </w:r>
      <w:r w:rsidRPr="00517BBB">
        <w:rPr>
          <w:rFonts w:ascii="Century" w:hAnsi="Century" w:cs="Miriam"/>
          <w:b/>
          <w:spacing w:val="0"/>
          <w:sz w:val="22"/>
          <w:szCs w:val="24"/>
          <w:rtl/>
        </w:rPr>
        <w:t>שמגר</w:t>
      </w:r>
      <w:r w:rsidRPr="00517BBB">
        <w:rPr>
          <w:rtl/>
        </w:rPr>
        <w:t xml:space="preserve"> </w:t>
      </w:r>
      <w:r>
        <w:rPr>
          <w:rtl/>
        </w:rPr>
        <w:t xml:space="preserve">בזו הלשון: </w:t>
      </w:r>
      <w:r>
        <w:rPr>
          <w:rFonts w:ascii="Century" w:hAnsi="Century" w:cs="Miriam"/>
          <w:b/>
          <w:spacing w:val="0"/>
          <w:sz w:val="22"/>
          <w:szCs w:val="24"/>
          <w:rtl/>
        </w:rPr>
        <w:t xml:space="preserve">"אמנם מכירים גם אנו בשוויון האזרחים בפני החוק כבעקרון </w:t>
      </w:r>
      <w:r>
        <w:rPr>
          <w:rFonts w:ascii="Century" w:hAnsi="Century" w:cs="Miriam"/>
          <w:b/>
          <w:spacing w:val="0"/>
          <w:sz w:val="22"/>
          <w:szCs w:val="24"/>
          <w:rtl/>
        </w:rPr>
        <w:lastRenderedPageBreak/>
        <w:t>יסוד של המשטר החוקתי שלנו, אבל עקרון זה לא התגלם אצלנו בחוקה כתובה או אף בהוראת חוק יסוד ששינויה דורש רוב מיוחס, ועל כן אין מניעה לכך שהמחוקק יסטה ממנו אף בחוק שנתקבל ברוב רגיל"</w:t>
      </w:r>
      <w:r>
        <w:rPr>
          <w:rtl/>
        </w:rPr>
        <w:t xml:space="preserve"> (שם, בעמ' 698). טענה זו אמנם נדחתה ב</w:t>
      </w:r>
      <w:r>
        <w:rPr>
          <w:rFonts w:hint="cs"/>
          <w:rtl/>
        </w:rPr>
        <w:t>אותו עניין</w:t>
      </w:r>
      <w:r>
        <w:rPr>
          <w:rtl/>
        </w:rPr>
        <w:t>, משום שנקבע כי הוראת החוק הנדונה פוגעת בעיקרון השוויון בבחירות, ה</w:t>
      </w:r>
      <w:r>
        <w:rPr>
          <w:rFonts w:hint="cs"/>
          <w:rtl/>
        </w:rPr>
        <w:t>מעוגן</w:t>
      </w:r>
      <w:r>
        <w:rPr>
          <w:rtl/>
        </w:rPr>
        <w:t xml:space="preserve"> בסעיף 4 לחוק-יסוד: הכנסת, ולא התקבלה ברוב של 61 חברי כנסת. אך טענתו העקרונית של</w:t>
      </w:r>
      <w:r>
        <w:rPr>
          <w:rFonts w:hint="cs"/>
          <w:rtl/>
        </w:rPr>
        <w:t xml:space="preserve"> היועץ המשפטי </w:t>
      </w:r>
      <w:r w:rsidRPr="00517BBB">
        <w:rPr>
          <w:rFonts w:ascii="Century" w:hAnsi="Century" w:cs="Miriam"/>
          <w:b/>
          <w:spacing w:val="0"/>
          <w:sz w:val="22"/>
          <w:szCs w:val="24"/>
          <w:rtl/>
        </w:rPr>
        <w:t>שמגר</w:t>
      </w:r>
      <w:r w:rsidRPr="00517BBB">
        <w:rPr>
          <w:rtl/>
        </w:rPr>
        <w:t xml:space="preserve"> </w:t>
      </w:r>
      <w:r>
        <w:rPr>
          <w:rtl/>
        </w:rPr>
        <w:t xml:space="preserve">– התקבלה. הובהר בפסק הדין, כי אם יתקבל החוק ברוב של 61, לא ניתן </w:t>
      </w:r>
      <w:r>
        <w:rPr>
          <w:rFonts w:hint="cs"/>
          <w:rtl/>
        </w:rPr>
        <w:t xml:space="preserve">יהיה </w:t>
      </w:r>
      <w:r>
        <w:rPr>
          <w:rtl/>
        </w:rPr>
        <w:t xml:space="preserve">לערער על תוקפו, אף שהפגיעה בשוויון – בעינה עומדת. </w:t>
      </w:r>
    </w:p>
    <w:p w:rsidR="00EB02E1" w:rsidRDefault="00EB02E1" w:rsidP="00EB02E1">
      <w:pPr>
        <w:pStyle w:val="Ruller41"/>
        <w:spacing w:line="240" w:lineRule="auto"/>
        <w:rPr>
          <w:rtl/>
        </w:rPr>
      </w:pPr>
    </w:p>
    <w:p w:rsidR="00EB02E1" w:rsidRDefault="00EB02E1" w:rsidP="00EB02E1">
      <w:pPr>
        <w:pStyle w:val="Ruller4"/>
        <w:numPr>
          <w:ilvl w:val="0"/>
          <w:numId w:val="0"/>
        </w:numPr>
        <w:rPr>
          <w:rtl/>
        </w:rPr>
      </w:pPr>
      <w:r>
        <w:rPr>
          <w:rFonts w:hint="cs"/>
          <w:rtl/>
        </w:rPr>
        <w:t>50.</w:t>
      </w:r>
      <w:r>
        <w:rPr>
          <w:rtl/>
        </w:rPr>
        <w:tab/>
        <w:t>לאחר שנבחר</w:t>
      </w:r>
      <w:r>
        <w:rPr>
          <w:rFonts w:hint="cs"/>
          <w:rtl/>
        </w:rPr>
        <w:t xml:space="preserve"> לכהן</w:t>
      </w:r>
      <w:r>
        <w:rPr>
          <w:rtl/>
        </w:rPr>
        <w:t xml:space="preserve"> כשופט, חזר הנשיא </w:t>
      </w:r>
      <w:r>
        <w:rPr>
          <w:rFonts w:ascii="Century" w:hAnsi="Century" w:cs="Miriam"/>
          <w:b/>
          <w:spacing w:val="0"/>
          <w:sz w:val="22"/>
          <w:szCs w:val="24"/>
          <w:rtl/>
        </w:rPr>
        <w:t>שמגר</w:t>
      </w:r>
      <w:r>
        <w:rPr>
          <w:rtl/>
        </w:rPr>
        <w:t xml:space="preserve"> על עמדתו בדבר ריבונות הכנסת, ואי-הגבלה </w:t>
      </w:r>
      <w:r>
        <w:rPr>
          <w:rFonts w:hint="cs"/>
          <w:rtl/>
        </w:rPr>
        <w:t>ע</w:t>
      </w:r>
      <w:r>
        <w:rPr>
          <w:rtl/>
        </w:rPr>
        <w:t xml:space="preserve">ל יכולת החקיקה שבידיה, וציין כי </w:t>
      </w:r>
      <w:r>
        <w:rPr>
          <w:rFonts w:ascii="Century" w:hAnsi="Century" w:cs="Miriam"/>
          <w:b/>
          <w:spacing w:val="0"/>
          <w:sz w:val="22"/>
          <w:szCs w:val="24"/>
          <w:rtl/>
        </w:rPr>
        <w:t>"חוקי הכנסת אינם נתונים לביקורת שיפוטית באשר לחוקיות תוכנם [...] בכפוף לביקורת אפשרית של חוק שהתקבל בדרך שסתרה הוראה משוריינת"</w:t>
      </w:r>
      <w:r>
        <w:rPr>
          <w:rtl/>
        </w:rPr>
        <w:t>, תוך שהוא מרבה באסמכתאות לביסוס עמדתו</w:t>
      </w:r>
      <w:r>
        <w:rPr>
          <w:rFonts w:hint="cs"/>
          <w:rtl/>
        </w:rPr>
        <w:t>-</w:t>
      </w:r>
      <w:r>
        <w:rPr>
          <w:rtl/>
        </w:rPr>
        <w:t xml:space="preserve">זו (בג"ץ 669/85 </w:t>
      </w:r>
      <w:r>
        <w:rPr>
          <w:rFonts w:ascii="Century" w:hAnsi="Century" w:cs="Miriam"/>
          <w:b/>
          <w:spacing w:val="0"/>
          <w:sz w:val="22"/>
          <w:szCs w:val="24"/>
          <w:rtl/>
        </w:rPr>
        <w:t>כהנא נ' יו"ר הכנסת</w:t>
      </w:r>
      <w:r>
        <w:rPr>
          <w:rtl/>
        </w:rPr>
        <w:t>, פ"ד מ(4) 393, 400 (1986)).</w:t>
      </w:r>
    </w:p>
    <w:p w:rsidR="00EB02E1" w:rsidRDefault="00EB02E1" w:rsidP="00EB02E1">
      <w:pPr>
        <w:pStyle w:val="Ruller41"/>
        <w:spacing w:line="240" w:lineRule="auto"/>
        <w:rPr>
          <w:rtl/>
        </w:rPr>
      </w:pPr>
    </w:p>
    <w:p w:rsidR="00EB02E1" w:rsidRDefault="00EB02E1" w:rsidP="00EB02E1">
      <w:pPr>
        <w:pStyle w:val="Ruller4"/>
        <w:numPr>
          <w:ilvl w:val="0"/>
          <w:numId w:val="0"/>
        </w:numPr>
        <w:rPr>
          <w:rtl/>
        </w:rPr>
      </w:pPr>
      <w:r>
        <w:rPr>
          <w:rFonts w:hint="cs"/>
          <w:rtl/>
        </w:rPr>
        <w:t>51.</w:t>
      </w:r>
      <w:r>
        <w:rPr>
          <w:rFonts w:hint="cs"/>
          <w:rtl/>
        </w:rPr>
        <w:tab/>
      </w:r>
      <w:r>
        <w:rPr>
          <w:rtl/>
        </w:rPr>
        <w:t xml:space="preserve">כל ימיו על כס השיפוט, </w:t>
      </w:r>
      <w:r>
        <w:rPr>
          <w:rFonts w:hint="cs"/>
          <w:rtl/>
        </w:rPr>
        <w:t xml:space="preserve">החזיק השופט </w:t>
      </w:r>
      <w:r w:rsidRPr="00AA4176">
        <w:rPr>
          <w:rFonts w:ascii="Century" w:hAnsi="Century" w:cs="Miriam" w:hint="cs"/>
          <w:b/>
          <w:spacing w:val="0"/>
          <w:sz w:val="22"/>
          <w:szCs w:val="24"/>
          <w:rtl/>
        </w:rPr>
        <w:t>שמגר</w:t>
      </w:r>
      <w:r w:rsidRPr="00AA4176">
        <w:rPr>
          <w:rFonts w:hint="cs"/>
          <w:rtl/>
        </w:rPr>
        <w:t xml:space="preserve"> </w:t>
      </w:r>
      <w:r>
        <w:rPr>
          <w:rFonts w:hint="cs"/>
          <w:rtl/>
        </w:rPr>
        <w:t>בהשקפה זו; לא נע ולא זע ממנה. אחד מ</w:t>
      </w:r>
      <w:r>
        <w:rPr>
          <w:rtl/>
        </w:rPr>
        <w:t xml:space="preserve">פסקי הדין האחרונים שניתנו על-ידו, סמוך לאחר פרישתו מכס השיפוט, היה בעניין </w:t>
      </w:r>
      <w:r>
        <w:rPr>
          <w:rFonts w:ascii="Century" w:hAnsi="Century" w:cs="Miriam"/>
          <w:b/>
          <w:spacing w:val="0"/>
          <w:sz w:val="22"/>
          <w:szCs w:val="24"/>
          <w:rtl/>
        </w:rPr>
        <w:t>בנק המזרחי</w:t>
      </w:r>
      <w:r>
        <w:rPr>
          <w:rtl/>
        </w:rPr>
        <w:t xml:space="preserve">. גם בפסק דין זה המשיך הנשיא </w:t>
      </w:r>
      <w:r>
        <w:rPr>
          <w:rFonts w:ascii="Century" w:hAnsi="Century" w:cs="Miriam"/>
          <w:b/>
          <w:spacing w:val="0"/>
          <w:sz w:val="22"/>
          <w:szCs w:val="24"/>
          <w:rtl/>
        </w:rPr>
        <w:t>שמגר</w:t>
      </w:r>
      <w:r>
        <w:rPr>
          <w:rtl/>
        </w:rPr>
        <w:t xml:space="preserve"> להכיר בריבונותה הבלתי-מוגבלת של הכנסת. הכרה זו היא-היא שעמדה בבסיס פסק דינו (ראו דברי חברתי </w:t>
      </w:r>
      <w:r w:rsidRPr="00AA4176">
        <w:rPr>
          <w:rFonts w:ascii="Century" w:hAnsi="Century"/>
          <w:sz w:val="22"/>
          <w:rtl/>
        </w:rPr>
        <w:t xml:space="preserve">הנשיאה </w:t>
      </w:r>
      <w:r>
        <w:rPr>
          <w:rFonts w:ascii="Century" w:hAnsi="Century" w:hint="cs"/>
          <w:sz w:val="22"/>
          <w:rtl/>
        </w:rPr>
        <w:t>(</w:t>
      </w:r>
      <w:r w:rsidRPr="00AA4176">
        <w:rPr>
          <w:rFonts w:ascii="Century" w:hAnsi="Century"/>
          <w:sz w:val="22"/>
          <w:rtl/>
        </w:rPr>
        <w:t>בדימ'</w:t>
      </w:r>
      <w:r>
        <w:rPr>
          <w:rFonts w:ascii="Century" w:hAnsi="Century" w:hint="cs"/>
          <w:sz w:val="22"/>
          <w:rtl/>
        </w:rPr>
        <w:t>)</w:t>
      </w:r>
      <w:r>
        <w:rPr>
          <w:rFonts w:hint="cs"/>
          <w:rtl/>
        </w:rPr>
        <w:t xml:space="preserve"> </w:t>
      </w:r>
      <w:r w:rsidRPr="00AA4176">
        <w:rPr>
          <w:rFonts w:ascii="Century" w:hAnsi="Century" w:cs="Miriam" w:hint="cs"/>
          <w:b/>
          <w:spacing w:val="0"/>
          <w:sz w:val="22"/>
          <w:szCs w:val="24"/>
          <w:rtl/>
        </w:rPr>
        <w:t>א' חיות</w:t>
      </w:r>
      <w:r>
        <w:rPr>
          <w:rtl/>
        </w:rPr>
        <w:t>, בפסקה 52 לחוות דעתה).</w:t>
      </w:r>
    </w:p>
    <w:p w:rsidR="00EB02E1" w:rsidRDefault="00EB02E1" w:rsidP="00EB02E1">
      <w:pPr>
        <w:pStyle w:val="Ruller41"/>
        <w:spacing w:line="240" w:lineRule="auto"/>
        <w:rPr>
          <w:rtl/>
        </w:rPr>
      </w:pPr>
    </w:p>
    <w:p w:rsidR="00EB02E1" w:rsidRPr="008F5615" w:rsidRDefault="00EB02E1" w:rsidP="00EB02E1">
      <w:pPr>
        <w:pStyle w:val="Ruller4"/>
        <w:numPr>
          <w:ilvl w:val="0"/>
          <w:numId w:val="0"/>
        </w:numPr>
        <w:rPr>
          <w:rtl/>
        </w:rPr>
      </w:pPr>
      <w:r>
        <w:rPr>
          <w:rFonts w:hint="cs"/>
          <w:rtl/>
        </w:rPr>
        <w:t>52.</w:t>
      </w:r>
      <w:r>
        <w:rPr>
          <w:rFonts w:hint="cs"/>
          <w:rtl/>
        </w:rPr>
        <w:tab/>
        <w:t xml:space="preserve">עם זאת, בעניין </w:t>
      </w:r>
      <w:r w:rsidRPr="00A1194E">
        <w:rPr>
          <w:rFonts w:ascii="Century" w:hAnsi="Century" w:cs="Miriam" w:hint="cs"/>
          <w:b/>
          <w:spacing w:val="0"/>
          <w:sz w:val="22"/>
          <w:szCs w:val="24"/>
          <w:rtl/>
        </w:rPr>
        <w:t>בנק המזרחי</w:t>
      </w:r>
      <w:r>
        <w:rPr>
          <w:rFonts w:hint="cs"/>
          <w:rtl/>
        </w:rPr>
        <w:t xml:space="preserve"> הוסיף הנשיא </w:t>
      </w:r>
      <w:r w:rsidRPr="00B0656D">
        <w:rPr>
          <w:rFonts w:ascii="Century" w:hAnsi="Century" w:cs="Miriam" w:hint="eastAsia"/>
          <w:b/>
          <w:spacing w:val="0"/>
          <w:sz w:val="22"/>
          <w:szCs w:val="24"/>
          <w:rtl/>
        </w:rPr>
        <w:t>שמגר</w:t>
      </w:r>
      <w:r>
        <w:rPr>
          <w:rFonts w:hint="cs"/>
          <w:rtl/>
        </w:rPr>
        <w:t xml:space="preserve"> וציין, לראשונה, כי </w:t>
      </w:r>
      <w:r w:rsidRPr="00B0656D">
        <w:rPr>
          <w:rFonts w:ascii="Century" w:hAnsi="Century" w:cs="Miriam"/>
          <w:b/>
          <w:spacing w:val="0"/>
          <w:sz w:val="22"/>
          <w:szCs w:val="24"/>
          <w:rtl/>
        </w:rPr>
        <w:t>"</w:t>
      </w:r>
      <w:r w:rsidRPr="00B0656D">
        <w:rPr>
          <w:rFonts w:ascii="Century" w:hAnsi="Century" w:cs="Miriam" w:hint="eastAsia"/>
          <w:b/>
          <w:spacing w:val="0"/>
          <w:sz w:val="22"/>
          <w:szCs w:val="24"/>
          <w:rtl/>
        </w:rPr>
        <w:t>שאלה</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המושארת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בצריך</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עיון</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היא</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מה</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המידה</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שבה</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רשאית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הכנסת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בין</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כאסיפה</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מכוננת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ובין</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כרשות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מחוקקת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מונוליטית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לפגוע</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בזכות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יסוד</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ויהיה</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זה</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אף</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על</w:t>
      </w:r>
      <w:r w:rsidRPr="00B0656D">
        <w:rPr>
          <w:rFonts w:ascii="Century" w:hAnsi="Century" w:cs="Miriam"/>
          <w:b/>
          <w:spacing w:val="0"/>
          <w:sz w:val="22"/>
          <w:szCs w:val="24"/>
          <w:rtl/>
        </w:rPr>
        <w:t>-</w:t>
      </w:r>
      <w:r w:rsidRPr="00B0656D">
        <w:rPr>
          <w:rFonts w:ascii="Century" w:hAnsi="Century" w:cs="Miriam" w:hint="eastAsia"/>
          <w:b/>
          <w:spacing w:val="0"/>
          <w:sz w:val="22"/>
          <w:szCs w:val="24"/>
          <w:rtl/>
        </w:rPr>
        <w:t>ידי</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חקיקה</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בחוק</w:t>
      </w:r>
      <w:r w:rsidRPr="00B0656D">
        <w:rPr>
          <w:rFonts w:ascii="Century" w:hAnsi="Century" w:cs="Miriam"/>
          <w:b/>
          <w:spacing w:val="0"/>
          <w:sz w:val="22"/>
          <w:szCs w:val="24"/>
          <w:rtl/>
        </w:rPr>
        <w:t>-</w:t>
      </w:r>
      <w:r w:rsidRPr="00B0656D">
        <w:rPr>
          <w:rFonts w:ascii="Century" w:hAnsi="Century" w:cs="Miriam" w:hint="eastAsia"/>
          <w:b/>
          <w:spacing w:val="0"/>
          <w:sz w:val="22"/>
          <w:szCs w:val="24"/>
          <w:rtl/>
        </w:rPr>
        <w:t>יסוד</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ומה</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היקפה</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של</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הביקורת</w:t>
      </w:r>
      <w:r w:rsidRPr="00B0656D">
        <w:rPr>
          <w:rFonts w:ascii="Century" w:hAnsi="Century" w:cs="Miriam"/>
          <w:b/>
          <w:spacing w:val="0"/>
          <w:sz w:val="22"/>
          <w:szCs w:val="24"/>
          <w:rtl/>
        </w:rPr>
        <w:t xml:space="preserve"> </w:t>
      </w:r>
      <w:r>
        <w:rPr>
          <w:rFonts w:ascii="Century" w:hAnsi="Century" w:cs="Miriam" w:hint="cs"/>
          <w:b/>
          <w:spacing w:val="0"/>
          <w:sz w:val="22"/>
          <w:szCs w:val="24"/>
          <w:rtl/>
        </w:rPr>
        <w:t>ה</w:t>
      </w:r>
      <w:r w:rsidRPr="00B0656D">
        <w:rPr>
          <w:rFonts w:ascii="Century" w:hAnsi="Century" w:cs="Miriam" w:hint="eastAsia"/>
          <w:b/>
          <w:spacing w:val="0"/>
          <w:sz w:val="22"/>
          <w:szCs w:val="24"/>
          <w:rtl/>
        </w:rPr>
        <w:t>שיפוטית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על</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כך</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נשאיר</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זאת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בצריך</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עיון</w:t>
      </w:r>
      <w:r w:rsidRPr="00B0656D">
        <w:rPr>
          <w:rFonts w:ascii="Century" w:hAnsi="Century" w:cs="Miriam"/>
          <w:b/>
          <w:spacing w:val="0"/>
          <w:sz w:val="22"/>
          <w:szCs w:val="24"/>
          <w:rtl/>
        </w:rPr>
        <w:t>"</w:t>
      </w:r>
      <w:r w:rsidRPr="008F5615">
        <w:rPr>
          <w:rtl/>
        </w:rPr>
        <w:t>.</w:t>
      </w:r>
      <w:r>
        <w:rPr>
          <w:rFonts w:hint="cs"/>
          <w:rtl/>
        </w:rPr>
        <w:t xml:space="preserve"> פסקה קצרה וסתומה, שאינה מבהירה כיצד מתיישבים הדברים עם תורתו העקרונית של הנשיא </w:t>
      </w:r>
      <w:r w:rsidRPr="00A1194E">
        <w:rPr>
          <w:rFonts w:ascii="Century" w:hAnsi="Century" w:cs="Miriam" w:hint="cs"/>
          <w:b/>
          <w:spacing w:val="0"/>
          <w:sz w:val="22"/>
          <w:szCs w:val="24"/>
          <w:rtl/>
        </w:rPr>
        <w:t>שמגר</w:t>
      </w:r>
      <w:r w:rsidRPr="00A1194E">
        <w:rPr>
          <w:rFonts w:hint="cs"/>
          <w:rtl/>
        </w:rPr>
        <w:t xml:space="preserve"> </w:t>
      </w:r>
      <w:r>
        <w:rPr>
          <w:rFonts w:hint="cs"/>
          <w:rtl/>
        </w:rPr>
        <w:t xml:space="preserve">בדבר ריבונות הכנסת, וכיצד ניתן ליישב את הסתירה בין דברים אלו לבין פסיקתו הקודמת. עמד על כך פרופ' </w:t>
      </w:r>
      <w:r w:rsidRPr="00B0656D">
        <w:rPr>
          <w:rFonts w:ascii="Century" w:hAnsi="Century" w:cs="Miriam" w:hint="eastAsia"/>
          <w:b/>
          <w:spacing w:val="0"/>
          <w:sz w:val="22"/>
          <w:szCs w:val="24"/>
          <w:rtl/>
        </w:rPr>
        <w:t>ע</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זלצברגר</w:t>
      </w:r>
      <w:r>
        <w:rPr>
          <w:rFonts w:hint="cs"/>
          <w:rtl/>
        </w:rPr>
        <w:t xml:space="preserve">, במאמר שפורסם סמוך ונראה לאחר מתן פסק הדין בעניין </w:t>
      </w:r>
      <w:r w:rsidRPr="00B0656D">
        <w:rPr>
          <w:rFonts w:ascii="Century" w:hAnsi="Century" w:cs="Miriam" w:hint="eastAsia"/>
          <w:b/>
          <w:spacing w:val="0"/>
          <w:sz w:val="22"/>
          <w:szCs w:val="24"/>
          <w:rtl/>
        </w:rPr>
        <w:t>בנק</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המזרחי</w:t>
      </w:r>
      <w:r>
        <w:rPr>
          <w:rFonts w:hint="cs"/>
          <w:rtl/>
        </w:rPr>
        <w:t xml:space="preserve">: </w:t>
      </w:r>
      <w:r w:rsidRPr="00B0656D">
        <w:rPr>
          <w:rFonts w:ascii="Century" w:hAnsi="Century" w:cs="Miriam"/>
          <w:b/>
          <w:spacing w:val="0"/>
          <w:sz w:val="22"/>
          <w:szCs w:val="24"/>
          <w:rtl/>
        </w:rPr>
        <w:t>"</w:t>
      </w:r>
      <w:r w:rsidRPr="00B0656D">
        <w:rPr>
          <w:rFonts w:ascii="Century" w:hAnsi="Century" w:cs="Miriam" w:hint="eastAsia"/>
          <w:b/>
          <w:spacing w:val="0"/>
          <w:sz w:val="22"/>
          <w:szCs w:val="24"/>
          <w:rtl/>
        </w:rPr>
        <w:t>אם</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הכנסת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היא</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ריבונית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כיצד</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זה</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ייתכן</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שיש</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גבולות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ליכולת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החקיקה</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שלה</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אם</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הכנסת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אינה</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ריבונית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מדוע</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עלינו</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לקבל</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את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הגבולות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שמרמז</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עליהם</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הנשיא</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שמגר</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שוב</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אנו</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נותרים</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בציפייה</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להסבר</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מנומק</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ומשכנע</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הסבר</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שאינו</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בנמצא</w:t>
      </w:r>
      <w:r w:rsidRPr="00B0656D">
        <w:rPr>
          <w:rFonts w:ascii="Century" w:hAnsi="Century" w:cs="Miriam"/>
          <w:b/>
          <w:spacing w:val="0"/>
          <w:sz w:val="22"/>
          <w:szCs w:val="24"/>
          <w:rtl/>
        </w:rPr>
        <w:t>"</w:t>
      </w:r>
      <w:r>
        <w:rPr>
          <w:rFonts w:hint="cs"/>
          <w:rtl/>
        </w:rPr>
        <w:t xml:space="preserve"> (עלי זלצברגר "הסמכות המכוננת בישראל" </w:t>
      </w:r>
      <w:r w:rsidRPr="00B0656D">
        <w:rPr>
          <w:rFonts w:ascii="Century" w:hAnsi="Century" w:cs="Miriam" w:hint="eastAsia"/>
          <w:b/>
          <w:spacing w:val="0"/>
          <w:sz w:val="22"/>
          <w:szCs w:val="24"/>
          <w:rtl/>
        </w:rPr>
        <w:t>משפט</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וממשל</w:t>
      </w:r>
      <w:r>
        <w:rPr>
          <w:rFonts w:hint="cs"/>
          <w:rtl/>
        </w:rPr>
        <w:t xml:space="preserve"> ג 679, 689 (תשנ"ו))</w:t>
      </w:r>
      <w:r>
        <w:rPr>
          <w:rtl/>
        </w:rPr>
        <w:t>.</w:t>
      </w:r>
    </w:p>
    <w:p w:rsidR="00EB02E1" w:rsidRDefault="00EB02E1" w:rsidP="00EB02E1">
      <w:pPr>
        <w:pStyle w:val="Ruller41"/>
        <w:rPr>
          <w:rFonts w:ascii="Century" w:hAnsi="Century" w:cs="Miriam"/>
          <w:b/>
          <w:spacing w:val="0"/>
          <w:szCs w:val="24"/>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t xml:space="preserve">השופט </w:t>
      </w:r>
      <w:r>
        <w:rPr>
          <w:rFonts w:ascii="Century" w:hAnsi="Century" w:cs="Miriam" w:hint="cs"/>
          <w:b/>
          <w:spacing w:val="0"/>
          <w:szCs w:val="24"/>
          <w:rtl/>
        </w:rPr>
        <w:t xml:space="preserve">ש' </w:t>
      </w:r>
      <w:r>
        <w:rPr>
          <w:rFonts w:ascii="Century" w:hAnsi="Century" w:cs="Miriam"/>
          <w:b/>
          <w:spacing w:val="0"/>
          <w:szCs w:val="24"/>
          <w:rtl/>
        </w:rPr>
        <w:t>אשר</w:t>
      </w:r>
    </w:p>
    <w:p w:rsidR="00EB02E1" w:rsidRDefault="00EB02E1" w:rsidP="00EB02E1">
      <w:pPr>
        <w:pStyle w:val="Ruller4"/>
        <w:numPr>
          <w:ilvl w:val="0"/>
          <w:numId w:val="0"/>
        </w:numPr>
        <w:rPr>
          <w:rtl/>
        </w:rPr>
      </w:pPr>
      <w:r>
        <w:rPr>
          <w:rFonts w:hint="cs"/>
          <w:rtl/>
        </w:rPr>
        <w:t>53.</w:t>
      </w:r>
      <w:r>
        <w:rPr>
          <w:rFonts w:hint="cs"/>
          <w:rtl/>
        </w:rPr>
        <w:tab/>
      </w:r>
      <w:r>
        <w:rPr>
          <w:rtl/>
        </w:rPr>
        <w:t xml:space="preserve">השופט </w:t>
      </w:r>
      <w:r>
        <w:rPr>
          <w:rFonts w:ascii="Century" w:hAnsi="Century" w:cs="Miriam"/>
          <w:b/>
          <w:spacing w:val="0"/>
          <w:sz w:val="22"/>
          <w:szCs w:val="24"/>
          <w:rtl/>
        </w:rPr>
        <w:t>ש' אשר</w:t>
      </w:r>
      <w:r>
        <w:rPr>
          <w:rtl/>
        </w:rPr>
        <w:t xml:space="preserve">, הצטרף בהסכמה לפסק הדין בעניין </w:t>
      </w:r>
      <w:r>
        <w:rPr>
          <w:rFonts w:ascii="Century" w:hAnsi="Century" w:cs="Miriam"/>
          <w:b/>
          <w:spacing w:val="0"/>
          <w:sz w:val="22"/>
          <w:szCs w:val="24"/>
          <w:rtl/>
        </w:rPr>
        <w:t>פוגל</w:t>
      </w:r>
      <w:r>
        <w:rPr>
          <w:rtl/>
        </w:rPr>
        <w:t xml:space="preserve">, שניתן על-ידי השופט </w:t>
      </w:r>
      <w:r>
        <w:rPr>
          <w:rFonts w:ascii="Century" w:hAnsi="Century" w:cs="Miriam"/>
          <w:b/>
          <w:spacing w:val="0"/>
          <w:sz w:val="22"/>
          <w:szCs w:val="24"/>
          <w:rtl/>
        </w:rPr>
        <w:t>מ' לנדוי</w:t>
      </w:r>
      <w:r>
        <w:rPr>
          <w:rtl/>
        </w:rPr>
        <w:t xml:space="preserve">. </w:t>
      </w:r>
    </w:p>
    <w:p w:rsidR="00EB02E1" w:rsidRDefault="00EB02E1" w:rsidP="00EB02E1">
      <w:pPr>
        <w:pStyle w:val="Ruller41"/>
        <w:rPr>
          <w:rFonts w:ascii="Century" w:hAnsi="Century" w:cs="Miriam"/>
          <w:b/>
          <w:spacing w:val="0"/>
          <w:szCs w:val="24"/>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lastRenderedPageBreak/>
        <w:t>המשנה לנשיא</w:t>
      </w:r>
      <w:r>
        <w:rPr>
          <w:rFonts w:ascii="Century" w:hAnsi="Century" w:cs="Miriam" w:hint="cs"/>
          <w:b/>
          <w:spacing w:val="0"/>
          <w:szCs w:val="24"/>
          <w:rtl/>
        </w:rPr>
        <w:t xml:space="preserve"> מ'</w:t>
      </w:r>
      <w:r>
        <w:rPr>
          <w:rFonts w:ascii="Century" w:hAnsi="Century" w:cs="Miriam"/>
          <w:b/>
          <w:spacing w:val="0"/>
          <w:szCs w:val="24"/>
          <w:rtl/>
        </w:rPr>
        <w:t xml:space="preserve"> א</w:t>
      </w:r>
      <w:r>
        <w:rPr>
          <w:rFonts w:ascii="Century" w:hAnsi="Century" w:cs="Miriam" w:hint="cs"/>
          <w:b/>
          <w:spacing w:val="0"/>
          <w:szCs w:val="24"/>
          <w:rtl/>
        </w:rPr>
        <w:t>ֵ</w:t>
      </w:r>
      <w:r>
        <w:rPr>
          <w:rFonts w:ascii="Century" w:hAnsi="Century" w:cs="Miriam"/>
          <w:b/>
          <w:spacing w:val="0"/>
          <w:szCs w:val="24"/>
          <w:rtl/>
        </w:rPr>
        <w:t>לון</w:t>
      </w:r>
    </w:p>
    <w:p w:rsidR="00EB02E1" w:rsidRDefault="00EB02E1" w:rsidP="00EB02E1">
      <w:pPr>
        <w:pStyle w:val="Ruller4"/>
        <w:numPr>
          <w:ilvl w:val="0"/>
          <w:numId w:val="0"/>
        </w:numPr>
        <w:rPr>
          <w:rtl/>
        </w:rPr>
      </w:pPr>
      <w:r>
        <w:rPr>
          <w:rFonts w:hint="cs"/>
          <w:rtl/>
        </w:rPr>
        <w:t>54.</w:t>
      </w:r>
      <w:r>
        <w:rPr>
          <w:rFonts w:hint="cs"/>
          <w:rtl/>
        </w:rPr>
        <w:tab/>
      </w:r>
      <w:r>
        <w:rPr>
          <w:rtl/>
        </w:rPr>
        <w:t xml:space="preserve">המשנה לנשיא </w:t>
      </w:r>
      <w:r>
        <w:rPr>
          <w:rFonts w:ascii="Century" w:hAnsi="Century" w:cs="Miriam"/>
          <w:b/>
          <w:spacing w:val="0"/>
          <w:sz w:val="22"/>
          <w:szCs w:val="24"/>
          <w:rtl/>
        </w:rPr>
        <w:t>מ' א</w:t>
      </w:r>
      <w:r>
        <w:rPr>
          <w:rFonts w:ascii="Century" w:hAnsi="Century" w:cs="Miriam" w:hint="cs"/>
          <w:b/>
          <w:spacing w:val="0"/>
          <w:sz w:val="22"/>
          <w:szCs w:val="24"/>
          <w:rtl/>
        </w:rPr>
        <w:t>ֵ</w:t>
      </w:r>
      <w:r>
        <w:rPr>
          <w:rFonts w:ascii="Century" w:hAnsi="Century" w:cs="Miriam"/>
          <w:b/>
          <w:spacing w:val="0"/>
          <w:sz w:val="22"/>
          <w:szCs w:val="24"/>
          <w:rtl/>
        </w:rPr>
        <w:t>לון</w:t>
      </w:r>
      <w:r>
        <w:rPr>
          <w:rtl/>
        </w:rPr>
        <w:t xml:space="preserve">, גם הוא חיווה דעתו בעניין שעל הפרק. </w:t>
      </w:r>
      <w:r>
        <w:rPr>
          <w:rFonts w:hint="cs"/>
          <w:rtl/>
        </w:rPr>
        <w:t xml:space="preserve">בעניין </w:t>
      </w:r>
      <w:r w:rsidRPr="0054713C">
        <w:rPr>
          <w:rFonts w:ascii="Century" w:hAnsi="Century" w:cs="Miriam" w:hint="cs"/>
          <w:b/>
          <w:spacing w:val="0"/>
          <w:sz w:val="22"/>
          <w:szCs w:val="24"/>
          <w:rtl/>
        </w:rPr>
        <w:t>ניימן</w:t>
      </w:r>
      <w:r>
        <w:rPr>
          <w:rFonts w:hint="cs"/>
          <w:rtl/>
        </w:rPr>
        <w:t xml:space="preserve"> (בעמ' 291)</w:t>
      </w:r>
      <w:r>
        <w:rPr>
          <w:rtl/>
        </w:rPr>
        <w:t>, לאחר שהאריך ב</w:t>
      </w:r>
      <w:r>
        <w:rPr>
          <w:rFonts w:hint="cs"/>
          <w:rtl/>
        </w:rPr>
        <w:t>דברי</w:t>
      </w:r>
      <w:r>
        <w:rPr>
          <w:rtl/>
        </w:rPr>
        <w:t xml:space="preserve">ם </w:t>
      </w:r>
      <w:r>
        <w:rPr>
          <w:rFonts w:hint="cs"/>
          <w:rtl/>
        </w:rPr>
        <w:t>ע</w:t>
      </w:r>
      <w:r>
        <w:rPr>
          <w:rtl/>
        </w:rPr>
        <w:t xml:space="preserve">ל כללי פרשנות, כתב השופט </w:t>
      </w:r>
      <w:r>
        <w:rPr>
          <w:rFonts w:ascii="Century" w:hAnsi="Century" w:cs="Miriam"/>
          <w:b/>
          <w:spacing w:val="0"/>
          <w:sz w:val="22"/>
          <w:szCs w:val="24"/>
          <w:rtl/>
        </w:rPr>
        <w:t>א</w:t>
      </w:r>
      <w:r>
        <w:rPr>
          <w:rFonts w:ascii="Century" w:hAnsi="Century" w:cs="Miriam" w:hint="cs"/>
          <w:b/>
          <w:spacing w:val="0"/>
          <w:sz w:val="22"/>
          <w:szCs w:val="24"/>
          <w:rtl/>
        </w:rPr>
        <w:t>ֵ</w:t>
      </w:r>
      <w:r>
        <w:rPr>
          <w:rFonts w:ascii="Century" w:hAnsi="Century" w:cs="Miriam"/>
          <w:b/>
          <w:spacing w:val="0"/>
          <w:sz w:val="22"/>
          <w:szCs w:val="24"/>
          <w:rtl/>
        </w:rPr>
        <w:t>לון</w:t>
      </w:r>
      <w:r>
        <w:rPr>
          <w:rtl/>
        </w:rPr>
        <w:t xml:space="preserve">, כי </w:t>
      </w:r>
      <w:r>
        <w:rPr>
          <w:rFonts w:ascii="Century" w:hAnsi="Century" w:cs="Miriam"/>
          <w:b/>
          <w:spacing w:val="0"/>
          <w:sz w:val="22"/>
          <w:szCs w:val="24"/>
          <w:rtl/>
        </w:rPr>
        <w:t xml:space="preserve">"לכל דרכי פרשנות אלה קיים גבול, שאל לו לשופט לעברו ולהסיגו, והוא </w:t>
      </w:r>
      <w:r>
        <w:rPr>
          <w:rFonts w:ascii="Century" w:hAnsi="Century"/>
          <w:sz w:val="22"/>
          <w:rtl/>
        </w:rPr>
        <w:t>–</w:t>
      </w:r>
      <w:r>
        <w:rPr>
          <w:rFonts w:ascii="Century" w:hAnsi="Century" w:cs="Miriam"/>
          <w:b/>
          <w:spacing w:val="0"/>
          <w:sz w:val="22"/>
          <w:szCs w:val="24"/>
          <w:rtl/>
        </w:rPr>
        <w:t xml:space="preserve"> רצון המחוקק, כפי שהוא בא לידי ביטוי בדברו. איסור זה של הסגת גבול המחוקק נובע </w:t>
      </w:r>
      <w:r>
        <w:rPr>
          <w:rFonts w:ascii="Century" w:hAnsi="Century" w:cs="Miriam"/>
          <w:b/>
          <w:spacing w:val="0"/>
          <w:sz w:val="22"/>
          <w:szCs w:val="24"/>
          <w:u w:val="single"/>
          <w:rtl/>
        </w:rPr>
        <w:t>מעקרונות היסוד של המערכת המשפטית בדבר תחימת תחומיהן של שלוש הרשויות</w:t>
      </w:r>
      <w:r>
        <w:rPr>
          <w:rFonts w:ascii="Century" w:hAnsi="Century" w:cs="Miriam"/>
          <w:b/>
          <w:spacing w:val="0"/>
          <w:sz w:val="22"/>
          <w:szCs w:val="24"/>
          <w:rtl/>
        </w:rPr>
        <w:t xml:space="preserve"> ואל לו לשופט לבוא בתחומו של המחוקק. כשם שמעקרונות היסוד של המדיניות המשפטית הוא לתור אחר רצונו של המחוקק, כך </w:t>
      </w:r>
      <w:r>
        <w:rPr>
          <w:rFonts w:ascii="Century" w:hAnsi="Century" w:cs="Miriam"/>
          <w:b/>
          <w:spacing w:val="0"/>
          <w:sz w:val="22"/>
          <w:szCs w:val="24"/>
          <w:u w:val="single"/>
          <w:rtl/>
        </w:rPr>
        <w:t>מעקרונות היסוד של המדיניות המשפטית הוא שלא להתנשא מעל למחוקק אלא לקבל עלינו את דינו ודברו</w:t>
      </w:r>
      <w:r>
        <w:rPr>
          <w:rFonts w:ascii="Century" w:hAnsi="Century" w:cs="Miriam"/>
          <w:b/>
          <w:spacing w:val="0"/>
          <w:sz w:val="22"/>
          <w:szCs w:val="24"/>
          <w:rtl/>
        </w:rPr>
        <w:t>"</w:t>
      </w:r>
      <w:r>
        <w:rPr>
          <w:rtl/>
        </w:rPr>
        <w:t>. הרי לנו 'עקרונות יסוד של השיטה' מזן אחר, שאותם עלינו לסגל לעצמנו, פן נ</w:t>
      </w:r>
      <w:r>
        <w:rPr>
          <w:rFonts w:hint="cs"/>
          <w:rtl/>
        </w:rPr>
        <w:t>חטא לת</w:t>
      </w:r>
      <w:r>
        <w:rPr>
          <w:rtl/>
        </w:rPr>
        <w:t xml:space="preserve">פקידנו. </w:t>
      </w:r>
    </w:p>
    <w:p w:rsidR="00EB02E1" w:rsidRDefault="00EB02E1" w:rsidP="00EB02E1">
      <w:pPr>
        <w:pStyle w:val="Ruller4"/>
        <w:numPr>
          <w:ilvl w:val="0"/>
          <w:numId w:val="0"/>
        </w:numPr>
      </w:pPr>
      <w:r>
        <w:rPr>
          <w:rtl/>
        </w:rPr>
        <w:t xml:space="preserve"> </w:t>
      </w:r>
    </w:p>
    <w:p w:rsidR="00EB02E1" w:rsidRDefault="00EB02E1" w:rsidP="00EB02E1">
      <w:pPr>
        <w:pStyle w:val="Ruller4"/>
        <w:numPr>
          <w:ilvl w:val="0"/>
          <w:numId w:val="0"/>
        </w:numPr>
      </w:pPr>
      <w:r>
        <w:rPr>
          <w:rFonts w:hint="cs"/>
          <w:rtl/>
        </w:rPr>
        <w:t>55.</w:t>
      </w:r>
      <w:r>
        <w:rPr>
          <w:rFonts w:hint="cs"/>
          <w:rtl/>
        </w:rPr>
        <w:tab/>
      </w:r>
      <w:r>
        <w:rPr>
          <w:rtl/>
        </w:rPr>
        <w:t xml:space="preserve">כך גם בבג"ץ 142/89 </w:t>
      </w:r>
      <w:r>
        <w:rPr>
          <w:rFonts w:ascii="Century" w:hAnsi="Century" w:cs="Miriam"/>
          <w:b/>
          <w:spacing w:val="0"/>
          <w:sz w:val="22"/>
          <w:szCs w:val="24"/>
          <w:rtl/>
        </w:rPr>
        <w:t xml:space="preserve">תנועת לאו"ר </w:t>
      </w:r>
      <w:r>
        <w:rPr>
          <w:rFonts w:ascii="Century" w:hAnsi="Century"/>
          <w:sz w:val="22"/>
          <w:rtl/>
        </w:rPr>
        <w:t>–</w:t>
      </w:r>
      <w:r>
        <w:rPr>
          <w:rFonts w:ascii="Century" w:hAnsi="Century" w:cs="Miriam"/>
          <w:b/>
          <w:spacing w:val="0"/>
          <w:sz w:val="22"/>
          <w:szCs w:val="24"/>
          <w:rtl/>
        </w:rPr>
        <w:t xml:space="preserve"> לב אחד ורוח חדשה נ' יושב-ראש הכנסת</w:t>
      </w:r>
      <w:r>
        <w:rPr>
          <w:rtl/>
        </w:rPr>
        <w:t>, פ"ד מד(3) 529, 558 (1990)</w:t>
      </w:r>
      <w:r>
        <w:rPr>
          <w:rFonts w:hint="cs"/>
          <w:rtl/>
        </w:rPr>
        <w:t xml:space="preserve"> </w:t>
      </w:r>
      <w:r>
        <w:rPr>
          <w:rtl/>
        </w:rPr>
        <w:t>(</w:t>
      </w:r>
      <w:r>
        <w:rPr>
          <w:rFonts w:hint="eastAsia"/>
          <w:rtl/>
        </w:rPr>
        <w:t>להלן</w:t>
      </w:r>
      <w:r>
        <w:rPr>
          <w:rtl/>
        </w:rPr>
        <w:t xml:space="preserve">: </w:t>
      </w:r>
      <w:r>
        <w:rPr>
          <w:rFonts w:ascii="Century" w:hAnsi="Century" w:cs="Miriam" w:hint="cs"/>
          <w:b/>
          <w:spacing w:val="0"/>
          <w:sz w:val="22"/>
          <w:szCs w:val="24"/>
          <w:rtl/>
        </w:rPr>
        <w:t>עניין לאו"ר</w:t>
      </w:r>
      <w:r>
        <w:rPr>
          <w:rFonts w:hint="cs"/>
          <w:rtl/>
        </w:rPr>
        <w:t>)</w:t>
      </w:r>
      <w:r>
        <w:rPr>
          <w:rtl/>
        </w:rPr>
        <w:t xml:space="preserve">, מלמדנו המשנה לנשיא </w:t>
      </w:r>
      <w:r w:rsidRPr="00924F89">
        <w:rPr>
          <w:rFonts w:ascii="Century" w:hAnsi="Century" w:cs="Miriam" w:hint="cs"/>
          <w:b/>
          <w:spacing w:val="0"/>
          <w:sz w:val="22"/>
          <w:szCs w:val="24"/>
          <w:rtl/>
        </w:rPr>
        <w:t xml:space="preserve">מ' </w:t>
      </w:r>
      <w:r>
        <w:rPr>
          <w:rFonts w:ascii="Century" w:hAnsi="Century" w:cs="Miriam"/>
          <w:b/>
          <w:spacing w:val="0"/>
          <w:sz w:val="22"/>
          <w:szCs w:val="24"/>
          <w:rtl/>
        </w:rPr>
        <w:t>א</w:t>
      </w:r>
      <w:r>
        <w:rPr>
          <w:rFonts w:ascii="Century" w:hAnsi="Century" w:cs="Miriam" w:hint="cs"/>
          <w:b/>
          <w:spacing w:val="0"/>
          <w:sz w:val="22"/>
          <w:szCs w:val="24"/>
          <w:rtl/>
        </w:rPr>
        <w:t>ֵ</w:t>
      </w:r>
      <w:r>
        <w:rPr>
          <w:rFonts w:ascii="Century" w:hAnsi="Century" w:cs="Miriam"/>
          <w:b/>
          <w:spacing w:val="0"/>
          <w:sz w:val="22"/>
          <w:szCs w:val="24"/>
          <w:rtl/>
        </w:rPr>
        <w:t>לון</w:t>
      </w:r>
      <w:r>
        <w:rPr>
          <w:rtl/>
        </w:rPr>
        <w:t xml:space="preserve">: </w:t>
      </w:r>
      <w:r>
        <w:rPr>
          <w:rFonts w:ascii="Century" w:hAnsi="Century" w:cs="Miriam"/>
          <w:b/>
          <w:spacing w:val="0"/>
          <w:sz w:val="22"/>
          <w:szCs w:val="24"/>
          <w:rtl/>
        </w:rPr>
        <w:t xml:space="preserve">"כלל גדול בידינו, כי חוק שנחקק ונתקבל בכנסת אין שאלת תוקפו של החוק נתונה לביקורת שיפוטית. </w:t>
      </w:r>
      <w:r>
        <w:rPr>
          <w:rFonts w:ascii="Century" w:hAnsi="Century" w:cs="Miriam"/>
          <w:b/>
          <w:spacing w:val="0"/>
          <w:sz w:val="22"/>
          <w:szCs w:val="24"/>
          <w:u w:val="single"/>
          <w:rtl/>
        </w:rPr>
        <w:t>יסוד מוסד של משטרנו הדמוקרטי, בעל שלוש הרשויות, הוא, שאין אנו מהרהרים אחר מעשה בית המחוקקים בחקיקתו</w:t>
      </w:r>
      <w:r>
        <w:rPr>
          <w:rFonts w:ascii="Century" w:hAnsi="Century" w:cs="Miriam"/>
          <w:b/>
          <w:spacing w:val="0"/>
          <w:sz w:val="22"/>
          <w:szCs w:val="24"/>
          <w:rtl/>
        </w:rPr>
        <w:t>. משום כך לא מצאנו ממש במשאלתו של ד"ר קורינלדי, בא-כוחם המלומד של העותרים, לפסול את החוק נושא עתירתנו משום פגמים שבתוכנו"</w:t>
      </w:r>
      <w:r>
        <w:rPr>
          <w:rtl/>
        </w:rPr>
        <w:t>.</w:t>
      </w:r>
    </w:p>
    <w:p w:rsidR="00EB02E1" w:rsidRDefault="00EB02E1" w:rsidP="00EB02E1">
      <w:pPr>
        <w:pStyle w:val="Ruller41"/>
        <w:rPr>
          <w:rFonts w:ascii="Century" w:hAnsi="Century" w:cs="Miriam"/>
          <w:b/>
          <w:spacing w:val="0"/>
          <w:szCs w:val="24"/>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t>השופט</w:t>
      </w:r>
      <w:r>
        <w:rPr>
          <w:rFonts w:ascii="Century" w:hAnsi="Century" w:cs="Miriam" w:hint="cs"/>
          <w:b/>
          <w:spacing w:val="0"/>
          <w:szCs w:val="24"/>
          <w:rtl/>
        </w:rPr>
        <w:t xml:space="preserve"> ד'</w:t>
      </w:r>
      <w:r>
        <w:rPr>
          <w:rFonts w:ascii="Century" w:hAnsi="Century" w:cs="Miriam"/>
          <w:b/>
          <w:spacing w:val="0"/>
          <w:szCs w:val="24"/>
          <w:rtl/>
        </w:rPr>
        <w:t xml:space="preserve"> בכור</w:t>
      </w:r>
    </w:p>
    <w:p w:rsidR="00EB02E1" w:rsidRDefault="00EB02E1" w:rsidP="00EB02E1">
      <w:pPr>
        <w:pStyle w:val="Ruller4"/>
        <w:numPr>
          <w:ilvl w:val="0"/>
          <w:numId w:val="0"/>
        </w:numPr>
        <w:rPr>
          <w:rtl/>
        </w:rPr>
      </w:pPr>
      <w:r>
        <w:rPr>
          <w:rFonts w:hint="cs"/>
          <w:rtl/>
        </w:rPr>
        <w:t>56.</w:t>
      </w:r>
      <w:r>
        <w:rPr>
          <w:rFonts w:hint="cs"/>
          <w:rtl/>
        </w:rPr>
        <w:tab/>
      </w:r>
      <w:r>
        <w:rPr>
          <w:rtl/>
        </w:rPr>
        <w:t xml:space="preserve">השופט </w:t>
      </w:r>
      <w:r>
        <w:rPr>
          <w:rFonts w:ascii="Century" w:hAnsi="Century" w:cs="Miriam"/>
          <w:b/>
          <w:spacing w:val="0"/>
          <w:sz w:val="22"/>
          <w:szCs w:val="24"/>
          <w:rtl/>
        </w:rPr>
        <w:t>ד' בכור</w:t>
      </w:r>
      <w:r>
        <w:rPr>
          <w:rtl/>
        </w:rPr>
        <w:t xml:space="preserve">, הצטרף גם הוא בהסכמה לפסק דינו של הנשיא </w:t>
      </w:r>
      <w:r>
        <w:rPr>
          <w:rFonts w:ascii="Century" w:hAnsi="Century" w:cs="Miriam"/>
          <w:b/>
          <w:spacing w:val="0"/>
          <w:sz w:val="22"/>
          <w:szCs w:val="24"/>
          <w:rtl/>
        </w:rPr>
        <w:t>לנדוי</w:t>
      </w:r>
      <w:r>
        <w:rPr>
          <w:rtl/>
        </w:rPr>
        <w:t xml:space="preserve"> בעניין </w:t>
      </w:r>
      <w:r>
        <w:rPr>
          <w:rFonts w:ascii="Century" w:hAnsi="Century" w:cs="Miriam"/>
          <w:b/>
          <w:spacing w:val="0"/>
          <w:sz w:val="22"/>
          <w:szCs w:val="24"/>
          <w:rtl/>
        </w:rPr>
        <w:t>פוגל</w:t>
      </w:r>
      <w:r>
        <w:rPr>
          <w:rtl/>
        </w:rPr>
        <w:t xml:space="preserve">. </w:t>
      </w:r>
    </w:p>
    <w:p w:rsidR="00EB02E1" w:rsidRDefault="00EB02E1" w:rsidP="00EB02E1">
      <w:pPr>
        <w:pStyle w:val="Ruller41"/>
        <w:spacing w:line="480" w:lineRule="auto"/>
        <w:rPr>
          <w:rFonts w:ascii="Century" w:hAnsi="Century" w:cs="Miriam"/>
          <w:b/>
          <w:spacing w:val="0"/>
          <w:szCs w:val="24"/>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t xml:space="preserve">הנשיא </w:t>
      </w:r>
      <w:r>
        <w:rPr>
          <w:rFonts w:ascii="Century" w:hAnsi="Century" w:cs="Miriam" w:hint="cs"/>
          <w:b/>
          <w:spacing w:val="0"/>
          <w:szCs w:val="24"/>
          <w:rtl/>
        </w:rPr>
        <w:t xml:space="preserve">א' </w:t>
      </w:r>
      <w:r>
        <w:rPr>
          <w:rFonts w:ascii="Century" w:hAnsi="Century" w:cs="Miriam"/>
          <w:b/>
          <w:spacing w:val="0"/>
          <w:szCs w:val="24"/>
          <w:rtl/>
        </w:rPr>
        <w:t>ברק</w:t>
      </w:r>
    </w:p>
    <w:p w:rsidR="00EB02E1" w:rsidRDefault="00EB02E1" w:rsidP="00EB02E1">
      <w:pPr>
        <w:pStyle w:val="Ruller4"/>
        <w:numPr>
          <w:ilvl w:val="0"/>
          <w:numId w:val="0"/>
        </w:numPr>
        <w:rPr>
          <w:rtl/>
        </w:rPr>
      </w:pPr>
      <w:r>
        <w:rPr>
          <w:rFonts w:hint="cs"/>
          <w:rtl/>
        </w:rPr>
        <w:t>57.</w:t>
      </w:r>
      <w:r>
        <w:rPr>
          <w:rFonts w:hint="cs"/>
          <w:rtl/>
        </w:rPr>
        <w:tab/>
      </w:r>
      <w:r>
        <w:rPr>
          <w:rtl/>
        </w:rPr>
        <w:t>באופן מפתיע קמעא, עיון בפסיקתו המוקדמת של ה</w:t>
      </w:r>
      <w:r>
        <w:rPr>
          <w:rFonts w:hint="cs"/>
          <w:rtl/>
        </w:rPr>
        <w:t>שופט</w:t>
      </w:r>
      <w:r>
        <w:rPr>
          <w:rtl/>
        </w:rPr>
        <w:t xml:space="preserve"> </w:t>
      </w:r>
      <w:r w:rsidRPr="00665E89">
        <w:rPr>
          <w:rFonts w:ascii="Century" w:hAnsi="Century" w:cs="Miriam"/>
          <w:b/>
          <w:spacing w:val="0"/>
          <w:sz w:val="22"/>
          <w:szCs w:val="24"/>
          <w:rtl/>
        </w:rPr>
        <w:t>ברק</w:t>
      </w:r>
      <w:r>
        <w:rPr>
          <w:rtl/>
        </w:rPr>
        <w:t>, הנשיא השמיני של בית המשפט, בשנותיו הראשונות על כס השיפוט, מלמד כי בימים ההם</w:t>
      </w:r>
      <w:r>
        <w:rPr>
          <w:rFonts w:hint="cs"/>
          <w:rtl/>
        </w:rPr>
        <w:t xml:space="preserve"> (שלא כבזמן הזה)</w:t>
      </w:r>
      <w:r>
        <w:rPr>
          <w:rtl/>
        </w:rPr>
        <w:t xml:space="preserve">, החזיק </w:t>
      </w:r>
      <w:r>
        <w:rPr>
          <w:rFonts w:hint="cs"/>
          <w:rtl/>
        </w:rPr>
        <w:t xml:space="preserve">גם הוא </w:t>
      </w:r>
      <w:r>
        <w:rPr>
          <w:rtl/>
        </w:rPr>
        <w:t>באותן דעות 'שמרניות', בדבר עליונות המחוקק-המכונן</w:t>
      </w:r>
      <w:r>
        <w:rPr>
          <w:rFonts w:hint="cs"/>
          <w:rtl/>
        </w:rPr>
        <w:t>;</w:t>
      </w:r>
      <w:r>
        <w:rPr>
          <w:rtl/>
        </w:rPr>
        <w:t xml:space="preserve"> כמו גם בהכרה הברורה, כי במשפטנו הנוהג אין מקום לביקורת שיפוטית על חוקי</w:t>
      </w:r>
      <w:r>
        <w:rPr>
          <w:rFonts w:hint="cs"/>
          <w:rtl/>
        </w:rPr>
        <w:t>-</w:t>
      </w:r>
      <w:r>
        <w:rPr>
          <w:rtl/>
        </w:rPr>
        <w:t xml:space="preserve">הכנסת, </w:t>
      </w:r>
      <w:r>
        <w:rPr>
          <w:rFonts w:hint="cs"/>
          <w:rtl/>
        </w:rPr>
        <w:t>מבלעדי</w:t>
      </w:r>
      <w:r>
        <w:rPr>
          <w:rtl/>
        </w:rPr>
        <w:t xml:space="preserve"> הסמכה מפורשת </w:t>
      </w:r>
      <w:r>
        <w:rPr>
          <w:rFonts w:hint="cs"/>
          <w:rtl/>
        </w:rPr>
        <w:t xml:space="preserve">מאת </w:t>
      </w:r>
      <w:r>
        <w:rPr>
          <w:rtl/>
        </w:rPr>
        <w:t xml:space="preserve">המחוקק. </w:t>
      </w:r>
    </w:p>
    <w:p w:rsidR="00EB02E1" w:rsidRDefault="00EB02E1" w:rsidP="00EB02E1">
      <w:pPr>
        <w:pStyle w:val="Ruller4"/>
        <w:numPr>
          <w:ilvl w:val="0"/>
          <w:numId w:val="0"/>
        </w:numPr>
      </w:pPr>
    </w:p>
    <w:p w:rsidR="00EB02E1" w:rsidRDefault="00EB02E1" w:rsidP="00EB02E1">
      <w:pPr>
        <w:pStyle w:val="Ruller4"/>
        <w:numPr>
          <w:ilvl w:val="0"/>
          <w:numId w:val="0"/>
        </w:numPr>
        <w:rPr>
          <w:rtl/>
        </w:rPr>
      </w:pPr>
      <w:r>
        <w:rPr>
          <w:rFonts w:hint="cs"/>
          <w:rtl/>
        </w:rPr>
        <w:t>58.</w:t>
      </w:r>
      <w:r>
        <w:rPr>
          <w:rFonts w:hint="cs"/>
          <w:rtl/>
        </w:rPr>
        <w:tab/>
      </w:r>
      <w:r>
        <w:rPr>
          <w:rtl/>
        </w:rPr>
        <w:t xml:space="preserve">בבג"ץ 246/81 </w:t>
      </w:r>
      <w:r>
        <w:rPr>
          <w:rFonts w:ascii="Century" w:hAnsi="Century" w:cs="Miriam"/>
          <w:b/>
          <w:spacing w:val="0"/>
          <w:sz w:val="22"/>
          <w:szCs w:val="24"/>
          <w:rtl/>
        </w:rPr>
        <w:t>אגודת דרך ארץ נ' רשות השידור</w:t>
      </w:r>
      <w:r>
        <w:rPr>
          <w:rtl/>
        </w:rPr>
        <w:t xml:space="preserve">, פ"ד לה(4) 1, 14 (1981), נכתבו על-ידי השופט </w:t>
      </w:r>
      <w:r>
        <w:rPr>
          <w:rFonts w:ascii="Century" w:hAnsi="Century" w:cs="Miriam"/>
          <w:b/>
          <w:spacing w:val="0"/>
          <w:sz w:val="22"/>
          <w:szCs w:val="24"/>
          <w:rtl/>
        </w:rPr>
        <w:t>ברק</w:t>
      </w:r>
      <w:r>
        <w:rPr>
          <w:rtl/>
        </w:rPr>
        <w:t xml:space="preserve"> הדברים ה</w:t>
      </w:r>
      <w:r>
        <w:rPr>
          <w:rFonts w:hint="cs"/>
          <w:rtl/>
        </w:rPr>
        <w:t>ללו</w:t>
      </w:r>
      <w:r>
        <w:rPr>
          <w:rtl/>
        </w:rPr>
        <w:t xml:space="preserve">: </w:t>
      </w:r>
      <w:r>
        <w:rPr>
          <w:rFonts w:ascii="Century" w:hAnsi="Century" w:cs="Miriam"/>
          <w:b/>
          <w:spacing w:val="0"/>
          <w:sz w:val="22"/>
          <w:szCs w:val="24"/>
          <w:rtl/>
        </w:rPr>
        <w:t xml:space="preserve">"על-כן, אם הכנסת מבקשת למנוע הקצאת זמן, כפי הנדרש על-פי עקרון השוויון, משום שברצונה להשיג מטרות אחרות, שבעיניה הן חשובות יותר, בכוחה לעשות כן, וזאת בשינוי עקרון השוויון, הקבוע בסעיף 4 לחוק-יסוד: הכנסת באמצעות חוק, שיתקבל על-ידי רוב חברי הכנסת. </w:t>
      </w:r>
      <w:r>
        <w:rPr>
          <w:rFonts w:ascii="Century" w:hAnsi="Century" w:cs="Miriam"/>
          <w:b/>
          <w:spacing w:val="0"/>
          <w:sz w:val="22"/>
          <w:szCs w:val="24"/>
          <w:u w:val="single"/>
          <w:rtl/>
        </w:rPr>
        <w:t xml:space="preserve">הלגיטימיות של חוק זה לא תנבע מכוח עקרון השוויון, אלא היא תנבע מכוח הרוב המיוחס, שקיבל חוק זה, אף-על-פי שהוא אינו </w:t>
      </w:r>
      <w:r>
        <w:rPr>
          <w:rFonts w:ascii="Century" w:hAnsi="Century" w:cs="Miriam"/>
          <w:b/>
          <w:spacing w:val="0"/>
          <w:sz w:val="22"/>
          <w:szCs w:val="24"/>
          <w:u w:val="single"/>
          <w:rtl/>
        </w:rPr>
        <w:lastRenderedPageBreak/>
        <w:t>עולה בקנה אחד עם עקרון השוויון</w:t>
      </w:r>
      <w:r>
        <w:rPr>
          <w:rFonts w:ascii="Century" w:hAnsi="Century" w:cs="Miriam"/>
          <w:b/>
          <w:spacing w:val="0"/>
          <w:sz w:val="22"/>
          <w:szCs w:val="24"/>
          <w:rtl/>
        </w:rPr>
        <w:t>"</w:t>
      </w:r>
      <w:r>
        <w:rPr>
          <w:rtl/>
        </w:rPr>
        <w:t xml:space="preserve">. בהמשך דבריו הבהיר השופט </w:t>
      </w:r>
      <w:r>
        <w:rPr>
          <w:rFonts w:ascii="Century" w:hAnsi="Century" w:cs="Miriam"/>
          <w:b/>
          <w:spacing w:val="0"/>
          <w:sz w:val="22"/>
          <w:szCs w:val="24"/>
          <w:rtl/>
        </w:rPr>
        <w:t>ברק</w:t>
      </w:r>
      <w:r>
        <w:rPr>
          <w:rtl/>
        </w:rPr>
        <w:t xml:space="preserve">, כי הדבר נכון לא רק לגבי פגיעה 'בשטח המרוחק למדי מעיקרון השוויון', כי אם גם בפגיעה במשמעותו ה'ראשונית' של עיקרון השוויון בבחירות (קול אחד לכל אחד). גם עיקרון זה נסוג מפני ריבונות המחוקק הכל-יכול. </w:t>
      </w:r>
    </w:p>
    <w:p w:rsidR="00EB02E1" w:rsidRDefault="00EB02E1" w:rsidP="00EB02E1">
      <w:pPr>
        <w:pStyle w:val="Ruller41"/>
        <w:rPr>
          <w:rtl/>
        </w:rPr>
      </w:pPr>
    </w:p>
    <w:p w:rsidR="00EB02E1" w:rsidRDefault="00EB02E1" w:rsidP="00EB02E1">
      <w:pPr>
        <w:pStyle w:val="Ruller4"/>
        <w:numPr>
          <w:ilvl w:val="0"/>
          <w:numId w:val="0"/>
        </w:numPr>
        <w:rPr>
          <w:rtl/>
        </w:rPr>
      </w:pPr>
      <w:r>
        <w:rPr>
          <w:rFonts w:hint="cs"/>
          <w:rtl/>
        </w:rPr>
        <w:t>59.</w:t>
      </w:r>
      <w:r>
        <w:rPr>
          <w:rFonts w:hint="cs"/>
          <w:rtl/>
        </w:rPr>
        <w:tab/>
      </w:r>
      <w:r>
        <w:rPr>
          <w:rtl/>
        </w:rPr>
        <w:t xml:space="preserve">בעניין </w:t>
      </w:r>
      <w:r>
        <w:rPr>
          <w:rFonts w:ascii="Century" w:hAnsi="Century" w:cs="Miriam"/>
          <w:b/>
          <w:spacing w:val="0"/>
          <w:sz w:val="22"/>
          <w:szCs w:val="24"/>
          <w:rtl/>
        </w:rPr>
        <w:t>ניימן</w:t>
      </w:r>
      <w:r>
        <w:rPr>
          <w:rtl/>
        </w:rPr>
        <w:t xml:space="preserve">, מצטט השופט </w:t>
      </w:r>
      <w:r>
        <w:rPr>
          <w:rFonts w:ascii="Century" w:hAnsi="Century" w:cs="Miriam"/>
          <w:b/>
          <w:spacing w:val="0"/>
          <w:sz w:val="22"/>
          <w:szCs w:val="24"/>
          <w:rtl/>
        </w:rPr>
        <w:t>ברק</w:t>
      </w:r>
      <w:r>
        <w:rPr>
          <w:rtl/>
        </w:rPr>
        <w:t xml:space="preserve"> את דבריו של השופט </w:t>
      </w:r>
      <w:r>
        <w:rPr>
          <w:rFonts w:ascii="Century" w:hAnsi="Century" w:cs="Miriam"/>
          <w:b/>
          <w:spacing w:val="0"/>
          <w:sz w:val="22"/>
          <w:szCs w:val="24"/>
          <w:rtl/>
        </w:rPr>
        <w:t>לנדוי</w:t>
      </w:r>
      <w:r>
        <w:rPr>
          <w:rtl/>
        </w:rPr>
        <w:t xml:space="preserve">, שם כתב בין היתר, כי </w:t>
      </w:r>
      <w:r>
        <w:rPr>
          <w:rFonts w:ascii="Century" w:hAnsi="Century" w:cs="Miriam"/>
          <w:b/>
          <w:spacing w:val="0"/>
          <w:sz w:val="22"/>
          <w:szCs w:val="24"/>
          <w:rtl/>
        </w:rPr>
        <w:t>"מעולם לא הוטל אצלנו ספק בר</w:t>
      </w:r>
      <w:r>
        <w:rPr>
          <w:rFonts w:ascii="Century" w:hAnsi="Century" w:cs="Miriam" w:hint="cs"/>
          <w:b/>
          <w:spacing w:val="0"/>
          <w:sz w:val="22"/>
          <w:szCs w:val="24"/>
          <w:rtl/>
        </w:rPr>
        <w:t>י</w:t>
      </w:r>
      <w:r>
        <w:rPr>
          <w:rFonts w:ascii="Century" w:hAnsi="Century" w:cs="Miriam"/>
          <w:b/>
          <w:spacing w:val="0"/>
          <w:sz w:val="22"/>
          <w:szCs w:val="24"/>
          <w:rtl/>
        </w:rPr>
        <w:t>בונותו של המחוקק שמדברו אין השופט רשאי לסטות, ושיכול לשנות הלכה שנפסקה על ידי בית המשפט"</w:t>
      </w:r>
      <w:r>
        <w:rPr>
          <w:rtl/>
        </w:rPr>
        <w:t>, אם כי במסגרת כללי הפרשנות ניתן להיזקק לערכי</w:t>
      </w:r>
      <w:r>
        <w:rPr>
          <w:rFonts w:hint="cs"/>
          <w:rtl/>
        </w:rPr>
        <w:t>-</w:t>
      </w:r>
      <w:r>
        <w:rPr>
          <w:rtl/>
        </w:rPr>
        <w:t xml:space="preserve">יסוד חיצוניים לדבר החקיקה. על דברים אלו </w:t>
      </w:r>
      <w:r>
        <w:rPr>
          <w:rFonts w:hint="cs"/>
          <w:rtl/>
        </w:rPr>
        <w:t>ה</w:t>
      </w:r>
      <w:r>
        <w:rPr>
          <w:rtl/>
        </w:rPr>
        <w:t xml:space="preserve">גיב השופט </w:t>
      </w:r>
      <w:r>
        <w:rPr>
          <w:rFonts w:ascii="Century" w:hAnsi="Century" w:cs="Miriam"/>
          <w:b/>
          <w:spacing w:val="0"/>
          <w:sz w:val="22"/>
          <w:szCs w:val="24"/>
          <w:rtl/>
        </w:rPr>
        <w:t>ברק</w:t>
      </w:r>
      <w:r>
        <w:rPr>
          <w:rtl/>
        </w:rPr>
        <w:t xml:space="preserve"> במילים </w:t>
      </w:r>
      <w:r>
        <w:rPr>
          <w:rFonts w:ascii="Century" w:hAnsi="Century" w:cs="Miriam"/>
          <w:b/>
          <w:spacing w:val="0"/>
          <w:sz w:val="22"/>
          <w:szCs w:val="24"/>
          <w:rtl/>
        </w:rPr>
        <w:t>"זו גם דעתי"</w:t>
      </w:r>
      <w:r>
        <w:rPr>
          <w:rtl/>
        </w:rPr>
        <w:t xml:space="preserve">, מבלי להביע כל הסתייגות (שם, בעמ' 321). בהמשך הדברים, במענה לחוות דעתו של השופט </w:t>
      </w:r>
      <w:r>
        <w:rPr>
          <w:rFonts w:ascii="Century" w:hAnsi="Century" w:cs="Miriam"/>
          <w:b/>
          <w:spacing w:val="0"/>
          <w:sz w:val="22"/>
          <w:szCs w:val="24"/>
          <w:rtl/>
        </w:rPr>
        <w:t>מ' אלון</w:t>
      </w:r>
      <w:r>
        <w:rPr>
          <w:rtl/>
        </w:rPr>
        <w:t xml:space="preserve">, </w:t>
      </w:r>
      <w:r>
        <w:rPr>
          <w:rFonts w:hint="cs"/>
          <w:rtl/>
        </w:rPr>
        <w:t>ה</w:t>
      </w:r>
      <w:r>
        <w:rPr>
          <w:rtl/>
        </w:rPr>
        <w:t xml:space="preserve">וסיף השופט </w:t>
      </w:r>
      <w:r>
        <w:rPr>
          <w:rFonts w:ascii="Century" w:hAnsi="Century" w:cs="Miriam"/>
          <w:b/>
          <w:spacing w:val="0"/>
          <w:sz w:val="22"/>
          <w:szCs w:val="24"/>
          <w:rtl/>
        </w:rPr>
        <w:t>ברק</w:t>
      </w:r>
      <w:r>
        <w:rPr>
          <w:rtl/>
        </w:rPr>
        <w:t xml:space="preserve"> ואמר כך: </w:t>
      </w:r>
      <w:r>
        <w:rPr>
          <w:rFonts w:ascii="Century" w:hAnsi="Century" w:cs="Miriam"/>
          <w:b/>
          <w:spacing w:val="0"/>
          <w:sz w:val="22"/>
          <w:szCs w:val="24"/>
          <w:rtl/>
        </w:rPr>
        <w:t xml:space="preserve">"חברי, השופט אלון, סבור, כי הגישה הפרשנית מובילה לשלילת סמכותה של ועדת הבחירות. אם כך, </w:t>
      </w:r>
      <w:r>
        <w:rPr>
          <w:rFonts w:ascii="Century" w:hAnsi="Century" w:cs="Miriam"/>
          <w:b/>
          <w:spacing w:val="0"/>
          <w:sz w:val="22"/>
          <w:szCs w:val="24"/>
          <w:u w:val="single"/>
          <w:rtl/>
        </w:rPr>
        <w:t>מאין כוחו של השופט לשלול את דברו של המחוקק</w:t>
      </w:r>
      <w:r>
        <w:rPr>
          <w:rFonts w:ascii="Century" w:hAnsi="Century" w:cs="Miriam"/>
          <w:b/>
          <w:spacing w:val="0"/>
          <w:sz w:val="22"/>
          <w:szCs w:val="24"/>
          <w:rtl/>
        </w:rPr>
        <w:t xml:space="preserve">? נניח כי החוק קובע במפורש, שוועדת הבחירות רשאית או חייבת שלא לפסול רשימה, השוללת את עצם קיום המדינה. האם גם אז יתמיד השופט אלון בדעתו ויקבע, כי ועדת הבחירות חייבת לאסור על הרשימה השתתפות בבחירות? לדעתי, זו אכן התוצאה המתבקשת על-פי השקפתו. אך כיצד עולה היא בקנה אחד עם </w:t>
      </w:r>
      <w:r>
        <w:rPr>
          <w:rFonts w:ascii="Century" w:hAnsi="Century" w:cs="Miriam"/>
          <w:b/>
          <w:spacing w:val="0"/>
          <w:sz w:val="22"/>
          <w:szCs w:val="24"/>
          <w:u w:val="single"/>
          <w:rtl/>
        </w:rPr>
        <w:t>גישתו של חברי - המקובלת עליי - כי אל לו לשופט להתנשא מעל למחוקק, וכי במשטרנו קיים שלטון המשפט ולא שלטון השופט</w:t>
      </w:r>
      <w:r>
        <w:rPr>
          <w:rFonts w:ascii="Century" w:hAnsi="Century" w:cs="Miriam"/>
          <w:b/>
          <w:spacing w:val="0"/>
          <w:sz w:val="22"/>
          <w:szCs w:val="24"/>
          <w:rtl/>
        </w:rPr>
        <w:t>?"</w:t>
      </w:r>
      <w:r>
        <w:rPr>
          <w:rFonts w:ascii="Century" w:hAnsi="Century"/>
          <w:sz w:val="22"/>
          <w:rtl/>
        </w:rPr>
        <w:t xml:space="preserve"> (שם, בעמ' 322).</w:t>
      </w:r>
    </w:p>
    <w:p w:rsidR="00EB02E1" w:rsidRDefault="00EB02E1" w:rsidP="00EB02E1">
      <w:pPr>
        <w:pStyle w:val="Ruller41"/>
        <w:rPr>
          <w:rtl/>
        </w:rPr>
      </w:pPr>
    </w:p>
    <w:p w:rsidR="00EB02E1" w:rsidRPr="00FB2ADC" w:rsidRDefault="00EB02E1" w:rsidP="00EB02E1">
      <w:pPr>
        <w:pStyle w:val="Ruller41"/>
        <w:rPr>
          <w:rtl/>
        </w:rPr>
      </w:pPr>
      <w:r>
        <w:rPr>
          <w:rFonts w:hint="cs"/>
          <w:rtl/>
        </w:rPr>
        <w:t>60.</w:t>
      </w:r>
      <w:r>
        <w:rPr>
          <w:rFonts w:hint="cs"/>
          <w:rtl/>
        </w:rPr>
        <w:tab/>
        <w:t xml:space="preserve">השופט </w:t>
      </w:r>
      <w:r w:rsidRPr="00484124">
        <w:rPr>
          <w:rFonts w:ascii="Century" w:hAnsi="Century" w:cs="Miriam" w:hint="cs"/>
          <w:b/>
          <w:spacing w:val="0"/>
          <w:szCs w:val="24"/>
          <w:rtl/>
        </w:rPr>
        <w:t>ברק</w:t>
      </w:r>
      <w:r>
        <w:rPr>
          <w:rFonts w:hint="cs"/>
          <w:rtl/>
        </w:rPr>
        <w:t xml:space="preserve"> חזר על הדברים פעם נוספת ב</w:t>
      </w:r>
      <w:r w:rsidRPr="008F5615">
        <w:rPr>
          <w:rtl/>
        </w:rPr>
        <w:t xml:space="preserve">בג"ץ 761/86 </w:t>
      </w:r>
      <w:r w:rsidRPr="005A7DD8">
        <w:rPr>
          <w:rFonts w:ascii="Century" w:hAnsi="Century" w:cs="Miriam"/>
          <w:b/>
          <w:spacing w:val="0"/>
          <w:szCs w:val="24"/>
          <w:rtl/>
        </w:rPr>
        <w:t>מיעארי נ' יושב-ראש הכנסת</w:t>
      </w:r>
      <w:r w:rsidRPr="008F5615">
        <w:rPr>
          <w:rtl/>
        </w:rPr>
        <w:t>,</w:t>
      </w:r>
      <w:r>
        <w:rPr>
          <w:rFonts w:hint="cs"/>
          <w:rtl/>
        </w:rPr>
        <w:t xml:space="preserve"> פ"ד</w:t>
      </w:r>
      <w:r w:rsidRPr="008F5615">
        <w:rPr>
          <w:rtl/>
        </w:rPr>
        <w:t xml:space="preserve"> מב(4) 868</w:t>
      </w:r>
      <w:r>
        <w:rPr>
          <w:rFonts w:hint="cs"/>
          <w:rtl/>
        </w:rPr>
        <w:t>, 875-874</w:t>
      </w:r>
      <w:r w:rsidRPr="008F5615">
        <w:rPr>
          <w:rtl/>
        </w:rPr>
        <w:t xml:space="preserve"> (1989)</w:t>
      </w:r>
      <w:r>
        <w:rPr>
          <w:rFonts w:hint="cs"/>
          <w:rtl/>
        </w:rPr>
        <w:t>:</w:t>
      </w:r>
      <w:r w:rsidRPr="008F5615">
        <w:rPr>
          <w:rtl/>
        </w:rPr>
        <w:t xml:space="preserve"> </w:t>
      </w:r>
      <w:r w:rsidRPr="005A7DD8">
        <w:rPr>
          <w:rFonts w:ascii="Century" w:hAnsi="Century" w:cs="Miriam"/>
          <w:b/>
          <w:spacing w:val="0"/>
          <w:szCs w:val="24"/>
          <w:rtl/>
        </w:rPr>
        <w:t xml:space="preserve">"אכן, ריבונות העם מוצאת את ביטויה המרכזי בכוח החקיקה הראשית של הכנסת. מכאן כוחה של הכנסת לחוקק כל חוק הנראה לה, </w:t>
      </w:r>
      <w:r w:rsidRPr="00C04041">
        <w:rPr>
          <w:rFonts w:ascii="Century" w:hAnsi="Century" w:cs="Miriam"/>
          <w:b/>
          <w:spacing w:val="0"/>
          <w:szCs w:val="24"/>
          <w:u w:val="single"/>
          <w:rtl/>
        </w:rPr>
        <w:t>ורק מגבלות שהוטלו עליה על-ידי הפעלת כוחה של הכנסת כרשות מכוננת</w:t>
      </w:r>
      <w:r w:rsidRPr="005A7DD8">
        <w:rPr>
          <w:rFonts w:ascii="Century" w:hAnsi="Century" w:cs="Miriam"/>
          <w:b/>
          <w:spacing w:val="0"/>
          <w:szCs w:val="24"/>
          <w:rtl/>
        </w:rPr>
        <w:t xml:space="preserve"> </w:t>
      </w:r>
      <w:r w:rsidRPr="005A7DD8">
        <w:rPr>
          <w:rFonts w:ascii="Century" w:hAnsi="Century"/>
          <w:rtl/>
        </w:rPr>
        <w:t>–</w:t>
      </w:r>
      <w:r w:rsidRPr="005A7DD8">
        <w:rPr>
          <w:rFonts w:ascii="Century" w:hAnsi="Century" w:cs="Miriam"/>
          <w:b/>
          <w:spacing w:val="0"/>
          <w:szCs w:val="24"/>
          <w:rtl/>
        </w:rPr>
        <w:t xml:space="preserve"> מגבלות המוצאות כיום ביטוין העיקרי בחוקי היסוד המשוריינים </w:t>
      </w:r>
      <w:r w:rsidRPr="005A7DD8">
        <w:rPr>
          <w:rFonts w:ascii="Century" w:hAnsi="Century"/>
          <w:rtl/>
        </w:rPr>
        <w:t>–</w:t>
      </w:r>
      <w:r w:rsidRPr="005A7DD8">
        <w:rPr>
          <w:rFonts w:ascii="Century" w:hAnsi="Century" w:cs="Miriam"/>
          <w:b/>
          <w:spacing w:val="0"/>
          <w:szCs w:val="24"/>
          <w:rtl/>
        </w:rPr>
        <w:t xml:space="preserve"> </w:t>
      </w:r>
      <w:r w:rsidRPr="00C04041">
        <w:rPr>
          <w:rFonts w:ascii="Century" w:hAnsi="Century" w:cs="Miriam"/>
          <w:b/>
          <w:spacing w:val="0"/>
          <w:szCs w:val="24"/>
          <w:u w:val="single"/>
          <w:rtl/>
        </w:rPr>
        <w:t>י</w:t>
      </w:r>
      <w:r w:rsidRPr="00C04041">
        <w:rPr>
          <w:rFonts w:ascii="Century" w:hAnsi="Century" w:cs="Miriam" w:hint="cs"/>
          <w:b/>
          <w:spacing w:val="0"/>
          <w:szCs w:val="24"/>
          <w:u w:val="single"/>
          <w:rtl/>
        </w:rPr>
        <w:t>כ</w:t>
      </w:r>
      <w:r w:rsidRPr="00C04041">
        <w:rPr>
          <w:rFonts w:ascii="Century" w:hAnsi="Century" w:cs="Miriam"/>
          <w:b/>
          <w:spacing w:val="0"/>
          <w:szCs w:val="24"/>
          <w:u w:val="single"/>
          <w:rtl/>
        </w:rPr>
        <w:t>ולות למנוע ממנה מלפעול כרצונה</w:t>
      </w:r>
      <w:r w:rsidRPr="005A7DD8">
        <w:rPr>
          <w:rFonts w:ascii="Century" w:hAnsi="Century" w:cs="Miriam"/>
          <w:b/>
          <w:spacing w:val="0"/>
          <w:szCs w:val="24"/>
          <w:rtl/>
        </w:rPr>
        <w:t>"</w:t>
      </w:r>
      <w:r>
        <w:rPr>
          <w:rFonts w:ascii="Century" w:hAnsi="Century" w:hint="cs"/>
          <w:rtl/>
        </w:rPr>
        <w:t xml:space="preserve">. נוכח דברים מפורשים אלו מציינים פרופ' </w:t>
      </w:r>
      <w:r w:rsidRPr="005A7DD8">
        <w:rPr>
          <w:rFonts w:ascii="Century" w:hAnsi="Century" w:cs="Miriam" w:hint="cs"/>
          <w:b/>
          <w:spacing w:val="0"/>
          <w:szCs w:val="24"/>
          <w:rtl/>
        </w:rPr>
        <w:t>א' רובינשטיין</w:t>
      </w:r>
      <w:r>
        <w:rPr>
          <w:rFonts w:ascii="Century" w:hAnsi="Century" w:hint="cs"/>
          <w:rtl/>
        </w:rPr>
        <w:t xml:space="preserve"> ופרופ' </w:t>
      </w:r>
      <w:r w:rsidRPr="005A7DD8">
        <w:rPr>
          <w:rFonts w:ascii="Century" w:hAnsi="Century" w:cs="Miriam" w:hint="cs"/>
          <w:b/>
          <w:spacing w:val="0"/>
          <w:szCs w:val="24"/>
          <w:rtl/>
        </w:rPr>
        <w:t>ב' מדינה</w:t>
      </w:r>
      <w:r>
        <w:rPr>
          <w:rFonts w:ascii="Century" w:hAnsi="Century" w:hint="cs"/>
          <w:rtl/>
        </w:rPr>
        <w:t xml:space="preserve">, כי </w:t>
      </w:r>
      <w:r w:rsidRPr="005A7DD8">
        <w:rPr>
          <w:rFonts w:ascii="Century" w:hAnsi="Century" w:cs="Miriam" w:hint="cs"/>
          <w:b/>
          <w:spacing w:val="0"/>
          <w:szCs w:val="24"/>
          <w:rtl/>
        </w:rPr>
        <w:t>"כעשר שנים קודם לכן דגל אף השופט ברק בגישה השוללת הטלת מגבלות 'בלתי כתובות' שכאלה"</w:t>
      </w:r>
      <w:r>
        <w:rPr>
          <w:rFonts w:ascii="Century" w:hAnsi="Century" w:hint="cs"/>
          <w:rtl/>
        </w:rPr>
        <w:t xml:space="preserve"> (אמנון רובינשטיין וברק מדינה </w:t>
      </w:r>
      <w:r w:rsidRPr="005A7DD8">
        <w:rPr>
          <w:rFonts w:ascii="Century" w:hAnsi="Century" w:cs="Miriam" w:hint="cs"/>
          <w:b/>
          <w:spacing w:val="0"/>
          <w:szCs w:val="24"/>
          <w:rtl/>
        </w:rPr>
        <w:t>המשפט החוקתי של מדינת ישראל: עקרונות יסוד</w:t>
      </w:r>
      <w:r>
        <w:rPr>
          <w:rFonts w:ascii="Century" w:hAnsi="Century" w:hint="cs"/>
          <w:rtl/>
        </w:rPr>
        <w:t xml:space="preserve"> 68, ה"ש 54 (2005)).</w:t>
      </w:r>
    </w:p>
    <w:p w:rsidR="00EB02E1" w:rsidRDefault="00EB02E1" w:rsidP="00EB02E1">
      <w:pPr>
        <w:pStyle w:val="Ruller4"/>
        <w:numPr>
          <w:ilvl w:val="0"/>
          <w:numId w:val="0"/>
        </w:numPr>
        <w:rPr>
          <w:rFonts w:ascii="Arial TUR" w:hAnsi="Arial TUR"/>
          <w:sz w:val="22"/>
          <w:rtl/>
        </w:rPr>
      </w:pPr>
    </w:p>
    <w:p w:rsidR="00EB02E1" w:rsidRDefault="00EB02E1" w:rsidP="00EB02E1">
      <w:pPr>
        <w:pStyle w:val="Ruller4"/>
        <w:numPr>
          <w:ilvl w:val="0"/>
          <w:numId w:val="0"/>
        </w:numPr>
        <w:rPr>
          <w:rtl/>
        </w:rPr>
      </w:pPr>
      <w:r>
        <w:rPr>
          <w:rFonts w:hint="cs"/>
          <w:rtl/>
        </w:rPr>
        <w:t>61.</w:t>
      </w:r>
      <w:r>
        <w:rPr>
          <w:rFonts w:hint="cs"/>
          <w:rtl/>
        </w:rPr>
        <w:tab/>
      </w:r>
      <w:r>
        <w:rPr>
          <w:rtl/>
        </w:rPr>
        <w:t xml:space="preserve">בחוות דעת המיעוט שכתב בעניין </w:t>
      </w:r>
      <w:r>
        <w:rPr>
          <w:rFonts w:ascii="Century" w:hAnsi="Century" w:cs="Miriam"/>
          <w:b/>
          <w:spacing w:val="0"/>
          <w:sz w:val="22"/>
          <w:szCs w:val="24"/>
          <w:rtl/>
        </w:rPr>
        <w:t>לאו"ר</w:t>
      </w:r>
      <w:r>
        <w:rPr>
          <w:rtl/>
        </w:rPr>
        <w:t>, ה</w:t>
      </w:r>
      <w:r>
        <w:rPr>
          <w:rFonts w:hint="cs"/>
          <w:rtl/>
        </w:rPr>
        <w:t xml:space="preserve">גה </w:t>
      </w:r>
      <w:r>
        <w:rPr>
          <w:rtl/>
        </w:rPr>
        <w:t xml:space="preserve">השופט </w:t>
      </w:r>
      <w:r>
        <w:rPr>
          <w:rFonts w:ascii="Century" w:hAnsi="Century" w:cs="Miriam"/>
          <w:b/>
          <w:spacing w:val="0"/>
          <w:sz w:val="22"/>
          <w:szCs w:val="24"/>
          <w:rtl/>
        </w:rPr>
        <w:t>ברק</w:t>
      </w:r>
      <w:r>
        <w:rPr>
          <w:rtl/>
        </w:rPr>
        <w:t xml:space="preserve"> לראשונה באפשרות של פסילת חוקי-כנסת, ללא הסמכה מפורשת </w:t>
      </w:r>
      <w:r>
        <w:rPr>
          <w:rFonts w:hint="cs"/>
          <w:rtl/>
        </w:rPr>
        <w:t>מאת</w:t>
      </w:r>
      <w:r>
        <w:rPr>
          <w:rtl/>
        </w:rPr>
        <w:t xml:space="preserve"> המחוקק. אך גם שם, מסכם השופט </w:t>
      </w:r>
      <w:r>
        <w:rPr>
          <w:rFonts w:ascii="Century" w:hAnsi="Century" w:cs="Miriam"/>
          <w:b/>
          <w:spacing w:val="0"/>
          <w:sz w:val="22"/>
          <w:szCs w:val="24"/>
          <w:rtl/>
        </w:rPr>
        <w:t>ברק</w:t>
      </w:r>
      <w:r>
        <w:rPr>
          <w:rtl/>
        </w:rPr>
        <w:t xml:space="preserve"> את הניתוח המשפטי, ומגיע לשלוש מסקנות: </w:t>
      </w:r>
      <w:r>
        <w:rPr>
          <w:rFonts w:ascii="Century" w:hAnsi="Century" w:cs="Miriam"/>
          <w:b/>
          <w:spacing w:val="0"/>
          <w:sz w:val="22"/>
          <w:szCs w:val="24"/>
          <w:rtl/>
        </w:rPr>
        <w:t>"</w:t>
      </w:r>
      <w:r>
        <w:rPr>
          <w:rFonts w:ascii="Century" w:hAnsi="Century" w:cs="Miriam"/>
          <w:b/>
          <w:spacing w:val="0"/>
          <w:sz w:val="22"/>
          <w:szCs w:val="24"/>
          <w:shd w:val="clear" w:color="auto" w:fill="FFFFFF"/>
          <w:rtl/>
        </w:rPr>
        <w:t>האחת, כי באופן עקרוני-תורתי, קיימת אפשרות שבית-משפט בחברה דמוקרטית יצהיר על בטלותו של חוק הנוגד עקרונות יסוד של השיטה</w:t>
      </w:r>
      <w:r>
        <w:rPr>
          <w:rFonts w:ascii="Century" w:hAnsi="Century" w:cs="Miriam"/>
          <w:b/>
          <w:spacing w:val="0"/>
          <w:sz w:val="22"/>
          <w:szCs w:val="24"/>
          <w:rtl/>
        </w:rPr>
        <w:t xml:space="preserve"> [...]"</w:t>
      </w:r>
      <w:r>
        <w:rPr>
          <w:rtl/>
        </w:rPr>
        <w:t>. מטבע הדברים, חלק זה של דבריו, בדעת מיעוט, זכה ל</w:t>
      </w:r>
      <w:r>
        <w:rPr>
          <w:rFonts w:hint="cs"/>
          <w:rtl/>
        </w:rPr>
        <w:t xml:space="preserve">תהודה </w:t>
      </w:r>
      <w:r>
        <w:rPr>
          <w:rtl/>
        </w:rPr>
        <w:t xml:space="preserve">רבה </w:t>
      </w:r>
      <w:r>
        <w:rPr>
          <w:rFonts w:hint="cs"/>
          <w:rtl/>
        </w:rPr>
        <w:t>בעת ה</w:t>
      </w:r>
      <w:r>
        <w:rPr>
          <w:rtl/>
        </w:rPr>
        <w:t xml:space="preserve">אחרונה, אך חשובות לא פחות הן שתי המסקנות האחרות: </w:t>
      </w:r>
      <w:r>
        <w:rPr>
          <w:rFonts w:ascii="Century" w:hAnsi="Century" w:cs="Miriam"/>
          <w:b/>
          <w:spacing w:val="0"/>
          <w:sz w:val="22"/>
          <w:szCs w:val="24"/>
          <w:rtl/>
        </w:rPr>
        <w:t xml:space="preserve">"השנייה, כי על-פי התפיסה </w:t>
      </w:r>
      <w:r>
        <w:rPr>
          <w:rFonts w:ascii="Century" w:hAnsi="Century" w:cs="Miriam"/>
          <w:b/>
          <w:spacing w:val="0"/>
          <w:sz w:val="22"/>
          <w:szCs w:val="24"/>
          <w:rtl/>
        </w:rPr>
        <w:lastRenderedPageBreak/>
        <w:t xml:space="preserve">החברתית והמשפטית המקובלת אצלנו, </w:t>
      </w:r>
      <w:r>
        <w:rPr>
          <w:rFonts w:ascii="Century" w:hAnsi="Century" w:cs="Miriam"/>
          <w:b/>
          <w:spacing w:val="0"/>
          <w:sz w:val="22"/>
          <w:szCs w:val="24"/>
          <w:u w:val="single"/>
          <w:rtl/>
        </w:rPr>
        <w:t>אין בית המשפט נוטל לעצמו סמכות זו להכריז על בטלותו של חוק הנוגד עקרונות יסוד של שיטתנו</w:t>
      </w:r>
      <w:r>
        <w:rPr>
          <w:rFonts w:ascii="Century" w:hAnsi="Century" w:cs="Miriam"/>
          <w:b/>
          <w:spacing w:val="0"/>
          <w:sz w:val="22"/>
          <w:szCs w:val="24"/>
          <w:rtl/>
        </w:rPr>
        <w:t xml:space="preserve">. תפיסה זו, קיבלנוה בירושה מהתפיסה האנגלית ופיתחנו אותה על רקע המציאות של הדמוקרטיה שלנו. </w:t>
      </w:r>
      <w:r>
        <w:rPr>
          <w:rFonts w:ascii="Century" w:hAnsi="Century" w:cs="Miriam"/>
          <w:b/>
          <w:spacing w:val="0"/>
          <w:sz w:val="22"/>
          <w:szCs w:val="24"/>
          <w:u w:val="single"/>
          <w:rtl/>
        </w:rPr>
        <w:t>כך אנו נוהגים זה למעלה מארבעים שנה. היא משקפת את ההסכמה החברתית בישראל, והיא נהנית מקונצנזוס של הציבור הנאור</w:t>
      </w:r>
      <w:r>
        <w:rPr>
          <w:rFonts w:ascii="Century" w:hAnsi="Century" w:cs="Miriam"/>
          <w:b/>
          <w:spacing w:val="0"/>
          <w:sz w:val="22"/>
          <w:szCs w:val="24"/>
          <w:rtl/>
        </w:rPr>
        <w:t xml:space="preserve">. רק על רקע תפיסה זו ניתן להבין את המחלוקת המפלגת אותנו באשר לצורך בחוקה נוקשה ובביקורת שיפוטית. השלישית, כי לאור התפיסות החברתיות-משפטיות הנהוגות בישראל, ולאור הפסיקה העקבית של בית-משפט זה במשך השנים, </w:t>
      </w:r>
      <w:r>
        <w:rPr>
          <w:rFonts w:ascii="Century" w:hAnsi="Century" w:cs="Miriam"/>
          <w:b/>
          <w:spacing w:val="0"/>
          <w:sz w:val="22"/>
          <w:szCs w:val="24"/>
          <w:u w:val="single"/>
          <w:rtl/>
        </w:rPr>
        <w:t>אין זה ראוי, כי נסטה מגישתנו המקובלת והמשקפת את המסורת המשפטית-פוליטית שלנו</w:t>
      </w:r>
      <w:r>
        <w:rPr>
          <w:rFonts w:ascii="Century" w:hAnsi="Century" w:cs="Miriam"/>
          <w:b/>
          <w:spacing w:val="0"/>
          <w:sz w:val="22"/>
          <w:szCs w:val="24"/>
          <w:rtl/>
        </w:rPr>
        <w:t xml:space="preserve">, ואין זה ראוי, כי נאמץ גישה חדשה, המכירה בכוחו של בית המשפט להצהיר על בטלותו של חוק </w:t>
      </w:r>
      <w:r>
        <w:rPr>
          <w:rFonts w:ascii="Century" w:hAnsi="Century"/>
          <w:sz w:val="22"/>
          <w:rtl/>
        </w:rPr>
        <w:t>–</w:t>
      </w:r>
      <w:r>
        <w:rPr>
          <w:rFonts w:ascii="Century" w:hAnsi="Century" w:cs="Miriam"/>
          <w:b/>
          <w:spacing w:val="0"/>
          <w:sz w:val="22"/>
          <w:szCs w:val="24"/>
          <w:rtl/>
        </w:rPr>
        <w:t xml:space="preserve"> שאינו סותר הוראה משוריינת בחוק-יסוד </w:t>
      </w:r>
      <w:r>
        <w:rPr>
          <w:rFonts w:ascii="Century" w:hAnsi="Century"/>
          <w:sz w:val="22"/>
          <w:rtl/>
        </w:rPr>
        <w:t>–</w:t>
      </w:r>
      <w:r>
        <w:rPr>
          <w:rFonts w:ascii="Century" w:hAnsi="Century" w:cs="Miriam"/>
          <w:b/>
          <w:spacing w:val="0"/>
          <w:sz w:val="22"/>
          <w:szCs w:val="24"/>
          <w:rtl/>
        </w:rPr>
        <w:t xml:space="preserve"> והנוגד עקרונות יסוד של השיטה. אם נעשה כן, ניראה בעיני הציבור כמי שחורג מהקונצנזוס החברתי באשר לתפקידו ולכוחו של שופט בחברה הישראלית. תפיסת החברה הישראלית את התפקיד השיפוטי אינה עולה בקנה אחד עם פסיקה מרחיקת לכת זו. נראה לי, </w:t>
      </w:r>
      <w:r w:rsidRPr="00A1193E">
        <w:rPr>
          <w:rFonts w:ascii="Century" w:hAnsi="Century" w:cs="Miriam"/>
          <w:b/>
          <w:spacing w:val="0"/>
          <w:sz w:val="22"/>
          <w:szCs w:val="24"/>
          <w:u w:val="single"/>
          <w:rtl/>
        </w:rPr>
        <w:t>כי תפיסת הציבור היא, כי הכרעה כה חשובה וע</w:t>
      </w:r>
      <w:r w:rsidRPr="00A1193E">
        <w:rPr>
          <w:rFonts w:ascii="Century" w:hAnsi="Century" w:cs="Miriam" w:hint="cs"/>
          <w:b/>
          <w:spacing w:val="0"/>
          <w:sz w:val="22"/>
          <w:szCs w:val="24"/>
          <w:u w:val="single"/>
          <w:rtl/>
        </w:rPr>
        <w:t>מ</w:t>
      </w:r>
      <w:r w:rsidRPr="00A1193E">
        <w:rPr>
          <w:rFonts w:ascii="Century" w:hAnsi="Century" w:cs="Miriam"/>
          <w:b/>
          <w:spacing w:val="0"/>
          <w:sz w:val="22"/>
          <w:szCs w:val="24"/>
          <w:u w:val="single"/>
          <w:rtl/>
        </w:rPr>
        <w:t xml:space="preserve">וקה צריכה להיעשות </w:t>
      </w:r>
      <w:r w:rsidRPr="00A1193E">
        <w:rPr>
          <w:rFonts w:ascii="Century" w:hAnsi="Century"/>
          <w:sz w:val="22"/>
          <w:u w:val="single"/>
          <w:rtl/>
        </w:rPr>
        <w:t>–</w:t>
      </w:r>
      <w:r w:rsidRPr="00A1193E">
        <w:rPr>
          <w:rFonts w:ascii="Century" w:hAnsi="Century" w:cs="Miriam"/>
          <w:b/>
          <w:spacing w:val="0"/>
          <w:sz w:val="22"/>
          <w:szCs w:val="24"/>
          <w:u w:val="single"/>
          <w:rtl/>
        </w:rPr>
        <w:t xml:space="preserve"> בשלב זה של חיינו הלאומיים </w:t>
      </w:r>
      <w:r w:rsidRPr="00A1193E">
        <w:rPr>
          <w:rFonts w:ascii="Century" w:hAnsi="Century"/>
          <w:sz w:val="22"/>
          <w:u w:val="single"/>
          <w:rtl/>
        </w:rPr>
        <w:t>–</w:t>
      </w:r>
      <w:r w:rsidRPr="00A1193E">
        <w:rPr>
          <w:rFonts w:ascii="Century" w:hAnsi="Century" w:cs="Miriam"/>
          <w:b/>
          <w:spacing w:val="0"/>
          <w:sz w:val="22"/>
          <w:szCs w:val="24"/>
          <w:u w:val="single"/>
          <w:rtl/>
        </w:rPr>
        <w:t xml:space="preserve"> על-ידי העם ונציגיו הנבחרים</w:t>
      </w:r>
      <w:r>
        <w:rPr>
          <w:rFonts w:ascii="Century" w:hAnsi="Century" w:cs="Miriam"/>
          <w:b/>
          <w:spacing w:val="0"/>
          <w:sz w:val="22"/>
          <w:szCs w:val="24"/>
          <w:rtl/>
        </w:rPr>
        <w:t>"</w:t>
      </w:r>
      <w:r>
        <w:rPr>
          <w:rtl/>
        </w:rPr>
        <w:t xml:space="preserve"> (שם, בעמ' 557). כאמור ב</w:t>
      </w:r>
      <w:r>
        <w:rPr>
          <w:rFonts w:hint="cs"/>
          <w:rtl/>
        </w:rPr>
        <w:t>ּ</w:t>
      </w:r>
      <w:r>
        <w:rPr>
          <w:rtl/>
        </w:rPr>
        <w:t>פ</w:t>
      </w:r>
      <w:r>
        <w:rPr>
          <w:rFonts w:hint="cs"/>
          <w:rtl/>
        </w:rPr>
        <w:t>ִ</w:t>
      </w:r>
      <w:r>
        <w:rPr>
          <w:rtl/>
        </w:rPr>
        <w:t xml:space="preserve">תחה של חוות דעתי, בכל הקשור למעמדם של חוקי-היסוד – דבר לא השתנה, מאז ועד עתה. למדנו אפוא, כי לוּ היינו מצרפים להרכב מורחב זה, את השופט </w:t>
      </w:r>
      <w:r w:rsidRPr="00DC3977">
        <w:rPr>
          <w:rFonts w:ascii="Century" w:hAnsi="Century" w:cs="Miriam"/>
          <w:b/>
          <w:spacing w:val="0"/>
          <w:sz w:val="22"/>
          <w:szCs w:val="24"/>
          <w:rtl/>
        </w:rPr>
        <w:t>א'</w:t>
      </w:r>
      <w:r>
        <w:rPr>
          <w:rtl/>
        </w:rPr>
        <w:t xml:space="preserve"> </w:t>
      </w:r>
      <w:r>
        <w:rPr>
          <w:rFonts w:ascii="Century" w:hAnsi="Century" w:cs="Miriam"/>
          <w:b/>
          <w:spacing w:val="0"/>
          <w:sz w:val="22"/>
          <w:szCs w:val="24"/>
          <w:rtl/>
        </w:rPr>
        <w:t>ברק</w:t>
      </w:r>
      <w:r>
        <w:rPr>
          <w:rtl/>
        </w:rPr>
        <w:t xml:space="preserve"> של שנת 1981, של שנת 1985, ואף של שנת 1990, </w:t>
      </w:r>
      <w:r>
        <w:rPr>
          <w:rFonts w:hint="cs"/>
          <w:rtl/>
        </w:rPr>
        <w:t xml:space="preserve">לבטח </w:t>
      </w:r>
      <w:r>
        <w:rPr>
          <w:rtl/>
        </w:rPr>
        <w:t xml:space="preserve">היה מצטרף ללא היסוס למסקנה </w:t>
      </w:r>
      <w:r>
        <w:rPr>
          <w:rFonts w:hint="cs"/>
          <w:rtl/>
        </w:rPr>
        <w:t>ש</w:t>
      </w:r>
      <w:r>
        <w:rPr>
          <w:rtl/>
        </w:rPr>
        <w:t>אליה הגעתי</w:t>
      </w:r>
      <w:r>
        <w:rPr>
          <w:rFonts w:hint="cs"/>
          <w:rtl/>
        </w:rPr>
        <w:t xml:space="preserve">: </w:t>
      </w:r>
      <w:r>
        <w:rPr>
          <w:rtl/>
        </w:rPr>
        <w:t>די</w:t>
      </w:r>
      <w:r>
        <w:rPr>
          <w:rFonts w:hint="cs"/>
          <w:rtl/>
        </w:rPr>
        <w:t>נ</w:t>
      </w:r>
      <w:r>
        <w:rPr>
          <w:rtl/>
        </w:rPr>
        <w:t xml:space="preserve">ן </w:t>
      </w:r>
      <w:r>
        <w:rPr>
          <w:rFonts w:hint="cs"/>
          <w:rtl/>
        </w:rPr>
        <w:t xml:space="preserve">של </w:t>
      </w:r>
      <w:r>
        <w:rPr>
          <w:rtl/>
        </w:rPr>
        <w:t xml:space="preserve">העתירות להידחות על הסף, בשל העדר סמכות. </w:t>
      </w:r>
    </w:p>
    <w:p w:rsidR="00EB02E1" w:rsidRDefault="00EB02E1" w:rsidP="00EB02E1">
      <w:pPr>
        <w:pStyle w:val="Ruller41"/>
        <w:rPr>
          <w:rtl/>
        </w:rPr>
      </w:pPr>
    </w:p>
    <w:p w:rsidR="00EB02E1" w:rsidRDefault="00EB02E1" w:rsidP="00EB02E1">
      <w:pPr>
        <w:pStyle w:val="Ruller4"/>
        <w:numPr>
          <w:ilvl w:val="0"/>
          <w:numId w:val="0"/>
        </w:numPr>
        <w:rPr>
          <w:rtl/>
        </w:rPr>
      </w:pPr>
      <w:r>
        <w:rPr>
          <w:rFonts w:hint="cs"/>
          <w:rtl/>
        </w:rPr>
        <w:t>62.</w:t>
      </w:r>
      <w:r>
        <w:rPr>
          <w:rFonts w:hint="cs"/>
          <w:rtl/>
        </w:rPr>
        <w:tab/>
      </w:r>
      <w:r>
        <w:rPr>
          <w:rtl/>
        </w:rPr>
        <w:t xml:space="preserve">על רקע </w:t>
      </w:r>
      <w:r w:rsidRPr="005A7DD8">
        <w:rPr>
          <w:rtl/>
        </w:rPr>
        <w:t>הדברים האמורים</w:t>
      </w:r>
      <w:r>
        <w:rPr>
          <w:rFonts w:hint="cs"/>
          <w:rtl/>
        </w:rPr>
        <w:t xml:space="preserve"> </w:t>
      </w:r>
      <w:r>
        <w:rPr>
          <w:rtl/>
        </w:rPr>
        <w:t>–</w:t>
      </w:r>
      <w:r>
        <w:rPr>
          <w:rFonts w:hint="cs"/>
          <w:rtl/>
        </w:rPr>
        <w:t xml:space="preserve"> דברי הנשיא </w:t>
      </w:r>
      <w:r w:rsidRPr="00DC3977">
        <w:rPr>
          <w:rFonts w:ascii="Century" w:hAnsi="Century" w:cs="Miriam" w:hint="cs"/>
          <w:b/>
          <w:spacing w:val="0"/>
          <w:sz w:val="22"/>
          <w:szCs w:val="24"/>
          <w:rtl/>
        </w:rPr>
        <w:t>ברק</w:t>
      </w:r>
      <w:r w:rsidRPr="00DC3977">
        <w:rPr>
          <w:rFonts w:hint="cs"/>
          <w:rtl/>
        </w:rPr>
        <w:t xml:space="preserve"> </w:t>
      </w:r>
      <w:r>
        <w:rPr>
          <w:rFonts w:hint="cs"/>
          <w:rtl/>
        </w:rPr>
        <w:t xml:space="preserve">עצמו, ודברי כל קודמיו שהובאו לעיל </w:t>
      </w:r>
      <w:r>
        <w:rPr>
          <w:rtl/>
        </w:rPr>
        <w:t>–</w:t>
      </w:r>
      <w:r>
        <w:rPr>
          <w:rFonts w:hint="cs"/>
          <w:rtl/>
        </w:rPr>
        <w:t xml:space="preserve"> </w:t>
      </w:r>
      <w:r w:rsidRPr="005A7DD8">
        <w:rPr>
          <w:rtl/>
        </w:rPr>
        <w:t xml:space="preserve">קשה שלא לתמוה על אותה הערת-אגב </w:t>
      </w:r>
      <w:r>
        <w:rPr>
          <w:rFonts w:hint="cs"/>
          <w:rtl/>
        </w:rPr>
        <w:t xml:space="preserve">מפיו </w:t>
      </w:r>
      <w:r w:rsidRPr="005A7DD8">
        <w:rPr>
          <w:rtl/>
        </w:rPr>
        <w:t xml:space="preserve">של הנשיא </w:t>
      </w:r>
      <w:r w:rsidRPr="005A7DD8">
        <w:rPr>
          <w:rFonts w:ascii="Century" w:hAnsi="Century" w:cs="Miriam"/>
          <w:b/>
          <w:spacing w:val="0"/>
          <w:sz w:val="22"/>
          <w:szCs w:val="24"/>
          <w:rtl/>
        </w:rPr>
        <w:t>ברק</w:t>
      </w:r>
      <w:r w:rsidRPr="005A7DD8">
        <w:rPr>
          <w:rtl/>
        </w:rPr>
        <w:t xml:space="preserve"> בפסק הדין בעניין </w:t>
      </w:r>
      <w:r w:rsidRPr="005A7DD8">
        <w:rPr>
          <w:rFonts w:ascii="Century" w:hAnsi="Century" w:cs="Miriam"/>
          <w:b/>
          <w:spacing w:val="0"/>
          <w:sz w:val="22"/>
          <w:szCs w:val="24"/>
          <w:rtl/>
        </w:rPr>
        <w:t>בנק המזרחי</w:t>
      </w:r>
      <w:r>
        <w:rPr>
          <w:rFonts w:hint="cs"/>
          <w:rtl/>
        </w:rPr>
        <w:t>:</w:t>
      </w:r>
      <w:r w:rsidRPr="005A7DD8">
        <w:rPr>
          <w:rtl/>
        </w:rPr>
        <w:t xml:space="preserve"> </w:t>
      </w:r>
      <w:r w:rsidRPr="005A7DD8">
        <w:rPr>
          <w:rFonts w:ascii="Century" w:hAnsi="Century" w:cs="Miriam"/>
          <w:b/>
          <w:spacing w:val="0"/>
          <w:sz w:val="22"/>
          <w:szCs w:val="24"/>
          <w:rtl/>
        </w:rPr>
        <w:t>"</w:t>
      </w:r>
      <w:r w:rsidRPr="005A7DD8">
        <w:rPr>
          <w:rFonts w:ascii="Century" w:hAnsi="Century" w:cs="Miriam" w:hint="cs"/>
          <w:b/>
          <w:spacing w:val="0"/>
          <w:sz w:val="22"/>
          <w:szCs w:val="24"/>
          <w:rtl/>
        </w:rPr>
        <w:t>ד</w:t>
      </w:r>
      <w:r w:rsidRPr="005A7DD8">
        <w:rPr>
          <w:rFonts w:ascii="Century" w:hAnsi="Century" w:cs="Miriam"/>
          <w:b/>
          <w:spacing w:val="0"/>
          <w:sz w:val="22"/>
          <w:szCs w:val="24"/>
          <w:rtl/>
        </w:rPr>
        <w:t xml:space="preserve">בר מקובל וידוע הוא שבתי המשפט בודקים את חוקתיותם של תיקוני חוקה. לא פעם נפסל תיקון חוקתי בהיותו לא חוקתי, וזאת לא רק בשל עניינים של </w:t>
      </w:r>
      <w:r w:rsidRPr="005A7DD8">
        <w:rPr>
          <w:rFonts w:ascii="Century" w:hAnsi="Century" w:cs="Miriam" w:hint="cs"/>
          <w:b/>
          <w:spacing w:val="0"/>
          <w:sz w:val="22"/>
          <w:szCs w:val="24"/>
          <w:rtl/>
        </w:rPr>
        <w:t>'</w:t>
      </w:r>
      <w:r w:rsidRPr="005A7DD8">
        <w:rPr>
          <w:rFonts w:ascii="Century" w:hAnsi="Century" w:cs="Miriam"/>
          <w:b/>
          <w:spacing w:val="0"/>
          <w:sz w:val="22"/>
          <w:szCs w:val="24"/>
          <w:rtl/>
        </w:rPr>
        <w:t>צורה</w:t>
      </w:r>
      <w:r w:rsidRPr="005A7DD8">
        <w:rPr>
          <w:rFonts w:ascii="Century" w:hAnsi="Century" w:cs="Miriam" w:hint="cs"/>
          <w:b/>
          <w:spacing w:val="0"/>
          <w:sz w:val="22"/>
          <w:szCs w:val="24"/>
          <w:rtl/>
        </w:rPr>
        <w:t>'</w:t>
      </w:r>
      <w:r w:rsidRPr="005A7DD8">
        <w:rPr>
          <w:rFonts w:ascii="Century" w:hAnsi="Century" w:cs="Miriam"/>
          <w:b/>
          <w:spacing w:val="0"/>
          <w:sz w:val="22"/>
          <w:szCs w:val="24"/>
          <w:rtl/>
        </w:rPr>
        <w:t xml:space="preserve"> (כגון דרישת הרוב) אלא גם בעניינים של מהות </w:t>
      </w:r>
      <w:r w:rsidRPr="005A7DD8">
        <w:rPr>
          <w:rFonts w:ascii="Century" w:hAnsi="Century" w:cs="Miriam" w:hint="cs"/>
          <w:b/>
          <w:spacing w:val="0"/>
          <w:sz w:val="22"/>
          <w:szCs w:val="24"/>
          <w:rtl/>
        </w:rPr>
        <w:t xml:space="preserve">[...] </w:t>
      </w:r>
      <w:r w:rsidRPr="005A7DD8">
        <w:rPr>
          <w:rFonts w:ascii="Century" w:hAnsi="Century" w:cs="Miriam"/>
          <w:b/>
          <w:spacing w:val="0"/>
          <w:sz w:val="22"/>
          <w:szCs w:val="24"/>
          <w:rtl/>
        </w:rPr>
        <w:t>הספרות בע</w:t>
      </w:r>
      <w:r w:rsidRPr="005A7DD8">
        <w:rPr>
          <w:rFonts w:ascii="Century" w:hAnsi="Century" w:cs="Miriam" w:hint="cs"/>
          <w:b/>
          <w:spacing w:val="0"/>
          <w:sz w:val="22"/>
          <w:szCs w:val="24"/>
          <w:rtl/>
        </w:rPr>
        <w:t>נ</w:t>
      </w:r>
      <w:r w:rsidRPr="005A7DD8">
        <w:rPr>
          <w:rFonts w:ascii="Century" w:hAnsi="Century" w:cs="Miriam"/>
          <w:b/>
          <w:spacing w:val="0"/>
          <w:sz w:val="22"/>
          <w:szCs w:val="24"/>
          <w:rtl/>
        </w:rPr>
        <w:t>יין זה רבה</w:t>
      </w:r>
      <w:r w:rsidRPr="005A7DD8">
        <w:rPr>
          <w:rFonts w:ascii="Century" w:hAnsi="Century" w:cs="Miriam" w:hint="cs"/>
          <w:b/>
          <w:spacing w:val="0"/>
          <w:sz w:val="22"/>
          <w:szCs w:val="24"/>
          <w:rtl/>
        </w:rPr>
        <w:t>"</w:t>
      </w:r>
      <w:r>
        <w:rPr>
          <w:rFonts w:hint="cs"/>
          <w:rtl/>
        </w:rPr>
        <w:t xml:space="preserve"> (שם, בעמ' 395). ואני שואל: האם אכן </w:t>
      </w:r>
      <w:r>
        <w:rPr>
          <w:rFonts w:ascii="Century" w:hAnsi="Century" w:cs="Miriam" w:hint="cs"/>
          <w:b/>
          <w:spacing w:val="0"/>
          <w:sz w:val="22"/>
          <w:szCs w:val="24"/>
          <w:rtl/>
        </w:rPr>
        <w:t>"</w:t>
      </w:r>
      <w:r w:rsidRPr="00012518">
        <w:rPr>
          <w:rFonts w:ascii="Century" w:hAnsi="Century" w:cs="Miriam" w:hint="cs"/>
          <w:b/>
          <w:spacing w:val="0"/>
          <w:sz w:val="22"/>
          <w:szCs w:val="24"/>
          <w:rtl/>
        </w:rPr>
        <w:t>מקובל וידוע</w:t>
      </w:r>
      <w:r>
        <w:rPr>
          <w:rFonts w:ascii="Century" w:hAnsi="Century" w:cs="Miriam" w:hint="cs"/>
          <w:b/>
          <w:spacing w:val="0"/>
          <w:sz w:val="22"/>
          <w:szCs w:val="24"/>
          <w:rtl/>
        </w:rPr>
        <w:t>"</w:t>
      </w:r>
      <w:r>
        <w:rPr>
          <w:rFonts w:hint="cs"/>
          <w:rtl/>
        </w:rPr>
        <w:t xml:space="preserve">? אדרבה! לא בכדי ציטטתי לעיל מן הפסיקה העקבית, המושרשת, בין היתר של הנשיא </w:t>
      </w:r>
      <w:r w:rsidRPr="000625A8">
        <w:rPr>
          <w:rFonts w:ascii="Century" w:hAnsi="Century" w:cs="Miriam" w:hint="cs"/>
          <w:b/>
          <w:spacing w:val="0"/>
          <w:sz w:val="22"/>
          <w:szCs w:val="24"/>
          <w:rtl/>
        </w:rPr>
        <w:t>ברק</w:t>
      </w:r>
      <w:r>
        <w:rPr>
          <w:rFonts w:hint="cs"/>
          <w:rtl/>
        </w:rPr>
        <w:t xml:space="preserve"> עצמו, שדחתה רעיונות אלו מכל וכל. הערתו-זו של הנשיא </w:t>
      </w:r>
      <w:r w:rsidRPr="005A7DD8">
        <w:rPr>
          <w:rFonts w:ascii="Century" w:hAnsi="Century" w:cs="Miriam" w:hint="cs"/>
          <w:b/>
          <w:spacing w:val="0"/>
          <w:sz w:val="22"/>
          <w:szCs w:val="24"/>
          <w:rtl/>
        </w:rPr>
        <w:t>ברק</w:t>
      </w:r>
      <w:r>
        <w:rPr>
          <w:rFonts w:hint="cs"/>
          <w:rtl/>
        </w:rPr>
        <w:t xml:space="preserve">, כמו גם אותה הערת אגב של הנשיא </w:t>
      </w:r>
      <w:r w:rsidRPr="005A7DD8">
        <w:rPr>
          <w:rFonts w:ascii="Century" w:hAnsi="Century" w:cs="Miriam" w:hint="cs"/>
          <w:b/>
          <w:spacing w:val="0"/>
          <w:sz w:val="22"/>
          <w:szCs w:val="24"/>
          <w:rtl/>
        </w:rPr>
        <w:t>שמגר</w:t>
      </w:r>
      <w:r>
        <w:rPr>
          <w:rFonts w:hint="cs"/>
          <w:rtl/>
        </w:rPr>
        <w:t xml:space="preserve"> (פסקה 52 לעיל), הן שיצרו, כפי הנראה, אותה אי-בהירות, שהובילה למחשבה שלפיה מדובר בשאלה חדשה, הזקוקה להכרעה; ולא היא. כפי שהוֹראֵתי לדעת, השאלה </w:t>
      </w:r>
      <w:r>
        <w:rPr>
          <w:rtl/>
        </w:rPr>
        <w:t>–</w:t>
      </w:r>
      <w:r>
        <w:rPr>
          <w:rFonts w:hint="cs"/>
          <w:rtl/>
        </w:rPr>
        <w:t xml:space="preserve"> שאלה נושנה היא, ותשובתה לצידה מן המוכן, לאורך כל הדרך: לא נתונה לנו סמכות לדון בחוקתיותם של 'תיקוני חוקה'. </w:t>
      </w:r>
    </w:p>
    <w:p w:rsidR="00EB02E1" w:rsidRDefault="00EB02E1" w:rsidP="00EB02E1">
      <w:pPr>
        <w:pStyle w:val="Ruller4"/>
        <w:numPr>
          <w:ilvl w:val="0"/>
          <w:numId w:val="0"/>
        </w:numPr>
        <w:spacing w:line="480" w:lineRule="auto"/>
        <w:rPr>
          <w:rFonts w:ascii="Century" w:hAnsi="Century" w:cs="Miriam"/>
          <w:b/>
          <w:spacing w:val="0"/>
          <w:szCs w:val="24"/>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t xml:space="preserve">השופט </w:t>
      </w:r>
      <w:r>
        <w:rPr>
          <w:rFonts w:ascii="Century" w:hAnsi="Century" w:cs="Miriam" w:hint="cs"/>
          <w:b/>
          <w:spacing w:val="0"/>
          <w:szCs w:val="24"/>
          <w:rtl/>
        </w:rPr>
        <w:t xml:space="preserve">י' </w:t>
      </w:r>
      <w:r>
        <w:rPr>
          <w:rFonts w:ascii="Century" w:hAnsi="Century" w:cs="Miriam"/>
          <w:b/>
          <w:spacing w:val="0"/>
          <w:szCs w:val="24"/>
          <w:rtl/>
        </w:rPr>
        <w:t>מלץ</w:t>
      </w:r>
    </w:p>
    <w:p w:rsidR="00EB02E1" w:rsidRDefault="00EB02E1" w:rsidP="00EB02E1">
      <w:pPr>
        <w:pStyle w:val="Ruller4"/>
        <w:numPr>
          <w:ilvl w:val="0"/>
          <w:numId w:val="0"/>
        </w:numPr>
        <w:rPr>
          <w:rtl/>
        </w:rPr>
      </w:pPr>
      <w:r>
        <w:rPr>
          <w:rFonts w:hint="cs"/>
          <w:rtl/>
        </w:rPr>
        <w:lastRenderedPageBreak/>
        <w:t>63.</w:t>
      </w:r>
      <w:r>
        <w:rPr>
          <w:rFonts w:hint="cs"/>
          <w:rtl/>
        </w:rPr>
        <w:tab/>
      </w:r>
      <w:r>
        <w:rPr>
          <w:rtl/>
        </w:rPr>
        <w:t>אסיים את הסקירה ב</w:t>
      </w:r>
      <w:r>
        <w:rPr>
          <w:rFonts w:hint="cs"/>
          <w:rtl/>
        </w:rPr>
        <w:t>השקפ</w:t>
      </w:r>
      <w:r>
        <w:rPr>
          <w:rtl/>
        </w:rPr>
        <w:t xml:space="preserve">תו של השופט </w:t>
      </w:r>
      <w:r>
        <w:rPr>
          <w:rFonts w:ascii="Century" w:hAnsi="Century" w:cs="Miriam"/>
          <w:b/>
          <w:spacing w:val="0"/>
          <w:sz w:val="22"/>
          <w:szCs w:val="24"/>
          <w:rtl/>
        </w:rPr>
        <w:t>י' מלץ</w:t>
      </w:r>
      <w:r>
        <w:rPr>
          <w:rtl/>
        </w:rPr>
        <w:t xml:space="preserve">, אצלו </w:t>
      </w:r>
      <w:r>
        <w:rPr>
          <w:rFonts w:hint="cs"/>
          <w:rtl/>
        </w:rPr>
        <w:t>זכיתי</w:t>
      </w:r>
      <w:r>
        <w:rPr>
          <w:rtl/>
        </w:rPr>
        <w:t xml:space="preserve"> להתמחוֹת, בהיותי פרח משפטים צעיר. השופט </w:t>
      </w:r>
      <w:r>
        <w:rPr>
          <w:rFonts w:ascii="Century" w:hAnsi="Century" w:cs="Miriam"/>
          <w:b/>
          <w:spacing w:val="0"/>
          <w:sz w:val="22"/>
          <w:szCs w:val="24"/>
          <w:rtl/>
        </w:rPr>
        <w:t>מלץ</w:t>
      </w:r>
      <w:r>
        <w:rPr>
          <w:rtl/>
        </w:rPr>
        <w:t xml:space="preserve"> הצטרף בהסכמה לפסק הדין של המשנה לנשיא </w:t>
      </w:r>
      <w:r>
        <w:rPr>
          <w:rFonts w:ascii="Century" w:hAnsi="Century" w:cs="Miriam"/>
          <w:b/>
          <w:spacing w:val="0"/>
          <w:sz w:val="22"/>
          <w:szCs w:val="24"/>
          <w:rtl/>
        </w:rPr>
        <w:t>מ' אלון</w:t>
      </w:r>
      <w:r>
        <w:rPr>
          <w:rtl/>
        </w:rPr>
        <w:t xml:space="preserve">, בעניין </w:t>
      </w:r>
      <w:r>
        <w:rPr>
          <w:rFonts w:ascii="Century" w:hAnsi="Century" w:cs="Miriam"/>
          <w:b/>
          <w:spacing w:val="0"/>
          <w:sz w:val="22"/>
          <w:szCs w:val="24"/>
          <w:rtl/>
        </w:rPr>
        <w:t>לאו"ר</w:t>
      </w:r>
      <w:r>
        <w:rPr>
          <w:rtl/>
        </w:rPr>
        <w:t xml:space="preserve">, ולקביעותיו בדבר ריבונות הכנסת. </w:t>
      </w:r>
    </w:p>
    <w:p w:rsidR="00EB02E1" w:rsidRDefault="00EB02E1" w:rsidP="00EB02E1">
      <w:pPr>
        <w:pStyle w:val="Ruller41"/>
        <w:rPr>
          <w:rtl/>
        </w:rPr>
      </w:pPr>
    </w:p>
    <w:p w:rsidR="00EB02E1" w:rsidRDefault="00EB02E1" w:rsidP="00EB02E1">
      <w:pPr>
        <w:pStyle w:val="Ruller4"/>
        <w:numPr>
          <w:ilvl w:val="0"/>
          <w:numId w:val="42"/>
        </w:numPr>
        <w:rPr>
          <w:rtl/>
        </w:rPr>
      </w:pPr>
      <w:r>
        <w:rPr>
          <w:rFonts w:hint="cs"/>
          <w:rtl/>
        </w:rPr>
        <w:t xml:space="preserve">למקרא האמור עד כה, עשויה לעלות טענה שלפיה כל אותה פסיקה משנים קדמוניות </w:t>
      </w:r>
      <w:r>
        <w:rPr>
          <w:rtl/>
        </w:rPr>
        <w:t>–</w:t>
      </w:r>
      <w:r>
        <w:rPr>
          <w:rFonts w:hint="cs"/>
          <w:rtl/>
        </w:rPr>
        <w:t xml:space="preserve"> אבד עליה הכּלח. משעה שניתן פסק הדין בעניין </w:t>
      </w:r>
      <w:r w:rsidRPr="00A847AD">
        <w:rPr>
          <w:rFonts w:ascii="Century" w:hAnsi="Century" w:cs="Miriam" w:hint="cs"/>
          <w:b/>
          <w:spacing w:val="0"/>
          <w:sz w:val="22"/>
          <w:szCs w:val="24"/>
          <w:rtl/>
        </w:rPr>
        <w:t>בנק המזרחי</w:t>
      </w:r>
      <w:r>
        <w:rPr>
          <w:rFonts w:hint="cs"/>
          <w:rtl/>
        </w:rPr>
        <w:t xml:space="preserve">, שבו נקבע כי הכנסת חובשת 'כובע' נוסף כ'מכוננת', נשתנה המשפט החוקתי כולו. משעה שנקבע בעניין </w:t>
      </w:r>
      <w:r w:rsidRPr="00A847AD">
        <w:rPr>
          <w:rFonts w:ascii="Century" w:hAnsi="Century" w:cs="Miriam" w:hint="cs"/>
          <w:b/>
          <w:spacing w:val="0"/>
          <w:sz w:val="22"/>
          <w:szCs w:val="24"/>
          <w:rtl/>
        </w:rPr>
        <w:t>בנק המזרחי</w:t>
      </w:r>
      <w:r>
        <w:rPr>
          <w:rFonts w:hint="cs"/>
          <w:rtl/>
        </w:rPr>
        <w:t xml:space="preserve">, כי הכנסת מחוקקת את חוקי-היסוד ב'כובעה' כרשות מכוננת, אזי ניתן לקבוע כי על סמכות זו חלות מגבלות. תשובתי היא זו: אם נשוב לעיין בפסק הדין בעניין </w:t>
      </w:r>
      <w:r w:rsidRPr="00A847AD">
        <w:rPr>
          <w:rFonts w:ascii="Century" w:hAnsi="Century" w:cs="Miriam" w:hint="cs"/>
          <w:b/>
          <w:spacing w:val="0"/>
          <w:sz w:val="22"/>
          <w:szCs w:val="24"/>
          <w:rtl/>
        </w:rPr>
        <w:t>בנק המזרחי</w:t>
      </w:r>
      <w:r>
        <w:rPr>
          <w:rFonts w:hint="cs"/>
          <w:rtl/>
        </w:rPr>
        <w:t xml:space="preserve">, ניווכח כי טיעון זה </w:t>
      </w:r>
      <w:r>
        <w:rPr>
          <w:rtl/>
        </w:rPr>
        <w:t>–</w:t>
      </w:r>
      <w:r>
        <w:rPr>
          <w:rFonts w:hint="cs"/>
          <w:rtl/>
        </w:rPr>
        <w:t xml:space="preserve"> דינו להידחות. הנשיא </w:t>
      </w:r>
      <w:r w:rsidRPr="00A847AD">
        <w:rPr>
          <w:rFonts w:ascii="Century" w:hAnsi="Century" w:cs="Miriam" w:hint="cs"/>
          <w:b/>
          <w:spacing w:val="0"/>
          <w:sz w:val="22"/>
          <w:szCs w:val="24"/>
          <w:rtl/>
        </w:rPr>
        <w:t>ברק</w:t>
      </w:r>
      <w:r>
        <w:rPr>
          <w:rFonts w:hint="cs"/>
          <w:rtl/>
        </w:rPr>
        <w:t xml:space="preserve"> מקדיש חלק ניכר מפסק הדין, כדי להוכיח שאותה סמכות מכוננת, לא חדשה היא עמנו, אלא היתה שם מאז ומקדם. לא רק כקביעה 'רטרואקטיבית' ומאוחרת, אלא כעניין שבעובדה. אותם 'דורות ראשונים' היו מוּדעים היטב ל'שני כובעיה' של הכנסת; המכוננת והמחוקקת. נוכח אותה מסקנה עובדתית-היסטורית, קובע הנשיא </w:t>
      </w:r>
      <w:r w:rsidRPr="00A847AD">
        <w:rPr>
          <w:rFonts w:ascii="Century" w:hAnsi="Century" w:cs="Miriam" w:hint="cs"/>
          <w:b/>
          <w:spacing w:val="0"/>
          <w:sz w:val="22"/>
          <w:szCs w:val="24"/>
          <w:rtl/>
        </w:rPr>
        <w:t>ברק</w:t>
      </w:r>
      <w:r>
        <w:rPr>
          <w:rFonts w:hint="cs"/>
          <w:rtl/>
        </w:rPr>
        <w:t xml:space="preserve">, כי אמנם אותה 'סמכות מכוננת' היתה קיימת מראשית הדרך, מקום המדינה, אך כל עוד לא בחרה הכנסת לעשות שימוש ב'כובעה' כרשות מכוננת </w:t>
      </w:r>
      <w:r>
        <w:rPr>
          <w:rtl/>
        </w:rPr>
        <w:t>–</w:t>
      </w:r>
      <w:r>
        <w:rPr>
          <w:rFonts w:hint="cs"/>
          <w:rtl/>
        </w:rPr>
        <w:t xml:space="preserve"> לא היתה לכך כל משמעות. בהעדר כל פעילות, אותה 'קומה נורמטיבית עליונה', שבה שוכנים כבוד תוצריה של הרשות המכוננת, 'העלתה חלודה' עד שהיה ניתן לומר כי חקיקת הכנסת ה'רגילה' היא המהווה את הנורמה העליונה. זאת, מפני שבפועל, עובדתית, לא היתה בנמצא כל נורמה משפטית גבוהה ממנה. ממשיך הנשיא </w:t>
      </w:r>
      <w:r w:rsidRPr="00A847AD">
        <w:rPr>
          <w:rFonts w:ascii="Century" w:hAnsi="Century" w:cs="Miriam" w:hint="cs"/>
          <w:b/>
          <w:spacing w:val="0"/>
          <w:sz w:val="22"/>
          <w:szCs w:val="24"/>
          <w:rtl/>
        </w:rPr>
        <w:t>ברק</w:t>
      </w:r>
      <w:r>
        <w:rPr>
          <w:rFonts w:hint="cs"/>
          <w:rtl/>
        </w:rPr>
        <w:t xml:space="preserve"> וקובע, כי בשנת 1992 נפל דבר בישראל, ולראשונה עשתה הכנסת שימוש ב'כובעה' כרשות מכוננת. ממילא, משהחלה ה'קומה הנורמטיבית העליונה' להתמלא בתוכן ממשי, בדמות חוקי-היסוד בדבר זכויות האדם, החל מאותה שעה 'שוּנמך' מעמדם של החוקים 'הרגילים', אל מתחת חוקי-היסוד הללו, בכפיפות אליהם. </w:t>
      </w:r>
    </w:p>
    <w:p w:rsidR="00EB02E1" w:rsidRDefault="00EB02E1" w:rsidP="00EB02E1">
      <w:pPr>
        <w:pStyle w:val="Ruller41"/>
        <w:rPr>
          <w:rtl/>
        </w:rPr>
      </w:pPr>
    </w:p>
    <w:p w:rsidR="00EB02E1" w:rsidRDefault="00EB02E1" w:rsidP="00EB02E1">
      <w:pPr>
        <w:pStyle w:val="Ruller4"/>
        <w:rPr>
          <w:rtl/>
        </w:rPr>
      </w:pPr>
      <w:r>
        <w:rPr>
          <w:rFonts w:hint="cs"/>
          <w:rtl/>
        </w:rPr>
        <w:t xml:space="preserve">לאחר שעמדנו על דרך הילוכו של הנשיא </w:t>
      </w:r>
      <w:r w:rsidRPr="00135003">
        <w:rPr>
          <w:rFonts w:ascii="Century" w:hAnsi="Century" w:cs="Miriam" w:hint="cs"/>
          <w:b/>
          <w:spacing w:val="0"/>
          <w:sz w:val="22"/>
          <w:szCs w:val="24"/>
          <w:rtl/>
        </w:rPr>
        <w:t>ברק</w:t>
      </w:r>
      <w:r>
        <w:rPr>
          <w:rFonts w:hint="cs"/>
          <w:rtl/>
        </w:rPr>
        <w:t xml:space="preserve"> בעניין </w:t>
      </w:r>
      <w:r w:rsidRPr="00135003">
        <w:rPr>
          <w:rFonts w:ascii="Century" w:hAnsi="Century" w:cs="Miriam" w:hint="cs"/>
          <w:b/>
          <w:spacing w:val="0"/>
          <w:sz w:val="22"/>
          <w:szCs w:val="24"/>
          <w:rtl/>
        </w:rPr>
        <w:t>בנק המזרחי</w:t>
      </w:r>
      <w:r>
        <w:rPr>
          <w:rFonts w:hint="cs"/>
          <w:rtl/>
        </w:rPr>
        <w:t xml:space="preserve">, נגיע למסקנה, כי אין בכוחו של 'המהלך החוקתי' שבו נקט בעניין </w:t>
      </w:r>
      <w:r w:rsidRPr="00135003">
        <w:rPr>
          <w:rFonts w:ascii="Century" w:hAnsi="Century" w:cs="Miriam" w:hint="cs"/>
          <w:b/>
          <w:spacing w:val="0"/>
          <w:sz w:val="22"/>
          <w:szCs w:val="24"/>
          <w:rtl/>
        </w:rPr>
        <w:t>בנק המזרחי</w:t>
      </w:r>
      <w:r>
        <w:rPr>
          <w:rFonts w:hint="cs"/>
          <w:rtl/>
        </w:rPr>
        <w:t xml:space="preserve">, כדי לאיין כל אותה פסיקה שניתנה בדורות הקודמים. אם קיימות, כביכול, מאז ומקדם, מגבלות כלשהן על סמכותה של הרשות המכוננת, כי אז היה עליהן לחול גם בעבר, על שכבת החקיקה ה'רגילה', מקל וחומר. </w:t>
      </w:r>
    </w:p>
    <w:p w:rsidR="00EB02E1" w:rsidRPr="00032D2B" w:rsidRDefault="00EB02E1" w:rsidP="00EB02E1">
      <w:pPr>
        <w:pStyle w:val="Ruller41"/>
      </w:pPr>
    </w:p>
    <w:p w:rsidR="00EB02E1" w:rsidRDefault="00EB02E1" w:rsidP="00EB02E1">
      <w:pPr>
        <w:pStyle w:val="Ruller4"/>
        <w:rPr>
          <w:rtl/>
        </w:rPr>
      </w:pPr>
      <w:r>
        <w:rPr>
          <w:rFonts w:hint="cs"/>
          <w:rtl/>
        </w:rPr>
        <w:t xml:space="preserve">שיטתו של הנשיא </w:t>
      </w:r>
      <w:r w:rsidRPr="00135003">
        <w:rPr>
          <w:rFonts w:ascii="Century" w:hAnsi="Century" w:cs="Miriam" w:hint="cs"/>
          <w:b/>
          <w:spacing w:val="0"/>
          <w:sz w:val="22"/>
          <w:szCs w:val="24"/>
          <w:rtl/>
        </w:rPr>
        <w:t>ברק</w:t>
      </w:r>
      <w:r>
        <w:rPr>
          <w:rFonts w:hint="cs"/>
          <w:rtl/>
        </w:rPr>
        <w:t xml:space="preserve"> היא, כי גם בעבר, אותה חקיקה 'רגילה' שיצאה מבית מדרשה של הכנסת ב'כובעה' כרשות מחוקקת, התאפשרה אך בשל הסמכה שבאה לה </w:t>
      </w:r>
      <w:r>
        <w:rPr>
          <w:rFonts w:hint="cs"/>
          <w:rtl/>
        </w:rPr>
        <w:lastRenderedPageBreak/>
        <w:t xml:space="preserve">מ'כובעה' השני, כרשות מכוננת. הרשות המכוננת לא נולדה אפוא בשנת 1995, גם לא בשנת 1992. ממילא, ככל שחברַי מבקשים לקבוע כי קיימת מגבלה כלשהי על סמכותה של הרשות המכוננת, הם מוצאים את עצמם ב'התנגשות חזיתית' עם כל אותם פסקי דין, שהפכו 'נכסי צאן ברזל', ובהם נקבע, בטרם תבוא שנת 1992, כי סמכותה של הכנסת היא בלתי-מוגבלת. אמת נכון הדבר, כיום, קביעות מסוג זה </w:t>
      </w:r>
      <w:r>
        <w:rPr>
          <w:rtl/>
        </w:rPr>
        <w:t>–</w:t>
      </w:r>
      <w:r>
        <w:rPr>
          <w:rFonts w:hint="cs"/>
          <w:rtl/>
        </w:rPr>
        <w:t xml:space="preserve"> שוב אינן מדויקות, שכן סמכותה של הכנסת, ב'כובעה' כרשות מחוקקת </w:t>
      </w:r>
      <w:r>
        <w:rPr>
          <w:rtl/>
        </w:rPr>
        <w:t>–</w:t>
      </w:r>
      <w:r>
        <w:rPr>
          <w:rFonts w:hint="cs"/>
          <w:rtl/>
        </w:rPr>
        <w:t xml:space="preserve"> הפכה מוגבלת, בשל קיומם של דברי-חקיקה גבוהים יותר; חוקי-היסוד. עם זאת, קביעות אלו </w:t>
      </w:r>
      <w:r>
        <w:rPr>
          <w:rtl/>
        </w:rPr>
        <w:t>–</w:t>
      </w:r>
      <w:r>
        <w:rPr>
          <w:rFonts w:hint="cs"/>
          <w:rtl/>
        </w:rPr>
        <w:t xml:space="preserve"> לא נס ליחן. הן נותרו על מכונן כבראשונה בכל הקשור לחוקי-היסוד עצמם. הרשות המכוננת, נותרה במעמדה האיתן כבתחילה; לא נעה ולא זעה, ללא כל הגבלה, שיור או סייג. היא נולדה בלתי-מוגבלת, ונותרה כזו עד ימינו-אנו.</w:t>
      </w:r>
    </w:p>
    <w:p w:rsidR="00EB02E1" w:rsidRPr="004915F3" w:rsidRDefault="00EB02E1" w:rsidP="00EB02E1">
      <w:pPr>
        <w:pStyle w:val="Ruller41"/>
        <w:rPr>
          <w:rtl/>
        </w:rPr>
      </w:pPr>
    </w:p>
    <w:p w:rsidR="00EB02E1" w:rsidRDefault="00EB02E1" w:rsidP="00EB02E1">
      <w:pPr>
        <w:pStyle w:val="Ruller4"/>
        <w:textAlignment w:val="auto"/>
        <w:rPr>
          <w:rtl/>
        </w:rPr>
      </w:pPr>
      <w:r>
        <w:rPr>
          <w:rFonts w:hint="cs"/>
          <w:rtl/>
        </w:rPr>
        <w:t xml:space="preserve">אימוץ פסק הדין בעניין </w:t>
      </w:r>
      <w:r w:rsidRPr="0003361A">
        <w:rPr>
          <w:rFonts w:ascii="Century" w:hAnsi="Century" w:cs="Miriam" w:hint="cs"/>
          <w:b/>
          <w:spacing w:val="0"/>
          <w:sz w:val="22"/>
          <w:szCs w:val="24"/>
          <w:rtl/>
        </w:rPr>
        <w:t>בנק המזרחי</w:t>
      </w:r>
      <w:r>
        <w:rPr>
          <w:rFonts w:hint="cs"/>
          <w:rtl/>
        </w:rPr>
        <w:t xml:space="preserve">, אינו מבטל את הפסיקה העניפה שקדמה לו. זו שרירה וקיימת. בפסק הדין, לא ביקש הנשיא </w:t>
      </w:r>
      <w:r w:rsidRPr="00456C4A">
        <w:rPr>
          <w:rFonts w:ascii="Century" w:hAnsi="Century" w:cs="Miriam" w:hint="cs"/>
          <w:b/>
          <w:spacing w:val="0"/>
          <w:szCs w:val="24"/>
          <w:rtl/>
        </w:rPr>
        <w:t>ברק</w:t>
      </w:r>
      <w:r>
        <w:rPr>
          <w:rFonts w:ascii="Century" w:hAnsi="Century" w:cs="Miriam" w:hint="cs"/>
          <w:b/>
          <w:spacing w:val="0"/>
          <w:szCs w:val="24"/>
          <w:rtl/>
        </w:rPr>
        <w:t xml:space="preserve"> </w:t>
      </w:r>
      <w:r>
        <w:rPr>
          <w:rFonts w:hint="cs"/>
          <w:rtl/>
        </w:rPr>
        <w:t xml:space="preserve">בשום שלב 'להיפטר' מעוּלה  של מורשת זו, שאותה הנחילו לנו קודמיו, ואף הוא עצמו בעידן הטרום-חוקתי. אדרבה, הנשיא </w:t>
      </w:r>
      <w:r w:rsidRPr="00456C4A">
        <w:rPr>
          <w:rFonts w:ascii="Century" w:hAnsi="Century" w:cs="Miriam" w:hint="cs"/>
          <w:b/>
          <w:spacing w:val="0"/>
          <w:szCs w:val="24"/>
          <w:rtl/>
        </w:rPr>
        <w:t>ברק</w:t>
      </w:r>
      <w:r>
        <w:rPr>
          <w:rFonts w:hint="cs"/>
          <w:rtl/>
        </w:rPr>
        <w:t xml:space="preserve"> מצטט תחילה חלק מאותם פסקי-דין מכוננים הנ"ל, המצהירים שוב ושוב על ריבונותה המוחלטת של הכנסת והיותה כל-יכולה בתחום החקיקה. אלא שמעתה, לדבריו, חל שינוי ממוקד, במישור היחסים שבין חוקי-היסוד לחוקים רגילים: </w:t>
      </w:r>
      <w:r w:rsidRPr="00456C4A">
        <w:rPr>
          <w:rFonts w:ascii="Century" w:hAnsi="Century" w:cs="Miriam" w:hint="cs"/>
          <w:b/>
          <w:spacing w:val="0"/>
          <w:szCs w:val="24"/>
          <w:rtl/>
        </w:rPr>
        <w:t>"</w:t>
      </w:r>
      <w:r w:rsidRPr="00456C4A">
        <w:rPr>
          <w:rFonts w:ascii="Century" w:hAnsi="Century" w:cs="Miriam" w:hint="eastAsia"/>
          <w:b/>
          <w:spacing w:val="0"/>
          <w:szCs w:val="24"/>
          <w:rtl/>
        </w:rPr>
        <w:t>בהשקפה</w:t>
      </w:r>
      <w:r w:rsidRPr="00456C4A">
        <w:rPr>
          <w:rFonts w:ascii="Century" w:hAnsi="Century" w:cs="Miriam"/>
          <w:b/>
          <w:spacing w:val="0"/>
          <w:szCs w:val="24"/>
          <w:rtl/>
        </w:rPr>
        <w:t xml:space="preserve"> </w:t>
      </w:r>
      <w:r w:rsidRPr="00456C4A">
        <w:rPr>
          <w:rFonts w:ascii="Century" w:hAnsi="Century" w:cs="Miriam" w:hint="eastAsia"/>
          <w:b/>
          <w:spacing w:val="0"/>
          <w:szCs w:val="24"/>
          <w:rtl/>
        </w:rPr>
        <w:t>חוקתית</w:t>
      </w:r>
      <w:r w:rsidRPr="00456C4A">
        <w:rPr>
          <w:rFonts w:ascii="Century" w:hAnsi="Century" w:cs="Miriam"/>
          <w:b/>
          <w:spacing w:val="0"/>
          <w:szCs w:val="24"/>
          <w:rtl/>
        </w:rPr>
        <w:t xml:space="preserve"> </w:t>
      </w:r>
      <w:r w:rsidRPr="00456C4A">
        <w:rPr>
          <w:rFonts w:ascii="Century" w:hAnsi="Century" w:cs="Miriam" w:hint="eastAsia"/>
          <w:b/>
          <w:spacing w:val="0"/>
          <w:szCs w:val="24"/>
          <w:rtl/>
        </w:rPr>
        <w:t>זו</w:t>
      </w:r>
      <w:r w:rsidRPr="00456C4A">
        <w:rPr>
          <w:rFonts w:ascii="Century" w:hAnsi="Century" w:cs="Miriam"/>
          <w:b/>
          <w:spacing w:val="0"/>
          <w:szCs w:val="24"/>
          <w:rtl/>
        </w:rPr>
        <w:t xml:space="preserve"> </w:t>
      </w:r>
      <w:r w:rsidRPr="00456C4A">
        <w:rPr>
          <w:rFonts w:ascii="Century" w:hAnsi="Century" w:cs="Miriam" w:hint="eastAsia"/>
          <w:b/>
          <w:spacing w:val="0"/>
          <w:szCs w:val="24"/>
          <w:rtl/>
        </w:rPr>
        <w:t>חל</w:t>
      </w:r>
      <w:r w:rsidRPr="00456C4A">
        <w:rPr>
          <w:rFonts w:ascii="Century" w:hAnsi="Century" w:cs="Miriam"/>
          <w:b/>
          <w:spacing w:val="0"/>
          <w:szCs w:val="24"/>
          <w:rtl/>
        </w:rPr>
        <w:t xml:space="preserve"> </w:t>
      </w:r>
      <w:r w:rsidRPr="00456C4A">
        <w:rPr>
          <w:rFonts w:ascii="Century" w:hAnsi="Century" w:cs="Miriam" w:hint="eastAsia"/>
          <w:b/>
          <w:spacing w:val="0"/>
          <w:szCs w:val="24"/>
          <w:rtl/>
        </w:rPr>
        <w:t>שינוי</w:t>
      </w:r>
      <w:r w:rsidRPr="00456C4A">
        <w:rPr>
          <w:rFonts w:ascii="Century" w:hAnsi="Century" w:cs="Miriam"/>
          <w:b/>
          <w:spacing w:val="0"/>
          <w:szCs w:val="24"/>
          <w:rtl/>
        </w:rPr>
        <w:t xml:space="preserve">. </w:t>
      </w:r>
      <w:r w:rsidRPr="00456C4A">
        <w:rPr>
          <w:rFonts w:ascii="Century" w:hAnsi="Century" w:cs="Miriam" w:hint="eastAsia"/>
          <w:b/>
          <w:spacing w:val="0"/>
          <w:szCs w:val="24"/>
          <w:rtl/>
        </w:rPr>
        <w:t>הכנסת</w:t>
      </w:r>
      <w:r w:rsidRPr="00456C4A">
        <w:rPr>
          <w:rFonts w:ascii="Century" w:hAnsi="Century" w:cs="Miriam"/>
          <w:b/>
          <w:spacing w:val="0"/>
          <w:szCs w:val="24"/>
          <w:rtl/>
        </w:rPr>
        <w:t xml:space="preserve">, </w:t>
      </w:r>
      <w:r w:rsidRPr="00456C4A">
        <w:rPr>
          <w:rFonts w:ascii="Century" w:hAnsi="Century" w:cs="Miriam" w:hint="eastAsia"/>
          <w:b/>
          <w:spacing w:val="0"/>
          <w:szCs w:val="24"/>
          <w:u w:val="single"/>
          <w:rtl/>
        </w:rPr>
        <w:t>בהפעילה</w:t>
      </w:r>
      <w:r w:rsidRPr="00456C4A">
        <w:rPr>
          <w:rFonts w:ascii="Century" w:hAnsi="Century" w:cs="Miriam"/>
          <w:b/>
          <w:spacing w:val="0"/>
          <w:szCs w:val="24"/>
          <w:u w:val="single"/>
          <w:rtl/>
        </w:rPr>
        <w:t xml:space="preserve"> </w:t>
      </w:r>
      <w:r w:rsidRPr="00456C4A">
        <w:rPr>
          <w:rFonts w:ascii="Century" w:hAnsi="Century" w:cs="Miriam" w:hint="eastAsia"/>
          <w:b/>
          <w:spacing w:val="0"/>
          <w:szCs w:val="24"/>
          <w:u w:val="single"/>
          <w:rtl/>
        </w:rPr>
        <w:t>את</w:t>
      </w:r>
      <w:r w:rsidRPr="00456C4A">
        <w:rPr>
          <w:rFonts w:ascii="Century" w:hAnsi="Century" w:cs="Miriam"/>
          <w:b/>
          <w:spacing w:val="0"/>
          <w:szCs w:val="24"/>
          <w:u w:val="single"/>
          <w:rtl/>
        </w:rPr>
        <w:t xml:space="preserve"> </w:t>
      </w:r>
      <w:r w:rsidRPr="00456C4A">
        <w:rPr>
          <w:rFonts w:ascii="Century" w:hAnsi="Century" w:cs="Miriam" w:hint="eastAsia"/>
          <w:b/>
          <w:spacing w:val="0"/>
          <w:szCs w:val="24"/>
          <w:u w:val="single"/>
          <w:rtl/>
        </w:rPr>
        <w:t>סמכויות</w:t>
      </w:r>
      <w:r w:rsidRPr="00456C4A">
        <w:rPr>
          <w:rFonts w:ascii="Century" w:hAnsi="Century" w:cs="Miriam"/>
          <w:b/>
          <w:spacing w:val="0"/>
          <w:szCs w:val="24"/>
          <w:u w:val="single"/>
          <w:rtl/>
        </w:rPr>
        <w:t xml:space="preserve"> </w:t>
      </w:r>
      <w:r w:rsidRPr="00456C4A">
        <w:rPr>
          <w:rFonts w:ascii="Century" w:hAnsi="Century" w:cs="Miriam" w:hint="eastAsia"/>
          <w:b/>
          <w:spacing w:val="0"/>
          <w:szCs w:val="24"/>
          <w:u w:val="single"/>
          <w:rtl/>
        </w:rPr>
        <w:t>החקיקה</w:t>
      </w:r>
      <w:r w:rsidRPr="00456C4A">
        <w:rPr>
          <w:rFonts w:ascii="Century" w:hAnsi="Century" w:cs="Miriam"/>
          <w:b/>
          <w:spacing w:val="0"/>
          <w:szCs w:val="24"/>
          <w:rtl/>
        </w:rPr>
        <w:t xml:space="preserve"> </w:t>
      </w:r>
      <w:r w:rsidRPr="00456C4A">
        <w:rPr>
          <w:rFonts w:ascii="Century" w:hAnsi="Century" w:cs="Miriam" w:hint="eastAsia"/>
          <w:b/>
          <w:spacing w:val="0"/>
          <w:szCs w:val="24"/>
          <w:u w:val="single"/>
          <w:rtl/>
        </w:rPr>
        <w:t>שלה</w:t>
      </w:r>
      <w:r w:rsidRPr="00456C4A">
        <w:rPr>
          <w:rFonts w:ascii="Century" w:hAnsi="Century" w:cs="Miriam"/>
          <w:b/>
          <w:spacing w:val="0"/>
          <w:szCs w:val="24"/>
          <w:u w:val="single"/>
          <w:rtl/>
        </w:rPr>
        <w:t xml:space="preserve">, </w:t>
      </w:r>
      <w:r w:rsidRPr="00456C4A">
        <w:rPr>
          <w:rFonts w:ascii="Century" w:hAnsi="Century" w:cs="Miriam" w:hint="eastAsia"/>
          <w:b/>
          <w:spacing w:val="0"/>
          <w:szCs w:val="24"/>
          <w:u w:val="single"/>
          <w:rtl/>
        </w:rPr>
        <w:t>שוב</w:t>
      </w:r>
      <w:r w:rsidRPr="00456C4A">
        <w:rPr>
          <w:rFonts w:ascii="Century" w:hAnsi="Century" w:cs="Miriam"/>
          <w:b/>
          <w:spacing w:val="0"/>
          <w:szCs w:val="24"/>
          <w:u w:val="single"/>
          <w:rtl/>
        </w:rPr>
        <w:t xml:space="preserve"> </w:t>
      </w:r>
      <w:r w:rsidRPr="00456C4A">
        <w:rPr>
          <w:rFonts w:ascii="Century" w:hAnsi="Century" w:cs="Miriam" w:hint="eastAsia"/>
          <w:b/>
          <w:spacing w:val="0"/>
          <w:szCs w:val="24"/>
          <w:u w:val="single"/>
          <w:rtl/>
        </w:rPr>
        <w:t>אינה</w:t>
      </w:r>
      <w:r w:rsidRPr="00456C4A">
        <w:rPr>
          <w:rFonts w:ascii="Century" w:hAnsi="Century" w:cs="Miriam"/>
          <w:b/>
          <w:spacing w:val="0"/>
          <w:szCs w:val="24"/>
          <w:u w:val="single"/>
          <w:rtl/>
        </w:rPr>
        <w:t xml:space="preserve"> </w:t>
      </w:r>
      <w:r w:rsidRPr="00456C4A">
        <w:rPr>
          <w:rFonts w:ascii="Century" w:hAnsi="Century" w:cs="Miriam" w:hint="eastAsia"/>
          <w:b/>
          <w:spacing w:val="0"/>
          <w:szCs w:val="24"/>
          <w:u w:val="single"/>
          <w:rtl/>
        </w:rPr>
        <w:t>כול</w:t>
      </w:r>
      <w:r w:rsidRPr="00456C4A">
        <w:rPr>
          <w:rFonts w:ascii="Century" w:hAnsi="Century" w:cs="Miriam"/>
          <w:b/>
          <w:spacing w:val="0"/>
          <w:szCs w:val="24"/>
          <w:u w:val="single"/>
          <w:rtl/>
        </w:rPr>
        <w:t xml:space="preserve"> </w:t>
      </w:r>
      <w:r w:rsidRPr="00456C4A">
        <w:rPr>
          <w:rFonts w:ascii="Century" w:hAnsi="Century" w:cs="Miriam" w:hint="eastAsia"/>
          <w:b/>
          <w:spacing w:val="0"/>
          <w:szCs w:val="24"/>
          <w:u w:val="single"/>
          <w:rtl/>
        </w:rPr>
        <w:t>יכולה</w:t>
      </w:r>
      <w:r w:rsidRPr="00456C4A">
        <w:rPr>
          <w:rFonts w:ascii="Century" w:hAnsi="Century" w:cs="Miriam"/>
          <w:b/>
          <w:spacing w:val="0"/>
          <w:szCs w:val="24"/>
          <w:rtl/>
        </w:rPr>
        <w:t xml:space="preserve">. </w:t>
      </w:r>
      <w:r w:rsidRPr="00456C4A">
        <w:rPr>
          <w:rFonts w:ascii="Century" w:hAnsi="Century" w:cs="Miriam" w:hint="eastAsia"/>
          <w:b/>
          <w:spacing w:val="0"/>
          <w:szCs w:val="24"/>
          <w:rtl/>
        </w:rPr>
        <w:t>על</w:t>
      </w:r>
      <w:r w:rsidRPr="00456C4A">
        <w:rPr>
          <w:rFonts w:ascii="Century" w:hAnsi="Century" w:cs="Miriam"/>
          <w:b/>
          <w:spacing w:val="0"/>
          <w:szCs w:val="24"/>
          <w:rtl/>
        </w:rPr>
        <w:t xml:space="preserve"> </w:t>
      </w:r>
      <w:r w:rsidRPr="00456C4A">
        <w:rPr>
          <w:rFonts w:ascii="Century" w:hAnsi="Century" w:cs="Miriam" w:hint="eastAsia"/>
          <w:b/>
          <w:spacing w:val="0"/>
          <w:szCs w:val="24"/>
          <w:rtl/>
        </w:rPr>
        <w:t>כוח</w:t>
      </w:r>
      <w:r w:rsidRPr="00456C4A">
        <w:rPr>
          <w:rFonts w:ascii="Century" w:hAnsi="Century" w:cs="Miriam"/>
          <w:b/>
          <w:spacing w:val="0"/>
          <w:szCs w:val="24"/>
          <w:rtl/>
        </w:rPr>
        <w:t xml:space="preserve"> </w:t>
      </w:r>
      <w:r w:rsidRPr="00456C4A">
        <w:rPr>
          <w:rFonts w:ascii="Century" w:hAnsi="Century" w:cs="Miriam" w:hint="eastAsia"/>
          <w:b/>
          <w:spacing w:val="0"/>
          <w:szCs w:val="24"/>
          <w:rtl/>
        </w:rPr>
        <w:t>החקיקה</w:t>
      </w:r>
      <w:r w:rsidRPr="00456C4A">
        <w:rPr>
          <w:rFonts w:ascii="Century" w:hAnsi="Century" w:cs="Miriam"/>
          <w:b/>
          <w:spacing w:val="0"/>
          <w:szCs w:val="24"/>
          <w:rtl/>
        </w:rPr>
        <w:t xml:space="preserve"> </w:t>
      </w:r>
      <w:r w:rsidRPr="00456C4A">
        <w:rPr>
          <w:rFonts w:ascii="Century" w:hAnsi="Century" w:cs="Miriam" w:hint="eastAsia"/>
          <w:b/>
          <w:spacing w:val="0"/>
          <w:szCs w:val="24"/>
          <w:rtl/>
        </w:rPr>
        <w:t>שלה</w:t>
      </w:r>
      <w:r w:rsidRPr="00456C4A">
        <w:rPr>
          <w:rFonts w:ascii="Century" w:hAnsi="Century" w:cs="Miriam"/>
          <w:b/>
          <w:spacing w:val="0"/>
          <w:szCs w:val="24"/>
          <w:rtl/>
        </w:rPr>
        <w:t xml:space="preserve"> </w:t>
      </w:r>
      <w:r w:rsidRPr="00456C4A">
        <w:rPr>
          <w:rFonts w:ascii="Century" w:hAnsi="Century" w:cs="Miriam" w:hint="eastAsia"/>
          <w:b/>
          <w:spacing w:val="0"/>
          <w:szCs w:val="24"/>
          <w:rtl/>
        </w:rPr>
        <w:t>בתחום</w:t>
      </w:r>
      <w:r w:rsidRPr="00456C4A">
        <w:rPr>
          <w:rFonts w:ascii="Century" w:hAnsi="Century" w:cs="Miriam"/>
          <w:b/>
          <w:spacing w:val="0"/>
          <w:szCs w:val="24"/>
          <w:rtl/>
        </w:rPr>
        <w:t xml:space="preserve"> </w:t>
      </w:r>
      <w:r w:rsidRPr="00456C4A">
        <w:rPr>
          <w:rFonts w:ascii="Century" w:hAnsi="Century" w:cs="Miriam" w:hint="eastAsia"/>
          <w:b/>
          <w:spacing w:val="0"/>
          <w:szCs w:val="24"/>
          <w:rtl/>
        </w:rPr>
        <w:t>זכויות</w:t>
      </w:r>
      <w:r w:rsidRPr="00456C4A">
        <w:rPr>
          <w:rFonts w:ascii="Century" w:hAnsi="Century" w:cs="Miriam"/>
          <w:b/>
          <w:spacing w:val="0"/>
          <w:szCs w:val="24"/>
          <w:rtl/>
        </w:rPr>
        <w:t xml:space="preserve"> </w:t>
      </w:r>
      <w:r w:rsidRPr="00456C4A">
        <w:rPr>
          <w:rFonts w:ascii="Century" w:hAnsi="Century" w:cs="Miriam" w:hint="eastAsia"/>
          <w:b/>
          <w:spacing w:val="0"/>
          <w:szCs w:val="24"/>
          <w:rtl/>
        </w:rPr>
        <w:t>האדם</w:t>
      </w:r>
      <w:r w:rsidRPr="00456C4A">
        <w:rPr>
          <w:rFonts w:ascii="Century" w:hAnsi="Century" w:cs="Miriam"/>
          <w:b/>
          <w:spacing w:val="0"/>
          <w:szCs w:val="24"/>
          <w:rtl/>
        </w:rPr>
        <w:t xml:space="preserve"> </w:t>
      </w:r>
      <w:r w:rsidRPr="00456C4A">
        <w:rPr>
          <w:rFonts w:ascii="Century" w:hAnsi="Century" w:cs="Miriam" w:hint="eastAsia"/>
          <w:b/>
          <w:spacing w:val="0"/>
          <w:szCs w:val="24"/>
          <w:rtl/>
        </w:rPr>
        <w:t>הוטלו</w:t>
      </w:r>
      <w:r w:rsidRPr="00456C4A">
        <w:rPr>
          <w:rFonts w:ascii="Century" w:hAnsi="Century" w:cs="Miriam"/>
          <w:b/>
          <w:spacing w:val="0"/>
          <w:szCs w:val="24"/>
          <w:rtl/>
        </w:rPr>
        <w:t xml:space="preserve"> </w:t>
      </w:r>
      <w:r w:rsidRPr="00456C4A">
        <w:rPr>
          <w:rFonts w:ascii="Century" w:hAnsi="Century" w:cs="Miriam" w:hint="eastAsia"/>
          <w:b/>
          <w:spacing w:val="0"/>
          <w:szCs w:val="24"/>
          <w:rtl/>
        </w:rPr>
        <w:t>מגבלות</w:t>
      </w:r>
      <w:r w:rsidRPr="00456C4A">
        <w:rPr>
          <w:rFonts w:ascii="Century" w:hAnsi="Century" w:cs="Miriam"/>
          <w:b/>
          <w:spacing w:val="0"/>
          <w:szCs w:val="24"/>
          <w:rtl/>
        </w:rPr>
        <w:t xml:space="preserve"> </w:t>
      </w:r>
      <w:r w:rsidRPr="00456C4A">
        <w:rPr>
          <w:rFonts w:ascii="Century" w:hAnsi="Century" w:cs="Miriam" w:hint="eastAsia"/>
          <w:b/>
          <w:spacing w:val="0"/>
          <w:szCs w:val="24"/>
          <w:u w:val="single"/>
          <w:rtl/>
        </w:rPr>
        <w:t>על</w:t>
      </w:r>
      <w:r w:rsidRPr="00456C4A">
        <w:rPr>
          <w:rFonts w:ascii="Century" w:hAnsi="Century" w:cs="Miriam"/>
          <w:b/>
          <w:spacing w:val="0"/>
          <w:szCs w:val="24"/>
          <w:u w:val="single"/>
          <w:rtl/>
        </w:rPr>
        <w:t>-</w:t>
      </w:r>
      <w:r w:rsidRPr="00456C4A">
        <w:rPr>
          <w:rFonts w:ascii="Century" w:hAnsi="Century" w:cs="Miriam" w:hint="eastAsia"/>
          <w:b/>
          <w:spacing w:val="0"/>
          <w:szCs w:val="24"/>
          <w:u w:val="single"/>
          <w:rtl/>
        </w:rPr>
        <w:t>ידי</w:t>
      </w:r>
      <w:r w:rsidRPr="00456C4A">
        <w:rPr>
          <w:rFonts w:ascii="Century" w:hAnsi="Century" w:cs="Miriam"/>
          <w:b/>
          <w:spacing w:val="0"/>
          <w:szCs w:val="24"/>
          <w:u w:val="single"/>
          <w:rtl/>
        </w:rPr>
        <w:t xml:space="preserve"> </w:t>
      </w:r>
      <w:r w:rsidRPr="00456C4A">
        <w:rPr>
          <w:rFonts w:ascii="Century" w:hAnsi="Century" w:cs="Miriam" w:hint="eastAsia"/>
          <w:b/>
          <w:spacing w:val="0"/>
          <w:szCs w:val="24"/>
          <w:u w:val="single"/>
          <w:rtl/>
        </w:rPr>
        <w:t>הכנסת</w:t>
      </w:r>
      <w:r w:rsidRPr="00456C4A">
        <w:rPr>
          <w:rFonts w:ascii="Century" w:hAnsi="Century" w:cs="Miriam"/>
          <w:b/>
          <w:spacing w:val="0"/>
          <w:szCs w:val="24"/>
          <w:rtl/>
        </w:rPr>
        <w:t xml:space="preserve">, </w:t>
      </w:r>
      <w:r w:rsidRPr="00456C4A">
        <w:rPr>
          <w:rFonts w:ascii="Century" w:hAnsi="Century" w:cs="Miriam" w:hint="eastAsia"/>
          <w:b/>
          <w:spacing w:val="0"/>
          <w:szCs w:val="24"/>
          <w:rtl/>
        </w:rPr>
        <w:t>תוך</w:t>
      </w:r>
      <w:r w:rsidRPr="00456C4A">
        <w:rPr>
          <w:rFonts w:ascii="Century" w:hAnsi="Century" w:cs="Miriam"/>
          <w:b/>
          <w:spacing w:val="0"/>
          <w:szCs w:val="24"/>
          <w:rtl/>
        </w:rPr>
        <w:t xml:space="preserve"> </w:t>
      </w:r>
      <w:r w:rsidRPr="00456C4A">
        <w:rPr>
          <w:rFonts w:ascii="Century" w:hAnsi="Century" w:cs="Miriam" w:hint="eastAsia"/>
          <w:b/>
          <w:spacing w:val="0"/>
          <w:szCs w:val="24"/>
          <w:rtl/>
        </w:rPr>
        <w:t>שזו</w:t>
      </w:r>
      <w:r w:rsidRPr="00456C4A">
        <w:rPr>
          <w:rFonts w:ascii="Century" w:hAnsi="Century" w:cs="Miriam"/>
          <w:b/>
          <w:spacing w:val="0"/>
          <w:szCs w:val="24"/>
          <w:rtl/>
        </w:rPr>
        <w:t xml:space="preserve"> </w:t>
      </w:r>
      <w:r w:rsidRPr="00456C4A">
        <w:rPr>
          <w:rFonts w:ascii="Century" w:hAnsi="Century" w:cs="Miriam" w:hint="eastAsia"/>
          <w:b/>
          <w:spacing w:val="0"/>
          <w:szCs w:val="24"/>
          <w:rtl/>
        </w:rPr>
        <w:t>עשתה</w:t>
      </w:r>
      <w:r w:rsidRPr="00456C4A">
        <w:rPr>
          <w:rFonts w:ascii="Century" w:hAnsi="Century" w:cs="Miriam"/>
          <w:b/>
          <w:spacing w:val="0"/>
          <w:szCs w:val="24"/>
          <w:rtl/>
        </w:rPr>
        <w:t xml:space="preserve"> </w:t>
      </w:r>
      <w:r>
        <w:rPr>
          <w:rFonts w:ascii="Century" w:hAnsi="Century" w:cs="Miriam" w:hint="cs"/>
          <w:b/>
          <w:spacing w:val="0"/>
          <w:szCs w:val="24"/>
          <w:rtl/>
        </w:rPr>
        <w:t>[ל</w:t>
      </w:r>
      <w:r w:rsidRPr="00456C4A">
        <w:rPr>
          <w:rFonts w:ascii="Century" w:hAnsi="Century" w:cs="Miriam" w:hint="eastAsia"/>
          <w:b/>
          <w:spacing w:val="0"/>
          <w:szCs w:val="24"/>
          <w:rtl/>
        </w:rPr>
        <w:t>שם</w:t>
      </w:r>
      <w:r>
        <w:rPr>
          <w:rFonts w:ascii="Century" w:hAnsi="Century" w:cs="Miriam" w:hint="cs"/>
          <w:b/>
          <w:spacing w:val="0"/>
          <w:szCs w:val="24"/>
          <w:rtl/>
        </w:rPr>
        <w:t>]</w:t>
      </w:r>
      <w:r w:rsidRPr="00456C4A">
        <w:rPr>
          <w:rFonts w:ascii="Century" w:hAnsi="Century" w:cs="Miriam"/>
          <w:b/>
          <w:spacing w:val="0"/>
          <w:szCs w:val="24"/>
          <w:rtl/>
        </w:rPr>
        <w:t xml:space="preserve"> </w:t>
      </w:r>
      <w:r w:rsidRPr="00456C4A">
        <w:rPr>
          <w:rFonts w:ascii="Century" w:hAnsi="Century" w:cs="Miriam" w:hint="eastAsia"/>
          <w:b/>
          <w:spacing w:val="0"/>
          <w:szCs w:val="24"/>
          <w:rtl/>
        </w:rPr>
        <w:t>כך</w:t>
      </w:r>
      <w:r w:rsidRPr="00456C4A">
        <w:rPr>
          <w:rFonts w:ascii="Century" w:hAnsi="Century" w:cs="Miriam"/>
          <w:b/>
          <w:spacing w:val="0"/>
          <w:szCs w:val="24"/>
          <w:rtl/>
        </w:rPr>
        <w:t xml:space="preserve"> </w:t>
      </w:r>
      <w:r w:rsidRPr="00456C4A">
        <w:rPr>
          <w:rFonts w:ascii="Century" w:hAnsi="Century" w:cs="Miriam" w:hint="eastAsia"/>
          <w:b/>
          <w:spacing w:val="0"/>
          <w:szCs w:val="24"/>
          <w:rtl/>
        </w:rPr>
        <w:t>שימוש</w:t>
      </w:r>
      <w:r w:rsidRPr="00456C4A">
        <w:rPr>
          <w:rFonts w:ascii="Century" w:hAnsi="Century" w:cs="Miriam"/>
          <w:b/>
          <w:spacing w:val="0"/>
          <w:szCs w:val="24"/>
          <w:rtl/>
        </w:rPr>
        <w:t xml:space="preserve"> </w:t>
      </w:r>
      <w:r w:rsidRPr="00456C4A">
        <w:rPr>
          <w:rFonts w:ascii="Century" w:hAnsi="Century" w:cs="Miriam" w:hint="eastAsia"/>
          <w:b/>
          <w:spacing w:val="0"/>
          <w:szCs w:val="24"/>
          <w:rtl/>
        </w:rPr>
        <w:t>בסמכויותיה</w:t>
      </w:r>
      <w:r w:rsidRPr="00456C4A">
        <w:rPr>
          <w:rFonts w:ascii="Century" w:hAnsi="Century" w:cs="Miriam"/>
          <w:b/>
          <w:spacing w:val="0"/>
          <w:szCs w:val="24"/>
          <w:rtl/>
        </w:rPr>
        <w:t xml:space="preserve"> </w:t>
      </w:r>
      <w:r w:rsidRPr="00456C4A">
        <w:rPr>
          <w:rFonts w:ascii="Century" w:hAnsi="Century" w:cs="Miriam" w:hint="eastAsia"/>
          <w:b/>
          <w:spacing w:val="0"/>
          <w:szCs w:val="24"/>
          <w:rtl/>
        </w:rPr>
        <w:t>המכוננות</w:t>
      </w:r>
      <w:r w:rsidRPr="00456C4A">
        <w:rPr>
          <w:rFonts w:ascii="Century" w:hAnsi="Century" w:cs="Miriam"/>
          <w:b/>
          <w:spacing w:val="0"/>
          <w:szCs w:val="24"/>
          <w:rtl/>
        </w:rPr>
        <w:t xml:space="preserve">. </w:t>
      </w:r>
      <w:r w:rsidRPr="00456C4A">
        <w:rPr>
          <w:rFonts w:ascii="Century" w:hAnsi="Century" w:cs="Miriam" w:hint="eastAsia"/>
          <w:b/>
          <w:spacing w:val="0"/>
          <w:szCs w:val="24"/>
          <w:rtl/>
        </w:rPr>
        <w:t>זהו</w:t>
      </w:r>
      <w:r w:rsidRPr="00456C4A">
        <w:rPr>
          <w:rFonts w:ascii="Century" w:hAnsi="Century" w:cs="Miriam"/>
          <w:b/>
          <w:spacing w:val="0"/>
          <w:szCs w:val="24"/>
          <w:rtl/>
        </w:rPr>
        <w:t xml:space="preserve"> </w:t>
      </w:r>
      <w:r w:rsidRPr="00456C4A">
        <w:rPr>
          <w:rFonts w:ascii="Century" w:hAnsi="Century" w:cs="Miriam" w:hint="eastAsia"/>
          <w:b/>
          <w:spacing w:val="0"/>
          <w:szCs w:val="24"/>
          <w:rtl/>
        </w:rPr>
        <w:t>השינוי</w:t>
      </w:r>
      <w:r w:rsidRPr="00456C4A">
        <w:rPr>
          <w:rFonts w:ascii="Century" w:hAnsi="Century" w:cs="Miriam"/>
          <w:b/>
          <w:spacing w:val="0"/>
          <w:szCs w:val="24"/>
          <w:rtl/>
        </w:rPr>
        <w:t xml:space="preserve"> </w:t>
      </w:r>
      <w:r w:rsidRPr="00456C4A">
        <w:rPr>
          <w:rFonts w:ascii="Century" w:hAnsi="Century" w:cs="Miriam" w:hint="eastAsia"/>
          <w:b/>
          <w:spacing w:val="0"/>
          <w:szCs w:val="24"/>
          <w:rtl/>
        </w:rPr>
        <w:t>החוקתי</w:t>
      </w:r>
      <w:r w:rsidRPr="00456C4A">
        <w:rPr>
          <w:rFonts w:ascii="Century" w:hAnsi="Century" w:cs="Miriam"/>
          <w:b/>
          <w:spacing w:val="0"/>
          <w:szCs w:val="24"/>
          <w:rtl/>
        </w:rPr>
        <w:t xml:space="preserve"> </w:t>
      </w:r>
      <w:r w:rsidRPr="00456C4A">
        <w:rPr>
          <w:rFonts w:ascii="Century" w:hAnsi="Century" w:cs="Miriam" w:hint="eastAsia"/>
          <w:b/>
          <w:spacing w:val="0"/>
          <w:szCs w:val="24"/>
          <w:rtl/>
        </w:rPr>
        <w:t>הבסיסי</w:t>
      </w:r>
      <w:r w:rsidRPr="00456C4A">
        <w:rPr>
          <w:rFonts w:ascii="Century" w:hAnsi="Century" w:cs="Miriam"/>
          <w:b/>
          <w:spacing w:val="0"/>
          <w:szCs w:val="24"/>
          <w:rtl/>
        </w:rPr>
        <w:t xml:space="preserve">. </w:t>
      </w:r>
      <w:r w:rsidRPr="00456C4A">
        <w:rPr>
          <w:rFonts w:ascii="Century" w:hAnsi="Century" w:cs="Miriam" w:hint="eastAsia"/>
          <w:b/>
          <w:spacing w:val="0"/>
          <w:szCs w:val="24"/>
          <w:rtl/>
        </w:rPr>
        <w:t>לראשונה</w:t>
      </w:r>
      <w:r w:rsidRPr="00456C4A">
        <w:rPr>
          <w:rFonts w:ascii="Century" w:hAnsi="Century" w:cs="Miriam"/>
          <w:b/>
          <w:spacing w:val="0"/>
          <w:szCs w:val="24"/>
          <w:rtl/>
        </w:rPr>
        <w:t xml:space="preserve"> </w:t>
      </w:r>
      <w:r w:rsidRPr="00456C4A">
        <w:rPr>
          <w:rFonts w:ascii="Century" w:hAnsi="Century" w:cs="Miriam" w:hint="eastAsia"/>
          <w:b/>
          <w:spacing w:val="0"/>
          <w:szCs w:val="24"/>
          <w:rtl/>
        </w:rPr>
        <w:t>קבעה</w:t>
      </w:r>
      <w:r w:rsidRPr="00456C4A">
        <w:rPr>
          <w:rFonts w:ascii="Century" w:hAnsi="Century" w:cs="Miriam"/>
          <w:b/>
          <w:spacing w:val="0"/>
          <w:szCs w:val="24"/>
          <w:rtl/>
        </w:rPr>
        <w:t xml:space="preserve"> </w:t>
      </w:r>
      <w:r w:rsidRPr="00456C4A">
        <w:rPr>
          <w:rFonts w:ascii="Century" w:hAnsi="Century" w:cs="Miriam" w:hint="eastAsia"/>
          <w:b/>
          <w:spacing w:val="0"/>
          <w:szCs w:val="24"/>
          <w:rtl/>
        </w:rPr>
        <w:t>הכנסת</w:t>
      </w:r>
      <w:r w:rsidRPr="00456C4A">
        <w:rPr>
          <w:rFonts w:ascii="Century" w:hAnsi="Century" w:cs="Miriam"/>
          <w:b/>
          <w:spacing w:val="0"/>
          <w:szCs w:val="24"/>
          <w:rtl/>
        </w:rPr>
        <w:t xml:space="preserve">, </w:t>
      </w:r>
      <w:r w:rsidRPr="00456C4A">
        <w:rPr>
          <w:rFonts w:ascii="Century" w:hAnsi="Century" w:cs="Miriam" w:hint="eastAsia"/>
          <w:b/>
          <w:spacing w:val="0"/>
          <w:szCs w:val="24"/>
          <w:rtl/>
        </w:rPr>
        <w:t>במרץ</w:t>
      </w:r>
      <w:r w:rsidRPr="00456C4A">
        <w:rPr>
          <w:rFonts w:ascii="Century" w:hAnsi="Century" w:cs="Miriam"/>
          <w:b/>
          <w:spacing w:val="0"/>
          <w:szCs w:val="24"/>
          <w:rtl/>
        </w:rPr>
        <w:t xml:space="preserve"> 1992, </w:t>
      </w:r>
      <w:r w:rsidRPr="00456C4A">
        <w:rPr>
          <w:rFonts w:ascii="Century" w:hAnsi="Century" w:cs="Miriam" w:hint="eastAsia"/>
          <w:b/>
          <w:spacing w:val="0"/>
          <w:szCs w:val="24"/>
          <w:rtl/>
        </w:rPr>
        <w:t>מיגוון</w:t>
      </w:r>
      <w:r w:rsidRPr="00456C4A">
        <w:rPr>
          <w:rFonts w:ascii="Century" w:hAnsi="Century" w:cs="Miriam"/>
          <w:b/>
          <w:spacing w:val="0"/>
          <w:szCs w:val="24"/>
          <w:rtl/>
        </w:rPr>
        <w:t xml:space="preserve"> </w:t>
      </w:r>
      <w:r w:rsidRPr="00456C4A">
        <w:rPr>
          <w:rFonts w:ascii="Century" w:hAnsi="Century" w:cs="Miriam" w:hint="eastAsia"/>
          <w:b/>
          <w:spacing w:val="0"/>
          <w:szCs w:val="24"/>
          <w:rtl/>
        </w:rPr>
        <w:t>של</w:t>
      </w:r>
      <w:r w:rsidRPr="00456C4A">
        <w:rPr>
          <w:rFonts w:ascii="Century" w:hAnsi="Century" w:cs="Miriam"/>
          <w:b/>
          <w:spacing w:val="0"/>
          <w:szCs w:val="24"/>
          <w:rtl/>
        </w:rPr>
        <w:t xml:space="preserve"> </w:t>
      </w:r>
      <w:r w:rsidRPr="00456C4A">
        <w:rPr>
          <w:rFonts w:ascii="Century" w:hAnsi="Century" w:cs="Miriam" w:hint="eastAsia"/>
          <w:b/>
          <w:spacing w:val="0"/>
          <w:szCs w:val="24"/>
          <w:rtl/>
        </w:rPr>
        <w:t>זכויות</w:t>
      </w:r>
      <w:r w:rsidRPr="00456C4A">
        <w:rPr>
          <w:rFonts w:ascii="Century" w:hAnsi="Century" w:cs="Miriam"/>
          <w:b/>
          <w:spacing w:val="0"/>
          <w:szCs w:val="24"/>
          <w:rtl/>
        </w:rPr>
        <w:t xml:space="preserve"> </w:t>
      </w:r>
      <w:r w:rsidRPr="00456C4A">
        <w:rPr>
          <w:rFonts w:ascii="Century" w:hAnsi="Century" w:cs="Miriam" w:hint="eastAsia"/>
          <w:b/>
          <w:spacing w:val="0"/>
          <w:szCs w:val="24"/>
          <w:rtl/>
        </w:rPr>
        <w:t>אדם</w:t>
      </w:r>
      <w:r w:rsidRPr="00456C4A">
        <w:rPr>
          <w:rFonts w:ascii="Century" w:hAnsi="Century" w:cs="Miriam"/>
          <w:b/>
          <w:spacing w:val="0"/>
          <w:szCs w:val="24"/>
          <w:rtl/>
        </w:rPr>
        <w:t xml:space="preserve"> </w:t>
      </w:r>
      <w:r w:rsidRPr="00456C4A">
        <w:rPr>
          <w:rFonts w:ascii="Century" w:hAnsi="Century" w:cs="Miriam" w:hint="eastAsia"/>
          <w:b/>
          <w:spacing w:val="0"/>
          <w:szCs w:val="24"/>
          <w:rtl/>
        </w:rPr>
        <w:t>חוקתיות</w:t>
      </w:r>
      <w:r w:rsidRPr="00456C4A">
        <w:rPr>
          <w:rFonts w:ascii="Century" w:hAnsi="Century" w:cs="Miriam"/>
          <w:b/>
          <w:spacing w:val="0"/>
          <w:szCs w:val="24"/>
          <w:rtl/>
        </w:rPr>
        <w:t xml:space="preserve">, </w:t>
      </w:r>
      <w:r w:rsidRPr="00456C4A">
        <w:rPr>
          <w:rFonts w:ascii="Century" w:hAnsi="Century" w:cs="Miriam" w:hint="eastAsia"/>
          <w:b/>
          <w:spacing w:val="0"/>
          <w:szCs w:val="24"/>
          <w:rtl/>
        </w:rPr>
        <w:t>המגבילות</w:t>
      </w:r>
      <w:r w:rsidRPr="00456C4A">
        <w:rPr>
          <w:rFonts w:ascii="Century" w:hAnsi="Century" w:cs="Miriam"/>
          <w:b/>
          <w:spacing w:val="0"/>
          <w:szCs w:val="24"/>
          <w:rtl/>
        </w:rPr>
        <w:t xml:space="preserve"> </w:t>
      </w:r>
      <w:r w:rsidRPr="00456C4A">
        <w:rPr>
          <w:rFonts w:ascii="Century" w:hAnsi="Century" w:cs="Miriam" w:hint="eastAsia"/>
          <w:b/>
          <w:spacing w:val="0"/>
          <w:szCs w:val="24"/>
          <w:rtl/>
        </w:rPr>
        <w:t>את</w:t>
      </w:r>
      <w:r w:rsidRPr="00456C4A">
        <w:rPr>
          <w:rFonts w:ascii="Century" w:hAnsi="Century" w:cs="Miriam"/>
          <w:b/>
          <w:spacing w:val="0"/>
          <w:szCs w:val="24"/>
          <w:rtl/>
        </w:rPr>
        <w:t xml:space="preserve"> </w:t>
      </w:r>
      <w:r w:rsidRPr="00456C4A">
        <w:rPr>
          <w:rFonts w:ascii="Century" w:hAnsi="Century" w:cs="Miriam" w:hint="eastAsia"/>
          <w:b/>
          <w:spacing w:val="0"/>
          <w:szCs w:val="24"/>
          <w:rtl/>
        </w:rPr>
        <w:t>כוח</w:t>
      </w:r>
      <w:r w:rsidRPr="00456C4A">
        <w:rPr>
          <w:rFonts w:ascii="Century" w:hAnsi="Century" w:cs="Miriam"/>
          <w:b/>
          <w:spacing w:val="0"/>
          <w:szCs w:val="24"/>
          <w:rtl/>
        </w:rPr>
        <w:t xml:space="preserve"> </w:t>
      </w:r>
      <w:r w:rsidRPr="00456C4A">
        <w:rPr>
          <w:rFonts w:ascii="Century" w:hAnsi="Century" w:cs="Miriam" w:hint="eastAsia"/>
          <w:b/>
          <w:spacing w:val="0"/>
          <w:szCs w:val="24"/>
          <w:rtl/>
        </w:rPr>
        <w:t>החקיקה</w:t>
      </w:r>
      <w:r w:rsidRPr="00456C4A">
        <w:rPr>
          <w:rFonts w:ascii="Century" w:hAnsi="Century" w:cs="Miriam"/>
          <w:b/>
          <w:spacing w:val="0"/>
          <w:szCs w:val="24"/>
          <w:rtl/>
        </w:rPr>
        <w:t xml:space="preserve"> </w:t>
      </w:r>
      <w:r w:rsidRPr="00456C4A">
        <w:rPr>
          <w:rFonts w:ascii="Century" w:hAnsi="Century" w:cs="Miriam" w:hint="eastAsia"/>
          <w:b/>
          <w:spacing w:val="0"/>
          <w:szCs w:val="24"/>
          <w:rtl/>
        </w:rPr>
        <w:t>של</w:t>
      </w:r>
      <w:r w:rsidRPr="00456C4A">
        <w:rPr>
          <w:rFonts w:ascii="Century" w:hAnsi="Century" w:cs="Miriam"/>
          <w:b/>
          <w:spacing w:val="0"/>
          <w:szCs w:val="24"/>
          <w:rtl/>
        </w:rPr>
        <w:t xml:space="preserve"> </w:t>
      </w:r>
      <w:r w:rsidRPr="00456C4A">
        <w:rPr>
          <w:rFonts w:ascii="Century" w:hAnsi="Century" w:cs="Miriam" w:hint="eastAsia"/>
          <w:b/>
          <w:spacing w:val="0"/>
          <w:szCs w:val="24"/>
          <w:rtl/>
        </w:rPr>
        <w:t>הכנסת</w:t>
      </w:r>
      <w:r w:rsidRPr="00456C4A">
        <w:rPr>
          <w:rFonts w:ascii="Century" w:hAnsi="Century" w:cs="Miriam"/>
          <w:b/>
          <w:spacing w:val="0"/>
          <w:szCs w:val="24"/>
          <w:rtl/>
        </w:rPr>
        <w:t xml:space="preserve">, </w:t>
      </w:r>
      <w:r w:rsidRPr="00456C4A">
        <w:rPr>
          <w:rFonts w:ascii="Century" w:hAnsi="Century" w:cs="Miriam" w:hint="eastAsia"/>
          <w:b/>
          <w:spacing w:val="0"/>
          <w:szCs w:val="24"/>
          <w:rtl/>
        </w:rPr>
        <w:t>והמתנות</w:t>
      </w:r>
      <w:r w:rsidRPr="00456C4A">
        <w:rPr>
          <w:rFonts w:ascii="Century" w:hAnsi="Century" w:cs="Miriam"/>
          <w:b/>
          <w:spacing w:val="0"/>
          <w:szCs w:val="24"/>
          <w:rtl/>
        </w:rPr>
        <w:t xml:space="preserve"> </w:t>
      </w:r>
      <w:r w:rsidRPr="00456C4A">
        <w:rPr>
          <w:rFonts w:ascii="Century" w:hAnsi="Century" w:cs="Miriam" w:hint="eastAsia"/>
          <w:b/>
          <w:spacing w:val="0"/>
          <w:szCs w:val="24"/>
          <w:rtl/>
        </w:rPr>
        <w:t>פגיעה</w:t>
      </w:r>
      <w:r w:rsidRPr="00456C4A">
        <w:rPr>
          <w:rFonts w:ascii="Century" w:hAnsi="Century" w:cs="Miriam"/>
          <w:b/>
          <w:spacing w:val="0"/>
          <w:szCs w:val="24"/>
          <w:rtl/>
        </w:rPr>
        <w:t xml:space="preserve"> </w:t>
      </w:r>
      <w:r w:rsidRPr="00456C4A">
        <w:rPr>
          <w:rFonts w:ascii="Century" w:hAnsi="Century" w:cs="Miriam" w:hint="eastAsia"/>
          <w:b/>
          <w:spacing w:val="0"/>
          <w:szCs w:val="24"/>
          <w:rtl/>
        </w:rPr>
        <w:t>בהן</w:t>
      </w:r>
      <w:r w:rsidRPr="00456C4A">
        <w:rPr>
          <w:rFonts w:ascii="Century" w:hAnsi="Century" w:cs="Miriam"/>
          <w:b/>
          <w:spacing w:val="0"/>
          <w:szCs w:val="24"/>
          <w:rtl/>
        </w:rPr>
        <w:t xml:space="preserve"> </w:t>
      </w:r>
      <w:r w:rsidRPr="00456C4A">
        <w:rPr>
          <w:rFonts w:ascii="Century" w:hAnsi="Century" w:cs="Miriam" w:hint="eastAsia"/>
          <w:b/>
          <w:spacing w:val="0"/>
          <w:szCs w:val="24"/>
          <w:rtl/>
        </w:rPr>
        <w:t>בהגשמת</w:t>
      </w:r>
      <w:r w:rsidRPr="00456C4A">
        <w:rPr>
          <w:rFonts w:ascii="Century" w:hAnsi="Century" w:cs="Miriam"/>
          <w:b/>
          <w:spacing w:val="0"/>
          <w:szCs w:val="24"/>
          <w:rtl/>
        </w:rPr>
        <w:t xml:space="preserve"> </w:t>
      </w:r>
      <w:r w:rsidRPr="00456C4A">
        <w:rPr>
          <w:rFonts w:ascii="Century" w:hAnsi="Century" w:cs="Miriam" w:hint="eastAsia"/>
          <w:b/>
          <w:spacing w:val="0"/>
          <w:szCs w:val="24"/>
          <w:rtl/>
        </w:rPr>
        <w:t>ערכיה</w:t>
      </w:r>
      <w:r w:rsidRPr="00456C4A">
        <w:rPr>
          <w:rFonts w:ascii="Century" w:hAnsi="Century" w:cs="Miriam"/>
          <w:b/>
          <w:spacing w:val="0"/>
          <w:szCs w:val="24"/>
          <w:rtl/>
        </w:rPr>
        <w:t xml:space="preserve"> </w:t>
      </w:r>
      <w:r w:rsidRPr="00456C4A">
        <w:rPr>
          <w:rFonts w:ascii="Century" w:hAnsi="Century" w:cs="Miriam" w:hint="eastAsia"/>
          <w:b/>
          <w:spacing w:val="0"/>
          <w:szCs w:val="24"/>
          <w:rtl/>
        </w:rPr>
        <w:t>של</w:t>
      </w:r>
      <w:r w:rsidRPr="00456C4A">
        <w:rPr>
          <w:rFonts w:ascii="Century" w:hAnsi="Century" w:cs="Miriam"/>
          <w:b/>
          <w:spacing w:val="0"/>
          <w:szCs w:val="24"/>
          <w:rtl/>
        </w:rPr>
        <w:t xml:space="preserve"> </w:t>
      </w:r>
      <w:r w:rsidRPr="00456C4A">
        <w:rPr>
          <w:rFonts w:ascii="Century" w:hAnsi="Century" w:cs="Miriam" w:hint="eastAsia"/>
          <w:b/>
          <w:spacing w:val="0"/>
          <w:szCs w:val="24"/>
          <w:rtl/>
        </w:rPr>
        <w:t>מדינת</w:t>
      </w:r>
      <w:r w:rsidRPr="00456C4A">
        <w:rPr>
          <w:rFonts w:ascii="Century" w:hAnsi="Century" w:cs="Miriam"/>
          <w:b/>
          <w:spacing w:val="0"/>
          <w:szCs w:val="24"/>
          <w:rtl/>
        </w:rPr>
        <w:t xml:space="preserve"> </w:t>
      </w:r>
      <w:r w:rsidRPr="00456C4A">
        <w:rPr>
          <w:rFonts w:ascii="Century" w:hAnsi="Century" w:cs="Miriam" w:hint="eastAsia"/>
          <w:b/>
          <w:spacing w:val="0"/>
          <w:szCs w:val="24"/>
          <w:rtl/>
        </w:rPr>
        <w:t>ישראל</w:t>
      </w:r>
      <w:r w:rsidRPr="00456C4A">
        <w:rPr>
          <w:rFonts w:ascii="Century" w:hAnsi="Century" w:cs="Miriam"/>
          <w:b/>
          <w:spacing w:val="0"/>
          <w:szCs w:val="24"/>
          <w:rtl/>
        </w:rPr>
        <w:t xml:space="preserve"> </w:t>
      </w:r>
      <w:r w:rsidRPr="00456C4A">
        <w:rPr>
          <w:rFonts w:ascii="Century" w:hAnsi="Century" w:cs="Miriam" w:hint="eastAsia"/>
          <w:b/>
          <w:spacing w:val="0"/>
          <w:szCs w:val="24"/>
          <w:rtl/>
        </w:rPr>
        <w:t>כמדינה</w:t>
      </w:r>
      <w:r w:rsidRPr="00456C4A">
        <w:rPr>
          <w:rFonts w:ascii="Century" w:hAnsi="Century" w:cs="Miriam"/>
          <w:b/>
          <w:spacing w:val="0"/>
          <w:szCs w:val="24"/>
          <w:rtl/>
        </w:rPr>
        <w:t xml:space="preserve"> </w:t>
      </w:r>
      <w:r w:rsidRPr="00456C4A">
        <w:rPr>
          <w:rFonts w:ascii="Century" w:hAnsi="Century" w:cs="Miriam" w:hint="eastAsia"/>
          <w:b/>
          <w:spacing w:val="0"/>
          <w:szCs w:val="24"/>
          <w:rtl/>
        </w:rPr>
        <w:t>יהודית</w:t>
      </w:r>
      <w:r w:rsidRPr="00456C4A">
        <w:rPr>
          <w:rFonts w:ascii="Century" w:hAnsi="Century" w:cs="Miriam"/>
          <w:b/>
          <w:spacing w:val="0"/>
          <w:szCs w:val="24"/>
          <w:rtl/>
        </w:rPr>
        <w:t xml:space="preserve"> </w:t>
      </w:r>
      <w:r w:rsidRPr="00456C4A">
        <w:rPr>
          <w:rFonts w:ascii="Century" w:hAnsi="Century" w:cs="Miriam" w:hint="eastAsia"/>
          <w:b/>
          <w:spacing w:val="0"/>
          <w:szCs w:val="24"/>
          <w:rtl/>
        </w:rPr>
        <w:t>ודמוקרטית</w:t>
      </w:r>
      <w:r w:rsidRPr="00456C4A">
        <w:rPr>
          <w:rFonts w:ascii="Century" w:hAnsi="Century" w:cs="Miriam" w:hint="cs"/>
          <w:b/>
          <w:spacing w:val="0"/>
          <w:szCs w:val="24"/>
          <w:rtl/>
        </w:rPr>
        <w:t>"</w:t>
      </w:r>
      <w:r>
        <w:rPr>
          <w:rFonts w:hint="cs"/>
          <w:rtl/>
        </w:rPr>
        <w:t xml:space="preserve"> (שם, בעמ' 356)</w:t>
      </w:r>
      <w:r w:rsidRPr="00456C4A">
        <w:rPr>
          <w:rtl/>
        </w:rPr>
        <w:t>.</w:t>
      </w:r>
      <w:r>
        <w:rPr>
          <w:rFonts w:hint="cs"/>
          <w:rtl/>
        </w:rPr>
        <w:t xml:space="preserve"> הנשיא </w:t>
      </w:r>
      <w:r w:rsidRPr="0003361A">
        <w:rPr>
          <w:rFonts w:ascii="Century" w:hAnsi="Century" w:cs="Miriam" w:hint="cs"/>
          <w:b/>
          <w:spacing w:val="0"/>
          <w:sz w:val="22"/>
          <w:szCs w:val="24"/>
          <w:rtl/>
        </w:rPr>
        <w:t>ברק</w:t>
      </w:r>
      <w:r>
        <w:rPr>
          <w:rFonts w:hint="cs"/>
          <w:rtl/>
        </w:rPr>
        <w:t xml:space="preserve"> מדגיש כי הכנסת ב</w:t>
      </w:r>
      <w:r w:rsidRPr="00456C4A">
        <w:rPr>
          <w:rFonts w:ascii="Century" w:hAnsi="Century" w:cs="Miriam" w:hint="cs"/>
          <w:b/>
          <w:spacing w:val="0"/>
          <w:szCs w:val="24"/>
          <w:rtl/>
        </w:rPr>
        <w:t>"</w:t>
      </w:r>
      <w:r w:rsidRPr="00456C4A">
        <w:rPr>
          <w:rFonts w:ascii="Century" w:hAnsi="Century" w:cs="Miriam" w:hint="eastAsia"/>
          <w:b/>
          <w:spacing w:val="0"/>
          <w:szCs w:val="24"/>
          <w:rtl/>
        </w:rPr>
        <w:t>סמכויות</w:t>
      </w:r>
      <w:r w:rsidRPr="00456C4A">
        <w:rPr>
          <w:rFonts w:ascii="Century" w:hAnsi="Century" w:cs="Miriam"/>
          <w:b/>
          <w:spacing w:val="0"/>
          <w:szCs w:val="24"/>
          <w:rtl/>
        </w:rPr>
        <w:t xml:space="preserve"> </w:t>
      </w:r>
      <w:r w:rsidRPr="00456C4A">
        <w:rPr>
          <w:rFonts w:ascii="Century" w:hAnsi="Century" w:cs="Miriam" w:hint="eastAsia"/>
          <w:b/>
          <w:spacing w:val="0"/>
          <w:szCs w:val="24"/>
          <w:rtl/>
        </w:rPr>
        <w:t>החקיקה</w:t>
      </w:r>
      <w:r w:rsidRPr="00456C4A">
        <w:rPr>
          <w:rFonts w:ascii="Century" w:hAnsi="Century" w:cs="Miriam"/>
          <w:b/>
          <w:spacing w:val="0"/>
          <w:szCs w:val="24"/>
          <w:rtl/>
        </w:rPr>
        <w:t xml:space="preserve"> </w:t>
      </w:r>
      <w:r w:rsidRPr="00456C4A">
        <w:rPr>
          <w:rFonts w:ascii="Century" w:hAnsi="Century" w:cs="Miriam" w:hint="eastAsia"/>
          <w:b/>
          <w:spacing w:val="0"/>
          <w:szCs w:val="24"/>
          <w:rtl/>
        </w:rPr>
        <w:t>שלה</w:t>
      </w:r>
      <w:r w:rsidRPr="00456C4A">
        <w:rPr>
          <w:rFonts w:ascii="Century" w:hAnsi="Century" w:cs="Miriam"/>
          <w:b/>
          <w:spacing w:val="0"/>
          <w:szCs w:val="24"/>
          <w:rtl/>
        </w:rPr>
        <w:t xml:space="preserve">, </w:t>
      </w:r>
      <w:r w:rsidRPr="00456C4A">
        <w:rPr>
          <w:rFonts w:ascii="Century" w:hAnsi="Century" w:cs="Miriam" w:hint="eastAsia"/>
          <w:b/>
          <w:spacing w:val="0"/>
          <w:szCs w:val="24"/>
          <w:rtl/>
        </w:rPr>
        <w:t>שוב</w:t>
      </w:r>
      <w:r w:rsidRPr="00456C4A">
        <w:rPr>
          <w:rFonts w:ascii="Century" w:hAnsi="Century" w:cs="Miriam"/>
          <w:b/>
          <w:spacing w:val="0"/>
          <w:szCs w:val="24"/>
          <w:rtl/>
        </w:rPr>
        <w:t xml:space="preserve"> </w:t>
      </w:r>
      <w:r w:rsidRPr="00456C4A">
        <w:rPr>
          <w:rFonts w:ascii="Century" w:hAnsi="Century" w:cs="Miriam" w:hint="eastAsia"/>
          <w:b/>
          <w:spacing w:val="0"/>
          <w:szCs w:val="24"/>
          <w:rtl/>
        </w:rPr>
        <w:t>אינה</w:t>
      </w:r>
      <w:r w:rsidRPr="00456C4A">
        <w:rPr>
          <w:rFonts w:ascii="Century" w:hAnsi="Century" w:cs="Miriam"/>
          <w:b/>
          <w:spacing w:val="0"/>
          <w:szCs w:val="24"/>
          <w:rtl/>
        </w:rPr>
        <w:t xml:space="preserve"> </w:t>
      </w:r>
      <w:r w:rsidRPr="00456C4A">
        <w:rPr>
          <w:rFonts w:ascii="Century" w:hAnsi="Century" w:cs="Miriam" w:hint="eastAsia"/>
          <w:b/>
          <w:spacing w:val="0"/>
          <w:szCs w:val="24"/>
          <w:rtl/>
        </w:rPr>
        <w:t>כול</w:t>
      </w:r>
      <w:r w:rsidRPr="00456C4A">
        <w:rPr>
          <w:rFonts w:ascii="Century" w:hAnsi="Century" w:cs="Miriam"/>
          <w:b/>
          <w:spacing w:val="0"/>
          <w:szCs w:val="24"/>
          <w:rtl/>
        </w:rPr>
        <w:t xml:space="preserve"> </w:t>
      </w:r>
      <w:r w:rsidRPr="00456C4A">
        <w:rPr>
          <w:rFonts w:ascii="Century" w:hAnsi="Century" w:cs="Miriam" w:hint="eastAsia"/>
          <w:b/>
          <w:spacing w:val="0"/>
          <w:szCs w:val="24"/>
          <w:rtl/>
        </w:rPr>
        <w:t>יכולה</w:t>
      </w:r>
      <w:r>
        <w:rPr>
          <w:rFonts w:hint="cs"/>
          <w:rtl/>
        </w:rPr>
        <w:t xml:space="preserve">". 'מכלל לאו אתה שומע הן', הכנסת בכובעה כ'רשות מחוקקת' </w:t>
      </w:r>
      <w:r>
        <w:rPr>
          <w:rtl/>
        </w:rPr>
        <w:t>–</w:t>
      </w:r>
      <w:r>
        <w:rPr>
          <w:rFonts w:hint="cs"/>
          <w:rtl/>
        </w:rPr>
        <w:t xml:space="preserve"> מוגבלת. הכנסת בכובעה כ'רשות מכוננת' </w:t>
      </w:r>
      <w:r>
        <w:rPr>
          <w:rtl/>
        </w:rPr>
        <w:t>–</w:t>
      </w:r>
      <w:r>
        <w:rPr>
          <w:rFonts w:hint="cs"/>
          <w:rtl/>
        </w:rPr>
        <w:t xml:space="preserve"> לא ולא. </w:t>
      </w:r>
    </w:p>
    <w:p w:rsidR="00EB02E1" w:rsidRPr="004915F3" w:rsidRDefault="00EB02E1" w:rsidP="00EB02E1">
      <w:pPr>
        <w:pStyle w:val="Ruller41"/>
      </w:pPr>
    </w:p>
    <w:p w:rsidR="00EB02E1" w:rsidRDefault="00EB02E1" w:rsidP="00EB02E1">
      <w:pPr>
        <w:pStyle w:val="Ruller4"/>
        <w:textAlignment w:val="auto"/>
        <w:rPr>
          <w:rtl/>
        </w:rPr>
      </w:pPr>
      <w:r>
        <w:rPr>
          <w:rtl/>
        </w:rPr>
        <w:t xml:space="preserve">הארכתי </w:t>
      </w:r>
      <w:r>
        <w:rPr>
          <w:rFonts w:hint="cs"/>
          <w:rtl/>
        </w:rPr>
        <w:t>קמעא</w:t>
      </w:r>
      <w:r>
        <w:rPr>
          <w:rtl/>
        </w:rPr>
        <w:t xml:space="preserve"> בדברים, </w:t>
      </w:r>
      <w:r>
        <w:rPr>
          <w:rFonts w:hint="cs"/>
          <w:rtl/>
        </w:rPr>
        <w:t xml:space="preserve">וזאת משני טעמים: האחד </w:t>
      </w:r>
      <w:r>
        <w:rPr>
          <w:rtl/>
        </w:rPr>
        <w:t>–</w:t>
      </w:r>
      <w:r>
        <w:rPr>
          <w:rFonts w:hint="cs"/>
          <w:rtl/>
        </w:rPr>
        <w:t xml:space="preserve"> כדי להתריע: מקור סמכות אינו עניין שבית המשפט דש בו בעקביו. לא נוכל להסתפק בהצעות מן הגורן ומן היקב ולדלג הלאה. אין קיצורי-דרך הַיְשֵר אל תוצאה, גם אם הלב חפץ באמת ובתמים לתקן ולא לעוות. סמכות היא מוּשׂכּל ראשון; בלעדיה </w:t>
      </w:r>
      <w:r>
        <w:rPr>
          <w:rtl/>
        </w:rPr>
        <w:t>–</w:t>
      </w:r>
      <w:r>
        <w:rPr>
          <w:rFonts w:hint="cs"/>
          <w:rtl/>
        </w:rPr>
        <w:t xml:space="preserve"> איִין (כאמור בפסקאות 5-1 לחוות דעתו של חברי השופט </w:t>
      </w:r>
      <w:r w:rsidRPr="00795013">
        <w:rPr>
          <w:rFonts w:ascii="Century" w:hAnsi="Century" w:cs="Miriam" w:hint="cs"/>
          <w:b/>
          <w:spacing w:val="0"/>
          <w:sz w:val="22"/>
          <w:szCs w:val="24"/>
          <w:rtl/>
        </w:rPr>
        <w:t>ד' מינץ</w:t>
      </w:r>
      <w:r>
        <w:rPr>
          <w:rFonts w:hint="cs"/>
          <w:rtl/>
        </w:rPr>
        <w:t xml:space="preserve">). השני </w:t>
      </w:r>
      <w:r>
        <w:rPr>
          <w:rtl/>
        </w:rPr>
        <w:t>–</w:t>
      </w:r>
      <w:r>
        <w:rPr>
          <w:rFonts w:hint="cs"/>
          <w:rtl/>
        </w:rPr>
        <w:t xml:space="preserve"> מחמת</w:t>
      </w:r>
      <w:r>
        <w:rPr>
          <w:rtl/>
        </w:rPr>
        <w:t xml:space="preserve"> חשיבותם של דברי ראשונים </w:t>
      </w:r>
      <w:r>
        <w:rPr>
          <w:rFonts w:hint="cs"/>
          <w:rtl/>
        </w:rPr>
        <w:t xml:space="preserve">(יש עוד רבים כמותם, אך לא רציתי להוסיף ולהלאות...). </w:t>
      </w:r>
      <w:r>
        <w:rPr>
          <w:rtl/>
        </w:rPr>
        <w:t xml:space="preserve">שבעת הנשיאים הראשונים של בית משפט זה, הנשיא השמיני בראשית דרכו השיפוטית, יחד עמם סיעה נכבדה של שופטים </w:t>
      </w:r>
      <w:r>
        <w:rPr>
          <w:rtl/>
        </w:rPr>
        <w:lastRenderedPageBreak/>
        <w:t xml:space="preserve">שכיהנו </w:t>
      </w:r>
      <w:r>
        <w:rPr>
          <w:rFonts w:hint="cs"/>
          <w:rtl/>
        </w:rPr>
        <w:t xml:space="preserve">כאן </w:t>
      </w:r>
      <w:r>
        <w:rPr>
          <w:rtl/>
        </w:rPr>
        <w:t>עשרות בשנים</w:t>
      </w:r>
      <w:r>
        <w:rPr>
          <w:rFonts w:hint="cs"/>
          <w:rtl/>
        </w:rPr>
        <w:t>,</w:t>
      </w:r>
      <w:r>
        <w:rPr>
          <w:rtl/>
        </w:rPr>
        <w:t xml:space="preserve"> ועל תורתם אנו נשענים, כולם כאחד כמו מורים לנו באצבע: הסירו ידכם מחקיקת</w:t>
      </w:r>
      <w:r>
        <w:rPr>
          <w:rFonts w:hint="cs"/>
          <w:rtl/>
        </w:rPr>
        <w:t>-</w:t>
      </w:r>
      <w:r>
        <w:rPr>
          <w:rtl/>
        </w:rPr>
        <w:t>היסוד של מדינת ישראל</w:t>
      </w:r>
      <w:r>
        <w:rPr>
          <w:rFonts w:hint="cs"/>
          <w:rtl/>
        </w:rPr>
        <w:t>!</w:t>
      </w:r>
      <w:r>
        <w:rPr>
          <w:rtl/>
        </w:rPr>
        <w:t xml:space="preserve"> </w:t>
      </w:r>
    </w:p>
    <w:p w:rsidR="00EB02E1" w:rsidRDefault="00EB02E1" w:rsidP="00EB02E1">
      <w:pPr>
        <w:pStyle w:val="Ruller4"/>
        <w:numPr>
          <w:ilvl w:val="0"/>
          <w:numId w:val="0"/>
        </w:numPr>
        <w:spacing w:line="240" w:lineRule="auto"/>
      </w:pPr>
    </w:p>
    <w:p w:rsidR="00EB02E1" w:rsidRPr="00BC5F89" w:rsidRDefault="00EB02E1" w:rsidP="00EB02E1">
      <w:pPr>
        <w:pStyle w:val="Ruller4"/>
        <w:textAlignment w:val="auto"/>
        <w:rPr>
          <w:rtl/>
        </w:rPr>
      </w:pPr>
      <w:r>
        <w:rPr>
          <w:rtl/>
        </w:rPr>
        <w:t xml:space="preserve">אכן, בהרכב השופטים הנוכחי – רבו עלי חברותי וחברַי; מה שהיה בעבר כמעט מובן מאליו – </w:t>
      </w:r>
      <w:r>
        <w:rPr>
          <w:rFonts w:hint="cs"/>
          <w:rtl/>
        </w:rPr>
        <w:t>שוב איננו נחלת הכלל</w:t>
      </w:r>
      <w:r>
        <w:rPr>
          <w:rtl/>
        </w:rPr>
        <w:t>.</w:t>
      </w:r>
      <w:r>
        <w:rPr>
          <w:rFonts w:hint="cs"/>
          <w:rtl/>
        </w:rPr>
        <w:t xml:space="preserve"> כשלעצמי, עודני</w:t>
      </w:r>
      <w:r>
        <w:rPr>
          <w:rtl/>
        </w:rPr>
        <w:t xml:space="preserve"> </w:t>
      </w:r>
      <w:r>
        <w:rPr>
          <w:rFonts w:hint="cs"/>
          <w:rtl/>
        </w:rPr>
        <w:t xml:space="preserve">נאמן </w:t>
      </w:r>
      <w:r>
        <w:rPr>
          <w:rtl/>
        </w:rPr>
        <w:t xml:space="preserve">לדרכם של ראשונים, </w:t>
      </w:r>
      <w:r>
        <w:rPr>
          <w:rFonts w:hint="cs"/>
          <w:rtl/>
        </w:rPr>
        <w:t xml:space="preserve">על סמך נימוקיהם. </w:t>
      </w:r>
      <w:r>
        <w:rPr>
          <w:rtl/>
        </w:rPr>
        <w:t>ממשנתם לא סטיתי</w:t>
      </w:r>
      <w:r>
        <w:rPr>
          <w:rFonts w:hint="cs"/>
          <w:rtl/>
        </w:rPr>
        <w:t>, מהִלכתם לא נטיתי</w:t>
      </w:r>
      <w:r>
        <w:rPr>
          <w:rtl/>
        </w:rPr>
        <w:t xml:space="preserve">; </w:t>
      </w:r>
      <w:r>
        <w:rPr>
          <w:rFonts w:ascii="Century" w:hAnsi="Century" w:cs="Miriam"/>
          <w:b/>
          <w:spacing w:val="0"/>
          <w:szCs w:val="24"/>
          <w:rtl/>
        </w:rPr>
        <w:t>"כל הַמְּשַׁנֶּה ידו על התחתונה, וכל החוזר בו ידו על התחתונה"</w:t>
      </w:r>
      <w:r>
        <w:rPr>
          <w:rtl/>
        </w:rPr>
        <w:t xml:space="preserve"> </w:t>
      </w:r>
      <w:r>
        <w:rPr>
          <w:rFonts w:ascii="Century" w:hAnsi="Century"/>
          <w:rtl/>
        </w:rPr>
        <w:t>(משנה, בבא</w:t>
      </w:r>
      <w:r>
        <w:rPr>
          <w:rFonts w:ascii="Century" w:hAnsi="Century" w:hint="cs"/>
          <w:rtl/>
        </w:rPr>
        <w:t xml:space="preserve"> </w:t>
      </w:r>
      <w:r>
        <w:rPr>
          <w:rFonts w:ascii="Century" w:hAnsi="Century"/>
          <w:rtl/>
        </w:rPr>
        <w:t>מציעא ו, ב).</w:t>
      </w:r>
      <w:r>
        <w:rPr>
          <w:rFonts w:ascii="Century" w:hAnsi="Century" w:hint="cs"/>
          <w:rtl/>
        </w:rPr>
        <w:t xml:space="preserve"> לוּ נשמעה דעתי, היינו מורים על דחיית העתירות.</w:t>
      </w:r>
      <w:r>
        <w:rPr>
          <w:rFonts w:ascii="Century" w:hAnsi="Century"/>
          <w:rtl/>
        </w:rPr>
        <w:t xml:space="preserve"> </w:t>
      </w:r>
    </w:p>
    <w:p w:rsidR="00EB02E1" w:rsidRDefault="00EB02E1" w:rsidP="00EB02E1">
      <w:pPr>
        <w:pStyle w:val="Ruller4"/>
        <w:numPr>
          <w:ilvl w:val="0"/>
          <w:numId w:val="0"/>
        </w:numPr>
        <w:rPr>
          <w:rtl/>
        </w:rPr>
      </w:pPr>
    </w:p>
    <w:p w:rsidR="00EB02E1" w:rsidRPr="00E22628" w:rsidRDefault="00EB02E1" w:rsidP="00EB02E1">
      <w:pPr>
        <w:pStyle w:val="2"/>
        <w:rPr>
          <w:rtl/>
        </w:rPr>
      </w:pPr>
      <w:bookmarkStart w:id="42" w:name="_Toc154942587"/>
      <w:bookmarkStart w:id="43" w:name="_Toc154944409"/>
      <w:bookmarkStart w:id="44" w:name="_Toc154947519"/>
      <w:r w:rsidRPr="00E22628">
        <w:rPr>
          <w:rFonts w:ascii="Century" w:hAnsi="Century" w:cs="Miriam" w:hint="eastAsia"/>
          <w:b/>
          <w:color w:val="auto"/>
          <w:sz w:val="22"/>
          <w:szCs w:val="24"/>
          <w:rtl/>
        </w:rPr>
        <w:t>המילה</w:t>
      </w:r>
      <w:r w:rsidRPr="00E22628">
        <w:rPr>
          <w:rFonts w:ascii="Century" w:hAnsi="Century" w:cs="Miriam"/>
          <w:b/>
          <w:color w:val="auto"/>
          <w:sz w:val="22"/>
          <w:szCs w:val="24"/>
          <w:rtl/>
        </w:rPr>
        <w:t xml:space="preserve"> </w:t>
      </w:r>
      <w:r w:rsidRPr="00E22628">
        <w:rPr>
          <w:rFonts w:ascii="Century" w:hAnsi="Century" w:cs="Miriam" w:hint="eastAsia"/>
          <w:b/>
          <w:color w:val="auto"/>
          <w:sz w:val="22"/>
          <w:szCs w:val="24"/>
          <w:rtl/>
        </w:rPr>
        <w:t>האחרונה</w:t>
      </w:r>
      <w:r w:rsidRPr="00E22628">
        <w:rPr>
          <w:rFonts w:ascii="Century" w:hAnsi="Century" w:cs="Miriam"/>
          <w:b/>
          <w:color w:val="auto"/>
          <w:sz w:val="22"/>
          <w:szCs w:val="24"/>
          <w:rtl/>
        </w:rPr>
        <w:t xml:space="preserve">; </w:t>
      </w:r>
      <w:r w:rsidRPr="00E22628">
        <w:rPr>
          <w:rFonts w:ascii="Century" w:hAnsi="Century" w:cs="Miriam" w:hint="eastAsia"/>
          <w:b/>
          <w:color w:val="auto"/>
          <w:sz w:val="22"/>
          <w:szCs w:val="24"/>
          <w:rtl/>
        </w:rPr>
        <w:t>למי</w:t>
      </w:r>
      <w:r w:rsidRPr="00E22628">
        <w:rPr>
          <w:rFonts w:ascii="Century" w:hAnsi="Century" w:cs="Miriam"/>
          <w:b/>
          <w:color w:val="auto"/>
          <w:sz w:val="22"/>
          <w:szCs w:val="24"/>
          <w:rtl/>
        </w:rPr>
        <w:t xml:space="preserve"> </w:t>
      </w:r>
      <w:r w:rsidRPr="00E22628">
        <w:rPr>
          <w:rFonts w:ascii="Century" w:hAnsi="Century" w:cs="Miriam" w:hint="eastAsia"/>
          <w:b/>
          <w:color w:val="auto"/>
          <w:sz w:val="22"/>
          <w:szCs w:val="24"/>
          <w:rtl/>
        </w:rPr>
        <w:t>ולמה</w:t>
      </w:r>
      <w:bookmarkEnd w:id="42"/>
      <w:bookmarkEnd w:id="43"/>
      <w:bookmarkEnd w:id="44"/>
    </w:p>
    <w:p w:rsidR="00EB02E1" w:rsidRDefault="00EB02E1" w:rsidP="00EB02E1">
      <w:pPr>
        <w:pStyle w:val="Ruller4"/>
        <w:textAlignment w:val="auto"/>
        <w:rPr>
          <w:rtl/>
        </w:rPr>
      </w:pPr>
      <w:r>
        <w:rPr>
          <w:rFonts w:hint="cs"/>
          <w:rtl/>
        </w:rPr>
        <w:t xml:space="preserve">להלכה </w:t>
      </w:r>
      <w:r>
        <w:rPr>
          <w:rtl/>
        </w:rPr>
        <w:t>–</w:t>
      </w:r>
      <w:r>
        <w:rPr>
          <w:rFonts w:hint="cs"/>
          <w:rtl/>
        </w:rPr>
        <w:t xml:space="preserve"> עד כאן חוות דעתי; תחילה וסוף, ולא עוד.</w:t>
      </w:r>
    </w:p>
    <w:p w:rsidR="00EB02E1" w:rsidRPr="00CB7EE3" w:rsidRDefault="00EB02E1" w:rsidP="00EB02E1">
      <w:pPr>
        <w:pStyle w:val="Ruller41"/>
      </w:pPr>
    </w:p>
    <w:p w:rsidR="00EB02E1" w:rsidRDefault="00EB02E1" w:rsidP="00EB02E1">
      <w:pPr>
        <w:pStyle w:val="Ruller4"/>
        <w:numPr>
          <w:ilvl w:val="0"/>
          <w:numId w:val="0"/>
        </w:numPr>
        <w:rPr>
          <w:rtl/>
        </w:rPr>
      </w:pPr>
      <w:r>
        <w:rPr>
          <w:rtl/>
        </w:rPr>
        <w:tab/>
      </w:r>
      <w:r>
        <w:rPr>
          <w:rFonts w:hint="cs"/>
          <w:rtl/>
        </w:rPr>
        <w:t xml:space="preserve">למעשה </w:t>
      </w:r>
      <w:r>
        <w:rPr>
          <w:rtl/>
        </w:rPr>
        <w:t>–</w:t>
      </w:r>
      <w:r>
        <w:rPr>
          <w:rFonts w:hint="cs"/>
          <w:rtl/>
        </w:rPr>
        <w:t xml:space="preserve"> אני נגרר כמעט בעל-כורחי בּעִקבֵי חברַי וחברותי... למקרא חווֹת הדעת שכתבו, על החידושים המפליגים הכלולים בחלקן, וכדי שלא תתפרש שתיקה כהודאה, אפרט להלן ואסביר את עיקרי הסתייגויותי. הזמן קצר, המלאכה מרובה, ולא היה סיפּק בידי להתייחס לכל עניין חשוב שעלה בדברי חברַי. קיימתי אפוא בעצמי את דברי חכמינו: </w:t>
      </w:r>
      <w:r w:rsidRPr="00F8685E">
        <w:rPr>
          <w:rFonts w:ascii="Century" w:hAnsi="Century" w:cs="Miriam" w:hint="cs"/>
          <w:b/>
          <w:spacing w:val="0"/>
          <w:sz w:val="22"/>
          <w:szCs w:val="24"/>
          <w:rtl/>
        </w:rPr>
        <w:t>"</w:t>
      </w:r>
      <w:r w:rsidRPr="00F8685E">
        <w:rPr>
          <w:rFonts w:ascii="Century" w:hAnsi="Century" w:cs="Miriam" w:hint="eastAsia"/>
          <w:b/>
          <w:spacing w:val="0"/>
          <w:sz w:val="22"/>
          <w:szCs w:val="24"/>
          <w:rtl/>
        </w:rPr>
        <w:t>לא</w:t>
      </w:r>
      <w:r w:rsidRPr="00F8685E">
        <w:rPr>
          <w:rFonts w:ascii="Century" w:hAnsi="Century" w:cs="Miriam"/>
          <w:b/>
          <w:spacing w:val="0"/>
          <w:sz w:val="22"/>
          <w:szCs w:val="24"/>
          <w:rtl/>
        </w:rPr>
        <w:t xml:space="preserve"> </w:t>
      </w:r>
      <w:r w:rsidRPr="00F8685E">
        <w:rPr>
          <w:rFonts w:ascii="Century" w:hAnsi="Century" w:cs="Miriam" w:hint="eastAsia"/>
          <w:b/>
          <w:spacing w:val="0"/>
          <w:sz w:val="22"/>
          <w:szCs w:val="24"/>
          <w:rtl/>
        </w:rPr>
        <w:t>עליך</w:t>
      </w:r>
      <w:r w:rsidRPr="00F8685E">
        <w:rPr>
          <w:rFonts w:ascii="Century" w:hAnsi="Century" w:cs="Miriam"/>
          <w:b/>
          <w:spacing w:val="0"/>
          <w:sz w:val="22"/>
          <w:szCs w:val="24"/>
          <w:rtl/>
        </w:rPr>
        <w:t xml:space="preserve"> </w:t>
      </w:r>
      <w:r w:rsidRPr="00F8685E">
        <w:rPr>
          <w:rFonts w:ascii="Century" w:hAnsi="Century" w:cs="Miriam" w:hint="eastAsia"/>
          <w:b/>
          <w:spacing w:val="0"/>
          <w:sz w:val="22"/>
          <w:szCs w:val="24"/>
          <w:rtl/>
        </w:rPr>
        <w:t>המלאכה</w:t>
      </w:r>
      <w:r w:rsidRPr="00F8685E">
        <w:rPr>
          <w:rFonts w:ascii="Century" w:hAnsi="Century" w:cs="Miriam"/>
          <w:b/>
          <w:spacing w:val="0"/>
          <w:sz w:val="22"/>
          <w:szCs w:val="24"/>
          <w:rtl/>
        </w:rPr>
        <w:t xml:space="preserve"> </w:t>
      </w:r>
      <w:r w:rsidRPr="00F8685E">
        <w:rPr>
          <w:rFonts w:ascii="Century" w:hAnsi="Century" w:cs="Miriam" w:hint="eastAsia"/>
          <w:b/>
          <w:spacing w:val="0"/>
          <w:sz w:val="22"/>
          <w:szCs w:val="24"/>
          <w:rtl/>
        </w:rPr>
        <w:t>לגמור</w:t>
      </w:r>
      <w:r w:rsidRPr="00F8685E">
        <w:rPr>
          <w:rFonts w:ascii="Century" w:hAnsi="Century" w:cs="Miriam"/>
          <w:b/>
          <w:spacing w:val="0"/>
          <w:sz w:val="22"/>
          <w:szCs w:val="24"/>
          <w:rtl/>
        </w:rPr>
        <w:t xml:space="preserve">, </w:t>
      </w:r>
      <w:r w:rsidRPr="00F8685E">
        <w:rPr>
          <w:rFonts w:ascii="Century" w:hAnsi="Century" w:cs="Miriam" w:hint="eastAsia"/>
          <w:b/>
          <w:spacing w:val="0"/>
          <w:sz w:val="22"/>
          <w:szCs w:val="24"/>
          <w:rtl/>
        </w:rPr>
        <w:t>ולא</w:t>
      </w:r>
      <w:r w:rsidRPr="00F8685E">
        <w:rPr>
          <w:rFonts w:ascii="Century" w:hAnsi="Century" w:cs="Miriam"/>
          <w:b/>
          <w:spacing w:val="0"/>
          <w:sz w:val="22"/>
          <w:szCs w:val="24"/>
          <w:rtl/>
        </w:rPr>
        <w:t xml:space="preserve"> </w:t>
      </w:r>
      <w:r w:rsidRPr="00F8685E">
        <w:rPr>
          <w:rFonts w:ascii="Century" w:hAnsi="Century" w:cs="Miriam" w:hint="eastAsia"/>
          <w:b/>
          <w:spacing w:val="0"/>
          <w:sz w:val="22"/>
          <w:szCs w:val="24"/>
          <w:rtl/>
        </w:rPr>
        <w:t>אתה</w:t>
      </w:r>
      <w:r w:rsidRPr="00F8685E">
        <w:rPr>
          <w:rFonts w:ascii="Century" w:hAnsi="Century" w:cs="Miriam"/>
          <w:b/>
          <w:spacing w:val="0"/>
          <w:sz w:val="22"/>
          <w:szCs w:val="24"/>
          <w:rtl/>
        </w:rPr>
        <w:t xml:space="preserve"> </w:t>
      </w:r>
      <w:r w:rsidRPr="00F8685E">
        <w:rPr>
          <w:rFonts w:ascii="Century" w:hAnsi="Century" w:cs="Miriam" w:hint="eastAsia"/>
          <w:b/>
          <w:spacing w:val="0"/>
          <w:sz w:val="22"/>
          <w:szCs w:val="24"/>
          <w:rtl/>
        </w:rPr>
        <w:t>בן</w:t>
      </w:r>
      <w:r w:rsidRPr="00F8685E">
        <w:rPr>
          <w:rFonts w:ascii="Century" w:hAnsi="Century" w:cs="Miriam"/>
          <w:b/>
          <w:spacing w:val="0"/>
          <w:sz w:val="22"/>
          <w:szCs w:val="24"/>
          <w:rtl/>
        </w:rPr>
        <w:t xml:space="preserve"> </w:t>
      </w:r>
      <w:r w:rsidRPr="00F8685E">
        <w:rPr>
          <w:rFonts w:ascii="Century" w:hAnsi="Century" w:cs="Miriam" w:hint="eastAsia"/>
          <w:b/>
          <w:spacing w:val="0"/>
          <w:sz w:val="22"/>
          <w:szCs w:val="24"/>
          <w:rtl/>
        </w:rPr>
        <w:t>חורין</w:t>
      </w:r>
      <w:r w:rsidRPr="00F8685E">
        <w:rPr>
          <w:rFonts w:ascii="Century" w:hAnsi="Century" w:cs="Miriam"/>
          <w:b/>
          <w:spacing w:val="0"/>
          <w:sz w:val="22"/>
          <w:szCs w:val="24"/>
          <w:rtl/>
        </w:rPr>
        <w:t xml:space="preserve"> </w:t>
      </w:r>
      <w:r w:rsidRPr="00F8685E">
        <w:rPr>
          <w:rFonts w:ascii="Century" w:hAnsi="Century" w:cs="Miriam" w:hint="eastAsia"/>
          <w:b/>
          <w:spacing w:val="0"/>
          <w:sz w:val="22"/>
          <w:szCs w:val="24"/>
          <w:rtl/>
        </w:rPr>
        <w:t>ליבטל</w:t>
      </w:r>
      <w:r w:rsidRPr="00F8685E">
        <w:rPr>
          <w:rFonts w:ascii="Century" w:hAnsi="Century" w:cs="Miriam"/>
          <w:b/>
          <w:spacing w:val="0"/>
          <w:sz w:val="22"/>
          <w:szCs w:val="24"/>
          <w:rtl/>
        </w:rPr>
        <w:t xml:space="preserve"> </w:t>
      </w:r>
      <w:r w:rsidRPr="00F8685E">
        <w:rPr>
          <w:rFonts w:ascii="Century" w:hAnsi="Century" w:cs="Miriam" w:hint="eastAsia"/>
          <w:b/>
          <w:spacing w:val="0"/>
          <w:sz w:val="22"/>
          <w:szCs w:val="24"/>
          <w:rtl/>
        </w:rPr>
        <w:t>ממנה</w:t>
      </w:r>
      <w:r w:rsidRPr="00F8685E">
        <w:rPr>
          <w:rFonts w:ascii="Century" w:hAnsi="Century" w:cs="Miriam" w:hint="cs"/>
          <w:b/>
          <w:spacing w:val="0"/>
          <w:sz w:val="22"/>
          <w:szCs w:val="24"/>
          <w:rtl/>
        </w:rPr>
        <w:t>"</w:t>
      </w:r>
      <w:r>
        <w:rPr>
          <w:rFonts w:hint="cs"/>
          <w:rtl/>
        </w:rPr>
        <w:t xml:space="preserve"> (משנה, אבות ב, טז).</w:t>
      </w:r>
    </w:p>
    <w:p w:rsidR="00EB02E1" w:rsidRDefault="00EB02E1" w:rsidP="00EB02E1">
      <w:pPr>
        <w:pStyle w:val="Ruller4"/>
        <w:numPr>
          <w:ilvl w:val="0"/>
          <w:numId w:val="0"/>
        </w:numPr>
      </w:pPr>
    </w:p>
    <w:p w:rsidR="00EB02E1" w:rsidRDefault="00EB02E1" w:rsidP="00EB02E1">
      <w:pPr>
        <w:pStyle w:val="Ruller4"/>
        <w:rPr>
          <w:rtl/>
        </w:rPr>
      </w:pPr>
      <w:r>
        <w:rPr>
          <w:rFonts w:hint="cs"/>
          <w:rtl/>
        </w:rPr>
        <w:t xml:space="preserve">אבקש תחילה לחדד לעצמנו את השאלה המרכזית המונחת לפִתחנו. נוח יותר  למסגר את השאלה כ-'אקדמית', תיאורטית: שאלת מעמדה של הרשות המכוננת בשנת התשפ"ד-2024, אל מול מגילת העצמאות, או אל מול 'ערכי-יסוד' כאלה ואחרים. ברם, ההכרח בל יגונה, אין מנוס מפיזור הערפל, והצבת השאלה האמיתית שעל הפרק, היא שאלת 'המילה האחרונה': האם זו נתונה לעם, באמצעות נציגיו הנבחרים, או שמא היא מצויה בידי שופטי בית המשפט העליון? כתב על כך, בימים ראשונים, המלומד </w:t>
      </w:r>
      <w:r w:rsidRPr="0024031B">
        <w:rPr>
          <w:rFonts w:ascii="Century" w:hAnsi="Century" w:cs="Miriam" w:hint="eastAsia"/>
          <w:b/>
          <w:spacing w:val="0"/>
          <w:sz w:val="22"/>
          <w:szCs w:val="24"/>
          <w:rtl/>
        </w:rPr>
        <w:t>מ</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שטרנברג</w:t>
      </w:r>
      <w:r>
        <w:rPr>
          <w:rFonts w:hint="cs"/>
          <w:rtl/>
        </w:rPr>
        <w:t xml:space="preserve">: </w:t>
      </w:r>
      <w:r w:rsidRPr="0024031B">
        <w:rPr>
          <w:rFonts w:ascii="Century" w:hAnsi="Century" w:cs="Miriam"/>
          <w:b/>
          <w:spacing w:val="0"/>
          <w:sz w:val="22"/>
          <w:szCs w:val="24"/>
          <w:rtl/>
        </w:rPr>
        <w:t>"</w:t>
      </w:r>
      <w:r w:rsidRPr="0024031B">
        <w:rPr>
          <w:rFonts w:ascii="Century" w:hAnsi="Century" w:cs="Miriam" w:hint="eastAsia"/>
          <w:b/>
          <w:spacing w:val="0"/>
          <w:sz w:val="22"/>
          <w:szCs w:val="24"/>
          <w:rtl/>
        </w:rPr>
        <w:t>עתים</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אתה</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מוצא</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התנגשות</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שמתגלעת</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במדינה</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בין</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הפרלמנט</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לבין</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בית</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המשפט</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או</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בין</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הפרלמנט</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לבין</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החוקה</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אינה</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אלא</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מאבק</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לזכות</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בסמכות</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של</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נורמה</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בסיסית</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במדינה</w:t>
      </w:r>
      <w:r>
        <w:rPr>
          <w:rFonts w:ascii="Century" w:hAnsi="Century" w:cs="Miriam" w:hint="cs"/>
          <w:b/>
          <w:spacing w:val="0"/>
          <w:sz w:val="22"/>
          <w:szCs w:val="24"/>
          <w:rtl/>
        </w:rPr>
        <w:t>"</w:t>
      </w:r>
      <w:r>
        <w:rPr>
          <w:rFonts w:hint="cs"/>
          <w:rtl/>
        </w:rPr>
        <w:t xml:space="preserve"> (משה שטרנברג "הנורמה הבסיסית של המשפט בישראל" </w:t>
      </w:r>
      <w:r w:rsidRPr="0024031B">
        <w:rPr>
          <w:rFonts w:ascii="Century" w:hAnsi="Century" w:cs="Miriam" w:hint="eastAsia"/>
          <w:b/>
          <w:spacing w:val="0"/>
          <w:sz w:val="22"/>
          <w:szCs w:val="24"/>
          <w:rtl/>
        </w:rPr>
        <w:t>הפרקליט</w:t>
      </w:r>
      <w:r>
        <w:rPr>
          <w:rFonts w:hint="cs"/>
          <w:rtl/>
        </w:rPr>
        <w:t xml:space="preserve"> ט 129, 134 (תשי"ט)). </w:t>
      </w:r>
    </w:p>
    <w:p w:rsidR="00EB02E1" w:rsidRPr="00421FB2" w:rsidRDefault="00EB02E1" w:rsidP="00EB02E1">
      <w:pPr>
        <w:pStyle w:val="Ruller41"/>
      </w:pPr>
    </w:p>
    <w:p w:rsidR="00EB02E1" w:rsidRDefault="00EB02E1" w:rsidP="00EB02E1">
      <w:pPr>
        <w:pStyle w:val="Ruller4"/>
        <w:rPr>
          <w:rtl/>
        </w:rPr>
      </w:pPr>
      <w:r>
        <w:rPr>
          <w:rFonts w:hint="cs"/>
          <w:rtl/>
        </w:rPr>
        <w:t xml:space="preserve">קביעה לפיה קיימת הגבלה כלשהי על סמכותה של הרשות המכוננת, וכי לבית משפט זה נתונה סמכות לאכוף הגבלה זו, מבטלת 'דה פקטו' את היסוד הדמוקרטי הבסיסי, של ריבונות העם באמצעות נציגיו הנבחרים. קביעתם של חברַי, מאפשרת לבית </w:t>
      </w:r>
      <w:r>
        <w:rPr>
          <w:rFonts w:hint="cs"/>
          <w:rtl/>
        </w:rPr>
        <w:lastRenderedPageBreak/>
        <w:t xml:space="preserve">המשפט לבטל נורמה חוקתית עליונה, גם אם נחקקה פה אחד, על-ידי 120 חברי הרשות המכוננת, המייצגים את העם כולו, למגדול ועד קטן. בתהליך של פיחות זוחל, הלכה הדמוקרטיה ה'מהותית' ונגסה אט-אט בדמוקרטיה ה'פורמלית', שהוכרזה כמיושנת, ככזו שאבד עליה הכּלח. מגמה זו אינה מקובלת עלי. גם אם נקבל כי הדמוקרטיה ה'מהותית', בדמות 'ערכי-היסוד של השיטה', היא 'נשמת-אפה' של הדמוקרטיה, הרי שאותה 'נשמה', זקוקה לגוף חי, נושם, יוצר, תוסס, שבקִרבּו היא יכולה להתפתח. דמוקרטיה, במובנה הבסיסי והפשוט, המאפשרת ל'עם שבשדות' לומר את דברוֹ; גם את 'המילה האחרונה'. </w:t>
      </w:r>
    </w:p>
    <w:p w:rsidR="00EB02E1" w:rsidRPr="00C24D3B" w:rsidRDefault="00EB02E1" w:rsidP="00EB02E1">
      <w:pPr>
        <w:pStyle w:val="Ruller41"/>
        <w:rPr>
          <w:rtl/>
        </w:rPr>
      </w:pPr>
    </w:p>
    <w:p w:rsidR="00EB02E1" w:rsidRDefault="00EB02E1" w:rsidP="00EB02E1">
      <w:pPr>
        <w:pStyle w:val="Ruller4"/>
        <w:numPr>
          <w:ilvl w:val="0"/>
          <w:numId w:val="0"/>
        </w:numPr>
        <w:rPr>
          <w:rtl/>
        </w:rPr>
      </w:pPr>
      <w:r>
        <w:rPr>
          <w:rtl/>
        </w:rPr>
        <w:tab/>
      </w:r>
      <w:r>
        <w:rPr>
          <w:rFonts w:hint="cs"/>
          <w:rtl/>
        </w:rPr>
        <w:t xml:space="preserve">זוהי התורה כולה על רגל אחת, ואידך </w:t>
      </w:r>
      <w:r>
        <w:rPr>
          <w:rtl/>
        </w:rPr>
        <w:t>–</w:t>
      </w:r>
      <w:r>
        <w:rPr>
          <w:rFonts w:hint="cs"/>
          <w:rtl/>
        </w:rPr>
        <w:t xml:space="preserve"> פירושא הוא, זיל גמור!</w:t>
      </w:r>
    </w:p>
    <w:p w:rsidR="00EB02E1" w:rsidRDefault="00EB02E1" w:rsidP="00EB02E1">
      <w:pPr>
        <w:rPr>
          <w:rFonts w:cs="Miriam"/>
          <w:b/>
          <w:sz w:val="22"/>
          <w:rtl/>
        </w:rPr>
      </w:pPr>
    </w:p>
    <w:p w:rsidR="00EB02E1" w:rsidRPr="00E22628" w:rsidRDefault="00EB02E1" w:rsidP="00EB02E1">
      <w:pPr>
        <w:pStyle w:val="2"/>
        <w:rPr>
          <w:rtl/>
        </w:rPr>
      </w:pPr>
      <w:bookmarkStart w:id="45" w:name="_Toc154942588"/>
      <w:bookmarkStart w:id="46" w:name="_Toc154944410"/>
      <w:bookmarkStart w:id="47" w:name="_Toc154947520"/>
      <w:r w:rsidRPr="00E22628">
        <w:rPr>
          <w:rFonts w:ascii="Century" w:hAnsi="Century" w:cs="Miriam" w:hint="eastAsia"/>
          <w:b/>
          <w:color w:val="auto"/>
          <w:sz w:val="22"/>
          <w:szCs w:val="24"/>
          <w:rtl/>
        </w:rPr>
        <w:t>מגילת</w:t>
      </w:r>
      <w:r w:rsidRPr="00E22628">
        <w:rPr>
          <w:rFonts w:ascii="Century" w:hAnsi="Century" w:cs="Miriam"/>
          <w:b/>
          <w:color w:val="auto"/>
          <w:sz w:val="22"/>
          <w:szCs w:val="24"/>
          <w:rtl/>
        </w:rPr>
        <w:t xml:space="preserve"> </w:t>
      </w:r>
      <w:r w:rsidRPr="00E22628">
        <w:rPr>
          <w:rFonts w:ascii="Century" w:hAnsi="Century" w:cs="Miriam" w:hint="eastAsia"/>
          <w:b/>
          <w:color w:val="auto"/>
          <w:sz w:val="22"/>
          <w:szCs w:val="24"/>
          <w:rtl/>
        </w:rPr>
        <w:t>העצמאות</w:t>
      </w:r>
      <w:bookmarkEnd w:id="45"/>
      <w:bookmarkEnd w:id="46"/>
      <w:bookmarkEnd w:id="47"/>
    </w:p>
    <w:p w:rsidR="00EB02E1" w:rsidRDefault="00EB02E1" w:rsidP="00EB02E1">
      <w:pPr>
        <w:pStyle w:val="Ruller4"/>
        <w:rPr>
          <w:rtl/>
        </w:rPr>
      </w:pPr>
      <w:r w:rsidRPr="00C24D3B">
        <w:rPr>
          <w:rFonts w:ascii="Century" w:hAnsi="Century" w:cs="Miriam" w:hint="cs"/>
          <w:b/>
          <w:spacing w:val="0"/>
          <w:sz w:val="22"/>
          <w:szCs w:val="24"/>
          <w:rtl/>
        </w:rPr>
        <w:t>"</w:t>
      </w:r>
      <w:r w:rsidRPr="00C24D3B">
        <w:rPr>
          <w:rFonts w:ascii="Century" w:hAnsi="Century" w:cs="Miriam"/>
          <w:b/>
          <w:spacing w:val="0"/>
          <w:sz w:val="22"/>
          <w:szCs w:val="24"/>
          <w:rtl/>
        </w:rPr>
        <w:t>מגילת העצמאות הריהי ככתר מלכות על ראשנו</w:t>
      </w:r>
      <w:r w:rsidRPr="00C24D3B">
        <w:rPr>
          <w:rFonts w:ascii="Century" w:hAnsi="Century" w:cs="Miriam" w:hint="cs"/>
          <w:b/>
          <w:spacing w:val="0"/>
          <w:sz w:val="22"/>
          <w:szCs w:val="24"/>
          <w:rtl/>
        </w:rPr>
        <w:t>"</w:t>
      </w:r>
      <w:r>
        <w:rPr>
          <w:rFonts w:hint="cs"/>
          <w:color w:val="000000"/>
          <w:sz w:val="27"/>
          <w:szCs w:val="27"/>
          <w:rtl/>
        </w:rPr>
        <w:t xml:space="preserve"> (כך אמרתי לאחרונה </w:t>
      </w:r>
      <w:r>
        <w:rPr>
          <w:rFonts w:hint="cs"/>
          <w:rtl/>
        </w:rPr>
        <w:t>ב</w:t>
      </w:r>
      <w:r w:rsidRPr="00C24D3B">
        <w:rPr>
          <w:rFonts w:hint="eastAsia"/>
          <w:rtl/>
        </w:rPr>
        <w:t>בג</w:t>
      </w:r>
      <w:r w:rsidRPr="00C24D3B">
        <w:rPr>
          <w:rtl/>
        </w:rPr>
        <w:t>"</w:t>
      </w:r>
      <w:r w:rsidRPr="00C24D3B">
        <w:rPr>
          <w:rFonts w:hint="eastAsia"/>
          <w:rtl/>
        </w:rPr>
        <w:t>ץ</w:t>
      </w:r>
      <w:r w:rsidRPr="00C24D3B">
        <w:rPr>
          <w:rtl/>
        </w:rPr>
        <w:t xml:space="preserve"> 5119/23 </w:t>
      </w:r>
      <w:r w:rsidRPr="00C24D3B">
        <w:rPr>
          <w:rFonts w:ascii="Century" w:hAnsi="Century" w:cs="Miriam" w:hint="eastAsia"/>
          <w:b/>
          <w:spacing w:val="0"/>
          <w:sz w:val="22"/>
          <w:szCs w:val="24"/>
          <w:rtl/>
        </w:rPr>
        <w:t>התנועה</w:t>
      </w:r>
      <w:r w:rsidRPr="00C24D3B">
        <w:rPr>
          <w:rFonts w:ascii="Century" w:hAnsi="Century" w:cs="Miriam"/>
          <w:b/>
          <w:spacing w:val="0"/>
          <w:sz w:val="22"/>
          <w:szCs w:val="24"/>
          <w:rtl/>
        </w:rPr>
        <w:t xml:space="preserve"> </w:t>
      </w:r>
      <w:r w:rsidRPr="00C24D3B">
        <w:rPr>
          <w:rFonts w:ascii="Century" w:hAnsi="Century" w:cs="Miriam" w:hint="eastAsia"/>
          <w:b/>
          <w:spacing w:val="0"/>
          <w:sz w:val="22"/>
          <w:szCs w:val="24"/>
          <w:rtl/>
        </w:rPr>
        <w:t>לטוהר</w:t>
      </w:r>
      <w:r w:rsidRPr="00C24D3B">
        <w:rPr>
          <w:rFonts w:ascii="Century" w:hAnsi="Century" w:cs="Miriam"/>
          <w:b/>
          <w:spacing w:val="0"/>
          <w:sz w:val="22"/>
          <w:szCs w:val="24"/>
          <w:rtl/>
        </w:rPr>
        <w:t xml:space="preserve"> </w:t>
      </w:r>
      <w:r w:rsidRPr="00C24D3B">
        <w:rPr>
          <w:rFonts w:ascii="Century" w:hAnsi="Century" w:cs="Miriam" w:hint="eastAsia"/>
          <w:b/>
          <w:spacing w:val="0"/>
          <w:sz w:val="22"/>
          <w:szCs w:val="24"/>
          <w:rtl/>
        </w:rPr>
        <w:t>המידות</w:t>
      </w:r>
      <w:r w:rsidRPr="00C24D3B">
        <w:rPr>
          <w:rFonts w:ascii="Century" w:hAnsi="Century" w:cs="Miriam"/>
          <w:b/>
          <w:spacing w:val="0"/>
          <w:sz w:val="22"/>
          <w:szCs w:val="24"/>
          <w:rtl/>
        </w:rPr>
        <w:t xml:space="preserve"> </w:t>
      </w:r>
      <w:r w:rsidRPr="00C24D3B">
        <w:rPr>
          <w:rFonts w:ascii="Century" w:hAnsi="Century" w:cs="Miriam" w:hint="eastAsia"/>
          <w:b/>
          <w:spacing w:val="0"/>
          <w:sz w:val="22"/>
          <w:szCs w:val="24"/>
          <w:rtl/>
        </w:rPr>
        <w:t>נ</w:t>
      </w:r>
      <w:r w:rsidRPr="00C24D3B">
        <w:rPr>
          <w:rFonts w:ascii="Century" w:hAnsi="Century" w:cs="Miriam"/>
          <w:b/>
          <w:spacing w:val="0"/>
          <w:sz w:val="22"/>
          <w:szCs w:val="24"/>
          <w:rtl/>
        </w:rPr>
        <w:t xml:space="preserve">' </w:t>
      </w:r>
      <w:r w:rsidRPr="00C24D3B">
        <w:rPr>
          <w:rFonts w:ascii="Century" w:hAnsi="Century" w:cs="Miriam" w:hint="eastAsia"/>
          <w:b/>
          <w:spacing w:val="0"/>
          <w:sz w:val="22"/>
          <w:szCs w:val="24"/>
          <w:rtl/>
        </w:rPr>
        <w:t>הכנסת</w:t>
      </w:r>
      <w:r>
        <w:rPr>
          <w:rFonts w:hint="cs"/>
          <w:rtl/>
        </w:rPr>
        <w:t xml:space="preserve">, פסקה 40 </w:t>
      </w:r>
      <w:r w:rsidRPr="00C24D3B">
        <w:rPr>
          <w:rtl/>
        </w:rPr>
        <w:t>(26.10.2023)</w:t>
      </w:r>
      <w:r>
        <w:rPr>
          <w:rFonts w:hint="cs"/>
          <w:rtl/>
        </w:rPr>
        <w:t xml:space="preserve"> </w:t>
      </w:r>
      <w:r>
        <w:rPr>
          <w:rtl/>
        </w:rPr>
        <w:t>(</w:t>
      </w:r>
      <w:r>
        <w:rPr>
          <w:rFonts w:hint="eastAsia"/>
          <w:rtl/>
        </w:rPr>
        <w:t>להלן</w:t>
      </w:r>
      <w:r>
        <w:rPr>
          <w:rtl/>
        </w:rPr>
        <w:t xml:space="preserve">: </w:t>
      </w:r>
      <w:r>
        <w:rPr>
          <w:rFonts w:ascii="Century" w:hAnsi="Century" w:cs="Miriam" w:hint="cs"/>
          <w:b/>
          <w:spacing w:val="0"/>
          <w:sz w:val="22"/>
          <w:szCs w:val="24"/>
          <w:rtl/>
        </w:rPr>
        <w:t>עניין טבריה</w:t>
      </w:r>
      <w:r>
        <w:rPr>
          <w:rFonts w:hint="cs"/>
          <w:rtl/>
        </w:rPr>
        <w:t xml:space="preserve">); </w:t>
      </w:r>
      <w:r>
        <w:rPr>
          <w:rFonts w:ascii="Century" w:hAnsi="Century" w:cs="Miriam"/>
          <w:b/>
          <w:spacing w:val="0"/>
          <w:sz w:val="22"/>
          <w:szCs w:val="24"/>
          <w:rtl/>
        </w:rPr>
        <w:t>"במידה שהיא 'מבטאה את חזון העם ואת האני-מאמין שלו' [...], מחובתנו לשים את לבנו לדברים שהוצהרו בה, בשעה שאנו באים לפרש ולתת מובן לחוקי המדינה"</w:t>
      </w:r>
      <w:r>
        <w:rPr>
          <w:rFonts w:ascii="Century" w:hAnsi="Century" w:cs="Miriam" w:hint="cs"/>
          <w:b/>
          <w:spacing w:val="0"/>
          <w:sz w:val="22"/>
          <w:szCs w:val="24"/>
          <w:rtl/>
        </w:rPr>
        <w:t xml:space="preserve"> </w:t>
      </w:r>
      <w:r w:rsidRPr="008B250A">
        <w:rPr>
          <w:rFonts w:ascii="Century" w:hAnsi="Century" w:hint="cs"/>
          <w:sz w:val="22"/>
          <w:rtl/>
        </w:rPr>
        <w:t>(</w:t>
      </w:r>
      <w:r>
        <w:rPr>
          <w:rFonts w:ascii="Century" w:hAnsi="Century" w:hint="cs"/>
          <w:sz w:val="22"/>
          <w:rtl/>
        </w:rPr>
        <w:t xml:space="preserve">דברי השופט </w:t>
      </w:r>
      <w:r w:rsidRPr="00C24D3B">
        <w:rPr>
          <w:rFonts w:ascii="Century" w:hAnsi="Century" w:cs="Miriam" w:hint="cs"/>
          <w:b/>
          <w:spacing w:val="0"/>
          <w:sz w:val="22"/>
          <w:szCs w:val="24"/>
          <w:rtl/>
        </w:rPr>
        <w:t>ש' אגרנט</w:t>
      </w:r>
      <w:r>
        <w:rPr>
          <w:rFonts w:ascii="Century" w:hAnsi="Century" w:hint="cs"/>
          <w:sz w:val="22"/>
          <w:rtl/>
        </w:rPr>
        <w:t xml:space="preserve">, בעניין </w:t>
      </w:r>
      <w:r w:rsidRPr="00C24D3B">
        <w:rPr>
          <w:rFonts w:ascii="Century" w:hAnsi="Century" w:cs="Miriam" w:hint="cs"/>
          <w:b/>
          <w:spacing w:val="0"/>
          <w:sz w:val="22"/>
          <w:szCs w:val="24"/>
          <w:rtl/>
        </w:rPr>
        <w:t>קול העם</w:t>
      </w:r>
      <w:r>
        <w:rPr>
          <w:rFonts w:ascii="Century" w:hAnsi="Century" w:hint="cs"/>
          <w:sz w:val="22"/>
          <w:rtl/>
        </w:rPr>
        <w:t>)</w:t>
      </w:r>
      <w:r>
        <w:rPr>
          <w:rFonts w:hint="cs"/>
          <w:rtl/>
        </w:rPr>
        <w:t xml:space="preserve">. על דברים אלו, דומני </w:t>
      </w:r>
      <w:r>
        <w:rPr>
          <w:rtl/>
        </w:rPr>
        <w:t>–</w:t>
      </w:r>
      <w:r>
        <w:rPr>
          <w:rFonts w:hint="cs"/>
          <w:rtl/>
        </w:rPr>
        <w:t xml:space="preserve"> אין עוררין. אך מכאן, ועד למסקנה כי נורמה על-חוקתית לפנינו, 'פסקת נצחיות', המאפשרת למגילת העצמאות לגבוֹר, דה-פקטו, אף על חוקי-היסוד עצמם </w:t>
      </w:r>
      <w:r>
        <w:rPr>
          <w:rtl/>
        </w:rPr>
        <w:t>–</w:t>
      </w:r>
      <w:r>
        <w:rPr>
          <w:rFonts w:hint="cs"/>
          <w:rtl/>
        </w:rPr>
        <w:t xml:space="preserve"> רחוקה הדרך עד מאוד. </w:t>
      </w:r>
    </w:p>
    <w:p w:rsidR="00EB02E1" w:rsidRDefault="00EB02E1" w:rsidP="00EB02E1">
      <w:pPr>
        <w:pStyle w:val="Ruller41"/>
        <w:rPr>
          <w:rtl/>
        </w:rPr>
      </w:pPr>
    </w:p>
    <w:p w:rsidR="00EB02E1" w:rsidRDefault="00EB02E1" w:rsidP="00EB02E1">
      <w:pPr>
        <w:pStyle w:val="Ruller4"/>
        <w:rPr>
          <w:rtl/>
        </w:rPr>
      </w:pPr>
      <w:r>
        <w:rPr>
          <w:rFonts w:hint="cs"/>
          <w:rtl/>
        </w:rPr>
        <w:t xml:space="preserve">בפסק הדין בעניין </w:t>
      </w:r>
      <w:r w:rsidRPr="006E0ED9">
        <w:rPr>
          <w:rFonts w:ascii="Century" w:hAnsi="Century" w:cs="Miriam" w:hint="cs"/>
          <w:b/>
          <w:spacing w:val="0"/>
          <w:sz w:val="22"/>
          <w:szCs w:val="24"/>
          <w:rtl/>
        </w:rPr>
        <w:t>טבריה</w:t>
      </w:r>
      <w:r>
        <w:rPr>
          <w:rFonts w:hint="cs"/>
          <w:rtl/>
        </w:rPr>
        <w:t xml:space="preserve">, העליתי כמה סימני-שאלה, בעקבות גישה חדשנית, אף מהפכנית, שהביע שם חברי השופט </w:t>
      </w:r>
      <w:r w:rsidRPr="006E0ED9">
        <w:rPr>
          <w:rFonts w:ascii="Century" w:hAnsi="Century" w:cs="Miriam" w:hint="cs"/>
          <w:b/>
          <w:spacing w:val="0"/>
          <w:sz w:val="22"/>
          <w:szCs w:val="24"/>
          <w:rtl/>
        </w:rPr>
        <w:t>א' שטיין</w:t>
      </w:r>
      <w:r>
        <w:rPr>
          <w:rFonts w:hint="cs"/>
          <w:rtl/>
        </w:rPr>
        <w:t xml:space="preserve">, בקובעו </w:t>
      </w:r>
      <w:r w:rsidRPr="006E0ED9">
        <w:rPr>
          <w:rFonts w:ascii="Century" w:hAnsi="Century" w:cs="Miriam" w:hint="cs"/>
          <w:b/>
          <w:spacing w:val="0"/>
          <w:sz w:val="22"/>
          <w:szCs w:val="24"/>
          <w:rtl/>
        </w:rPr>
        <w:t>"כי חוקי הכנסת לעולם כפופים לגבולותיה של סמכות החקיקה הכללית אשר נקבעה בהכרזת העצמאות"</w:t>
      </w:r>
      <w:r>
        <w:rPr>
          <w:rFonts w:hint="cs"/>
          <w:rtl/>
        </w:rPr>
        <w:t xml:space="preserve"> (פסקה 17 לחוות דעתו בעניין </w:t>
      </w:r>
      <w:r w:rsidRPr="006E0ED9">
        <w:rPr>
          <w:rFonts w:ascii="Century" w:hAnsi="Century" w:cs="Miriam" w:hint="cs"/>
          <w:b/>
          <w:spacing w:val="0"/>
          <w:sz w:val="22"/>
          <w:szCs w:val="24"/>
          <w:rtl/>
        </w:rPr>
        <w:t>טבריה</w:t>
      </w:r>
      <w:r>
        <w:rPr>
          <w:rFonts w:hint="cs"/>
          <w:rtl/>
        </w:rPr>
        <w:t xml:space="preserve">). </w:t>
      </w:r>
      <w:r w:rsidRPr="006E0ED9">
        <w:rPr>
          <w:rFonts w:ascii="FrankRuehl" w:hAnsi="FrankRuehl" w:hint="cs"/>
          <w:color w:val="000000"/>
          <w:sz w:val="28"/>
          <w:rtl/>
        </w:rPr>
        <w:t xml:space="preserve">קביעה זו </w:t>
      </w:r>
      <w:r w:rsidRPr="006E0ED9">
        <w:rPr>
          <w:rFonts w:ascii="FrankRuehl" w:hAnsi="FrankRuehl"/>
          <w:color w:val="000000"/>
          <w:sz w:val="28"/>
          <w:rtl/>
        </w:rPr>
        <w:t xml:space="preserve">מעוררת שורה של קשיים חמוּרים, במישור הפרשני, ההיסטורי, העיוני והמעשי. כך למשל, </w:t>
      </w:r>
      <w:r w:rsidRPr="006E0ED9">
        <w:rPr>
          <w:rFonts w:ascii="FrankRuehl" w:hAnsi="FrankRuehl" w:hint="cs"/>
          <w:color w:val="000000"/>
          <w:sz w:val="28"/>
          <w:rtl/>
        </w:rPr>
        <w:t xml:space="preserve">תהיתי שם (פסקה 38) </w:t>
      </w:r>
      <w:r w:rsidRPr="006E0ED9">
        <w:rPr>
          <w:rFonts w:ascii="FrankRuehl" w:hAnsi="FrankRuehl"/>
          <w:color w:val="000000"/>
          <w:sz w:val="28"/>
          <w:rtl/>
        </w:rPr>
        <w:t xml:space="preserve">כיצד מתיישבת קביעתו </w:t>
      </w:r>
      <w:r>
        <w:rPr>
          <w:rFonts w:ascii="FrankRuehl" w:hAnsi="FrankRuehl" w:hint="cs"/>
          <w:color w:val="000000"/>
          <w:sz w:val="28"/>
          <w:rtl/>
        </w:rPr>
        <w:t xml:space="preserve">של חברי </w:t>
      </w:r>
      <w:r w:rsidRPr="006E0ED9">
        <w:rPr>
          <w:rFonts w:ascii="FrankRuehl" w:hAnsi="FrankRuehl"/>
          <w:color w:val="000000"/>
          <w:sz w:val="28"/>
          <w:rtl/>
        </w:rPr>
        <w:t xml:space="preserve">עם הוראת ההכרזה עצמה, על כינון חוקה עתידית על-ידי אסיפה מכוננת נבחרת? האמנם </w:t>
      </w:r>
      <w:r>
        <w:rPr>
          <w:rFonts w:ascii="FrankRuehl" w:hAnsi="FrankRuehl" w:hint="cs"/>
          <w:color w:val="000000"/>
          <w:sz w:val="28"/>
          <w:rtl/>
        </w:rPr>
        <w:t xml:space="preserve">עולה </w:t>
      </w:r>
      <w:r w:rsidRPr="006E0ED9">
        <w:rPr>
          <w:rFonts w:ascii="FrankRuehl" w:hAnsi="FrankRuehl"/>
          <w:color w:val="000000"/>
          <w:sz w:val="28"/>
          <w:rtl/>
        </w:rPr>
        <w:t>קביעתו בקנה אחד עם האופן שבו חותמי מגילת העצמאות תפסו את תפקידם וראו את פ</w:t>
      </w:r>
      <w:r>
        <w:rPr>
          <w:rFonts w:ascii="FrankRuehl" w:hAnsi="FrankRuehl" w:hint="cs"/>
          <w:color w:val="000000"/>
          <w:sz w:val="28"/>
          <w:rtl/>
        </w:rPr>
        <w:t>ּ</w:t>
      </w:r>
      <w:r w:rsidRPr="006E0ED9">
        <w:rPr>
          <w:rFonts w:ascii="FrankRuehl" w:hAnsi="FrankRuehl"/>
          <w:color w:val="000000"/>
          <w:sz w:val="28"/>
          <w:rtl/>
        </w:rPr>
        <w:t>ו</w:t>
      </w:r>
      <w:r>
        <w:rPr>
          <w:rFonts w:ascii="FrankRuehl" w:hAnsi="FrankRuehl" w:hint="cs"/>
          <w:color w:val="000000"/>
          <w:sz w:val="28"/>
          <w:rtl/>
        </w:rPr>
        <w:t>ֹ</w:t>
      </w:r>
      <w:r w:rsidRPr="006E0ED9">
        <w:rPr>
          <w:rFonts w:ascii="FrankRuehl" w:hAnsi="FrankRuehl"/>
          <w:color w:val="000000"/>
          <w:sz w:val="28"/>
          <w:rtl/>
        </w:rPr>
        <w:t>עלם? מי יגלה עפר מעיניו של דוד בן גוריון? האם אין חשש מפני שיכתוב ההיסטוריה של הכרזת העצמאות, הליכי חיב</w:t>
      </w:r>
      <w:r>
        <w:rPr>
          <w:rFonts w:ascii="FrankRuehl" w:hAnsi="FrankRuehl" w:hint="cs"/>
          <w:color w:val="000000"/>
          <w:sz w:val="28"/>
          <w:rtl/>
        </w:rPr>
        <w:t>ּ</w:t>
      </w:r>
      <w:r w:rsidRPr="006E0ED9">
        <w:rPr>
          <w:rFonts w:ascii="FrankRuehl" w:hAnsi="FrankRuehl"/>
          <w:color w:val="000000"/>
          <w:sz w:val="28"/>
          <w:rtl/>
        </w:rPr>
        <w:t>ורה</w:t>
      </w:r>
      <w:r>
        <w:rPr>
          <w:rFonts w:ascii="FrankRuehl" w:hAnsi="FrankRuehl" w:hint="cs"/>
          <w:color w:val="000000"/>
          <w:sz w:val="28"/>
          <w:rtl/>
        </w:rPr>
        <w:t>ּ</w:t>
      </w:r>
      <w:r w:rsidRPr="006E0ED9">
        <w:rPr>
          <w:rFonts w:ascii="FrankRuehl" w:hAnsi="FrankRuehl"/>
          <w:color w:val="000000"/>
          <w:sz w:val="28"/>
          <w:rtl/>
        </w:rPr>
        <w:t>, ניסוחה</w:t>
      </w:r>
      <w:r>
        <w:rPr>
          <w:rFonts w:ascii="FrankRuehl" w:hAnsi="FrankRuehl" w:hint="cs"/>
          <w:color w:val="000000"/>
          <w:sz w:val="28"/>
          <w:rtl/>
        </w:rPr>
        <w:t>ּ</w:t>
      </w:r>
      <w:r w:rsidRPr="006E0ED9">
        <w:rPr>
          <w:rFonts w:ascii="FrankRuehl" w:hAnsi="FrankRuehl"/>
          <w:color w:val="000000"/>
          <w:sz w:val="28"/>
          <w:rtl/>
        </w:rPr>
        <w:t xml:space="preserve"> וחתימתה? ומה באשר לטיבה של מועצת המדינה הזמנית כגוף שעיקרו לא יצוגי ולא נבחר? האם משמעות קביעתו של חברי היא שלעינינו, קמה וגם ניצבה, סדרה של 'הוראות נצחיוּת', שאין המכונן ולא המחוקק הישראלי יכולים לשנותן עוד מעתה ועד עולם? האם גישתו יכולה להלום את ההיסטוריה החוקתית שלנו, לרבות פסיקתו של בית משפט זה ושל מחוקקי-ישראל ב-75 שנות קיומה של המדינה? ואף אם לשיטתו חל שיבוש מיום שנחתמה מגילת </w:t>
      </w:r>
      <w:r w:rsidRPr="006E0ED9">
        <w:rPr>
          <w:rFonts w:ascii="FrankRuehl" w:hAnsi="FrankRuehl"/>
          <w:color w:val="000000"/>
          <w:sz w:val="28"/>
          <w:rtl/>
        </w:rPr>
        <w:lastRenderedPageBreak/>
        <w:t xml:space="preserve">העצמאות, מאז ועד היום, לא </w:t>
      </w:r>
      <w:r>
        <w:rPr>
          <w:rFonts w:ascii="FrankRuehl" w:hAnsi="FrankRuehl"/>
          <w:color w:val="000000"/>
          <w:sz w:val="28"/>
          <w:rtl/>
        </w:rPr>
        <w:t>נכון יהיה להחיל את הכלל התלמוד</w:t>
      </w:r>
      <w:r>
        <w:rPr>
          <w:rFonts w:ascii="FrankRuehl" w:hAnsi="FrankRuehl" w:hint="cs"/>
          <w:color w:val="000000"/>
          <w:sz w:val="28"/>
          <w:rtl/>
        </w:rPr>
        <w:t>י</w:t>
      </w:r>
      <w:r>
        <w:rPr>
          <w:rFonts w:ascii="Century" w:hAnsi="Century" w:cs="Miriam" w:hint="cs"/>
          <w:b/>
          <w:spacing w:val="0"/>
          <w:sz w:val="22"/>
          <w:szCs w:val="24"/>
          <w:rtl/>
        </w:rPr>
        <w:t xml:space="preserve"> "</w:t>
      </w:r>
      <w:r w:rsidRPr="00A637F6">
        <w:rPr>
          <w:rFonts w:ascii="Century" w:hAnsi="Century" w:cs="Miriam"/>
          <w:b/>
          <w:spacing w:val="0"/>
          <w:sz w:val="22"/>
          <w:szCs w:val="24"/>
          <w:rtl/>
        </w:rPr>
        <w:t>שַׁבֶּשְׁתָּא כֵּיוָן דְּעַל עַל</w:t>
      </w:r>
      <w:r>
        <w:rPr>
          <w:rFonts w:ascii="Century" w:hAnsi="Century" w:cs="Miriam" w:hint="cs"/>
          <w:b/>
          <w:spacing w:val="0"/>
          <w:sz w:val="22"/>
          <w:szCs w:val="24"/>
          <w:rtl/>
        </w:rPr>
        <w:t>"</w:t>
      </w:r>
      <w:r w:rsidRPr="006E0ED9">
        <w:rPr>
          <w:rFonts w:ascii="FrankRuehl" w:hAnsi="FrankRuehl"/>
          <w:color w:val="000000"/>
          <w:sz w:val="28"/>
        </w:rPr>
        <w:t> </w:t>
      </w:r>
      <w:r w:rsidRPr="006E0ED9">
        <w:rPr>
          <w:rFonts w:ascii="FrankRuehl" w:hAnsi="FrankRuehl"/>
          <w:color w:val="000000"/>
          <w:sz w:val="28"/>
          <w:rtl/>
        </w:rPr>
        <w:t>(בבלי, בבא בתרא כא, א)? מהן ההשלכות במישור המשפט הבינלאומי? האם לא ראוי לשינוי סדרי בראשית, לה</w:t>
      </w:r>
      <w:r>
        <w:rPr>
          <w:rFonts w:ascii="FrankRuehl" w:hAnsi="FrankRuehl" w:hint="cs"/>
          <w:color w:val="000000"/>
          <w:sz w:val="28"/>
          <w:rtl/>
        </w:rPr>
        <w:t>ֵ</w:t>
      </w:r>
      <w:r w:rsidRPr="006E0ED9">
        <w:rPr>
          <w:rFonts w:ascii="FrankRuehl" w:hAnsi="FrankRuehl"/>
          <w:color w:val="000000"/>
          <w:sz w:val="28"/>
          <w:rtl/>
        </w:rPr>
        <w:t>עשות בכנסת ולא בבית משפט</w:t>
      </w:r>
      <w:r w:rsidRPr="006E0ED9">
        <w:rPr>
          <w:rFonts w:ascii="FrankRuehl" w:hAnsi="FrankRuehl"/>
          <w:color w:val="000000"/>
          <w:sz w:val="28"/>
        </w:rPr>
        <w:t>?</w:t>
      </w:r>
    </w:p>
    <w:p w:rsidR="00EB02E1" w:rsidRPr="006E0ED9" w:rsidRDefault="00EB02E1" w:rsidP="00EB02E1">
      <w:pPr>
        <w:pStyle w:val="Ruller41"/>
      </w:pPr>
    </w:p>
    <w:p w:rsidR="00EB02E1" w:rsidRDefault="00EB02E1" w:rsidP="00EB02E1">
      <w:pPr>
        <w:pStyle w:val="Ruller4"/>
        <w:rPr>
          <w:rtl/>
        </w:rPr>
      </w:pPr>
      <w:r>
        <w:rPr>
          <w:rFonts w:hint="cs"/>
          <w:rtl/>
        </w:rPr>
        <w:t xml:space="preserve">בעת ההיא, כשדנו בעניין </w:t>
      </w:r>
      <w:r w:rsidRPr="006E0ED9">
        <w:rPr>
          <w:rFonts w:ascii="Century" w:hAnsi="Century" w:cs="Miriam" w:hint="cs"/>
          <w:b/>
          <w:spacing w:val="0"/>
          <w:sz w:val="22"/>
          <w:szCs w:val="24"/>
          <w:rtl/>
        </w:rPr>
        <w:t>טבריה</w:t>
      </w:r>
      <w:r>
        <w:rPr>
          <w:rFonts w:hint="cs"/>
          <w:rtl/>
        </w:rPr>
        <w:t xml:space="preserve">, סברתי כי מגילת העצמאות תהיה עתה למִשְעָן, 'קולב' להיתלות בו, לאֵלו מבין חברַי שיבקשו להעביר חוקי-יסוד תחת שבט הביקורת השיפוטית. כך סבר גם פרופ' </w:t>
      </w:r>
      <w:r w:rsidRPr="00E952F6">
        <w:rPr>
          <w:rFonts w:ascii="Century" w:hAnsi="Century" w:cs="Miriam" w:hint="cs"/>
          <w:b/>
          <w:spacing w:val="0"/>
          <w:sz w:val="22"/>
          <w:szCs w:val="24"/>
          <w:rtl/>
        </w:rPr>
        <w:t>א' ברק</w:t>
      </w:r>
      <w:r>
        <w:rPr>
          <w:rFonts w:hint="cs"/>
          <w:rtl/>
        </w:rPr>
        <w:t>, שביקש למסד את שיטתו העדכנית, בדבר הגבלת סמכותה של הרשות המכוננת, על יסודותיה של נורמה פוזיטיבית כלשהי, ובחר לצורך כך במגילת העצמאות (</w:t>
      </w:r>
      <w:r>
        <w:rPr>
          <w:rFonts w:hint="eastAsia"/>
          <w:rtl/>
        </w:rPr>
        <w:t>אהרן</w:t>
      </w:r>
      <w:r>
        <w:rPr>
          <w:rtl/>
        </w:rPr>
        <w:t xml:space="preserve"> </w:t>
      </w:r>
      <w:r>
        <w:rPr>
          <w:rFonts w:hint="eastAsia"/>
          <w:rtl/>
        </w:rPr>
        <w:t>ברק</w:t>
      </w:r>
      <w:r>
        <w:rPr>
          <w:rtl/>
        </w:rPr>
        <w:t xml:space="preserve"> </w:t>
      </w:r>
      <w:r>
        <w:rPr>
          <w:rFonts w:hint="cs"/>
          <w:rtl/>
        </w:rPr>
        <w:t>"</w:t>
      </w:r>
      <w:r>
        <w:rPr>
          <w:rFonts w:hint="eastAsia"/>
          <w:rtl/>
        </w:rPr>
        <w:t>תיקון</w:t>
      </w:r>
      <w:r>
        <w:rPr>
          <w:rtl/>
        </w:rPr>
        <w:t xml:space="preserve"> </w:t>
      </w:r>
      <w:r>
        <w:rPr>
          <w:rFonts w:hint="eastAsia"/>
          <w:rtl/>
        </w:rPr>
        <w:t>של</w:t>
      </w:r>
      <w:r>
        <w:rPr>
          <w:rtl/>
        </w:rPr>
        <w:t xml:space="preserve"> </w:t>
      </w:r>
      <w:r>
        <w:rPr>
          <w:rFonts w:hint="eastAsia"/>
          <w:rtl/>
        </w:rPr>
        <w:t>חוקה</w:t>
      </w:r>
      <w:r>
        <w:rPr>
          <w:rtl/>
        </w:rPr>
        <w:t xml:space="preserve"> </w:t>
      </w:r>
      <w:r>
        <w:rPr>
          <w:rFonts w:hint="eastAsia"/>
          <w:rtl/>
        </w:rPr>
        <w:t>שאינו</w:t>
      </w:r>
      <w:r>
        <w:rPr>
          <w:rtl/>
        </w:rPr>
        <w:t xml:space="preserve"> </w:t>
      </w:r>
      <w:r>
        <w:rPr>
          <w:rFonts w:hint="eastAsia"/>
          <w:rtl/>
        </w:rPr>
        <w:t>חוקתי</w:t>
      </w:r>
      <w:r>
        <w:rPr>
          <w:rFonts w:hint="cs"/>
          <w:rtl/>
        </w:rPr>
        <w:t xml:space="preserve">" </w:t>
      </w:r>
      <w:r>
        <w:rPr>
          <w:rFonts w:ascii="Century" w:hAnsi="Century" w:cs="Miriam" w:hint="cs"/>
          <w:b/>
          <w:spacing w:val="0"/>
          <w:szCs w:val="24"/>
          <w:rtl/>
        </w:rPr>
        <w:t xml:space="preserve">ספר גבריאל בך </w:t>
      </w:r>
      <w:r>
        <w:rPr>
          <w:rFonts w:ascii="Century" w:hAnsi="Century" w:hint="cs"/>
          <w:rtl/>
        </w:rPr>
        <w:t>361, 381-379 (2011)</w:t>
      </w:r>
      <w:r>
        <w:rPr>
          <w:rFonts w:hint="cs"/>
          <w:rtl/>
        </w:rPr>
        <w:t>;</w:t>
      </w:r>
      <w:r w:rsidRPr="008A43F8">
        <w:rPr>
          <w:rFonts w:hint="eastAsia"/>
          <w:rtl/>
        </w:rPr>
        <w:t xml:space="preserve"> </w:t>
      </w:r>
      <w:r w:rsidRPr="00F91808">
        <w:rPr>
          <w:rFonts w:hint="eastAsia"/>
          <w:rtl/>
        </w:rPr>
        <w:t>אהרן</w:t>
      </w:r>
      <w:r w:rsidRPr="00F91808">
        <w:rPr>
          <w:rtl/>
        </w:rPr>
        <w:t xml:space="preserve"> </w:t>
      </w:r>
      <w:r w:rsidRPr="00F91808">
        <w:rPr>
          <w:rFonts w:hint="eastAsia"/>
          <w:rtl/>
        </w:rPr>
        <w:t>ברק</w:t>
      </w:r>
      <w:r w:rsidRPr="00F91808">
        <w:rPr>
          <w:rtl/>
        </w:rPr>
        <w:t xml:space="preserve"> "</w:t>
      </w:r>
      <w:r w:rsidRPr="00F91808">
        <w:rPr>
          <w:rFonts w:hint="eastAsia"/>
          <w:rtl/>
        </w:rPr>
        <w:t>מגילת</w:t>
      </w:r>
      <w:r w:rsidRPr="00F91808">
        <w:rPr>
          <w:rtl/>
        </w:rPr>
        <w:t xml:space="preserve"> </w:t>
      </w:r>
      <w:r w:rsidRPr="00F91808">
        <w:rPr>
          <w:rFonts w:hint="eastAsia"/>
          <w:rtl/>
        </w:rPr>
        <w:t>העצמאות</w:t>
      </w:r>
      <w:r w:rsidRPr="00F91808">
        <w:rPr>
          <w:rtl/>
        </w:rPr>
        <w:t xml:space="preserve"> </w:t>
      </w:r>
      <w:r w:rsidRPr="00F91808">
        <w:rPr>
          <w:rFonts w:hint="eastAsia"/>
          <w:rtl/>
        </w:rPr>
        <w:t>והכנסת</w:t>
      </w:r>
      <w:r w:rsidRPr="00F91808">
        <w:rPr>
          <w:rtl/>
        </w:rPr>
        <w:t xml:space="preserve"> </w:t>
      </w:r>
      <w:r w:rsidRPr="00F91808">
        <w:rPr>
          <w:rFonts w:hint="eastAsia"/>
          <w:rtl/>
        </w:rPr>
        <w:t>כרשות</w:t>
      </w:r>
      <w:r w:rsidRPr="00F91808">
        <w:rPr>
          <w:rtl/>
        </w:rPr>
        <w:t xml:space="preserve"> </w:t>
      </w:r>
      <w:r w:rsidRPr="00F91808">
        <w:rPr>
          <w:rFonts w:hint="eastAsia"/>
          <w:rtl/>
        </w:rPr>
        <w:t>מכוננת</w:t>
      </w:r>
      <w:r w:rsidRPr="00F91808">
        <w:rPr>
          <w:rtl/>
        </w:rPr>
        <w:t>"</w:t>
      </w:r>
      <w:r>
        <w:rPr>
          <w:rFonts w:hint="cs"/>
          <w:rtl/>
        </w:rPr>
        <w:t xml:space="preserve"> </w:t>
      </w:r>
      <w:r>
        <w:rPr>
          <w:rFonts w:ascii="Century" w:hAnsi="Century" w:cs="Miriam" w:hint="cs"/>
          <w:b/>
          <w:spacing w:val="0"/>
          <w:szCs w:val="24"/>
          <w:rtl/>
        </w:rPr>
        <w:t>חוקים</w:t>
      </w:r>
      <w:r w:rsidRPr="00F91808">
        <w:rPr>
          <w:rtl/>
        </w:rPr>
        <w:t xml:space="preserve"> </w:t>
      </w:r>
      <w:r>
        <w:rPr>
          <w:rFonts w:hint="cs"/>
          <w:rtl/>
        </w:rPr>
        <w:t xml:space="preserve">יא 9 (2018); </w:t>
      </w:r>
      <w:r w:rsidRPr="00F91808">
        <w:rPr>
          <w:rFonts w:hint="eastAsia"/>
          <w:rtl/>
        </w:rPr>
        <w:t>אהרן</w:t>
      </w:r>
      <w:r w:rsidRPr="00F91808">
        <w:rPr>
          <w:rtl/>
        </w:rPr>
        <w:t xml:space="preserve"> </w:t>
      </w:r>
      <w:r w:rsidRPr="00F91808">
        <w:rPr>
          <w:rFonts w:hint="eastAsia"/>
          <w:rtl/>
        </w:rPr>
        <w:t>ברק</w:t>
      </w:r>
      <w:r w:rsidRPr="00F91808">
        <w:rPr>
          <w:rtl/>
        </w:rPr>
        <w:t xml:space="preserve"> "</w:t>
      </w:r>
      <w:r w:rsidRPr="00F91808">
        <w:rPr>
          <w:rFonts w:hint="eastAsia"/>
          <w:rtl/>
        </w:rPr>
        <w:t>מגילת</w:t>
      </w:r>
      <w:r w:rsidRPr="00F91808">
        <w:rPr>
          <w:rtl/>
        </w:rPr>
        <w:t xml:space="preserve"> </w:t>
      </w:r>
      <w:r w:rsidRPr="00F91808">
        <w:rPr>
          <w:rFonts w:hint="eastAsia"/>
          <w:rtl/>
        </w:rPr>
        <w:t>העצמאות</w:t>
      </w:r>
      <w:r w:rsidRPr="00F91808">
        <w:rPr>
          <w:rtl/>
        </w:rPr>
        <w:t xml:space="preserve"> </w:t>
      </w:r>
      <w:r w:rsidRPr="00F91808">
        <w:rPr>
          <w:rFonts w:hint="eastAsia"/>
          <w:rtl/>
        </w:rPr>
        <w:t>והכנסת</w:t>
      </w:r>
      <w:r w:rsidRPr="00F91808">
        <w:rPr>
          <w:rtl/>
        </w:rPr>
        <w:t xml:space="preserve"> </w:t>
      </w:r>
      <w:r w:rsidRPr="00F91808">
        <w:rPr>
          <w:rFonts w:hint="eastAsia"/>
          <w:rtl/>
        </w:rPr>
        <w:t>כרשות</w:t>
      </w:r>
      <w:r w:rsidRPr="00F91808">
        <w:rPr>
          <w:rtl/>
        </w:rPr>
        <w:t xml:space="preserve"> </w:t>
      </w:r>
      <w:r>
        <w:rPr>
          <w:rFonts w:hint="eastAsia"/>
          <w:rtl/>
        </w:rPr>
        <w:t>מכוננ</w:t>
      </w:r>
      <w:r>
        <w:rPr>
          <w:rFonts w:ascii="Century" w:hAnsi="Century" w:hint="cs"/>
          <w:rtl/>
        </w:rPr>
        <w:t>ת</w:t>
      </w:r>
      <w:r w:rsidRPr="00F91808">
        <w:rPr>
          <w:rtl/>
        </w:rPr>
        <w:t xml:space="preserve">" </w:t>
      </w:r>
      <w:r w:rsidRPr="006B7FE1">
        <w:rPr>
          <w:rFonts w:asciiTheme="majorBidi" w:hAnsiTheme="majorBidi" w:cstheme="majorBidi"/>
          <w:sz w:val="20"/>
          <w:szCs w:val="20"/>
        </w:rPr>
        <w:t>ICON-S-IL Blog</w:t>
      </w:r>
      <w:r w:rsidRPr="00F91808">
        <w:rPr>
          <w:rtl/>
        </w:rPr>
        <w:t xml:space="preserve"> </w:t>
      </w:r>
      <w:r>
        <w:rPr>
          <w:rFonts w:hint="cs"/>
          <w:rtl/>
        </w:rPr>
        <w:t xml:space="preserve">(22.3.2020); </w:t>
      </w:r>
      <w:r>
        <w:rPr>
          <w:rtl/>
        </w:rPr>
        <w:t>אהרן ברק</w:t>
      </w:r>
      <w:r w:rsidRPr="00F91808">
        <w:rPr>
          <w:rtl/>
        </w:rPr>
        <w:t xml:space="preserve"> "הסמכות המכוננת הראשונית וההגבלות המוטלות עליה</w:t>
      </w:r>
      <w:r>
        <w:rPr>
          <w:rFonts w:hint="cs"/>
          <w:rtl/>
        </w:rPr>
        <w:t xml:space="preserve">" </w:t>
      </w:r>
      <w:r>
        <w:rPr>
          <w:rFonts w:ascii="Century" w:hAnsi="Century" w:cs="Miriam" w:hint="cs"/>
          <w:b/>
          <w:spacing w:val="0"/>
          <w:szCs w:val="24"/>
          <w:rtl/>
        </w:rPr>
        <w:t xml:space="preserve">משפט ועסקים </w:t>
      </w:r>
      <w:r>
        <w:rPr>
          <w:rFonts w:ascii="Century" w:hAnsi="Century" w:hint="cs"/>
          <w:rtl/>
        </w:rPr>
        <w:t>כח 123 (2023)</w:t>
      </w:r>
      <w:r>
        <w:rPr>
          <w:rFonts w:hint="cs"/>
          <w:rtl/>
        </w:rPr>
        <w:t xml:space="preserve"> </w:t>
      </w:r>
      <w:r>
        <w:rPr>
          <w:rtl/>
        </w:rPr>
        <w:t>(</w:t>
      </w:r>
      <w:r>
        <w:rPr>
          <w:rFonts w:hint="eastAsia"/>
          <w:rtl/>
        </w:rPr>
        <w:t>להלן</w:t>
      </w:r>
      <w:r>
        <w:rPr>
          <w:rtl/>
        </w:rPr>
        <w:t xml:space="preserve">: </w:t>
      </w:r>
      <w:r>
        <w:rPr>
          <w:rFonts w:ascii="Century" w:hAnsi="Century" w:cs="Miriam" w:hint="cs"/>
          <w:b/>
          <w:spacing w:val="0"/>
          <w:sz w:val="22"/>
          <w:szCs w:val="24"/>
          <w:rtl/>
        </w:rPr>
        <w:t>ברק, משפט ועסקים</w:t>
      </w:r>
      <w:r>
        <w:rPr>
          <w:rFonts w:hint="cs"/>
          <w:rtl/>
        </w:rPr>
        <w:t>)</w:t>
      </w:r>
      <w:r w:rsidRPr="00255856">
        <w:rPr>
          <w:rFonts w:hint="cs"/>
          <w:rtl/>
        </w:rPr>
        <w:t>).</w:t>
      </w:r>
      <w:r>
        <w:rPr>
          <w:rFonts w:hint="cs"/>
          <w:rtl/>
        </w:rPr>
        <w:t xml:space="preserve"> פרופ' </w:t>
      </w:r>
      <w:r w:rsidRPr="00E952F6">
        <w:rPr>
          <w:rFonts w:ascii="Century" w:hAnsi="Century" w:cs="Miriam" w:hint="cs"/>
          <w:b/>
          <w:spacing w:val="0"/>
          <w:sz w:val="22"/>
          <w:szCs w:val="24"/>
          <w:rtl/>
        </w:rPr>
        <w:t>ברק</w:t>
      </w:r>
      <w:r>
        <w:rPr>
          <w:rFonts w:hint="cs"/>
          <w:rtl/>
        </w:rPr>
        <w:t xml:space="preserve"> ודאי היה ער לכך, שאימוץ שיטתו העדכנית יצריך 'להחליף דיסקט', לשכוח את אשר למדנו ושנִינו עשרות שנים (כולל מפיו של פרופ' </w:t>
      </w:r>
      <w:r w:rsidRPr="00E952F6">
        <w:rPr>
          <w:rFonts w:ascii="Century" w:hAnsi="Century" w:cs="Miriam" w:hint="cs"/>
          <w:b/>
          <w:spacing w:val="0"/>
          <w:sz w:val="22"/>
          <w:szCs w:val="24"/>
          <w:rtl/>
        </w:rPr>
        <w:t>ברק</w:t>
      </w:r>
      <w:r>
        <w:rPr>
          <w:rFonts w:hint="cs"/>
          <w:rtl/>
        </w:rPr>
        <w:t xml:space="preserve">, בימים בהם ישב על כס השיפוט) בעניינה של מגילת העצמאות; ועל אודות סמכותה של הכנסת בכובעה כרשות מכוננת, שהפכה לפתע 'מוגבלת'. פרופ' </w:t>
      </w:r>
      <w:r w:rsidRPr="00E952F6">
        <w:rPr>
          <w:rFonts w:ascii="Century" w:hAnsi="Century" w:cs="Miriam" w:hint="cs"/>
          <w:b/>
          <w:spacing w:val="0"/>
          <w:sz w:val="22"/>
          <w:szCs w:val="24"/>
          <w:rtl/>
        </w:rPr>
        <w:t>ברק</w:t>
      </w:r>
      <w:r>
        <w:rPr>
          <w:rFonts w:hint="cs"/>
          <w:rtl/>
        </w:rPr>
        <w:t xml:space="preserve"> סבר, כפי הנראה, כי אותם קשיים המתעוררים בניסיון לייחס למגילת העצמאות, בדיעבד, את אשר הוא מבקש לתלות בה, מתגמדים אל מול הקושי הטמון בדילוג על מקור סמכות פוזיטיבי. לצורך הגבלת כוחה של הרשות המכוננת, עדיף להסתמך, לפי גישה זו, על מגילת העצמאות, מאשר על עקרונות עמומים, מופשטים; יהיו אלה 'עקרונות היסוד של השיטה', 'נתונים חוקתיים', 'עקרונות על-חוקתיים בלתי כתובים', וכיוצא באלה שמות וכינויים.  </w:t>
      </w:r>
    </w:p>
    <w:p w:rsidR="00EB02E1" w:rsidRPr="00E952F6" w:rsidRDefault="00EB02E1" w:rsidP="00EB02E1">
      <w:pPr>
        <w:pStyle w:val="Ruller41"/>
      </w:pPr>
    </w:p>
    <w:p w:rsidR="00EB02E1" w:rsidRDefault="00EB02E1" w:rsidP="00EB02E1">
      <w:pPr>
        <w:pStyle w:val="Ruller4"/>
        <w:rPr>
          <w:rtl/>
        </w:rPr>
      </w:pPr>
      <w:r>
        <w:rPr>
          <w:rFonts w:hint="cs"/>
          <w:rtl/>
        </w:rPr>
        <w:t xml:space="preserve">דא עקא, למקרא חווֹת הדעת של חברַי, נמצאתי למד כי רובם המוחלט בחר ללכת צעד נוסף, מעבר לגישתו של פרופ' </w:t>
      </w:r>
      <w:r w:rsidRPr="00E952F6">
        <w:rPr>
          <w:rFonts w:ascii="Century" w:hAnsi="Century" w:cs="Miriam" w:hint="cs"/>
          <w:b/>
          <w:spacing w:val="0"/>
          <w:sz w:val="22"/>
          <w:szCs w:val="24"/>
          <w:rtl/>
        </w:rPr>
        <w:t>ברק</w:t>
      </w:r>
      <w:r>
        <w:rPr>
          <w:rFonts w:hint="cs"/>
          <w:rtl/>
        </w:rPr>
        <w:t xml:space="preserve">, שאף היא, לטעמי, 'צעד אחד יותר מדי'. חלקם, כמו חברתי הנשיאה (בדימ') מבקשים לדחות את גישתו במפורש (ראו: פסקה 66 לחוות דעתה), אחרים עושים זאת במשתמע. לעמדתם, אין צורך בנורמה פוזיטיבית כלשהי, שתבסס את סמכותנו להעביר תחת שבט ביקורתנו השיפוטית חקיקת-יסוד מעשה ידי המכונן; נורמה פוזיטיבית, שעשויה, ביום מן הימים, להגביל אותנו בהפעלת ביקורתנו. חלף זאת, מבקשים חברַי להיתלות 'ישירות' באותם עקרונות-יסוד מופשטים, מבלי לחנוֹת 'על הדרך' במגילת העצמאות, ו'לשאוב' הֵימֶנה אותם עקרונות-יסוד. משאֵלו הם פני הדברים, הדיון שאערוך בעניינה של מגילת העצמאות, יעמוד אך על עיקרי הדברים, ולא יהיה ממצה כל צורכו; עוד חזון למועד. </w:t>
      </w:r>
    </w:p>
    <w:p w:rsidR="00EB02E1" w:rsidRPr="00E952F6" w:rsidRDefault="00EB02E1" w:rsidP="00EB02E1">
      <w:pPr>
        <w:pStyle w:val="Ruller41"/>
        <w:rPr>
          <w:rtl/>
        </w:rPr>
      </w:pPr>
    </w:p>
    <w:p w:rsidR="00EB02E1" w:rsidRDefault="00EB02E1" w:rsidP="00EB02E1">
      <w:pPr>
        <w:pStyle w:val="Ruller4"/>
        <w:rPr>
          <w:rtl/>
        </w:rPr>
      </w:pPr>
      <w:r>
        <w:rPr>
          <w:rFonts w:hint="cs"/>
          <w:rtl/>
        </w:rPr>
        <w:t xml:space="preserve">בקצרה אומר, כי אף אם אלך כברת דרך ארוכה, בדרכו של חברי השופט </w:t>
      </w:r>
      <w:r w:rsidRPr="00350EB4">
        <w:rPr>
          <w:rFonts w:ascii="Century" w:hAnsi="Century" w:cs="Miriam" w:hint="cs"/>
          <w:b/>
          <w:spacing w:val="0"/>
          <w:sz w:val="22"/>
          <w:szCs w:val="24"/>
          <w:rtl/>
        </w:rPr>
        <w:t>שטיין</w:t>
      </w:r>
      <w:r>
        <w:rPr>
          <w:rFonts w:hint="cs"/>
          <w:rtl/>
        </w:rPr>
        <w:t xml:space="preserve">, או עם שיטתו העדכנית של פרופ' </w:t>
      </w:r>
      <w:r w:rsidRPr="00350EB4">
        <w:rPr>
          <w:rFonts w:ascii="Century" w:hAnsi="Century" w:cs="Miriam" w:hint="cs"/>
          <w:b/>
          <w:spacing w:val="0"/>
          <w:sz w:val="22"/>
          <w:szCs w:val="24"/>
          <w:rtl/>
        </w:rPr>
        <w:t>א' ברק</w:t>
      </w:r>
      <w:r>
        <w:rPr>
          <w:rFonts w:hint="cs"/>
          <w:rtl/>
        </w:rPr>
        <w:t xml:space="preserve"> </w:t>
      </w:r>
      <w:r>
        <w:rPr>
          <w:rtl/>
        </w:rPr>
        <w:t>–</w:t>
      </w:r>
      <w:r>
        <w:rPr>
          <w:rFonts w:hint="cs"/>
          <w:rtl/>
        </w:rPr>
        <w:t xml:space="preserve"> אין די בכך. אף אם אאמץ את מסקנתם, שלפיה מגילת העצמאות היא הנורמה החקיקתית העליונה במשפט הישראלי, שממנה משתלשלות הנורמות האחרות כולן, אין בכך כדי להוביל מוּכְנית למסקנה שאליה הגיעו. אף אם מגילת העצמאות הסמיכה את הרשות המכוננת לכונן חוקה למדינת ישראל, אזי הסמכה זו, ניתנה בעין יפה, ביד רחבה. אותה הסמכה לא סויגה ולא הוגבלה, בשום צורה ואופן. חברי מועצת המדינה הזמנית, הפקידו כל אותה סמכות בלתי-מוגבלת שבה החזיקו, בְּיָדֵיהָ של הרשות המכוננת. </w:t>
      </w:r>
    </w:p>
    <w:p w:rsidR="00EB02E1" w:rsidRPr="00646423" w:rsidRDefault="00EB02E1" w:rsidP="00EB02E1">
      <w:pPr>
        <w:pStyle w:val="Ruller41"/>
      </w:pPr>
    </w:p>
    <w:p w:rsidR="00EB02E1" w:rsidRDefault="00EB02E1" w:rsidP="00EB02E1">
      <w:pPr>
        <w:pStyle w:val="Ruller4"/>
        <w:rPr>
          <w:rtl/>
        </w:rPr>
      </w:pPr>
      <w:r>
        <w:rPr>
          <w:rFonts w:hint="cs"/>
          <w:rtl/>
        </w:rPr>
        <w:t xml:space="preserve">בחלקה השלישי של מגילת העצמאות, נכתבו הדברים החשובים האלה: </w:t>
      </w:r>
      <w:r w:rsidRPr="00350EB4">
        <w:rPr>
          <w:rFonts w:ascii="Century" w:hAnsi="Century" w:cs="Miriam" w:hint="cs"/>
          <w:b/>
          <w:spacing w:val="0"/>
          <w:sz w:val="22"/>
          <w:szCs w:val="24"/>
          <w:rtl/>
        </w:rPr>
        <w:t>"</w:t>
      </w:r>
      <w:r w:rsidRPr="00350EB4">
        <w:rPr>
          <w:rFonts w:ascii="Century" w:hAnsi="Century" w:cs="Miriam" w:hint="eastAsia"/>
          <w:b/>
          <w:spacing w:val="0"/>
          <w:sz w:val="22"/>
          <w:szCs w:val="24"/>
          <w:rtl/>
        </w:rPr>
        <w:t>מדינת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ישראל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תהא</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פתוחה</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לעליה</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יהודית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ולקיבוץ</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גלויות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תשקוד</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על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פיתוח</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הארץ</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לטובת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כל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תושביה</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תהא</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מושתתה</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על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יסודות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החירות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הצדק</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והשלום</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לאור</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חזונם</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של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נביאי</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ישראל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תקיים</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שויון</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זכויו</w:t>
      </w:r>
      <w:r w:rsidRPr="00350EB4">
        <w:rPr>
          <w:rFonts w:ascii="Century" w:hAnsi="Century" w:cs="Miriam" w:hint="cs"/>
          <w:b/>
          <w:spacing w:val="0"/>
          <w:sz w:val="22"/>
          <w:szCs w:val="24"/>
          <w:rtl/>
        </w:rPr>
        <w:t>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חברתי</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ומדיני</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גמור</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לכל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אזרחיה</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בלי</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הבדל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דת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גזע</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ומין</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תבטיח</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חופש</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דת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מצפון</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לשון</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חינוך</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ותרבות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תשמור</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על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המקומות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הקדושים</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של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כל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הדתות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ותהיה</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נאמנה</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לעקרונותיה</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של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מגילת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האומות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המאוחדות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מדינת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ישראל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תהא</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מוכנה</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לשתף</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פעולה</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עם</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המוסדות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והנציגים</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של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האומות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המאוחדות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בהגשמת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החלטת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העצרת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מיום</w:t>
      </w:r>
      <w:r w:rsidRPr="00350EB4">
        <w:rPr>
          <w:rFonts w:ascii="Century" w:hAnsi="Century" w:cs="Miriam"/>
          <w:b/>
          <w:spacing w:val="0"/>
          <w:sz w:val="22"/>
          <w:szCs w:val="24"/>
          <w:rtl/>
        </w:rPr>
        <w:t xml:space="preserve"> 29 </w:t>
      </w:r>
      <w:r w:rsidRPr="00350EB4">
        <w:rPr>
          <w:rFonts w:ascii="Century" w:hAnsi="Century" w:cs="Miriam" w:hint="eastAsia"/>
          <w:b/>
          <w:spacing w:val="0"/>
          <w:sz w:val="22"/>
          <w:szCs w:val="24"/>
          <w:rtl/>
        </w:rPr>
        <w:t>בנובמבר</w:t>
      </w:r>
      <w:r w:rsidRPr="00350EB4">
        <w:rPr>
          <w:rFonts w:ascii="Century" w:hAnsi="Century" w:cs="Miriam"/>
          <w:b/>
          <w:spacing w:val="0"/>
          <w:sz w:val="22"/>
          <w:szCs w:val="24"/>
          <w:rtl/>
        </w:rPr>
        <w:t xml:space="preserve"> 1947 </w:t>
      </w:r>
      <w:r w:rsidRPr="00350EB4">
        <w:rPr>
          <w:rFonts w:ascii="Century" w:hAnsi="Century" w:cs="Miriam" w:hint="eastAsia"/>
          <w:b/>
          <w:spacing w:val="0"/>
          <w:sz w:val="22"/>
          <w:szCs w:val="24"/>
          <w:rtl/>
        </w:rPr>
        <w:t>ותפעל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להקמת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האחדות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הכלכלית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של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ארץ</w:t>
      </w:r>
      <w:r w:rsidRPr="00350EB4">
        <w:rPr>
          <w:rFonts w:ascii="Century" w:hAnsi="Century" w:cs="Miriam"/>
          <w:b/>
          <w:spacing w:val="0"/>
          <w:sz w:val="22"/>
          <w:szCs w:val="24"/>
          <w:rtl/>
        </w:rPr>
        <w:t>-</w:t>
      </w:r>
      <w:r w:rsidRPr="00350EB4">
        <w:rPr>
          <w:rFonts w:ascii="Century" w:hAnsi="Century" w:cs="Miriam" w:hint="eastAsia"/>
          <w:b/>
          <w:spacing w:val="0"/>
          <w:sz w:val="22"/>
          <w:szCs w:val="24"/>
          <w:rtl/>
        </w:rPr>
        <w:t>ישראל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בשלמותה</w:t>
      </w:r>
      <w:r w:rsidRPr="00350EB4">
        <w:rPr>
          <w:rFonts w:ascii="Century" w:hAnsi="Century" w:cs="Miriam" w:hint="cs"/>
          <w:b/>
          <w:spacing w:val="0"/>
          <w:sz w:val="22"/>
          <w:szCs w:val="24"/>
          <w:rtl/>
        </w:rPr>
        <w:t>"</w:t>
      </w:r>
      <w:r w:rsidRPr="00350EB4">
        <w:rPr>
          <w:rtl/>
        </w:rPr>
        <w:t>.</w:t>
      </w:r>
      <w:r>
        <w:rPr>
          <w:rFonts w:hint="cs"/>
          <w:rtl/>
        </w:rPr>
        <w:t xml:space="preserve"> חברי השופט </w:t>
      </w:r>
      <w:r w:rsidRPr="00646423">
        <w:rPr>
          <w:rFonts w:ascii="Century" w:hAnsi="Century" w:cs="Miriam" w:hint="cs"/>
          <w:b/>
          <w:spacing w:val="0"/>
          <w:sz w:val="22"/>
          <w:szCs w:val="24"/>
          <w:rtl/>
        </w:rPr>
        <w:t>שטיין</w:t>
      </w:r>
      <w:r>
        <w:rPr>
          <w:rFonts w:hint="cs"/>
          <w:rtl/>
        </w:rPr>
        <w:t xml:space="preserve">, שבמובן מסוים הולך בדרכו של פרופ' </w:t>
      </w:r>
      <w:r w:rsidRPr="00646423">
        <w:rPr>
          <w:rFonts w:ascii="Century" w:hAnsi="Century" w:cs="Miriam" w:hint="cs"/>
          <w:b/>
          <w:spacing w:val="0"/>
          <w:sz w:val="22"/>
          <w:szCs w:val="24"/>
          <w:rtl/>
        </w:rPr>
        <w:t>ברק</w:t>
      </w:r>
      <w:r>
        <w:rPr>
          <w:rFonts w:hint="cs"/>
          <w:rtl/>
        </w:rPr>
        <w:t xml:space="preserve">, רואה בכך מעין 'פסקת נצחיות', מסמך על-חוקתי, שבו חברי מועצת המדינה הזמנית הגבילו את סמכותה של הרשות המכוננת הדמוקרטית, שאמורה להיבחר בבחירות, וצמצמו את סמכויותיה. דא עקא, פרשנות זו, רחוקה מלהיות מובנת מאליה. בזמן אמת, לפני הכרזת העצמאות, מיד לאחריה, ולאורך עשרות שנים, </w:t>
      </w:r>
      <w:r w:rsidRPr="00BC78EA">
        <w:rPr>
          <w:rFonts w:hint="cs"/>
          <w:rtl/>
        </w:rPr>
        <w:t>לא מצאנו מי שטען לפרשנות שכזו</w:t>
      </w:r>
      <w:r>
        <w:rPr>
          <w:rFonts w:hint="cs"/>
          <w:rtl/>
        </w:rPr>
        <w:t xml:space="preserve">. אדרבה, כל השופטים (וכאמור, השופט </w:t>
      </w:r>
      <w:r w:rsidRPr="00646423">
        <w:rPr>
          <w:rFonts w:ascii="Century" w:hAnsi="Century" w:cs="Miriam" w:hint="cs"/>
          <w:b/>
          <w:spacing w:val="0"/>
          <w:sz w:val="22"/>
          <w:szCs w:val="24"/>
          <w:rtl/>
        </w:rPr>
        <w:t>ברק</w:t>
      </w:r>
      <w:r>
        <w:rPr>
          <w:rFonts w:hint="cs"/>
          <w:rtl/>
        </w:rPr>
        <w:t xml:space="preserve"> בכללם), המלומדים, חברי מועצת המדינה הזמנית עצמם, ובראשם דוד בן גוריון, חברי הרשות המכוננת לדורותיהם, כולם כאחד יחד סברו כי לא זו היתה כוונת מועצת המדינה הזמנית. </w:t>
      </w:r>
    </w:p>
    <w:p w:rsidR="00EB02E1" w:rsidRDefault="00EB02E1" w:rsidP="00EB02E1">
      <w:pPr>
        <w:pStyle w:val="Ruller41"/>
        <w:rPr>
          <w:rtl/>
        </w:rPr>
      </w:pPr>
    </w:p>
    <w:p w:rsidR="00EB02E1" w:rsidRDefault="00EB02E1" w:rsidP="00EB02E1">
      <w:pPr>
        <w:pStyle w:val="Ruller4"/>
        <w:rPr>
          <w:rtl/>
        </w:rPr>
      </w:pPr>
      <w:r w:rsidRPr="00E952F6">
        <w:rPr>
          <w:rFonts w:hint="eastAsia"/>
          <w:rtl/>
        </w:rPr>
        <w:t>ביום</w:t>
      </w:r>
      <w:r w:rsidRPr="00E952F6">
        <w:rPr>
          <w:rtl/>
        </w:rPr>
        <w:t xml:space="preserve"> </w:t>
      </w:r>
      <w:r w:rsidRPr="00E952F6">
        <w:rPr>
          <w:rFonts w:hint="eastAsia"/>
          <w:rtl/>
        </w:rPr>
        <w:t>הכרזת</w:t>
      </w:r>
      <w:r w:rsidRPr="00E952F6">
        <w:rPr>
          <w:rtl/>
        </w:rPr>
        <w:t xml:space="preserve"> </w:t>
      </w:r>
      <w:r w:rsidRPr="00E952F6">
        <w:rPr>
          <w:rFonts w:hint="eastAsia"/>
          <w:rtl/>
        </w:rPr>
        <w:t>העצמאות</w:t>
      </w:r>
      <w:r w:rsidRPr="00E952F6">
        <w:rPr>
          <w:rtl/>
        </w:rPr>
        <w:t xml:space="preserve">, </w:t>
      </w:r>
      <w:r w:rsidRPr="00E952F6">
        <w:rPr>
          <w:rFonts w:hint="eastAsia"/>
          <w:rtl/>
        </w:rPr>
        <w:t>כשעתיים</w:t>
      </w:r>
      <w:r w:rsidRPr="00E952F6">
        <w:rPr>
          <w:rtl/>
        </w:rPr>
        <w:t xml:space="preserve"> </w:t>
      </w:r>
      <w:r w:rsidRPr="00E952F6">
        <w:rPr>
          <w:rFonts w:hint="eastAsia"/>
          <w:rtl/>
        </w:rPr>
        <w:t>לפני</w:t>
      </w:r>
      <w:r w:rsidRPr="00E952F6">
        <w:rPr>
          <w:rtl/>
        </w:rPr>
        <w:t xml:space="preserve"> </w:t>
      </w:r>
      <w:r w:rsidRPr="00E952F6">
        <w:rPr>
          <w:rFonts w:hint="eastAsia"/>
          <w:rtl/>
        </w:rPr>
        <w:t>תחילת</w:t>
      </w:r>
      <w:r w:rsidRPr="00E952F6">
        <w:rPr>
          <w:rtl/>
        </w:rPr>
        <w:t xml:space="preserve"> </w:t>
      </w:r>
      <w:r w:rsidRPr="00E952F6">
        <w:rPr>
          <w:rFonts w:hint="eastAsia"/>
          <w:rtl/>
        </w:rPr>
        <w:t>טקס</w:t>
      </w:r>
      <w:r w:rsidRPr="00E952F6">
        <w:rPr>
          <w:rtl/>
        </w:rPr>
        <w:t xml:space="preserve"> </w:t>
      </w:r>
      <w:r w:rsidRPr="00E952F6">
        <w:rPr>
          <w:rFonts w:hint="eastAsia"/>
          <w:rtl/>
        </w:rPr>
        <w:t>ההכרזה</w:t>
      </w:r>
      <w:r w:rsidRPr="00E952F6">
        <w:rPr>
          <w:rtl/>
        </w:rPr>
        <w:t xml:space="preserve">, </w:t>
      </w:r>
      <w:r w:rsidRPr="00E952F6">
        <w:rPr>
          <w:rFonts w:hint="eastAsia"/>
          <w:rtl/>
        </w:rPr>
        <w:t>התכנסה</w:t>
      </w:r>
      <w:r w:rsidRPr="00E952F6">
        <w:rPr>
          <w:rtl/>
        </w:rPr>
        <w:t xml:space="preserve"> </w:t>
      </w:r>
      <w:r w:rsidRPr="00E952F6">
        <w:rPr>
          <w:rFonts w:hint="eastAsia"/>
          <w:rtl/>
        </w:rPr>
        <w:t>מועצת</w:t>
      </w:r>
      <w:r w:rsidRPr="00E952F6">
        <w:rPr>
          <w:rtl/>
        </w:rPr>
        <w:t xml:space="preserve"> </w:t>
      </w:r>
      <w:r w:rsidRPr="00E952F6">
        <w:rPr>
          <w:rFonts w:hint="eastAsia"/>
          <w:rtl/>
        </w:rPr>
        <w:t>ה</w:t>
      </w:r>
      <w:r>
        <w:rPr>
          <w:rFonts w:hint="cs"/>
          <w:rtl/>
        </w:rPr>
        <w:t>מדינה הזמנית</w:t>
      </w:r>
      <w:r w:rsidRPr="00E952F6">
        <w:rPr>
          <w:rtl/>
        </w:rPr>
        <w:t xml:space="preserve"> </w:t>
      </w:r>
      <w:r w:rsidRPr="00E952F6">
        <w:rPr>
          <w:rFonts w:hint="eastAsia"/>
          <w:rtl/>
        </w:rPr>
        <w:t>לישיבה</w:t>
      </w:r>
      <w:r w:rsidRPr="00E952F6">
        <w:rPr>
          <w:rtl/>
        </w:rPr>
        <w:t xml:space="preserve"> </w:t>
      </w:r>
      <w:r>
        <w:rPr>
          <w:rFonts w:hint="cs"/>
          <w:rtl/>
        </w:rPr>
        <w:t xml:space="preserve">שבה </w:t>
      </w:r>
      <w:r>
        <w:rPr>
          <w:rFonts w:hint="eastAsia"/>
          <w:rtl/>
        </w:rPr>
        <w:t>א</w:t>
      </w:r>
      <w:r>
        <w:rPr>
          <w:rFonts w:hint="cs"/>
          <w:rtl/>
        </w:rPr>
        <w:t>וּשר</w:t>
      </w:r>
      <w:r w:rsidRPr="00E952F6">
        <w:rPr>
          <w:rtl/>
        </w:rPr>
        <w:t xml:space="preserve"> </w:t>
      </w:r>
      <w:r w:rsidRPr="00E952F6">
        <w:rPr>
          <w:rFonts w:hint="eastAsia"/>
          <w:rtl/>
        </w:rPr>
        <w:t>נוסח</w:t>
      </w:r>
      <w:r w:rsidRPr="00E952F6">
        <w:rPr>
          <w:rtl/>
        </w:rPr>
        <w:t xml:space="preserve"> </w:t>
      </w:r>
      <w:r w:rsidRPr="00E952F6">
        <w:rPr>
          <w:rFonts w:hint="eastAsia"/>
          <w:rtl/>
        </w:rPr>
        <w:t>ההכרזה</w:t>
      </w:r>
      <w:r w:rsidRPr="00E952F6">
        <w:rPr>
          <w:rtl/>
        </w:rPr>
        <w:t xml:space="preserve"> </w:t>
      </w:r>
      <w:r w:rsidRPr="00E952F6">
        <w:rPr>
          <w:rFonts w:hint="eastAsia"/>
          <w:rtl/>
        </w:rPr>
        <w:t>הסופי</w:t>
      </w:r>
      <w:r w:rsidRPr="00E952F6">
        <w:rPr>
          <w:rtl/>
        </w:rPr>
        <w:t xml:space="preserve">. </w:t>
      </w:r>
      <w:r w:rsidRPr="00E952F6">
        <w:rPr>
          <w:rFonts w:hint="eastAsia"/>
          <w:rtl/>
        </w:rPr>
        <w:t>מתוך</w:t>
      </w:r>
      <w:r w:rsidRPr="00E952F6">
        <w:rPr>
          <w:rtl/>
        </w:rPr>
        <w:t xml:space="preserve"> 37 </w:t>
      </w:r>
      <w:r w:rsidRPr="00E952F6">
        <w:rPr>
          <w:rFonts w:hint="eastAsia"/>
          <w:rtl/>
        </w:rPr>
        <w:t>חבריה</w:t>
      </w:r>
      <w:r w:rsidRPr="00E952F6">
        <w:rPr>
          <w:rtl/>
        </w:rPr>
        <w:t xml:space="preserve">, </w:t>
      </w:r>
      <w:r w:rsidRPr="00E952F6">
        <w:rPr>
          <w:rFonts w:hint="eastAsia"/>
          <w:rtl/>
        </w:rPr>
        <w:t>נכחו</w:t>
      </w:r>
      <w:r w:rsidRPr="00E952F6">
        <w:rPr>
          <w:rtl/>
        </w:rPr>
        <w:t xml:space="preserve"> </w:t>
      </w:r>
      <w:r w:rsidRPr="00E952F6">
        <w:rPr>
          <w:rFonts w:hint="eastAsia"/>
          <w:rtl/>
        </w:rPr>
        <w:t>בה</w:t>
      </w:r>
      <w:r w:rsidRPr="00E952F6">
        <w:rPr>
          <w:rtl/>
        </w:rPr>
        <w:t xml:space="preserve"> 24 </w:t>
      </w:r>
      <w:r w:rsidRPr="00E952F6">
        <w:rPr>
          <w:rFonts w:hint="eastAsia"/>
          <w:rtl/>
        </w:rPr>
        <w:t>חברים</w:t>
      </w:r>
      <w:r w:rsidRPr="00E952F6">
        <w:rPr>
          <w:rtl/>
        </w:rPr>
        <w:t xml:space="preserve"> </w:t>
      </w:r>
      <w:r w:rsidRPr="00E952F6">
        <w:rPr>
          <w:rFonts w:hint="eastAsia"/>
          <w:rtl/>
        </w:rPr>
        <w:t>בלבד</w:t>
      </w:r>
      <w:r w:rsidRPr="00E952F6">
        <w:rPr>
          <w:rtl/>
        </w:rPr>
        <w:t xml:space="preserve">. 12 </w:t>
      </w:r>
      <w:r w:rsidRPr="00E952F6">
        <w:rPr>
          <w:rFonts w:hint="eastAsia"/>
          <w:rtl/>
        </w:rPr>
        <w:t>מהנעדרים</w:t>
      </w:r>
      <w:r w:rsidRPr="00E952F6">
        <w:rPr>
          <w:rtl/>
        </w:rPr>
        <w:t xml:space="preserve">, </w:t>
      </w:r>
      <w:r>
        <w:rPr>
          <w:rFonts w:hint="cs"/>
          <w:rtl/>
        </w:rPr>
        <w:t xml:space="preserve">שהו </w:t>
      </w:r>
      <w:r w:rsidRPr="00E952F6">
        <w:rPr>
          <w:rFonts w:hint="eastAsia"/>
          <w:rtl/>
        </w:rPr>
        <w:t>אותה</w:t>
      </w:r>
      <w:r w:rsidRPr="00E952F6">
        <w:rPr>
          <w:rtl/>
        </w:rPr>
        <w:t xml:space="preserve"> </w:t>
      </w:r>
      <w:r w:rsidRPr="00E952F6">
        <w:rPr>
          <w:rFonts w:hint="eastAsia"/>
          <w:rtl/>
        </w:rPr>
        <w:t>שעה</w:t>
      </w:r>
      <w:r w:rsidRPr="00E952F6">
        <w:rPr>
          <w:rtl/>
        </w:rPr>
        <w:t xml:space="preserve"> </w:t>
      </w:r>
      <w:r w:rsidRPr="00E952F6">
        <w:rPr>
          <w:rFonts w:hint="eastAsia"/>
          <w:rtl/>
        </w:rPr>
        <w:t>בירושלים</w:t>
      </w:r>
      <w:r w:rsidRPr="00E952F6">
        <w:rPr>
          <w:rtl/>
        </w:rPr>
        <w:t xml:space="preserve"> </w:t>
      </w:r>
      <w:r w:rsidRPr="00E952F6">
        <w:rPr>
          <w:rFonts w:hint="eastAsia"/>
          <w:rtl/>
        </w:rPr>
        <w:t>הנצורה</w:t>
      </w:r>
      <w:r w:rsidRPr="00E952F6">
        <w:rPr>
          <w:rtl/>
        </w:rPr>
        <w:t xml:space="preserve">, </w:t>
      </w:r>
      <w:r w:rsidRPr="00E952F6">
        <w:rPr>
          <w:rFonts w:hint="eastAsia"/>
          <w:rtl/>
        </w:rPr>
        <w:t>ומסרו</w:t>
      </w:r>
      <w:r w:rsidRPr="00E952F6">
        <w:rPr>
          <w:rtl/>
        </w:rPr>
        <w:t xml:space="preserve"> </w:t>
      </w:r>
      <w:r w:rsidRPr="00E952F6">
        <w:rPr>
          <w:rFonts w:hint="eastAsia"/>
          <w:rtl/>
        </w:rPr>
        <w:t>מרחוק</w:t>
      </w:r>
      <w:r w:rsidRPr="00E952F6">
        <w:rPr>
          <w:rtl/>
        </w:rPr>
        <w:t xml:space="preserve"> </w:t>
      </w:r>
      <w:r w:rsidRPr="00E952F6">
        <w:rPr>
          <w:rFonts w:hint="eastAsia"/>
          <w:rtl/>
        </w:rPr>
        <w:t>את</w:t>
      </w:r>
      <w:r w:rsidRPr="00E952F6">
        <w:rPr>
          <w:rtl/>
        </w:rPr>
        <w:t xml:space="preserve"> </w:t>
      </w:r>
      <w:r w:rsidRPr="00E952F6">
        <w:rPr>
          <w:rFonts w:hint="eastAsia"/>
          <w:rtl/>
        </w:rPr>
        <w:t>אישורם</w:t>
      </w:r>
      <w:r w:rsidRPr="00E952F6">
        <w:rPr>
          <w:rtl/>
        </w:rPr>
        <w:t xml:space="preserve">, </w:t>
      </w:r>
      <w:r w:rsidRPr="00E952F6">
        <w:rPr>
          <w:rFonts w:hint="eastAsia"/>
          <w:rtl/>
        </w:rPr>
        <w:t>על</w:t>
      </w:r>
      <w:r w:rsidRPr="00E952F6">
        <w:rPr>
          <w:rtl/>
        </w:rPr>
        <w:t xml:space="preserve"> </w:t>
      </w:r>
      <w:r w:rsidRPr="00E952F6">
        <w:rPr>
          <w:rFonts w:hint="eastAsia"/>
          <w:rtl/>
        </w:rPr>
        <w:t>אף</w:t>
      </w:r>
      <w:r w:rsidRPr="00E952F6">
        <w:rPr>
          <w:rtl/>
        </w:rPr>
        <w:t xml:space="preserve"> </w:t>
      </w:r>
      <w:r w:rsidRPr="00E952F6">
        <w:rPr>
          <w:rFonts w:hint="eastAsia"/>
          <w:rtl/>
        </w:rPr>
        <w:t>שנוסח</w:t>
      </w:r>
      <w:r w:rsidRPr="00E952F6">
        <w:rPr>
          <w:rtl/>
        </w:rPr>
        <w:t xml:space="preserve"> </w:t>
      </w:r>
      <w:r w:rsidRPr="00E952F6">
        <w:rPr>
          <w:rFonts w:hint="eastAsia"/>
          <w:rtl/>
        </w:rPr>
        <w:t>ההכרזה</w:t>
      </w:r>
      <w:r w:rsidRPr="00E952F6">
        <w:rPr>
          <w:rtl/>
        </w:rPr>
        <w:t xml:space="preserve"> </w:t>
      </w:r>
      <w:r w:rsidRPr="00E952F6">
        <w:rPr>
          <w:rFonts w:hint="eastAsia"/>
          <w:rtl/>
        </w:rPr>
        <w:t>כלל</w:t>
      </w:r>
      <w:r w:rsidRPr="00E952F6">
        <w:rPr>
          <w:rtl/>
        </w:rPr>
        <w:t xml:space="preserve"> </w:t>
      </w:r>
      <w:r w:rsidRPr="00E952F6">
        <w:rPr>
          <w:rFonts w:hint="eastAsia"/>
          <w:rtl/>
        </w:rPr>
        <w:t>לא</w:t>
      </w:r>
      <w:r w:rsidRPr="00E952F6">
        <w:rPr>
          <w:rtl/>
        </w:rPr>
        <w:t xml:space="preserve"> </w:t>
      </w:r>
      <w:r w:rsidRPr="00E952F6">
        <w:rPr>
          <w:rFonts w:hint="eastAsia"/>
          <w:rtl/>
        </w:rPr>
        <w:t>עמד</w:t>
      </w:r>
      <w:r w:rsidRPr="00E952F6">
        <w:rPr>
          <w:rtl/>
        </w:rPr>
        <w:t xml:space="preserve"> </w:t>
      </w:r>
      <w:r>
        <w:rPr>
          <w:rFonts w:hint="cs"/>
          <w:rtl/>
        </w:rPr>
        <w:t>ל</w:t>
      </w:r>
      <w:r w:rsidRPr="00E952F6">
        <w:rPr>
          <w:rFonts w:hint="eastAsia"/>
          <w:rtl/>
        </w:rPr>
        <w:t>פניהם</w:t>
      </w:r>
      <w:r w:rsidRPr="00E952F6">
        <w:rPr>
          <w:rtl/>
        </w:rPr>
        <w:t xml:space="preserve">. </w:t>
      </w:r>
      <w:r w:rsidRPr="00E952F6">
        <w:rPr>
          <w:rFonts w:hint="eastAsia"/>
          <w:rtl/>
        </w:rPr>
        <w:t>לימים</w:t>
      </w:r>
      <w:r w:rsidRPr="00E952F6">
        <w:rPr>
          <w:rtl/>
        </w:rPr>
        <w:t xml:space="preserve"> </w:t>
      </w:r>
      <w:r w:rsidRPr="00E952F6">
        <w:rPr>
          <w:rFonts w:hint="eastAsia"/>
          <w:rtl/>
        </w:rPr>
        <w:t>יסבירו</w:t>
      </w:r>
      <w:r w:rsidRPr="00E952F6">
        <w:rPr>
          <w:rtl/>
        </w:rPr>
        <w:t xml:space="preserve"> </w:t>
      </w:r>
      <w:r w:rsidRPr="00E952F6">
        <w:rPr>
          <w:rFonts w:hint="eastAsia"/>
          <w:rtl/>
        </w:rPr>
        <w:t>חלקם</w:t>
      </w:r>
      <w:r w:rsidRPr="00E952F6">
        <w:rPr>
          <w:rtl/>
        </w:rPr>
        <w:t xml:space="preserve"> </w:t>
      </w:r>
      <w:r w:rsidRPr="00E952F6">
        <w:rPr>
          <w:rFonts w:hint="eastAsia"/>
          <w:rtl/>
        </w:rPr>
        <w:t>בהזדמנויות</w:t>
      </w:r>
      <w:r w:rsidRPr="00E952F6">
        <w:rPr>
          <w:rtl/>
        </w:rPr>
        <w:t xml:space="preserve"> </w:t>
      </w:r>
      <w:r w:rsidRPr="00E952F6">
        <w:rPr>
          <w:rFonts w:hint="eastAsia"/>
          <w:rtl/>
        </w:rPr>
        <w:t>שונות</w:t>
      </w:r>
      <w:r w:rsidRPr="00E952F6">
        <w:rPr>
          <w:rtl/>
        </w:rPr>
        <w:t xml:space="preserve">, </w:t>
      </w:r>
      <w:r w:rsidRPr="00E952F6">
        <w:rPr>
          <w:rFonts w:hint="eastAsia"/>
          <w:rtl/>
        </w:rPr>
        <w:t>כי</w:t>
      </w:r>
      <w:r w:rsidRPr="00E952F6">
        <w:rPr>
          <w:rtl/>
        </w:rPr>
        <w:t xml:space="preserve"> </w:t>
      </w:r>
      <w:r w:rsidRPr="00E952F6">
        <w:rPr>
          <w:rFonts w:hint="eastAsia"/>
          <w:rtl/>
        </w:rPr>
        <w:t>תמיכתם</w:t>
      </w:r>
      <w:r w:rsidRPr="00E952F6">
        <w:rPr>
          <w:rtl/>
        </w:rPr>
        <w:t xml:space="preserve"> </w:t>
      </w:r>
      <w:r w:rsidRPr="00E952F6">
        <w:rPr>
          <w:rFonts w:hint="eastAsia"/>
          <w:rtl/>
        </w:rPr>
        <w:t>באישור</w:t>
      </w:r>
      <w:r w:rsidRPr="00E952F6">
        <w:rPr>
          <w:rtl/>
        </w:rPr>
        <w:t xml:space="preserve"> </w:t>
      </w:r>
      <w:r w:rsidRPr="00E952F6">
        <w:rPr>
          <w:rFonts w:hint="eastAsia"/>
          <w:rtl/>
        </w:rPr>
        <w:t>נוסח</w:t>
      </w:r>
      <w:r w:rsidRPr="00E952F6">
        <w:rPr>
          <w:rtl/>
        </w:rPr>
        <w:t xml:space="preserve"> </w:t>
      </w:r>
      <w:r w:rsidRPr="00E952F6">
        <w:rPr>
          <w:rFonts w:hint="eastAsia"/>
          <w:rtl/>
        </w:rPr>
        <w:t>ההכרזה</w:t>
      </w:r>
      <w:r w:rsidRPr="00E952F6">
        <w:rPr>
          <w:rtl/>
        </w:rPr>
        <w:t xml:space="preserve">, </w:t>
      </w:r>
      <w:r w:rsidRPr="00E952F6">
        <w:rPr>
          <w:rFonts w:hint="eastAsia"/>
          <w:rtl/>
        </w:rPr>
        <w:t>נגעה</w:t>
      </w:r>
      <w:r w:rsidRPr="00E952F6">
        <w:rPr>
          <w:rtl/>
        </w:rPr>
        <w:t xml:space="preserve"> </w:t>
      </w:r>
      <w:r w:rsidRPr="00E952F6">
        <w:rPr>
          <w:rFonts w:hint="eastAsia"/>
          <w:rtl/>
        </w:rPr>
        <w:t>לעצם</w:t>
      </w:r>
      <w:r w:rsidRPr="00E952F6">
        <w:rPr>
          <w:rtl/>
        </w:rPr>
        <w:t xml:space="preserve"> </w:t>
      </w:r>
      <w:r w:rsidRPr="00E952F6">
        <w:rPr>
          <w:rFonts w:hint="eastAsia"/>
          <w:rtl/>
        </w:rPr>
        <w:t>ההחלטה</w:t>
      </w:r>
      <w:r w:rsidRPr="00E952F6">
        <w:rPr>
          <w:rtl/>
        </w:rPr>
        <w:t xml:space="preserve"> </w:t>
      </w:r>
      <w:r w:rsidRPr="00E952F6">
        <w:rPr>
          <w:rFonts w:hint="eastAsia"/>
          <w:rtl/>
        </w:rPr>
        <w:t>לצאת</w:t>
      </w:r>
      <w:r w:rsidRPr="00E952F6">
        <w:rPr>
          <w:rtl/>
        </w:rPr>
        <w:t xml:space="preserve"> </w:t>
      </w:r>
      <w:r w:rsidRPr="00E952F6">
        <w:rPr>
          <w:rFonts w:hint="eastAsia"/>
          <w:rtl/>
        </w:rPr>
        <w:t>לדרך</w:t>
      </w:r>
      <w:r w:rsidRPr="00E952F6">
        <w:rPr>
          <w:rtl/>
        </w:rPr>
        <w:t xml:space="preserve"> </w:t>
      </w:r>
      <w:r w:rsidRPr="00E952F6">
        <w:rPr>
          <w:rFonts w:hint="eastAsia"/>
          <w:rtl/>
        </w:rPr>
        <w:t>מדינית</w:t>
      </w:r>
      <w:r w:rsidRPr="00E952F6">
        <w:rPr>
          <w:rtl/>
        </w:rPr>
        <w:t xml:space="preserve"> </w:t>
      </w:r>
      <w:r w:rsidRPr="00E952F6">
        <w:rPr>
          <w:rFonts w:hint="eastAsia"/>
          <w:rtl/>
        </w:rPr>
        <w:t>עצמאית</w:t>
      </w:r>
      <w:r w:rsidRPr="00E952F6">
        <w:rPr>
          <w:rtl/>
        </w:rPr>
        <w:t xml:space="preserve">, </w:t>
      </w:r>
      <w:r w:rsidRPr="00E952F6">
        <w:rPr>
          <w:rFonts w:hint="eastAsia"/>
          <w:rtl/>
        </w:rPr>
        <w:t>ולא</w:t>
      </w:r>
      <w:r w:rsidRPr="00E952F6">
        <w:rPr>
          <w:rtl/>
        </w:rPr>
        <w:t xml:space="preserve"> </w:t>
      </w:r>
      <w:r w:rsidRPr="00E952F6">
        <w:rPr>
          <w:rFonts w:hint="eastAsia"/>
          <w:rtl/>
        </w:rPr>
        <w:t>נסובה</w:t>
      </w:r>
      <w:r w:rsidRPr="00E952F6">
        <w:rPr>
          <w:rtl/>
        </w:rPr>
        <w:t xml:space="preserve"> </w:t>
      </w:r>
      <w:r w:rsidRPr="00E952F6">
        <w:rPr>
          <w:rFonts w:hint="eastAsia"/>
          <w:rtl/>
        </w:rPr>
        <w:t>על</w:t>
      </w:r>
      <w:r w:rsidRPr="00E952F6">
        <w:rPr>
          <w:rtl/>
        </w:rPr>
        <w:t xml:space="preserve"> </w:t>
      </w:r>
      <w:r w:rsidRPr="00E952F6">
        <w:rPr>
          <w:rFonts w:hint="eastAsia"/>
          <w:rtl/>
        </w:rPr>
        <w:t>פרטי</w:t>
      </w:r>
      <w:r w:rsidRPr="00E952F6">
        <w:rPr>
          <w:rtl/>
        </w:rPr>
        <w:t xml:space="preserve"> </w:t>
      </w:r>
      <w:r w:rsidRPr="00E952F6">
        <w:rPr>
          <w:rFonts w:hint="eastAsia"/>
          <w:rtl/>
        </w:rPr>
        <w:t>ההכרזה</w:t>
      </w:r>
      <w:r w:rsidRPr="00E952F6">
        <w:rPr>
          <w:rtl/>
        </w:rPr>
        <w:t xml:space="preserve">, </w:t>
      </w:r>
      <w:r w:rsidRPr="00E952F6">
        <w:rPr>
          <w:rFonts w:hint="eastAsia"/>
          <w:rtl/>
        </w:rPr>
        <w:t>שכאמור</w:t>
      </w:r>
      <w:r w:rsidRPr="00E952F6">
        <w:rPr>
          <w:rtl/>
        </w:rPr>
        <w:t xml:space="preserve"> – </w:t>
      </w:r>
      <w:r w:rsidRPr="00E952F6">
        <w:rPr>
          <w:rFonts w:hint="eastAsia"/>
          <w:rtl/>
        </w:rPr>
        <w:t>נוסחה</w:t>
      </w:r>
      <w:r>
        <w:rPr>
          <w:rFonts w:hint="cs"/>
          <w:rtl/>
        </w:rPr>
        <w:t>ּ</w:t>
      </w:r>
      <w:r w:rsidRPr="00E952F6">
        <w:rPr>
          <w:rtl/>
        </w:rPr>
        <w:t xml:space="preserve"> </w:t>
      </w:r>
      <w:r w:rsidRPr="00E952F6">
        <w:rPr>
          <w:rFonts w:hint="eastAsia"/>
          <w:rtl/>
        </w:rPr>
        <w:t>המלא</w:t>
      </w:r>
      <w:r w:rsidRPr="00E952F6">
        <w:rPr>
          <w:rtl/>
        </w:rPr>
        <w:t xml:space="preserve"> </w:t>
      </w:r>
      <w:r w:rsidRPr="00E952F6">
        <w:rPr>
          <w:rFonts w:hint="eastAsia"/>
          <w:rtl/>
        </w:rPr>
        <w:t>לא</w:t>
      </w:r>
      <w:r w:rsidRPr="00E952F6">
        <w:rPr>
          <w:rtl/>
        </w:rPr>
        <w:t xml:space="preserve"> </w:t>
      </w:r>
      <w:r w:rsidRPr="00E952F6">
        <w:rPr>
          <w:rFonts w:hint="eastAsia"/>
          <w:rtl/>
        </w:rPr>
        <w:t>היה</w:t>
      </w:r>
      <w:r w:rsidRPr="00E952F6">
        <w:rPr>
          <w:rtl/>
        </w:rPr>
        <w:t xml:space="preserve"> </w:t>
      </w:r>
      <w:r w:rsidRPr="00E952F6">
        <w:rPr>
          <w:rFonts w:hint="eastAsia"/>
          <w:rtl/>
        </w:rPr>
        <w:t>ידוע</w:t>
      </w:r>
      <w:r w:rsidRPr="00E952F6">
        <w:rPr>
          <w:rtl/>
        </w:rPr>
        <w:t xml:space="preserve"> </w:t>
      </w:r>
      <w:r w:rsidRPr="00E952F6">
        <w:rPr>
          <w:rFonts w:hint="eastAsia"/>
          <w:rtl/>
        </w:rPr>
        <w:t>להם</w:t>
      </w:r>
      <w:r w:rsidRPr="00E952F6">
        <w:rPr>
          <w:rtl/>
        </w:rPr>
        <w:t xml:space="preserve"> </w:t>
      </w:r>
      <w:r w:rsidRPr="00E952F6">
        <w:rPr>
          <w:rFonts w:hint="eastAsia"/>
          <w:rtl/>
        </w:rPr>
        <w:t>אותה</w:t>
      </w:r>
      <w:r w:rsidRPr="00E952F6">
        <w:rPr>
          <w:rtl/>
        </w:rPr>
        <w:t xml:space="preserve"> </w:t>
      </w:r>
      <w:r w:rsidRPr="00E952F6">
        <w:rPr>
          <w:rFonts w:hint="eastAsia"/>
          <w:rtl/>
        </w:rPr>
        <w:t>שעה</w:t>
      </w:r>
      <w:r>
        <w:rPr>
          <w:rFonts w:hint="cs"/>
          <w:rtl/>
        </w:rPr>
        <w:t xml:space="preserve"> (יורם שחר </w:t>
      </w:r>
      <w:r w:rsidRPr="002F6807">
        <w:rPr>
          <w:rFonts w:cs="Miriam" w:hint="cs"/>
          <w:b/>
          <w:spacing w:val="0"/>
          <w:sz w:val="22"/>
          <w:szCs w:val="24"/>
          <w:rtl/>
        </w:rPr>
        <w:t>כבוד, חירות ועמל-ישרים</w:t>
      </w:r>
      <w:r>
        <w:rPr>
          <w:rFonts w:cs="Miriam" w:hint="cs"/>
          <w:b/>
          <w:spacing w:val="0"/>
          <w:szCs w:val="24"/>
          <w:rtl/>
        </w:rPr>
        <w:t xml:space="preserve"> </w:t>
      </w:r>
      <w:r w:rsidRPr="0046395C">
        <w:rPr>
          <w:sz w:val="22"/>
          <w:rtl/>
        </w:rPr>
        <w:t>–</w:t>
      </w:r>
      <w:r w:rsidRPr="0046395C">
        <w:rPr>
          <w:rFonts w:cs="Miriam" w:hint="cs"/>
          <w:b/>
          <w:spacing w:val="0"/>
          <w:szCs w:val="24"/>
          <w:rtl/>
        </w:rPr>
        <w:t xml:space="preserve"> </w:t>
      </w:r>
      <w:r>
        <w:rPr>
          <w:rFonts w:cs="Miriam" w:hint="cs"/>
          <w:b/>
          <w:spacing w:val="0"/>
          <w:szCs w:val="24"/>
          <w:rtl/>
        </w:rPr>
        <w:t>סיפור חיבורה של מגילת העצמאות</w:t>
      </w:r>
      <w:r>
        <w:rPr>
          <w:rFonts w:hint="cs"/>
          <w:rtl/>
        </w:rPr>
        <w:t xml:space="preserve">, 181 (2021)) (להלן: </w:t>
      </w:r>
      <w:r w:rsidRPr="0046395C">
        <w:rPr>
          <w:rFonts w:cs="Miriam" w:hint="cs"/>
          <w:b/>
          <w:spacing w:val="0"/>
          <w:sz w:val="22"/>
          <w:szCs w:val="24"/>
          <w:rtl/>
        </w:rPr>
        <w:t>שחר</w:t>
      </w:r>
      <w:r>
        <w:rPr>
          <w:rFonts w:hint="cs"/>
          <w:rtl/>
        </w:rPr>
        <w:t xml:space="preserve">)). </w:t>
      </w:r>
    </w:p>
    <w:p w:rsidR="00EB02E1" w:rsidRPr="00E952F6" w:rsidRDefault="00EB02E1" w:rsidP="00EB02E1">
      <w:pPr>
        <w:pStyle w:val="Ruller41"/>
      </w:pPr>
    </w:p>
    <w:p w:rsidR="00EB02E1" w:rsidRDefault="00EB02E1" w:rsidP="00EB02E1">
      <w:pPr>
        <w:pStyle w:val="Ruller4"/>
        <w:rPr>
          <w:rtl/>
        </w:rPr>
      </w:pPr>
      <w:r>
        <w:rPr>
          <w:rFonts w:hint="cs"/>
          <w:rtl/>
        </w:rPr>
        <w:t xml:space="preserve">עלינו להכיר בעובדות ההיסטוריות כהווייתן: </w:t>
      </w:r>
      <w:r w:rsidRPr="00EE7FA0">
        <w:rPr>
          <w:rFonts w:ascii="Century" w:hAnsi="Century" w:cs="Miriam" w:hint="cs"/>
          <w:b/>
          <w:spacing w:val="0"/>
          <w:sz w:val="22"/>
          <w:szCs w:val="24"/>
          <w:rtl/>
        </w:rPr>
        <w:t xml:space="preserve">"המנדט הבריטי על ארץ-ישראל טרם בא אל קצו, והנה קם גוף, כינה את עצמו 'מועצת העם' ונטל לו </w:t>
      </w:r>
      <w:r w:rsidRPr="00EE7FA0">
        <w:rPr>
          <w:rFonts w:ascii="Century" w:hAnsi="Century" w:cs="Miriam"/>
          <w:b/>
          <w:spacing w:val="0"/>
          <w:sz w:val="22"/>
          <w:szCs w:val="24"/>
          <w:rtl/>
        </w:rPr>
        <w:t>–</w:t>
      </w:r>
      <w:r w:rsidRPr="00EE7FA0">
        <w:rPr>
          <w:rFonts w:ascii="Century" w:hAnsi="Century" w:cs="Miriam" w:hint="cs"/>
          <w:b/>
          <w:spacing w:val="0"/>
          <w:sz w:val="22"/>
          <w:szCs w:val="24"/>
          <w:rtl/>
        </w:rPr>
        <w:t xml:space="preserve"> מבלי שהוסמך לכך הסמכה משפטית </w:t>
      </w:r>
      <w:r>
        <w:rPr>
          <w:rFonts w:ascii="FrankRuehl" w:hAnsi="FrankRuehl"/>
          <w:color w:val="000000"/>
          <w:sz w:val="28"/>
          <w:shd w:val="clear" w:color="auto" w:fill="FFFFFF"/>
          <w:rtl/>
        </w:rPr>
        <w:t>–</w:t>
      </w:r>
      <w:r w:rsidRPr="00EE7FA0">
        <w:rPr>
          <w:rFonts w:ascii="Century" w:hAnsi="Century" w:cs="Miriam" w:hint="cs"/>
          <w:b/>
          <w:spacing w:val="0"/>
          <w:sz w:val="22"/>
          <w:szCs w:val="24"/>
          <w:rtl/>
        </w:rPr>
        <w:t xml:space="preserve"> איצטלה, ואם נרצה יומרה לא מועטה ולא פשוטה, של יצירת מבנה שלטוני חדש, מבוסס בפועל</w:t>
      </w:r>
      <w:r>
        <w:rPr>
          <w:rFonts w:ascii="Century" w:hAnsi="Century" w:cs="Miriam" w:hint="cs"/>
          <w:b/>
          <w:spacing w:val="0"/>
          <w:sz w:val="22"/>
          <w:szCs w:val="24"/>
          <w:rtl/>
        </w:rPr>
        <w:t xml:space="preserve"> </w:t>
      </w:r>
      <w:r w:rsidRPr="00EE7FA0">
        <w:rPr>
          <w:rFonts w:ascii="Century" w:hAnsi="Century" w:cs="Miriam" w:hint="cs"/>
          <w:b/>
          <w:spacing w:val="0"/>
          <w:sz w:val="22"/>
          <w:szCs w:val="24"/>
          <w:rtl/>
        </w:rPr>
        <w:t>ע</w:t>
      </w:r>
      <w:r>
        <w:rPr>
          <w:rFonts w:ascii="Century" w:hAnsi="Century" w:cs="Miriam" w:hint="cs"/>
          <w:b/>
          <w:spacing w:val="0"/>
          <w:sz w:val="22"/>
          <w:szCs w:val="24"/>
          <w:rtl/>
        </w:rPr>
        <w:t>ל</w:t>
      </w:r>
      <w:r w:rsidRPr="00EE7FA0">
        <w:rPr>
          <w:rFonts w:ascii="Century" w:hAnsi="Century" w:cs="Miriam" w:hint="cs"/>
          <w:b/>
          <w:spacing w:val="0"/>
          <w:sz w:val="22"/>
          <w:szCs w:val="24"/>
          <w:rtl/>
        </w:rPr>
        <w:t xml:space="preserve"> עקרונות משפטיים; אותו גוף, מועצת העם של היישוב היהודי</w:t>
      </w:r>
      <w:r>
        <w:rPr>
          <w:rFonts w:ascii="Century" w:hAnsi="Century" w:cs="Miriam" w:hint="cs"/>
          <w:b/>
          <w:spacing w:val="0"/>
          <w:sz w:val="22"/>
          <w:szCs w:val="24"/>
          <w:rtl/>
        </w:rPr>
        <w:t xml:space="preserve"> </w:t>
      </w:r>
      <w:r w:rsidRPr="00EE7FA0">
        <w:rPr>
          <w:rFonts w:ascii="Century" w:hAnsi="Century" w:cs="Miriam" w:hint="cs"/>
          <w:b/>
          <w:spacing w:val="0"/>
          <w:sz w:val="22"/>
          <w:szCs w:val="24"/>
          <w:rtl/>
        </w:rPr>
        <w:t>בארץ-ישראל המנדטורית</w:t>
      </w:r>
      <w:r>
        <w:rPr>
          <w:rFonts w:ascii="Century" w:hAnsi="Century" w:cs="Miriam" w:hint="cs"/>
          <w:b/>
          <w:spacing w:val="0"/>
          <w:sz w:val="22"/>
          <w:szCs w:val="24"/>
          <w:rtl/>
        </w:rPr>
        <w:t xml:space="preserve">, שהורכבה מהנהלת הסוכנות והנהלת הוועד הלאומי אך חודשים אחדים לפני כן, השים עצמו בראשות אותה בריאה חדשה, וכינה את עצמו בשם 'מועצת המדינה הזמנית'; מועצה זו הזדרזה להוציא מנשר </w:t>
      </w:r>
      <w:r>
        <w:rPr>
          <w:rFonts w:ascii="Century" w:hAnsi="Century" w:cs="Miriam"/>
          <w:b/>
          <w:spacing w:val="0"/>
          <w:sz w:val="22"/>
          <w:szCs w:val="24"/>
          <w:rtl/>
        </w:rPr>
        <w:t>–</w:t>
      </w:r>
      <w:r>
        <w:rPr>
          <w:rFonts w:ascii="Century" w:hAnsi="Century" w:cs="Miriam" w:hint="cs"/>
          <w:b/>
          <w:spacing w:val="0"/>
          <w:sz w:val="22"/>
          <w:szCs w:val="24"/>
          <w:rtl/>
        </w:rPr>
        <w:t xml:space="preserve"> 'בתוקף ההכרזה' </w:t>
      </w:r>
      <w:r>
        <w:rPr>
          <w:rFonts w:ascii="Century" w:hAnsi="Century" w:cs="Miriam"/>
          <w:b/>
          <w:spacing w:val="0"/>
          <w:sz w:val="22"/>
          <w:szCs w:val="24"/>
          <w:rtl/>
        </w:rPr>
        <w:t>–</w:t>
      </w:r>
      <w:r>
        <w:rPr>
          <w:rFonts w:ascii="Century" w:hAnsi="Century" w:cs="Miriam" w:hint="cs"/>
          <w:b/>
          <w:spacing w:val="0"/>
          <w:sz w:val="22"/>
          <w:szCs w:val="24"/>
          <w:rtl/>
        </w:rPr>
        <w:t xml:space="preserve"> בחתימתה, עוד קודם שנולדה. משל למה הדבר דומה? לברון מינכהאוזן שיבקש למשות את עצמו מן המים ולהינצל מטביעה על דרך של אחיזתו בציצית ראשו שלו עצמו. לשון אחר: הכרזת העצמאות, המנשר שיצא מכוחה, המוסדות שהוקמו </w:t>
      </w:r>
      <w:r>
        <w:rPr>
          <w:rFonts w:ascii="Century" w:hAnsi="Century" w:cs="Miriam"/>
          <w:b/>
          <w:spacing w:val="0"/>
          <w:sz w:val="22"/>
          <w:szCs w:val="24"/>
          <w:rtl/>
        </w:rPr>
        <w:t>–</w:t>
      </w:r>
      <w:r>
        <w:rPr>
          <w:rFonts w:ascii="Century" w:hAnsi="Century" w:cs="Miriam" w:hint="cs"/>
          <w:b/>
          <w:spacing w:val="0"/>
          <w:sz w:val="22"/>
          <w:szCs w:val="24"/>
          <w:rtl/>
        </w:rPr>
        <w:t xml:space="preserve"> יכול היה הטוען לטעון כי כל אלה תלויים על בלימה משפטית" </w:t>
      </w:r>
      <w:r>
        <w:rPr>
          <w:rFonts w:hint="cs"/>
          <w:rtl/>
        </w:rPr>
        <w:t>(</w:t>
      </w:r>
      <w:r>
        <w:rPr>
          <w:rFonts w:ascii="FrankRuehl" w:hAnsi="FrankRuehl"/>
          <w:color w:val="000000"/>
          <w:sz w:val="28"/>
          <w:shd w:val="clear" w:color="auto" w:fill="FFFFFF"/>
          <w:rtl/>
        </w:rPr>
        <w:t>אליקים רובינשטיין ונעם סולברג "הכרזת העצמאות של מדינת ישראל – אחרי בּלוֹתה (כמעט) היתה לה עדנה" </w:t>
      </w:r>
      <w:r w:rsidRPr="00E952F6">
        <w:rPr>
          <w:rFonts w:ascii="Century" w:hAnsi="Century" w:cs="Miriam"/>
          <w:b/>
          <w:spacing w:val="0"/>
          <w:sz w:val="22"/>
          <w:szCs w:val="24"/>
          <w:shd w:val="clear" w:color="auto" w:fill="FFFFFF"/>
          <w:rtl/>
        </w:rPr>
        <w:t>נתיבי משפט וממשל: סוגיות במשפט הציבורי בישראל</w:t>
      </w:r>
      <w:r>
        <w:rPr>
          <w:rFonts w:ascii="Century" w:hAnsi="Century" w:cs="Miriam" w:hint="cs"/>
          <w:b/>
          <w:spacing w:val="0"/>
          <w:sz w:val="22"/>
          <w:szCs w:val="24"/>
          <w:shd w:val="clear" w:color="auto" w:fill="FFFFFF"/>
          <w:rtl/>
        </w:rPr>
        <w:t xml:space="preserve"> </w:t>
      </w:r>
      <w:r w:rsidRPr="000114F5">
        <w:rPr>
          <w:rFonts w:hint="cs"/>
          <w:rtl/>
        </w:rPr>
        <w:t xml:space="preserve">179 </w:t>
      </w:r>
      <w:r>
        <w:rPr>
          <w:rFonts w:ascii="FrankRuehl" w:hAnsi="FrankRuehl" w:hint="cs"/>
          <w:color w:val="000000"/>
          <w:sz w:val="28"/>
          <w:shd w:val="clear" w:color="auto" w:fill="FFFFFF"/>
          <w:rtl/>
        </w:rPr>
        <w:t>(2003)).</w:t>
      </w:r>
      <w:r>
        <w:rPr>
          <w:rFonts w:hint="cs"/>
          <w:rtl/>
        </w:rPr>
        <w:t xml:space="preserve"> כאמור במאמרנו שם, לבטח התוקף המשפטי של מסמך היסוד של מדינת ישראל בעינו עומד, ויעמוד לעד. מעמד נשגב, נעלה ומרומם נודע לה, להכרזת העצמאות (כך אמרתי בעניין </w:t>
      </w:r>
      <w:r w:rsidRPr="006B7FE1">
        <w:rPr>
          <w:rFonts w:ascii="Century" w:hAnsi="Century" w:cs="Miriam" w:hint="cs"/>
          <w:b/>
          <w:spacing w:val="0"/>
          <w:sz w:val="22"/>
          <w:szCs w:val="24"/>
          <w:rtl/>
        </w:rPr>
        <w:t>טבריה</w:t>
      </w:r>
      <w:r>
        <w:rPr>
          <w:rFonts w:hint="cs"/>
          <w:rtl/>
        </w:rPr>
        <w:t xml:space="preserve"> בפסקה 36); אך אין להכתירה במעמד-על משפטי שלא נועדה לו. </w:t>
      </w:r>
      <w:r w:rsidRPr="00057B84">
        <w:rPr>
          <w:rFonts w:ascii="Century" w:hAnsi="Century" w:cs="Miriam" w:hint="cs"/>
          <w:b/>
          <w:spacing w:val="0"/>
          <w:sz w:val="22"/>
          <w:szCs w:val="24"/>
          <w:rtl/>
        </w:rPr>
        <w:t>"הכרזת העצמאות אינה החוקה של המדינה</w:t>
      </w:r>
      <w:r>
        <w:rPr>
          <w:rFonts w:ascii="Century" w:hAnsi="Century" w:cs="Miriam" w:hint="cs"/>
          <w:b/>
          <w:spacing w:val="0"/>
          <w:sz w:val="22"/>
          <w:szCs w:val="24"/>
          <w:rtl/>
        </w:rPr>
        <w:t>,</w:t>
      </w:r>
      <w:r w:rsidRPr="00057B84">
        <w:rPr>
          <w:rFonts w:ascii="Century" w:hAnsi="Century" w:cs="Miriam" w:hint="cs"/>
          <w:b/>
          <w:spacing w:val="0"/>
          <w:sz w:val="22"/>
          <w:szCs w:val="24"/>
          <w:rtl/>
        </w:rPr>
        <w:t xml:space="preserve"> שחוקי המדינה הרגילים כפופים לה</w:t>
      </w:r>
      <w:r>
        <w:rPr>
          <w:rFonts w:ascii="Century" w:hAnsi="Century" w:cs="Miriam" w:hint="cs"/>
          <w:b/>
          <w:spacing w:val="0"/>
          <w:sz w:val="22"/>
          <w:szCs w:val="24"/>
          <w:rtl/>
        </w:rPr>
        <w:t>.</w:t>
      </w:r>
      <w:r w:rsidRPr="00057B84">
        <w:rPr>
          <w:rFonts w:ascii="Century" w:hAnsi="Century" w:cs="Miriam" w:hint="cs"/>
          <w:b/>
          <w:spacing w:val="0"/>
          <w:sz w:val="22"/>
          <w:szCs w:val="24"/>
          <w:rtl/>
        </w:rPr>
        <w:t xml:space="preserve"> שהרי בהכרזה עצמה נאמר ביחס למוסדות השלטון הראשונים של המדינה, שהם יכהנו ויפעלו עד אשר אסיפה מכוננת נבחרת תקבע את החוקה"</w:t>
      </w:r>
      <w:r>
        <w:rPr>
          <w:rFonts w:hint="cs"/>
          <w:rtl/>
        </w:rPr>
        <w:t xml:space="preserve"> (דינה זילבר "הכרזת העצמאות שלי" </w:t>
      </w:r>
      <w:r w:rsidRPr="00057B84">
        <w:rPr>
          <w:rFonts w:ascii="Century" w:hAnsi="Century" w:cs="Miriam" w:hint="cs"/>
          <w:b/>
          <w:spacing w:val="0"/>
          <w:sz w:val="22"/>
          <w:szCs w:val="24"/>
          <w:rtl/>
        </w:rPr>
        <w:t>שורשים במשפט</w:t>
      </w:r>
      <w:r>
        <w:rPr>
          <w:rFonts w:hint="cs"/>
          <w:rtl/>
        </w:rPr>
        <w:t xml:space="preserve"> 19, 24 (דינה זילבר עורכת, 2020)).</w:t>
      </w:r>
    </w:p>
    <w:p w:rsidR="00EB02E1" w:rsidRPr="000B33E1" w:rsidRDefault="00EB02E1" w:rsidP="00EB02E1">
      <w:pPr>
        <w:pStyle w:val="Ruller41"/>
      </w:pPr>
    </w:p>
    <w:p w:rsidR="00EB02E1" w:rsidRDefault="00EB02E1" w:rsidP="00EB02E1">
      <w:pPr>
        <w:pStyle w:val="Ruller4"/>
        <w:rPr>
          <w:rtl/>
        </w:rPr>
      </w:pPr>
      <w:r>
        <w:rPr>
          <w:rFonts w:hint="cs"/>
          <w:rtl/>
        </w:rPr>
        <w:t xml:space="preserve">המעיין בפרוטוקולים, שבהם הועלו על הכתב דברי חברי מועצת המדינה הזמנית, בדיון החפוז שהתקיים בעניינה של מגילת העצמאות, ביום ה' באייר התש"ח, עובר להכרזה, לא יכול שלא להגיע למסקנה, כי איש לא העלה על קצה דעתו, כי יום יבוא, ויהא מי שיבקש לראות אותה הכרזה, כמסמך המכיל 'פסקת נצחיות', ממנה לא ניתן לסטות 'לעולם ועד'. די לי אם אצטט את דבריו של דוד בן-גוריון, בסיכום הדיון, רגעים אחדים לפני ההצבעה על נוסח ההכרזה. במענה לבקשת חבר המועצה מאיר וילנר, להוסיף לחלק השלישי של ההכרזה, בצד 'חירות הלשון', גם את 'חופש הדפוס והאסיפות', השיב הזקֵן: </w:t>
      </w:r>
      <w:r w:rsidRPr="0046395C">
        <w:rPr>
          <w:rFonts w:cs="Miriam" w:hint="cs"/>
          <w:b/>
          <w:spacing w:val="0"/>
          <w:sz w:val="22"/>
          <w:szCs w:val="24"/>
          <w:rtl/>
        </w:rPr>
        <w:t xml:space="preserve">"אין זו קונסטיטוציה. תהיה קונסטיטוציה לחוד. ואף אחד מאיתנו אינו חולק על חופש הדיבור והאסיפות וכו'. אנחנו הכנסנו כאן את הדברים היסודיים </w:t>
      </w:r>
      <w:r w:rsidRPr="00E952F6">
        <w:rPr>
          <w:rFonts w:cs="Miriam" w:hint="cs"/>
          <w:b/>
          <w:spacing w:val="0"/>
          <w:sz w:val="22"/>
          <w:szCs w:val="24"/>
          <w:u w:val="single"/>
          <w:rtl/>
        </w:rPr>
        <w:t>הנדרשים מאתנו מטעם האו"מ</w:t>
      </w:r>
      <w:r w:rsidRPr="0046395C">
        <w:rPr>
          <w:rFonts w:cs="Miriam" w:hint="cs"/>
          <w:b/>
          <w:spacing w:val="0"/>
          <w:sz w:val="22"/>
          <w:szCs w:val="24"/>
          <w:rtl/>
        </w:rPr>
        <w:t xml:space="preserve"> ובטוחני שבחוקה המלאה יהיו הדברים האלה ועוד כהנה וכהנה"</w:t>
      </w:r>
      <w:r>
        <w:rPr>
          <w:rFonts w:hint="cs"/>
          <w:rtl/>
        </w:rPr>
        <w:t xml:space="preserve"> (מועצת המדינה הזמנית, 14.5.1948 עמ' 20). הנה כי כן: נוסח ההכרזה, ובפרט החלק השלישי שבה </w:t>
      </w:r>
      <w:r>
        <w:rPr>
          <w:rtl/>
        </w:rPr>
        <w:t>–</w:t>
      </w:r>
      <w:r>
        <w:rPr>
          <w:rFonts w:hint="cs"/>
          <w:rtl/>
        </w:rPr>
        <w:t xml:space="preserve"> לא לוּבּן כל צרכּוֹ. זאת, על יסוד ההנחה, ששלב הכרזת העצמאות בחייה של המדינה הצעירה, בדומה להכרזות העצמאות של עמים אחרים, בדגש על הכרזת העצמאות האמריקאית, נושא בעיקרו אופי דקלרטיבי כלפי חוץ </w:t>
      </w:r>
      <w:r>
        <w:rPr>
          <w:rtl/>
        </w:rPr>
        <w:t>–</w:t>
      </w:r>
      <w:r>
        <w:rPr>
          <w:rFonts w:hint="cs"/>
          <w:rtl/>
        </w:rPr>
        <w:t xml:space="preserve"> תביעת הכרה </w:t>
      </w:r>
      <w:r>
        <w:rPr>
          <w:rFonts w:hint="cs"/>
          <w:rtl/>
        </w:rPr>
        <w:lastRenderedPageBreak/>
        <w:t xml:space="preserve">מאומות העולם; לא גיבוש 'פסקת נצחיות', שתגביל את סמכותה של הרשות המכוננת, מעתה ועד עולם. </w:t>
      </w:r>
    </w:p>
    <w:p w:rsidR="00EB02E1" w:rsidRPr="00E952F6" w:rsidRDefault="00EB02E1" w:rsidP="00EB02E1">
      <w:pPr>
        <w:pStyle w:val="Ruller41"/>
      </w:pPr>
    </w:p>
    <w:p w:rsidR="00EB02E1" w:rsidRDefault="00EB02E1" w:rsidP="00EB02E1">
      <w:pPr>
        <w:pStyle w:val="Ruller4"/>
        <w:rPr>
          <w:rtl/>
        </w:rPr>
      </w:pPr>
      <w:r>
        <w:rPr>
          <w:rFonts w:hint="cs"/>
          <w:rtl/>
        </w:rPr>
        <w:t xml:space="preserve">דברים נוספים, מפורשים, אמר דוד בן-גוריון באותה ישיבה, באותה מגמה: </w:t>
      </w:r>
      <w:r w:rsidRPr="00FB6B40">
        <w:rPr>
          <w:rFonts w:ascii="Century" w:hAnsi="Century" w:cs="Miriam" w:hint="cs"/>
          <w:b/>
          <w:spacing w:val="0"/>
          <w:sz w:val="22"/>
          <w:szCs w:val="24"/>
          <w:rtl/>
        </w:rPr>
        <w:t>"הכוונה [בהכרזה] הייתה לתת רק את אותם הדברים שלפי דעתנו מבססים בשבילנו, בשביל עם ישראל, בשביל דעת הקהל בעולם ובשביל האומות המאוחד</w:t>
      </w:r>
      <w:r>
        <w:rPr>
          <w:rFonts w:ascii="Century" w:hAnsi="Century" w:cs="Miriam" w:hint="cs"/>
          <w:b/>
          <w:spacing w:val="0"/>
          <w:sz w:val="22"/>
          <w:szCs w:val="24"/>
          <w:rtl/>
        </w:rPr>
        <w:t>ות את הדבר הז</w:t>
      </w:r>
      <w:r w:rsidRPr="00FB6B40">
        <w:rPr>
          <w:rFonts w:ascii="Century" w:hAnsi="Century" w:cs="Miriam" w:hint="cs"/>
          <w:b/>
          <w:spacing w:val="0"/>
          <w:sz w:val="22"/>
          <w:szCs w:val="24"/>
          <w:rtl/>
        </w:rPr>
        <w:t>ה שאנו אומרים לעשות היום, מדוע אנו מכריזים על עצמאות. שום דבר אחר. אין זאת קונסטיטוציה"</w:t>
      </w:r>
      <w:r>
        <w:rPr>
          <w:rFonts w:hint="cs"/>
          <w:rtl/>
        </w:rPr>
        <w:t xml:space="preserve"> (שם; וראו אצל </w:t>
      </w:r>
      <w:r w:rsidRPr="00FB6B40">
        <w:rPr>
          <w:rFonts w:ascii="Century" w:hAnsi="Century" w:cs="Miriam" w:hint="cs"/>
          <w:b/>
          <w:spacing w:val="0"/>
          <w:sz w:val="22"/>
          <w:szCs w:val="24"/>
          <w:rtl/>
        </w:rPr>
        <w:t>שחר</w:t>
      </w:r>
      <w:r>
        <w:rPr>
          <w:rFonts w:hint="cs"/>
          <w:rtl/>
        </w:rPr>
        <w:t xml:space="preserve">, בעמ' 180). </w:t>
      </w:r>
    </w:p>
    <w:p w:rsidR="00EB02E1" w:rsidRDefault="00EB02E1" w:rsidP="00EB02E1">
      <w:pPr>
        <w:pStyle w:val="Ruller41"/>
        <w:rPr>
          <w:rtl/>
        </w:rPr>
      </w:pPr>
    </w:p>
    <w:p w:rsidR="00EB02E1" w:rsidRDefault="00EB02E1" w:rsidP="00EB02E1">
      <w:pPr>
        <w:pStyle w:val="Ruller4"/>
        <w:rPr>
          <w:rtl/>
        </w:rPr>
      </w:pPr>
      <w:r>
        <w:rPr>
          <w:rFonts w:hint="cs"/>
          <w:rtl/>
        </w:rPr>
        <w:t xml:space="preserve">כך גם נלמד מדבריו של דוד בן-גוריון, בתקופה שלאחר הקמת המדינה, בעת שכיהן כראש ממשלת ישראל הראשון. כידוע, בשלב מסוים בשלהי שנת 1948, החל בן-גוריון לסגת מרעיון כינונה של חוקה כתובה, על אף שהדבר נכלל בהכרזת העצמאות (ניר קידר </w:t>
      </w:r>
      <w:r w:rsidRPr="00862577">
        <w:rPr>
          <w:rFonts w:ascii="Century" w:hAnsi="Century" w:cs="Miriam" w:hint="cs"/>
          <w:b/>
          <w:spacing w:val="0"/>
          <w:sz w:val="22"/>
          <w:szCs w:val="24"/>
          <w:rtl/>
        </w:rPr>
        <w:t xml:space="preserve">בן-גוריון והחוקה </w:t>
      </w:r>
      <w:r w:rsidRPr="00862577">
        <w:rPr>
          <w:rFonts w:ascii="Century" w:hAnsi="Century"/>
          <w:sz w:val="22"/>
          <w:rtl/>
        </w:rPr>
        <w:t>–</w:t>
      </w:r>
      <w:r w:rsidRPr="00862577">
        <w:rPr>
          <w:rFonts w:ascii="Century" w:hAnsi="Century" w:cs="Miriam" w:hint="cs"/>
          <w:b/>
          <w:spacing w:val="0"/>
          <w:sz w:val="22"/>
          <w:szCs w:val="24"/>
          <w:rtl/>
        </w:rPr>
        <w:t xml:space="preserve"> חוקתיות, משפט ודמוקרטיה במשנתו של ראש הממשלה הראשון</w:t>
      </w:r>
      <w:r>
        <w:rPr>
          <w:rFonts w:ascii="Century" w:hAnsi="Century" w:cs="Miriam" w:hint="cs"/>
          <w:b/>
          <w:spacing w:val="0"/>
          <w:sz w:val="22"/>
          <w:szCs w:val="24"/>
          <w:rtl/>
        </w:rPr>
        <w:t xml:space="preserve"> </w:t>
      </w:r>
      <w:r>
        <w:rPr>
          <w:rFonts w:hint="cs"/>
          <w:rtl/>
        </w:rPr>
        <w:t xml:space="preserve">45-32 (2015)) (להלן: </w:t>
      </w:r>
      <w:r w:rsidRPr="00862577">
        <w:rPr>
          <w:rFonts w:ascii="Century" w:hAnsi="Century" w:cs="Miriam" w:hint="cs"/>
          <w:b/>
          <w:spacing w:val="0"/>
          <w:sz w:val="22"/>
          <w:szCs w:val="24"/>
          <w:rtl/>
        </w:rPr>
        <w:t>קידר</w:t>
      </w:r>
      <w:r>
        <w:rPr>
          <w:rFonts w:hint="cs"/>
          <w:rtl/>
        </w:rPr>
        <w:t xml:space="preserve">). עמדתו השלילית של בן-גוריון, התבססה על שורה של נימוקים </w:t>
      </w:r>
      <w:r>
        <w:rPr>
          <w:rtl/>
        </w:rPr>
        <w:t>–</w:t>
      </w:r>
      <w:r>
        <w:rPr>
          <w:rFonts w:hint="cs"/>
          <w:rtl/>
        </w:rPr>
        <w:t xml:space="preserve"> חלקם בעלי אופי משטרי-עקרוני, חלקם נושאים אופי 'זמני' המתקשר לאתגריה של המדינה בימיה הראשונים </w:t>
      </w:r>
      <w:r>
        <w:rPr>
          <w:rtl/>
        </w:rPr>
        <w:t>–</w:t>
      </w:r>
      <w:r>
        <w:rPr>
          <w:rFonts w:hint="cs"/>
          <w:rtl/>
        </w:rPr>
        <w:t xml:space="preserve"> והיא נפרשׂה בצורה מפורטת ומרשימה, בנאומו בישיבת הכנסת ביום 20.2.1950. אקדים ואומר, כי הצד השווה לכל אותם נימוקים, הריהו כי קשה עד בלתי-אפשרי להבינם, אם מניחים, כי אותה שעה, קמה וגם ניצבה 'פסקת נצחיות', המגבילה את סמכותה של הרשות המכוננת, לנצח נצחים; 'פסקת נצחיות' המגולמת בדמותה של הכרזת העצמאות. </w:t>
      </w:r>
    </w:p>
    <w:p w:rsidR="00EB02E1" w:rsidRDefault="00EB02E1" w:rsidP="00EB02E1">
      <w:pPr>
        <w:pStyle w:val="Ruller4"/>
        <w:numPr>
          <w:ilvl w:val="0"/>
          <w:numId w:val="0"/>
        </w:numPr>
        <w:rPr>
          <w:rtl/>
        </w:rPr>
      </w:pPr>
    </w:p>
    <w:p w:rsidR="00EB02E1" w:rsidRDefault="00EB02E1" w:rsidP="00EB02E1">
      <w:pPr>
        <w:pStyle w:val="Ruller4"/>
        <w:rPr>
          <w:rtl/>
        </w:rPr>
      </w:pPr>
      <w:r>
        <w:rPr>
          <w:rFonts w:hint="cs"/>
          <w:rtl/>
        </w:rPr>
        <w:t>כּה היו עיקרי דבריו של בן-גוריון, באותו נאום היסטורי, שנשא לפני חברי הרשות המכוננת, בטרם באה לעולם 'החלטת הררי':</w:t>
      </w:r>
    </w:p>
    <w:p w:rsidR="00EB02E1" w:rsidRPr="00632193" w:rsidRDefault="00EB02E1" w:rsidP="00EB02E1">
      <w:pPr>
        <w:pStyle w:val="Ruller41"/>
        <w:rPr>
          <w:rtl/>
        </w:rPr>
      </w:pPr>
    </w:p>
    <w:p w:rsidR="00EB02E1" w:rsidRPr="00D42051" w:rsidRDefault="00EB02E1" w:rsidP="00EB02E1">
      <w:pPr>
        <w:pStyle w:val="Ruller41"/>
        <w:ind w:left="851" w:right="851"/>
        <w:rPr>
          <w:rFonts w:ascii="Century" w:hAnsi="Century" w:cs="Miriam"/>
          <w:b/>
          <w:spacing w:val="0"/>
          <w:szCs w:val="24"/>
          <w:shd w:val="clear" w:color="auto" w:fill="EEECED"/>
          <w:rtl/>
        </w:rPr>
      </w:pPr>
      <w:r>
        <w:rPr>
          <w:rFonts w:ascii="Century" w:hAnsi="Century" w:cs="Miriam" w:hint="cs"/>
          <w:b/>
          <w:spacing w:val="0"/>
          <w:szCs w:val="24"/>
          <w:rtl/>
        </w:rPr>
        <w:t>"</w:t>
      </w:r>
      <w:r w:rsidRPr="00D42051">
        <w:rPr>
          <w:rFonts w:ascii="Century" w:hAnsi="Century" w:cs="Miriam"/>
          <w:b/>
          <w:spacing w:val="0"/>
          <w:szCs w:val="24"/>
          <w:rtl/>
        </w:rPr>
        <w:t>הדרושה לנו חוקה מיוחסת, נוקשה, הכובלת ידי המחוקק והעם הריבוני, ומטילה על השופטים להכריע אם החוק שרוצה בו העם כשר או פסול</w:t>
      </w:r>
      <w:r>
        <w:rPr>
          <w:rFonts w:ascii="Century" w:hAnsi="Century" w:cs="Miriam" w:hint="cs"/>
          <w:b/>
          <w:spacing w:val="0"/>
          <w:szCs w:val="24"/>
          <w:rtl/>
        </w:rPr>
        <w:t>?</w:t>
      </w:r>
      <w:r w:rsidRPr="00D42051">
        <w:rPr>
          <w:rFonts w:ascii="Century" w:hAnsi="Century" w:cs="Miriam" w:hint="cs"/>
          <w:b/>
          <w:spacing w:val="0"/>
          <w:szCs w:val="24"/>
          <w:rtl/>
        </w:rPr>
        <w:t xml:space="preserve"> [...] </w:t>
      </w:r>
      <w:r w:rsidRPr="00764F9C">
        <w:rPr>
          <w:rFonts w:ascii="Century" w:hAnsi="Century" w:cs="Miriam"/>
          <w:b/>
          <w:spacing w:val="0"/>
          <w:szCs w:val="24"/>
          <w:u w:val="single"/>
          <w:rtl/>
        </w:rPr>
        <w:t>חירות היחיד וחירות העם אינן תלויות בהכרזה על חירויות, וגם לא בחוקה</w:t>
      </w:r>
      <w:r w:rsidRPr="00D42051">
        <w:rPr>
          <w:rFonts w:ascii="Century" w:hAnsi="Century" w:cs="Miriam"/>
          <w:b/>
          <w:spacing w:val="0"/>
          <w:szCs w:val="24"/>
          <w:rtl/>
        </w:rPr>
        <w:t xml:space="preserve"> </w:t>
      </w:r>
      <w:r w:rsidRPr="00EC6AC8">
        <w:rPr>
          <w:rFonts w:ascii="Century" w:hAnsi="Century"/>
          <w:rtl/>
        </w:rPr>
        <w:t>–</w:t>
      </w:r>
      <w:r w:rsidRPr="00EC6AC8">
        <w:rPr>
          <w:rFonts w:ascii="Century" w:hAnsi="Century" w:cs="Miriam"/>
          <w:b/>
          <w:spacing w:val="0"/>
          <w:szCs w:val="24"/>
          <w:rtl/>
        </w:rPr>
        <w:t xml:space="preserve"> </w:t>
      </w:r>
      <w:r w:rsidRPr="00D42051">
        <w:rPr>
          <w:rFonts w:ascii="Century" w:hAnsi="Century" w:cs="Miriam"/>
          <w:b/>
          <w:spacing w:val="0"/>
          <w:szCs w:val="24"/>
          <w:rtl/>
        </w:rPr>
        <w:t xml:space="preserve">אפילו החוקה הטובה ביותר בעולם </w:t>
      </w:r>
      <w:r w:rsidRPr="00EC6AC8">
        <w:rPr>
          <w:rFonts w:ascii="Century" w:hAnsi="Century"/>
          <w:rtl/>
        </w:rPr>
        <w:t>–</w:t>
      </w:r>
      <w:r w:rsidRPr="00EC6AC8">
        <w:rPr>
          <w:rFonts w:ascii="Century" w:hAnsi="Century" w:cs="Miriam"/>
          <w:b/>
          <w:spacing w:val="0"/>
          <w:szCs w:val="24"/>
          <w:rtl/>
        </w:rPr>
        <w:t xml:space="preserve"> </w:t>
      </w:r>
      <w:r w:rsidRPr="00D42051">
        <w:rPr>
          <w:rFonts w:ascii="Century" w:hAnsi="Century" w:cs="Miriam"/>
          <w:b/>
          <w:spacing w:val="0"/>
          <w:szCs w:val="24"/>
          <w:rtl/>
        </w:rPr>
        <w:t>אלא בדבר אחד עקרוני: בשלטון החו</w:t>
      </w:r>
      <w:r w:rsidRPr="00D42051">
        <w:rPr>
          <w:rFonts w:ascii="Century" w:hAnsi="Century" w:cs="Miriam" w:hint="cs"/>
          <w:b/>
          <w:spacing w:val="0"/>
          <w:szCs w:val="24"/>
          <w:rtl/>
        </w:rPr>
        <w:t xml:space="preserve">ק [...] </w:t>
      </w:r>
      <w:r w:rsidRPr="00D42051">
        <w:rPr>
          <w:rFonts w:ascii="Century" w:hAnsi="Century" w:cs="Miriam"/>
          <w:b/>
          <w:spacing w:val="0"/>
          <w:szCs w:val="24"/>
          <w:rtl/>
        </w:rPr>
        <w:t xml:space="preserve">במדינה שאין בה עליונות של החוק </w:t>
      </w:r>
      <w:r w:rsidRPr="00EC6AC8">
        <w:rPr>
          <w:rFonts w:ascii="Century" w:hAnsi="Century"/>
          <w:rtl/>
        </w:rPr>
        <w:t>–</w:t>
      </w:r>
      <w:r w:rsidRPr="00EC6AC8">
        <w:rPr>
          <w:rFonts w:ascii="Century" w:hAnsi="Century" w:cs="Miriam"/>
          <w:b/>
          <w:spacing w:val="0"/>
          <w:szCs w:val="24"/>
          <w:rtl/>
        </w:rPr>
        <w:t xml:space="preserve"> </w:t>
      </w:r>
      <w:r w:rsidRPr="00D42051">
        <w:rPr>
          <w:rFonts w:ascii="Century" w:hAnsi="Century" w:cs="Miriam"/>
          <w:b/>
          <w:spacing w:val="0"/>
          <w:szCs w:val="24"/>
          <w:rtl/>
        </w:rPr>
        <w:t>אין בה חירות, אפילו אם בחוקתה משולבת מגילת החירות הנמרצת והמתקדמת ביותר בעולם</w:t>
      </w:r>
      <w:r w:rsidRPr="00D42051">
        <w:rPr>
          <w:rFonts w:ascii="Century" w:hAnsi="Century" w:cs="Miriam"/>
          <w:b/>
          <w:spacing w:val="0"/>
          <w:szCs w:val="24"/>
        </w:rPr>
        <w:t>.</w:t>
      </w:r>
      <w:r w:rsidRPr="00D42051">
        <w:rPr>
          <w:rFonts w:ascii="Century" w:hAnsi="Century" w:cs="Miriam" w:hint="cs"/>
          <w:b/>
          <w:spacing w:val="0"/>
          <w:szCs w:val="24"/>
          <w:rtl/>
        </w:rPr>
        <w:t xml:space="preserve"> </w:t>
      </w:r>
      <w:r w:rsidRPr="00D42051">
        <w:rPr>
          <w:rFonts w:ascii="Century" w:hAnsi="Century" w:cs="Miriam"/>
          <w:b/>
          <w:spacing w:val="0"/>
          <w:szCs w:val="24"/>
          <w:rtl/>
        </w:rPr>
        <w:t xml:space="preserve">לנו דרושים חוקים בכל שטחי החיים, חוקים הקובעים את המשטר במדינה והיחסים בין אדם </w:t>
      </w:r>
      <w:r w:rsidRPr="00764F9C">
        <w:rPr>
          <w:rFonts w:ascii="Century" w:hAnsi="Century" w:cs="Miriam"/>
          <w:b/>
          <w:spacing w:val="0"/>
          <w:szCs w:val="24"/>
          <w:rtl/>
        </w:rPr>
        <w:t>לחברו</w:t>
      </w:r>
      <w:r w:rsidRPr="00764F9C">
        <w:rPr>
          <w:rFonts w:ascii="Century" w:hAnsi="Century" w:cs="Miriam" w:hint="cs"/>
          <w:b/>
          <w:spacing w:val="0"/>
          <w:szCs w:val="24"/>
          <w:rtl/>
        </w:rPr>
        <w:t xml:space="preserve"> [...] </w:t>
      </w:r>
      <w:r w:rsidRPr="00764F9C">
        <w:rPr>
          <w:rFonts w:ascii="Century" w:hAnsi="Century" w:cs="Miriam"/>
          <w:b/>
          <w:spacing w:val="0"/>
          <w:szCs w:val="24"/>
          <w:rtl/>
        </w:rPr>
        <w:t xml:space="preserve">שום חוקה אינה יכולה למלא תפקיד זה. רק במסגרת של חוקים </w:t>
      </w:r>
      <w:r w:rsidRPr="00764F9C">
        <w:rPr>
          <w:rFonts w:ascii="Century" w:hAnsi="Century"/>
          <w:rtl/>
        </w:rPr>
        <w:t>–</w:t>
      </w:r>
      <w:r w:rsidRPr="00764F9C">
        <w:rPr>
          <w:rFonts w:ascii="Century" w:hAnsi="Century" w:cs="Miriam"/>
          <w:b/>
          <w:spacing w:val="0"/>
          <w:szCs w:val="24"/>
          <w:rtl/>
        </w:rPr>
        <w:t xml:space="preserve"> שיש לשנותם ולתקנם מזמן לזמן לפי צרכי־</w:t>
      </w:r>
      <w:r w:rsidRPr="00764F9C">
        <w:rPr>
          <w:rFonts w:ascii="Century" w:hAnsi="Century" w:cs="Miriam" w:hint="cs"/>
          <w:b/>
          <w:spacing w:val="0"/>
          <w:szCs w:val="24"/>
          <w:rtl/>
        </w:rPr>
        <w:t xml:space="preserve"> </w:t>
      </w:r>
      <w:r w:rsidRPr="00764F9C">
        <w:rPr>
          <w:rFonts w:ascii="Century" w:hAnsi="Century" w:cs="Miriam"/>
          <w:b/>
          <w:spacing w:val="0"/>
          <w:szCs w:val="24"/>
          <w:rtl/>
        </w:rPr>
        <w:lastRenderedPageBreak/>
        <w:t>החיים שאינם קופאים על שמריהם,</w:t>
      </w:r>
      <w:r w:rsidRPr="00D42051">
        <w:rPr>
          <w:rFonts w:ascii="Century" w:hAnsi="Century" w:cs="Miriam"/>
          <w:b/>
          <w:spacing w:val="0"/>
          <w:szCs w:val="24"/>
          <w:rtl/>
        </w:rPr>
        <w:t xml:space="preserve"> אבל כל זמן שהם קיימים הם חלים על כל אזרחי המדינה ללא יוצא מן הכל</w:t>
      </w:r>
      <w:r>
        <w:rPr>
          <w:rFonts w:ascii="Century" w:hAnsi="Century" w:cs="Miriam" w:hint="cs"/>
          <w:b/>
          <w:spacing w:val="0"/>
          <w:szCs w:val="24"/>
          <w:rtl/>
        </w:rPr>
        <w:t>ל.</w:t>
      </w:r>
    </w:p>
    <w:p w:rsidR="00EB02E1" w:rsidRPr="00D42051" w:rsidRDefault="00EB02E1" w:rsidP="00EB02E1">
      <w:pPr>
        <w:pStyle w:val="Ruller41"/>
        <w:ind w:left="851" w:right="851"/>
        <w:rPr>
          <w:rFonts w:ascii="Century" w:hAnsi="Century" w:cs="Miriam"/>
          <w:b/>
          <w:spacing w:val="0"/>
          <w:szCs w:val="24"/>
          <w:rtl/>
        </w:rPr>
      </w:pPr>
      <w:r w:rsidRPr="00D42051">
        <w:rPr>
          <w:rFonts w:ascii="Century" w:hAnsi="Century" w:cs="Miriam" w:hint="cs"/>
          <w:b/>
          <w:spacing w:val="0"/>
          <w:szCs w:val="24"/>
          <w:rtl/>
        </w:rPr>
        <w:t>[...]</w:t>
      </w:r>
    </w:p>
    <w:p w:rsidR="00EB02E1" w:rsidRPr="00D42051" w:rsidRDefault="00EB02E1" w:rsidP="00EB02E1">
      <w:pPr>
        <w:pStyle w:val="Ruller41"/>
        <w:ind w:left="851" w:right="851"/>
        <w:rPr>
          <w:rFonts w:ascii="Century" w:hAnsi="Century" w:cs="Miriam"/>
          <w:b/>
          <w:spacing w:val="0"/>
          <w:szCs w:val="24"/>
          <w:shd w:val="clear" w:color="auto" w:fill="EEECED"/>
        </w:rPr>
      </w:pPr>
      <w:r w:rsidRPr="00764F9C">
        <w:rPr>
          <w:rFonts w:ascii="Century" w:hAnsi="Century" w:cs="Miriam"/>
          <w:b/>
          <w:spacing w:val="0"/>
          <w:szCs w:val="24"/>
          <w:u w:val="single"/>
          <w:rtl/>
        </w:rPr>
        <w:t>אין להגביל העם במתן חוקים. מובן, גם העם יכול לעשות משגה, אבל עם ח</w:t>
      </w:r>
      <w:r>
        <w:rPr>
          <w:rFonts w:ascii="Century" w:hAnsi="Century" w:cs="Miriam" w:hint="cs"/>
          <w:b/>
          <w:spacing w:val="0"/>
          <w:szCs w:val="24"/>
          <w:u w:val="single"/>
          <w:rtl/>
        </w:rPr>
        <w:t>ו</w:t>
      </w:r>
      <w:r w:rsidRPr="00764F9C">
        <w:rPr>
          <w:rFonts w:ascii="Century" w:hAnsi="Century" w:cs="Miriam"/>
          <w:b/>
          <w:spacing w:val="0"/>
          <w:szCs w:val="24"/>
          <w:u w:val="single"/>
          <w:rtl/>
        </w:rPr>
        <w:t xml:space="preserve">פשי, שאינו כבול </w:t>
      </w:r>
      <w:r w:rsidRPr="00764F9C">
        <w:rPr>
          <w:rFonts w:ascii="Century" w:hAnsi="Century"/>
          <w:u w:val="single"/>
          <w:rtl/>
        </w:rPr>
        <w:t>–</w:t>
      </w:r>
      <w:r w:rsidRPr="00764F9C">
        <w:rPr>
          <w:rFonts w:ascii="Century" w:hAnsi="Century" w:cs="Miriam"/>
          <w:b/>
          <w:spacing w:val="0"/>
          <w:szCs w:val="24"/>
          <w:u w:val="single"/>
          <w:rtl/>
        </w:rPr>
        <w:t xml:space="preserve"> יתקן המשגה</w:t>
      </w:r>
      <w:r w:rsidRPr="00D42051">
        <w:rPr>
          <w:rFonts w:ascii="Century" w:hAnsi="Century" w:cs="Miriam"/>
          <w:b/>
          <w:spacing w:val="0"/>
          <w:szCs w:val="24"/>
          <w:rtl/>
        </w:rPr>
        <w:t xml:space="preserve">. לעומת זאת השמירה על החוק, פירושו של החוק, בדיקת תחולתו של החוק למקרה המסוים בחיים – אלה הם בידי השופט, שאינו תלוי בשום איש ושלטון, אלא במצפונו ובהבנתו בלבד. </w:t>
      </w:r>
      <w:r w:rsidRPr="00764F9C">
        <w:rPr>
          <w:rFonts w:ascii="Century" w:hAnsi="Century" w:cs="Miriam"/>
          <w:b/>
          <w:spacing w:val="0"/>
          <w:szCs w:val="24"/>
          <w:u w:val="single"/>
          <w:rtl/>
        </w:rPr>
        <w:t>אין השופט עושה חוקים, אין הוא פוסל אותם</w:t>
      </w:r>
      <w:r w:rsidRPr="00D42051">
        <w:rPr>
          <w:rFonts w:ascii="Century" w:hAnsi="Century" w:cs="Miriam"/>
          <w:b/>
          <w:spacing w:val="0"/>
          <w:szCs w:val="24"/>
          <w:rtl/>
        </w:rPr>
        <w:t xml:space="preserve">, כי גם השופט ככל אזרח אחר במדינה כפוף לחוק. </w:t>
      </w:r>
    </w:p>
    <w:p w:rsidR="00EB02E1" w:rsidRPr="00D42051" w:rsidRDefault="00EB02E1" w:rsidP="00EB02E1">
      <w:pPr>
        <w:pStyle w:val="Ruller41"/>
        <w:ind w:left="851" w:right="851"/>
        <w:rPr>
          <w:rFonts w:ascii="Century" w:hAnsi="Century" w:cs="Miriam"/>
          <w:b/>
          <w:spacing w:val="0"/>
          <w:szCs w:val="24"/>
          <w:shd w:val="clear" w:color="auto" w:fill="EEECED"/>
          <w:rtl/>
        </w:rPr>
      </w:pPr>
      <w:r w:rsidRPr="00D42051">
        <w:rPr>
          <w:rFonts w:ascii="Century" w:hAnsi="Century" w:cs="Miriam" w:hint="cs"/>
          <w:b/>
          <w:spacing w:val="0"/>
          <w:szCs w:val="24"/>
          <w:rtl/>
        </w:rPr>
        <w:t xml:space="preserve">[...] </w:t>
      </w:r>
    </w:p>
    <w:p w:rsidR="00EB02E1" w:rsidRPr="00D42051" w:rsidRDefault="00EB02E1" w:rsidP="00EB02E1">
      <w:pPr>
        <w:pStyle w:val="Ruller41"/>
        <w:ind w:left="851" w:right="851"/>
        <w:rPr>
          <w:rFonts w:ascii="Century" w:hAnsi="Century" w:cs="Miriam"/>
          <w:b/>
          <w:spacing w:val="0"/>
          <w:szCs w:val="24"/>
          <w:shd w:val="clear" w:color="auto" w:fill="EEECED"/>
          <w:rtl/>
        </w:rPr>
      </w:pPr>
      <w:r w:rsidRPr="00764F9C">
        <w:rPr>
          <w:rFonts w:ascii="Century" w:hAnsi="Century" w:cs="Miriam"/>
          <w:b/>
          <w:spacing w:val="0"/>
          <w:szCs w:val="24"/>
          <w:u w:val="single"/>
          <w:rtl/>
        </w:rPr>
        <w:t>הנסיבות שהצריכו והצדיקו חוקה עליונה ומיוחסת באמריקה או אפילו בצרפת אינן קיימות בארץ, ונהפוך הוא</w:t>
      </w:r>
      <w:r w:rsidRPr="00D42051">
        <w:rPr>
          <w:rFonts w:ascii="Century" w:hAnsi="Century" w:cs="Miriam"/>
          <w:b/>
          <w:spacing w:val="0"/>
          <w:szCs w:val="24"/>
          <w:rtl/>
        </w:rPr>
        <w:t xml:space="preserve">. אם אנו רוצים לחנך העם </w:t>
      </w:r>
      <w:r w:rsidRPr="00D42051">
        <w:rPr>
          <w:rFonts w:ascii="Century" w:hAnsi="Century" w:cs="Miriam" w:hint="cs"/>
          <w:b/>
          <w:spacing w:val="0"/>
          <w:szCs w:val="24"/>
          <w:rtl/>
        </w:rPr>
        <w:t>ל</w:t>
      </w:r>
      <w:r w:rsidRPr="00D42051">
        <w:rPr>
          <w:rFonts w:ascii="Century" w:hAnsi="Century" w:cs="Miriam"/>
          <w:b/>
          <w:spacing w:val="0"/>
          <w:szCs w:val="24"/>
          <w:rtl/>
        </w:rPr>
        <w:t xml:space="preserve">כבד החוק </w:t>
      </w:r>
      <w:r w:rsidRPr="00EC6AC8">
        <w:rPr>
          <w:rFonts w:ascii="Century" w:hAnsi="Century"/>
          <w:rtl/>
        </w:rPr>
        <w:t>–</w:t>
      </w:r>
      <w:r w:rsidRPr="00EC6AC8">
        <w:rPr>
          <w:rFonts w:ascii="Century" w:hAnsi="Century" w:cs="Miriam"/>
          <w:b/>
          <w:spacing w:val="0"/>
          <w:szCs w:val="24"/>
          <w:rtl/>
        </w:rPr>
        <w:t xml:space="preserve"> </w:t>
      </w:r>
      <w:r w:rsidRPr="00D42051">
        <w:rPr>
          <w:rFonts w:ascii="Century" w:hAnsi="Century" w:cs="Miriam"/>
          <w:b/>
          <w:spacing w:val="0"/>
          <w:szCs w:val="24"/>
          <w:rtl/>
        </w:rPr>
        <w:t xml:space="preserve">יש לחנך אותו לכבד כל חוק, ולא רק חוק </w:t>
      </w:r>
      <w:r>
        <w:rPr>
          <w:rFonts w:ascii="Century" w:hAnsi="Century" w:cs="Miriam" w:hint="cs"/>
          <w:b/>
          <w:spacing w:val="0"/>
          <w:szCs w:val="24"/>
          <w:rtl/>
        </w:rPr>
        <w:t>'</w:t>
      </w:r>
      <w:r w:rsidRPr="00D42051">
        <w:rPr>
          <w:rFonts w:ascii="Century" w:hAnsi="Century" w:cs="Miriam"/>
          <w:b/>
          <w:spacing w:val="0"/>
          <w:szCs w:val="24"/>
          <w:rtl/>
        </w:rPr>
        <w:t>מיוחס</w:t>
      </w:r>
      <w:r>
        <w:rPr>
          <w:rFonts w:ascii="Century" w:hAnsi="Century" w:cs="Miriam" w:hint="cs"/>
          <w:b/>
          <w:spacing w:val="0"/>
          <w:szCs w:val="24"/>
          <w:rtl/>
        </w:rPr>
        <w:t>'</w:t>
      </w:r>
      <w:r w:rsidRPr="00D42051">
        <w:rPr>
          <w:rFonts w:ascii="Century" w:hAnsi="Century" w:cs="Miriam"/>
          <w:b/>
          <w:spacing w:val="0"/>
          <w:szCs w:val="24"/>
          <w:rtl/>
        </w:rPr>
        <w:t xml:space="preserve"> שנקרא בשם חוקה. כי לא חוקה זו קובעת אלף־</w:t>
      </w:r>
      <w:r w:rsidRPr="00D42051">
        <w:rPr>
          <w:rFonts w:ascii="Century" w:hAnsi="Century" w:cs="Miriam" w:hint="cs"/>
          <w:b/>
          <w:spacing w:val="0"/>
          <w:szCs w:val="24"/>
          <w:rtl/>
        </w:rPr>
        <w:t xml:space="preserve"> </w:t>
      </w:r>
      <w:r w:rsidRPr="00D42051">
        <w:rPr>
          <w:rFonts w:ascii="Century" w:hAnsi="Century" w:cs="Miriam"/>
          <w:b/>
          <w:spacing w:val="0"/>
          <w:szCs w:val="24"/>
          <w:rtl/>
        </w:rPr>
        <w:t>אלפי הפרטים המהווים חיי יום</w:t>
      </w:r>
      <w:r w:rsidRPr="00D42051">
        <w:rPr>
          <w:rFonts w:ascii="Century" w:hAnsi="Century" w:cs="Miriam" w:hint="cs"/>
          <w:b/>
          <w:spacing w:val="0"/>
          <w:szCs w:val="24"/>
          <w:rtl/>
        </w:rPr>
        <w:t xml:space="preserve"> </w:t>
      </w:r>
      <w:r w:rsidRPr="00D42051">
        <w:rPr>
          <w:rFonts w:ascii="Century" w:hAnsi="Century" w:cs="Miriam"/>
          <w:b/>
          <w:spacing w:val="0"/>
          <w:szCs w:val="24"/>
          <w:rtl/>
        </w:rPr>
        <w:t xml:space="preserve">־יום של האזרח </w:t>
      </w:r>
      <w:r w:rsidRPr="00EC6AC8">
        <w:rPr>
          <w:rFonts w:ascii="Century" w:hAnsi="Century"/>
          <w:rtl/>
        </w:rPr>
        <w:t>–</w:t>
      </w:r>
      <w:r w:rsidRPr="00EC6AC8">
        <w:rPr>
          <w:rFonts w:ascii="Century" w:hAnsi="Century" w:cs="Miriam"/>
          <w:b/>
          <w:spacing w:val="0"/>
          <w:szCs w:val="24"/>
          <w:rtl/>
        </w:rPr>
        <w:t xml:space="preserve"> </w:t>
      </w:r>
      <w:r w:rsidRPr="00D42051">
        <w:rPr>
          <w:rFonts w:ascii="Century" w:hAnsi="Century" w:cs="Miriam"/>
          <w:b/>
          <w:spacing w:val="0"/>
          <w:szCs w:val="24"/>
          <w:rtl/>
        </w:rPr>
        <w:t>אלא החוק הרגיל</w:t>
      </w:r>
      <w:r w:rsidRPr="00D42051">
        <w:rPr>
          <w:rFonts w:ascii="Century" w:hAnsi="Century" w:cs="Miriam" w:hint="cs"/>
          <w:b/>
          <w:spacing w:val="0"/>
          <w:szCs w:val="24"/>
          <w:rtl/>
        </w:rPr>
        <w:t xml:space="preserve"> [...] </w:t>
      </w:r>
      <w:r w:rsidRPr="00764F9C">
        <w:rPr>
          <w:rFonts w:ascii="Century" w:hAnsi="Century" w:cs="Miriam"/>
          <w:b/>
          <w:spacing w:val="0"/>
          <w:szCs w:val="24"/>
          <w:u w:val="single"/>
          <w:rtl/>
        </w:rPr>
        <w:t>הדמוקרטיה באנגליה איתנה</w:t>
      </w:r>
      <w:r>
        <w:rPr>
          <w:rFonts w:ascii="Century" w:hAnsi="Century" w:cs="Miriam" w:hint="cs"/>
          <w:b/>
          <w:spacing w:val="0"/>
          <w:szCs w:val="24"/>
          <w:u w:val="single"/>
          <w:rtl/>
        </w:rPr>
        <w:t>,</w:t>
      </w:r>
      <w:r w:rsidRPr="00764F9C">
        <w:rPr>
          <w:rFonts w:ascii="Century" w:hAnsi="Century" w:cs="Miriam"/>
          <w:b/>
          <w:spacing w:val="0"/>
          <w:szCs w:val="24"/>
          <w:u w:val="single"/>
          <w:rtl/>
        </w:rPr>
        <w:t xml:space="preserve"> לא באשר יש לה או אין לה חוקה </w:t>
      </w:r>
      <w:r w:rsidRPr="00764F9C">
        <w:rPr>
          <w:rFonts w:ascii="Century" w:hAnsi="Century"/>
          <w:u w:val="single"/>
          <w:rtl/>
        </w:rPr>
        <w:t>–</w:t>
      </w:r>
      <w:r w:rsidRPr="00764F9C">
        <w:rPr>
          <w:rFonts w:ascii="Century" w:hAnsi="Century" w:cs="Miriam"/>
          <w:b/>
          <w:spacing w:val="0"/>
          <w:szCs w:val="24"/>
          <w:u w:val="single"/>
          <w:rtl/>
        </w:rPr>
        <w:t xml:space="preserve"> אלא באשר העם האנגלי מכבד החוק ויש לו אמון בשופט</w:t>
      </w:r>
      <w:r w:rsidRPr="00D42051">
        <w:rPr>
          <w:rFonts w:ascii="Century" w:hAnsi="Century" w:cs="Miriam"/>
          <w:b/>
          <w:spacing w:val="0"/>
          <w:szCs w:val="24"/>
          <w:rtl/>
        </w:rPr>
        <w:t>. והוא מכבד החוק באשר המחוקק נבחר על</w:t>
      </w:r>
      <w:r w:rsidRPr="00D42051">
        <w:rPr>
          <w:rFonts w:ascii="Century" w:hAnsi="Century" w:cs="Miriam" w:hint="cs"/>
          <w:b/>
          <w:spacing w:val="0"/>
          <w:szCs w:val="24"/>
          <w:rtl/>
        </w:rPr>
        <w:t xml:space="preserve"> </w:t>
      </w:r>
      <w:r w:rsidRPr="00D42051">
        <w:rPr>
          <w:rFonts w:ascii="Century" w:hAnsi="Century" w:cs="Miriam"/>
          <w:b/>
          <w:spacing w:val="0"/>
          <w:szCs w:val="24"/>
          <w:rtl/>
        </w:rPr>
        <w:t xml:space="preserve">־ידו. ויש לו אמון בשופט </w:t>
      </w:r>
      <w:r w:rsidRPr="00EC6AC8">
        <w:rPr>
          <w:rFonts w:ascii="Century" w:hAnsi="Century"/>
          <w:rtl/>
        </w:rPr>
        <w:t>–</w:t>
      </w:r>
      <w:r w:rsidRPr="00EC6AC8">
        <w:rPr>
          <w:rFonts w:ascii="Century" w:hAnsi="Century" w:cs="Miriam"/>
          <w:b/>
          <w:spacing w:val="0"/>
          <w:szCs w:val="24"/>
          <w:rtl/>
        </w:rPr>
        <w:t xml:space="preserve"> </w:t>
      </w:r>
      <w:r w:rsidRPr="00D42051">
        <w:rPr>
          <w:rFonts w:ascii="Century" w:hAnsi="Century" w:cs="Miriam"/>
          <w:b/>
          <w:spacing w:val="0"/>
          <w:szCs w:val="24"/>
          <w:rtl/>
        </w:rPr>
        <w:t>באשר השופט נאמן וכפוף בעצמו לחוק, ואינו עומד מעליו</w:t>
      </w:r>
      <w:r w:rsidRPr="00D42051">
        <w:rPr>
          <w:rFonts w:ascii="Century" w:hAnsi="Century" w:cs="Miriam"/>
          <w:b/>
          <w:spacing w:val="0"/>
          <w:szCs w:val="24"/>
        </w:rPr>
        <w:t xml:space="preserve"> </w:t>
      </w:r>
      <w:r w:rsidRPr="00D42051">
        <w:rPr>
          <w:rFonts w:ascii="Century" w:hAnsi="Century" w:cs="Miriam" w:hint="cs"/>
          <w:b/>
          <w:spacing w:val="0"/>
          <w:szCs w:val="24"/>
          <w:rtl/>
        </w:rPr>
        <w:t xml:space="preserve">[...] </w:t>
      </w:r>
      <w:r w:rsidRPr="00D42051">
        <w:rPr>
          <w:rFonts w:ascii="Century" w:hAnsi="Century" w:cs="Miriam"/>
          <w:b/>
          <w:spacing w:val="0"/>
          <w:szCs w:val="24"/>
          <w:rtl/>
        </w:rPr>
        <w:t>יש הבדל עיקרי ורב־</w:t>
      </w:r>
      <w:r w:rsidRPr="00D42051">
        <w:rPr>
          <w:rFonts w:ascii="Century" w:hAnsi="Century" w:cs="Miriam" w:hint="cs"/>
          <w:b/>
          <w:spacing w:val="0"/>
          <w:szCs w:val="24"/>
          <w:rtl/>
        </w:rPr>
        <w:t xml:space="preserve"> </w:t>
      </w:r>
      <w:r w:rsidRPr="00D42051">
        <w:rPr>
          <w:rFonts w:ascii="Century" w:hAnsi="Century" w:cs="Miriam"/>
          <w:b/>
          <w:spacing w:val="0"/>
          <w:szCs w:val="24"/>
          <w:rtl/>
        </w:rPr>
        <w:t>תוכן בין המהפכה שנתרחשה אצלנו ובין</w:t>
      </w:r>
      <w:r w:rsidRPr="00D42051">
        <w:rPr>
          <w:rFonts w:ascii="Century" w:hAnsi="Century" w:cs="Miriam" w:hint="cs"/>
          <w:b/>
          <w:spacing w:val="0"/>
          <w:szCs w:val="24"/>
          <w:rtl/>
        </w:rPr>
        <w:t xml:space="preserve"> </w:t>
      </w:r>
      <w:r w:rsidRPr="00D42051">
        <w:rPr>
          <w:rFonts w:ascii="Century" w:hAnsi="Century" w:cs="Miriam"/>
          <w:b/>
          <w:spacing w:val="0"/>
          <w:szCs w:val="24"/>
          <w:rtl/>
        </w:rPr>
        <w:t>המהפכה באמריקה, בצרפת, בשווייצריה, ברוסיה, ובארצות אחרות. בכל הארצות האלה היה מרד במשטר, ועם שינוי המשטר השיגו העמים את מבוקשם. מהפכת העם היהודי היא לא מרד במשטר או בשלטון</w:t>
      </w:r>
      <w:r w:rsidRPr="00D42051">
        <w:rPr>
          <w:rFonts w:ascii="Century" w:hAnsi="Century" w:cs="Miriam" w:hint="cs"/>
          <w:b/>
          <w:spacing w:val="0"/>
          <w:szCs w:val="24"/>
          <w:rtl/>
        </w:rPr>
        <w:t xml:space="preserve">. </w:t>
      </w:r>
      <w:r w:rsidRPr="00D42051">
        <w:rPr>
          <w:rFonts w:ascii="Century" w:hAnsi="Century" w:cs="Miriam"/>
          <w:b/>
          <w:spacing w:val="0"/>
          <w:szCs w:val="24"/>
          <w:rtl/>
        </w:rPr>
        <w:t>העם היהודי מרד בגורל היסטורי, בגורל של עם גולה, מפוזר, מחוסר מולדת, לשון, תרבות ועצמאו</w:t>
      </w:r>
      <w:r>
        <w:rPr>
          <w:rFonts w:ascii="Century" w:hAnsi="Century" w:cs="Miriam" w:hint="cs"/>
          <w:b/>
          <w:spacing w:val="0"/>
          <w:szCs w:val="24"/>
          <w:rtl/>
        </w:rPr>
        <w:t>ת"</w:t>
      </w:r>
      <w:r>
        <w:rPr>
          <w:rFonts w:hint="cs"/>
          <w:rtl/>
        </w:rPr>
        <w:t xml:space="preserve"> (דברי הכנסת 20.2.1950, 820-812</w:t>
      </w:r>
      <w:r w:rsidRPr="009C5195">
        <w:rPr>
          <w:rFonts w:ascii="Century" w:hAnsi="Century" w:hint="cs"/>
          <w:rtl/>
        </w:rPr>
        <w:t>)</w:t>
      </w:r>
      <w:r>
        <w:rPr>
          <w:rFonts w:ascii="Century" w:hAnsi="Century" w:hint="cs"/>
          <w:rtl/>
        </w:rPr>
        <w:t>.</w:t>
      </w:r>
    </w:p>
    <w:p w:rsidR="00EB02E1" w:rsidRDefault="00EB02E1" w:rsidP="00EB02E1">
      <w:pPr>
        <w:pStyle w:val="Ruller41"/>
        <w:rPr>
          <w:rFonts w:ascii="Alef" w:hAnsi="Alef"/>
          <w:color w:val="242424"/>
          <w:sz w:val="25"/>
          <w:szCs w:val="25"/>
          <w:shd w:val="clear" w:color="auto" w:fill="EEECED"/>
          <w:rtl/>
        </w:rPr>
      </w:pPr>
    </w:p>
    <w:p w:rsidR="00EB02E1" w:rsidRDefault="00EB02E1" w:rsidP="00EB02E1">
      <w:pPr>
        <w:pStyle w:val="Ruller4"/>
        <w:rPr>
          <w:rtl/>
        </w:rPr>
      </w:pPr>
      <w:r>
        <w:rPr>
          <w:rFonts w:hint="cs"/>
          <w:rtl/>
        </w:rPr>
        <w:t xml:space="preserve">כּמוּעט המחזיק את המרובה, אוגד נאומו של בן-גוריון שורה של טיעונים </w:t>
      </w:r>
      <w:r>
        <w:rPr>
          <w:rtl/>
        </w:rPr>
        <w:t>–</w:t>
      </w:r>
      <w:r>
        <w:rPr>
          <w:rFonts w:hint="cs"/>
          <w:rtl/>
        </w:rPr>
        <w:t xml:space="preserve"> המפרנסים את השיח החוקתי הפורה בעולם הדמוקרטי עד ימינו אלה </w:t>
      </w:r>
      <w:r>
        <w:rPr>
          <w:rtl/>
        </w:rPr>
        <w:t>–</w:t>
      </w:r>
      <w:r>
        <w:rPr>
          <w:rFonts w:hint="cs"/>
          <w:rtl/>
        </w:rPr>
        <w:t xml:space="preserve"> נגד משטר של 'חוקה' ולטובת משטר פרלמנטרי של 'חוקים': הטלת ספק בכוחה האפקטיבי של חוקה להגן על זכויות אדם (ראו גם אצל </w:t>
      </w:r>
      <w:r w:rsidRPr="00764F9C">
        <w:rPr>
          <w:rFonts w:ascii="Century" w:hAnsi="Century" w:cs="Miriam" w:hint="cs"/>
          <w:b/>
          <w:spacing w:val="0"/>
          <w:sz w:val="22"/>
          <w:szCs w:val="24"/>
          <w:rtl/>
        </w:rPr>
        <w:t>קידר</w:t>
      </w:r>
      <w:r>
        <w:rPr>
          <w:rFonts w:hint="cs"/>
          <w:rtl/>
        </w:rPr>
        <w:t>, עמודים 63-46); הקושי הנשקף מרעיון 'השריון' החוקתי, להתמודדות עם צרכי החיים המשתנים, והגרעון הדמוקרטי הנלווה אליו (שם, עמודים 85-64); הדגם האמריקאי מול הדגם הבריטי; הכּשל האנטי-רובּני, ושאלת האמון בחוק ובבתי המשפט; ההבנה כי טיבן השונה של תרבויות פרטיקולריות, עשוי להכתיב, בהתאם, שוֹנוּת בשאלת המשטר הרצוי ועוד.</w:t>
      </w:r>
    </w:p>
    <w:p w:rsidR="00EB02E1" w:rsidRPr="00EC6AC8" w:rsidRDefault="00EB02E1" w:rsidP="00EB02E1">
      <w:pPr>
        <w:pStyle w:val="Ruller41"/>
      </w:pPr>
    </w:p>
    <w:p w:rsidR="00EB02E1" w:rsidRPr="00E952F6" w:rsidRDefault="00EB02E1" w:rsidP="00EB02E1">
      <w:pPr>
        <w:pStyle w:val="Ruller4"/>
        <w:rPr>
          <w:rtl/>
        </w:rPr>
      </w:pPr>
      <w:r>
        <w:rPr>
          <w:rFonts w:hint="cs"/>
          <w:rtl/>
        </w:rPr>
        <w:t xml:space="preserve">לענייננו-שלנו, ברי כי דבריו של בן-גוריון אינם מתיישבים עם קיומה, בה בעת, של 'פסקת נצחיות' בדמותה של הכרזת העצמאות (כמו גם הגבלות אחרות על סמכותה </w:t>
      </w:r>
      <w:r>
        <w:rPr>
          <w:rFonts w:hint="cs"/>
          <w:rtl/>
        </w:rPr>
        <w:lastRenderedPageBreak/>
        <w:t xml:space="preserve">של הרשות המכוננת, מכוח עקרונות בלתי-כתובים אֵלו ואחרים). אִילו אותה רשות מכוננת, שלפניה נשא בן-גוריון את הנאום, חוּשקה עוד בטרם נולדה, על-ידי הוראות משוריינות ונצחיות, כל אותו דיון </w:t>
      </w:r>
      <w:r>
        <w:rPr>
          <w:rtl/>
        </w:rPr>
        <w:t>–</w:t>
      </w:r>
      <w:r>
        <w:rPr>
          <w:rFonts w:hint="cs"/>
          <w:rtl/>
        </w:rPr>
        <w:t xml:space="preserve"> הריהו עקר ומיותר. קריאה רטרואקטיבית-רוויזיוניסטית של ההיסטוריה החוקתית שלנו, כפי המוּצע בחוות הדעת של חברי השופט </w:t>
      </w:r>
      <w:r w:rsidRPr="00A24D47">
        <w:rPr>
          <w:rFonts w:ascii="Century" w:hAnsi="Century" w:cs="Miriam" w:hint="cs"/>
          <w:b/>
          <w:spacing w:val="0"/>
          <w:sz w:val="22"/>
          <w:szCs w:val="24"/>
          <w:rtl/>
        </w:rPr>
        <w:t>שטיין</w:t>
      </w:r>
      <w:r>
        <w:rPr>
          <w:rFonts w:hint="cs"/>
          <w:rtl/>
        </w:rPr>
        <w:t xml:space="preserve">, ושורשיה נטועים, כאמור, בכתיבתו האקדמית המאוחרת של פרופ' </w:t>
      </w:r>
      <w:r w:rsidRPr="00E952F6">
        <w:rPr>
          <w:rFonts w:ascii="Century" w:hAnsi="Century" w:cs="Miriam" w:hint="cs"/>
          <w:b/>
          <w:spacing w:val="0"/>
          <w:sz w:val="22"/>
          <w:szCs w:val="24"/>
          <w:rtl/>
        </w:rPr>
        <w:t>ברק</w:t>
      </w:r>
      <w:r>
        <w:rPr>
          <w:rFonts w:hint="cs"/>
          <w:rtl/>
        </w:rPr>
        <w:t xml:space="preserve">, כמעט שעושה מדבריו של ראש הממשלה הראשון, חוכא ואטלולא. </w:t>
      </w:r>
    </w:p>
    <w:p w:rsidR="00EB02E1" w:rsidRPr="00E952F6" w:rsidRDefault="00EB02E1" w:rsidP="00EB02E1">
      <w:pPr>
        <w:pStyle w:val="Ruller41"/>
        <w:rPr>
          <w:rtl/>
        </w:rPr>
      </w:pPr>
    </w:p>
    <w:p w:rsidR="00EB02E1" w:rsidRDefault="00EB02E1" w:rsidP="00EB02E1">
      <w:pPr>
        <w:pStyle w:val="Ruller4"/>
      </w:pPr>
      <w:r>
        <w:rPr>
          <w:rFonts w:hint="cs"/>
          <w:rtl/>
        </w:rPr>
        <w:t xml:space="preserve">אם בדבריו המפורשים של דוד בן-גוריון, לפני הכרזת העצמאות, ולאחריה, אין די, נפנה עתה לדברי מלומדי הדור הראשון (על דברי שופטי בית המשפט העליון לדורותיהם, דברים </w:t>
      </w:r>
      <w:r w:rsidRPr="006447C4">
        <w:rPr>
          <w:rFonts w:hint="cs"/>
          <w:rtl/>
        </w:rPr>
        <w:t>חד-משמעיים, עמדתי בפסקאות 12, 14, 16, 22, 25, 28, 33, 42, ו-48 לעיל). אך טבעי הוא</w:t>
      </w:r>
      <w:r>
        <w:rPr>
          <w:rFonts w:hint="cs"/>
          <w:rtl/>
        </w:rPr>
        <w:t xml:space="preserve">, כי בעומדנו בפני שאלה חוקתית כבדת-משקל שכזו, המצויה בצומת המפגש שבין המשפט החוקתי לבין ההיסטוריה של המשפט, נשוב אל חוקרי המשפט החוקתי של הדור ההוא, ונשאל למוצא פיהם. אעביר אפוא עתה את השרביט לידיהם של שניים מגדולי החוקרים החוקתיים של ישראל בדור המייסדים, פרופ' </w:t>
      </w:r>
      <w:r w:rsidRPr="00C24D3B">
        <w:rPr>
          <w:rFonts w:ascii="Century" w:hAnsi="Century" w:cs="Miriam" w:hint="cs"/>
          <w:b/>
          <w:spacing w:val="0"/>
          <w:sz w:val="22"/>
          <w:szCs w:val="24"/>
          <w:rtl/>
        </w:rPr>
        <w:t>בנימין אקצין</w:t>
      </w:r>
      <w:r>
        <w:rPr>
          <w:rFonts w:hint="cs"/>
          <w:rtl/>
        </w:rPr>
        <w:t xml:space="preserve"> ופרופ' </w:t>
      </w:r>
      <w:r w:rsidRPr="00C24D3B">
        <w:rPr>
          <w:rFonts w:ascii="Century" w:hAnsi="Century" w:cs="Miriam" w:hint="cs"/>
          <w:b/>
          <w:spacing w:val="0"/>
          <w:sz w:val="22"/>
          <w:szCs w:val="24"/>
          <w:rtl/>
        </w:rPr>
        <w:t>יצחק-הנס קלינגהופר</w:t>
      </w:r>
      <w:r>
        <w:rPr>
          <w:rFonts w:hint="cs"/>
          <w:rtl/>
        </w:rPr>
        <w:t xml:space="preserve">. כל אחד מהם, בדרכו, חקר ארוכות את עניינה של מגילת העצמאות, והגיע למסקנה זהה באשר לתוקפה המשפטי, ומעמדה הנורמטיבי; </w:t>
      </w:r>
      <w:r w:rsidRPr="00745C9A">
        <w:rPr>
          <w:rFonts w:ascii="Century" w:hAnsi="Century" w:cs="Miriam" w:hint="cs"/>
          <w:b/>
          <w:spacing w:val="0"/>
          <w:sz w:val="22"/>
          <w:szCs w:val="24"/>
          <w:rtl/>
        </w:rPr>
        <w:t>'שני נביאים מתנבאים (כמעט) בסגנון אחד'</w:t>
      </w:r>
      <w:r>
        <w:rPr>
          <w:rFonts w:hint="cs"/>
          <w:rtl/>
        </w:rPr>
        <w:t>.</w:t>
      </w:r>
    </w:p>
    <w:p w:rsidR="00EB02E1" w:rsidRPr="00C24D3B" w:rsidRDefault="00EB02E1" w:rsidP="00EB02E1">
      <w:pPr>
        <w:pStyle w:val="Ruller4"/>
        <w:numPr>
          <w:ilvl w:val="0"/>
          <w:numId w:val="0"/>
        </w:numPr>
      </w:pPr>
    </w:p>
    <w:p w:rsidR="00EB02E1" w:rsidRPr="00C24D3B" w:rsidRDefault="00EB02E1" w:rsidP="00EB02E1">
      <w:pPr>
        <w:pStyle w:val="Ruller4"/>
        <w:rPr>
          <w:rtl/>
        </w:rPr>
      </w:pPr>
      <w:r>
        <w:rPr>
          <w:rFonts w:hint="cs"/>
          <w:rtl/>
        </w:rPr>
        <w:t xml:space="preserve">אפתח בדבריו של פרופ' </w:t>
      </w:r>
      <w:r w:rsidRPr="00C24D3B">
        <w:rPr>
          <w:rFonts w:ascii="Century" w:hAnsi="Century" w:cs="Miriam" w:hint="cs"/>
          <w:b/>
          <w:spacing w:val="0"/>
          <w:sz w:val="22"/>
          <w:szCs w:val="24"/>
          <w:rtl/>
        </w:rPr>
        <w:t>אקצין</w:t>
      </w:r>
      <w:r>
        <w:rPr>
          <w:rFonts w:hint="cs"/>
          <w:rtl/>
        </w:rPr>
        <w:t xml:space="preserve">, שנכתבו לפני למעלה מששים שנה, בשנת 1962: תחילה, גוזר פרופ' </w:t>
      </w:r>
      <w:r w:rsidRPr="00646423">
        <w:rPr>
          <w:rFonts w:ascii="Century" w:hAnsi="Century" w:cs="Miriam" w:hint="cs"/>
          <w:b/>
          <w:spacing w:val="0"/>
          <w:sz w:val="22"/>
          <w:szCs w:val="24"/>
          <w:rtl/>
        </w:rPr>
        <w:t>אקצין</w:t>
      </w:r>
      <w:r>
        <w:rPr>
          <w:rFonts w:hint="cs"/>
          <w:rtl/>
        </w:rPr>
        <w:t xml:space="preserve"> את ההכרזה לשלושה חלקים, ומייחס לכל אחד מהם מעמד נורמטיבי אחר: </w:t>
      </w:r>
      <w:r w:rsidRPr="00927BE2">
        <w:rPr>
          <w:rFonts w:ascii="Century" w:hAnsi="Century" w:cs="Miriam" w:hint="cs"/>
          <w:b/>
          <w:spacing w:val="0"/>
          <w:sz w:val="22"/>
          <w:szCs w:val="24"/>
          <w:rtl/>
        </w:rPr>
        <w:t>"</w:t>
      </w:r>
      <w:r w:rsidRPr="00646423">
        <w:rPr>
          <w:rFonts w:ascii="Century" w:hAnsi="Century" w:cs="Miriam" w:hint="cs"/>
          <w:b/>
          <w:spacing w:val="0"/>
          <w:sz w:val="22"/>
          <w:szCs w:val="24"/>
          <w:rtl/>
        </w:rPr>
        <w:t>החלק הראשון המסתיים במילים 'ועל יסוד החלטת האומות המאוחדות', משמש כמבוא, ומגמתו הברורה היא להסביר לאנושות כולה את הנימוקים אשר בג</w:t>
      </w:r>
      <w:r>
        <w:rPr>
          <w:rFonts w:ascii="Century" w:hAnsi="Century" w:cs="Miriam" w:hint="cs"/>
          <w:b/>
          <w:spacing w:val="0"/>
          <w:sz w:val="22"/>
          <w:szCs w:val="24"/>
          <w:rtl/>
        </w:rPr>
        <w:t>ל</w:t>
      </w:r>
      <w:r w:rsidRPr="00646423">
        <w:rPr>
          <w:rFonts w:ascii="Century" w:hAnsi="Century" w:cs="Miriam" w:hint="cs"/>
          <w:b/>
          <w:spacing w:val="0"/>
          <w:sz w:val="22"/>
          <w:szCs w:val="24"/>
          <w:rtl/>
        </w:rPr>
        <w:t>לם שאף העם היהודי להקים מדינה עצמאית, ולה</w:t>
      </w:r>
      <w:r w:rsidRPr="00646423">
        <w:rPr>
          <w:rFonts w:ascii="Century" w:hAnsi="Century" w:cs="Miriam" w:hint="cs"/>
          <w:b/>
          <w:spacing w:val="0"/>
          <w:szCs w:val="24"/>
          <w:rtl/>
        </w:rPr>
        <w:t>צדיק את פעולת הקמתה של מדינה זו</w:t>
      </w:r>
      <w:r w:rsidRPr="00646423">
        <w:rPr>
          <w:rFonts w:ascii="Century" w:hAnsi="Century" w:cs="Miriam" w:hint="cs"/>
          <w:b/>
          <w:spacing w:val="0"/>
          <w:sz w:val="22"/>
          <w:szCs w:val="24"/>
          <w:rtl/>
        </w:rPr>
        <w:t xml:space="preserve"> [...]</w:t>
      </w:r>
      <w:r w:rsidRPr="00646423">
        <w:rPr>
          <w:rFonts w:ascii="Century" w:hAnsi="Century" w:cs="Miriam" w:hint="cs"/>
          <w:b/>
          <w:spacing w:val="0"/>
          <w:szCs w:val="24"/>
          <w:rtl/>
        </w:rPr>
        <w:t>.</w:t>
      </w:r>
      <w:r w:rsidRPr="00646423">
        <w:rPr>
          <w:rFonts w:ascii="Century" w:hAnsi="Century" w:cs="Miriam" w:hint="cs"/>
          <w:b/>
          <w:spacing w:val="0"/>
          <w:sz w:val="22"/>
          <w:szCs w:val="24"/>
          <w:rtl/>
        </w:rPr>
        <w:t xml:space="preserve"> ללא צורך להזדקק לשיקולים אחרים, עצם לשונו ותוכנו של חלק זה של המסמך, וכן צורתו כמבוא, מעידים על כן שאין הוא מיועד לקבוע הוראות מחייבות אלא הנמקות בלבד. מכאן שאין לייחס לחלק זה של ההכרזה כוח מחייב [...</w:t>
      </w:r>
      <w:r>
        <w:rPr>
          <w:rFonts w:ascii="Century" w:hAnsi="Century" w:cs="Miriam" w:hint="cs"/>
          <w:b/>
          <w:spacing w:val="0"/>
          <w:sz w:val="22"/>
          <w:szCs w:val="24"/>
          <w:rtl/>
        </w:rPr>
        <w:t>]"</w:t>
      </w:r>
      <w:r>
        <w:rPr>
          <w:rFonts w:ascii="Century" w:hAnsi="Century" w:hint="cs"/>
          <w:sz w:val="22"/>
          <w:rtl/>
        </w:rPr>
        <w:t>.</w:t>
      </w:r>
    </w:p>
    <w:p w:rsidR="00EB02E1" w:rsidRDefault="00EB02E1" w:rsidP="00EB02E1">
      <w:pPr>
        <w:pStyle w:val="Ruller41"/>
        <w:rPr>
          <w:rtl/>
        </w:rPr>
      </w:pPr>
    </w:p>
    <w:p w:rsidR="00EB02E1" w:rsidRDefault="00EB02E1" w:rsidP="00EB02E1">
      <w:pPr>
        <w:pStyle w:val="Ruller4"/>
        <w:textAlignment w:val="auto"/>
        <w:rPr>
          <w:rtl/>
        </w:rPr>
      </w:pPr>
      <w:r>
        <w:rPr>
          <w:rFonts w:hint="cs"/>
          <w:rtl/>
        </w:rPr>
        <w:t xml:space="preserve">מכאן עובר פרופ' </w:t>
      </w:r>
      <w:r w:rsidRPr="00646423">
        <w:rPr>
          <w:rFonts w:cs="Miriam" w:hint="cs"/>
          <w:b/>
          <w:spacing w:val="0"/>
          <w:szCs w:val="24"/>
          <w:rtl/>
        </w:rPr>
        <w:t>אקצין</w:t>
      </w:r>
      <w:r>
        <w:rPr>
          <w:rFonts w:hint="cs"/>
          <w:rtl/>
        </w:rPr>
        <w:t xml:space="preserve"> לחלק השלישי של ההכרזה, החלק הרלבנטי לענייננו; הוא החלק שאותו מבקשים חברי השופט </w:t>
      </w:r>
      <w:r w:rsidRPr="00646423">
        <w:rPr>
          <w:rFonts w:cs="Miriam" w:hint="cs"/>
          <w:b/>
          <w:spacing w:val="0"/>
          <w:szCs w:val="24"/>
          <w:rtl/>
        </w:rPr>
        <w:t>שטיין</w:t>
      </w:r>
      <w:r>
        <w:rPr>
          <w:rFonts w:hint="cs"/>
          <w:rtl/>
        </w:rPr>
        <w:t xml:space="preserve"> ופרופ' </w:t>
      </w:r>
      <w:r w:rsidRPr="00646423">
        <w:rPr>
          <w:rFonts w:cs="Miriam" w:hint="cs"/>
          <w:b/>
          <w:spacing w:val="0"/>
          <w:szCs w:val="24"/>
          <w:rtl/>
        </w:rPr>
        <w:t>ברק</w:t>
      </w:r>
      <w:r>
        <w:rPr>
          <w:rFonts w:hint="cs"/>
          <w:rtl/>
        </w:rPr>
        <w:t xml:space="preserve">, להפוך ל'פסקת נצחיות' כחול-לבן: </w:t>
      </w:r>
      <w:r>
        <w:rPr>
          <w:rFonts w:cs="Miriam" w:hint="cs"/>
          <w:b/>
          <w:spacing w:val="0"/>
          <w:szCs w:val="24"/>
          <w:rtl/>
        </w:rPr>
        <w:t>"</w:t>
      </w:r>
      <w:r w:rsidRPr="00C24D3B">
        <w:rPr>
          <w:rFonts w:cs="Miriam" w:hint="cs"/>
          <w:b/>
          <w:spacing w:val="0"/>
          <w:szCs w:val="24"/>
          <w:rtl/>
        </w:rPr>
        <w:t xml:space="preserve">כמו כן, מכילה ההכרזה חלק שלישי, החל מן המילים 'מדינת ישראל תהיה פתוחה' ועד לתום המסמך, אשר עיון בו מלמד כי </w:t>
      </w:r>
      <w:r w:rsidRPr="00C24D3B">
        <w:rPr>
          <w:rFonts w:cs="Miriam" w:hint="cs"/>
          <w:b/>
          <w:spacing w:val="0"/>
          <w:szCs w:val="24"/>
          <w:u w:val="single"/>
          <w:rtl/>
        </w:rPr>
        <w:t>אף הוא אינו מתיימר לכלול נורמות משפטיות מחייבות</w:t>
      </w:r>
      <w:r w:rsidRPr="00C24D3B">
        <w:rPr>
          <w:rFonts w:cs="Miriam" w:hint="cs"/>
          <w:b/>
          <w:spacing w:val="0"/>
          <w:szCs w:val="24"/>
          <w:rtl/>
        </w:rPr>
        <w:t xml:space="preserve">. חלק זה משמש ביטוי להשקפות עולמו של העם היהודי ולמגמותיהם של מייסדי המדינה. בחלקן נוגעות מגמות אלו לבעיות פנים, בחלקן </w:t>
      </w:r>
      <w:r w:rsidRPr="00C24D3B">
        <w:rPr>
          <w:rtl/>
        </w:rPr>
        <w:t>–</w:t>
      </w:r>
      <w:r w:rsidRPr="00C24D3B">
        <w:rPr>
          <w:rFonts w:cs="Miriam" w:hint="cs"/>
          <w:b/>
          <w:spacing w:val="0"/>
          <w:szCs w:val="24"/>
          <w:rtl/>
        </w:rPr>
        <w:t xml:space="preserve"> לבעיות חוץ, אבל אלו ואלו אינן מנוסחות בצורת הוראות משפטיות. ללא ספק מכוונות הן לשמש נר לרגלי </w:t>
      </w:r>
      <w:r w:rsidRPr="00C24D3B">
        <w:rPr>
          <w:rFonts w:cs="Miriam" w:hint="cs"/>
          <w:b/>
          <w:spacing w:val="0"/>
          <w:szCs w:val="24"/>
          <w:rtl/>
        </w:rPr>
        <w:lastRenderedPageBreak/>
        <w:t>המחוקקים והמושלים בעתיד, אבל צורת הציווי המשפטי חסרה להן. חסר להן גם אותו הדיוק האופייני להוראות משפטיות והמבליט את השוני ביניהן לבין מתן</w:t>
      </w:r>
      <w:r>
        <w:rPr>
          <w:rFonts w:cs="Miriam" w:hint="cs"/>
          <w:b/>
          <w:spacing w:val="0"/>
          <w:szCs w:val="24"/>
          <w:rtl/>
        </w:rPr>
        <w:t xml:space="preserve"> </w:t>
      </w:r>
      <w:r w:rsidRPr="00C24D3B">
        <w:rPr>
          <w:rFonts w:cs="Miriam" w:hint="cs"/>
          <w:b/>
          <w:spacing w:val="0"/>
          <w:szCs w:val="24"/>
          <w:rtl/>
        </w:rPr>
        <w:t xml:space="preserve">ביטוי לעקרונות חברתיים רצויים. </w:t>
      </w:r>
      <w:r w:rsidRPr="00C24D3B">
        <w:rPr>
          <w:rFonts w:cs="Miriam" w:hint="cs"/>
          <w:b/>
          <w:spacing w:val="0"/>
          <w:szCs w:val="24"/>
          <w:u w:val="single"/>
          <w:rtl/>
        </w:rPr>
        <w:t>לפי ניסוחו ולפי אופיו 'העקרוני', נקרא אף חלק זה של ההכרזה כעין 'מבוא'</w:t>
      </w:r>
      <w:r w:rsidRPr="00C24D3B">
        <w:rPr>
          <w:rFonts w:cs="Miriam" w:hint="cs"/>
          <w:b/>
          <w:spacing w:val="0"/>
          <w:szCs w:val="24"/>
          <w:rtl/>
        </w:rPr>
        <w:t xml:space="preserve">, ואין לייחס לו אופי שונה רק מפני שבמקום לבוא </w:t>
      </w:r>
      <w:r>
        <w:rPr>
          <w:rFonts w:cs="Miriam" w:hint="cs"/>
          <w:b/>
          <w:spacing w:val="0"/>
          <w:szCs w:val="24"/>
          <w:rtl/>
        </w:rPr>
        <w:t>בראשית המסמך, הועבר לסופו [...]"</w:t>
      </w:r>
      <w:r>
        <w:rPr>
          <w:rFonts w:hint="cs"/>
          <w:rtl/>
        </w:rPr>
        <w:t>.</w:t>
      </w:r>
    </w:p>
    <w:p w:rsidR="00EB02E1" w:rsidRPr="00E952F6" w:rsidRDefault="00EB02E1" w:rsidP="00EB02E1">
      <w:pPr>
        <w:pStyle w:val="Ruller41"/>
      </w:pPr>
    </w:p>
    <w:p w:rsidR="00EB02E1" w:rsidRDefault="00EB02E1" w:rsidP="00EB02E1">
      <w:pPr>
        <w:pStyle w:val="Ruller4"/>
        <w:textAlignment w:val="auto"/>
        <w:rPr>
          <w:rtl/>
        </w:rPr>
      </w:pPr>
      <w:r w:rsidRPr="00E952F6">
        <w:rPr>
          <w:rFonts w:hint="cs"/>
          <w:rtl/>
        </w:rPr>
        <w:t xml:space="preserve">מעמד נורמטיבי שונה, </w:t>
      </w:r>
      <w:r>
        <w:rPr>
          <w:rFonts w:hint="cs"/>
          <w:rtl/>
        </w:rPr>
        <w:t xml:space="preserve">בעל אופי משפטי, </w:t>
      </w:r>
      <w:r w:rsidRPr="00E952F6">
        <w:rPr>
          <w:rFonts w:hint="cs"/>
          <w:rtl/>
        </w:rPr>
        <w:t>ניתן</w:t>
      </w:r>
      <w:r>
        <w:rPr>
          <w:rFonts w:hint="cs"/>
          <w:rtl/>
        </w:rPr>
        <w:t xml:space="preserve"> </w:t>
      </w:r>
      <w:r w:rsidRPr="00E952F6">
        <w:rPr>
          <w:rFonts w:hint="cs"/>
          <w:rtl/>
        </w:rPr>
        <w:t>לחלק השני של ההכרזה</w:t>
      </w:r>
      <w:r>
        <w:rPr>
          <w:rFonts w:hint="cs"/>
          <w:rtl/>
        </w:rPr>
        <w:t>:</w:t>
      </w:r>
      <w:r w:rsidRPr="00C84F37">
        <w:rPr>
          <w:rFonts w:cs="Miriam" w:hint="cs"/>
          <w:b/>
          <w:spacing w:val="0"/>
          <w:szCs w:val="24"/>
          <w:rtl/>
        </w:rPr>
        <w:t xml:space="preserve"> "לעומת זאת, מכיל החלק השני, המרכזי, של ההכרזה, מן המילים 'אנו מכריזים' ועד 'אשר תיקרא בשם ישראל', הוראות אופרטיביות ומחייבות. שלוש הן ההוראות הללו: (א) הקמת המדינה; (ב) קביעת שם המדינה; (ג) קביעת זהותן והרכבן של הרשויות המרכזיות במדינה, וקביעת המועד של תחילת פעולתן [...]" </w:t>
      </w:r>
      <w:r w:rsidRPr="00E952F6">
        <w:rPr>
          <w:rFonts w:hint="cs"/>
          <w:rtl/>
        </w:rPr>
        <w:t>(</w:t>
      </w:r>
      <w:r>
        <w:rPr>
          <w:rFonts w:hint="cs"/>
          <w:rtl/>
        </w:rPr>
        <w:t xml:space="preserve">בנימין אקצין "ההכרזה על הקמת מדינת ישראל" </w:t>
      </w:r>
      <w:r w:rsidRPr="00C84F37">
        <w:rPr>
          <w:rFonts w:cs="Miriam" w:hint="cs"/>
          <w:b/>
          <w:spacing w:val="0"/>
          <w:szCs w:val="24"/>
          <w:rtl/>
        </w:rPr>
        <w:t>ספר יובל לפנחס רוזן</w:t>
      </w:r>
      <w:r>
        <w:rPr>
          <w:rFonts w:hint="cs"/>
          <w:rtl/>
        </w:rPr>
        <w:t xml:space="preserve"> 52, 61-56 (ח' כהן עורך, 1962)</w:t>
      </w:r>
      <w:r w:rsidRPr="00E952F6">
        <w:rPr>
          <w:rFonts w:hint="cs"/>
          <w:rtl/>
        </w:rPr>
        <w:t xml:space="preserve">). </w:t>
      </w:r>
    </w:p>
    <w:p w:rsidR="00EB02E1" w:rsidRPr="00E952F6" w:rsidRDefault="00EB02E1" w:rsidP="00EB02E1">
      <w:pPr>
        <w:pStyle w:val="Ruller41"/>
      </w:pPr>
    </w:p>
    <w:p w:rsidR="00EB02E1" w:rsidRPr="00E952F6" w:rsidRDefault="00EB02E1" w:rsidP="00EB02E1">
      <w:pPr>
        <w:pStyle w:val="Ruller4"/>
        <w:rPr>
          <w:rtl/>
        </w:rPr>
      </w:pPr>
      <w:r w:rsidRPr="00E952F6">
        <w:rPr>
          <w:rFonts w:ascii="Century" w:hAnsi="Century" w:hint="cs"/>
          <w:rtl/>
        </w:rPr>
        <w:t xml:space="preserve">הנה כי כן, אין סתירה בין הקביעה כי 'נורמת היסוד' של המשפט הישראלי, מצויה בחלקה השני של ההכרזה, לבין אותה קביעה של בית המשפט העליון, בראשית ימיו בעניין </w:t>
      </w:r>
      <w:r w:rsidRPr="00E952F6">
        <w:rPr>
          <w:rFonts w:ascii="Century" w:hAnsi="Century" w:cs="Miriam" w:hint="cs"/>
          <w:b/>
          <w:spacing w:val="0"/>
          <w:sz w:val="22"/>
          <w:szCs w:val="24"/>
          <w:rtl/>
        </w:rPr>
        <w:t>זיו</w:t>
      </w:r>
      <w:r w:rsidRPr="00E952F6">
        <w:rPr>
          <w:rFonts w:ascii="Century" w:hAnsi="Century" w:hint="cs"/>
          <w:rtl/>
        </w:rPr>
        <w:t xml:space="preserve">. קביעה </w:t>
      </w:r>
      <w:r>
        <w:rPr>
          <w:rFonts w:ascii="Century" w:hAnsi="Century" w:hint="cs"/>
          <w:rtl/>
        </w:rPr>
        <w:t xml:space="preserve">זו </w:t>
      </w:r>
      <w:r w:rsidRPr="00E952F6">
        <w:rPr>
          <w:rFonts w:ascii="Century" w:hAnsi="Century" w:hint="cs"/>
          <w:rtl/>
        </w:rPr>
        <w:t>שיקפה את הקונצנזוס המוחלט ששרר בימים</w:t>
      </w:r>
      <w:r>
        <w:rPr>
          <w:rFonts w:ascii="Century" w:hAnsi="Century" w:hint="cs"/>
          <w:rtl/>
        </w:rPr>
        <w:t xml:space="preserve"> ההם</w:t>
      </w:r>
      <w:r w:rsidRPr="00E952F6">
        <w:rPr>
          <w:rFonts w:ascii="Century" w:hAnsi="Century" w:hint="cs"/>
          <w:rtl/>
        </w:rPr>
        <w:t xml:space="preserve">, שלפיו, חלקה השלישי של ההכרזה </w:t>
      </w:r>
      <w:r w:rsidRPr="00E952F6">
        <w:rPr>
          <w:rFonts w:ascii="Century" w:hAnsi="Century"/>
          <w:rtl/>
        </w:rPr>
        <w:t>–</w:t>
      </w:r>
      <w:r w:rsidRPr="00E952F6">
        <w:rPr>
          <w:rFonts w:ascii="Century" w:hAnsi="Century" w:hint="cs"/>
          <w:rtl/>
        </w:rPr>
        <w:t xml:space="preserve"> אינו מה</w:t>
      </w:r>
      <w:r>
        <w:rPr>
          <w:rFonts w:ascii="Century" w:hAnsi="Century" w:hint="cs"/>
          <w:rtl/>
        </w:rPr>
        <w:t>ו</w:t>
      </w:r>
      <w:r w:rsidRPr="00E952F6">
        <w:rPr>
          <w:rFonts w:ascii="Century" w:hAnsi="Century" w:hint="cs"/>
          <w:rtl/>
        </w:rPr>
        <w:t xml:space="preserve">וה חוקה, ולא ניתן לפסול </w:t>
      </w:r>
      <w:r>
        <w:rPr>
          <w:rFonts w:ascii="Century" w:hAnsi="Century" w:hint="cs"/>
          <w:rtl/>
        </w:rPr>
        <w:t xml:space="preserve">חוקים </w:t>
      </w:r>
      <w:r w:rsidRPr="00E952F6">
        <w:rPr>
          <w:rFonts w:ascii="Century" w:hAnsi="Century" w:hint="cs"/>
          <w:rtl/>
        </w:rPr>
        <w:t>באמצעותה</w:t>
      </w:r>
      <w:r>
        <w:rPr>
          <w:rFonts w:ascii="Century" w:hAnsi="Century" w:hint="cs"/>
          <w:rtl/>
        </w:rPr>
        <w:t>;</w:t>
      </w:r>
      <w:r w:rsidRPr="00E952F6">
        <w:rPr>
          <w:rFonts w:ascii="Century" w:hAnsi="Century" w:hint="cs"/>
          <w:rtl/>
        </w:rPr>
        <w:t xml:space="preserve"> קל וחומר</w:t>
      </w:r>
      <w:r>
        <w:rPr>
          <w:rFonts w:ascii="Century" w:hAnsi="Century" w:hint="cs"/>
          <w:rtl/>
        </w:rPr>
        <w:t>,</w:t>
      </w:r>
      <w:r w:rsidRPr="00E952F6">
        <w:rPr>
          <w:rFonts w:ascii="Century" w:hAnsi="Century" w:hint="cs"/>
          <w:rtl/>
        </w:rPr>
        <w:t xml:space="preserve"> חוקי-יסוד. דומה כי דברים אלו עולים כמעט במפורש, מפסק </w:t>
      </w:r>
      <w:r>
        <w:rPr>
          <w:rFonts w:ascii="Century" w:hAnsi="Century" w:hint="cs"/>
          <w:rtl/>
        </w:rPr>
        <w:t>דין אחר,</w:t>
      </w:r>
      <w:r w:rsidRPr="00E952F6">
        <w:rPr>
          <w:rFonts w:ascii="Century" w:hAnsi="Century" w:hint="cs"/>
          <w:rtl/>
        </w:rPr>
        <w:t xml:space="preserve"> שניתן</w:t>
      </w:r>
      <w:r>
        <w:rPr>
          <w:rFonts w:ascii="Century" w:hAnsi="Century" w:hint="cs"/>
          <w:rtl/>
        </w:rPr>
        <w:t xml:space="preserve"> גם הוא </w:t>
      </w:r>
      <w:r w:rsidRPr="00E952F6">
        <w:rPr>
          <w:rFonts w:ascii="Century" w:hAnsi="Century" w:hint="cs"/>
          <w:rtl/>
        </w:rPr>
        <w:t xml:space="preserve">באותם ימים ראשונים, בעניין </w:t>
      </w:r>
      <w:r w:rsidRPr="00E952F6">
        <w:rPr>
          <w:rFonts w:ascii="Century" w:hAnsi="Century" w:cs="Miriam"/>
          <w:b/>
          <w:spacing w:val="0"/>
          <w:sz w:val="22"/>
          <w:szCs w:val="24"/>
          <w:rtl/>
        </w:rPr>
        <w:t>אל-כרבוטלי</w:t>
      </w:r>
      <w:r w:rsidRPr="00E952F6">
        <w:rPr>
          <w:rFonts w:ascii="Century" w:hAnsi="Century" w:hint="cs"/>
          <w:rtl/>
        </w:rPr>
        <w:t xml:space="preserve"> (ראו הציטוט המובא לעיל, פסקה 14). </w:t>
      </w:r>
    </w:p>
    <w:p w:rsidR="00EB02E1" w:rsidRDefault="00EB02E1" w:rsidP="00EB02E1">
      <w:pPr>
        <w:pStyle w:val="Ruller41"/>
        <w:rPr>
          <w:rFonts w:ascii="Century" w:hAnsi="Century" w:cs="Miriam"/>
          <w:b/>
          <w:spacing w:val="0"/>
          <w:szCs w:val="24"/>
          <w:rtl/>
        </w:rPr>
      </w:pPr>
    </w:p>
    <w:p w:rsidR="00EB02E1" w:rsidRDefault="00EB02E1" w:rsidP="00EB02E1">
      <w:pPr>
        <w:pStyle w:val="Ruller4"/>
        <w:rPr>
          <w:rFonts w:ascii="Century" w:hAnsi="Century"/>
          <w:sz w:val="22"/>
          <w:rtl/>
        </w:rPr>
      </w:pPr>
      <w:r>
        <w:rPr>
          <w:rFonts w:ascii="Century" w:hAnsi="Century" w:hint="cs"/>
          <w:sz w:val="22"/>
          <w:rtl/>
        </w:rPr>
        <w:t xml:space="preserve">פרופ' </w:t>
      </w:r>
      <w:r w:rsidRPr="00646423">
        <w:rPr>
          <w:rFonts w:cs="Miriam" w:hint="cs"/>
          <w:b/>
          <w:spacing w:val="0"/>
          <w:sz w:val="22"/>
          <w:szCs w:val="24"/>
          <w:rtl/>
        </w:rPr>
        <w:t>אקצין</w:t>
      </w:r>
      <w:r>
        <w:rPr>
          <w:rFonts w:hint="cs"/>
          <w:rtl/>
        </w:rPr>
        <w:t xml:space="preserve"> מוסיף ומצביע על הוראות נוספות, הנכללות בחלק השני, ומחייבות את קיומן של בחירות דמוקרטיות, במהירות האפשרית. </w:t>
      </w:r>
      <w:r>
        <w:rPr>
          <w:rFonts w:hint="cs"/>
          <w:sz w:val="22"/>
          <w:rtl/>
        </w:rPr>
        <w:t xml:space="preserve">לטעמו, המחויבות נבעה מכך, שאותם </w:t>
      </w:r>
      <w:r>
        <w:rPr>
          <w:rFonts w:ascii="Century" w:hAnsi="Century" w:cs="Miriam" w:hint="cs"/>
          <w:b/>
          <w:spacing w:val="0"/>
          <w:sz w:val="22"/>
          <w:szCs w:val="24"/>
          <w:rtl/>
        </w:rPr>
        <w:t>"</w:t>
      </w:r>
      <w:r w:rsidRPr="00646423">
        <w:rPr>
          <w:rFonts w:ascii="Century" w:hAnsi="Century" w:cs="Miriam" w:hint="cs"/>
          <w:b/>
          <w:spacing w:val="0"/>
          <w:sz w:val="22"/>
          <w:szCs w:val="24"/>
          <w:rtl/>
        </w:rPr>
        <w:t>החותמים על ההכרזה</w:t>
      </w:r>
      <w:r>
        <w:rPr>
          <w:rFonts w:ascii="Century" w:hAnsi="Century" w:cs="Miriam" w:hint="cs"/>
          <w:b/>
          <w:spacing w:val="0"/>
          <w:sz w:val="22"/>
          <w:szCs w:val="24"/>
          <w:rtl/>
        </w:rPr>
        <w:t>,</w:t>
      </w:r>
      <w:r w:rsidRPr="00646423">
        <w:rPr>
          <w:rFonts w:ascii="Century" w:hAnsi="Century" w:cs="Miriam" w:hint="cs"/>
          <w:b/>
          <w:spacing w:val="0"/>
          <w:sz w:val="22"/>
          <w:szCs w:val="24"/>
          <w:rtl/>
        </w:rPr>
        <w:t xml:space="preserve"> ידעו והרגישו שעל הקמת המדינה מכריז, ואת ראשית מבנה המדינה קובע, חבר אנשים שלא נבחר לשם כך, ושכל-כולו מורכב מנציגי מפלגות שנבחרו למוסדות אחרים ולצרכים אחרים. על כן, עז היה רצונם לשוות למדינה אופי דמוקרטי טהור, על יסוד בחירות, במהירות המקסימלית</w:t>
      </w:r>
      <w:r>
        <w:rPr>
          <w:rFonts w:ascii="Century" w:hAnsi="Century" w:cs="Miriam" w:hint="cs"/>
          <w:b/>
          <w:spacing w:val="0"/>
          <w:sz w:val="22"/>
          <w:szCs w:val="24"/>
          <w:rtl/>
        </w:rPr>
        <w:t>"</w:t>
      </w:r>
      <w:r>
        <w:rPr>
          <w:rFonts w:ascii="Century" w:hAnsi="Century" w:hint="cs"/>
          <w:sz w:val="22"/>
          <w:rtl/>
        </w:rPr>
        <w:t xml:space="preserve">. מדברים אלו ניתן להסיק, כי האבות המייסדים היו מוּדעים היטב לאותו 'גֵרעון דמוקרטי', שממנו סובל המוסד שבו הם חברים, ועל כן לא היתה להם כל כוונה להגביל את נציגי העם הנבחרים, מלכונן את חוקת 'המדינה שבדרך' כטוב בעיניהם. </w:t>
      </w:r>
    </w:p>
    <w:p w:rsidR="00EB02E1" w:rsidRPr="00646423" w:rsidRDefault="00EB02E1" w:rsidP="00EB02E1">
      <w:pPr>
        <w:pStyle w:val="Ruller41"/>
      </w:pPr>
    </w:p>
    <w:p w:rsidR="00EB02E1" w:rsidRPr="00646423" w:rsidRDefault="00EB02E1" w:rsidP="00EB02E1">
      <w:pPr>
        <w:pStyle w:val="Ruller4"/>
        <w:rPr>
          <w:sz w:val="22"/>
          <w:rtl/>
        </w:rPr>
      </w:pPr>
      <w:r>
        <w:rPr>
          <w:rFonts w:hint="cs"/>
          <w:sz w:val="22"/>
          <w:rtl/>
        </w:rPr>
        <w:t xml:space="preserve">גם אותו חלק שני של ההכרזה, שבו נקבעו כאמור הוראות נורמטיביות, הרי שאֵלו </w:t>
      </w:r>
      <w:r>
        <w:rPr>
          <w:sz w:val="22"/>
          <w:rtl/>
        </w:rPr>
        <w:t>–</w:t>
      </w:r>
      <w:r>
        <w:rPr>
          <w:rFonts w:hint="cs"/>
          <w:sz w:val="22"/>
          <w:rtl/>
        </w:rPr>
        <w:t xml:space="preserve"> אינן מחייבות. לא רק שהן אינן 'נצחיות', ולא התיימרו לכבול את ידי הדורות הבאים, אלא גם מועצת המדינה הזמנית עצמה, רשאית לסטות מאותן הוראות, ככל שתחפוץ בכך. בעזרת קביעה זו, </w:t>
      </w:r>
      <w:r w:rsidRPr="00646423">
        <w:rPr>
          <w:rFonts w:hint="cs"/>
          <w:sz w:val="22"/>
          <w:rtl/>
        </w:rPr>
        <w:t>מיישב</w:t>
      </w:r>
      <w:r>
        <w:rPr>
          <w:rFonts w:hint="cs"/>
          <w:sz w:val="22"/>
          <w:rtl/>
        </w:rPr>
        <w:t xml:space="preserve"> פרופ' </w:t>
      </w:r>
      <w:r w:rsidRPr="00E952F6">
        <w:rPr>
          <w:rFonts w:ascii="Century" w:hAnsi="Century" w:cs="Miriam" w:hint="cs"/>
          <w:b/>
          <w:spacing w:val="0"/>
          <w:sz w:val="22"/>
          <w:szCs w:val="24"/>
          <w:rtl/>
        </w:rPr>
        <w:t>אקצין</w:t>
      </w:r>
      <w:r>
        <w:rPr>
          <w:rFonts w:hint="cs"/>
          <w:sz w:val="22"/>
          <w:rtl/>
        </w:rPr>
        <w:t xml:space="preserve"> אותו </w:t>
      </w:r>
      <w:r w:rsidRPr="00646423">
        <w:rPr>
          <w:rFonts w:hint="cs"/>
          <w:sz w:val="22"/>
          <w:rtl/>
        </w:rPr>
        <w:t xml:space="preserve">קושי הטמון בכך שמועצת המדינה הזמנית עצמה, סטתה מכמה הוראות שנקבעו בחלקה השני של ההכרזה. </w:t>
      </w:r>
      <w:r>
        <w:rPr>
          <w:rFonts w:hint="cs"/>
          <w:sz w:val="22"/>
          <w:rtl/>
        </w:rPr>
        <w:t xml:space="preserve">לא רק </w:t>
      </w:r>
      <w:r>
        <w:rPr>
          <w:rFonts w:hint="cs"/>
          <w:sz w:val="22"/>
          <w:rtl/>
        </w:rPr>
        <w:lastRenderedPageBreak/>
        <w:t xml:space="preserve">החלק הראשון והשלישי, בעלי האופי ההצהרתי, אלא </w:t>
      </w:r>
      <w:r w:rsidRPr="00646423">
        <w:rPr>
          <w:rFonts w:hint="cs"/>
          <w:sz w:val="22"/>
          <w:rtl/>
        </w:rPr>
        <w:t xml:space="preserve">גם הוראות החלק השני, בעל המשמעות הנורמטיבית </w:t>
      </w:r>
      <w:r w:rsidRPr="00646423">
        <w:rPr>
          <w:sz w:val="22"/>
          <w:rtl/>
        </w:rPr>
        <w:t>–</w:t>
      </w:r>
      <w:r>
        <w:rPr>
          <w:rFonts w:hint="cs"/>
          <w:sz w:val="22"/>
          <w:rtl/>
        </w:rPr>
        <w:t xml:space="preserve"> ניתנות</w:t>
      </w:r>
      <w:r w:rsidRPr="00646423">
        <w:rPr>
          <w:rFonts w:hint="cs"/>
          <w:sz w:val="22"/>
          <w:rtl/>
        </w:rPr>
        <w:t xml:space="preserve"> לשינוי תמידי, באמצעות דבר חקיקה אחר</w:t>
      </w:r>
      <w:r>
        <w:rPr>
          <w:rFonts w:hint="cs"/>
          <w:sz w:val="22"/>
          <w:rtl/>
        </w:rPr>
        <w:t>:</w:t>
      </w:r>
      <w:r w:rsidRPr="00646423">
        <w:rPr>
          <w:rFonts w:hint="cs"/>
          <w:sz w:val="22"/>
          <w:rtl/>
        </w:rPr>
        <w:t xml:space="preserve"> </w:t>
      </w:r>
      <w:r w:rsidRPr="00646423">
        <w:rPr>
          <w:rFonts w:ascii="Century" w:hAnsi="Century" w:cs="Miriam" w:hint="cs"/>
          <w:b/>
          <w:spacing w:val="0"/>
          <w:szCs w:val="24"/>
          <w:rtl/>
        </w:rPr>
        <w:t>"הניתוח הזה מסביר את המסקנה שהובעה קודם, לפיה מהו</w:t>
      </w:r>
      <w:r>
        <w:rPr>
          <w:rFonts w:ascii="Century" w:hAnsi="Century" w:cs="Miriam" w:hint="cs"/>
          <w:b/>
          <w:spacing w:val="0"/>
          <w:szCs w:val="24"/>
          <w:rtl/>
        </w:rPr>
        <w:t>ו</w:t>
      </w:r>
      <w:r w:rsidRPr="00646423">
        <w:rPr>
          <w:rFonts w:ascii="Century" w:hAnsi="Century" w:cs="Miriam" w:hint="cs"/>
          <w:b/>
          <w:spacing w:val="0"/>
          <w:szCs w:val="24"/>
          <w:rtl/>
        </w:rPr>
        <w:t xml:space="preserve">ה ההכרזה בכללה מקור בעל תוקף משפטי ראשוני, ושהנורמות הנכללות בחלקה המרכזי והאופרטיבי הן הוראות מחייבות. עם זאת אין לנו יסוד כלשהו לייחס להכרזה עדיפות משפטית על כל מקור משפטי אחר. </w:t>
      </w:r>
      <w:r w:rsidRPr="00646423">
        <w:rPr>
          <w:rFonts w:ascii="Century" w:hAnsi="Century" w:cs="Miriam" w:hint="cs"/>
          <w:b/>
          <w:spacing w:val="0"/>
          <w:szCs w:val="24"/>
          <w:u w:val="single"/>
          <w:rtl/>
        </w:rPr>
        <w:t>אילו היתה מועצת המדינה הזמנית משנה על ידי מעשה-חקיקה שלה אחת מהוראות ההכרזה (לדוגמה: את שם המדינה), או אילו היתה הכנסת עושה כך, אין שום מניעה משפטית-פורמאלית לשינוי כזה</w:t>
      </w:r>
      <w:r w:rsidRPr="00646423">
        <w:rPr>
          <w:rFonts w:ascii="Century" w:hAnsi="Century" w:cs="Miriam" w:hint="cs"/>
          <w:b/>
          <w:spacing w:val="0"/>
          <w:szCs w:val="24"/>
          <w:rtl/>
        </w:rPr>
        <w:t xml:space="preserve">. את ההכרזה אין לראות כמסמך בעל דרגת-תוקף נחותה משל חוק, אבל גם לא כמסמך עדיף על חוק. יש להכניסה אפוא למערכת החוקים, </w:t>
      </w:r>
      <w:r w:rsidRPr="00646423">
        <w:rPr>
          <w:rFonts w:ascii="Century" w:hAnsi="Century" w:cs="Miriam" w:hint="cs"/>
          <w:b/>
          <w:spacing w:val="0"/>
          <w:szCs w:val="24"/>
          <w:u w:val="single"/>
          <w:rtl/>
        </w:rPr>
        <w:t>ובמקרה של סתירה יכריע החוק המאוחר</w:t>
      </w:r>
      <w:r w:rsidRPr="00646423">
        <w:rPr>
          <w:rFonts w:ascii="Century" w:hAnsi="Century" w:cs="Miriam" w:hint="cs"/>
          <w:b/>
          <w:spacing w:val="0"/>
          <w:szCs w:val="24"/>
          <w:rtl/>
        </w:rPr>
        <w:t xml:space="preserve"> [...]</w:t>
      </w:r>
      <w:r>
        <w:rPr>
          <w:rFonts w:ascii="Century" w:hAnsi="Century" w:cs="Miriam" w:hint="cs"/>
          <w:b/>
          <w:spacing w:val="0"/>
          <w:szCs w:val="24"/>
          <w:rtl/>
        </w:rPr>
        <w:t>"</w:t>
      </w:r>
      <w:r w:rsidRPr="00646423">
        <w:rPr>
          <w:rFonts w:ascii="Century" w:hAnsi="Century" w:cs="Miriam" w:hint="cs"/>
          <w:b/>
          <w:spacing w:val="0"/>
          <w:szCs w:val="24"/>
          <w:rtl/>
        </w:rPr>
        <w:t xml:space="preserve"> </w:t>
      </w:r>
      <w:r w:rsidRPr="00646423">
        <w:rPr>
          <w:rFonts w:ascii="Century" w:hAnsi="Century" w:hint="cs"/>
          <w:sz w:val="22"/>
          <w:rtl/>
        </w:rPr>
        <w:t>(שם).</w:t>
      </w:r>
      <w:r w:rsidRPr="00646423">
        <w:rPr>
          <w:rFonts w:ascii="Century" w:hAnsi="Century" w:cs="Miriam" w:hint="cs"/>
          <w:b/>
          <w:spacing w:val="0"/>
          <w:szCs w:val="24"/>
          <w:rtl/>
        </w:rPr>
        <w:t xml:space="preserve"> </w:t>
      </w:r>
    </w:p>
    <w:p w:rsidR="00EB02E1" w:rsidRDefault="00EB02E1" w:rsidP="00EB02E1">
      <w:pPr>
        <w:pStyle w:val="Ruller41"/>
        <w:rPr>
          <w:rtl/>
        </w:rPr>
      </w:pPr>
    </w:p>
    <w:p w:rsidR="00EB02E1" w:rsidRPr="00646423" w:rsidRDefault="00EB02E1" w:rsidP="00EB02E1">
      <w:pPr>
        <w:pStyle w:val="Ruller4"/>
        <w:rPr>
          <w:rtl/>
        </w:rPr>
      </w:pPr>
      <w:r>
        <w:rPr>
          <w:rFonts w:ascii="Century" w:hAnsi="Century" w:hint="cs"/>
          <w:sz w:val="22"/>
          <w:rtl/>
        </w:rPr>
        <w:t xml:space="preserve">למקרא סיום דבריו של פרופ' </w:t>
      </w:r>
      <w:r w:rsidRPr="00E952F6">
        <w:rPr>
          <w:rFonts w:ascii="Century" w:hAnsi="Century" w:cs="Miriam" w:hint="cs"/>
          <w:b/>
          <w:spacing w:val="0"/>
          <w:sz w:val="22"/>
          <w:szCs w:val="24"/>
          <w:rtl/>
        </w:rPr>
        <w:t>אקצין</w:t>
      </w:r>
      <w:r>
        <w:rPr>
          <w:rFonts w:ascii="Century" w:hAnsi="Century" w:hint="cs"/>
          <w:sz w:val="22"/>
          <w:rtl/>
        </w:rPr>
        <w:t xml:space="preserve"> באותו מאמר, נדמה כי לִבּו ניבּא לו, בבחינת 'חכם עדיף מנביא', כי יום יבוא, ויהא מי שיבקש לתלות במגילת העצמאות את מה שאין בה. כמענה לכך, בחר פרופ' </w:t>
      </w:r>
      <w:r w:rsidRPr="00E952F6">
        <w:rPr>
          <w:rFonts w:ascii="Century" w:hAnsi="Century" w:cs="Miriam" w:hint="cs"/>
          <w:b/>
          <w:spacing w:val="0"/>
          <w:sz w:val="22"/>
          <w:szCs w:val="24"/>
          <w:rtl/>
        </w:rPr>
        <w:t>אקצין</w:t>
      </w:r>
      <w:r>
        <w:rPr>
          <w:rFonts w:ascii="Century" w:hAnsi="Century" w:hint="cs"/>
          <w:sz w:val="22"/>
          <w:rtl/>
        </w:rPr>
        <w:t xml:space="preserve"> להרחיב על אודות הנסיבות ההיסטוריות שהובילו להכרזה, ועל אילוצי הזמן ודוחק השעה שבהם היו נתונים מנסחיה. על כך הוסיף מעין 'הערת אזהרה', שלפיה יש לקחת בחשבון אותן נסיבות היסטוריות, לפני כל ניסיון לנתח את משמעותה של ההכרזה: </w:t>
      </w:r>
      <w:r>
        <w:rPr>
          <w:rFonts w:ascii="Century" w:hAnsi="Century" w:cs="Miriam" w:hint="cs"/>
          <w:b/>
          <w:spacing w:val="0"/>
          <w:szCs w:val="24"/>
          <w:rtl/>
        </w:rPr>
        <w:t>"</w:t>
      </w:r>
      <w:r w:rsidRPr="00646423">
        <w:rPr>
          <w:rFonts w:ascii="Century" w:hAnsi="Century" w:cs="Miriam" w:hint="cs"/>
          <w:b/>
          <w:spacing w:val="0"/>
          <w:szCs w:val="24"/>
          <w:rtl/>
        </w:rPr>
        <w:t>כמובן, שום הערכה של הכרזת העצמאות לא תהא מציאותית אם ניגש אליה כאל מסמך משפטי גרידא, אשר תוכנו, ניס</w:t>
      </w:r>
      <w:r>
        <w:rPr>
          <w:rFonts w:ascii="Century" w:hAnsi="Century" w:cs="Miriam" w:hint="cs"/>
          <w:b/>
          <w:spacing w:val="0"/>
          <w:szCs w:val="24"/>
          <w:rtl/>
        </w:rPr>
        <w:t>ו</w:t>
      </w:r>
      <w:r w:rsidRPr="00646423">
        <w:rPr>
          <w:rFonts w:ascii="Century" w:hAnsi="Century" w:cs="Miriam" w:hint="cs"/>
          <w:b/>
          <w:spacing w:val="0"/>
          <w:szCs w:val="24"/>
          <w:rtl/>
        </w:rPr>
        <w:t xml:space="preserve">חו וסגנונו נקבעים תוך שיקולים מקצועיים-טכניים המכוונים אך ורק לתוצאות המשפטיות הרצויות. </w:t>
      </w:r>
      <w:r w:rsidRPr="00646423">
        <w:rPr>
          <w:rFonts w:ascii="Century" w:hAnsi="Century" w:cs="Miriam" w:hint="cs"/>
          <w:b/>
          <w:spacing w:val="0"/>
          <w:szCs w:val="24"/>
          <w:u w:val="single"/>
          <w:rtl/>
        </w:rPr>
        <w:t>הכרזת העצמאות שייכת לאותו סוג של מסמכים היסטוריים, כגון מגילת העצמאות של ארה"ב והכרזת זכויות האדם והאזרח בצרפת, שנוצרו גם כביטוי להתעוררות חברתית עצומה במסיבות היסטוריות גורליות</w:t>
      </w:r>
      <w:r w:rsidRPr="00646423">
        <w:rPr>
          <w:rFonts w:ascii="Century" w:hAnsi="Century" w:cs="Miriam" w:hint="cs"/>
          <w:b/>
          <w:spacing w:val="0"/>
          <w:szCs w:val="24"/>
          <w:rtl/>
        </w:rPr>
        <w:t xml:space="preserve">. הרצון להצדיק מפנה מדיני חריף ולהביע </w:t>
      </w:r>
      <w:r w:rsidRPr="00646423">
        <w:rPr>
          <w:rFonts w:ascii="Century" w:hAnsi="Century" w:cs="Miriam" w:hint="cs"/>
          <w:b/>
          <w:spacing w:val="0"/>
          <w:szCs w:val="24"/>
          <w:u w:val="single"/>
          <w:rtl/>
        </w:rPr>
        <w:t>תקוות רחבות-טווח לעתיד</w:t>
      </w:r>
      <w:r w:rsidRPr="00646423">
        <w:rPr>
          <w:rFonts w:ascii="Century" w:hAnsi="Century" w:cs="Miriam" w:hint="cs"/>
          <w:b/>
          <w:spacing w:val="0"/>
          <w:szCs w:val="24"/>
          <w:rtl/>
        </w:rPr>
        <w:t xml:space="preserve"> מתגבר בהם על הנטיה, הרגילה במסמכים משפטיים שגרתיים, לנסח בזהירות ובדייקנות (או, לפעמים, בחוסר-דייקנות מכוונת) את התוכן הרצוי. </w:t>
      </w:r>
      <w:r w:rsidRPr="00646423">
        <w:rPr>
          <w:rFonts w:ascii="Century" w:hAnsi="Century" w:cs="Miriam" w:hint="cs"/>
          <w:b/>
          <w:spacing w:val="0"/>
          <w:szCs w:val="24"/>
          <w:u w:val="single"/>
          <w:rtl/>
        </w:rPr>
        <w:t>מכאן שחזק בהם יסוד הפאתוס על יסוד הניסוח המשפטי</w:t>
      </w:r>
      <w:r w:rsidRPr="00646423">
        <w:rPr>
          <w:rFonts w:ascii="Century" w:hAnsi="Century" w:cs="Miriam" w:hint="cs"/>
          <w:b/>
          <w:spacing w:val="0"/>
          <w:szCs w:val="24"/>
          <w:rtl/>
        </w:rPr>
        <w:t xml:space="preserve"> [...]. נוסף לכך, ניכרת במסמכים מסוג זה העובדה שיש והם מנוסחים במידה רבה על ידי אנשים שאינם רגילים בניסוח הוראות של המשפט הציבורי</w:t>
      </w:r>
      <w:r>
        <w:rPr>
          <w:rFonts w:ascii="Century" w:hAnsi="Century" w:cs="Miriam" w:hint="cs"/>
          <w:b/>
          <w:spacing w:val="0"/>
          <w:szCs w:val="24"/>
          <w:rtl/>
        </w:rPr>
        <w:t>,</w:t>
      </w:r>
      <w:r w:rsidRPr="00646423">
        <w:rPr>
          <w:rFonts w:ascii="Century" w:hAnsi="Century" w:cs="Miriam" w:hint="cs"/>
          <w:b/>
          <w:spacing w:val="0"/>
          <w:szCs w:val="24"/>
          <w:rtl/>
        </w:rPr>
        <w:t xml:space="preserve"> וכן </w:t>
      </w:r>
      <w:r w:rsidRPr="00646423">
        <w:rPr>
          <w:rFonts w:ascii="Century" w:hAnsi="Century" w:cs="Miriam" w:hint="cs"/>
          <w:b/>
          <w:spacing w:val="0"/>
          <w:szCs w:val="24"/>
          <w:u w:val="single"/>
          <w:rtl/>
        </w:rPr>
        <w:t>במהירות רבה מכיון שהשעה דוחקת</w:t>
      </w:r>
      <w:r w:rsidRPr="00646423">
        <w:rPr>
          <w:rFonts w:ascii="Century" w:hAnsi="Century" w:cs="Miriam" w:hint="cs"/>
          <w:b/>
          <w:spacing w:val="0"/>
          <w:szCs w:val="24"/>
          <w:rtl/>
        </w:rPr>
        <w:t>. כל הקווים האלה נמצאים בהכרזת העצמאות, ויש להביאם בחשבון שעה שאנו ניגשים לנתח את משמעותה"</w:t>
      </w:r>
      <w:r>
        <w:rPr>
          <w:rFonts w:ascii="Century" w:hAnsi="Century" w:hint="cs"/>
          <w:rtl/>
        </w:rPr>
        <w:t xml:space="preserve"> (שם)</w:t>
      </w:r>
      <w:r w:rsidRPr="00646423">
        <w:rPr>
          <w:rFonts w:ascii="Century" w:hAnsi="Century" w:hint="cs"/>
          <w:rtl/>
        </w:rPr>
        <w:t>.</w:t>
      </w:r>
      <w:r w:rsidRPr="00646423">
        <w:rPr>
          <w:rFonts w:ascii="Century" w:hAnsi="Century" w:cs="Miriam" w:hint="cs"/>
          <w:b/>
          <w:spacing w:val="0"/>
          <w:szCs w:val="24"/>
          <w:rtl/>
        </w:rPr>
        <w:t xml:space="preserve"> </w:t>
      </w:r>
    </w:p>
    <w:p w:rsidR="00EB02E1" w:rsidRDefault="00EB02E1" w:rsidP="00EB02E1">
      <w:pPr>
        <w:pStyle w:val="Ruller41"/>
        <w:rPr>
          <w:rFonts w:ascii="Century" w:hAnsi="Century" w:cs="Miriam"/>
          <w:b/>
          <w:spacing w:val="0"/>
          <w:szCs w:val="24"/>
          <w:rtl/>
        </w:rPr>
      </w:pPr>
    </w:p>
    <w:p w:rsidR="00EB02E1" w:rsidRDefault="00EB02E1" w:rsidP="00EB02E1">
      <w:pPr>
        <w:pStyle w:val="Ruller4"/>
        <w:rPr>
          <w:rtl/>
        </w:rPr>
      </w:pPr>
      <w:r>
        <w:rPr>
          <w:rFonts w:hint="cs"/>
          <w:rtl/>
        </w:rPr>
        <w:t xml:space="preserve">שלוש הן המסקנות מדבריו של פרופ' </w:t>
      </w:r>
      <w:r w:rsidRPr="00C24D3B">
        <w:rPr>
          <w:rFonts w:ascii="Century" w:hAnsi="Century" w:cs="Miriam" w:hint="cs"/>
          <w:b/>
          <w:spacing w:val="0"/>
          <w:sz w:val="22"/>
          <w:szCs w:val="24"/>
          <w:rtl/>
        </w:rPr>
        <w:t>אקצין</w:t>
      </w:r>
      <w:r>
        <w:rPr>
          <w:rFonts w:hint="cs"/>
          <w:rtl/>
        </w:rPr>
        <w:t xml:space="preserve">. </w:t>
      </w:r>
      <w:r w:rsidRPr="003B0FE6">
        <w:rPr>
          <w:rFonts w:hint="cs"/>
          <w:u w:val="single"/>
          <w:rtl/>
        </w:rPr>
        <w:t>הראשונה</w:t>
      </w:r>
      <w:r>
        <w:rPr>
          <w:rFonts w:hint="cs"/>
          <w:rtl/>
        </w:rPr>
        <w:t xml:space="preserve">: החלק הראשון והשלישי במגילה, לא התיימרו מעולם לחייב את הרשות המכוננת הנבחרת, ואת הכּנסות שיבואו אחריה. הסמכות החוקתית והחקיקתית, שניתנה להן בחלק השני של מגילת העצמאות, על-ידי מועצת המדינה הזמנית </w:t>
      </w:r>
      <w:r>
        <w:rPr>
          <w:rtl/>
        </w:rPr>
        <w:t>–</w:t>
      </w:r>
      <w:r>
        <w:rPr>
          <w:rFonts w:hint="cs"/>
          <w:rtl/>
        </w:rPr>
        <w:t xml:space="preserve"> בלתי מוגבלת. </w:t>
      </w:r>
      <w:r w:rsidRPr="003B0FE6">
        <w:rPr>
          <w:rFonts w:hint="cs"/>
          <w:u w:val="single"/>
          <w:rtl/>
        </w:rPr>
        <w:t>השנייה</w:t>
      </w:r>
      <w:r>
        <w:rPr>
          <w:rFonts w:hint="cs"/>
          <w:rtl/>
        </w:rPr>
        <w:t xml:space="preserve">: גם אותן הוראות ספציפיות, המצויות בחלק השני, והנורמטיבי, של המגילה </w:t>
      </w:r>
      <w:r>
        <w:rPr>
          <w:rtl/>
        </w:rPr>
        <w:t>–</w:t>
      </w:r>
      <w:r>
        <w:rPr>
          <w:rFonts w:hint="cs"/>
          <w:rtl/>
        </w:rPr>
        <w:t xml:space="preserve"> דינן לכל היותר כדין דבר חקיקה רגיל. ממילא יכולה היתה מועצת המדינה הזמנית עצמה, והכּנסות שבאו בעקבותיה, לסטות מהוראותיה, כדין כל חוק מאוחר הגובר על חוק מוקדם. כך אכן אירע במציאות, מיד עם </w:t>
      </w:r>
      <w:r>
        <w:rPr>
          <w:rFonts w:hint="cs"/>
          <w:rtl/>
        </w:rPr>
        <w:lastRenderedPageBreak/>
        <w:t xml:space="preserve">הקמת המדינה. כבר אז סטתה מועצת המדינה הזמנית מהוראותיה של המגילה, כפי שמדגים פרופ' </w:t>
      </w:r>
      <w:r w:rsidRPr="00C24D3B">
        <w:rPr>
          <w:rFonts w:ascii="Century" w:hAnsi="Century" w:cs="Miriam" w:hint="cs"/>
          <w:b/>
          <w:spacing w:val="0"/>
          <w:sz w:val="22"/>
          <w:szCs w:val="24"/>
          <w:rtl/>
        </w:rPr>
        <w:t>אקצין</w:t>
      </w:r>
      <w:r>
        <w:rPr>
          <w:rFonts w:hint="cs"/>
          <w:rtl/>
        </w:rPr>
        <w:t xml:space="preserve">. המסקנה </w:t>
      </w:r>
      <w:r w:rsidRPr="003B0FE6">
        <w:rPr>
          <w:rFonts w:hint="cs"/>
          <w:u w:val="single"/>
          <w:rtl/>
        </w:rPr>
        <w:t>השלישית</w:t>
      </w:r>
      <w:r>
        <w:rPr>
          <w:rFonts w:hint="cs"/>
          <w:rtl/>
        </w:rPr>
        <w:t xml:space="preserve"> והחשובה ביותר, היא היסוד הדמוקרטי החזק שפעם בּלִיבּות מייסדי המדינה. אותה 'תודעה דמוקרטית' עמוקה, בגינה הם ביקשו לקיים את הבחירות לאסיפה המכוננת במהירות האפשרית. רק אז, אותה אסיפה מכוננת, כגוף נבחר, יהא בכוחה לקבוע את ההסדרים החוקתיים הראשוניים. </w:t>
      </w:r>
    </w:p>
    <w:p w:rsidR="00EB02E1" w:rsidRPr="00E952F6" w:rsidRDefault="00EB02E1" w:rsidP="00EB02E1">
      <w:pPr>
        <w:pStyle w:val="Ruller4"/>
        <w:numPr>
          <w:ilvl w:val="0"/>
          <w:numId w:val="0"/>
        </w:numPr>
        <w:rPr>
          <w:sz w:val="22"/>
          <w:rtl/>
        </w:rPr>
      </w:pPr>
      <w:r>
        <w:rPr>
          <w:rFonts w:ascii="Century" w:hAnsi="Century" w:hint="cs"/>
          <w:sz w:val="22"/>
          <w:rtl/>
        </w:rPr>
        <w:t xml:space="preserve"> </w:t>
      </w:r>
    </w:p>
    <w:p w:rsidR="00EB02E1" w:rsidRDefault="00EB02E1" w:rsidP="00EB02E1">
      <w:pPr>
        <w:pStyle w:val="Ruller4"/>
        <w:rPr>
          <w:rtl/>
        </w:rPr>
      </w:pPr>
      <w:r>
        <w:rPr>
          <w:rFonts w:hint="cs"/>
          <w:rtl/>
        </w:rPr>
        <w:t xml:space="preserve">כעת נפנה לדבריו של פרופ' </w:t>
      </w:r>
      <w:r w:rsidRPr="00E952F6">
        <w:rPr>
          <w:rFonts w:ascii="Century" w:hAnsi="Century" w:cs="Miriam" w:hint="cs"/>
          <w:b/>
          <w:spacing w:val="0"/>
          <w:sz w:val="22"/>
          <w:szCs w:val="24"/>
          <w:rtl/>
        </w:rPr>
        <w:t>י' ה'</w:t>
      </w:r>
      <w:r w:rsidRPr="00E952F6">
        <w:rPr>
          <w:rFonts w:hint="cs"/>
          <w:rtl/>
        </w:rPr>
        <w:t xml:space="preserve"> </w:t>
      </w:r>
      <w:r w:rsidRPr="006626DA">
        <w:rPr>
          <w:rFonts w:ascii="Century" w:hAnsi="Century" w:cs="Miriam" w:hint="cs"/>
          <w:b/>
          <w:spacing w:val="0"/>
          <w:sz w:val="22"/>
          <w:szCs w:val="24"/>
          <w:rtl/>
        </w:rPr>
        <w:t>קלינגהופר</w:t>
      </w:r>
      <w:r>
        <w:rPr>
          <w:rFonts w:hint="cs"/>
          <w:rtl/>
        </w:rPr>
        <w:t>, בעניינה של הכרזת העצמאות;</w:t>
      </w:r>
      <w:r w:rsidRPr="006626DA">
        <w:rPr>
          <w:rFonts w:hint="cs"/>
          <w:rtl/>
        </w:rPr>
        <w:t xml:space="preserve"> </w:t>
      </w:r>
      <w:r>
        <w:rPr>
          <w:rFonts w:hint="cs"/>
          <w:rtl/>
        </w:rPr>
        <w:t xml:space="preserve">דברים שנכתבו במקור בשפה הגרמנית, בשנת 1961, ותורגמו לאחר מכן לעברית. כאמור, במובנים רבים, ניתוחו המשפטי וההיסטורי של פרופ' </w:t>
      </w:r>
      <w:r w:rsidRPr="00E952F6">
        <w:rPr>
          <w:rFonts w:ascii="Century" w:hAnsi="Century" w:cs="Miriam" w:hint="cs"/>
          <w:b/>
          <w:spacing w:val="0"/>
          <w:sz w:val="22"/>
          <w:szCs w:val="24"/>
          <w:rtl/>
        </w:rPr>
        <w:t>קלינגהופר</w:t>
      </w:r>
      <w:r>
        <w:rPr>
          <w:rFonts w:hint="cs"/>
          <w:rtl/>
        </w:rPr>
        <w:t xml:space="preserve">, דומה במידה ניכרת לזה של פרופ' </w:t>
      </w:r>
      <w:r w:rsidRPr="00E952F6">
        <w:rPr>
          <w:rFonts w:ascii="Century" w:hAnsi="Century" w:cs="Miriam" w:hint="cs"/>
          <w:b/>
          <w:spacing w:val="0"/>
          <w:sz w:val="22"/>
          <w:szCs w:val="24"/>
          <w:rtl/>
        </w:rPr>
        <w:t>אקצין</w:t>
      </w:r>
      <w:r>
        <w:rPr>
          <w:rFonts w:hint="cs"/>
          <w:rtl/>
        </w:rPr>
        <w:t xml:space="preserve">. אסתפק אפוא בהפניה כללית, ואביא אך קטע קטן מדבריו, לגבי מעמדם של חוקים, אף רגילים, העומדים בסתירה לזכויות היסוד שזכרם בא בהכרזת העצמאות: </w:t>
      </w:r>
      <w:r>
        <w:rPr>
          <w:rFonts w:ascii="Century" w:hAnsi="Century" w:cs="Miriam" w:hint="cs"/>
          <w:b/>
          <w:spacing w:val="0"/>
          <w:sz w:val="22"/>
          <w:szCs w:val="24"/>
          <w:rtl/>
        </w:rPr>
        <w:t>"</w:t>
      </w:r>
      <w:r w:rsidRPr="00646423">
        <w:rPr>
          <w:rFonts w:ascii="Century" w:hAnsi="Century" w:cs="Miriam"/>
          <w:b/>
          <w:spacing w:val="0"/>
          <w:sz w:val="22"/>
          <w:szCs w:val="24"/>
          <w:rtl/>
        </w:rPr>
        <w:t xml:space="preserve">שאלת ההתנגשות עם ההכרזה כלל לא תתעורר לגבי חוקים ישראליים הפוגעים בזכויות יסוד: אפילו נניח </w:t>
      </w:r>
      <w:r w:rsidRPr="00646423">
        <w:rPr>
          <w:rFonts w:ascii="Century" w:hAnsi="Century"/>
          <w:sz w:val="22"/>
          <w:rtl/>
        </w:rPr>
        <w:t>–</w:t>
      </w:r>
      <w:r w:rsidRPr="00646423">
        <w:rPr>
          <w:rFonts w:ascii="Century" w:hAnsi="Century" w:cs="Miriam"/>
          <w:b/>
          <w:spacing w:val="0"/>
          <w:sz w:val="22"/>
          <w:szCs w:val="24"/>
          <w:rtl/>
        </w:rPr>
        <w:t xml:space="preserve"> בניגוד לאמור בפסיקה</w:t>
      </w:r>
      <w:r w:rsidRPr="00646423">
        <w:rPr>
          <w:rFonts w:ascii="Century" w:hAnsi="Century" w:cs="Miriam" w:hint="cs"/>
          <w:b/>
          <w:spacing w:val="0"/>
          <w:sz w:val="22"/>
          <w:szCs w:val="24"/>
          <w:rtl/>
        </w:rPr>
        <w:t xml:space="preserve"> </w:t>
      </w:r>
      <w:r w:rsidRPr="00646423">
        <w:rPr>
          <w:rFonts w:ascii="Century" w:hAnsi="Century"/>
          <w:sz w:val="22"/>
          <w:rtl/>
        </w:rPr>
        <w:t>–</w:t>
      </w:r>
      <w:r w:rsidRPr="00646423">
        <w:rPr>
          <w:rFonts w:ascii="Century" w:hAnsi="Century" w:cs="Miriam" w:hint="cs"/>
          <w:b/>
          <w:spacing w:val="0"/>
          <w:sz w:val="22"/>
          <w:szCs w:val="24"/>
          <w:rtl/>
        </w:rPr>
        <w:t xml:space="preserve"> </w:t>
      </w:r>
      <w:r w:rsidRPr="00646423">
        <w:rPr>
          <w:rFonts w:ascii="Century" w:hAnsi="Century" w:cs="Miriam"/>
          <w:b/>
          <w:spacing w:val="0"/>
          <w:sz w:val="22"/>
          <w:szCs w:val="24"/>
          <w:rtl/>
        </w:rPr>
        <w:t>כי ההבטחה שבהכרזה על שמירת זכויות יסוד מחייבת מבחינה משפטי</w:t>
      </w:r>
      <w:r w:rsidRPr="00646423">
        <w:rPr>
          <w:rFonts w:ascii="Century" w:hAnsi="Century" w:cs="Miriam" w:hint="cs"/>
          <w:b/>
          <w:spacing w:val="0"/>
          <w:sz w:val="22"/>
          <w:szCs w:val="24"/>
          <w:rtl/>
        </w:rPr>
        <w:t xml:space="preserve">ת, </w:t>
      </w:r>
      <w:r w:rsidRPr="00646423">
        <w:rPr>
          <w:rFonts w:ascii="Century" w:hAnsi="Century" w:cs="Miriam"/>
          <w:b/>
          <w:spacing w:val="0"/>
          <w:sz w:val="22"/>
          <w:szCs w:val="24"/>
          <w:rtl/>
        </w:rPr>
        <w:t>עדיין אין מניעה שחוקים אלה יסתרו את הכרזת העצמאות, הן מכוח סמכות החקיקה הבלתי</w:t>
      </w:r>
      <w:r w:rsidRPr="00646423">
        <w:rPr>
          <w:rFonts w:ascii="Century" w:hAnsi="Century" w:cs="Miriam" w:hint="cs"/>
          <w:b/>
          <w:spacing w:val="0"/>
          <w:sz w:val="22"/>
          <w:szCs w:val="24"/>
          <w:rtl/>
        </w:rPr>
        <w:t>-</w:t>
      </w:r>
      <w:r w:rsidRPr="00646423">
        <w:rPr>
          <w:rFonts w:ascii="Century" w:hAnsi="Century" w:cs="Miriam"/>
          <w:b/>
          <w:spacing w:val="0"/>
          <w:sz w:val="22"/>
          <w:szCs w:val="24"/>
          <w:rtl/>
        </w:rPr>
        <w:t>מוגבלת של בית</w:t>
      </w:r>
      <w:r w:rsidRPr="00646423">
        <w:rPr>
          <w:rFonts w:ascii="Century" w:hAnsi="Century" w:cs="Miriam" w:hint="cs"/>
          <w:b/>
          <w:spacing w:val="0"/>
          <w:sz w:val="22"/>
          <w:szCs w:val="24"/>
          <w:rtl/>
        </w:rPr>
        <w:t>-</w:t>
      </w:r>
      <w:r w:rsidRPr="00646423">
        <w:rPr>
          <w:rFonts w:ascii="Century" w:hAnsi="Century" w:cs="Miriam"/>
          <w:b/>
          <w:spacing w:val="0"/>
          <w:sz w:val="22"/>
          <w:szCs w:val="24"/>
          <w:rtl/>
        </w:rPr>
        <w:t>המחוקקים הישראלי והן מכוח העיקרון של</w:t>
      </w:r>
      <w:r w:rsidRPr="00646423">
        <w:rPr>
          <w:rFonts w:ascii="Century" w:hAnsi="Century" w:cs="Miriam" w:hint="cs"/>
          <w:b/>
          <w:spacing w:val="0"/>
          <w:sz w:val="22"/>
          <w:szCs w:val="24"/>
          <w:rtl/>
        </w:rPr>
        <w:t xml:space="preserve"> </w:t>
      </w:r>
      <w:r w:rsidRPr="00646423">
        <w:rPr>
          <w:rFonts w:ascii="Century" w:hAnsi="Century" w:cs="Miriam"/>
          <w:bCs/>
          <w:spacing w:val="0"/>
          <w:sz w:val="22"/>
          <w:szCs w:val="24"/>
        </w:rPr>
        <w:t>lex posterior</w:t>
      </w:r>
      <w:r>
        <w:rPr>
          <w:rFonts w:ascii="Century" w:hAnsi="Century" w:cs="Miriam" w:hint="cs"/>
          <w:b/>
          <w:spacing w:val="0"/>
          <w:sz w:val="22"/>
          <w:szCs w:val="24"/>
          <w:rtl/>
        </w:rPr>
        <w:t xml:space="preserve"> (חוק מאוחר גובר על חוק מוקדם </w:t>
      </w:r>
      <w:r w:rsidRPr="006626DA">
        <w:rPr>
          <w:rFonts w:ascii="Century" w:hAnsi="Century"/>
          <w:sz w:val="22"/>
          <w:rtl/>
        </w:rPr>
        <w:t>–</w:t>
      </w:r>
      <w:r>
        <w:rPr>
          <w:rFonts w:ascii="Century" w:hAnsi="Century" w:cs="Miriam" w:hint="cs"/>
          <w:b/>
          <w:spacing w:val="0"/>
          <w:sz w:val="22"/>
          <w:szCs w:val="24"/>
          <w:rtl/>
        </w:rPr>
        <w:t xml:space="preserve"> נ' ס')"</w:t>
      </w:r>
      <w:r>
        <w:rPr>
          <w:rFonts w:hint="cs"/>
          <w:rtl/>
        </w:rPr>
        <w:t xml:space="preserve"> (יצחק הנס קלינגהופר "הקמת מדינת ישראל: סקירה היסטורית-חוקתית </w:t>
      </w:r>
      <w:r w:rsidRPr="006626DA">
        <w:rPr>
          <w:rFonts w:ascii="Century" w:hAnsi="Century" w:cs="Miriam" w:hint="cs"/>
          <w:b/>
          <w:spacing w:val="0"/>
          <w:sz w:val="22"/>
          <w:szCs w:val="24"/>
          <w:rtl/>
        </w:rPr>
        <w:t>ספר קלינגהופר על המשפט הציבורי</w:t>
      </w:r>
      <w:r>
        <w:rPr>
          <w:rFonts w:hint="cs"/>
          <w:rtl/>
        </w:rPr>
        <w:t xml:space="preserve"> 53, 77-73 (יצחק זמיר עורך, תשנ"ג)). </w:t>
      </w:r>
    </w:p>
    <w:p w:rsidR="00EB02E1" w:rsidRDefault="00EB02E1" w:rsidP="00EB02E1">
      <w:pPr>
        <w:pStyle w:val="Ruller41"/>
        <w:rPr>
          <w:rtl/>
        </w:rPr>
      </w:pPr>
    </w:p>
    <w:p w:rsidR="00EB02E1" w:rsidRPr="00E952F6" w:rsidRDefault="00EB02E1" w:rsidP="00EB02E1">
      <w:pPr>
        <w:pStyle w:val="Ruller4"/>
        <w:rPr>
          <w:rtl/>
        </w:rPr>
      </w:pPr>
      <w:r>
        <w:rPr>
          <w:rFonts w:hint="cs"/>
          <w:rtl/>
        </w:rPr>
        <w:t xml:space="preserve">מן הראוי לציין, כי בפסק הדין בעניין </w:t>
      </w:r>
      <w:r w:rsidRPr="00350EB4">
        <w:rPr>
          <w:rFonts w:ascii="Century" w:hAnsi="Century" w:cs="Miriam" w:hint="cs"/>
          <w:b/>
          <w:spacing w:val="0"/>
          <w:sz w:val="22"/>
          <w:szCs w:val="24"/>
          <w:rtl/>
        </w:rPr>
        <w:t>בנק המזרחי</w:t>
      </w:r>
      <w:r>
        <w:rPr>
          <w:rFonts w:hint="cs"/>
          <w:rtl/>
        </w:rPr>
        <w:t xml:space="preserve">, הן הנשיא (בדימ') </w:t>
      </w:r>
      <w:r w:rsidRPr="00350EB4">
        <w:rPr>
          <w:rFonts w:ascii="Century" w:hAnsi="Century" w:cs="Miriam" w:hint="cs"/>
          <w:b/>
          <w:spacing w:val="0"/>
          <w:sz w:val="22"/>
          <w:szCs w:val="24"/>
          <w:rtl/>
        </w:rPr>
        <w:t>שמגר</w:t>
      </w:r>
      <w:r>
        <w:rPr>
          <w:rFonts w:hint="cs"/>
          <w:rtl/>
        </w:rPr>
        <w:t xml:space="preserve"> (בעמ' 282-279), הן הנשיא </w:t>
      </w:r>
      <w:r w:rsidRPr="00350EB4">
        <w:rPr>
          <w:rFonts w:ascii="Century" w:hAnsi="Century" w:cs="Miriam" w:hint="cs"/>
          <w:b/>
          <w:spacing w:val="0"/>
          <w:sz w:val="22"/>
          <w:szCs w:val="24"/>
          <w:rtl/>
        </w:rPr>
        <w:t>ברק</w:t>
      </w:r>
      <w:r>
        <w:rPr>
          <w:rFonts w:hint="cs"/>
          <w:rtl/>
        </w:rPr>
        <w:t xml:space="preserve"> (בעמ' 356 ו-359), מסתמכים בהרחבה על מאמרו זה של פרופ' </w:t>
      </w:r>
      <w:r w:rsidRPr="00350EB4">
        <w:rPr>
          <w:rFonts w:ascii="Century" w:hAnsi="Century" w:cs="Miriam" w:hint="cs"/>
          <w:b/>
          <w:spacing w:val="0"/>
          <w:sz w:val="22"/>
          <w:szCs w:val="24"/>
          <w:rtl/>
        </w:rPr>
        <w:t>קלינגהופר</w:t>
      </w:r>
      <w:r>
        <w:rPr>
          <w:rFonts w:hint="cs"/>
          <w:rtl/>
        </w:rPr>
        <w:t xml:space="preserve">, בבואם לבסס את שיטתם החוקתית, כל אחד על-פי דרכו. מי שמבקש להסתמך על מאמרו של פרופ' </w:t>
      </w:r>
      <w:r w:rsidRPr="00E952F6">
        <w:rPr>
          <w:rFonts w:ascii="Century" w:hAnsi="Century" w:cs="Miriam" w:hint="cs"/>
          <w:b/>
          <w:spacing w:val="0"/>
          <w:sz w:val="22"/>
          <w:szCs w:val="24"/>
          <w:rtl/>
        </w:rPr>
        <w:t>קלינגהופר</w:t>
      </w:r>
      <w:r>
        <w:rPr>
          <w:rFonts w:hint="cs"/>
          <w:rtl/>
        </w:rPr>
        <w:t xml:space="preserve"> בדרכו לפסילת חוקים 'רגילים', אינו רשאי להתעלם במקביל ממסקנתו האחרת, שנאמרה בחדא מחתא, שלפיה מגילת העצמאות לא ביקשה להגביל, וממילא לא הגבילה את סמכותה של הרשות המכוננת, וכי הכנסת רשאית לסטות מהוראותיה של מגילת העצמאות, אף בחקיקה רגילה; קל וחומר חקיקת-יסוד.</w:t>
      </w:r>
    </w:p>
    <w:p w:rsidR="00EB02E1" w:rsidRDefault="00EB02E1" w:rsidP="00EB02E1">
      <w:pPr>
        <w:pStyle w:val="Ruller41"/>
        <w:rPr>
          <w:rtl/>
        </w:rPr>
      </w:pPr>
    </w:p>
    <w:p w:rsidR="00EB02E1" w:rsidRDefault="00EB02E1" w:rsidP="00EB02E1">
      <w:pPr>
        <w:pStyle w:val="Ruller4"/>
        <w:rPr>
          <w:rtl/>
        </w:rPr>
      </w:pPr>
      <w:r>
        <w:rPr>
          <w:rFonts w:hint="cs"/>
          <w:rtl/>
        </w:rPr>
        <w:t xml:space="preserve">כך או אחרת, גם מתורתו של </w:t>
      </w:r>
      <w:r w:rsidRPr="006626DA">
        <w:rPr>
          <w:rFonts w:ascii="Century" w:hAnsi="Century" w:cs="Miriam" w:hint="cs"/>
          <w:b/>
          <w:spacing w:val="0"/>
          <w:sz w:val="22"/>
          <w:szCs w:val="24"/>
          <w:rtl/>
        </w:rPr>
        <w:t>קלינגהופר</w:t>
      </w:r>
      <w:r>
        <w:rPr>
          <w:rFonts w:hint="cs"/>
          <w:rtl/>
        </w:rPr>
        <w:t xml:space="preserve"> למדנו, כי אף אם הנורמה החוקתית העליונה היא הכרזת העצמאות, אין בכך כדי לכבול את ידי הרשות המכוננת, ולהגביל את סמכותה. חברי מועצת המדינה הזמנית לא התיימרו, כלל וכלל, לכבול את ידיהם של חברי הרשות המכוננת. גם אם מקור הסמכות הוא אכן בהכרזת העצמאות על-ידי מועצת המדינה הזמנית, הרי שחבריה העבירו את כל סמכויותיהם לרשות המכוננת, ללא שיור ובלי סייג. החלק השלישי של ההכרזה, הריהו </w:t>
      </w:r>
      <w:r w:rsidRPr="006626DA">
        <w:rPr>
          <w:rFonts w:ascii="Century" w:hAnsi="Century" w:cs="Miriam" w:hint="cs"/>
          <w:b/>
          <w:spacing w:val="0"/>
          <w:sz w:val="22"/>
          <w:szCs w:val="24"/>
          <w:rtl/>
        </w:rPr>
        <w:t>"היסוד הפרוגרמטי"</w:t>
      </w:r>
      <w:r>
        <w:rPr>
          <w:rFonts w:hint="cs"/>
          <w:rtl/>
        </w:rPr>
        <w:t>, שאינו נכלל ב</w:t>
      </w:r>
      <w:r w:rsidRPr="006626DA">
        <w:rPr>
          <w:rFonts w:ascii="Century" w:hAnsi="Century" w:cs="Miriam" w:hint="cs"/>
          <w:b/>
          <w:spacing w:val="0"/>
          <w:sz w:val="22"/>
          <w:szCs w:val="24"/>
          <w:rtl/>
        </w:rPr>
        <w:t xml:space="preserve">"יסודות </w:t>
      </w:r>
      <w:r w:rsidRPr="006626DA">
        <w:rPr>
          <w:rFonts w:ascii="Century" w:hAnsi="Century" w:cs="Miriam" w:hint="cs"/>
          <w:b/>
          <w:spacing w:val="0"/>
          <w:sz w:val="22"/>
          <w:szCs w:val="24"/>
          <w:rtl/>
        </w:rPr>
        <w:lastRenderedPageBreak/>
        <w:t>המשפטיים"</w:t>
      </w:r>
      <w:r>
        <w:rPr>
          <w:rFonts w:hint="cs"/>
          <w:rtl/>
        </w:rPr>
        <w:t xml:space="preserve">, כך גם החלק הראשון. יתירה מכך, גם אילו נקבע כי מדובר ביסוד בעל אופי משפטי, בדומה לחלק השני של ההכרזה, הרי שדינו לכל היותר כדין כל דבר חקיקה. ממילא, כל חקיקה מאוחרת, גם 'רגילה', יהא בכוחה לגבור על האמור בהכרזה. מדברי שניהם </w:t>
      </w:r>
      <w:r>
        <w:rPr>
          <w:rtl/>
        </w:rPr>
        <w:t>–</w:t>
      </w:r>
      <w:r>
        <w:rPr>
          <w:rFonts w:hint="cs"/>
          <w:rtl/>
        </w:rPr>
        <w:t xml:space="preserve"> פרופ' </w:t>
      </w:r>
      <w:r w:rsidRPr="00350EB4">
        <w:rPr>
          <w:rFonts w:ascii="Century" w:hAnsi="Century" w:cs="Miriam" w:hint="cs"/>
          <w:b/>
          <w:spacing w:val="0"/>
          <w:sz w:val="22"/>
          <w:szCs w:val="24"/>
          <w:rtl/>
        </w:rPr>
        <w:t>אקצין</w:t>
      </w:r>
      <w:r>
        <w:rPr>
          <w:rFonts w:hint="cs"/>
          <w:rtl/>
        </w:rPr>
        <w:t xml:space="preserve"> ופרופ' </w:t>
      </w:r>
      <w:r w:rsidRPr="00350EB4">
        <w:rPr>
          <w:rFonts w:ascii="Century" w:hAnsi="Century" w:cs="Miriam" w:hint="cs"/>
          <w:b/>
          <w:spacing w:val="0"/>
          <w:sz w:val="22"/>
          <w:szCs w:val="24"/>
          <w:rtl/>
        </w:rPr>
        <w:t>קלינגהופר</w:t>
      </w:r>
      <w:r>
        <w:rPr>
          <w:rFonts w:hint="cs"/>
          <w:rtl/>
        </w:rPr>
        <w:t xml:space="preserve"> </w:t>
      </w:r>
      <w:r>
        <w:rPr>
          <w:rtl/>
        </w:rPr>
        <w:t>–</w:t>
      </w:r>
      <w:r>
        <w:rPr>
          <w:rFonts w:hint="cs"/>
          <w:rtl/>
        </w:rPr>
        <w:t xml:space="preserve"> למדנו, כי מרחק רב ישנו בין הקביעה שלפיה המסמך הנורמטיבי הבסיסי הוא הכרזת העצמאות, ועד למסקנה שלפיה ניתן לפסול מכוח ההכרזה חוקים, ואף חוקי-יסוד. </w:t>
      </w:r>
    </w:p>
    <w:p w:rsidR="00EB02E1" w:rsidRPr="00646423" w:rsidRDefault="00EB02E1" w:rsidP="00EB02E1">
      <w:pPr>
        <w:pStyle w:val="Ruller41"/>
        <w:rPr>
          <w:rtl/>
        </w:rPr>
      </w:pPr>
    </w:p>
    <w:p w:rsidR="00EB02E1" w:rsidRDefault="00EB02E1" w:rsidP="00EB02E1">
      <w:pPr>
        <w:pStyle w:val="Ruller4"/>
        <w:rPr>
          <w:rtl/>
        </w:rPr>
      </w:pPr>
      <w:r>
        <w:rPr>
          <w:rFonts w:hint="cs"/>
          <w:rtl/>
        </w:rPr>
        <w:t xml:space="preserve">אף אם נזנח לרגע קט את כל האמור עד כה, הרי שגם לגופם של דברים, אותן תזות, של חברי השופט </w:t>
      </w:r>
      <w:r w:rsidRPr="00350EB4">
        <w:rPr>
          <w:rFonts w:ascii="Century" w:hAnsi="Century" w:cs="Miriam" w:hint="cs"/>
          <w:b/>
          <w:spacing w:val="0"/>
          <w:sz w:val="22"/>
          <w:szCs w:val="24"/>
          <w:rtl/>
        </w:rPr>
        <w:t>שטיין</w:t>
      </w:r>
      <w:r>
        <w:rPr>
          <w:rFonts w:hint="cs"/>
          <w:rtl/>
        </w:rPr>
        <w:t xml:space="preserve"> ופרופ' </w:t>
      </w:r>
      <w:r w:rsidRPr="00350EB4">
        <w:rPr>
          <w:rFonts w:ascii="Century" w:hAnsi="Century" w:cs="Miriam" w:hint="cs"/>
          <w:b/>
          <w:spacing w:val="0"/>
          <w:sz w:val="22"/>
          <w:szCs w:val="24"/>
          <w:rtl/>
        </w:rPr>
        <w:t>ברק</w:t>
      </w:r>
      <w:r>
        <w:rPr>
          <w:rFonts w:hint="cs"/>
          <w:rtl/>
        </w:rPr>
        <w:t xml:space="preserve">, המבקשות להכריז על מגילת העצמאות כ'פסקת נצחיות', שאינה ניתנת לשינוי </w:t>
      </w:r>
      <w:r>
        <w:rPr>
          <w:rtl/>
        </w:rPr>
        <w:t>–</w:t>
      </w:r>
      <w:r>
        <w:rPr>
          <w:rFonts w:hint="cs"/>
          <w:rtl/>
        </w:rPr>
        <w:t xml:space="preserve"> מעוררות תמיהות אחדות. אעמוד על שתיים מהן בקצרה. בראש ובראשונה, ישנה התעלמות מכך שבין אותם עקרונות נעלים, הנכללים בחלק השלישי של ההכרזה, ושאותם מבקשים כעת להנציח לדורי-דורות, מסתתרת שורה נוספת, שבה מצהירה ההכרזה על מחויבות לתכנית החלוקה של האו"ם משנת 1947, על אף שזו נדחתה עוד קודם לכן, על-ידי ההנהגה הערבית המקומית ומדינות ערב:</w:t>
      </w:r>
      <w:r w:rsidRPr="00350EB4">
        <w:rPr>
          <w:rFonts w:ascii="Century" w:hAnsi="Century" w:cs="Miriam" w:hint="eastAsia"/>
          <w:b/>
          <w:spacing w:val="0"/>
          <w:sz w:val="22"/>
          <w:szCs w:val="24"/>
          <w:rtl/>
        </w:rPr>
        <w:t xml:space="preserve"> </w:t>
      </w:r>
      <w:r>
        <w:rPr>
          <w:rFonts w:ascii="Century" w:hAnsi="Century" w:cs="Miriam" w:hint="cs"/>
          <w:b/>
          <w:spacing w:val="0"/>
          <w:sz w:val="22"/>
          <w:szCs w:val="24"/>
          <w:rtl/>
        </w:rPr>
        <w:t>"</w:t>
      </w:r>
      <w:r w:rsidRPr="00350EB4">
        <w:rPr>
          <w:rFonts w:ascii="Century" w:hAnsi="Century" w:cs="Miriam" w:hint="eastAsia"/>
          <w:b/>
          <w:spacing w:val="0"/>
          <w:sz w:val="22"/>
          <w:szCs w:val="24"/>
          <w:rtl/>
        </w:rPr>
        <w:t>מדינת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ישראל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תהא</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מוכנה</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לשתף</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פעולה</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עם</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המוסדות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והנציגים</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של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האומות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המאוחדות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בהגשמת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החלטת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העצרת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מיום</w:t>
      </w:r>
      <w:r w:rsidRPr="00350EB4">
        <w:rPr>
          <w:rFonts w:ascii="Century" w:hAnsi="Century" w:cs="Miriam"/>
          <w:b/>
          <w:spacing w:val="0"/>
          <w:sz w:val="22"/>
          <w:szCs w:val="24"/>
          <w:rtl/>
        </w:rPr>
        <w:t xml:space="preserve"> 29 </w:t>
      </w:r>
      <w:r w:rsidRPr="00350EB4">
        <w:rPr>
          <w:rFonts w:ascii="Century" w:hAnsi="Century" w:cs="Miriam" w:hint="eastAsia"/>
          <w:b/>
          <w:spacing w:val="0"/>
          <w:sz w:val="22"/>
          <w:szCs w:val="24"/>
          <w:rtl/>
        </w:rPr>
        <w:t>בנובמבר</w:t>
      </w:r>
      <w:r w:rsidRPr="00350EB4">
        <w:rPr>
          <w:rFonts w:ascii="Century" w:hAnsi="Century" w:cs="Miriam"/>
          <w:b/>
          <w:spacing w:val="0"/>
          <w:sz w:val="22"/>
          <w:szCs w:val="24"/>
          <w:rtl/>
        </w:rPr>
        <w:t xml:space="preserve"> 1947 </w:t>
      </w:r>
      <w:r w:rsidRPr="00350EB4">
        <w:rPr>
          <w:rFonts w:ascii="Century" w:hAnsi="Century" w:cs="Miriam" w:hint="eastAsia"/>
          <w:b/>
          <w:spacing w:val="0"/>
          <w:sz w:val="22"/>
          <w:szCs w:val="24"/>
          <w:rtl/>
        </w:rPr>
        <w:t>ותפעל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להקמת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האחדות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הכלכלית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של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ארץ</w:t>
      </w:r>
      <w:r w:rsidRPr="00350EB4">
        <w:rPr>
          <w:rFonts w:ascii="Century" w:hAnsi="Century" w:cs="Miriam"/>
          <w:b/>
          <w:spacing w:val="0"/>
          <w:sz w:val="22"/>
          <w:szCs w:val="24"/>
          <w:rtl/>
        </w:rPr>
        <w:t>-</w:t>
      </w:r>
      <w:r w:rsidRPr="00350EB4">
        <w:rPr>
          <w:rFonts w:ascii="Century" w:hAnsi="Century" w:cs="Miriam" w:hint="eastAsia"/>
          <w:b/>
          <w:spacing w:val="0"/>
          <w:sz w:val="22"/>
          <w:szCs w:val="24"/>
          <w:rtl/>
        </w:rPr>
        <w:t>ישראל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בשלמותה</w:t>
      </w:r>
      <w:r>
        <w:rPr>
          <w:rFonts w:ascii="Century" w:hAnsi="Century" w:cs="Miriam" w:hint="cs"/>
          <w:b/>
          <w:spacing w:val="0"/>
          <w:sz w:val="22"/>
          <w:szCs w:val="24"/>
          <w:rtl/>
        </w:rPr>
        <w:t>"</w:t>
      </w:r>
      <w:r>
        <w:rPr>
          <w:rFonts w:hint="cs"/>
          <w:rtl/>
        </w:rPr>
        <w:t xml:space="preserve">. האם גם לכך נעניק מעמד חוקתי על-חוקי, שיוביל לביטולו של כל חוק, או חוק-יסוד סותר? האם נורה במסגרת פסק-דיננו, גם על ביטול ריבונותה של מדינתנו, בכל אותם חבלי-ארץ שלא נכללו בשטחה של 'המדינה היהודית' המקורית, בתכנית החלוקה? חבלי-ארץ שבהם שוכנים כבוד מוסדותינו הלאומיים, ובית משפט זה בכללם? חבלי-ארץ בהם מתגוררים מיליונים מאזרחי המדינה; וירושלים, בירתנו הנצחית, על ראש שמחתנו, מה יהא עליה? </w:t>
      </w:r>
    </w:p>
    <w:p w:rsidR="00EB02E1" w:rsidRPr="00E952F6" w:rsidRDefault="00EB02E1" w:rsidP="00EB02E1">
      <w:pPr>
        <w:pStyle w:val="Ruller41"/>
      </w:pPr>
    </w:p>
    <w:p w:rsidR="00EB02E1" w:rsidRDefault="00EB02E1" w:rsidP="00EB02E1">
      <w:pPr>
        <w:pStyle w:val="Ruller4"/>
        <w:rPr>
          <w:rtl/>
        </w:rPr>
      </w:pPr>
      <w:r>
        <w:rPr>
          <w:rFonts w:hint="cs"/>
          <w:rtl/>
        </w:rPr>
        <w:t xml:space="preserve">תמיהה מעין זו, הועלתה זה מכבר, מימין ומשמאל, על-ידי פרופ' </w:t>
      </w:r>
      <w:r w:rsidRPr="00350EB4">
        <w:rPr>
          <w:rFonts w:ascii="Century" w:hAnsi="Century" w:cs="Miriam" w:hint="cs"/>
          <w:b/>
          <w:spacing w:val="0"/>
          <w:sz w:val="22"/>
          <w:szCs w:val="24"/>
          <w:rtl/>
        </w:rPr>
        <w:t>ע' בהם</w:t>
      </w:r>
      <w:r w:rsidRPr="00350EB4">
        <w:rPr>
          <w:rFonts w:hint="cs"/>
          <w:rtl/>
        </w:rPr>
        <w:t xml:space="preserve"> </w:t>
      </w:r>
      <w:r>
        <w:rPr>
          <w:rFonts w:hint="cs"/>
          <w:rtl/>
        </w:rPr>
        <w:t xml:space="preserve">ופרופ' </w:t>
      </w:r>
      <w:r w:rsidRPr="00350EB4">
        <w:rPr>
          <w:rFonts w:ascii="Century" w:hAnsi="Century" w:cs="Miriam" w:hint="cs"/>
          <w:b/>
          <w:spacing w:val="0"/>
          <w:sz w:val="22"/>
          <w:szCs w:val="24"/>
          <w:rtl/>
        </w:rPr>
        <w:t>א' דיסקין</w:t>
      </w:r>
      <w:r>
        <w:rPr>
          <w:rFonts w:hint="cs"/>
          <w:rtl/>
        </w:rPr>
        <w:t>, אל מול הניסיונות 'לשדרג' למפרע את מעמדה של הכרזת העצמאות (ראו: עמרי בהם "</w:t>
      </w:r>
      <w:r w:rsidRPr="00350EB4">
        <w:rPr>
          <w:rFonts w:hint="eastAsia"/>
          <w:rtl/>
        </w:rPr>
        <w:t>למגילת</w:t>
      </w:r>
      <w:r w:rsidRPr="00350EB4">
        <w:rPr>
          <w:rtl/>
        </w:rPr>
        <w:t xml:space="preserve"> </w:t>
      </w:r>
      <w:r w:rsidRPr="00350EB4">
        <w:rPr>
          <w:rFonts w:hint="eastAsia"/>
          <w:rtl/>
        </w:rPr>
        <w:t>העצמאות</w:t>
      </w:r>
      <w:r w:rsidRPr="00350EB4">
        <w:rPr>
          <w:rtl/>
        </w:rPr>
        <w:t xml:space="preserve"> </w:t>
      </w:r>
      <w:r w:rsidRPr="00350EB4">
        <w:rPr>
          <w:rFonts w:hint="eastAsia"/>
          <w:rtl/>
        </w:rPr>
        <w:t>אין</w:t>
      </w:r>
      <w:r w:rsidRPr="00350EB4">
        <w:rPr>
          <w:rtl/>
        </w:rPr>
        <w:t xml:space="preserve"> </w:t>
      </w:r>
      <w:r w:rsidRPr="00350EB4">
        <w:rPr>
          <w:rFonts w:hint="eastAsia"/>
          <w:rtl/>
        </w:rPr>
        <w:t>תוקף</w:t>
      </w:r>
      <w:r w:rsidRPr="00350EB4">
        <w:rPr>
          <w:rtl/>
        </w:rPr>
        <w:t xml:space="preserve"> </w:t>
      </w:r>
      <w:r w:rsidRPr="00350EB4">
        <w:rPr>
          <w:rFonts w:hint="eastAsia"/>
          <w:rtl/>
        </w:rPr>
        <w:t>לגיטימי</w:t>
      </w:r>
      <w:r w:rsidRPr="00350EB4">
        <w:rPr>
          <w:rtl/>
        </w:rPr>
        <w:t xml:space="preserve"> </w:t>
      </w:r>
      <w:r w:rsidRPr="00350EB4">
        <w:rPr>
          <w:rFonts w:hint="eastAsia"/>
          <w:rtl/>
        </w:rPr>
        <w:t>ללא</w:t>
      </w:r>
      <w:r w:rsidRPr="00350EB4">
        <w:rPr>
          <w:rtl/>
        </w:rPr>
        <w:t xml:space="preserve"> </w:t>
      </w:r>
      <w:r w:rsidRPr="00350EB4">
        <w:rPr>
          <w:rFonts w:hint="eastAsia"/>
          <w:rtl/>
        </w:rPr>
        <w:t>מחויבות</w:t>
      </w:r>
      <w:r w:rsidRPr="00350EB4">
        <w:rPr>
          <w:rtl/>
        </w:rPr>
        <w:t xml:space="preserve"> </w:t>
      </w:r>
      <w:r w:rsidRPr="00350EB4">
        <w:rPr>
          <w:rFonts w:hint="eastAsia"/>
          <w:rtl/>
        </w:rPr>
        <w:t>לחלוקת</w:t>
      </w:r>
      <w:r w:rsidRPr="00350EB4">
        <w:rPr>
          <w:rtl/>
        </w:rPr>
        <w:t xml:space="preserve"> </w:t>
      </w:r>
      <w:r w:rsidRPr="00350EB4">
        <w:rPr>
          <w:rFonts w:hint="eastAsia"/>
          <w:rtl/>
        </w:rPr>
        <w:t>הארץ</w:t>
      </w:r>
      <w:r>
        <w:rPr>
          <w:rFonts w:hint="cs"/>
          <w:rtl/>
        </w:rPr>
        <w:t xml:space="preserve">" </w:t>
      </w:r>
      <w:r w:rsidRPr="00350EB4">
        <w:rPr>
          <w:rFonts w:ascii="Century" w:hAnsi="Century" w:cs="Miriam" w:hint="cs"/>
          <w:b/>
          <w:spacing w:val="0"/>
          <w:sz w:val="22"/>
          <w:szCs w:val="24"/>
          <w:rtl/>
        </w:rPr>
        <w:t>הארץ</w:t>
      </w:r>
      <w:r>
        <w:rPr>
          <w:rFonts w:hint="cs"/>
          <w:rtl/>
        </w:rPr>
        <w:t xml:space="preserve"> 5.10.2023; אברהם דיסקין "</w:t>
      </w:r>
      <w:r w:rsidRPr="00350EB4">
        <w:rPr>
          <w:rFonts w:hint="eastAsia"/>
          <w:rtl/>
        </w:rPr>
        <w:t>הטעיה</w:t>
      </w:r>
      <w:r w:rsidRPr="00350EB4">
        <w:rPr>
          <w:rtl/>
        </w:rPr>
        <w:t xml:space="preserve">: </w:t>
      </w:r>
      <w:r w:rsidRPr="00350EB4">
        <w:rPr>
          <w:rFonts w:hint="eastAsia"/>
          <w:rtl/>
        </w:rPr>
        <w:t>הכרזת</w:t>
      </w:r>
      <w:r w:rsidRPr="00350EB4">
        <w:rPr>
          <w:rtl/>
        </w:rPr>
        <w:t xml:space="preserve"> </w:t>
      </w:r>
      <w:r w:rsidRPr="00350EB4">
        <w:rPr>
          <w:rFonts w:hint="eastAsia"/>
          <w:rtl/>
        </w:rPr>
        <w:t>העצמאות</w:t>
      </w:r>
      <w:r w:rsidRPr="00350EB4">
        <w:rPr>
          <w:rtl/>
        </w:rPr>
        <w:t xml:space="preserve"> </w:t>
      </w:r>
      <w:r w:rsidRPr="00350EB4">
        <w:rPr>
          <w:rFonts w:hint="eastAsia"/>
          <w:rtl/>
        </w:rPr>
        <w:t>כחוקה</w:t>
      </w:r>
      <w:r>
        <w:rPr>
          <w:rFonts w:hint="cs"/>
          <w:rtl/>
        </w:rPr>
        <w:t xml:space="preserve">" </w:t>
      </w:r>
      <w:r w:rsidRPr="00350EB4">
        <w:rPr>
          <w:rFonts w:ascii="Century" w:hAnsi="Century" w:cs="Miriam" w:hint="cs"/>
          <w:b/>
          <w:spacing w:val="0"/>
          <w:sz w:val="22"/>
          <w:szCs w:val="24"/>
          <w:rtl/>
        </w:rPr>
        <w:t>ישראל היום</w:t>
      </w:r>
      <w:r>
        <w:rPr>
          <w:rFonts w:hint="cs"/>
          <w:rtl/>
        </w:rPr>
        <w:t xml:space="preserve"> 8.1.2018). פרופ' </w:t>
      </w:r>
      <w:r w:rsidRPr="00350EB4">
        <w:rPr>
          <w:rFonts w:ascii="Century" w:hAnsi="Century" w:cs="Miriam" w:hint="cs"/>
          <w:b/>
          <w:spacing w:val="0"/>
          <w:sz w:val="22"/>
          <w:szCs w:val="24"/>
          <w:rtl/>
        </w:rPr>
        <w:t>ברק</w:t>
      </w:r>
      <w:r>
        <w:rPr>
          <w:rFonts w:hint="cs"/>
          <w:rtl/>
        </w:rPr>
        <w:t xml:space="preserve"> סקר במאמרו (</w:t>
      </w:r>
      <w:r w:rsidRPr="00255856">
        <w:rPr>
          <w:rFonts w:ascii="Century" w:hAnsi="Century" w:cs="Miriam" w:hint="cs"/>
          <w:b/>
          <w:spacing w:val="0"/>
          <w:sz w:val="22"/>
          <w:szCs w:val="24"/>
          <w:rtl/>
        </w:rPr>
        <w:t>ברק, משפט ועסקים</w:t>
      </w:r>
      <w:r>
        <w:rPr>
          <w:rFonts w:hint="cs"/>
          <w:rtl/>
        </w:rPr>
        <w:t xml:space="preserve">, בעמ' 140) את רכיבי החלק השלישי של הכרזת העצמאות, אך מקומו של אותו רכיב 'בעייתי', שבו 'מאומצת' תכנית החלוקה </w:t>
      </w:r>
      <w:r>
        <w:rPr>
          <w:rtl/>
        </w:rPr>
        <w:t>–</w:t>
      </w:r>
      <w:r>
        <w:rPr>
          <w:rFonts w:hint="cs"/>
          <w:rtl/>
        </w:rPr>
        <w:t xml:space="preserve"> נפקד: </w:t>
      </w:r>
      <w:r w:rsidRPr="00350EB4">
        <w:rPr>
          <w:rFonts w:ascii="Century" w:hAnsi="Century" w:cs="Miriam" w:hint="cs"/>
          <w:b/>
          <w:spacing w:val="0"/>
          <w:sz w:val="22"/>
          <w:szCs w:val="24"/>
          <w:rtl/>
        </w:rPr>
        <w:t>"</w:t>
      </w:r>
      <w:r w:rsidRPr="00350EB4">
        <w:rPr>
          <w:rFonts w:ascii="Century" w:hAnsi="Century" w:cs="Miriam"/>
          <w:b/>
          <w:spacing w:val="0"/>
          <w:sz w:val="22"/>
          <w:szCs w:val="24"/>
          <w:rtl/>
        </w:rPr>
        <w:t xml:space="preserve">חלקה השלישי של הכרזת העצמאות מציין כי המדינה תשקוד על פיתוח הארץ לטובת כל תושביה; תושתת על יסודות החירות, הצדק והשלום לאור חזונם של נביאי ישראל; תקיים שוויון זכויות לכל אזרחיה בלי הבדל </w:t>
      </w:r>
      <w:r>
        <w:rPr>
          <w:rFonts w:ascii="Century" w:hAnsi="Century" w:cs="Miriam" w:hint="cs"/>
          <w:b/>
          <w:spacing w:val="0"/>
          <w:sz w:val="22"/>
          <w:szCs w:val="24"/>
          <w:rtl/>
        </w:rPr>
        <w:t>דת</w:t>
      </w:r>
      <w:r>
        <w:rPr>
          <w:rFonts w:ascii="Century" w:hAnsi="Century" w:cs="Miriam"/>
          <w:b/>
          <w:spacing w:val="0"/>
          <w:sz w:val="22"/>
          <w:szCs w:val="24"/>
        </w:rPr>
        <w:t xml:space="preserve"> </w:t>
      </w:r>
      <w:r w:rsidRPr="00350EB4">
        <w:rPr>
          <w:rFonts w:ascii="Century" w:hAnsi="Century" w:cs="Miriam"/>
          <w:b/>
          <w:spacing w:val="0"/>
          <w:sz w:val="22"/>
          <w:szCs w:val="24"/>
        </w:rPr>
        <w:t>,</w:t>
      </w:r>
      <w:r w:rsidRPr="00350EB4">
        <w:rPr>
          <w:rFonts w:ascii="Century" w:hAnsi="Century" w:cs="Miriam"/>
          <w:b/>
          <w:spacing w:val="0"/>
          <w:sz w:val="22"/>
          <w:szCs w:val="24"/>
          <w:rtl/>
        </w:rPr>
        <w:t>גזע ומין; תבטיח חופש דת, חופש מצפון, חופש לשון וחופש תרבות; ותשמור על המקומות הקדושים.</w:t>
      </w:r>
      <w:r w:rsidRPr="00350EB4">
        <w:rPr>
          <w:rFonts w:ascii="Century" w:hAnsi="Century" w:cs="Miriam" w:hint="cs"/>
          <w:b/>
          <w:spacing w:val="0"/>
          <w:sz w:val="22"/>
          <w:szCs w:val="24"/>
          <w:rtl/>
        </w:rPr>
        <w:t xml:space="preserve"> </w:t>
      </w:r>
      <w:r w:rsidRPr="00350EB4">
        <w:rPr>
          <w:rFonts w:ascii="Century" w:hAnsi="Century" w:cs="Miriam"/>
          <w:b/>
          <w:spacing w:val="0"/>
          <w:sz w:val="22"/>
          <w:szCs w:val="24"/>
          <w:rtl/>
        </w:rPr>
        <w:t>התושבים הערבים נקראו להשתתף בבניין הארץ על יסוד אזרחות מלאה ושווה</w:t>
      </w:r>
      <w:r w:rsidRPr="00350EB4">
        <w:rPr>
          <w:rFonts w:ascii="Century" w:hAnsi="Century" w:cs="Miriam" w:hint="cs"/>
          <w:b/>
          <w:spacing w:val="0"/>
          <w:sz w:val="22"/>
          <w:szCs w:val="24"/>
          <w:rtl/>
        </w:rPr>
        <w:t>"</w:t>
      </w:r>
      <w:r>
        <w:rPr>
          <w:rFonts w:hint="cs"/>
          <w:rtl/>
        </w:rPr>
        <w:t xml:space="preserve">. </w:t>
      </w:r>
    </w:p>
    <w:p w:rsidR="00EB02E1" w:rsidRDefault="00EB02E1" w:rsidP="00EB02E1">
      <w:pPr>
        <w:pStyle w:val="Ruller41"/>
        <w:rPr>
          <w:rtl/>
        </w:rPr>
      </w:pPr>
    </w:p>
    <w:p w:rsidR="00EB02E1" w:rsidRDefault="00EB02E1" w:rsidP="00EB02E1">
      <w:pPr>
        <w:pStyle w:val="Ruller4"/>
        <w:textAlignment w:val="auto"/>
        <w:rPr>
          <w:rtl/>
        </w:rPr>
      </w:pPr>
      <w:r>
        <w:rPr>
          <w:rFonts w:hint="cs"/>
          <w:rtl/>
        </w:rPr>
        <w:t>תמיהה נוספת עולה מבין השיטין: קביעה שלפיה חברי מועצת המדינה הזמנית, לא מסרו את ההכרעה החוקתית לידי המוסדות הדמוקרטיים הנבחרים, אלא הגבילו את כוחם באמצעות החלק השלישי של הכרזת העצמאות, משמעותה אחת: נטישה של הדמוקרטיה, של שלטון העם, אף לא למראית-עין. חוקה, כל חוקה, מעוררת קושי בלתי-מבוטל,</w:t>
      </w:r>
      <w:r w:rsidRPr="00E952F6">
        <w:rPr>
          <w:rFonts w:hint="cs"/>
          <w:rtl/>
        </w:rPr>
        <w:t xml:space="preserve"> </w:t>
      </w:r>
      <w:r>
        <w:rPr>
          <w:rFonts w:hint="cs"/>
          <w:rtl/>
        </w:rPr>
        <w:t>מן הזווית הדמוקרטית. אין זה ברור, מהי הלגיטימציה הדמוקרטית לכך שבני הדורות הקודמים זכאים, למעשה, 'לשלוט' בבני הדורות הבאים אחריהם:</w:t>
      </w:r>
      <w:r w:rsidRPr="00E36C26">
        <w:rPr>
          <w:rtl/>
        </w:rPr>
        <w:t xml:space="preserve"> </w:t>
      </w:r>
      <w:r w:rsidRPr="00183E15">
        <w:rPr>
          <w:rFonts w:ascii="Century" w:hAnsi="Century" w:cs="Miriam"/>
          <w:b/>
          <w:spacing w:val="0"/>
          <w:sz w:val="22"/>
          <w:szCs w:val="24"/>
          <w:rtl/>
        </w:rPr>
        <w:t xml:space="preserve">"יתכן שיש לדור הזה זכויות מוסריות, אך אין לו חכמה יותר מאשר אלה שיבואו אחריו. האם אנו בטוחים שאלה אשר יבואו אחרינו, לא יהיה להם אותו שכל, אותה נאמנות שלנו, שהם לא יבינו את צרכי העם כמונו? מדוע נכבול אותם? אני חושב שהדבר הזה מופרך, באופן מוסרי והגיוני" </w:t>
      </w:r>
      <w:r w:rsidRPr="00E36C26">
        <w:rPr>
          <w:rtl/>
        </w:rPr>
        <w:t>(</w:t>
      </w:r>
      <w:r>
        <w:rPr>
          <w:rFonts w:hint="cs"/>
          <w:rtl/>
        </w:rPr>
        <w:t xml:space="preserve">דברי ראש הממשלה דוד בן גוריון, </w:t>
      </w:r>
      <w:r w:rsidRPr="00E36C26">
        <w:rPr>
          <w:rtl/>
        </w:rPr>
        <w:t xml:space="preserve">פרוטוקול ישיבה ט"ו של ועדת חוקה, חוק ומשפט, הכנסת ה-1, 6 (13.7.1949)). </w:t>
      </w:r>
      <w:r>
        <w:rPr>
          <w:rFonts w:hint="cs"/>
          <w:rtl/>
        </w:rPr>
        <w:t xml:space="preserve">התשובה הניתנת לכך, גם אם אינה מספקת כל צורכה, היא כי העם נותר שולט בגורלו, אלא שאותו עם בחר ברגע מסוים להגביל את סמכויותיו שלו-עצמו. האפשרות הנתונה בידי הדורות הבאים להביא לתיקון החוקה, גם היא מצמצמת את הגֵרעון הדמוקרטי. נוכח האמור, ברי כי העלאתה של הנורמה החוקתית העליונה, מדרגה נוספת, אל מגילת העצמאות, ואל מועצת המדינה הזמנית, תוך שריונה כ'פסקת נצחיות' בלתי ניתנת לשינוי </w:t>
      </w:r>
      <w:r>
        <w:rPr>
          <w:rtl/>
        </w:rPr>
        <w:t>–</w:t>
      </w:r>
      <w:r>
        <w:rPr>
          <w:rFonts w:hint="cs"/>
          <w:rtl/>
        </w:rPr>
        <w:t xml:space="preserve"> מאיינת את הבסיס הדמוקרטי. </w:t>
      </w:r>
    </w:p>
    <w:p w:rsidR="00EB02E1" w:rsidRDefault="00EB02E1" w:rsidP="00EB02E1">
      <w:pPr>
        <w:pStyle w:val="Ruller41"/>
        <w:rPr>
          <w:rtl/>
        </w:rPr>
      </w:pPr>
    </w:p>
    <w:p w:rsidR="00EB02E1" w:rsidRPr="00E952F6" w:rsidRDefault="00EB02E1" w:rsidP="00EB02E1">
      <w:pPr>
        <w:pStyle w:val="Ruller4"/>
        <w:rPr>
          <w:rtl/>
        </w:rPr>
      </w:pPr>
      <w:r>
        <w:rPr>
          <w:rFonts w:hint="cs"/>
          <w:rtl/>
        </w:rPr>
        <w:t xml:space="preserve">על התהום הפעורה בין מועצת המדינה הזמנית לבין הרשות המכוננת, עמד הנשיא </w:t>
      </w:r>
      <w:r w:rsidRPr="00E952F6">
        <w:rPr>
          <w:rFonts w:ascii="Century" w:hAnsi="Century" w:cs="Miriam" w:hint="cs"/>
          <w:b/>
          <w:spacing w:val="0"/>
          <w:sz w:val="22"/>
          <w:szCs w:val="24"/>
          <w:rtl/>
        </w:rPr>
        <w:t>ברק</w:t>
      </w:r>
      <w:r>
        <w:rPr>
          <w:rFonts w:hint="cs"/>
          <w:rtl/>
        </w:rPr>
        <w:t xml:space="preserve"> בעניין </w:t>
      </w:r>
      <w:r w:rsidRPr="00505896">
        <w:rPr>
          <w:rFonts w:ascii="Century" w:hAnsi="Century" w:cs="Miriam" w:hint="cs"/>
          <w:b/>
          <w:spacing w:val="0"/>
          <w:sz w:val="22"/>
          <w:szCs w:val="24"/>
          <w:rtl/>
        </w:rPr>
        <w:t>בנק המזרחי</w:t>
      </w:r>
      <w:r>
        <w:rPr>
          <w:rFonts w:hint="cs"/>
          <w:rtl/>
        </w:rPr>
        <w:t xml:space="preserve"> (בעמ' 362). על מועצת המדינה הזמנית כתב, כי </w:t>
      </w:r>
      <w:r w:rsidRPr="00E952F6">
        <w:rPr>
          <w:rFonts w:ascii="Century" w:hAnsi="Century" w:cs="Miriam" w:hint="cs"/>
          <w:b/>
          <w:spacing w:val="0"/>
          <w:sz w:val="22"/>
          <w:szCs w:val="24"/>
          <w:rtl/>
        </w:rPr>
        <w:t>"</w:t>
      </w:r>
      <w:r w:rsidRPr="00E952F6">
        <w:rPr>
          <w:rFonts w:ascii="Century" w:hAnsi="Century" w:cs="Miriam" w:hint="eastAsia"/>
          <w:b/>
          <w:spacing w:val="0"/>
          <w:sz w:val="22"/>
          <w:szCs w:val="24"/>
          <w:rtl/>
        </w:rPr>
        <w:t>היה</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זה</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כפי</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ששמו</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מעיד</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עליו</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גוף</w:t>
      </w:r>
      <w:r w:rsidRPr="00E952F6">
        <w:rPr>
          <w:rFonts w:ascii="Century" w:hAnsi="Century" w:cs="Miriam"/>
          <w:b/>
          <w:spacing w:val="0"/>
          <w:sz w:val="22"/>
          <w:szCs w:val="24"/>
          <w:rtl/>
        </w:rPr>
        <w:t xml:space="preserve"> </w:t>
      </w:r>
      <w:r w:rsidRPr="00E952F6">
        <w:rPr>
          <w:rFonts w:ascii="Century" w:hAnsi="Century" w:cs="Miriam" w:hint="cs"/>
          <w:b/>
          <w:spacing w:val="0"/>
          <w:sz w:val="22"/>
          <w:szCs w:val="24"/>
          <w:rtl/>
        </w:rPr>
        <w:t>[</w:t>
      </w:r>
      <w:r w:rsidRPr="00E952F6">
        <w:rPr>
          <w:rFonts w:ascii="Century" w:hAnsi="Century" w:cs="Miriam" w:hint="eastAsia"/>
          <w:b/>
          <w:spacing w:val="0"/>
          <w:sz w:val="22"/>
          <w:szCs w:val="24"/>
          <w:rtl/>
        </w:rPr>
        <w:t>זמ</w:t>
      </w:r>
      <w:r w:rsidRPr="00E952F6">
        <w:rPr>
          <w:rFonts w:ascii="Century" w:hAnsi="Century" w:cs="Miriam" w:hint="cs"/>
          <w:b/>
          <w:spacing w:val="0"/>
          <w:sz w:val="22"/>
          <w:szCs w:val="24"/>
          <w:rtl/>
        </w:rPr>
        <w:t>נ</w:t>
      </w:r>
      <w:r w:rsidRPr="00E952F6">
        <w:rPr>
          <w:rFonts w:ascii="Century" w:hAnsi="Century" w:cs="Miriam" w:hint="eastAsia"/>
          <w:b/>
          <w:spacing w:val="0"/>
          <w:sz w:val="22"/>
          <w:szCs w:val="24"/>
          <w:rtl/>
        </w:rPr>
        <w:t>י</w:t>
      </w:r>
      <w:r w:rsidRPr="00E952F6">
        <w:rPr>
          <w:rFonts w:ascii="Century" w:hAnsi="Century" w:cs="Miriam" w:hint="cs"/>
          <w:b/>
          <w:spacing w:val="0"/>
          <w:sz w:val="22"/>
          <w:szCs w:val="24"/>
          <w:rtl/>
        </w:rPr>
        <w:t>]</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אשר</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אמור</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היה</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להיות</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מוחלף</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על</w:t>
      </w:r>
      <w:r w:rsidRPr="00E952F6">
        <w:rPr>
          <w:rFonts w:ascii="Century" w:hAnsi="Century" w:cs="Miriam"/>
          <w:b/>
          <w:spacing w:val="0"/>
          <w:sz w:val="22"/>
          <w:szCs w:val="24"/>
          <w:rtl/>
        </w:rPr>
        <w:t>-</w:t>
      </w:r>
      <w:r w:rsidRPr="00E952F6">
        <w:rPr>
          <w:rFonts w:ascii="Century" w:hAnsi="Century" w:cs="Miriam" w:hint="eastAsia"/>
          <w:b/>
          <w:spacing w:val="0"/>
          <w:sz w:val="22"/>
          <w:szCs w:val="24"/>
          <w:rtl/>
        </w:rPr>
        <w:t>ידי</w:t>
      </w:r>
      <w:r w:rsidRPr="00E952F6">
        <w:rPr>
          <w:rFonts w:ascii="Century" w:hAnsi="Century" w:cs="Miriam"/>
          <w:b/>
          <w:spacing w:val="0"/>
          <w:sz w:val="22"/>
          <w:szCs w:val="24"/>
          <w:rtl/>
        </w:rPr>
        <w:t xml:space="preserve"> </w:t>
      </w:r>
      <w:r w:rsidRPr="00E952F6">
        <w:rPr>
          <w:rFonts w:ascii="Century" w:hAnsi="Century" w:cs="Miriam" w:hint="cs"/>
          <w:b/>
          <w:spacing w:val="0"/>
          <w:sz w:val="22"/>
          <w:szCs w:val="24"/>
          <w:rtl/>
        </w:rPr>
        <w:t>'</w:t>
      </w:r>
      <w:r w:rsidRPr="00E952F6">
        <w:rPr>
          <w:rFonts w:ascii="Century" w:hAnsi="Century" w:cs="Miriam" w:hint="eastAsia"/>
          <w:b/>
          <w:spacing w:val="0"/>
          <w:sz w:val="22"/>
          <w:szCs w:val="24"/>
          <w:rtl/>
        </w:rPr>
        <w:t>השלטונות</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הנבחרים</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והסדירים</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של</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המדינה</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בהתאם</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לחוקה</w:t>
      </w:r>
      <w:r w:rsidRPr="00E952F6">
        <w:rPr>
          <w:rFonts w:ascii="Century" w:hAnsi="Century" w:cs="Miriam" w:hint="cs"/>
          <w:b/>
          <w:spacing w:val="0"/>
          <w:sz w:val="22"/>
          <w:szCs w:val="24"/>
          <w:rtl/>
        </w:rPr>
        <w:t>'</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הכרזת</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העצמאות</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לצדה</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צריכה</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הייתה</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להתקיים</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האסיפה</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המכוננת</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אשר</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היוותה</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רשות</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מכוננת</w:t>
      </w:r>
      <w:r w:rsidRPr="00E952F6">
        <w:rPr>
          <w:rFonts w:ascii="Century" w:hAnsi="Century" w:cs="Miriam" w:hint="cs"/>
          <w:b/>
          <w:spacing w:val="0"/>
          <w:sz w:val="22"/>
          <w:szCs w:val="24"/>
          <w:rtl/>
        </w:rPr>
        <w:t xml:space="preserve"> [...]</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u w:val="single"/>
          <w:rtl/>
        </w:rPr>
        <w:t>מועצת</w:t>
      </w:r>
      <w:r w:rsidRPr="00E952F6">
        <w:rPr>
          <w:rFonts w:ascii="Century" w:hAnsi="Century" w:cs="Miriam"/>
          <w:b/>
          <w:spacing w:val="0"/>
          <w:sz w:val="22"/>
          <w:szCs w:val="24"/>
          <w:u w:val="single"/>
          <w:rtl/>
        </w:rPr>
        <w:t xml:space="preserve"> </w:t>
      </w:r>
      <w:r w:rsidRPr="00E952F6">
        <w:rPr>
          <w:rFonts w:ascii="Century" w:hAnsi="Century" w:cs="Miriam" w:hint="eastAsia"/>
          <w:b/>
          <w:spacing w:val="0"/>
          <w:sz w:val="22"/>
          <w:szCs w:val="24"/>
          <w:u w:val="single"/>
          <w:rtl/>
        </w:rPr>
        <w:t>המדינה</w:t>
      </w:r>
      <w:r w:rsidRPr="00E952F6">
        <w:rPr>
          <w:rFonts w:ascii="Century" w:hAnsi="Century" w:cs="Miriam"/>
          <w:b/>
          <w:spacing w:val="0"/>
          <w:sz w:val="22"/>
          <w:szCs w:val="24"/>
          <w:u w:val="single"/>
          <w:rtl/>
        </w:rPr>
        <w:t xml:space="preserve"> </w:t>
      </w:r>
      <w:r w:rsidRPr="00E952F6">
        <w:rPr>
          <w:rFonts w:ascii="Century" w:hAnsi="Century" w:cs="Miriam" w:hint="eastAsia"/>
          <w:b/>
          <w:spacing w:val="0"/>
          <w:sz w:val="22"/>
          <w:szCs w:val="24"/>
          <w:u w:val="single"/>
          <w:rtl/>
        </w:rPr>
        <w:t>הזמנית</w:t>
      </w:r>
      <w:r w:rsidRPr="00E952F6">
        <w:rPr>
          <w:rFonts w:ascii="Century" w:hAnsi="Century" w:cs="Miriam"/>
          <w:b/>
          <w:spacing w:val="0"/>
          <w:sz w:val="22"/>
          <w:szCs w:val="24"/>
          <w:u w:val="single"/>
          <w:rtl/>
        </w:rPr>
        <w:t xml:space="preserve"> </w:t>
      </w:r>
      <w:r w:rsidRPr="00E952F6">
        <w:rPr>
          <w:rFonts w:ascii="Century" w:hAnsi="Century" w:cs="Miriam" w:hint="eastAsia"/>
          <w:b/>
          <w:spacing w:val="0"/>
          <w:sz w:val="22"/>
          <w:szCs w:val="24"/>
          <w:u w:val="single"/>
          <w:rtl/>
        </w:rPr>
        <w:t>לא</w:t>
      </w:r>
      <w:r w:rsidRPr="00E952F6">
        <w:rPr>
          <w:rFonts w:ascii="Century" w:hAnsi="Century" w:cs="Miriam"/>
          <w:b/>
          <w:spacing w:val="0"/>
          <w:sz w:val="22"/>
          <w:szCs w:val="24"/>
          <w:u w:val="single"/>
          <w:rtl/>
        </w:rPr>
        <w:t xml:space="preserve"> </w:t>
      </w:r>
      <w:r w:rsidRPr="00E952F6">
        <w:rPr>
          <w:rFonts w:ascii="Century" w:hAnsi="Century" w:cs="Miriam" w:hint="eastAsia"/>
          <w:b/>
          <w:spacing w:val="0"/>
          <w:sz w:val="22"/>
          <w:szCs w:val="24"/>
          <w:u w:val="single"/>
          <w:rtl/>
        </w:rPr>
        <w:t>נבחרה</w:t>
      </w:r>
      <w:r w:rsidRPr="00E952F6">
        <w:rPr>
          <w:rFonts w:ascii="Century" w:hAnsi="Century" w:cs="Miriam"/>
          <w:b/>
          <w:spacing w:val="0"/>
          <w:sz w:val="22"/>
          <w:szCs w:val="24"/>
          <w:u w:val="single"/>
          <w:rtl/>
        </w:rPr>
        <w:t xml:space="preserve"> </w:t>
      </w:r>
      <w:r w:rsidRPr="00E952F6">
        <w:rPr>
          <w:rFonts w:ascii="Century" w:hAnsi="Century" w:cs="Miriam" w:hint="eastAsia"/>
          <w:b/>
          <w:spacing w:val="0"/>
          <w:sz w:val="22"/>
          <w:szCs w:val="24"/>
          <w:u w:val="single"/>
          <w:rtl/>
        </w:rPr>
        <w:t>על</w:t>
      </w:r>
      <w:r w:rsidRPr="00E952F6">
        <w:rPr>
          <w:rFonts w:ascii="Century" w:hAnsi="Century" w:cs="Miriam"/>
          <w:b/>
          <w:spacing w:val="0"/>
          <w:sz w:val="22"/>
          <w:szCs w:val="24"/>
          <w:u w:val="single"/>
          <w:rtl/>
        </w:rPr>
        <w:t>-</w:t>
      </w:r>
      <w:r w:rsidRPr="00E952F6">
        <w:rPr>
          <w:rFonts w:ascii="Century" w:hAnsi="Century" w:cs="Miriam" w:hint="eastAsia"/>
          <w:b/>
          <w:spacing w:val="0"/>
          <w:sz w:val="22"/>
          <w:szCs w:val="24"/>
          <w:u w:val="single"/>
          <w:rtl/>
        </w:rPr>
        <w:t>ידי</w:t>
      </w:r>
      <w:r w:rsidRPr="00E952F6">
        <w:rPr>
          <w:rFonts w:ascii="Century" w:hAnsi="Century" w:cs="Miriam"/>
          <w:b/>
          <w:spacing w:val="0"/>
          <w:sz w:val="22"/>
          <w:szCs w:val="24"/>
          <w:u w:val="single"/>
          <w:rtl/>
        </w:rPr>
        <w:t xml:space="preserve"> </w:t>
      </w:r>
      <w:r w:rsidRPr="00E952F6">
        <w:rPr>
          <w:rFonts w:ascii="Century" w:hAnsi="Century" w:cs="Miriam" w:hint="eastAsia"/>
          <w:b/>
          <w:spacing w:val="0"/>
          <w:sz w:val="22"/>
          <w:szCs w:val="24"/>
          <w:u w:val="single"/>
          <w:rtl/>
        </w:rPr>
        <w:t>כלל</w:t>
      </w:r>
      <w:r w:rsidRPr="00E952F6">
        <w:rPr>
          <w:rFonts w:ascii="Century" w:hAnsi="Century" w:cs="Miriam"/>
          <w:b/>
          <w:spacing w:val="0"/>
          <w:sz w:val="22"/>
          <w:szCs w:val="24"/>
          <w:u w:val="single"/>
          <w:rtl/>
        </w:rPr>
        <w:t xml:space="preserve"> </w:t>
      </w:r>
      <w:r w:rsidRPr="00E952F6">
        <w:rPr>
          <w:rFonts w:ascii="Century" w:hAnsi="Century" w:cs="Miriam" w:hint="eastAsia"/>
          <w:b/>
          <w:spacing w:val="0"/>
          <w:sz w:val="22"/>
          <w:szCs w:val="24"/>
          <w:u w:val="single"/>
          <w:rtl/>
        </w:rPr>
        <w:t>התושבים</w:t>
      </w:r>
      <w:r w:rsidRPr="00E952F6">
        <w:rPr>
          <w:rFonts w:ascii="Century" w:hAnsi="Century" w:cs="Miriam" w:hint="cs"/>
          <w:b/>
          <w:spacing w:val="0"/>
          <w:sz w:val="22"/>
          <w:szCs w:val="24"/>
          <w:rtl/>
        </w:rPr>
        <w:t xml:space="preserve"> [...]</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u w:val="single"/>
          <w:rtl/>
        </w:rPr>
        <w:t>האסיפה</w:t>
      </w:r>
      <w:r w:rsidRPr="00E952F6">
        <w:rPr>
          <w:rFonts w:ascii="Century" w:hAnsi="Century" w:cs="Miriam"/>
          <w:b/>
          <w:spacing w:val="0"/>
          <w:sz w:val="22"/>
          <w:szCs w:val="24"/>
          <w:u w:val="single"/>
          <w:rtl/>
        </w:rPr>
        <w:t xml:space="preserve"> </w:t>
      </w:r>
      <w:r w:rsidRPr="00E952F6">
        <w:rPr>
          <w:rFonts w:ascii="Century" w:hAnsi="Century" w:cs="Miriam" w:hint="eastAsia"/>
          <w:b/>
          <w:spacing w:val="0"/>
          <w:sz w:val="22"/>
          <w:szCs w:val="24"/>
          <w:u w:val="single"/>
          <w:rtl/>
        </w:rPr>
        <w:t>המכוננת</w:t>
      </w:r>
      <w:r w:rsidRPr="00E952F6">
        <w:rPr>
          <w:rFonts w:ascii="Century" w:hAnsi="Century" w:cs="Miriam"/>
          <w:b/>
          <w:spacing w:val="0"/>
          <w:sz w:val="22"/>
          <w:szCs w:val="24"/>
          <w:u w:val="single"/>
          <w:rtl/>
        </w:rPr>
        <w:t xml:space="preserve"> </w:t>
      </w:r>
      <w:r w:rsidRPr="00E952F6">
        <w:rPr>
          <w:rFonts w:ascii="Century" w:hAnsi="Century" w:cs="Miriam" w:hint="eastAsia"/>
          <w:b/>
          <w:spacing w:val="0"/>
          <w:sz w:val="22"/>
          <w:szCs w:val="24"/>
          <w:u w:val="single"/>
          <w:rtl/>
        </w:rPr>
        <w:t>נבחרה</w:t>
      </w:r>
      <w:r w:rsidRPr="00E952F6">
        <w:rPr>
          <w:rFonts w:ascii="Century" w:hAnsi="Century" w:cs="Miriam"/>
          <w:b/>
          <w:spacing w:val="0"/>
          <w:sz w:val="22"/>
          <w:szCs w:val="24"/>
          <w:u w:val="single"/>
          <w:rtl/>
        </w:rPr>
        <w:t xml:space="preserve"> </w:t>
      </w:r>
      <w:r w:rsidRPr="00E952F6">
        <w:rPr>
          <w:rFonts w:ascii="Century" w:hAnsi="Century" w:cs="Miriam" w:hint="eastAsia"/>
          <w:b/>
          <w:spacing w:val="0"/>
          <w:sz w:val="22"/>
          <w:szCs w:val="24"/>
          <w:u w:val="single"/>
          <w:rtl/>
        </w:rPr>
        <w:t>בבחירות</w:t>
      </w:r>
      <w:r w:rsidRPr="00E952F6">
        <w:rPr>
          <w:rFonts w:ascii="Century" w:hAnsi="Century" w:cs="Miriam"/>
          <w:b/>
          <w:spacing w:val="0"/>
          <w:sz w:val="22"/>
          <w:szCs w:val="24"/>
          <w:u w:val="single"/>
          <w:rtl/>
        </w:rPr>
        <w:t xml:space="preserve"> </w:t>
      </w:r>
      <w:r w:rsidRPr="00E952F6">
        <w:rPr>
          <w:rFonts w:ascii="Century" w:hAnsi="Century" w:cs="Miriam" w:hint="eastAsia"/>
          <w:b/>
          <w:spacing w:val="0"/>
          <w:sz w:val="22"/>
          <w:szCs w:val="24"/>
          <w:u w:val="single"/>
          <w:rtl/>
        </w:rPr>
        <w:t>כלליות</w:t>
      </w:r>
      <w:r w:rsidRPr="00E952F6">
        <w:rPr>
          <w:rFonts w:ascii="Century" w:hAnsi="Century" w:cs="Miriam"/>
          <w:b/>
          <w:spacing w:val="0"/>
          <w:sz w:val="22"/>
          <w:szCs w:val="24"/>
          <w:u w:val="single"/>
          <w:rtl/>
        </w:rPr>
        <w:t xml:space="preserve">, </w:t>
      </w:r>
      <w:r w:rsidRPr="00E952F6">
        <w:rPr>
          <w:rFonts w:ascii="Century" w:hAnsi="Century" w:cs="Miriam" w:hint="eastAsia"/>
          <w:b/>
          <w:spacing w:val="0"/>
          <w:sz w:val="22"/>
          <w:szCs w:val="24"/>
          <w:u w:val="single"/>
          <w:rtl/>
        </w:rPr>
        <w:t>שבהן</w:t>
      </w:r>
      <w:r w:rsidRPr="00E952F6">
        <w:rPr>
          <w:rFonts w:ascii="Century" w:hAnsi="Century" w:cs="Miriam"/>
          <w:b/>
          <w:spacing w:val="0"/>
          <w:sz w:val="22"/>
          <w:szCs w:val="24"/>
          <w:u w:val="single"/>
          <w:rtl/>
        </w:rPr>
        <w:t xml:space="preserve"> </w:t>
      </w:r>
      <w:r w:rsidRPr="00E952F6">
        <w:rPr>
          <w:rFonts w:ascii="Century" w:hAnsi="Century" w:cs="Miriam" w:hint="eastAsia"/>
          <w:b/>
          <w:spacing w:val="0"/>
          <w:sz w:val="22"/>
          <w:szCs w:val="24"/>
          <w:u w:val="single"/>
          <w:rtl/>
        </w:rPr>
        <w:t>השתתפו</w:t>
      </w:r>
      <w:r w:rsidRPr="00E952F6">
        <w:rPr>
          <w:rFonts w:ascii="Century" w:hAnsi="Century" w:cs="Miriam"/>
          <w:b/>
          <w:spacing w:val="0"/>
          <w:sz w:val="22"/>
          <w:szCs w:val="24"/>
          <w:u w:val="single"/>
          <w:rtl/>
        </w:rPr>
        <w:t xml:space="preserve"> </w:t>
      </w:r>
      <w:r w:rsidRPr="00E952F6">
        <w:rPr>
          <w:rFonts w:ascii="Century" w:hAnsi="Century" w:cs="Miriam" w:hint="eastAsia"/>
          <w:b/>
          <w:spacing w:val="0"/>
          <w:sz w:val="22"/>
          <w:szCs w:val="24"/>
          <w:u w:val="single"/>
          <w:rtl/>
        </w:rPr>
        <w:t>כל</w:t>
      </w:r>
      <w:r w:rsidRPr="00E952F6">
        <w:rPr>
          <w:rFonts w:ascii="Century" w:hAnsi="Century" w:cs="Miriam"/>
          <w:b/>
          <w:spacing w:val="0"/>
          <w:sz w:val="22"/>
          <w:szCs w:val="24"/>
          <w:u w:val="single"/>
          <w:rtl/>
        </w:rPr>
        <w:t xml:space="preserve"> </w:t>
      </w:r>
      <w:r w:rsidRPr="00E952F6">
        <w:rPr>
          <w:rFonts w:ascii="Century" w:hAnsi="Century" w:cs="Miriam" w:hint="eastAsia"/>
          <w:b/>
          <w:spacing w:val="0"/>
          <w:sz w:val="22"/>
          <w:szCs w:val="24"/>
          <w:u w:val="single"/>
          <w:rtl/>
        </w:rPr>
        <w:t>בני</w:t>
      </w:r>
      <w:r w:rsidRPr="00E952F6">
        <w:rPr>
          <w:rFonts w:ascii="Century" w:hAnsi="Century" w:cs="Miriam"/>
          <w:b/>
          <w:spacing w:val="0"/>
          <w:sz w:val="22"/>
          <w:szCs w:val="24"/>
          <w:u w:val="single"/>
          <w:rtl/>
        </w:rPr>
        <w:t xml:space="preserve"> </w:t>
      </w:r>
      <w:r w:rsidRPr="00E952F6">
        <w:rPr>
          <w:rFonts w:ascii="Century" w:hAnsi="Century" w:cs="Miriam" w:hint="eastAsia"/>
          <w:b/>
          <w:spacing w:val="0"/>
          <w:sz w:val="22"/>
          <w:szCs w:val="24"/>
          <w:u w:val="single"/>
          <w:rtl/>
        </w:rPr>
        <w:t>החברה</w:t>
      </w:r>
      <w:r w:rsidRPr="00E952F6">
        <w:rPr>
          <w:rFonts w:ascii="Century" w:hAnsi="Century" w:cs="Miriam"/>
          <w:b/>
          <w:spacing w:val="0"/>
          <w:sz w:val="22"/>
          <w:szCs w:val="24"/>
          <w:u w:val="single"/>
          <w:rtl/>
        </w:rPr>
        <w:t xml:space="preserve"> </w:t>
      </w:r>
      <w:r w:rsidRPr="00E952F6">
        <w:rPr>
          <w:rFonts w:ascii="Century" w:hAnsi="Century" w:cs="Miriam" w:hint="eastAsia"/>
          <w:b/>
          <w:spacing w:val="0"/>
          <w:sz w:val="22"/>
          <w:szCs w:val="24"/>
          <w:u w:val="single"/>
          <w:rtl/>
        </w:rPr>
        <w:t>הישראלית</w:t>
      </w:r>
      <w:r w:rsidRPr="00E952F6">
        <w:rPr>
          <w:rFonts w:ascii="Century" w:hAnsi="Century" w:cs="Miriam" w:hint="cs"/>
          <w:b/>
          <w:spacing w:val="0"/>
          <w:sz w:val="22"/>
          <w:szCs w:val="24"/>
          <w:rtl/>
        </w:rPr>
        <w:t>"</w:t>
      </w:r>
      <w:r>
        <w:rPr>
          <w:rFonts w:hint="cs"/>
          <w:rtl/>
        </w:rPr>
        <w:t xml:space="preserve"> (ההדגשה הוספה </w:t>
      </w:r>
      <w:r>
        <w:rPr>
          <w:rtl/>
        </w:rPr>
        <w:t>–</w:t>
      </w:r>
      <w:r>
        <w:rPr>
          <w:rFonts w:hint="cs"/>
          <w:rtl/>
        </w:rPr>
        <w:t xml:space="preserve"> נ' ס')</w:t>
      </w:r>
      <w:r w:rsidRPr="00E952F6">
        <w:rPr>
          <w:rtl/>
        </w:rPr>
        <w:t>.</w:t>
      </w:r>
      <w:r>
        <w:rPr>
          <w:rFonts w:hint="cs"/>
          <w:rtl/>
        </w:rPr>
        <w:t xml:space="preserve"> מועצת המדינה הזמנית, לא היתה רק גוף בלתי-נבחר, כי אם גם גוף בלתי-מייצג. די לציין, כי הציבור הערבי לא זכה לייצוג כלשהו במועצת המדינה הזמנית. קביעה כי מגילת העצמאות היא אכן הנורמה העליונה, בד-בבד עם קביעה, שלפיה חותמי המגילה, חברי מועצת המדינה הזמנית, בחרו שלא להגביל את הרשות המכוננת </w:t>
      </w:r>
      <w:r>
        <w:rPr>
          <w:rtl/>
        </w:rPr>
        <w:t>–</w:t>
      </w:r>
      <w:r>
        <w:rPr>
          <w:rFonts w:hint="cs"/>
          <w:rtl/>
        </w:rPr>
        <w:t xml:space="preserve"> מצמצמת את מידת הקושי הדמוקרטי. הרשות המכוננת עשויה להיות רשות נבחרת ומייצגת של 'הדורות הקודמים', אך סוף כל סוף ברשות נבחרת ומייצגת עסקינן. בטח ובטח, שעה שניתן לסטות מהוראותיה, בדרך של שינוי החוקה. לעומת זאת, הניסיון לעשות שימוש באותן הגבלות, שהוטלו כביכול על-ידי מועצת המדינה הזמנית </w:t>
      </w:r>
      <w:r>
        <w:rPr>
          <w:rtl/>
        </w:rPr>
        <w:t>–</w:t>
      </w:r>
      <w:r>
        <w:rPr>
          <w:rFonts w:hint="cs"/>
          <w:rtl/>
        </w:rPr>
        <w:t xml:space="preserve"> גוף לא נבחר ולא מייצג </w:t>
      </w:r>
      <w:r>
        <w:rPr>
          <w:rtl/>
        </w:rPr>
        <w:t>–</w:t>
      </w:r>
      <w:r>
        <w:rPr>
          <w:rFonts w:hint="cs"/>
          <w:rtl/>
        </w:rPr>
        <w:t xml:space="preserve"> ולהפכן ל'פסקת נצחיות', בלתי ניתנת </w:t>
      </w:r>
      <w:r>
        <w:rPr>
          <w:rFonts w:hint="cs"/>
          <w:rtl/>
        </w:rPr>
        <w:lastRenderedPageBreak/>
        <w:t xml:space="preserve">לשינוי עתידי, סותם את הגולל, להלכה ולמעשה, על שלטון העם באמצעות נציגיו הנבחרים. </w:t>
      </w:r>
    </w:p>
    <w:p w:rsidR="00EB02E1" w:rsidRDefault="00EB02E1" w:rsidP="00EB02E1">
      <w:pPr>
        <w:pStyle w:val="Ruller4"/>
        <w:numPr>
          <w:ilvl w:val="0"/>
          <w:numId w:val="0"/>
        </w:numPr>
        <w:rPr>
          <w:rtl/>
        </w:rPr>
      </w:pPr>
    </w:p>
    <w:p w:rsidR="00EB02E1" w:rsidRDefault="00EB02E1" w:rsidP="00EB02E1">
      <w:pPr>
        <w:pStyle w:val="Ruller4"/>
        <w:rPr>
          <w:rtl/>
        </w:rPr>
      </w:pPr>
      <w:r>
        <w:rPr>
          <w:rFonts w:hint="cs"/>
          <w:rtl/>
        </w:rPr>
        <w:t xml:space="preserve">לטעמי, טיעון שכזה, שלפיו חותמי מגילת העצמאות ביקשו לקבוע גבולות גזרה לסמכותה של הרשות המכוננת, פוגע, מבלי משׂים, בזכרם של אותם אישים דגולים ונעלים, ומציג אותם באור שאיננו מחמיא. כביכול ביקשו הם, למרות היותם גוף בלתי-נבחר ובלתי-מייצג, לנקוט באקט אנטי-דמוקרטי בעליל, ולכפות את ערכיהם על בניהם ובני-בניהם לדורי-דורות, ללא כל 'מנגנון יציאה'.  </w:t>
      </w:r>
    </w:p>
    <w:p w:rsidR="00EB02E1" w:rsidRDefault="00EB02E1" w:rsidP="00EB02E1">
      <w:pPr>
        <w:pStyle w:val="Ruller41"/>
        <w:rPr>
          <w:rtl/>
        </w:rPr>
      </w:pPr>
    </w:p>
    <w:p w:rsidR="00EB02E1" w:rsidRPr="00E952F6" w:rsidRDefault="00EB02E1" w:rsidP="00EB02E1">
      <w:pPr>
        <w:pStyle w:val="Ruller4"/>
        <w:rPr>
          <w:rtl/>
        </w:rPr>
      </w:pPr>
      <w:r>
        <w:rPr>
          <w:rFonts w:hint="cs"/>
          <w:rtl/>
        </w:rPr>
        <w:t>אדרבה, במובן מסוים ניתן לומר, כי 'עיקרון היסוד' של המשפט הישראלי, אותו הנחיל לנו 'דור המייסדים' מיד עם הקמת המדינה, הוא אותו עיקרון יסוד דמוקרטי, שמותיר בידי העם לקבוע את הסדריו החוקתיים הראשוניים</w:t>
      </w:r>
      <w:r w:rsidRPr="00C25090">
        <w:rPr>
          <w:rFonts w:hint="cs"/>
          <w:rtl/>
        </w:rPr>
        <w:t xml:space="preserve">. </w:t>
      </w:r>
      <w:r>
        <w:rPr>
          <w:rFonts w:hint="cs"/>
          <w:rtl/>
        </w:rPr>
        <w:t>עיקרון יסוד זה, בא לידי ביטוי מעשי, כבר בעת הכרזת העצמאות; בהחלטת חברי מועצת המדינה הזמנית, שלא להגביל את סמכותה של הרשות המכוננת, ולהפקיד בידיה, כגורם נבחר, את מלאכת כתיבת החוקה.</w:t>
      </w:r>
      <w:r w:rsidRPr="00CE7CA6">
        <w:rPr>
          <w:rFonts w:ascii="Century" w:hAnsi="Century" w:cs="Miriam" w:hint="cs"/>
          <w:b/>
          <w:spacing w:val="0"/>
          <w:sz w:val="22"/>
          <w:szCs w:val="24"/>
          <w:rtl/>
        </w:rPr>
        <w:t xml:space="preserve"> </w:t>
      </w:r>
      <w:r>
        <w:rPr>
          <w:rFonts w:hint="cs"/>
          <w:rtl/>
        </w:rPr>
        <w:t>כך הוא לגבי 'אבות היישוב', שהיו 'הגורם בלעדיו איִן' להקמתה של המדינה. חרף רום-מעלתם, ידוֹעַ ידעו והפנימו היטב, כי לא להם הכוח ולא הסמכות לעצב את חוקת המדינה, וכי יש להשאיר זאת לעם, באמצעות נציגיו הנבחרים. מוסר השׂכּל גם לנו, שלא ליצור הגבלות יש מאיִן על סמכותה של הרשות המכוננת, ושלא להכריז על עצמנו כי בידינו הסמכות לאכוף אותן הגבלות.</w:t>
      </w:r>
    </w:p>
    <w:p w:rsidR="00EB02E1" w:rsidRPr="002D44E7" w:rsidRDefault="00EB02E1" w:rsidP="002D44E7">
      <w:pPr>
        <w:pStyle w:val="Ruller41"/>
        <w:rPr>
          <w:rtl/>
        </w:rPr>
      </w:pPr>
    </w:p>
    <w:p w:rsidR="00EB02E1" w:rsidRPr="00D84D3B" w:rsidRDefault="00EB02E1" w:rsidP="00EB02E1">
      <w:pPr>
        <w:pStyle w:val="2"/>
        <w:rPr>
          <w:rtl/>
        </w:rPr>
      </w:pPr>
      <w:bookmarkStart w:id="48" w:name="_Toc154942589"/>
      <w:bookmarkStart w:id="49" w:name="_Toc154944411"/>
      <w:bookmarkStart w:id="50" w:name="_Toc154947521"/>
      <w:r w:rsidRPr="00D84D3B">
        <w:rPr>
          <w:rFonts w:ascii="Century" w:hAnsi="Century" w:cs="Miriam"/>
          <w:b/>
          <w:color w:val="auto"/>
          <w:sz w:val="22"/>
          <w:szCs w:val="24"/>
          <w:rtl/>
        </w:rPr>
        <w:t xml:space="preserve">'נתונים </w:t>
      </w:r>
      <w:r w:rsidRPr="00D84D3B">
        <w:rPr>
          <w:rFonts w:ascii="Century" w:hAnsi="Century" w:cs="Miriam" w:hint="eastAsia"/>
          <w:b/>
          <w:color w:val="auto"/>
          <w:sz w:val="22"/>
          <w:szCs w:val="24"/>
          <w:rtl/>
        </w:rPr>
        <w:t>חוקתיים</w:t>
      </w:r>
      <w:r w:rsidRPr="00D84D3B">
        <w:rPr>
          <w:rFonts w:ascii="Century" w:hAnsi="Century" w:cs="Miriam"/>
          <w:b/>
          <w:color w:val="auto"/>
          <w:sz w:val="22"/>
          <w:szCs w:val="24"/>
          <w:rtl/>
        </w:rPr>
        <w:t>'</w:t>
      </w:r>
      <w:bookmarkEnd w:id="48"/>
      <w:bookmarkEnd w:id="49"/>
      <w:bookmarkEnd w:id="50"/>
    </w:p>
    <w:p w:rsidR="00EB02E1" w:rsidRPr="00FF203B" w:rsidRDefault="00EB02E1" w:rsidP="00EB02E1">
      <w:pPr>
        <w:pStyle w:val="Ruller4"/>
        <w:rPr>
          <w:rtl/>
        </w:rPr>
      </w:pPr>
      <w:r>
        <w:rPr>
          <w:rFonts w:hint="cs"/>
          <w:rtl/>
        </w:rPr>
        <w:t xml:space="preserve">חברתי הנשיאה (בדימ') האריכה בדברים חשובים, אך בנוגע לשאלה הבסיסית, בדבר קיומה של הגבלה על סמכות הרשות המכוננת, בחרה לילך בדרך קצרה: </w:t>
      </w:r>
      <w:r w:rsidRPr="00FF203B">
        <w:rPr>
          <w:rFonts w:ascii="Century" w:hAnsi="Century" w:cs="Miriam" w:hint="cs"/>
          <w:b/>
          <w:spacing w:val="0"/>
          <w:sz w:val="22"/>
          <w:szCs w:val="24"/>
          <w:rtl/>
        </w:rPr>
        <w:t xml:space="preserve">"המסקנה באשר לגבולותיה של הרשות המכוננת, נגזרת במישרין מאותם 'נתונים חוקתיים', המבססים את עצם קיומה של הסמכות המכוננת. במילים אחרות, הבסיס למסקנה באשר לגבולותיה של הסמכות המכוננת הנתונה לכנסת הוא, לגישתי, המערך החוקתי הקיים בכללותו </w:t>
      </w:r>
      <w:r w:rsidRPr="00FF203B">
        <w:rPr>
          <w:rFonts w:ascii="Century" w:hAnsi="Century"/>
          <w:sz w:val="22"/>
          <w:rtl/>
        </w:rPr>
        <w:t>–</w:t>
      </w:r>
      <w:r w:rsidRPr="00FF203B">
        <w:rPr>
          <w:rFonts w:ascii="Century" w:hAnsi="Century" w:cs="Miriam" w:hint="cs"/>
          <w:b/>
          <w:spacing w:val="0"/>
          <w:sz w:val="22"/>
          <w:szCs w:val="24"/>
          <w:rtl/>
        </w:rPr>
        <w:t xml:space="preserve"> קרי, אותם 'נתונים קונסטיטוציוניים' שעל בסיסם גובשה לכתחילה תורת הרשות המכוננת"</w:t>
      </w:r>
      <w:r>
        <w:rPr>
          <w:rFonts w:hint="cs"/>
          <w:rtl/>
        </w:rPr>
        <w:t xml:space="preserve"> (פסקה 66). התקשיתי בדברים הללו. חברתי דוחה את הגישות </w:t>
      </w:r>
      <w:r w:rsidRPr="00FF203B">
        <w:rPr>
          <w:rFonts w:ascii="Century" w:hAnsi="Century" w:cs="Miriam" w:hint="cs"/>
          <w:b/>
          <w:spacing w:val="0"/>
          <w:sz w:val="22"/>
          <w:szCs w:val="24"/>
          <w:rtl/>
        </w:rPr>
        <w:t>"המסיקות קיומן של מגבלות על הסמכות המכוננת מ'כללי מסגרת' שנקבעו בהכרזת העצמאות"</w:t>
      </w:r>
      <w:r>
        <w:rPr>
          <w:rFonts w:hint="cs"/>
          <w:rtl/>
        </w:rPr>
        <w:t xml:space="preserve">; חברתי גם שוללת את האפשרות להסתמך </w:t>
      </w:r>
      <w:r w:rsidRPr="00FF203B">
        <w:rPr>
          <w:rFonts w:ascii="Century" w:hAnsi="Century" w:cs="Miriam" w:hint="cs"/>
          <w:b/>
          <w:spacing w:val="0"/>
          <w:sz w:val="22"/>
          <w:szCs w:val="24"/>
          <w:rtl/>
        </w:rPr>
        <w:t>"על 'עקרונות על-חוקתיים בלתי כתובים'"</w:t>
      </w:r>
      <w:r>
        <w:rPr>
          <w:rFonts w:hint="cs"/>
          <w:rtl/>
        </w:rPr>
        <w:t xml:space="preserve"> (שם). מהם אפוא אותם 'נתונים חוקתיים'? זאת לא נדע. אדרבה, כפי שסקרתי בּפִתחה של חוות דעתי, הנתונים החוקתיים כולם מובילים למסקנה הפוכה, שלפיה 'שטח-המחיה' של הרשות המכוננת </w:t>
      </w:r>
      <w:r>
        <w:rPr>
          <w:rtl/>
        </w:rPr>
        <w:t>–</w:t>
      </w:r>
      <w:r>
        <w:rPr>
          <w:rFonts w:hint="cs"/>
          <w:rtl/>
        </w:rPr>
        <w:t xml:space="preserve"> בלתי-מוגבל, וכי אנו נעדרי סמכות מלבוא בשערי חוקי-היסוד; לא לכך נבחרנו, לא לכך הוסמכנו כשופטים. </w:t>
      </w:r>
    </w:p>
    <w:p w:rsidR="00EB02E1" w:rsidRDefault="00EB02E1" w:rsidP="00EB02E1">
      <w:pPr>
        <w:rPr>
          <w:rFonts w:cs="Miriam"/>
          <w:b/>
          <w:sz w:val="22"/>
          <w:rtl/>
        </w:rPr>
      </w:pPr>
    </w:p>
    <w:p w:rsidR="00EB02E1" w:rsidRPr="00D84D3B" w:rsidRDefault="00EB02E1" w:rsidP="00EB02E1">
      <w:pPr>
        <w:pStyle w:val="2"/>
        <w:rPr>
          <w:rtl/>
        </w:rPr>
      </w:pPr>
      <w:bookmarkStart w:id="51" w:name="_Toc154942590"/>
      <w:bookmarkStart w:id="52" w:name="_Toc154944412"/>
      <w:bookmarkStart w:id="53" w:name="_Toc154947522"/>
      <w:r w:rsidRPr="00D84D3B">
        <w:rPr>
          <w:rFonts w:ascii="Century" w:hAnsi="Century" w:cs="Miriam" w:hint="eastAsia"/>
          <w:b/>
          <w:color w:val="auto"/>
          <w:sz w:val="22"/>
          <w:szCs w:val="24"/>
          <w:rtl/>
        </w:rPr>
        <w:t>סעיף</w:t>
      </w:r>
      <w:r w:rsidRPr="00D84D3B">
        <w:rPr>
          <w:rFonts w:ascii="Century" w:hAnsi="Century" w:cs="Miriam"/>
          <w:b/>
          <w:color w:val="auto"/>
          <w:sz w:val="22"/>
          <w:szCs w:val="24"/>
          <w:rtl/>
        </w:rPr>
        <w:t xml:space="preserve"> 7א </w:t>
      </w:r>
      <w:r w:rsidRPr="00D84D3B">
        <w:rPr>
          <w:rFonts w:ascii="Century" w:hAnsi="Century" w:cs="Miriam" w:hint="eastAsia"/>
          <w:b/>
          <w:color w:val="auto"/>
          <w:sz w:val="22"/>
          <w:szCs w:val="24"/>
          <w:rtl/>
        </w:rPr>
        <w:t>לחוק</w:t>
      </w:r>
      <w:r w:rsidRPr="00D84D3B">
        <w:rPr>
          <w:rFonts w:ascii="Century" w:hAnsi="Century" w:cs="Miriam"/>
          <w:b/>
          <w:color w:val="auto"/>
          <w:sz w:val="22"/>
          <w:szCs w:val="24"/>
          <w:rtl/>
        </w:rPr>
        <w:t xml:space="preserve">-יסוד: </w:t>
      </w:r>
      <w:r w:rsidRPr="00D84D3B">
        <w:rPr>
          <w:rFonts w:ascii="Century" w:hAnsi="Century" w:cs="Miriam" w:hint="eastAsia"/>
          <w:b/>
          <w:color w:val="auto"/>
          <w:sz w:val="22"/>
          <w:szCs w:val="24"/>
          <w:rtl/>
        </w:rPr>
        <w:t>הכנסת</w:t>
      </w:r>
      <w:bookmarkEnd w:id="51"/>
      <w:bookmarkEnd w:id="52"/>
      <w:bookmarkEnd w:id="53"/>
    </w:p>
    <w:p w:rsidR="00EB02E1" w:rsidRDefault="00EB02E1" w:rsidP="00EB02E1">
      <w:pPr>
        <w:pStyle w:val="Ruller4"/>
        <w:rPr>
          <w:rtl/>
        </w:rPr>
      </w:pPr>
      <w:r w:rsidRPr="00B2294C">
        <w:rPr>
          <w:rFonts w:hint="cs"/>
          <w:rtl/>
        </w:rPr>
        <w:t xml:space="preserve">חברתי השופטת </w:t>
      </w:r>
      <w:r w:rsidRPr="00FF203B">
        <w:rPr>
          <w:rFonts w:ascii="Century" w:hAnsi="Century" w:cs="Miriam" w:hint="cs"/>
          <w:b/>
          <w:spacing w:val="0"/>
          <w:sz w:val="22"/>
          <w:szCs w:val="24"/>
          <w:rtl/>
        </w:rPr>
        <w:t>ג' כנפי-שטייניץ</w:t>
      </w:r>
      <w:r w:rsidRPr="00B2294C">
        <w:rPr>
          <w:rFonts w:hint="cs"/>
          <w:rtl/>
        </w:rPr>
        <w:t xml:space="preserve">, </w:t>
      </w:r>
      <w:r>
        <w:rPr>
          <w:rFonts w:hint="cs"/>
          <w:rtl/>
        </w:rPr>
        <w:t>מבקשת</w:t>
      </w:r>
      <w:r w:rsidRPr="00B2294C">
        <w:rPr>
          <w:rFonts w:hint="cs"/>
          <w:rtl/>
        </w:rPr>
        <w:t xml:space="preserve"> לראות בסעיף 7א לחוק-יסוד:</w:t>
      </w:r>
      <w:r>
        <w:rPr>
          <w:rFonts w:hint="cs"/>
          <w:rtl/>
        </w:rPr>
        <w:t xml:space="preserve"> הכנסת, </w:t>
      </w:r>
      <w:r w:rsidRPr="00FF203B">
        <w:rPr>
          <w:rFonts w:ascii="Century" w:hAnsi="Century" w:cs="Miriam" w:hint="cs"/>
          <w:b/>
          <w:spacing w:val="0"/>
          <w:sz w:val="22"/>
          <w:szCs w:val="24"/>
          <w:rtl/>
        </w:rPr>
        <w:t>"עיגון טקסטואלי מפורש יותר למגבלה מהותי</w:t>
      </w:r>
      <w:r>
        <w:rPr>
          <w:rFonts w:ascii="Century" w:hAnsi="Century" w:cs="Miriam" w:hint="cs"/>
          <w:b/>
          <w:spacing w:val="0"/>
          <w:sz w:val="22"/>
          <w:szCs w:val="24"/>
          <w:rtl/>
        </w:rPr>
        <w:t>ת</w:t>
      </w:r>
      <w:r w:rsidRPr="00FF203B">
        <w:rPr>
          <w:rFonts w:ascii="Century" w:hAnsi="Century" w:cs="Miriam" w:hint="cs"/>
          <w:b/>
          <w:spacing w:val="0"/>
          <w:sz w:val="22"/>
          <w:szCs w:val="24"/>
          <w:rtl/>
        </w:rPr>
        <w:t xml:space="preserve"> שנטלה הכנסת על עצמה</w:t>
      </w:r>
      <w:r>
        <w:rPr>
          <w:rFonts w:ascii="Century" w:hAnsi="Century" w:cs="Miriam" w:hint="cs"/>
          <w:b/>
          <w:spacing w:val="0"/>
          <w:sz w:val="22"/>
          <w:szCs w:val="24"/>
          <w:rtl/>
        </w:rPr>
        <w:t>"</w:t>
      </w:r>
      <w:r>
        <w:rPr>
          <w:rFonts w:hint="cs"/>
          <w:rtl/>
        </w:rPr>
        <w:t xml:space="preserve"> (פסקה 11), ובכך בעקיפין הסמיכה</w:t>
      </w:r>
      <w:r w:rsidRPr="00B2294C">
        <w:rPr>
          <w:rFonts w:hint="cs"/>
          <w:rtl/>
        </w:rPr>
        <w:t xml:space="preserve"> </w:t>
      </w:r>
      <w:r>
        <w:rPr>
          <w:rFonts w:hint="cs"/>
          <w:rtl/>
        </w:rPr>
        <w:t>הכנסת את בית המשפט לבטל חוקי-</w:t>
      </w:r>
      <w:r w:rsidRPr="00B2294C">
        <w:rPr>
          <w:rFonts w:hint="cs"/>
          <w:rtl/>
        </w:rPr>
        <w:t>יסוד</w:t>
      </w:r>
      <w:r>
        <w:rPr>
          <w:rFonts w:hint="cs"/>
          <w:rtl/>
        </w:rPr>
        <w:t xml:space="preserve">, אם וכאשר לדעתו הם </w:t>
      </w:r>
      <w:r w:rsidRPr="00B2294C">
        <w:rPr>
          <w:rFonts w:hint="cs"/>
          <w:rtl/>
        </w:rPr>
        <w:t>סותרים את קיומה של מדינת ישראל כמדינה יהודית ודמוקרטית</w:t>
      </w:r>
      <w:r>
        <w:rPr>
          <w:rFonts w:hint="cs"/>
          <w:rtl/>
        </w:rPr>
        <w:t>.</w:t>
      </w:r>
      <w:r w:rsidRPr="00B2294C">
        <w:rPr>
          <w:rFonts w:hint="cs"/>
          <w:rtl/>
        </w:rPr>
        <w:t xml:space="preserve"> כשלעצמי, </w:t>
      </w:r>
      <w:r>
        <w:rPr>
          <w:rFonts w:hint="cs"/>
          <w:rtl/>
        </w:rPr>
        <w:t xml:space="preserve">אני </w:t>
      </w:r>
      <w:r w:rsidRPr="00B2294C">
        <w:rPr>
          <w:rFonts w:hint="cs"/>
          <w:rtl/>
        </w:rPr>
        <w:t xml:space="preserve">מתקשה לראות </w:t>
      </w:r>
      <w:r>
        <w:rPr>
          <w:rFonts w:hint="cs"/>
          <w:rtl/>
        </w:rPr>
        <w:t xml:space="preserve">את </w:t>
      </w:r>
      <w:r w:rsidRPr="00B2294C">
        <w:rPr>
          <w:rFonts w:hint="cs"/>
          <w:rtl/>
        </w:rPr>
        <w:t xml:space="preserve">סעיף 7א </w:t>
      </w:r>
      <w:r>
        <w:rPr>
          <w:rFonts w:hint="cs"/>
          <w:rtl/>
        </w:rPr>
        <w:t>כ</w:t>
      </w:r>
      <w:r w:rsidRPr="00B2294C">
        <w:rPr>
          <w:rFonts w:hint="cs"/>
          <w:rtl/>
        </w:rPr>
        <w:t>בית</w:t>
      </w:r>
      <w:r>
        <w:rPr>
          <w:rFonts w:hint="cs"/>
          <w:rtl/>
        </w:rPr>
        <w:t>-</w:t>
      </w:r>
      <w:r w:rsidRPr="00B2294C">
        <w:rPr>
          <w:rFonts w:hint="cs"/>
          <w:rtl/>
        </w:rPr>
        <w:t>אחיזה, ומקור סמכות ל</w:t>
      </w:r>
      <w:r>
        <w:rPr>
          <w:rFonts w:hint="cs"/>
          <w:rtl/>
        </w:rPr>
        <w:t xml:space="preserve">הגבלת כוחה של הרשות המכוננת, ולקיום </w:t>
      </w:r>
      <w:r w:rsidRPr="00B2294C">
        <w:rPr>
          <w:rFonts w:hint="cs"/>
          <w:rtl/>
        </w:rPr>
        <w:t>ביקורת שיפוטית על חוקי</w:t>
      </w:r>
      <w:r>
        <w:rPr>
          <w:rFonts w:hint="cs"/>
          <w:rtl/>
        </w:rPr>
        <w:t>-</w:t>
      </w:r>
      <w:r w:rsidRPr="00B2294C">
        <w:rPr>
          <w:rFonts w:hint="cs"/>
          <w:rtl/>
        </w:rPr>
        <w:t xml:space="preserve">יסוד. </w:t>
      </w:r>
    </w:p>
    <w:p w:rsidR="00EB02E1" w:rsidRDefault="00EB02E1" w:rsidP="00EB02E1">
      <w:pPr>
        <w:pStyle w:val="Ruller41"/>
        <w:rPr>
          <w:rtl/>
        </w:rPr>
      </w:pPr>
    </w:p>
    <w:p w:rsidR="00EB02E1" w:rsidRDefault="00EB02E1" w:rsidP="00EB02E1">
      <w:pPr>
        <w:pStyle w:val="Ruller4"/>
        <w:rPr>
          <w:rtl/>
        </w:rPr>
      </w:pPr>
      <w:r w:rsidRPr="00FF203B">
        <w:rPr>
          <w:rFonts w:ascii="Century" w:hAnsi="Century" w:cs="Miriam" w:hint="cs"/>
          <w:b/>
          <w:spacing w:val="0"/>
          <w:sz w:val="22"/>
          <w:szCs w:val="24"/>
          <w:rtl/>
        </w:rPr>
        <w:t>ראשית</w:t>
      </w:r>
      <w:r w:rsidRPr="00FF203B">
        <w:rPr>
          <w:rFonts w:ascii="Century" w:hAnsi="Century" w:hint="cs"/>
          <w:sz w:val="22"/>
          <w:rtl/>
        </w:rPr>
        <w:t>, לפרשנות מרחיבה שכזו, אין עיגון</w:t>
      </w:r>
      <w:r>
        <w:rPr>
          <w:rFonts w:ascii="Century" w:hAnsi="Century" w:hint="cs"/>
          <w:sz w:val="22"/>
          <w:rtl/>
        </w:rPr>
        <w:t xml:space="preserve"> </w:t>
      </w:r>
      <w:r w:rsidRPr="00FF203B">
        <w:rPr>
          <w:rFonts w:ascii="Century" w:hAnsi="Century" w:hint="cs"/>
          <w:sz w:val="22"/>
          <w:rtl/>
        </w:rPr>
        <w:t>במילות</w:t>
      </w:r>
      <w:r>
        <w:rPr>
          <w:rFonts w:ascii="Century" w:hAnsi="Century" w:hint="cs"/>
          <w:sz w:val="22"/>
          <w:rtl/>
        </w:rPr>
        <w:t xml:space="preserve">יו של החוק. כותרתו של סעיף 7א היא </w:t>
      </w:r>
      <w:r>
        <w:rPr>
          <w:rFonts w:ascii="Century" w:hAnsi="Century" w:cs="Miriam" w:hint="cs"/>
          <w:b/>
          <w:spacing w:val="0"/>
          <w:sz w:val="22"/>
          <w:szCs w:val="24"/>
          <w:rtl/>
        </w:rPr>
        <w:t>"מניעת השתתפות בבחירות"</w:t>
      </w:r>
      <w:r>
        <w:rPr>
          <w:rFonts w:ascii="Century" w:hAnsi="Century" w:hint="cs"/>
          <w:sz w:val="22"/>
          <w:rtl/>
        </w:rPr>
        <w:t>. זו לשונו:</w:t>
      </w:r>
    </w:p>
    <w:p w:rsidR="00EB02E1" w:rsidRDefault="00EB02E1" w:rsidP="00EB02E1">
      <w:pPr>
        <w:pStyle w:val="Ruller41"/>
        <w:rPr>
          <w:rtl/>
        </w:rPr>
      </w:pPr>
    </w:p>
    <w:p w:rsidR="00EB02E1" w:rsidRPr="00220116" w:rsidRDefault="00EB02E1" w:rsidP="00EB02E1">
      <w:pPr>
        <w:pStyle w:val="p00"/>
        <w:bidi/>
        <w:spacing w:before="72" w:beforeAutospacing="0" w:after="0" w:afterAutospacing="0"/>
        <w:ind w:left="900" w:right="1134"/>
        <w:jc w:val="both"/>
        <w:rPr>
          <w:rFonts w:ascii="Century" w:hAnsi="Century" w:cs="Miriam"/>
          <w:b/>
          <w:sz w:val="22"/>
        </w:rPr>
      </w:pPr>
      <w:r>
        <w:rPr>
          <w:rFonts w:ascii="Century" w:hAnsi="Century" w:cs="Miriam" w:hint="cs"/>
          <w:b/>
          <w:sz w:val="22"/>
          <w:rtl/>
        </w:rPr>
        <w:t>"</w:t>
      </w:r>
      <w:r w:rsidRPr="00220116">
        <w:rPr>
          <w:rFonts w:ascii="Century" w:hAnsi="Century" w:cs="Miriam"/>
          <w:b/>
          <w:sz w:val="22"/>
          <w:rtl/>
        </w:rPr>
        <w:t>(א)  רשימת מועמדים לא תשתתף בבחירות לכנסת ולא יהיה אדם מועמד בבחירות לכנסת, אם יש במטרותיה או במעשיה של הרשימה או במעשיו של האדם, לרבות בהתבטאויותיו, לפי הענין, במפורש או במשתמע, אחד מאלה:</w:t>
      </w:r>
    </w:p>
    <w:p w:rsidR="00EB02E1" w:rsidRPr="00220116" w:rsidRDefault="00EB02E1" w:rsidP="00EB02E1">
      <w:pPr>
        <w:pStyle w:val="p00"/>
        <w:bidi/>
        <w:spacing w:before="72" w:beforeAutospacing="0" w:after="0" w:afterAutospacing="0"/>
        <w:ind w:left="1021" w:right="1134"/>
        <w:jc w:val="both"/>
        <w:rPr>
          <w:rFonts w:ascii="Century" w:hAnsi="Century" w:cs="Miriam"/>
          <w:b/>
          <w:sz w:val="22"/>
          <w:rtl/>
        </w:rPr>
      </w:pPr>
      <w:r w:rsidRPr="00220116">
        <w:rPr>
          <w:rFonts w:ascii="Century" w:hAnsi="Century" w:cs="Miriam"/>
          <w:b/>
          <w:sz w:val="22"/>
          <w:rtl/>
        </w:rPr>
        <w:t>(1)   שלילת קיומה של מדינת ישראל כמדינה יהודית ודמוקרטית;</w:t>
      </w:r>
    </w:p>
    <w:p w:rsidR="00EB02E1" w:rsidRPr="00220116" w:rsidRDefault="00EB02E1" w:rsidP="00EB02E1">
      <w:pPr>
        <w:pStyle w:val="p00"/>
        <w:bidi/>
        <w:spacing w:before="72" w:beforeAutospacing="0" w:after="0" w:afterAutospacing="0"/>
        <w:ind w:left="1021" w:right="1134"/>
        <w:jc w:val="both"/>
        <w:rPr>
          <w:rFonts w:ascii="Century" w:hAnsi="Century" w:cs="Miriam"/>
          <w:b/>
          <w:sz w:val="22"/>
          <w:rtl/>
        </w:rPr>
      </w:pPr>
      <w:r w:rsidRPr="00220116">
        <w:rPr>
          <w:rFonts w:ascii="Century" w:hAnsi="Century" w:cs="Miriam"/>
          <w:b/>
          <w:sz w:val="22"/>
          <w:rtl/>
        </w:rPr>
        <w:t>(2)   הסתה לגזענות;</w:t>
      </w:r>
    </w:p>
    <w:p w:rsidR="00EB02E1" w:rsidRPr="00220116" w:rsidRDefault="00EB02E1" w:rsidP="00EB02E1">
      <w:pPr>
        <w:pStyle w:val="p00"/>
        <w:bidi/>
        <w:spacing w:before="72" w:beforeAutospacing="0" w:after="0" w:afterAutospacing="0"/>
        <w:ind w:left="1021" w:right="1134"/>
        <w:jc w:val="both"/>
        <w:rPr>
          <w:rFonts w:ascii="Century" w:hAnsi="Century" w:cs="Miriam"/>
          <w:b/>
          <w:sz w:val="22"/>
          <w:rtl/>
        </w:rPr>
      </w:pPr>
      <w:r w:rsidRPr="00220116">
        <w:rPr>
          <w:rFonts w:ascii="Century" w:hAnsi="Century" w:cs="Miriam"/>
          <w:b/>
          <w:sz w:val="22"/>
          <w:rtl/>
        </w:rPr>
        <w:t>(3)   תמיכה במאבק מזוין, של מדינת אויב או של ארגון טרור, נגד מדינת ישראל.</w:t>
      </w:r>
    </w:p>
    <w:p w:rsidR="00EB02E1" w:rsidRPr="00220116" w:rsidRDefault="00EB02E1" w:rsidP="00EB02E1">
      <w:pPr>
        <w:pStyle w:val="Ruller41"/>
        <w:rPr>
          <w:rtl/>
        </w:rPr>
      </w:pPr>
      <w:r>
        <w:rPr>
          <w:rtl/>
        </w:rPr>
        <w:tab/>
      </w:r>
      <w:r w:rsidRPr="00A574BA">
        <w:rPr>
          <w:rFonts w:ascii="Century" w:hAnsi="Century" w:cs="Miriam" w:hint="cs"/>
          <w:b/>
          <w:spacing w:val="0"/>
          <w:szCs w:val="24"/>
          <w:rtl/>
        </w:rPr>
        <w:t xml:space="preserve">    </w:t>
      </w:r>
      <w:r w:rsidRPr="00CA468D">
        <w:rPr>
          <w:rFonts w:ascii="Century" w:hAnsi="Century" w:cs="Miriam" w:hint="cs"/>
          <w:b/>
          <w:spacing w:val="0"/>
          <w:szCs w:val="24"/>
          <w:rtl/>
        </w:rPr>
        <w:t>[...]"</w:t>
      </w:r>
      <w:r w:rsidRPr="00A574BA">
        <w:rPr>
          <w:rFonts w:ascii="Century" w:hAnsi="Century" w:cs="Miriam" w:hint="cs"/>
          <w:b/>
          <w:spacing w:val="0"/>
          <w:szCs w:val="24"/>
          <w:rtl/>
        </w:rPr>
        <w:t>.</w:t>
      </w:r>
      <w:r>
        <w:rPr>
          <w:rtl/>
        </w:rPr>
        <w:tab/>
      </w:r>
      <w:r>
        <w:rPr>
          <w:rtl/>
        </w:rPr>
        <w:tab/>
      </w:r>
    </w:p>
    <w:p w:rsidR="00EB02E1" w:rsidRDefault="00EB02E1" w:rsidP="00EB02E1">
      <w:pPr>
        <w:pStyle w:val="Ruller41"/>
        <w:rPr>
          <w:rtl/>
        </w:rPr>
      </w:pPr>
      <w:r>
        <w:rPr>
          <w:rtl/>
        </w:rPr>
        <w:tab/>
      </w:r>
    </w:p>
    <w:p w:rsidR="00EB02E1" w:rsidRDefault="00EB02E1" w:rsidP="00EB02E1">
      <w:pPr>
        <w:pStyle w:val="Ruller41"/>
        <w:rPr>
          <w:rtl/>
        </w:rPr>
      </w:pPr>
      <w:r>
        <w:rPr>
          <w:rtl/>
        </w:rPr>
        <w:tab/>
      </w:r>
      <w:r>
        <w:rPr>
          <w:rFonts w:hint="cs"/>
          <w:rtl/>
        </w:rPr>
        <w:t xml:space="preserve">עינינו הרואות, </w:t>
      </w:r>
      <w:r w:rsidRPr="00FF203B">
        <w:rPr>
          <w:rFonts w:ascii="Century" w:hAnsi="Century" w:hint="cs"/>
          <w:rtl/>
        </w:rPr>
        <w:t>פשוטו של מקרא, סב כל כולו סביב פסילת רשימה או מועמד מהשתתפות בבחירות לכנסת; לא הגבלה מהותית על יכולת החקיקה של הכנסת, בטח ובטח לא ביקורת שיפוטית על חוקי</w:t>
      </w:r>
      <w:r>
        <w:rPr>
          <w:rFonts w:ascii="Century" w:hAnsi="Century" w:hint="cs"/>
          <w:rtl/>
        </w:rPr>
        <w:t>-</w:t>
      </w:r>
      <w:r w:rsidRPr="00FF203B">
        <w:rPr>
          <w:rFonts w:ascii="Century" w:hAnsi="Century" w:hint="cs"/>
          <w:rtl/>
        </w:rPr>
        <w:t xml:space="preserve">יסוד. כידוע, וכפי </w:t>
      </w:r>
      <w:r>
        <w:rPr>
          <w:rFonts w:ascii="Century" w:hAnsi="Century" w:hint="cs"/>
          <w:rtl/>
        </w:rPr>
        <w:t xml:space="preserve">שכותבת חברתי בהמשך חוות דעתה </w:t>
      </w:r>
      <w:r>
        <w:rPr>
          <w:rFonts w:ascii="Century" w:hAnsi="Century"/>
          <w:rtl/>
        </w:rPr>
        <w:t>–</w:t>
      </w:r>
      <w:r w:rsidRPr="00FF203B">
        <w:rPr>
          <w:rFonts w:ascii="Century" w:hAnsi="Century" w:hint="cs"/>
          <w:rtl/>
        </w:rPr>
        <w:t xml:space="preserve"> </w:t>
      </w:r>
      <w:r w:rsidRPr="00FF203B">
        <w:rPr>
          <w:rFonts w:ascii="Century" w:hAnsi="Century" w:cs="Miriam" w:hint="cs"/>
          <w:b/>
          <w:spacing w:val="0"/>
          <w:szCs w:val="24"/>
          <w:rtl/>
        </w:rPr>
        <w:t>"נקודת המוצא לפרשנותו של חוק, לרבות חוק-יסוד, היא לשון החוק. היא מכתיבה את מתחם האפשרויות הלשוניות"</w:t>
      </w:r>
      <w:r w:rsidRPr="00FF203B">
        <w:rPr>
          <w:rFonts w:ascii="Century" w:hAnsi="Century" w:hint="cs"/>
          <w:rtl/>
        </w:rPr>
        <w:t xml:space="preserve"> (פסקה 31). </w:t>
      </w:r>
      <w:r>
        <w:rPr>
          <w:rFonts w:hint="cs"/>
          <w:rtl/>
        </w:rPr>
        <w:t xml:space="preserve">בהעדר עיגון בלשון החוק, הפרשנות האמורה נופלת הרחק מגדרי מתחם האפשרויות הלשוניות הלגיטימיות.  </w:t>
      </w:r>
    </w:p>
    <w:p w:rsidR="00EB02E1" w:rsidRPr="00FF203B" w:rsidRDefault="00EB02E1" w:rsidP="00EB02E1">
      <w:pPr>
        <w:pStyle w:val="Ruller41"/>
        <w:rPr>
          <w:rtl/>
        </w:rPr>
      </w:pPr>
    </w:p>
    <w:p w:rsidR="00EB02E1" w:rsidRPr="00BC5F89" w:rsidRDefault="00EB02E1" w:rsidP="00EB02E1">
      <w:pPr>
        <w:pStyle w:val="Ruller4"/>
        <w:rPr>
          <w:rtl/>
        </w:rPr>
      </w:pPr>
      <w:r w:rsidRPr="00FF203B">
        <w:rPr>
          <w:rFonts w:ascii="Century" w:hAnsi="Century" w:cs="Miriam" w:hint="cs"/>
          <w:b/>
          <w:spacing w:val="0"/>
          <w:sz w:val="22"/>
          <w:szCs w:val="24"/>
          <w:rtl/>
        </w:rPr>
        <w:t>שנית</w:t>
      </w:r>
      <w:r w:rsidRPr="00B2294C">
        <w:rPr>
          <w:rFonts w:hint="cs"/>
          <w:rtl/>
        </w:rPr>
        <w:t>, גם אם היה בנמצא עיגון לשוני</w:t>
      </w:r>
      <w:r>
        <w:rPr>
          <w:rFonts w:hint="cs"/>
          <w:rtl/>
        </w:rPr>
        <w:t xml:space="preserve"> במילות-החוק</w:t>
      </w:r>
      <w:r w:rsidRPr="00B2294C">
        <w:rPr>
          <w:rFonts w:hint="cs"/>
          <w:rtl/>
        </w:rPr>
        <w:t>, הרי שהתכלית הסובייקטיבית של סעיף 7א</w:t>
      </w:r>
      <w:r>
        <w:rPr>
          <w:rFonts w:hint="cs"/>
          <w:rtl/>
        </w:rPr>
        <w:t xml:space="preserve"> </w:t>
      </w:r>
      <w:r>
        <w:rPr>
          <w:rtl/>
        </w:rPr>
        <w:t>–</w:t>
      </w:r>
      <w:r>
        <w:rPr>
          <w:rFonts w:hint="cs"/>
          <w:rtl/>
        </w:rPr>
        <w:t xml:space="preserve"> </w:t>
      </w:r>
      <w:r w:rsidRPr="00B2294C">
        <w:rPr>
          <w:rFonts w:hint="cs"/>
          <w:rtl/>
        </w:rPr>
        <w:t xml:space="preserve">הנלמדת </w:t>
      </w:r>
      <w:r>
        <w:rPr>
          <w:rFonts w:hint="cs"/>
          <w:rtl/>
        </w:rPr>
        <w:t xml:space="preserve">הן </w:t>
      </w:r>
      <w:r w:rsidRPr="00B2294C">
        <w:rPr>
          <w:rFonts w:hint="cs"/>
          <w:rtl/>
        </w:rPr>
        <w:t xml:space="preserve">מההיסטוריה החקיקתית, </w:t>
      </w:r>
      <w:r>
        <w:rPr>
          <w:rFonts w:hint="cs"/>
          <w:rtl/>
        </w:rPr>
        <w:t xml:space="preserve">הן מדברי ההסבר </w:t>
      </w:r>
      <w:r>
        <w:rPr>
          <w:rtl/>
        </w:rPr>
        <w:t>–</w:t>
      </w:r>
      <w:r>
        <w:rPr>
          <w:rFonts w:hint="cs"/>
          <w:rtl/>
        </w:rPr>
        <w:t xml:space="preserve"> </w:t>
      </w:r>
      <w:r w:rsidRPr="00B2294C">
        <w:rPr>
          <w:rFonts w:hint="cs"/>
          <w:rtl/>
        </w:rPr>
        <w:t xml:space="preserve">שוללת מהלך שכזה. </w:t>
      </w:r>
      <w:r>
        <w:rPr>
          <w:rFonts w:hint="cs"/>
          <w:rtl/>
        </w:rPr>
        <w:t>קשה להלום מצב דברים שלפיו</w:t>
      </w:r>
      <w:r w:rsidRPr="00B2294C">
        <w:rPr>
          <w:rFonts w:hint="cs"/>
          <w:rtl/>
        </w:rPr>
        <w:t xml:space="preserve"> </w:t>
      </w:r>
      <w:r>
        <w:rPr>
          <w:rFonts w:hint="cs"/>
          <w:rtl/>
        </w:rPr>
        <w:t>הוראת-</w:t>
      </w:r>
      <w:r w:rsidRPr="00B2294C">
        <w:rPr>
          <w:rFonts w:hint="cs"/>
          <w:rtl/>
        </w:rPr>
        <w:t>חוק המעניק</w:t>
      </w:r>
      <w:r>
        <w:rPr>
          <w:rFonts w:hint="cs"/>
          <w:rtl/>
        </w:rPr>
        <w:t>ה</w:t>
      </w:r>
      <w:r w:rsidRPr="00B2294C">
        <w:rPr>
          <w:rFonts w:hint="cs"/>
          <w:rtl/>
        </w:rPr>
        <w:t xml:space="preserve"> סמכות לוועדת הבחירות המרכזית לפסול מועמדים לבחירות</w:t>
      </w:r>
      <w:r>
        <w:rPr>
          <w:rFonts w:hint="cs"/>
          <w:rtl/>
        </w:rPr>
        <w:t xml:space="preserve"> לכנסת</w:t>
      </w:r>
      <w:r w:rsidRPr="00B2294C">
        <w:rPr>
          <w:rFonts w:hint="cs"/>
          <w:rtl/>
        </w:rPr>
        <w:t>, מעניק</w:t>
      </w:r>
      <w:r>
        <w:rPr>
          <w:rFonts w:hint="cs"/>
          <w:rtl/>
        </w:rPr>
        <w:t>ה, הלכה למעשה,</w:t>
      </w:r>
      <w:r w:rsidRPr="00B2294C">
        <w:rPr>
          <w:rFonts w:hint="cs"/>
          <w:rtl/>
        </w:rPr>
        <w:t xml:space="preserve"> לבית המשפט העליון</w:t>
      </w:r>
      <w:r>
        <w:rPr>
          <w:rFonts w:hint="cs"/>
          <w:rtl/>
        </w:rPr>
        <w:t>,</w:t>
      </w:r>
      <w:r w:rsidRPr="00B2294C">
        <w:rPr>
          <w:rFonts w:hint="cs"/>
          <w:rtl/>
        </w:rPr>
        <w:t xml:space="preserve"> </w:t>
      </w:r>
      <w:r>
        <w:rPr>
          <w:rFonts w:hint="cs"/>
          <w:rtl/>
        </w:rPr>
        <w:t>את ה</w:t>
      </w:r>
      <w:r w:rsidRPr="00B2294C">
        <w:rPr>
          <w:rFonts w:hint="cs"/>
          <w:rtl/>
        </w:rPr>
        <w:t>סמכות לפסול חוקי</w:t>
      </w:r>
      <w:r>
        <w:rPr>
          <w:rFonts w:hint="cs"/>
          <w:rtl/>
        </w:rPr>
        <w:t>-</w:t>
      </w:r>
      <w:r w:rsidRPr="00B2294C">
        <w:rPr>
          <w:rFonts w:hint="cs"/>
          <w:rtl/>
        </w:rPr>
        <w:t>יסוד. בעל תפקיד ברשויות השלטון האחרות, שהיה מבקש להציג לפנינו את מקור סמכותו על הדרך</w:t>
      </w:r>
      <w:r>
        <w:rPr>
          <w:rFonts w:hint="cs"/>
          <w:rtl/>
        </w:rPr>
        <w:t xml:space="preserve"> הזו</w:t>
      </w:r>
      <w:r w:rsidRPr="00B2294C">
        <w:rPr>
          <w:rFonts w:hint="cs"/>
          <w:rtl/>
        </w:rPr>
        <w:t xml:space="preserve">, </w:t>
      </w:r>
      <w:r>
        <w:rPr>
          <w:rFonts w:hint="cs"/>
          <w:rtl/>
        </w:rPr>
        <w:t>לבטח היה נדחה.</w:t>
      </w:r>
      <w:r w:rsidRPr="00B2294C">
        <w:rPr>
          <w:rFonts w:hint="cs"/>
          <w:rtl/>
        </w:rPr>
        <w:t xml:space="preserve"> על אחת כמה וכמה, </w:t>
      </w:r>
      <w:r>
        <w:rPr>
          <w:rFonts w:hint="cs"/>
          <w:rtl/>
        </w:rPr>
        <w:t xml:space="preserve">כשלא </w:t>
      </w:r>
      <w:r w:rsidRPr="00B2294C">
        <w:rPr>
          <w:rFonts w:hint="cs"/>
          <w:rtl/>
        </w:rPr>
        <w:t xml:space="preserve">מדובר בהסמכה </w:t>
      </w:r>
      <w:r>
        <w:rPr>
          <w:rFonts w:hint="cs"/>
          <w:rtl/>
        </w:rPr>
        <w:t xml:space="preserve">בעניין </w:t>
      </w:r>
      <w:r w:rsidRPr="00B2294C">
        <w:rPr>
          <w:rFonts w:hint="cs"/>
          <w:rtl/>
        </w:rPr>
        <w:t xml:space="preserve">של מה בכך, כי אם </w:t>
      </w:r>
      <w:r>
        <w:rPr>
          <w:rFonts w:hint="cs"/>
          <w:rtl/>
        </w:rPr>
        <w:t xml:space="preserve">ב'עצב חשוף', </w:t>
      </w:r>
      <w:r>
        <w:rPr>
          <w:rFonts w:hint="cs"/>
          <w:rtl/>
        </w:rPr>
        <w:lastRenderedPageBreak/>
        <w:t>בשאלת הסמכות הבסיסית ביותר במשטרנו: מיהו בעל הזכות והחובה, לומר את 'המילה החוקתית האחרונה'</w:t>
      </w:r>
      <w:r w:rsidRPr="00B2294C">
        <w:rPr>
          <w:rFonts w:hint="cs"/>
          <w:rtl/>
        </w:rPr>
        <w:t xml:space="preserve">. </w:t>
      </w:r>
    </w:p>
    <w:p w:rsidR="00EB02E1" w:rsidRPr="00FF203B" w:rsidRDefault="00EB02E1" w:rsidP="00EB02E1">
      <w:pPr>
        <w:pStyle w:val="Ruller41"/>
        <w:rPr>
          <w:rtl/>
        </w:rPr>
      </w:pPr>
    </w:p>
    <w:p w:rsidR="00EB02E1" w:rsidRDefault="00EB02E1" w:rsidP="00EB02E1">
      <w:pPr>
        <w:pStyle w:val="Ruller4"/>
        <w:rPr>
          <w:rtl/>
        </w:rPr>
      </w:pPr>
      <w:r w:rsidRPr="00FF203B">
        <w:rPr>
          <w:rFonts w:ascii="Century" w:hAnsi="Century" w:cs="Miriam" w:hint="cs"/>
          <w:b/>
          <w:spacing w:val="0"/>
          <w:sz w:val="22"/>
          <w:szCs w:val="24"/>
          <w:rtl/>
        </w:rPr>
        <w:t>שלישית</w:t>
      </w:r>
      <w:r w:rsidRPr="00B2294C">
        <w:rPr>
          <w:rFonts w:hint="cs"/>
          <w:rtl/>
        </w:rPr>
        <w:t xml:space="preserve">, פסקי הדין בעניין </w:t>
      </w:r>
      <w:r w:rsidRPr="00FF203B">
        <w:rPr>
          <w:rFonts w:ascii="Century" w:hAnsi="Century" w:cs="Miriam" w:hint="cs"/>
          <w:b/>
          <w:spacing w:val="0"/>
          <w:sz w:val="22"/>
          <w:szCs w:val="24"/>
          <w:rtl/>
        </w:rPr>
        <w:t>ירדור</w:t>
      </w:r>
      <w:r w:rsidRPr="00B2294C">
        <w:rPr>
          <w:rFonts w:hint="cs"/>
          <w:rtl/>
        </w:rPr>
        <w:t xml:space="preserve">, ובעניין </w:t>
      </w:r>
      <w:r w:rsidRPr="00FF203B">
        <w:rPr>
          <w:rFonts w:ascii="Century" w:hAnsi="Century" w:cs="Miriam" w:hint="cs"/>
          <w:b/>
          <w:spacing w:val="0"/>
          <w:sz w:val="22"/>
          <w:szCs w:val="24"/>
          <w:rtl/>
        </w:rPr>
        <w:t>ניימן</w:t>
      </w:r>
      <w:r>
        <w:rPr>
          <w:rFonts w:hint="cs"/>
          <w:rtl/>
        </w:rPr>
        <w:t>,</w:t>
      </w:r>
      <w:r w:rsidRPr="00B2294C">
        <w:rPr>
          <w:rFonts w:hint="cs"/>
          <w:rtl/>
        </w:rPr>
        <w:t xml:space="preserve"> שניתנו </w:t>
      </w:r>
      <w:r>
        <w:rPr>
          <w:rFonts w:hint="cs"/>
          <w:rtl/>
        </w:rPr>
        <w:t>ב</w:t>
      </w:r>
      <w:r w:rsidRPr="00B2294C">
        <w:rPr>
          <w:rFonts w:hint="cs"/>
          <w:rtl/>
        </w:rPr>
        <w:t>טרם בא לעולם סעיף 7א</w:t>
      </w:r>
      <w:r>
        <w:rPr>
          <w:rFonts w:hint="cs"/>
          <w:rtl/>
        </w:rPr>
        <w:t xml:space="preserve"> לחוק-יסוד: הכנסת</w:t>
      </w:r>
      <w:r w:rsidRPr="00B2294C">
        <w:rPr>
          <w:rFonts w:hint="cs"/>
          <w:rtl/>
        </w:rPr>
        <w:t>, והם שהיו</w:t>
      </w:r>
      <w:r>
        <w:rPr>
          <w:rFonts w:hint="cs"/>
          <w:rtl/>
        </w:rPr>
        <w:t xml:space="preserve"> המניע המרכזי לחקיקתו </w:t>
      </w:r>
      <w:r>
        <w:rPr>
          <w:rtl/>
        </w:rPr>
        <w:t>–</w:t>
      </w:r>
      <w:r w:rsidRPr="00B2294C">
        <w:rPr>
          <w:rFonts w:hint="cs"/>
          <w:rtl/>
        </w:rPr>
        <w:t xml:space="preserve"> ניצבים בסתירה לאותה פרשנות מרחיבה. בשני המקרים, נקבע בדעת רוב, אם בדרך פרשנית, אם בדרך של השלמת חקיקה, כי ועדת הבחירות המרכזית מוסמכת לפסול רשימות לכנסת בתנאים מסוימים. למרות זאת, אותם שופטים (כולל השופט </w:t>
      </w:r>
      <w:r w:rsidRPr="00FF203B">
        <w:rPr>
          <w:rFonts w:ascii="Century" w:hAnsi="Century" w:cs="Miriam" w:hint="cs"/>
          <w:b/>
          <w:spacing w:val="0"/>
          <w:sz w:val="22"/>
          <w:szCs w:val="24"/>
          <w:rtl/>
        </w:rPr>
        <w:t>א' ברק</w:t>
      </w:r>
      <w:r w:rsidRPr="00B2294C">
        <w:rPr>
          <w:rFonts w:hint="cs"/>
          <w:rtl/>
        </w:rPr>
        <w:t>, בימים ההם) המשיכו, כולם כאחד יחד, לדבוק בעוז בקונצנזוס</w:t>
      </w:r>
      <w:r>
        <w:rPr>
          <w:rFonts w:hint="cs"/>
          <w:rtl/>
        </w:rPr>
        <w:t>,</w:t>
      </w:r>
      <w:r w:rsidRPr="00B2294C">
        <w:rPr>
          <w:rFonts w:hint="cs"/>
          <w:rtl/>
        </w:rPr>
        <w:t xml:space="preserve"> שלפיו בית המשפט אינו רשאי להתערב בנורמה החקיקתית העליונה, מעש</w:t>
      </w:r>
      <w:r>
        <w:rPr>
          <w:rFonts w:hint="cs"/>
          <w:rtl/>
        </w:rPr>
        <w:t>ה-</w:t>
      </w:r>
      <w:r w:rsidRPr="00B2294C">
        <w:rPr>
          <w:rFonts w:hint="cs"/>
          <w:rtl/>
        </w:rPr>
        <w:t>ידיה של הרשות המחוקקת. נמצאנו למדים, כי לא ניתן לגזור 'גזירה שווה' בין פסילת רשימת מועמדים לכנסת לבין התערבות בחקיקת הכנסת. הסמכה לפסילת רשימות</w:t>
      </w:r>
      <w:r>
        <w:rPr>
          <w:rFonts w:hint="cs"/>
          <w:rtl/>
        </w:rPr>
        <w:t xml:space="preserve"> מכוח עקרונות-יסוד</w:t>
      </w:r>
      <w:r w:rsidRPr="00B2294C">
        <w:rPr>
          <w:rFonts w:hint="cs"/>
          <w:rtl/>
        </w:rPr>
        <w:t>, אינה מנביעה, מיניה וביה, את האפשרות לפסול חוקי</w:t>
      </w:r>
      <w:r>
        <w:rPr>
          <w:rFonts w:hint="cs"/>
          <w:rtl/>
        </w:rPr>
        <w:t>-</w:t>
      </w:r>
      <w:r w:rsidRPr="00B2294C">
        <w:rPr>
          <w:rFonts w:hint="cs"/>
          <w:rtl/>
        </w:rPr>
        <w:t xml:space="preserve">יסוד מכוח אותם עקרונות. פסילת רשימות </w:t>
      </w:r>
      <w:r w:rsidRPr="00B2294C">
        <w:rPr>
          <w:rtl/>
        </w:rPr>
        <w:t>–</w:t>
      </w:r>
      <w:r w:rsidRPr="00B2294C">
        <w:rPr>
          <w:rFonts w:hint="cs"/>
          <w:rtl/>
        </w:rPr>
        <w:t xml:space="preserve"> כן, פסילת חוקי</w:t>
      </w:r>
      <w:r>
        <w:rPr>
          <w:rFonts w:hint="cs"/>
          <w:rtl/>
        </w:rPr>
        <w:t>-</w:t>
      </w:r>
      <w:r w:rsidRPr="00B2294C">
        <w:rPr>
          <w:rFonts w:hint="cs"/>
          <w:rtl/>
        </w:rPr>
        <w:t xml:space="preserve">יסוד </w:t>
      </w:r>
      <w:r w:rsidRPr="00B2294C">
        <w:rPr>
          <w:rtl/>
        </w:rPr>
        <w:t>–</w:t>
      </w:r>
      <w:r w:rsidRPr="00B2294C">
        <w:rPr>
          <w:rFonts w:hint="cs"/>
          <w:rtl/>
        </w:rPr>
        <w:t xml:space="preserve"> לא ולא.</w:t>
      </w:r>
    </w:p>
    <w:p w:rsidR="00EB02E1" w:rsidRPr="00FF203B" w:rsidRDefault="00EB02E1" w:rsidP="00EB02E1">
      <w:pPr>
        <w:pStyle w:val="Ruller41"/>
        <w:rPr>
          <w:rtl/>
        </w:rPr>
      </w:pPr>
    </w:p>
    <w:p w:rsidR="00EB02E1" w:rsidRDefault="00EB02E1" w:rsidP="00EB02E1">
      <w:pPr>
        <w:pStyle w:val="Ruller4"/>
        <w:rPr>
          <w:rtl/>
        </w:rPr>
      </w:pPr>
      <w:r w:rsidRPr="00B2294C">
        <w:rPr>
          <w:rFonts w:hint="cs"/>
          <w:rtl/>
        </w:rPr>
        <w:t>אדרבה, אם נשוב ונתבונן ב</w:t>
      </w:r>
      <w:r>
        <w:rPr>
          <w:rFonts w:hint="cs"/>
          <w:rtl/>
        </w:rPr>
        <w:t>ּ</w:t>
      </w:r>
      <w:r w:rsidRPr="00B2294C">
        <w:rPr>
          <w:rFonts w:hint="cs"/>
          <w:rtl/>
        </w:rPr>
        <w:t>אמו</w:t>
      </w:r>
      <w:r>
        <w:rPr>
          <w:rFonts w:hint="cs"/>
          <w:rtl/>
        </w:rPr>
        <w:t>ּ</w:t>
      </w:r>
      <w:r w:rsidRPr="00B2294C">
        <w:rPr>
          <w:rFonts w:hint="cs"/>
          <w:rtl/>
        </w:rPr>
        <w:t>ר בסעיף 7א</w:t>
      </w:r>
      <w:r>
        <w:rPr>
          <w:rFonts w:hint="cs"/>
          <w:rtl/>
        </w:rPr>
        <w:t xml:space="preserve"> לחוק-יסוד: הכנסת</w:t>
      </w:r>
      <w:r w:rsidRPr="00B2294C">
        <w:rPr>
          <w:rFonts w:hint="cs"/>
          <w:rtl/>
        </w:rPr>
        <w:t xml:space="preserve">, ובפסקי הדין בעניין </w:t>
      </w:r>
      <w:r w:rsidRPr="00FF203B">
        <w:rPr>
          <w:rFonts w:ascii="Century" w:hAnsi="Century" w:cs="Miriam" w:hint="cs"/>
          <w:b/>
          <w:spacing w:val="0"/>
          <w:sz w:val="22"/>
          <w:szCs w:val="24"/>
          <w:rtl/>
        </w:rPr>
        <w:t>ירדור</w:t>
      </w:r>
      <w:r w:rsidRPr="00B2294C">
        <w:rPr>
          <w:rFonts w:hint="cs"/>
          <w:rtl/>
        </w:rPr>
        <w:t xml:space="preserve"> ובעניין </w:t>
      </w:r>
      <w:r w:rsidRPr="00FF203B">
        <w:rPr>
          <w:rFonts w:ascii="Century" w:hAnsi="Century" w:cs="Miriam" w:hint="cs"/>
          <w:b/>
          <w:spacing w:val="0"/>
          <w:sz w:val="22"/>
          <w:szCs w:val="24"/>
          <w:rtl/>
        </w:rPr>
        <w:t>ניימן</w:t>
      </w:r>
      <w:r w:rsidRPr="00B2294C">
        <w:rPr>
          <w:rFonts w:hint="cs"/>
          <w:rtl/>
        </w:rPr>
        <w:t xml:space="preserve">, נמצא כי </w:t>
      </w:r>
      <w:r>
        <w:rPr>
          <w:rFonts w:hint="cs"/>
          <w:rtl/>
        </w:rPr>
        <w:t>אֵלו</w:t>
      </w:r>
      <w:r w:rsidRPr="00B2294C">
        <w:rPr>
          <w:rFonts w:hint="cs"/>
          <w:rtl/>
        </w:rPr>
        <w:t xml:space="preserve"> סובבים סביב ריבונות הכנסת, ותחת הנחת היסוד שלפיה חקיקת</w:t>
      </w:r>
      <w:r>
        <w:rPr>
          <w:rFonts w:hint="cs"/>
          <w:rtl/>
        </w:rPr>
        <w:t>-</w:t>
      </w:r>
      <w:r w:rsidRPr="00B2294C">
        <w:rPr>
          <w:rFonts w:hint="cs"/>
          <w:rtl/>
        </w:rPr>
        <w:t xml:space="preserve">יסוד חסינה מפני התערבות חיצונית, כולל </w:t>
      </w:r>
      <w:r>
        <w:rPr>
          <w:rFonts w:hint="cs"/>
          <w:rtl/>
        </w:rPr>
        <w:t xml:space="preserve">התערבות </w:t>
      </w:r>
      <w:r w:rsidRPr="00B2294C">
        <w:rPr>
          <w:rFonts w:hint="cs"/>
          <w:rtl/>
        </w:rPr>
        <w:t>של בית משפט זה. פסקי הדין והחקיקה שבעקבותיהם, כולם חוסים תחת דוקטרינת 'הדמוקרטיה המתגוננת'</w:t>
      </w:r>
      <w:r>
        <w:rPr>
          <w:rFonts w:hint="cs"/>
          <w:rtl/>
        </w:rPr>
        <w:t>;</w:t>
      </w:r>
      <w:r w:rsidRPr="00B2294C">
        <w:rPr>
          <w:rFonts w:hint="cs"/>
          <w:rtl/>
        </w:rPr>
        <w:t xml:space="preserve"> החשש מפני ניצול של כלי</w:t>
      </w:r>
      <w:r>
        <w:rPr>
          <w:rFonts w:hint="cs"/>
          <w:rtl/>
        </w:rPr>
        <w:t>-</w:t>
      </w:r>
      <w:r w:rsidRPr="00B2294C">
        <w:rPr>
          <w:rFonts w:hint="cs"/>
          <w:rtl/>
        </w:rPr>
        <w:t>המשחק היהודי והדמוקרטי על-ידי גופים, או אישים, המבקשים לחתור תחת אושיות המשטר היהודי והדמוקרטי הש</w:t>
      </w:r>
      <w:r>
        <w:rPr>
          <w:rFonts w:hint="cs"/>
          <w:rtl/>
        </w:rPr>
        <w:t>ׂ</w:t>
      </w:r>
      <w:r w:rsidRPr="00B2294C">
        <w:rPr>
          <w:rFonts w:hint="cs"/>
          <w:rtl/>
        </w:rPr>
        <w:t xml:space="preserve">ורר במדינה. חשש זה, הוא </w:t>
      </w:r>
      <w:r>
        <w:rPr>
          <w:rFonts w:hint="cs"/>
          <w:rtl/>
        </w:rPr>
        <w:t xml:space="preserve">אשר </w:t>
      </w:r>
      <w:r w:rsidRPr="00B2294C">
        <w:rPr>
          <w:rFonts w:hint="cs"/>
          <w:rtl/>
        </w:rPr>
        <w:t>הוביל לנקיטת צעד רדיקלי, פסילה אקס-אנטה של רשימה המבקשת להתמודד בבחירות לכנסת. אי</w:t>
      </w:r>
      <w:r>
        <w:rPr>
          <w:rFonts w:hint="cs"/>
          <w:rtl/>
        </w:rPr>
        <w:t>ננו בני-חורין להמתין על מנת</w:t>
      </w:r>
      <w:r w:rsidRPr="00B2294C">
        <w:rPr>
          <w:rFonts w:hint="cs"/>
          <w:rtl/>
        </w:rPr>
        <w:t xml:space="preserve"> לבחון האם אותה רשימה עברה את אחוז החסימה, האם הש</w:t>
      </w:r>
      <w:r>
        <w:rPr>
          <w:rFonts w:hint="cs"/>
          <w:rtl/>
        </w:rPr>
        <w:t>ׂ</w:t>
      </w:r>
      <w:r w:rsidRPr="00B2294C">
        <w:rPr>
          <w:rFonts w:hint="cs"/>
          <w:rtl/>
        </w:rPr>
        <w:t xml:space="preserve">יגה כוח פוליטי דומיננטי, המאפשר לה להגשים את מטרותיה. </w:t>
      </w:r>
      <w:r w:rsidRPr="00FF203B">
        <w:rPr>
          <w:rFonts w:ascii="Century" w:hAnsi="Century" w:hint="cs"/>
          <w:sz w:val="22"/>
          <w:rtl/>
        </w:rPr>
        <w:t xml:space="preserve">נשאלת השאלה: מדוע עלינו לנקוט בצעד רדיקלי שכזה? </w:t>
      </w:r>
    </w:p>
    <w:p w:rsidR="00EB02E1" w:rsidRPr="00FF203B" w:rsidRDefault="00EB02E1" w:rsidP="00EB02E1">
      <w:pPr>
        <w:pStyle w:val="Ruller41"/>
      </w:pPr>
    </w:p>
    <w:p w:rsidR="00EB02E1" w:rsidRDefault="00EB02E1" w:rsidP="00EB02E1">
      <w:pPr>
        <w:pStyle w:val="Ruller4"/>
        <w:rPr>
          <w:rtl/>
        </w:rPr>
      </w:pPr>
      <w:r w:rsidRPr="00FF203B">
        <w:rPr>
          <w:rFonts w:ascii="Century" w:hAnsi="Century" w:hint="cs"/>
          <w:sz w:val="22"/>
          <w:rtl/>
        </w:rPr>
        <w:t>נדמיין תרחיש שבו י</w:t>
      </w:r>
      <w:r>
        <w:rPr>
          <w:rFonts w:ascii="Century" w:hAnsi="Century" w:hint="cs"/>
          <w:sz w:val="22"/>
          <w:rtl/>
        </w:rPr>
        <w:t>ארע</w:t>
      </w:r>
      <w:r w:rsidRPr="00FF203B">
        <w:rPr>
          <w:rFonts w:ascii="Century" w:hAnsi="Century" w:hint="cs"/>
          <w:sz w:val="22"/>
          <w:rtl/>
        </w:rPr>
        <w:t xml:space="preserve"> הגרוע מכ</w:t>
      </w:r>
      <w:r>
        <w:rPr>
          <w:rFonts w:ascii="Century" w:hAnsi="Century" w:hint="cs"/>
          <w:sz w:val="22"/>
          <w:rtl/>
        </w:rPr>
        <w:t>ּ</w:t>
      </w:r>
      <w:r w:rsidRPr="00FF203B">
        <w:rPr>
          <w:rFonts w:ascii="Century" w:hAnsi="Century" w:hint="cs"/>
          <w:sz w:val="22"/>
          <w:rtl/>
        </w:rPr>
        <w:t xml:space="preserve">ל: תיבחר רשימה המבקשת לשנות את אופייה היהודי </w:t>
      </w:r>
      <w:r>
        <w:rPr>
          <w:rFonts w:ascii="Century" w:hAnsi="Century" w:hint="cs"/>
          <w:sz w:val="22"/>
          <w:rtl/>
        </w:rPr>
        <w:t xml:space="preserve">או הדמוקרטי </w:t>
      </w:r>
      <w:r w:rsidRPr="00FF203B">
        <w:rPr>
          <w:rFonts w:ascii="Century" w:hAnsi="Century" w:hint="cs"/>
          <w:sz w:val="22"/>
          <w:rtl/>
        </w:rPr>
        <w:t xml:space="preserve">של המדינה, ואכן תגיש הצעת חוק-יסוד לביטול אופייה היהודי </w:t>
      </w:r>
      <w:r>
        <w:rPr>
          <w:rFonts w:ascii="Century" w:hAnsi="Century" w:hint="cs"/>
          <w:sz w:val="22"/>
          <w:rtl/>
        </w:rPr>
        <w:t xml:space="preserve">או הדמוקרטי </w:t>
      </w:r>
      <w:r w:rsidRPr="00FF203B">
        <w:rPr>
          <w:rFonts w:ascii="Century" w:hAnsi="Century" w:hint="cs"/>
          <w:sz w:val="22"/>
          <w:rtl/>
        </w:rPr>
        <w:t>של המדינה. אותה הצעת</w:t>
      </w:r>
      <w:r>
        <w:rPr>
          <w:rFonts w:ascii="Century" w:hAnsi="Century" w:hint="cs"/>
          <w:sz w:val="22"/>
          <w:rtl/>
        </w:rPr>
        <w:t>-</w:t>
      </w:r>
      <w:r w:rsidRPr="00FF203B">
        <w:rPr>
          <w:rFonts w:ascii="Century" w:hAnsi="Century" w:hint="cs"/>
          <w:sz w:val="22"/>
          <w:rtl/>
        </w:rPr>
        <w:t>חוק ת</w:t>
      </w:r>
      <w:r>
        <w:rPr>
          <w:rFonts w:ascii="Century" w:hAnsi="Century" w:hint="cs"/>
          <w:sz w:val="22"/>
          <w:rtl/>
        </w:rPr>
        <w:t>ִ</w:t>
      </w:r>
      <w:r w:rsidRPr="00FF203B">
        <w:rPr>
          <w:rFonts w:ascii="Century" w:hAnsi="Century" w:hint="cs"/>
          <w:sz w:val="22"/>
          <w:rtl/>
        </w:rPr>
        <w:t>צלח את שלבי החקיקה ברשות המכוננת, תעבור בקריאה שנייה ושלישית</w:t>
      </w:r>
      <w:r>
        <w:rPr>
          <w:rFonts w:ascii="Century" w:hAnsi="Century" w:hint="cs"/>
          <w:sz w:val="22"/>
          <w:rtl/>
        </w:rPr>
        <w:t>,</w:t>
      </w:r>
      <w:r w:rsidRPr="00FF203B">
        <w:rPr>
          <w:rFonts w:ascii="Century" w:hAnsi="Century" w:hint="cs"/>
          <w:sz w:val="22"/>
          <w:rtl/>
        </w:rPr>
        <w:t xml:space="preserve"> ומה יקרה אז? מאום לא יקרה. יתכנסו שופטי בית משפט זה, ולאחר </w:t>
      </w:r>
      <w:r>
        <w:rPr>
          <w:rFonts w:ascii="Century" w:hAnsi="Century" w:hint="cs"/>
          <w:sz w:val="22"/>
          <w:rtl/>
        </w:rPr>
        <w:t>עיון ודיון</w:t>
      </w:r>
      <w:r w:rsidRPr="00FF203B">
        <w:rPr>
          <w:rFonts w:ascii="Century" w:hAnsi="Century" w:hint="cs"/>
          <w:sz w:val="22"/>
          <w:rtl/>
        </w:rPr>
        <w:t>, מעין 'קריאה רביעית', יכריזו על בטלותו של חוק</w:t>
      </w:r>
      <w:r>
        <w:rPr>
          <w:rFonts w:ascii="Century" w:hAnsi="Century" w:hint="cs"/>
          <w:sz w:val="22"/>
          <w:rtl/>
        </w:rPr>
        <w:t>-</w:t>
      </w:r>
      <w:r w:rsidRPr="00FF203B">
        <w:rPr>
          <w:rFonts w:ascii="Century" w:hAnsi="Century" w:hint="cs"/>
          <w:sz w:val="22"/>
          <w:rtl/>
        </w:rPr>
        <w:t xml:space="preserve">היסוד. כל אחד </w:t>
      </w:r>
      <w:r>
        <w:rPr>
          <w:rFonts w:ascii="Century" w:hAnsi="Century" w:hint="cs"/>
          <w:sz w:val="22"/>
          <w:rtl/>
        </w:rPr>
        <w:t>מחברי המותב</w:t>
      </w:r>
      <w:r w:rsidRPr="00FF203B">
        <w:rPr>
          <w:rFonts w:ascii="Century" w:hAnsi="Century" w:hint="cs"/>
          <w:sz w:val="22"/>
          <w:rtl/>
        </w:rPr>
        <w:t xml:space="preserve"> </w:t>
      </w:r>
      <w:r>
        <w:rPr>
          <w:rFonts w:ascii="Century" w:hAnsi="Century" w:hint="cs"/>
          <w:sz w:val="22"/>
          <w:rtl/>
        </w:rPr>
        <w:t xml:space="preserve">יסתמך על תזה על-חוקתית, </w:t>
      </w:r>
      <w:r w:rsidRPr="00FF203B">
        <w:rPr>
          <w:rFonts w:ascii="Century" w:hAnsi="Century" w:hint="cs"/>
          <w:sz w:val="22"/>
          <w:rtl/>
        </w:rPr>
        <w:t>שאותה אימץ לעצמו בפסק די</w:t>
      </w:r>
      <w:r>
        <w:rPr>
          <w:rFonts w:ascii="Century" w:hAnsi="Century" w:hint="cs"/>
          <w:sz w:val="22"/>
          <w:rtl/>
        </w:rPr>
        <w:t>ננו</w:t>
      </w:r>
      <w:r w:rsidRPr="00FF203B">
        <w:rPr>
          <w:rFonts w:ascii="Century" w:hAnsi="Century" w:hint="cs"/>
          <w:sz w:val="22"/>
          <w:rtl/>
        </w:rPr>
        <w:t xml:space="preserve"> זה</w:t>
      </w:r>
      <w:r>
        <w:rPr>
          <w:rFonts w:ascii="Century" w:hAnsi="Century" w:hint="cs"/>
          <w:sz w:val="22"/>
          <w:rtl/>
        </w:rPr>
        <w:t>;</w:t>
      </w:r>
      <w:r w:rsidRPr="00FF203B">
        <w:rPr>
          <w:rFonts w:ascii="Century" w:hAnsi="Century" w:hint="cs"/>
          <w:sz w:val="22"/>
          <w:rtl/>
        </w:rPr>
        <w:t xml:space="preserve"> ובא לציון גואל. </w:t>
      </w:r>
    </w:p>
    <w:p w:rsidR="00EB02E1" w:rsidRPr="00FF203B" w:rsidRDefault="00EB02E1" w:rsidP="00EB02E1">
      <w:pPr>
        <w:pStyle w:val="Ruller41"/>
        <w:rPr>
          <w:rtl/>
        </w:rPr>
      </w:pPr>
    </w:p>
    <w:p w:rsidR="00EB02E1" w:rsidRPr="00B2294C" w:rsidRDefault="00EB02E1" w:rsidP="00EB02E1">
      <w:pPr>
        <w:pStyle w:val="Ruller4"/>
        <w:rPr>
          <w:rtl/>
        </w:rPr>
      </w:pPr>
      <w:r w:rsidRPr="00B2294C">
        <w:rPr>
          <w:rFonts w:hint="cs"/>
          <w:rtl/>
        </w:rPr>
        <w:lastRenderedPageBreak/>
        <w:t>על כ</w:t>
      </w:r>
      <w:r>
        <w:rPr>
          <w:rFonts w:hint="cs"/>
          <w:rtl/>
        </w:rPr>
        <w:t>ו</w:t>
      </w:r>
      <w:r w:rsidRPr="00B2294C">
        <w:rPr>
          <w:rFonts w:hint="cs"/>
          <w:rtl/>
        </w:rPr>
        <w:t>רחנו נמצאנו למ</w:t>
      </w:r>
      <w:r>
        <w:rPr>
          <w:rFonts w:hint="cs"/>
          <w:rtl/>
        </w:rPr>
        <w:t>ֵ</w:t>
      </w:r>
      <w:r w:rsidRPr="00B2294C">
        <w:rPr>
          <w:rFonts w:hint="cs"/>
          <w:rtl/>
        </w:rPr>
        <w:t xml:space="preserve">דים, כי החשש מפני חדירתם של כוחות בעלי אופי חתרני, וההבנה שלפיה יש לעצור </w:t>
      </w:r>
      <w:r>
        <w:rPr>
          <w:rFonts w:hint="cs"/>
          <w:rtl/>
        </w:rPr>
        <w:t>בעדם על</w:t>
      </w:r>
      <w:r w:rsidRPr="00B2294C">
        <w:rPr>
          <w:rFonts w:hint="cs"/>
          <w:rtl/>
        </w:rPr>
        <w:t xml:space="preserve"> מפתן הדלת, מתיישבים על הלב, רק אם דב</w:t>
      </w:r>
      <w:r>
        <w:rPr>
          <w:rFonts w:hint="cs"/>
          <w:rtl/>
        </w:rPr>
        <w:t>ֵ</w:t>
      </w:r>
      <w:r w:rsidRPr="00B2294C">
        <w:rPr>
          <w:rFonts w:hint="cs"/>
          <w:rtl/>
        </w:rPr>
        <w:t xml:space="preserve">קים אנו במקביל בעיקרון ריבונות העם באמצעות נציגיו, וההכרה בכך שלמכונן </w:t>
      </w:r>
      <w:r>
        <w:rPr>
          <w:rFonts w:hint="cs"/>
          <w:rtl/>
        </w:rPr>
        <w:t xml:space="preserve">מסוּר </w:t>
      </w:r>
      <w:r w:rsidRPr="00B2294C">
        <w:rPr>
          <w:rFonts w:hint="cs"/>
          <w:rtl/>
        </w:rPr>
        <w:t>כוח בלתי מוגבל, שעשוי לזעזע את יסודות המשטר החוקתי ש</w:t>
      </w:r>
      <w:r>
        <w:rPr>
          <w:rFonts w:hint="cs"/>
          <w:rtl/>
        </w:rPr>
        <w:t>בצ</w:t>
      </w:r>
      <w:r w:rsidRPr="00B2294C">
        <w:rPr>
          <w:rFonts w:hint="cs"/>
          <w:rtl/>
        </w:rPr>
        <w:t xml:space="preserve">לו אנו חוסים. אם </w:t>
      </w:r>
      <w:r>
        <w:rPr>
          <w:rFonts w:hint="cs"/>
          <w:rtl/>
        </w:rPr>
        <w:t xml:space="preserve">אנו </w:t>
      </w:r>
      <w:r w:rsidRPr="00B2294C">
        <w:rPr>
          <w:rFonts w:hint="cs"/>
          <w:rtl/>
        </w:rPr>
        <w:t xml:space="preserve">מסכימים, כי חוק-יסוד שיצא תחת ידיה של הרשות המכוננת, יהא תוכנו רדיקלי ככל שיהא </w:t>
      </w:r>
      <w:r w:rsidRPr="00B2294C">
        <w:rPr>
          <w:rtl/>
        </w:rPr>
        <w:t>–</w:t>
      </w:r>
      <w:r w:rsidRPr="00B2294C">
        <w:rPr>
          <w:rFonts w:hint="cs"/>
          <w:rtl/>
        </w:rPr>
        <w:t xml:space="preserve"> חוק</w:t>
      </w:r>
      <w:r>
        <w:rPr>
          <w:rFonts w:hint="cs"/>
          <w:rtl/>
        </w:rPr>
        <w:t>-</w:t>
      </w:r>
      <w:r w:rsidRPr="00B2294C">
        <w:rPr>
          <w:rFonts w:hint="cs"/>
          <w:rtl/>
        </w:rPr>
        <w:t xml:space="preserve">יסוד הוא, ברי כי במקביל ישנה הצדקה לבצר את שער הכניסה לבית המחוקקים, פן תצא תקלה תחת ידינו. אך אם איננו מכבדים את ריבונות המכונן, וסבורים אנו, כי זכות 'המילה האחרונה' שמורה לבית המשפט, </w:t>
      </w:r>
      <w:r>
        <w:rPr>
          <w:rFonts w:hint="cs"/>
          <w:rtl/>
        </w:rPr>
        <w:t xml:space="preserve">אף אם </w:t>
      </w:r>
      <w:r w:rsidRPr="00B2294C">
        <w:rPr>
          <w:rFonts w:hint="cs"/>
          <w:rtl/>
        </w:rPr>
        <w:t>יהא זה במקרים נדירים שבנדירים, אזי אין כל הצדקה ל</w:t>
      </w:r>
      <w:r>
        <w:rPr>
          <w:rFonts w:hint="cs"/>
          <w:rtl/>
        </w:rPr>
        <w:t xml:space="preserve">פגיעה הקשה בעיקרון הדמוקרטי, בפסילתן </w:t>
      </w:r>
      <w:r w:rsidRPr="00B2294C">
        <w:rPr>
          <w:rFonts w:hint="cs"/>
          <w:rtl/>
        </w:rPr>
        <w:t xml:space="preserve">מלכתחילה </w:t>
      </w:r>
      <w:r>
        <w:rPr>
          <w:rFonts w:hint="cs"/>
          <w:rtl/>
        </w:rPr>
        <w:t xml:space="preserve">של </w:t>
      </w:r>
      <w:r w:rsidRPr="00B2294C">
        <w:rPr>
          <w:rFonts w:hint="cs"/>
          <w:rtl/>
        </w:rPr>
        <w:t>רשימות מהתמודדות</w:t>
      </w:r>
      <w:r>
        <w:rPr>
          <w:rFonts w:hint="cs"/>
          <w:rtl/>
        </w:rPr>
        <w:t xml:space="preserve"> בבחירות</w:t>
      </w:r>
      <w:r w:rsidRPr="00B2294C">
        <w:rPr>
          <w:rFonts w:hint="cs"/>
          <w:rtl/>
        </w:rPr>
        <w:t xml:space="preserve">. </w:t>
      </w:r>
    </w:p>
    <w:p w:rsidR="00EB02E1" w:rsidRPr="00B2294C" w:rsidRDefault="00EB02E1" w:rsidP="00EB02E1">
      <w:pPr>
        <w:jc w:val="both"/>
        <w:rPr>
          <w:sz w:val="22"/>
          <w:rtl/>
        </w:rPr>
      </w:pPr>
    </w:p>
    <w:p w:rsidR="00EB02E1" w:rsidRDefault="00EB02E1" w:rsidP="00EB02E1">
      <w:pPr>
        <w:pStyle w:val="Ruller4"/>
        <w:rPr>
          <w:rtl/>
        </w:rPr>
      </w:pPr>
      <w:r w:rsidRPr="00B2294C">
        <w:rPr>
          <w:rFonts w:hint="cs"/>
          <w:rtl/>
        </w:rPr>
        <w:t>לא זו אף זו</w:t>
      </w:r>
      <w:r>
        <w:rPr>
          <w:rFonts w:hint="cs"/>
          <w:rtl/>
        </w:rPr>
        <w:t>.</w:t>
      </w:r>
      <w:r w:rsidRPr="00B2294C">
        <w:rPr>
          <w:rFonts w:hint="cs"/>
          <w:rtl/>
        </w:rPr>
        <w:t xml:space="preserve"> אם נעמיק חקר ב</w:t>
      </w:r>
      <w:r>
        <w:rPr>
          <w:rFonts w:hint="cs"/>
          <w:rtl/>
        </w:rPr>
        <w:t>ּ</w:t>
      </w:r>
      <w:r w:rsidRPr="00B2294C">
        <w:rPr>
          <w:rFonts w:hint="cs"/>
          <w:rtl/>
        </w:rPr>
        <w:t>אמו</w:t>
      </w:r>
      <w:r>
        <w:rPr>
          <w:rFonts w:hint="cs"/>
          <w:rtl/>
        </w:rPr>
        <w:t>ּ</w:t>
      </w:r>
      <w:r w:rsidRPr="00B2294C">
        <w:rPr>
          <w:rFonts w:hint="cs"/>
          <w:rtl/>
        </w:rPr>
        <w:t>ר בסעיף 7א</w:t>
      </w:r>
      <w:r>
        <w:rPr>
          <w:rFonts w:hint="cs"/>
          <w:rtl/>
        </w:rPr>
        <w:t xml:space="preserve"> לחוק-יסוד: הכנסת</w:t>
      </w:r>
      <w:r w:rsidRPr="00B2294C">
        <w:rPr>
          <w:rFonts w:hint="cs"/>
          <w:rtl/>
        </w:rPr>
        <w:t xml:space="preserve">, וברציונל </w:t>
      </w:r>
      <w:r>
        <w:rPr>
          <w:rFonts w:hint="cs"/>
          <w:rtl/>
        </w:rPr>
        <w:t>שבבסיסו</w:t>
      </w:r>
      <w:r w:rsidRPr="00B2294C">
        <w:rPr>
          <w:rFonts w:hint="cs"/>
          <w:rtl/>
        </w:rPr>
        <w:t xml:space="preserve">, עולה תמיהה נוספת: אם אכן זכות 'המילה האחרונה' שמורה לבית המשפט, מדוע לא נחקק </w:t>
      </w:r>
      <w:r w:rsidRPr="00CA468D">
        <w:rPr>
          <w:rFonts w:ascii="Century" w:hAnsi="Century" w:cs="Miriam" w:hint="cs"/>
          <w:b/>
          <w:spacing w:val="0"/>
          <w:sz w:val="22"/>
          <w:szCs w:val="24"/>
          <w:rtl/>
        </w:rPr>
        <w:t>'סעיף 7א</w:t>
      </w:r>
      <w:r w:rsidRPr="00B2294C">
        <w:rPr>
          <w:rFonts w:hint="cs"/>
          <w:rtl/>
        </w:rPr>
        <w:t xml:space="preserve"> </w:t>
      </w:r>
      <w:r w:rsidRPr="00CA468D">
        <w:rPr>
          <w:rFonts w:ascii="Century" w:hAnsi="Century" w:cs="Miriam" w:hint="cs"/>
          <w:b/>
          <w:spacing w:val="0"/>
          <w:sz w:val="22"/>
          <w:szCs w:val="24"/>
          <w:rtl/>
        </w:rPr>
        <w:t>לחוק-יסוד: השפיטה</w:t>
      </w:r>
      <w:r>
        <w:rPr>
          <w:rFonts w:ascii="Century" w:hAnsi="Century" w:cs="Miriam" w:hint="cs"/>
          <w:b/>
          <w:spacing w:val="0"/>
          <w:sz w:val="22"/>
          <w:szCs w:val="24"/>
          <w:rtl/>
        </w:rPr>
        <w:t>'</w:t>
      </w:r>
      <w:r>
        <w:rPr>
          <w:rFonts w:hint="cs"/>
          <w:rtl/>
        </w:rPr>
        <w:t xml:space="preserve"> </w:t>
      </w:r>
      <w:r>
        <w:rPr>
          <w:rtl/>
        </w:rPr>
        <w:t>–</w:t>
      </w:r>
      <w:r>
        <w:rPr>
          <w:rFonts w:hint="cs"/>
          <w:rtl/>
        </w:rPr>
        <w:t xml:space="preserve"> סעיף מדומיין, בן-דמותו של </w:t>
      </w:r>
      <w:r w:rsidRPr="00B2294C">
        <w:rPr>
          <w:rFonts w:hint="cs"/>
          <w:rtl/>
        </w:rPr>
        <w:t>סעיף 7א לחוק-יסוד: הכנסת</w:t>
      </w:r>
      <w:r>
        <w:rPr>
          <w:rFonts w:hint="cs"/>
          <w:rtl/>
        </w:rPr>
        <w:t xml:space="preserve"> </w:t>
      </w:r>
      <w:r>
        <w:rPr>
          <w:rtl/>
        </w:rPr>
        <w:t>–</w:t>
      </w:r>
      <w:r>
        <w:rPr>
          <w:rFonts w:hint="cs"/>
          <w:rtl/>
        </w:rPr>
        <w:t xml:space="preserve"> על מנת</w:t>
      </w:r>
      <w:r w:rsidRPr="00B2294C">
        <w:rPr>
          <w:rFonts w:hint="cs"/>
          <w:rtl/>
        </w:rPr>
        <w:t xml:space="preserve"> שיאפשר למנוע </w:t>
      </w:r>
      <w:r>
        <w:rPr>
          <w:rFonts w:hint="cs"/>
          <w:rtl/>
        </w:rPr>
        <w:t>העלאת</w:t>
      </w:r>
      <w:r w:rsidRPr="00B2294C">
        <w:rPr>
          <w:rFonts w:hint="cs"/>
          <w:rtl/>
        </w:rPr>
        <w:t xml:space="preserve"> מועמד</w:t>
      </w:r>
      <w:r>
        <w:rPr>
          <w:rFonts w:hint="cs"/>
          <w:rtl/>
        </w:rPr>
        <w:t>ות</w:t>
      </w:r>
      <w:r w:rsidRPr="00B2294C">
        <w:rPr>
          <w:rFonts w:hint="cs"/>
          <w:rtl/>
        </w:rPr>
        <w:t xml:space="preserve"> לכה</w:t>
      </w:r>
      <w:r>
        <w:rPr>
          <w:rFonts w:hint="cs"/>
          <w:rtl/>
        </w:rPr>
        <w:t xml:space="preserve">ונה </w:t>
      </w:r>
      <w:r w:rsidRPr="00B2294C">
        <w:rPr>
          <w:rFonts w:hint="cs"/>
          <w:rtl/>
        </w:rPr>
        <w:t xml:space="preserve">בבית המשפט העליון, אם </w:t>
      </w:r>
      <w:r>
        <w:rPr>
          <w:rFonts w:hint="cs"/>
          <w:rtl/>
        </w:rPr>
        <w:t>ה</w:t>
      </w:r>
      <w:r w:rsidRPr="00B2294C">
        <w:rPr>
          <w:rFonts w:hint="cs"/>
          <w:rtl/>
        </w:rPr>
        <w:t xml:space="preserve">מועמד שולל את קיומה של מדינת ישראל כמדינה יהודית ודמוקרטית, </w:t>
      </w:r>
      <w:r>
        <w:rPr>
          <w:rFonts w:hint="cs"/>
          <w:rtl/>
        </w:rPr>
        <w:t>מסית</w:t>
      </w:r>
      <w:r w:rsidRPr="00B2294C">
        <w:rPr>
          <w:rFonts w:hint="cs"/>
          <w:rtl/>
        </w:rPr>
        <w:t xml:space="preserve"> לגזענות, או </w:t>
      </w:r>
      <w:r>
        <w:rPr>
          <w:rFonts w:hint="cs"/>
          <w:rtl/>
        </w:rPr>
        <w:t>תומך</w:t>
      </w:r>
      <w:r w:rsidRPr="00B2294C">
        <w:rPr>
          <w:rFonts w:hint="cs"/>
          <w:rtl/>
        </w:rPr>
        <w:t xml:space="preserve"> במאבק מזוין של מדינת אויב או של ארגון טרור נגד מדינת ישראל. אילו בחירתם של השופטים היתה נתונה בידי נציגי העם, ניתן היה ליישב את השאלה האמורה, בטענה שלפיה די בסעיף 7א לחוק-יסוד: הכנסת, כדי לחסום את כניסתם של גורמים חתרניים לכנסת, ובכך בעקיפין יוכלו נציגי העם הנבחרים, שעברו את שבט ביקורתו של סעיף 7א</w:t>
      </w:r>
      <w:r>
        <w:rPr>
          <w:rFonts w:hint="cs"/>
          <w:rtl/>
        </w:rPr>
        <w:t xml:space="preserve"> לחוק-יסוד: הכנסת</w:t>
      </w:r>
      <w:r w:rsidRPr="00B2294C">
        <w:rPr>
          <w:rFonts w:hint="cs"/>
          <w:rtl/>
        </w:rPr>
        <w:t>, למנוע כניסה של אותם גורמים חתרניים לבית המשפט. אך ביודענו, כי הבחירה של שופטי בית משפט זה, אינה נתונה בידי נבחרי הציבור, אם נותיר, במקביל, את זכות 'המילה האחרונה' בידי שופטי בית המשפט, הרי שבכך מגדילים אנו את הסכנה לדמוקרטיה עש</w:t>
      </w:r>
      <w:r>
        <w:rPr>
          <w:rFonts w:hint="cs"/>
          <w:rtl/>
        </w:rPr>
        <w:t>ׂ</w:t>
      </w:r>
      <w:r w:rsidRPr="00B2294C">
        <w:rPr>
          <w:rFonts w:hint="cs"/>
          <w:rtl/>
        </w:rPr>
        <w:t xml:space="preserve">רת מונים. </w:t>
      </w:r>
    </w:p>
    <w:p w:rsidR="00EB02E1" w:rsidRPr="00FF203B" w:rsidRDefault="00EB02E1" w:rsidP="00EB02E1">
      <w:pPr>
        <w:pStyle w:val="Ruller41"/>
        <w:rPr>
          <w:rtl/>
        </w:rPr>
      </w:pPr>
    </w:p>
    <w:p w:rsidR="00EB02E1" w:rsidRDefault="00EB02E1" w:rsidP="00EB02E1">
      <w:pPr>
        <w:pStyle w:val="Ruller4"/>
      </w:pPr>
      <w:r>
        <w:rPr>
          <w:rFonts w:hint="cs"/>
          <w:rtl/>
        </w:rPr>
        <w:t xml:space="preserve">תשובתי לשאלה היא זו: </w:t>
      </w:r>
      <w:r w:rsidRPr="00B2294C">
        <w:rPr>
          <w:rFonts w:hint="cs"/>
          <w:rtl/>
        </w:rPr>
        <w:t xml:space="preserve">העדרו של 'סעיף 7א' בחוק-יסוד: השפיטה, המונע בחירה של שופטים </w:t>
      </w:r>
      <w:r>
        <w:rPr>
          <w:rFonts w:hint="cs"/>
          <w:rtl/>
        </w:rPr>
        <w:t xml:space="preserve">אשר </w:t>
      </w:r>
      <w:r w:rsidRPr="00B2294C">
        <w:rPr>
          <w:rFonts w:hint="cs"/>
          <w:rtl/>
        </w:rPr>
        <w:t>עשויים להוות סכנה קיומית למשטרנו החוקתי, אל מול קיומו של הסדר שכזה לגבי חברי הרשות המכוננת, וית</w:t>
      </w:r>
      <w:r>
        <w:rPr>
          <w:rFonts w:hint="cs"/>
          <w:rtl/>
        </w:rPr>
        <w:t xml:space="preserve">ר על כן </w:t>
      </w:r>
      <w:r>
        <w:rPr>
          <w:rtl/>
        </w:rPr>
        <w:t>–</w:t>
      </w:r>
      <w:r>
        <w:rPr>
          <w:rFonts w:hint="cs"/>
          <w:rtl/>
        </w:rPr>
        <w:t xml:space="preserve"> </w:t>
      </w:r>
      <w:r w:rsidRPr="00B2294C">
        <w:rPr>
          <w:rFonts w:hint="cs"/>
          <w:rtl/>
        </w:rPr>
        <w:t xml:space="preserve">הכרה בקיומו של הסדר כזה גם מבלעדי חקיקה, בעניין </w:t>
      </w:r>
      <w:r w:rsidRPr="00FF203B">
        <w:rPr>
          <w:rFonts w:ascii="Century" w:hAnsi="Century" w:cs="Miriam" w:hint="cs"/>
          <w:b/>
          <w:spacing w:val="0"/>
          <w:sz w:val="22"/>
          <w:szCs w:val="24"/>
          <w:rtl/>
        </w:rPr>
        <w:t>ירדור</w:t>
      </w:r>
      <w:r w:rsidRPr="00B2294C">
        <w:rPr>
          <w:rFonts w:hint="cs"/>
          <w:rtl/>
        </w:rPr>
        <w:t xml:space="preserve"> ובעניין </w:t>
      </w:r>
      <w:r w:rsidRPr="00FF203B">
        <w:rPr>
          <w:rFonts w:ascii="Century" w:hAnsi="Century" w:cs="Miriam" w:hint="cs"/>
          <w:b/>
          <w:spacing w:val="0"/>
          <w:sz w:val="22"/>
          <w:szCs w:val="24"/>
          <w:rtl/>
        </w:rPr>
        <w:t>ניימן</w:t>
      </w:r>
      <w:r w:rsidRPr="00B2294C">
        <w:rPr>
          <w:rFonts w:hint="cs"/>
          <w:rtl/>
        </w:rPr>
        <w:t xml:space="preserve">, מעידים כמאה עדים, למי נתונה זכות 'המילה האחרונה' במשטרנו החוקתי. כך נראית מערכת 'איזונים ובלמים' בפעולה: מחד גיסא, לבית המשפט נתונה זכות 'המילה האחרונה' לגבי </w:t>
      </w:r>
      <w:r w:rsidRPr="00F46BB7">
        <w:rPr>
          <w:rFonts w:ascii="Century" w:hAnsi="Century" w:cs="Miriam" w:hint="cs"/>
          <w:b/>
          <w:spacing w:val="0"/>
          <w:sz w:val="22"/>
          <w:szCs w:val="24"/>
          <w:rtl/>
        </w:rPr>
        <w:t>שער הכניסה לרשות המכוננת</w:t>
      </w:r>
      <w:r>
        <w:rPr>
          <w:rFonts w:hint="cs"/>
          <w:rtl/>
        </w:rPr>
        <w:t>;</w:t>
      </w:r>
      <w:r w:rsidRPr="00B2294C">
        <w:rPr>
          <w:rFonts w:hint="cs"/>
          <w:rtl/>
        </w:rPr>
        <w:t xml:space="preserve"> </w:t>
      </w:r>
      <w:r>
        <w:rPr>
          <w:rFonts w:hint="cs"/>
          <w:rtl/>
        </w:rPr>
        <w:t>ומאידך גיסא,</w:t>
      </w:r>
      <w:r w:rsidRPr="00B2294C">
        <w:rPr>
          <w:rFonts w:hint="cs"/>
          <w:rtl/>
        </w:rPr>
        <w:t xml:space="preserve"> זכות 'המילה האחרונה' לגבי </w:t>
      </w:r>
      <w:r w:rsidRPr="00F46BB7">
        <w:rPr>
          <w:rFonts w:ascii="Century" w:hAnsi="Century" w:cs="Miriam" w:hint="cs"/>
          <w:b/>
          <w:spacing w:val="0"/>
          <w:sz w:val="22"/>
          <w:szCs w:val="24"/>
          <w:rtl/>
        </w:rPr>
        <w:t>תוכנם של חוקי-היסוד</w:t>
      </w:r>
      <w:r w:rsidRPr="00B2294C">
        <w:rPr>
          <w:rFonts w:hint="cs"/>
          <w:rtl/>
        </w:rPr>
        <w:t xml:space="preserve">, </w:t>
      </w:r>
      <w:r>
        <w:rPr>
          <w:rFonts w:hint="cs"/>
          <w:rtl/>
        </w:rPr>
        <w:t xml:space="preserve">נותרת </w:t>
      </w:r>
      <w:r w:rsidRPr="00B2294C">
        <w:rPr>
          <w:rFonts w:hint="cs"/>
          <w:rtl/>
        </w:rPr>
        <w:t xml:space="preserve">לעולם </w:t>
      </w:r>
      <w:r>
        <w:rPr>
          <w:rFonts w:hint="cs"/>
          <w:rtl/>
        </w:rPr>
        <w:t xml:space="preserve">אצל </w:t>
      </w:r>
      <w:r w:rsidRPr="00B2294C">
        <w:rPr>
          <w:rFonts w:hint="cs"/>
          <w:rtl/>
        </w:rPr>
        <w:t>הרשות המכוננת, ש</w:t>
      </w:r>
      <w:r>
        <w:rPr>
          <w:rFonts w:hint="cs"/>
          <w:rtl/>
        </w:rPr>
        <w:t xml:space="preserve">חבריה </w:t>
      </w:r>
      <w:r w:rsidRPr="00B2294C">
        <w:rPr>
          <w:rFonts w:hint="cs"/>
          <w:rtl/>
        </w:rPr>
        <w:t>יונקים את כוחם מבחירתו של העם.</w:t>
      </w:r>
      <w:r>
        <w:rPr>
          <w:rFonts w:hint="cs"/>
          <w:rtl/>
        </w:rPr>
        <w:t xml:space="preserve"> </w:t>
      </w:r>
      <w:r w:rsidRPr="00B2294C">
        <w:rPr>
          <w:rFonts w:hint="cs"/>
          <w:rtl/>
        </w:rPr>
        <w:t xml:space="preserve">אם נאמץ </w:t>
      </w:r>
      <w:r>
        <w:rPr>
          <w:rFonts w:hint="cs"/>
          <w:rtl/>
        </w:rPr>
        <w:t xml:space="preserve">אותן תזות </w:t>
      </w:r>
      <w:r w:rsidRPr="00B2294C">
        <w:rPr>
          <w:rFonts w:hint="cs"/>
          <w:rtl/>
        </w:rPr>
        <w:t>על-חוקתי</w:t>
      </w:r>
      <w:r>
        <w:rPr>
          <w:rFonts w:hint="cs"/>
          <w:rtl/>
        </w:rPr>
        <w:t>ו</w:t>
      </w:r>
      <w:r w:rsidRPr="00B2294C">
        <w:rPr>
          <w:rFonts w:hint="cs"/>
          <w:rtl/>
        </w:rPr>
        <w:t>ת, המוצע</w:t>
      </w:r>
      <w:r>
        <w:rPr>
          <w:rFonts w:hint="cs"/>
          <w:rtl/>
        </w:rPr>
        <w:t>ו</w:t>
      </w:r>
      <w:r w:rsidRPr="00B2294C">
        <w:rPr>
          <w:rFonts w:hint="cs"/>
          <w:rtl/>
        </w:rPr>
        <w:t xml:space="preserve">ת על-ידי </w:t>
      </w:r>
      <w:r>
        <w:rPr>
          <w:rFonts w:hint="cs"/>
          <w:rtl/>
        </w:rPr>
        <w:t>חלק מ</w:t>
      </w:r>
      <w:r w:rsidRPr="00B2294C">
        <w:rPr>
          <w:rFonts w:hint="cs"/>
          <w:rtl/>
        </w:rPr>
        <w:t>חבר</w:t>
      </w:r>
      <w:r>
        <w:rPr>
          <w:rFonts w:hint="cs"/>
          <w:rtl/>
        </w:rPr>
        <w:t>ַ</w:t>
      </w:r>
      <w:r w:rsidRPr="00B2294C">
        <w:rPr>
          <w:rFonts w:hint="cs"/>
          <w:rtl/>
        </w:rPr>
        <w:t xml:space="preserve">י, נמצאנו מפעילים על הרשות המכוננת 'בלמים </w:t>
      </w:r>
      <w:r w:rsidRPr="00B2294C">
        <w:rPr>
          <w:rFonts w:hint="cs"/>
          <w:rtl/>
        </w:rPr>
        <w:lastRenderedPageBreak/>
        <w:t>ובלמים', ובמקביל פורקים מ</w:t>
      </w:r>
      <w:r>
        <w:rPr>
          <w:rFonts w:hint="cs"/>
          <w:rtl/>
        </w:rPr>
        <w:t>עצמנו</w:t>
      </w:r>
      <w:r w:rsidRPr="00B2294C">
        <w:rPr>
          <w:rFonts w:hint="cs"/>
          <w:rtl/>
        </w:rPr>
        <w:t xml:space="preserve"> רסן חוקתי</w:t>
      </w:r>
      <w:r>
        <w:rPr>
          <w:rFonts w:hint="cs"/>
          <w:rtl/>
        </w:rPr>
        <w:t>;</w:t>
      </w:r>
      <w:r w:rsidRPr="00B2294C">
        <w:rPr>
          <w:rFonts w:hint="cs"/>
          <w:rtl/>
        </w:rPr>
        <w:t xml:space="preserve"> איש לא יאמר לנו 'מה תעשה ומה תפעל', גם לא העם באמצעות נציגיו</w:t>
      </w:r>
      <w:r>
        <w:rPr>
          <w:rFonts w:hint="cs"/>
          <w:rtl/>
        </w:rPr>
        <w:t xml:space="preserve">. אין צריך לומר, כי בלי בלם וללא רסן </w:t>
      </w:r>
      <w:r>
        <w:rPr>
          <w:rtl/>
        </w:rPr>
        <w:t>–</w:t>
      </w:r>
      <w:r>
        <w:rPr>
          <w:rFonts w:hint="cs"/>
          <w:rtl/>
        </w:rPr>
        <w:t xml:space="preserve"> לא לעולם חוסן.</w:t>
      </w:r>
    </w:p>
    <w:p w:rsidR="00EB02E1" w:rsidRPr="001C60BC" w:rsidRDefault="00EB02E1" w:rsidP="001C60BC">
      <w:pPr>
        <w:pStyle w:val="Ruller41"/>
        <w:rPr>
          <w:rtl/>
        </w:rPr>
      </w:pPr>
    </w:p>
    <w:p w:rsidR="00EB02E1" w:rsidRPr="00C32F39" w:rsidRDefault="00EB02E1" w:rsidP="00EB02E1">
      <w:pPr>
        <w:pStyle w:val="2"/>
        <w:rPr>
          <w:rtl/>
        </w:rPr>
      </w:pPr>
      <w:bookmarkStart w:id="54" w:name="_Toc154942591"/>
      <w:bookmarkStart w:id="55" w:name="_Toc154944413"/>
      <w:bookmarkStart w:id="56" w:name="_Toc154947523"/>
      <w:r w:rsidRPr="00C32F39">
        <w:rPr>
          <w:rFonts w:ascii="Century" w:hAnsi="Century" w:cs="Miriam" w:hint="eastAsia"/>
          <w:b/>
          <w:color w:val="auto"/>
          <w:sz w:val="22"/>
          <w:szCs w:val="24"/>
          <w:rtl/>
        </w:rPr>
        <w:t>סעיף</w:t>
      </w:r>
      <w:r w:rsidRPr="00C32F39">
        <w:rPr>
          <w:rFonts w:ascii="Century" w:hAnsi="Century" w:cs="Miriam"/>
          <w:b/>
          <w:color w:val="auto"/>
          <w:sz w:val="22"/>
          <w:szCs w:val="24"/>
          <w:rtl/>
        </w:rPr>
        <w:t xml:space="preserve"> 15(ג) </w:t>
      </w:r>
      <w:r w:rsidRPr="00C32F39">
        <w:rPr>
          <w:rFonts w:ascii="Century" w:hAnsi="Century" w:cs="Miriam" w:hint="eastAsia"/>
          <w:b/>
          <w:color w:val="auto"/>
          <w:sz w:val="22"/>
          <w:szCs w:val="24"/>
          <w:rtl/>
        </w:rPr>
        <w:t>לחוק</w:t>
      </w:r>
      <w:r w:rsidRPr="00C32F39">
        <w:rPr>
          <w:rFonts w:ascii="Century" w:hAnsi="Century" w:cs="Miriam"/>
          <w:b/>
          <w:color w:val="auto"/>
          <w:sz w:val="22"/>
          <w:szCs w:val="24"/>
          <w:rtl/>
        </w:rPr>
        <w:t xml:space="preserve">-יסוד: </w:t>
      </w:r>
      <w:r w:rsidRPr="00C32F39">
        <w:rPr>
          <w:rFonts w:ascii="Century" w:hAnsi="Century" w:cs="Miriam" w:hint="eastAsia"/>
          <w:b/>
          <w:color w:val="auto"/>
          <w:sz w:val="22"/>
          <w:szCs w:val="24"/>
          <w:rtl/>
        </w:rPr>
        <w:t>השפיטה</w:t>
      </w:r>
      <w:bookmarkEnd w:id="54"/>
      <w:bookmarkEnd w:id="55"/>
      <w:bookmarkEnd w:id="56"/>
    </w:p>
    <w:p w:rsidR="00EB02E1" w:rsidRDefault="00EB02E1" w:rsidP="00EB02E1">
      <w:pPr>
        <w:pStyle w:val="Ruller4"/>
        <w:rPr>
          <w:rtl/>
        </w:rPr>
      </w:pPr>
      <w:r>
        <w:rPr>
          <w:rFonts w:hint="cs"/>
          <w:rtl/>
        </w:rPr>
        <w:t xml:space="preserve">חלק מחברַי, מצביעים על מקור סמכות מסוג אחר. לשיטתם, סעיף 15(ג) לחוק-יסוד: השפיטה, שבו נקבע כי </w:t>
      </w:r>
      <w:r w:rsidRPr="00FF203B">
        <w:rPr>
          <w:rFonts w:ascii="Century" w:hAnsi="Century" w:cs="Miriam" w:hint="cs"/>
          <w:b/>
          <w:spacing w:val="0"/>
          <w:sz w:val="22"/>
          <w:szCs w:val="24"/>
          <w:rtl/>
        </w:rPr>
        <w:t>"</w:t>
      </w:r>
      <w:r w:rsidRPr="00FF203B">
        <w:rPr>
          <w:rFonts w:ascii="Century" w:hAnsi="Century" w:cs="Miriam" w:hint="eastAsia"/>
          <w:b/>
          <w:spacing w:val="0"/>
          <w:sz w:val="22"/>
          <w:szCs w:val="24"/>
          <w:rtl/>
        </w:rPr>
        <w:t>בית</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המשפט</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העליון</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ישב</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גם</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כבית</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משפט</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גבוה</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לצדק</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בשבתו</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כאמור</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ידון</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בענינים</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אשר</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הוא</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רואה</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צורך</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לתת</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בהם</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סעד</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למען</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הצדק</w:t>
      </w:r>
      <w:r w:rsidRPr="00FF203B">
        <w:rPr>
          <w:rFonts w:ascii="Century" w:hAnsi="Century" w:cs="Miriam" w:hint="cs"/>
          <w:b/>
          <w:spacing w:val="0"/>
          <w:sz w:val="22"/>
          <w:szCs w:val="24"/>
          <w:rtl/>
        </w:rPr>
        <w:t>"</w:t>
      </w:r>
      <w:r>
        <w:rPr>
          <w:rFonts w:hint="cs"/>
          <w:rtl/>
        </w:rPr>
        <w:t xml:space="preserve">, הוא מקור סמכותו של בית המשפט לפסול חוקי-יסוד (ראו: פסקה 4 לחוות דעתה של חברתי, השופטת </w:t>
      </w:r>
      <w:r w:rsidRPr="006626DA">
        <w:rPr>
          <w:rFonts w:ascii="Century" w:hAnsi="Century" w:cs="Miriam" w:hint="cs"/>
          <w:b/>
          <w:spacing w:val="0"/>
          <w:sz w:val="22"/>
          <w:szCs w:val="24"/>
          <w:rtl/>
        </w:rPr>
        <w:t>י' וילנר</w:t>
      </w:r>
      <w:r>
        <w:rPr>
          <w:rFonts w:hint="cs"/>
          <w:rtl/>
        </w:rPr>
        <w:t xml:space="preserve">). תחילה, עלינו לתת את הדעת על כך שפרשנות מעין זו של סעיף 15(ג) לחוק-יסוד: השפיטה, מנוגדת לפרשנות שניתנה לסעיף זה במשך כל הדורות. כוונתי איננה רק לשופטי הדורות הראשונים של בית משפט זה, שהכירו גם הכירו את הסעיף המדובר, שהיה מעוגן עוד קודם לכן בסעיף 7(א) לחוק בתי המשפט, התשי"ז-1957. למרות זאת, איש מהם לא העלה על קצה דעתו, אפשרות של ביטול חוק 'רגיל' של הכנסת, מכוח הסעיף האמור; קל וחומר ביטולו של חוק-יסוד. </w:t>
      </w:r>
    </w:p>
    <w:p w:rsidR="00EB02E1" w:rsidRDefault="00EB02E1" w:rsidP="00EB02E1">
      <w:pPr>
        <w:pStyle w:val="Ruller41"/>
        <w:rPr>
          <w:rtl/>
        </w:rPr>
      </w:pPr>
    </w:p>
    <w:p w:rsidR="00EB02E1" w:rsidRPr="00FF203B" w:rsidRDefault="00EB02E1" w:rsidP="00EB02E1">
      <w:pPr>
        <w:pStyle w:val="Ruller4"/>
        <w:rPr>
          <w:rtl/>
        </w:rPr>
      </w:pPr>
      <w:r>
        <w:rPr>
          <w:rFonts w:hint="cs"/>
          <w:rtl/>
        </w:rPr>
        <w:t xml:space="preserve">אותו קונצנזוס-פרשני, שלפיו סעיף 15(ג) אינו מסוגל לשמש מקור סמכות לביטול דבר חקיקה </w:t>
      </w:r>
      <w:r>
        <w:rPr>
          <w:rtl/>
        </w:rPr>
        <w:t>–</w:t>
      </w:r>
      <w:r>
        <w:rPr>
          <w:rFonts w:hint="cs"/>
          <w:rtl/>
        </w:rPr>
        <w:t xml:space="preserve"> לא החל עם הקמת המדינה; הוא 'זקן' וותיק ממנה, זה לא מכבר חגג מאה שנים להיווסדו. כידוע, שורשיו של בית המשפט הגבוה לצדק, נטועים בימי שלטון המנדט הבריטי בארץ ישראל. 'האב הקדמון' של סעיף 7(א) לחוק בתי המשפט, התשי"ז-1957, שהוליד בתורו את סעיף 15(ג) לחוק-יסוד: השפיטה, הוא דבר חקיקה מנדטורי. סעיף 43 לדבר המלך במועצה על ארץ ישראל, משנת 1922, הקובע כי </w:t>
      </w:r>
      <w:r w:rsidRPr="00FF203B">
        <w:rPr>
          <w:rFonts w:ascii="Century" w:hAnsi="Century" w:cs="Miriam" w:hint="cs"/>
          <w:b/>
          <w:spacing w:val="0"/>
          <w:sz w:val="22"/>
          <w:szCs w:val="24"/>
          <w:rtl/>
        </w:rPr>
        <w:t>"</w:t>
      </w:r>
      <w:r w:rsidRPr="00FF203B">
        <w:rPr>
          <w:rFonts w:ascii="Century" w:hAnsi="Century" w:cs="Miriam" w:hint="eastAsia"/>
          <w:b/>
          <w:spacing w:val="0"/>
          <w:sz w:val="22"/>
          <w:szCs w:val="24"/>
          <w:rtl/>
        </w:rPr>
        <w:t>בית</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המשפט</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העליון</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בשבתו</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כבית</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דין</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צדק</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גבוה</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יהא</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לו</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השיפוט</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לדו</w:t>
      </w:r>
      <w:r w:rsidRPr="00FF203B">
        <w:rPr>
          <w:rFonts w:ascii="Century" w:hAnsi="Century" w:cs="Miriam" w:hint="cs"/>
          <w:b/>
          <w:spacing w:val="0"/>
          <w:sz w:val="22"/>
          <w:szCs w:val="24"/>
          <w:rtl/>
        </w:rPr>
        <w:t xml:space="preserve">ן </w:t>
      </w:r>
      <w:r w:rsidRPr="00FF203B">
        <w:rPr>
          <w:rFonts w:ascii="Century" w:hAnsi="Century" w:cs="Miriam" w:hint="eastAsia"/>
          <w:b/>
          <w:spacing w:val="0"/>
          <w:sz w:val="22"/>
          <w:szCs w:val="24"/>
          <w:rtl/>
        </w:rPr>
        <w:t>ולהחליט</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באותם</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הענינים</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שאינם</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תביעות</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או</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משפטים</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אלא</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בקשות</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שאינן</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בגבולות</w:t>
      </w:r>
      <w:r w:rsidRPr="00FF203B">
        <w:rPr>
          <w:rFonts w:ascii="Century" w:hAnsi="Century" w:cs="Miriam" w:hint="cs"/>
          <w:b/>
          <w:spacing w:val="0"/>
          <w:sz w:val="22"/>
          <w:szCs w:val="24"/>
          <w:rtl/>
        </w:rPr>
        <w:t xml:space="preserve"> </w:t>
      </w:r>
      <w:r w:rsidRPr="00FF203B">
        <w:rPr>
          <w:rFonts w:ascii="Century" w:hAnsi="Century" w:cs="Miriam" w:hint="eastAsia"/>
          <w:b/>
          <w:spacing w:val="0"/>
          <w:sz w:val="22"/>
          <w:szCs w:val="24"/>
          <w:rtl/>
        </w:rPr>
        <w:t>שיפוטו</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של</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כל</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בית</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משפט</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אחר</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ואשר</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יש</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צורך</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לפסוק</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בהן</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למען</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הצדק</w:t>
      </w:r>
      <w:r w:rsidRPr="00FF203B">
        <w:rPr>
          <w:rFonts w:ascii="Century" w:hAnsi="Century" w:cs="Miriam" w:hint="cs"/>
          <w:b/>
          <w:spacing w:val="0"/>
          <w:sz w:val="22"/>
          <w:szCs w:val="24"/>
          <w:rtl/>
        </w:rPr>
        <w:t>"</w:t>
      </w:r>
      <w:r>
        <w:rPr>
          <w:rtl/>
        </w:rPr>
        <w:t>.</w:t>
      </w:r>
      <w:r>
        <w:rPr>
          <w:rFonts w:hint="cs"/>
          <w:rtl/>
        </w:rPr>
        <w:t xml:space="preserve"> למרות זאת, כלל שופטי בית המשפט העליון המנדטורי, לאורך עשרות שנות פעילותו, לא סברו כי בידיהם הכוח לפסול חוקים מנדטוריים, ככל שיש צורך בכך 'למען הצדק', רק מכוח אותה הסמכה שניתנה להם </w:t>
      </w:r>
      <w:r>
        <w:rPr>
          <w:rFonts w:ascii="Century" w:hAnsi="Century" w:cs="Miriam" w:hint="cs"/>
          <w:b/>
          <w:spacing w:val="0"/>
          <w:sz w:val="22"/>
          <w:szCs w:val="24"/>
          <w:rtl/>
        </w:rPr>
        <w:t>"</w:t>
      </w:r>
      <w:r w:rsidRPr="00FF203B">
        <w:rPr>
          <w:rFonts w:ascii="Century" w:hAnsi="Century" w:cs="Miriam" w:hint="eastAsia"/>
          <w:b/>
          <w:spacing w:val="0"/>
          <w:sz w:val="22"/>
          <w:szCs w:val="24"/>
          <w:rtl/>
        </w:rPr>
        <w:t>לדו</w:t>
      </w:r>
      <w:r w:rsidRPr="00FF203B">
        <w:rPr>
          <w:rFonts w:ascii="Century" w:hAnsi="Century" w:cs="Miriam" w:hint="cs"/>
          <w:b/>
          <w:spacing w:val="0"/>
          <w:sz w:val="22"/>
          <w:szCs w:val="24"/>
          <w:rtl/>
        </w:rPr>
        <w:t xml:space="preserve">ן </w:t>
      </w:r>
      <w:r w:rsidRPr="00FF203B">
        <w:rPr>
          <w:rFonts w:ascii="Century" w:hAnsi="Century" w:cs="Miriam" w:hint="eastAsia"/>
          <w:b/>
          <w:spacing w:val="0"/>
          <w:sz w:val="22"/>
          <w:szCs w:val="24"/>
          <w:rtl/>
        </w:rPr>
        <w:t>ולהחליט</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באותם</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הענינים</w:t>
      </w:r>
      <w:r w:rsidRPr="00FF203B">
        <w:rPr>
          <w:rFonts w:ascii="Century" w:hAnsi="Century" w:cs="Miriam"/>
          <w:b/>
          <w:spacing w:val="0"/>
          <w:sz w:val="22"/>
          <w:szCs w:val="24"/>
          <w:rtl/>
        </w:rPr>
        <w:t xml:space="preserve"> </w:t>
      </w:r>
      <w:r>
        <w:rPr>
          <w:rFonts w:ascii="Century" w:hAnsi="Century" w:cs="Miriam" w:hint="cs"/>
          <w:b/>
          <w:spacing w:val="0"/>
          <w:sz w:val="22"/>
          <w:szCs w:val="24"/>
          <w:rtl/>
        </w:rPr>
        <w:t xml:space="preserve">[...] </w:t>
      </w:r>
      <w:r w:rsidRPr="00FF203B">
        <w:rPr>
          <w:rFonts w:ascii="Century" w:hAnsi="Century" w:cs="Miriam" w:hint="eastAsia"/>
          <w:b/>
          <w:spacing w:val="0"/>
          <w:sz w:val="22"/>
          <w:szCs w:val="24"/>
          <w:rtl/>
        </w:rPr>
        <w:t>אשר</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יש</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צורך</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לפסוק</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בהן</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למען</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הצדק</w:t>
      </w:r>
      <w:r>
        <w:rPr>
          <w:rFonts w:ascii="Century" w:hAnsi="Century" w:cs="Miriam" w:hint="cs"/>
          <w:b/>
          <w:spacing w:val="0"/>
          <w:sz w:val="22"/>
          <w:szCs w:val="24"/>
          <w:rtl/>
        </w:rPr>
        <w:t>"</w:t>
      </w:r>
      <w:r>
        <w:rPr>
          <w:rFonts w:hint="cs"/>
          <w:rtl/>
        </w:rPr>
        <w:t xml:space="preserve">. </w:t>
      </w:r>
    </w:p>
    <w:p w:rsidR="00EB02E1" w:rsidRPr="006626DA" w:rsidRDefault="00EB02E1" w:rsidP="00EB02E1">
      <w:pPr>
        <w:pStyle w:val="Ruller41"/>
      </w:pPr>
    </w:p>
    <w:p w:rsidR="00EB02E1" w:rsidRDefault="00EB02E1" w:rsidP="00EB02E1">
      <w:pPr>
        <w:pStyle w:val="Ruller4"/>
        <w:rPr>
          <w:rtl/>
        </w:rPr>
      </w:pPr>
      <w:r>
        <w:rPr>
          <w:rFonts w:hint="cs"/>
          <w:rtl/>
        </w:rPr>
        <w:t xml:space="preserve">אם נחזור חזרה למשפט הישראלי, הרי שאותו קונצנזוס </w:t>
      </w:r>
      <w:r>
        <w:rPr>
          <w:rtl/>
        </w:rPr>
        <w:t>–</w:t>
      </w:r>
      <w:r>
        <w:rPr>
          <w:rFonts w:hint="cs"/>
          <w:rtl/>
        </w:rPr>
        <w:t xml:space="preserve"> בתוקפו עומד, עד ימינו-אנו ממש. אם סמכות לפסילת חוקים, ואף חוקי-יסוד, אכן נמצאת בתרמילנו מימים ימימה, נשאלת השאלה מדוע הנשיא (בדימ') </w:t>
      </w:r>
      <w:r w:rsidRPr="00FF203B">
        <w:rPr>
          <w:rFonts w:ascii="Century" w:hAnsi="Century" w:cs="Miriam" w:hint="cs"/>
          <w:b/>
          <w:spacing w:val="0"/>
          <w:sz w:val="22"/>
          <w:szCs w:val="24"/>
          <w:rtl/>
        </w:rPr>
        <w:t>שמגר</w:t>
      </w:r>
      <w:r>
        <w:rPr>
          <w:rFonts w:hint="cs"/>
          <w:rtl/>
        </w:rPr>
        <w:t xml:space="preserve">, הנשיא </w:t>
      </w:r>
      <w:r w:rsidRPr="00FF203B">
        <w:rPr>
          <w:rFonts w:ascii="Century" w:hAnsi="Century" w:cs="Miriam" w:hint="cs"/>
          <w:b/>
          <w:spacing w:val="0"/>
          <w:sz w:val="22"/>
          <w:szCs w:val="24"/>
          <w:rtl/>
        </w:rPr>
        <w:t>ברק</w:t>
      </w:r>
      <w:r>
        <w:rPr>
          <w:rFonts w:hint="cs"/>
          <w:rtl/>
        </w:rPr>
        <w:t xml:space="preserve">, ועימם שאר חברי ההרכב בעניין </w:t>
      </w:r>
      <w:r w:rsidRPr="00FF203B">
        <w:rPr>
          <w:rFonts w:ascii="Century" w:hAnsi="Century" w:cs="Miriam" w:hint="cs"/>
          <w:b/>
          <w:spacing w:val="0"/>
          <w:sz w:val="22"/>
          <w:szCs w:val="24"/>
          <w:rtl/>
        </w:rPr>
        <w:t>בנק המזרחי</w:t>
      </w:r>
      <w:r>
        <w:rPr>
          <w:rFonts w:hint="cs"/>
          <w:rtl/>
        </w:rPr>
        <w:t xml:space="preserve">, השחיתו את זמנם השיפוטי היקר, בכתיבת פסק דין בהיקף של מאות עמודים? מה חידוש נתחדש במשפטנו עם חקיקתם של חוקי-היסוד בדבר זכויות האדם בשנת 1992, אם סמכות עליונה יותר, לפסילה של כל דבר חקיקה, ללא כל </w:t>
      </w:r>
      <w:r>
        <w:rPr>
          <w:rFonts w:hint="cs"/>
          <w:rtl/>
        </w:rPr>
        <w:lastRenderedPageBreak/>
        <w:t>מגבלה, בנימוק של 'סעד למען הצדק' שרירה היתה וקיימת עוד קודם לכן? תִּלֵּי תִּלִּים של טיעונים נשמעים בחלל האוויר, בכל תיק חוקתי המתברר בבית משפט זה. עיקרם בשאלה האם עומד החוק בתנאיה של פסקת ההגבלה, אם לאו. כל אלו מתייתרים, אם אכן קיימת סמכות לפסילת חוקים, מכוח ההסמכה הכללית שבסעיף 15(ג) לחוק-יסוד: השפיטה (ראו: פסקה 23 לחוות דעתו של חברי, השופט</w:t>
      </w:r>
      <w:r w:rsidRPr="00470681">
        <w:rPr>
          <w:rFonts w:ascii="Century" w:hAnsi="Century" w:cs="Miriam" w:hint="cs"/>
          <w:b/>
          <w:spacing w:val="0"/>
          <w:sz w:val="22"/>
          <w:szCs w:val="24"/>
          <w:rtl/>
        </w:rPr>
        <w:t xml:space="preserve"> ד' מינץ</w:t>
      </w:r>
      <w:r>
        <w:rPr>
          <w:rFonts w:hint="cs"/>
          <w:rtl/>
        </w:rPr>
        <w:t>).</w:t>
      </w:r>
    </w:p>
    <w:p w:rsidR="00EB02E1" w:rsidRDefault="00EB02E1" w:rsidP="00EB02E1">
      <w:pPr>
        <w:pStyle w:val="Ruller41"/>
        <w:rPr>
          <w:rtl/>
        </w:rPr>
      </w:pPr>
    </w:p>
    <w:p w:rsidR="00EB02E1" w:rsidRPr="006626DA" w:rsidRDefault="00EB02E1" w:rsidP="00EB02E1">
      <w:pPr>
        <w:pStyle w:val="Ruller4"/>
        <w:rPr>
          <w:rtl/>
        </w:rPr>
      </w:pPr>
      <w:r w:rsidRPr="006626DA">
        <w:rPr>
          <w:rFonts w:hint="cs"/>
          <w:rtl/>
        </w:rPr>
        <w:t>בל נטעה</w:t>
      </w:r>
      <w:r>
        <w:rPr>
          <w:rFonts w:hint="cs"/>
          <w:rtl/>
        </w:rPr>
        <w:t>.</w:t>
      </w:r>
      <w:r w:rsidRPr="006626DA">
        <w:rPr>
          <w:rFonts w:hint="cs"/>
          <w:rtl/>
        </w:rPr>
        <w:t xml:space="preserve"> סמכותו של בית המשפט להכריז על בטלותו של חוק 'רגיל', לא נסמכה מעולם על סעיף 15(ג) לחוק-יסוד: השפיטה. הקביעה בעניין </w:t>
      </w:r>
      <w:r w:rsidRPr="006626DA">
        <w:rPr>
          <w:rFonts w:ascii="Century" w:hAnsi="Century" w:cs="Miriam" w:hint="cs"/>
          <w:b/>
          <w:spacing w:val="0"/>
          <w:sz w:val="22"/>
          <w:szCs w:val="24"/>
          <w:rtl/>
        </w:rPr>
        <w:t>בנק המזרחי</w:t>
      </w:r>
      <w:r w:rsidRPr="006626DA">
        <w:rPr>
          <w:rFonts w:hint="cs"/>
          <w:rtl/>
        </w:rPr>
        <w:t>, כי באופן פורמלי, נתונה לכל בית משפט באשר הוא היכולת להכריז על בטלותו של דבר</w:t>
      </w:r>
      <w:r>
        <w:rPr>
          <w:rFonts w:hint="cs"/>
          <w:rtl/>
        </w:rPr>
        <w:t>-</w:t>
      </w:r>
      <w:r w:rsidRPr="006626DA">
        <w:rPr>
          <w:rFonts w:hint="cs"/>
          <w:rtl/>
        </w:rPr>
        <w:t xml:space="preserve">חקיקה, מלמדת כי אין מדובר בסמכות מכוח סעיף 15(ג) לחוק-יסוד: השפיטה. כך הוא לא רק להלכה, </w:t>
      </w:r>
      <w:r>
        <w:rPr>
          <w:rFonts w:hint="cs"/>
          <w:rtl/>
        </w:rPr>
        <w:t>אלא</w:t>
      </w:r>
      <w:r w:rsidRPr="006626DA">
        <w:rPr>
          <w:rFonts w:hint="cs"/>
          <w:rtl/>
        </w:rPr>
        <w:t xml:space="preserve"> גם למעשה: עובדה נשכחת היא, אך פסק-הדין בעניין </w:t>
      </w:r>
      <w:r w:rsidRPr="006626DA">
        <w:rPr>
          <w:rFonts w:ascii="Century" w:hAnsi="Century" w:cs="Miriam" w:hint="cs"/>
          <w:b/>
          <w:spacing w:val="0"/>
          <w:sz w:val="22"/>
          <w:szCs w:val="24"/>
          <w:rtl/>
        </w:rPr>
        <w:t>בנק המזרחי</w:t>
      </w:r>
      <w:r w:rsidRPr="006626DA">
        <w:rPr>
          <w:rFonts w:hint="cs"/>
          <w:rtl/>
        </w:rPr>
        <w:t>, כלל לא ניתן בבג"ץ, כי אם בבית המשפט העליון בשבתו כבית משפט לערעורים אזרחיים. כך גם</w:t>
      </w:r>
      <w:r>
        <w:rPr>
          <w:rFonts w:hint="cs"/>
          <w:rtl/>
        </w:rPr>
        <w:t xml:space="preserve"> אירע</w:t>
      </w:r>
      <w:r w:rsidRPr="006626DA">
        <w:rPr>
          <w:rFonts w:hint="cs"/>
          <w:rtl/>
        </w:rPr>
        <w:t xml:space="preserve"> בשנת 2003, </w:t>
      </w:r>
      <w:r>
        <w:rPr>
          <w:rFonts w:hint="cs"/>
          <w:rtl/>
        </w:rPr>
        <w:t>אז הגיש נאשם בפלילים עתירה לבג"ץ, שבמסגרתה עתר לביטול אחד מסעיפי החוק שבהם הואשם בבית משפט השלום. במהלך הדיון בעתירה, המליצו השופטים על מחיקתה, על מנת להעלות את הטענות בבית משפט השלום, במסגרת ההליך הפלילי (</w:t>
      </w:r>
      <w:r w:rsidRPr="00350EB4">
        <w:rPr>
          <w:rFonts w:hint="eastAsia"/>
          <w:rtl/>
        </w:rPr>
        <w:t>בג</w:t>
      </w:r>
      <w:r w:rsidRPr="00350EB4">
        <w:rPr>
          <w:rtl/>
        </w:rPr>
        <w:t>"</w:t>
      </w:r>
      <w:r w:rsidRPr="00350EB4">
        <w:rPr>
          <w:rFonts w:hint="eastAsia"/>
          <w:rtl/>
        </w:rPr>
        <w:t>ץ</w:t>
      </w:r>
      <w:r w:rsidRPr="00350EB4">
        <w:rPr>
          <w:rtl/>
        </w:rPr>
        <w:t xml:space="preserve"> 8424/01 </w:t>
      </w:r>
      <w:r w:rsidRPr="00350EB4">
        <w:rPr>
          <w:rFonts w:ascii="Century" w:hAnsi="Century" w:cs="Miriam" w:hint="eastAsia"/>
          <w:b/>
          <w:spacing w:val="0"/>
          <w:sz w:val="22"/>
          <w:szCs w:val="24"/>
          <w:rtl/>
        </w:rPr>
        <w:t>הנדלמן</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נ</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נציב</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מס</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הכנסה</w:t>
      </w:r>
      <w:r w:rsidRPr="00350EB4">
        <w:rPr>
          <w:rtl/>
        </w:rPr>
        <w:t xml:space="preserve"> (</w:t>
      </w:r>
      <w:r>
        <w:rPr>
          <w:rFonts w:hint="cs"/>
          <w:rtl/>
        </w:rPr>
        <w:t>30.9</w:t>
      </w:r>
      <w:r w:rsidRPr="00350EB4">
        <w:rPr>
          <w:rtl/>
        </w:rPr>
        <w:t>.2002)</w:t>
      </w:r>
      <w:r>
        <w:rPr>
          <w:rFonts w:hint="cs"/>
          <w:rtl/>
        </w:rPr>
        <w:t xml:space="preserve">). הנאשם יִשׂם את המלצת בית המשפט, ובעקבות טענותיו, </w:t>
      </w:r>
      <w:r w:rsidRPr="006626DA">
        <w:rPr>
          <w:rFonts w:hint="cs"/>
          <w:rtl/>
        </w:rPr>
        <w:t>ביטל בית משפט השלום, בכובעו כבית משפט לעניינים פליליים, דבר חקיקה ראשי של הכנסת (</w:t>
      </w:r>
      <w:r w:rsidRPr="006626DA">
        <w:rPr>
          <w:rFonts w:hint="eastAsia"/>
          <w:rtl/>
        </w:rPr>
        <w:t>ת</w:t>
      </w:r>
      <w:r w:rsidRPr="006626DA">
        <w:rPr>
          <w:rFonts w:hint="cs"/>
          <w:rtl/>
        </w:rPr>
        <w:t>"</w:t>
      </w:r>
      <w:r w:rsidRPr="006626DA">
        <w:rPr>
          <w:rFonts w:hint="eastAsia"/>
          <w:rtl/>
        </w:rPr>
        <w:t>פ</w:t>
      </w:r>
      <w:r w:rsidRPr="006626DA">
        <w:rPr>
          <w:rtl/>
        </w:rPr>
        <w:t xml:space="preserve"> (</w:t>
      </w:r>
      <w:r w:rsidRPr="006626DA">
        <w:rPr>
          <w:rFonts w:hint="eastAsia"/>
          <w:rtl/>
        </w:rPr>
        <w:t>ת</w:t>
      </w:r>
      <w:r w:rsidRPr="006626DA">
        <w:rPr>
          <w:rtl/>
        </w:rPr>
        <w:t>"</w:t>
      </w:r>
      <w:r w:rsidRPr="006626DA">
        <w:rPr>
          <w:rFonts w:hint="eastAsia"/>
          <w:rtl/>
        </w:rPr>
        <w:t>א</w:t>
      </w:r>
      <w:r w:rsidRPr="006626DA">
        <w:rPr>
          <w:rtl/>
        </w:rPr>
        <w:t xml:space="preserve">) 4696/01‏ ‏ </w:t>
      </w:r>
      <w:r w:rsidRPr="006626DA">
        <w:rPr>
          <w:rFonts w:ascii="Century" w:hAnsi="Century" w:cs="Miriam" w:hint="eastAsia"/>
          <w:b/>
          <w:spacing w:val="0"/>
          <w:sz w:val="22"/>
          <w:szCs w:val="24"/>
          <w:rtl/>
        </w:rPr>
        <w:t>מדינת</w:t>
      </w:r>
      <w:r w:rsidRPr="006626DA">
        <w:rPr>
          <w:rFonts w:ascii="Century" w:hAnsi="Century" w:cs="Miriam"/>
          <w:b/>
          <w:spacing w:val="0"/>
          <w:sz w:val="22"/>
          <w:szCs w:val="24"/>
          <w:rtl/>
        </w:rPr>
        <w:t xml:space="preserve"> </w:t>
      </w:r>
      <w:r w:rsidRPr="006626DA">
        <w:rPr>
          <w:rFonts w:ascii="Century" w:hAnsi="Century" w:cs="Miriam" w:hint="eastAsia"/>
          <w:b/>
          <w:spacing w:val="0"/>
          <w:sz w:val="22"/>
          <w:szCs w:val="24"/>
          <w:rtl/>
        </w:rPr>
        <w:t>ישראל</w:t>
      </w:r>
      <w:r w:rsidRPr="006626DA">
        <w:rPr>
          <w:rFonts w:ascii="Century" w:hAnsi="Century" w:cs="Miriam"/>
          <w:b/>
          <w:spacing w:val="0"/>
          <w:sz w:val="22"/>
          <w:szCs w:val="24"/>
          <w:rtl/>
        </w:rPr>
        <w:t xml:space="preserve"> </w:t>
      </w:r>
      <w:r w:rsidRPr="006626DA">
        <w:rPr>
          <w:rFonts w:ascii="Century" w:hAnsi="Century" w:cs="Miriam" w:hint="eastAsia"/>
          <w:b/>
          <w:spacing w:val="0"/>
          <w:sz w:val="22"/>
          <w:szCs w:val="24"/>
          <w:rtl/>
        </w:rPr>
        <w:t>נ</w:t>
      </w:r>
      <w:r w:rsidRPr="006626DA">
        <w:rPr>
          <w:rFonts w:ascii="Century" w:hAnsi="Century" w:cs="Miriam"/>
          <w:b/>
          <w:spacing w:val="0"/>
          <w:sz w:val="22"/>
          <w:szCs w:val="24"/>
          <w:rtl/>
        </w:rPr>
        <w:t xml:space="preserve">' </w:t>
      </w:r>
      <w:r w:rsidRPr="006626DA">
        <w:rPr>
          <w:rFonts w:ascii="Century" w:hAnsi="Century" w:cs="Miriam" w:hint="eastAsia"/>
          <w:b/>
          <w:spacing w:val="0"/>
          <w:sz w:val="22"/>
          <w:szCs w:val="24"/>
          <w:rtl/>
        </w:rPr>
        <w:t>הנדלמן</w:t>
      </w:r>
      <w:r w:rsidRPr="006626DA">
        <w:rPr>
          <w:rFonts w:hint="cs"/>
          <w:rtl/>
        </w:rPr>
        <w:t xml:space="preserve"> (14.4.2003)).</w:t>
      </w:r>
      <w:r>
        <w:rPr>
          <w:rFonts w:hint="cs"/>
          <w:rtl/>
        </w:rPr>
        <w:t xml:space="preserve"> כמסתבר, איש מעולם לא ביקש לעשות שימוש בסעיף 15(ג) לחוק-יסוד: השפיטה, גם לא לשם פסילת חוקים רגילים.  </w:t>
      </w:r>
    </w:p>
    <w:p w:rsidR="00EB02E1" w:rsidRPr="006626DA" w:rsidRDefault="00EB02E1" w:rsidP="00EB02E1">
      <w:pPr>
        <w:pStyle w:val="Ruller41"/>
        <w:rPr>
          <w:rtl/>
        </w:rPr>
      </w:pPr>
    </w:p>
    <w:p w:rsidR="00EB02E1" w:rsidRDefault="00EB02E1" w:rsidP="00EB02E1">
      <w:pPr>
        <w:pStyle w:val="Ruller4"/>
        <w:rPr>
          <w:rtl/>
        </w:rPr>
      </w:pPr>
      <w:r w:rsidRPr="006626DA">
        <w:rPr>
          <w:rFonts w:hint="cs"/>
          <w:rtl/>
        </w:rPr>
        <w:t xml:space="preserve">לבסוף, </w:t>
      </w:r>
      <w:r>
        <w:rPr>
          <w:rFonts w:hint="cs"/>
          <w:rtl/>
        </w:rPr>
        <w:t>גם אם נתעלם מכל האמור</w:t>
      </w:r>
      <w:r w:rsidRPr="006626DA">
        <w:rPr>
          <w:rFonts w:hint="cs"/>
          <w:rtl/>
        </w:rPr>
        <w:t xml:space="preserve"> עד כה, הרי שגם לגופם של דברים, סעיף 15(ג) לחוק</w:t>
      </w:r>
      <w:r>
        <w:rPr>
          <w:rFonts w:hint="cs"/>
          <w:rtl/>
        </w:rPr>
        <w:t>-</w:t>
      </w:r>
      <w:r w:rsidRPr="006626DA">
        <w:rPr>
          <w:rFonts w:hint="cs"/>
          <w:rtl/>
        </w:rPr>
        <w:t>יסוד</w:t>
      </w:r>
      <w:r>
        <w:rPr>
          <w:rFonts w:hint="cs"/>
          <w:rtl/>
        </w:rPr>
        <w:t>:</w:t>
      </w:r>
      <w:r w:rsidRPr="006626DA">
        <w:rPr>
          <w:rFonts w:hint="cs"/>
          <w:rtl/>
        </w:rPr>
        <w:t xml:space="preserve"> השפיטה, אינו יכול לשמש מקור סמכות לביטולם של חוקי-יסוד אחרים. </w:t>
      </w:r>
      <w:r>
        <w:rPr>
          <w:rFonts w:hint="cs"/>
          <w:rtl/>
        </w:rPr>
        <w:t xml:space="preserve">זאת, </w:t>
      </w:r>
      <w:r w:rsidRPr="006626DA">
        <w:rPr>
          <w:rFonts w:hint="cs"/>
          <w:rtl/>
        </w:rPr>
        <w:t xml:space="preserve">נוכח העובדה כי חולק הוא אותה 'מדרגה נורמטיבית', עם החוק שאותו הוא מבקש לבטל. כפי שמציינת חברתי הנשיאה (בדימ') (בפסקה 53 לחוות דעתה), ביסוד פסק הדין של הנשיא </w:t>
      </w:r>
      <w:r w:rsidRPr="006626DA">
        <w:rPr>
          <w:rFonts w:ascii="Century" w:hAnsi="Century" w:cs="Miriam" w:hint="cs"/>
          <w:b/>
          <w:spacing w:val="0"/>
          <w:sz w:val="22"/>
          <w:szCs w:val="24"/>
          <w:rtl/>
        </w:rPr>
        <w:t>ברק</w:t>
      </w:r>
      <w:r w:rsidRPr="006626DA">
        <w:rPr>
          <w:rFonts w:hint="cs"/>
          <w:rtl/>
        </w:rPr>
        <w:t xml:space="preserve"> בעניין </w:t>
      </w:r>
      <w:r w:rsidRPr="006626DA">
        <w:rPr>
          <w:rFonts w:ascii="Century" w:hAnsi="Century" w:cs="Miriam" w:hint="cs"/>
          <w:b/>
          <w:spacing w:val="0"/>
          <w:sz w:val="22"/>
          <w:szCs w:val="24"/>
          <w:rtl/>
        </w:rPr>
        <w:t>בנק המזרחי</w:t>
      </w:r>
      <w:r w:rsidRPr="006626DA">
        <w:rPr>
          <w:rFonts w:hint="cs"/>
          <w:rtl/>
        </w:rPr>
        <w:t>, עומדת תורת 'שני הכובעים', שלפיה חוקי-היסוד נהנים ממעמד חוקתי גבוה יותר. הכרזה על בטלותו של חוק-יסוד, מכוח הסמכה ש</w:t>
      </w:r>
      <w:r>
        <w:rPr>
          <w:rFonts w:hint="cs"/>
          <w:rtl/>
        </w:rPr>
        <w:t>מעוגנת</w:t>
      </w:r>
      <w:r w:rsidRPr="006626DA">
        <w:rPr>
          <w:rFonts w:hint="cs"/>
          <w:rtl/>
        </w:rPr>
        <w:t xml:space="preserve"> כביכול בחוק-יסוד, מייצרת אם כן 'התנגשות' חזיתית, בין חוק-היסוד שבו קבועה סמכות השופט להכריז על בטלות-חוק, לבין חוק-היסוד שאותו ברצונו לבטל. בהתנגשות שכזו, ידו של חוק</w:t>
      </w:r>
      <w:r>
        <w:rPr>
          <w:rFonts w:hint="cs"/>
          <w:rtl/>
        </w:rPr>
        <w:t>-</w:t>
      </w:r>
      <w:r w:rsidRPr="006626DA">
        <w:rPr>
          <w:rFonts w:hint="cs"/>
          <w:rtl/>
        </w:rPr>
        <w:t xml:space="preserve">היסוד, שאותו מבקשים לבטל, תהא תמיד על העליונה. </w:t>
      </w:r>
    </w:p>
    <w:p w:rsidR="00EB02E1" w:rsidRPr="00350EB4" w:rsidRDefault="00EB02E1" w:rsidP="00EB02E1">
      <w:pPr>
        <w:pStyle w:val="Ruller41"/>
      </w:pPr>
    </w:p>
    <w:p w:rsidR="00EB02E1" w:rsidRDefault="00EB02E1" w:rsidP="00EB02E1">
      <w:pPr>
        <w:pStyle w:val="Ruller4"/>
        <w:rPr>
          <w:rtl/>
        </w:rPr>
      </w:pPr>
      <w:r>
        <w:rPr>
          <w:rFonts w:hint="cs"/>
          <w:rtl/>
        </w:rPr>
        <w:lastRenderedPageBreak/>
        <w:t xml:space="preserve">אבקש לדייק את דברַי. </w:t>
      </w:r>
      <w:r w:rsidRPr="006626DA">
        <w:rPr>
          <w:rFonts w:hint="cs"/>
          <w:rtl/>
        </w:rPr>
        <w:t xml:space="preserve">סעיף 15(ג) לחוק-יסוד: השפיטה, אמנם לא </w:t>
      </w:r>
      <w:r>
        <w:rPr>
          <w:rFonts w:hint="cs"/>
          <w:rtl/>
        </w:rPr>
        <w:t>סותר</w:t>
      </w:r>
      <w:r w:rsidRPr="006626DA">
        <w:rPr>
          <w:rFonts w:hint="cs"/>
          <w:rtl/>
        </w:rPr>
        <w:t xml:space="preserve"> במפורש את חוק-</w:t>
      </w:r>
      <w:r>
        <w:rPr>
          <w:rFonts w:hint="cs"/>
          <w:rtl/>
        </w:rPr>
        <w:t>ה</w:t>
      </w:r>
      <w:r w:rsidRPr="006626DA">
        <w:rPr>
          <w:rFonts w:hint="cs"/>
          <w:rtl/>
        </w:rPr>
        <w:t>יסוד שהוא מבק</w:t>
      </w:r>
      <w:r>
        <w:rPr>
          <w:rFonts w:hint="cs"/>
          <w:rtl/>
        </w:rPr>
        <w:t xml:space="preserve">ש לבטלוֹ, אלא אך מעניק לבית המשפט, כביכול, את הסמכות להורות על ביטולו. </w:t>
      </w:r>
      <w:r w:rsidRPr="006626DA">
        <w:rPr>
          <w:rFonts w:hint="cs"/>
          <w:rtl/>
        </w:rPr>
        <w:t xml:space="preserve">אך </w:t>
      </w:r>
      <w:r>
        <w:rPr>
          <w:rFonts w:hint="cs"/>
          <w:rtl/>
        </w:rPr>
        <w:t xml:space="preserve">סוף כל סוף, זוהי המשמעות העמוקה של הדברים. </w:t>
      </w:r>
      <w:r w:rsidRPr="006626DA">
        <w:rPr>
          <w:rFonts w:hint="cs"/>
          <w:rtl/>
        </w:rPr>
        <w:t>לוּ היה סעיף 15(ג) לחוק-יסוד: השפיטה, סותר באופן מפורש את האמור בחוק-היסוד שאותו רוצים אנו לבטל, הרי שסעיף 15(ג) לחוק-יסוד השפיטה היה ניגף מפני אותו חוק</w:t>
      </w:r>
      <w:r>
        <w:rPr>
          <w:rFonts w:hint="cs"/>
          <w:rtl/>
        </w:rPr>
        <w:t>-</w:t>
      </w:r>
      <w:r w:rsidRPr="006626DA">
        <w:rPr>
          <w:rFonts w:hint="cs"/>
          <w:rtl/>
        </w:rPr>
        <w:t>יסוד. זאת, נוכח כללי-היסוד הקובעים כי חוק ספציפי גובר על חוק כללי</w:t>
      </w:r>
      <w:r w:rsidRPr="006626DA">
        <w:t>lex</w:t>
      </w:r>
      <w:r>
        <w:t>)</w:t>
      </w:r>
      <w:r w:rsidRPr="006626DA">
        <w:t xml:space="preserve"> specialis derogat generali</w:t>
      </w:r>
      <w:r w:rsidRPr="006626DA">
        <w:rPr>
          <w:rFonts w:hint="cs"/>
          <w:rtl/>
        </w:rPr>
        <w:t>), וכי חוק מאוחר גובר על חוק מוקדם</w:t>
      </w:r>
      <w:r>
        <w:rPr>
          <w:rFonts w:hint="cs"/>
          <w:rtl/>
        </w:rPr>
        <w:t xml:space="preserve"> </w:t>
      </w:r>
      <w:r w:rsidRPr="006626DA">
        <w:t>lex posterior</w:t>
      </w:r>
      <w:r>
        <w:t>)</w:t>
      </w:r>
      <w:r w:rsidRPr="006626DA">
        <w:t xml:space="preserve"> derogat priori</w:t>
      </w:r>
      <w:r>
        <w:rPr>
          <w:rFonts w:hint="cs"/>
          <w:rtl/>
        </w:rPr>
        <w:t>).</w:t>
      </w:r>
      <w:r w:rsidRPr="006626DA">
        <w:rPr>
          <w:rFonts w:hint="cs"/>
          <w:rtl/>
        </w:rPr>
        <w:t xml:space="preserve"> על אחת כמה וכמה</w:t>
      </w:r>
      <w:r>
        <w:rPr>
          <w:rFonts w:hint="cs"/>
          <w:rtl/>
        </w:rPr>
        <w:t>,</w:t>
      </w:r>
      <w:r w:rsidRPr="006626DA">
        <w:rPr>
          <w:rFonts w:hint="cs"/>
          <w:rtl/>
        </w:rPr>
        <w:t xml:space="preserve"> שעה ש</w:t>
      </w:r>
      <w:r>
        <w:rPr>
          <w:rFonts w:hint="cs"/>
          <w:rtl/>
        </w:rPr>
        <w:t xml:space="preserve">לפנינו </w:t>
      </w:r>
      <w:r w:rsidRPr="006626DA">
        <w:rPr>
          <w:rFonts w:hint="cs"/>
          <w:rtl/>
        </w:rPr>
        <w:t xml:space="preserve">חוק </w:t>
      </w:r>
      <w:r>
        <w:rPr>
          <w:rFonts w:hint="cs"/>
          <w:rtl/>
        </w:rPr>
        <w:t xml:space="preserve">שהוא </w:t>
      </w:r>
      <w:r w:rsidRPr="006626DA">
        <w:rPr>
          <w:rFonts w:hint="cs"/>
          <w:rtl/>
        </w:rPr>
        <w:t xml:space="preserve">ספציפי ומאוחר. ממילא, ביודענו כי מקור סמכות אינו יכול להקנות סמכות בעלת עוצמה גבוהה יותר מזו שמצויה בידיו-הוא, ברי כי </w:t>
      </w:r>
      <w:r>
        <w:rPr>
          <w:rFonts w:hint="cs"/>
          <w:rtl/>
        </w:rPr>
        <w:t>לא</w:t>
      </w:r>
      <w:r w:rsidRPr="006626DA">
        <w:rPr>
          <w:rFonts w:hint="cs"/>
          <w:rtl/>
        </w:rPr>
        <w:t xml:space="preserve"> </w:t>
      </w:r>
      <w:r>
        <w:rPr>
          <w:rFonts w:hint="cs"/>
          <w:rtl/>
        </w:rPr>
        <w:t xml:space="preserve">ניתן </w:t>
      </w:r>
      <w:r w:rsidRPr="006626DA">
        <w:rPr>
          <w:rFonts w:hint="cs"/>
          <w:rtl/>
        </w:rPr>
        <w:t>להסתמך על סעיף 15(ג)</w:t>
      </w:r>
      <w:r>
        <w:rPr>
          <w:rFonts w:hint="cs"/>
          <w:rtl/>
        </w:rPr>
        <w:t xml:space="preserve"> לחוק-יסוד: השפיטה, כמקור הסמכה לבית המשפט לפסול חוקי-יסוד, שעה שאין בכוחו של סעיף 15(ג) עצמו לפסול את חוק-היסוד האחר, בהיותו חוק-יסוד ספציפי ומאוחר ממנו. </w:t>
      </w:r>
    </w:p>
    <w:p w:rsidR="00EB02E1" w:rsidRPr="00350EB4" w:rsidRDefault="00EB02E1" w:rsidP="00EB02E1">
      <w:pPr>
        <w:pStyle w:val="Ruller41"/>
      </w:pPr>
    </w:p>
    <w:p w:rsidR="00EB02E1" w:rsidRPr="006626DA" w:rsidRDefault="00EB02E1" w:rsidP="00EB02E1">
      <w:pPr>
        <w:pStyle w:val="Ruller4"/>
      </w:pPr>
      <w:r>
        <w:rPr>
          <w:rFonts w:hint="cs"/>
          <w:rtl/>
        </w:rPr>
        <w:t xml:space="preserve">עוד אוסיף, כי </w:t>
      </w:r>
      <w:r w:rsidRPr="006626DA">
        <w:rPr>
          <w:rFonts w:hint="cs"/>
          <w:rtl/>
        </w:rPr>
        <w:t xml:space="preserve">נימוק זה כוחו יפה, גם לגבי הניסיון לראות </w:t>
      </w:r>
      <w:r>
        <w:rPr>
          <w:rFonts w:hint="cs"/>
          <w:rtl/>
        </w:rPr>
        <w:t xml:space="preserve">את </w:t>
      </w:r>
      <w:r w:rsidRPr="006626DA">
        <w:rPr>
          <w:rFonts w:hint="cs"/>
          <w:rtl/>
        </w:rPr>
        <w:t xml:space="preserve">סעיף 7א לחוק-יסוד: הכנסת, </w:t>
      </w:r>
      <w:r>
        <w:rPr>
          <w:rFonts w:hint="cs"/>
          <w:rtl/>
        </w:rPr>
        <w:t>כ</w:t>
      </w:r>
      <w:r w:rsidRPr="006626DA">
        <w:rPr>
          <w:rFonts w:hint="cs"/>
          <w:rtl/>
        </w:rPr>
        <w:t>מקור להגבלת כוחה של הרשות המכוננת, ו</w:t>
      </w:r>
      <w:r>
        <w:rPr>
          <w:rFonts w:hint="cs"/>
          <w:rtl/>
        </w:rPr>
        <w:t>ל</w:t>
      </w:r>
      <w:r w:rsidRPr="006626DA">
        <w:rPr>
          <w:rFonts w:hint="cs"/>
          <w:rtl/>
        </w:rPr>
        <w:t xml:space="preserve">קיומה של ביקורת שיפוטית על חוקי-היסוד. </w:t>
      </w:r>
      <w:r>
        <w:rPr>
          <w:rFonts w:hint="cs"/>
          <w:rtl/>
        </w:rPr>
        <w:t xml:space="preserve">כל ניסיון להיתלות בחוק-יסוד כזה או אחר, כמקור לפסילת חוקי-יסוד </w:t>
      </w:r>
      <w:r>
        <w:rPr>
          <w:rtl/>
        </w:rPr>
        <w:t>–</w:t>
      </w:r>
      <w:r w:rsidRPr="006626DA">
        <w:rPr>
          <w:rFonts w:hint="cs"/>
          <w:rtl/>
        </w:rPr>
        <w:t xml:space="preserve"> נדון לכישלון. </w:t>
      </w:r>
      <w:r>
        <w:rPr>
          <w:rFonts w:hint="cs"/>
          <w:rtl/>
        </w:rPr>
        <w:t xml:space="preserve">זוהי הסיבה לכך שכל אותם שופטים ומלומדים, שניסו עד כה למצוא מקור סמכות לביקורת שיפוטית על חקיקת-יסוד, וגיששו את דרכם באפילה, לא ניסו להיתלות במקורות סמכות שנובעים מחוקי-היסוד עצמם. סמכות המעוגנת בחוק-יסוד, אינה יכולה לסייע, בשעה שאנו תרים אחר מקור סמכות לביטולו של חוק-יסוד בהיותו בעל מעמד זהה. </w:t>
      </w:r>
    </w:p>
    <w:p w:rsidR="00EB02E1" w:rsidRDefault="00EB02E1" w:rsidP="00EB02E1">
      <w:pPr>
        <w:pStyle w:val="Ruller4"/>
        <w:numPr>
          <w:ilvl w:val="0"/>
          <w:numId w:val="0"/>
        </w:numPr>
        <w:rPr>
          <w:rtl/>
        </w:rPr>
      </w:pPr>
      <w:r>
        <w:rPr>
          <w:rFonts w:hint="cs"/>
          <w:rtl/>
        </w:rPr>
        <w:t xml:space="preserve"> </w:t>
      </w:r>
    </w:p>
    <w:p w:rsidR="00EB02E1" w:rsidRPr="00C32F39" w:rsidRDefault="00EB02E1" w:rsidP="00EB02E1">
      <w:pPr>
        <w:pStyle w:val="2"/>
        <w:rPr>
          <w:rtl/>
        </w:rPr>
      </w:pPr>
      <w:bookmarkStart w:id="57" w:name="_Toc154942592"/>
      <w:bookmarkStart w:id="58" w:name="_Toc154944414"/>
      <w:bookmarkStart w:id="59" w:name="_Toc154947524"/>
      <w:r w:rsidRPr="00C32F39">
        <w:rPr>
          <w:rFonts w:ascii="Century" w:hAnsi="Century" w:cs="Miriam" w:hint="eastAsia"/>
          <w:b/>
          <w:color w:val="auto"/>
          <w:sz w:val="22"/>
          <w:szCs w:val="24"/>
          <w:rtl/>
        </w:rPr>
        <w:t>ניגוד</w:t>
      </w:r>
      <w:r w:rsidRPr="00C32F39">
        <w:rPr>
          <w:rFonts w:ascii="Century" w:hAnsi="Century" w:cs="Miriam"/>
          <w:b/>
          <w:color w:val="auto"/>
          <w:sz w:val="22"/>
          <w:szCs w:val="24"/>
          <w:rtl/>
        </w:rPr>
        <w:t xml:space="preserve"> </w:t>
      </w:r>
      <w:r w:rsidRPr="00C32F39">
        <w:rPr>
          <w:rFonts w:ascii="Century" w:hAnsi="Century" w:cs="Miriam" w:hint="eastAsia"/>
          <w:b/>
          <w:color w:val="auto"/>
          <w:sz w:val="22"/>
          <w:szCs w:val="24"/>
          <w:rtl/>
        </w:rPr>
        <w:t>עניינים</w:t>
      </w:r>
      <w:r w:rsidRPr="00C32F39">
        <w:rPr>
          <w:rFonts w:ascii="Century" w:hAnsi="Century" w:cs="Miriam"/>
          <w:b/>
          <w:color w:val="auto"/>
          <w:sz w:val="22"/>
          <w:szCs w:val="24"/>
          <w:rtl/>
        </w:rPr>
        <w:t xml:space="preserve"> </w:t>
      </w:r>
      <w:r w:rsidRPr="00C32F39">
        <w:rPr>
          <w:rFonts w:ascii="Century" w:hAnsi="Century" w:cs="Miriam" w:hint="eastAsia"/>
          <w:b/>
          <w:color w:val="auto"/>
          <w:sz w:val="22"/>
          <w:szCs w:val="24"/>
          <w:rtl/>
        </w:rPr>
        <w:t>מוסדי</w:t>
      </w:r>
      <w:bookmarkEnd w:id="57"/>
      <w:bookmarkEnd w:id="58"/>
      <w:bookmarkEnd w:id="59"/>
    </w:p>
    <w:p w:rsidR="00EB02E1" w:rsidRDefault="00EB02E1" w:rsidP="00EB02E1">
      <w:pPr>
        <w:pStyle w:val="Ruller4"/>
        <w:rPr>
          <w:rtl/>
        </w:rPr>
      </w:pPr>
      <w:r>
        <w:rPr>
          <w:rFonts w:hint="cs"/>
          <w:rtl/>
        </w:rPr>
        <w:t xml:space="preserve">חברתי השופטת </w:t>
      </w:r>
      <w:r w:rsidRPr="00FF203B">
        <w:rPr>
          <w:rFonts w:ascii="Century" w:hAnsi="Century" w:cs="Miriam" w:hint="cs"/>
          <w:b/>
          <w:spacing w:val="0"/>
          <w:sz w:val="22"/>
          <w:szCs w:val="24"/>
          <w:rtl/>
        </w:rPr>
        <w:t>ר' רונן</w:t>
      </w:r>
      <w:r>
        <w:rPr>
          <w:rFonts w:hint="cs"/>
          <w:rtl/>
        </w:rPr>
        <w:t xml:space="preserve">, סבורה, כי </w:t>
      </w:r>
      <w:r w:rsidRPr="00FF203B">
        <w:rPr>
          <w:rFonts w:ascii="Century" w:hAnsi="Century" w:cs="Miriam" w:hint="cs"/>
          <w:b/>
          <w:spacing w:val="0"/>
          <w:sz w:val="22"/>
          <w:szCs w:val="24"/>
          <w:rtl/>
        </w:rPr>
        <w:t>"יש להתייחס ביתר חשדנות ולהפעיל ביקורת שיפוטית מוגברת יותר כאשר מדובר בחקיקה או בתיקון לחוק לגביהם מצויה הכנסת ב'ניגוד עניינים מוסדי' בין כובעה כרשות מכוננת לבין קידום תכלית פרטיקולרית-מוסדית אחרת"</w:t>
      </w:r>
      <w:r>
        <w:rPr>
          <w:rFonts w:hint="cs"/>
          <w:rtl/>
        </w:rPr>
        <w:t xml:space="preserve"> (פסקה 22). אף שבענייננו, אין מדובר בחקיקה רלבנטית לכוחה של הכנסת, וכל כולה נטועה במישור היחסים בין הרשות המבצעת לרשות השופטת, הרי שלעמדתה הדבר עולה כדי ניגוד עניינים מוסדי (פסקאות 25-24). לעומת זאת, חברתי לא רואה 'ניגוד עניינים מוסדי' בכך שאנו, השופטים, יושבים ודנים, ב'אובייקטיביות', בסכסוך הנוגע לגבולות סמכותנו-שלנו (פסקה 26). כשלעצמי אני סבור, כי המארג החוקי הקיים, בכל הנוגע לסוגיית ניגוד העניינים, מוליך למסקנה אחרת. אכן, כפי שציינה חברתי, על כל עובדי הציבור באשר הם, למגדול ועד קטן, ושופטי בית משפט זה בכללם, נאסר לפעול בעודם מצויים בניגוד עניינים. אלא מאי? חריג אחד ויחיד ישנו לכלל האמור: חבר </w:t>
      </w:r>
      <w:r>
        <w:rPr>
          <w:rFonts w:hint="cs"/>
          <w:rtl/>
        </w:rPr>
        <w:lastRenderedPageBreak/>
        <w:t xml:space="preserve">הכנסת המשתתף בהצבעה על חוק במליאת הכנסת, רשאי להשתתף באותה הצבעה, אף אם הוא מצוי בניגוד עניינים אישי, תהא חומרתו אשר תהא. זאת, בכפוף להצהרתו מראש על אותו ניגוד עניינים (ראו: סעיף 6 לכללי אתיקה לחברי הכנסת). הדברים נכונים מקל וחומר, מקום בו מדובר בניגוד עניינים 'מוסדי'; בן בנו של קל וחומר, כשמדובר בניגוד עניינים מוסדי עקיף ורחוק יחסית. ממילא, בכל מקרה של העלאת טענות, הדדיות, בדבר קיומו של 'ניגוד עניינים' מוסדי, בין הרשות המחוקקת-מכוננת, לבין בית המשפט </w:t>
      </w:r>
      <w:r>
        <w:rPr>
          <w:rtl/>
        </w:rPr>
        <w:t>–</w:t>
      </w:r>
      <w:r>
        <w:rPr>
          <w:rFonts w:hint="cs"/>
          <w:rtl/>
        </w:rPr>
        <w:t xml:space="preserve"> ידו של בית המשפט תהא על התחתונה: </w:t>
      </w:r>
      <w:r w:rsidRPr="00FF203B">
        <w:rPr>
          <w:rFonts w:ascii="Century" w:hAnsi="Century" w:cs="Miriam" w:hint="cs"/>
          <w:b/>
          <w:spacing w:val="0"/>
          <w:sz w:val="22"/>
          <w:szCs w:val="24"/>
          <w:rtl/>
        </w:rPr>
        <w:t>"</w:t>
      </w:r>
      <w:r w:rsidRPr="00FF203B">
        <w:rPr>
          <w:rFonts w:ascii="Century" w:hAnsi="Century" w:cs="Miriam" w:hint="eastAsia"/>
          <w:b/>
          <w:spacing w:val="0"/>
          <w:sz w:val="22"/>
          <w:szCs w:val="24"/>
          <w:rtl/>
        </w:rPr>
        <w:t>אומר</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לו</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טול</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קיסם</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מבין</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שיניך</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אומר</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לו</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טול</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קורה</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מבין</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עיניך</w:t>
      </w:r>
      <w:r w:rsidRPr="00FF203B">
        <w:rPr>
          <w:rFonts w:ascii="Century" w:hAnsi="Century" w:cs="Miriam"/>
          <w:b/>
          <w:spacing w:val="0"/>
          <w:sz w:val="22"/>
          <w:szCs w:val="24"/>
          <w:rtl/>
        </w:rPr>
        <w:t>"</w:t>
      </w:r>
      <w:r>
        <w:rPr>
          <w:rFonts w:ascii="Century" w:hAnsi="Century" w:hint="cs"/>
          <w:sz w:val="22"/>
          <w:rtl/>
        </w:rPr>
        <w:t xml:space="preserve"> (בבלי, בבא בתרא טו, ע"ב)</w:t>
      </w:r>
      <w:r w:rsidRPr="00FF203B">
        <w:rPr>
          <w:rFonts w:ascii="Century" w:hAnsi="Century"/>
          <w:sz w:val="22"/>
          <w:rtl/>
        </w:rPr>
        <w:t>.</w:t>
      </w:r>
    </w:p>
    <w:p w:rsidR="00EB02E1" w:rsidRDefault="00EB02E1" w:rsidP="00EB02E1">
      <w:pPr>
        <w:pStyle w:val="Ruller41"/>
        <w:rPr>
          <w:rtl/>
        </w:rPr>
      </w:pPr>
    </w:p>
    <w:p w:rsidR="00EB02E1" w:rsidRDefault="00EB02E1" w:rsidP="00EB02E1">
      <w:pPr>
        <w:pStyle w:val="Ruller4"/>
        <w:rPr>
          <w:rtl/>
        </w:rPr>
      </w:pPr>
      <w:r>
        <w:rPr>
          <w:rFonts w:hint="cs"/>
          <w:rtl/>
        </w:rPr>
        <w:t xml:space="preserve">אדרבה, אם נחקור בטעם הדבר, ונעמוד על סודו של הכלל המאפשר לחברי הכנסת להימצא בניגוד עניינים, נמצא שוב את 'עיקרון היסוד של השיטה', שהיה נתון בקונצנזוס עד לא מכבר, שלפיו, זכות 'המילה האחרונה' נתונה לעם המיוצג על-ידי שליחיו, חברי הכנסת; לא לנו. חבר הכנסת לא מוּנה לתפקידו על-ידי מאן דהוא. חבר הכנסת הוא נבחר ציבור. לא את קולו-שלו הוא משמיע, אלא את קול העם. זוהי הסיבה וזהו הטעם, לכלל המפתיע, המאפשר לחבר הכנסת להשתתף בהצבעה במליאת הכנסת, חרף היותו בניגוד עניינים. אכן, ככל שניתן ליישב בין האיסור על פעולה בניגוד עניינים, לבין שמירה על הדמוקרטיה הפרלמנטרית </w:t>
      </w:r>
      <w:r>
        <w:rPr>
          <w:rtl/>
        </w:rPr>
        <w:t>–</w:t>
      </w:r>
      <w:r>
        <w:rPr>
          <w:rFonts w:hint="cs"/>
          <w:rtl/>
        </w:rPr>
        <w:t xml:space="preserve"> יש לעשות זאת. הצבעה בוועדות הכנסת, שם ניתן למנות ממלא-מקום, או יִזוּם חוקים במצב של ניגוד עניינים </w:t>
      </w:r>
      <w:r>
        <w:rPr>
          <w:rtl/>
        </w:rPr>
        <w:t>–</w:t>
      </w:r>
      <w:r>
        <w:rPr>
          <w:rFonts w:hint="cs"/>
          <w:rtl/>
        </w:rPr>
        <w:t xml:space="preserve"> אסורים. אך בהתנגשות חזיתית, ידה של זכות ההשתתפות של חבר הכנסת, המייצג את ציבור בוחריו </w:t>
      </w:r>
      <w:r>
        <w:rPr>
          <w:rtl/>
        </w:rPr>
        <w:t>–</w:t>
      </w:r>
      <w:r>
        <w:rPr>
          <w:rFonts w:hint="cs"/>
          <w:rtl/>
        </w:rPr>
        <w:t xml:space="preserve"> על העליונה, והיא גוברת על האיסור להימצא בניגוד עניינים; עד כדי כך. לעומת זאת, נאסר עלינו, השופטים, לשבת בדין אם מצויים אנו בניגוד עניינים. הטעם לכך, גם הוא ברור ופשוט: בניגוד לחברי הכנסת, לא העם בחר בנו לתפקידנו. מכהנים אנו מכוח חוק-יסוד: השפיטה, שאותו חוקקו חברי הרשות המכוננת. עלינו להכיר את מקומנו, ולא לחרוג מסמכותנו. </w:t>
      </w:r>
    </w:p>
    <w:p w:rsidR="00EB02E1" w:rsidRDefault="00EB02E1" w:rsidP="00EB02E1">
      <w:pPr>
        <w:pStyle w:val="Ruller41"/>
        <w:rPr>
          <w:rtl/>
        </w:rPr>
      </w:pPr>
    </w:p>
    <w:p w:rsidR="00EB02E1" w:rsidRPr="00C32F39" w:rsidRDefault="00EB02E1" w:rsidP="00EB02E1">
      <w:pPr>
        <w:pStyle w:val="2"/>
        <w:rPr>
          <w:rtl/>
        </w:rPr>
      </w:pPr>
      <w:bookmarkStart w:id="60" w:name="_Toc154942593"/>
      <w:bookmarkStart w:id="61" w:name="_Toc154944415"/>
      <w:bookmarkStart w:id="62" w:name="_Toc154947525"/>
      <w:r w:rsidRPr="00C32F39">
        <w:rPr>
          <w:rFonts w:ascii="Century" w:hAnsi="Century" w:cs="Miriam" w:hint="eastAsia"/>
          <w:b/>
          <w:color w:val="auto"/>
          <w:sz w:val="22"/>
          <w:szCs w:val="24"/>
          <w:rtl/>
        </w:rPr>
        <w:t>הרוב</w:t>
      </w:r>
      <w:r w:rsidRPr="00C32F39">
        <w:rPr>
          <w:rFonts w:ascii="Century" w:hAnsi="Century" w:cs="Miriam"/>
          <w:b/>
          <w:color w:val="auto"/>
          <w:sz w:val="22"/>
          <w:szCs w:val="24"/>
          <w:rtl/>
        </w:rPr>
        <w:t xml:space="preserve"> </w:t>
      </w:r>
      <w:r w:rsidRPr="00C32F39">
        <w:rPr>
          <w:rFonts w:ascii="Century" w:hAnsi="Century" w:cs="Miriam" w:hint="eastAsia"/>
          <w:b/>
          <w:color w:val="auto"/>
          <w:sz w:val="22"/>
          <w:szCs w:val="24"/>
          <w:rtl/>
        </w:rPr>
        <w:t>קובע</w:t>
      </w:r>
      <w:r w:rsidRPr="00C32F39">
        <w:rPr>
          <w:rFonts w:ascii="Century" w:hAnsi="Century" w:cs="Miriam"/>
          <w:b/>
          <w:color w:val="auto"/>
          <w:sz w:val="22"/>
          <w:szCs w:val="24"/>
          <w:rtl/>
        </w:rPr>
        <w:t>?</w:t>
      </w:r>
      <w:bookmarkEnd w:id="60"/>
      <w:bookmarkEnd w:id="61"/>
      <w:bookmarkEnd w:id="62"/>
    </w:p>
    <w:p w:rsidR="00EB02E1" w:rsidRDefault="00EB02E1" w:rsidP="00EB02E1">
      <w:pPr>
        <w:pStyle w:val="Ruller4"/>
        <w:rPr>
          <w:rtl/>
        </w:rPr>
      </w:pPr>
      <w:r>
        <w:rPr>
          <w:rFonts w:hint="cs"/>
          <w:rtl/>
        </w:rPr>
        <w:t xml:space="preserve">עמדתם של חברַי בדעת הרוב היא, כי כעיקרון, קביעה שלפיה קיימות מגבלות על סמכותה של הרשות המכוננת, אינה מחייבת, מיניה וביה, קיומה של ביקורת שיפוטית, שבכוחה לאכוף אותן מגבלות. אלא שבסופו של דבר, מגיעה דעת הרוב למסקנה, כי נתונה בידנו גם הסמכות לערוך ביקורת שיפוטית על אותן מגבלות. ברם, חלקם עושים זאת תוך עירוב תחומין בין הדין הרצוי, לבין הדין המצוי. חברתי הנשיאה (בדימ') מנמקת, כיד אוּמנותה הטובה, באריכות ובפרטוּת (פסקאות 85-71), מדוע </w:t>
      </w:r>
      <w:r w:rsidRPr="0062337E">
        <w:rPr>
          <w:rFonts w:ascii="Century" w:hAnsi="Century" w:cs="Miriam" w:hint="cs"/>
          <w:b/>
          <w:spacing w:val="0"/>
          <w:sz w:val="22"/>
          <w:szCs w:val="24"/>
          <w:rtl/>
        </w:rPr>
        <w:t>"אין מנוס"</w:t>
      </w:r>
      <w:r>
        <w:rPr>
          <w:rFonts w:hint="cs"/>
          <w:rtl/>
        </w:rPr>
        <w:t xml:space="preserve"> מביקורת שיפוטית שכזו. לבטח כּנים דבריה, אך אין בכוחו של </w:t>
      </w:r>
      <w:r w:rsidRPr="0062337E">
        <w:rPr>
          <w:rFonts w:ascii="Century" w:hAnsi="Century" w:cs="Miriam" w:hint="cs"/>
          <w:b/>
          <w:spacing w:val="0"/>
          <w:sz w:val="22"/>
          <w:szCs w:val="24"/>
          <w:rtl/>
        </w:rPr>
        <w:t>"אין מנוס"</w:t>
      </w:r>
      <w:r>
        <w:rPr>
          <w:rFonts w:hint="cs"/>
          <w:rtl/>
        </w:rPr>
        <w:t xml:space="preserve"> כדי להפוך למקור סמכות. </w:t>
      </w:r>
    </w:p>
    <w:p w:rsidR="00EB02E1" w:rsidRDefault="00EB02E1" w:rsidP="00EB02E1">
      <w:pPr>
        <w:pStyle w:val="Ruller4"/>
        <w:numPr>
          <w:ilvl w:val="0"/>
          <w:numId w:val="0"/>
        </w:numPr>
        <w:rPr>
          <w:rtl/>
        </w:rPr>
      </w:pPr>
    </w:p>
    <w:p w:rsidR="00EB02E1" w:rsidRDefault="00EB02E1" w:rsidP="00EB02E1">
      <w:pPr>
        <w:pStyle w:val="Ruller4"/>
        <w:textAlignment w:val="auto"/>
        <w:rPr>
          <w:rtl/>
        </w:rPr>
      </w:pPr>
      <w:r>
        <w:rPr>
          <w:rFonts w:hint="cs"/>
          <w:rtl/>
        </w:rPr>
        <w:t xml:space="preserve">על כל פנים, בסופו של דבר, רוב רובם של חברַי בדעת הרוב, אינם מצביעים על קיומה של הסמכה מפורשת לעריכתה של ביקורת שיפוטית שכזו. הטיעון המרכזי התומך בקיומה של ביקורת שיפוטית על חוקי-היסוד הוא לכל היותר טיעון מסוג של הסמכה 'משתמעת'. אֵלו הם דבריה של חברתי הנשיאה (בדימ'): </w:t>
      </w:r>
      <w:r w:rsidRPr="00F52461">
        <w:rPr>
          <w:rFonts w:ascii="Century" w:hAnsi="Century" w:cs="Miriam" w:hint="cs"/>
          <w:b/>
          <w:spacing w:val="0"/>
          <w:szCs w:val="24"/>
          <w:rtl/>
        </w:rPr>
        <w:t xml:space="preserve">"המאפיינים הייחודיים של המבנה החוקתי שלנו ואופן הפעלת הסמכות המכוננת [...] מובילים למסקנה כי </w:t>
      </w:r>
      <w:r w:rsidRPr="00F52461">
        <w:rPr>
          <w:rFonts w:ascii="Century" w:hAnsi="Century" w:cs="Miriam" w:hint="cs"/>
          <w:b/>
          <w:spacing w:val="0"/>
          <w:szCs w:val="24"/>
          <w:u w:val="single"/>
          <w:rtl/>
        </w:rPr>
        <w:t>לא ניתן</w:t>
      </w:r>
      <w:r w:rsidRPr="00F52461">
        <w:rPr>
          <w:rFonts w:ascii="Century" w:hAnsi="Century" w:cs="Miriam" w:hint="cs"/>
          <w:b/>
          <w:spacing w:val="0"/>
          <w:szCs w:val="24"/>
          <w:rtl/>
        </w:rPr>
        <w:t xml:space="preserve"> להותיר את המגבלות על סמכותה המכוננת של הכנסת כמגבלות שאינן אכיפות"</w:t>
      </w:r>
      <w:r w:rsidRPr="0018794D">
        <w:rPr>
          <w:rFonts w:hint="cs"/>
          <w:rtl/>
        </w:rPr>
        <w:t xml:space="preserve"> </w:t>
      </w:r>
      <w:r>
        <w:rPr>
          <w:rFonts w:hint="cs"/>
          <w:rtl/>
        </w:rPr>
        <w:t xml:space="preserve">(פסקה 71). </w:t>
      </w:r>
      <w:r w:rsidRPr="00F52461">
        <w:rPr>
          <w:rFonts w:ascii="Century" w:hAnsi="Century" w:cs="Miriam" w:hint="cs"/>
          <w:b/>
          <w:spacing w:val="0"/>
          <w:szCs w:val="24"/>
          <w:rtl/>
        </w:rPr>
        <w:t xml:space="preserve">"שלושת המאפיינים [...] </w:t>
      </w:r>
      <w:r w:rsidRPr="002F13B6">
        <w:rPr>
          <w:rFonts w:ascii="Century" w:hAnsi="Century"/>
          <w:sz w:val="22"/>
          <w:rtl/>
        </w:rPr>
        <w:t>–</w:t>
      </w:r>
      <w:r w:rsidRPr="00F52461">
        <w:rPr>
          <w:rFonts w:ascii="Century" w:hAnsi="Century" w:cs="Miriam" w:hint="cs"/>
          <w:b/>
          <w:spacing w:val="0"/>
          <w:szCs w:val="24"/>
          <w:rtl/>
        </w:rPr>
        <w:t xml:space="preserve"> גיבוש החוקה 'פרקים פרקים', היעדר הליך נוקשה לכינונה ותיקונה, ושליטת הרוב הפוליטי בהפעלת הסמכות המכוננת, לא כל שכן הצטברותם, הופכים את שיטתנו החוקתית ליוצאת דופן בכל קנה מידה. במצב דברים זה, </w:t>
      </w:r>
      <w:r w:rsidRPr="00F52461">
        <w:rPr>
          <w:rFonts w:ascii="Century" w:hAnsi="Century" w:cs="Miriam" w:hint="cs"/>
          <w:b/>
          <w:spacing w:val="0"/>
          <w:szCs w:val="24"/>
          <w:u w:val="single"/>
          <w:rtl/>
        </w:rPr>
        <w:t>קיים קושי רב</w:t>
      </w:r>
      <w:r w:rsidRPr="00F52461">
        <w:rPr>
          <w:rFonts w:ascii="Century" w:hAnsi="Century" w:cs="Miriam" w:hint="cs"/>
          <w:b/>
          <w:spacing w:val="0"/>
          <w:szCs w:val="24"/>
          <w:rtl/>
        </w:rPr>
        <w:t xml:space="preserve"> בהותרת המגבלות על סמכותה של הכנסת כמגבלות בלתי אכיפות, וללא כל אפשרות מצד בית המשפט לבחון </w:t>
      </w:r>
      <w:r w:rsidRPr="002F13B6">
        <w:rPr>
          <w:rFonts w:ascii="Century" w:hAnsi="Century"/>
          <w:sz w:val="22"/>
          <w:rtl/>
        </w:rPr>
        <w:t>–</w:t>
      </w:r>
      <w:r w:rsidRPr="00F52461">
        <w:rPr>
          <w:rFonts w:ascii="Century" w:hAnsi="Century" w:cs="Miriam" w:hint="cs"/>
          <w:b/>
          <w:spacing w:val="0"/>
          <w:szCs w:val="24"/>
          <w:rtl/>
        </w:rPr>
        <w:t xml:space="preserve"> אף לא במקרים קיצוניים </w:t>
      </w:r>
      <w:r w:rsidRPr="002F13B6">
        <w:rPr>
          <w:rFonts w:ascii="Century" w:hAnsi="Century"/>
          <w:sz w:val="22"/>
          <w:rtl/>
        </w:rPr>
        <w:t>–</w:t>
      </w:r>
      <w:r w:rsidRPr="00F52461">
        <w:rPr>
          <w:rFonts w:ascii="Century" w:hAnsi="Century" w:cs="Miriam" w:hint="cs"/>
          <w:b/>
          <w:spacing w:val="0"/>
          <w:szCs w:val="24"/>
          <w:rtl/>
        </w:rPr>
        <w:t xml:space="preserve"> אם הכנסת חרגה מגבולות סמכותה"</w:t>
      </w:r>
      <w:r>
        <w:rPr>
          <w:rFonts w:hint="cs"/>
          <w:rtl/>
        </w:rPr>
        <w:t xml:space="preserve"> (פסקה 81). </w:t>
      </w:r>
      <w:r w:rsidRPr="00F52461">
        <w:rPr>
          <w:rFonts w:ascii="Century" w:hAnsi="Century" w:cs="Miriam" w:hint="cs"/>
          <w:b/>
          <w:spacing w:val="0"/>
          <w:szCs w:val="24"/>
          <w:rtl/>
        </w:rPr>
        <w:t>"</w:t>
      </w:r>
      <w:r w:rsidRPr="00F52461">
        <w:rPr>
          <w:rFonts w:ascii="Century" w:hAnsi="Century" w:cs="Miriam" w:hint="cs"/>
          <w:b/>
          <w:spacing w:val="0"/>
          <w:szCs w:val="24"/>
          <w:u w:val="single"/>
          <w:rtl/>
        </w:rPr>
        <w:t>קיים צורך</w:t>
      </w:r>
      <w:r w:rsidRPr="00F52461">
        <w:rPr>
          <w:rFonts w:ascii="Century" w:hAnsi="Century" w:cs="Miriam" w:hint="cs"/>
          <w:b/>
          <w:spacing w:val="0"/>
          <w:szCs w:val="24"/>
          <w:rtl/>
        </w:rPr>
        <w:t xml:space="preserve"> בגורם א-פוליטי, אשר ישמש כ'בלם חיצוני' מפני אותם מצבים קיצוניים שבהם הכנסת עלולה לפרוץ את גבולות סמכותה המכוננת. לכן [...] דומה כי</w:t>
      </w:r>
      <w:r w:rsidRPr="0062337E">
        <w:rPr>
          <w:rFonts w:hint="cs"/>
          <w:rtl/>
        </w:rPr>
        <w:t xml:space="preserve"> </w:t>
      </w:r>
      <w:r w:rsidRPr="00F52461">
        <w:rPr>
          <w:rFonts w:ascii="Century" w:hAnsi="Century" w:cs="Miriam" w:hint="cs"/>
          <w:b/>
          <w:spacing w:val="0"/>
          <w:szCs w:val="24"/>
          <w:u w:val="single"/>
          <w:rtl/>
        </w:rPr>
        <w:t>אין מנוס</w:t>
      </w:r>
      <w:r w:rsidRPr="00F52461">
        <w:rPr>
          <w:rFonts w:ascii="Century" w:hAnsi="Century" w:cs="Miriam" w:hint="cs"/>
          <w:b/>
          <w:spacing w:val="0"/>
          <w:szCs w:val="24"/>
          <w:rtl/>
        </w:rPr>
        <w:t xml:space="preserve"> מהכרה באפשרות להעביר את חוקי היסוד תחת שבט הביקורת השיפוטית של בית משפט זה בשבתו כבית המשפט הגבוה לצדק, על מנת להבטיח מענה אפקטיבי באותם מצבי קיצון"</w:t>
      </w:r>
      <w:r>
        <w:rPr>
          <w:rFonts w:hint="cs"/>
          <w:rtl/>
        </w:rPr>
        <w:t xml:space="preserve"> (פסקה 85). </w:t>
      </w:r>
      <w:r w:rsidRPr="00F52461">
        <w:rPr>
          <w:rFonts w:ascii="Century" w:hAnsi="Century" w:cs="Miriam" w:hint="cs"/>
          <w:b/>
          <w:spacing w:val="0"/>
          <w:szCs w:val="24"/>
          <w:rtl/>
        </w:rPr>
        <w:t xml:space="preserve">"לבסוף יש להדגיש כי בישראל, </w:t>
      </w:r>
      <w:r w:rsidRPr="00F52461">
        <w:rPr>
          <w:rFonts w:ascii="Century" w:hAnsi="Century" w:cs="Miriam" w:hint="cs"/>
          <w:b/>
          <w:spacing w:val="0"/>
          <w:szCs w:val="24"/>
          <w:u w:val="single"/>
          <w:rtl/>
        </w:rPr>
        <w:t>אין כיום גוף אחר</w:t>
      </w:r>
      <w:r w:rsidRPr="00F52461">
        <w:rPr>
          <w:rFonts w:ascii="Century" w:hAnsi="Century" w:cs="Miriam" w:hint="cs"/>
          <w:b/>
          <w:spacing w:val="0"/>
          <w:szCs w:val="24"/>
          <w:rtl/>
        </w:rPr>
        <w:t xml:space="preserve"> מלבד בית המשפט [...] אשר יש ביכולתו לשמש 'בלם חיצוני' בפני גבולות הסמכות המכוננת [...] גם במדינות אחרות שבהן המגבלות על תיקון החוקה הן אכיפות, הגוף המופקד ככלל על מלאכת הביקורת הוא בית המשפט"</w:t>
      </w:r>
      <w:r>
        <w:rPr>
          <w:rFonts w:hint="cs"/>
          <w:rtl/>
        </w:rPr>
        <w:t xml:space="preserve"> (פסקה 88). מסקנתה של חברתי, שאליה מצטרפים חברַי בדעת הרוב, היא כי בית משפט זה הוא הגורם המתאים, ולמעשה היחיד שביכולתו לעשות את מלאכת הביקורת, ועל כן ניתן לראות בכך מקור סמכות, המאפשר לנו לשלוח את ידנו בחקיקת-היסוד, חוקתה של המדינה, ולהסיר ממנה אותם חלקים שלא מצאו חן ושכל טוב בעינינו. </w:t>
      </w:r>
    </w:p>
    <w:p w:rsidR="00EB02E1" w:rsidRDefault="00EB02E1" w:rsidP="00EB02E1">
      <w:pPr>
        <w:pStyle w:val="Ruller4"/>
        <w:numPr>
          <w:ilvl w:val="0"/>
          <w:numId w:val="0"/>
        </w:numPr>
        <w:rPr>
          <w:rtl/>
        </w:rPr>
      </w:pPr>
    </w:p>
    <w:p w:rsidR="00EB02E1" w:rsidRDefault="00EB02E1" w:rsidP="00EB02E1">
      <w:pPr>
        <w:pStyle w:val="Ruller4"/>
        <w:rPr>
          <w:rtl/>
        </w:rPr>
      </w:pPr>
      <w:r>
        <w:rPr>
          <w:rFonts w:hint="cs"/>
          <w:rtl/>
        </w:rPr>
        <w:t xml:space="preserve">גם אם נאמץ את מסקנת דעת הרוב, על קִרבּה ועל כּרעיה, עדיין לא באנו אל המנוחה ואל הנחלה. אם כל אותה הסמכה </w:t>
      </w:r>
      <w:r>
        <w:rPr>
          <w:rtl/>
        </w:rPr>
        <w:t>–</w:t>
      </w:r>
      <w:r>
        <w:rPr>
          <w:rFonts w:hint="cs"/>
          <w:rtl/>
        </w:rPr>
        <w:t xml:space="preserve"> הסמכה משתמעת היא, מחמת העדר כל גורם אחר שניתן להפקיד בידיו</w:t>
      </w:r>
      <w:r w:rsidRPr="00E2398E">
        <w:rPr>
          <w:rFonts w:hint="cs"/>
          <w:rtl/>
        </w:rPr>
        <w:t xml:space="preserve"> </w:t>
      </w:r>
      <w:r>
        <w:rPr>
          <w:rFonts w:hint="cs"/>
          <w:rtl/>
        </w:rPr>
        <w:t xml:space="preserve">את המלאכה, הרי שלא ניתן להסיק מאותה הסמכה </w:t>
      </w:r>
      <w:r>
        <w:rPr>
          <w:rtl/>
        </w:rPr>
        <w:t>–</w:t>
      </w:r>
      <w:r>
        <w:rPr>
          <w:rFonts w:hint="cs"/>
          <w:rtl/>
        </w:rPr>
        <w:t xml:space="preserve"> אלא מה שיש בה; הסמכה מינימלית וצרה. אם ננסה להרחיבהּ, לא יהיה לה, לאותה הסמכה, על מה להישען. שוב לא תהיה 'משתמעת' כלל ועיקר. </w:t>
      </w:r>
    </w:p>
    <w:p w:rsidR="00EB02E1" w:rsidRPr="0062337E" w:rsidRDefault="00EB02E1" w:rsidP="00EB02E1">
      <w:pPr>
        <w:pStyle w:val="Ruller41"/>
      </w:pPr>
    </w:p>
    <w:p w:rsidR="00EB02E1" w:rsidRDefault="00EB02E1" w:rsidP="00EB02E1">
      <w:pPr>
        <w:pStyle w:val="Ruller4"/>
        <w:rPr>
          <w:rtl/>
        </w:rPr>
      </w:pPr>
      <w:r>
        <w:rPr>
          <w:rFonts w:hint="cs"/>
          <w:rtl/>
        </w:rPr>
        <w:t xml:space="preserve">כאמור, לשיטתם של חברַי, קיימת 'הסמכה משתמעת' שמכוחה מתאפשר לבית המשפט לבקר את חקיקת-היסוד. גם אם נקבל זאת, אזי מאותה סמכות משתמעת, ניתן להסיק לכל היותר כי מקום שבו קיים 'קונצנזוס' בקרב השופטים, שלפיו יש לפסול את חוק-היסוד, יהא בכוחנו לעשות זאת. אין בנמצא כל מקור סמכות, ולוּ משתמעת, שממנו </w:t>
      </w:r>
      <w:r>
        <w:rPr>
          <w:rFonts w:hint="cs"/>
          <w:rtl/>
        </w:rPr>
        <w:lastRenderedPageBreak/>
        <w:t xml:space="preserve">ניתן להסיק כי בסמכותנו לפסול חוקי-יסוד מקום שבו נחלקו דעות השופטים עצמם, קל וחומר ברוב דחוק, על חודו של קול. כל אותן 'הסמכות משתמעות', שעליהן מבקשת חברתי, וחברַי בעקבותיה, להסתמך, עשויות ללמד לכל היותר על הסמכה משתמעת לקיום ביקורת שיפוטית פה-אחד. ביקורת שיפוטית המחייבת הכרעה פה-אחד, לא מותירה </w:t>
      </w:r>
      <w:r w:rsidRPr="0062337E">
        <w:rPr>
          <w:rFonts w:ascii="Century" w:hAnsi="Century" w:cs="Miriam" w:hint="cs"/>
          <w:b/>
          <w:spacing w:val="0"/>
          <w:sz w:val="22"/>
          <w:szCs w:val="24"/>
          <w:rtl/>
        </w:rPr>
        <w:t>"את המגבלות על סמכותה המכוננת של הכנסת כמגבלות שאינן אכיפות"</w:t>
      </w:r>
      <w:r>
        <w:rPr>
          <w:rFonts w:ascii="Century" w:hAnsi="Century" w:hint="cs"/>
          <w:sz w:val="22"/>
          <w:rtl/>
        </w:rPr>
        <w:t>.</w:t>
      </w:r>
      <w:r w:rsidRPr="0062337E">
        <w:rPr>
          <w:rFonts w:ascii="Century" w:hAnsi="Century" w:hint="cs"/>
          <w:sz w:val="22"/>
          <w:rtl/>
        </w:rPr>
        <w:t xml:space="preserve"> </w:t>
      </w:r>
      <w:r>
        <w:rPr>
          <w:rFonts w:hint="cs"/>
          <w:rtl/>
        </w:rPr>
        <w:t xml:space="preserve">בית משפט זה, גם אם סמכותו מוגבלת ליתן את פסיקתו רק פה אחד, סוף כל סוף הריהו </w:t>
      </w:r>
      <w:r w:rsidRPr="0062337E">
        <w:rPr>
          <w:rFonts w:ascii="Century" w:hAnsi="Century" w:cs="Miriam" w:hint="cs"/>
          <w:b/>
          <w:spacing w:val="0"/>
          <w:sz w:val="22"/>
          <w:szCs w:val="24"/>
          <w:rtl/>
        </w:rPr>
        <w:t>"גורם א-פוליטי, אשר ישמש כ'בלם חיצוני' מפני אותם מצבים קיצוניים שבהם הכנסת עלולה לפרוץ את גבולות סמכותה המכוננת"</w:t>
      </w:r>
      <w:r>
        <w:rPr>
          <w:rFonts w:ascii="Century" w:hAnsi="Century" w:hint="cs"/>
          <w:sz w:val="22"/>
          <w:rtl/>
        </w:rPr>
        <w:t xml:space="preserve">. כל אותן הנמקות, שמהן מבקשת חברתי להוכיח קיומה של 'סמכות משתמעת' </w:t>
      </w:r>
      <w:r>
        <w:rPr>
          <w:rFonts w:ascii="Century" w:hAnsi="Century"/>
          <w:sz w:val="22"/>
          <w:rtl/>
        </w:rPr>
        <w:t>–</w:t>
      </w:r>
      <w:r>
        <w:rPr>
          <w:rFonts w:ascii="Century" w:hAnsi="Century" w:hint="cs"/>
          <w:sz w:val="22"/>
          <w:rtl/>
        </w:rPr>
        <w:t xml:space="preserve"> שוב אינן רלבנטיות, שעה שאנו מבקשים להסיק מהן על סמכות לפסול חוקי-יסוד, גם בבית משפט שנחלקו בו הדעות;</w:t>
      </w:r>
      <w:r w:rsidRPr="0062337E">
        <w:rPr>
          <w:rFonts w:ascii="Century" w:hAnsi="Century" w:cs="Miriam" w:hint="cs"/>
          <w:b/>
          <w:spacing w:val="0"/>
          <w:sz w:val="22"/>
          <w:szCs w:val="24"/>
          <w:rtl/>
        </w:rPr>
        <w:t xml:space="preserve"> </w:t>
      </w:r>
      <w:r>
        <w:rPr>
          <w:rFonts w:hint="cs"/>
          <w:rtl/>
        </w:rPr>
        <w:t xml:space="preserve">קל וחומר מקום שבו ההכרעה נופלת על חודו של קול. </w:t>
      </w:r>
    </w:p>
    <w:p w:rsidR="00EB02E1" w:rsidRDefault="00EB02E1" w:rsidP="00EB02E1">
      <w:pPr>
        <w:pStyle w:val="Ruller41"/>
        <w:rPr>
          <w:rtl/>
        </w:rPr>
      </w:pPr>
    </w:p>
    <w:p w:rsidR="00EB02E1" w:rsidRDefault="00EB02E1" w:rsidP="00EB02E1">
      <w:pPr>
        <w:pStyle w:val="Ruller4"/>
        <w:rPr>
          <w:rtl/>
        </w:rPr>
      </w:pPr>
      <w:r>
        <w:rPr>
          <w:rFonts w:hint="cs"/>
          <w:rtl/>
        </w:rPr>
        <w:t xml:space="preserve">הקביעה שלפיה, במצב הדברים הרגיל, בהעדר הכרעה 'פה אחד', תכריע דעת הרוב, מקורה בחקיקה 'רגילה', בהוראת סעיף 80(א) לחוק בתי המשפט [נוסח משולב], התשמ"ד-1984 </w:t>
      </w:r>
      <w:r>
        <w:rPr>
          <w:rtl/>
        </w:rPr>
        <w:t>(</w:t>
      </w:r>
      <w:r>
        <w:rPr>
          <w:rFonts w:hint="eastAsia"/>
          <w:rtl/>
        </w:rPr>
        <w:t>להלן</w:t>
      </w:r>
      <w:r>
        <w:rPr>
          <w:rtl/>
        </w:rPr>
        <w:t xml:space="preserve">: </w:t>
      </w:r>
      <w:r>
        <w:rPr>
          <w:rFonts w:ascii="Century" w:hAnsi="Century" w:cs="Miriam" w:hint="cs"/>
          <w:b/>
          <w:spacing w:val="0"/>
          <w:sz w:val="22"/>
          <w:szCs w:val="24"/>
          <w:rtl/>
        </w:rPr>
        <w:t>חוק בתי המשפט</w:t>
      </w:r>
      <w:r>
        <w:rPr>
          <w:rFonts w:hint="cs"/>
          <w:rtl/>
        </w:rPr>
        <w:t>). לא ניתן לעשות בהוראה זו שימוש לענייננ</w:t>
      </w:r>
      <w:r>
        <w:rPr>
          <w:rFonts w:hint="eastAsia"/>
          <w:rtl/>
        </w:rPr>
        <w:t>ו</w:t>
      </w:r>
      <w:r>
        <w:rPr>
          <w:rFonts w:hint="cs"/>
          <w:rtl/>
        </w:rPr>
        <w:t xml:space="preserve">-שלנו. כל אותה סמכות נטענת, המאפשרת לנו לערוך ביקורת שיפוטית, ולבטל אף את חוקי-היסוד, הריהי 'סמכות משתמעת'; חריגה שבחריגים. סמכות הנובעת כל-כולה מהעדר גוף אחר שביכולתו לעשות כן. ממילא, ככל שקיים גוף אחר שבכוחו לעשות כן, ופגיעתו בדמוקרטיה פחוּתה, כמו בית משפט שבסמכותו לפסול חוקי-יסוד רק ב'קונצנזוס', הרי שאותה סמכות נתונה לו; לא לנו, ב'כובענו' כבית משפט 'רגיל' הפועל לפי הוראות סעיף 80(א), ומכריע בהתאם לדעת הרוב. לא ניתן לערוך 'פלגינן דיבורא', ולפנות בצר לנו להוראותיו של חוק 'רגיל', בניסיון להרחיב אותה סמכות 'משתמעת' עוד ועוד, הרחק מעבר למינימום הנדרש. הסמכות לקיום ביקורת שיפוטית, לא נסמכת על הוראותיו של חוק או חוק-יסוד, אלא ניצבת ממעל להם. אין כל טעם אפוא להיתלות בהוראות 'חוקיות', שנועדו למצב הדברים הרגיל, שבו סמכותו של בית המשפט נלמדת מכוח חוק-יסוד: השפיטה, כדי לנסות ולגזור מהם את סמכותו של בית המשפט ליתן את הכרעתו בדעת רוב. גם אם נקבל את עמדת הרוב, שלפיה 'נגזר' עלינו לקיים ביקורת שיפוטית על חקיקת-יסוד, עלינו 'לגדר' אותה למינימום האפשרי. 'אין לך בו, אלא חידושו'. ליותר מכך, גם לשיטת חברַי בדעת הרוב, אין מקור סמכות.   </w:t>
      </w:r>
    </w:p>
    <w:p w:rsidR="00EB02E1" w:rsidRDefault="00EB02E1" w:rsidP="00EB02E1">
      <w:pPr>
        <w:pStyle w:val="Ruller41"/>
        <w:rPr>
          <w:rtl/>
        </w:rPr>
      </w:pPr>
    </w:p>
    <w:p w:rsidR="00EB02E1" w:rsidRDefault="00EB02E1" w:rsidP="00EB02E1">
      <w:pPr>
        <w:pStyle w:val="Ruller4"/>
        <w:rPr>
          <w:rtl/>
        </w:rPr>
      </w:pPr>
      <w:r>
        <w:rPr>
          <w:rFonts w:hint="cs"/>
          <w:rtl/>
        </w:rPr>
        <w:t>אוסיף, על קצה המזלג, מבלי לטעת מסמרות, כי גם במישור ה</w:t>
      </w:r>
      <w:r w:rsidRPr="0018474F">
        <w:rPr>
          <w:rFonts w:hint="cs"/>
          <w:rtl/>
        </w:rPr>
        <w:t>דין</w:t>
      </w:r>
      <w:r>
        <w:rPr>
          <w:rFonts w:hint="cs"/>
          <w:rtl/>
        </w:rPr>
        <w:t xml:space="preserve"> </w:t>
      </w:r>
      <w:r w:rsidRPr="0018474F">
        <w:rPr>
          <w:rFonts w:hint="cs"/>
          <w:rtl/>
        </w:rPr>
        <w:t xml:space="preserve">הרצוי, הסכמה של כל חלקי העם, שלפיה תינתן הסמכה מפורשת לפסילת חוקי-יסוד, אך ניתן יהיה לפסול חוקי-יסוד, או אף חוקים 'רגילים', רק בהתקיים 'קונצנזוס' בקרב השופטים, עשויה להוות פתרון מאוזן, שיש בו מענה לאינטרסים הנוגדים, מזה ומזה. אם כך יהא, </w:t>
      </w:r>
      <w:r w:rsidRPr="0018474F">
        <w:rPr>
          <w:rFonts w:hint="cs"/>
          <w:rtl/>
        </w:rPr>
        <w:lastRenderedPageBreak/>
        <w:t>ותופקד בידינו הסמכות המפורשת והמוסכמת לפסול חוקי-יסוד, מובטחנו כי במקרים המתאימים, בתקווה שלא יתרחשו, לא נתקשה לגבש 'קונצנזוס'. להצעה דומה בעניינה של עילת הסבירות</w:t>
      </w:r>
      <w:r w:rsidRPr="00B5109C">
        <w:rPr>
          <w:rFonts w:hint="cs"/>
          <w:rtl/>
        </w:rPr>
        <w:t>, ראו לקמן פסקא</w:t>
      </w:r>
      <w:r>
        <w:rPr>
          <w:rFonts w:hint="cs"/>
          <w:rtl/>
        </w:rPr>
        <w:t>ות 210-207</w:t>
      </w:r>
      <w:r w:rsidRPr="0018474F">
        <w:rPr>
          <w:rFonts w:hint="cs"/>
          <w:rtl/>
        </w:rPr>
        <w:t xml:space="preserve"> לחוות דעתי. הנימוקים שהועלו שם, כוחם יפה</w:t>
      </w:r>
      <w:r>
        <w:rPr>
          <w:rFonts w:hint="cs"/>
          <w:rtl/>
        </w:rPr>
        <w:t xml:space="preserve"> במידה רבה גם לעניין שלפנינו; 'עניין אחד עולה לכאן ולכאן'. </w:t>
      </w:r>
    </w:p>
    <w:p w:rsidR="00EB02E1" w:rsidRDefault="00EB02E1" w:rsidP="00EB02E1">
      <w:pPr>
        <w:pStyle w:val="Ruller41"/>
        <w:rPr>
          <w:rtl/>
        </w:rPr>
      </w:pPr>
    </w:p>
    <w:p w:rsidR="00EB02E1" w:rsidRPr="004B57C4" w:rsidRDefault="00EB02E1" w:rsidP="00EB02E1">
      <w:pPr>
        <w:pStyle w:val="2"/>
        <w:rPr>
          <w:rtl/>
        </w:rPr>
      </w:pPr>
      <w:bookmarkStart w:id="63" w:name="_Toc154942594"/>
      <w:bookmarkStart w:id="64" w:name="_Toc154944416"/>
      <w:bookmarkStart w:id="65" w:name="_Toc154947526"/>
      <w:r w:rsidRPr="004B57C4">
        <w:rPr>
          <w:rFonts w:ascii="Century" w:hAnsi="Century" w:cs="Miriam" w:hint="eastAsia"/>
          <w:b/>
          <w:color w:val="auto"/>
          <w:sz w:val="22"/>
          <w:szCs w:val="24"/>
          <w:rtl/>
        </w:rPr>
        <w:t>הנורמה</w:t>
      </w:r>
      <w:r w:rsidRPr="004B57C4">
        <w:rPr>
          <w:rFonts w:ascii="Century" w:hAnsi="Century" w:cs="Miriam"/>
          <w:b/>
          <w:color w:val="auto"/>
          <w:sz w:val="22"/>
          <w:szCs w:val="24"/>
          <w:rtl/>
        </w:rPr>
        <w:t xml:space="preserve"> </w:t>
      </w:r>
      <w:r w:rsidRPr="004B57C4">
        <w:rPr>
          <w:rFonts w:ascii="Century" w:hAnsi="Century" w:cs="Miriam" w:hint="eastAsia"/>
          <w:b/>
          <w:color w:val="auto"/>
          <w:sz w:val="22"/>
          <w:szCs w:val="24"/>
          <w:rtl/>
        </w:rPr>
        <w:t>הבסיסית</w:t>
      </w:r>
      <w:r w:rsidRPr="004B57C4">
        <w:rPr>
          <w:rFonts w:ascii="Century" w:hAnsi="Century" w:cs="Miriam"/>
          <w:b/>
          <w:color w:val="auto"/>
          <w:sz w:val="22"/>
          <w:szCs w:val="24"/>
          <w:rtl/>
        </w:rPr>
        <w:t xml:space="preserve"> </w:t>
      </w:r>
      <w:r w:rsidRPr="004B57C4">
        <w:rPr>
          <w:rFonts w:ascii="Century" w:hAnsi="Century" w:cs="Miriam" w:hint="eastAsia"/>
          <w:b/>
          <w:color w:val="auto"/>
          <w:sz w:val="22"/>
          <w:szCs w:val="24"/>
          <w:rtl/>
        </w:rPr>
        <w:t>של</w:t>
      </w:r>
      <w:r w:rsidRPr="004B57C4">
        <w:rPr>
          <w:rFonts w:ascii="Century" w:hAnsi="Century" w:cs="Miriam"/>
          <w:b/>
          <w:color w:val="auto"/>
          <w:sz w:val="22"/>
          <w:szCs w:val="24"/>
          <w:rtl/>
        </w:rPr>
        <w:t xml:space="preserve"> </w:t>
      </w:r>
      <w:r w:rsidRPr="004B57C4">
        <w:rPr>
          <w:rFonts w:ascii="Century" w:hAnsi="Century" w:cs="Miriam" w:hint="eastAsia"/>
          <w:b/>
          <w:color w:val="auto"/>
          <w:sz w:val="22"/>
          <w:szCs w:val="24"/>
          <w:rtl/>
        </w:rPr>
        <w:t>המשפט</w:t>
      </w:r>
      <w:r w:rsidRPr="004B57C4">
        <w:rPr>
          <w:rFonts w:ascii="Century" w:hAnsi="Century" w:cs="Miriam"/>
          <w:b/>
          <w:color w:val="auto"/>
          <w:sz w:val="22"/>
          <w:szCs w:val="24"/>
          <w:rtl/>
        </w:rPr>
        <w:t xml:space="preserve"> </w:t>
      </w:r>
      <w:r w:rsidRPr="004B57C4">
        <w:rPr>
          <w:rFonts w:ascii="Century" w:hAnsi="Century" w:cs="Miriam" w:hint="eastAsia"/>
          <w:b/>
          <w:color w:val="auto"/>
          <w:sz w:val="22"/>
          <w:szCs w:val="24"/>
          <w:rtl/>
        </w:rPr>
        <w:t>הישראלי</w:t>
      </w:r>
      <w:bookmarkEnd w:id="63"/>
      <w:bookmarkEnd w:id="64"/>
      <w:bookmarkEnd w:id="65"/>
    </w:p>
    <w:p w:rsidR="00EB02E1" w:rsidRDefault="00EB02E1" w:rsidP="00EB02E1">
      <w:pPr>
        <w:pStyle w:val="Ruller4"/>
        <w:rPr>
          <w:rtl/>
        </w:rPr>
      </w:pPr>
      <w:r>
        <w:rPr>
          <w:rFonts w:hint="cs"/>
          <w:rtl/>
        </w:rPr>
        <w:t xml:space="preserve"> חווֹת הדעת של חברַי מלמדות, כי גם אֵלו הסבורים כי בסמכותנו להורות על פסילת חוקי-יסוד, אינם מסכימים, כלל ועיקר, על מקור הסמכות לכך. שלל מקורות סמכות אפשריים העלו חברַי, איש איש ומקור סמכותו. יש גם מי מבין חברַי, שלא ראה צורך בהצבעה על מקור סמכות ספציפי, שהוא המהווה לעמדתו את מקור הסמכות. די לו בתוצאה הקובעת את עצם קיומה של סמכות שכזו, גם אם לא מחוּור לו מה מקורה (ראו: </w:t>
      </w:r>
      <w:r w:rsidRPr="00B5109C">
        <w:rPr>
          <w:rFonts w:hint="cs"/>
          <w:rtl/>
        </w:rPr>
        <w:t>פסקה 17</w:t>
      </w:r>
      <w:r>
        <w:rPr>
          <w:rFonts w:hint="cs"/>
          <w:rtl/>
        </w:rPr>
        <w:t xml:space="preserve"> לחוות דעתו של חברי השופט </w:t>
      </w:r>
      <w:r w:rsidRPr="00B5109C">
        <w:rPr>
          <w:rFonts w:ascii="Century" w:hAnsi="Century" w:cs="Miriam" w:hint="cs"/>
          <w:b/>
          <w:spacing w:val="0"/>
          <w:sz w:val="22"/>
          <w:szCs w:val="24"/>
          <w:rtl/>
        </w:rPr>
        <w:t>י' עמית</w:t>
      </w:r>
      <w:r w:rsidRPr="00B5109C">
        <w:rPr>
          <w:rFonts w:hint="cs"/>
          <w:rtl/>
        </w:rPr>
        <w:t>).</w:t>
      </w:r>
      <w:r>
        <w:rPr>
          <w:rFonts w:hint="cs"/>
          <w:rtl/>
        </w:rPr>
        <w:t xml:space="preserve"> כל אחד מחברַי משוכנע, באמת ובתמים, כי מקור הסמכות שבו הוא דוגל, בלתי ניתן לערעור. מנגד, רבים אחרים מקרב חברַי סבורים, כי טעות היא בידו. מקור סמכות המוסכם על כולם </w:t>
      </w:r>
      <w:r>
        <w:rPr>
          <w:rtl/>
        </w:rPr>
        <w:t>–</w:t>
      </w:r>
      <w:r>
        <w:rPr>
          <w:rFonts w:hint="cs"/>
          <w:rtl/>
        </w:rPr>
        <w:t xml:space="preserve"> אין בנמצא; </w:t>
      </w:r>
      <w:r w:rsidRPr="00F93070">
        <w:rPr>
          <w:rFonts w:ascii="Century" w:hAnsi="Century" w:cs="Miriam" w:hint="cs"/>
          <w:b/>
          <w:spacing w:val="0"/>
          <w:sz w:val="22"/>
          <w:szCs w:val="24"/>
          <w:rtl/>
        </w:rPr>
        <w:t>"זה פ</w:t>
      </w:r>
      <w:r>
        <w:rPr>
          <w:rFonts w:ascii="Century" w:hAnsi="Century" w:cs="Miriam" w:hint="cs"/>
          <w:b/>
          <w:spacing w:val="0"/>
          <w:sz w:val="22"/>
          <w:szCs w:val="24"/>
          <w:rtl/>
        </w:rPr>
        <w:t>וס</w:t>
      </w:r>
      <w:r w:rsidRPr="00F93070">
        <w:rPr>
          <w:rFonts w:ascii="Century" w:hAnsi="Century" w:cs="Miriam" w:hint="cs"/>
          <w:b/>
          <w:spacing w:val="0"/>
          <w:sz w:val="22"/>
          <w:szCs w:val="24"/>
          <w:rtl/>
        </w:rPr>
        <w:t>ל עדיו של זה, וזה פוסל עדיו של זה"</w:t>
      </w:r>
      <w:r>
        <w:rPr>
          <w:rFonts w:hint="cs"/>
          <w:rtl/>
        </w:rPr>
        <w:t xml:space="preserve"> (משנה, סנהדרין ג, א).  </w:t>
      </w:r>
    </w:p>
    <w:p w:rsidR="00EB02E1" w:rsidRPr="00F93070" w:rsidRDefault="00EB02E1" w:rsidP="00EB02E1">
      <w:pPr>
        <w:pStyle w:val="Ruller41"/>
        <w:rPr>
          <w:rtl/>
        </w:rPr>
      </w:pPr>
    </w:p>
    <w:p w:rsidR="00EB02E1" w:rsidRDefault="00EB02E1" w:rsidP="00EB02E1">
      <w:pPr>
        <w:pStyle w:val="Ruller4"/>
        <w:rPr>
          <w:rtl/>
        </w:rPr>
      </w:pPr>
      <w:r>
        <w:rPr>
          <w:rFonts w:hint="cs"/>
          <w:rtl/>
        </w:rPr>
        <w:t xml:space="preserve">אם יעמוד אֵי-מִי וישאל לדעתם של שופטי הרוב: </w:t>
      </w:r>
      <w:r w:rsidRPr="00F93070">
        <w:rPr>
          <w:rFonts w:ascii="Century" w:hAnsi="Century" w:cs="Miriam" w:hint="cs"/>
          <w:b/>
          <w:spacing w:val="0"/>
          <w:sz w:val="22"/>
          <w:szCs w:val="24"/>
          <w:rtl/>
        </w:rPr>
        <w:t xml:space="preserve">אמרו לי רבותי דיינים מומחים, מהי הנורמה החוקתית העליונה, </w:t>
      </w:r>
      <w:r>
        <w:rPr>
          <w:rFonts w:ascii="Century" w:hAnsi="Century" w:cs="Miriam" w:hint="cs"/>
          <w:b/>
          <w:spacing w:val="0"/>
          <w:sz w:val="22"/>
          <w:szCs w:val="24"/>
          <w:rtl/>
        </w:rPr>
        <w:t xml:space="preserve">הבסיסית, </w:t>
      </w:r>
      <w:r w:rsidRPr="00F93070">
        <w:rPr>
          <w:rFonts w:ascii="Century" w:hAnsi="Century" w:cs="Miriam" w:hint="cs"/>
          <w:b/>
          <w:spacing w:val="0"/>
          <w:sz w:val="22"/>
          <w:szCs w:val="24"/>
          <w:rtl/>
        </w:rPr>
        <w:t xml:space="preserve">שמכוחה נקבע על-ידכם כי חקיקת-יסוד שיצאה תחת ידיו של המכונן </w:t>
      </w:r>
      <w:r w:rsidRPr="00F93070">
        <w:rPr>
          <w:rFonts w:ascii="Century" w:hAnsi="Century"/>
          <w:sz w:val="22"/>
          <w:rtl/>
        </w:rPr>
        <w:t>–</w:t>
      </w:r>
      <w:r w:rsidRPr="00F93070">
        <w:rPr>
          <w:rFonts w:ascii="Century" w:hAnsi="Century" w:cs="Miriam" w:hint="cs"/>
          <w:b/>
          <w:spacing w:val="0"/>
          <w:sz w:val="22"/>
          <w:szCs w:val="24"/>
          <w:rtl/>
        </w:rPr>
        <w:t xml:space="preserve"> בטלה?</w:t>
      </w:r>
      <w:r>
        <w:rPr>
          <w:rFonts w:hint="cs"/>
          <w:rtl/>
        </w:rPr>
        <w:t xml:space="preserve"> דומני כי הלה יתקשה לקבל תשובה ברורה לשאלתו. אותה 'נורמת יסוד', עיקר העיקרים, שאמורה לעמוד ביסוד היסודות של משטרנו הדמוקרטי, נותרת 'חמקמקה' ובלתי ניתנת להשגה. גם אם נשאל את מוצא פיהם של מלומדי המשפט החוקתי, לא ידעו הם להצביע לעברה של אותה נורמה עליונה. כל שניתן יהיה לומר הוא, כי דעת הרוב הכריעה על עצם קיומה של סמכות שכזו, מבלי להכריע מי היא ומה שמהּ; איה מקום מנוחתהּ. </w:t>
      </w:r>
    </w:p>
    <w:p w:rsidR="00EB02E1" w:rsidRPr="00F93070" w:rsidRDefault="00EB02E1" w:rsidP="00EB02E1">
      <w:pPr>
        <w:pStyle w:val="Ruller41"/>
      </w:pPr>
    </w:p>
    <w:p w:rsidR="00EB02E1" w:rsidRDefault="00EB02E1" w:rsidP="00EB02E1">
      <w:pPr>
        <w:pStyle w:val="Ruller4"/>
        <w:rPr>
          <w:rtl/>
        </w:rPr>
      </w:pPr>
      <w:r>
        <w:rPr>
          <w:rFonts w:hint="cs"/>
          <w:rtl/>
        </w:rPr>
        <w:t xml:space="preserve">אם לא די בכך, הרי שישנו כּשל אחר </w:t>
      </w:r>
      <w:r>
        <w:rPr>
          <w:rtl/>
        </w:rPr>
        <w:t>–</w:t>
      </w:r>
      <w:r>
        <w:rPr>
          <w:rFonts w:hint="cs"/>
          <w:rtl/>
        </w:rPr>
        <w:t xml:space="preserve"> יסודי יותר. כל כולו של הדיון עד כה, הן בחווֹת הדעת של חברותי וחברַי, הן בחוות דעתי-שלי, טומן בחובו הנחת יסוד מוקדמת. אותה הנחת יסוד, אינה מובנת מאליה. כאמור בפתח דברַי, </w:t>
      </w:r>
      <w:r>
        <w:rPr>
          <w:rtl/>
        </w:rPr>
        <w:t xml:space="preserve">חברתי הנשיאה </w:t>
      </w:r>
      <w:r>
        <w:rPr>
          <w:rFonts w:hint="cs"/>
          <w:rtl/>
        </w:rPr>
        <w:t xml:space="preserve">(בדימ') </w:t>
      </w:r>
      <w:r>
        <w:rPr>
          <w:rtl/>
        </w:rPr>
        <w:t xml:space="preserve">מציינת, כי </w:t>
      </w:r>
      <w:r w:rsidRPr="00AB4B60">
        <w:rPr>
          <w:rFonts w:ascii="Century" w:hAnsi="Century" w:cs="Miriam"/>
          <w:b/>
          <w:spacing w:val="0"/>
          <w:sz w:val="22"/>
          <w:szCs w:val="24"/>
          <w:rtl/>
        </w:rPr>
        <w:t>"בהליכים שלפנינו מתעוררות שתי שאלות עיקריות: השאלה הראשונה היא האם ניתן לקי</w:t>
      </w:r>
      <w:r>
        <w:rPr>
          <w:rFonts w:ascii="Century" w:hAnsi="Century" w:cs="Miriam" w:hint="cs"/>
          <w:b/>
          <w:spacing w:val="0"/>
          <w:sz w:val="22"/>
          <w:szCs w:val="24"/>
          <w:rtl/>
        </w:rPr>
        <w:t>י</w:t>
      </w:r>
      <w:r w:rsidRPr="00AB4B60">
        <w:rPr>
          <w:rFonts w:ascii="Century" w:hAnsi="Century" w:cs="Miriam"/>
          <w:b/>
          <w:spacing w:val="0"/>
          <w:sz w:val="22"/>
          <w:szCs w:val="24"/>
          <w:rtl/>
        </w:rPr>
        <w:t>ם ביקורת שיפוטית על תוכנם של חוקי היסוד כאשר מועלית טענה לפיה הכנסת חרגה מסמכותה המכוננת.</w:t>
      </w:r>
      <w:r w:rsidRPr="00AB4B60">
        <w:rPr>
          <w:rtl/>
        </w:rPr>
        <w:t xml:space="preserve"> </w:t>
      </w:r>
      <w:r w:rsidRPr="00F93070">
        <w:rPr>
          <w:rFonts w:ascii="Century" w:hAnsi="Century" w:cs="Miriam"/>
          <w:b/>
          <w:spacing w:val="0"/>
          <w:sz w:val="22"/>
          <w:szCs w:val="24"/>
          <w:rtl/>
        </w:rPr>
        <w:t>זוהי שאלה מורכבת ועד עתה נמנע בית משפט זה מלהכריע בה</w:t>
      </w:r>
      <w:r>
        <w:rPr>
          <w:rtl/>
        </w:rPr>
        <w:t xml:space="preserve">, </w:t>
      </w:r>
      <w:r w:rsidRPr="00AB4B60">
        <w:rPr>
          <w:rFonts w:ascii="Century" w:hAnsi="Century" w:cs="Miriam"/>
          <w:b/>
          <w:spacing w:val="0"/>
          <w:sz w:val="22"/>
          <w:szCs w:val="24"/>
          <w:rtl/>
        </w:rPr>
        <w:t>אך כעת היא ניצבת בבסיס העתירות ודורשת הכרעה. השאלה השנייה, שהתשובה לה תלויה במענה שיינתן לשאלה הראשונה, היא האם התיקון נושא העתירות [...] דינו בטלות</w:t>
      </w:r>
      <w:r>
        <w:rPr>
          <w:rFonts w:ascii="Century" w:hAnsi="Century" w:cs="Miriam" w:hint="cs"/>
          <w:b/>
          <w:spacing w:val="0"/>
          <w:sz w:val="22"/>
          <w:szCs w:val="24"/>
          <w:rtl/>
        </w:rPr>
        <w:t>"</w:t>
      </w:r>
      <w:r>
        <w:rPr>
          <w:rFonts w:hint="cs"/>
          <w:rtl/>
        </w:rPr>
        <w:t xml:space="preserve">. </w:t>
      </w:r>
      <w:r>
        <w:rPr>
          <w:rFonts w:hint="cs"/>
          <w:rtl/>
        </w:rPr>
        <w:lastRenderedPageBreak/>
        <w:t xml:space="preserve">דא עקא, ישנה שאלה מוקדמת יותר ב'סדר הפעולות'. מעין 'מטא-שאלה', שעליה יש להשיב בטרם הכרעה בשאלה הראשונה. </w:t>
      </w:r>
    </w:p>
    <w:p w:rsidR="00EB02E1" w:rsidRDefault="00EB02E1" w:rsidP="00EB02E1">
      <w:pPr>
        <w:pStyle w:val="Ruller41"/>
        <w:rPr>
          <w:rtl/>
        </w:rPr>
      </w:pPr>
    </w:p>
    <w:p w:rsidR="00EB02E1" w:rsidRDefault="00EB02E1" w:rsidP="00EB02E1">
      <w:pPr>
        <w:pStyle w:val="Ruller4"/>
        <w:rPr>
          <w:rtl/>
        </w:rPr>
      </w:pPr>
      <w:r>
        <w:rPr>
          <w:rFonts w:hint="cs"/>
          <w:rtl/>
        </w:rPr>
        <w:t xml:space="preserve">חברתי מניחה, כמובן מאליו, כי הגורם המוסמך לענות על השאלה הראשונה, </w:t>
      </w:r>
      <w:r w:rsidRPr="00F93070">
        <w:rPr>
          <w:rFonts w:ascii="Century" w:hAnsi="Century" w:cs="Miriam" w:hint="cs"/>
          <w:b/>
          <w:spacing w:val="0"/>
          <w:sz w:val="22"/>
          <w:szCs w:val="24"/>
          <w:rtl/>
        </w:rPr>
        <w:t>"</w:t>
      </w:r>
      <w:r w:rsidRPr="00F93070">
        <w:rPr>
          <w:rFonts w:ascii="Century" w:hAnsi="Century" w:cs="Miriam"/>
          <w:b/>
          <w:spacing w:val="0"/>
          <w:sz w:val="22"/>
          <w:szCs w:val="24"/>
          <w:rtl/>
        </w:rPr>
        <w:t>האם ניתן לקי</w:t>
      </w:r>
      <w:r w:rsidRPr="00F93070">
        <w:rPr>
          <w:rFonts w:ascii="Century" w:hAnsi="Century" w:cs="Miriam" w:hint="cs"/>
          <w:b/>
          <w:spacing w:val="0"/>
          <w:sz w:val="22"/>
          <w:szCs w:val="24"/>
          <w:rtl/>
        </w:rPr>
        <w:t>י</w:t>
      </w:r>
      <w:r w:rsidRPr="00F93070">
        <w:rPr>
          <w:rFonts w:ascii="Century" w:hAnsi="Century" w:cs="Miriam"/>
          <w:b/>
          <w:spacing w:val="0"/>
          <w:sz w:val="22"/>
          <w:szCs w:val="24"/>
          <w:rtl/>
        </w:rPr>
        <w:t>ם ביקורת שיפוטית על תוכנם של חוקי היסוד כאשר מועלית טענה לפיה הכנסת חרגה מסמכותה המכוננת</w:t>
      </w:r>
      <w:r w:rsidRPr="00F93070">
        <w:rPr>
          <w:rFonts w:ascii="Century" w:hAnsi="Century" w:cs="Miriam" w:hint="cs"/>
          <w:b/>
          <w:spacing w:val="0"/>
          <w:sz w:val="22"/>
          <w:szCs w:val="24"/>
          <w:rtl/>
        </w:rPr>
        <w:t>"</w:t>
      </w:r>
      <w:r w:rsidRPr="00F93070">
        <w:rPr>
          <w:rFonts w:ascii="Century" w:hAnsi="Century" w:hint="cs"/>
          <w:sz w:val="22"/>
          <w:rtl/>
        </w:rPr>
        <w:t xml:space="preserve">, </w:t>
      </w:r>
      <w:r>
        <w:rPr>
          <w:rFonts w:hint="cs"/>
          <w:rtl/>
        </w:rPr>
        <w:t xml:space="preserve">הוא בית המשפט. כל שנדרש, לשיטתה, הוא כי נתכנס כולנו וניתן את פסק דיננו, שיקבע האם ישנה בידנו סמכות, אם לאו. ברם, מנין לנו, כהנחה פשוטה, שאינה זקוקה להנמקה, כי דינה של שאלת-יסוד מעין זו, להתברר לפנינו? כידוע, עמדתה של הרשות המכוננת </w:t>
      </w:r>
      <w:r>
        <w:rPr>
          <w:rtl/>
        </w:rPr>
        <w:t>–</w:t>
      </w:r>
      <w:r>
        <w:rPr>
          <w:rFonts w:hint="cs"/>
          <w:rtl/>
        </w:rPr>
        <w:t xml:space="preserve"> שונה. הרשות המכוננת אינה מכירה בסמכותו של בית משפט זה לערוך ביקורת שיפוטית על חוקי-היסוד. יתירה מכך, היא כופרת בסמכותו של בית המשפט לענות גם על אותה 'מטא-שאלה'. לשיטתה, בית המשפט כלל לא ראוי לדון בשאלה שעומדת על הפרק, שאלת סמכותו של בית המשפט לפסול חוקי-יסוד, בטח שלא להיות 'הפוסק האחרון' המכריע בה. מניין לנו, כי בידנו הדבר? שמא ואולי דווקא עמדתה של הרשות המכוננת, שבה בחר העם, היא אשר קובעת? </w:t>
      </w:r>
    </w:p>
    <w:p w:rsidR="00EB02E1" w:rsidRDefault="00EB02E1" w:rsidP="00EB02E1">
      <w:pPr>
        <w:pStyle w:val="Ruller41"/>
        <w:rPr>
          <w:rtl/>
        </w:rPr>
      </w:pPr>
    </w:p>
    <w:p w:rsidR="00EB02E1" w:rsidRDefault="00EB02E1" w:rsidP="00EB02E1">
      <w:pPr>
        <w:pStyle w:val="Ruller4"/>
        <w:rPr>
          <w:rtl/>
        </w:rPr>
      </w:pPr>
      <w:r>
        <w:rPr>
          <w:rFonts w:hint="cs"/>
          <w:rtl/>
        </w:rPr>
        <w:t xml:space="preserve">יהיה מי שיבקש לטעון, כי בית המשפט הוא הגורם המוסמך לפרש את החוק, ולכן ברי כי שאלה מעין זו, מקומה בבית המשפט. טענה זו, נכונה היא, בדרך כלל, אך כוחה אינו עומד לה בעניין שלפנינו. אילו היינו עוסקים במלאכת פרשנותה של נורמה משפטית כלשהי, הרי שתשובה זו היתה מניחה את הדעת. אלא שלמעשה, אותה מטא-שאלה שהצגתי, כלל אינה עוסקת בנורמה משפטית, אלא עומדת מחוצה לו; משייטת בעולמות עליונים ונשגבים. השאלה הבסיסית ביותר, שעליה אנו מדלגים בקלילות, היא מיהו הגורם המוסמך להכריז מהי הנורמה הבסיסית במדינת ישראל? כפי שאסביר להלן, תשובה לשאלה מעין זו, כלל לא ניתן למצוא בשדה המשפט. </w:t>
      </w:r>
    </w:p>
    <w:p w:rsidR="00EB02E1" w:rsidRPr="00F93070" w:rsidRDefault="00EB02E1" w:rsidP="00EB02E1">
      <w:pPr>
        <w:pStyle w:val="Ruller41"/>
      </w:pPr>
    </w:p>
    <w:p w:rsidR="00EB02E1" w:rsidRDefault="00EB02E1" w:rsidP="00EB02E1">
      <w:pPr>
        <w:pStyle w:val="Ruller4"/>
        <w:rPr>
          <w:rtl/>
        </w:rPr>
      </w:pPr>
      <w:r>
        <w:rPr>
          <w:rFonts w:hint="cs"/>
          <w:rtl/>
        </w:rPr>
        <w:t xml:space="preserve">עמדתם של חברַי, כמובן מאליו, שלפיה מי שמוסמך להחליט מהי הנורמה העליונה של מדינת ישראל, אֵלו הם אנחנו-השופטים, קובעת למעשה נורמה בסיסית יותר, ראשונית, הקודמת לכל אותן 'נורמות בסיסיות' שעליהן ביקשו חברַי להצביע. למעשה, נורמת הבסיס הגרעינית, שלה טוענים חברַי, זו הקודמת לכל נורמה בסיסית אחרת, היא נורמה הקובעת כי מי שבידו לקבוע ולהכריז מהי הנורמה הבסיסית של מדינת ישראל, שבכוחה לגבור אף על חקיקת-היסוד, הוא חֶבֶר שופטי בית המשפט העליון. </w:t>
      </w:r>
    </w:p>
    <w:p w:rsidR="00EB02E1" w:rsidRDefault="00EB02E1" w:rsidP="00EB02E1">
      <w:pPr>
        <w:pStyle w:val="Ruller41"/>
        <w:rPr>
          <w:rtl/>
        </w:rPr>
      </w:pPr>
    </w:p>
    <w:p w:rsidR="00EB02E1" w:rsidRDefault="00EB02E1" w:rsidP="00EB02E1">
      <w:pPr>
        <w:pStyle w:val="Ruller4"/>
        <w:rPr>
          <w:rtl/>
        </w:rPr>
      </w:pPr>
      <w:r>
        <w:rPr>
          <w:rFonts w:hint="cs"/>
          <w:rtl/>
        </w:rPr>
        <w:lastRenderedPageBreak/>
        <w:t xml:space="preserve">אבהיר. נניח כי בבית המשפט העליון היה מכהן כעת הרכב שופטים אחר, 'שמרני' יותר, דומה לזה שכיהן כאן בדורות עברו. אותו הרכב, היה מגיע למסקנה שונה מזו שאליה הגיעה דעת הרוב, ולפיה </w:t>
      </w:r>
      <w:r>
        <w:rPr>
          <w:rtl/>
        </w:rPr>
        <w:t>–</w:t>
      </w:r>
      <w:r>
        <w:rPr>
          <w:rFonts w:hint="cs"/>
          <w:rtl/>
        </w:rPr>
        <w:t xml:space="preserve"> הנורמה הבסיסית של המשפט הישראלי היא חקיקת-היסוד. אין דבר שניצב ממעל לה, ומגביל אותה. אם כך היה, או-אז, לוּ נשאלו שופטי הרוב, כעניין של משפט פוזיטיבי, האם קיימת מגבלה על סמכותה של הכנסת, בכובעה כרשות מכוננת? האם קיימת סמכות לבית המשפט לבקר את חוקי-היסוד? התשובה שאותה היינו מקבלים היא, כי אמנם לעמדתם האישית ישנן מגבלות על הסמכות המכוננת, וכך גם ניתן לפסול חוקי-יסוד; אך הדין הפוזיטיבי הנוהג </w:t>
      </w:r>
      <w:r>
        <w:rPr>
          <w:rtl/>
        </w:rPr>
        <w:t>–</w:t>
      </w:r>
      <w:r>
        <w:rPr>
          <w:rFonts w:hint="cs"/>
          <w:rtl/>
        </w:rPr>
        <w:t xml:space="preserve"> שונה. לפי הדין הפוזיטיבי, שנקבע בפסק הדין של בית המשפט העליון, הרי שלא קיימות מגבלות על סמכותה של הרשות המכוננת, וכך גם אין זה בסמכותו של בית המשפט להורות על פסילת חוקי-יסוד. </w:t>
      </w:r>
    </w:p>
    <w:p w:rsidR="00EB02E1" w:rsidRPr="00F06989" w:rsidRDefault="00EB02E1" w:rsidP="00EB02E1">
      <w:pPr>
        <w:pStyle w:val="Ruller41"/>
      </w:pPr>
    </w:p>
    <w:p w:rsidR="00EB02E1" w:rsidRPr="00F06989" w:rsidRDefault="00EB02E1" w:rsidP="00EB02E1">
      <w:pPr>
        <w:pStyle w:val="Ruller4"/>
        <w:rPr>
          <w:rtl/>
        </w:rPr>
      </w:pPr>
      <w:r>
        <w:rPr>
          <w:rFonts w:hint="cs"/>
          <w:rtl/>
        </w:rPr>
        <w:t xml:space="preserve">'תרגיל מחשבתי' שכזה מלמדנו, כי אליבא דחברַי, בסוף כל הסופות, הדין הפוזיטיבי, הנוהג, באשר לשאלה האם ישנה מגבלה על סמכותה של הרשות המכוננת, נגזר כל-כולו מעמדתם של 15 השופטים המכהנים בבית המשפט העליון. הוא הדין באשר לשאלה האם יכול בית המשפט להורות על פסילת חוקי-יסוד. המסקנה היא, אם כן, לשיטתם של חברַי, כי הנורמה הבסיסית ביותר, שממנה משתלשלות ויורדות הנורמות כולן, היא נורמה הקובעת כי מי שיכריע בשאלת קיומה של 'נורמת הבסיס', יצביע עליה, ויקבע את גבולותיה, אלו הם שופטי בית המשפט העליון; אם כּנים הדברים, הרי שנורמת הבסיס ה'אמיתית' של המשפט הישראלי, אינה 'מגילת העצמאות', לא 'עקרונות היסוד של השיטה', ואף לא 'מדינה יהודית ודמוקרטית'. הנורמה הראשונית והבסיסית יותר, לשיטה זו, תלויה ועומדת, ומחכה למוצא פיהם של שופטי בית המשפט העליון, שבכל דור ודור. אם יחליטו כפי שהחליטו השופטים בדורות הראשונים, כי סמכותה של הרשות המחוקקת, למצער בכובעה כרשות מכוננת, בלתי מוגבלת, והיא הנורמה הבסיסית, אזי כך יהא. אם ביום מן הימים ישנו השופטים את טעמם, ויחליטו ברוב דעות, כי דווקא מגילת העצמאות, או תכנית החלוקה של האו"ם, או מסמך אחר, הם שמהווים את נורמת היסוד של מדינת ישראל, כי אז תשנה הנורמה הבסיסית את פניה, בהתאם למוצא פיהם של שופטי בית המשפט. הוא שלמדנו: </w:t>
      </w:r>
      <w:r w:rsidRPr="00F06989">
        <w:rPr>
          <w:rFonts w:ascii="Century" w:hAnsi="Century" w:cs="Miriam" w:hint="cs"/>
          <w:b/>
          <w:spacing w:val="0"/>
          <w:sz w:val="22"/>
          <w:szCs w:val="24"/>
          <w:rtl/>
        </w:rPr>
        <w:t>"</w:t>
      </w:r>
      <w:r w:rsidRPr="00F06989">
        <w:rPr>
          <w:rFonts w:ascii="Century" w:hAnsi="Century" w:cs="Miriam" w:hint="eastAsia"/>
          <w:b/>
          <w:spacing w:val="0"/>
          <w:sz w:val="22"/>
          <w:szCs w:val="24"/>
          <w:rtl/>
        </w:rPr>
        <w:t>ועשית</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על</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פי</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הדבר</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אשר</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יגידו</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לך</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מן</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המקום</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ההוא</w:t>
      </w:r>
      <w:r w:rsidRPr="00F06989">
        <w:rPr>
          <w:rFonts w:ascii="Century" w:hAnsi="Century" w:cs="Miriam" w:hint="cs"/>
          <w:b/>
          <w:spacing w:val="0"/>
          <w:sz w:val="22"/>
          <w:szCs w:val="24"/>
          <w:rtl/>
        </w:rPr>
        <w:t xml:space="preserve"> [...] </w:t>
      </w:r>
      <w:r w:rsidRPr="00F06989">
        <w:rPr>
          <w:rFonts w:ascii="Century" w:hAnsi="Century" w:cs="Miriam" w:hint="eastAsia"/>
          <w:b/>
          <w:spacing w:val="0"/>
          <w:sz w:val="22"/>
          <w:szCs w:val="24"/>
          <w:rtl/>
        </w:rPr>
        <w:t>ושמרת</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לעשות</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ככל</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אשר</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יורוך</w:t>
      </w:r>
      <w:r w:rsidRPr="00F06989">
        <w:rPr>
          <w:rFonts w:ascii="Century" w:hAnsi="Century" w:cs="Miriam" w:hint="cs"/>
          <w:b/>
          <w:spacing w:val="0"/>
          <w:sz w:val="22"/>
          <w:szCs w:val="24"/>
          <w:rtl/>
        </w:rPr>
        <w:t xml:space="preserve">. </w:t>
      </w:r>
      <w:r w:rsidRPr="00F06989">
        <w:rPr>
          <w:rFonts w:ascii="Century" w:hAnsi="Century" w:cs="Miriam" w:hint="eastAsia"/>
          <w:b/>
          <w:spacing w:val="0"/>
          <w:sz w:val="22"/>
          <w:szCs w:val="24"/>
          <w:rtl/>
        </w:rPr>
        <w:t>על</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פי</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התורה</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אשר</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יורוך</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ועל</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המשפט</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אשר</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יאמרו</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לך</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תעשה</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לא</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תסור</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מן</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הדבר</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אשר</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יגידו</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לך</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ימין</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ושמאל</w:t>
      </w:r>
      <w:r w:rsidRPr="00F06989">
        <w:rPr>
          <w:rFonts w:ascii="Century" w:hAnsi="Century" w:cs="Miriam" w:hint="cs"/>
          <w:b/>
          <w:spacing w:val="0"/>
          <w:sz w:val="22"/>
          <w:szCs w:val="24"/>
          <w:rtl/>
        </w:rPr>
        <w:t>"</w:t>
      </w:r>
      <w:r>
        <w:rPr>
          <w:rFonts w:hint="cs"/>
          <w:rtl/>
        </w:rPr>
        <w:t xml:space="preserve"> (דברים יז, י-יא; וראו: אריה אדרעי "'דעת תורה' </w:t>
      </w:r>
      <w:r>
        <w:rPr>
          <w:rtl/>
        </w:rPr>
        <w:t>–</w:t>
      </w:r>
      <w:r>
        <w:rPr>
          <w:rFonts w:hint="cs"/>
          <w:rtl/>
        </w:rPr>
        <w:t xml:space="preserve"> ו</w:t>
      </w:r>
      <w:r w:rsidR="00C56A45">
        <w:rPr>
          <w:rFonts w:hint="cs"/>
          <w:rtl/>
        </w:rPr>
        <w:t>'</w:t>
      </w:r>
      <w:r>
        <w:rPr>
          <w:rFonts w:hint="cs"/>
          <w:rtl/>
        </w:rPr>
        <w:t xml:space="preserve">הכל שפיט'" </w:t>
      </w:r>
      <w:r w:rsidRPr="00F06989">
        <w:rPr>
          <w:rFonts w:ascii="Century" w:hAnsi="Century" w:cs="Miriam" w:hint="cs"/>
          <w:b/>
          <w:spacing w:val="0"/>
          <w:sz w:val="22"/>
          <w:szCs w:val="24"/>
          <w:rtl/>
        </w:rPr>
        <w:t xml:space="preserve">הזירה </w:t>
      </w:r>
      <w:r w:rsidRPr="005F084C">
        <w:rPr>
          <w:rFonts w:hint="cs"/>
          <w:rtl/>
        </w:rPr>
        <w:t>(15.2.2023)</w:t>
      </w:r>
      <w:r>
        <w:rPr>
          <w:rFonts w:hint="cs"/>
          <w:rtl/>
        </w:rPr>
        <w:t>).</w:t>
      </w:r>
      <w:r w:rsidRPr="00F06989">
        <w:rPr>
          <w:rFonts w:ascii="Century" w:hAnsi="Century" w:cs="Miriam" w:hint="cs"/>
          <w:b/>
          <w:spacing w:val="0"/>
          <w:sz w:val="22"/>
          <w:szCs w:val="24"/>
          <w:rtl/>
        </w:rPr>
        <w:t xml:space="preserve"> </w:t>
      </w:r>
    </w:p>
    <w:p w:rsidR="00EB02E1" w:rsidRDefault="00EB02E1" w:rsidP="00EB02E1">
      <w:pPr>
        <w:pStyle w:val="Ruller41"/>
        <w:rPr>
          <w:rtl/>
        </w:rPr>
      </w:pPr>
    </w:p>
    <w:p w:rsidR="00EB02E1" w:rsidRDefault="00EB02E1" w:rsidP="00EB02E1">
      <w:pPr>
        <w:pStyle w:val="Ruller4"/>
        <w:rPr>
          <w:rtl/>
        </w:rPr>
      </w:pPr>
      <w:r>
        <w:rPr>
          <w:rFonts w:hint="cs"/>
          <w:rtl/>
        </w:rPr>
        <w:lastRenderedPageBreak/>
        <w:t xml:space="preserve">אותה 'נורמה בסיסית' חדשנית, מוסכמת ככל הנראה על כל חברַי, זולת חברי השופט </w:t>
      </w:r>
      <w:r w:rsidRPr="002373CE">
        <w:rPr>
          <w:rFonts w:ascii="Century" w:hAnsi="Century" w:cs="Miriam" w:hint="eastAsia"/>
          <w:b/>
          <w:spacing w:val="0"/>
          <w:sz w:val="22"/>
          <w:szCs w:val="24"/>
          <w:rtl/>
        </w:rPr>
        <w:t>מינץ</w:t>
      </w:r>
      <w:r>
        <w:rPr>
          <w:rFonts w:hint="cs"/>
          <w:rtl/>
        </w:rPr>
        <w:t xml:space="preserve">, עד שהתייחסו אליה כמובנת מאליה. הרשות המכוננת </w:t>
      </w:r>
      <w:r>
        <w:rPr>
          <w:rtl/>
        </w:rPr>
        <w:t>–</w:t>
      </w:r>
      <w:r>
        <w:rPr>
          <w:rFonts w:hint="cs"/>
          <w:rtl/>
        </w:rPr>
        <w:t xml:space="preserve"> אינה מקבלת זאת. אותה מטא-שאלה, נמצאת במחלוקת עמוקה בין הרשות המכוננת לבין הרשות השופטת. מה שהוא בגדר 'מילתא דפשיטא' עבור שופטי בית המשפט העליון, הוא אכן כזה גם לעמדתה של הרשות המכוננת, אך בכיוון ההפוך. לעמדתה של הרשות המכוננת, הנורמה הבסיסית של מדינת ישראל אינה מוחזקת בידי שופטי בית המשפט העליון, הרשאים לעשות בה כטוב בעיניהם. לשיטתה, לא רק שבית המשפט נעדר סמכות לפסול חוקי-יסוד, אלא שהוא נעדר סמכות להכריע בשאלה המוקדמת יותר, והיא: האם בית המשפט הוא זה שבכוחו להכריע אם נתונה לו סמכות לפסול חוקי-יסוד. </w:t>
      </w:r>
    </w:p>
    <w:p w:rsidR="00EB02E1" w:rsidRDefault="00EB02E1" w:rsidP="00EB02E1">
      <w:pPr>
        <w:pStyle w:val="Ruller41"/>
        <w:rPr>
          <w:rtl/>
        </w:rPr>
      </w:pPr>
    </w:p>
    <w:p w:rsidR="00EB02E1" w:rsidRDefault="00EB02E1" w:rsidP="00EB02E1">
      <w:pPr>
        <w:pStyle w:val="Ruller4"/>
        <w:textAlignment w:val="auto"/>
        <w:rPr>
          <w:rtl/>
        </w:rPr>
      </w:pPr>
      <w:r>
        <w:rPr>
          <w:rFonts w:hint="cs"/>
          <w:rtl/>
        </w:rPr>
        <w:t xml:space="preserve">מי שמתייצב לצדה של הרשות המכוננת בעימות זה, הוא המלומד </w:t>
      </w:r>
      <w:r w:rsidRPr="002373CE">
        <w:rPr>
          <w:rFonts w:ascii="Century" w:hAnsi="Century" w:cs="Miriam" w:hint="cs"/>
          <w:b/>
          <w:spacing w:val="0"/>
          <w:szCs w:val="24"/>
          <w:rtl/>
        </w:rPr>
        <w:t>מ' שטרנברג</w:t>
      </w:r>
      <w:r>
        <w:rPr>
          <w:rFonts w:hint="cs"/>
          <w:rtl/>
        </w:rPr>
        <w:t xml:space="preserve">, שפעל בשדה המשפט החוקתי בימיה הראשונים של המדינה; אביה-מולידה של תורת 'שני הכובעים', כבר בשנת 1958. </w:t>
      </w:r>
      <w:r w:rsidRPr="002373CE">
        <w:rPr>
          <w:rFonts w:ascii="Century" w:hAnsi="Century" w:cs="Miriam" w:hint="cs"/>
          <w:b/>
          <w:spacing w:val="0"/>
          <w:szCs w:val="24"/>
          <w:rtl/>
        </w:rPr>
        <w:t>"</w:t>
      </w:r>
      <w:r w:rsidRPr="002373CE">
        <w:rPr>
          <w:rFonts w:ascii="Century" w:hAnsi="Century" w:cs="Miriam" w:hint="eastAsia"/>
          <w:b/>
          <w:spacing w:val="0"/>
          <w:szCs w:val="24"/>
          <w:rtl/>
        </w:rPr>
        <w:t>זכות</w:t>
      </w:r>
      <w:r w:rsidRPr="002373CE">
        <w:rPr>
          <w:rFonts w:ascii="Century" w:hAnsi="Century" w:cs="Miriam"/>
          <w:b/>
          <w:spacing w:val="0"/>
          <w:szCs w:val="24"/>
          <w:rtl/>
        </w:rPr>
        <w:t xml:space="preserve"> </w:t>
      </w:r>
      <w:r w:rsidRPr="002373CE">
        <w:rPr>
          <w:rFonts w:ascii="Century" w:hAnsi="Century" w:cs="Miriam" w:hint="eastAsia"/>
          <w:b/>
          <w:spacing w:val="0"/>
          <w:szCs w:val="24"/>
          <w:rtl/>
        </w:rPr>
        <w:t>ראשונים</w:t>
      </w:r>
      <w:r w:rsidRPr="002373CE">
        <w:rPr>
          <w:rFonts w:ascii="Century" w:hAnsi="Century" w:cs="Miriam"/>
          <w:b/>
          <w:spacing w:val="0"/>
          <w:szCs w:val="24"/>
          <w:rtl/>
        </w:rPr>
        <w:t xml:space="preserve"> </w:t>
      </w:r>
      <w:r w:rsidRPr="002373CE">
        <w:rPr>
          <w:rFonts w:ascii="Century" w:hAnsi="Century" w:cs="Miriam" w:hint="eastAsia"/>
          <w:b/>
          <w:spacing w:val="0"/>
          <w:szCs w:val="24"/>
          <w:rtl/>
        </w:rPr>
        <w:t>בעניין</w:t>
      </w:r>
      <w:r w:rsidRPr="002373CE">
        <w:rPr>
          <w:rFonts w:ascii="Century" w:hAnsi="Century" w:cs="Miriam"/>
          <w:b/>
          <w:spacing w:val="0"/>
          <w:szCs w:val="24"/>
          <w:rtl/>
        </w:rPr>
        <w:t xml:space="preserve"> </w:t>
      </w:r>
      <w:r w:rsidRPr="002373CE">
        <w:rPr>
          <w:rFonts w:ascii="Century" w:hAnsi="Century" w:cs="Miriam" w:hint="eastAsia"/>
          <w:b/>
          <w:spacing w:val="0"/>
          <w:szCs w:val="24"/>
          <w:rtl/>
        </w:rPr>
        <w:t>זה</w:t>
      </w:r>
      <w:r w:rsidRPr="002373CE">
        <w:rPr>
          <w:rFonts w:ascii="Century" w:hAnsi="Century" w:cs="Miriam"/>
          <w:b/>
          <w:spacing w:val="0"/>
          <w:szCs w:val="24"/>
          <w:rtl/>
        </w:rPr>
        <w:t xml:space="preserve"> </w:t>
      </w:r>
      <w:r w:rsidRPr="002373CE">
        <w:rPr>
          <w:rFonts w:ascii="Century" w:hAnsi="Century" w:cs="Miriam" w:hint="eastAsia"/>
          <w:b/>
          <w:spacing w:val="0"/>
          <w:szCs w:val="24"/>
          <w:rtl/>
        </w:rPr>
        <w:t>מגיעה</w:t>
      </w:r>
      <w:r w:rsidRPr="002373CE">
        <w:rPr>
          <w:rFonts w:ascii="Century" w:hAnsi="Century" w:cs="Miriam"/>
          <w:b/>
          <w:spacing w:val="0"/>
          <w:szCs w:val="24"/>
          <w:rtl/>
        </w:rPr>
        <w:t xml:space="preserve"> </w:t>
      </w:r>
      <w:r w:rsidRPr="002373CE">
        <w:rPr>
          <w:rFonts w:ascii="Century" w:hAnsi="Century" w:cs="Miriam" w:hint="eastAsia"/>
          <w:b/>
          <w:spacing w:val="0"/>
          <w:szCs w:val="24"/>
          <w:rtl/>
        </w:rPr>
        <w:t>למר</w:t>
      </w:r>
      <w:r w:rsidRPr="002373CE">
        <w:rPr>
          <w:rFonts w:ascii="Century" w:hAnsi="Century" w:cs="Miriam"/>
          <w:b/>
          <w:spacing w:val="0"/>
          <w:szCs w:val="24"/>
          <w:rtl/>
        </w:rPr>
        <w:t xml:space="preserve"> </w:t>
      </w:r>
      <w:r w:rsidRPr="002373CE">
        <w:rPr>
          <w:rFonts w:ascii="Century" w:hAnsi="Century" w:cs="Miriam" w:hint="eastAsia"/>
          <w:b/>
          <w:spacing w:val="0"/>
          <w:szCs w:val="24"/>
          <w:rtl/>
        </w:rPr>
        <w:t>שטרנברג</w:t>
      </w:r>
      <w:r w:rsidRPr="002373CE">
        <w:rPr>
          <w:rFonts w:ascii="Century" w:hAnsi="Century" w:cs="Miriam" w:hint="cs"/>
          <w:b/>
          <w:spacing w:val="0"/>
          <w:szCs w:val="24"/>
          <w:rtl/>
        </w:rPr>
        <w:t>"</w:t>
      </w:r>
      <w:r>
        <w:rPr>
          <w:rFonts w:hint="cs"/>
          <w:rtl/>
        </w:rPr>
        <w:t xml:space="preserve"> (הנשיא </w:t>
      </w:r>
      <w:r w:rsidRPr="002373CE">
        <w:rPr>
          <w:rFonts w:ascii="Century" w:hAnsi="Century" w:cs="Miriam" w:hint="cs"/>
          <w:b/>
          <w:spacing w:val="0"/>
          <w:szCs w:val="24"/>
          <w:rtl/>
        </w:rPr>
        <w:t>ברק</w:t>
      </w:r>
      <w:r>
        <w:rPr>
          <w:rFonts w:hint="cs"/>
          <w:rtl/>
        </w:rPr>
        <w:t xml:space="preserve"> בעניין </w:t>
      </w:r>
      <w:r w:rsidRPr="002373CE">
        <w:rPr>
          <w:rFonts w:ascii="Century" w:hAnsi="Century" w:cs="Miriam" w:hint="cs"/>
          <w:b/>
          <w:spacing w:val="0"/>
          <w:szCs w:val="24"/>
          <w:rtl/>
        </w:rPr>
        <w:t>בנק המזרחי</w:t>
      </w:r>
      <w:r>
        <w:rPr>
          <w:rFonts w:hint="cs"/>
          <w:rtl/>
        </w:rPr>
        <w:t xml:space="preserve">, בעמ' 384). עמדתו של </w:t>
      </w:r>
      <w:r w:rsidRPr="002373CE">
        <w:rPr>
          <w:rFonts w:ascii="Century" w:hAnsi="Century" w:cs="Miriam" w:hint="cs"/>
          <w:b/>
          <w:spacing w:val="0"/>
          <w:szCs w:val="24"/>
          <w:rtl/>
        </w:rPr>
        <w:t>שטרנברג</w:t>
      </w:r>
      <w:r>
        <w:rPr>
          <w:rFonts w:hint="cs"/>
          <w:rtl/>
        </w:rPr>
        <w:t xml:space="preserve"> היא, כי </w:t>
      </w:r>
      <w:r w:rsidRPr="002373CE">
        <w:rPr>
          <w:rFonts w:ascii="Century" w:hAnsi="Century" w:cs="Miriam" w:hint="cs"/>
          <w:b/>
          <w:spacing w:val="0"/>
          <w:szCs w:val="24"/>
          <w:rtl/>
        </w:rPr>
        <w:t>"הכל שואב את תוקפו מן הנורמה הבסיסית. בארצות שבהן קיים משטר דמוקרטי, הקונסטיטוציה או הפרלמנט, מהווה את הנורמה הבסיסית של המדינה"</w:t>
      </w:r>
      <w:r>
        <w:rPr>
          <w:rFonts w:hint="cs"/>
          <w:rtl/>
        </w:rPr>
        <w:t xml:space="preserve"> (</w:t>
      </w:r>
      <w:r w:rsidRPr="002373CE">
        <w:rPr>
          <w:rFonts w:ascii="Century" w:hAnsi="Century" w:cs="Miriam" w:hint="cs"/>
          <w:b/>
          <w:spacing w:val="0"/>
          <w:szCs w:val="24"/>
          <w:rtl/>
        </w:rPr>
        <w:t>שטרנברג</w:t>
      </w:r>
      <w:r w:rsidRPr="00F06989">
        <w:rPr>
          <w:rFonts w:hint="cs"/>
          <w:rtl/>
        </w:rPr>
        <w:t xml:space="preserve">, בעמ' </w:t>
      </w:r>
      <w:r>
        <w:rPr>
          <w:rFonts w:hint="cs"/>
          <w:rtl/>
        </w:rPr>
        <w:t xml:space="preserve">133-132). </w:t>
      </w:r>
      <w:r w:rsidRPr="002373CE">
        <w:rPr>
          <w:rFonts w:ascii="Century" w:hAnsi="Century" w:cs="Miriam" w:hint="cs"/>
          <w:b/>
          <w:spacing w:val="0"/>
          <w:szCs w:val="24"/>
          <w:rtl/>
        </w:rPr>
        <w:t>שטרנברג</w:t>
      </w:r>
      <w:r>
        <w:rPr>
          <w:rFonts w:hint="cs"/>
          <w:rtl/>
        </w:rPr>
        <w:t xml:space="preserve"> אינו מעלה על דעתו את האפשרות, שלפיה הנורמה הבסיסית במשטרנו הדמוקרטי היא, כי על הרשות המכוננת לכוף את ראשה בהכנעה אל מול קביעתו של בית המשפט העליון, שלפיה קיימות הגבלות על סמכותה המכוננת, וכי ניתן לקיים מכוחה ביקורת שיפוטית על חוקי-יסוד. </w:t>
      </w:r>
      <w:r w:rsidRPr="002373CE">
        <w:rPr>
          <w:rFonts w:ascii="Century" w:hAnsi="Century" w:cs="Miriam" w:hint="cs"/>
          <w:b/>
          <w:spacing w:val="0"/>
          <w:szCs w:val="24"/>
          <w:rtl/>
        </w:rPr>
        <w:t>"הקונסטיטוציה או הפרלמנט"</w:t>
      </w:r>
      <w:r w:rsidRPr="002373CE">
        <w:rPr>
          <w:rFonts w:ascii="Century" w:hAnsi="Century" w:hint="cs"/>
          <w:rtl/>
        </w:rPr>
        <w:t>, אלו הן שתי האופציות היחידות שבאות בחשבון</w:t>
      </w:r>
      <w:r>
        <w:rPr>
          <w:rFonts w:ascii="Century" w:hAnsi="Century" w:hint="cs"/>
          <w:rtl/>
        </w:rPr>
        <w:t xml:space="preserve">. </w:t>
      </w:r>
    </w:p>
    <w:p w:rsidR="00EB02E1" w:rsidRPr="00F93070" w:rsidRDefault="00EB02E1" w:rsidP="00EB02E1">
      <w:pPr>
        <w:pStyle w:val="Ruller41"/>
      </w:pPr>
    </w:p>
    <w:p w:rsidR="00EB02E1" w:rsidRDefault="00EB02E1" w:rsidP="00EB02E1">
      <w:pPr>
        <w:pStyle w:val="Ruller4"/>
        <w:rPr>
          <w:rtl/>
        </w:rPr>
      </w:pPr>
      <w:r>
        <w:rPr>
          <w:rFonts w:hint="cs"/>
          <w:rtl/>
        </w:rPr>
        <w:t xml:space="preserve"> בהמשך דבריו, הולך </w:t>
      </w:r>
      <w:r w:rsidRPr="00D92671">
        <w:rPr>
          <w:rFonts w:ascii="Century" w:hAnsi="Century" w:cs="Miriam" w:hint="cs"/>
          <w:b/>
          <w:spacing w:val="0"/>
          <w:sz w:val="22"/>
          <w:szCs w:val="24"/>
          <w:rtl/>
        </w:rPr>
        <w:t>שטרנברג</w:t>
      </w:r>
      <w:r>
        <w:rPr>
          <w:rFonts w:hint="cs"/>
          <w:rtl/>
        </w:rPr>
        <w:t xml:space="preserve"> בדרכו של הנס קלזן, ועומד על השאלה: </w:t>
      </w:r>
      <w:r w:rsidRPr="00F93070">
        <w:rPr>
          <w:rFonts w:ascii="Century" w:hAnsi="Century" w:cs="Miriam" w:hint="cs"/>
          <w:b/>
          <w:spacing w:val="0"/>
          <w:sz w:val="22"/>
          <w:szCs w:val="24"/>
          <w:rtl/>
        </w:rPr>
        <w:t>"מניין התוקף המשפטי של הנורמה הבסיסית? [...] מנין תוקפן המשפטי של נורמות בסיס אלו? על שאלה זו משיב קלזן מה שהשיב אוסטין ביחס לריבון, כי הגענו לסוף תחומנו ואין להוסיף שאול. תחום המשפט מסתיים בנורמה הבסיסית. מצד זה דומה המשפט לדת. שניהם מערכות נורמטיביות דינמיות. בשניהם מגיעים אנו לקו שאין ללכת מעבר לו בלי להסיג גבול. כשם שהתשובה האחרונה למצווה הדתית היא 'כן רצה הא-ל' או 'כך גזרה חוכמתו</w:t>
      </w:r>
      <w:r>
        <w:rPr>
          <w:rFonts w:ascii="Century" w:hAnsi="Century" w:cs="Miriam" w:hint="cs"/>
          <w:b/>
          <w:spacing w:val="0"/>
          <w:sz w:val="22"/>
          <w:szCs w:val="24"/>
          <w:rtl/>
        </w:rPr>
        <w:t>'</w:t>
      </w:r>
      <w:r w:rsidRPr="00F93070">
        <w:rPr>
          <w:rFonts w:ascii="Century" w:hAnsi="Century" w:cs="Miriam" w:hint="cs"/>
          <w:b/>
          <w:spacing w:val="0"/>
          <w:sz w:val="22"/>
          <w:szCs w:val="24"/>
          <w:rtl/>
        </w:rPr>
        <w:t xml:space="preserve">, כן התשובה האחרונה לתוקפו של הכלל המשפטי היא: כך נקבע על ידי הנורמה הבסיסית. </w:t>
      </w:r>
      <w:r w:rsidRPr="00C3046C">
        <w:rPr>
          <w:rFonts w:ascii="Century" w:hAnsi="Century" w:cs="Miriam" w:hint="cs"/>
          <w:b/>
          <w:spacing w:val="0"/>
          <w:sz w:val="22"/>
          <w:szCs w:val="24"/>
          <w:u w:val="single"/>
          <w:rtl/>
        </w:rPr>
        <w:t xml:space="preserve">אם אתה שואל מנין התוקף למצוות הא-ל </w:t>
      </w:r>
      <w:r w:rsidRPr="00C3046C">
        <w:rPr>
          <w:rFonts w:ascii="Century" w:hAnsi="Century"/>
          <w:sz w:val="22"/>
          <w:u w:val="single"/>
          <w:rtl/>
        </w:rPr>
        <w:t>–</w:t>
      </w:r>
      <w:r w:rsidRPr="00C3046C">
        <w:rPr>
          <w:rFonts w:ascii="Century" w:hAnsi="Century" w:cs="Miriam" w:hint="cs"/>
          <w:b/>
          <w:spacing w:val="0"/>
          <w:sz w:val="22"/>
          <w:szCs w:val="24"/>
          <w:u w:val="single"/>
          <w:rtl/>
        </w:rPr>
        <w:t xml:space="preserve"> עזבת את תחום הדת; אם אתה שואל מנין התוקף לנורמה הבסיסית </w:t>
      </w:r>
      <w:r w:rsidRPr="00C3046C">
        <w:rPr>
          <w:rFonts w:ascii="Century" w:hAnsi="Century"/>
          <w:sz w:val="22"/>
          <w:u w:val="single"/>
          <w:rtl/>
        </w:rPr>
        <w:t>–</w:t>
      </w:r>
      <w:r w:rsidRPr="00C3046C">
        <w:rPr>
          <w:rFonts w:ascii="Century" w:hAnsi="Century" w:cs="Miriam" w:hint="cs"/>
          <w:b/>
          <w:spacing w:val="0"/>
          <w:sz w:val="22"/>
          <w:szCs w:val="24"/>
          <w:u w:val="single"/>
          <w:rtl/>
        </w:rPr>
        <w:t xml:space="preserve"> עזבת את תחום המשפט</w:t>
      </w:r>
      <w:r w:rsidRPr="00F93070">
        <w:rPr>
          <w:rFonts w:ascii="Century" w:hAnsi="Century" w:cs="Miriam" w:hint="cs"/>
          <w:b/>
          <w:spacing w:val="0"/>
          <w:sz w:val="22"/>
          <w:szCs w:val="24"/>
          <w:rtl/>
        </w:rPr>
        <w:t>"</w:t>
      </w:r>
      <w:r>
        <w:rPr>
          <w:rFonts w:hint="cs"/>
          <w:rtl/>
        </w:rPr>
        <w:t xml:space="preserve"> (שם, בעמ' 133); "דברי חכמים כדרבנות" (קהלת יב, יא).</w:t>
      </w:r>
    </w:p>
    <w:p w:rsidR="00EB02E1" w:rsidRDefault="00EB02E1" w:rsidP="00EB02E1">
      <w:pPr>
        <w:pStyle w:val="Ruller41"/>
        <w:rPr>
          <w:rtl/>
        </w:rPr>
      </w:pPr>
    </w:p>
    <w:p w:rsidR="00EB02E1" w:rsidRDefault="00EB02E1" w:rsidP="00EB02E1">
      <w:pPr>
        <w:pStyle w:val="Ruller4"/>
        <w:rPr>
          <w:rtl/>
        </w:rPr>
      </w:pPr>
      <w:r>
        <w:rPr>
          <w:rFonts w:hint="cs"/>
          <w:rtl/>
        </w:rPr>
        <w:lastRenderedPageBreak/>
        <w:t xml:space="preserve">אם יבקש אֵי-מִי לחלוק על עמדתו של </w:t>
      </w:r>
      <w:r w:rsidRPr="00F93070">
        <w:rPr>
          <w:rFonts w:ascii="Century" w:hAnsi="Century" w:cs="Miriam" w:hint="cs"/>
          <w:b/>
          <w:spacing w:val="0"/>
          <w:sz w:val="22"/>
          <w:szCs w:val="24"/>
          <w:rtl/>
        </w:rPr>
        <w:t>שטרנברג</w:t>
      </w:r>
      <w:r>
        <w:rPr>
          <w:rFonts w:hint="cs"/>
          <w:rtl/>
        </w:rPr>
        <w:t xml:space="preserve">, ויטען כי הנורמה הבסיסית היא כי 'יש לציית לקביעתו של בית משפט העליון', ולבית המשפט, ולא לעם, נתונה הזכות לומר את 'המילה האחרונה' </w:t>
      </w:r>
      <w:r>
        <w:rPr>
          <w:rtl/>
        </w:rPr>
        <w:t>–</w:t>
      </w:r>
      <w:r>
        <w:rPr>
          <w:rFonts w:hint="cs"/>
          <w:rtl/>
        </w:rPr>
        <w:t xml:space="preserve"> הרי שתשובתו בצדו: אותו 'עימות' שייווצר כתוצאה מכך, בין הרשות השופטת לרשויות השלטון האחרות, דומה לזה שלוֹ אנו עדים כעת, מתרחש הרחק כמטחווי-קשת מעולמו של המשפט והשופט, מתנהל ב'</w:t>
      </w:r>
      <w:r w:rsidRPr="00F93070">
        <w:rPr>
          <w:rFonts w:hint="eastAsia"/>
          <w:rtl/>
        </w:rPr>
        <w:t>סְפ</w:t>
      </w:r>
      <w:r>
        <w:rPr>
          <w:rFonts w:hint="cs"/>
          <w:rtl/>
        </w:rPr>
        <w:t>ֵי</w:t>
      </w:r>
      <w:r w:rsidRPr="00F93070">
        <w:rPr>
          <w:rFonts w:hint="eastAsia"/>
          <w:rtl/>
        </w:rPr>
        <w:t>רָה</w:t>
      </w:r>
      <w:r>
        <w:rPr>
          <w:rFonts w:hint="cs"/>
          <w:rtl/>
        </w:rPr>
        <w:t xml:space="preserve">' אחרת ושונה לחלוטין (ראו: </w:t>
      </w:r>
      <w:r>
        <w:rPr>
          <w:rtl/>
        </w:rPr>
        <w:t xml:space="preserve">דניאל בן אוליאל ויובל יועז "היועץ המשפטי לממשלה – דברי ימי המחלוקת: שיחה עם אהרן ברק" </w:t>
      </w:r>
      <w:r w:rsidRPr="00D90EEC">
        <w:rPr>
          <w:rFonts w:ascii="Century" w:hAnsi="Century" w:cs="Miriam" w:hint="eastAsia"/>
          <w:b/>
          <w:spacing w:val="0"/>
          <w:sz w:val="22"/>
          <w:szCs w:val="24"/>
          <w:rtl/>
        </w:rPr>
        <w:t>משפט</w:t>
      </w:r>
      <w:r w:rsidRPr="00D90EEC">
        <w:rPr>
          <w:rFonts w:ascii="Century" w:hAnsi="Century" w:cs="Miriam"/>
          <w:b/>
          <w:spacing w:val="0"/>
          <w:sz w:val="22"/>
          <w:szCs w:val="24"/>
          <w:rtl/>
        </w:rPr>
        <w:t xml:space="preserve"> </w:t>
      </w:r>
      <w:r w:rsidRPr="00D90EEC">
        <w:rPr>
          <w:rFonts w:ascii="Century" w:hAnsi="Century" w:cs="Miriam" w:hint="eastAsia"/>
          <w:b/>
          <w:spacing w:val="0"/>
          <w:sz w:val="22"/>
          <w:szCs w:val="24"/>
          <w:rtl/>
        </w:rPr>
        <w:t>וממשל</w:t>
      </w:r>
      <w:r>
        <w:rPr>
          <w:rFonts w:hint="cs"/>
          <w:rtl/>
        </w:rPr>
        <w:t xml:space="preserve"> יח 495, 512 (2017)).  </w:t>
      </w:r>
    </w:p>
    <w:p w:rsidR="00EB02E1" w:rsidRDefault="00EB02E1" w:rsidP="00EB02E1">
      <w:pPr>
        <w:pStyle w:val="Ruller4"/>
        <w:numPr>
          <w:ilvl w:val="0"/>
          <w:numId w:val="0"/>
        </w:numPr>
        <w:rPr>
          <w:rtl/>
        </w:rPr>
      </w:pPr>
      <w:r>
        <w:rPr>
          <w:rFonts w:hint="cs"/>
          <w:rtl/>
        </w:rPr>
        <w:t xml:space="preserve"> </w:t>
      </w:r>
    </w:p>
    <w:p w:rsidR="00EB02E1" w:rsidRPr="005F7E47" w:rsidRDefault="00EB02E1" w:rsidP="00EB02E1">
      <w:pPr>
        <w:pStyle w:val="2"/>
        <w:rPr>
          <w:rtl/>
        </w:rPr>
      </w:pPr>
      <w:bookmarkStart w:id="66" w:name="_Toc154942595"/>
      <w:bookmarkStart w:id="67" w:name="_Toc154944417"/>
      <w:bookmarkStart w:id="68" w:name="_Toc154947527"/>
      <w:r w:rsidRPr="005F7E47">
        <w:rPr>
          <w:rFonts w:ascii="Century" w:hAnsi="Century" w:cs="Miriam" w:hint="eastAsia"/>
          <w:b/>
          <w:color w:val="auto"/>
          <w:sz w:val="22"/>
          <w:szCs w:val="24"/>
          <w:rtl/>
        </w:rPr>
        <w:t>הדין</w:t>
      </w:r>
      <w:r w:rsidRPr="005F7E47">
        <w:rPr>
          <w:rFonts w:ascii="Century" w:hAnsi="Century" w:cs="Miriam"/>
          <w:b/>
          <w:color w:val="auto"/>
          <w:sz w:val="22"/>
          <w:szCs w:val="24"/>
          <w:rtl/>
        </w:rPr>
        <w:t xml:space="preserve"> </w:t>
      </w:r>
      <w:r w:rsidRPr="005F7E47">
        <w:rPr>
          <w:rFonts w:ascii="Century" w:hAnsi="Century" w:cs="Miriam" w:hint="eastAsia"/>
          <w:b/>
          <w:color w:val="auto"/>
          <w:sz w:val="22"/>
          <w:szCs w:val="24"/>
          <w:rtl/>
        </w:rPr>
        <w:t>הרצוי</w:t>
      </w:r>
      <w:bookmarkEnd w:id="66"/>
      <w:bookmarkEnd w:id="67"/>
      <w:bookmarkEnd w:id="68"/>
    </w:p>
    <w:p w:rsidR="00EB02E1" w:rsidRDefault="00EB02E1" w:rsidP="00EB02E1">
      <w:pPr>
        <w:pStyle w:val="Ruller4"/>
        <w:rPr>
          <w:rtl/>
        </w:rPr>
      </w:pPr>
      <w:r>
        <w:rPr>
          <w:rFonts w:hint="cs"/>
          <w:rtl/>
        </w:rPr>
        <w:t xml:space="preserve">עד כה סקרתי את הדין </w:t>
      </w:r>
      <w:r w:rsidRPr="00DB618B">
        <w:rPr>
          <w:rFonts w:ascii="Times New Roman" w:hAnsi="Times New Roman" w:cs="Miriam" w:hint="cs"/>
          <w:b/>
          <w:spacing w:val="0"/>
          <w:sz w:val="22"/>
          <w:szCs w:val="24"/>
          <w:rtl/>
        </w:rPr>
        <w:t>המצוי</w:t>
      </w:r>
      <w:r>
        <w:rPr>
          <w:rFonts w:hint="cs"/>
          <w:rtl/>
        </w:rPr>
        <w:t xml:space="preserve">. מסקנתי היא, כאמור, כי בעשרות שנותיה הראשונות של המדינה, איש לא העלה על דעתו את האפשרות לפסול חקיקה מכוח עקרונות על-חוקתיים, וכי גם עתה אין בנמצא מקור סמכות כלשהו המאפשר לערוך ביקורת שיפוטית על חוקי-היסוד. אעבור כעת לדין </w:t>
      </w:r>
      <w:r w:rsidRPr="00DB618B">
        <w:rPr>
          <w:rFonts w:ascii="Times New Roman" w:hAnsi="Times New Roman" w:cs="Miriam" w:hint="cs"/>
          <w:b/>
          <w:spacing w:val="0"/>
          <w:sz w:val="22"/>
          <w:szCs w:val="24"/>
          <w:rtl/>
        </w:rPr>
        <w:t>הרצוי</w:t>
      </w:r>
      <w:r>
        <w:rPr>
          <w:rFonts w:hint="cs"/>
          <w:rtl/>
        </w:rPr>
        <w:t xml:space="preserve">. בטרם אבוא בדברים, רואה אני חובה, לזכור ולהזכיר, כי נוכח מסקנתי שלפיה נעדרי סמכות אנו, הרי שדיון בשאלת הדין הרצוי הוא בבחינת 'למעלה מן הצורך'. אף אם אשתכנע, באותות ובמופתים, כי הדין הרצוי תומך בביקורת שיפוטית על-חוקתית, לא יהא בכך כדי להפוך דין רצוי לדין מצוי. </w:t>
      </w:r>
    </w:p>
    <w:p w:rsidR="00EB02E1" w:rsidRPr="00DB618B" w:rsidRDefault="00EB02E1" w:rsidP="00EB02E1">
      <w:pPr>
        <w:pStyle w:val="Ruller41"/>
      </w:pPr>
    </w:p>
    <w:p w:rsidR="00EB02E1" w:rsidRDefault="00EB02E1" w:rsidP="00EB02E1">
      <w:pPr>
        <w:pStyle w:val="Ruller4"/>
        <w:rPr>
          <w:rtl/>
        </w:rPr>
      </w:pPr>
      <w:r>
        <w:rPr>
          <w:rFonts w:hint="cs"/>
          <w:rtl/>
        </w:rPr>
        <w:t xml:space="preserve">בצוק העיתים, לא היה סיפּק בידי לפרוס את משנתי במלואה. עזר ותרופה מצאתי בדבריו של פרופ' </w:t>
      </w:r>
      <w:r w:rsidRPr="00EB531B">
        <w:rPr>
          <w:rFonts w:ascii="Century" w:hAnsi="Century" w:cs="Miriam" w:hint="cs"/>
          <w:b/>
          <w:spacing w:val="0"/>
          <w:sz w:val="22"/>
          <w:szCs w:val="24"/>
          <w:shd w:val="clear" w:color="auto" w:fill="FFFFFF"/>
          <w:rtl/>
        </w:rPr>
        <w:t>י</w:t>
      </w:r>
      <w:r>
        <w:rPr>
          <w:rFonts w:ascii="Century" w:hAnsi="Century" w:cs="Miriam" w:hint="cs"/>
          <w:b/>
          <w:spacing w:val="0"/>
          <w:sz w:val="22"/>
          <w:szCs w:val="24"/>
          <w:shd w:val="clear" w:color="auto" w:fill="FFFFFF"/>
          <w:rtl/>
        </w:rPr>
        <w:t>צחק</w:t>
      </w:r>
      <w:r w:rsidRPr="00EB531B">
        <w:rPr>
          <w:rFonts w:ascii="Century" w:hAnsi="Century" w:cs="Miriam" w:hint="cs"/>
          <w:b/>
          <w:spacing w:val="0"/>
          <w:sz w:val="22"/>
          <w:szCs w:val="24"/>
          <w:shd w:val="clear" w:color="auto" w:fill="FFFFFF"/>
          <w:rtl/>
        </w:rPr>
        <w:t xml:space="preserve"> זמיר</w:t>
      </w:r>
      <w:r>
        <w:rPr>
          <w:rFonts w:hint="cs"/>
          <w:rtl/>
        </w:rPr>
        <w:t>. בשנת 1992, נעשה ניסיון-נפל, אחד מִנִּי רבים, לחוקק את חוק-יסוד: החקיקה. במסגרת אותה הצעה, נכללה אפשרות לקיים ביקורת שיפוטית על דברי חקיקה, בשל כך</w:t>
      </w:r>
      <w:r>
        <w:rPr>
          <w:rFonts w:ascii="Century" w:hAnsi="Century" w:cs="Miriam" w:hint="cs"/>
          <w:b/>
          <w:spacing w:val="0"/>
          <w:sz w:val="22"/>
          <w:szCs w:val="24"/>
          <w:shd w:val="clear" w:color="auto" w:fill="FFFFFF"/>
          <w:rtl/>
        </w:rPr>
        <w:t xml:space="preserve"> "</w:t>
      </w:r>
      <w:r w:rsidRPr="005E2F8F">
        <w:rPr>
          <w:rFonts w:ascii="Century" w:hAnsi="Century" w:cs="Miriam"/>
          <w:b/>
          <w:spacing w:val="0"/>
          <w:sz w:val="22"/>
          <w:szCs w:val="24"/>
          <w:shd w:val="clear" w:color="auto" w:fill="FFFFFF"/>
          <w:rtl/>
        </w:rPr>
        <w:t>שהם סותרים עקר</w:t>
      </w:r>
      <w:r>
        <w:rPr>
          <w:rFonts w:ascii="Century" w:hAnsi="Century" w:cs="Miriam"/>
          <w:b/>
          <w:spacing w:val="0"/>
          <w:sz w:val="22"/>
          <w:szCs w:val="24"/>
          <w:shd w:val="clear" w:color="auto" w:fill="FFFFFF"/>
          <w:rtl/>
        </w:rPr>
        <w:t>ון מעקרונות היסוד של מדינת ישרא</w:t>
      </w:r>
      <w:r>
        <w:rPr>
          <w:rFonts w:ascii="Century" w:hAnsi="Century" w:cs="Miriam" w:hint="cs"/>
          <w:b/>
          <w:spacing w:val="0"/>
          <w:sz w:val="22"/>
          <w:szCs w:val="24"/>
          <w:shd w:val="clear" w:color="auto" w:fill="FFFFFF"/>
          <w:rtl/>
        </w:rPr>
        <w:t>ל</w:t>
      </w:r>
      <w:r w:rsidRPr="005E2F8F">
        <w:rPr>
          <w:rFonts w:ascii="Century" w:hAnsi="Century" w:cs="Miriam" w:hint="cs"/>
          <w:b/>
          <w:spacing w:val="0"/>
          <w:sz w:val="22"/>
          <w:szCs w:val="24"/>
          <w:rtl/>
        </w:rPr>
        <w:t>"</w:t>
      </w:r>
      <w:r>
        <w:rPr>
          <w:rFonts w:hint="cs"/>
          <w:rtl/>
        </w:rPr>
        <w:t xml:space="preserve">. בתגובה לאותה הצעת חוק, פרסם פרופ' </w:t>
      </w:r>
      <w:r>
        <w:rPr>
          <w:rFonts w:ascii="Century" w:hAnsi="Century" w:cs="Miriam" w:hint="cs"/>
          <w:b/>
          <w:spacing w:val="0"/>
          <w:sz w:val="22"/>
          <w:szCs w:val="24"/>
          <w:rtl/>
        </w:rPr>
        <w:t>זמיר</w:t>
      </w:r>
      <w:r>
        <w:rPr>
          <w:rFonts w:hint="cs"/>
          <w:rtl/>
        </w:rPr>
        <w:t xml:space="preserve"> מאמר אקדמי, שבו הביע התנגדות חריפה לעריכת ביקורת שיפוטית מכוח 'עקרונות יסוד' בלתי-כתובים, באשר הם (</w:t>
      </w:r>
      <w:r>
        <w:rPr>
          <w:rFonts w:ascii="Century" w:hAnsi="Century" w:hint="cs"/>
          <w:rtl/>
        </w:rPr>
        <w:t xml:space="preserve">יצחק זמיר "הביקורת השיפוטית על חוקיות חוקים" </w:t>
      </w:r>
      <w:r w:rsidRPr="005E2F8F">
        <w:rPr>
          <w:rFonts w:ascii="Century" w:hAnsi="Century" w:cs="Miriam" w:hint="cs"/>
          <w:b/>
          <w:spacing w:val="0"/>
          <w:szCs w:val="24"/>
          <w:rtl/>
        </w:rPr>
        <w:t>משפט וממשל</w:t>
      </w:r>
      <w:r w:rsidRPr="005E2F8F">
        <w:rPr>
          <w:rFonts w:ascii="Century" w:hAnsi="Century" w:hint="cs"/>
          <w:rtl/>
        </w:rPr>
        <w:t xml:space="preserve"> </w:t>
      </w:r>
      <w:r>
        <w:rPr>
          <w:rFonts w:ascii="Century" w:hAnsi="Century" w:hint="cs"/>
          <w:rtl/>
        </w:rPr>
        <w:t>א 395, 407-405 (תשנ"ג)</w:t>
      </w:r>
      <w:r>
        <w:rPr>
          <w:rFonts w:hint="cs"/>
          <w:rtl/>
        </w:rPr>
        <w:t xml:space="preserve">). במאמרו עומד פרופ' </w:t>
      </w:r>
      <w:r w:rsidRPr="0039746D">
        <w:rPr>
          <w:rFonts w:ascii="Century" w:hAnsi="Century" w:cs="Miriam" w:hint="cs"/>
          <w:b/>
          <w:spacing w:val="0"/>
          <w:sz w:val="22"/>
          <w:szCs w:val="24"/>
          <w:rtl/>
        </w:rPr>
        <w:t>זמיר</w:t>
      </w:r>
      <w:r>
        <w:rPr>
          <w:rFonts w:hint="cs"/>
          <w:rtl/>
        </w:rPr>
        <w:t xml:space="preserve"> באריכות על הקשיים התיאורטיים היסודיים שמעוררת ביקורת שיפוטית 'רדיקלית', המבקשת לעשות שימוש בערכי-יסוד בלתי-כתובים. </w:t>
      </w:r>
    </w:p>
    <w:p w:rsidR="00EB02E1" w:rsidRPr="0039746D" w:rsidRDefault="00EB02E1" w:rsidP="00EB02E1">
      <w:pPr>
        <w:pStyle w:val="Ruller41"/>
      </w:pPr>
    </w:p>
    <w:p w:rsidR="00EB02E1" w:rsidRDefault="00EB02E1" w:rsidP="00EB02E1">
      <w:pPr>
        <w:pStyle w:val="Ruller4"/>
        <w:rPr>
          <w:rtl/>
        </w:rPr>
      </w:pPr>
      <w:r>
        <w:rPr>
          <w:rFonts w:ascii="Century" w:hAnsi="Century" w:hint="cs"/>
          <w:sz w:val="22"/>
          <w:rtl/>
        </w:rPr>
        <w:t xml:space="preserve">תחילה, עומד פרופ' </w:t>
      </w:r>
      <w:r w:rsidRPr="00380E02">
        <w:rPr>
          <w:rFonts w:ascii="Century" w:hAnsi="Century" w:cs="Miriam" w:hint="cs"/>
          <w:b/>
          <w:spacing w:val="0"/>
          <w:szCs w:val="24"/>
          <w:rtl/>
        </w:rPr>
        <w:t>זמיר</w:t>
      </w:r>
      <w:r>
        <w:rPr>
          <w:rFonts w:ascii="Century" w:hAnsi="Century" w:hint="cs"/>
          <w:sz w:val="22"/>
          <w:rtl/>
        </w:rPr>
        <w:t xml:space="preserve"> על כך שהגדרתה של מדינת ישראל כ'מדינה יהודית ודמוקרטית', הריהי הגדרה 'חובקת-כל', אך נותרת עמומה לצרכים משפטיים. </w:t>
      </w:r>
      <w:r w:rsidRPr="0039746D">
        <w:rPr>
          <w:rFonts w:ascii="Century" w:hAnsi="Century" w:cs="Miriam" w:hint="cs"/>
          <w:b/>
          <w:spacing w:val="0"/>
          <w:szCs w:val="24"/>
          <w:rtl/>
        </w:rPr>
        <w:t>"</w:t>
      </w:r>
      <w:r w:rsidRPr="0039746D">
        <w:rPr>
          <w:rFonts w:ascii="Century" w:hAnsi="Century" w:cs="Miriam"/>
          <w:b/>
          <w:spacing w:val="0"/>
          <w:szCs w:val="24"/>
          <w:rtl/>
        </w:rPr>
        <w:t>העילה השלישית והאחרונה לביקורת על חוקיותו של חוק, לפי סעיף 35</w:t>
      </w:r>
      <w:r w:rsidRPr="0039746D">
        <w:rPr>
          <w:rFonts w:ascii="Century" w:hAnsi="Century" w:cs="Miriam" w:hint="cs"/>
          <w:b/>
          <w:spacing w:val="0"/>
          <w:szCs w:val="24"/>
          <w:rtl/>
        </w:rPr>
        <w:t>(</w:t>
      </w:r>
      <w:r w:rsidRPr="0039746D">
        <w:rPr>
          <w:rFonts w:ascii="Century" w:hAnsi="Century" w:cs="Miriam"/>
          <w:b/>
          <w:spacing w:val="0"/>
          <w:szCs w:val="24"/>
          <w:rtl/>
        </w:rPr>
        <w:t>ה) להצעת החוק, היא הסתירה לעקרונות היסוד של מדינת ישראל. מה הם עקרונות אלה? על כך אין תשובה מוסמכת לא בהצעת החוק ואף לא במקור אחר. אמנם, לאחר שהצעת החוק גובשה</w:t>
      </w:r>
      <w:r w:rsidRPr="0039746D">
        <w:rPr>
          <w:rFonts w:ascii="Century" w:hAnsi="Century" w:cs="Miriam" w:hint="cs"/>
          <w:b/>
          <w:spacing w:val="0"/>
          <w:szCs w:val="24"/>
          <w:rtl/>
        </w:rPr>
        <w:t xml:space="preserve">, </w:t>
      </w:r>
      <w:r w:rsidRPr="0039746D">
        <w:rPr>
          <w:rFonts w:ascii="Century" w:hAnsi="Century" w:cs="Miriam"/>
          <w:b/>
          <w:spacing w:val="0"/>
          <w:szCs w:val="24"/>
          <w:rtl/>
        </w:rPr>
        <w:t xml:space="preserve">נתקבל בכנסת </w:t>
      </w:r>
      <w:r w:rsidRPr="0039746D">
        <w:rPr>
          <w:rFonts w:ascii="Century" w:hAnsi="Century" w:cs="Miriam"/>
          <w:b/>
          <w:spacing w:val="0"/>
          <w:szCs w:val="24"/>
          <w:rtl/>
        </w:rPr>
        <w:lastRenderedPageBreak/>
        <w:t>חוק</w:t>
      </w:r>
      <w:r w:rsidRPr="0039746D">
        <w:rPr>
          <w:rFonts w:ascii="Century" w:hAnsi="Century" w:cs="Miriam" w:hint="cs"/>
          <w:b/>
          <w:spacing w:val="0"/>
          <w:szCs w:val="24"/>
          <w:rtl/>
        </w:rPr>
        <w:t>-</w:t>
      </w:r>
      <w:r w:rsidRPr="0039746D">
        <w:rPr>
          <w:rFonts w:ascii="Century" w:hAnsi="Century" w:cs="Miriam"/>
          <w:b/>
          <w:spacing w:val="0"/>
          <w:szCs w:val="24"/>
          <w:rtl/>
        </w:rPr>
        <w:t>יסוד: כבוד האדם וחירותו. חוק</w:t>
      </w:r>
      <w:r w:rsidRPr="0039746D">
        <w:rPr>
          <w:rFonts w:ascii="Century" w:hAnsi="Century" w:cs="Miriam" w:hint="cs"/>
          <w:b/>
          <w:spacing w:val="0"/>
          <w:szCs w:val="24"/>
          <w:rtl/>
        </w:rPr>
        <w:t>-</w:t>
      </w:r>
      <w:r w:rsidRPr="0039746D">
        <w:rPr>
          <w:rFonts w:ascii="Century" w:hAnsi="Century" w:cs="Miriam"/>
          <w:b/>
          <w:spacing w:val="0"/>
          <w:szCs w:val="24"/>
          <w:rtl/>
        </w:rPr>
        <w:t xml:space="preserve">יסוד זה קובע (בסעיף 1) כי מטרתו להגן על </w:t>
      </w:r>
      <w:r w:rsidRPr="0039746D">
        <w:rPr>
          <w:rFonts w:ascii="Century" w:hAnsi="Century" w:cs="Miriam" w:hint="cs"/>
          <w:b/>
          <w:spacing w:val="0"/>
          <w:szCs w:val="24"/>
          <w:rtl/>
        </w:rPr>
        <w:t>'</w:t>
      </w:r>
      <w:r w:rsidRPr="0039746D">
        <w:rPr>
          <w:rFonts w:ascii="Century" w:hAnsi="Century" w:cs="Miriam"/>
          <w:b/>
          <w:spacing w:val="0"/>
          <w:szCs w:val="24"/>
          <w:rtl/>
        </w:rPr>
        <w:t>ערכיה של מדינת ישראל כמדינה יהודית ודמוקרטית</w:t>
      </w:r>
      <w:r w:rsidRPr="0039746D">
        <w:rPr>
          <w:rFonts w:ascii="Century" w:hAnsi="Century" w:cs="Miriam" w:hint="cs"/>
          <w:b/>
          <w:spacing w:val="0"/>
          <w:szCs w:val="24"/>
          <w:rtl/>
        </w:rPr>
        <w:t>'</w:t>
      </w:r>
      <w:r w:rsidRPr="0039746D">
        <w:rPr>
          <w:rFonts w:ascii="Century" w:hAnsi="Century" w:cs="Miriam"/>
          <w:b/>
          <w:spacing w:val="0"/>
          <w:szCs w:val="24"/>
          <w:rtl/>
        </w:rPr>
        <w:t xml:space="preserve">. אולם, </w:t>
      </w:r>
      <w:r w:rsidRPr="0039746D">
        <w:rPr>
          <w:rFonts w:ascii="Century" w:hAnsi="Century" w:cs="Miriam"/>
          <w:b/>
          <w:spacing w:val="0"/>
          <w:szCs w:val="24"/>
          <w:u w:val="single"/>
          <w:rtl/>
        </w:rPr>
        <w:t xml:space="preserve">היהדות והדמוקרטיה הם עולם ומלואו, ואין לך ערך </w:t>
      </w:r>
      <w:r w:rsidRPr="0039746D">
        <w:rPr>
          <w:rFonts w:ascii="Century" w:hAnsi="Century" w:cs="Miriam" w:hint="cs"/>
          <w:b/>
          <w:spacing w:val="0"/>
          <w:szCs w:val="24"/>
          <w:u w:val="single"/>
          <w:rtl/>
        </w:rPr>
        <w:t>ט</w:t>
      </w:r>
      <w:r w:rsidRPr="0039746D">
        <w:rPr>
          <w:rFonts w:ascii="Century" w:hAnsi="Century" w:cs="Miriam"/>
          <w:b/>
          <w:spacing w:val="0"/>
          <w:szCs w:val="24"/>
          <w:u w:val="single"/>
          <w:rtl/>
        </w:rPr>
        <w:t>וב שאינו נכלל בהם. כיוון שכך, אין זה ברור מה הם, לצרכים משפטיים, ערכיה של מדינת ישראל כמדינה יהודית ודמוקרטית</w:t>
      </w:r>
      <w:r w:rsidRPr="0039746D">
        <w:rPr>
          <w:rFonts w:ascii="Century" w:hAnsi="Century" w:cs="Miriam" w:hint="cs"/>
          <w:b/>
          <w:spacing w:val="0"/>
          <w:szCs w:val="24"/>
          <w:rtl/>
        </w:rPr>
        <w:t xml:space="preserve">. </w:t>
      </w:r>
      <w:r>
        <w:rPr>
          <w:rFonts w:ascii="Century" w:hAnsi="Century" w:cs="Miriam" w:hint="cs"/>
          <w:b/>
          <w:spacing w:val="0"/>
          <w:szCs w:val="24"/>
          <w:rtl/>
        </w:rPr>
        <w:t xml:space="preserve">[...] </w:t>
      </w:r>
      <w:r w:rsidRPr="0039746D">
        <w:rPr>
          <w:rFonts w:ascii="Century" w:hAnsi="Century" w:cs="Miriam"/>
          <w:b/>
          <w:spacing w:val="0"/>
          <w:szCs w:val="24"/>
          <w:rtl/>
        </w:rPr>
        <w:t>עקרונות היסוד של מדינת ישראל הוא ביטוי עמום מאד, יותר מבי</w:t>
      </w:r>
      <w:r w:rsidRPr="0039746D">
        <w:rPr>
          <w:rFonts w:ascii="Century" w:hAnsi="Century" w:cs="Miriam" w:hint="cs"/>
          <w:b/>
          <w:spacing w:val="0"/>
          <w:szCs w:val="24"/>
          <w:rtl/>
        </w:rPr>
        <w:t>ט</w:t>
      </w:r>
      <w:r w:rsidRPr="0039746D">
        <w:rPr>
          <w:rFonts w:ascii="Century" w:hAnsi="Century" w:cs="Miriam"/>
          <w:b/>
          <w:spacing w:val="0"/>
          <w:szCs w:val="24"/>
          <w:rtl/>
        </w:rPr>
        <w:t>ויים עמומים אחרים המופיעים כרגיל בחוקות, כגון, שוויון או חופש הביטוי</w:t>
      </w:r>
      <w:r>
        <w:rPr>
          <w:rFonts w:ascii="Century" w:hAnsi="Century" w:hint="cs"/>
          <w:sz w:val="22"/>
          <w:rtl/>
        </w:rPr>
        <w:t xml:space="preserve"> (שם)</w:t>
      </w:r>
      <w:r w:rsidRPr="0039746D">
        <w:rPr>
          <w:rFonts w:ascii="Century" w:hAnsi="Century" w:hint="cs"/>
          <w:sz w:val="22"/>
          <w:rtl/>
        </w:rPr>
        <w:t>.</w:t>
      </w:r>
      <w:r>
        <w:rPr>
          <w:rFonts w:hint="cs"/>
          <w:rtl/>
        </w:rPr>
        <w:t xml:space="preserve"> </w:t>
      </w:r>
    </w:p>
    <w:p w:rsidR="00EB02E1" w:rsidRPr="0039746D" w:rsidRDefault="00EB02E1" w:rsidP="00EB02E1">
      <w:pPr>
        <w:pStyle w:val="Ruller41"/>
      </w:pPr>
    </w:p>
    <w:p w:rsidR="00EB02E1" w:rsidRDefault="00EB02E1" w:rsidP="00EB02E1">
      <w:pPr>
        <w:pStyle w:val="Ruller4"/>
        <w:rPr>
          <w:rtl/>
        </w:rPr>
      </w:pPr>
      <w:r>
        <w:rPr>
          <w:rFonts w:hint="cs"/>
          <w:rtl/>
        </w:rPr>
        <w:t xml:space="preserve">בהמשך דבריו, עומד פרופ' </w:t>
      </w:r>
      <w:r w:rsidRPr="0039746D">
        <w:rPr>
          <w:rFonts w:cs="Miriam" w:hint="cs"/>
          <w:b/>
          <w:spacing w:val="0"/>
          <w:sz w:val="22"/>
          <w:szCs w:val="24"/>
          <w:rtl/>
        </w:rPr>
        <w:t>זמיר</w:t>
      </w:r>
      <w:r>
        <w:rPr>
          <w:rFonts w:hint="cs"/>
          <w:rtl/>
        </w:rPr>
        <w:t xml:space="preserve"> על הקושי הטמון בכך שאותם עקרונות-יסוד, הופכים להיות מעין 'פסקת נצחיות' אותה לא ניתן לשנות, ומהוראותיה לא ניתן לסטות: </w:t>
      </w:r>
      <w:r>
        <w:rPr>
          <w:rFonts w:cs="Miriam" w:hint="cs"/>
          <w:b/>
          <w:spacing w:val="0"/>
          <w:szCs w:val="24"/>
          <w:rtl/>
        </w:rPr>
        <w:t>"</w:t>
      </w:r>
      <w:r w:rsidRPr="0039746D">
        <w:rPr>
          <w:rFonts w:cs="Miriam"/>
          <w:b/>
          <w:spacing w:val="0"/>
          <w:szCs w:val="24"/>
          <w:rtl/>
        </w:rPr>
        <w:t>עקרונות אלה, שעדיין אין להם דמות וגבול, מקבלים בהצעת החוק הגנה שאין לה שיעור, בעצם הגנה מוחלטת. לפי לשון ההצעה, אסור שחוק יסתור עיקרון מעקרונות היסוד של מדינת ישראל, ואין שום דרך לגבור על איסור זה. רוב של שני שלישים של חברי הכנסת, ואפילו הצבעה של כל חברי הכנסת פה</w:t>
      </w:r>
      <w:r w:rsidRPr="0039746D">
        <w:rPr>
          <w:rFonts w:cs="Miriam" w:hint="cs"/>
          <w:b/>
          <w:spacing w:val="0"/>
          <w:szCs w:val="24"/>
          <w:rtl/>
        </w:rPr>
        <w:t>-</w:t>
      </w:r>
      <w:r w:rsidRPr="0039746D">
        <w:rPr>
          <w:rFonts w:cs="Miriam"/>
          <w:b/>
          <w:spacing w:val="0"/>
          <w:szCs w:val="24"/>
          <w:rtl/>
        </w:rPr>
        <w:t xml:space="preserve">אחד, לרבות הוראה מפורשת המתירה את הסתירה, לא יועילו לתת תוקף לחוק הסותר עיקרון מעקרונות היסוד של המדינה. </w:t>
      </w:r>
      <w:r w:rsidRPr="0039746D">
        <w:rPr>
          <w:rFonts w:cs="Miriam"/>
          <w:b/>
          <w:spacing w:val="0"/>
          <w:szCs w:val="24"/>
          <w:u w:val="single"/>
          <w:rtl/>
        </w:rPr>
        <w:t>עקרונות אלה מקבלים, כביכול, קדושה כאילו ה</w:t>
      </w:r>
      <w:r w:rsidRPr="0039746D">
        <w:rPr>
          <w:rFonts w:cs="Miriam" w:hint="cs"/>
          <w:b/>
          <w:spacing w:val="0"/>
          <w:szCs w:val="24"/>
          <w:u w:val="single"/>
          <w:rtl/>
        </w:rPr>
        <w:t>ם</w:t>
      </w:r>
      <w:r w:rsidRPr="0039746D">
        <w:rPr>
          <w:rFonts w:cs="Miriam"/>
          <w:b/>
          <w:spacing w:val="0"/>
          <w:szCs w:val="24"/>
          <w:u w:val="single"/>
          <w:rtl/>
        </w:rPr>
        <w:t xml:space="preserve"> תורה למשה מסיני</w:t>
      </w:r>
      <w:r>
        <w:rPr>
          <w:rFonts w:ascii="Century" w:hAnsi="Century" w:cs="Miriam" w:hint="cs"/>
          <w:b/>
          <w:spacing w:val="0"/>
          <w:szCs w:val="24"/>
          <w:rtl/>
        </w:rPr>
        <w:t xml:space="preserve">. </w:t>
      </w:r>
      <w:r w:rsidRPr="0039746D">
        <w:rPr>
          <w:rFonts w:ascii="Century" w:hAnsi="Century" w:cs="Miriam" w:hint="cs"/>
          <w:b/>
          <w:spacing w:val="0"/>
          <w:szCs w:val="24"/>
          <w:rtl/>
        </w:rPr>
        <w:t>ה</w:t>
      </w:r>
      <w:r w:rsidRPr="0039746D">
        <w:rPr>
          <w:rFonts w:ascii="Century" w:hAnsi="Century" w:cs="Miriam"/>
          <w:b/>
          <w:spacing w:val="0"/>
          <w:szCs w:val="24"/>
          <w:rtl/>
        </w:rPr>
        <w:t xml:space="preserve">תוצאה של קידוש עקרונות היסוד של המדינה מוגזמת עד כדי אבסורד. ראשית, </w:t>
      </w:r>
      <w:r w:rsidRPr="0039746D">
        <w:rPr>
          <w:rFonts w:ascii="Century" w:hAnsi="Century" w:cs="Miriam"/>
          <w:b/>
          <w:spacing w:val="0"/>
          <w:szCs w:val="24"/>
          <w:u w:val="single"/>
          <w:rtl/>
        </w:rPr>
        <w:t>אין זה מקובל להעניק לערך כלשהו שריון מוחלט, המונע כל אפשרות של סטייה או שינוי</w:t>
      </w:r>
      <w:r w:rsidRPr="0039746D">
        <w:rPr>
          <w:rFonts w:ascii="Century" w:hAnsi="Century" w:cs="Miriam"/>
          <w:b/>
          <w:spacing w:val="0"/>
          <w:szCs w:val="24"/>
          <w:rtl/>
        </w:rPr>
        <w:t>. את הערכים הקבועים בחוקת ארה׳׳ב, כגון חופש הביטוי, קשה מאד לסייג או לתקן, אך הדבר אינו בלתי-אפשרי: בהליך מורכב וממושך אפשר לחוקק תיקון לחוקה המסייג את חופש הביטוי</w:t>
      </w:r>
      <w:r>
        <w:rPr>
          <w:rFonts w:ascii="Century" w:hAnsi="Century" w:cs="Miriam" w:hint="cs"/>
          <w:b/>
          <w:spacing w:val="0"/>
          <w:szCs w:val="24"/>
          <w:rtl/>
        </w:rPr>
        <w:t>"</w:t>
      </w:r>
      <w:r w:rsidRPr="0039746D">
        <w:rPr>
          <w:rFonts w:ascii="Century" w:hAnsi="Century"/>
          <w:sz w:val="22"/>
          <w:rtl/>
        </w:rPr>
        <w:t xml:space="preserve">. </w:t>
      </w:r>
      <w:r w:rsidRPr="0039746D">
        <w:rPr>
          <w:rFonts w:ascii="Century" w:hAnsi="Century" w:hint="cs"/>
          <w:sz w:val="22"/>
          <w:rtl/>
        </w:rPr>
        <w:t xml:space="preserve">פרופ' </w:t>
      </w:r>
      <w:r w:rsidRPr="0039746D">
        <w:rPr>
          <w:rFonts w:ascii="Century" w:hAnsi="Century" w:cs="Miriam" w:hint="cs"/>
          <w:b/>
          <w:spacing w:val="0"/>
          <w:sz w:val="22"/>
          <w:szCs w:val="24"/>
          <w:rtl/>
        </w:rPr>
        <w:t>זמיר</w:t>
      </w:r>
      <w:r w:rsidRPr="0039746D">
        <w:rPr>
          <w:rFonts w:ascii="Century" w:hAnsi="Century" w:hint="cs"/>
          <w:sz w:val="22"/>
          <w:rtl/>
        </w:rPr>
        <w:t xml:space="preserve"> מוסיף ומציין, כי העובדה שאותם עקרונות בלתי ניתנים לשינוי, שומטת, במידה רבה, את הצידוק שעומד מאחוריהם.</w:t>
      </w:r>
      <w:r w:rsidRPr="0039746D">
        <w:rPr>
          <w:rFonts w:ascii="Century" w:hAnsi="Century" w:cs="Miriam" w:hint="cs"/>
          <w:b/>
          <w:spacing w:val="0"/>
          <w:szCs w:val="24"/>
          <w:rtl/>
        </w:rPr>
        <w:t xml:space="preserve"> </w:t>
      </w:r>
      <w:r>
        <w:rPr>
          <w:rFonts w:ascii="Century" w:hAnsi="Century" w:cs="Miriam" w:hint="cs"/>
          <w:b/>
          <w:spacing w:val="0"/>
          <w:szCs w:val="24"/>
          <w:rtl/>
        </w:rPr>
        <w:t>"</w:t>
      </w:r>
      <w:r w:rsidRPr="0039746D">
        <w:rPr>
          <w:rFonts w:ascii="Century" w:hAnsi="Century" w:cs="Miriam"/>
          <w:b/>
          <w:spacing w:val="0"/>
          <w:szCs w:val="24"/>
          <w:rtl/>
        </w:rPr>
        <w:t>ניתן לומר כי שום חוקה אין לה קיום לאורך זמן, ואולי אף אין לה צידוק, אם אין בה אפשרות של תיקון ושינוי</w:t>
      </w:r>
      <w:r w:rsidRPr="0039746D">
        <w:rPr>
          <w:rFonts w:ascii="Century" w:hAnsi="Century" w:cs="Miriam" w:hint="cs"/>
          <w:b/>
          <w:spacing w:val="0"/>
          <w:szCs w:val="24"/>
          <w:rtl/>
        </w:rPr>
        <w:t>"</w:t>
      </w:r>
      <w:r>
        <w:rPr>
          <w:rFonts w:ascii="Century" w:hAnsi="Century" w:cs="Miriam" w:hint="cs"/>
          <w:b/>
          <w:spacing w:val="0"/>
          <w:szCs w:val="24"/>
          <w:rtl/>
        </w:rPr>
        <w:t xml:space="preserve"> </w:t>
      </w:r>
      <w:r>
        <w:rPr>
          <w:rFonts w:ascii="Century" w:hAnsi="Century" w:hint="cs"/>
          <w:rtl/>
        </w:rPr>
        <w:t>(שם)</w:t>
      </w:r>
      <w:r w:rsidRPr="0039746D">
        <w:rPr>
          <w:rFonts w:ascii="Century" w:hAnsi="Century" w:hint="cs"/>
          <w:rtl/>
        </w:rPr>
        <w:t>.</w:t>
      </w:r>
      <w:r>
        <w:rPr>
          <w:rFonts w:hint="cs"/>
          <w:rtl/>
        </w:rPr>
        <w:t xml:space="preserve"> </w:t>
      </w:r>
    </w:p>
    <w:p w:rsidR="00EB02E1" w:rsidRPr="00CF1C19" w:rsidRDefault="00EB02E1" w:rsidP="00EB02E1">
      <w:pPr>
        <w:pStyle w:val="Ruller41"/>
      </w:pPr>
    </w:p>
    <w:p w:rsidR="00EB02E1" w:rsidRPr="00CF1C19" w:rsidRDefault="00EB02E1" w:rsidP="00EB02E1">
      <w:pPr>
        <w:pStyle w:val="Ruller4"/>
        <w:rPr>
          <w:rtl/>
        </w:rPr>
      </w:pPr>
      <w:r>
        <w:rPr>
          <w:rFonts w:hint="cs"/>
          <w:rtl/>
        </w:rPr>
        <w:t xml:space="preserve">פרופ' </w:t>
      </w:r>
      <w:r w:rsidRPr="00CF1C19">
        <w:rPr>
          <w:rFonts w:cs="Miriam" w:hint="cs"/>
          <w:b/>
          <w:spacing w:val="0"/>
          <w:sz w:val="22"/>
          <w:szCs w:val="24"/>
          <w:rtl/>
        </w:rPr>
        <w:t>זמיר</w:t>
      </w:r>
      <w:r>
        <w:rPr>
          <w:rFonts w:hint="cs"/>
          <w:rtl/>
        </w:rPr>
        <w:t xml:space="preserve"> מוסיף ומחדד את המכשולים הניצבים בדרכנו, עת מבקשים אנו ליצוק תוכן ממשי ואובייקטיבי, לתוך מונחים עמומים אלו. אותו קושי, עשוי לגרום, לדבריו, לכך שההכרעות המתקבלות תישאנה אופי סובייקטיבי, התלוי בערכיו של השופט היושב בדין. </w:t>
      </w:r>
      <w:r w:rsidRPr="00CF1C19">
        <w:rPr>
          <w:rFonts w:cs="Miriam" w:hint="cs"/>
          <w:b/>
          <w:spacing w:val="0"/>
          <w:szCs w:val="24"/>
          <w:rtl/>
        </w:rPr>
        <w:t>"</w:t>
      </w:r>
      <w:r w:rsidRPr="00CF1C19">
        <w:rPr>
          <w:rFonts w:cs="Miriam"/>
          <w:b/>
          <w:spacing w:val="0"/>
          <w:szCs w:val="24"/>
          <w:rtl/>
        </w:rPr>
        <w:t xml:space="preserve">זאת ועוד. אפילו היתה ההגנה המוקנית לעקרונות היסוד של מדינת ישראל זהה להגנה הניתנת לחוקי-היסוד, כך </w:t>
      </w:r>
      <w:r w:rsidRPr="00CF1C19">
        <w:rPr>
          <w:rFonts w:cs="Miriam" w:hint="cs"/>
          <w:b/>
          <w:spacing w:val="0"/>
          <w:szCs w:val="24"/>
          <w:rtl/>
        </w:rPr>
        <w:t>ש</w:t>
      </w:r>
      <w:r w:rsidRPr="00CF1C19">
        <w:rPr>
          <w:rFonts w:cs="Miriam"/>
          <w:b/>
          <w:spacing w:val="0"/>
          <w:szCs w:val="24"/>
          <w:rtl/>
        </w:rPr>
        <w:t>ניתן היה לסתור עקרונות כאלה באמצעות חוק שנתקבל ברוב מיוחד, עדיין קשה היה להשלים עם חידוש זה. במדינות העולם מקובל כי ההגנה שחוקה מקנה לעקרונות יסוד מוגבלת לעקרונות ידועים, המפורטים בחוקה, כגון השוויון</w:t>
      </w:r>
      <w:r w:rsidRPr="00CF1C19">
        <w:rPr>
          <w:rFonts w:cs="Miriam" w:hint="cs"/>
          <w:b/>
          <w:spacing w:val="0"/>
          <w:szCs w:val="24"/>
          <w:rtl/>
        </w:rPr>
        <w:t xml:space="preserve">, </w:t>
      </w:r>
      <w:r w:rsidRPr="00CF1C19">
        <w:rPr>
          <w:rFonts w:cs="Miriam"/>
          <w:b/>
          <w:spacing w:val="0"/>
          <w:szCs w:val="24"/>
          <w:rtl/>
        </w:rPr>
        <w:t>חופש הביטוי וחירויות נוספות שהחוקה מפרטת. אין זה מקובל להקנות הגנה לעקרונות שאינם ידועים. הגנה רחבה וסתומה לעקרונות שלא פורטו מטילה על בית</w:t>
      </w:r>
      <w:r w:rsidRPr="00CF1C19">
        <w:rPr>
          <w:rFonts w:cs="Miriam" w:hint="cs"/>
          <w:b/>
          <w:spacing w:val="0"/>
          <w:szCs w:val="24"/>
          <w:rtl/>
        </w:rPr>
        <w:t>-</w:t>
      </w:r>
      <w:r w:rsidRPr="00CF1C19">
        <w:rPr>
          <w:rFonts w:cs="Miriam"/>
          <w:b/>
          <w:spacing w:val="0"/>
          <w:szCs w:val="24"/>
          <w:rtl/>
        </w:rPr>
        <w:t>המשפט אחריות כבדה מאד, בלי שהוא יוכל לעגן את הכרעותיו ולהגן על עצמו, באמצעות הוראות החוקה המפרטות את העקרונות. אחריות כזאת כרוכה בבעיות קשות מאד</w:t>
      </w:r>
      <w:r w:rsidRPr="00CF1C19">
        <w:rPr>
          <w:rFonts w:cs="Miriam" w:hint="cs"/>
          <w:b/>
          <w:spacing w:val="0"/>
          <w:szCs w:val="24"/>
          <w:rtl/>
        </w:rPr>
        <w:t xml:space="preserve">, </w:t>
      </w:r>
      <w:r w:rsidRPr="00CF1C19">
        <w:rPr>
          <w:rFonts w:cs="Miriam"/>
          <w:b/>
          <w:spacing w:val="0"/>
          <w:szCs w:val="24"/>
          <w:rtl/>
        </w:rPr>
        <w:t>במישור העיוני ובמישור המעשי גם יחד.</w:t>
      </w:r>
      <w:r w:rsidRPr="00CF1C19">
        <w:rPr>
          <w:rFonts w:cs="Miriam" w:hint="cs"/>
          <w:b/>
          <w:spacing w:val="0"/>
          <w:szCs w:val="24"/>
          <w:rtl/>
        </w:rPr>
        <w:t xml:space="preserve"> </w:t>
      </w:r>
      <w:r w:rsidRPr="00CF1C19">
        <w:rPr>
          <w:rFonts w:cs="Miriam"/>
          <w:b/>
          <w:spacing w:val="0"/>
          <w:szCs w:val="24"/>
          <w:rtl/>
        </w:rPr>
        <w:t>האם, למשל, שלמות הארץ היא עיקרון כז</w:t>
      </w:r>
      <w:r w:rsidRPr="00CF1C19">
        <w:rPr>
          <w:rFonts w:cs="Miriam" w:hint="cs"/>
          <w:b/>
          <w:spacing w:val="0"/>
          <w:szCs w:val="24"/>
          <w:rtl/>
        </w:rPr>
        <w:t xml:space="preserve">ה? </w:t>
      </w:r>
      <w:r w:rsidRPr="00CF1C19">
        <w:rPr>
          <w:rFonts w:cs="Miriam"/>
          <w:b/>
          <w:spacing w:val="0"/>
          <w:szCs w:val="24"/>
          <w:rtl/>
        </w:rPr>
        <w:t xml:space="preserve">או, אולי, נישואין כדת משה וישראל? </w:t>
      </w:r>
      <w:r w:rsidRPr="00CF1C19">
        <w:rPr>
          <w:rFonts w:cs="Miriam"/>
          <w:b/>
          <w:spacing w:val="0"/>
          <w:szCs w:val="24"/>
          <w:u w:val="single"/>
          <w:rtl/>
        </w:rPr>
        <w:t>ברור שאין הסכמה כללית בשאלה מה הם עקרונות היסוד של המדינה</w:t>
      </w:r>
      <w:r w:rsidRPr="00CF1C19">
        <w:rPr>
          <w:rFonts w:cs="Miriam"/>
          <w:b/>
          <w:spacing w:val="0"/>
          <w:szCs w:val="24"/>
          <w:rtl/>
        </w:rPr>
        <w:t xml:space="preserve">. אם </w:t>
      </w:r>
      <w:r w:rsidRPr="00CF1C19">
        <w:rPr>
          <w:rFonts w:cs="Miriam"/>
          <w:b/>
          <w:spacing w:val="0"/>
          <w:szCs w:val="24"/>
          <w:rtl/>
        </w:rPr>
        <w:lastRenderedPageBreak/>
        <w:t>בית</w:t>
      </w:r>
      <w:r w:rsidRPr="00CF1C19">
        <w:rPr>
          <w:rFonts w:cs="Miriam" w:hint="cs"/>
          <w:b/>
          <w:spacing w:val="0"/>
          <w:szCs w:val="24"/>
          <w:rtl/>
        </w:rPr>
        <w:t>-</w:t>
      </w:r>
      <w:r w:rsidRPr="00CF1C19">
        <w:rPr>
          <w:rFonts w:cs="Miriam"/>
          <w:b/>
          <w:spacing w:val="0"/>
          <w:szCs w:val="24"/>
          <w:rtl/>
        </w:rPr>
        <w:t>המשפט יידרש להכריע בשאלת תוקפו של חוק לאור עקרונות</w:t>
      </w:r>
      <w:r w:rsidRPr="00CF1C19">
        <w:rPr>
          <w:rFonts w:cs="Miriam" w:hint="cs"/>
          <w:b/>
          <w:spacing w:val="0"/>
          <w:szCs w:val="24"/>
          <w:rtl/>
        </w:rPr>
        <w:t xml:space="preserve"> </w:t>
      </w:r>
      <w:r w:rsidRPr="00CF1C19">
        <w:rPr>
          <w:rFonts w:cs="Miriam"/>
          <w:b/>
          <w:spacing w:val="0"/>
          <w:szCs w:val="24"/>
          <w:rtl/>
        </w:rPr>
        <w:t xml:space="preserve">היסוד, הוא עלול להיסחף למערבולת של מחלוקת בשאלה מה הם עקרונות אלה, </w:t>
      </w:r>
      <w:r w:rsidRPr="00CF1C19">
        <w:rPr>
          <w:rFonts w:cs="Miriam"/>
          <w:b/>
          <w:spacing w:val="0"/>
          <w:szCs w:val="24"/>
          <w:u w:val="single"/>
          <w:rtl/>
        </w:rPr>
        <w:t>ולהחשף לביקורת בדבר נטיות אישיות של השופטים</w:t>
      </w:r>
      <w:r>
        <w:rPr>
          <w:rFonts w:cs="Miriam" w:hint="cs"/>
          <w:b/>
          <w:spacing w:val="0"/>
          <w:szCs w:val="24"/>
          <w:u w:val="single"/>
          <w:rtl/>
        </w:rPr>
        <w:t>"</w:t>
      </w:r>
      <w:r w:rsidRPr="00CF1C19">
        <w:rPr>
          <w:rFonts w:ascii="Century" w:hAnsi="Century" w:hint="cs"/>
          <w:sz w:val="22"/>
          <w:rtl/>
        </w:rPr>
        <w:t xml:space="preserve"> (שם).</w:t>
      </w:r>
    </w:p>
    <w:p w:rsidR="00EB02E1" w:rsidRDefault="00EB02E1" w:rsidP="00EB02E1">
      <w:pPr>
        <w:pStyle w:val="Ruller41"/>
        <w:rPr>
          <w:rFonts w:ascii="Century" w:hAnsi="Century" w:cs="Miriam"/>
          <w:b/>
          <w:spacing w:val="0"/>
          <w:szCs w:val="24"/>
          <w:rtl/>
        </w:rPr>
      </w:pPr>
    </w:p>
    <w:p w:rsidR="00EB02E1" w:rsidRPr="0039746D" w:rsidRDefault="00EB02E1" w:rsidP="00EB02E1">
      <w:pPr>
        <w:pStyle w:val="Ruller4"/>
        <w:rPr>
          <w:rtl/>
        </w:rPr>
      </w:pPr>
      <w:r>
        <w:rPr>
          <w:rFonts w:ascii="Century" w:hAnsi="Century" w:hint="cs"/>
          <w:sz w:val="22"/>
          <w:rtl/>
        </w:rPr>
        <w:t xml:space="preserve">דברים אלו מעוררים תמיהה לכאורית: מהי הרבותא בכך שאנו עושים שימוש במונח </w:t>
      </w:r>
      <w:r w:rsidRPr="00C453FE">
        <w:rPr>
          <w:rFonts w:cs="Miriam" w:hint="cs"/>
          <w:b/>
          <w:spacing w:val="0"/>
          <w:szCs w:val="24"/>
          <w:rtl/>
        </w:rPr>
        <w:t>'מדינה יהודית ודמוקרטית'</w:t>
      </w:r>
      <w:r>
        <w:rPr>
          <w:rFonts w:ascii="Century" w:hAnsi="Century" w:hint="cs"/>
          <w:sz w:val="22"/>
          <w:rtl/>
        </w:rPr>
        <w:t xml:space="preserve">? מונח זה שגור בלשוננו, תוך שאנו עושים בו שימוש במלאכתנו הפרשנית, בבואנו ליתן מובן לדברי חקיקה אלו ואחרים. מה נשתנה אפוא לרעה, דינה של הביקורת השיפוטית מכוח עקרונות יסוד עמומים, לעומת שימוש באותם 'עקרונות יסוד' לצרכים פרשניים גרידא? פרופ' </w:t>
      </w:r>
      <w:r w:rsidRPr="0039746D">
        <w:rPr>
          <w:rFonts w:ascii="Century" w:hAnsi="Century" w:cs="Miriam" w:hint="cs"/>
          <w:b/>
          <w:spacing w:val="0"/>
          <w:sz w:val="22"/>
          <w:szCs w:val="24"/>
          <w:rtl/>
        </w:rPr>
        <w:t>זמיר</w:t>
      </w:r>
      <w:r>
        <w:rPr>
          <w:rFonts w:ascii="Century" w:hAnsi="Century" w:hint="cs"/>
          <w:sz w:val="22"/>
          <w:rtl/>
        </w:rPr>
        <w:t xml:space="preserve"> מתמודד עם השאלה במישרין, מבאר את הדברים הדק היטב: </w:t>
      </w:r>
      <w:r>
        <w:rPr>
          <w:rFonts w:ascii="Century" w:hAnsi="Century" w:cs="Miriam" w:hint="cs"/>
          <w:b/>
          <w:spacing w:val="0"/>
          <w:szCs w:val="24"/>
          <w:rtl/>
        </w:rPr>
        <w:t>"</w:t>
      </w:r>
      <w:r w:rsidRPr="0039746D">
        <w:rPr>
          <w:rFonts w:ascii="Century" w:hAnsi="Century" w:cs="Miriam"/>
          <w:b/>
          <w:spacing w:val="0"/>
          <w:szCs w:val="24"/>
          <w:rtl/>
        </w:rPr>
        <w:t>אכן, בית</w:t>
      </w:r>
      <w:r w:rsidRPr="0039746D">
        <w:rPr>
          <w:rFonts w:ascii="Century" w:hAnsi="Century" w:cs="Miriam" w:hint="cs"/>
          <w:b/>
          <w:spacing w:val="0"/>
          <w:szCs w:val="24"/>
          <w:rtl/>
        </w:rPr>
        <w:t>-</w:t>
      </w:r>
      <w:r w:rsidRPr="0039746D">
        <w:rPr>
          <w:rFonts w:ascii="Century" w:hAnsi="Century" w:cs="Miriam"/>
          <w:b/>
          <w:spacing w:val="0"/>
          <w:szCs w:val="24"/>
          <w:rtl/>
        </w:rPr>
        <w:t xml:space="preserve">המשפט נוהג מאז ומתמיד לקבוע את ערכי היסוד של המדינה ולהסתייע בהם לצורך פרשנות החוק. </w:t>
      </w:r>
      <w:r w:rsidRPr="00785DD1">
        <w:rPr>
          <w:rFonts w:ascii="Century" w:hAnsi="Century" w:cs="Miriam"/>
          <w:b/>
          <w:spacing w:val="0"/>
          <w:szCs w:val="24"/>
          <w:u w:val="single"/>
          <w:rtl/>
        </w:rPr>
        <w:t>אולם יש הבדל גדול</w:t>
      </w:r>
      <w:r w:rsidRPr="00785DD1">
        <w:rPr>
          <w:rFonts w:ascii="Century" w:hAnsi="Century" w:cs="Miriam" w:hint="cs"/>
          <w:b/>
          <w:spacing w:val="0"/>
          <w:szCs w:val="24"/>
          <w:u w:val="single"/>
          <w:rtl/>
        </w:rPr>
        <w:t xml:space="preserve">, </w:t>
      </w:r>
      <w:r w:rsidRPr="00785DD1">
        <w:rPr>
          <w:rFonts w:ascii="Century" w:hAnsi="Century" w:cs="Miriam"/>
          <w:b/>
          <w:spacing w:val="0"/>
          <w:szCs w:val="24"/>
          <w:u w:val="single"/>
          <w:rtl/>
        </w:rPr>
        <w:t>לעניין זה, בין פרשנות חוק לבין ביטול חוק</w:t>
      </w:r>
      <w:r w:rsidRPr="0039746D">
        <w:rPr>
          <w:rFonts w:ascii="Century" w:hAnsi="Century" w:cs="Miriam"/>
          <w:b/>
          <w:spacing w:val="0"/>
          <w:szCs w:val="24"/>
          <w:rtl/>
        </w:rPr>
        <w:t>. כאשר בית-משפם מסתייע בערכי היסוד לצורך פרשנות חוק, הוא אמור להיות נאמן לחוק, ואם פרשנותו אינה מקובלת על המחוקק, המחוקק רשאי תמיד להתערב ולחוקק חוק חדש שיבהיר את כוונתו. לא כך כאשר בית-המשפט פוסל חוק, משום שלדעתו החוק סותר עיקרון מעקרונות היסוד</w:t>
      </w:r>
      <w:r w:rsidRPr="0039746D">
        <w:rPr>
          <w:rFonts w:ascii="Century" w:hAnsi="Century" w:cs="Miriam" w:hint="cs"/>
          <w:b/>
          <w:spacing w:val="0"/>
          <w:szCs w:val="24"/>
          <w:rtl/>
        </w:rPr>
        <w:t xml:space="preserve">, </w:t>
      </w:r>
      <w:r w:rsidRPr="0039746D">
        <w:rPr>
          <w:rFonts w:ascii="Century" w:hAnsi="Century" w:cs="Miriam"/>
          <w:b/>
          <w:spacing w:val="0"/>
          <w:szCs w:val="24"/>
          <w:rtl/>
        </w:rPr>
        <w:t xml:space="preserve">בניגוד לדעתו של המחוקק. </w:t>
      </w:r>
      <w:r w:rsidRPr="0039746D">
        <w:rPr>
          <w:rFonts w:ascii="Century" w:hAnsi="Century" w:cs="Miriam"/>
          <w:b/>
          <w:spacing w:val="0"/>
          <w:szCs w:val="24"/>
          <w:u w:val="single"/>
          <w:rtl/>
        </w:rPr>
        <w:t>במחלוקת בין המחוקק לבין בית</w:t>
      </w:r>
      <w:r w:rsidRPr="0039746D">
        <w:rPr>
          <w:rFonts w:ascii="Century" w:hAnsi="Century" w:cs="Miriam" w:hint="cs"/>
          <w:b/>
          <w:spacing w:val="0"/>
          <w:szCs w:val="24"/>
          <w:u w:val="single"/>
          <w:rtl/>
        </w:rPr>
        <w:t>-</w:t>
      </w:r>
      <w:r w:rsidRPr="0039746D">
        <w:rPr>
          <w:rFonts w:ascii="Century" w:hAnsi="Century" w:cs="Miriam"/>
          <w:b/>
          <w:spacing w:val="0"/>
          <w:szCs w:val="24"/>
          <w:u w:val="single"/>
          <w:rtl/>
        </w:rPr>
        <w:t>המשפט בשאלה מה הם עקרונות היסוד, ובשאלה אם חוק סותר עיקרון מעקרונות היסוד, כאשר עקרונות אלה לא נקבעו בחוקה, צפוי בית-המשפט למצוא עצמו בעמדה של נחיתות</w:t>
      </w:r>
      <w:r w:rsidRPr="0039746D">
        <w:rPr>
          <w:rFonts w:ascii="Century" w:hAnsi="Century" w:cs="Miriam"/>
          <w:b/>
          <w:spacing w:val="0"/>
          <w:szCs w:val="24"/>
          <w:rtl/>
        </w:rPr>
        <w:t>. בית-המשפט זקוק למצפן שינחה אותו במים עמוקים ועוגן שיגן עליו בעת סערה. עקרונות היסוד יכול</w:t>
      </w:r>
      <w:r w:rsidRPr="0039746D">
        <w:rPr>
          <w:rFonts w:ascii="Century" w:hAnsi="Century" w:cs="Miriam" w:hint="cs"/>
          <w:b/>
          <w:spacing w:val="0"/>
          <w:szCs w:val="24"/>
          <w:rtl/>
        </w:rPr>
        <w:t xml:space="preserve">ים </w:t>
      </w:r>
      <w:r w:rsidRPr="0039746D">
        <w:rPr>
          <w:rFonts w:ascii="Century" w:hAnsi="Century" w:cs="Miriam"/>
          <w:b/>
          <w:spacing w:val="0"/>
          <w:szCs w:val="24"/>
          <w:rtl/>
        </w:rPr>
        <w:t>לשמש מצפן ועוגן לצורך פירוש חוק.</w:t>
      </w:r>
      <w:r w:rsidRPr="0039746D">
        <w:rPr>
          <w:rFonts w:ascii="Century" w:hAnsi="Century" w:cs="Miriam" w:hint="cs"/>
          <w:b/>
          <w:spacing w:val="0"/>
          <w:szCs w:val="24"/>
          <w:rtl/>
        </w:rPr>
        <w:t xml:space="preserve"> </w:t>
      </w:r>
      <w:r w:rsidRPr="0039746D">
        <w:rPr>
          <w:rFonts w:ascii="Century" w:hAnsi="Century" w:cs="Miriam"/>
          <w:b/>
          <w:spacing w:val="0"/>
          <w:szCs w:val="24"/>
          <w:u w:val="single"/>
          <w:rtl/>
        </w:rPr>
        <w:t>אין בהם כדי לשמש לא מצפן ולא עוגן כאשר בית המשפט נקלע לסערה בעקבות ביטול חוק</w:t>
      </w:r>
      <w:r w:rsidRPr="0039746D">
        <w:rPr>
          <w:rFonts w:ascii="Century" w:hAnsi="Century" w:cs="Miriam" w:hint="cs"/>
          <w:b/>
          <w:spacing w:val="0"/>
          <w:szCs w:val="24"/>
          <w:rtl/>
        </w:rPr>
        <w:t>"</w:t>
      </w:r>
      <w:r w:rsidRPr="0039746D">
        <w:rPr>
          <w:rFonts w:ascii="Century" w:hAnsi="Century" w:hint="cs"/>
          <w:rtl/>
        </w:rPr>
        <w:t xml:space="preserve"> (שם). </w:t>
      </w:r>
    </w:p>
    <w:p w:rsidR="00EB02E1" w:rsidRDefault="00EB02E1" w:rsidP="00EB02E1">
      <w:pPr>
        <w:pStyle w:val="Ruller41"/>
        <w:rPr>
          <w:rtl/>
        </w:rPr>
      </w:pPr>
    </w:p>
    <w:p w:rsidR="00EB02E1" w:rsidRDefault="00EB02E1" w:rsidP="00EB02E1">
      <w:pPr>
        <w:pStyle w:val="Ruller4"/>
        <w:rPr>
          <w:rtl/>
        </w:rPr>
      </w:pPr>
      <w:r>
        <w:rPr>
          <w:rFonts w:hint="cs"/>
          <w:rtl/>
        </w:rPr>
        <w:t xml:space="preserve">דבריו החשובים של פרופ' </w:t>
      </w:r>
      <w:r w:rsidRPr="005E2F8F">
        <w:rPr>
          <w:rFonts w:ascii="Century" w:hAnsi="Century" w:cs="Miriam" w:hint="cs"/>
          <w:b/>
          <w:spacing w:val="0"/>
          <w:sz w:val="22"/>
          <w:szCs w:val="24"/>
          <w:rtl/>
        </w:rPr>
        <w:t>זמיר</w:t>
      </w:r>
      <w:r>
        <w:rPr>
          <w:rFonts w:hint="cs"/>
          <w:rtl/>
        </w:rPr>
        <w:t xml:space="preserve"> נאמרו לגבי 'עקרונות היסוד', אך כוחם יפה לכל עיקרון על-חוקתי אמורפי ומופשט, כמו </w:t>
      </w:r>
      <w:r w:rsidRPr="005E2F8F">
        <w:rPr>
          <w:rFonts w:ascii="Century" w:hAnsi="Century" w:cs="Miriam" w:hint="cs"/>
          <w:b/>
          <w:spacing w:val="0"/>
          <w:sz w:val="22"/>
          <w:szCs w:val="24"/>
          <w:rtl/>
        </w:rPr>
        <w:t>"מאפייני הזהות הגרעיניים של ישראל כמדינה יהודית ודמוקרטית"</w:t>
      </w:r>
      <w:r>
        <w:rPr>
          <w:rFonts w:hint="cs"/>
          <w:rtl/>
        </w:rPr>
        <w:t xml:space="preserve"> (פסקה 64 לחוות דעתה של חברתי </w:t>
      </w:r>
      <w:r w:rsidRPr="0039746D">
        <w:rPr>
          <w:rFonts w:ascii="Century" w:hAnsi="Century" w:hint="cs"/>
          <w:sz w:val="22"/>
          <w:rtl/>
        </w:rPr>
        <w:t>הנשיאה (בדימ')</w:t>
      </w:r>
      <w:r>
        <w:rPr>
          <w:rFonts w:hint="cs"/>
          <w:rtl/>
        </w:rPr>
        <w:t xml:space="preserve">; פסקה 12 לחוות דעתה של חברתי השופטת </w:t>
      </w:r>
      <w:r w:rsidRPr="005E2F8F">
        <w:rPr>
          <w:rFonts w:ascii="Century" w:hAnsi="Century" w:cs="Miriam" w:hint="cs"/>
          <w:b/>
          <w:spacing w:val="0"/>
          <w:sz w:val="22"/>
          <w:szCs w:val="24"/>
          <w:rtl/>
        </w:rPr>
        <w:t>ג' כנפי-שטייניץ</w:t>
      </w:r>
      <w:r>
        <w:rPr>
          <w:rFonts w:hint="cs"/>
          <w:rtl/>
        </w:rPr>
        <w:t xml:space="preserve">), כמו גם, </w:t>
      </w:r>
      <w:r w:rsidRPr="005E2F8F">
        <w:rPr>
          <w:rFonts w:ascii="Century" w:hAnsi="Century" w:cs="Miriam" w:hint="cs"/>
          <w:b/>
          <w:spacing w:val="0"/>
          <w:sz w:val="22"/>
          <w:szCs w:val="24"/>
          <w:rtl/>
        </w:rPr>
        <w:t>"שלילת זהותה של ישראל כמדינה יהודית או דמוקרטית"</w:t>
      </w:r>
      <w:r>
        <w:rPr>
          <w:rFonts w:hint="cs"/>
          <w:rtl/>
        </w:rPr>
        <w:t xml:space="preserve"> (פסקאות 5-3 לחוות דעתה של חברתי השופטת </w:t>
      </w:r>
      <w:r>
        <w:rPr>
          <w:rFonts w:ascii="Century" w:hAnsi="Century" w:cs="Miriam" w:hint="cs"/>
          <w:b/>
          <w:spacing w:val="0"/>
          <w:sz w:val="22"/>
          <w:szCs w:val="24"/>
          <w:rtl/>
        </w:rPr>
        <w:t xml:space="preserve">י' </w:t>
      </w:r>
      <w:r w:rsidRPr="005E2F8F">
        <w:rPr>
          <w:rFonts w:ascii="Century" w:hAnsi="Century" w:cs="Miriam" w:hint="cs"/>
          <w:b/>
          <w:spacing w:val="0"/>
          <w:sz w:val="22"/>
          <w:szCs w:val="24"/>
          <w:rtl/>
        </w:rPr>
        <w:t>וילנר</w:t>
      </w:r>
      <w:r>
        <w:rPr>
          <w:rFonts w:hint="cs"/>
          <w:rtl/>
        </w:rPr>
        <w:t xml:space="preserve">). הוא הדין לגבי שאר חברַי להרכב המבקשים לעשות שימוש בעקרונות מופשטים; איש איש ועקרונותיו הוא. </w:t>
      </w:r>
    </w:p>
    <w:p w:rsidR="00EB02E1" w:rsidRPr="005E2F8F" w:rsidRDefault="00EB02E1" w:rsidP="00EB02E1">
      <w:pPr>
        <w:pStyle w:val="Ruller41"/>
      </w:pPr>
    </w:p>
    <w:p w:rsidR="00EB02E1" w:rsidRDefault="00EB02E1" w:rsidP="00EB02E1">
      <w:pPr>
        <w:pStyle w:val="Ruller4"/>
        <w:rPr>
          <w:rtl/>
        </w:rPr>
      </w:pPr>
      <w:r>
        <w:rPr>
          <w:rFonts w:hint="cs"/>
          <w:rtl/>
        </w:rPr>
        <w:t xml:space="preserve">הדברים נכונים, במידה רבה, גם באשר לשיטתו של חברי השופט </w:t>
      </w:r>
      <w:r w:rsidRPr="005E2F8F">
        <w:rPr>
          <w:rFonts w:ascii="Century" w:hAnsi="Century" w:cs="Miriam" w:hint="cs"/>
          <w:b/>
          <w:spacing w:val="0"/>
          <w:sz w:val="22"/>
          <w:szCs w:val="24"/>
          <w:rtl/>
        </w:rPr>
        <w:t>שטיין</w:t>
      </w:r>
      <w:r>
        <w:rPr>
          <w:rFonts w:hint="cs"/>
          <w:rtl/>
        </w:rPr>
        <w:t xml:space="preserve">. חברי מבקש לילך במסלול 'פורמלי' יותר כביכול, ולהקנות לאותם ערכים הנזכרים במגילת העצמאות, הגנה על-חוקתית. אילו היה מסתפק חברי באותו עיגון פורמלי, מכוחה של מגילת העצמאות </w:t>
      </w:r>
      <w:r>
        <w:rPr>
          <w:rtl/>
        </w:rPr>
        <w:t>–</w:t>
      </w:r>
      <w:r>
        <w:rPr>
          <w:rFonts w:hint="cs"/>
          <w:rtl/>
        </w:rPr>
        <w:t xml:space="preserve"> החרשתי. דא עקא, חברי צועד צעד נוסף, וקובע כי זהו אף הדין הרצוי (פסקה 26). חברי אמנם מבקר את המבקשים להסתמך על 'עקרונות מופשטים' ובלתי-כתובים, אך בסופו של דבר, גם חברי מעמיד את התשתית העל-חוקתית כולה, על </w:t>
      </w:r>
      <w:r>
        <w:rPr>
          <w:rFonts w:hint="cs"/>
          <w:rtl/>
        </w:rPr>
        <w:lastRenderedPageBreak/>
        <w:t xml:space="preserve">עקרונות מופשטים: 'צדק', 'חירות', וכיוצא באלו (פסקה 76). גם אם סבור חברי כי ניתן למצוא לכך עיגון פורמלי במגילת העצמאות, ואני, כאמור, איני סבור כן, הרי שאין בכך כדי להשיב על ביקורתו של פרופ' </w:t>
      </w:r>
      <w:r w:rsidRPr="005E2F8F">
        <w:rPr>
          <w:rFonts w:ascii="Century" w:hAnsi="Century" w:cs="Miriam" w:hint="cs"/>
          <w:b/>
          <w:spacing w:val="0"/>
          <w:sz w:val="22"/>
          <w:szCs w:val="24"/>
          <w:rtl/>
        </w:rPr>
        <w:t>זמיר</w:t>
      </w:r>
      <w:r>
        <w:rPr>
          <w:rFonts w:hint="cs"/>
          <w:rtl/>
        </w:rPr>
        <w:t xml:space="preserve"> באשר לדין הרצוי. דבריו של פרופ' </w:t>
      </w:r>
      <w:r w:rsidRPr="002B065C">
        <w:rPr>
          <w:rFonts w:ascii="Century" w:hAnsi="Century" w:cs="Miriam" w:hint="cs"/>
          <w:b/>
          <w:spacing w:val="0"/>
          <w:sz w:val="22"/>
          <w:szCs w:val="24"/>
          <w:rtl/>
        </w:rPr>
        <w:t>זמיר</w:t>
      </w:r>
      <w:r>
        <w:rPr>
          <w:rFonts w:hint="cs"/>
          <w:rtl/>
        </w:rPr>
        <w:t xml:space="preserve"> נכתבו, כאמור, תחת ההנחה כי יהא עיגון פורמלי לאותם עקרונות מופשטים, ואף-על-פי כן אמר את שאמר. </w:t>
      </w:r>
    </w:p>
    <w:p w:rsidR="00EB02E1" w:rsidRPr="005E2F8F" w:rsidRDefault="00EB02E1" w:rsidP="00EB02E1">
      <w:pPr>
        <w:pStyle w:val="Ruller41"/>
      </w:pPr>
    </w:p>
    <w:p w:rsidR="00EB02E1" w:rsidRDefault="00EB02E1" w:rsidP="00EB02E1">
      <w:pPr>
        <w:pStyle w:val="Ruller4"/>
        <w:rPr>
          <w:rtl/>
        </w:rPr>
      </w:pPr>
      <w:r>
        <w:rPr>
          <w:rFonts w:hint="cs"/>
          <w:rtl/>
        </w:rPr>
        <w:t xml:space="preserve">כדי להמחיש את הסיכונים האורבים לפִתחנו, אם נאמץ את התזה המוצעת על-ידי חברי השופט </w:t>
      </w:r>
      <w:r w:rsidRPr="0039746D">
        <w:rPr>
          <w:rFonts w:ascii="Century" w:hAnsi="Century" w:cs="Miriam" w:hint="cs"/>
          <w:b/>
          <w:spacing w:val="0"/>
          <w:sz w:val="22"/>
          <w:szCs w:val="24"/>
          <w:rtl/>
        </w:rPr>
        <w:t>שטיין</w:t>
      </w:r>
      <w:r>
        <w:rPr>
          <w:rFonts w:hint="cs"/>
          <w:rtl/>
        </w:rPr>
        <w:t xml:space="preserve">, אין צורך להביא ממרחק לחמנו, ולהסתמך על תרחישים היפותטיים; די להביט באחת מקביעותיו של חברי השופט </w:t>
      </w:r>
      <w:r w:rsidRPr="006626DA">
        <w:rPr>
          <w:rFonts w:ascii="Century" w:hAnsi="Century" w:cs="Miriam" w:hint="cs"/>
          <w:b/>
          <w:spacing w:val="0"/>
          <w:sz w:val="22"/>
          <w:szCs w:val="24"/>
          <w:rtl/>
        </w:rPr>
        <w:t>שטיין</w:t>
      </w:r>
      <w:r>
        <w:rPr>
          <w:rFonts w:hint="cs"/>
          <w:rtl/>
        </w:rPr>
        <w:t xml:space="preserve"> בחוות דעתו הנוכחית, כדי לעמוד על הדברים. לעמדתו של חברי, חוק-יסוד שבו תבוטל היכולת לקיים ביקורת שיפוטית על החלטות ממשלה או שרים מכוחה של עילת הסבירות, אף אם תישארנה שאר עילות הביקורת המינהלית על כנן, </w:t>
      </w:r>
      <w:r w:rsidRPr="006626DA">
        <w:rPr>
          <w:rFonts w:ascii="Century" w:hAnsi="Century" w:cs="Miriam" w:hint="cs"/>
          <w:b/>
          <w:spacing w:val="0"/>
          <w:sz w:val="22"/>
          <w:szCs w:val="24"/>
          <w:rtl/>
        </w:rPr>
        <w:t>"אינו עולה בקנה אחד עם שום תפיסה מקובלת של 'צדק' ושל 'חירות'"</w:t>
      </w:r>
      <w:r>
        <w:rPr>
          <w:rFonts w:hint="cs"/>
          <w:rtl/>
        </w:rPr>
        <w:t xml:space="preserve">, ואחת דינו להתבטל (פסקה 98 לחוות דעתו). הרי לנו דוגמה הממחישה עד כמה גם אותם עקרונות שמבקש חברי לגזור ממגילת העצמאות, ולהכפיף תחתם את חוקתֵנו, הם עקרונות עמומים ומופשטים. ככאלו, הם מאפשרים לשופט היושב בדין, להגיע לכל תוצאה שבה יחפוץ. אם כך ננהג, נמצאנו ממירים את שלטון החוק והמשפט בשלטון השופט. זכור נזכור את דבריו של הנשיא </w:t>
      </w:r>
      <w:r w:rsidRPr="006626DA">
        <w:rPr>
          <w:rFonts w:ascii="Century" w:hAnsi="Century" w:cs="Miriam" w:hint="cs"/>
          <w:b/>
          <w:spacing w:val="0"/>
          <w:sz w:val="22"/>
          <w:szCs w:val="24"/>
          <w:rtl/>
        </w:rPr>
        <w:t>ברק</w:t>
      </w:r>
      <w:r>
        <w:rPr>
          <w:rFonts w:hint="cs"/>
          <w:rtl/>
        </w:rPr>
        <w:t xml:space="preserve">, אותם חזר ושנה פעמים רבות, בין היתר בטקס השבעתו </w:t>
      </w:r>
      <w:r w:rsidRPr="006626DA">
        <w:rPr>
          <w:rFonts w:ascii="Century" w:hAnsi="Century" w:hint="cs"/>
          <w:sz w:val="22"/>
          <w:rtl/>
        </w:rPr>
        <w:t>לנשיא</w:t>
      </w:r>
      <w:r w:rsidRPr="002E1D40">
        <w:rPr>
          <w:rFonts w:hint="cs"/>
          <w:rtl/>
        </w:rPr>
        <w:t xml:space="preserve"> </w:t>
      </w:r>
      <w:r>
        <w:rPr>
          <w:rFonts w:hint="cs"/>
          <w:rtl/>
        </w:rPr>
        <w:t xml:space="preserve">בית המשפט העליון, כי </w:t>
      </w:r>
      <w:r w:rsidRPr="006626DA">
        <w:rPr>
          <w:rFonts w:ascii="Century" w:hAnsi="Century" w:cs="Miriam" w:hint="cs"/>
          <w:b/>
          <w:spacing w:val="0"/>
          <w:sz w:val="22"/>
          <w:szCs w:val="24"/>
          <w:rtl/>
        </w:rPr>
        <w:t>"</w:t>
      </w:r>
      <w:r w:rsidRPr="006626DA">
        <w:rPr>
          <w:rFonts w:ascii="Century" w:hAnsi="Century" w:cs="Miriam"/>
          <w:b/>
          <w:spacing w:val="0"/>
          <w:sz w:val="22"/>
          <w:szCs w:val="24"/>
          <w:rtl/>
        </w:rPr>
        <w:t>שלטון החוק הוא שלטון המשפט</w:t>
      </w:r>
      <w:r w:rsidRPr="006626DA">
        <w:rPr>
          <w:rFonts w:ascii="Century" w:hAnsi="Century" w:cs="Miriam" w:hint="cs"/>
          <w:b/>
          <w:spacing w:val="0"/>
          <w:sz w:val="22"/>
          <w:szCs w:val="24"/>
          <w:rtl/>
        </w:rPr>
        <w:t>,</w:t>
      </w:r>
      <w:r w:rsidRPr="006626DA">
        <w:rPr>
          <w:rFonts w:ascii="Century" w:hAnsi="Century" w:cs="Miriam"/>
          <w:b/>
          <w:spacing w:val="0"/>
          <w:sz w:val="22"/>
          <w:szCs w:val="24"/>
          <w:rtl/>
        </w:rPr>
        <w:t xml:space="preserve"> ולא שלטון השופט</w:t>
      </w:r>
      <w:r w:rsidRPr="006626DA">
        <w:rPr>
          <w:rFonts w:ascii="Century" w:hAnsi="Century" w:cs="Miriam" w:hint="cs"/>
          <w:b/>
          <w:spacing w:val="0"/>
          <w:sz w:val="22"/>
          <w:szCs w:val="24"/>
          <w:rtl/>
        </w:rPr>
        <w:t>"</w:t>
      </w:r>
      <w:r>
        <w:rPr>
          <w:rFonts w:hint="cs"/>
          <w:rtl/>
        </w:rPr>
        <w:t xml:space="preserve"> (אהרן ברק </w:t>
      </w:r>
      <w:r w:rsidRPr="006626DA">
        <w:rPr>
          <w:rFonts w:ascii="Century" w:hAnsi="Century" w:cs="Miriam" w:hint="cs"/>
          <w:b/>
          <w:spacing w:val="0"/>
          <w:sz w:val="22"/>
          <w:szCs w:val="24"/>
          <w:rtl/>
        </w:rPr>
        <w:t>מבחר כתבים</w:t>
      </w:r>
      <w:r>
        <w:rPr>
          <w:rFonts w:hint="cs"/>
          <w:rtl/>
        </w:rPr>
        <w:t xml:space="preserve"> א 937, 945 (תש"ס)). </w:t>
      </w:r>
    </w:p>
    <w:p w:rsidR="00EB02E1" w:rsidRDefault="00EB02E1" w:rsidP="00EB02E1">
      <w:pPr>
        <w:pStyle w:val="Ruller41"/>
        <w:rPr>
          <w:rtl/>
        </w:rPr>
      </w:pPr>
    </w:p>
    <w:p w:rsidR="00EB02E1" w:rsidRDefault="00EB02E1" w:rsidP="00EB02E1">
      <w:pPr>
        <w:pStyle w:val="Ruller4"/>
        <w:textAlignment w:val="auto"/>
        <w:rPr>
          <w:rtl/>
        </w:rPr>
      </w:pPr>
      <w:r>
        <w:rPr>
          <w:rFonts w:hint="cs"/>
          <w:rtl/>
        </w:rPr>
        <w:t xml:space="preserve">המחשה נוספת, לאותה בעייתיות שנוצרת מחמת קיומה של ביקורת שיפוטית על-חוקתית, מכוח עקרונות מופשטים, משתקפת מעמדתם של חלק מחברי דעת הרוב. הנמקותיהם יכולות ללמד, כי גם צמצום מועט בגבולותיה של עילת הסבירות, שהוצע על-ידי נשיא המדינה, יצחק הרצוג, במסגרת מתווה המכונה 'מתווה העם' </w:t>
      </w:r>
      <w:r>
        <w:rPr>
          <w:rtl/>
        </w:rPr>
        <w:t>–</w:t>
      </w:r>
      <w:r>
        <w:rPr>
          <w:rFonts w:hint="cs"/>
          <w:rtl/>
        </w:rPr>
        <w:t xml:space="preserve"> עשוי לעלות כדי 'חריגה מסמכותה המכוננת של הכנסת', בשל פגיעה חמורה בעקרונות הדמוקרטיה. מתווה הפשרה שהוצע על-ידי 'קבוצת שטרן', בראשותו של פרופ' ידידיה שטרן, אף הוא יכל להיות מוכרז ככזה שמאיים לפגוע ביסודות הדמוקרטיה, עד שדינו להתבטל. הרי לנו, כי ביקורת שיפוטית מכוח עקרונות עמומים ומופשטים, יכולה להתפשט עד בלי די, בלי גבול ומידה. היא מייצרת כוח אבסולוטי לשופט היושב בדין, ובמקביל, מנטרלת את יכולתו של הריבון, העם בישראל, לסטות ימין או שמאל, מבלי שניתנה הסכמת בית המשפט לכך.</w:t>
      </w:r>
    </w:p>
    <w:p w:rsidR="00EB02E1" w:rsidRDefault="00EB02E1" w:rsidP="00EB02E1">
      <w:pPr>
        <w:pStyle w:val="Ruller41"/>
        <w:rPr>
          <w:rtl/>
        </w:rPr>
      </w:pPr>
    </w:p>
    <w:p w:rsidR="00EB02E1" w:rsidRDefault="00EB02E1" w:rsidP="00EB02E1">
      <w:pPr>
        <w:pStyle w:val="Ruller41"/>
        <w:rPr>
          <w:rtl/>
        </w:rPr>
      </w:pPr>
      <w:r>
        <w:rPr>
          <w:rtl/>
        </w:rPr>
        <w:tab/>
      </w:r>
      <w:r>
        <w:rPr>
          <w:rFonts w:hint="cs"/>
          <w:rtl/>
        </w:rPr>
        <w:t>עד כאן לגבי פסילתם של חוקי-יסוד; מכאן ואילך, בעניינה של עילת הסבירות.</w:t>
      </w:r>
    </w:p>
    <w:p w:rsidR="00EB02E1" w:rsidRPr="00FF4977" w:rsidRDefault="00EB02E1" w:rsidP="00EB02E1">
      <w:pPr>
        <w:pStyle w:val="Ruller41"/>
        <w:rPr>
          <w:rtl/>
        </w:rPr>
      </w:pPr>
    </w:p>
    <w:p w:rsidR="00EB02E1" w:rsidRPr="000620DD" w:rsidRDefault="00EB02E1" w:rsidP="000620DD">
      <w:pPr>
        <w:pStyle w:val="1"/>
        <w:spacing w:line="480" w:lineRule="auto"/>
        <w:rPr>
          <w:b w:val="0"/>
          <w:u w:val="single"/>
          <w:rtl/>
        </w:rPr>
      </w:pPr>
      <w:bookmarkStart w:id="69" w:name="_Toc154944418"/>
      <w:bookmarkStart w:id="70" w:name="_Toc154947528"/>
      <w:bookmarkStart w:id="71" w:name="_Toc154942596"/>
      <w:r w:rsidRPr="007C3136">
        <w:rPr>
          <w:rFonts w:hint="eastAsia"/>
          <w:u w:val="single"/>
          <w:rtl/>
        </w:rPr>
        <w:t>חלק</w:t>
      </w:r>
      <w:r w:rsidRPr="007C3136">
        <w:rPr>
          <w:u w:val="single"/>
          <w:rtl/>
        </w:rPr>
        <w:t xml:space="preserve"> ב' </w:t>
      </w:r>
      <w:r w:rsidRPr="00714872">
        <w:rPr>
          <w:rFonts w:cs="FrankRuehl"/>
          <w:spacing w:val="10"/>
          <w:szCs w:val="28"/>
          <w:u w:val="single"/>
          <w:rtl/>
        </w:rPr>
        <w:t>–</w:t>
      </w:r>
      <w:r w:rsidRPr="007C3136">
        <w:rPr>
          <w:u w:val="single"/>
          <w:rtl/>
        </w:rPr>
        <w:t xml:space="preserve"> על עילת הסבירות</w:t>
      </w:r>
      <w:bookmarkEnd w:id="69"/>
      <w:bookmarkEnd w:id="70"/>
      <w:r w:rsidRPr="007C3136">
        <w:rPr>
          <w:u w:val="single"/>
          <w:rtl/>
        </w:rPr>
        <w:t xml:space="preserve"> </w:t>
      </w:r>
    </w:p>
    <w:p w:rsidR="00EB02E1" w:rsidRPr="007C3136" w:rsidRDefault="00EB02E1" w:rsidP="00EB02E1">
      <w:pPr>
        <w:pStyle w:val="2"/>
        <w:rPr>
          <w:rtl/>
        </w:rPr>
      </w:pPr>
      <w:bookmarkStart w:id="72" w:name="_Toc154944419"/>
      <w:bookmarkStart w:id="73" w:name="_Toc154947529"/>
      <w:r w:rsidRPr="007C3136">
        <w:rPr>
          <w:rFonts w:ascii="Century" w:hAnsi="Century" w:cs="Miriam" w:hint="eastAsia"/>
          <w:b/>
          <w:color w:val="auto"/>
          <w:sz w:val="22"/>
          <w:szCs w:val="24"/>
          <w:rtl/>
        </w:rPr>
        <w:t>פרשנות</w:t>
      </w:r>
      <w:r w:rsidRPr="007C3136">
        <w:rPr>
          <w:rFonts w:ascii="Century" w:hAnsi="Century" w:cs="Miriam"/>
          <w:b/>
          <w:color w:val="auto"/>
          <w:sz w:val="22"/>
          <w:szCs w:val="24"/>
          <w:rtl/>
        </w:rPr>
        <w:t xml:space="preserve"> </w:t>
      </w:r>
      <w:r w:rsidRPr="007C3136">
        <w:rPr>
          <w:rFonts w:ascii="Century" w:hAnsi="Century" w:cs="Miriam" w:hint="eastAsia"/>
          <w:b/>
          <w:color w:val="auto"/>
          <w:sz w:val="22"/>
          <w:szCs w:val="24"/>
          <w:rtl/>
        </w:rPr>
        <w:t>התיקון</w:t>
      </w:r>
      <w:r w:rsidRPr="007C3136">
        <w:rPr>
          <w:rFonts w:ascii="Century" w:hAnsi="Century" w:cs="Miriam"/>
          <w:b/>
          <w:color w:val="auto"/>
          <w:sz w:val="22"/>
          <w:szCs w:val="24"/>
          <w:rtl/>
        </w:rPr>
        <w:t xml:space="preserve"> </w:t>
      </w:r>
      <w:r w:rsidRPr="007C3136">
        <w:rPr>
          <w:rFonts w:ascii="Century" w:hAnsi="Century" w:cs="Miriam" w:hint="eastAsia"/>
          <w:b/>
          <w:color w:val="auto"/>
          <w:sz w:val="22"/>
          <w:szCs w:val="24"/>
          <w:rtl/>
        </w:rPr>
        <w:t>לחוק</w:t>
      </w:r>
      <w:r w:rsidRPr="007C3136">
        <w:rPr>
          <w:rFonts w:ascii="Century" w:hAnsi="Century" w:cs="Miriam"/>
          <w:b/>
          <w:color w:val="auto"/>
          <w:sz w:val="22"/>
          <w:szCs w:val="24"/>
          <w:rtl/>
        </w:rPr>
        <w:t xml:space="preserve">-היסוד; </w:t>
      </w:r>
      <w:r w:rsidRPr="007C3136">
        <w:rPr>
          <w:rFonts w:ascii="Century" w:hAnsi="Century" w:cs="Miriam" w:hint="eastAsia"/>
          <w:b/>
          <w:color w:val="auto"/>
          <w:sz w:val="22"/>
          <w:szCs w:val="24"/>
          <w:rtl/>
        </w:rPr>
        <w:t>בצמצום</w:t>
      </w:r>
      <w:r w:rsidRPr="007C3136">
        <w:rPr>
          <w:rFonts w:ascii="Century" w:hAnsi="Century" w:cs="Miriam"/>
          <w:b/>
          <w:color w:val="auto"/>
          <w:sz w:val="22"/>
          <w:szCs w:val="24"/>
          <w:rtl/>
        </w:rPr>
        <w:t xml:space="preserve"> </w:t>
      </w:r>
      <w:r w:rsidRPr="007C3136">
        <w:rPr>
          <w:rFonts w:ascii="Century" w:hAnsi="Century" w:cs="Miriam" w:hint="eastAsia"/>
          <w:b/>
          <w:color w:val="auto"/>
          <w:sz w:val="22"/>
          <w:szCs w:val="24"/>
          <w:rtl/>
        </w:rPr>
        <w:t>או</w:t>
      </w:r>
      <w:r w:rsidRPr="007C3136">
        <w:rPr>
          <w:rFonts w:ascii="Century" w:hAnsi="Century" w:cs="Miriam"/>
          <w:b/>
          <w:color w:val="auto"/>
          <w:sz w:val="22"/>
          <w:szCs w:val="24"/>
          <w:rtl/>
        </w:rPr>
        <w:t xml:space="preserve"> </w:t>
      </w:r>
      <w:r w:rsidRPr="007C3136">
        <w:rPr>
          <w:rFonts w:ascii="Century" w:hAnsi="Century" w:cs="Miriam" w:hint="eastAsia"/>
          <w:b/>
          <w:color w:val="auto"/>
          <w:sz w:val="22"/>
          <w:szCs w:val="24"/>
          <w:rtl/>
        </w:rPr>
        <w:t>ברווח</w:t>
      </w:r>
      <w:bookmarkEnd w:id="71"/>
      <w:bookmarkEnd w:id="72"/>
      <w:bookmarkEnd w:id="73"/>
    </w:p>
    <w:p w:rsidR="00EB02E1" w:rsidRDefault="00EB02E1" w:rsidP="00EB02E1">
      <w:pPr>
        <w:pStyle w:val="Ruller4"/>
      </w:pPr>
      <w:r>
        <w:rPr>
          <w:rFonts w:hint="cs"/>
          <w:rtl/>
        </w:rPr>
        <w:t xml:space="preserve">אחת המחלוקות המרכזיות שנפלה בין חברַי וחברותי להרכב, היא שאלת פרשנותו של התיקון לחוק-היסוד שלפנינו. במובן מסוים מדובר ב'תמונת מראה' למחלוקת במישור התוצאה. אֵלו מבין חברַי, הסבורים כי יש ליתן לתיקון פרשנות מצמצמת, 'רזה', המותירה את הסבירות נוסח 'וונדסברי' על כּנה, סבורים כי אין להורות על ביטולו. לעומת זאת, חלק נכבד מחברַי, הנמנים על סיעת הרוב, הסבורה כי יש להורות על ביטול התיקון לחוק-היסוד, עושים זאת רק בשל עמדתם כי הפרשנות, האחת והיחידה, שיש ליתן לתיקון, היא פרשנות מרחיבה. לשיטתם, לשונו של התיקון לחוק-היסוד, כמו גם התכלית הסובייקטיבית שעומדת מאחוריו, מוליכות למסקנה חד-משמעית, שלפיה כוונת המחוקק-המכונן היתה לבטל את היכולת להפעיל את עילת הסבירות כלפי הממשלה ושׂריה, גם לא סבירות נוסח 'וונדסברי'. </w:t>
      </w:r>
    </w:p>
    <w:p w:rsidR="00EB02E1" w:rsidRDefault="00EB02E1" w:rsidP="00EB02E1">
      <w:pPr>
        <w:pStyle w:val="Ruller4"/>
        <w:numPr>
          <w:ilvl w:val="0"/>
          <w:numId w:val="0"/>
        </w:numPr>
        <w:rPr>
          <w:rtl/>
        </w:rPr>
      </w:pPr>
    </w:p>
    <w:p w:rsidR="00EB02E1" w:rsidRDefault="00EB02E1" w:rsidP="00EB02E1">
      <w:pPr>
        <w:pStyle w:val="Ruller4"/>
        <w:rPr>
          <w:rtl/>
        </w:rPr>
      </w:pPr>
      <w:r>
        <w:rPr>
          <w:rFonts w:hint="cs"/>
          <w:rtl/>
        </w:rPr>
        <w:t xml:space="preserve"> נוכח עמדתי, שלפיה נעדרי סמכות אנו להורות על ביטול חוקי-יסוד, אני פטור מהכרעה בשאלה זו. ברם, משנדרשו לה חברַי, בהרחבה רבה, אדרש לה אף אני. לאחר שעיינתי בטענות הצדדים שבכתב, שמעתי את דבריהם בדיון על-פה, וקראתי את דברי חברַי, אני מוצא לנכון להצטרף בעניין זה לדבריה של חברתי הנשיאה (בדימ'). חברתי פורסת יריעה רחבה, שממנה עולה מסקנה חד-משמעית, שלפיה הן הלשון, הן התכלית הסובייקטיבית, מוליכות לאותה תוצאה פרשנית, שלפיה התיקון לחוק-היסוד ביקש לבטל את עילת הסבירות מכל וכל, ככל שהדבר נוגע לממשלה ושׂריה; גם לא סבירות של 'מופרכות' נוסח 'וונדסברי'. אותן הוכחות, 'חותכות' בעינַי, נסקרו בהרחבה, והתבארו באר היטב בדבריה של חברתי (פסקאות 136-123; ראו גם את דברי חברי השופט </w:t>
      </w:r>
      <w:r w:rsidRPr="006A17A0">
        <w:rPr>
          <w:rFonts w:ascii="Century" w:hAnsi="Century" w:cs="Miriam" w:hint="cs"/>
          <w:b/>
          <w:spacing w:val="0"/>
          <w:sz w:val="22"/>
          <w:szCs w:val="24"/>
          <w:rtl/>
        </w:rPr>
        <w:t>ח' כבוב</w:t>
      </w:r>
      <w:r>
        <w:rPr>
          <w:rFonts w:hint="cs"/>
          <w:rtl/>
        </w:rPr>
        <w:t xml:space="preserve">, בפסקה 86 ואת דברי חברתי השופטת </w:t>
      </w:r>
      <w:r w:rsidRPr="00354489">
        <w:rPr>
          <w:rFonts w:ascii="Century" w:hAnsi="Century" w:cs="Miriam" w:hint="cs"/>
          <w:b/>
          <w:spacing w:val="0"/>
          <w:sz w:val="22"/>
          <w:szCs w:val="24"/>
          <w:rtl/>
        </w:rPr>
        <w:t>רונן</w:t>
      </w:r>
      <w:r>
        <w:rPr>
          <w:rFonts w:hint="cs"/>
          <w:rtl/>
        </w:rPr>
        <w:t xml:space="preserve">, בפסקה 14); לא ראיתי מקום לשוב ולפרטן. </w:t>
      </w:r>
    </w:p>
    <w:p w:rsidR="00EB02E1" w:rsidRDefault="00EB02E1" w:rsidP="00EB02E1">
      <w:pPr>
        <w:pStyle w:val="Ruller41"/>
        <w:rPr>
          <w:rtl/>
        </w:rPr>
      </w:pPr>
    </w:p>
    <w:p w:rsidR="00EB02E1" w:rsidRDefault="00EB02E1" w:rsidP="00EB02E1">
      <w:pPr>
        <w:pStyle w:val="Ruller4"/>
        <w:rPr>
          <w:rtl/>
        </w:rPr>
      </w:pPr>
      <w:r>
        <w:rPr>
          <w:rFonts w:hint="cs"/>
          <w:rtl/>
        </w:rPr>
        <w:t xml:space="preserve">בסופו של דבר, נראה כי שתי טענות מרכזיות תומכות במסקנה הפוכה, שלפיה הכוונה היתה דווקא לגרסה 'רזה', שבאה לבטל רק את הלכת 'דפי זהב'. הראשונה, מבקשת לסמוך עצמה על דברי בא-כוחם של משיבי הממשלה בכתב התשובה (ראו דברי חברתי השופטת </w:t>
      </w:r>
      <w:r w:rsidRPr="006A17A0">
        <w:rPr>
          <w:rFonts w:ascii="Century" w:hAnsi="Century" w:cs="Miriam" w:hint="cs"/>
          <w:b/>
          <w:spacing w:val="0"/>
          <w:sz w:val="22"/>
          <w:szCs w:val="24"/>
          <w:rtl/>
        </w:rPr>
        <w:t>וילנר</w:t>
      </w:r>
      <w:r>
        <w:rPr>
          <w:rFonts w:hint="cs"/>
          <w:rtl/>
        </w:rPr>
        <w:t xml:space="preserve">, בפסקאות 54-51). טענה זו </w:t>
      </w:r>
      <w:r>
        <w:rPr>
          <w:rtl/>
        </w:rPr>
        <w:t>–</w:t>
      </w:r>
      <w:r>
        <w:rPr>
          <w:rFonts w:hint="cs"/>
          <w:rtl/>
        </w:rPr>
        <w:t xml:space="preserve"> דינה להידחות. אילו היה מונח לפנינו אך ורק כתב התשובה, אולי היה מקום לייחס עמדה זו למשיבי הממשלה. אך עמדה זו </w:t>
      </w:r>
      <w:r>
        <w:rPr>
          <w:rtl/>
        </w:rPr>
        <w:t>–</w:t>
      </w:r>
      <w:r>
        <w:rPr>
          <w:rFonts w:hint="cs"/>
          <w:rtl/>
        </w:rPr>
        <w:t xml:space="preserve"> לא נותרה על מכונה. בא-כוח משיבי הממשלה, חזר והבהיר, הן בדיון על-פה, הן בהשלמת הטיעון בכתב, כי עמדתה של הממשלה היא, כי התיקון ביקש לבטל את </w:t>
      </w:r>
      <w:r>
        <w:rPr>
          <w:rFonts w:hint="cs"/>
          <w:rtl/>
        </w:rPr>
        <w:lastRenderedPageBreak/>
        <w:t xml:space="preserve">עילת הסבירות לחלוטין; לא רק להצר את מידותיה של הסבירות כְּבִימֵי בַּחֲרוּתה במשפטנו, לא להסתפק בנסיגה לאחור, לעידן שקדם להלכת 'דפי זהב' (ראו דברי חברתי בפסקה 55). אין מקום, אם כן, 'לתפוס' את בא-כוח משיבי הממשלה על דברים שנכתבו בכתב התשובה, שהוא כתב הטענות הראשון שהוגש מטעמו בהליך, נוכח הבהרתו הברורה והמפורשת, במהלך הדיון ולאחריו, שבה 'תהה על הראשונות'. בטח ובטח, בהינתן סד-הזמנים המצומצם שעמד לרשותו, והעובדה כי הוּצא צו על-תנאי גורף, הכולל את כל הסעדים שנתבקשו, עוד לפני קיומו של הדיון הראשון והיחיד בעתירות שלפנינו. </w:t>
      </w:r>
    </w:p>
    <w:p w:rsidR="00EB02E1" w:rsidRPr="006A17A0" w:rsidRDefault="00EB02E1" w:rsidP="00EB02E1">
      <w:pPr>
        <w:pStyle w:val="Ruller41"/>
      </w:pPr>
    </w:p>
    <w:p w:rsidR="00EB02E1" w:rsidRPr="006A17A0" w:rsidRDefault="00EB02E1" w:rsidP="00EB02E1">
      <w:pPr>
        <w:pStyle w:val="Ruller4"/>
        <w:rPr>
          <w:rtl/>
        </w:rPr>
      </w:pPr>
      <w:r>
        <w:rPr>
          <w:rFonts w:hint="cs"/>
          <w:rtl/>
        </w:rPr>
        <w:t xml:space="preserve">גם אם זו אכן היתה עמדת משיבי הממשלה, אני מצטרף בהסכמה לדבריו של חברי מ"מ הנשיא (בפסקה 17), כי העובדה שמדובר על עמדה מאוחרת להליך החקיקה, יש בה כדי לצמצם את המשקל שניתן לה, בפרשנות החקיקה. נוסף על כך, גם אם נתעלם מכל האמור עד כה, הרי שבהליך פרשנותו של דבר החקיקה שלפנינו, אין מקום לייחס משקל רב, ודאי לא מכריע, לעמדתם של משיבי הממשלה. כזכור, התיקון לחוק-היסוד שבו עסקינן כלל לא יצא מבית מדרשה של הרשות המבצעת. אין מדובר בהצעת חוק ממשלתית, כי אם בהצעת חוק מטעמה של ועדת החוקה, חוק ומשפט.    </w:t>
      </w:r>
    </w:p>
    <w:p w:rsidR="00EB02E1" w:rsidRDefault="00EB02E1" w:rsidP="00EB02E1">
      <w:pPr>
        <w:pStyle w:val="Ruller41"/>
        <w:rPr>
          <w:rtl/>
        </w:rPr>
      </w:pPr>
    </w:p>
    <w:p w:rsidR="00EB02E1" w:rsidRPr="009B42EB" w:rsidRDefault="00EB02E1" w:rsidP="00EB02E1">
      <w:pPr>
        <w:pStyle w:val="Ruller4"/>
        <w:rPr>
          <w:rtl/>
        </w:rPr>
      </w:pPr>
      <w:r>
        <w:rPr>
          <w:rFonts w:hint="cs"/>
          <w:rtl/>
        </w:rPr>
        <w:t xml:space="preserve">נותרנו אפוא עם 'דברי-ההסבר', שצורפו להצעת-החוק. נראה כי כאן אכן טמון לוּז המחלוקת. התומכים בפרשנות מצמצמת, רואים בדברי-ההסבר הוכחה ניצחת לשיטתם (ראו דברי חברתי השופטת </w:t>
      </w:r>
      <w:r w:rsidRPr="006A17A0">
        <w:rPr>
          <w:rFonts w:ascii="Century" w:hAnsi="Century" w:cs="Miriam" w:hint="cs"/>
          <w:b/>
          <w:spacing w:val="0"/>
          <w:sz w:val="22"/>
          <w:szCs w:val="24"/>
          <w:rtl/>
        </w:rPr>
        <w:t>וילנר</w:t>
      </w:r>
      <w:r>
        <w:rPr>
          <w:rFonts w:hint="cs"/>
          <w:rtl/>
        </w:rPr>
        <w:t xml:space="preserve">, בפסקה 61). חברַי בדעת הרוב, מנגד, מנסים איש-איש בדרכו, להתמודד עם האתגר. חלקם סבורים כי ניתן לפרש, גם אם בדוחק, את דברי-ההסבר, ככאלה שיכולים לעלות בקנה אחד גם עם גרסה רחבה של החוק, המבטלת את עילת הסבירות לחלוטין (ראו דברי חברתי השופטת </w:t>
      </w:r>
      <w:r w:rsidRPr="006A17A0">
        <w:rPr>
          <w:rFonts w:ascii="Century" w:hAnsi="Century" w:cs="Miriam" w:hint="cs"/>
          <w:b/>
          <w:spacing w:val="0"/>
          <w:sz w:val="22"/>
          <w:szCs w:val="24"/>
          <w:rtl/>
        </w:rPr>
        <w:t>רונן</w:t>
      </w:r>
      <w:r>
        <w:rPr>
          <w:rFonts w:hint="cs"/>
          <w:rtl/>
        </w:rPr>
        <w:t>, בפסקה 14). אחרים סבורים, כי אף אם דברי-ההסבר אכן מכוונים לגרסה 'רזה', אין בכוחם לעמוד אל מול הלשון הברורה והמפורשת, ומול אמירות חד-משמעיות מצד יוזמי הצעת-החוק, שנשמעו בהליך החקיקה (ראו דברי חברתי הנשיאה (בדימ') בפסקה 130). סבורני, כי את התשובה יש לחפש במקום אחר. חברתי הנשיאה (בדימ') עמדה בקצרה על אותו עניין (שם), וכך גם חברי השופט</w:t>
      </w:r>
      <w:r w:rsidRPr="00FF4977">
        <w:rPr>
          <w:rFonts w:ascii="Century" w:hAnsi="Century" w:cs="Miriam" w:hint="cs"/>
          <w:b/>
          <w:spacing w:val="0"/>
          <w:sz w:val="22"/>
          <w:szCs w:val="24"/>
          <w:rtl/>
        </w:rPr>
        <w:t xml:space="preserve"> עמית</w:t>
      </w:r>
      <w:r>
        <w:rPr>
          <w:rFonts w:hint="cs"/>
          <w:rtl/>
        </w:rPr>
        <w:t xml:space="preserve"> (בפסקה 120). עם זאת, בשל השלכות הרוחב של הסוגיה המתעוררת, אבקש להרחיב מעט. </w:t>
      </w:r>
    </w:p>
    <w:p w:rsidR="00EB02E1" w:rsidRDefault="00EB02E1" w:rsidP="00EB02E1">
      <w:pPr>
        <w:pStyle w:val="Ruller41"/>
        <w:rPr>
          <w:rtl/>
        </w:rPr>
      </w:pPr>
    </w:p>
    <w:p w:rsidR="00EB02E1" w:rsidRPr="007C3136" w:rsidRDefault="00EB02E1" w:rsidP="00EB02E1">
      <w:pPr>
        <w:pStyle w:val="2"/>
        <w:rPr>
          <w:rtl/>
        </w:rPr>
      </w:pPr>
      <w:bookmarkStart w:id="74" w:name="_Toc154942597"/>
      <w:bookmarkStart w:id="75" w:name="_Toc154944420"/>
      <w:bookmarkStart w:id="76" w:name="_Toc154947530"/>
      <w:r w:rsidRPr="007C3136">
        <w:rPr>
          <w:rFonts w:ascii="Century" w:hAnsi="Century" w:cs="Miriam" w:hint="eastAsia"/>
          <w:b/>
          <w:color w:val="auto"/>
          <w:sz w:val="22"/>
          <w:szCs w:val="24"/>
          <w:rtl/>
        </w:rPr>
        <w:t>מעמדם</w:t>
      </w:r>
      <w:r w:rsidRPr="007C3136">
        <w:rPr>
          <w:rFonts w:ascii="Century" w:hAnsi="Century" w:cs="Miriam"/>
          <w:b/>
          <w:color w:val="auto"/>
          <w:sz w:val="22"/>
          <w:szCs w:val="24"/>
          <w:rtl/>
        </w:rPr>
        <w:t xml:space="preserve"> </w:t>
      </w:r>
      <w:r w:rsidRPr="007C3136">
        <w:rPr>
          <w:rFonts w:ascii="Century" w:hAnsi="Century" w:cs="Miriam" w:hint="eastAsia"/>
          <w:b/>
          <w:color w:val="auto"/>
          <w:sz w:val="22"/>
          <w:szCs w:val="24"/>
          <w:rtl/>
        </w:rPr>
        <w:t>של</w:t>
      </w:r>
      <w:r w:rsidRPr="007C3136">
        <w:rPr>
          <w:rFonts w:ascii="Century" w:hAnsi="Century" w:cs="Miriam"/>
          <w:b/>
          <w:color w:val="auto"/>
          <w:sz w:val="22"/>
          <w:szCs w:val="24"/>
          <w:rtl/>
        </w:rPr>
        <w:t xml:space="preserve"> </w:t>
      </w:r>
      <w:r w:rsidRPr="007C3136">
        <w:rPr>
          <w:rFonts w:ascii="Century" w:hAnsi="Century" w:cs="Miriam" w:hint="eastAsia"/>
          <w:b/>
          <w:color w:val="auto"/>
          <w:sz w:val="22"/>
          <w:szCs w:val="24"/>
          <w:rtl/>
        </w:rPr>
        <w:t>דברי</w:t>
      </w:r>
      <w:r w:rsidRPr="007C3136">
        <w:rPr>
          <w:rFonts w:ascii="Century" w:hAnsi="Century" w:cs="Miriam"/>
          <w:b/>
          <w:color w:val="auto"/>
          <w:sz w:val="22"/>
          <w:szCs w:val="24"/>
          <w:rtl/>
        </w:rPr>
        <w:t>-</w:t>
      </w:r>
      <w:r w:rsidRPr="007C3136">
        <w:rPr>
          <w:rFonts w:ascii="Century" w:hAnsi="Century" w:cs="Miriam" w:hint="eastAsia"/>
          <w:b/>
          <w:color w:val="auto"/>
          <w:sz w:val="22"/>
          <w:szCs w:val="24"/>
          <w:rtl/>
        </w:rPr>
        <w:t>ההסבר</w:t>
      </w:r>
      <w:r w:rsidRPr="007C3136">
        <w:rPr>
          <w:rFonts w:ascii="Century" w:hAnsi="Century" w:cs="Miriam"/>
          <w:b/>
          <w:color w:val="auto"/>
          <w:sz w:val="22"/>
          <w:szCs w:val="24"/>
          <w:rtl/>
        </w:rPr>
        <w:t xml:space="preserve">; </w:t>
      </w:r>
      <w:r w:rsidRPr="007C3136">
        <w:rPr>
          <w:rFonts w:ascii="Century" w:hAnsi="Century" w:cs="Miriam" w:hint="eastAsia"/>
          <w:b/>
          <w:color w:val="auto"/>
          <w:sz w:val="22"/>
          <w:szCs w:val="24"/>
          <w:rtl/>
        </w:rPr>
        <w:t>הערת</w:t>
      </w:r>
      <w:r w:rsidRPr="007C3136">
        <w:rPr>
          <w:rFonts w:ascii="Century" w:hAnsi="Century" w:cs="Miriam"/>
          <w:b/>
          <w:color w:val="auto"/>
          <w:sz w:val="22"/>
          <w:szCs w:val="24"/>
          <w:rtl/>
        </w:rPr>
        <w:t xml:space="preserve"> </w:t>
      </w:r>
      <w:r w:rsidRPr="007C3136">
        <w:rPr>
          <w:rFonts w:ascii="Century" w:hAnsi="Century" w:cs="Miriam" w:hint="eastAsia"/>
          <w:b/>
          <w:color w:val="auto"/>
          <w:sz w:val="22"/>
          <w:szCs w:val="24"/>
          <w:rtl/>
        </w:rPr>
        <w:t>אזהרה</w:t>
      </w:r>
      <w:r w:rsidRPr="007C3136">
        <w:rPr>
          <w:rFonts w:ascii="Century" w:hAnsi="Century" w:cs="Miriam"/>
          <w:b/>
          <w:color w:val="auto"/>
          <w:sz w:val="22"/>
          <w:szCs w:val="24"/>
          <w:rtl/>
        </w:rPr>
        <w:t xml:space="preserve"> </w:t>
      </w:r>
      <w:r w:rsidRPr="007C3136">
        <w:rPr>
          <w:rFonts w:ascii="Century" w:hAnsi="Century" w:cs="Miriam" w:hint="eastAsia"/>
          <w:b/>
          <w:color w:val="auto"/>
          <w:sz w:val="22"/>
          <w:szCs w:val="24"/>
          <w:rtl/>
        </w:rPr>
        <w:t>כללית</w:t>
      </w:r>
      <w:bookmarkEnd w:id="74"/>
      <w:bookmarkEnd w:id="75"/>
      <w:bookmarkEnd w:id="76"/>
    </w:p>
    <w:p w:rsidR="00EB02E1" w:rsidRDefault="00EB02E1" w:rsidP="00EB02E1">
      <w:pPr>
        <w:pStyle w:val="Ruller4"/>
        <w:rPr>
          <w:rtl/>
        </w:rPr>
      </w:pPr>
      <w:r>
        <w:rPr>
          <w:rFonts w:hint="cs"/>
          <w:rtl/>
        </w:rPr>
        <w:t xml:space="preserve">הטיעון המרכזי, כאמור, של אֵלו מבין חברַי המבקשים לצמצם את תחולתו של החוק </w:t>
      </w:r>
      <w:r>
        <w:rPr>
          <w:rtl/>
        </w:rPr>
        <w:t>–</w:t>
      </w:r>
      <w:r>
        <w:rPr>
          <w:rFonts w:hint="cs"/>
          <w:rtl/>
        </w:rPr>
        <w:t xml:space="preserve"> להחילוֹ רק על סבירות 'מהותית', לא על סבירות נוסח 'וונדסברי' </w:t>
      </w:r>
      <w:r>
        <w:rPr>
          <w:rtl/>
        </w:rPr>
        <w:t>–</w:t>
      </w:r>
      <w:r>
        <w:rPr>
          <w:rFonts w:hint="cs"/>
          <w:rtl/>
        </w:rPr>
        <w:t xml:space="preserve"> נסמך על </w:t>
      </w:r>
      <w:r>
        <w:rPr>
          <w:rFonts w:hint="cs"/>
          <w:rtl/>
        </w:rPr>
        <w:lastRenderedPageBreak/>
        <w:t>דברי-ההסבר להצעת-החוק. עם זאת, במהלך הדיון בעתירות שלפנינו, נחשפנו לקיומו של 'פגם גנטי' אשר צפוּן בקרבּם של דברי-ההסבר, שבהם אנו נוהגים לעשות שימוש בהליך הפרשני, מימים ימימה. אותו 'פגם גנטי', הוליד אצלי 'הרהורי כפירה', המחייבים דיון נוסף, עקרוני, על מעמדם של דברי-ההסבר בתהליך הפרשני. אבאר את דברַי.</w:t>
      </w:r>
    </w:p>
    <w:p w:rsidR="00EB02E1" w:rsidRPr="009B42EB" w:rsidRDefault="00EB02E1" w:rsidP="00EB02E1">
      <w:pPr>
        <w:pStyle w:val="Ruller41"/>
        <w:rPr>
          <w:rtl/>
        </w:rPr>
      </w:pPr>
    </w:p>
    <w:p w:rsidR="00EB02E1" w:rsidRDefault="00EB02E1" w:rsidP="00EB02E1">
      <w:pPr>
        <w:pStyle w:val="Ruller4"/>
        <w:rPr>
          <w:rtl/>
        </w:rPr>
      </w:pPr>
      <w:r>
        <w:rPr>
          <w:rFonts w:hint="cs"/>
          <w:rtl/>
        </w:rPr>
        <w:t>על חשיבותה ומרכזיותה של ההיסטוריה החקיקתית בהליך הפרשני, עמדתי פעמים רבות, בין היתר ב</w:t>
      </w:r>
      <w:r w:rsidRPr="00350EB4">
        <w:rPr>
          <w:rFonts w:hint="eastAsia"/>
          <w:rtl/>
        </w:rPr>
        <w:t>דנג</w:t>
      </w:r>
      <w:r w:rsidRPr="00350EB4">
        <w:rPr>
          <w:rtl/>
        </w:rPr>
        <w:t>"</w:t>
      </w:r>
      <w:r w:rsidRPr="00350EB4">
        <w:rPr>
          <w:rFonts w:hint="eastAsia"/>
          <w:rtl/>
        </w:rPr>
        <w:t>ץ</w:t>
      </w:r>
      <w:r w:rsidRPr="00350EB4">
        <w:rPr>
          <w:rtl/>
        </w:rPr>
        <w:t xml:space="preserve"> 5026/16 </w:t>
      </w:r>
      <w:r w:rsidRPr="009B42EB">
        <w:rPr>
          <w:rFonts w:ascii="Century" w:hAnsi="Century" w:cs="Miriam" w:hint="eastAsia"/>
          <w:b/>
          <w:spacing w:val="0"/>
          <w:sz w:val="22"/>
          <w:szCs w:val="24"/>
          <w:rtl/>
        </w:rPr>
        <w:t>גיני</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נ</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הרבנות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הראשית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לישראל</w:t>
      </w:r>
      <w:r>
        <w:rPr>
          <w:rFonts w:hint="cs"/>
          <w:rtl/>
        </w:rPr>
        <w:t>, פסקאות       11-4, והאסמכתאות שם</w:t>
      </w:r>
      <w:r w:rsidRPr="00350EB4">
        <w:rPr>
          <w:rtl/>
        </w:rPr>
        <w:t xml:space="preserve"> (12.</w:t>
      </w:r>
      <w:r>
        <w:rPr>
          <w:rFonts w:hint="cs"/>
          <w:rtl/>
        </w:rPr>
        <w:t>9</w:t>
      </w:r>
      <w:r w:rsidRPr="00350EB4">
        <w:rPr>
          <w:rtl/>
        </w:rPr>
        <w:t>.2017)</w:t>
      </w:r>
      <w:r>
        <w:rPr>
          <w:rFonts w:hint="cs"/>
          <w:rtl/>
        </w:rPr>
        <w:t xml:space="preserve">. מקור חשוב, אולי החשוב ביותר, שעד כה נתפס כמאפשר הצצה בלתי-אמצעית לנבכי הליך החקיקה, היו אותם דברי-הסבר, הנלווים לכל הצעת-חוק באשר היא. </w:t>
      </w:r>
    </w:p>
    <w:p w:rsidR="00EB02E1" w:rsidRDefault="00EB02E1" w:rsidP="00EB02E1">
      <w:pPr>
        <w:pStyle w:val="Ruller41"/>
        <w:rPr>
          <w:rtl/>
        </w:rPr>
      </w:pPr>
    </w:p>
    <w:p w:rsidR="00EB02E1" w:rsidRDefault="00EB02E1" w:rsidP="00EB02E1">
      <w:pPr>
        <w:pStyle w:val="Ruller4"/>
        <w:textAlignment w:val="auto"/>
        <w:rPr>
          <w:rtl/>
        </w:rPr>
      </w:pPr>
      <w:r>
        <w:rPr>
          <w:rFonts w:hint="cs"/>
          <w:rtl/>
        </w:rPr>
        <w:t xml:space="preserve">להצעת-חוק פרטית מצורפים דברי-הסבר, בשני שלבים: בפעם הראשונה, עם הנחתה של הצעת-החוק הפרטית על שולחן הכנסת, עובר לקריאה הטרומית. דברי-ההסבר מוגשים פעם נוספת, בניסוח שונה, לאחר אישורהּ של הצעת-החוק על-ידי הוועדה לקריאה ראשונה, טרם ההצבעה במליאת הכנסת בקריאה ראשונה. לעומת זאת, להצעת-חוק ממשלתית, או הצעת-חוק המוגשת מטעם ועדה, מצורפים דברי-הסבר פעם אחת בלבד, עובר להצבעה בקריאה ראשונה במליאת הכנסת. הדיון שנערך עד כה, באשר למעמדם של דברי-ההסבר בהליך הפרשני, לא הבחין בין דברי-ההסבר השונים, והעניק להם מעמד זהה.  </w:t>
      </w:r>
    </w:p>
    <w:p w:rsidR="00EB02E1" w:rsidRPr="009B42EB" w:rsidRDefault="00EB02E1" w:rsidP="00EB02E1">
      <w:pPr>
        <w:pStyle w:val="Ruller41"/>
        <w:rPr>
          <w:rtl/>
        </w:rPr>
      </w:pPr>
    </w:p>
    <w:p w:rsidR="00EB02E1" w:rsidRDefault="00EB02E1" w:rsidP="00EB02E1">
      <w:pPr>
        <w:pStyle w:val="Ruller4"/>
        <w:rPr>
          <w:rtl/>
        </w:rPr>
      </w:pPr>
      <w:r>
        <w:rPr>
          <w:rFonts w:hint="cs"/>
          <w:rtl/>
        </w:rPr>
        <w:t>אין תימה אפוא, כי הייעוץ המשפטי לכנסת</w:t>
      </w:r>
      <w:r w:rsidDel="004F3F53">
        <w:rPr>
          <w:rFonts w:hint="cs"/>
          <w:rtl/>
        </w:rPr>
        <w:t xml:space="preserve"> </w:t>
      </w:r>
      <w:r>
        <w:rPr>
          <w:rFonts w:hint="cs"/>
          <w:rtl/>
        </w:rPr>
        <w:t xml:space="preserve">שביקש לפרש את החוק על דרך של צמצום תחולתו, חפץ להיתלות בדברי-ההסבר להצעת-החוק. באותם דברי-הסבר, שצורפו להצעת-החוק לקראת הקריאה הראשונה במליאת הכנסת, נכתב בין היתר כך: </w:t>
      </w:r>
    </w:p>
    <w:p w:rsidR="00EB02E1" w:rsidRDefault="00EB02E1" w:rsidP="00EB02E1">
      <w:pPr>
        <w:pStyle w:val="Ruller41"/>
        <w:rPr>
          <w:rtl/>
        </w:rPr>
      </w:pPr>
    </w:p>
    <w:p w:rsidR="00EB02E1" w:rsidRDefault="00EB02E1" w:rsidP="00EB02E1">
      <w:pPr>
        <w:pStyle w:val="Ruller41"/>
        <w:rPr>
          <w:rtl/>
        </w:rPr>
      </w:pPr>
      <w:r>
        <w:rPr>
          <w:rFonts w:ascii="Century" w:hAnsi="Century" w:cs="Miriam"/>
          <w:b/>
          <w:spacing w:val="0"/>
          <w:szCs w:val="24"/>
          <w:rtl/>
        </w:rPr>
        <w:tab/>
      </w:r>
      <w:r w:rsidRPr="00350EB4">
        <w:rPr>
          <w:rFonts w:ascii="Century" w:hAnsi="Century" w:cs="Miriam" w:hint="cs"/>
          <w:b/>
          <w:spacing w:val="0"/>
          <w:szCs w:val="24"/>
          <w:rtl/>
        </w:rPr>
        <w:t>"</w:t>
      </w:r>
      <w:r w:rsidRPr="00350EB4">
        <w:rPr>
          <w:rFonts w:ascii="Century" w:hAnsi="Century" w:cs="Miriam" w:hint="eastAsia"/>
          <w:b/>
          <w:spacing w:val="0"/>
          <w:szCs w:val="24"/>
          <w:rtl/>
        </w:rPr>
        <w:t>התפתחות</w:t>
      </w:r>
      <w:r w:rsidRPr="00350EB4">
        <w:rPr>
          <w:rFonts w:ascii="Century" w:hAnsi="Century" w:cs="Miriam"/>
          <w:b/>
          <w:spacing w:val="0"/>
          <w:szCs w:val="24"/>
          <w:rtl/>
        </w:rPr>
        <w:t xml:space="preserve"> </w:t>
      </w:r>
      <w:r w:rsidRPr="00350EB4">
        <w:rPr>
          <w:rFonts w:ascii="Century" w:hAnsi="Century" w:cs="Miriam" w:hint="eastAsia"/>
          <w:b/>
          <w:spacing w:val="0"/>
          <w:szCs w:val="24"/>
          <w:rtl/>
        </w:rPr>
        <w:t>עילות</w:t>
      </w:r>
      <w:r w:rsidRPr="00350EB4">
        <w:rPr>
          <w:rFonts w:ascii="Century" w:hAnsi="Century" w:cs="Miriam"/>
          <w:b/>
          <w:spacing w:val="0"/>
          <w:szCs w:val="24"/>
          <w:rtl/>
        </w:rPr>
        <w:t xml:space="preserve"> </w:t>
      </w:r>
      <w:r w:rsidRPr="00350EB4">
        <w:rPr>
          <w:rFonts w:ascii="Century" w:hAnsi="Century" w:cs="Miriam" w:hint="eastAsia"/>
          <w:b/>
          <w:spacing w:val="0"/>
          <w:szCs w:val="24"/>
          <w:rtl/>
        </w:rPr>
        <w:t>של</w:t>
      </w:r>
      <w:r w:rsidRPr="00350EB4">
        <w:rPr>
          <w:rFonts w:ascii="Century" w:hAnsi="Century" w:cs="Miriam" w:hint="cs"/>
          <w:b/>
          <w:spacing w:val="0"/>
          <w:szCs w:val="24"/>
          <w:rtl/>
        </w:rPr>
        <w:t xml:space="preserve"> </w:t>
      </w:r>
      <w:r w:rsidRPr="00350EB4">
        <w:rPr>
          <w:rFonts w:ascii="Century" w:hAnsi="Century" w:cs="Miriam" w:hint="eastAsia"/>
          <w:b/>
          <w:spacing w:val="0"/>
          <w:szCs w:val="24"/>
          <w:rtl/>
        </w:rPr>
        <w:t>הביקורת</w:t>
      </w:r>
      <w:r w:rsidRPr="00350EB4">
        <w:rPr>
          <w:rFonts w:ascii="Century" w:hAnsi="Century" w:cs="Miriam"/>
          <w:b/>
          <w:spacing w:val="0"/>
          <w:szCs w:val="24"/>
          <w:rtl/>
        </w:rPr>
        <w:t xml:space="preserve"> </w:t>
      </w:r>
      <w:r w:rsidRPr="00350EB4">
        <w:rPr>
          <w:rFonts w:ascii="Century" w:hAnsi="Century" w:cs="Miriam" w:hint="eastAsia"/>
          <w:b/>
          <w:spacing w:val="0"/>
          <w:szCs w:val="24"/>
          <w:rtl/>
        </w:rPr>
        <w:t>המינהלית</w:t>
      </w:r>
      <w:r w:rsidRPr="00350EB4">
        <w:rPr>
          <w:rFonts w:ascii="Century" w:hAnsi="Century" w:cs="Miriam"/>
          <w:b/>
          <w:spacing w:val="0"/>
          <w:szCs w:val="24"/>
          <w:rtl/>
        </w:rPr>
        <w:t xml:space="preserve"> </w:t>
      </w:r>
      <w:r w:rsidRPr="00350EB4">
        <w:rPr>
          <w:rFonts w:ascii="Century" w:hAnsi="Century" w:cs="Miriam" w:hint="eastAsia"/>
          <w:b/>
          <w:spacing w:val="0"/>
          <w:szCs w:val="24"/>
          <w:rtl/>
        </w:rPr>
        <w:t>נעשתה</w:t>
      </w:r>
      <w:r w:rsidRPr="00350EB4">
        <w:rPr>
          <w:rFonts w:ascii="Century" w:hAnsi="Century" w:cs="Miriam"/>
          <w:b/>
          <w:spacing w:val="0"/>
          <w:szCs w:val="24"/>
          <w:rtl/>
        </w:rPr>
        <w:t xml:space="preserve"> </w:t>
      </w:r>
      <w:r w:rsidRPr="00350EB4">
        <w:rPr>
          <w:rFonts w:ascii="Century" w:hAnsi="Century" w:cs="Miriam" w:hint="eastAsia"/>
          <w:b/>
          <w:spacing w:val="0"/>
          <w:szCs w:val="24"/>
          <w:rtl/>
        </w:rPr>
        <w:t>בעיקרה</w:t>
      </w:r>
      <w:r w:rsidRPr="00350EB4">
        <w:rPr>
          <w:rFonts w:ascii="Century" w:hAnsi="Century" w:cs="Miriam"/>
          <w:b/>
          <w:spacing w:val="0"/>
          <w:szCs w:val="24"/>
          <w:rtl/>
        </w:rPr>
        <w:t xml:space="preserve"> </w:t>
      </w:r>
      <w:r w:rsidRPr="00350EB4">
        <w:rPr>
          <w:rFonts w:ascii="Century" w:hAnsi="Century" w:cs="Miriam" w:hint="eastAsia"/>
          <w:b/>
          <w:spacing w:val="0"/>
          <w:szCs w:val="24"/>
          <w:rtl/>
        </w:rPr>
        <w:t>בפסיקה</w:t>
      </w:r>
      <w:r w:rsidRPr="00350EB4">
        <w:rPr>
          <w:rFonts w:ascii="Century" w:hAnsi="Century" w:cs="Miriam"/>
          <w:b/>
          <w:spacing w:val="0"/>
          <w:szCs w:val="24"/>
          <w:rtl/>
        </w:rPr>
        <w:t xml:space="preserve">, </w:t>
      </w:r>
      <w:r w:rsidRPr="00350EB4">
        <w:rPr>
          <w:rFonts w:ascii="Century" w:hAnsi="Century" w:cs="Miriam" w:hint="eastAsia"/>
          <w:b/>
          <w:spacing w:val="0"/>
          <w:szCs w:val="24"/>
          <w:rtl/>
        </w:rPr>
        <w:t>ובכלל</w:t>
      </w:r>
      <w:r w:rsidRPr="00350EB4">
        <w:rPr>
          <w:rFonts w:ascii="Century" w:hAnsi="Century" w:cs="Miriam"/>
          <w:b/>
          <w:spacing w:val="0"/>
          <w:szCs w:val="24"/>
          <w:rtl/>
        </w:rPr>
        <w:t xml:space="preserve"> </w:t>
      </w:r>
      <w:r w:rsidRPr="00350EB4">
        <w:rPr>
          <w:rFonts w:ascii="Century" w:hAnsi="Century" w:cs="Miriam" w:hint="eastAsia"/>
          <w:b/>
          <w:spacing w:val="0"/>
          <w:szCs w:val="24"/>
          <w:rtl/>
        </w:rPr>
        <w:t>זה</w:t>
      </w:r>
      <w:r w:rsidRPr="00350EB4">
        <w:rPr>
          <w:rFonts w:ascii="Century" w:hAnsi="Century" w:cs="Miriam" w:hint="cs"/>
          <w:b/>
          <w:spacing w:val="0"/>
          <w:szCs w:val="24"/>
          <w:rtl/>
        </w:rPr>
        <w:t xml:space="preserve"> </w:t>
      </w:r>
      <w:r w:rsidRPr="00350EB4">
        <w:rPr>
          <w:rFonts w:ascii="Century" w:hAnsi="Century" w:cs="Miriam" w:hint="eastAsia"/>
          <w:b/>
          <w:spacing w:val="0"/>
          <w:szCs w:val="24"/>
          <w:rtl/>
        </w:rPr>
        <w:t>התפתחה</w:t>
      </w:r>
      <w:r w:rsidRPr="00350EB4">
        <w:rPr>
          <w:rFonts w:ascii="Century" w:hAnsi="Century" w:cs="Miriam"/>
          <w:b/>
          <w:spacing w:val="0"/>
          <w:szCs w:val="24"/>
          <w:rtl/>
        </w:rPr>
        <w:t xml:space="preserve"> </w:t>
      </w:r>
      <w:r w:rsidRPr="00350EB4">
        <w:rPr>
          <w:rFonts w:ascii="Century" w:hAnsi="Century" w:cs="Miriam" w:hint="eastAsia"/>
          <w:b/>
          <w:spacing w:val="0"/>
          <w:szCs w:val="24"/>
          <w:rtl/>
        </w:rPr>
        <w:t>עילת</w:t>
      </w:r>
      <w:r w:rsidRPr="00350EB4">
        <w:rPr>
          <w:rFonts w:ascii="Century" w:hAnsi="Century" w:cs="Miriam"/>
          <w:b/>
          <w:spacing w:val="0"/>
          <w:szCs w:val="24"/>
          <w:rtl/>
        </w:rPr>
        <w:t xml:space="preserve"> </w:t>
      </w:r>
      <w:r w:rsidRPr="00350EB4">
        <w:rPr>
          <w:rFonts w:ascii="Century" w:hAnsi="Century" w:cs="Miriam" w:hint="eastAsia"/>
          <w:b/>
          <w:spacing w:val="0"/>
          <w:szCs w:val="24"/>
          <w:rtl/>
        </w:rPr>
        <w:t>הסבירות</w:t>
      </w:r>
      <w:r w:rsidRPr="00350EB4">
        <w:rPr>
          <w:rFonts w:ascii="Century" w:hAnsi="Century" w:cs="Miriam"/>
          <w:b/>
          <w:spacing w:val="0"/>
          <w:szCs w:val="24"/>
          <w:rtl/>
        </w:rPr>
        <w:t xml:space="preserve">. </w:t>
      </w:r>
      <w:r w:rsidRPr="00350EB4">
        <w:rPr>
          <w:rFonts w:ascii="Century" w:hAnsi="Century" w:cs="Miriam" w:hint="eastAsia"/>
          <w:b/>
          <w:spacing w:val="0"/>
          <w:szCs w:val="24"/>
          <w:rtl/>
        </w:rPr>
        <w:t>כיום</w:t>
      </w:r>
      <w:r w:rsidRPr="00350EB4">
        <w:rPr>
          <w:rFonts w:ascii="Century" w:hAnsi="Century" w:cs="Miriam"/>
          <w:b/>
          <w:spacing w:val="0"/>
          <w:szCs w:val="24"/>
          <w:rtl/>
        </w:rPr>
        <w:t xml:space="preserve"> </w:t>
      </w:r>
      <w:r w:rsidRPr="00350EB4">
        <w:rPr>
          <w:rFonts w:ascii="Century" w:hAnsi="Century" w:cs="Miriam" w:hint="eastAsia"/>
          <w:b/>
          <w:spacing w:val="0"/>
          <w:szCs w:val="24"/>
          <w:rtl/>
        </w:rPr>
        <w:t>עילה</w:t>
      </w:r>
      <w:r w:rsidRPr="00350EB4">
        <w:rPr>
          <w:rFonts w:ascii="Century" w:hAnsi="Century" w:cs="Miriam"/>
          <w:b/>
          <w:spacing w:val="0"/>
          <w:szCs w:val="24"/>
          <w:rtl/>
        </w:rPr>
        <w:t xml:space="preserve"> </w:t>
      </w:r>
      <w:r w:rsidRPr="00350EB4">
        <w:rPr>
          <w:rFonts w:ascii="Century" w:hAnsi="Century" w:cs="Miriam" w:hint="eastAsia"/>
          <w:b/>
          <w:spacing w:val="0"/>
          <w:szCs w:val="24"/>
          <w:rtl/>
        </w:rPr>
        <w:t>זו</w:t>
      </w:r>
      <w:r w:rsidRPr="00350EB4">
        <w:rPr>
          <w:rFonts w:ascii="Century" w:hAnsi="Century" w:cs="Miriam"/>
          <w:b/>
          <w:spacing w:val="0"/>
          <w:szCs w:val="24"/>
          <w:rtl/>
        </w:rPr>
        <w:t xml:space="preserve"> </w:t>
      </w:r>
      <w:r w:rsidRPr="00350EB4">
        <w:rPr>
          <w:rFonts w:ascii="Century" w:hAnsi="Century" w:cs="Miriam" w:hint="eastAsia"/>
          <w:b/>
          <w:spacing w:val="0"/>
          <w:szCs w:val="24"/>
          <w:rtl/>
        </w:rPr>
        <w:t>מאפשרת</w:t>
      </w:r>
      <w:r w:rsidRPr="00350EB4">
        <w:rPr>
          <w:rFonts w:ascii="Century" w:hAnsi="Century" w:cs="Miriam"/>
          <w:b/>
          <w:spacing w:val="0"/>
          <w:szCs w:val="24"/>
          <w:rtl/>
        </w:rPr>
        <w:t xml:space="preserve"> </w:t>
      </w:r>
      <w:r w:rsidRPr="00350EB4">
        <w:rPr>
          <w:rFonts w:ascii="Century" w:hAnsi="Century" w:cs="Miriam" w:hint="eastAsia"/>
          <w:b/>
          <w:spacing w:val="0"/>
          <w:szCs w:val="24"/>
          <w:rtl/>
        </w:rPr>
        <w:t>לבית</w:t>
      </w:r>
      <w:r w:rsidRPr="00350EB4">
        <w:rPr>
          <w:rFonts w:ascii="Century" w:hAnsi="Century" w:cs="Miriam" w:hint="cs"/>
          <w:b/>
          <w:spacing w:val="0"/>
          <w:szCs w:val="24"/>
          <w:rtl/>
        </w:rPr>
        <w:t xml:space="preserve"> </w:t>
      </w:r>
      <w:r w:rsidRPr="00350EB4">
        <w:rPr>
          <w:rFonts w:ascii="Century" w:hAnsi="Century" w:cs="Miriam" w:hint="eastAsia"/>
          <w:b/>
          <w:spacing w:val="0"/>
          <w:szCs w:val="24"/>
          <w:rtl/>
        </w:rPr>
        <w:t>המשפט</w:t>
      </w:r>
      <w:r w:rsidRPr="00350EB4">
        <w:rPr>
          <w:rFonts w:ascii="Century" w:hAnsi="Century" w:cs="Miriam"/>
          <w:b/>
          <w:spacing w:val="0"/>
          <w:szCs w:val="24"/>
          <w:rtl/>
        </w:rPr>
        <w:t xml:space="preserve"> </w:t>
      </w:r>
      <w:r w:rsidRPr="00350EB4">
        <w:rPr>
          <w:rFonts w:ascii="Century" w:hAnsi="Century" w:cs="Miriam" w:hint="eastAsia"/>
          <w:b/>
          <w:spacing w:val="0"/>
          <w:szCs w:val="24"/>
          <w:rtl/>
        </w:rPr>
        <w:t>לפסול</w:t>
      </w:r>
      <w:r w:rsidRPr="00350EB4">
        <w:rPr>
          <w:rFonts w:ascii="Century" w:hAnsi="Century" w:cs="Miriam"/>
          <w:b/>
          <w:spacing w:val="0"/>
          <w:szCs w:val="24"/>
          <w:rtl/>
        </w:rPr>
        <w:t xml:space="preserve"> </w:t>
      </w:r>
      <w:r w:rsidRPr="00350EB4">
        <w:rPr>
          <w:rFonts w:ascii="Century" w:hAnsi="Century" w:cs="Miriam" w:hint="eastAsia"/>
          <w:b/>
          <w:spacing w:val="0"/>
          <w:szCs w:val="24"/>
          <w:rtl/>
        </w:rPr>
        <w:t>החלטה</w:t>
      </w:r>
      <w:r w:rsidRPr="00350EB4">
        <w:rPr>
          <w:rFonts w:ascii="Century" w:hAnsi="Century" w:cs="Miriam"/>
          <w:b/>
          <w:spacing w:val="0"/>
          <w:szCs w:val="24"/>
          <w:rtl/>
        </w:rPr>
        <w:t xml:space="preserve"> </w:t>
      </w:r>
      <w:r w:rsidRPr="00350EB4">
        <w:rPr>
          <w:rFonts w:ascii="Century" w:hAnsi="Century" w:cs="Miriam" w:hint="eastAsia"/>
          <w:b/>
          <w:spacing w:val="0"/>
          <w:szCs w:val="24"/>
          <w:rtl/>
        </w:rPr>
        <w:t>מינהלית</w:t>
      </w:r>
      <w:r w:rsidRPr="00350EB4">
        <w:rPr>
          <w:rFonts w:ascii="Century" w:hAnsi="Century" w:cs="Miriam"/>
          <w:b/>
          <w:spacing w:val="0"/>
          <w:szCs w:val="24"/>
          <w:rtl/>
        </w:rPr>
        <w:t xml:space="preserve"> </w:t>
      </w:r>
      <w:r w:rsidRPr="00350EB4">
        <w:rPr>
          <w:rFonts w:ascii="Century" w:hAnsi="Century" w:cs="Miriam" w:hint="eastAsia"/>
          <w:b/>
          <w:spacing w:val="0"/>
          <w:szCs w:val="24"/>
          <w:rtl/>
        </w:rPr>
        <w:t>הלוקה</w:t>
      </w:r>
      <w:r w:rsidRPr="00350EB4">
        <w:rPr>
          <w:rFonts w:ascii="Century" w:hAnsi="Century" w:cs="Miriam"/>
          <w:b/>
          <w:spacing w:val="0"/>
          <w:szCs w:val="24"/>
          <w:rtl/>
        </w:rPr>
        <w:t xml:space="preserve"> </w:t>
      </w:r>
      <w:r w:rsidRPr="00350EB4">
        <w:rPr>
          <w:rFonts w:ascii="Century" w:hAnsi="Century" w:cs="Miriam" w:hint="eastAsia"/>
          <w:b/>
          <w:spacing w:val="0"/>
          <w:szCs w:val="24"/>
          <w:rtl/>
        </w:rPr>
        <w:t>בחוסר</w:t>
      </w:r>
      <w:r w:rsidRPr="00350EB4">
        <w:rPr>
          <w:rFonts w:ascii="Century" w:hAnsi="Century" w:cs="Miriam"/>
          <w:b/>
          <w:spacing w:val="0"/>
          <w:szCs w:val="24"/>
          <w:rtl/>
        </w:rPr>
        <w:t xml:space="preserve"> </w:t>
      </w:r>
      <w:r w:rsidRPr="00350EB4">
        <w:rPr>
          <w:rFonts w:ascii="Century" w:hAnsi="Century" w:cs="Miriam" w:hint="eastAsia"/>
          <w:b/>
          <w:spacing w:val="0"/>
          <w:szCs w:val="24"/>
          <w:rtl/>
        </w:rPr>
        <w:t>סבירות</w:t>
      </w:r>
      <w:r w:rsidRPr="00350EB4">
        <w:rPr>
          <w:rFonts w:ascii="Century" w:hAnsi="Century" w:cs="Miriam" w:hint="cs"/>
          <w:b/>
          <w:spacing w:val="0"/>
          <w:szCs w:val="24"/>
          <w:rtl/>
        </w:rPr>
        <w:t xml:space="preserve"> </w:t>
      </w:r>
      <w:r w:rsidRPr="00350EB4">
        <w:rPr>
          <w:rFonts w:ascii="Century" w:hAnsi="Century" w:cs="Miriam" w:hint="eastAsia"/>
          <w:b/>
          <w:spacing w:val="0"/>
          <w:szCs w:val="24"/>
          <w:rtl/>
        </w:rPr>
        <w:t>במובן</w:t>
      </w:r>
      <w:r w:rsidRPr="00350EB4">
        <w:rPr>
          <w:rFonts w:ascii="Century" w:hAnsi="Century" w:cs="Miriam"/>
          <w:b/>
          <w:spacing w:val="0"/>
          <w:szCs w:val="24"/>
          <w:rtl/>
        </w:rPr>
        <w:t xml:space="preserve"> </w:t>
      </w:r>
      <w:r w:rsidRPr="00350EB4">
        <w:rPr>
          <w:rFonts w:ascii="Century" w:hAnsi="Century" w:cs="Miriam" w:hint="eastAsia"/>
          <w:b/>
          <w:spacing w:val="0"/>
          <w:szCs w:val="24"/>
          <w:rtl/>
        </w:rPr>
        <w:t>זה</w:t>
      </w:r>
      <w:r w:rsidRPr="00350EB4">
        <w:rPr>
          <w:rFonts w:ascii="Century" w:hAnsi="Century" w:cs="Miriam"/>
          <w:b/>
          <w:spacing w:val="0"/>
          <w:szCs w:val="24"/>
          <w:rtl/>
        </w:rPr>
        <w:t xml:space="preserve"> </w:t>
      </w:r>
      <w:r w:rsidRPr="00350EB4">
        <w:rPr>
          <w:rFonts w:ascii="Century" w:hAnsi="Century" w:cs="Miriam" w:hint="eastAsia"/>
          <w:b/>
          <w:spacing w:val="0"/>
          <w:szCs w:val="24"/>
          <w:u w:val="single"/>
          <w:rtl/>
        </w:rPr>
        <w:t>שהיא</w:t>
      </w:r>
      <w:r w:rsidRPr="00350EB4">
        <w:rPr>
          <w:rFonts w:ascii="Century" w:hAnsi="Century" w:cs="Miriam"/>
          <w:b/>
          <w:spacing w:val="0"/>
          <w:szCs w:val="24"/>
          <w:u w:val="single"/>
          <w:rtl/>
        </w:rPr>
        <w:t xml:space="preserve"> </w:t>
      </w:r>
      <w:r w:rsidRPr="00350EB4">
        <w:rPr>
          <w:rFonts w:ascii="Century" w:hAnsi="Century" w:cs="Miriam" w:hint="eastAsia"/>
          <w:b/>
          <w:spacing w:val="0"/>
          <w:szCs w:val="24"/>
          <w:u w:val="single"/>
          <w:rtl/>
        </w:rPr>
        <w:t>אינה</w:t>
      </w:r>
      <w:r w:rsidRPr="00350EB4">
        <w:rPr>
          <w:rFonts w:ascii="Century" w:hAnsi="Century" w:cs="Miriam"/>
          <w:b/>
          <w:spacing w:val="0"/>
          <w:szCs w:val="24"/>
          <w:u w:val="single"/>
          <w:rtl/>
        </w:rPr>
        <w:t xml:space="preserve"> </w:t>
      </w:r>
      <w:r w:rsidRPr="00350EB4">
        <w:rPr>
          <w:rFonts w:ascii="Century" w:hAnsi="Century" w:cs="Miriam" w:hint="eastAsia"/>
          <w:b/>
          <w:spacing w:val="0"/>
          <w:szCs w:val="24"/>
          <w:u w:val="single"/>
          <w:rtl/>
        </w:rPr>
        <w:t>נותנת</w:t>
      </w:r>
      <w:r w:rsidRPr="00350EB4">
        <w:rPr>
          <w:rFonts w:ascii="Century" w:hAnsi="Century" w:cs="Miriam"/>
          <w:b/>
          <w:spacing w:val="0"/>
          <w:szCs w:val="24"/>
          <w:u w:val="single"/>
          <w:rtl/>
        </w:rPr>
        <w:t xml:space="preserve"> </w:t>
      </w:r>
      <w:r w:rsidRPr="00350EB4">
        <w:rPr>
          <w:rFonts w:ascii="Century" w:hAnsi="Century" w:cs="Miriam" w:hint="cs"/>
          <w:b/>
          <w:spacing w:val="0"/>
          <w:szCs w:val="24"/>
          <w:u w:val="single"/>
          <w:rtl/>
        </w:rPr>
        <w:t>'</w:t>
      </w:r>
      <w:r w:rsidRPr="00350EB4">
        <w:rPr>
          <w:rFonts w:ascii="Century" w:hAnsi="Century" w:cs="Miriam" w:hint="eastAsia"/>
          <w:b/>
          <w:spacing w:val="0"/>
          <w:szCs w:val="24"/>
          <w:u w:val="single"/>
          <w:rtl/>
        </w:rPr>
        <w:t>משקל</w:t>
      </w:r>
      <w:r w:rsidRPr="00350EB4">
        <w:rPr>
          <w:rFonts w:ascii="Century" w:hAnsi="Century" w:cs="Miriam"/>
          <w:b/>
          <w:spacing w:val="0"/>
          <w:szCs w:val="24"/>
          <w:u w:val="single"/>
          <w:rtl/>
        </w:rPr>
        <w:t xml:space="preserve"> </w:t>
      </w:r>
      <w:r w:rsidRPr="00350EB4">
        <w:rPr>
          <w:rFonts w:ascii="Century" w:hAnsi="Century" w:cs="Miriam" w:hint="eastAsia"/>
          <w:b/>
          <w:spacing w:val="0"/>
          <w:szCs w:val="24"/>
          <w:u w:val="single"/>
          <w:rtl/>
        </w:rPr>
        <w:t>ראוי</w:t>
      </w:r>
      <w:r w:rsidRPr="00350EB4">
        <w:rPr>
          <w:rFonts w:ascii="Century" w:hAnsi="Century" w:cs="Miriam"/>
          <w:b/>
          <w:spacing w:val="0"/>
          <w:szCs w:val="24"/>
          <w:u w:val="single"/>
          <w:rtl/>
        </w:rPr>
        <w:t xml:space="preserve"> </w:t>
      </w:r>
      <w:r w:rsidRPr="00350EB4">
        <w:rPr>
          <w:rFonts w:ascii="Century" w:hAnsi="Century" w:cs="Miriam" w:hint="eastAsia"/>
          <w:b/>
          <w:spacing w:val="0"/>
          <w:szCs w:val="24"/>
          <w:u w:val="single"/>
          <w:rtl/>
        </w:rPr>
        <w:t>לאינטרסים</w:t>
      </w:r>
      <w:r w:rsidRPr="00350EB4">
        <w:rPr>
          <w:rFonts w:ascii="Century" w:hAnsi="Century" w:cs="Miriam" w:hint="cs"/>
          <w:b/>
          <w:spacing w:val="0"/>
          <w:szCs w:val="24"/>
          <w:u w:val="single"/>
          <w:rtl/>
        </w:rPr>
        <w:t xml:space="preserve"> </w:t>
      </w:r>
      <w:r w:rsidRPr="00350EB4">
        <w:rPr>
          <w:rFonts w:ascii="Century" w:hAnsi="Century" w:cs="Miriam" w:hint="eastAsia"/>
          <w:b/>
          <w:spacing w:val="0"/>
          <w:szCs w:val="24"/>
          <w:u w:val="single"/>
          <w:rtl/>
        </w:rPr>
        <w:t>השונים</w:t>
      </w:r>
      <w:r w:rsidRPr="00350EB4">
        <w:rPr>
          <w:rFonts w:ascii="Century" w:hAnsi="Century" w:cs="Miriam"/>
          <w:b/>
          <w:spacing w:val="0"/>
          <w:szCs w:val="24"/>
          <w:u w:val="single"/>
          <w:rtl/>
        </w:rPr>
        <w:t xml:space="preserve"> </w:t>
      </w:r>
      <w:r w:rsidRPr="00350EB4">
        <w:rPr>
          <w:rFonts w:ascii="Century" w:hAnsi="Century" w:cs="Miriam" w:hint="eastAsia"/>
          <w:b/>
          <w:spacing w:val="0"/>
          <w:szCs w:val="24"/>
          <w:u w:val="single"/>
          <w:rtl/>
        </w:rPr>
        <w:t>שעל</w:t>
      </w:r>
      <w:r w:rsidRPr="00350EB4">
        <w:rPr>
          <w:rFonts w:ascii="Century" w:hAnsi="Century" w:cs="Miriam"/>
          <w:b/>
          <w:spacing w:val="0"/>
          <w:szCs w:val="24"/>
          <w:u w:val="single"/>
          <w:rtl/>
        </w:rPr>
        <w:t xml:space="preserve"> </w:t>
      </w:r>
      <w:r w:rsidRPr="00350EB4">
        <w:rPr>
          <w:rFonts w:ascii="Century" w:hAnsi="Century" w:cs="Miriam" w:hint="eastAsia"/>
          <w:b/>
          <w:spacing w:val="0"/>
          <w:szCs w:val="24"/>
          <w:u w:val="single"/>
          <w:rtl/>
        </w:rPr>
        <w:t>הרשות</w:t>
      </w:r>
      <w:r w:rsidRPr="00350EB4">
        <w:rPr>
          <w:rFonts w:ascii="Century" w:hAnsi="Century" w:cs="Miriam"/>
          <w:b/>
          <w:spacing w:val="0"/>
          <w:szCs w:val="24"/>
          <w:u w:val="single"/>
          <w:rtl/>
        </w:rPr>
        <w:t xml:space="preserve"> </w:t>
      </w:r>
      <w:r w:rsidRPr="00350EB4">
        <w:rPr>
          <w:rFonts w:ascii="Century" w:hAnsi="Century" w:cs="Miriam" w:hint="eastAsia"/>
          <w:b/>
          <w:spacing w:val="0"/>
          <w:szCs w:val="24"/>
          <w:u w:val="single"/>
          <w:rtl/>
        </w:rPr>
        <w:t>המינהלית</w:t>
      </w:r>
      <w:r w:rsidRPr="00350EB4">
        <w:rPr>
          <w:rFonts w:ascii="Century" w:hAnsi="Century" w:cs="Miriam"/>
          <w:b/>
          <w:spacing w:val="0"/>
          <w:szCs w:val="24"/>
          <w:u w:val="single"/>
          <w:rtl/>
        </w:rPr>
        <w:t xml:space="preserve"> </w:t>
      </w:r>
      <w:r w:rsidRPr="00350EB4">
        <w:rPr>
          <w:rFonts w:ascii="Century" w:hAnsi="Century" w:cs="Miriam" w:hint="eastAsia"/>
          <w:b/>
          <w:spacing w:val="0"/>
          <w:szCs w:val="24"/>
          <w:u w:val="single"/>
          <w:rtl/>
        </w:rPr>
        <w:t>להתחשב</w:t>
      </w:r>
      <w:r w:rsidRPr="00350EB4">
        <w:rPr>
          <w:rFonts w:ascii="Century" w:hAnsi="Century" w:cs="Miriam"/>
          <w:b/>
          <w:spacing w:val="0"/>
          <w:szCs w:val="24"/>
          <w:u w:val="single"/>
          <w:rtl/>
        </w:rPr>
        <w:t xml:space="preserve"> </w:t>
      </w:r>
      <w:r w:rsidRPr="00350EB4">
        <w:rPr>
          <w:rFonts w:ascii="Century" w:hAnsi="Century" w:cs="Miriam" w:hint="eastAsia"/>
          <w:b/>
          <w:spacing w:val="0"/>
          <w:szCs w:val="24"/>
          <w:u w:val="single"/>
          <w:rtl/>
        </w:rPr>
        <w:t>בהם</w:t>
      </w:r>
      <w:r w:rsidRPr="00350EB4">
        <w:rPr>
          <w:rFonts w:ascii="Century" w:hAnsi="Century" w:cs="Miriam" w:hint="cs"/>
          <w:b/>
          <w:spacing w:val="0"/>
          <w:szCs w:val="24"/>
          <w:u w:val="single"/>
          <w:rtl/>
        </w:rPr>
        <w:t xml:space="preserve"> </w:t>
      </w:r>
      <w:r w:rsidRPr="00350EB4">
        <w:rPr>
          <w:rFonts w:ascii="Century" w:hAnsi="Century" w:cs="Miriam" w:hint="eastAsia"/>
          <w:b/>
          <w:spacing w:val="0"/>
          <w:szCs w:val="24"/>
          <w:u w:val="single"/>
          <w:rtl/>
        </w:rPr>
        <w:t>בהחלטתה</w:t>
      </w:r>
      <w:r w:rsidRPr="00350EB4">
        <w:rPr>
          <w:rFonts w:ascii="Century" w:hAnsi="Century" w:cs="Miriam" w:hint="cs"/>
          <w:b/>
          <w:spacing w:val="0"/>
          <w:szCs w:val="24"/>
          <w:rtl/>
        </w:rPr>
        <w:t>'</w:t>
      </w:r>
      <w:r w:rsidRPr="00350EB4">
        <w:rPr>
          <w:rFonts w:ascii="Century" w:hAnsi="Century" w:cs="Miriam"/>
          <w:b/>
          <w:spacing w:val="0"/>
          <w:szCs w:val="24"/>
          <w:rtl/>
        </w:rPr>
        <w:t xml:space="preserve"> </w:t>
      </w:r>
      <w:r w:rsidRPr="00350EB4">
        <w:rPr>
          <w:rFonts w:ascii="Century" w:hAnsi="Century" w:cs="Miriam" w:hint="cs"/>
          <w:b/>
          <w:spacing w:val="0"/>
          <w:szCs w:val="24"/>
          <w:rtl/>
        </w:rPr>
        <w:t>(</w:t>
      </w:r>
      <w:r w:rsidRPr="00350EB4">
        <w:rPr>
          <w:rFonts w:ascii="Century" w:hAnsi="Century" w:cs="Miriam" w:hint="eastAsia"/>
          <w:b/>
          <w:spacing w:val="0"/>
          <w:szCs w:val="24"/>
          <w:rtl/>
        </w:rPr>
        <w:t>בג</w:t>
      </w:r>
      <w:r w:rsidRPr="00350EB4">
        <w:rPr>
          <w:rFonts w:ascii="Century" w:hAnsi="Century" w:cs="Miriam"/>
          <w:b/>
          <w:spacing w:val="0"/>
          <w:szCs w:val="24"/>
          <w:rtl/>
        </w:rPr>
        <w:t>"</w:t>
      </w:r>
      <w:r w:rsidRPr="00350EB4">
        <w:rPr>
          <w:rFonts w:ascii="Century" w:hAnsi="Century" w:cs="Miriam" w:hint="eastAsia"/>
          <w:b/>
          <w:spacing w:val="0"/>
          <w:szCs w:val="24"/>
          <w:rtl/>
        </w:rPr>
        <w:t>ץ</w:t>
      </w:r>
      <w:r w:rsidRPr="00350EB4">
        <w:rPr>
          <w:rFonts w:ascii="Century" w:hAnsi="Century" w:cs="Miriam"/>
          <w:b/>
          <w:spacing w:val="0"/>
          <w:szCs w:val="24"/>
          <w:rtl/>
        </w:rPr>
        <w:t xml:space="preserve"> 389/80 </w:t>
      </w:r>
      <w:r w:rsidRPr="00F24239">
        <w:rPr>
          <w:rFonts w:ascii="Century" w:hAnsi="Century" w:cs="Miriam" w:hint="eastAsia"/>
          <w:b/>
          <w:spacing w:val="0"/>
          <w:szCs w:val="24"/>
          <w:u w:val="single"/>
          <w:rtl/>
        </w:rPr>
        <w:t>דפי</w:t>
      </w:r>
      <w:r w:rsidRPr="00F24239">
        <w:rPr>
          <w:rFonts w:ascii="Century" w:hAnsi="Century" w:cs="Miriam"/>
          <w:b/>
          <w:spacing w:val="0"/>
          <w:szCs w:val="24"/>
          <w:u w:val="single"/>
          <w:rtl/>
        </w:rPr>
        <w:t xml:space="preserve"> </w:t>
      </w:r>
      <w:r w:rsidRPr="00F24239">
        <w:rPr>
          <w:rFonts w:ascii="Century" w:hAnsi="Century" w:cs="Miriam" w:hint="eastAsia"/>
          <w:b/>
          <w:spacing w:val="0"/>
          <w:szCs w:val="24"/>
          <w:u w:val="single"/>
          <w:rtl/>
        </w:rPr>
        <w:t>זהב</w:t>
      </w:r>
      <w:r w:rsidRPr="00F24239">
        <w:rPr>
          <w:rFonts w:ascii="Century" w:hAnsi="Century" w:cs="Miriam"/>
          <w:b/>
          <w:spacing w:val="0"/>
          <w:szCs w:val="24"/>
          <w:u w:val="single"/>
          <w:rtl/>
        </w:rPr>
        <w:t xml:space="preserve"> </w:t>
      </w:r>
      <w:r w:rsidRPr="00F24239">
        <w:rPr>
          <w:rFonts w:ascii="Century" w:hAnsi="Century" w:cs="Miriam" w:hint="eastAsia"/>
          <w:b/>
          <w:spacing w:val="0"/>
          <w:szCs w:val="24"/>
          <w:u w:val="single"/>
          <w:rtl/>
        </w:rPr>
        <w:t>בע</w:t>
      </w:r>
      <w:r w:rsidRPr="00F24239">
        <w:rPr>
          <w:rFonts w:ascii="Century" w:hAnsi="Century" w:cs="Miriam"/>
          <w:b/>
          <w:spacing w:val="0"/>
          <w:szCs w:val="24"/>
          <w:u w:val="single"/>
          <w:rtl/>
        </w:rPr>
        <w:t>"</w:t>
      </w:r>
      <w:r w:rsidRPr="00F24239">
        <w:rPr>
          <w:rFonts w:ascii="Century" w:hAnsi="Century" w:cs="Miriam" w:hint="eastAsia"/>
          <w:b/>
          <w:spacing w:val="0"/>
          <w:szCs w:val="24"/>
          <w:u w:val="single"/>
          <w:rtl/>
        </w:rPr>
        <w:t>מ</w:t>
      </w:r>
      <w:r w:rsidRPr="00F24239">
        <w:rPr>
          <w:rFonts w:ascii="Century" w:hAnsi="Century" w:cs="Miriam"/>
          <w:b/>
          <w:spacing w:val="0"/>
          <w:szCs w:val="24"/>
          <w:u w:val="single"/>
          <w:rtl/>
        </w:rPr>
        <w:t xml:space="preserve"> </w:t>
      </w:r>
      <w:r w:rsidRPr="00F24239">
        <w:rPr>
          <w:rFonts w:ascii="Century" w:hAnsi="Century" w:cs="Miriam" w:hint="eastAsia"/>
          <w:b/>
          <w:spacing w:val="0"/>
          <w:szCs w:val="24"/>
          <w:u w:val="single"/>
          <w:rtl/>
        </w:rPr>
        <w:t>נ</w:t>
      </w:r>
      <w:r w:rsidRPr="00F24239">
        <w:rPr>
          <w:rFonts w:ascii="Century" w:hAnsi="Century" w:cs="Miriam"/>
          <w:b/>
          <w:spacing w:val="0"/>
          <w:szCs w:val="24"/>
          <w:u w:val="single"/>
          <w:rtl/>
        </w:rPr>
        <w:t xml:space="preserve">' </w:t>
      </w:r>
      <w:r w:rsidRPr="00F24239">
        <w:rPr>
          <w:rFonts w:ascii="Century" w:hAnsi="Century" w:cs="Miriam" w:hint="eastAsia"/>
          <w:b/>
          <w:spacing w:val="0"/>
          <w:szCs w:val="24"/>
          <w:u w:val="single"/>
          <w:rtl/>
        </w:rPr>
        <w:t>רשות</w:t>
      </w:r>
      <w:r w:rsidRPr="00F24239">
        <w:rPr>
          <w:rFonts w:ascii="Century" w:hAnsi="Century" w:cs="Miriam"/>
          <w:b/>
          <w:spacing w:val="0"/>
          <w:szCs w:val="24"/>
          <w:u w:val="single"/>
          <w:rtl/>
        </w:rPr>
        <w:t xml:space="preserve"> </w:t>
      </w:r>
      <w:r w:rsidRPr="00F24239">
        <w:rPr>
          <w:rFonts w:ascii="Century" w:hAnsi="Century" w:cs="Miriam" w:hint="eastAsia"/>
          <w:b/>
          <w:spacing w:val="0"/>
          <w:szCs w:val="24"/>
          <w:u w:val="single"/>
          <w:rtl/>
        </w:rPr>
        <w:t>השידור</w:t>
      </w:r>
      <w:r w:rsidRPr="00350EB4">
        <w:rPr>
          <w:rFonts w:ascii="Century" w:hAnsi="Century" w:cs="Miriam"/>
          <w:b/>
          <w:spacing w:val="0"/>
          <w:szCs w:val="24"/>
          <w:rtl/>
        </w:rPr>
        <w:t>,</w:t>
      </w:r>
      <w:r w:rsidRPr="00350EB4">
        <w:rPr>
          <w:rFonts w:ascii="Century" w:hAnsi="Century" w:cs="Miriam" w:hint="cs"/>
          <w:b/>
          <w:spacing w:val="0"/>
          <w:szCs w:val="24"/>
          <w:rtl/>
        </w:rPr>
        <w:t xml:space="preserve"> </w:t>
      </w:r>
      <w:r w:rsidRPr="00350EB4">
        <w:rPr>
          <w:rFonts w:ascii="Century" w:hAnsi="Century" w:cs="Miriam" w:hint="eastAsia"/>
          <w:b/>
          <w:spacing w:val="0"/>
          <w:szCs w:val="24"/>
          <w:rtl/>
        </w:rPr>
        <w:t>פ</w:t>
      </w:r>
      <w:r w:rsidRPr="00350EB4">
        <w:rPr>
          <w:rFonts w:ascii="Century" w:hAnsi="Century" w:cs="Miriam"/>
          <w:b/>
          <w:spacing w:val="0"/>
          <w:szCs w:val="24"/>
          <w:rtl/>
        </w:rPr>
        <w:t>"</w:t>
      </w:r>
      <w:r w:rsidRPr="00350EB4">
        <w:rPr>
          <w:rFonts w:ascii="Century" w:hAnsi="Century" w:cs="Miriam" w:hint="eastAsia"/>
          <w:b/>
          <w:spacing w:val="0"/>
          <w:szCs w:val="24"/>
          <w:rtl/>
        </w:rPr>
        <w:t>ד</w:t>
      </w:r>
      <w:r w:rsidRPr="00350EB4">
        <w:rPr>
          <w:rFonts w:ascii="Century" w:hAnsi="Century" w:cs="Miriam"/>
          <w:b/>
          <w:spacing w:val="0"/>
          <w:szCs w:val="24"/>
          <w:rtl/>
        </w:rPr>
        <w:t xml:space="preserve"> </w:t>
      </w:r>
      <w:r w:rsidRPr="00350EB4">
        <w:rPr>
          <w:rFonts w:ascii="Century" w:hAnsi="Century" w:cs="Miriam" w:hint="eastAsia"/>
          <w:b/>
          <w:spacing w:val="0"/>
          <w:szCs w:val="24"/>
          <w:rtl/>
        </w:rPr>
        <w:t>לה</w:t>
      </w:r>
      <w:r w:rsidRPr="00350EB4">
        <w:rPr>
          <w:rFonts w:ascii="Century" w:hAnsi="Century" w:cs="Miriam" w:hint="cs"/>
          <w:b/>
          <w:spacing w:val="0"/>
          <w:szCs w:val="24"/>
          <w:rtl/>
        </w:rPr>
        <w:t>(1)</w:t>
      </w:r>
      <w:r w:rsidRPr="00350EB4">
        <w:rPr>
          <w:rFonts w:ascii="Century" w:hAnsi="Century" w:cs="Miriam"/>
          <w:b/>
          <w:spacing w:val="0"/>
          <w:szCs w:val="24"/>
          <w:rtl/>
        </w:rPr>
        <w:t xml:space="preserve"> 421</w:t>
      </w:r>
      <w:r w:rsidRPr="00350EB4">
        <w:rPr>
          <w:rFonts w:ascii="Century" w:hAnsi="Century" w:cs="Miriam" w:hint="cs"/>
          <w:b/>
          <w:spacing w:val="0"/>
          <w:szCs w:val="24"/>
          <w:rtl/>
        </w:rPr>
        <w:t>,</w:t>
      </w:r>
      <w:r w:rsidRPr="00350EB4">
        <w:rPr>
          <w:rFonts w:ascii="Century" w:hAnsi="Century" w:cs="Miriam"/>
          <w:b/>
          <w:spacing w:val="0"/>
          <w:szCs w:val="24"/>
          <w:rtl/>
        </w:rPr>
        <w:t xml:space="preserve"> 437 </w:t>
      </w:r>
      <w:r w:rsidRPr="00350EB4">
        <w:rPr>
          <w:rFonts w:ascii="Century" w:hAnsi="Century" w:cs="Miriam" w:hint="cs"/>
          <w:b/>
          <w:spacing w:val="0"/>
          <w:szCs w:val="24"/>
          <w:rtl/>
        </w:rPr>
        <w:t>(</w:t>
      </w:r>
      <w:r w:rsidRPr="00350EB4">
        <w:rPr>
          <w:rFonts w:ascii="Century" w:hAnsi="Century" w:cs="Miriam"/>
          <w:b/>
          <w:spacing w:val="0"/>
          <w:szCs w:val="24"/>
          <w:rtl/>
        </w:rPr>
        <w:t>1980</w:t>
      </w:r>
      <w:r w:rsidRPr="00350EB4">
        <w:rPr>
          <w:rFonts w:ascii="Century" w:hAnsi="Century" w:cs="Miriam" w:hint="cs"/>
          <w:b/>
          <w:spacing w:val="0"/>
          <w:szCs w:val="24"/>
          <w:rtl/>
        </w:rPr>
        <w:t>))</w:t>
      </w:r>
      <w:r w:rsidRPr="00350EB4">
        <w:rPr>
          <w:rFonts w:ascii="Century" w:hAnsi="Century" w:cs="Miriam"/>
          <w:b/>
          <w:spacing w:val="0"/>
          <w:szCs w:val="24"/>
          <w:rtl/>
        </w:rPr>
        <w:t xml:space="preserve">, </w:t>
      </w:r>
      <w:r w:rsidRPr="00350EB4">
        <w:rPr>
          <w:rFonts w:ascii="Century" w:hAnsi="Century" w:cs="Miriam" w:hint="eastAsia"/>
          <w:b/>
          <w:spacing w:val="0"/>
          <w:szCs w:val="24"/>
          <w:rtl/>
        </w:rPr>
        <w:t>וזאת</w:t>
      </w:r>
      <w:r w:rsidRPr="00350EB4">
        <w:rPr>
          <w:rFonts w:ascii="Century" w:hAnsi="Century" w:cs="Miriam"/>
          <w:b/>
          <w:spacing w:val="0"/>
          <w:szCs w:val="24"/>
          <w:rtl/>
        </w:rPr>
        <w:t xml:space="preserve"> </w:t>
      </w:r>
      <w:r w:rsidRPr="00350EB4">
        <w:rPr>
          <w:rFonts w:ascii="Century" w:hAnsi="Century" w:cs="Miriam" w:hint="eastAsia"/>
          <w:b/>
          <w:spacing w:val="0"/>
          <w:szCs w:val="24"/>
          <w:rtl/>
        </w:rPr>
        <w:t>כשמדובר</w:t>
      </w:r>
      <w:r w:rsidRPr="00350EB4">
        <w:rPr>
          <w:rFonts w:ascii="Century" w:hAnsi="Century" w:cs="Miriam"/>
          <w:b/>
          <w:spacing w:val="0"/>
          <w:szCs w:val="24"/>
          <w:rtl/>
        </w:rPr>
        <w:t xml:space="preserve"> </w:t>
      </w:r>
      <w:r w:rsidRPr="00350EB4">
        <w:rPr>
          <w:rFonts w:ascii="Century" w:hAnsi="Century" w:cs="Miriam" w:hint="eastAsia"/>
          <w:b/>
          <w:spacing w:val="0"/>
          <w:szCs w:val="24"/>
          <w:rtl/>
        </w:rPr>
        <w:t>ב</w:t>
      </w:r>
      <w:r w:rsidRPr="00350EB4">
        <w:rPr>
          <w:rFonts w:ascii="Century" w:hAnsi="Century" w:cs="Miriam" w:hint="cs"/>
          <w:b/>
          <w:spacing w:val="0"/>
          <w:szCs w:val="24"/>
          <w:rtl/>
        </w:rPr>
        <w:t>'</w:t>
      </w:r>
      <w:r w:rsidRPr="00350EB4">
        <w:rPr>
          <w:rFonts w:ascii="Century" w:hAnsi="Century" w:cs="Miriam" w:hint="eastAsia"/>
          <w:b/>
          <w:spacing w:val="0"/>
          <w:szCs w:val="24"/>
          <w:rtl/>
        </w:rPr>
        <w:t>חוסר</w:t>
      </w:r>
      <w:r w:rsidRPr="00350EB4">
        <w:rPr>
          <w:rFonts w:ascii="Century" w:hAnsi="Century" w:cs="Miriam"/>
          <w:b/>
          <w:spacing w:val="0"/>
          <w:szCs w:val="24"/>
          <w:rtl/>
        </w:rPr>
        <w:t xml:space="preserve"> </w:t>
      </w:r>
      <w:r w:rsidRPr="00350EB4">
        <w:rPr>
          <w:rFonts w:ascii="Century" w:hAnsi="Century" w:cs="Miriam" w:hint="eastAsia"/>
          <w:b/>
          <w:spacing w:val="0"/>
          <w:szCs w:val="24"/>
          <w:rtl/>
        </w:rPr>
        <w:t>סבירות</w:t>
      </w:r>
      <w:r w:rsidRPr="00350EB4">
        <w:rPr>
          <w:rFonts w:ascii="Century" w:hAnsi="Century" w:cs="Miriam" w:hint="cs"/>
          <w:b/>
          <w:spacing w:val="0"/>
          <w:szCs w:val="24"/>
          <w:rtl/>
        </w:rPr>
        <w:t xml:space="preserve"> </w:t>
      </w:r>
      <w:r w:rsidRPr="00350EB4">
        <w:rPr>
          <w:rFonts w:ascii="Century" w:hAnsi="Century" w:cs="Miriam" w:hint="eastAsia"/>
          <w:b/>
          <w:spacing w:val="0"/>
          <w:szCs w:val="24"/>
          <w:rtl/>
        </w:rPr>
        <w:t>מהותי</w:t>
      </w:r>
      <w:r w:rsidRPr="00350EB4">
        <w:rPr>
          <w:rFonts w:ascii="Century" w:hAnsi="Century" w:cs="Miriam"/>
          <w:b/>
          <w:spacing w:val="0"/>
          <w:szCs w:val="24"/>
          <w:rtl/>
        </w:rPr>
        <w:t xml:space="preserve"> </w:t>
      </w:r>
      <w:r w:rsidRPr="00350EB4">
        <w:rPr>
          <w:rFonts w:ascii="Century" w:hAnsi="Century" w:cs="Miriam" w:hint="eastAsia"/>
          <w:b/>
          <w:spacing w:val="0"/>
          <w:szCs w:val="24"/>
          <w:rtl/>
        </w:rPr>
        <w:t>או</w:t>
      </w:r>
      <w:r w:rsidRPr="00350EB4">
        <w:rPr>
          <w:rFonts w:ascii="Century" w:hAnsi="Century" w:cs="Miriam"/>
          <w:b/>
          <w:spacing w:val="0"/>
          <w:szCs w:val="24"/>
          <w:rtl/>
        </w:rPr>
        <w:t xml:space="preserve"> </w:t>
      </w:r>
      <w:r w:rsidRPr="00350EB4">
        <w:rPr>
          <w:rFonts w:ascii="Century" w:hAnsi="Century" w:cs="Miriam" w:hint="eastAsia"/>
          <w:b/>
          <w:spacing w:val="0"/>
          <w:szCs w:val="24"/>
          <w:rtl/>
        </w:rPr>
        <w:t>קיצוני</w:t>
      </w:r>
      <w:r w:rsidRPr="00350EB4">
        <w:rPr>
          <w:rFonts w:ascii="Century" w:hAnsi="Century" w:cs="Miriam" w:hint="cs"/>
          <w:b/>
          <w:spacing w:val="0"/>
          <w:szCs w:val="24"/>
          <w:rtl/>
        </w:rPr>
        <w:t xml:space="preserve">' (שם, שם). </w:t>
      </w:r>
      <w:r w:rsidRPr="00350EB4">
        <w:rPr>
          <w:rFonts w:ascii="Century" w:hAnsi="Century" w:cs="Miriam" w:hint="eastAsia"/>
          <w:b/>
          <w:spacing w:val="0"/>
          <w:szCs w:val="24"/>
          <w:rtl/>
        </w:rPr>
        <w:t>על</w:t>
      </w:r>
      <w:r w:rsidRPr="00350EB4">
        <w:rPr>
          <w:rFonts w:ascii="Century" w:hAnsi="Century" w:cs="Miriam"/>
          <w:b/>
          <w:spacing w:val="0"/>
          <w:szCs w:val="24"/>
          <w:rtl/>
        </w:rPr>
        <w:t xml:space="preserve"> </w:t>
      </w:r>
      <w:r w:rsidRPr="00350EB4">
        <w:rPr>
          <w:rFonts w:ascii="Century" w:hAnsi="Century" w:cs="Miriam" w:hint="eastAsia"/>
          <w:b/>
          <w:spacing w:val="0"/>
          <w:szCs w:val="24"/>
          <w:rtl/>
        </w:rPr>
        <w:t>השימוש</w:t>
      </w:r>
      <w:r w:rsidRPr="00350EB4">
        <w:rPr>
          <w:rFonts w:ascii="Century" w:hAnsi="Century" w:cs="Miriam"/>
          <w:b/>
          <w:spacing w:val="0"/>
          <w:szCs w:val="24"/>
          <w:rtl/>
        </w:rPr>
        <w:t xml:space="preserve"> </w:t>
      </w:r>
      <w:r w:rsidRPr="00350EB4">
        <w:rPr>
          <w:rFonts w:ascii="Century" w:hAnsi="Century" w:cs="Miriam" w:hint="eastAsia"/>
          <w:b/>
          <w:spacing w:val="0"/>
          <w:szCs w:val="24"/>
          <w:rtl/>
        </w:rPr>
        <w:t>בעילת</w:t>
      </w:r>
      <w:r w:rsidRPr="00350EB4">
        <w:rPr>
          <w:rFonts w:ascii="Century" w:hAnsi="Century" w:cs="Miriam"/>
          <w:b/>
          <w:spacing w:val="0"/>
          <w:szCs w:val="24"/>
          <w:rtl/>
        </w:rPr>
        <w:t xml:space="preserve"> </w:t>
      </w:r>
      <w:r w:rsidRPr="00350EB4">
        <w:rPr>
          <w:rFonts w:ascii="Century" w:hAnsi="Century" w:cs="Miriam" w:hint="eastAsia"/>
          <w:b/>
          <w:spacing w:val="0"/>
          <w:szCs w:val="24"/>
          <w:rtl/>
        </w:rPr>
        <w:t>הסבירות</w:t>
      </w:r>
      <w:r w:rsidRPr="00350EB4">
        <w:rPr>
          <w:rFonts w:ascii="Century" w:hAnsi="Century" w:cs="Miriam"/>
          <w:b/>
          <w:spacing w:val="0"/>
          <w:szCs w:val="24"/>
          <w:rtl/>
        </w:rPr>
        <w:t xml:space="preserve"> </w:t>
      </w:r>
      <w:r w:rsidRPr="00350EB4">
        <w:rPr>
          <w:rFonts w:ascii="Century" w:hAnsi="Century" w:cs="Miriam" w:hint="eastAsia"/>
          <w:b/>
          <w:spacing w:val="0"/>
          <w:szCs w:val="24"/>
          <w:u w:val="single"/>
          <w:rtl/>
        </w:rPr>
        <w:t>במובנה</w:t>
      </w:r>
      <w:r w:rsidRPr="00350EB4">
        <w:rPr>
          <w:rFonts w:ascii="Century" w:hAnsi="Century" w:cs="Miriam"/>
          <w:b/>
          <w:spacing w:val="0"/>
          <w:szCs w:val="24"/>
          <w:u w:val="single"/>
          <w:rtl/>
        </w:rPr>
        <w:t xml:space="preserve"> </w:t>
      </w:r>
      <w:r w:rsidRPr="00350EB4">
        <w:rPr>
          <w:rFonts w:ascii="Century" w:hAnsi="Century" w:cs="Miriam" w:hint="eastAsia"/>
          <w:b/>
          <w:spacing w:val="0"/>
          <w:szCs w:val="24"/>
          <w:u w:val="single"/>
          <w:rtl/>
        </w:rPr>
        <w:t>זה</w:t>
      </w:r>
      <w:r w:rsidRPr="00350EB4">
        <w:rPr>
          <w:rFonts w:ascii="Century" w:hAnsi="Century" w:cs="Miriam"/>
          <w:b/>
          <w:spacing w:val="0"/>
          <w:szCs w:val="24"/>
          <w:rtl/>
        </w:rPr>
        <w:t xml:space="preserve">, </w:t>
      </w:r>
      <w:r w:rsidRPr="00350EB4">
        <w:rPr>
          <w:rFonts w:ascii="Century" w:hAnsi="Century" w:cs="Miriam" w:hint="eastAsia"/>
          <w:b/>
          <w:spacing w:val="0"/>
          <w:szCs w:val="24"/>
          <w:rtl/>
        </w:rPr>
        <w:t>ובפרט</w:t>
      </w:r>
      <w:r w:rsidRPr="00350EB4">
        <w:rPr>
          <w:rFonts w:ascii="Century" w:hAnsi="Century" w:cs="Miriam"/>
          <w:b/>
          <w:spacing w:val="0"/>
          <w:szCs w:val="24"/>
          <w:rtl/>
        </w:rPr>
        <w:t xml:space="preserve"> </w:t>
      </w:r>
      <w:r w:rsidRPr="00350EB4">
        <w:rPr>
          <w:rFonts w:ascii="Century" w:hAnsi="Century" w:cs="Miriam" w:hint="eastAsia"/>
          <w:b/>
          <w:spacing w:val="0"/>
          <w:szCs w:val="24"/>
          <w:rtl/>
        </w:rPr>
        <w:t>על</w:t>
      </w:r>
      <w:r w:rsidRPr="00350EB4">
        <w:rPr>
          <w:rFonts w:ascii="Century" w:hAnsi="Century" w:cs="Miriam" w:hint="cs"/>
          <w:b/>
          <w:spacing w:val="0"/>
          <w:szCs w:val="24"/>
          <w:rtl/>
        </w:rPr>
        <w:t xml:space="preserve"> </w:t>
      </w:r>
      <w:r w:rsidRPr="00350EB4">
        <w:rPr>
          <w:rFonts w:ascii="Century" w:hAnsi="Century" w:cs="Miriam" w:hint="eastAsia"/>
          <w:b/>
          <w:spacing w:val="0"/>
          <w:szCs w:val="24"/>
          <w:rtl/>
        </w:rPr>
        <w:t>החלת</w:t>
      </w:r>
      <w:r w:rsidRPr="00350EB4">
        <w:rPr>
          <w:rFonts w:ascii="Century" w:hAnsi="Century" w:cs="Miriam"/>
          <w:b/>
          <w:spacing w:val="0"/>
          <w:szCs w:val="24"/>
          <w:rtl/>
        </w:rPr>
        <w:t xml:space="preserve"> </w:t>
      </w:r>
      <w:r w:rsidRPr="00350EB4">
        <w:rPr>
          <w:rFonts w:ascii="Century" w:hAnsi="Century" w:cs="Miriam" w:hint="eastAsia"/>
          <w:b/>
          <w:spacing w:val="0"/>
          <w:szCs w:val="24"/>
          <w:rtl/>
        </w:rPr>
        <w:t>עילת</w:t>
      </w:r>
      <w:r w:rsidRPr="00350EB4">
        <w:rPr>
          <w:rFonts w:ascii="Century" w:hAnsi="Century" w:cs="Miriam"/>
          <w:b/>
          <w:spacing w:val="0"/>
          <w:szCs w:val="24"/>
          <w:rtl/>
        </w:rPr>
        <w:t xml:space="preserve"> </w:t>
      </w:r>
      <w:r w:rsidRPr="00350EB4">
        <w:rPr>
          <w:rFonts w:ascii="Century" w:hAnsi="Century" w:cs="Miriam" w:hint="eastAsia"/>
          <w:b/>
          <w:spacing w:val="0"/>
          <w:szCs w:val="24"/>
          <w:rtl/>
        </w:rPr>
        <w:t>הסבירות</w:t>
      </w:r>
      <w:r w:rsidRPr="00350EB4">
        <w:rPr>
          <w:rFonts w:ascii="Century" w:hAnsi="Century" w:cs="Miriam"/>
          <w:b/>
          <w:spacing w:val="0"/>
          <w:szCs w:val="24"/>
          <w:rtl/>
        </w:rPr>
        <w:t xml:space="preserve"> </w:t>
      </w:r>
      <w:r w:rsidRPr="00350EB4">
        <w:rPr>
          <w:rFonts w:ascii="Century" w:hAnsi="Century" w:cs="Miriam" w:hint="eastAsia"/>
          <w:b/>
          <w:spacing w:val="0"/>
          <w:szCs w:val="24"/>
          <w:rtl/>
        </w:rPr>
        <w:t>בנוגע</w:t>
      </w:r>
      <w:r w:rsidRPr="00350EB4">
        <w:rPr>
          <w:rFonts w:ascii="Century" w:hAnsi="Century" w:cs="Miriam"/>
          <w:b/>
          <w:spacing w:val="0"/>
          <w:szCs w:val="24"/>
          <w:rtl/>
        </w:rPr>
        <w:t xml:space="preserve"> </w:t>
      </w:r>
      <w:r w:rsidRPr="00350EB4">
        <w:rPr>
          <w:rFonts w:ascii="Century" w:hAnsi="Century" w:cs="Miriam" w:hint="eastAsia"/>
          <w:b/>
          <w:spacing w:val="0"/>
          <w:szCs w:val="24"/>
          <w:rtl/>
        </w:rPr>
        <w:t>להחלטות</w:t>
      </w:r>
      <w:r w:rsidRPr="00350EB4">
        <w:rPr>
          <w:rFonts w:ascii="Century" w:hAnsi="Century" w:cs="Miriam"/>
          <w:b/>
          <w:spacing w:val="0"/>
          <w:szCs w:val="24"/>
          <w:rtl/>
        </w:rPr>
        <w:t xml:space="preserve"> </w:t>
      </w:r>
      <w:r w:rsidRPr="00350EB4">
        <w:rPr>
          <w:rFonts w:ascii="Century" w:hAnsi="Century" w:cs="Miriam" w:hint="eastAsia"/>
          <w:b/>
          <w:spacing w:val="0"/>
          <w:szCs w:val="24"/>
          <w:rtl/>
        </w:rPr>
        <w:t>של</w:t>
      </w:r>
      <w:r w:rsidRPr="00350EB4">
        <w:rPr>
          <w:rFonts w:ascii="Century" w:hAnsi="Century" w:cs="Miriam"/>
          <w:b/>
          <w:spacing w:val="0"/>
          <w:szCs w:val="24"/>
          <w:rtl/>
        </w:rPr>
        <w:t xml:space="preserve"> </w:t>
      </w:r>
      <w:r w:rsidRPr="00350EB4">
        <w:rPr>
          <w:rFonts w:ascii="Century" w:hAnsi="Century" w:cs="Miriam" w:hint="eastAsia"/>
          <w:b/>
          <w:spacing w:val="0"/>
          <w:szCs w:val="24"/>
          <w:rtl/>
        </w:rPr>
        <w:t>הדרג</w:t>
      </w:r>
      <w:r w:rsidRPr="00350EB4">
        <w:rPr>
          <w:rFonts w:ascii="Century" w:hAnsi="Century" w:cs="Miriam"/>
          <w:b/>
          <w:spacing w:val="0"/>
          <w:szCs w:val="24"/>
          <w:rtl/>
        </w:rPr>
        <w:t xml:space="preserve"> </w:t>
      </w:r>
      <w:r w:rsidRPr="00350EB4">
        <w:rPr>
          <w:rFonts w:ascii="Century" w:hAnsi="Century" w:cs="Miriam" w:hint="eastAsia"/>
          <w:b/>
          <w:spacing w:val="0"/>
          <w:szCs w:val="24"/>
          <w:rtl/>
        </w:rPr>
        <w:t>הנבחר</w:t>
      </w:r>
      <w:r w:rsidRPr="00350EB4">
        <w:rPr>
          <w:rFonts w:ascii="Century" w:hAnsi="Century" w:cs="Miriam"/>
          <w:b/>
          <w:spacing w:val="0"/>
          <w:szCs w:val="24"/>
          <w:rtl/>
        </w:rPr>
        <w:t>,</w:t>
      </w:r>
      <w:r w:rsidRPr="00350EB4">
        <w:rPr>
          <w:rFonts w:ascii="Century" w:hAnsi="Century" w:cs="Miriam" w:hint="cs"/>
          <w:b/>
          <w:spacing w:val="0"/>
          <w:szCs w:val="24"/>
          <w:rtl/>
        </w:rPr>
        <w:t xml:space="preserve"> </w:t>
      </w:r>
      <w:r w:rsidRPr="00350EB4">
        <w:rPr>
          <w:rFonts w:ascii="Century" w:hAnsi="Century" w:cs="Miriam" w:hint="eastAsia"/>
          <w:b/>
          <w:spacing w:val="0"/>
          <w:szCs w:val="24"/>
          <w:rtl/>
        </w:rPr>
        <w:t>נטען</w:t>
      </w:r>
      <w:r w:rsidRPr="00350EB4">
        <w:rPr>
          <w:rFonts w:ascii="Century" w:hAnsi="Century" w:cs="Miriam"/>
          <w:b/>
          <w:spacing w:val="0"/>
          <w:szCs w:val="24"/>
          <w:rtl/>
        </w:rPr>
        <w:t xml:space="preserve"> </w:t>
      </w:r>
      <w:r w:rsidRPr="00350EB4">
        <w:rPr>
          <w:rFonts w:ascii="Century" w:hAnsi="Century" w:cs="Miriam" w:hint="eastAsia"/>
          <w:b/>
          <w:spacing w:val="0"/>
          <w:szCs w:val="24"/>
          <w:rtl/>
        </w:rPr>
        <w:t>בין</w:t>
      </w:r>
      <w:r w:rsidRPr="00350EB4">
        <w:rPr>
          <w:rFonts w:ascii="Century" w:hAnsi="Century" w:cs="Miriam"/>
          <w:b/>
          <w:spacing w:val="0"/>
          <w:szCs w:val="24"/>
          <w:rtl/>
        </w:rPr>
        <w:t xml:space="preserve"> </w:t>
      </w:r>
      <w:r w:rsidRPr="00350EB4">
        <w:rPr>
          <w:rFonts w:ascii="Century" w:hAnsi="Century" w:cs="Miriam" w:hint="eastAsia"/>
          <w:b/>
          <w:spacing w:val="0"/>
          <w:szCs w:val="24"/>
          <w:rtl/>
        </w:rPr>
        <w:t>היתר</w:t>
      </w:r>
      <w:r w:rsidRPr="00350EB4">
        <w:rPr>
          <w:rFonts w:ascii="Century" w:hAnsi="Century" w:cs="Miriam"/>
          <w:b/>
          <w:spacing w:val="0"/>
          <w:szCs w:val="24"/>
          <w:rtl/>
        </w:rPr>
        <w:t xml:space="preserve"> </w:t>
      </w:r>
      <w:r w:rsidRPr="00350EB4">
        <w:rPr>
          <w:rFonts w:ascii="Century" w:hAnsi="Century" w:cs="Miriam" w:hint="eastAsia"/>
          <w:b/>
          <w:spacing w:val="0"/>
          <w:szCs w:val="24"/>
          <w:rtl/>
        </w:rPr>
        <w:t>כי</w:t>
      </w:r>
      <w:r w:rsidRPr="00350EB4">
        <w:rPr>
          <w:rFonts w:ascii="Century" w:hAnsi="Century" w:cs="Miriam"/>
          <w:b/>
          <w:spacing w:val="0"/>
          <w:szCs w:val="24"/>
          <w:rtl/>
        </w:rPr>
        <w:t xml:space="preserve"> </w:t>
      </w:r>
      <w:r w:rsidRPr="00350EB4">
        <w:rPr>
          <w:rFonts w:ascii="Century" w:hAnsi="Century" w:cs="Miriam" w:hint="eastAsia"/>
          <w:b/>
          <w:spacing w:val="0"/>
          <w:szCs w:val="24"/>
          <w:rtl/>
        </w:rPr>
        <w:t>קביעת</w:t>
      </w:r>
      <w:r w:rsidRPr="00350EB4">
        <w:rPr>
          <w:rFonts w:ascii="Century" w:hAnsi="Century" w:cs="Miriam"/>
          <w:b/>
          <w:spacing w:val="0"/>
          <w:szCs w:val="24"/>
          <w:rtl/>
        </w:rPr>
        <w:t xml:space="preserve"> </w:t>
      </w:r>
      <w:r w:rsidRPr="00350EB4">
        <w:rPr>
          <w:rFonts w:ascii="Century" w:hAnsi="Century" w:cs="Miriam" w:hint="eastAsia"/>
          <w:b/>
          <w:spacing w:val="0"/>
          <w:szCs w:val="24"/>
          <w:rtl/>
        </w:rPr>
        <w:t>האיזון</w:t>
      </w:r>
      <w:r w:rsidRPr="00350EB4">
        <w:rPr>
          <w:rFonts w:ascii="Century" w:hAnsi="Century" w:cs="Miriam"/>
          <w:b/>
          <w:spacing w:val="0"/>
          <w:szCs w:val="24"/>
          <w:rtl/>
        </w:rPr>
        <w:t xml:space="preserve"> </w:t>
      </w:r>
      <w:r w:rsidRPr="00350EB4">
        <w:rPr>
          <w:rFonts w:ascii="Century" w:hAnsi="Century" w:cs="Miriam" w:hint="eastAsia"/>
          <w:b/>
          <w:spacing w:val="0"/>
          <w:szCs w:val="24"/>
          <w:rtl/>
        </w:rPr>
        <w:t>הערכי</w:t>
      </w:r>
      <w:r w:rsidRPr="00350EB4">
        <w:rPr>
          <w:rFonts w:ascii="Century" w:hAnsi="Century" w:cs="Miriam"/>
          <w:b/>
          <w:spacing w:val="0"/>
          <w:szCs w:val="24"/>
          <w:rtl/>
        </w:rPr>
        <w:t xml:space="preserve"> </w:t>
      </w:r>
      <w:r w:rsidRPr="00350EB4">
        <w:rPr>
          <w:rFonts w:ascii="Century" w:hAnsi="Century" w:cs="Miriam" w:hint="eastAsia"/>
          <w:b/>
          <w:spacing w:val="0"/>
          <w:szCs w:val="24"/>
          <w:rtl/>
        </w:rPr>
        <w:t>בין</w:t>
      </w:r>
      <w:r w:rsidRPr="00350EB4">
        <w:rPr>
          <w:rFonts w:ascii="Century" w:hAnsi="Century" w:cs="Miriam"/>
          <w:b/>
          <w:spacing w:val="0"/>
          <w:szCs w:val="24"/>
          <w:rtl/>
        </w:rPr>
        <w:t xml:space="preserve"> </w:t>
      </w:r>
      <w:r w:rsidRPr="00350EB4">
        <w:rPr>
          <w:rFonts w:ascii="Century" w:hAnsi="Century" w:cs="Miriam" w:hint="eastAsia"/>
          <w:b/>
          <w:spacing w:val="0"/>
          <w:szCs w:val="24"/>
          <w:rtl/>
        </w:rPr>
        <w:t>השיקולים</w:t>
      </w:r>
      <w:r w:rsidRPr="00350EB4">
        <w:rPr>
          <w:rFonts w:ascii="Century" w:hAnsi="Century" w:cs="Miriam" w:hint="cs"/>
          <w:b/>
          <w:spacing w:val="0"/>
          <w:szCs w:val="24"/>
          <w:rtl/>
        </w:rPr>
        <w:t xml:space="preserve"> </w:t>
      </w:r>
      <w:r w:rsidRPr="00350EB4">
        <w:rPr>
          <w:rFonts w:ascii="Century" w:hAnsi="Century" w:cs="Miriam" w:hint="eastAsia"/>
          <w:b/>
          <w:spacing w:val="0"/>
          <w:szCs w:val="24"/>
          <w:rtl/>
        </w:rPr>
        <w:t>השונים</w:t>
      </w:r>
      <w:r w:rsidRPr="00350EB4">
        <w:rPr>
          <w:rFonts w:ascii="Century" w:hAnsi="Century" w:cs="Miriam"/>
          <w:b/>
          <w:spacing w:val="0"/>
          <w:szCs w:val="24"/>
          <w:rtl/>
        </w:rPr>
        <w:t xml:space="preserve"> </w:t>
      </w:r>
      <w:r w:rsidRPr="00350EB4">
        <w:rPr>
          <w:rFonts w:ascii="Century" w:hAnsi="Century" w:cs="Miriam" w:hint="eastAsia"/>
          <w:b/>
          <w:spacing w:val="0"/>
          <w:szCs w:val="24"/>
          <w:rtl/>
        </w:rPr>
        <w:t>הנוגעים</w:t>
      </w:r>
      <w:r w:rsidRPr="00350EB4">
        <w:rPr>
          <w:rFonts w:ascii="Century" w:hAnsi="Century" w:cs="Miriam"/>
          <w:b/>
          <w:spacing w:val="0"/>
          <w:szCs w:val="24"/>
          <w:rtl/>
        </w:rPr>
        <w:t xml:space="preserve"> </w:t>
      </w:r>
      <w:r w:rsidRPr="00350EB4">
        <w:rPr>
          <w:rFonts w:ascii="Century" w:hAnsi="Century" w:cs="Miriam" w:hint="eastAsia"/>
          <w:b/>
          <w:spacing w:val="0"/>
          <w:szCs w:val="24"/>
          <w:rtl/>
        </w:rPr>
        <w:t>להחלטה</w:t>
      </w:r>
      <w:r w:rsidRPr="00350EB4">
        <w:rPr>
          <w:rFonts w:ascii="Century" w:hAnsi="Century" w:cs="Miriam"/>
          <w:b/>
          <w:spacing w:val="0"/>
          <w:szCs w:val="24"/>
          <w:rtl/>
        </w:rPr>
        <w:t xml:space="preserve"> </w:t>
      </w:r>
      <w:r w:rsidRPr="00350EB4">
        <w:rPr>
          <w:rFonts w:ascii="Century" w:hAnsi="Century" w:cs="Miriam" w:hint="eastAsia"/>
          <w:b/>
          <w:spacing w:val="0"/>
          <w:szCs w:val="24"/>
          <w:rtl/>
        </w:rPr>
        <w:t>מינהלית</w:t>
      </w:r>
      <w:r w:rsidRPr="00350EB4">
        <w:rPr>
          <w:rFonts w:ascii="Century" w:hAnsi="Century" w:cs="Miriam"/>
          <w:b/>
          <w:spacing w:val="0"/>
          <w:szCs w:val="24"/>
          <w:rtl/>
        </w:rPr>
        <w:t xml:space="preserve"> </w:t>
      </w:r>
      <w:r w:rsidRPr="00350EB4">
        <w:rPr>
          <w:rFonts w:ascii="Century" w:hAnsi="Century" w:cs="Miriam" w:hint="eastAsia"/>
          <w:b/>
          <w:spacing w:val="0"/>
          <w:szCs w:val="24"/>
          <w:rtl/>
        </w:rPr>
        <w:t>צריכה</w:t>
      </w:r>
      <w:r w:rsidRPr="00350EB4">
        <w:rPr>
          <w:rFonts w:ascii="Century" w:hAnsi="Century" w:cs="Miriam"/>
          <w:b/>
          <w:spacing w:val="0"/>
          <w:szCs w:val="24"/>
          <w:rtl/>
        </w:rPr>
        <w:t xml:space="preserve"> </w:t>
      </w:r>
      <w:r w:rsidRPr="00350EB4">
        <w:rPr>
          <w:rFonts w:ascii="Century" w:hAnsi="Century" w:cs="Miriam" w:hint="eastAsia"/>
          <w:b/>
          <w:spacing w:val="0"/>
          <w:szCs w:val="24"/>
          <w:rtl/>
        </w:rPr>
        <w:t>להיות</w:t>
      </w:r>
      <w:r w:rsidRPr="00350EB4">
        <w:rPr>
          <w:rFonts w:ascii="Century" w:hAnsi="Century" w:cs="Miriam"/>
          <w:b/>
          <w:spacing w:val="0"/>
          <w:szCs w:val="24"/>
          <w:rtl/>
        </w:rPr>
        <w:t xml:space="preserve"> </w:t>
      </w:r>
      <w:r w:rsidRPr="00350EB4">
        <w:rPr>
          <w:rFonts w:ascii="Century" w:hAnsi="Century" w:cs="Miriam" w:hint="eastAsia"/>
          <w:b/>
          <w:spacing w:val="0"/>
          <w:szCs w:val="24"/>
          <w:rtl/>
        </w:rPr>
        <w:t>נתונה</w:t>
      </w:r>
      <w:r w:rsidRPr="00350EB4">
        <w:rPr>
          <w:rFonts w:ascii="Century" w:hAnsi="Century" w:cs="Miriam" w:hint="cs"/>
          <w:b/>
          <w:spacing w:val="0"/>
          <w:szCs w:val="24"/>
          <w:rtl/>
        </w:rPr>
        <w:t xml:space="preserve"> </w:t>
      </w:r>
      <w:r w:rsidRPr="00350EB4">
        <w:rPr>
          <w:rFonts w:ascii="Century" w:hAnsi="Century" w:cs="Miriam" w:hint="eastAsia"/>
          <w:b/>
          <w:spacing w:val="0"/>
          <w:szCs w:val="24"/>
          <w:rtl/>
        </w:rPr>
        <w:t>לנבחרי</w:t>
      </w:r>
      <w:r w:rsidRPr="00350EB4">
        <w:rPr>
          <w:rFonts w:ascii="Century" w:hAnsi="Century" w:cs="Miriam"/>
          <w:b/>
          <w:spacing w:val="0"/>
          <w:szCs w:val="24"/>
          <w:rtl/>
        </w:rPr>
        <w:t xml:space="preserve"> </w:t>
      </w:r>
      <w:r w:rsidRPr="00350EB4">
        <w:rPr>
          <w:rFonts w:ascii="Century" w:hAnsi="Century" w:cs="Miriam" w:hint="eastAsia"/>
          <w:b/>
          <w:spacing w:val="0"/>
          <w:szCs w:val="24"/>
          <w:rtl/>
        </w:rPr>
        <w:t>הציבור</w:t>
      </w:r>
      <w:r w:rsidRPr="00350EB4">
        <w:rPr>
          <w:rFonts w:ascii="Century" w:hAnsi="Century" w:cs="Miriam"/>
          <w:b/>
          <w:spacing w:val="0"/>
          <w:szCs w:val="24"/>
          <w:rtl/>
        </w:rPr>
        <w:t xml:space="preserve"> </w:t>
      </w:r>
      <w:r w:rsidRPr="00350EB4">
        <w:rPr>
          <w:rFonts w:ascii="Century" w:hAnsi="Century" w:cs="Miriam" w:hint="eastAsia"/>
          <w:b/>
          <w:spacing w:val="0"/>
          <w:szCs w:val="24"/>
          <w:rtl/>
        </w:rPr>
        <w:t>ולא</w:t>
      </w:r>
      <w:r w:rsidRPr="00350EB4">
        <w:rPr>
          <w:rFonts w:ascii="Century" w:hAnsi="Century" w:cs="Miriam"/>
          <w:b/>
          <w:spacing w:val="0"/>
          <w:szCs w:val="24"/>
          <w:rtl/>
        </w:rPr>
        <w:t xml:space="preserve"> </w:t>
      </w:r>
      <w:r w:rsidRPr="00350EB4">
        <w:rPr>
          <w:rFonts w:ascii="Century" w:hAnsi="Century" w:cs="Miriam" w:hint="eastAsia"/>
          <w:b/>
          <w:spacing w:val="0"/>
          <w:szCs w:val="24"/>
          <w:rtl/>
        </w:rPr>
        <w:t>לבית</w:t>
      </w:r>
      <w:r w:rsidRPr="00350EB4">
        <w:rPr>
          <w:rFonts w:ascii="Century" w:hAnsi="Century" w:cs="Miriam"/>
          <w:b/>
          <w:spacing w:val="0"/>
          <w:szCs w:val="24"/>
          <w:rtl/>
        </w:rPr>
        <w:t xml:space="preserve"> </w:t>
      </w:r>
      <w:r w:rsidRPr="00350EB4">
        <w:rPr>
          <w:rFonts w:ascii="Century" w:hAnsi="Century" w:cs="Miriam" w:hint="eastAsia"/>
          <w:b/>
          <w:spacing w:val="0"/>
          <w:szCs w:val="24"/>
          <w:rtl/>
        </w:rPr>
        <w:t>המשפט</w:t>
      </w:r>
      <w:r w:rsidRPr="00350EB4">
        <w:rPr>
          <w:rFonts w:ascii="Century" w:hAnsi="Century" w:cs="Miriam"/>
          <w:b/>
          <w:spacing w:val="0"/>
          <w:szCs w:val="24"/>
          <w:rtl/>
        </w:rPr>
        <w:t xml:space="preserve">. </w:t>
      </w:r>
      <w:r w:rsidRPr="00350EB4">
        <w:rPr>
          <w:rFonts w:ascii="Century" w:hAnsi="Century" w:cs="Miriam" w:hint="eastAsia"/>
          <w:b/>
          <w:spacing w:val="0"/>
          <w:szCs w:val="24"/>
          <w:rtl/>
        </w:rPr>
        <w:t>לפיכך</w:t>
      </w:r>
      <w:r w:rsidRPr="00350EB4">
        <w:rPr>
          <w:rFonts w:ascii="Century" w:hAnsi="Century" w:cs="Miriam"/>
          <w:b/>
          <w:spacing w:val="0"/>
          <w:szCs w:val="24"/>
          <w:rtl/>
        </w:rPr>
        <w:t xml:space="preserve"> </w:t>
      </w:r>
      <w:r w:rsidRPr="00350EB4">
        <w:rPr>
          <w:rFonts w:ascii="Century" w:hAnsi="Century" w:cs="Miriam" w:hint="eastAsia"/>
          <w:b/>
          <w:spacing w:val="0"/>
          <w:szCs w:val="24"/>
          <w:rtl/>
        </w:rPr>
        <w:t>מוצע</w:t>
      </w:r>
      <w:r w:rsidRPr="00350EB4">
        <w:rPr>
          <w:rFonts w:ascii="Century" w:hAnsi="Century" w:cs="Miriam"/>
          <w:b/>
          <w:spacing w:val="0"/>
          <w:szCs w:val="24"/>
          <w:rtl/>
        </w:rPr>
        <w:t xml:space="preserve"> </w:t>
      </w:r>
      <w:r w:rsidRPr="00350EB4">
        <w:rPr>
          <w:rFonts w:ascii="Century" w:hAnsi="Century" w:cs="Miriam" w:hint="eastAsia"/>
          <w:b/>
          <w:spacing w:val="0"/>
          <w:szCs w:val="24"/>
          <w:rtl/>
        </w:rPr>
        <w:t>לקבוע</w:t>
      </w:r>
      <w:r w:rsidRPr="00350EB4">
        <w:rPr>
          <w:rFonts w:ascii="Century" w:hAnsi="Century" w:cs="Miriam" w:hint="cs"/>
          <w:b/>
          <w:spacing w:val="0"/>
          <w:szCs w:val="24"/>
          <w:rtl/>
        </w:rPr>
        <w:t xml:space="preserve"> </w:t>
      </w:r>
      <w:r w:rsidRPr="00350EB4">
        <w:rPr>
          <w:rFonts w:ascii="Century" w:hAnsi="Century" w:cs="Miriam" w:hint="eastAsia"/>
          <w:b/>
          <w:spacing w:val="0"/>
          <w:szCs w:val="24"/>
          <w:rtl/>
        </w:rPr>
        <w:t>בחוק</w:t>
      </w:r>
      <w:r w:rsidRPr="00350EB4">
        <w:rPr>
          <w:rFonts w:ascii="Century" w:hAnsi="Century" w:cs="Miriam" w:hint="cs"/>
          <w:b/>
          <w:spacing w:val="0"/>
          <w:szCs w:val="24"/>
          <w:rtl/>
        </w:rPr>
        <w:t>-</w:t>
      </w:r>
      <w:r w:rsidRPr="00350EB4">
        <w:rPr>
          <w:rFonts w:ascii="Century" w:hAnsi="Century" w:cs="Miriam" w:hint="eastAsia"/>
          <w:b/>
          <w:spacing w:val="0"/>
          <w:szCs w:val="24"/>
          <w:rtl/>
        </w:rPr>
        <w:t>יסוד</w:t>
      </w:r>
      <w:r w:rsidRPr="00350EB4">
        <w:rPr>
          <w:rFonts w:ascii="Century" w:hAnsi="Century" w:cs="Miriam"/>
          <w:b/>
          <w:spacing w:val="0"/>
          <w:szCs w:val="24"/>
          <w:rtl/>
        </w:rPr>
        <w:t xml:space="preserve">: </w:t>
      </w:r>
      <w:r w:rsidRPr="00350EB4">
        <w:rPr>
          <w:rFonts w:ascii="Century" w:hAnsi="Century" w:cs="Miriam" w:hint="eastAsia"/>
          <w:b/>
          <w:spacing w:val="0"/>
          <w:szCs w:val="24"/>
          <w:rtl/>
        </w:rPr>
        <w:t>השפיטה</w:t>
      </w:r>
      <w:r w:rsidRPr="00350EB4">
        <w:rPr>
          <w:rFonts w:ascii="Century" w:hAnsi="Century" w:cs="Miriam"/>
          <w:b/>
          <w:spacing w:val="0"/>
          <w:szCs w:val="24"/>
          <w:rtl/>
        </w:rPr>
        <w:t xml:space="preserve"> </w:t>
      </w:r>
      <w:r w:rsidRPr="00350EB4">
        <w:rPr>
          <w:rFonts w:ascii="Century" w:hAnsi="Century" w:cs="Miriam" w:hint="eastAsia"/>
          <w:b/>
          <w:spacing w:val="0"/>
          <w:szCs w:val="24"/>
          <w:rtl/>
        </w:rPr>
        <w:t>כי</w:t>
      </w:r>
      <w:r w:rsidRPr="00350EB4">
        <w:rPr>
          <w:rFonts w:ascii="Century" w:hAnsi="Century" w:cs="Miriam"/>
          <w:b/>
          <w:spacing w:val="0"/>
          <w:szCs w:val="24"/>
          <w:rtl/>
        </w:rPr>
        <w:t xml:space="preserve"> </w:t>
      </w:r>
      <w:r w:rsidRPr="00350EB4">
        <w:rPr>
          <w:rFonts w:ascii="Century" w:hAnsi="Century" w:cs="Miriam" w:hint="eastAsia"/>
          <w:b/>
          <w:spacing w:val="0"/>
          <w:szCs w:val="24"/>
          <w:rtl/>
        </w:rPr>
        <w:t>רשות</w:t>
      </w:r>
      <w:r w:rsidRPr="00350EB4">
        <w:rPr>
          <w:rFonts w:ascii="Century" w:hAnsi="Century" w:cs="Miriam"/>
          <w:b/>
          <w:spacing w:val="0"/>
          <w:szCs w:val="24"/>
          <w:rtl/>
        </w:rPr>
        <w:t xml:space="preserve"> </w:t>
      </w:r>
      <w:r w:rsidRPr="00350EB4">
        <w:rPr>
          <w:rFonts w:ascii="Century" w:hAnsi="Century" w:cs="Miriam" w:hint="eastAsia"/>
          <w:b/>
          <w:spacing w:val="0"/>
          <w:szCs w:val="24"/>
          <w:rtl/>
        </w:rPr>
        <w:t>שיפוטית</w:t>
      </w:r>
      <w:r w:rsidRPr="00350EB4">
        <w:rPr>
          <w:rFonts w:ascii="Century" w:hAnsi="Century" w:cs="Miriam"/>
          <w:b/>
          <w:spacing w:val="0"/>
          <w:szCs w:val="24"/>
          <w:rtl/>
        </w:rPr>
        <w:t xml:space="preserve"> </w:t>
      </w:r>
      <w:r w:rsidRPr="00350EB4">
        <w:rPr>
          <w:rFonts w:ascii="Century" w:hAnsi="Century" w:cs="Miriam" w:hint="eastAsia"/>
          <w:b/>
          <w:spacing w:val="0"/>
          <w:szCs w:val="24"/>
          <w:rtl/>
        </w:rPr>
        <w:t>לא</w:t>
      </w:r>
      <w:r w:rsidRPr="00350EB4">
        <w:rPr>
          <w:rFonts w:ascii="Century" w:hAnsi="Century" w:cs="Miriam"/>
          <w:b/>
          <w:spacing w:val="0"/>
          <w:szCs w:val="24"/>
          <w:rtl/>
        </w:rPr>
        <w:t xml:space="preserve"> </w:t>
      </w:r>
      <w:r w:rsidRPr="00350EB4">
        <w:rPr>
          <w:rFonts w:ascii="Century" w:hAnsi="Century" w:cs="Miriam" w:hint="eastAsia"/>
          <w:b/>
          <w:spacing w:val="0"/>
          <w:szCs w:val="24"/>
          <w:rtl/>
        </w:rPr>
        <w:t>תוכל</w:t>
      </w:r>
      <w:r w:rsidRPr="00350EB4">
        <w:rPr>
          <w:rFonts w:ascii="Century" w:hAnsi="Century" w:cs="Miriam"/>
          <w:b/>
          <w:spacing w:val="0"/>
          <w:szCs w:val="24"/>
          <w:rtl/>
        </w:rPr>
        <w:t xml:space="preserve"> </w:t>
      </w:r>
      <w:r w:rsidRPr="00350EB4">
        <w:rPr>
          <w:rFonts w:ascii="Century" w:hAnsi="Century" w:cs="Miriam" w:hint="eastAsia"/>
          <w:b/>
          <w:spacing w:val="0"/>
          <w:szCs w:val="24"/>
          <w:rtl/>
        </w:rPr>
        <w:t>לדון</w:t>
      </w:r>
      <w:r w:rsidRPr="00350EB4">
        <w:rPr>
          <w:rFonts w:ascii="Century" w:hAnsi="Century" w:cs="Miriam" w:hint="cs"/>
          <w:b/>
          <w:spacing w:val="0"/>
          <w:szCs w:val="24"/>
          <w:rtl/>
        </w:rPr>
        <w:t xml:space="preserve"> </w:t>
      </w:r>
      <w:r w:rsidRPr="00350EB4">
        <w:rPr>
          <w:rFonts w:ascii="Century" w:hAnsi="Century" w:cs="Miriam" w:hint="eastAsia"/>
          <w:b/>
          <w:spacing w:val="0"/>
          <w:szCs w:val="24"/>
          <w:rtl/>
        </w:rPr>
        <w:t>בעניין</w:t>
      </w:r>
      <w:r w:rsidRPr="00350EB4">
        <w:rPr>
          <w:rFonts w:ascii="Century" w:hAnsi="Century" w:cs="Miriam"/>
          <w:b/>
          <w:spacing w:val="0"/>
          <w:szCs w:val="24"/>
          <w:rtl/>
        </w:rPr>
        <w:t xml:space="preserve"> </w:t>
      </w:r>
      <w:r w:rsidRPr="00350EB4">
        <w:rPr>
          <w:rFonts w:ascii="Century" w:hAnsi="Century" w:cs="Miriam" w:hint="eastAsia"/>
          <w:b/>
          <w:spacing w:val="0"/>
          <w:szCs w:val="24"/>
          <w:rtl/>
        </w:rPr>
        <w:t>סבירות</w:t>
      </w:r>
      <w:r w:rsidRPr="00350EB4">
        <w:rPr>
          <w:rFonts w:ascii="Century" w:hAnsi="Century" w:cs="Miriam"/>
          <w:b/>
          <w:spacing w:val="0"/>
          <w:szCs w:val="24"/>
          <w:rtl/>
        </w:rPr>
        <w:t xml:space="preserve"> </w:t>
      </w:r>
      <w:r w:rsidRPr="00350EB4">
        <w:rPr>
          <w:rFonts w:ascii="Century" w:hAnsi="Century" w:cs="Miriam" w:hint="eastAsia"/>
          <w:b/>
          <w:spacing w:val="0"/>
          <w:szCs w:val="24"/>
          <w:rtl/>
        </w:rPr>
        <w:t>ההחלטה</w:t>
      </w:r>
      <w:r w:rsidRPr="00350EB4">
        <w:rPr>
          <w:rFonts w:ascii="Century" w:hAnsi="Century" w:cs="Miriam"/>
          <w:b/>
          <w:spacing w:val="0"/>
          <w:szCs w:val="24"/>
          <w:rtl/>
        </w:rPr>
        <w:t xml:space="preserve"> </w:t>
      </w:r>
      <w:r w:rsidRPr="00350EB4">
        <w:rPr>
          <w:rFonts w:ascii="Century" w:hAnsi="Century" w:cs="Miriam" w:hint="eastAsia"/>
          <w:b/>
          <w:spacing w:val="0"/>
          <w:szCs w:val="24"/>
          <w:rtl/>
        </w:rPr>
        <w:t>של</w:t>
      </w:r>
      <w:r w:rsidRPr="00350EB4">
        <w:rPr>
          <w:rFonts w:ascii="Century" w:hAnsi="Century" w:cs="Miriam"/>
          <w:b/>
          <w:spacing w:val="0"/>
          <w:szCs w:val="24"/>
          <w:rtl/>
        </w:rPr>
        <w:t xml:space="preserve"> </w:t>
      </w:r>
      <w:r w:rsidRPr="00350EB4">
        <w:rPr>
          <w:rFonts w:ascii="Century" w:hAnsi="Century" w:cs="Miriam" w:hint="eastAsia"/>
          <w:b/>
          <w:spacing w:val="0"/>
          <w:szCs w:val="24"/>
          <w:rtl/>
        </w:rPr>
        <w:t>הממשלה</w:t>
      </w:r>
      <w:r w:rsidRPr="00350EB4">
        <w:rPr>
          <w:rFonts w:ascii="Century" w:hAnsi="Century" w:cs="Miriam"/>
          <w:b/>
          <w:spacing w:val="0"/>
          <w:szCs w:val="24"/>
          <w:rtl/>
        </w:rPr>
        <w:t xml:space="preserve"> </w:t>
      </w:r>
      <w:r w:rsidRPr="00350EB4">
        <w:rPr>
          <w:rFonts w:ascii="Century" w:hAnsi="Century" w:cs="Miriam" w:hint="eastAsia"/>
          <w:b/>
          <w:spacing w:val="0"/>
          <w:szCs w:val="24"/>
          <w:rtl/>
        </w:rPr>
        <w:t>במליאתה</w:t>
      </w:r>
      <w:r w:rsidRPr="00350EB4">
        <w:rPr>
          <w:rFonts w:ascii="Century" w:hAnsi="Century" w:cs="Miriam"/>
          <w:b/>
          <w:spacing w:val="0"/>
          <w:szCs w:val="24"/>
          <w:rtl/>
        </w:rPr>
        <w:t xml:space="preserve">, </w:t>
      </w:r>
      <w:r w:rsidRPr="00350EB4">
        <w:rPr>
          <w:rFonts w:ascii="Century" w:hAnsi="Century" w:cs="Miriam" w:hint="eastAsia"/>
          <w:b/>
          <w:spacing w:val="0"/>
          <w:szCs w:val="24"/>
          <w:rtl/>
        </w:rPr>
        <w:t>של</w:t>
      </w:r>
      <w:r w:rsidRPr="00350EB4">
        <w:rPr>
          <w:rFonts w:ascii="Century" w:hAnsi="Century" w:cs="Miriam" w:hint="cs"/>
          <w:b/>
          <w:spacing w:val="0"/>
          <w:szCs w:val="24"/>
          <w:rtl/>
        </w:rPr>
        <w:t xml:space="preserve"> </w:t>
      </w:r>
      <w:r w:rsidRPr="00350EB4">
        <w:rPr>
          <w:rFonts w:ascii="Century" w:hAnsi="Century" w:cs="Miriam" w:hint="eastAsia"/>
          <w:b/>
          <w:spacing w:val="0"/>
          <w:szCs w:val="24"/>
          <w:rtl/>
        </w:rPr>
        <w:t>ראש</w:t>
      </w:r>
      <w:r w:rsidRPr="00350EB4">
        <w:rPr>
          <w:rFonts w:ascii="Century" w:hAnsi="Century" w:cs="Miriam"/>
          <w:b/>
          <w:spacing w:val="0"/>
          <w:szCs w:val="24"/>
          <w:rtl/>
        </w:rPr>
        <w:t xml:space="preserve"> </w:t>
      </w:r>
      <w:r w:rsidRPr="00350EB4">
        <w:rPr>
          <w:rFonts w:ascii="Century" w:hAnsi="Century" w:cs="Miriam" w:hint="eastAsia"/>
          <w:b/>
          <w:spacing w:val="0"/>
          <w:szCs w:val="24"/>
          <w:rtl/>
        </w:rPr>
        <w:t>הממשלה</w:t>
      </w:r>
      <w:r w:rsidRPr="00350EB4">
        <w:rPr>
          <w:rFonts w:ascii="Century" w:hAnsi="Century" w:cs="Miriam"/>
          <w:b/>
          <w:spacing w:val="0"/>
          <w:szCs w:val="24"/>
          <w:rtl/>
        </w:rPr>
        <w:t xml:space="preserve"> </w:t>
      </w:r>
      <w:r w:rsidRPr="00350EB4">
        <w:rPr>
          <w:rFonts w:ascii="Century" w:hAnsi="Century" w:cs="Miriam" w:hint="eastAsia"/>
          <w:b/>
          <w:spacing w:val="0"/>
          <w:szCs w:val="24"/>
          <w:rtl/>
        </w:rPr>
        <w:t>או</w:t>
      </w:r>
      <w:r w:rsidRPr="00350EB4">
        <w:rPr>
          <w:rFonts w:ascii="Century" w:hAnsi="Century" w:cs="Miriam"/>
          <w:b/>
          <w:spacing w:val="0"/>
          <w:szCs w:val="24"/>
          <w:rtl/>
        </w:rPr>
        <w:t xml:space="preserve"> </w:t>
      </w:r>
      <w:r w:rsidRPr="00350EB4">
        <w:rPr>
          <w:rFonts w:ascii="Century" w:hAnsi="Century" w:cs="Miriam" w:hint="eastAsia"/>
          <w:b/>
          <w:spacing w:val="0"/>
          <w:szCs w:val="24"/>
          <w:rtl/>
        </w:rPr>
        <w:t>של</w:t>
      </w:r>
      <w:r w:rsidRPr="00350EB4">
        <w:rPr>
          <w:rFonts w:ascii="Century" w:hAnsi="Century" w:cs="Miriam"/>
          <w:b/>
          <w:spacing w:val="0"/>
          <w:szCs w:val="24"/>
          <w:rtl/>
        </w:rPr>
        <w:t xml:space="preserve"> </w:t>
      </w:r>
      <w:r w:rsidRPr="00350EB4">
        <w:rPr>
          <w:rFonts w:ascii="Century" w:hAnsi="Century" w:cs="Miriam" w:hint="eastAsia"/>
          <w:b/>
          <w:spacing w:val="0"/>
          <w:szCs w:val="24"/>
          <w:rtl/>
        </w:rPr>
        <w:t>שר</w:t>
      </w:r>
      <w:r w:rsidRPr="00350EB4">
        <w:rPr>
          <w:rFonts w:ascii="Century" w:hAnsi="Century" w:cs="Miriam"/>
          <w:b/>
          <w:spacing w:val="0"/>
          <w:szCs w:val="24"/>
          <w:rtl/>
        </w:rPr>
        <w:t xml:space="preserve"> </w:t>
      </w:r>
      <w:r w:rsidRPr="00350EB4">
        <w:rPr>
          <w:rFonts w:ascii="Century" w:hAnsi="Century" w:cs="Miriam" w:hint="eastAsia"/>
          <w:b/>
          <w:spacing w:val="0"/>
          <w:szCs w:val="24"/>
          <w:rtl/>
        </w:rPr>
        <w:t>אחר</w:t>
      </w:r>
      <w:r w:rsidRPr="00350EB4">
        <w:rPr>
          <w:rFonts w:ascii="Century" w:hAnsi="Century" w:cs="Miriam"/>
          <w:b/>
          <w:spacing w:val="0"/>
          <w:szCs w:val="24"/>
          <w:rtl/>
        </w:rPr>
        <w:t xml:space="preserve"> </w:t>
      </w:r>
      <w:r w:rsidRPr="00350EB4">
        <w:rPr>
          <w:rFonts w:ascii="Century" w:hAnsi="Century" w:cs="Miriam" w:hint="eastAsia"/>
          <w:b/>
          <w:spacing w:val="0"/>
          <w:szCs w:val="24"/>
          <w:rtl/>
        </w:rPr>
        <w:t>וכן</w:t>
      </w:r>
      <w:r w:rsidRPr="00350EB4">
        <w:rPr>
          <w:rFonts w:ascii="Century" w:hAnsi="Century" w:cs="Miriam"/>
          <w:b/>
          <w:spacing w:val="0"/>
          <w:szCs w:val="24"/>
          <w:rtl/>
        </w:rPr>
        <w:t xml:space="preserve"> </w:t>
      </w:r>
      <w:r w:rsidRPr="00350EB4">
        <w:rPr>
          <w:rFonts w:ascii="Century" w:hAnsi="Century" w:cs="Miriam" w:hint="eastAsia"/>
          <w:b/>
          <w:spacing w:val="0"/>
          <w:szCs w:val="24"/>
          <w:rtl/>
        </w:rPr>
        <w:t>של</w:t>
      </w:r>
      <w:r w:rsidRPr="00350EB4">
        <w:rPr>
          <w:rFonts w:ascii="Century" w:hAnsi="Century" w:cs="Miriam"/>
          <w:b/>
          <w:spacing w:val="0"/>
          <w:szCs w:val="24"/>
          <w:rtl/>
        </w:rPr>
        <w:t xml:space="preserve"> </w:t>
      </w:r>
      <w:r w:rsidRPr="00350EB4">
        <w:rPr>
          <w:rFonts w:ascii="Century" w:hAnsi="Century" w:cs="Miriam" w:hint="eastAsia"/>
          <w:b/>
          <w:spacing w:val="0"/>
          <w:szCs w:val="24"/>
          <w:rtl/>
        </w:rPr>
        <w:t>נבחר</w:t>
      </w:r>
      <w:r w:rsidRPr="00350EB4">
        <w:rPr>
          <w:rFonts w:ascii="Century" w:hAnsi="Century" w:cs="Miriam"/>
          <w:b/>
          <w:spacing w:val="0"/>
          <w:szCs w:val="24"/>
          <w:rtl/>
        </w:rPr>
        <w:t xml:space="preserve"> </w:t>
      </w:r>
      <w:r w:rsidRPr="00350EB4">
        <w:rPr>
          <w:rFonts w:ascii="Century" w:hAnsi="Century" w:cs="Miriam" w:hint="eastAsia"/>
          <w:b/>
          <w:spacing w:val="0"/>
          <w:szCs w:val="24"/>
          <w:rtl/>
        </w:rPr>
        <w:t>ציבור</w:t>
      </w:r>
      <w:r w:rsidRPr="00350EB4">
        <w:rPr>
          <w:rFonts w:ascii="Century" w:hAnsi="Century" w:cs="Miriam"/>
          <w:b/>
          <w:spacing w:val="0"/>
          <w:szCs w:val="24"/>
          <w:rtl/>
        </w:rPr>
        <w:t xml:space="preserve"> </w:t>
      </w:r>
      <w:r w:rsidRPr="00350EB4">
        <w:rPr>
          <w:rFonts w:ascii="Century" w:hAnsi="Century" w:cs="Miriam" w:hint="eastAsia"/>
          <w:b/>
          <w:spacing w:val="0"/>
          <w:szCs w:val="24"/>
          <w:rtl/>
        </w:rPr>
        <w:t>אחר</w:t>
      </w:r>
      <w:r w:rsidRPr="00350EB4">
        <w:rPr>
          <w:rFonts w:ascii="Century" w:hAnsi="Century" w:cs="Miriam" w:hint="cs"/>
          <w:b/>
          <w:spacing w:val="0"/>
          <w:szCs w:val="24"/>
          <w:rtl/>
        </w:rPr>
        <w:t xml:space="preserve"> </w:t>
      </w:r>
      <w:r w:rsidRPr="00350EB4">
        <w:rPr>
          <w:rFonts w:ascii="Century" w:hAnsi="Century" w:cs="Miriam" w:hint="eastAsia"/>
          <w:b/>
          <w:spacing w:val="0"/>
          <w:szCs w:val="24"/>
          <w:rtl/>
        </w:rPr>
        <w:t>כפי</w:t>
      </w:r>
      <w:r w:rsidRPr="00350EB4">
        <w:rPr>
          <w:rFonts w:ascii="Century" w:hAnsi="Century" w:cs="Miriam"/>
          <w:b/>
          <w:spacing w:val="0"/>
          <w:szCs w:val="24"/>
          <w:rtl/>
        </w:rPr>
        <w:t xml:space="preserve"> </w:t>
      </w:r>
      <w:r w:rsidRPr="00350EB4">
        <w:rPr>
          <w:rFonts w:ascii="Century" w:hAnsi="Century" w:cs="Miriam" w:hint="eastAsia"/>
          <w:b/>
          <w:spacing w:val="0"/>
          <w:szCs w:val="24"/>
          <w:rtl/>
        </w:rPr>
        <w:t>שייקבע</w:t>
      </w:r>
      <w:r w:rsidRPr="00350EB4">
        <w:rPr>
          <w:rFonts w:ascii="Century" w:hAnsi="Century" w:cs="Miriam"/>
          <w:b/>
          <w:spacing w:val="0"/>
          <w:szCs w:val="24"/>
          <w:rtl/>
        </w:rPr>
        <w:t xml:space="preserve"> </w:t>
      </w:r>
      <w:r w:rsidRPr="00350EB4">
        <w:rPr>
          <w:rFonts w:ascii="Century" w:hAnsi="Century" w:cs="Miriam" w:hint="eastAsia"/>
          <w:b/>
          <w:spacing w:val="0"/>
          <w:szCs w:val="24"/>
          <w:rtl/>
        </w:rPr>
        <w:t>בחוק</w:t>
      </w:r>
      <w:r w:rsidRPr="00350EB4">
        <w:rPr>
          <w:rFonts w:ascii="Century" w:hAnsi="Century" w:cs="Miriam"/>
          <w:b/>
          <w:spacing w:val="0"/>
          <w:szCs w:val="24"/>
          <w:rtl/>
        </w:rPr>
        <w:t xml:space="preserve">, </w:t>
      </w:r>
      <w:r w:rsidRPr="00350EB4">
        <w:rPr>
          <w:rFonts w:ascii="Century" w:hAnsi="Century" w:cs="Miriam" w:hint="eastAsia"/>
          <w:b/>
          <w:spacing w:val="0"/>
          <w:szCs w:val="24"/>
          <w:rtl/>
        </w:rPr>
        <w:t>או</w:t>
      </w:r>
      <w:r w:rsidRPr="00350EB4">
        <w:rPr>
          <w:rFonts w:ascii="Century" w:hAnsi="Century" w:cs="Miriam"/>
          <w:b/>
          <w:spacing w:val="0"/>
          <w:szCs w:val="24"/>
          <w:rtl/>
        </w:rPr>
        <w:t xml:space="preserve"> </w:t>
      </w:r>
      <w:r w:rsidRPr="00350EB4">
        <w:rPr>
          <w:rFonts w:ascii="Century" w:hAnsi="Century" w:cs="Miriam" w:hint="eastAsia"/>
          <w:b/>
          <w:spacing w:val="0"/>
          <w:szCs w:val="24"/>
          <w:rtl/>
        </w:rPr>
        <w:t>להוציא</w:t>
      </w:r>
      <w:r w:rsidRPr="00350EB4">
        <w:rPr>
          <w:rFonts w:ascii="Century" w:hAnsi="Century" w:cs="Miriam"/>
          <w:b/>
          <w:spacing w:val="0"/>
          <w:szCs w:val="24"/>
          <w:rtl/>
        </w:rPr>
        <w:t xml:space="preserve"> </w:t>
      </w:r>
      <w:r w:rsidRPr="00350EB4">
        <w:rPr>
          <w:rFonts w:ascii="Century" w:hAnsi="Century" w:cs="Miriam" w:hint="eastAsia"/>
          <w:b/>
          <w:spacing w:val="0"/>
          <w:szCs w:val="24"/>
          <w:rtl/>
        </w:rPr>
        <w:t>צו</w:t>
      </w:r>
      <w:r w:rsidRPr="00350EB4">
        <w:rPr>
          <w:rFonts w:ascii="Century" w:hAnsi="Century" w:cs="Miriam"/>
          <w:b/>
          <w:spacing w:val="0"/>
          <w:szCs w:val="24"/>
          <w:rtl/>
        </w:rPr>
        <w:t xml:space="preserve"> </w:t>
      </w:r>
      <w:r w:rsidRPr="00350EB4">
        <w:rPr>
          <w:rFonts w:ascii="Century" w:hAnsi="Century" w:cs="Miriam" w:hint="eastAsia"/>
          <w:b/>
          <w:spacing w:val="0"/>
          <w:szCs w:val="24"/>
          <w:rtl/>
        </w:rPr>
        <w:t>כלפי</w:t>
      </w:r>
      <w:r w:rsidRPr="00350EB4">
        <w:rPr>
          <w:rFonts w:ascii="Century" w:hAnsi="Century" w:cs="Miriam"/>
          <w:b/>
          <w:spacing w:val="0"/>
          <w:szCs w:val="24"/>
          <w:rtl/>
        </w:rPr>
        <w:t xml:space="preserve"> </w:t>
      </w:r>
      <w:r w:rsidRPr="00350EB4">
        <w:rPr>
          <w:rFonts w:ascii="Century" w:hAnsi="Century" w:cs="Miriam" w:hint="eastAsia"/>
          <w:b/>
          <w:spacing w:val="0"/>
          <w:szCs w:val="24"/>
          <w:rtl/>
        </w:rPr>
        <w:t>דרג</w:t>
      </w:r>
      <w:r w:rsidRPr="00350EB4">
        <w:rPr>
          <w:rFonts w:ascii="Century" w:hAnsi="Century" w:cs="Miriam"/>
          <w:b/>
          <w:spacing w:val="0"/>
          <w:szCs w:val="24"/>
          <w:rtl/>
        </w:rPr>
        <w:t xml:space="preserve"> </w:t>
      </w:r>
      <w:r w:rsidRPr="00350EB4">
        <w:rPr>
          <w:rFonts w:ascii="Century" w:hAnsi="Century" w:cs="Miriam" w:hint="eastAsia"/>
          <w:b/>
          <w:spacing w:val="0"/>
          <w:szCs w:val="24"/>
          <w:rtl/>
        </w:rPr>
        <w:t>נבחר</w:t>
      </w:r>
      <w:r w:rsidRPr="00350EB4">
        <w:rPr>
          <w:rFonts w:ascii="Century" w:hAnsi="Century" w:cs="Miriam"/>
          <w:b/>
          <w:spacing w:val="0"/>
          <w:szCs w:val="24"/>
          <w:rtl/>
        </w:rPr>
        <w:t xml:space="preserve"> </w:t>
      </w:r>
      <w:r w:rsidRPr="00350EB4">
        <w:rPr>
          <w:rFonts w:ascii="Century" w:hAnsi="Century" w:cs="Miriam" w:hint="eastAsia"/>
          <w:b/>
          <w:spacing w:val="0"/>
          <w:szCs w:val="24"/>
          <w:rtl/>
        </w:rPr>
        <w:t>בעניין</w:t>
      </w:r>
      <w:r w:rsidRPr="00350EB4">
        <w:rPr>
          <w:rFonts w:ascii="Century" w:hAnsi="Century" w:cs="Miriam" w:hint="cs"/>
          <w:b/>
          <w:spacing w:val="0"/>
          <w:szCs w:val="24"/>
          <w:rtl/>
        </w:rPr>
        <w:t xml:space="preserve"> </w:t>
      </w:r>
      <w:r w:rsidRPr="00350EB4">
        <w:rPr>
          <w:rFonts w:ascii="Century" w:hAnsi="Century" w:cs="Miriam" w:hint="eastAsia"/>
          <w:b/>
          <w:spacing w:val="0"/>
          <w:szCs w:val="24"/>
          <w:rtl/>
        </w:rPr>
        <w:t>סבירות</w:t>
      </w:r>
      <w:r w:rsidRPr="00350EB4">
        <w:rPr>
          <w:rFonts w:ascii="Century" w:hAnsi="Century" w:cs="Miriam"/>
          <w:b/>
          <w:spacing w:val="0"/>
          <w:szCs w:val="24"/>
          <w:rtl/>
        </w:rPr>
        <w:t xml:space="preserve"> </w:t>
      </w:r>
      <w:r w:rsidRPr="00350EB4">
        <w:rPr>
          <w:rFonts w:ascii="Century" w:hAnsi="Century" w:cs="Miriam" w:hint="eastAsia"/>
          <w:b/>
          <w:spacing w:val="0"/>
          <w:szCs w:val="24"/>
          <w:rtl/>
        </w:rPr>
        <w:t>החלטתו</w:t>
      </w:r>
      <w:r w:rsidRPr="00350EB4">
        <w:rPr>
          <w:rFonts w:ascii="Century" w:hAnsi="Century" w:cs="Miriam" w:hint="cs"/>
          <w:b/>
          <w:spacing w:val="0"/>
          <w:szCs w:val="24"/>
          <w:rtl/>
        </w:rPr>
        <w:t>"</w:t>
      </w:r>
      <w:r>
        <w:rPr>
          <w:rtl/>
        </w:rPr>
        <w:t>.</w:t>
      </w:r>
    </w:p>
    <w:p w:rsidR="00EB02E1" w:rsidRDefault="00EB02E1" w:rsidP="00EB02E1">
      <w:pPr>
        <w:pStyle w:val="Ruller41"/>
        <w:rPr>
          <w:rtl/>
        </w:rPr>
      </w:pPr>
    </w:p>
    <w:p w:rsidR="00EB02E1" w:rsidRDefault="00EB02E1" w:rsidP="00E020A2">
      <w:pPr>
        <w:pStyle w:val="Ruller41"/>
        <w:rPr>
          <w:rtl/>
        </w:rPr>
      </w:pPr>
      <w:r>
        <w:rPr>
          <w:rtl/>
        </w:rPr>
        <w:tab/>
      </w:r>
      <w:r>
        <w:rPr>
          <w:rFonts w:hint="cs"/>
          <w:rtl/>
        </w:rPr>
        <w:t xml:space="preserve">הנה כי כן, </w:t>
      </w:r>
      <w:r w:rsidR="00E020A2">
        <w:rPr>
          <w:rFonts w:hint="cs"/>
          <w:rtl/>
        </w:rPr>
        <w:t>טוען הייעוץ המשפטי לכנסת</w:t>
      </w:r>
      <w:r>
        <w:rPr>
          <w:rFonts w:hint="cs"/>
          <w:rtl/>
        </w:rPr>
        <w:t xml:space="preserve">, כי מדברי-ההסבר הללו, שמעלים על ראש שמחתם את פסק הדין בעניין </w:t>
      </w:r>
      <w:r w:rsidRPr="009B42EB">
        <w:rPr>
          <w:rFonts w:ascii="Century" w:hAnsi="Century" w:cs="Miriam" w:hint="cs"/>
          <w:b/>
          <w:spacing w:val="0"/>
          <w:szCs w:val="24"/>
          <w:rtl/>
        </w:rPr>
        <w:t>דפי זהב</w:t>
      </w:r>
      <w:r>
        <w:rPr>
          <w:rFonts w:hint="cs"/>
          <w:rtl/>
        </w:rPr>
        <w:t xml:space="preserve">, ואת עילת הסבירות </w:t>
      </w:r>
      <w:r w:rsidRPr="009B42EB">
        <w:rPr>
          <w:rFonts w:ascii="Century" w:hAnsi="Century" w:cs="Miriam" w:hint="cs"/>
          <w:b/>
          <w:spacing w:val="0"/>
          <w:szCs w:val="24"/>
          <w:rtl/>
        </w:rPr>
        <w:t>"במובנה זה"</w:t>
      </w:r>
      <w:r>
        <w:rPr>
          <w:rFonts w:hint="cs"/>
          <w:rtl/>
        </w:rPr>
        <w:t xml:space="preserve">, ניתן להסיק כי כוונת המחוקק-המכונן, לא היתה אלא לבטל את הלכת </w:t>
      </w:r>
      <w:r w:rsidRPr="00C07948">
        <w:rPr>
          <w:rFonts w:ascii="Century" w:hAnsi="Century" w:cs="Miriam" w:hint="cs"/>
          <w:b/>
          <w:spacing w:val="0"/>
          <w:szCs w:val="24"/>
          <w:rtl/>
        </w:rPr>
        <w:t>דפי</w:t>
      </w:r>
      <w:r>
        <w:rPr>
          <w:rFonts w:hint="cs"/>
          <w:rtl/>
        </w:rPr>
        <w:t xml:space="preserve"> </w:t>
      </w:r>
      <w:r w:rsidRPr="00C07948">
        <w:rPr>
          <w:rFonts w:ascii="Century" w:hAnsi="Century" w:cs="Miriam" w:hint="cs"/>
          <w:b/>
          <w:spacing w:val="0"/>
          <w:szCs w:val="24"/>
          <w:rtl/>
        </w:rPr>
        <w:t>זהב</w:t>
      </w:r>
      <w:r>
        <w:rPr>
          <w:rFonts w:hint="cs"/>
          <w:rtl/>
        </w:rPr>
        <w:t xml:space="preserve">; לא מעבר לכך. </w:t>
      </w:r>
    </w:p>
    <w:p w:rsidR="00EB02E1" w:rsidRDefault="00EB02E1" w:rsidP="00EB02E1">
      <w:pPr>
        <w:pStyle w:val="Ruller41"/>
        <w:rPr>
          <w:rtl/>
        </w:rPr>
      </w:pPr>
    </w:p>
    <w:p w:rsidR="00EB02E1" w:rsidRDefault="00EB02E1" w:rsidP="00EB02E1">
      <w:pPr>
        <w:pStyle w:val="Ruller4"/>
        <w:textAlignment w:val="auto"/>
        <w:rPr>
          <w:rtl/>
        </w:rPr>
      </w:pPr>
      <w:r>
        <w:rPr>
          <w:rFonts w:hint="cs"/>
          <w:rtl/>
        </w:rPr>
        <w:t xml:space="preserve">לא אכחד. במבט ראשון, טיעון זה </w:t>
      </w:r>
      <w:r>
        <w:rPr>
          <w:rtl/>
        </w:rPr>
        <w:t>–</w:t>
      </w:r>
      <w:r>
        <w:rPr>
          <w:rFonts w:hint="cs"/>
          <w:rtl/>
        </w:rPr>
        <w:t xml:space="preserve"> מצא מסילות ללבבי. שאלה אחת הטרידה בכל זאת את מנוחתי: אם זו היא אכן הפרשנות הנכונה, האמנם בשל כך סערה הארץ? בעטיו של חוק שלא עתיד לשנות כמעט דבר במבחן התוצאה? תמיהה נוספת, היא הסתירה החזיתית בין דברי-ההסבר, המציגים את הצעת-החוק ככזו שנועדה אך לבטל את פסק-הדין בעניין </w:t>
      </w:r>
      <w:r w:rsidRPr="009B42EB">
        <w:rPr>
          <w:rFonts w:ascii="Century" w:hAnsi="Century" w:cs="Miriam" w:hint="cs"/>
          <w:b/>
          <w:spacing w:val="0"/>
          <w:sz w:val="22"/>
          <w:szCs w:val="24"/>
          <w:rtl/>
        </w:rPr>
        <w:t>דפי זהב</w:t>
      </w:r>
      <w:r>
        <w:rPr>
          <w:rFonts w:hint="cs"/>
          <w:rtl/>
        </w:rPr>
        <w:t xml:space="preserve">, לבין לשונו הגורפת של החוק, יחד עם האמירות הברורות של יוזמי החוק, חברי הכנסת, וגורמי המקצוע שהשתתפו בדיונים, כפי שנסקרו בהרחבה בחוות דעתה של חברתי הנשיאה (בדימ') (פסקאות 133-121). כולם כאחד יחד, מורים על כוונה שונה בתכלית, והיא </w:t>
      </w:r>
      <w:r>
        <w:rPr>
          <w:rtl/>
        </w:rPr>
        <w:t>–</w:t>
      </w:r>
      <w:r>
        <w:rPr>
          <w:rFonts w:hint="cs"/>
          <w:rtl/>
        </w:rPr>
        <w:t xml:space="preserve"> למנוע לחלוטין את תחולתה של עילת הסבירות על החלטות הממשלה ושׂריה; גם לא סבירות נוסח 'וונדסברי'.</w:t>
      </w:r>
    </w:p>
    <w:p w:rsidR="00EB02E1" w:rsidRPr="009B42EB" w:rsidRDefault="00EB02E1" w:rsidP="00EB02E1">
      <w:pPr>
        <w:pStyle w:val="Ruller41"/>
      </w:pPr>
    </w:p>
    <w:p w:rsidR="00EB02E1" w:rsidRDefault="00EB02E1" w:rsidP="00EB02E1">
      <w:pPr>
        <w:pStyle w:val="Ruller4"/>
        <w:rPr>
          <w:rtl/>
        </w:rPr>
      </w:pPr>
      <w:r>
        <w:rPr>
          <w:rFonts w:hint="cs"/>
          <w:rtl/>
        </w:rPr>
        <w:t xml:space="preserve">הספק נותר מנקר בלבי, עד שבא 'אבי' הצעת-החוק, יו"ר ועדת החוקה, חוק ומשפט של הכנסת, חה"כ שמחה רוטמן, ובמענה לשאלתו של חברי השופט </w:t>
      </w:r>
      <w:r w:rsidRPr="009B42EB">
        <w:rPr>
          <w:rFonts w:ascii="Century" w:hAnsi="Century" w:cs="Miriam" w:hint="cs"/>
          <w:b/>
          <w:spacing w:val="0"/>
          <w:sz w:val="22"/>
          <w:szCs w:val="24"/>
          <w:rtl/>
        </w:rPr>
        <w:t>שטיין</w:t>
      </w:r>
      <w:r>
        <w:rPr>
          <w:rFonts w:hint="cs"/>
          <w:rtl/>
        </w:rPr>
        <w:t xml:space="preserve">, במהלך הדיון, אמר כדברים האלה: </w:t>
      </w:r>
      <w:r w:rsidRPr="009B42EB">
        <w:rPr>
          <w:rFonts w:ascii="Century" w:hAnsi="Century" w:cs="Miriam" w:hint="cs"/>
          <w:b/>
          <w:spacing w:val="0"/>
          <w:sz w:val="22"/>
          <w:szCs w:val="24"/>
          <w:rtl/>
        </w:rPr>
        <w:t>"דברי ההסבר, וזו עובדה שלא ידועה לרבים [...] דברי ההסבר אינם נכתבים מטעם הוועדה. דברי ההסבר נכתבים על-ידי הייעוץ המשפטי לוועדה. [...] לא בהחלטת חברי הוועדה, ואף לא בהחלטת יו"ר הוועדה, אלא על-ידי הייעוץ המשפטי לוועדה. המעורבות בכתיבתם דלה, עד לא קיימת בכלל, מצד חברי הכנסת. ולכן,</w:t>
      </w:r>
      <w:r>
        <w:rPr>
          <w:rFonts w:ascii="Century" w:hAnsi="Century" w:cs="Miriam" w:hint="cs"/>
          <w:b/>
          <w:spacing w:val="0"/>
          <w:sz w:val="22"/>
          <w:szCs w:val="24"/>
          <w:rtl/>
        </w:rPr>
        <w:t xml:space="preserve"> ודאי בהצעת חוק שבאה מטעם ועדה </w:t>
      </w:r>
      <w:r w:rsidRPr="009B42EB">
        <w:rPr>
          <w:rFonts w:ascii="Century" w:hAnsi="Century"/>
          <w:sz w:val="22"/>
          <w:rtl/>
        </w:rPr>
        <w:t>–</w:t>
      </w:r>
      <w:r w:rsidRPr="009B42EB">
        <w:rPr>
          <w:rFonts w:ascii="Century" w:hAnsi="Century" w:cs="Miriam" w:hint="cs"/>
          <w:b/>
          <w:spacing w:val="0"/>
          <w:sz w:val="22"/>
          <w:szCs w:val="24"/>
          <w:rtl/>
        </w:rPr>
        <w:t xml:space="preserve"> ולא בהצעת חוק פרטית שבה מי שכותב את דברי ההסבר, בגדול, הוא חבר הכנסת המציע, עם קצת סיוע ועזרה מהמחלקה המשפטית של הכנסת, אבל הוא חתום עליהם</w:t>
      </w:r>
      <w:r>
        <w:rPr>
          <w:rFonts w:ascii="Century" w:hAnsi="Century" w:cs="Miriam" w:hint="cs"/>
          <w:b/>
          <w:spacing w:val="0"/>
          <w:sz w:val="22"/>
          <w:szCs w:val="24"/>
          <w:rtl/>
        </w:rPr>
        <w:t xml:space="preserve"> [...] </w:t>
      </w:r>
      <w:r w:rsidRPr="009B42EB">
        <w:rPr>
          <w:rFonts w:ascii="Century" w:hAnsi="Century" w:cs="Miriam" w:hint="cs"/>
          <w:b/>
          <w:spacing w:val="0"/>
          <w:sz w:val="22"/>
          <w:szCs w:val="24"/>
          <w:rtl/>
        </w:rPr>
        <w:t>מי שחתום על דברי ההסבר הוא הייעוץ המשפטי, והם משקפים את עמדתם, את תפיסתם בנוגע לחוק. לכן, אני כמובן לא מציע לכבודכם כיצד לפרש חוקים, אך אם היו שואלים אותי, בדברי ההסבר להצעות חוק מטעם ועדה [...] כדי לזהות את כו</w:t>
      </w:r>
      <w:r>
        <w:rPr>
          <w:rFonts w:ascii="Century" w:hAnsi="Century" w:cs="Miriam" w:hint="cs"/>
          <w:b/>
          <w:spacing w:val="0"/>
          <w:sz w:val="22"/>
          <w:szCs w:val="24"/>
          <w:rtl/>
        </w:rPr>
        <w:t>ונת המחוקק, הייתי מסתמך יותר על</w:t>
      </w:r>
      <w:r w:rsidRPr="009B42EB">
        <w:rPr>
          <w:rFonts w:ascii="Century" w:hAnsi="Century" w:cs="Miriam" w:hint="cs"/>
          <w:b/>
          <w:spacing w:val="0"/>
          <w:sz w:val="22"/>
          <w:szCs w:val="24"/>
          <w:rtl/>
        </w:rPr>
        <w:t xml:space="preserve"> הפרוטוקולים והדיונים, ופחות על דברי ההסבר</w:t>
      </w:r>
      <w:r>
        <w:rPr>
          <w:rFonts w:ascii="Century" w:hAnsi="Century" w:cs="Miriam" w:hint="cs"/>
          <w:b/>
          <w:spacing w:val="0"/>
          <w:sz w:val="22"/>
          <w:szCs w:val="24"/>
          <w:rtl/>
        </w:rPr>
        <w:t>"</w:t>
      </w:r>
      <w:r>
        <w:rPr>
          <w:rFonts w:hint="cs"/>
          <w:rtl/>
        </w:rPr>
        <w:t xml:space="preserve">. </w:t>
      </w:r>
    </w:p>
    <w:p w:rsidR="00EB02E1" w:rsidRDefault="00EB02E1" w:rsidP="00EB02E1">
      <w:pPr>
        <w:pStyle w:val="Ruller41"/>
        <w:rPr>
          <w:rtl/>
        </w:rPr>
      </w:pPr>
    </w:p>
    <w:p w:rsidR="00EB02E1" w:rsidRPr="009B42EB" w:rsidRDefault="00EB02E1" w:rsidP="00EB02E1">
      <w:pPr>
        <w:pStyle w:val="Ruller4"/>
        <w:textAlignment w:val="auto"/>
        <w:rPr>
          <w:rtl/>
        </w:rPr>
      </w:pPr>
      <w:r>
        <w:rPr>
          <w:rFonts w:hint="cs"/>
          <w:rtl/>
        </w:rPr>
        <w:t>חה"כ רוטמן טען, אם כן, כי אותם דברי-הסבר, שפורסמו עובר לקריאה הראשונה, כלל לא יצאו מתחת ידיהם של חברי הכנסת, או מי מהם. מי שעומד מאחורי אותם דברי-הסבר הם אנשי הייעוץ המשפטי לוועדת החוקה, חוק ומשפט של הכנסת; לא חברי הכנסת. ממילא, אין מקום לייחס משקל רב, אם בכלל, לאותם דברי-הסבר. קל וחומר, מקום בו אלו עומדים בסתירה לדברים מפורשים שנאמרו במהלך הדיונים בוועדה.</w:t>
      </w:r>
    </w:p>
    <w:p w:rsidR="00EB02E1" w:rsidRDefault="00EB02E1" w:rsidP="00EB02E1">
      <w:pPr>
        <w:pStyle w:val="Ruller41"/>
        <w:rPr>
          <w:rtl/>
        </w:rPr>
      </w:pPr>
    </w:p>
    <w:p w:rsidR="00EB02E1" w:rsidRDefault="00EB02E1" w:rsidP="00EB02E1">
      <w:pPr>
        <w:pStyle w:val="Ruller4"/>
        <w:rPr>
          <w:rtl/>
        </w:rPr>
      </w:pPr>
      <w:r>
        <w:rPr>
          <w:rFonts w:hint="cs"/>
          <w:rtl/>
        </w:rPr>
        <w:t xml:space="preserve">בהשלמת הטיעון מטעם הכנסת, שהוגשה על-ידי הייעוץ המשפטי לכנסת, ניתן אישור לטענתו העקרונית של חה"כ רוטמן, שלפיה דברי-ההסבר כפי שפורסמו, לא נוסחו, אף לא אושרו, על-ידי מי מבין חברי הכנסת; וכי בשום שלב לא התבקשה, ממילא לא ניתנה, הסכמתם של חברי הוועדה, לאופן שבו הוצג החוק בדברי-ההסבר: </w:t>
      </w:r>
      <w:r w:rsidRPr="009B42EB">
        <w:rPr>
          <w:rFonts w:ascii="Century" w:hAnsi="Century" w:cs="Miriam" w:hint="cs"/>
          <w:b/>
          <w:spacing w:val="0"/>
          <w:sz w:val="22"/>
          <w:szCs w:val="24"/>
          <w:rtl/>
        </w:rPr>
        <w:t>"</w:t>
      </w:r>
      <w:r w:rsidRPr="009B42EB">
        <w:rPr>
          <w:rFonts w:ascii="Century" w:hAnsi="Century" w:cs="Miriam" w:hint="eastAsia"/>
          <w:b/>
          <w:spacing w:val="0"/>
          <w:sz w:val="22"/>
          <w:szCs w:val="24"/>
          <w:rtl/>
        </w:rPr>
        <w:t>בדומה</w:t>
      </w:r>
      <w:r w:rsidRPr="009B42EB">
        <w:rPr>
          <w:rFonts w:ascii="Century" w:hAnsi="Century" w:cs="Miriam" w:hint="cs"/>
          <w:b/>
          <w:spacing w:val="0"/>
          <w:sz w:val="22"/>
          <w:szCs w:val="24"/>
          <w:rtl/>
        </w:rPr>
        <w:t xml:space="preserve"> </w:t>
      </w:r>
      <w:r w:rsidRPr="009B42EB">
        <w:rPr>
          <w:rFonts w:ascii="Century" w:hAnsi="Century" w:cs="Miriam" w:hint="eastAsia"/>
          <w:b/>
          <w:spacing w:val="0"/>
          <w:sz w:val="22"/>
          <w:szCs w:val="24"/>
          <w:rtl/>
        </w:rPr>
        <w:t>להצעות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חוק</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פרטיות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הצעת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החוק</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מטעם</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הוועדה</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מוגשת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בשם</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כל</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חברי</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הוועדה</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ומלווה</w:t>
      </w:r>
      <w:r w:rsidRPr="009B42EB">
        <w:rPr>
          <w:rFonts w:ascii="Century" w:hAnsi="Century" w:cs="Miriam" w:hint="cs"/>
          <w:b/>
          <w:spacing w:val="0"/>
          <w:sz w:val="22"/>
          <w:szCs w:val="24"/>
          <w:rtl/>
        </w:rPr>
        <w:t xml:space="preserve"> </w:t>
      </w:r>
      <w:r w:rsidRPr="009B42EB">
        <w:rPr>
          <w:rFonts w:ascii="Century" w:hAnsi="Century" w:cs="Miriam" w:hint="eastAsia"/>
          <w:b/>
          <w:spacing w:val="0"/>
          <w:sz w:val="22"/>
          <w:szCs w:val="24"/>
          <w:rtl/>
        </w:rPr>
        <w:t>בדברי</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הסבר</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המנוסחים</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על</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ידי</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צוות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הייעוץ</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המשפטי</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לוועדה</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באופן</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המשקף</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את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הרקע</w:t>
      </w:r>
      <w:r w:rsidRPr="009B42EB">
        <w:rPr>
          <w:rFonts w:ascii="Century" w:hAnsi="Century" w:cs="Miriam" w:hint="cs"/>
          <w:b/>
          <w:spacing w:val="0"/>
          <w:sz w:val="22"/>
          <w:szCs w:val="24"/>
          <w:rtl/>
        </w:rPr>
        <w:t xml:space="preserve"> </w:t>
      </w:r>
      <w:r w:rsidRPr="009B42EB">
        <w:rPr>
          <w:rFonts w:ascii="Century" w:hAnsi="Century" w:cs="Miriam" w:hint="eastAsia"/>
          <w:b/>
          <w:spacing w:val="0"/>
          <w:sz w:val="22"/>
          <w:szCs w:val="24"/>
          <w:rtl/>
        </w:rPr>
        <w:t>להצעת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החוק</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ואת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תכליותיה</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כפי</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שעלו</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בדיון</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בוועדה</w:t>
      </w:r>
      <w:r w:rsidRPr="009B42EB">
        <w:rPr>
          <w:rFonts w:ascii="Century" w:hAnsi="Century" w:cs="Miriam"/>
          <w:b/>
          <w:spacing w:val="0"/>
          <w:sz w:val="22"/>
          <w:szCs w:val="24"/>
          <w:rtl/>
        </w:rPr>
        <w:t>.</w:t>
      </w:r>
      <w:r w:rsidRPr="009B42EB">
        <w:rPr>
          <w:rFonts w:ascii="Century" w:hAnsi="Century" w:cs="Miriam" w:hint="cs"/>
          <w:b/>
          <w:spacing w:val="0"/>
          <w:sz w:val="22"/>
          <w:szCs w:val="24"/>
          <w:rtl/>
        </w:rPr>
        <w:t xml:space="preserve"> </w:t>
      </w:r>
      <w:r w:rsidRPr="009B42EB">
        <w:rPr>
          <w:rFonts w:ascii="Century" w:hAnsi="Century" w:cs="Miriam" w:hint="eastAsia"/>
          <w:b/>
          <w:spacing w:val="0"/>
          <w:sz w:val="22"/>
          <w:szCs w:val="24"/>
          <w:rtl/>
        </w:rPr>
        <w:t>גם</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במקרה</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זה</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ההצבעה</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במליאת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הכנסת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בקריאה</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הראשונה</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נערכת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אפוא</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על</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נוסח</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הצעת</w:t>
      </w:r>
      <w:r w:rsidRPr="009B42EB">
        <w:rPr>
          <w:rFonts w:ascii="Century" w:hAnsi="Century" w:cs="Miriam" w:hint="cs"/>
          <w:b/>
          <w:spacing w:val="0"/>
          <w:sz w:val="22"/>
          <w:szCs w:val="24"/>
          <w:rtl/>
        </w:rPr>
        <w:t>-</w:t>
      </w:r>
      <w:r w:rsidRPr="009B42EB">
        <w:rPr>
          <w:rFonts w:ascii="Century" w:hAnsi="Century" w:cs="Miriam" w:hint="eastAsia"/>
          <w:b/>
          <w:spacing w:val="0"/>
          <w:sz w:val="22"/>
          <w:szCs w:val="24"/>
          <w:rtl/>
        </w:rPr>
        <w:t>החוק</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שאושר</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על</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ידי</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הוועדה</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בצירוף</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דברי</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ההסבר</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שנוסחו</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על</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ידי</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צוות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הייעוץ</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המשפטי</w:t>
      </w:r>
      <w:r w:rsidRPr="009B42EB">
        <w:rPr>
          <w:rFonts w:ascii="Century" w:hAnsi="Century" w:cs="Miriam" w:hint="cs"/>
          <w:b/>
          <w:spacing w:val="0"/>
          <w:sz w:val="22"/>
          <w:szCs w:val="24"/>
          <w:rtl/>
        </w:rPr>
        <w:t xml:space="preserve"> </w:t>
      </w:r>
      <w:r w:rsidRPr="009B42EB">
        <w:rPr>
          <w:rFonts w:ascii="Century" w:hAnsi="Century" w:cs="Miriam" w:hint="eastAsia"/>
          <w:b/>
          <w:spacing w:val="0"/>
          <w:sz w:val="22"/>
          <w:szCs w:val="24"/>
          <w:rtl/>
        </w:rPr>
        <w:t>לוועדה</w:t>
      </w:r>
      <w:r w:rsidRPr="009B42EB">
        <w:rPr>
          <w:rFonts w:ascii="Century" w:hAnsi="Century" w:cs="Miriam" w:hint="cs"/>
          <w:b/>
          <w:spacing w:val="0"/>
          <w:sz w:val="22"/>
          <w:szCs w:val="24"/>
          <w:rtl/>
        </w:rPr>
        <w:t>"</w:t>
      </w:r>
      <w:r>
        <w:rPr>
          <w:rFonts w:hint="cs"/>
          <w:rtl/>
        </w:rPr>
        <w:t xml:space="preserve"> (סעיף 6 להשלמת הטיעון מטעם הכנסת)</w:t>
      </w:r>
      <w:r>
        <w:rPr>
          <w:rtl/>
        </w:rPr>
        <w:t>.</w:t>
      </w:r>
      <w:r>
        <w:rPr>
          <w:rFonts w:hint="cs"/>
          <w:rtl/>
        </w:rPr>
        <w:t xml:space="preserve"> </w:t>
      </w:r>
    </w:p>
    <w:p w:rsidR="00EB02E1" w:rsidRDefault="00EB02E1" w:rsidP="00EB02E1">
      <w:pPr>
        <w:pStyle w:val="Ruller41"/>
        <w:rPr>
          <w:rtl/>
        </w:rPr>
      </w:pPr>
    </w:p>
    <w:p w:rsidR="00EB02E1" w:rsidRDefault="00EB02E1" w:rsidP="00EB02E1">
      <w:pPr>
        <w:pStyle w:val="Ruller4"/>
      </w:pPr>
      <w:r>
        <w:rPr>
          <w:rFonts w:hint="cs"/>
          <w:rtl/>
        </w:rPr>
        <w:t xml:space="preserve">עם זאת, נטען על-ידי הייעוץ המשפטי לכנסת, בניגוד לדבריו של חה"כ רוטמן, כי אין מדובר בגישה יחודית להצעות-חוק המוגשות מטעם ועדה; זו הפרקטיקה הנוהגת גם לגבי הצעות-חוק פרטיות, למצער באופן חלקי. אכן, כדברי חה"כ רוטמן, הנוסח הראשוני של דברי-ההסבר, המצורף להצעת-החוק הפרטית בקריאה הטרומית, מוגש על-ידי חבר הכנסת היוזם, והוא האחראי לניסוחו. אך בשלב מאוחר יותר, לאחר האישור בוועדה לקריאה ראשונה, ועובר לקריאה הראשונה במליאת הכנסת, מנוסחים דברי-ההסבר מחדש, באופן בלעדי, על-ידי הייעוץ המשפטי לוועדה. </w:t>
      </w:r>
    </w:p>
    <w:p w:rsidR="00EB02E1" w:rsidRDefault="00EB02E1" w:rsidP="00EB02E1">
      <w:pPr>
        <w:pStyle w:val="Ruller4"/>
        <w:numPr>
          <w:ilvl w:val="0"/>
          <w:numId w:val="0"/>
        </w:numPr>
        <w:rPr>
          <w:rtl/>
        </w:rPr>
      </w:pPr>
    </w:p>
    <w:p w:rsidR="00EB02E1" w:rsidRDefault="00EB02E1" w:rsidP="00EB02E1">
      <w:pPr>
        <w:pStyle w:val="Ruller4"/>
        <w:rPr>
          <w:rtl/>
        </w:rPr>
      </w:pPr>
      <w:r>
        <w:rPr>
          <w:rFonts w:hint="cs"/>
          <w:rtl/>
        </w:rPr>
        <w:t xml:space="preserve">חרף האמור, הייעוץ המשפטי לכנסת אינו סבור כי העובדה שדברי-ההסבר אינם מנוסחים על-ידי חברי הכנסת, ואף לא מקבלים את אישורם, יש בה כדי להשליך על המשקל שיש לייחס להם בתהליך הפרשני. לשיטתו, די בכך שזהו הנוסח שעמד לפני חברי הכנסת, בשעה שהצביעו על החוק במליאת הכנסת, אף שלא היתה בידיהם יכולת להשפיע על האמוּר בו. הייעוץ המשפטי לכנסת מוסיף וטוען, כי משעה שאותה פרקטיקה מופעלת גם לגבי הצעות חוק פרטיות, שבהן ניתן בעבר משקל רב למעמדם של דברי-ההסבר, אין מקום להבדיל בין הצעות-חוק פרטיות, לבין הצעות-חוק מטעם ועדה. דברי-ההסבר של אלו כמו אלו, מנוסחים לבסוף על-ידי הייעוץ המשפטי לוועדה, ולא על-ידי חברי הכנסת: </w:t>
      </w:r>
      <w:r w:rsidRPr="009B42EB">
        <w:rPr>
          <w:rFonts w:ascii="Century" w:hAnsi="Century" w:cs="Miriam" w:hint="cs"/>
          <w:b/>
          <w:spacing w:val="0"/>
          <w:sz w:val="22"/>
          <w:szCs w:val="24"/>
          <w:rtl/>
        </w:rPr>
        <w:t>"</w:t>
      </w:r>
      <w:r w:rsidRPr="009B42EB">
        <w:rPr>
          <w:rFonts w:ascii="Century" w:hAnsi="Century" w:cs="Miriam" w:hint="eastAsia"/>
          <w:b/>
          <w:spacing w:val="0"/>
          <w:sz w:val="22"/>
          <w:szCs w:val="24"/>
          <w:rtl/>
        </w:rPr>
        <w:t>הדעת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נותנת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אפוא</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כי</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בפרשנות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חוקים</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שהחלו</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את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דרכם</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כהצעת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חוק</w:t>
      </w:r>
      <w:r w:rsidRPr="009B42EB">
        <w:rPr>
          <w:rFonts w:ascii="Century" w:hAnsi="Century" w:cs="Miriam" w:hint="cs"/>
          <w:b/>
          <w:spacing w:val="0"/>
          <w:sz w:val="22"/>
          <w:szCs w:val="24"/>
          <w:rtl/>
        </w:rPr>
        <w:t xml:space="preserve"> </w:t>
      </w:r>
      <w:r w:rsidRPr="009B42EB">
        <w:rPr>
          <w:rFonts w:ascii="Century" w:hAnsi="Century" w:cs="Miriam" w:hint="eastAsia"/>
          <w:b/>
          <w:spacing w:val="0"/>
          <w:sz w:val="22"/>
          <w:szCs w:val="24"/>
          <w:rtl/>
        </w:rPr>
        <w:t>מטעם</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ועדה</w:t>
      </w:r>
      <w:r w:rsidRPr="009B42EB">
        <w:rPr>
          <w:rFonts w:ascii="Century" w:hAnsi="Century" w:cs="Miriam"/>
          <w:b/>
          <w:spacing w:val="0"/>
          <w:sz w:val="22"/>
          <w:szCs w:val="24"/>
          <w:rtl/>
        </w:rPr>
        <w:t xml:space="preserve"> </w:t>
      </w:r>
      <w:r w:rsidRPr="009B42EB">
        <w:rPr>
          <w:rFonts w:ascii="Century" w:hAnsi="Century" w:cs="Miriam" w:hint="cs"/>
          <w:b/>
          <w:spacing w:val="0"/>
          <w:sz w:val="22"/>
          <w:szCs w:val="24"/>
          <w:rtl/>
        </w:rPr>
        <w:t>(</w:t>
      </w:r>
      <w:r w:rsidRPr="009B42EB">
        <w:rPr>
          <w:rFonts w:ascii="Century" w:hAnsi="Century" w:cs="Miriam" w:hint="eastAsia"/>
          <w:b/>
          <w:spacing w:val="0"/>
          <w:sz w:val="22"/>
          <w:szCs w:val="24"/>
          <w:rtl/>
        </w:rPr>
        <w:t>דוגמת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חוק</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היסוד</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המתקן</w:t>
      </w:r>
      <w:r w:rsidRPr="009B42EB">
        <w:rPr>
          <w:rFonts w:ascii="Century" w:hAnsi="Century" w:cs="Miriam" w:hint="cs"/>
          <w:b/>
          <w:spacing w:val="0"/>
          <w:sz w:val="22"/>
          <w:szCs w:val="24"/>
          <w:rtl/>
        </w:rPr>
        <w:t>)</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יש</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לייחס</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לדברי</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ההסבר</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משקל</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פרשני</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זהה</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לזה</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המיוחס</w:t>
      </w:r>
      <w:r w:rsidRPr="009B42EB">
        <w:rPr>
          <w:rFonts w:ascii="Century" w:hAnsi="Century" w:cs="Miriam" w:hint="cs"/>
          <w:b/>
          <w:spacing w:val="0"/>
          <w:sz w:val="22"/>
          <w:szCs w:val="24"/>
          <w:rtl/>
        </w:rPr>
        <w:t xml:space="preserve"> </w:t>
      </w:r>
      <w:r w:rsidRPr="009B42EB">
        <w:rPr>
          <w:rFonts w:ascii="Century" w:hAnsi="Century" w:cs="Miriam" w:hint="eastAsia"/>
          <w:b/>
          <w:spacing w:val="0"/>
          <w:sz w:val="22"/>
          <w:szCs w:val="24"/>
          <w:rtl/>
        </w:rPr>
        <w:t>לדברי</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ההסבר</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בקריאה</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הראשונה</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של</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כל</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חוק</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שהחל</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את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דרכו</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כהצעת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חוק</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פרטית</w:t>
      </w:r>
      <w:r w:rsidRPr="009B42EB">
        <w:rPr>
          <w:rFonts w:ascii="Century" w:hAnsi="Century" w:cs="Miriam" w:hint="cs"/>
          <w:b/>
          <w:spacing w:val="0"/>
          <w:sz w:val="22"/>
          <w:szCs w:val="24"/>
          <w:rtl/>
        </w:rPr>
        <w:t>"</w:t>
      </w:r>
      <w:r>
        <w:rPr>
          <w:rFonts w:hint="cs"/>
          <w:rtl/>
        </w:rPr>
        <w:t xml:space="preserve"> (פסקה 7 להשלמת הטיעון מטעם הכנסת).</w:t>
      </w:r>
    </w:p>
    <w:p w:rsidR="00EB02E1" w:rsidRPr="009B42EB" w:rsidRDefault="00EB02E1" w:rsidP="00EB02E1">
      <w:pPr>
        <w:pStyle w:val="Ruller41"/>
      </w:pPr>
    </w:p>
    <w:p w:rsidR="00EB02E1" w:rsidRDefault="00EB02E1" w:rsidP="00EB02E1">
      <w:pPr>
        <w:pStyle w:val="Ruller4"/>
        <w:rPr>
          <w:rtl/>
        </w:rPr>
      </w:pPr>
      <w:r>
        <w:rPr>
          <w:rFonts w:hint="cs"/>
          <w:rtl/>
        </w:rPr>
        <w:lastRenderedPageBreak/>
        <w:t xml:space="preserve">כשלעצמי, הופתעתי. עד כה, בפסיקתנו, לא נתנו דעתנו על כך שאותם דברי-הסבר, עליהם אנחנו מסתמכים תדיר בפרשנותם של חוקים, כלל לא נכתבו על-ידי חברי הכנסת, ואף לא קיבלו את אישורם. לא ניתן אפוא להסתמך על 'הסכמה שבשתיקה', מטעמנו, השופטים. ככל שנכונים הדברים, ודברי-ההסבר מנוסחים על-ידי הייעוץ המשפטי לוועדה, הרי שיש בכך כדי 'לפתוח מחדש' את השאלה, עד כמה ובאיזו מידה, אם בכלל, יש ליתן מקום לאותם דברי-הסבר, בהליך פרשני המבקש לתור אחר 'התכלית הסובייקטיבית' בחקיקה; הן בעניינן של הצעות-חוק פרטיות, הן בעניינן של הצעות-חוק מטעם ועדה. זאת, ביודעֵנו, כי הללו מנוסחים באופן בלעדי על-ידי הייעוץ המשפטי לוועדה, לעיתים 'מעל ראשם' של חבר הכנסת היוזם, יו"ר הוועדה וחבריה, ולעיתים, אף בניגוד לדעתם. אין הצדקה לראות את דברי-ההסבר כמשקפים את עמדתם ה'מהותית' של יוזם החוק וחברי הוועדה, כאשר אֵלו אינם מתכתבים עם עמדתם של חברי הכנסת עצמם. </w:t>
      </w:r>
    </w:p>
    <w:p w:rsidR="00EB02E1" w:rsidRPr="001D772B" w:rsidRDefault="00EB02E1" w:rsidP="00EB02E1">
      <w:pPr>
        <w:pStyle w:val="Ruller41"/>
        <w:rPr>
          <w:rtl/>
        </w:rPr>
      </w:pPr>
    </w:p>
    <w:p w:rsidR="00EB02E1" w:rsidRDefault="00EB02E1" w:rsidP="00EB02E1">
      <w:pPr>
        <w:pStyle w:val="Ruller4"/>
        <w:rPr>
          <w:rtl/>
        </w:rPr>
      </w:pPr>
      <w:r>
        <w:rPr>
          <w:rFonts w:hint="cs"/>
          <w:rtl/>
        </w:rPr>
        <w:t xml:space="preserve">גם מבחינת 'הדין הרצוי' </w:t>
      </w:r>
      <w:r>
        <w:rPr>
          <w:rtl/>
        </w:rPr>
        <w:t>–</w:t>
      </w:r>
      <w:r>
        <w:rPr>
          <w:rFonts w:hint="cs"/>
          <w:rtl/>
        </w:rPr>
        <w:t xml:space="preserve"> הדבר אינו ראוי. יש בכך כדי לפגוע באחד מ'כלי העבודה' החשובים, העומדים לרשותם של השופטים היושבים בדין; הן בהליך חוקתי, שבו עומד החוק עצמו לבחינה, הן בהליך פרשני, שבו יש צורך ליתן מובן מעשי למילותיו של החוק. גם אם ברצוננו לדאוג לכך שדברי-ההסבר ישקפו את עמדתם של כלל חברי הוועדה התומכים בחוק, אין בכך כדי להצדיק את 'הפקעתם' של דברי-ההסבר מידיהם של חברי הכנסת, והפקדתם באופן בלעדי, בידי גורמי הייעוץ המשפטי. ניתן להביא את דברי-ההסבר לאישורם של חברי הוועדה, עובר לפרסומם, ולהפקיד בידיהם את היכולת לומר את 'המילה האחרונה', באשר לנוסח דברי-ההסבר שעתידים להתפרסם בצמוד לחוק. שום תועלת לא תצמח, אם כן, מהוספת שכבה 'מהותית' נוספת. די לנו ב'מסננת', בדמות 'הפרשנות האובייקטיבית', אליה אנו מגיעים בשלב מאוחר יותר של התהליך הפרשני. בשלב זה של תהליך הפרשנות, מטרתנו אחת: זיהוי כוונת המחוקק הסובייקטיבית. דברי-הסבר 'מהותיים', שאינם משקפים את עמדתם של חבר הכנסת היוזם, וחברי הכנסת התומכים בחוק, שומטים את ההצדקה למעמד שניתן עד כה לדברי-ההסבר, ומותירים את השופט-הפרשן לגשש את דרכו באפילה.  </w:t>
      </w:r>
    </w:p>
    <w:p w:rsidR="00EB02E1" w:rsidRPr="009B42EB" w:rsidRDefault="00EB02E1" w:rsidP="00EB02E1">
      <w:pPr>
        <w:pStyle w:val="Ruller41"/>
      </w:pPr>
    </w:p>
    <w:p w:rsidR="00EB02E1" w:rsidRDefault="00EB02E1" w:rsidP="00EB02E1">
      <w:pPr>
        <w:pStyle w:val="Ruller4"/>
        <w:rPr>
          <w:rtl/>
        </w:rPr>
      </w:pPr>
      <w:r>
        <w:rPr>
          <w:rFonts w:hint="cs"/>
          <w:rtl/>
        </w:rPr>
        <w:t xml:space="preserve">קיומו של נוהג מעין זה, שבו נתונה לייעוץ המשפטי לוועדה בלעדיות על ניסוח דברי-ההסבר, מבלי צורך לקבל מראש את אישורו של חבר הכנסת היוזם, של חברי הוועדה, או למצער של יו"ר הוועדה </w:t>
      </w:r>
      <w:r>
        <w:rPr>
          <w:rtl/>
        </w:rPr>
        <w:t>–</w:t>
      </w:r>
      <w:r>
        <w:rPr>
          <w:rFonts w:hint="cs"/>
          <w:rtl/>
        </w:rPr>
        <w:t xml:space="preserve"> מעורר חשש כפול. תחילה, גורמי הייעוץ המשפטי לוועדה, עלולים לטעות טעות כּנה, בתום לב, באשר לכוונתו של יוזם החוק, וחברי הכנסת שתמכו בהצעת-החוק. אותה טעות כּנה, עשויה להשפיע על ניסוחם של דברי-</w:t>
      </w:r>
      <w:r>
        <w:rPr>
          <w:rFonts w:hint="cs"/>
          <w:rtl/>
        </w:rPr>
        <w:lastRenderedPageBreak/>
        <w:t xml:space="preserve">ההסבר, ועשויה להטעות, בבוא העת, גם את בית המשפט. הייעוץ המשפטי לכנסת טוען, כי דברי-ההסבר מנוסחים, </w:t>
      </w:r>
      <w:r>
        <w:rPr>
          <w:rFonts w:ascii="Century" w:hAnsi="Century" w:cs="Miriam" w:hint="cs"/>
          <w:b/>
          <w:spacing w:val="0"/>
          <w:sz w:val="22"/>
          <w:szCs w:val="24"/>
          <w:rtl/>
        </w:rPr>
        <w:t>"</w:t>
      </w:r>
      <w:r w:rsidRPr="009B42EB">
        <w:rPr>
          <w:rFonts w:ascii="Century" w:hAnsi="Century" w:cs="Miriam" w:hint="eastAsia"/>
          <w:b/>
          <w:spacing w:val="0"/>
          <w:sz w:val="22"/>
          <w:szCs w:val="24"/>
          <w:rtl/>
        </w:rPr>
        <w:t>באופן</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המשקף</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את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הרקע</w:t>
      </w:r>
      <w:r w:rsidRPr="009B42EB">
        <w:rPr>
          <w:rFonts w:ascii="Century" w:hAnsi="Century" w:cs="Miriam" w:hint="cs"/>
          <w:b/>
          <w:spacing w:val="0"/>
          <w:sz w:val="22"/>
          <w:szCs w:val="24"/>
          <w:rtl/>
        </w:rPr>
        <w:t xml:space="preserve"> </w:t>
      </w:r>
      <w:r w:rsidRPr="009B42EB">
        <w:rPr>
          <w:rFonts w:ascii="Century" w:hAnsi="Century" w:cs="Miriam" w:hint="eastAsia"/>
          <w:b/>
          <w:spacing w:val="0"/>
          <w:sz w:val="22"/>
          <w:szCs w:val="24"/>
          <w:rtl/>
        </w:rPr>
        <w:t>להצעת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החוק</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ואת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תכליותיה</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כפי</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שעלו</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בדיון</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בוועדה</w:t>
      </w:r>
      <w:r>
        <w:rPr>
          <w:rFonts w:ascii="Century" w:hAnsi="Century" w:cs="Miriam" w:hint="cs"/>
          <w:b/>
          <w:spacing w:val="0"/>
          <w:sz w:val="22"/>
          <w:szCs w:val="24"/>
          <w:rtl/>
        </w:rPr>
        <w:t>"</w:t>
      </w:r>
      <w:r>
        <w:rPr>
          <w:rFonts w:ascii="Century" w:hAnsi="Century" w:hint="cs"/>
          <w:sz w:val="22"/>
          <w:rtl/>
        </w:rPr>
        <w:t xml:space="preserve">. עם זאת, כידוע, </w:t>
      </w:r>
      <w:r>
        <w:rPr>
          <w:rFonts w:hint="cs"/>
          <w:rtl/>
        </w:rPr>
        <w:t xml:space="preserve">איש אינו חף מטעויות, גם לא יועצים משפטיים, אף לא שופטים. גם אם הייעוץ המשפטי מנסה ככל יכולתו לשקף את דעתם של חברי הכנסת, אין בידינו ערובה לכך שהמשימה אכן תושלם בהצלחה. </w:t>
      </w:r>
    </w:p>
    <w:p w:rsidR="00EB02E1" w:rsidRPr="009B42EB" w:rsidRDefault="00EB02E1" w:rsidP="00EB02E1">
      <w:pPr>
        <w:pStyle w:val="Ruller41"/>
      </w:pPr>
    </w:p>
    <w:p w:rsidR="00EB02E1" w:rsidRDefault="00EB02E1" w:rsidP="00EB02E1">
      <w:pPr>
        <w:pStyle w:val="Ruller4"/>
        <w:rPr>
          <w:rtl/>
        </w:rPr>
      </w:pPr>
      <w:r>
        <w:rPr>
          <w:rFonts w:hint="cs"/>
          <w:rtl/>
        </w:rPr>
        <w:t xml:space="preserve">דברי-ההסבר בקריאה הטרומית, הנלווים להצעות-חוק פרטיות, כוחם רב, דווקא מחמת היותם מידע גולמי מ'כלי ראשון', אותו אנו מקבלים הַיְשֵר מידיו של חבר הכנסת היוזם, ללא תיווך. לעומת זאת, דברי-ההסבר לקראת הקריאה הראשונה, משוכתבים ומנוסחים מחדש בידי הייעוץ המשפטי של הוועדה, או אף נכתבים מבראשית על-ידי הייעוץ המשפטי, ככל שמדובר בהצעות חוק מטעם ועדה. ממילא, הם מהווים לכל היותר 'עדות מפי השמועה', מ'כלי שני', על אודות כוונתם הסובייקטיבית של חברי הכנסת. לא ברור עד כמה משקפים דברי-ההסבר את דעתם של חברי הכנסת עצמם. במתכונתם הנוכחית, הדברים אינם אלא הצעה פרשנית מטעמו של הייעוץ המשפטי לוועדה, המתבססת על פרשנותו-שלו הסובייקטיבית, באשר לפרשנות הסובייקטיבית שיש ליתן לדבר החקיקה.  </w:t>
      </w:r>
    </w:p>
    <w:p w:rsidR="00EB02E1" w:rsidRPr="009B42EB" w:rsidRDefault="00EB02E1" w:rsidP="00EB02E1">
      <w:pPr>
        <w:pStyle w:val="Ruller41"/>
      </w:pPr>
    </w:p>
    <w:p w:rsidR="00EB02E1" w:rsidRDefault="00EB02E1" w:rsidP="00EB02E1">
      <w:pPr>
        <w:pStyle w:val="Ruller4"/>
        <w:rPr>
          <w:rtl/>
        </w:rPr>
      </w:pPr>
      <w:r>
        <w:rPr>
          <w:rFonts w:hint="cs"/>
          <w:rtl/>
        </w:rPr>
        <w:t xml:space="preserve">תרחיש אחר, מעורר חשש כבד אף יותר: שמא ואולי, לעיתים מתוך תחושת שליחות, רצון 'לתקן עולם', גורם כלשהו בייעוץ המשפטי לוועדה, עשוי לעשות שבת לעצמו, ולנסח ביודעין דברי-הסבר שאינם תואמים לעמדת חה"כ היוזם, וגם לא לעמדתם של שאר חברי הוועדה. אם כך יקרה, ימצאו עצמם חבר הכנסת היוזם ותומכיו, ניצבים בפני שוקת שבורה. אם יבחרו למשוך את הצעת-החוק מעל שולחן הכנסת, ולהחזירה לדיון חוזר בוועדה </w:t>
      </w:r>
      <w:r>
        <w:rPr>
          <w:rtl/>
        </w:rPr>
        <w:t>–</w:t>
      </w:r>
      <w:r>
        <w:rPr>
          <w:rFonts w:hint="cs"/>
          <w:rtl/>
        </w:rPr>
        <w:t xml:space="preserve"> לא יהא בכך כדי לסייע להם. גם אם חברי הכנסת יצביעו שוב על אותה הצעת-חוק, איש לא ימנע מן הייעוץ המשפטי לחזור פעם נוספת על אותם דברי-הסבר, לצרפם להצעת החוק, וחוזר חלילה. אם יבחרו חברי הכנסת לוותר על המאבק, והצעת החוק תובא להצבעה כמות שהיא, הרי שבית המשפט עשוי להתבקש להסתמך על אותם דברי-הסבר, שאינם משקפים את הכוונה הסובייקטיבית כהווייתה, כדי לסרס את החוק שהתקבל כדת וכדין, או כדי לשנות מן המשמעות שאליה כיוונו מחוקקי-החוק.</w:t>
      </w:r>
    </w:p>
    <w:p w:rsidR="00EB02E1" w:rsidRDefault="00EB02E1" w:rsidP="00EB02E1">
      <w:pPr>
        <w:pStyle w:val="Ruller41"/>
        <w:rPr>
          <w:rtl/>
        </w:rPr>
      </w:pPr>
    </w:p>
    <w:p w:rsidR="00EB02E1" w:rsidRDefault="00EB02E1" w:rsidP="00EB02E1">
      <w:pPr>
        <w:pStyle w:val="Ruller4"/>
        <w:rPr>
          <w:rtl/>
        </w:rPr>
      </w:pPr>
      <w:r>
        <w:rPr>
          <w:rFonts w:hint="cs"/>
          <w:rtl/>
        </w:rPr>
        <w:t xml:space="preserve">אין מדובר בחשש ערטילאי. יש רגליים לדבר, כי כך, לכאורה, אירע בענייננו. חה"כ רוטמן, הרוח החיה מאחורי התיקון לחוק-היסוד ויו"ר הוועדה, העיד לפנינו, כי דברי-ההסבר לא אושרו על-ידו. הייעוץ המשפטי לכנסת, בהשלמת הטיעון מטעמו, אישר כי דברי-ההסבר שלפנינו נוסחו על-ידי גורמי הייעוץ המשפטי לוועדה. כאמור, </w:t>
      </w:r>
      <w:r>
        <w:rPr>
          <w:rFonts w:hint="cs"/>
          <w:rtl/>
        </w:rPr>
        <w:lastRenderedPageBreak/>
        <w:t xml:space="preserve">חברתי הנשיאה (בדימ') מוכיחה באותות ובמופתים כי כוונתם הסובייקטיבית של חברי הכנסת, וחה"כ רוטמן בראשם, היתה למנוע לחלוטין את השימוש בעילת הסבירות לגבי הממשלה ושׂריה; לא רק את הסבירות המהותית, כפי שפותחה בפסק-הדין בעניין </w:t>
      </w:r>
      <w:r w:rsidRPr="009B42EB">
        <w:rPr>
          <w:rFonts w:ascii="Century" w:hAnsi="Century" w:cs="Miriam" w:hint="cs"/>
          <w:b/>
          <w:spacing w:val="0"/>
          <w:sz w:val="22"/>
          <w:szCs w:val="24"/>
          <w:rtl/>
        </w:rPr>
        <w:t>דפי זהב</w:t>
      </w:r>
      <w:r>
        <w:rPr>
          <w:rFonts w:hint="cs"/>
          <w:rtl/>
        </w:rPr>
        <w:t xml:space="preserve">. כיצד ניתן אפוא להסביר את האופן שבו נוסחו דברי-ההסבר, שמכוונים את הקורא למסקנה אחרת? </w:t>
      </w:r>
    </w:p>
    <w:p w:rsidR="00EB02E1" w:rsidRPr="009B42EB" w:rsidRDefault="00EB02E1" w:rsidP="00EB02E1">
      <w:pPr>
        <w:pStyle w:val="Ruller41"/>
      </w:pPr>
    </w:p>
    <w:p w:rsidR="00EB02E1" w:rsidRDefault="00EB02E1" w:rsidP="00EB02E1">
      <w:pPr>
        <w:pStyle w:val="Ruller4"/>
        <w:rPr>
          <w:rtl/>
        </w:rPr>
      </w:pPr>
      <w:r>
        <w:rPr>
          <w:rFonts w:hint="cs"/>
          <w:rtl/>
        </w:rPr>
        <w:t xml:space="preserve">ניתן היה לסבור, כי טעות כנה לגבי כוונת חברי-הכנסת, ובראשם חבר הכנסת היוזם, חה"כ רוטמן, היא שהובילה את גורמי הייעוץ המשפטי לוועדה לנסח את דברי-ההסבר כפי שנוסחו. היה מקום 'לדון לכף זכות', ולסבור שמא באמת ובתמים סברו כי כוונתם של חברי הכנסת היא לקדם הסדר חלקי, שלפיו רק הסבירות המהותית תוגבל, אך הסבירות נוסח 'וונדסברי' תיוותר על מכונה. דא עקא, דברים שנכתבו ונאמרו על-ידי הייעוץ המשפטי לוועדה </w:t>
      </w:r>
      <w:r>
        <w:rPr>
          <w:rtl/>
        </w:rPr>
        <w:t>–</w:t>
      </w:r>
      <w:r>
        <w:rPr>
          <w:rFonts w:hint="cs"/>
          <w:rtl/>
        </w:rPr>
        <w:t xml:space="preserve"> מונעים מאתנו לעשות כן; הן דברים שנכתבו עובר לפרסומם של דברי-ההסבר, הן דברים שנאמרו בדיונים שנערכו בוועדת החוקה, חוק ומשפט, </w:t>
      </w:r>
      <w:r w:rsidRPr="00EC6D01">
        <w:rPr>
          <w:rFonts w:hint="cs"/>
          <w:rtl/>
        </w:rPr>
        <w:t>לאחר</w:t>
      </w:r>
      <w:r>
        <w:rPr>
          <w:rFonts w:hint="cs"/>
          <w:rtl/>
        </w:rPr>
        <w:t xml:space="preserve"> פרסומם של דברי-ההסבר. </w:t>
      </w:r>
    </w:p>
    <w:p w:rsidR="00EB02E1" w:rsidRPr="009B42EB" w:rsidRDefault="00EB02E1" w:rsidP="00EB02E1">
      <w:pPr>
        <w:pStyle w:val="Ruller41"/>
      </w:pPr>
    </w:p>
    <w:p w:rsidR="00EB02E1" w:rsidRDefault="00EB02E1" w:rsidP="00EB02E1">
      <w:pPr>
        <w:pStyle w:val="Ruller4"/>
        <w:rPr>
          <w:rtl/>
        </w:rPr>
      </w:pPr>
      <w:r>
        <w:rPr>
          <w:rFonts w:hint="cs"/>
          <w:rtl/>
        </w:rPr>
        <w:t xml:space="preserve">חברתי הנשיאה (בדימ') (בפסקה 129), מציינת כי </w:t>
      </w:r>
      <w:r w:rsidRPr="009B42EB">
        <w:rPr>
          <w:rFonts w:ascii="Century" w:hAnsi="Century" w:cs="Miriam" w:hint="cs"/>
          <w:b/>
          <w:spacing w:val="0"/>
          <w:sz w:val="22"/>
          <w:szCs w:val="24"/>
          <w:rtl/>
        </w:rPr>
        <w:t>"לאורך כל הליך החקיקה, עמדו גורמי הייעוץ המשפטי לוועדה ולממשלה [...] על הקשיים הטמונים בנוסחו הגורף והבלתי מסוייג של התיקון המוצע, השולל לחלוטין את הביקורת השיפוטית בעילת הסבירות, ללא הבחנה בין מובניה השונים של העילה או בין סוגים שונים של החלטות הדרג הנבחר. עמדה זו קבלה ביטוי, בין היתר, כבר במסמך ההכנה מיום 23.6.2023, בו הצביע הייעוץ המשפטי לוועדה על כך שהתיקון המוצע אינו מבטל את עילת הסבירות אך כמובנה בעניין דפי זהב, אלא שולל באופן קטגורי את השימוש בה, לרבות במובנה הצר כ'מופרכות'"</w:t>
      </w:r>
      <w:r>
        <w:rPr>
          <w:rFonts w:hint="cs"/>
          <w:rtl/>
        </w:rPr>
        <w:t xml:space="preserve">, תוך שחברתי מפנה לאמור בעמוד 8 למסמך ההכנה. כך אכן נאמר באותו מסמך: </w:t>
      </w:r>
      <w:r w:rsidRPr="009B42EB">
        <w:rPr>
          <w:rFonts w:ascii="Century" w:hAnsi="Century" w:cs="Miriam" w:hint="cs"/>
          <w:b/>
          <w:spacing w:val="0"/>
          <w:sz w:val="22"/>
          <w:szCs w:val="24"/>
          <w:rtl/>
        </w:rPr>
        <w:t>"</w:t>
      </w:r>
      <w:r w:rsidRPr="009B42EB">
        <w:rPr>
          <w:rFonts w:ascii="Century" w:hAnsi="Century" w:cs="Miriam"/>
          <w:b/>
          <w:spacing w:val="0"/>
          <w:sz w:val="22"/>
          <w:szCs w:val="24"/>
          <w:rtl/>
        </w:rPr>
        <w:t xml:space="preserve">ההצעה העומדת לפתחה של הוועדה אינה כוללת רק צמצום של האופן שבו מופעלת עילת הסבירות בידי בית המשפט </w:t>
      </w:r>
      <w:r w:rsidRPr="009B42EB">
        <w:rPr>
          <w:rFonts w:ascii="Century" w:hAnsi="Century" w:cs="Miriam" w:hint="cs"/>
          <w:b/>
          <w:spacing w:val="0"/>
          <w:sz w:val="22"/>
          <w:szCs w:val="24"/>
          <w:rtl/>
        </w:rPr>
        <w:t>(</w:t>
      </w:r>
      <w:r w:rsidRPr="009B42EB">
        <w:rPr>
          <w:rFonts w:ascii="Century" w:hAnsi="Century" w:cs="Miriam"/>
          <w:b/>
          <w:spacing w:val="0"/>
          <w:sz w:val="22"/>
          <w:szCs w:val="24"/>
          <w:rtl/>
        </w:rPr>
        <w:t xml:space="preserve">למשל </w:t>
      </w:r>
      <w:r w:rsidRPr="009B42EB">
        <w:rPr>
          <w:rFonts w:ascii="Century" w:hAnsi="Century"/>
          <w:sz w:val="22"/>
          <w:rtl/>
        </w:rPr>
        <w:t>–</w:t>
      </w:r>
      <w:r w:rsidRPr="009B42EB">
        <w:rPr>
          <w:rFonts w:ascii="Century" w:hAnsi="Century" w:cs="Miriam"/>
          <w:b/>
          <w:spacing w:val="0"/>
          <w:sz w:val="22"/>
          <w:szCs w:val="24"/>
          <w:rtl/>
        </w:rPr>
        <w:t xml:space="preserve"> בקביעה כי בהחלטות מסוימות ניתן יהיה להתערב רק בסטנדרט </w:t>
      </w:r>
      <w:r w:rsidRPr="009B42EB">
        <w:rPr>
          <w:rFonts w:ascii="Century" w:hAnsi="Century" w:cs="Miriam" w:hint="cs"/>
          <w:b/>
          <w:spacing w:val="0"/>
          <w:sz w:val="22"/>
          <w:szCs w:val="24"/>
          <w:rtl/>
        </w:rPr>
        <w:t>'</w:t>
      </w:r>
      <w:r w:rsidRPr="009B42EB">
        <w:rPr>
          <w:rFonts w:ascii="Century" w:hAnsi="Century" w:cs="Miriam"/>
          <w:b/>
          <w:spacing w:val="0"/>
          <w:sz w:val="22"/>
          <w:szCs w:val="24"/>
          <w:rtl/>
        </w:rPr>
        <w:t>צר</w:t>
      </w:r>
      <w:r w:rsidRPr="009B42EB">
        <w:rPr>
          <w:rFonts w:ascii="Century" w:hAnsi="Century" w:cs="Miriam" w:hint="cs"/>
          <w:b/>
          <w:spacing w:val="0"/>
          <w:sz w:val="22"/>
          <w:szCs w:val="24"/>
          <w:rtl/>
        </w:rPr>
        <w:t>'</w:t>
      </w:r>
      <w:r w:rsidRPr="009B42EB">
        <w:rPr>
          <w:rFonts w:ascii="Century" w:hAnsi="Century" w:cs="Miriam"/>
          <w:b/>
          <w:spacing w:val="0"/>
          <w:sz w:val="22"/>
          <w:szCs w:val="24"/>
          <w:rtl/>
        </w:rPr>
        <w:t xml:space="preserve"> של </w:t>
      </w:r>
      <w:r w:rsidRPr="009B42EB">
        <w:rPr>
          <w:rFonts w:ascii="Century" w:hAnsi="Century" w:cs="Miriam" w:hint="cs"/>
          <w:b/>
          <w:spacing w:val="0"/>
          <w:sz w:val="22"/>
          <w:szCs w:val="24"/>
          <w:rtl/>
        </w:rPr>
        <w:t>'</w:t>
      </w:r>
      <w:r w:rsidRPr="009B42EB">
        <w:rPr>
          <w:rFonts w:ascii="Century" w:hAnsi="Century" w:cs="Miriam"/>
          <w:b/>
          <w:spacing w:val="0"/>
          <w:sz w:val="22"/>
          <w:szCs w:val="24"/>
          <w:rtl/>
        </w:rPr>
        <w:t>מופרכות</w:t>
      </w:r>
      <w:r w:rsidRPr="009B42EB">
        <w:rPr>
          <w:rFonts w:ascii="Century" w:hAnsi="Century" w:cs="Miriam" w:hint="cs"/>
          <w:b/>
          <w:spacing w:val="0"/>
          <w:sz w:val="22"/>
          <w:szCs w:val="24"/>
          <w:rtl/>
        </w:rPr>
        <w:t>'</w:t>
      </w:r>
      <w:r w:rsidRPr="009B42EB">
        <w:rPr>
          <w:rFonts w:ascii="Century" w:hAnsi="Century" w:cs="Miriam"/>
          <w:b/>
          <w:spacing w:val="0"/>
          <w:sz w:val="22"/>
          <w:szCs w:val="24"/>
          <w:rtl/>
        </w:rPr>
        <w:t xml:space="preserve"> שהוזכר לעיל</w:t>
      </w:r>
      <w:r w:rsidRPr="009B42EB">
        <w:rPr>
          <w:rFonts w:ascii="Century" w:hAnsi="Century" w:cs="Miriam" w:hint="cs"/>
          <w:b/>
          <w:spacing w:val="0"/>
          <w:sz w:val="22"/>
          <w:szCs w:val="24"/>
          <w:rtl/>
        </w:rPr>
        <w:t>)</w:t>
      </w:r>
      <w:r w:rsidRPr="009B42EB">
        <w:rPr>
          <w:rFonts w:ascii="Century" w:hAnsi="Century" w:cs="Miriam"/>
          <w:b/>
          <w:spacing w:val="0"/>
          <w:sz w:val="22"/>
          <w:szCs w:val="24"/>
          <w:rtl/>
        </w:rPr>
        <w:t xml:space="preserve">, אלא מוצע בה כי המחוקק ימנע בצורה קטגורית את השימוש בעילה זו </w:t>
      </w:r>
      <w:r w:rsidRPr="009B42EB">
        <w:rPr>
          <w:rFonts w:ascii="Century" w:hAnsi="Century"/>
          <w:sz w:val="22"/>
          <w:rtl/>
        </w:rPr>
        <w:t>–</w:t>
      </w:r>
      <w:r w:rsidRPr="009B42EB">
        <w:rPr>
          <w:rFonts w:ascii="Century" w:hAnsi="Century" w:cs="Miriam"/>
          <w:b/>
          <w:spacing w:val="0"/>
          <w:sz w:val="22"/>
          <w:szCs w:val="24"/>
          <w:rtl/>
        </w:rPr>
        <w:t xml:space="preserve"> תוך קביעה כי על בית המשפט ייאסר </w:t>
      </w:r>
      <w:r w:rsidRPr="009B42EB">
        <w:rPr>
          <w:rFonts w:ascii="Century" w:hAnsi="Century" w:cs="Miriam" w:hint="cs"/>
          <w:b/>
          <w:spacing w:val="0"/>
          <w:sz w:val="22"/>
          <w:szCs w:val="24"/>
          <w:rtl/>
        </w:rPr>
        <w:t>'</w:t>
      </w:r>
      <w:r w:rsidRPr="009B42EB">
        <w:rPr>
          <w:rFonts w:ascii="Century" w:hAnsi="Century" w:cs="Miriam"/>
          <w:b/>
          <w:spacing w:val="0"/>
          <w:sz w:val="22"/>
          <w:szCs w:val="24"/>
          <w:rtl/>
        </w:rPr>
        <w:t>לדון</w:t>
      </w:r>
      <w:r w:rsidRPr="009B42EB">
        <w:rPr>
          <w:rFonts w:ascii="Century" w:hAnsi="Century" w:cs="Miriam" w:hint="cs"/>
          <w:b/>
          <w:spacing w:val="0"/>
          <w:sz w:val="22"/>
          <w:szCs w:val="24"/>
          <w:rtl/>
        </w:rPr>
        <w:t>'</w:t>
      </w:r>
      <w:r w:rsidRPr="009B42EB">
        <w:rPr>
          <w:rFonts w:ascii="Century" w:hAnsi="Century" w:cs="Miriam"/>
          <w:b/>
          <w:spacing w:val="0"/>
          <w:sz w:val="22"/>
          <w:szCs w:val="24"/>
          <w:rtl/>
        </w:rPr>
        <w:t xml:space="preserve"> בסבירות ההחלטות של נבחרי ציבור</w:t>
      </w:r>
      <w:r w:rsidRPr="009B42EB">
        <w:rPr>
          <w:rFonts w:ascii="Century" w:hAnsi="Century" w:cs="Miriam" w:hint="cs"/>
          <w:b/>
          <w:spacing w:val="0"/>
          <w:sz w:val="22"/>
          <w:szCs w:val="24"/>
          <w:rtl/>
        </w:rPr>
        <w:t>"</w:t>
      </w:r>
      <w:r>
        <w:rPr>
          <w:rFonts w:hint="cs"/>
          <w:rtl/>
        </w:rPr>
        <w:t>. דברים מפורשים וברורים, שאינם משתמעים לשני פנים: כוונתו המוצהרת של התיקון, היא למנוע לחלוטין את השימוש בעילת הסבירות לגבי החלטות הממשלה ושׂריה.</w:t>
      </w:r>
    </w:p>
    <w:p w:rsidR="00EB02E1" w:rsidRPr="009B42EB" w:rsidRDefault="00EB02E1" w:rsidP="00EB02E1">
      <w:pPr>
        <w:pStyle w:val="Ruller41"/>
      </w:pPr>
    </w:p>
    <w:p w:rsidR="00EB02E1" w:rsidRDefault="00EB02E1" w:rsidP="00EB02E1">
      <w:pPr>
        <w:pStyle w:val="Ruller4"/>
        <w:rPr>
          <w:rtl/>
        </w:rPr>
      </w:pPr>
      <w:r>
        <w:rPr>
          <w:rFonts w:hint="cs"/>
          <w:rtl/>
        </w:rPr>
        <w:t xml:space="preserve">פרשנות זו, המשיכה להינתן להצעת החוק, על-ידי הייעוץ המשפטי לוועדה, גם </w:t>
      </w:r>
      <w:r w:rsidRPr="009B42EB">
        <w:rPr>
          <w:rFonts w:ascii="Century" w:hAnsi="Century" w:cs="Miriam" w:hint="cs"/>
          <w:b/>
          <w:spacing w:val="0"/>
          <w:sz w:val="22"/>
          <w:szCs w:val="24"/>
          <w:rtl/>
        </w:rPr>
        <w:t>לאחר</w:t>
      </w:r>
      <w:r>
        <w:rPr>
          <w:rFonts w:hint="cs"/>
          <w:rtl/>
        </w:rPr>
        <w:t xml:space="preserve"> שפורסמו דברי-ההסבר, שנכתבו, כאמור, על-ידם. אצטט שוב מדבריה של חברתי הנשיאה (בדימ') (בפסקה 130): </w:t>
      </w:r>
      <w:r w:rsidRPr="009B42EB">
        <w:rPr>
          <w:rFonts w:ascii="Century" w:hAnsi="Century" w:cs="Miriam" w:hint="cs"/>
          <w:b/>
          <w:spacing w:val="0"/>
          <w:sz w:val="22"/>
          <w:szCs w:val="24"/>
          <w:rtl/>
        </w:rPr>
        <w:t xml:space="preserve">"היועץ המשפטי לוועדה, עו"ד בליי שב והבהיר גם לאחר </w:t>
      </w:r>
      <w:r w:rsidRPr="009B42EB">
        <w:rPr>
          <w:rFonts w:ascii="Century" w:hAnsi="Century" w:cs="Miriam" w:hint="cs"/>
          <w:b/>
          <w:spacing w:val="0"/>
          <w:sz w:val="22"/>
          <w:szCs w:val="24"/>
          <w:rtl/>
        </w:rPr>
        <w:lastRenderedPageBreak/>
        <w:t>פרסום דברי ההסבר, כי נוסח התיקון 'לא מותיר ביחס לנבחרי ציבור עילה של חוסר סבירות קיצונית במובן של מופרכות'"</w:t>
      </w:r>
      <w:r>
        <w:rPr>
          <w:rFonts w:hint="cs"/>
          <w:rtl/>
        </w:rPr>
        <w:t xml:space="preserve">, תוך הפנייה לאמור בעמוד 11 לפרוטוקול ישיבה 121. הווי אומר, הייעוץ המשפטי לוועדת החוקה, חוק ומשפט, סבור היה, בזמן אמת, כי כוונתם האמיתית של חברי-הכנסת, היא לצמצם את עילת הסבירות באופן גורף; גם לא סבירות נוסח 'וונדסברי'. </w:t>
      </w:r>
    </w:p>
    <w:p w:rsidR="00EB02E1" w:rsidRPr="009B42EB" w:rsidRDefault="00EB02E1" w:rsidP="00EB02E1">
      <w:pPr>
        <w:pStyle w:val="Ruller41"/>
      </w:pPr>
    </w:p>
    <w:p w:rsidR="00EB02E1" w:rsidRPr="009B42EB" w:rsidRDefault="00EB02E1" w:rsidP="00EB02E1">
      <w:pPr>
        <w:pStyle w:val="Ruller4"/>
        <w:rPr>
          <w:rtl/>
        </w:rPr>
      </w:pPr>
      <w:r>
        <w:rPr>
          <w:rFonts w:hint="cs"/>
          <w:rtl/>
        </w:rPr>
        <w:t xml:space="preserve">כך היה, כאמור, לאורך כל הדרך; לפני פרסומם של דברי-ההסבר, וגם לאחר מכן. חרף זאת, דברי-ההסבר להצעת החוק, מביאים את הקורא-הפרשן למסקנה שונה בתכלית, שלפיה כוונת חברי הכנסת היתה לצמצום חלקי בלבד של עילת הסבירות. זאת, שלא כאמור בהשלמת הטיעון מטעם הכנסת, שלפיה דברי-ההסבר מנוסחים, </w:t>
      </w:r>
      <w:r w:rsidRPr="009B42EB">
        <w:rPr>
          <w:rFonts w:ascii="Century" w:hAnsi="Century" w:cs="Miriam" w:hint="cs"/>
          <w:b/>
          <w:spacing w:val="0"/>
          <w:sz w:val="22"/>
          <w:szCs w:val="24"/>
          <w:rtl/>
        </w:rPr>
        <w:t>"</w:t>
      </w:r>
      <w:r w:rsidRPr="009B42EB">
        <w:rPr>
          <w:rFonts w:ascii="Century" w:hAnsi="Century" w:cs="Miriam" w:hint="eastAsia"/>
          <w:b/>
          <w:spacing w:val="0"/>
          <w:sz w:val="22"/>
          <w:szCs w:val="24"/>
          <w:rtl/>
        </w:rPr>
        <w:t>באופן</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המשקף</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את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הרקע</w:t>
      </w:r>
      <w:r w:rsidRPr="009B42EB">
        <w:rPr>
          <w:rFonts w:ascii="Century" w:hAnsi="Century" w:cs="Miriam" w:hint="cs"/>
          <w:b/>
          <w:spacing w:val="0"/>
          <w:sz w:val="22"/>
          <w:szCs w:val="24"/>
          <w:rtl/>
        </w:rPr>
        <w:t xml:space="preserve"> </w:t>
      </w:r>
      <w:r w:rsidRPr="009B42EB">
        <w:rPr>
          <w:rFonts w:ascii="Century" w:hAnsi="Century" w:cs="Miriam" w:hint="eastAsia"/>
          <w:b/>
          <w:spacing w:val="0"/>
          <w:sz w:val="22"/>
          <w:szCs w:val="24"/>
          <w:rtl/>
        </w:rPr>
        <w:t>להצעת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החוק</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ואת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תכליותיה</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כפי</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שעלו</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בדיון</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בוועדה</w:t>
      </w:r>
      <w:r w:rsidRPr="009B42EB">
        <w:rPr>
          <w:rFonts w:ascii="Century" w:hAnsi="Century" w:cs="Miriam" w:hint="cs"/>
          <w:b/>
          <w:spacing w:val="0"/>
          <w:sz w:val="22"/>
          <w:szCs w:val="24"/>
          <w:rtl/>
        </w:rPr>
        <w:t>"</w:t>
      </w:r>
      <w:r w:rsidRPr="009B42EB">
        <w:rPr>
          <w:rFonts w:ascii="Century" w:hAnsi="Century" w:hint="cs"/>
          <w:sz w:val="22"/>
          <w:rtl/>
        </w:rPr>
        <w:t xml:space="preserve">. </w:t>
      </w:r>
    </w:p>
    <w:p w:rsidR="00EB02E1" w:rsidRDefault="00EB02E1" w:rsidP="00EB02E1">
      <w:pPr>
        <w:pStyle w:val="Ruller41"/>
        <w:rPr>
          <w:rtl/>
        </w:rPr>
      </w:pPr>
    </w:p>
    <w:p w:rsidR="00EB02E1" w:rsidRDefault="00EB02E1" w:rsidP="00EB02E1">
      <w:pPr>
        <w:pStyle w:val="Ruller4"/>
        <w:rPr>
          <w:rtl/>
        </w:rPr>
      </w:pPr>
      <w:r>
        <w:rPr>
          <w:rFonts w:hint="cs"/>
          <w:rtl/>
        </w:rPr>
        <w:t xml:space="preserve">במצב דברים זה יש לתהות, האם ישנה הצדקה להמשיך ולייחס משקל נכבד, גם לאותם דברי-הסבר המצורפים לקראת הקריאה הראשונה. על פני הדברים, המשקל הראוי ל'דברי הסבר' מעין אלו, צריך להיות דומה לזה הניתן לכל מסמך אחר היוצא מתחת ידיו של הייעוץ המשפטי לוועדות הכנסת. כבודו של מסמך כזה </w:t>
      </w:r>
      <w:r>
        <w:rPr>
          <w:rtl/>
        </w:rPr>
        <w:t>–</w:t>
      </w:r>
      <w:r>
        <w:rPr>
          <w:rFonts w:hint="cs"/>
          <w:rtl/>
        </w:rPr>
        <w:t xml:space="preserve"> במקומו מונח, אך אין לקשור בינו לבין ההיסטוריה החקיקתית של החוק, שעניינה בפרשנות סובייקטיבית של היוצרים, חברי הכנסת, לדבר חקיקה היוצא מתחת ידיהם; הם ולא אחרים. אם וכאשר תתייחס הוועדה באופן מפורש לדברי-ההסבר ותאשר אותם, או אז ניתן יהיה להסתמך עליהם כפי שנעשה עד כה; ראוי לטעמי, אף מתבקש, כי כך אכן יֵעשה, משום שחבל לוותר על אמצעי פרשני חשוב זה.</w:t>
      </w:r>
    </w:p>
    <w:p w:rsidR="00EB02E1" w:rsidRDefault="00EB02E1" w:rsidP="00EB02E1">
      <w:pPr>
        <w:pStyle w:val="Ruller41"/>
        <w:rPr>
          <w:rtl/>
        </w:rPr>
      </w:pPr>
    </w:p>
    <w:p w:rsidR="00EB02E1" w:rsidRPr="002C3D93" w:rsidRDefault="00EB02E1" w:rsidP="00EB02E1">
      <w:pPr>
        <w:pStyle w:val="2"/>
        <w:rPr>
          <w:rtl/>
        </w:rPr>
      </w:pPr>
      <w:bookmarkStart w:id="77" w:name="_Toc154942598"/>
      <w:bookmarkStart w:id="78" w:name="_Toc154944421"/>
      <w:bookmarkStart w:id="79" w:name="_Toc154947531"/>
      <w:r w:rsidRPr="002C3D93">
        <w:rPr>
          <w:rFonts w:ascii="Century" w:hAnsi="Century" w:cs="Miriam"/>
          <w:b/>
          <w:color w:val="auto"/>
          <w:sz w:val="22"/>
          <w:szCs w:val="24"/>
          <w:rtl/>
        </w:rPr>
        <w:t>'</w:t>
      </w:r>
      <w:r w:rsidRPr="002C3D93">
        <w:rPr>
          <w:rFonts w:ascii="Century" w:hAnsi="Century" w:cs="Miriam" w:hint="eastAsia"/>
          <w:b/>
          <w:color w:val="auto"/>
          <w:sz w:val="22"/>
          <w:szCs w:val="24"/>
          <w:rtl/>
        </w:rPr>
        <w:t>על</w:t>
      </w:r>
      <w:r w:rsidRPr="002C3D93">
        <w:rPr>
          <w:rFonts w:ascii="Century" w:hAnsi="Century" w:cs="Miriam"/>
          <w:b/>
          <w:color w:val="auto"/>
          <w:sz w:val="22"/>
          <w:szCs w:val="24"/>
          <w:rtl/>
        </w:rPr>
        <w:t xml:space="preserve"> </w:t>
      </w:r>
      <w:r w:rsidRPr="002C3D93">
        <w:rPr>
          <w:rFonts w:ascii="Century" w:hAnsi="Century" w:cs="Miriam" w:hint="eastAsia"/>
          <w:b/>
          <w:color w:val="auto"/>
          <w:sz w:val="22"/>
          <w:szCs w:val="24"/>
          <w:rtl/>
        </w:rPr>
        <w:t>ערכים</w:t>
      </w:r>
      <w:r w:rsidRPr="002C3D93">
        <w:rPr>
          <w:rFonts w:ascii="Century" w:hAnsi="Century" w:cs="Miriam"/>
          <w:b/>
          <w:color w:val="auto"/>
          <w:sz w:val="22"/>
          <w:szCs w:val="24"/>
          <w:rtl/>
        </w:rPr>
        <w:t xml:space="preserve"> </w:t>
      </w:r>
      <w:r w:rsidRPr="002C3D93">
        <w:rPr>
          <w:rFonts w:ascii="Century" w:hAnsi="Century" w:cs="Miriam" w:hint="eastAsia"/>
          <w:b/>
          <w:color w:val="auto"/>
          <w:sz w:val="22"/>
          <w:szCs w:val="24"/>
          <w:rtl/>
        </w:rPr>
        <w:t>סובייקטיביים</w:t>
      </w:r>
      <w:r w:rsidRPr="002C3D93">
        <w:rPr>
          <w:rFonts w:ascii="Century" w:hAnsi="Century" w:cs="Miriam"/>
          <w:b/>
          <w:color w:val="auto"/>
          <w:sz w:val="22"/>
          <w:szCs w:val="24"/>
          <w:rtl/>
        </w:rPr>
        <w:t xml:space="preserve"> </w:t>
      </w:r>
      <w:r w:rsidRPr="002C3D93">
        <w:rPr>
          <w:rFonts w:ascii="Century" w:hAnsi="Century" w:cs="Miriam" w:hint="eastAsia"/>
          <w:b/>
          <w:color w:val="auto"/>
          <w:sz w:val="22"/>
          <w:szCs w:val="24"/>
          <w:rtl/>
        </w:rPr>
        <w:t>ושופטים</w:t>
      </w:r>
      <w:r w:rsidRPr="002C3D93">
        <w:rPr>
          <w:rFonts w:ascii="Century" w:hAnsi="Century" w:cs="Miriam"/>
          <w:b/>
          <w:color w:val="auto"/>
          <w:sz w:val="22"/>
          <w:szCs w:val="24"/>
          <w:rtl/>
        </w:rPr>
        <w:t xml:space="preserve"> </w:t>
      </w:r>
      <w:r w:rsidRPr="002C3D93">
        <w:rPr>
          <w:rFonts w:ascii="Century" w:hAnsi="Century" w:cs="Miriam" w:hint="eastAsia"/>
          <w:b/>
          <w:color w:val="auto"/>
          <w:sz w:val="22"/>
          <w:szCs w:val="24"/>
          <w:rtl/>
        </w:rPr>
        <w:t>אובייקטיביים</w:t>
      </w:r>
      <w:r w:rsidRPr="002C3D93">
        <w:rPr>
          <w:rFonts w:ascii="Century" w:hAnsi="Century" w:cs="Miriam"/>
          <w:b/>
          <w:color w:val="auto"/>
          <w:sz w:val="22"/>
          <w:szCs w:val="24"/>
          <w:rtl/>
        </w:rPr>
        <w:t>'</w:t>
      </w:r>
      <w:bookmarkEnd w:id="77"/>
      <w:bookmarkEnd w:id="78"/>
      <w:bookmarkEnd w:id="79"/>
      <w:r w:rsidRPr="002C3D93">
        <w:rPr>
          <w:rFonts w:ascii="Century" w:hAnsi="Century" w:cs="Miriam"/>
          <w:b/>
          <w:color w:val="auto"/>
          <w:sz w:val="22"/>
          <w:szCs w:val="24"/>
          <w:rtl/>
        </w:rPr>
        <w:t xml:space="preserve"> </w:t>
      </w:r>
    </w:p>
    <w:p w:rsidR="00EB02E1" w:rsidRPr="00BD13A7" w:rsidRDefault="00EB02E1" w:rsidP="00EB02E1">
      <w:pPr>
        <w:pStyle w:val="Ruller4"/>
        <w:rPr>
          <w:rFonts w:ascii="Century" w:hAnsi="Century"/>
          <w:rtl/>
        </w:rPr>
      </w:pPr>
      <w:r>
        <w:rPr>
          <w:rFonts w:hint="cs"/>
          <w:rtl/>
        </w:rPr>
        <w:t xml:space="preserve">מרבית חברַי באו בעניינה של </w:t>
      </w:r>
      <w:r w:rsidRPr="00BD13A7">
        <w:rPr>
          <w:rFonts w:ascii="Century" w:hAnsi="Century" w:cs="Miriam" w:hint="cs"/>
          <w:b/>
          <w:spacing w:val="0"/>
          <w:sz w:val="22"/>
          <w:szCs w:val="24"/>
          <w:rtl/>
        </w:rPr>
        <w:t>עילת הסבירות</w:t>
      </w:r>
      <w:r>
        <w:rPr>
          <w:rFonts w:hint="cs"/>
          <w:rtl/>
        </w:rPr>
        <w:t>, מי ברב ומי במעט. את אשר היה לי לומר על עלילות העילה, אמרתי בעבר, לא פעם ולא פעמיים, במאמרים ובפסקי דין. שלא בטובתי, לא ברצוני, נכרכתי לפולמוס סביב השאלה מהי עמדתי לגבי חקיקתו של חוק-היסוד. בעיצומו של הליך החקיקה, הופנתה שאילתא לדוברוּת הרשות השופטת, באשר לעמדתי. זו היתה תשובתי:</w:t>
      </w:r>
    </w:p>
    <w:p w:rsidR="00EB02E1" w:rsidRDefault="00EB02E1" w:rsidP="00EB02E1">
      <w:pPr>
        <w:pStyle w:val="Ruller41"/>
        <w:rPr>
          <w:rtl/>
        </w:rPr>
      </w:pPr>
    </w:p>
    <w:p w:rsidR="00EB02E1" w:rsidRDefault="00EB02E1" w:rsidP="00EB02E1">
      <w:pPr>
        <w:pStyle w:val="Ruller5"/>
        <w:rPr>
          <w:rtl/>
        </w:rPr>
      </w:pPr>
      <w:r w:rsidRPr="00646423">
        <w:rPr>
          <w:rFonts w:ascii="Century" w:hAnsi="Century" w:cs="Miriam"/>
          <w:b/>
          <w:spacing w:val="0"/>
          <w:szCs w:val="24"/>
          <w:rtl/>
        </w:rPr>
        <w:t>"</w:t>
      </w:r>
      <w:r w:rsidRPr="00646423">
        <w:rPr>
          <w:rFonts w:ascii="Century" w:hAnsi="Century" w:cs="Miriam" w:hint="eastAsia"/>
          <w:b/>
          <w:spacing w:val="0"/>
          <w:szCs w:val="24"/>
          <w:rtl/>
        </w:rPr>
        <w:t>ניתנת</w:t>
      </w:r>
      <w:r w:rsidRPr="00646423">
        <w:rPr>
          <w:rFonts w:ascii="Century" w:hAnsi="Century" w:cs="Miriam"/>
          <w:b/>
          <w:spacing w:val="0"/>
          <w:szCs w:val="24"/>
          <w:rtl/>
        </w:rPr>
        <w:t xml:space="preserve"> </w:t>
      </w:r>
      <w:r w:rsidRPr="00646423">
        <w:rPr>
          <w:rFonts w:ascii="Century" w:hAnsi="Century" w:cs="Miriam" w:hint="eastAsia"/>
          <w:b/>
          <w:spacing w:val="0"/>
          <w:szCs w:val="24"/>
          <w:rtl/>
        </w:rPr>
        <w:t>האמת</w:t>
      </w:r>
      <w:r w:rsidRPr="00646423">
        <w:rPr>
          <w:rFonts w:ascii="Century" w:hAnsi="Century" w:cs="Miriam"/>
          <w:b/>
          <w:spacing w:val="0"/>
          <w:szCs w:val="24"/>
          <w:rtl/>
        </w:rPr>
        <w:t xml:space="preserve"> </w:t>
      </w:r>
      <w:r w:rsidRPr="00646423">
        <w:rPr>
          <w:rFonts w:ascii="Century" w:hAnsi="Century" w:cs="Miriam" w:hint="eastAsia"/>
          <w:b/>
          <w:spacing w:val="0"/>
          <w:szCs w:val="24"/>
          <w:rtl/>
        </w:rPr>
        <w:t>לה</w:t>
      </w:r>
      <w:r>
        <w:rPr>
          <w:rFonts w:ascii="Century" w:hAnsi="Century" w:cs="Miriam" w:hint="cs"/>
          <w:b/>
          <w:spacing w:val="0"/>
          <w:szCs w:val="24"/>
          <w:rtl/>
        </w:rPr>
        <w:t>ֵ</w:t>
      </w:r>
      <w:r w:rsidRPr="00646423">
        <w:rPr>
          <w:rFonts w:ascii="Century" w:hAnsi="Century" w:cs="Miriam" w:hint="eastAsia"/>
          <w:b/>
          <w:spacing w:val="0"/>
          <w:szCs w:val="24"/>
          <w:rtl/>
        </w:rPr>
        <w:t>אמר</w:t>
      </w:r>
      <w:r w:rsidRPr="00646423">
        <w:rPr>
          <w:rFonts w:ascii="Century" w:hAnsi="Century" w:cs="Miriam"/>
          <w:b/>
          <w:spacing w:val="0"/>
          <w:szCs w:val="24"/>
          <w:rtl/>
        </w:rPr>
        <w:t xml:space="preserve">: </w:t>
      </w:r>
      <w:r w:rsidRPr="00646423">
        <w:rPr>
          <w:rFonts w:ascii="Century" w:hAnsi="Century" w:cs="Miriam" w:hint="eastAsia"/>
          <w:b/>
          <w:spacing w:val="0"/>
          <w:szCs w:val="24"/>
          <w:rtl/>
        </w:rPr>
        <w:t>לא</w:t>
      </w:r>
      <w:r w:rsidRPr="00646423">
        <w:rPr>
          <w:rFonts w:ascii="Century" w:hAnsi="Century" w:cs="Miriam"/>
          <w:b/>
          <w:spacing w:val="0"/>
          <w:szCs w:val="24"/>
          <w:rtl/>
        </w:rPr>
        <w:t xml:space="preserve"> </w:t>
      </w:r>
      <w:r w:rsidRPr="00646423">
        <w:rPr>
          <w:rFonts w:ascii="Century" w:hAnsi="Century" w:cs="Miriam" w:hint="eastAsia"/>
          <w:b/>
          <w:spacing w:val="0"/>
          <w:szCs w:val="24"/>
          <w:rtl/>
        </w:rPr>
        <w:t>חשבתי</w:t>
      </w:r>
      <w:r w:rsidRPr="00646423">
        <w:rPr>
          <w:rFonts w:ascii="Century" w:hAnsi="Century" w:cs="Miriam"/>
          <w:b/>
          <w:spacing w:val="0"/>
          <w:szCs w:val="24"/>
          <w:rtl/>
        </w:rPr>
        <w:t xml:space="preserve"> </w:t>
      </w:r>
      <w:r w:rsidRPr="00646423">
        <w:rPr>
          <w:rFonts w:ascii="Century" w:hAnsi="Century" w:cs="Miriam" w:hint="eastAsia"/>
          <w:b/>
          <w:spacing w:val="0"/>
          <w:szCs w:val="24"/>
          <w:rtl/>
        </w:rPr>
        <w:t>אז</w:t>
      </w:r>
      <w:r w:rsidRPr="00646423">
        <w:rPr>
          <w:rFonts w:ascii="Century" w:hAnsi="Century" w:cs="Miriam"/>
          <w:b/>
          <w:spacing w:val="0"/>
          <w:szCs w:val="24"/>
          <w:rtl/>
        </w:rPr>
        <w:t xml:space="preserve">, </w:t>
      </w:r>
      <w:r w:rsidRPr="00646423">
        <w:rPr>
          <w:rFonts w:ascii="Century" w:hAnsi="Century" w:cs="Miriam" w:hint="eastAsia"/>
          <w:b/>
          <w:spacing w:val="0"/>
          <w:szCs w:val="24"/>
          <w:rtl/>
        </w:rPr>
        <w:t>לפני</w:t>
      </w:r>
      <w:r w:rsidRPr="00646423">
        <w:rPr>
          <w:rFonts w:ascii="Century" w:hAnsi="Century" w:cs="Miriam"/>
          <w:b/>
          <w:spacing w:val="0"/>
          <w:szCs w:val="24"/>
          <w:rtl/>
        </w:rPr>
        <w:t xml:space="preserve"> 3 </w:t>
      </w:r>
      <w:r w:rsidRPr="00646423">
        <w:rPr>
          <w:rFonts w:ascii="Century" w:hAnsi="Century" w:cs="Miriam" w:hint="eastAsia"/>
          <w:b/>
          <w:spacing w:val="0"/>
          <w:szCs w:val="24"/>
          <w:rtl/>
        </w:rPr>
        <w:t>וחצי</w:t>
      </w:r>
      <w:r w:rsidRPr="00646423">
        <w:rPr>
          <w:rFonts w:ascii="Century" w:hAnsi="Century" w:cs="Miriam"/>
          <w:b/>
          <w:spacing w:val="0"/>
          <w:szCs w:val="24"/>
          <w:rtl/>
        </w:rPr>
        <w:t xml:space="preserve"> </w:t>
      </w:r>
      <w:r w:rsidRPr="00646423">
        <w:rPr>
          <w:rFonts w:ascii="Century" w:hAnsi="Century" w:cs="Miriam" w:hint="eastAsia"/>
          <w:b/>
          <w:spacing w:val="0"/>
          <w:szCs w:val="24"/>
          <w:rtl/>
        </w:rPr>
        <w:t>שנים</w:t>
      </w:r>
      <w:r w:rsidRPr="00646423">
        <w:rPr>
          <w:rFonts w:ascii="Century" w:hAnsi="Century" w:cs="Miriam"/>
          <w:b/>
          <w:spacing w:val="0"/>
          <w:szCs w:val="24"/>
          <w:rtl/>
        </w:rPr>
        <w:t xml:space="preserve">, </w:t>
      </w:r>
      <w:r w:rsidRPr="00646423">
        <w:rPr>
          <w:rFonts w:ascii="Century" w:hAnsi="Century" w:cs="Miriam" w:hint="eastAsia"/>
          <w:b/>
          <w:spacing w:val="0"/>
          <w:szCs w:val="24"/>
          <w:rtl/>
        </w:rPr>
        <w:t>באותה</w:t>
      </w:r>
      <w:r w:rsidRPr="00646423">
        <w:rPr>
          <w:rFonts w:ascii="Century" w:hAnsi="Century" w:cs="Miriam"/>
          <w:b/>
          <w:spacing w:val="0"/>
          <w:szCs w:val="24"/>
          <w:rtl/>
        </w:rPr>
        <w:t xml:space="preserve"> </w:t>
      </w:r>
      <w:r w:rsidRPr="00646423">
        <w:rPr>
          <w:rFonts w:ascii="Century" w:hAnsi="Century" w:cs="Miriam" w:hint="eastAsia"/>
          <w:b/>
          <w:spacing w:val="0"/>
          <w:szCs w:val="24"/>
          <w:rtl/>
        </w:rPr>
        <w:t>הרצאה</w:t>
      </w:r>
      <w:r w:rsidRPr="00646423">
        <w:rPr>
          <w:rFonts w:ascii="Century" w:hAnsi="Century" w:cs="Miriam"/>
          <w:b/>
          <w:spacing w:val="0"/>
          <w:szCs w:val="24"/>
          <w:rtl/>
        </w:rPr>
        <w:t xml:space="preserve">, </w:t>
      </w:r>
      <w:r w:rsidRPr="00646423">
        <w:rPr>
          <w:rFonts w:ascii="Century" w:hAnsi="Century" w:cs="Miriam" w:hint="eastAsia"/>
          <w:b/>
          <w:spacing w:val="0"/>
          <w:szCs w:val="24"/>
          <w:rtl/>
        </w:rPr>
        <w:t>על</w:t>
      </w:r>
      <w:r w:rsidRPr="00646423">
        <w:rPr>
          <w:rFonts w:ascii="Century" w:hAnsi="Century" w:cs="Miriam"/>
          <w:b/>
          <w:spacing w:val="0"/>
          <w:szCs w:val="24"/>
          <w:rtl/>
        </w:rPr>
        <w:t xml:space="preserve"> </w:t>
      </w:r>
      <w:r w:rsidRPr="00646423">
        <w:rPr>
          <w:rFonts w:ascii="Century" w:hAnsi="Century" w:cs="Miriam" w:hint="eastAsia"/>
          <w:b/>
          <w:spacing w:val="0"/>
          <w:szCs w:val="24"/>
          <w:rtl/>
        </w:rPr>
        <w:t>תיקון</w:t>
      </w:r>
      <w:r w:rsidRPr="00646423">
        <w:rPr>
          <w:rFonts w:ascii="Century" w:hAnsi="Century" w:cs="Miriam"/>
          <w:b/>
          <w:spacing w:val="0"/>
          <w:szCs w:val="24"/>
          <w:rtl/>
        </w:rPr>
        <w:t xml:space="preserve"> </w:t>
      </w:r>
      <w:r w:rsidRPr="00646423">
        <w:rPr>
          <w:rFonts w:ascii="Century" w:hAnsi="Century" w:cs="Miriam" w:hint="eastAsia"/>
          <w:b/>
          <w:spacing w:val="0"/>
          <w:szCs w:val="24"/>
          <w:rtl/>
        </w:rPr>
        <w:t>בדרך</w:t>
      </w:r>
      <w:r w:rsidRPr="00646423">
        <w:rPr>
          <w:rFonts w:ascii="Century" w:hAnsi="Century" w:cs="Miriam"/>
          <w:b/>
          <w:spacing w:val="0"/>
          <w:szCs w:val="24"/>
          <w:rtl/>
        </w:rPr>
        <w:t xml:space="preserve"> </w:t>
      </w:r>
      <w:r w:rsidRPr="00646423">
        <w:rPr>
          <w:rFonts w:ascii="Century" w:hAnsi="Century" w:cs="Miriam" w:hint="eastAsia"/>
          <w:b/>
          <w:spacing w:val="0"/>
          <w:szCs w:val="24"/>
          <w:rtl/>
        </w:rPr>
        <w:t>של</w:t>
      </w:r>
      <w:r w:rsidRPr="00646423">
        <w:rPr>
          <w:rFonts w:ascii="Century" w:hAnsi="Century" w:cs="Miriam"/>
          <w:b/>
          <w:spacing w:val="0"/>
          <w:szCs w:val="24"/>
          <w:rtl/>
        </w:rPr>
        <w:t xml:space="preserve"> </w:t>
      </w:r>
      <w:r w:rsidRPr="00646423">
        <w:rPr>
          <w:rFonts w:ascii="Century" w:hAnsi="Century" w:cs="Miriam" w:hint="eastAsia"/>
          <w:b/>
          <w:spacing w:val="0"/>
          <w:szCs w:val="24"/>
          <w:rtl/>
        </w:rPr>
        <w:t>חקיקה</w:t>
      </w:r>
      <w:r w:rsidRPr="00646423">
        <w:rPr>
          <w:rFonts w:ascii="Century" w:hAnsi="Century" w:cs="Miriam"/>
          <w:b/>
          <w:spacing w:val="0"/>
          <w:szCs w:val="24"/>
          <w:rtl/>
        </w:rPr>
        <w:t xml:space="preserve">; </w:t>
      </w:r>
      <w:r w:rsidRPr="00646423">
        <w:rPr>
          <w:rFonts w:ascii="Century" w:hAnsi="Century" w:cs="Miriam" w:hint="eastAsia"/>
          <w:b/>
          <w:spacing w:val="0"/>
          <w:szCs w:val="24"/>
          <w:rtl/>
        </w:rPr>
        <w:t>חשבתי</w:t>
      </w:r>
      <w:r w:rsidRPr="00646423">
        <w:rPr>
          <w:rFonts w:ascii="Century" w:hAnsi="Century" w:cs="Miriam"/>
          <w:b/>
          <w:spacing w:val="0"/>
          <w:szCs w:val="24"/>
          <w:rtl/>
        </w:rPr>
        <w:t xml:space="preserve"> </w:t>
      </w:r>
      <w:r w:rsidRPr="00646423">
        <w:rPr>
          <w:rFonts w:ascii="Century" w:hAnsi="Century" w:cs="Miriam" w:hint="eastAsia"/>
          <w:b/>
          <w:spacing w:val="0"/>
          <w:szCs w:val="24"/>
          <w:rtl/>
        </w:rPr>
        <w:t>על</w:t>
      </w:r>
      <w:r w:rsidRPr="00646423">
        <w:rPr>
          <w:rFonts w:ascii="Century" w:hAnsi="Century" w:cs="Miriam"/>
          <w:b/>
          <w:spacing w:val="0"/>
          <w:szCs w:val="24"/>
          <w:rtl/>
        </w:rPr>
        <w:t xml:space="preserve"> </w:t>
      </w:r>
      <w:r w:rsidRPr="00646423">
        <w:rPr>
          <w:rFonts w:ascii="Century" w:hAnsi="Century" w:cs="Miriam" w:hint="eastAsia"/>
          <w:b/>
          <w:spacing w:val="0"/>
          <w:szCs w:val="24"/>
          <w:rtl/>
        </w:rPr>
        <w:t>מגמה</w:t>
      </w:r>
      <w:r w:rsidRPr="00646423">
        <w:rPr>
          <w:rFonts w:ascii="Century" w:hAnsi="Century" w:cs="Miriam"/>
          <w:b/>
          <w:spacing w:val="0"/>
          <w:szCs w:val="24"/>
          <w:rtl/>
        </w:rPr>
        <w:t xml:space="preserve"> </w:t>
      </w:r>
      <w:r w:rsidRPr="00646423">
        <w:rPr>
          <w:rFonts w:ascii="Century" w:hAnsi="Century" w:cs="Miriam" w:hint="eastAsia"/>
          <w:b/>
          <w:spacing w:val="0"/>
          <w:szCs w:val="24"/>
          <w:rtl/>
        </w:rPr>
        <w:t>שתבוא</w:t>
      </w:r>
      <w:r w:rsidRPr="00646423">
        <w:rPr>
          <w:rFonts w:ascii="Century" w:hAnsi="Century" w:cs="Miriam"/>
          <w:b/>
          <w:spacing w:val="0"/>
          <w:szCs w:val="24"/>
          <w:rtl/>
        </w:rPr>
        <w:t xml:space="preserve"> </w:t>
      </w:r>
      <w:r w:rsidRPr="00646423">
        <w:rPr>
          <w:rFonts w:ascii="Century" w:hAnsi="Century" w:cs="Miriam" w:hint="eastAsia"/>
          <w:b/>
          <w:spacing w:val="0"/>
          <w:szCs w:val="24"/>
          <w:rtl/>
        </w:rPr>
        <w:t>לידי</w:t>
      </w:r>
      <w:r w:rsidRPr="00646423">
        <w:rPr>
          <w:rFonts w:ascii="Century" w:hAnsi="Century" w:cs="Miriam"/>
          <w:b/>
          <w:spacing w:val="0"/>
          <w:szCs w:val="24"/>
          <w:rtl/>
        </w:rPr>
        <w:t xml:space="preserve"> </w:t>
      </w:r>
      <w:r w:rsidRPr="00646423">
        <w:rPr>
          <w:rFonts w:ascii="Century" w:hAnsi="Century" w:cs="Miriam" w:hint="eastAsia"/>
          <w:b/>
          <w:spacing w:val="0"/>
          <w:szCs w:val="24"/>
          <w:rtl/>
        </w:rPr>
        <w:t>ביטוי</w:t>
      </w:r>
      <w:r w:rsidRPr="00646423">
        <w:rPr>
          <w:rFonts w:ascii="Century" w:hAnsi="Century" w:cs="Miriam"/>
          <w:b/>
          <w:spacing w:val="0"/>
          <w:szCs w:val="24"/>
          <w:rtl/>
        </w:rPr>
        <w:t xml:space="preserve"> </w:t>
      </w:r>
      <w:r w:rsidRPr="00646423">
        <w:rPr>
          <w:rFonts w:ascii="Century" w:hAnsi="Century" w:cs="Miriam" w:hint="eastAsia"/>
          <w:b/>
          <w:spacing w:val="0"/>
          <w:szCs w:val="24"/>
          <w:rtl/>
        </w:rPr>
        <w:t>בפסיקה</w:t>
      </w:r>
      <w:r>
        <w:rPr>
          <w:rFonts w:ascii="Century" w:hAnsi="Century" w:cs="Miriam" w:hint="cs"/>
          <w:b/>
          <w:spacing w:val="0"/>
          <w:szCs w:val="24"/>
          <w:rtl/>
        </w:rPr>
        <w:t>.</w:t>
      </w:r>
      <w:r w:rsidRPr="00646423">
        <w:rPr>
          <w:rFonts w:hint="eastAsia"/>
          <w:rtl/>
        </w:rPr>
        <w:t xml:space="preserve"> </w:t>
      </w:r>
      <w:r w:rsidRPr="00646423">
        <w:rPr>
          <w:rFonts w:ascii="Century" w:hAnsi="Century" w:cs="Miriam" w:hint="eastAsia"/>
          <w:b/>
          <w:spacing w:val="0"/>
          <w:szCs w:val="24"/>
          <w:rtl/>
        </w:rPr>
        <w:t>בסיום</w:t>
      </w:r>
      <w:r w:rsidRPr="00646423">
        <w:rPr>
          <w:rFonts w:ascii="Century" w:hAnsi="Century" w:cs="Miriam"/>
          <w:b/>
          <w:spacing w:val="0"/>
          <w:szCs w:val="24"/>
          <w:rtl/>
        </w:rPr>
        <w:t xml:space="preserve"> </w:t>
      </w:r>
      <w:r w:rsidRPr="00646423">
        <w:rPr>
          <w:rFonts w:ascii="Century" w:hAnsi="Century" w:cs="Miriam" w:hint="eastAsia"/>
          <w:b/>
          <w:spacing w:val="0"/>
          <w:szCs w:val="24"/>
          <w:rtl/>
        </w:rPr>
        <w:t>הרצאתי</w:t>
      </w:r>
      <w:r w:rsidRPr="00646423">
        <w:rPr>
          <w:rFonts w:ascii="Century" w:hAnsi="Century" w:cs="Miriam"/>
          <w:b/>
          <w:spacing w:val="0"/>
          <w:szCs w:val="24"/>
          <w:rtl/>
        </w:rPr>
        <w:t xml:space="preserve"> </w:t>
      </w:r>
      <w:r w:rsidRPr="00646423">
        <w:rPr>
          <w:rFonts w:ascii="Century" w:hAnsi="Century" w:cs="Miriam" w:hint="eastAsia"/>
          <w:b/>
          <w:spacing w:val="0"/>
          <w:szCs w:val="24"/>
          <w:rtl/>
        </w:rPr>
        <w:t>אף</w:t>
      </w:r>
      <w:r w:rsidRPr="00646423">
        <w:rPr>
          <w:rFonts w:ascii="Century" w:hAnsi="Century" w:cs="Miriam"/>
          <w:b/>
          <w:spacing w:val="0"/>
          <w:szCs w:val="24"/>
          <w:rtl/>
        </w:rPr>
        <w:t xml:space="preserve"> </w:t>
      </w:r>
      <w:r w:rsidRPr="00646423">
        <w:rPr>
          <w:rFonts w:ascii="Century" w:hAnsi="Century" w:cs="Miriam" w:hint="eastAsia"/>
          <w:b/>
          <w:spacing w:val="0"/>
          <w:szCs w:val="24"/>
          <w:rtl/>
        </w:rPr>
        <w:t>ציינתי</w:t>
      </w:r>
      <w:r w:rsidRPr="00646423">
        <w:rPr>
          <w:rFonts w:ascii="Century" w:hAnsi="Century" w:cs="Miriam"/>
          <w:b/>
          <w:spacing w:val="0"/>
          <w:szCs w:val="24"/>
          <w:rtl/>
        </w:rPr>
        <w:t xml:space="preserve">, </w:t>
      </w:r>
      <w:r w:rsidRPr="00646423">
        <w:rPr>
          <w:rFonts w:ascii="Century" w:hAnsi="Century" w:cs="Miriam" w:hint="eastAsia"/>
          <w:b/>
          <w:spacing w:val="0"/>
          <w:szCs w:val="24"/>
          <w:rtl/>
        </w:rPr>
        <w:t>כי</w:t>
      </w:r>
      <w:r w:rsidRPr="00646423">
        <w:rPr>
          <w:rFonts w:ascii="Century" w:hAnsi="Century" w:cs="Miriam"/>
          <w:b/>
          <w:spacing w:val="0"/>
          <w:szCs w:val="24"/>
          <w:rtl/>
        </w:rPr>
        <w:t xml:space="preserve"> </w:t>
      </w:r>
      <w:r w:rsidRPr="00646423">
        <w:rPr>
          <w:rFonts w:ascii="Century" w:hAnsi="Century" w:cs="Miriam" w:hint="eastAsia"/>
          <w:b/>
          <w:spacing w:val="0"/>
          <w:szCs w:val="24"/>
          <w:rtl/>
        </w:rPr>
        <w:t>פרשנות</w:t>
      </w:r>
      <w:r w:rsidRPr="00646423">
        <w:rPr>
          <w:rFonts w:ascii="Century" w:hAnsi="Century" w:cs="Miriam"/>
          <w:b/>
          <w:spacing w:val="0"/>
          <w:szCs w:val="24"/>
          <w:rtl/>
        </w:rPr>
        <w:t xml:space="preserve">, </w:t>
      </w:r>
      <w:r w:rsidRPr="00646423">
        <w:rPr>
          <w:rFonts w:ascii="Century" w:hAnsi="Century" w:cs="Miriam" w:hint="eastAsia"/>
          <w:b/>
          <w:spacing w:val="0"/>
          <w:szCs w:val="24"/>
          <w:rtl/>
        </w:rPr>
        <w:t>סבירות</w:t>
      </w:r>
      <w:r w:rsidRPr="00646423">
        <w:rPr>
          <w:rFonts w:ascii="Century" w:hAnsi="Century" w:cs="Miriam"/>
          <w:b/>
          <w:spacing w:val="0"/>
          <w:szCs w:val="24"/>
          <w:rtl/>
        </w:rPr>
        <w:t xml:space="preserve"> </w:t>
      </w:r>
      <w:r w:rsidRPr="00646423">
        <w:rPr>
          <w:rFonts w:ascii="Century" w:hAnsi="Century" w:cs="Miriam" w:hint="eastAsia"/>
          <w:b/>
          <w:spacing w:val="0"/>
          <w:szCs w:val="24"/>
          <w:rtl/>
        </w:rPr>
        <w:t>ומידתיות</w:t>
      </w:r>
      <w:r>
        <w:rPr>
          <w:rFonts w:ascii="Century" w:hAnsi="Century" w:cs="Miriam"/>
          <w:b/>
          <w:spacing w:val="0"/>
          <w:szCs w:val="24"/>
          <w:rtl/>
        </w:rPr>
        <w:t xml:space="preserve"> </w:t>
      </w:r>
      <w:r>
        <w:rPr>
          <w:rFonts w:ascii="Century" w:hAnsi="Century" w:cs="Miriam" w:hint="cs"/>
          <w:b/>
          <w:spacing w:val="0"/>
          <w:szCs w:val="24"/>
          <w:rtl/>
        </w:rPr>
        <w:t>'</w:t>
      </w:r>
      <w:r w:rsidRPr="00646423">
        <w:rPr>
          <w:rFonts w:ascii="Century" w:hAnsi="Century" w:cs="Miriam" w:hint="eastAsia"/>
          <w:b/>
          <w:spacing w:val="0"/>
          <w:szCs w:val="24"/>
          <w:rtl/>
        </w:rPr>
        <w:t>מזמנים</w:t>
      </w:r>
      <w:r w:rsidRPr="00646423">
        <w:rPr>
          <w:rFonts w:ascii="Century" w:hAnsi="Century" w:cs="Miriam"/>
          <w:b/>
          <w:spacing w:val="0"/>
          <w:szCs w:val="24"/>
          <w:rtl/>
        </w:rPr>
        <w:t xml:space="preserve"> </w:t>
      </w:r>
      <w:r w:rsidRPr="00646423">
        <w:rPr>
          <w:rFonts w:ascii="Century" w:hAnsi="Century" w:cs="Miriam" w:hint="eastAsia"/>
          <w:b/>
          <w:spacing w:val="0"/>
          <w:szCs w:val="24"/>
          <w:rtl/>
        </w:rPr>
        <w:t>אתגרים</w:t>
      </w:r>
      <w:r w:rsidRPr="00646423">
        <w:rPr>
          <w:rFonts w:ascii="Century" w:hAnsi="Century" w:cs="Miriam"/>
          <w:b/>
          <w:spacing w:val="0"/>
          <w:szCs w:val="24"/>
          <w:rtl/>
        </w:rPr>
        <w:t xml:space="preserve"> </w:t>
      </w:r>
      <w:r w:rsidRPr="00646423">
        <w:rPr>
          <w:rFonts w:ascii="Century" w:hAnsi="Century" w:cs="Miriam" w:hint="eastAsia"/>
          <w:b/>
          <w:spacing w:val="0"/>
          <w:szCs w:val="24"/>
          <w:rtl/>
        </w:rPr>
        <w:t>משמעותיים</w:t>
      </w:r>
      <w:r w:rsidRPr="00646423">
        <w:rPr>
          <w:rFonts w:ascii="Century" w:hAnsi="Century" w:cs="Miriam"/>
          <w:b/>
          <w:spacing w:val="0"/>
          <w:szCs w:val="24"/>
          <w:rtl/>
        </w:rPr>
        <w:t xml:space="preserve">, </w:t>
      </w:r>
      <w:r w:rsidRPr="00646423">
        <w:rPr>
          <w:rFonts w:ascii="Century" w:hAnsi="Century" w:cs="Miriam" w:hint="eastAsia"/>
          <w:b/>
          <w:spacing w:val="0"/>
          <w:szCs w:val="24"/>
          <w:rtl/>
        </w:rPr>
        <w:t>ומחייבים</w:t>
      </w:r>
      <w:r w:rsidRPr="00646423">
        <w:rPr>
          <w:rFonts w:ascii="Century" w:hAnsi="Century" w:cs="Miriam"/>
          <w:b/>
          <w:spacing w:val="0"/>
          <w:szCs w:val="24"/>
          <w:rtl/>
        </w:rPr>
        <w:t xml:space="preserve"> </w:t>
      </w:r>
      <w:r w:rsidRPr="00646423">
        <w:rPr>
          <w:rFonts w:ascii="Century" w:hAnsi="Century" w:cs="Miriam" w:hint="eastAsia"/>
          <w:b/>
          <w:spacing w:val="0"/>
          <w:szCs w:val="24"/>
          <w:rtl/>
        </w:rPr>
        <w:t>אותנו</w:t>
      </w:r>
      <w:r w:rsidRPr="00646423">
        <w:rPr>
          <w:rFonts w:ascii="Century" w:hAnsi="Century" w:cs="Miriam"/>
          <w:b/>
          <w:spacing w:val="0"/>
          <w:szCs w:val="24"/>
          <w:rtl/>
        </w:rPr>
        <w:t xml:space="preserve"> </w:t>
      </w:r>
      <w:r w:rsidRPr="00646423">
        <w:rPr>
          <w:rFonts w:ascii="Century" w:hAnsi="Century" w:cs="Miriam" w:hint="eastAsia"/>
          <w:b/>
          <w:spacing w:val="0"/>
          <w:szCs w:val="24"/>
          <w:rtl/>
        </w:rPr>
        <w:t>להרחיב</w:t>
      </w:r>
      <w:r w:rsidRPr="00646423">
        <w:rPr>
          <w:rFonts w:ascii="Century" w:hAnsi="Century" w:cs="Miriam"/>
          <w:b/>
          <w:spacing w:val="0"/>
          <w:szCs w:val="24"/>
          <w:rtl/>
        </w:rPr>
        <w:t xml:space="preserve"> </w:t>
      </w:r>
      <w:r w:rsidRPr="00646423">
        <w:rPr>
          <w:rFonts w:ascii="Century" w:hAnsi="Century" w:cs="Miriam" w:hint="eastAsia"/>
          <w:b/>
          <w:spacing w:val="0"/>
          <w:szCs w:val="24"/>
          <w:rtl/>
        </w:rPr>
        <w:t>ולהעמיק</w:t>
      </w:r>
      <w:r w:rsidRPr="00646423">
        <w:rPr>
          <w:rFonts w:ascii="Century" w:hAnsi="Century" w:cs="Miriam"/>
          <w:b/>
          <w:spacing w:val="0"/>
          <w:szCs w:val="24"/>
          <w:rtl/>
        </w:rPr>
        <w:t xml:space="preserve"> </w:t>
      </w:r>
      <w:r w:rsidRPr="00646423">
        <w:rPr>
          <w:rFonts w:ascii="Century" w:hAnsi="Century" w:cs="Miriam" w:hint="eastAsia"/>
          <w:b/>
          <w:spacing w:val="0"/>
          <w:szCs w:val="24"/>
          <w:rtl/>
        </w:rPr>
        <w:t>את</w:t>
      </w:r>
      <w:r w:rsidRPr="00646423">
        <w:rPr>
          <w:rFonts w:ascii="Century" w:hAnsi="Century" w:cs="Miriam"/>
          <w:b/>
          <w:spacing w:val="0"/>
          <w:szCs w:val="24"/>
          <w:rtl/>
        </w:rPr>
        <w:t xml:space="preserve"> </w:t>
      </w:r>
      <w:r w:rsidRPr="00646423">
        <w:rPr>
          <w:rFonts w:ascii="Century" w:hAnsi="Century" w:cs="Miriam" w:hint="eastAsia"/>
          <w:b/>
          <w:spacing w:val="0"/>
          <w:szCs w:val="24"/>
          <w:rtl/>
        </w:rPr>
        <w:t>הדיון</w:t>
      </w:r>
      <w:r w:rsidRPr="00646423">
        <w:rPr>
          <w:rFonts w:ascii="Century" w:hAnsi="Century" w:cs="Miriam"/>
          <w:b/>
          <w:spacing w:val="0"/>
          <w:szCs w:val="24"/>
          <w:rtl/>
        </w:rPr>
        <w:t xml:space="preserve"> </w:t>
      </w:r>
      <w:r w:rsidRPr="00646423">
        <w:rPr>
          <w:rFonts w:ascii="Century" w:hAnsi="Century" w:cs="Miriam" w:hint="eastAsia"/>
          <w:b/>
          <w:spacing w:val="0"/>
          <w:szCs w:val="24"/>
          <w:rtl/>
        </w:rPr>
        <w:t>החשוב</w:t>
      </w:r>
      <w:r w:rsidRPr="00646423">
        <w:rPr>
          <w:rFonts w:ascii="Century" w:hAnsi="Century" w:cs="Miriam"/>
          <w:b/>
          <w:spacing w:val="0"/>
          <w:szCs w:val="24"/>
          <w:rtl/>
        </w:rPr>
        <w:t xml:space="preserve"> </w:t>
      </w:r>
      <w:r w:rsidRPr="00646423">
        <w:rPr>
          <w:rFonts w:ascii="Century" w:hAnsi="Century" w:cs="Miriam" w:hint="eastAsia"/>
          <w:b/>
          <w:spacing w:val="0"/>
          <w:szCs w:val="24"/>
          <w:rtl/>
        </w:rPr>
        <w:t>על</w:t>
      </w:r>
      <w:r w:rsidRPr="00646423">
        <w:rPr>
          <w:rFonts w:ascii="Century" w:hAnsi="Century" w:cs="Miriam"/>
          <w:b/>
          <w:spacing w:val="0"/>
          <w:szCs w:val="24"/>
          <w:rtl/>
        </w:rPr>
        <w:t xml:space="preserve"> </w:t>
      </w:r>
      <w:r w:rsidRPr="00646423">
        <w:rPr>
          <w:rFonts w:ascii="Century" w:hAnsi="Century" w:cs="Miriam" w:hint="eastAsia"/>
          <w:b/>
          <w:spacing w:val="0"/>
          <w:szCs w:val="24"/>
          <w:rtl/>
        </w:rPr>
        <w:t>אודות</w:t>
      </w:r>
      <w:r w:rsidRPr="00646423">
        <w:rPr>
          <w:rFonts w:ascii="Century" w:hAnsi="Century" w:cs="Miriam"/>
          <w:b/>
          <w:spacing w:val="0"/>
          <w:szCs w:val="24"/>
          <w:rtl/>
        </w:rPr>
        <w:t xml:space="preserve"> </w:t>
      </w:r>
      <w:r w:rsidRPr="00646423">
        <w:rPr>
          <w:rFonts w:ascii="Century" w:hAnsi="Century" w:cs="Miriam" w:hint="eastAsia"/>
          <w:b/>
          <w:spacing w:val="0"/>
          <w:szCs w:val="24"/>
          <w:rtl/>
        </w:rPr>
        <w:t>גבולותיו</w:t>
      </w:r>
      <w:r w:rsidRPr="00646423">
        <w:rPr>
          <w:rFonts w:ascii="Century" w:hAnsi="Century" w:cs="Miriam"/>
          <w:b/>
          <w:spacing w:val="0"/>
          <w:szCs w:val="24"/>
          <w:rtl/>
        </w:rPr>
        <w:t xml:space="preserve"> </w:t>
      </w:r>
      <w:r w:rsidRPr="00646423">
        <w:rPr>
          <w:rFonts w:ascii="Century" w:hAnsi="Century" w:cs="Miriam" w:hint="eastAsia"/>
          <w:b/>
          <w:spacing w:val="0"/>
          <w:szCs w:val="24"/>
          <w:rtl/>
        </w:rPr>
        <w:t>הראויים</w:t>
      </w:r>
      <w:r w:rsidRPr="00646423">
        <w:rPr>
          <w:rFonts w:ascii="Century" w:hAnsi="Century" w:cs="Miriam"/>
          <w:b/>
          <w:spacing w:val="0"/>
          <w:szCs w:val="24"/>
          <w:rtl/>
        </w:rPr>
        <w:t xml:space="preserve"> </w:t>
      </w:r>
      <w:r w:rsidRPr="00646423">
        <w:rPr>
          <w:rFonts w:ascii="Century" w:hAnsi="Century" w:cs="Miriam" w:hint="eastAsia"/>
          <w:b/>
          <w:spacing w:val="0"/>
          <w:szCs w:val="24"/>
          <w:rtl/>
        </w:rPr>
        <w:t>של</w:t>
      </w:r>
      <w:r w:rsidRPr="00646423">
        <w:rPr>
          <w:rFonts w:ascii="Century" w:hAnsi="Century" w:cs="Miriam"/>
          <w:b/>
          <w:spacing w:val="0"/>
          <w:szCs w:val="24"/>
          <w:rtl/>
        </w:rPr>
        <w:t xml:space="preserve"> </w:t>
      </w:r>
      <w:r w:rsidRPr="00646423">
        <w:rPr>
          <w:rFonts w:ascii="Century" w:hAnsi="Century" w:cs="Miriam" w:hint="eastAsia"/>
          <w:b/>
          <w:spacing w:val="0"/>
          <w:szCs w:val="24"/>
          <w:rtl/>
        </w:rPr>
        <w:t>שיקול</w:t>
      </w:r>
      <w:r w:rsidRPr="00646423">
        <w:rPr>
          <w:rFonts w:ascii="Century" w:hAnsi="Century" w:cs="Miriam"/>
          <w:b/>
          <w:spacing w:val="0"/>
          <w:szCs w:val="24"/>
          <w:rtl/>
        </w:rPr>
        <w:t xml:space="preserve"> </w:t>
      </w:r>
      <w:r w:rsidRPr="00646423">
        <w:rPr>
          <w:rFonts w:ascii="Century" w:hAnsi="Century" w:cs="Miriam" w:hint="eastAsia"/>
          <w:b/>
          <w:spacing w:val="0"/>
          <w:szCs w:val="24"/>
          <w:rtl/>
        </w:rPr>
        <w:t>הדעת</w:t>
      </w:r>
      <w:r w:rsidRPr="00646423">
        <w:rPr>
          <w:rFonts w:ascii="Century" w:hAnsi="Century" w:cs="Miriam"/>
          <w:b/>
          <w:spacing w:val="0"/>
          <w:szCs w:val="24"/>
          <w:rtl/>
        </w:rPr>
        <w:t xml:space="preserve"> </w:t>
      </w:r>
      <w:r w:rsidRPr="00646423">
        <w:rPr>
          <w:rFonts w:ascii="Century" w:hAnsi="Century" w:cs="Miriam" w:hint="eastAsia"/>
          <w:b/>
          <w:spacing w:val="0"/>
          <w:szCs w:val="24"/>
          <w:rtl/>
        </w:rPr>
        <w:t>השיפוטי</w:t>
      </w:r>
      <w:r>
        <w:rPr>
          <w:rFonts w:ascii="Century" w:hAnsi="Century" w:cs="Miriam" w:hint="cs"/>
          <w:b/>
          <w:spacing w:val="0"/>
          <w:szCs w:val="24"/>
          <w:rtl/>
        </w:rPr>
        <w:t>'"</w:t>
      </w:r>
      <w:r w:rsidRPr="00646423">
        <w:rPr>
          <w:rtl/>
        </w:rPr>
        <w:t>.</w:t>
      </w:r>
    </w:p>
    <w:p w:rsidR="00EB02E1" w:rsidRPr="00646423" w:rsidRDefault="00EB02E1" w:rsidP="00EB02E1">
      <w:pPr>
        <w:pStyle w:val="Ruller41"/>
      </w:pPr>
    </w:p>
    <w:p w:rsidR="00EB02E1" w:rsidRDefault="00EB02E1" w:rsidP="00EB02E1">
      <w:pPr>
        <w:pStyle w:val="Ruller4"/>
        <w:numPr>
          <w:ilvl w:val="0"/>
          <w:numId w:val="0"/>
        </w:numPr>
        <w:rPr>
          <w:rtl/>
        </w:rPr>
      </w:pPr>
      <w:r>
        <w:rPr>
          <w:rtl/>
        </w:rPr>
        <w:lastRenderedPageBreak/>
        <w:tab/>
      </w:r>
      <w:r>
        <w:rPr>
          <w:rFonts w:hint="cs"/>
          <w:rtl/>
        </w:rPr>
        <w:t xml:space="preserve">רבים ראו, כן תמהו, מה לי תיקון על דרך של פסיקה, מה לי תיקון על דרך של חקיקה. באותה עת, נקטתי בלשון קצרה ומאופקת; נבצר ממני להרחיב, מחמת הליך החקיקה שהיה תלוי ועומד. אשלים עתה את אשר החסרתי אז, כפי הנחוץ לפסק הדין. </w:t>
      </w:r>
    </w:p>
    <w:p w:rsidR="00EB02E1" w:rsidRPr="00646423" w:rsidRDefault="00EB02E1" w:rsidP="00EB02E1">
      <w:pPr>
        <w:pStyle w:val="Ruller41"/>
      </w:pPr>
    </w:p>
    <w:p w:rsidR="00EB02E1" w:rsidRDefault="00EB02E1" w:rsidP="00EB02E1">
      <w:pPr>
        <w:pStyle w:val="Ruller4"/>
        <w:rPr>
          <w:rtl/>
        </w:rPr>
      </w:pPr>
      <w:r>
        <w:rPr>
          <w:rFonts w:hint="cs"/>
          <w:rtl/>
        </w:rPr>
        <w:t xml:space="preserve">במשך כ-40 שנה, הרחיבה עילת הסבירות 'המהותית' את מוטת כנפיה, עוד ועוד, עד שכמעט ו'בלעה' את עילות הביקורת המינהלית האחרות. תופעה זו </w:t>
      </w:r>
      <w:r>
        <w:rPr>
          <w:rtl/>
        </w:rPr>
        <w:t>–</w:t>
      </w:r>
      <w:r>
        <w:rPr>
          <w:rFonts w:hint="cs"/>
          <w:rtl/>
        </w:rPr>
        <w:t xml:space="preserve"> אינה רצויה, ועליה התרעתי בתוך כותלי בית המשפט, וגם מחוצה לו. לא אפרט כאן. אסתפק בהפניה לכתובים (ראו: נעם סולברג "על ערכים סובייקטיביים ושופטים אובייקטיביים" </w:t>
      </w:r>
      <w:r w:rsidRPr="004A305C">
        <w:rPr>
          <w:rFonts w:ascii="Century" w:hAnsi="Century" w:cs="Miriam" w:hint="cs"/>
          <w:b/>
          <w:spacing w:val="0"/>
          <w:szCs w:val="24"/>
          <w:rtl/>
        </w:rPr>
        <w:t xml:space="preserve">השילוח </w:t>
      </w:r>
      <w:r w:rsidRPr="004A305C">
        <w:rPr>
          <w:rFonts w:ascii="Century" w:hAnsi="Century" w:hint="cs"/>
          <w:rtl/>
        </w:rPr>
        <w:t xml:space="preserve">18 (2019) </w:t>
      </w:r>
      <w:r w:rsidRPr="004A305C">
        <w:rPr>
          <w:rFonts w:ascii="Century" w:hAnsi="Century"/>
          <w:rtl/>
        </w:rPr>
        <w:t>(</w:t>
      </w:r>
      <w:r w:rsidRPr="004A305C">
        <w:rPr>
          <w:rFonts w:ascii="Century" w:hAnsi="Century" w:hint="eastAsia"/>
          <w:rtl/>
        </w:rPr>
        <w:t>להלן</w:t>
      </w:r>
      <w:r w:rsidRPr="004A305C">
        <w:rPr>
          <w:rFonts w:ascii="Century" w:hAnsi="Century"/>
          <w:rtl/>
        </w:rPr>
        <w:t xml:space="preserve">: </w:t>
      </w:r>
      <w:r w:rsidRPr="004A305C">
        <w:rPr>
          <w:rFonts w:ascii="Century" w:hAnsi="Century" w:cs="Miriam" w:hint="cs"/>
          <w:b/>
          <w:spacing w:val="0"/>
          <w:sz w:val="22"/>
          <w:szCs w:val="24"/>
          <w:rtl/>
        </w:rPr>
        <w:t>מאמר השילוח</w:t>
      </w:r>
      <w:r w:rsidRPr="004A305C">
        <w:rPr>
          <w:rFonts w:ascii="Century" w:hAnsi="Century" w:hint="cs"/>
          <w:rtl/>
        </w:rPr>
        <w:t xml:space="preserve">); </w:t>
      </w:r>
      <w:r w:rsidRPr="004A305C">
        <w:rPr>
          <w:rFonts w:ascii="Century" w:hAnsi="Century" w:hint="eastAsia"/>
          <w:rtl/>
        </w:rPr>
        <w:t>נעם</w:t>
      </w:r>
      <w:r w:rsidRPr="004A305C">
        <w:rPr>
          <w:rFonts w:ascii="Century" w:hAnsi="Century"/>
          <w:rtl/>
        </w:rPr>
        <w:t xml:space="preserve"> </w:t>
      </w:r>
      <w:r w:rsidRPr="004A305C">
        <w:rPr>
          <w:rFonts w:ascii="Century" w:hAnsi="Century" w:hint="eastAsia"/>
          <w:rtl/>
        </w:rPr>
        <w:t>סולברג</w:t>
      </w:r>
      <w:r w:rsidRPr="004A305C">
        <w:rPr>
          <w:rFonts w:ascii="Century" w:hAnsi="Century"/>
          <w:rtl/>
        </w:rPr>
        <w:t xml:space="preserve"> "</w:t>
      </w:r>
      <w:r w:rsidRPr="004A305C">
        <w:rPr>
          <w:rFonts w:ascii="Century" w:hAnsi="Century" w:hint="eastAsia"/>
          <w:rtl/>
        </w:rPr>
        <w:t>שִמרו</w:t>
      </w:r>
      <w:r w:rsidRPr="004A305C">
        <w:rPr>
          <w:rFonts w:ascii="Century" w:hAnsi="Century"/>
          <w:rtl/>
        </w:rPr>
        <w:t xml:space="preserve"> </w:t>
      </w:r>
      <w:r w:rsidRPr="004A305C">
        <w:rPr>
          <w:rFonts w:ascii="Century" w:hAnsi="Century" w:hint="eastAsia"/>
          <w:rtl/>
        </w:rPr>
        <w:t>משפט</w:t>
      </w:r>
      <w:r w:rsidRPr="004A305C">
        <w:rPr>
          <w:rFonts w:ascii="Century" w:hAnsi="Century"/>
          <w:rtl/>
        </w:rPr>
        <w:t xml:space="preserve"> </w:t>
      </w:r>
      <w:r w:rsidRPr="004A305C">
        <w:rPr>
          <w:rFonts w:ascii="Century" w:hAnsi="Century" w:hint="eastAsia"/>
          <w:rtl/>
        </w:rPr>
        <w:t>ועשו</w:t>
      </w:r>
      <w:r w:rsidRPr="004A305C">
        <w:rPr>
          <w:rFonts w:ascii="Century" w:hAnsi="Century"/>
          <w:rtl/>
        </w:rPr>
        <w:t xml:space="preserve"> </w:t>
      </w:r>
      <w:r w:rsidRPr="004A305C">
        <w:rPr>
          <w:rFonts w:ascii="Century" w:hAnsi="Century" w:hint="eastAsia"/>
          <w:rtl/>
        </w:rPr>
        <w:t>צדקה</w:t>
      </w:r>
      <w:r w:rsidRPr="004A305C">
        <w:rPr>
          <w:rFonts w:ascii="Century" w:hAnsi="Century"/>
          <w:rtl/>
        </w:rPr>
        <w:t>"</w:t>
      </w:r>
      <w:r w:rsidRPr="004A305C">
        <w:rPr>
          <w:rFonts w:ascii="Century" w:hAnsi="Century" w:hint="cs"/>
          <w:rtl/>
        </w:rPr>
        <w:t xml:space="preserve"> </w:t>
      </w:r>
      <w:r w:rsidRPr="004A305C">
        <w:rPr>
          <w:rFonts w:ascii="Century" w:hAnsi="Century" w:cs="Miriam" w:hint="cs"/>
          <w:b/>
          <w:spacing w:val="0"/>
          <w:szCs w:val="24"/>
          <w:rtl/>
        </w:rPr>
        <w:t xml:space="preserve">דין ודברים </w:t>
      </w:r>
      <w:r w:rsidRPr="004A305C">
        <w:rPr>
          <w:rFonts w:ascii="Century" w:hAnsi="Century" w:hint="cs"/>
          <w:rtl/>
        </w:rPr>
        <w:t xml:space="preserve">ח 13 (2014); </w:t>
      </w:r>
      <w:r w:rsidRPr="004A305C">
        <w:rPr>
          <w:rFonts w:ascii="Century" w:hAnsi="Century" w:hint="eastAsia"/>
          <w:rtl/>
        </w:rPr>
        <w:t>נעם</w:t>
      </w:r>
      <w:r w:rsidRPr="004A305C">
        <w:rPr>
          <w:rFonts w:ascii="Century" w:hAnsi="Century"/>
          <w:rtl/>
        </w:rPr>
        <w:t xml:space="preserve"> </w:t>
      </w:r>
      <w:r w:rsidRPr="004A305C">
        <w:rPr>
          <w:rFonts w:ascii="Century" w:hAnsi="Century" w:hint="eastAsia"/>
          <w:rtl/>
        </w:rPr>
        <w:t>סולברג</w:t>
      </w:r>
      <w:r w:rsidRPr="004A305C">
        <w:rPr>
          <w:rFonts w:ascii="Century" w:hAnsi="Century" w:hint="cs"/>
          <w:rtl/>
        </w:rPr>
        <w:t xml:space="preserve"> </w:t>
      </w:r>
      <w:r w:rsidRPr="004A305C">
        <w:rPr>
          <w:rFonts w:ascii="Century" w:hAnsi="Century"/>
          <w:rtl/>
        </w:rPr>
        <w:t>"</w:t>
      </w:r>
      <w:r w:rsidRPr="004A305C">
        <w:rPr>
          <w:rFonts w:ascii="Century" w:hAnsi="Century" w:hint="eastAsia"/>
          <w:rtl/>
        </w:rPr>
        <w:t>הלכת</w:t>
      </w:r>
      <w:r w:rsidRPr="004A305C">
        <w:rPr>
          <w:rFonts w:ascii="Century" w:hAnsi="Century"/>
          <w:rtl/>
        </w:rPr>
        <w:t xml:space="preserve"> </w:t>
      </w:r>
      <w:r w:rsidRPr="004A305C">
        <w:rPr>
          <w:rFonts w:ascii="Century" w:hAnsi="Century" w:hint="eastAsia"/>
          <w:rtl/>
        </w:rPr>
        <w:t>דרעי</w:t>
      </w:r>
      <w:r w:rsidRPr="004A305C">
        <w:rPr>
          <w:rFonts w:ascii="Century" w:hAnsi="Century"/>
          <w:rtl/>
        </w:rPr>
        <w:t>-</w:t>
      </w:r>
      <w:r w:rsidRPr="004A305C">
        <w:rPr>
          <w:rFonts w:ascii="Century" w:hAnsi="Century" w:hint="eastAsia"/>
          <w:rtl/>
        </w:rPr>
        <w:t>פנחסי</w:t>
      </w:r>
      <w:r w:rsidRPr="004A305C">
        <w:rPr>
          <w:rFonts w:ascii="Century" w:hAnsi="Century"/>
          <w:rtl/>
        </w:rPr>
        <w:t xml:space="preserve"> </w:t>
      </w:r>
      <w:r w:rsidRPr="004A305C">
        <w:rPr>
          <w:rFonts w:ascii="Century" w:hAnsi="Century" w:hint="eastAsia"/>
          <w:rtl/>
        </w:rPr>
        <w:t>בראי</w:t>
      </w:r>
      <w:r w:rsidRPr="004A305C">
        <w:rPr>
          <w:rFonts w:ascii="Century" w:hAnsi="Century"/>
          <w:rtl/>
        </w:rPr>
        <w:t xml:space="preserve"> </w:t>
      </w:r>
      <w:r w:rsidRPr="004A305C">
        <w:rPr>
          <w:rFonts w:ascii="Century" w:hAnsi="Century" w:hint="eastAsia"/>
          <w:rtl/>
        </w:rPr>
        <w:t>עילת</w:t>
      </w:r>
      <w:r w:rsidRPr="004A305C">
        <w:rPr>
          <w:rFonts w:ascii="Century" w:hAnsi="Century"/>
          <w:rtl/>
        </w:rPr>
        <w:t xml:space="preserve"> </w:t>
      </w:r>
      <w:r w:rsidRPr="004A305C">
        <w:rPr>
          <w:rFonts w:ascii="Century" w:hAnsi="Century" w:hint="eastAsia"/>
          <w:rtl/>
        </w:rPr>
        <w:t>הסבירות</w:t>
      </w:r>
      <w:r w:rsidRPr="004A305C">
        <w:rPr>
          <w:rFonts w:ascii="Century" w:hAnsi="Century"/>
          <w:rtl/>
        </w:rPr>
        <w:t xml:space="preserve">" </w:t>
      </w:r>
      <w:r w:rsidRPr="004A305C">
        <w:rPr>
          <w:rFonts w:ascii="Century" w:hAnsi="Century" w:cs="Miriam" w:hint="cs"/>
          <w:b/>
          <w:spacing w:val="0"/>
          <w:szCs w:val="24"/>
          <w:rtl/>
        </w:rPr>
        <w:t>בלוג רשות הרבים</w:t>
      </w:r>
      <w:r w:rsidRPr="004A305C">
        <w:rPr>
          <w:rFonts w:ascii="Century" w:hAnsi="Century" w:hint="cs"/>
          <w:rtl/>
        </w:rPr>
        <w:t xml:space="preserve"> (16.1.2022); </w:t>
      </w:r>
      <w:r w:rsidRPr="004A305C">
        <w:rPr>
          <w:rFonts w:ascii="Century" w:hAnsi="Century" w:hint="eastAsia"/>
          <w:rtl/>
        </w:rPr>
        <w:t>בג</w:t>
      </w:r>
      <w:r w:rsidRPr="004A305C">
        <w:rPr>
          <w:rFonts w:ascii="Century" w:hAnsi="Century" w:hint="cs"/>
          <w:rtl/>
        </w:rPr>
        <w:t>"</w:t>
      </w:r>
      <w:r w:rsidRPr="004A305C">
        <w:rPr>
          <w:rFonts w:ascii="Century" w:hAnsi="Century" w:hint="eastAsia"/>
          <w:rtl/>
        </w:rPr>
        <w:t>ץ</w:t>
      </w:r>
      <w:r w:rsidRPr="004A305C">
        <w:rPr>
          <w:rFonts w:ascii="Century" w:hAnsi="Century"/>
          <w:rtl/>
        </w:rPr>
        <w:t xml:space="preserve"> 3823/22 </w:t>
      </w:r>
      <w:r w:rsidRPr="004A305C">
        <w:rPr>
          <w:rFonts w:ascii="Century" w:hAnsi="Century" w:cs="Miriam" w:hint="eastAsia"/>
          <w:b/>
          <w:spacing w:val="0"/>
          <w:szCs w:val="24"/>
          <w:rtl/>
        </w:rPr>
        <w:t>נתניהו</w:t>
      </w:r>
      <w:r w:rsidRPr="004A305C">
        <w:rPr>
          <w:rFonts w:ascii="Century" w:hAnsi="Century" w:cs="Miriam"/>
          <w:b/>
          <w:spacing w:val="0"/>
          <w:szCs w:val="24"/>
          <w:rtl/>
        </w:rPr>
        <w:t xml:space="preserve"> </w:t>
      </w:r>
      <w:r w:rsidRPr="004A305C">
        <w:rPr>
          <w:rFonts w:ascii="Century" w:hAnsi="Century" w:cs="Miriam" w:hint="eastAsia"/>
          <w:b/>
          <w:spacing w:val="0"/>
          <w:szCs w:val="24"/>
          <w:rtl/>
        </w:rPr>
        <w:t>נ</w:t>
      </w:r>
      <w:r w:rsidRPr="004A305C">
        <w:rPr>
          <w:rFonts w:ascii="Century" w:hAnsi="Century" w:cs="Miriam"/>
          <w:b/>
          <w:spacing w:val="0"/>
          <w:szCs w:val="24"/>
          <w:rtl/>
        </w:rPr>
        <w:t xml:space="preserve">' </w:t>
      </w:r>
      <w:r w:rsidRPr="004A305C">
        <w:rPr>
          <w:rFonts w:ascii="Century" w:hAnsi="Century" w:cs="Miriam" w:hint="eastAsia"/>
          <w:b/>
          <w:spacing w:val="0"/>
          <w:szCs w:val="24"/>
          <w:rtl/>
        </w:rPr>
        <w:t>היועצת</w:t>
      </w:r>
      <w:r w:rsidRPr="004A305C">
        <w:rPr>
          <w:rFonts w:ascii="Century" w:hAnsi="Century" w:cs="Miriam"/>
          <w:b/>
          <w:spacing w:val="0"/>
          <w:szCs w:val="24"/>
          <w:rtl/>
        </w:rPr>
        <w:t xml:space="preserve"> </w:t>
      </w:r>
      <w:r w:rsidRPr="004A305C">
        <w:rPr>
          <w:rFonts w:ascii="Century" w:hAnsi="Century" w:cs="Miriam" w:hint="eastAsia"/>
          <w:b/>
          <w:spacing w:val="0"/>
          <w:szCs w:val="24"/>
          <w:rtl/>
        </w:rPr>
        <w:t>המשפטית</w:t>
      </w:r>
      <w:r w:rsidRPr="004A305C">
        <w:rPr>
          <w:rFonts w:ascii="Century" w:hAnsi="Century" w:cs="Miriam"/>
          <w:b/>
          <w:spacing w:val="0"/>
          <w:szCs w:val="24"/>
          <w:rtl/>
        </w:rPr>
        <w:t xml:space="preserve"> </w:t>
      </w:r>
      <w:r w:rsidRPr="004A305C">
        <w:rPr>
          <w:rFonts w:ascii="Century" w:hAnsi="Century" w:cs="Miriam" w:hint="eastAsia"/>
          <w:b/>
          <w:spacing w:val="0"/>
          <w:szCs w:val="24"/>
          <w:rtl/>
        </w:rPr>
        <w:t>לממשלה</w:t>
      </w:r>
      <w:r w:rsidRPr="004A305C">
        <w:rPr>
          <w:rFonts w:ascii="Century" w:hAnsi="Century" w:hint="cs"/>
          <w:rtl/>
        </w:rPr>
        <w:t xml:space="preserve">, פסקה 4 לחוות דעתי (17.7.2023); </w:t>
      </w:r>
      <w:r w:rsidRPr="004A305C">
        <w:rPr>
          <w:rFonts w:ascii="Century" w:hAnsi="Century" w:hint="eastAsia"/>
          <w:rtl/>
        </w:rPr>
        <w:t>בג</w:t>
      </w:r>
      <w:r w:rsidRPr="004A305C">
        <w:rPr>
          <w:rFonts w:ascii="Century" w:hAnsi="Century"/>
          <w:rtl/>
        </w:rPr>
        <w:t>"</w:t>
      </w:r>
      <w:r w:rsidRPr="004A305C">
        <w:rPr>
          <w:rFonts w:ascii="Century" w:hAnsi="Century" w:hint="eastAsia"/>
          <w:rtl/>
        </w:rPr>
        <w:t>ץ</w:t>
      </w:r>
      <w:r w:rsidRPr="004A305C">
        <w:rPr>
          <w:rFonts w:ascii="Century" w:hAnsi="Century"/>
          <w:rtl/>
        </w:rPr>
        <w:t xml:space="preserve"> 8076</w:t>
      </w:r>
      <w:r w:rsidRPr="004A305C">
        <w:rPr>
          <w:rFonts w:ascii="Century" w:hAnsi="Century" w:hint="cs"/>
          <w:rtl/>
        </w:rPr>
        <w:t>/</w:t>
      </w:r>
      <w:r w:rsidRPr="004A305C">
        <w:rPr>
          <w:rFonts w:ascii="Century" w:hAnsi="Century"/>
          <w:rtl/>
        </w:rPr>
        <w:t xml:space="preserve">21 </w:t>
      </w:r>
      <w:r w:rsidRPr="004A305C">
        <w:rPr>
          <w:rFonts w:ascii="Century" w:hAnsi="Century" w:cs="Miriam" w:hint="eastAsia"/>
          <w:b/>
          <w:spacing w:val="0"/>
          <w:szCs w:val="24"/>
          <w:rtl/>
        </w:rPr>
        <w:t>ועדת</w:t>
      </w:r>
      <w:r w:rsidRPr="004A305C">
        <w:rPr>
          <w:rFonts w:ascii="Century" w:hAnsi="Century" w:cs="Miriam"/>
          <w:b/>
          <w:spacing w:val="0"/>
          <w:szCs w:val="24"/>
          <w:rtl/>
        </w:rPr>
        <w:t xml:space="preserve"> </w:t>
      </w:r>
      <w:r w:rsidRPr="004A305C">
        <w:rPr>
          <w:rFonts w:ascii="Century" w:hAnsi="Century" w:cs="Miriam" w:hint="eastAsia"/>
          <w:b/>
          <w:spacing w:val="0"/>
          <w:szCs w:val="24"/>
          <w:rtl/>
        </w:rPr>
        <w:t>השופטים</w:t>
      </w:r>
      <w:r w:rsidRPr="004A305C">
        <w:rPr>
          <w:rFonts w:ascii="Century" w:hAnsi="Century" w:cs="Miriam"/>
          <w:b/>
          <w:spacing w:val="0"/>
          <w:szCs w:val="24"/>
          <w:rtl/>
        </w:rPr>
        <w:t xml:space="preserve"> </w:t>
      </w:r>
      <w:r w:rsidRPr="004A305C">
        <w:rPr>
          <w:rFonts w:ascii="Century" w:hAnsi="Century" w:cs="Miriam" w:hint="eastAsia"/>
          <w:b/>
          <w:spacing w:val="0"/>
          <w:szCs w:val="24"/>
          <w:rtl/>
        </w:rPr>
        <w:t>להענקת</w:t>
      </w:r>
      <w:r w:rsidRPr="004A305C">
        <w:rPr>
          <w:rFonts w:ascii="Century" w:hAnsi="Century" w:cs="Miriam"/>
          <w:b/>
          <w:spacing w:val="0"/>
          <w:szCs w:val="24"/>
          <w:rtl/>
        </w:rPr>
        <w:t xml:space="preserve"> </w:t>
      </w:r>
      <w:r w:rsidRPr="004A305C">
        <w:rPr>
          <w:rFonts w:ascii="Century" w:hAnsi="Century" w:cs="Miriam" w:hint="eastAsia"/>
          <w:b/>
          <w:spacing w:val="0"/>
          <w:szCs w:val="24"/>
          <w:rtl/>
        </w:rPr>
        <w:t>פרס</w:t>
      </w:r>
      <w:r w:rsidRPr="004A305C">
        <w:rPr>
          <w:rFonts w:ascii="Century" w:hAnsi="Century" w:cs="Miriam"/>
          <w:b/>
          <w:spacing w:val="0"/>
          <w:szCs w:val="24"/>
          <w:rtl/>
        </w:rPr>
        <w:t xml:space="preserve"> </w:t>
      </w:r>
      <w:r w:rsidRPr="004A305C">
        <w:rPr>
          <w:rFonts w:ascii="Century" w:hAnsi="Century" w:cs="Miriam" w:hint="eastAsia"/>
          <w:b/>
          <w:spacing w:val="0"/>
          <w:szCs w:val="24"/>
          <w:rtl/>
        </w:rPr>
        <w:t>ישראל</w:t>
      </w:r>
      <w:r w:rsidRPr="004A305C">
        <w:rPr>
          <w:rFonts w:ascii="Century" w:hAnsi="Century" w:cs="Miriam"/>
          <w:b/>
          <w:spacing w:val="0"/>
          <w:szCs w:val="24"/>
          <w:rtl/>
        </w:rPr>
        <w:t xml:space="preserve"> </w:t>
      </w:r>
      <w:r w:rsidRPr="004A305C">
        <w:rPr>
          <w:rFonts w:ascii="Century" w:hAnsi="Century" w:cs="Miriam" w:hint="eastAsia"/>
          <w:b/>
          <w:spacing w:val="0"/>
          <w:szCs w:val="24"/>
          <w:rtl/>
        </w:rPr>
        <w:t>לשנת</w:t>
      </w:r>
      <w:r w:rsidRPr="004A305C">
        <w:rPr>
          <w:rFonts w:ascii="Century" w:hAnsi="Century" w:cs="Miriam"/>
          <w:b/>
          <w:spacing w:val="0"/>
          <w:szCs w:val="24"/>
          <w:rtl/>
        </w:rPr>
        <w:t xml:space="preserve"> </w:t>
      </w:r>
      <w:r w:rsidRPr="004A305C">
        <w:rPr>
          <w:rFonts w:ascii="Century" w:hAnsi="Century" w:cs="Miriam" w:hint="eastAsia"/>
          <w:b/>
          <w:spacing w:val="0"/>
          <w:szCs w:val="24"/>
          <w:rtl/>
        </w:rPr>
        <w:t>תשפ</w:t>
      </w:r>
      <w:r w:rsidRPr="004A305C">
        <w:rPr>
          <w:rFonts w:ascii="Century" w:hAnsi="Century" w:cs="Miriam"/>
          <w:b/>
          <w:spacing w:val="0"/>
          <w:szCs w:val="24"/>
          <w:rtl/>
        </w:rPr>
        <w:t>"</w:t>
      </w:r>
      <w:r w:rsidRPr="004A305C">
        <w:rPr>
          <w:rFonts w:ascii="Century" w:hAnsi="Century" w:cs="Miriam" w:hint="eastAsia"/>
          <w:b/>
          <w:spacing w:val="0"/>
          <w:szCs w:val="24"/>
          <w:rtl/>
        </w:rPr>
        <w:t>א</w:t>
      </w:r>
      <w:r w:rsidRPr="004A305C">
        <w:rPr>
          <w:rFonts w:ascii="Century" w:hAnsi="Century" w:cs="Miriam"/>
          <w:b/>
          <w:spacing w:val="0"/>
          <w:szCs w:val="24"/>
          <w:rtl/>
        </w:rPr>
        <w:t xml:space="preserve"> </w:t>
      </w:r>
      <w:r w:rsidRPr="004A305C">
        <w:rPr>
          <w:rFonts w:ascii="Century" w:hAnsi="Century" w:cs="Miriam" w:hint="eastAsia"/>
          <w:b/>
          <w:spacing w:val="0"/>
          <w:szCs w:val="24"/>
          <w:rtl/>
        </w:rPr>
        <w:t>בתחום</w:t>
      </w:r>
      <w:r w:rsidRPr="004A305C">
        <w:rPr>
          <w:rFonts w:ascii="Century" w:hAnsi="Century" w:cs="Miriam"/>
          <w:b/>
          <w:spacing w:val="0"/>
          <w:szCs w:val="24"/>
          <w:rtl/>
        </w:rPr>
        <w:t xml:space="preserve"> </w:t>
      </w:r>
      <w:r w:rsidRPr="004A305C">
        <w:rPr>
          <w:rFonts w:ascii="Century" w:hAnsi="Century" w:cs="Miriam" w:hint="eastAsia"/>
          <w:b/>
          <w:spacing w:val="0"/>
          <w:szCs w:val="24"/>
          <w:rtl/>
        </w:rPr>
        <w:t>חקר</w:t>
      </w:r>
      <w:r w:rsidRPr="004A305C">
        <w:rPr>
          <w:rFonts w:ascii="Century" w:hAnsi="Century" w:cs="Miriam"/>
          <w:b/>
          <w:spacing w:val="0"/>
          <w:szCs w:val="24"/>
          <w:rtl/>
        </w:rPr>
        <w:t xml:space="preserve"> </w:t>
      </w:r>
      <w:r w:rsidRPr="004A305C">
        <w:rPr>
          <w:rFonts w:ascii="Century" w:hAnsi="Century" w:cs="Miriam" w:hint="eastAsia"/>
          <w:b/>
          <w:spacing w:val="0"/>
          <w:szCs w:val="24"/>
          <w:rtl/>
        </w:rPr>
        <w:t>מדעי</w:t>
      </w:r>
      <w:r w:rsidRPr="004A305C">
        <w:rPr>
          <w:rFonts w:ascii="Century" w:hAnsi="Century" w:cs="Miriam"/>
          <w:b/>
          <w:spacing w:val="0"/>
          <w:szCs w:val="24"/>
          <w:rtl/>
        </w:rPr>
        <w:t xml:space="preserve"> </w:t>
      </w:r>
      <w:r w:rsidRPr="004A305C">
        <w:rPr>
          <w:rFonts w:ascii="Century" w:hAnsi="Century" w:cs="Miriam" w:hint="eastAsia"/>
          <w:b/>
          <w:spacing w:val="0"/>
          <w:szCs w:val="24"/>
          <w:rtl/>
        </w:rPr>
        <w:t>המחשב</w:t>
      </w:r>
      <w:r w:rsidRPr="004A305C">
        <w:rPr>
          <w:rFonts w:ascii="Century" w:hAnsi="Century" w:cs="Miriam"/>
          <w:b/>
          <w:spacing w:val="0"/>
          <w:szCs w:val="24"/>
          <w:rtl/>
        </w:rPr>
        <w:t xml:space="preserve"> </w:t>
      </w:r>
      <w:r w:rsidRPr="004A305C">
        <w:rPr>
          <w:rFonts w:ascii="Century" w:hAnsi="Century" w:cs="Miriam" w:hint="eastAsia"/>
          <w:b/>
          <w:spacing w:val="0"/>
          <w:szCs w:val="24"/>
          <w:rtl/>
        </w:rPr>
        <w:t>נ</w:t>
      </w:r>
      <w:r w:rsidRPr="004A305C">
        <w:rPr>
          <w:rFonts w:ascii="Century" w:hAnsi="Century" w:cs="Miriam"/>
          <w:b/>
          <w:spacing w:val="0"/>
          <w:szCs w:val="24"/>
          <w:rtl/>
        </w:rPr>
        <w:t xml:space="preserve">' </w:t>
      </w:r>
      <w:r w:rsidRPr="004A305C">
        <w:rPr>
          <w:rFonts w:ascii="Century" w:hAnsi="Century" w:cs="Miriam" w:hint="eastAsia"/>
          <w:b/>
          <w:spacing w:val="0"/>
          <w:szCs w:val="24"/>
          <w:rtl/>
        </w:rPr>
        <w:t>שרת</w:t>
      </w:r>
      <w:r w:rsidRPr="004A305C">
        <w:rPr>
          <w:rFonts w:ascii="Century" w:hAnsi="Century" w:cs="Miriam"/>
          <w:b/>
          <w:spacing w:val="0"/>
          <w:szCs w:val="24"/>
          <w:rtl/>
        </w:rPr>
        <w:t xml:space="preserve"> </w:t>
      </w:r>
      <w:r w:rsidRPr="004A305C">
        <w:rPr>
          <w:rFonts w:ascii="Century" w:hAnsi="Century" w:cs="Miriam" w:hint="eastAsia"/>
          <w:b/>
          <w:spacing w:val="0"/>
          <w:szCs w:val="24"/>
          <w:rtl/>
        </w:rPr>
        <w:t>החינוך</w:t>
      </w:r>
      <w:r w:rsidRPr="004A305C">
        <w:rPr>
          <w:rFonts w:ascii="Century" w:hAnsi="Century" w:hint="cs"/>
          <w:rtl/>
        </w:rPr>
        <w:t xml:space="preserve">, פסקה 8 לחוות דעתי (29.3.2022); </w:t>
      </w:r>
      <w:r w:rsidRPr="004A305C">
        <w:rPr>
          <w:rFonts w:ascii="Century" w:hAnsi="Century" w:hint="eastAsia"/>
          <w:rtl/>
        </w:rPr>
        <w:t>דנ</w:t>
      </w:r>
      <w:r w:rsidRPr="004A305C">
        <w:rPr>
          <w:rFonts w:ascii="Century" w:hAnsi="Century"/>
          <w:rtl/>
        </w:rPr>
        <w:t>"</w:t>
      </w:r>
      <w:r w:rsidRPr="004A305C">
        <w:rPr>
          <w:rFonts w:ascii="Century" w:hAnsi="Century" w:hint="eastAsia"/>
          <w:rtl/>
        </w:rPr>
        <w:t>א</w:t>
      </w:r>
      <w:r w:rsidRPr="004A305C">
        <w:rPr>
          <w:rFonts w:ascii="Century" w:hAnsi="Century"/>
          <w:rtl/>
        </w:rPr>
        <w:t xml:space="preserve"> 4960</w:t>
      </w:r>
      <w:r w:rsidRPr="004A305C">
        <w:rPr>
          <w:rFonts w:ascii="Century" w:hAnsi="Century" w:hint="cs"/>
          <w:rtl/>
        </w:rPr>
        <w:t>/</w:t>
      </w:r>
      <w:r w:rsidRPr="004A305C">
        <w:rPr>
          <w:rFonts w:ascii="Century" w:hAnsi="Century"/>
          <w:rtl/>
        </w:rPr>
        <w:t xml:space="preserve">18 </w:t>
      </w:r>
      <w:r w:rsidRPr="004A305C">
        <w:rPr>
          <w:rFonts w:ascii="Century" w:hAnsi="Century" w:cs="Miriam" w:hint="eastAsia"/>
          <w:b/>
          <w:spacing w:val="0"/>
          <w:szCs w:val="24"/>
          <w:rtl/>
        </w:rPr>
        <w:t>זליגמן</w:t>
      </w:r>
      <w:r w:rsidRPr="004A305C">
        <w:rPr>
          <w:rFonts w:ascii="Century" w:hAnsi="Century" w:cs="Miriam"/>
          <w:b/>
          <w:spacing w:val="0"/>
          <w:szCs w:val="24"/>
          <w:rtl/>
        </w:rPr>
        <w:t xml:space="preserve"> </w:t>
      </w:r>
      <w:r w:rsidRPr="004A305C">
        <w:rPr>
          <w:rFonts w:ascii="Century" w:hAnsi="Century" w:cs="Miriam" w:hint="eastAsia"/>
          <w:b/>
          <w:spacing w:val="0"/>
          <w:szCs w:val="24"/>
          <w:rtl/>
        </w:rPr>
        <w:t>נ</w:t>
      </w:r>
      <w:r w:rsidRPr="004A305C">
        <w:rPr>
          <w:rFonts w:ascii="Century" w:hAnsi="Century" w:cs="Miriam"/>
          <w:b/>
          <w:spacing w:val="0"/>
          <w:szCs w:val="24"/>
          <w:rtl/>
        </w:rPr>
        <w:t xml:space="preserve">' </w:t>
      </w:r>
      <w:r w:rsidRPr="004A305C">
        <w:rPr>
          <w:rFonts w:ascii="Century" w:hAnsi="Century" w:cs="Miriam" w:hint="eastAsia"/>
          <w:b/>
          <w:spacing w:val="0"/>
          <w:szCs w:val="24"/>
          <w:rtl/>
        </w:rPr>
        <w:t>הפניקס</w:t>
      </w:r>
      <w:r w:rsidRPr="004A305C">
        <w:rPr>
          <w:rFonts w:ascii="Century" w:hAnsi="Century" w:cs="Miriam"/>
          <w:b/>
          <w:spacing w:val="0"/>
          <w:szCs w:val="24"/>
          <w:rtl/>
        </w:rPr>
        <w:t xml:space="preserve"> </w:t>
      </w:r>
      <w:r w:rsidRPr="004A305C">
        <w:rPr>
          <w:rFonts w:ascii="Century" w:hAnsi="Century" w:cs="Miriam" w:hint="eastAsia"/>
          <w:b/>
          <w:spacing w:val="0"/>
          <w:szCs w:val="24"/>
          <w:rtl/>
        </w:rPr>
        <w:t>חברה</w:t>
      </w:r>
      <w:r w:rsidRPr="004A305C">
        <w:rPr>
          <w:rFonts w:ascii="Century" w:hAnsi="Century" w:cs="Miriam"/>
          <w:b/>
          <w:spacing w:val="0"/>
          <w:szCs w:val="24"/>
          <w:rtl/>
        </w:rPr>
        <w:t xml:space="preserve"> </w:t>
      </w:r>
      <w:r w:rsidRPr="004A305C">
        <w:rPr>
          <w:rFonts w:ascii="Century" w:hAnsi="Century" w:cs="Miriam" w:hint="eastAsia"/>
          <w:b/>
          <w:spacing w:val="0"/>
          <w:szCs w:val="24"/>
          <w:rtl/>
        </w:rPr>
        <w:t>לביטוח</w:t>
      </w:r>
      <w:r w:rsidRPr="004A305C">
        <w:rPr>
          <w:rFonts w:ascii="Century" w:hAnsi="Century" w:cs="Miriam"/>
          <w:b/>
          <w:spacing w:val="0"/>
          <w:szCs w:val="24"/>
          <w:rtl/>
        </w:rPr>
        <w:t xml:space="preserve"> </w:t>
      </w:r>
      <w:r w:rsidRPr="004A305C">
        <w:rPr>
          <w:rFonts w:ascii="Century" w:hAnsi="Century" w:cs="Miriam" w:hint="eastAsia"/>
          <w:b/>
          <w:spacing w:val="0"/>
          <w:szCs w:val="24"/>
          <w:rtl/>
        </w:rPr>
        <w:t>בע</w:t>
      </w:r>
      <w:r w:rsidRPr="004A305C">
        <w:rPr>
          <w:rFonts w:ascii="Century" w:hAnsi="Century" w:cs="Miriam"/>
          <w:b/>
          <w:spacing w:val="0"/>
          <w:szCs w:val="24"/>
          <w:rtl/>
        </w:rPr>
        <w:t>"</w:t>
      </w:r>
      <w:r w:rsidRPr="004A305C">
        <w:rPr>
          <w:rFonts w:ascii="Century" w:hAnsi="Century" w:cs="Miriam" w:hint="eastAsia"/>
          <w:b/>
          <w:spacing w:val="0"/>
          <w:szCs w:val="24"/>
          <w:rtl/>
        </w:rPr>
        <w:t>מ</w:t>
      </w:r>
      <w:r w:rsidRPr="004A305C">
        <w:rPr>
          <w:rFonts w:ascii="Century" w:hAnsi="Century" w:hint="cs"/>
          <w:rtl/>
        </w:rPr>
        <w:t xml:space="preserve">, פסקה 6 לחוות דעתי (4.7.2021); </w:t>
      </w:r>
      <w:r w:rsidRPr="004A305C">
        <w:rPr>
          <w:rFonts w:ascii="Century" w:hAnsi="Century" w:hint="eastAsia"/>
          <w:rtl/>
        </w:rPr>
        <w:t>רע</w:t>
      </w:r>
      <w:r w:rsidRPr="004A305C">
        <w:rPr>
          <w:rFonts w:ascii="Century" w:hAnsi="Century"/>
          <w:rtl/>
        </w:rPr>
        <w:t>"</w:t>
      </w:r>
      <w:r w:rsidRPr="004A305C">
        <w:rPr>
          <w:rFonts w:ascii="Century" w:hAnsi="Century" w:hint="eastAsia"/>
          <w:rtl/>
        </w:rPr>
        <w:t>פ</w:t>
      </w:r>
      <w:r w:rsidRPr="004A305C">
        <w:rPr>
          <w:rFonts w:ascii="Century" w:hAnsi="Century"/>
          <w:rtl/>
        </w:rPr>
        <w:t xml:space="preserve"> 7052/18 </w:t>
      </w:r>
      <w:r w:rsidRPr="004A305C">
        <w:rPr>
          <w:rFonts w:ascii="Century" w:hAnsi="Century" w:cs="Miriam" w:hint="eastAsia"/>
          <w:b/>
          <w:spacing w:val="0"/>
          <w:szCs w:val="24"/>
          <w:rtl/>
        </w:rPr>
        <w:t>מדינת</w:t>
      </w:r>
      <w:r w:rsidRPr="004A305C">
        <w:rPr>
          <w:rFonts w:ascii="Century" w:hAnsi="Century" w:cs="Miriam"/>
          <w:b/>
          <w:spacing w:val="0"/>
          <w:szCs w:val="24"/>
          <w:rtl/>
        </w:rPr>
        <w:t xml:space="preserve"> </w:t>
      </w:r>
      <w:r w:rsidRPr="004A305C">
        <w:rPr>
          <w:rFonts w:ascii="Century" w:hAnsi="Century" w:cs="Miriam" w:hint="eastAsia"/>
          <w:b/>
          <w:spacing w:val="0"/>
          <w:szCs w:val="24"/>
          <w:rtl/>
        </w:rPr>
        <w:t>ישראל</w:t>
      </w:r>
      <w:r w:rsidRPr="004A305C">
        <w:rPr>
          <w:rFonts w:ascii="Century" w:hAnsi="Century" w:cs="Miriam"/>
          <w:b/>
          <w:spacing w:val="0"/>
          <w:szCs w:val="24"/>
          <w:rtl/>
        </w:rPr>
        <w:t xml:space="preserve"> </w:t>
      </w:r>
      <w:r w:rsidRPr="004A305C">
        <w:rPr>
          <w:rFonts w:ascii="Century" w:hAnsi="Century" w:cs="Miriam" w:hint="eastAsia"/>
          <w:b/>
          <w:spacing w:val="0"/>
          <w:szCs w:val="24"/>
          <w:rtl/>
        </w:rPr>
        <w:t>נ</w:t>
      </w:r>
      <w:r w:rsidRPr="004A305C">
        <w:rPr>
          <w:rFonts w:ascii="Century" w:hAnsi="Century" w:cs="Miriam"/>
          <w:b/>
          <w:spacing w:val="0"/>
          <w:szCs w:val="24"/>
          <w:rtl/>
        </w:rPr>
        <w:t xml:space="preserve">' </w:t>
      </w:r>
      <w:r w:rsidRPr="004A305C">
        <w:rPr>
          <w:rFonts w:ascii="Century" w:hAnsi="Century" w:cs="Miriam" w:hint="eastAsia"/>
          <w:b/>
          <w:spacing w:val="0"/>
          <w:szCs w:val="24"/>
          <w:rtl/>
        </w:rPr>
        <w:t>רותם</w:t>
      </w:r>
      <w:r w:rsidRPr="004A305C">
        <w:rPr>
          <w:rFonts w:ascii="Century" w:hAnsi="Century" w:hint="cs"/>
          <w:rtl/>
        </w:rPr>
        <w:t xml:space="preserve">, פסקה 37 לחוות דעתי </w:t>
      </w:r>
      <w:r w:rsidRPr="004A305C">
        <w:rPr>
          <w:rFonts w:ascii="Century" w:hAnsi="Century"/>
          <w:rtl/>
        </w:rPr>
        <w:t>(5.5.2020)</w:t>
      </w:r>
      <w:r w:rsidRPr="004A305C">
        <w:rPr>
          <w:rFonts w:ascii="Century" w:hAnsi="Century" w:hint="cs"/>
          <w:rtl/>
        </w:rPr>
        <w:t xml:space="preserve">; </w:t>
      </w:r>
      <w:r w:rsidRPr="004A305C">
        <w:rPr>
          <w:rFonts w:ascii="Century" w:hAnsi="Century" w:hint="eastAsia"/>
          <w:rtl/>
        </w:rPr>
        <w:t>בג</w:t>
      </w:r>
      <w:r w:rsidRPr="004A305C">
        <w:rPr>
          <w:rFonts w:ascii="Century" w:hAnsi="Century" w:hint="cs"/>
          <w:rtl/>
        </w:rPr>
        <w:t>"</w:t>
      </w:r>
      <w:r w:rsidRPr="004A305C">
        <w:rPr>
          <w:rFonts w:ascii="Century" w:hAnsi="Century" w:hint="eastAsia"/>
          <w:rtl/>
        </w:rPr>
        <w:t>ץ</w:t>
      </w:r>
      <w:r w:rsidRPr="004A305C">
        <w:rPr>
          <w:rFonts w:ascii="Century" w:hAnsi="Century"/>
          <w:rtl/>
        </w:rPr>
        <w:t xml:space="preserve"> 6120/19 </w:t>
      </w:r>
      <w:r w:rsidRPr="004A305C">
        <w:rPr>
          <w:rFonts w:ascii="Century" w:hAnsi="Century" w:cs="Miriam"/>
          <w:b/>
          <w:spacing w:val="0"/>
          <w:szCs w:val="24"/>
          <w:rtl/>
        </w:rPr>
        <w:t>‏</w:t>
      </w:r>
      <w:r w:rsidRPr="004A305C">
        <w:rPr>
          <w:rFonts w:ascii="Century" w:hAnsi="Century" w:cs="Miriam" w:hint="eastAsia"/>
          <w:b/>
          <w:spacing w:val="0"/>
          <w:szCs w:val="24"/>
          <w:rtl/>
        </w:rPr>
        <w:t>כהן</w:t>
      </w:r>
      <w:r w:rsidRPr="004A305C">
        <w:rPr>
          <w:rFonts w:ascii="Century" w:hAnsi="Century" w:cs="Miriam"/>
          <w:b/>
          <w:spacing w:val="0"/>
          <w:szCs w:val="24"/>
          <w:rtl/>
        </w:rPr>
        <w:t xml:space="preserve"> </w:t>
      </w:r>
      <w:r w:rsidRPr="004A305C">
        <w:rPr>
          <w:rFonts w:ascii="Century" w:hAnsi="Century" w:cs="Miriam" w:hint="eastAsia"/>
          <w:b/>
          <w:spacing w:val="0"/>
          <w:szCs w:val="24"/>
          <w:rtl/>
        </w:rPr>
        <w:t>נ</w:t>
      </w:r>
      <w:r w:rsidRPr="004A305C">
        <w:rPr>
          <w:rFonts w:ascii="Century" w:hAnsi="Century" w:cs="Miriam"/>
          <w:b/>
          <w:spacing w:val="0"/>
          <w:szCs w:val="24"/>
          <w:rtl/>
        </w:rPr>
        <w:t xml:space="preserve">' </w:t>
      </w:r>
      <w:r w:rsidRPr="004A305C">
        <w:rPr>
          <w:rFonts w:ascii="Century" w:hAnsi="Century" w:cs="Miriam" w:hint="eastAsia"/>
          <w:b/>
          <w:spacing w:val="0"/>
          <w:szCs w:val="24"/>
          <w:rtl/>
        </w:rPr>
        <w:t>יד</w:t>
      </w:r>
      <w:r w:rsidRPr="004A305C">
        <w:rPr>
          <w:rFonts w:ascii="Century" w:hAnsi="Century" w:cs="Miriam"/>
          <w:b/>
          <w:spacing w:val="0"/>
          <w:szCs w:val="24"/>
          <w:rtl/>
        </w:rPr>
        <w:t xml:space="preserve"> </w:t>
      </w:r>
      <w:r w:rsidRPr="004A305C">
        <w:rPr>
          <w:rFonts w:ascii="Century" w:hAnsi="Century" w:cs="Miriam" w:hint="eastAsia"/>
          <w:b/>
          <w:spacing w:val="0"/>
          <w:szCs w:val="24"/>
          <w:rtl/>
        </w:rPr>
        <w:t>ושם</w:t>
      </w:r>
      <w:r w:rsidRPr="004A305C">
        <w:rPr>
          <w:rFonts w:ascii="Century" w:hAnsi="Century" w:cs="Miriam"/>
          <w:b/>
          <w:spacing w:val="0"/>
          <w:szCs w:val="24"/>
          <w:rtl/>
        </w:rPr>
        <w:t xml:space="preserve"> </w:t>
      </w:r>
      <w:r w:rsidRPr="004A305C">
        <w:rPr>
          <w:rFonts w:ascii="Century" w:hAnsi="Century" w:cs="Miriam" w:hint="eastAsia"/>
          <w:b/>
          <w:spacing w:val="0"/>
          <w:szCs w:val="24"/>
          <w:rtl/>
        </w:rPr>
        <w:t>רשות</w:t>
      </w:r>
      <w:r w:rsidRPr="004A305C">
        <w:rPr>
          <w:rFonts w:ascii="Century" w:hAnsi="Century" w:cs="Miriam"/>
          <w:b/>
          <w:spacing w:val="0"/>
          <w:szCs w:val="24"/>
          <w:rtl/>
        </w:rPr>
        <w:t xml:space="preserve"> </w:t>
      </w:r>
      <w:r w:rsidRPr="004A305C">
        <w:rPr>
          <w:rFonts w:ascii="Century" w:hAnsi="Century" w:cs="Miriam" w:hint="eastAsia"/>
          <w:b/>
          <w:spacing w:val="0"/>
          <w:szCs w:val="24"/>
          <w:rtl/>
        </w:rPr>
        <w:t>הזיכרון</w:t>
      </w:r>
      <w:r w:rsidRPr="004A305C">
        <w:rPr>
          <w:rFonts w:ascii="Century" w:hAnsi="Century" w:cs="Miriam"/>
          <w:b/>
          <w:spacing w:val="0"/>
          <w:szCs w:val="24"/>
          <w:rtl/>
        </w:rPr>
        <w:t xml:space="preserve"> </w:t>
      </w:r>
      <w:r w:rsidRPr="004A305C">
        <w:rPr>
          <w:rFonts w:ascii="Century" w:hAnsi="Century" w:cs="Miriam" w:hint="eastAsia"/>
          <w:b/>
          <w:spacing w:val="0"/>
          <w:szCs w:val="24"/>
          <w:rtl/>
        </w:rPr>
        <w:t>לשואה</w:t>
      </w:r>
      <w:r w:rsidRPr="004A305C">
        <w:rPr>
          <w:rFonts w:ascii="Century" w:hAnsi="Century" w:cs="Miriam"/>
          <w:b/>
          <w:spacing w:val="0"/>
          <w:szCs w:val="24"/>
          <w:rtl/>
        </w:rPr>
        <w:t xml:space="preserve"> </w:t>
      </w:r>
      <w:r w:rsidRPr="004A305C">
        <w:rPr>
          <w:rFonts w:ascii="Century" w:hAnsi="Century" w:cs="Miriam" w:hint="eastAsia"/>
          <w:b/>
          <w:spacing w:val="0"/>
          <w:szCs w:val="24"/>
          <w:rtl/>
        </w:rPr>
        <w:t>ולגבורה</w:t>
      </w:r>
      <w:r w:rsidRPr="004A305C">
        <w:rPr>
          <w:rFonts w:ascii="Century" w:hAnsi="Century" w:hint="cs"/>
          <w:rtl/>
        </w:rPr>
        <w:t xml:space="preserve">, פסקה 14 לחוות דעתי (17.7.2020); </w:t>
      </w:r>
      <w:r w:rsidRPr="004A305C">
        <w:rPr>
          <w:rFonts w:ascii="Century" w:hAnsi="Century" w:hint="eastAsia"/>
          <w:rtl/>
        </w:rPr>
        <w:t>דנג</w:t>
      </w:r>
      <w:r w:rsidRPr="004A305C">
        <w:rPr>
          <w:rFonts w:ascii="Century" w:hAnsi="Century"/>
          <w:rtl/>
        </w:rPr>
        <w:t>"</w:t>
      </w:r>
      <w:r w:rsidRPr="004A305C">
        <w:rPr>
          <w:rFonts w:ascii="Century" w:hAnsi="Century" w:hint="eastAsia"/>
          <w:rtl/>
        </w:rPr>
        <w:t>ץ</w:t>
      </w:r>
      <w:r w:rsidRPr="004A305C">
        <w:rPr>
          <w:rFonts w:ascii="Century" w:hAnsi="Century"/>
          <w:rtl/>
        </w:rPr>
        <w:t xml:space="preserve"> 3660</w:t>
      </w:r>
      <w:r w:rsidRPr="004A305C">
        <w:rPr>
          <w:rFonts w:ascii="Century" w:hAnsi="Century" w:hint="cs"/>
          <w:rtl/>
        </w:rPr>
        <w:t>/</w:t>
      </w:r>
      <w:r w:rsidRPr="004A305C">
        <w:rPr>
          <w:rFonts w:ascii="Century" w:hAnsi="Century"/>
          <w:rtl/>
        </w:rPr>
        <w:t xml:space="preserve">17 </w:t>
      </w:r>
      <w:r w:rsidRPr="004A305C">
        <w:rPr>
          <w:rFonts w:ascii="Century" w:hAnsi="Century" w:cs="Miriam" w:hint="eastAsia"/>
          <w:b/>
          <w:spacing w:val="0"/>
          <w:szCs w:val="24"/>
          <w:rtl/>
        </w:rPr>
        <w:t>התאחדות</w:t>
      </w:r>
      <w:r w:rsidRPr="004A305C">
        <w:rPr>
          <w:rFonts w:ascii="Century" w:hAnsi="Century" w:cs="Miriam"/>
          <w:b/>
          <w:spacing w:val="0"/>
          <w:szCs w:val="24"/>
          <w:rtl/>
        </w:rPr>
        <w:t xml:space="preserve"> </w:t>
      </w:r>
      <w:r w:rsidRPr="004A305C">
        <w:rPr>
          <w:rFonts w:ascii="Century" w:hAnsi="Century" w:cs="Miriam" w:hint="eastAsia"/>
          <w:b/>
          <w:spacing w:val="0"/>
          <w:szCs w:val="24"/>
          <w:rtl/>
        </w:rPr>
        <w:t>הסוחרים</w:t>
      </w:r>
      <w:r w:rsidRPr="004A305C">
        <w:rPr>
          <w:rFonts w:ascii="Century" w:hAnsi="Century" w:cs="Miriam"/>
          <w:b/>
          <w:spacing w:val="0"/>
          <w:szCs w:val="24"/>
          <w:rtl/>
        </w:rPr>
        <w:t xml:space="preserve"> </w:t>
      </w:r>
      <w:r w:rsidRPr="004A305C">
        <w:rPr>
          <w:rFonts w:ascii="Century" w:hAnsi="Century" w:cs="Miriam" w:hint="eastAsia"/>
          <w:b/>
          <w:spacing w:val="0"/>
          <w:szCs w:val="24"/>
          <w:rtl/>
        </w:rPr>
        <w:t>והעצמאים</w:t>
      </w:r>
      <w:r w:rsidRPr="004A305C">
        <w:rPr>
          <w:rFonts w:ascii="Century" w:hAnsi="Century" w:cs="Miriam"/>
          <w:b/>
          <w:spacing w:val="0"/>
          <w:szCs w:val="24"/>
          <w:rtl/>
        </w:rPr>
        <w:t xml:space="preserve"> </w:t>
      </w:r>
      <w:r w:rsidRPr="004A305C">
        <w:rPr>
          <w:rFonts w:ascii="Century" w:hAnsi="Century" w:cs="Miriam" w:hint="eastAsia"/>
          <w:b/>
          <w:spacing w:val="0"/>
          <w:szCs w:val="24"/>
          <w:rtl/>
        </w:rPr>
        <w:t>הכללית</w:t>
      </w:r>
      <w:r w:rsidRPr="004A305C">
        <w:rPr>
          <w:rFonts w:ascii="Century" w:hAnsi="Century" w:cs="Miriam"/>
          <w:b/>
          <w:spacing w:val="0"/>
          <w:szCs w:val="24"/>
          <w:rtl/>
        </w:rPr>
        <w:t xml:space="preserve"> </w:t>
      </w:r>
      <w:r w:rsidRPr="004A305C">
        <w:rPr>
          <w:rFonts w:ascii="Century" w:hAnsi="Century" w:cs="Miriam" w:hint="eastAsia"/>
          <w:b/>
          <w:spacing w:val="0"/>
          <w:szCs w:val="24"/>
          <w:rtl/>
        </w:rPr>
        <w:t>נ</w:t>
      </w:r>
      <w:r w:rsidRPr="004A305C">
        <w:rPr>
          <w:rFonts w:ascii="Century" w:hAnsi="Century" w:cs="Miriam"/>
          <w:b/>
          <w:spacing w:val="0"/>
          <w:szCs w:val="24"/>
          <w:rtl/>
        </w:rPr>
        <w:t xml:space="preserve">' </w:t>
      </w:r>
      <w:r w:rsidRPr="004A305C">
        <w:rPr>
          <w:rFonts w:ascii="Century" w:hAnsi="Century" w:cs="Miriam" w:hint="eastAsia"/>
          <w:b/>
          <w:spacing w:val="0"/>
          <w:szCs w:val="24"/>
          <w:rtl/>
        </w:rPr>
        <w:t>שר</w:t>
      </w:r>
      <w:r w:rsidRPr="004A305C">
        <w:rPr>
          <w:rFonts w:ascii="Century" w:hAnsi="Century" w:cs="Miriam"/>
          <w:b/>
          <w:spacing w:val="0"/>
          <w:szCs w:val="24"/>
          <w:rtl/>
        </w:rPr>
        <w:t xml:space="preserve"> </w:t>
      </w:r>
      <w:r w:rsidRPr="004A305C">
        <w:rPr>
          <w:rFonts w:ascii="Century" w:hAnsi="Century" w:cs="Miriam" w:hint="eastAsia"/>
          <w:b/>
          <w:spacing w:val="0"/>
          <w:szCs w:val="24"/>
          <w:rtl/>
        </w:rPr>
        <w:t>הפנים</w:t>
      </w:r>
      <w:r w:rsidRPr="004A305C">
        <w:rPr>
          <w:rFonts w:ascii="Century" w:hAnsi="Century" w:hint="cs"/>
          <w:rtl/>
        </w:rPr>
        <w:t xml:space="preserve">, פסקה 36 לחוות דעתי (26.10.2017); </w:t>
      </w:r>
      <w:r w:rsidRPr="004A305C">
        <w:rPr>
          <w:rFonts w:ascii="Century" w:hAnsi="Century" w:hint="eastAsia"/>
          <w:rtl/>
        </w:rPr>
        <w:t>בג</w:t>
      </w:r>
      <w:r w:rsidRPr="004A305C">
        <w:rPr>
          <w:rFonts w:ascii="Century" w:hAnsi="Century"/>
          <w:rtl/>
        </w:rPr>
        <w:t>"</w:t>
      </w:r>
      <w:r w:rsidRPr="004A305C">
        <w:rPr>
          <w:rFonts w:ascii="Century" w:hAnsi="Century" w:hint="eastAsia"/>
          <w:rtl/>
        </w:rPr>
        <w:t>ץ</w:t>
      </w:r>
      <w:r w:rsidRPr="004A305C">
        <w:rPr>
          <w:rFonts w:ascii="Century" w:hAnsi="Century"/>
          <w:rtl/>
        </w:rPr>
        <w:t xml:space="preserve"> 43</w:t>
      </w:r>
      <w:r w:rsidRPr="004A305C">
        <w:rPr>
          <w:rFonts w:ascii="Century" w:hAnsi="Century" w:hint="cs"/>
          <w:rtl/>
        </w:rPr>
        <w:t>/</w:t>
      </w:r>
      <w:r w:rsidRPr="004A305C">
        <w:rPr>
          <w:rFonts w:ascii="Century" w:hAnsi="Century"/>
          <w:rtl/>
        </w:rPr>
        <w:t xml:space="preserve">16 </w:t>
      </w:r>
      <w:r w:rsidRPr="004A305C">
        <w:rPr>
          <w:rFonts w:ascii="Century" w:hAnsi="Century" w:cs="Miriam" w:hint="eastAsia"/>
          <w:b/>
          <w:spacing w:val="0"/>
          <w:szCs w:val="24"/>
          <w:rtl/>
        </w:rPr>
        <w:t>תנועת</w:t>
      </w:r>
      <w:r w:rsidRPr="004A305C">
        <w:rPr>
          <w:rFonts w:ascii="Century" w:hAnsi="Century" w:cs="Miriam"/>
          <w:b/>
          <w:spacing w:val="0"/>
          <w:szCs w:val="24"/>
          <w:rtl/>
        </w:rPr>
        <w:t xml:space="preserve"> </w:t>
      </w:r>
      <w:r w:rsidRPr="004A305C">
        <w:rPr>
          <w:rFonts w:ascii="Century" w:hAnsi="Century" w:cs="Miriam" w:hint="eastAsia"/>
          <w:b/>
          <w:spacing w:val="0"/>
          <w:szCs w:val="24"/>
          <w:rtl/>
        </w:rPr>
        <w:t>אומ</w:t>
      </w:r>
      <w:r w:rsidRPr="004A305C">
        <w:rPr>
          <w:rFonts w:ascii="Century" w:hAnsi="Century" w:cs="Miriam"/>
          <w:b/>
          <w:spacing w:val="0"/>
          <w:szCs w:val="24"/>
          <w:rtl/>
        </w:rPr>
        <w:t>"</w:t>
      </w:r>
      <w:r w:rsidRPr="004A305C">
        <w:rPr>
          <w:rFonts w:ascii="Century" w:hAnsi="Century" w:cs="Miriam" w:hint="eastAsia"/>
          <w:b/>
          <w:spacing w:val="0"/>
          <w:szCs w:val="24"/>
          <w:rtl/>
        </w:rPr>
        <w:t>ץ</w:t>
      </w:r>
      <w:r w:rsidRPr="004A305C">
        <w:rPr>
          <w:rFonts w:ascii="Century" w:hAnsi="Century" w:cs="Miriam"/>
          <w:b/>
          <w:spacing w:val="0"/>
          <w:szCs w:val="24"/>
          <w:rtl/>
        </w:rPr>
        <w:t xml:space="preserve"> </w:t>
      </w:r>
      <w:r w:rsidRPr="004A305C">
        <w:rPr>
          <w:rFonts w:ascii="Century" w:hAnsi="Century" w:cs="Miriam" w:hint="eastAsia"/>
          <w:b/>
          <w:spacing w:val="0"/>
          <w:szCs w:val="24"/>
          <w:rtl/>
        </w:rPr>
        <w:t>אזרחים</w:t>
      </w:r>
      <w:r w:rsidRPr="004A305C">
        <w:rPr>
          <w:rFonts w:ascii="Century" w:hAnsi="Century" w:cs="Miriam"/>
          <w:b/>
          <w:spacing w:val="0"/>
          <w:szCs w:val="24"/>
          <w:rtl/>
        </w:rPr>
        <w:t xml:space="preserve"> </w:t>
      </w:r>
      <w:r w:rsidRPr="004A305C">
        <w:rPr>
          <w:rFonts w:ascii="Century" w:hAnsi="Century" w:cs="Miriam" w:hint="eastAsia"/>
          <w:b/>
          <w:spacing w:val="0"/>
          <w:szCs w:val="24"/>
          <w:rtl/>
        </w:rPr>
        <w:t>למען</w:t>
      </w:r>
      <w:r w:rsidRPr="004A305C">
        <w:rPr>
          <w:rFonts w:ascii="Century" w:hAnsi="Century" w:cs="Miriam"/>
          <w:b/>
          <w:spacing w:val="0"/>
          <w:szCs w:val="24"/>
          <w:rtl/>
        </w:rPr>
        <w:t xml:space="preserve"> </w:t>
      </w:r>
      <w:r w:rsidRPr="004A305C">
        <w:rPr>
          <w:rFonts w:ascii="Century" w:hAnsi="Century" w:cs="Miriam" w:hint="eastAsia"/>
          <w:b/>
          <w:spacing w:val="0"/>
          <w:szCs w:val="24"/>
          <w:rtl/>
        </w:rPr>
        <w:t>מינהל</w:t>
      </w:r>
      <w:r w:rsidRPr="004A305C">
        <w:rPr>
          <w:rFonts w:ascii="Century" w:hAnsi="Century" w:cs="Miriam"/>
          <w:b/>
          <w:spacing w:val="0"/>
          <w:szCs w:val="24"/>
          <w:rtl/>
        </w:rPr>
        <w:t xml:space="preserve"> </w:t>
      </w:r>
      <w:r w:rsidRPr="004A305C">
        <w:rPr>
          <w:rFonts w:ascii="Century" w:hAnsi="Century" w:cs="Miriam" w:hint="eastAsia"/>
          <w:b/>
          <w:spacing w:val="0"/>
          <w:szCs w:val="24"/>
          <w:rtl/>
        </w:rPr>
        <w:t>תקין</w:t>
      </w:r>
      <w:r w:rsidRPr="004A305C">
        <w:rPr>
          <w:rFonts w:ascii="Century" w:hAnsi="Century" w:cs="Miriam"/>
          <w:b/>
          <w:spacing w:val="0"/>
          <w:szCs w:val="24"/>
          <w:rtl/>
        </w:rPr>
        <w:t xml:space="preserve"> </w:t>
      </w:r>
      <w:r w:rsidRPr="004A305C">
        <w:rPr>
          <w:rFonts w:ascii="Century" w:hAnsi="Century" w:cs="Miriam" w:hint="eastAsia"/>
          <w:b/>
          <w:spacing w:val="0"/>
          <w:szCs w:val="24"/>
          <w:rtl/>
        </w:rPr>
        <w:t>וצדק</w:t>
      </w:r>
      <w:r w:rsidRPr="004A305C">
        <w:rPr>
          <w:rFonts w:ascii="Century" w:hAnsi="Century" w:cs="Miriam"/>
          <w:b/>
          <w:spacing w:val="0"/>
          <w:szCs w:val="24"/>
          <w:rtl/>
        </w:rPr>
        <w:t xml:space="preserve"> </w:t>
      </w:r>
      <w:r w:rsidRPr="004A305C">
        <w:rPr>
          <w:rFonts w:ascii="Century" w:hAnsi="Century" w:cs="Miriam" w:hint="eastAsia"/>
          <w:b/>
          <w:spacing w:val="0"/>
          <w:szCs w:val="24"/>
          <w:rtl/>
        </w:rPr>
        <w:t>חברתי</w:t>
      </w:r>
      <w:r w:rsidRPr="004A305C">
        <w:rPr>
          <w:rFonts w:ascii="Century" w:hAnsi="Century" w:cs="Miriam"/>
          <w:b/>
          <w:spacing w:val="0"/>
          <w:szCs w:val="24"/>
          <w:rtl/>
        </w:rPr>
        <w:t xml:space="preserve"> </w:t>
      </w:r>
      <w:r w:rsidRPr="004A305C">
        <w:rPr>
          <w:rFonts w:ascii="Century" w:hAnsi="Century" w:cs="Miriam" w:hint="eastAsia"/>
          <w:b/>
          <w:spacing w:val="0"/>
          <w:szCs w:val="24"/>
          <w:rtl/>
        </w:rPr>
        <w:t>ומשפטי</w:t>
      </w:r>
      <w:r w:rsidRPr="004A305C">
        <w:rPr>
          <w:rFonts w:ascii="Century" w:hAnsi="Century" w:cs="Miriam"/>
          <w:b/>
          <w:spacing w:val="0"/>
          <w:szCs w:val="24"/>
          <w:rtl/>
        </w:rPr>
        <w:t xml:space="preserve"> </w:t>
      </w:r>
      <w:r w:rsidRPr="004A305C">
        <w:rPr>
          <w:rFonts w:ascii="Century" w:hAnsi="Century" w:cs="Miriam" w:hint="eastAsia"/>
          <w:b/>
          <w:spacing w:val="0"/>
          <w:szCs w:val="24"/>
          <w:rtl/>
        </w:rPr>
        <w:t>נ</w:t>
      </w:r>
      <w:r w:rsidRPr="004A305C">
        <w:rPr>
          <w:rFonts w:ascii="Century" w:hAnsi="Century" w:cs="Miriam"/>
          <w:b/>
          <w:spacing w:val="0"/>
          <w:szCs w:val="24"/>
          <w:rtl/>
        </w:rPr>
        <w:t xml:space="preserve">' </w:t>
      </w:r>
      <w:r w:rsidRPr="004A305C">
        <w:rPr>
          <w:rFonts w:ascii="Century" w:hAnsi="Century" w:cs="Miriam" w:hint="eastAsia"/>
          <w:b/>
          <w:spacing w:val="0"/>
          <w:szCs w:val="24"/>
          <w:rtl/>
        </w:rPr>
        <w:t>ממשלת</w:t>
      </w:r>
      <w:r w:rsidRPr="004A305C">
        <w:rPr>
          <w:rFonts w:ascii="Century" w:hAnsi="Century" w:cs="Miriam"/>
          <w:b/>
          <w:spacing w:val="0"/>
          <w:szCs w:val="24"/>
          <w:rtl/>
        </w:rPr>
        <w:t xml:space="preserve"> </w:t>
      </w:r>
      <w:r w:rsidRPr="004A305C">
        <w:rPr>
          <w:rFonts w:ascii="Century" w:hAnsi="Century" w:cs="Miriam" w:hint="eastAsia"/>
          <w:b/>
          <w:spacing w:val="0"/>
          <w:szCs w:val="24"/>
          <w:rtl/>
        </w:rPr>
        <w:t>ישראל</w:t>
      </w:r>
      <w:r w:rsidRPr="004A305C">
        <w:rPr>
          <w:rFonts w:ascii="Century" w:hAnsi="Century" w:hint="cs"/>
          <w:rtl/>
        </w:rPr>
        <w:t>, פסקה 15 לחוות דעתי (1.3.2016)</w:t>
      </w:r>
      <w:r>
        <w:rPr>
          <w:rFonts w:hint="cs"/>
          <w:rtl/>
        </w:rPr>
        <w:t xml:space="preserve">). הִצעתי, כי במסגרת שיקול הדעת השיפוטי המוקנה לנו, השופטים, 'ניקח את גורלנו בידינו' ונקבע את גבולות הגזרה של עילת הסבירות 'המהותית', כך שלא תחול בעניינן של החלטות הממשלה ושׂריה; הדרג הנבחר. חברַי השופטים, מקצתם ראו את מצב הדברים עין בעין אִתי, הצטרפו לדעתי, להלכה ולמעשה; מרביתם לא עשו כן.  </w:t>
      </w:r>
    </w:p>
    <w:p w:rsidR="00EB02E1" w:rsidRPr="004A305C" w:rsidRDefault="00EB02E1" w:rsidP="00EB02E1">
      <w:pPr>
        <w:pStyle w:val="Ruller41"/>
      </w:pPr>
    </w:p>
    <w:p w:rsidR="00EB02E1" w:rsidRDefault="00EB02E1" w:rsidP="00EB02E1">
      <w:pPr>
        <w:pStyle w:val="Ruller4"/>
        <w:rPr>
          <w:rtl/>
        </w:rPr>
      </w:pPr>
      <w:r>
        <w:rPr>
          <w:rFonts w:hint="cs"/>
          <w:rtl/>
        </w:rPr>
        <w:t xml:space="preserve">היו אנשים שאמרו, כי עניינה של </w:t>
      </w:r>
      <w:r w:rsidRPr="005274D3">
        <w:rPr>
          <w:rFonts w:ascii="Century" w:hAnsi="Century" w:cs="Miriam" w:hint="cs"/>
          <w:b/>
          <w:spacing w:val="0"/>
          <w:szCs w:val="24"/>
          <w:rtl/>
        </w:rPr>
        <w:t>עילת הסבירות</w:t>
      </w:r>
      <w:r>
        <w:rPr>
          <w:rFonts w:hint="cs"/>
          <w:rtl/>
        </w:rPr>
        <w:t>, עשוי היה לבוא על פתרונו, בצורה מיטבית, אילו בחרנו 'לרסן' מעט את עצמנו, בטרם יבוא המחוקק-המכונן ויאמר את דברו. היה לאל-ידינו 'לתפור' את פרטי ההסדר ממ</w:t>
      </w:r>
      <w:r w:rsidR="0079348B">
        <w:rPr>
          <w:rFonts w:hint="cs"/>
          <w:rtl/>
        </w:rPr>
        <w:t xml:space="preserve">קרה למקרה, מעניין לעניין, כדרכו </w:t>
      </w:r>
      <w:r w:rsidR="00E0052A">
        <w:rPr>
          <w:rFonts w:hint="cs"/>
          <w:rtl/>
        </w:rPr>
        <w:t>ד</w:t>
      </w:r>
      <w:r>
        <w:rPr>
          <w:rFonts w:hint="cs"/>
          <w:rtl/>
        </w:rPr>
        <w:t xml:space="preserve">הטובה של המשפט המקובל. שולפים היינו 'איזמל מנתחים', דק מן הדק, שבו אנו נוהגים לעשות שימוש תדיר, ובעזרתו ניתן היה לדייק ולשייף, לזקק את ההסדר ה'גולמי' שהצעתי עד שיעמוד על 'נקודת האופטימום'. </w:t>
      </w:r>
    </w:p>
    <w:p w:rsidR="00EB02E1" w:rsidRPr="00646423" w:rsidRDefault="00EB02E1" w:rsidP="00EB02E1">
      <w:pPr>
        <w:pStyle w:val="Ruller41"/>
      </w:pPr>
    </w:p>
    <w:p w:rsidR="00EB02E1" w:rsidRDefault="00EB02E1" w:rsidP="00EB02E1">
      <w:pPr>
        <w:pStyle w:val="Ruller4"/>
        <w:rPr>
          <w:rtl/>
        </w:rPr>
      </w:pPr>
      <w:r>
        <w:rPr>
          <w:rFonts w:hint="cs"/>
          <w:rtl/>
        </w:rPr>
        <w:t xml:space="preserve">במבט כללי יותר, תחושתי היא, כי לא רק עניינה של </w:t>
      </w:r>
      <w:r w:rsidRPr="00B701AB">
        <w:rPr>
          <w:rFonts w:ascii="Century" w:hAnsi="Century" w:cs="Miriam" w:hint="cs"/>
          <w:b/>
          <w:spacing w:val="0"/>
          <w:szCs w:val="24"/>
          <w:rtl/>
        </w:rPr>
        <w:t>עילת הסבירות</w:t>
      </w:r>
      <w:r>
        <w:rPr>
          <w:rFonts w:hint="cs"/>
          <w:rtl/>
        </w:rPr>
        <w:t>, עשוי היה להיפת</w:t>
      </w:r>
      <w:r>
        <w:rPr>
          <w:rFonts w:hint="eastAsia"/>
          <w:rtl/>
        </w:rPr>
        <w:t>ר</w:t>
      </w:r>
      <w:r>
        <w:rPr>
          <w:rFonts w:hint="cs"/>
          <w:rtl/>
        </w:rPr>
        <w:t xml:space="preserve"> 'בדרכי שלום'; אלא גם מחלוקות אחרות, מאלה ששיסעו את החברה הישראלית </w:t>
      </w:r>
      <w:r>
        <w:rPr>
          <w:rFonts w:hint="cs"/>
          <w:rtl/>
        </w:rPr>
        <w:lastRenderedPageBreak/>
        <w:t>בשנה האחרונה. לא היה זה מן הנמנע מבחינתנו, 'להרים את הכפפה', לעשות צעד בונה אמון לכיוונן של רשויות השלטון האחרות. חברי הכנסת ושרי הממשלה היו למֵדים לדעת, שלא רק מהם נדרשת ביקורת-עצמית, לא רק אצלם נחוץ תיקון; גם שופטי בית משפט זה קשובים לביקורת, ואף פועלים באופן וולונטר</w:t>
      </w:r>
      <w:r>
        <w:rPr>
          <w:rFonts w:hint="eastAsia"/>
          <w:rtl/>
        </w:rPr>
        <w:t>י</w:t>
      </w:r>
      <w:r>
        <w:rPr>
          <w:rFonts w:hint="cs"/>
          <w:rtl/>
        </w:rPr>
        <w:t xml:space="preserve"> כדי לנסות ולשכך כעס וחֵימה, לתת לביקורת מענה הולם. בעבר אמרתי, כי </w:t>
      </w:r>
      <w:r w:rsidRPr="00376434">
        <w:rPr>
          <w:rFonts w:ascii="Century" w:hAnsi="Century" w:cs="Miriam" w:hint="cs"/>
          <w:b/>
          <w:spacing w:val="0"/>
          <w:sz w:val="22"/>
          <w:szCs w:val="24"/>
          <w:rtl/>
        </w:rPr>
        <w:t>"</w:t>
      </w:r>
      <w:r w:rsidRPr="00376434">
        <w:rPr>
          <w:rFonts w:ascii="Century" w:hAnsi="Century" w:cs="Miriam" w:hint="eastAsia"/>
          <w:b/>
          <w:spacing w:val="0"/>
          <w:sz w:val="22"/>
          <w:szCs w:val="24"/>
          <w:rtl/>
        </w:rPr>
        <w:t>הציבור</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שומע</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שהמערכת</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קשובה</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לביקורת</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הציבור</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צריך</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להשתכנע</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שאכן</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כך</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ושאין</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מדובר</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בדיבור</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בלבד</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כמצוות</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אנשים</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מלומדה</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ממשבר</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אפשר</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לצמוח</w:t>
      </w:r>
      <w:r w:rsidRPr="00376434">
        <w:rPr>
          <w:rFonts w:ascii="Century" w:hAnsi="Century" w:cs="Miriam"/>
          <w:b/>
          <w:spacing w:val="0"/>
          <w:sz w:val="22"/>
          <w:szCs w:val="24"/>
          <w:rtl/>
        </w:rPr>
        <w:t xml:space="preserve"> </w:t>
      </w:r>
      <w:r w:rsidRPr="00376434">
        <w:rPr>
          <w:rFonts w:ascii="Century" w:hAnsi="Century"/>
          <w:sz w:val="22"/>
          <w:rtl/>
        </w:rPr>
        <w:t xml:space="preserve">– </w:t>
      </w:r>
      <w:r w:rsidRPr="00376434">
        <w:rPr>
          <w:rFonts w:ascii="Century" w:hAnsi="Century" w:cs="Miriam" w:hint="eastAsia"/>
          <w:b/>
          <w:spacing w:val="0"/>
          <w:sz w:val="22"/>
          <w:szCs w:val="24"/>
          <w:rtl/>
        </w:rPr>
        <w:t>אומרת</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לנו</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המסורת</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אומרים</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לנו</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המומחים</w:t>
      </w:r>
      <w:r w:rsidRPr="00376434">
        <w:rPr>
          <w:rFonts w:ascii="Century" w:hAnsi="Century" w:cs="Miriam"/>
          <w:b/>
          <w:spacing w:val="0"/>
          <w:sz w:val="22"/>
          <w:szCs w:val="24"/>
          <w:rtl/>
        </w:rPr>
        <w:t xml:space="preserve"> </w:t>
      </w:r>
      <w:r w:rsidRPr="00376434">
        <w:rPr>
          <w:rFonts w:ascii="Century" w:hAnsi="Century"/>
          <w:sz w:val="22"/>
          <w:rtl/>
        </w:rPr>
        <w:t>–</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אבל</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הצמיחה</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לא</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תבוא</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מאליה</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צריך</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להיפתח</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להכיר</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בטעויות</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להיות</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נכונים</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לשינוי</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ולתיקון</w:t>
      </w:r>
      <w:r w:rsidRPr="00376434">
        <w:rPr>
          <w:rFonts w:ascii="Century" w:hAnsi="Century" w:cs="Miriam" w:hint="cs"/>
          <w:b/>
          <w:spacing w:val="0"/>
          <w:sz w:val="22"/>
          <w:szCs w:val="24"/>
          <w:rtl/>
        </w:rPr>
        <w:t>"</w:t>
      </w:r>
      <w:r>
        <w:rPr>
          <w:rFonts w:hint="cs"/>
          <w:rtl/>
        </w:rPr>
        <w:t xml:space="preserve"> (</w:t>
      </w:r>
      <w:r w:rsidRPr="00376434">
        <w:rPr>
          <w:rFonts w:ascii="Century" w:hAnsi="Century" w:cs="Miriam" w:hint="cs"/>
          <w:b/>
          <w:spacing w:val="0"/>
          <w:sz w:val="22"/>
          <w:szCs w:val="24"/>
          <w:rtl/>
        </w:rPr>
        <w:t>מאמר השילוח</w:t>
      </w:r>
      <w:r>
        <w:rPr>
          <w:rFonts w:hint="cs"/>
          <w:rtl/>
        </w:rPr>
        <w:t>)</w:t>
      </w:r>
      <w:r w:rsidRPr="00376434">
        <w:rPr>
          <w:rtl/>
        </w:rPr>
        <w:t>.</w:t>
      </w:r>
      <w:r>
        <w:rPr>
          <w:rFonts w:hint="cs"/>
          <w:rtl/>
        </w:rPr>
        <w:t xml:space="preserve"> </w:t>
      </w:r>
    </w:p>
    <w:p w:rsidR="00EB02E1" w:rsidRPr="00376434" w:rsidRDefault="00EB02E1" w:rsidP="00EB02E1">
      <w:pPr>
        <w:pStyle w:val="Ruller41"/>
      </w:pPr>
    </w:p>
    <w:p w:rsidR="00EB02E1" w:rsidRDefault="00EB02E1" w:rsidP="00EB02E1">
      <w:pPr>
        <w:pStyle w:val="Ruller4"/>
        <w:rPr>
          <w:rtl/>
        </w:rPr>
      </w:pPr>
      <w:r>
        <w:rPr>
          <w:rFonts w:hint="cs"/>
          <w:rtl/>
        </w:rPr>
        <w:t>'פרץ של רצון טוב' מצִדנו, עשוי היה להועיל. בבית המחוקקים היה נקלט שדר של הבנה והפנמה מצִדנו, בדבר הצורך בשינויים, איטיים ומבוקרים. גם אם ב-40 השנים האחרונות, ספינת המשפט הישראלי מפליגה, בשיטתיות ובעקביות, לעבר הקוטב 'האקטיביסטי', הרי שאין זה מן הנמנע להסיט קמעא את מסלולה של הספינה, טיפין טיפין, גם לכיוון שונה, שמרני יותר, מבלי צורך ב'מהפכה'; מהפכה יכולה לזעזע, אף להטביע את הספינה. עלינו להביאהּ לחוף-מבטחים, לא לשקוע במצולות.</w:t>
      </w:r>
    </w:p>
    <w:p w:rsidR="00EB02E1" w:rsidRDefault="00EB02E1" w:rsidP="00EB02E1">
      <w:pPr>
        <w:pStyle w:val="Ruller41"/>
        <w:rPr>
          <w:rtl/>
        </w:rPr>
      </w:pPr>
    </w:p>
    <w:p w:rsidR="00EB02E1" w:rsidRDefault="00EB02E1" w:rsidP="00EB02E1">
      <w:pPr>
        <w:pStyle w:val="Ruller4"/>
        <w:rPr>
          <w:rtl/>
        </w:rPr>
      </w:pPr>
      <w:r>
        <w:rPr>
          <w:rFonts w:hint="cs"/>
          <w:rtl/>
        </w:rPr>
        <w:t xml:space="preserve">נקפו ימים, חלפו שנים, נוצרה תחושה, אווירה, ש'אין על מה לדבר', עד שקמה הרשות המכוננת, והחליטה לעשות מעשה. כך בא לעולם חוק-היסוד שלפנינו. יוזמיו ביקשו להיתלות בין היתר גם בדברים שנאמרו על-ידי, ועל ההבחנה שהצעתי, בין הדרג הנבחר לדרגי הביצוע, עד שיש שכּינו אותו 'מתווה סולברג'. כשלעצמי, אילו הייתי מכהן כחבר בבית המחוקקים, לא הייתי מצרף את קולי לתמיכה בחוק-היסוד הנדון; חסרונותיו עולים על מעלותיו. אך דעתי לא מעלה ולא מורידה. חוק-היסוד, והרציונל העומד בבסיסו </w:t>
      </w:r>
      <w:r>
        <w:rPr>
          <w:rtl/>
        </w:rPr>
        <w:t>–</w:t>
      </w:r>
      <w:r>
        <w:rPr>
          <w:rFonts w:hint="cs"/>
          <w:rtl/>
        </w:rPr>
        <w:t xml:space="preserve"> יש להם על מה שיסמוֹכוּ. כמה מחברַי סבורים, כי המתווה שבו בחר המכונן הוא מתווה 'גורף וקיצוני'. ברם, התבוננות בגישות השונות שהוצעו בעבר, מלמדת כי הצעות 'גורפות' יותר, 'קיצוניות' יותר, הוצעו בעבר על-ידי גדולים וטובים. אינני תומך באותן הצעות, אך הן אינן מופרכות; הגיונן בּצִדן.  </w:t>
      </w:r>
    </w:p>
    <w:p w:rsidR="00EB02E1" w:rsidRDefault="00EB02E1" w:rsidP="00EB02E1">
      <w:pPr>
        <w:pStyle w:val="Ruller41"/>
        <w:rPr>
          <w:rtl/>
        </w:rPr>
      </w:pPr>
    </w:p>
    <w:p w:rsidR="00EB02E1" w:rsidRDefault="00EB02E1" w:rsidP="00EB02E1">
      <w:pPr>
        <w:pStyle w:val="Ruller4"/>
        <w:rPr>
          <w:rtl/>
        </w:rPr>
      </w:pPr>
      <w:r>
        <w:rPr>
          <w:rFonts w:hint="cs"/>
          <w:rtl/>
        </w:rPr>
        <w:t xml:space="preserve">הדיון הציבורי, אקדמי, משפטי, על אודות גבולותיה של </w:t>
      </w:r>
      <w:r w:rsidRPr="00B701AB">
        <w:rPr>
          <w:rFonts w:ascii="Century" w:hAnsi="Century" w:cs="Miriam" w:hint="cs"/>
          <w:b/>
          <w:spacing w:val="0"/>
          <w:sz w:val="22"/>
          <w:szCs w:val="24"/>
          <w:rtl/>
        </w:rPr>
        <w:t>עילת הסבירות</w:t>
      </w:r>
      <w:r>
        <w:rPr>
          <w:rFonts w:hint="cs"/>
          <w:rtl/>
        </w:rPr>
        <w:t xml:space="preserve"> </w:t>
      </w:r>
      <w:r>
        <w:rPr>
          <w:rtl/>
        </w:rPr>
        <w:t>–</w:t>
      </w:r>
      <w:r>
        <w:rPr>
          <w:rFonts w:hint="cs"/>
          <w:rtl/>
        </w:rPr>
        <w:t xml:space="preserve"> נמשך שנים ארוכות. ימיו כימיה של </w:t>
      </w:r>
      <w:r w:rsidRPr="00B701AB">
        <w:rPr>
          <w:rFonts w:ascii="Century" w:hAnsi="Century" w:cs="Miriam" w:hint="cs"/>
          <w:b/>
          <w:spacing w:val="0"/>
          <w:sz w:val="22"/>
          <w:szCs w:val="24"/>
          <w:rtl/>
        </w:rPr>
        <w:t>עילת הסבירות המהותית</w:t>
      </w:r>
      <w:r>
        <w:rPr>
          <w:rFonts w:hint="cs"/>
          <w:rtl/>
        </w:rPr>
        <w:t xml:space="preserve"> עצמה. הביקורת הראשונה על עילת הסבירות ה'מהותית', נשמעה עם לידתה, מפיו של הנשיא </w:t>
      </w:r>
      <w:r w:rsidRPr="00771251">
        <w:rPr>
          <w:rFonts w:ascii="Century" w:hAnsi="Century" w:cs="Miriam" w:hint="cs"/>
          <w:b/>
          <w:spacing w:val="0"/>
          <w:sz w:val="22"/>
          <w:szCs w:val="24"/>
          <w:rtl/>
        </w:rPr>
        <w:t>לנדוי</w:t>
      </w:r>
      <w:r>
        <w:rPr>
          <w:rFonts w:hint="cs"/>
          <w:rtl/>
        </w:rPr>
        <w:t xml:space="preserve">, על-גבי דפיו של פסק הדין </w:t>
      </w:r>
      <w:r w:rsidRPr="00771251">
        <w:rPr>
          <w:rFonts w:ascii="Century" w:hAnsi="Century" w:cs="Miriam" w:hint="cs"/>
          <w:b/>
          <w:spacing w:val="0"/>
          <w:sz w:val="22"/>
          <w:szCs w:val="24"/>
          <w:rtl/>
        </w:rPr>
        <w:t>דפי זהב</w:t>
      </w:r>
      <w:r>
        <w:rPr>
          <w:rFonts w:hint="cs"/>
          <w:rtl/>
        </w:rPr>
        <w:t xml:space="preserve"> גופו. הדיון בעניינה של הסבירות הוא דיון ער, תוסס, לגיטימי. במסגרת הדיון, נשמעו בשיח הציבורי דעות שונות. בהכללה, ניתן לסווגן לשלוש גישות </w:t>
      </w:r>
      <w:r>
        <w:rPr>
          <w:rFonts w:hint="cs"/>
          <w:rtl/>
        </w:rPr>
        <w:lastRenderedPageBreak/>
        <w:t xml:space="preserve">מרכזיות. גישות אלו תיוצגנה להלן, כל אחת, באמצעות דוברה האותנטי. שלוש גישות, שלושה ענקי-משפט שבהם נתברכנו: הנשיא </w:t>
      </w:r>
      <w:r w:rsidRPr="00771251">
        <w:rPr>
          <w:rFonts w:ascii="Century" w:hAnsi="Century" w:cs="Miriam" w:hint="cs"/>
          <w:b/>
          <w:spacing w:val="0"/>
          <w:sz w:val="22"/>
          <w:szCs w:val="24"/>
          <w:rtl/>
        </w:rPr>
        <w:t>מ' לנדוי</w:t>
      </w:r>
      <w:r>
        <w:rPr>
          <w:rFonts w:hint="cs"/>
          <w:rtl/>
        </w:rPr>
        <w:t xml:space="preserve">, פרופ' </w:t>
      </w:r>
      <w:r w:rsidRPr="00771251">
        <w:rPr>
          <w:rFonts w:ascii="Century" w:hAnsi="Century" w:cs="Miriam" w:hint="cs"/>
          <w:b/>
          <w:spacing w:val="0"/>
          <w:sz w:val="22"/>
          <w:szCs w:val="24"/>
          <w:rtl/>
        </w:rPr>
        <w:t>ד' פרידמן</w:t>
      </w:r>
      <w:r>
        <w:rPr>
          <w:rFonts w:hint="cs"/>
          <w:rtl/>
        </w:rPr>
        <w:t xml:space="preserve">, והשופט </w:t>
      </w:r>
      <w:r w:rsidRPr="00771251">
        <w:rPr>
          <w:rFonts w:ascii="Century" w:hAnsi="Century" w:cs="Miriam" w:hint="cs"/>
          <w:b/>
          <w:spacing w:val="0"/>
          <w:sz w:val="22"/>
          <w:szCs w:val="24"/>
          <w:rtl/>
        </w:rPr>
        <w:t>א' ברק</w:t>
      </w:r>
      <w:r>
        <w:rPr>
          <w:rFonts w:hint="cs"/>
          <w:rtl/>
        </w:rPr>
        <w:t xml:space="preserve">. </w:t>
      </w:r>
    </w:p>
    <w:p w:rsidR="00EB02E1" w:rsidRDefault="00EB02E1" w:rsidP="00EB02E1">
      <w:pPr>
        <w:pStyle w:val="Ruller41"/>
        <w:rPr>
          <w:rtl/>
        </w:rPr>
      </w:pPr>
    </w:p>
    <w:p w:rsidR="00EB02E1" w:rsidRDefault="00EB02E1" w:rsidP="00EB02E1">
      <w:pPr>
        <w:pStyle w:val="Ruller4"/>
      </w:pPr>
      <w:r>
        <w:rPr>
          <w:rFonts w:hint="cs"/>
          <w:rtl/>
        </w:rPr>
        <w:t xml:space="preserve">אפתח בגישתו של השופט </w:t>
      </w:r>
      <w:r w:rsidRPr="00771251">
        <w:rPr>
          <w:rFonts w:ascii="Century" w:hAnsi="Century" w:cs="Miriam" w:hint="cs"/>
          <w:b/>
          <w:spacing w:val="0"/>
          <w:sz w:val="22"/>
          <w:szCs w:val="24"/>
          <w:rtl/>
        </w:rPr>
        <w:t>ברק</w:t>
      </w:r>
      <w:r>
        <w:rPr>
          <w:rFonts w:hint="cs"/>
          <w:rtl/>
        </w:rPr>
        <w:t xml:space="preserve">, המייצגת את הקוטב ה'אקטיביסטי', כפי שהובעה בפסק הדין בעניין </w:t>
      </w:r>
      <w:r w:rsidRPr="00771251">
        <w:rPr>
          <w:rFonts w:ascii="Century" w:hAnsi="Century" w:cs="Miriam" w:hint="cs"/>
          <w:b/>
          <w:spacing w:val="0"/>
          <w:sz w:val="22"/>
          <w:szCs w:val="24"/>
          <w:rtl/>
        </w:rPr>
        <w:t>דפי זהב</w:t>
      </w:r>
      <w:r>
        <w:rPr>
          <w:rFonts w:hint="cs"/>
          <w:rtl/>
        </w:rPr>
        <w:t xml:space="preserve">. לגישתו של השופט </w:t>
      </w:r>
      <w:r w:rsidRPr="00771251">
        <w:rPr>
          <w:rFonts w:ascii="Century" w:hAnsi="Century" w:cs="Miriam" w:hint="cs"/>
          <w:b/>
          <w:spacing w:val="0"/>
          <w:sz w:val="22"/>
          <w:szCs w:val="24"/>
          <w:rtl/>
        </w:rPr>
        <w:t>ברק</w:t>
      </w:r>
      <w:r>
        <w:rPr>
          <w:rFonts w:hint="cs"/>
          <w:rtl/>
        </w:rPr>
        <w:t xml:space="preserve">, הפעלתה של עילת הסבירות ה'מהותית', הריהי חשובה ונדרשת; 'כל המרבה הרי זה משובח'. רבים מחברַי, המשתייכים לאגף זה, האריכו בכשרונם ובתבונתם בתיאור מעלותיה, סגולותיה ויתרונותיה של גישה זו; אוכל אפוא אני לקצר. </w:t>
      </w:r>
    </w:p>
    <w:p w:rsidR="00EB02E1" w:rsidRPr="007F78B6" w:rsidRDefault="00EB02E1" w:rsidP="00EB02E1">
      <w:pPr>
        <w:pStyle w:val="Ruller4"/>
        <w:numPr>
          <w:ilvl w:val="0"/>
          <w:numId w:val="0"/>
        </w:numPr>
        <w:rPr>
          <w:rtl/>
        </w:rPr>
      </w:pPr>
    </w:p>
    <w:p w:rsidR="00EB02E1" w:rsidRDefault="00EB02E1" w:rsidP="00EB02E1">
      <w:pPr>
        <w:pStyle w:val="Ruller4"/>
      </w:pPr>
      <w:r>
        <w:rPr>
          <w:rFonts w:hint="cs"/>
          <w:rtl/>
        </w:rPr>
        <w:t xml:space="preserve">אסתפק במענה לדברי חלק מחברַי, שביקשו להיתלות בפסקי דין מוקדמים, כדי להוכיח כי עילת הסבירות 'המהותית' לא נולדה בפסק הדין בעניין </w:t>
      </w:r>
      <w:r w:rsidRPr="00771251">
        <w:rPr>
          <w:rFonts w:ascii="Century" w:hAnsi="Century" w:cs="Miriam" w:hint="cs"/>
          <w:b/>
          <w:spacing w:val="0"/>
          <w:sz w:val="22"/>
          <w:szCs w:val="24"/>
          <w:rtl/>
        </w:rPr>
        <w:t>דפי זהב</w:t>
      </w:r>
      <w:r>
        <w:rPr>
          <w:rFonts w:hint="cs"/>
          <w:rtl/>
        </w:rPr>
        <w:t xml:space="preserve">, אלא היתה עמנו כבר בשנות החמישים של המאה הקודמת. טענה זו </w:t>
      </w:r>
      <w:r>
        <w:rPr>
          <w:rtl/>
        </w:rPr>
        <w:t>–</w:t>
      </w:r>
      <w:r>
        <w:rPr>
          <w:rFonts w:hint="cs"/>
          <w:rtl/>
        </w:rPr>
        <w:t xml:space="preserve"> אינה חדשה. שורשיה של הטענה, נעוצים עוד בפסק הדין בעניין </w:t>
      </w:r>
      <w:r w:rsidRPr="00581FE9">
        <w:rPr>
          <w:rFonts w:ascii="Century" w:hAnsi="Century" w:cs="Miriam" w:hint="cs"/>
          <w:b/>
          <w:spacing w:val="0"/>
          <w:sz w:val="22"/>
          <w:szCs w:val="24"/>
          <w:rtl/>
        </w:rPr>
        <w:t>דפי זהב</w:t>
      </w:r>
      <w:r>
        <w:rPr>
          <w:rFonts w:hint="cs"/>
          <w:rtl/>
        </w:rPr>
        <w:t xml:space="preserve">, שם איזכר השופט </w:t>
      </w:r>
      <w:r w:rsidRPr="00581FE9">
        <w:rPr>
          <w:rFonts w:ascii="Century" w:hAnsi="Century" w:cs="Miriam" w:hint="cs"/>
          <w:b/>
          <w:spacing w:val="0"/>
          <w:sz w:val="22"/>
          <w:szCs w:val="24"/>
          <w:rtl/>
        </w:rPr>
        <w:t>ברק</w:t>
      </w:r>
      <w:r>
        <w:rPr>
          <w:rFonts w:hint="cs"/>
          <w:rtl/>
        </w:rPr>
        <w:t xml:space="preserve"> כמה פסקי דין, שניתנו עוד קודם לכן, כדי להוכיח כי עילת הסבירות המהותית, האיזונית, שרירה היתה וקיימת מאז ומתמיד. עם זאת, בחינה זהירה של אותם פסקי דין שמציג השופט </w:t>
      </w:r>
      <w:r w:rsidRPr="007F78B6">
        <w:rPr>
          <w:rFonts w:ascii="Century" w:hAnsi="Century" w:cs="Miriam" w:hint="cs"/>
          <w:b/>
          <w:spacing w:val="0"/>
          <w:sz w:val="22"/>
          <w:szCs w:val="24"/>
          <w:rtl/>
        </w:rPr>
        <w:t>ברק</w:t>
      </w:r>
      <w:r>
        <w:rPr>
          <w:rFonts w:hint="cs"/>
          <w:rtl/>
        </w:rPr>
        <w:t xml:space="preserve">, עשויה להוביל למסקנה שונה. עמד על כך המלומד </w:t>
      </w:r>
      <w:r w:rsidRPr="00581FE9">
        <w:rPr>
          <w:rFonts w:ascii="Century" w:hAnsi="Century" w:cs="Miriam" w:hint="cs"/>
          <w:b/>
          <w:spacing w:val="0"/>
          <w:sz w:val="22"/>
          <w:szCs w:val="24"/>
          <w:rtl/>
        </w:rPr>
        <w:t>י' אזני</w:t>
      </w:r>
      <w:r>
        <w:rPr>
          <w:rFonts w:hint="cs"/>
          <w:rtl/>
        </w:rPr>
        <w:t xml:space="preserve">: </w:t>
      </w:r>
      <w:r w:rsidRPr="007F78B6">
        <w:rPr>
          <w:rFonts w:ascii="Century" w:hAnsi="Century" w:cs="Miriam" w:hint="cs"/>
          <w:b/>
          <w:spacing w:val="0"/>
          <w:sz w:val="22"/>
          <w:szCs w:val="24"/>
          <w:rtl/>
        </w:rPr>
        <w:t xml:space="preserve">"אני </w:t>
      </w:r>
      <w:r>
        <w:rPr>
          <w:rFonts w:ascii="Century" w:hAnsi="Century" w:cs="Miriam" w:hint="cs"/>
          <w:b/>
          <w:spacing w:val="0"/>
          <w:sz w:val="22"/>
          <w:szCs w:val="24"/>
          <w:rtl/>
        </w:rPr>
        <w:t xml:space="preserve">סבור </w:t>
      </w:r>
      <w:r w:rsidRPr="007F78B6">
        <w:rPr>
          <w:rFonts w:ascii="Century" w:hAnsi="Century" w:cs="Miriam" w:hint="cs"/>
          <w:b/>
          <w:spacing w:val="0"/>
          <w:sz w:val="22"/>
          <w:szCs w:val="24"/>
          <w:rtl/>
        </w:rPr>
        <w:t>שהשופט ברק גילה פנים שלא כהלכה בסקירתו את אותה פסיקה בה הופיע המונח 'סבירות'. קריאת פסקי דין אלו מלמדת כי הטרמינולוגיה של 'סבירות' שננקטה בהם לא חרגה מעבר לתפיסה שהיתה מקובלת אז על השופטים [...]</w:t>
      </w:r>
      <w:r>
        <w:rPr>
          <w:rFonts w:ascii="Century" w:hAnsi="Century" w:cs="Miriam" w:hint="cs"/>
          <w:b/>
          <w:spacing w:val="0"/>
          <w:sz w:val="22"/>
          <w:szCs w:val="24"/>
          <w:rtl/>
        </w:rPr>
        <w:t>"</w:t>
      </w:r>
      <w:r>
        <w:rPr>
          <w:rFonts w:hint="cs"/>
          <w:rtl/>
        </w:rPr>
        <w:t xml:space="preserve"> (יובל אזני </w:t>
      </w:r>
      <w:r w:rsidRPr="007F78B6">
        <w:rPr>
          <w:rFonts w:ascii="Century" w:hAnsi="Century" w:cs="Miriam" w:hint="cs"/>
          <w:b/>
          <w:spacing w:val="0"/>
          <w:sz w:val="22"/>
          <w:szCs w:val="24"/>
          <w:rtl/>
        </w:rPr>
        <w:t>תורת הסבירות במשפט</w:t>
      </w:r>
      <w:r>
        <w:rPr>
          <w:rFonts w:hint="cs"/>
          <w:rtl/>
        </w:rPr>
        <w:t xml:space="preserve"> חלק שני 511 (2012) </w:t>
      </w:r>
      <w:r>
        <w:rPr>
          <w:rtl/>
        </w:rPr>
        <w:t>(</w:t>
      </w:r>
      <w:r>
        <w:rPr>
          <w:rFonts w:hint="eastAsia"/>
          <w:rtl/>
        </w:rPr>
        <w:t>להלן</w:t>
      </w:r>
      <w:r>
        <w:rPr>
          <w:rtl/>
        </w:rPr>
        <w:t xml:space="preserve">: </w:t>
      </w:r>
      <w:r>
        <w:rPr>
          <w:rFonts w:ascii="Century" w:hAnsi="Century" w:cs="Miriam" w:hint="cs"/>
          <w:b/>
          <w:spacing w:val="0"/>
          <w:sz w:val="22"/>
          <w:szCs w:val="24"/>
          <w:rtl/>
        </w:rPr>
        <w:t>אזני</w:t>
      </w:r>
      <w:r>
        <w:rPr>
          <w:rFonts w:hint="cs"/>
          <w:rtl/>
        </w:rPr>
        <w:t>)).</w:t>
      </w:r>
    </w:p>
    <w:p w:rsidR="00EB02E1" w:rsidRDefault="00EB02E1" w:rsidP="00EB02E1">
      <w:pPr>
        <w:pStyle w:val="Ruller41"/>
        <w:rPr>
          <w:rtl/>
        </w:rPr>
      </w:pPr>
    </w:p>
    <w:p w:rsidR="00EB02E1" w:rsidRDefault="00EB02E1" w:rsidP="00EB02E1">
      <w:pPr>
        <w:pStyle w:val="Ruller4"/>
        <w:rPr>
          <w:rtl/>
        </w:rPr>
      </w:pPr>
      <w:r>
        <w:rPr>
          <w:rFonts w:hint="cs"/>
          <w:rtl/>
        </w:rPr>
        <w:t xml:space="preserve">משמיקדו חברי את מבטם בפסק הדין בעניין </w:t>
      </w:r>
      <w:r w:rsidRPr="007F78B6">
        <w:rPr>
          <w:rFonts w:ascii="Century" w:hAnsi="Century" w:cs="Miriam" w:hint="cs"/>
          <w:b/>
          <w:spacing w:val="0"/>
          <w:sz w:val="22"/>
          <w:szCs w:val="24"/>
          <w:rtl/>
        </w:rPr>
        <w:t>קול העם</w:t>
      </w:r>
      <w:r>
        <w:rPr>
          <w:rFonts w:hint="cs"/>
          <w:rtl/>
        </w:rPr>
        <w:t xml:space="preserve">, אעשה זאת אף אני. אכן, נערכה שם בחינה 'איזונית' בין הזכויות והאינטרסים המתנגשים, אך עניינו של פסק הדין לא קשור לעילת הסבירות. על הפרק עמדה זכות אדם מוגנת, 'זכות נעלה', הזכות לחופש הביטוי. משכך, אין כל קושי באותו מבחן 'איזוני' שערך השופט </w:t>
      </w:r>
      <w:r w:rsidRPr="007F78B6">
        <w:rPr>
          <w:rFonts w:ascii="Century" w:hAnsi="Century" w:cs="Miriam" w:hint="cs"/>
          <w:b/>
          <w:spacing w:val="0"/>
          <w:sz w:val="22"/>
          <w:szCs w:val="24"/>
          <w:rtl/>
        </w:rPr>
        <w:t>אגרנט</w:t>
      </w:r>
      <w:r>
        <w:rPr>
          <w:rFonts w:hint="cs"/>
          <w:rtl/>
        </w:rPr>
        <w:t xml:space="preserve">. בניגוד לכך, </w:t>
      </w:r>
      <w:r w:rsidRPr="00054989">
        <w:rPr>
          <w:rFonts w:ascii="Century" w:hAnsi="Century" w:cs="Miriam" w:hint="cs"/>
          <w:b/>
          <w:spacing w:val="0"/>
          <w:sz w:val="22"/>
          <w:szCs w:val="24"/>
          <w:rtl/>
        </w:rPr>
        <w:t>עילת הסבירות</w:t>
      </w:r>
      <w:r>
        <w:rPr>
          <w:rFonts w:hint="cs"/>
          <w:rtl/>
        </w:rPr>
        <w:t xml:space="preserve"> נכנסת לפעולה, רק במקום שבו אין בנמצא זכות אדם שנפגעת. </w:t>
      </w:r>
      <w:r w:rsidRPr="007F78B6">
        <w:rPr>
          <w:rFonts w:ascii="Century" w:hAnsi="Century" w:cs="Miriam" w:hint="cs"/>
          <w:b/>
          <w:spacing w:val="0"/>
          <w:sz w:val="22"/>
          <w:szCs w:val="24"/>
          <w:rtl/>
        </w:rPr>
        <w:t>"ביטול מעשה מינהלי מחמת היותו פוגע בזכות מזכויות הפרט כפי שעלה למשל בבג"צ קול העם, כלל אינו שקול לביטול מעשה מינהלי שאינו פוגע בזכויות המוקנות לפרט, ושמקורו במה שהשופט ברק מכנה איזון לא נכון בין שיקולים. במקרה הראשון מעומתת הזכות הבודדת עם המעשה המינהלי הפוגע</w:t>
      </w:r>
      <w:r>
        <w:rPr>
          <w:rFonts w:ascii="Century" w:hAnsi="Century" w:cs="Miriam" w:hint="cs"/>
          <w:b/>
          <w:spacing w:val="0"/>
          <w:sz w:val="22"/>
          <w:szCs w:val="24"/>
          <w:rtl/>
        </w:rPr>
        <w:t>,</w:t>
      </w:r>
      <w:r w:rsidRPr="007F78B6">
        <w:rPr>
          <w:rFonts w:ascii="Century" w:hAnsi="Century" w:cs="Miriam" w:hint="cs"/>
          <w:b/>
          <w:spacing w:val="0"/>
          <w:sz w:val="22"/>
          <w:szCs w:val="24"/>
          <w:rtl/>
        </w:rPr>
        <w:t xml:space="preserve"> כשבדיקת הצורך או העדיפות של פגיעה כזו הינה מעשה שיפוטי מקובל המצריך מבחן פשוט משהו של עימות בין אלה. לעומת זאת, בחינת מעשה מינהלי אגב מספר גדול יותר של אינטרסים נוגדים באמצעות איזון בינותם היא מלאכה מורכבת וחסרת דיוק. בניגוד לפגיעה בזכות בודדת של הפרט, קשה לזהות במקרה הזה עימות ממשי ומוחשי בין האינטרסים המנוגדים [...]. במילים אחרות: מעשה מינהלי הפוגע בזכות, אחד משניהם מוציא את האחר. הבחינה היא צמודה, לעומתית ופחות מעורפלת. לעומת זאת בחינה של </w:t>
      </w:r>
      <w:r w:rsidRPr="007F78B6">
        <w:rPr>
          <w:rFonts w:ascii="Century" w:hAnsi="Century" w:cs="Miriam" w:hint="cs"/>
          <w:b/>
          <w:spacing w:val="0"/>
          <w:sz w:val="22"/>
          <w:szCs w:val="24"/>
          <w:rtl/>
        </w:rPr>
        <w:lastRenderedPageBreak/>
        <w:t>המעשה המינהלי לאור איזון אינטרסים, מצרי</w:t>
      </w:r>
      <w:r>
        <w:rPr>
          <w:rFonts w:ascii="Century" w:hAnsi="Century" w:cs="Miriam" w:hint="cs"/>
          <w:b/>
          <w:spacing w:val="0"/>
          <w:sz w:val="22"/>
          <w:szCs w:val="24"/>
          <w:rtl/>
        </w:rPr>
        <w:t>כה</w:t>
      </w:r>
      <w:r w:rsidRPr="007F78B6">
        <w:rPr>
          <w:rFonts w:ascii="Century" w:hAnsi="Century" w:cs="Miriam" w:hint="cs"/>
          <w:b/>
          <w:spacing w:val="0"/>
          <w:sz w:val="22"/>
          <w:szCs w:val="24"/>
          <w:rtl/>
        </w:rPr>
        <w:t xml:space="preserve"> בדרך כלל עימות בין מספר אינטרסים, לעתים רב, כשמבחן זה לוקה בערפל משפטי סמיך ומהולים בו אי דיוק, סובייקטיביות שפיטתית, [ורמת] הפשטה [גבוהה] [...]"</w:t>
      </w:r>
      <w:r>
        <w:rPr>
          <w:rFonts w:hint="cs"/>
          <w:rtl/>
        </w:rPr>
        <w:t xml:space="preserve"> (</w:t>
      </w:r>
      <w:r w:rsidRPr="007F78B6">
        <w:rPr>
          <w:rFonts w:ascii="Century" w:hAnsi="Century" w:cs="Miriam" w:hint="cs"/>
          <w:b/>
          <w:spacing w:val="0"/>
          <w:sz w:val="22"/>
          <w:szCs w:val="24"/>
          <w:rtl/>
        </w:rPr>
        <w:t>אזני</w:t>
      </w:r>
      <w:r>
        <w:rPr>
          <w:rFonts w:hint="cs"/>
          <w:rtl/>
        </w:rPr>
        <w:t xml:space="preserve">, בעמ' 512; וראו גם </w:t>
      </w:r>
      <w:r w:rsidRPr="00376434">
        <w:rPr>
          <w:rFonts w:ascii="Century" w:hAnsi="Century" w:cs="Miriam" w:hint="cs"/>
          <w:b/>
          <w:spacing w:val="0"/>
          <w:sz w:val="22"/>
          <w:szCs w:val="24"/>
          <w:rtl/>
        </w:rPr>
        <w:t>מאמר השילוח</w:t>
      </w:r>
      <w:r>
        <w:rPr>
          <w:rFonts w:hint="cs"/>
          <w:rtl/>
        </w:rPr>
        <w:t xml:space="preserve">, ה"ש 19-18, והטקסט סביבן). פסק הדין בעניין </w:t>
      </w:r>
      <w:r w:rsidRPr="007F78B6">
        <w:rPr>
          <w:rFonts w:ascii="Century" w:hAnsi="Century" w:cs="Miriam" w:hint="cs"/>
          <w:b/>
          <w:spacing w:val="0"/>
          <w:sz w:val="22"/>
          <w:szCs w:val="24"/>
          <w:rtl/>
        </w:rPr>
        <w:t>קול העם</w:t>
      </w:r>
      <w:r>
        <w:rPr>
          <w:rFonts w:hint="cs"/>
          <w:rtl/>
        </w:rPr>
        <w:t xml:space="preserve">, אינו יכול אפוא לשמש כאסמכתא לעילת הסבירות המהותית, האיזונית; 'לא קרב זה אל זה'. </w:t>
      </w:r>
    </w:p>
    <w:p w:rsidR="00EB02E1" w:rsidRDefault="00EB02E1" w:rsidP="00EB02E1">
      <w:pPr>
        <w:pStyle w:val="Ruller41"/>
        <w:rPr>
          <w:rtl/>
        </w:rPr>
      </w:pPr>
    </w:p>
    <w:p w:rsidR="00EB02E1" w:rsidRPr="007F78B6" w:rsidRDefault="00EB02E1" w:rsidP="00EB02E1">
      <w:pPr>
        <w:pStyle w:val="Ruller4"/>
        <w:rPr>
          <w:rtl/>
        </w:rPr>
      </w:pPr>
      <w:r>
        <w:rPr>
          <w:rFonts w:hint="cs"/>
          <w:rtl/>
        </w:rPr>
        <w:t>הוא הדין גם באשר לפסק הדין ב</w:t>
      </w:r>
      <w:r w:rsidRPr="007F78B6">
        <w:rPr>
          <w:rFonts w:hint="eastAsia"/>
          <w:rtl/>
        </w:rPr>
        <w:t>בג</w:t>
      </w:r>
      <w:r w:rsidRPr="007F78B6">
        <w:rPr>
          <w:rtl/>
        </w:rPr>
        <w:t>"</w:t>
      </w:r>
      <w:r w:rsidRPr="007F78B6">
        <w:rPr>
          <w:rFonts w:hint="eastAsia"/>
          <w:rtl/>
        </w:rPr>
        <w:t>ץ</w:t>
      </w:r>
      <w:r w:rsidRPr="007F78B6">
        <w:rPr>
          <w:rtl/>
        </w:rPr>
        <w:t xml:space="preserve"> 156/75 </w:t>
      </w:r>
      <w:r w:rsidRPr="007F78B6">
        <w:rPr>
          <w:rFonts w:ascii="Century" w:hAnsi="Century" w:cs="Miriam" w:hint="eastAsia"/>
          <w:b/>
          <w:spacing w:val="0"/>
          <w:sz w:val="22"/>
          <w:szCs w:val="24"/>
          <w:rtl/>
        </w:rPr>
        <w:t>דקה</w:t>
      </w:r>
      <w:r w:rsidRPr="007F78B6">
        <w:rPr>
          <w:rFonts w:ascii="Century" w:hAnsi="Century" w:cs="Miriam"/>
          <w:b/>
          <w:spacing w:val="0"/>
          <w:sz w:val="22"/>
          <w:szCs w:val="24"/>
          <w:rtl/>
        </w:rPr>
        <w:t xml:space="preserve"> </w:t>
      </w:r>
      <w:r w:rsidRPr="007F78B6">
        <w:rPr>
          <w:rFonts w:ascii="Century" w:hAnsi="Century" w:cs="Miriam" w:hint="eastAsia"/>
          <w:b/>
          <w:spacing w:val="0"/>
          <w:sz w:val="22"/>
          <w:szCs w:val="24"/>
          <w:rtl/>
        </w:rPr>
        <w:t>נ</w:t>
      </w:r>
      <w:r w:rsidRPr="007F78B6">
        <w:rPr>
          <w:rFonts w:ascii="Century" w:hAnsi="Century" w:cs="Miriam"/>
          <w:b/>
          <w:spacing w:val="0"/>
          <w:sz w:val="22"/>
          <w:szCs w:val="24"/>
          <w:rtl/>
        </w:rPr>
        <w:t xml:space="preserve">' </w:t>
      </w:r>
      <w:r w:rsidRPr="007F78B6">
        <w:rPr>
          <w:rFonts w:ascii="Century" w:hAnsi="Century" w:cs="Miriam" w:hint="eastAsia"/>
          <w:b/>
          <w:spacing w:val="0"/>
          <w:sz w:val="22"/>
          <w:szCs w:val="24"/>
          <w:rtl/>
        </w:rPr>
        <w:t>שר</w:t>
      </w:r>
      <w:r w:rsidRPr="007F78B6">
        <w:rPr>
          <w:rFonts w:ascii="Century" w:hAnsi="Century" w:cs="Miriam"/>
          <w:b/>
          <w:spacing w:val="0"/>
          <w:sz w:val="22"/>
          <w:szCs w:val="24"/>
          <w:rtl/>
        </w:rPr>
        <w:t xml:space="preserve"> </w:t>
      </w:r>
      <w:r w:rsidRPr="007F78B6">
        <w:rPr>
          <w:rFonts w:ascii="Century" w:hAnsi="Century" w:cs="Miriam" w:hint="eastAsia"/>
          <w:b/>
          <w:spacing w:val="0"/>
          <w:sz w:val="22"/>
          <w:szCs w:val="24"/>
          <w:rtl/>
        </w:rPr>
        <w:t>התחבורה</w:t>
      </w:r>
      <w:r w:rsidRPr="007F78B6">
        <w:rPr>
          <w:rtl/>
        </w:rPr>
        <w:t>,</w:t>
      </w:r>
      <w:r>
        <w:rPr>
          <w:rFonts w:hint="cs"/>
          <w:rtl/>
        </w:rPr>
        <w:t xml:space="preserve"> פ"ד</w:t>
      </w:r>
      <w:r w:rsidRPr="007F78B6">
        <w:rPr>
          <w:rtl/>
        </w:rPr>
        <w:t xml:space="preserve"> </w:t>
      </w:r>
      <w:r w:rsidRPr="007F78B6">
        <w:rPr>
          <w:rFonts w:hint="eastAsia"/>
          <w:rtl/>
        </w:rPr>
        <w:t>ל</w:t>
      </w:r>
      <w:r w:rsidRPr="007F78B6">
        <w:rPr>
          <w:rtl/>
        </w:rPr>
        <w:t>(2) 94 (1976)</w:t>
      </w:r>
      <w:r>
        <w:rPr>
          <w:rFonts w:hint="cs"/>
          <w:rtl/>
        </w:rPr>
        <w:t xml:space="preserve"> </w:t>
      </w:r>
      <w:r>
        <w:rPr>
          <w:rtl/>
        </w:rPr>
        <w:t>(</w:t>
      </w:r>
      <w:r>
        <w:rPr>
          <w:rFonts w:hint="eastAsia"/>
          <w:rtl/>
        </w:rPr>
        <w:t>להלן</w:t>
      </w:r>
      <w:r>
        <w:rPr>
          <w:rtl/>
        </w:rPr>
        <w:t xml:space="preserve">: </w:t>
      </w:r>
      <w:r>
        <w:rPr>
          <w:rFonts w:ascii="Century" w:hAnsi="Century" w:cs="Miriam" w:hint="cs"/>
          <w:b/>
          <w:spacing w:val="0"/>
          <w:sz w:val="22"/>
          <w:szCs w:val="24"/>
          <w:rtl/>
        </w:rPr>
        <w:t>עניין דקה</w:t>
      </w:r>
      <w:r>
        <w:rPr>
          <w:rFonts w:hint="cs"/>
          <w:rtl/>
        </w:rPr>
        <w:t xml:space="preserve">), שניתן על-ידי השופט </w:t>
      </w:r>
      <w:r w:rsidRPr="007F78B6">
        <w:rPr>
          <w:rFonts w:ascii="Century" w:hAnsi="Century" w:cs="Miriam" w:hint="cs"/>
          <w:b/>
          <w:spacing w:val="0"/>
          <w:sz w:val="22"/>
          <w:szCs w:val="24"/>
          <w:rtl/>
        </w:rPr>
        <w:t>שמגר</w:t>
      </w:r>
      <w:r>
        <w:rPr>
          <w:rFonts w:hint="cs"/>
          <w:rtl/>
        </w:rPr>
        <w:t xml:space="preserve">. פסק הדין אכן נוקט ברטוריקה המזכירה במידת-מה את רטוריקת </w:t>
      </w:r>
      <w:r w:rsidRPr="00095586">
        <w:rPr>
          <w:rFonts w:ascii="Century" w:hAnsi="Century" w:cs="Miriam" w:hint="cs"/>
          <w:b/>
          <w:spacing w:val="0"/>
          <w:sz w:val="22"/>
          <w:szCs w:val="24"/>
          <w:rtl/>
        </w:rPr>
        <w:t>דפי זהב</w:t>
      </w:r>
      <w:r>
        <w:rPr>
          <w:rFonts w:hint="cs"/>
          <w:rtl/>
        </w:rPr>
        <w:t xml:space="preserve">. עם זאת, פסק הדין עסק בשאלת 'סבירותן' של תקנות-משנה, לא בהחלטה מינהלית רגילה. אין לראות, אם כן, אותו פסק דין, כמיישׂם את עילת הסבירות המהותית, בסגנון 'דפי זהב' (על ההבחנה שנעשתה בפסיקה המוקדמת בין בחינת סבירותן של תקנות-משנה, לבין בחינת סבירותה של החלטה מינהלית אחרת, אגב ניתוח מקיף של הפסיקה בעניין </w:t>
      </w:r>
      <w:r w:rsidRPr="007F78B6">
        <w:rPr>
          <w:rFonts w:ascii="Century" w:hAnsi="Century" w:cs="Miriam" w:hint="cs"/>
          <w:b/>
          <w:spacing w:val="0"/>
          <w:sz w:val="22"/>
          <w:szCs w:val="24"/>
          <w:rtl/>
        </w:rPr>
        <w:t>דקה</w:t>
      </w:r>
      <w:r>
        <w:rPr>
          <w:rFonts w:hint="cs"/>
          <w:rtl/>
        </w:rPr>
        <w:t xml:space="preserve">, ראו: </w:t>
      </w:r>
      <w:r w:rsidRPr="007F78B6">
        <w:rPr>
          <w:rFonts w:ascii="Century" w:hAnsi="Century" w:cs="Miriam" w:hint="cs"/>
          <w:b/>
          <w:spacing w:val="0"/>
          <w:sz w:val="22"/>
          <w:szCs w:val="24"/>
          <w:rtl/>
        </w:rPr>
        <w:t>אזני</w:t>
      </w:r>
      <w:r>
        <w:rPr>
          <w:rFonts w:hint="cs"/>
          <w:rtl/>
        </w:rPr>
        <w:t xml:space="preserve">, בעמ'    547-541). כך או אחרת, גם אם פסק הדין בעניין </w:t>
      </w:r>
      <w:r w:rsidRPr="007F78B6">
        <w:rPr>
          <w:rFonts w:ascii="Century" w:hAnsi="Century" w:cs="Miriam" w:hint="cs"/>
          <w:b/>
          <w:spacing w:val="0"/>
          <w:sz w:val="22"/>
          <w:szCs w:val="24"/>
          <w:rtl/>
        </w:rPr>
        <w:t>דקה</w:t>
      </w:r>
      <w:r>
        <w:rPr>
          <w:rFonts w:hint="cs"/>
          <w:rtl/>
        </w:rPr>
        <w:t xml:space="preserve">, אכן עושה שימוש בעילת הסבירות המהותית </w:t>
      </w:r>
      <w:r>
        <w:rPr>
          <w:rtl/>
        </w:rPr>
        <w:t>–</w:t>
      </w:r>
      <w:r>
        <w:rPr>
          <w:rFonts w:hint="cs"/>
          <w:rtl/>
        </w:rPr>
        <w:t xml:space="preserve"> המשמעות אינה דרמטית. פסק הדין בעניין </w:t>
      </w:r>
      <w:r w:rsidRPr="007F78B6">
        <w:rPr>
          <w:rFonts w:ascii="Century" w:hAnsi="Century" w:cs="Miriam" w:hint="cs"/>
          <w:b/>
          <w:spacing w:val="0"/>
          <w:sz w:val="22"/>
          <w:szCs w:val="24"/>
          <w:rtl/>
        </w:rPr>
        <w:t>דקה</w:t>
      </w:r>
      <w:r>
        <w:rPr>
          <w:rFonts w:hint="cs"/>
          <w:rtl/>
        </w:rPr>
        <w:t xml:space="preserve"> ניתן בשנת 1976, שנים ספורות לפני פסק הדין בעניין </w:t>
      </w:r>
      <w:r w:rsidRPr="007F78B6">
        <w:rPr>
          <w:rFonts w:ascii="Century" w:hAnsi="Century" w:cs="Miriam" w:hint="cs"/>
          <w:b/>
          <w:spacing w:val="0"/>
          <w:sz w:val="22"/>
          <w:szCs w:val="24"/>
          <w:rtl/>
        </w:rPr>
        <w:t>דפי זהב</w:t>
      </w:r>
      <w:r>
        <w:rPr>
          <w:rFonts w:hint="cs"/>
          <w:rtl/>
        </w:rPr>
        <w:t xml:space="preserve">. לכל היותר, ניתן יהיה לערוך 'שינוי השם', ולכנות את עילת הסבירות המהותית כ'סבירות נוסח דקה'; לא מעבר לכך. עד כאן לגבי גישתו של השופט </w:t>
      </w:r>
      <w:r w:rsidRPr="007F78B6">
        <w:rPr>
          <w:rFonts w:ascii="Century" w:hAnsi="Century" w:cs="Miriam" w:hint="cs"/>
          <w:b/>
          <w:spacing w:val="0"/>
          <w:sz w:val="22"/>
          <w:szCs w:val="24"/>
          <w:rtl/>
        </w:rPr>
        <w:t>ברק</w:t>
      </w:r>
      <w:r>
        <w:rPr>
          <w:rFonts w:hint="cs"/>
          <w:rtl/>
        </w:rPr>
        <w:t xml:space="preserve">. </w:t>
      </w:r>
    </w:p>
    <w:p w:rsidR="00EB02E1" w:rsidRDefault="00EB02E1" w:rsidP="00EB02E1">
      <w:pPr>
        <w:pStyle w:val="Ruller41"/>
        <w:rPr>
          <w:rtl/>
        </w:rPr>
      </w:pPr>
    </w:p>
    <w:p w:rsidR="00EB02E1" w:rsidRDefault="00EB02E1" w:rsidP="00EB02E1">
      <w:pPr>
        <w:pStyle w:val="Ruller4"/>
        <w:rPr>
          <w:rtl/>
        </w:rPr>
      </w:pPr>
      <w:r>
        <w:rPr>
          <w:rFonts w:hint="cs"/>
          <w:rtl/>
        </w:rPr>
        <w:t xml:space="preserve">אפנה עתה לקוטב הנגדי, השמרני. מייצגה של גישה זו, הוא פרופ' </w:t>
      </w:r>
      <w:r w:rsidRPr="007F78B6">
        <w:rPr>
          <w:rFonts w:ascii="Century" w:hAnsi="Century" w:cs="Miriam" w:hint="cs"/>
          <w:b/>
          <w:spacing w:val="0"/>
          <w:sz w:val="22"/>
          <w:szCs w:val="24"/>
          <w:rtl/>
        </w:rPr>
        <w:t>ד' פרידמן</w:t>
      </w:r>
      <w:r>
        <w:rPr>
          <w:rFonts w:hint="cs"/>
          <w:rtl/>
        </w:rPr>
        <w:t xml:space="preserve">, שהִירבּה במשך השנים בּאוֹמר ודברים, על אודות עילת הסבירות. ביקורתו של פרופ' </w:t>
      </w:r>
      <w:r w:rsidRPr="007F5F0F">
        <w:rPr>
          <w:rFonts w:ascii="Century" w:hAnsi="Century" w:cs="Miriam" w:hint="cs"/>
          <w:b/>
          <w:spacing w:val="0"/>
          <w:sz w:val="22"/>
          <w:szCs w:val="24"/>
          <w:rtl/>
        </w:rPr>
        <w:t>פרידמן</w:t>
      </w:r>
      <w:r>
        <w:rPr>
          <w:rFonts w:hint="cs"/>
          <w:rtl/>
        </w:rPr>
        <w:t xml:space="preserve"> אינה מצמצמת עצמה לעילת הסבירות ה'מהותית', כי אם מתפשטת ועולה גם לכיוונה של עילת הסבירות המקורית, נוסח 'וונדסברי'. לאחרונה התוודעתי לכך, שאותה הבחנה שהצעתי לראשונה ב</w:t>
      </w:r>
      <w:r w:rsidRPr="007F5F0F">
        <w:rPr>
          <w:rFonts w:ascii="Century" w:hAnsi="Century" w:cs="Miriam" w:hint="cs"/>
          <w:b/>
          <w:spacing w:val="0"/>
          <w:sz w:val="22"/>
          <w:szCs w:val="24"/>
          <w:rtl/>
        </w:rPr>
        <w:t>מאמר השילוח</w:t>
      </w:r>
      <w:r>
        <w:rPr>
          <w:rFonts w:hint="cs"/>
          <w:rtl/>
        </w:rPr>
        <w:t xml:space="preserve">, שפורסם בשנת 2019, בין הדרג הנבחר לדרג הממונה, הוצעה עוד קודם לכן על-ידי פרופ' </w:t>
      </w:r>
      <w:r w:rsidRPr="007F5F0F">
        <w:rPr>
          <w:rFonts w:ascii="Century" w:hAnsi="Century" w:cs="Miriam" w:hint="cs"/>
          <w:b/>
          <w:spacing w:val="0"/>
          <w:sz w:val="22"/>
          <w:szCs w:val="24"/>
          <w:rtl/>
        </w:rPr>
        <w:t>פרידמן</w:t>
      </w:r>
      <w:r>
        <w:rPr>
          <w:rFonts w:hint="cs"/>
          <w:rtl/>
        </w:rPr>
        <w:t xml:space="preserve">. ההבדל בין הגישות, טמון בכך שפרופ' </w:t>
      </w:r>
      <w:r w:rsidRPr="00325295">
        <w:rPr>
          <w:rFonts w:ascii="Century" w:hAnsi="Century" w:cs="Miriam" w:hint="cs"/>
          <w:b/>
          <w:spacing w:val="0"/>
          <w:sz w:val="22"/>
          <w:szCs w:val="24"/>
          <w:rtl/>
        </w:rPr>
        <w:t>פרידמן</w:t>
      </w:r>
      <w:r>
        <w:rPr>
          <w:rFonts w:hint="cs"/>
          <w:rtl/>
        </w:rPr>
        <w:t xml:space="preserve"> מציע ללכת צעד אחד רחוק יותר, מהצעתי-שלי. בראיון שנערך עמו בשנת 2016, אמר פרופ' </w:t>
      </w:r>
      <w:r w:rsidRPr="007F5F0F">
        <w:rPr>
          <w:rFonts w:ascii="Century" w:hAnsi="Century" w:cs="Miriam" w:hint="cs"/>
          <w:b/>
          <w:spacing w:val="0"/>
          <w:sz w:val="22"/>
          <w:szCs w:val="24"/>
          <w:rtl/>
        </w:rPr>
        <w:t>פרידמן</w:t>
      </w:r>
      <w:r>
        <w:rPr>
          <w:rFonts w:hint="cs"/>
          <w:rtl/>
        </w:rPr>
        <w:t xml:space="preserve">, כי </w:t>
      </w:r>
      <w:r w:rsidRPr="007F5F0F">
        <w:rPr>
          <w:rFonts w:ascii="Century" w:hAnsi="Century" w:cs="Miriam" w:hint="cs"/>
          <w:b/>
          <w:spacing w:val="0"/>
          <w:sz w:val="22"/>
          <w:szCs w:val="24"/>
          <w:rtl/>
        </w:rPr>
        <w:t>"ס</w:t>
      </w:r>
      <w:r w:rsidRPr="007F5F0F">
        <w:rPr>
          <w:rFonts w:ascii="Century" w:hAnsi="Century" w:cs="Miriam" w:hint="eastAsia"/>
          <w:b/>
          <w:spacing w:val="0"/>
          <w:sz w:val="22"/>
          <w:szCs w:val="24"/>
          <w:rtl/>
        </w:rPr>
        <w:t>בירות</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היא</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הכלי</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שבאמצעותו</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בית</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המשפט</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מתערב</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אבל</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במקרה</w:t>
      </w:r>
      <w:r w:rsidRPr="007F5F0F">
        <w:rPr>
          <w:rFonts w:ascii="Century" w:hAnsi="Century" w:cs="Miriam" w:hint="cs"/>
          <w:b/>
          <w:spacing w:val="0"/>
          <w:sz w:val="22"/>
          <w:szCs w:val="24"/>
          <w:rtl/>
        </w:rPr>
        <w:t xml:space="preserve"> </w:t>
      </w:r>
      <w:r w:rsidRPr="007F5F0F">
        <w:rPr>
          <w:rFonts w:ascii="Century" w:hAnsi="Century" w:cs="Miriam" w:hint="eastAsia"/>
          <w:b/>
          <w:spacing w:val="0"/>
          <w:sz w:val="22"/>
          <w:szCs w:val="24"/>
          <w:rtl/>
        </w:rPr>
        <w:t>כזה</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הוא</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לא</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שוקל</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שיקולים</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של</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חוקיות</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ומתחיל</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במקום</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זאת</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לשקול</w:t>
      </w:r>
      <w:r w:rsidRPr="007F5F0F">
        <w:rPr>
          <w:rFonts w:ascii="Century" w:hAnsi="Century" w:cs="Miriam" w:hint="cs"/>
          <w:b/>
          <w:spacing w:val="0"/>
          <w:sz w:val="22"/>
          <w:szCs w:val="24"/>
          <w:rtl/>
        </w:rPr>
        <w:t xml:space="preserve"> </w:t>
      </w:r>
      <w:r w:rsidRPr="007F5F0F">
        <w:rPr>
          <w:rFonts w:ascii="Century" w:hAnsi="Century" w:cs="Miriam" w:hint="eastAsia"/>
          <w:b/>
          <w:spacing w:val="0"/>
          <w:sz w:val="22"/>
          <w:szCs w:val="24"/>
          <w:rtl/>
        </w:rPr>
        <w:t>שיקולים</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של</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ניהול</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החורגים</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מתפקידו</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של</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בית</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המשפט</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ומהמיומנו</w:t>
      </w:r>
      <w:r w:rsidRPr="007F5F0F">
        <w:rPr>
          <w:rFonts w:ascii="Century" w:hAnsi="Century" w:cs="Miriam" w:hint="cs"/>
          <w:b/>
          <w:spacing w:val="0"/>
          <w:sz w:val="22"/>
          <w:szCs w:val="24"/>
          <w:rtl/>
        </w:rPr>
        <w:t xml:space="preserve">ת </w:t>
      </w:r>
      <w:r w:rsidRPr="007F5F0F">
        <w:rPr>
          <w:rFonts w:ascii="Century" w:hAnsi="Century" w:cs="Miriam" w:hint="eastAsia"/>
          <w:b/>
          <w:spacing w:val="0"/>
          <w:sz w:val="22"/>
          <w:szCs w:val="24"/>
          <w:rtl/>
        </w:rPr>
        <w:t>שיש</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לו</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לכך</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מצטרפת</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השאלה</w:t>
      </w:r>
      <w:r w:rsidRPr="007F5F0F">
        <w:rPr>
          <w:rFonts w:ascii="Century" w:hAnsi="Century" w:cs="Miriam"/>
          <w:b/>
          <w:spacing w:val="0"/>
          <w:sz w:val="22"/>
          <w:szCs w:val="24"/>
          <w:rtl/>
        </w:rPr>
        <w:t xml:space="preserve"> </w:t>
      </w:r>
      <w:r w:rsidRPr="007F5F0F">
        <w:rPr>
          <w:rFonts w:ascii="Century" w:hAnsi="Century"/>
          <w:sz w:val="22"/>
          <w:rtl/>
        </w:rPr>
        <w:t>–</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סבירות</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של</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איזה</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גוף</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אם</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זו</w:t>
      </w:r>
      <w:r w:rsidRPr="007F5F0F">
        <w:rPr>
          <w:rFonts w:ascii="Century" w:hAnsi="Century" w:cs="Miriam" w:hint="cs"/>
          <w:b/>
          <w:spacing w:val="0"/>
          <w:sz w:val="22"/>
          <w:szCs w:val="24"/>
          <w:rtl/>
        </w:rPr>
        <w:t xml:space="preserve"> </w:t>
      </w:r>
      <w:r w:rsidRPr="007F5F0F">
        <w:rPr>
          <w:rFonts w:ascii="Century" w:hAnsi="Century" w:cs="Miriam" w:hint="eastAsia"/>
          <w:b/>
          <w:spacing w:val="0"/>
          <w:sz w:val="22"/>
          <w:szCs w:val="24"/>
          <w:rtl/>
        </w:rPr>
        <w:t>סבירות הממשלה</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או</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הכנסת</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אז</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אני</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חושב</w:t>
      </w:r>
      <w:r w:rsidRPr="007F5F0F">
        <w:rPr>
          <w:rFonts w:ascii="Century" w:hAnsi="Century" w:cs="Miriam"/>
          <w:b/>
          <w:spacing w:val="0"/>
          <w:sz w:val="22"/>
          <w:szCs w:val="24"/>
          <w:rtl/>
        </w:rPr>
        <w:t xml:space="preserve"> </w:t>
      </w:r>
      <w:r w:rsidRPr="008A26F1">
        <w:rPr>
          <w:rFonts w:ascii="Century" w:hAnsi="Century" w:cs="Miriam" w:hint="eastAsia"/>
          <w:b/>
          <w:spacing w:val="0"/>
          <w:sz w:val="22"/>
          <w:szCs w:val="24"/>
          <w:u w:val="single"/>
          <w:rtl/>
        </w:rPr>
        <w:t>שאין</w:t>
      </w:r>
      <w:r w:rsidRPr="008A26F1">
        <w:rPr>
          <w:rFonts w:ascii="Century" w:hAnsi="Century" w:cs="Miriam"/>
          <w:b/>
          <w:spacing w:val="0"/>
          <w:sz w:val="22"/>
          <w:szCs w:val="24"/>
          <w:u w:val="single"/>
          <w:rtl/>
        </w:rPr>
        <w:t xml:space="preserve"> </w:t>
      </w:r>
      <w:r w:rsidRPr="008A26F1">
        <w:rPr>
          <w:rFonts w:ascii="Century" w:hAnsi="Century" w:cs="Miriam" w:hint="eastAsia"/>
          <w:b/>
          <w:spacing w:val="0"/>
          <w:sz w:val="22"/>
          <w:szCs w:val="24"/>
          <w:u w:val="single"/>
          <w:rtl/>
        </w:rPr>
        <w:t>מקום</w:t>
      </w:r>
      <w:r w:rsidRPr="008A26F1">
        <w:rPr>
          <w:rFonts w:ascii="Century" w:hAnsi="Century" w:cs="Miriam"/>
          <w:b/>
          <w:spacing w:val="0"/>
          <w:sz w:val="22"/>
          <w:szCs w:val="24"/>
          <w:u w:val="single"/>
          <w:rtl/>
        </w:rPr>
        <w:t xml:space="preserve"> </w:t>
      </w:r>
      <w:r w:rsidRPr="008A26F1">
        <w:rPr>
          <w:rFonts w:ascii="Century" w:hAnsi="Century" w:cs="Miriam" w:hint="eastAsia"/>
          <w:b/>
          <w:spacing w:val="0"/>
          <w:sz w:val="22"/>
          <w:szCs w:val="24"/>
          <w:u w:val="single"/>
          <w:rtl/>
        </w:rPr>
        <w:t>להתערב</w:t>
      </w:r>
      <w:r w:rsidRPr="008A26F1">
        <w:rPr>
          <w:rFonts w:ascii="Century" w:hAnsi="Century" w:cs="Miriam"/>
          <w:b/>
          <w:spacing w:val="0"/>
          <w:sz w:val="22"/>
          <w:szCs w:val="24"/>
          <w:u w:val="single"/>
          <w:rtl/>
        </w:rPr>
        <w:t xml:space="preserve"> </w:t>
      </w:r>
      <w:r w:rsidRPr="008A26F1">
        <w:rPr>
          <w:rFonts w:ascii="Century" w:hAnsi="Century" w:cs="Miriam" w:hint="eastAsia"/>
          <w:b/>
          <w:spacing w:val="0"/>
          <w:sz w:val="22"/>
          <w:szCs w:val="24"/>
          <w:u w:val="single"/>
          <w:rtl/>
        </w:rPr>
        <w:t>מטעמ</w:t>
      </w:r>
      <w:r w:rsidRPr="008A26F1">
        <w:rPr>
          <w:rFonts w:ascii="Century" w:hAnsi="Century" w:cs="Miriam" w:hint="cs"/>
          <w:b/>
          <w:spacing w:val="0"/>
          <w:sz w:val="22"/>
          <w:szCs w:val="24"/>
          <w:u w:val="single"/>
          <w:rtl/>
        </w:rPr>
        <w:t>י סבירות</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אלה</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הם</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הגופים</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העליונים</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במשטר</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הדמוקרטי</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החייבים</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דין</w:t>
      </w:r>
      <w:r w:rsidRPr="007F5F0F">
        <w:rPr>
          <w:rFonts w:ascii="Century" w:hAnsi="Century" w:cs="Miriam" w:hint="cs"/>
          <w:b/>
          <w:spacing w:val="0"/>
          <w:sz w:val="22"/>
          <w:szCs w:val="24"/>
          <w:rtl/>
        </w:rPr>
        <w:t xml:space="preserve"> </w:t>
      </w:r>
      <w:r w:rsidRPr="007F5F0F">
        <w:rPr>
          <w:rFonts w:ascii="Century" w:hAnsi="Century" w:cs="Miriam" w:hint="eastAsia"/>
          <w:b/>
          <w:spacing w:val="0"/>
          <w:sz w:val="22"/>
          <w:szCs w:val="24"/>
          <w:rtl/>
        </w:rPr>
        <w:t>וחשבון</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לציבור</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גופים</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אדמיניסטרטיביים</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ברמה</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נמוכה</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יותר</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אפשר</w:t>
      </w:r>
      <w:r w:rsidRPr="007F5F0F">
        <w:rPr>
          <w:rFonts w:ascii="Century" w:hAnsi="Century" w:cs="Miriam" w:hint="cs"/>
          <w:b/>
          <w:spacing w:val="0"/>
          <w:sz w:val="22"/>
          <w:szCs w:val="24"/>
          <w:rtl/>
        </w:rPr>
        <w:t xml:space="preserve"> </w:t>
      </w:r>
      <w:r w:rsidRPr="007F5F0F">
        <w:rPr>
          <w:rFonts w:ascii="Century" w:hAnsi="Century" w:cs="Miriam" w:hint="eastAsia"/>
          <w:b/>
          <w:spacing w:val="0"/>
          <w:sz w:val="22"/>
          <w:szCs w:val="24"/>
          <w:rtl/>
        </w:rPr>
        <w:t>לחשוב</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על</w:t>
      </w:r>
      <w:r w:rsidRPr="007F5F0F">
        <w:rPr>
          <w:rFonts w:ascii="Century" w:hAnsi="Century" w:cs="Miriam"/>
          <w:b/>
          <w:spacing w:val="0"/>
          <w:sz w:val="22"/>
          <w:szCs w:val="24"/>
          <w:rtl/>
        </w:rPr>
        <w:t xml:space="preserve"> </w:t>
      </w:r>
      <w:r w:rsidRPr="008A26F1">
        <w:rPr>
          <w:rFonts w:ascii="Century" w:hAnsi="Century" w:cs="Miriam" w:hint="eastAsia"/>
          <w:b/>
          <w:spacing w:val="0"/>
          <w:sz w:val="22"/>
          <w:szCs w:val="24"/>
          <w:u w:val="single"/>
          <w:rtl/>
        </w:rPr>
        <w:t>התערבות</w:t>
      </w:r>
      <w:r w:rsidRPr="008A26F1">
        <w:rPr>
          <w:rFonts w:ascii="Century" w:hAnsi="Century" w:cs="Miriam"/>
          <w:b/>
          <w:spacing w:val="0"/>
          <w:sz w:val="22"/>
          <w:szCs w:val="24"/>
          <w:u w:val="single"/>
          <w:rtl/>
        </w:rPr>
        <w:t xml:space="preserve"> </w:t>
      </w:r>
      <w:r w:rsidRPr="008A26F1">
        <w:rPr>
          <w:rFonts w:ascii="Century" w:hAnsi="Century" w:cs="Miriam" w:hint="eastAsia"/>
          <w:b/>
          <w:spacing w:val="0"/>
          <w:sz w:val="22"/>
          <w:szCs w:val="24"/>
          <w:u w:val="single"/>
          <w:rtl/>
        </w:rPr>
        <w:t>מטעמי</w:t>
      </w:r>
      <w:r w:rsidRPr="008A26F1">
        <w:rPr>
          <w:rFonts w:ascii="Century" w:hAnsi="Century" w:cs="Miriam"/>
          <w:b/>
          <w:spacing w:val="0"/>
          <w:sz w:val="22"/>
          <w:szCs w:val="24"/>
          <w:u w:val="single"/>
          <w:rtl/>
        </w:rPr>
        <w:t xml:space="preserve"> </w:t>
      </w:r>
      <w:r w:rsidRPr="008A26F1">
        <w:rPr>
          <w:rFonts w:ascii="Century" w:hAnsi="Century" w:cs="Miriam" w:hint="eastAsia"/>
          <w:b/>
          <w:spacing w:val="0"/>
          <w:sz w:val="22"/>
          <w:szCs w:val="24"/>
          <w:u w:val="single"/>
          <w:rtl/>
        </w:rPr>
        <w:t>חוסר</w:t>
      </w:r>
      <w:r w:rsidRPr="008A26F1">
        <w:rPr>
          <w:rFonts w:ascii="Century" w:hAnsi="Century" w:cs="Miriam"/>
          <w:b/>
          <w:spacing w:val="0"/>
          <w:sz w:val="22"/>
          <w:szCs w:val="24"/>
          <w:u w:val="single"/>
          <w:rtl/>
        </w:rPr>
        <w:t xml:space="preserve"> </w:t>
      </w:r>
      <w:r w:rsidRPr="008A26F1">
        <w:rPr>
          <w:rFonts w:ascii="Century" w:hAnsi="Century" w:cs="Miriam" w:hint="eastAsia"/>
          <w:b/>
          <w:spacing w:val="0"/>
          <w:sz w:val="22"/>
          <w:szCs w:val="24"/>
          <w:u w:val="single"/>
          <w:rtl/>
        </w:rPr>
        <w:t>סבירות</w:t>
      </w:r>
      <w:r w:rsidRPr="008A26F1">
        <w:rPr>
          <w:rFonts w:ascii="Century" w:hAnsi="Century" w:cs="Miriam"/>
          <w:b/>
          <w:spacing w:val="0"/>
          <w:sz w:val="22"/>
          <w:szCs w:val="24"/>
          <w:u w:val="single"/>
          <w:rtl/>
        </w:rPr>
        <w:t xml:space="preserve">, </w:t>
      </w:r>
      <w:r w:rsidRPr="008A26F1">
        <w:rPr>
          <w:rFonts w:ascii="Century" w:hAnsi="Century" w:cs="Miriam" w:hint="eastAsia"/>
          <w:b/>
          <w:spacing w:val="0"/>
          <w:sz w:val="22"/>
          <w:szCs w:val="24"/>
          <w:u w:val="single"/>
          <w:rtl/>
        </w:rPr>
        <w:t>אבל</w:t>
      </w:r>
      <w:r w:rsidRPr="008A26F1">
        <w:rPr>
          <w:rFonts w:ascii="Century" w:hAnsi="Century" w:cs="Miriam"/>
          <w:b/>
          <w:spacing w:val="0"/>
          <w:sz w:val="22"/>
          <w:szCs w:val="24"/>
          <w:u w:val="single"/>
          <w:rtl/>
        </w:rPr>
        <w:t xml:space="preserve">, </w:t>
      </w:r>
      <w:r w:rsidRPr="008A26F1">
        <w:rPr>
          <w:rFonts w:ascii="Century" w:hAnsi="Century" w:cs="Miriam" w:hint="eastAsia"/>
          <w:b/>
          <w:spacing w:val="0"/>
          <w:sz w:val="22"/>
          <w:szCs w:val="24"/>
          <w:u w:val="single"/>
          <w:rtl/>
        </w:rPr>
        <w:t>כמו</w:t>
      </w:r>
      <w:r w:rsidRPr="008A26F1">
        <w:rPr>
          <w:rFonts w:ascii="Century" w:hAnsi="Century" w:cs="Miriam"/>
          <w:b/>
          <w:spacing w:val="0"/>
          <w:sz w:val="22"/>
          <w:szCs w:val="24"/>
          <w:u w:val="single"/>
          <w:rtl/>
        </w:rPr>
        <w:t xml:space="preserve"> </w:t>
      </w:r>
      <w:r w:rsidRPr="008A26F1">
        <w:rPr>
          <w:rFonts w:ascii="Century" w:hAnsi="Century" w:cs="Miriam" w:hint="eastAsia"/>
          <w:b/>
          <w:spacing w:val="0"/>
          <w:sz w:val="22"/>
          <w:szCs w:val="24"/>
          <w:u w:val="single"/>
          <w:rtl/>
        </w:rPr>
        <w:t>שזה</w:t>
      </w:r>
      <w:r w:rsidRPr="008A26F1">
        <w:rPr>
          <w:rFonts w:ascii="Century" w:hAnsi="Century" w:cs="Miriam"/>
          <w:b/>
          <w:spacing w:val="0"/>
          <w:sz w:val="22"/>
          <w:szCs w:val="24"/>
          <w:u w:val="single"/>
          <w:rtl/>
        </w:rPr>
        <w:t xml:space="preserve"> </w:t>
      </w:r>
      <w:r w:rsidRPr="008A26F1">
        <w:rPr>
          <w:rFonts w:ascii="Century" w:hAnsi="Century" w:cs="Miriam" w:hint="eastAsia"/>
          <w:b/>
          <w:spacing w:val="0"/>
          <w:sz w:val="22"/>
          <w:szCs w:val="24"/>
          <w:u w:val="single"/>
          <w:rtl/>
        </w:rPr>
        <w:t>היה</w:t>
      </w:r>
      <w:r w:rsidRPr="008A26F1">
        <w:rPr>
          <w:rFonts w:ascii="Century" w:hAnsi="Century" w:cs="Miriam"/>
          <w:b/>
          <w:spacing w:val="0"/>
          <w:sz w:val="22"/>
          <w:szCs w:val="24"/>
          <w:u w:val="single"/>
          <w:rtl/>
        </w:rPr>
        <w:t xml:space="preserve"> </w:t>
      </w:r>
      <w:r w:rsidRPr="008A26F1">
        <w:rPr>
          <w:rFonts w:ascii="Century" w:hAnsi="Century" w:cs="Miriam" w:hint="eastAsia"/>
          <w:b/>
          <w:spacing w:val="0"/>
          <w:sz w:val="22"/>
          <w:szCs w:val="24"/>
          <w:u w:val="single"/>
          <w:rtl/>
        </w:rPr>
        <w:t>פעם</w:t>
      </w:r>
      <w:r w:rsidRPr="007F5F0F">
        <w:rPr>
          <w:rFonts w:ascii="Century" w:hAnsi="Century" w:cs="Miriam" w:hint="cs"/>
          <w:b/>
          <w:spacing w:val="0"/>
          <w:sz w:val="22"/>
          <w:szCs w:val="24"/>
          <w:rtl/>
        </w:rPr>
        <w:t xml:space="preserve"> </w:t>
      </w:r>
      <w:r w:rsidRPr="007F5F0F">
        <w:rPr>
          <w:rFonts w:ascii="Century" w:hAnsi="Century"/>
          <w:sz w:val="22"/>
          <w:rtl/>
        </w:rPr>
        <w:t>–</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בעילה</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של</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חוסר</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סמכות</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כלומר</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במקרה</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שעובד</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ציבור</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נוהג</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בחוסר</w:t>
      </w:r>
      <w:r w:rsidRPr="007F5F0F">
        <w:rPr>
          <w:rFonts w:ascii="Century" w:hAnsi="Century" w:cs="Miriam" w:hint="cs"/>
          <w:b/>
          <w:spacing w:val="0"/>
          <w:sz w:val="22"/>
          <w:szCs w:val="24"/>
          <w:rtl/>
        </w:rPr>
        <w:t xml:space="preserve"> </w:t>
      </w:r>
      <w:r w:rsidRPr="007F5F0F">
        <w:rPr>
          <w:rFonts w:ascii="Century" w:hAnsi="Century" w:cs="Miriam" w:hint="eastAsia"/>
          <w:b/>
          <w:spacing w:val="0"/>
          <w:sz w:val="22"/>
          <w:szCs w:val="24"/>
          <w:rtl/>
        </w:rPr>
        <w:t>סבירות</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כל</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כך</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קיצוני</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עד</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שניתן</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לומר</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שהחוק</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שמכוחו</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הוא</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פועל</w:t>
      </w:r>
      <w:r w:rsidRPr="007F5F0F">
        <w:rPr>
          <w:rFonts w:ascii="Century" w:hAnsi="Century" w:cs="Miriam"/>
          <w:b/>
          <w:spacing w:val="0"/>
          <w:sz w:val="22"/>
          <w:szCs w:val="24"/>
          <w:rtl/>
        </w:rPr>
        <w:t>,</w:t>
      </w:r>
      <w:r w:rsidRPr="007F5F0F">
        <w:rPr>
          <w:rFonts w:ascii="Century" w:hAnsi="Century" w:cs="Miriam" w:hint="cs"/>
          <w:b/>
          <w:spacing w:val="0"/>
          <w:sz w:val="22"/>
          <w:szCs w:val="24"/>
          <w:rtl/>
        </w:rPr>
        <w:t xml:space="preserve"> </w:t>
      </w:r>
      <w:r w:rsidRPr="007F5F0F">
        <w:rPr>
          <w:rFonts w:ascii="Century" w:hAnsi="Century" w:cs="Miriam" w:hint="eastAsia"/>
          <w:b/>
          <w:spacing w:val="0"/>
          <w:sz w:val="22"/>
          <w:szCs w:val="24"/>
          <w:rtl/>
        </w:rPr>
        <w:t>לא</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העניק</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לו</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lastRenderedPageBreak/>
        <w:t>סמכות</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לפעול</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בדרך</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זו</w:t>
      </w:r>
      <w:r w:rsidRPr="007F5F0F">
        <w:rPr>
          <w:rFonts w:ascii="Century" w:hAnsi="Century" w:cs="Miriam" w:hint="cs"/>
          <w:b/>
          <w:spacing w:val="0"/>
          <w:sz w:val="22"/>
          <w:szCs w:val="24"/>
          <w:rtl/>
        </w:rPr>
        <w:t>"</w:t>
      </w:r>
      <w:r>
        <w:rPr>
          <w:rFonts w:hint="cs"/>
          <w:rtl/>
        </w:rPr>
        <w:t xml:space="preserve"> (יובל קרניאל ויובל יועז "בית המשפט רוצה להיות שחקן בזירה הפוליטית. הוא לא מגן בכך על זכויות אדם" </w:t>
      </w:r>
      <w:r w:rsidRPr="007F5F0F">
        <w:rPr>
          <w:rFonts w:ascii="Century" w:hAnsi="Century" w:cs="Miriam" w:hint="cs"/>
          <w:b/>
          <w:spacing w:val="0"/>
          <w:sz w:val="22"/>
          <w:szCs w:val="24"/>
          <w:rtl/>
        </w:rPr>
        <w:t>עורך הדין</w:t>
      </w:r>
      <w:r>
        <w:rPr>
          <w:rFonts w:hint="cs"/>
          <w:rtl/>
        </w:rPr>
        <w:t xml:space="preserve"> גיליון 13, 10, 14-13 (2016)).</w:t>
      </w:r>
    </w:p>
    <w:p w:rsidR="00EB02E1" w:rsidRDefault="00EB02E1" w:rsidP="00EB02E1">
      <w:pPr>
        <w:pStyle w:val="Ruller41"/>
        <w:rPr>
          <w:rtl/>
        </w:rPr>
      </w:pPr>
    </w:p>
    <w:p w:rsidR="00EB02E1" w:rsidRDefault="00EB02E1" w:rsidP="00EB02E1">
      <w:pPr>
        <w:pStyle w:val="Ruller4"/>
        <w:rPr>
          <w:rtl/>
        </w:rPr>
      </w:pPr>
      <w:r>
        <w:rPr>
          <w:rFonts w:hint="cs"/>
          <w:rtl/>
        </w:rPr>
        <w:t xml:space="preserve">פרופ' </w:t>
      </w:r>
      <w:r w:rsidRPr="007F5F0F">
        <w:rPr>
          <w:rFonts w:ascii="Century" w:hAnsi="Century" w:cs="Miriam" w:hint="cs"/>
          <w:b/>
          <w:spacing w:val="0"/>
          <w:sz w:val="22"/>
          <w:szCs w:val="24"/>
          <w:rtl/>
        </w:rPr>
        <w:t>פרידמן</w:t>
      </w:r>
      <w:r>
        <w:rPr>
          <w:rFonts w:hint="cs"/>
          <w:rtl/>
        </w:rPr>
        <w:t xml:space="preserve"> אמנם לא מתייחס במפורש למעמדן של החלטות שרים, אך מפשטוּת לשונו, והשימוש במונח </w:t>
      </w:r>
      <w:r w:rsidRPr="007F5F0F">
        <w:rPr>
          <w:rFonts w:ascii="Century" w:hAnsi="Century" w:cs="Miriam" w:hint="cs"/>
          <w:b/>
          <w:spacing w:val="0"/>
          <w:sz w:val="22"/>
          <w:szCs w:val="24"/>
          <w:rtl/>
        </w:rPr>
        <w:t>"גופים אדמיניסטרטיביים"</w:t>
      </w:r>
      <w:r>
        <w:rPr>
          <w:rFonts w:hint="cs"/>
          <w:rtl/>
        </w:rPr>
        <w:t xml:space="preserve"> כדי לתאר את המצב ההופכי, ניתן להסיק שבדבריו על הממשלה כלל גם את שׂריה, בהיותם </w:t>
      </w:r>
      <w:r w:rsidRPr="007F5F0F">
        <w:rPr>
          <w:rFonts w:ascii="Century" w:hAnsi="Century" w:cs="Miriam" w:hint="cs"/>
          <w:b/>
          <w:spacing w:val="0"/>
          <w:sz w:val="22"/>
          <w:szCs w:val="24"/>
          <w:rtl/>
        </w:rPr>
        <w:t>"חייבים דין וחשבון לציבור"</w:t>
      </w:r>
      <w:r>
        <w:rPr>
          <w:rFonts w:hint="cs"/>
          <w:rtl/>
        </w:rPr>
        <w:t xml:space="preserve">. דבר אחד ברור, פרופ' </w:t>
      </w:r>
      <w:r w:rsidRPr="007F5F0F">
        <w:rPr>
          <w:rFonts w:ascii="Century" w:hAnsi="Century" w:cs="Miriam" w:hint="cs"/>
          <w:b/>
          <w:spacing w:val="0"/>
          <w:sz w:val="22"/>
          <w:szCs w:val="24"/>
          <w:rtl/>
        </w:rPr>
        <w:t>פרידמן</w:t>
      </w:r>
      <w:r>
        <w:rPr>
          <w:rFonts w:hint="cs"/>
          <w:rtl/>
        </w:rPr>
        <w:t xml:space="preserve"> סבור, כי המצב הרצוי הוא חסינותה המוחלטת של הממשלה מפני פגיעתה של עילת הסבירות, אף לא סבירות נוסח 'וונדסברי'. גם בעניינו של הדרג האדמיניסטרטיבי, עמדתו של פרופ' </w:t>
      </w:r>
      <w:r w:rsidRPr="007F5F0F">
        <w:rPr>
          <w:rFonts w:ascii="Century" w:hAnsi="Century" w:cs="Miriam" w:hint="cs"/>
          <w:b/>
          <w:spacing w:val="0"/>
          <w:sz w:val="22"/>
          <w:szCs w:val="24"/>
          <w:rtl/>
        </w:rPr>
        <w:t>פרידמן</w:t>
      </w:r>
      <w:r>
        <w:rPr>
          <w:rFonts w:hint="cs"/>
          <w:rtl/>
        </w:rPr>
        <w:t xml:space="preserve"> היא, כי יש לזנוח לחלוטין את השימוש בעילת הסבירות המהותית, נוסח 'דפי זהב', ויש לחזור ולעשות שימוש רק בעילה המצומצמת, נוסח 'וונדסברי'. מן הראוי לציין, כי במסגרת הצעת פשרה שהעלה בעת האחרונה, הציע פרופ' </w:t>
      </w:r>
      <w:r w:rsidRPr="007F5F0F">
        <w:rPr>
          <w:rFonts w:ascii="Century" w:hAnsi="Century" w:cs="Miriam" w:hint="cs"/>
          <w:b/>
          <w:spacing w:val="0"/>
          <w:sz w:val="22"/>
          <w:szCs w:val="24"/>
          <w:rtl/>
        </w:rPr>
        <w:t>פרידמן</w:t>
      </w:r>
      <w:r>
        <w:rPr>
          <w:rFonts w:hint="cs"/>
          <w:rtl/>
        </w:rPr>
        <w:t xml:space="preserve"> מתווה מרוכך יותר, בכל הקשור לעילת הסבירות (ראו את דבריו בוועדה, שם הזכיר את מתווה הסבירות הצר יותר: פרוטוקול ישיבה 120 של ועדת החוקה, חוק ומשפט, הכנסת ה-25, 78-72 (11.7.2023)). דברַי בהקשר זה, יתייחסו אפוא לגישתו העקרונית והמוקדמת בעניינה של הסבירות.</w:t>
      </w:r>
    </w:p>
    <w:p w:rsidR="00EB02E1" w:rsidRDefault="00EB02E1" w:rsidP="00EB02E1">
      <w:pPr>
        <w:pStyle w:val="Ruller41"/>
        <w:rPr>
          <w:rtl/>
        </w:rPr>
      </w:pPr>
    </w:p>
    <w:p w:rsidR="00EB02E1" w:rsidRDefault="00EB02E1" w:rsidP="00EB02E1">
      <w:pPr>
        <w:pStyle w:val="Ruller4"/>
        <w:rPr>
          <w:rtl/>
        </w:rPr>
      </w:pPr>
      <w:r>
        <w:rPr>
          <w:rFonts w:hint="cs"/>
          <w:rtl/>
        </w:rPr>
        <w:t xml:space="preserve">ההיגיון הניצב בבסיס עמדה זו הוא זה: כעיקרון, אין מקום לכך שבית המשפט יערוך בחינה של אותם שיקולים פוליטיים-ערכיים, שעומדים בבסיס החלטות מינהליות שהתקבלו בידי הממשלה. סוף כל סוף, גם סבירות נוסח 'וונדסברי' בוחנת שיקולים שכאלו, ועל כן אין לעשות בה שימוש בעניינה של הממשלה. הליך הבחינה המינהלי אינו מבדיל אמנם בין בחינה של החלטת ממשלה או שׂריה, לבין החלטת פקיד פלוני או אלמוני, אך שוני גדול יש בין אותן החלטות. החלטה של הדרג המקצועי, אינה מערבת, ואסור לה שתערב, שיקולים פוליטיים-ערכיים. ההחלטה צריכה להתקבל ממניעים מקצועיים בלבד. קל יותר אפוא, לקיים ביקורת שיפוטית על 'סבירותה' של אותה החלטה. עם זאת, בחינה של מכלול השיקולים שאותם היה על מקבל ההחלטה לשקול, היא בסופו של דבר בחינה סובייקטיבית, ולכן לשיטתו של פרופ' </w:t>
      </w:r>
      <w:r w:rsidRPr="007F5F0F">
        <w:rPr>
          <w:rFonts w:ascii="Century" w:hAnsi="Century" w:cs="Miriam" w:hint="cs"/>
          <w:b/>
          <w:spacing w:val="0"/>
          <w:sz w:val="22"/>
          <w:szCs w:val="24"/>
          <w:rtl/>
        </w:rPr>
        <w:t>פרידמן</w:t>
      </w:r>
      <w:r>
        <w:rPr>
          <w:rFonts w:hint="cs"/>
          <w:rtl/>
        </w:rPr>
        <w:t xml:space="preserve">, כדי שלא ניתפס לעריכת ביקורת שיפוטית </w:t>
      </w:r>
      <w:r>
        <w:t>de-novo</w:t>
      </w:r>
      <w:r>
        <w:rPr>
          <w:rFonts w:hint="cs"/>
          <w:rtl/>
        </w:rPr>
        <w:t xml:space="preserve">, עלינו לצמצם את השימוש בעילת הסבירות בעניינו של הדרג האדמיניסטרטיבי, רק לסבירות נוסח 'וונדסברי'. </w:t>
      </w:r>
    </w:p>
    <w:p w:rsidR="00EB02E1" w:rsidRPr="007F5F0F" w:rsidRDefault="00EB02E1" w:rsidP="00EB02E1">
      <w:pPr>
        <w:pStyle w:val="Ruller41"/>
      </w:pPr>
    </w:p>
    <w:p w:rsidR="00EB02E1" w:rsidRDefault="00EB02E1" w:rsidP="00EB02E1">
      <w:pPr>
        <w:pStyle w:val="Ruller4"/>
        <w:rPr>
          <w:rtl/>
        </w:rPr>
      </w:pPr>
      <w:r>
        <w:rPr>
          <w:rFonts w:hint="cs"/>
          <w:rtl/>
        </w:rPr>
        <w:t xml:space="preserve">דברים אלו נכונים בעניינם של 'פקידים'. לעומת זאת, בכל הקשור לממשלה, הרי שבכך אין די. הממשלה ושׂריה, שוקלים בהחלטותיהם שיקולים פוליטיים-ערכיים. זוהי זכותם, זוהי חובתם כלפי בוחריהם. עניינה של הממשלה אינו מתמצה אך ב'סידור עבודה' לחברי הכנסת שזכו בבחירות. פשיטא, כי הממשלה, כרשות מבצעת, אמורה </w:t>
      </w:r>
      <w:r>
        <w:rPr>
          <w:rFonts w:hint="cs"/>
          <w:rtl/>
        </w:rPr>
        <w:lastRenderedPageBreak/>
        <w:t xml:space="preserve">לדאוג לעניינם של האזרחים כולם, גם אלו שלא הצביעו בעדה. עם זאת, במסגרת החלטותיה, זכותה וחובתה של הממשלה לשקול שיקולים ערכיים, יש שיאמרו 'פוליטיים'. זהו המקום שבו מתאפשר לאזרחים להשפיע על מדיניות השלטון, גם אם בצורה עקיפה. כך הוא הדין בכל החלטה שהחוק מסמיך את הממשלה ושׂריה לקבל. לעיתים השיקול הפוליטי-ערכי הוא הדומיננטי, כמו לגבי מינוים או פיטורם של שרים; לעיתים הוא משמש רק כשיקול משני, זניח יותר, אך תמיד קיים ברקע. אילו לא היתה נתונה הרשות בידי הממשלה ושׂריה לשקול שיקולים פוליטיים-ערכיים, הנובעים מהשקפת עולמם האישית והמפלגתית, למצער כחלק ממכלול השיקולים המקצועיים, הרי שלא היה טעם בהפקדת הסמכות בידי הממשלה. לעומת זאת, ככל שמדובר בהחלטה מקצועית בלבד, שבמסגרתה לא ניתן לשקול שיקולים ערכיים, אין כל הגיון בהפקדתה בידי הממשלה ושׂריה. בכל הקשור לבחינה 'מקצועית', ברי כי גורמי המקצוע, בעלי הניסיון, נהנים מיתרון מובהק, ועשויים לקבל החלטה מיטבית. </w:t>
      </w:r>
    </w:p>
    <w:p w:rsidR="00EB02E1" w:rsidRPr="007F5F0F" w:rsidRDefault="00EB02E1" w:rsidP="00EB02E1">
      <w:pPr>
        <w:pStyle w:val="Ruller41"/>
      </w:pPr>
    </w:p>
    <w:p w:rsidR="00EB02E1" w:rsidRDefault="00EB02E1" w:rsidP="00EB02E1">
      <w:pPr>
        <w:pStyle w:val="Ruller4"/>
        <w:rPr>
          <w:rtl/>
        </w:rPr>
      </w:pPr>
      <w:r>
        <w:rPr>
          <w:rFonts w:hint="cs"/>
          <w:rtl/>
        </w:rPr>
        <w:t xml:space="preserve">ממילא, ביודענו כי במכלול השיקולים הנשקלים עובר למתן החלטה של הממשלה ושׂריה, עשויים להישקל גם שיקולים פוליטיים-ערכיים, יש מקום לדעה כי עלינו למשוך את ידינו מעיסוק בכך. שיקולים פוליטיים </w:t>
      </w:r>
      <w:r>
        <w:rPr>
          <w:rtl/>
        </w:rPr>
        <w:t>–</w:t>
      </w:r>
      <w:r>
        <w:rPr>
          <w:rFonts w:hint="cs"/>
          <w:rtl/>
        </w:rPr>
        <w:t xml:space="preserve"> זרים הם לשופט; מעולם לא כיהן בתפקיד פוליטי כלשהו. אדרבה, כל ימיו על כס השיפוט, עושה השופט מאמץ ניכר להתרחק מכל אשר אבק פוליטי דבק בו. שקילה של שיקולים פוליטיים, אינה נמצאת בארגז 'כלי העבודה' שלנו, השופטים. הפועל היוצא, לפי גישה זו, הוא כי אין מקום לבחון את סבירותה של החלטת ממשלה או שׂריה, אף אם זו נדמית לנו כ'בלתי סבירה' באורח קיצוני, עד ששום ממשלה סבירה לא היתה מקבלת החלטה שכזו. העולם הפוליטי, התזזיתי והיצרי, כה רחוק מעולמנו, עד שתמיד מתגנב החשש כי הבעיה היא ב'קוצר המשיג'; לא ב'עומק המושג'. </w:t>
      </w:r>
    </w:p>
    <w:p w:rsidR="00EB02E1" w:rsidRPr="007F5F0F" w:rsidRDefault="00EB02E1" w:rsidP="00EB02E1">
      <w:pPr>
        <w:pStyle w:val="Ruller41"/>
      </w:pPr>
    </w:p>
    <w:p w:rsidR="00EB02E1" w:rsidRPr="007F5F0F" w:rsidRDefault="00EB02E1" w:rsidP="00EB02E1">
      <w:pPr>
        <w:pStyle w:val="Ruller4"/>
        <w:rPr>
          <w:rtl/>
        </w:rPr>
      </w:pPr>
      <w:r>
        <w:rPr>
          <w:rFonts w:hint="cs"/>
          <w:rtl/>
        </w:rPr>
        <w:t>נוסף על כך, לעיתים מזומנות, הממשלה ושׂריה אינם יכולים לפרושׂ לפנינו את מכלול השיקולים שהִנחו אותם. מתן פומבי לאותם שיקולים, עשוי להוביל לתוצאה בלתי-רצויה, ולהכשלת היעדים שאותם ברצונם להשיג. עניין שבו באו הדברים לידי ביטוי בצורה מובהקת, נדון ב</w:t>
      </w:r>
      <w:r w:rsidRPr="007F5F0F">
        <w:rPr>
          <w:rFonts w:hint="eastAsia"/>
          <w:rtl/>
        </w:rPr>
        <w:t>בג</w:t>
      </w:r>
      <w:r w:rsidRPr="007F5F0F">
        <w:rPr>
          <w:rtl/>
        </w:rPr>
        <w:t>"</w:t>
      </w:r>
      <w:r w:rsidRPr="007F5F0F">
        <w:rPr>
          <w:rFonts w:hint="eastAsia"/>
          <w:rtl/>
        </w:rPr>
        <w:t>ץ</w:t>
      </w:r>
      <w:r w:rsidRPr="007F5F0F">
        <w:rPr>
          <w:rtl/>
        </w:rPr>
        <w:t xml:space="preserve"> 2144/20 </w:t>
      </w:r>
      <w:r w:rsidRPr="007F5F0F">
        <w:rPr>
          <w:rFonts w:ascii="Century" w:hAnsi="Century" w:cs="Miriam" w:hint="eastAsia"/>
          <w:b/>
          <w:spacing w:val="0"/>
          <w:sz w:val="22"/>
          <w:szCs w:val="24"/>
          <w:rtl/>
        </w:rPr>
        <w:t>התנועה</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למען</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איכות</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השלטון</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בישראל</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נ</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יושב</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ראש</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הכנסת</w:t>
      </w:r>
      <w:r w:rsidRPr="007F5F0F">
        <w:rPr>
          <w:rtl/>
        </w:rPr>
        <w:t xml:space="preserve"> (23.</w:t>
      </w:r>
      <w:r>
        <w:rPr>
          <w:rFonts w:hint="cs"/>
          <w:rtl/>
        </w:rPr>
        <w:t>3</w:t>
      </w:r>
      <w:r w:rsidRPr="007F5F0F">
        <w:rPr>
          <w:rtl/>
        </w:rPr>
        <w:t>.2020)</w:t>
      </w:r>
      <w:r>
        <w:rPr>
          <w:rFonts w:hint="cs"/>
          <w:rtl/>
        </w:rPr>
        <w:t xml:space="preserve">, הידוע כעניין </w:t>
      </w:r>
      <w:r w:rsidRPr="007F5F0F">
        <w:rPr>
          <w:rFonts w:ascii="Century" w:hAnsi="Century" w:cs="Miriam" w:hint="cs"/>
          <w:b/>
          <w:spacing w:val="0"/>
          <w:sz w:val="22"/>
          <w:szCs w:val="24"/>
          <w:rtl/>
        </w:rPr>
        <w:t>אדלשטיין</w:t>
      </w:r>
      <w:r>
        <w:rPr>
          <w:rFonts w:hint="cs"/>
          <w:rtl/>
        </w:rPr>
        <w:t xml:space="preserve">. פסק-הדין עסק אמנם בסוגיה שונה לחלוטין, שאלת מינוי יו"ר כנסת קבוע, במקומו של חה"כ יולי אדלשטיין, אך זהו אחד מן הלקחים שניתן להפיק ממנו. לא אתייחס לשיקולים השונים שהובעו בפסק הדין, מה גם שאין זה ברור כלל ועיקר, האם התוצאה היתה שונה, אִילוּ התמונה המלאה היתה נפרסת לפני בית המשפט עובר למתן פסק הדין. התוצאה, על כל פנים, ברורה: פסק הדין </w:t>
      </w:r>
      <w:r>
        <w:rPr>
          <w:rFonts w:hint="cs"/>
          <w:rtl/>
        </w:rPr>
        <w:lastRenderedPageBreak/>
        <w:t>כמעט והכשיל את האפשרות להקמת ממשלת ישראל ה-35, מה שהיה גורר את ישראל למערכת בחירות רביעית ברציפות, בעיצומה של מגפת הקורונה. אותם משיבים שהיו מצויים בסוד העניין, לא יכלו לשתף את בית המשפט במשא-ומתן הסודי, שהתנהל אותה שעה בין ראש הממשלה בנימין נתניהו לחה"כ בני גנץ, על הקמתה של ממשלת חירום נוכח משבר הקורונה. ההחלטה להורות על קיומן של בחירות לתפקיד יו"ר הכנסת טרם הקמת קואליציה, שאותו לא ניתן להדיח לאחר מכן אלא ברוב של 90 חברי כנסת, כמעט סתמה את הגולל על הניסיון להרכיב ממשלת אחדות. רק ב'אלתור' של הרגע האחרון, נעשה 'תרגיל' פוליטי נוסף, שבמסגרתו מוּנה חה"כ גנץ ליו"ר הכנסת, לפרק זמן של ימים ספורים עד להשבעתו כראש הממשלה החלופי (ראו: יונתן גרין "</w:t>
      </w:r>
      <w:r w:rsidRPr="007F5F0F">
        <w:rPr>
          <w:rFonts w:hint="eastAsia"/>
          <w:rtl/>
        </w:rPr>
        <w:t>בג</w:t>
      </w:r>
      <w:r w:rsidRPr="007F5F0F">
        <w:rPr>
          <w:rtl/>
        </w:rPr>
        <w:t>"</w:t>
      </w:r>
      <w:r w:rsidRPr="007F5F0F">
        <w:rPr>
          <w:rFonts w:hint="eastAsia"/>
          <w:rtl/>
        </w:rPr>
        <w:t>ץ</w:t>
      </w:r>
      <w:r w:rsidRPr="007F5F0F">
        <w:rPr>
          <w:rtl/>
        </w:rPr>
        <w:t xml:space="preserve"> </w:t>
      </w:r>
      <w:r w:rsidRPr="007F5F0F">
        <w:rPr>
          <w:rFonts w:hint="eastAsia"/>
          <w:rtl/>
        </w:rPr>
        <w:t>אדלשטיין</w:t>
      </w:r>
      <w:r w:rsidRPr="007F5F0F">
        <w:rPr>
          <w:rtl/>
        </w:rPr>
        <w:t xml:space="preserve"> – </w:t>
      </w:r>
      <w:r w:rsidRPr="007F5F0F">
        <w:rPr>
          <w:rFonts w:hint="eastAsia"/>
          <w:rtl/>
        </w:rPr>
        <w:t>הערת</w:t>
      </w:r>
      <w:r w:rsidRPr="007F5F0F">
        <w:rPr>
          <w:rtl/>
        </w:rPr>
        <w:t xml:space="preserve"> </w:t>
      </w:r>
      <w:r w:rsidRPr="007F5F0F">
        <w:rPr>
          <w:rFonts w:hint="eastAsia"/>
          <w:rtl/>
        </w:rPr>
        <w:t>פסיקה</w:t>
      </w:r>
      <w:r>
        <w:rPr>
          <w:rFonts w:hint="cs"/>
          <w:rtl/>
        </w:rPr>
        <w:t xml:space="preserve">" </w:t>
      </w:r>
      <w:r w:rsidRPr="007F5F0F">
        <w:rPr>
          <w:rFonts w:ascii="Century" w:hAnsi="Century" w:cs="Miriam" w:hint="cs"/>
          <w:b/>
          <w:spacing w:val="0"/>
          <w:sz w:val="22"/>
          <w:szCs w:val="24"/>
          <w:rtl/>
        </w:rPr>
        <w:t>משפטים על אתר</w:t>
      </w:r>
      <w:r>
        <w:rPr>
          <w:rFonts w:hint="cs"/>
          <w:rtl/>
        </w:rPr>
        <w:t xml:space="preserve"> יז 90 (2022)). הא למדנו, כי גם אם בטוחים אנו שירדנו לעומק דעתו של המשיב, תמיד יכול להסתתר לו רובד נוסף, סמוי מן העין. כפרפרזה (על דברי הנשיא </w:t>
      </w:r>
      <w:r w:rsidRPr="00860EF1">
        <w:rPr>
          <w:rFonts w:ascii="Century" w:hAnsi="Century" w:cs="Miriam" w:hint="cs"/>
          <w:b/>
          <w:spacing w:val="0"/>
          <w:sz w:val="22"/>
          <w:szCs w:val="24"/>
          <w:rtl/>
        </w:rPr>
        <w:t>אולשן</w:t>
      </w:r>
      <w:r>
        <w:rPr>
          <w:rFonts w:hint="cs"/>
          <w:rtl/>
        </w:rPr>
        <w:t xml:space="preserve"> לגבי סנגור מוכשר), ניתן לומר כי </w:t>
      </w:r>
      <w:r w:rsidRPr="00860EF1">
        <w:rPr>
          <w:rFonts w:ascii="Century" w:hAnsi="Century" w:cs="Miriam" w:hint="cs"/>
          <w:b/>
          <w:spacing w:val="0"/>
          <w:sz w:val="22"/>
          <w:szCs w:val="24"/>
          <w:rtl/>
        </w:rPr>
        <w:t>'אין חקר לתבונתו של פוליטיקאי מוכשר'</w:t>
      </w:r>
      <w:r>
        <w:rPr>
          <w:rFonts w:hint="cs"/>
          <w:rtl/>
        </w:rPr>
        <w:t xml:space="preserve">. נוכח הטעמים האמורים, על-פי גישה זו, כל עוד מדובר בהחלטה שאינה פוגעת בזכות אדם כלשהי, ואין טענה שלפיה ההחלטה נתקבלה בניגוד עניינים תוך שקילת שיקול זר, או כל טענה מינהלית אחרת, אין מקום לבחון את רציותה של ההחלטה וסבירותה. תהא רמת חוסר-הסבירות, אשר תהא. אין בידינו כלים לעשות זאת.    </w:t>
      </w:r>
    </w:p>
    <w:p w:rsidR="00EB02E1" w:rsidRDefault="00EB02E1" w:rsidP="00EB02E1">
      <w:pPr>
        <w:pStyle w:val="Ruller41"/>
        <w:rPr>
          <w:rtl/>
        </w:rPr>
      </w:pPr>
    </w:p>
    <w:p w:rsidR="00EB02E1" w:rsidRDefault="00EB02E1" w:rsidP="00EB02E1">
      <w:pPr>
        <w:pStyle w:val="Ruller4"/>
        <w:rPr>
          <w:rtl/>
        </w:rPr>
      </w:pPr>
      <w:r>
        <w:rPr>
          <w:rFonts w:hint="cs"/>
          <w:rtl/>
        </w:rPr>
        <w:t xml:space="preserve">אעבור עתה לגישה השלישית, גישת הביניים, היא גישתו של הנשיא </w:t>
      </w:r>
      <w:r>
        <w:rPr>
          <w:rFonts w:ascii="Century" w:hAnsi="Century" w:cs="Miriam" w:hint="cs"/>
          <w:b/>
          <w:spacing w:val="0"/>
          <w:sz w:val="22"/>
          <w:szCs w:val="24"/>
          <w:rtl/>
        </w:rPr>
        <w:t xml:space="preserve">מ' </w:t>
      </w:r>
      <w:r w:rsidRPr="007F5F0F">
        <w:rPr>
          <w:rFonts w:ascii="Century" w:hAnsi="Century" w:cs="Miriam" w:hint="cs"/>
          <w:b/>
          <w:spacing w:val="0"/>
          <w:sz w:val="22"/>
          <w:szCs w:val="24"/>
          <w:rtl/>
        </w:rPr>
        <w:t>לנדוי</w:t>
      </w:r>
      <w:r>
        <w:rPr>
          <w:rFonts w:hint="cs"/>
          <w:rtl/>
        </w:rPr>
        <w:t xml:space="preserve">, כפי שהובעה בפסק הדין </w:t>
      </w:r>
      <w:r w:rsidRPr="007F5F0F">
        <w:rPr>
          <w:rFonts w:ascii="Century" w:hAnsi="Century" w:cs="Miriam" w:hint="cs"/>
          <w:b/>
          <w:spacing w:val="0"/>
          <w:sz w:val="22"/>
          <w:szCs w:val="24"/>
          <w:rtl/>
        </w:rPr>
        <w:t>דפי זהב</w:t>
      </w:r>
      <w:r>
        <w:rPr>
          <w:rFonts w:hint="cs"/>
          <w:rtl/>
        </w:rPr>
        <w:t xml:space="preserve">. בדרכו של הנשיא </w:t>
      </w:r>
      <w:r w:rsidRPr="007F5F0F">
        <w:rPr>
          <w:rFonts w:ascii="Century" w:hAnsi="Century" w:cs="Miriam" w:hint="cs"/>
          <w:b/>
          <w:spacing w:val="0"/>
          <w:sz w:val="22"/>
          <w:szCs w:val="24"/>
          <w:rtl/>
        </w:rPr>
        <w:t>לנדוי</w:t>
      </w:r>
      <w:r>
        <w:rPr>
          <w:rFonts w:hint="cs"/>
          <w:rtl/>
        </w:rPr>
        <w:t xml:space="preserve">, הלך גם הנשיא </w:t>
      </w:r>
      <w:r w:rsidRPr="007F5F0F">
        <w:rPr>
          <w:rFonts w:ascii="Century" w:hAnsi="Century" w:cs="Miriam" w:hint="cs"/>
          <w:b/>
          <w:spacing w:val="0"/>
          <w:sz w:val="22"/>
          <w:szCs w:val="24"/>
          <w:rtl/>
        </w:rPr>
        <w:t>א' גרוניס</w:t>
      </w:r>
      <w:r>
        <w:rPr>
          <w:rFonts w:ascii="Century" w:hAnsi="Century" w:cs="Miriam" w:hint="cs"/>
          <w:b/>
          <w:spacing w:val="0"/>
          <w:sz w:val="22"/>
          <w:szCs w:val="24"/>
          <w:rtl/>
        </w:rPr>
        <w:t xml:space="preserve"> </w:t>
      </w:r>
      <w:r>
        <w:rPr>
          <w:rFonts w:hint="cs"/>
          <w:rtl/>
        </w:rPr>
        <w:t>(</w:t>
      </w:r>
      <w:r>
        <w:rPr>
          <w:color w:val="000000"/>
          <w:sz w:val="27"/>
          <w:szCs w:val="27"/>
          <w:rtl/>
        </w:rPr>
        <w:t xml:space="preserve">בג"ץ 5853/07 </w:t>
      </w:r>
      <w:r w:rsidRPr="00376434">
        <w:rPr>
          <w:rFonts w:ascii="Century" w:hAnsi="Century" w:cs="Miriam"/>
          <w:b/>
          <w:spacing w:val="0"/>
          <w:sz w:val="22"/>
          <w:szCs w:val="24"/>
          <w:rtl/>
        </w:rPr>
        <w:t>אמונה תנועת האישה הדתית לאומית נ' ראש הממשלה</w:t>
      </w:r>
      <w:r>
        <w:rPr>
          <w:color w:val="000000"/>
          <w:sz w:val="27"/>
          <w:szCs w:val="27"/>
          <w:rtl/>
        </w:rPr>
        <w:t xml:space="preserve">, </w:t>
      </w:r>
      <w:r>
        <w:rPr>
          <w:rFonts w:hint="cs"/>
          <w:color w:val="000000"/>
          <w:sz w:val="27"/>
          <w:szCs w:val="27"/>
          <w:rtl/>
        </w:rPr>
        <w:t xml:space="preserve">פסקה 9 ופסקה 11 לחוות דעתו, פ"ד </w:t>
      </w:r>
      <w:r>
        <w:rPr>
          <w:color w:val="000000"/>
          <w:sz w:val="27"/>
          <w:szCs w:val="27"/>
          <w:rtl/>
        </w:rPr>
        <w:t>סב(3) 445</w:t>
      </w:r>
      <w:r>
        <w:rPr>
          <w:rFonts w:hint="cs"/>
          <w:color w:val="000000"/>
          <w:sz w:val="27"/>
          <w:szCs w:val="27"/>
          <w:rtl/>
        </w:rPr>
        <w:t xml:space="preserve"> (2007)</w:t>
      </w:r>
      <w:r>
        <w:rPr>
          <w:rFonts w:hint="cs"/>
          <w:rtl/>
        </w:rPr>
        <w:t>). זוהי גם עמדתי-שלי. גישה זו ממקדת את ביקורתה בעילת הסבירות ה'מהותית', נוסח 'דפי זהב'. היא חיה בשלום עם סבירות נוסח 'וונדסברי', אך מתנגדת לסבירות המהותית-איזונית. אותה הבחנה, שהוצעה על-ידי, בין הדרג הנבחר לדרג הממונה, נובעת גם היא מגישת-ביניים זו. הַצעתי, כאמור, היתה לילך בדרך של התפתחות פסיקתית, ולצמצם את השימוש בעילה, כך שבכל הנוגע להחלטות ממשלה ושׂריה, תופעל רק סבירות נוסח 'וונדסברי'; לא סבירות מהותית.</w:t>
      </w:r>
    </w:p>
    <w:p w:rsidR="00EB02E1" w:rsidRPr="008A26F1" w:rsidRDefault="00EB02E1" w:rsidP="00EB02E1">
      <w:pPr>
        <w:pStyle w:val="Ruller41"/>
      </w:pPr>
    </w:p>
    <w:p w:rsidR="00EB02E1" w:rsidRDefault="00EB02E1" w:rsidP="00EB02E1">
      <w:pPr>
        <w:pStyle w:val="Ruller4"/>
        <w:rPr>
          <w:rtl/>
        </w:rPr>
      </w:pPr>
      <w:r>
        <w:rPr>
          <w:rFonts w:hint="cs"/>
          <w:rtl/>
        </w:rPr>
        <w:t xml:space="preserve">אליבא דגישה זו, </w:t>
      </w:r>
      <w:r w:rsidRPr="008A26F1">
        <w:rPr>
          <w:rFonts w:hint="cs"/>
          <w:rtl/>
        </w:rPr>
        <w:t>שתי בעיות</w:t>
      </w:r>
      <w:r>
        <w:rPr>
          <w:rFonts w:hint="cs"/>
          <w:rtl/>
        </w:rPr>
        <w:t>, דומות אך</w:t>
      </w:r>
      <w:r w:rsidRPr="008A26F1">
        <w:rPr>
          <w:rFonts w:hint="cs"/>
          <w:rtl/>
        </w:rPr>
        <w:t xml:space="preserve"> </w:t>
      </w:r>
      <w:r>
        <w:rPr>
          <w:rFonts w:hint="cs"/>
          <w:rtl/>
        </w:rPr>
        <w:t xml:space="preserve">שונות, </w:t>
      </w:r>
      <w:r w:rsidRPr="008A26F1">
        <w:rPr>
          <w:rFonts w:hint="cs"/>
          <w:rtl/>
        </w:rPr>
        <w:t xml:space="preserve">מעוררת עילת הסבירות המהותית. הראשונה, היא החשש מפני הכרעה בעלת 'יסוד סובייקטיבי'. </w:t>
      </w:r>
      <w:r w:rsidRPr="008A26F1">
        <w:rPr>
          <w:rFonts w:ascii="Century" w:hAnsi="Century" w:cs="Miriam" w:hint="cs"/>
          <w:b/>
          <w:spacing w:val="0"/>
          <w:sz w:val="22"/>
          <w:szCs w:val="24"/>
          <w:rtl/>
        </w:rPr>
        <w:t>"</w:t>
      </w:r>
      <w:r w:rsidRPr="008A26F1">
        <w:rPr>
          <w:rFonts w:ascii="Century" w:hAnsi="Century" w:cs="Miriam" w:hint="eastAsia"/>
          <w:b/>
          <w:spacing w:val="0"/>
          <w:sz w:val="22"/>
          <w:szCs w:val="24"/>
          <w:rtl/>
        </w:rPr>
        <w:t>התוצאה</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היא</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שבית</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המשפט</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מכריע</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בשאלות</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שבמחלוקת</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על</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פי</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דעותיהם</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ותחושות</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הצדק</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של</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שופטי</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ההרכב</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החשש</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הוא</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שדבר</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זה</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עלול</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להביא</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לוויתור</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על</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כל</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אמות</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מידה</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משפטיות</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אובייקטיביות</w:t>
      </w:r>
      <w:r w:rsidRPr="008A26F1">
        <w:rPr>
          <w:rFonts w:ascii="Century" w:hAnsi="Century" w:cs="Miriam" w:hint="cs"/>
          <w:b/>
          <w:spacing w:val="0"/>
          <w:sz w:val="22"/>
          <w:szCs w:val="24"/>
          <w:rtl/>
        </w:rPr>
        <w:t>"</w:t>
      </w:r>
      <w:r w:rsidRPr="008A26F1">
        <w:rPr>
          <w:rFonts w:hint="cs"/>
          <w:rtl/>
        </w:rPr>
        <w:t xml:space="preserve"> (</w:t>
      </w:r>
      <w:r w:rsidRPr="008A26F1">
        <w:rPr>
          <w:rFonts w:ascii="Century" w:hAnsi="Century" w:cs="Miriam" w:hint="cs"/>
          <w:b/>
          <w:spacing w:val="0"/>
          <w:sz w:val="22"/>
          <w:szCs w:val="24"/>
          <w:rtl/>
        </w:rPr>
        <w:t>מאמר השילוח</w:t>
      </w:r>
      <w:r>
        <w:rPr>
          <w:rFonts w:hint="cs"/>
          <w:rtl/>
        </w:rPr>
        <w:t>)</w:t>
      </w:r>
      <w:r w:rsidRPr="008A26F1">
        <w:rPr>
          <w:szCs w:val="22"/>
          <w:rtl/>
        </w:rPr>
        <w:t>.</w:t>
      </w:r>
      <w:r>
        <w:rPr>
          <w:rFonts w:hint="cs"/>
          <w:rtl/>
        </w:rPr>
        <w:t xml:space="preserve"> בעיה נוספת, חמורה לא פחות, היא החשש מפני 'ריצה' לכיוונה של עילת הסבירות, כפתרון קל וזמין, על אף שישנן עילות אחרות שניתן לעשות בהן שימוש. תופעה מעין זו </w:t>
      </w:r>
      <w:r>
        <w:rPr>
          <w:rtl/>
        </w:rPr>
        <w:t>–</w:t>
      </w:r>
      <w:r>
        <w:rPr>
          <w:rFonts w:hint="cs"/>
          <w:rtl/>
        </w:rPr>
        <w:t xml:space="preserve"> מתרחשת לעיתים קרובות, ומחירה יקר. שימוש תדיר בעילת הסבירות, </w:t>
      </w:r>
      <w:r>
        <w:rPr>
          <w:rFonts w:hint="cs"/>
          <w:rtl/>
        </w:rPr>
        <w:lastRenderedPageBreak/>
        <w:t xml:space="preserve">עשוי לגרום לפגיעה ב'אמון הציבור' בבית המשפט, נוסף על הפגיעה שעשויה להיגרם כעת, בעטיה של 'המהפכה העל-חוקתית', שמבצבצת מבין דפיו של פסק דין זה. אֵמון הציבור, </w:t>
      </w:r>
      <w:r w:rsidRPr="002A5170">
        <w:rPr>
          <w:rFonts w:ascii="Century" w:hAnsi="Century" w:cs="Miriam" w:hint="cs"/>
          <w:b/>
          <w:spacing w:val="0"/>
          <w:sz w:val="22"/>
          <w:szCs w:val="24"/>
          <w:rtl/>
        </w:rPr>
        <w:t xml:space="preserve">'קשה לקנותו כזהב </w:t>
      </w:r>
      <w:r w:rsidRPr="0061086A">
        <w:rPr>
          <w:rFonts w:ascii="Century" w:hAnsi="Century"/>
          <w:sz w:val="22"/>
          <w:rtl/>
        </w:rPr>
        <w:t>–</w:t>
      </w:r>
      <w:r w:rsidRPr="002A5170">
        <w:rPr>
          <w:rFonts w:ascii="Century" w:hAnsi="Century" w:cs="Miriam" w:hint="cs"/>
          <w:b/>
          <w:spacing w:val="0"/>
          <w:sz w:val="22"/>
          <w:szCs w:val="24"/>
          <w:rtl/>
        </w:rPr>
        <w:t xml:space="preserve"> נוח לאבדו ככלי זכוכית' </w:t>
      </w:r>
      <w:r>
        <w:rPr>
          <w:rFonts w:hint="cs"/>
          <w:rtl/>
        </w:rPr>
        <w:t xml:space="preserve">(ע"פ ספרי דברים יא, כב), עלינו לשמור עליו מכל משמר. </w:t>
      </w:r>
    </w:p>
    <w:p w:rsidR="00EB02E1" w:rsidRPr="008A26F1" w:rsidRDefault="00EB02E1" w:rsidP="00EB02E1">
      <w:pPr>
        <w:pStyle w:val="Ruller41"/>
        <w:rPr>
          <w:rtl/>
        </w:rPr>
      </w:pPr>
    </w:p>
    <w:p w:rsidR="00EB02E1" w:rsidRDefault="00EB02E1" w:rsidP="00EB02E1">
      <w:pPr>
        <w:pStyle w:val="Ruller4"/>
        <w:rPr>
          <w:rtl/>
        </w:rPr>
      </w:pPr>
      <w:r>
        <w:rPr>
          <w:rFonts w:hint="cs"/>
          <w:rtl/>
        </w:rPr>
        <w:t xml:space="preserve">לאחר שעמדנו על הקשיים שמעוררת עילת הסבירות המהותית, מגיעים אנו, לאותה הבחנה חשובה בין ריסון פסיקתי לריסון חקיקתי. כאמור, אילו היינו פועלים בזמן, ומסיגים את עילת הסבירות מעט לאחור, הרי שניתן היה לדעתי להסתפק באותו תיקון פסיקתי, לעצבוֹ ולמרקוֹ. הדבר לא הסתייע, וכך הגענו למסלול החקיקתי, השונה באופן מהותי מהמסלול הפסיקתי. במסגרת המסלול הפסיקתי מדובר ב'ריסון עצמי', שבו הסמכות נותרת בידי בית המשפט. גם אם אינה מופעלת, היא מייצרת 'אפקט מצנן' שעשוי להועיל. הבדל נוסף: במסלול הפסיקתי ישנה משמעות, גם אם מסויגת, לביטולה של עילת הסבירות ה'מהותית', והותרתה במקביל של עילת הסבירות הוותיקה 'נוסח וונדסברי'. יש הטוענים, כי מהלך חלקי שכזה יִוותר חסר משמעות, משום שהשופטים עלולים לעשות 'שימוש שלא לטובה' בעילה הוותיקה, כדי להפעיל באמצעותה את עילת הסבירות ה'מהותית' שבוטלה. על כך ניתן להשיב, כי ככל שהמגבלה היא מגבלה עצמית, אין טעם 'להתחבא' מאחורי העילה נוסח 'וונדסברי'. אם חפצים השופטים לעשות שימוש בעילה ה'מהותית' </w:t>
      </w:r>
      <w:r>
        <w:rPr>
          <w:rtl/>
        </w:rPr>
        <w:t>–</w:t>
      </w:r>
      <w:r>
        <w:rPr>
          <w:rFonts w:hint="cs"/>
          <w:rtl/>
        </w:rPr>
        <w:t xml:space="preserve"> יכולים הם לעשות כן בגלוי, איש לא ימנע מהם לעשות זאת. </w:t>
      </w:r>
    </w:p>
    <w:p w:rsidR="00EB02E1" w:rsidRDefault="00EB02E1" w:rsidP="00EB02E1">
      <w:pPr>
        <w:pStyle w:val="Ruller41"/>
        <w:rPr>
          <w:rtl/>
        </w:rPr>
      </w:pPr>
    </w:p>
    <w:p w:rsidR="00EB02E1" w:rsidRDefault="00EB02E1" w:rsidP="00EB02E1">
      <w:pPr>
        <w:pStyle w:val="Ruller4"/>
        <w:rPr>
          <w:rtl/>
        </w:rPr>
      </w:pPr>
      <w:r>
        <w:rPr>
          <w:rFonts w:hint="cs"/>
          <w:rtl/>
        </w:rPr>
        <w:t xml:space="preserve">לא כך הוא במסלול החקיקתי, שבו בחרה הרשות המכוננת. משמעותו של הליך חקיקתי היא, כי חברי הרשות המכוננת מבקשים 'לקרוא אותנו לסדר', ולכפות עלינו את צמצום השימוש בעילת הסבירות המהותית, בכל הנוגע להחלטות הממשלה ושׂריה. השופטים עודם עומדים על דעתם כי אין מקום לצמצם את השימוש בעילת הסבירות. הם עורכים אותו צמצום 'כמי שכפאם שד', אך בשל אותו דבר-חיקוק היוצא מפי הרשות המכוננת, שלהוראותיה מצוּוים אנו לציית, ללא כחל ושרק. ככל שאֵלו הם פני הדברים, אזי אפשר לטעון כי שוב לא ניתן להסתפק בביטולה של העילה ה'מהותית'. ללא הגבלה גורפת, גם על שימוש בסבירות נוסח 'וונדסברי' </w:t>
      </w:r>
      <w:r>
        <w:rPr>
          <w:rtl/>
        </w:rPr>
        <w:t>–</w:t>
      </w:r>
      <w:r>
        <w:rPr>
          <w:rFonts w:hint="cs"/>
          <w:rtl/>
        </w:rPr>
        <w:t xml:space="preserve"> לא הועלנו דבר. ככל שמדובר במהלך ש'הוּנחת' מעל ראשם של השופטים, אזי כדי להתגבר עליו, כל שיהא על השופטים לעשות הוא לשנות מעט את הרטוריקה של פסק הדין, ולהכריז על כך שההחלטה כה 'מופרכת' עד ששום ממשלה סבירה לא היתה יכולה לקבל כזו החלטה; הא ותו לא. </w:t>
      </w:r>
    </w:p>
    <w:p w:rsidR="00EB02E1" w:rsidRDefault="00EB02E1" w:rsidP="00EB02E1">
      <w:pPr>
        <w:pStyle w:val="Ruller41"/>
        <w:rPr>
          <w:rtl/>
        </w:rPr>
      </w:pPr>
    </w:p>
    <w:p w:rsidR="00EB02E1" w:rsidRDefault="00EB02E1" w:rsidP="00EB02E1">
      <w:pPr>
        <w:pStyle w:val="Ruller4"/>
        <w:textAlignment w:val="auto"/>
        <w:rPr>
          <w:rtl/>
        </w:rPr>
      </w:pPr>
      <w:r>
        <w:rPr>
          <w:rFonts w:hint="cs"/>
          <w:rtl/>
        </w:rPr>
        <w:t>מי שחזר על טיעון זה, שוב ושוב, במהלך הדיונים בוועדת החוקה, חוק ומשפט, הוא יו"ר הוועדה, חה"כ רוטמן, שאמר כך</w:t>
      </w:r>
      <w:r>
        <w:rPr>
          <w:rtl/>
        </w:rPr>
        <w:t xml:space="preserve">: </w:t>
      </w:r>
      <w:r w:rsidRPr="0042556C">
        <w:rPr>
          <w:rFonts w:ascii="Century" w:hAnsi="Century" w:cs="Miriam"/>
          <w:b/>
          <w:spacing w:val="0"/>
          <w:sz w:val="22"/>
          <w:szCs w:val="24"/>
          <w:rtl/>
        </w:rPr>
        <w:t xml:space="preserve">"אין דרך למתוח את הקו בין אי-סבירות קיצונית </w:t>
      </w:r>
      <w:r w:rsidRPr="0042556C">
        <w:rPr>
          <w:rFonts w:ascii="Century" w:hAnsi="Century" w:cs="Miriam"/>
          <w:b/>
          <w:spacing w:val="0"/>
          <w:sz w:val="22"/>
          <w:szCs w:val="24"/>
          <w:rtl/>
        </w:rPr>
        <w:lastRenderedPageBreak/>
        <w:t xml:space="preserve">לאי-סבירות </w:t>
      </w:r>
      <w:r>
        <w:rPr>
          <w:rFonts w:ascii="Century" w:hAnsi="Century" w:cs="Miriam"/>
          <w:b/>
          <w:spacing w:val="0"/>
          <w:sz w:val="22"/>
          <w:szCs w:val="24"/>
          <w:rtl/>
        </w:rPr>
        <w:t>לא קיצונית. אין דרך לעשות את זה</w:t>
      </w:r>
      <w:r w:rsidRPr="0042556C">
        <w:rPr>
          <w:rFonts w:ascii="Century" w:hAnsi="Century" w:cs="Miriam"/>
          <w:b/>
          <w:spacing w:val="0"/>
          <w:sz w:val="22"/>
          <w:szCs w:val="24"/>
          <w:rtl/>
        </w:rPr>
        <w:t>"</w:t>
      </w:r>
      <w:r w:rsidRPr="0042556C">
        <w:rPr>
          <w:rtl/>
        </w:rPr>
        <w:t xml:space="preserve"> </w:t>
      </w:r>
      <w:r>
        <w:rPr>
          <w:rtl/>
        </w:rPr>
        <w:t>(פרוטוקול ישיבה 105 של ועדת החוקה, חוק ומשפט, הכנסת ה-25, 113 (25.6.2023)</w:t>
      </w:r>
      <w:r>
        <w:rPr>
          <w:rFonts w:hint="cs"/>
          <w:rtl/>
        </w:rPr>
        <w:t>; ב</w:t>
      </w:r>
      <w:r>
        <w:rPr>
          <w:rtl/>
        </w:rPr>
        <w:t xml:space="preserve">דיון במליאת הכנסת לקראת </w:t>
      </w:r>
      <w:r>
        <w:rPr>
          <w:rFonts w:hint="cs"/>
          <w:rtl/>
        </w:rPr>
        <w:t>ה</w:t>
      </w:r>
      <w:r>
        <w:rPr>
          <w:rtl/>
        </w:rPr>
        <w:t xml:space="preserve">קריאה </w:t>
      </w:r>
      <w:r>
        <w:rPr>
          <w:rFonts w:hint="cs"/>
          <w:rtl/>
        </w:rPr>
        <w:t>ה</w:t>
      </w:r>
      <w:r>
        <w:rPr>
          <w:rtl/>
        </w:rPr>
        <w:t>שניה ו</w:t>
      </w:r>
      <w:r>
        <w:rPr>
          <w:rFonts w:hint="cs"/>
          <w:rtl/>
        </w:rPr>
        <w:t>ה</w:t>
      </w:r>
      <w:r>
        <w:rPr>
          <w:rtl/>
        </w:rPr>
        <w:t>שלישית</w:t>
      </w:r>
      <w:r>
        <w:rPr>
          <w:rFonts w:hint="cs"/>
          <w:rtl/>
        </w:rPr>
        <w:t xml:space="preserve"> חזר על דברים אלו פעם נוספת</w:t>
      </w:r>
      <w:r>
        <w:rPr>
          <w:rtl/>
        </w:rPr>
        <w:t xml:space="preserve">: </w:t>
      </w:r>
      <w:r w:rsidRPr="0042556C">
        <w:rPr>
          <w:rFonts w:ascii="Century" w:hAnsi="Century" w:cs="Miriam"/>
          <w:b/>
          <w:spacing w:val="0"/>
          <w:sz w:val="22"/>
          <w:szCs w:val="24"/>
          <w:rtl/>
        </w:rPr>
        <w:t>"אחרים הציעו לחזור לעילת האי-סבירות הקיצונית של וודנסברי, אלא שפתרון זה, כפי שהעירו רבים, לא הוכיח את עצמו, שהרי</w:t>
      </w:r>
      <w:r>
        <w:rPr>
          <w:rFonts w:ascii="Century" w:hAnsi="Century" w:cs="Miriam"/>
          <w:b/>
          <w:spacing w:val="0"/>
          <w:sz w:val="22"/>
          <w:szCs w:val="24"/>
          <w:rtl/>
        </w:rPr>
        <w:t xml:space="preserve"> השופט אהרן ברק בעצמו בפסק דין </w:t>
      </w:r>
      <w:r>
        <w:rPr>
          <w:rFonts w:ascii="Century" w:hAnsi="Century" w:cs="Miriam" w:hint="cs"/>
          <w:b/>
          <w:spacing w:val="0"/>
          <w:sz w:val="22"/>
          <w:szCs w:val="24"/>
          <w:rtl/>
        </w:rPr>
        <w:t>'</w:t>
      </w:r>
      <w:r w:rsidRPr="0042556C">
        <w:rPr>
          <w:rFonts w:ascii="Century" w:hAnsi="Century" w:cs="Miriam"/>
          <w:b/>
          <w:spacing w:val="0"/>
          <w:sz w:val="22"/>
          <w:szCs w:val="24"/>
          <w:rtl/>
        </w:rPr>
        <w:t>דפי זה</w:t>
      </w:r>
      <w:r>
        <w:rPr>
          <w:rFonts w:ascii="Century" w:hAnsi="Century" w:cs="Miriam"/>
          <w:b/>
          <w:spacing w:val="0"/>
          <w:sz w:val="22"/>
          <w:szCs w:val="24"/>
          <w:rtl/>
        </w:rPr>
        <w:t>ב</w:t>
      </w:r>
      <w:r>
        <w:rPr>
          <w:rFonts w:ascii="Century" w:hAnsi="Century" w:cs="Miriam" w:hint="cs"/>
          <w:b/>
          <w:spacing w:val="0"/>
          <w:sz w:val="22"/>
          <w:szCs w:val="24"/>
          <w:rtl/>
        </w:rPr>
        <w:t>'</w:t>
      </w:r>
      <w:r w:rsidRPr="0042556C">
        <w:rPr>
          <w:rFonts w:ascii="Century" w:hAnsi="Century" w:cs="Miriam"/>
          <w:b/>
          <w:spacing w:val="0"/>
          <w:sz w:val="22"/>
          <w:szCs w:val="24"/>
          <w:rtl/>
        </w:rPr>
        <w:t xml:space="preserve"> טען שהסתמך על עילת האי-סבירות הקיצונית. משכך, נדרש פתרון יעיל אחר, כזה שימנע את הישנותה של הרח</w:t>
      </w:r>
      <w:r>
        <w:rPr>
          <w:rFonts w:ascii="Century" w:hAnsi="Century" w:cs="Miriam"/>
          <w:b/>
          <w:spacing w:val="0"/>
          <w:sz w:val="22"/>
          <w:szCs w:val="24"/>
          <w:rtl/>
        </w:rPr>
        <w:t>בת עילת הסבירות לממדיה הנוכחיים</w:t>
      </w:r>
      <w:r w:rsidRPr="0042556C">
        <w:rPr>
          <w:rFonts w:ascii="Century" w:hAnsi="Century" w:cs="Miriam"/>
          <w:b/>
          <w:spacing w:val="0"/>
          <w:sz w:val="22"/>
          <w:szCs w:val="24"/>
          <w:rtl/>
        </w:rPr>
        <w:t>"</w:t>
      </w:r>
      <w:r w:rsidRPr="0042556C">
        <w:rPr>
          <w:rtl/>
        </w:rPr>
        <w:t xml:space="preserve"> </w:t>
      </w:r>
      <w:r>
        <w:rPr>
          <w:rtl/>
        </w:rPr>
        <w:t>(פרוטוקול ישיבה 97 של הכנסת</w:t>
      </w:r>
      <w:r>
        <w:rPr>
          <w:rFonts w:hint="cs"/>
          <w:rtl/>
        </w:rPr>
        <w:t xml:space="preserve"> ה-25</w:t>
      </w:r>
      <w:r>
        <w:rPr>
          <w:rtl/>
        </w:rPr>
        <w:t>, 551 (23.7.2023)</w:t>
      </w:r>
      <w:r>
        <w:rPr>
          <w:rFonts w:hint="cs"/>
          <w:rtl/>
        </w:rPr>
        <w:t xml:space="preserve">). גם בדיון שהתקיים לפנינו, דבק יו"ר הוועדה חה"כ רוטמן בטיעון זה (ראו: בעמ' 39-37 לפרוטוקול הדיון מיום 12.9.2023). טיעון מעין זה, מלמד לכאורה כי בניגוד לרושם שנוצר, חה"כ רוטמן מחזיק אף הוא בעמדת-הביניים שהצגתי לעיל. אמנם, בכל הקשור לממשלה ושׂריה, הציע חה"כ רוטמן הסדר דומה לזה של פרופ' </w:t>
      </w:r>
      <w:r w:rsidRPr="0042556C">
        <w:rPr>
          <w:rFonts w:ascii="Century" w:hAnsi="Century" w:cs="Miriam" w:hint="cs"/>
          <w:b/>
          <w:spacing w:val="0"/>
          <w:sz w:val="22"/>
          <w:szCs w:val="24"/>
          <w:rtl/>
        </w:rPr>
        <w:t>פרידמן</w:t>
      </w:r>
      <w:r>
        <w:rPr>
          <w:rFonts w:hint="cs"/>
          <w:rtl/>
        </w:rPr>
        <w:t xml:space="preserve">, אולם הרציונל שהנחה את חה"כ רוטמן בניסוחו של חוק-היסוד, אינו נובע מגישת פרופ' </w:t>
      </w:r>
      <w:r w:rsidRPr="0042556C">
        <w:rPr>
          <w:rFonts w:ascii="Century" w:hAnsi="Century" w:cs="Miriam" w:hint="cs"/>
          <w:b/>
          <w:spacing w:val="0"/>
          <w:sz w:val="22"/>
          <w:szCs w:val="24"/>
          <w:rtl/>
        </w:rPr>
        <w:t>פרידמן</w:t>
      </w:r>
      <w:r>
        <w:rPr>
          <w:rFonts w:hint="cs"/>
          <w:rtl/>
        </w:rPr>
        <w:t xml:space="preserve">, אלא מנימוקים אחרים, אינסטרומנטליים. הוא איננו חולק על כך שכעיקרון, מוטב היה לוּ היינו מפעילים את עילת הסבירות, במובנה הצר, נוסח 'וונדסברי', גם על עניינם של הממשלה ושׂריה. אך כאמור, לעמדתו, לא ניתן לעשות זאת מבלי לחשוש מפני הפעלתה של העילה הרחבה, המהותית. המסלול החקיקתי אינו מאפשר, לשיטתו, לילך בדרך האמצע; הוא מוביל אותנו, בעל-כורחנו, למצב של 'הכול או כלום', וכופה עלינו לבחור בין 'הכול' לבין 'כלום', איש איש לפי דרכו. </w:t>
      </w:r>
    </w:p>
    <w:p w:rsidR="00EB02E1" w:rsidRDefault="00EB02E1" w:rsidP="00EB02E1">
      <w:pPr>
        <w:pStyle w:val="Ruller41"/>
        <w:rPr>
          <w:rtl/>
        </w:rPr>
      </w:pPr>
    </w:p>
    <w:p w:rsidR="00EB02E1" w:rsidRPr="008A26F1" w:rsidRDefault="00EB02E1" w:rsidP="00EB02E1">
      <w:pPr>
        <w:pStyle w:val="Ruller4"/>
        <w:rPr>
          <w:rtl/>
        </w:rPr>
      </w:pPr>
      <w:r>
        <w:rPr>
          <w:rFonts w:hint="cs"/>
          <w:rtl/>
        </w:rPr>
        <w:t xml:space="preserve">למדנו אפוא, כי קביעתה של הגבלה חקיקתית, מעוררת קשיים ואתגרים מסוג שונה לגמרי, מאֵלו המתעוררים מהגבלה עצמית שמקורה בפסיקה. זוהי, אם כן, </w:t>
      </w:r>
      <w:r w:rsidRPr="008A26F1">
        <w:rPr>
          <w:rFonts w:hint="eastAsia"/>
          <w:rtl/>
        </w:rPr>
        <w:t>פִּשְׁרָהּ</w:t>
      </w:r>
      <w:r>
        <w:rPr>
          <w:rFonts w:hint="cs"/>
          <w:rtl/>
        </w:rPr>
        <w:t xml:space="preserve"> של אותה 'הסתייגות' (בתשובתי לשאילתא, כאמור בפסקה 178 לעיל) שלפיה </w:t>
      </w:r>
      <w:r>
        <w:rPr>
          <w:rFonts w:ascii="Century" w:hAnsi="Century" w:cs="Miriam" w:hint="cs"/>
          <w:b/>
          <w:spacing w:val="0"/>
          <w:szCs w:val="24"/>
          <w:rtl/>
        </w:rPr>
        <w:t>"</w:t>
      </w:r>
      <w:r w:rsidRPr="00646423">
        <w:rPr>
          <w:rFonts w:ascii="Century" w:hAnsi="Century" w:cs="Miriam" w:hint="eastAsia"/>
          <w:b/>
          <w:spacing w:val="0"/>
          <w:szCs w:val="24"/>
          <w:rtl/>
        </w:rPr>
        <w:t>לא</w:t>
      </w:r>
      <w:r w:rsidRPr="00646423">
        <w:rPr>
          <w:rFonts w:ascii="Century" w:hAnsi="Century" w:cs="Miriam"/>
          <w:b/>
          <w:spacing w:val="0"/>
          <w:szCs w:val="24"/>
          <w:rtl/>
        </w:rPr>
        <w:t xml:space="preserve"> </w:t>
      </w:r>
      <w:r w:rsidRPr="00646423">
        <w:rPr>
          <w:rFonts w:ascii="Century" w:hAnsi="Century" w:cs="Miriam" w:hint="eastAsia"/>
          <w:b/>
          <w:spacing w:val="0"/>
          <w:szCs w:val="24"/>
          <w:rtl/>
        </w:rPr>
        <w:t>חשבתי</w:t>
      </w:r>
      <w:r w:rsidRPr="00646423">
        <w:rPr>
          <w:rFonts w:ascii="Century" w:hAnsi="Century" w:cs="Miriam"/>
          <w:b/>
          <w:spacing w:val="0"/>
          <w:szCs w:val="24"/>
          <w:rtl/>
        </w:rPr>
        <w:t xml:space="preserve"> </w:t>
      </w:r>
      <w:r w:rsidRPr="00646423">
        <w:rPr>
          <w:rFonts w:ascii="Century" w:hAnsi="Century" w:cs="Miriam" w:hint="eastAsia"/>
          <w:b/>
          <w:spacing w:val="0"/>
          <w:szCs w:val="24"/>
          <w:rtl/>
        </w:rPr>
        <w:t>אז</w:t>
      </w:r>
      <w:r w:rsidRPr="00646423">
        <w:rPr>
          <w:rFonts w:ascii="Century" w:hAnsi="Century" w:cs="Miriam"/>
          <w:b/>
          <w:spacing w:val="0"/>
          <w:szCs w:val="24"/>
          <w:rtl/>
        </w:rPr>
        <w:t xml:space="preserve">, </w:t>
      </w:r>
      <w:r w:rsidRPr="00646423">
        <w:rPr>
          <w:rFonts w:ascii="Century" w:hAnsi="Century" w:cs="Miriam" w:hint="eastAsia"/>
          <w:b/>
          <w:spacing w:val="0"/>
          <w:szCs w:val="24"/>
          <w:rtl/>
        </w:rPr>
        <w:t>לפני</w:t>
      </w:r>
      <w:r w:rsidRPr="00646423">
        <w:rPr>
          <w:rFonts w:ascii="Century" w:hAnsi="Century" w:cs="Miriam"/>
          <w:b/>
          <w:spacing w:val="0"/>
          <w:szCs w:val="24"/>
          <w:rtl/>
        </w:rPr>
        <w:t xml:space="preserve"> 3 </w:t>
      </w:r>
      <w:r w:rsidRPr="00646423">
        <w:rPr>
          <w:rFonts w:ascii="Century" w:hAnsi="Century" w:cs="Miriam" w:hint="eastAsia"/>
          <w:b/>
          <w:spacing w:val="0"/>
          <w:szCs w:val="24"/>
          <w:rtl/>
        </w:rPr>
        <w:t>וחצי</w:t>
      </w:r>
      <w:r w:rsidRPr="00646423">
        <w:rPr>
          <w:rFonts w:ascii="Century" w:hAnsi="Century" w:cs="Miriam"/>
          <w:b/>
          <w:spacing w:val="0"/>
          <w:szCs w:val="24"/>
          <w:rtl/>
        </w:rPr>
        <w:t xml:space="preserve"> </w:t>
      </w:r>
      <w:r w:rsidRPr="00646423">
        <w:rPr>
          <w:rFonts w:ascii="Century" w:hAnsi="Century" w:cs="Miriam" w:hint="eastAsia"/>
          <w:b/>
          <w:spacing w:val="0"/>
          <w:szCs w:val="24"/>
          <w:rtl/>
        </w:rPr>
        <w:t>שנים</w:t>
      </w:r>
      <w:r w:rsidRPr="00646423">
        <w:rPr>
          <w:rFonts w:ascii="Century" w:hAnsi="Century" w:cs="Miriam"/>
          <w:b/>
          <w:spacing w:val="0"/>
          <w:szCs w:val="24"/>
          <w:rtl/>
        </w:rPr>
        <w:t xml:space="preserve">, </w:t>
      </w:r>
      <w:r w:rsidRPr="00646423">
        <w:rPr>
          <w:rFonts w:ascii="Century" w:hAnsi="Century" w:cs="Miriam" w:hint="eastAsia"/>
          <w:b/>
          <w:spacing w:val="0"/>
          <w:szCs w:val="24"/>
          <w:rtl/>
        </w:rPr>
        <w:t>באותה</w:t>
      </w:r>
      <w:r w:rsidRPr="00646423">
        <w:rPr>
          <w:rFonts w:ascii="Century" w:hAnsi="Century" w:cs="Miriam"/>
          <w:b/>
          <w:spacing w:val="0"/>
          <w:szCs w:val="24"/>
          <w:rtl/>
        </w:rPr>
        <w:t xml:space="preserve"> </w:t>
      </w:r>
      <w:r w:rsidRPr="00646423">
        <w:rPr>
          <w:rFonts w:ascii="Century" w:hAnsi="Century" w:cs="Miriam" w:hint="eastAsia"/>
          <w:b/>
          <w:spacing w:val="0"/>
          <w:szCs w:val="24"/>
          <w:rtl/>
        </w:rPr>
        <w:t>הרצאה</w:t>
      </w:r>
      <w:r w:rsidRPr="00646423">
        <w:rPr>
          <w:rFonts w:ascii="Century" w:hAnsi="Century" w:cs="Miriam"/>
          <w:b/>
          <w:spacing w:val="0"/>
          <w:szCs w:val="24"/>
          <w:rtl/>
        </w:rPr>
        <w:t xml:space="preserve">, </w:t>
      </w:r>
      <w:r w:rsidRPr="00646423">
        <w:rPr>
          <w:rFonts w:ascii="Century" w:hAnsi="Century" w:cs="Miriam" w:hint="eastAsia"/>
          <w:b/>
          <w:spacing w:val="0"/>
          <w:szCs w:val="24"/>
          <w:rtl/>
        </w:rPr>
        <w:t>על</w:t>
      </w:r>
      <w:r w:rsidRPr="00646423">
        <w:rPr>
          <w:rFonts w:ascii="Century" w:hAnsi="Century" w:cs="Miriam"/>
          <w:b/>
          <w:spacing w:val="0"/>
          <w:szCs w:val="24"/>
          <w:rtl/>
        </w:rPr>
        <w:t xml:space="preserve"> </w:t>
      </w:r>
      <w:r w:rsidRPr="00646423">
        <w:rPr>
          <w:rFonts w:ascii="Century" w:hAnsi="Century" w:cs="Miriam" w:hint="eastAsia"/>
          <w:b/>
          <w:spacing w:val="0"/>
          <w:szCs w:val="24"/>
          <w:rtl/>
        </w:rPr>
        <w:t>תיקון</w:t>
      </w:r>
      <w:r w:rsidRPr="00646423">
        <w:rPr>
          <w:rFonts w:ascii="Century" w:hAnsi="Century" w:cs="Miriam"/>
          <w:b/>
          <w:spacing w:val="0"/>
          <w:szCs w:val="24"/>
          <w:rtl/>
        </w:rPr>
        <w:t xml:space="preserve"> </w:t>
      </w:r>
      <w:r w:rsidRPr="00646423">
        <w:rPr>
          <w:rFonts w:ascii="Century" w:hAnsi="Century" w:cs="Miriam" w:hint="eastAsia"/>
          <w:b/>
          <w:spacing w:val="0"/>
          <w:szCs w:val="24"/>
          <w:rtl/>
        </w:rPr>
        <w:t>בדרך</w:t>
      </w:r>
      <w:r w:rsidRPr="00646423">
        <w:rPr>
          <w:rFonts w:ascii="Century" w:hAnsi="Century" w:cs="Miriam"/>
          <w:b/>
          <w:spacing w:val="0"/>
          <w:szCs w:val="24"/>
          <w:rtl/>
        </w:rPr>
        <w:t xml:space="preserve"> </w:t>
      </w:r>
      <w:r w:rsidRPr="00646423">
        <w:rPr>
          <w:rFonts w:ascii="Century" w:hAnsi="Century" w:cs="Miriam" w:hint="eastAsia"/>
          <w:b/>
          <w:spacing w:val="0"/>
          <w:szCs w:val="24"/>
          <w:rtl/>
        </w:rPr>
        <w:t>של</w:t>
      </w:r>
      <w:r w:rsidRPr="00646423">
        <w:rPr>
          <w:rFonts w:ascii="Century" w:hAnsi="Century" w:cs="Miriam"/>
          <w:b/>
          <w:spacing w:val="0"/>
          <w:szCs w:val="24"/>
          <w:rtl/>
        </w:rPr>
        <w:t xml:space="preserve"> </w:t>
      </w:r>
      <w:r w:rsidRPr="00646423">
        <w:rPr>
          <w:rFonts w:ascii="Century" w:hAnsi="Century" w:cs="Miriam" w:hint="eastAsia"/>
          <w:b/>
          <w:spacing w:val="0"/>
          <w:szCs w:val="24"/>
          <w:rtl/>
        </w:rPr>
        <w:t>חקיקה</w:t>
      </w:r>
      <w:r w:rsidRPr="00646423">
        <w:rPr>
          <w:rFonts w:ascii="Century" w:hAnsi="Century" w:cs="Miriam"/>
          <w:b/>
          <w:spacing w:val="0"/>
          <w:szCs w:val="24"/>
          <w:rtl/>
        </w:rPr>
        <w:t xml:space="preserve">; </w:t>
      </w:r>
      <w:r w:rsidRPr="00646423">
        <w:rPr>
          <w:rFonts w:ascii="Century" w:hAnsi="Century" w:cs="Miriam" w:hint="eastAsia"/>
          <w:b/>
          <w:spacing w:val="0"/>
          <w:szCs w:val="24"/>
          <w:rtl/>
        </w:rPr>
        <w:t>חשבתי</w:t>
      </w:r>
      <w:r w:rsidRPr="00646423">
        <w:rPr>
          <w:rFonts w:ascii="Century" w:hAnsi="Century" w:cs="Miriam"/>
          <w:b/>
          <w:spacing w:val="0"/>
          <w:szCs w:val="24"/>
          <w:rtl/>
        </w:rPr>
        <w:t xml:space="preserve"> </w:t>
      </w:r>
      <w:r w:rsidRPr="00646423">
        <w:rPr>
          <w:rFonts w:ascii="Century" w:hAnsi="Century" w:cs="Miriam" w:hint="eastAsia"/>
          <w:b/>
          <w:spacing w:val="0"/>
          <w:szCs w:val="24"/>
          <w:rtl/>
        </w:rPr>
        <w:t>על</w:t>
      </w:r>
      <w:r w:rsidRPr="00646423">
        <w:rPr>
          <w:rFonts w:ascii="Century" w:hAnsi="Century" w:cs="Miriam"/>
          <w:b/>
          <w:spacing w:val="0"/>
          <w:szCs w:val="24"/>
          <w:rtl/>
        </w:rPr>
        <w:t xml:space="preserve"> </w:t>
      </w:r>
      <w:r w:rsidRPr="00646423">
        <w:rPr>
          <w:rFonts w:ascii="Century" w:hAnsi="Century" w:cs="Miriam" w:hint="eastAsia"/>
          <w:b/>
          <w:spacing w:val="0"/>
          <w:szCs w:val="24"/>
          <w:rtl/>
        </w:rPr>
        <w:t>מגמה</w:t>
      </w:r>
      <w:r w:rsidRPr="00646423">
        <w:rPr>
          <w:rFonts w:ascii="Century" w:hAnsi="Century" w:cs="Miriam"/>
          <w:b/>
          <w:spacing w:val="0"/>
          <w:szCs w:val="24"/>
          <w:rtl/>
        </w:rPr>
        <w:t xml:space="preserve"> </w:t>
      </w:r>
      <w:r w:rsidRPr="00646423">
        <w:rPr>
          <w:rFonts w:ascii="Century" w:hAnsi="Century" w:cs="Miriam" w:hint="eastAsia"/>
          <w:b/>
          <w:spacing w:val="0"/>
          <w:szCs w:val="24"/>
          <w:rtl/>
        </w:rPr>
        <w:t>שתבוא</w:t>
      </w:r>
      <w:r w:rsidRPr="00646423">
        <w:rPr>
          <w:rFonts w:ascii="Century" w:hAnsi="Century" w:cs="Miriam"/>
          <w:b/>
          <w:spacing w:val="0"/>
          <w:szCs w:val="24"/>
          <w:rtl/>
        </w:rPr>
        <w:t xml:space="preserve"> </w:t>
      </w:r>
      <w:r w:rsidRPr="00646423">
        <w:rPr>
          <w:rFonts w:ascii="Century" w:hAnsi="Century" w:cs="Miriam" w:hint="eastAsia"/>
          <w:b/>
          <w:spacing w:val="0"/>
          <w:szCs w:val="24"/>
          <w:rtl/>
        </w:rPr>
        <w:t>לידי</w:t>
      </w:r>
      <w:r w:rsidRPr="00646423">
        <w:rPr>
          <w:rFonts w:ascii="Century" w:hAnsi="Century" w:cs="Miriam"/>
          <w:b/>
          <w:spacing w:val="0"/>
          <w:szCs w:val="24"/>
          <w:rtl/>
        </w:rPr>
        <w:t xml:space="preserve"> </w:t>
      </w:r>
      <w:r w:rsidRPr="00646423">
        <w:rPr>
          <w:rFonts w:ascii="Century" w:hAnsi="Century" w:cs="Miriam" w:hint="eastAsia"/>
          <w:b/>
          <w:spacing w:val="0"/>
          <w:szCs w:val="24"/>
          <w:rtl/>
        </w:rPr>
        <w:t>ביטוי</w:t>
      </w:r>
      <w:r w:rsidRPr="00646423">
        <w:rPr>
          <w:rFonts w:ascii="Century" w:hAnsi="Century" w:cs="Miriam"/>
          <w:b/>
          <w:spacing w:val="0"/>
          <w:szCs w:val="24"/>
          <w:rtl/>
        </w:rPr>
        <w:t xml:space="preserve"> </w:t>
      </w:r>
      <w:r w:rsidRPr="00646423">
        <w:rPr>
          <w:rFonts w:ascii="Century" w:hAnsi="Century" w:cs="Miriam" w:hint="eastAsia"/>
          <w:b/>
          <w:spacing w:val="0"/>
          <w:szCs w:val="24"/>
          <w:rtl/>
        </w:rPr>
        <w:t>בפסיקה</w:t>
      </w:r>
      <w:r>
        <w:rPr>
          <w:rFonts w:ascii="Century" w:hAnsi="Century" w:cs="Miriam" w:hint="cs"/>
          <w:b/>
          <w:spacing w:val="0"/>
          <w:szCs w:val="24"/>
          <w:rtl/>
        </w:rPr>
        <w:t>"</w:t>
      </w:r>
      <w:r>
        <w:rPr>
          <w:rFonts w:ascii="Century" w:hAnsi="Century" w:hint="cs"/>
          <w:sz w:val="22"/>
          <w:rtl/>
        </w:rPr>
        <w:t xml:space="preserve">. </w:t>
      </w:r>
    </w:p>
    <w:p w:rsidR="00EB02E1" w:rsidRPr="00E220DF" w:rsidRDefault="00EB02E1" w:rsidP="00EB02E1">
      <w:pPr>
        <w:pStyle w:val="Ruller41"/>
      </w:pPr>
    </w:p>
    <w:p w:rsidR="00EB02E1" w:rsidRDefault="00EB02E1" w:rsidP="00EB02E1">
      <w:pPr>
        <w:pStyle w:val="Ruller4"/>
        <w:rPr>
          <w:rtl/>
        </w:rPr>
      </w:pPr>
      <w:r>
        <w:rPr>
          <w:rFonts w:hint="cs"/>
          <w:rtl/>
        </w:rPr>
        <w:t xml:space="preserve">אם אחזור לגוף הדברים, הרי שטענה זו של ח"כ רוטמן </w:t>
      </w:r>
      <w:r>
        <w:rPr>
          <w:rtl/>
        </w:rPr>
        <w:t>–</w:t>
      </w:r>
      <w:r>
        <w:rPr>
          <w:rFonts w:hint="cs"/>
          <w:rtl/>
        </w:rPr>
        <w:t xml:space="preserve"> בעלת משקל. דומה כי תמיכה בטענתו-זו של חה"כ רוטמן, ניתן למצוא בדבריה של חברתי השופטת </w:t>
      </w:r>
      <w:r w:rsidRPr="00B5109C">
        <w:rPr>
          <w:rFonts w:ascii="Century" w:hAnsi="Century" w:cs="Miriam" w:hint="cs"/>
          <w:b/>
          <w:spacing w:val="0"/>
          <w:sz w:val="22"/>
          <w:szCs w:val="24"/>
          <w:rtl/>
        </w:rPr>
        <w:t>ע' ברון</w:t>
      </w:r>
      <w:r>
        <w:rPr>
          <w:rFonts w:ascii="Century" w:hAnsi="Century" w:hint="cs"/>
          <w:sz w:val="22"/>
          <w:rtl/>
        </w:rPr>
        <w:t xml:space="preserve">: </w:t>
      </w:r>
      <w:r>
        <w:rPr>
          <w:rFonts w:hint="cs"/>
          <w:rtl/>
        </w:rPr>
        <w:t xml:space="preserve"> </w:t>
      </w:r>
      <w:r>
        <w:rPr>
          <w:rFonts w:ascii="Century" w:hAnsi="Century" w:cs="Miriam" w:hint="cs"/>
          <w:b/>
          <w:spacing w:val="0"/>
          <w:sz w:val="22"/>
          <w:szCs w:val="24"/>
          <w:rtl/>
        </w:rPr>
        <w:t xml:space="preserve">"בהיעדר דיכוטומיה בנוגע למובניה השונים של עילת הסבירות, לא רק שנשמט היסוד תחת הפרשנות המקיימת </w:t>
      </w:r>
      <w:r w:rsidRPr="00321339">
        <w:rPr>
          <w:rFonts w:ascii="Century" w:hAnsi="Century"/>
          <w:sz w:val="22"/>
          <w:rtl/>
        </w:rPr>
        <w:t>–</w:t>
      </w:r>
      <w:r w:rsidRPr="00321339">
        <w:rPr>
          <w:rFonts w:ascii="Century" w:hAnsi="Century" w:cs="Miriam" w:hint="cs"/>
          <w:b/>
          <w:spacing w:val="0"/>
          <w:sz w:val="22"/>
          <w:szCs w:val="24"/>
          <w:rtl/>
        </w:rPr>
        <w:t xml:space="preserve"> </w:t>
      </w:r>
      <w:r>
        <w:rPr>
          <w:rFonts w:ascii="Century" w:hAnsi="Century" w:cs="Miriam" w:hint="cs"/>
          <w:b/>
          <w:spacing w:val="0"/>
          <w:sz w:val="22"/>
          <w:szCs w:val="24"/>
          <w:rtl/>
        </w:rPr>
        <w:t xml:space="preserve">אלא שאם היינו מאמצים אותה, היינו מכבירים על ההתדיינות המשפטית ביחס להחלטה המינהלית שורה של מחלוקות מסוג חדש. </w:t>
      </w:r>
      <w:r w:rsidRPr="00B5109C">
        <w:rPr>
          <w:rFonts w:ascii="Century" w:hAnsi="Century" w:cs="Miriam" w:hint="cs"/>
          <w:b/>
          <w:spacing w:val="0"/>
          <w:sz w:val="22"/>
          <w:szCs w:val="24"/>
          <w:u w:val="single"/>
          <w:rtl/>
        </w:rPr>
        <w:t xml:space="preserve">בפרט, ייפתח הפתח לטעון ביחס לסבירות המסורתית הנטענת בעתירה [...] כי מדובר למעשה בסבירות איזונית </w:t>
      </w:r>
      <w:r>
        <w:rPr>
          <w:rFonts w:ascii="Century" w:hAnsi="Century" w:cs="Miriam" w:hint="cs"/>
          <w:b/>
          <w:spacing w:val="0"/>
          <w:sz w:val="22"/>
          <w:szCs w:val="24"/>
          <w:u w:val="single"/>
          <w:rtl/>
        </w:rPr>
        <w:t>'</w:t>
      </w:r>
      <w:r w:rsidRPr="00B5109C">
        <w:rPr>
          <w:rFonts w:ascii="Century" w:hAnsi="Century" w:cs="Miriam" w:hint="cs"/>
          <w:b/>
          <w:spacing w:val="0"/>
          <w:sz w:val="22"/>
          <w:szCs w:val="24"/>
          <w:u w:val="single"/>
          <w:rtl/>
        </w:rPr>
        <w:t>במסווה</w:t>
      </w:r>
      <w:r>
        <w:rPr>
          <w:rFonts w:ascii="Century" w:hAnsi="Century" w:cs="Miriam" w:hint="cs"/>
          <w:b/>
          <w:spacing w:val="0"/>
          <w:sz w:val="22"/>
          <w:szCs w:val="24"/>
          <w:u w:val="single"/>
          <w:rtl/>
        </w:rPr>
        <w:t>'</w:t>
      </w:r>
      <w:r>
        <w:rPr>
          <w:rFonts w:ascii="Century" w:hAnsi="Century" w:hint="cs"/>
          <w:sz w:val="22"/>
          <w:rtl/>
        </w:rPr>
        <w:t>"</w:t>
      </w:r>
      <w:r>
        <w:rPr>
          <w:rFonts w:ascii="Century" w:hAnsi="Century" w:cs="Miriam" w:hint="cs"/>
          <w:b/>
          <w:spacing w:val="0"/>
          <w:sz w:val="22"/>
          <w:szCs w:val="24"/>
          <w:rtl/>
        </w:rPr>
        <w:t xml:space="preserve"> </w:t>
      </w:r>
      <w:r>
        <w:rPr>
          <w:rFonts w:ascii="Century" w:hAnsi="Century" w:hint="cs"/>
          <w:sz w:val="22"/>
          <w:rtl/>
        </w:rPr>
        <w:t>(פסקה 24)</w:t>
      </w:r>
      <w:r>
        <w:rPr>
          <w:rFonts w:hint="cs"/>
          <w:rtl/>
        </w:rPr>
        <w:t xml:space="preserve">; וראו גם האמור בפסקאות 17-15 לחוות דעתה של חברתי השופטת </w:t>
      </w:r>
      <w:r w:rsidRPr="00E220DF">
        <w:rPr>
          <w:rFonts w:ascii="Century" w:hAnsi="Century" w:cs="Miriam" w:hint="cs"/>
          <w:b/>
          <w:spacing w:val="0"/>
          <w:sz w:val="22"/>
          <w:szCs w:val="24"/>
          <w:rtl/>
        </w:rPr>
        <w:t>רונן</w:t>
      </w:r>
      <w:r>
        <w:rPr>
          <w:rFonts w:hint="cs"/>
          <w:rtl/>
        </w:rPr>
        <w:t>). האם טענה זו מחייבת את ביטולה המוחלט של העילה? האמנם לא ניתן למצוא מתווה ביניים כלשהו, שיאפשר לֵיהנו</w:t>
      </w:r>
      <w:r>
        <w:rPr>
          <w:rFonts w:hint="eastAsia"/>
          <w:rtl/>
        </w:rPr>
        <w:t>ת</w:t>
      </w:r>
      <w:r>
        <w:rPr>
          <w:rFonts w:hint="cs"/>
          <w:rtl/>
        </w:rPr>
        <w:t xml:space="preserve"> מ'הטוב שבכל העולמות'? אינני בטוח </w:t>
      </w:r>
      <w:r>
        <w:rPr>
          <w:rFonts w:hint="cs"/>
          <w:rtl/>
        </w:rPr>
        <w:lastRenderedPageBreak/>
        <w:t xml:space="preserve">בכך כלל ועיקר. בהחלט ניתן היה לחשוב על פתרונות אֵלו ואחרים, המביאים מזור לבעיה שאותה מעורר חה"כ רוטמן, אך מאפשרים להותיר את עילת הסבירות ה'רזה', סבירות נוסח 'וונדסברי', על כנה. </w:t>
      </w:r>
    </w:p>
    <w:p w:rsidR="00EB02E1" w:rsidRDefault="00EB02E1" w:rsidP="00EB02E1">
      <w:pPr>
        <w:pStyle w:val="Ruller41"/>
        <w:rPr>
          <w:rtl/>
        </w:rPr>
      </w:pPr>
    </w:p>
    <w:p w:rsidR="00EB02E1" w:rsidRDefault="00EB02E1" w:rsidP="00EB02E1">
      <w:pPr>
        <w:pStyle w:val="Ruller4"/>
        <w:rPr>
          <w:rtl/>
        </w:rPr>
      </w:pPr>
      <w:r>
        <w:rPr>
          <w:rFonts w:hint="cs"/>
          <w:rtl/>
        </w:rPr>
        <w:t xml:space="preserve">כבר בסיומה של אותה הרצאה (ביום 6.12.2019), שבה הצעתי לראשונה הבחנה בין הדרג הנבחר לדרג הממונה, הדגשתי </w:t>
      </w:r>
      <w:r w:rsidRPr="00E220DF">
        <w:rPr>
          <w:rFonts w:ascii="Century" w:hAnsi="Century" w:hint="eastAsia"/>
          <w:sz w:val="22"/>
          <w:rtl/>
        </w:rPr>
        <w:t>כי</w:t>
      </w:r>
      <w:r w:rsidRPr="00E220DF">
        <w:rPr>
          <w:rFonts w:ascii="Century" w:hAnsi="Century"/>
          <w:sz w:val="22"/>
          <w:rtl/>
        </w:rPr>
        <w:t xml:space="preserve"> </w:t>
      </w:r>
      <w:r w:rsidRPr="00E220DF">
        <w:rPr>
          <w:rFonts w:ascii="Century" w:hAnsi="Century" w:hint="eastAsia"/>
          <w:sz w:val="22"/>
          <w:rtl/>
        </w:rPr>
        <w:t>פרשנות</w:t>
      </w:r>
      <w:r w:rsidRPr="00E220DF">
        <w:rPr>
          <w:rFonts w:ascii="Century" w:hAnsi="Century"/>
          <w:sz w:val="22"/>
          <w:rtl/>
        </w:rPr>
        <w:t xml:space="preserve">, </w:t>
      </w:r>
      <w:r w:rsidRPr="00E220DF">
        <w:rPr>
          <w:rFonts w:ascii="Century" w:hAnsi="Century" w:hint="eastAsia"/>
          <w:sz w:val="22"/>
          <w:rtl/>
        </w:rPr>
        <w:t>סבירות</w:t>
      </w:r>
      <w:r w:rsidRPr="00E220DF">
        <w:rPr>
          <w:rFonts w:ascii="Century" w:hAnsi="Century"/>
          <w:sz w:val="22"/>
          <w:rtl/>
        </w:rPr>
        <w:t xml:space="preserve"> </w:t>
      </w:r>
      <w:r w:rsidRPr="00E220DF">
        <w:rPr>
          <w:rFonts w:ascii="Century" w:hAnsi="Century" w:hint="eastAsia"/>
          <w:sz w:val="22"/>
          <w:rtl/>
        </w:rPr>
        <w:t>ומידתיות</w:t>
      </w:r>
      <w:r w:rsidRPr="00E220DF">
        <w:rPr>
          <w:rFonts w:ascii="Century" w:hAnsi="Century" w:cs="Miriam"/>
          <w:b/>
          <w:spacing w:val="0"/>
          <w:szCs w:val="24"/>
          <w:rtl/>
        </w:rPr>
        <w:t xml:space="preserve"> </w:t>
      </w:r>
      <w:r>
        <w:rPr>
          <w:rFonts w:ascii="Century" w:hAnsi="Century" w:cs="Miriam" w:hint="cs"/>
          <w:b/>
          <w:spacing w:val="0"/>
          <w:szCs w:val="24"/>
          <w:rtl/>
        </w:rPr>
        <w:t>"</w:t>
      </w:r>
      <w:r w:rsidRPr="00646423">
        <w:rPr>
          <w:rFonts w:ascii="Century" w:hAnsi="Century" w:cs="Miriam" w:hint="eastAsia"/>
          <w:b/>
          <w:spacing w:val="0"/>
          <w:szCs w:val="24"/>
          <w:rtl/>
        </w:rPr>
        <w:t>מזמנים</w:t>
      </w:r>
      <w:r w:rsidRPr="00646423">
        <w:rPr>
          <w:rFonts w:ascii="Century" w:hAnsi="Century" w:cs="Miriam"/>
          <w:b/>
          <w:spacing w:val="0"/>
          <w:szCs w:val="24"/>
          <w:rtl/>
        </w:rPr>
        <w:t xml:space="preserve"> </w:t>
      </w:r>
      <w:r w:rsidRPr="00646423">
        <w:rPr>
          <w:rFonts w:ascii="Century" w:hAnsi="Century" w:cs="Miriam" w:hint="eastAsia"/>
          <w:b/>
          <w:spacing w:val="0"/>
          <w:szCs w:val="24"/>
          <w:rtl/>
        </w:rPr>
        <w:t>אתגרים</w:t>
      </w:r>
      <w:r w:rsidRPr="00646423">
        <w:rPr>
          <w:rFonts w:ascii="Century" w:hAnsi="Century" w:cs="Miriam"/>
          <w:b/>
          <w:spacing w:val="0"/>
          <w:szCs w:val="24"/>
          <w:rtl/>
        </w:rPr>
        <w:t xml:space="preserve"> </w:t>
      </w:r>
      <w:r w:rsidRPr="00646423">
        <w:rPr>
          <w:rFonts w:ascii="Century" w:hAnsi="Century" w:cs="Miriam" w:hint="eastAsia"/>
          <w:b/>
          <w:spacing w:val="0"/>
          <w:szCs w:val="24"/>
          <w:rtl/>
        </w:rPr>
        <w:t>משמעותיים</w:t>
      </w:r>
      <w:r w:rsidRPr="00646423">
        <w:rPr>
          <w:rFonts w:ascii="Century" w:hAnsi="Century" w:cs="Miriam"/>
          <w:b/>
          <w:spacing w:val="0"/>
          <w:szCs w:val="24"/>
          <w:rtl/>
        </w:rPr>
        <w:t xml:space="preserve">, </w:t>
      </w:r>
      <w:r w:rsidRPr="00646423">
        <w:rPr>
          <w:rFonts w:ascii="Century" w:hAnsi="Century" w:cs="Miriam" w:hint="eastAsia"/>
          <w:b/>
          <w:spacing w:val="0"/>
          <w:szCs w:val="24"/>
          <w:rtl/>
        </w:rPr>
        <w:t>ומחייבים</w:t>
      </w:r>
      <w:r w:rsidRPr="00646423">
        <w:rPr>
          <w:rFonts w:ascii="Century" w:hAnsi="Century" w:cs="Miriam"/>
          <w:b/>
          <w:spacing w:val="0"/>
          <w:szCs w:val="24"/>
          <w:rtl/>
        </w:rPr>
        <w:t xml:space="preserve"> </w:t>
      </w:r>
      <w:r w:rsidRPr="00646423">
        <w:rPr>
          <w:rFonts w:ascii="Century" w:hAnsi="Century" w:cs="Miriam" w:hint="eastAsia"/>
          <w:b/>
          <w:spacing w:val="0"/>
          <w:szCs w:val="24"/>
          <w:rtl/>
        </w:rPr>
        <w:t>אותנו</w:t>
      </w:r>
      <w:r w:rsidRPr="00646423">
        <w:rPr>
          <w:rFonts w:ascii="Century" w:hAnsi="Century" w:cs="Miriam"/>
          <w:b/>
          <w:spacing w:val="0"/>
          <w:szCs w:val="24"/>
          <w:rtl/>
        </w:rPr>
        <w:t xml:space="preserve"> </w:t>
      </w:r>
      <w:r w:rsidRPr="00646423">
        <w:rPr>
          <w:rFonts w:ascii="Century" w:hAnsi="Century" w:cs="Miriam" w:hint="eastAsia"/>
          <w:b/>
          <w:spacing w:val="0"/>
          <w:szCs w:val="24"/>
          <w:rtl/>
        </w:rPr>
        <w:t>להרחיב</w:t>
      </w:r>
      <w:r w:rsidRPr="00646423">
        <w:rPr>
          <w:rFonts w:ascii="Century" w:hAnsi="Century" w:cs="Miriam"/>
          <w:b/>
          <w:spacing w:val="0"/>
          <w:szCs w:val="24"/>
          <w:rtl/>
        </w:rPr>
        <w:t xml:space="preserve"> </w:t>
      </w:r>
      <w:r w:rsidRPr="00646423">
        <w:rPr>
          <w:rFonts w:ascii="Century" w:hAnsi="Century" w:cs="Miriam" w:hint="eastAsia"/>
          <w:b/>
          <w:spacing w:val="0"/>
          <w:szCs w:val="24"/>
          <w:rtl/>
        </w:rPr>
        <w:t>ולהעמיק</w:t>
      </w:r>
      <w:r w:rsidRPr="00646423">
        <w:rPr>
          <w:rFonts w:ascii="Century" w:hAnsi="Century" w:cs="Miriam"/>
          <w:b/>
          <w:spacing w:val="0"/>
          <w:szCs w:val="24"/>
          <w:rtl/>
        </w:rPr>
        <w:t xml:space="preserve"> </w:t>
      </w:r>
      <w:r w:rsidRPr="00646423">
        <w:rPr>
          <w:rFonts w:ascii="Century" w:hAnsi="Century" w:cs="Miriam" w:hint="eastAsia"/>
          <w:b/>
          <w:spacing w:val="0"/>
          <w:szCs w:val="24"/>
          <w:rtl/>
        </w:rPr>
        <w:t>את</w:t>
      </w:r>
      <w:r w:rsidRPr="00646423">
        <w:rPr>
          <w:rFonts w:ascii="Century" w:hAnsi="Century" w:cs="Miriam"/>
          <w:b/>
          <w:spacing w:val="0"/>
          <w:szCs w:val="24"/>
          <w:rtl/>
        </w:rPr>
        <w:t xml:space="preserve"> </w:t>
      </w:r>
      <w:r w:rsidRPr="00646423">
        <w:rPr>
          <w:rFonts w:ascii="Century" w:hAnsi="Century" w:cs="Miriam" w:hint="eastAsia"/>
          <w:b/>
          <w:spacing w:val="0"/>
          <w:szCs w:val="24"/>
          <w:rtl/>
        </w:rPr>
        <w:t>הדיון</w:t>
      </w:r>
      <w:r w:rsidRPr="00646423">
        <w:rPr>
          <w:rFonts w:ascii="Century" w:hAnsi="Century" w:cs="Miriam"/>
          <w:b/>
          <w:spacing w:val="0"/>
          <w:szCs w:val="24"/>
          <w:rtl/>
        </w:rPr>
        <w:t xml:space="preserve"> </w:t>
      </w:r>
      <w:r w:rsidRPr="00646423">
        <w:rPr>
          <w:rFonts w:ascii="Century" w:hAnsi="Century" w:cs="Miriam" w:hint="eastAsia"/>
          <w:b/>
          <w:spacing w:val="0"/>
          <w:szCs w:val="24"/>
          <w:rtl/>
        </w:rPr>
        <w:t>החשוב</w:t>
      </w:r>
      <w:r w:rsidRPr="00646423">
        <w:rPr>
          <w:rFonts w:ascii="Century" w:hAnsi="Century" w:cs="Miriam"/>
          <w:b/>
          <w:spacing w:val="0"/>
          <w:szCs w:val="24"/>
          <w:rtl/>
        </w:rPr>
        <w:t xml:space="preserve"> </w:t>
      </w:r>
      <w:r w:rsidRPr="00646423">
        <w:rPr>
          <w:rFonts w:ascii="Century" w:hAnsi="Century" w:cs="Miriam" w:hint="eastAsia"/>
          <w:b/>
          <w:spacing w:val="0"/>
          <w:szCs w:val="24"/>
          <w:rtl/>
        </w:rPr>
        <w:t>על</w:t>
      </w:r>
      <w:r w:rsidRPr="00646423">
        <w:rPr>
          <w:rFonts w:ascii="Century" w:hAnsi="Century" w:cs="Miriam"/>
          <w:b/>
          <w:spacing w:val="0"/>
          <w:szCs w:val="24"/>
          <w:rtl/>
        </w:rPr>
        <w:t xml:space="preserve"> </w:t>
      </w:r>
      <w:r w:rsidRPr="00646423">
        <w:rPr>
          <w:rFonts w:ascii="Century" w:hAnsi="Century" w:cs="Miriam" w:hint="eastAsia"/>
          <w:b/>
          <w:spacing w:val="0"/>
          <w:szCs w:val="24"/>
          <w:rtl/>
        </w:rPr>
        <w:t>אודות</w:t>
      </w:r>
      <w:r w:rsidRPr="00646423">
        <w:rPr>
          <w:rFonts w:ascii="Century" w:hAnsi="Century" w:cs="Miriam"/>
          <w:b/>
          <w:spacing w:val="0"/>
          <w:szCs w:val="24"/>
          <w:rtl/>
        </w:rPr>
        <w:t xml:space="preserve"> </w:t>
      </w:r>
      <w:r w:rsidRPr="00646423">
        <w:rPr>
          <w:rFonts w:ascii="Century" w:hAnsi="Century" w:cs="Miriam" w:hint="eastAsia"/>
          <w:b/>
          <w:spacing w:val="0"/>
          <w:szCs w:val="24"/>
          <w:rtl/>
        </w:rPr>
        <w:t>גבולותיו</w:t>
      </w:r>
      <w:r w:rsidRPr="00646423">
        <w:rPr>
          <w:rFonts w:ascii="Century" w:hAnsi="Century" w:cs="Miriam"/>
          <w:b/>
          <w:spacing w:val="0"/>
          <w:szCs w:val="24"/>
          <w:rtl/>
        </w:rPr>
        <w:t xml:space="preserve"> </w:t>
      </w:r>
      <w:r w:rsidRPr="00646423">
        <w:rPr>
          <w:rFonts w:ascii="Century" w:hAnsi="Century" w:cs="Miriam" w:hint="eastAsia"/>
          <w:b/>
          <w:spacing w:val="0"/>
          <w:szCs w:val="24"/>
          <w:rtl/>
        </w:rPr>
        <w:t>הראויים</w:t>
      </w:r>
      <w:r w:rsidRPr="00646423">
        <w:rPr>
          <w:rFonts w:ascii="Century" w:hAnsi="Century" w:cs="Miriam"/>
          <w:b/>
          <w:spacing w:val="0"/>
          <w:szCs w:val="24"/>
          <w:rtl/>
        </w:rPr>
        <w:t xml:space="preserve"> </w:t>
      </w:r>
      <w:r w:rsidRPr="00646423">
        <w:rPr>
          <w:rFonts w:ascii="Century" w:hAnsi="Century" w:cs="Miriam" w:hint="eastAsia"/>
          <w:b/>
          <w:spacing w:val="0"/>
          <w:szCs w:val="24"/>
          <w:rtl/>
        </w:rPr>
        <w:t>של</w:t>
      </w:r>
      <w:r w:rsidRPr="00646423">
        <w:rPr>
          <w:rFonts w:ascii="Century" w:hAnsi="Century" w:cs="Miriam"/>
          <w:b/>
          <w:spacing w:val="0"/>
          <w:szCs w:val="24"/>
          <w:rtl/>
        </w:rPr>
        <w:t xml:space="preserve"> </w:t>
      </w:r>
      <w:r w:rsidRPr="00646423">
        <w:rPr>
          <w:rFonts w:ascii="Century" w:hAnsi="Century" w:cs="Miriam" w:hint="eastAsia"/>
          <w:b/>
          <w:spacing w:val="0"/>
          <w:szCs w:val="24"/>
          <w:rtl/>
        </w:rPr>
        <w:t>שיקול</w:t>
      </w:r>
      <w:r w:rsidRPr="00646423">
        <w:rPr>
          <w:rFonts w:ascii="Century" w:hAnsi="Century" w:cs="Miriam"/>
          <w:b/>
          <w:spacing w:val="0"/>
          <w:szCs w:val="24"/>
          <w:rtl/>
        </w:rPr>
        <w:t xml:space="preserve"> </w:t>
      </w:r>
      <w:r w:rsidRPr="00646423">
        <w:rPr>
          <w:rFonts w:ascii="Century" w:hAnsi="Century" w:cs="Miriam" w:hint="eastAsia"/>
          <w:b/>
          <w:spacing w:val="0"/>
          <w:szCs w:val="24"/>
          <w:rtl/>
        </w:rPr>
        <w:t>הדעת</w:t>
      </w:r>
      <w:r w:rsidRPr="00646423">
        <w:rPr>
          <w:rFonts w:ascii="Century" w:hAnsi="Century" w:cs="Miriam"/>
          <w:b/>
          <w:spacing w:val="0"/>
          <w:szCs w:val="24"/>
          <w:rtl/>
        </w:rPr>
        <w:t xml:space="preserve"> </w:t>
      </w:r>
      <w:r w:rsidRPr="00646423">
        <w:rPr>
          <w:rFonts w:ascii="Century" w:hAnsi="Century" w:cs="Miriam" w:hint="eastAsia"/>
          <w:b/>
          <w:spacing w:val="0"/>
          <w:szCs w:val="24"/>
          <w:rtl/>
        </w:rPr>
        <w:t>השיפוטי</w:t>
      </w:r>
      <w:r>
        <w:rPr>
          <w:rFonts w:ascii="Century" w:hAnsi="Century" w:cs="Miriam" w:hint="cs"/>
          <w:b/>
          <w:spacing w:val="0"/>
          <w:szCs w:val="24"/>
          <w:rtl/>
        </w:rPr>
        <w:t>"</w:t>
      </w:r>
      <w:r>
        <w:rPr>
          <w:rFonts w:hint="cs"/>
          <w:rtl/>
        </w:rPr>
        <w:t xml:space="preserve">. האתגר </w:t>
      </w:r>
      <w:r>
        <w:rPr>
          <w:rtl/>
        </w:rPr>
        <w:t>–</w:t>
      </w:r>
      <w:r>
        <w:rPr>
          <w:rFonts w:hint="cs"/>
          <w:rtl/>
        </w:rPr>
        <w:t xml:space="preserve"> משמעותי, אך הפיצוח </w:t>
      </w:r>
      <w:r>
        <w:rPr>
          <w:rtl/>
        </w:rPr>
        <w:t>–</w:t>
      </w:r>
      <w:r>
        <w:rPr>
          <w:rFonts w:hint="cs"/>
          <w:rtl/>
        </w:rPr>
        <w:t xml:space="preserve"> אפשרי. אין מקום להרים ידיים, ולהסתפק, מחוסר ברירה, בגישת 'הכול או כלום'. </w:t>
      </w:r>
    </w:p>
    <w:p w:rsidR="00EB02E1" w:rsidRDefault="00EB02E1" w:rsidP="00EB02E1">
      <w:pPr>
        <w:pStyle w:val="Ruller41"/>
        <w:rPr>
          <w:rtl/>
        </w:rPr>
      </w:pPr>
    </w:p>
    <w:p w:rsidR="00EB02E1" w:rsidRDefault="00EB02E1" w:rsidP="00EB02E1">
      <w:pPr>
        <w:pStyle w:val="Ruller4"/>
        <w:rPr>
          <w:rtl/>
        </w:rPr>
      </w:pPr>
      <w:r>
        <w:rPr>
          <w:rFonts w:hint="cs"/>
          <w:rtl/>
        </w:rPr>
        <w:t xml:space="preserve">כדי שלא אשמע כמי שמייצג גישה 'נאיבית', לא מציאותית, אנסה לשרטט בקווים כלליים פתרון, אחד מִנִּי רבים, שעשוי היה לספק מענה לשני האינטרסים הנוגדים שעל הפרק: הרצון 'לרסן' את 'סוס הפרא הדוהר' בדמותה של עילת הסבירות המהותית, ומנגד לשמור על עילת הסבירות הוותיקה והטובה, נוסח 'וונדסברי' </w:t>
      </w:r>
      <w:r>
        <w:rPr>
          <w:rtl/>
        </w:rPr>
        <w:t>–</w:t>
      </w:r>
      <w:r>
        <w:rPr>
          <w:rFonts w:hint="cs"/>
          <w:rtl/>
        </w:rPr>
        <w:t xml:space="preserve"> חיה וקיימת. אדגיש, אין לראות בדברים משום "מתווה", כי אם רעיון 'בוסרי' וראשוני, הטעון ליבון ועיון. </w:t>
      </w:r>
    </w:p>
    <w:p w:rsidR="00EB02E1" w:rsidRDefault="00EB02E1" w:rsidP="00EB02E1">
      <w:pPr>
        <w:pStyle w:val="Ruller41"/>
        <w:rPr>
          <w:rtl/>
        </w:rPr>
      </w:pPr>
    </w:p>
    <w:p w:rsidR="00EB02E1" w:rsidRDefault="00EB02E1" w:rsidP="00EB02E1">
      <w:pPr>
        <w:pStyle w:val="Ruller4"/>
        <w:rPr>
          <w:rtl/>
        </w:rPr>
      </w:pPr>
      <w:r>
        <w:rPr>
          <w:rFonts w:hint="cs"/>
          <w:rtl/>
        </w:rPr>
        <w:t xml:space="preserve">אחת הטענות המופנות נגד חוק-היסוד היא, כי הוא אינו מבחין בין החלטות שבהן נקבעת 'מדיניות', לבין החלטות 'פרטניות'. מנגד, ניתן לטעון כי חקיקה ברוח זו, היתה פותחת 'פתח מילוט', שיאפשר לבית המשפט להמשיך ולהפעיל את עילת הסבירות המהותית. אפשר היה ליתן משמעות מצמצמת למונח 'החלטות מדיניות', ובהמשך לבצע 'הורדה בדרגה' של החלטות שונות באמצעות סיווגן כ'החלטות פרטניות', ו'חיסולן' בשלב מאוחר יותר באמצעות שימוש בנשק ה'סבירות'. </w:t>
      </w:r>
    </w:p>
    <w:p w:rsidR="00EB02E1" w:rsidRDefault="00EB02E1" w:rsidP="00EB02E1">
      <w:pPr>
        <w:pStyle w:val="Ruller41"/>
        <w:rPr>
          <w:rtl/>
        </w:rPr>
      </w:pPr>
    </w:p>
    <w:p w:rsidR="00EB02E1" w:rsidRDefault="00EB02E1" w:rsidP="00EB02E1">
      <w:pPr>
        <w:pStyle w:val="Ruller4"/>
      </w:pPr>
      <w:r>
        <w:rPr>
          <w:rFonts w:hint="cs"/>
          <w:rtl/>
        </w:rPr>
        <w:t xml:space="preserve">חשש זה </w:t>
      </w:r>
      <w:r>
        <w:rPr>
          <w:rtl/>
        </w:rPr>
        <w:t>–</w:t>
      </w:r>
      <w:r>
        <w:rPr>
          <w:rFonts w:hint="cs"/>
          <w:rtl/>
        </w:rPr>
        <w:t xml:space="preserve"> אינו קלוט מן האוויר. ברם, גם אם מקבלים את החשש האמור, ניתן היה לצמצם את ההסדר ולהחילוֹ רק על החלטות 'מדיניות', תוך מתן מענה לאותו חשש. ניתן היה למסד 'מבחן צורני', פשוט, ברור, קל להפעלה, חד-משמעי. הבחנה דומה בין סוגים שונים של החלטות מינהליות, קיימת באמתחתנו זה מכבר, ואנו עושים בה שימוש תדיר. כוונתי היא להבחנה בין החלטות שההשגה עליהן מצויה בסמכותו המקבילה של בית המשפט המחוזי, בשבתו כבית משפט לעניינים מינהליים, לבין החלטות שההשגה עליהן מסורה אך ורק לבית משפט זה, ב'כובעו' כבית משפט גבוה לצדק.</w:t>
      </w:r>
    </w:p>
    <w:p w:rsidR="00EB02E1" w:rsidRDefault="00EB02E1" w:rsidP="00EB02E1">
      <w:pPr>
        <w:pStyle w:val="Ruller4"/>
        <w:numPr>
          <w:ilvl w:val="0"/>
          <w:numId w:val="0"/>
        </w:numPr>
      </w:pPr>
      <w:r>
        <w:rPr>
          <w:rFonts w:hint="cs"/>
          <w:rtl/>
        </w:rPr>
        <w:t xml:space="preserve"> </w:t>
      </w:r>
    </w:p>
    <w:p w:rsidR="00EB02E1" w:rsidRDefault="00EB02E1" w:rsidP="00EB02E1">
      <w:pPr>
        <w:pStyle w:val="Ruller4"/>
        <w:rPr>
          <w:rtl/>
        </w:rPr>
      </w:pPr>
      <w:r>
        <w:rPr>
          <w:rFonts w:hint="cs"/>
          <w:rtl/>
        </w:rPr>
        <w:lastRenderedPageBreak/>
        <w:t xml:space="preserve">אותה הבחנה </w:t>
      </w:r>
      <w:r>
        <w:rPr>
          <w:rtl/>
        </w:rPr>
        <w:t>–</w:t>
      </w:r>
      <w:r>
        <w:rPr>
          <w:rFonts w:hint="cs"/>
          <w:rtl/>
        </w:rPr>
        <w:t xml:space="preserve"> אינה מושלמת. השגות על חלק ניכר מהחלטות השרים, מוגשות, נכון להיום לבג"ץ; לא לבית המשפט לעניינים מינהליים, למרות שמדובר בהחלטות 'פרטניות'. אם כי במבט מעמיק יותר, דווקא עובדה זו עשויה ללמד על כך שגם אותן החלטות שאנו נוטים לסווג כ'פרטניות', כוללות בתוכן רכיב משמעותי של מדיניות וערכים. גם אם נקבל אותה ביקורת, הרי שביקורת דומה ניתן למתוח על עצם הסיווג בעניין הסמכות. אדרבה, במובן מסוים, גמישותה של ההבחנה, והסתמכותה על סיווג שניתן לשינוי תדיר, מאפשרת לטייב אותה שוב ושוב. ניתן יהיה, בהמשך הדרך, להעביר החלטות נוספות תחת שבט ביקורתו של בית המשפט לעניינים מינהליים, תוך שהדבר יוליך ממילא לסיווגן כ'החלטות פרטניות', לגבי עילת הסבירות. </w:t>
      </w:r>
    </w:p>
    <w:p w:rsidR="00EB02E1" w:rsidRPr="008A26F1" w:rsidRDefault="00EB02E1" w:rsidP="00EB02E1">
      <w:pPr>
        <w:pStyle w:val="Ruller41"/>
      </w:pPr>
    </w:p>
    <w:p w:rsidR="00EB02E1" w:rsidRDefault="00EB02E1" w:rsidP="00EB02E1">
      <w:pPr>
        <w:pStyle w:val="Ruller4"/>
        <w:rPr>
          <w:rtl/>
        </w:rPr>
      </w:pPr>
      <w:r>
        <w:rPr>
          <w:rFonts w:hint="cs"/>
          <w:rtl/>
        </w:rPr>
        <w:t xml:space="preserve">אילו היינו עושים אותה הבחנה, הרי שאפשר היה ליתן מענה גם לחשש מפני הפעלה לא מבוקרת של עילת הסבירות, מבלי לבטלה כליל. כידוע, כל עתירה המוגשת לבג"ץ נדונה לפני שלושה שופטים לפחות. זאת, בניגוד לבית המשפט לעניינים מינהליים, שדן ככלל, בדן יחיד. אם חוק-היסוד היה מחיל עצמו רק על עניינים הנדונים בבג"ץ, ניתן היה להותיר את עילת הסבירות ה'רזה' נוסח 'וונדסברי', על כנה, תוך קביעה כי שימוש באותה עילה מחייב הסכמה של כל השופטים היושבים בדין. קביעה כאמור </w:t>
      </w:r>
      <w:r>
        <w:rPr>
          <w:rtl/>
        </w:rPr>
        <w:t>–</w:t>
      </w:r>
      <w:r>
        <w:rPr>
          <w:rFonts w:hint="cs"/>
          <w:rtl/>
        </w:rPr>
        <w:t xml:space="preserve"> אינה מורכבת. ההוראה שלפיה בהעדר הסכמה בין השופטים, תכריע דעת הרוב, אינה קבועה בחוק-יסוד, כי אם בסעיף 80(א) ל</w:t>
      </w:r>
      <w:r w:rsidRPr="008A26F1">
        <w:rPr>
          <w:rFonts w:hint="eastAsia"/>
          <w:rtl/>
        </w:rPr>
        <w:t>חוק</w:t>
      </w:r>
      <w:r w:rsidRPr="008A26F1">
        <w:rPr>
          <w:rtl/>
        </w:rPr>
        <w:t xml:space="preserve"> </w:t>
      </w:r>
      <w:r w:rsidRPr="008A26F1">
        <w:rPr>
          <w:rFonts w:hint="eastAsia"/>
          <w:rtl/>
        </w:rPr>
        <w:t>בתי</w:t>
      </w:r>
      <w:r w:rsidRPr="008A26F1">
        <w:rPr>
          <w:rtl/>
        </w:rPr>
        <w:t xml:space="preserve"> </w:t>
      </w:r>
      <w:r w:rsidRPr="008A26F1">
        <w:rPr>
          <w:rFonts w:hint="eastAsia"/>
          <w:rtl/>
        </w:rPr>
        <w:t>המשפט</w:t>
      </w:r>
      <w:r>
        <w:rPr>
          <w:rFonts w:hint="cs"/>
          <w:rtl/>
        </w:rPr>
        <w:t xml:space="preserve">, שבו נאמר כי </w:t>
      </w:r>
      <w:r w:rsidRPr="008A26F1">
        <w:rPr>
          <w:rFonts w:ascii="Century" w:hAnsi="Century" w:cs="Miriam" w:hint="cs"/>
          <w:b/>
          <w:spacing w:val="0"/>
          <w:sz w:val="22"/>
          <w:szCs w:val="24"/>
          <w:rtl/>
        </w:rPr>
        <w:t>"</w:t>
      </w:r>
      <w:r w:rsidRPr="008A26F1">
        <w:rPr>
          <w:rFonts w:ascii="Century" w:hAnsi="Century" w:cs="Miriam" w:hint="eastAsia"/>
          <w:b/>
          <w:spacing w:val="0"/>
          <w:sz w:val="22"/>
          <w:szCs w:val="24"/>
          <w:rtl/>
        </w:rPr>
        <w:t>בית</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משפט</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הדן</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במותב</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ונחלקו</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דעות</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השופטים</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תכריע</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דעת</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הרוב</w:t>
      </w:r>
      <w:r w:rsidRPr="008A26F1">
        <w:rPr>
          <w:rFonts w:ascii="Century" w:hAnsi="Century" w:cs="Miriam" w:hint="cs"/>
          <w:b/>
          <w:spacing w:val="0"/>
          <w:sz w:val="22"/>
          <w:szCs w:val="24"/>
          <w:rtl/>
        </w:rPr>
        <w:t>"</w:t>
      </w:r>
      <w:r w:rsidRPr="008A26F1">
        <w:rPr>
          <w:rtl/>
        </w:rPr>
        <w:t>.</w:t>
      </w:r>
      <w:r>
        <w:rPr>
          <w:rFonts w:hint="cs"/>
          <w:rtl/>
        </w:rPr>
        <w:t xml:space="preserve"> פתרון זה, מזכיר את הקולות שנשמעו בעבר, וביקשו לקבוע כי הרשעה בפלילים, למצער בפשעים חמורים, תינתן פה-אחד. </w:t>
      </w:r>
    </w:p>
    <w:p w:rsidR="00EB02E1" w:rsidRDefault="00EB02E1" w:rsidP="00EB02E1">
      <w:pPr>
        <w:pStyle w:val="Ruller41"/>
        <w:rPr>
          <w:rtl/>
        </w:rPr>
      </w:pPr>
    </w:p>
    <w:p w:rsidR="00EB02E1" w:rsidRPr="00F44AE9" w:rsidRDefault="00EB02E1" w:rsidP="00EB02E1">
      <w:pPr>
        <w:pStyle w:val="Ruller4"/>
        <w:rPr>
          <w:rtl/>
        </w:rPr>
      </w:pPr>
      <w:r>
        <w:rPr>
          <w:rFonts w:hint="cs"/>
          <w:rtl/>
        </w:rPr>
        <w:t xml:space="preserve">קביעה שכזו, עשויה היתה ללכוד 'שתי ציפורים במכה אחת': תחילה, 'היסוד הסובייקטיבי', באשר לסבירותה של ההחלטה </w:t>
      </w:r>
      <w:r>
        <w:rPr>
          <w:rtl/>
        </w:rPr>
        <w:t>–</w:t>
      </w:r>
      <w:r>
        <w:rPr>
          <w:rFonts w:hint="cs"/>
          <w:rtl/>
        </w:rPr>
        <w:t xml:space="preserve"> היה נחלש משמעותית, נוכח הדרישה ל'קונצנזוס מוחלט' בקרב השופטים; קונצנזוס שיִקבע כי אותה החלטה כה 'מופרכת', עד ששום שר או ממשלה, לא היו יכולים לקבל החלטה שכזו. בנוסף, הדבר היה עשוי להוביל לכך ששופטים לא ימהרו לברוח ל'פתרון אינסטנט' בדמותה של עילת הסבירות, כל זמן שניתן לבסס את ההכרעה על שימוש בעילה מינהלית אחרת, אובייקטיבית יותר; ביודעם, כי אם יבקשו לעשות שימוש בעילת הסבירות, יאלצו 'לגייס' את כל חברי ההרכב לתמיכה בעמדתם. לא ניתן יהיה להסתפק בהסכמת רובם. בכך ניתן היה לשקם, ולוּ במעט, את 'אמון הציבור' בבית המשפט. </w:t>
      </w:r>
    </w:p>
    <w:p w:rsidR="00EB02E1" w:rsidRDefault="00EB02E1" w:rsidP="00EB02E1">
      <w:pPr>
        <w:pStyle w:val="Ruller41"/>
        <w:rPr>
          <w:rtl/>
        </w:rPr>
      </w:pPr>
    </w:p>
    <w:p w:rsidR="00EB02E1" w:rsidRDefault="00EB02E1" w:rsidP="00EB02E1">
      <w:pPr>
        <w:pStyle w:val="Ruller4"/>
        <w:rPr>
          <w:rtl/>
        </w:rPr>
      </w:pPr>
      <w:r>
        <w:rPr>
          <w:rFonts w:hint="cs"/>
          <w:rtl/>
        </w:rPr>
        <w:t xml:space="preserve">כדי לצמצם אותו 'יסוד סובייקטיבי' צמצום נוסף, ניתן לחשוב אף על דרישה לקיומו של הרכב מורחב. זאת, לשם קביעה כי החלטת ממשלה או שׂריה בלתי מתקבלת </w:t>
      </w:r>
      <w:r>
        <w:rPr>
          <w:rFonts w:hint="cs"/>
          <w:rtl/>
        </w:rPr>
        <w:lastRenderedPageBreak/>
        <w:t>על הדעת, עד שיש מקום להפעלת עילת הסבירות נוסח 'וונדסברי'. ניתן היה לטעון, כי הדבר יוביל לעומס רב על בית המשפט, אך כמה תשובות בדבר. ראשית, ניתן לצמצם את החשש האמור, בקביעה כי כל עתירה שמעלה טענות שעניינן 'סבירות', תיקבע לדיון ראשוני לפני הרכב שלושה, בדומה לכל עתירה אחרת. בסיום הדיון, יוכל אותו הרכב להוציא צו על תנאי. רק לאחר הגשת תצהירי-התשובה, אם ישתכנעו שלושת השופטים, כי אכן מדובר במקרה חריג, המצריך לעשות שימוש בעילת הסבירות, ולא ניתן לעשות שימוש באף עילה חלופית, אזי יורו הם על הרחבת ההרכב. מקרים מעין אלו, מטבע הדברים, יהיו נדירים יחסית. בנוסף, יתכן שזהו דווקא המצב הרצוי. אותה דרישה להרכב מורחב, היא-היא זו שתגביל את בית המשפט מלכתחילה, תוביל אותו 'לבחור את מלחמותיו', ולעשות שימוש בעילת הסבירות, רק במקום שבו 'כּלו כל הקיצין'. גם אם שלושת השופטים, שנבחרו באופן אקראי לשבת בדין, סבורים כי יש לעשות שימוש בעילת הסבירות, הם לא ימהרו להרחיב את ההרכב, ביודעם כי עליהם להשיג את תמיכת כל חברי ההרכב המורחב. רק אם מדובר במקרה כה זועק עד שיש יסוד להניח כי כל חברי ההרכב המורחב עשויים להסכים עמם, יורחב ההרכב.</w:t>
      </w:r>
    </w:p>
    <w:p w:rsidR="00EB02E1" w:rsidRDefault="00EB02E1" w:rsidP="00EB02E1">
      <w:pPr>
        <w:pStyle w:val="Ruller41"/>
        <w:rPr>
          <w:rtl/>
        </w:rPr>
      </w:pPr>
    </w:p>
    <w:p w:rsidR="00EB02E1" w:rsidRDefault="00EB02E1" w:rsidP="00EB02E1">
      <w:pPr>
        <w:pStyle w:val="Ruller4"/>
        <w:rPr>
          <w:rtl/>
        </w:rPr>
      </w:pPr>
      <w:r>
        <w:rPr>
          <w:rFonts w:hint="cs"/>
          <w:rtl/>
        </w:rPr>
        <w:t xml:space="preserve">אם היתה נקבעת דרישה ל'קונצנזוס' בקרב חברי ההרכב המורחב, הרי שמטבע הדברים, מקרים מעין אלו, שבהם מושג קונצנזוס 'מקיר לקיר' </w:t>
      </w:r>
      <w:r>
        <w:rPr>
          <w:rtl/>
        </w:rPr>
        <w:t>–</w:t>
      </w:r>
      <w:r>
        <w:rPr>
          <w:rFonts w:hint="cs"/>
          <w:rtl/>
        </w:rPr>
        <w:t xml:space="preserve"> היו מעטים ונדירים. אלא שבכך אין כל פסול; אדרבה, זהו האיזון הנדרש. מחד גיסא, הוֹתרה של הסמכות להפעיל את עילת הסבירות ה'רזה', כ'יציאת חרום', שבה יֵעשה שימוש במקרים חריגים ונדירים; רק בעניינן של החלטות שהעוול הנשקף מהן 'זועק לשמיים', אך אין בנמצא כל עילה אחרת שבה ניתן לעשות שימוש. מאידך גיסא, דרישה להרכב מורחב, ולהשגת 'קונצנזוס' בקרב השופטים, תמנע שימוש תדיר באותה עילה, תוך שמירה על הפעלתה במקרי-קצה, ולא כעניין יומיומי. </w:t>
      </w:r>
    </w:p>
    <w:p w:rsidR="00EB02E1" w:rsidRDefault="00EB02E1" w:rsidP="00EB02E1">
      <w:pPr>
        <w:pStyle w:val="Ruller41"/>
        <w:rPr>
          <w:rtl/>
        </w:rPr>
      </w:pPr>
    </w:p>
    <w:p w:rsidR="00EB02E1" w:rsidRDefault="00EB02E1" w:rsidP="00EB02E1">
      <w:pPr>
        <w:pStyle w:val="Ruller4"/>
        <w:rPr>
          <w:rtl/>
        </w:rPr>
      </w:pPr>
      <w:r>
        <w:rPr>
          <w:rFonts w:hint="cs"/>
          <w:rtl/>
        </w:rPr>
        <w:t xml:space="preserve">כאמור, אלו הם הרהורים ראשוניים, לא ממצים. זהו כיוון אחד, אפשרי, אך לא מחייב. ניתן בהחלט לחשוב על פתרונות אחרים, טובים יותר. לא הארכתי בדברים אלא כדי 'לפתוח את הראש', ולעורר שביב של תקווה כי ניתן 'לרבע את המעגל', ולהגיע להסדר מאוזן יותר, מבלי לוותר על העקרונות העומדים בבסיס ההסדר הנוכחי, הגורף. אילו היה נבחר מתווה מאוזן יותר, יתכן כי אותה 'התנגשות טקטונית' בין הרשויות, שאותה להוותנו אנו חוֹוים כעת </w:t>
      </w:r>
      <w:r>
        <w:rPr>
          <w:rtl/>
        </w:rPr>
        <w:t>–</w:t>
      </w:r>
      <w:r>
        <w:rPr>
          <w:rFonts w:hint="cs"/>
          <w:rtl/>
        </w:rPr>
        <w:t xml:space="preserve"> היתה נמנעת.</w:t>
      </w:r>
    </w:p>
    <w:p w:rsidR="00EB02E1" w:rsidRDefault="00EB02E1" w:rsidP="00EB02E1">
      <w:pPr>
        <w:pStyle w:val="Ruller41"/>
        <w:rPr>
          <w:rtl/>
        </w:rPr>
      </w:pPr>
    </w:p>
    <w:p w:rsidR="00EB02E1" w:rsidRPr="00B30169" w:rsidRDefault="00EB02E1" w:rsidP="00EB02E1">
      <w:pPr>
        <w:pStyle w:val="2"/>
        <w:rPr>
          <w:rtl/>
        </w:rPr>
      </w:pPr>
      <w:bookmarkStart w:id="80" w:name="_Toc154942599"/>
      <w:bookmarkStart w:id="81" w:name="_Toc154944422"/>
      <w:bookmarkStart w:id="82" w:name="_Toc154947532"/>
      <w:r w:rsidRPr="00B30169">
        <w:rPr>
          <w:rFonts w:ascii="Century" w:hAnsi="Century" w:cs="Miriam"/>
          <w:b/>
          <w:color w:val="auto"/>
          <w:sz w:val="22"/>
          <w:szCs w:val="24"/>
          <w:shd w:val="clear" w:color="auto" w:fill="FFFFFF"/>
          <w:rtl/>
        </w:rPr>
        <w:lastRenderedPageBreak/>
        <w:t>'</w:t>
      </w:r>
      <w:r w:rsidRPr="00B30169">
        <w:rPr>
          <w:rFonts w:ascii="Century" w:hAnsi="Century" w:cs="Miriam" w:hint="eastAsia"/>
          <w:b/>
          <w:color w:val="auto"/>
          <w:sz w:val="22"/>
          <w:szCs w:val="24"/>
          <w:shd w:val="clear" w:color="auto" w:fill="FFFFFF"/>
          <w:rtl/>
        </w:rPr>
        <w:t>שלילת</w:t>
      </w:r>
      <w:r w:rsidRPr="00B30169">
        <w:rPr>
          <w:rFonts w:ascii="Century" w:hAnsi="Century" w:cs="Miriam"/>
          <w:b/>
          <w:color w:val="auto"/>
          <w:sz w:val="22"/>
          <w:szCs w:val="24"/>
          <w:shd w:val="clear" w:color="auto" w:fill="FFFFFF"/>
          <w:rtl/>
        </w:rPr>
        <w:t xml:space="preserve"> </w:t>
      </w:r>
      <w:r w:rsidRPr="00B30169">
        <w:rPr>
          <w:rFonts w:ascii="Century" w:hAnsi="Century" w:cs="Miriam" w:hint="eastAsia"/>
          <w:b/>
          <w:color w:val="auto"/>
          <w:sz w:val="22"/>
          <w:szCs w:val="24"/>
          <w:shd w:val="clear" w:color="auto" w:fill="FFFFFF"/>
          <w:rtl/>
        </w:rPr>
        <w:t>עצם</w:t>
      </w:r>
      <w:r w:rsidRPr="00B30169">
        <w:rPr>
          <w:rFonts w:ascii="Century" w:hAnsi="Century" w:cs="Miriam"/>
          <w:b/>
          <w:color w:val="auto"/>
          <w:sz w:val="22"/>
          <w:szCs w:val="24"/>
          <w:shd w:val="clear" w:color="auto" w:fill="FFFFFF"/>
          <w:rtl/>
        </w:rPr>
        <w:t xml:space="preserve"> </w:t>
      </w:r>
      <w:r w:rsidRPr="00B30169">
        <w:rPr>
          <w:rFonts w:ascii="Century" w:hAnsi="Century" w:cs="Miriam" w:hint="eastAsia"/>
          <w:b/>
          <w:color w:val="auto"/>
          <w:sz w:val="22"/>
          <w:szCs w:val="24"/>
          <w:shd w:val="clear" w:color="auto" w:fill="FFFFFF"/>
          <w:rtl/>
        </w:rPr>
        <w:t>היותה</w:t>
      </w:r>
      <w:r w:rsidRPr="00B30169">
        <w:rPr>
          <w:rFonts w:ascii="Century" w:hAnsi="Century" w:cs="Miriam"/>
          <w:b/>
          <w:color w:val="auto"/>
          <w:sz w:val="22"/>
          <w:szCs w:val="24"/>
          <w:shd w:val="clear" w:color="auto" w:fill="FFFFFF"/>
          <w:rtl/>
        </w:rPr>
        <w:t xml:space="preserve"> </w:t>
      </w:r>
      <w:r w:rsidRPr="00B30169">
        <w:rPr>
          <w:rFonts w:ascii="Century" w:hAnsi="Century" w:cs="Miriam" w:hint="eastAsia"/>
          <w:b/>
          <w:color w:val="auto"/>
          <w:sz w:val="22"/>
          <w:szCs w:val="24"/>
          <w:shd w:val="clear" w:color="auto" w:fill="FFFFFF"/>
          <w:rtl/>
        </w:rPr>
        <w:t>של</w:t>
      </w:r>
      <w:r w:rsidRPr="00B30169">
        <w:rPr>
          <w:rFonts w:ascii="Century" w:hAnsi="Century" w:cs="Miriam"/>
          <w:b/>
          <w:color w:val="auto"/>
          <w:sz w:val="22"/>
          <w:szCs w:val="24"/>
          <w:shd w:val="clear" w:color="auto" w:fill="FFFFFF"/>
          <w:rtl/>
        </w:rPr>
        <w:t xml:space="preserve"> </w:t>
      </w:r>
      <w:r w:rsidRPr="00B30169">
        <w:rPr>
          <w:rFonts w:ascii="Century" w:hAnsi="Century" w:cs="Miriam" w:hint="eastAsia"/>
          <w:b/>
          <w:color w:val="auto"/>
          <w:sz w:val="22"/>
          <w:szCs w:val="24"/>
          <w:shd w:val="clear" w:color="auto" w:fill="FFFFFF"/>
          <w:rtl/>
        </w:rPr>
        <w:t>ישראל</w:t>
      </w:r>
      <w:r w:rsidRPr="00B30169">
        <w:rPr>
          <w:rFonts w:ascii="Century" w:hAnsi="Century" w:cs="Miriam"/>
          <w:b/>
          <w:color w:val="auto"/>
          <w:sz w:val="22"/>
          <w:szCs w:val="24"/>
          <w:shd w:val="clear" w:color="auto" w:fill="FFFFFF"/>
          <w:rtl/>
        </w:rPr>
        <w:t xml:space="preserve"> </w:t>
      </w:r>
      <w:r w:rsidRPr="00B30169">
        <w:rPr>
          <w:rFonts w:ascii="Century" w:hAnsi="Century" w:cs="Miriam" w:hint="eastAsia"/>
          <w:b/>
          <w:color w:val="auto"/>
          <w:sz w:val="22"/>
          <w:szCs w:val="24"/>
          <w:shd w:val="clear" w:color="auto" w:fill="FFFFFF"/>
          <w:rtl/>
        </w:rPr>
        <w:t>מדינה</w:t>
      </w:r>
      <w:r w:rsidRPr="00B30169">
        <w:rPr>
          <w:rFonts w:ascii="Century" w:hAnsi="Century" w:cs="Miriam"/>
          <w:b/>
          <w:color w:val="auto"/>
          <w:sz w:val="22"/>
          <w:szCs w:val="24"/>
          <w:shd w:val="clear" w:color="auto" w:fill="FFFFFF"/>
          <w:rtl/>
        </w:rPr>
        <w:t xml:space="preserve"> </w:t>
      </w:r>
      <w:r w:rsidRPr="00B30169">
        <w:rPr>
          <w:rFonts w:ascii="Century" w:hAnsi="Century" w:cs="Miriam" w:hint="eastAsia"/>
          <w:b/>
          <w:color w:val="auto"/>
          <w:sz w:val="22"/>
          <w:szCs w:val="24"/>
          <w:shd w:val="clear" w:color="auto" w:fill="FFFFFF"/>
          <w:rtl/>
        </w:rPr>
        <w:t>יהודית</w:t>
      </w:r>
      <w:r w:rsidRPr="00B30169">
        <w:rPr>
          <w:rFonts w:ascii="Century" w:hAnsi="Century" w:cs="Miriam"/>
          <w:b/>
          <w:color w:val="auto"/>
          <w:sz w:val="22"/>
          <w:szCs w:val="24"/>
          <w:shd w:val="clear" w:color="auto" w:fill="FFFFFF"/>
          <w:rtl/>
        </w:rPr>
        <w:t xml:space="preserve"> </w:t>
      </w:r>
      <w:r w:rsidRPr="00B30169">
        <w:rPr>
          <w:rFonts w:ascii="Century" w:hAnsi="Century" w:cs="Miriam" w:hint="eastAsia"/>
          <w:b/>
          <w:color w:val="auto"/>
          <w:sz w:val="22"/>
          <w:szCs w:val="24"/>
          <w:shd w:val="clear" w:color="auto" w:fill="FFFFFF"/>
          <w:rtl/>
        </w:rPr>
        <w:t>ודמוקרטית</w:t>
      </w:r>
      <w:bookmarkEnd w:id="80"/>
      <w:r w:rsidRPr="00B30169">
        <w:rPr>
          <w:rFonts w:ascii="Century" w:hAnsi="Century" w:cs="Miriam"/>
          <w:b/>
          <w:color w:val="auto"/>
          <w:sz w:val="22"/>
          <w:szCs w:val="24"/>
          <w:shd w:val="clear" w:color="auto" w:fill="FFFFFF"/>
          <w:rtl/>
        </w:rPr>
        <w:t>'</w:t>
      </w:r>
      <w:bookmarkEnd w:id="81"/>
      <w:bookmarkEnd w:id="82"/>
    </w:p>
    <w:p w:rsidR="00EB02E1" w:rsidRDefault="00EB02E1" w:rsidP="00EB02E1">
      <w:pPr>
        <w:pStyle w:val="Ruller4"/>
        <w:textAlignment w:val="auto"/>
      </w:pPr>
      <w:r>
        <w:rPr>
          <w:rFonts w:hint="cs"/>
          <w:rtl/>
        </w:rPr>
        <w:t xml:space="preserve">אשוב לעניין שעל הפרק. כאמור, אני מצטרף לקביעתה של חברתי הנשיאה (בדימ'), שלפיה הפרשנות האפשרית היחידה לדבר החקיקה שלפנינו, היא ביטולה של עילת הסבירות לגבי החלטות הממשלה ושׂריה; גם לא סבירות נוסח 'וונדסברי'. כזכור, עמדתי היא כי נעדרי סמכות אנו לדון בתוקפם של חוקי-היסוד, ובכך תם, לשיטתי, הדיון. שיטתה של חברתי </w:t>
      </w:r>
      <w:r>
        <w:rPr>
          <w:rtl/>
        </w:rPr>
        <w:t>–</w:t>
      </w:r>
      <w:r>
        <w:rPr>
          <w:rFonts w:hint="cs"/>
          <w:rtl/>
        </w:rPr>
        <w:t xml:space="preserve"> שונה. בפסק הדין בעניין </w:t>
      </w:r>
      <w:r w:rsidRPr="00433437">
        <w:rPr>
          <w:rFonts w:ascii="Century" w:hAnsi="Century" w:cs="Miriam" w:hint="cs"/>
          <w:b/>
          <w:spacing w:val="0"/>
          <w:sz w:val="22"/>
          <w:szCs w:val="24"/>
          <w:rtl/>
        </w:rPr>
        <w:t>חסון</w:t>
      </w:r>
      <w:r>
        <w:rPr>
          <w:rFonts w:hint="cs"/>
          <w:rtl/>
        </w:rPr>
        <w:t xml:space="preserve">, קבעה חברתי, כי </w:t>
      </w:r>
      <w:r w:rsidRPr="00433437">
        <w:rPr>
          <w:rFonts w:ascii="Century" w:hAnsi="Century" w:cs="Miriam" w:hint="cs"/>
          <w:b/>
          <w:spacing w:val="0"/>
          <w:sz w:val="22"/>
          <w:szCs w:val="24"/>
          <w:rtl/>
        </w:rPr>
        <w:t>"</w:t>
      </w:r>
      <w:r w:rsidRPr="00433437">
        <w:rPr>
          <w:rFonts w:ascii="Century" w:hAnsi="Century" w:cs="Miriam"/>
          <w:b/>
          <w:spacing w:val="0"/>
          <w:sz w:val="22"/>
          <w:szCs w:val="24"/>
          <w:shd w:val="clear" w:color="auto" w:fill="FFFFFF"/>
          <w:rtl/>
        </w:rPr>
        <w:t>קיימת מגבלה אחת, צרה ביותר, החלה על הכנסת בכובעה כרשות מכוננת והיא כי אין ביכולתה לשלול בחוק יסוד את עצם היותה של ישראל מדינה יהודית ודמוקרטית</w:t>
      </w:r>
      <w:r w:rsidRPr="00433437">
        <w:rPr>
          <w:rFonts w:ascii="Century" w:hAnsi="Century" w:cs="Miriam" w:hint="cs"/>
          <w:b/>
          <w:spacing w:val="0"/>
          <w:sz w:val="22"/>
          <w:szCs w:val="24"/>
          <w:rtl/>
        </w:rPr>
        <w:t>"</w:t>
      </w:r>
      <w:r>
        <w:rPr>
          <w:rFonts w:hint="cs"/>
          <w:rtl/>
        </w:rPr>
        <w:t xml:space="preserve">. גם אם נתעלם לרגע קט מבעיית הסמכות, אם ננסה לילך בדרכה של חברתי הנשיאה (בדימ'), לאמץ אותה הגדרה שקבעה בעניין </w:t>
      </w:r>
      <w:r w:rsidRPr="00433437">
        <w:rPr>
          <w:rFonts w:ascii="Century" w:hAnsi="Century" w:cs="Miriam" w:hint="cs"/>
          <w:b/>
          <w:spacing w:val="0"/>
          <w:sz w:val="22"/>
          <w:szCs w:val="24"/>
          <w:rtl/>
        </w:rPr>
        <w:t>חסון</w:t>
      </w:r>
      <w:r>
        <w:rPr>
          <w:rFonts w:hint="cs"/>
          <w:rtl/>
        </w:rPr>
        <w:t xml:space="preserve">, וליישׂמה על חוק-היסוד שלפנינו, הרי שהתשובה </w:t>
      </w:r>
      <w:r>
        <w:rPr>
          <w:rtl/>
        </w:rPr>
        <w:t>–</w:t>
      </w:r>
      <w:r>
        <w:rPr>
          <w:rFonts w:hint="cs"/>
          <w:rtl/>
        </w:rPr>
        <w:t xml:space="preserve"> ברורה מאליה. לא ניתן ליישב אותה הגדרה </w:t>
      </w:r>
      <w:r w:rsidRPr="00433437">
        <w:rPr>
          <w:rFonts w:ascii="Century" w:hAnsi="Century" w:cs="Miriam" w:hint="cs"/>
          <w:b/>
          <w:spacing w:val="0"/>
          <w:sz w:val="22"/>
          <w:szCs w:val="24"/>
          <w:rtl/>
        </w:rPr>
        <w:t>"צרה ביותר"</w:t>
      </w:r>
      <w:r>
        <w:rPr>
          <w:rFonts w:hint="cs"/>
          <w:rtl/>
        </w:rPr>
        <w:t xml:space="preserve">, שקבעה חברתי זה לא מכבר, עם מסקנתם של חברַי בעניין שלפנינו, שלפיה דינו של חוק-היסוד להיפסל. </w:t>
      </w:r>
    </w:p>
    <w:p w:rsidR="00EB02E1" w:rsidRDefault="00EB02E1" w:rsidP="00EB02E1">
      <w:pPr>
        <w:pStyle w:val="Ruller4"/>
        <w:numPr>
          <w:ilvl w:val="0"/>
          <w:numId w:val="0"/>
        </w:numPr>
      </w:pPr>
    </w:p>
    <w:p w:rsidR="00EB02E1" w:rsidRPr="004504C4" w:rsidRDefault="00EB02E1" w:rsidP="00EB02E1">
      <w:pPr>
        <w:pStyle w:val="Ruller4"/>
        <w:textAlignment w:val="auto"/>
        <w:rPr>
          <w:rtl/>
        </w:rPr>
      </w:pPr>
      <w:r>
        <w:rPr>
          <w:rFonts w:hint="cs"/>
          <w:rtl/>
        </w:rPr>
        <w:t xml:space="preserve">השאלה שאותה עלינו לשאול את עצמנו, אינה האם סבורים אנו כי החוק 'סביר'; גם לא האם החוק עשוי לעורר בעיות כאלו ואחרות. השאלה היא אחת ויחידה: האם חוק היסוד שולל </w:t>
      </w:r>
      <w:r w:rsidRPr="004504C4">
        <w:rPr>
          <w:rFonts w:ascii="Century" w:hAnsi="Century" w:cs="Miriam" w:hint="cs"/>
          <w:b/>
          <w:spacing w:val="0"/>
          <w:sz w:val="22"/>
          <w:szCs w:val="24"/>
          <w:rtl/>
        </w:rPr>
        <w:t>'את עצם היותה של ישראל מדינה יהודית ודמוקרטית'</w:t>
      </w:r>
      <w:r>
        <w:rPr>
          <w:rFonts w:hint="cs"/>
          <w:rtl/>
        </w:rPr>
        <w:t xml:space="preserve">? משזו השאלה, ואין בִּלתה, הרי שהמסקנה קרֵבה לבוא: תהיינה הטענות נגד חוק-היסוד אשר תהיינה, רחוק הוא מרחק רב מלבוא בגדריה של אותה מגבלה </w:t>
      </w:r>
      <w:r w:rsidRPr="004504C4">
        <w:rPr>
          <w:rFonts w:ascii="Century" w:hAnsi="Century" w:cs="Miriam" w:hint="cs"/>
          <w:b/>
          <w:spacing w:val="0"/>
          <w:sz w:val="22"/>
          <w:szCs w:val="24"/>
          <w:rtl/>
        </w:rPr>
        <w:t>"צרה ביותר"</w:t>
      </w:r>
      <w:r>
        <w:rPr>
          <w:rFonts w:hint="cs"/>
          <w:rtl/>
        </w:rPr>
        <w:t xml:space="preserve">, שבה הכירה ואותה הגדירה חברתי הנשיאה (בדימ') בעניין </w:t>
      </w:r>
      <w:r w:rsidRPr="004504C4">
        <w:rPr>
          <w:rFonts w:ascii="Century" w:hAnsi="Century" w:cs="Miriam" w:hint="cs"/>
          <w:b/>
          <w:spacing w:val="0"/>
          <w:sz w:val="22"/>
          <w:szCs w:val="24"/>
          <w:rtl/>
        </w:rPr>
        <w:t>חסון</w:t>
      </w:r>
      <w:r>
        <w:rPr>
          <w:rFonts w:hint="cs"/>
          <w:rtl/>
        </w:rPr>
        <w:t xml:space="preserve">. אין הוא 'שולל את עצם היותה של ישראל מדינה יהודית ודמוקרטית'; הרחק מכך. כזכור, פרופ' </w:t>
      </w:r>
      <w:r w:rsidRPr="004504C4">
        <w:rPr>
          <w:rFonts w:ascii="Century" w:hAnsi="Century" w:cs="Miriam" w:hint="cs"/>
          <w:b/>
          <w:spacing w:val="0"/>
          <w:sz w:val="22"/>
          <w:szCs w:val="24"/>
          <w:rtl/>
        </w:rPr>
        <w:t>פרידמן</w:t>
      </w:r>
      <w:r>
        <w:rPr>
          <w:rFonts w:hint="cs"/>
          <w:rtl/>
        </w:rPr>
        <w:t xml:space="preserve"> הציע בשעתו מתווה 'גורף' יותר ו'קיצוני' יותר, מזה שנחקק בחוק-היסוד שלפנינו (</w:t>
      </w:r>
      <w:r w:rsidRPr="002A6AD5">
        <w:rPr>
          <w:rFonts w:hint="cs"/>
          <w:rtl/>
        </w:rPr>
        <w:t>ראו לעיל, פסקאות</w:t>
      </w:r>
      <w:r>
        <w:rPr>
          <w:rFonts w:hint="cs"/>
          <w:rtl/>
        </w:rPr>
        <w:t xml:space="preserve"> 194-189</w:t>
      </w:r>
      <w:r w:rsidRPr="002A6AD5">
        <w:rPr>
          <w:rFonts w:hint="cs"/>
          <w:rtl/>
        </w:rPr>
        <w:t>).</w:t>
      </w:r>
      <w:r>
        <w:rPr>
          <w:rFonts w:hint="cs"/>
          <w:rtl/>
        </w:rPr>
        <w:t xml:space="preserve"> מי שיבקש להרחיק לכת, עד למאוד, ולטעון כי תיקון מס' 3 לחוק-יסוד: השפיטה 'שולל את עצם היותה של ישראל מדינה יהודית ודמוקרטית', יֵאלץ להכריז במקביל, כי פרופ' </w:t>
      </w:r>
      <w:r w:rsidRPr="004504C4">
        <w:rPr>
          <w:rFonts w:ascii="Century" w:hAnsi="Century" w:cs="Miriam" w:hint="cs"/>
          <w:b/>
          <w:spacing w:val="0"/>
          <w:sz w:val="22"/>
          <w:szCs w:val="24"/>
          <w:rtl/>
        </w:rPr>
        <w:t>פרידמן</w:t>
      </w:r>
      <w:r>
        <w:rPr>
          <w:rFonts w:hint="cs"/>
          <w:rtl/>
        </w:rPr>
        <w:t>, ענק-משפט כחול-לבן "ושָמְעוֹ הולך בכל המדינות", חתן פרס ישראל לחקר המשפט, דיקן הפקולטה למשפטים באוניברסיטת תל-אביב, שבין כתליה התחנכו כמעט כל חברַי הנמנים על דעת הרוב, עושה במשך שנים רבות, כדי 'לשלול את עצם היותה של ישראל מדינה יהודית ודמוקרטית'. היעלה על הדעת?</w:t>
      </w:r>
    </w:p>
    <w:p w:rsidR="00EB02E1" w:rsidRDefault="00EB02E1" w:rsidP="00EB02E1">
      <w:pPr>
        <w:pStyle w:val="Ruller41"/>
        <w:rPr>
          <w:rtl/>
        </w:rPr>
      </w:pPr>
    </w:p>
    <w:p w:rsidR="00EB02E1" w:rsidRDefault="00EB02E1" w:rsidP="00EB02E1">
      <w:pPr>
        <w:pStyle w:val="Ruller4"/>
        <w:textAlignment w:val="auto"/>
        <w:rPr>
          <w:rtl/>
        </w:rPr>
      </w:pPr>
      <w:r>
        <w:rPr>
          <w:rFonts w:hint="cs"/>
          <w:rtl/>
        </w:rPr>
        <w:t xml:space="preserve">חבר קרוב נמצא לפרופ' </w:t>
      </w:r>
      <w:r w:rsidRPr="004504C4">
        <w:rPr>
          <w:rFonts w:ascii="Century" w:hAnsi="Century" w:cs="Miriam" w:hint="cs"/>
          <w:b/>
          <w:spacing w:val="0"/>
          <w:sz w:val="22"/>
          <w:szCs w:val="24"/>
          <w:rtl/>
        </w:rPr>
        <w:t>דניאל פרידמן</w:t>
      </w:r>
      <w:r>
        <w:rPr>
          <w:rFonts w:hint="cs"/>
          <w:rtl/>
        </w:rPr>
        <w:t xml:space="preserve">, אינו קוטל קנים, שומר אמוּנים לגישה השמרנית. כּך אמר פרופ' </w:t>
      </w:r>
      <w:r w:rsidRPr="004504C4">
        <w:rPr>
          <w:rFonts w:ascii="Century" w:hAnsi="Century" w:cs="Miriam" w:hint="cs"/>
          <w:b/>
          <w:spacing w:val="0"/>
          <w:sz w:val="22"/>
          <w:szCs w:val="24"/>
          <w:rtl/>
        </w:rPr>
        <w:t>מרדכי קרמניצר</w:t>
      </w:r>
      <w:r>
        <w:rPr>
          <w:rFonts w:hint="cs"/>
          <w:rtl/>
        </w:rPr>
        <w:t xml:space="preserve">: </w:t>
      </w:r>
      <w:r w:rsidRPr="004504C4">
        <w:rPr>
          <w:rFonts w:ascii="Century" w:hAnsi="Century" w:cs="Miriam" w:hint="cs"/>
          <w:b/>
          <w:spacing w:val="0"/>
          <w:sz w:val="22"/>
          <w:szCs w:val="24"/>
          <w:rtl/>
        </w:rPr>
        <w:t xml:space="preserve">"בעייתית במיוחד היא העילה של חוסר סבירות קיצוני, שכן היא מערערת, אם לא ממוטטת, את האבחנה שבין חוקיות לבין תבונה ותועלת. הסכנה הכרוכה בה היא כפולה: היא עלולה להביא למעורבות יתר של הרשות השופטת, ודווקא בעניינים בהם מומחיות משפטית אינה בבחינת יתרון משמעותי; ולעומת זאת, דווקא לגוף המחליט יתרון יחסי על פני הרשות השופטת </w:t>
      </w:r>
      <w:r w:rsidRPr="004504C4">
        <w:rPr>
          <w:rFonts w:ascii="Century" w:hAnsi="Century"/>
          <w:sz w:val="22"/>
          <w:rtl/>
        </w:rPr>
        <w:t>–</w:t>
      </w:r>
      <w:r w:rsidRPr="004504C4">
        <w:rPr>
          <w:rFonts w:ascii="Century" w:hAnsi="Century" w:cs="Miriam" w:hint="cs"/>
          <w:b/>
          <w:spacing w:val="0"/>
          <w:sz w:val="22"/>
          <w:szCs w:val="24"/>
          <w:rtl/>
        </w:rPr>
        <w:t xml:space="preserve"> בין מכוח היותו נבחר ובין מכוח </w:t>
      </w:r>
      <w:r w:rsidRPr="004504C4">
        <w:rPr>
          <w:rFonts w:ascii="Century" w:hAnsi="Century" w:cs="Miriam" w:hint="cs"/>
          <w:b/>
          <w:spacing w:val="0"/>
          <w:sz w:val="22"/>
          <w:szCs w:val="24"/>
          <w:rtl/>
        </w:rPr>
        <w:lastRenderedPageBreak/>
        <w:t xml:space="preserve">מומחיותו או העזרותו במומחים. מעורבות כזו עלולה להיות בלתי מוצדקת מבחינה עניינית, ולפגוע בטווח ארוך במעמדו של בית המשפט. מצד אחר, וזהו בעיני החשש העיקרי, עלולה העילה של חוסר סבירות להביא ללגיטימציה במובן החזק של מעשים שאינם ראויים ללגיטימציה. במקום להיזקק לעילה זו, ייטיב בית המשפט לעשות אם יתייחס לעילות מוגדרות יותר כמו העדר פרופורציונאליות, ואף יפתח עילה של פגיעה בתקנת הציבור שעניינה פגיעה קשה באורחות מינהל תקין או בדמותה של המדינה כמדינת חוק, שכרוך בה נזק חינוכי או מוסרי. אני סבור כי הסתמכות על עילה כזו כוחה המשכנע רב יותר מאשר הרטוריקה של חוסר סבירות קיצוני, היוצרת רושם של הבדלי הערכה בשקלול, כאשר בית המשפט משים עצמו במקומה של הרשות השלטונית [...] ברי בעיני כי אין מקום לרטוריקה מן הסוג של 'מלוא כל הארץ משפט... גם כאשר סוג פעילות מסויים </w:t>
      </w:r>
      <w:r w:rsidRPr="004504C4">
        <w:rPr>
          <w:rFonts w:ascii="Century" w:hAnsi="Century"/>
          <w:sz w:val="22"/>
          <w:rtl/>
        </w:rPr>
        <w:t>–</w:t>
      </w:r>
      <w:r w:rsidRPr="004504C4">
        <w:rPr>
          <w:rFonts w:ascii="Century" w:hAnsi="Century" w:cs="Miriam" w:hint="cs"/>
          <w:b/>
          <w:spacing w:val="0"/>
          <w:sz w:val="22"/>
          <w:szCs w:val="24"/>
          <w:rtl/>
        </w:rPr>
        <w:t xml:space="preserve"> כגון יחסי חברות או מחשבות סובייקטיביות </w:t>
      </w:r>
      <w:r w:rsidRPr="004504C4">
        <w:rPr>
          <w:rFonts w:ascii="Century" w:hAnsi="Century"/>
          <w:sz w:val="22"/>
          <w:rtl/>
        </w:rPr>
        <w:t>–</w:t>
      </w:r>
      <w:r w:rsidRPr="004504C4">
        <w:rPr>
          <w:rFonts w:ascii="Century" w:hAnsi="Century" w:cs="Miriam" w:hint="cs"/>
          <w:b/>
          <w:spacing w:val="0"/>
          <w:sz w:val="22"/>
          <w:szCs w:val="24"/>
          <w:rtl/>
        </w:rPr>
        <w:t xml:space="preserve"> נשלט על ידי האוטונומיה של הרצון הפרטי. אוטונומיה זו קיימת, משום שהיא מוכרת על ידי המשפט'. דברים אלה המתכחשים לגבולות האינהרנטיים של המשפט ומשום כך </w:t>
      </w:r>
      <w:r w:rsidRPr="004504C4">
        <w:rPr>
          <w:rFonts w:ascii="Century" w:hAnsi="Century"/>
          <w:sz w:val="22"/>
          <w:rtl/>
        </w:rPr>
        <w:t>–</w:t>
      </w:r>
      <w:r w:rsidRPr="004504C4">
        <w:rPr>
          <w:rFonts w:ascii="Century" w:hAnsi="Century" w:cs="Miriam" w:hint="cs"/>
          <w:b/>
          <w:spacing w:val="0"/>
          <w:sz w:val="22"/>
          <w:szCs w:val="24"/>
          <w:rtl/>
        </w:rPr>
        <w:t xml:space="preserve"> אינם נכונים, הם גם מקוממים, ומעניקים למשפט מימד אימפריאליסטי מאיים"</w:t>
      </w:r>
      <w:r>
        <w:rPr>
          <w:rFonts w:hint="cs"/>
          <w:rtl/>
        </w:rPr>
        <w:t xml:space="preserve"> (מרדכי קרמניצר "יגורש הגרוש" </w:t>
      </w:r>
      <w:r w:rsidRPr="004504C4">
        <w:rPr>
          <w:rFonts w:ascii="Century" w:hAnsi="Century" w:cs="Miriam" w:hint="cs"/>
          <w:b/>
          <w:spacing w:val="0"/>
          <w:sz w:val="22"/>
          <w:szCs w:val="24"/>
          <w:rtl/>
        </w:rPr>
        <w:t>פלילים</w:t>
      </w:r>
      <w:r w:rsidRPr="004504C4">
        <w:rPr>
          <w:rFonts w:hint="cs"/>
          <w:rtl/>
        </w:rPr>
        <w:t xml:space="preserve"> </w:t>
      </w:r>
      <w:r>
        <w:rPr>
          <w:rFonts w:hint="cs"/>
          <w:rtl/>
        </w:rPr>
        <w:t xml:space="preserve">ד 17, 33-32 (תשנ"ד-1994)). הרי לנו: ביטול מוחלט, 'גורף', ו'קיצוני' של עילת הסבירות, לא רק בעניינם של הממשלה ושׂריה, כי אם גם בנוגע להחלטות גופים מינהליים אחרים. זהו 'מתווה קרמניצר'; דומני שתיקון </w:t>
      </w:r>
      <w:r w:rsidRPr="00D17DAF">
        <w:rPr>
          <w:rFonts w:hint="cs"/>
          <w:rtl/>
        </w:rPr>
        <w:t>מס' 3 לחוק יסוד: השפיטה, מחוויר לעומתו.</w:t>
      </w:r>
    </w:p>
    <w:p w:rsidR="00EB02E1" w:rsidRDefault="00EB02E1" w:rsidP="00EB02E1">
      <w:pPr>
        <w:pStyle w:val="Ruller41"/>
        <w:rPr>
          <w:rtl/>
        </w:rPr>
      </w:pPr>
    </w:p>
    <w:p w:rsidR="00EB02E1" w:rsidRDefault="00EB02E1" w:rsidP="00EB02E1">
      <w:pPr>
        <w:pStyle w:val="Ruller4"/>
        <w:rPr>
          <w:rtl/>
        </w:rPr>
      </w:pPr>
      <w:r>
        <w:rPr>
          <w:rFonts w:hint="cs"/>
          <w:rtl/>
        </w:rPr>
        <w:t xml:space="preserve">גישתו של השופט </w:t>
      </w:r>
      <w:r w:rsidRPr="00433437">
        <w:rPr>
          <w:rFonts w:ascii="Century" w:hAnsi="Century" w:cs="Miriam" w:hint="cs"/>
          <w:b/>
          <w:spacing w:val="0"/>
          <w:sz w:val="22"/>
          <w:szCs w:val="24"/>
          <w:rtl/>
        </w:rPr>
        <w:t>ברק</w:t>
      </w:r>
      <w:r>
        <w:rPr>
          <w:rFonts w:hint="cs"/>
          <w:rtl/>
        </w:rPr>
        <w:t xml:space="preserve"> לגבי עילת הסבירות, כפי שמשתקפת בפסק הדין בעניין </w:t>
      </w:r>
      <w:r w:rsidRPr="00433437">
        <w:rPr>
          <w:rFonts w:ascii="Century" w:hAnsi="Century" w:cs="Miriam" w:hint="cs"/>
          <w:b/>
          <w:spacing w:val="0"/>
          <w:sz w:val="22"/>
          <w:szCs w:val="24"/>
          <w:rtl/>
        </w:rPr>
        <w:t>דפי זהב</w:t>
      </w:r>
      <w:r>
        <w:rPr>
          <w:rFonts w:hint="cs"/>
          <w:rtl/>
        </w:rPr>
        <w:t xml:space="preserve">, מעוררת גם היא, בדרכה שלה, קשיים דמוקרטיים לא מבוטלים. אותם קשיים עשויים לרדת לשורשי הדמוקרטיה, ועקרון הפרדת הרשויות. יש מי שיאמר, כי 'הכשל הדמוקרטי' המתבטא בגישה זו, עשוי להיות חמור יותר מזה שמשתקף בגישת פרופ' </w:t>
      </w:r>
      <w:r w:rsidRPr="00433437">
        <w:rPr>
          <w:rFonts w:ascii="Century" w:hAnsi="Century" w:cs="Miriam" w:hint="cs"/>
          <w:b/>
          <w:spacing w:val="0"/>
          <w:sz w:val="22"/>
          <w:szCs w:val="24"/>
          <w:rtl/>
        </w:rPr>
        <w:t>פרידמן</w:t>
      </w:r>
      <w:r>
        <w:rPr>
          <w:rFonts w:hint="cs"/>
          <w:rtl/>
        </w:rPr>
        <w:t xml:space="preserve">. אף על-פי כן, איש מעולם לא ניסה לטעון, כי יש לבטל את עילת הסבירות 'המהותית' מִכֵּיוָן שהיא 'שוללת את עצם היותה של ישראל מדינה יהודית ודמוקרטית'. כך היה ראוי שננהג גם כלפי חוק-היסוד שלפנינו. גם אם איננו רוֹוים נחת מחוק-היסוד בנוסחו הנוכחי </w:t>
      </w:r>
      <w:r>
        <w:rPr>
          <w:rtl/>
        </w:rPr>
        <w:t>–</w:t>
      </w:r>
      <w:r>
        <w:rPr>
          <w:rFonts w:hint="cs"/>
          <w:rtl/>
        </w:rPr>
        <w:t xml:space="preserve"> אין בכך כדי להוביל לפסילתו. אין זה מתפקידנו להעניק 'הכשר', חותמת בג"ץ, לחוק-היסוד. לא לשם כך נתכנסנו בהרכב מורחב. גם לשיטתה של חברתי הנשיאה (בדימ') בעניין </w:t>
      </w:r>
      <w:r w:rsidRPr="00433437">
        <w:rPr>
          <w:rFonts w:ascii="Century" w:hAnsi="Century" w:cs="Miriam" w:hint="cs"/>
          <w:b/>
          <w:spacing w:val="0"/>
          <w:sz w:val="22"/>
          <w:szCs w:val="24"/>
          <w:rtl/>
        </w:rPr>
        <w:t>חסון</w:t>
      </w:r>
      <w:r>
        <w:rPr>
          <w:rFonts w:hint="cs"/>
          <w:rtl/>
        </w:rPr>
        <w:t xml:space="preserve">, כל אשר מבוקש מאיתנו הוא להצהיר כי חוק-היסוד שלפנינו אינו 'שולל את עצם היותה של ישראל מדינה יהודית ודמוקרטית'. מכאן ואילך, גם לשיטתה של חברתי, צריך היה הדיון המשפטי לבוא אל סיומו. כל אותן טענות ומענות נגד חוק-היסוד, דינן להמשיך להתלבן בשיח הציבורי; לא בבית המשפט. </w:t>
      </w:r>
    </w:p>
    <w:p w:rsidR="00EB02E1" w:rsidRPr="00433437" w:rsidRDefault="00EB02E1" w:rsidP="00EB02E1">
      <w:pPr>
        <w:pStyle w:val="Ruller41"/>
      </w:pPr>
    </w:p>
    <w:p w:rsidR="00EB02E1" w:rsidRPr="00433437" w:rsidRDefault="00EB02E1" w:rsidP="00EB02E1">
      <w:pPr>
        <w:pStyle w:val="Ruller4"/>
        <w:rPr>
          <w:rtl/>
        </w:rPr>
      </w:pPr>
      <w:r>
        <w:rPr>
          <w:rFonts w:hint="cs"/>
          <w:rtl/>
        </w:rPr>
        <w:t xml:space="preserve">בסיומו של פרק זה, אוסיף ואומר, כי הדיון הציבורי בעניינה של עילת הסבירות, שבו נטלתי חלק במידת-מה, התנהל במשך שנים ארוכות על מי-מנוחות; דיון ענייני ומכבד, שנסוב סביב טיעונים לגופו של עניין, המדגישים את יתרונותיה וחסרונותיה של </w:t>
      </w:r>
      <w:r>
        <w:rPr>
          <w:rFonts w:hint="cs"/>
          <w:rtl/>
        </w:rPr>
        <w:lastRenderedPageBreak/>
        <w:t xml:space="preserve">כל גישה. השיח הנוכחי </w:t>
      </w:r>
      <w:r>
        <w:rPr>
          <w:rtl/>
        </w:rPr>
        <w:t>–</w:t>
      </w:r>
      <w:r>
        <w:rPr>
          <w:rFonts w:hint="cs"/>
          <w:rtl/>
        </w:rPr>
        <w:t xml:space="preserve"> שונה בתכלית. </w:t>
      </w:r>
      <w:r w:rsidRPr="00433437">
        <w:rPr>
          <w:rFonts w:ascii="Century" w:hAnsi="Century" w:cs="Miriam" w:hint="cs"/>
          <w:b/>
          <w:spacing w:val="0"/>
          <w:sz w:val="22"/>
          <w:szCs w:val="24"/>
          <w:rtl/>
        </w:rPr>
        <w:t>"</w:t>
      </w:r>
      <w:r w:rsidRPr="00433437">
        <w:rPr>
          <w:rFonts w:ascii="Century" w:hAnsi="Century" w:cs="Miriam" w:hint="eastAsia"/>
          <w:b/>
          <w:spacing w:val="0"/>
          <w:sz w:val="22"/>
          <w:szCs w:val="24"/>
          <w:rtl/>
        </w:rPr>
        <w:t>אנו</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עדים</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לתגובה</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של</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מקהלה</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מתוזמרת</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שהדבר</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יגרום</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חורבן</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והרס</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כאשר</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המתנגדים</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מונים</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כל</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אחד</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בתורו</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את</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האסון</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הצפוי</w:t>
      </w:r>
      <w:r w:rsidRPr="00433437">
        <w:rPr>
          <w:rFonts w:ascii="Century" w:hAnsi="Century" w:cs="Miriam" w:hint="cs"/>
          <w:b/>
          <w:spacing w:val="0"/>
          <w:sz w:val="22"/>
          <w:szCs w:val="24"/>
          <w:rtl/>
        </w:rPr>
        <w:t>"</w:t>
      </w:r>
      <w:r>
        <w:rPr>
          <w:rFonts w:hint="cs"/>
          <w:rtl/>
        </w:rPr>
        <w:t xml:space="preserve"> (דניאל פרידמן "</w:t>
      </w:r>
      <w:r w:rsidRPr="00433437">
        <w:rPr>
          <w:rFonts w:hint="eastAsia"/>
          <w:rtl/>
        </w:rPr>
        <w:t>ישנן</w:t>
      </w:r>
      <w:r w:rsidRPr="00433437">
        <w:rPr>
          <w:rtl/>
        </w:rPr>
        <w:t xml:space="preserve"> </w:t>
      </w:r>
      <w:r w:rsidRPr="00433437">
        <w:rPr>
          <w:rFonts w:hint="eastAsia"/>
          <w:rtl/>
        </w:rPr>
        <w:t>לא</w:t>
      </w:r>
      <w:r w:rsidRPr="00433437">
        <w:rPr>
          <w:rtl/>
        </w:rPr>
        <w:t xml:space="preserve"> </w:t>
      </w:r>
      <w:r w:rsidRPr="00433437">
        <w:rPr>
          <w:rFonts w:hint="eastAsia"/>
          <w:rtl/>
        </w:rPr>
        <w:t>מעט</w:t>
      </w:r>
      <w:r w:rsidRPr="00433437">
        <w:rPr>
          <w:rtl/>
        </w:rPr>
        <w:t xml:space="preserve"> </w:t>
      </w:r>
      <w:r w:rsidRPr="00433437">
        <w:rPr>
          <w:rFonts w:hint="eastAsia"/>
          <w:rtl/>
        </w:rPr>
        <w:t>פעולות</w:t>
      </w:r>
      <w:r w:rsidRPr="00433437">
        <w:rPr>
          <w:rtl/>
        </w:rPr>
        <w:t xml:space="preserve"> </w:t>
      </w:r>
      <w:r w:rsidRPr="00433437">
        <w:rPr>
          <w:rFonts w:hint="eastAsia"/>
          <w:rtl/>
        </w:rPr>
        <w:t>מזיקות</w:t>
      </w:r>
      <w:r w:rsidRPr="00433437">
        <w:rPr>
          <w:rtl/>
        </w:rPr>
        <w:t xml:space="preserve"> </w:t>
      </w:r>
      <w:r w:rsidRPr="00433437">
        <w:rPr>
          <w:rFonts w:hint="eastAsia"/>
          <w:rtl/>
        </w:rPr>
        <w:t>של</w:t>
      </w:r>
      <w:r w:rsidRPr="00433437">
        <w:rPr>
          <w:rtl/>
        </w:rPr>
        <w:t xml:space="preserve"> </w:t>
      </w:r>
      <w:r w:rsidRPr="00433437">
        <w:rPr>
          <w:rFonts w:hint="eastAsia"/>
          <w:rtl/>
        </w:rPr>
        <w:t>הממשלה</w:t>
      </w:r>
      <w:r w:rsidRPr="00433437">
        <w:rPr>
          <w:rtl/>
        </w:rPr>
        <w:t xml:space="preserve">, </w:t>
      </w:r>
      <w:r w:rsidRPr="00433437">
        <w:rPr>
          <w:rFonts w:hint="eastAsia"/>
          <w:rtl/>
        </w:rPr>
        <w:t>עילת</w:t>
      </w:r>
      <w:r w:rsidRPr="00433437">
        <w:rPr>
          <w:rtl/>
        </w:rPr>
        <w:t xml:space="preserve"> </w:t>
      </w:r>
      <w:r w:rsidRPr="00433437">
        <w:rPr>
          <w:rFonts w:hint="eastAsia"/>
          <w:rtl/>
        </w:rPr>
        <w:t>הסבירות</w:t>
      </w:r>
      <w:r w:rsidRPr="00433437">
        <w:rPr>
          <w:rtl/>
        </w:rPr>
        <w:t xml:space="preserve"> </w:t>
      </w:r>
      <w:r w:rsidRPr="00433437">
        <w:rPr>
          <w:rFonts w:hint="eastAsia"/>
          <w:rtl/>
        </w:rPr>
        <w:t>איננה</w:t>
      </w:r>
      <w:r w:rsidRPr="00433437">
        <w:rPr>
          <w:rtl/>
        </w:rPr>
        <w:t xml:space="preserve"> </w:t>
      </w:r>
      <w:r w:rsidRPr="00433437">
        <w:rPr>
          <w:rFonts w:hint="eastAsia"/>
          <w:rtl/>
        </w:rPr>
        <w:t>אחת</w:t>
      </w:r>
      <w:r w:rsidRPr="00433437">
        <w:rPr>
          <w:rtl/>
        </w:rPr>
        <w:t xml:space="preserve"> </w:t>
      </w:r>
      <w:r w:rsidRPr="00433437">
        <w:rPr>
          <w:rFonts w:hint="eastAsia"/>
          <w:rtl/>
        </w:rPr>
        <w:t>מהן</w:t>
      </w:r>
      <w:r>
        <w:rPr>
          <w:rFonts w:hint="cs"/>
          <w:rtl/>
        </w:rPr>
        <w:t xml:space="preserve">" </w:t>
      </w:r>
      <w:r w:rsidRPr="00433437">
        <w:rPr>
          <w:rFonts w:ascii="Century" w:hAnsi="Century" w:cs="Miriam" w:hint="cs"/>
          <w:b/>
          <w:spacing w:val="0"/>
          <w:sz w:val="22"/>
          <w:szCs w:val="24"/>
          <w:rtl/>
        </w:rPr>
        <w:t>מעריב</w:t>
      </w:r>
      <w:r>
        <w:rPr>
          <w:rFonts w:hint="cs"/>
          <w:rtl/>
        </w:rPr>
        <w:t xml:space="preserve"> (14.7.2023))</w:t>
      </w:r>
      <w:r w:rsidRPr="00433437">
        <w:rPr>
          <w:rtl/>
        </w:rPr>
        <w:t>.</w:t>
      </w:r>
      <w:r>
        <w:rPr>
          <w:rFonts w:hint="cs"/>
          <w:rtl/>
        </w:rPr>
        <w:t xml:space="preserve"> כולי תקווה, כי סיומם של הליך החקיקה, וההליך המשפטי שבא בעקבותיו, יקלו על הצדדים כולם 'להנמיך את הטונים', ולחזור לאותו שיח 'סולידי' שאִפיין את הדיון הציבורי בעבר. כך ניתן יהיה להביא לשיתוף פעולה בין הקואליציה לבין האופוזיציה, בדבר המתווה הנכון והמדויק, שבו יש לנקוט כדי להשיב את עילת הסבירות לממדיה הטבעיים. </w:t>
      </w:r>
    </w:p>
    <w:p w:rsidR="00EB02E1" w:rsidRPr="00AF495D" w:rsidRDefault="00EB02E1" w:rsidP="00035B19">
      <w:pPr>
        <w:pStyle w:val="Ruller41"/>
        <w:rPr>
          <w:rFonts w:ascii="Century" w:hAnsi="Century" w:cs="Miriam"/>
          <w:b/>
          <w:szCs w:val="24"/>
          <w:rtl/>
        </w:rPr>
      </w:pPr>
    </w:p>
    <w:p w:rsidR="00EB02E1" w:rsidRPr="00AF495D" w:rsidRDefault="00EB02E1" w:rsidP="00EB02E1">
      <w:pPr>
        <w:pStyle w:val="2"/>
        <w:rPr>
          <w:rtl/>
        </w:rPr>
      </w:pPr>
      <w:bookmarkStart w:id="83" w:name="_Toc154942600"/>
      <w:bookmarkStart w:id="84" w:name="_Toc154944423"/>
      <w:bookmarkStart w:id="85" w:name="_Toc154947533"/>
      <w:r w:rsidRPr="00AF495D">
        <w:rPr>
          <w:rFonts w:ascii="Century" w:hAnsi="Century" w:cs="Miriam" w:hint="eastAsia"/>
          <w:b/>
          <w:color w:val="auto"/>
          <w:sz w:val="22"/>
          <w:szCs w:val="24"/>
          <w:rtl/>
        </w:rPr>
        <w:t>שימוש</w:t>
      </w:r>
      <w:r w:rsidRPr="00AF495D">
        <w:rPr>
          <w:rFonts w:ascii="Century" w:hAnsi="Century" w:cs="Miriam"/>
          <w:b/>
          <w:color w:val="auto"/>
          <w:sz w:val="22"/>
          <w:szCs w:val="24"/>
          <w:rtl/>
        </w:rPr>
        <w:t xml:space="preserve"> </w:t>
      </w:r>
      <w:r w:rsidRPr="00AF495D">
        <w:rPr>
          <w:rFonts w:ascii="Century" w:hAnsi="Century" w:cs="Miriam" w:hint="eastAsia"/>
          <w:b/>
          <w:color w:val="auto"/>
          <w:sz w:val="22"/>
          <w:szCs w:val="24"/>
          <w:rtl/>
        </w:rPr>
        <w:t>לרעה</w:t>
      </w:r>
      <w:r w:rsidRPr="00AF495D">
        <w:rPr>
          <w:rFonts w:ascii="Century" w:hAnsi="Century" w:cs="Miriam"/>
          <w:b/>
          <w:color w:val="auto"/>
          <w:sz w:val="22"/>
          <w:szCs w:val="24"/>
          <w:rtl/>
        </w:rPr>
        <w:t xml:space="preserve"> </w:t>
      </w:r>
      <w:r w:rsidRPr="00AF495D">
        <w:rPr>
          <w:rFonts w:ascii="Century" w:hAnsi="Century" w:cs="Miriam" w:hint="eastAsia"/>
          <w:b/>
          <w:color w:val="auto"/>
          <w:sz w:val="22"/>
          <w:szCs w:val="24"/>
          <w:rtl/>
        </w:rPr>
        <w:t>בסמכות</w:t>
      </w:r>
      <w:r w:rsidRPr="00AF495D">
        <w:rPr>
          <w:rFonts w:ascii="Century" w:hAnsi="Century" w:cs="Miriam"/>
          <w:b/>
          <w:color w:val="auto"/>
          <w:sz w:val="22"/>
          <w:szCs w:val="24"/>
          <w:rtl/>
        </w:rPr>
        <w:t xml:space="preserve"> </w:t>
      </w:r>
      <w:r w:rsidRPr="00AF495D">
        <w:rPr>
          <w:rFonts w:ascii="Century" w:hAnsi="Century" w:cs="Miriam" w:hint="eastAsia"/>
          <w:b/>
          <w:color w:val="auto"/>
          <w:sz w:val="22"/>
          <w:szCs w:val="24"/>
          <w:rtl/>
        </w:rPr>
        <w:t>המכוננת</w:t>
      </w:r>
      <w:bookmarkEnd w:id="83"/>
      <w:bookmarkEnd w:id="84"/>
      <w:bookmarkEnd w:id="85"/>
    </w:p>
    <w:p w:rsidR="00EB02E1" w:rsidRDefault="00EB02E1" w:rsidP="00EB02E1">
      <w:pPr>
        <w:pStyle w:val="Ruller4"/>
        <w:rPr>
          <w:rtl/>
        </w:rPr>
      </w:pPr>
      <w:r>
        <w:rPr>
          <w:rFonts w:hint="cs"/>
          <w:rtl/>
        </w:rPr>
        <w:t xml:space="preserve">נטען לפנינו, כי התיקון לחוק-היסוד אינו עומד במבחני-העזר שהותוו בבג"ץ 5969/20 </w:t>
      </w:r>
      <w:r w:rsidRPr="00F51194">
        <w:rPr>
          <w:rFonts w:ascii="Century" w:hAnsi="Century" w:cs="Miriam" w:hint="cs"/>
          <w:b/>
          <w:spacing w:val="0"/>
          <w:sz w:val="22"/>
          <w:szCs w:val="24"/>
          <w:rtl/>
        </w:rPr>
        <w:t>שפיר נ' הכנסת</w:t>
      </w:r>
      <w:r>
        <w:rPr>
          <w:rFonts w:hint="cs"/>
          <w:rtl/>
        </w:rPr>
        <w:t xml:space="preserve"> (23.5.2021) (להלן: </w:t>
      </w:r>
      <w:r w:rsidRPr="00F51194">
        <w:rPr>
          <w:rFonts w:ascii="Century" w:hAnsi="Century" w:cs="Miriam" w:hint="cs"/>
          <w:b/>
          <w:spacing w:val="0"/>
          <w:sz w:val="22"/>
          <w:szCs w:val="24"/>
          <w:rtl/>
        </w:rPr>
        <w:t>עניין שפיר</w:t>
      </w:r>
      <w:r>
        <w:rPr>
          <w:rFonts w:hint="cs"/>
          <w:rtl/>
        </w:rPr>
        <w:t xml:space="preserve">) לזיהויה של נורמה חוקתית, בדגש על </w:t>
      </w:r>
      <w:r w:rsidRPr="00671100">
        <w:rPr>
          <w:rFonts w:ascii="Century" w:hAnsi="Century" w:cs="Miriam" w:hint="cs"/>
          <w:b/>
          <w:spacing w:val="0"/>
          <w:sz w:val="22"/>
          <w:szCs w:val="24"/>
          <w:rtl/>
        </w:rPr>
        <w:t>מבחן ההשתלבות במארג החוקתי</w:t>
      </w:r>
      <w:r>
        <w:rPr>
          <w:rFonts w:hint="cs"/>
          <w:rtl/>
        </w:rPr>
        <w:t xml:space="preserve">. מרבית חברַי, שראו להעתר לעתירות, לא ביססו את מסקנתם על הטענות לפגמים במה שנוגע לדוקטרינה של </w:t>
      </w:r>
      <w:r w:rsidRPr="00671100">
        <w:rPr>
          <w:rFonts w:ascii="Century" w:hAnsi="Century" w:cs="Miriam" w:hint="cs"/>
          <w:b/>
          <w:spacing w:val="0"/>
          <w:sz w:val="22"/>
          <w:szCs w:val="24"/>
          <w:rtl/>
        </w:rPr>
        <w:t>שימוש לרעה בסמכות המכוננת</w:t>
      </w:r>
      <w:r>
        <w:rPr>
          <w:rFonts w:hint="cs"/>
          <w:rtl/>
        </w:rPr>
        <w:t>.</w:t>
      </w:r>
      <w:r w:rsidRPr="00FC3410">
        <w:rPr>
          <w:rFonts w:hint="cs"/>
          <w:rtl/>
        </w:rPr>
        <w:t xml:space="preserve"> </w:t>
      </w:r>
      <w:r>
        <w:rPr>
          <w:rFonts w:hint="cs"/>
          <w:rtl/>
        </w:rPr>
        <w:t xml:space="preserve">עם זאת, חברתי הנשיאה (בדימ') העירה בחוות דעתה על אודות קשיים שמעורר התיקון לחוק-היסוד גם במישור זה, ובשאלת עמידתו במבחנים לזיהויה של נורמה חוקתית, אם כי לא נטעה מסמרות בנדון. את ביקורתי על הדוקטרינה, וקריאתי לחברַי לשוב ל'מבחן הצורני' המסורתי, אביא לידי ביטוי באריכות בפסק הדין </w:t>
      </w:r>
      <w:r>
        <w:rPr>
          <w:rFonts w:hint="cs"/>
          <w:sz w:val="28"/>
          <w:rtl/>
        </w:rPr>
        <w:t>ב</w:t>
      </w:r>
      <w:r w:rsidRPr="00671100">
        <w:rPr>
          <w:sz w:val="28"/>
          <w:rtl/>
        </w:rPr>
        <w:t>בג"ץ 2412/23</w:t>
      </w:r>
      <w:r>
        <w:rPr>
          <w:rFonts w:hint="cs"/>
          <w:rtl/>
        </w:rPr>
        <w:t xml:space="preserve"> </w:t>
      </w:r>
      <w:r w:rsidRPr="00671100">
        <w:rPr>
          <w:rFonts w:ascii="Century" w:hAnsi="Century" w:cs="Miriam" w:hint="cs"/>
          <w:b/>
          <w:spacing w:val="0"/>
          <w:sz w:val="22"/>
          <w:szCs w:val="24"/>
          <w:rtl/>
        </w:rPr>
        <w:t>התנועה למען איכות השלטון ואח' נ' הכנסת ואח'</w:t>
      </w:r>
      <w:r w:rsidRPr="00FC3410">
        <w:rPr>
          <w:rFonts w:hint="cs"/>
          <w:rtl/>
        </w:rPr>
        <w:t xml:space="preserve"> </w:t>
      </w:r>
      <w:r>
        <w:rPr>
          <w:rFonts w:hint="cs"/>
          <w:rtl/>
        </w:rPr>
        <w:t xml:space="preserve">(להלן: </w:t>
      </w:r>
      <w:r w:rsidRPr="00671100">
        <w:rPr>
          <w:rFonts w:ascii="Century" w:hAnsi="Century" w:cs="Miriam" w:hint="cs"/>
          <w:b/>
          <w:spacing w:val="0"/>
          <w:sz w:val="22"/>
          <w:szCs w:val="24"/>
          <w:rtl/>
        </w:rPr>
        <w:t>עניין הנבצרות</w:t>
      </w:r>
      <w:r>
        <w:rPr>
          <w:rFonts w:hint="cs"/>
          <w:rtl/>
        </w:rPr>
        <w:t>) לכשיינתן. אצמצם אפוא את התייחסותי כאן, להערותיה של חברתי הנשיאה (בדימ').</w:t>
      </w:r>
    </w:p>
    <w:p w:rsidR="00EB02E1" w:rsidRPr="00FC3410" w:rsidRDefault="00EB02E1" w:rsidP="00EB02E1">
      <w:pPr>
        <w:pStyle w:val="Ruller41"/>
      </w:pPr>
    </w:p>
    <w:p w:rsidR="00EB02E1" w:rsidRDefault="00EB02E1" w:rsidP="00EB02E1">
      <w:pPr>
        <w:pStyle w:val="Ruller4"/>
      </w:pPr>
      <w:r>
        <w:rPr>
          <w:rFonts w:hint="cs"/>
          <w:rtl/>
        </w:rPr>
        <w:t xml:space="preserve">מבחן ההשתלבות במארג החוקתי, כפי ששורטט בעניין </w:t>
      </w:r>
      <w:r w:rsidRPr="00137261">
        <w:rPr>
          <w:rFonts w:ascii="Century" w:hAnsi="Century" w:cs="Miriam" w:hint="cs"/>
          <w:b/>
          <w:spacing w:val="0"/>
          <w:szCs w:val="24"/>
          <w:rtl/>
        </w:rPr>
        <w:t>שפיר</w:t>
      </w:r>
      <w:r>
        <w:rPr>
          <w:rFonts w:hint="cs"/>
          <w:rtl/>
        </w:rPr>
        <w:t xml:space="preserve">, נועד להגן על החוקה המתגבשת מפני חדירה של נורמות </w:t>
      </w:r>
      <w:r w:rsidRPr="00137261">
        <w:rPr>
          <w:rFonts w:ascii="Century" w:hAnsi="Century" w:cs="Miriam" w:hint="cs"/>
          <w:b/>
          <w:spacing w:val="0"/>
          <w:szCs w:val="24"/>
          <w:rtl/>
        </w:rPr>
        <w:t>"שאינן מצויות במדרג המתאים לכך"</w:t>
      </w:r>
      <w:r>
        <w:rPr>
          <w:rFonts w:hint="cs"/>
          <w:rtl/>
        </w:rPr>
        <w:t xml:space="preserve">; הוראות-חוק שאינן ראויות לאותה עטרה חוקתית </w:t>
      </w:r>
      <w:r>
        <w:rPr>
          <w:rtl/>
        </w:rPr>
        <w:t>–</w:t>
      </w:r>
      <w:r>
        <w:rPr>
          <w:rFonts w:hint="cs"/>
          <w:rtl/>
        </w:rPr>
        <w:t xml:space="preserve"> </w:t>
      </w:r>
      <w:r w:rsidRPr="00137261">
        <w:rPr>
          <w:rFonts w:ascii="Century" w:hAnsi="Century" w:cs="Miriam" w:hint="cs"/>
          <w:b/>
          <w:spacing w:val="0"/>
          <w:szCs w:val="24"/>
          <w:rtl/>
        </w:rPr>
        <w:t>"באופן שעלול לגרום לשחיקה וזילות במעמדם של חוקי</w:t>
      </w:r>
      <w:r>
        <w:rPr>
          <w:rFonts w:ascii="Century" w:hAnsi="Century" w:cs="Miriam" w:hint="cs"/>
          <w:b/>
          <w:spacing w:val="0"/>
          <w:szCs w:val="24"/>
          <w:rtl/>
        </w:rPr>
        <w:t xml:space="preserve"> </w:t>
      </w:r>
      <w:r w:rsidRPr="00137261">
        <w:rPr>
          <w:rFonts w:ascii="Century" w:hAnsi="Century" w:cs="Miriam" w:hint="cs"/>
          <w:b/>
          <w:spacing w:val="0"/>
          <w:szCs w:val="24"/>
          <w:rtl/>
        </w:rPr>
        <w:t>היסוד"</w:t>
      </w:r>
      <w:r>
        <w:rPr>
          <w:rFonts w:hint="cs"/>
          <w:rtl/>
        </w:rPr>
        <w:t xml:space="preserve"> (עניין </w:t>
      </w:r>
      <w:r w:rsidRPr="0008284A">
        <w:rPr>
          <w:rFonts w:ascii="Century" w:hAnsi="Century" w:cs="Miriam" w:hint="cs"/>
          <w:b/>
          <w:spacing w:val="0"/>
          <w:szCs w:val="24"/>
          <w:rtl/>
        </w:rPr>
        <w:t>שפיר</w:t>
      </w:r>
      <w:r>
        <w:rPr>
          <w:rFonts w:hint="cs"/>
          <w:rtl/>
        </w:rPr>
        <w:t>, פסקה 31). זאת על יסוד ההנחה, כי</w:t>
      </w:r>
      <w:r w:rsidRPr="00137261">
        <w:rPr>
          <w:rFonts w:cs="Miriam" w:hint="cs"/>
          <w:szCs w:val="24"/>
          <w:rtl/>
        </w:rPr>
        <w:t xml:space="preserve"> </w:t>
      </w:r>
      <w:r w:rsidRPr="00137261">
        <w:rPr>
          <w:rFonts w:ascii="Century" w:hAnsi="Century" w:cs="Miriam" w:hint="cs"/>
          <w:b/>
          <w:spacing w:val="0"/>
          <w:szCs w:val="24"/>
          <w:rtl/>
        </w:rPr>
        <w:t>"</w:t>
      </w:r>
      <w:r>
        <w:rPr>
          <w:rFonts w:ascii="Century" w:hAnsi="Century" w:cs="Miriam" w:hint="cs"/>
          <w:b/>
          <w:spacing w:val="0"/>
          <w:szCs w:val="24"/>
          <w:rtl/>
        </w:rPr>
        <w:t>בניגוד לחקיקה 'רגילה'</w:t>
      </w:r>
      <w:r w:rsidRPr="00137261">
        <w:rPr>
          <w:rFonts w:ascii="Century" w:hAnsi="Century" w:cs="Miriam" w:hint="cs"/>
          <w:b/>
          <w:spacing w:val="0"/>
          <w:szCs w:val="24"/>
          <w:rtl/>
        </w:rPr>
        <w:t xml:space="preserve"> שנועדה להסדיר עניינים של יומיום, חקיקת יסוד נועדה להסדיר עניינים הנוגעים לליבת המשטר החוקתי של מדינת ישראל" </w:t>
      </w:r>
      <w:r w:rsidRPr="00137261">
        <w:rPr>
          <w:rFonts w:ascii="Century" w:hAnsi="Century" w:hint="cs"/>
          <w:rtl/>
        </w:rPr>
        <w:t>(</w:t>
      </w:r>
      <w:r>
        <w:rPr>
          <w:rFonts w:ascii="Century" w:hAnsi="Century" w:hint="cs"/>
          <w:rtl/>
        </w:rPr>
        <w:t>שם</w:t>
      </w:r>
      <w:r w:rsidRPr="00137261">
        <w:rPr>
          <w:rFonts w:ascii="Century" w:hAnsi="Century" w:hint="cs"/>
          <w:rtl/>
        </w:rPr>
        <w:t>,</w:t>
      </w:r>
      <w:r>
        <w:rPr>
          <w:rFonts w:ascii="Century" w:hAnsi="Century" w:hint="cs"/>
          <w:rtl/>
        </w:rPr>
        <w:t xml:space="preserve"> פסקה</w:t>
      </w:r>
      <w:r w:rsidRPr="00137261">
        <w:rPr>
          <w:rFonts w:ascii="Century" w:hAnsi="Century" w:hint="cs"/>
          <w:rtl/>
        </w:rPr>
        <w:t xml:space="preserve"> 41)</w:t>
      </w:r>
      <w:r>
        <w:rPr>
          <w:rFonts w:hint="cs"/>
          <w:rtl/>
        </w:rPr>
        <w:t xml:space="preserve">. </w:t>
      </w:r>
    </w:p>
    <w:p w:rsidR="00EB02E1" w:rsidRDefault="00EB02E1" w:rsidP="00EB02E1">
      <w:pPr>
        <w:pStyle w:val="Ruller41"/>
        <w:ind w:left="720"/>
        <w:rPr>
          <w:rtl/>
        </w:rPr>
      </w:pPr>
    </w:p>
    <w:p w:rsidR="00EB02E1" w:rsidRDefault="00EB02E1" w:rsidP="00EB02E1">
      <w:pPr>
        <w:pStyle w:val="Ruller4"/>
        <w:rPr>
          <w:rtl/>
        </w:rPr>
      </w:pPr>
      <w:r>
        <w:rPr>
          <w:rFonts w:hint="cs"/>
          <w:rtl/>
        </w:rPr>
        <w:t xml:space="preserve">לאורה של הבחנה זו </w:t>
      </w:r>
      <w:r>
        <w:rPr>
          <w:rtl/>
        </w:rPr>
        <w:t>–</w:t>
      </w:r>
      <w:r>
        <w:rPr>
          <w:rFonts w:hint="cs"/>
          <w:rtl/>
        </w:rPr>
        <w:t xml:space="preserve"> האמנם ניתן לטעון כי התיקון שלפנינו, עניינו בהסדרת </w:t>
      </w:r>
      <w:r w:rsidRPr="0008284A">
        <w:rPr>
          <w:rFonts w:ascii="Century" w:hAnsi="Century" w:cs="Miriam" w:hint="cs"/>
          <w:b/>
          <w:spacing w:val="0"/>
          <w:szCs w:val="24"/>
          <w:rtl/>
        </w:rPr>
        <w:t>"עניינים של יומיום"</w:t>
      </w:r>
      <w:r>
        <w:rPr>
          <w:rFonts w:hint="cs"/>
          <w:rtl/>
        </w:rPr>
        <w:t>, 'עוּבדין דחוֹל', שאינם ראויים לטעון לכתר החוקתי? האם לפנינו תיקון מסוג "</w:t>
      </w:r>
      <w:r w:rsidRPr="0008284A">
        <w:rPr>
          <w:rFonts w:ascii="Century" w:hAnsi="Century" w:hint="cs"/>
          <w:rtl/>
        </w:rPr>
        <w:t xml:space="preserve">חוק יסוד: היטל תיעול" (כדוגמה החביבה של חברי השופט </w:t>
      </w:r>
      <w:r w:rsidRPr="0008284A">
        <w:rPr>
          <w:rFonts w:ascii="Century" w:hAnsi="Century" w:cs="Miriam" w:hint="cs"/>
          <w:b/>
          <w:spacing w:val="0"/>
          <w:szCs w:val="24"/>
          <w:rtl/>
        </w:rPr>
        <w:t>עמית</w:t>
      </w:r>
      <w:r w:rsidRPr="0008284A">
        <w:rPr>
          <w:rFonts w:ascii="Century" w:hAnsi="Century" w:hint="cs"/>
          <w:rtl/>
        </w:rPr>
        <w:t xml:space="preserve"> בעניין </w:t>
      </w:r>
      <w:r w:rsidRPr="0008284A">
        <w:rPr>
          <w:rFonts w:ascii="Century" w:hAnsi="Century" w:cs="Miriam" w:hint="cs"/>
          <w:b/>
          <w:spacing w:val="0"/>
          <w:szCs w:val="24"/>
          <w:rtl/>
        </w:rPr>
        <w:t>שפיר</w:t>
      </w:r>
      <w:r w:rsidRPr="0008284A">
        <w:rPr>
          <w:rFonts w:ascii="Century" w:hAnsi="Century" w:hint="cs"/>
          <w:rtl/>
        </w:rPr>
        <w:t>, בפסקה 3), או דבר בדומה לו?</w:t>
      </w:r>
      <w:r>
        <w:rPr>
          <w:rFonts w:hint="cs"/>
          <w:rtl/>
        </w:rPr>
        <w:t xml:space="preserve"> </w:t>
      </w:r>
      <w:r w:rsidRPr="009B3AD9">
        <w:rPr>
          <w:rFonts w:hint="cs"/>
          <w:rtl/>
        </w:rPr>
        <w:t xml:space="preserve">ברי כי התשובה לכך היא בשלילה. עניינו של התיקון בהסדרת היחסים בין הרשות המבצעת לרשות השופטת, ובפרט </w:t>
      </w:r>
      <w:r w:rsidRPr="009B3AD9">
        <w:rPr>
          <w:rtl/>
        </w:rPr>
        <w:t>–</w:t>
      </w:r>
      <w:r w:rsidRPr="009B3AD9">
        <w:rPr>
          <w:rFonts w:hint="cs"/>
          <w:rtl/>
        </w:rPr>
        <w:t xml:space="preserve"> בעילת ביקורת מינהלית בעלת מוטת כנפיים רחבה, להבדיל מהסדרי אי-שפיטות צרים ומקומיים. מדובר </w:t>
      </w:r>
      <w:r w:rsidRPr="009B3AD9">
        <w:rPr>
          <w:rFonts w:hint="cs"/>
          <w:rtl/>
        </w:rPr>
        <w:lastRenderedPageBreak/>
        <w:t>אפוא בנושא בעל אופי חוקתי-משטרי מובהק.</w:t>
      </w:r>
      <w:r>
        <w:rPr>
          <w:rFonts w:hint="cs"/>
          <w:rtl/>
        </w:rPr>
        <w:t xml:space="preserve"> בהקשר זה, מקובלת עלי הערת חברִי, השופט </w:t>
      </w:r>
      <w:r w:rsidRPr="0008284A">
        <w:rPr>
          <w:rFonts w:ascii="Century" w:hAnsi="Century" w:cs="Miriam" w:hint="cs"/>
          <w:b/>
          <w:spacing w:val="0"/>
          <w:sz w:val="22"/>
          <w:szCs w:val="24"/>
          <w:rtl/>
        </w:rPr>
        <w:t>י</w:t>
      </w:r>
      <w:r>
        <w:rPr>
          <w:rFonts w:hint="cs"/>
          <w:rtl/>
        </w:rPr>
        <w:t xml:space="preserve">' </w:t>
      </w:r>
      <w:r w:rsidRPr="0008284A">
        <w:rPr>
          <w:rFonts w:ascii="Century" w:hAnsi="Century" w:cs="Miriam" w:hint="cs"/>
          <w:b/>
          <w:spacing w:val="0"/>
          <w:sz w:val="22"/>
          <w:szCs w:val="24"/>
          <w:rtl/>
        </w:rPr>
        <w:t>כשר</w:t>
      </w:r>
      <w:r w:rsidRPr="00E63616">
        <w:rPr>
          <w:rFonts w:hint="cs"/>
          <w:rtl/>
        </w:rPr>
        <w:t xml:space="preserve"> </w:t>
      </w:r>
      <w:r>
        <w:rPr>
          <w:rFonts w:hint="cs"/>
          <w:rtl/>
        </w:rPr>
        <w:t xml:space="preserve">(בפסקה 47), באשר לפער מעורר-התמיהה, שבין תיאור התיקון כטומן בחובו שינוי סדרי בראשית </w:t>
      </w:r>
      <w:r>
        <w:rPr>
          <w:rtl/>
        </w:rPr>
        <w:t>–</w:t>
      </w:r>
      <w:r>
        <w:rPr>
          <w:rFonts w:hint="cs"/>
          <w:rtl/>
        </w:rPr>
        <w:t xml:space="preserve"> כפי שהוא משתקף בעתירות </w:t>
      </w:r>
      <w:r>
        <w:rPr>
          <w:rtl/>
        </w:rPr>
        <w:t>–</w:t>
      </w:r>
      <w:r>
        <w:rPr>
          <w:rFonts w:hint="cs"/>
          <w:rtl/>
        </w:rPr>
        <w:t xml:space="preserve"> לבין הצבת סימני השאלה על עצם שייכותו למארג החוקתי. הדברים אף מתחדדים, על רקע הבהרת חברתי הנשיאה (בדימ') בעניין </w:t>
      </w:r>
      <w:r w:rsidRPr="0008284A">
        <w:rPr>
          <w:rFonts w:ascii="Century" w:hAnsi="Century" w:cs="Miriam" w:hint="cs"/>
          <w:b/>
          <w:spacing w:val="0"/>
          <w:szCs w:val="24"/>
          <w:rtl/>
        </w:rPr>
        <w:t>שפיר</w:t>
      </w:r>
      <w:r>
        <w:rPr>
          <w:rFonts w:hint="cs"/>
          <w:rtl/>
        </w:rPr>
        <w:t xml:space="preserve">, כי מבחן המארג החוקתי אינו מתיימר לבחון את טיבה 'החוקתי' של חקיקת יסוד באמת-מידה אובייקטיבית ומופשטת, אלא מייחס </w:t>
      </w:r>
      <w:r w:rsidRPr="0008284A">
        <w:rPr>
          <w:rFonts w:ascii="Century" w:hAnsi="Century" w:cs="Miriam" w:hint="cs"/>
          <w:b/>
          <w:spacing w:val="0"/>
          <w:szCs w:val="24"/>
          <w:rtl/>
        </w:rPr>
        <w:t xml:space="preserve">"משקל רב יותר להסדר </w:t>
      </w:r>
      <w:r w:rsidRPr="0008284A">
        <w:rPr>
          <w:rFonts w:ascii="Century" w:hAnsi="Century" w:cs="Miriam" w:hint="cs"/>
          <w:b/>
          <w:spacing w:val="0"/>
          <w:szCs w:val="24"/>
          <w:u w:val="single"/>
          <w:rtl/>
        </w:rPr>
        <w:t>הקיים</w:t>
      </w:r>
      <w:r w:rsidRPr="0008284A">
        <w:rPr>
          <w:rFonts w:ascii="Century" w:hAnsi="Century" w:cs="Miriam" w:hint="cs"/>
          <w:b/>
          <w:spacing w:val="0"/>
          <w:szCs w:val="24"/>
          <w:rtl/>
        </w:rPr>
        <w:t>, קרי למארג חוקי היסוד שבתוכו משתלב חוק היסוד החדש או התיקון שעומד לבחינתנו"</w:t>
      </w:r>
      <w:r>
        <w:rPr>
          <w:rFonts w:hint="cs"/>
          <w:rtl/>
        </w:rPr>
        <w:t xml:space="preserve"> (פסקה 60). </w:t>
      </w:r>
    </w:p>
    <w:p w:rsidR="00EB02E1" w:rsidRPr="001F60B0" w:rsidRDefault="00EB02E1" w:rsidP="00EB02E1">
      <w:pPr>
        <w:pStyle w:val="Ruller41"/>
      </w:pPr>
    </w:p>
    <w:p w:rsidR="00EB02E1" w:rsidRDefault="00EB02E1" w:rsidP="00EB02E1">
      <w:pPr>
        <w:pStyle w:val="Ruller4"/>
        <w:rPr>
          <w:rtl/>
        </w:rPr>
      </w:pPr>
      <w:r>
        <w:rPr>
          <w:rFonts w:hint="cs"/>
          <w:rtl/>
        </w:rPr>
        <w:t xml:space="preserve">ובכן, האריג החוקתי שלנו </w:t>
      </w:r>
      <w:r>
        <w:rPr>
          <w:rtl/>
        </w:rPr>
        <w:t>–</w:t>
      </w:r>
      <w:r>
        <w:rPr>
          <w:rFonts w:hint="cs"/>
          <w:rtl/>
        </w:rPr>
        <w:t xml:space="preserve"> מה טיבו? כפי שציינה חברתי הנשיאה (בדימ') חוקי-היסוד שלנו </w:t>
      </w:r>
      <w:r w:rsidRPr="001F60B0">
        <w:rPr>
          <w:rFonts w:ascii="Century" w:hAnsi="Century" w:cs="Miriam" w:hint="cs"/>
          <w:b/>
          <w:spacing w:val="0"/>
          <w:szCs w:val="24"/>
          <w:rtl/>
        </w:rPr>
        <w:t>"נוסחו באופן מפורט יותר מאשר סעיפים מקבילים בחוקותיהן של מדינות אחרות"</w:t>
      </w:r>
      <w:r w:rsidRPr="001F60B0">
        <w:rPr>
          <w:rFonts w:ascii="Century" w:hAnsi="Century" w:hint="cs"/>
          <w:rtl/>
        </w:rPr>
        <w:t xml:space="preserve"> (פסקה 41)</w:t>
      </w:r>
      <w:r>
        <w:rPr>
          <w:rFonts w:hint="cs"/>
          <w:rtl/>
        </w:rPr>
        <w:t xml:space="preserve">. על מידת ההפשטה המוגבלת של חוקי-היסוד שלנו, ועל אופיים הפרטני </w:t>
      </w:r>
      <w:r>
        <w:rPr>
          <w:rtl/>
        </w:rPr>
        <w:t>–</w:t>
      </w:r>
      <w:r>
        <w:rPr>
          <w:rFonts w:hint="cs"/>
          <w:rtl/>
        </w:rPr>
        <w:t xml:space="preserve"> שאינו הולם 'רזולוציה' חוקתית מקובלת </w:t>
      </w:r>
      <w:r>
        <w:rPr>
          <w:rtl/>
        </w:rPr>
        <w:t>–</w:t>
      </w:r>
      <w:r>
        <w:rPr>
          <w:rFonts w:hint="cs"/>
          <w:rtl/>
        </w:rPr>
        <w:t xml:space="preserve"> עמד בשעתו פרופ' </w:t>
      </w:r>
      <w:r w:rsidRPr="001F60B0">
        <w:rPr>
          <w:rFonts w:ascii="Century" w:hAnsi="Century" w:cs="Miriam" w:hint="cs"/>
          <w:b/>
          <w:spacing w:val="0"/>
          <w:szCs w:val="24"/>
          <w:rtl/>
        </w:rPr>
        <w:t>זמיר</w:t>
      </w:r>
      <w:r>
        <w:rPr>
          <w:rFonts w:hint="cs"/>
          <w:rtl/>
        </w:rPr>
        <w:t xml:space="preserve">, בציינוֹ כי חוק יסוד: הכנסת </w:t>
      </w:r>
      <w:r w:rsidRPr="001F60B0">
        <w:rPr>
          <w:rFonts w:ascii="Century" w:hAnsi="Century" w:cs="Miriam" w:hint="cs"/>
          <w:b/>
          <w:spacing w:val="0"/>
          <w:szCs w:val="24"/>
          <w:rtl/>
        </w:rPr>
        <w:t xml:space="preserve">"משתרע על 46 סעיפים, גדוש פרטים ופרטי פרטים שראוי היה להם להיקבע בחוק רגיל" </w:t>
      </w:r>
      <w:r w:rsidRPr="001F60B0">
        <w:rPr>
          <w:rFonts w:ascii="Century" w:hAnsi="Century" w:hint="cs"/>
          <w:rtl/>
        </w:rPr>
        <w:t>(</w:t>
      </w:r>
      <w:r>
        <w:rPr>
          <w:rFonts w:hint="cs"/>
          <w:rtl/>
        </w:rPr>
        <w:t xml:space="preserve">יצחק זמיר "חוקי-היסוד בדרך לחוקה" מבוא לספרם של אמנון רובינשטיין ורענן הר-זהב </w:t>
      </w:r>
      <w:r w:rsidRPr="001F60B0">
        <w:rPr>
          <w:rFonts w:ascii="Times New Roman" w:hAnsi="Times New Roman" w:cs="Miriam" w:hint="cs"/>
          <w:spacing w:val="0"/>
          <w:sz w:val="28"/>
          <w:szCs w:val="24"/>
          <w:rtl/>
        </w:rPr>
        <w:t>חוק יסוד: הכנסת</w:t>
      </w:r>
      <w:r>
        <w:rPr>
          <w:rFonts w:hint="cs"/>
          <w:rtl/>
        </w:rPr>
        <w:t xml:space="preserve"> 11, 14-13</w:t>
      </w:r>
      <w:r w:rsidRPr="008520D7">
        <w:rPr>
          <w:rFonts w:hint="cs"/>
          <w:rtl/>
        </w:rPr>
        <w:t xml:space="preserve"> (</w:t>
      </w:r>
      <w:r>
        <w:rPr>
          <w:rFonts w:hint="cs"/>
          <w:rtl/>
        </w:rPr>
        <w:t xml:space="preserve">פירוש לחוקי היסוד, יצחק זמיר עורך, 1992)). החרה-החזיק והוסיף עליו השופט </w:t>
      </w:r>
      <w:r w:rsidRPr="001F60B0">
        <w:rPr>
          <w:rFonts w:ascii="Century" w:hAnsi="Century" w:cs="Miriam" w:hint="cs"/>
          <w:b/>
          <w:spacing w:val="0"/>
          <w:szCs w:val="24"/>
          <w:rtl/>
        </w:rPr>
        <w:t>הנדל</w:t>
      </w:r>
      <w:r w:rsidRPr="001F60B0">
        <w:rPr>
          <w:rFonts w:ascii="Century" w:hAnsi="Century" w:hint="cs"/>
          <w:sz w:val="22"/>
          <w:rtl/>
        </w:rPr>
        <w:t>,</w:t>
      </w:r>
      <w:r w:rsidRPr="000D6C0E">
        <w:rPr>
          <w:rFonts w:hint="cs"/>
          <w:rtl/>
        </w:rPr>
        <w:t xml:space="preserve"> </w:t>
      </w:r>
      <w:r>
        <w:rPr>
          <w:rFonts w:hint="cs"/>
          <w:rtl/>
        </w:rPr>
        <w:t xml:space="preserve">בעניין </w:t>
      </w:r>
      <w:r w:rsidRPr="001F60B0">
        <w:rPr>
          <w:rFonts w:ascii="Century" w:hAnsi="Century" w:cs="Miriam" w:hint="cs"/>
          <w:b/>
          <w:spacing w:val="0"/>
          <w:sz w:val="22"/>
          <w:szCs w:val="24"/>
          <w:rtl/>
        </w:rPr>
        <w:t>שפיר</w:t>
      </w:r>
      <w:r>
        <w:rPr>
          <w:rFonts w:hint="cs"/>
          <w:rtl/>
        </w:rPr>
        <w:t xml:space="preserve">, תוך שחידד כי מדובר בדפוס עקבי ומוּדע: </w:t>
      </w:r>
      <w:r w:rsidRPr="001F60B0">
        <w:rPr>
          <w:rFonts w:ascii="Century" w:hAnsi="Century" w:cs="Miriam" w:hint="cs"/>
          <w:b/>
          <w:spacing w:val="0"/>
          <w:szCs w:val="24"/>
          <w:rtl/>
        </w:rPr>
        <w:t xml:space="preserve">"לא למותר להוסיף כי חוק יסוד: הכנסת אינו חריג בנוף החוקתי, וכי חוק יסוד: הממשלה מונה כיום 47 סעיפים, שגם בהם בולטת הירידה לפרטים, באופן המצביע על כך שלא מדובר בהיסח הדעת – אלא בבחירה מכוונת שלא להסתפק בעיגון ההסדרים האמורים בחקיקה ראשית" </w:t>
      </w:r>
      <w:r w:rsidRPr="001F60B0">
        <w:rPr>
          <w:rFonts w:ascii="Century" w:hAnsi="Century" w:hint="cs"/>
          <w:rtl/>
        </w:rPr>
        <w:t>(פסקה 9)</w:t>
      </w:r>
      <w:r>
        <w:rPr>
          <w:rFonts w:hint="cs"/>
          <w:rtl/>
        </w:rPr>
        <w:t xml:space="preserve">. </w:t>
      </w:r>
    </w:p>
    <w:p w:rsidR="00EB02E1" w:rsidRDefault="00EB02E1" w:rsidP="00EB02E1">
      <w:pPr>
        <w:pStyle w:val="Ruller41"/>
        <w:ind w:left="720"/>
        <w:rPr>
          <w:rtl/>
        </w:rPr>
      </w:pPr>
    </w:p>
    <w:p w:rsidR="00EB02E1" w:rsidRDefault="00EB02E1" w:rsidP="00EB02E1">
      <w:pPr>
        <w:pStyle w:val="Ruller4"/>
        <w:rPr>
          <w:rtl/>
        </w:rPr>
      </w:pPr>
      <w:r>
        <w:rPr>
          <w:rFonts w:hint="cs"/>
          <w:rtl/>
        </w:rPr>
        <w:t>אכן, החוטים המתוחים על פני מעשה-האורג החוקתי שלנו, הם לעיתים דקים ופשוטים; נורמה המבקשת להשתלב בו, מבלי שתֵיחשב לנטע זר, אינה נדרשת לעמוד במבחן הפשטה חוקתי-משטרי גבוה במיוחד. התיקון לחוק-היסוד שלפנינו, מכל מקום, מוצא בו את מקומו בנקל.</w:t>
      </w:r>
    </w:p>
    <w:p w:rsidR="00EB02E1" w:rsidRDefault="00EB02E1" w:rsidP="00EB02E1">
      <w:pPr>
        <w:pStyle w:val="Ruller41"/>
        <w:rPr>
          <w:rtl/>
        </w:rPr>
      </w:pPr>
    </w:p>
    <w:p w:rsidR="00EB02E1" w:rsidRDefault="00EB02E1" w:rsidP="00EB02E1">
      <w:pPr>
        <w:pStyle w:val="Ruller4"/>
      </w:pPr>
      <w:r>
        <w:rPr>
          <w:rFonts w:hint="cs"/>
          <w:rtl/>
        </w:rPr>
        <w:t xml:space="preserve">עוד אעיר, כי אחת הטענות בנוגע לאי-השתלבות התיקון במארג החוקתי, נוגעת להשתייכותו לתחום המשפט המינהלי, אשר לא הוסדר עד כה ברמה החוקתית (פסקאות 190-188 לחוות דעתה של </w:t>
      </w:r>
      <w:r w:rsidRPr="00DC3243">
        <w:rPr>
          <w:rFonts w:ascii="Century" w:hAnsi="Century" w:hint="eastAsia"/>
          <w:sz w:val="22"/>
          <w:rtl/>
        </w:rPr>
        <w:t>הנשיאה</w:t>
      </w:r>
      <w:r w:rsidRPr="00137261">
        <w:rPr>
          <w:rFonts w:hint="cs"/>
          <w:rtl/>
        </w:rPr>
        <w:t xml:space="preserve"> </w:t>
      </w:r>
      <w:r>
        <w:rPr>
          <w:rFonts w:hint="cs"/>
          <w:rtl/>
        </w:rPr>
        <w:t xml:space="preserve">(בדימ')). טענה זו מוקשית בעינַי, שכן התיקון אינו מתייחס לחובה המינהלית כשהיא לעצמה, אלא לשפיטותה ולשאלת הביקורת השיפוטית מכוחה; מרכז הכובד של התיקון מצוי אפוא </w:t>
      </w:r>
      <w:r w:rsidRPr="003068A6">
        <w:rPr>
          <w:rFonts w:ascii="Century" w:hAnsi="Century" w:cs="Miriam" w:hint="cs"/>
          <w:b/>
          <w:spacing w:val="0"/>
          <w:sz w:val="22"/>
          <w:szCs w:val="24"/>
          <w:rtl/>
        </w:rPr>
        <w:t>במערך היחסים בין הרשויות</w:t>
      </w:r>
      <w:r>
        <w:rPr>
          <w:rFonts w:hint="cs"/>
          <w:rtl/>
        </w:rPr>
        <w:t xml:space="preserve">, ובעמדת חברי הרשות המכוננת, לפיה לבית המשפט אין את הכלים המתאימים לבחון ולאכוף את יִשׂום </w:t>
      </w:r>
      <w:r>
        <w:rPr>
          <w:rFonts w:hint="cs"/>
          <w:rtl/>
        </w:rPr>
        <w:lastRenderedPageBreak/>
        <w:t xml:space="preserve">חובתה המינהלית של הממשלה ושׂריה לפעול בסבירות </w:t>
      </w:r>
      <w:r>
        <w:rPr>
          <w:rtl/>
        </w:rPr>
        <w:t>–</w:t>
      </w:r>
      <w:r>
        <w:rPr>
          <w:rFonts w:hint="cs"/>
          <w:rtl/>
        </w:rPr>
        <w:t xml:space="preserve"> חובה העומדת בעינה במלוא תוקפה. </w:t>
      </w:r>
    </w:p>
    <w:p w:rsidR="00EB02E1" w:rsidRDefault="00EB02E1" w:rsidP="00EB02E1">
      <w:pPr>
        <w:pStyle w:val="Ruller4"/>
        <w:numPr>
          <w:ilvl w:val="0"/>
          <w:numId w:val="0"/>
        </w:numPr>
      </w:pPr>
    </w:p>
    <w:p w:rsidR="00EB02E1" w:rsidRDefault="00EB02E1" w:rsidP="00EB02E1">
      <w:pPr>
        <w:pStyle w:val="Ruller4"/>
      </w:pPr>
      <w:r>
        <w:rPr>
          <w:rFonts w:hint="cs"/>
          <w:rtl/>
        </w:rPr>
        <w:t xml:space="preserve">טענת אי-ההשתלבות של התיקון במארג החוקתי, על רקע היסטוריית החקיקה המינהלית בישראל, מעוררת קושי נוסף, שכן היא טומנת בחוּבּה, למעשה, דרישת השתלבות רחבה יותר מ'מבחן ההפשטה' ו'הליבה המשטרית'; השתלבות במובן </w:t>
      </w:r>
      <w:r w:rsidRPr="00FD2706">
        <w:rPr>
          <w:rFonts w:ascii="Century" w:hAnsi="Century" w:cs="Miriam" w:hint="cs"/>
          <w:b/>
          <w:spacing w:val="0"/>
          <w:sz w:val="22"/>
          <w:szCs w:val="24"/>
          <w:rtl/>
        </w:rPr>
        <w:t>הנושאי-תוכני</w:t>
      </w:r>
      <w:r>
        <w:rPr>
          <w:rFonts w:hint="cs"/>
          <w:rtl/>
        </w:rPr>
        <w:t xml:space="preserve">. קרי </w:t>
      </w:r>
      <w:r>
        <w:rPr>
          <w:rtl/>
        </w:rPr>
        <w:t>–</w:t>
      </w:r>
      <w:r>
        <w:rPr>
          <w:rFonts w:hint="cs"/>
          <w:rtl/>
        </w:rPr>
        <w:t xml:space="preserve"> גם אם מדובר בתיקון משטרי מופשט, עצם השתייכותו לשדה המשפט המינהלי, הופכת אותו לנטע זר במרקם החוקתי, שלא ידע עד כה הסדרים מסוג זה. </w:t>
      </w:r>
    </w:p>
    <w:p w:rsidR="00EB02E1" w:rsidRDefault="00EB02E1" w:rsidP="00EB02E1">
      <w:pPr>
        <w:pStyle w:val="Ruller4"/>
        <w:numPr>
          <w:ilvl w:val="0"/>
          <w:numId w:val="0"/>
        </w:numPr>
      </w:pPr>
    </w:p>
    <w:p w:rsidR="00EB02E1" w:rsidRPr="00137261" w:rsidRDefault="00EB02E1" w:rsidP="00EB02E1">
      <w:pPr>
        <w:pStyle w:val="Ruller4"/>
        <w:numPr>
          <w:ilvl w:val="0"/>
          <w:numId w:val="0"/>
        </w:numPr>
        <w:rPr>
          <w:rtl/>
        </w:rPr>
      </w:pPr>
      <w:r>
        <w:rPr>
          <w:rtl/>
        </w:rPr>
        <w:tab/>
      </w:r>
      <w:r>
        <w:rPr>
          <w:rFonts w:hint="cs"/>
          <w:rtl/>
        </w:rPr>
        <w:t xml:space="preserve">דא עקא, דרישה זו </w:t>
      </w:r>
      <w:r>
        <w:rPr>
          <w:rtl/>
        </w:rPr>
        <w:t>–</w:t>
      </w:r>
      <w:r>
        <w:rPr>
          <w:rFonts w:hint="cs"/>
          <w:rtl/>
        </w:rPr>
        <w:t xml:space="preserve"> קשה להוֹלמה; אין לי אלא לחזור על הסתייגותה של חברתי, השופטת </w:t>
      </w:r>
      <w:r w:rsidRPr="00671100">
        <w:rPr>
          <w:rFonts w:ascii="Century" w:hAnsi="Century" w:cs="Miriam" w:hint="cs"/>
          <w:b/>
          <w:spacing w:val="0"/>
          <w:sz w:val="22"/>
          <w:szCs w:val="24"/>
          <w:rtl/>
        </w:rPr>
        <w:t>ד' ברק-ארז</w:t>
      </w:r>
      <w:r>
        <w:rPr>
          <w:rFonts w:hint="cs"/>
          <w:rtl/>
        </w:rPr>
        <w:t xml:space="preserve"> בענין </w:t>
      </w:r>
      <w:r w:rsidRPr="00FD2706">
        <w:rPr>
          <w:rFonts w:ascii="Century" w:hAnsi="Century" w:cs="Miriam" w:hint="cs"/>
          <w:b/>
          <w:spacing w:val="0"/>
          <w:sz w:val="22"/>
          <w:szCs w:val="24"/>
          <w:rtl/>
        </w:rPr>
        <w:t>שפיר</w:t>
      </w:r>
      <w:r>
        <w:rPr>
          <w:rFonts w:hint="cs"/>
          <w:rtl/>
        </w:rPr>
        <w:t xml:space="preserve">, לפיה מבחן זה </w:t>
      </w:r>
      <w:r w:rsidRPr="00FD2706">
        <w:rPr>
          <w:rFonts w:ascii="Century" w:hAnsi="Century" w:cs="Miriam" w:hint="cs"/>
          <w:b/>
          <w:spacing w:val="0"/>
          <w:sz w:val="22"/>
          <w:szCs w:val="24"/>
          <w:rtl/>
        </w:rPr>
        <w:t>"מעניק לחוקי היסוד הקודמים עדיפות על פני חוקי יסוד חדשים. עדיפות זו מעוררת קושי בהתחשב בכך שהפרויקט החוקתי בישראל עודו בשלבי גיבוש, ובמובן זה 'אין מוקדם ומאוחר בתורה'"</w:t>
      </w:r>
      <w:r w:rsidRPr="00FD2706">
        <w:rPr>
          <w:rFonts w:ascii="Century" w:hAnsi="Century" w:hint="cs"/>
          <w:rtl/>
        </w:rPr>
        <w:t xml:space="preserve"> (פסקה 22).</w:t>
      </w:r>
      <w:r>
        <w:rPr>
          <w:rFonts w:hint="cs"/>
          <w:rtl/>
        </w:rPr>
        <w:t xml:space="preserve"> אכן, דרישת השתלבות תוכנית-נושאית מעין זו, מקרבת אותנו 'בדלת האחורית' לגישת 'הסמכות המכוננת הנגזרת', אשר לא אומצה על-ידינו, מתוך הכרה בכך שהמפעל החוקתי שלנו עודנו בשלבי גיבוש </w:t>
      </w:r>
      <w:r>
        <w:rPr>
          <w:rtl/>
        </w:rPr>
        <w:t>–</w:t>
      </w:r>
      <w:r>
        <w:rPr>
          <w:rFonts w:hint="cs"/>
          <w:rtl/>
        </w:rPr>
        <w:t xml:space="preserve"> עודנו הולך ומתהווה (ראו בעניין </w:t>
      </w:r>
      <w:r w:rsidRPr="00FD2706">
        <w:rPr>
          <w:rFonts w:ascii="Century" w:hAnsi="Century" w:cs="Miriam" w:hint="cs"/>
          <w:b/>
          <w:spacing w:val="0"/>
          <w:sz w:val="22"/>
          <w:szCs w:val="24"/>
          <w:rtl/>
        </w:rPr>
        <w:t>ח</w:t>
      </w:r>
      <w:r>
        <w:rPr>
          <w:rFonts w:ascii="Century" w:hAnsi="Century" w:cs="Miriam" w:hint="cs"/>
          <w:b/>
          <w:spacing w:val="0"/>
          <w:sz w:val="22"/>
          <w:szCs w:val="24"/>
          <w:rtl/>
        </w:rPr>
        <w:t>סון</w:t>
      </w:r>
      <w:r>
        <w:rPr>
          <w:rFonts w:hint="cs"/>
          <w:rtl/>
        </w:rPr>
        <w:t xml:space="preserve">, פסקה 25 לפסק דינה של </w:t>
      </w:r>
      <w:r w:rsidRPr="00FD2706">
        <w:rPr>
          <w:rFonts w:ascii="Century" w:hAnsi="Century" w:hint="cs"/>
          <w:sz w:val="22"/>
          <w:rtl/>
        </w:rPr>
        <w:t>הנשיאה</w:t>
      </w:r>
      <w:r w:rsidRPr="00FC3410">
        <w:rPr>
          <w:rFonts w:hint="cs"/>
          <w:rtl/>
        </w:rPr>
        <w:t xml:space="preserve"> </w:t>
      </w:r>
      <w:r w:rsidRPr="00FD2706">
        <w:rPr>
          <w:rFonts w:ascii="Century" w:hAnsi="Century" w:cs="Miriam" w:hint="cs"/>
          <w:b/>
          <w:spacing w:val="0"/>
          <w:sz w:val="22"/>
          <w:szCs w:val="24"/>
          <w:rtl/>
        </w:rPr>
        <w:t>חיות</w:t>
      </w:r>
      <w:r>
        <w:rPr>
          <w:rFonts w:hint="cs"/>
          <w:rtl/>
        </w:rPr>
        <w:t xml:space="preserve">). </w:t>
      </w:r>
    </w:p>
    <w:p w:rsidR="00EB02E1" w:rsidRDefault="00EB02E1" w:rsidP="00EB02E1">
      <w:pPr>
        <w:pStyle w:val="Ruller41"/>
        <w:rPr>
          <w:rtl/>
        </w:rPr>
      </w:pPr>
    </w:p>
    <w:p w:rsidR="00EB02E1" w:rsidRDefault="00EB02E1" w:rsidP="00EB02E1">
      <w:pPr>
        <w:pStyle w:val="Ruller4"/>
        <w:rPr>
          <w:rtl/>
        </w:rPr>
      </w:pPr>
      <w:r>
        <w:rPr>
          <w:rFonts w:hint="cs"/>
          <w:rtl/>
        </w:rPr>
        <w:t xml:space="preserve">כך או כך </w:t>
      </w:r>
      <w:r>
        <w:rPr>
          <w:rtl/>
        </w:rPr>
        <w:t>–</w:t>
      </w:r>
      <w:r>
        <w:rPr>
          <w:rFonts w:hint="cs"/>
          <w:rtl/>
        </w:rPr>
        <w:t xml:space="preserve"> משתלב יותר או פחות </w:t>
      </w:r>
      <w:r>
        <w:rPr>
          <w:rtl/>
        </w:rPr>
        <w:t>–</w:t>
      </w:r>
      <w:r>
        <w:rPr>
          <w:rFonts w:hint="cs"/>
          <w:rtl/>
        </w:rPr>
        <w:t xml:space="preserve"> דומה כי המענה הפשוט ביותר לסימני השאלה בדבר התאמתו של התיקון לאכסניית חוק יסוד: השפיטה, נעוץ </w:t>
      </w:r>
      <w:r w:rsidRPr="003068A6">
        <w:rPr>
          <w:rFonts w:ascii="Century" w:hAnsi="Century" w:cs="Miriam" w:hint="cs"/>
          <w:b/>
          <w:spacing w:val="0"/>
          <w:sz w:val="22"/>
          <w:szCs w:val="24"/>
          <w:rtl/>
        </w:rPr>
        <w:t>בכורח</w:t>
      </w:r>
      <w:r w:rsidRPr="003068A6">
        <w:rPr>
          <w:rFonts w:hint="cs"/>
          <w:rtl/>
        </w:rPr>
        <w:t xml:space="preserve"> </w:t>
      </w:r>
      <w:r>
        <w:rPr>
          <w:rFonts w:hint="cs"/>
          <w:rtl/>
        </w:rPr>
        <w:t xml:space="preserve">שבדבר (או, אם נרצה, במבחן </w:t>
      </w:r>
      <w:r w:rsidRPr="003068A6">
        <w:rPr>
          <w:rFonts w:ascii="Century" w:hAnsi="Century" w:cs="Miriam" w:hint="cs"/>
          <w:b/>
          <w:spacing w:val="0"/>
          <w:sz w:val="22"/>
          <w:szCs w:val="24"/>
          <w:rtl/>
        </w:rPr>
        <w:t>'הצידוק'</w:t>
      </w:r>
      <w:r w:rsidRPr="003068A6">
        <w:rPr>
          <w:rFonts w:hint="cs"/>
          <w:rtl/>
        </w:rPr>
        <w:t xml:space="preserve"> </w:t>
      </w:r>
      <w:r>
        <w:rPr>
          <w:rFonts w:hint="cs"/>
          <w:rtl/>
        </w:rPr>
        <w:t xml:space="preserve">במסגרת הדוקטרינה). התיקון, כאמור, מסייג את סמכות הביקורת השיפוטית מכוח עילת הסבירות, בנוגע להחלטות של הגורמים המנויים בו; לוּ היה נחקק במסגרת חוק רגיל, היה ניגף בפני הוראות סעיפים 15(ג) ו-(ד) לחוק-יסוד: השפיטה, בהן מעוגנות הסמכויות הכלליות של בית משפט זה. שיבּוּצוֹ של התיקון בחקיקת-יסוד היתה אפוא בלתי נמנעת; תנאי לתוקפו.   </w:t>
      </w:r>
    </w:p>
    <w:p w:rsidR="00EB02E1" w:rsidRDefault="00EB02E1" w:rsidP="00EB02E1">
      <w:pPr>
        <w:pStyle w:val="Ruller41"/>
        <w:rPr>
          <w:rtl/>
        </w:rPr>
      </w:pPr>
    </w:p>
    <w:p w:rsidR="00EB02E1" w:rsidRDefault="00EB02E1" w:rsidP="00EB02E1">
      <w:pPr>
        <w:pStyle w:val="Ruller4"/>
        <w:rPr>
          <w:rtl/>
        </w:rPr>
      </w:pPr>
      <w:r>
        <w:rPr>
          <w:rFonts w:hint="cs"/>
          <w:rtl/>
        </w:rPr>
        <w:t xml:space="preserve">אוסיף, כי גם בראי מבחן </w:t>
      </w:r>
      <w:r w:rsidRPr="00671100">
        <w:rPr>
          <w:rFonts w:ascii="Century" w:hAnsi="Century" w:cs="Miriam" w:hint="cs"/>
          <w:b/>
          <w:spacing w:val="0"/>
          <w:sz w:val="22"/>
          <w:szCs w:val="24"/>
          <w:rtl/>
        </w:rPr>
        <w:t>'המובחנות'</w:t>
      </w:r>
      <w:r>
        <w:rPr>
          <w:rFonts w:hint="cs"/>
          <w:rtl/>
        </w:rPr>
        <w:t>, שהוצע על-ידי חברתי השופטת</w:t>
      </w:r>
      <w:r>
        <w:rPr>
          <w:rFonts w:ascii="Century" w:hAnsi="Century" w:cs="Miriam" w:hint="cs"/>
          <w:b/>
          <w:spacing w:val="0"/>
          <w:sz w:val="22"/>
          <w:szCs w:val="24"/>
          <w:rtl/>
        </w:rPr>
        <w:t xml:space="preserve"> </w:t>
      </w:r>
      <w:r w:rsidRPr="00137261">
        <w:rPr>
          <w:rFonts w:ascii="Century" w:hAnsi="Century" w:cs="Miriam" w:hint="cs"/>
          <w:b/>
          <w:spacing w:val="0"/>
          <w:sz w:val="22"/>
          <w:szCs w:val="24"/>
          <w:rtl/>
        </w:rPr>
        <w:t>ברק-ארז</w:t>
      </w:r>
      <w:r>
        <w:rPr>
          <w:rFonts w:hint="cs"/>
          <w:rtl/>
        </w:rPr>
        <w:t xml:space="preserve"> חלף מבחן </w:t>
      </w:r>
      <w:r w:rsidRPr="00671100">
        <w:rPr>
          <w:rFonts w:ascii="Century" w:hAnsi="Century" w:cs="Miriam" w:hint="cs"/>
          <w:b/>
          <w:spacing w:val="0"/>
          <w:sz w:val="22"/>
          <w:szCs w:val="24"/>
          <w:rtl/>
        </w:rPr>
        <w:t>ההשתלבות במארג החוקתי</w:t>
      </w:r>
      <w:r>
        <w:rPr>
          <w:rFonts w:hint="cs"/>
          <w:rtl/>
        </w:rPr>
        <w:t xml:space="preserve"> (ראו פסקאות 26-12 לחוות דעתה בעניין </w:t>
      </w:r>
      <w:r w:rsidRPr="00137261">
        <w:rPr>
          <w:rFonts w:ascii="Century" w:hAnsi="Century" w:cs="Miriam" w:hint="cs"/>
          <w:b/>
          <w:spacing w:val="0"/>
          <w:sz w:val="22"/>
          <w:szCs w:val="24"/>
          <w:rtl/>
        </w:rPr>
        <w:t>שפיר</w:t>
      </w:r>
      <w:r>
        <w:rPr>
          <w:rFonts w:hint="cs"/>
          <w:rtl/>
        </w:rPr>
        <w:t xml:space="preserve">), רשאי התיקון להרגיש בן-בית בקרב חוקי-היסוד. מבחן זה, בתמצית, נועד להבטיח כי הרשות המכוננת אינה יורדת </w:t>
      </w:r>
      <w:r>
        <w:rPr>
          <w:rFonts w:hint="eastAsia"/>
          <w:rtl/>
        </w:rPr>
        <w:t>לאֻמנוּת</w:t>
      </w:r>
      <w:r w:rsidRPr="00137261">
        <w:rPr>
          <w:rFonts w:hint="eastAsia"/>
          <w:rtl/>
        </w:rPr>
        <w:t>ן</w:t>
      </w:r>
      <w:r w:rsidRPr="00137261">
        <w:rPr>
          <w:rFonts w:hint="cs"/>
          <w:rtl/>
        </w:rPr>
        <w:t xml:space="preserve"> </w:t>
      </w:r>
      <w:r>
        <w:rPr>
          <w:rFonts w:hint="cs"/>
          <w:rtl/>
        </w:rPr>
        <w:t xml:space="preserve">של רשויות אחרות: </w:t>
      </w:r>
      <w:r w:rsidRPr="00137261">
        <w:rPr>
          <w:rFonts w:ascii="Century" w:hAnsi="Century" w:cs="Miriam" w:hint="cs"/>
          <w:b/>
          <w:spacing w:val="0"/>
          <w:sz w:val="22"/>
          <w:szCs w:val="24"/>
          <w:rtl/>
        </w:rPr>
        <w:t xml:space="preserve">"חוק יסוד, מתוקף הגדרתו ככזה שנועד להוות פרק בחוקה, אינו יכול להחליף מתן החלטה של הרשות המבצעת (למשל, על דרך קביעת הוראה בחוק יסוד המורה על מינויו של אדם לתפקיד או המעניקה לגורם מסוים רישיון); חוק יסוד אינו יכול להחליף בית משפט במתן החלטה בהליך משפטי (למשל על דרך זיכוי או הרשעה); חוק יסוד אף אינו יכול לכלול הסדר אופרטיבי שנדרש לחקיקה </w:t>
      </w:r>
      <w:r w:rsidRPr="00137261">
        <w:rPr>
          <w:rFonts w:ascii="Century" w:hAnsi="Century" w:cs="Miriam" w:hint="cs"/>
          <w:b/>
          <w:spacing w:val="0"/>
          <w:sz w:val="22"/>
          <w:szCs w:val="24"/>
          <w:rtl/>
        </w:rPr>
        <w:lastRenderedPageBreak/>
        <w:t xml:space="preserve">רגילה (כדוגמת הקלה במס) [...] ככלל יש לומר, כי חוקי היסוד אמורים להתוות את </w:t>
      </w:r>
      <w:r>
        <w:rPr>
          <w:rFonts w:ascii="Century" w:hAnsi="Century" w:cs="Miriam" w:hint="cs"/>
          <w:b/>
          <w:spacing w:val="0"/>
          <w:sz w:val="22"/>
          <w:szCs w:val="24"/>
          <w:rtl/>
        </w:rPr>
        <w:t>'</w:t>
      </w:r>
      <w:r w:rsidRPr="00137261">
        <w:rPr>
          <w:rFonts w:ascii="Century" w:hAnsi="Century" w:cs="Miriam" w:hint="cs"/>
          <w:b/>
          <w:spacing w:val="0"/>
          <w:sz w:val="22"/>
          <w:szCs w:val="24"/>
          <w:rtl/>
        </w:rPr>
        <w:t>כללי המסגרת</w:t>
      </w:r>
      <w:r>
        <w:rPr>
          <w:rFonts w:ascii="Century" w:hAnsi="Century" w:cs="Miriam" w:hint="cs"/>
          <w:b/>
          <w:spacing w:val="0"/>
          <w:sz w:val="22"/>
          <w:szCs w:val="24"/>
          <w:rtl/>
        </w:rPr>
        <w:t>'</w:t>
      </w:r>
      <w:r w:rsidRPr="00137261">
        <w:rPr>
          <w:rFonts w:ascii="Century" w:hAnsi="Century" w:cs="Miriam" w:hint="cs"/>
          <w:b/>
          <w:spacing w:val="0"/>
          <w:sz w:val="22"/>
          <w:szCs w:val="24"/>
          <w:rtl/>
        </w:rPr>
        <w:t xml:space="preserve"> לפעילות של המדינה, ואילו חקיקה רגילה נועדה ליישם כללים אלה ולתת להם קונקרטיזציה"</w:t>
      </w:r>
      <w:r w:rsidRPr="00137261">
        <w:rPr>
          <w:rFonts w:ascii="Century" w:hAnsi="Century" w:hint="cs"/>
          <w:rtl/>
        </w:rPr>
        <w:t xml:space="preserve"> </w:t>
      </w:r>
      <w:r>
        <w:rPr>
          <w:rFonts w:ascii="Century" w:hAnsi="Century" w:hint="cs"/>
          <w:rtl/>
        </w:rPr>
        <w:t>(שם, פסקה 23).</w:t>
      </w:r>
      <w:r>
        <w:rPr>
          <w:rFonts w:hint="cs"/>
          <w:rtl/>
        </w:rPr>
        <w:t xml:space="preserve"> גם את המבחן הזה, התיקון צולח בנקל: הוא לא נושא אופי ביצועי או שיפוטי, ואף לא מהווה חקיקה בעלת אופי הסדרי-קונקרטי; לפנינו תיקון מסגרתי-כללי, מלאכתה של הרשות המכוננת. </w:t>
      </w:r>
    </w:p>
    <w:p w:rsidR="00EB02E1" w:rsidRPr="00FC3410" w:rsidRDefault="00EB02E1" w:rsidP="00EB02E1">
      <w:pPr>
        <w:pStyle w:val="Ruller41"/>
      </w:pPr>
    </w:p>
    <w:p w:rsidR="00EB02E1" w:rsidRDefault="00EB02E1" w:rsidP="00E652FA">
      <w:pPr>
        <w:pStyle w:val="Ruller4"/>
        <w:rPr>
          <w:rtl/>
        </w:rPr>
      </w:pPr>
      <w:r>
        <w:rPr>
          <w:rFonts w:hint="cs"/>
          <w:rtl/>
        </w:rPr>
        <w:t xml:space="preserve">לבסוף, התיקון צולח ללא קושי מבחן-משנה נוסף של הדוקטרינה, שנטען כי הוא לוקה בו: </w:t>
      </w:r>
      <w:r w:rsidRPr="007C7FEB">
        <w:rPr>
          <w:rFonts w:ascii="Century" w:hAnsi="Century" w:cs="Miriam" w:hint="cs"/>
          <w:b/>
          <w:spacing w:val="0"/>
          <w:sz w:val="22"/>
          <w:szCs w:val="24"/>
          <w:rtl/>
        </w:rPr>
        <w:t>מבחן הכלליות</w:t>
      </w:r>
      <w:r>
        <w:rPr>
          <w:rFonts w:hint="cs"/>
          <w:rtl/>
        </w:rPr>
        <w:t xml:space="preserve">. מבחן זה, עניינו בשאלה </w:t>
      </w:r>
      <w:r w:rsidRPr="006E4064">
        <w:rPr>
          <w:rFonts w:ascii="Century" w:hAnsi="Century" w:cs="Miriam" w:hint="cs"/>
          <w:b/>
          <w:spacing w:val="0"/>
          <w:sz w:val="22"/>
          <w:szCs w:val="24"/>
          <w:rtl/>
        </w:rPr>
        <w:t>"אם מדובר בנורמה בעלת תחולה מבנית-כללית או בנורמה שיש לה מאפיינים פרסונליים"</w:t>
      </w:r>
      <w:r w:rsidRPr="006E4064">
        <w:rPr>
          <w:rFonts w:hint="cs"/>
          <w:rtl/>
        </w:rPr>
        <w:t xml:space="preserve"> </w:t>
      </w:r>
      <w:r>
        <w:rPr>
          <w:rFonts w:hint="cs"/>
          <w:rtl/>
        </w:rPr>
        <w:t xml:space="preserve">(עניין </w:t>
      </w:r>
      <w:r w:rsidRPr="007C7FEB">
        <w:rPr>
          <w:rFonts w:ascii="Century" w:hAnsi="Century" w:cs="Miriam" w:hint="cs"/>
          <w:b/>
          <w:spacing w:val="0"/>
          <w:sz w:val="22"/>
          <w:szCs w:val="24"/>
          <w:rtl/>
        </w:rPr>
        <w:t>שפיר</w:t>
      </w:r>
      <w:r>
        <w:rPr>
          <w:rFonts w:hint="cs"/>
          <w:rtl/>
        </w:rPr>
        <w:t xml:space="preserve">, פסקה 37 לפסק דינה של הנשיאה </w:t>
      </w:r>
      <w:r w:rsidRPr="006E4064">
        <w:rPr>
          <w:rFonts w:ascii="Century" w:hAnsi="Century" w:cs="Miriam" w:hint="cs"/>
          <w:b/>
          <w:spacing w:val="0"/>
          <w:sz w:val="22"/>
          <w:szCs w:val="24"/>
          <w:rtl/>
        </w:rPr>
        <w:t>חיות</w:t>
      </w:r>
      <w:r>
        <w:rPr>
          <w:rFonts w:hint="cs"/>
          <w:rtl/>
        </w:rPr>
        <w:t xml:space="preserve">). ארחיב את הדיבור בשאלת זיהויה של נורמה פרסונלית בחוות דעתי בעניין </w:t>
      </w:r>
      <w:r w:rsidRPr="007C7FEB">
        <w:rPr>
          <w:rFonts w:ascii="Century" w:hAnsi="Century" w:cs="Miriam" w:hint="cs"/>
          <w:b/>
          <w:spacing w:val="0"/>
          <w:sz w:val="22"/>
          <w:szCs w:val="24"/>
          <w:rtl/>
        </w:rPr>
        <w:t>הנבצרות</w:t>
      </w:r>
      <w:r>
        <w:rPr>
          <w:rFonts w:hint="cs"/>
          <w:rtl/>
        </w:rPr>
        <w:t xml:space="preserve">. אומר אפוא אך זאת, כי לא מצאתי בתיקון כל מימד של פרסונליות, אף לא 'אבק' פרסונליות. התיקון נושא אופי עקרוני כללי, צופה פני עתיד, חל על מערכת היחסים שבין הרשויות בהווה ובעתיד. גם אין מקום לזקוף לחובתו של התיקון את העובדה שהוּחל באופן מיידי, ועל כן פועל את פעולתו </w:t>
      </w:r>
      <w:r w:rsidRPr="006E4064">
        <w:rPr>
          <w:rFonts w:ascii="Century" w:hAnsi="Century" w:cs="Miriam" w:hint="cs"/>
          <w:b/>
          <w:spacing w:val="0"/>
          <w:sz w:val="22"/>
          <w:szCs w:val="24"/>
          <w:rtl/>
        </w:rPr>
        <w:t>גם</w:t>
      </w:r>
      <w:r w:rsidRPr="006E4064">
        <w:rPr>
          <w:rFonts w:hint="cs"/>
          <w:rtl/>
        </w:rPr>
        <w:t xml:space="preserve"> </w:t>
      </w:r>
      <w:r>
        <w:rPr>
          <w:rFonts w:hint="cs"/>
          <w:rtl/>
        </w:rPr>
        <w:t xml:space="preserve">על הממשלה הנוכחית (וראו בהקשר זה את ההפניות שבפסקה 46 לחוות דעתו של השופט </w:t>
      </w:r>
      <w:r w:rsidRPr="006E4064">
        <w:rPr>
          <w:rFonts w:ascii="Century" w:hAnsi="Century" w:cs="Miriam" w:hint="cs"/>
          <w:b/>
          <w:spacing w:val="0"/>
          <w:sz w:val="22"/>
          <w:szCs w:val="24"/>
          <w:rtl/>
        </w:rPr>
        <w:t>כשר</w:t>
      </w:r>
      <w:r>
        <w:rPr>
          <w:rFonts w:hint="cs"/>
          <w:rtl/>
        </w:rPr>
        <w:t xml:space="preserve">); תחולה מיידית, נזכיר, היא 'ברירת המחדל' בשיטתנו, גם בנוגע לחקיקת-יסוד. גם אם ניתן לטעון שתחולה נדחית של חקיקת-יסוד היא דבר רצוי, כל עוד אין בידינו הוראה המעגנת זאת בדין </w:t>
      </w:r>
      <w:r>
        <w:rPr>
          <w:rtl/>
        </w:rPr>
        <w:t>–</w:t>
      </w:r>
      <w:r>
        <w:rPr>
          <w:rFonts w:hint="cs"/>
          <w:rtl/>
        </w:rPr>
        <w:t xml:space="preserve"> במסגרת חוק יסוד: החקיקה, או בכל מסגרת אחרת </w:t>
      </w:r>
      <w:r>
        <w:rPr>
          <w:rtl/>
        </w:rPr>
        <w:t>–</w:t>
      </w:r>
      <w:r>
        <w:rPr>
          <w:rFonts w:hint="cs"/>
          <w:rtl/>
        </w:rPr>
        <w:t xml:space="preserve"> אין מקום לכרסם בחופש הפעולה של המכונן לפעול בתחולה מיידית, על ידי 'הכתמת' חקיקה כזו בחשד של פרסונליות.</w:t>
      </w:r>
    </w:p>
    <w:p w:rsidR="00EB02E1" w:rsidRDefault="00EB02E1" w:rsidP="00EB02E1">
      <w:pPr>
        <w:pStyle w:val="Ruller41"/>
        <w:rPr>
          <w:rtl/>
        </w:rPr>
      </w:pPr>
    </w:p>
    <w:p w:rsidR="00EB02E1" w:rsidRPr="00A32352" w:rsidRDefault="00EB02E1" w:rsidP="00EB02E1">
      <w:pPr>
        <w:pStyle w:val="2"/>
        <w:rPr>
          <w:rtl/>
        </w:rPr>
      </w:pPr>
      <w:bookmarkStart w:id="86" w:name="_Toc154942601"/>
      <w:bookmarkStart w:id="87" w:name="_Toc154944424"/>
      <w:bookmarkStart w:id="88" w:name="_Toc154947534"/>
      <w:r w:rsidRPr="00A32352">
        <w:rPr>
          <w:rFonts w:ascii="Century" w:hAnsi="Century" w:cs="Miriam" w:hint="eastAsia"/>
          <w:b/>
          <w:color w:val="auto"/>
          <w:sz w:val="22"/>
          <w:szCs w:val="24"/>
          <w:rtl/>
        </w:rPr>
        <w:t>הצעת</w:t>
      </w:r>
      <w:r w:rsidRPr="00A32352">
        <w:rPr>
          <w:rFonts w:ascii="Century" w:hAnsi="Century" w:cs="Miriam"/>
          <w:b/>
          <w:color w:val="auto"/>
          <w:sz w:val="22"/>
          <w:szCs w:val="24"/>
          <w:rtl/>
        </w:rPr>
        <w:t xml:space="preserve">-חוק </w:t>
      </w:r>
      <w:r w:rsidRPr="00A32352">
        <w:rPr>
          <w:rFonts w:ascii="Century" w:hAnsi="Century" w:cs="Miriam" w:hint="eastAsia"/>
          <w:b/>
          <w:color w:val="auto"/>
          <w:sz w:val="22"/>
          <w:szCs w:val="24"/>
          <w:rtl/>
        </w:rPr>
        <w:t>מטעם</w:t>
      </w:r>
      <w:r w:rsidRPr="00A32352">
        <w:rPr>
          <w:rFonts w:ascii="Century" w:hAnsi="Century" w:cs="Miriam"/>
          <w:b/>
          <w:color w:val="auto"/>
          <w:sz w:val="22"/>
          <w:szCs w:val="24"/>
          <w:rtl/>
        </w:rPr>
        <w:t xml:space="preserve"> </w:t>
      </w:r>
      <w:r w:rsidRPr="00A32352">
        <w:rPr>
          <w:rFonts w:ascii="Century" w:hAnsi="Century" w:cs="Miriam" w:hint="eastAsia"/>
          <w:b/>
          <w:color w:val="auto"/>
          <w:sz w:val="22"/>
          <w:szCs w:val="24"/>
          <w:rtl/>
        </w:rPr>
        <w:t>ועדה</w:t>
      </w:r>
      <w:bookmarkEnd w:id="86"/>
      <w:bookmarkEnd w:id="87"/>
      <w:bookmarkEnd w:id="88"/>
    </w:p>
    <w:p w:rsidR="00EB02E1" w:rsidRDefault="00EB02E1" w:rsidP="00EB02E1">
      <w:pPr>
        <w:pStyle w:val="Ruller4"/>
        <w:rPr>
          <w:rtl/>
        </w:rPr>
      </w:pPr>
      <w:r>
        <w:rPr>
          <w:rFonts w:hint="cs"/>
          <w:rtl/>
        </w:rPr>
        <w:t>טענה נוספת נשמעה מפיהם של חלק מן העותרים, ולפיה לא היה זה בסמכותה של ועדת החוקה, חוק ומשפט להציע את הצעת-החוק מטעמה. חברתי הנשיאה (בדימ') בשולי חוות דעתה (פסקאות 203-196) נוטה לקבל טענה זו. גם לכך לא אוכל להצטרף. כמה טעמים לדבר.</w:t>
      </w:r>
    </w:p>
    <w:p w:rsidR="00EB02E1" w:rsidRDefault="00EB02E1" w:rsidP="00EB02E1">
      <w:pPr>
        <w:pStyle w:val="Ruller41"/>
        <w:rPr>
          <w:rtl/>
        </w:rPr>
      </w:pPr>
    </w:p>
    <w:p w:rsidR="00EB02E1" w:rsidRDefault="00EB02E1" w:rsidP="00EB02E1">
      <w:pPr>
        <w:pStyle w:val="Ruller4"/>
        <w:rPr>
          <w:rtl/>
        </w:rPr>
      </w:pPr>
      <w:r>
        <w:rPr>
          <w:rFonts w:hint="cs"/>
          <w:rtl/>
        </w:rPr>
        <w:t>כפי שמציינת חברתי, הגשת הצעות-חוק מטעם ועדה מוועדות הכנסת, הוסדרה לראשונה בהחלטת ועדת הכנסת, מיום 24.11.1980. לאחר דיון קצר, בנוסחהּ הסופי של ההחלטה נקבע כך:</w:t>
      </w:r>
    </w:p>
    <w:p w:rsidR="00EB02E1" w:rsidRDefault="00EB02E1" w:rsidP="00EB02E1">
      <w:pPr>
        <w:pStyle w:val="Ruller41"/>
        <w:rPr>
          <w:rtl/>
        </w:rPr>
      </w:pPr>
    </w:p>
    <w:p w:rsidR="00EB02E1" w:rsidRPr="002206E4" w:rsidRDefault="00EB02E1" w:rsidP="00EB02E1">
      <w:pPr>
        <w:pStyle w:val="Ruller5"/>
      </w:pPr>
      <w:r w:rsidRPr="002206E4">
        <w:rPr>
          <w:rFonts w:ascii="Century" w:hAnsi="Century" w:cs="Miriam" w:hint="cs"/>
          <w:b/>
          <w:spacing w:val="0"/>
          <w:szCs w:val="24"/>
          <w:rtl/>
        </w:rPr>
        <w:t xml:space="preserve">"ועדת הכנסת קיימה דיון בפנייתו של יושב-ראש הכנסת בדבר סמכותה של ועדה מוועדות הכנסת ליזום חקיקה. הוועדה החליטה כי ועדה מוועדות הכנסת רשאית ליזום חוקים בנושאים הבאים: חוקי יסוד, וחוקים שעניינם הכנסת, </w:t>
      </w:r>
      <w:r w:rsidRPr="002206E4">
        <w:rPr>
          <w:rFonts w:ascii="Century" w:hAnsi="Century" w:cs="Miriam" w:hint="cs"/>
          <w:b/>
          <w:spacing w:val="0"/>
          <w:szCs w:val="24"/>
          <w:rtl/>
        </w:rPr>
        <w:lastRenderedPageBreak/>
        <w:t>בחירות לכנסת, חברי-הכנסת או מבקר המדינה. חוקים כאמור יוגשו לכנסת לקריאה הראשונה"</w:t>
      </w:r>
      <w:r>
        <w:rPr>
          <w:rFonts w:hint="cs"/>
          <w:rtl/>
        </w:rPr>
        <w:t xml:space="preserve"> (פרוטוקול ישיבה מס' 281 של ועדת הכנסת, הכנסת ה-9, 2 (24.11.1980)).</w:t>
      </w:r>
    </w:p>
    <w:p w:rsidR="00EB02E1" w:rsidRDefault="00EB02E1" w:rsidP="00EB02E1">
      <w:pPr>
        <w:pStyle w:val="Ruller4"/>
        <w:numPr>
          <w:ilvl w:val="0"/>
          <w:numId w:val="0"/>
        </w:numPr>
        <w:rPr>
          <w:rtl/>
        </w:rPr>
      </w:pPr>
    </w:p>
    <w:p w:rsidR="00EB02E1" w:rsidRDefault="00EB02E1" w:rsidP="00EB02E1">
      <w:pPr>
        <w:pStyle w:val="Ruller4"/>
        <w:numPr>
          <w:ilvl w:val="0"/>
          <w:numId w:val="0"/>
        </w:numPr>
        <w:rPr>
          <w:rtl/>
        </w:rPr>
      </w:pPr>
      <w:r>
        <w:rPr>
          <w:rtl/>
        </w:rPr>
        <w:tab/>
      </w:r>
      <w:r>
        <w:rPr>
          <w:rFonts w:hint="cs"/>
          <w:rtl/>
        </w:rPr>
        <w:t>אותה החלטה, עוגנה באופן רשמי בתקנון הכנסת בשנת 2011, בשינויים קלים, תוך הוספת סייג הקובע כי רק שלוש ועדות, בכללן ועדת החוקה, חוק ומשפט, תוכלנה ליזום חוקים מטעמן, וגם זאת רק בתחומי ענייניהן, כפי שאלו נקבעו בתקנון הכנסת:</w:t>
      </w:r>
    </w:p>
    <w:p w:rsidR="00EB02E1" w:rsidRDefault="00EB02E1" w:rsidP="00EB02E1">
      <w:pPr>
        <w:pStyle w:val="Ruller41"/>
        <w:rPr>
          <w:rtl/>
        </w:rPr>
      </w:pPr>
    </w:p>
    <w:p w:rsidR="00EB02E1" w:rsidRPr="002206E4" w:rsidRDefault="00EB02E1" w:rsidP="00EB02E1">
      <w:pPr>
        <w:pStyle w:val="Ruller5"/>
        <w:rPr>
          <w:rFonts w:ascii="Century" w:hAnsi="Century" w:cs="Miriam"/>
          <w:b/>
          <w:spacing w:val="0"/>
          <w:szCs w:val="24"/>
        </w:rPr>
      </w:pPr>
      <w:r>
        <w:rPr>
          <w:rFonts w:ascii="Century" w:hAnsi="Century" w:cs="Miriam" w:hint="cs"/>
          <w:b/>
          <w:spacing w:val="0"/>
          <w:szCs w:val="24"/>
          <w:rtl/>
        </w:rPr>
        <w:t>"</w:t>
      </w:r>
      <w:r w:rsidRPr="002206E4">
        <w:rPr>
          <w:rFonts w:ascii="Century" w:hAnsi="Century" w:cs="Miriam" w:hint="cs"/>
          <w:b/>
          <w:spacing w:val="0"/>
          <w:szCs w:val="24"/>
          <w:rtl/>
        </w:rPr>
        <w:t>נושאי החקיקה מטעם ועדה</w:t>
      </w:r>
    </w:p>
    <w:p w:rsidR="00EB02E1" w:rsidRDefault="00EB02E1" w:rsidP="00EB02E1">
      <w:pPr>
        <w:pStyle w:val="Ruller5"/>
        <w:rPr>
          <w:rtl/>
        </w:rPr>
      </w:pPr>
      <w:r>
        <w:rPr>
          <w:rFonts w:hint="cs"/>
          <w:rtl/>
        </w:rPr>
        <w:t>80</w:t>
      </w:r>
      <w:r w:rsidRPr="00DF080A">
        <w:rPr>
          <w:rFonts w:ascii="Century" w:hAnsi="Century" w:cs="Miriam" w:hint="cs"/>
          <w:b/>
          <w:spacing w:val="0"/>
          <w:szCs w:val="24"/>
          <w:rtl/>
        </w:rPr>
        <w:t xml:space="preserve">. (א) </w:t>
      </w:r>
      <w:r w:rsidRPr="00DF080A">
        <w:rPr>
          <w:rFonts w:ascii="Century" w:hAnsi="Century" w:cs="Miriam" w:hint="eastAsia"/>
          <w:b/>
          <w:spacing w:val="0"/>
          <w:szCs w:val="24"/>
          <w:rtl/>
        </w:rPr>
        <w:t>ועדת</w:t>
      </w:r>
      <w:r w:rsidRPr="00DF080A">
        <w:rPr>
          <w:rFonts w:ascii="Century" w:hAnsi="Century" w:cs="Miriam"/>
          <w:b/>
          <w:spacing w:val="0"/>
          <w:szCs w:val="24"/>
          <w:rtl/>
        </w:rPr>
        <w:t xml:space="preserve"> </w:t>
      </w:r>
      <w:r w:rsidRPr="00DF080A">
        <w:rPr>
          <w:rFonts w:ascii="Century" w:hAnsi="Century" w:cs="Miriam" w:hint="eastAsia"/>
          <w:b/>
          <w:spacing w:val="0"/>
          <w:szCs w:val="24"/>
          <w:rtl/>
        </w:rPr>
        <w:t>הכנסת</w:t>
      </w:r>
      <w:r w:rsidRPr="00DF080A">
        <w:rPr>
          <w:rFonts w:ascii="Century" w:hAnsi="Century" w:cs="Miriam"/>
          <w:b/>
          <w:spacing w:val="0"/>
          <w:szCs w:val="24"/>
          <w:rtl/>
        </w:rPr>
        <w:t xml:space="preserve">, </w:t>
      </w:r>
      <w:r w:rsidRPr="00DF080A">
        <w:rPr>
          <w:rFonts w:ascii="Century" w:hAnsi="Century" w:cs="Miriam" w:hint="eastAsia"/>
          <w:b/>
          <w:spacing w:val="0"/>
          <w:szCs w:val="24"/>
          <w:rtl/>
        </w:rPr>
        <w:t>ועדת</w:t>
      </w:r>
      <w:r w:rsidRPr="00DF080A">
        <w:rPr>
          <w:rFonts w:ascii="Century" w:hAnsi="Century" w:cs="Miriam"/>
          <w:b/>
          <w:spacing w:val="0"/>
          <w:szCs w:val="24"/>
          <w:rtl/>
        </w:rPr>
        <w:t xml:space="preserve"> </w:t>
      </w:r>
      <w:r w:rsidRPr="00DF080A">
        <w:rPr>
          <w:rFonts w:ascii="Century" w:hAnsi="Century" w:cs="Miriam" w:hint="eastAsia"/>
          <w:b/>
          <w:spacing w:val="0"/>
          <w:szCs w:val="24"/>
          <w:rtl/>
        </w:rPr>
        <w:t>החוקה</w:t>
      </w:r>
      <w:r w:rsidRPr="00DF080A">
        <w:rPr>
          <w:rFonts w:ascii="Century" w:hAnsi="Century" w:cs="Miriam"/>
          <w:b/>
          <w:spacing w:val="0"/>
          <w:szCs w:val="24"/>
          <w:rtl/>
        </w:rPr>
        <w:t xml:space="preserve"> </w:t>
      </w:r>
      <w:r w:rsidRPr="00DF080A">
        <w:rPr>
          <w:rFonts w:ascii="Century" w:hAnsi="Century" w:cs="Miriam" w:hint="eastAsia"/>
          <w:b/>
          <w:spacing w:val="0"/>
          <w:szCs w:val="24"/>
          <w:rtl/>
        </w:rPr>
        <w:t>חוק</w:t>
      </w:r>
      <w:r w:rsidRPr="00DF080A">
        <w:rPr>
          <w:rFonts w:ascii="Century" w:hAnsi="Century" w:cs="Miriam"/>
          <w:b/>
          <w:spacing w:val="0"/>
          <w:szCs w:val="24"/>
          <w:rtl/>
        </w:rPr>
        <w:t xml:space="preserve"> </w:t>
      </w:r>
      <w:r w:rsidRPr="00DF080A">
        <w:rPr>
          <w:rFonts w:ascii="Century" w:hAnsi="Century" w:cs="Miriam" w:hint="eastAsia"/>
          <w:b/>
          <w:spacing w:val="0"/>
          <w:szCs w:val="24"/>
          <w:rtl/>
        </w:rPr>
        <w:t>ומשפט</w:t>
      </w:r>
      <w:r w:rsidRPr="00DF080A">
        <w:rPr>
          <w:rFonts w:ascii="Century" w:hAnsi="Century" w:cs="Miriam"/>
          <w:b/>
          <w:spacing w:val="0"/>
          <w:szCs w:val="24"/>
          <w:rtl/>
        </w:rPr>
        <w:t xml:space="preserve"> </w:t>
      </w:r>
      <w:r w:rsidRPr="00DF080A">
        <w:rPr>
          <w:rFonts w:ascii="Century" w:hAnsi="Century" w:cs="Miriam" w:hint="eastAsia"/>
          <w:b/>
          <w:spacing w:val="0"/>
          <w:szCs w:val="24"/>
          <w:rtl/>
        </w:rPr>
        <w:t>והוועדה</w:t>
      </w:r>
      <w:r w:rsidRPr="00DF080A">
        <w:rPr>
          <w:rFonts w:ascii="Century" w:hAnsi="Century" w:cs="Miriam"/>
          <w:b/>
          <w:spacing w:val="0"/>
          <w:szCs w:val="24"/>
          <w:rtl/>
        </w:rPr>
        <w:t xml:space="preserve"> </w:t>
      </w:r>
      <w:r w:rsidRPr="00DF080A">
        <w:rPr>
          <w:rFonts w:ascii="Century" w:hAnsi="Century" w:cs="Miriam" w:hint="eastAsia"/>
          <w:b/>
          <w:spacing w:val="0"/>
          <w:szCs w:val="24"/>
          <w:rtl/>
        </w:rPr>
        <w:t>לענייני</w:t>
      </w:r>
      <w:r w:rsidRPr="00DF080A">
        <w:rPr>
          <w:rFonts w:ascii="Century" w:hAnsi="Century" w:cs="Miriam"/>
          <w:b/>
          <w:spacing w:val="0"/>
          <w:szCs w:val="24"/>
          <w:rtl/>
        </w:rPr>
        <w:t xml:space="preserve"> </w:t>
      </w:r>
      <w:r w:rsidRPr="00DF080A">
        <w:rPr>
          <w:rFonts w:ascii="Century" w:hAnsi="Century" w:cs="Miriam" w:hint="eastAsia"/>
          <w:b/>
          <w:spacing w:val="0"/>
          <w:szCs w:val="24"/>
          <w:rtl/>
        </w:rPr>
        <w:t>ביקורת</w:t>
      </w:r>
      <w:r w:rsidRPr="00DF080A">
        <w:rPr>
          <w:rFonts w:ascii="Century" w:hAnsi="Century" w:cs="Miriam"/>
          <w:b/>
          <w:spacing w:val="0"/>
          <w:szCs w:val="24"/>
          <w:rtl/>
        </w:rPr>
        <w:t xml:space="preserve"> </w:t>
      </w:r>
      <w:r w:rsidRPr="00DF080A">
        <w:rPr>
          <w:rFonts w:ascii="Century" w:hAnsi="Century" w:cs="Miriam" w:hint="eastAsia"/>
          <w:b/>
          <w:spacing w:val="0"/>
          <w:szCs w:val="24"/>
          <w:rtl/>
        </w:rPr>
        <w:t>המדינה</w:t>
      </w:r>
      <w:r w:rsidRPr="00DF080A">
        <w:rPr>
          <w:rFonts w:ascii="Century" w:hAnsi="Century" w:cs="Miriam"/>
          <w:b/>
          <w:spacing w:val="0"/>
          <w:szCs w:val="24"/>
          <w:rtl/>
        </w:rPr>
        <w:t xml:space="preserve"> </w:t>
      </w:r>
      <w:r w:rsidRPr="00DF080A">
        <w:rPr>
          <w:rFonts w:ascii="Century" w:hAnsi="Century" w:cs="Miriam" w:hint="eastAsia"/>
          <w:b/>
          <w:spacing w:val="0"/>
          <w:szCs w:val="24"/>
          <w:rtl/>
        </w:rPr>
        <w:t>רשאיות</w:t>
      </w:r>
      <w:r w:rsidRPr="00DF080A">
        <w:rPr>
          <w:rFonts w:ascii="Century" w:hAnsi="Century" w:cs="Miriam"/>
          <w:b/>
          <w:spacing w:val="0"/>
          <w:szCs w:val="24"/>
          <w:rtl/>
        </w:rPr>
        <w:t xml:space="preserve"> </w:t>
      </w:r>
      <w:r w:rsidRPr="00DF080A">
        <w:rPr>
          <w:rFonts w:ascii="Century" w:hAnsi="Century" w:cs="Miriam" w:hint="eastAsia"/>
          <w:b/>
          <w:spacing w:val="0"/>
          <w:szCs w:val="24"/>
          <w:rtl/>
        </w:rPr>
        <w:t>ליזום</w:t>
      </w:r>
      <w:r w:rsidRPr="00DF080A">
        <w:rPr>
          <w:rFonts w:ascii="Century" w:hAnsi="Century" w:cs="Miriam"/>
          <w:b/>
          <w:spacing w:val="0"/>
          <w:szCs w:val="24"/>
          <w:rtl/>
        </w:rPr>
        <w:t xml:space="preserve">, </w:t>
      </w:r>
      <w:r w:rsidRPr="00DF080A">
        <w:rPr>
          <w:rFonts w:ascii="Century" w:hAnsi="Century" w:cs="Miriam" w:hint="eastAsia"/>
          <w:b/>
          <w:spacing w:val="0"/>
          <w:szCs w:val="24"/>
          <w:rtl/>
        </w:rPr>
        <w:t>בתחומי</w:t>
      </w:r>
      <w:r w:rsidRPr="00DF080A">
        <w:rPr>
          <w:rFonts w:ascii="Century" w:hAnsi="Century" w:cs="Miriam"/>
          <w:b/>
          <w:spacing w:val="0"/>
          <w:szCs w:val="24"/>
          <w:rtl/>
        </w:rPr>
        <w:t xml:space="preserve"> </w:t>
      </w:r>
      <w:r w:rsidRPr="00DF080A">
        <w:rPr>
          <w:rFonts w:ascii="Century" w:hAnsi="Century" w:cs="Miriam" w:hint="eastAsia"/>
          <w:b/>
          <w:spacing w:val="0"/>
          <w:szCs w:val="24"/>
          <w:rtl/>
        </w:rPr>
        <w:t>ענייניהן</w:t>
      </w:r>
      <w:r w:rsidRPr="00DF080A">
        <w:rPr>
          <w:rFonts w:ascii="Century" w:hAnsi="Century" w:cs="Miriam"/>
          <w:b/>
          <w:spacing w:val="0"/>
          <w:szCs w:val="24"/>
          <w:rtl/>
        </w:rPr>
        <w:t xml:space="preserve"> </w:t>
      </w:r>
      <w:r w:rsidRPr="00DF080A">
        <w:rPr>
          <w:rFonts w:ascii="Century" w:hAnsi="Century" w:cs="Miriam" w:hint="eastAsia"/>
          <w:b/>
          <w:spacing w:val="0"/>
          <w:szCs w:val="24"/>
          <w:rtl/>
        </w:rPr>
        <w:t>לפי</w:t>
      </w:r>
      <w:r w:rsidRPr="00DF080A">
        <w:rPr>
          <w:rFonts w:ascii="Century" w:hAnsi="Century" w:cs="Miriam"/>
          <w:b/>
          <w:spacing w:val="0"/>
          <w:szCs w:val="24"/>
          <w:rtl/>
        </w:rPr>
        <w:t xml:space="preserve"> </w:t>
      </w:r>
      <w:r w:rsidRPr="00DF080A">
        <w:rPr>
          <w:rFonts w:ascii="Century" w:hAnsi="Century" w:cs="Miriam" w:hint="eastAsia"/>
          <w:b/>
          <w:spacing w:val="0"/>
          <w:szCs w:val="24"/>
          <w:rtl/>
        </w:rPr>
        <w:t>תקנון</w:t>
      </w:r>
      <w:r w:rsidRPr="00DF080A">
        <w:rPr>
          <w:rFonts w:ascii="Century" w:hAnsi="Century" w:cs="Miriam"/>
          <w:b/>
          <w:spacing w:val="0"/>
          <w:szCs w:val="24"/>
          <w:rtl/>
        </w:rPr>
        <w:t xml:space="preserve"> </w:t>
      </w:r>
      <w:r w:rsidRPr="00DF080A">
        <w:rPr>
          <w:rFonts w:ascii="Century" w:hAnsi="Century" w:cs="Miriam" w:hint="eastAsia"/>
          <w:b/>
          <w:spacing w:val="0"/>
          <w:szCs w:val="24"/>
          <w:rtl/>
        </w:rPr>
        <w:t>זה</w:t>
      </w:r>
      <w:r w:rsidRPr="00DF080A">
        <w:rPr>
          <w:rFonts w:ascii="Century" w:hAnsi="Century" w:cs="Miriam"/>
          <w:b/>
          <w:spacing w:val="0"/>
          <w:szCs w:val="24"/>
          <w:rtl/>
        </w:rPr>
        <w:t xml:space="preserve">, </w:t>
      </w:r>
      <w:r w:rsidRPr="00DF080A">
        <w:rPr>
          <w:rFonts w:ascii="Century" w:hAnsi="Century" w:cs="Miriam" w:hint="eastAsia"/>
          <w:b/>
          <w:spacing w:val="0"/>
          <w:szCs w:val="24"/>
          <w:rtl/>
        </w:rPr>
        <w:t>הצעות</w:t>
      </w:r>
      <w:r w:rsidRPr="00DF080A">
        <w:rPr>
          <w:rFonts w:ascii="Century" w:hAnsi="Century" w:cs="Miriam"/>
          <w:b/>
          <w:spacing w:val="0"/>
          <w:szCs w:val="24"/>
          <w:rtl/>
        </w:rPr>
        <w:t xml:space="preserve"> </w:t>
      </w:r>
      <w:r w:rsidRPr="00DF080A">
        <w:rPr>
          <w:rFonts w:ascii="Century" w:hAnsi="Century" w:cs="Miriam" w:hint="eastAsia"/>
          <w:b/>
          <w:spacing w:val="0"/>
          <w:szCs w:val="24"/>
          <w:rtl/>
        </w:rPr>
        <w:t>חוק</w:t>
      </w:r>
      <w:r w:rsidRPr="00DF080A">
        <w:rPr>
          <w:rFonts w:ascii="Century" w:hAnsi="Century" w:cs="Miriam"/>
          <w:b/>
          <w:spacing w:val="0"/>
          <w:szCs w:val="24"/>
          <w:rtl/>
        </w:rPr>
        <w:t xml:space="preserve"> </w:t>
      </w:r>
      <w:r w:rsidRPr="00DF080A">
        <w:rPr>
          <w:rFonts w:ascii="Century" w:hAnsi="Century" w:cs="Miriam" w:hint="eastAsia"/>
          <w:b/>
          <w:spacing w:val="0"/>
          <w:szCs w:val="24"/>
          <w:rtl/>
        </w:rPr>
        <w:t>בנושאים</w:t>
      </w:r>
      <w:r w:rsidRPr="00DF080A">
        <w:rPr>
          <w:rFonts w:ascii="Century" w:hAnsi="Century" w:cs="Miriam"/>
          <w:b/>
          <w:spacing w:val="0"/>
          <w:szCs w:val="24"/>
          <w:rtl/>
        </w:rPr>
        <w:t xml:space="preserve"> </w:t>
      </w:r>
      <w:r w:rsidRPr="00DF080A">
        <w:rPr>
          <w:rFonts w:ascii="Century" w:hAnsi="Century" w:cs="Miriam" w:hint="eastAsia"/>
          <w:b/>
          <w:spacing w:val="0"/>
          <w:szCs w:val="24"/>
          <w:rtl/>
        </w:rPr>
        <w:t>אלה</w:t>
      </w:r>
      <w:r w:rsidRPr="00DF080A">
        <w:rPr>
          <w:rFonts w:ascii="Century" w:hAnsi="Century" w:cs="Miriam"/>
          <w:b/>
          <w:spacing w:val="0"/>
          <w:szCs w:val="24"/>
          <w:rtl/>
        </w:rPr>
        <w:t xml:space="preserve"> </w:t>
      </w:r>
      <w:r w:rsidRPr="00DF080A">
        <w:rPr>
          <w:rFonts w:ascii="Century" w:hAnsi="Century" w:cs="Miriam" w:hint="eastAsia"/>
          <w:b/>
          <w:spacing w:val="0"/>
          <w:szCs w:val="24"/>
          <w:rtl/>
        </w:rPr>
        <w:t>ולהכינן</w:t>
      </w:r>
      <w:r w:rsidRPr="00DF080A">
        <w:rPr>
          <w:rFonts w:ascii="Century" w:hAnsi="Century" w:cs="Miriam"/>
          <w:b/>
          <w:spacing w:val="0"/>
          <w:szCs w:val="24"/>
          <w:rtl/>
        </w:rPr>
        <w:t xml:space="preserve"> </w:t>
      </w:r>
      <w:r w:rsidRPr="00DF080A">
        <w:rPr>
          <w:rFonts w:ascii="Century" w:hAnsi="Century" w:cs="Miriam" w:hint="eastAsia"/>
          <w:b/>
          <w:spacing w:val="0"/>
          <w:szCs w:val="24"/>
          <w:rtl/>
        </w:rPr>
        <w:t>לקריאה</w:t>
      </w:r>
      <w:r w:rsidRPr="00DF080A">
        <w:rPr>
          <w:rFonts w:ascii="Century" w:hAnsi="Century" w:cs="Miriam"/>
          <w:b/>
          <w:spacing w:val="0"/>
          <w:szCs w:val="24"/>
          <w:rtl/>
        </w:rPr>
        <w:t xml:space="preserve"> </w:t>
      </w:r>
      <w:r w:rsidRPr="00DF080A">
        <w:rPr>
          <w:rFonts w:ascii="Century" w:hAnsi="Century" w:cs="Miriam" w:hint="eastAsia"/>
          <w:b/>
          <w:spacing w:val="0"/>
          <w:szCs w:val="24"/>
          <w:rtl/>
        </w:rPr>
        <w:t>הראשונה</w:t>
      </w:r>
      <w:r w:rsidRPr="00DF080A">
        <w:rPr>
          <w:rFonts w:ascii="Century" w:hAnsi="Century" w:cs="Miriam"/>
          <w:b/>
          <w:spacing w:val="0"/>
          <w:szCs w:val="24"/>
          <w:rtl/>
        </w:rPr>
        <w:t xml:space="preserve">: </w:t>
      </w:r>
      <w:r w:rsidRPr="00DF080A">
        <w:rPr>
          <w:rFonts w:ascii="Century" w:hAnsi="Century" w:cs="Miriam" w:hint="eastAsia"/>
          <w:b/>
          <w:spacing w:val="0"/>
          <w:szCs w:val="24"/>
          <w:rtl/>
        </w:rPr>
        <w:t>חוקי</w:t>
      </w:r>
      <w:r w:rsidRPr="00DF080A">
        <w:rPr>
          <w:rFonts w:ascii="Century" w:hAnsi="Century" w:cs="Miriam"/>
          <w:b/>
          <w:spacing w:val="0"/>
          <w:szCs w:val="24"/>
          <w:rtl/>
        </w:rPr>
        <w:t xml:space="preserve"> </w:t>
      </w:r>
      <w:r w:rsidRPr="00DF080A">
        <w:rPr>
          <w:rFonts w:ascii="Century" w:hAnsi="Century" w:cs="Miriam" w:hint="eastAsia"/>
          <w:b/>
          <w:spacing w:val="0"/>
          <w:szCs w:val="24"/>
          <w:rtl/>
        </w:rPr>
        <w:t>יסוד</w:t>
      </w:r>
      <w:r w:rsidRPr="00DF080A">
        <w:rPr>
          <w:rFonts w:ascii="Century" w:hAnsi="Century" w:cs="Miriam"/>
          <w:b/>
          <w:spacing w:val="0"/>
          <w:szCs w:val="24"/>
          <w:rtl/>
        </w:rPr>
        <w:t xml:space="preserve">, </w:t>
      </w:r>
      <w:r w:rsidRPr="00DF080A">
        <w:rPr>
          <w:rFonts w:ascii="Century" w:hAnsi="Century" w:cs="Miriam" w:hint="eastAsia"/>
          <w:b/>
          <w:spacing w:val="0"/>
          <w:szCs w:val="24"/>
          <w:rtl/>
        </w:rPr>
        <w:t>עניינים</w:t>
      </w:r>
      <w:r w:rsidRPr="00DF080A">
        <w:rPr>
          <w:rFonts w:ascii="Century" w:hAnsi="Century" w:cs="Miriam"/>
          <w:b/>
          <w:spacing w:val="0"/>
          <w:szCs w:val="24"/>
          <w:rtl/>
        </w:rPr>
        <w:t xml:space="preserve"> </w:t>
      </w:r>
      <w:r w:rsidRPr="00DF080A">
        <w:rPr>
          <w:rFonts w:ascii="Century" w:hAnsi="Century" w:cs="Miriam" w:hint="eastAsia"/>
          <w:b/>
          <w:spacing w:val="0"/>
          <w:szCs w:val="24"/>
          <w:rtl/>
        </w:rPr>
        <w:t>שמתחייבים</w:t>
      </w:r>
      <w:r w:rsidRPr="00DF080A">
        <w:rPr>
          <w:rFonts w:ascii="Century" w:hAnsi="Century" w:cs="Miriam"/>
          <w:b/>
          <w:spacing w:val="0"/>
          <w:szCs w:val="24"/>
          <w:rtl/>
        </w:rPr>
        <w:t xml:space="preserve"> </w:t>
      </w:r>
      <w:r w:rsidRPr="00DF080A">
        <w:rPr>
          <w:rFonts w:ascii="Century" w:hAnsi="Century" w:cs="Miriam" w:hint="eastAsia"/>
          <w:b/>
          <w:spacing w:val="0"/>
          <w:szCs w:val="24"/>
          <w:rtl/>
        </w:rPr>
        <w:t>מתיקון</w:t>
      </w:r>
      <w:r w:rsidRPr="00DF080A">
        <w:rPr>
          <w:rFonts w:ascii="Century" w:hAnsi="Century" w:cs="Miriam"/>
          <w:b/>
          <w:spacing w:val="0"/>
          <w:szCs w:val="24"/>
          <w:rtl/>
        </w:rPr>
        <w:t xml:space="preserve"> </w:t>
      </w:r>
      <w:r w:rsidRPr="00DF080A">
        <w:rPr>
          <w:rFonts w:ascii="Century" w:hAnsi="Century" w:cs="Miriam" w:hint="eastAsia"/>
          <w:b/>
          <w:spacing w:val="0"/>
          <w:szCs w:val="24"/>
          <w:rtl/>
        </w:rPr>
        <w:t>של</w:t>
      </w:r>
      <w:r w:rsidRPr="00DF080A">
        <w:rPr>
          <w:rFonts w:ascii="Century" w:hAnsi="Century" w:cs="Miriam"/>
          <w:b/>
          <w:spacing w:val="0"/>
          <w:szCs w:val="24"/>
          <w:rtl/>
        </w:rPr>
        <w:t xml:space="preserve"> </w:t>
      </w:r>
      <w:r w:rsidRPr="00DF080A">
        <w:rPr>
          <w:rFonts w:ascii="Century" w:hAnsi="Century" w:cs="Miriam" w:hint="eastAsia"/>
          <w:b/>
          <w:spacing w:val="0"/>
          <w:szCs w:val="24"/>
          <w:rtl/>
        </w:rPr>
        <w:t>חוק</w:t>
      </w:r>
      <w:r w:rsidRPr="00DF080A">
        <w:rPr>
          <w:rFonts w:ascii="Century" w:hAnsi="Century" w:cs="Miriam"/>
          <w:b/>
          <w:spacing w:val="0"/>
          <w:szCs w:val="24"/>
          <w:rtl/>
        </w:rPr>
        <w:t xml:space="preserve"> </w:t>
      </w:r>
      <w:r w:rsidRPr="00DF080A">
        <w:rPr>
          <w:rFonts w:ascii="Century" w:hAnsi="Century" w:cs="Miriam" w:hint="eastAsia"/>
          <w:b/>
          <w:spacing w:val="0"/>
          <w:szCs w:val="24"/>
          <w:rtl/>
        </w:rPr>
        <w:t>יסוד</w:t>
      </w:r>
      <w:r w:rsidRPr="00DF080A">
        <w:rPr>
          <w:rFonts w:ascii="Century" w:hAnsi="Century" w:cs="Miriam"/>
          <w:b/>
          <w:spacing w:val="0"/>
          <w:szCs w:val="24"/>
          <w:rtl/>
        </w:rPr>
        <w:t xml:space="preserve"> </w:t>
      </w:r>
      <w:r w:rsidRPr="00DF080A">
        <w:rPr>
          <w:rFonts w:ascii="Century" w:hAnsi="Century" w:cs="Miriam" w:hint="eastAsia"/>
          <w:b/>
          <w:spacing w:val="0"/>
          <w:szCs w:val="24"/>
          <w:rtl/>
        </w:rPr>
        <w:t>ומוצעים</w:t>
      </w:r>
      <w:r w:rsidRPr="00DF080A">
        <w:rPr>
          <w:rFonts w:ascii="Century" w:hAnsi="Century" w:cs="Miriam"/>
          <w:b/>
          <w:spacing w:val="0"/>
          <w:szCs w:val="24"/>
          <w:rtl/>
        </w:rPr>
        <w:t xml:space="preserve"> </w:t>
      </w:r>
      <w:r w:rsidRPr="00DF080A">
        <w:rPr>
          <w:rFonts w:ascii="Century" w:hAnsi="Century" w:cs="Miriam" w:hint="eastAsia"/>
          <w:b/>
          <w:spacing w:val="0"/>
          <w:szCs w:val="24"/>
          <w:rtl/>
        </w:rPr>
        <w:t>לצדו</w:t>
      </w:r>
      <w:r w:rsidRPr="00DF080A">
        <w:rPr>
          <w:rFonts w:ascii="Century" w:hAnsi="Century" w:cs="Miriam"/>
          <w:b/>
          <w:spacing w:val="0"/>
          <w:szCs w:val="24"/>
          <w:rtl/>
        </w:rPr>
        <w:t xml:space="preserve">, </w:t>
      </w:r>
      <w:r w:rsidRPr="00DF080A">
        <w:rPr>
          <w:rFonts w:ascii="Century" w:hAnsi="Century" w:cs="Miriam" w:hint="eastAsia"/>
          <w:b/>
          <w:spacing w:val="0"/>
          <w:szCs w:val="24"/>
          <w:rtl/>
        </w:rPr>
        <w:t>הכנסת</w:t>
      </w:r>
      <w:r w:rsidRPr="00DF080A">
        <w:rPr>
          <w:rFonts w:ascii="Century" w:hAnsi="Century" w:cs="Miriam"/>
          <w:b/>
          <w:spacing w:val="0"/>
          <w:szCs w:val="24"/>
          <w:rtl/>
        </w:rPr>
        <w:t xml:space="preserve">, </w:t>
      </w:r>
      <w:r w:rsidRPr="00DF080A">
        <w:rPr>
          <w:rFonts w:ascii="Century" w:hAnsi="Century" w:cs="Miriam" w:hint="eastAsia"/>
          <w:b/>
          <w:spacing w:val="0"/>
          <w:szCs w:val="24"/>
          <w:rtl/>
        </w:rPr>
        <w:t>חברי</w:t>
      </w:r>
      <w:r w:rsidRPr="00DF080A">
        <w:rPr>
          <w:rFonts w:ascii="Century" w:hAnsi="Century" w:cs="Miriam"/>
          <w:b/>
          <w:spacing w:val="0"/>
          <w:szCs w:val="24"/>
          <w:rtl/>
        </w:rPr>
        <w:t xml:space="preserve"> </w:t>
      </w:r>
      <w:r w:rsidRPr="00DF080A">
        <w:rPr>
          <w:rFonts w:ascii="Century" w:hAnsi="Century" w:cs="Miriam" w:hint="eastAsia"/>
          <w:b/>
          <w:spacing w:val="0"/>
          <w:szCs w:val="24"/>
          <w:rtl/>
        </w:rPr>
        <w:t>הכנסת</w:t>
      </w:r>
      <w:r w:rsidRPr="00DF080A">
        <w:rPr>
          <w:rFonts w:ascii="Century" w:hAnsi="Century" w:cs="Miriam"/>
          <w:b/>
          <w:spacing w:val="0"/>
          <w:szCs w:val="24"/>
          <w:rtl/>
        </w:rPr>
        <w:t xml:space="preserve">, </w:t>
      </w:r>
      <w:r w:rsidRPr="00DF080A">
        <w:rPr>
          <w:rFonts w:ascii="Century" w:hAnsi="Century" w:cs="Miriam" w:hint="eastAsia"/>
          <w:b/>
          <w:spacing w:val="0"/>
          <w:szCs w:val="24"/>
          <w:rtl/>
        </w:rPr>
        <w:t>הבחירות</w:t>
      </w:r>
      <w:r w:rsidRPr="00DF080A">
        <w:rPr>
          <w:rFonts w:ascii="Century" w:hAnsi="Century" w:cs="Miriam"/>
          <w:b/>
          <w:spacing w:val="0"/>
          <w:szCs w:val="24"/>
          <w:rtl/>
        </w:rPr>
        <w:t xml:space="preserve"> </w:t>
      </w:r>
      <w:r w:rsidRPr="00DF080A">
        <w:rPr>
          <w:rFonts w:ascii="Century" w:hAnsi="Century" w:cs="Miriam" w:hint="eastAsia"/>
          <w:b/>
          <w:spacing w:val="0"/>
          <w:szCs w:val="24"/>
          <w:rtl/>
        </w:rPr>
        <w:t>לכנסת</w:t>
      </w:r>
      <w:r w:rsidRPr="00DF080A">
        <w:rPr>
          <w:rFonts w:ascii="Century" w:hAnsi="Century" w:cs="Miriam"/>
          <w:b/>
          <w:spacing w:val="0"/>
          <w:szCs w:val="24"/>
          <w:rtl/>
        </w:rPr>
        <w:t xml:space="preserve">, </w:t>
      </w:r>
      <w:r w:rsidRPr="00DF080A">
        <w:rPr>
          <w:rFonts w:ascii="Century" w:hAnsi="Century" w:cs="Miriam" w:hint="eastAsia"/>
          <w:b/>
          <w:spacing w:val="0"/>
          <w:szCs w:val="24"/>
          <w:rtl/>
        </w:rPr>
        <w:t>מפלגות</w:t>
      </w:r>
      <w:r w:rsidRPr="00DF080A">
        <w:rPr>
          <w:rFonts w:ascii="Century" w:hAnsi="Century" w:cs="Miriam"/>
          <w:b/>
          <w:spacing w:val="0"/>
          <w:szCs w:val="24"/>
          <w:rtl/>
        </w:rPr>
        <w:t xml:space="preserve">, </w:t>
      </w:r>
      <w:r w:rsidRPr="00DF080A">
        <w:rPr>
          <w:rFonts w:ascii="Century" w:hAnsi="Century" w:cs="Miriam" w:hint="eastAsia"/>
          <w:b/>
          <w:spacing w:val="0"/>
          <w:szCs w:val="24"/>
          <w:rtl/>
        </w:rPr>
        <w:t>מימון</w:t>
      </w:r>
      <w:r w:rsidRPr="00DF080A">
        <w:rPr>
          <w:rFonts w:ascii="Century" w:hAnsi="Century" w:cs="Miriam"/>
          <w:b/>
          <w:spacing w:val="0"/>
          <w:szCs w:val="24"/>
          <w:rtl/>
        </w:rPr>
        <w:t xml:space="preserve"> </w:t>
      </w:r>
      <w:r w:rsidRPr="00DF080A">
        <w:rPr>
          <w:rFonts w:ascii="Century" w:hAnsi="Century" w:cs="Miriam" w:hint="eastAsia"/>
          <w:b/>
          <w:spacing w:val="0"/>
          <w:szCs w:val="24"/>
          <w:rtl/>
        </w:rPr>
        <w:t>מפלגות</w:t>
      </w:r>
      <w:r w:rsidRPr="00DF080A">
        <w:rPr>
          <w:rFonts w:ascii="Century" w:hAnsi="Century" w:cs="Miriam"/>
          <w:b/>
          <w:spacing w:val="0"/>
          <w:szCs w:val="24"/>
          <w:rtl/>
        </w:rPr>
        <w:t xml:space="preserve"> </w:t>
      </w:r>
      <w:r w:rsidRPr="00DF080A">
        <w:rPr>
          <w:rFonts w:ascii="Century" w:hAnsi="Century" w:cs="Miriam" w:hint="eastAsia"/>
          <w:b/>
          <w:spacing w:val="0"/>
          <w:szCs w:val="24"/>
          <w:rtl/>
        </w:rPr>
        <w:t>ומבקר</w:t>
      </w:r>
      <w:r w:rsidRPr="00DF080A">
        <w:rPr>
          <w:rFonts w:ascii="Century" w:hAnsi="Century" w:cs="Miriam"/>
          <w:b/>
          <w:spacing w:val="0"/>
          <w:szCs w:val="24"/>
          <w:rtl/>
        </w:rPr>
        <w:t xml:space="preserve"> </w:t>
      </w:r>
      <w:r w:rsidRPr="00DF080A">
        <w:rPr>
          <w:rFonts w:ascii="Century" w:hAnsi="Century" w:cs="Miriam" w:hint="eastAsia"/>
          <w:b/>
          <w:spacing w:val="0"/>
          <w:szCs w:val="24"/>
          <w:rtl/>
        </w:rPr>
        <w:t>המדינה</w:t>
      </w:r>
      <w:r>
        <w:rPr>
          <w:rFonts w:ascii="Century" w:hAnsi="Century" w:cs="Miriam" w:hint="cs"/>
          <w:b/>
          <w:spacing w:val="0"/>
          <w:szCs w:val="24"/>
          <w:rtl/>
        </w:rPr>
        <w:t>"</w:t>
      </w:r>
      <w:r w:rsidRPr="00DF080A">
        <w:rPr>
          <w:rFonts w:ascii="Century" w:hAnsi="Century" w:cs="Miriam"/>
          <w:b/>
          <w:spacing w:val="0"/>
          <w:szCs w:val="24"/>
          <w:rtl/>
        </w:rPr>
        <w:t>.</w:t>
      </w:r>
    </w:p>
    <w:p w:rsidR="00EB02E1" w:rsidRDefault="00EB02E1" w:rsidP="00EB02E1">
      <w:pPr>
        <w:pStyle w:val="Ruller41"/>
        <w:rPr>
          <w:rtl/>
        </w:rPr>
      </w:pPr>
    </w:p>
    <w:p w:rsidR="00EB02E1" w:rsidRDefault="00EB02E1" w:rsidP="00EB02E1">
      <w:pPr>
        <w:pStyle w:val="Ruller4"/>
      </w:pPr>
      <w:r>
        <w:rPr>
          <w:rFonts w:hint="cs"/>
          <w:rtl/>
        </w:rPr>
        <w:t xml:space="preserve">על פני הדברים, מהחלטת ועדת הכנסת, ומהתקנון שבא בעקבותיה </w:t>
      </w:r>
      <w:r>
        <w:rPr>
          <w:rtl/>
        </w:rPr>
        <w:t>–</w:t>
      </w:r>
      <w:r>
        <w:rPr>
          <w:rFonts w:hint="cs"/>
          <w:rtl/>
        </w:rPr>
        <w:t xml:space="preserve"> לא ניכר קושי כלשהו. ועדת החוקה, חוק ומשפט, היא אחת מן הוועדות הרשאיות ליזום חקיקה בתחומי ענייניהן. תיקון לחוק-יסוד: השפיטה הוא בתחומי עניינה של ועדת החוקה, חוק ומשפט. כמו כן, הצעת החוק היתה תיקון לחוק-יסוד, ועל כן היא נכללת ברשימת הנושאים שבהם רשאית ועדה להציע הצעות-חוק. על מה נסובה אפוא טרוניית חלק מן העותרים? לעמדתם, גם אם נוּסחוֹ הפורמלי של תקנון הכנסת אכן מאפשר להגיש את הצעת-החוק כהצעת חוק מטעם ועדה, הרי שהדבר מנוגד לפרקטיקה הנוהגת.</w:t>
      </w:r>
    </w:p>
    <w:p w:rsidR="00EB02E1" w:rsidRPr="002206E4" w:rsidRDefault="00EB02E1" w:rsidP="00EB02E1">
      <w:pPr>
        <w:pStyle w:val="Ruller4"/>
        <w:numPr>
          <w:ilvl w:val="0"/>
          <w:numId w:val="0"/>
        </w:numPr>
      </w:pPr>
      <w:r>
        <w:rPr>
          <w:rFonts w:hint="cs"/>
          <w:rtl/>
        </w:rPr>
        <w:t xml:space="preserve"> </w:t>
      </w:r>
    </w:p>
    <w:p w:rsidR="00EB02E1" w:rsidRDefault="00EB02E1" w:rsidP="00EB02E1">
      <w:pPr>
        <w:pStyle w:val="Ruller4"/>
      </w:pPr>
      <w:r>
        <w:rPr>
          <w:rFonts w:hint="cs"/>
          <w:rtl/>
        </w:rPr>
        <w:t xml:space="preserve">טענה זו שבפי העותרים, כוללת בתוכה, למעשה, 3 טענות-משנה </w:t>
      </w:r>
      <w:r w:rsidRPr="00EC6D01">
        <w:rPr>
          <w:rFonts w:hint="cs"/>
          <w:rtl/>
        </w:rPr>
        <w:t>מצטברות</w:t>
      </w:r>
      <w:r>
        <w:rPr>
          <w:rFonts w:hint="cs"/>
          <w:rtl/>
        </w:rPr>
        <w:t xml:space="preserve">: הראשונה </w:t>
      </w:r>
      <w:r>
        <w:rPr>
          <w:rtl/>
        </w:rPr>
        <w:t>–</w:t>
      </w:r>
      <w:r>
        <w:rPr>
          <w:rFonts w:hint="cs"/>
          <w:rtl/>
        </w:rPr>
        <w:t xml:space="preserve"> עובדתית-אמפירית, השנייה </w:t>
      </w:r>
      <w:r>
        <w:rPr>
          <w:rtl/>
        </w:rPr>
        <w:t>–</w:t>
      </w:r>
      <w:r>
        <w:rPr>
          <w:rFonts w:hint="cs"/>
          <w:rtl/>
        </w:rPr>
        <w:t xml:space="preserve"> לוגית-היסקית, השלישית </w:t>
      </w:r>
      <w:r>
        <w:rPr>
          <w:rtl/>
        </w:rPr>
        <w:t>–</w:t>
      </w:r>
      <w:r>
        <w:rPr>
          <w:rFonts w:hint="cs"/>
          <w:rtl/>
        </w:rPr>
        <w:t xml:space="preserve"> משפטית. </w:t>
      </w:r>
    </w:p>
    <w:p w:rsidR="00EB02E1" w:rsidRDefault="00EB02E1" w:rsidP="00EB02E1">
      <w:pPr>
        <w:pStyle w:val="Ruller4"/>
        <w:numPr>
          <w:ilvl w:val="0"/>
          <w:numId w:val="0"/>
        </w:numPr>
        <w:rPr>
          <w:rtl/>
        </w:rPr>
      </w:pPr>
      <w:r>
        <w:rPr>
          <w:rFonts w:hint="cs"/>
          <w:rtl/>
        </w:rPr>
        <w:t xml:space="preserve">הטענה העובדתית-אמפירית היא, כי במשך השנים, הן עובר לתיקון התקנון בשנת 2011, הן לאחריו, הצעות חוקי-יסוד מטעם ועדה הוגשו רק אם מילאו אחר תנאי אחד לפחות, משני תנאים: החקיקה קשורה לעבודת הכנסת, או שהחקיקה קודמה 'בהסכמה רחבה וללא התנגדות משמעותית'. הטענה הלוגית-היסקית היא, כי אם אכן הטענה העובדתית-אמפירית נכונה, הרי שהמסקנה המתבקשת היא קיומו של נוהג, בלתי כתוב, שלפיו לא תקודם חקיקה מטעם ועדה, אם אינה עונה על אחד משני התנאים האמורים. הטענה המשפטית היא, כי אם נניח קיומו של נוהג שכזה, אזי חקיקה שתחוקק בניגוד לאותו נוהג </w:t>
      </w:r>
      <w:r>
        <w:rPr>
          <w:rtl/>
        </w:rPr>
        <w:t>–</w:t>
      </w:r>
      <w:r>
        <w:rPr>
          <w:rFonts w:hint="cs"/>
          <w:rtl/>
        </w:rPr>
        <w:t xml:space="preserve"> דינה בטלות. כדי לקבל את טענת העותרים יש לקבל את </w:t>
      </w:r>
      <w:r w:rsidRPr="00647CCD">
        <w:rPr>
          <w:rFonts w:hint="cs"/>
          <w:rtl/>
        </w:rPr>
        <w:t>כל</w:t>
      </w:r>
      <w:r>
        <w:rPr>
          <w:rFonts w:hint="cs"/>
          <w:rtl/>
        </w:rPr>
        <w:t xml:space="preserve"> טענות-המשנה, אך כפי שאראה להלן, כל אחת משלוש טענות-המשנה הללו, בפני עצמה </w:t>
      </w:r>
      <w:r>
        <w:rPr>
          <w:rtl/>
        </w:rPr>
        <w:t>–</w:t>
      </w:r>
      <w:r>
        <w:rPr>
          <w:rFonts w:hint="cs"/>
          <w:rtl/>
        </w:rPr>
        <w:t xml:space="preserve"> אינה יכולה לעמוד. </w:t>
      </w:r>
    </w:p>
    <w:p w:rsidR="00EB02E1" w:rsidRPr="002206E4" w:rsidRDefault="00EB02E1" w:rsidP="00EB02E1">
      <w:pPr>
        <w:pStyle w:val="Ruller41"/>
        <w:rPr>
          <w:rtl/>
        </w:rPr>
      </w:pPr>
    </w:p>
    <w:p w:rsidR="00EB02E1" w:rsidRDefault="00EB02E1" w:rsidP="00EB02E1">
      <w:pPr>
        <w:pStyle w:val="Ruller4"/>
        <w:rPr>
          <w:rtl/>
        </w:rPr>
      </w:pPr>
      <w:r>
        <w:rPr>
          <w:rFonts w:hint="cs"/>
          <w:rtl/>
        </w:rPr>
        <w:lastRenderedPageBreak/>
        <w:t xml:space="preserve">תחילה לגבי הטענה העובדתית-אמפירית, שעליה מבוסס הטיעון כולו: האם אכן לא הוגשו הצעות-חוק מטעם ועדה, אלא אם מילאו אחר אותם תנאים מצטברים, הנזכרים בדברי חברתי </w:t>
      </w:r>
      <w:r>
        <w:rPr>
          <w:rtl/>
        </w:rPr>
        <w:t>–</w:t>
      </w:r>
      <w:r>
        <w:rPr>
          <w:rFonts w:hint="cs"/>
          <w:rtl/>
        </w:rPr>
        <w:t xml:space="preserve"> חקיקת-יסוד בעניינה של הכנסת, או חקיקה בהסכמה רחבה, וללא התנגדות משמעותית? חברתי מתבססת על 'מחקר אמפירי' זוטא, שבמסגרתו נבחנו כל אותם חוקים שהוצעו על-ידי ועדה, עברו את מסלול החקיקה המפרך, והפכו לחוק-יסוד בספר החוקים. אך גם אם נסכים לכך שכל אותם חוקים מתאימים לכללים האמורים </w:t>
      </w:r>
      <w:r>
        <w:rPr>
          <w:rtl/>
        </w:rPr>
        <w:t>–</w:t>
      </w:r>
      <w:r>
        <w:rPr>
          <w:rFonts w:hint="cs"/>
          <w:rtl/>
        </w:rPr>
        <w:t xml:space="preserve"> אין די בכך. אחד השלבים הראשונים בכל מחקר אמפירי, יהא אשר יהא, הוא הניסיון להגדיר מהי קבוצת-המחקר. העותרים בחרו להתמקד רק בהצעות חוק-יסוד </w:t>
      </w:r>
      <w:r w:rsidRPr="003B0CE8">
        <w:rPr>
          <w:rFonts w:ascii="Century" w:hAnsi="Century" w:cs="Miriam" w:hint="cs"/>
          <w:b/>
          <w:spacing w:val="0"/>
          <w:sz w:val="22"/>
          <w:szCs w:val="24"/>
          <w:rtl/>
        </w:rPr>
        <w:t>שהתקבלו</w:t>
      </w:r>
      <w:r>
        <w:rPr>
          <w:rFonts w:hint="cs"/>
          <w:rtl/>
        </w:rPr>
        <w:t xml:space="preserve"> לספר החוקים; בכך נפלו לכלל טעות של 'דגימת-חסר'. אם באים אנו לבחון באלו מקרים </w:t>
      </w:r>
      <w:r w:rsidRPr="003B0CE8">
        <w:rPr>
          <w:rFonts w:ascii="Century" w:hAnsi="Century" w:cs="Miriam" w:hint="cs"/>
          <w:b/>
          <w:spacing w:val="0"/>
          <w:sz w:val="22"/>
          <w:szCs w:val="24"/>
          <w:rtl/>
        </w:rPr>
        <w:t>הוגשו</w:t>
      </w:r>
      <w:r>
        <w:rPr>
          <w:rFonts w:hint="cs"/>
          <w:rtl/>
        </w:rPr>
        <w:t xml:space="preserve"> הצעות חוק מטעם ועדה, אין זה מענייננו האם אותן הצעות-חוק אכן הפכו בסופו של דבר לחוקים, או שמא נקברו במעלה הליך החקיקה. אותה ועדה, המציעה הצעת חוק מטעמה, אינה יודעת בשלב הראשוני, שלב ההגשה, האם הצעת-החוק אכן תִּצלח את שלבי החקיקה ותהיה לחוק. כל הצעת-חוק מטעם ועדה מוגשת בתקווה, כי ביום מן הימים תהיה לחוק. ממילא, אם ברצוננו לבחון את הדברים לאשורם, מבלי 'לסמן' מראש את התוצאה, אין טעם טוב להתמקד דווקא באותה קבוצה מצומצמת יחסית, של הצעות-חוק מטעם ועדה שהפכו לחוקים. כדי לקבל את התמונה השלֵימה, עלינו להרחיב את היריעה, ולבחון כל אותן הצעות-חוק שהוגשו מטעם הוועדות במשך השנים; יהיו אלו הצעות-חוק שהפכו לחוקים, יהיו אלו אותן שלא זכו לכך.</w:t>
      </w:r>
    </w:p>
    <w:p w:rsidR="00EB02E1" w:rsidRPr="002206E4" w:rsidRDefault="00EB02E1" w:rsidP="00EB02E1">
      <w:pPr>
        <w:pStyle w:val="Ruller41"/>
      </w:pPr>
    </w:p>
    <w:p w:rsidR="00EB02E1" w:rsidRDefault="00EB02E1" w:rsidP="00EB02E1">
      <w:pPr>
        <w:pStyle w:val="Ruller4"/>
        <w:rPr>
          <w:rtl/>
        </w:rPr>
      </w:pPr>
      <w:r>
        <w:rPr>
          <w:rFonts w:hint="cs"/>
          <w:rtl/>
        </w:rPr>
        <w:t xml:space="preserve">אם כך ננהג, ונרחיב את 'אוכלוסיית המדגם' שלנו, נמצא כי ישנן הצעות חוק-יסוד, שהוגשו מטעם ועדה מוועדות הכנסת, ואינן ממלאות אחר התנאים האמורים. כמו למשל: </w:t>
      </w:r>
      <w:r w:rsidRPr="002206E4">
        <w:rPr>
          <w:rFonts w:hint="eastAsia"/>
          <w:rtl/>
        </w:rPr>
        <w:t>הצעת</w:t>
      </w:r>
      <w:r w:rsidRPr="002206E4">
        <w:rPr>
          <w:rtl/>
        </w:rPr>
        <w:t xml:space="preserve"> </w:t>
      </w:r>
      <w:r w:rsidRPr="002206E4">
        <w:rPr>
          <w:rFonts w:hint="eastAsia"/>
          <w:rtl/>
        </w:rPr>
        <w:t>חוק</w:t>
      </w:r>
      <w:r w:rsidRPr="002206E4">
        <w:rPr>
          <w:rtl/>
        </w:rPr>
        <w:t>-</w:t>
      </w:r>
      <w:r w:rsidRPr="002206E4">
        <w:rPr>
          <w:rFonts w:hint="eastAsia"/>
          <w:rtl/>
        </w:rPr>
        <w:t>יסוד</w:t>
      </w:r>
      <w:r w:rsidRPr="002206E4">
        <w:rPr>
          <w:rtl/>
        </w:rPr>
        <w:t xml:space="preserve">: </w:t>
      </w:r>
      <w:r w:rsidRPr="002206E4">
        <w:rPr>
          <w:rFonts w:hint="eastAsia"/>
          <w:rtl/>
        </w:rPr>
        <w:t>מבקר</w:t>
      </w:r>
      <w:r w:rsidRPr="002206E4">
        <w:rPr>
          <w:rtl/>
        </w:rPr>
        <w:t xml:space="preserve"> </w:t>
      </w:r>
      <w:r w:rsidRPr="002206E4">
        <w:rPr>
          <w:rFonts w:hint="eastAsia"/>
          <w:rtl/>
        </w:rPr>
        <w:t>המדינה</w:t>
      </w:r>
      <w:r w:rsidRPr="002206E4">
        <w:rPr>
          <w:rtl/>
        </w:rPr>
        <w:t xml:space="preserve"> (</w:t>
      </w:r>
      <w:r w:rsidRPr="002206E4">
        <w:rPr>
          <w:rFonts w:hint="eastAsia"/>
          <w:rtl/>
        </w:rPr>
        <w:t>תיקון</w:t>
      </w:r>
      <w:r w:rsidRPr="002206E4">
        <w:rPr>
          <w:rtl/>
        </w:rPr>
        <w:t xml:space="preserve"> </w:t>
      </w:r>
      <w:r w:rsidRPr="002206E4">
        <w:rPr>
          <w:rFonts w:hint="eastAsia"/>
          <w:rtl/>
        </w:rPr>
        <w:t>מס</w:t>
      </w:r>
      <w:r w:rsidRPr="002206E4">
        <w:rPr>
          <w:rtl/>
        </w:rPr>
        <w:t>' 3) (</w:t>
      </w:r>
      <w:r w:rsidRPr="002206E4">
        <w:rPr>
          <w:rFonts w:hint="eastAsia"/>
          <w:rtl/>
        </w:rPr>
        <w:t>השלמת</w:t>
      </w:r>
      <w:r w:rsidRPr="002206E4">
        <w:rPr>
          <w:rtl/>
        </w:rPr>
        <w:t xml:space="preserve"> </w:t>
      </w:r>
      <w:r w:rsidRPr="002206E4">
        <w:rPr>
          <w:rFonts w:hint="eastAsia"/>
          <w:rtl/>
        </w:rPr>
        <w:t>דין</w:t>
      </w:r>
      <w:r w:rsidRPr="002206E4">
        <w:rPr>
          <w:rtl/>
        </w:rPr>
        <w:t xml:space="preserve"> </w:t>
      </w:r>
      <w:r w:rsidRPr="002206E4">
        <w:rPr>
          <w:rFonts w:hint="eastAsia"/>
          <w:rtl/>
        </w:rPr>
        <w:t>וחשבון</w:t>
      </w:r>
      <w:r w:rsidRPr="002206E4">
        <w:rPr>
          <w:rtl/>
        </w:rPr>
        <w:t xml:space="preserve"> </w:t>
      </w:r>
      <w:r w:rsidRPr="002206E4">
        <w:rPr>
          <w:rFonts w:hint="eastAsia"/>
          <w:rtl/>
        </w:rPr>
        <w:t>וחוות</w:t>
      </w:r>
      <w:r w:rsidRPr="002206E4">
        <w:rPr>
          <w:rtl/>
        </w:rPr>
        <w:t xml:space="preserve"> </w:t>
      </w:r>
      <w:r w:rsidRPr="002206E4">
        <w:rPr>
          <w:rFonts w:hint="eastAsia"/>
          <w:rtl/>
        </w:rPr>
        <w:t>דעת</w:t>
      </w:r>
      <w:r w:rsidRPr="002206E4">
        <w:rPr>
          <w:rtl/>
        </w:rPr>
        <w:t xml:space="preserve"> </w:t>
      </w:r>
      <w:r w:rsidRPr="002206E4">
        <w:rPr>
          <w:rFonts w:hint="eastAsia"/>
          <w:rtl/>
        </w:rPr>
        <w:t>על</w:t>
      </w:r>
      <w:r w:rsidRPr="002206E4">
        <w:rPr>
          <w:rtl/>
        </w:rPr>
        <w:t xml:space="preserve"> </w:t>
      </w:r>
      <w:r w:rsidRPr="002206E4">
        <w:rPr>
          <w:rFonts w:hint="eastAsia"/>
          <w:rtl/>
        </w:rPr>
        <w:t>ידי</w:t>
      </w:r>
      <w:r w:rsidRPr="002206E4">
        <w:rPr>
          <w:rtl/>
        </w:rPr>
        <w:t xml:space="preserve"> </w:t>
      </w:r>
      <w:r w:rsidRPr="002206E4">
        <w:rPr>
          <w:rFonts w:hint="eastAsia"/>
          <w:rtl/>
        </w:rPr>
        <w:t>מבקר</w:t>
      </w:r>
      <w:r w:rsidRPr="002206E4">
        <w:rPr>
          <w:rtl/>
        </w:rPr>
        <w:t xml:space="preserve"> </w:t>
      </w:r>
      <w:r w:rsidRPr="002206E4">
        <w:rPr>
          <w:rFonts w:hint="eastAsia"/>
          <w:rtl/>
        </w:rPr>
        <w:t>שכהונתו</w:t>
      </w:r>
      <w:r w:rsidRPr="002206E4">
        <w:rPr>
          <w:rtl/>
        </w:rPr>
        <w:t xml:space="preserve"> </w:t>
      </w:r>
      <w:r w:rsidRPr="002206E4">
        <w:rPr>
          <w:rFonts w:hint="eastAsia"/>
          <w:rtl/>
        </w:rPr>
        <w:t>תמה</w:t>
      </w:r>
      <w:r w:rsidRPr="002206E4">
        <w:rPr>
          <w:rtl/>
        </w:rPr>
        <w:t>)</w:t>
      </w:r>
      <w:r>
        <w:rPr>
          <w:rFonts w:hint="cs"/>
          <w:rtl/>
        </w:rPr>
        <w:t xml:space="preserve">, שנדונה בוועדה לביקורת המדינה ביום 11.7.2012. הצעת-חוק זו, שהוגשה לאחר התיקון לתקנון הכנסת בשנת 2011, לא הוגשה בהסכמה רחבה, אף לא קודמה בסופו של דבר, וגם לא עוסקת בענייני הכנסת. </w:t>
      </w:r>
    </w:p>
    <w:p w:rsidR="00EB02E1" w:rsidRPr="003B0CE8" w:rsidRDefault="00EB02E1" w:rsidP="00EB02E1">
      <w:pPr>
        <w:pStyle w:val="Ruller41"/>
        <w:rPr>
          <w:rtl/>
        </w:rPr>
      </w:pPr>
    </w:p>
    <w:p w:rsidR="00EB02E1" w:rsidRDefault="00EB02E1" w:rsidP="00EB02E1">
      <w:pPr>
        <w:pStyle w:val="Ruller4"/>
        <w:rPr>
          <w:rtl/>
        </w:rPr>
      </w:pPr>
      <w:r>
        <w:rPr>
          <w:rFonts w:hint="cs"/>
          <w:rtl/>
        </w:rPr>
        <w:t xml:space="preserve">הצעה משמעותית הרבה יותר, ושנויה במחלוקת עמוקה יותר, היא </w:t>
      </w:r>
      <w:r w:rsidRPr="003B0CE8">
        <w:rPr>
          <w:rFonts w:hint="eastAsia"/>
          <w:rtl/>
        </w:rPr>
        <w:t>הצעת</w:t>
      </w:r>
      <w:r w:rsidRPr="003B0CE8">
        <w:rPr>
          <w:rtl/>
        </w:rPr>
        <w:t xml:space="preserve"> </w:t>
      </w:r>
      <w:r w:rsidRPr="003B0CE8">
        <w:rPr>
          <w:rFonts w:hint="eastAsia"/>
          <w:rtl/>
        </w:rPr>
        <w:t>ועדת</w:t>
      </w:r>
      <w:r w:rsidRPr="003B0CE8">
        <w:rPr>
          <w:rtl/>
        </w:rPr>
        <w:t xml:space="preserve"> </w:t>
      </w:r>
      <w:r w:rsidRPr="003B0CE8">
        <w:rPr>
          <w:rFonts w:hint="eastAsia"/>
          <w:rtl/>
        </w:rPr>
        <w:t>החוקה</w:t>
      </w:r>
      <w:r>
        <w:rPr>
          <w:rFonts w:hint="cs"/>
          <w:rtl/>
        </w:rPr>
        <w:t>, חוק ומשפט</w:t>
      </w:r>
      <w:r w:rsidRPr="003B0CE8">
        <w:rPr>
          <w:rtl/>
        </w:rPr>
        <w:t xml:space="preserve"> </w:t>
      </w:r>
      <w:r w:rsidRPr="003B0CE8">
        <w:rPr>
          <w:rFonts w:hint="eastAsia"/>
          <w:rtl/>
        </w:rPr>
        <w:t>לשינויים</w:t>
      </w:r>
      <w:r w:rsidRPr="003B0CE8">
        <w:rPr>
          <w:rtl/>
        </w:rPr>
        <w:t xml:space="preserve"> </w:t>
      </w:r>
      <w:r w:rsidRPr="003B0CE8">
        <w:rPr>
          <w:rFonts w:hint="eastAsia"/>
          <w:rtl/>
        </w:rPr>
        <w:t>בשיטת</w:t>
      </w:r>
      <w:r w:rsidRPr="003B0CE8">
        <w:rPr>
          <w:rtl/>
        </w:rPr>
        <w:t xml:space="preserve"> </w:t>
      </w:r>
      <w:r w:rsidRPr="003B0CE8">
        <w:rPr>
          <w:rFonts w:hint="eastAsia"/>
          <w:rtl/>
        </w:rPr>
        <w:t>הממשל</w:t>
      </w:r>
      <w:r>
        <w:rPr>
          <w:rFonts w:hint="cs"/>
          <w:rtl/>
        </w:rPr>
        <w:t xml:space="preserve">, שהוגשה ביום 10.1.2007, במהלך כהונתה של הכנסת ה-17. אותה הצעה, כפי ששמה מעיד עליה, ביקשה לשנות את שיטת הממשל בישראל. במסגרת אותה הצעה נדונה שורת תיקונים לחוקי-היסוד, אף שחלקם אינו קשור כלל וכלל לעניינה של הכנסת. כמו למשל, הצעה לתיקון חוק-יסוד: הממשלה, כך שמספר השרים יוגבל ל-18. ועדת החוקה, חוק ומשפט, קיימה דיונים ארוכים באותה הצעה לשינויים בשיטת הממשל, לאורכם של 18 ישיבות ועדה. באותן ישיבות השתתפו </w:t>
      </w:r>
      <w:r>
        <w:rPr>
          <w:rFonts w:hint="cs"/>
          <w:rtl/>
        </w:rPr>
        <w:lastRenderedPageBreak/>
        <w:t xml:space="preserve">מוזמנים ומכובדים רבים, ממשרדי הממשלה השונים, ומארגוני החברה האזרחית. ראשון הדוברים בישיבת הפתיחה היה נשיא המכון הישראלי לדמוקרטיה, פרופ' אריק כרמון. עד כמה שידיעתי מגעת, במהלך כל הדיונים, איש לא ערער על כך שאותה הצעה הוגשה מטעם ועדה, על אף שכללה הצעות-חוק שאינן עוסקות בכנסת, ולא שׂררה לגביהן הסכמה רחבה. </w:t>
      </w:r>
    </w:p>
    <w:p w:rsidR="00EB02E1" w:rsidRDefault="00EB02E1" w:rsidP="00EB02E1">
      <w:pPr>
        <w:pStyle w:val="Ruller41"/>
        <w:rPr>
          <w:rtl/>
        </w:rPr>
      </w:pPr>
    </w:p>
    <w:p w:rsidR="00EB02E1" w:rsidRDefault="00EB02E1" w:rsidP="00EB02E1">
      <w:pPr>
        <w:pStyle w:val="Ruller4"/>
      </w:pPr>
      <w:r>
        <w:rPr>
          <w:rFonts w:hint="cs"/>
          <w:rtl/>
        </w:rPr>
        <w:t xml:space="preserve">כך גם קודם לכן, בשנת 1994, הגישה ועדת החוקה, חוק ומשפט, </w:t>
      </w:r>
      <w:r w:rsidRPr="003B0CE8">
        <w:rPr>
          <w:rFonts w:ascii="Century" w:hAnsi="Century" w:cs="Miriam" w:hint="cs"/>
          <w:b/>
          <w:spacing w:val="0"/>
          <w:sz w:val="22"/>
          <w:szCs w:val="24"/>
          <w:rtl/>
        </w:rPr>
        <w:t>"</w:t>
      </w:r>
      <w:r w:rsidRPr="003B0CE8">
        <w:rPr>
          <w:rFonts w:ascii="Century" w:hAnsi="Century" w:cs="Miriam" w:hint="eastAsia"/>
          <w:b/>
          <w:spacing w:val="0"/>
          <w:sz w:val="22"/>
          <w:szCs w:val="24"/>
          <w:rtl/>
        </w:rPr>
        <w:t>שלוש</w:t>
      </w:r>
      <w:r w:rsidRPr="003B0CE8">
        <w:rPr>
          <w:rFonts w:ascii="Century" w:hAnsi="Century" w:cs="Miriam"/>
          <w:b/>
          <w:spacing w:val="0"/>
          <w:sz w:val="22"/>
          <w:szCs w:val="24"/>
          <w:rtl/>
        </w:rPr>
        <w:t xml:space="preserve"> </w:t>
      </w:r>
      <w:r w:rsidRPr="003B0CE8">
        <w:rPr>
          <w:rFonts w:ascii="Century" w:hAnsi="Century" w:cs="Miriam" w:hint="eastAsia"/>
          <w:b/>
          <w:spacing w:val="0"/>
          <w:sz w:val="22"/>
          <w:szCs w:val="24"/>
          <w:rtl/>
        </w:rPr>
        <w:t>הצעות</w:t>
      </w:r>
      <w:r w:rsidRPr="003B0CE8">
        <w:rPr>
          <w:rFonts w:ascii="Century" w:hAnsi="Century" w:cs="Miriam"/>
          <w:b/>
          <w:spacing w:val="0"/>
          <w:sz w:val="22"/>
          <w:szCs w:val="24"/>
          <w:rtl/>
        </w:rPr>
        <w:t xml:space="preserve"> </w:t>
      </w:r>
      <w:r w:rsidRPr="003B0CE8">
        <w:rPr>
          <w:rFonts w:ascii="Century" w:hAnsi="Century" w:cs="Miriam" w:hint="eastAsia"/>
          <w:b/>
          <w:spacing w:val="0"/>
          <w:sz w:val="22"/>
          <w:szCs w:val="24"/>
          <w:rtl/>
        </w:rPr>
        <w:t>חוק</w:t>
      </w:r>
      <w:r w:rsidRPr="003B0CE8">
        <w:rPr>
          <w:rFonts w:ascii="Century" w:hAnsi="Century" w:cs="Miriam" w:hint="cs"/>
          <w:b/>
          <w:spacing w:val="0"/>
          <w:sz w:val="22"/>
          <w:szCs w:val="24"/>
          <w:rtl/>
        </w:rPr>
        <w:t>-</w:t>
      </w:r>
      <w:r w:rsidRPr="003B0CE8">
        <w:rPr>
          <w:rFonts w:ascii="Century" w:hAnsi="Century" w:cs="Miriam" w:hint="eastAsia"/>
          <w:b/>
          <w:spacing w:val="0"/>
          <w:sz w:val="22"/>
          <w:szCs w:val="24"/>
          <w:rtl/>
        </w:rPr>
        <w:t>יסוד</w:t>
      </w:r>
      <w:r w:rsidRPr="003B0CE8">
        <w:rPr>
          <w:rFonts w:ascii="Century" w:hAnsi="Century" w:cs="Miriam"/>
          <w:b/>
          <w:spacing w:val="0"/>
          <w:sz w:val="22"/>
          <w:szCs w:val="24"/>
          <w:rtl/>
        </w:rPr>
        <w:t xml:space="preserve"> </w:t>
      </w:r>
      <w:r w:rsidRPr="003B0CE8">
        <w:rPr>
          <w:rFonts w:ascii="Century" w:hAnsi="Century" w:cs="Miriam" w:hint="eastAsia"/>
          <w:b/>
          <w:spacing w:val="0"/>
          <w:sz w:val="22"/>
          <w:szCs w:val="24"/>
          <w:rtl/>
        </w:rPr>
        <w:t>בנושא</w:t>
      </w:r>
      <w:r w:rsidRPr="003B0CE8">
        <w:rPr>
          <w:rFonts w:ascii="Century" w:hAnsi="Century" w:cs="Miriam"/>
          <w:b/>
          <w:spacing w:val="0"/>
          <w:sz w:val="22"/>
          <w:szCs w:val="24"/>
          <w:rtl/>
        </w:rPr>
        <w:t xml:space="preserve"> </w:t>
      </w:r>
      <w:r w:rsidRPr="003B0CE8">
        <w:rPr>
          <w:rFonts w:ascii="Century" w:hAnsi="Century" w:cs="Miriam" w:hint="eastAsia"/>
          <w:b/>
          <w:spacing w:val="0"/>
          <w:sz w:val="22"/>
          <w:szCs w:val="24"/>
          <w:rtl/>
        </w:rPr>
        <w:t>זכויות</w:t>
      </w:r>
      <w:r w:rsidRPr="003B0CE8">
        <w:rPr>
          <w:rFonts w:ascii="Century" w:hAnsi="Century" w:cs="Miriam" w:hint="cs"/>
          <w:b/>
          <w:spacing w:val="0"/>
          <w:sz w:val="22"/>
          <w:szCs w:val="24"/>
          <w:rtl/>
        </w:rPr>
        <w:t xml:space="preserve"> </w:t>
      </w:r>
      <w:r w:rsidRPr="003B0CE8">
        <w:rPr>
          <w:rFonts w:ascii="Century" w:hAnsi="Century" w:cs="Miriam" w:hint="eastAsia"/>
          <w:b/>
          <w:spacing w:val="0"/>
          <w:sz w:val="22"/>
          <w:szCs w:val="24"/>
          <w:rtl/>
        </w:rPr>
        <w:t>היסוד</w:t>
      </w:r>
      <w:r w:rsidRPr="003B0CE8">
        <w:rPr>
          <w:rFonts w:ascii="Century" w:hAnsi="Century" w:cs="Miriam"/>
          <w:b/>
          <w:spacing w:val="0"/>
          <w:sz w:val="22"/>
          <w:szCs w:val="24"/>
          <w:rtl/>
        </w:rPr>
        <w:t xml:space="preserve"> </w:t>
      </w:r>
      <w:r w:rsidRPr="003B0CE8">
        <w:rPr>
          <w:rFonts w:ascii="Century" w:hAnsi="Century" w:cs="Miriam" w:hint="eastAsia"/>
          <w:b/>
          <w:spacing w:val="0"/>
          <w:sz w:val="22"/>
          <w:szCs w:val="24"/>
          <w:rtl/>
        </w:rPr>
        <w:t>של</w:t>
      </w:r>
      <w:r w:rsidRPr="003B0CE8">
        <w:rPr>
          <w:rFonts w:ascii="Century" w:hAnsi="Century" w:cs="Miriam"/>
          <w:b/>
          <w:spacing w:val="0"/>
          <w:sz w:val="22"/>
          <w:szCs w:val="24"/>
          <w:rtl/>
        </w:rPr>
        <w:t xml:space="preserve"> </w:t>
      </w:r>
      <w:r w:rsidRPr="003B0CE8">
        <w:rPr>
          <w:rFonts w:ascii="Century" w:hAnsi="Century" w:cs="Miriam" w:hint="eastAsia"/>
          <w:b/>
          <w:spacing w:val="0"/>
          <w:sz w:val="22"/>
          <w:szCs w:val="24"/>
          <w:rtl/>
        </w:rPr>
        <w:t>האדם</w:t>
      </w:r>
      <w:r w:rsidRPr="003B0CE8">
        <w:rPr>
          <w:rFonts w:ascii="Century" w:hAnsi="Century" w:cs="Miriam" w:hint="cs"/>
          <w:b/>
          <w:spacing w:val="0"/>
          <w:sz w:val="22"/>
          <w:szCs w:val="24"/>
          <w:rtl/>
        </w:rPr>
        <w:t xml:space="preserve"> [...] </w:t>
      </w:r>
      <w:r w:rsidRPr="003B0CE8">
        <w:rPr>
          <w:rFonts w:ascii="Century" w:hAnsi="Century" w:cs="Miriam" w:hint="eastAsia"/>
          <w:b/>
          <w:spacing w:val="0"/>
          <w:sz w:val="22"/>
          <w:szCs w:val="24"/>
          <w:rtl/>
        </w:rPr>
        <w:t>הצעת</w:t>
      </w:r>
      <w:r w:rsidRPr="003B0CE8">
        <w:rPr>
          <w:rFonts w:ascii="Century" w:hAnsi="Century" w:cs="Miriam"/>
          <w:b/>
          <w:spacing w:val="0"/>
          <w:sz w:val="22"/>
          <w:szCs w:val="24"/>
          <w:rtl/>
        </w:rPr>
        <w:t xml:space="preserve"> </w:t>
      </w:r>
      <w:r w:rsidRPr="003B0CE8">
        <w:rPr>
          <w:rFonts w:ascii="Century" w:hAnsi="Century" w:cs="Miriam" w:hint="eastAsia"/>
          <w:b/>
          <w:spacing w:val="0"/>
          <w:sz w:val="22"/>
          <w:szCs w:val="24"/>
          <w:rtl/>
        </w:rPr>
        <w:t>חוק</w:t>
      </w:r>
      <w:r w:rsidRPr="003B0CE8">
        <w:rPr>
          <w:rFonts w:ascii="Century" w:hAnsi="Century" w:cs="Miriam" w:hint="cs"/>
          <w:b/>
          <w:spacing w:val="0"/>
          <w:sz w:val="22"/>
          <w:szCs w:val="24"/>
          <w:rtl/>
        </w:rPr>
        <w:t>-</w:t>
      </w:r>
      <w:r w:rsidRPr="003B0CE8">
        <w:rPr>
          <w:rFonts w:ascii="Century" w:hAnsi="Century" w:cs="Miriam" w:hint="eastAsia"/>
          <w:b/>
          <w:spacing w:val="0"/>
          <w:sz w:val="22"/>
          <w:szCs w:val="24"/>
          <w:rtl/>
        </w:rPr>
        <w:t>יסוד</w:t>
      </w:r>
      <w:r w:rsidRPr="003B0CE8">
        <w:rPr>
          <w:rFonts w:ascii="Century" w:hAnsi="Century" w:cs="Miriam"/>
          <w:b/>
          <w:spacing w:val="0"/>
          <w:sz w:val="22"/>
          <w:szCs w:val="24"/>
          <w:rtl/>
        </w:rPr>
        <w:t xml:space="preserve">: </w:t>
      </w:r>
      <w:r w:rsidRPr="003B0CE8">
        <w:rPr>
          <w:rFonts w:ascii="Century" w:hAnsi="Century" w:cs="Miriam" w:hint="eastAsia"/>
          <w:b/>
          <w:spacing w:val="0"/>
          <w:sz w:val="22"/>
          <w:szCs w:val="24"/>
          <w:rtl/>
        </w:rPr>
        <w:t>זכויות</w:t>
      </w:r>
      <w:r w:rsidRPr="003B0CE8">
        <w:rPr>
          <w:rFonts w:ascii="Century" w:hAnsi="Century" w:cs="Miriam"/>
          <w:b/>
          <w:spacing w:val="0"/>
          <w:sz w:val="22"/>
          <w:szCs w:val="24"/>
          <w:rtl/>
        </w:rPr>
        <w:t xml:space="preserve"> </w:t>
      </w:r>
      <w:r w:rsidRPr="003B0CE8">
        <w:rPr>
          <w:rFonts w:ascii="Century" w:hAnsi="Century" w:cs="Miriam" w:hint="eastAsia"/>
          <w:b/>
          <w:spacing w:val="0"/>
          <w:sz w:val="22"/>
          <w:szCs w:val="24"/>
          <w:rtl/>
        </w:rPr>
        <w:t>במשפט</w:t>
      </w:r>
      <w:r w:rsidRPr="003B0CE8">
        <w:rPr>
          <w:rFonts w:ascii="Century" w:hAnsi="Century" w:cs="Miriam"/>
          <w:b/>
          <w:spacing w:val="0"/>
          <w:sz w:val="22"/>
          <w:szCs w:val="24"/>
          <w:rtl/>
        </w:rPr>
        <w:t xml:space="preserve">, </w:t>
      </w:r>
      <w:r w:rsidRPr="003B0CE8">
        <w:rPr>
          <w:rFonts w:ascii="Century" w:hAnsi="Century" w:cs="Miriam" w:hint="eastAsia"/>
          <w:b/>
          <w:spacing w:val="0"/>
          <w:sz w:val="22"/>
          <w:szCs w:val="24"/>
          <w:rtl/>
        </w:rPr>
        <w:t>הצעת</w:t>
      </w:r>
      <w:r w:rsidRPr="003B0CE8">
        <w:rPr>
          <w:rFonts w:ascii="Century" w:hAnsi="Century" w:cs="Miriam"/>
          <w:b/>
          <w:spacing w:val="0"/>
          <w:sz w:val="22"/>
          <w:szCs w:val="24"/>
          <w:rtl/>
        </w:rPr>
        <w:t xml:space="preserve"> </w:t>
      </w:r>
      <w:r w:rsidRPr="003B0CE8">
        <w:rPr>
          <w:rFonts w:ascii="Century" w:hAnsi="Century" w:cs="Miriam" w:hint="eastAsia"/>
          <w:b/>
          <w:spacing w:val="0"/>
          <w:sz w:val="22"/>
          <w:szCs w:val="24"/>
          <w:rtl/>
        </w:rPr>
        <w:t>חוק</w:t>
      </w:r>
      <w:r w:rsidRPr="003B0CE8">
        <w:rPr>
          <w:rFonts w:ascii="Century" w:hAnsi="Century" w:cs="Miriam" w:hint="cs"/>
          <w:b/>
          <w:spacing w:val="0"/>
          <w:sz w:val="22"/>
          <w:szCs w:val="24"/>
          <w:rtl/>
        </w:rPr>
        <w:t>-</w:t>
      </w:r>
      <w:r w:rsidRPr="003B0CE8">
        <w:rPr>
          <w:rFonts w:ascii="Century" w:hAnsi="Century" w:cs="Miriam" w:hint="eastAsia"/>
          <w:b/>
          <w:spacing w:val="0"/>
          <w:sz w:val="22"/>
          <w:szCs w:val="24"/>
          <w:rtl/>
        </w:rPr>
        <w:t>יסוד</w:t>
      </w:r>
      <w:r w:rsidRPr="003B0CE8">
        <w:rPr>
          <w:rFonts w:ascii="Century" w:hAnsi="Century" w:cs="Miriam"/>
          <w:b/>
          <w:spacing w:val="0"/>
          <w:sz w:val="22"/>
          <w:szCs w:val="24"/>
          <w:rtl/>
        </w:rPr>
        <w:t xml:space="preserve">: </w:t>
      </w:r>
      <w:r w:rsidRPr="003B0CE8">
        <w:rPr>
          <w:rFonts w:ascii="Century" w:hAnsi="Century" w:cs="Miriam" w:hint="eastAsia"/>
          <w:b/>
          <w:spacing w:val="0"/>
          <w:sz w:val="22"/>
          <w:szCs w:val="24"/>
          <w:rtl/>
        </w:rPr>
        <w:t>חופש</w:t>
      </w:r>
      <w:r w:rsidRPr="003B0CE8">
        <w:rPr>
          <w:rFonts w:ascii="Century" w:hAnsi="Century" w:cs="Miriam"/>
          <w:b/>
          <w:spacing w:val="0"/>
          <w:sz w:val="22"/>
          <w:szCs w:val="24"/>
          <w:rtl/>
        </w:rPr>
        <w:t xml:space="preserve"> </w:t>
      </w:r>
      <w:r w:rsidRPr="003B0CE8">
        <w:rPr>
          <w:rFonts w:ascii="Century" w:hAnsi="Century" w:cs="Miriam" w:hint="eastAsia"/>
          <w:b/>
          <w:spacing w:val="0"/>
          <w:sz w:val="22"/>
          <w:szCs w:val="24"/>
          <w:rtl/>
        </w:rPr>
        <w:t>הביטוי</w:t>
      </w:r>
      <w:r w:rsidRPr="003B0CE8">
        <w:rPr>
          <w:rFonts w:ascii="Century" w:hAnsi="Century" w:cs="Miriam"/>
          <w:b/>
          <w:spacing w:val="0"/>
          <w:sz w:val="22"/>
          <w:szCs w:val="24"/>
          <w:rtl/>
        </w:rPr>
        <w:t xml:space="preserve"> </w:t>
      </w:r>
      <w:r w:rsidRPr="003B0CE8">
        <w:rPr>
          <w:rFonts w:ascii="Century" w:hAnsi="Century" w:cs="Miriam" w:hint="eastAsia"/>
          <w:b/>
          <w:spacing w:val="0"/>
          <w:sz w:val="22"/>
          <w:szCs w:val="24"/>
          <w:rtl/>
        </w:rPr>
        <w:t>וההתאגדות</w:t>
      </w:r>
      <w:r w:rsidRPr="003B0CE8">
        <w:rPr>
          <w:rFonts w:ascii="Century" w:hAnsi="Century" w:cs="Miriam"/>
          <w:b/>
          <w:spacing w:val="0"/>
          <w:sz w:val="22"/>
          <w:szCs w:val="24"/>
          <w:rtl/>
        </w:rPr>
        <w:t xml:space="preserve"> </w:t>
      </w:r>
      <w:r w:rsidRPr="003B0CE8">
        <w:rPr>
          <w:rFonts w:ascii="Century" w:hAnsi="Century" w:cs="Miriam" w:hint="eastAsia"/>
          <w:b/>
          <w:spacing w:val="0"/>
          <w:sz w:val="22"/>
          <w:szCs w:val="24"/>
          <w:rtl/>
        </w:rPr>
        <w:t>והצעת</w:t>
      </w:r>
      <w:r w:rsidRPr="003B0CE8">
        <w:rPr>
          <w:rFonts w:ascii="Century" w:hAnsi="Century" w:cs="Miriam"/>
          <w:b/>
          <w:spacing w:val="0"/>
          <w:sz w:val="22"/>
          <w:szCs w:val="24"/>
          <w:rtl/>
        </w:rPr>
        <w:t xml:space="preserve"> </w:t>
      </w:r>
      <w:r w:rsidRPr="003B0CE8">
        <w:rPr>
          <w:rFonts w:ascii="Century" w:hAnsi="Century" w:cs="Miriam" w:hint="eastAsia"/>
          <w:b/>
          <w:spacing w:val="0"/>
          <w:sz w:val="22"/>
          <w:szCs w:val="24"/>
          <w:rtl/>
        </w:rPr>
        <w:t>חוק</w:t>
      </w:r>
      <w:r w:rsidRPr="003B0CE8">
        <w:rPr>
          <w:rFonts w:ascii="Century" w:hAnsi="Century" w:cs="Miriam" w:hint="cs"/>
          <w:b/>
          <w:spacing w:val="0"/>
          <w:sz w:val="22"/>
          <w:szCs w:val="24"/>
          <w:rtl/>
        </w:rPr>
        <w:t>-</w:t>
      </w:r>
      <w:r w:rsidRPr="003B0CE8">
        <w:rPr>
          <w:rFonts w:ascii="Century" w:hAnsi="Century" w:cs="Miriam" w:hint="eastAsia"/>
          <w:b/>
          <w:spacing w:val="0"/>
          <w:sz w:val="22"/>
          <w:szCs w:val="24"/>
          <w:rtl/>
        </w:rPr>
        <w:t>יסוד</w:t>
      </w:r>
      <w:r w:rsidRPr="003B0CE8">
        <w:rPr>
          <w:rFonts w:ascii="Century" w:hAnsi="Century" w:cs="Miriam"/>
          <w:b/>
          <w:spacing w:val="0"/>
          <w:sz w:val="22"/>
          <w:szCs w:val="24"/>
          <w:rtl/>
        </w:rPr>
        <w:t>:</w:t>
      </w:r>
      <w:r w:rsidRPr="003B0CE8">
        <w:rPr>
          <w:rFonts w:ascii="Century" w:hAnsi="Century" w:cs="Miriam" w:hint="cs"/>
          <w:b/>
          <w:spacing w:val="0"/>
          <w:sz w:val="22"/>
          <w:szCs w:val="24"/>
          <w:rtl/>
        </w:rPr>
        <w:t xml:space="preserve"> </w:t>
      </w:r>
      <w:r w:rsidRPr="003B0CE8">
        <w:rPr>
          <w:rFonts w:ascii="Century" w:hAnsi="Century" w:cs="Miriam" w:hint="eastAsia"/>
          <w:b/>
          <w:spacing w:val="0"/>
          <w:sz w:val="22"/>
          <w:szCs w:val="24"/>
          <w:rtl/>
        </w:rPr>
        <w:t>זכויות</w:t>
      </w:r>
      <w:r w:rsidRPr="003B0CE8">
        <w:rPr>
          <w:rFonts w:ascii="Century" w:hAnsi="Century" w:cs="Miriam"/>
          <w:b/>
          <w:spacing w:val="0"/>
          <w:sz w:val="22"/>
          <w:szCs w:val="24"/>
          <w:rtl/>
        </w:rPr>
        <w:t xml:space="preserve"> </w:t>
      </w:r>
      <w:r w:rsidRPr="003B0CE8">
        <w:rPr>
          <w:rFonts w:ascii="Century" w:hAnsi="Century" w:cs="Miriam" w:hint="eastAsia"/>
          <w:b/>
          <w:spacing w:val="0"/>
          <w:sz w:val="22"/>
          <w:szCs w:val="24"/>
          <w:rtl/>
        </w:rPr>
        <w:t>חברתיות</w:t>
      </w:r>
      <w:r w:rsidRPr="003B0CE8">
        <w:rPr>
          <w:rFonts w:ascii="Century" w:hAnsi="Century" w:cs="Miriam" w:hint="cs"/>
          <w:b/>
          <w:spacing w:val="0"/>
          <w:sz w:val="22"/>
          <w:szCs w:val="24"/>
          <w:rtl/>
        </w:rPr>
        <w:t>"</w:t>
      </w:r>
      <w:r>
        <w:rPr>
          <w:rFonts w:hint="cs"/>
          <w:rtl/>
        </w:rPr>
        <w:t xml:space="preserve"> (דברי המבוא להצעות החוק, מיום 7.3.1994). מטבע הדברים, הצעות חוק-יסוד אֵלו היו נתונות במחלוקת ציבורית עזה; הן במהלך הדיונים בוועדה, הן במהלך ההצבעה עליהן בקריאה ראשונה במליאת הכנסת, שנערכה ביום 11.3.1996. שתיים מהצעות חוקי-היסוד אושרו בקריאה ראשונה ברוב דחוק למדי, 22 תומכים מול 17 מתנגדים, הרחק הרחק מ</w:t>
      </w:r>
      <w:r w:rsidRPr="003B0CE8">
        <w:rPr>
          <w:rFonts w:ascii="Century" w:hAnsi="Century" w:cs="Miriam" w:hint="cs"/>
          <w:b/>
          <w:spacing w:val="0"/>
          <w:sz w:val="22"/>
          <w:szCs w:val="24"/>
          <w:rtl/>
        </w:rPr>
        <w:t>"הסכמה רחבה, וללא התנגדות משמעותית"</w:t>
      </w:r>
      <w:r>
        <w:rPr>
          <w:rFonts w:hint="cs"/>
          <w:rtl/>
        </w:rPr>
        <w:t xml:space="preserve">. </w:t>
      </w:r>
    </w:p>
    <w:p w:rsidR="00EB02E1" w:rsidRDefault="00EB02E1" w:rsidP="00EB02E1">
      <w:pPr>
        <w:pStyle w:val="Ruller4"/>
        <w:numPr>
          <w:ilvl w:val="0"/>
          <w:numId w:val="0"/>
        </w:numPr>
      </w:pPr>
    </w:p>
    <w:p w:rsidR="00EB02E1" w:rsidRDefault="00EB02E1" w:rsidP="00EB02E1">
      <w:pPr>
        <w:pStyle w:val="Ruller4"/>
        <w:rPr>
          <w:rtl/>
        </w:rPr>
      </w:pPr>
      <w:r>
        <w:rPr>
          <w:rFonts w:hint="cs"/>
          <w:rtl/>
        </w:rPr>
        <w:t xml:space="preserve">הנה כי כן, אין מנוס מן המסקנה, כי אותה טענה עובדתית-אמפירית, שעומדת בבסיס טענת העותרים </w:t>
      </w:r>
      <w:r>
        <w:rPr>
          <w:rtl/>
        </w:rPr>
        <w:t>–</w:t>
      </w:r>
      <w:r>
        <w:rPr>
          <w:rFonts w:hint="cs"/>
          <w:rtl/>
        </w:rPr>
        <w:t xml:space="preserve"> אינה מתכתבת עם המציאות החקיקתית ההיסטורית, ונדונה לכישלון. היו גם היו הצעות חוק-יסוד, שהוגשו מטעם ועדות הכנסת, על אף שלא עסקו בעניינה של הכנסת, ולא היתה לגביהן הסכמה רחבה. ממילא, בהעדר בסיס עובדתי-אמפירי, אין תוחלת בהמשך הטיעון של העותרים. אף-על-פי כן, למעלה מן הצורך, אמשיך לבחון את ראשיו האחרים של הטיעון. </w:t>
      </w:r>
    </w:p>
    <w:p w:rsidR="00EB02E1" w:rsidRPr="001237EF" w:rsidRDefault="00EB02E1" w:rsidP="00EB02E1">
      <w:pPr>
        <w:pStyle w:val="Ruller41"/>
        <w:rPr>
          <w:rtl/>
        </w:rPr>
      </w:pPr>
    </w:p>
    <w:p w:rsidR="00EB02E1" w:rsidRDefault="00EB02E1" w:rsidP="00EB02E1">
      <w:pPr>
        <w:pStyle w:val="Ruller4"/>
        <w:rPr>
          <w:rtl/>
        </w:rPr>
      </w:pPr>
      <w:r>
        <w:rPr>
          <w:rFonts w:hint="cs"/>
          <w:rtl/>
        </w:rPr>
        <w:t xml:space="preserve">לגבי הטענה הלוגית-היסקית: העותרים מבצעים בשלב זה, מעין 'קפיצה לוגית'. לשיטתם, די בקיומו של ממצא עובדתי-אמפירי, שלפיו לא נחקקו בפועל חוקי-יסוד שאינם ממלאים אחר התנאים האמורים, כדי לבסס קיומו של 'נוהג' מושרש, המבקש להגביל את חברי הכנסת הגבלה נוספת, ומונע מוועדות הכנסת ליזום חוקי-יסוד אם אינם עונים על התנאים. כלל הבסיס בעולם המחקר האמפירי, 'עקרון היסוד של השיטה' הוא, כי 'מִתְאָם (=קורלציה) איננו סיבתיות'. העובדה שנמצא מכנה משותף בין כל אותם חוקי-יסוד שנחקקו מטעם ועדה, אותם התנאים האמורים, אינה מלמדת על כך שישנו 'קשר סיבתי' בין אותם תנאים לבין האפשרות לחוקק אותם חוקי-יסוד. גם אם כך אכן אירע במציאות, לא נובעת מכאן מסקנה שחברי הכנסת קיבלו על עצמם במודע אותם כללים מגבילים, ולכן פעלו כפי שפעלו. </w:t>
      </w:r>
    </w:p>
    <w:p w:rsidR="00EB02E1" w:rsidRPr="003B0CE8" w:rsidRDefault="00EB02E1" w:rsidP="00EB02E1">
      <w:pPr>
        <w:pStyle w:val="Ruller41"/>
      </w:pPr>
    </w:p>
    <w:p w:rsidR="00EB02E1" w:rsidRDefault="00EB02E1" w:rsidP="00EB02E1">
      <w:pPr>
        <w:pStyle w:val="Ruller4"/>
        <w:rPr>
          <w:rtl/>
        </w:rPr>
      </w:pPr>
      <w:r>
        <w:rPr>
          <w:rFonts w:hint="cs"/>
          <w:rtl/>
        </w:rPr>
        <w:lastRenderedPageBreak/>
        <w:t xml:space="preserve">כדי להמחיש את הטענה, אציג טיעון תיאורטי, שהיה עשוי להישמע מפיו של עותר תיאורטי אף הוא, ולפיו, כעניין עובדתי-אמפירי, מעולם לא נחקק חוק-יסוד מטעם ועדה, שהיה </w:t>
      </w:r>
      <w:r w:rsidRPr="00250D9D">
        <w:rPr>
          <w:rFonts w:ascii="Century" w:hAnsi="Century" w:cs="Miriam" w:hint="cs"/>
          <w:b/>
          <w:spacing w:val="0"/>
          <w:sz w:val="22"/>
          <w:szCs w:val="24"/>
          <w:rtl/>
        </w:rPr>
        <w:t>תיקון מס' 3</w:t>
      </w:r>
      <w:r>
        <w:rPr>
          <w:rFonts w:hint="cs"/>
          <w:rtl/>
        </w:rPr>
        <w:t xml:space="preserve"> לחוק-יסוד כלשהו. ממילא, יבקש אותו עותר לטעון, כי לא ניתן לחוקק חוק-יסוד מטעם ועדה, כל עוד כותרתו מכילה את המילים </w:t>
      </w:r>
      <w:r w:rsidRPr="00250D9D">
        <w:rPr>
          <w:rFonts w:ascii="Century" w:hAnsi="Century" w:cs="Miriam" w:hint="cs"/>
          <w:b/>
          <w:spacing w:val="0"/>
          <w:sz w:val="22"/>
          <w:szCs w:val="24"/>
          <w:rtl/>
        </w:rPr>
        <w:t>'תיקון מס' 3'</w:t>
      </w:r>
      <w:r>
        <w:rPr>
          <w:rFonts w:hint="cs"/>
          <w:rtl/>
        </w:rPr>
        <w:t xml:space="preserve">. ברי כי טענה שכזו </w:t>
      </w:r>
      <w:r>
        <w:rPr>
          <w:rtl/>
        </w:rPr>
        <w:t>–</w:t>
      </w:r>
      <w:r>
        <w:rPr>
          <w:rFonts w:hint="cs"/>
          <w:rtl/>
        </w:rPr>
        <w:t xml:space="preserve"> היתה נדחית על הסף. גורל דומה היה צפוי לטענה תיאורטית אחרת, שלפיה, כעניין עובדתי, מעולם לא נחקקו </w:t>
      </w:r>
      <w:r w:rsidRPr="00250D9D">
        <w:rPr>
          <w:rFonts w:ascii="Century" w:hAnsi="Century" w:cs="Miriam" w:hint="cs"/>
          <w:b/>
          <w:spacing w:val="0"/>
          <w:sz w:val="22"/>
          <w:szCs w:val="24"/>
          <w:rtl/>
        </w:rPr>
        <w:t>בחודש יולי</w:t>
      </w:r>
      <w:r>
        <w:rPr>
          <w:rFonts w:hint="cs"/>
          <w:rtl/>
        </w:rPr>
        <w:t xml:space="preserve">, חוקי-יסוד שהוצעו על-ידי ועדה, ועל כן יש לראות בכך 'נוהג מושרש', המונע אישור הצעות-חוק מטעם ועדה במהלך </w:t>
      </w:r>
      <w:r w:rsidRPr="00250D9D">
        <w:rPr>
          <w:rFonts w:ascii="Century" w:hAnsi="Century" w:cs="Miriam" w:hint="cs"/>
          <w:b/>
          <w:spacing w:val="0"/>
          <w:sz w:val="22"/>
          <w:szCs w:val="24"/>
          <w:rtl/>
        </w:rPr>
        <w:t>חודש יולי</w:t>
      </w:r>
      <w:r>
        <w:rPr>
          <w:rFonts w:hint="cs"/>
          <w:rtl/>
        </w:rPr>
        <w:t xml:space="preserve">. הוא הדין, באשר לטענה הנשמעת מפיהם של העותרים. אין די בהצגת נתונים היסטוריים, לשם הכרזה על 'נוהג'. כדי לבסס קיומו של 'נוהג', ואיני נוטע מסמרות באשר לתוקפו של נוהג שכזה, נדרש בראש ובראשונה להצביע על 'תודעת חיוב' מצדם של חברי-הכנסת. </w:t>
      </w:r>
    </w:p>
    <w:p w:rsidR="00EB02E1" w:rsidRDefault="00EB02E1" w:rsidP="00EB02E1">
      <w:pPr>
        <w:pStyle w:val="Ruller41"/>
        <w:rPr>
          <w:rtl/>
        </w:rPr>
      </w:pPr>
    </w:p>
    <w:p w:rsidR="00EB02E1" w:rsidRDefault="00EB02E1" w:rsidP="00EB02E1">
      <w:pPr>
        <w:pStyle w:val="Ruller4"/>
        <w:rPr>
          <w:rtl/>
        </w:rPr>
      </w:pPr>
      <w:r>
        <w:rPr>
          <w:rFonts w:hint="cs"/>
          <w:rtl/>
        </w:rPr>
        <w:t xml:space="preserve">חברתי הנשיאה (בדימ') מציינת בחוות דעתה, כי מאז קום המדינה ועד ימֵינו אלה, נחקקו בסך הכול 26 חוקי-יסוד שהוצעו מטעם ועדה. לדעתי, זו 'קבוצת מחקר' קטנה מדי, והיא אינה מאפשרת לנסות להסיק הימנה 'סיבתיות'. גם אם מצאנו קריטריונים שבהם עומדים כביכול כל המקרים, אין באותו מספר מועט של מקרים, כדי לבסס את הטענה כי הדבר נובע מהחלטה מוּדעת של חברי הכנסת, להגביל את סמכותם ליזום חוקים מטעם ועדות הכנסת, ככל שאינם מתיישבים עם התנאים האמורים. הדבר עשוי בהחלט להתממש, מבלי שמי מחברי הכנסת שת לבו לכך שלמעשה קיים 'מכנה משותף' בין כל החוקים, עד שיבוא יום, ויהיה מי שיבקש להסיק מאותו 'מכנה משותף', על קיומו של 'נוהג מושרש'. </w:t>
      </w:r>
    </w:p>
    <w:p w:rsidR="00EB02E1" w:rsidRPr="003B0CE8" w:rsidRDefault="00EB02E1" w:rsidP="00EB02E1">
      <w:pPr>
        <w:pStyle w:val="Ruller41"/>
      </w:pPr>
    </w:p>
    <w:p w:rsidR="00EB02E1" w:rsidRDefault="00EB02E1" w:rsidP="00EB02E1">
      <w:pPr>
        <w:pStyle w:val="Ruller4"/>
        <w:rPr>
          <w:rtl/>
        </w:rPr>
      </w:pPr>
      <w:r>
        <w:rPr>
          <w:rFonts w:hint="cs"/>
          <w:rtl/>
        </w:rPr>
        <w:t xml:space="preserve">אציין כי מסקנתי הקודמת, שלפיה גם הבחינה העובדתית-אמפירית, מלמדת כי היו גם היו מקרים, שבהם הוגשו הצעות-חוק שאינן עומדות בתנאים </w:t>
      </w:r>
      <w:r>
        <w:rPr>
          <w:rtl/>
        </w:rPr>
        <w:t>–</w:t>
      </w:r>
      <w:r>
        <w:rPr>
          <w:rFonts w:hint="cs"/>
          <w:rtl/>
        </w:rPr>
        <w:t xml:space="preserve"> מתכתבת היטב גם עם חלקו זה של הטיעון. לאחר שלמדנו כי הניסיון לתחם את הצעות-החוק ככאלה שביקשו לעמוד בתנאים מסוימים </w:t>
      </w:r>
      <w:r>
        <w:rPr>
          <w:rtl/>
        </w:rPr>
        <w:t>–</w:t>
      </w:r>
      <w:r>
        <w:rPr>
          <w:rFonts w:hint="cs"/>
          <w:rtl/>
        </w:rPr>
        <w:t xml:space="preserve"> לא צלח, על כורחנו נמצאנו למדים, כי אותו מִתְאָם שנמצא כביכול בין החוקים שהתקבלו </w:t>
      </w:r>
      <w:r>
        <w:rPr>
          <w:rtl/>
        </w:rPr>
        <w:t>–</w:t>
      </w:r>
      <w:r>
        <w:rPr>
          <w:rFonts w:hint="cs"/>
          <w:rtl/>
        </w:rPr>
        <w:t xml:space="preserve"> אינו מסוגל להצביע על 'סיבתיות', אלא מדובר, לכל היותר, ב'צירוף-מקרים' אקראי. בהתחשב בגודלו של המדגם, שעומד כאמור על 26 חוקים, אין מדובר ב'צירוף-מקרים' נדיר למדי.  </w:t>
      </w:r>
    </w:p>
    <w:p w:rsidR="00EB02E1" w:rsidRPr="003B0CE8" w:rsidRDefault="00EB02E1" w:rsidP="00EB02E1">
      <w:pPr>
        <w:pStyle w:val="Ruller41"/>
      </w:pPr>
    </w:p>
    <w:p w:rsidR="00EB02E1" w:rsidRDefault="00EB02E1" w:rsidP="00EB02E1">
      <w:pPr>
        <w:pStyle w:val="Ruller4"/>
        <w:rPr>
          <w:rtl/>
        </w:rPr>
      </w:pPr>
      <w:r>
        <w:rPr>
          <w:rFonts w:hint="cs"/>
          <w:rtl/>
        </w:rPr>
        <w:t xml:space="preserve">אוסיף, כי הצורה שבה נוסחו אותם תנאים בטיעוני העותרים, מעלה חשד קל, שמא 'נתפרו' בדיעבד, כדי לוודא כי החוקים שנחקקו עד כה, עומדים כולם בתנאים; מה שנחזה כניסיון לירות את החץ, ורק לאחר מכן לשרטט את המטרה. כך למשל, התיקון </w:t>
      </w:r>
      <w:r>
        <w:rPr>
          <w:rFonts w:hint="cs"/>
          <w:rtl/>
        </w:rPr>
        <w:lastRenderedPageBreak/>
        <w:t xml:space="preserve">הקודם לחוק-יסוד השפיטה, חוק-יסוד: השפיטה (תיקון מס' 2) ס"ח התשס"ב 598, הוצע גם הוא על-ידי ועדת החוקה, חוק ומשפט, וגם הוא לא התקבל פה-אחד. בקריאה השנייה והשלישית היה מי שהצביע נגד החוק. כדי להתמודד עם מכשול זה, נטען כי אין צורך בהצעת-חוק המוגשת פה-אחד, ללא מתנגדים, אלא די </w:t>
      </w:r>
      <w:r w:rsidRPr="00252E51">
        <w:rPr>
          <w:rFonts w:ascii="Century" w:hAnsi="Century" w:cs="Miriam" w:hint="cs"/>
          <w:b/>
          <w:spacing w:val="0"/>
          <w:sz w:val="22"/>
          <w:szCs w:val="24"/>
          <w:rtl/>
        </w:rPr>
        <w:t>"בהסכמה רחבה וללא התנגדות משמעותית"</w:t>
      </w:r>
      <w:r>
        <w:rPr>
          <w:rFonts w:hint="cs"/>
          <w:rtl/>
        </w:rPr>
        <w:t xml:space="preserve">; מונח 'נזיל' למדי, ונתון לפרשנויות שונות. גם נקודה זו, מגבירה את הקושי לראות אותו 'צירוף נסיבות' עובדתי, כהכוונה מוּדעת לעמידה בתנאים אלו ואחרים. </w:t>
      </w:r>
    </w:p>
    <w:p w:rsidR="00EB02E1" w:rsidRPr="00252E51" w:rsidRDefault="00EB02E1" w:rsidP="00EB02E1">
      <w:pPr>
        <w:pStyle w:val="Ruller41"/>
        <w:rPr>
          <w:rtl/>
        </w:rPr>
      </w:pPr>
    </w:p>
    <w:p w:rsidR="00EB02E1" w:rsidRDefault="00EB02E1" w:rsidP="00EB02E1">
      <w:pPr>
        <w:pStyle w:val="Ruller4"/>
      </w:pPr>
      <w:r>
        <w:rPr>
          <w:rFonts w:hint="cs"/>
          <w:rtl/>
        </w:rPr>
        <w:t xml:space="preserve"> גם אם נתעלם מכך שהטענה העובדתית-אמפירית </w:t>
      </w:r>
      <w:r>
        <w:rPr>
          <w:rtl/>
        </w:rPr>
        <w:t>–</w:t>
      </w:r>
      <w:r>
        <w:rPr>
          <w:rFonts w:hint="cs"/>
          <w:rtl/>
        </w:rPr>
        <w:t xml:space="preserve"> אינה מדויקת, הטענה הלוגית-היסקית </w:t>
      </w:r>
      <w:r>
        <w:rPr>
          <w:rtl/>
        </w:rPr>
        <w:t>–</w:t>
      </w:r>
      <w:r>
        <w:rPr>
          <w:rFonts w:hint="cs"/>
          <w:rtl/>
        </w:rPr>
        <w:t xml:space="preserve"> תלויה אף היא על בלימה, הרי שגם הטענה המשפטית, שבאה בעקבותיהן </w:t>
      </w:r>
      <w:r>
        <w:rPr>
          <w:rtl/>
        </w:rPr>
        <w:t>–</w:t>
      </w:r>
      <w:r>
        <w:rPr>
          <w:rFonts w:hint="cs"/>
          <w:rtl/>
        </w:rPr>
        <w:t xml:space="preserve"> אינה חפה מקשיים. חברתי מציגה אותם תנאים נוספים לייזום הצעת-חוק מטעם ועדה, ככאלה שאינם באים במקומו של סעיף 80 לתקנון הכנסת. לדבריה, קידום ההצעה הריהו </w:t>
      </w:r>
      <w:r w:rsidRPr="003B0CE8">
        <w:rPr>
          <w:rFonts w:ascii="Century" w:hAnsi="Century" w:cs="Miriam" w:hint="cs"/>
          <w:b/>
          <w:spacing w:val="0"/>
          <w:sz w:val="22"/>
          <w:szCs w:val="24"/>
          <w:rtl/>
        </w:rPr>
        <w:t>"חריגה משמעותית מהפרקטיקה שהשתרשה במשך השנים בכנסת, באשר לשימוש המקובל במסלול הקבוע בסעיף 80 לתקנון הכנסת"</w:t>
      </w:r>
      <w:r>
        <w:rPr>
          <w:rFonts w:hint="cs"/>
          <w:rtl/>
        </w:rPr>
        <w:t xml:space="preserve"> (פסקה 202). לכך אין בידי להסכים. פרקטיקה נוהגת, אכן יכולה להשלים חֶסֶר (לקונה) בתקנון הכנסת, אך אינה יכולה לעמוד בסתירה לנוסחוֹ המפורש. גם אם נבקש לראות אותו 'נוהג' כ'פרשנות' לסעיף 80 לתקנון, לא יהא בכך כדי להועיל. כידוע, פרשנות של דבר חקיקה באשר הוא, חייבת למצוא עיגון בלשונו של דבר החקיקה (ראו בהרחבה דבריה של חברתי הנשיאה (בדימ'), בפסקאות 128-123). לשונו של סעיף 80 לתקנון, אינה מאפשרת את הפרשנות שמבקשים העותרים לצקת לתוכו. אצטטוֹ שוב, ככתבוֹ וכלשונו: </w:t>
      </w:r>
    </w:p>
    <w:p w:rsidR="00EB02E1" w:rsidRPr="003B0CE8" w:rsidRDefault="00EB02E1" w:rsidP="00EB02E1">
      <w:pPr>
        <w:pStyle w:val="Ruller4"/>
        <w:numPr>
          <w:ilvl w:val="0"/>
          <w:numId w:val="0"/>
        </w:numPr>
        <w:rPr>
          <w:rtl/>
        </w:rPr>
      </w:pPr>
    </w:p>
    <w:p w:rsidR="00EB02E1" w:rsidRPr="003B0CE8" w:rsidRDefault="00EB02E1" w:rsidP="00EB02E1">
      <w:pPr>
        <w:pStyle w:val="Ruller5"/>
        <w:rPr>
          <w:rFonts w:ascii="Century" w:hAnsi="Century" w:cs="Miriam"/>
          <w:b/>
          <w:spacing w:val="0"/>
          <w:szCs w:val="24"/>
          <w:rtl/>
        </w:rPr>
      </w:pPr>
      <w:r>
        <w:rPr>
          <w:rFonts w:ascii="Century" w:hAnsi="Century" w:cs="Miriam" w:hint="cs"/>
          <w:b/>
          <w:spacing w:val="0"/>
          <w:szCs w:val="24"/>
          <w:rtl/>
        </w:rPr>
        <w:t>"</w:t>
      </w:r>
      <w:r w:rsidRPr="003B0CE8">
        <w:rPr>
          <w:rFonts w:ascii="Century" w:hAnsi="Century" w:cs="Miriam" w:hint="eastAsia"/>
          <w:b/>
          <w:spacing w:val="0"/>
          <w:szCs w:val="24"/>
          <w:rtl/>
        </w:rPr>
        <w:t>נושאי</w:t>
      </w:r>
      <w:r w:rsidRPr="003B0CE8">
        <w:rPr>
          <w:rFonts w:ascii="Century" w:hAnsi="Century" w:cs="Miriam"/>
          <w:b/>
          <w:spacing w:val="0"/>
          <w:szCs w:val="24"/>
          <w:rtl/>
        </w:rPr>
        <w:t xml:space="preserve"> </w:t>
      </w:r>
      <w:r w:rsidRPr="003B0CE8">
        <w:rPr>
          <w:rFonts w:ascii="Century" w:hAnsi="Century" w:cs="Miriam" w:hint="eastAsia"/>
          <w:b/>
          <w:spacing w:val="0"/>
          <w:szCs w:val="24"/>
          <w:rtl/>
        </w:rPr>
        <w:t>החקיקה</w:t>
      </w:r>
      <w:r w:rsidRPr="003B0CE8">
        <w:rPr>
          <w:rFonts w:ascii="Century" w:hAnsi="Century" w:cs="Miriam"/>
          <w:b/>
          <w:spacing w:val="0"/>
          <w:szCs w:val="24"/>
          <w:rtl/>
        </w:rPr>
        <w:t xml:space="preserve"> </w:t>
      </w:r>
      <w:r w:rsidRPr="003B0CE8">
        <w:rPr>
          <w:rFonts w:ascii="Century" w:hAnsi="Century" w:cs="Miriam" w:hint="eastAsia"/>
          <w:b/>
          <w:spacing w:val="0"/>
          <w:szCs w:val="24"/>
          <w:rtl/>
        </w:rPr>
        <w:t>מטעם</w:t>
      </w:r>
      <w:r w:rsidRPr="003B0CE8">
        <w:rPr>
          <w:rFonts w:ascii="Century" w:hAnsi="Century" w:cs="Miriam"/>
          <w:b/>
          <w:spacing w:val="0"/>
          <w:szCs w:val="24"/>
          <w:rtl/>
        </w:rPr>
        <w:t xml:space="preserve"> </w:t>
      </w:r>
      <w:r w:rsidRPr="003B0CE8">
        <w:rPr>
          <w:rFonts w:ascii="Century" w:hAnsi="Century" w:cs="Miriam" w:hint="eastAsia"/>
          <w:b/>
          <w:spacing w:val="0"/>
          <w:szCs w:val="24"/>
          <w:rtl/>
        </w:rPr>
        <w:t>ועדה</w:t>
      </w:r>
    </w:p>
    <w:p w:rsidR="00EB02E1" w:rsidRPr="00320F02" w:rsidRDefault="00EB02E1" w:rsidP="00EB02E1">
      <w:pPr>
        <w:pStyle w:val="Ruller5"/>
        <w:rPr>
          <w:rFonts w:ascii="Century" w:hAnsi="Century" w:cs="Miriam"/>
          <w:b/>
          <w:spacing w:val="0"/>
          <w:szCs w:val="24"/>
          <w:rtl/>
        </w:rPr>
      </w:pPr>
      <w:r>
        <w:rPr>
          <w:rFonts w:hint="cs"/>
          <w:rtl/>
        </w:rPr>
        <w:t>80</w:t>
      </w:r>
      <w:r w:rsidRPr="00320F02">
        <w:rPr>
          <w:rFonts w:ascii="Century" w:hAnsi="Century" w:cs="Miriam"/>
          <w:b/>
          <w:spacing w:val="0"/>
          <w:szCs w:val="24"/>
          <w:rtl/>
        </w:rPr>
        <w:t>. (</w:t>
      </w:r>
      <w:r w:rsidRPr="00320F02">
        <w:rPr>
          <w:rFonts w:ascii="Century" w:hAnsi="Century" w:cs="Miriam" w:hint="eastAsia"/>
          <w:b/>
          <w:spacing w:val="0"/>
          <w:szCs w:val="24"/>
          <w:rtl/>
        </w:rPr>
        <w:t>א</w:t>
      </w:r>
      <w:r w:rsidRPr="00320F02">
        <w:rPr>
          <w:rFonts w:ascii="Century" w:hAnsi="Century" w:cs="Miriam"/>
          <w:b/>
          <w:spacing w:val="0"/>
          <w:szCs w:val="24"/>
          <w:rtl/>
        </w:rPr>
        <w:t xml:space="preserve">) </w:t>
      </w:r>
      <w:r w:rsidRPr="00320F02">
        <w:rPr>
          <w:rFonts w:ascii="Century" w:hAnsi="Century" w:cs="Miriam" w:hint="eastAsia"/>
          <w:b/>
          <w:spacing w:val="0"/>
          <w:szCs w:val="24"/>
          <w:rtl/>
        </w:rPr>
        <w:t>ועדת</w:t>
      </w:r>
      <w:r w:rsidRPr="00320F02">
        <w:rPr>
          <w:rFonts w:ascii="Century" w:hAnsi="Century" w:cs="Miriam"/>
          <w:b/>
          <w:spacing w:val="0"/>
          <w:szCs w:val="24"/>
          <w:rtl/>
        </w:rPr>
        <w:t xml:space="preserve"> </w:t>
      </w:r>
      <w:r w:rsidRPr="00320F02">
        <w:rPr>
          <w:rFonts w:ascii="Century" w:hAnsi="Century" w:cs="Miriam" w:hint="eastAsia"/>
          <w:b/>
          <w:spacing w:val="0"/>
          <w:szCs w:val="24"/>
          <w:rtl/>
        </w:rPr>
        <w:t>הכנסת</w:t>
      </w:r>
      <w:r w:rsidRPr="00320F02">
        <w:rPr>
          <w:rFonts w:ascii="Century" w:hAnsi="Century" w:cs="Miriam"/>
          <w:b/>
          <w:spacing w:val="0"/>
          <w:szCs w:val="24"/>
          <w:rtl/>
        </w:rPr>
        <w:t xml:space="preserve">, </w:t>
      </w:r>
      <w:r w:rsidRPr="00320F02">
        <w:rPr>
          <w:rFonts w:ascii="Century" w:hAnsi="Century" w:cs="Miriam" w:hint="eastAsia"/>
          <w:b/>
          <w:spacing w:val="0"/>
          <w:szCs w:val="24"/>
          <w:rtl/>
        </w:rPr>
        <w:t>ועדת</w:t>
      </w:r>
      <w:r w:rsidRPr="00320F02">
        <w:rPr>
          <w:rFonts w:ascii="Century" w:hAnsi="Century" w:cs="Miriam"/>
          <w:b/>
          <w:spacing w:val="0"/>
          <w:szCs w:val="24"/>
          <w:rtl/>
        </w:rPr>
        <w:t xml:space="preserve"> </w:t>
      </w:r>
      <w:r w:rsidRPr="00320F02">
        <w:rPr>
          <w:rFonts w:ascii="Century" w:hAnsi="Century" w:cs="Miriam" w:hint="eastAsia"/>
          <w:b/>
          <w:spacing w:val="0"/>
          <w:szCs w:val="24"/>
          <w:rtl/>
        </w:rPr>
        <w:t>החוקה</w:t>
      </w:r>
      <w:r w:rsidRPr="00320F02">
        <w:rPr>
          <w:rFonts w:ascii="Century" w:hAnsi="Century" w:cs="Miriam"/>
          <w:b/>
          <w:spacing w:val="0"/>
          <w:szCs w:val="24"/>
          <w:rtl/>
        </w:rPr>
        <w:t xml:space="preserve"> </w:t>
      </w:r>
      <w:r w:rsidRPr="00320F02">
        <w:rPr>
          <w:rFonts w:ascii="Century" w:hAnsi="Century" w:cs="Miriam" w:hint="eastAsia"/>
          <w:b/>
          <w:spacing w:val="0"/>
          <w:szCs w:val="24"/>
          <w:rtl/>
        </w:rPr>
        <w:t>חוק</w:t>
      </w:r>
      <w:r w:rsidRPr="00320F02">
        <w:rPr>
          <w:rFonts w:ascii="Century" w:hAnsi="Century" w:cs="Miriam"/>
          <w:b/>
          <w:spacing w:val="0"/>
          <w:szCs w:val="24"/>
          <w:rtl/>
        </w:rPr>
        <w:t xml:space="preserve"> </w:t>
      </w:r>
      <w:r w:rsidRPr="00320F02">
        <w:rPr>
          <w:rFonts w:ascii="Century" w:hAnsi="Century" w:cs="Miriam" w:hint="eastAsia"/>
          <w:b/>
          <w:spacing w:val="0"/>
          <w:szCs w:val="24"/>
          <w:rtl/>
        </w:rPr>
        <w:t>ומשפט</w:t>
      </w:r>
      <w:r w:rsidRPr="00320F02">
        <w:rPr>
          <w:rFonts w:ascii="Century" w:hAnsi="Century" w:cs="Miriam"/>
          <w:b/>
          <w:spacing w:val="0"/>
          <w:szCs w:val="24"/>
          <w:rtl/>
        </w:rPr>
        <w:t xml:space="preserve"> </w:t>
      </w:r>
      <w:r w:rsidRPr="00320F02">
        <w:rPr>
          <w:rFonts w:ascii="Century" w:hAnsi="Century" w:cs="Miriam" w:hint="eastAsia"/>
          <w:b/>
          <w:spacing w:val="0"/>
          <w:szCs w:val="24"/>
          <w:rtl/>
        </w:rPr>
        <w:t>והוועדה</w:t>
      </w:r>
      <w:r w:rsidRPr="00320F02">
        <w:rPr>
          <w:rFonts w:ascii="Century" w:hAnsi="Century" w:cs="Miriam"/>
          <w:b/>
          <w:spacing w:val="0"/>
          <w:szCs w:val="24"/>
          <w:rtl/>
        </w:rPr>
        <w:t xml:space="preserve"> </w:t>
      </w:r>
      <w:r w:rsidRPr="00320F02">
        <w:rPr>
          <w:rFonts w:ascii="Century" w:hAnsi="Century" w:cs="Miriam" w:hint="eastAsia"/>
          <w:b/>
          <w:spacing w:val="0"/>
          <w:szCs w:val="24"/>
          <w:rtl/>
        </w:rPr>
        <w:t>לענייני</w:t>
      </w:r>
      <w:r w:rsidRPr="00320F02">
        <w:rPr>
          <w:rFonts w:ascii="Century" w:hAnsi="Century" w:cs="Miriam"/>
          <w:b/>
          <w:spacing w:val="0"/>
          <w:szCs w:val="24"/>
          <w:rtl/>
        </w:rPr>
        <w:t xml:space="preserve"> </w:t>
      </w:r>
      <w:r w:rsidRPr="00320F02">
        <w:rPr>
          <w:rFonts w:ascii="Century" w:hAnsi="Century" w:cs="Miriam" w:hint="eastAsia"/>
          <w:b/>
          <w:spacing w:val="0"/>
          <w:szCs w:val="24"/>
          <w:rtl/>
        </w:rPr>
        <w:t>ביקורת</w:t>
      </w:r>
      <w:r w:rsidRPr="00320F02">
        <w:rPr>
          <w:rFonts w:ascii="Century" w:hAnsi="Century" w:cs="Miriam"/>
          <w:b/>
          <w:spacing w:val="0"/>
          <w:szCs w:val="24"/>
          <w:rtl/>
        </w:rPr>
        <w:t xml:space="preserve"> </w:t>
      </w:r>
      <w:r w:rsidRPr="00320F02">
        <w:rPr>
          <w:rFonts w:ascii="Century" w:hAnsi="Century" w:cs="Miriam" w:hint="eastAsia"/>
          <w:b/>
          <w:spacing w:val="0"/>
          <w:szCs w:val="24"/>
          <w:rtl/>
        </w:rPr>
        <w:t>המדינה</w:t>
      </w:r>
      <w:r w:rsidRPr="00320F02">
        <w:rPr>
          <w:rFonts w:ascii="Century" w:hAnsi="Century" w:cs="Miriam"/>
          <w:b/>
          <w:spacing w:val="0"/>
          <w:szCs w:val="24"/>
          <w:rtl/>
        </w:rPr>
        <w:t xml:space="preserve"> </w:t>
      </w:r>
      <w:r w:rsidRPr="00320F02">
        <w:rPr>
          <w:rFonts w:ascii="Century" w:hAnsi="Century" w:cs="Miriam" w:hint="eastAsia"/>
          <w:b/>
          <w:spacing w:val="0"/>
          <w:szCs w:val="24"/>
          <w:rtl/>
        </w:rPr>
        <w:t>רשאיות</w:t>
      </w:r>
      <w:r w:rsidRPr="00320F02">
        <w:rPr>
          <w:rFonts w:ascii="Century" w:hAnsi="Century" w:cs="Miriam"/>
          <w:b/>
          <w:spacing w:val="0"/>
          <w:szCs w:val="24"/>
          <w:rtl/>
        </w:rPr>
        <w:t xml:space="preserve"> </w:t>
      </w:r>
      <w:r w:rsidRPr="00320F02">
        <w:rPr>
          <w:rFonts w:ascii="Century" w:hAnsi="Century" w:cs="Miriam" w:hint="eastAsia"/>
          <w:b/>
          <w:spacing w:val="0"/>
          <w:szCs w:val="24"/>
          <w:rtl/>
        </w:rPr>
        <w:t>ליזום</w:t>
      </w:r>
      <w:r w:rsidRPr="00320F02">
        <w:rPr>
          <w:rFonts w:ascii="Century" w:hAnsi="Century" w:cs="Miriam"/>
          <w:b/>
          <w:spacing w:val="0"/>
          <w:szCs w:val="24"/>
          <w:rtl/>
        </w:rPr>
        <w:t xml:space="preserve">, </w:t>
      </w:r>
      <w:r w:rsidRPr="00320F02">
        <w:rPr>
          <w:rFonts w:ascii="Century" w:hAnsi="Century" w:cs="Miriam" w:hint="eastAsia"/>
          <w:b/>
          <w:spacing w:val="0"/>
          <w:szCs w:val="24"/>
          <w:rtl/>
        </w:rPr>
        <w:t>בתחומי</w:t>
      </w:r>
      <w:r w:rsidRPr="00320F02">
        <w:rPr>
          <w:rFonts w:ascii="Century" w:hAnsi="Century" w:cs="Miriam"/>
          <w:b/>
          <w:spacing w:val="0"/>
          <w:szCs w:val="24"/>
          <w:rtl/>
        </w:rPr>
        <w:t xml:space="preserve"> </w:t>
      </w:r>
      <w:r w:rsidRPr="00320F02">
        <w:rPr>
          <w:rFonts w:ascii="Century" w:hAnsi="Century" w:cs="Miriam" w:hint="eastAsia"/>
          <w:b/>
          <w:spacing w:val="0"/>
          <w:szCs w:val="24"/>
          <w:rtl/>
        </w:rPr>
        <w:t>ענייניהן</w:t>
      </w:r>
      <w:r w:rsidRPr="00320F02">
        <w:rPr>
          <w:rFonts w:ascii="Century" w:hAnsi="Century" w:cs="Miriam"/>
          <w:b/>
          <w:spacing w:val="0"/>
          <w:szCs w:val="24"/>
          <w:rtl/>
        </w:rPr>
        <w:t xml:space="preserve"> </w:t>
      </w:r>
      <w:r w:rsidRPr="00320F02">
        <w:rPr>
          <w:rFonts w:ascii="Century" w:hAnsi="Century" w:cs="Miriam" w:hint="eastAsia"/>
          <w:b/>
          <w:spacing w:val="0"/>
          <w:szCs w:val="24"/>
          <w:rtl/>
        </w:rPr>
        <w:t>לפי</w:t>
      </w:r>
      <w:r w:rsidRPr="00320F02">
        <w:rPr>
          <w:rFonts w:ascii="Century" w:hAnsi="Century" w:cs="Miriam"/>
          <w:b/>
          <w:spacing w:val="0"/>
          <w:szCs w:val="24"/>
          <w:rtl/>
        </w:rPr>
        <w:t xml:space="preserve"> </w:t>
      </w:r>
      <w:r w:rsidRPr="00320F02">
        <w:rPr>
          <w:rFonts w:ascii="Century" w:hAnsi="Century" w:cs="Miriam" w:hint="eastAsia"/>
          <w:b/>
          <w:spacing w:val="0"/>
          <w:szCs w:val="24"/>
          <w:rtl/>
        </w:rPr>
        <w:t>תקנון</w:t>
      </w:r>
      <w:r w:rsidRPr="00320F02">
        <w:rPr>
          <w:rFonts w:ascii="Century" w:hAnsi="Century" w:cs="Miriam"/>
          <w:b/>
          <w:spacing w:val="0"/>
          <w:szCs w:val="24"/>
          <w:rtl/>
        </w:rPr>
        <w:t xml:space="preserve"> </w:t>
      </w:r>
      <w:r w:rsidRPr="00320F02">
        <w:rPr>
          <w:rFonts w:ascii="Century" w:hAnsi="Century" w:cs="Miriam" w:hint="eastAsia"/>
          <w:b/>
          <w:spacing w:val="0"/>
          <w:szCs w:val="24"/>
          <w:rtl/>
        </w:rPr>
        <w:t>זה</w:t>
      </w:r>
      <w:r w:rsidRPr="00320F02">
        <w:rPr>
          <w:rFonts w:ascii="Century" w:hAnsi="Century" w:cs="Miriam"/>
          <w:b/>
          <w:spacing w:val="0"/>
          <w:szCs w:val="24"/>
          <w:rtl/>
        </w:rPr>
        <w:t xml:space="preserve">, </w:t>
      </w:r>
      <w:r w:rsidRPr="00320F02">
        <w:rPr>
          <w:rFonts w:ascii="Century" w:hAnsi="Century" w:cs="Miriam" w:hint="eastAsia"/>
          <w:b/>
          <w:spacing w:val="0"/>
          <w:szCs w:val="24"/>
          <w:rtl/>
        </w:rPr>
        <w:t>הצעות</w:t>
      </w:r>
      <w:r w:rsidRPr="00320F02">
        <w:rPr>
          <w:rFonts w:ascii="Century" w:hAnsi="Century" w:cs="Miriam"/>
          <w:b/>
          <w:spacing w:val="0"/>
          <w:szCs w:val="24"/>
          <w:rtl/>
        </w:rPr>
        <w:t xml:space="preserve"> </w:t>
      </w:r>
      <w:r w:rsidRPr="00320F02">
        <w:rPr>
          <w:rFonts w:ascii="Century" w:hAnsi="Century" w:cs="Miriam" w:hint="eastAsia"/>
          <w:b/>
          <w:spacing w:val="0"/>
          <w:szCs w:val="24"/>
          <w:rtl/>
        </w:rPr>
        <w:t>חוק</w:t>
      </w:r>
      <w:r w:rsidRPr="00320F02">
        <w:rPr>
          <w:rFonts w:ascii="Century" w:hAnsi="Century" w:cs="Miriam"/>
          <w:b/>
          <w:spacing w:val="0"/>
          <w:szCs w:val="24"/>
          <w:rtl/>
        </w:rPr>
        <w:t xml:space="preserve"> </w:t>
      </w:r>
      <w:r w:rsidRPr="00320F02">
        <w:rPr>
          <w:rFonts w:ascii="Century" w:hAnsi="Century" w:cs="Miriam" w:hint="eastAsia"/>
          <w:b/>
          <w:spacing w:val="0"/>
          <w:szCs w:val="24"/>
          <w:rtl/>
        </w:rPr>
        <w:t>בנושאים</w:t>
      </w:r>
      <w:r w:rsidRPr="00320F02">
        <w:rPr>
          <w:rFonts w:ascii="Century" w:hAnsi="Century" w:cs="Miriam"/>
          <w:b/>
          <w:spacing w:val="0"/>
          <w:szCs w:val="24"/>
          <w:rtl/>
        </w:rPr>
        <w:t xml:space="preserve"> </w:t>
      </w:r>
      <w:r w:rsidRPr="00320F02">
        <w:rPr>
          <w:rFonts w:ascii="Century" w:hAnsi="Century" w:cs="Miriam" w:hint="eastAsia"/>
          <w:b/>
          <w:spacing w:val="0"/>
          <w:szCs w:val="24"/>
          <w:rtl/>
        </w:rPr>
        <w:t>אלה</w:t>
      </w:r>
      <w:r w:rsidRPr="00320F02">
        <w:rPr>
          <w:rFonts w:ascii="Century" w:hAnsi="Century" w:cs="Miriam"/>
          <w:b/>
          <w:spacing w:val="0"/>
          <w:szCs w:val="24"/>
          <w:rtl/>
        </w:rPr>
        <w:t xml:space="preserve"> </w:t>
      </w:r>
      <w:r w:rsidRPr="00320F02">
        <w:rPr>
          <w:rFonts w:ascii="Century" w:hAnsi="Century" w:cs="Miriam" w:hint="eastAsia"/>
          <w:b/>
          <w:spacing w:val="0"/>
          <w:szCs w:val="24"/>
          <w:rtl/>
        </w:rPr>
        <w:t>ולהכינן</w:t>
      </w:r>
      <w:r w:rsidRPr="00320F02">
        <w:rPr>
          <w:rFonts w:ascii="Century" w:hAnsi="Century" w:cs="Miriam"/>
          <w:b/>
          <w:spacing w:val="0"/>
          <w:szCs w:val="24"/>
          <w:rtl/>
        </w:rPr>
        <w:t xml:space="preserve"> </w:t>
      </w:r>
      <w:r w:rsidRPr="00320F02">
        <w:rPr>
          <w:rFonts w:ascii="Century" w:hAnsi="Century" w:cs="Miriam" w:hint="eastAsia"/>
          <w:b/>
          <w:spacing w:val="0"/>
          <w:szCs w:val="24"/>
          <w:rtl/>
        </w:rPr>
        <w:t>לקריאה</w:t>
      </w:r>
      <w:r w:rsidRPr="00320F02">
        <w:rPr>
          <w:rFonts w:ascii="Century" w:hAnsi="Century" w:cs="Miriam"/>
          <w:b/>
          <w:spacing w:val="0"/>
          <w:szCs w:val="24"/>
          <w:rtl/>
        </w:rPr>
        <w:t xml:space="preserve"> </w:t>
      </w:r>
      <w:r w:rsidRPr="00320F02">
        <w:rPr>
          <w:rFonts w:ascii="Century" w:hAnsi="Century" w:cs="Miriam" w:hint="eastAsia"/>
          <w:b/>
          <w:spacing w:val="0"/>
          <w:szCs w:val="24"/>
          <w:rtl/>
        </w:rPr>
        <w:t>הראשונה</w:t>
      </w:r>
      <w:r w:rsidRPr="00320F02">
        <w:rPr>
          <w:rFonts w:ascii="Century" w:hAnsi="Century" w:cs="Miriam"/>
          <w:b/>
          <w:spacing w:val="0"/>
          <w:szCs w:val="24"/>
          <w:rtl/>
        </w:rPr>
        <w:t xml:space="preserve">: </w:t>
      </w:r>
      <w:r w:rsidRPr="00320F02">
        <w:rPr>
          <w:rFonts w:ascii="Century" w:hAnsi="Century" w:cs="Miriam" w:hint="eastAsia"/>
          <w:b/>
          <w:spacing w:val="0"/>
          <w:szCs w:val="24"/>
          <w:rtl/>
        </w:rPr>
        <w:t>חוקי</w:t>
      </w:r>
      <w:r w:rsidRPr="00320F02">
        <w:rPr>
          <w:rFonts w:ascii="Century" w:hAnsi="Century" w:cs="Miriam"/>
          <w:b/>
          <w:spacing w:val="0"/>
          <w:szCs w:val="24"/>
          <w:rtl/>
        </w:rPr>
        <w:t xml:space="preserve"> </w:t>
      </w:r>
      <w:r w:rsidRPr="00320F02">
        <w:rPr>
          <w:rFonts w:ascii="Century" w:hAnsi="Century" w:cs="Miriam" w:hint="eastAsia"/>
          <w:b/>
          <w:spacing w:val="0"/>
          <w:szCs w:val="24"/>
          <w:rtl/>
        </w:rPr>
        <w:t>יסוד</w:t>
      </w:r>
      <w:r w:rsidRPr="00320F02">
        <w:rPr>
          <w:rFonts w:ascii="Century" w:hAnsi="Century" w:cs="Miriam"/>
          <w:b/>
          <w:spacing w:val="0"/>
          <w:szCs w:val="24"/>
          <w:rtl/>
        </w:rPr>
        <w:t xml:space="preserve">, </w:t>
      </w:r>
      <w:r w:rsidRPr="00320F02">
        <w:rPr>
          <w:rFonts w:ascii="Century" w:hAnsi="Century" w:cs="Miriam" w:hint="eastAsia"/>
          <w:b/>
          <w:spacing w:val="0"/>
          <w:szCs w:val="24"/>
          <w:rtl/>
        </w:rPr>
        <w:t>עניינים</w:t>
      </w:r>
      <w:r w:rsidRPr="00320F02">
        <w:rPr>
          <w:rFonts w:ascii="Century" w:hAnsi="Century" w:cs="Miriam"/>
          <w:b/>
          <w:spacing w:val="0"/>
          <w:szCs w:val="24"/>
          <w:rtl/>
        </w:rPr>
        <w:t xml:space="preserve"> </w:t>
      </w:r>
      <w:r w:rsidRPr="00320F02">
        <w:rPr>
          <w:rFonts w:ascii="Century" w:hAnsi="Century" w:cs="Miriam" w:hint="eastAsia"/>
          <w:b/>
          <w:spacing w:val="0"/>
          <w:szCs w:val="24"/>
          <w:rtl/>
        </w:rPr>
        <w:t>שמתחייבים</w:t>
      </w:r>
      <w:r w:rsidRPr="00320F02">
        <w:rPr>
          <w:rFonts w:ascii="Century" w:hAnsi="Century" w:cs="Miriam"/>
          <w:b/>
          <w:spacing w:val="0"/>
          <w:szCs w:val="24"/>
          <w:rtl/>
        </w:rPr>
        <w:t xml:space="preserve"> </w:t>
      </w:r>
      <w:r w:rsidRPr="00320F02">
        <w:rPr>
          <w:rFonts w:ascii="Century" w:hAnsi="Century" w:cs="Miriam" w:hint="eastAsia"/>
          <w:b/>
          <w:spacing w:val="0"/>
          <w:szCs w:val="24"/>
          <w:rtl/>
        </w:rPr>
        <w:t>מתיקון</w:t>
      </w:r>
      <w:r w:rsidRPr="00320F02">
        <w:rPr>
          <w:rFonts w:ascii="Century" w:hAnsi="Century" w:cs="Miriam"/>
          <w:b/>
          <w:spacing w:val="0"/>
          <w:szCs w:val="24"/>
          <w:rtl/>
        </w:rPr>
        <w:t xml:space="preserve"> </w:t>
      </w:r>
      <w:r w:rsidRPr="00320F02">
        <w:rPr>
          <w:rFonts w:ascii="Century" w:hAnsi="Century" w:cs="Miriam" w:hint="eastAsia"/>
          <w:b/>
          <w:spacing w:val="0"/>
          <w:szCs w:val="24"/>
          <w:rtl/>
        </w:rPr>
        <w:t>של</w:t>
      </w:r>
      <w:r w:rsidRPr="00320F02">
        <w:rPr>
          <w:rFonts w:ascii="Century" w:hAnsi="Century" w:cs="Miriam"/>
          <w:b/>
          <w:spacing w:val="0"/>
          <w:szCs w:val="24"/>
          <w:rtl/>
        </w:rPr>
        <w:t xml:space="preserve"> </w:t>
      </w:r>
      <w:r w:rsidRPr="00320F02">
        <w:rPr>
          <w:rFonts w:ascii="Century" w:hAnsi="Century" w:cs="Miriam" w:hint="eastAsia"/>
          <w:b/>
          <w:spacing w:val="0"/>
          <w:szCs w:val="24"/>
          <w:rtl/>
        </w:rPr>
        <w:t>חוק</w:t>
      </w:r>
      <w:r w:rsidRPr="00320F02">
        <w:rPr>
          <w:rFonts w:ascii="Century" w:hAnsi="Century" w:cs="Miriam"/>
          <w:b/>
          <w:spacing w:val="0"/>
          <w:szCs w:val="24"/>
          <w:rtl/>
        </w:rPr>
        <w:t xml:space="preserve"> </w:t>
      </w:r>
      <w:r w:rsidRPr="00320F02">
        <w:rPr>
          <w:rFonts w:ascii="Century" w:hAnsi="Century" w:cs="Miriam" w:hint="eastAsia"/>
          <w:b/>
          <w:spacing w:val="0"/>
          <w:szCs w:val="24"/>
          <w:rtl/>
        </w:rPr>
        <w:t>יסוד</w:t>
      </w:r>
      <w:r w:rsidRPr="00320F02">
        <w:rPr>
          <w:rFonts w:ascii="Century" w:hAnsi="Century" w:cs="Miriam"/>
          <w:b/>
          <w:spacing w:val="0"/>
          <w:szCs w:val="24"/>
          <w:rtl/>
        </w:rPr>
        <w:t xml:space="preserve"> </w:t>
      </w:r>
      <w:r w:rsidRPr="00320F02">
        <w:rPr>
          <w:rFonts w:ascii="Century" w:hAnsi="Century" w:cs="Miriam" w:hint="eastAsia"/>
          <w:b/>
          <w:spacing w:val="0"/>
          <w:szCs w:val="24"/>
          <w:rtl/>
        </w:rPr>
        <w:t>ומוצעים</w:t>
      </w:r>
      <w:r w:rsidRPr="00320F02">
        <w:rPr>
          <w:rFonts w:ascii="Century" w:hAnsi="Century" w:cs="Miriam"/>
          <w:b/>
          <w:spacing w:val="0"/>
          <w:szCs w:val="24"/>
          <w:rtl/>
        </w:rPr>
        <w:t xml:space="preserve"> </w:t>
      </w:r>
      <w:r w:rsidRPr="00320F02">
        <w:rPr>
          <w:rFonts w:ascii="Century" w:hAnsi="Century" w:cs="Miriam" w:hint="eastAsia"/>
          <w:b/>
          <w:spacing w:val="0"/>
          <w:szCs w:val="24"/>
          <w:rtl/>
        </w:rPr>
        <w:t>לצדו</w:t>
      </w:r>
      <w:r w:rsidRPr="00320F02">
        <w:rPr>
          <w:rFonts w:ascii="Century" w:hAnsi="Century" w:cs="Miriam"/>
          <w:b/>
          <w:spacing w:val="0"/>
          <w:szCs w:val="24"/>
          <w:rtl/>
        </w:rPr>
        <w:t xml:space="preserve">, </w:t>
      </w:r>
      <w:r w:rsidRPr="00320F02">
        <w:rPr>
          <w:rFonts w:ascii="Century" w:hAnsi="Century" w:cs="Miriam" w:hint="eastAsia"/>
          <w:b/>
          <w:spacing w:val="0"/>
          <w:szCs w:val="24"/>
          <w:rtl/>
        </w:rPr>
        <w:t>הכנסת</w:t>
      </w:r>
      <w:r w:rsidRPr="00320F02">
        <w:rPr>
          <w:rFonts w:ascii="Century" w:hAnsi="Century" w:cs="Miriam"/>
          <w:b/>
          <w:spacing w:val="0"/>
          <w:szCs w:val="24"/>
          <w:rtl/>
        </w:rPr>
        <w:t xml:space="preserve">, </w:t>
      </w:r>
      <w:r w:rsidRPr="00320F02">
        <w:rPr>
          <w:rFonts w:ascii="Century" w:hAnsi="Century" w:cs="Miriam" w:hint="eastAsia"/>
          <w:b/>
          <w:spacing w:val="0"/>
          <w:szCs w:val="24"/>
          <w:rtl/>
        </w:rPr>
        <w:t>חברי</w:t>
      </w:r>
      <w:r w:rsidRPr="00320F02">
        <w:rPr>
          <w:rFonts w:ascii="Century" w:hAnsi="Century" w:cs="Miriam"/>
          <w:b/>
          <w:spacing w:val="0"/>
          <w:szCs w:val="24"/>
          <w:rtl/>
        </w:rPr>
        <w:t xml:space="preserve"> </w:t>
      </w:r>
      <w:r w:rsidRPr="00320F02">
        <w:rPr>
          <w:rFonts w:ascii="Century" w:hAnsi="Century" w:cs="Miriam" w:hint="eastAsia"/>
          <w:b/>
          <w:spacing w:val="0"/>
          <w:szCs w:val="24"/>
          <w:rtl/>
        </w:rPr>
        <w:t>הכנסת</w:t>
      </w:r>
      <w:r w:rsidRPr="00320F02">
        <w:rPr>
          <w:rFonts w:ascii="Century" w:hAnsi="Century" w:cs="Miriam"/>
          <w:b/>
          <w:spacing w:val="0"/>
          <w:szCs w:val="24"/>
          <w:rtl/>
        </w:rPr>
        <w:t xml:space="preserve">, </w:t>
      </w:r>
      <w:r w:rsidRPr="00320F02">
        <w:rPr>
          <w:rFonts w:ascii="Century" w:hAnsi="Century" w:cs="Miriam" w:hint="eastAsia"/>
          <w:b/>
          <w:spacing w:val="0"/>
          <w:szCs w:val="24"/>
          <w:rtl/>
        </w:rPr>
        <w:t>הבחירות</w:t>
      </w:r>
      <w:r w:rsidRPr="00320F02">
        <w:rPr>
          <w:rFonts w:ascii="Century" w:hAnsi="Century" w:cs="Miriam"/>
          <w:b/>
          <w:spacing w:val="0"/>
          <w:szCs w:val="24"/>
          <w:rtl/>
        </w:rPr>
        <w:t xml:space="preserve"> </w:t>
      </w:r>
      <w:r w:rsidRPr="00320F02">
        <w:rPr>
          <w:rFonts w:ascii="Century" w:hAnsi="Century" w:cs="Miriam" w:hint="eastAsia"/>
          <w:b/>
          <w:spacing w:val="0"/>
          <w:szCs w:val="24"/>
          <w:rtl/>
        </w:rPr>
        <w:t>לכנסת</w:t>
      </w:r>
      <w:r w:rsidRPr="00320F02">
        <w:rPr>
          <w:rFonts w:ascii="Century" w:hAnsi="Century" w:cs="Miriam"/>
          <w:b/>
          <w:spacing w:val="0"/>
          <w:szCs w:val="24"/>
          <w:rtl/>
        </w:rPr>
        <w:t xml:space="preserve">, </w:t>
      </w:r>
      <w:r w:rsidRPr="00320F02">
        <w:rPr>
          <w:rFonts w:ascii="Century" w:hAnsi="Century" w:cs="Miriam" w:hint="eastAsia"/>
          <w:b/>
          <w:spacing w:val="0"/>
          <w:szCs w:val="24"/>
          <w:rtl/>
        </w:rPr>
        <w:t>מפלגות</w:t>
      </w:r>
      <w:r w:rsidRPr="00320F02">
        <w:rPr>
          <w:rFonts w:ascii="Century" w:hAnsi="Century" w:cs="Miriam"/>
          <w:b/>
          <w:spacing w:val="0"/>
          <w:szCs w:val="24"/>
          <w:rtl/>
        </w:rPr>
        <w:t xml:space="preserve">, </w:t>
      </w:r>
      <w:r w:rsidRPr="00320F02">
        <w:rPr>
          <w:rFonts w:ascii="Century" w:hAnsi="Century" w:cs="Miriam" w:hint="eastAsia"/>
          <w:b/>
          <w:spacing w:val="0"/>
          <w:szCs w:val="24"/>
          <w:rtl/>
        </w:rPr>
        <w:t>מימון</w:t>
      </w:r>
      <w:r w:rsidRPr="00320F02">
        <w:rPr>
          <w:rFonts w:ascii="Century" w:hAnsi="Century" w:cs="Miriam"/>
          <w:b/>
          <w:spacing w:val="0"/>
          <w:szCs w:val="24"/>
          <w:rtl/>
        </w:rPr>
        <w:t xml:space="preserve"> </w:t>
      </w:r>
      <w:r w:rsidRPr="00320F02">
        <w:rPr>
          <w:rFonts w:ascii="Century" w:hAnsi="Century" w:cs="Miriam" w:hint="eastAsia"/>
          <w:b/>
          <w:spacing w:val="0"/>
          <w:szCs w:val="24"/>
          <w:rtl/>
        </w:rPr>
        <w:t>מפלגות</w:t>
      </w:r>
      <w:r w:rsidRPr="00320F02">
        <w:rPr>
          <w:rFonts w:ascii="Century" w:hAnsi="Century" w:cs="Miriam"/>
          <w:b/>
          <w:spacing w:val="0"/>
          <w:szCs w:val="24"/>
          <w:rtl/>
        </w:rPr>
        <w:t xml:space="preserve"> </w:t>
      </w:r>
      <w:r w:rsidRPr="00320F02">
        <w:rPr>
          <w:rFonts w:ascii="Century" w:hAnsi="Century" w:cs="Miriam" w:hint="eastAsia"/>
          <w:b/>
          <w:spacing w:val="0"/>
          <w:szCs w:val="24"/>
          <w:rtl/>
        </w:rPr>
        <w:t>ומבקר</w:t>
      </w:r>
      <w:r w:rsidRPr="00320F02">
        <w:rPr>
          <w:rFonts w:ascii="Century" w:hAnsi="Century" w:cs="Miriam"/>
          <w:b/>
          <w:spacing w:val="0"/>
          <w:szCs w:val="24"/>
          <w:rtl/>
        </w:rPr>
        <w:t xml:space="preserve"> </w:t>
      </w:r>
      <w:r w:rsidRPr="00320F02">
        <w:rPr>
          <w:rFonts w:ascii="Century" w:hAnsi="Century" w:cs="Miriam" w:hint="eastAsia"/>
          <w:b/>
          <w:spacing w:val="0"/>
          <w:szCs w:val="24"/>
          <w:rtl/>
        </w:rPr>
        <w:t>המדינה</w:t>
      </w:r>
      <w:r>
        <w:rPr>
          <w:rFonts w:ascii="Century" w:hAnsi="Century" w:cs="Miriam" w:hint="cs"/>
          <w:b/>
          <w:spacing w:val="0"/>
          <w:szCs w:val="24"/>
          <w:rtl/>
        </w:rPr>
        <w:t>"</w:t>
      </w:r>
      <w:r w:rsidRPr="00320F02">
        <w:rPr>
          <w:rFonts w:ascii="Century" w:hAnsi="Century" w:cs="Miriam"/>
          <w:b/>
          <w:spacing w:val="0"/>
          <w:szCs w:val="24"/>
          <w:rtl/>
        </w:rPr>
        <w:t>.</w:t>
      </w:r>
    </w:p>
    <w:p w:rsidR="00EB02E1" w:rsidRPr="00320F02" w:rsidRDefault="00EB02E1" w:rsidP="00EB02E1">
      <w:pPr>
        <w:pStyle w:val="Ruller41"/>
        <w:rPr>
          <w:rFonts w:ascii="Century" w:hAnsi="Century" w:cs="Miriam"/>
          <w:b/>
          <w:spacing w:val="0"/>
          <w:szCs w:val="24"/>
          <w:rtl/>
        </w:rPr>
      </w:pPr>
    </w:p>
    <w:p w:rsidR="00EB02E1" w:rsidRDefault="00EB02E1" w:rsidP="00EB02E1">
      <w:pPr>
        <w:pStyle w:val="Ruller4"/>
        <w:textAlignment w:val="auto"/>
        <w:rPr>
          <w:rtl/>
        </w:rPr>
      </w:pPr>
      <w:r>
        <w:rPr>
          <w:rFonts w:hint="cs"/>
          <w:rtl/>
        </w:rPr>
        <w:t xml:space="preserve">הנה כי כן, לגבי חוקים רגילים, קבע מתקין התקנון במפורש, כי עליהם לעסוק בקבוצת נושאים מוגדרת, למשל, עניינה של הכנסת. למרות זאת, לא קבע מתקין התקנון הוראה דומה בעניינם של חוקי-יסוד. אילו חפץ מתקין התקנון להגביל גם את יִזום הצעתם של חוקי-יסוד על-ידי ועדה, ככל שהללו אינם עוסקים בעניינה של הכנסת, או כל תנאי אחר, מדוע לא קבע זאת במפורש בתקנון? העותרים לא טוענים כי אותה פרקטיקה השתרשה לאחר התקנת התקנון. לדבריהם, הפרקטיקה היתה נהוגה מאז ומקדם; בשנת 1980, ולמצער בשנת 2011 בה הותקן התקנון, היתה אותה פרקטיקה </w:t>
      </w:r>
      <w:r>
        <w:rPr>
          <w:rFonts w:hint="cs"/>
          <w:rtl/>
        </w:rPr>
        <w:lastRenderedPageBreak/>
        <w:t xml:space="preserve">'מושרשת ויציבה'. מדוע אפוא, הגביל מתקין התקנון, חזור והגבל, את עניינם של חוקים רגילים, ולא את עניינם של חוקי-היסוד? כך הוא בהחלטת ועדת הכנסת משנת 1980, וכך הוא לגבי סעיף 80 לתקנון הכנסת. זה כמו זה, לא מציינים הגבלה כלשהי על סמכותה של ועדה ליזום חקיקת חוקי-יסוד, כל עוד הם עומדים בתנאים שנקבעו במפורש בתקנון הכנסת. מתקין התקנון היה מודע, לשיטתם של העותרים, לקיומו של אותו 'נוהג מושרש', ולמרות זאת בחר שלא לכלול הוראה דומה בתקנון גופו. אין מנוס, אם כן, מן המסקנה כי לא חֶסֶר לפנינו, אלא הסדר שלילי. בהעדר כל עיגון לשוני פוזיטיבי, אין גם מקום לדיון על אודות תכליות הסעיף. כל פרשנות שתבקש לקבוע תנאי נוסף, שזִכרו לא בא בסעיף 80 לתקנון, תעמוד בסתירה חזיתית כלפיו, ולפיכך </w:t>
      </w:r>
      <w:r>
        <w:rPr>
          <w:rtl/>
        </w:rPr>
        <w:t>–</w:t>
      </w:r>
      <w:r>
        <w:rPr>
          <w:rFonts w:hint="cs"/>
          <w:rtl/>
        </w:rPr>
        <w:t xml:space="preserve"> אינה יכולה לעמוד. </w:t>
      </w:r>
    </w:p>
    <w:p w:rsidR="00EB02E1" w:rsidRDefault="00EB02E1" w:rsidP="00EB02E1">
      <w:pPr>
        <w:pStyle w:val="Ruller41"/>
        <w:rPr>
          <w:rtl/>
        </w:rPr>
      </w:pPr>
    </w:p>
    <w:p w:rsidR="00EB02E1" w:rsidRDefault="00EB02E1" w:rsidP="00EB02E1">
      <w:pPr>
        <w:pStyle w:val="Ruller4"/>
        <w:rPr>
          <w:rtl/>
        </w:rPr>
      </w:pPr>
      <w:r>
        <w:rPr>
          <w:rFonts w:hint="cs"/>
          <w:rtl/>
        </w:rPr>
        <w:t xml:space="preserve">בסיום דבריה קובעת חברתי, </w:t>
      </w:r>
      <w:r w:rsidRPr="003B0CE8">
        <w:rPr>
          <w:rFonts w:ascii="Century" w:hAnsi="Century" w:cs="Miriam" w:hint="cs"/>
          <w:b/>
          <w:spacing w:val="0"/>
          <w:sz w:val="22"/>
          <w:szCs w:val="24"/>
          <w:rtl/>
        </w:rPr>
        <w:t>"כי יש להקפיד הקפדה יתירה בקיום הוראות תקנון הכנסת, בהליך חקיקת חוקי היסוד"</w:t>
      </w:r>
      <w:r>
        <w:rPr>
          <w:rFonts w:hint="cs"/>
          <w:rtl/>
        </w:rPr>
        <w:t xml:space="preserve">. לדברים אלו, אני מצטרף בפה מלא. אם כי, לשיטתי, מכך נובעת מסקנה הפוכה. דווקא מחמת הרצון להבטיח יציבות וודאות, יש לשמור מכל משמר על הכללים הקבועים בתקנון הכנסת; לא לגרוע מהם, אך גם לא להוסיף עליהם. עלינו להימנע מיצירת 'תקנון כנסת מהותי', שהוראותיו עשויות לגבור על האמור בתקנון הכנסת הפורמלי. כידוע, ביקורת שיפוטית על דברי חקיקה, מתקיימת תמיד בדיעבד. לאחר שדבר החקיקה עבר את תלאות הליך החקיקה, והתקבל לספר החוקים. קביעה בדיעבד על אודות קיומם של כללים בלתי-כתובים, שנתונים מטבע הדברים לפרשנות 'גמישה', וניסיון לבטל באמצעות אותם כללים דבר חקיקה שנתקבל כדת וכדין, עשויה להוסיף מימד נוסף של אי-ודאות בהליך החקיקה; נוסף על זה הנובע מקיומה של ביקורת שיפוטית תוכנית, וביקורת שיפוטית פרוצדורלית, המתבססת על עקרונות כתובים ומפורשים; </w:t>
      </w:r>
      <w:r w:rsidRPr="00173E9C">
        <w:rPr>
          <w:rFonts w:ascii="Century" w:hAnsi="Century" w:cs="Miriam" w:hint="cs"/>
          <w:b/>
          <w:spacing w:val="0"/>
          <w:sz w:val="22"/>
          <w:szCs w:val="24"/>
          <w:rtl/>
        </w:rPr>
        <w:t>"כל המוסיף גורע"</w:t>
      </w:r>
      <w:r>
        <w:rPr>
          <w:rFonts w:hint="cs"/>
          <w:rtl/>
        </w:rPr>
        <w:t xml:space="preserve"> (בבלי, סנהדרין כט, א).</w:t>
      </w:r>
    </w:p>
    <w:p w:rsidR="00EB02E1" w:rsidRDefault="00EB02E1" w:rsidP="00EB02E1">
      <w:pPr>
        <w:pStyle w:val="Ruller41"/>
        <w:rPr>
          <w:rtl/>
        </w:rPr>
      </w:pPr>
    </w:p>
    <w:p w:rsidR="00EB02E1" w:rsidRDefault="00EB02E1" w:rsidP="00EB02E1">
      <w:pPr>
        <w:pStyle w:val="Ruller4"/>
        <w:rPr>
          <w:rtl/>
        </w:rPr>
      </w:pPr>
      <w:r>
        <w:rPr>
          <w:rFonts w:hint="cs"/>
          <w:rtl/>
        </w:rPr>
        <w:t xml:space="preserve">מסקנתי היא אפוא, כי דינה של טענה זו של העותרים, לגבי סמכותה של הוועדה ליזום את הצעת-החוק </w:t>
      </w:r>
      <w:r>
        <w:rPr>
          <w:rtl/>
        </w:rPr>
        <w:t>–</w:t>
      </w:r>
      <w:r>
        <w:rPr>
          <w:rFonts w:hint="cs"/>
          <w:rtl/>
        </w:rPr>
        <w:t xml:space="preserve"> להידחות על כל צדדיה. </w:t>
      </w:r>
    </w:p>
    <w:p w:rsidR="00EB02E1" w:rsidRDefault="00EB02E1" w:rsidP="00EB02E1">
      <w:pPr>
        <w:pStyle w:val="Ruller41"/>
        <w:rPr>
          <w:rtl/>
        </w:rPr>
      </w:pPr>
    </w:p>
    <w:p w:rsidR="00EB02E1" w:rsidRPr="00B1374E" w:rsidRDefault="00EB02E1" w:rsidP="00EB02E1">
      <w:pPr>
        <w:pStyle w:val="2"/>
        <w:rPr>
          <w:rFonts w:ascii="Century" w:hAnsi="Century" w:cs="Miriam"/>
          <w:b/>
          <w:sz w:val="22"/>
          <w:szCs w:val="24"/>
        </w:rPr>
      </w:pPr>
      <w:bookmarkStart w:id="89" w:name="_Toc154942602"/>
      <w:bookmarkStart w:id="90" w:name="_Toc154944425"/>
      <w:bookmarkStart w:id="91" w:name="_Toc154947535"/>
      <w:r w:rsidRPr="00B1374E">
        <w:rPr>
          <w:rFonts w:ascii="Century" w:hAnsi="Century" w:cs="Miriam" w:hint="eastAsia"/>
          <w:b/>
          <w:color w:val="auto"/>
          <w:sz w:val="22"/>
          <w:szCs w:val="24"/>
          <w:rtl/>
        </w:rPr>
        <w:t>הגשמת</w:t>
      </w:r>
      <w:r w:rsidRPr="00B1374E">
        <w:rPr>
          <w:rFonts w:ascii="Century" w:hAnsi="Century" w:cs="Miriam"/>
          <w:b/>
          <w:color w:val="auto"/>
          <w:sz w:val="22"/>
          <w:szCs w:val="24"/>
          <w:rtl/>
        </w:rPr>
        <w:t xml:space="preserve"> </w:t>
      </w:r>
      <w:r w:rsidRPr="00B1374E">
        <w:rPr>
          <w:rFonts w:ascii="Century" w:hAnsi="Century" w:cs="Miriam" w:hint="eastAsia"/>
          <w:b/>
          <w:color w:val="auto"/>
          <w:sz w:val="22"/>
          <w:szCs w:val="24"/>
          <w:rtl/>
        </w:rPr>
        <w:t>רצון</w:t>
      </w:r>
      <w:r w:rsidRPr="00B1374E">
        <w:rPr>
          <w:rFonts w:ascii="Century" w:hAnsi="Century" w:cs="Miriam"/>
          <w:b/>
          <w:color w:val="auto"/>
          <w:sz w:val="22"/>
          <w:szCs w:val="24"/>
          <w:rtl/>
        </w:rPr>
        <w:t xml:space="preserve"> </w:t>
      </w:r>
      <w:r w:rsidRPr="00B1374E">
        <w:rPr>
          <w:rFonts w:ascii="Century" w:hAnsi="Century" w:cs="Miriam" w:hint="eastAsia"/>
          <w:b/>
          <w:color w:val="auto"/>
          <w:sz w:val="22"/>
          <w:szCs w:val="24"/>
          <w:rtl/>
        </w:rPr>
        <w:t>המכונן</w:t>
      </w:r>
      <w:bookmarkEnd w:id="89"/>
      <w:bookmarkEnd w:id="90"/>
      <w:bookmarkEnd w:id="91"/>
    </w:p>
    <w:p w:rsidR="00EB02E1" w:rsidRDefault="00EB02E1" w:rsidP="00EB02E1">
      <w:pPr>
        <w:pStyle w:val="Ruller4"/>
        <w:rPr>
          <w:rtl/>
        </w:rPr>
      </w:pPr>
      <w:r>
        <w:rPr>
          <w:rFonts w:hint="cs"/>
          <w:rtl/>
        </w:rPr>
        <w:t xml:space="preserve">עם קורטוב של חיוך הצעתי בפסקה 7 לעיל, להרחיב את ההרכב, כך שיכלול את כל שופטי בית משפט זה לדורותיהם </w:t>
      </w:r>
      <w:r>
        <w:rPr>
          <w:rtl/>
        </w:rPr>
        <w:t>–</w:t>
      </w:r>
      <w:r>
        <w:rPr>
          <w:rFonts w:hint="cs"/>
          <w:rtl/>
        </w:rPr>
        <w:t xml:space="preserve"> </w:t>
      </w:r>
      <w:r w:rsidRPr="008A2459">
        <w:rPr>
          <w:rFonts w:ascii="Century" w:hAnsi="Century" w:cs="Miriam" w:hint="cs"/>
          <w:b/>
          <w:spacing w:val="0"/>
          <w:sz w:val="22"/>
          <w:szCs w:val="24"/>
          <w:rtl/>
        </w:rPr>
        <w:t>"</w:t>
      </w:r>
      <w:r w:rsidRPr="008A2459">
        <w:rPr>
          <w:rFonts w:ascii="Century" w:hAnsi="Century" w:cs="Miriam" w:hint="eastAsia"/>
          <w:b/>
          <w:spacing w:val="0"/>
          <w:sz w:val="22"/>
          <w:szCs w:val="24"/>
          <w:rtl/>
        </w:rPr>
        <w:t>את</w:t>
      </w:r>
      <w:r w:rsidRPr="008A2459">
        <w:rPr>
          <w:rFonts w:ascii="Century" w:hAnsi="Century" w:cs="Miriam"/>
          <w:b/>
          <w:spacing w:val="0"/>
          <w:sz w:val="22"/>
          <w:szCs w:val="24"/>
          <w:rtl/>
        </w:rPr>
        <w:t xml:space="preserve"> </w:t>
      </w:r>
      <w:r w:rsidRPr="008A2459">
        <w:rPr>
          <w:rFonts w:ascii="Century" w:hAnsi="Century" w:cs="Miriam" w:hint="eastAsia"/>
          <w:b/>
          <w:spacing w:val="0"/>
          <w:sz w:val="22"/>
          <w:szCs w:val="24"/>
          <w:rtl/>
        </w:rPr>
        <w:t>אשר</w:t>
      </w:r>
      <w:r w:rsidRPr="008A2459">
        <w:rPr>
          <w:rFonts w:ascii="Century" w:hAnsi="Century" w:cs="Miriam"/>
          <w:b/>
          <w:spacing w:val="0"/>
          <w:sz w:val="22"/>
          <w:szCs w:val="24"/>
          <w:rtl/>
        </w:rPr>
        <w:t xml:space="preserve"> </w:t>
      </w:r>
      <w:r w:rsidRPr="008A2459">
        <w:rPr>
          <w:rFonts w:ascii="Century" w:hAnsi="Century" w:cs="Miriam" w:hint="eastAsia"/>
          <w:b/>
          <w:spacing w:val="0"/>
          <w:sz w:val="22"/>
          <w:szCs w:val="24"/>
          <w:rtl/>
        </w:rPr>
        <w:t>ישנו</w:t>
      </w:r>
      <w:r w:rsidRPr="008A2459">
        <w:rPr>
          <w:rFonts w:ascii="Century" w:hAnsi="Century" w:cs="Miriam"/>
          <w:b/>
          <w:spacing w:val="0"/>
          <w:sz w:val="22"/>
          <w:szCs w:val="24"/>
          <w:rtl/>
        </w:rPr>
        <w:t xml:space="preserve"> </w:t>
      </w:r>
      <w:r w:rsidRPr="008A2459">
        <w:rPr>
          <w:rFonts w:ascii="Century" w:hAnsi="Century" w:cs="Miriam" w:hint="eastAsia"/>
          <w:b/>
          <w:spacing w:val="0"/>
          <w:sz w:val="22"/>
          <w:szCs w:val="24"/>
          <w:rtl/>
        </w:rPr>
        <w:t>פה</w:t>
      </w:r>
      <w:r w:rsidRPr="008A2459">
        <w:rPr>
          <w:rFonts w:ascii="Century" w:hAnsi="Century" w:cs="Miriam"/>
          <w:b/>
          <w:spacing w:val="0"/>
          <w:sz w:val="22"/>
          <w:szCs w:val="24"/>
          <w:rtl/>
        </w:rPr>
        <w:t xml:space="preserve"> </w:t>
      </w:r>
      <w:r w:rsidRPr="008A2459">
        <w:rPr>
          <w:rFonts w:ascii="Century" w:hAnsi="Century" w:cs="Miriam" w:hint="eastAsia"/>
          <w:b/>
          <w:spacing w:val="0"/>
          <w:sz w:val="22"/>
          <w:szCs w:val="24"/>
          <w:rtl/>
        </w:rPr>
        <w:t>עמנו</w:t>
      </w:r>
      <w:r w:rsidRPr="008A2459">
        <w:rPr>
          <w:rFonts w:ascii="Century" w:hAnsi="Century" w:cs="Miriam"/>
          <w:b/>
          <w:spacing w:val="0"/>
          <w:sz w:val="22"/>
          <w:szCs w:val="24"/>
          <w:rtl/>
        </w:rPr>
        <w:t xml:space="preserve"> </w:t>
      </w:r>
      <w:r w:rsidRPr="008A2459">
        <w:rPr>
          <w:rFonts w:ascii="Century" w:hAnsi="Century" w:cs="Miriam" w:hint="eastAsia"/>
          <w:b/>
          <w:spacing w:val="0"/>
          <w:szCs w:val="24"/>
          <w:rtl/>
        </w:rPr>
        <w:t>עֹמֵד</w:t>
      </w:r>
      <w:r w:rsidRPr="008A2459">
        <w:rPr>
          <w:rFonts w:ascii="Century" w:hAnsi="Century" w:cs="Miriam"/>
          <w:b/>
          <w:spacing w:val="0"/>
          <w:sz w:val="22"/>
          <w:szCs w:val="24"/>
          <w:rtl/>
        </w:rPr>
        <w:t xml:space="preserve"> </w:t>
      </w:r>
      <w:r w:rsidRPr="008A2459">
        <w:rPr>
          <w:rFonts w:ascii="Century" w:hAnsi="Century" w:cs="Miriam" w:hint="eastAsia"/>
          <w:b/>
          <w:spacing w:val="0"/>
          <w:sz w:val="22"/>
          <w:szCs w:val="24"/>
          <w:rtl/>
        </w:rPr>
        <w:t>היום</w:t>
      </w:r>
      <w:r w:rsidRPr="008A2459">
        <w:rPr>
          <w:rFonts w:ascii="Century" w:hAnsi="Century" w:cs="Miriam" w:hint="cs"/>
          <w:b/>
          <w:spacing w:val="0"/>
          <w:sz w:val="22"/>
          <w:szCs w:val="24"/>
          <w:rtl/>
        </w:rPr>
        <w:t xml:space="preserve"> [...] </w:t>
      </w:r>
      <w:r w:rsidRPr="008A2459">
        <w:rPr>
          <w:rFonts w:ascii="Century" w:hAnsi="Century" w:cs="Miriam" w:hint="eastAsia"/>
          <w:b/>
          <w:spacing w:val="0"/>
          <w:sz w:val="22"/>
          <w:szCs w:val="24"/>
          <w:rtl/>
        </w:rPr>
        <w:t>ואת</w:t>
      </w:r>
      <w:r w:rsidRPr="008A2459">
        <w:rPr>
          <w:rFonts w:ascii="Century" w:hAnsi="Century" w:cs="Miriam"/>
          <w:b/>
          <w:spacing w:val="0"/>
          <w:sz w:val="22"/>
          <w:szCs w:val="24"/>
          <w:rtl/>
        </w:rPr>
        <w:t xml:space="preserve"> </w:t>
      </w:r>
      <w:r w:rsidRPr="008A2459">
        <w:rPr>
          <w:rFonts w:ascii="Century" w:hAnsi="Century" w:cs="Miriam" w:hint="eastAsia"/>
          <w:b/>
          <w:spacing w:val="0"/>
          <w:sz w:val="22"/>
          <w:szCs w:val="24"/>
          <w:rtl/>
        </w:rPr>
        <w:t>אשר</w:t>
      </w:r>
      <w:r w:rsidRPr="008A2459">
        <w:rPr>
          <w:rFonts w:ascii="Century" w:hAnsi="Century" w:cs="Miriam"/>
          <w:b/>
          <w:spacing w:val="0"/>
          <w:sz w:val="22"/>
          <w:szCs w:val="24"/>
          <w:rtl/>
        </w:rPr>
        <w:t xml:space="preserve"> </w:t>
      </w:r>
      <w:r w:rsidRPr="008A2459">
        <w:rPr>
          <w:rFonts w:ascii="Century" w:hAnsi="Century" w:cs="Miriam" w:hint="eastAsia"/>
          <w:b/>
          <w:spacing w:val="0"/>
          <w:sz w:val="22"/>
          <w:szCs w:val="24"/>
          <w:rtl/>
        </w:rPr>
        <w:t>איננו</w:t>
      </w:r>
      <w:r w:rsidRPr="008A2459">
        <w:rPr>
          <w:rFonts w:ascii="Century" w:hAnsi="Century" w:cs="Miriam"/>
          <w:b/>
          <w:spacing w:val="0"/>
          <w:sz w:val="22"/>
          <w:szCs w:val="24"/>
          <w:rtl/>
        </w:rPr>
        <w:t xml:space="preserve"> </w:t>
      </w:r>
      <w:r w:rsidRPr="008A2459">
        <w:rPr>
          <w:rFonts w:ascii="Century" w:hAnsi="Century" w:cs="Miriam" w:hint="eastAsia"/>
          <w:b/>
          <w:spacing w:val="0"/>
          <w:sz w:val="22"/>
          <w:szCs w:val="24"/>
          <w:rtl/>
        </w:rPr>
        <w:t>פה</w:t>
      </w:r>
      <w:r w:rsidRPr="008A2459">
        <w:rPr>
          <w:rFonts w:ascii="Century" w:hAnsi="Century" w:cs="Miriam"/>
          <w:b/>
          <w:spacing w:val="0"/>
          <w:sz w:val="22"/>
          <w:szCs w:val="24"/>
          <w:rtl/>
        </w:rPr>
        <w:t xml:space="preserve"> </w:t>
      </w:r>
      <w:r w:rsidRPr="008A2459">
        <w:rPr>
          <w:rFonts w:ascii="Century" w:hAnsi="Century" w:cs="Miriam" w:hint="eastAsia"/>
          <w:b/>
          <w:spacing w:val="0"/>
          <w:sz w:val="22"/>
          <w:szCs w:val="24"/>
          <w:rtl/>
        </w:rPr>
        <w:t>עמנו</w:t>
      </w:r>
      <w:r w:rsidRPr="008A2459">
        <w:rPr>
          <w:rFonts w:ascii="Century" w:hAnsi="Century" w:cs="Miriam"/>
          <w:b/>
          <w:spacing w:val="0"/>
          <w:sz w:val="22"/>
          <w:szCs w:val="24"/>
          <w:rtl/>
        </w:rPr>
        <w:t xml:space="preserve"> </w:t>
      </w:r>
      <w:r w:rsidRPr="008A2459">
        <w:rPr>
          <w:rFonts w:ascii="Century" w:hAnsi="Century" w:cs="Miriam" w:hint="eastAsia"/>
          <w:b/>
          <w:spacing w:val="0"/>
          <w:sz w:val="22"/>
          <w:szCs w:val="24"/>
          <w:rtl/>
        </w:rPr>
        <w:t>היום</w:t>
      </w:r>
      <w:r w:rsidRPr="008A2459">
        <w:rPr>
          <w:rFonts w:ascii="Century" w:hAnsi="Century" w:cs="Miriam" w:hint="cs"/>
          <w:b/>
          <w:spacing w:val="0"/>
          <w:sz w:val="22"/>
          <w:szCs w:val="24"/>
          <w:rtl/>
        </w:rPr>
        <w:t>"</w:t>
      </w:r>
      <w:r>
        <w:rPr>
          <w:rFonts w:hint="cs"/>
          <w:rtl/>
        </w:rPr>
        <w:t xml:space="preserve"> (דברים כט, יד). אילו כך עשינו, היתה חוות דעתי משקפת את דעת הרוב. עתה, בהרכב הנוכחי, נותרתי במיעוט. 8 מחברַי קבעו כי אין מנוס מביטול חוק-היסוד. עם זאת, מרביתם, מי במפורש ומי במשתמע, סייגו את דבריהם. לשיטתם, רק מחמת הניסוח הגורף של חוק-היסוד, ככזה שנועד לבטל גם את עילת הסבירות נוסח </w:t>
      </w:r>
      <w:r>
        <w:rPr>
          <w:rFonts w:hint="cs"/>
          <w:rtl/>
        </w:rPr>
        <w:lastRenderedPageBreak/>
        <w:t xml:space="preserve">'וונדסברי' </w:t>
      </w:r>
      <w:r>
        <w:rPr>
          <w:rtl/>
        </w:rPr>
        <w:t>–</w:t>
      </w:r>
      <w:r>
        <w:rPr>
          <w:rFonts w:hint="cs"/>
          <w:rtl/>
        </w:rPr>
        <w:t xml:space="preserve"> דינו להתבטל. הם מסכימים, כי אילו בא לפנינו חוק-יסוד, המבקש להחזירנו לעידן של טרום 'דפי-זהב', הרי שזה היה צולח את הביקורת השיפוטית. גם אם יש מי שמפקפק בכך (ראו: פסקה 27 לחוות דעתו של חברי מ"מ הנשיא), בהינתן תוצאת פסק הדין, על חודו של קול, ברי כי דעת הרוב היתה מורה על השארת חוק שכזה על כנו. </w:t>
      </w:r>
    </w:p>
    <w:p w:rsidR="00EB02E1" w:rsidRDefault="00EB02E1" w:rsidP="00EB02E1">
      <w:pPr>
        <w:pStyle w:val="Ruller41"/>
        <w:rPr>
          <w:rtl/>
        </w:rPr>
      </w:pPr>
    </w:p>
    <w:p w:rsidR="00EB02E1" w:rsidRDefault="00EB02E1" w:rsidP="00EB02E1">
      <w:pPr>
        <w:pStyle w:val="Ruller4"/>
      </w:pPr>
      <w:r>
        <w:rPr>
          <w:rFonts w:hint="cs"/>
          <w:rtl/>
        </w:rPr>
        <w:t xml:space="preserve">למרות זאת, בחרו אלו מחברַי התומכים בביטול התיקון לחוק-היסוד, להימנע מ'פרשנות מקיימת'; קרי </w:t>
      </w:r>
      <w:r>
        <w:rPr>
          <w:rtl/>
        </w:rPr>
        <w:t>–</w:t>
      </w:r>
      <w:r>
        <w:rPr>
          <w:rFonts w:hint="cs"/>
          <w:rtl/>
        </w:rPr>
        <w:t xml:space="preserve"> תחת ביטול התיקון, היה נקבע כי יש לפרש אותו בגרסה 'רזה', שבמסגרתה תיוותר עילת הסבירות נוסח 'וונדסברי'. שלושה הסברים מרכזיים ניתנו לכך, כולם 'שמרניים' באופיים. תחילה נקבע, כי לשונו של החוק ברורה, אינה משתמעת לשני פנים, ומכוונת לביטול מוחלט של העילה. ממילא, לא ניתן לפרש את החוק בניגוד גמור ללשונו. נימוק נוסף הוא מתן משקל מכריע לפרשנות הסובייקטיבית. נקבע כי פרשנות סובייקטיבית מובילה לאותה תוצאה, שלפיה כוונת המחוקק היתה לביטול מוחלט, ובהתנגשות בינה לבין התכלית האובייקטיבית, ידה של הפרשנות הסובייקטיבית על העליונה. גם 'פרשנות מקיימת', בניגוד ללשון ולתכלית, כמוצא אחרון לפני ביטול החוק, נדחתה על-ידי חברַי, בשל כך שהדבר שקול לכתיבת החוק מחדש, וזאת אין בסמכותנו להורות. נוכח אותם טעמים, נקבע כי אין מנוס מלהורות על ביטול התיקון לחוק-היסוד. כשלעצמי סבורני, כי אין זה סוף הדרך. אסביר. </w:t>
      </w:r>
    </w:p>
    <w:p w:rsidR="00EB02E1" w:rsidRPr="007D19E5" w:rsidRDefault="00EB02E1" w:rsidP="00EB02E1">
      <w:pPr>
        <w:pStyle w:val="Ruller4"/>
        <w:numPr>
          <w:ilvl w:val="0"/>
          <w:numId w:val="0"/>
        </w:numPr>
        <w:rPr>
          <w:rtl/>
        </w:rPr>
      </w:pPr>
    </w:p>
    <w:p w:rsidR="00EB02E1" w:rsidRDefault="00EB02E1" w:rsidP="00EB02E1">
      <w:pPr>
        <w:pStyle w:val="Ruller4"/>
        <w:rPr>
          <w:rtl/>
        </w:rPr>
      </w:pPr>
      <w:r>
        <w:rPr>
          <w:rFonts w:hint="cs"/>
          <w:rtl/>
        </w:rPr>
        <w:t xml:space="preserve">במצב הדברים הרגיל, אם נקבע כי יש להורות על ביטולו של חוק, אף שחוק אחר, שנוסחוֹ מתון יותר, היה צולח את הביקורת השיפוטית </w:t>
      </w:r>
      <w:r>
        <w:rPr>
          <w:rtl/>
        </w:rPr>
        <w:t>–</w:t>
      </w:r>
      <w:r>
        <w:rPr>
          <w:rFonts w:hint="cs"/>
          <w:rtl/>
        </w:rPr>
        <w:t xml:space="preserve"> אין לכך כל משמעות. ברגע שבו הוכרז על ביטול החוק, הרי שאין לפנינו הסדר חוקי, המאפשר להחיל את הוראות אותו נוסח מתון, שאילו היה נחקק, לא היה מבוטל. עלינו להמתין, באפס מעשה, עד אשר יבוא המחוקק ויעשה מעשה. </w:t>
      </w:r>
    </w:p>
    <w:p w:rsidR="00EB02E1" w:rsidRDefault="00EB02E1" w:rsidP="00EB02E1">
      <w:pPr>
        <w:pStyle w:val="Ruller41"/>
        <w:rPr>
          <w:rtl/>
        </w:rPr>
      </w:pPr>
    </w:p>
    <w:p w:rsidR="00EB02E1" w:rsidRDefault="00EB02E1" w:rsidP="00EB02E1">
      <w:pPr>
        <w:pStyle w:val="Ruller4"/>
      </w:pPr>
      <w:r>
        <w:rPr>
          <w:rFonts w:hint="cs"/>
          <w:rtl/>
        </w:rPr>
        <w:t xml:space="preserve">כך אירע למשל, עם החוקים שנחקקו לגבי מעצרם והחזקתם במשמורת של מסתננים ומהגרי עבודה. החוק הראשון שנחקק, </w:t>
      </w:r>
      <w:r w:rsidRPr="007D19E5">
        <w:rPr>
          <w:rFonts w:hint="eastAsia"/>
          <w:rtl/>
        </w:rPr>
        <w:t>תיקון</w:t>
      </w:r>
      <w:r w:rsidRPr="007D19E5">
        <w:rPr>
          <w:rtl/>
        </w:rPr>
        <w:t xml:space="preserve"> </w:t>
      </w:r>
      <w:r w:rsidRPr="007D19E5">
        <w:rPr>
          <w:rFonts w:hint="eastAsia"/>
          <w:rtl/>
        </w:rPr>
        <w:t>מספר</w:t>
      </w:r>
      <w:r w:rsidRPr="007D19E5">
        <w:rPr>
          <w:rtl/>
        </w:rPr>
        <w:t xml:space="preserve"> 3 </w:t>
      </w:r>
      <w:r w:rsidRPr="007D19E5">
        <w:rPr>
          <w:rFonts w:hint="eastAsia"/>
          <w:rtl/>
        </w:rPr>
        <w:t>לחוק</w:t>
      </w:r>
      <w:r w:rsidRPr="007D19E5">
        <w:rPr>
          <w:rtl/>
        </w:rPr>
        <w:t xml:space="preserve"> </w:t>
      </w:r>
      <w:r w:rsidRPr="007D19E5">
        <w:rPr>
          <w:rFonts w:hint="eastAsia"/>
          <w:rtl/>
        </w:rPr>
        <w:t>למניעת</w:t>
      </w:r>
      <w:r w:rsidRPr="007D19E5">
        <w:rPr>
          <w:rtl/>
        </w:rPr>
        <w:t xml:space="preserve"> </w:t>
      </w:r>
      <w:r w:rsidRPr="007D19E5">
        <w:rPr>
          <w:rFonts w:hint="eastAsia"/>
          <w:rtl/>
        </w:rPr>
        <w:t>הסתננות</w:t>
      </w:r>
      <w:r w:rsidRPr="007D19E5">
        <w:rPr>
          <w:rtl/>
        </w:rPr>
        <w:t xml:space="preserve"> (</w:t>
      </w:r>
      <w:r w:rsidRPr="007D19E5">
        <w:rPr>
          <w:rFonts w:hint="eastAsia"/>
          <w:rtl/>
        </w:rPr>
        <w:t>עבירות</w:t>
      </w:r>
      <w:r w:rsidRPr="007D19E5">
        <w:rPr>
          <w:rtl/>
        </w:rPr>
        <w:t xml:space="preserve"> </w:t>
      </w:r>
      <w:r w:rsidRPr="007D19E5">
        <w:rPr>
          <w:rFonts w:hint="eastAsia"/>
          <w:rtl/>
        </w:rPr>
        <w:t>ושיפוט</w:t>
      </w:r>
      <w:r w:rsidRPr="007D19E5">
        <w:rPr>
          <w:rtl/>
        </w:rPr>
        <w:t xml:space="preserve">), </w:t>
      </w:r>
      <w:r w:rsidRPr="007D19E5">
        <w:rPr>
          <w:rFonts w:hint="eastAsia"/>
          <w:rtl/>
        </w:rPr>
        <w:t>התשי</w:t>
      </w:r>
      <w:r w:rsidRPr="007D19E5">
        <w:rPr>
          <w:rtl/>
        </w:rPr>
        <w:t>"</w:t>
      </w:r>
      <w:r w:rsidRPr="007D19E5">
        <w:rPr>
          <w:rFonts w:hint="eastAsia"/>
          <w:rtl/>
        </w:rPr>
        <w:t>ד</w:t>
      </w:r>
      <w:r w:rsidRPr="007D19E5">
        <w:rPr>
          <w:rtl/>
        </w:rPr>
        <w:t>-1954,</w:t>
      </w:r>
      <w:r>
        <w:rPr>
          <w:rFonts w:hint="cs"/>
          <w:rtl/>
        </w:rPr>
        <w:t xml:space="preserve"> בוטל על-ידי בית משפט זה, משלא עמד בתנאי פסקת ההגבלה. לאחר שבוטל החוק, לא היה ניתן להחיל הוראות מצומצמות יותר, מבלעדי חקיקה מחודשת, גם אם אותן הוראות מצמצמות היו עומדות בתנאי פסקת ההגבלה. בהעדר אסמכתא חוקית, לא ניתן להורות על השׂמתם במשמורת של מסתננים, ולוּ ליום אחד. אף אם יודעים אנו, כי אילו נחקק חוק שכזה, המורה על השׂמת מסתננים במשמורת למשך יום בודד, הוא היה צולח את מבחן הביקורת השיפוטית. לא כך בענייננו.</w:t>
      </w:r>
    </w:p>
    <w:p w:rsidR="00EB02E1" w:rsidRPr="007D19E5" w:rsidRDefault="00EB02E1" w:rsidP="00EB02E1">
      <w:pPr>
        <w:pStyle w:val="Ruller4"/>
        <w:numPr>
          <w:ilvl w:val="0"/>
          <w:numId w:val="0"/>
        </w:numPr>
        <w:rPr>
          <w:rtl/>
        </w:rPr>
      </w:pPr>
    </w:p>
    <w:p w:rsidR="00EB02E1" w:rsidRPr="00996E60" w:rsidRDefault="00EB02E1" w:rsidP="00EB02E1">
      <w:pPr>
        <w:pStyle w:val="Ruller4"/>
        <w:rPr>
          <w:rtl/>
        </w:rPr>
      </w:pPr>
      <w:r>
        <w:rPr>
          <w:rFonts w:hint="cs"/>
          <w:rtl/>
        </w:rPr>
        <w:t xml:space="preserve">כאמור, שופטי הרוב סבורים, כי המחוקק-המכונן, שבו בחר העם לכונן את חוקתו המתהווה, חפץ בהסדר רחב יותר, שבמסגרתו תבוטל לחלוטין עילת הסבירות על הממשלה ושׂריה. אלא, שאותו הסדר נמצא בביקורת השיפוטית כחורג מסמכותו של המכונן. עוד סבורים שופטי הרוב, כי אילו היה מונח לפנינו דבר חקיקה בנוסח 'רזה' יותר, או אז לא היו מורים על ביטולו. על הביטול נאלצו להורות, בדלית ברירה, רק בשל כך שלא ניתן היה לתלות אותה פרשנות 'רזה' במילות החוק. במצב דברים שכזה, אין כל סיבה להשליך ארצה את דבר החקיקה, ולראותו כאיננו. צודק חברי השופט </w:t>
      </w:r>
      <w:r w:rsidRPr="00CC01A2">
        <w:rPr>
          <w:rFonts w:ascii="Century" w:hAnsi="Century" w:cs="Miriam" w:hint="cs"/>
          <w:b/>
          <w:spacing w:val="0"/>
          <w:sz w:val="22"/>
          <w:szCs w:val="24"/>
          <w:rtl/>
        </w:rPr>
        <w:t>ח' כבוב</w:t>
      </w:r>
      <w:r>
        <w:rPr>
          <w:rFonts w:hint="cs"/>
          <w:rtl/>
        </w:rPr>
        <w:t xml:space="preserve"> בדבריו בסוף חוות דעתו: </w:t>
      </w:r>
      <w:r w:rsidRPr="00996E60">
        <w:rPr>
          <w:rFonts w:ascii="Century" w:hAnsi="Century" w:cs="Miriam" w:hint="cs"/>
          <w:b/>
          <w:spacing w:val="0"/>
          <w:sz w:val="22"/>
          <w:szCs w:val="24"/>
          <w:rtl/>
        </w:rPr>
        <w:t>"טוב נעשה אם נישיר מבט לביקורת הנוקבת וארוכת השנים... על אודות מבחן איזון האינטרסים והשימוש שנעשה בו בחמשת העשורים האחרונים. דברים אלו מקבלים משנה תוקף, בשים לב לכך שביקורת זו הגיעה עד למליאת הכנסת, ובאה לידי ביטוי בחקיקת-יסוד... נכון שנטה אוזן קשבת לביקורת זו וניתן לה ביטוי בפסיקתנו</w:t>
      </w:r>
      <w:r>
        <w:rPr>
          <w:rFonts w:ascii="Century" w:hAnsi="Century" w:cs="Miriam" w:hint="cs"/>
          <w:b/>
          <w:spacing w:val="0"/>
          <w:sz w:val="22"/>
          <w:szCs w:val="24"/>
          <w:rtl/>
        </w:rPr>
        <w:t xml:space="preserve">" </w:t>
      </w:r>
      <w:r w:rsidRPr="00996E60">
        <w:rPr>
          <w:rFonts w:hint="cs"/>
          <w:rtl/>
        </w:rPr>
        <w:t>(פסקה 100)</w:t>
      </w:r>
      <w:r>
        <w:rPr>
          <w:rFonts w:hint="cs"/>
          <w:rtl/>
        </w:rPr>
        <w:t>.</w:t>
      </w:r>
      <w:r w:rsidRPr="00996E60">
        <w:rPr>
          <w:rFonts w:hint="cs"/>
          <w:rtl/>
        </w:rPr>
        <w:t xml:space="preserve"> </w:t>
      </w:r>
    </w:p>
    <w:p w:rsidR="00EB02E1" w:rsidRDefault="00EB02E1" w:rsidP="00EB02E1">
      <w:pPr>
        <w:pStyle w:val="Ruller41"/>
        <w:rPr>
          <w:rtl/>
        </w:rPr>
      </w:pPr>
    </w:p>
    <w:p w:rsidR="00EB02E1" w:rsidRDefault="00EB02E1" w:rsidP="00EB02E1">
      <w:pPr>
        <w:pStyle w:val="Ruller4"/>
        <w:textAlignment w:val="auto"/>
      </w:pPr>
      <w:r>
        <w:rPr>
          <w:rFonts w:hint="cs"/>
          <w:rtl/>
        </w:rPr>
        <w:t xml:space="preserve">ניטיב אפוא לעשות, אנו השופטים, אם נוסיף ונאמר בשולי פסק הדין: </w:t>
      </w:r>
    </w:p>
    <w:p w:rsidR="00EB02E1" w:rsidRDefault="00EB02E1" w:rsidP="00EB02E1">
      <w:pPr>
        <w:pStyle w:val="Ruller4"/>
        <w:numPr>
          <w:ilvl w:val="0"/>
          <w:numId w:val="0"/>
        </w:numPr>
        <w:rPr>
          <w:rtl/>
        </w:rPr>
      </w:pPr>
    </w:p>
    <w:p w:rsidR="00EB02E1" w:rsidRPr="00C335DC" w:rsidRDefault="00EB02E1" w:rsidP="00EB02E1">
      <w:pPr>
        <w:pStyle w:val="Ruller4"/>
        <w:numPr>
          <w:ilvl w:val="0"/>
          <w:numId w:val="0"/>
        </w:numPr>
        <w:ind w:left="680" w:right="680"/>
      </w:pPr>
      <w:r w:rsidRPr="000153C7">
        <w:rPr>
          <w:rFonts w:ascii="Century" w:hAnsi="Century" w:cs="Miriam" w:hint="cs"/>
          <w:b/>
          <w:spacing w:val="0"/>
          <w:sz w:val="22"/>
          <w:szCs w:val="24"/>
          <w:rtl/>
        </w:rPr>
        <w:t>"אכן, בצעד חריג וחסר-תקדים, נאלצנו ברוב דעות להורות על פסילתו של חוק-יסוד. באופן פורמלי, לא היה מנוס מלהורות על ביטולו המוחלט של דבר החקיקה, אף בנוסחו ה'רזה', שכן אין זה בסמכותנו לכתוב את דבר החקיקה מחדש. יחד עם זאת, מקבלים אנו את מרותו של המכונן, את מרותו של העם שאֵלו הם נציגיו. נעשה כמידת יכולתנו, על מנת להגשים את רצונו של המכונן. לפיכך, משקבענו כי נוסח 'רזה' של החוק, לא היה נפסל על</w:t>
      </w:r>
      <w:r>
        <w:rPr>
          <w:rFonts w:ascii="Century" w:hAnsi="Century" w:cs="Miriam" w:hint="cs"/>
          <w:b/>
          <w:spacing w:val="0"/>
          <w:sz w:val="22"/>
          <w:szCs w:val="24"/>
          <w:rtl/>
        </w:rPr>
        <w:t>-</w:t>
      </w:r>
      <w:r w:rsidRPr="000153C7">
        <w:rPr>
          <w:rFonts w:ascii="Century" w:hAnsi="Century" w:cs="Miriam" w:hint="cs"/>
          <w:b/>
          <w:spacing w:val="0"/>
          <w:sz w:val="22"/>
          <w:szCs w:val="24"/>
          <w:rtl/>
        </w:rPr>
        <w:t>ידנו, אזי אין אנו רואים צורך להמתין לחקיקתו של חוק-יסוד חדש שיקבע הסדר דומה. בהעדר מגבלה חוקית, ומשהדבר מצוי בגדרי סמכותנו, נודיע עתה, כי מעתה והלאה, נסיג את הגלגל לאחור. לא נשתמש עוד בעילת הסבירות בעניינן של החלטות הממשלה ושׂריה, אלא אם כן נקבע כי ישנם נתונים חד-משמעיים, המלמדים כי אותה החלטה כה בלתי-סבירה, באורח קיצוני, עד ששום ממשלה סבירה לא היתה יכולה לקבל החלטה שכזו. אותו מבחן ותיק וטוב, שהיה באמנה איתנו מראשית הדרך ועד לפסק הדין בעניין דפי-זהב; סבירות נוסח 'וונדסברי'"</w:t>
      </w:r>
      <w:r w:rsidRPr="00C335DC">
        <w:rPr>
          <w:rFonts w:hint="cs"/>
          <w:rtl/>
        </w:rPr>
        <w:t>.</w:t>
      </w:r>
    </w:p>
    <w:p w:rsidR="00EB02E1" w:rsidRDefault="00EB02E1" w:rsidP="00EB02E1">
      <w:pPr>
        <w:pStyle w:val="Ruller5"/>
        <w:spacing w:line="360" w:lineRule="auto"/>
        <w:ind w:left="0" w:right="0"/>
        <w:rPr>
          <w:rtl/>
        </w:rPr>
      </w:pPr>
    </w:p>
    <w:p w:rsidR="00EB02E1" w:rsidRPr="007D19E5" w:rsidRDefault="00EB02E1" w:rsidP="00EB02E1">
      <w:pPr>
        <w:pStyle w:val="Ruller4"/>
        <w:numPr>
          <w:ilvl w:val="0"/>
          <w:numId w:val="0"/>
        </w:numPr>
        <w:rPr>
          <w:rtl/>
        </w:rPr>
      </w:pPr>
      <w:r>
        <w:rPr>
          <w:rFonts w:hint="cs"/>
          <w:rtl/>
        </w:rPr>
        <w:t>'אל תגידו יום יבוא, הביאו את היום, כי לא חלום הוא, ובכל הככרות הריעו רק שלום'.</w:t>
      </w:r>
      <w:r>
        <w:rPr>
          <w:rtl/>
        </w:rPr>
        <w:tab/>
      </w:r>
      <w:r>
        <w:rPr>
          <w:rFonts w:hint="cs"/>
          <w:rtl/>
        </w:rPr>
        <w:t xml:space="preserve"> </w:t>
      </w:r>
    </w:p>
    <w:tbl>
      <w:tblPr>
        <w:bidiVisual/>
        <w:tblW w:w="8363" w:type="dxa"/>
        <w:tblLook w:val="01E0" w:firstRow="1" w:lastRow="1" w:firstColumn="1" w:lastColumn="1" w:noHBand="0" w:noVBand="0"/>
      </w:tblPr>
      <w:tblGrid>
        <w:gridCol w:w="2786"/>
        <w:gridCol w:w="2787"/>
        <w:gridCol w:w="2790"/>
      </w:tblGrid>
      <w:tr w:rsidR="00EC32E0" w:rsidTr="000D4A81">
        <w:tc>
          <w:tcPr>
            <w:tcW w:w="2786" w:type="dxa"/>
            <w:shd w:val="clear" w:color="auto" w:fill="auto"/>
          </w:tcPr>
          <w:p w:rsidR="00EC32E0" w:rsidRDefault="00EC32E0" w:rsidP="00DD4ADA">
            <w:pPr>
              <w:pStyle w:val="Ruller41"/>
              <w:rPr>
                <w:rtl/>
              </w:rPr>
            </w:pPr>
          </w:p>
        </w:tc>
        <w:tc>
          <w:tcPr>
            <w:tcW w:w="2787" w:type="dxa"/>
            <w:shd w:val="clear" w:color="auto" w:fill="auto"/>
          </w:tcPr>
          <w:p w:rsidR="00EC32E0" w:rsidRDefault="00EC32E0" w:rsidP="00DD4ADA">
            <w:pPr>
              <w:pStyle w:val="Ruller41"/>
              <w:jc w:val="center"/>
              <w:rPr>
                <w:rtl/>
              </w:rPr>
            </w:pPr>
          </w:p>
        </w:tc>
        <w:tc>
          <w:tcPr>
            <w:tcW w:w="2790" w:type="dxa"/>
            <w:shd w:val="clear" w:color="auto" w:fill="auto"/>
          </w:tcPr>
          <w:p w:rsidR="00EC32E0" w:rsidRDefault="00EC32E0" w:rsidP="00DD4ADA">
            <w:pPr>
              <w:pStyle w:val="Ruller41"/>
              <w:jc w:val="center"/>
              <w:rPr>
                <w:rtl/>
              </w:rPr>
            </w:pPr>
            <w:r>
              <w:rPr>
                <w:rtl/>
              </w:rPr>
              <w:t>ש ו פ ט</w:t>
            </w:r>
          </w:p>
        </w:tc>
      </w:tr>
    </w:tbl>
    <w:p w:rsidR="000D4A81" w:rsidRDefault="000D4A81" w:rsidP="00681CAB">
      <w:pPr>
        <w:pStyle w:val="Ruller41"/>
        <w:rPr>
          <w:rtl/>
        </w:rPr>
      </w:pPr>
    </w:p>
    <w:p w:rsidR="000D4A81" w:rsidRDefault="000D4A81">
      <w:pPr>
        <w:overflowPunct/>
        <w:autoSpaceDE/>
        <w:autoSpaceDN/>
        <w:bidi w:val="0"/>
        <w:adjustRightInd/>
        <w:textAlignment w:val="auto"/>
        <w:rPr>
          <w:rFonts w:ascii="Arial TUR" w:hAnsi="Arial TUR" w:cs="FrankRuehl"/>
          <w:spacing w:val="10"/>
          <w:sz w:val="22"/>
          <w:szCs w:val="28"/>
          <w:rtl/>
        </w:rPr>
      </w:pPr>
      <w:r>
        <w:rPr>
          <w:rtl/>
        </w:rPr>
        <w:br w:type="page"/>
      </w:r>
    </w:p>
    <w:p w:rsidR="00681CAB" w:rsidRPr="005F6051" w:rsidRDefault="000D4A81" w:rsidP="00681CAB">
      <w:pPr>
        <w:pStyle w:val="Ruller41"/>
        <w:rPr>
          <w:rFonts w:ascii="Century" w:hAnsi="Century"/>
          <w:rtl/>
        </w:rPr>
      </w:pPr>
      <w:r>
        <w:rPr>
          <w:rtl/>
        </w:rPr>
        <w:lastRenderedPageBreak/>
        <w:tab/>
      </w:r>
      <w:bookmarkStart w:id="92" w:name="_GoBack"/>
      <w:bookmarkEnd w:id="92"/>
      <w:r w:rsidR="00681CAB">
        <w:rPr>
          <w:rFonts w:hint="cs"/>
          <w:rtl/>
        </w:rPr>
        <w:t xml:space="preserve">הוחלט בדעת רוב </w:t>
      </w:r>
      <w:r w:rsidR="00681CAB">
        <w:rPr>
          <w:rtl/>
        </w:rPr>
        <w:t>–</w:t>
      </w:r>
      <w:r w:rsidR="00681CAB">
        <w:rPr>
          <w:rFonts w:hint="cs"/>
          <w:rtl/>
        </w:rPr>
        <w:t xml:space="preserve"> ה</w:t>
      </w:r>
      <w:r w:rsidR="00681CAB" w:rsidRPr="003305B4">
        <w:rPr>
          <w:rFonts w:hint="eastAsia"/>
          <w:rtl/>
        </w:rPr>
        <w:t>נשיאה</w:t>
      </w:r>
      <w:r w:rsidR="00681CAB">
        <w:rPr>
          <w:rFonts w:hint="cs"/>
          <w:rtl/>
        </w:rPr>
        <w:t xml:space="preserve"> </w:t>
      </w:r>
      <w:r w:rsidR="00681CAB" w:rsidRPr="003305B4">
        <w:rPr>
          <w:rtl/>
        </w:rPr>
        <w:t>(</w:t>
      </w:r>
      <w:r w:rsidR="00681CAB" w:rsidRPr="003305B4">
        <w:rPr>
          <w:rFonts w:hint="eastAsia"/>
          <w:rtl/>
        </w:rPr>
        <w:t>בדימ</w:t>
      </w:r>
      <w:r w:rsidR="00681CAB" w:rsidRPr="003305B4">
        <w:rPr>
          <w:rtl/>
        </w:rPr>
        <w:t xml:space="preserve">') </w:t>
      </w:r>
      <w:r w:rsidR="00681CAB" w:rsidRPr="003305B4">
        <w:rPr>
          <w:rFonts w:ascii="Century" w:hAnsi="Century" w:cs="Miriam" w:hint="cs"/>
          <w:b/>
          <w:spacing w:val="0"/>
          <w:szCs w:val="24"/>
          <w:rtl/>
        </w:rPr>
        <w:t xml:space="preserve">א' </w:t>
      </w:r>
      <w:r w:rsidR="00681CAB" w:rsidRPr="003305B4">
        <w:rPr>
          <w:rFonts w:ascii="Century" w:hAnsi="Century" w:cs="Miriam" w:hint="eastAsia"/>
          <w:b/>
          <w:spacing w:val="0"/>
          <w:szCs w:val="24"/>
          <w:rtl/>
        </w:rPr>
        <w:t>חיות</w:t>
      </w:r>
      <w:r w:rsidR="00681CAB" w:rsidRPr="003305B4">
        <w:rPr>
          <w:rtl/>
        </w:rPr>
        <w:t xml:space="preserve">, </w:t>
      </w:r>
      <w:r w:rsidR="00681CAB" w:rsidRPr="003305B4">
        <w:rPr>
          <w:rFonts w:hint="eastAsia"/>
          <w:rtl/>
        </w:rPr>
        <w:t>ממלא</w:t>
      </w:r>
      <w:r w:rsidR="00681CAB" w:rsidRPr="003305B4">
        <w:rPr>
          <w:rtl/>
        </w:rPr>
        <w:t xml:space="preserve"> </w:t>
      </w:r>
      <w:r w:rsidR="00681CAB" w:rsidRPr="003305B4">
        <w:rPr>
          <w:rFonts w:hint="eastAsia"/>
          <w:rtl/>
        </w:rPr>
        <w:t>מקום</w:t>
      </w:r>
      <w:r w:rsidR="00681CAB" w:rsidRPr="003305B4">
        <w:rPr>
          <w:rtl/>
        </w:rPr>
        <w:t xml:space="preserve"> </w:t>
      </w:r>
      <w:r w:rsidR="00681CAB" w:rsidRPr="003305B4">
        <w:rPr>
          <w:rFonts w:hint="eastAsia"/>
          <w:rtl/>
        </w:rPr>
        <w:t>הנשיא</w:t>
      </w:r>
      <w:r w:rsidR="00681CAB" w:rsidRPr="003305B4">
        <w:rPr>
          <w:rtl/>
        </w:rPr>
        <w:t xml:space="preserve"> </w:t>
      </w:r>
      <w:r w:rsidR="00681CAB" w:rsidRPr="003305B4">
        <w:rPr>
          <w:rFonts w:ascii="Century" w:hAnsi="Century" w:cs="Miriam" w:hint="cs"/>
          <w:b/>
          <w:spacing w:val="0"/>
          <w:szCs w:val="24"/>
          <w:rtl/>
        </w:rPr>
        <w:t xml:space="preserve">ע' </w:t>
      </w:r>
      <w:r w:rsidR="00681CAB" w:rsidRPr="003305B4">
        <w:rPr>
          <w:rFonts w:ascii="Century" w:hAnsi="Century" w:cs="Miriam" w:hint="eastAsia"/>
          <w:b/>
          <w:spacing w:val="0"/>
          <w:szCs w:val="24"/>
          <w:rtl/>
        </w:rPr>
        <w:t>פוגלמן</w:t>
      </w:r>
      <w:r w:rsidR="00681CAB">
        <w:rPr>
          <w:rFonts w:hint="cs"/>
          <w:rtl/>
        </w:rPr>
        <w:t xml:space="preserve">, השופט </w:t>
      </w:r>
      <w:r w:rsidR="00681CAB" w:rsidRPr="003305B4">
        <w:rPr>
          <w:rFonts w:ascii="Century" w:hAnsi="Century" w:cs="Miriam" w:hint="cs"/>
          <w:b/>
          <w:spacing w:val="0"/>
          <w:szCs w:val="24"/>
          <w:rtl/>
        </w:rPr>
        <w:t xml:space="preserve">י' </w:t>
      </w:r>
      <w:r w:rsidR="00681CAB" w:rsidRPr="003305B4">
        <w:rPr>
          <w:rFonts w:ascii="Century" w:hAnsi="Century" w:cs="Miriam" w:hint="eastAsia"/>
          <w:b/>
          <w:spacing w:val="0"/>
          <w:szCs w:val="24"/>
          <w:rtl/>
        </w:rPr>
        <w:t>עמית</w:t>
      </w:r>
      <w:r w:rsidR="00681CAB" w:rsidRPr="003305B4">
        <w:rPr>
          <w:rtl/>
        </w:rPr>
        <w:t>,</w:t>
      </w:r>
      <w:r w:rsidR="00681CAB">
        <w:rPr>
          <w:rFonts w:hint="cs"/>
          <w:rtl/>
        </w:rPr>
        <w:t xml:space="preserve"> השופטת</w:t>
      </w:r>
      <w:r w:rsidR="00681CAB" w:rsidRPr="003305B4">
        <w:rPr>
          <w:rtl/>
        </w:rPr>
        <w:t xml:space="preserve"> </w:t>
      </w:r>
      <w:r w:rsidR="00681CAB" w:rsidRPr="003305B4">
        <w:rPr>
          <w:rFonts w:ascii="Century" w:hAnsi="Century" w:cs="Miriam" w:hint="cs"/>
          <w:b/>
          <w:spacing w:val="0"/>
          <w:szCs w:val="24"/>
          <w:rtl/>
        </w:rPr>
        <w:t xml:space="preserve">ד' </w:t>
      </w:r>
      <w:r w:rsidR="00681CAB" w:rsidRPr="003305B4">
        <w:rPr>
          <w:rFonts w:ascii="Century" w:hAnsi="Century" w:cs="Miriam" w:hint="eastAsia"/>
          <w:b/>
          <w:spacing w:val="0"/>
          <w:szCs w:val="24"/>
          <w:rtl/>
        </w:rPr>
        <w:t>ברק</w:t>
      </w:r>
      <w:r w:rsidR="00681CAB" w:rsidRPr="003305B4">
        <w:rPr>
          <w:rFonts w:ascii="Century" w:hAnsi="Century" w:cs="Miriam"/>
          <w:b/>
          <w:spacing w:val="0"/>
          <w:szCs w:val="24"/>
          <w:rtl/>
        </w:rPr>
        <w:t>-</w:t>
      </w:r>
      <w:r w:rsidR="00681CAB" w:rsidRPr="003305B4">
        <w:rPr>
          <w:rFonts w:ascii="Century" w:hAnsi="Century" w:cs="Miriam" w:hint="eastAsia"/>
          <w:b/>
          <w:spacing w:val="0"/>
          <w:szCs w:val="24"/>
          <w:rtl/>
        </w:rPr>
        <w:t>ארז</w:t>
      </w:r>
      <w:r w:rsidR="00681CAB" w:rsidRPr="003305B4">
        <w:rPr>
          <w:rtl/>
        </w:rPr>
        <w:t xml:space="preserve">, </w:t>
      </w:r>
      <w:r w:rsidR="00681CAB">
        <w:rPr>
          <w:rFonts w:hint="cs"/>
          <w:rtl/>
        </w:rPr>
        <w:t xml:space="preserve">השופטת (בדימ') </w:t>
      </w:r>
      <w:r w:rsidR="00681CAB" w:rsidRPr="003305B4">
        <w:rPr>
          <w:rFonts w:ascii="Century" w:hAnsi="Century" w:cs="Miriam" w:hint="cs"/>
          <w:b/>
          <w:spacing w:val="0"/>
          <w:szCs w:val="24"/>
          <w:rtl/>
        </w:rPr>
        <w:t>ע' ברון</w:t>
      </w:r>
      <w:r w:rsidR="00681CAB" w:rsidRPr="003305B4">
        <w:rPr>
          <w:rtl/>
        </w:rPr>
        <w:t>,</w:t>
      </w:r>
      <w:r w:rsidR="00681CAB">
        <w:rPr>
          <w:rFonts w:hint="cs"/>
          <w:rtl/>
        </w:rPr>
        <w:t xml:space="preserve"> השופטת </w:t>
      </w:r>
      <w:r w:rsidR="00681CAB" w:rsidRPr="003305B4">
        <w:rPr>
          <w:rFonts w:ascii="Century" w:hAnsi="Century" w:cs="Miriam" w:hint="cs"/>
          <w:b/>
          <w:spacing w:val="0"/>
          <w:szCs w:val="24"/>
          <w:rtl/>
        </w:rPr>
        <w:t xml:space="preserve">י' </w:t>
      </w:r>
      <w:r w:rsidR="00681CAB" w:rsidRPr="003305B4">
        <w:rPr>
          <w:rFonts w:ascii="Century" w:hAnsi="Century" w:cs="Miriam" w:hint="eastAsia"/>
          <w:b/>
          <w:spacing w:val="0"/>
          <w:szCs w:val="24"/>
          <w:rtl/>
        </w:rPr>
        <w:t>וילנר</w:t>
      </w:r>
      <w:r w:rsidR="00681CAB" w:rsidRPr="003305B4">
        <w:rPr>
          <w:rtl/>
        </w:rPr>
        <w:t>,</w:t>
      </w:r>
      <w:r w:rsidR="00681CAB">
        <w:rPr>
          <w:rFonts w:hint="cs"/>
          <w:rtl/>
        </w:rPr>
        <w:t xml:space="preserve"> השופט </w:t>
      </w:r>
      <w:r w:rsidR="00681CAB" w:rsidRPr="003305B4">
        <w:rPr>
          <w:rFonts w:ascii="Century" w:hAnsi="Century" w:cs="Miriam" w:hint="cs"/>
          <w:b/>
          <w:spacing w:val="0"/>
          <w:szCs w:val="24"/>
          <w:rtl/>
        </w:rPr>
        <w:t>ע'</w:t>
      </w:r>
      <w:r w:rsidR="00681CAB" w:rsidRPr="003305B4">
        <w:rPr>
          <w:rFonts w:ascii="Century" w:hAnsi="Century" w:cs="Miriam"/>
          <w:b/>
          <w:spacing w:val="0"/>
          <w:szCs w:val="24"/>
          <w:rtl/>
        </w:rPr>
        <w:t xml:space="preserve"> </w:t>
      </w:r>
      <w:r w:rsidR="00681CAB" w:rsidRPr="003305B4">
        <w:rPr>
          <w:rFonts w:ascii="Century" w:hAnsi="Century" w:cs="Miriam" w:hint="eastAsia"/>
          <w:b/>
          <w:spacing w:val="0"/>
          <w:szCs w:val="24"/>
          <w:rtl/>
        </w:rPr>
        <w:t>גרוסקופף</w:t>
      </w:r>
      <w:r w:rsidR="00681CAB" w:rsidRPr="003305B4">
        <w:rPr>
          <w:rtl/>
        </w:rPr>
        <w:t xml:space="preserve">, </w:t>
      </w:r>
      <w:r w:rsidR="00681CAB">
        <w:rPr>
          <w:rFonts w:hint="cs"/>
          <w:rtl/>
        </w:rPr>
        <w:t xml:space="preserve">השופט </w:t>
      </w:r>
      <w:r w:rsidR="00681CAB" w:rsidRPr="003305B4">
        <w:rPr>
          <w:rFonts w:ascii="Century" w:hAnsi="Century" w:cs="Miriam" w:hint="cs"/>
          <w:b/>
          <w:spacing w:val="0"/>
          <w:szCs w:val="24"/>
          <w:rtl/>
        </w:rPr>
        <w:t xml:space="preserve">א' </w:t>
      </w:r>
      <w:r w:rsidR="00681CAB" w:rsidRPr="003305B4">
        <w:rPr>
          <w:rFonts w:ascii="Century" w:hAnsi="Century" w:cs="Miriam" w:hint="eastAsia"/>
          <w:b/>
          <w:spacing w:val="0"/>
          <w:szCs w:val="24"/>
          <w:rtl/>
        </w:rPr>
        <w:t>שטיין</w:t>
      </w:r>
      <w:r w:rsidR="00681CAB" w:rsidRPr="003305B4">
        <w:rPr>
          <w:rtl/>
        </w:rPr>
        <w:t xml:space="preserve">, </w:t>
      </w:r>
      <w:r w:rsidR="00681CAB">
        <w:rPr>
          <w:rFonts w:hint="cs"/>
          <w:rtl/>
        </w:rPr>
        <w:t xml:space="preserve">השופטת </w:t>
      </w:r>
      <w:r w:rsidR="00681CAB" w:rsidRPr="003305B4">
        <w:rPr>
          <w:rFonts w:ascii="Century" w:hAnsi="Century" w:cs="Miriam" w:hint="cs"/>
          <w:b/>
          <w:spacing w:val="0"/>
          <w:szCs w:val="24"/>
          <w:rtl/>
        </w:rPr>
        <w:t xml:space="preserve">ג' </w:t>
      </w:r>
      <w:r w:rsidR="00681CAB" w:rsidRPr="003305B4">
        <w:rPr>
          <w:rFonts w:ascii="Century" w:hAnsi="Century" w:cs="Miriam" w:hint="eastAsia"/>
          <w:b/>
          <w:spacing w:val="0"/>
          <w:szCs w:val="24"/>
          <w:rtl/>
        </w:rPr>
        <w:t>כנפי</w:t>
      </w:r>
      <w:r w:rsidR="00681CAB" w:rsidRPr="003305B4">
        <w:rPr>
          <w:rFonts w:ascii="Century" w:hAnsi="Century" w:cs="Miriam"/>
          <w:b/>
          <w:spacing w:val="0"/>
          <w:szCs w:val="24"/>
          <w:rtl/>
        </w:rPr>
        <w:t>-</w:t>
      </w:r>
      <w:r w:rsidR="00681CAB" w:rsidRPr="003305B4">
        <w:rPr>
          <w:rFonts w:ascii="Century" w:hAnsi="Century" w:cs="Miriam" w:hint="eastAsia"/>
          <w:b/>
          <w:spacing w:val="0"/>
          <w:szCs w:val="24"/>
          <w:rtl/>
        </w:rPr>
        <w:t>שטייניץ</w:t>
      </w:r>
      <w:r w:rsidR="00681CAB" w:rsidRPr="003305B4">
        <w:rPr>
          <w:rtl/>
        </w:rPr>
        <w:t xml:space="preserve">, </w:t>
      </w:r>
      <w:r w:rsidR="00681CAB">
        <w:rPr>
          <w:rFonts w:hint="cs"/>
          <w:rtl/>
        </w:rPr>
        <w:t xml:space="preserve">השופט </w:t>
      </w:r>
      <w:r w:rsidR="00681CAB" w:rsidRPr="003305B4">
        <w:rPr>
          <w:rFonts w:ascii="Century" w:hAnsi="Century" w:cs="Miriam" w:hint="cs"/>
          <w:b/>
          <w:spacing w:val="0"/>
          <w:szCs w:val="24"/>
          <w:rtl/>
        </w:rPr>
        <w:t xml:space="preserve">ח' </w:t>
      </w:r>
      <w:r w:rsidR="00681CAB" w:rsidRPr="003305B4">
        <w:rPr>
          <w:rFonts w:ascii="Century" w:hAnsi="Century" w:cs="Miriam" w:hint="eastAsia"/>
          <w:b/>
          <w:spacing w:val="0"/>
          <w:szCs w:val="24"/>
          <w:rtl/>
        </w:rPr>
        <w:t>כבוב</w:t>
      </w:r>
      <w:r w:rsidR="00681CAB" w:rsidRPr="003305B4">
        <w:rPr>
          <w:rtl/>
        </w:rPr>
        <w:t xml:space="preserve">, </w:t>
      </w:r>
      <w:r w:rsidR="00681CAB">
        <w:rPr>
          <w:rFonts w:hint="cs"/>
          <w:rtl/>
        </w:rPr>
        <w:t xml:space="preserve">השופט </w:t>
      </w:r>
      <w:r w:rsidR="00681CAB" w:rsidRPr="003305B4">
        <w:rPr>
          <w:rFonts w:ascii="Century" w:hAnsi="Century" w:cs="Miriam" w:hint="cs"/>
          <w:b/>
          <w:spacing w:val="0"/>
          <w:szCs w:val="24"/>
          <w:rtl/>
        </w:rPr>
        <w:t xml:space="preserve">י' </w:t>
      </w:r>
      <w:r w:rsidR="00681CAB" w:rsidRPr="003305B4">
        <w:rPr>
          <w:rFonts w:ascii="Century" w:hAnsi="Century" w:cs="Miriam" w:hint="eastAsia"/>
          <w:b/>
          <w:spacing w:val="0"/>
          <w:szCs w:val="24"/>
          <w:rtl/>
        </w:rPr>
        <w:t>כשר</w:t>
      </w:r>
      <w:r w:rsidR="00681CAB" w:rsidRPr="003305B4">
        <w:rPr>
          <w:rtl/>
        </w:rPr>
        <w:t xml:space="preserve"> </w:t>
      </w:r>
      <w:r w:rsidR="00681CAB" w:rsidRPr="003305B4">
        <w:rPr>
          <w:rFonts w:hint="eastAsia"/>
          <w:rtl/>
        </w:rPr>
        <w:t>ו</w:t>
      </w:r>
      <w:r w:rsidR="00681CAB">
        <w:rPr>
          <w:rFonts w:hint="cs"/>
          <w:rtl/>
        </w:rPr>
        <w:t xml:space="preserve">השופטת </w:t>
      </w:r>
      <w:r w:rsidR="00681CAB" w:rsidRPr="003305B4">
        <w:rPr>
          <w:rFonts w:ascii="Century" w:hAnsi="Century" w:cs="Miriam" w:hint="cs"/>
          <w:b/>
          <w:spacing w:val="0"/>
          <w:szCs w:val="24"/>
          <w:rtl/>
        </w:rPr>
        <w:t xml:space="preserve">ר' </w:t>
      </w:r>
      <w:r w:rsidR="00681CAB" w:rsidRPr="003305B4">
        <w:rPr>
          <w:rFonts w:ascii="Century" w:hAnsi="Century" w:cs="Miriam" w:hint="eastAsia"/>
          <w:b/>
          <w:spacing w:val="0"/>
          <w:szCs w:val="24"/>
          <w:rtl/>
        </w:rPr>
        <w:t>רונן</w:t>
      </w:r>
      <w:r w:rsidR="00681CAB">
        <w:rPr>
          <w:rFonts w:hint="cs"/>
          <w:rtl/>
        </w:rPr>
        <w:t xml:space="preserve">, כנגד דעתם החולקת של השופט </w:t>
      </w:r>
      <w:r w:rsidR="00681CAB" w:rsidRPr="003305B4">
        <w:rPr>
          <w:rFonts w:ascii="Century" w:hAnsi="Century" w:cs="Miriam" w:hint="cs"/>
          <w:b/>
          <w:spacing w:val="0"/>
          <w:szCs w:val="24"/>
          <w:rtl/>
        </w:rPr>
        <w:t>נ' סולברג</w:t>
      </w:r>
      <w:r w:rsidR="00681CAB" w:rsidRPr="003305B4">
        <w:rPr>
          <w:rFonts w:hint="cs"/>
          <w:rtl/>
        </w:rPr>
        <w:t xml:space="preserve"> </w:t>
      </w:r>
      <w:r w:rsidR="00681CAB">
        <w:rPr>
          <w:rFonts w:hint="cs"/>
          <w:rtl/>
        </w:rPr>
        <w:t xml:space="preserve">והשופט </w:t>
      </w:r>
      <w:r w:rsidR="00681CAB" w:rsidRPr="003305B4">
        <w:rPr>
          <w:rFonts w:ascii="Century" w:hAnsi="Century" w:cs="Miriam" w:hint="cs"/>
          <w:b/>
          <w:spacing w:val="0"/>
          <w:szCs w:val="24"/>
          <w:rtl/>
        </w:rPr>
        <w:t>ד' מינץ</w:t>
      </w:r>
      <w:r w:rsidR="00681CAB">
        <w:rPr>
          <w:rFonts w:hint="cs"/>
          <w:rtl/>
        </w:rPr>
        <w:t xml:space="preserve">, כי לבית משפט זה נתונה סמכות לקיים ביקורת שיפוטית על חוקי יסוד ולהתערב במקרים חריגים וקיצוניים שבהם הכנסת חרגה מסמכותה </w:t>
      </w:r>
      <w:r w:rsidR="00681CAB" w:rsidRPr="00426EAE">
        <w:rPr>
          <w:rFonts w:hint="cs"/>
          <w:rtl/>
        </w:rPr>
        <w:t xml:space="preserve">המכוננת. השופט </w:t>
      </w:r>
      <w:r w:rsidR="00681CAB" w:rsidRPr="00426EAE">
        <w:rPr>
          <w:rFonts w:ascii="Century" w:hAnsi="Century" w:cs="Miriam" w:hint="cs"/>
          <w:b/>
          <w:spacing w:val="0"/>
          <w:szCs w:val="24"/>
          <w:rtl/>
        </w:rPr>
        <w:t xml:space="preserve">י' אלרון </w:t>
      </w:r>
      <w:r w:rsidR="00681CAB" w:rsidRPr="00426EAE">
        <w:rPr>
          <w:rFonts w:ascii="Century" w:hAnsi="Century" w:hint="cs"/>
          <w:rtl/>
        </w:rPr>
        <w:t>בדעת יחיד סבור כי קיים חריג צר המאפשר ביקורת שיפוטית על חוקי יסוד רק במקרים חריגים וקיצוניים של פגיעה בזכויות היסוד של הפרט וכמוצא אחרון.</w:t>
      </w:r>
      <w:r w:rsidR="00681CAB">
        <w:rPr>
          <w:rFonts w:ascii="Century" w:hAnsi="Century" w:hint="cs"/>
          <w:rtl/>
        </w:rPr>
        <w:t xml:space="preserve"> </w:t>
      </w:r>
    </w:p>
    <w:p w:rsidR="00681CAB" w:rsidRDefault="00681CAB" w:rsidP="00681CAB">
      <w:pPr>
        <w:pStyle w:val="Ruller41"/>
        <w:rPr>
          <w:rtl/>
        </w:rPr>
      </w:pPr>
    </w:p>
    <w:p w:rsidR="00681CAB" w:rsidRPr="003305B4" w:rsidRDefault="00681CAB" w:rsidP="00681CAB">
      <w:pPr>
        <w:pStyle w:val="Ruller41"/>
        <w:rPr>
          <w:rtl/>
        </w:rPr>
      </w:pPr>
      <w:r>
        <w:rPr>
          <w:rtl/>
        </w:rPr>
        <w:tab/>
      </w:r>
      <w:r>
        <w:rPr>
          <w:rFonts w:hint="cs"/>
          <w:rtl/>
        </w:rPr>
        <w:t>כן הוחלט בדעת רוב (ה</w:t>
      </w:r>
      <w:r w:rsidRPr="003305B4">
        <w:rPr>
          <w:rFonts w:hint="eastAsia"/>
          <w:rtl/>
        </w:rPr>
        <w:t>נשיאה</w:t>
      </w:r>
      <w:r w:rsidRPr="003305B4">
        <w:rPr>
          <w:rtl/>
        </w:rPr>
        <w:t xml:space="preserve"> (</w:t>
      </w:r>
      <w:r w:rsidRPr="003305B4">
        <w:rPr>
          <w:rFonts w:hint="eastAsia"/>
          <w:rtl/>
        </w:rPr>
        <w:t>בדימ</w:t>
      </w:r>
      <w:r w:rsidRPr="003305B4">
        <w:rPr>
          <w:rtl/>
        </w:rPr>
        <w:t xml:space="preserve">') </w:t>
      </w:r>
      <w:r w:rsidRPr="003305B4">
        <w:rPr>
          <w:rFonts w:ascii="Century" w:hAnsi="Century" w:cs="Miriam" w:hint="cs"/>
          <w:b/>
          <w:spacing w:val="0"/>
          <w:szCs w:val="24"/>
          <w:rtl/>
        </w:rPr>
        <w:t xml:space="preserve">א' </w:t>
      </w:r>
      <w:r w:rsidRPr="003305B4">
        <w:rPr>
          <w:rFonts w:ascii="Century" w:hAnsi="Century" w:cs="Miriam" w:hint="eastAsia"/>
          <w:b/>
          <w:spacing w:val="0"/>
          <w:szCs w:val="24"/>
          <w:rtl/>
        </w:rPr>
        <w:t>חיות</w:t>
      </w:r>
      <w:r w:rsidRPr="003305B4">
        <w:rPr>
          <w:rtl/>
        </w:rPr>
        <w:t xml:space="preserve">, </w:t>
      </w:r>
      <w:r w:rsidRPr="003305B4">
        <w:rPr>
          <w:rFonts w:hint="eastAsia"/>
          <w:rtl/>
        </w:rPr>
        <w:t>ממלא</w:t>
      </w:r>
      <w:r w:rsidRPr="003305B4">
        <w:rPr>
          <w:rtl/>
        </w:rPr>
        <w:t xml:space="preserve"> </w:t>
      </w:r>
      <w:r w:rsidRPr="003305B4">
        <w:rPr>
          <w:rFonts w:hint="eastAsia"/>
          <w:rtl/>
        </w:rPr>
        <w:t>מקום</w:t>
      </w:r>
      <w:r w:rsidRPr="003305B4">
        <w:rPr>
          <w:rtl/>
        </w:rPr>
        <w:t xml:space="preserve"> </w:t>
      </w:r>
      <w:r w:rsidRPr="003305B4">
        <w:rPr>
          <w:rFonts w:hint="eastAsia"/>
          <w:rtl/>
        </w:rPr>
        <w:t>הנשיא</w:t>
      </w:r>
      <w:r w:rsidRPr="003305B4">
        <w:rPr>
          <w:rtl/>
        </w:rPr>
        <w:t xml:space="preserve"> </w:t>
      </w:r>
      <w:r w:rsidRPr="003305B4">
        <w:rPr>
          <w:rFonts w:ascii="Century" w:hAnsi="Century" w:cs="Miriam" w:hint="cs"/>
          <w:b/>
          <w:spacing w:val="0"/>
          <w:szCs w:val="24"/>
          <w:rtl/>
        </w:rPr>
        <w:t xml:space="preserve">ע' </w:t>
      </w:r>
      <w:r w:rsidRPr="003305B4">
        <w:rPr>
          <w:rFonts w:ascii="Century" w:hAnsi="Century" w:cs="Miriam" w:hint="eastAsia"/>
          <w:b/>
          <w:spacing w:val="0"/>
          <w:szCs w:val="24"/>
          <w:rtl/>
        </w:rPr>
        <w:t>פוגלמן</w:t>
      </w:r>
      <w:r>
        <w:rPr>
          <w:rFonts w:hint="cs"/>
          <w:rtl/>
        </w:rPr>
        <w:t xml:space="preserve">, השופט </w:t>
      </w:r>
      <w:r w:rsidRPr="003305B4">
        <w:rPr>
          <w:rFonts w:ascii="Century" w:hAnsi="Century" w:cs="Miriam" w:hint="cs"/>
          <w:b/>
          <w:spacing w:val="0"/>
          <w:szCs w:val="24"/>
          <w:rtl/>
        </w:rPr>
        <w:t xml:space="preserve">י' </w:t>
      </w:r>
      <w:r w:rsidRPr="003305B4">
        <w:rPr>
          <w:rFonts w:ascii="Century" w:hAnsi="Century" w:cs="Miriam" w:hint="eastAsia"/>
          <w:b/>
          <w:spacing w:val="0"/>
          <w:szCs w:val="24"/>
          <w:rtl/>
        </w:rPr>
        <w:t>עמית</w:t>
      </w:r>
      <w:r w:rsidRPr="003305B4">
        <w:rPr>
          <w:rtl/>
        </w:rPr>
        <w:t>,</w:t>
      </w:r>
      <w:r>
        <w:rPr>
          <w:rFonts w:hint="cs"/>
          <w:rtl/>
        </w:rPr>
        <w:t xml:space="preserve"> השופטת</w:t>
      </w:r>
      <w:r w:rsidRPr="003305B4">
        <w:rPr>
          <w:rtl/>
        </w:rPr>
        <w:t xml:space="preserve"> </w:t>
      </w:r>
      <w:r w:rsidRPr="003305B4">
        <w:rPr>
          <w:rFonts w:ascii="Century" w:hAnsi="Century" w:cs="Miriam" w:hint="cs"/>
          <w:b/>
          <w:spacing w:val="0"/>
          <w:szCs w:val="24"/>
          <w:rtl/>
        </w:rPr>
        <w:t xml:space="preserve">ד' </w:t>
      </w:r>
      <w:r w:rsidRPr="003305B4">
        <w:rPr>
          <w:rFonts w:ascii="Century" w:hAnsi="Century" w:cs="Miriam" w:hint="eastAsia"/>
          <w:b/>
          <w:spacing w:val="0"/>
          <w:szCs w:val="24"/>
          <w:rtl/>
        </w:rPr>
        <w:t>ברק</w:t>
      </w:r>
      <w:r w:rsidRPr="003305B4">
        <w:rPr>
          <w:rFonts w:ascii="Century" w:hAnsi="Century" w:cs="Miriam"/>
          <w:b/>
          <w:spacing w:val="0"/>
          <w:szCs w:val="24"/>
          <w:rtl/>
        </w:rPr>
        <w:t>-</w:t>
      </w:r>
      <w:r w:rsidRPr="003305B4">
        <w:rPr>
          <w:rFonts w:ascii="Century" w:hAnsi="Century" w:cs="Miriam" w:hint="eastAsia"/>
          <w:b/>
          <w:spacing w:val="0"/>
          <w:szCs w:val="24"/>
          <w:rtl/>
        </w:rPr>
        <w:t>ארז</w:t>
      </w:r>
      <w:r w:rsidRPr="003305B4">
        <w:rPr>
          <w:rtl/>
        </w:rPr>
        <w:t xml:space="preserve">, </w:t>
      </w:r>
      <w:r>
        <w:rPr>
          <w:rFonts w:hint="cs"/>
          <w:rtl/>
        </w:rPr>
        <w:t xml:space="preserve">השופטת (בדימ') </w:t>
      </w:r>
      <w:r w:rsidRPr="003305B4">
        <w:rPr>
          <w:rFonts w:ascii="Century" w:hAnsi="Century" w:cs="Miriam" w:hint="cs"/>
          <w:b/>
          <w:spacing w:val="0"/>
          <w:szCs w:val="24"/>
          <w:rtl/>
        </w:rPr>
        <w:t>ע' ברון</w:t>
      </w:r>
      <w:r w:rsidRPr="003305B4">
        <w:rPr>
          <w:rtl/>
        </w:rPr>
        <w:t xml:space="preserve">, </w:t>
      </w:r>
      <w:r>
        <w:rPr>
          <w:rFonts w:hint="cs"/>
          <w:rtl/>
        </w:rPr>
        <w:t xml:space="preserve">השופט </w:t>
      </w:r>
      <w:r w:rsidRPr="003305B4">
        <w:rPr>
          <w:rFonts w:ascii="Century" w:hAnsi="Century" w:cs="Miriam" w:hint="cs"/>
          <w:b/>
          <w:spacing w:val="0"/>
          <w:szCs w:val="24"/>
          <w:rtl/>
        </w:rPr>
        <w:t>ע'</w:t>
      </w:r>
      <w:r w:rsidRPr="003305B4">
        <w:rPr>
          <w:rFonts w:ascii="Century" w:hAnsi="Century" w:cs="Miriam"/>
          <w:b/>
          <w:spacing w:val="0"/>
          <w:szCs w:val="24"/>
          <w:rtl/>
        </w:rPr>
        <w:t xml:space="preserve"> </w:t>
      </w:r>
      <w:r w:rsidRPr="003305B4">
        <w:rPr>
          <w:rFonts w:ascii="Century" w:hAnsi="Century" w:cs="Miriam" w:hint="eastAsia"/>
          <w:b/>
          <w:spacing w:val="0"/>
          <w:szCs w:val="24"/>
          <w:rtl/>
        </w:rPr>
        <w:t>גרוסקופף</w:t>
      </w:r>
      <w:r w:rsidRPr="003305B4">
        <w:rPr>
          <w:rtl/>
        </w:rPr>
        <w:t xml:space="preserve">, </w:t>
      </w:r>
      <w:r>
        <w:rPr>
          <w:rFonts w:hint="cs"/>
          <w:rtl/>
        </w:rPr>
        <w:t xml:space="preserve">השופט </w:t>
      </w:r>
      <w:r w:rsidRPr="003305B4">
        <w:rPr>
          <w:rFonts w:ascii="Century" w:hAnsi="Century" w:cs="Miriam" w:hint="cs"/>
          <w:b/>
          <w:spacing w:val="0"/>
          <w:szCs w:val="24"/>
          <w:rtl/>
        </w:rPr>
        <w:t xml:space="preserve">ח' </w:t>
      </w:r>
      <w:r w:rsidRPr="003305B4">
        <w:rPr>
          <w:rFonts w:ascii="Century" w:hAnsi="Century" w:cs="Miriam" w:hint="eastAsia"/>
          <w:b/>
          <w:spacing w:val="0"/>
          <w:szCs w:val="24"/>
          <w:rtl/>
        </w:rPr>
        <w:t>כבוב</w:t>
      </w:r>
      <w:r w:rsidRPr="003305B4">
        <w:rPr>
          <w:rFonts w:hint="cs"/>
          <w:rtl/>
        </w:rPr>
        <w:t xml:space="preserve"> </w:t>
      </w:r>
      <w:r w:rsidRPr="003305B4">
        <w:rPr>
          <w:rFonts w:hint="eastAsia"/>
          <w:rtl/>
        </w:rPr>
        <w:t>ו</w:t>
      </w:r>
      <w:r>
        <w:rPr>
          <w:rFonts w:hint="cs"/>
          <w:rtl/>
        </w:rPr>
        <w:t xml:space="preserve">השופטת </w:t>
      </w:r>
      <w:r w:rsidRPr="003305B4">
        <w:rPr>
          <w:rFonts w:ascii="Century" w:hAnsi="Century" w:cs="Miriam" w:hint="cs"/>
          <w:b/>
          <w:spacing w:val="0"/>
          <w:szCs w:val="24"/>
          <w:rtl/>
        </w:rPr>
        <w:t xml:space="preserve">ר' </w:t>
      </w:r>
      <w:r w:rsidRPr="003305B4">
        <w:rPr>
          <w:rFonts w:ascii="Century" w:hAnsi="Century" w:cs="Miriam" w:hint="eastAsia"/>
          <w:b/>
          <w:spacing w:val="0"/>
          <w:szCs w:val="24"/>
          <w:rtl/>
        </w:rPr>
        <w:t>רונן</w:t>
      </w:r>
      <w:r>
        <w:rPr>
          <w:rFonts w:hint="cs"/>
          <w:rtl/>
        </w:rPr>
        <w:t>)</w:t>
      </w:r>
      <w:r w:rsidRPr="003305B4">
        <w:rPr>
          <w:rFonts w:hint="cs"/>
          <w:rtl/>
        </w:rPr>
        <w:t xml:space="preserve"> </w:t>
      </w:r>
      <w:r>
        <w:rPr>
          <w:rFonts w:hint="cs"/>
          <w:rtl/>
        </w:rPr>
        <w:t xml:space="preserve">כי תיקון מס' 3 לחוק-יסוד: השפיטה חורג מסמכותה המכוננת של הכנסת, ומשכך יש להכריז על בטלותו. השופטת </w:t>
      </w:r>
      <w:r w:rsidRPr="003305B4">
        <w:rPr>
          <w:rFonts w:ascii="Century" w:hAnsi="Century" w:cs="Miriam" w:hint="cs"/>
          <w:b/>
          <w:spacing w:val="0"/>
          <w:szCs w:val="24"/>
          <w:rtl/>
        </w:rPr>
        <w:t>י' וילנר</w:t>
      </w:r>
      <w:r>
        <w:rPr>
          <w:rFonts w:ascii="Century" w:hAnsi="Century" w:cs="Miriam" w:hint="cs"/>
          <w:b/>
          <w:spacing w:val="0"/>
          <w:szCs w:val="24"/>
          <w:rtl/>
        </w:rPr>
        <w:t xml:space="preserve"> </w:t>
      </w:r>
      <w:r>
        <w:rPr>
          <w:rFonts w:ascii="Century" w:hAnsi="Century" w:hint="cs"/>
          <w:rtl/>
        </w:rPr>
        <w:t xml:space="preserve">סברה כי יש להעניק לתיקון פרשנות מקיימת, חלף פרשנות העלולה להביא לביטולו. </w:t>
      </w:r>
      <w:r>
        <w:rPr>
          <w:rFonts w:hint="cs"/>
          <w:rtl/>
        </w:rPr>
        <w:t xml:space="preserve">השופטים </w:t>
      </w:r>
      <w:r w:rsidRPr="003305B4">
        <w:rPr>
          <w:rFonts w:ascii="Century" w:hAnsi="Century" w:cs="Miriam" w:hint="cs"/>
          <w:b/>
          <w:spacing w:val="0"/>
          <w:szCs w:val="24"/>
          <w:rtl/>
        </w:rPr>
        <w:t>א' שטיין</w:t>
      </w:r>
      <w:r w:rsidRPr="003305B4">
        <w:rPr>
          <w:rFonts w:hint="cs"/>
          <w:rtl/>
        </w:rPr>
        <w:t xml:space="preserve"> </w:t>
      </w:r>
      <w:r>
        <w:rPr>
          <w:rFonts w:hint="cs"/>
          <w:rtl/>
        </w:rPr>
        <w:t>ו</w:t>
      </w:r>
      <w:r w:rsidRPr="003305B4">
        <w:rPr>
          <w:rFonts w:ascii="Century" w:hAnsi="Century" w:cs="Miriam" w:hint="cs"/>
          <w:b/>
          <w:spacing w:val="0"/>
          <w:szCs w:val="24"/>
          <w:rtl/>
        </w:rPr>
        <w:t xml:space="preserve">ג' כנפי-שטייניץ </w:t>
      </w:r>
      <w:r>
        <w:rPr>
          <w:rFonts w:hint="cs"/>
          <w:rtl/>
        </w:rPr>
        <w:t xml:space="preserve">סברו כי ניתן וראוי לפרש את התיקון באופן מצמצם ועל כן, אין מקום להתערב בו. </w:t>
      </w:r>
      <w:r w:rsidRPr="003305B4">
        <w:rPr>
          <w:rFonts w:hint="eastAsia"/>
          <w:rtl/>
        </w:rPr>
        <w:t>השופט</w:t>
      </w:r>
      <w:r w:rsidRPr="003305B4">
        <w:rPr>
          <w:rtl/>
        </w:rPr>
        <w:t xml:space="preserve"> </w:t>
      </w:r>
      <w:r w:rsidRPr="003305B4">
        <w:rPr>
          <w:rFonts w:ascii="Century" w:hAnsi="Century" w:cs="Miriam" w:hint="cs"/>
          <w:b/>
          <w:spacing w:val="0"/>
          <w:szCs w:val="24"/>
          <w:rtl/>
        </w:rPr>
        <w:t xml:space="preserve">י' </w:t>
      </w:r>
      <w:r w:rsidRPr="003305B4">
        <w:rPr>
          <w:rFonts w:ascii="Century" w:hAnsi="Century" w:cs="Miriam" w:hint="eastAsia"/>
          <w:b/>
          <w:spacing w:val="0"/>
          <w:szCs w:val="24"/>
          <w:rtl/>
        </w:rPr>
        <w:t>כשר</w:t>
      </w:r>
      <w:r w:rsidRPr="003305B4">
        <w:rPr>
          <w:rtl/>
        </w:rPr>
        <w:t xml:space="preserve"> </w:t>
      </w:r>
      <w:r w:rsidRPr="00DE405B">
        <w:rPr>
          <w:rFonts w:hint="cs"/>
          <w:rtl/>
        </w:rPr>
        <w:t>נמנע מלהכריע בשאלה האם</w:t>
      </w:r>
      <w:r>
        <w:rPr>
          <w:rFonts w:hint="cs"/>
          <w:rtl/>
        </w:rPr>
        <w:t xml:space="preserve"> </w:t>
      </w:r>
      <w:r w:rsidRPr="003305B4">
        <w:rPr>
          <w:rFonts w:hint="eastAsia"/>
          <w:rtl/>
        </w:rPr>
        <w:t>ניתן</w:t>
      </w:r>
      <w:r w:rsidRPr="003305B4">
        <w:rPr>
          <w:rtl/>
        </w:rPr>
        <w:t xml:space="preserve"> </w:t>
      </w:r>
      <w:r w:rsidRPr="003305B4">
        <w:rPr>
          <w:rFonts w:hint="eastAsia"/>
          <w:rtl/>
        </w:rPr>
        <w:t>לפרש</w:t>
      </w:r>
      <w:r w:rsidRPr="003305B4">
        <w:rPr>
          <w:rtl/>
        </w:rPr>
        <w:t xml:space="preserve"> </w:t>
      </w:r>
      <w:r w:rsidRPr="003305B4">
        <w:rPr>
          <w:rFonts w:hint="eastAsia"/>
          <w:rtl/>
        </w:rPr>
        <w:t>את</w:t>
      </w:r>
      <w:r w:rsidRPr="003305B4">
        <w:rPr>
          <w:rtl/>
        </w:rPr>
        <w:t xml:space="preserve"> </w:t>
      </w:r>
      <w:r w:rsidRPr="003305B4">
        <w:rPr>
          <w:rFonts w:hint="eastAsia"/>
          <w:rtl/>
        </w:rPr>
        <w:t>התיקון</w:t>
      </w:r>
      <w:r w:rsidRPr="003305B4">
        <w:rPr>
          <w:rtl/>
        </w:rPr>
        <w:t xml:space="preserve"> </w:t>
      </w:r>
      <w:r w:rsidRPr="003305B4">
        <w:rPr>
          <w:rFonts w:hint="eastAsia"/>
          <w:rtl/>
        </w:rPr>
        <w:t>באופן</w:t>
      </w:r>
      <w:r w:rsidRPr="003305B4">
        <w:rPr>
          <w:rtl/>
        </w:rPr>
        <w:t xml:space="preserve"> </w:t>
      </w:r>
      <w:r w:rsidRPr="003305B4">
        <w:rPr>
          <w:rFonts w:hint="eastAsia"/>
          <w:rtl/>
        </w:rPr>
        <w:t>מצמצם</w:t>
      </w:r>
      <w:r w:rsidRPr="003305B4">
        <w:rPr>
          <w:rtl/>
        </w:rPr>
        <w:t xml:space="preserve">, </w:t>
      </w:r>
      <w:r>
        <w:rPr>
          <w:rFonts w:hint="cs"/>
          <w:rtl/>
        </w:rPr>
        <w:t>ו</w:t>
      </w:r>
      <w:r w:rsidRPr="00DE405B">
        <w:rPr>
          <w:rFonts w:hint="cs"/>
          <w:rtl/>
        </w:rPr>
        <w:t xml:space="preserve">עמדתו היא כי אף בלא להכריע בשאלה האמורה התיקון </w:t>
      </w:r>
      <w:r w:rsidRPr="003305B4">
        <w:rPr>
          <w:rFonts w:hint="eastAsia"/>
          <w:rtl/>
        </w:rPr>
        <w:t>אינו</w:t>
      </w:r>
      <w:r w:rsidRPr="003305B4">
        <w:rPr>
          <w:rtl/>
        </w:rPr>
        <w:t xml:space="preserve"> </w:t>
      </w:r>
      <w:r w:rsidRPr="003305B4">
        <w:rPr>
          <w:rFonts w:hint="eastAsia"/>
          <w:rtl/>
        </w:rPr>
        <w:t>מגיע</w:t>
      </w:r>
      <w:r w:rsidRPr="003305B4">
        <w:rPr>
          <w:rtl/>
        </w:rPr>
        <w:t xml:space="preserve"> </w:t>
      </w:r>
      <w:r w:rsidRPr="003305B4">
        <w:rPr>
          <w:rFonts w:hint="eastAsia"/>
          <w:rtl/>
        </w:rPr>
        <w:t>לרף</w:t>
      </w:r>
      <w:r w:rsidRPr="003305B4">
        <w:rPr>
          <w:rtl/>
        </w:rPr>
        <w:t xml:space="preserve"> </w:t>
      </w:r>
      <w:r w:rsidRPr="003305B4">
        <w:rPr>
          <w:rFonts w:hint="eastAsia"/>
          <w:rtl/>
        </w:rPr>
        <w:t>הגבוה</w:t>
      </w:r>
      <w:r w:rsidRPr="003305B4">
        <w:rPr>
          <w:rtl/>
        </w:rPr>
        <w:t xml:space="preserve"> </w:t>
      </w:r>
      <w:r w:rsidRPr="003305B4">
        <w:rPr>
          <w:rFonts w:hint="eastAsia"/>
          <w:rtl/>
        </w:rPr>
        <w:t>שמצדיק</w:t>
      </w:r>
      <w:r w:rsidRPr="003305B4">
        <w:rPr>
          <w:rtl/>
        </w:rPr>
        <w:t xml:space="preserve"> </w:t>
      </w:r>
      <w:r w:rsidRPr="003305B4">
        <w:rPr>
          <w:rFonts w:hint="eastAsia"/>
          <w:rtl/>
        </w:rPr>
        <w:t>התערבות</w:t>
      </w:r>
      <w:r w:rsidRPr="003305B4">
        <w:rPr>
          <w:rtl/>
        </w:rPr>
        <w:t xml:space="preserve"> </w:t>
      </w:r>
      <w:r w:rsidRPr="003305B4">
        <w:rPr>
          <w:rFonts w:hint="eastAsia"/>
          <w:rtl/>
        </w:rPr>
        <w:t>בחוק</w:t>
      </w:r>
      <w:r w:rsidRPr="003305B4">
        <w:rPr>
          <w:rtl/>
        </w:rPr>
        <w:t xml:space="preserve"> </w:t>
      </w:r>
      <w:r w:rsidRPr="003305B4">
        <w:rPr>
          <w:rFonts w:hint="eastAsia"/>
          <w:rtl/>
        </w:rPr>
        <w:t>יסוד</w:t>
      </w:r>
      <w:r w:rsidRPr="003305B4">
        <w:rPr>
          <w:rtl/>
        </w:rPr>
        <w:t>.</w:t>
      </w:r>
      <w:r>
        <w:rPr>
          <w:rFonts w:hint="cs"/>
          <w:rtl/>
        </w:rPr>
        <w:t xml:space="preserve"> </w:t>
      </w:r>
      <w:r w:rsidRPr="003305B4">
        <w:rPr>
          <w:rFonts w:hint="cs"/>
          <w:rtl/>
        </w:rPr>
        <w:t xml:space="preserve">השופט </w:t>
      </w:r>
      <w:r w:rsidRPr="003305B4">
        <w:rPr>
          <w:rFonts w:ascii="Century" w:hAnsi="Century" w:cs="Miriam" w:hint="cs"/>
          <w:b/>
          <w:spacing w:val="0"/>
          <w:szCs w:val="24"/>
          <w:rtl/>
        </w:rPr>
        <w:t>י' אלרון</w:t>
      </w:r>
      <w:r w:rsidRPr="003305B4">
        <w:rPr>
          <w:rFonts w:hint="cs"/>
          <w:rtl/>
        </w:rPr>
        <w:t xml:space="preserve"> </w:t>
      </w:r>
      <w:r>
        <w:rPr>
          <w:rFonts w:hint="cs"/>
          <w:rtl/>
        </w:rPr>
        <w:t>סבר</w:t>
      </w:r>
      <w:r w:rsidRPr="003305B4">
        <w:rPr>
          <w:rFonts w:hint="cs"/>
          <w:rtl/>
        </w:rPr>
        <w:t xml:space="preserve"> כי הטענות בעניין התיקון אינן בשלות להכרעה בשלב זה</w:t>
      </w:r>
      <w:r>
        <w:rPr>
          <w:rFonts w:hint="cs"/>
          <w:rtl/>
        </w:rPr>
        <w:t xml:space="preserve"> ודי בכך כדי לדחות את העתירות</w:t>
      </w:r>
      <w:r w:rsidRPr="003305B4">
        <w:rPr>
          <w:rFonts w:hint="cs"/>
          <w:rtl/>
        </w:rPr>
        <w:t xml:space="preserve">. השופטים </w:t>
      </w:r>
      <w:r>
        <w:rPr>
          <w:rFonts w:ascii="Century" w:hAnsi="Century" w:cs="Miriam" w:hint="cs"/>
          <w:b/>
          <w:spacing w:val="0"/>
          <w:szCs w:val="24"/>
          <w:rtl/>
        </w:rPr>
        <w:t xml:space="preserve">נ' </w:t>
      </w:r>
      <w:r w:rsidRPr="002E13FD">
        <w:rPr>
          <w:rFonts w:ascii="Century" w:hAnsi="Century" w:cs="Miriam" w:hint="cs"/>
          <w:b/>
          <w:spacing w:val="0"/>
          <w:szCs w:val="24"/>
          <w:rtl/>
        </w:rPr>
        <w:t>סולברג</w:t>
      </w:r>
      <w:r w:rsidRPr="002E13FD">
        <w:rPr>
          <w:rFonts w:hint="cs"/>
          <w:rtl/>
        </w:rPr>
        <w:t xml:space="preserve"> </w:t>
      </w:r>
      <w:r w:rsidRPr="003305B4">
        <w:rPr>
          <w:rFonts w:hint="cs"/>
          <w:rtl/>
        </w:rPr>
        <w:t>ו</w:t>
      </w:r>
      <w:r>
        <w:rPr>
          <w:rFonts w:ascii="Century" w:hAnsi="Century" w:cs="Miriam" w:hint="cs"/>
          <w:b/>
          <w:spacing w:val="0"/>
          <w:szCs w:val="24"/>
          <w:rtl/>
        </w:rPr>
        <w:t xml:space="preserve">ד' </w:t>
      </w:r>
      <w:r w:rsidRPr="002E13FD">
        <w:rPr>
          <w:rFonts w:ascii="Century" w:hAnsi="Century" w:cs="Miriam" w:hint="cs"/>
          <w:b/>
          <w:spacing w:val="0"/>
          <w:szCs w:val="24"/>
          <w:rtl/>
        </w:rPr>
        <w:t>מינץ</w:t>
      </w:r>
      <w:r w:rsidRPr="003305B4">
        <w:rPr>
          <w:rFonts w:hint="cs"/>
          <w:rtl/>
        </w:rPr>
        <w:t xml:space="preserve"> קבעו כי </w:t>
      </w:r>
      <w:r>
        <w:rPr>
          <w:rFonts w:hint="cs"/>
          <w:rtl/>
        </w:rPr>
        <w:t>ל</w:t>
      </w:r>
      <w:r w:rsidRPr="003305B4">
        <w:rPr>
          <w:rFonts w:hint="cs"/>
          <w:rtl/>
        </w:rPr>
        <w:t xml:space="preserve">בית המשפט </w:t>
      </w:r>
      <w:r>
        <w:rPr>
          <w:rFonts w:hint="cs"/>
          <w:rtl/>
        </w:rPr>
        <w:t xml:space="preserve">אין </w:t>
      </w:r>
      <w:r w:rsidRPr="003305B4">
        <w:rPr>
          <w:rFonts w:hint="cs"/>
          <w:rtl/>
        </w:rPr>
        <w:t xml:space="preserve">סמכות להתערב בתיקון וכי </w:t>
      </w:r>
      <w:r>
        <w:rPr>
          <w:rFonts w:hint="cs"/>
          <w:rtl/>
        </w:rPr>
        <w:t xml:space="preserve">מכל מקום </w:t>
      </w:r>
      <w:r w:rsidRPr="003305B4">
        <w:rPr>
          <w:rFonts w:hint="cs"/>
          <w:rtl/>
        </w:rPr>
        <w:t xml:space="preserve">הוא מצוי מרחק רב מהרף שנקבע על ידי שופטי הרוב להתערבות בחוקי היסוד.   </w:t>
      </w:r>
    </w:p>
    <w:p w:rsidR="00681CAB" w:rsidRDefault="00681CAB" w:rsidP="00681CAB">
      <w:pPr>
        <w:pStyle w:val="Ruller41"/>
        <w:rPr>
          <w:rtl/>
        </w:rPr>
      </w:pPr>
    </w:p>
    <w:p w:rsidR="000D4A81" w:rsidRDefault="004B636E" w:rsidP="000D4A81">
      <w:pPr>
        <w:pStyle w:val="Ruller41"/>
        <w:rPr>
          <w:rtl/>
        </w:rPr>
      </w:pPr>
      <w:r>
        <w:rPr>
          <w:rtl/>
        </w:rPr>
        <w:tab/>
      </w:r>
    </w:p>
    <w:p w:rsidR="000D4A81" w:rsidRDefault="000D4A81">
      <w:pPr>
        <w:overflowPunct/>
        <w:autoSpaceDE/>
        <w:autoSpaceDN/>
        <w:bidi w:val="0"/>
        <w:adjustRightInd/>
        <w:textAlignment w:val="auto"/>
        <w:rPr>
          <w:rFonts w:ascii="Arial TUR" w:hAnsi="Arial TUR" w:cs="FrankRuehl"/>
          <w:spacing w:val="10"/>
          <w:sz w:val="22"/>
          <w:szCs w:val="28"/>
          <w:rtl/>
        </w:rPr>
      </w:pPr>
      <w:r>
        <w:rPr>
          <w:rtl/>
        </w:rPr>
        <w:br w:type="page"/>
      </w:r>
    </w:p>
    <w:p w:rsidR="00681CAB" w:rsidRDefault="000D4A81" w:rsidP="000D4A81">
      <w:pPr>
        <w:pStyle w:val="Ruller41"/>
        <w:rPr>
          <w:rtl/>
        </w:rPr>
      </w:pPr>
      <w:r>
        <w:rPr>
          <w:rtl/>
        </w:rPr>
        <w:lastRenderedPageBreak/>
        <w:tab/>
      </w:r>
      <w:r w:rsidR="00681CAB">
        <w:rPr>
          <w:rFonts w:hint="cs"/>
          <w:rtl/>
        </w:rPr>
        <w:t>אשר על כן, העתירות מתקבלות במובן זה שיוכרז על בטלותו של תיקון מס' 3 לחוק-יסוד: השפיטה.</w:t>
      </w:r>
    </w:p>
    <w:p w:rsidR="008E6610" w:rsidRDefault="008E6610" w:rsidP="00FF17DB">
      <w:pPr>
        <w:pStyle w:val="Ruller41"/>
        <w:rPr>
          <w:rtl/>
        </w:rPr>
      </w:pPr>
    </w:p>
    <w:p w:rsidR="00D62B07" w:rsidRDefault="008C700B" w:rsidP="00FF17DB">
      <w:pPr>
        <w:pStyle w:val="Ruller41"/>
        <w:rPr>
          <w:rtl/>
        </w:rPr>
      </w:pPr>
      <w:r>
        <w:rPr>
          <w:rtl/>
        </w:rPr>
        <w:tab/>
        <w:t>נית</w:t>
      </w:r>
      <w:r>
        <w:rPr>
          <w:rFonts w:hint="cs"/>
          <w:rtl/>
        </w:rPr>
        <w:t>ן</w:t>
      </w:r>
      <w:r>
        <w:rPr>
          <w:rtl/>
        </w:rPr>
        <w:t xml:space="preserve"> היום, </w:t>
      </w:r>
      <w:r>
        <w:rPr>
          <w:rFonts w:hint="eastAsia"/>
          <w:rtl/>
        </w:rPr>
        <w:t>‏כ</w:t>
      </w:r>
      <w:r>
        <w:rPr>
          <w:rtl/>
        </w:rPr>
        <w:t>' בטבת התשפ"ד (</w:t>
      </w:r>
      <w:r>
        <w:rPr>
          <w:rFonts w:hint="eastAsia"/>
          <w:rtl/>
        </w:rPr>
        <w:t>‏</w:t>
      </w:r>
      <w:r>
        <w:rPr>
          <w:rtl/>
        </w:rPr>
        <w:t>1.1.2024).</w:t>
      </w:r>
    </w:p>
    <w:p w:rsidR="008C700B" w:rsidRDefault="008C700B" w:rsidP="00FF17DB">
      <w:pPr>
        <w:pStyle w:val="Ruller41"/>
        <w:rPr>
          <w:rtl/>
        </w:rPr>
      </w:pPr>
    </w:p>
    <w:p w:rsidR="00844B0E" w:rsidRDefault="00844B0E" w:rsidP="00FF17DB">
      <w:pPr>
        <w:pStyle w:val="Ruller41"/>
        <w:rPr>
          <w:rtl/>
        </w:rPr>
      </w:pPr>
    </w:p>
    <w:p w:rsidR="003F3398" w:rsidRDefault="003F3398" w:rsidP="00FF17DB">
      <w:pPr>
        <w:pStyle w:val="Ruller41"/>
        <w:rPr>
          <w:rtl/>
        </w:rPr>
      </w:pPr>
    </w:p>
    <w:tbl>
      <w:tblPr>
        <w:bidiVisual/>
        <w:tblW w:w="8363" w:type="dxa"/>
        <w:tblLook w:val="01E0" w:firstRow="1" w:lastRow="1" w:firstColumn="1" w:lastColumn="1" w:noHBand="0" w:noVBand="0"/>
      </w:tblPr>
      <w:tblGrid>
        <w:gridCol w:w="2793"/>
        <w:gridCol w:w="2791"/>
        <w:gridCol w:w="2779"/>
      </w:tblGrid>
      <w:tr w:rsidR="003F3398" w:rsidTr="00DD4ADA">
        <w:tc>
          <w:tcPr>
            <w:tcW w:w="2842" w:type="dxa"/>
            <w:shd w:val="clear" w:color="auto" w:fill="auto"/>
          </w:tcPr>
          <w:p w:rsidR="003F3398" w:rsidRDefault="003C355E" w:rsidP="00DD4ADA">
            <w:pPr>
              <w:pStyle w:val="Ruller41"/>
              <w:rPr>
                <w:rtl/>
              </w:rPr>
            </w:pPr>
            <w:r w:rsidRPr="00267280">
              <w:rPr>
                <w:rtl/>
              </w:rPr>
              <w:t>הנשיאה</w:t>
            </w:r>
            <w:r>
              <w:rPr>
                <w:rFonts w:hint="cs"/>
                <w:rtl/>
              </w:rPr>
              <w:t xml:space="preserve"> (בדימ')</w:t>
            </w:r>
          </w:p>
        </w:tc>
        <w:tc>
          <w:tcPr>
            <w:tcW w:w="2843" w:type="dxa"/>
            <w:shd w:val="clear" w:color="auto" w:fill="auto"/>
          </w:tcPr>
          <w:p w:rsidR="003F3398" w:rsidRDefault="000E5C50" w:rsidP="00DD4ADA">
            <w:pPr>
              <w:pStyle w:val="Ruller41"/>
              <w:jc w:val="center"/>
              <w:rPr>
                <w:rtl/>
              </w:rPr>
            </w:pPr>
            <w:r>
              <w:rPr>
                <w:rFonts w:hint="cs"/>
                <w:rtl/>
              </w:rPr>
              <w:t>מ"מ</w:t>
            </w:r>
            <w:r w:rsidR="003F3398">
              <w:rPr>
                <w:rFonts w:hint="cs"/>
                <w:rtl/>
              </w:rPr>
              <w:t xml:space="preserve"> הנשיא</w:t>
            </w:r>
          </w:p>
        </w:tc>
        <w:tc>
          <w:tcPr>
            <w:tcW w:w="2843" w:type="dxa"/>
            <w:shd w:val="clear" w:color="auto" w:fill="auto"/>
          </w:tcPr>
          <w:p w:rsidR="003F3398" w:rsidRDefault="003F3398" w:rsidP="00DD4ADA">
            <w:pPr>
              <w:pStyle w:val="Ruller41"/>
              <w:jc w:val="center"/>
              <w:rPr>
                <w:rtl/>
              </w:rPr>
            </w:pPr>
            <w:r>
              <w:rPr>
                <w:rtl/>
              </w:rPr>
              <w:t>ש ו פ ט</w:t>
            </w:r>
          </w:p>
        </w:tc>
      </w:tr>
    </w:tbl>
    <w:p w:rsidR="003F3398" w:rsidRDefault="003F3398" w:rsidP="003F3398">
      <w:pPr>
        <w:pStyle w:val="Ruller41"/>
        <w:rPr>
          <w:rtl/>
        </w:rPr>
      </w:pPr>
    </w:p>
    <w:p w:rsidR="003F3398" w:rsidRDefault="003F3398" w:rsidP="003F3398">
      <w:pPr>
        <w:pStyle w:val="Ruller41"/>
        <w:rPr>
          <w:rtl/>
        </w:rPr>
      </w:pPr>
    </w:p>
    <w:p w:rsidR="003F3398" w:rsidRDefault="003F3398" w:rsidP="003F3398">
      <w:pPr>
        <w:pStyle w:val="Ruller41"/>
        <w:rPr>
          <w:rtl/>
        </w:rPr>
      </w:pPr>
    </w:p>
    <w:tbl>
      <w:tblPr>
        <w:bidiVisual/>
        <w:tblW w:w="8363" w:type="dxa"/>
        <w:tblLook w:val="01E0" w:firstRow="1" w:lastRow="1" w:firstColumn="1" w:lastColumn="1" w:noHBand="0" w:noVBand="0"/>
      </w:tblPr>
      <w:tblGrid>
        <w:gridCol w:w="2783"/>
        <w:gridCol w:w="2783"/>
        <w:gridCol w:w="2797"/>
      </w:tblGrid>
      <w:tr w:rsidR="003F3398" w:rsidTr="00DD4ADA">
        <w:tc>
          <w:tcPr>
            <w:tcW w:w="2842" w:type="dxa"/>
            <w:shd w:val="clear" w:color="auto" w:fill="auto"/>
          </w:tcPr>
          <w:p w:rsidR="003F3398" w:rsidRDefault="003F3398" w:rsidP="00DD4ADA">
            <w:pPr>
              <w:pStyle w:val="Ruller41"/>
              <w:rPr>
                <w:rtl/>
              </w:rPr>
            </w:pPr>
            <w:r>
              <w:rPr>
                <w:rtl/>
              </w:rPr>
              <w:t>ש ו פ ט</w:t>
            </w:r>
          </w:p>
        </w:tc>
        <w:tc>
          <w:tcPr>
            <w:tcW w:w="2843" w:type="dxa"/>
            <w:shd w:val="clear" w:color="auto" w:fill="auto"/>
          </w:tcPr>
          <w:p w:rsidR="003F3398" w:rsidRDefault="003F3398" w:rsidP="00DD4ADA">
            <w:pPr>
              <w:pStyle w:val="Ruller41"/>
              <w:jc w:val="center"/>
              <w:rPr>
                <w:rtl/>
              </w:rPr>
            </w:pPr>
            <w:r>
              <w:rPr>
                <w:rtl/>
              </w:rPr>
              <w:t>ש ו פ ט</w:t>
            </w:r>
            <w:r>
              <w:rPr>
                <w:rFonts w:hint="cs"/>
                <w:rtl/>
              </w:rPr>
              <w:t xml:space="preserve"> ת</w:t>
            </w:r>
          </w:p>
        </w:tc>
        <w:tc>
          <w:tcPr>
            <w:tcW w:w="2843" w:type="dxa"/>
            <w:shd w:val="clear" w:color="auto" w:fill="auto"/>
          </w:tcPr>
          <w:p w:rsidR="003F3398" w:rsidRDefault="00744D40" w:rsidP="00DD4ADA">
            <w:pPr>
              <w:pStyle w:val="Ruller41"/>
              <w:jc w:val="center"/>
              <w:rPr>
                <w:rtl/>
              </w:rPr>
            </w:pPr>
            <w:r>
              <w:rPr>
                <w:rFonts w:hint="cs"/>
                <w:rtl/>
              </w:rPr>
              <w:t>ש ו פ ט ת (בדימ')</w:t>
            </w:r>
          </w:p>
        </w:tc>
      </w:tr>
    </w:tbl>
    <w:p w:rsidR="003F3398" w:rsidRDefault="003F3398" w:rsidP="003F3398">
      <w:pPr>
        <w:pStyle w:val="Ruller41"/>
        <w:rPr>
          <w:rtl/>
        </w:rPr>
      </w:pPr>
    </w:p>
    <w:p w:rsidR="003F3398" w:rsidRDefault="003F3398" w:rsidP="003F3398">
      <w:pPr>
        <w:pStyle w:val="Ruller41"/>
        <w:rPr>
          <w:rtl/>
        </w:rPr>
      </w:pPr>
    </w:p>
    <w:p w:rsidR="003F3398" w:rsidRDefault="003F3398" w:rsidP="003F3398">
      <w:pPr>
        <w:pStyle w:val="Ruller41"/>
        <w:rPr>
          <w:rtl/>
        </w:rPr>
      </w:pPr>
    </w:p>
    <w:tbl>
      <w:tblPr>
        <w:bidiVisual/>
        <w:tblW w:w="8363" w:type="dxa"/>
        <w:tblLook w:val="01E0" w:firstRow="1" w:lastRow="1" w:firstColumn="1" w:lastColumn="1" w:noHBand="0" w:noVBand="0"/>
      </w:tblPr>
      <w:tblGrid>
        <w:gridCol w:w="2787"/>
        <w:gridCol w:w="2788"/>
        <w:gridCol w:w="2788"/>
      </w:tblGrid>
      <w:tr w:rsidR="003F3398" w:rsidTr="00DD4ADA">
        <w:tc>
          <w:tcPr>
            <w:tcW w:w="2842" w:type="dxa"/>
            <w:shd w:val="clear" w:color="auto" w:fill="auto"/>
          </w:tcPr>
          <w:p w:rsidR="003F3398" w:rsidRDefault="003F3398" w:rsidP="00DD4ADA">
            <w:pPr>
              <w:pStyle w:val="Ruller41"/>
              <w:rPr>
                <w:rtl/>
              </w:rPr>
            </w:pPr>
            <w:r>
              <w:rPr>
                <w:rtl/>
              </w:rPr>
              <w:t>ש ו פ ט</w:t>
            </w:r>
          </w:p>
        </w:tc>
        <w:tc>
          <w:tcPr>
            <w:tcW w:w="2843" w:type="dxa"/>
            <w:shd w:val="clear" w:color="auto" w:fill="auto"/>
          </w:tcPr>
          <w:p w:rsidR="003F3398" w:rsidRDefault="003F3398" w:rsidP="00DD4ADA">
            <w:pPr>
              <w:pStyle w:val="Ruller41"/>
              <w:jc w:val="center"/>
              <w:rPr>
                <w:rtl/>
              </w:rPr>
            </w:pPr>
            <w:r>
              <w:rPr>
                <w:rtl/>
              </w:rPr>
              <w:t>ש ו פ ט</w:t>
            </w:r>
            <w:r>
              <w:rPr>
                <w:rFonts w:hint="cs"/>
                <w:rtl/>
              </w:rPr>
              <w:t xml:space="preserve"> </w:t>
            </w:r>
          </w:p>
        </w:tc>
        <w:tc>
          <w:tcPr>
            <w:tcW w:w="2843" w:type="dxa"/>
            <w:shd w:val="clear" w:color="auto" w:fill="auto"/>
          </w:tcPr>
          <w:p w:rsidR="003F3398" w:rsidRDefault="003F3398" w:rsidP="00DD4ADA">
            <w:pPr>
              <w:pStyle w:val="Ruller41"/>
              <w:jc w:val="center"/>
              <w:rPr>
                <w:rtl/>
              </w:rPr>
            </w:pPr>
            <w:r>
              <w:rPr>
                <w:rtl/>
              </w:rPr>
              <w:t>ש ו פ ט</w:t>
            </w:r>
            <w:r>
              <w:rPr>
                <w:rFonts w:hint="cs"/>
                <w:rtl/>
              </w:rPr>
              <w:t xml:space="preserve"> ת</w:t>
            </w:r>
          </w:p>
        </w:tc>
      </w:tr>
    </w:tbl>
    <w:p w:rsidR="003F3398" w:rsidRDefault="003F3398" w:rsidP="003F3398">
      <w:pPr>
        <w:pStyle w:val="Ruller41"/>
        <w:rPr>
          <w:rtl/>
        </w:rPr>
      </w:pPr>
    </w:p>
    <w:p w:rsidR="003F3398" w:rsidRDefault="003F3398" w:rsidP="003F3398">
      <w:pPr>
        <w:pStyle w:val="Ruller41"/>
        <w:rPr>
          <w:rtl/>
        </w:rPr>
      </w:pPr>
    </w:p>
    <w:p w:rsidR="003F3398" w:rsidRDefault="003F3398" w:rsidP="003F3398">
      <w:pPr>
        <w:pStyle w:val="Ruller41"/>
        <w:rPr>
          <w:rtl/>
        </w:rPr>
      </w:pPr>
    </w:p>
    <w:tbl>
      <w:tblPr>
        <w:bidiVisual/>
        <w:tblW w:w="8363" w:type="dxa"/>
        <w:tblLook w:val="01E0" w:firstRow="1" w:lastRow="1" w:firstColumn="1" w:lastColumn="1" w:noHBand="0" w:noVBand="0"/>
      </w:tblPr>
      <w:tblGrid>
        <w:gridCol w:w="2787"/>
        <w:gridCol w:w="2788"/>
        <w:gridCol w:w="2788"/>
      </w:tblGrid>
      <w:tr w:rsidR="003F3398" w:rsidTr="00DD4ADA">
        <w:tc>
          <w:tcPr>
            <w:tcW w:w="2842" w:type="dxa"/>
            <w:shd w:val="clear" w:color="auto" w:fill="auto"/>
          </w:tcPr>
          <w:p w:rsidR="003F3398" w:rsidRDefault="003F3398" w:rsidP="00DD4ADA">
            <w:pPr>
              <w:pStyle w:val="Ruller41"/>
              <w:rPr>
                <w:rtl/>
              </w:rPr>
            </w:pPr>
            <w:r>
              <w:rPr>
                <w:rtl/>
              </w:rPr>
              <w:t>ש ו פ ט</w:t>
            </w:r>
          </w:p>
        </w:tc>
        <w:tc>
          <w:tcPr>
            <w:tcW w:w="2843" w:type="dxa"/>
            <w:shd w:val="clear" w:color="auto" w:fill="auto"/>
          </w:tcPr>
          <w:p w:rsidR="003F3398" w:rsidRDefault="003F3398" w:rsidP="00DD4ADA">
            <w:pPr>
              <w:pStyle w:val="Ruller41"/>
              <w:jc w:val="center"/>
              <w:rPr>
                <w:rtl/>
              </w:rPr>
            </w:pPr>
            <w:r>
              <w:rPr>
                <w:rtl/>
              </w:rPr>
              <w:t>ש ו פ ט</w:t>
            </w:r>
            <w:r>
              <w:rPr>
                <w:rFonts w:hint="cs"/>
                <w:rtl/>
              </w:rPr>
              <w:t xml:space="preserve"> </w:t>
            </w:r>
          </w:p>
        </w:tc>
        <w:tc>
          <w:tcPr>
            <w:tcW w:w="2843" w:type="dxa"/>
            <w:shd w:val="clear" w:color="auto" w:fill="auto"/>
          </w:tcPr>
          <w:p w:rsidR="003F3398" w:rsidRDefault="003F3398" w:rsidP="00DD4ADA">
            <w:pPr>
              <w:pStyle w:val="Ruller41"/>
              <w:jc w:val="center"/>
              <w:rPr>
                <w:rtl/>
              </w:rPr>
            </w:pPr>
            <w:r>
              <w:rPr>
                <w:rtl/>
              </w:rPr>
              <w:t>ש ו פ ט</w:t>
            </w:r>
            <w:r>
              <w:rPr>
                <w:rFonts w:hint="cs"/>
                <w:rtl/>
              </w:rPr>
              <w:t xml:space="preserve"> ת</w:t>
            </w:r>
          </w:p>
        </w:tc>
      </w:tr>
    </w:tbl>
    <w:p w:rsidR="003F3398" w:rsidRDefault="003F3398" w:rsidP="003F3398">
      <w:pPr>
        <w:pStyle w:val="Ruller41"/>
        <w:rPr>
          <w:rtl/>
        </w:rPr>
      </w:pPr>
    </w:p>
    <w:p w:rsidR="003F3398" w:rsidRDefault="003F3398" w:rsidP="003F3398">
      <w:pPr>
        <w:pStyle w:val="Ruller41"/>
        <w:rPr>
          <w:rtl/>
        </w:rPr>
      </w:pPr>
    </w:p>
    <w:p w:rsidR="003F3398" w:rsidRDefault="003F3398" w:rsidP="003F3398">
      <w:pPr>
        <w:pStyle w:val="Ruller41"/>
        <w:rPr>
          <w:rtl/>
        </w:rPr>
      </w:pPr>
    </w:p>
    <w:tbl>
      <w:tblPr>
        <w:bidiVisual/>
        <w:tblW w:w="8363" w:type="dxa"/>
        <w:tblLook w:val="01E0" w:firstRow="1" w:lastRow="1" w:firstColumn="1" w:lastColumn="1" w:noHBand="0" w:noVBand="0"/>
      </w:tblPr>
      <w:tblGrid>
        <w:gridCol w:w="2787"/>
        <w:gridCol w:w="2788"/>
        <w:gridCol w:w="2788"/>
      </w:tblGrid>
      <w:tr w:rsidR="003F3398" w:rsidTr="00DD4ADA">
        <w:tc>
          <w:tcPr>
            <w:tcW w:w="2842" w:type="dxa"/>
            <w:shd w:val="clear" w:color="auto" w:fill="auto"/>
          </w:tcPr>
          <w:p w:rsidR="003F3398" w:rsidRDefault="003F3398" w:rsidP="00DD4ADA">
            <w:pPr>
              <w:pStyle w:val="Ruller41"/>
              <w:rPr>
                <w:rtl/>
              </w:rPr>
            </w:pPr>
            <w:r>
              <w:rPr>
                <w:rtl/>
              </w:rPr>
              <w:t>ש ו פ ט</w:t>
            </w:r>
          </w:p>
        </w:tc>
        <w:tc>
          <w:tcPr>
            <w:tcW w:w="2843" w:type="dxa"/>
            <w:shd w:val="clear" w:color="auto" w:fill="auto"/>
          </w:tcPr>
          <w:p w:rsidR="003F3398" w:rsidRDefault="003F3398" w:rsidP="00DD4ADA">
            <w:pPr>
              <w:pStyle w:val="Ruller41"/>
              <w:jc w:val="center"/>
              <w:rPr>
                <w:rtl/>
              </w:rPr>
            </w:pPr>
            <w:r>
              <w:rPr>
                <w:rtl/>
              </w:rPr>
              <w:t>ש ו פ ט</w:t>
            </w:r>
            <w:r>
              <w:rPr>
                <w:rFonts w:hint="cs"/>
                <w:rtl/>
              </w:rPr>
              <w:t xml:space="preserve"> </w:t>
            </w:r>
          </w:p>
        </w:tc>
        <w:tc>
          <w:tcPr>
            <w:tcW w:w="2843" w:type="dxa"/>
            <w:shd w:val="clear" w:color="auto" w:fill="auto"/>
          </w:tcPr>
          <w:p w:rsidR="003F3398" w:rsidRDefault="003F3398" w:rsidP="00DD4ADA">
            <w:pPr>
              <w:pStyle w:val="Ruller41"/>
              <w:jc w:val="center"/>
              <w:rPr>
                <w:rtl/>
              </w:rPr>
            </w:pPr>
            <w:r>
              <w:rPr>
                <w:rtl/>
              </w:rPr>
              <w:t>ש ו פ ט</w:t>
            </w:r>
            <w:r>
              <w:rPr>
                <w:rFonts w:hint="cs"/>
                <w:rtl/>
              </w:rPr>
              <w:t xml:space="preserve"> ת</w:t>
            </w:r>
          </w:p>
        </w:tc>
      </w:tr>
    </w:tbl>
    <w:p w:rsidR="00925BE3" w:rsidRDefault="00925BE3" w:rsidP="00925BE3">
      <w:pPr>
        <w:pStyle w:val="Ruller41"/>
        <w:rPr>
          <w:rtl/>
        </w:rPr>
      </w:pPr>
    </w:p>
    <w:p w:rsidR="002D3F57" w:rsidRPr="00925BE3" w:rsidRDefault="002D3F57" w:rsidP="00925BE3">
      <w:pPr>
        <w:pStyle w:val="Ruller41"/>
        <w:rPr>
          <w:rtl/>
        </w:rPr>
      </w:pPr>
    </w:p>
    <w:p w:rsidR="00C044AE" w:rsidRDefault="00C044AE" w:rsidP="00C044AE">
      <w:pPr>
        <w:rPr>
          <w:szCs w:val="16"/>
          <w:rtl/>
        </w:rPr>
      </w:pPr>
      <w:r>
        <w:rPr>
          <w:szCs w:val="16"/>
          <w:rtl/>
        </w:rPr>
        <w:t>_________________</w:t>
      </w:r>
      <w:r>
        <w:rPr>
          <w:rFonts w:hint="cs"/>
          <w:szCs w:val="16"/>
          <w:rtl/>
        </w:rPr>
        <w:t>________</w:t>
      </w:r>
    </w:p>
    <w:p w:rsidR="00C044AE" w:rsidRPr="00EF0780" w:rsidRDefault="00C044AE" w:rsidP="00C044AE">
      <w:pPr>
        <w:rPr>
          <w:szCs w:val="16"/>
          <w:rtl/>
        </w:rPr>
      </w:pPr>
      <w:r>
        <w:rPr>
          <w:sz w:val="16"/>
        </w:rPr>
        <w:t xml:space="preserve">   23056584_V031.docx</w:t>
      </w:r>
      <w:r>
        <w:rPr>
          <w:rFonts w:hint="cs"/>
          <w:szCs w:val="16"/>
          <w:rtl/>
        </w:rPr>
        <w:t xml:space="preserve"> אש</w:t>
      </w:r>
      <w:r>
        <w:rPr>
          <w:sz w:val="16"/>
        </w:rPr>
        <w:fldChar w:fldCharType="begin">
          <w:ffData>
            <w:name w:val="FileName"/>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p w:rsidR="00C044AE" w:rsidRPr="006C331D" w:rsidRDefault="00C044AE" w:rsidP="00C044AE">
      <w:pPr>
        <w:pStyle w:val="Ruller38"/>
        <w:rPr>
          <w:rtl/>
        </w:rPr>
      </w:pPr>
      <w:r>
        <w:rPr>
          <w:rtl/>
        </w:rPr>
        <w:t>מרכז מידע, טל'</w:t>
      </w:r>
      <w:r>
        <w:rPr>
          <w:rFonts w:hint="cs"/>
          <w:rtl/>
        </w:rPr>
        <w:t xml:space="preserve"> 077-2703333, 3852* ; אתר אינטרנט,  </w:t>
      </w:r>
      <w:hyperlink r:id="rId21" w:history="1">
        <w:r w:rsidRPr="00BB4C68">
          <w:rPr>
            <w:rStyle w:val="Hyperlink"/>
            <w:sz w:val="16"/>
          </w:rPr>
          <w:t>https://supreme.court.gov.il</w:t>
        </w:r>
      </w:hyperlink>
    </w:p>
    <w:p w:rsidR="003F1F97" w:rsidRDefault="003F1F97" w:rsidP="00591983">
      <w:pPr>
        <w:pStyle w:val="Ruller38"/>
        <w:rPr>
          <w:rtl/>
        </w:rPr>
      </w:pPr>
      <w:bookmarkStart w:id="93" w:name="Start_Write"/>
      <w:bookmarkEnd w:id="93"/>
    </w:p>
    <w:p w:rsidR="00C044AE" w:rsidRDefault="00C044AE" w:rsidP="00591983">
      <w:pPr>
        <w:pStyle w:val="Ruller38"/>
        <w:rPr>
          <w:rtl/>
        </w:rPr>
      </w:pPr>
    </w:p>
    <w:sectPr w:rsidR="00C044AE" w:rsidSect="00591983">
      <w:headerReference w:type="even" r:id="rId22"/>
      <w:headerReference w:type="default" r:id="rId23"/>
      <w:footerReference w:type="even" r:id="rId24"/>
      <w:headerReference w:type="first" r:id="rId25"/>
      <w:footerReference w:type="first" r:id="rId26"/>
      <w:endnotePr>
        <w:numFmt w:val="lowerLetter"/>
      </w:endnotePr>
      <w:pgSz w:w="11906" w:h="16838" w:code="9"/>
      <w:pgMar w:top="1134" w:right="1797" w:bottom="1440" w:left="1797" w:header="567" w:footer="397" w:gutter="0"/>
      <w:cols w:space="720"/>
      <w:titlePg/>
      <w:bidi/>
      <w:rtlGutter/>
    </w:sectPr>
  </w:body>
</w:document>
</file>

<file path=word/customizations.xml><?xml version="1.0" encoding="utf-8"?>
<wne:tcg xmlns:r="http://schemas.openxmlformats.org/officeDocument/2006/relationships" xmlns:wne="http://schemas.microsoft.com/office/word/2006/wordml">
  <wne:keymaps>
    <wne:keymap wne:kcmPrimary="0433">
      <wne:acd wne:acdName="acd0"/>
    </wne:keymap>
    <wne:keymap wne:kcmPrimary="0434">
      <wne:acd wne:acdName="acd1"/>
    </wne:keymap>
    <wne:keymap wne:kcmPrimary="0435">
      <wne:acd wne:acdName="acd2"/>
    </wne:keymap>
  </wne:keymaps>
  <wne:toolbars>
    <wne:acdManifest>
      <wne:acdEntry wne:acdName="acd0"/>
      <wne:acdEntry wne:acdName="acd1"/>
      <wne:acdEntry wne:acdName="acd2"/>
    </wne:acdManifest>
    <wne:toolbarData r:id="rId1"/>
  </wne:toolbars>
  <wne:acds>
    <wne:acd wne:argValue="AgBSAHUAbABsAGUAcgAgADMA" wne:acdName="acd0" wne:fciIndexBasedOn="0065"/>
    <wne:acd wne:argValue="AgBSAHUAbABsAGUAcgA0AA==" wne:acdName="acd1" wne:fciIndexBasedOn="0065"/>
    <wne:acd wne:argValue="AgBSAHUAbABsAGUAcgA1A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72F4" w:rsidRDefault="004272F4">
      <w:r>
        <w:separator/>
      </w:r>
    </w:p>
  </w:endnote>
  <w:endnote w:type="continuationSeparator" w:id="0">
    <w:p w:rsidR="004272F4" w:rsidRDefault="00427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FrankRuehl">
    <w:panose1 w:val="020E05030601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Arial TUR">
    <w:charset w:val="00"/>
    <w:family w:val="swiss"/>
    <w:pitch w:val="variable"/>
    <w:sig w:usb0="E0002EFF" w:usb1="C000785B" w:usb2="00000009" w:usb3="00000000" w:csb0="000001FF" w:csb1="00000000"/>
  </w:font>
  <w:font w:name="DavidFix">
    <w:charset w:val="B1"/>
    <w:family w:val="auto"/>
    <w:pitch w:val="variable"/>
    <w:sig w:usb0="00001801" w:usb1="00000000" w:usb2="00000000" w:usb3="00000000" w:csb0="00000020" w:csb1="00000000"/>
  </w:font>
  <w:font w:name="Guttman Yad">
    <w:panose1 w:val="02010401010101010101"/>
    <w:charset w:val="B1"/>
    <w:family w:val="auto"/>
    <w:pitch w:val="variable"/>
    <w:sig w:usb0="00000801" w:usb1="4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Hebrew">
    <w:charset w:val="00"/>
    <w:family w:val="auto"/>
    <w:pitch w:val="variable"/>
    <w:sig w:usb0="00000003" w:usb1="40000002" w:usb2="00000000" w:usb3="00000000" w:csb0="00000001" w:csb1="00000000"/>
  </w:font>
  <w:font w:name="UICTFontTextStyleBody">
    <w:charset w:val="00"/>
    <w:family w:val="roman"/>
    <w:pitch w:val="default"/>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pitch w:val="fixed"/>
    <w:sig w:usb0="00000001" w:usb1="08070000" w:usb2="00000010" w:usb3="00000000" w:csb0="00020000" w:csb1="00000000"/>
  </w:font>
  <w:font w:name="Helvetica">
    <w:panose1 w:val="020B06040202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lef">
    <w:altName w:val="Times New Roman"/>
    <w:charset w:val="B1"/>
    <w:family w:val="auto"/>
    <w:pitch w:val="variable"/>
    <w:sig w:usb0="00000807" w:usb1="40000000" w:usb2="00000000" w:usb3="00000000" w:csb0="000000B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2F4" w:rsidRDefault="004272F4">
    <w:pPr>
      <w:pStyle w:val="a3"/>
      <w:framePr w:wrap="around" w:vAnchor="text" w:hAnchor="margin" w:xAlign="center" w:y="1"/>
      <w:rPr>
        <w:rStyle w:val="a5"/>
        <w:rtl/>
      </w:rPr>
    </w:pPr>
    <w:r>
      <w:rPr>
        <w:rStyle w:val="a5"/>
        <w:rtl/>
      </w:rPr>
      <w:fldChar w:fldCharType="begin"/>
    </w:r>
    <w:r>
      <w:rPr>
        <w:rStyle w:val="a5"/>
      </w:rPr>
      <w:instrText xml:space="preserve">PAGE  </w:instrText>
    </w:r>
    <w:r>
      <w:rPr>
        <w:rStyle w:val="a5"/>
        <w:rtl/>
      </w:rPr>
      <w:fldChar w:fldCharType="separate"/>
    </w:r>
    <w:r>
      <w:rPr>
        <w:rStyle w:val="a5"/>
        <w:noProof/>
        <w:rtl/>
      </w:rPr>
      <w:t>1</w:t>
    </w:r>
    <w:r>
      <w:rPr>
        <w:rStyle w:val="a5"/>
        <w:rtl/>
      </w:rPr>
      <w:fldChar w:fldCharType="end"/>
    </w:r>
  </w:p>
  <w:p w:rsidR="004272F4" w:rsidRDefault="004272F4">
    <w:pPr>
      <w:pStyle w:val="a3"/>
      <w:rPr>
        <w:rtl/>
      </w:rPr>
    </w:pPr>
  </w:p>
  <w:p w:rsidR="004272F4" w:rsidRDefault="004272F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2F4" w:rsidRPr="00F959DB" w:rsidRDefault="004272F4" w:rsidP="00914156">
    <w:pPr>
      <w:pStyle w:val="a3"/>
      <w:bidi w:val="0"/>
      <w:jc w:val="right"/>
      <w:rPr>
        <w:sz w:val="16"/>
        <w:szCs w:val="16"/>
      </w:rPr>
    </w:pPr>
    <w:bookmarkStart w:id="94" w:name="footer_line"/>
    <w:bookmarkEnd w:id="94"/>
  </w:p>
  <w:p w:rsidR="004272F4" w:rsidRDefault="004272F4">
    <w:pPr>
      <w:pStyle w:val="a3"/>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72F4" w:rsidRDefault="004272F4">
      <w:r>
        <w:separator/>
      </w:r>
    </w:p>
  </w:footnote>
  <w:footnote w:type="continuationSeparator" w:id="0">
    <w:p w:rsidR="004272F4" w:rsidRDefault="004272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2F4" w:rsidRDefault="004272F4">
    <w:pPr>
      <w:pStyle w:val="a6"/>
      <w:framePr w:wrap="around" w:vAnchor="text" w:hAnchor="margin" w:xAlign="center" w:y="1"/>
      <w:rPr>
        <w:rStyle w:val="a5"/>
        <w:rtl/>
      </w:rPr>
    </w:pPr>
    <w:r>
      <w:rPr>
        <w:rStyle w:val="a5"/>
        <w:rtl/>
      </w:rPr>
      <w:fldChar w:fldCharType="begin"/>
    </w:r>
    <w:r>
      <w:rPr>
        <w:rStyle w:val="a5"/>
      </w:rPr>
      <w:instrText xml:space="preserve">PAGE  </w:instrText>
    </w:r>
    <w:r>
      <w:rPr>
        <w:rStyle w:val="a5"/>
        <w:rtl/>
      </w:rPr>
      <w:fldChar w:fldCharType="separate"/>
    </w:r>
    <w:r>
      <w:rPr>
        <w:rStyle w:val="a5"/>
        <w:noProof/>
        <w:rtl/>
      </w:rPr>
      <w:t>1</w:t>
    </w:r>
    <w:r>
      <w:rPr>
        <w:rStyle w:val="a5"/>
        <w:rtl/>
      </w:rPr>
      <w:fldChar w:fldCharType="end"/>
    </w:r>
  </w:p>
  <w:p w:rsidR="004272F4" w:rsidRDefault="004272F4">
    <w:pPr>
      <w:pStyle w:val="a6"/>
      <w:rPr>
        <w:rtl/>
      </w:rPr>
    </w:pPr>
  </w:p>
  <w:p w:rsidR="004272F4" w:rsidRDefault="004272F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2F4" w:rsidRDefault="004272F4">
    <w:pPr>
      <w:pStyle w:val="a6"/>
      <w:framePr w:wrap="around" w:vAnchor="text" w:hAnchor="margin" w:xAlign="center" w:y="1"/>
      <w:rPr>
        <w:rStyle w:val="a5"/>
        <w:rtl/>
      </w:rPr>
    </w:pPr>
    <w:r>
      <w:rPr>
        <w:rStyle w:val="a5"/>
        <w:rtl/>
      </w:rPr>
      <w:fldChar w:fldCharType="begin"/>
    </w:r>
    <w:r>
      <w:rPr>
        <w:rStyle w:val="a5"/>
      </w:rPr>
      <w:instrText xml:space="preserve">PAGE  </w:instrText>
    </w:r>
    <w:r>
      <w:rPr>
        <w:rStyle w:val="a5"/>
        <w:rtl/>
      </w:rPr>
      <w:fldChar w:fldCharType="separate"/>
    </w:r>
    <w:r w:rsidR="000D4A81">
      <w:rPr>
        <w:rStyle w:val="a5"/>
        <w:noProof/>
        <w:rtl/>
      </w:rPr>
      <w:t>741</w:t>
    </w:r>
    <w:r>
      <w:rPr>
        <w:rStyle w:val="a5"/>
        <w:rtl/>
      </w:rPr>
      <w:fldChar w:fldCharType="end"/>
    </w:r>
  </w:p>
  <w:p w:rsidR="004272F4" w:rsidRDefault="004272F4">
    <w:pPr>
      <w:pStyle w:val="a6"/>
      <w:rPr>
        <w:rtl/>
      </w:rPr>
    </w:pPr>
  </w:p>
  <w:p w:rsidR="004272F4" w:rsidRDefault="004272F4"/>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8363" w:type="dxa"/>
      <w:tblLook w:val="0000" w:firstRow="0" w:lastRow="0" w:firstColumn="0" w:lastColumn="0" w:noHBand="0" w:noVBand="0"/>
    </w:tblPr>
    <w:tblGrid>
      <w:gridCol w:w="8363"/>
    </w:tblGrid>
    <w:tr w:rsidR="004272F4" w:rsidTr="00EC23AC">
      <w:trPr>
        <w:trHeight w:val="342"/>
      </w:trPr>
      <w:tc>
        <w:tcPr>
          <w:tcW w:w="9828" w:type="dxa"/>
        </w:tcPr>
        <w:p w:rsidR="004272F4" w:rsidRPr="002F7BB6" w:rsidRDefault="004272F4" w:rsidP="00045B4D">
          <w:pPr>
            <w:pStyle w:val="Casenameintextbody"/>
            <w:jc w:val="center"/>
            <w:rPr>
              <w:u w:val="none"/>
              <w:rtl/>
            </w:rPr>
          </w:pPr>
          <w:r w:rsidRPr="002F7BB6">
            <w:rPr>
              <w:noProof/>
              <w:sz w:val="16"/>
              <w:szCs w:val="18"/>
              <w:u w:val="none"/>
              <w:rtl/>
            </w:rPr>
            <w:drawing>
              <wp:inline distT="0" distB="0" distL="0" distR="0">
                <wp:extent cx="464820" cy="449580"/>
                <wp:effectExtent l="0" t="0" r="0" b="762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4820" cy="449580"/>
                        </a:xfrm>
                        <a:prstGeom prst="rect">
                          <a:avLst/>
                        </a:prstGeom>
                        <a:noFill/>
                        <a:ln>
                          <a:noFill/>
                        </a:ln>
                      </pic:spPr>
                    </pic:pic>
                  </a:graphicData>
                </a:graphic>
              </wp:inline>
            </w:drawing>
          </w:r>
        </w:p>
      </w:tc>
    </w:tr>
  </w:tbl>
  <w:p w:rsidR="004272F4" w:rsidRDefault="004272F4" w:rsidP="00045B4D">
    <w:pPr>
      <w:pStyle w:val="a6"/>
      <w:jc w:val="center"/>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77A4F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EB8EE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6485F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83003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204653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1CCE6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10264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1A09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7046C2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B800B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A6001B"/>
    <w:multiLevelType w:val="hybridMultilevel"/>
    <w:tmpl w:val="CA747176"/>
    <w:lvl w:ilvl="0" w:tplc="06BE2338">
      <w:start w:val="1"/>
      <w:numFmt w:val="decimal"/>
      <w:pStyle w:val="Ruller4"/>
      <w:lvlText w:val="%1."/>
      <w:lvlJc w:val="left"/>
      <w:pPr>
        <w:tabs>
          <w:tab w:val="num" w:pos="907"/>
        </w:tabs>
        <w:ind w:left="0" w:firstLine="0"/>
      </w:pPr>
      <w:rPr>
        <w:rFonts w:ascii="Century" w:hAnsi="Century" w:cs="FrankRuehl" w:hint="default"/>
        <w:b w:val="0"/>
        <w:bCs w:val="0"/>
        <w:i w:val="0"/>
        <w:iCs w:val="0"/>
        <w:caps w:val="0"/>
        <w:smallCaps w:val="0"/>
        <w:strike w:val="0"/>
        <w:dstrike w:val="0"/>
        <w:outline w:val="0"/>
        <w:shadow w:val="0"/>
        <w:emboss w:val="0"/>
        <w:imprint w:val="0"/>
        <w:vanish w:val="0"/>
        <w:color w:val="auto"/>
        <w:spacing w:val="10"/>
        <w:w w:val="100"/>
        <w:kern w:val="0"/>
        <w:position w:val="0"/>
        <w:sz w:val="22"/>
        <w:szCs w:val="28"/>
        <w:u w:val="none"/>
        <w:effect w:val="none"/>
        <w:vertAlign w:val="baseline"/>
      </w:rPr>
    </w:lvl>
    <w:lvl w:ilvl="1" w:tplc="04090013">
      <w:start w:val="1"/>
      <w:numFmt w:val="hebrew1"/>
      <w:lvlText w:val="%2."/>
      <w:lvlJc w:val="center"/>
      <w:pPr>
        <w:tabs>
          <w:tab w:val="num" w:pos="1440"/>
        </w:tabs>
        <w:ind w:left="1440" w:hanging="360"/>
      </w:pPr>
    </w:lvl>
    <w:lvl w:ilvl="2" w:tplc="A2D40BEE" w:tentative="1">
      <w:start w:val="1"/>
      <w:numFmt w:val="lowerRoman"/>
      <w:lvlText w:val="%3."/>
      <w:lvlJc w:val="right"/>
      <w:pPr>
        <w:tabs>
          <w:tab w:val="num" w:pos="2160"/>
        </w:tabs>
        <w:ind w:left="2160" w:hanging="180"/>
      </w:pPr>
    </w:lvl>
    <w:lvl w:ilvl="3" w:tplc="FF46CEB0" w:tentative="1">
      <w:start w:val="1"/>
      <w:numFmt w:val="decimal"/>
      <w:lvlText w:val="%4."/>
      <w:lvlJc w:val="left"/>
      <w:pPr>
        <w:tabs>
          <w:tab w:val="num" w:pos="2880"/>
        </w:tabs>
        <w:ind w:left="2880" w:hanging="360"/>
      </w:pPr>
    </w:lvl>
    <w:lvl w:ilvl="4" w:tplc="B6707398" w:tentative="1">
      <w:start w:val="1"/>
      <w:numFmt w:val="lowerLetter"/>
      <w:lvlText w:val="%5."/>
      <w:lvlJc w:val="left"/>
      <w:pPr>
        <w:tabs>
          <w:tab w:val="num" w:pos="3600"/>
        </w:tabs>
        <w:ind w:left="3600" w:hanging="360"/>
      </w:pPr>
    </w:lvl>
    <w:lvl w:ilvl="5" w:tplc="EB302C88" w:tentative="1">
      <w:start w:val="1"/>
      <w:numFmt w:val="lowerRoman"/>
      <w:lvlText w:val="%6."/>
      <w:lvlJc w:val="right"/>
      <w:pPr>
        <w:tabs>
          <w:tab w:val="num" w:pos="4320"/>
        </w:tabs>
        <w:ind w:left="4320" w:hanging="180"/>
      </w:pPr>
    </w:lvl>
    <w:lvl w:ilvl="6" w:tplc="CC684E9A" w:tentative="1">
      <w:start w:val="1"/>
      <w:numFmt w:val="decimal"/>
      <w:lvlText w:val="%7."/>
      <w:lvlJc w:val="left"/>
      <w:pPr>
        <w:tabs>
          <w:tab w:val="num" w:pos="5040"/>
        </w:tabs>
        <w:ind w:left="5040" w:hanging="360"/>
      </w:pPr>
    </w:lvl>
    <w:lvl w:ilvl="7" w:tplc="E36AF616" w:tentative="1">
      <w:start w:val="1"/>
      <w:numFmt w:val="lowerLetter"/>
      <w:lvlText w:val="%8."/>
      <w:lvlJc w:val="left"/>
      <w:pPr>
        <w:tabs>
          <w:tab w:val="num" w:pos="5760"/>
        </w:tabs>
        <w:ind w:left="5760" w:hanging="360"/>
      </w:pPr>
    </w:lvl>
    <w:lvl w:ilvl="8" w:tplc="6A2C9CE2" w:tentative="1">
      <w:start w:val="1"/>
      <w:numFmt w:val="lowerRoman"/>
      <w:lvlText w:val="%9."/>
      <w:lvlJc w:val="right"/>
      <w:pPr>
        <w:tabs>
          <w:tab w:val="num" w:pos="6480"/>
        </w:tabs>
        <w:ind w:left="6480" w:hanging="180"/>
      </w:pPr>
    </w:lvl>
  </w:abstractNum>
  <w:abstractNum w:abstractNumId="11" w15:restartNumberingAfterBreak="0">
    <w:nsid w:val="0CFD7418"/>
    <w:multiLevelType w:val="hybridMultilevel"/>
    <w:tmpl w:val="DB96967A"/>
    <w:lvl w:ilvl="0" w:tplc="65642D3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297CA0"/>
    <w:multiLevelType w:val="hybridMultilevel"/>
    <w:tmpl w:val="001A64DE"/>
    <w:lvl w:ilvl="0" w:tplc="3E4A2AA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EBE3578"/>
    <w:multiLevelType w:val="multilevel"/>
    <w:tmpl w:val="297C0678"/>
    <w:lvl w:ilvl="0">
      <w:start w:val="1"/>
      <w:numFmt w:val="hebrew1"/>
      <w:lvlText w:val="%1."/>
      <w:lvlJc w:val="center"/>
      <w:pPr>
        <w:ind w:left="360" w:hanging="360"/>
      </w:pPr>
      <w:rPr>
        <w:rFonts w:ascii="Century" w:hAnsi="Century" w:cs="Miriam" w:hint="default"/>
        <w:b/>
        <w:bCs w:val="0"/>
        <w:i w:val="0"/>
        <w:iCs w:val="0"/>
        <w:caps w:val="0"/>
        <w:smallCaps w:val="0"/>
        <w:strike w:val="0"/>
        <w:dstrike w:val="0"/>
        <w:outline w:val="0"/>
        <w:shadow w:val="0"/>
        <w:emboss w:val="0"/>
        <w:imprint w:val="0"/>
        <w:vanish w:val="0"/>
        <w:color w:val="auto"/>
        <w:spacing w:val="0"/>
        <w:w w:val="100"/>
        <w:kern w:val="0"/>
        <w:position w:val="0"/>
        <w:sz w:val="22"/>
        <w:szCs w:val="24"/>
        <w:u w:val="none"/>
        <w:effect w:val="none"/>
        <w:vertAlign w:val="baseline"/>
        <w:lang w:val="en-US"/>
      </w:rPr>
    </w:lvl>
    <w:lvl w:ilvl="1">
      <w:start w:val="1"/>
      <w:numFmt w:val="decimal"/>
      <w:lvlText w:val="%1.%2."/>
      <w:lvlJc w:val="center"/>
      <w:pPr>
        <w:ind w:left="720" w:hanging="360"/>
      </w:pPr>
      <w:rPr>
        <w:rFonts w:ascii="Century" w:hAnsi="Century" w:cs="Miriam" w:hint="default"/>
        <w:b/>
        <w:bCs w:val="0"/>
        <w:i w:val="0"/>
        <w:iCs w:val="0"/>
        <w:caps w:val="0"/>
        <w:smallCaps w:val="0"/>
        <w:strike w:val="0"/>
        <w:dstrike w:val="0"/>
        <w:outline w:val="0"/>
        <w:shadow w:val="0"/>
        <w:emboss w:val="0"/>
        <w:imprint w:val="0"/>
        <w:vanish w:val="0"/>
        <w:color w:val="auto"/>
        <w:spacing w:val="0"/>
        <w:w w:val="100"/>
        <w:kern w:val="0"/>
        <w:position w:val="0"/>
        <w:sz w:val="22"/>
        <w:szCs w:val="24"/>
        <w:u w:val="none"/>
        <w:effect w:val="none"/>
        <w:vertAlign w:val="baseline"/>
        <w:lang w:bidi="he-IL"/>
      </w:rPr>
    </w:lvl>
    <w:lvl w:ilvl="2">
      <w:start w:val="1"/>
      <w:numFmt w:val="hebrew1"/>
      <w:lvlText w:val="%1.%2.%3."/>
      <w:lvlJc w:val="center"/>
      <w:pPr>
        <w:ind w:left="1080" w:hanging="360"/>
      </w:pPr>
      <w:rPr>
        <w:rFonts w:hint="default"/>
      </w:rPr>
    </w:lvl>
    <w:lvl w:ilvl="3">
      <w:start w:val="1"/>
      <w:numFmt w:val="decimal"/>
      <w:lvlText w:val="%1.%2.%3.%4."/>
      <w:lvlJc w:val="center"/>
      <w:pPr>
        <w:ind w:left="1440" w:hanging="360"/>
      </w:pPr>
      <w:rPr>
        <w:rFonts w:hint="default"/>
      </w:rPr>
    </w:lvl>
    <w:lvl w:ilvl="4">
      <w:start w:val="1"/>
      <w:numFmt w:val="hebrew1"/>
      <w:lvlText w:val="%1.%2.%3.%4.%5."/>
      <w:lvlJc w:val="center"/>
      <w:pPr>
        <w:ind w:left="1800" w:hanging="360"/>
      </w:pPr>
      <w:rPr>
        <w:rFonts w:hint="default"/>
      </w:rPr>
    </w:lvl>
    <w:lvl w:ilvl="5">
      <w:start w:val="1"/>
      <w:numFmt w:val="decimal"/>
      <w:lvlText w:val="%1.%2.%3.%4.%5.%6."/>
      <w:lvlJc w:val="center"/>
      <w:pPr>
        <w:ind w:left="2160" w:hanging="360"/>
      </w:pPr>
      <w:rPr>
        <w:rFonts w:hint="default"/>
      </w:rPr>
    </w:lvl>
    <w:lvl w:ilvl="6">
      <w:start w:val="1"/>
      <w:numFmt w:val="hebrew1"/>
      <w:lvlText w:val="%1.%2.%3.%4.%5.%6.%7."/>
      <w:lvlJc w:val="center"/>
      <w:pPr>
        <w:ind w:left="2520" w:hanging="360"/>
      </w:pPr>
      <w:rPr>
        <w:rFonts w:hint="default"/>
      </w:rPr>
    </w:lvl>
    <w:lvl w:ilvl="7">
      <w:start w:val="1"/>
      <w:numFmt w:val="decimal"/>
      <w:lvlText w:val="%1.%2.%3.%4.%5.%6.%7.%8."/>
      <w:lvlJc w:val="center"/>
      <w:pPr>
        <w:ind w:left="2880" w:hanging="360"/>
      </w:pPr>
      <w:rPr>
        <w:rFonts w:hint="default"/>
      </w:rPr>
    </w:lvl>
    <w:lvl w:ilvl="8">
      <w:start w:val="1"/>
      <w:numFmt w:val="hebrew1"/>
      <w:lvlText w:val="%1.%2.%3.%4.%5.%6.%7.%8.%9."/>
      <w:lvlJc w:val="center"/>
      <w:pPr>
        <w:ind w:left="3240" w:hanging="360"/>
      </w:pPr>
      <w:rPr>
        <w:rFonts w:hint="default"/>
      </w:rPr>
    </w:lvl>
  </w:abstractNum>
  <w:abstractNum w:abstractNumId="14" w15:restartNumberingAfterBreak="0">
    <w:nsid w:val="0FAD0BD8"/>
    <w:multiLevelType w:val="hybridMultilevel"/>
    <w:tmpl w:val="0FEC2778"/>
    <w:lvl w:ilvl="0" w:tplc="DAFCAB1A">
      <w:start w:val="1"/>
      <w:numFmt w:val="bullet"/>
      <w:lvlText w:val=""/>
      <w:lvlJc w:val="left"/>
      <w:pPr>
        <w:ind w:left="720" w:hanging="360"/>
      </w:pPr>
      <w:rPr>
        <w:rFonts w:ascii="Symbol" w:hAnsi="Symbol" w:hint="default"/>
      </w:rPr>
    </w:lvl>
    <w:lvl w:ilvl="1" w:tplc="765627B8" w:tentative="1">
      <w:start w:val="1"/>
      <w:numFmt w:val="bullet"/>
      <w:lvlText w:val="o"/>
      <w:lvlJc w:val="left"/>
      <w:pPr>
        <w:ind w:left="1440" w:hanging="360"/>
      </w:pPr>
      <w:rPr>
        <w:rFonts w:ascii="Courier New" w:hAnsi="Courier New" w:cs="Courier New" w:hint="default"/>
      </w:rPr>
    </w:lvl>
    <w:lvl w:ilvl="2" w:tplc="05C810EA" w:tentative="1">
      <w:start w:val="1"/>
      <w:numFmt w:val="bullet"/>
      <w:lvlText w:val=""/>
      <w:lvlJc w:val="left"/>
      <w:pPr>
        <w:ind w:left="2160" w:hanging="360"/>
      </w:pPr>
      <w:rPr>
        <w:rFonts w:ascii="Wingdings" w:hAnsi="Wingdings" w:hint="default"/>
      </w:rPr>
    </w:lvl>
    <w:lvl w:ilvl="3" w:tplc="2C8EC412" w:tentative="1">
      <w:start w:val="1"/>
      <w:numFmt w:val="bullet"/>
      <w:lvlText w:val=""/>
      <w:lvlJc w:val="left"/>
      <w:pPr>
        <w:ind w:left="2880" w:hanging="360"/>
      </w:pPr>
      <w:rPr>
        <w:rFonts w:ascii="Symbol" w:hAnsi="Symbol" w:hint="default"/>
      </w:rPr>
    </w:lvl>
    <w:lvl w:ilvl="4" w:tplc="89BEC856" w:tentative="1">
      <w:start w:val="1"/>
      <w:numFmt w:val="bullet"/>
      <w:lvlText w:val="o"/>
      <w:lvlJc w:val="left"/>
      <w:pPr>
        <w:ind w:left="3600" w:hanging="360"/>
      </w:pPr>
      <w:rPr>
        <w:rFonts w:ascii="Courier New" w:hAnsi="Courier New" w:cs="Courier New" w:hint="default"/>
      </w:rPr>
    </w:lvl>
    <w:lvl w:ilvl="5" w:tplc="21BC9DFE" w:tentative="1">
      <w:start w:val="1"/>
      <w:numFmt w:val="bullet"/>
      <w:lvlText w:val=""/>
      <w:lvlJc w:val="left"/>
      <w:pPr>
        <w:ind w:left="4320" w:hanging="360"/>
      </w:pPr>
      <w:rPr>
        <w:rFonts w:ascii="Wingdings" w:hAnsi="Wingdings" w:hint="default"/>
      </w:rPr>
    </w:lvl>
    <w:lvl w:ilvl="6" w:tplc="92763FD8" w:tentative="1">
      <w:start w:val="1"/>
      <w:numFmt w:val="bullet"/>
      <w:lvlText w:val=""/>
      <w:lvlJc w:val="left"/>
      <w:pPr>
        <w:ind w:left="5040" w:hanging="360"/>
      </w:pPr>
      <w:rPr>
        <w:rFonts w:ascii="Symbol" w:hAnsi="Symbol" w:hint="default"/>
      </w:rPr>
    </w:lvl>
    <w:lvl w:ilvl="7" w:tplc="97ECA8DE" w:tentative="1">
      <w:start w:val="1"/>
      <w:numFmt w:val="bullet"/>
      <w:lvlText w:val="o"/>
      <w:lvlJc w:val="left"/>
      <w:pPr>
        <w:ind w:left="5760" w:hanging="360"/>
      </w:pPr>
      <w:rPr>
        <w:rFonts w:ascii="Courier New" w:hAnsi="Courier New" w:cs="Courier New" w:hint="default"/>
      </w:rPr>
    </w:lvl>
    <w:lvl w:ilvl="8" w:tplc="F2CE73D6" w:tentative="1">
      <w:start w:val="1"/>
      <w:numFmt w:val="bullet"/>
      <w:lvlText w:val=""/>
      <w:lvlJc w:val="left"/>
      <w:pPr>
        <w:ind w:left="6480" w:hanging="360"/>
      </w:pPr>
      <w:rPr>
        <w:rFonts w:ascii="Wingdings" w:hAnsi="Wingdings" w:hint="default"/>
      </w:rPr>
    </w:lvl>
  </w:abstractNum>
  <w:abstractNum w:abstractNumId="15" w15:restartNumberingAfterBreak="0">
    <w:nsid w:val="1A4E6B88"/>
    <w:multiLevelType w:val="hybridMultilevel"/>
    <w:tmpl w:val="14EE631A"/>
    <w:lvl w:ilvl="0" w:tplc="22FCA90E">
      <w:start w:val="1"/>
      <w:numFmt w:val="bullet"/>
      <w:lvlText w:val=""/>
      <w:lvlJc w:val="left"/>
      <w:pPr>
        <w:ind w:left="1515" w:hanging="360"/>
      </w:pPr>
      <w:rPr>
        <w:rFonts w:ascii="Symbol" w:hAnsi="Symbol" w:hint="default"/>
      </w:rPr>
    </w:lvl>
    <w:lvl w:ilvl="1" w:tplc="3182AB6C">
      <w:start w:val="1"/>
      <w:numFmt w:val="bullet"/>
      <w:lvlText w:val="o"/>
      <w:lvlJc w:val="left"/>
      <w:pPr>
        <w:ind w:left="2235" w:hanging="360"/>
      </w:pPr>
      <w:rPr>
        <w:rFonts w:ascii="Courier New" w:hAnsi="Courier New" w:cs="Courier New" w:hint="default"/>
      </w:rPr>
    </w:lvl>
    <w:lvl w:ilvl="2" w:tplc="F04EA56E" w:tentative="1">
      <w:start w:val="1"/>
      <w:numFmt w:val="bullet"/>
      <w:lvlText w:val=""/>
      <w:lvlJc w:val="left"/>
      <w:pPr>
        <w:ind w:left="2955" w:hanging="360"/>
      </w:pPr>
      <w:rPr>
        <w:rFonts w:ascii="Wingdings" w:hAnsi="Wingdings" w:hint="default"/>
      </w:rPr>
    </w:lvl>
    <w:lvl w:ilvl="3" w:tplc="0DC45D48" w:tentative="1">
      <w:start w:val="1"/>
      <w:numFmt w:val="bullet"/>
      <w:lvlText w:val=""/>
      <w:lvlJc w:val="left"/>
      <w:pPr>
        <w:ind w:left="3675" w:hanging="360"/>
      </w:pPr>
      <w:rPr>
        <w:rFonts w:ascii="Symbol" w:hAnsi="Symbol" w:hint="default"/>
      </w:rPr>
    </w:lvl>
    <w:lvl w:ilvl="4" w:tplc="F9BAF72C" w:tentative="1">
      <w:start w:val="1"/>
      <w:numFmt w:val="bullet"/>
      <w:lvlText w:val="o"/>
      <w:lvlJc w:val="left"/>
      <w:pPr>
        <w:ind w:left="4395" w:hanging="360"/>
      </w:pPr>
      <w:rPr>
        <w:rFonts w:ascii="Courier New" w:hAnsi="Courier New" w:cs="Courier New" w:hint="default"/>
      </w:rPr>
    </w:lvl>
    <w:lvl w:ilvl="5" w:tplc="16CA8714" w:tentative="1">
      <w:start w:val="1"/>
      <w:numFmt w:val="bullet"/>
      <w:lvlText w:val=""/>
      <w:lvlJc w:val="left"/>
      <w:pPr>
        <w:ind w:left="5115" w:hanging="360"/>
      </w:pPr>
      <w:rPr>
        <w:rFonts w:ascii="Wingdings" w:hAnsi="Wingdings" w:hint="default"/>
      </w:rPr>
    </w:lvl>
    <w:lvl w:ilvl="6" w:tplc="766469DA" w:tentative="1">
      <w:start w:val="1"/>
      <w:numFmt w:val="bullet"/>
      <w:lvlText w:val=""/>
      <w:lvlJc w:val="left"/>
      <w:pPr>
        <w:ind w:left="5835" w:hanging="360"/>
      </w:pPr>
      <w:rPr>
        <w:rFonts w:ascii="Symbol" w:hAnsi="Symbol" w:hint="default"/>
      </w:rPr>
    </w:lvl>
    <w:lvl w:ilvl="7" w:tplc="509AA2D6" w:tentative="1">
      <w:start w:val="1"/>
      <w:numFmt w:val="bullet"/>
      <w:lvlText w:val="o"/>
      <w:lvlJc w:val="left"/>
      <w:pPr>
        <w:ind w:left="6555" w:hanging="360"/>
      </w:pPr>
      <w:rPr>
        <w:rFonts w:ascii="Courier New" w:hAnsi="Courier New" w:cs="Courier New" w:hint="default"/>
      </w:rPr>
    </w:lvl>
    <w:lvl w:ilvl="8" w:tplc="8DEE464A" w:tentative="1">
      <w:start w:val="1"/>
      <w:numFmt w:val="bullet"/>
      <w:lvlText w:val=""/>
      <w:lvlJc w:val="left"/>
      <w:pPr>
        <w:ind w:left="7275" w:hanging="360"/>
      </w:pPr>
      <w:rPr>
        <w:rFonts w:ascii="Wingdings" w:hAnsi="Wingdings" w:hint="default"/>
      </w:rPr>
    </w:lvl>
  </w:abstractNum>
  <w:abstractNum w:abstractNumId="16" w15:restartNumberingAfterBreak="0">
    <w:nsid w:val="1E6E14A9"/>
    <w:multiLevelType w:val="hybridMultilevel"/>
    <w:tmpl w:val="8D7C790E"/>
    <w:lvl w:ilvl="0" w:tplc="1E30982E">
      <w:start w:val="1"/>
      <w:numFmt w:val="hebrew1"/>
      <w:lvlText w:val="%1."/>
      <w:lvlJc w:val="center"/>
      <w:pPr>
        <w:ind w:left="1523" w:hanging="360"/>
      </w:pPr>
    </w:lvl>
    <w:lvl w:ilvl="1" w:tplc="A9CCA9A0" w:tentative="1">
      <w:start w:val="1"/>
      <w:numFmt w:val="lowerLetter"/>
      <w:lvlText w:val="%2."/>
      <w:lvlJc w:val="left"/>
      <w:pPr>
        <w:ind w:left="2243" w:hanging="360"/>
      </w:pPr>
    </w:lvl>
    <w:lvl w:ilvl="2" w:tplc="D51075D8" w:tentative="1">
      <w:start w:val="1"/>
      <w:numFmt w:val="lowerRoman"/>
      <w:lvlText w:val="%3."/>
      <w:lvlJc w:val="right"/>
      <w:pPr>
        <w:ind w:left="2963" w:hanging="180"/>
      </w:pPr>
    </w:lvl>
    <w:lvl w:ilvl="3" w:tplc="51C45E88" w:tentative="1">
      <w:start w:val="1"/>
      <w:numFmt w:val="decimal"/>
      <w:lvlText w:val="%4."/>
      <w:lvlJc w:val="left"/>
      <w:pPr>
        <w:ind w:left="3683" w:hanging="360"/>
      </w:pPr>
    </w:lvl>
    <w:lvl w:ilvl="4" w:tplc="E36A16A8" w:tentative="1">
      <w:start w:val="1"/>
      <w:numFmt w:val="lowerLetter"/>
      <w:lvlText w:val="%5."/>
      <w:lvlJc w:val="left"/>
      <w:pPr>
        <w:ind w:left="4403" w:hanging="360"/>
      </w:pPr>
    </w:lvl>
    <w:lvl w:ilvl="5" w:tplc="8AFC7AEA" w:tentative="1">
      <w:start w:val="1"/>
      <w:numFmt w:val="lowerRoman"/>
      <w:lvlText w:val="%6."/>
      <w:lvlJc w:val="right"/>
      <w:pPr>
        <w:ind w:left="5123" w:hanging="180"/>
      </w:pPr>
    </w:lvl>
    <w:lvl w:ilvl="6" w:tplc="FDD2F252" w:tentative="1">
      <w:start w:val="1"/>
      <w:numFmt w:val="decimal"/>
      <w:lvlText w:val="%7."/>
      <w:lvlJc w:val="left"/>
      <w:pPr>
        <w:ind w:left="5843" w:hanging="360"/>
      </w:pPr>
    </w:lvl>
    <w:lvl w:ilvl="7" w:tplc="DDDA9EE0" w:tentative="1">
      <w:start w:val="1"/>
      <w:numFmt w:val="lowerLetter"/>
      <w:lvlText w:val="%8."/>
      <w:lvlJc w:val="left"/>
      <w:pPr>
        <w:ind w:left="6563" w:hanging="360"/>
      </w:pPr>
    </w:lvl>
    <w:lvl w:ilvl="8" w:tplc="A3C89798" w:tentative="1">
      <w:start w:val="1"/>
      <w:numFmt w:val="lowerRoman"/>
      <w:lvlText w:val="%9."/>
      <w:lvlJc w:val="right"/>
      <w:pPr>
        <w:ind w:left="7283" w:hanging="180"/>
      </w:pPr>
    </w:lvl>
  </w:abstractNum>
  <w:abstractNum w:abstractNumId="17" w15:restartNumberingAfterBreak="0">
    <w:nsid w:val="34FD1C65"/>
    <w:multiLevelType w:val="hybridMultilevel"/>
    <w:tmpl w:val="95626F1C"/>
    <w:lvl w:ilvl="0" w:tplc="326E34CA">
      <w:start w:val="1"/>
      <w:numFmt w:val="hebrew1"/>
      <w:lvlText w:val="%1."/>
      <w:lvlJc w:val="left"/>
      <w:pPr>
        <w:ind w:left="720" w:hanging="360"/>
      </w:pPr>
      <w:rPr>
        <w:rFonts w:hint="default"/>
      </w:rPr>
    </w:lvl>
    <w:lvl w:ilvl="1" w:tplc="7AC6805E" w:tentative="1">
      <w:start w:val="1"/>
      <w:numFmt w:val="lowerLetter"/>
      <w:lvlText w:val="%2."/>
      <w:lvlJc w:val="left"/>
      <w:pPr>
        <w:ind w:left="1440" w:hanging="360"/>
      </w:pPr>
    </w:lvl>
    <w:lvl w:ilvl="2" w:tplc="2BAE197A" w:tentative="1">
      <w:start w:val="1"/>
      <w:numFmt w:val="lowerRoman"/>
      <w:lvlText w:val="%3."/>
      <w:lvlJc w:val="right"/>
      <w:pPr>
        <w:ind w:left="2160" w:hanging="180"/>
      </w:pPr>
    </w:lvl>
    <w:lvl w:ilvl="3" w:tplc="B7CA2E94" w:tentative="1">
      <w:start w:val="1"/>
      <w:numFmt w:val="decimal"/>
      <w:lvlText w:val="%4."/>
      <w:lvlJc w:val="left"/>
      <w:pPr>
        <w:ind w:left="2880" w:hanging="360"/>
      </w:pPr>
    </w:lvl>
    <w:lvl w:ilvl="4" w:tplc="47584980" w:tentative="1">
      <w:start w:val="1"/>
      <w:numFmt w:val="lowerLetter"/>
      <w:lvlText w:val="%5."/>
      <w:lvlJc w:val="left"/>
      <w:pPr>
        <w:ind w:left="3600" w:hanging="360"/>
      </w:pPr>
    </w:lvl>
    <w:lvl w:ilvl="5" w:tplc="1360AED4" w:tentative="1">
      <w:start w:val="1"/>
      <w:numFmt w:val="lowerRoman"/>
      <w:lvlText w:val="%6."/>
      <w:lvlJc w:val="right"/>
      <w:pPr>
        <w:ind w:left="4320" w:hanging="180"/>
      </w:pPr>
    </w:lvl>
    <w:lvl w:ilvl="6" w:tplc="77127994" w:tentative="1">
      <w:start w:val="1"/>
      <w:numFmt w:val="decimal"/>
      <w:lvlText w:val="%7."/>
      <w:lvlJc w:val="left"/>
      <w:pPr>
        <w:ind w:left="5040" w:hanging="360"/>
      </w:pPr>
    </w:lvl>
    <w:lvl w:ilvl="7" w:tplc="AE989BB8" w:tentative="1">
      <w:start w:val="1"/>
      <w:numFmt w:val="lowerLetter"/>
      <w:lvlText w:val="%8."/>
      <w:lvlJc w:val="left"/>
      <w:pPr>
        <w:ind w:left="5760" w:hanging="360"/>
      </w:pPr>
    </w:lvl>
    <w:lvl w:ilvl="8" w:tplc="4B2C28B4" w:tentative="1">
      <w:start w:val="1"/>
      <w:numFmt w:val="lowerRoman"/>
      <w:lvlText w:val="%9."/>
      <w:lvlJc w:val="right"/>
      <w:pPr>
        <w:ind w:left="6480" w:hanging="180"/>
      </w:pPr>
    </w:lvl>
  </w:abstractNum>
  <w:abstractNum w:abstractNumId="18" w15:restartNumberingAfterBreak="0">
    <w:nsid w:val="465D29C5"/>
    <w:multiLevelType w:val="hybridMultilevel"/>
    <w:tmpl w:val="6812D58C"/>
    <w:lvl w:ilvl="0" w:tplc="C246B12A">
      <w:start w:val="1"/>
      <w:numFmt w:val="hebrew1"/>
      <w:lvlText w:val="%1."/>
      <w:lvlJc w:val="center"/>
      <w:pPr>
        <w:ind w:left="720" w:hanging="360"/>
      </w:pPr>
    </w:lvl>
    <w:lvl w:ilvl="1" w:tplc="0F8E31FC" w:tentative="1">
      <w:start w:val="1"/>
      <w:numFmt w:val="lowerLetter"/>
      <w:lvlText w:val="%2."/>
      <w:lvlJc w:val="left"/>
      <w:pPr>
        <w:ind w:left="1440" w:hanging="360"/>
      </w:pPr>
    </w:lvl>
    <w:lvl w:ilvl="2" w:tplc="E09409BA" w:tentative="1">
      <w:start w:val="1"/>
      <w:numFmt w:val="lowerRoman"/>
      <w:lvlText w:val="%3."/>
      <w:lvlJc w:val="right"/>
      <w:pPr>
        <w:ind w:left="2160" w:hanging="180"/>
      </w:pPr>
    </w:lvl>
    <w:lvl w:ilvl="3" w:tplc="9AF2AAB2" w:tentative="1">
      <w:start w:val="1"/>
      <w:numFmt w:val="decimal"/>
      <w:lvlText w:val="%4."/>
      <w:lvlJc w:val="left"/>
      <w:pPr>
        <w:ind w:left="2880" w:hanging="360"/>
      </w:pPr>
    </w:lvl>
    <w:lvl w:ilvl="4" w:tplc="133055B4" w:tentative="1">
      <w:start w:val="1"/>
      <w:numFmt w:val="lowerLetter"/>
      <w:lvlText w:val="%5."/>
      <w:lvlJc w:val="left"/>
      <w:pPr>
        <w:ind w:left="3600" w:hanging="360"/>
      </w:pPr>
    </w:lvl>
    <w:lvl w:ilvl="5" w:tplc="5BF8998E" w:tentative="1">
      <w:start w:val="1"/>
      <w:numFmt w:val="lowerRoman"/>
      <w:lvlText w:val="%6."/>
      <w:lvlJc w:val="right"/>
      <w:pPr>
        <w:ind w:left="4320" w:hanging="180"/>
      </w:pPr>
    </w:lvl>
    <w:lvl w:ilvl="6" w:tplc="77E2A4B8" w:tentative="1">
      <w:start w:val="1"/>
      <w:numFmt w:val="decimal"/>
      <w:lvlText w:val="%7."/>
      <w:lvlJc w:val="left"/>
      <w:pPr>
        <w:ind w:left="5040" w:hanging="360"/>
      </w:pPr>
    </w:lvl>
    <w:lvl w:ilvl="7" w:tplc="B3007B06" w:tentative="1">
      <w:start w:val="1"/>
      <w:numFmt w:val="lowerLetter"/>
      <w:lvlText w:val="%8."/>
      <w:lvlJc w:val="left"/>
      <w:pPr>
        <w:ind w:left="5760" w:hanging="360"/>
      </w:pPr>
    </w:lvl>
    <w:lvl w:ilvl="8" w:tplc="35428A40" w:tentative="1">
      <w:start w:val="1"/>
      <w:numFmt w:val="lowerRoman"/>
      <w:lvlText w:val="%9."/>
      <w:lvlJc w:val="right"/>
      <w:pPr>
        <w:ind w:left="6480" w:hanging="180"/>
      </w:pPr>
    </w:lvl>
  </w:abstractNum>
  <w:abstractNum w:abstractNumId="19" w15:restartNumberingAfterBreak="0">
    <w:nsid w:val="489A00A0"/>
    <w:multiLevelType w:val="hybridMultilevel"/>
    <w:tmpl w:val="0D3283F8"/>
    <w:lvl w:ilvl="0" w:tplc="C5C8396A">
      <w:start w:val="1"/>
      <w:numFmt w:val="hebrew1"/>
      <w:lvlText w:val="%1."/>
      <w:lvlJc w:val="left"/>
      <w:pPr>
        <w:ind w:left="1080" w:hanging="36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E70B62"/>
    <w:multiLevelType w:val="hybridMultilevel"/>
    <w:tmpl w:val="ADA8711E"/>
    <w:lvl w:ilvl="0" w:tplc="8A6854E0">
      <w:start w:val="1"/>
      <w:numFmt w:val="hebrew1"/>
      <w:pStyle w:val="Ruller40"/>
      <w:lvlText w:val="%1."/>
      <w:lvlJc w:val="left"/>
      <w:pPr>
        <w:tabs>
          <w:tab w:val="num" w:pos="907"/>
        </w:tabs>
        <w:ind w:left="0" w:firstLine="0"/>
      </w:pPr>
      <w:rPr>
        <w:rFonts w:hint="default"/>
      </w:rPr>
    </w:lvl>
    <w:lvl w:ilvl="1" w:tplc="7A5ED8AE" w:tentative="1">
      <w:start w:val="1"/>
      <w:numFmt w:val="lowerLetter"/>
      <w:lvlText w:val="%2."/>
      <w:lvlJc w:val="left"/>
      <w:pPr>
        <w:tabs>
          <w:tab w:val="num" w:pos="1440"/>
        </w:tabs>
        <w:ind w:left="1440" w:hanging="360"/>
      </w:pPr>
    </w:lvl>
    <w:lvl w:ilvl="2" w:tplc="34589B18" w:tentative="1">
      <w:start w:val="1"/>
      <w:numFmt w:val="lowerRoman"/>
      <w:lvlText w:val="%3."/>
      <w:lvlJc w:val="right"/>
      <w:pPr>
        <w:tabs>
          <w:tab w:val="num" w:pos="2160"/>
        </w:tabs>
        <w:ind w:left="2160" w:hanging="180"/>
      </w:pPr>
    </w:lvl>
    <w:lvl w:ilvl="3" w:tplc="4CA006B8" w:tentative="1">
      <w:start w:val="1"/>
      <w:numFmt w:val="decimal"/>
      <w:lvlText w:val="%4."/>
      <w:lvlJc w:val="left"/>
      <w:pPr>
        <w:tabs>
          <w:tab w:val="num" w:pos="2880"/>
        </w:tabs>
        <w:ind w:left="2880" w:hanging="360"/>
      </w:pPr>
    </w:lvl>
    <w:lvl w:ilvl="4" w:tplc="427029B4" w:tentative="1">
      <w:start w:val="1"/>
      <w:numFmt w:val="lowerLetter"/>
      <w:lvlText w:val="%5."/>
      <w:lvlJc w:val="left"/>
      <w:pPr>
        <w:tabs>
          <w:tab w:val="num" w:pos="3600"/>
        </w:tabs>
        <w:ind w:left="3600" w:hanging="360"/>
      </w:pPr>
    </w:lvl>
    <w:lvl w:ilvl="5" w:tplc="68785AE4" w:tentative="1">
      <w:start w:val="1"/>
      <w:numFmt w:val="lowerRoman"/>
      <w:lvlText w:val="%6."/>
      <w:lvlJc w:val="right"/>
      <w:pPr>
        <w:tabs>
          <w:tab w:val="num" w:pos="4320"/>
        </w:tabs>
        <w:ind w:left="4320" w:hanging="180"/>
      </w:pPr>
    </w:lvl>
    <w:lvl w:ilvl="6" w:tplc="78C810B4" w:tentative="1">
      <w:start w:val="1"/>
      <w:numFmt w:val="decimal"/>
      <w:lvlText w:val="%7."/>
      <w:lvlJc w:val="left"/>
      <w:pPr>
        <w:tabs>
          <w:tab w:val="num" w:pos="5040"/>
        </w:tabs>
        <w:ind w:left="5040" w:hanging="360"/>
      </w:pPr>
    </w:lvl>
    <w:lvl w:ilvl="7" w:tplc="27A67454" w:tentative="1">
      <w:start w:val="1"/>
      <w:numFmt w:val="lowerLetter"/>
      <w:lvlText w:val="%8."/>
      <w:lvlJc w:val="left"/>
      <w:pPr>
        <w:tabs>
          <w:tab w:val="num" w:pos="5760"/>
        </w:tabs>
        <w:ind w:left="5760" w:hanging="360"/>
      </w:pPr>
    </w:lvl>
    <w:lvl w:ilvl="8" w:tplc="3B84C48A" w:tentative="1">
      <w:start w:val="1"/>
      <w:numFmt w:val="lowerRoman"/>
      <w:lvlText w:val="%9."/>
      <w:lvlJc w:val="right"/>
      <w:pPr>
        <w:tabs>
          <w:tab w:val="num" w:pos="6480"/>
        </w:tabs>
        <w:ind w:left="6480" w:hanging="180"/>
      </w:pPr>
    </w:lvl>
  </w:abstractNum>
  <w:abstractNum w:abstractNumId="21" w15:restartNumberingAfterBreak="0">
    <w:nsid w:val="534D7248"/>
    <w:multiLevelType w:val="hybridMultilevel"/>
    <w:tmpl w:val="F7F073D4"/>
    <w:lvl w:ilvl="0" w:tplc="647EB658">
      <w:start w:val="1"/>
      <w:numFmt w:val="bullet"/>
      <w:lvlText w:val="-"/>
      <w:lvlJc w:val="left"/>
      <w:pPr>
        <w:ind w:left="1800" w:hanging="360"/>
      </w:pPr>
      <w:rPr>
        <w:rFonts w:ascii="Miriam" w:eastAsia="Times New Roman" w:hAnsi="Miriam" w:cs="Miriam"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579F41E7"/>
    <w:multiLevelType w:val="hybridMultilevel"/>
    <w:tmpl w:val="96FCB79E"/>
    <w:lvl w:ilvl="0" w:tplc="2FB6B044">
      <w:start w:val="2"/>
      <w:numFmt w:val="hebrew1"/>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B73D6E"/>
    <w:multiLevelType w:val="hybridMultilevel"/>
    <w:tmpl w:val="B4B4E4AC"/>
    <w:lvl w:ilvl="0" w:tplc="EB3C01A2">
      <w:start w:val="1"/>
      <w:numFmt w:val="hebrew1"/>
      <w:lvlText w:val="%1."/>
      <w:lvlJc w:val="left"/>
      <w:pPr>
        <w:ind w:left="720" w:hanging="360"/>
      </w:pPr>
      <w:rPr>
        <w:rFonts w:hint="default"/>
        <w:sz w:val="24"/>
      </w:rPr>
    </w:lvl>
    <w:lvl w:ilvl="1" w:tplc="2416CADC" w:tentative="1">
      <w:start w:val="1"/>
      <w:numFmt w:val="lowerLetter"/>
      <w:lvlText w:val="%2."/>
      <w:lvlJc w:val="left"/>
      <w:pPr>
        <w:ind w:left="1440" w:hanging="360"/>
      </w:pPr>
    </w:lvl>
    <w:lvl w:ilvl="2" w:tplc="D960F502" w:tentative="1">
      <w:start w:val="1"/>
      <w:numFmt w:val="lowerRoman"/>
      <w:lvlText w:val="%3."/>
      <w:lvlJc w:val="right"/>
      <w:pPr>
        <w:ind w:left="2160" w:hanging="180"/>
      </w:pPr>
    </w:lvl>
    <w:lvl w:ilvl="3" w:tplc="0B728A7E" w:tentative="1">
      <w:start w:val="1"/>
      <w:numFmt w:val="decimal"/>
      <w:lvlText w:val="%4."/>
      <w:lvlJc w:val="left"/>
      <w:pPr>
        <w:ind w:left="2880" w:hanging="360"/>
      </w:pPr>
    </w:lvl>
    <w:lvl w:ilvl="4" w:tplc="8FE27A74" w:tentative="1">
      <w:start w:val="1"/>
      <w:numFmt w:val="lowerLetter"/>
      <w:lvlText w:val="%5."/>
      <w:lvlJc w:val="left"/>
      <w:pPr>
        <w:ind w:left="3600" w:hanging="360"/>
      </w:pPr>
    </w:lvl>
    <w:lvl w:ilvl="5" w:tplc="4372C6D0" w:tentative="1">
      <w:start w:val="1"/>
      <w:numFmt w:val="lowerRoman"/>
      <w:lvlText w:val="%6."/>
      <w:lvlJc w:val="right"/>
      <w:pPr>
        <w:ind w:left="4320" w:hanging="180"/>
      </w:pPr>
    </w:lvl>
    <w:lvl w:ilvl="6" w:tplc="D66EC4FA" w:tentative="1">
      <w:start w:val="1"/>
      <w:numFmt w:val="decimal"/>
      <w:lvlText w:val="%7."/>
      <w:lvlJc w:val="left"/>
      <w:pPr>
        <w:ind w:left="5040" w:hanging="360"/>
      </w:pPr>
    </w:lvl>
    <w:lvl w:ilvl="7" w:tplc="4CF8296A" w:tentative="1">
      <w:start w:val="1"/>
      <w:numFmt w:val="lowerLetter"/>
      <w:lvlText w:val="%8."/>
      <w:lvlJc w:val="left"/>
      <w:pPr>
        <w:ind w:left="5760" w:hanging="360"/>
      </w:pPr>
    </w:lvl>
    <w:lvl w:ilvl="8" w:tplc="3D50820C" w:tentative="1">
      <w:start w:val="1"/>
      <w:numFmt w:val="lowerRoman"/>
      <w:lvlText w:val="%9."/>
      <w:lvlJc w:val="right"/>
      <w:pPr>
        <w:ind w:left="6480" w:hanging="180"/>
      </w:pPr>
    </w:lvl>
  </w:abstractNum>
  <w:abstractNum w:abstractNumId="24" w15:restartNumberingAfterBreak="0">
    <w:nsid w:val="6AE93C8D"/>
    <w:multiLevelType w:val="hybridMultilevel"/>
    <w:tmpl w:val="D97CF3C0"/>
    <w:lvl w:ilvl="0" w:tplc="B60EC512">
      <w:start w:val="1"/>
      <w:numFmt w:val="hebrew1"/>
      <w:lvlText w:val="%1."/>
      <w:lvlJc w:val="left"/>
      <w:pPr>
        <w:ind w:left="720" w:hanging="360"/>
      </w:pPr>
      <w:rPr>
        <w:rFonts w:hint="default"/>
        <w:i w:val="0"/>
        <w:iCs w:val="0"/>
      </w:rPr>
    </w:lvl>
    <w:lvl w:ilvl="1" w:tplc="D6EA8C24" w:tentative="1">
      <w:start w:val="1"/>
      <w:numFmt w:val="lowerLetter"/>
      <w:lvlText w:val="%2."/>
      <w:lvlJc w:val="left"/>
      <w:pPr>
        <w:ind w:left="1440" w:hanging="360"/>
      </w:pPr>
    </w:lvl>
    <w:lvl w:ilvl="2" w:tplc="B664C790" w:tentative="1">
      <w:start w:val="1"/>
      <w:numFmt w:val="lowerRoman"/>
      <w:lvlText w:val="%3."/>
      <w:lvlJc w:val="right"/>
      <w:pPr>
        <w:ind w:left="2160" w:hanging="180"/>
      </w:pPr>
    </w:lvl>
    <w:lvl w:ilvl="3" w:tplc="5AD2AB1A" w:tentative="1">
      <w:start w:val="1"/>
      <w:numFmt w:val="decimal"/>
      <w:lvlText w:val="%4."/>
      <w:lvlJc w:val="left"/>
      <w:pPr>
        <w:ind w:left="2880" w:hanging="360"/>
      </w:pPr>
    </w:lvl>
    <w:lvl w:ilvl="4" w:tplc="82A4374C" w:tentative="1">
      <w:start w:val="1"/>
      <w:numFmt w:val="lowerLetter"/>
      <w:lvlText w:val="%5."/>
      <w:lvlJc w:val="left"/>
      <w:pPr>
        <w:ind w:left="3600" w:hanging="360"/>
      </w:pPr>
    </w:lvl>
    <w:lvl w:ilvl="5" w:tplc="B8868510" w:tentative="1">
      <w:start w:val="1"/>
      <w:numFmt w:val="lowerRoman"/>
      <w:lvlText w:val="%6."/>
      <w:lvlJc w:val="right"/>
      <w:pPr>
        <w:ind w:left="4320" w:hanging="180"/>
      </w:pPr>
    </w:lvl>
    <w:lvl w:ilvl="6" w:tplc="21CE272E" w:tentative="1">
      <w:start w:val="1"/>
      <w:numFmt w:val="decimal"/>
      <w:lvlText w:val="%7."/>
      <w:lvlJc w:val="left"/>
      <w:pPr>
        <w:ind w:left="5040" w:hanging="360"/>
      </w:pPr>
    </w:lvl>
    <w:lvl w:ilvl="7" w:tplc="9DC64D0E" w:tentative="1">
      <w:start w:val="1"/>
      <w:numFmt w:val="lowerLetter"/>
      <w:lvlText w:val="%8."/>
      <w:lvlJc w:val="left"/>
      <w:pPr>
        <w:ind w:left="5760" w:hanging="360"/>
      </w:pPr>
    </w:lvl>
    <w:lvl w:ilvl="8" w:tplc="A2701D66" w:tentative="1">
      <w:start w:val="1"/>
      <w:numFmt w:val="lowerRoman"/>
      <w:lvlText w:val="%9."/>
      <w:lvlJc w:val="right"/>
      <w:pPr>
        <w:ind w:left="6480" w:hanging="180"/>
      </w:pPr>
    </w:lvl>
  </w:abstractNum>
  <w:abstractNum w:abstractNumId="25" w15:restartNumberingAfterBreak="0">
    <w:nsid w:val="6B752C00"/>
    <w:multiLevelType w:val="hybridMultilevel"/>
    <w:tmpl w:val="9B6870C6"/>
    <w:lvl w:ilvl="0" w:tplc="0A466B30">
      <w:start w:val="1"/>
      <w:numFmt w:val="hebrew1"/>
      <w:lvlText w:val="%1."/>
      <w:lvlJc w:val="left"/>
      <w:pPr>
        <w:ind w:left="1214" w:hanging="420"/>
      </w:pPr>
      <w:rPr>
        <w:rFonts w:hint="default"/>
      </w:rPr>
    </w:lvl>
    <w:lvl w:ilvl="1" w:tplc="04090019" w:tentative="1">
      <w:start w:val="1"/>
      <w:numFmt w:val="lowerLetter"/>
      <w:lvlText w:val="%2."/>
      <w:lvlJc w:val="left"/>
      <w:pPr>
        <w:ind w:left="1874" w:hanging="360"/>
      </w:pPr>
    </w:lvl>
    <w:lvl w:ilvl="2" w:tplc="0409001B" w:tentative="1">
      <w:start w:val="1"/>
      <w:numFmt w:val="lowerRoman"/>
      <w:lvlText w:val="%3."/>
      <w:lvlJc w:val="right"/>
      <w:pPr>
        <w:ind w:left="2594" w:hanging="180"/>
      </w:pPr>
    </w:lvl>
    <w:lvl w:ilvl="3" w:tplc="0409000F" w:tentative="1">
      <w:start w:val="1"/>
      <w:numFmt w:val="decimal"/>
      <w:lvlText w:val="%4."/>
      <w:lvlJc w:val="left"/>
      <w:pPr>
        <w:ind w:left="3314" w:hanging="360"/>
      </w:pPr>
    </w:lvl>
    <w:lvl w:ilvl="4" w:tplc="04090019" w:tentative="1">
      <w:start w:val="1"/>
      <w:numFmt w:val="lowerLetter"/>
      <w:lvlText w:val="%5."/>
      <w:lvlJc w:val="left"/>
      <w:pPr>
        <w:ind w:left="4034" w:hanging="360"/>
      </w:pPr>
    </w:lvl>
    <w:lvl w:ilvl="5" w:tplc="0409001B" w:tentative="1">
      <w:start w:val="1"/>
      <w:numFmt w:val="lowerRoman"/>
      <w:lvlText w:val="%6."/>
      <w:lvlJc w:val="right"/>
      <w:pPr>
        <w:ind w:left="4754" w:hanging="180"/>
      </w:pPr>
    </w:lvl>
    <w:lvl w:ilvl="6" w:tplc="0409000F" w:tentative="1">
      <w:start w:val="1"/>
      <w:numFmt w:val="decimal"/>
      <w:lvlText w:val="%7."/>
      <w:lvlJc w:val="left"/>
      <w:pPr>
        <w:ind w:left="5474" w:hanging="360"/>
      </w:pPr>
    </w:lvl>
    <w:lvl w:ilvl="7" w:tplc="04090019" w:tentative="1">
      <w:start w:val="1"/>
      <w:numFmt w:val="lowerLetter"/>
      <w:lvlText w:val="%8."/>
      <w:lvlJc w:val="left"/>
      <w:pPr>
        <w:ind w:left="6194" w:hanging="360"/>
      </w:pPr>
    </w:lvl>
    <w:lvl w:ilvl="8" w:tplc="0409001B" w:tentative="1">
      <w:start w:val="1"/>
      <w:numFmt w:val="lowerRoman"/>
      <w:lvlText w:val="%9."/>
      <w:lvlJc w:val="right"/>
      <w:pPr>
        <w:ind w:left="6914" w:hanging="180"/>
      </w:pPr>
    </w:lvl>
  </w:abstractNum>
  <w:abstractNum w:abstractNumId="26" w15:restartNumberingAfterBreak="0">
    <w:nsid w:val="76306272"/>
    <w:multiLevelType w:val="hybridMultilevel"/>
    <w:tmpl w:val="1D9093DA"/>
    <w:lvl w:ilvl="0" w:tplc="2AEC05E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5764CB"/>
    <w:multiLevelType w:val="hybridMultilevel"/>
    <w:tmpl w:val="C100BBC4"/>
    <w:lvl w:ilvl="0" w:tplc="F93E8178">
      <w:start w:val="1"/>
      <w:numFmt w:val="decimal"/>
      <w:lvlText w:val="%1."/>
      <w:lvlJc w:val="left"/>
      <w:pPr>
        <w:ind w:left="1440" w:hanging="360"/>
      </w:pPr>
      <w:rPr>
        <w:rFonts w:ascii="Century" w:eastAsia="Times New Roman" w:hAnsi="Century" w:cs="FrankRuehl"/>
        <w:b w:val="0"/>
        <w:bCs w:val="0"/>
        <w:i w:val="0"/>
        <w:iCs w:val="0"/>
        <w:caps w:val="0"/>
        <w:smallCaps w:val="0"/>
        <w:strike w:val="0"/>
        <w:dstrike w:val="0"/>
        <w:outline w:val="0"/>
        <w:shadow w:val="0"/>
        <w:emboss w:val="0"/>
        <w:imprint w:val="0"/>
        <w:vanish w:val="0"/>
        <w:color w:val="auto"/>
        <w:spacing w:val="10"/>
        <w:w w:val="100"/>
        <w:kern w:val="0"/>
        <w:position w:val="0"/>
        <w:sz w:val="22"/>
        <w:szCs w:val="28"/>
        <w:u w:val="none"/>
        <w:effect w:val="none"/>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BEE3589"/>
    <w:multiLevelType w:val="hybridMultilevel"/>
    <w:tmpl w:val="0EB80CAE"/>
    <w:lvl w:ilvl="0" w:tplc="A866C72E">
      <w:start w:val="1"/>
      <w:numFmt w:val="hebrew1"/>
      <w:lvlText w:val="%1."/>
      <w:lvlJc w:val="center"/>
      <w:pPr>
        <w:ind w:left="1523" w:hanging="360"/>
      </w:pPr>
    </w:lvl>
    <w:lvl w:ilvl="1" w:tplc="A3EAE28A" w:tentative="1">
      <w:start w:val="1"/>
      <w:numFmt w:val="lowerLetter"/>
      <w:lvlText w:val="%2."/>
      <w:lvlJc w:val="left"/>
      <w:pPr>
        <w:ind w:left="2243" w:hanging="360"/>
      </w:pPr>
    </w:lvl>
    <w:lvl w:ilvl="2" w:tplc="57BEAE32" w:tentative="1">
      <w:start w:val="1"/>
      <w:numFmt w:val="lowerRoman"/>
      <w:lvlText w:val="%3."/>
      <w:lvlJc w:val="right"/>
      <w:pPr>
        <w:ind w:left="2963" w:hanging="180"/>
      </w:pPr>
    </w:lvl>
    <w:lvl w:ilvl="3" w:tplc="413CEE3A" w:tentative="1">
      <w:start w:val="1"/>
      <w:numFmt w:val="decimal"/>
      <w:lvlText w:val="%4."/>
      <w:lvlJc w:val="left"/>
      <w:pPr>
        <w:ind w:left="3683" w:hanging="360"/>
      </w:pPr>
    </w:lvl>
    <w:lvl w:ilvl="4" w:tplc="E71CE2FC" w:tentative="1">
      <w:start w:val="1"/>
      <w:numFmt w:val="lowerLetter"/>
      <w:lvlText w:val="%5."/>
      <w:lvlJc w:val="left"/>
      <w:pPr>
        <w:ind w:left="4403" w:hanging="360"/>
      </w:pPr>
    </w:lvl>
    <w:lvl w:ilvl="5" w:tplc="8CFC0B54" w:tentative="1">
      <w:start w:val="1"/>
      <w:numFmt w:val="lowerRoman"/>
      <w:lvlText w:val="%6."/>
      <w:lvlJc w:val="right"/>
      <w:pPr>
        <w:ind w:left="5123" w:hanging="180"/>
      </w:pPr>
    </w:lvl>
    <w:lvl w:ilvl="6" w:tplc="16365500" w:tentative="1">
      <w:start w:val="1"/>
      <w:numFmt w:val="decimal"/>
      <w:lvlText w:val="%7."/>
      <w:lvlJc w:val="left"/>
      <w:pPr>
        <w:ind w:left="5843" w:hanging="360"/>
      </w:pPr>
    </w:lvl>
    <w:lvl w:ilvl="7" w:tplc="4EC68E90" w:tentative="1">
      <w:start w:val="1"/>
      <w:numFmt w:val="lowerLetter"/>
      <w:lvlText w:val="%8."/>
      <w:lvlJc w:val="left"/>
      <w:pPr>
        <w:ind w:left="6563" w:hanging="360"/>
      </w:pPr>
    </w:lvl>
    <w:lvl w:ilvl="8" w:tplc="B4B0743C" w:tentative="1">
      <w:start w:val="1"/>
      <w:numFmt w:val="lowerRoman"/>
      <w:lvlText w:val="%9."/>
      <w:lvlJc w:val="right"/>
      <w:pPr>
        <w:ind w:left="7283" w:hanging="180"/>
      </w:pPr>
    </w:lvl>
  </w:abstractNum>
  <w:abstractNum w:abstractNumId="29" w15:restartNumberingAfterBreak="0">
    <w:nsid w:val="7D2C57CD"/>
    <w:multiLevelType w:val="hybridMultilevel"/>
    <w:tmpl w:val="4AE47892"/>
    <w:lvl w:ilvl="0" w:tplc="7F14977C">
      <w:start w:val="1"/>
      <w:numFmt w:val="hebrew1"/>
      <w:lvlText w:val="%1."/>
      <w:lvlJc w:val="left"/>
      <w:pPr>
        <w:ind w:left="720" w:hanging="360"/>
      </w:pPr>
      <w:rPr>
        <w:rFonts w:hint="default"/>
      </w:rPr>
    </w:lvl>
    <w:lvl w:ilvl="1" w:tplc="19565AE0" w:tentative="1">
      <w:start w:val="1"/>
      <w:numFmt w:val="lowerLetter"/>
      <w:lvlText w:val="%2."/>
      <w:lvlJc w:val="left"/>
      <w:pPr>
        <w:ind w:left="1440" w:hanging="360"/>
      </w:pPr>
    </w:lvl>
    <w:lvl w:ilvl="2" w:tplc="A29A7B74" w:tentative="1">
      <w:start w:val="1"/>
      <w:numFmt w:val="lowerRoman"/>
      <w:lvlText w:val="%3."/>
      <w:lvlJc w:val="right"/>
      <w:pPr>
        <w:ind w:left="2160" w:hanging="180"/>
      </w:pPr>
    </w:lvl>
    <w:lvl w:ilvl="3" w:tplc="8154092C" w:tentative="1">
      <w:start w:val="1"/>
      <w:numFmt w:val="decimal"/>
      <w:lvlText w:val="%4."/>
      <w:lvlJc w:val="left"/>
      <w:pPr>
        <w:ind w:left="2880" w:hanging="360"/>
      </w:pPr>
    </w:lvl>
    <w:lvl w:ilvl="4" w:tplc="218435B4" w:tentative="1">
      <w:start w:val="1"/>
      <w:numFmt w:val="lowerLetter"/>
      <w:lvlText w:val="%5."/>
      <w:lvlJc w:val="left"/>
      <w:pPr>
        <w:ind w:left="3600" w:hanging="360"/>
      </w:pPr>
    </w:lvl>
    <w:lvl w:ilvl="5" w:tplc="A0D482F6" w:tentative="1">
      <w:start w:val="1"/>
      <w:numFmt w:val="lowerRoman"/>
      <w:lvlText w:val="%6."/>
      <w:lvlJc w:val="right"/>
      <w:pPr>
        <w:ind w:left="4320" w:hanging="180"/>
      </w:pPr>
    </w:lvl>
    <w:lvl w:ilvl="6" w:tplc="772EBEE4" w:tentative="1">
      <w:start w:val="1"/>
      <w:numFmt w:val="decimal"/>
      <w:lvlText w:val="%7."/>
      <w:lvlJc w:val="left"/>
      <w:pPr>
        <w:ind w:left="5040" w:hanging="360"/>
      </w:pPr>
    </w:lvl>
    <w:lvl w:ilvl="7" w:tplc="ACBE66FC" w:tentative="1">
      <w:start w:val="1"/>
      <w:numFmt w:val="lowerLetter"/>
      <w:lvlText w:val="%8."/>
      <w:lvlJc w:val="left"/>
      <w:pPr>
        <w:ind w:left="5760" w:hanging="360"/>
      </w:pPr>
    </w:lvl>
    <w:lvl w:ilvl="8" w:tplc="693CA30A" w:tentative="1">
      <w:start w:val="1"/>
      <w:numFmt w:val="lowerRoman"/>
      <w:lvlText w:val="%9."/>
      <w:lvlJc w:val="right"/>
      <w:pPr>
        <w:ind w:left="6480" w:hanging="180"/>
      </w:pPr>
    </w:lvl>
  </w:abstractNum>
  <w:num w:numId="1">
    <w:abstractNumId w:val="10"/>
  </w:num>
  <w:num w:numId="2">
    <w:abstractNumId w:val="20"/>
  </w:num>
  <w:num w:numId="3">
    <w:abstractNumId w:val="23"/>
  </w:num>
  <w:num w:numId="4">
    <w:abstractNumId w:val="17"/>
  </w:num>
  <w:num w:numId="5">
    <w:abstractNumId w:val="24"/>
  </w:num>
  <w:num w:numId="6">
    <w:abstractNumId w:val="29"/>
  </w:num>
  <w:num w:numId="7">
    <w:abstractNumId w:val="18"/>
  </w:num>
  <w:num w:numId="8">
    <w:abstractNumId w:val="16"/>
  </w:num>
  <w:num w:numId="9">
    <w:abstractNumId w:val="14"/>
  </w:num>
  <w:num w:numId="10">
    <w:abstractNumId w:val="28"/>
  </w:num>
  <w:num w:numId="11">
    <w:abstractNumId w:val="15"/>
  </w:num>
  <w:num w:numId="12">
    <w:abstractNumId w:val="10"/>
    <w:lvlOverride w:ilvl="0">
      <w:startOverride w:val="1"/>
    </w:lvlOverride>
  </w:num>
  <w:num w:numId="13">
    <w:abstractNumId w:val="10"/>
    <w:lvlOverride w:ilvl="0">
      <w:startOverride w:val="1"/>
    </w:lvlOverride>
  </w:num>
  <w:num w:numId="14">
    <w:abstractNumId w:val="10"/>
    <w:lvlOverride w:ilvl="0">
      <w:startOverride w:val="1"/>
    </w:lvlOverride>
  </w:num>
  <w:num w:numId="15">
    <w:abstractNumId w:val="10"/>
    <w:lvlOverride w:ilvl="0">
      <w:startOverride w:val="1"/>
    </w:lvlOverride>
  </w:num>
  <w:num w:numId="16">
    <w:abstractNumId w:val="13"/>
  </w:num>
  <w:num w:numId="17">
    <w:abstractNumId w:val="10"/>
    <w:lvlOverride w:ilvl="0">
      <w:startOverride w:val="1"/>
    </w:lvlOverride>
  </w:num>
  <w:num w:numId="18">
    <w:abstractNumId w:val="11"/>
  </w:num>
  <w:num w:numId="19">
    <w:abstractNumId w:val="10"/>
    <w:lvlOverride w:ilvl="0">
      <w:startOverride w:val="1"/>
    </w:lvlOverride>
  </w:num>
  <w:num w:numId="20">
    <w:abstractNumId w:val="22"/>
  </w:num>
  <w:num w:numId="21">
    <w:abstractNumId w:val="26"/>
  </w:num>
  <w:num w:numId="22">
    <w:abstractNumId w:val="10"/>
    <w:lvlOverride w:ilvl="0">
      <w:startOverride w:val="1"/>
    </w:lvlOverride>
  </w:num>
  <w:num w:numId="23">
    <w:abstractNumId w:val="12"/>
  </w:num>
  <w:num w:numId="24">
    <w:abstractNumId w:val="27"/>
  </w:num>
  <w:num w:numId="25">
    <w:abstractNumId w:val="21"/>
  </w:num>
  <w:num w:numId="26">
    <w:abstractNumId w:val="19"/>
  </w:num>
  <w:num w:numId="27">
    <w:abstractNumId w:val="25"/>
  </w:num>
  <w:num w:numId="28">
    <w:abstractNumId w:val="10"/>
    <w:lvlOverride w:ilvl="0">
      <w:startOverride w:val="1"/>
    </w:lvlOverride>
  </w:num>
  <w:num w:numId="29">
    <w:abstractNumId w:val="8"/>
  </w:num>
  <w:num w:numId="30">
    <w:abstractNumId w:val="3"/>
  </w:num>
  <w:num w:numId="31">
    <w:abstractNumId w:val="2"/>
  </w:num>
  <w:num w:numId="32">
    <w:abstractNumId w:val="1"/>
  </w:num>
  <w:num w:numId="33">
    <w:abstractNumId w:val="0"/>
  </w:num>
  <w:num w:numId="34">
    <w:abstractNumId w:val="9"/>
  </w:num>
  <w:num w:numId="35">
    <w:abstractNumId w:val="7"/>
  </w:num>
  <w:num w:numId="36">
    <w:abstractNumId w:val="6"/>
  </w:num>
  <w:num w:numId="37">
    <w:abstractNumId w:val="5"/>
  </w:num>
  <w:num w:numId="38">
    <w:abstractNumId w:val="4"/>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num>
  <w:num w:numId="41">
    <w:abstractNumId w:val="10"/>
    <w:lvlOverride w:ilvl="0">
      <w:startOverride w:val="53"/>
    </w:lvlOverride>
  </w:num>
  <w:num w:numId="42">
    <w:abstractNumId w:val="10"/>
    <w:lvlOverride w:ilvl="0">
      <w:startOverride w:val="64"/>
    </w:lvlOverride>
  </w:num>
  <w:num w:numId="43">
    <w:abstractNumId w:val="10"/>
  </w:num>
  <w:num w:numId="44">
    <w:abstractNumId w:val="10"/>
    <w:lvlOverride w:ilvl="0">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hideSpellingErrors/>
  <w:hideGrammatical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0"/>
  <w:defaultTabStop w:val="720"/>
  <w:drawingGridHorizontalSpacing w:val="120"/>
  <w:drawingGridVerticalSpacing w:val="120"/>
  <w:displayVerticalDrawingGridEvery w:val="0"/>
  <w:doNotUseMarginsForDrawingGridOrigin/>
  <w:doNotShadeFormData/>
  <w:noPunctuationKerning/>
  <w:characterSpacingControl w:val="doNotCompress"/>
  <w:footnotePr>
    <w:footnote w:id="-1"/>
    <w:footnote w:id="0"/>
  </w:footnotePr>
  <w:endnotePr>
    <w:numFmt w:val="lowerLette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227"/>
    <w:rsid w:val="00003582"/>
    <w:rsid w:val="000075A3"/>
    <w:rsid w:val="000076EF"/>
    <w:rsid w:val="00016EF1"/>
    <w:rsid w:val="00032036"/>
    <w:rsid w:val="00033A75"/>
    <w:rsid w:val="00035B19"/>
    <w:rsid w:val="00036227"/>
    <w:rsid w:val="00041550"/>
    <w:rsid w:val="00043C46"/>
    <w:rsid w:val="00044953"/>
    <w:rsid w:val="00045B4D"/>
    <w:rsid w:val="000511B9"/>
    <w:rsid w:val="000570F1"/>
    <w:rsid w:val="000620DD"/>
    <w:rsid w:val="00064981"/>
    <w:rsid w:val="00065744"/>
    <w:rsid w:val="00066B14"/>
    <w:rsid w:val="000673F3"/>
    <w:rsid w:val="000725F5"/>
    <w:rsid w:val="00072AD2"/>
    <w:rsid w:val="000807EC"/>
    <w:rsid w:val="00084D72"/>
    <w:rsid w:val="0009053D"/>
    <w:rsid w:val="0009484D"/>
    <w:rsid w:val="000A6755"/>
    <w:rsid w:val="000B1478"/>
    <w:rsid w:val="000B2012"/>
    <w:rsid w:val="000B7D4B"/>
    <w:rsid w:val="000C3292"/>
    <w:rsid w:val="000C4690"/>
    <w:rsid w:val="000D25C4"/>
    <w:rsid w:val="000D4A81"/>
    <w:rsid w:val="000D4C61"/>
    <w:rsid w:val="000E2100"/>
    <w:rsid w:val="000E5C50"/>
    <w:rsid w:val="00104D6D"/>
    <w:rsid w:val="00117577"/>
    <w:rsid w:val="00120A86"/>
    <w:rsid w:val="00134A67"/>
    <w:rsid w:val="00140975"/>
    <w:rsid w:val="001507A7"/>
    <w:rsid w:val="00155DFC"/>
    <w:rsid w:val="001632F7"/>
    <w:rsid w:val="001A0164"/>
    <w:rsid w:val="001A2420"/>
    <w:rsid w:val="001C60BC"/>
    <w:rsid w:val="001C79BD"/>
    <w:rsid w:val="001D7146"/>
    <w:rsid w:val="001E5CA0"/>
    <w:rsid w:val="00200D6B"/>
    <w:rsid w:val="00233B7F"/>
    <w:rsid w:val="002358E6"/>
    <w:rsid w:val="00244560"/>
    <w:rsid w:val="00245D2F"/>
    <w:rsid w:val="00265F6E"/>
    <w:rsid w:val="002742C2"/>
    <w:rsid w:val="0028365D"/>
    <w:rsid w:val="002876BF"/>
    <w:rsid w:val="002A1A3A"/>
    <w:rsid w:val="002A2985"/>
    <w:rsid w:val="002A4A7A"/>
    <w:rsid w:val="002A4BF3"/>
    <w:rsid w:val="002B6F80"/>
    <w:rsid w:val="002C19DC"/>
    <w:rsid w:val="002C3679"/>
    <w:rsid w:val="002C7ED4"/>
    <w:rsid w:val="002D05BD"/>
    <w:rsid w:val="002D3F57"/>
    <w:rsid w:val="002D44E7"/>
    <w:rsid w:val="002D5177"/>
    <w:rsid w:val="002E04BD"/>
    <w:rsid w:val="002F1F17"/>
    <w:rsid w:val="002F70BB"/>
    <w:rsid w:val="002F7777"/>
    <w:rsid w:val="002F7BB6"/>
    <w:rsid w:val="002F7CED"/>
    <w:rsid w:val="00302EF5"/>
    <w:rsid w:val="00303340"/>
    <w:rsid w:val="003448B2"/>
    <w:rsid w:val="00344ADC"/>
    <w:rsid w:val="00361DB2"/>
    <w:rsid w:val="00371BF4"/>
    <w:rsid w:val="0037622E"/>
    <w:rsid w:val="00377102"/>
    <w:rsid w:val="00385DDA"/>
    <w:rsid w:val="0039709B"/>
    <w:rsid w:val="003A67F7"/>
    <w:rsid w:val="003B4CBD"/>
    <w:rsid w:val="003B72D2"/>
    <w:rsid w:val="003C355E"/>
    <w:rsid w:val="003C418C"/>
    <w:rsid w:val="003D2318"/>
    <w:rsid w:val="003D72DA"/>
    <w:rsid w:val="003D7BFC"/>
    <w:rsid w:val="003E56D8"/>
    <w:rsid w:val="003F1F97"/>
    <w:rsid w:val="003F3398"/>
    <w:rsid w:val="0041048F"/>
    <w:rsid w:val="004133E8"/>
    <w:rsid w:val="004166B4"/>
    <w:rsid w:val="004252F2"/>
    <w:rsid w:val="004272F4"/>
    <w:rsid w:val="00436B1B"/>
    <w:rsid w:val="00437D59"/>
    <w:rsid w:val="0044250E"/>
    <w:rsid w:val="0045135F"/>
    <w:rsid w:val="004610A4"/>
    <w:rsid w:val="00462789"/>
    <w:rsid w:val="00464BE2"/>
    <w:rsid w:val="0047626A"/>
    <w:rsid w:val="004845DB"/>
    <w:rsid w:val="0049644B"/>
    <w:rsid w:val="004B29FF"/>
    <w:rsid w:val="004B62A4"/>
    <w:rsid w:val="004B636E"/>
    <w:rsid w:val="004C0148"/>
    <w:rsid w:val="004C13CA"/>
    <w:rsid w:val="004C7868"/>
    <w:rsid w:val="004E24BB"/>
    <w:rsid w:val="004E4926"/>
    <w:rsid w:val="00503A3E"/>
    <w:rsid w:val="00522A38"/>
    <w:rsid w:val="00527F02"/>
    <w:rsid w:val="0053004E"/>
    <w:rsid w:val="00535C11"/>
    <w:rsid w:val="005434DC"/>
    <w:rsid w:val="00550179"/>
    <w:rsid w:val="005635D5"/>
    <w:rsid w:val="005649BC"/>
    <w:rsid w:val="00567BDE"/>
    <w:rsid w:val="00570AC5"/>
    <w:rsid w:val="005729DA"/>
    <w:rsid w:val="005745E6"/>
    <w:rsid w:val="00577762"/>
    <w:rsid w:val="005803E2"/>
    <w:rsid w:val="00581219"/>
    <w:rsid w:val="00583A9D"/>
    <w:rsid w:val="0058440A"/>
    <w:rsid w:val="00586E45"/>
    <w:rsid w:val="00591983"/>
    <w:rsid w:val="0060042C"/>
    <w:rsid w:val="0060199F"/>
    <w:rsid w:val="00624A42"/>
    <w:rsid w:val="00625009"/>
    <w:rsid w:val="00627331"/>
    <w:rsid w:val="006335BE"/>
    <w:rsid w:val="0064595F"/>
    <w:rsid w:val="00651A08"/>
    <w:rsid w:val="0065522F"/>
    <w:rsid w:val="006555A3"/>
    <w:rsid w:val="00681CAB"/>
    <w:rsid w:val="006856B2"/>
    <w:rsid w:val="00686B28"/>
    <w:rsid w:val="006912F6"/>
    <w:rsid w:val="006A30F7"/>
    <w:rsid w:val="006C42AD"/>
    <w:rsid w:val="006C7E8F"/>
    <w:rsid w:val="006D2CE1"/>
    <w:rsid w:val="006D4E80"/>
    <w:rsid w:val="006F0D36"/>
    <w:rsid w:val="00701201"/>
    <w:rsid w:val="00704412"/>
    <w:rsid w:val="0071113A"/>
    <w:rsid w:val="00715D85"/>
    <w:rsid w:val="00725345"/>
    <w:rsid w:val="00726AB8"/>
    <w:rsid w:val="007354B0"/>
    <w:rsid w:val="00737972"/>
    <w:rsid w:val="00741CC0"/>
    <w:rsid w:val="00744D40"/>
    <w:rsid w:val="0075641B"/>
    <w:rsid w:val="007572DB"/>
    <w:rsid w:val="00763EAB"/>
    <w:rsid w:val="00766860"/>
    <w:rsid w:val="0078637F"/>
    <w:rsid w:val="00791627"/>
    <w:rsid w:val="007931F9"/>
    <w:rsid w:val="0079348B"/>
    <w:rsid w:val="007B512F"/>
    <w:rsid w:val="007B66CA"/>
    <w:rsid w:val="007C5293"/>
    <w:rsid w:val="007D0134"/>
    <w:rsid w:val="007E1722"/>
    <w:rsid w:val="007E47E2"/>
    <w:rsid w:val="007E73C6"/>
    <w:rsid w:val="007F7512"/>
    <w:rsid w:val="00810894"/>
    <w:rsid w:val="008143AB"/>
    <w:rsid w:val="00815DDA"/>
    <w:rsid w:val="008177DB"/>
    <w:rsid w:val="0083345F"/>
    <w:rsid w:val="00836667"/>
    <w:rsid w:val="00836AC8"/>
    <w:rsid w:val="00841CAC"/>
    <w:rsid w:val="00844B0E"/>
    <w:rsid w:val="00863C7F"/>
    <w:rsid w:val="008665B9"/>
    <w:rsid w:val="00866D0F"/>
    <w:rsid w:val="00871B48"/>
    <w:rsid w:val="008803AE"/>
    <w:rsid w:val="00895F39"/>
    <w:rsid w:val="00897285"/>
    <w:rsid w:val="008A01D1"/>
    <w:rsid w:val="008A0EDE"/>
    <w:rsid w:val="008A6057"/>
    <w:rsid w:val="008B0A5C"/>
    <w:rsid w:val="008B4A55"/>
    <w:rsid w:val="008C0464"/>
    <w:rsid w:val="008C2F11"/>
    <w:rsid w:val="008C700B"/>
    <w:rsid w:val="008C7B56"/>
    <w:rsid w:val="008D0012"/>
    <w:rsid w:val="008D5D1A"/>
    <w:rsid w:val="008D78B9"/>
    <w:rsid w:val="008E1F1C"/>
    <w:rsid w:val="008E3F85"/>
    <w:rsid w:val="008E6610"/>
    <w:rsid w:val="0090010E"/>
    <w:rsid w:val="00900B09"/>
    <w:rsid w:val="009051E8"/>
    <w:rsid w:val="00914156"/>
    <w:rsid w:val="00916FF8"/>
    <w:rsid w:val="0092013A"/>
    <w:rsid w:val="00922093"/>
    <w:rsid w:val="00923D83"/>
    <w:rsid w:val="00925BE3"/>
    <w:rsid w:val="00930C85"/>
    <w:rsid w:val="009533AF"/>
    <w:rsid w:val="00955392"/>
    <w:rsid w:val="00956D69"/>
    <w:rsid w:val="009603B3"/>
    <w:rsid w:val="0099248F"/>
    <w:rsid w:val="0099680F"/>
    <w:rsid w:val="00996F19"/>
    <w:rsid w:val="009B0AFF"/>
    <w:rsid w:val="009B38DA"/>
    <w:rsid w:val="009C7DD4"/>
    <w:rsid w:val="009D4186"/>
    <w:rsid w:val="009E4A4E"/>
    <w:rsid w:val="009E6787"/>
    <w:rsid w:val="009E7918"/>
    <w:rsid w:val="009F1D30"/>
    <w:rsid w:val="009F2EBF"/>
    <w:rsid w:val="009F2F53"/>
    <w:rsid w:val="009F4187"/>
    <w:rsid w:val="00A01E7C"/>
    <w:rsid w:val="00A0648B"/>
    <w:rsid w:val="00A1017E"/>
    <w:rsid w:val="00A11902"/>
    <w:rsid w:val="00A12E0F"/>
    <w:rsid w:val="00A26739"/>
    <w:rsid w:val="00A3351A"/>
    <w:rsid w:val="00A36B0E"/>
    <w:rsid w:val="00A37533"/>
    <w:rsid w:val="00A42C5D"/>
    <w:rsid w:val="00A45121"/>
    <w:rsid w:val="00A51FAE"/>
    <w:rsid w:val="00A52899"/>
    <w:rsid w:val="00A63A37"/>
    <w:rsid w:val="00A70A72"/>
    <w:rsid w:val="00A712AD"/>
    <w:rsid w:val="00A73C38"/>
    <w:rsid w:val="00A7762C"/>
    <w:rsid w:val="00A80845"/>
    <w:rsid w:val="00AA0595"/>
    <w:rsid w:val="00AA4274"/>
    <w:rsid w:val="00AA7D7A"/>
    <w:rsid w:val="00AB5E8B"/>
    <w:rsid w:val="00AB69F7"/>
    <w:rsid w:val="00AC19F2"/>
    <w:rsid w:val="00AC74AF"/>
    <w:rsid w:val="00AD097B"/>
    <w:rsid w:val="00AD64B9"/>
    <w:rsid w:val="00AD770F"/>
    <w:rsid w:val="00AE022B"/>
    <w:rsid w:val="00AE4D4B"/>
    <w:rsid w:val="00AF4403"/>
    <w:rsid w:val="00AF4803"/>
    <w:rsid w:val="00B009CC"/>
    <w:rsid w:val="00B02A99"/>
    <w:rsid w:val="00B06786"/>
    <w:rsid w:val="00B0782A"/>
    <w:rsid w:val="00B2264F"/>
    <w:rsid w:val="00B23995"/>
    <w:rsid w:val="00B27A2A"/>
    <w:rsid w:val="00B4445E"/>
    <w:rsid w:val="00B62B8C"/>
    <w:rsid w:val="00B63343"/>
    <w:rsid w:val="00B72BEC"/>
    <w:rsid w:val="00B86442"/>
    <w:rsid w:val="00B872BD"/>
    <w:rsid w:val="00B87FF7"/>
    <w:rsid w:val="00BA0A14"/>
    <w:rsid w:val="00BA0B08"/>
    <w:rsid w:val="00BA15C2"/>
    <w:rsid w:val="00BB1869"/>
    <w:rsid w:val="00BB56BB"/>
    <w:rsid w:val="00BC0E82"/>
    <w:rsid w:val="00BC480B"/>
    <w:rsid w:val="00BC6F21"/>
    <w:rsid w:val="00BD3965"/>
    <w:rsid w:val="00BD40F9"/>
    <w:rsid w:val="00BE5D45"/>
    <w:rsid w:val="00BF2682"/>
    <w:rsid w:val="00BF38FF"/>
    <w:rsid w:val="00C044AE"/>
    <w:rsid w:val="00C35972"/>
    <w:rsid w:val="00C408E0"/>
    <w:rsid w:val="00C41C86"/>
    <w:rsid w:val="00C54B69"/>
    <w:rsid w:val="00C56A45"/>
    <w:rsid w:val="00C60397"/>
    <w:rsid w:val="00C63A6C"/>
    <w:rsid w:val="00C64AE8"/>
    <w:rsid w:val="00C67BCE"/>
    <w:rsid w:val="00C70D30"/>
    <w:rsid w:val="00C72012"/>
    <w:rsid w:val="00C72AE9"/>
    <w:rsid w:val="00C72E17"/>
    <w:rsid w:val="00C8043B"/>
    <w:rsid w:val="00C81226"/>
    <w:rsid w:val="00C8220F"/>
    <w:rsid w:val="00C8790C"/>
    <w:rsid w:val="00C914FE"/>
    <w:rsid w:val="00C91ED0"/>
    <w:rsid w:val="00CA13AF"/>
    <w:rsid w:val="00CA1444"/>
    <w:rsid w:val="00CA1B8F"/>
    <w:rsid w:val="00CA2268"/>
    <w:rsid w:val="00CA2B14"/>
    <w:rsid w:val="00CA52BD"/>
    <w:rsid w:val="00CB1590"/>
    <w:rsid w:val="00CB3B01"/>
    <w:rsid w:val="00CB4042"/>
    <w:rsid w:val="00CB5063"/>
    <w:rsid w:val="00CB7600"/>
    <w:rsid w:val="00CC0E9D"/>
    <w:rsid w:val="00CC3639"/>
    <w:rsid w:val="00CD21A3"/>
    <w:rsid w:val="00CF42E9"/>
    <w:rsid w:val="00D00B1D"/>
    <w:rsid w:val="00D00CB7"/>
    <w:rsid w:val="00D04D14"/>
    <w:rsid w:val="00D157EC"/>
    <w:rsid w:val="00D16D48"/>
    <w:rsid w:val="00D25F16"/>
    <w:rsid w:val="00D37489"/>
    <w:rsid w:val="00D4580D"/>
    <w:rsid w:val="00D51819"/>
    <w:rsid w:val="00D61E12"/>
    <w:rsid w:val="00D62B07"/>
    <w:rsid w:val="00D80A0B"/>
    <w:rsid w:val="00D95D60"/>
    <w:rsid w:val="00D95FFD"/>
    <w:rsid w:val="00DA12FA"/>
    <w:rsid w:val="00DB265B"/>
    <w:rsid w:val="00DE125E"/>
    <w:rsid w:val="00DE738E"/>
    <w:rsid w:val="00E00082"/>
    <w:rsid w:val="00E0052A"/>
    <w:rsid w:val="00E00BCB"/>
    <w:rsid w:val="00E020A2"/>
    <w:rsid w:val="00E02B95"/>
    <w:rsid w:val="00E21CA9"/>
    <w:rsid w:val="00E27FC5"/>
    <w:rsid w:val="00E31063"/>
    <w:rsid w:val="00E31875"/>
    <w:rsid w:val="00E32081"/>
    <w:rsid w:val="00E36FE9"/>
    <w:rsid w:val="00E44541"/>
    <w:rsid w:val="00E459E2"/>
    <w:rsid w:val="00E46255"/>
    <w:rsid w:val="00E47E7C"/>
    <w:rsid w:val="00E55789"/>
    <w:rsid w:val="00E60F6B"/>
    <w:rsid w:val="00E652FA"/>
    <w:rsid w:val="00E703F1"/>
    <w:rsid w:val="00E73E98"/>
    <w:rsid w:val="00E75223"/>
    <w:rsid w:val="00E81AEC"/>
    <w:rsid w:val="00E8755B"/>
    <w:rsid w:val="00E90D72"/>
    <w:rsid w:val="00E942B3"/>
    <w:rsid w:val="00EA0BE1"/>
    <w:rsid w:val="00EA7B70"/>
    <w:rsid w:val="00EB02E1"/>
    <w:rsid w:val="00EB7C41"/>
    <w:rsid w:val="00EC23AC"/>
    <w:rsid w:val="00EC2992"/>
    <w:rsid w:val="00EC32E0"/>
    <w:rsid w:val="00EC44D7"/>
    <w:rsid w:val="00EC481E"/>
    <w:rsid w:val="00ED46A4"/>
    <w:rsid w:val="00ED6FD9"/>
    <w:rsid w:val="00EE0FBF"/>
    <w:rsid w:val="00EE1051"/>
    <w:rsid w:val="00EE3810"/>
    <w:rsid w:val="00EE65B9"/>
    <w:rsid w:val="00EF0780"/>
    <w:rsid w:val="00F02082"/>
    <w:rsid w:val="00F16ADB"/>
    <w:rsid w:val="00F23F10"/>
    <w:rsid w:val="00F2578E"/>
    <w:rsid w:val="00F34823"/>
    <w:rsid w:val="00F51B57"/>
    <w:rsid w:val="00F5306E"/>
    <w:rsid w:val="00F63C3B"/>
    <w:rsid w:val="00F648D3"/>
    <w:rsid w:val="00F959DB"/>
    <w:rsid w:val="00FA71D8"/>
    <w:rsid w:val="00FB1906"/>
    <w:rsid w:val="00FC0252"/>
    <w:rsid w:val="00FD0954"/>
    <w:rsid w:val="00FE443E"/>
    <w:rsid w:val="00FF17DB"/>
    <w:rsid w:val="00FF49CB"/>
    <w:rsid w:val="00FF74F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13FD38"/>
  <w15:chartTrackingRefBased/>
  <w15:docId w15:val="{E5805B5C-F651-4A95-A203-3A2E2A583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bidi/>
      <w:adjustRightInd w:val="0"/>
      <w:textAlignment w:val="baseline"/>
    </w:pPr>
    <w:rPr>
      <w:rFonts w:cs="David"/>
      <w:szCs w:val="24"/>
    </w:rPr>
  </w:style>
  <w:style w:type="paragraph" w:styleId="1">
    <w:name w:val="heading 1"/>
    <w:basedOn w:val="Ruller41"/>
    <w:next w:val="a"/>
    <w:link w:val="10"/>
    <w:qFormat/>
    <w:rsid w:val="00C044AE"/>
    <w:pPr>
      <w:outlineLvl w:val="0"/>
    </w:pPr>
    <w:rPr>
      <w:rFonts w:ascii="Century" w:hAnsi="Century" w:cs="Miriam"/>
      <w:b/>
      <w:spacing w:val="0"/>
      <w:szCs w:val="24"/>
    </w:rPr>
  </w:style>
  <w:style w:type="paragraph" w:styleId="2">
    <w:name w:val="heading 2"/>
    <w:basedOn w:val="a"/>
    <w:next w:val="a"/>
    <w:link w:val="20"/>
    <w:unhideWhenUsed/>
    <w:qFormat/>
    <w:rsid w:val="00C044AE"/>
    <w:pPr>
      <w:keepNext/>
      <w:keepLines/>
      <w:spacing w:before="40" w:line="360" w:lineRule="auto"/>
      <w:outlineLvl w:val="1"/>
    </w:pPr>
    <w:rPr>
      <w:rFonts w:asciiTheme="majorHAnsi" w:eastAsiaTheme="majorEastAsia" w:hAnsiTheme="majorHAnsi" w:cstheme="majorBidi"/>
      <w:color w:val="2E74B5" w:themeColor="accent1" w:themeShade="BF"/>
      <w:spacing w:val="10"/>
      <w:sz w:val="26"/>
      <w:szCs w:val="26"/>
    </w:rPr>
  </w:style>
  <w:style w:type="paragraph" w:styleId="3">
    <w:name w:val="heading 3"/>
    <w:basedOn w:val="a"/>
    <w:next w:val="a"/>
    <w:link w:val="30"/>
    <w:semiHidden/>
    <w:unhideWhenUsed/>
    <w:qFormat/>
    <w:rsid w:val="00D61E12"/>
    <w:pPr>
      <w:keepNext/>
      <w:keepLines/>
      <w:spacing w:before="40"/>
      <w:outlineLvl w:val="2"/>
    </w:pPr>
    <w:rPr>
      <w:rFonts w:asciiTheme="majorHAnsi" w:eastAsiaTheme="majorEastAsia" w:hAnsiTheme="majorHAnsi" w:cstheme="majorBidi"/>
      <w:color w:val="1F4D78" w:themeColor="accent1" w:themeShade="7F"/>
      <w:sz w:val="24"/>
    </w:rPr>
  </w:style>
  <w:style w:type="paragraph" w:styleId="5">
    <w:name w:val="heading 5"/>
    <w:basedOn w:val="a"/>
    <w:next w:val="a"/>
    <w:link w:val="50"/>
    <w:unhideWhenUsed/>
    <w:qFormat/>
    <w:rsid w:val="00C044AE"/>
    <w:pPr>
      <w:keepNext/>
      <w:keepLines/>
      <w:spacing w:before="40" w:line="360" w:lineRule="auto"/>
      <w:outlineLvl w:val="4"/>
    </w:pPr>
    <w:rPr>
      <w:rFonts w:asciiTheme="majorHAnsi" w:eastAsiaTheme="majorEastAsia" w:hAnsiTheme="majorHAnsi" w:cstheme="majorBidi"/>
      <w:color w:val="2E74B5" w:themeColor="accent1" w:themeShade="BF"/>
      <w:spacing w:val="10"/>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uller3">
    <w:name w:val="Ruller 3"/>
    <w:basedOn w:val="a"/>
    <w:rsid w:val="00A51FAE"/>
    <w:pPr>
      <w:tabs>
        <w:tab w:val="left" w:pos="3210"/>
        <w:tab w:val="left" w:pos="6753"/>
      </w:tabs>
      <w:spacing w:line="360" w:lineRule="auto"/>
    </w:pPr>
    <w:rPr>
      <w:rFonts w:cs="FrankRuehl"/>
      <w:spacing w:val="10"/>
      <w:sz w:val="22"/>
      <w:szCs w:val="28"/>
    </w:rPr>
  </w:style>
  <w:style w:type="paragraph" w:customStyle="1" w:styleId="Pskdinhead">
    <w:name w:val="Pskdin head"/>
    <w:basedOn w:val="a"/>
    <w:pPr>
      <w:spacing w:line="360" w:lineRule="auto"/>
    </w:pPr>
    <w:rPr>
      <w:b/>
      <w:bCs/>
      <w:u w:val="single"/>
    </w:rPr>
  </w:style>
  <w:style w:type="paragraph" w:customStyle="1" w:styleId="FileNumber">
    <w:name w:val="File Number"/>
    <w:basedOn w:val="a"/>
    <w:pPr>
      <w:spacing w:line="360" w:lineRule="auto"/>
      <w:jc w:val="right"/>
    </w:pPr>
    <w:rPr>
      <w:bCs/>
    </w:rPr>
  </w:style>
  <w:style w:type="paragraph" w:customStyle="1" w:styleId="FirstpagestylePsakdin">
    <w:name w:val="First page style Psak din"/>
    <w:basedOn w:val="Ruller3"/>
    <w:pPr>
      <w:tabs>
        <w:tab w:val="clear" w:pos="3210"/>
        <w:tab w:val="left" w:pos="3209"/>
      </w:tabs>
    </w:pPr>
    <w:rPr>
      <w:bCs/>
    </w:rPr>
  </w:style>
  <w:style w:type="paragraph" w:customStyle="1" w:styleId="TyutaDate">
    <w:name w:val="Tyuta Date"/>
    <w:basedOn w:val="a"/>
    <w:pPr>
      <w:jc w:val="center"/>
    </w:pPr>
    <w:rPr>
      <w:b/>
      <w:bCs/>
      <w:i/>
      <w:iCs/>
      <w:sz w:val="28"/>
      <w:szCs w:val="28"/>
    </w:rPr>
  </w:style>
  <w:style w:type="paragraph" w:customStyle="1" w:styleId="DocumentHead">
    <w:name w:val="Document Head"/>
    <w:basedOn w:val="a"/>
    <w:pPr>
      <w:spacing w:line="360" w:lineRule="auto"/>
      <w:jc w:val="center"/>
    </w:pPr>
    <w:rPr>
      <w:bCs/>
      <w:spacing w:val="30"/>
      <w:szCs w:val="28"/>
      <w:u w:val="single"/>
    </w:rPr>
  </w:style>
  <w:style w:type="paragraph" w:customStyle="1" w:styleId="TfutzaList">
    <w:name w:val="Tfutza List"/>
    <w:basedOn w:val="a"/>
    <w:rPr>
      <w:i/>
      <w:iCs/>
    </w:rPr>
  </w:style>
  <w:style w:type="paragraph" w:customStyle="1" w:styleId="Ruller41">
    <w:name w:val="Ruller4"/>
    <w:basedOn w:val="a"/>
    <w:link w:val="Ruller42"/>
    <w:qFormat/>
    <w:rsid w:val="00A51FAE"/>
    <w:pPr>
      <w:tabs>
        <w:tab w:val="left" w:pos="800"/>
      </w:tabs>
      <w:spacing w:line="360" w:lineRule="auto"/>
      <w:jc w:val="both"/>
    </w:pPr>
    <w:rPr>
      <w:rFonts w:ascii="Arial TUR" w:hAnsi="Arial TUR" w:cs="FrankRuehl"/>
      <w:spacing w:val="10"/>
      <w:sz w:val="22"/>
      <w:szCs w:val="28"/>
    </w:rPr>
  </w:style>
  <w:style w:type="paragraph" w:customStyle="1" w:styleId="Ruller5">
    <w:name w:val="Ruller5"/>
    <w:basedOn w:val="a"/>
    <w:link w:val="Ruller50"/>
    <w:rsid w:val="00A51FAE"/>
    <w:pPr>
      <w:ind w:left="1642" w:right="1282"/>
      <w:jc w:val="both"/>
    </w:pPr>
    <w:rPr>
      <w:rFonts w:ascii="Arial TUR" w:hAnsi="Arial TUR" w:cs="FrankRuehl"/>
      <w:spacing w:val="10"/>
      <w:sz w:val="22"/>
      <w:szCs w:val="28"/>
    </w:rPr>
  </w:style>
  <w:style w:type="paragraph" w:customStyle="1" w:styleId="Ruller6">
    <w:name w:val="Ruller6"/>
    <w:basedOn w:val="a"/>
    <w:rsid w:val="00A51FAE"/>
    <w:pPr>
      <w:tabs>
        <w:tab w:val="left" w:pos="794"/>
        <w:tab w:val="left" w:pos="2268"/>
        <w:tab w:val="left" w:pos="5783"/>
        <w:tab w:val="left" w:pos="7371"/>
      </w:tabs>
    </w:pPr>
    <w:rPr>
      <w:rFonts w:ascii="Arial TUR" w:hAnsi="Arial TUR" w:cs="DavidFix"/>
      <w:spacing w:val="10"/>
      <w:sz w:val="22"/>
      <w:szCs w:val="20"/>
    </w:rPr>
  </w:style>
  <w:style w:type="character" w:customStyle="1" w:styleId="Delete">
    <w:name w:val="Delete"/>
    <w:rPr>
      <w:strike/>
    </w:rPr>
  </w:style>
  <w:style w:type="paragraph" w:customStyle="1" w:styleId="WriterName">
    <w:name w:val="Writer Name"/>
    <w:basedOn w:val="Ruller41"/>
    <w:next w:val="Ruller41"/>
    <w:rPr>
      <w:rFonts w:cs="David"/>
      <w:b/>
      <w:bCs/>
      <w:u w:val="single"/>
    </w:rPr>
  </w:style>
  <w:style w:type="character" w:customStyle="1" w:styleId="Hand">
    <w:name w:val="Hand"/>
    <w:rPr>
      <w:rFonts w:cs="Guttman Yad"/>
    </w:rPr>
  </w:style>
  <w:style w:type="paragraph" w:styleId="a3">
    <w:name w:val="footer"/>
    <w:basedOn w:val="a"/>
    <w:link w:val="a4"/>
    <w:pPr>
      <w:tabs>
        <w:tab w:val="center" w:pos="4153"/>
        <w:tab w:val="right" w:pos="8306"/>
      </w:tabs>
    </w:pPr>
  </w:style>
  <w:style w:type="character" w:styleId="a5">
    <w:name w:val="page number"/>
    <w:basedOn w:val="a0"/>
  </w:style>
  <w:style w:type="paragraph" w:styleId="a6">
    <w:name w:val="header"/>
    <w:basedOn w:val="a"/>
    <w:link w:val="a7"/>
    <w:pPr>
      <w:tabs>
        <w:tab w:val="center" w:pos="4153"/>
        <w:tab w:val="right" w:pos="8306"/>
      </w:tabs>
    </w:pPr>
  </w:style>
  <w:style w:type="paragraph" w:customStyle="1" w:styleId="21">
    <w:name w:val="ñâðåï2"/>
    <w:basedOn w:val="a"/>
    <w:pPr>
      <w:overflowPunct/>
      <w:textAlignment w:val="auto"/>
    </w:pPr>
    <w:rPr>
      <w:rFonts w:cs="Times New Roman"/>
    </w:rPr>
  </w:style>
  <w:style w:type="paragraph" w:customStyle="1" w:styleId="Casenameintextbody">
    <w:name w:val="Case name in text body"/>
    <w:basedOn w:val="a"/>
    <w:pPr>
      <w:overflowPunct/>
      <w:jc w:val="right"/>
      <w:textAlignment w:val="auto"/>
    </w:pPr>
    <w:rPr>
      <w:rFonts w:cs="Times New Roman"/>
      <w:b/>
      <w:bCs/>
      <w:u w:val="single"/>
    </w:rPr>
  </w:style>
  <w:style w:type="paragraph" w:customStyle="1" w:styleId="precasestyle">
    <w:name w:val="pre_case style"/>
    <w:basedOn w:val="a"/>
    <w:pPr>
      <w:tabs>
        <w:tab w:val="left" w:pos="2552"/>
      </w:tabs>
      <w:overflowPunct/>
      <w:ind w:right="2549"/>
      <w:textAlignment w:val="auto"/>
    </w:pPr>
    <w:rPr>
      <w:rFonts w:cs="Times New Roman"/>
    </w:rPr>
  </w:style>
  <w:style w:type="paragraph" w:customStyle="1" w:styleId="BodyRuller">
    <w:name w:val="Body Ruller"/>
    <w:basedOn w:val="a"/>
    <w:rPr>
      <w:sz w:val="22"/>
      <w:szCs w:val="28"/>
    </w:rPr>
  </w:style>
  <w:style w:type="paragraph" w:customStyle="1" w:styleId="Ruller38">
    <w:name w:val="סגנון Ruller 3 + (מורכב) ‏8 נק"/>
    <w:basedOn w:val="BodyRuller"/>
    <w:rPr>
      <w:szCs w:val="16"/>
    </w:rPr>
  </w:style>
  <w:style w:type="character" w:customStyle="1" w:styleId="Ruller30">
    <w:name w:val="Ruller 3 תו"/>
    <w:rPr>
      <w:rFonts w:cs="FrankRuehl"/>
      <w:sz w:val="22"/>
      <w:szCs w:val="28"/>
      <w:lang w:val="en-US" w:eastAsia="en-US" w:bidi="he-IL"/>
    </w:rPr>
  </w:style>
  <w:style w:type="character" w:customStyle="1" w:styleId="BodyRuller0">
    <w:name w:val="Body Ruller תו"/>
    <w:rPr>
      <w:rFonts w:cs="David"/>
      <w:sz w:val="22"/>
      <w:szCs w:val="28"/>
      <w:lang w:val="en-US" w:eastAsia="en-US" w:bidi="he-IL"/>
    </w:rPr>
  </w:style>
  <w:style w:type="character" w:customStyle="1" w:styleId="Ruller380">
    <w:name w:val="סגנון Ruller 3 + (מורכב) ‏8 נק תו"/>
    <w:rPr>
      <w:rFonts w:cs="David"/>
      <w:sz w:val="22"/>
      <w:szCs w:val="16"/>
      <w:lang w:val="en-US" w:eastAsia="en-US" w:bidi="he-IL"/>
    </w:rPr>
  </w:style>
  <w:style w:type="paragraph" w:customStyle="1" w:styleId="FileNumber0">
    <w:name w:val="סגנון File Number + ימין"/>
    <w:basedOn w:val="FileNumber"/>
    <w:rsid w:val="004C7868"/>
    <w:pPr>
      <w:jc w:val="left"/>
    </w:pPr>
    <w:rPr>
      <w:szCs w:val="28"/>
    </w:rPr>
  </w:style>
  <w:style w:type="paragraph" w:customStyle="1" w:styleId="BODYVERDICT">
    <w:name w:val="BODY VERDICT"/>
    <w:basedOn w:val="a"/>
    <w:rsid w:val="00036227"/>
    <w:rPr>
      <w:rFonts w:cs="FrankRuehl"/>
      <w:spacing w:val="10"/>
      <w:sz w:val="22"/>
      <w:szCs w:val="28"/>
    </w:rPr>
  </w:style>
  <w:style w:type="character" w:styleId="Hyperlink">
    <w:name w:val="Hyperlink"/>
    <w:uiPriority w:val="99"/>
    <w:rsid w:val="003F1F97"/>
    <w:rPr>
      <w:color w:val="0000FF"/>
      <w:u w:val="single"/>
    </w:rPr>
  </w:style>
  <w:style w:type="table" w:styleId="a8">
    <w:name w:val="Table Grid"/>
    <w:basedOn w:val="a1"/>
    <w:rsid w:val="003F1F97"/>
    <w:pPr>
      <w:overflowPunct w:val="0"/>
      <w:autoSpaceDE w:val="0"/>
      <w:autoSpaceDN w:val="0"/>
      <w:bidi/>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a0"/>
    <w:rsid w:val="0058440A"/>
    <w:rPr>
      <w:color w:val="954F72" w:themeColor="followedHyperlink"/>
      <w:u w:val="single"/>
    </w:rPr>
  </w:style>
  <w:style w:type="character" w:styleId="a9">
    <w:name w:val="annotation reference"/>
    <w:basedOn w:val="a0"/>
    <w:rsid w:val="00D00B1D"/>
    <w:rPr>
      <w:sz w:val="16"/>
      <w:szCs w:val="16"/>
    </w:rPr>
  </w:style>
  <w:style w:type="paragraph" w:styleId="aa">
    <w:name w:val="annotation text"/>
    <w:basedOn w:val="a"/>
    <w:link w:val="ab"/>
    <w:rsid w:val="00D00B1D"/>
    <w:rPr>
      <w:szCs w:val="20"/>
    </w:rPr>
  </w:style>
  <w:style w:type="character" w:customStyle="1" w:styleId="ab">
    <w:name w:val="טקסט הערה תו"/>
    <w:basedOn w:val="a0"/>
    <w:link w:val="aa"/>
    <w:rsid w:val="00D00B1D"/>
    <w:rPr>
      <w:rFonts w:cs="David"/>
    </w:rPr>
  </w:style>
  <w:style w:type="paragraph" w:styleId="ac">
    <w:name w:val="annotation subject"/>
    <w:basedOn w:val="aa"/>
    <w:next w:val="aa"/>
    <w:link w:val="ad"/>
    <w:rsid w:val="00D00B1D"/>
    <w:rPr>
      <w:b/>
      <w:bCs/>
    </w:rPr>
  </w:style>
  <w:style w:type="character" w:customStyle="1" w:styleId="ad">
    <w:name w:val="נושא הערה תו"/>
    <w:basedOn w:val="ab"/>
    <w:link w:val="ac"/>
    <w:rsid w:val="00D00B1D"/>
    <w:rPr>
      <w:rFonts w:cs="David"/>
      <w:b/>
      <w:bCs/>
    </w:rPr>
  </w:style>
  <w:style w:type="paragraph" w:styleId="ae">
    <w:name w:val="Balloon Text"/>
    <w:basedOn w:val="a"/>
    <w:link w:val="af"/>
    <w:rsid w:val="00D00B1D"/>
    <w:rPr>
      <w:rFonts w:ascii="Tahoma" w:hAnsi="Tahoma" w:cs="Tahoma"/>
      <w:sz w:val="18"/>
      <w:szCs w:val="18"/>
    </w:rPr>
  </w:style>
  <w:style w:type="character" w:customStyle="1" w:styleId="af">
    <w:name w:val="טקסט בלונים תו"/>
    <w:basedOn w:val="a0"/>
    <w:link w:val="ae"/>
    <w:rsid w:val="00D00B1D"/>
    <w:rPr>
      <w:rFonts w:ascii="Tahoma" w:hAnsi="Tahoma" w:cs="Tahoma"/>
      <w:sz w:val="18"/>
      <w:szCs w:val="18"/>
    </w:rPr>
  </w:style>
  <w:style w:type="character" w:customStyle="1" w:styleId="10">
    <w:name w:val="כותרת 1 תו"/>
    <w:basedOn w:val="a0"/>
    <w:link w:val="1"/>
    <w:rsid w:val="00C044AE"/>
    <w:rPr>
      <w:rFonts w:ascii="Century" w:hAnsi="Century" w:cs="Miriam"/>
      <w:b/>
      <w:sz w:val="22"/>
      <w:szCs w:val="24"/>
    </w:rPr>
  </w:style>
  <w:style w:type="character" w:customStyle="1" w:styleId="20">
    <w:name w:val="כותרת 2 תו"/>
    <w:basedOn w:val="a0"/>
    <w:link w:val="2"/>
    <w:rsid w:val="00C044AE"/>
    <w:rPr>
      <w:rFonts w:asciiTheme="majorHAnsi" w:eastAsiaTheme="majorEastAsia" w:hAnsiTheme="majorHAnsi" w:cstheme="majorBidi"/>
      <w:color w:val="2E74B5" w:themeColor="accent1" w:themeShade="BF"/>
      <w:spacing w:val="10"/>
      <w:sz w:val="26"/>
      <w:szCs w:val="26"/>
    </w:rPr>
  </w:style>
  <w:style w:type="character" w:customStyle="1" w:styleId="50">
    <w:name w:val="כותרת 5 תו"/>
    <w:basedOn w:val="a0"/>
    <w:link w:val="5"/>
    <w:rsid w:val="00C044AE"/>
    <w:rPr>
      <w:rFonts w:asciiTheme="majorHAnsi" w:eastAsiaTheme="majorEastAsia" w:hAnsiTheme="majorHAnsi" w:cstheme="majorBidi"/>
      <w:color w:val="2E74B5" w:themeColor="accent1" w:themeShade="BF"/>
      <w:spacing w:val="10"/>
      <w:szCs w:val="28"/>
    </w:rPr>
  </w:style>
  <w:style w:type="paragraph" w:customStyle="1" w:styleId="Ruller4">
    <w:name w:val="Ruller 4 ממוספר"/>
    <w:basedOn w:val="Ruller41"/>
    <w:next w:val="Ruller41"/>
    <w:link w:val="Ruller43"/>
    <w:qFormat/>
    <w:rsid w:val="00C044AE"/>
    <w:pPr>
      <w:numPr>
        <w:numId w:val="1"/>
      </w:numPr>
    </w:pPr>
    <w:rPr>
      <w:rFonts w:ascii="Garamond" w:hAnsi="Garamond"/>
      <w:sz w:val="24"/>
    </w:rPr>
  </w:style>
  <w:style w:type="paragraph" w:customStyle="1" w:styleId="Ruller40">
    <w:name w:val="Ruller4 אלפביתי"/>
    <w:basedOn w:val="Ruller41"/>
    <w:next w:val="Ruller41"/>
    <w:rsid w:val="00C044AE"/>
    <w:pPr>
      <w:numPr>
        <w:numId w:val="2"/>
      </w:numPr>
    </w:pPr>
  </w:style>
  <w:style w:type="character" w:customStyle="1" w:styleId="Ruller42">
    <w:name w:val="Ruller4 תו"/>
    <w:basedOn w:val="a0"/>
    <w:link w:val="Ruller41"/>
    <w:locked/>
    <w:rsid w:val="00C044AE"/>
    <w:rPr>
      <w:rFonts w:ascii="Arial TUR" w:hAnsi="Arial TUR" w:cs="FrankRuehl"/>
      <w:spacing w:val="10"/>
      <w:sz w:val="22"/>
      <w:szCs w:val="28"/>
    </w:rPr>
  </w:style>
  <w:style w:type="character" w:customStyle="1" w:styleId="Ruller43">
    <w:name w:val="Ruller 4 ממוספר תו"/>
    <w:link w:val="Ruller4"/>
    <w:locked/>
    <w:rsid w:val="00C044AE"/>
    <w:rPr>
      <w:rFonts w:ascii="Garamond" w:hAnsi="Garamond" w:cs="FrankRuehl"/>
      <w:spacing w:val="10"/>
      <w:sz w:val="24"/>
      <w:szCs w:val="28"/>
    </w:rPr>
  </w:style>
  <w:style w:type="character" w:customStyle="1" w:styleId="Ruller50">
    <w:name w:val="Ruller5 תו"/>
    <w:link w:val="Ruller5"/>
    <w:rsid w:val="00C044AE"/>
    <w:rPr>
      <w:rFonts w:ascii="Arial TUR" w:hAnsi="Arial TUR" w:cs="FrankRuehl"/>
      <w:spacing w:val="10"/>
      <w:sz w:val="22"/>
      <w:szCs w:val="28"/>
    </w:rPr>
  </w:style>
  <w:style w:type="paragraph" w:customStyle="1" w:styleId="ruller44">
    <w:name w:val="ruller4"/>
    <w:basedOn w:val="a"/>
    <w:rsid w:val="00C044AE"/>
    <w:pPr>
      <w:overflowPunct/>
      <w:autoSpaceDE/>
      <w:autoSpaceDN/>
      <w:bidi w:val="0"/>
      <w:adjustRightInd/>
      <w:spacing w:before="100" w:beforeAutospacing="1" w:after="100" w:afterAutospacing="1"/>
      <w:textAlignment w:val="auto"/>
    </w:pPr>
    <w:rPr>
      <w:rFonts w:cs="Times New Roman"/>
      <w:sz w:val="24"/>
    </w:rPr>
  </w:style>
  <w:style w:type="paragraph" w:customStyle="1" w:styleId="ruller51">
    <w:name w:val="ruller5"/>
    <w:basedOn w:val="a"/>
    <w:rsid w:val="00C044AE"/>
    <w:pPr>
      <w:overflowPunct/>
      <w:autoSpaceDE/>
      <w:autoSpaceDN/>
      <w:bidi w:val="0"/>
      <w:adjustRightInd/>
      <w:spacing w:before="100" w:beforeAutospacing="1" w:after="100" w:afterAutospacing="1"/>
      <w:textAlignment w:val="auto"/>
    </w:pPr>
    <w:rPr>
      <w:rFonts w:cs="Times New Roman"/>
      <w:sz w:val="24"/>
    </w:rPr>
  </w:style>
  <w:style w:type="paragraph" w:styleId="af0">
    <w:name w:val="List Paragraph"/>
    <w:basedOn w:val="a"/>
    <w:uiPriority w:val="34"/>
    <w:qFormat/>
    <w:rsid w:val="00C044AE"/>
    <w:pPr>
      <w:spacing w:line="360" w:lineRule="auto"/>
      <w:ind w:left="720"/>
      <w:contextualSpacing/>
    </w:pPr>
    <w:rPr>
      <w:rFonts w:ascii="Century" w:hAnsi="Century" w:cs="FrankRuehl"/>
      <w:spacing w:val="10"/>
      <w:szCs w:val="28"/>
    </w:rPr>
  </w:style>
  <w:style w:type="paragraph" w:styleId="af1">
    <w:name w:val="footnote text"/>
    <w:basedOn w:val="a"/>
    <w:link w:val="af2"/>
    <w:unhideWhenUsed/>
    <w:rsid w:val="00C044AE"/>
    <w:rPr>
      <w:rFonts w:ascii="Century" w:hAnsi="Century" w:cs="FrankRuehl"/>
      <w:spacing w:val="10"/>
      <w:szCs w:val="20"/>
    </w:rPr>
  </w:style>
  <w:style w:type="character" w:customStyle="1" w:styleId="af2">
    <w:name w:val="טקסט הערת שוליים תו"/>
    <w:basedOn w:val="a0"/>
    <w:link w:val="af1"/>
    <w:rsid w:val="00C044AE"/>
    <w:rPr>
      <w:rFonts w:ascii="Century" w:hAnsi="Century" w:cs="FrankRuehl"/>
      <w:spacing w:val="10"/>
    </w:rPr>
  </w:style>
  <w:style w:type="character" w:styleId="af3">
    <w:name w:val="footnote reference"/>
    <w:basedOn w:val="a0"/>
    <w:unhideWhenUsed/>
    <w:rsid w:val="00C044AE"/>
    <w:rPr>
      <w:vertAlign w:val="superscript"/>
    </w:rPr>
  </w:style>
  <w:style w:type="paragraph" w:customStyle="1" w:styleId="ruller400">
    <w:name w:val="ruller40"/>
    <w:basedOn w:val="a"/>
    <w:rsid w:val="00C044AE"/>
    <w:pPr>
      <w:overflowPunct/>
      <w:autoSpaceDE/>
      <w:autoSpaceDN/>
      <w:bidi w:val="0"/>
      <w:adjustRightInd/>
      <w:spacing w:before="100" w:beforeAutospacing="1" w:after="100" w:afterAutospacing="1"/>
      <w:textAlignment w:val="auto"/>
    </w:pPr>
    <w:rPr>
      <w:rFonts w:cs="Times New Roman"/>
      <w:sz w:val="24"/>
    </w:rPr>
  </w:style>
  <w:style w:type="paragraph" w:customStyle="1" w:styleId="ruller500">
    <w:name w:val="ruller50"/>
    <w:basedOn w:val="a"/>
    <w:rsid w:val="00C044AE"/>
    <w:pPr>
      <w:overflowPunct/>
      <w:autoSpaceDE/>
      <w:autoSpaceDN/>
      <w:bidi w:val="0"/>
      <w:adjustRightInd/>
      <w:spacing w:before="100" w:beforeAutospacing="1" w:after="100" w:afterAutospacing="1"/>
      <w:textAlignment w:val="auto"/>
    </w:pPr>
    <w:rPr>
      <w:rFonts w:cs="Times New Roman"/>
      <w:sz w:val="24"/>
    </w:rPr>
  </w:style>
  <w:style w:type="paragraph" w:customStyle="1" w:styleId="ruller410">
    <w:name w:val="ruller41"/>
    <w:basedOn w:val="a"/>
    <w:rsid w:val="00C044AE"/>
    <w:pPr>
      <w:overflowPunct/>
      <w:autoSpaceDE/>
      <w:autoSpaceDN/>
      <w:bidi w:val="0"/>
      <w:adjustRightInd/>
      <w:spacing w:before="100" w:beforeAutospacing="1" w:after="100" w:afterAutospacing="1"/>
      <w:textAlignment w:val="auto"/>
    </w:pPr>
    <w:rPr>
      <w:rFonts w:cs="Times New Roman"/>
      <w:sz w:val="24"/>
    </w:rPr>
  </w:style>
  <w:style w:type="paragraph" w:styleId="af4">
    <w:name w:val="Revision"/>
    <w:hidden/>
    <w:uiPriority w:val="99"/>
    <w:semiHidden/>
    <w:rsid w:val="00C044AE"/>
    <w:rPr>
      <w:rFonts w:ascii="Century" w:hAnsi="Century" w:cs="FrankRuehl"/>
      <w:spacing w:val="10"/>
      <w:szCs w:val="28"/>
    </w:rPr>
  </w:style>
  <w:style w:type="character" w:customStyle="1" w:styleId="apple-converted-space">
    <w:name w:val="apple-converted-space"/>
    <w:basedOn w:val="a0"/>
    <w:rsid w:val="00C044AE"/>
  </w:style>
  <w:style w:type="character" w:customStyle="1" w:styleId="term1">
    <w:name w:val="term_1"/>
    <w:basedOn w:val="a0"/>
    <w:rsid w:val="00C044AE"/>
  </w:style>
  <w:style w:type="character" w:customStyle="1" w:styleId="highlight">
    <w:name w:val="highlight"/>
    <w:basedOn w:val="a0"/>
    <w:rsid w:val="00C044AE"/>
  </w:style>
  <w:style w:type="character" w:customStyle="1" w:styleId="term2">
    <w:name w:val="term_2"/>
    <w:basedOn w:val="a0"/>
    <w:rsid w:val="00C044AE"/>
  </w:style>
  <w:style w:type="paragraph" w:customStyle="1" w:styleId="11">
    <w:name w:val="פיסקת רשימה1"/>
    <w:basedOn w:val="a"/>
    <w:qFormat/>
    <w:rsid w:val="00C044AE"/>
    <w:pPr>
      <w:overflowPunct/>
      <w:autoSpaceDE/>
      <w:autoSpaceDN/>
      <w:adjustRightInd/>
      <w:ind w:left="720"/>
      <w:contextualSpacing/>
      <w:textAlignment w:val="auto"/>
    </w:pPr>
    <w:rPr>
      <w:rFonts w:ascii="Calibri" w:hAnsi="Calibri" w:cs="Arial"/>
      <w:sz w:val="24"/>
    </w:rPr>
  </w:style>
  <w:style w:type="character" w:customStyle="1" w:styleId="bumpedfont15">
    <w:name w:val="bumpedfont15"/>
    <w:basedOn w:val="a0"/>
    <w:rsid w:val="00C044AE"/>
  </w:style>
  <w:style w:type="paragraph" w:customStyle="1" w:styleId="s10">
    <w:name w:val="s10"/>
    <w:basedOn w:val="a"/>
    <w:rsid w:val="00C044AE"/>
    <w:pPr>
      <w:overflowPunct/>
      <w:autoSpaceDE/>
      <w:autoSpaceDN/>
      <w:bidi w:val="0"/>
      <w:adjustRightInd/>
      <w:spacing w:before="100" w:beforeAutospacing="1" w:after="100" w:afterAutospacing="1"/>
      <w:textAlignment w:val="auto"/>
    </w:pPr>
    <w:rPr>
      <w:rFonts w:eastAsiaTheme="minorEastAsia" w:cs="Times New Roman"/>
      <w:sz w:val="24"/>
      <w:lang w:val=""/>
    </w:rPr>
  </w:style>
  <w:style w:type="paragraph" w:customStyle="1" w:styleId="p1">
    <w:name w:val="p1"/>
    <w:basedOn w:val="a"/>
    <w:rsid w:val="00C044AE"/>
    <w:pPr>
      <w:overflowPunct/>
      <w:autoSpaceDE/>
      <w:autoSpaceDN/>
      <w:bidi w:val="0"/>
      <w:adjustRightInd/>
      <w:textAlignment w:val="auto"/>
    </w:pPr>
    <w:rPr>
      <w:rFonts w:ascii="Arial Hebrew" w:eastAsiaTheme="minorEastAsia" w:hAnsi="Arial Hebrew" w:cs="Times New Roman"/>
      <w:sz w:val="26"/>
      <w:szCs w:val="26"/>
    </w:rPr>
  </w:style>
  <w:style w:type="character" w:customStyle="1" w:styleId="s1">
    <w:name w:val="s1"/>
    <w:basedOn w:val="a0"/>
    <w:rsid w:val="00C044AE"/>
    <w:rPr>
      <w:rFonts w:ascii="Arial Hebrew" w:hAnsi="Arial Hebrew" w:hint="default"/>
      <w:b w:val="0"/>
      <w:bCs w:val="0"/>
      <w:i w:val="0"/>
      <w:iCs w:val="0"/>
      <w:sz w:val="26"/>
      <w:szCs w:val="26"/>
    </w:rPr>
  </w:style>
  <w:style w:type="character" w:customStyle="1" w:styleId="s2">
    <w:name w:val="s2"/>
    <w:basedOn w:val="a0"/>
    <w:rsid w:val="00C044AE"/>
    <w:rPr>
      <w:rFonts w:ascii="UICTFontTextStyleBody" w:hAnsi="UICTFontTextStyleBody" w:hint="default"/>
      <w:b w:val="0"/>
      <w:bCs w:val="0"/>
      <w:i w:val="0"/>
      <w:iCs w:val="0"/>
      <w:sz w:val="26"/>
      <w:szCs w:val="26"/>
    </w:rPr>
  </w:style>
  <w:style w:type="paragraph" w:customStyle="1" w:styleId="p00">
    <w:name w:val="p00"/>
    <w:basedOn w:val="a"/>
    <w:rsid w:val="00C044AE"/>
    <w:pPr>
      <w:overflowPunct/>
      <w:autoSpaceDE/>
      <w:autoSpaceDN/>
      <w:bidi w:val="0"/>
      <w:adjustRightInd/>
      <w:spacing w:before="100" w:beforeAutospacing="1" w:after="100" w:afterAutospacing="1"/>
      <w:textAlignment w:val="auto"/>
    </w:pPr>
    <w:rPr>
      <w:rFonts w:cs="Times New Roman"/>
      <w:sz w:val="24"/>
    </w:rPr>
  </w:style>
  <w:style w:type="character" w:customStyle="1" w:styleId="big-number">
    <w:name w:val="big-number"/>
    <w:basedOn w:val="a0"/>
    <w:rsid w:val="00C044AE"/>
  </w:style>
  <w:style w:type="character" w:customStyle="1" w:styleId="default">
    <w:name w:val="default"/>
    <w:basedOn w:val="a0"/>
    <w:rsid w:val="00C044AE"/>
  </w:style>
  <w:style w:type="paragraph" w:customStyle="1" w:styleId="110">
    <w:name w:val="כותרת 11"/>
    <w:basedOn w:val="a"/>
    <w:next w:val="a"/>
    <w:qFormat/>
    <w:rsid w:val="00244560"/>
    <w:pPr>
      <w:keepNext/>
      <w:keepLines/>
      <w:spacing w:line="360" w:lineRule="auto"/>
      <w:outlineLvl w:val="0"/>
    </w:pPr>
    <w:rPr>
      <w:rFonts w:ascii="Cambria" w:hAnsi="Cambria" w:cs="Miriam"/>
      <w:sz w:val="32"/>
    </w:rPr>
  </w:style>
  <w:style w:type="paragraph" w:customStyle="1" w:styleId="51">
    <w:name w:val="כותרת 51"/>
    <w:basedOn w:val="a"/>
    <w:next w:val="a"/>
    <w:unhideWhenUsed/>
    <w:qFormat/>
    <w:rsid w:val="00244560"/>
    <w:pPr>
      <w:keepNext/>
      <w:keepLines/>
      <w:spacing w:before="40" w:line="360" w:lineRule="auto"/>
      <w:outlineLvl w:val="4"/>
    </w:pPr>
    <w:rPr>
      <w:rFonts w:ascii="Cambria" w:hAnsi="Cambria" w:cs="Times New Roman"/>
      <w:color w:val="365F91"/>
      <w:spacing w:val="10"/>
      <w:szCs w:val="28"/>
    </w:rPr>
  </w:style>
  <w:style w:type="numbering" w:customStyle="1" w:styleId="12">
    <w:name w:val="ללא רשימה1"/>
    <w:next w:val="a2"/>
    <w:uiPriority w:val="99"/>
    <w:semiHidden/>
    <w:unhideWhenUsed/>
    <w:rsid w:val="00244560"/>
  </w:style>
  <w:style w:type="character" w:styleId="af5">
    <w:name w:val="Strong"/>
    <w:basedOn w:val="a0"/>
    <w:uiPriority w:val="22"/>
    <w:qFormat/>
    <w:rsid w:val="00244560"/>
    <w:rPr>
      <w:b/>
      <w:bCs/>
    </w:rPr>
  </w:style>
  <w:style w:type="character" w:customStyle="1" w:styleId="mila">
    <w:name w:val="mila"/>
    <w:basedOn w:val="a0"/>
    <w:rsid w:val="00244560"/>
  </w:style>
  <w:style w:type="paragraph" w:customStyle="1" w:styleId="af6">
    <w:name w:val="כללי"/>
    <w:basedOn w:val="a"/>
    <w:rsid w:val="00244560"/>
    <w:pPr>
      <w:spacing w:after="240" w:line="280" w:lineRule="exact"/>
      <w:ind w:firstLine="284"/>
      <w:jc w:val="both"/>
    </w:pPr>
    <w:rPr>
      <w:rFonts w:cs="FrankRuehl"/>
      <w:lang w:eastAsia="he-IL"/>
    </w:rPr>
  </w:style>
  <w:style w:type="paragraph" w:customStyle="1" w:styleId="13">
    <w:name w:val="ציטוט1"/>
    <w:basedOn w:val="a"/>
    <w:qFormat/>
    <w:rsid w:val="00244560"/>
    <w:pPr>
      <w:spacing w:after="240" w:line="280" w:lineRule="exact"/>
      <w:ind w:left="454" w:right="454"/>
      <w:jc w:val="both"/>
    </w:pPr>
    <w:rPr>
      <w:rFonts w:cs="FrankRuehl"/>
      <w:lang w:eastAsia="he-IL"/>
    </w:rPr>
  </w:style>
  <w:style w:type="paragraph" w:customStyle="1" w:styleId="af7">
    <w:name w:val="אזכורים"/>
    <w:basedOn w:val="a"/>
    <w:rsid w:val="00244560"/>
    <w:pPr>
      <w:tabs>
        <w:tab w:val="left" w:pos="567"/>
      </w:tabs>
      <w:spacing w:after="40" w:line="270" w:lineRule="exact"/>
      <w:ind w:left="567" w:hanging="567"/>
      <w:jc w:val="both"/>
    </w:pPr>
    <w:rPr>
      <w:rFonts w:cs="FrankRuehl"/>
      <w:lang w:eastAsia="he-IL"/>
    </w:rPr>
  </w:style>
  <w:style w:type="paragraph" w:styleId="af8">
    <w:name w:val="Plain Text"/>
    <w:basedOn w:val="a"/>
    <w:link w:val="af9"/>
    <w:rsid w:val="00244560"/>
    <w:pPr>
      <w:overflowPunct/>
      <w:autoSpaceDE/>
      <w:autoSpaceDN/>
      <w:adjustRightInd/>
      <w:textAlignment w:val="auto"/>
    </w:pPr>
    <w:rPr>
      <w:rFonts w:ascii="Courier New" w:hAnsi="Courier New" w:cs="Courier New"/>
      <w:szCs w:val="20"/>
      <w:lang w:eastAsia="he-IL"/>
    </w:rPr>
  </w:style>
  <w:style w:type="character" w:customStyle="1" w:styleId="af9">
    <w:name w:val="טקסט רגיל תו"/>
    <w:basedOn w:val="a0"/>
    <w:link w:val="af8"/>
    <w:rsid w:val="00244560"/>
    <w:rPr>
      <w:rFonts w:ascii="Courier New" w:hAnsi="Courier New" w:cs="Courier New"/>
      <w:lang w:eastAsia="he-IL"/>
    </w:rPr>
  </w:style>
  <w:style w:type="character" w:customStyle="1" w:styleId="afa">
    <w:name w:val="שופט"/>
    <w:rsid w:val="00244560"/>
    <w:rPr>
      <w:rFonts w:ascii="Times New Roman" w:hAnsi="Times New Roman" w:cs="David"/>
      <w:i w:val="0"/>
      <w:iCs w:val="0"/>
      <w:sz w:val="20"/>
      <w:szCs w:val="20"/>
    </w:rPr>
  </w:style>
  <w:style w:type="paragraph" w:styleId="NormalWeb">
    <w:name w:val="Normal (Web)"/>
    <w:basedOn w:val="a"/>
    <w:uiPriority w:val="99"/>
    <w:unhideWhenUsed/>
    <w:rsid w:val="00244560"/>
    <w:pPr>
      <w:overflowPunct/>
      <w:autoSpaceDE/>
      <w:autoSpaceDN/>
      <w:bidi w:val="0"/>
      <w:adjustRightInd/>
      <w:spacing w:before="100" w:beforeAutospacing="1" w:after="100" w:afterAutospacing="1"/>
      <w:textAlignment w:val="auto"/>
    </w:pPr>
    <w:rPr>
      <w:rFonts w:cs="Times New Roman"/>
      <w:sz w:val="24"/>
    </w:rPr>
  </w:style>
  <w:style w:type="paragraph" w:customStyle="1" w:styleId="afb">
    <w:name w:val="פסקה לא ממוספרת"/>
    <w:basedOn w:val="Ruller41"/>
    <w:qFormat/>
    <w:rsid w:val="00244560"/>
    <w:pPr>
      <w:spacing w:after="420"/>
      <w:ind w:firstLine="799"/>
    </w:pPr>
    <w:rPr>
      <w:rFonts w:ascii="Garamond" w:hAnsi="Garamond"/>
      <w:sz w:val="24"/>
    </w:rPr>
  </w:style>
  <w:style w:type="character" w:customStyle="1" w:styleId="blog-post-title-font">
    <w:name w:val="blog-post-title-font"/>
    <w:basedOn w:val="a0"/>
    <w:rsid w:val="00244560"/>
  </w:style>
  <w:style w:type="character" w:styleId="afc">
    <w:name w:val="Emphasis"/>
    <w:basedOn w:val="a0"/>
    <w:uiPriority w:val="20"/>
    <w:qFormat/>
    <w:rsid w:val="00244560"/>
    <w:rPr>
      <w:i/>
      <w:iCs/>
    </w:rPr>
  </w:style>
  <w:style w:type="character" w:customStyle="1" w:styleId="wixui-rich-texttext">
    <w:name w:val="wixui-rich-text__text"/>
    <w:basedOn w:val="a0"/>
    <w:rsid w:val="00244560"/>
  </w:style>
  <w:style w:type="character" w:customStyle="1" w:styleId="makaf">
    <w:name w:val="makaf"/>
    <w:basedOn w:val="a0"/>
    <w:rsid w:val="00244560"/>
  </w:style>
  <w:style w:type="character" w:customStyle="1" w:styleId="a4">
    <w:name w:val="כותרת תחתונה תו"/>
    <w:basedOn w:val="a0"/>
    <w:link w:val="a3"/>
    <w:rsid w:val="00244560"/>
    <w:rPr>
      <w:rFonts w:cs="David"/>
      <w:szCs w:val="24"/>
    </w:rPr>
  </w:style>
  <w:style w:type="character" w:customStyle="1" w:styleId="a7">
    <w:name w:val="כותרת עליונה תו"/>
    <w:basedOn w:val="a0"/>
    <w:link w:val="a6"/>
    <w:rsid w:val="00244560"/>
    <w:rPr>
      <w:rFonts w:cs="David"/>
      <w:szCs w:val="24"/>
    </w:rPr>
  </w:style>
  <w:style w:type="paragraph" w:styleId="TOC1">
    <w:name w:val="toc 1"/>
    <w:basedOn w:val="a"/>
    <w:next w:val="a"/>
    <w:autoRedefine/>
    <w:uiPriority w:val="39"/>
    <w:unhideWhenUsed/>
    <w:rsid w:val="007572DB"/>
    <w:pPr>
      <w:spacing w:after="100" w:line="360" w:lineRule="auto"/>
    </w:pPr>
    <w:rPr>
      <w:rFonts w:ascii="Century" w:hAnsi="Century" w:cs="Miriam"/>
      <w:b/>
      <w:bCs/>
      <w:sz w:val="22"/>
    </w:rPr>
  </w:style>
  <w:style w:type="character" w:customStyle="1" w:styleId="510">
    <w:name w:val="כותרת 5 תו1"/>
    <w:basedOn w:val="a0"/>
    <w:semiHidden/>
    <w:rsid w:val="00244560"/>
    <w:rPr>
      <w:rFonts w:asciiTheme="majorHAnsi" w:eastAsiaTheme="majorEastAsia" w:hAnsiTheme="majorHAnsi" w:cstheme="majorBidi"/>
      <w:color w:val="2E74B5" w:themeColor="accent1" w:themeShade="BF"/>
      <w:szCs w:val="24"/>
    </w:rPr>
  </w:style>
  <w:style w:type="character" w:customStyle="1" w:styleId="111">
    <w:name w:val="כותרת 1 תו1"/>
    <w:basedOn w:val="a0"/>
    <w:rsid w:val="00244560"/>
    <w:rPr>
      <w:rFonts w:asciiTheme="majorHAnsi" w:eastAsiaTheme="majorEastAsia" w:hAnsiTheme="majorHAnsi" w:cstheme="majorBidi"/>
      <w:color w:val="2E74B5" w:themeColor="accent1" w:themeShade="BF"/>
      <w:sz w:val="32"/>
      <w:szCs w:val="32"/>
    </w:rPr>
  </w:style>
  <w:style w:type="paragraph" w:customStyle="1" w:styleId="p2">
    <w:name w:val="p2"/>
    <w:basedOn w:val="a"/>
    <w:rsid w:val="0047626A"/>
    <w:pPr>
      <w:overflowPunct/>
      <w:autoSpaceDE/>
      <w:autoSpaceDN/>
      <w:bidi w:val="0"/>
      <w:adjustRightInd/>
      <w:spacing w:before="100" w:beforeAutospacing="1" w:after="100" w:afterAutospacing="1"/>
      <w:textAlignment w:val="auto"/>
    </w:pPr>
    <w:rPr>
      <w:rFonts w:eastAsiaTheme="minorHAnsi" w:cs="Times New Roman"/>
      <w:sz w:val="24"/>
    </w:rPr>
  </w:style>
  <w:style w:type="paragraph" w:customStyle="1" w:styleId="jade-noverticalmargins">
    <w:name w:val="jade-noverticalmargins"/>
    <w:basedOn w:val="a"/>
    <w:rsid w:val="00E31875"/>
    <w:pPr>
      <w:overflowPunct/>
      <w:autoSpaceDE/>
      <w:autoSpaceDN/>
      <w:bidi w:val="0"/>
      <w:adjustRightInd/>
      <w:spacing w:before="100" w:beforeAutospacing="1" w:after="100" w:afterAutospacing="1"/>
      <w:textAlignment w:val="auto"/>
    </w:pPr>
    <w:rPr>
      <w:rFonts w:cs="Times New Roman"/>
      <w:sz w:val="24"/>
    </w:rPr>
  </w:style>
  <w:style w:type="character" w:customStyle="1" w:styleId="30">
    <w:name w:val="כותרת 3 תו"/>
    <w:basedOn w:val="a0"/>
    <w:link w:val="3"/>
    <w:semiHidden/>
    <w:rsid w:val="00D61E12"/>
    <w:rPr>
      <w:rFonts w:asciiTheme="majorHAnsi" w:eastAsiaTheme="majorEastAsia" w:hAnsiTheme="majorHAnsi" w:cstheme="majorBidi"/>
      <w:color w:val="1F4D78" w:themeColor="accent1" w:themeShade="7F"/>
      <w:sz w:val="24"/>
      <w:szCs w:val="24"/>
    </w:rPr>
  </w:style>
  <w:style w:type="paragraph" w:customStyle="1" w:styleId="ruller31">
    <w:name w:val="ruller 3"/>
    <w:basedOn w:val="Casenameintextbody"/>
    <w:rsid w:val="00D61E12"/>
    <w:pPr>
      <w:jc w:val="left"/>
    </w:pPr>
    <w:rPr>
      <w:rFonts w:cs="David"/>
      <w:b w:val="0"/>
      <w:bCs w:val="0"/>
      <w:sz w:val="22"/>
      <w:u w:val="none"/>
    </w:rPr>
  </w:style>
  <w:style w:type="character" w:customStyle="1" w:styleId="st1">
    <w:name w:val="st1"/>
    <w:rsid w:val="00D61E12"/>
  </w:style>
  <w:style w:type="paragraph" w:customStyle="1" w:styleId="P000">
    <w:name w:val="P00"/>
    <w:link w:val="P001"/>
    <w:rsid w:val="00D61E12"/>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paragraph" w:customStyle="1" w:styleId="P22">
    <w:name w:val="P22"/>
    <w:basedOn w:val="P000"/>
    <w:rsid w:val="00D61E12"/>
    <w:pPr>
      <w:tabs>
        <w:tab w:val="clear" w:pos="624"/>
        <w:tab w:val="clear" w:pos="1021"/>
      </w:tabs>
      <w:ind w:right="1021"/>
    </w:pPr>
  </w:style>
  <w:style w:type="character" w:customStyle="1" w:styleId="P001">
    <w:name w:val="P00 תו"/>
    <w:link w:val="P000"/>
    <w:rsid w:val="00D61E12"/>
    <w:rPr>
      <w:noProof/>
      <w:szCs w:val="26"/>
      <w:lang w:eastAsia="he-IL"/>
    </w:rPr>
  </w:style>
  <w:style w:type="paragraph" w:customStyle="1" w:styleId="pskdinhead0">
    <w:name w:val="pskdinhead"/>
    <w:basedOn w:val="a"/>
    <w:rsid w:val="00D61E12"/>
    <w:pPr>
      <w:adjustRightInd/>
      <w:spacing w:line="360" w:lineRule="auto"/>
      <w:textAlignment w:val="auto"/>
    </w:pPr>
    <w:rPr>
      <w:rFonts w:cs="Times New Roman"/>
      <w:b/>
      <w:bCs/>
      <w:szCs w:val="20"/>
      <w:u w:val="single"/>
      <w:lang w:eastAsia="he-IL"/>
    </w:rPr>
  </w:style>
  <w:style w:type="character" w:customStyle="1" w:styleId="acopre1">
    <w:name w:val="acopre1"/>
    <w:basedOn w:val="a0"/>
    <w:rsid w:val="00D61E12"/>
  </w:style>
  <w:style w:type="paragraph" w:styleId="afd">
    <w:name w:val="endnote text"/>
    <w:basedOn w:val="a"/>
    <w:link w:val="afe"/>
    <w:rsid w:val="00D61E12"/>
    <w:rPr>
      <w:szCs w:val="20"/>
    </w:rPr>
  </w:style>
  <w:style w:type="character" w:customStyle="1" w:styleId="afe">
    <w:name w:val="טקסט הערת סיום תו"/>
    <w:basedOn w:val="a0"/>
    <w:link w:val="afd"/>
    <w:rsid w:val="00D61E12"/>
    <w:rPr>
      <w:rFonts w:cs="David"/>
    </w:rPr>
  </w:style>
  <w:style w:type="character" w:styleId="aff">
    <w:name w:val="endnote reference"/>
    <w:rsid w:val="00D61E12"/>
    <w:rPr>
      <w:vertAlign w:val="superscript"/>
    </w:rPr>
  </w:style>
  <w:style w:type="paragraph" w:customStyle="1" w:styleId="14">
    <w:name w:val="מהדורה1"/>
    <w:hidden/>
    <w:uiPriority w:val="99"/>
    <w:semiHidden/>
    <w:rsid w:val="00D61E12"/>
    <w:rPr>
      <w:rFonts w:ascii="Century" w:hAnsi="Century" w:cs="FrankRuehl"/>
      <w:spacing w:val="10"/>
      <w:szCs w:val="28"/>
    </w:rPr>
  </w:style>
  <w:style w:type="paragraph" w:customStyle="1" w:styleId="m6794627093878279063msolistparagraph">
    <w:name w:val="m_6794627093878279063msolistparagraph"/>
    <w:basedOn w:val="a"/>
    <w:rsid w:val="00D61E12"/>
    <w:pPr>
      <w:overflowPunct/>
      <w:autoSpaceDE/>
      <w:autoSpaceDN/>
      <w:bidi w:val="0"/>
      <w:adjustRightInd/>
      <w:spacing w:before="100" w:beforeAutospacing="1" w:after="100" w:afterAutospacing="1"/>
      <w:textAlignment w:val="auto"/>
    </w:pPr>
    <w:rPr>
      <w:rFonts w:cs="Times New Roman"/>
      <w:sz w:val="24"/>
    </w:rPr>
  </w:style>
  <w:style w:type="paragraph" w:customStyle="1" w:styleId="m-5001734315745387853ruller4">
    <w:name w:val="m_-5001734315745387853ruller4"/>
    <w:basedOn w:val="a"/>
    <w:rsid w:val="00D61E12"/>
    <w:pPr>
      <w:overflowPunct/>
      <w:autoSpaceDE/>
      <w:autoSpaceDN/>
      <w:bidi w:val="0"/>
      <w:adjustRightInd/>
      <w:spacing w:before="100" w:beforeAutospacing="1" w:after="100" w:afterAutospacing="1"/>
      <w:textAlignment w:val="auto"/>
    </w:pPr>
    <w:rPr>
      <w:rFonts w:cs="Times New Roman"/>
      <w:sz w:val="24"/>
    </w:rPr>
  </w:style>
  <w:style w:type="paragraph" w:customStyle="1" w:styleId="aff0">
    <w:name w:val="ציטוט בפסק דין"/>
    <w:basedOn w:val="a"/>
    <w:link w:val="aff1"/>
    <w:autoRedefine/>
    <w:qFormat/>
    <w:rsid w:val="00D61E12"/>
    <w:pPr>
      <w:ind w:left="1642" w:right="1282"/>
      <w:jc w:val="both"/>
    </w:pPr>
    <w:rPr>
      <w:rFonts w:eastAsia="Calibri" w:cs="FrankRuehl"/>
      <w:spacing w:val="10"/>
      <w:sz w:val="24"/>
      <w:szCs w:val="28"/>
    </w:rPr>
  </w:style>
  <w:style w:type="character" w:customStyle="1" w:styleId="aff1">
    <w:name w:val="ציטוט בפסק דין תו"/>
    <w:link w:val="aff0"/>
    <w:rsid w:val="00D61E12"/>
    <w:rPr>
      <w:rFonts w:eastAsia="Calibri" w:cs="FrankRuehl"/>
      <w:spacing w:val="10"/>
      <w:sz w:val="24"/>
      <w:szCs w:val="28"/>
    </w:rPr>
  </w:style>
  <w:style w:type="character" w:styleId="aff2">
    <w:name w:val="Book Title"/>
    <w:uiPriority w:val="99"/>
    <w:qFormat/>
    <w:rsid w:val="00D61E12"/>
    <w:rPr>
      <w:rFonts w:ascii="Times New Roman" w:hAnsi="Times New Roman"/>
      <w:b w:val="0"/>
      <w:bCs w:val="0"/>
      <w:i w:val="0"/>
      <w:iCs w:val="0"/>
      <w:caps w:val="0"/>
      <w:smallCaps/>
      <w:spacing w:val="5"/>
      <w:sz w:val="24"/>
    </w:rPr>
  </w:style>
  <w:style w:type="paragraph" w:customStyle="1" w:styleId="aff3">
    <w:name w:val="גוף פסק דין"/>
    <w:basedOn w:val="a"/>
    <w:link w:val="aff4"/>
    <w:autoRedefine/>
    <w:qFormat/>
    <w:rsid w:val="00D61E12"/>
    <w:pPr>
      <w:tabs>
        <w:tab w:val="left" w:pos="720"/>
        <w:tab w:val="left" w:pos="800"/>
      </w:tabs>
      <w:spacing w:line="360" w:lineRule="auto"/>
      <w:ind w:firstLine="720"/>
      <w:jc w:val="both"/>
      <w:textAlignment w:val="auto"/>
    </w:pPr>
    <w:rPr>
      <w:rFonts w:ascii="Arial TUR" w:hAnsi="Arial TUR" w:cs="FrankRuehl"/>
      <w:spacing w:val="10"/>
      <w:sz w:val="22"/>
      <w:szCs w:val="28"/>
    </w:rPr>
  </w:style>
  <w:style w:type="character" w:customStyle="1" w:styleId="aff4">
    <w:name w:val="גוף פסק דין תו"/>
    <w:link w:val="aff3"/>
    <w:rsid w:val="00D61E12"/>
    <w:rPr>
      <w:rFonts w:ascii="Arial TUR" w:hAnsi="Arial TUR" w:cs="FrankRuehl"/>
      <w:spacing w:val="10"/>
      <w:sz w:val="22"/>
      <w:szCs w:val="28"/>
    </w:rPr>
  </w:style>
  <w:style w:type="paragraph" w:styleId="aff5">
    <w:name w:val="Quote"/>
    <w:basedOn w:val="a"/>
    <w:next w:val="a"/>
    <w:link w:val="aff6"/>
    <w:qFormat/>
    <w:rsid w:val="002A1A3A"/>
    <w:pPr>
      <w:tabs>
        <w:tab w:val="left" w:pos="800"/>
      </w:tabs>
      <w:ind w:left="1644" w:right="1247"/>
      <w:jc w:val="both"/>
    </w:pPr>
    <w:rPr>
      <w:rFonts w:ascii="Garamond" w:hAnsi="Garamond" w:cs="FrankRuehl"/>
      <w:spacing w:val="10"/>
      <w:sz w:val="24"/>
      <w:szCs w:val="28"/>
    </w:rPr>
  </w:style>
  <w:style w:type="character" w:customStyle="1" w:styleId="aff6">
    <w:name w:val="ציטוט תו"/>
    <w:basedOn w:val="a0"/>
    <w:link w:val="aff5"/>
    <w:rsid w:val="002A1A3A"/>
    <w:rPr>
      <w:rFonts w:ascii="Garamond" w:hAnsi="Garamond" w:cs="FrankRuehl"/>
      <w:spacing w:val="10"/>
      <w:sz w:val="24"/>
      <w:szCs w:val="28"/>
    </w:rPr>
  </w:style>
  <w:style w:type="paragraph" w:customStyle="1" w:styleId="ruller420">
    <w:name w:val="ruller42"/>
    <w:basedOn w:val="a"/>
    <w:rsid w:val="00737972"/>
    <w:pPr>
      <w:overflowPunct/>
      <w:autoSpaceDE/>
      <w:autoSpaceDN/>
      <w:bidi w:val="0"/>
      <w:adjustRightInd/>
      <w:spacing w:before="100" w:beforeAutospacing="1" w:after="100" w:afterAutospacing="1"/>
      <w:textAlignment w:val="auto"/>
    </w:pPr>
    <w:rPr>
      <w:rFonts w:cs="Times New Roman"/>
      <w:sz w:val="24"/>
    </w:rPr>
  </w:style>
  <w:style w:type="character" w:customStyle="1" w:styleId="mw-headline">
    <w:name w:val="mw-headline"/>
    <w:basedOn w:val="a0"/>
    <w:rsid w:val="003D7BFC"/>
  </w:style>
  <w:style w:type="paragraph" w:styleId="TOC2">
    <w:name w:val="toc 2"/>
    <w:basedOn w:val="a"/>
    <w:next w:val="a"/>
    <w:autoRedefine/>
    <w:uiPriority w:val="39"/>
    <w:rsid w:val="00436B1B"/>
    <w:pPr>
      <w:spacing w:after="100"/>
      <w:ind w:left="200"/>
    </w:pPr>
  </w:style>
  <w:style w:type="paragraph" w:styleId="TOC3">
    <w:name w:val="toc 3"/>
    <w:basedOn w:val="a"/>
    <w:next w:val="a"/>
    <w:autoRedefine/>
    <w:rsid w:val="00436B1B"/>
    <w:pPr>
      <w:ind w:left="400"/>
    </w:pPr>
    <w:rPr>
      <w:rFonts w:asciiTheme="minorHAnsi" w:hAnsiTheme="minorHAnsi" w:cstheme="minorHAnsi"/>
      <w:i/>
      <w:iCs/>
      <w:szCs w:val="20"/>
    </w:rPr>
  </w:style>
  <w:style w:type="paragraph" w:styleId="TOC4">
    <w:name w:val="toc 4"/>
    <w:basedOn w:val="a"/>
    <w:next w:val="a"/>
    <w:autoRedefine/>
    <w:rsid w:val="00436B1B"/>
    <w:pPr>
      <w:ind w:left="600"/>
    </w:pPr>
    <w:rPr>
      <w:rFonts w:asciiTheme="minorHAnsi" w:hAnsiTheme="minorHAnsi" w:cstheme="minorHAnsi"/>
      <w:sz w:val="18"/>
      <w:szCs w:val="18"/>
    </w:rPr>
  </w:style>
  <w:style w:type="paragraph" w:styleId="TOC5">
    <w:name w:val="toc 5"/>
    <w:basedOn w:val="a"/>
    <w:next w:val="a"/>
    <w:autoRedefine/>
    <w:rsid w:val="00436B1B"/>
    <w:pPr>
      <w:ind w:left="800"/>
    </w:pPr>
    <w:rPr>
      <w:rFonts w:asciiTheme="minorHAnsi" w:hAnsiTheme="minorHAnsi" w:cstheme="minorHAnsi"/>
      <w:sz w:val="18"/>
      <w:szCs w:val="18"/>
    </w:rPr>
  </w:style>
  <w:style w:type="paragraph" w:styleId="TOC6">
    <w:name w:val="toc 6"/>
    <w:basedOn w:val="a"/>
    <w:next w:val="a"/>
    <w:autoRedefine/>
    <w:rsid w:val="00436B1B"/>
    <w:pPr>
      <w:ind w:left="1000"/>
    </w:pPr>
    <w:rPr>
      <w:rFonts w:asciiTheme="minorHAnsi" w:hAnsiTheme="minorHAnsi" w:cstheme="minorHAnsi"/>
      <w:sz w:val="18"/>
      <w:szCs w:val="18"/>
    </w:rPr>
  </w:style>
  <w:style w:type="paragraph" w:styleId="TOC7">
    <w:name w:val="toc 7"/>
    <w:basedOn w:val="a"/>
    <w:next w:val="a"/>
    <w:autoRedefine/>
    <w:rsid w:val="00436B1B"/>
    <w:pPr>
      <w:ind w:left="1200"/>
    </w:pPr>
    <w:rPr>
      <w:rFonts w:asciiTheme="minorHAnsi" w:hAnsiTheme="minorHAnsi" w:cstheme="minorHAnsi"/>
      <w:sz w:val="18"/>
      <w:szCs w:val="18"/>
    </w:rPr>
  </w:style>
  <w:style w:type="paragraph" w:styleId="TOC8">
    <w:name w:val="toc 8"/>
    <w:basedOn w:val="a"/>
    <w:next w:val="a"/>
    <w:autoRedefine/>
    <w:rsid w:val="00436B1B"/>
    <w:pPr>
      <w:ind w:left="1400"/>
    </w:pPr>
    <w:rPr>
      <w:rFonts w:asciiTheme="minorHAnsi" w:hAnsiTheme="minorHAnsi" w:cstheme="minorHAnsi"/>
      <w:sz w:val="18"/>
      <w:szCs w:val="18"/>
    </w:rPr>
  </w:style>
  <w:style w:type="paragraph" w:styleId="TOC9">
    <w:name w:val="toc 9"/>
    <w:basedOn w:val="a"/>
    <w:next w:val="a"/>
    <w:autoRedefine/>
    <w:rsid w:val="00436B1B"/>
    <w:pPr>
      <w:ind w:left="1600"/>
    </w:pPr>
    <w:rPr>
      <w:rFonts w:asciiTheme="minorHAnsi" w:hAnsiTheme="minorHAnsi" w:cstheme="minorHAnsi"/>
      <w:sz w:val="18"/>
      <w:szCs w:val="18"/>
    </w:rPr>
  </w:style>
  <w:style w:type="paragraph" w:styleId="aff7">
    <w:name w:val="Subtitle"/>
    <w:basedOn w:val="a"/>
    <w:next w:val="a"/>
    <w:link w:val="aff8"/>
    <w:qFormat/>
    <w:rsid w:val="00436B1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8">
    <w:name w:val="כותרת משנה תו"/>
    <w:basedOn w:val="a0"/>
    <w:link w:val="aff7"/>
    <w:rsid w:val="00436B1B"/>
    <w:rPr>
      <w:rFonts w:asciiTheme="minorHAnsi" w:eastAsiaTheme="minorEastAsia" w:hAnsiTheme="minorHAnsi" w:cstheme="minorBidi"/>
      <w:color w:val="5A5A5A" w:themeColor="text1" w:themeTint="A5"/>
      <w:spacing w:val="15"/>
      <w:sz w:val="22"/>
      <w:szCs w:val="22"/>
    </w:rPr>
  </w:style>
  <w:style w:type="paragraph" w:styleId="aff9">
    <w:name w:val="TOC Heading"/>
    <w:basedOn w:val="1"/>
    <w:next w:val="a"/>
    <w:uiPriority w:val="39"/>
    <w:unhideWhenUsed/>
    <w:qFormat/>
    <w:rsid w:val="00436B1B"/>
    <w:pPr>
      <w:keepNext/>
      <w:keepLines/>
      <w:tabs>
        <w:tab w:val="clear" w:pos="800"/>
      </w:tabs>
      <w:overflowPunct/>
      <w:autoSpaceDE/>
      <w:autoSpaceDN/>
      <w:adjustRightInd/>
      <w:spacing w:before="240" w:line="259" w:lineRule="auto"/>
      <w:jc w:val="left"/>
      <w:textAlignment w:val="auto"/>
      <w:outlineLvl w:val="9"/>
    </w:pPr>
    <w:rPr>
      <w:rFonts w:asciiTheme="majorHAnsi" w:eastAsiaTheme="majorEastAsia" w:hAnsiTheme="majorHAnsi" w:cstheme="majorBidi"/>
      <w:b w:val="0"/>
      <w:color w:val="2E74B5" w:themeColor="accent1" w:themeShade="BF"/>
      <w:sz w:val="32"/>
      <w:szCs w:val="32"/>
      <w:rtl/>
      <w: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hyperlink" Target="http://www.nevo.co.il/safrut/bookgroup/1123" TargetMode="Externa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https://supreme.court.gov.il/" TargetMode="External"/><Relationship Id="rId7" Type="http://schemas.openxmlformats.org/officeDocument/2006/relationships/footnotes" Target="footnotes.xml"/><Relationship Id="rId12" Type="http://schemas.openxmlformats.org/officeDocument/2006/relationships/hyperlink" Target="http://www.nevo.co.il/law/74278" TargetMode="External"/><Relationship Id="rId17" Type="http://schemas.openxmlformats.org/officeDocument/2006/relationships/hyperlink" Target="http://www.nevo.co.il/law/74386" TargetMode="External"/><Relationship Id="rId25"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hyperlink" Target="http://www.nevo.co.il/case/6127916" TargetMode="External"/><Relationship Id="rId20" Type="http://schemas.openxmlformats.org/officeDocument/2006/relationships/hyperlink" Target="https://supreme.court.gov.il/museum/Pages/Supreme_Court_of_Israel.aspx"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www.nevo.co.il/psika_html/elyon/13044910-s12.htm"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nevo.co.il/safrut/book/5605"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s://www.nevo.co.il/psika_html/elyon/21080760-R16.htm" TargetMode="External"/><Relationship Id="rId19" Type="http://schemas.openxmlformats.org/officeDocument/2006/relationships/hyperlink" Target="http://www.nevo.co.il/law/74874/15" TargetMode="External"/><Relationship Id="rId4" Type="http://schemas.openxmlformats.org/officeDocument/2006/relationships/styles" Target="styles.xml"/><Relationship Id="rId9" Type="http://schemas.openxmlformats.org/officeDocument/2006/relationships/hyperlink" Target="https://plus-lexis-com.eu1.proxy.openathens.net/api/document/collection/undefined/id/5CY3-FXX1-FG68-G010-00000-00?cite=MINISTER%20FOR%20IMMIGRATION%20AND%20CITIZENSHIP%20v%20LI%20and%C2%A0Another%20%20%20(2013)%20139%20ALD%20181&amp;context=1530671" TargetMode="External"/><Relationship Id="rId14" Type="http://schemas.openxmlformats.org/officeDocument/2006/relationships/image" Target="media/image2.jpeg"/><Relationship Id="rId22" Type="http://schemas.openxmlformats.org/officeDocument/2006/relationships/header" Target="header1.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6B4BA-0362-4256-B0AE-B251FABB2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743</Pages>
  <Words>256014</Words>
  <Characters>1243343</Characters>
  <Application>Microsoft Office Word</Application>
  <DocSecurity>0</DocSecurity>
  <Lines>10361</Lines>
  <Paragraphs>2992</Paragraphs>
  <ScaleCrop>false</ScaleCrop>
  <HeadingPairs>
    <vt:vector size="2" baseType="variant">
      <vt:variant>
        <vt:lpstr>שם</vt:lpstr>
      </vt:variant>
      <vt:variant>
        <vt:i4>1</vt:i4>
      </vt:variant>
    </vt:vector>
  </HeadingPairs>
  <TitlesOfParts>
    <vt:vector size="1" baseType="lpstr">
      <vt:lpstr>פסק-דין בתיק בג"ץ  5658/23</vt:lpstr>
    </vt:vector>
  </TitlesOfParts>
  <Company/>
  <LinksUpToDate>false</LinksUpToDate>
  <CharactersWithSpaces>1496365</CharactersWithSpaces>
  <SharedDoc>false</SharedDoc>
  <HLinks>
    <vt:vector size="6" baseType="variant">
      <vt:variant>
        <vt:i4>1966158</vt:i4>
      </vt:variant>
      <vt:variant>
        <vt:i4>12</vt:i4>
      </vt:variant>
      <vt:variant>
        <vt:i4>0</vt:i4>
      </vt:variant>
      <vt:variant>
        <vt:i4>5</vt:i4>
      </vt:variant>
      <vt:variant>
        <vt:lpwstr>http://www.court.gov.il/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
  <cp:lastPrinted>2024-01-14T13:44:59Z</cp:lastPrinted>
  <dcterms:created xsi:type="dcterms:W3CDTF">2024-01-14T13:44:59Z</dcterms:created>
  <dcterms:modified xsi:type="dcterms:W3CDTF">2024-01-14T13:44:59Z</dcterms:modified>
</cp:coreProperties>
</file>